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Default Extension="jpeg" ContentType="image/jpeg"/>
  <Override PartName="/word/header45.xml" ContentType="application/vnd.openxmlformats-officedocument.wordprocessingml.header+xml"/>
  <Override PartName="/word/footer4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29152">
                <wp:simplePos x="0" y="0"/>
                <wp:positionH relativeFrom="page">
                  <wp:posOffset>20321</wp:posOffset>
                </wp:positionH>
                <wp:positionV relativeFrom="page">
                  <wp:posOffset>-6350</wp:posOffset>
                </wp:positionV>
                <wp:extent cx="7750175" cy="998791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50175" cy="9987915"/>
                          <a:chExt cx="7750175" cy="9987915"/>
                        </a:xfrm>
                      </wpg:grpSpPr>
                      <pic:pic>
                        <pic:nvPicPr>
                          <pic:cNvPr id="2" name="Image 2"/>
                          <pic:cNvPicPr/>
                        </pic:nvPicPr>
                        <pic:blipFill>
                          <a:blip r:embed="rId5" cstate="print"/>
                          <a:stretch>
                            <a:fillRect/>
                          </a:stretch>
                        </pic:blipFill>
                        <pic:spPr>
                          <a:xfrm>
                            <a:off x="2922903" y="1740535"/>
                            <a:ext cx="1866900" cy="2085975"/>
                          </a:xfrm>
                          <a:prstGeom prst="rect">
                            <a:avLst/>
                          </a:prstGeom>
                        </pic:spPr>
                      </pic:pic>
                      <wps:wsp>
                        <wps:cNvPr id="3" name="Graphic 3"/>
                        <wps:cNvSpPr/>
                        <wps:spPr>
                          <a:xfrm>
                            <a:off x="591374" y="591388"/>
                            <a:ext cx="6567805" cy="8805545"/>
                          </a:xfrm>
                          <a:custGeom>
                            <a:avLst/>
                            <a:gdLst/>
                            <a:ahLst/>
                            <a:cxnLst/>
                            <a:rect l="l" t="t" r="r" b="b"/>
                            <a:pathLst>
                              <a:path w="6567805" h="8805545">
                                <a:moveTo>
                                  <a:pt x="6567297" y="0"/>
                                </a:moveTo>
                                <a:lnTo>
                                  <a:pt x="0" y="0"/>
                                </a:lnTo>
                                <a:lnTo>
                                  <a:pt x="0" y="8805164"/>
                                </a:lnTo>
                                <a:lnTo>
                                  <a:pt x="6567297" y="8805164"/>
                                </a:lnTo>
                                <a:lnTo>
                                  <a:pt x="6567297" y="0"/>
                                </a:lnTo>
                                <a:close/>
                              </a:path>
                            </a:pathLst>
                          </a:custGeom>
                          <a:solidFill>
                            <a:srgbClr val="5B9BD4">
                              <a:alpha val="10195"/>
                            </a:srgbClr>
                          </a:solidFill>
                        </wps:spPr>
                        <wps:bodyPr wrap="square" lIns="0" tIns="0" rIns="0" bIns="0" rtlCol="0">
                          <a:prstTxWarp prst="textNoShape">
                            <a:avLst/>
                          </a:prstTxWarp>
                          <a:noAutofit/>
                        </wps:bodyPr>
                      </wps:wsp>
                      <wps:wsp>
                        <wps:cNvPr id="4" name="Graphic 4"/>
                        <wps:cNvSpPr/>
                        <wps:spPr>
                          <a:xfrm>
                            <a:off x="6350" y="6350"/>
                            <a:ext cx="7737475" cy="585470"/>
                          </a:xfrm>
                          <a:custGeom>
                            <a:avLst/>
                            <a:gdLst/>
                            <a:ahLst/>
                            <a:cxnLst/>
                            <a:rect l="l" t="t" r="r" b="b"/>
                            <a:pathLst>
                              <a:path w="7737475" h="585470">
                                <a:moveTo>
                                  <a:pt x="7737219" y="0"/>
                                </a:moveTo>
                                <a:lnTo>
                                  <a:pt x="0" y="0"/>
                                </a:lnTo>
                                <a:lnTo>
                                  <a:pt x="585024" y="584961"/>
                                </a:lnTo>
                                <a:lnTo>
                                  <a:pt x="7152257" y="584961"/>
                                </a:lnTo>
                                <a:lnTo>
                                  <a:pt x="7737219" y="0"/>
                                </a:lnTo>
                                <a:close/>
                              </a:path>
                            </a:pathLst>
                          </a:custGeom>
                          <a:solidFill>
                            <a:srgbClr val="7AAEDD">
                              <a:alpha val="10195"/>
                            </a:srgbClr>
                          </a:solidFill>
                        </wps:spPr>
                        <wps:bodyPr wrap="square" lIns="0" tIns="0" rIns="0" bIns="0" rtlCol="0">
                          <a:prstTxWarp prst="textNoShape">
                            <a:avLst/>
                          </a:prstTxWarp>
                          <a:noAutofit/>
                        </wps:bodyPr>
                      </wps:wsp>
                      <wps:wsp>
                        <wps:cNvPr id="5" name="Graphic 5"/>
                        <wps:cNvSpPr/>
                        <wps:spPr>
                          <a:xfrm>
                            <a:off x="6350" y="9396552"/>
                            <a:ext cx="7737475" cy="585470"/>
                          </a:xfrm>
                          <a:custGeom>
                            <a:avLst/>
                            <a:gdLst/>
                            <a:ahLst/>
                            <a:cxnLst/>
                            <a:rect l="l" t="t" r="r" b="b"/>
                            <a:pathLst>
                              <a:path w="7737475" h="585470">
                                <a:moveTo>
                                  <a:pt x="7152257" y="0"/>
                                </a:moveTo>
                                <a:lnTo>
                                  <a:pt x="585024" y="0"/>
                                </a:lnTo>
                                <a:lnTo>
                                  <a:pt x="0" y="585012"/>
                                </a:lnTo>
                                <a:lnTo>
                                  <a:pt x="7737219" y="585012"/>
                                </a:lnTo>
                                <a:lnTo>
                                  <a:pt x="7152257" y="0"/>
                                </a:lnTo>
                                <a:close/>
                              </a:path>
                            </a:pathLst>
                          </a:custGeom>
                          <a:solidFill>
                            <a:srgbClr val="487CAB">
                              <a:alpha val="10195"/>
                            </a:srgbClr>
                          </a:solidFill>
                        </wps:spPr>
                        <wps:bodyPr wrap="square" lIns="0" tIns="0" rIns="0" bIns="0" rtlCol="0">
                          <a:prstTxWarp prst="textNoShape">
                            <a:avLst/>
                          </a:prstTxWarp>
                          <a:noAutofit/>
                        </wps:bodyPr>
                      </wps:wsp>
                      <wps:wsp>
                        <wps:cNvPr id="6" name="Graphic 6"/>
                        <wps:cNvSpPr/>
                        <wps:spPr>
                          <a:xfrm>
                            <a:off x="6350" y="6350"/>
                            <a:ext cx="585470" cy="9975215"/>
                          </a:xfrm>
                          <a:custGeom>
                            <a:avLst/>
                            <a:gdLst/>
                            <a:ahLst/>
                            <a:cxnLst/>
                            <a:rect l="l" t="t" r="r" b="b"/>
                            <a:pathLst>
                              <a:path w="585470" h="9975215">
                                <a:moveTo>
                                  <a:pt x="0" y="0"/>
                                </a:moveTo>
                                <a:lnTo>
                                  <a:pt x="0" y="9975215"/>
                                </a:lnTo>
                                <a:lnTo>
                                  <a:pt x="585024" y="9390202"/>
                                </a:lnTo>
                                <a:lnTo>
                                  <a:pt x="585024" y="584961"/>
                                </a:lnTo>
                                <a:lnTo>
                                  <a:pt x="0" y="0"/>
                                </a:lnTo>
                                <a:close/>
                              </a:path>
                            </a:pathLst>
                          </a:custGeom>
                          <a:solidFill>
                            <a:srgbClr val="9DC3E6">
                              <a:alpha val="10195"/>
                            </a:srgbClr>
                          </a:solidFill>
                        </wps:spPr>
                        <wps:bodyPr wrap="square" lIns="0" tIns="0" rIns="0" bIns="0" rtlCol="0">
                          <a:prstTxWarp prst="textNoShape">
                            <a:avLst/>
                          </a:prstTxWarp>
                          <a:noAutofit/>
                        </wps:bodyPr>
                      </wps:wsp>
                      <wps:wsp>
                        <wps:cNvPr id="7" name="Graphic 7"/>
                        <wps:cNvSpPr/>
                        <wps:spPr>
                          <a:xfrm>
                            <a:off x="7158608" y="6350"/>
                            <a:ext cx="585470" cy="9975215"/>
                          </a:xfrm>
                          <a:custGeom>
                            <a:avLst/>
                            <a:gdLst/>
                            <a:ahLst/>
                            <a:cxnLst/>
                            <a:rect l="l" t="t" r="r" b="b"/>
                            <a:pathLst>
                              <a:path w="585470" h="9975215">
                                <a:moveTo>
                                  <a:pt x="584962" y="0"/>
                                </a:moveTo>
                                <a:lnTo>
                                  <a:pt x="0" y="584961"/>
                                </a:lnTo>
                                <a:lnTo>
                                  <a:pt x="0" y="9390202"/>
                                </a:lnTo>
                                <a:lnTo>
                                  <a:pt x="584962" y="9975215"/>
                                </a:lnTo>
                                <a:lnTo>
                                  <a:pt x="584962" y="0"/>
                                </a:lnTo>
                                <a:close/>
                              </a:path>
                            </a:pathLst>
                          </a:custGeom>
                          <a:solidFill>
                            <a:srgbClr val="375D80">
                              <a:alpha val="10195"/>
                            </a:srgbClr>
                          </a:solidFill>
                        </wps:spPr>
                        <wps:bodyPr wrap="square" lIns="0" tIns="0" rIns="0" bIns="0" rtlCol="0">
                          <a:prstTxWarp prst="textNoShape">
                            <a:avLst/>
                          </a:prstTxWarp>
                          <a:noAutofit/>
                        </wps:bodyPr>
                      </wps:wsp>
                      <wps:wsp>
                        <wps:cNvPr id="8" name="Graphic 8"/>
                        <wps:cNvSpPr/>
                        <wps:spPr>
                          <a:xfrm>
                            <a:off x="6350" y="6350"/>
                            <a:ext cx="7737475" cy="9975215"/>
                          </a:xfrm>
                          <a:custGeom>
                            <a:avLst/>
                            <a:gdLst/>
                            <a:ahLst/>
                            <a:cxnLst/>
                            <a:rect l="l" t="t" r="r" b="b"/>
                            <a:pathLst>
                              <a:path w="7737475" h="9975215">
                                <a:moveTo>
                                  <a:pt x="0" y="0"/>
                                </a:moveTo>
                                <a:lnTo>
                                  <a:pt x="7737219" y="0"/>
                                </a:lnTo>
                                <a:lnTo>
                                  <a:pt x="7737219" y="9975215"/>
                                </a:lnTo>
                                <a:lnTo>
                                  <a:pt x="0" y="9975215"/>
                                </a:lnTo>
                                <a:lnTo>
                                  <a:pt x="0" y="0"/>
                                </a:lnTo>
                                <a:close/>
                              </a:path>
                              <a:path w="7737475" h="9975215">
                                <a:moveTo>
                                  <a:pt x="585024" y="584961"/>
                                </a:moveTo>
                                <a:lnTo>
                                  <a:pt x="7152257" y="584961"/>
                                </a:lnTo>
                                <a:lnTo>
                                  <a:pt x="7152257" y="9390202"/>
                                </a:lnTo>
                                <a:lnTo>
                                  <a:pt x="585024" y="9390202"/>
                                </a:lnTo>
                                <a:lnTo>
                                  <a:pt x="585024" y="584961"/>
                                </a:lnTo>
                                <a:close/>
                              </a:path>
                              <a:path w="7737475" h="9975215">
                                <a:moveTo>
                                  <a:pt x="0" y="0"/>
                                </a:moveTo>
                                <a:lnTo>
                                  <a:pt x="585024" y="584961"/>
                                </a:lnTo>
                              </a:path>
                              <a:path w="7737475" h="9975215">
                                <a:moveTo>
                                  <a:pt x="0" y="9975215"/>
                                </a:moveTo>
                                <a:lnTo>
                                  <a:pt x="585024" y="9390202"/>
                                </a:lnTo>
                              </a:path>
                              <a:path w="7737475" h="9975215">
                                <a:moveTo>
                                  <a:pt x="7737219" y="0"/>
                                </a:moveTo>
                                <a:lnTo>
                                  <a:pt x="7152257" y="584961"/>
                                </a:lnTo>
                              </a:path>
                              <a:path w="7737475" h="9975215">
                                <a:moveTo>
                                  <a:pt x="7737219" y="9975215"/>
                                </a:moveTo>
                                <a:lnTo>
                                  <a:pt x="7152257" y="9390202"/>
                                </a:lnTo>
                              </a:path>
                            </a:pathLst>
                          </a:custGeom>
                          <a:ln w="12700">
                            <a:solidFill>
                              <a:srgbClr val="4170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001pt;margin-top:-.5pt;width:610.25pt;height:786.45pt;mso-position-horizontal-relative:page;mso-position-vertical-relative:page;z-index:15729152" id="docshapegroup1" coordorigin="32,-10" coordsize="12205,15729">
                <v:shape style="position:absolute;left:4635;top:2731;width:2940;height:3285" type="#_x0000_t75" id="docshape2" stroked="false">
                  <v:imagedata r:id="rId5" o:title=""/>
                </v:shape>
                <v:rect style="position:absolute;left:963;top:921;width:10343;height:13867" id="docshape3" filled="true" fillcolor="#5b9bd4" stroked="false">
                  <v:fill opacity="6682f" type="solid"/>
                </v:rect>
                <v:shape style="position:absolute;left:42;top:0;width:12185;height:922" id="docshape4" coordorigin="42,0" coordsize="12185,922" path="m12227,0l42,0,963,921,11305,921,12227,0xe" filled="true" fillcolor="#7aaedd" stroked="false">
                  <v:path arrowok="t"/>
                  <v:fill opacity="6682f" type="solid"/>
                </v:shape>
                <v:shape style="position:absolute;left:42;top:14787;width:12185;height:922" id="docshape5" coordorigin="42,14788" coordsize="12185,922" path="m11305,14788l963,14788,42,15709,12227,15709,11305,14788xe" filled="true" fillcolor="#487cab" stroked="false">
                  <v:path arrowok="t"/>
                  <v:fill opacity="6682f" type="solid"/>
                </v:shape>
                <v:shape style="position:absolute;left:42;top:0;width:922;height:15709" id="docshape6" coordorigin="42,0" coordsize="922,15709" path="m42,0l42,15709,963,14788,963,921,42,0xe" filled="true" fillcolor="#9dc3e6" stroked="false">
                  <v:path arrowok="t"/>
                  <v:fill opacity="6682f" type="solid"/>
                </v:shape>
                <v:shape style="position:absolute;left:11305;top:0;width:922;height:15709" id="docshape7" coordorigin="11305,0" coordsize="922,15709" path="m12227,0l11305,921,11305,14788,12227,15709,12227,0xe" filled="true" fillcolor="#375d80" stroked="false">
                  <v:path arrowok="t"/>
                  <v:fill opacity="6682f" type="solid"/>
                </v:shape>
                <v:shape style="position:absolute;left:42;top:0;width:12185;height:15709" id="docshape8" coordorigin="42,0" coordsize="12185,15709" path="m42,0l12227,0,12227,15709,42,15709,42,0xm963,921l11305,921,11305,14788,963,14788,963,921xm42,0l963,921m42,15709l963,14788m12227,0l11305,921m12227,15709l11305,14788e" filled="false" stroked="true" strokeweight="1pt" strokecolor="#41709c">
                  <v:path arrowok="t"/>
                  <v:stroke dashstyle="solid"/>
                </v:shape>
                <w10:wrap type="none"/>
              </v:group>
            </w:pict>
          </mc:Fallback>
        </mc:AlternateContent>
      </w:r>
      <w:r>
        <w:rPr/>
        <w:t>MUNICIPAL</w:t>
      </w:r>
      <w:r>
        <w:rPr>
          <w:spacing w:val="-3"/>
        </w:rPr>
        <w:t> </w:t>
      </w:r>
      <w:r>
        <w:rPr/>
        <w:t>CORPORATION</w:t>
      </w:r>
      <w:r>
        <w:rPr>
          <w:spacing w:val="-3"/>
        </w:rPr>
        <w:t> </w:t>
      </w:r>
      <w:r>
        <w:rPr/>
        <w:t>OF</w:t>
      </w:r>
      <w:r>
        <w:rPr>
          <w:spacing w:val="-3"/>
        </w:rPr>
        <w:t> </w:t>
      </w:r>
      <w:r>
        <w:rPr/>
        <w:t>GRETER</w:t>
      </w:r>
      <w:r>
        <w:rPr>
          <w:spacing w:val="-2"/>
        </w:rPr>
        <w:t> MUMBAI</w:t>
      </w: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spacing w:before="123"/>
        <w:jc w:val="left"/>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944922</wp:posOffset>
                </wp:positionH>
                <wp:positionV relativeFrom="paragraph">
                  <wp:posOffset>242632</wp:posOffset>
                </wp:positionV>
                <wp:extent cx="5899785" cy="902335"/>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5899785" cy="902335"/>
                          <a:chExt cx="5899785" cy="902335"/>
                        </a:xfrm>
                      </wpg:grpSpPr>
                      <pic:pic>
                        <pic:nvPicPr>
                          <pic:cNvPr id="10" name="Image 10"/>
                          <pic:cNvPicPr/>
                        </pic:nvPicPr>
                        <pic:blipFill>
                          <a:blip r:embed="rId6" cstate="print"/>
                          <a:stretch>
                            <a:fillRect/>
                          </a:stretch>
                        </pic:blipFill>
                        <pic:spPr>
                          <a:xfrm>
                            <a:off x="0" y="60511"/>
                            <a:ext cx="5899297" cy="228018"/>
                          </a:xfrm>
                          <a:prstGeom prst="rect">
                            <a:avLst/>
                          </a:prstGeom>
                        </pic:spPr>
                      </pic:pic>
                      <pic:pic>
                        <pic:nvPicPr>
                          <pic:cNvPr id="11" name="Image 11"/>
                          <pic:cNvPicPr/>
                        </pic:nvPicPr>
                        <pic:blipFill>
                          <a:blip r:embed="rId7" cstate="print"/>
                          <a:stretch>
                            <a:fillRect/>
                          </a:stretch>
                        </pic:blipFill>
                        <pic:spPr>
                          <a:xfrm>
                            <a:off x="1427945" y="304723"/>
                            <a:ext cx="3208020" cy="597408"/>
                          </a:xfrm>
                          <a:prstGeom prst="rect">
                            <a:avLst/>
                          </a:prstGeom>
                        </pic:spPr>
                      </pic:pic>
                      <wps:wsp>
                        <wps:cNvPr id="12" name="Textbox 12"/>
                        <wps:cNvSpPr txBox="1"/>
                        <wps:spPr>
                          <a:xfrm>
                            <a:off x="0" y="0"/>
                            <a:ext cx="5899785" cy="902335"/>
                          </a:xfrm>
                          <a:prstGeom prst="rect">
                            <a:avLst/>
                          </a:prstGeom>
                        </wps:spPr>
                        <wps:txbx>
                          <w:txbxContent>
                            <w:p>
                              <w:pPr>
                                <w:spacing w:line="285" w:lineRule="auto" w:before="0"/>
                                <w:ind w:left="2520" w:right="18" w:hanging="2531"/>
                                <w:jc w:val="left"/>
                                <w:rPr>
                                  <w:sz w:val="44"/>
                                </w:rPr>
                              </w:pPr>
                              <w:r>
                                <w:rPr>
                                  <w:sz w:val="44"/>
                                </w:rPr>
                                <w:t>DEVELOPMENT</w:t>
                              </w:r>
                              <w:r>
                                <w:rPr>
                                  <w:spacing w:val="-15"/>
                                  <w:sz w:val="44"/>
                                </w:rPr>
                                <w:t> </w:t>
                              </w:r>
                              <w:r>
                                <w:rPr>
                                  <w:sz w:val="44"/>
                                </w:rPr>
                                <w:t>CONTROL</w:t>
                              </w:r>
                              <w:r>
                                <w:rPr>
                                  <w:spacing w:val="-15"/>
                                  <w:sz w:val="44"/>
                                </w:rPr>
                                <w:t> </w:t>
                              </w:r>
                              <w:r>
                                <w:rPr>
                                  <w:sz w:val="44"/>
                                </w:rPr>
                                <w:t>&amp;</w:t>
                              </w:r>
                              <w:r>
                                <w:rPr>
                                  <w:spacing w:val="-12"/>
                                  <w:sz w:val="44"/>
                                </w:rPr>
                                <w:t> </w:t>
                              </w:r>
                              <w:r>
                                <w:rPr>
                                  <w:sz w:val="44"/>
                                </w:rPr>
                                <w:t>PROMOTION REGULATION 2034</w:t>
                              </w:r>
                            </w:p>
                          </w:txbxContent>
                        </wps:txbx>
                        <wps:bodyPr wrap="square" lIns="0" tIns="0" rIns="0" bIns="0" rtlCol="0">
                          <a:noAutofit/>
                        </wps:bodyPr>
                      </wps:wsp>
                    </wpg:wgp>
                  </a:graphicData>
                </a:graphic>
              </wp:anchor>
            </w:drawing>
          </mc:Choice>
          <mc:Fallback>
            <w:pict>
              <v:group style="position:absolute;margin-left:74.403374pt;margin-top:19.104902pt;width:464.55pt;height:71.05pt;mso-position-horizontal-relative:page;mso-position-vertical-relative:paragraph;z-index:-15728640;mso-wrap-distance-left:0;mso-wrap-distance-right:0" id="docshapegroup9" coordorigin="1488,382" coordsize="9291,1421">
                <v:shape style="position:absolute;left:1488;top:477;width:9291;height:360" type="#_x0000_t75" id="docshape10" stroked="false">
                  <v:imagedata r:id="rId6" o:title=""/>
                </v:shape>
                <v:shape style="position:absolute;left:3736;top:861;width:5052;height:941" type="#_x0000_t75" id="docshape11" stroked="false">
                  <v:imagedata r:id="rId7" o:title=""/>
                </v:shape>
                <v:shapetype id="_x0000_t202" o:spt="202" coordsize="21600,21600" path="m,l,21600r21600,l21600,xe">
                  <v:stroke joinstyle="miter"/>
                  <v:path gradientshapeok="t" o:connecttype="rect"/>
                </v:shapetype>
                <v:shape style="position:absolute;left:1488;top:382;width:9291;height:1421" type="#_x0000_t202" id="docshape12" filled="false" stroked="false">
                  <v:textbox inset="0,0,0,0">
                    <w:txbxContent>
                      <w:p>
                        <w:pPr>
                          <w:spacing w:line="285" w:lineRule="auto" w:before="0"/>
                          <w:ind w:left="2520" w:right="18" w:hanging="2531"/>
                          <w:jc w:val="left"/>
                          <w:rPr>
                            <w:sz w:val="44"/>
                          </w:rPr>
                        </w:pPr>
                        <w:r>
                          <w:rPr>
                            <w:sz w:val="44"/>
                          </w:rPr>
                          <w:t>DEVELOPMENT</w:t>
                        </w:r>
                        <w:r>
                          <w:rPr>
                            <w:spacing w:val="-15"/>
                            <w:sz w:val="44"/>
                          </w:rPr>
                          <w:t> </w:t>
                        </w:r>
                        <w:r>
                          <w:rPr>
                            <w:sz w:val="44"/>
                          </w:rPr>
                          <w:t>CONTROL</w:t>
                        </w:r>
                        <w:r>
                          <w:rPr>
                            <w:spacing w:val="-15"/>
                            <w:sz w:val="44"/>
                          </w:rPr>
                          <w:t> </w:t>
                        </w:r>
                        <w:r>
                          <w:rPr>
                            <w:sz w:val="44"/>
                          </w:rPr>
                          <w:t>&amp;</w:t>
                        </w:r>
                        <w:r>
                          <w:rPr>
                            <w:spacing w:val="-12"/>
                            <w:sz w:val="44"/>
                          </w:rPr>
                          <w:t> </w:t>
                        </w:r>
                        <w:r>
                          <w:rPr>
                            <w:sz w:val="44"/>
                          </w:rPr>
                          <w:t>PROMOTION REGULATION 2034</w:t>
                        </w:r>
                      </w:p>
                    </w:txbxContent>
                  </v:textbox>
                  <w10:wrap type="none"/>
                </v:shape>
                <w10:wrap type="topAndBottom"/>
              </v:group>
            </w:pict>
          </mc:Fallback>
        </mc:AlternateContent>
      </w:r>
    </w:p>
    <w:p>
      <w:pPr>
        <w:pStyle w:val="BodyText"/>
        <w:jc w:val="left"/>
        <w:rPr>
          <w:b/>
          <w:sz w:val="36"/>
        </w:rPr>
      </w:pPr>
    </w:p>
    <w:p>
      <w:pPr>
        <w:pStyle w:val="BodyText"/>
        <w:jc w:val="left"/>
        <w:rPr>
          <w:b/>
          <w:sz w:val="36"/>
        </w:rPr>
      </w:pPr>
    </w:p>
    <w:p>
      <w:pPr>
        <w:pStyle w:val="BodyText"/>
        <w:jc w:val="left"/>
        <w:rPr>
          <w:b/>
          <w:sz w:val="36"/>
        </w:rPr>
      </w:pPr>
    </w:p>
    <w:p>
      <w:pPr>
        <w:pStyle w:val="BodyText"/>
        <w:spacing w:before="105"/>
        <w:jc w:val="left"/>
        <w:rPr>
          <w:b/>
          <w:sz w:val="36"/>
        </w:rPr>
      </w:pPr>
    </w:p>
    <w:p>
      <w:pPr>
        <w:spacing w:line="700" w:lineRule="auto" w:before="0"/>
        <w:ind w:left="2038" w:right="1719" w:hanging="317"/>
        <w:jc w:val="left"/>
        <w:rPr>
          <w:sz w:val="36"/>
        </w:rPr>
      </w:pPr>
      <w:r>
        <w:rPr>
          <w:sz w:val="36"/>
        </w:rPr>
        <w:t>WITH</w:t>
      </w:r>
      <w:r>
        <w:rPr>
          <w:spacing w:val="-13"/>
          <w:sz w:val="36"/>
        </w:rPr>
        <w:t> </w:t>
      </w:r>
      <w:r>
        <w:rPr>
          <w:sz w:val="36"/>
        </w:rPr>
        <w:t>EFFECT</w:t>
      </w:r>
      <w:r>
        <w:rPr>
          <w:spacing w:val="-15"/>
          <w:sz w:val="36"/>
        </w:rPr>
        <w:t> </w:t>
      </w:r>
      <w:r>
        <w:rPr>
          <w:sz w:val="36"/>
        </w:rPr>
        <w:t>FROM</w:t>
      </w:r>
      <w:r>
        <w:rPr>
          <w:spacing w:val="-13"/>
          <w:sz w:val="36"/>
        </w:rPr>
        <w:t> </w:t>
      </w:r>
      <w:r>
        <w:rPr>
          <w:sz w:val="36"/>
        </w:rPr>
        <w:t>13.11.2018 (UPDATED UPTO 07.12.2018)</w:t>
      </w:r>
    </w:p>
    <w:p>
      <w:pPr>
        <w:spacing w:after="0" w:line="700" w:lineRule="auto"/>
        <w:jc w:val="left"/>
        <w:rPr>
          <w:sz w:val="36"/>
        </w:rPr>
        <w:sectPr>
          <w:type w:val="continuous"/>
          <w:pgSz w:w="12240" w:h="15840"/>
          <w:pgMar w:top="1360" w:bottom="280" w:left="1440" w:right="144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472" w:hRule="atLeast"/>
        </w:trPr>
        <w:tc>
          <w:tcPr>
            <w:tcW w:w="8769" w:type="dxa"/>
            <w:gridSpan w:val="3"/>
            <w:tcBorders>
              <w:right w:val="nil"/>
            </w:tcBorders>
            <w:shd w:val="clear" w:color="auto" w:fill="E7E6E6"/>
          </w:tcPr>
          <w:p>
            <w:pPr>
              <w:pStyle w:val="TableParagraph"/>
              <w:spacing w:before="49"/>
              <w:ind w:right="62"/>
              <w:jc w:val="center"/>
              <w:rPr>
                <w:b/>
                <w:sz w:val="32"/>
              </w:rPr>
            </w:pPr>
            <w:r>
              <w:rPr>
                <w:b/>
                <w:spacing w:val="-2"/>
                <w:sz w:val="32"/>
              </w:rPr>
              <w:t>INDEX</w:t>
            </w:r>
          </w:p>
        </w:tc>
      </w:tr>
      <w:tr>
        <w:trPr>
          <w:trHeight w:val="659" w:hRule="atLeast"/>
        </w:trPr>
        <w:tc>
          <w:tcPr>
            <w:tcW w:w="8769" w:type="dxa"/>
            <w:gridSpan w:val="3"/>
            <w:tcBorders>
              <w:right w:val="nil"/>
            </w:tcBorders>
            <w:shd w:val="clear" w:color="auto" w:fill="E7E6E6"/>
          </w:tcPr>
          <w:p>
            <w:pPr>
              <w:pStyle w:val="TableParagraph"/>
              <w:spacing w:before="47"/>
              <w:ind w:left="2839" w:hanging="2679"/>
              <w:rPr>
                <w:b/>
                <w:sz w:val="24"/>
              </w:rPr>
            </w:pPr>
            <w:r>
              <w:rPr>
                <w:b/>
                <w:sz w:val="24"/>
              </w:rPr>
              <w:t>DEVELOPMENT</w:t>
            </w:r>
            <w:r>
              <w:rPr>
                <w:b/>
                <w:spacing w:val="-7"/>
                <w:sz w:val="24"/>
              </w:rPr>
              <w:t> </w:t>
            </w:r>
            <w:r>
              <w:rPr>
                <w:b/>
                <w:sz w:val="24"/>
              </w:rPr>
              <w:t>CONTROL</w:t>
            </w:r>
            <w:r>
              <w:rPr>
                <w:b/>
                <w:spacing w:val="-6"/>
                <w:sz w:val="24"/>
              </w:rPr>
              <w:t> </w:t>
            </w:r>
            <w:r>
              <w:rPr>
                <w:b/>
                <w:sz w:val="24"/>
              </w:rPr>
              <w:t>AND</w:t>
            </w:r>
            <w:r>
              <w:rPr>
                <w:b/>
                <w:spacing w:val="-7"/>
                <w:sz w:val="24"/>
              </w:rPr>
              <w:t> </w:t>
            </w:r>
            <w:r>
              <w:rPr>
                <w:b/>
                <w:sz w:val="24"/>
              </w:rPr>
              <w:t>PROMOTION</w:t>
            </w:r>
            <w:r>
              <w:rPr>
                <w:b/>
                <w:spacing w:val="-7"/>
                <w:sz w:val="24"/>
              </w:rPr>
              <w:t> </w:t>
            </w:r>
            <w:r>
              <w:rPr>
                <w:b/>
                <w:sz w:val="24"/>
              </w:rPr>
              <w:t>REGULATIONS</w:t>
            </w:r>
            <w:r>
              <w:rPr>
                <w:b/>
                <w:spacing w:val="-6"/>
                <w:sz w:val="24"/>
              </w:rPr>
              <w:t> </w:t>
            </w:r>
            <w:r>
              <w:rPr>
                <w:b/>
                <w:sz w:val="24"/>
              </w:rPr>
              <w:t>-</w:t>
            </w:r>
            <w:r>
              <w:rPr>
                <w:b/>
                <w:spacing w:val="-7"/>
                <w:sz w:val="24"/>
              </w:rPr>
              <w:t> </w:t>
            </w:r>
            <w:r>
              <w:rPr>
                <w:b/>
                <w:sz w:val="24"/>
              </w:rPr>
              <w:t>2034 FOR GREATER MUMBAI</w:t>
            </w:r>
          </w:p>
        </w:tc>
      </w:tr>
      <w:tr>
        <w:trPr>
          <w:trHeight w:val="378" w:hRule="atLeast"/>
        </w:trPr>
        <w:tc>
          <w:tcPr>
            <w:tcW w:w="8769" w:type="dxa"/>
            <w:gridSpan w:val="3"/>
            <w:tcBorders>
              <w:right w:val="nil"/>
            </w:tcBorders>
            <w:shd w:val="clear" w:color="auto" w:fill="E7E6E6"/>
          </w:tcPr>
          <w:p>
            <w:pPr>
              <w:pStyle w:val="TableParagraph"/>
              <w:spacing w:before="47"/>
              <w:ind w:left="3" w:right="62"/>
              <w:jc w:val="center"/>
              <w:rPr>
                <w:b/>
                <w:sz w:val="24"/>
              </w:rPr>
            </w:pPr>
            <w:r>
              <w:rPr>
                <w:b/>
                <w:sz w:val="24"/>
              </w:rPr>
              <w:t>TABLE</w:t>
            </w:r>
            <w:r>
              <w:rPr>
                <w:b/>
                <w:spacing w:val="-6"/>
                <w:sz w:val="24"/>
              </w:rPr>
              <w:t> </w:t>
            </w:r>
            <w:r>
              <w:rPr>
                <w:b/>
                <w:sz w:val="24"/>
              </w:rPr>
              <w:t>OF</w:t>
            </w:r>
            <w:r>
              <w:rPr>
                <w:b/>
                <w:spacing w:val="-2"/>
                <w:sz w:val="24"/>
              </w:rPr>
              <w:t> CONTENTS</w:t>
            </w:r>
          </w:p>
        </w:tc>
      </w:tr>
      <w:tr>
        <w:trPr>
          <w:trHeight w:val="844" w:hRule="atLeast"/>
        </w:trPr>
        <w:tc>
          <w:tcPr>
            <w:tcW w:w="1572" w:type="dxa"/>
          </w:tcPr>
          <w:p>
            <w:pPr>
              <w:pStyle w:val="TableParagraph"/>
              <w:ind w:left="9"/>
              <w:jc w:val="center"/>
              <w:rPr>
                <w:b/>
                <w:sz w:val="24"/>
              </w:rPr>
            </w:pPr>
            <w:r>
              <w:rPr>
                <w:b/>
                <w:spacing w:val="-2"/>
                <w:sz w:val="24"/>
              </w:rPr>
              <w:t>Regulation </w:t>
            </w:r>
            <w:r>
              <w:rPr>
                <w:b/>
                <w:sz w:val="24"/>
              </w:rPr>
              <w:t>No / Table</w:t>
            </w:r>
          </w:p>
          <w:p>
            <w:pPr>
              <w:pStyle w:val="TableParagraph"/>
              <w:spacing w:line="261" w:lineRule="exact"/>
              <w:ind w:left="9" w:right="3"/>
              <w:jc w:val="center"/>
              <w:rPr>
                <w:b/>
                <w:sz w:val="24"/>
              </w:rPr>
            </w:pPr>
            <w:r>
              <w:rPr>
                <w:b/>
                <w:spacing w:val="-5"/>
                <w:sz w:val="24"/>
              </w:rPr>
              <w:t>No</w:t>
            </w:r>
          </w:p>
        </w:tc>
        <w:tc>
          <w:tcPr>
            <w:tcW w:w="6196" w:type="dxa"/>
          </w:tcPr>
          <w:p>
            <w:pPr>
              <w:pStyle w:val="TableParagraph"/>
              <w:spacing w:line="281" w:lineRule="exact"/>
              <w:ind w:left="11"/>
              <w:jc w:val="center"/>
              <w:rPr>
                <w:b/>
                <w:sz w:val="24"/>
              </w:rPr>
            </w:pPr>
            <w:r>
              <w:rPr>
                <w:b/>
                <w:spacing w:val="-2"/>
                <w:sz w:val="24"/>
              </w:rPr>
              <w:t>Contents</w:t>
            </w:r>
          </w:p>
        </w:tc>
        <w:tc>
          <w:tcPr>
            <w:tcW w:w="1001" w:type="dxa"/>
          </w:tcPr>
          <w:p>
            <w:pPr>
              <w:pStyle w:val="TableParagraph"/>
              <w:spacing w:line="281" w:lineRule="exact"/>
              <w:ind w:right="305"/>
              <w:jc w:val="right"/>
              <w:rPr>
                <w:b/>
                <w:sz w:val="24"/>
              </w:rPr>
            </w:pPr>
            <w:r>
              <w:rPr>
                <w:b/>
                <w:spacing w:val="-4"/>
                <w:sz w:val="24"/>
              </w:rPr>
              <w:t>Page</w:t>
            </w:r>
          </w:p>
        </w:tc>
      </w:tr>
      <w:tr>
        <w:trPr>
          <w:trHeight w:val="378" w:hRule="atLeast"/>
        </w:trPr>
        <w:tc>
          <w:tcPr>
            <w:tcW w:w="8769" w:type="dxa"/>
            <w:gridSpan w:val="3"/>
          </w:tcPr>
          <w:p>
            <w:pPr>
              <w:pStyle w:val="TableParagraph"/>
              <w:spacing w:before="47"/>
              <w:ind w:left="6"/>
              <w:jc w:val="center"/>
              <w:rPr>
                <w:b/>
                <w:sz w:val="24"/>
              </w:rPr>
            </w:pPr>
            <w:r>
              <w:rPr>
                <w:b/>
                <w:color w:val="000000"/>
                <w:sz w:val="24"/>
                <w:shd w:fill="E7E6E6" w:color="auto" w:val="clear"/>
              </w:rPr>
              <w:t>PART-</w:t>
            </w:r>
            <w:r>
              <w:rPr>
                <w:b/>
                <w:color w:val="000000"/>
                <w:spacing w:val="-2"/>
                <w:sz w:val="24"/>
                <w:shd w:fill="E7E6E6" w:color="auto" w:val="clear"/>
              </w:rPr>
              <w:t> </w:t>
            </w:r>
            <w:r>
              <w:rPr>
                <w:b/>
                <w:color w:val="000000"/>
                <w:sz w:val="24"/>
                <w:shd w:fill="E7E6E6" w:color="auto" w:val="clear"/>
              </w:rPr>
              <w:t>I</w:t>
            </w:r>
            <w:r>
              <w:rPr>
                <w:b/>
                <w:color w:val="000000"/>
                <w:spacing w:val="-1"/>
                <w:sz w:val="24"/>
                <w:shd w:fill="E7E6E6" w:color="auto" w:val="clear"/>
              </w:rPr>
              <w:t> </w:t>
            </w:r>
            <w:r>
              <w:rPr>
                <w:b/>
                <w:color w:val="000000"/>
                <w:spacing w:val="-2"/>
                <w:sz w:val="24"/>
                <w:shd w:fill="E7E6E6" w:color="auto" w:val="clear"/>
              </w:rPr>
              <w:t>ADMINISTRATION</w:t>
            </w:r>
          </w:p>
        </w:tc>
      </w:tr>
      <w:tr>
        <w:trPr>
          <w:trHeight w:val="376" w:hRule="atLeast"/>
        </w:trPr>
        <w:tc>
          <w:tcPr>
            <w:tcW w:w="1572" w:type="dxa"/>
          </w:tcPr>
          <w:p>
            <w:pPr>
              <w:pStyle w:val="TableParagraph"/>
              <w:spacing w:before="47"/>
              <w:ind w:left="9" w:right="2"/>
              <w:jc w:val="center"/>
              <w:rPr>
                <w:sz w:val="24"/>
              </w:rPr>
            </w:pPr>
            <w:r>
              <w:rPr>
                <w:spacing w:val="-10"/>
                <w:sz w:val="24"/>
              </w:rPr>
              <w:t>1</w:t>
            </w:r>
          </w:p>
        </w:tc>
        <w:tc>
          <w:tcPr>
            <w:tcW w:w="6196" w:type="dxa"/>
          </w:tcPr>
          <w:p>
            <w:pPr>
              <w:pStyle w:val="TableParagraph"/>
              <w:spacing w:before="47"/>
              <w:ind w:left="107"/>
              <w:rPr>
                <w:b/>
                <w:sz w:val="24"/>
              </w:rPr>
            </w:pPr>
            <w:r>
              <w:rPr>
                <w:b/>
                <w:sz w:val="24"/>
              </w:rPr>
              <w:t>Short</w:t>
            </w:r>
            <w:r>
              <w:rPr>
                <w:b/>
                <w:spacing w:val="56"/>
                <w:sz w:val="24"/>
              </w:rPr>
              <w:t> </w:t>
            </w:r>
            <w:r>
              <w:rPr>
                <w:b/>
                <w:sz w:val="24"/>
              </w:rPr>
              <w:t>title,</w:t>
            </w:r>
            <w:r>
              <w:rPr>
                <w:b/>
                <w:spacing w:val="56"/>
                <w:sz w:val="24"/>
              </w:rPr>
              <w:t> </w:t>
            </w:r>
            <w:r>
              <w:rPr>
                <w:b/>
                <w:sz w:val="24"/>
              </w:rPr>
              <w:t>Extent</w:t>
            </w:r>
            <w:r>
              <w:rPr>
                <w:b/>
                <w:spacing w:val="58"/>
                <w:sz w:val="24"/>
              </w:rPr>
              <w:t> </w:t>
            </w:r>
            <w:r>
              <w:rPr>
                <w:b/>
                <w:sz w:val="24"/>
              </w:rPr>
              <w:t>and</w:t>
            </w:r>
            <w:r>
              <w:rPr>
                <w:b/>
                <w:spacing w:val="57"/>
                <w:sz w:val="24"/>
              </w:rPr>
              <w:t> </w:t>
            </w:r>
            <w:r>
              <w:rPr>
                <w:b/>
                <w:spacing w:val="-2"/>
                <w:sz w:val="24"/>
              </w:rPr>
              <w:t>Commencement</w:t>
            </w:r>
          </w:p>
        </w:tc>
        <w:tc>
          <w:tcPr>
            <w:tcW w:w="1001" w:type="dxa"/>
          </w:tcPr>
          <w:p>
            <w:pPr>
              <w:pStyle w:val="TableParagraph"/>
              <w:rPr>
                <w:rFonts w:ascii="Times New Roman"/>
                <w:sz w:val="22"/>
              </w:rPr>
            </w:pP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(I)</w:t>
            </w:r>
            <w:r>
              <w:rPr>
                <w:spacing w:val="78"/>
                <w:sz w:val="24"/>
              </w:rPr>
              <w:t> </w:t>
            </w:r>
            <w:r>
              <w:rPr>
                <w:spacing w:val="-2"/>
                <w:sz w:val="24"/>
              </w:rPr>
              <w:t>Title</w:t>
            </w:r>
          </w:p>
        </w:tc>
        <w:tc>
          <w:tcPr>
            <w:tcW w:w="1001" w:type="dxa"/>
          </w:tcPr>
          <w:p>
            <w:pPr>
              <w:pStyle w:val="TableParagraph"/>
              <w:spacing w:before="47"/>
              <w:ind w:left="6"/>
              <w:jc w:val="center"/>
              <w:rPr>
                <w:sz w:val="24"/>
              </w:rPr>
            </w:pPr>
            <w:r>
              <w:rPr>
                <w:spacing w:val="-10"/>
                <w:sz w:val="24"/>
              </w:rPr>
              <w:t>1</w:t>
            </w:r>
          </w:p>
        </w:tc>
      </w:tr>
      <w:tr>
        <w:trPr>
          <w:trHeight w:val="37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(II)</w:t>
            </w:r>
            <w:r>
              <w:rPr>
                <w:spacing w:val="2"/>
                <w:sz w:val="24"/>
              </w:rPr>
              <w:t> </w:t>
            </w:r>
            <w:r>
              <w:rPr>
                <w:spacing w:val="-2"/>
                <w:sz w:val="24"/>
              </w:rPr>
              <w:t>Jurisdiction</w:t>
            </w:r>
          </w:p>
        </w:tc>
        <w:tc>
          <w:tcPr>
            <w:tcW w:w="1001" w:type="dxa"/>
          </w:tcPr>
          <w:p>
            <w:pPr>
              <w:pStyle w:val="TableParagraph"/>
              <w:spacing w:before="47"/>
              <w:ind w:left="6"/>
              <w:jc w:val="center"/>
              <w:rPr>
                <w:sz w:val="24"/>
              </w:rPr>
            </w:pPr>
            <w:r>
              <w:rPr>
                <w:spacing w:val="-10"/>
                <w:sz w:val="24"/>
              </w:rPr>
              <w:t>1</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(III)</w:t>
            </w:r>
            <w:r>
              <w:rPr>
                <w:spacing w:val="2"/>
                <w:sz w:val="24"/>
              </w:rPr>
              <w:t> </w:t>
            </w:r>
            <w:r>
              <w:rPr>
                <w:spacing w:val="-2"/>
                <w:sz w:val="24"/>
              </w:rPr>
              <w:t>Protection</w:t>
            </w:r>
          </w:p>
        </w:tc>
        <w:tc>
          <w:tcPr>
            <w:tcW w:w="1001" w:type="dxa"/>
          </w:tcPr>
          <w:p>
            <w:pPr>
              <w:pStyle w:val="TableParagraph"/>
              <w:spacing w:before="47"/>
              <w:ind w:left="6"/>
              <w:jc w:val="center"/>
              <w:rPr>
                <w:sz w:val="24"/>
              </w:rPr>
            </w:pPr>
            <w:r>
              <w:rPr>
                <w:spacing w:val="-10"/>
                <w:sz w:val="24"/>
              </w:rPr>
              <w:t>1</w:t>
            </w:r>
          </w:p>
        </w:tc>
      </w:tr>
      <w:tr>
        <w:trPr>
          <w:trHeight w:val="376" w:hRule="atLeast"/>
        </w:trPr>
        <w:tc>
          <w:tcPr>
            <w:tcW w:w="1572" w:type="dxa"/>
          </w:tcPr>
          <w:p>
            <w:pPr>
              <w:pStyle w:val="TableParagraph"/>
              <w:spacing w:before="47"/>
              <w:ind w:left="9" w:right="2"/>
              <w:jc w:val="center"/>
              <w:rPr>
                <w:sz w:val="24"/>
              </w:rPr>
            </w:pPr>
            <w:r>
              <w:rPr>
                <w:spacing w:val="-10"/>
                <w:sz w:val="24"/>
              </w:rPr>
              <w:t>2</w:t>
            </w:r>
          </w:p>
        </w:tc>
        <w:tc>
          <w:tcPr>
            <w:tcW w:w="6196" w:type="dxa"/>
          </w:tcPr>
          <w:p>
            <w:pPr>
              <w:pStyle w:val="TableParagraph"/>
              <w:spacing w:before="47"/>
              <w:ind w:left="107"/>
              <w:rPr>
                <w:b/>
                <w:sz w:val="24"/>
              </w:rPr>
            </w:pPr>
            <w:r>
              <w:rPr>
                <w:b/>
                <w:sz w:val="24"/>
              </w:rPr>
              <w:t>Definitions</w:t>
            </w:r>
            <w:r>
              <w:rPr>
                <w:b/>
                <w:spacing w:val="56"/>
                <w:sz w:val="24"/>
              </w:rPr>
              <w:t> </w:t>
            </w:r>
            <w:r>
              <w:rPr>
                <w:b/>
                <w:sz w:val="24"/>
              </w:rPr>
              <w:t>of</w:t>
            </w:r>
            <w:r>
              <w:rPr>
                <w:b/>
                <w:spacing w:val="60"/>
                <w:sz w:val="24"/>
              </w:rPr>
              <w:t> </w:t>
            </w:r>
            <w:r>
              <w:rPr>
                <w:b/>
                <w:sz w:val="24"/>
              </w:rPr>
              <w:t>Terms</w:t>
            </w:r>
            <w:r>
              <w:rPr>
                <w:b/>
                <w:spacing w:val="58"/>
                <w:sz w:val="24"/>
              </w:rPr>
              <w:t> </w:t>
            </w:r>
            <w:r>
              <w:rPr>
                <w:b/>
                <w:sz w:val="24"/>
              </w:rPr>
              <w:t>and</w:t>
            </w:r>
            <w:r>
              <w:rPr>
                <w:b/>
                <w:spacing w:val="59"/>
                <w:sz w:val="24"/>
              </w:rPr>
              <w:t> </w:t>
            </w:r>
            <w:r>
              <w:rPr>
                <w:b/>
                <w:spacing w:val="7"/>
                <w:sz w:val="24"/>
              </w:rPr>
              <w:t>Expressions</w:t>
            </w:r>
          </w:p>
        </w:tc>
        <w:tc>
          <w:tcPr>
            <w:tcW w:w="1001" w:type="dxa"/>
          </w:tcPr>
          <w:p>
            <w:pPr>
              <w:pStyle w:val="TableParagraph"/>
              <w:rPr>
                <w:rFonts w:ascii="Times New Roman"/>
                <w:sz w:val="22"/>
              </w:rPr>
            </w:pP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(I)</w:t>
            </w:r>
            <w:r>
              <w:rPr>
                <w:spacing w:val="78"/>
                <w:sz w:val="24"/>
              </w:rPr>
              <w:t> </w:t>
            </w:r>
            <w:r>
              <w:rPr>
                <w:spacing w:val="-2"/>
                <w:sz w:val="24"/>
              </w:rPr>
              <w:t>General</w:t>
            </w:r>
          </w:p>
        </w:tc>
        <w:tc>
          <w:tcPr>
            <w:tcW w:w="1001" w:type="dxa"/>
          </w:tcPr>
          <w:p>
            <w:pPr>
              <w:pStyle w:val="TableParagraph"/>
              <w:spacing w:before="47"/>
              <w:ind w:left="6"/>
              <w:jc w:val="center"/>
              <w:rPr>
                <w:sz w:val="24"/>
              </w:rPr>
            </w:pPr>
            <w:r>
              <w:rPr>
                <w:spacing w:val="-10"/>
                <w:sz w:val="24"/>
              </w:rPr>
              <w:t>1</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(II)</w:t>
            </w:r>
            <w:r>
              <w:rPr>
                <w:spacing w:val="75"/>
                <w:w w:val="150"/>
                <w:sz w:val="24"/>
              </w:rPr>
              <w:t> </w:t>
            </w:r>
            <w:r>
              <w:rPr>
                <w:sz w:val="24"/>
              </w:rPr>
              <w:t>Meaning</w:t>
            </w:r>
            <w:r>
              <w:rPr>
                <w:spacing w:val="42"/>
                <w:sz w:val="24"/>
              </w:rPr>
              <w:t> </w:t>
            </w:r>
            <w:r>
              <w:rPr>
                <w:sz w:val="24"/>
              </w:rPr>
              <w:t>as</w:t>
            </w:r>
            <w:r>
              <w:rPr>
                <w:spacing w:val="43"/>
                <w:sz w:val="24"/>
              </w:rPr>
              <w:t> </w:t>
            </w:r>
            <w:r>
              <w:rPr>
                <w:sz w:val="24"/>
              </w:rPr>
              <w:t>in</w:t>
            </w:r>
            <w:r>
              <w:rPr>
                <w:spacing w:val="42"/>
                <w:sz w:val="24"/>
              </w:rPr>
              <w:t> </w:t>
            </w:r>
            <w:r>
              <w:rPr>
                <w:sz w:val="24"/>
              </w:rPr>
              <w:t>the</w:t>
            </w:r>
            <w:r>
              <w:rPr>
                <w:spacing w:val="42"/>
                <w:sz w:val="24"/>
              </w:rPr>
              <w:t> </w:t>
            </w:r>
            <w:r>
              <w:rPr>
                <w:sz w:val="24"/>
              </w:rPr>
              <w:t>Acts,</w:t>
            </w:r>
            <w:r>
              <w:rPr>
                <w:spacing w:val="45"/>
                <w:sz w:val="24"/>
              </w:rPr>
              <w:t> </w:t>
            </w:r>
            <w:r>
              <w:rPr>
                <w:sz w:val="24"/>
              </w:rPr>
              <w:t>Rules,</w:t>
            </w:r>
            <w:r>
              <w:rPr>
                <w:spacing w:val="42"/>
                <w:sz w:val="24"/>
              </w:rPr>
              <w:t> </w:t>
            </w:r>
            <w:r>
              <w:rPr>
                <w:spacing w:val="-4"/>
                <w:sz w:val="24"/>
              </w:rPr>
              <w:t>etc.</w:t>
            </w:r>
          </w:p>
        </w:tc>
        <w:tc>
          <w:tcPr>
            <w:tcW w:w="1001" w:type="dxa"/>
          </w:tcPr>
          <w:p>
            <w:pPr>
              <w:pStyle w:val="TableParagraph"/>
              <w:spacing w:before="47"/>
              <w:ind w:left="6"/>
              <w:jc w:val="center"/>
              <w:rPr>
                <w:sz w:val="24"/>
              </w:rPr>
            </w:pPr>
            <w:r>
              <w:rPr>
                <w:spacing w:val="-10"/>
                <w:sz w:val="24"/>
              </w:rPr>
              <w:t>1</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(III)</w:t>
            </w:r>
            <w:r>
              <w:rPr>
                <w:spacing w:val="15"/>
                <w:sz w:val="24"/>
              </w:rPr>
              <w:t> </w:t>
            </w:r>
            <w:r>
              <w:rPr>
                <w:sz w:val="24"/>
              </w:rPr>
              <w:t>Terms</w:t>
            </w:r>
            <w:r>
              <w:rPr>
                <w:spacing w:val="36"/>
                <w:sz w:val="24"/>
              </w:rPr>
              <w:t> </w:t>
            </w:r>
            <w:r>
              <w:rPr>
                <w:sz w:val="24"/>
              </w:rPr>
              <w:t>and</w:t>
            </w:r>
            <w:r>
              <w:rPr>
                <w:spacing w:val="41"/>
                <w:sz w:val="24"/>
              </w:rPr>
              <w:t> </w:t>
            </w:r>
            <w:r>
              <w:rPr>
                <w:spacing w:val="-2"/>
                <w:sz w:val="24"/>
              </w:rPr>
              <w:t>Expressions</w:t>
            </w:r>
          </w:p>
        </w:tc>
        <w:tc>
          <w:tcPr>
            <w:tcW w:w="1001" w:type="dxa"/>
          </w:tcPr>
          <w:p>
            <w:pPr>
              <w:pStyle w:val="TableParagraph"/>
              <w:spacing w:before="49"/>
              <w:ind w:left="6"/>
              <w:jc w:val="center"/>
              <w:rPr>
                <w:sz w:val="24"/>
              </w:rPr>
            </w:pPr>
            <w:r>
              <w:rPr>
                <w:spacing w:val="-10"/>
                <w:sz w:val="24"/>
              </w:rPr>
              <w:t>1</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(IV)</w:t>
            </w:r>
            <w:r>
              <w:rPr>
                <w:spacing w:val="2"/>
                <w:sz w:val="24"/>
              </w:rPr>
              <w:t> </w:t>
            </w:r>
            <w:r>
              <w:rPr>
                <w:spacing w:val="-2"/>
                <w:sz w:val="24"/>
              </w:rPr>
              <w:t>Definitions</w:t>
            </w:r>
          </w:p>
        </w:tc>
        <w:tc>
          <w:tcPr>
            <w:tcW w:w="1001" w:type="dxa"/>
          </w:tcPr>
          <w:p>
            <w:pPr>
              <w:pStyle w:val="TableParagraph"/>
              <w:spacing w:before="47"/>
              <w:ind w:left="6"/>
              <w:jc w:val="center"/>
              <w:rPr>
                <w:sz w:val="24"/>
              </w:rPr>
            </w:pPr>
            <w:r>
              <w:rPr>
                <w:spacing w:val="-10"/>
                <w:sz w:val="24"/>
              </w:rPr>
              <w:t>1</w:t>
            </w:r>
          </w:p>
        </w:tc>
      </w:tr>
      <w:tr>
        <w:trPr>
          <w:trHeight w:val="378" w:hRule="atLeast"/>
        </w:trPr>
        <w:tc>
          <w:tcPr>
            <w:tcW w:w="1572" w:type="dxa"/>
          </w:tcPr>
          <w:p>
            <w:pPr>
              <w:pStyle w:val="TableParagraph"/>
              <w:spacing w:before="49"/>
              <w:ind w:left="9" w:right="2"/>
              <w:jc w:val="center"/>
              <w:rPr>
                <w:sz w:val="24"/>
              </w:rPr>
            </w:pPr>
            <w:r>
              <w:rPr>
                <w:spacing w:val="-10"/>
                <w:sz w:val="24"/>
              </w:rPr>
              <w:t>3</w:t>
            </w:r>
          </w:p>
        </w:tc>
        <w:tc>
          <w:tcPr>
            <w:tcW w:w="6196" w:type="dxa"/>
          </w:tcPr>
          <w:p>
            <w:pPr>
              <w:pStyle w:val="TableParagraph"/>
              <w:spacing w:before="49"/>
              <w:ind w:left="107"/>
              <w:rPr>
                <w:b/>
                <w:sz w:val="24"/>
              </w:rPr>
            </w:pPr>
            <w:r>
              <w:rPr>
                <w:b/>
                <w:spacing w:val="7"/>
                <w:sz w:val="24"/>
              </w:rPr>
              <w:t>Applicability</w:t>
            </w:r>
          </w:p>
        </w:tc>
        <w:tc>
          <w:tcPr>
            <w:tcW w:w="1001" w:type="dxa"/>
          </w:tcPr>
          <w:p>
            <w:pPr>
              <w:pStyle w:val="TableParagraph"/>
              <w:rPr>
                <w:rFonts w:ascii="Times New Roman"/>
                <w:sz w:val="22"/>
              </w:rPr>
            </w:pP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44"/>
                <w:sz w:val="24"/>
              </w:rPr>
              <w:t> </w:t>
            </w:r>
            <w:r>
              <w:rPr>
                <w:sz w:val="24"/>
              </w:rPr>
              <w:t>Development</w:t>
            </w:r>
            <w:r>
              <w:rPr>
                <w:spacing w:val="58"/>
                <w:sz w:val="24"/>
              </w:rPr>
              <w:t> </w:t>
            </w:r>
            <w:r>
              <w:rPr>
                <w:sz w:val="24"/>
              </w:rPr>
              <w:t>and</w:t>
            </w:r>
            <w:r>
              <w:rPr>
                <w:spacing w:val="59"/>
                <w:sz w:val="24"/>
              </w:rPr>
              <w:t> </w:t>
            </w:r>
            <w:r>
              <w:rPr>
                <w:spacing w:val="7"/>
                <w:sz w:val="24"/>
              </w:rPr>
              <w:t>Construction</w:t>
            </w:r>
          </w:p>
        </w:tc>
        <w:tc>
          <w:tcPr>
            <w:tcW w:w="1001" w:type="dxa"/>
          </w:tcPr>
          <w:p>
            <w:pPr>
              <w:pStyle w:val="TableParagraph"/>
              <w:spacing w:before="47"/>
              <w:ind w:right="341"/>
              <w:jc w:val="right"/>
              <w:rPr>
                <w:sz w:val="24"/>
              </w:rPr>
            </w:pPr>
            <w:r>
              <w:rPr>
                <w:spacing w:val="-5"/>
                <w:sz w:val="24"/>
              </w:rPr>
              <w:t>19</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(2)</w:t>
            </w:r>
            <w:r>
              <w:rPr>
                <w:spacing w:val="21"/>
                <w:sz w:val="24"/>
              </w:rPr>
              <w:t> </w:t>
            </w:r>
            <w:r>
              <w:rPr>
                <w:sz w:val="24"/>
              </w:rPr>
              <w:t>Part</w:t>
            </w:r>
            <w:r>
              <w:rPr>
                <w:spacing w:val="34"/>
                <w:sz w:val="24"/>
              </w:rPr>
              <w:t> </w:t>
            </w:r>
            <w:r>
              <w:rPr>
                <w:spacing w:val="7"/>
                <w:sz w:val="24"/>
              </w:rPr>
              <w:t>Construction</w:t>
            </w:r>
          </w:p>
        </w:tc>
        <w:tc>
          <w:tcPr>
            <w:tcW w:w="1001" w:type="dxa"/>
          </w:tcPr>
          <w:p>
            <w:pPr>
              <w:pStyle w:val="TableParagraph"/>
              <w:spacing w:before="47"/>
              <w:ind w:right="341"/>
              <w:jc w:val="right"/>
              <w:rPr>
                <w:sz w:val="24"/>
              </w:rPr>
            </w:pPr>
            <w:r>
              <w:rPr>
                <w:spacing w:val="-5"/>
                <w:sz w:val="24"/>
              </w:rPr>
              <w:t>19</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25"/>
                <w:sz w:val="24"/>
              </w:rPr>
              <w:t> </w:t>
            </w:r>
            <w:r>
              <w:rPr>
                <w:sz w:val="24"/>
              </w:rPr>
              <w:t>Change</w:t>
            </w:r>
            <w:r>
              <w:rPr>
                <w:spacing w:val="40"/>
                <w:sz w:val="24"/>
              </w:rPr>
              <w:t> </w:t>
            </w:r>
            <w:r>
              <w:rPr>
                <w:sz w:val="24"/>
              </w:rPr>
              <w:t>of</w:t>
            </w:r>
            <w:r>
              <w:rPr>
                <w:spacing w:val="37"/>
                <w:sz w:val="24"/>
              </w:rPr>
              <w:t> </w:t>
            </w:r>
            <w:r>
              <w:rPr>
                <w:spacing w:val="-2"/>
                <w:sz w:val="24"/>
              </w:rPr>
              <w:t>Occupancy</w:t>
            </w:r>
          </w:p>
        </w:tc>
        <w:tc>
          <w:tcPr>
            <w:tcW w:w="1001" w:type="dxa"/>
          </w:tcPr>
          <w:p>
            <w:pPr>
              <w:pStyle w:val="TableParagraph"/>
              <w:spacing w:before="47"/>
              <w:ind w:right="341"/>
              <w:jc w:val="right"/>
              <w:rPr>
                <w:sz w:val="24"/>
              </w:rPr>
            </w:pPr>
            <w:r>
              <w:rPr>
                <w:spacing w:val="-5"/>
                <w:sz w:val="24"/>
              </w:rPr>
              <w:t>19</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(4)</w:t>
            </w:r>
            <w:r>
              <w:rPr>
                <w:spacing w:val="35"/>
                <w:sz w:val="24"/>
              </w:rPr>
              <w:t> </w:t>
            </w:r>
            <w:r>
              <w:rPr>
                <w:spacing w:val="7"/>
                <w:sz w:val="24"/>
              </w:rPr>
              <w:t>Reconstruction</w:t>
            </w:r>
          </w:p>
        </w:tc>
        <w:tc>
          <w:tcPr>
            <w:tcW w:w="1001" w:type="dxa"/>
          </w:tcPr>
          <w:p>
            <w:pPr>
              <w:pStyle w:val="TableParagraph"/>
              <w:spacing w:before="47"/>
              <w:ind w:right="341"/>
              <w:jc w:val="right"/>
              <w:rPr>
                <w:sz w:val="24"/>
              </w:rPr>
            </w:pPr>
            <w:r>
              <w:rPr>
                <w:spacing w:val="-5"/>
                <w:sz w:val="24"/>
              </w:rPr>
              <w:t>19</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(5)</w:t>
            </w:r>
            <w:r>
              <w:rPr>
                <w:spacing w:val="76"/>
                <w:sz w:val="24"/>
              </w:rPr>
              <w:t> </w:t>
            </w:r>
            <w:r>
              <w:rPr>
                <w:spacing w:val="7"/>
                <w:sz w:val="24"/>
              </w:rPr>
              <w:t>Exclusions</w:t>
            </w:r>
          </w:p>
        </w:tc>
        <w:tc>
          <w:tcPr>
            <w:tcW w:w="1001" w:type="dxa"/>
          </w:tcPr>
          <w:p>
            <w:pPr>
              <w:pStyle w:val="TableParagraph"/>
              <w:spacing w:before="47"/>
              <w:ind w:right="341"/>
              <w:jc w:val="right"/>
              <w:rPr>
                <w:sz w:val="24"/>
              </w:rPr>
            </w:pPr>
            <w:r>
              <w:rPr>
                <w:spacing w:val="-5"/>
                <w:sz w:val="24"/>
              </w:rPr>
              <w:t>20</w:t>
            </w:r>
          </w:p>
        </w:tc>
      </w:tr>
      <w:tr>
        <w:trPr>
          <w:trHeight w:val="376" w:hRule="atLeast"/>
        </w:trPr>
        <w:tc>
          <w:tcPr>
            <w:tcW w:w="1572" w:type="dxa"/>
          </w:tcPr>
          <w:p>
            <w:pPr>
              <w:pStyle w:val="TableParagraph"/>
              <w:spacing w:before="47"/>
              <w:ind w:left="9" w:right="2"/>
              <w:jc w:val="center"/>
              <w:rPr>
                <w:sz w:val="24"/>
              </w:rPr>
            </w:pPr>
            <w:r>
              <w:rPr>
                <w:spacing w:val="-10"/>
                <w:sz w:val="24"/>
              </w:rPr>
              <w:t>4</w:t>
            </w:r>
          </w:p>
        </w:tc>
        <w:tc>
          <w:tcPr>
            <w:tcW w:w="6196" w:type="dxa"/>
          </w:tcPr>
          <w:p>
            <w:pPr>
              <w:pStyle w:val="TableParagraph"/>
              <w:spacing w:before="47"/>
              <w:ind w:left="-27"/>
              <w:rPr>
                <w:b/>
                <w:sz w:val="24"/>
              </w:rPr>
            </w:pPr>
            <w:r>
              <w:rPr>
                <w:sz w:val="24"/>
              </w:rPr>
              <w:t>.</w:t>
            </w:r>
            <w:r>
              <w:rPr>
                <w:spacing w:val="-20"/>
                <w:sz w:val="24"/>
              </w:rPr>
              <w:t> </w:t>
            </w:r>
            <w:r>
              <w:rPr>
                <w:b/>
                <w:spacing w:val="-2"/>
                <w:sz w:val="24"/>
              </w:rPr>
              <w:t>Interpretation</w:t>
            </w:r>
          </w:p>
        </w:tc>
        <w:tc>
          <w:tcPr>
            <w:tcW w:w="1001" w:type="dxa"/>
          </w:tcPr>
          <w:p>
            <w:pPr>
              <w:pStyle w:val="TableParagraph"/>
              <w:spacing w:before="47"/>
              <w:ind w:right="341"/>
              <w:jc w:val="right"/>
              <w:rPr>
                <w:sz w:val="24"/>
              </w:rPr>
            </w:pPr>
            <w:r>
              <w:rPr>
                <w:spacing w:val="-5"/>
                <w:sz w:val="24"/>
              </w:rPr>
              <w:t>20</w:t>
            </w:r>
          </w:p>
        </w:tc>
      </w:tr>
      <w:tr>
        <w:trPr>
          <w:trHeight w:val="378" w:hRule="atLeast"/>
        </w:trPr>
        <w:tc>
          <w:tcPr>
            <w:tcW w:w="1572" w:type="dxa"/>
          </w:tcPr>
          <w:p>
            <w:pPr>
              <w:pStyle w:val="TableParagraph"/>
              <w:spacing w:before="47"/>
              <w:ind w:left="9" w:right="2"/>
              <w:jc w:val="center"/>
              <w:rPr>
                <w:sz w:val="24"/>
              </w:rPr>
            </w:pPr>
            <w:r>
              <w:rPr>
                <w:spacing w:val="-10"/>
                <w:sz w:val="24"/>
              </w:rPr>
              <w:t>5</w:t>
            </w:r>
          </w:p>
        </w:tc>
        <w:tc>
          <w:tcPr>
            <w:tcW w:w="6196" w:type="dxa"/>
          </w:tcPr>
          <w:p>
            <w:pPr>
              <w:pStyle w:val="TableParagraph"/>
              <w:spacing w:before="47"/>
              <w:ind w:left="107"/>
              <w:rPr>
                <w:b/>
                <w:sz w:val="24"/>
              </w:rPr>
            </w:pPr>
            <w:r>
              <w:rPr>
                <w:b/>
                <w:sz w:val="24"/>
              </w:rPr>
              <w:t>Delegation</w:t>
            </w:r>
            <w:r>
              <w:rPr>
                <w:b/>
                <w:spacing w:val="64"/>
                <w:sz w:val="24"/>
              </w:rPr>
              <w:t> </w:t>
            </w:r>
            <w:r>
              <w:rPr>
                <w:b/>
                <w:sz w:val="24"/>
              </w:rPr>
              <w:t>of</w:t>
            </w:r>
            <w:r>
              <w:rPr>
                <w:b/>
                <w:spacing w:val="68"/>
                <w:sz w:val="24"/>
              </w:rPr>
              <w:t> </w:t>
            </w:r>
            <w:r>
              <w:rPr>
                <w:b/>
                <w:spacing w:val="7"/>
                <w:sz w:val="24"/>
              </w:rPr>
              <w:t>Powers</w:t>
            </w:r>
          </w:p>
        </w:tc>
        <w:tc>
          <w:tcPr>
            <w:tcW w:w="1001" w:type="dxa"/>
          </w:tcPr>
          <w:p>
            <w:pPr>
              <w:pStyle w:val="TableParagraph"/>
              <w:spacing w:before="47"/>
              <w:ind w:right="341"/>
              <w:jc w:val="right"/>
              <w:rPr>
                <w:sz w:val="24"/>
              </w:rPr>
            </w:pPr>
            <w:r>
              <w:rPr>
                <w:spacing w:val="-5"/>
                <w:sz w:val="24"/>
              </w:rPr>
              <w:t>21</w:t>
            </w:r>
          </w:p>
        </w:tc>
      </w:tr>
      <w:tr>
        <w:trPr>
          <w:trHeight w:val="376" w:hRule="atLeast"/>
        </w:trPr>
        <w:tc>
          <w:tcPr>
            <w:tcW w:w="1572" w:type="dxa"/>
          </w:tcPr>
          <w:p>
            <w:pPr>
              <w:pStyle w:val="TableParagraph"/>
              <w:spacing w:before="47"/>
              <w:ind w:left="9" w:right="2"/>
              <w:jc w:val="center"/>
              <w:rPr>
                <w:sz w:val="24"/>
              </w:rPr>
            </w:pPr>
            <w:r>
              <w:rPr>
                <w:spacing w:val="-10"/>
                <w:sz w:val="24"/>
              </w:rPr>
              <w:t>6</w:t>
            </w:r>
          </w:p>
        </w:tc>
        <w:tc>
          <w:tcPr>
            <w:tcW w:w="6196" w:type="dxa"/>
          </w:tcPr>
          <w:p>
            <w:pPr>
              <w:pStyle w:val="TableParagraph"/>
              <w:spacing w:before="47"/>
              <w:ind w:left="107"/>
              <w:rPr>
                <w:b/>
                <w:sz w:val="24"/>
              </w:rPr>
            </w:pPr>
            <w:r>
              <w:rPr>
                <w:b/>
                <w:spacing w:val="2"/>
                <w:sz w:val="24"/>
              </w:rPr>
              <w:t>Discretionary</w:t>
            </w:r>
            <w:r>
              <w:rPr>
                <w:b/>
                <w:spacing w:val="64"/>
                <w:w w:val="150"/>
                <w:sz w:val="24"/>
              </w:rPr>
              <w:t> </w:t>
            </w:r>
            <w:r>
              <w:rPr>
                <w:b/>
                <w:spacing w:val="7"/>
                <w:sz w:val="24"/>
              </w:rPr>
              <w:t>Powers</w:t>
            </w:r>
          </w:p>
        </w:tc>
        <w:tc>
          <w:tcPr>
            <w:tcW w:w="1001" w:type="dxa"/>
          </w:tcPr>
          <w:p>
            <w:pPr>
              <w:pStyle w:val="TableParagraph"/>
              <w:spacing w:before="47"/>
              <w:ind w:right="341"/>
              <w:jc w:val="right"/>
              <w:rPr>
                <w:sz w:val="24"/>
              </w:rPr>
            </w:pPr>
            <w:r>
              <w:rPr>
                <w:spacing w:val="-5"/>
                <w:sz w:val="24"/>
              </w:rPr>
              <w:t>21</w:t>
            </w:r>
          </w:p>
        </w:tc>
      </w:tr>
      <w:tr>
        <w:trPr>
          <w:trHeight w:val="378" w:hRule="atLeast"/>
        </w:trPr>
        <w:tc>
          <w:tcPr>
            <w:tcW w:w="1572" w:type="dxa"/>
          </w:tcPr>
          <w:p>
            <w:pPr>
              <w:pStyle w:val="TableParagraph"/>
              <w:spacing w:before="49"/>
              <w:ind w:left="9" w:right="2"/>
              <w:jc w:val="center"/>
              <w:rPr>
                <w:sz w:val="24"/>
              </w:rPr>
            </w:pPr>
            <w:r>
              <w:rPr>
                <w:spacing w:val="-10"/>
                <w:sz w:val="24"/>
              </w:rPr>
              <w:t>7</w:t>
            </w:r>
          </w:p>
        </w:tc>
        <w:tc>
          <w:tcPr>
            <w:tcW w:w="6196" w:type="dxa"/>
          </w:tcPr>
          <w:p>
            <w:pPr>
              <w:pStyle w:val="TableParagraph"/>
              <w:spacing w:before="49"/>
              <w:ind w:left="107"/>
              <w:rPr>
                <w:b/>
                <w:sz w:val="24"/>
              </w:rPr>
            </w:pPr>
            <w:r>
              <w:rPr>
                <w:b/>
                <w:sz w:val="24"/>
              </w:rPr>
              <w:t>Power</w:t>
            </w:r>
            <w:r>
              <w:rPr>
                <w:b/>
                <w:spacing w:val="41"/>
                <w:sz w:val="24"/>
              </w:rPr>
              <w:t> </w:t>
            </w:r>
            <w:r>
              <w:rPr>
                <w:b/>
                <w:sz w:val="24"/>
              </w:rPr>
              <w:t>to</w:t>
            </w:r>
            <w:r>
              <w:rPr>
                <w:b/>
                <w:spacing w:val="44"/>
                <w:sz w:val="24"/>
              </w:rPr>
              <w:t> </w:t>
            </w:r>
            <w:r>
              <w:rPr>
                <w:b/>
                <w:spacing w:val="7"/>
                <w:sz w:val="24"/>
              </w:rPr>
              <w:t>Delegate</w:t>
            </w:r>
          </w:p>
        </w:tc>
        <w:tc>
          <w:tcPr>
            <w:tcW w:w="1001" w:type="dxa"/>
          </w:tcPr>
          <w:p>
            <w:pPr>
              <w:pStyle w:val="TableParagraph"/>
              <w:spacing w:before="49"/>
              <w:ind w:right="341"/>
              <w:jc w:val="right"/>
              <w:rPr>
                <w:sz w:val="24"/>
              </w:rPr>
            </w:pPr>
            <w:r>
              <w:rPr>
                <w:spacing w:val="-5"/>
                <w:sz w:val="24"/>
              </w:rPr>
              <w:t>22</w:t>
            </w:r>
          </w:p>
        </w:tc>
      </w:tr>
      <w:tr>
        <w:trPr>
          <w:trHeight w:val="660" w:hRule="atLeast"/>
        </w:trPr>
        <w:tc>
          <w:tcPr>
            <w:tcW w:w="1572" w:type="dxa"/>
          </w:tcPr>
          <w:p>
            <w:pPr>
              <w:pStyle w:val="TableParagraph"/>
              <w:spacing w:before="188"/>
              <w:ind w:left="9" w:right="2"/>
              <w:jc w:val="center"/>
              <w:rPr>
                <w:sz w:val="24"/>
              </w:rPr>
            </w:pPr>
            <w:r>
              <w:rPr>
                <w:spacing w:val="-10"/>
                <w:sz w:val="24"/>
              </w:rPr>
              <w:t>8</w:t>
            </w:r>
          </w:p>
        </w:tc>
        <w:tc>
          <w:tcPr>
            <w:tcW w:w="6196" w:type="dxa"/>
          </w:tcPr>
          <w:p>
            <w:pPr>
              <w:pStyle w:val="TableParagraph"/>
              <w:spacing w:before="47"/>
              <w:ind w:left="107"/>
              <w:rPr>
                <w:b/>
                <w:sz w:val="24"/>
              </w:rPr>
            </w:pPr>
            <w:r>
              <w:rPr>
                <w:b/>
                <w:sz w:val="24"/>
              </w:rPr>
              <w:t>Amendment/Modification to </w:t>
            </w:r>
            <w:r>
              <w:rPr>
                <w:b/>
                <w:spacing w:val="7"/>
                <w:sz w:val="24"/>
              </w:rPr>
              <w:t>Appendices/Annexures</w:t>
            </w:r>
          </w:p>
        </w:tc>
        <w:tc>
          <w:tcPr>
            <w:tcW w:w="1001" w:type="dxa"/>
          </w:tcPr>
          <w:p>
            <w:pPr>
              <w:pStyle w:val="TableParagraph"/>
              <w:spacing w:before="47"/>
              <w:ind w:right="341"/>
              <w:jc w:val="right"/>
              <w:rPr>
                <w:sz w:val="24"/>
              </w:rPr>
            </w:pPr>
            <w:r>
              <w:rPr>
                <w:spacing w:val="-5"/>
                <w:sz w:val="24"/>
              </w:rPr>
              <w:t>22</w:t>
            </w:r>
          </w:p>
        </w:tc>
      </w:tr>
      <w:tr>
        <w:trPr>
          <w:trHeight w:val="376" w:hRule="atLeast"/>
        </w:trPr>
        <w:tc>
          <w:tcPr>
            <w:tcW w:w="8769" w:type="dxa"/>
            <w:gridSpan w:val="3"/>
          </w:tcPr>
          <w:p>
            <w:pPr>
              <w:pStyle w:val="TableParagraph"/>
              <w:spacing w:before="47"/>
              <w:ind w:right="4"/>
              <w:jc w:val="center"/>
              <w:rPr>
                <w:b/>
                <w:sz w:val="24"/>
              </w:rPr>
            </w:pPr>
            <w:r>
              <w:rPr>
                <w:b/>
                <w:color w:val="000000"/>
                <w:sz w:val="24"/>
                <w:shd w:fill="E7E6E6" w:color="auto" w:val="clear"/>
              </w:rPr>
              <w:t>PART</w:t>
            </w:r>
            <w:r>
              <w:rPr>
                <w:b/>
                <w:color w:val="000000"/>
                <w:spacing w:val="21"/>
                <w:sz w:val="24"/>
                <w:shd w:fill="E7E6E6" w:color="auto" w:val="clear"/>
              </w:rPr>
              <w:t> </w:t>
            </w:r>
            <w:r>
              <w:rPr>
                <w:b/>
                <w:color w:val="000000"/>
                <w:sz w:val="24"/>
                <w:shd w:fill="E7E6E6" w:color="auto" w:val="clear"/>
              </w:rPr>
              <w:t>–</w:t>
            </w:r>
            <w:r>
              <w:rPr>
                <w:b/>
                <w:color w:val="000000"/>
                <w:spacing w:val="21"/>
                <w:sz w:val="24"/>
                <w:shd w:fill="E7E6E6" w:color="auto" w:val="clear"/>
              </w:rPr>
              <w:t> </w:t>
            </w:r>
            <w:r>
              <w:rPr>
                <w:b/>
                <w:color w:val="000000"/>
                <w:sz w:val="24"/>
                <w:shd w:fill="E7E6E6" w:color="auto" w:val="clear"/>
              </w:rPr>
              <w:t>II</w:t>
            </w:r>
            <w:r>
              <w:rPr>
                <w:b/>
                <w:color w:val="000000"/>
                <w:spacing w:val="21"/>
                <w:sz w:val="24"/>
                <w:shd w:fill="E7E6E6" w:color="auto" w:val="clear"/>
              </w:rPr>
              <w:t> </w:t>
            </w:r>
            <w:r>
              <w:rPr>
                <w:b/>
                <w:color w:val="000000"/>
                <w:sz w:val="24"/>
                <w:shd w:fill="E7E6E6" w:color="auto" w:val="clear"/>
              </w:rPr>
              <w:t>DEVELOPMENT</w:t>
            </w:r>
            <w:r>
              <w:rPr>
                <w:b/>
                <w:color w:val="000000"/>
                <w:spacing w:val="44"/>
                <w:sz w:val="24"/>
                <w:shd w:fill="E7E6E6" w:color="auto" w:val="clear"/>
              </w:rPr>
              <w:t> </w:t>
            </w:r>
            <w:r>
              <w:rPr>
                <w:b/>
                <w:color w:val="000000"/>
                <w:spacing w:val="-2"/>
                <w:sz w:val="24"/>
                <w:shd w:fill="E7E6E6" w:color="auto" w:val="clear"/>
              </w:rPr>
              <w:t>PERMISSION</w:t>
            </w:r>
          </w:p>
        </w:tc>
      </w:tr>
      <w:tr>
        <w:trPr>
          <w:trHeight w:val="659" w:hRule="atLeast"/>
        </w:trPr>
        <w:tc>
          <w:tcPr>
            <w:tcW w:w="1572" w:type="dxa"/>
          </w:tcPr>
          <w:p>
            <w:pPr>
              <w:pStyle w:val="TableParagraph"/>
              <w:spacing w:before="188"/>
              <w:ind w:left="9" w:right="2"/>
              <w:jc w:val="center"/>
              <w:rPr>
                <w:sz w:val="24"/>
              </w:rPr>
            </w:pPr>
            <w:r>
              <w:rPr>
                <w:spacing w:val="-10"/>
                <w:sz w:val="24"/>
              </w:rPr>
              <w:t>9</w:t>
            </w:r>
          </w:p>
        </w:tc>
        <w:tc>
          <w:tcPr>
            <w:tcW w:w="6196" w:type="dxa"/>
          </w:tcPr>
          <w:p>
            <w:pPr>
              <w:pStyle w:val="TableParagraph"/>
              <w:spacing w:before="49"/>
              <w:ind w:left="107" w:right="456"/>
              <w:rPr>
                <w:b/>
                <w:sz w:val="24"/>
              </w:rPr>
            </w:pPr>
            <w:r>
              <w:rPr>
                <w:b/>
                <w:sz w:val="24"/>
              </w:rPr>
              <w:t>Development Permission and</w:t>
            </w:r>
            <w:r>
              <w:rPr>
                <w:b/>
                <w:spacing w:val="40"/>
                <w:sz w:val="24"/>
              </w:rPr>
              <w:t> </w:t>
            </w:r>
            <w:r>
              <w:rPr>
                <w:b/>
                <w:sz w:val="24"/>
              </w:rPr>
              <w:t>Commencement </w:t>
            </w:r>
            <w:r>
              <w:rPr>
                <w:b/>
                <w:spacing w:val="9"/>
                <w:sz w:val="24"/>
              </w:rPr>
              <w:t>Certificate</w:t>
            </w:r>
          </w:p>
        </w:tc>
        <w:tc>
          <w:tcPr>
            <w:tcW w:w="1001" w:type="dxa"/>
          </w:tcPr>
          <w:p>
            <w:pPr>
              <w:pStyle w:val="TableParagraph"/>
              <w:rPr>
                <w:rFonts w:ascii="Times New Roman"/>
                <w:sz w:val="22"/>
              </w:rPr>
            </w:pP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(1)</w:t>
            </w:r>
            <w:r>
              <w:rPr>
                <w:spacing w:val="63"/>
                <w:sz w:val="24"/>
              </w:rPr>
              <w:t> </w:t>
            </w:r>
            <w:r>
              <w:rPr>
                <w:sz w:val="24"/>
              </w:rPr>
              <w:t>Necessity</w:t>
            </w:r>
            <w:r>
              <w:rPr>
                <w:spacing w:val="65"/>
                <w:sz w:val="24"/>
              </w:rPr>
              <w:t> </w:t>
            </w:r>
            <w:r>
              <w:rPr>
                <w:sz w:val="24"/>
              </w:rPr>
              <w:t>of</w:t>
            </w:r>
            <w:r>
              <w:rPr>
                <w:spacing w:val="62"/>
                <w:sz w:val="24"/>
              </w:rPr>
              <w:t> </w:t>
            </w:r>
            <w:r>
              <w:rPr>
                <w:sz w:val="24"/>
              </w:rPr>
              <w:t>obtaining</w:t>
            </w:r>
            <w:r>
              <w:rPr>
                <w:spacing w:val="62"/>
                <w:sz w:val="24"/>
              </w:rPr>
              <w:t> </w:t>
            </w:r>
            <w:r>
              <w:rPr>
                <w:spacing w:val="-2"/>
                <w:sz w:val="24"/>
              </w:rPr>
              <w:t>Permission</w:t>
            </w:r>
          </w:p>
        </w:tc>
        <w:tc>
          <w:tcPr>
            <w:tcW w:w="1001" w:type="dxa"/>
          </w:tcPr>
          <w:p>
            <w:pPr>
              <w:pStyle w:val="TableParagraph"/>
              <w:spacing w:before="49"/>
              <w:ind w:right="341"/>
              <w:jc w:val="right"/>
              <w:rPr>
                <w:sz w:val="24"/>
              </w:rPr>
            </w:pPr>
            <w:r>
              <w:rPr>
                <w:spacing w:val="-5"/>
                <w:sz w:val="24"/>
              </w:rPr>
              <w:t>23</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472" w:hanging="365"/>
              <w:rPr>
                <w:sz w:val="24"/>
              </w:rPr>
            </w:pPr>
            <w:r>
              <w:rPr>
                <w:sz w:val="24"/>
              </w:rPr>
              <w:t>(2)</w:t>
            </w:r>
            <w:r>
              <w:rPr>
                <w:spacing w:val="40"/>
                <w:sz w:val="24"/>
              </w:rPr>
              <w:t> </w:t>
            </w:r>
            <w:r>
              <w:rPr>
                <w:sz w:val="24"/>
              </w:rPr>
              <w:t>Items</w:t>
            </w:r>
            <w:r>
              <w:rPr>
                <w:spacing w:val="40"/>
                <w:sz w:val="24"/>
              </w:rPr>
              <w:t> </w:t>
            </w:r>
            <w:r>
              <w:rPr>
                <w:sz w:val="24"/>
              </w:rPr>
              <w:t>of</w:t>
            </w:r>
            <w:r>
              <w:rPr>
                <w:spacing w:val="40"/>
                <w:sz w:val="24"/>
              </w:rPr>
              <w:t> </w:t>
            </w:r>
            <w:r>
              <w:rPr>
                <w:sz w:val="24"/>
              </w:rPr>
              <w:t>Operational</w:t>
            </w:r>
            <w:r>
              <w:rPr>
                <w:spacing w:val="40"/>
                <w:sz w:val="24"/>
              </w:rPr>
              <w:t> </w:t>
            </w:r>
            <w:r>
              <w:rPr>
                <w:sz w:val="24"/>
              </w:rPr>
              <w:t>Construction</w:t>
            </w:r>
            <w:r>
              <w:rPr>
                <w:spacing w:val="40"/>
                <w:sz w:val="24"/>
              </w:rPr>
              <w:t> </w:t>
            </w:r>
            <w:r>
              <w:rPr>
                <w:sz w:val="24"/>
              </w:rPr>
              <w:t>by</w:t>
            </w:r>
            <w:r>
              <w:rPr>
                <w:spacing w:val="40"/>
                <w:sz w:val="24"/>
              </w:rPr>
              <w:t> </w:t>
            </w:r>
            <w:r>
              <w:rPr>
                <w:sz w:val="24"/>
              </w:rPr>
              <w:t>some Authorities </w:t>
            </w:r>
            <w:r>
              <w:rPr>
                <w:spacing w:val="9"/>
                <w:sz w:val="24"/>
              </w:rPr>
              <w:t>Excluded</w:t>
            </w:r>
          </w:p>
        </w:tc>
        <w:tc>
          <w:tcPr>
            <w:tcW w:w="1001" w:type="dxa"/>
          </w:tcPr>
          <w:p>
            <w:pPr>
              <w:pStyle w:val="TableParagraph"/>
              <w:spacing w:before="47"/>
              <w:ind w:right="341"/>
              <w:jc w:val="right"/>
              <w:rPr>
                <w:sz w:val="24"/>
              </w:rPr>
            </w:pPr>
            <w:r>
              <w:rPr>
                <w:spacing w:val="-5"/>
                <w:sz w:val="24"/>
              </w:rPr>
              <w:t>23</w:t>
            </w:r>
          </w:p>
        </w:tc>
      </w:tr>
    </w:tbl>
    <w:p>
      <w:pPr>
        <w:pStyle w:val="TableParagraph"/>
        <w:spacing w:after="0"/>
        <w:jc w:val="right"/>
        <w:rPr>
          <w:sz w:val="24"/>
        </w:rPr>
        <w:sectPr>
          <w:headerReference w:type="default" r:id="rId8"/>
          <w:footerReference w:type="default" r:id="rId9"/>
          <w:pgSz w:w="11910" w:h="16840"/>
          <w:pgMar w:header="1048" w:footer="1300" w:top="1480" w:bottom="1480" w:left="360" w:right="360"/>
          <w:pgNumType w:start="1"/>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379" w:hRule="atLeast"/>
        </w:trPr>
        <w:tc>
          <w:tcPr>
            <w:tcW w:w="1572" w:type="dxa"/>
          </w:tcPr>
          <w:p>
            <w:pPr>
              <w:pStyle w:val="TableParagraph"/>
              <w:rPr>
                <w:rFonts w:ascii="Times New Roman"/>
                <w:sz w:val="22"/>
              </w:rPr>
            </w:pPr>
          </w:p>
        </w:tc>
        <w:tc>
          <w:tcPr>
            <w:tcW w:w="6196" w:type="dxa"/>
          </w:tcPr>
          <w:p>
            <w:pPr>
              <w:pStyle w:val="TableParagraph"/>
              <w:spacing w:before="50"/>
              <w:ind w:left="107"/>
              <w:rPr>
                <w:sz w:val="24"/>
              </w:rPr>
            </w:pPr>
            <w:r>
              <w:rPr>
                <w:sz w:val="24"/>
              </w:rPr>
              <w:t>(3)</w:t>
            </w:r>
            <w:r>
              <w:rPr>
                <w:spacing w:val="72"/>
                <w:sz w:val="24"/>
              </w:rPr>
              <w:t> </w:t>
            </w:r>
            <w:r>
              <w:rPr>
                <w:sz w:val="24"/>
              </w:rPr>
              <w:t>Operational</w:t>
            </w:r>
            <w:r>
              <w:rPr>
                <w:spacing w:val="52"/>
                <w:w w:val="150"/>
                <w:sz w:val="24"/>
              </w:rPr>
              <w:t> </w:t>
            </w:r>
            <w:r>
              <w:rPr>
                <w:sz w:val="24"/>
              </w:rPr>
              <w:t>Constructions</w:t>
            </w:r>
            <w:r>
              <w:rPr>
                <w:spacing w:val="52"/>
                <w:w w:val="150"/>
                <w:sz w:val="24"/>
              </w:rPr>
              <w:t> </w:t>
            </w:r>
            <w:r>
              <w:rPr>
                <w:spacing w:val="-2"/>
                <w:sz w:val="24"/>
              </w:rPr>
              <w:t>Excluded</w:t>
            </w:r>
          </w:p>
        </w:tc>
        <w:tc>
          <w:tcPr>
            <w:tcW w:w="1001" w:type="dxa"/>
          </w:tcPr>
          <w:p>
            <w:pPr>
              <w:pStyle w:val="TableParagraph"/>
              <w:spacing w:before="50"/>
              <w:ind w:left="6"/>
              <w:jc w:val="center"/>
              <w:rPr>
                <w:sz w:val="24"/>
              </w:rPr>
            </w:pPr>
            <w:r>
              <w:rPr>
                <w:spacing w:val="-5"/>
                <w:sz w:val="24"/>
              </w:rPr>
              <w:t>23</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(4)</w:t>
            </w:r>
            <w:r>
              <w:rPr>
                <w:spacing w:val="44"/>
                <w:sz w:val="24"/>
              </w:rPr>
              <w:t> </w:t>
            </w:r>
            <w:r>
              <w:rPr>
                <w:sz w:val="24"/>
              </w:rPr>
              <w:t>Exclusion</w:t>
            </w:r>
            <w:r>
              <w:rPr>
                <w:spacing w:val="59"/>
                <w:sz w:val="24"/>
              </w:rPr>
              <w:t> </w:t>
            </w:r>
            <w:r>
              <w:rPr>
                <w:sz w:val="24"/>
              </w:rPr>
              <w:t>from</w:t>
            </w:r>
            <w:r>
              <w:rPr>
                <w:spacing w:val="63"/>
                <w:sz w:val="24"/>
              </w:rPr>
              <w:t> </w:t>
            </w:r>
            <w:r>
              <w:rPr>
                <w:sz w:val="24"/>
              </w:rPr>
              <w:t>requirement</w:t>
            </w:r>
            <w:r>
              <w:rPr>
                <w:spacing w:val="59"/>
                <w:sz w:val="24"/>
              </w:rPr>
              <w:t> </w:t>
            </w:r>
            <w:r>
              <w:rPr>
                <w:sz w:val="24"/>
              </w:rPr>
              <w:t>of</w:t>
            </w:r>
            <w:r>
              <w:rPr>
                <w:spacing w:val="64"/>
                <w:sz w:val="24"/>
              </w:rPr>
              <w:t> </w:t>
            </w:r>
            <w:r>
              <w:rPr>
                <w:spacing w:val="-2"/>
                <w:sz w:val="24"/>
              </w:rPr>
              <w:t>permissions</w:t>
            </w:r>
          </w:p>
        </w:tc>
        <w:tc>
          <w:tcPr>
            <w:tcW w:w="1001" w:type="dxa"/>
          </w:tcPr>
          <w:p>
            <w:pPr>
              <w:pStyle w:val="TableParagraph"/>
              <w:spacing w:before="47"/>
              <w:ind w:left="6"/>
              <w:jc w:val="center"/>
              <w:rPr>
                <w:sz w:val="24"/>
              </w:rPr>
            </w:pPr>
            <w:r>
              <w:rPr>
                <w:spacing w:val="-5"/>
                <w:sz w:val="24"/>
              </w:rPr>
              <w:t>25</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(5)</w:t>
            </w:r>
            <w:r>
              <w:rPr>
                <w:spacing w:val="46"/>
                <w:sz w:val="24"/>
              </w:rPr>
              <w:t> </w:t>
            </w:r>
            <w:r>
              <w:rPr>
                <w:sz w:val="24"/>
              </w:rPr>
              <w:t>Validity</w:t>
            </w:r>
            <w:r>
              <w:rPr>
                <w:spacing w:val="65"/>
                <w:sz w:val="24"/>
              </w:rPr>
              <w:t> </w:t>
            </w:r>
            <w:r>
              <w:rPr>
                <w:sz w:val="24"/>
              </w:rPr>
              <w:t>of</w:t>
            </w:r>
            <w:r>
              <w:rPr>
                <w:spacing w:val="61"/>
                <w:sz w:val="24"/>
              </w:rPr>
              <w:t> </w:t>
            </w:r>
            <w:r>
              <w:rPr>
                <w:sz w:val="24"/>
              </w:rPr>
              <w:t>Development</w:t>
            </w:r>
            <w:r>
              <w:rPr>
                <w:spacing w:val="62"/>
                <w:sz w:val="24"/>
              </w:rPr>
              <w:t> </w:t>
            </w:r>
            <w:r>
              <w:rPr>
                <w:spacing w:val="7"/>
                <w:sz w:val="24"/>
              </w:rPr>
              <w:t>Permission</w:t>
            </w:r>
          </w:p>
        </w:tc>
        <w:tc>
          <w:tcPr>
            <w:tcW w:w="1001" w:type="dxa"/>
          </w:tcPr>
          <w:p>
            <w:pPr>
              <w:pStyle w:val="TableParagraph"/>
              <w:spacing w:before="47"/>
              <w:ind w:left="6"/>
              <w:jc w:val="center"/>
              <w:rPr>
                <w:sz w:val="24"/>
              </w:rPr>
            </w:pPr>
            <w:r>
              <w:rPr>
                <w:spacing w:val="-5"/>
                <w:sz w:val="24"/>
              </w:rPr>
              <w:t>25</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(6)</w:t>
            </w:r>
            <w:r>
              <w:rPr>
                <w:spacing w:val="44"/>
                <w:sz w:val="24"/>
              </w:rPr>
              <w:t> </w:t>
            </w:r>
            <w:r>
              <w:rPr>
                <w:sz w:val="24"/>
              </w:rPr>
              <w:t>Applicability</w:t>
            </w:r>
            <w:r>
              <w:rPr>
                <w:spacing w:val="75"/>
                <w:sz w:val="24"/>
              </w:rPr>
              <w:t> </w:t>
            </w:r>
            <w:r>
              <w:rPr>
                <w:sz w:val="24"/>
              </w:rPr>
              <w:t>to</w:t>
            </w:r>
            <w:r>
              <w:rPr>
                <w:spacing w:val="77"/>
                <w:sz w:val="24"/>
              </w:rPr>
              <w:t> </w:t>
            </w:r>
            <w:r>
              <w:rPr>
                <w:sz w:val="24"/>
              </w:rPr>
              <w:t>Partially</w:t>
            </w:r>
            <w:r>
              <w:rPr>
                <w:spacing w:val="78"/>
                <w:sz w:val="24"/>
              </w:rPr>
              <w:t> </w:t>
            </w:r>
            <w:r>
              <w:rPr>
                <w:sz w:val="24"/>
              </w:rPr>
              <w:t>Completed</w:t>
            </w:r>
            <w:r>
              <w:rPr>
                <w:spacing w:val="75"/>
                <w:sz w:val="24"/>
              </w:rPr>
              <w:t> </w:t>
            </w:r>
            <w:r>
              <w:rPr>
                <w:spacing w:val="-2"/>
                <w:sz w:val="24"/>
              </w:rPr>
              <w:t>Works</w:t>
            </w:r>
          </w:p>
        </w:tc>
        <w:tc>
          <w:tcPr>
            <w:tcW w:w="1001" w:type="dxa"/>
          </w:tcPr>
          <w:p>
            <w:pPr>
              <w:pStyle w:val="TableParagraph"/>
              <w:spacing w:before="47"/>
              <w:ind w:left="6"/>
              <w:jc w:val="center"/>
              <w:rPr>
                <w:sz w:val="24"/>
              </w:rPr>
            </w:pPr>
            <w:r>
              <w:rPr>
                <w:spacing w:val="-5"/>
                <w:sz w:val="24"/>
              </w:rPr>
              <w:t>25</w:t>
            </w:r>
          </w:p>
        </w:tc>
      </w:tr>
      <w:tr>
        <w:trPr>
          <w:trHeight w:val="659" w:hRule="atLeast"/>
        </w:trPr>
        <w:tc>
          <w:tcPr>
            <w:tcW w:w="1572" w:type="dxa"/>
          </w:tcPr>
          <w:p>
            <w:pPr>
              <w:pStyle w:val="TableParagraph"/>
              <w:spacing w:before="188"/>
              <w:ind w:left="9" w:right="2"/>
              <w:jc w:val="center"/>
              <w:rPr>
                <w:sz w:val="24"/>
              </w:rPr>
            </w:pPr>
            <w:r>
              <w:rPr>
                <w:spacing w:val="-5"/>
                <w:sz w:val="24"/>
              </w:rPr>
              <w:t>10</w:t>
            </w:r>
          </w:p>
        </w:tc>
        <w:tc>
          <w:tcPr>
            <w:tcW w:w="6196" w:type="dxa"/>
          </w:tcPr>
          <w:p>
            <w:pPr>
              <w:pStyle w:val="TableParagraph"/>
              <w:spacing w:before="47"/>
              <w:ind w:left="107"/>
              <w:rPr>
                <w:b/>
                <w:sz w:val="24"/>
              </w:rPr>
            </w:pPr>
            <w:r>
              <w:rPr>
                <w:b/>
                <w:sz w:val="24"/>
              </w:rPr>
              <w:t>Procedure for obtaining </w:t>
            </w:r>
            <w:r>
              <w:rPr>
                <w:b/>
                <w:spacing w:val="9"/>
                <w:sz w:val="24"/>
              </w:rPr>
              <w:t>Development </w:t>
            </w:r>
            <w:r>
              <w:rPr>
                <w:b/>
                <w:sz w:val="24"/>
              </w:rPr>
              <w:t>Permission</w:t>
            </w:r>
            <w:r>
              <w:rPr>
                <w:b/>
                <w:spacing w:val="80"/>
                <w:sz w:val="24"/>
              </w:rPr>
              <w:t> </w:t>
            </w:r>
            <w:r>
              <w:rPr>
                <w:b/>
                <w:sz w:val="24"/>
              </w:rPr>
              <w:t>and</w:t>
            </w:r>
            <w:r>
              <w:rPr>
                <w:b/>
                <w:spacing w:val="80"/>
                <w:sz w:val="24"/>
              </w:rPr>
              <w:t> </w:t>
            </w:r>
            <w:r>
              <w:rPr>
                <w:b/>
                <w:sz w:val="24"/>
              </w:rPr>
              <w:t>Commencement</w:t>
            </w:r>
            <w:r>
              <w:rPr>
                <w:b/>
                <w:spacing w:val="80"/>
                <w:sz w:val="24"/>
              </w:rPr>
              <w:t> </w:t>
            </w:r>
            <w:r>
              <w:rPr>
                <w:b/>
                <w:sz w:val="24"/>
              </w:rPr>
              <w:t>Certificate</w:t>
            </w:r>
          </w:p>
        </w:tc>
        <w:tc>
          <w:tcPr>
            <w:tcW w:w="1001" w:type="dxa"/>
          </w:tcPr>
          <w:p>
            <w:pPr>
              <w:pStyle w:val="TableParagraph"/>
              <w:rPr>
                <w:rFonts w:ascii="Times New Roman"/>
                <w:sz w:val="22"/>
              </w:rPr>
            </w:pP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26"/>
                <w:sz w:val="24"/>
              </w:rPr>
              <w:t> </w:t>
            </w:r>
            <w:r>
              <w:rPr>
                <w:sz w:val="24"/>
              </w:rPr>
              <w:t>Notice</w:t>
            </w:r>
            <w:r>
              <w:rPr>
                <w:spacing w:val="38"/>
                <w:sz w:val="24"/>
              </w:rPr>
              <w:t> </w:t>
            </w:r>
            <w:r>
              <w:rPr>
                <w:sz w:val="24"/>
              </w:rPr>
              <w:t>of</w:t>
            </w:r>
            <w:r>
              <w:rPr>
                <w:spacing w:val="39"/>
                <w:sz w:val="24"/>
              </w:rPr>
              <w:t> </w:t>
            </w:r>
            <w:r>
              <w:rPr>
                <w:spacing w:val="7"/>
                <w:sz w:val="24"/>
              </w:rPr>
              <w:t>Intention</w:t>
            </w:r>
          </w:p>
        </w:tc>
        <w:tc>
          <w:tcPr>
            <w:tcW w:w="1001" w:type="dxa"/>
          </w:tcPr>
          <w:p>
            <w:pPr>
              <w:pStyle w:val="TableParagraph"/>
              <w:spacing w:before="47"/>
              <w:ind w:left="6"/>
              <w:jc w:val="center"/>
              <w:rPr>
                <w:sz w:val="24"/>
              </w:rPr>
            </w:pPr>
            <w:r>
              <w:rPr>
                <w:spacing w:val="-5"/>
                <w:sz w:val="24"/>
              </w:rPr>
              <w:t>26</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(2)</w:t>
            </w:r>
            <w:r>
              <w:rPr>
                <w:spacing w:val="29"/>
                <w:sz w:val="24"/>
              </w:rPr>
              <w:t> </w:t>
            </w:r>
            <w:r>
              <w:rPr>
                <w:sz w:val="24"/>
              </w:rPr>
              <w:t>Copies</w:t>
            </w:r>
            <w:r>
              <w:rPr>
                <w:spacing w:val="42"/>
                <w:sz w:val="24"/>
              </w:rPr>
              <w:t> </w:t>
            </w:r>
            <w:r>
              <w:rPr>
                <w:sz w:val="24"/>
              </w:rPr>
              <w:t>of</w:t>
            </w:r>
            <w:r>
              <w:rPr>
                <w:spacing w:val="41"/>
                <w:sz w:val="24"/>
              </w:rPr>
              <w:t> </w:t>
            </w:r>
            <w:r>
              <w:rPr>
                <w:sz w:val="24"/>
              </w:rPr>
              <w:t>Plans</w:t>
            </w:r>
            <w:r>
              <w:rPr>
                <w:spacing w:val="45"/>
                <w:sz w:val="24"/>
              </w:rPr>
              <w:t> </w:t>
            </w:r>
            <w:r>
              <w:rPr>
                <w:sz w:val="24"/>
              </w:rPr>
              <w:t>and</w:t>
            </w:r>
            <w:r>
              <w:rPr>
                <w:spacing w:val="42"/>
                <w:sz w:val="24"/>
              </w:rPr>
              <w:t> </w:t>
            </w:r>
            <w:r>
              <w:rPr>
                <w:spacing w:val="7"/>
                <w:sz w:val="24"/>
              </w:rPr>
              <w:t>Statements</w:t>
            </w:r>
          </w:p>
        </w:tc>
        <w:tc>
          <w:tcPr>
            <w:tcW w:w="1001" w:type="dxa"/>
          </w:tcPr>
          <w:p>
            <w:pPr>
              <w:pStyle w:val="TableParagraph"/>
              <w:spacing w:before="47"/>
              <w:ind w:left="6"/>
              <w:jc w:val="center"/>
              <w:rPr>
                <w:sz w:val="24"/>
              </w:rPr>
            </w:pPr>
            <w:r>
              <w:rPr>
                <w:spacing w:val="-5"/>
                <w:sz w:val="24"/>
              </w:rPr>
              <w:t>26</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70"/>
                <w:sz w:val="24"/>
              </w:rPr>
              <w:t> </w:t>
            </w:r>
            <w:r>
              <w:rPr>
                <w:sz w:val="24"/>
              </w:rPr>
              <w:t>Information</w:t>
            </w:r>
            <w:r>
              <w:rPr>
                <w:spacing w:val="47"/>
                <w:w w:val="150"/>
                <w:sz w:val="24"/>
              </w:rPr>
              <w:t> </w:t>
            </w:r>
            <w:r>
              <w:rPr>
                <w:sz w:val="24"/>
              </w:rPr>
              <w:t>Accompanying</w:t>
            </w:r>
            <w:r>
              <w:rPr>
                <w:spacing w:val="48"/>
                <w:w w:val="150"/>
                <w:sz w:val="24"/>
              </w:rPr>
              <w:t> </w:t>
            </w:r>
            <w:r>
              <w:rPr>
                <w:spacing w:val="-2"/>
                <w:sz w:val="24"/>
              </w:rPr>
              <w:t>Notice</w:t>
            </w:r>
          </w:p>
        </w:tc>
        <w:tc>
          <w:tcPr>
            <w:tcW w:w="1001" w:type="dxa"/>
          </w:tcPr>
          <w:p>
            <w:pPr>
              <w:pStyle w:val="TableParagraph"/>
              <w:spacing w:before="47"/>
              <w:ind w:left="6"/>
              <w:jc w:val="center"/>
              <w:rPr>
                <w:sz w:val="24"/>
              </w:rPr>
            </w:pPr>
            <w:r>
              <w:rPr>
                <w:spacing w:val="-5"/>
                <w:sz w:val="24"/>
              </w:rPr>
              <w:t>28</w:t>
            </w:r>
          </w:p>
        </w:tc>
      </w:tr>
      <w:tr>
        <w:trPr>
          <w:trHeight w:val="660" w:hRule="atLeast"/>
        </w:trPr>
        <w:tc>
          <w:tcPr>
            <w:tcW w:w="1572" w:type="dxa"/>
          </w:tcPr>
          <w:p>
            <w:pPr>
              <w:pStyle w:val="TableParagraph"/>
              <w:rPr>
                <w:rFonts w:ascii="Times New Roman"/>
                <w:sz w:val="22"/>
              </w:rPr>
            </w:pPr>
          </w:p>
        </w:tc>
        <w:tc>
          <w:tcPr>
            <w:tcW w:w="6196" w:type="dxa"/>
          </w:tcPr>
          <w:p>
            <w:pPr>
              <w:pStyle w:val="TableParagraph"/>
              <w:spacing w:before="47"/>
              <w:ind w:left="472" w:hanging="365"/>
              <w:rPr>
                <w:sz w:val="24"/>
              </w:rPr>
            </w:pPr>
            <w:r>
              <w:rPr>
                <w:sz w:val="24"/>
              </w:rPr>
              <w:t>(4) Signing</w:t>
            </w:r>
            <w:r>
              <w:rPr>
                <w:spacing w:val="40"/>
                <w:sz w:val="24"/>
              </w:rPr>
              <w:t> </w:t>
            </w:r>
            <w:r>
              <w:rPr>
                <w:sz w:val="24"/>
              </w:rPr>
              <w:t>of Plans</w:t>
            </w:r>
            <w:r>
              <w:rPr>
                <w:spacing w:val="40"/>
                <w:sz w:val="24"/>
              </w:rPr>
              <w:t> </w:t>
            </w:r>
            <w:r>
              <w:rPr>
                <w:sz w:val="24"/>
              </w:rPr>
              <w:t>by Owners and</w:t>
            </w:r>
            <w:r>
              <w:rPr>
                <w:spacing w:val="9"/>
                <w:sz w:val="24"/>
              </w:rPr>
              <w:t> Licensed </w:t>
            </w:r>
            <w:r>
              <w:rPr>
                <w:spacing w:val="-2"/>
                <w:sz w:val="24"/>
              </w:rPr>
              <w:t>Personnel/Architect</w:t>
            </w:r>
          </w:p>
        </w:tc>
        <w:tc>
          <w:tcPr>
            <w:tcW w:w="1001" w:type="dxa"/>
          </w:tcPr>
          <w:p>
            <w:pPr>
              <w:pStyle w:val="TableParagraph"/>
              <w:spacing w:before="47"/>
              <w:ind w:left="6"/>
              <w:jc w:val="center"/>
              <w:rPr>
                <w:sz w:val="24"/>
              </w:rPr>
            </w:pPr>
            <w:r>
              <w:rPr>
                <w:spacing w:val="-5"/>
                <w:sz w:val="24"/>
              </w:rPr>
              <w:t>35</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503" w:right="116" w:hanging="396"/>
              <w:rPr>
                <w:sz w:val="24"/>
              </w:rPr>
            </w:pPr>
            <w:r>
              <w:rPr>
                <w:sz w:val="24"/>
              </w:rPr>
              <w:t>(5)</w:t>
            </w:r>
            <w:r>
              <w:rPr>
                <w:spacing w:val="40"/>
                <w:sz w:val="24"/>
              </w:rPr>
              <w:t> </w:t>
            </w:r>
            <w:r>
              <w:rPr>
                <w:sz w:val="24"/>
              </w:rPr>
              <w:t>Processing</w:t>
            </w:r>
            <w:r>
              <w:rPr>
                <w:spacing w:val="40"/>
                <w:sz w:val="24"/>
              </w:rPr>
              <w:t> </w:t>
            </w:r>
            <w:r>
              <w:rPr>
                <w:sz w:val="24"/>
              </w:rPr>
              <w:t>of</w:t>
            </w:r>
            <w:r>
              <w:rPr>
                <w:spacing w:val="40"/>
                <w:sz w:val="24"/>
              </w:rPr>
              <w:t> </w:t>
            </w:r>
            <w:r>
              <w:rPr>
                <w:sz w:val="24"/>
              </w:rPr>
              <w:t>the</w:t>
            </w:r>
            <w:r>
              <w:rPr>
                <w:spacing w:val="40"/>
                <w:sz w:val="24"/>
              </w:rPr>
              <w:t> </w:t>
            </w:r>
            <w:r>
              <w:rPr>
                <w:sz w:val="24"/>
              </w:rPr>
              <w:t>Development</w:t>
            </w:r>
            <w:r>
              <w:rPr>
                <w:spacing w:val="40"/>
                <w:sz w:val="24"/>
              </w:rPr>
              <w:t> </w:t>
            </w:r>
            <w:r>
              <w:rPr>
                <w:sz w:val="24"/>
              </w:rPr>
              <w:t>Permission </w:t>
            </w:r>
            <w:r>
              <w:rPr>
                <w:spacing w:val="7"/>
                <w:sz w:val="24"/>
              </w:rPr>
              <w:t>Application</w:t>
            </w:r>
          </w:p>
        </w:tc>
        <w:tc>
          <w:tcPr>
            <w:tcW w:w="1001" w:type="dxa"/>
          </w:tcPr>
          <w:p>
            <w:pPr>
              <w:pStyle w:val="TableParagraph"/>
              <w:spacing w:before="47"/>
              <w:ind w:left="6"/>
              <w:jc w:val="center"/>
              <w:rPr>
                <w:sz w:val="24"/>
              </w:rPr>
            </w:pPr>
            <w:r>
              <w:rPr>
                <w:spacing w:val="-5"/>
                <w:sz w:val="24"/>
              </w:rPr>
              <w:t>35</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(6)</w:t>
            </w:r>
            <w:r>
              <w:rPr>
                <w:spacing w:val="42"/>
                <w:sz w:val="24"/>
              </w:rPr>
              <w:t> </w:t>
            </w:r>
            <w:r>
              <w:rPr>
                <w:sz w:val="24"/>
              </w:rPr>
              <w:t>Commencement</w:t>
            </w:r>
            <w:r>
              <w:rPr>
                <w:spacing w:val="60"/>
                <w:sz w:val="24"/>
              </w:rPr>
              <w:t> </w:t>
            </w:r>
            <w:r>
              <w:rPr>
                <w:sz w:val="24"/>
              </w:rPr>
              <w:t>of</w:t>
            </w:r>
            <w:r>
              <w:rPr>
                <w:spacing w:val="56"/>
                <w:sz w:val="24"/>
              </w:rPr>
              <w:t> </w:t>
            </w:r>
            <w:r>
              <w:rPr>
                <w:spacing w:val="-4"/>
                <w:sz w:val="24"/>
              </w:rPr>
              <w:t>Work</w:t>
            </w:r>
          </w:p>
        </w:tc>
        <w:tc>
          <w:tcPr>
            <w:tcW w:w="1001" w:type="dxa"/>
          </w:tcPr>
          <w:p>
            <w:pPr>
              <w:pStyle w:val="TableParagraph"/>
              <w:spacing w:before="47"/>
              <w:ind w:left="6"/>
              <w:jc w:val="center"/>
              <w:rPr>
                <w:sz w:val="24"/>
              </w:rPr>
            </w:pPr>
            <w:r>
              <w:rPr>
                <w:spacing w:val="-5"/>
                <w:sz w:val="24"/>
              </w:rPr>
              <w:t>36</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414" w:hanging="308"/>
              <w:rPr>
                <w:sz w:val="24"/>
              </w:rPr>
            </w:pPr>
            <w:r>
              <w:rPr>
                <w:sz w:val="24"/>
              </w:rPr>
              <w:t>(7) Payments</w:t>
            </w:r>
            <w:r>
              <w:rPr>
                <w:spacing w:val="40"/>
                <w:sz w:val="24"/>
              </w:rPr>
              <w:t> </w:t>
            </w:r>
            <w:r>
              <w:rPr>
                <w:sz w:val="24"/>
              </w:rPr>
              <w:t>of</w:t>
            </w:r>
            <w:r>
              <w:rPr>
                <w:spacing w:val="40"/>
                <w:sz w:val="24"/>
              </w:rPr>
              <w:t> </w:t>
            </w:r>
            <w:r>
              <w:rPr>
                <w:sz w:val="24"/>
              </w:rPr>
              <w:t>the</w:t>
            </w:r>
            <w:r>
              <w:rPr>
                <w:spacing w:val="40"/>
                <w:sz w:val="24"/>
              </w:rPr>
              <w:t> </w:t>
            </w:r>
            <w:r>
              <w:rPr>
                <w:sz w:val="24"/>
              </w:rPr>
              <w:t>Development</w:t>
            </w:r>
            <w:r>
              <w:rPr>
                <w:spacing w:val="40"/>
                <w:sz w:val="24"/>
              </w:rPr>
              <w:t> </w:t>
            </w:r>
            <w:r>
              <w:rPr>
                <w:sz w:val="24"/>
              </w:rPr>
              <w:t>Charges/ Premium/ Development </w:t>
            </w:r>
            <w:r>
              <w:rPr>
                <w:spacing w:val="9"/>
                <w:sz w:val="24"/>
              </w:rPr>
              <w:t>Cess/Off-</w:t>
            </w:r>
            <w:r>
              <w:rPr>
                <w:sz w:val="24"/>
              </w:rPr>
              <w:t>Site infrastructure</w:t>
            </w:r>
            <w:r>
              <w:rPr>
                <w:spacing w:val="78"/>
                <w:sz w:val="24"/>
              </w:rPr>
              <w:t> </w:t>
            </w:r>
            <w:r>
              <w:rPr>
                <w:sz w:val="24"/>
              </w:rPr>
              <w:t>Charges/Fees</w:t>
            </w:r>
          </w:p>
        </w:tc>
        <w:tc>
          <w:tcPr>
            <w:tcW w:w="1001" w:type="dxa"/>
          </w:tcPr>
          <w:p>
            <w:pPr>
              <w:pStyle w:val="TableParagraph"/>
              <w:spacing w:before="47"/>
              <w:ind w:left="6"/>
              <w:jc w:val="center"/>
              <w:rPr>
                <w:sz w:val="24"/>
              </w:rPr>
            </w:pPr>
            <w:r>
              <w:rPr>
                <w:spacing w:val="-5"/>
                <w:sz w:val="24"/>
              </w:rPr>
              <w:t>36</w:t>
            </w:r>
          </w:p>
        </w:tc>
      </w:tr>
      <w:tr>
        <w:trPr>
          <w:trHeight w:val="378" w:hRule="atLeast"/>
        </w:trPr>
        <w:tc>
          <w:tcPr>
            <w:tcW w:w="1572" w:type="dxa"/>
          </w:tcPr>
          <w:p>
            <w:pPr>
              <w:pStyle w:val="TableParagraph"/>
              <w:spacing w:before="47"/>
              <w:ind w:left="9" w:right="2"/>
              <w:jc w:val="center"/>
              <w:rPr>
                <w:sz w:val="24"/>
              </w:rPr>
            </w:pPr>
            <w:r>
              <w:rPr>
                <w:spacing w:val="-5"/>
                <w:sz w:val="24"/>
              </w:rPr>
              <w:t>11.</w:t>
            </w:r>
          </w:p>
        </w:tc>
        <w:tc>
          <w:tcPr>
            <w:tcW w:w="6196" w:type="dxa"/>
          </w:tcPr>
          <w:p>
            <w:pPr>
              <w:pStyle w:val="TableParagraph"/>
              <w:spacing w:before="47"/>
              <w:ind w:left="107"/>
              <w:rPr>
                <w:b/>
                <w:sz w:val="24"/>
              </w:rPr>
            </w:pPr>
            <w:r>
              <w:rPr>
                <w:b/>
                <w:sz w:val="24"/>
              </w:rPr>
              <w:t>Procedure</w:t>
            </w:r>
            <w:r>
              <w:rPr>
                <w:b/>
                <w:spacing w:val="78"/>
                <w:sz w:val="24"/>
              </w:rPr>
              <w:t> </w:t>
            </w:r>
            <w:r>
              <w:rPr>
                <w:b/>
                <w:sz w:val="24"/>
              </w:rPr>
              <w:t>During</w:t>
            </w:r>
            <w:r>
              <w:rPr>
                <w:b/>
                <w:spacing w:val="42"/>
                <w:w w:val="150"/>
                <w:sz w:val="24"/>
              </w:rPr>
              <w:t> </w:t>
            </w:r>
            <w:r>
              <w:rPr>
                <w:b/>
                <w:spacing w:val="7"/>
                <w:sz w:val="24"/>
              </w:rPr>
              <w:t>Construction</w:t>
            </w:r>
          </w:p>
        </w:tc>
        <w:tc>
          <w:tcPr>
            <w:tcW w:w="1001" w:type="dxa"/>
          </w:tcPr>
          <w:p>
            <w:pPr>
              <w:pStyle w:val="TableParagraph"/>
              <w:rPr>
                <w:rFonts w:ascii="Times New Roman"/>
                <w:sz w:val="22"/>
              </w:rPr>
            </w:pPr>
          </w:p>
        </w:tc>
      </w:tr>
      <w:tr>
        <w:trPr>
          <w:trHeight w:val="6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 Construction</w:t>
            </w:r>
            <w:r>
              <w:rPr>
                <w:spacing w:val="40"/>
                <w:sz w:val="24"/>
              </w:rPr>
              <w:t> </w:t>
            </w:r>
            <w:r>
              <w:rPr>
                <w:sz w:val="24"/>
              </w:rPr>
              <w:t>to</w:t>
            </w:r>
            <w:r>
              <w:rPr>
                <w:spacing w:val="40"/>
                <w:sz w:val="24"/>
              </w:rPr>
              <w:t> </w:t>
            </w:r>
            <w:r>
              <w:rPr>
                <w:sz w:val="24"/>
              </w:rPr>
              <w:t>be</w:t>
            </w:r>
            <w:r>
              <w:rPr>
                <w:spacing w:val="40"/>
                <w:sz w:val="24"/>
              </w:rPr>
              <w:t> </w:t>
            </w:r>
            <w:r>
              <w:rPr>
                <w:sz w:val="24"/>
              </w:rPr>
              <w:t>in</w:t>
            </w:r>
            <w:r>
              <w:rPr>
                <w:spacing w:val="40"/>
                <w:sz w:val="24"/>
              </w:rPr>
              <w:t> </w:t>
            </w:r>
            <w:r>
              <w:rPr>
                <w:sz w:val="24"/>
              </w:rPr>
              <w:t>Conformity</w:t>
            </w:r>
            <w:r>
              <w:rPr>
                <w:spacing w:val="40"/>
                <w:sz w:val="24"/>
              </w:rPr>
              <w:t> </w:t>
            </w:r>
            <w:r>
              <w:rPr>
                <w:sz w:val="24"/>
              </w:rPr>
              <w:t>with </w:t>
            </w:r>
            <w:r>
              <w:rPr>
                <w:spacing w:val="7"/>
                <w:sz w:val="24"/>
              </w:rPr>
              <w:t>Regulations</w:t>
            </w:r>
          </w:p>
        </w:tc>
        <w:tc>
          <w:tcPr>
            <w:tcW w:w="1001" w:type="dxa"/>
          </w:tcPr>
          <w:p>
            <w:pPr>
              <w:pStyle w:val="TableParagraph"/>
              <w:spacing w:before="47"/>
              <w:ind w:left="6"/>
              <w:jc w:val="center"/>
              <w:rPr>
                <w:sz w:val="24"/>
              </w:rPr>
            </w:pPr>
            <w:r>
              <w:rPr>
                <w:spacing w:val="-5"/>
                <w:sz w:val="24"/>
              </w:rPr>
              <w:t>37</w:t>
            </w:r>
          </w:p>
        </w:tc>
      </w:tr>
      <w:tr>
        <w:trPr>
          <w:trHeight w:val="379" w:hRule="atLeast"/>
        </w:trPr>
        <w:tc>
          <w:tcPr>
            <w:tcW w:w="1572" w:type="dxa"/>
          </w:tcPr>
          <w:p>
            <w:pPr>
              <w:pStyle w:val="TableParagraph"/>
              <w:rPr>
                <w:rFonts w:ascii="Times New Roman"/>
                <w:sz w:val="22"/>
              </w:rPr>
            </w:pPr>
          </w:p>
        </w:tc>
        <w:tc>
          <w:tcPr>
            <w:tcW w:w="6196" w:type="dxa"/>
          </w:tcPr>
          <w:p>
            <w:pPr>
              <w:pStyle w:val="TableParagraph"/>
              <w:spacing w:before="50"/>
              <w:ind w:left="107"/>
              <w:rPr>
                <w:sz w:val="24"/>
              </w:rPr>
            </w:pPr>
            <w:r>
              <w:rPr>
                <w:sz w:val="24"/>
              </w:rPr>
              <w:t>(2)</w:t>
            </w:r>
            <w:r>
              <w:rPr>
                <w:spacing w:val="28"/>
                <w:sz w:val="24"/>
              </w:rPr>
              <w:t> </w:t>
            </w:r>
            <w:r>
              <w:rPr>
                <w:sz w:val="24"/>
              </w:rPr>
              <w:t>Notice</w:t>
            </w:r>
            <w:r>
              <w:rPr>
                <w:spacing w:val="40"/>
                <w:sz w:val="24"/>
              </w:rPr>
              <w:t> </w:t>
            </w:r>
            <w:r>
              <w:rPr>
                <w:sz w:val="24"/>
              </w:rPr>
              <w:t>to</w:t>
            </w:r>
            <w:r>
              <w:rPr>
                <w:spacing w:val="41"/>
                <w:sz w:val="24"/>
              </w:rPr>
              <w:t> </w:t>
            </w:r>
            <w:r>
              <w:rPr>
                <w:sz w:val="24"/>
              </w:rPr>
              <w:t>Start</w:t>
            </w:r>
            <w:r>
              <w:rPr>
                <w:spacing w:val="40"/>
                <w:sz w:val="24"/>
              </w:rPr>
              <w:t> </w:t>
            </w:r>
            <w:r>
              <w:rPr>
                <w:sz w:val="24"/>
              </w:rPr>
              <w:t>of</w:t>
            </w:r>
            <w:r>
              <w:rPr>
                <w:spacing w:val="41"/>
                <w:sz w:val="24"/>
              </w:rPr>
              <w:t> </w:t>
            </w:r>
            <w:r>
              <w:rPr>
                <w:spacing w:val="-4"/>
                <w:sz w:val="24"/>
              </w:rPr>
              <w:t>Work</w:t>
            </w:r>
          </w:p>
        </w:tc>
        <w:tc>
          <w:tcPr>
            <w:tcW w:w="1001" w:type="dxa"/>
          </w:tcPr>
          <w:p>
            <w:pPr>
              <w:pStyle w:val="TableParagraph"/>
              <w:spacing w:before="50"/>
              <w:ind w:left="6"/>
              <w:jc w:val="center"/>
              <w:rPr>
                <w:sz w:val="24"/>
              </w:rPr>
            </w:pPr>
            <w:r>
              <w:rPr>
                <w:spacing w:val="-5"/>
                <w:sz w:val="24"/>
              </w:rPr>
              <w:t>37</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34"/>
                <w:sz w:val="24"/>
              </w:rPr>
              <w:t> </w:t>
            </w:r>
            <w:r>
              <w:rPr>
                <w:sz w:val="24"/>
              </w:rPr>
              <w:t>Documents</w:t>
            </w:r>
            <w:r>
              <w:rPr>
                <w:spacing w:val="46"/>
                <w:sz w:val="24"/>
              </w:rPr>
              <w:t> </w:t>
            </w:r>
            <w:r>
              <w:rPr>
                <w:sz w:val="24"/>
              </w:rPr>
              <w:t>at</w:t>
            </w:r>
            <w:r>
              <w:rPr>
                <w:spacing w:val="51"/>
                <w:sz w:val="24"/>
              </w:rPr>
              <w:t> </w:t>
            </w:r>
            <w:r>
              <w:rPr>
                <w:spacing w:val="-4"/>
                <w:sz w:val="24"/>
              </w:rPr>
              <w:t>Site</w:t>
            </w:r>
          </w:p>
        </w:tc>
        <w:tc>
          <w:tcPr>
            <w:tcW w:w="1001" w:type="dxa"/>
          </w:tcPr>
          <w:p>
            <w:pPr>
              <w:pStyle w:val="TableParagraph"/>
              <w:spacing w:before="47"/>
              <w:ind w:left="6"/>
              <w:jc w:val="center"/>
              <w:rPr>
                <w:sz w:val="24"/>
              </w:rPr>
            </w:pPr>
            <w:r>
              <w:rPr>
                <w:spacing w:val="-5"/>
                <w:sz w:val="24"/>
              </w:rPr>
              <w:t>37</w:t>
            </w:r>
          </w:p>
        </w:tc>
      </w:tr>
      <w:tr>
        <w:trPr>
          <w:trHeight w:val="657" w:hRule="atLeast"/>
        </w:trPr>
        <w:tc>
          <w:tcPr>
            <w:tcW w:w="1572" w:type="dxa"/>
          </w:tcPr>
          <w:p>
            <w:pPr>
              <w:pStyle w:val="TableParagraph"/>
              <w:rPr>
                <w:rFonts w:ascii="Times New Roman"/>
                <w:sz w:val="22"/>
              </w:rPr>
            </w:pPr>
          </w:p>
        </w:tc>
        <w:tc>
          <w:tcPr>
            <w:tcW w:w="6196" w:type="dxa"/>
          </w:tcPr>
          <w:p>
            <w:pPr>
              <w:pStyle w:val="TableParagraph"/>
              <w:spacing w:before="47"/>
              <w:ind w:left="107" w:right="456"/>
              <w:rPr>
                <w:sz w:val="24"/>
              </w:rPr>
            </w:pPr>
            <w:r>
              <w:rPr>
                <w:sz w:val="24"/>
              </w:rPr>
              <w:t>(4) Checking</w:t>
            </w:r>
            <w:r>
              <w:rPr>
                <w:spacing w:val="40"/>
                <w:sz w:val="24"/>
              </w:rPr>
              <w:t> </w:t>
            </w:r>
            <w:r>
              <w:rPr>
                <w:sz w:val="24"/>
              </w:rPr>
              <w:t>of</w:t>
            </w:r>
            <w:r>
              <w:rPr>
                <w:spacing w:val="40"/>
                <w:sz w:val="24"/>
              </w:rPr>
              <w:t> </w:t>
            </w:r>
            <w:r>
              <w:rPr>
                <w:sz w:val="24"/>
              </w:rPr>
              <w:t>Plinth</w:t>
            </w:r>
            <w:r>
              <w:rPr>
                <w:spacing w:val="40"/>
                <w:sz w:val="24"/>
              </w:rPr>
              <w:t> </w:t>
            </w:r>
            <w:r>
              <w:rPr>
                <w:sz w:val="24"/>
              </w:rPr>
              <w:t>Columns</w:t>
            </w:r>
            <w:r>
              <w:rPr>
                <w:spacing w:val="40"/>
                <w:sz w:val="24"/>
              </w:rPr>
              <w:t> </w:t>
            </w:r>
            <w:r>
              <w:rPr>
                <w:sz w:val="24"/>
              </w:rPr>
              <w:t>up</w:t>
            </w:r>
            <w:r>
              <w:rPr>
                <w:spacing w:val="40"/>
                <w:sz w:val="24"/>
              </w:rPr>
              <w:t> </w:t>
            </w:r>
            <w:r>
              <w:rPr>
                <w:sz w:val="24"/>
              </w:rPr>
              <w:t>to</w:t>
            </w:r>
            <w:r>
              <w:rPr>
                <w:spacing w:val="40"/>
                <w:sz w:val="24"/>
              </w:rPr>
              <w:t> </w:t>
            </w:r>
            <w:r>
              <w:rPr>
                <w:sz w:val="24"/>
              </w:rPr>
              <w:t>Plinth </w:t>
            </w:r>
            <w:r>
              <w:rPr>
                <w:spacing w:val="-2"/>
                <w:sz w:val="24"/>
              </w:rPr>
              <w:t>Level</w:t>
            </w:r>
          </w:p>
        </w:tc>
        <w:tc>
          <w:tcPr>
            <w:tcW w:w="1001" w:type="dxa"/>
          </w:tcPr>
          <w:p>
            <w:pPr>
              <w:pStyle w:val="TableParagraph"/>
              <w:spacing w:before="47"/>
              <w:ind w:left="6"/>
              <w:jc w:val="center"/>
              <w:rPr>
                <w:sz w:val="24"/>
              </w:rPr>
            </w:pPr>
            <w:r>
              <w:rPr>
                <w:spacing w:val="-5"/>
                <w:sz w:val="24"/>
              </w:rPr>
              <w:t>37</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(5)</w:t>
            </w:r>
            <w:r>
              <w:rPr>
                <w:spacing w:val="47"/>
                <w:sz w:val="24"/>
              </w:rPr>
              <w:t> </w:t>
            </w:r>
            <w:r>
              <w:rPr>
                <w:sz w:val="24"/>
              </w:rPr>
              <w:t>Deviation</w:t>
            </w:r>
            <w:r>
              <w:rPr>
                <w:spacing w:val="61"/>
                <w:sz w:val="24"/>
              </w:rPr>
              <w:t> </w:t>
            </w:r>
            <w:r>
              <w:rPr>
                <w:sz w:val="24"/>
              </w:rPr>
              <w:t>During</w:t>
            </w:r>
            <w:r>
              <w:rPr>
                <w:spacing w:val="62"/>
                <w:sz w:val="24"/>
              </w:rPr>
              <w:t> </w:t>
            </w:r>
            <w:r>
              <w:rPr>
                <w:spacing w:val="-2"/>
                <w:sz w:val="24"/>
              </w:rPr>
              <w:t>Constructions</w:t>
            </w:r>
          </w:p>
        </w:tc>
        <w:tc>
          <w:tcPr>
            <w:tcW w:w="1001" w:type="dxa"/>
          </w:tcPr>
          <w:p>
            <w:pPr>
              <w:pStyle w:val="TableParagraph"/>
              <w:spacing w:before="49"/>
              <w:ind w:left="6"/>
              <w:jc w:val="center"/>
              <w:rPr>
                <w:sz w:val="24"/>
              </w:rPr>
            </w:pPr>
            <w:r>
              <w:rPr>
                <w:spacing w:val="-5"/>
                <w:sz w:val="24"/>
              </w:rPr>
              <w:t>38</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(6)</w:t>
            </w:r>
            <w:r>
              <w:rPr>
                <w:spacing w:val="48"/>
                <w:sz w:val="24"/>
              </w:rPr>
              <w:t> </w:t>
            </w:r>
            <w:r>
              <w:rPr>
                <w:sz w:val="24"/>
              </w:rPr>
              <w:t>Completion</w:t>
            </w:r>
            <w:r>
              <w:rPr>
                <w:spacing w:val="63"/>
                <w:sz w:val="24"/>
              </w:rPr>
              <w:t> </w:t>
            </w:r>
            <w:r>
              <w:rPr>
                <w:spacing w:val="7"/>
                <w:sz w:val="24"/>
              </w:rPr>
              <w:t>Certificate</w:t>
            </w:r>
          </w:p>
        </w:tc>
        <w:tc>
          <w:tcPr>
            <w:tcW w:w="1001" w:type="dxa"/>
          </w:tcPr>
          <w:p>
            <w:pPr>
              <w:pStyle w:val="TableParagraph"/>
              <w:spacing w:before="47"/>
              <w:ind w:left="6"/>
              <w:jc w:val="center"/>
              <w:rPr>
                <w:sz w:val="24"/>
              </w:rPr>
            </w:pPr>
            <w:r>
              <w:rPr>
                <w:spacing w:val="-5"/>
                <w:sz w:val="24"/>
              </w:rPr>
              <w:t>38</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(7)</w:t>
            </w:r>
            <w:r>
              <w:rPr>
                <w:spacing w:val="44"/>
                <w:sz w:val="24"/>
              </w:rPr>
              <w:t> </w:t>
            </w:r>
            <w:r>
              <w:rPr>
                <w:sz w:val="24"/>
              </w:rPr>
              <w:t>Occupancy</w:t>
            </w:r>
            <w:r>
              <w:rPr>
                <w:spacing w:val="57"/>
                <w:sz w:val="24"/>
              </w:rPr>
              <w:t> </w:t>
            </w:r>
            <w:r>
              <w:rPr>
                <w:spacing w:val="-2"/>
                <w:sz w:val="24"/>
              </w:rPr>
              <w:t>Certificate</w:t>
            </w:r>
          </w:p>
        </w:tc>
        <w:tc>
          <w:tcPr>
            <w:tcW w:w="1001" w:type="dxa"/>
          </w:tcPr>
          <w:p>
            <w:pPr>
              <w:pStyle w:val="TableParagraph"/>
              <w:spacing w:before="47"/>
              <w:ind w:left="6"/>
              <w:jc w:val="center"/>
              <w:rPr>
                <w:sz w:val="24"/>
              </w:rPr>
            </w:pPr>
            <w:r>
              <w:rPr>
                <w:spacing w:val="-5"/>
                <w:sz w:val="24"/>
              </w:rPr>
              <w:t>38</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(8) Part Occupancy</w:t>
            </w:r>
            <w:r>
              <w:rPr>
                <w:spacing w:val="40"/>
                <w:sz w:val="24"/>
              </w:rPr>
              <w:t> </w:t>
            </w:r>
            <w:r>
              <w:rPr>
                <w:sz w:val="24"/>
              </w:rPr>
              <w:t>Certificate/Part </w:t>
            </w:r>
            <w:r>
              <w:rPr>
                <w:spacing w:val="9"/>
                <w:sz w:val="24"/>
              </w:rPr>
              <w:t>Building</w:t>
            </w:r>
            <w:r>
              <w:rPr>
                <w:spacing w:val="40"/>
                <w:sz w:val="24"/>
              </w:rPr>
              <w:t> </w:t>
            </w:r>
            <w:r>
              <w:rPr>
                <w:sz w:val="24"/>
              </w:rPr>
              <w:t>Completion </w:t>
            </w:r>
            <w:r>
              <w:rPr>
                <w:spacing w:val="9"/>
                <w:sz w:val="24"/>
              </w:rPr>
              <w:t>Certificate</w:t>
            </w:r>
          </w:p>
        </w:tc>
        <w:tc>
          <w:tcPr>
            <w:tcW w:w="1001" w:type="dxa"/>
          </w:tcPr>
          <w:p>
            <w:pPr>
              <w:pStyle w:val="TableParagraph"/>
              <w:spacing w:before="47"/>
              <w:ind w:left="6"/>
              <w:jc w:val="center"/>
              <w:rPr>
                <w:sz w:val="24"/>
              </w:rPr>
            </w:pPr>
            <w:r>
              <w:rPr>
                <w:spacing w:val="-5"/>
                <w:sz w:val="24"/>
              </w:rPr>
              <w:t>38</w:t>
            </w:r>
          </w:p>
        </w:tc>
      </w:tr>
      <w:tr>
        <w:trPr>
          <w:trHeight w:val="379" w:hRule="atLeast"/>
        </w:trPr>
        <w:tc>
          <w:tcPr>
            <w:tcW w:w="1572" w:type="dxa"/>
          </w:tcPr>
          <w:p>
            <w:pPr>
              <w:pStyle w:val="TableParagraph"/>
              <w:spacing w:before="47"/>
              <w:ind w:left="9" w:right="2"/>
              <w:jc w:val="center"/>
              <w:rPr>
                <w:sz w:val="24"/>
              </w:rPr>
            </w:pPr>
            <w:r>
              <w:rPr>
                <w:spacing w:val="-5"/>
                <w:sz w:val="24"/>
              </w:rPr>
              <w:t>12</w:t>
            </w:r>
          </w:p>
        </w:tc>
        <w:tc>
          <w:tcPr>
            <w:tcW w:w="6196" w:type="dxa"/>
          </w:tcPr>
          <w:p>
            <w:pPr>
              <w:pStyle w:val="TableParagraph"/>
              <w:spacing w:before="47"/>
              <w:ind w:left="261"/>
              <w:rPr>
                <w:b/>
                <w:sz w:val="24"/>
              </w:rPr>
            </w:pPr>
            <w:r>
              <w:rPr>
                <w:b/>
                <w:spacing w:val="7"/>
                <w:sz w:val="24"/>
              </w:rPr>
              <w:t>Inspection</w:t>
            </w:r>
          </w:p>
        </w:tc>
        <w:tc>
          <w:tcPr>
            <w:tcW w:w="1001" w:type="dxa"/>
          </w:tcPr>
          <w:p>
            <w:pPr>
              <w:pStyle w:val="TableParagraph"/>
              <w:rPr>
                <w:rFonts w:ascii="Times New Roman"/>
                <w:sz w:val="22"/>
              </w:rPr>
            </w:pP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43"/>
                <w:sz w:val="24"/>
              </w:rPr>
              <w:t> </w:t>
            </w:r>
            <w:r>
              <w:rPr>
                <w:sz w:val="24"/>
              </w:rPr>
              <w:t>Inspection</w:t>
            </w:r>
            <w:r>
              <w:rPr>
                <w:spacing w:val="55"/>
                <w:sz w:val="24"/>
              </w:rPr>
              <w:t> </w:t>
            </w:r>
            <w:r>
              <w:rPr>
                <w:sz w:val="24"/>
              </w:rPr>
              <w:t>at</w:t>
            </w:r>
            <w:r>
              <w:rPr>
                <w:spacing w:val="60"/>
                <w:sz w:val="24"/>
              </w:rPr>
              <w:t> </w:t>
            </w:r>
            <w:r>
              <w:rPr>
                <w:sz w:val="24"/>
              </w:rPr>
              <w:t>Various</w:t>
            </w:r>
            <w:r>
              <w:rPr>
                <w:spacing w:val="56"/>
                <w:sz w:val="24"/>
              </w:rPr>
              <w:t> </w:t>
            </w:r>
            <w:r>
              <w:rPr>
                <w:spacing w:val="-2"/>
                <w:sz w:val="24"/>
              </w:rPr>
              <w:t>Stages</w:t>
            </w:r>
          </w:p>
        </w:tc>
        <w:tc>
          <w:tcPr>
            <w:tcW w:w="1001" w:type="dxa"/>
          </w:tcPr>
          <w:p>
            <w:pPr>
              <w:pStyle w:val="TableParagraph"/>
              <w:spacing w:line="257" w:lineRule="exact"/>
              <w:ind w:left="6"/>
              <w:jc w:val="center"/>
              <w:rPr>
                <w:sz w:val="22"/>
              </w:rPr>
            </w:pPr>
            <w:r>
              <w:rPr>
                <w:spacing w:val="-5"/>
                <w:sz w:val="22"/>
              </w:rPr>
              <w:t>39</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(2)</w:t>
            </w:r>
            <w:r>
              <w:rPr>
                <w:spacing w:val="36"/>
                <w:sz w:val="24"/>
              </w:rPr>
              <w:t> </w:t>
            </w:r>
            <w:r>
              <w:rPr>
                <w:sz w:val="24"/>
              </w:rPr>
              <w:t>Inspection</w:t>
            </w:r>
            <w:r>
              <w:rPr>
                <w:spacing w:val="49"/>
                <w:sz w:val="24"/>
              </w:rPr>
              <w:t> </w:t>
            </w:r>
            <w:r>
              <w:rPr>
                <w:sz w:val="24"/>
              </w:rPr>
              <w:t>by</w:t>
            </w:r>
            <w:r>
              <w:rPr>
                <w:spacing w:val="53"/>
                <w:sz w:val="24"/>
              </w:rPr>
              <w:t> </w:t>
            </w:r>
            <w:r>
              <w:rPr>
                <w:sz w:val="24"/>
              </w:rPr>
              <w:t>Fire</w:t>
            </w:r>
            <w:r>
              <w:rPr>
                <w:spacing w:val="49"/>
                <w:sz w:val="24"/>
              </w:rPr>
              <w:t> </w:t>
            </w:r>
            <w:r>
              <w:rPr>
                <w:spacing w:val="-2"/>
                <w:sz w:val="24"/>
              </w:rPr>
              <w:t>Department</w:t>
            </w:r>
          </w:p>
        </w:tc>
        <w:tc>
          <w:tcPr>
            <w:tcW w:w="1001" w:type="dxa"/>
          </w:tcPr>
          <w:p>
            <w:pPr>
              <w:pStyle w:val="TableParagraph"/>
              <w:spacing w:line="257" w:lineRule="exact"/>
              <w:ind w:left="6"/>
              <w:jc w:val="center"/>
              <w:rPr>
                <w:sz w:val="22"/>
              </w:rPr>
            </w:pPr>
            <w:r>
              <w:rPr>
                <w:spacing w:val="-5"/>
                <w:sz w:val="22"/>
              </w:rPr>
              <w:t>39</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30"/>
                <w:sz w:val="24"/>
              </w:rPr>
              <w:t> </w:t>
            </w:r>
            <w:r>
              <w:rPr>
                <w:sz w:val="24"/>
              </w:rPr>
              <w:t>Unsafe</w:t>
            </w:r>
            <w:r>
              <w:rPr>
                <w:spacing w:val="43"/>
                <w:sz w:val="24"/>
              </w:rPr>
              <w:t> </w:t>
            </w:r>
            <w:r>
              <w:rPr>
                <w:spacing w:val="-2"/>
                <w:sz w:val="24"/>
              </w:rPr>
              <w:t>Building</w:t>
            </w:r>
          </w:p>
        </w:tc>
        <w:tc>
          <w:tcPr>
            <w:tcW w:w="1001" w:type="dxa"/>
          </w:tcPr>
          <w:p>
            <w:pPr>
              <w:pStyle w:val="TableParagraph"/>
              <w:spacing w:line="257" w:lineRule="exact"/>
              <w:ind w:left="6"/>
              <w:jc w:val="center"/>
              <w:rPr>
                <w:sz w:val="22"/>
              </w:rPr>
            </w:pPr>
            <w:r>
              <w:rPr>
                <w:spacing w:val="-5"/>
                <w:sz w:val="22"/>
              </w:rPr>
              <w:t>39</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(4)</w:t>
            </w:r>
            <w:r>
              <w:rPr>
                <w:spacing w:val="56"/>
                <w:sz w:val="24"/>
              </w:rPr>
              <w:t> </w:t>
            </w:r>
            <w:r>
              <w:rPr>
                <w:sz w:val="24"/>
              </w:rPr>
              <w:t>Unauthorized</w:t>
            </w:r>
            <w:r>
              <w:rPr>
                <w:spacing w:val="75"/>
                <w:sz w:val="24"/>
              </w:rPr>
              <w:t> </w:t>
            </w:r>
            <w:r>
              <w:rPr>
                <w:spacing w:val="-2"/>
                <w:sz w:val="24"/>
              </w:rPr>
              <w:t>Development</w:t>
            </w:r>
          </w:p>
        </w:tc>
        <w:tc>
          <w:tcPr>
            <w:tcW w:w="1001" w:type="dxa"/>
          </w:tcPr>
          <w:p>
            <w:pPr>
              <w:pStyle w:val="TableParagraph"/>
              <w:spacing w:line="257" w:lineRule="exact"/>
              <w:ind w:left="6"/>
              <w:jc w:val="center"/>
              <w:rPr>
                <w:sz w:val="22"/>
              </w:rPr>
            </w:pPr>
            <w:r>
              <w:rPr>
                <w:spacing w:val="-5"/>
                <w:sz w:val="22"/>
              </w:rPr>
              <w:t>39</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(5)</w:t>
            </w:r>
            <w:r>
              <w:rPr>
                <w:spacing w:val="30"/>
                <w:sz w:val="24"/>
              </w:rPr>
              <w:t> </w:t>
            </w:r>
            <w:r>
              <w:rPr>
                <w:sz w:val="24"/>
              </w:rPr>
              <w:t>Safety</w:t>
            </w:r>
            <w:r>
              <w:rPr>
                <w:spacing w:val="43"/>
                <w:sz w:val="24"/>
              </w:rPr>
              <w:t> </w:t>
            </w:r>
            <w:r>
              <w:rPr>
                <w:spacing w:val="7"/>
                <w:sz w:val="24"/>
              </w:rPr>
              <w:t>Precautions</w:t>
            </w:r>
          </w:p>
        </w:tc>
        <w:tc>
          <w:tcPr>
            <w:tcW w:w="1001" w:type="dxa"/>
          </w:tcPr>
          <w:p>
            <w:pPr>
              <w:pStyle w:val="TableParagraph"/>
              <w:spacing w:line="257" w:lineRule="exact"/>
              <w:ind w:left="6"/>
              <w:jc w:val="center"/>
              <w:rPr>
                <w:sz w:val="22"/>
              </w:rPr>
            </w:pPr>
            <w:r>
              <w:rPr>
                <w:spacing w:val="-5"/>
                <w:sz w:val="22"/>
              </w:rPr>
              <w:t>40</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(6)</w:t>
            </w:r>
            <w:r>
              <w:rPr>
                <w:spacing w:val="37"/>
                <w:sz w:val="24"/>
              </w:rPr>
              <w:t> </w:t>
            </w:r>
            <w:r>
              <w:rPr>
                <w:sz w:val="24"/>
              </w:rPr>
              <w:t>Revocation</w:t>
            </w:r>
            <w:r>
              <w:rPr>
                <w:spacing w:val="49"/>
                <w:sz w:val="24"/>
              </w:rPr>
              <w:t> </w:t>
            </w:r>
            <w:r>
              <w:rPr>
                <w:sz w:val="24"/>
              </w:rPr>
              <w:t>of</w:t>
            </w:r>
            <w:r>
              <w:rPr>
                <w:spacing w:val="54"/>
                <w:sz w:val="24"/>
              </w:rPr>
              <w:t> </w:t>
            </w:r>
            <w:r>
              <w:rPr>
                <w:spacing w:val="-2"/>
                <w:sz w:val="24"/>
              </w:rPr>
              <w:t>Permission</w:t>
            </w:r>
          </w:p>
        </w:tc>
        <w:tc>
          <w:tcPr>
            <w:tcW w:w="1001" w:type="dxa"/>
          </w:tcPr>
          <w:p>
            <w:pPr>
              <w:pStyle w:val="TableParagraph"/>
              <w:spacing w:before="49"/>
              <w:ind w:left="6"/>
              <w:jc w:val="center"/>
              <w:rPr>
                <w:sz w:val="24"/>
              </w:rPr>
            </w:pPr>
            <w:r>
              <w:rPr>
                <w:spacing w:val="-5"/>
                <w:sz w:val="24"/>
              </w:rPr>
              <w:t>40</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660" w:hRule="atLeast"/>
        </w:trPr>
        <w:tc>
          <w:tcPr>
            <w:tcW w:w="8769" w:type="dxa"/>
            <w:gridSpan w:val="3"/>
          </w:tcPr>
          <w:p>
            <w:pPr>
              <w:pStyle w:val="TableParagraph"/>
              <w:spacing w:line="281" w:lineRule="exact" w:before="50"/>
              <w:ind w:left="2393"/>
              <w:rPr>
                <w:b/>
                <w:sz w:val="24"/>
              </w:rPr>
            </w:pPr>
            <w:r>
              <w:rPr>
                <w:b/>
                <w:sz w:val="24"/>
              </w:rPr>
              <w:t>PART-III</w:t>
            </w:r>
            <w:r>
              <w:rPr>
                <w:b/>
                <w:spacing w:val="-4"/>
                <w:sz w:val="24"/>
              </w:rPr>
              <w:t> </w:t>
            </w:r>
            <w:r>
              <w:rPr>
                <w:b/>
                <w:sz w:val="24"/>
              </w:rPr>
              <w:t>LAND</w:t>
            </w:r>
            <w:r>
              <w:rPr>
                <w:b/>
                <w:spacing w:val="-2"/>
                <w:sz w:val="24"/>
              </w:rPr>
              <w:t> </w:t>
            </w:r>
            <w:r>
              <w:rPr>
                <w:b/>
                <w:sz w:val="24"/>
              </w:rPr>
              <w:t>USES</w:t>
            </w:r>
            <w:r>
              <w:rPr>
                <w:b/>
                <w:spacing w:val="-2"/>
                <w:sz w:val="24"/>
              </w:rPr>
              <w:t> </w:t>
            </w:r>
            <w:r>
              <w:rPr>
                <w:b/>
                <w:sz w:val="24"/>
              </w:rPr>
              <w:t>AND</w:t>
            </w:r>
            <w:r>
              <w:rPr>
                <w:b/>
                <w:spacing w:val="-2"/>
                <w:sz w:val="24"/>
              </w:rPr>
              <w:t> </w:t>
            </w:r>
            <w:r>
              <w:rPr>
                <w:b/>
                <w:sz w:val="24"/>
              </w:rPr>
              <w:t>MANNER</w:t>
            </w:r>
            <w:r>
              <w:rPr>
                <w:b/>
                <w:spacing w:val="-1"/>
                <w:sz w:val="24"/>
              </w:rPr>
              <w:t> </w:t>
            </w:r>
            <w:r>
              <w:rPr>
                <w:b/>
                <w:spacing w:val="-5"/>
                <w:sz w:val="24"/>
              </w:rPr>
              <w:t>OF</w:t>
            </w:r>
          </w:p>
          <w:p>
            <w:pPr>
              <w:pStyle w:val="TableParagraph"/>
              <w:spacing w:line="281" w:lineRule="exact"/>
              <w:ind w:left="107"/>
              <w:rPr>
                <w:b/>
                <w:sz w:val="24"/>
              </w:rPr>
            </w:pPr>
            <w:r>
              <w:rPr>
                <w:b/>
                <w:spacing w:val="-2"/>
                <w:sz w:val="24"/>
              </w:rPr>
              <w:t>DEVELOPMENT</w:t>
            </w:r>
          </w:p>
        </w:tc>
      </w:tr>
      <w:tr>
        <w:trPr>
          <w:trHeight w:val="378" w:hRule="atLeast"/>
        </w:trPr>
        <w:tc>
          <w:tcPr>
            <w:tcW w:w="1572" w:type="dxa"/>
          </w:tcPr>
          <w:p>
            <w:pPr>
              <w:pStyle w:val="TableParagraph"/>
              <w:spacing w:before="49"/>
              <w:ind w:left="9" w:right="2"/>
              <w:jc w:val="center"/>
              <w:rPr>
                <w:sz w:val="24"/>
              </w:rPr>
            </w:pPr>
            <w:r>
              <w:rPr>
                <w:spacing w:val="-5"/>
                <w:sz w:val="24"/>
              </w:rPr>
              <w:t>13</w:t>
            </w:r>
          </w:p>
        </w:tc>
        <w:tc>
          <w:tcPr>
            <w:tcW w:w="6196" w:type="dxa"/>
          </w:tcPr>
          <w:p>
            <w:pPr>
              <w:pStyle w:val="TableParagraph"/>
              <w:spacing w:before="49"/>
              <w:ind w:left="107"/>
              <w:rPr>
                <w:b/>
                <w:sz w:val="24"/>
              </w:rPr>
            </w:pPr>
            <w:r>
              <w:rPr>
                <w:b/>
                <w:sz w:val="24"/>
              </w:rPr>
              <w:t>Development</w:t>
            </w:r>
            <w:r>
              <w:rPr>
                <w:b/>
                <w:spacing w:val="70"/>
                <w:w w:val="150"/>
                <w:sz w:val="24"/>
              </w:rPr>
              <w:t> </w:t>
            </w:r>
            <w:r>
              <w:rPr>
                <w:b/>
                <w:spacing w:val="7"/>
                <w:sz w:val="24"/>
              </w:rPr>
              <w:t>Stipulations</w:t>
            </w:r>
          </w:p>
        </w:tc>
        <w:tc>
          <w:tcPr>
            <w:tcW w:w="1001" w:type="dxa"/>
          </w:tcPr>
          <w:p>
            <w:pPr>
              <w:pStyle w:val="TableParagraph"/>
              <w:rPr>
                <w:rFonts w:ascii="Times New Roman"/>
                <w:sz w:val="22"/>
              </w:rPr>
            </w:pP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9"/>
                <w:sz w:val="24"/>
              </w:rPr>
              <w:t> </w:t>
            </w:r>
            <w:r>
              <w:rPr>
                <w:spacing w:val="-2"/>
                <w:sz w:val="24"/>
              </w:rPr>
              <w:t>General</w:t>
            </w:r>
          </w:p>
        </w:tc>
        <w:tc>
          <w:tcPr>
            <w:tcW w:w="1001" w:type="dxa"/>
          </w:tcPr>
          <w:p>
            <w:pPr>
              <w:pStyle w:val="TableParagraph"/>
              <w:spacing w:before="47"/>
              <w:ind w:left="6"/>
              <w:jc w:val="center"/>
              <w:rPr>
                <w:sz w:val="24"/>
              </w:rPr>
            </w:pPr>
            <w:r>
              <w:rPr>
                <w:spacing w:val="-5"/>
                <w:sz w:val="24"/>
              </w:rPr>
              <w:t>41</w:t>
            </w:r>
          </w:p>
        </w:tc>
      </w:tr>
      <w:tr>
        <w:trPr>
          <w:trHeight w:val="940" w:hRule="atLeast"/>
        </w:trPr>
        <w:tc>
          <w:tcPr>
            <w:tcW w:w="1572" w:type="dxa"/>
          </w:tcPr>
          <w:p>
            <w:pPr>
              <w:pStyle w:val="TableParagraph"/>
              <w:rPr>
                <w:rFonts w:ascii="Times New Roman"/>
                <w:sz w:val="22"/>
              </w:rPr>
            </w:pPr>
          </w:p>
        </w:tc>
        <w:tc>
          <w:tcPr>
            <w:tcW w:w="6196" w:type="dxa"/>
          </w:tcPr>
          <w:p>
            <w:pPr>
              <w:pStyle w:val="TableParagraph"/>
              <w:tabs>
                <w:tab w:pos="1541" w:val="left" w:leader="none"/>
                <w:tab w:pos="4307" w:val="left" w:leader="none"/>
                <w:tab w:pos="5679" w:val="left" w:leader="none"/>
              </w:tabs>
              <w:spacing w:before="47"/>
              <w:ind w:left="414" w:right="110" w:hanging="308"/>
              <w:rPr>
                <w:sz w:val="24"/>
              </w:rPr>
            </w:pPr>
            <w:r>
              <w:rPr>
                <w:spacing w:val="-4"/>
                <w:sz w:val="24"/>
              </w:rPr>
              <w:t>(2)</w:t>
            </w:r>
            <w:r>
              <w:rPr>
                <w:sz w:val="24"/>
              </w:rPr>
              <w:tab/>
              <w:tab/>
            </w:r>
            <w:r>
              <w:rPr>
                <w:spacing w:val="-2"/>
                <w:sz w:val="24"/>
              </w:rPr>
              <w:t>Development</w:t>
            </w:r>
            <w:r>
              <w:rPr>
                <w:sz w:val="24"/>
              </w:rPr>
              <w:tab/>
            </w:r>
            <w:r>
              <w:rPr>
                <w:spacing w:val="-6"/>
                <w:sz w:val="24"/>
              </w:rPr>
              <w:t>of</w:t>
            </w:r>
            <w:r>
              <w:rPr>
                <w:sz w:val="24"/>
              </w:rPr>
              <w:tab/>
            </w:r>
            <w:r>
              <w:rPr>
                <w:spacing w:val="-4"/>
                <w:sz w:val="24"/>
              </w:rPr>
              <w:t>th</w:t>
            </w:r>
            <w:r>
              <w:rPr>
                <w:spacing w:val="-4"/>
                <w:sz w:val="24"/>
              </w:rPr>
              <w:t>e</w:t>
            </w:r>
            <w:r>
              <w:rPr>
                <w:spacing w:val="-4"/>
                <w:sz w:val="24"/>
              </w:rPr>
              <w:t> </w:t>
            </w:r>
            <w:r>
              <w:rPr>
                <w:spacing w:val="7"/>
                <w:sz w:val="24"/>
              </w:rPr>
              <w:t>Designation/Reservations/partly </w:t>
            </w:r>
            <w:r>
              <w:rPr>
                <w:sz w:val="24"/>
              </w:rPr>
              <w:t>Designated/partly</w:t>
            </w:r>
            <w:r>
              <w:rPr>
                <w:spacing w:val="60"/>
                <w:w w:val="150"/>
                <w:sz w:val="24"/>
              </w:rPr>
              <w:t> </w:t>
            </w:r>
            <w:r>
              <w:rPr>
                <w:sz w:val="24"/>
              </w:rPr>
              <w:t>Reserved/Amenity</w:t>
            </w:r>
            <w:r>
              <w:rPr>
                <w:spacing w:val="60"/>
                <w:w w:val="150"/>
                <w:sz w:val="24"/>
              </w:rPr>
              <w:t> </w:t>
            </w:r>
            <w:r>
              <w:rPr>
                <w:sz w:val="24"/>
              </w:rPr>
              <w:t>Plot</w:t>
            </w:r>
          </w:p>
        </w:tc>
        <w:tc>
          <w:tcPr>
            <w:tcW w:w="1001" w:type="dxa"/>
          </w:tcPr>
          <w:p>
            <w:pPr>
              <w:pStyle w:val="TableParagraph"/>
              <w:spacing w:before="47"/>
              <w:ind w:left="6"/>
              <w:jc w:val="center"/>
              <w:rPr>
                <w:sz w:val="24"/>
              </w:rPr>
            </w:pPr>
            <w:r>
              <w:rPr>
                <w:spacing w:val="-5"/>
                <w:sz w:val="24"/>
              </w:rPr>
              <w:t>41</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503" w:right="116" w:hanging="396"/>
              <w:rPr>
                <w:sz w:val="24"/>
              </w:rPr>
            </w:pPr>
            <w:r>
              <w:rPr>
                <w:sz w:val="24"/>
              </w:rPr>
              <w:t>(3)</w:t>
            </w:r>
            <w:r>
              <w:rPr>
                <w:spacing w:val="80"/>
                <w:w w:val="150"/>
                <w:sz w:val="24"/>
              </w:rPr>
              <w:t> </w:t>
            </w:r>
            <w:r>
              <w:rPr>
                <w:sz w:val="24"/>
              </w:rPr>
              <w:t>Combination</w:t>
            </w:r>
            <w:r>
              <w:rPr>
                <w:spacing w:val="80"/>
                <w:w w:val="150"/>
                <w:sz w:val="24"/>
              </w:rPr>
              <w:t> </w:t>
            </w:r>
            <w:r>
              <w:rPr>
                <w:sz w:val="24"/>
              </w:rPr>
              <w:t>of</w:t>
            </w:r>
            <w:r>
              <w:rPr>
                <w:spacing w:val="80"/>
                <w:w w:val="150"/>
                <w:sz w:val="24"/>
              </w:rPr>
              <w:t> </w:t>
            </w:r>
            <w:r>
              <w:rPr>
                <w:sz w:val="24"/>
              </w:rPr>
              <w:t>Public</w:t>
            </w:r>
            <w:r>
              <w:rPr>
                <w:spacing w:val="80"/>
                <w:w w:val="150"/>
                <w:sz w:val="24"/>
              </w:rPr>
              <w:t> </w:t>
            </w:r>
            <w:r>
              <w:rPr>
                <w:sz w:val="24"/>
              </w:rPr>
              <w:t>Purposes/Uses</w:t>
            </w:r>
            <w:r>
              <w:rPr>
                <w:spacing w:val="80"/>
                <w:w w:val="150"/>
                <w:sz w:val="24"/>
              </w:rPr>
              <w:t> </w:t>
            </w:r>
            <w:r>
              <w:rPr>
                <w:sz w:val="24"/>
              </w:rPr>
              <w:t>in Reserved Sites</w:t>
            </w:r>
          </w:p>
        </w:tc>
        <w:tc>
          <w:tcPr>
            <w:tcW w:w="1001" w:type="dxa"/>
          </w:tcPr>
          <w:p>
            <w:pPr>
              <w:pStyle w:val="TableParagraph"/>
              <w:spacing w:before="47"/>
              <w:ind w:left="6"/>
              <w:jc w:val="center"/>
              <w:rPr>
                <w:sz w:val="24"/>
              </w:rPr>
            </w:pPr>
            <w:r>
              <w:rPr>
                <w:spacing w:val="-5"/>
                <w:sz w:val="24"/>
              </w:rPr>
              <w:t>42</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(4)</w:t>
            </w:r>
            <w:r>
              <w:rPr>
                <w:spacing w:val="43"/>
                <w:sz w:val="24"/>
              </w:rPr>
              <w:t> </w:t>
            </w:r>
            <w:r>
              <w:rPr>
                <w:sz w:val="24"/>
              </w:rPr>
              <w:t>Reservation</w:t>
            </w:r>
            <w:r>
              <w:rPr>
                <w:spacing w:val="49"/>
                <w:sz w:val="24"/>
              </w:rPr>
              <w:t>  </w:t>
            </w:r>
            <w:r>
              <w:rPr>
                <w:sz w:val="24"/>
              </w:rPr>
              <w:t>for</w:t>
            </w:r>
            <w:r>
              <w:rPr>
                <w:spacing w:val="61"/>
                <w:sz w:val="24"/>
              </w:rPr>
              <w:t> </w:t>
            </w:r>
            <w:r>
              <w:rPr>
                <w:sz w:val="24"/>
              </w:rPr>
              <w:t>Multiple</w:t>
            </w:r>
            <w:r>
              <w:rPr>
                <w:spacing w:val="60"/>
                <w:sz w:val="24"/>
              </w:rPr>
              <w:t> </w:t>
            </w:r>
            <w:r>
              <w:rPr>
                <w:sz w:val="24"/>
              </w:rPr>
              <w:t>Public</w:t>
            </w:r>
            <w:r>
              <w:rPr>
                <w:spacing w:val="56"/>
                <w:sz w:val="24"/>
              </w:rPr>
              <w:t> </w:t>
            </w:r>
            <w:r>
              <w:rPr>
                <w:spacing w:val="-2"/>
                <w:sz w:val="24"/>
              </w:rPr>
              <w:t>Purposes</w:t>
            </w:r>
          </w:p>
        </w:tc>
        <w:tc>
          <w:tcPr>
            <w:tcW w:w="1001" w:type="dxa"/>
          </w:tcPr>
          <w:p>
            <w:pPr>
              <w:pStyle w:val="TableParagraph"/>
              <w:spacing w:before="47"/>
              <w:ind w:left="6"/>
              <w:jc w:val="center"/>
              <w:rPr>
                <w:sz w:val="24"/>
              </w:rPr>
            </w:pPr>
            <w:r>
              <w:rPr>
                <w:spacing w:val="-5"/>
                <w:sz w:val="24"/>
              </w:rPr>
              <w:t>43</w:t>
            </w:r>
          </w:p>
        </w:tc>
      </w:tr>
      <w:tr>
        <w:trPr>
          <w:trHeight w:val="379"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(5)</w:t>
            </w:r>
            <w:r>
              <w:rPr>
                <w:spacing w:val="28"/>
                <w:sz w:val="24"/>
              </w:rPr>
              <w:t> </w:t>
            </w:r>
            <w:r>
              <w:rPr>
                <w:sz w:val="24"/>
              </w:rPr>
              <w:t>Area</w:t>
            </w:r>
            <w:r>
              <w:rPr>
                <w:spacing w:val="40"/>
                <w:sz w:val="24"/>
              </w:rPr>
              <w:t> </w:t>
            </w:r>
            <w:r>
              <w:rPr>
                <w:sz w:val="24"/>
              </w:rPr>
              <w:t>of</w:t>
            </w:r>
            <w:r>
              <w:rPr>
                <w:spacing w:val="35"/>
                <w:sz w:val="24"/>
              </w:rPr>
              <w:t>  </w:t>
            </w:r>
            <w:r>
              <w:rPr>
                <w:sz w:val="24"/>
              </w:rPr>
              <w:t>Reserved</w:t>
            </w:r>
            <w:r>
              <w:rPr>
                <w:spacing w:val="42"/>
                <w:sz w:val="24"/>
              </w:rPr>
              <w:t> </w:t>
            </w:r>
            <w:r>
              <w:rPr>
                <w:spacing w:val="-4"/>
                <w:sz w:val="24"/>
              </w:rPr>
              <w:t>Land</w:t>
            </w:r>
          </w:p>
        </w:tc>
        <w:tc>
          <w:tcPr>
            <w:tcW w:w="1001" w:type="dxa"/>
          </w:tcPr>
          <w:p>
            <w:pPr>
              <w:pStyle w:val="TableParagraph"/>
              <w:spacing w:before="47"/>
              <w:ind w:left="6"/>
              <w:jc w:val="center"/>
              <w:rPr>
                <w:sz w:val="24"/>
              </w:rPr>
            </w:pPr>
            <w:r>
              <w:rPr>
                <w:spacing w:val="-5"/>
                <w:sz w:val="24"/>
              </w:rPr>
              <w:t>43</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414" w:right="128" w:hanging="308"/>
              <w:rPr>
                <w:sz w:val="24"/>
              </w:rPr>
            </w:pPr>
            <w:r>
              <w:rPr>
                <w:sz w:val="24"/>
              </w:rPr>
              <w:t>(6)</w:t>
            </w:r>
            <w:r>
              <w:rPr>
                <w:spacing w:val="40"/>
                <w:sz w:val="24"/>
              </w:rPr>
              <w:t> </w:t>
            </w:r>
            <w:r>
              <w:rPr>
                <w:sz w:val="24"/>
              </w:rPr>
              <w:t>Shifting</w:t>
            </w:r>
            <w:r>
              <w:rPr>
                <w:spacing w:val="80"/>
                <w:sz w:val="24"/>
              </w:rPr>
              <w:t> </w:t>
            </w:r>
            <w:r>
              <w:rPr>
                <w:sz w:val="24"/>
              </w:rPr>
              <w:t>and/or</w:t>
            </w:r>
            <w:r>
              <w:rPr>
                <w:spacing w:val="80"/>
                <w:sz w:val="24"/>
              </w:rPr>
              <w:t> </w:t>
            </w:r>
            <w:r>
              <w:rPr>
                <w:sz w:val="24"/>
              </w:rPr>
              <w:t>Interchanging</w:t>
            </w:r>
            <w:r>
              <w:rPr>
                <w:spacing w:val="80"/>
                <w:sz w:val="24"/>
              </w:rPr>
              <w:t> </w:t>
            </w:r>
            <w:r>
              <w:rPr>
                <w:sz w:val="24"/>
              </w:rPr>
              <w:t>the</w:t>
            </w:r>
            <w:r>
              <w:rPr>
                <w:spacing w:val="80"/>
                <w:sz w:val="24"/>
              </w:rPr>
              <w:t> </w:t>
            </w:r>
            <w:r>
              <w:rPr>
                <w:sz w:val="24"/>
              </w:rPr>
              <w:t>Purpose of</w:t>
            </w:r>
            <w:r>
              <w:rPr>
                <w:spacing w:val="74"/>
                <w:sz w:val="24"/>
              </w:rPr>
              <w:t> </w:t>
            </w:r>
            <w:r>
              <w:rPr>
                <w:sz w:val="24"/>
              </w:rPr>
              <w:t>Designations/Reservations</w:t>
            </w:r>
          </w:p>
        </w:tc>
        <w:tc>
          <w:tcPr>
            <w:tcW w:w="1001" w:type="dxa"/>
          </w:tcPr>
          <w:p>
            <w:pPr>
              <w:pStyle w:val="TableParagraph"/>
              <w:spacing w:before="47"/>
              <w:ind w:left="6"/>
              <w:jc w:val="center"/>
              <w:rPr>
                <w:sz w:val="24"/>
              </w:rPr>
            </w:pPr>
            <w:r>
              <w:rPr>
                <w:spacing w:val="-5"/>
                <w:sz w:val="24"/>
              </w:rPr>
              <w:t>43</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(7)</w:t>
            </w:r>
            <w:r>
              <w:rPr>
                <w:spacing w:val="25"/>
                <w:sz w:val="24"/>
              </w:rPr>
              <w:t> </w:t>
            </w:r>
            <w:r>
              <w:rPr>
                <w:sz w:val="24"/>
              </w:rPr>
              <w:t>Art</w:t>
            </w:r>
            <w:r>
              <w:rPr>
                <w:spacing w:val="30"/>
                <w:sz w:val="24"/>
              </w:rPr>
              <w:t> </w:t>
            </w:r>
            <w:r>
              <w:rPr>
                <w:sz w:val="24"/>
              </w:rPr>
              <w:t>and</w:t>
            </w:r>
            <w:r>
              <w:rPr>
                <w:spacing w:val="34"/>
                <w:sz w:val="24"/>
              </w:rPr>
              <w:t> </w:t>
            </w:r>
            <w:r>
              <w:rPr>
                <w:spacing w:val="-2"/>
                <w:sz w:val="24"/>
              </w:rPr>
              <w:t>Culture</w:t>
            </w:r>
          </w:p>
        </w:tc>
        <w:tc>
          <w:tcPr>
            <w:tcW w:w="1001" w:type="dxa"/>
          </w:tcPr>
          <w:p>
            <w:pPr>
              <w:pStyle w:val="TableParagraph"/>
              <w:spacing w:before="47"/>
              <w:ind w:left="6"/>
              <w:jc w:val="center"/>
              <w:rPr>
                <w:sz w:val="24"/>
              </w:rPr>
            </w:pPr>
            <w:r>
              <w:rPr>
                <w:spacing w:val="-5"/>
                <w:sz w:val="24"/>
              </w:rPr>
              <w:t>44</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(8)</w:t>
            </w:r>
            <w:r>
              <w:rPr>
                <w:spacing w:val="-1"/>
                <w:sz w:val="24"/>
              </w:rPr>
              <w:t> </w:t>
            </w:r>
            <w:r>
              <w:rPr>
                <w:sz w:val="24"/>
              </w:rPr>
              <w:t>Temporary Vending </w:t>
            </w:r>
            <w:r>
              <w:rPr>
                <w:spacing w:val="-4"/>
                <w:sz w:val="24"/>
              </w:rPr>
              <w:t>Zone</w:t>
            </w:r>
          </w:p>
        </w:tc>
        <w:tc>
          <w:tcPr>
            <w:tcW w:w="1001" w:type="dxa"/>
          </w:tcPr>
          <w:p>
            <w:pPr>
              <w:pStyle w:val="TableParagraph"/>
              <w:spacing w:before="49"/>
              <w:ind w:left="6"/>
              <w:jc w:val="center"/>
              <w:rPr>
                <w:sz w:val="24"/>
              </w:rPr>
            </w:pPr>
            <w:r>
              <w:rPr>
                <w:spacing w:val="-5"/>
                <w:sz w:val="24"/>
              </w:rPr>
              <w:t>44</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665" w:val="left" w:leader="none"/>
                <w:tab w:pos="1333" w:val="left" w:leader="none"/>
                <w:tab w:pos="2088" w:val="left" w:leader="none"/>
                <w:tab w:pos="3420" w:val="left" w:leader="none"/>
                <w:tab w:pos="5050" w:val="left" w:leader="none"/>
              </w:tabs>
              <w:spacing w:before="47"/>
              <w:ind w:left="107" w:right="114"/>
              <w:rPr>
                <w:sz w:val="24"/>
              </w:rPr>
            </w:pPr>
            <w:r>
              <w:rPr>
                <w:spacing w:val="-4"/>
                <w:sz w:val="24"/>
              </w:rPr>
              <w:t>(9)</w:t>
            </w:r>
            <w:r>
              <w:rPr>
                <w:sz w:val="24"/>
              </w:rPr>
              <w:tab/>
            </w:r>
            <w:r>
              <w:rPr>
                <w:spacing w:val="-4"/>
                <w:sz w:val="24"/>
              </w:rPr>
              <w:t>Art</w:t>
            </w:r>
            <w:r>
              <w:rPr>
                <w:sz w:val="24"/>
              </w:rPr>
              <w:tab/>
            </w:r>
            <w:r>
              <w:rPr>
                <w:spacing w:val="-4"/>
                <w:sz w:val="24"/>
              </w:rPr>
              <w:t>and</w:t>
            </w:r>
            <w:r>
              <w:rPr>
                <w:sz w:val="24"/>
              </w:rPr>
              <w:tab/>
            </w:r>
            <w:r>
              <w:rPr>
                <w:spacing w:val="-2"/>
                <w:sz w:val="24"/>
              </w:rPr>
              <w:t>Culture,</w:t>
            </w:r>
            <w:r>
              <w:rPr>
                <w:sz w:val="24"/>
              </w:rPr>
              <w:tab/>
            </w:r>
            <w:r>
              <w:rPr>
                <w:spacing w:val="-2"/>
                <w:sz w:val="24"/>
              </w:rPr>
              <w:t>Temporary</w:t>
            </w:r>
            <w:r>
              <w:rPr>
                <w:sz w:val="24"/>
              </w:rPr>
              <w:tab/>
            </w:r>
            <w:r>
              <w:rPr>
                <w:spacing w:val="-2"/>
                <w:sz w:val="24"/>
              </w:rPr>
              <w:t>Vendin</w:t>
            </w:r>
            <w:r>
              <w:rPr>
                <w:spacing w:val="-2"/>
                <w:sz w:val="24"/>
              </w:rPr>
              <w:t>g</w:t>
            </w:r>
            <w:r>
              <w:rPr>
                <w:spacing w:val="-2"/>
                <w:sz w:val="24"/>
              </w:rPr>
              <w:t> </w:t>
            </w:r>
            <w:r>
              <w:rPr>
                <w:spacing w:val="9"/>
                <w:sz w:val="24"/>
              </w:rPr>
              <w:t>Zone/Bajar-</w:t>
            </w:r>
            <w:r>
              <w:rPr>
                <w:sz w:val="24"/>
              </w:rPr>
              <w:t>hat/Athawadi</w:t>
            </w:r>
            <w:r>
              <w:rPr>
                <w:spacing w:val="80"/>
                <w:sz w:val="24"/>
              </w:rPr>
              <w:t> </w:t>
            </w:r>
            <w:r>
              <w:rPr>
                <w:sz w:val="24"/>
              </w:rPr>
              <w:t>Bazar/Equal</w:t>
            </w:r>
            <w:r>
              <w:rPr>
                <w:spacing w:val="80"/>
                <w:sz w:val="24"/>
              </w:rPr>
              <w:t> </w:t>
            </w:r>
            <w:r>
              <w:rPr>
                <w:sz w:val="24"/>
              </w:rPr>
              <w:t>Street</w:t>
            </w:r>
          </w:p>
        </w:tc>
        <w:tc>
          <w:tcPr>
            <w:tcW w:w="1001" w:type="dxa"/>
          </w:tcPr>
          <w:p>
            <w:pPr>
              <w:pStyle w:val="TableParagraph"/>
              <w:spacing w:before="47"/>
              <w:ind w:left="6"/>
              <w:jc w:val="center"/>
              <w:rPr>
                <w:sz w:val="24"/>
              </w:rPr>
            </w:pPr>
            <w:r>
              <w:rPr>
                <w:spacing w:val="-5"/>
                <w:sz w:val="24"/>
              </w:rPr>
              <w:t>44</w:t>
            </w:r>
          </w:p>
        </w:tc>
      </w:tr>
      <w:tr>
        <w:trPr>
          <w:trHeight w:val="376" w:hRule="atLeast"/>
        </w:trPr>
        <w:tc>
          <w:tcPr>
            <w:tcW w:w="1572" w:type="dxa"/>
          </w:tcPr>
          <w:p>
            <w:pPr>
              <w:pStyle w:val="TableParagraph"/>
              <w:spacing w:before="47"/>
              <w:ind w:left="9" w:right="2"/>
              <w:jc w:val="center"/>
              <w:rPr>
                <w:sz w:val="24"/>
              </w:rPr>
            </w:pPr>
            <w:r>
              <w:rPr>
                <w:spacing w:val="-5"/>
                <w:sz w:val="24"/>
              </w:rPr>
              <w:t>14</w:t>
            </w:r>
          </w:p>
        </w:tc>
        <w:tc>
          <w:tcPr>
            <w:tcW w:w="6196" w:type="dxa"/>
          </w:tcPr>
          <w:p>
            <w:pPr>
              <w:pStyle w:val="TableParagraph"/>
              <w:spacing w:before="47"/>
              <w:ind w:left="107"/>
              <w:rPr>
                <w:b/>
                <w:sz w:val="24"/>
              </w:rPr>
            </w:pPr>
            <w:r>
              <w:rPr>
                <w:b/>
                <w:spacing w:val="-2"/>
                <w:sz w:val="24"/>
              </w:rPr>
              <w:t>Amenities</w:t>
            </w:r>
          </w:p>
        </w:tc>
        <w:tc>
          <w:tcPr>
            <w:tcW w:w="1001" w:type="dxa"/>
          </w:tcPr>
          <w:p>
            <w:pPr>
              <w:pStyle w:val="TableParagraph"/>
              <w:rPr>
                <w:rFonts w:ascii="Times New Roman"/>
                <w:sz w:val="22"/>
              </w:rPr>
            </w:pP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9"/>
              <w:ind w:left="570" w:hanging="464"/>
              <w:rPr>
                <w:sz w:val="24"/>
              </w:rPr>
            </w:pPr>
            <w:r>
              <w:rPr>
                <w:sz w:val="24"/>
              </w:rPr>
              <w:t>(A</w:t>
            </w:r>
            <w:r>
              <w:rPr>
                <w:b/>
                <w:sz w:val="24"/>
              </w:rPr>
              <w:t>)</w:t>
            </w:r>
            <w:r>
              <w:rPr>
                <w:b/>
                <w:spacing w:val="80"/>
                <w:sz w:val="24"/>
              </w:rPr>
              <w:t> </w:t>
            </w:r>
            <w:r>
              <w:rPr>
                <w:sz w:val="24"/>
              </w:rPr>
              <w:t>Plots</w:t>
            </w:r>
            <w:r>
              <w:rPr>
                <w:spacing w:val="80"/>
                <w:sz w:val="24"/>
              </w:rPr>
              <w:t> </w:t>
            </w:r>
            <w:r>
              <w:rPr>
                <w:sz w:val="24"/>
              </w:rPr>
              <w:t>/</w:t>
            </w:r>
            <w:r>
              <w:rPr>
                <w:spacing w:val="80"/>
                <w:sz w:val="24"/>
              </w:rPr>
              <w:t> </w:t>
            </w:r>
            <w:r>
              <w:rPr>
                <w:spacing w:val="10"/>
                <w:sz w:val="24"/>
              </w:rPr>
              <w:t>lay-</w:t>
            </w:r>
            <w:r>
              <w:rPr>
                <w:sz w:val="24"/>
              </w:rPr>
              <w:t>outs</w:t>
            </w:r>
            <w:r>
              <w:rPr>
                <w:spacing w:val="80"/>
                <w:sz w:val="24"/>
              </w:rPr>
              <w:t> </w:t>
            </w:r>
            <w:r>
              <w:rPr>
                <w:sz w:val="24"/>
              </w:rPr>
              <w:t>of</w:t>
            </w:r>
            <w:r>
              <w:rPr>
                <w:spacing w:val="80"/>
                <w:sz w:val="24"/>
              </w:rPr>
              <w:t> </w:t>
            </w:r>
            <w:r>
              <w:rPr>
                <w:sz w:val="24"/>
              </w:rPr>
              <w:t>the</w:t>
            </w:r>
            <w:r>
              <w:rPr>
                <w:spacing w:val="80"/>
                <w:sz w:val="24"/>
              </w:rPr>
              <w:t> </w:t>
            </w:r>
            <w:r>
              <w:rPr>
                <w:sz w:val="24"/>
              </w:rPr>
              <w:t>Land</w:t>
            </w:r>
            <w:r>
              <w:rPr>
                <w:spacing w:val="80"/>
                <w:sz w:val="24"/>
              </w:rPr>
              <w:t> </w:t>
            </w:r>
            <w:r>
              <w:rPr>
                <w:sz w:val="24"/>
              </w:rPr>
              <w:t>Admeasuring 4000 sq. m or more</w:t>
            </w:r>
          </w:p>
        </w:tc>
        <w:tc>
          <w:tcPr>
            <w:tcW w:w="1001" w:type="dxa"/>
          </w:tcPr>
          <w:p>
            <w:pPr>
              <w:pStyle w:val="TableParagraph"/>
              <w:spacing w:before="49"/>
              <w:ind w:left="6"/>
              <w:jc w:val="center"/>
              <w:rPr>
                <w:sz w:val="24"/>
              </w:rPr>
            </w:pPr>
            <w:r>
              <w:rPr>
                <w:spacing w:val="-5"/>
                <w:sz w:val="24"/>
              </w:rPr>
              <w:t>45</w:t>
            </w:r>
          </w:p>
        </w:tc>
      </w:tr>
      <w:tr>
        <w:trPr>
          <w:trHeight w:val="943" w:hRule="atLeast"/>
        </w:trPr>
        <w:tc>
          <w:tcPr>
            <w:tcW w:w="1572" w:type="dxa"/>
          </w:tcPr>
          <w:p>
            <w:pPr>
              <w:pStyle w:val="TableParagraph"/>
              <w:rPr>
                <w:rFonts w:ascii="Times New Roman"/>
                <w:sz w:val="22"/>
              </w:rPr>
            </w:pPr>
          </w:p>
        </w:tc>
        <w:tc>
          <w:tcPr>
            <w:tcW w:w="6196" w:type="dxa"/>
          </w:tcPr>
          <w:p>
            <w:pPr>
              <w:pStyle w:val="TableParagraph"/>
              <w:spacing w:before="47"/>
              <w:ind w:left="107" w:right="116"/>
              <w:jc w:val="both"/>
              <w:rPr>
                <w:sz w:val="24"/>
              </w:rPr>
            </w:pPr>
            <w:r>
              <w:rPr>
                <w:sz w:val="24"/>
              </w:rPr>
              <w:t>(B</w:t>
            </w:r>
            <w:r>
              <w:rPr>
                <w:b/>
                <w:sz w:val="24"/>
              </w:rPr>
              <w:t>)</w:t>
            </w:r>
            <w:r>
              <w:rPr>
                <w:b/>
                <w:spacing w:val="40"/>
                <w:sz w:val="24"/>
              </w:rPr>
              <w:t> </w:t>
            </w:r>
            <w:r>
              <w:rPr>
                <w:sz w:val="24"/>
              </w:rPr>
              <w:t>Conversion</w:t>
            </w:r>
            <w:r>
              <w:rPr>
                <w:spacing w:val="40"/>
                <w:sz w:val="24"/>
              </w:rPr>
              <w:t> </w:t>
            </w:r>
            <w:r>
              <w:rPr>
                <w:sz w:val="24"/>
              </w:rPr>
              <w:t>of</w:t>
            </w:r>
            <w:r>
              <w:rPr>
                <w:spacing w:val="40"/>
                <w:sz w:val="24"/>
              </w:rPr>
              <w:t> </w:t>
            </w:r>
            <w:r>
              <w:rPr>
                <w:sz w:val="24"/>
              </w:rPr>
              <w:t>Industrial</w:t>
            </w:r>
            <w:r>
              <w:rPr>
                <w:spacing w:val="40"/>
                <w:sz w:val="24"/>
              </w:rPr>
              <w:t> </w:t>
            </w:r>
            <w:r>
              <w:rPr>
                <w:sz w:val="24"/>
              </w:rPr>
              <w:t>Zone</w:t>
            </w:r>
            <w:r>
              <w:rPr>
                <w:spacing w:val="40"/>
                <w:sz w:val="24"/>
              </w:rPr>
              <w:t> </w:t>
            </w:r>
            <w:r>
              <w:rPr>
                <w:sz w:val="24"/>
              </w:rPr>
              <w:t>to</w:t>
            </w:r>
            <w:r>
              <w:rPr>
                <w:spacing w:val="40"/>
                <w:sz w:val="24"/>
              </w:rPr>
              <w:t> </w:t>
            </w:r>
            <w:r>
              <w:rPr>
                <w:sz w:val="24"/>
              </w:rPr>
              <w:t>Residential or Commercial Zone for the uses permissible in Residential</w:t>
            </w:r>
            <w:r>
              <w:rPr>
                <w:spacing w:val="40"/>
                <w:sz w:val="24"/>
              </w:rPr>
              <w:t> </w:t>
            </w:r>
            <w:r>
              <w:rPr>
                <w:sz w:val="24"/>
              </w:rPr>
              <w:t>or</w:t>
            </w:r>
            <w:r>
              <w:rPr>
                <w:spacing w:val="40"/>
                <w:sz w:val="24"/>
              </w:rPr>
              <w:t> </w:t>
            </w:r>
            <w:r>
              <w:rPr>
                <w:sz w:val="24"/>
              </w:rPr>
              <w:t>Commercial</w:t>
            </w:r>
            <w:r>
              <w:rPr>
                <w:spacing w:val="40"/>
                <w:sz w:val="24"/>
              </w:rPr>
              <w:t> </w:t>
            </w:r>
            <w:r>
              <w:rPr>
                <w:spacing w:val="9"/>
                <w:sz w:val="24"/>
              </w:rPr>
              <w:t>Zone</w:t>
            </w:r>
          </w:p>
        </w:tc>
        <w:tc>
          <w:tcPr>
            <w:tcW w:w="1001" w:type="dxa"/>
          </w:tcPr>
          <w:p>
            <w:pPr>
              <w:pStyle w:val="TableParagraph"/>
              <w:spacing w:before="47"/>
              <w:ind w:left="6"/>
              <w:jc w:val="center"/>
              <w:rPr>
                <w:sz w:val="24"/>
              </w:rPr>
            </w:pPr>
            <w:r>
              <w:rPr>
                <w:spacing w:val="-5"/>
                <w:sz w:val="24"/>
              </w:rPr>
              <w:t>46</w:t>
            </w:r>
          </w:p>
        </w:tc>
      </w:tr>
      <w:tr>
        <w:trPr>
          <w:trHeight w:val="376" w:hRule="atLeast"/>
        </w:trPr>
        <w:tc>
          <w:tcPr>
            <w:tcW w:w="1572" w:type="dxa"/>
          </w:tcPr>
          <w:p>
            <w:pPr>
              <w:pStyle w:val="TableParagraph"/>
              <w:spacing w:before="47"/>
              <w:ind w:left="9" w:right="2"/>
              <w:jc w:val="center"/>
              <w:rPr>
                <w:sz w:val="24"/>
              </w:rPr>
            </w:pPr>
            <w:r>
              <w:rPr>
                <w:spacing w:val="-5"/>
                <w:sz w:val="24"/>
              </w:rPr>
              <w:t>15</w:t>
            </w:r>
          </w:p>
        </w:tc>
        <w:tc>
          <w:tcPr>
            <w:tcW w:w="6196" w:type="dxa"/>
          </w:tcPr>
          <w:p>
            <w:pPr>
              <w:pStyle w:val="TableParagraph"/>
              <w:spacing w:before="47"/>
              <w:ind w:left="107"/>
              <w:rPr>
                <w:b/>
                <w:sz w:val="24"/>
              </w:rPr>
            </w:pPr>
            <w:r>
              <w:rPr>
                <w:b/>
                <w:sz w:val="24"/>
              </w:rPr>
              <w:t>Inclusive</w:t>
            </w:r>
            <w:r>
              <w:rPr>
                <w:b/>
                <w:spacing w:val="52"/>
                <w:w w:val="150"/>
                <w:sz w:val="24"/>
              </w:rPr>
              <w:t> </w:t>
            </w:r>
            <w:r>
              <w:rPr>
                <w:b/>
                <w:spacing w:val="7"/>
                <w:sz w:val="24"/>
              </w:rPr>
              <w:t>Housing</w:t>
            </w:r>
          </w:p>
        </w:tc>
        <w:tc>
          <w:tcPr>
            <w:tcW w:w="1001" w:type="dxa"/>
          </w:tcPr>
          <w:p>
            <w:pPr>
              <w:pStyle w:val="TableParagraph"/>
              <w:spacing w:before="47"/>
              <w:ind w:left="6"/>
              <w:jc w:val="center"/>
              <w:rPr>
                <w:sz w:val="24"/>
              </w:rPr>
            </w:pPr>
            <w:r>
              <w:rPr>
                <w:spacing w:val="-5"/>
                <w:sz w:val="24"/>
              </w:rPr>
              <w:t>48</w:t>
            </w:r>
          </w:p>
        </w:tc>
      </w:tr>
      <w:tr>
        <w:trPr>
          <w:trHeight w:val="378" w:hRule="atLeast"/>
        </w:trPr>
        <w:tc>
          <w:tcPr>
            <w:tcW w:w="1572" w:type="dxa"/>
          </w:tcPr>
          <w:p>
            <w:pPr>
              <w:pStyle w:val="TableParagraph"/>
              <w:spacing w:before="47"/>
              <w:ind w:left="9" w:right="2"/>
              <w:jc w:val="center"/>
              <w:rPr>
                <w:sz w:val="24"/>
              </w:rPr>
            </w:pPr>
            <w:r>
              <w:rPr>
                <w:spacing w:val="-5"/>
                <w:sz w:val="24"/>
              </w:rPr>
              <w:t>16</w:t>
            </w:r>
          </w:p>
        </w:tc>
        <w:tc>
          <w:tcPr>
            <w:tcW w:w="6196" w:type="dxa"/>
          </w:tcPr>
          <w:p>
            <w:pPr>
              <w:pStyle w:val="TableParagraph"/>
              <w:spacing w:before="47"/>
              <w:ind w:left="107"/>
              <w:rPr>
                <w:b/>
                <w:sz w:val="24"/>
              </w:rPr>
            </w:pPr>
            <w:r>
              <w:rPr>
                <w:b/>
                <w:sz w:val="24"/>
              </w:rPr>
              <w:t>Road/Road</w:t>
            </w:r>
            <w:r>
              <w:rPr>
                <w:b/>
                <w:spacing w:val="55"/>
                <w:w w:val="150"/>
                <w:sz w:val="24"/>
              </w:rPr>
              <w:t> </w:t>
            </w:r>
            <w:r>
              <w:rPr>
                <w:b/>
                <w:spacing w:val="-2"/>
                <w:sz w:val="24"/>
              </w:rPr>
              <w:t>Widening</w:t>
            </w:r>
          </w:p>
        </w:tc>
        <w:tc>
          <w:tcPr>
            <w:tcW w:w="1001" w:type="dxa"/>
          </w:tcPr>
          <w:p>
            <w:pPr>
              <w:pStyle w:val="TableParagraph"/>
              <w:spacing w:before="47"/>
              <w:ind w:left="6"/>
              <w:jc w:val="center"/>
              <w:rPr>
                <w:sz w:val="24"/>
              </w:rPr>
            </w:pPr>
            <w:r>
              <w:rPr>
                <w:spacing w:val="-5"/>
                <w:sz w:val="24"/>
              </w:rPr>
              <w:t>52</w:t>
            </w:r>
          </w:p>
        </w:tc>
      </w:tr>
      <w:tr>
        <w:trPr>
          <w:trHeight w:val="659" w:hRule="atLeast"/>
        </w:trPr>
        <w:tc>
          <w:tcPr>
            <w:tcW w:w="1572" w:type="dxa"/>
          </w:tcPr>
          <w:p>
            <w:pPr>
              <w:pStyle w:val="TableParagraph"/>
              <w:spacing w:before="188"/>
              <w:ind w:left="9" w:right="2"/>
              <w:jc w:val="center"/>
              <w:rPr>
                <w:sz w:val="24"/>
              </w:rPr>
            </w:pPr>
            <w:r>
              <w:rPr>
                <w:spacing w:val="-5"/>
                <w:sz w:val="24"/>
              </w:rPr>
              <w:t>17</w:t>
            </w:r>
          </w:p>
        </w:tc>
        <w:tc>
          <w:tcPr>
            <w:tcW w:w="6196" w:type="dxa"/>
          </w:tcPr>
          <w:p>
            <w:pPr>
              <w:pStyle w:val="TableParagraph"/>
              <w:spacing w:before="47"/>
              <w:ind w:left="107"/>
              <w:rPr>
                <w:sz w:val="24"/>
              </w:rPr>
            </w:pPr>
            <w:r>
              <w:rPr>
                <w:sz w:val="24"/>
              </w:rPr>
              <w:t>(1)</w:t>
            </w:r>
            <w:r>
              <w:rPr>
                <w:spacing w:val="80"/>
                <w:sz w:val="24"/>
              </w:rPr>
              <w:t> </w:t>
            </w:r>
            <w:r>
              <w:rPr>
                <w:sz w:val="24"/>
              </w:rPr>
              <w:t>Development</w:t>
            </w:r>
            <w:r>
              <w:rPr>
                <w:spacing w:val="80"/>
                <w:sz w:val="24"/>
              </w:rPr>
              <w:t> </w:t>
            </w:r>
            <w:r>
              <w:rPr>
                <w:sz w:val="24"/>
              </w:rPr>
              <w:t>of</w:t>
            </w:r>
            <w:r>
              <w:rPr>
                <w:spacing w:val="80"/>
                <w:sz w:val="24"/>
              </w:rPr>
              <w:t> </w:t>
            </w:r>
            <w:r>
              <w:rPr>
                <w:sz w:val="24"/>
              </w:rPr>
              <w:t>Reserved</w:t>
            </w:r>
            <w:r>
              <w:rPr>
                <w:spacing w:val="80"/>
                <w:sz w:val="24"/>
              </w:rPr>
              <w:t> </w:t>
            </w:r>
            <w:r>
              <w:rPr>
                <w:sz w:val="24"/>
              </w:rPr>
              <w:t>Land</w:t>
            </w:r>
            <w:r>
              <w:rPr>
                <w:spacing w:val="80"/>
                <w:sz w:val="24"/>
              </w:rPr>
              <w:t> </w:t>
            </w:r>
            <w:r>
              <w:rPr>
                <w:sz w:val="24"/>
              </w:rPr>
              <w:t>for</w:t>
            </w:r>
            <w:r>
              <w:rPr>
                <w:spacing w:val="80"/>
                <w:sz w:val="24"/>
              </w:rPr>
              <w:t> </w:t>
            </w:r>
            <w:r>
              <w:rPr>
                <w:spacing w:val="9"/>
                <w:sz w:val="24"/>
              </w:rPr>
              <w:t>Public</w:t>
            </w:r>
            <w:r>
              <w:rPr>
                <w:spacing w:val="40"/>
                <w:sz w:val="24"/>
              </w:rPr>
              <w:t> </w:t>
            </w:r>
            <w:r>
              <w:rPr>
                <w:spacing w:val="-2"/>
                <w:sz w:val="24"/>
              </w:rPr>
              <w:t>Purposes</w:t>
            </w:r>
          </w:p>
        </w:tc>
        <w:tc>
          <w:tcPr>
            <w:tcW w:w="1001" w:type="dxa"/>
          </w:tcPr>
          <w:p>
            <w:pPr>
              <w:pStyle w:val="TableParagraph"/>
              <w:spacing w:before="47"/>
              <w:ind w:left="6"/>
              <w:jc w:val="center"/>
              <w:rPr>
                <w:sz w:val="24"/>
              </w:rPr>
            </w:pPr>
            <w:r>
              <w:rPr>
                <w:spacing w:val="-5"/>
                <w:sz w:val="24"/>
              </w:rPr>
              <w:t>53</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3468" w:val="left" w:leader="none"/>
              </w:tabs>
              <w:spacing w:before="47"/>
              <w:ind w:left="479" w:right="116" w:hanging="372"/>
              <w:rPr>
                <w:sz w:val="24"/>
              </w:rPr>
            </w:pPr>
            <w:r>
              <w:rPr>
                <w:sz w:val="24"/>
              </w:rPr>
              <w:t>(2)Redevelopment</w:t>
            </w:r>
            <w:r>
              <w:rPr>
                <w:spacing w:val="40"/>
                <w:sz w:val="24"/>
              </w:rPr>
              <w:t> </w:t>
            </w:r>
            <w:r>
              <w:rPr>
                <w:sz w:val="24"/>
              </w:rPr>
              <w:t>of</w:t>
            </w:r>
            <w:r>
              <w:rPr>
                <w:spacing w:val="40"/>
                <w:sz w:val="24"/>
              </w:rPr>
              <w:t> </w:t>
            </w:r>
            <w:r>
              <w:rPr>
                <w:sz w:val="24"/>
              </w:rPr>
              <w:t>the</w:t>
              <w:tab/>
              <w:t>designated/</w:t>
            </w:r>
            <w:r>
              <w:rPr>
                <w:spacing w:val="47"/>
                <w:sz w:val="24"/>
              </w:rPr>
              <w:t> </w:t>
            </w:r>
            <w:r>
              <w:rPr>
                <w:sz w:val="24"/>
              </w:rPr>
              <w:t>existin</w:t>
            </w:r>
            <w:r>
              <w:rPr>
                <w:sz w:val="24"/>
              </w:rPr>
              <w:t>g </w:t>
            </w:r>
            <w:r>
              <w:rPr>
                <w:spacing w:val="-2"/>
                <w:sz w:val="24"/>
              </w:rPr>
              <w:t>Cinema/Theater</w:t>
            </w:r>
          </w:p>
        </w:tc>
        <w:tc>
          <w:tcPr>
            <w:tcW w:w="1001" w:type="dxa"/>
          </w:tcPr>
          <w:p>
            <w:pPr>
              <w:pStyle w:val="TableParagraph"/>
              <w:spacing w:before="47"/>
              <w:ind w:left="6"/>
              <w:jc w:val="center"/>
              <w:rPr>
                <w:sz w:val="24"/>
              </w:rPr>
            </w:pPr>
            <w:r>
              <w:rPr>
                <w:spacing w:val="-5"/>
                <w:sz w:val="24"/>
              </w:rPr>
              <w:t>84</w:t>
            </w:r>
          </w:p>
        </w:tc>
      </w:tr>
      <w:tr>
        <w:trPr>
          <w:trHeight w:val="660" w:hRule="atLeast"/>
        </w:trPr>
        <w:tc>
          <w:tcPr>
            <w:tcW w:w="1572" w:type="dxa"/>
          </w:tcPr>
          <w:p>
            <w:pPr>
              <w:pStyle w:val="TableParagraph"/>
              <w:rPr>
                <w:rFonts w:ascii="Times New Roman"/>
                <w:sz w:val="22"/>
              </w:rPr>
            </w:pPr>
          </w:p>
        </w:tc>
        <w:tc>
          <w:tcPr>
            <w:tcW w:w="6196" w:type="dxa"/>
          </w:tcPr>
          <w:p>
            <w:pPr>
              <w:pStyle w:val="TableParagraph"/>
              <w:spacing w:before="47"/>
              <w:ind w:left="479" w:right="116" w:hanging="372"/>
              <w:rPr>
                <w:sz w:val="24"/>
              </w:rPr>
            </w:pPr>
            <w:r>
              <w:rPr>
                <w:sz w:val="24"/>
              </w:rPr>
              <w:t>(3)</w:t>
            </w:r>
            <w:r>
              <w:rPr>
                <w:spacing w:val="40"/>
                <w:sz w:val="24"/>
              </w:rPr>
              <w:t> </w:t>
            </w:r>
            <w:r>
              <w:rPr>
                <w:sz w:val="24"/>
              </w:rPr>
              <w:t>Development</w:t>
            </w:r>
            <w:r>
              <w:rPr>
                <w:spacing w:val="40"/>
                <w:sz w:val="24"/>
              </w:rPr>
              <w:t> </w:t>
            </w:r>
            <w:r>
              <w:rPr>
                <w:sz w:val="24"/>
              </w:rPr>
              <w:t>of</w:t>
            </w:r>
            <w:r>
              <w:rPr>
                <w:spacing w:val="80"/>
                <w:sz w:val="24"/>
              </w:rPr>
              <w:t> </w:t>
            </w:r>
            <w:r>
              <w:rPr>
                <w:sz w:val="24"/>
              </w:rPr>
              <w:t>reserved</w:t>
            </w:r>
            <w:r>
              <w:rPr>
                <w:spacing w:val="40"/>
                <w:sz w:val="24"/>
              </w:rPr>
              <w:t> </w:t>
            </w:r>
            <w:r>
              <w:rPr>
                <w:sz w:val="24"/>
              </w:rPr>
              <w:t>land</w:t>
            </w:r>
            <w:r>
              <w:rPr>
                <w:spacing w:val="40"/>
                <w:sz w:val="24"/>
              </w:rPr>
              <w:t> </w:t>
            </w:r>
            <w:r>
              <w:rPr>
                <w:sz w:val="24"/>
              </w:rPr>
              <w:t>falling</w:t>
            </w:r>
            <w:r>
              <w:rPr>
                <w:spacing w:val="40"/>
                <w:sz w:val="24"/>
              </w:rPr>
              <w:t> </w:t>
            </w:r>
            <w:r>
              <w:rPr>
                <w:sz w:val="24"/>
              </w:rPr>
              <w:t>under</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Regulation</w:t>
            </w:r>
            <w:r>
              <w:rPr>
                <w:spacing w:val="40"/>
                <w:sz w:val="24"/>
              </w:rPr>
              <w:t> </w:t>
            </w:r>
            <w:r>
              <w:rPr>
                <w:sz w:val="24"/>
              </w:rPr>
              <w:t>No.33</w:t>
            </w:r>
          </w:p>
        </w:tc>
        <w:tc>
          <w:tcPr>
            <w:tcW w:w="1001" w:type="dxa"/>
          </w:tcPr>
          <w:p>
            <w:pPr>
              <w:pStyle w:val="TableParagraph"/>
              <w:spacing w:before="47"/>
              <w:ind w:left="6"/>
              <w:jc w:val="center"/>
              <w:rPr>
                <w:sz w:val="24"/>
              </w:rPr>
            </w:pPr>
            <w:r>
              <w:rPr>
                <w:spacing w:val="-5"/>
                <w:sz w:val="24"/>
              </w:rPr>
              <w:t>85</w:t>
            </w:r>
          </w:p>
        </w:tc>
      </w:tr>
      <w:tr>
        <w:trPr>
          <w:trHeight w:val="376" w:hRule="atLeast"/>
        </w:trPr>
        <w:tc>
          <w:tcPr>
            <w:tcW w:w="8769" w:type="dxa"/>
            <w:gridSpan w:val="3"/>
          </w:tcPr>
          <w:p>
            <w:pPr>
              <w:pStyle w:val="TableParagraph"/>
              <w:spacing w:before="47"/>
              <w:ind w:left="4"/>
              <w:jc w:val="center"/>
              <w:rPr>
                <w:b/>
                <w:sz w:val="24"/>
              </w:rPr>
            </w:pPr>
            <w:r>
              <w:rPr>
                <w:b/>
                <w:sz w:val="24"/>
              </w:rPr>
              <w:t>PART-</w:t>
            </w:r>
            <w:r>
              <w:rPr>
                <w:b/>
                <w:spacing w:val="-6"/>
                <w:sz w:val="24"/>
              </w:rPr>
              <w:t> </w:t>
            </w:r>
            <w:r>
              <w:rPr>
                <w:b/>
                <w:sz w:val="24"/>
              </w:rPr>
              <w:t>IV</w:t>
            </w:r>
            <w:r>
              <w:rPr>
                <w:b/>
                <w:spacing w:val="-6"/>
                <w:sz w:val="24"/>
              </w:rPr>
              <w:t> </w:t>
            </w:r>
            <w:r>
              <w:rPr>
                <w:b/>
                <w:sz w:val="24"/>
              </w:rPr>
              <w:t>REQUIREMENT</w:t>
            </w:r>
            <w:r>
              <w:rPr>
                <w:b/>
                <w:spacing w:val="-3"/>
                <w:sz w:val="24"/>
              </w:rPr>
              <w:t> </w:t>
            </w:r>
            <w:r>
              <w:rPr>
                <w:b/>
                <w:sz w:val="24"/>
              </w:rPr>
              <w:t>OF</w:t>
            </w:r>
            <w:r>
              <w:rPr>
                <w:b/>
                <w:spacing w:val="-4"/>
                <w:sz w:val="24"/>
              </w:rPr>
              <w:t> </w:t>
            </w:r>
            <w:r>
              <w:rPr>
                <w:b/>
                <w:sz w:val="24"/>
              </w:rPr>
              <w:t>SITE</w:t>
            </w:r>
            <w:r>
              <w:rPr>
                <w:b/>
                <w:spacing w:val="-4"/>
                <w:sz w:val="24"/>
              </w:rPr>
              <w:t> </w:t>
            </w:r>
            <w:r>
              <w:rPr>
                <w:b/>
                <w:sz w:val="24"/>
              </w:rPr>
              <w:t>AND</w:t>
            </w:r>
            <w:r>
              <w:rPr>
                <w:b/>
                <w:spacing w:val="-3"/>
                <w:sz w:val="24"/>
              </w:rPr>
              <w:t> </w:t>
            </w:r>
            <w:r>
              <w:rPr>
                <w:b/>
                <w:spacing w:val="-2"/>
                <w:sz w:val="24"/>
              </w:rPr>
              <w:t>LAYOUT</w:t>
            </w:r>
          </w:p>
        </w:tc>
      </w:tr>
      <w:tr>
        <w:trPr>
          <w:trHeight w:val="378" w:hRule="atLeast"/>
        </w:trPr>
        <w:tc>
          <w:tcPr>
            <w:tcW w:w="1572" w:type="dxa"/>
          </w:tcPr>
          <w:p>
            <w:pPr>
              <w:pStyle w:val="TableParagraph"/>
              <w:spacing w:before="47"/>
              <w:ind w:left="9" w:right="2"/>
              <w:jc w:val="center"/>
              <w:rPr>
                <w:sz w:val="24"/>
              </w:rPr>
            </w:pPr>
            <w:r>
              <w:rPr>
                <w:spacing w:val="-5"/>
                <w:sz w:val="24"/>
              </w:rPr>
              <w:t>18</w:t>
            </w:r>
          </w:p>
        </w:tc>
        <w:tc>
          <w:tcPr>
            <w:tcW w:w="6196" w:type="dxa"/>
          </w:tcPr>
          <w:p>
            <w:pPr>
              <w:pStyle w:val="TableParagraph"/>
              <w:spacing w:before="47"/>
              <w:ind w:left="107"/>
              <w:rPr>
                <w:b/>
                <w:sz w:val="24"/>
              </w:rPr>
            </w:pPr>
            <w:r>
              <w:rPr>
                <w:b/>
                <w:sz w:val="24"/>
              </w:rPr>
              <w:t>Requirement of </w:t>
            </w:r>
            <w:r>
              <w:rPr>
                <w:b/>
                <w:spacing w:val="-4"/>
                <w:sz w:val="24"/>
              </w:rPr>
              <w:t>Site</w:t>
            </w:r>
          </w:p>
        </w:tc>
        <w:tc>
          <w:tcPr>
            <w:tcW w:w="1001" w:type="dxa"/>
          </w:tcPr>
          <w:p>
            <w:pPr>
              <w:pStyle w:val="TableParagraph"/>
              <w:spacing w:before="47"/>
              <w:ind w:left="6"/>
              <w:jc w:val="center"/>
              <w:rPr>
                <w:sz w:val="24"/>
              </w:rPr>
            </w:pPr>
            <w:r>
              <w:rPr>
                <w:spacing w:val="-5"/>
                <w:sz w:val="24"/>
              </w:rPr>
              <w:t>95</w:t>
            </w:r>
          </w:p>
        </w:tc>
      </w:tr>
      <w:tr>
        <w:trPr>
          <w:trHeight w:val="376" w:hRule="atLeast"/>
        </w:trPr>
        <w:tc>
          <w:tcPr>
            <w:tcW w:w="1572" w:type="dxa"/>
          </w:tcPr>
          <w:p>
            <w:pPr>
              <w:pStyle w:val="TableParagraph"/>
              <w:spacing w:before="47"/>
              <w:ind w:left="9" w:right="2"/>
              <w:jc w:val="center"/>
              <w:rPr>
                <w:sz w:val="24"/>
              </w:rPr>
            </w:pPr>
            <w:r>
              <w:rPr>
                <w:spacing w:val="-5"/>
                <w:sz w:val="24"/>
              </w:rPr>
              <w:t>19</w:t>
            </w:r>
          </w:p>
        </w:tc>
        <w:tc>
          <w:tcPr>
            <w:tcW w:w="6196" w:type="dxa"/>
          </w:tcPr>
          <w:p>
            <w:pPr>
              <w:pStyle w:val="TableParagraph"/>
              <w:spacing w:before="47"/>
              <w:ind w:left="107"/>
              <w:rPr>
                <w:b/>
                <w:sz w:val="24"/>
              </w:rPr>
            </w:pPr>
            <w:r>
              <w:rPr>
                <w:b/>
                <w:sz w:val="24"/>
              </w:rPr>
              <w:t>Public</w:t>
            </w:r>
            <w:r>
              <w:rPr>
                <w:b/>
                <w:spacing w:val="-4"/>
                <w:sz w:val="24"/>
              </w:rPr>
              <w:t> </w:t>
            </w:r>
            <w:r>
              <w:rPr>
                <w:b/>
                <w:sz w:val="24"/>
              </w:rPr>
              <w:t>Street</w:t>
            </w:r>
            <w:r>
              <w:rPr>
                <w:b/>
                <w:spacing w:val="-2"/>
                <w:sz w:val="24"/>
              </w:rPr>
              <w:t> </w:t>
            </w:r>
            <w:r>
              <w:rPr>
                <w:b/>
                <w:sz w:val="24"/>
              </w:rPr>
              <w:t>and</w:t>
            </w:r>
            <w:r>
              <w:rPr>
                <w:b/>
                <w:spacing w:val="-2"/>
                <w:sz w:val="24"/>
              </w:rPr>
              <w:t> </w:t>
            </w:r>
            <w:r>
              <w:rPr>
                <w:b/>
                <w:sz w:val="24"/>
              </w:rPr>
              <w:t>Means</w:t>
            </w:r>
            <w:r>
              <w:rPr>
                <w:b/>
                <w:spacing w:val="-2"/>
                <w:sz w:val="24"/>
              </w:rPr>
              <w:t> </w:t>
            </w:r>
            <w:r>
              <w:rPr>
                <w:b/>
                <w:sz w:val="24"/>
              </w:rPr>
              <w:t>of</w:t>
            </w:r>
            <w:r>
              <w:rPr>
                <w:b/>
                <w:spacing w:val="-2"/>
                <w:sz w:val="24"/>
              </w:rPr>
              <w:t> Access</w:t>
            </w:r>
          </w:p>
        </w:tc>
        <w:tc>
          <w:tcPr>
            <w:tcW w:w="1001" w:type="dxa"/>
          </w:tcPr>
          <w:p>
            <w:pPr>
              <w:pStyle w:val="TableParagraph"/>
              <w:rPr>
                <w:rFonts w:ascii="Times New Roman"/>
                <w:sz w:val="22"/>
              </w:rPr>
            </w:pP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730" w:val="left" w:leader="none"/>
                <w:tab w:pos="1737" w:val="left" w:leader="none"/>
                <w:tab w:pos="2492" w:val="left" w:leader="none"/>
                <w:tab w:pos="3038" w:val="left" w:leader="none"/>
                <w:tab w:pos="3925" w:val="left" w:leader="none"/>
                <w:tab w:pos="5075" w:val="left" w:leader="none"/>
                <w:tab w:pos="5847" w:val="left" w:leader="none"/>
              </w:tabs>
              <w:spacing w:before="47"/>
              <w:ind w:left="107" w:right="116"/>
              <w:rPr>
                <w:sz w:val="24"/>
              </w:rPr>
            </w:pPr>
            <w:r>
              <w:rPr>
                <w:spacing w:val="-4"/>
                <w:sz w:val="24"/>
              </w:rPr>
              <w:t>(1)</w:t>
            </w:r>
            <w:r>
              <w:rPr>
                <w:sz w:val="24"/>
              </w:rPr>
              <w:tab/>
            </w:r>
            <w:r>
              <w:rPr>
                <w:spacing w:val="-2"/>
                <w:sz w:val="24"/>
              </w:rPr>
              <w:t>Every</w:t>
            </w:r>
            <w:r>
              <w:rPr>
                <w:sz w:val="24"/>
              </w:rPr>
              <w:tab/>
            </w:r>
            <w:r>
              <w:rPr>
                <w:spacing w:val="-4"/>
                <w:sz w:val="24"/>
              </w:rPr>
              <w:t>site</w:t>
            </w:r>
            <w:r>
              <w:rPr>
                <w:sz w:val="24"/>
              </w:rPr>
              <w:tab/>
            </w:r>
            <w:r>
              <w:rPr>
                <w:spacing w:val="-6"/>
                <w:sz w:val="24"/>
              </w:rPr>
              <w:t>to</w:t>
            </w:r>
            <w:r>
              <w:rPr>
                <w:sz w:val="24"/>
              </w:rPr>
              <w:tab/>
            </w:r>
            <w:r>
              <w:rPr>
                <w:spacing w:val="-4"/>
                <w:sz w:val="24"/>
              </w:rPr>
              <w:t>have</w:t>
            </w:r>
            <w:r>
              <w:rPr>
                <w:sz w:val="24"/>
              </w:rPr>
              <w:tab/>
            </w:r>
            <w:r>
              <w:rPr>
                <w:spacing w:val="-2"/>
                <w:sz w:val="24"/>
              </w:rPr>
              <w:t>Access</w:t>
            </w:r>
            <w:r>
              <w:rPr>
                <w:sz w:val="24"/>
              </w:rPr>
              <w:tab/>
            </w:r>
            <w:r>
              <w:rPr>
                <w:spacing w:val="-4"/>
                <w:sz w:val="24"/>
              </w:rPr>
              <w:t>free</w:t>
            </w:r>
            <w:r>
              <w:rPr>
                <w:sz w:val="24"/>
              </w:rPr>
              <w:tab/>
            </w:r>
            <w:r>
              <w:rPr>
                <w:spacing w:val="-6"/>
                <w:sz w:val="24"/>
              </w:rPr>
              <w:t>o</w:t>
            </w:r>
            <w:r>
              <w:rPr>
                <w:spacing w:val="-6"/>
                <w:sz w:val="24"/>
              </w:rPr>
              <w:t>f</w:t>
            </w:r>
            <w:r>
              <w:rPr>
                <w:spacing w:val="-6"/>
                <w:sz w:val="24"/>
              </w:rPr>
              <w:t> </w:t>
            </w:r>
            <w:r>
              <w:rPr>
                <w:spacing w:val="7"/>
                <w:sz w:val="24"/>
              </w:rPr>
              <w:t>Encroachment</w:t>
            </w:r>
          </w:p>
        </w:tc>
        <w:tc>
          <w:tcPr>
            <w:tcW w:w="1001" w:type="dxa"/>
          </w:tcPr>
          <w:p>
            <w:pPr>
              <w:pStyle w:val="TableParagraph"/>
              <w:spacing w:before="47"/>
              <w:ind w:left="6"/>
              <w:jc w:val="center"/>
              <w:rPr>
                <w:sz w:val="24"/>
              </w:rPr>
            </w:pPr>
            <w:r>
              <w:rPr>
                <w:spacing w:val="-5"/>
                <w:sz w:val="24"/>
              </w:rPr>
              <w:t>96</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(2)</w:t>
            </w:r>
            <w:r>
              <w:rPr>
                <w:spacing w:val="48"/>
                <w:sz w:val="24"/>
              </w:rPr>
              <w:t> </w:t>
            </w:r>
            <w:r>
              <w:rPr>
                <w:sz w:val="24"/>
              </w:rPr>
              <w:t>High</w:t>
            </w:r>
            <w:r>
              <w:rPr>
                <w:spacing w:val="51"/>
                <w:sz w:val="24"/>
              </w:rPr>
              <w:t> </w:t>
            </w:r>
            <w:r>
              <w:rPr>
                <w:sz w:val="24"/>
              </w:rPr>
              <w:t>Rise</w:t>
            </w:r>
            <w:r>
              <w:rPr>
                <w:spacing w:val="49"/>
                <w:sz w:val="24"/>
              </w:rPr>
              <w:t> </w:t>
            </w:r>
            <w:r>
              <w:rPr>
                <w:sz w:val="24"/>
              </w:rPr>
              <w:t>and</w:t>
            </w:r>
            <w:r>
              <w:rPr>
                <w:spacing w:val="48"/>
                <w:sz w:val="24"/>
              </w:rPr>
              <w:t> </w:t>
            </w:r>
            <w:r>
              <w:rPr>
                <w:sz w:val="24"/>
              </w:rPr>
              <w:t>Special</w:t>
            </w:r>
            <w:r>
              <w:rPr>
                <w:spacing w:val="49"/>
                <w:sz w:val="24"/>
              </w:rPr>
              <w:t> </w:t>
            </w:r>
            <w:r>
              <w:rPr>
                <w:spacing w:val="-2"/>
                <w:sz w:val="24"/>
              </w:rPr>
              <w:t>Buildings</w:t>
            </w:r>
          </w:p>
        </w:tc>
        <w:tc>
          <w:tcPr>
            <w:tcW w:w="1001" w:type="dxa"/>
          </w:tcPr>
          <w:p>
            <w:pPr>
              <w:pStyle w:val="TableParagraph"/>
              <w:spacing w:before="47"/>
              <w:ind w:left="6"/>
              <w:jc w:val="center"/>
              <w:rPr>
                <w:sz w:val="24"/>
              </w:rPr>
            </w:pPr>
            <w:r>
              <w:rPr>
                <w:spacing w:val="-5"/>
                <w:sz w:val="24"/>
              </w:rPr>
              <w:t>96</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379" w:hRule="atLeast"/>
        </w:trPr>
        <w:tc>
          <w:tcPr>
            <w:tcW w:w="1572" w:type="dxa"/>
          </w:tcPr>
          <w:p>
            <w:pPr>
              <w:pStyle w:val="TableParagraph"/>
              <w:rPr>
                <w:rFonts w:ascii="Times New Roman"/>
                <w:sz w:val="22"/>
              </w:rPr>
            </w:pPr>
          </w:p>
        </w:tc>
        <w:tc>
          <w:tcPr>
            <w:tcW w:w="6196" w:type="dxa"/>
          </w:tcPr>
          <w:p>
            <w:pPr>
              <w:pStyle w:val="TableParagraph"/>
              <w:spacing w:before="50"/>
              <w:ind w:left="107"/>
              <w:rPr>
                <w:sz w:val="24"/>
              </w:rPr>
            </w:pPr>
            <w:r>
              <w:rPr>
                <w:sz w:val="24"/>
              </w:rPr>
              <w:t>(3)</w:t>
            </w:r>
            <w:r>
              <w:rPr>
                <w:spacing w:val="45"/>
                <w:sz w:val="24"/>
              </w:rPr>
              <w:t> </w:t>
            </w:r>
            <w:r>
              <w:rPr>
                <w:sz w:val="24"/>
              </w:rPr>
              <w:t>Other</w:t>
            </w:r>
            <w:r>
              <w:rPr>
                <w:spacing w:val="49"/>
                <w:sz w:val="24"/>
              </w:rPr>
              <w:t> </w:t>
            </w:r>
            <w:r>
              <w:rPr>
                <w:spacing w:val="7"/>
                <w:sz w:val="24"/>
              </w:rPr>
              <w:t>Buildings</w:t>
            </w:r>
          </w:p>
        </w:tc>
        <w:tc>
          <w:tcPr>
            <w:tcW w:w="1001" w:type="dxa"/>
          </w:tcPr>
          <w:p>
            <w:pPr>
              <w:pStyle w:val="TableParagraph"/>
              <w:spacing w:before="50"/>
              <w:ind w:left="6"/>
              <w:jc w:val="center"/>
              <w:rPr>
                <w:sz w:val="24"/>
              </w:rPr>
            </w:pPr>
            <w:r>
              <w:rPr>
                <w:spacing w:val="-5"/>
                <w:sz w:val="24"/>
              </w:rPr>
              <w:t>97</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665" w:val="left" w:leader="none"/>
                <w:tab w:pos="2884" w:val="left" w:leader="none"/>
                <w:tab w:pos="4190" w:val="left" w:leader="none"/>
                <w:tab w:pos="4686" w:val="left" w:leader="none"/>
                <w:tab w:pos="5927" w:val="left" w:leader="none"/>
              </w:tabs>
              <w:spacing w:before="47"/>
              <w:ind w:left="479" w:right="117" w:hanging="372"/>
              <w:rPr>
                <w:sz w:val="24"/>
              </w:rPr>
            </w:pPr>
            <w:r>
              <w:rPr>
                <w:spacing w:val="-4"/>
                <w:sz w:val="24"/>
              </w:rPr>
              <w:t>(4)</w:t>
            </w:r>
            <w:r>
              <w:rPr>
                <w:sz w:val="24"/>
              </w:rPr>
              <w:tab/>
              <w:tab/>
            </w:r>
            <w:r>
              <w:rPr>
                <w:spacing w:val="-2"/>
                <w:sz w:val="24"/>
              </w:rPr>
              <w:t>Plots/Buildings</w:t>
            </w:r>
            <w:r>
              <w:rPr>
                <w:sz w:val="24"/>
              </w:rPr>
              <w:tab/>
            </w:r>
            <w:r>
              <w:rPr>
                <w:spacing w:val="-2"/>
                <w:sz w:val="24"/>
              </w:rPr>
              <w:t>abutting</w:t>
            </w:r>
            <w:r>
              <w:rPr>
                <w:sz w:val="24"/>
              </w:rPr>
              <w:tab/>
            </w:r>
            <w:r>
              <w:rPr>
                <w:spacing w:val="-6"/>
                <w:sz w:val="24"/>
              </w:rPr>
              <w:t>or</w:t>
            </w:r>
            <w:r>
              <w:rPr>
                <w:sz w:val="24"/>
              </w:rPr>
              <w:tab/>
            </w:r>
            <w:r>
              <w:rPr>
                <w:spacing w:val="-2"/>
                <w:sz w:val="24"/>
              </w:rPr>
              <w:t>fronting</w:t>
            </w:r>
            <w:r>
              <w:rPr>
                <w:sz w:val="24"/>
              </w:rPr>
              <w:tab/>
            </w:r>
            <w:r>
              <w:rPr>
                <w:spacing w:val="-10"/>
                <w:sz w:val="24"/>
              </w:rPr>
              <w:t>a</w:t>
            </w:r>
            <w:r>
              <w:rPr>
                <w:spacing w:val="-10"/>
                <w:sz w:val="24"/>
              </w:rPr>
              <w:t> </w:t>
            </w:r>
            <w:r>
              <w:rPr>
                <w:sz w:val="24"/>
              </w:rPr>
              <w:t>Means of Access</w:t>
            </w:r>
          </w:p>
        </w:tc>
        <w:tc>
          <w:tcPr>
            <w:tcW w:w="1001" w:type="dxa"/>
          </w:tcPr>
          <w:p>
            <w:pPr>
              <w:pStyle w:val="TableParagraph"/>
              <w:spacing w:before="47"/>
              <w:ind w:left="6"/>
              <w:jc w:val="center"/>
              <w:rPr>
                <w:sz w:val="24"/>
              </w:rPr>
            </w:pPr>
            <w:r>
              <w:rPr>
                <w:spacing w:val="-5"/>
                <w:sz w:val="24"/>
              </w:rPr>
              <w:t>98</w:t>
            </w:r>
          </w:p>
        </w:tc>
      </w:tr>
      <w:tr>
        <w:trPr>
          <w:trHeight w:val="378" w:hRule="atLeast"/>
        </w:trPr>
        <w:tc>
          <w:tcPr>
            <w:tcW w:w="1572" w:type="dxa"/>
          </w:tcPr>
          <w:p>
            <w:pPr>
              <w:pStyle w:val="TableParagraph"/>
              <w:spacing w:before="47"/>
              <w:ind w:left="9" w:right="2"/>
              <w:jc w:val="center"/>
              <w:rPr>
                <w:sz w:val="24"/>
              </w:rPr>
            </w:pPr>
            <w:r>
              <w:rPr>
                <w:spacing w:val="-5"/>
                <w:sz w:val="24"/>
              </w:rPr>
              <w:t>20</w:t>
            </w:r>
          </w:p>
        </w:tc>
        <w:tc>
          <w:tcPr>
            <w:tcW w:w="6196" w:type="dxa"/>
          </w:tcPr>
          <w:p>
            <w:pPr>
              <w:pStyle w:val="TableParagraph"/>
              <w:spacing w:before="47"/>
              <w:ind w:left="107"/>
              <w:rPr>
                <w:b/>
                <w:sz w:val="24"/>
              </w:rPr>
            </w:pPr>
            <w:r>
              <w:rPr>
                <w:b/>
                <w:sz w:val="24"/>
              </w:rPr>
              <w:t>Alignment</w:t>
            </w:r>
            <w:r>
              <w:rPr>
                <w:b/>
                <w:spacing w:val="-3"/>
                <w:sz w:val="24"/>
              </w:rPr>
              <w:t> </w:t>
            </w:r>
            <w:r>
              <w:rPr>
                <w:b/>
                <w:sz w:val="24"/>
              </w:rPr>
              <w:t>&amp;</w:t>
            </w:r>
            <w:r>
              <w:rPr>
                <w:b/>
                <w:spacing w:val="-3"/>
                <w:sz w:val="24"/>
              </w:rPr>
              <w:t> </w:t>
            </w:r>
            <w:r>
              <w:rPr>
                <w:b/>
                <w:sz w:val="24"/>
              </w:rPr>
              <w:t>Intersection</w:t>
            </w:r>
            <w:r>
              <w:rPr>
                <w:b/>
                <w:spacing w:val="-3"/>
                <w:sz w:val="24"/>
              </w:rPr>
              <w:t> </w:t>
            </w:r>
            <w:r>
              <w:rPr>
                <w:b/>
                <w:sz w:val="24"/>
              </w:rPr>
              <w:t>of</w:t>
            </w:r>
            <w:r>
              <w:rPr>
                <w:b/>
                <w:spacing w:val="-2"/>
                <w:sz w:val="24"/>
              </w:rPr>
              <w:t> Roads</w:t>
            </w:r>
          </w:p>
        </w:tc>
        <w:tc>
          <w:tcPr>
            <w:tcW w:w="1001" w:type="dxa"/>
          </w:tcPr>
          <w:p>
            <w:pPr>
              <w:pStyle w:val="TableParagraph"/>
              <w:spacing w:before="47"/>
              <w:ind w:left="6"/>
              <w:jc w:val="center"/>
              <w:rPr>
                <w:sz w:val="24"/>
              </w:rPr>
            </w:pPr>
            <w:r>
              <w:rPr>
                <w:spacing w:val="-5"/>
                <w:sz w:val="24"/>
              </w:rPr>
              <w:t>98</w:t>
            </w:r>
          </w:p>
        </w:tc>
      </w:tr>
      <w:tr>
        <w:trPr>
          <w:trHeight w:val="376" w:hRule="atLeast"/>
        </w:trPr>
        <w:tc>
          <w:tcPr>
            <w:tcW w:w="1572" w:type="dxa"/>
          </w:tcPr>
          <w:p>
            <w:pPr>
              <w:pStyle w:val="TableParagraph"/>
              <w:spacing w:before="47"/>
              <w:ind w:left="9" w:right="2"/>
              <w:jc w:val="center"/>
              <w:rPr>
                <w:sz w:val="24"/>
              </w:rPr>
            </w:pPr>
            <w:r>
              <w:rPr>
                <w:spacing w:val="-5"/>
                <w:sz w:val="24"/>
              </w:rPr>
              <w:t>21</w:t>
            </w:r>
          </w:p>
        </w:tc>
        <w:tc>
          <w:tcPr>
            <w:tcW w:w="6196" w:type="dxa"/>
          </w:tcPr>
          <w:p>
            <w:pPr>
              <w:pStyle w:val="TableParagraph"/>
              <w:spacing w:before="47"/>
              <w:ind w:left="107"/>
              <w:rPr>
                <w:b/>
                <w:sz w:val="24"/>
              </w:rPr>
            </w:pPr>
            <w:r>
              <w:rPr>
                <w:b/>
                <w:sz w:val="24"/>
              </w:rPr>
              <w:t>Highway</w:t>
            </w:r>
            <w:r>
              <w:rPr>
                <w:b/>
                <w:spacing w:val="-6"/>
                <w:sz w:val="24"/>
              </w:rPr>
              <w:t> </w:t>
            </w:r>
            <w:r>
              <w:rPr>
                <w:b/>
                <w:sz w:val="24"/>
              </w:rPr>
              <w:t>and</w:t>
            </w:r>
            <w:r>
              <w:rPr>
                <w:b/>
                <w:spacing w:val="-4"/>
                <w:sz w:val="24"/>
              </w:rPr>
              <w:t> </w:t>
            </w:r>
            <w:r>
              <w:rPr>
                <w:b/>
                <w:sz w:val="24"/>
              </w:rPr>
              <w:t>Wider</w:t>
            </w:r>
            <w:r>
              <w:rPr>
                <w:b/>
                <w:spacing w:val="-1"/>
                <w:sz w:val="24"/>
              </w:rPr>
              <w:t> </w:t>
            </w:r>
            <w:r>
              <w:rPr>
                <w:b/>
                <w:spacing w:val="-2"/>
                <w:sz w:val="24"/>
              </w:rPr>
              <w:t>Roads</w:t>
            </w:r>
          </w:p>
        </w:tc>
        <w:tc>
          <w:tcPr>
            <w:tcW w:w="1001" w:type="dxa"/>
          </w:tcPr>
          <w:p>
            <w:pPr>
              <w:pStyle w:val="TableParagraph"/>
              <w:spacing w:before="47"/>
              <w:ind w:left="6"/>
              <w:jc w:val="center"/>
              <w:rPr>
                <w:sz w:val="24"/>
              </w:rPr>
            </w:pPr>
            <w:r>
              <w:rPr>
                <w:spacing w:val="-5"/>
                <w:sz w:val="24"/>
              </w:rPr>
              <w:t>98</w:t>
            </w:r>
          </w:p>
        </w:tc>
      </w:tr>
      <w:tr>
        <w:trPr>
          <w:trHeight w:val="378" w:hRule="atLeast"/>
        </w:trPr>
        <w:tc>
          <w:tcPr>
            <w:tcW w:w="1572" w:type="dxa"/>
          </w:tcPr>
          <w:p>
            <w:pPr>
              <w:pStyle w:val="TableParagraph"/>
              <w:spacing w:before="47"/>
              <w:ind w:left="9" w:right="2"/>
              <w:jc w:val="center"/>
              <w:rPr>
                <w:sz w:val="24"/>
              </w:rPr>
            </w:pPr>
            <w:r>
              <w:rPr>
                <w:spacing w:val="-5"/>
                <w:sz w:val="24"/>
              </w:rPr>
              <w:t>22</w:t>
            </w:r>
          </w:p>
        </w:tc>
        <w:tc>
          <w:tcPr>
            <w:tcW w:w="6196" w:type="dxa"/>
          </w:tcPr>
          <w:p>
            <w:pPr>
              <w:pStyle w:val="TableParagraph"/>
              <w:spacing w:before="47"/>
              <w:ind w:left="107"/>
              <w:rPr>
                <w:b/>
                <w:sz w:val="24"/>
              </w:rPr>
            </w:pPr>
            <w:r>
              <w:rPr>
                <w:b/>
                <w:sz w:val="24"/>
              </w:rPr>
              <w:t>Access</w:t>
            </w:r>
            <w:r>
              <w:rPr>
                <w:b/>
                <w:spacing w:val="-3"/>
                <w:sz w:val="24"/>
              </w:rPr>
              <w:t> </w:t>
            </w:r>
            <w:r>
              <w:rPr>
                <w:b/>
                <w:sz w:val="24"/>
              </w:rPr>
              <w:t>to</w:t>
            </w:r>
            <w:r>
              <w:rPr>
                <w:b/>
                <w:spacing w:val="-3"/>
                <w:sz w:val="24"/>
              </w:rPr>
              <w:t> </w:t>
            </w:r>
            <w:r>
              <w:rPr>
                <w:b/>
                <w:sz w:val="24"/>
              </w:rPr>
              <w:t>land-locked</w:t>
            </w:r>
            <w:r>
              <w:rPr>
                <w:b/>
                <w:spacing w:val="-3"/>
                <w:sz w:val="24"/>
              </w:rPr>
              <w:t> </w:t>
            </w:r>
            <w:r>
              <w:rPr>
                <w:b/>
                <w:spacing w:val="-4"/>
                <w:sz w:val="24"/>
              </w:rPr>
              <w:t>plot</w:t>
            </w:r>
          </w:p>
        </w:tc>
        <w:tc>
          <w:tcPr>
            <w:tcW w:w="1001" w:type="dxa"/>
          </w:tcPr>
          <w:p>
            <w:pPr>
              <w:pStyle w:val="TableParagraph"/>
              <w:spacing w:before="47"/>
              <w:ind w:left="6"/>
              <w:jc w:val="center"/>
              <w:rPr>
                <w:sz w:val="24"/>
              </w:rPr>
            </w:pPr>
            <w:r>
              <w:rPr>
                <w:spacing w:val="-5"/>
                <w:sz w:val="24"/>
              </w:rPr>
              <w:t>99</w:t>
            </w:r>
          </w:p>
        </w:tc>
      </w:tr>
      <w:tr>
        <w:trPr>
          <w:trHeight w:val="376" w:hRule="atLeast"/>
        </w:trPr>
        <w:tc>
          <w:tcPr>
            <w:tcW w:w="1572" w:type="dxa"/>
          </w:tcPr>
          <w:p>
            <w:pPr>
              <w:pStyle w:val="TableParagraph"/>
              <w:spacing w:before="47"/>
              <w:ind w:left="9" w:right="2"/>
              <w:jc w:val="center"/>
              <w:rPr>
                <w:sz w:val="24"/>
              </w:rPr>
            </w:pPr>
            <w:r>
              <w:rPr>
                <w:spacing w:val="-5"/>
                <w:sz w:val="24"/>
              </w:rPr>
              <w:t>23</w:t>
            </w:r>
          </w:p>
        </w:tc>
        <w:tc>
          <w:tcPr>
            <w:tcW w:w="6196" w:type="dxa"/>
          </w:tcPr>
          <w:p>
            <w:pPr>
              <w:pStyle w:val="TableParagraph"/>
              <w:spacing w:before="47"/>
              <w:ind w:left="107"/>
              <w:rPr>
                <w:b/>
                <w:sz w:val="24"/>
              </w:rPr>
            </w:pPr>
            <w:r>
              <w:rPr>
                <w:b/>
                <w:sz w:val="24"/>
              </w:rPr>
              <w:t>Internal means of </w:t>
            </w:r>
            <w:r>
              <w:rPr>
                <w:b/>
                <w:spacing w:val="-2"/>
                <w:sz w:val="24"/>
              </w:rPr>
              <w:t>access</w:t>
            </w:r>
          </w:p>
        </w:tc>
        <w:tc>
          <w:tcPr>
            <w:tcW w:w="1001" w:type="dxa"/>
          </w:tcPr>
          <w:p>
            <w:pPr>
              <w:pStyle w:val="TableParagraph"/>
              <w:rPr>
                <w:rFonts w:ascii="Times New Roman"/>
                <w:sz w:val="22"/>
              </w:rPr>
            </w:pP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620" w:val="left" w:leader="none"/>
                <w:tab w:pos="2017" w:val="left" w:leader="none"/>
                <w:tab w:pos="2779" w:val="left" w:leader="none"/>
                <w:tab w:pos="3678" w:val="left" w:leader="none"/>
                <w:tab w:pos="4941" w:val="left" w:leader="none"/>
                <w:tab w:pos="5535" w:val="left" w:leader="none"/>
              </w:tabs>
              <w:spacing w:before="47"/>
              <w:ind w:left="107" w:right="110"/>
              <w:rPr>
                <w:sz w:val="24"/>
              </w:rPr>
            </w:pPr>
            <w:r>
              <w:rPr>
                <w:spacing w:val="-4"/>
                <w:sz w:val="24"/>
              </w:rPr>
              <w:t>(1)</w:t>
            </w:r>
            <w:r>
              <w:rPr>
                <w:sz w:val="24"/>
              </w:rPr>
              <w:tab/>
            </w:r>
            <w:r>
              <w:rPr>
                <w:spacing w:val="-2"/>
                <w:sz w:val="24"/>
              </w:rPr>
              <w:t>Minimum</w:t>
            </w:r>
            <w:r>
              <w:rPr>
                <w:sz w:val="24"/>
              </w:rPr>
              <w:tab/>
            </w:r>
            <w:r>
              <w:rPr>
                <w:spacing w:val="-4"/>
                <w:sz w:val="24"/>
              </w:rPr>
              <w:t>road</w:t>
            </w:r>
            <w:r>
              <w:rPr>
                <w:sz w:val="24"/>
              </w:rPr>
              <w:tab/>
            </w:r>
            <w:r>
              <w:rPr>
                <w:spacing w:val="-4"/>
                <w:sz w:val="24"/>
              </w:rPr>
              <w:t>width</w:t>
            </w:r>
            <w:r>
              <w:rPr>
                <w:sz w:val="24"/>
              </w:rPr>
              <w:tab/>
            </w:r>
            <w:r>
              <w:rPr>
                <w:spacing w:val="7"/>
                <w:sz w:val="24"/>
              </w:rPr>
              <w:t>vis-</w:t>
            </w:r>
            <w:r>
              <w:rPr>
                <w:sz w:val="24"/>
              </w:rPr>
              <w:t>à-vis</w:t>
              <w:tab/>
            </w:r>
            <w:r>
              <w:rPr>
                <w:spacing w:val="-4"/>
                <w:sz w:val="24"/>
              </w:rPr>
              <w:t>the</w:t>
            </w:r>
            <w:r>
              <w:rPr>
                <w:sz w:val="24"/>
              </w:rPr>
              <w:tab/>
            </w:r>
            <w:r>
              <w:rPr>
                <w:spacing w:val="-4"/>
                <w:sz w:val="24"/>
              </w:rPr>
              <w:t>are</w:t>
            </w:r>
            <w:r>
              <w:rPr>
                <w:spacing w:val="-4"/>
                <w:sz w:val="24"/>
              </w:rPr>
              <w:t>a</w:t>
            </w:r>
            <w:r>
              <w:rPr>
                <w:spacing w:val="-4"/>
                <w:sz w:val="24"/>
              </w:rPr>
              <w:t> </w:t>
            </w:r>
            <w:r>
              <w:rPr>
                <w:spacing w:val="-2"/>
                <w:sz w:val="24"/>
              </w:rPr>
              <w:t>served</w:t>
            </w:r>
          </w:p>
        </w:tc>
        <w:tc>
          <w:tcPr>
            <w:tcW w:w="1001" w:type="dxa"/>
          </w:tcPr>
          <w:p>
            <w:pPr>
              <w:pStyle w:val="TableParagraph"/>
              <w:spacing w:before="47"/>
              <w:ind w:left="6"/>
              <w:jc w:val="center"/>
              <w:rPr>
                <w:sz w:val="24"/>
              </w:rPr>
            </w:pPr>
            <w:r>
              <w:rPr>
                <w:spacing w:val="-5"/>
                <w:sz w:val="24"/>
              </w:rPr>
              <w:t>99</w:t>
            </w:r>
          </w:p>
        </w:tc>
      </w:tr>
      <w:tr>
        <w:trPr>
          <w:trHeight w:val="660" w:hRule="atLeast"/>
        </w:trPr>
        <w:tc>
          <w:tcPr>
            <w:tcW w:w="1572" w:type="dxa"/>
          </w:tcPr>
          <w:p>
            <w:pPr>
              <w:pStyle w:val="TableParagraph"/>
              <w:rPr>
                <w:rFonts w:ascii="Times New Roman"/>
                <w:sz w:val="22"/>
              </w:rPr>
            </w:pPr>
          </w:p>
        </w:tc>
        <w:tc>
          <w:tcPr>
            <w:tcW w:w="6196" w:type="dxa"/>
          </w:tcPr>
          <w:p>
            <w:pPr>
              <w:pStyle w:val="TableParagraph"/>
              <w:tabs>
                <w:tab w:pos="649" w:val="left" w:leader="none"/>
                <w:tab w:pos="1715" w:val="left" w:leader="none"/>
                <w:tab w:pos="2283" w:val="left" w:leader="none"/>
                <w:tab w:pos="3931" w:val="left" w:leader="none"/>
                <w:tab w:pos="5599" w:val="left" w:leader="none"/>
              </w:tabs>
              <w:spacing w:line="242" w:lineRule="auto" w:before="47"/>
              <w:ind w:left="479" w:right="117" w:hanging="372"/>
              <w:rPr>
                <w:sz w:val="24"/>
              </w:rPr>
            </w:pPr>
            <w:r>
              <w:rPr>
                <w:spacing w:val="-4"/>
                <w:sz w:val="24"/>
              </w:rPr>
              <w:t>(2)</w:t>
            </w:r>
            <w:r>
              <w:rPr>
                <w:sz w:val="24"/>
              </w:rPr>
              <w:tab/>
              <w:tab/>
            </w:r>
            <w:r>
              <w:rPr>
                <w:spacing w:val="-2"/>
                <w:sz w:val="24"/>
              </w:rPr>
              <w:t>Access</w:t>
            </w:r>
            <w:r>
              <w:rPr>
                <w:sz w:val="24"/>
              </w:rPr>
              <w:tab/>
            </w:r>
            <w:r>
              <w:rPr>
                <w:spacing w:val="-4"/>
                <w:sz w:val="24"/>
              </w:rPr>
              <w:t>for</w:t>
            </w:r>
            <w:r>
              <w:rPr>
                <w:sz w:val="24"/>
              </w:rPr>
              <w:tab/>
            </w:r>
            <w:r>
              <w:rPr>
                <w:spacing w:val="-2"/>
                <w:sz w:val="24"/>
              </w:rPr>
              <w:t>residential,</w:t>
            </w:r>
            <w:r>
              <w:rPr>
                <w:sz w:val="24"/>
              </w:rPr>
              <w:tab/>
            </w:r>
            <w:r>
              <w:rPr>
                <w:spacing w:val="-2"/>
                <w:sz w:val="24"/>
              </w:rPr>
              <w:t>commercial</w:t>
            </w:r>
            <w:r>
              <w:rPr>
                <w:sz w:val="24"/>
              </w:rPr>
              <w:tab/>
            </w:r>
            <w:r>
              <w:rPr>
                <w:spacing w:val="-4"/>
                <w:sz w:val="24"/>
              </w:rPr>
              <w:t>an</w:t>
            </w:r>
            <w:r>
              <w:rPr>
                <w:spacing w:val="-4"/>
                <w:sz w:val="24"/>
              </w:rPr>
              <w:t>d</w:t>
            </w:r>
            <w:r>
              <w:rPr>
                <w:spacing w:val="-4"/>
                <w:sz w:val="24"/>
              </w:rPr>
              <w:t> </w:t>
            </w:r>
            <w:r>
              <w:rPr>
                <w:sz w:val="24"/>
              </w:rPr>
              <w:t>industrial </w:t>
            </w:r>
            <w:r>
              <w:rPr>
                <w:spacing w:val="9"/>
                <w:sz w:val="24"/>
              </w:rPr>
              <w:t>zones</w:t>
            </w:r>
          </w:p>
        </w:tc>
        <w:tc>
          <w:tcPr>
            <w:tcW w:w="1001" w:type="dxa"/>
          </w:tcPr>
          <w:p>
            <w:pPr>
              <w:pStyle w:val="TableParagraph"/>
              <w:spacing w:before="47"/>
              <w:ind w:left="6"/>
              <w:jc w:val="center"/>
              <w:rPr>
                <w:sz w:val="24"/>
              </w:rPr>
            </w:pPr>
            <w:r>
              <w:rPr>
                <w:spacing w:val="-5"/>
                <w:sz w:val="24"/>
              </w:rPr>
              <w:t>100</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42"/>
                <w:sz w:val="24"/>
              </w:rPr>
              <w:t> </w:t>
            </w:r>
            <w:r>
              <w:rPr>
                <w:sz w:val="24"/>
              </w:rPr>
              <w:t>Larger</w:t>
            </w:r>
            <w:r>
              <w:rPr>
                <w:spacing w:val="45"/>
                <w:sz w:val="24"/>
              </w:rPr>
              <w:t> </w:t>
            </w:r>
            <w:r>
              <w:rPr>
                <w:sz w:val="24"/>
              </w:rPr>
              <w:t>width</w:t>
            </w:r>
            <w:r>
              <w:rPr>
                <w:spacing w:val="45"/>
                <w:sz w:val="24"/>
              </w:rPr>
              <w:t> </w:t>
            </w:r>
            <w:r>
              <w:rPr>
                <w:sz w:val="24"/>
              </w:rPr>
              <w:t>of</w:t>
            </w:r>
            <w:r>
              <w:rPr>
                <w:spacing w:val="48"/>
                <w:sz w:val="24"/>
              </w:rPr>
              <w:t> </w:t>
            </w:r>
            <w:r>
              <w:rPr>
                <w:sz w:val="24"/>
              </w:rPr>
              <w:t>Means</w:t>
            </w:r>
            <w:r>
              <w:rPr>
                <w:spacing w:val="45"/>
                <w:sz w:val="24"/>
              </w:rPr>
              <w:t> </w:t>
            </w:r>
            <w:r>
              <w:rPr>
                <w:sz w:val="24"/>
              </w:rPr>
              <w:t>of</w:t>
            </w:r>
            <w:r>
              <w:rPr>
                <w:spacing w:val="48"/>
                <w:sz w:val="24"/>
              </w:rPr>
              <w:t> </w:t>
            </w:r>
            <w:r>
              <w:rPr>
                <w:spacing w:val="-2"/>
                <w:sz w:val="24"/>
              </w:rPr>
              <w:t>Access</w:t>
            </w:r>
          </w:p>
        </w:tc>
        <w:tc>
          <w:tcPr>
            <w:tcW w:w="1001" w:type="dxa"/>
          </w:tcPr>
          <w:p>
            <w:pPr>
              <w:pStyle w:val="TableParagraph"/>
              <w:spacing w:line="281" w:lineRule="exact"/>
              <w:ind w:left="6"/>
              <w:jc w:val="center"/>
              <w:rPr>
                <w:sz w:val="24"/>
              </w:rPr>
            </w:pPr>
            <w:r>
              <w:rPr>
                <w:spacing w:val="-5"/>
                <w:sz w:val="24"/>
              </w:rPr>
              <w:t>100</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(4)</w:t>
            </w:r>
            <w:r>
              <w:rPr>
                <w:spacing w:val="50"/>
                <w:sz w:val="24"/>
              </w:rPr>
              <w:t> </w:t>
            </w:r>
            <w:r>
              <w:rPr>
                <w:sz w:val="24"/>
              </w:rPr>
              <w:t>Access</w:t>
            </w:r>
            <w:r>
              <w:rPr>
                <w:spacing w:val="51"/>
                <w:sz w:val="24"/>
              </w:rPr>
              <w:t> </w:t>
            </w:r>
            <w:r>
              <w:rPr>
                <w:sz w:val="24"/>
              </w:rPr>
              <w:t>in</w:t>
            </w:r>
            <w:r>
              <w:rPr>
                <w:spacing w:val="54"/>
                <w:sz w:val="24"/>
              </w:rPr>
              <w:t> </w:t>
            </w:r>
            <w:r>
              <w:rPr>
                <w:sz w:val="24"/>
              </w:rPr>
              <w:t>Partially</w:t>
            </w:r>
            <w:r>
              <w:rPr>
                <w:spacing w:val="52"/>
                <w:sz w:val="24"/>
              </w:rPr>
              <w:t> </w:t>
            </w:r>
            <w:r>
              <w:rPr>
                <w:sz w:val="24"/>
              </w:rPr>
              <w:t>Built</w:t>
            </w:r>
            <w:r>
              <w:rPr>
                <w:spacing w:val="54"/>
                <w:sz w:val="24"/>
              </w:rPr>
              <w:t> </w:t>
            </w:r>
            <w:r>
              <w:rPr>
                <w:sz w:val="24"/>
              </w:rPr>
              <w:t>Up</w:t>
            </w:r>
            <w:r>
              <w:rPr>
                <w:spacing w:val="50"/>
                <w:sz w:val="24"/>
              </w:rPr>
              <w:t> </w:t>
            </w:r>
            <w:r>
              <w:rPr>
                <w:spacing w:val="-4"/>
                <w:sz w:val="24"/>
              </w:rPr>
              <w:t>Plots</w:t>
            </w:r>
          </w:p>
        </w:tc>
        <w:tc>
          <w:tcPr>
            <w:tcW w:w="1001" w:type="dxa"/>
          </w:tcPr>
          <w:p>
            <w:pPr>
              <w:pStyle w:val="TableParagraph"/>
              <w:spacing w:line="281" w:lineRule="exact"/>
              <w:ind w:left="6"/>
              <w:jc w:val="center"/>
              <w:rPr>
                <w:sz w:val="24"/>
              </w:rPr>
            </w:pPr>
            <w:r>
              <w:rPr>
                <w:spacing w:val="-5"/>
                <w:sz w:val="24"/>
              </w:rPr>
              <w:t>101</w:t>
            </w:r>
          </w:p>
        </w:tc>
      </w:tr>
      <w:tr>
        <w:trPr>
          <w:trHeight w:val="378" w:hRule="atLeast"/>
        </w:trPr>
        <w:tc>
          <w:tcPr>
            <w:tcW w:w="1572" w:type="dxa"/>
          </w:tcPr>
          <w:p>
            <w:pPr>
              <w:pStyle w:val="TableParagraph"/>
              <w:spacing w:before="47"/>
              <w:ind w:left="9" w:right="2"/>
              <w:jc w:val="center"/>
              <w:rPr>
                <w:sz w:val="24"/>
              </w:rPr>
            </w:pPr>
            <w:r>
              <w:rPr>
                <w:spacing w:val="-5"/>
                <w:sz w:val="24"/>
              </w:rPr>
              <w:t>24</w:t>
            </w:r>
          </w:p>
        </w:tc>
        <w:tc>
          <w:tcPr>
            <w:tcW w:w="6196" w:type="dxa"/>
          </w:tcPr>
          <w:p>
            <w:pPr>
              <w:pStyle w:val="TableParagraph"/>
              <w:spacing w:before="47"/>
              <w:ind w:left="107"/>
              <w:rPr>
                <w:b/>
                <w:sz w:val="24"/>
              </w:rPr>
            </w:pPr>
            <w:r>
              <w:rPr>
                <w:b/>
                <w:sz w:val="24"/>
              </w:rPr>
              <w:t>Minimum</w:t>
            </w:r>
            <w:r>
              <w:rPr>
                <w:b/>
                <w:spacing w:val="-4"/>
                <w:sz w:val="24"/>
              </w:rPr>
              <w:t> </w:t>
            </w:r>
            <w:r>
              <w:rPr>
                <w:b/>
                <w:sz w:val="24"/>
              </w:rPr>
              <w:t>Width</w:t>
            </w:r>
            <w:r>
              <w:rPr>
                <w:b/>
                <w:spacing w:val="-2"/>
                <w:sz w:val="24"/>
              </w:rPr>
              <w:t> </w:t>
            </w:r>
            <w:r>
              <w:rPr>
                <w:b/>
                <w:sz w:val="24"/>
              </w:rPr>
              <w:t>of</w:t>
            </w:r>
            <w:r>
              <w:rPr>
                <w:b/>
                <w:spacing w:val="-1"/>
                <w:sz w:val="24"/>
              </w:rPr>
              <w:t> </w:t>
            </w:r>
            <w:r>
              <w:rPr>
                <w:b/>
                <w:spacing w:val="-2"/>
                <w:sz w:val="24"/>
              </w:rPr>
              <w:t>Pathways</w:t>
            </w:r>
          </w:p>
        </w:tc>
        <w:tc>
          <w:tcPr>
            <w:tcW w:w="1001" w:type="dxa"/>
          </w:tcPr>
          <w:p>
            <w:pPr>
              <w:pStyle w:val="TableParagraph"/>
              <w:spacing w:before="47"/>
              <w:ind w:left="6"/>
              <w:jc w:val="center"/>
              <w:rPr>
                <w:sz w:val="24"/>
              </w:rPr>
            </w:pPr>
            <w:r>
              <w:rPr>
                <w:spacing w:val="-5"/>
                <w:sz w:val="24"/>
              </w:rPr>
              <w:t>102</w:t>
            </w:r>
          </w:p>
        </w:tc>
      </w:tr>
      <w:tr>
        <w:trPr>
          <w:trHeight w:val="376" w:hRule="atLeast"/>
        </w:trPr>
        <w:tc>
          <w:tcPr>
            <w:tcW w:w="1572" w:type="dxa"/>
          </w:tcPr>
          <w:p>
            <w:pPr>
              <w:pStyle w:val="TableParagraph"/>
              <w:spacing w:before="47"/>
              <w:ind w:left="9" w:right="2"/>
              <w:jc w:val="center"/>
              <w:rPr>
                <w:sz w:val="24"/>
              </w:rPr>
            </w:pPr>
            <w:r>
              <w:rPr>
                <w:spacing w:val="-5"/>
                <w:sz w:val="24"/>
              </w:rPr>
              <w:t>25</w:t>
            </w:r>
          </w:p>
        </w:tc>
        <w:tc>
          <w:tcPr>
            <w:tcW w:w="6196" w:type="dxa"/>
          </w:tcPr>
          <w:p>
            <w:pPr>
              <w:pStyle w:val="TableParagraph"/>
              <w:spacing w:before="47"/>
              <w:ind w:left="107"/>
              <w:rPr>
                <w:b/>
                <w:sz w:val="24"/>
              </w:rPr>
            </w:pPr>
            <w:r>
              <w:rPr>
                <w:b/>
                <w:spacing w:val="-2"/>
                <w:sz w:val="24"/>
              </w:rPr>
              <w:t>Means</w:t>
            </w:r>
            <w:r>
              <w:rPr>
                <w:b/>
                <w:spacing w:val="-14"/>
                <w:sz w:val="24"/>
              </w:rPr>
              <w:t> </w:t>
            </w:r>
            <w:r>
              <w:rPr>
                <w:b/>
                <w:spacing w:val="-2"/>
                <w:sz w:val="24"/>
              </w:rPr>
              <w:t>of</w:t>
            </w:r>
            <w:r>
              <w:rPr>
                <w:b/>
                <w:spacing w:val="-14"/>
                <w:sz w:val="24"/>
              </w:rPr>
              <w:t> </w:t>
            </w:r>
            <w:r>
              <w:rPr>
                <w:b/>
                <w:spacing w:val="-2"/>
                <w:sz w:val="24"/>
              </w:rPr>
              <w:t>Access</w:t>
            </w:r>
            <w:r>
              <w:rPr>
                <w:b/>
                <w:spacing w:val="-14"/>
                <w:sz w:val="24"/>
              </w:rPr>
              <w:t> </w:t>
            </w:r>
            <w:r>
              <w:rPr>
                <w:b/>
                <w:spacing w:val="-2"/>
                <w:sz w:val="24"/>
              </w:rPr>
              <w:t>to</w:t>
            </w:r>
            <w:r>
              <w:rPr>
                <w:b/>
                <w:spacing w:val="-14"/>
                <w:sz w:val="24"/>
              </w:rPr>
              <w:t> </w:t>
            </w:r>
            <w:r>
              <w:rPr>
                <w:b/>
                <w:spacing w:val="-2"/>
                <w:sz w:val="24"/>
              </w:rPr>
              <w:t>be</w:t>
            </w:r>
            <w:r>
              <w:rPr>
                <w:b/>
                <w:spacing w:val="-14"/>
                <w:sz w:val="24"/>
              </w:rPr>
              <w:t> </w:t>
            </w:r>
            <w:r>
              <w:rPr>
                <w:b/>
                <w:spacing w:val="-2"/>
                <w:sz w:val="24"/>
              </w:rPr>
              <w:t>Constructed</w:t>
            </w:r>
            <w:r>
              <w:rPr>
                <w:b/>
                <w:spacing w:val="-14"/>
                <w:sz w:val="24"/>
              </w:rPr>
              <w:t> </w:t>
            </w:r>
            <w:r>
              <w:rPr>
                <w:b/>
                <w:spacing w:val="-2"/>
                <w:sz w:val="24"/>
              </w:rPr>
              <w:t>&amp;</w:t>
            </w:r>
            <w:r>
              <w:rPr>
                <w:b/>
                <w:spacing w:val="-13"/>
                <w:sz w:val="24"/>
              </w:rPr>
              <w:t> </w:t>
            </w:r>
            <w:r>
              <w:rPr>
                <w:b/>
                <w:spacing w:val="-2"/>
                <w:sz w:val="24"/>
              </w:rPr>
              <w:t>Maintained</w:t>
            </w:r>
          </w:p>
        </w:tc>
        <w:tc>
          <w:tcPr>
            <w:tcW w:w="1001" w:type="dxa"/>
          </w:tcPr>
          <w:p>
            <w:pPr>
              <w:pStyle w:val="TableParagraph"/>
              <w:rPr>
                <w:rFonts w:ascii="Times New Roman"/>
                <w:sz w:val="22"/>
              </w:rPr>
            </w:pP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35"/>
                <w:sz w:val="24"/>
              </w:rPr>
              <w:t> </w:t>
            </w:r>
            <w:r>
              <w:rPr>
                <w:spacing w:val="7"/>
                <w:sz w:val="24"/>
              </w:rPr>
              <w:t>General</w:t>
            </w:r>
          </w:p>
        </w:tc>
        <w:tc>
          <w:tcPr>
            <w:tcW w:w="1001" w:type="dxa"/>
          </w:tcPr>
          <w:p>
            <w:pPr>
              <w:pStyle w:val="TableParagraph"/>
              <w:spacing w:before="47"/>
              <w:ind w:left="6"/>
              <w:jc w:val="center"/>
              <w:rPr>
                <w:sz w:val="24"/>
              </w:rPr>
            </w:pPr>
            <w:r>
              <w:rPr>
                <w:spacing w:val="-5"/>
                <w:sz w:val="24"/>
              </w:rPr>
              <w:t>101</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(2)</w:t>
            </w:r>
            <w:r>
              <w:rPr>
                <w:spacing w:val="56"/>
                <w:sz w:val="24"/>
              </w:rPr>
              <w:t> </w:t>
            </w:r>
            <w:r>
              <w:rPr>
                <w:sz w:val="24"/>
              </w:rPr>
              <w:t>Private</w:t>
            </w:r>
            <w:r>
              <w:rPr>
                <w:spacing w:val="56"/>
                <w:sz w:val="24"/>
              </w:rPr>
              <w:t> </w:t>
            </w:r>
            <w:r>
              <w:rPr>
                <w:spacing w:val="7"/>
                <w:sz w:val="24"/>
              </w:rPr>
              <w:t>Street</w:t>
            </w:r>
          </w:p>
        </w:tc>
        <w:tc>
          <w:tcPr>
            <w:tcW w:w="1001" w:type="dxa"/>
          </w:tcPr>
          <w:p>
            <w:pPr>
              <w:pStyle w:val="TableParagraph"/>
              <w:spacing w:line="281" w:lineRule="exact"/>
              <w:ind w:left="6"/>
              <w:jc w:val="center"/>
              <w:rPr>
                <w:sz w:val="24"/>
              </w:rPr>
            </w:pPr>
            <w:r>
              <w:rPr>
                <w:spacing w:val="-5"/>
                <w:sz w:val="24"/>
              </w:rPr>
              <w:t>101</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42"/>
                <w:sz w:val="24"/>
              </w:rPr>
              <w:t> </w:t>
            </w:r>
            <w:r>
              <w:rPr>
                <w:sz w:val="24"/>
              </w:rPr>
              <w:t>How</w:t>
            </w:r>
            <w:r>
              <w:rPr>
                <w:spacing w:val="45"/>
                <w:sz w:val="24"/>
              </w:rPr>
              <w:t> </w:t>
            </w:r>
            <w:r>
              <w:rPr>
                <w:sz w:val="24"/>
              </w:rPr>
              <w:t>to</w:t>
            </w:r>
            <w:r>
              <w:rPr>
                <w:spacing w:val="45"/>
                <w:sz w:val="24"/>
              </w:rPr>
              <w:t> </w:t>
            </w:r>
            <w:r>
              <w:rPr>
                <w:sz w:val="24"/>
              </w:rPr>
              <w:t>measure</w:t>
            </w:r>
            <w:r>
              <w:rPr>
                <w:spacing w:val="47"/>
                <w:sz w:val="24"/>
              </w:rPr>
              <w:t> </w:t>
            </w:r>
            <w:r>
              <w:rPr>
                <w:sz w:val="24"/>
              </w:rPr>
              <w:t>the</w:t>
            </w:r>
            <w:r>
              <w:rPr>
                <w:spacing w:val="45"/>
                <w:sz w:val="24"/>
              </w:rPr>
              <w:t> </w:t>
            </w:r>
            <w:r>
              <w:rPr>
                <w:sz w:val="24"/>
              </w:rPr>
              <w:t>length</w:t>
            </w:r>
            <w:r>
              <w:rPr>
                <w:spacing w:val="45"/>
                <w:sz w:val="24"/>
              </w:rPr>
              <w:t> </w:t>
            </w:r>
            <w:r>
              <w:rPr>
                <w:sz w:val="24"/>
              </w:rPr>
              <w:t>of</w:t>
            </w:r>
            <w:r>
              <w:rPr>
                <w:spacing w:val="48"/>
                <w:sz w:val="24"/>
              </w:rPr>
              <w:t> </w:t>
            </w:r>
            <w:r>
              <w:rPr>
                <w:spacing w:val="9"/>
                <w:sz w:val="24"/>
              </w:rPr>
              <w:t>Access-</w:t>
            </w:r>
            <w:r>
              <w:rPr>
                <w:spacing w:val="-4"/>
                <w:sz w:val="24"/>
              </w:rPr>
              <w:t>ways</w:t>
            </w:r>
          </w:p>
        </w:tc>
        <w:tc>
          <w:tcPr>
            <w:tcW w:w="1001" w:type="dxa"/>
          </w:tcPr>
          <w:p>
            <w:pPr>
              <w:pStyle w:val="TableParagraph"/>
              <w:spacing w:line="281" w:lineRule="exact"/>
              <w:ind w:left="6"/>
              <w:jc w:val="center"/>
              <w:rPr>
                <w:sz w:val="24"/>
              </w:rPr>
            </w:pPr>
            <w:r>
              <w:rPr>
                <w:spacing w:val="-5"/>
                <w:sz w:val="24"/>
              </w:rPr>
              <w:t>102</w:t>
            </w:r>
          </w:p>
        </w:tc>
      </w:tr>
      <w:tr>
        <w:trPr>
          <w:trHeight w:val="376" w:hRule="atLeast"/>
        </w:trPr>
        <w:tc>
          <w:tcPr>
            <w:tcW w:w="1572" w:type="dxa"/>
          </w:tcPr>
          <w:p>
            <w:pPr>
              <w:pStyle w:val="TableParagraph"/>
              <w:spacing w:before="47"/>
              <w:ind w:left="9" w:right="2"/>
              <w:jc w:val="center"/>
              <w:rPr>
                <w:sz w:val="24"/>
              </w:rPr>
            </w:pPr>
            <w:r>
              <w:rPr>
                <w:spacing w:val="-5"/>
                <w:sz w:val="24"/>
              </w:rPr>
              <w:t>26</w:t>
            </w:r>
          </w:p>
        </w:tc>
        <w:tc>
          <w:tcPr>
            <w:tcW w:w="6196" w:type="dxa"/>
          </w:tcPr>
          <w:p>
            <w:pPr>
              <w:pStyle w:val="TableParagraph"/>
              <w:spacing w:before="47"/>
              <w:ind w:left="107"/>
              <w:rPr>
                <w:b/>
                <w:sz w:val="24"/>
              </w:rPr>
            </w:pPr>
            <w:r>
              <w:rPr>
                <w:b/>
                <w:sz w:val="24"/>
              </w:rPr>
              <w:t>Layout/Amalgamation/Subdivision</w:t>
            </w:r>
            <w:r>
              <w:rPr>
                <w:b/>
                <w:spacing w:val="-17"/>
                <w:sz w:val="24"/>
              </w:rPr>
              <w:t> </w:t>
            </w:r>
            <w:r>
              <w:rPr>
                <w:b/>
                <w:sz w:val="24"/>
              </w:rPr>
              <w:t>of</w:t>
            </w:r>
            <w:r>
              <w:rPr>
                <w:b/>
                <w:spacing w:val="-15"/>
                <w:sz w:val="24"/>
              </w:rPr>
              <w:t> </w:t>
            </w:r>
            <w:r>
              <w:rPr>
                <w:b/>
                <w:spacing w:val="-2"/>
                <w:sz w:val="24"/>
              </w:rPr>
              <w:t>Plots</w:t>
            </w:r>
          </w:p>
        </w:tc>
        <w:tc>
          <w:tcPr>
            <w:tcW w:w="1001" w:type="dxa"/>
          </w:tcPr>
          <w:p>
            <w:pPr>
              <w:pStyle w:val="TableParagraph"/>
              <w:rPr>
                <w:rFonts w:ascii="Times New Roman"/>
                <w:sz w:val="22"/>
              </w:rPr>
            </w:pPr>
          </w:p>
        </w:tc>
      </w:tr>
      <w:tr>
        <w:trPr>
          <w:trHeight w:val="660" w:hRule="atLeast"/>
        </w:trPr>
        <w:tc>
          <w:tcPr>
            <w:tcW w:w="1572" w:type="dxa"/>
          </w:tcPr>
          <w:p>
            <w:pPr>
              <w:pStyle w:val="TableParagraph"/>
              <w:rPr>
                <w:rFonts w:ascii="Times New Roman"/>
                <w:sz w:val="22"/>
              </w:rPr>
            </w:pPr>
          </w:p>
        </w:tc>
        <w:tc>
          <w:tcPr>
            <w:tcW w:w="6196" w:type="dxa"/>
          </w:tcPr>
          <w:p>
            <w:pPr>
              <w:pStyle w:val="TableParagraph"/>
              <w:spacing w:before="50"/>
              <w:ind w:left="486" w:right="109" w:hanging="360"/>
              <w:rPr>
                <w:sz w:val="24"/>
              </w:rPr>
            </w:pPr>
            <w:r>
              <w:rPr>
                <w:sz w:val="24"/>
              </w:rPr>
              <w:t>(1)</w:t>
            </w:r>
            <w:r>
              <w:rPr>
                <w:spacing w:val="-3"/>
                <w:sz w:val="24"/>
              </w:rPr>
              <w:t> </w:t>
            </w:r>
            <w:r>
              <w:rPr>
                <w:sz w:val="24"/>
              </w:rPr>
              <w:t>Circumstances</w:t>
            </w:r>
            <w:r>
              <w:rPr>
                <w:spacing w:val="80"/>
                <w:sz w:val="24"/>
              </w:rPr>
              <w:t> </w:t>
            </w:r>
            <w:r>
              <w:rPr>
                <w:sz w:val="24"/>
              </w:rPr>
              <w:t>warranting</w:t>
            </w:r>
            <w:r>
              <w:rPr>
                <w:spacing w:val="80"/>
                <w:sz w:val="24"/>
              </w:rPr>
              <w:t> </w:t>
            </w:r>
            <w:r>
              <w:rPr>
                <w:sz w:val="24"/>
              </w:rPr>
              <w:t>preparation</w:t>
            </w:r>
            <w:r>
              <w:rPr>
                <w:spacing w:val="80"/>
                <w:sz w:val="24"/>
              </w:rPr>
              <w:t> </w:t>
            </w:r>
            <w:r>
              <w:rPr>
                <w:sz w:val="24"/>
              </w:rPr>
              <w:t>of</w:t>
            </w:r>
            <w:r>
              <w:rPr>
                <w:spacing w:val="80"/>
                <w:sz w:val="24"/>
              </w:rPr>
              <w:t> </w:t>
            </w:r>
            <w:r>
              <w:rPr>
                <w:sz w:val="24"/>
              </w:rPr>
              <w:t>a </w:t>
            </w:r>
            <w:r>
              <w:rPr>
                <w:spacing w:val="7"/>
                <w:sz w:val="24"/>
              </w:rPr>
              <w:t>layout/sub-</w:t>
            </w:r>
            <w:r>
              <w:rPr>
                <w:sz w:val="24"/>
              </w:rPr>
              <w:t>division/amalgamation</w:t>
            </w:r>
          </w:p>
        </w:tc>
        <w:tc>
          <w:tcPr>
            <w:tcW w:w="1001" w:type="dxa"/>
          </w:tcPr>
          <w:p>
            <w:pPr>
              <w:pStyle w:val="TableParagraph"/>
              <w:spacing w:before="50"/>
              <w:ind w:left="6"/>
              <w:jc w:val="center"/>
              <w:rPr>
                <w:sz w:val="24"/>
              </w:rPr>
            </w:pPr>
            <w:r>
              <w:rPr>
                <w:spacing w:val="-5"/>
                <w:sz w:val="24"/>
              </w:rPr>
              <w:t>102</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(2)</w:t>
            </w:r>
            <w:r>
              <w:rPr>
                <w:spacing w:val="35"/>
                <w:sz w:val="24"/>
              </w:rPr>
              <w:t> </w:t>
            </w:r>
            <w:r>
              <w:rPr>
                <w:spacing w:val="7"/>
                <w:sz w:val="24"/>
              </w:rPr>
              <w:t>Contents</w:t>
            </w:r>
          </w:p>
        </w:tc>
        <w:tc>
          <w:tcPr>
            <w:tcW w:w="1001" w:type="dxa"/>
          </w:tcPr>
          <w:p>
            <w:pPr>
              <w:pStyle w:val="TableParagraph"/>
              <w:spacing w:before="1"/>
              <w:ind w:left="6"/>
              <w:jc w:val="center"/>
              <w:rPr>
                <w:sz w:val="24"/>
              </w:rPr>
            </w:pPr>
            <w:r>
              <w:rPr>
                <w:spacing w:val="-5"/>
                <w:sz w:val="24"/>
              </w:rPr>
              <w:t>102</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53"/>
                <w:sz w:val="24"/>
              </w:rPr>
              <w:t> </w:t>
            </w:r>
            <w:r>
              <w:rPr>
                <w:sz w:val="24"/>
              </w:rPr>
              <w:t>Minimum</w:t>
            </w:r>
            <w:r>
              <w:rPr>
                <w:spacing w:val="53"/>
                <w:sz w:val="24"/>
              </w:rPr>
              <w:t> </w:t>
            </w:r>
            <w:r>
              <w:rPr>
                <w:sz w:val="24"/>
              </w:rPr>
              <w:t>plot</w:t>
            </w:r>
            <w:r>
              <w:rPr>
                <w:spacing w:val="54"/>
                <w:sz w:val="24"/>
              </w:rPr>
              <w:t> </w:t>
            </w:r>
            <w:r>
              <w:rPr>
                <w:spacing w:val="7"/>
                <w:sz w:val="24"/>
              </w:rPr>
              <w:t>areas</w:t>
            </w:r>
          </w:p>
        </w:tc>
        <w:tc>
          <w:tcPr>
            <w:tcW w:w="1001" w:type="dxa"/>
          </w:tcPr>
          <w:p>
            <w:pPr>
              <w:pStyle w:val="TableParagraph"/>
              <w:spacing w:line="281" w:lineRule="exact"/>
              <w:ind w:left="6"/>
              <w:jc w:val="center"/>
              <w:rPr>
                <w:sz w:val="24"/>
              </w:rPr>
            </w:pPr>
            <w:r>
              <w:rPr>
                <w:spacing w:val="-5"/>
                <w:sz w:val="24"/>
              </w:rPr>
              <w:t>102</w:t>
            </w:r>
          </w:p>
        </w:tc>
      </w:tr>
      <w:tr>
        <w:trPr>
          <w:trHeight w:val="659" w:hRule="atLeast"/>
        </w:trPr>
        <w:tc>
          <w:tcPr>
            <w:tcW w:w="1572" w:type="dxa"/>
          </w:tcPr>
          <w:p>
            <w:pPr>
              <w:pStyle w:val="TableParagraph"/>
              <w:spacing w:before="188"/>
              <w:ind w:left="9" w:right="2"/>
              <w:jc w:val="center"/>
              <w:rPr>
                <w:sz w:val="24"/>
              </w:rPr>
            </w:pPr>
            <w:r>
              <w:rPr>
                <w:spacing w:val="-5"/>
                <w:sz w:val="24"/>
              </w:rPr>
              <w:t>27</w:t>
            </w:r>
          </w:p>
        </w:tc>
        <w:tc>
          <w:tcPr>
            <w:tcW w:w="6196" w:type="dxa"/>
          </w:tcPr>
          <w:p>
            <w:pPr>
              <w:pStyle w:val="TableParagraph"/>
              <w:spacing w:before="49"/>
              <w:ind w:left="107" w:firstLine="81"/>
              <w:rPr>
                <w:b/>
                <w:sz w:val="24"/>
              </w:rPr>
            </w:pPr>
            <w:r>
              <w:rPr>
                <w:b/>
                <w:sz w:val="24"/>
              </w:rPr>
              <w:t>Layout/Plot</w:t>
            </w:r>
            <w:r>
              <w:rPr>
                <w:b/>
                <w:spacing w:val="-12"/>
                <w:sz w:val="24"/>
              </w:rPr>
              <w:t> </w:t>
            </w:r>
            <w:r>
              <w:rPr>
                <w:b/>
                <w:sz w:val="24"/>
              </w:rPr>
              <w:t>Recreational</w:t>
            </w:r>
            <w:r>
              <w:rPr>
                <w:b/>
                <w:spacing w:val="-12"/>
                <w:sz w:val="24"/>
              </w:rPr>
              <w:t> </w:t>
            </w:r>
            <w:r>
              <w:rPr>
                <w:b/>
                <w:sz w:val="24"/>
              </w:rPr>
              <w:t>Ground/Open</w:t>
            </w:r>
            <w:r>
              <w:rPr>
                <w:b/>
                <w:spacing w:val="-12"/>
                <w:sz w:val="24"/>
              </w:rPr>
              <w:t> </w:t>
            </w:r>
            <w:r>
              <w:rPr>
                <w:b/>
                <w:sz w:val="24"/>
              </w:rPr>
              <w:t>Spaces (LOS) in Layout/Plot</w:t>
            </w:r>
          </w:p>
        </w:tc>
        <w:tc>
          <w:tcPr>
            <w:tcW w:w="1001" w:type="dxa"/>
          </w:tcPr>
          <w:p>
            <w:pPr>
              <w:pStyle w:val="TableParagraph"/>
              <w:rPr>
                <w:rFonts w:ascii="Times New Roman"/>
                <w:sz w:val="22"/>
              </w:rPr>
            </w:pP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665" w:val="left" w:leader="none"/>
              </w:tabs>
              <w:spacing w:before="49"/>
              <w:ind w:left="107"/>
              <w:rPr>
                <w:sz w:val="24"/>
              </w:rPr>
            </w:pPr>
            <w:r>
              <w:rPr>
                <w:spacing w:val="-5"/>
                <w:sz w:val="24"/>
              </w:rPr>
              <w:t>(1)</w:t>
            </w:r>
            <w:r>
              <w:rPr>
                <w:sz w:val="24"/>
              </w:rPr>
              <w:tab/>
              <w:t>LOS</w:t>
            </w:r>
            <w:r>
              <w:rPr>
                <w:spacing w:val="55"/>
                <w:w w:val="150"/>
                <w:sz w:val="24"/>
              </w:rPr>
              <w:t> </w:t>
            </w:r>
            <w:r>
              <w:rPr>
                <w:sz w:val="24"/>
              </w:rPr>
              <w:t>in</w:t>
            </w:r>
            <w:r>
              <w:rPr>
                <w:spacing w:val="56"/>
                <w:w w:val="150"/>
                <w:sz w:val="24"/>
              </w:rPr>
              <w:t> </w:t>
            </w:r>
            <w:r>
              <w:rPr>
                <w:sz w:val="24"/>
              </w:rPr>
              <w:t>residential</w:t>
            </w:r>
            <w:r>
              <w:rPr>
                <w:spacing w:val="56"/>
                <w:w w:val="150"/>
                <w:sz w:val="24"/>
              </w:rPr>
              <w:t> </w:t>
            </w:r>
            <w:r>
              <w:rPr>
                <w:sz w:val="24"/>
              </w:rPr>
              <w:t>and</w:t>
            </w:r>
            <w:r>
              <w:rPr>
                <w:spacing w:val="58"/>
                <w:w w:val="150"/>
                <w:sz w:val="24"/>
              </w:rPr>
              <w:t> </w:t>
            </w:r>
            <w:r>
              <w:rPr>
                <w:sz w:val="24"/>
              </w:rPr>
              <w:t>commercial</w:t>
            </w:r>
            <w:r>
              <w:rPr>
                <w:spacing w:val="56"/>
                <w:w w:val="150"/>
                <w:sz w:val="24"/>
              </w:rPr>
              <w:t> </w:t>
            </w:r>
            <w:r>
              <w:rPr>
                <w:spacing w:val="-2"/>
                <w:sz w:val="24"/>
              </w:rPr>
              <w:t>layout</w:t>
            </w:r>
          </w:p>
        </w:tc>
        <w:tc>
          <w:tcPr>
            <w:tcW w:w="1001" w:type="dxa"/>
          </w:tcPr>
          <w:p>
            <w:pPr>
              <w:pStyle w:val="TableParagraph"/>
              <w:spacing w:before="49"/>
              <w:ind w:left="6"/>
              <w:jc w:val="center"/>
              <w:rPr>
                <w:sz w:val="24"/>
              </w:rPr>
            </w:pPr>
            <w:r>
              <w:rPr>
                <w:spacing w:val="-5"/>
                <w:sz w:val="24"/>
              </w:rPr>
              <w:t>104</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570" w:hanging="464"/>
              <w:rPr>
                <w:sz w:val="24"/>
              </w:rPr>
            </w:pPr>
            <w:r>
              <w:rPr>
                <w:sz w:val="24"/>
              </w:rPr>
              <w:t>(2)</w:t>
            </w:r>
            <w:r>
              <w:rPr>
                <w:spacing w:val="80"/>
                <w:w w:val="150"/>
                <w:sz w:val="24"/>
              </w:rPr>
              <w:t> </w:t>
            </w:r>
            <w:r>
              <w:rPr>
                <w:sz w:val="24"/>
              </w:rPr>
              <w:t>LOS</w:t>
            </w:r>
            <w:r>
              <w:rPr>
                <w:spacing w:val="40"/>
                <w:sz w:val="24"/>
              </w:rPr>
              <w:t> </w:t>
            </w:r>
            <w:r>
              <w:rPr>
                <w:sz w:val="24"/>
              </w:rPr>
              <w:t>in</w:t>
            </w:r>
            <w:r>
              <w:rPr>
                <w:spacing w:val="40"/>
                <w:sz w:val="24"/>
              </w:rPr>
              <w:t> </w:t>
            </w:r>
            <w:r>
              <w:rPr>
                <w:sz w:val="24"/>
              </w:rPr>
              <w:t>industrial</w:t>
            </w:r>
            <w:r>
              <w:rPr>
                <w:spacing w:val="40"/>
                <w:sz w:val="24"/>
              </w:rPr>
              <w:t> </w:t>
            </w:r>
            <w:r>
              <w:rPr>
                <w:sz w:val="24"/>
              </w:rPr>
              <w:t>plots/layout</w:t>
            </w:r>
            <w:r>
              <w:rPr>
                <w:spacing w:val="40"/>
                <w:sz w:val="24"/>
              </w:rPr>
              <w:t> </w:t>
            </w:r>
            <w:r>
              <w:rPr>
                <w:sz w:val="24"/>
              </w:rPr>
              <w:t>of</w:t>
            </w:r>
            <w:r>
              <w:rPr>
                <w:spacing w:val="40"/>
                <w:sz w:val="24"/>
              </w:rPr>
              <w:t> </w:t>
            </w:r>
            <w:r>
              <w:rPr>
                <w:sz w:val="24"/>
              </w:rPr>
              <w:t>industrial </w:t>
            </w:r>
            <w:r>
              <w:rPr>
                <w:spacing w:val="-2"/>
                <w:sz w:val="24"/>
              </w:rPr>
              <w:t>plots</w:t>
            </w:r>
          </w:p>
        </w:tc>
        <w:tc>
          <w:tcPr>
            <w:tcW w:w="1001" w:type="dxa"/>
          </w:tcPr>
          <w:p>
            <w:pPr>
              <w:pStyle w:val="TableParagraph"/>
              <w:spacing w:before="47"/>
              <w:ind w:left="6"/>
              <w:jc w:val="center"/>
              <w:rPr>
                <w:sz w:val="24"/>
              </w:rPr>
            </w:pPr>
            <w:r>
              <w:rPr>
                <w:spacing w:val="-5"/>
                <w:sz w:val="24"/>
              </w:rPr>
              <w:t>107</w:t>
            </w:r>
          </w:p>
        </w:tc>
      </w:tr>
      <w:tr>
        <w:trPr>
          <w:trHeight w:val="379" w:hRule="atLeast"/>
        </w:trPr>
        <w:tc>
          <w:tcPr>
            <w:tcW w:w="1572" w:type="dxa"/>
          </w:tcPr>
          <w:p>
            <w:pPr>
              <w:pStyle w:val="TableParagraph"/>
              <w:spacing w:before="47"/>
              <w:ind w:left="9" w:right="2"/>
              <w:jc w:val="center"/>
              <w:rPr>
                <w:sz w:val="24"/>
              </w:rPr>
            </w:pPr>
            <w:r>
              <w:rPr>
                <w:spacing w:val="-5"/>
                <w:sz w:val="24"/>
              </w:rPr>
              <w:t>28</w:t>
            </w:r>
          </w:p>
        </w:tc>
        <w:tc>
          <w:tcPr>
            <w:tcW w:w="6196" w:type="dxa"/>
          </w:tcPr>
          <w:p>
            <w:pPr>
              <w:pStyle w:val="TableParagraph"/>
              <w:spacing w:before="47"/>
              <w:ind w:left="107"/>
              <w:rPr>
                <w:b/>
                <w:sz w:val="24"/>
              </w:rPr>
            </w:pPr>
            <w:r>
              <w:rPr>
                <w:b/>
                <w:spacing w:val="7"/>
                <w:sz w:val="24"/>
              </w:rPr>
              <w:t>Substation</w:t>
            </w:r>
          </w:p>
        </w:tc>
        <w:tc>
          <w:tcPr>
            <w:tcW w:w="1001" w:type="dxa"/>
          </w:tcPr>
          <w:p>
            <w:pPr>
              <w:pStyle w:val="TableParagraph"/>
              <w:rPr>
                <w:rFonts w:ascii="Times New Roman"/>
                <w:sz w:val="22"/>
              </w:rPr>
            </w:pP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1030" w:val="left" w:leader="none"/>
                <w:tab w:pos="2818" w:val="left" w:leader="none"/>
                <w:tab w:pos="4700" w:val="left" w:leader="none"/>
              </w:tabs>
              <w:spacing w:before="47"/>
              <w:ind w:left="479" w:right="116" w:hanging="372"/>
              <w:rPr>
                <w:sz w:val="24"/>
              </w:rPr>
            </w:pPr>
            <w:r>
              <w:rPr>
                <w:spacing w:val="-4"/>
                <w:sz w:val="24"/>
              </w:rPr>
              <w:t>(A)</w:t>
            </w:r>
            <w:r>
              <w:rPr>
                <w:sz w:val="24"/>
              </w:rPr>
              <w:tab/>
              <w:tab/>
            </w:r>
            <w:r>
              <w:rPr>
                <w:spacing w:val="-2"/>
                <w:sz w:val="24"/>
              </w:rPr>
              <w:t>Electrical</w:t>
            </w:r>
            <w:r>
              <w:rPr>
                <w:sz w:val="24"/>
              </w:rPr>
              <w:tab/>
            </w:r>
            <w:r>
              <w:rPr>
                <w:spacing w:val="-2"/>
                <w:sz w:val="24"/>
              </w:rPr>
              <w:t>Consumer</w:t>
            </w:r>
            <w:r>
              <w:rPr>
                <w:sz w:val="24"/>
              </w:rPr>
              <w:tab/>
            </w:r>
            <w:r>
              <w:rPr>
                <w:spacing w:val="-2"/>
                <w:sz w:val="24"/>
              </w:rPr>
              <w:t>Substatio</w:t>
            </w:r>
            <w:r>
              <w:rPr>
                <w:spacing w:val="-2"/>
                <w:sz w:val="24"/>
              </w:rPr>
              <w:t>n</w:t>
            </w:r>
            <w:r>
              <w:rPr>
                <w:spacing w:val="-2"/>
                <w:sz w:val="24"/>
              </w:rPr>
              <w:t> </w:t>
            </w:r>
            <w:r>
              <w:rPr>
                <w:sz w:val="24"/>
              </w:rPr>
              <w:t>(CSS)/Distribution</w:t>
            </w:r>
            <w:r>
              <w:rPr>
                <w:spacing w:val="80"/>
                <w:sz w:val="24"/>
              </w:rPr>
              <w:t> </w:t>
            </w:r>
            <w:r>
              <w:rPr>
                <w:sz w:val="24"/>
              </w:rPr>
              <w:t>Substation</w:t>
            </w:r>
            <w:r>
              <w:rPr>
                <w:spacing w:val="80"/>
                <w:sz w:val="24"/>
              </w:rPr>
              <w:t> </w:t>
            </w:r>
            <w:r>
              <w:rPr>
                <w:sz w:val="24"/>
              </w:rPr>
              <w:t>(DSS)</w:t>
            </w:r>
          </w:p>
        </w:tc>
        <w:tc>
          <w:tcPr>
            <w:tcW w:w="1001" w:type="dxa"/>
          </w:tcPr>
          <w:p>
            <w:pPr>
              <w:pStyle w:val="TableParagraph"/>
              <w:spacing w:before="47"/>
              <w:ind w:left="6"/>
              <w:jc w:val="center"/>
              <w:rPr>
                <w:sz w:val="24"/>
              </w:rPr>
            </w:pPr>
            <w:r>
              <w:rPr>
                <w:spacing w:val="-5"/>
                <w:sz w:val="24"/>
              </w:rPr>
              <w:t>108</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107" w:right="100"/>
              <w:jc w:val="both"/>
              <w:rPr>
                <w:sz w:val="24"/>
              </w:rPr>
            </w:pPr>
            <w:r>
              <w:rPr>
                <w:sz w:val="24"/>
              </w:rPr>
              <w:t>(B)Requirements of plot area for </w:t>
            </w:r>
            <w:r>
              <w:rPr>
                <w:spacing w:val="9"/>
                <w:sz w:val="24"/>
              </w:rPr>
              <w:t>Distribution </w:t>
            </w:r>
            <w:r>
              <w:rPr>
                <w:sz w:val="24"/>
              </w:rPr>
              <w:t>Substation/Receiving Substation/Extra High Voltage</w:t>
            </w:r>
            <w:r>
              <w:rPr>
                <w:spacing w:val="80"/>
                <w:sz w:val="24"/>
              </w:rPr>
              <w:t> </w:t>
            </w:r>
            <w:r>
              <w:rPr>
                <w:sz w:val="24"/>
              </w:rPr>
              <w:t>Receiving</w:t>
            </w:r>
            <w:r>
              <w:rPr>
                <w:spacing w:val="80"/>
                <w:sz w:val="24"/>
              </w:rPr>
              <w:t> </w:t>
            </w:r>
            <w:r>
              <w:rPr>
                <w:sz w:val="24"/>
              </w:rPr>
              <w:t>Station</w:t>
            </w:r>
            <w:r>
              <w:rPr>
                <w:spacing w:val="80"/>
                <w:sz w:val="24"/>
              </w:rPr>
              <w:t> </w:t>
            </w:r>
            <w:r>
              <w:rPr>
                <w:sz w:val="24"/>
              </w:rPr>
              <w:t>(DSS/RSS/EHVRS).</w:t>
            </w:r>
          </w:p>
        </w:tc>
        <w:tc>
          <w:tcPr>
            <w:tcW w:w="1001" w:type="dxa"/>
          </w:tcPr>
          <w:p>
            <w:pPr>
              <w:pStyle w:val="TableParagraph"/>
              <w:spacing w:before="47"/>
              <w:ind w:left="6"/>
              <w:jc w:val="center"/>
              <w:rPr>
                <w:sz w:val="24"/>
              </w:rPr>
            </w:pPr>
            <w:r>
              <w:rPr>
                <w:spacing w:val="-5"/>
                <w:sz w:val="24"/>
              </w:rPr>
              <w:t>109</w:t>
            </w:r>
          </w:p>
        </w:tc>
      </w:tr>
      <w:tr>
        <w:trPr>
          <w:trHeight w:val="659" w:hRule="atLeast"/>
        </w:trPr>
        <w:tc>
          <w:tcPr>
            <w:tcW w:w="1572" w:type="dxa"/>
          </w:tcPr>
          <w:p>
            <w:pPr>
              <w:pStyle w:val="TableParagraph"/>
              <w:spacing w:before="188"/>
              <w:ind w:left="9" w:right="2"/>
              <w:jc w:val="center"/>
              <w:rPr>
                <w:sz w:val="24"/>
              </w:rPr>
            </w:pPr>
            <w:r>
              <w:rPr>
                <w:spacing w:val="-5"/>
                <w:sz w:val="24"/>
              </w:rPr>
              <w:t>29</w:t>
            </w:r>
          </w:p>
        </w:tc>
        <w:tc>
          <w:tcPr>
            <w:tcW w:w="6196" w:type="dxa"/>
          </w:tcPr>
          <w:p>
            <w:pPr>
              <w:pStyle w:val="TableParagraph"/>
              <w:spacing w:before="47"/>
              <w:ind w:left="107"/>
              <w:rPr>
                <w:b/>
                <w:sz w:val="24"/>
              </w:rPr>
            </w:pPr>
            <w:r>
              <w:rPr>
                <w:b/>
                <w:sz w:val="24"/>
              </w:rPr>
              <w:t>Additional</w:t>
            </w:r>
            <w:r>
              <w:rPr>
                <w:b/>
                <w:spacing w:val="80"/>
                <w:sz w:val="24"/>
              </w:rPr>
              <w:t> </w:t>
            </w:r>
            <w:r>
              <w:rPr>
                <w:b/>
                <w:sz w:val="24"/>
              </w:rPr>
              <w:t>facilities</w:t>
            </w:r>
            <w:r>
              <w:rPr>
                <w:b/>
                <w:spacing w:val="80"/>
                <w:sz w:val="24"/>
              </w:rPr>
              <w:t> </w:t>
            </w:r>
            <w:r>
              <w:rPr>
                <w:b/>
                <w:sz w:val="24"/>
              </w:rPr>
              <w:t>in</w:t>
            </w:r>
            <w:r>
              <w:rPr>
                <w:b/>
                <w:spacing w:val="80"/>
                <w:sz w:val="24"/>
              </w:rPr>
              <w:t> </w:t>
            </w:r>
            <w:r>
              <w:rPr>
                <w:b/>
                <w:sz w:val="24"/>
              </w:rPr>
              <w:t>the</w:t>
            </w:r>
            <w:r>
              <w:rPr>
                <w:b/>
                <w:spacing w:val="80"/>
                <w:sz w:val="24"/>
              </w:rPr>
              <w:t> </w:t>
            </w:r>
            <w:r>
              <w:rPr>
                <w:b/>
                <w:sz w:val="24"/>
              </w:rPr>
              <w:t>Development</w:t>
            </w:r>
            <w:r>
              <w:rPr>
                <w:b/>
                <w:spacing w:val="80"/>
                <w:sz w:val="24"/>
              </w:rPr>
              <w:t> </w:t>
            </w:r>
            <w:r>
              <w:rPr>
                <w:b/>
                <w:sz w:val="24"/>
              </w:rPr>
              <w:t>in Large </w:t>
            </w:r>
            <w:r>
              <w:rPr>
                <w:b/>
                <w:spacing w:val="9"/>
                <w:sz w:val="24"/>
              </w:rPr>
              <w:t>Holding/layout</w:t>
            </w:r>
          </w:p>
        </w:tc>
        <w:tc>
          <w:tcPr>
            <w:tcW w:w="1001" w:type="dxa"/>
          </w:tcPr>
          <w:p>
            <w:pPr>
              <w:pStyle w:val="TableParagraph"/>
              <w:spacing w:before="47"/>
              <w:ind w:left="6"/>
              <w:jc w:val="center"/>
              <w:rPr>
                <w:sz w:val="24"/>
              </w:rPr>
            </w:pPr>
            <w:r>
              <w:rPr>
                <w:spacing w:val="-5"/>
                <w:sz w:val="24"/>
              </w:rPr>
              <w:t>110</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684" w:hRule="atLeast"/>
        </w:trPr>
        <w:tc>
          <w:tcPr>
            <w:tcW w:w="8769" w:type="dxa"/>
            <w:gridSpan w:val="3"/>
          </w:tcPr>
          <w:p>
            <w:pPr>
              <w:pStyle w:val="TableParagraph"/>
              <w:spacing w:before="97"/>
              <w:rPr>
                <w:sz w:val="24"/>
              </w:rPr>
            </w:pPr>
          </w:p>
          <w:p>
            <w:pPr>
              <w:pStyle w:val="TableParagraph"/>
              <w:tabs>
                <w:tab w:pos="1362" w:val="left" w:leader="none"/>
              </w:tabs>
              <w:ind w:left="6"/>
              <w:jc w:val="center"/>
              <w:rPr>
                <w:b/>
                <w:sz w:val="24"/>
              </w:rPr>
            </w:pPr>
            <w:r>
              <w:rPr>
                <w:b/>
                <w:spacing w:val="-2"/>
                <w:sz w:val="24"/>
              </w:rPr>
              <w:t>PART-</w:t>
            </w:r>
            <w:r>
              <w:rPr>
                <w:b/>
                <w:spacing w:val="-10"/>
                <w:sz w:val="24"/>
              </w:rPr>
              <w:t>V</w:t>
            </w:r>
            <w:r>
              <w:rPr>
                <w:b/>
                <w:sz w:val="24"/>
              </w:rPr>
              <w:tab/>
              <w:t>FLOOR</w:t>
            </w:r>
            <w:r>
              <w:rPr>
                <w:b/>
                <w:spacing w:val="-7"/>
                <w:sz w:val="24"/>
              </w:rPr>
              <w:t> </w:t>
            </w:r>
            <w:r>
              <w:rPr>
                <w:b/>
                <w:sz w:val="24"/>
              </w:rPr>
              <w:t>SPACE</w:t>
            </w:r>
            <w:r>
              <w:rPr>
                <w:b/>
                <w:spacing w:val="-3"/>
                <w:sz w:val="24"/>
              </w:rPr>
              <w:t> </w:t>
            </w:r>
            <w:r>
              <w:rPr>
                <w:b/>
                <w:spacing w:val="-2"/>
                <w:sz w:val="24"/>
              </w:rPr>
              <w:t>INDEX</w:t>
            </w:r>
          </w:p>
        </w:tc>
      </w:tr>
      <w:tr>
        <w:trPr>
          <w:trHeight w:val="918" w:hRule="atLeast"/>
        </w:trPr>
        <w:tc>
          <w:tcPr>
            <w:tcW w:w="1572" w:type="dxa"/>
          </w:tcPr>
          <w:p>
            <w:pPr>
              <w:pStyle w:val="TableParagraph"/>
              <w:spacing w:before="36"/>
              <w:rPr>
                <w:sz w:val="24"/>
              </w:rPr>
            </w:pPr>
          </w:p>
          <w:p>
            <w:pPr>
              <w:pStyle w:val="TableParagraph"/>
              <w:ind w:left="9" w:right="2"/>
              <w:jc w:val="center"/>
              <w:rPr>
                <w:sz w:val="24"/>
              </w:rPr>
            </w:pPr>
            <w:r>
              <w:rPr>
                <w:spacing w:val="-5"/>
                <w:sz w:val="24"/>
              </w:rPr>
              <w:t>30</w:t>
            </w:r>
          </w:p>
        </w:tc>
        <w:tc>
          <w:tcPr>
            <w:tcW w:w="6196" w:type="dxa"/>
          </w:tcPr>
          <w:p>
            <w:pPr>
              <w:pStyle w:val="TableParagraph"/>
              <w:spacing w:before="49"/>
              <w:ind w:left="107" w:right="324"/>
              <w:rPr>
                <w:b/>
                <w:sz w:val="24"/>
              </w:rPr>
            </w:pPr>
            <w:r>
              <w:rPr>
                <w:b/>
                <w:sz w:val="24"/>
              </w:rPr>
              <w:t>Floor</w:t>
            </w:r>
            <w:r>
              <w:rPr>
                <w:b/>
                <w:spacing w:val="40"/>
                <w:sz w:val="24"/>
              </w:rPr>
              <w:t> </w:t>
            </w:r>
            <w:r>
              <w:rPr>
                <w:b/>
                <w:sz w:val="24"/>
              </w:rPr>
              <w:t>Space</w:t>
            </w:r>
            <w:r>
              <w:rPr>
                <w:b/>
                <w:spacing w:val="40"/>
                <w:sz w:val="24"/>
              </w:rPr>
              <w:t> </w:t>
            </w:r>
            <w:r>
              <w:rPr>
                <w:b/>
                <w:sz w:val="24"/>
              </w:rPr>
              <w:t>Indices</w:t>
            </w:r>
            <w:r>
              <w:rPr>
                <w:b/>
                <w:spacing w:val="40"/>
                <w:sz w:val="24"/>
              </w:rPr>
              <w:t> </w:t>
            </w:r>
            <w:r>
              <w:rPr>
                <w:b/>
                <w:sz w:val="24"/>
              </w:rPr>
              <w:t>&amp;</w:t>
            </w:r>
            <w:r>
              <w:rPr>
                <w:b/>
                <w:spacing w:val="40"/>
                <w:sz w:val="24"/>
              </w:rPr>
              <w:t> </w:t>
            </w:r>
            <w:r>
              <w:rPr>
                <w:b/>
                <w:sz w:val="24"/>
              </w:rPr>
              <w:t>Floor</w:t>
            </w:r>
            <w:r>
              <w:rPr>
                <w:b/>
                <w:spacing w:val="40"/>
                <w:sz w:val="24"/>
              </w:rPr>
              <w:t> </w:t>
            </w:r>
            <w:r>
              <w:rPr>
                <w:b/>
                <w:sz w:val="24"/>
              </w:rPr>
              <w:t>space</w:t>
            </w:r>
            <w:r>
              <w:rPr>
                <w:b/>
                <w:spacing w:val="40"/>
                <w:sz w:val="24"/>
              </w:rPr>
              <w:t> </w:t>
            </w:r>
            <w:r>
              <w:rPr>
                <w:b/>
                <w:sz w:val="24"/>
              </w:rPr>
              <w:t>/</w:t>
            </w:r>
            <w:r>
              <w:rPr>
                <w:b/>
                <w:spacing w:val="40"/>
                <w:sz w:val="24"/>
              </w:rPr>
              <w:t> </w:t>
            </w:r>
            <w:r>
              <w:rPr>
                <w:b/>
                <w:sz w:val="24"/>
              </w:rPr>
              <w:t>Built</w:t>
            </w:r>
            <w:r>
              <w:rPr>
                <w:b/>
                <w:spacing w:val="40"/>
                <w:sz w:val="24"/>
              </w:rPr>
              <w:t> </w:t>
            </w:r>
            <w:r>
              <w:rPr>
                <w:b/>
                <w:sz w:val="24"/>
              </w:rPr>
              <w:t>- up area (BUA)Computation, </w:t>
            </w:r>
            <w:r>
              <w:rPr>
                <w:b/>
                <w:spacing w:val="9"/>
                <w:sz w:val="24"/>
              </w:rPr>
              <w:t>Tenement </w:t>
            </w:r>
            <w:r>
              <w:rPr>
                <w:b/>
                <w:sz w:val="24"/>
              </w:rPr>
              <w:t>Density</w:t>
            </w:r>
            <w:r>
              <w:rPr>
                <w:b/>
                <w:spacing w:val="40"/>
                <w:sz w:val="24"/>
              </w:rPr>
              <w:t> </w:t>
            </w:r>
            <w:r>
              <w:rPr>
                <w:b/>
                <w:sz w:val="24"/>
              </w:rPr>
              <w:t>and</w:t>
            </w:r>
            <w:r>
              <w:rPr>
                <w:b/>
                <w:spacing w:val="40"/>
                <w:sz w:val="24"/>
              </w:rPr>
              <w:t> </w:t>
            </w:r>
            <w:r>
              <w:rPr>
                <w:b/>
                <w:sz w:val="24"/>
              </w:rPr>
              <w:t>Protected</w:t>
            </w:r>
            <w:r>
              <w:rPr>
                <w:b/>
                <w:spacing w:val="40"/>
                <w:sz w:val="24"/>
              </w:rPr>
              <w:t> </w:t>
            </w:r>
            <w:r>
              <w:rPr>
                <w:b/>
                <w:sz w:val="24"/>
              </w:rPr>
              <w:t>Development</w:t>
            </w:r>
          </w:p>
        </w:tc>
        <w:tc>
          <w:tcPr>
            <w:tcW w:w="1001" w:type="dxa"/>
          </w:tcPr>
          <w:p>
            <w:pPr>
              <w:pStyle w:val="TableParagraph"/>
              <w:rPr>
                <w:rFonts w:ascii="Times New Roman"/>
                <w:sz w:val="22"/>
              </w:rPr>
            </w:pPr>
          </w:p>
        </w:tc>
      </w:tr>
      <w:tr>
        <w:trPr>
          <w:trHeight w:val="635" w:hRule="atLeast"/>
        </w:trPr>
        <w:tc>
          <w:tcPr>
            <w:tcW w:w="1572" w:type="dxa"/>
          </w:tcPr>
          <w:p>
            <w:pPr>
              <w:pStyle w:val="TableParagraph"/>
              <w:rPr>
                <w:rFonts w:ascii="Times New Roman"/>
                <w:sz w:val="22"/>
              </w:rPr>
            </w:pPr>
          </w:p>
        </w:tc>
        <w:tc>
          <w:tcPr>
            <w:tcW w:w="6196" w:type="dxa"/>
          </w:tcPr>
          <w:p>
            <w:pPr>
              <w:pStyle w:val="TableParagraph"/>
              <w:spacing w:before="47"/>
              <w:ind w:left="479" w:right="116" w:hanging="372"/>
              <w:rPr>
                <w:sz w:val="24"/>
              </w:rPr>
            </w:pPr>
            <w:r>
              <w:rPr>
                <w:sz w:val="24"/>
              </w:rPr>
              <w:t>(A)</w:t>
            </w:r>
            <w:r>
              <w:rPr>
                <w:spacing w:val="40"/>
                <w:sz w:val="24"/>
              </w:rPr>
              <w:t> </w:t>
            </w:r>
            <w:r>
              <w:rPr>
                <w:sz w:val="24"/>
              </w:rPr>
              <w:t>Floor</w:t>
            </w:r>
            <w:r>
              <w:rPr>
                <w:spacing w:val="40"/>
                <w:sz w:val="24"/>
              </w:rPr>
              <w:t> </w:t>
            </w:r>
            <w:r>
              <w:rPr>
                <w:sz w:val="24"/>
              </w:rPr>
              <w:t>Space</w:t>
            </w:r>
            <w:r>
              <w:rPr>
                <w:spacing w:val="40"/>
                <w:sz w:val="24"/>
              </w:rPr>
              <w:t> </w:t>
            </w:r>
            <w:r>
              <w:rPr>
                <w:sz w:val="24"/>
              </w:rPr>
              <w:t>Indices</w:t>
            </w:r>
            <w:r>
              <w:rPr>
                <w:spacing w:val="40"/>
                <w:sz w:val="24"/>
              </w:rPr>
              <w:t> </w:t>
            </w:r>
            <w:r>
              <w:rPr>
                <w:sz w:val="24"/>
              </w:rPr>
              <w:t>&amp;</w:t>
            </w:r>
            <w:r>
              <w:rPr>
                <w:spacing w:val="40"/>
                <w:sz w:val="24"/>
              </w:rPr>
              <w:t> </w:t>
            </w:r>
            <w:r>
              <w:rPr>
                <w:sz w:val="24"/>
              </w:rPr>
              <w:t>Floor</w:t>
            </w:r>
            <w:r>
              <w:rPr>
                <w:spacing w:val="40"/>
                <w:sz w:val="24"/>
              </w:rPr>
              <w:t> </w:t>
            </w:r>
            <w:r>
              <w:rPr>
                <w:sz w:val="24"/>
              </w:rPr>
              <w:t>space</w:t>
            </w:r>
            <w:r>
              <w:rPr>
                <w:spacing w:val="40"/>
                <w:sz w:val="24"/>
              </w:rPr>
              <w:t> </w:t>
            </w:r>
            <w:r>
              <w:rPr>
                <w:sz w:val="24"/>
              </w:rPr>
              <w:t>/</w:t>
            </w:r>
            <w:r>
              <w:rPr>
                <w:spacing w:val="80"/>
                <w:w w:val="150"/>
                <w:sz w:val="24"/>
              </w:rPr>
              <w:t> </w:t>
            </w:r>
            <w:r>
              <w:rPr>
                <w:sz w:val="24"/>
              </w:rPr>
              <w:t>BUA </w:t>
            </w:r>
            <w:r>
              <w:rPr>
                <w:spacing w:val="7"/>
                <w:sz w:val="24"/>
              </w:rPr>
              <w:t>computation</w:t>
            </w:r>
          </w:p>
        </w:tc>
        <w:tc>
          <w:tcPr>
            <w:tcW w:w="1001" w:type="dxa"/>
          </w:tcPr>
          <w:p>
            <w:pPr>
              <w:pStyle w:val="TableParagraph"/>
              <w:spacing w:before="47"/>
              <w:ind w:left="6"/>
              <w:jc w:val="center"/>
              <w:rPr>
                <w:sz w:val="24"/>
              </w:rPr>
            </w:pPr>
            <w:r>
              <w:rPr>
                <w:spacing w:val="-5"/>
                <w:sz w:val="24"/>
              </w:rPr>
              <w:t>113</w:t>
            </w:r>
          </w:p>
        </w:tc>
      </w:tr>
      <w:tr>
        <w:trPr>
          <w:trHeight w:val="493"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(B)</w:t>
            </w:r>
            <w:r>
              <w:rPr>
                <w:spacing w:val="61"/>
                <w:sz w:val="24"/>
              </w:rPr>
              <w:t> </w:t>
            </w:r>
            <w:r>
              <w:rPr>
                <w:sz w:val="24"/>
              </w:rPr>
              <w:t>Tenement</w:t>
            </w:r>
            <w:r>
              <w:rPr>
                <w:spacing w:val="58"/>
                <w:sz w:val="24"/>
              </w:rPr>
              <w:t> </w:t>
            </w:r>
            <w:r>
              <w:rPr>
                <w:spacing w:val="-2"/>
                <w:sz w:val="24"/>
              </w:rPr>
              <w:t>Density</w:t>
            </w:r>
          </w:p>
        </w:tc>
        <w:tc>
          <w:tcPr>
            <w:tcW w:w="1001" w:type="dxa"/>
          </w:tcPr>
          <w:p>
            <w:pPr>
              <w:pStyle w:val="TableParagraph"/>
              <w:spacing w:before="47"/>
              <w:ind w:left="6"/>
              <w:jc w:val="center"/>
              <w:rPr>
                <w:sz w:val="24"/>
              </w:rPr>
            </w:pPr>
            <w:r>
              <w:rPr>
                <w:spacing w:val="-5"/>
                <w:sz w:val="24"/>
              </w:rPr>
              <w:t>118</w:t>
            </w:r>
          </w:p>
        </w:tc>
      </w:tr>
      <w:tr>
        <w:trPr>
          <w:trHeight w:val="494"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(C)</w:t>
            </w:r>
            <w:r>
              <w:rPr>
                <w:spacing w:val="65"/>
                <w:sz w:val="24"/>
              </w:rPr>
              <w:t> </w:t>
            </w:r>
            <w:r>
              <w:rPr>
                <w:sz w:val="24"/>
              </w:rPr>
              <w:t>Protected</w:t>
            </w:r>
            <w:r>
              <w:rPr>
                <w:spacing w:val="65"/>
                <w:sz w:val="24"/>
              </w:rPr>
              <w:t> </w:t>
            </w:r>
            <w:r>
              <w:rPr>
                <w:spacing w:val="7"/>
                <w:sz w:val="24"/>
              </w:rPr>
              <w:t>Development</w:t>
            </w:r>
          </w:p>
        </w:tc>
        <w:tc>
          <w:tcPr>
            <w:tcW w:w="1001" w:type="dxa"/>
          </w:tcPr>
          <w:p>
            <w:pPr>
              <w:pStyle w:val="TableParagraph"/>
              <w:spacing w:before="47"/>
              <w:ind w:left="6"/>
              <w:jc w:val="center"/>
              <w:rPr>
                <w:sz w:val="24"/>
              </w:rPr>
            </w:pPr>
            <w:r>
              <w:rPr>
                <w:spacing w:val="-5"/>
                <w:sz w:val="24"/>
              </w:rPr>
              <w:t>118</w:t>
            </w:r>
          </w:p>
        </w:tc>
      </w:tr>
      <w:tr>
        <w:trPr>
          <w:trHeight w:val="720" w:hRule="atLeast"/>
        </w:trPr>
        <w:tc>
          <w:tcPr>
            <w:tcW w:w="1572" w:type="dxa"/>
          </w:tcPr>
          <w:p>
            <w:pPr>
              <w:pStyle w:val="TableParagraph"/>
              <w:spacing w:before="220"/>
              <w:ind w:left="9" w:right="2"/>
              <w:jc w:val="center"/>
              <w:rPr>
                <w:sz w:val="24"/>
              </w:rPr>
            </w:pPr>
            <w:r>
              <w:rPr>
                <w:spacing w:val="-5"/>
                <w:sz w:val="24"/>
              </w:rPr>
              <w:t>31</w:t>
            </w:r>
          </w:p>
        </w:tc>
        <w:tc>
          <w:tcPr>
            <w:tcW w:w="6196" w:type="dxa"/>
          </w:tcPr>
          <w:p>
            <w:pPr>
              <w:pStyle w:val="TableParagraph"/>
              <w:spacing w:line="276" w:lineRule="auto" w:before="44"/>
              <w:ind w:left="107" w:firstLine="91"/>
              <w:rPr>
                <w:b/>
                <w:sz w:val="24"/>
              </w:rPr>
            </w:pPr>
            <w:r>
              <w:rPr>
                <w:b/>
                <w:sz w:val="24"/>
              </w:rPr>
              <w:t>Exempted</w:t>
            </w:r>
            <w:r>
              <w:rPr>
                <w:b/>
                <w:spacing w:val="80"/>
                <w:sz w:val="24"/>
              </w:rPr>
              <w:t> </w:t>
            </w:r>
            <w:r>
              <w:rPr>
                <w:b/>
                <w:sz w:val="24"/>
              </w:rPr>
              <w:t>from</w:t>
            </w:r>
            <w:r>
              <w:rPr>
                <w:b/>
                <w:spacing w:val="80"/>
                <w:sz w:val="24"/>
              </w:rPr>
              <w:t> </w:t>
            </w:r>
            <w:r>
              <w:rPr>
                <w:b/>
                <w:sz w:val="24"/>
              </w:rPr>
              <w:t>FSI/to</w:t>
            </w:r>
            <w:r>
              <w:rPr>
                <w:b/>
                <w:spacing w:val="80"/>
                <w:sz w:val="24"/>
              </w:rPr>
              <w:t> </w:t>
            </w:r>
            <w:r>
              <w:rPr>
                <w:b/>
                <w:sz w:val="24"/>
              </w:rPr>
              <w:t>be</w:t>
            </w:r>
            <w:r>
              <w:rPr>
                <w:b/>
                <w:spacing w:val="80"/>
                <w:sz w:val="24"/>
              </w:rPr>
              <w:t> </w:t>
            </w:r>
            <w:r>
              <w:rPr>
                <w:b/>
                <w:sz w:val="24"/>
              </w:rPr>
              <w:t>counted</w:t>
            </w:r>
            <w:r>
              <w:rPr>
                <w:b/>
                <w:spacing w:val="80"/>
                <w:sz w:val="24"/>
              </w:rPr>
              <w:t> </w:t>
            </w:r>
            <w:r>
              <w:rPr>
                <w:b/>
                <w:sz w:val="24"/>
              </w:rPr>
              <w:t>in</w:t>
            </w:r>
            <w:r>
              <w:rPr>
                <w:b/>
                <w:spacing w:val="80"/>
                <w:sz w:val="24"/>
              </w:rPr>
              <w:t> </w:t>
            </w:r>
            <w:r>
              <w:rPr>
                <w:b/>
                <w:sz w:val="24"/>
              </w:rPr>
              <w:t>FSI/ Fungible</w:t>
            </w:r>
            <w:r>
              <w:rPr>
                <w:b/>
                <w:spacing w:val="40"/>
                <w:sz w:val="24"/>
              </w:rPr>
              <w:t> </w:t>
            </w:r>
            <w:r>
              <w:rPr>
                <w:b/>
                <w:sz w:val="24"/>
              </w:rPr>
              <w:t>Compensatory</w:t>
            </w:r>
            <w:r>
              <w:rPr>
                <w:b/>
                <w:spacing w:val="9"/>
                <w:sz w:val="24"/>
              </w:rPr>
              <w:t> Area</w:t>
            </w:r>
          </w:p>
        </w:tc>
        <w:tc>
          <w:tcPr>
            <w:tcW w:w="1001" w:type="dxa"/>
          </w:tcPr>
          <w:p>
            <w:pPr>
              <w:pStyle w:val="TableParagraph"/>
              <w:rPr>
                <w:rFonts w:ascii="Times New Roman"/>
                <w:sz w:val="22"/>
              </w:rPr>
            </w:pPr>
          </w:p>
        </w:tc>
      </w:tr>
      <w:tr>
        <w:trPr>
          <w:trHeight w:val="395" w:hRule="atLeast"/>
        </w:trPr>
        <w:tc>
          <w:tcPr>
            <w:tcW w:w="1572" w:type="dxa"/>
          </w:tcPr>
          <w:p>
            <w:pPr>
              <w:pStyle w:val="TableParagraph"/>
              <w:rPr>
                <w:rFonts w:ascii="Times New Roman"/>
                <w:sz w:val="22"/>
              </w:rPr>
            </w:pPr>
          </w:p>
        </w:tc>
        <w:tc>
          <w:tcPr>
            <w:tcW w:w="6196" w:type="dxa"/>
          </w:tcPr>
          <w:p>
            <w:pPr>
              <w:pStyle w:val="TableParagraph"/>
              <w:spacing w:before="44"/>
              <w:ind w:left="107"/>
              <w:rPr>
                <w:sz w:val="24"/>
              </w:rPr>
            </w:pPr>
            <w:r>
              <w:rPr>
                <w:sz w:val="24"/>
              </w:rPr>
              <w:t>(1)</w:t>
            </w:r>
            <w:r>
              <w:rPr>
                <w:spacing w:val="58"/>
                <w:sz w:val="24"/>
              </w:rPr>
              <w:t> </w:t>
            </w:r>
            <w:r>
              <w:rPr>
                <w:sz w:val="24"/>
              </w:rPr>
              <w:t>Exemption</w:t>
            </w:r>
            <w:r>
              <w:rPr>
                <w:spacing w:val="61"/>
                <w:sz w:val="24"/>
              </w:rPr>
              <w:t> </w:t>
            </w:r>
            <w:r>
              <w:rPr>
                <w:sz w:val="24"/>
              </w:rPr>
              <w:t>from</w:t>
            </w:r>
            <w:r>
              <w:rPr>
                <w:spacing w:val="61"/>
                <w:sz w:val="24"/>
              </w:rPr>
              <w:t> </w:t>
            </w:r>
            <w:r>
              <w:rPr>
                <w:spacing w:val="-5"/>
                <w:sz w:val="24"/>
              </w:rPr>
              <w:t>FSI</w:t>
            </w:r>
          </w:p>
        </w:tc>
        <w:tc>
          <w:tcPr>
            <w:tcW w:w="1001" w:type="dxa"/>
          </w:tcPr>
          <w:p>
            <w:pPr>
              <w:pStyle w:val="TableParagraph"/>
              <w:spacing w:before="47"/>
              <w:ind w:left="6"/>
              <w:jc w:val="center"/>
              <w:rPr>
                <w:sz w:val="24"/>
              </w:rPr>
            </w:pPr>
            <w:r>
              <w:rPr>
                <w:spacing w:val="-5"/>
                <w:sz w:val="24"/>
              </w:rPr>
              <w:t>119</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(2)</w:t>
            </w:r>
            <w:r>
              <w:rPr>
                <w:spacing w:val="46"/>
                <w:sz w:val="24"/>
              </w:rPr>
              <w:t> </w:t>
            </w:r>
            <w:r>
              <w:rPr>
                <w:sz w:val="24"/>
              </w:rPr>
              <w:t>Counted</w:t>
            </w:r>
            <w:r>
              <w:rPr>
                <w:spacing w:val="46"/>
                <w:sz w:val="24"/>
              </w:rPr>
              <w:t> </w:t>
            </w:r>
            <w:r>
              <w:rPr>
                <w:sz w:val="24"/>
              </w:rPr>
              <w:t>in</w:t>
            </w:r>
            <w:r>
              <w:rPr>
                <w:spacing w:val="51"/>
                <w:sz w:val="24"/>
              </w:rPr>
              <w:t> </w:t>
            </w:r>
            <w:r>
              <w:rPr>
                <w:spacing w:val="-5"/>
                <w:sz w:val="24"/>
              </w:rPr>
              <w:t>FSI</w:t>
            </w:r>
          </w:p>
        </w:tc>
        <w:tc>
          <w:tcPr>
            <w:tcW w:w="1001" w:type="dxa"/>
          </w:tcPr>
          <w:p>
            <w:pPr>
              <w:pStyle w:val="TableParagraph"/>
              <w:spacing w:before="49"/>
              <w:ind w:left="6"/>
              <w:jc w:val="center"/>
              <w:rPr>
                <w:sz w:val="24"/>
              </w:rPr>
            </w:pPr>
            <w:r>
              <w:rPr>
                <w:spacing w:val="-5"/>
                <w:sz w:val="24"/>
              </w:rPr>
              <w:t>123</w:t>
            </w:r>
          </w:p>
        </w:tc>
      </w:tr>
      <w:tr>
        <w:trPr>
          <w:trHeight w:val="395" w:hRule="atLeast"/>
        </w:trPr>
        <w:tc>
          <w:tcPr>
            <w:tcW w:w="1572" w:type="dxa"/>
          </w:tcPr>
          <w:p>
            <w:pPr>
              <w:pStyle w:val="TableParagraph"/>
              <w:rPr>
                <w:rFonts w:ascii="Times New Roman"/>
                <w:sz w:val="22"/>
              </w:rPr>
            </w:pPr>
          </w:p>
        </w:tc>
        <w:tc>
          <w:tcPr>
            <w:tcW w:w="6196" w:type="dxa"/>
          </w:tcPr>
          <w:p>
            <w:pPr>
              <w:pStyle w:val="TableParagraph"/>
              <w:spacing w:before="44"/>
              <w:ind w:left="107"/>
              <w:rPr>
                <w:sz w:val="24"/>
              </w:rPr>
            </w:pPr>
            <w:r>
              <w:rPr>
                <w:sz w:val="24"/>
              </w:rPr>
              <w:t>(3)</w:t>
            </w:r>
            <w:r>
              <w:rPr>
                <w:spacing w:val="42"/>
                <w:w w:val="150"/>
                <w:sz w:val="24"/>
              </w:rPr>
              <w:t> </w:t>
            </w:r>
            <w:r>
              <w:rPr>
                <w:sz w:val="24"/>
              </w:rPr>
              <w:t>Fungible</w:t>
            </w:r>
            <w:r>
              <w:rPr>
                <w:spacing w:val="42"/>
                <w:w w:val="150"/>
                <w:sz w:val="24"/>
              </w:rPr>
              <w:t> </w:t>
            </w:r>
            <w:r>
              <w:rPr>
                <w:sz w:val="24"/>
              </w:rPr>
              <w:t>Compensatory</w:t>
            </w:r>
            <w:r>
              <w:rPr>
                <w:spacing w:val="45"/>
                <w:w w:val="150"/>
                <w:sz w:val="24"/>
              </w:rPr>
              <w:t> </w:t>
            </w:r>
            <w:r>
              <w:rPr>
                <w:spacing w:val="-4"/>
                <w:sz w:val="24"/>
              </w:rPr>
              <w:t>Area</w:t>
            </w:r>
          </w:p>
        </w:tc>
        <w:tc>
          <w:tcPr>
            <w:tcW w:w="1001" w:type="dxa"/>
          </w:tcPr>
          <w:p>
            <w:pPr>
              <w:pStyle w:val="TableParagraph"/>
              <w:spacing w:before="47"/>
              <w:ind w:left="6"/>
              <w:jc w:val="center"/>
              <w:rPr>
                <w:sz w:val="24"/>
              </w:rPr>
            </w:pPr>
            <w:r>
              <w:rPr>
                <w:spacing w:val="-5"/>
                <w:sz w:val="24"/>
              </w:rPr>
              <w:t>124</w:t>
            </w:r>
          </w:p>
        </w:tc>
      </w:tr>
      <w:tr>
        <w:trPr>
          <w:trHeight w:val="395" w:hRule="atLeast"/>
        </w:trPr>
        <w:tc>
          <w:tcPr>
            <w:tcW w:w="1572" w:type="dxa"/>
          </w:tcPr>
          <w:p>
            <w:pPr>
              <w:pStyle w:val="TableParagraph"/>
              <w:spacing w:before="56"/>
              <w:ind w:left="9" w:right="2"/>
              <w:jc w:val="center"/>
              <w:rPr>
                <w:sz w:val="24"/>
              </w:rPr>
            </w:pPr>
            <w:r>
              <w:rPr>
                <w:spacing w:val="-5"/>
                <w:sz w:val="24"/>
              </w:rPr>
              <w:t>32</w:t>
            </w:r>
          </w:p>
        </w:tc>
        <w:tc>
          <w:tcPr>
            <w:tcW w:w="6196" w:type="dxa"/>
          </w:tcPr>
          <w:p>
            <w:pPr>
              <w:pStyle w:val="TableParagraph"/>
              <w:spacing w:before="44"/>
              <w:ind w:left="107"/>
              <w:rPr>
                <w:b/>
                <w:sz w:val="24"/>
              </w:rPr>
            </w:pPr>
            <w:r>
              <w:rPr>
                <w:b/>
                <w:sz w:val="24"/>
              </w:rPr>
              <w:t>Transfer</w:t>
            </w:r>
            <w:r>
              <w:rPr>
                <w:b/>
                <w:spacing w:val="74"/>
                <w:sz w:val="24"/>
              </w:rPr>
              <w:t> </w:t>
            </w:r>
            <w:r>
              <w:rPr>
                <w:b/>
                <w:sz w:val="24"/>
              </w:rPr>
              <w:t>of</w:t>
            </w:r>
            <w:r>
              <w:rPr>
                <w:b/>
                <w:spacing w:val="72"/>
                <w:sz w:val="24"/>
              </w:rPr>
              <w:t> </w:t>
            </w:r>
            <w:r>
              <w:rPr>
                <w:b/>
                <w:sz w:val="24"/>
              </w:rPr>
              <w:t>Development</w:t>
            </w:r>
            <w:r>
              <w:rPr>
                <w:b/>
                <w:spacing w:val="72"/>
                <w:sz w:val="24"/>
              </w:rPr>
              <w:t> </w:t>
            </w:r>
            <w:r>
              <w:rPr>
                <w:b/>
                <w:sz w:val="24"/>
              </w:rPr>
              <w:t>Rights</w:t>
            </w:r>
            <w:r>
              <w:rPr>
                <w:b/>
                <w:spacing w:val="75"/>
                <w:sz w:val="24"/>
              </w:rPr>
              <w:t> </w:t>
            </w:r>
            <w:r>
              <w:rPr>
                <w:b/>
                <w:spacing w:val="7"/>
                <w:sz w:val="24"/>
              </w:rPr>
              <w:t>(TDR)</w:t>
            </w:r>
          </w:p>
        </w:tc>
        <w:tc>
          <w:tcPr>
            <w:tcW w:w="1001" w:type="dxa"/>
          </w:tcPr>
          <w:p>
            <w:pPr>
              <w:pStyle w:val="TableParagraph"/>
              <w:rPr>
                <w:rFonts w:ascii="Times New Roman"/>
                <w:sz w:val="22"/>
              </w:rPr>
            </w:pP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1.0</w:t>
            </w:r>
            <w:r>
              <w:rPr>
                <w:spacing w:val="55"/>
                <w:w w:val="150"/>
                <w:sz w:val="24"/>
              </w:rPr>
              <w:t> </w:t>
            </w:r>
            <w:r>
              <w:rPr>
                <w:sz w:val="24"/>
              </w:rPr>
              <w:t>TRANSFERABLE</w:t>
            </w:r>
            <w:r>
              <w:rPr>
                <w:spacing w:val="50"/>
                <w:w w:val="150"/>
                <w:sz w:val="24"/>
              </w:rPr>
              <w:t> </w:t>
            </w:r>
            <w:r>
              <w:rPr>
                <w:sz w:val="24"/>
              </w:rPr>
              <w:t>DEVELOPMENT</w:t>
            </w:r>
            <w:r>
              <w:rPr>
                <w:spacing w:val="50"/>
                <w:w w:val="150"/>
                <w:sz w:val="24"/>
              </w:rPr>
              <w:t> </w:t>
            </w:r>
            <w:r>
              <w:rPr>
                <w:spacing w:val="-2"/>
                <w:sz w:val="24"/>
              </w:rPr>
              <w:t>RIGHTS</w:t>
            </w:r>
          </w:p>
        </w:tc>
        <w:tc>
          <w:tcPr>
            <w:tcW w:w="1001" w:type="dxa"/>
          </w:tcPr>
          <w:p>
            <w:pPr>
              <w:pStyle w:val="TableParagraph"/>
              <w:spacing w:before="47"/>
              <w:ind w:left="6"/>
              <w:jc w:val="center"/>
              <w:rPr>
                <w:sz w:val="24"/>
              </w:rPr>
            </w:pPr>
            <w:r>
              <w:rPr>
                <w:spacing w:val="-5"/>
                <w:sz w:val="24"/>
              </w:rPr>
              <w:t>126</w:t>
            </w:r>
          </w:p>
        </w:tc>
      </w:tr>
      <w:tr>
        <w:trPr>
          <w:trHeight w:val="563" w:hRule="atLeast"/>
        </w:trPr>
        <w:tc>
          <w:tcPr>
            <w:tcW w:w="1572" w:type="dxa"/>
          </w:tcPr>
          <w:p>
            <w:pPr>
              <w:pStyle w:val="TableParagraph"/>
              <w:rPr>
                <w:rFonts w:ascii="Times New Roman"/>
                <w:sz w:val="22"/>
              </w:rPr>
            </w:pPr>
          </w:p>
        </w:tc>
        <w:tc>
          <w:tcPr>
            <w:tcW w:w="6196" w:type="dxa"/>
          </w:tcPr>
          <w:p>
            <w:pPr>
              <w:pStyle w:val="TableParagraph"/>
              <w:spacing w:line="280" w:lineRule="exact"/>
              <w:ind w:left="107"/>
              <w:rPr>
                <w:b/>
                <w:sz w:val="24"/>
              </w:rPr>
            </w:pPr>
            <w:r>
              <w:rPr>
                <w:b/>
                <w:sz w:val="24"/>
              </w:rPr>
              <w:t>2.0</w:t>
            </w:r>
            <w:r>
              <w:rPr>
                <w:b/>
                <w:spacing w:val="-10"/>
                <w:sz w:val="24"/>
              </w:rPr>
              <w:t> </w:t>
            </w:r>
            <w:r>
              <w:rPr>
                <w:b/>
                <w:sz w:val="24"/>
              </w:rPr>
              <w:t>CASES</w:t>
            </w:r>
            <w:r>
              <w:rPr>
                <w:b/>
                <w:spacing w:val="-10"/>
                <w:sz w:val="24"/>
              </w:rPr>
              <w:t> </w:t>
            </w:r>
            <w:r>
              <w:rPr>
                <w:b/>
                <w:sz w:val="24"/>
              </w:rPr>
              <w:t>ELIGIBLE</w:t>
            </w:r>
            <w:r>
              <w:rPr>
                <w:b/>
                <w:spacing w:val="-11"/>
                <w:sz w:val="24"/>
              </w:rPr>
              <w:t> </w:t>
            </w:r>
            <w:r>
              <w:rPr>
                <w:b/>
                <w:sz w:val="24"/>
              </w:rPr>
              <w:t>FOR</w:t>
            </w:r>
            <w:r>
              <w:rPr>
                <w:b/>
                <w:spacing w:val="-10"/>
                <w:sz w:val="24"/>
              </w:rPr>
              <w:t> </w:t>
            </w:r>
            <w:r>
              <w:rPr>
                <w:b/>
                <w:sz w:val="24"/>
              </w:rPr>
              <w:t>TRANSFERABLE DEVELOPMENT RIGHTS (TDR):-</w:t>
            </w:r>
          </w:p>
        </w:tc>
        <w:tc>
          <w:tcPr>
            <w:tcW w:w="1001" w:type="dxa"/>
          </w:tcPr>
          <w:p>
            <w:pPr>
              <w:pStyle w:val="TableParagraph"/>
              <w:spacing w:before="47"/>
              <w:ind w:left="6"/>
              <w:jc w:val="center"/>
              <w:rPr>
                <w:sz w:val="24"/>
              </w:rPr>
            </w:pPr>
            <w:r>
              <w:rPr>
                <w:spacing w:val="-5"/>
                <w:sz w:val="24"/>
              </w:rPr>
              <w:t>126</w:t>
            </w:r>
          </w:p>
        </w:tc>
      </w:tr>
      <w:tr>
        <w:trPr>
          <w:trHeight w:val="844" w:hRule="atLeast"/>
        </w:trPr>
        <w:tc>
          <w:tcPr>
            <w:tcW w:w="1572" w:type="dxa"/>
          </w:tcPr>
          <w:p>
            <w:pPr>
              <w:pStyle w:val="TableParagraph"/>
              <w:rPr>
                <w:rFonts w:ascii="Times New Roman"/>
                <w:sz w:val="22"/>
              </w:rPr>
            </w:pPr>
          </w:p>
        </w:tc>
        <w:tc>
          <w:tcPr>
            <w:tcW w:w="6196" w:type="dxa"/>
          </w:tcPr>
          <w:p>
            <w:pPr>
              <w:pStyle w:val="TableParagraph"/>
              <w:ind w:left="107" w:right="123"/>
              <w:rPr>
                <w:b/>
                <w:sz w:val="24"/>
              </w:rPr>
            </w:pPr>
            <w:r>
              <w:rPr>
                <w:b/>
                <w:sz w:val="24"/>
              </w:rPr>
              <w:t>3.0 CASES NOT ELIGIBLE FOR</w:t>
            </w:r>
            <w:r>
              <w:rPr>
                <w:b/>
                <w:spacing w:val="40"/>
                <w:sz w:val="24"/>
              </w:rPr>
              <w:t> </w:t>
            </w:r>
            <w:r>
              <w:rPr>
                <w:b/>
                <w:sz w:val="24"/>
              </w:rPr>
              <w:t>TRANSFERABLE</w:t>
            </w:r>
            <w:r>
              <w:rPr>
                <w:b/>
                <w:spacing w:val="-10"/>
                <w:sz w:val="24"/>
              </w:rPr>
              <w:t> </w:t>
            </w:r>
            <w:r>
              <w:rPr>
                <w:b/>
                <w:sz w:val="24"/>
              </w:rPr>
              <w:t>DEVELOPMENT</w:t>
            </w:r>
            <w:r>
              <w:rPr>
                <w:b/>
                <w:spacing w:val="-9"/>
                <w:sz w:val="24"/>
              </w:rPr>
              <w:t> </w:t>
            </w:r>
            <w:r>
              <w:rPr>
                <w:b/>
                <w:sz w:val="24"/>
              </w:rPr>
              <w:t>RIGHTS</w:t>
            </w:r>
            <w:r>
              <w:rPr>
                <w:b/>
                <w:spacing w:val="-10"/>
                <w:sz w:val="24"/>
              </w:rPr>
              <w:t> </w:t>
            </w:r>
            <w:r>
              <w:rPr>
                <w:b/>
                <w:sz w:val="24"/>
              </w:rPr>
              <w:t>(</w:t>
            </w:r>
            <w:r>
              <w:rPr>
                <w:b/>
                <w:spacing w:val="-10"/>
                <w:sz w:val="24"/>
              </w:rPr>
              <w:t> </w:t>
            </w:r>
            <w:r>
              <w:rPr>
                <w:b/>
                <w:sz w:val="24"/>
              </w:rPr>
              <w:t>TDR</w:t>
            </w:r>
          </w:p>
          <w:p>
            <w:pPr>
              <w:pStyle w:val="TableParagraph"/>
              <w:spacing w:line="261" w:lineRule="exact"/>
              <w:ind w:left="107"/>
              <w:rPr>
                <w:b/>
                <w:sz w:val="24"/>
              </w:rPr>
            </w:pPr>
            <w:r>
              <w:rPr>
                <w:b/>
                <w:spacing w:val="-5"/>
                <w:sz w:val="24"/>
              </w:rPr>
              <w:t>):-</w:t>
            </w:r>
          </w:p>
        </w:tc>
        <w:tc>
          <w:tcPr>
            <w:tcW w:w="1001" w:type="dxa"/>
          </w:tcPr>
          <w:p>
            <w:pPr>
              <w:pStyle w:val="TableParagraph"/>
              <w:spacing w:before="47"/>
              <w:ind w:left="6"/>
              <w:jc w:val="center"/>
              <w:rPr>
                <w:sz w:val="24"/>
              </w:rPr>
            </w:pPr>
            <w:r>
              <w:rPr>
                <w:spacing w:val="-5"/>
                <w:sz w:val="24"/>
              </w:rPr>
              <w:t>127</w:t>
            </w:r>
          </w:p>
        </w:tc>
      </w:tr>
      <w:tr>
        <w:trPr>
          <w:trHeight w:val="844" w:hRule="atLeast"/>
        </w:trPr>
        <w:tc>
          <w:tcPr>
            <w:tcW w:w="1572" w:type="dxa"/>
          </w:tcPr>
          <w:p>
            <w:pPr>
              <w:pStyle w:val="TableParagraph"/>
              <w:rPr>
                <w:rFonts w:ascii="Times New Roman"/>
                <w:sz w:val="22"/>
              </w:rPr>
            </w:pPr>
          </w:p>
        </w:tc>
        <w:tc>
          <w:tcPr>
            <w:tcW w:w="6196" w:type="dxa"/>
          </w:tcPr>
          <w:p>
            <w:pPr>
              <w:pStyle w:val="TableParagraph"/>
              <w:tabs>
                <w:tab w:pos="774" w:val="left" w:leader="none"/>
                <w:tab w:pos="4032" w:val="left" w:leader="none"/>
              </w:tabs>
              <w:ind w:left="467" w:right="94" w:hanging="360"/>
              <w:rPr>
                <w:sz w:val="24"/>
              </w:rPr>
            </w:pPr>
            <w:r>
              <w:rPr>
                <w:b/>
                <w:spacing w:val="-4"/>
                <w:sz w:val="24"/>
              </w:rPr>
              <w:t>4.0</w:t>
            </w:r>
            <w:r>
              <w:rPr>
                <w:b/>
                <w:sz w:val="24"/>
              </w:rPr>
              <w:tab/>
              <w:t>GENERATION</w:t>
            </w:r>
            <w:r>
              <w:rPr>
                <w:b/>
                <w:spacing w:val="40"/>
                <w:sz w:val="24"/>
              </w:rPr>
              <w:t> </w:t>
            </w:r>
            <w:r>
              <w:rPr>
                <w:b/>
                <w:sz w:val="24"/>
              </w:rPr>
              <w:t>OF</w:t>
            </w:r>
            <w:r>
              <w:rPr>
                <w:b/>
                <w:spacing w:val="40"/>
                <w:sz w:val="24"/>
              </w:rPr>
              <w:t> </w:t>
            </w:r>
            <w:r>
              <w:rPr>
                <w:b/>
                <w:sz w:val="24"/>
              </w:rPr>
              <w:t>THE</w:t>
              <w:tab/>
            </w:r>
            <w:r>
              <w:rPr>
                <w:b/>
                <w:spacing w:val="-2"/>
                <w:sz w:val="24"/>
              </w:rPr>
              <w:t>TRANSFERABLE </w:t>
            </w:r>
            <w:r>
              <w:rPr>
                <w:b/>
                <w:sz w:val="24"/>
              </w:rPr>
              <w:t>DEVELOPMENT RIGHTS ( TDR ) </w:t>
            </w:r>
            <w:r>
              <w:rPr>
                <w:sz w:val="24"/>
              </w:rPr>
              <w:t>–</w:t>
            </w:r>
          </w:p>
        </w:tc>
        <w:tc>
          <w:tcPr>
            <w:tcW w:w="1001" w:type="dxa"/>
          </w:tcPr>
          <w:p>
            <w:pPr>
              <w:pStyle w:val="TableParagraph"/>
              <w:spacing w:before="47"/>
              <w:ind w:left="6"/>
              <w:jc w:val="center"/>
              <w:rPr>
                <w:sz w:val="24"/>
              </w:rPr>
            </w:pPr>
            <w:r>
              <w:rPr>
                <w:spacing w:val="-5"/>
                <w:sz w:val="24"/>
              </w:rPr>
              <w:t>128</w:t>
            </w:r>
          </w:p>
        </w:tc>
      </w:tr>
      <w:tr>
        <w:trPr>
          <w:trHeight w:val="846" w:hRule="atLeast"/>
        </w:trPr>
        <w:tc>
          <w:tcPr>
            <w:tcW w:w="1572" w:type="dxa"/>
          </w:tcPr>
          <w:p>
            <w:pPr>
              <w:pStyle w:val="TableParagraph"/>
              <w:rPr>
                <w:rFonts w:ascii="Times New Roman"/>
                <w:sz w:val="22"/>
              </w:rPr>
            </w:pPr>
          </w:p>
        </w:tc>
        <w:tc>
          <w:tcPr>
            <w:tcW w:w="6196" w:type="dxa"/>
          </w:tcPr>
          <w:p>
            <w:pPr>
              <w:pStyle w:val="TableParagraph"/>
              <w:tabs>
                <w:tab w:pos="818" w:val="left" w:leader="none"/>
              </w:tabs>
              <w:spacing w:before="1"/>
              <w:ind w:left="107" w:right="1568"/>
              <w:rPr>
                <w:sz w:val="24"/>
              </w:rPr>
            </w:pPr>
            <w:r>
              <w:rPr>
                <w:b/>
                <w:spacing w:val="-4"/>
                <w:sz w:val="24"/>
              </w:rPr>
              <w:t>5.0</w:t>
            </w:r>
            <w:r>
              <w:rPr>
                <w:b/>
                <w:sz w:val="24"/>
              </w:rPr>
              <w:tab/>
              <w:t>UTILISATION</w:t>
            </w:r>
            <w:r>
              <w:rPr>
                <w:b/>
                <w:spacing w:val="-21"/>
                <w:sz w:val="24"/>
              </w:rPr>
              <w:t> </w:t>
            </w:r>
            <w:r>
              <w:rPr>
                <w:b/>
                <w:sz w:val="24"/>
              </w:rPr>
              <w:t>TRANSFERABLE DEVELOPMENT RIGHTS ( TDR ):-</w:t>
            </w:r>
            <w:r>
              <w:rPr>
                <w:sz w:val="24"/>
              </w:rPr>
              <w:t>-</w:t>
            </w:r>
          </w:p>
        </w:tc>
        <w:tc>
          <w:tcPr>
            <w:tcW w:w="1001" w:type="dxa"/>
          </w:tcPr>
          <w:p>
            <w:pPr>
              <w:pStyle w:val="TableParagraph"/>
              <w:spacing w:before="49"/>
              <w:ind w:left="6"/>
              <w:jc w:val="center"/>
              <w:rPr>
                <w:sz w:val="24"/>
              </w:rPr>
            </w:pPr>
            <w:r>
              <w:rPr>
                <w:spacing w:val="-5"/>
                <w:sz w:val="24"/>
              </w:rPr>
              <w:t>132</w:t>
            </w:r>
          </w:p>
        </w:tc>
      </w:tr>
      <w:tr>
        <w:trPr>
          <w:trHeight w:val="563" w:hRule="atLeast"/>
        </w:trPr>
        <w:tc>
          <w:tcPr>
            <w:tcW w:w="1572" w:type="dxa"/>
          </w:tcPr>
          <w:p>
            <w:pPr>
              <w:pStyle w:val="TableParagraph"/>
              <w:rPr>
                <w:rFonts w:ascii="Times New Roman"/>
                <w:sz w:val="22"/>
              </w:rPr>
            </w:pPr>
          </w:p>
        </w:tc>
        <w:tc>
          <w:tcPr>
            <w:tcW w:w="6196" w:type="dxa"/>
          </w:tcPr>
          <w:p>
            <w:pPr>
              <w:pStyle w:val="TableParagraph"/>
              <w:spacing w:line="281" w:lineRule="exact"/>
              <w:ind w:left="107"/>
              <w:rPr>
                <w:b/>
                <w:sz w:val="24"/>
              </w:rPr>
            </w:pPr>
            <w:r>
              <w:rPr>
                <w:b/>
                <w:sz w:val="24"/>
              </w:rPr>
              <w:t>6.0</w:t>
            </w:r>
            <w:r>
              <w:rPr>
                <w:b/>
                <w:spacing w:val="76"/>
                <w:sz w:val="24"/>
              </w:rPr>
              <w:t> </w:t>
            </w:r>
            <w:r>
              <w:rPr>
                <w:b/>
                <w:sz w:val="24"/>
              </w:rPr>
              <w:t>GENERAL</w:t>
            </w:r>
            <w:r>
              <w:rPr>
                <w:b/>
                <w:spacing w:val="-3"/>
                <w:sz w:val="24"/>
              </w:rPr>
              <w:t> </w:t>
            </w:r>
            <w:r>
              <w:rPr>
                <w:b/>
                <w:spacing w:val="-2"/>
                <w:sz w:val="24"/>
              </w:rPr>
              <w:t>STIPULATION:-</w:t>
            </w:r>
          </w:p>
        </w:tc>
        <w:tc>
          <w:tcPr>
            <w:tcW w:w="1001" w:type="dxa"/>
          </w:tcPr>
          <w:p>
            <w:pPr>
              <w:pStyle w:val="TableParagraph"/>
              <w:spacing w:before="47"/>
              <w:ind w:left="6"/>
              <w:jc w:val="center"/>
              <w:rPr>
                <w:sz w:val="24"/>
              </w:rPr>
            </w:pPr>
            <w:r>
              <w:rPr>
                <w:spacing w:val="-5"/>
                <w:sz w:val="24"/>
              </w:rPr>
              <w:t>134</w:t>
            </w:r>
          </w:p>
        </w:tc>
      </w:tr>
      <w:tr>
        <w:trPr>
          <w:trHeight w:val="563" w:hRule="atLeast"/>
        </w:trPr>
        <w:tc>
          <w:tcPr>
            <w:tcW w:w="1572" w:type="dxa"/>
          </w:tcPr>
          <w:p>
            <w:pPr>
              <w:pStyle w:val="TableParagraph"/>
              <w:rPr>
                <w:rFonts w:ascii="Times New Roman"/>
                <w:sz w:val="22"/>
              </w:rPr>
            </w:pPr>
          </w:p>
        </w:tc>
        <w:tc>
          <w:tcPr>
            <w:tcW w:w="6196" w:type="dxa"/>
          </w:tcPr>
          <w:p>
            <w:pPr>
              <w:pStyle w:val="TableParagraph"/>
              <w:spacing w:line="281" w:lineRule="exact"/>
              <w:ind w:left="107"/>
              <w:rPr>
                <w:b/>
                <w:sz w:val="24"/>
              </w:rPr>
            </w:pPr>
            <w:r>
              <w:rPr>
                <w:b/>
                <w:sz w:val="24"/>
              </w:rPr>
              <w:t>7.0</w:t>
            </w:r>
            <w:r>
              <w:rPr>
                <w:b/>
                <w:spacing w:val="79"/>
                <w:sz w:val="24"/>
              </w:rPr>
              <w:t> </w:t>
            </w:r>
            <w:r>
              <w:rPr>
                <w:b/>
                <w:sz w:val="24"/>
              </w:rPr>
              <w:t>VESTING OF</w:t>
            </w:r>
            <w:r>
              <w:rPr>
                <w:b/>
                <w:spacing w:val="-1"/>
                <w:sz w:val="24"/>
              </w:rPr>
              <w:t> </w:t>
            </w:r>
            <w:r>
              <w:rPr>
                <w:b/>
                <w:sz w:val="24"/>
              </w:rPr>
              <w:t>LAND</w:t>
            </w:r>
            <w:r>
              <w:rPr>
                <w:b/>
                <w:spacing w:val="-1"/>
                <w:sz w:val="24"/>
              </w:rPr>
              <w:t> </w:t>
            </w:r>
            <w:r>
              <w:rPr>
                <w:b/>
                <w:spacing w:val="-5"/>
                <w:sz w:val="24"/>
              </w:rPr>
              <w:t>:-</w:t>
            </w:r>
          </w:p>
        </w:tc>
        <w:tc>
          <w:tcPr>
            <w:tcW w:w="1001" w:type="dxa"/>
          </w:tcPr>
          <w:p>
            <w:pPr>
              <w:pStyle w:val="TableParagraph"/>
              <w:spacing w:before="47"/>
              <w:ind w:left="6"/>
              <w:jc w:val="center"/>
              <w:rPr>
                <w:sz w:val="24"/>
              </w:rPr>
            </w:pPr>
            <w:r>
              <w:rPr>
                <w:spacing w:val="-5"/>
                <w:sz w:val="24"/>
              </w:rPr>
              <w:t>136</w:t>
            </w:r>
          </w:p>
        </w:tc>
      </w:tr>
      <w:tr>
        <w:trPr>
          <w:trHeight w:val="564" w:hRule="atLeast"/>
        </w:trPr>
        <w:tc>
          <w:tcPr>
            <w:tcW w:w="1572" w:type="dxa"/>
          </w:tcPr>
          <w:p>
            <w:pPr>
              <w:pStyle w:val="TableParagraph"/>
              <w:rPr>
                <w:rFonts w:ascii="Times New Roman"/>
                <w:sz w:val="22"/>
              </w:rPr>
            </w:pPr>
          </w:p>
        </w:tc>
        <w:tc>
          <w:tcPr>
            <w:tcW w:w="6196" w:type="dxa"/>
          </w:tcPr>
          <w:p>
            <w:pPr>
              <w:pStyle w:val="TableParagraph"/>
              <w:tabs>
                <w:tab w:pos="750" w:val="left" w:leader="none"/>
              </w:tabs>
              <w:spacing w:line="281" w:lineRule="exact"/>
              <w:ind w:left="107"/>
              <w:rPr>
                <w:b/>
                <w:sz w:val="24"/>
              </w:rPr>
            </w:pPr>
            <w:r>
              <w:rPr>
                <w:b/>
                <w:spacing w:val="-5"/>
                <w:sz w:val="24"/>
              </w:rPr>
              <w:t>8.0</w:t>
            </w:r>
            <w:r>
              <w:rPr>
                <w:b/>
                <w:sz w:val="24"/>
              </w:rPr>
              <w:tab/>
              <w:t>EFFECT</w:t>
            </w:r>
            <w:r>
              <w:rPr>
                <w:b/>
                <w:spacing w:val="-3"/>
                <w:sz w:val="24"/>
              </w:rPr>
              <w:t> </w:t>
            </w:r>
            <w:r>
              <w:rPr>
                <w:b/>
                <w:sz w:val="24"/>
              </w:rPr>
              <w:t>OF</w:t>
            </w:r>
            <w:r>
              <w:rPr>
                <w:b/>
                <w:spacing w:val="-3"/>
                <w:sz w:val="24"/>
              </w:rPr>
              <w:t> </w:t>
            </w:r>
            <w:r>
              <w:rPr>
                <w:b/>
                <w:sz w:val="24"/>
              </w:rPr>
              <w:t>THIS</w:t>
            </w:r>
            <w:r>
              <w:rPr>
                <w:b/>
                <w:spacing w:val="-2"/>
                <w:sz w:val="24"/>
              </w:rPr>
              <w:t> REGULATION:-</w:t>
            </w:r>
          </w:p>
        </w:tc>
        <w:tc>
          <w:tcPr>
            <w:tcW w:w="1001" w:type="dxa"/>
          </w:tcPr>
          <w:p>
            <w:pPr>
              <w:pStyle w:val="TableParagraph"/>
              <w:spacing w:before="47"/>
              <w:ind w:left="6"/>
              <w:jc w:val="center"/>
              <w:rPr>
                <w:sz w:val="24"/>
              </w:rPr>
            </w:pPr>
            <w:r>
              <w:rPr>
                <w:spacing w:val="-5"/>
                <w:sz w:val="24"/>
              </w:rPr>
              <w:t>137</w:t>
            </w:r>
          </w:p>
        </w:tc>
      </w:tr>
      <w:tr>
        <w:trPr>
          <w:trHeight w:val="1480" w:hRule="atLeast"/>
        </w:trPr>
        <w:tc>
          <w:tcPr>
            <w:tcW w:w="1572" w:type="dxa"/>
          </w:tcPr>
          <w:p>
            <w:pPr>
              <w:pStyle w:val="TableParagraph"/>
              <w:rPr>
                <w:rFonts w:ascii="Times New Roman"/>
                <w:sz w:val="22"/>
              </w:rPr>
            </w:pPr>
          </w:p>
        </w:tc>
        <w:tc>
          <w:tcPr>
            <w:tcW w:w="6196" w:type="dxa"/>
          </w:tcPr>
          <w:p>
            <w:pPr>
              <w:pStyle w:val="TableParagraph"/>
              <w:spacing w:before="47"/>
              <w:ind w:left="660" w:right="98" w:hanging="361"/>
              <w:jc w:val="both"/>
              <w:rPr>
                <w:sz w:val="24"/>
              </w:rPr>
            </w:pPr>
            <w:r>
              <w:rPr>
                <w:sz w:val="24"/>
              </w:rPr>
              <w:t>(B)</w:t>
            </w:r>
            <w:r>
              <w:rPr>
                <w:spacing w:val="80"/>
                <w:sz w:val="24"/>
              </w:rPr>
              <w:t> </w:t>
            </w:r>
            <w:r>
              <w:rPr>
                <w:sz w:val="24"/>
              </w:rPr>
              <w:t>Additional</w:t>
            </w:r>
            <w:r>
              <w:rPr>
                <w:spacing w:val="80"/>
                <w:sz w:val="24"/>
              </w:rPr>
              <w:t> </w:t>
            </w:r>
            <w:r>
              <w:rPr>
                <w:sz w:val="24"/>
              </w:rPr>
              <w:t>Regulations</w:t>
            </w:r>
            <w:r>
              <w:rPr>
                <w:spacing w:val="80"/>
                <w:sz w:val="24"/>
              </w:rPr>
              <w:t> </w:t>
            </w:r>
            <w:r>
              <w:rPr>
                <w:sz w:val="24"/>
              </w:rPr>
              <w:t>for</w:t>
            </w:r>
            <w:r>
              <w:rPr>
                <w:spacing w:val="80"/>
                <w:sz w:val="24"/>
              </w:rPr>
              <w:t> </w:t>
            </w:r>
            <w:r>
              <w:rPr>
                <w:sz w:val="24"/>
              </w:rPr>
              <w:t>the</w:t>
            </w:r>
            <w:r>
              <w:rPr>
                <w:spacing w:val="80"/>
                <w:sz w:val="24"/>
              </w:rPr>
              <w:t> </w:t>
            </w:r>
            <w:r>
              <w:rPr>
                <w:sz w:val="24"/>
              </w:rPr>
              <w:t>grant</w:t>
            </w:r>
            <w:r>
              <w:rPr>
                <w:spacing w:val="80"/>
                <w:sz w:val="24"/>
              </w:rPr>
              <w:t> </w:t>
            </w:r>
            <w:r>
              <w:rPr>
                <w:sz w:val="24"/>
              </w:rPr>
              <w:t>of TDR</w:t>
            </w:r>
            <w:r>
              <w:rPr>
                <w:spacing w:val="40"/>
                <w:sz w:val="24"/>
              </w:rPr>
              <w:t> </w:t>
            </w:r>
            <w:r>
              <w:rPr>
                <w:sz w:val="24"/>
              </w:rPr>
              <w:t>to</w:t>
            </w:r>
            <w:r>
              <w:rPr>
                <w:spacing w:val="40"/>
                <w:sz w:val="24"/>
              </w:rPr>
              <w:t> </w:t>
            </w:r>
            <w:r>
              <w:rPr>
                <w:sz w:val="24"/>
              </w:rPr>
              <w:t>the</w:t>
            </w:r>
            <w:r>
              <w:rPr>
                <w:spacing w:val="9"/>
                <w:sz w:val="24"/>
              </w:rPr>
              <w:t> developers/Co-</w:t>
            </w:r>
            <w:r>
              <w:rPr>
                <w:sz w:val="24"/>
              </w:rPr>
              <w:t>operative</w:t>
            </w:r>
            <w:r>
              <w:rPr>
                <w:spacing w:val="40"/>
                <w:sz w:val="24"/>
              </w:rPr>
              <w:t> </w:t>
            </w:r>
            <w:r>
              <w:rPr>
                <w:sz w:val="24"/>
              </w:rPr>
              <w:t>Housing Societies/NGOs in respect of slum rehabilitation scheme vide DCR 33(10) and DCR </w:t>
            </w:r>
            <w:r>
              <w:rPr>
                <w:spacing w:val="9"/>
                <w:sz w:val="24"/>
              </w:rPr>
              <w:t>33(11)</w:t>
            </w:r>
          </w:p>
        </w:tc>
        <w:tc>
          <w:tcPr>
            <w:tcW w:w="1001" w:type="dxa"/>
          </w:tcPr>
          <w:p>
            <w:pPr>
              <w:pStyle w:val="TableParagraph"/>
              <w:spacing w:before="47"/>
              <w:ind w:left="6"/>
              <w:jc w:val="center"/>
              <w:rPr>
                <w:sz w:val="24"/>
              </w:rPr>
            </w:pPr>
            <w:r>
              <w:rPr>
                <w:spacing w:val="-5"/>
                <w:sz w:val="24"/>
              </w:rPr>
              <w:t>137</w:t>
            </w:r>
          </w:p>
        </w:tc>
      </w:tr>
      <w:tr>
        <w:trPr>
          <w:trHeight w:val="611" w:hRule="atLeast"/>
        </w:trPr>
        <w:tc>
          <w:tcPr>
            <w:tcW w:w="1572" w:type="dxa"/>
          </w:tcPr>
          <w:p>
            <w:pPr>
              <w:pStyle w:val="TableParagraph"/>
              <w:rPr>
                <w:rFonts w:ascii="Times New Roman"/>
                <w:sz w:val="22"/>
              </w:rPr>
            </w:pPr>
          </w:p>
        </w:tc>
        <w:tc>
          <w:tcPr>
            <w:tcW w:w="6196" w:type="dxa"/>
          </w:tcPr>
          <w:p>
            <w:pPr>
              <w:pStyle w:val="TableParagraph"/>
              <w:tabs>
                <w:tab w:pos="1518" w:val="left" w:leader="none"/>
                <w:tab w:pos="1988" w:val="left" w:leader="none"/>
                <w:tab w:pos="3107" w:val="left" w:leader="none"/>
                <w:tab w:pos="3485" w:val="left" w:leader="none"/>
                <w:tab w:pos="4597" w:val="left" w:leader="none"/>
                <w:tab w:pos="5052" w:val="left" w:leader="none"/>
              </w:tabs>
              <w:spacing w:line="280" w:lineRule="exact" w:before="31"/>
              <w:ind w:left="751" w:right="128" w:hanging="452"/>
              <w:rPr>
                <w:sz w:val="24"/>
              </w:rPr>
            </w:pPr>
            <w:r>
              <w:rPr>
                <w:sz w:val="24"/>
              </w:rPr>
              <w:t>(C)</w:t>
            </w:r>
            <w:r>
              <w:rPr>
                <w:spacing w:val="80"/>
                <w:w w:val="150"/>
                <w:sz w:val="24"/>
              </w:rPr>
              <w:t> </w:t>
            </w:r>
            <w:r>
              <w:rPr>
                <w:sz w:val="24"/>
              </w:rPr>
              <w:t>Additional</w:t>
            </w:r>
            <w:r>
              <w:rPr>
                <w:spacing w:val="80"/>
                <w:w w:val="150"/>
                <w:sz w:val="24"/>
              </w:rPr>
              <w:t> </w:t>
            </w:r>
            <w:r>
              <w:rPr>
                <w:sz w:val="24"/>
              </w:rPr>
              <w:t>regulations</w:t>
            </w:r>
            <w:r>
              <w:rPr>
                <w:spacing w:val="80"/>
                <w:w w:val="150"/>
                <w:sz w:val="24"/>
              </w:rPr>
              <w:t> </w:t>
            </w:r>
            <w:r>
              <w:rPr>
                <w:sz w:val="24"/>
              </w:rPr>
              <w:t>for</w:t>
            </w:r>
            <w:r>
              <w:rPr>
                <w:spacing w:val="80"/>
                <w:w w:val="150"/>
                <w:sz w:val="24"/>
              </w:rPr>
              <w:t> </w:t>
            </w:r>
            <w:r>
              <w:rPr>
                <w:sz w:val="24"/>
              </w:rPr>
              <w:t>the</w:t>
            </w:r>
            <w:r>
              <w:rPr>
                <w:spacing w:val="80"/>
                <w:w w:val="150"/>
                <w:sz w:val="24"/>
              </w:rPr>
              <w:t> </w:t>
            </w:r>
            <w:r>
              <w:rPr>
                <w:sz w:val="24"/>
              </w:rPr>
              <w:t>grant</w:t>
            </w:r>
            <w:r>
              <w:rPr>
                <w:spacing w:val="80"/>
                <w:w w:val="150"/>
                <w:sz w:val="24"/>
              </w:rPr>
              <w:t> </w:t>
            </w:r>
            <w:r>
              <w:rPr>
                <w:sz w:val="24"/>
              </w:rPr>
              <w:t>of </w:t>
            </w:r>
            <w:r>
              <w:rPr>
                <w:spacing w:val="-5"/>
                <w:sz w:val="24"/>
              </w:rPr>
              <w:t>TDR</w:t>
            </w:r>
            <w:r>
              <w:rPr>
                <w:sz w:val="24"/>
              </w:rPr>
              <w:tab/>
            </w:r>
            <w:r>
              <w:rPr>
                <w:spacing w:val="-5"/>
                <w:sz w:val="24"/>
              </w:rPr>
              <w:t>to</w:t>
            </w:r>
            <w:r>
              <w:rPr>
                <w:sz w:val="24"/>
              </w:rPr>
              <w:tab/>
            </w:r>
            <w:r>
              <w:rPr>
                <w:spacing w:val="-2"/>
                <w:sz w:val="24"/>
              </w:rPr>
              <w:t>owners</w:t>
            </w:r>
            <w:r>
              <w:rPr>
                <w:sz w:val="24"/>
              </w:rPr>
              <w:tab/>
            </w:r>
            <w:r>
              <w:rPr>
                <w:spacing w:val="-10"/>
                <w:sz w:val="24"/>
              </w:rPr>
              <w:t>/</w:t>
            </w:r>
            <w:r>
              <w:rPr>
                <w:sz w:val="24"/>
              </w:rPr>
              <w:tab/>
            </w:r>
            <w:r>
              <w:rPr>
                <w:spacing w:val="-2"/>
                <w:sz w:val="24"/>
              </w:rPr>
              <w:t>lessees</w:t>
            </w:r>
            <w:r>
              <w:rPr>
                <w:sz w:val="24"/>
              </w:rPr>
              <w:tab/>
            </w:r>
            <w:r>
              <w:rPr>
                <w:spacing w:val="-5"/>
                <w:sz w:val="24"/>
              </w:rPr>
              <w:t>of</w:t>
            </w:r>
            <w:r>
              <w:rPr>
                <w:sz w:val="24"/>
              </w:rPr>
              <w:tab/>
            </w:r>
            <w:r>
              <w:rPr>
                <w:spacing w:val="-2"/>
                <w:sz w:val="24"/>
              </w:rPr>
              <w:t>heritag</w:t>
            </w:r>
            <w:r>
              <w:rPr>
                <w:spacing w:val="-2"/>
                <w:sz w:val="24"/>
              </w:rPr>
              <w:t>e</w:t>
            </w:r>
          </w:p>
        </w:tc>
        <w:tc>
          <w:tcPr>
            <w:tcW w:w="1001" w:type="dxa"/>
          </w:tcPr>
          <w:p>
            <w:pPr>
              <w:pStyle w:val="TableParagraph"/>
              <w:spacing w:before="47"/>
              <w:ind w:left="6"/>
              <w:jc w:val="center"/>
              <w:rPr>
                <w:sz w:val="24"/>
              </w:rPr>
            </w:pPr>
            <w:r>
              <w:rPr>
                <w:spacing w:val="-5"/>
                <w:sz w:val="24"/>
              </w:rPr>
              <w:t>138</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587" w:hRule="atLeast"/>
        </w:trPr>
        <w:tc>
          <w:tcPr>
            <w:tcW w:w="1572" w:type="dxa"/>
          </w:tcPr>
          <w:p>
            <w:pPr>
              <w:pStyle w:val="TableParagraph"/>
              <w:rPr>
                <w:rFonts w:ascii="Times New Roman"/>
                <w:sz w:val="22"/>
              </w:rPr>
            </w:pPr>
          </w:p>
        </w:tc>
        <w:tc>
          <w:tcPr>
            <w:tcW w:w="6196" w:type="dxa"/>
          </w:tcPr>
          <w:p>
            <w:pPr>
              <w:pStyle w:val="TableParagraph"/>
              <w:tabs>
                <w:tab w:pos="2262" w:val="left" w:leader="none"/>
                <w:tab w:pos="2749" w:val="left" w:leader="none"/>
                <w:tab w:pos="4109" w:val="left" w:leader="none"/>
                <w:tab w:pos="5611" w:val="left" w:leader="none"/>
              </w:tabs>
              <w:spacing w:before="2"/>
              <w:ind w:left="751" w:right="96"/>
              <w:rPr>
                <w:sz w:val="24"/>
              </w:rPr>
            </w:pPr>
            <w:r>
              <w:rPr>
                <w:spacing w:val="-2"/>
                <w:sz w:val="24"/>
              </w:rPr>
              <w:t>buildings</w:t>
            </w:r>
            <w:r>
              <w:rPr>
                <w:sz w:val="24"/>
              </w:rPr>
              <w:tab/>
            </w:r>
            <w:r>
              <w:rPr>
                <w:spacing w:val="-10"/>
                <w:sz w:val="24"/>
              </w:rPr>
              <w:t>/</w:t>
            </w:r>
            <w:r>
              <w:rPr>
                <w:sz w:val="24"/>
              </w:rPr>
              <w:tab/>
            </w:r>
            <w:r>
              <w:rPr>
                <w:spacing w:val="-2"/>
                <w:sz w:val="24"/>
              </w:rPr>
              <w:t>heritage</w:t>
            </w:r>
            <w:r>
              <w:rPr>
                <w:sz w:val="24"/>
              </w:rPr>
              <w:tab/>
            </w:r>
            <w:r>
              <w:rPr>
                <w:spacing w:val="-2"/>
                <w:sz w:val="24"/>
              </w:rPr>
              <w:t>precincts</w:t>
            </w:r>
            <w:r>
              <w:rPr>
                <w:sz w:val="24"/>
              </w:rPr>
              <w:tab/>
            </w:r>
            <w:r>
              <w:rPr>
                <w:spacing w:val="-4"/>
                <w:sz w:val="24"/>
              </w:rPr>
              <w:t>and </w:t>
            </w:r>
            <w:r>
              <w:rPr>
                <w:sz w:val="24"/>
              </w:rPr>
              <w:t>conditions</w:t>
            </w:r>
            <w:r>
              <w:rPr>
                <w:spacing w:val="40"/>
                <w:sz w:val="24"/>
              </w:rPr>
              <w:t> </w:t>
            </w:r>
            <w:r>
              <w:rPr>
                <w:sz w:val="24"/>
              </w:rPr>
              <w:t>for</w:t>
            </w:r>
            <w:r>
              <w:rPr>
                <w:spacing w:val="40"/>
                <w:sz w:val="24"/>
              </w:rPr>
              <w:t> </w:t>
            </w:r>
            <w:r>
              <w:rPr>
                <w:sz w:val="24"/>
              </w:rPr>
              <w:t>grant</w:t>
            </w:r>
            <w:r>
              <w:rPr>
                <w:spacing w:val="40"/>
                <w:sz w:val="24"/>
              </w:rPr>
              <w:t> </w:t>
            </w:r>
            <w:r>
              <w:rPr>
                <w:sz w:val="24"/>
              </w:rPr>
              <w:t>of</w:t>
            </w:r>
            <w:r>
              <w:rPr>
                <w:spacing w:val="40"/>
                <w:sz w:val="24"/>
              </w:rPr>
              <w:t> </w:t>
            </w:r>
            <w:r>
              <w:rPr>
                <w:sz w:val="24"/>
              </w:rPr>
              <w:t>such</w:t>
            </w:r>
            <w:r>
              <w:rPr>
                <w:spacing w:val="40"/>
                <w:sz w:val="24"/>
              </w:rPr>
              <w:t> </w:t>
            </w:r>
            <w:r>
              <w:rPr>
                <w:spacing w:val="9"/>
                <w:sz w:val="24"/>
              </w:rPr>
              <w:t>rights</w:t>
            </w:r>
          </w:p>
        </w:tc>
        <w:tc>
          <w:tcPr>
            <w:tcW w:w="1001" w:type="dxa"/>
          </w:tcPr>
          <w:p>
            <w:pPr>
              <w:pStyle w:val="TableParagraph"/>
              <w:rPr>
                <w:rFonts w:ascii="Times New Roman"/>
                <w:sz w:val="22"/>
              </w:rPr>
            </w:pPr>
          </w:p>
        </w:tc>
      </w:tr>
      <w:tr>
        <w:trPr>
          <w:trHeight w:val="354" w:hRule="atLeast"/>
        </w:trPr>
        <w:tc>
          <w:tcPr>
            <w:tcW w:w="8769" w:type="dxa"/>
            <w:gridSpan w:val="3"/>
          </w:tcPr>
          <w:p>
            <w:pPr>
              <w:pStyle w:val="TableParagraph"/>
              <w:spacing w:before="49"/>
              <w:ind w:left="5"/>
              <w:jc w:val="center"/>
              <w:rPr>
                <w:b/>
                <w:sz w:val="24"/>
              </w:rPr>
            </w:pPr>
            <w:r>
              <w:rPr>
                <w:b/>
                <w:sz w:val="24"/>
              </w:rPr>
              <w:t>PART-</w:t>
            </w:r>
            <w:r>
              <w:rPr>
                <w:b/>
                <w:spacing w:val="29"/>
                <w:sz w:val="24"/>
              </w:rPr>
              <w:t> </w:t>
            </w:r>
            <w:r>
              <w:rPr>
                <w:b/>
                <w:sz w:val="24"/>
              </w:rPr>
              <w:t>VI</w:t>
            </w:r>
            <w:r>
              <w:rPr>
                <w:b/>
                <w:spacing w:val="24"/>
                <w:sz w:val="24"/>
              </w:rPr>
              <w:t> </w:t>
            </w:r>
            <w:r>
              <w:rPr>
                <w:b/>
                <w:sz w:val="24"/>
              </w:rPr>
              <w:t>ADDITIONAL</w:t>
            </w:r>
            <w:r>
              <w:rPr>
                <w:b/>
                <w:spacing w:val="8"/>
                <w:sz w:val="24"/>
              </w:rPr>
              <w:t> </w:t>
            </w:r>
            <w:r>
              <w:rPr>
                <w:b/>
                <w:sz w:val="24"/>
              </w:rPr>
              <w:t>FLOOR</w:t>
            </w:r>
            <w:r>
              <w:rPr>
                <w:b/>
                <w:spacing w:val="8"/>
                <w:sz w:val="24"/>
              </w:rPr>
              <w:t> </w:t>
            </w:r>
            <w:r>
              <w:rPr>
                <w:b/>
                <w:sz w:val="24"/>
              </w:rPr>
              <w:t>SPACE</w:t>
            </w:r>
            <w:r>
              <w:rPr>
                <w:b/>
                <w:spacing w:val="8"/>
                <w:sz w:val="24"/>
              </w:rPr>
              <w:t> </w:t>
            </w:r>
            <w:r>
              <w:rPr>
                <w:b/>
                <w:spacing w:val="-4"/>
                <w:sz w:val="24"/>
              </w:rPr>
              <w:t>INDEX</w:t>
            </w:r>
          </w:p>
        </w:tc>
      </w:tr>
      <w:tr>
        <w:trPr>
          <w:trHeight w:val="378" w:hRule="atLeast"/>
        </w:trPr>
        <w:tc>
          <w:tcPr>
            <w:tcW w:w="1572" w:type="dxa"/>
          </w:tcPr>
          <w:p>
            <w:pPr>
              <w:pStyle w:val="TableParagraph"/>
              <w:spacing w:before="47"/>
              <w:ind w:left="9" w:right="2"/>
              <w:jc w:val="center"/>
              <w:rPr>
                <w:sz w:val="24"/>
              </w:rPr>
            </w:pPr>
            <w:r>
              <w:rPr>
                <w:spacing w:val="-5"/>
                <w:sz w:val="24"/>
              </w:rPr>
              <w:t>33</w:t>
            </w:r>
          </w:p>
        </w:tc>
        <w:tc>
          <w:tcPr>
            <w:tcW w:w="6196" w:type="dxa"/>
          </w:tcPr>
          <w:p>
            <w:pPr>
              <w:pStyle w:val="TableParagraph"/>
              <w:spacing w:before="47"/>
              <w:ind w:left="107"/>
              <w:rPr>
                <w:sz w:val="24"/>
              </w:rPr>
            </w:pPr>
            <w:r>
              <w:rPr>
                <w:sz w:val="24"/>
              </w:rPr>
              <w:t>(1)</w:t>
            </w:r>
            <w:r>
              <w:rPr>
                <w:spacing w:val="59"/>
                <w:sz w:val="24"/>
              </w:rPr>
              <w:t> </w:t>
            </w:r>
            <w:r>
              <w:rPr>
                <w:sz w:val="24"/>
              </w:rPr>
              <w:t>Additional</w:t>
            </w:r>
            <w:r>
              <w:rPr>
                <w:spacing w:val="61"/>
                <w:sz w:val="24"/>
              </w:rPr>
              <w:t> </w:t>
            </w:r>
            <w:r>
              <w:rPr>
                <w:sz w:val="24"/>
              </w:rPr>
              <w:t>FSI</w:t>
            </w:r>
            <w:r>
              <w:rPr>
                <w:spacing w:val="62"/>
                <w:sz w:val="24"/>
              </w:rPr>
              <w:t> </w:t>
            </w:r>
            <w:r>
              <w:rPr>
                <w:sz w:val="24"/>
              </w:rPr>
              <w:t>to</w:t>
            </w:r>
            <w:r>
              <w:rPr>
                <w:spacing w:val="59"/>
                <w:sz w:val="24"/>
              </w:rPr>
              <w:t> </w:t>
            </w:r>
            <w:r>
              <w:rPr>
                <w:sz w:val="24"/>
              </w:rPr>
              <w:t>Religious</w:t>
            </w:r>
            <w:r>
              <w:rPr>
                <w:spacing w:val="60"/>
                <w:sz w:val="24"/>
              </w:rPr>
              <w:t> </w:t>
            </w:r>
            <w:r>
              <w:rPr>
                <w:spacing w:val="-2"/>
                <w:sz w:val="24"/>
              </w:rPr>
              <w:t>building</w:t>
            </w:r>
          </w:p>
        </w:tc>
        <w:tc>
          <w:tcPr>
            <w:tcW w:w="1001" w:type="dxa"/>
          </w:tcPr>
          <w:p>
            <w:pPr>
              <w:pStyle w:val="TableParagraph"/>
              <w:spacing w:before="47"/>
              <w:ind w:left="6"/>
              <w:jc w:val="center"/>
              <w:rPr>
                <w:sz w:val="24"/>
              </w:rPr>
            </w:pPr>
            <w:r>
              <w:rPr>
                <w:spacing w:val="-5"/>
                <w:sz w:val="24"/>
              </w:rPr>
              <w:t>139</w:t>
            </w:r>
          </w:p>
        </w:tc>
      </w:tr>
      <w:tr>
        <w:trPr>
          <w:trHeight w:val="1197" w:hRule="atLeast"/>
        </w:trPr>
        <w:tc>
          <w:tcPr>
            <w:tcW w:w="1572" w:type="dxa"/>
          </w:tcPr>
          <w:p>
            <w:pPr>
              <w:pStyle w:val="TableParagraph"/>
              <w:rPr>
                <w:rFonts w:ascii="Times New Roman"/>
                <w:sz w:val="22"/>
              </w:rPr>
            </w:pPr>
          </w:p>
        </w:tc>
        <w:tc>
          <w:tcPr>
            <w:tcW w:w="6196" w:type="dxa"/>
          </w:tcPr>
          <w:p>
            <w:pPr>
              <w:pStyle w:val="TableParagraph"/>
              <w:spacing w:before="47"/>
              <w:ind w:left="479" w:right="100" w:hanging="372"/>
              <w:jc w:val="both"/>
              <w:rPr>
                <w:sz w:val="24"/>
              </w:rPr>
            </w:pPr>
            <w:r>
              <w:rPr>
                <w:sz w:val="24"/>
              </w:rPr>
              <w:t>(2) Building of Medical and Educational Institutions</w:t>
            </w:r>
            <w:r>
              <w:rPr>
                <w:spacing w:val="80"/>
                <w:w w:val="150"/>
                <w:sz w:val="24"/>
              </w:rPr>
              <w:t> </w:t>
            </w:r>
            <w:r>
              <w:rPr>
                <w:sz w:val="24"/>
              </w:rPr>
              <w:t>and</w:t>
            </w:r>
            <w:r>
              <w:rPr>
                <w:spacing w:val="80"/>
                <w:w w:val="150"/>
                <w:sz w:val="24"/>
              </w:rPr>
              <w:t> </w:t>
            </w:r>
            <w:r>
              <w:rPr>
                <w:sz w:val="24"/>
              </w:rPr>
              <w:t>other</w:t>
            </w:r>
            <w:r>
              <w:rPr>
                <w:spacing w:val="80"/>
                <w:w w:val="150"/>
                <w:sz w:val="24"/>
              </w:rPr>
              <w:t> </w:t>
            </w:r>
            <w:r>
              <w:rPr>
                <w:sz w:val="24"/>
              </w:rPr>
              <w:t>Institutional Buildings</w:t>
            </w:r>
            <w:r>
              <w:rPr>
                <w:spacing w:val="40"/>
                <w:sz w:val="24"/>
              </w:rPr>
              <w:t> </w:t>
            </w:r>
            <w:r>
              <w:rPr>
                <w:sz w:val="24"/>
              </w:rPr>
              <w:t>covered</w:t>
            </w:r>
            <w:r>
              <w:rPr>
                <w:spacing w:val="40"/>
                <w:sz w:val="24"/>
              </w:rPr>
              <w:t> </w:t>
            </w:r>
            <w:r>
              <w:rPr>
                <w:sz w:val="24"/>
              </w:rPr>
              <w:t>under</w:t>
            </w:r>
            <w:r>
              <w:rPr>
                <w:spacing w:val="9"/>
                <w:sz w:val="24"/>
              </w:rPr>
              <w:t> Regulation</w:t>
            </w:r>
            <w:r>
              <w:rPr>
                <w:spacing w:val="40"/>
                <w:sz w:val="24"/>
              </w:rPr>
              <w:t> </w:t>
            </w:r>
            <w:r>
              <w:rPr>
                <w:spacing w:val="7"/>
                <w:sz w:val="24"/>
              </w:rPr>
              <w:t>2(IV)17(g)</w:t>
            </w:r>
          </w:p>
        </w:tc>
        <w:tc>
          <w:tcPr>
            <w:tcW w:w="1001" w:type="dxa"/>
          </w:tcPr>
          <w:p>
            <w:pPr>
              <w:pStyle w:val="TableParagraph"/>
              <w:spacing w:before="47"/>
              <w:ind w:left="6"/>
              <w:jc w:val="center"/>
              <w:rPr>
                <w:sz w:val="24"/>
              </w:rPr>
            </w:pPr>
            <w:r>
              <w:rPr>
                <w:spacing w:val="-5"/>
                <w:sz w:val="24"/>
              </w:rPr>
              <w:t>139</w:t>
            </w:r>
          </w:p>
        </w:tc>
      </w:tr>
      <w:tr>
        <w:trPr>
          <w:trHeight w:val="635" w:hRule="atLeast"/>
        </w:trPr>
        <w:tc>
          <w:tcPr>
            <w:tcW w:w="1572" w:type="dxa"/>
          </w:tcPr>
          <w:p>
            <w:pPr>
              <w:pStyle w:val="TableParagraph"/>
              <w:rPr>
                <w:rFonts w:ascii="Times New Roman"/>
                <w:sz w:val="22"/>
              </w:rPr>
            </w:pPr>
          </w:p>
        </w:tc>
        <w:tc>
          <w:tcPr>
            <w:tcW w:w="6196" w:type="dxa"/>
          </w:tcPr>
          <w:p>
            <w:pPr>
              <w:pStyle w:val="TableParagraph"/>
              <w:spacing w:before="47"/>
              <w:ind w:left="479" w:hanging="464"/>
              <w:rPr>
                <w:sz w:val="24"/>
              </w:rPr>
            </w:pPr>
            <w:r>
              <w:rPr>
                <w:sz w:val="24"/>
              </w:rPr>
              <w:t>(3)</w:t>
            </w:r>
            <w:r>
              <w:rPr>
                <w:spacing w:val="40"/>
                <w:sz w:val="24"/>
              </w:rPr>
              <w:t> </w:t>
            </w:r>
            <w:r>
              <w:rPr>
                <w:sz w:val="24"/>
              </w:rPr>
              <w:t>Buildings</w:t>
            </w:r>
            <w:r>
              <w:rPr>
                <w:spacing w:val="40"/>
                <w:sz w:val="24"/>
              </w:rPr>
              <w:t> </w:t>
            </w:r>
            <w:r>
              <w:rPr>
                <w:sz w:val="24"/>
              </w:rPr>
              <w:t>of</w:t>
            </w:r>
            <w:r>
              <w:rPr>
                <w:spacing w:val="40"/>
                <w:sz w:val="24"/>
              </w:rPr>
              <w:t> </w:t>
            </w:r>
            <w:r>
              <w:rPr>
                <w:spacing w:val="9"/>
                <w:sz w:val="24"/>
              </w:rPr>
              <w:t>Government/MCGM/Statutory </w:t>
            </w:r>
            <w:r>
              <w:rPr>
                <w:sz w:val="24"/>
              </w:rPr>
              <w:t>bodies,</w:t>
            </w:r>
            <w:r>
              <w:rPr>
                <w:spacing w:val="40"/>
                <w:sz w:val="24"/>
              </w:rPr>
              <w:t> </w:t>
            </w:r>
            <w:r>
              <w:rPr>
                <w:spacing w:val="9"/>
                <w:sz w:val="24"/>
              </w:rPr>
              <w:t>Semi-</w:t>
            </w:r>
            <w:r>
              <w:rPr>
                <w:sz w:val="24"/>
              </w:rPr>
              <w:t>Government</w:t>
            </w:r>
            <w:r>
              <w:rPr>
                <w:spacing w:val="40"/>
                <w:sz w:val="24"/>
              </w:rPr>
              <w:t> </w:t>
            </w:r>
            <w:r>
              <w:rPr>
                <w:sz w:val="24"/>
              </w:rPr>
              <w:t>and</w:t>
            </w:r>
            <w:r>
              <w:rPr>
                <w:spacing w:val="40"/>
                <w:sz w:val="24"/>
              </w:rPr>
              <w:t> </w:t>
            </w:r>
            <w:r>
              <w:rPr>
                <w:sz w:val="24"/>
              </w:rPr>
              <w:t>PSU</w:t>
            </w:r>
            <w:r>
              <w:rPr>
                <w:spacing w:val="40"/>
                <w:sz w:val="24"/>
              </w:rPr>
              <w:t> </w:t>
            </w:r>
            <w:r>
              <w:rPr>
                <w:sz w:val="24"/>
              </w:rPr>
              <w:t>Offices</w:t>
            </w:r>
          </w:p>
        </w:tc>
        <w:tc>
          <w:tcPr>
            <w:tcW w:w="1001" w:type="dxa"/>
          </w:tcPr>
          <w:p>
            <w:pPr>
              <w:pStyle w:val="TableParagraph"/>
              <w:spacing w:before="47"/>
              <w:ind w:left="6"/>
              <w:jc w:val="center"/>
              <w:rPr>
                <w:sz w:val="24"/>
              </w:rPr>
            </w:pPr>
            <w:r>
              <w:rPr>
                <w:spacing w:val="-5"/>
                <w:sz w:val="24"/>
              </w:rPr>
              <w:t>142</w:t>
            </w:r>
          </w:p>
        </w:tc>
      </w:tr>
      <w:tr>
        <w:trPr>
          <w:trHeight w:val="1505" w:hRule="atLeast"/>
        </w:trPr>
        <w:tc>
          <w:tcPr>
            <w:tcW w:w="1572" w:type="dxa"/>
          </w:tcPr>
          <w:p>
            <w:pPr>
              <w:pStyle w:val="TableParagraph"/>
              <w:rPr>
                <w:rFonts w:ascii="Times New Roman"/>
                <w:sz w:val="22"/>
              </w:rPr>
            </w:pPr>
          </w:p>
        </w:tc>
        <w:tc>
          <w:tcPr>
            <w:tcW w:w="6196" w:type="dxa"/>
          </w:tcPr>
          <w:p>
            <w:pPr>
              <w:pStyle w:val="TableParagraph"/>
              <w:spacing w:before="47"/>
              <w:ind w:left="479" w:right="100" w:hanging="449"/>
              <w:jc w:val="both"/>
              <w:rPr>
                <w:sz w:val="24"/>
              </w:rPr>
            </w:pPr>
            <w:r>
              <w:rPr>
                <w:sz w:val="24"/>
              </w:rPr>
              <w:t>(3) (A) Development/Redevelopment for construction of staff quarters of Govt. or its statutory</w:t>
            </w:r>
            <w:r>
              <w:rPr>
                <w:spacing w:val="40"/>
                <w:sz w:val="24"/>
              </w:rPr>
              <w:t> </w:t>
            </w:r>
            <w:r>
              <w:rPr>
                <w:sz w:val="24"/>
              </w:rPr>
              <w:t>bodies</w:t>
            </w:r>
            <w:r>
              <w:rPr>
                <w:spacing w:val="40"/>
                <w:sz w:val="24"/>
              </w:rPr>
              <w:t> </w:t>
            </w:r>
            <w:r>
              <w:rPr>
                <w:sz w:val="24"/>
              </w:rPr>
              <w:t>(including</w:t>
            </w:r>
            <w:r>
              <w:rPr>
                <w:spacing w:val="40"/>
                <w:sz w:val="24"/>
              </w:rPr>
              <w:t> </w:t>
            </w:r>
            <w:r>
              <w:rPr>
                <w:sz w:val="24"/>
              </w:rPr>
              <w:t>CISF)</w:t>
            </w:r>
            <w:r>
              <w:rPr>
                <w:spacing w:val="40"/>
                <w:sz w:val="24"/>
              </w:rPr>
              <w:t> </w:t>
            </w:r>
            <w:r>
              <w:rPr>
                <w:sz w:val="24"/>
              </w:rPr>
              <w:t>or</w:t>
            </w:r>
            <w:r>
              <w:rPr>
                <w:spacing w:val="40"/>
                <w:sz w:val="24"/>
              </w:rPr>
              <w:t> </w:t>
            </w:r>
            <w:r>
              <w:rPr>
                <w:sz w:val="24"/>
              </w:rPr>
              <w:t>MCGM</w:t>
            </w:r>
            <w:r>
              <w:rPr>
                <w:spacing w:val="80"/>
                <w:sz w:val="24"/>
              </w:rPr>
              <w:t> </w:t>
            </w:r>
            <w:r>
              <w:rPr>
                <w:sz w:val="24"/>
              </w:rPr>
              <w:t>or its statutory bodies, on lands belonging to such Public </w:t>
            </w:r>
            <w:r>
              <w:rPr>
                <w:spacing w:val="9"/>
                <w:sz w:val="24"/>
              </w:rPr>
              <w:t>Authorities.</w:t>
            </w:r>
          </w:p>
        </w:tc>
        <w:tc>
          <w:tcPr>
            <w:tcW w:w="1001" w:type="dxa"/>
          </w:tcPr>
          <w:p>
            <w:pPr>
              <w:pStyle w:val="TableParagraph"/>
              <w:spacing w:before="47"/>
              <w:ind w:left="6"/>
              <w:jc w:val="center"/>
              <w:rPr>
                <w:sz w:val="24"/>
              </w:rPr>
            </w:pPr>
            <w:r>
              <w:rPr>
                <w:spacing w:val="-5"/>
                <w:sz w:val="24"/>
              </w:rPr>
              <w:t>143</w:t>
            </w:r>
          </w:p>
        </w:tc>
      </w:tr>
      <w:tr>
        <w:trPr>
          <w:trHeight w:val="1504" w:hRule="atLeast"/>
        </w:trPr>
        <w:tc>
          <w:tcPr>
            <w:tcW w:w="1572" w:type="dxa"/>
          </w:tcPr>
          <w:p>
            <w:pPr>
              <w:pStyle w:val="TableParagraph"/>
              <w:rPr>
                <w:rFonts w:ascii="Times New Roman"/>
                <w:sz w:val="22"/>
              </w:rPr>
            </w:pPr>
          </w:p>
        </w:tc>
        <w:tc>
          <w:tcPr>
            <w:tcW w:w="6196" w:type="dxa"/>
          </w:tcPr>
          <w:p>
            <w:pPr>
              <w:pStyle w:val="TableParagraph"/>
              <w:spacing w:before="47"/>
              <w:ind w:left="390" w:right="128" w:hanging="360"/>
              <w:rPr>
                <w:sz w:val="24"/>
              </w:rPr>
            </w:pPr>
            <w:r>
              <w:rPr>
                <w:sz w:val="24"/>
              </w:rPr>
              <w:t>(3)(B)</w:t>
            </w:r>
            <w:r>
              <w:rPr>
                <w:spacing w:val="40"/>
                <w:sz w:val="24"/>
              </w:rPr>
              <w:t> </w:t>
            </w:r>
            <w:r>
              <w:rPr>
                <w:sz w:val="24"/>
              </w:rPr>
              <w:t>Development/Redevelopment</w:t>
            </w:r>
            <w:r>
              <w:rPr>
                <w:spacing w:val="40"/>
                <w:sz w:val="24"/>
              </w:rPr>
              <w:t> </w:t>
            </w:r>
            <w:r>
              <w:rPr>
                <w:sz w:val="24"/>
              </w:rPr>
              <w:t>for</w:t>
            </w:r>
            <w:r>
              <w:rPr>
                <w:spacing w:val="40"/>
                <w:sz w:val="24"/>
              </w:rPr>
              <w:t> </w:t>
            </w:r>
            <w:r>
              <w:rPr>
                <w:sz w:val="24"/>
              </w:rPr>
              <w:t>construction</w:t>
            </w:r>
            <w:r>
              <w:rPr>
                <w:spacing w:val="40"/>
                <w:sz w:val="24"/>
              </w:rPr>
              <w:t> </w:t>
            </w:r>
            <w:r>
              <w:rPr>
                <w:sz w:val="24"/>
              </w:rPr>
              <w:t>of</w:t>
            </w:r>
            <w:r>
              <w:rPr>
                <w:spacing w:val="40"/>
                <w:sz w:val="24"/>
              </w:rPr>
              <w:t> </w:t>
            </w:r>
            <w:r>
              <w:rPr>
                <w:sz w:val="24"/>
              </w:rPr>
              <w:t>staff</w:t>
            </w:r>
            <w:r>
              <w:rPr>
                <w:spacing w:val="40"/>
                <w:sz w:val="24"/>
              </w:rPr>
              <w:t> </w:t>
            </w:r>
            <w:r>
              <w:rPr>
                <w:sz w:val="24"/>
              </w:rPr>
              <w:t>quarters</w:t>
            </w:r>
            <w:r>
              <w:rPr>
                <w:spacing w:val="40"/>
                <w:sz w:val="24"/>
              </w:rPr>
              <w:t> </w:t>
            </w:r>
            <w:r>
              <w:rPr>
                <w:sz w:val="24"/>
              </w:rPr>
              <w:t>of</w:t>
            </w:r>
            <w:r>
              <w:rPr>
                <w:spacing w:val="40"/>
                <w:sz w:val="24"/>
              </w:rPr>
              <w:t> </w:t>
            </w:r>
            <w:r>
              <w:rPr>
                <w:sz w:val="24"/>
              </w:rPr>
              <w:t>Govt.</w:t>
            </w:r>
            <w:r>
              <w:rPr>
                <w:spacing w:val="40"/>
                <w:sz w:val="24"/>
              </w:rPr>
              <w:t> </w:t>
            </w:r>
            <w:r>
              <w:rPr>
                <w:sz w:val="24"/>
              </w:rPr>
              <w:t>or</w:t>
            </w:r>
            <w:r>
              <w:rPr>
                <w:spacing w:val="40"/>
                <w:sz w:val="24"/>
              </w:rPr>
              <w:t> </w:t>
            </w:r>
            <w:r>
              <w:rPr>
                <w:sz w:val="24"/>
              </w:rPr>
              <w:t>its statutory</w:t>
            </w:r>
            <w:r>
              <w:rPr>
                <w:spacing w:val="80"/>
                <w:sz w:val="24"/>
              </w:rPr>
              <w:t> </w:t>
            </w:r>
            <w:r>
              <w:rPr>
                <w:sz w:val="24"/>
              </w:rPr>
              <w:t>bodies</w:t>
            </w:r>
            <w:r>
              <w:rPr>
                <w:spacing w:val="80"/>
                <w:sz w:val="24"/>
              </w:rPr>
              <w:t> </w:t>
            </w:r>
            <w:r>
              <w:rPr>
                <w:sz w:val="24"/>
              </w:rPr>
              <w:t>(including</w:t>
            </w:r>
            <w:r>
              <w:rPr>
                <w:spacing w:val="80"/>
                <w:sz w:val="24"/>
              </w:rPr>
              <w:t> </w:t>
            </w:r>
            <w:r>
              <w:rPr>
                <w:sz w:val="24"/>
              </w:rPr>
              <w:t>CISF)</w:t>
            </w:r>
            <w:r>
              <w:rPr>
                <w:spacing w:val="80"/>
                <w:sz w:val="24"/>
              </w:rPr>
              <w:t> </w:t>
            </w:r>
            <w:r>
              <w:rPr>
                <w:sz w:val="24"/>
              </w:rPr>
              <w:t>or Municipal</w:t>
            </w:r>
            <w:r>
              <w:rPr>
                <w:spacing w:val="40"/>
                <w:sz w:val="24"/>
              </w:rPr>
              <w:t> </w:t>
            </w:r>
            <w:r>
              <w:rPr>
                <w:sz w:val="24"/>
              </w:rPr>
              <w:t>Corporation</w:t>
            </w:r>
            <w:r>
              <w:rPr>
                <w:spacing w:val="40"/>
                <w:sz w:val="24"/>
              </w:rPr>
              <w:t> </w:t>
            </w:r>
            <w:r>
              <w:rPr>
                <w:sz w:val="24"/>
              </w:rPr>
              <w:t>of</w:t>
            </w:r>
            <w:r>
              <w:rPr>
                <w:spacing w:val="40"/>
                <w:sz w:val="24"/>
              </w:rPr>
              <w:t> </w:t>
            </w:r>
            <w:r>
              <w:rPr>
                <w:sz w:val="24"/>
              </w:rPr>
              <w:t>Greater</w:t>
            </w:r>
            <w:r>
              <w:rPr>
                <w:spacing w:val="40"/>
                <w:sz w:val="24"/>
              </w:rPr>
              <w:t> </w:t>
            </w:r>
            <w:r>
              <w:rPr>
                <w:sz w:val="24"/>
              </w:rPr>
              <w:t>Mumbai</w:t>
            </w:r>
            <w:r>
              <w:rPr>
                <w:spacing w:val="40"/>
                <w:sz w:val="24"/>
              </w:rPr>
              <w:t> </w:t>
            </w:r>
            <w:r>
              <w:rPr>
                <w:sz w:val="24"/>
              </w:rPr>
              <w:t>or its</w:t>
            </w:r>
            <w:r>
              <w:rPr>
                <w:spacing w:val="40"/>
                <w:sz w:val="24"/>
              </w:rPr>
              <w:t> </w:t>
            </w:r>
            <w:r>
              <w:rPr>
                <w:sz w:val="24"/>
              </w:rPr>
              <w:t>statutory</w:t>
            </w:r>
            <w:r>
              <w:rPr>
                <w:spacing w:val="40"/>
                <w:sz w:val="24"/>
              </w:rPr>
              <w:t> </w:t>
            </w:r>
            <w:r>
              <w:rPr>
                <w:sz w:val="24"/>
              </w:rPr>
              <w:t>bodies</w:t>
            </w:r>
            <w:r>
              <w:rPr>
                <w:spacing w:val="40"/>
                <w:sz w:val="24"/>
              </w:rPr>
              <w:t> </w:t>
            </w:r>
            <w:r>
              <w:rPr>
                <w:sz w:val="24"/>
              </w:rPr>
              <w:t>on</w:t>
            </w:r>
            <w:r>
              <w:rPr>
                <w:spacing w:val="40"/>
                <w:sz w:val="24"/>
              </w:rPr>
              <w:t> </w:t>
            </w:r>
            <w:r>
              <w:rPr>
                <w:sz w:val="24"/>
              </w:rPr>
              <w:t>private</w:t>
            </w:r>
            <w:r>
              <w:rPr>
                <w:spacing w:val="40"/>
                <w:sz w:val="24"/>
              </w:rPr>
              <w:t> </w:t>
            </w:r>
            <w:r>
              <w:rPr>
                <w:spacing w:val="9"/>
                <w:sz w:val="24"/>
              </w:rPr>
              <w:t>lands.</w:t>
            </w:r>
          </w:p>
        </w:tc>
        <w:tc>
          <w:tcPr>
            <w:tcW w:w="1001" w:type="dxa"/>
          </w:tcPr>
          <w:p>
            <w:pPr>
              <w:pStyle w:val="TableParagraph"/>
              <w:spacing w:before="47"/>
              <w:ind w:left="6"/>
              <w:jc w:val="center"/>
              <w:rPr>
                <w:sz w:val="24"/>
              </w:rPr>
            </w:pPr>
            <w:r>
              <w:rPr>
                <w:spacing w:val="-5"/>
                <w:sz w:val="24"/>
              </w:rPr>
              <w:t>144</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1037" w:val="left" w:leader="none"/>
                <w:tab w:pos="2413" w:val="left" w:leader="none"/>
                <w:tab w:pos="2949" w:val="left" w:leader="none"/>
                <w:tab w:pos="4660" w:val="left" w:leader="none"/>
                <w:tab w:pos="5765" w:val="left" w:leader="none"/>
              </w:tabs>
              <w:spacing w:before="47"/>
              <w:ind w:left="107" w:right="116"/>
              <w:rPr>
                <w:sz w:val="24"/>
              </w:rPr>
            </w:pPr>
            <w:r>
              <w:rPr>
                <w:spacing w:val="-4"/>
                <w:sz w:val="24"/>
              </w:rPr>
              <w:t>(4)</w:t>
            </w:r>
            <w:r>
              <w:rPr>
                <w:sz w:val="24"/>
              </w:rPr>
              <w:tab/>
            </w:r>
            <w:r>
              <w:rPr>
                <w:spacing w:val="-2"/>
                <w:sz w:val="24"/>
              </w:rPr>
              <w:t>Building</w:t>
            </w:r>
            <w:r>
              <w:rPr>
                <w:sz w:val="24"/>
              </w:rPr>
              <w:tab/>
            </w:r>
            <w:r>
              <w:rPr>
                <w:spacing w:val="-6"/>
                <w:sz w:val="24"/>
              </w:rPr>
              <w:t>of</w:t>
            </w:r>
            <w:r>
              <w:rPr>
                <w:sz w:val="24"/>
              </w:rPr>
              <w:tab/>
            </w:r>
            <w:r>
              <w:rPr>
                <w:spacing w:val="-2"/>
                <w:sz w:val="24"/>
              </w:rPr>
              <w:t>Residential</w:t>
            </w:r>
            <w:r>
              <w:rPr>
                <w:sz w:val="24"/>
              </w:rPr>
              <w:tab/>
            </w:r>
            <w:r>
              <w:rPr>
                <w:spacing w:val="-2"/>
                <w:sz w:val="24"/>
              </w:rPr>
              <w:t>Hotels</w:t>
            </w:r>
            <w:r>
              <w:rPr>
                <w:sz w:val="24"/>
              </w:rPr>
              <w:tab/>
            </w:r>
            <w:r>
              <w:rPr>
                <w:spacing w:val="-6"/>
                <w:sz w:val="24"/>
              </w:rPr>
              <w:t>o</w:t>
            </w:r>
            <w:r>
              <w:rPr>
                <w:spacing w:val="-6"/>
                <w:sz w:val="24"/>
              </w:rPr>
              <w:t>n</w:t>
            </w:r>
            <w:r>
              <w:rPr>
                <w:spacing w:val="-6"/>
                <w:sz w:val="24"/>
              </w:rPr>
              <w:t> </w:t>
            </w:r>
            <w:r>
              <w:rPr>
                <w:sz w:val="24"/>
              </w:rPr>
              <w:t>independent </w:t>
            </w:r>
            <w:r>
              <w:rPr>
                <w:spacing w:val="9"/>
                <w:sz w:val="24"/>
              </w:rPr>
              <w:t>plot</w:t>
            </w:r>
          </w:p>
        </w:tc>
        <w:tc>
          <w:tcPr>
            <w:tcW w:w="1001" w:type="dxa"/>
          </w:tcPr>
          <w:p>
            <w:pPr>
              <w:pStyle w:val="TableParagraph"/>
              <w:spacing w:before="47"/>
              <w:ind w:left="6"/>
              <w:jc w:val="center"/>
              <w:rPr>
                <w:sz w:val="24"/>
              </w:rPr>
            </w:pPr>
            <w:r>
              <w:rPr>
                <w:spacing w:val="-5"/>
                <w:sz w:val="24"/>
              </w:rPr>
              <w:t>146</w:t>
            </w:r>
          </w:p>
        </w:tc>
      </w:tr>
      <w:tr>
        <w:trPr>
          <w:trHeight w:val="859" w:hRule="atLeast"/>
        </w:trPr>
        <w:tc>
          <w:tcPr>
            <w:tcW w:w="1572" w:type="dxa"/>
          </w:tcPr>
          <w:p>
            <w:pPr>
              <w:pStyle w:val="TableParagraph"/>
              <w:rPr>
                <w:rFonts w:ascii="Times New Roman"/>
                <w:sz w:val="22"/>
              </w:rPr>
            </w:pPr>
          </w:p>
        </w:tc>
        <w:tc>
          <w:tcPr>
            <w:tcW w:w="6196" w:type="dxa"/>
          </w:tcPr>
          <w:p>
            <w:pPr>
              <w:pStyle w:val="TableParagraph"/>
              <w:spacing w:line="216" w:lineRule="auto" w:before="46"/>
              <w:ind w:left="479" w:right="172" w:hanging="358"/>
              <w:jc w:val="both"/>
              <w:rPr>
                <w:b/>
                <w:sz w:val="24"/>
              </w:rPr>
            </w:pPr>
            <w:r>
              <w:rPr>
                <w:b/>
                <w:sz w:val="24"/>
              </w:rPr>
              <w:t>(</w:t>
            </w:r>
            <w:r>
              <w:rPr>
                <w:sz w:val="24"/>
              </w:rPr>
              <w:t>5) Development/Redevelopment of Housing Schemes of Maharashtra Housing &amp; Area Development</w:t>
            </w:r>
            <w:r>
              <w:rPr>
                <w:spacing w:val="40"/>
                <w:sz w:val="24"/>
              </w:rPr>
              <w:t> </w:t>
            </w:r>
            <w:r>
              <w:rPr>
                <w:sz w:val="24"/>
              </w:rPr>
              <w:t>Authority</w:t>
            </w:r>
            <w:r>
              <w:rPr>
                <w:spacing w:val="40"/>
                <w:sz w:val="24"/>
              </w:rPr>
              <w:t> </w:t>
            </w:r>
            <w:r>
              <w:rPr>
                <w:sz w:val="24"/>
              </w:rPr>
              <w:t>(MHADA</w:t>
            </w:r>
            <w:r>
              <w:rPr>
                <w:b/>
                <w:sz w:val="24"/>
              </w:rPr>
              <w:t>)</w:t>
            </w:r>
          </w:p>
        </w:tc>
        <w:tc>
          <w:tcPr>
            <w:tcW w:w="1001" w:type="dxa"/>
          </w:tcPr>
          <w:p>
            <w:pPr>
              <w:pStyle w:val="TableParagraph"/>
              <w:spacing w:before="47"/>
              <w:ind w:left="6"/>
              <w:jc w:val="center"/>
              <w:rPr>
                <w:sz w:val="24"/>
              </w:rPr>
            </w:pPr>
            <w:r>
              <w:rPr>
                <w:spacing w:val="-5"/>
                <w:sz w:val="24"/>
              </w:rPr>
              <w:t>147</w:t>
            </w:r>
          </w:p>
        </w:tc>
      </w:tr>
      <w:tr>
        <w:trPr>
          <w:trHeight w:val="1504" w:hRule="atLeast"/>
        </w:trPr>
        <w:tc>
          <w:tcPr>
            <w:tcW w:w="1572" w:type="dxa"/>
          </w:tcPr>
          <w:p>
            <w:pPr>
              <w:pStyle w:val="TableParagraph"/>
              <w:rPr>
                <w:rFonts w:ascii="Times New Roman"/>
                <w:sz w:val="22"/>
              </w:rPr>
            </w:pPr>
          </w:p>
        </w:tc>
        <w:tc>
          <w:tcPr>
            <w:tcW w:w="6196" w:type="dxa"/>
          </w:tcPr>
          <w:p>
            <w:pPr>
              <w:pStyle w:val="TableParagraph"/>
              <w:spacing w:before="47"/>
              <w:ind w:left="479" w:right="108" w:hanging="372"/>
              <w:jc w:val="both"/>
              <w:rPr>
                <w:sz w:val="24"/>
              </w:rPr>
            </w:pPr>
            <w:r>
              <w:rPr>
                <w:sz w:val="24"/>
              </w:rPr>
              <w:t>(6)</w:t>
            </w:r>
            <w:r>
              <w:rPr>
                <w:spacing w:val="80"/>
                <w:sz w:val="24"/>
              </w:rPr>
              <w:t> </w:t>
            </w:r>
            <w:r>
              <w:rPr>
                <w:sz w:val="24"/>
              </w:rPr>
              <w:t>Reconstruction</w:t>
            </w:r>
            <w:r>
              <w:rPr>
                <w:spacing w:val="80"/>
                <w:sz w:val="24"/>
              </w:rPr>
              <w:t> </w:t>
            </w:r>
            <w:r>
              <w:rPr>
                <w:sz w:val="24"/>
              </w:rPr>
              <w:t>of</w:t>
            </w:r>
            <w:r>
              <w:rPr>
                <w:spacing w:val="80"/>
                <w:sz w:val="24"/>
              </w:rPr>
              <w:t> </w:t>
            </w:r>
            <w:r>
              <w:rPr>
                <w:sz w:val="24"/>
              </w:rPr>
              <w:t>buildings</w:t>
            </w:r>
            <w:r>
              <w:rPr>
                <w:spacing w:val="80"/>
                <w:sz w:val="24"/>
              </w:rPr>
              <w:t> </w:t>
            </w:r>
            <w:r>
              <w:rPr>
                <w:sz w:val="24"/>
              </w:rPr>
              <w:t>destroyed</w:t>
            </w:r>
            <w:r>
              <w:rPr>
                <w:spacing w:val="80"/>
                <w:sz w:val="24"/>
              </w:rPr>
              <w:t> </w:t>
            </w:r>
            <w:r>
              <w:rPr>
                <w:sz w:val="24"/>
              </w:rPr>
              <w:t>by fire or which have collapsed or which have</w:t>
            </w:r>
            <w:r>
              <w:rPr>
                <w:spacing w:val="40"/>
                <w:sz w:val="24"/>
              </w:rPr>
              <w:t> </w:t>
            </w:r>
            <w:r>
              <w:rPr>
                <w:sz w:val="24"/>
              </w:rPr>
              <w:t>been</w:t>
            </w:r>
            <w:r>
              <w:rPr>
                <w:spacing w:val="80"/>
                <w:sz w:val="24"/>
              </w:rPr>
              <w:t> </w:t>
            </w:r>
            <w:r>
              <w:rPr>
                <w:sz w:val="24"/>
              </w:rPr>
              <w:t>demolished</w:t>
            </w:r>
            <w:r>
              <w:rPr>
                <w:spacing w:val="80"/>
                <w:sz w:val="24"/>
              </w:rPr>
              <w:t> </w:t>
            </w:r>
            <w:r>
              <w:rPr>
                <w:sz w:val="24"/>
              </w:rPr>
              <w:t>under</w:t>
            </w:r>
            <w:r>
              <w:rPr>
                <w:spacing w:val="80"/>
                <w:sz w:val="24"/>
              </w:rPr>
              <w:t> </w:t>
            </w:r>
            <w:r>
              <w:rPr>
                <w:sz w:val="24"/>
              </w:rPr>
              <w:t>lawful</w:t>
            </w:r>
            <w:r>
              <w:rPr>
                <w:spacing w:val="80"/>
                <w:sz w:val="24"/>
              </w:rPr>
              <w:t> </w:t>
            </w:r>
            <w:r>
              <w:rPr>
                <w:sz w:val="24"/>
              </w:rPr>
              <w:t>order</w:t>
            </w:r>
            <w:r>
              <w:rPr>
                <w:spacing w:val="80"/>
                <w:sz w:val="24"/>
              </w:rPr>
              <w:t> </w:t>
            </w:r>
            <w:r>
              <w:rPr>
                <w:sz w:val="24"/>
              </w:rPr>
              <w:t>or which is being demolished voluntarily by the </w:t>
            </w:r>
            <w:r>
              <w:rPr>
                <w:spacing w:val="7"/>
                <w:sz w:val="24"/>
              </w:rPr>
              <w:t>owner</w:t>
            </w:r>
          </w:p>
        </w:tc>
        <w:tc>
          <w:tcPr>
            <w:tcW w:w="1001" w:type="dxa"/>
          </w:tcPr>
          <w:p>
            <w:pPr>
              <w:pStyle w:val="TableParagraph"/>
              <w:spacing w:before="47"/>
              <w:ind w:left="6"/>
              <w:jc w:val="center"/>
              <w:rPr>
                <w:sz w:val="24"/>
              </w:rPr>
            </w:pPr>
            <w:r>
              <w:rPr>
                <w:spacing w:val="-5"/>
                <w:sz w:val="24"/>
              </w:rPr>
              <w:t>153</w:t>
            </w:r>
          </w:p>
        </w:tc>
      </w:tr>
      <w:tr>
        <w:trPr>
          <w:trHeight w:val="1235" w:hRule="atLeast"/>
        </w:trPr>
        <w:tc>
          <w:tcPr>
            <w:tcW w:w="1572" w:type="dxa"/>
            <w:vMerge w:val="restart"/>
          </w:tcPr>
          <w:p>
            <w:pPr>
              <w:pStyle w:val="TableParagraph"/>
              <w:rPr>
                <w:rFonts w:ascii="Times New Roman"/>
                <w:sz w:val="22"/>
              </w:rPr>
            </w:pPr>
          </w:p>
        </w:tc>
        <w:tc>
          <w:tcPr>
            <w:tcW w:w="6196" w:type="dxa"/>
          </w:tcPr>
          <w:p>
            <w:pPr>
              <w:pStyle w:val="TableParagraph"/>
              <w:spacing w:before="47"/>
              <w:ind w:left="648" w:right="99" w:hanging="541"/>
              <w:jc w:val="both"/>
              <w:rPr>
                <w:sz w:val="24"/>
              </w:rPr>
            </w:pPr>
            <w:r>
              <w:rPr>
                <w:sz w:val="24"/>
              </w:rPr>
              <w:t>(7) Reconstruction or redevelopment of cessed buildings in the Island City by </w:t>
            </w:r>
            <w:r>
              <w:rPr>
                <w:spacing w:val="9"/>
                <w:sz w:val="24"/>
              </w:rPr>
              <w:t>Co-</w:t>
            </w:r>
            <w:r>
              <w:rPr>
                <w:sz w:val="24"/>
              </w:rPr>
              <w:t>operative Housing Societies or of old </w:t>
            </w:r>
            <w:r>
              <w:rPr>
                <w:spacing w:val="9"/>
                <w:sz w:val="24"/>
              </w:rPr>
              <w:t>buildings </w:t>
            </w:r>
            <w:r>
              <w:rPr>
                <w:sz w:val="24"/>
              </w:rPr>
              <w:t>belonging to the </w:t>
            </w:r>
            <w:r>
              <w:rPr>
                <w:spacing w:val="9"/>
                <w:sz w:val="24"/>
              </w:rPr>
              <w:t>Corporation</w:t>
            </w:r>
          </w:p>
        </w:tc>
        <w:tc>
          <w:tcPr>
            <w:tcW w:w="1001" w:type="dxa"/>
          </w:tcPr>
          <w:p>
            <w:pPr>
              <w:pStyle w:val="TableParagraph"/>
              <w:spacing w:before="47"/>
              <w:ind w:left="6"/>
              <w:jc w:val="center"/>
              <w:rPr>
                <w:sz w:val="24"/>
              </w:rPr>
            </w:pPr>
            <w:r>
              <w:rPr>
                <w:spacing w:val="-5"/>
                <w:sz w:val="24"/>
              </w:rPr>
              <w:t>155</w:t>
            </w:r>
          </w:p>
        </w:tc>
      </w:tr>
      <w:tr>
        <w:trPr>
          <w:trHeight w:val="1785" w:hRule="atLeast"/>
        </w:trPr>
        <w:tc>
          <w:tcPr>
            <w:tcW w:w="1572" w:type="dxa"/>
            <w:vMerge/>
            <w:tcBorders>
              <w:top w:val="nil"/>
            </w:tcBorders>
          </w:tcPr>
          <w:p>
            <w:pPr>
              <w:rPr>
                <w:sz w:val="2"/>
                <w:szCs w:val="2"/>
              </w:rPr>
            </w:pPr>
          </w:p>
        </w:tc>
        <w:tc>
          <w:tcPr>
            <w:tcW w:w="6196" w:type="dxa"/>
          </w:tcPr>
          <w:p>
            <w:pPr>
              <w:pStyle w:val="TableParagraph"/>
              <w:spacing w:before="47"/>
              <w:ind w:left="648" w:right="99" w:hanging="541"/>
              <w:jc w:val="both"/>
              <w:rPr>
                <w:sz w:val="24"/>
              </w:rPr>
            </w:pPr>
            <w:r>
              <w:rPr>
                <w:sz w:val="24"/>
              </w:rPr>
              <w:t>(7)(A) Reconstruction or redevelopment of dilapidated/unsafe existing </w:t>
            </w:r>
            <w:r>
              <w:rPr>
                <w:spacing w:val="9"/>
                <w:sz w:val="24"/>
              </w:rPr>
              <w:t>authorized </w:t>
            </w:r>
            <w:r>
              <w:rPr>
                <w:sz w:val="24"/>
              </w:rPr>
              <w:t>tenant occupied building in Suburbs and extended Suburbs and existing </w:t>
            </w:r>
            <w:r>
              <w:rPr>
                <w:spacing w:val="9"/>
                <w:sz w:val="24"/>
              </w:rPr>
              <w:t>authorized </w:t>
            </w:r>
            <w:r>
              <w:rPr>
                <w:sz w:val="24"/>
              </w:rPr>
              <w:t>non-cessed tenant occupied buildings in Mumbai </w:t>
            </w:r>
            <w:r>
              <w:rPr>
                <w:spacing w:val="9"/>
                <w:sz w:val="24"/>
              </w:rPr>
              <w:t>City.</w:t>
            </w:r>
          </w:p>
        </w:tc>
        <w:tc>
          <w:tcPr>
            <w:tcW w:w="1001" w:type="dxa"/>
          </w:tcPr>
          <w:p>
            <w:pPr>
              <w:pStyle w:val="TableParagraph"/>
              <w:spacing w:before="47"/>
              <w:ind w:left="6"/>
              <w:jc w:val="center"/>
              <w:rPr>
                <w:sz w:val="24"/>
              </w:rPr>
            </w:pPr>
            <w:r>
              <w:rPr>
                <w:spacing w:val="-5"/>
                <w:sz w:val="24"/>
              </w:rPr>
              <w:t>160</w:t>
            </w:r>
          </w:p>
        </w:tc>
      </w:tr>
      <w:tr>
        <w:trPr>
          <w:trHeight w:val="942" w:hRule="atLeast"/>
        </w:trPr>
        <w:tc>
          <w:tcPr>
            <w:tcW w:w="1572" w:type="dxa"/>
            <w:vMerge/>
            <w:tcBorders>
              <w:top w:val="nil"/>
            </w:tcBorders>
          </w:tcPr>
          <w:p>
            <w:pPr>
              <w:rPr>
                <w:sz w:val="2"/>
                <w:szCs w:val="2"/>
              </w:rPr>
            </w:pPr>
          </w:p>
        </w:tc>
        <w:tc>
          <w:tcPr>
            <w:tcW w:w="6196" w:type="dxa"/>
          </w:tcPr>
          <w:p>
            <w:pPr>
              <w:pStyle w:val="TableParagraph"/>
              <w:spacing w:before="47"/>
              <w:ind w:left="648" w:right="99" w:hanging="541"/>
              <w:jc w:val="both"/>
              <w:rPr>
                <w:sz w:val="24"/>
              </w:rPr>
            </w:pPr>
            <w:r>
              <w:rPr>
                <w:sz w:val="24"/>
              </w:rPr>
              <w:t>(7)(B)</w:t>
            </w:r>
            <w:r>
              <w:rPr>
                <w:spacing w:val="40"/>
                <w:sz w:val="24"/>
              </w:rPr>
              <w:t> </w:t>
            </w:r>
            <w:r>
              <w:rPr>
                <w:sz w:val="24"/>
              </w:rPr>
              <w:t>Additional</w:t>
            </w:r>
            <w:r>
              <w:rPr>
                <w:spacing w:val="40"/>
                <w:sz w:val="24"/>
              </w:rPr>
              <w:t> </w:t>
            </w:r>
            <w:r>
              <w:rPr>
                <w:sz w:val="24"/>
              </w:rPr>
              <w:t>FSI</w:t>
            </w:r>
            <w:r>
              <w:rPr>
                <w:spacing w:val="40"/>
                <w:sz w:val="24"/>
              </w:rPr>
              <w:t> </w:t>
            </w:r>
            <w:r>
              <w:rPr>
                <w:sz w:val="24"/>
              </w:rPr>
              <w:t>for</w:t>
            </w:r>
            <w:r>
              <w:rPr>
                <w:spacing w:val="40"/>
                <w:sz w:val="24"/>
              </w:rPr>
              <w:t> </w:t>
            </w:r>
            <w:r>
              <w:rPr>
                <w:sz w:val="24"/>
              </w:rPr>
              <w:t>Redevelopment</w:t>
            </w:r>
            <w:r>
              <w:rPr>
                <w:spacing w:val="40"/>
                <w:sz w:val="24"/>
              </w:rPr>
              <w:t> </w:t>
            </w:r>
            <w:r>
              <w:rPr>
                <w:sz w:val="24"/>
              </w:rPr>
              <w:t>of existing residential housing </w:t>
            </w:r>
            <w:r>
              <w:rPr>
                <w:spacing w:val="9"/>
                <w:sz w:val="24"/>
              </w:rPr>
              <w:t>societies </w:t>
            </w:r>
            <w:r>
              <w:rPr>
                <w:sz w:val="24"/>
              </w:rPr>
              <w:t>excluding cessed </w:t>
            </w:r>
            <w:r>
              <w:rPr>
                <w:spacing w:val="9"/>
                <w:sz w:val="24"/>
              </w:rPr>
              <w:t>buildings</w:t>
            </w:r>
          </w:p>
        </w:tc>
        <w:tc>
          <w:tcPr>
            <w:tcW w:w="1001" w:type="dxa"/>
          </w:tcPr>
          <w:p>
            <w:pPr>
              <w:pStyle w:val="TableParagraph"/>
              <w:spacing w:before="47"/>
              <w:ind w:left="6"/>
              <w:jc w:val="center"/>
              <w:rPr>
                <w:sz w:val="24"/>
              </w:rPr>
            </w:pPr>
            <w:r>
              <w:rPr>
                <w:spacing w:val="-5"/>
                <w:sz w:val="24"/>
              </w:rPr>
              <w:t>164</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660" w:hRule="atLeast"/>
        </w:trPr>
        <w:tc>
          <w:tcPr>
            <w:tcW w:w="1572" w:type="dxa"/>
          </w:tcPr>
          <w:p>
            <w:pPr>
              <w:pStyle w:val="TableParagraph"/>
              <w:rPr>
                <w:rFonts w:ascii="Times New Roman"/>
                <w:sz w:val="22"/>
              </w:rPr>
            </w:pPr>
          </w:p>
        </w:tc>
        <w:tc>
          <w:tcPr>
            <w:tcW w:w="6196" w:type="dxa"/>
          </w:tcPr>
          <w:p>
            <w:pPr>
              <w:pStyle w:val="TableParagraph"/>
              <w:tabs>
                <w:tab w:pos="936" w:val="left" w:leader="none"/>
              </w:tabs>
              <w:spacing w:before="50"/>
              <w:ind w:left="107" w:right="110"/>
              <w:rPr>
                <w:sz w:val="24"/>
              </w:rPr>
            </w:pPr>
            <w:r>
              <w:rPr>
                <w:spacing w:val="-4"/>
                <w:sz w:val="24"/>
              </w:rPr>
              <w:t>(8)</w:t>
            </w:r>
            <w:r>
              <w:rPr>
                <w:sz w:val="24"/>
              </w:rPr>
              <w:tab/>
              <w:t>Construction</w:t>
            </w:r>
            <w:r>
              <w:rPr>
                <w:spacing w:val="80"/>
                <w:w w:val="150"/>
                <w:sz w:val="24"/>
              </w:rPr>
              <w:t> </w:t>
            </w:r>
            <w:r>
              <w:rPr>
                <w:sz w:val="24"/>
              </w:rPr>
              <w:t>of</w:t>
            </w:r>
            <w:r>
              <w:rPr>
                <w:spacing w:val="80"/>
                <w:w w:val="150"/>
                <w:sz w:val="24"/>
              </w:rPr>
              <w:t> </w:t>
            </w:r>
            <w:r>
              <w:rPr>
                <w:sz w:val="24"/>
              </w:rPr>
              <w:t>Affordable</w:t>
            </w:r>
            <w:r>
              <w:rPr>
                <w:spacing w:val="80"/>
                <w:w w:val="150"/>
                <w:sz w:val="24"/>
              </w:rPr>
              <w:t> </w:t>
            </w:r>
            <w:r>
              <w:rPr>
                <w:sz w:val="24"/>
              </w:rPr>
              <w:t>Housing</w:t>
            </w:r>
            <w:r>
              <w:rPr>
                <w:spacing w:val="80"/>
                <w:w w:val="150"/>
                <w:sz w:val="24"/>
              </w:rPr>
              <w:t> </w:t>
            </w:r>
            <w:r>
              <w:rPr>
                <w:sz w:val="24"/>
              </w:rPr>
              <w:t>in Special</w:t>
            </w:r>
            <w:r>
              <w:rPr>
                <w:spacing w:val="40"/>
                <w:sz w:val="24"/>
              </w:rPr>
              <w:t> </w:t>
            </w:r>
            <w:r>
              <w:rPr>
                <w:sz w:val="24"/>
              </w:rPr>
              <w:t>Development</w:t>
            </w:r>
            <w:r>
              <w:rPr>
                <w:spacing w:val="40"/>
                <w:sz w:val="24"/>
              </w:rPr>
              <w:t> </w:t>
            </w:r>
            <w:r>
              <w:rPr>
                <w:sz w:val="24"/>
              </w:rPr>
              <w:t>Zone</w:t>
            </w:r>
            <w:r>
              <w:rPr>
                <w:spacing w:val="40"/>
                <w:sz w:val="24"/>
              </w:rPr>
              <w:t> </w:t>
            </w:r>
            <w:r>
              <w:rPr>
                <w:sz w:val="24"/>
              </w:rPr>
              <w:t>II</w:t>
            </w:r>
            <w:r>
              <w:rPr>
                <w:spacing w:val="40"/>
                <w:sz w:val="24"/>
              </w:rPr>
              <w:t> </w:t>
            </w:r>
            <w:r>
              <w:rPr>
                <w:sz w:val="24"/>
              </w:rPr>
              <w:t>(SDZ</w:t>
            </w:r>
            <w:r>
              <w:rPr>
                <w:spacing w:val="40"/>
                <w:sz w:val="24"/>
              </w:rPr>
              <w:t> </w:t>
            </w:r>
            <w:r>
              <w:rPr>
                <w:sz w:val="24"/>
              </w:rPr>
              <w:t>II)</w:t>
            </w:r>
          </w:p>
        </w:tc>
        <w:tc>
          <w:tcPr>
            <w:tcW w:w="1001" w:type="dxa"/>
          </w:tcPr>
          <w:p>
            <w:pPr>
              <w:pStyle w:val="TableParagraph"/>
              <w:spacing w:before="50"/>
              <w:ind w:left="6"/>
              <w:jc w:val="center"/>
              <w:rPr>
                <w:sz w:val="24"/>
              </w:rPr>
            </w:pPr>
            <w:r>
              <w:rPr>
                <w:spacing w:val="-5"/>
                <w:sz w:val="24"/>
              </w:rPr>
              <w:t>165</w:t>
            </w:r>
          </w:p>
        </w:tc>
      </w:tr>
      <w:tr>
        <w:trPr>
          <w:trHeight w:val="942" w:hRule="atLeast"/>
        </w:trPr>
        <w:tc>
          <w:tcPr>
            <w:tcW w:w="1572" w:type="dxa"/>
          </w:tcPr>
          <w:p>
            <w:pPr>
              <w:pStyle w:val="TableParagraph"/>
              <w:rPr>
                <w:rFonts w:ascii="Times New Roman"/>
                <w:sz w:val="22"/>
              </w:rPr>
            </w:pPr>
          </w:p>
        </w:tc>
        <w:tc>
          <w:tcPr>
            <w:tcW w:w="6196" w:type="dxa"/>
          </w:tcPr>
          <w:p>
            <w:pPr>
              <w:pStyle w:val="TableParagraph"/>
              <w:spacing w:before="49"/>
              <w:ind w:left="648" w:right="94" w:hanging="541"/>
              <w:jc w:val="both"/>
              <w:rPr>
                <w:sz w:val="24"/>
              </w:rPr>
            </w:pPr>
            <w:r>
              <w:rPr>
                <w:sz w:val="24"/>
              </w:rPr>
              <w:t>(9)</w:t>
            </w:r>
            <w:r>
              <w:rPr>
                <w:spacing w:val="40"/>
                <w:sz w:val="24"/>
              </w:rPr>
              <w:t>  </w:t>
            </w:r>
            <w:r>
              <w:rPr>
                <w:sz w:val="24"/>
              </w:rPr>
              <w:t>Reconstruction</w:t>
            </w:r>
            <w:r>
              <w:rPr>
                <w:spacing w:val="40"/>
                <w:sz w:val="24"/>
              </w:rPr>
              <w:t> </w:t>
            </w:r>
            <w:r>
              <w:rPr>
                <w:sz w:val="24"/>
              </w:rPr>
              <w:t>or</w:t>
            </w:r>
            <w:r>
              <w:rPr>
                <w:spacing w:val="40"/>
                <w:sz w:val="24"/>
              </w:rPr>
              <w:t> </w:t>
            </w:r>
            <w:r>
              <w:rPr>
                <w:sz w:val="24"/>
              </w:rPr>
              <w:t>redevelopment</w:t>
            </w:r>
            <w:r>
              <w:rPr>
                <w:spacing w:val="40"/>
                <w:sz w:val="24"/>
              </w:rPr>
              <w:t> </w:t>
            </w:r>
            <w:r>
              <w:rPr>
                <w:sz w:val="24"/>
              </w:rPr>
              <w:t>of</w:t>
            </w:r>
            <w:r>
              <w:rPr>
                <w:spacing w:val="40"/>
                <w:sz w:val="24"/>
              </w:rPr>
              <w:t> </w:t>
            </w:r>
            <w:r>
              <w:rPr>
                <w:sz w:val="24"/>
              </w:rPr>
              <w:t>Cluster(s) of Buildings under</w:t>
            </w:r>
            <w:r>
              <w:rPr>
                <w:spacing w:val="40"/>
                <w:sz w:val="24"/>
              </w:rPr>
              <w:t> </w:t>
            </w:r>
            <w:r>
              <w:rPr>
                <w:sz w:val="24"/>
              </w:rPr>
              <w:t>Cluster Development Scheme(s)(CDS)</w:t>
            </w:r>
          </w:p>
        </w:tc>
        <w:tc>
          <w:tcPr>
            <w:tcW w:w="1001" w:type="dxa"/>
          </w:tcPr>
          <w:p>
            <w:pPr>
              <w:pStyle w:val="TableParagraph"/>
              <w:spacing w:before="49"/>
              <w:ind w:left="6"/>
              <w:jc w:val="center"/>
              <w:rPr>
                <w:sz w:val="24"/>
              </w:rPr>
            </w:pPr>
            <w:r>
              <w:rPr>
                <w:spacing w:val="-5"/>
                <w:sz w:val="24"/>
              </w:rPr>
              <w:t>171</w:t>
            </w:r>
          </w:p>
        </w:tc>
      </w:tr>
      <w:tr>
        <w:trPr>
          <w:trHeight w:val="659" w:hRule="atLeast"/>
        </w:trPr>
        <w:tc>
          <w:tcPr>
            <w:tcW w:w="1572" w:type="dxa"/>
            <w:vMerge w:val="restart"/>
          </w:tcPr>
          <w:p>
            <w:pPr>
              <w:pStyle w:val="TableParagraph"/>
              <w:rPr>
                <w:rFonts w:ascii="Times New Roman"/>
                <w:sz w:val="22"/>
              </w:rPr>
            </w:pPr>
          </w:p>
        </w:tc>
        <w:tc>
          <w:tcPr>
            <w:tcW w:w="6196" w:type="dxa"/>
          </w:tcPr>
          <w:p>
            <w:pPr>
              <w:pStyle w:val="TableParagraph"/>
              <w:spacing w:before="47"/>
              <w:ind w:left="107"/>
              <w:rPr>
                <w:sz w:val="24"/>
              </w:rPr>
            </w:pPr>
            <w:r>
              <w:rPr>
                <w:sz w:val="24"/>
              </w:rPr>
              <w:t>(9)</w:t>
            </w:r>
            <w:r>
              <w:rPr>
                <w:spacing w:val="80"/>
                <w:w w:val="150"/>
                <w:sz w:val="24"/>
              </w:rPr>
              <w:t> </w:t>
            </w:r>
            <w:r>
              <w:rPr>
                <w:sz w:val="24"/>
              </w:rPr>
              <w:t>(A)</w:t>
            </w:r>
            <w:r>
              <w:rPr>
                <w:spacing w:val="80"/>
                <w:w w:val="150"/>
                <w:sz w:val="24"/>
              </w:rPr>
              <w:t> </w:t>
            </w:r>
            <w:r>
              <w:rPr>
                <w:sz w:val="24"/>
              </w:rPr>
              <w:t>Regulations</w:t>
            </w:r>
            <w:r>
              <w:rPr>
                <w:spacing w:val="80"/>
                <w:w w:val="150"/>
                <w:sz w:val="24"/>
              </w:rPr>
              <w:t> </w:t>
            </w:r>
            <w:r>
              <w:rPr>
                <w:sz w:val="24"/>
              </w:rPr>
              <w:t>for</w:t>
            </w:r>
            <w:r>
              <w:rPr>
                <w:spacing w:val="80"/>
                <w:w w:val="150"/>
                <w:sz w:val="24"/>
              </w:rPr>
              <w:t> </w:t>
            </w:r>
            <w:r>
              <w:rPr>
                <w:sz w:val="24"/>
              </w:rPr>
              <w:t>Dharavi</w:t>
            </w:r>
            <w:r>
              <w:rPr>
                <w:spacing w:val="80"/>
                <w:w w:val="150"/>
                <w:sz w:val="24"/>
              </w:rPr>
              <w:t> </w:t>
            </w:r>
            <w:r>
              <w:rPr>
                <w:sz w:val="24"/>
              </w:rPr>
              <w:t>Notified</w:t>
            </w:r>
            <w:r>
              <w:rPr>
                <w:spacing w:val="80"/>
                <w:w w:val="150"/>
                <w:sz w:val="24"/>
              </w:rPr>
              <w:t> </w:t>
            </w:r>
            <w:r>
              <w:rPr>
                <w:sz w:val="24"/>
              </w:rPr>
              <w:t>Area </w:t>
            </w:r>
            <w:r>
              <w:rPr>
                <w:spacing w:val="-2"/>
                <w:sz w:val="24"/>
              </w:rPr>
              <w:t>(DNA)</w:t>
            </w:r>
          </w:p>
        </w:tc>
        <w:tc>
          <w:tcPr>
            <w:tcW w:w="1001" w:type="dxa"/>
          </w:tcPr>
          <w:p>
            <w:pPr>
              <w:pStyle w:val="TableParagraph"/>
              <w:spacing w:before="47"/>
              <w:ind w:left="6"/>
              <w:jc w:val="center"/>
              <w:rPr>
                <w:sz w:val="24"/>
              </w:rPr>
            </w:pPr>
            <w:r>
              <w:rPr>
                <w:spacing w:val="-5"/>
                <w:sz w:val="24"/>
              </w:rPr>
              <w:t>174</w:t>
            </w:r>
          </w:p>
        </w:tc>
      </w:tr>
      <w:tr>
        <w:trPr>
          <w:trHeight w:val="1221" w:hRule="atLeast"/>
        </w:trPr>
        <w:tc>
          <w:tcPr>
            <w:tcW w:w="1572" w:type="dxa"/>
            <w:vMerge/>
            <w:tcBorders>
              <w:top w:val="nil"/>
            </w:tcBorders>
          </w:tcPr>
          <w:p>
            <w:pPr>
              <w:rPr>
                <w:sz w:val="2"/>
                <w:szCs w:val="2"/>
              </w:rPr>
            </w:pPr>
          </w:p>
        </w:tc>
        <w:tc>
          <w:tcPr>
            <w:tcW w:w="6196" w:type="dxa"/>
          </w:tcPr>
          <w:p>
            <w:pPr>
              <w:pStyle w:val="TableParagraph"/>
              <w:spacing w:before="47"/>
              <w:ind w:left="107" w:right="117"/>
              <w:jc w:val="both"/>
              <w:rPr>
                <w:sz w:val="24"/>
              </w:rPr>
            </w:pPr>
            <w:r>
              <w:rPr>
                <w:sz w:val="24"/>
              </w:rPr>
              <w:t>(9)(B)</w:t>
            </w:r>
            <w:r>
              <w:rPr>
                <w:spacing w:val="40"/>
                <w:sz w:val="24"/>
              </w:rPr>
              <w:t> </w:t>
            </w:r>
            <w:r>
              <w:rPr>
                <w:sz w:val="24"/>
              </w:rPr>
              <w:t>Reconstruction</w:t>
            </w:r>
            <w:r>
              <w:rPr>
                <w:spacing w:val="40"/>
                <w:sz w:val="24"/>
              </w:rPr>
              <w:t> </w:t>
            </w:r>
            <w:r>
              <w:rPr>
                <w:sz w:val="24"/>
              </w:rPr>
              <w:t>or</w:t>
            </w:r>
            <w:r>
              <w:rPr>
                <w:spacing w:val="40"/>
                <w:sz w:val="24"/>
              </w:rPr>
              <w:t> </w:t>
            </w:r>
            <w:r>
              <w:rPr>
                <w:sz w:val="24"/>
              </w:rPr>
              <w:t>redevelopment</w:t>
            </w:r>
            <w:r>
              <w:rPr>
                <w:spacing w:val="40"/>
                <w:sz w:val="24"/>
              </w:rPr>
              <w:t> </w:t>
            </w:r>
            <w:r>
              <w:rPr>
                <w:sz w:val="24"/>
              </w:rPr>
              <w:t>of</w:t>
            </w:r>
            <w:r>
              <w:rPr>
                <w:spacing w:val="80"/>
                <w:sz w:val="24"/>
              </w:rPr>
              <w:t> </w:t>
            </w:r>
            <w:r>
              <w:rPr>
                <w:sz w:val="24"/>
              </w:rPr>
              <w:t>Cluster of BDD chawls at Naigaon, Worli, N.M. Joshi Marg and Shivdi under Urban Renewal </w:t>
            </w:r>
            <w:r>
              <w:rPr>
                <w:spacing w:val="7"/>
                <w:sz w:val="24"/>
              </w:rPr>
              <w:t>Scheme(s).</w:t>
            </w:r>
          </w:p>
        </w:tc>
        <w:tc>
          <w:tcPr>
            <w:tcW w:w="1001" w:type="dxa"/>
          </w:tcPr>
          <w:p>
            <w:pPr>
              <w:pStyle w:val="TableParagraph"/>
              <w:spacing w:before="47"/>
              <w:ind w:left="6"/>
              <w:jc w:val="center"/>
              <w:rPr>
                <w:sz w:val="24"/>
              </w:rPr>
            </w:pPr>
            <w:r>
              <w:rPr>
                <w:spacing w:val="-5"/>
                <w:sz w:val="24"/>
              </w:rPr>
              <w:t>175</w:t>
            </w:r>
          </w:p>
        </w:tc>
      </w:tr>
      <w:tr>
        <w:trPr>
          <w:trHeight w:val="660" w:hRule="atLeast"/>
        </w:trPr>
        <w:tc>
          <w:tcPr>
            <w:tcW w:w="1572" w:type="dxa"/>
          </w:tcPr>
          <w:p>
            <w:pPr>
              <w:pStyle w:val="TableParagraph"/>
              <w:rPr>
                <w:rFonts w:ascii="Times New Roman"/>
                <w:sz w:val="22"/>
              </w:rPr>
            </w:pPr>
          </w:p>
        </w:tc>
        <w:tc>
          <w:tcPr>
            <w:tcW w:w="6196" w:type="dxa"/>
          </w:tcPr>
          <w:p>
            <w:pPr>
              <w:pStyle w:val="TableParagraph"/>
              <w:spacing w:before="50"/>
              <w:ind w:left="107"/>
              <w:rPr>
                <w:sz w:val="24"/>
              </w:rPr>
            </w:pPr>
            <w:r>
              <w:rPr>
                <w:sz w:val="24"/>
              </w:rPr>
              <w:t>(10)</w:t>
            </w:r>
            <w:r>
              <w:rPr>
                <w:spacing w:val="80"/>
                <w:sz w:val="24"/>
              </w:rPr>
              <w:t> </w:t>
            </w:r>
            <w:r>
              <w:rPr>
                <w:sz w:val="24"/>
              </w:rPr>
              <w:t>Redevelopment</w:t>
            </w:r>
            <w:r>
              <w:rPr>
                <w:spacing w:val="80"/>
                <w:sz w:val="24"/>
              </w:rPr>
              <w:t> </w:t>
            </w:r>
            <w:r>
              <w:rPr>
                <w:sz w:val="24"/>
              </w:rPr>
              <w:t>for</w:t>
            </w:r>
            <w:r>
              <w:rPr>
                <w:spacing w:val="80"/>
                <w:sz w:val="24"/>
              </w:rPr>
              <w:t> </w:t>
            </w:r>
            <w:r>
              <w:rPr>
                <w:sz w:val="24"/>
              </w:rPr>
              <w:t>Rehabilitation</w:t>
            </w:r>
            <w:r>
              <w:rPr>
                <w:spacing w:val="80"/>
                <w:sz w:val="24"/>
              </w:rPr>
              <w:t> </w:t>
            </w:r>
            <w:r>
              <w:rPr>
                <w:sz w:val="24"/>
              </w:rPr>
              <w:t>of</w:t>
            </w:r>
            <w:r>
              <w:rPr>
                <w:spacing w:val="80"/>
                <w:sz w:val="24"/>
              </w:rPr>
              <w:t> </w:t>
            </w:r>
            <w:r>
              <w:rPr>
                <w:sz w:val="24"/>
              </w:rPr>
              <w:t>Slum </w:t>
            </w:r>
            <w:r>
              <w:rPr>
                <w:spacing w:val="-2"/>
                <w:sz w:val="24"/>
              </w:rPr>
              <w:t>Dwellers</w:t>
            </w:r>
          </w:p>
        </w:tc>
        <w:tc>
          <w:tcPr>
            <w:tcW w:w="1001" w:type="dxa"/>
          </w:tcPr>
          <w:p>
            <w:pPr>
              <w:pStyle w:val="TableParagraph"/>
              <w:spacing w:before="50"/>
              <w:ind w:left="6"/>
              <w:jc w:val="center"/>
              <w:rPr>
                <w:sz w:val="24"/>
              </w:rPr>
            </w:pPr>
            <w:r>
              <w:rPr>
                <w:spacing w:val="-5"/>
                <w:sz w:val="24"/>
              </w:rPr>
              <w:t>200</w:t>
            </w:r>
          </w:p>
        </w:tc>
      </w:tr>
      <w:tr>
        <w:trPr>
          <w:trHeight w:val="942" w:hRule="atLeast"/>
        </w:trPr>
        <w:tc>
          <w:tcPr>
            <w:tcW w:w="1572" w:type="dxa"/>
          </w:tcPr>
          <w:p>
            <w:pPr>
              <w:pStyle w:val="TableParagraph"/>
              <w:rPr>
                <w:rFonts w:ascii="Times New Roman"/>
                <w:sz w:val="22"/>
              </w:rPr>
            </w:pPr>
          </w:p>
        </w:tc>
        <w:tc>
          <w:tcPr>
            <w:tcW w:w="6196" w:type="dxa"/>
          </w:tcPr>
          <w:p>
            <w:pPr>
              <w:pStyle w:val="TableParagraph"/>
              <w:spacing w:before="47"/>
              <w:ind w:left="570" w:right="99" w:hanging="452"/>
              <w:jc w:val="both"/>
              <w:rPr>
                <w:sz w:val="24"/>
              </w:rPr>
            </w:pPr>
            <w:r>
              <w:rPr>
                <w:sz w:val="24"/>
              </w:rPr>
              <w:t>(10) (A) Slum Rehabilitation Scheme</w:t>
            </w:r>
            <w:r>
              <w:rPr>
                <w:spacing w:val="40"/>
                <w:sz w:val="24"/>
              </w:rPr>
              <w:t> </w:t>
            </w:r>
            <w:r>
              <w:rPr>
                <w:sz w:val="24"/>
              </w:rPr>
              <w:t>within Dharavi Notified Area (DNA) for </w:t>
            </w:r>
            <w:r>
              <w:rPr>
                <w:spacing w:val="9"/>
                <w:sz w:val="24"/>
              </w:rPr>
              <w:t>Dharavi </w:t>
            </w:r>
            <w:r>
              <w:rPr>
                <w:sz w:val="24"/>
              </w:rPr>
              <w:t>Redevelopment</w:t>
            </w:r>
            <w:r>
              <w:rPr>
                <w:spacing w:val="40"/>
                <w:sz w:val="24"/>
              </w:rPr>
              <w:t> </w:t>
            </w:r>
            <w:r>
              <w:rPr>
                <w:sz w:val="24"/>
              </w:rPr>
              <w:t>Project</w:t>
            </w:r>
            <w:r>
              <w:rPr>
                <w:spacing w:val="40"/>
                <w:sz w:val="24"/>
              </w:rPr>
              <w:t> </w:t>
            </w:r>
            <w:r>
              <w:rPr>
                <w:sz w:val="24"/>
              </w:rPr>
              <w:t>(DRP)</w:t>
            </w:r>
          </w:p>
        </w:tc>
        <w:tc>
          <w:tcPr>
            <w:tcW w:w="1001" w:type="dxa"/>
          </w:tcPr>
          <w:p>
            <w:pPr>
              <w:pStyle w:val="TableParagraph"/>
              <w:spacing w:before="47"/>
              <w:ind w:left="6"/>
              <w:jc w:val="center"/>
              <w:rPr>
                <w:sz w:val="24"/>
              </w:rPr>
            </w:pPr>
            <w:r>
              <w:rPr>
                <w:spacing w:val="-5"/>
                <w:sz w:val="24"/>
              </w:rPr>
              <w:t>222</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660" w:right="115" w:hanging="553"/>
              <w:jc w:val="both"/>
              <w:rPr>
                <w:sz w:val="24"/>
              </w:rPr>
            </w:pPr>
            <w:r>
              <w:rPr>
                <w:sz w:val="24"/>
              </w:rPr>
              <w:t>(11) Provisions relating to Permanent Transit Camp tenements for Slum Rehabilitation Scheme/Rental </w:t>
            </w:r>
            <w:r>
              <w:rPr>
                <w:spacing w:val="9"/>
                <w:sz w:val="24"/>
              </w:rPr>
              <w:t>housing</w:t>
            </w:r>
          </w:p>
        </w:tc>
        <w:tc>
          <w:tcPr>
            <w:tcW w:w="1001" w:type="dxa"/>
          </w:tcPr>
          <w:p>
            <w:pPr>
              <w:pStyle w:val="TableParagraph"/>
              <w:spacing w:before="47"/>
              <w:ind w:left="6"/>
              <w:jc w:val="center"/>
              <w:rPr>
                <w:sz w:val="24"/>
              </w:rPr>
            </w:pPr>
            <w:r>
              <w:rPr>
                <w:spacing w:val="-5"/>
                <w:sz w:val="24"/>
              </w:rPr>
              <w:t>243</w:t>
            </w:r>
          </w:p>
        </w:tc>
      </w:tr>
      <w:tr>
        <w:trPr>
          <w:trHeight w:val="3290" w:hRule="atLeast"/>
        </w:trPr>
        <w:tc>
          <w:tcPr>
            <w:tcW w:w="1572" w:type="dxa"/>
          </w:tcPr>
          <w:p>
            <w:pPr>
              <w:pStyle w:val="TableParagraph"/>
              <w:rPr>
                <w:rFonts w:ascii="Times New Roman"/>
                <w:sz w:val="22"/>
              </w:rPr>
            </w:pPr>
          </w:p>
        </w:tc>
        <w:tc>
          <w:tcPr>
            <w:tcW w:w="6196" w:type="dxa"/>
          </w:tcPr>
          <w:p>
            <w:pPr>
              <w:pStyle w:val="TableParagraph"/>
              <w:numPr>
                <w:ilvl w:val="0"/>
                <w:numId w:val="1"/>
              </w:numPr>
              <w:tabs>
                <w:tab w:pos="660" w:val="left" w:leader="none"/>
                <w:tab w:pos="685" w:val="left" w:leader="none"/>
              </w:tabs>
              <w:spacing w:line="240" w:lineRule="auto" w:before="47" w:after="0"/>
              <w:ind w:left="660" w:right="99" w:hanging="553"/>
              <w:jc w:val="both"/>
              <w:rPr>
                <w:sz w:val="24"/>
              </w:rPr>
            </w:pPr>
            <w:r>
              <w:rPr>
                <w:sz w:val="24"/>
              </w:rPr>
              <w:t>Redevelopment</w:t>
            </w:r>
            <w:r>
              <w:rPr>
                <w:sz w:val="24"/>
              </w:rPr>
              <w:t> of contravening structures included</w:t>
            </w:r>
            <w:r>
              <w:rPr>
                <w:spacing w:val="40"/>
                <w:sz w:val="24"/>
              </w:rPr>
              <w:t> </w:t>
            </w:r>
            <w:r>
              <w:rPr>
                <w:sz w:val="24"/>
              </w:rPr>
              <w:t>in</w:t>
            </w:r>
            <w:r>
              <w:rPr>
                <w:spacing w:val="40"/>
                <w:sz w:val="24"/>
              </w:rPr>
              <w:t> </w:t>
            </w:r>
            <w:r>
              <w:rPr>
                <w:sz w:val="24"/>
              </w:rPr>
              <w:t>the</w:t>
            </w:r>
            <w:r>
              <w:rPr>
                <w:spacing w:val="40"/>
                <w:sz w:val="24"/>
              </w:rPr>
              <w:t> </w:t>
            </w:r>
            <w:r>
              <w:rPr>
                <w:sz w:val="24"/>
              </w:rPr>
              <w:t>Final</w:t>
            </w:r>
            <w:r>
              <w:rPr>
                <w:spacing w:val="40"/>
                <w:sz w:val="24"/>
              </w:rPr>
              <w:t> </w:t>
            </w:r>
            <w:r>
              <w:rPr>
                <w:sz w:val="24"/>
              </w:rPr>
              <w:t>Plot</w:t>
            </w:r>
            <w:r>
              <w:rPr>
                <w:spacing w:val="40"/>
                <w:sz w:val="24"/>
              </w:rPr>
              <w:t> </w:t>
            </w:r>
            <w:r>
              <w:rPr>
                <w:sz w:val="24"/>
              </w:rPr>
              <w:t>of</w:t>
            </w:r>
            <w:r>
              <w:rPr>
                <w:spacing w:val="40"/>
                <w:sz w:val="24"/>
              </w:rPr>
              <w:t> </w:t>
            </w:r>
            <w:r>
              <w:rPr>
                <w:sz w:val="24"/>
              </w:rPr>
              <w:t>a</w:t>
            </w:r>
            <w:r>
              <w:rPr>
                <w:spacing w:val="40"/>
                <w:sz w:val="24"/>
              </w:rPr>
              <w:t> </w:t>
            </w:r>
            <w:r>
              <w:rPr>
                <w:sz w:val="24"/>
              </w:rPr>
              <w:t>Town Planning (TP) Scheme and Removal and re- accommodation of </w:t>
            </w:r>
            <w:r>
              <w:rPr>
                <w:spacing w:val="9"/>
                <w:sz w:val="24"/>
              </w:rPr>
              <w:t>tolerated/protected </w:t>
            </w:r>
            <w:r>
              <w:rPr>
                <w:sz w:val="24"/>
              </w:rPr>
              <w:t>structures</w:t>
            </w:r>
            <w:r>
              <w:rPr>
                <w:spacing w:val="59"/>
                <w:sz w:val="24"/>
              </w:rPr>
              <w:t> </w:t>
            </w:r>
            <w:r>
              <w:rPr>
                <w:sz w:val="24"/>
              </w:rPr>
              <w:t>falling</w:t>
            </w:r>
            <w:r>
              <w:rPr>
                <w:spacing w:val="61"/>
                <w:sz w:val="24"/>
              </w:rPr>
              <w:t> </w:t>
            </w:r>
            <w:r>
              <w:rPr>
                <w:sz w:val="24"/>
              </w:rPr>
              <w:t>in</w:t>
            </w:r>
            <w:r>
              <w:rPr>
                <w:spacing w:val="61"/>
                <w:sz w:val="24"/>
              </w:rPr>
              <w:t> </w:t>
            </w:r>
            <w:r>
              <w:rPr>
                <w:sz w:val="24"/>
              </w:rPr>
              <w:t>the</w:t>
            </w:r>
            <w:r>
              <w:rPr>
                <w:spacing w:val="61"/>
                <w:sz w:val="24"/>
              </w:rPr>
              <w:t> </w:t>
            </w:r>
            <w:r>
              <w:rPr>
                <w:sz w:val="24"/>
              </w:rPr>
              <w:t>alignment</w:t>
            </w:r>
            <w:r>
              <w:rPr>
                <w:spacing w:val="61"/>
                <w:sz w:val="24"/>
              </w:rPr>
              <w:t> </w:t>
            </w:r>
            <w:r>
              <w:rPr>
                <w:sz w:val="24"/>
              </w:rPr>
              <w:t>of</w:t>
            </w:r>
            <w:r>
              <w:rPr>
                <w:spacing w:val="64"/>
                <w:sz w:val="24"/>
              </w:rPr>
              <w:t> </w:t>
            </w:r>
            <w:r>
              <w:rPr>
                <w:spacing w:val="-2"/>
                <w:sz w:val="24"/>
              </w:rPr>
              <w:t>road.</w:t>
            </w:r>
          </w:p>
          <w:p>
            <w:pPr>
              <w:pStyle w:val="TableParagraph"/>
              <w:numPr>
                <w:ilvl w:val="1"/>
                <w:numId w:val="1"/>
              </w:numPr>
              <w:tabs>
                <w:tab w:pos="1020" w:val="left" w:leader="none"/>
                <w:tab w:pos="1309" w:val="left" w:leader="none"/>
              </w:tabs>
              <w:spacing w:line="240" w:lineRule="auto" w:before="48" w:after="0"/>
              <w:ind w:left="1020" w:right="100" w:hanging="541"/>
              <w:jc w:val="both"/>
              <w:rPr>
                <w:sz w:val="24"/>
              </w:rPr>
            </w:pPr>
            <w:r>
              <w:rPr>
                <w:sz w:val="24"/>
              </w:rPr>
              <w:tab/>
              <w:t>Redevelopment of contravening structures</w:t>
            </w:r>
            <w:r>
              <w:rPr>
                <w:spacing w:val="79"/>
                <w:sz w:val="24"/>
              </w:rPr>
              <w:t> </w:t>
            </w:r>
            <w:r>
              <w:rPr>
                <w:sz w:val="24"/>
              </w:rPr>
              <w:t>included</w:t>
            </w:r>
            <w:r>
              <w:rPr>
                <w:spacing w:val="79"/>
                <w:sz w:val="24"/>
              </w:rPr>
              <w:t> </w:t>
            </w:r>
            <w:r>
              <w:rPr>
                <w:sz w:val="24"/>
              </w:rPr>
              <w:t>in</w:t>
            </w:r>
            <w:r>
              <w:rPr>
                <w:spacing w:val="79"/>
                <w:sz w:val="24"/>
              </w:rPr>
              <w:t> </w:t>
            </w:r>
            <w:r>
              <w:rPr>
                <w:sz w:val="24"/>
              </w:rPr>
              <w:t>the</w:t>
            </w:r>
            <w:r>
              <w:rPr>
                <w:spacing w:val="79"/>
                <w:sz w:val="24"/>
              </w:rPr>
              <w:t> </w:t>
            </w:r>
            <w:r>
              <w:rPr>
                <w:sz w:val="24"/>
              </w:rPr>
              <w:t>Final</w:t>
            </w:r>
            <w:r>
              <w:rPr>
                <w:spacing w:val="79"/>
                <w:sz w:val="24"/>
              </w:rPr>
              <w:t> </w:t>
            </w:r>
            <w:r>
              <w:rPr>
                <w:sz w:val="24"/>
              </w:rPr>
              <w:t>Plot</w:t>
            </w:r>
            <w:r>
              <w:rPr>
                <w:spacing w:val="80"/>
                <w:sz w:val="24"/>
              </w:rPr>
              <w:t> </w:t>
            </w:r>
            <w:r>
              <w:rPr>
                <w:sz w:val="24"/>
              </w:rPr>
              <w:t>of a TP Scheme.</w:t>
            </w:r>
          </w:p>
          <w:p>
            <w:pPr>
              <w:pStyle w:val="TableParagraph"/>
              <w:numPr>
                <w:ilvl w:val="1"/>
                <w:numId w:val="1"/>
              </w:numPr>
              <w:tabs>
                <w:tab w:pos="1020" w:val="left" w:leader="none"/>
                <w:tab w:pos="1112" w:val="left" w:leader="none"/>
              </w:tabs>
              <w:spacing w:line="240" w:lineRule="auto" w:before="48" w:after="0"/>
              <w:ind w:left="1020" w:right="99" w:hanging="541"/>
              <w:jc w:val="both"/>
              <w:rPr>
                <w:sz w:val="24"/>
              </w:rPr>
            </w:pPr>
            <w:r>
              <w:rPr>
                <w:sz w:val="24"/>
              </w:rPr>
              <w:tab/>
              <w:t>Removal and re-accommodation of tolerated</w:t>
            </w:r>
            <w:r>
              <w:rPr>
                <w:spacing w:val="80"/>
                <w:sz w:val="24"/>
              </w:rPr>
              <w:t> </w:t>
            </w:r>
            <w:r>
              <w:rPr>
                <w:sz w:val="24"/>
              </w:rPr>
              <w:t>/protected</w:t>
            </w:r>
            <w:r>
              <w:rPr>
                <w:spacing w:val="80"/>
                <w:sz w:val="24"/>
              </w:rPr>
              <w:t> </w:t>
            </w:r>
            <w:r>
              <w:rPr>
                <w:sz w:val="24"/>
              </w:rPr>
              <w:t>structures</w:t>
            </w:r>
            <w:r>
              <w:rPr>
                <w:spacing w:val="80"/>
                <w:sz w:val="24"/>
              </w:rPr>
              <w:t> </w:t>
            </w:r>
            <w:r>
              <w:rPr>
                <w:spacing w:val="9"/>
                <w:sz w:val="24"/>
              </w:rPr>
              <w:t>falling</w:t>
            </w:r>
            <w:r>
              <w:rPr>
                <w:spacing w:val="80"/>
                <w:sz w:val="24"/>
              </w:rPr>
              <w:t> </w:t>
            </w:r>
            <w:r>
              <w:rPr>
                <w:sz w:val="24"/>
              </w:rPr>
              <w:t>in</w:t>
            </w:r>
            <w:r>
              <w:rPr>
                <w:spacing w:val="40"/>
                <w:sz w:val="24"/>
              </w:rPr>
              <w:t> </w:t>
            </w:r>
            <w:r>
              <w:rPr>
                <w:sz w:val="24"/>
              </w:rPr>
              <w:t>the</w:t>
            </w:r>
            <w:r>
              <w:rPr>
                <w:spacing w:val="40"/>
                <w:sz w:val="24"/>
              </w:rPr>
              <w:t> </w:t>
            </w:r>
            <w:r>
              <w:rPr>
                <w:sz w:val="24"/>
              </w:rPr>
              <w:t>alignment</w:t>
            </w:r>
            <w:r>
              <w:rPr>
                <w:spacing w:val="40"/>
                <w:sz w:val="24"/>
              </w:rPr>
              <w:t> </w:t>
            </w:r>
            <w:r>
              <w:rPr>
                <w:sz w:val="24"/>
              </w:rPr>
              <w:t>of</w:t>
            </w:r>
            <w:r>
              <w:rPr>
                <w:spacing w:val="40"/>
                <w:sz w:val="24"/>
              </w:rPr>
              <w:t> </w:t>
            </w:r>
            <w:r>
              <w:rPr>
                <w:sz w:val="24"/>
              </w:rPr>
              <w:t>road.</w:t>
            </w:r>
          </w:p>
        </w:tc>
        <w:tc>
          <w:tcPr>
            <w:tcW w:w="1001" w:type="dxa"/>
          </w:tcPr>
          <w:p>
            <w:pPr>
              <w:pStyle w:val="TableParagraph"/>
              <w:spacing w:before="47"/>
              <w:ind w:left="6"/>
              <w:jc w:val="center"/>
              <w:rPr>
                <w:sz w:val="24"/>
              </w:rPr>
            </w:pPr>
            <w:r>
              <w:rPr>
                <w:spacing w:val="-5"/>
                <w:sz w:val="24"/>
              </w:rPr>
              <w:t>245</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874" w:val="left" w:leader="none"/>
                <w:tab w:pos="2373" w:val="left" w:leader="none"/>
                <w:tab w:pos="2893" w:val="left" w:leader="none"/>
                <w:tab w:pos="4669" w:val="left" w:leader="none"/>
              </w:tabs>
              <w:spacing w:before="47"/>
              <w:ind w:left="660" w:right="128" w:hanging="553"/>
              <w:rPr>
                <w:sz w:val="24"/>
              </w:rPr>
            </w:pPr>
            <w:r>
              <w:rPr>
                <w:spacing w:val="-4"/>
                <w:sz w:val="24"/>
              </w:rPr>
              <w:t>(13)</w:t>
            </w:r>
            <w:r>
              <w:rPr>
                <w:sz w:val="24"/>
              </w:rPr>
              <w:tab/>
              <w:tab/>
            </w:r>
            <w:r>
              <w:rPr>
                <w:spacing w:val="-2"/>
                <w:sz w:val="24"/>
              </w:rPr>
              <w:t>Buildings</w:t>
            </w:r>
            <w:r>
              <w:rPr>
                <w:sz w:val="24"/>
              </w:rPr>
              <w:tab/>
            </w:r>
            <w:r>
              <w:rPr>
                <w:spacing w:val="-6"/>
                <w:sz w:val="24"/>
              </w:rPr>
              <w:t>of</w:t>
            </w:r>
            <w:r>
              <w:rPr>
                <w:sz w:val="24"/>
              </w:rPr>
              <w:tab/>
            </w:r>
            <w:r>
              <w:rPr>
                <w:spacing w:val="-2"/>
                <w:sz w:val="24"/>
              </w:rPr>
              <w:t>Information</w:t>
            </w:r>
            <w:r>
              <w:rPr>
                <w:sz w:val="24"/>
              </w:rPr>
              <w:tab/>
            </w:r>
            <w:r>
              <w:rPr>
                <w:spacing w:val="-2"/>
                <w:sz w:val="24"/>
              </w:rPr>
              <w:t>Technolog</w:t>
            </w:r>
            <w:r>
              <w:rPr>
                <w:spacing w:val="-2"/>
                <w:sz w:val="24"/>
              </w:rPr>
              <w:t>y</w:t>
            </w:r>
            <w:r>
              <w:rPr>
                <w:spacing w:val="-2"/>
                <w:sz w:val="24"/>
              </w:rPr>
              <w:t> </w:t>
            </w:r>
            <w:r>
              <w:rPr>
                <w:spacing w:val="7"/>
                <w:sz w:val="24"/>
              </w:rPr>
              <w:t>Establishments</w:t>
            </w:r>
          </w:p>
        </w:tc>
        <w:tc>
          <w:tcPr>
            <w:tcW w:w="1001" w:type="dxa"/>
          </w:tcPr>
          <w:p>
            <w:pPr>
              <w:pStyle w:val="TableParagraph"/>
              <w:spacing w:before="47"/>
              <w:ind w:left="6"/>
              <w:jc w:val="center"/>
              <w:rPr>
                <w:sz w:val="24"/>
              </w:rPr>
            </w:pPr>
            <w:r>
              <w:rPr>
                <w:spacing w:val="-5"/>
                <w:sz w:val="24"/>
              </w:rPr>
              <w:t>248</w:t>
            </w:r>
          </w:p>
        </w:tc>
      </w:tr>
      <w:tr>
        <w:trPr>
          <w:trHeight w:val="660" w:hRule="atLeast"/>
        </w:trPr>
        <w:tc>
          <w:tcPr>
            <w:tcW w:w="1572" w:type="dxa"/>
          </w:tcPr>
          <w:p>
            <w:pPr>
              <w:pStyle w:val="TableParagraph"/>
              <w:rPr>
                <w:rFonts w:ascii="Times New Roman"/>
                <w:sz w:val="22"/>
              </w:rPr>
            </w:pPr>
          </w:p>
        </w:tc>
        <w:tc>
          <w:tcPr>
            <w:tcW w:w="6196" w:type="dxa"/>
          </w:tcPr>
          <w:p>
            <w:pPr>
              <w:pStyle w:val="TableParagraph"/>
              <w:spacing w:line="278" w:lineRule="exact"/>
              <w:ind w:left="107"/>
              <w:rPr>
                <w:b/>
                <w:i/>
                <w:sz w:val="24"/>
              </w:rPr>
            </w:pPr>
            <w:r>
              <w:rPr>
                <w:b/>
                <w:i/>
                <w:sz w:val="24"/>
              </w:rPr>
              <w:t>33(13)(A)</w:t>
            </w:r>
            <w:r>
              <w:rPr>
                <w:b/>
                <w:i/>
                <w:spacing w:val="39"/>
                <w:w w:val="150"/>
                <w:sz w:val="24"/>
              </w:rPr>
              <w:t> </w:t>
            </w:r>
            <w:r>
              <w:rPr>
                <w:b/>
                <w:i/>
                <w:sz w:val="24"/>
              </w:rPr>
              <w:t>Buildings</w:t>
            </w:r>
            <w:r>
              <w:rPr>
                <w:b/>
                <w:i/>
                <w:spacing w:val="-1"/>
                <w:sz w:val="24"/>
              </w:rPr>
              <w:t> </w:t>
            </w:r>
            <w:r>
              <w:rPr>
                <w:b/>
                <w:i/>
                <w:sz w:val="24"/>
              </w:rPr>
              <w:t>of</w:t>
            </w:r>
            <w:r>
              <w:rPr>
                <w:b/>
                <w:i/>
                <w:spacing w:val="40"/>
                <w:w w:val="150"/>
                <w:sz w:val="24"/>
              </w:rPr>
              <w:t> </w:t>
            </w:r>
            <w:r>
              <w:rPr>
                <w:b/>
                <w:i/>
                <w:sz w:val="24"/>
              </w:rPr>
              <w:t>Smart</w:t>
            </w:r>
            <w:r>
              <w:rPr>
                <w:b/>
                <w:i/>
                <w:spacing w:val="-1"/>
                <w:sz w:val="24"/>
              </w:rPr>
              <w:t> </w:t>
            </w:r>
            <w:r>
              <w:rPr>
                <w:b/>
                <w:i/>
                <w:sz w:val="24"/>
              </w:rPr>
              <w:t>Fin Tech</w:t>
            </w:r>
            <w:r>
              <w:rPr>
                <w:b/>
                <w:i/>
                <w:spacing w:val="-1"/>
                <w:sz w:val="24"/>
              </w:rPr>
              <w:t> </w:t>
            </w:r>
            <w:r>
              <w:rPr>
                <w:b/>
                <w:i/>
                <w:spacing w:val="-2"/>
                <w:sz w:val="24"/>
              </w:rPr>
              <w:t>Centre</w:t>
            </w:r>
          </w:p>
        </w:tc>
        <w:tc>
          <w:tcPr>
            <w:tcW w:w="1001" w:type="dxa"/>
          </w:tcPr>
          <w:p>
            <w:pPr>
              <w:pStyle w:val="TableParagraph"/>
              <w:spacing w:before="47"/>
              <w:ind w:left="6"/>
              <w:jc w:val="center"/>
              <w:rPr>
                <w:sz w:val="24"/>
              </w:rPr>
            </w:pPr>
            <w:r>
              <w:rPr>
                <w:spacing w:val="-5"/>
                <w:sz w:val="24"/>
              </w:rPr>
              <w:t>252</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861" w:val="left" w:leader="none"/>
              </w:tabs>
              <w:spacing w:before="47"/>
              <w:ind w:left="558" w:right="116" w:hanging="452"/>
              <w:rPr>
                <w:sz w:val="24"/>
              </w:rPr>
            </w:pPr>
            <w:r>
              <w:rPr>
                <w:spacing w:val="-4"/>
                <w:sz w:val="24"/>
              </w:rPr>
              <w:t>(14)</w:t>
            </w:r>
            <w:r>
              <w:rPr>
                <w:sz w:val="24"/>
              </w:rPr>
              <w:tab/>
              <w:tab/>
              <w:t>Shifting</w:t>
            </w:r>
            <w:r>
              <w:rPr>
                <w:spacing w:val="80"/>
                <w:sz w:val="24"/>
              </w:rPr>
              <w:t> </w:t>
            </w:r>
            <w:r>
              <w:rPr>
                <w:sz w:val="24"/>
              </w:rPr>
              <w:t>of</w:t>
            </w:r>
            <w:r>
              <w:rPr>
                <w:spacing w:val="80"/>
                <w:sz w:val="24"/>
              </w:rPr>
              <w:t> </w:t>
            </w:r>
            <w:r>
              <w:rPr>
                <w:sz w:val="24"/>
              </w:rPr>
              <w:t>cattle</w:t>
            </w:r>
            <w:r>
              <w:rPr>
                <w:spacing w:val="80"/>
                <w:sz w:val="24"/>
              </w:rPr>
              <w:t> </w:t>
            </w:r>
            <w:r>
              <w:rPr>
                <w:sz w:val="24"/>
              </w:rPr>
              <w:t>sheds</w:t>
            </w:r>
            <w:r>
              <w:rPr>
                <w:spacing w:val="80"/>
                <w:sz w:val="24"/>
              </w:rPr>
              <w:t> </w:t>
            </w:r>
            <w:r>
              <w:rPr>
                <w:sz w:val="24"/>
              </w:rPr>
              <w:t>outside</w:t>
            </w:r>
            <w:r>
              <w:rPr>
                <w:spacing w:val="80"/>
                <w:sz w:val="24"/>
              </w:rPr>
              <w:t> </w:t>
            </w:r>
            <w:r>
              <w:rPr>
                <w:sz w:val="24"/>
              </w:rPr>
              <w:t>Greater </w:t>
            </w:r>
            <w:r>
              <w:rPr>
                <w:spacing w:val="-2"/>
                <w:sz w:val="24"/>
              </w:rPr>
              <w:t>Mumbai</w:t>
            </w:r>
          </w:p>
        </w:tc>
        <w:tc>
          <w:tcPr>
            <w:tcW w:w="1001" w:type="dxa"/>
          </w:tcPr>
          <w:p>
            <w:pPr>
              <w:pStyle w:val="TableParagraph"/>
              <w:spacing w:before="47"/>
              <w:ind w:left="6"/>
              <w:jc w:val="center"/>
              <w:rPr>
                <w:sz w:val="24"/>
              </w:rPr>
            </w:pPr>
            <w:r>
              <w:rPr>
                <w:spacing w:val="-5"/>
                <w:sz w:val="24"/>
              </w:rPr>
              <w:t>254</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648" w:right="98" w:hanging="541"/>
              <w:jc w:val="both"/>
              <w:rPr>
                <w:sz w:val="24"/>
              </w:rPr>
            </w:pPr>
            <w:r>
              <w:rPr>
                <w:sz w:val="24"/>
              </w:rPr>
              <w:t>(15) Development of land earmarked for the MHADA/Mill Workers Housing </w:t>
            </w:r>
            <w:r>
              <w:rPr>
                <w:spacing w:val="9"/>
                <w:sz w:val="24"/>
              </w:rPr>
              <w:t>under </w:t>
            </w:r>
            <w:r>
              <w:rPr>
                <w:sz w:val="24"/>
              </w:rPr>
              <w:t>Regulation No 35</w:t>
            </w:r>
          </w:p>
        </w:tc>
        <w:tc>
          <w:tcPr>
            <w:tcW w:w="1001" w:type="dxa"/>
          </w:tcPr>
          <w:p>
            <w:pPr>
              <w:pStyle w:val="TableParagraph"/>
              <w:spacing w:before="47"/>
              <w:ind w:left="6"/>
              <w:jc w:val="center"/>
              <w:rPr>
                <w:sz w:val="24"/>
              </w:rPr>
            </w:pPr>
            <w:r>
              <w:rPr>
                <w:spacing w:val="-5"/>
                <w:sz w:val="24"/>
              </w:rPr>
              <w:t>254</w:t>
            </w:r>
          </w:p>
        </w:tc>
      </w:tr>
      <w:tr>
        <w:trPr>
          <w:trHeight w:val="662" w:hRule="atLeast"/>
        </w:trPr>
        <w:tc>
          <w:tcPr>
            <w:tcW w:w="1572" w:type="dxa"/>
          </w:tcPr>
          <w:p>
            <w:pPr>
              <w:pStyle w:val="TableParagraph"/>
              <w:rPr>
                <w:rFonts w:ascii="Times New Roman"/>
                <w:sz w:val="22"/>
              </w:rPr>
            </w:pPr>
          </w:p>
        </w:tc>
        <w:tc>
          <w:tcPr>
            <w:tcW w:w="6196" w:type="dxa"/>
          </w:tcPr>
          <w:p>
            <w:pPr>
              <w:pStyle w:val="TableParagraph"/>
              <w:tabs>
                <w:tab w:pos="1220" w:val="left" w:leader="none"/>
                <w:tab w:pos="5833" w:val="left" w:leader="none"/>
              </w:tabs>
              <w:spacing w:before="49"/>
              <w:ind w:left="648" w:right="110" w:hanging="541"/>
              <w:rPr>
                <w:sz w:val="24"/>
              </w:rPr>
            </w:pPr>
            <w:r>
              <w:rPr>
                <w:spacing w:val="-4"/>
                <w:sz w:val="24"/>
              </w:rPr>
              <w:t>(16)</w:t>
            </w:r>
            <w:r>
              <w:rPr>
                <w:sz w:val="24"/>
              </w:rPr>
              <w:tab/>
              <w:tab/>
            </w:r>
            <w:r>
              <w:rPr>
                <w:spacing w:val="7"/>
                <w:sz w:val="24"/>
              </w:rPr>
              <w:t>Reconstruction/Redevelopment</w:t>
            </w:r>
            <w:r>
              <w:rPr>
                <w:sz w:val="24"/>
              </w:rPr>
              <w:tab/>
            </w:r>
            <w:r>
              <w:rPr>
                <w:spacing w:val="-6"/>
                <w:sz w:val="24"/>
              </w:rPr>
              <w:t>i</w:t>
            </w:r>
            <w:r>
              <w:rPr>
                <w:spacing w:val="-6"/>
                <w:sz w:val="24"/>
              </w:rPr>
              <w:t>n</w:t>
            </w:r>
            <w:r>
              <w:rPr>
                <w:spacing w:val="-6"/>
                <w:sz w:val="24"/>
              </w:rPr>
              <w:t> </w:t>
            </w:r>
            <w:r>
              <w:rPr>
                <w:sz w:val="24"/>
              </w:rPr>
              <w:t>Gaothan/</w:t>
            </w:r>
            <w:r>
              <w:rPr>
                <w:spacing w:val="80"/>
                <w:sz w:val="24"/>
              </w:rPr>
              <w:t> </w:t>
            </w:r>
            <w:r>
              <w:rPr>
                <w:sz w:val="24"/>
              </w:rPr>
              <w:t>Koliwada/Adivasipada</w:t>
            </w:r>
            <w:r>
              <w:rPr>
                <w:spacing w:val="80"/>
                <w:sz w:val="24"/>
              </w:rPr>
              <w:t> </w:t>
            </w:r>
            <w:r>
              <w:rPr>
                <w:sz w:val="24"/>
              </w:rPr>
              <w:t>area</w:t>
            </w:r>
          </w:p>
        </w:tc>
        <w:tc>
          <w:tcPr>
            <w:tcW w:w="1001" w:type="dxa"/>
          </w:tcPr>
          <w:p>
            <w:pPr>
              <w:pStyle w:val="TableParagraph"/>
              <w:spacing w:before="49"/>
              <w:ind w:left="6"/>
              <w:jc w:val="center"/>
              <w:rPr>
                <w:sz w:val="24"/>
              </w:rPr>
            </w:pPr>
            <w:r>
              <w:rPr>
                <w:spacing w:val="-5"/>
                <w:sz w:val="24"/>
              </w:rPr>
              <w:t>255</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379" w:hRule="atLeast"/>
        </w:trPr>
        <w:tc>
          <w:tcPr>
            <w:tcW w:w="1572" w:type="dxa"/>
          </w:tcPr>
          <w:p>
            <w:pPr>
              <w:pStyle w:val="TableParagraph"/>
              <w:rPr>
                <w:rFonts w:ascii="Times New Roman"/>
                <w:sz w:val="22"/>
              </w:rPr>
            </w:pPr>
          </w:p>
        </w:tc>
        <w:tc>
          <w:tcPr>
            <w:tcW w:w="6196" w:type="dxa"/>
          </w:tcPr>
          <w:p>
            <w:pPr>
              <w:pStyle w:val="TableParagraph"/>
              <w:spacing w:before="50"/>
              <w:ind w:left="107"/>
              <w:rPr>
                <w:sz w:val="24"/>
              </w:rPr>
            </w:pPr>
            <w:r>
              <w:rPr>
                <w:sz w:val="24"/>
              </w:rPr>
              <w:t>(17)</w:t>
            </w:r>
            <w:r>
              <w:rPr>
                <w:spacing w:val="66"/>
                <w:sz w:val="24"/>
              </w:rPr>
              <w:t> </w:t>
            </w:r>
            <w:r>
              <w:rPr>
                <w:sz w:val="24"/>
              </w:rPr>
              <w:t>Buildings</w:t>
            </w:r>
            <w:r>
              <w:rPr>
                <w:spacing w:val="69"/>
                <w:sz w:val="24"/>
              </w:rPr>
              <w:t> </w:t>
            </w:r>
            <w:r>
              <w:rPr>
                <w:sz w:val="24"/>
              </w:rPr>
              <w:t>of</w:t>
            </w:r>
            <w:r>
              <w:rPr>
                <w:spacing w:val="66"/>
                <w:sz w:val="24"/>
              </w:rPr>
              <w:t> </w:t>
            </w:r>
            <w:r>
              <w:rPr>
                <w:sz w:val="24"/>
              </w:rPr>
              <w:t>Biotechnology</w:t>
            </w:r>
            <w:r>
              <w:rPr>
                <w:spacing w:val="67"/>
                <w:sz w:val="24"/>
              </w:rPr>
              <w:t> </w:t>
            </w:r>
            <w:r>
              <w:rPr>
                <w:spacing w:val="-2"/>
                <w:sz w:val="24"/>
              </w:rPr>
              <w:t>Establishments</w:t>
            </w:r>
          </w:p>
        </w:tc>
        <w:tc>
          <w:tcPr>
            <w:tcW w:w="1001" w:type="dxa"/>
          </w:tcPr>
          <w:p>
            <w:pPr>
              <w:pStyle w:val="TableParagraph"/>
              <w:spacing w:before="50"/>
              <w:ind w:left="6"/>
              <w:jc w:val="center"/>
              <w:rPr>
                <w:sz w:val="24"/>
              </w:rPr>
            </w:pPr>
            <w:r>
              <w:rPr>
                <w:spacing w:val="-5"/>
                <w:sz w:val="24"/>
              </w:rPr>
              <w:t>255</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648" w:right="116" w:hanging="541"/>
              <w:rPr>
                <w:sz w:val="24"/>
              </w:rPr>
            </w:pPr>
            <w:r>
              <w:rPr>
                <w:sz w:val="24"/>
              </w:rPr>
              <w:t>(18) Development of Multi Storey Public Parking</w:t>
            </w:r>
            <w:r>
              <w:rPr>
                <w:spacing w:val="80"/>
                <w:sz w:val="24"/>
              </w:rPr>
              <w:t> </w:t>
            </w:r>
            <w:r>
              <w:rPr>
                <w:sz w:val="24"/>
              </w:rPr>
              <w:t>Lots </w:t>
            </w:r>
            <w:r>
              <w:rPr>
                <w:spacing w:val="9"/>
                <w:sz w:val="24"/>
              </w:rPr>
              <w:t>(PPL)</w:t>
            </w:r>
          </w:p>
        </w:tc>
        <w:tc>
          <w:tcPr>
            <w:tcW w:w="1001" w:type="dxa"/>
          </w:tcPr>
          <w:p>
            <w:pPr>
              <w:pStyle w:val="TableParagraph"/>
              <w:spacing w:before="47"/>
              <w:ind w:left="6"/>
              <w:jc w:val="center"/>
              <w:rPr>
                <w:sz w:val="24"/>
              </w:rPr>
            </w:pPr>
            <w:r>
              <w:rPr>
                <w:spacing w:val="-5"/>
                <w:sz w:val="24"/>
              </w:rPr>
              <w:t>256</w:t>
            </w:r>
          </w:p>
        </w:tc>
      </w:tr>
      <w:tr>
        <w:trPr>
          <w:trHeight w:val="1223" w:hRule="atLeast"/>
        </w:trPr>
        <w:tc>
          <w:tcPr>
            <w:tcW w:w="1572" w:type="dxa"/>
          </w:tcPr>
          <w:p>
            <w:pPr>
              <w:pStyle w:val="TableParagraph"/>
              <w:rPr>
                <w:rFonts w:ascii="Times New Roman"/>
                <w:sz w:val="22"/>
              </w:rPr>
            </w:pPr>
          </w:p>
        </w:tc>
        <w:tc>
          <w:tcPr>
            <w:tcW w:w="6196" w:type="dxa"/>
          </w:tcPr>
          <w:p>
            <w:pPr>
              <w:pStyle w:val="TableParagraph"/>
              <w:spacing w:before="47"/>
              <w:ind w:left="570" w:right="456" w:hanging="464"/>
              <w:rPr>
                <w:sz w:val="24"/>
              </w:rPr>
            </w:pPr>
            <w:r>
              <w:rPr>
                <w:sz w:val="24"/>
              </w:rPr>
              <w:t>(19)</w:t>
            </w:r>
            <w:r>
              <w:rPr>
                <w:spacing w:val="40"/>
                <w:sz w:val="24"/>
              </w:rPr>
              <w:t> </w:t>
            </w:r>
            <w:r>
              <w:rPr>
                <w:sz w:val="24"/>
              </w:rPr>
              <w:t>Additional</w:t>
            </w:r>
            <w:r>
              <w:rPr>
                <w:spacing w:val="40"/>
                <w:sz w:val="24"/>
              </w:rPr>
              <w:t> </w:t>
            </w:r>
            <w:r>
              <w:rPr>
                <w:sz w:val="24"/>
              </w:rPr>
              <w:t>FSI</w:t>
            </w:r>
            <w:r>
              <w:rPr>
                <w:spacing w:val="40"/>
                <w:sz w:val="24"/>
              </w:rPr>
              <w:t> </w:t>
            </w:r>
            <w:r>
              <w:rPr>
                <w:sz w:val="24"/>
              </w:rPr>
              <w:t>for</w:t>
            </w:r>
            <w:r>
              <w:rPr>
                <w:spacing w:val="40"/>
                <w:sz w:val="24"/>
              </w:rPr>
              <w:t> </w:t>
            </w:r>
            <w:r>
              <w:rPr>
                <w:sz w:val="24"/>
              </w:rPr>
              <w:t>Commercial</w:t>
            </w:r>
            <w:r>
              <w:rPr>
                <w:spacing w:val="40"/>
                <w:sz w:val="24"/>
              </w:rPr>
              <w:t> </w:t>
            </w:r>
            <w:r>
              <w:rPr>
                <w:sz w:val="24"/>
              </w:rPr>
              <w:t>user development in Central Business </w:t>
            </w:r>
            <w:r>
              <w:rPr>
                <w:spacing w:val="9"/>
                <w:sz w:val="24"/>
              </w:rPr>
              <w:t>District</w:t>
            </w:r>
            <w:r>
              <w:rPr>
                <w:spacing w:val="80"/>
                <w:sz w:val="24"/>
              </w:rPr>
              <w:t> </w:t>
            </w:r>
            <w:r>
              <w:rPr>
                <w:sz w:val="24"/>
              </w:rPr>
              <w:t>(CBD)</w:t>
            </w:r>
            <w:r>
              <w:rPr>
                <w:spacing w:val="40"/>
                <w:sz w:val="24"/>
              </w:rPr>
              <w:t> </w:t>
            </w:r>
            <w:r>
              <w:rPr>
                <w:sz w:val="24"/>
              </w:rPr>
              <w:t>or</w:t>
            </w:r>
            <w:r>
              <w:rPr>
                <w:spacing w:val="40"/>
                <w:sz w:val="24"/>
              </w:rPr>
              <w:t> </w:t>
            </w:r>
            <w:r>
              <w:rPr>
                <w:sz w:val="24"/>
              </w:rPr>
              <w:t>plot</w:t>
            </w:r>
            <w:r>
              <w:rPr>
                <w:spacing w:val="40"/>
                <w:sz w:val="24"/>
              </w:rPr>
              <w:t> </w:t>
            </w:r>
            <w:r>
              <w:rPr>
                <w:sz w:val="24"/>
              </w:rPr>
              <w:t>situated</w:t>
            </w:r>
            <w:r>
              <w:rPr>
                <w:spacing w:val="40"/>
                <w:sz w:val="24"/>
              </w:rPr>
              <w:t> </w:t>
            </w:r>
            <w:r>
              <w:rPr>
                <w:sz w:val="24"/>
              </w:rPr>
              <w:t>in</w:t>
            </w:r>
            <w:r>
              <w:rPr>
                <w:spacing w:val="40"/>
                <w:sz w:val="24"/>
              </w:rPr>
              <w:t> </w:t>
            </w:r>
            <w:r>
              <w:rPr>
                <w:sz w:val="24"/>
              </w:rPr>
              <w:t>Residential</w:t>
            </w:r>
            <w:r>
              <w:rPr>
                <w:spacing w:val="40"/>
                <w:sz w:val="24"/>
              </w:rPr>
              <w:t> </w:t>
            </w:r>
            <w:r>
              <w:rPr>
                <w:sz w:val="24"/>
              </w:rPr>
              <w:t>or Commercial Zone</w:t>
            </w:r>
          </w:p>
        </w:tc>
        <w:tc>
          <w:tcPr>
            <w:tcW w:w="1001" w:type="dxa"/>
          </w:tcPr>
          <w:p>
            <w:pPr>
              <w:pStyle w:val="TableParagraph"/>
              <w:spacing w:before="47"/>
              <w:ind w:left="6"/>
              <w:jc w:val="center"/>
              <w:rPr>
                <w:sz w:val="24"/>
              </w:rPr>
            </w:pPr>
            <w:r>
              <w:rPr>
                <w:spacing w:val="-5"/>
                <w:sz w:val="24"/>
              </w:rPr>
              <w:t>258</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477" w:right="324" w:hanging="360"/>
              <w:rPr>
                <w:sz w:val="24"/>
              </w:rPr>
            </w:pPr>
            <w:r>
              <w:rPr>
                <w:sz w:val="24"/>
              </w:rPr>
              <w:t>(20)</w:t>
            </w:r>
            <w:r>
              <w:rPr>
                <w:spacing w:val="80"/>
                <w:sz w:val="24"/>
              </w:rPr>
              <w:t> </w:t>
            </w:r>
            <w:r>
              <w:rPr>
                <w:sz w:val="24"/>
              </w:rPr>
              <w:t>Affordable</w:t>
            </w:r>
            <w:r>
              <w:rPr>
                <w:spacing w:val="80"/>
                <w:sz w:val="24"/>
              </w:rPr>
              <w:t> </w:t>
            </w:r>
            <w:r>
              <w:rPr>
                <w:sz w:val="24"/>
              </w:rPr>
              <w:t>Housing</w:t>
            </w:r>
            <w:r>
              <w:rPr>
                <w:spacing w:val="80"/>
                <w:sz w:val="24"/>
              </w:rPr>
              <w:t> </w:t>
            </w:r>
            <w:r>
              <w:rPr>
                <w:sz w:val="24"/>
              </w:rPr>
              <w:t>(AH)</w:t>
            </w:r>
            <w:r>
              <w:rPr>
                <w:spacing w:val="80"/>
                <w:sz w:val="24"/>
              </w:rPr>
              <w:t> </w:t>
            </w:r>
            <w:r>
              <w:rPr>
                <w:sz w:val="24"/>
              </w:rPr>
              <w:t>/</w:t>
            </w:r>
            <w:r>
              <w:rPr>
                <w:spacing w:val="80"/>
                <w:sz w:val="24"/>
              </w:rPr>
              <w:t> </w:t>
            </w:r>
            <w:r>
              <w:rPr>
                <w:sz w:val="24"/>
              </w:rPr>
              <w:t>Rehabilitation</w:t>
            </w:r>
            <w:r>
              <w:rPr>
                <w:spacing w:val="80"/>
                <w:sz w:val="24"/>
              </w:rPr>
              <w:t> </w:t>
            </w:r>
            <w:r>
              <w:rPr>
                <w:sz w:val="24"/>
              </w:rPr>
              <w:t>&amp;</w:t>
            </w:r>
            <w:r>
              <w:rPr>
                <w:spacing w:val="40"/>
                <w:sz w:val="24"/>
              </w:rPr>
              <w:t> </w:t>
            </w:r>
            <w:r>
              <w:rPr>
                <w:sz w:val="24"/>
              </w:rPr>
              <w:t>Resettlement</w:t>
            </w:r>
            <w:r>
              <w:rPr>
                <w:spacing w:val="40"/>
                <w:sz w:val="24"/>
              </w:rPr>
              <w:t> </w:t>
            </w:r>
            <w:r>
              <w:rPr>
                <w:sz w:val="24"/>
              </w:rPr>
              <w:t>(R</w:t>
            </w:r>
            <w:r>
              <w:rPr>
                <w:spacing w:val="40"/>
                <w:sz w:val="24"/>
              </w:rPr>
              <w:t> </w:t>
            </w:r>
            <w:r>
              <w:rPr>
                <w:sz w:val="24"/>
              </w:rPr>
              <w:t>&amp;</w:t>
            </w:r>
            <w:r>
              <w:rPr>
                <w:spacing w:val="40"/>
                <w:sz w:val="24"/>
              </w:rPr>
              <w:t> </w:t>
            </w:r>
            <w:r>
              <w:rPr>
                <w:sz w:val="24"/>
              </w:rPr>
              <w:t>R)</w:t>
            </w:r>
          </w:p>
        </w:tc>
        <w:tc>
          <w:tcPr>
            <w:tcW w:w="1001" w:type="dxa"/>
          </w:tcPr>
          <w:p>
            <w:pPr>
              <w:pStyle w:val="TableParagraph"/>
              <w:spacing w:before="47"/>
              <w:ind w:left="6"/>
              <w:jc w:val="center"/>
              <w:rPr>
                <w:sz w:val="24"/>
              </w:rPr>
            </w:pPr>
            <w:r>
              <w:rPr>
                <w:spacing w:val="-5"/>
                <w:sz w:val="24"/>
              </w:rPr>
              <w:t>259</w:t>
            </w:r>
          </w:p>
        </w:tc>
      </w:tr>
      <w:tr>
        <w:trPr>
          <w:trHeight w:val="2162" w:hRule="atLeast"/>
        </w:trPr>
        <w:tc>
          <w:tcPr>
            <w:tcW w:w="1572" w:type="dxa"/>
          </w:tcPr>
          <w:p>
            <w:pPr>
              <w:pStyle w:val="TableParagraph"/>
              <w:rPr>
                <w:rFonts w:ascii="Times New Roman"/>
                <w:sz w:val="22"/>
              </w:rPr>
            </w:pPr>
          </w:p>
        </w:tc>
        <w:tc>
          <w:tcPr>
            <w:tcW w:w="6196" w:type="dxa"/>
          </w:tcPr>
          <w:p>
            <w:pPr>
              <w:pStyle w:val="TableParagraph"/>
              <w:numPr>
                <w:ilvl w:val="0"/>
                <w:numId w:val="2"/>
              </w:numPr>
              <w:tabs>
                <w:tab w:pos="648" w:val="left" w:leader="none"/>
                <w:tab w:pos="896" w:val="left" w:leader="none"/>
              </w:tabs>
              <w:spacing w:line="240" w:lineRule="auto" w:before="47" w:after="0"/>
              <w:ind w:left="648" w:right="99" w:hanging="541"/>
              <w:jc w:val="both"/>
              <w:rPr>
                <w:sz w:val="24"/>
              </w:rPr>
            </w:pPr>
            <w:r>
              <w:rPr>
                <w:sz w:val="24"/>
              </w:rPr>
              <w:tab/>
              <w:t>Development and Redevelopment of Municipal Market/ Public Amenities by </w:t>
            </w:r>
            <w:r>
              <w:rPr>
                <w:spacing w:val="-2"/>
                <w:sz w:val="24"/>
              </w:rPr>
              <w:t>MCGM/Government</w:t>
            </w:r>
          </w:p>
          <w:p>
            <w:pPr>
              <w:pStyle w:val="TableParagraph"/>
              <w:numPr>
                <w:ilvl w:val="1"/>
                <w:numId w:val="2"/>
              </w:numPr>
              <w:tabs>
                <w:tab w:pos="931" w:val="left" w:leader="none"/>
                <w:tab w:pos="1138" w:val="left" w:leader="none"/>
                <w:tab w:pos="3002" w:val="left" w:leader="none"/>
                <w:tab w:pos="3710" w:val="left" w:leader="none"/>
                <w:tab w:pos="5847" w:val="left" w:leader="none"/>
              </w:tabs>
              <w:spacing w:line="240" w:lineRule="auto" w:before="48" w:after="0"/>
              <w:ind w:left="931" w:right="115" w:hanging="361"/>
              <w:jc w:val="left"/>
              <w:rPr>
                <w:sz w:val="24"/>
              </w:rPr>
            </w:pPr>
            <w:r>
              <w:rPr>
                <w:sz w:val="24"/>
              </w:rPr>
              <w:tab/>
            </w:r>
            <w:r>
              <w:rPr>
                <w:spacing w:val="-2"/>
                <w:sz w:val="24"/>
              </w:rPr>
              <w:t>Development</w:t>
            </w:r>
            <w:r>
              <w:rPr>
                <w:sz w:val="24"/>
              </w:rPr>
              <w:tab/>
            </w:r>
            <w:r>
              <w:rPr>
                <w:spacing w:val="-4"/>
                <w:sz w:val="24"/>
              </w:rPr>
              <w:t>and</w:t>
            </w:r>
            <w:r>
              <w:rPr>
                <w:sz w:val="24"/>
              </w:rPr>
              <w:tab/>
            </w:r>
            <w:r>
              <w:rPr>
                <w:spacing w:val="-2"/>
                <w:sz w:val="24"/>
              </w:rPr>
              <w:t>Redevelopment</w:t>
            </w:r>
            <w:r>
              <w:rPr>
                <w:sz w:val="24"/>
              </w:rPr>
              <w:tab/>
            </w:r>
            <w:r>
              <w:rPr>
                <w:spacing w:val="-6"/>
                <w:sz w:val="24"/>
              </w:rPr>
              <w:t>of </w:t>
            </w:r>
            <w:r>
              <w:rPr>
                <w:sz w:val="24"/>
              </w:rPr>
              <w:t>Municipal </w:t>
            </w:r>
            <w:r>
              <w:rPr>
                <w:spacing w:val="9"/>
                <w:sz w:val="24"/>
              </w:rPr>
              <w:t>Market</w:t>
            </w:r>
          </w:p>
          <w:p>
            <w:pPr>
              <w:pStyle w:val="TableParagraph"/>
              <w:numPr>
                <w:ilvl w:val="1"/>
                <w:numId w:val="2"/>
              </w:numPr>
              <w:tabs>
                <w:tab w:pos="1909" w:val="left" w:leader="none"/>
                <w:tab w:pos="3621" w:val="left" w:leader="none"/>
                <w:tab w:pos="5786" w:val="left" w:leader="none"/>
              </w:tabs>
              <w:spacing w:line="240" w:lineRule="auto" w:before="49" w:after="0"/>
              <w:ind w:left="378" w:right="109" w:firstLine="259"/>
              <w:jc w:val="left"/>
              <w:rPr>
                <w:sz w:val="24"/>
              </w:rPr>
            </w:pPr>
            <w:r>
              <w:rPr>
                <w:spacing w:val="-2"/>
                <w:sz w:val="24"/>
              </w:rPr>
              <w:t>Public</w:t>
            </w:r>
            <w:r>
              <w:rPr>
                <w:sz w:val="24"/>
              </w:rPr>
              <w:tab/>
            </w:r>
            <w:r>
              <w:rPr>
                <w:spacing w:val="-2"/>
                <w:sz w:val="24"/>
              </w:rPr>
              <w:t>Amenities</w:t>
            </w:r>
            <w:r>
              <w:rPr>
                <w:sz w:val="24"/>
              </w:rPr>
              <w:tab/>
            </w:r>
            <w:r>
              <w:rPr>
                <w:spacing w:val="-6"/>
                <w:sz w:val="24"/>
              </w:rPr>
              <w:t>by </w:t>
            </w:r>
            <w:r>
              <w:rPr>
                <w:spacing w:val="-2"/>
                <w:sz w:val="24"/>
              </w:rPr>
              <w:t>MCGM/Government</w:t>
            </w:r>
          </w:p>
        </w:tc>
        <w:tc>
          <w:tcPr>
            <w:tcW w:w="1001" w:type="dxa"/>
          </w:tcPr>
          <w:p>
            <w:pPr>
              <w:pStyle w:val="TableParagraph"/>
              <w:spacing w:before="47"/>
              <w:ind w:left="6"/>
              <w:jc w:val="center"/>
              <w:rPr>
                <w:sz w:val="24"/>
              </w:rPr>
            </w:pPr>
            <w:r>
              <w:rPr>
                <w:spacing w:val="-5"/>
                <w:sz w:val="24"/>
              </w:rPr>
              <w:t>262</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9"/>
              <w:ind w:left="648" w:right="116" w:hanging="541"/>
              <w:rPr>
                <w:sz w:val="24"/>
              </w:rPr>
            </w:pPr>
            <w:r>
              <w:rPr>
                <w:sz w:val="24"/>
              </w:rPr>
              <w:t>(22) Regulation for</w:t>
            </w:r>
            <w:r>
              <w:rPr>
                <w:spacing w:val="9"/>
                <w:sz w:val="24"/>
              </w:rPr>
              <w:t> Exhibition-cum-</w:t>
            </w:r>
            <w:r>
              <w:rPr>
                <w:sz w:val="24"/>
              </w:rPr>
              <w:t>Convention</w:t>
            </w:r>
            <w:r>
              <w:rPr>
                <w:spacing w:val="80"/>
                <w:sz w:val="24"/>
              </w:rPr>
              <w:t> </w:t>
            </w:r>
            <w:r>
              <w:rPr>
                <w:sz w:val="24"/>
              </w:rPr>
              <w:t>Centers in MCGM Area</w:t>
            </w:r>
          </w:p>
        </w:tc>
        <w:tc>
          <w:tcPr>
            <w:tcW w:w="1001" w:type="dxa"/>
          </w:tcPr>
          <w:p>
            <w:pPr>
              <w:pStyle w:val="TableParagraph"/>
              <w:spacing w:before="49"/>
              <w:ind w:left="6"/>
              <w:jc w:val="center"/>
              <w:rPr>
                <w:sz w:val="24"/>
              </w:rPr>
            </w:pPr>
            <w:r>
              <w:rPr>
                <w:spacing w:val="-5"/>
                <w:sz w:val="24"/>
              </w:rPr>
              <w:t>264</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(23)</w:t>
            </w:r>
            <w:r>
              <w:rPr>
                <w:spacing w:val="43"/>
                <w:w w:val="150"/>
                <w:sz w:val="24"/>
              </w:rPr>
              <w:t> </w:t>
            </w:r>
            <w:r>
              <w:rPr>
                <w:sz w:val="24"/>
              </w:rPr>
              <w:t>Transit</w:t>
            </w:r>
            <w:r>
              <w:rPr>
                <w:spacing w:val="77"/>
                <w:sz w:val="24"/>
              </w:rPr>
              <w:t> </w:t>
            </w:r>
            <w:r>
              <w:rPr>
                <w:sz w:val="24"/>
              </w:rPr>
              <w:t>Oriented</w:t>
            </w:r>
            <w:r>
              <w:rPr>
                <w:spacing w:val="76"/>
                <w:sz w:val="24"/>
              </w:rPr>
              <w:t> </w:t>
            </w:r>
            <w:r>
              <w:rPr>
                <w:sz w:val="24"/>
              </w:rPr>
              <w:t>Development</w:t>
            </w:r>
            <w:r>
              <w:rPr>
                <w:spacing w:val="44"/>
                <w:w w:val="150"/>
                <w:sz w:val="24"/>
              </w:rPr>
              <w:t> </w:t>
            </w:r>
            <w:r>
              <w:rPr>
                <w:spacing w:val="-4"/>
                <w:sz w:val="24"/>
              </w:rPr>
              <w:t>(TOD)</w:t>
            </w:r>
          </w:p>
        </w:tc>
        <w:tc>
          <w:tcPr>
            <w:tcW w:w="1001" w:type="dxa"/>
          </w:tcPr>
          <w:p>
            <w:pPr>
              <w:pStyle w:val="TableParagraph"/>
              <w:spacing w:before="49"/>
              <w:ind w:left="6"/>
              <w:jc w:val="center"/>
              <w:rPr>
                <w:sz w:val="24"/>
              </w:rPr>
            </w:pPr>
            <w:r>
              <w:rPr>
                <w:spacing w:val="-5"/>
                <w:sz w:val="24"/>
              </w:rPr>
              <w:t>268</w:t>
            </w:r>
          </w:p>
        </w:tc>
      </w:tr>
      <w:tr>
        <w:trPr>
          <w:trHeight w:val="359" w:hRule="atLeast"/>
        </w:trPr>
        <w:tc>
          <w:tcPr>
            <w:tcW w:w="8769" w:type="dxa"/>
            <w:gridSpan w:val="3"/>
          </w:tcPr>
          <w:p>
            <w:pPr>
              <w:pStyle w:val="TableParagraph"/>
              <w:spacing w:before="44"/>
              <w:ind w:left="263"/>
              <w:rPr>
                <w:b/>
                <w:sz w:val="24"/>
              </w:rPr>
            </w:pPr>
            <w:r>
              <w:rPr>
                <w:b/>
                <w:sz w:val="24"/>
              </w:rPr>
              <w:t>PART-VII</w:t>
            </w:r>
            <w:r>
              <w:rPr>
                <w:b/>
                <w:spacing w:val="62"/>
                <w:sz w:val="24"/>
              </w:rPr>
              <w:t> </w:t>
            </w:r>
            <w:r>
              <w:rPr>
                <w:b/>
                <w:sz w:val="24"/>
              </w:rPr>
              <w:t>LAND</w:t>
            </w:r>
            <w:r>
              <w:rPr>
                <w:b/>
                <w:spacing w:val="68"/>
                <w:sz w:val="24"/>
              </w:rPr>
              <w:t> </w:t>
            </w:r>
            <w:r>
              <w:rPr>
                <w:b/>
                <w:sz w:val="24"/>
              </w:rPr>
              <w:t>USE</w:t>
            </w:r>
            <w:r>
              <w:rPr>
                <w:b/>
                <w:spacing w:val="64"/>
                <w:sz w:val="24"/>
              </w:rPr>
              <w:t> </w:t>
            </w:r>
            <w:r>
              <w:rPr>
                <w:b/>
                <w:sz w:val="24"/>
              </w:rPr>
              <w:t>CLASSIFICATION</w:t>
            </w:r>
            <w:r>
              <w:rPr>
                <w:b/>
                <w:spacing w:val="64"/>
                <w:sz w:val="24"/>
              </w:rPr>
              <w:t> </w:t>
            </w:r>
            <w:r>
              <w:rPr>
                <w:b/>
                <w:sz w:val="24"/>
              </w:rPr>
              <w:t>AND</w:t>
            </w:r>
            <w:r>
              <w:rPr>
                <w:b/>
                <w:spacing w:val="77"/>
                <w:sz w:val="24"/>
              </w:rPr>
              <w:t> </w:t>
            </w:r>
            <w:r>
              <w:rPr>
                <w:b/>
                <w:sz w:val="24"/>
              </w:rPr>
              <w:t>USES</w:t>
            </w:r>
            <w:r>
              <w:rPr>
                <w:b/>
                <w:spacing w:val="65"/>
                <w:sz w:val="24"/>
              </w:rPr>
              <w:t> </w:t>
            </w:r>
            <w:r>
              <w:rPr>
                <w:b/>
                <w:spacing w:val="-2"/>
                <w:sz w:val="24"/>
              </w:rPr>
              <w:t>PERMITTED</w:t>
            </w:r>
          </w:p>
        </w:tc>
      </w:tr>
      <w:tr>
        <w:trPr>
          <w:trHeight w:val="359" w:hRule="atLeast"/>
        </w:trPr>
        <w:tc>
          <w:tcPr>
            <w:tcW w:w="1572" w:type="dxa"/>
          </w:tcPr>
          <w:p>
            <w:pPr>
              <w:pStyle w:val="TableParagraph"/>
              <w:spacing w:before="44"/>
              <w:ind w:left="9" w:right="2"/>
              <w:jc w:val="center"/>
              <w:rPr>
                <w:sz w:val="24"/>
              </w:rPr>
            </w:pPr>
            <w:r>
              <w:rPr>
                <w:spacing w:val="-5"/>
                <w:sz w:val="24"/>
              </w:rPr>
              <w:t>34</w:t>
            </w:r>
          </w:p>
        </w:tc>
        <w:tc>
          <w:tcPr>
            <w:tcW w:w="6196" w:type="dxa"/>
          </w:tcPr>
          <w:p>
            <w:pPr>
              <w:pStyle w:val="TableParagraph"/>
              <w:spacing w:before="44"/>
              <w:ind w:left="107"/>
              <w:rPr>
                <w:b/>
                <w:sz w:val="24"/>
              </w:rPr>
            </w:pPr>
            <w:r>
              <w:rPr>
                <w:b/>
                <w:sz w:val="24"/>
              </w:rPr>
              <w:t>Land</w:t>
            </w:r>
            <w:r>
              <w:rPr>
                <w:b/>
                <w:spacing w:val="43"/>
                <w:sz w:val="24"/>
              </w:rPr>
              <w:t> </w:t>
            </w:r>
            <w:r>
              <w:rPr>
                <w:b/>
                <w:sz w:val="24"/>
              </w:rPr>
              <w:t>Use</w:t>
            </w:r>
            <w:r>
              <w:rPr>
                <w:b/>
                <w:spacing w:val="46"/>
                <w:sz w:val="24"/>
              </w:rPr>
              <w:t> </w:t>
            </w:r>
            <w:r>
              <w:rPr>
                <w:b/>
                <w:sz w:val="24"/>
              </w:rPr>
              <w:t>Zoning</w:t>
            </w:r>
            <w:r>
              <w:rPr>
                <w:b/>
                <w:spacing w:val="47"/>
                <w:sz w:val="24"/>
              </w:rPr>
              <w:t> </w:t>
            </w:r>
            <w:r>
              <w:rPr>
                <w:b/>
                <w:sz w:val="24"/>
              </w:rPr>
              <w:t>&amp;</w:t>
            </w:r>
            <w:r>
              <w:rPr>
                <w:b/>
                <w:spacing w:val="42"/>
                <w:sz w:val="24"/>
              </w:rPr>
              <w:t> </w:t>
            </w:r>
            <w:r>
              <w:rPr>
                <w:b/>
                <w:sz w:val="24"/>
              </w:rPr>
              <w:t>Uses</w:t>
            </w:r>
            <w:r>
              <w:rPr>
                <w:b/>
                <w:spacing w:val="43"/>
                <w:sz w:val="24"/>
              </w:rPr>
              <w:t> </w:t>
            </w:r>
            <w:r>
              <w:rPr>
                <w:b/>
                <w:spacing w:val="-2"/>
                <w:sz w:val="24"/>
              </w:rPr>
              <w:t>Permitted</w:t>
            </w:r>
          </w:p>
        </w:tc>
        <w:tc>
          <w:tcPr>
            <w:tcW w:w="1001" w:type="dxa"/>
          </w:tcPr>
          <w:p>
            <w:pPr>
              <w:pStyle w:val="TableParagraph"/>
              <w:rPr>
                <w:rFonts w:ascii="Times New Roman"/>
                <w:sz w:val="22"/>
              </w:rPr>
            </w:pPr>
          </w:p>
        </w:tc>
      </w:tr>
      <w:tr>
        <w:trPr>
          <w:trHeight w:val="360" w:hRule="atLeast"/>
        </w:trPr>
        <w:tc>
          <w:tcPr>
            <w:tcW w:w="1572" w:type="dxa"/>
          </w:tcPr>
          <w:p>
            <w:pPr>
              <w:pStyle w:val="TableParagraph"/>
              <w:rPr>
                <w:rFonts w:ascii="Times New Roman"/>
                <w:sz w:val="22"/>
              </w:rPr>
            </w:pPr>
          </w:p>
        </w:tc>
        <w:tc>
          <w:tcPr>
            <w:tcW w:w="6196" w:type="dxa"/>
          </w:tcPr>
          <w:p>
            <w:pPr>
              <w:pStyle w:val="TableParagraph"/>
              <w:spacing w:before="45"/>
              <w:ind w:left="107"/>
              <w:rPr>
                <w:sz w:val="24"/>
              </w:rPr>
            </w:pPr>
            <w:r>
              <w:rPr>
                <w:sz w:val="24"/>
              </w:rPr>
              <w:t>1.</w:t>
            </w:r>
            <w:r>
              <w:rPr>
                <w:spacing w:val="28"/>
                <w:sz w:val="24"/>
              </w:rPr>
              <w:t> </w:t>
            </w:r>
            <w:r>
              <w:rPr>
                <w:spacing w:val="7"/>
                <w:sz w:val="24"/>
              </w:rPr>
              <w:t>General</w:t>
            </w:r>
          </w:p>
        </w:tc>
        <w:tc>
          <w:tcPr>
            <w:tcW w:w="1001" w:type="dxa"/>
          </w:tcPr>
          <w:p>
            <w:pPr>
              <w:pStyle w:val="TableParagraph"/>
              <w:spacing w:before="45"/>
              <w:ind w:left="6"/>
              <w:jc w:val="center"/>
              <w:rPr>
                <w:sz w:val="24"/>
              </w:rPr>
            </w:pPr>
            <w:r>
              <w:rPr>
                <w:spacing w:val="-5"/>
                <w:sz w:val="24"/>
              </w:rPr>
              <w:t>269</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107"/>
              <w:rPr>
                <w:sz w:val="24"/>
              </w:rPr>
            </w:pPr>
            <w:r>
              <w:rPr>
                <w:sz w:val="24"/>
              </w:rPr>
              <w:t>2.</w:t>
            </w:r>
            <w:r>
              <w:rPr>
                <w:spacing w:val="47"/>
                <w:sz w:val="24"/>
              </w:rPr>
              <w:t> </w:t>
            </w:r>
            <w:r>
              <w:rPr>
                <w:sz w:val="24"/>
              </w:rPr>
              <w:t>Zoning</w:t>
            </w:r>
            <w:r>
              <w:rPr>
                <w:spacing w:val="47"/>
                <w:sz w:val="24"/>
              </w:rPr>
              <w:t> </w:t>
            </w:r>
            <w:r>
              <w:rPr>
                <w:spacing w:val="7"/>
                <w:sz w:val="24"/>
              </w:rPr>
              <w:t>Definitions</w:t>
            </w:r>
          </w:p>
        </w:tc>
        <w:tc>
          <w:tcPr>
            <w:tcW w:w="1001" w:type="dxa"/>
          </w:tcPr>
          <w:p>
            <w:pPr>
              <w:pStyle w:val="TableParagraph"/>
              <w:spacing w:before="44"/>
              <w:ind w:left="6"/>
              <w:jc w:val="center"/>
              <w:rPr>
                <w:sz w:val="24"/>
              </w:rPr>
            </w:pPr>
            <w:r>
              <w:rPr>
                <w:spacing w:val="-5"/>
                <w:sz w:val="24"/>
              </w:rPr>
              <w:t>269</w:t>
            </w:r>
          </w:p>
        </w:tc>
      </w:tr>
      <w:tr>
        <w:trPr>
          <w:trHeight w:val="1252" w:hRule="atLeast"/>
        </w:trPr>
        <w:tc>
          <w:tcPr>
            <w:tcW w:w="1572" w:type="dxa"/>
          </w:tcPr>
          <w:p>
            <w:pPr>
              <w:pStyle w:val="TableParagraph"/>
              <w:rPr>
                <w:rFonts w:ascii="Times New Roman"/>
                <w:sz w:val="22"/>
              </w:rPr>
            </w:pPr>
          </w:p>
        </w:tc>
        <w:tc>
          <w:tcPr>
            <w:tcW w:w="6196" w:type="dxa"/>
          </w:tcPr>
          <w:p>
            <w:pPr>
              <w:pStyle w:val="TableParagraph"/>
              <w:numPr>
                <w:ilvl w:val="0"/>
                <w:numId w:val="3"/>
              </w:numPr>
              <w:tabs>
                <w:tab w:pos="390" w:val="left" w:leader="none"/>
                <w:tab w:pos="436" w:val="left" w:leader="none"/>
              </w:tabs>
              <w:spacing w:line="240" w:lineRule="auto" w:before="47" w:after="0"/>
              <w:ind w:left="390" w:right="1092" w:hanging="284"/>
              <w:jc w:val="left"/>
              <w:rPr>
                <w:sz w:val="24"/>
              </w:rPr>
            </w:pPr>
            <w:r>
              <w:rPr>
                <w:sz w:val="24"/>
              </w:rPr>
              <w:t>Uses</w:t>
            </w:r>
            <w:r>
              <w:rPr>
                <w:spacing w:val="80"/>
                <w:sz w:val="24"/>
              </w:rPr>
              <w:t> </w:t>
            </w:r>
            <w:r>
              <w:rPr>
                <w:sz w:val="24"/>
              </w:rPr>
              <w:t>and</w:t>
            </w:r>
            <w:r>
              <w:rPr>
                <w:spacing w:val="40"/>
                <w:sz w:val="24"/>
              </w:rPr>
              <w:t> </w:t>
            </w:r>
            <w:r>
              <w:rPr>
                <w:sz w:val="24"/>
              </w:rPr>
              <w:t>ancillary</w:t>
            </w:r>
            <w:r>
              <w:rPr>
                <w:spacing w:val="40"/>
                <w:sz w:val="24"/>
              </w:rPr>
              <w:t> </w:t>
            </w:r>
            <w:r>
              <w:rPr>
                <w:sz w:val="24"/>
              </w:rPr>
              <w:t>uses</w:t>
            </w:r>
            <w:r>
              <w:rPr>
                <w:spacing w:val="40"/>
                <w:sz w:val="24"/>
              </w:rPr>
              <w:t> </w:t>
            </w:r>
            <w:r>
              <w:rPr>
                <w:sz w:val="24"/>
              </w:rPr>
              <w:t>permitted</w:t>
            </w:r>
            <w:r>
              <w:rPr>
                <w:spacing w:val="40"/>
                <w:sz w:val="24"/>
              </w:rPr>
              <w:t> </w:t>
            </w:r>
            <w:r>
              <w:rPr>
                <w:sz w:val="24"/>
              </w:rPr>
              <w:t>in the zones</w:t>
            </w:r>
          </w:p>
          <w:p>
            <w:pPr>
              <w:pStyle w:val="TableParagraph"/>
              <w:numPr>
                <w:ilvl w:val="1"/>
                <w:numId w:val="3"/>
              </w:numPr>
              <w:tabs>
                <w:tab w:pos="665" w:val="left" w:leader="none"/>
              </w:tabs>
              <w:spacing w:line="237" w:lineRule="auto" w:before="51" w:after="0"/>
              <w:ind w:left="107" w:right="379" w:firstLine="0"/>
              <w:jc w:val="left"/>
              <w:rPr>
                <w:sz w:val="24"/>
              </w:rPr>
            </w:pPr>
            <w:r>
              <w:rPr>
                <w:sz w:val="24"/>
              </w:rPr>
              <w:t>Conditions</w:t>
            </w:r>
            <w:r>
              <w:rPr>
                <w:spacing w:val="80"/>
                <w:sz w:val="24"/>
              </w:rPr>
              <w:t> </w:t>
            </w:r>
            <w:r>
              <w:rPr>
                <w:sz w:val="24"/>
              </w:rPr>
              <w:t>under</w:t>
            </w:r>
            <w:r>
              <w:rPr>
                <w:spacing w:val="80"/>
                <w:sz w:val="24"/>
              </w:rPr>
              <w:t> </w:t>
            </w:r>
            <w:r>
              <w:rPr>
                <w:sz w:val="24"/>
              </w:rPr>
              <w:t>which</w:t>
            </w:r>
            <w:r>
              <w:rPr>
                <w:spacing w:val="80"/>
                <w:sz w:val="24"/>
              </w:rPr>
              <w:t> </w:t>
            </w:r>
            <w:r>
              <w:rPr>
                <w:spacing w:val="11"/>
                <w:sz w:val="24"/>
              </w:rPr>
              <w:t>land-</w:t>
            </w:r>
            <w:r>
              <w:rPr>
                <w:sz w:val="24"/>
              </w:rPr>
              <w:t>uses</w:t>
            </w:r>
            <w:r>
              <w:rPr>
                <w:spacing w:val="80"/>
                <w:sz w:val="24"/>
              </w:rPr>
              <w:t> </w:t>
            </w:r>
            <w:r>
              <w:rPr>
                <w:sz w:val="24"/>
              </w:rPr>
              <w:t>are</w:t>
            </w:r>
            <w:r>
              <w:rPr>
                <w:spacing w:val="40"/>
                <w:sz w:val="24"/>
              </w:rPr>
              <w:t> </w:t>
            </w:r>
            <w:r>
              <w:rPr>
                <w:spacing w:val="7"/>
                <w:sz w:val="24"/>
              </w:rPr>
              <w:t>permissible</w:t>
            </w:r>
          </w:p>
        </w:tc>
        <w:tc>
          <w:tcPr>
            <w:tcW w:w="1001" w:type="dxa"/>
          </w:tcPr>
          <w:p>
            <w:pPr>
              <w:pStyle w:val="TableParagraph"/>
              <w:spacing w:before="44"/>
              <w:ind w:left="6"/>
              <w:jc w:val="center"/>
              <w:rPr>
                <w:sz w:val="24"/>
              </w:rPr>
            </w:pPr>
            <w:r>
              <w:rPr>
                <w:spacing w:val="-5"/>
                <w:sz w:val="24"/>
              </w:rPr>
              <w:t>270</w:t>
            </w:r>
          </w:p>
        </w:tc>
      </w:tr>
      <w:tr>
        <w:trPr>
          <w:trHeight w:val="630" w:hRule="atLeast"/>
        </w:trPr>
        <w:tc>
          <w:tcPr>
            <w:tcW w:w="1572" w:type="dxa"/>
          </w:tcPr>
          <w:p>
            <w:pPr>
              <w:pStyle w:val="TableParagraph"/>
              <w:rPr>
                <w:rFonts w:ascii="Times New Roman"/>
                <w:sz w:val="22"/>
              </w:rPr>
            </w:pPr>
          </w:p>
        </w:tc>
        <w:tc>
          <w:tcPr>
            <w:tcW w:w="6196" w:type="dxa"/>
          </w:tcPr>
          <w:p>
            <w:pPr>
              <w:pStyle w:val="TableParagraph"/>
              <w:spacing w:line="235" w:lineRule="auto" w:before="44"/>
              <w:ind w:left="479" w:right="385" w:hanging="372"/>
              <w:rPr>
                <w:sz w:val="24"/>
              </w:rPr>
            </w:pPr>
            <w:r>
              <w:rPr>
                <w:sz w:val="24"/>
              </w:rPr>
              <w:t>3.2</w:t>
            </w:r>
            <w:r>
              <w:rPr>
                <w:spacing w:val="80"/>
                <w:sz w:val="24"/>
              </w:rPr>
              <w:t> </w:t>
            </w:r>
            <w:r>
              <w:rPr>
                <w:sz w:val="24"/>
              </w:rPr>
              <w:t>Conditions applicable for </w:t>
            </w:r>
            <w:r>
              <w:rPr>
                <w:spacing w:val="9"/>
                <w:sz w:val="24"/>
              </w:rPr>
              <w:t>permitting</w:t>
            </w:r>
            <w:r>
              <w:rPr>
                <w:spacing w:val="80"/>
                <w:sz w:val="24"/>
              </w:rPr>
              <w:t> </w:t>
            </w:r>
            <w:r>
              <w:rPr>
                <w:sz w:val="24"/>
              </w:rPr>
              <w:t>various</w:t>
            </w:r>
            <w:r>
              <w:rPr>
                <w:spacing w:val="40"/>
                <w:sz w:val="24"/>
              </w:rPr>
              <w:t> </w:t>
            </w:r>
            <w:r>
              <w:rPr>
                <w:spacing w:val="9"/>
                <w:sz w:val="24"/>
              </w:rPr>
              <w:t>land-</w:t>
            </w:r>
            <w:r>
              <w:rPr>
                <w:sz w:val="24"/>
              </w:rPr>
              <w:t>uses</w:t>
            </w:r>
            <w:r>
              <w:rPr>
                <w:spacing w:val="40"/>
                <w:sz w:val="24"/>
              </w:rPr>
              <w:t> </w:t>
            </w:r>
            <w:r>
              <w:rPr>
                <w:sz w:val="24"/>
              </w:rPr>
              <w:t>and</w:t>
            </w:r>
            <w:r>
              <w:rPr>
                <w:spacing w:val="40"/>
                <w:sz w:val="24"/>
              </w:rPr>
              <w:t> </w:t>
            </w:r>
            <w:r>
              <w:rPr>
                <w:sz w:val="24"/>
              </w:rPr>
              <w:t>occupancies</w:t>
            </w:r>
          </w:p>
        </w:tc>
        <w:tc>
          <w:tcPr>
            <w:tcW w:w="1001" w:type="dxa"/>
          </w:tcPr>
          <w:p>
            <w:pPr>
              <w:pStyle w:val="TableParagraph"/>
              <w:spacing w:before="44"/>
              <w:ind w:left="6"/>
              <w:jc w:val="center"/>
              <w:rPr>
                <w:sz w:val="24"/>
              </w:rPr>
            </w:pPr>
            <w:r>
              <w:rPr>
                <w:spacing w:val="-5"/>
                <w:sz w:val="24"/>
              </w:rPr>
              <w:t>273</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107"/>
              <w:rPr>
                <w:sz w:val="24"/>
              </w:rPr>
            </w:pPr>
            <w:r>
              <w:rPr>
                <w:sz w:val="24"/>
              </w:rPr>
              <w:t>3.3</w:t>
            </w:r>
            <w:r>
              <w:rPr>
                <w:spacing w:val="37"/>
                <w:sz w:val="24"/>
              </w:rPr>
              <w:t> </w:t>
            </w:r>
            <w:r>
              <w:rPr>
                <w:spacing w:val="7"/>
                <w:sz w:val="24"/>
              </w:rPr>
              <w:t>Exceptions</w:t>
            </w:r>
          </w:p>
        </w:tc>
        <w:tc>
          <w:tcPr>
            <w:tcW w:w="1001" w:type="dxa"/>
          </w:tcPr>
          <w:p>
            <w:pPr>
              <w:pStyle w:val="TableParagraph"/>
              <w:spacing w:before="44"/>
              <w:ind w:left="6"/>
              <w:jc w:val="center"/>
              <w:rPr>
                <w:sz w:val="24"/>
              </w:rPr>
            </w:pPr>
            <w:r>
              <w:rPr>
                <w:spacing w:val="-5"/>
                <w:sz w:val="24"/>
              </w:rPr>
              <w:t>294</w:t>
            </w:r>
          </w:p>
        </w:tc>
      </w:tr>
      <w:tr>
        <w:trPr>
          <w:trHeight w:val="688" w:hRule="atLeast"/>
        </w:trPr>
        <w:tc>
          <w:tcPr>
            <w:tcW w:w="1572" w:type="dxa"/>
          </w:tcPr>
          <w:p>
            <w:pPr>
              <w:pStyle w:val="TableParagraph"/>
              <w:rPr>
                <w:rFonts w:ascii="Times New Roman"/>
                <w:sz w:val="22"/>
              </w:rPr>
            </w:pPr>
          </w:p>
        </w:tc>
        <w:tc>
          <w:tcPr>
            <w:tcW w:w="6196" w:type="dxa"/>
          </w:tcPr>
          <w:p>
            <w:pPr>
              <w:pStyle w:val="TableParagraph"/>
              <w:spacing w:before="44"/>
              <w:ind w:left="107"/>
              <w:rPr>
                <w:sz w:val="24"/>
              </w:rPr>
            </w:pPr>
            <w:r>
              <w:rPr>
                <w:b/>
                <w:sz w:val="24"/>
              </w:rPr>
              <w:t>3.</w:t>
            </w:r>
            <w:r>
              <w:rPr>
                <w:sz w:val="24"/>
              </w:rPr>
              <w:t>4</w:t>
            </w:r>
            <w:r>
              <w:rPr>
                <w:spacing w:val="67"/>
                <w:sz w:val="24"/>
              </w:rPr>
              <w:t> </w:t>
            </w:r>
            <w:r>
              <w:rPr>
                <w:sz w:val="24"/>
              </w:rPr>
              <w:t>Special</w:t>
            </w:r>
            <w:r>
              <w:rPr>
                <w:spacing w:val="67"/>
                <w:sz w:val="24"/>
              </w:rPr>
              <w:t> </w:t>
            </w:r>
            <w:r>
              <w:rPr>
                <w:sz w:val="24"/>
              </w:rPr>
              <w:t>Development</w:t>
            </w:r>
            <w:r>
              <w:rPr>
                <w:spacing w:val="67"/>
                <w:sz w:val="24"/>
              </w:rPr>
              <w:t> </w:t>
            </w:r>
            <w:r>
              <w:rPr>
                <w:sz w:val="24"/>
              </w:rPr>
              <w:t>Zone</w:t>
            </w:r>
            <w:r>
              <w:rPr>
                <w:spacing w:val="68"/>
                <w:sz w:val="24"/>
              </w:rPr>
              <w:t> </w:t>
            </w:r>
            <w:r>
              <w:rPr>
                <w:spacing w:val="-4"/>
                <w:sz w:val="24"/>
              </w:rPr>
              <w:t>(SDZ)</w:t>
            </w:r>
          </w:p>
          <w:p>
            <w:pPr>
              <w:pStyle w:val="TableParagraph"/>
              <w:spacing w:before="50"/>
              <w:ind w:left="479"/>
              <w:rPr>
                <w:sz w:val="24"/>
              </w:rPr>
            </w:pPr>
            <w:r>
              <w:rPr>
                <w:sz w:val="24"/>
              </w:rPr>
              <w:t>)</w:t>
            </w:r>
            <w:r>
              <w:rPr>
                <w:spacing w:val="45"/>
                <w:sz w:val="24"/>
              </w:rPr>
              <w:t> </w:t>
            </w:r>
            <w:r>
              <w:rPr>
                <w:sz w:val="24"/>
              </w:rPr>
              <w:t>(A)</w:t>
            </w:r>
            <w:r>
              <w:rPr>
                <w:spacing w:val="46"/>
                <w:sz w:val="24"/>
              </w:rPr>
              <w:t> </w:t>
            </w:r>
            <w:r>
              <w:rPr>
                <w:sz w:val="24"/>
              </w:rPr>
              <w:t>Other</w:t>
            </w:r>
            <w:r>
              <w:rPr>
                <w:spacing w:val="46"/>
                <w:sz w:val="24"/>
              </w:rPr>
              <w:t> </w:t>
            </w:r>
            <w:r>
              <w:rPr>
                <w:sz w:val="24"/>
              </w:rPr>
              <w:t>Development</w:t>
            </w:r>
            <w:r>
              <w:rPr>
                <w:spacing w:val="46"/>
                <w:sz w:val="24"/>
              </w:rPr>
              <w:t> </w:t>
            </w:r>
            <w:r>
              <w:rPr>
                <w:sz w:val="24"/>
              </w:rPr>
              <w:t>in</w:t>
            </w:r>
            <w:r>
              <w:rPr>
                <w:spacing w:val="42"/>
                <w:sz w:val="24"/>
              </w:rPr>
              <w:t>  </w:t>
            </w:r>
            <w:r>
              <w:rPr>
                <w:spacing w:val="-5"/>
                <w:sz w:val="24"/>
              </w:rPr>
              <w:t>SDZ</w:t>
            </w:r>
          </w:p>
        </w:tc>
        <w:tc>
          <w:tcPr>
            <w:tcW w:w="1001" w:type="dxa"/>
          </w:tcPr>
          <w:p>
            <w:pPr>
              <w:pStyle w:val="TableParagraph"/>
              <w:spacing w:before="44"/>
              <w:ind w:left="261"/>
              <w:rPr>
                <w:sz w:val="24"/>
              </w:rPr>
            </w:pPr>
            <w:r>
              <w:rPr>
                <w:spacing w:val="-5"/>
                <w:sz w:val="24"/>
              </w:rPr>
              <w:t>296</w:t>
            </w:r>
          </w:p>
          <w:p>
            <w:pPr>
              <w:pStyle w:val="TableParagraph"/>
              <w:spacing w:before="50"/>
              <w:ind w:left="280"/>
              <w:rPr>
                <w:sz w:val="24"/>
              </w:rPr>
            </w:pPr>
            <w:r>
              <w:rPr>
                <w:spacing w:val="-5"/>
                <w:sz w:val="24"/>
              </w:rPr>
              <w:t>296</w:t>
            </w:r>
          </w:p>
        </w:tc>
      </w:tr>
      <w:tr>
        <w:trPr>
          <w:trHeight w:val="367" w:hRule="atLeast"/>
        </w:trPr>
        <w:tc>
          <w:tcPr>
            <w:tcW w:w="1572" w:type="dxa"/>
          </w:tcPr>
          <w:p>
            <w:pPr>
              <w:pStyle w:val="TableParagraph"/>
              <w:rPr>
                <w:rFonts w:ascii="Times New Roman"/>
                <w:sz w:val="22"/>
              </w:rPr>
            </w:pPr>
          </w:p>
        </w:tc>
        <w:tc>
          <w:tcPr>
            <w:tcW w:w="6196" w:type="dxa"/>
          </w:tcPr>
          <w:p>
            <w:pPr>
              <w:pStyle w:val="TableParagraph"/>
              <w:spacing w:line="281" w:lineRule="exact"/>
              <w:ind w:left="107"/>
              <w:rPr>
                <w:sz w:val="24"/>
              </w:rPr>
            </w:pPr>
            <w:r>
              <w:rPr>
                <w:sz w:val="24"/>
              </w:rPr>
              <w:t>3.5</w:t>
            </w:r>
            <w:r>
              <w:rPr>
                <w:spacing w:val="65"/>
                <w:sz w:val="24"/>
              </w:rPr>
              <w:t> </w:t>
            </w:r>
            <w:r>
              <w:rPr>
                <w:sz w:val="24"/>
              </w:rPr>
              <w:t>Port’s</w:t>
            </w:r>
            <w:r>
              <w:rPr>
                <w:spacing w:val="66"/>
                <w:sz w:val="24"/>
              </w:rPr>
              <w:t> </w:t>
            </w:r>
            <w:r>
              <w:rPr>
                <w:sz w:val="24"/>
              </w:rPr>
              <w:t>Operational</w:t>
            </w:r>
            <w:r>
              <w:rPr>
                <w:spacing w:val="64"/>
                <w:sz w:val="24"/>
              </w:rPr>
              <w:t> </w:t>
            </w:r>
            <w:r>
              <w:rPr>
                <w:sz w:val="24"/>
              </w:rPr>
              <w:t>Zone</w:t>
            </w:r>
            <w:r>
              <w:rPr>
                <w:spacing w:val="69"/>
                <w:sz w:val="24"/>
              </w:rPr>
              <w:t> </w:t>
            </w:r>
            <w:r>
              <w:rPr>
                <w:spacing w:val="-4"/>
                <w:sz w:val="24"/>
              </w:rPr>
              <w:t>(POZ)</w:t>
            </w:r>
          </w:p>
        </w:tc>
        <w:tc>
          <w:tcPr>
            <w:tcW w:w="1001" w:type="dxa"/>
          </w:tcPr>
          <w:p>
            <w:pPr>
              <w:pStyle w:val="TableParagraph"/>
              <w:spacing w:before="47"/>
              <w:ind w:left="6"/>
              <w:jc w:val="center"/>
              <w:rPr>
                <w:sz w:val="24"/>
              </w:rPr>
            </w:pPr>
            <w:r>
              <w:rPr>
                <w:spacing w:val="-5"/>
                <w:sz w:val="24"/>
              </w:rPr>
              <w:t>316</w:t>
            </w:r>
          </w:p>
        </w:tc>
      </w:tr>
      <w:tr>
        <w:trPr>
          <w:trHeight w:val="592" w:hRule="atLeast"/>
        </w:trPr>
        <w:tc>
          <w:tcPr>
            <w:tcW w:w="1572" w:type="dxa"/>
          </w:tcPr>
          <w:p>
            <w:pPr>
              <w:pStyle w:val="TableParagraph"/>
              <w:rPr>
                <w:rFonts w:ascii="Times New Roman"/>
                <w:sz w:val="22"/>
              </w:rPr>
            </w:pPr>
          </w:p>
        </w:tc>
        <w:tc>
          <w:tcPr>
            <w:tcW w:w="6196" w:type="dxa"/>
          </w:tcPr>
          <w:p>
            <w:pPr>
              <w:pStyle w:val="TableParagraph"/>
              <w:tabs>
                <w:tab w:pos="732" w:val="left" w:leader="none"/>
                <w:tab w:pos="1673" w:val="left" w:leader="none"/>
                <w:tab w:pos="2636" w:val="left" w:leader="none"/>
                <w:tab w:pos="3549" w:val="left" w:leader="none"/>
                <w:tab w:pos="5401" w:val="left" w:leader="none"/>
              </w:tabs>
              <w:spacing w:line="237" w:lineRule="auto" w:before="1"/>
              <w:ind w:left="107" w:right="180"/>
              <w:rPr>
                <w:sz w:val="24"/>
              </w:rPr>
            </w:pPr>
            <w:r>
              <w:rPr>
                <w:spacing w:val="-4"/>
                <w:sz w:val="24"/>
              </w:rPr>
              <w:t>3.6</w:t>
            </w:r>
            <w:r>
              <w:rPr>
                <w:sz w:val="24"/>
              </w:rPr>
              <w:tab/>
            </w:r>
            <w:r>
              <w:rPr>
                <w:spacing w:val="-2"/>
                <w:sz w:val="24"/>
              </w:rPr>
              <w:t>Port’s</w:t>
            </w:r>
            <w:r>
              <w:rPr>
                <w:sz w:val="24"/>
              </w:rPr>
              <w:tab/>
            </w:r>
            <w:r>
              <w:rPr>
                <w:spacing w:val="-4"/>
                <w:sz w:val="24"/>
              </w:rPr>
              <w:t>Water</w:t>
            </w:r>
            <w:r>
              <w:rPr>
                <w:sz w:val="24"/>
              </w:rPr>
              <w:tab/>
            </w:r>
            <w:r>
              <w:rPr>
                <w:spacing w:val="-4"/>
                <w:sz w:val="24"/>
              </w:rPr>
              <w:t>Front</w:t>
            </w:r>
            <w:r>
              <w:rPr>
                <w:sz w:val="24"/>
              </w:rPr>
              <w:tab/>
            </w:r>
            <w:r>
              <w:rPr>
                <w:spacing w:val="-2"/>
                <w:sz w:val="24"/>
              </w:rPr>
              <w:t>Development</w:t>
            </w:r>
            <w:r>
              <w:rPr>
                <w:sz w:val="24"/>
              </w:rPr>
              <w:tab/>
            </w:r>
            <w:r>
              <w:rPr>
                <w:spacing w:val="-4"/>
                <w:sz w:val="24"/>
              </w:rPr>
              <w:t>Zon</w:t>
            </w:r>
            <w:r>
              <w:rPr>
                <w:spacing w:val="-4"/>
                <w:sz w:val="24"/>
              </w:rPr>
              <w:t>e</w:t>
            </w:r>
            <w:r>
              <w:rPr>
                <w:spacing w:val="-4"/>
                <w:sz w:val="24"/>
              </w:rPr>
              <w:t> </w:t>
            </w:r>
            <w:r>
              <w:rPr>
                <w:spacing w:val="7"/>
                <w:sz w:val="24"/>
              </w:rPr>
              <w:t>(PWFDZ)</w:t>
            </w:r>
          </w:p>
        </w:tc>
        <w:tc>
          <w:tcPr>
            <w:tcW w:w="1001" w:type="dxa"/>
          </w:tcPr>
          <w:p>
            <w:pPr>
              <w:pStyle w:val="TableParagraph"/>
              <w:spacing w:before="44"/>
              <w:ind w:left="6"/>
              <w:jc w:val="center"/>
              <w:rPr>
                <w:sz w:val="24"/>
              </w:rPr>
            </w:pPr>
            <w:r>
              <w:rPr>
                <w:spacing w:val="-5"/>
                <w:sz w:val="24"/>
              </w:rPr>
              <w:t>317</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194"/>
              <w:rPr>
                <w:sz w:val="24"/>
              </w:rPr>
            </w:pPr>
            <w:r>
              <w:rPr>
                <w:sz w:val="24"/>
              </w:rPr>
              <w:t>3.7</w:t>
            </w:r>
            <w:r>
              <w:rPr>
                <w:spacing w:val="56"/>
                <w:sz w:val="24"/>
              </w:rPr>
              <w:t> </w:t>
            </w:r>
            <w:r>
              <w:rPr>
                <w:sz w:val="24"/>
              </w:rPr>
              <w:t>Natural</w:t>
            </w:r>
            <w:r>
              <w:rPr>
                <w:spacing w:val="56"/>
                <w:sz w:val="24"/>
              </w:rPr>
              <w:t> </w:t>
            </w:r>
            <w:r>
              <w:rPr>
                <w:sz w:val="24"/>
              </w:rPr>
              <w:t>Areas</w:t>
            </w:r>
            <w:r>
              <w:rPr>
                <w:spacing w:val="59"/>
                <w:sz w:val="24"/>
              </w:rPr>
              <w:t> </w:t>
            </w:r>
            <w:r>
              <w:rPr>
                <w:spacing w:val="-4"/>
                <w:sz w:val="24"/>
              </w:rPr>
              <w:t>(NA)</w:t>
            </w:r>
          </w:p>
        </w:tc>
        <w:tc>
          <w:tcPr>
            <w:tcW w:w="1001" w:type="dxa"/>
          </w:tcPr>
          <w:p>
            <w:pPr>
              <w:pStyle w:val="TableParagraph"/>
              <w:spacing w:before="44"/>
              <w:ind w:left="6"/>
              <w:jc w:val="center"/>
              <w:rPr>
                <w:sz w:val="24"/>
              </w:rPr>
            </w:pPr>
            <w:r>
              <w:rPr>
                <w:spacing w:val="-5"/>
                <w:sz w:val="24"/>
              </w:rPr>
              <w:t>303</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107"/>
              <w:rPr>
                <w:sz w:val="24"/>
              </w:rPr>
            </w:pPr>
            <w:r>
              <w:rPr>
                <w:sz w:val="24"/>
              </w:rPr>
              <w:t>3.8</w:t>
            </w:r>
            <w:r>
              <w:rPr>
                <w:spacing w:val="47"/>
                <w:sz w:val="24"/>
              </w:rPr>
              <w:t> </w:t>
            </w:r>
            <w:r>
              <w:rPr>
                <w:sz w:val="24"/>
              </w:rPr>
              <w:t>Green</w:t>
            </w:r>
            <w:r>
              <w:rPr>
                <w:spacing w:val="47"/>
                <w:sz w:val="24"/>
              </w:rPr>
              <w:t> </w:t>
            </w:r>
            <w:r>
              <w:rPr>
                <w:spacing w:val="-2"/>
                <w:sz w:val="24"/>
              </w:rPr>
              <w:t>Zone(GZ)</w:t>
            </w:r>
          </w:p>
        </w:tc>
        <w:tc>
          <w:tcPr>
            <w:tcW w:w="1001" w:type="dxa"/>
          </w:tcPr>
          <w:p>
            <w:pPr>
              <w:pStyle w:val="TableParagraph"/>
              <w:spacing w:before="44"/>
              <w:ind w:left="6"/>
              <w:jc w:val="center"/>
              <w:rPr>
                <w:sz w:val="24"/>
              </w:rPr>
            </w:pPr>
            <w:r>
              <w:rPr>
                <w:spacing w:val="-5"/>
                <w:sz w:val="24"/>
              </w:rPr>
              <w:t>303</w:t>
            </w:r>
          </w:p>
        </w:tc>
      </w:tr>
      <w:tr>
        <w:trPr>
          <w:trHeight w:val="642" w:hRule="atLeast"/>
        </w:trPr>
        <w:tc>
          <w:tcPr>
            <w:tcW w:w="1572" w:type="dxa"/>
          </w:tcPr>
          <w:p>
            <w:pPr>
              <w:pStyle w:val="TableParagraph"/>
              <w:spacing w:before="186"/>
              <w:ind w:left="9" w:right="2"/>
              <w:jc w:val="center"/>
              <w:rPr>
                <w:sz w:val="24"/>
              </w:rPr>
            </w:pPr>
            <w:r>
              <w:rPr>
                <w:spacing w:val="-5"/>
                <w:sz w:val="24"/>
              </w:rPr>
              <w:t>35</w:t>
            </w:r>
          </w:p>
        </w:tc>
        <w:tc>
          <w:tcPr>
            <w:tcW w:w="6196" w:type="dxa"/>
          </w:tcPr>
          <w:p>
            <w:pPr>
              <w:pStyle w:val="TableParagraph"/>
              <w:spacing w:before="47"/>
              <w:ind w:left="648" w:right="116" w:hanging="541"/>
              <w:rPr>
                <w:b/>
                <w:sz w:val="24"/>
              </w:rPr>
            </w:pPr>
            <w:r>
              <w:rPr>
                <w:b/>
                <w:sz w:val="24"/>
              </w:rPr>
              <w:t>Development</w:t>
            </w:r>
            <w:r>
              <w:rPr>
                <w:b/>
                <w:spacing w:val="40"/>
                <w:sz w:val="24"/>
              </w:rPr>
              <w:t> </w:t>
            </w:r>
            <w:r>
              <w:rPr>
                <w:b/>
                <w:sz w:val="24"/>
              </w:rPr>
              <w:t>or</w:t>
            </w:r>
            <w:r>
              <w:rPr>
                <w:b/>
                <w:spacing w:val="40"/>
                <w:sz w:val="24"/>
              </w:rPr>
              <w:t> </w:t>
            </w:r>
            <w:r>
              <w:rPr>
                <w:b/>
                <w:sz w:val="24"/>
              </w:rPr>
              <w:t>Redevelopment</w:t>
            </w:r>
            <w:r>
              <w:rPr>
                <w:b/>
                <w:spacing w:val="40"/>
                <w:sz w:val="24"/>
              </w:rPr>
              <w:t> </w:t>
            </w:r>
            <w:r>
              <w:rPr>
                <w:b/>
                <w:sz w:val="24"/>
              </w:rPr>
              <w:t>of</w:t>
            </w:r>
            <w:r>
              <w:rPr>
                <w:b/>
                <w:spacing w:val="40"/>
                <w:sz w:val="24"/>
              </w:rPr>
              <w:t> </w:t>
            </w:r>
            <w:r>
              <w:rPr>
                <w:b/>
                <w:sz w:val="24"/>
              </w:rPr>
              <w:t>Lands</w:t>
            </w:r>
            <w:r>
              <w:rPr>
                <w:b/>
                <w:spacing w:val="40"/>
                <w:sz w:val="24"/>
              </w:rPr>
              <w:t> </w:t>
            </w:r>
            <w:r>
              <w:rPr>
                <w:b/>
                <w:sz w:val="24"/>
              </w:rPr>
              <w:t>of Cotton Textile Mills</w:t>
            </w:r>
          </w:p>
        </w:tc>
        <w:tc>
          <w:tcPr>
            <w:tcW w:w="1001" w:type="dxa"/>
          </w:tcPr>
          <w:p>
            <w:pPr>
              <w:pStyle w:val="TableParagraph"/>
              <w:spacing w:before="44"/>
              <w:ind w:left="6"/>
              <w:jc w:val="center"/>
              <w:rPr>
                <w:sz w:val="24"/>
              </w:rPr>
            </w:pPr>
            <w:r>
              <w:rPr>
                <w:spacing w:val="-5"/>
                <w:sz w:val="24"/>
              </w:rPr>
              <w:t>304</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362" w:hRule="atLeast"/>
        </w:trPr>
        <w:tc>
          <w:tcPr>
            <w:tcW w:w="8769" w:type="dxa"/>
            <w:gridSpan w:val="3"/>
          </w:tcPr>
          <w:p>
            <w:pPr>
              <w:pStyle w:val="TableParagraph"/>
              <w:spacing w:before="47"/>
              <w:ind w:left="6" w:right="12"/>
              <w:jc w:val="center"/>
              <w:rPr>
                <w:b/>
                <w:sz w:val="24"/>
              </w:rPr>
            </w:pPr>
            <w:r>
              <w:rPr>
                <w:b/>
                <w:sz w:val="24"/>
              </w:rPr>
              <w:t>PART</w:t>
            </w:r>
            <w:r>
              <w:rPr>
                <w:b/>
                <w:spacing w:val="62"/>
                <w:sz w:val="24"/>
              </w:rPr>
              <w:t> </w:t>
            </w:r>
            <w:r>
              <w:rPr>
                <w:b/>
                <w:sz w:val="24"/>
              </w:rPr>
              <w:t>VIII</w:t>
            </w:r>
            <w:r>
              <w:rPr>
                <w:b/>
                <w:spacing w:val="62"/>
                <w:sz w:val="24"/>
              </w:rPr>
              <w:t> </w:t>
            </w:r>
            <w:r>
              <w:rPr>
                <w:b/>
                <w:sz w:val="24"/>
              </w:rPr>
              <w:t>GENERAL</w:t>
            </w:r>
            <w:r>
              <w:rPr>
                <w:b/>
                <w:spacing w:val="69"/>
                <w:sz w:val="24"/>
              </w:rPr>
              <w:t> </w:t>
            </w:r>
            <w:r>
              <w:rPr>
                <w:b/>
                <w:sz w:val="24"/>
              </w:rPr>
              <w:t>BUILDING</w:t>
            </w:r>
            <w:r>
              <w:rPr>
                <w:b/>
                <w:spacing w:val="63"/>
                <w:sz w:val="24"/>
              </w:rPr>
              <w:t> </w:t>
            </w:r>
            <w:r>
              <w:rPr>
                <w:b/>
                <w:spacing w:val="-2"/>
                <w:sz w:val="24"/>
              </w:rPr>
              <w:t>REQUIREMENTS</w:t>
            </w:r>
          </w:p>
        </w:tc>
      </w:tr>
      <w:tr>
        <w:trPr>
          <w:trHeight w:val="359" w:hRule="atLeast"/>
        </w:trPr>
        <w:tc>
          <w:tcPr>
            <w:tcW w:w="1572" w:type="dxa"/>
          </w:tcPr>
          <w:p>
            <w:pPr>
              <w:pStyle w:val="TableParagraph"/>
              <w:spacing w:before="44"/>
              <w:ind w:left="9" w:right="2"/>
              <w:jc w:val="center"/>
              <w:rPr>
                <w:sz w:val="24"/>
              </w:rPr>
            </w:pPr>
            <w:r>
              <w:rPr>
                <w:spacing w:val="-5"/>
                <w:sz w:val="24"/>
              </w:rPr>
              <w:t>36</w:t>
            </w:r>
          </w:p>
        </w:tc>
        <w:tc>
          <w:tcPr>
            <w:tcW w:w="6196" w:type="dxa"/>
          </w:tcPr>
          <w:p>
            <w:pPr>
              <w:pStyle w:val="TableParagraph"/>
              <w:spacing w:before="44"/>
              <w:ind w:left="107"/>
              <w:rPr>
                <w:b/>
                <w:sz w:val="24"/>
              </w:rPr>
            </w:pPr>
            <w:r>
              <w:rPr>
                <w:b/>
                <w:sz w:val="24"/>
              </w:rPr>
              <w:t>Occupancy</w:t>
            </w:r>
            <w:r>
              <w:rPr>
                <w:b/>
                <w:spacing w:val="-8"/>
                <w:sz w:val="24"/>
              </w:rPr>
              <w:t> </w:t>
            </w:r>
            <w:r>
              <w:rPr>
                <w:b/>
                <w:spacing w:val="-4"/>
                <w:sz w:val="24"/>
              </w:rPr>
              <w:t>Load</w:t>
            </w:r>
          </w:p>
        </w:tc>
        <w:tc>
          <w:tcPr>
            <w:tcW w:w="1001" w:type="dxa"/>
          </w:tcPr>
          <w:p>
            <w:pPr>
              <w:pStyle w:val="TableParagraph"/>
              <w:spacing w:before="44"/>
              <w:ind w:left="6"/>
              <w:jc w:val="center"/>
              <w:rPr>
                <w:sz w:val="24"/>
              </w:rPr>
            </w:pPr>
            <w:r>
              <w:rPr>
                <w:spacing w:val="-5"/>
                <w:sz w:val="24"/>
              </w:rPr>
              <w:t>311</w:t>
            </w:r>
          </w:p>
        </w:tc>
      </w:tr>
      <w:tr>
        <w:trPr>
          <w:trHeight w:val="359" w:hRule="atLeast"/>
        </w:trPr>
        <w:tc>
          <w:tcPr>
            <w:tcW w:w="1572" w:type="dxa"/>
          </w:tcPr>
          <w:p>
            <w:pPr>
              <w:pStyle w:val="TableParagraph"/>
              <w:spacing w:before="44"/>
              <w:ind w:left="9" w:right="2"/>
              <w:jc w:val="center"/>
              <w:rPr>
                <w:sz w:val="24"/>
              </w:rPr>
            </w:pPr>
            <w:r>
              <w:rPr>
                <w:spacing w:val="-5"/>
                <w:sz w:val="24"/>
              </w:rPr>
              <w:t>37</w:t>
            </w:r>
          </w:p>
        </w:tc>
        <w:tc>
          <w:tcPr>
            <w:tcW w:w="6196" w:type="dxa"/>
          </w:tcPr>
          <w:p>
            <w:pPr>
              <w:pStyle w:val="TableParagraph"/>
              <w:spacing w:before="44"/>
              <w:ind w:left="107"/>
              <w:rPr>
                <w:b/>
                <w:sz w:val="24"/>
              </w:rPr>
            </w:pPr>
            <w:r>
              <w:rPr>
                <w:b/>
                <w:sz w:val="24"/>
              </w:rPr>
              <w:t>Requirements of parts of </w:t>
            </w:r>
            <w:r>
              <w:rPr>
                <w:b/>
                <w:spacing w:val="-2"/>
                <w:sz w:val="24"/>
              </w:rPr>
              <w:t>buildings</w:t>
            </w:r>
          </w:p>
        </w:tc>
        <w:tc>
          <w:tcPr>
            <w:tcW w:w="1001" w:type="dxa"/>
          </w:tcPr>
          <w:p>
            <w:pPr>
              <w:pStyle w:val="TableParagraph"/>
              <w:rPr>
                <w:rFonts w:ascii="Times New Roman"/>
                <w:sz w:val="22"/>
              </w:rPr>
            </w:pP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287"/>
              <w:rPr>
                <w:sz w:val="24"/>
              </w:rPr>
            </w:pPr>
            <w:r>
              <w:rPr>
                <w:sz w:val="24"/>
              </w:rPr>
              <w:t>(1)</w:t>
            </w:r>
            <w:r>
              <w:rPr>
                <w:spacing w:val="37"/>
                <w:sz w:val="24"/>
              </w:rPr>
              <w:t> </w:t>
            </w:r>
            <w:r>
              <w:rPr>
                <w:spacing w:val="-2"/>
                <w:sz w:val="24"/>
              </w:rPr>
              <w:t>Plinth</w:t>
            </w:r>
          </w:p>
        </w:tc>
        <w:tc>
          <w:tcPr>
            <w:tcW w:w="1001" w:type="dxa"/>
          </w:tcPr>
          <w:p>
            <w:pPr>
              <w:pStyle w:val="TableParagraph"/>
              <w:spacing w:before="44"/>
              <w:ind w:left="6"/>
              <w:jc w:val="center"/>
              <w:rPr>
                <w:sz w:val="24"/>
              </w:rPr>
            </w:pPr>
            <w:r>
              <w:rPr>
                <w:spacing w:val="-5"/>
                <w:sz w:val="24"/>
              </w:rPr>
              <w:t>312</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287"/>
              <w:rPr>
                <w:sz w:val="24"/>
              </w:rPr>
            </w:pPr>
            <w:r>
              <w:rPr>
                <w:sz w:val="24"/>
              </w:rPr>
              <w:t>(2)</w:t>
            </w:r>
            <w:r>
              <w:rPr>
                <w:spacing w:val="65"/>
                <w:sz w:val="24"/>
              </w:rPr>
              <w:t> </w:t>
            </w:r>
            <w:r>
              <w:rPr>
                <w:sz w:val="24"/>
              </w:rPr>
              <w:t>Habitable</w:t>
            </w:r>
            <w:r>
              <w:rPr>
                <w:spacing w:val="65"/>
                <w:sz w:val="24"/>
              </w:rPr>
              <w:t> </w:t>
            </w:r>
            <w:r>
              <w:rPr>
                <w:spacing w:val="7"/>
                <w:sz w:val="24"/>
              </w:rPr>
              <w:t>Rooms/Rooms</w:t>
            </w:r>
          </w:p>
        </w:tc>
        <w:tc>
          <w:tcPr>
            <w:tcW w:w="1001" w:type="dxa"/>
          </w:tcPr>
          <w:p>
            <w:pPr>
              <w:pStyle w:val="TableParagraph"/>
              <w:spacing w:before="44"/>
              <w:ind w:left="6"/>
              <w:jc w:val="center"/>
              <w:rPr>
                <w:sz w:val="24"/>
              </w:rPr>
            </w:pPr>
            <w:r>
              <w:rPr>
                <w:spacing w:val="-5"/>
                <w:sz w:val="24"/>
              </w:rPr>
              <w:t>312</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287"/>
              <w:rPr>
                <w:sz w:val="24"/>
              </w:rPr>
            </w:pPr>
            <w:r>
              <w:rPr>
                <w:sz w:val="24"/>
              </w:rPr>
              <w:t>(3)</w:t>
            </w:r>
            <w:r>
              <w:rPr>
                <w:spacing w:val="51"/>
                <w:sz w:val="24"/>
              </w:rPr>
              <w:t> </w:t>
            </w:r>
            <w:r>
              <w:rPr>
                <w:sz w:val="24"/>
              </w:rPr>
              <w:t>Bathroom</w:t>
            </w:r>
            <w:r>
              <w:rPr>
                <w:spacing w:val="54"/>
                <w:sz w:val="24"/>
              </w:rPr>
              <w:t> </w:t>
            </w:r>
            <w:r>
              <w:rPr>
                <w:sz w:val="24"/>
              </w:rPr>
              <w:t>and</w:t>
            </w:r>
            <w:r>
              <w:rPr>
                <w:spacing w:val="56"/>
                <w:sz w:val="24"/>
              </w:rPr>
              <w:t> </w:t>
            </w:r>
            <w:r>
              <w:rPr>
                <w:sz w:val="24"/>
              </w:rPr>
              <w:t>water</w:t>
            </w:r>
            <w:r>
              <w:rPr>
                <w:spacing w:val="54"/>
                <w:sz w:val="24"/>
              </w:rPr>
              <w:t> </w:t>
            </w:r>
            <w:r>
              <w:rPr>
                <w:spacing w:val="7"/>
                <w:sz w:val="24"/>
              </w:rPr>
              <w:t>closets</w:t>
            </w:r>
          </w:p>
        </w:tc>
        <w:tc>
          <w:tcPr>
            <w:tcW w:w="1001" w:type="dxa"/>
          </w:tcPr>
          <w:p>
            <w:pPr>
              <w:pStyle w:val="TableParagraph"/>
              <w:spacing w:before="44"/>
              <w:ind w:left="6"/>
              <w:jc w:val="center"/>
              <w:rPr>
                <w:sz w:val="24"/>
              </w:rPr>
            </w:pPr>
            <w:r>
              <w:rPr>
                <w:spacing w:val="-5"/>
                <w:sz w:val="24"/>
              </w:rPr>
              <w:t>315</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287"/>
              <w:rPr>
                <w:sz w:val="24"/>
              </w:rPr>
            </w:pPr>
            <w:r>
              <w:rPr>
                <w:sz w:val="24"/>
              </w:rPr>
              <w:t>(4)</w:t>
            </w:r>
            <w:r>
              <w:rPr>
                <w:spacing w:val="37"/>
                <w:sz w:val="24"/>
              </w:rPr>
              <w:t> </w:t>
            </w:r>
            <w:r>
              <w:rPr>
                <w:spacing w:val="-4"/>
                <w:sz w:val="24"/>
              </w:rPr>
              <w:t>Loft</w:t>
            </w:r>
          </w:p>
        </w:tc>
        <w:tc>
          <w:tcPr>
            <w:tcW w:w="1001" w:type="dxa"/>
          </w:tcPr>
          <w:p>
            <w:pPr>
              <w:pStyle w:val="TableParagraph"/>
              <w:spacing w:before="44"/>
              <w:ind w:left="6"/>
              <w:jc w:val="center"/>
              <w:rPr>
                <w:sz w:val="24"/>
              </w:rPr>
            </w:pPr>
            <w:r>
              <w:rPr>
                <w:spacing w:val="-5"/>
                <w:sz w:val="24"/>
              </w:rPr>
              <w:t>316</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287"/>
              <w:rPr>
                <w:sz w:val="24"/>
              </w:rPr>
            </w:pPr>
            <w:r>
              <w:rPr>
                <w:sz w:val="24"/>
              </w:rPr>
              <w:t>(5)</w:t>
            </w:r>
            <w:r>
              <w:rPr>
                <w:spacing w:val="62"/>
                <w:sz w:val="24"/>
              </w:rPr>
              <w:t> </w:t>
            </w:r>
            <w:r>
              <w:rPr>
                <w:sz w:val="24"/>
              </w:rPr>
              <w:t>Mezzanine</w:t>
            </w:r>
            <w:r>
              <w:rPr>
                <w:spacing w:val="68"/>
                <w:sz w:val="24"/>
              </w:rPr>
              <w:t> </w:t>
            </w:r>
            <w:r>
              <w:rPr>
                <w:spacing w:val="-4"/>
                <w:sz w:val="24"/>
              </w:rPr>
              <w:t>Floor</w:t>
            </w:r>
          </w:p>
        </w:tc>
        <w:tc>
          <w:tcPr>
            <w:tcW w:w="1001" w:type="dxa"/>
          </w:tcPr>
          <w:p>
            <w:pPr>
              <w:pStyle w:val="TableParagraph"/>
              <w:spacing w:before="44"/>
              <w:ind w:left="6"/>
              <w:jc w:val="center"/>
              <w:rPr>
                <w:sz w:val="24"/>
              </w:rPr>
            </w:pPr>
            <w:r>
              <w:rPr>
                <w:spacing w:val="-5"/>
                <w:sz w:val="24"/>
              </w:rPr>
              <w:t>316</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374"/>
              <w:rPr>
                <w:sz w:val="24"/>
              </w:rPr>
            </w:pPr>
            <w:r>
              <w:rPr>
                <w:sz w:val="24"/>
              </w:rPr>
              <w:t>(6)</w:t>
            </w:r>
            <w:r>
              <w:rPr>
                <w:spacing w:val="37"/>
                <w:sz w:val="24"/>
              </w:rPr>
              <w:t> </w:t>
            </w:r>
            <w:r>
              <w:rPr>
                <w:spacing w:val="7"/>
                <w:sz w:val="24"/>
              </w:rPr>
              <w:t>Garage</w:t>
            </w:r>
          </w:p>
        </w:tc>
        <w:tc>
          <w:tcPr>
            <w:tcW w:w="1001" w:type="dxa"/>
          </w:tcPr>
          <w:p>
            <w:pPr>
              <w:pStyle w:val="TableParagraph"/>
              <w:spacing w:before="44"/>
              <w:ind w:left="6"/>
              <w:jc w:val="center"/>
              <w:rPr>
                <w:sz w:val="24"/>
              </w:rPr>
            </w:pPr>
            <w:r>
              <w:rPr>
                <w:spacing w:val="-5"/>
                <w:sz w:val="24"/>
              </w:rPr>
              <w:t>317</w:t>
            </w:r>
          </w:p>
        </w:tc>
      </w:tr>
      <w:tr>
        <w:trPr>
          <w:trHeight w:val="360" w:hRule="atLeast"/>
        </w:trPr>
        <w:tc>
          <w:tcPr>
            <w:tcW w:w="1572" w:type="dxa"/>
          </w:tcPr>
          <w:p>
            <w:pPr>
              <w:pStyle w:val="TableParagraph"/>
              <w:rPr>
                <w:rFonts w:ascii="Times New Roman"/>
                <w:sz w:val="22"/>
              </w:rPr>
            </w:pPr>
          </w:p>
        </w:tc>
        <w:tc>
          <w:tcPr>
            <w:tcW w:w="6196" w:type="dxa"/>
          </w:tcPr>
          <w:p>
            <w:pPr>
              <w:pStyle w:val="TableParagraph"/>
              <w:spacing w:before="45"/>
              <w:ind w:left="374"/>
              <w:rPr>
                <w:sz w:val="24"/>
              </w:rPr>
            </w:pPr>
            <w:r>
              <w:rPr>
                <w:sz w:val="24"/>
              </w:rPr>
              <w:t>(7)</w:t>
            </w:r>
            <w:r>
              <w:rPr>
                <w:spacing w:val="35"/>
                <w:sz w:val="24"/>
              </w:rPr>
              <w:t> </w:t>
            </w:r>
            <w:r>
              <w:rPr>
                <w:spacing w:val="7"/>
                <w:sz w:val="24"/>
              </w:rPr>
              <w:t>Basement</w:t>
            </w:r>
          </w:p>
        </w:tc>
        <w:tc>
          <w:tcPr>
            <w:tcW w:w="1001" w:type="dxa"/>
          </w:tcPr>
          <w:p>
            <w:pPr>
              <w:pStyle w:val="TableParagraph"/>
              <w:spacing w:before="45"/>
              <w:ind w:left="6"/>
              <w:jc w:val="center"/>
              <w:rPr>
                <w:sz w:val="24"/>
              </w:rPr>
            </w:pPr>
            <w:r>
              <w:rPr>
                <w:spacing w:val="-5"/>
                <w:sz w:val="24"/>
              </w:rPr>
              <w:t>317</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374"/>
              <w:rPr>
                <w:sz w:val="24"/>
              </w:rPr>
            </w:pPr>
            <w:r>
              <w:rPr>
                <w:sz w:val="24"/>
              </w:rPr>
              <w:t>(8)</w:t>
            </w:r>
            <w:r>
              <w:rPr>
                <w:spacing w:val="37"/>
                <w:sz w:val="24"/>
              </w:rPr>
              <w:t> </w:t>
            </w:r>
            <w:r>
              <w:rPr>
                <w:spacing w:val="-2"/>
                <w:sz w:val="24"/>
              </w:rPr>
              <w:t>Cabin</w:t>
            </w:r>
          </w:p>
        </w:tc>
        <w:tc>
          <w:tcPr>
            <w:tcW w:w="1001" w:type="dxa"/>
          </w:tcPr>
          <w:p>
            <w:pPr>
              <w:pStyle w:val="TableParagraph"/>
              <w:spacing w:before="44"/>
              <w:ind w:left="6"/>
              <w:jc w:val="center"/>
              <w:rPr>
                <w:sz w:val="24"/>
              </w:rPr>
            </w:pPr>
            <w:r>
              <w:rPr>
                <w:spacing w:val="-5"/>
                <w:sz w:val="24"/>
              </w:rPr>
              <w:t>319</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453"/>
              <w:rPr>
                <w:sz w:val="24"/>
              </w:rPr>
            </w:pPr>
            <w:r>
              <w:rPr>
                <w:sz w:val="24"/>
              </w:rPr>
              <w:t>(9)</w:t>
            </w:r>
            <w:r>
              <w:rPr>
                <w:spacing w:val="50"/>
                <w:sz w:val="24"/>
              </w:rPr>
              <w:t> </w:t>
            </w:r>
            <w:r>
              <w:rPr>
                <w:sz w:val="24"/>
              </w:rPr>
              <w:t>Office</w:t>
            </w:r>
            <w:r>
              <w:rPr>
                <w:spacing w:val="54"/>
                <w:sz w:val="24"/>
              </w:rPr>
              <w:t> </w:t>
            </w:r>
            <w:r>
              <w:rPr>
                <w:spacing w:val="-4"/>
                <w:sz w:val="24"/>
              </w:rPr>
              <w:t>Room</w:t>
            </w:r>
          </w:p>
        </w:tc>
        <w:tc>
          <w:tcPr>
            <w:tcW w:w="1001" w:type="dxa"/>
          </w:tcPr>
          <w:p>
            <w:pPr>
              <w:pStyle w:val="TableParagraph"/>
              <w:spacing w:before="44"/>
              <w:ind w:left="6"/>
              <w:jc w:val="center"/>
              <w:rPr>
                <w:sz w:val="24"/>
              </w:rPr>
            </w:pPr>
            <w:r>
              <w:rPr>
                <w:spacing w:val="-5"/>
                <w:sz w:val="24"/>
              </w:rPr>
              <w:t>319</w:t>
            </w:r>
          </w:p>
        </w:tc>
      </w:tr>
      <w:tr>
        <w:trPr>
          <w:trHeight w:val="707" w:hRule="atLeast"/>
        </w:trPr>
        <w:tc>
          <w:tcPr>
            <w:tcW w:w="1572" w:type="dxa"/>
          </w:tcPr>
          <w:p>
            <w:pPr>
              <w:pStyle w:val="TableParagraph"/>
              <w:rPr>
                <w:rFonts w:ascii="Times New Roman"/>
                <w:sz w:val="22"/>
              </w:rPr>
            </w:pPr>
          </w:p>
        </w:tc>
        <w:tc>
          <w:tcPr>
            <w:tcW w:w="6196" w:type="dxa"/>
          </w:tcPr>
          <w:p>
            <w:pPr>
              <w:pStyle w:val="TableParagraph"/>
              <w:spacing w:before="47"/>
              <w:ind w:left="453"/>
              <w:rPr>
                <w:sz w:val="24"/>
              </w:rPr>
            </w:pPr>
            <w:r>
              <w:rPr>
                <w:sz w:val="24"/>
              </w:rPr>
              <w:t>(10)</w:t>
            </w:r>
            <w:r>
              <w:rPr>
                <w:spacing w:val="49"/>
                <w:sz w:val="24"/>
              </w:rPr>
              <w:t> </w:t>
            </w:r>
            <w:r>
              <w:rPr>
                <w:sz w:val="24"/>
              </w:rPr>
              <w:t>(a)</w:t>
            </w:r>
            <w:r>
              <w:rPr>
                <w:spacing w:val="46"/>
                <w:sz w:val="24"/>
              </w:rPr>
              <w:t> </w:t>
            </w:r>
            <w:r>
              <w:rPr>
                <w:sz w:val="24"/>
              </w:rPr>
              <w:t>Letter</w:t>
            </w:r>
            <w:r>
              <w:rPr>
                <w:spacing w:val="46"/>
                <w:sz w:val="24"/>
              </w:rPr>
              <w:t> </w:t>
            </w:r>
            <w:r>
              <w:rPr>
                <w:sz w:val="24"/>
              </w:rPr>
              <w:t>Box</w:t>
            </w:r>
            <w:r>
              <w:rPr>
                <w:spacing w:val="46"/>
                <w:sz w:val="24"/>
              </w:rPr>
              <w:t> </w:t>
            </w:r>
            <w:r>
              <w:rPr>
                <w:spacing w:val="-4"/>
                <w:sz w:val="24"/>
              </w:rPr>
              <w:t>Room</w:t>
            </w:r>
          </w:p>
          <w:p>
            <w:pPr>
              <w:pStyle w:val="TableParagraph"/>
              <w:spacing w:before="49"/>
              <w:ind w:left="888"/>
              <w:rPr>
                <w:sz w:val="24"/>
              </w:rPr>
            </w:pPr>
            <w:r>
              <w:rPr>
                <w:sz w:val="24"/>
              </w:rPr>
              <w:t>(b)</w:t>
            </w:r>
            <w:r>
              <w:rPr>
                <w:spacing w:val="50"/>
                <w:sz w:val="24"/>
              </w:rPr>
              <w:t> </w:t>
            </w:r>
            <w:r>
              <w:rPr>
                <w:sz w:val="24"/>
              </w:rPr>
              <w:t>Letter</w:t>
            </w:r>
            <w:r>
              <w:rPr>
                <w:spacing w:val="51"/>
                <w:sz w:val="24"/>
              </w:rPr>
              <w:t> </w:t>
            </w:r>
            <w:r>
              <w:rPr>
                <w:spacing w:val="-2"/>
                <w:sz w:val="24"/>
              </w:rPr>
              <w:t>Boxes</w:t>
            </w:r>
          </w:p>
        </w:tc>
        <w:tc>
          <w:tcPr>
            <w:tcW w:w="1001" w:type="dxa"/>
          </w:tcPr>
          <w:p>
            <w:pPr>
              <w:pStyle w:val="TableParagraph"/>
              <w:spacing w:before="44"/>
              <w:ind w:left="6"/>
              <w:jc w:val="center"/>
              <w:rPr>
                <w:sz w:val="24"/>
              </w:rPr>
            </w:pPr>
            <w:r>
              <w:rPr>
                <w:spacing w:val="-5"/>
                <w:sz w:val="24"/>
              </w:rPr>
              <w:t>319</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287" w:right="1568" w:firstLine="86"/>
              <w:rPr>
                <w:sz w:val="24"/>
              </w:rPr>
            </w:pPr>
            <w:r>
              <w:rPr>
                <w:sz w:val="24"/>
              </w:rPr>
              <w:t>(11) Electric</w:t>
            </w:r>
            <w:r>
              <w:rPr>
                <w:spacing w:val="40"/>
                <w:sz w:val="24"/>
              </w:rPr>
              <w:t> </w:t>
            </w:r>
            <w:r>
              <w:rPr>
                <w:sz w:val="24"/>
              </w:rPr>
              <w:t>Meter/Service</w:t>
            </w:r>
            <w:r>
              <w:rPr>
                <w:spacing w:val="40"/>
                <w:sz w:val="24"/>
              </w:rPr>
              <w:t> </w:t>
            </w:r>
            <w:r>
              <w:rPr>
                <w:sz w:val="24"/>
              </w:rPr>
              <w:t>Utility</w:t>
            </w:r>
            <w:r>
              <w:rPr>
                <w:spacing w:val="40"/>
                <w:sz w:val="24"/>
              </w:rPr>
              <w:t> </w:t>
            </w:r>
            <w:r>
              <w:rPr>
                <w:spacing w:val="-4"/>
                <w:sz w:val="24"/>
              </w:rPr>
              <w:t>Room</w:t>
            </w:r>
          </w:p>
        </w:tc>
        <w:tc>
          <w:tcPr>
            <w:tcW w:w="1001" w:type="dxa"/>
          </w:tcPr>
          <w:p>
            <w:pPr>
              <w:pStyle w:val="TableParagraph"/>
              <w:spacing w:before="44"/>
              <w:ind w:left="6"/>
              <w:jc w:val="center"/>
              <w:rPr>
                <w:sz w:val="24"/>
              </w:rPr>
            </w:pPr>
            <w:r>
              <w:rPr>
                <w:spacing w:val="-5"/>
                <w:sz w:val="24"/>
              </w:rPr>
              <w:t>319</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(12)</w:t>
            </w:r>
            <w:r>
              <w:rPr>
                <w:spacing w:val="42"/>
                <w:w w:val="150"/>
                <w:sz w:val="24"/>
              </w:rPr>
              <w:t> </w:t>
            </w:r>
            <w:r>
              <w:rPr>
                <w:sz w:val="24"/>
              </w:rPr>
              <w:t>Refuse</w:t>
            </w:r>
            <w:r>
              <w:rPr>
                <w:spacing w:val="42"/>
                <w:w w:val="150"/>
                <w:sz w:val="24"/>
              </w:rPr>
              <w:t> </w:t>
            </w:r>
            <w:r>
              <w:rPr>
                <w:sz w:val="24"/>
              </w:rPr>
              <w:t>Chute/Garbage</w:t>
            </w:r>
            <w:r>
              <w:rPr>
                <w:spacing w:val="45"/>
                <w:w w:val="150"/>
                <w:sz w:val="24"/>
              </w:rPr>
              <w:t> </w:t>
            </w:r>
            <w:r>
              <w:rPr>
                <w:spacing w:val="-2"/>
                <w:sz w:val="24"/>
              </w:rPr>
              <w:t>Chute</w:t>
            </w:r>
          </w:p>
        </w:tc>
        <w:tc>
          <w:tcPr>
            <w:tcW w:w="1001" w:type="dxa"/>
          </w:tcPr>
          <w:p>
            <w:pPr>
              <w:pStyle w:val="TableParagraph"/>
              <w:spacing w:before="44"/>
              <w:ind w:left="6"/>
              <w:jc w:val="center"/>
              <w:rPr>
                <w:sz w:val="24"/>
              </w:rPr>
            </w:pPr>
            <w:r>
              <w:rPr>
                <w:spacing w:val="-5"/>
                <w:sz w:val="24"/>
              </w:rPr>
              <w:t>319</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374"/>
              <w:rPr>
                <w:sz w:val="24"/>
              </w:rPr>
            </w:pPr>
            <w:r>
              <w:rPr>
                <w:sz w:val="24"/>
              </w:rPr>
              <w:t>(13)</w:t>
            </w:r>
            <w:r>
              <w:rPr>
                <w:spacing w:val="46"/>
                <w:sz w:val="24"/>
              </w:rPr>
              <w:t> </w:t>
            </w:r>
            <w:r>
              <w:rPr>
                <w:spacing w:val="7"/>
                <w:sz w:val="24"/>
              </w:rPr>
              <w:t>Corridor</w:t>
            </w:r>
          </w:p>
        </w:tc>
        <w:tc>
          <w:tcPr>
            <w:tcW w:w="1001" w:type="dxa"/>
          </w:tcPr>
          <w:p>
            <w:pPr>
              <w:pStyle w:val="TableParagraph"/>
              <w:spacing w:before="47"/>
              <w:ind w:left="6"/>
              <w:jc w:val="center"/>
              <w:rPr>
                <w:sz w:val="24"/>
              </w:rPr>
            </w:pPr>
            <w:r>
              <w:rPr>
                <w:spacing w:val="-5"/>
                <w:sz w:val="24"/>
              </w:rPr>
              <w:t>319</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(14)</w:t>
            </w:r>
            <w:r>
              <w:rPr>
                <w:spacing w:val="46"/>
                <w:sz w:val="24"/>
              </w:rPr>
              <w:t> </w:t>
            </w:r>
            <w:r>
              <w:rPr>
                <w:spacing w:val="-4"/>
                <w:sz w:val="24"/>
              </w:rPr>
              <w:t>Door</w:t>
            </w:r>
          </w:p>
        </w:tc>
        <w:tc>
          <w:tcPr>
            <w:tcW w:w="1001" w:type="dxa"/>
          </w:tcPr>
          <w:p>
            <w:pPr>
              <w:pStyle w:val="TableParagraph"/>
              <w:spacing w:before="44"/>
              <w:ind w:left="6"/>
              <w:jc w:val="center"/>
              <w:rPr>
                <w:sz w:val="24"/>
              </w:rPr>
            </w:pPr>
            <w:r>
              <w:rPr>
                <w:spacing w:val="-5"/>
                <w:sz w:val="24"/>
              </w:rPr>
              <w:t>319</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(15)</w:t>
            </w:r>
            <w:r>
              <w:rPr>
                <w:spacing w:val="46"/>
                <w:sz w:val="24"/>
              </w:rPr>
              <w:t> </w:t>
            </w:r>
            <w:r>
              <w:rPr>
                <w:spacing w:val="-2"/>
                <w:sz w:val="24"/>
              </w:rPr>
              <w:t>Stairway</w:t>
            </w:r>
          </w:p>
        </w:tc>
        <w:tc>
          <w:tcPr>
            <w:tcW w:w="1001" w:type="dxa"/>
          </w:tcPr>
          <w:p>
            <w:pPr>
              <w:pStyle w:val="TableParagraph"/>
              <w:spacing w:before="47"/>
              <w:ind w:left="6"/>
              <w:jc w:val="center"/>
              <w:rPr>
                <w:sz w:val="24"/>
              </w:rPr>
            </w:pPr>
            <w:r>
              <w:rPr>
                <w:spacing w:val="-5"/>
                <w:sz w:val="24"/>
              </w:rPr>
              <w:t>320</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(16)</w:t>
            </w:r>
            <w:r>
              <w:rPr>
                <w:spacing w:val="45"/>
                <w:sz w:val="24"/>
              </w:rPr>
              <w:t> </w:t>
            </w:r>
            <w:r>
              <w:rPr>
                <w:spacing w:val="-2"/>
                <w:sz w:val="24"/>
              </w:rPr>
              <w:t>Ramps</w:t>
            </w:r>
          </w:p>
        </w:tc>
        <w:tc>
          <w:tcPr>
            <w:tcW w:w="1001" w:type="dxa"/>
          </w:tcPr>
          <w:p>
            <w:pPr>
              <w:pStyle w:val="TableParagraph"/>
              <w:spacing w:before="47"/>
              <w:ind w:left="6"/>
              <w:jc w:val="center"/>
              <w:rPr>
                <w:sz w:val="24"/>
              </w:rPr>
            </w:pPr>
            <w:r>
              <w:rPr>
                <w:spacing w:val="-5"/>
                <w:sz w:val="24"/>
              </w:rPr>
              <w:t>321</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(17)</w:t>
            </w:r>
            <w:r>
              <w:rPr>
                <w:spacing w:val="46"/>
                <w:sz w:val="24"/>
              </w:rPr>
              <w:t> </w:t>
            </w:r>
            <w:r>
              <w:rPr>
                <w:spacing w:val="7"/>
                <w:sz w:val="24"/>
              </w:rPr>
              <w:t>Lifts</w:t>
            </w:r>
          </w:p>
        </w:tc>
        <w:tc>
          <w:tcPr>
            <w:tcW w:w="1001" w:type="dxa"/>
          </w:tcPr>
          <w:p>
            <w:pPr>
              <w:pStyle w:val="TableParagraph"/>
              <w:spacing w:before="47"/>
              <w:ind w:left="6"/>
              <w:jc w:val="center"/>
              <w:rPr>
                <w:sz w:val="24"/>
              </w:rPr>
            </w:pPr>
            <w:r>
              <w:rPr>
                <w:spacing w:val="-5"/>
                <w:sz w:val="24"/>
              </w:rPr>
              <w:t>322</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(18)</w:t>
            </w:r>
            <w:r>
              <w:rPr>
                <w:spacing w:val="46"/>
                <w:sz w:val="24"/>
              </w:rPr>
              <w:t> </w:t>
            </w:r>
            <w:r>
              <w:rPr>
                <w:spacing w:val="7"/>
                <w:sz w:val="24"/>
              </w:rPr>
              <w:t>Porch</w:t>
            </w:r>
          </w:p>
        </w:tc>
        <w:tc>
          <w:tcPr>
            <w:tcW w:w="1001" w:type="dxa"/>
          </w:tcPr>
          <w:p>
            <w:pPr>
              <w:pStyle w:val="TableParagraph"/>
              <w:spacing w:before="47"/>
              <w:ind w:left="6"/>
              <w:jc w:val="center"/>
              <w:rPr>
                <w:sz w:val="24"/>
              </w:rPr>
            </w:pPr>
            <w:r>
              <w:rPr>
                <w:spacing w:val="-5"/>
                <w:sz w:val="24"/>
              </w:rPr>
              <w:t>322</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(19)</w:t>
            </w:r>
            <w:r>
              <w:rPr>
                <w:spacing w:val="46"/>
                <w:sz w:val="24"/>
              </w:rPr>
              <w:t> </w:t>
            </w:r>
            <w:r>
              <w:rPr>
                <w:spacing w:val="7"/>
                <w:sz w:val="24"/>
              </w:rPr>
              <w:t>Canopy</w:t>
            </w:r>
          </w:p>
        </w:tc>
        <w:tc>
          <w:tcPr>
            <w:tcW w:w="1001" w:type="dxa"/>
          </w:tcPr>
          <w:p>
            <w:pPr>
              <w:pStyle w:val="TableParagraph"/>
              <w:spacing w:before="47"/>
              <w:ind w:left="6"/>
              <w:jc w:val="center"/>
              <w:rPr>
                <w:sz w:val="24"/>
              </w:rPr>
            </w:pPr>
            <w:r>
              <w:rPr>
                <w:spacing w:val="-5"/>
                <w:sz w:val="24"/>
              </w:rPr>
              <w:t>323</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(20)</w:t>
            </w:r>
            <w:r>
              <w:rPr>
                <w:spacing w:val="46"/>
                <w:sz w:val="24"/>
              </w:rPr>
              <w:t> </w:t>
            </w:r>
            <w:r>
              <w:rPr>
                <w:spacing w:val="7"/>
                <w:sz w:val="24"/>
              </w:rPr>
              <w:t>Balcony</w:t>
            </w:r>
          </w:p>
        </w:tc>
        <w:tc>
          <w:tcPr>
            <w:tcW w:w="1001" w:type="dxa"/>
          </w:tcPr>
          <w:p>
            <w:pPr>
              <w:pStyle w:val="TableParagraph"/>
              <w:spacing w:before="47"/>
              <w:ind w:left="6"/>
              <w:jc w:val="center"/>
              <w:rPr>
                <w:sz w:val="24"/>
              </w:rPr>
            </w:pPr>
            <w:r>
              <w:rPr>
                <w:spacing w:val="-5"/>
                <w:sz w:val="24"/>
              </w:rPr>
              <w:t>323</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(21)</w:t>
            </w:r>
            <w:r>
              <w:rPr>
                <w:spacing w:val="43"/>
                <w:sz w:val="24"/>
              </w:rPr>
              <w:t> </w:t>
            </w:r>
            <w:r>
              <w:rPr>
                <w:spacing w:val="-4"/>
                <w:sz w:val="24"/>
              </w:rPr>
              <w:t>Roof</w:t>
            </w:r>
          </w:p>
        </w:tc>
        <w:tc>
          <w:tcPr>
            <w:tcW w:w="1001" w:type="dxa"/>
          </w:tcPr>
          <w:p>
            <w:pPr>
              <w:pStyle w:val="TableParagraph"/>
              <w:spacing w:before="47"/>
              <w:ind w:left="6"/>
              <w:jc w:val="center"/>
              <w:rPr>
                <w:sz w:val="24"/>
              </w:rPr>
            </w:pPr>
            <w:r>
              <w:rPr>
                <w:spacing w:val="-5"/>
                <w:sz w:val="24"/>
              </w:rPr>
              <w:t>323</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374"/>
              <w:rPr>
                <w:sz w:val="24"/>
              </w:rPr>
            </w:pPr>
            <w:r>
              <w:rPr>
                <w:sz w:val="24"/>
              </w:rPr>
              <w:t>(22)</w:t>
            </w:r>
            <w:r>
              <w:rPr>
                <w:spacing w:val="55"/>
                <w:sz w:val="24"/>
              </w:rPr>
              <w:t> </w:t>
            </w:r>
            <w:r>
              <w:rPr>
                <w:sz w:val="24"/>
              </w:rPr>
              <w:t>Common</w:t>
            </w:r>
            <w:r>
              <w:rPr>
                <w:spacing w:val="59"/>
                <w:sz w:val="24"/>
              </w:rPr>
              <w:t> </w:t>
            </w:r>
            <w:r>
              <w:rPr>
                <w:spacing w:val="7"/>
                <w:sz w:val="24"/>
              </w:rPr>
              <w:t>Terraces</w:t>
            </w:r>
          </w:p>
        </w:tc>
        <w:tc>
          <w:tcPr>
            <w:tcW w:w="1001" w:type="dxa"/>
          </w:tcPr>
          <w:p>
            <w:pPr>
              <w:pStyle w:val="TableParagraph"/>
              <w:spacing w:before="49"/>
              <w:ind w:left="6"/>
              <w:jc w:val="center"/>
              <w:rPr>
                <w:sz w:val="24"/>
              </w:rPr>
            </w:pPr>
            <w:r>
              <w:rPr>
                <w:spacing w:val="-5"/>
                <w:sz w:val="24"/>
              </w:rPr>
              <w:t>323</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287"/>
              <w:rPr>
                <w:sz w:val="24"/>
              </w:rPr>
            </w:pPr>
            <w:r>
              <w:rPr>
                <w:sz w:val="24"/>
              </w:rPr>
              <w:t>(23)</w:t>
            </w:r>
            <w:r>
              <w:rPr>
                <w:spacing w:val="46"/>
                <w:sz w:val="24"/>
              </w:rPr>
              <w:t> </w:t>
            </w:r>
            <w:r>
              <w:rPr>
                <w:spacing w:val="7"/>
                <w:sz w:val="24"/>
              </w:rPr>
              <w:t>Parapet</w:t>
            </w:r>
          </w:p>
        </w:tc>
        <w:tc>
          <w:tcPr>
            <w:tcW w:w="1001" w:type="dxa"/>
          </w:tcPr>
          <w:p>
            <w:pPr>
              <w:pStyle w:val="TableParagraph"/>
              <w:spacing w:before="47"/>
              <w:ind w:left="6"/>
              <w:jc w:val="center"/>
              <w:rPr>
                <w:sz w:val="24"/>
              </w:rPr>
            </w:pPr>
            <w:r>
              <w:rPr>
                <w:spacing w:val="-5"/>
                <w:sz w:val="24"/>
              </w:rPr>
              <w:t>324</w:t>
            </w:r>
          </w:p>
        </w:tc>
      </w:tr>
      <w:tr>
        <w:trPr>
          <w:trHeight w:val="377"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(24)</w:t>
            </w:r>
            <w:r>
              <w:rPr>
                <w:spacing w:val="52"/>
                <w:sz w:val="24"/>
              </w:rPr>
              <w:t> </w:t>
            </w:r>
            <w:r>
              <w:rPr>
                <w:sz w:val="24"/>
              </w:rPr>
              <w:t>Boundary</w:t>
            </w:r>
            <w:r>
              <w:rPr>
                <w:spacing w:val="55"/>
                <w:sz w:val="24"/>
              </w:rPr>
              <w:t> </w:t>
            </w:r>
            <w:r>
              <w:rPr>
                <w:sz w:val="24"/>
              </w:rPr>
              <w:t>wall</w:t>
            </w:r>
            <w:r>
              <w:rPr>
                <w:spacing w:val="53"/>
                <w:sz w:val="24"/>
              </w:rPr>
              <w:t> </w:t>
            </w:r>
            <w:r>
              <w:rPr>
                <w:sz w:val="24"/>
              </w:rPr>
              <w:t>and</w:t>
            </w:r>
            <w:r>
              <w:rPr>
                <w:spacing w:val="52"/>
                <w:sz w:val="24"/>
              </w:rPr>
              <w:t> </w:t>
            </w:r>
            <w:r>
              <w:rPr>
                <w:sz w:val="24"/>
              </w:rPr>
              <w:t>main</w:t>
            </w:r>
            <w:r>
              <w:rPr>
                <w:spacing w:val="53"/>
                <w:sz w:val="24"/>
              </w:rPr>
              <w:t> </w:t>
            </w:r>
            <w:r>
              <w:rPr>
                <w:spacing w:val="-2"/>
                <w:sz w:val="24"/>
              </w:rPr>
              <w:t>entrance</w:t>
            </w:r>
          </w:p>
        </w:tc>
        <w:tc>
          <w:tcPr>
            <w:tcW w:w="1001" w:type="dxa"/>
          </w:tcPr>
          <w:p>
            <w:pPr>
              <w:pStyle w:val="TableParagraph"/>
              <w:spacing w:before="47"/>
              <w:ind w:left="6"/>
              <w:jc w:val="center"/>
              <w:rPr>
                <w:sz w:val="24"/>
              </w:rPr>
            </w:pPr>
            <w:r>
              <w:rPr>
                <w:spacing w:val="-5"/>
                <w:sz w:val="24"/>
              </w:rPr>
              <w:t>324</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(25)</w:t>
            </w:r>
            <w:r>
              <w:rPr>
                <w:spacing w:val="68"/>
                <w:sz w:val="24"/>
              </w:rPr>
              <w:t> </w:t>
            </w:r>
            <w:r>
              <w:rPr>
                <w:sz w:val="24"/>
              </w:rPr>
              <w:t>Bore</w:t>
            </w:r>
            <w:r>
              <w:rPr>
                <w:spacing w:val="71"/>
                <w:sz w:val="24"/>
              </w:rPr>
              <w:t> </w:t>
            </w:r>
            <w:r>
              <w:rPr>
                <w:sz w:val="24"/>
              </w:rPr>
              <w:t>well/Tube</w:t>
            </w:r>
            <w:r>
              <w:rPr>
                <w:spacing w:val="70"/>
                <w:sz w:val="24"/>
              </w:rPr>
              <w:t> </w:t>
            </w:r>
            <w:r>
              <w:rPr>
                <w:sz w:val="24"/>
              </w:rPr>
              <w:t>well/Open</w:t>
            </w:r>
            <w:r>
              <w:rPr>
                <w:spacing w:val="71"/>
                <w:sz w:val="24"/>
              </w:rPr>
              <w:t> </w:t>
            </w:r>
            <w:r>
              <w:rPr>
                <w:spacing w:val="5"/>
                <w:sz w:val="24"/>
              </w:rPr>
              <w:t>well</w:t>
            </w:r>
          </w:p>
        </w:tc>
        <w:tc>
          <w:tcPr>
            <w:tcW w:w="1001" w:type="dxa"/>
          </w:tcPr>
          <w:p>
            <w:pPr>
              <w:pStyle w:val="TableParagraph"/>
              <w:spacing w:before="47"/>
              <w:ind w:left="6"/>
              <w:jc w:val="center"/>
              <w:rPr>
                <w:sz w:val="24"/>
              </w:rPr>
            </w:pPr>
            <w:r>
              <w:rPr>
                <w:spacing w:val="-5"/>
                <w:sz w:val="24"/>
              </w:rPr>
              <w:t>325</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(26)</w:t>
            </w:r>
            <w:r>
              <w:rPr>
                <w:spacing w:val="62"/>
                <w:sz w:val="24"/>
              </w:rPr>
              <w:t> </w:t>
            </w:r>
            <w:r>
              <w:rPr>
                <w:sz w:val="24"/>
              </w:rPr>
              <w:t>Overhead</w:t>
            </w:r>
            <w:r>
              <w:rPr>
                <w:spacing w:val="70"/>
                <w:sz w:val="24"/>
              </w:rPr>
              <w:t> </w:t>
            </w:r>
            <w:r>
              <w:rPr>
                <w:spacing w:val="-4"/>
                <w:sz w:val="24"/>
              </w:rPr>
              <w:t>Tank</w:t>
            </w:r>
          </w:p>
        </w:tc>
        <w:tc>
          <w:tcPr>
            <w:tcW w:w="1001" w:type="dxa"/>
          </w:tcPr>
          <w:p>
            <w:pPr>
              <w:pStyle w:val="TableParagraph"/>
              <w:spacing w:before="47"/>
              <w:ind w:left="6"/>
              <w:jc w:val="center"/>
              <w:rPr>
                <w:sz w:val="24"/>
              </w:rPr>
            </w:pPr>
            <w:r>
              <w:rPr>
                <w:spacing w:val="-5"/>
                <w:sz w:val="24"/>
              </w:rPr>
              <w:t>325</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(27)</w:t>
            </w:r>
            <w:r>
              <w:rPr>
                <w:spacing w:val="52"/>
                <w:sz w:val="24"/>
              </w:rPr>
              <w:t> </w:t>
            </w:r>
            <w:r>
              <w:rPr>
                <w:sz w:val="24"/>
              </w:rPr>
              <w:t>Septic</w:t>
            </w:r>
            <w:r>
              <w:rPr>
                <w:spacing w:val="59"/>
                <w:sz w:val="24"/>
              </w:rPr>
              <w:t> </w:t>
            </w:r>
            <w:r>
              <w:rPr>
                <w:spacing w:val="-4"/>
                <w:sz w:val="24"/>
              </w:rPr>
              <w:t>Tanks</w:t>
            </w:r>
          </w:p>
        </w:tc>
        <w:tc>
          <w:tcPr>
            <w:tcW w:w="1001" w:type="dxa"/>
          </w:tcPr>
          <w:p>
            <w:pPr>
              <w:pStyle w:val="TableParagraph"/>
              <w:spacing w:before="47"/>
              <w:ind w:left="6"/>
              <w:jc w:val="center"/>
              <w:rPr>
                <w:sz w:val="24"/>
              </w:rPr>
            </w:pPr>
            <w:r>
              <w:rPr>
                <w:spacing w:val="-5"/>
                <w:sz w:val="24"/>
              </w:rPr>
              <w:t>325</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(28)</w:t>
            </w:r>
            <w:r>
              <w:rPr>
                <w:spacing w:val="56"/>
                <w:sz w:val="24"/>
              </w:rPr>
              <w:t> </w:t>
            </w:r>
            <w:r>
              <w:rPr>
                <w:sz w:val="24"/>
              </w:rPr>
              <w:t>Yogalaya</w:t>
            </w:r>
            <w:r>
              <w:rPr>
                <w:spacing w:val="62"/>
                <w:sz w:val="24"/>
              </w:rPr>
              <w:t> </w:t>
            </w:r>
            <w:r>
              <w:rPr>
                <w:sz w:val="24"/>
              </w:rPr>
              <w:t>or</w:t>
            </w:r>
            <w:r>
              <w:rPr>
                <w:spacing w:val="57"/>
                <w:sz w:val="24"/>
              </w:rPr>
              <w:t> </w:t>
            </w:r>
            <w:r>
              <w:rPr>
                <w:sz w:val="24"/>
              </w:rPr>
              <w:t>Fitness</w:t>
            </w:r>
            <w:r>
              <w:rPr>
                <w:spacing w:val="57"/>
                <w:sz w:val="24"/>
              </w:rPr>
              <w:t> </w:t>
            </w:r>
            <w:r>
              <w:rPr>
                <w:spacing w:val="-2"/>
                <w:sz w:val="24"/>
              </w:rPr>
              <w:t>Centre</w:t>
            </w:r>
          </w:p>
        </w:tc>
        <w:tc>
          <w:tcPr>
            <w:tcW w:w="1001" w:type="dxa"/>
          </w:tcPr>
          <w:p>
            <w:pPr>
              <w:pStyle w:val="TableParagraph"/>
              <w:spacing w:before="47"/>
              <w:ind w:left="6"/>
              <w:jc w:val="center"/>
              <w:rPr>
                <w:sz w:val="24"/>
              </w:rPr>
            </w:pPr>
            <w:r>
              <w:rPr>
                <w:spacing w:val="-5"/>
                <w:sz w:val="24"/>
              </w:rPr>
              <w:t>325</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943" w:hRule="atLeast"/>
        </w:trPr>
        <w:tc>
          <w:tcPr>
            <w:tcW w:w="1572" w:type="dxa"/>
          </w:tcPr>
          <w:p>
            <w:pPr>
              <w:pStyle w:val="TableParagraph"/>
              <w:rPr>
                <w:rFonts w:ascii="Times New Roman"/>
                <w:sz w:val="22"/>
              </w:rPr>
            </w:pPr>
          </w:p>
        </w:tc>
        <w:tc>
          <w:tcPr>
            <w:tcW w:w="6196" w:type="dxa"/>
          </w:tcPr>
          <w:p>
            <w:pPr>
              <w:pStyle w:val="TableParagraph"/>
              <w:spacing w:before="50"/>
              <w:ind w:left="744" w:hanging="371"/>
              <w:rPr>
                <w:sz w:val="24"/>
              </w:rPr>
            </w:pPr>
            <w:r>
              <w:rPr>
                <w:sz w:val="24"/>
              </w:rPr>
              <w:t>(29)</w:t>
            </w:r>
            <w:r>
              <w:rPr>
                <w:spacing w:val="40"/>
                <w:sz w:val="24"/>
              </w:rPr>
              <w:t> </w:t>
            </w:r>
            <w:r>
              <w:rPr>
                <w:sz w:val="24"/>
              </w:rPr>
              <w:t>Special</w:t>
            </w:r>
            <w:r>
              <w:rPr>
                <w:spacing w:val="40"/>
                <w:sz w:val="24"/>
              </w:rPr>
              <w:t> </w:t>
            </w:r>
            <w:r>
              <w:rPr>
                <w:sz w:val="24"/>
              </w:rPr>
              <w:t>Provisions</w:t>
            </w:r>
            <w:r>
              <w:rPr>
                <w:spacing w:val="40"/>
                <w:sz w:val="24"/>
              </w:rPr>
              <w:t> </w:t>
            </w:r>
            <w:r>
              <w:rPr>
                <w:sz w:val="24"/>
              </w:rPr>
              <w:t>for</w:t>
            </w:r>
            <w:r>
              <w:rPr>
                <w:spacing w:val="40"/>
                <w:sz w:val="24"/>
              </w:rPr>
              <w:t> </w:t>
            </w:r>
            <w:r>
              <w:rPr>
                <w:sz w:val="24"/>
              </w:rPr>
              <w:t>Institutional, Assembly,</w:t>
            </w:r>
            <w:r>
              <w:rPr>
                <w:spacing w:val="40"/>
                <w:sz w:val="24"/>
              </w:rPr>
              <w:t> </w:t>
            </w:r>
            <w:r>
              <w:rPr>
                <w:sz w:val="24"/>
              </w:rPr>
              <w:t>Business</w:t>
            </w:r>
            <w:r>
              <w:rPr>
                <w:spacing w:val="40"/>
                <w:sz w:val="24"/>
              </w:rPr>
              <w:t> </w:t>
            </w:r>
            <w:r>
              <w:rPr>
                <w:sz w:val="24"/>
              </w:rPr>
              <w:t>or</w:t>
            </w:r>
            <w:r>
              <w:rPr>
                <w:spacing w:val="40"/>
                <w:sz w:val="24"/>
              </w:rPr>
              <w:t> </w:t>
            </w:r>
            <w:r>
              <w:rPr>
                <w:sz w:val="24"/>
              </w:rPr>
              <w:t>Mercantile</w:t>
            </w:r>
            <w:r>
              <w:rPr>
                <w:spacing w:val="40"/>
                <w:sz w:val="24"/>
              </w:rPr>
              <w:t> </w:t>
            </w:r>
            <w:r>
              <w:rPr>
                <w:sz w:val="24"/>
              </w:rPr>
              <w:t>and Industrial Buildings</w:t>
            </w:r>
          </w:p>
        </w:tc>
        <w:tc>
          <w:tcPr>
            <w:tcW w:w="1001" w:type="dxa"/>
          </w:tcPr>
          <w:p>
            <w:pPr>
              <w:pStyle w:val="TableParagraph"/>
              <w:spacing w:before="50"/>
              <w:ind w:left="6"/>
              <w:jc w:val="center"/>
              <w:rPr>
                <w:sz w:val="24"/>
              </w:rPr>
            </w:pPr>
            <w:r>
              <w:rPr>
                <w:spacing w:val="-5"/>
                <w:sz w:val="24"/>
              </w:rPr>
              <w:t>326</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(30)</w:t>
            </w:r>
            <w:r>
              <w:rPr>
                <w:spacing w:val="58"/>
                <w:sz w:val="24"/>
              </w:rPr>
              <w:t> </w:t>
            </w:r>
            <w:r>
              <w:rPr>
                <w:sz w:val="24"/>
              </w:rPr>
              <w:t>Parking</w:t>
            </w:r>
            <w:r>
              <w:rPr>
                <w:spacing w:val="63"/>
                <w:sz w:val="24"/>
              </w:rPr>
              <w:t> </w:t>
            </w:r>
            <w:r>
              <w:rPr>
                <w:spacing w:val="-2"/>
                <w:sz w:val="24"/>
              </w:rPr>
              <w:t>Floor</w:t>
            </w:r>
          </w:p>
        </w:tc>
        <w:tc>
          <w:tcPr>
            <w:tcW w:w="1001" w:type="dxa"/>
          </w:tcPr>
          <w:p>
            <w:pPr>
              <w:pStyle w:val="TableParagraph"/>
              <w:spacing w:before="47"/>
              <w:ind w:left="6"/>
              <w:jc w:val="center"/>
              <w:rPr>
                <w:sz w:val="24"/>
              </w:rPr>
            </w:pPr>
            <w:r>
              <w:rPr>
                <w:spacing w:val="-5"/>
                <w:sz w:val="24"/>
              </w:rPr>
              <w:t>326</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374"/>
              <w:rPr>
                <w:sz w:val="24"/>
              </w:rPr>
            </w:pPr>
            <w:r>
              <w:rPr>
                <w:sz w:val="24"/>
              </w:rPr>
              <w:t>(31)</w:t>
            </w:r>
            <w:r>
              <w:rPr>
                <w:spacing w:val="45"/>
                <w:sz w:val="24"/>
              </w:rPr>
              <w:t> </w:t>
            </w:r>
            <w:r>
              <w:rPr>
                <w:spacing w:val="-2"/>
                <w:sz w:val="24"/>
              </w:rPr>
              <w:t>Podium</w:t>
            </w:r>
          </w:p>
        </w:tc>
        <w:tc>
          <w:tcPr>
            <w:tcW w:w="1001" w:type="dxa"/>
          </w:tcPr>
          <w:p>
            <w:pPr>
              <w:pStyle w:val="TableParagraph"/>
              <w:spacing w:before="49"/>
              <w:ind w:left="6"/>
              <w:jc w:val="center"/>
              <w:rPr>
                <w:sz w:val="24"/>
              </w:rPr>
            </w:pPr>
            <w:r>
              <w:rPr>
                <w:spacing w:val="-5"/>
                <w:sz w:val="24"/>
              </w:rPr>
              <w:t>326</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(32)</w:t>
            </w:r>
            <w:r>
              <w:rPr>
                <w:spacing w:val="58"/>
                <w:sz w:val="24"/>
              </w:rPr>
              <w:t> </w:t>
            </w:r>
            <w:r>
              <w:rPr>
                <w:sz w:val="24"/>
              </w:rPr>
              <w:t>Service</w:t>
            </w:r>
            <w:r>
              <w:rPr>
                <w:spacing w:val="63"/>
                <w:sz w:val="24"/>
              </w:rPr>
              <w:t> </w:t>
            </w:r>
            <w:r>
              <w:rPr>
                <w:spacing w:val="-2"/>
                <w:sz w:val="24"/>
              </w:rPr>
              <w:t>Floor</w:t>
            </w:r>
          </w:p>
        </w:tc>
        <w:tc>
          <w:tcPr>
            <w:tcW w:w="1001" w:type="dxa"/>
          </w:tcPr>
          <w:p>
            <w:pPr>
              <w:pStyle w:val="TableParagraph"/>
              <w:spacing w:before="47"/>
              <w:ind w:left="6"/>
              <w:jc w:val="center"/>
              <w:rPr>
                <w:sz w:val="24"/>
              </w:rPr>
            </w:pPr>
            <w:r>
              <w:rPr>
                <w:spacing w:val="-5"/>
                <w:sz w:val="24"/>
              </w:rPr>
              <w:t>327</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374"/>
              <w:rPr>
                <w:sz w:val="24"/>
              </w:rPr>
            </w:pPr>
            <w:r>
              <w:rPr>
                <w:sz w:val="24"/>
              </w:rPr>
              <w:t>(33)</w:t>
            </w:r>
            <w:r>
              <w:rPr>
                <w:spacing w:val="46"/>
                <w:sz w:val="24"/>
              </w:rPr>
              <w:t> </w:t>
            </w:r>
            <w:r>
              <w:rPr>
                <w:spacing w:val="7"/>
                <w:sz w:val="24"/>
              </w:rPr>
              <w:t>Helipad</w:t>
            </w:r>
          </w:p>
        </w:tc>
        <w:tc>
          <w:tcPr>
            <w:tcW w:w="1001" w:type="dxa"/>
          </w:tcPr>
          <w:p>
            <w:pPr>
              <w:pStyle w:val="TableParagraph"/>
              <w:spacing w:before="49"/>
              <w:ind w:left="6"/>
              <w:jc w:val="center"/>
              <w:rPr>
                <w:sz w:val="24"/>
              </w:rPr>
            </w:pPr>
            <w:r>
              <w:rPr>
                <w:spacing w:val="-5"/>
                <w:sz w:val="24"/>
              </w:rPr>
              <w:t>327</w:t>
            </w:r>
          </w:p>
        </w:tc>
      </w:tr>
      <w:tr>
        <w:trPr>
          <w:trHeight w:val="378" w:hRule="atLeast"/>
        </w:trPr>
        <w:tc>
          <w:tcPr>
            <w:tcW w:w="1572" w:type="dxa"/>
          </w:tcPr>
          <w:p>
            <w:pPr>
              <w:pStyle w:val="TableParagraph"/>
              <w:spacing w:before="47"/>
              <w:ind w:left="9" w:right="2"/>
              <w:jc w:val="center"/>
              <w:rPr>
                <w:sz w:val="24"/>
              </w:rPr>
            </w:pPr>
            <w:r>
              <w:rPr>
                <w:spacing w:val="-5"/>
                <w:sz w:val="24"/>
              </w:rPr>
              <w:t>38</w:t>
            </w:r>
          </w:p>
        </w:tc>
        <w:tc>
          <w:tcPr>
            <w:tcW w:w="6196" w:type="dxa"/>
          </w:tcPr>
          <w:p>
            <w:pPr>
              <w:pStyle w:val="TableParagraph"/>
              <w:spacing w:before="47"/>
              <w:ind w:left="287"/>
              <w:rPr>
                <w:b/>
                <w:sz w:val="24"/>
              </w:rPr>
            </w:pPr>
            <w:r>
              <w:rPr>
                <w:b/>
                <w:sz w:val="24"/>
              </w:rPr>
              <w:t>Special</w:t>
            </w:r>
            <w:r>
              <w:rPr>
                <w:b/>
                <w:spacing w:val="-2"/>
                <w:sz w:val="24"/>
              </w:rPr>
              <w:t> </w:t>
            </w:r>
            <w:r>
              <w:rPr>
                <w:b/>
                <w:sz w:val="24"/>
              </w:rPr>
              <w:t>Design</w:t>
            </w:r>
            <w:r>
              <w:rPr>
                <w:b/>
                <w:spacing w:val="-2"/>
                <w:sz w:val="24"/>
              </w:rPr>
              <w:t> </w:t>
            </w:r>
            <w:r>
              <w:rPr>
                <w:b/>
                <w:sz w:val="24"/>
              </w:rPr>
              <w:t>Requirement</w:t>
            </w:r>
            <w:r>
              <w:rPr>
                <w:b/>
                <w:spacing w:val="-1"/>
                <w:sz w:val="24"/>
              </w:rPr>
              <w:t> </w:t>
            </w:r>
            <w:r>
              <w:rPr>
                <w:b/>
                <w:spacing w:val="-5"/>
                <w:sz w:val="24"/>
              </w:rPr>
              <w:t>For</w:t>
            </w:r>
          </w:p>
        </w:tc>
        <w:tc>
          <w:tcPr>
            <w:tcW w:w="1001" w:type="dxa"/>
          </w:tcPr>
          <w:p>
            <w:pPr>
              <w:pStyle w:val="TableParagraph"/>
              <w:rPr>
                <w:rFonts w:ascii="Times New Roman"/>
                <w:sz w:val="22"/>
              </w:rPr>
            </w:pP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287"/>
              <w:rPr>
                <w:sz w:val="24"/>
              </w:rPr>
            </w:pPr>
            <w:r>
              <w:rPr>
                <w:sz w:val="24"/>
              </w:rPr>
              <w:t>(I)</w:t>
            </w:r>
            <w:r>
              <w:rPr>
                <w:spacing w:val="75"/>
                <w:sz w:val="24"/>
              </w:rPr>
              <w:t> </w:t>
            </w:r>
            <w:r>
              <w:rPr>
                <w:sz w:val="24"/>
              </w:rPr>
              <w:t>Educational</w:t>
            </w:r>
            <w:r>
              <w:rPr>
                <w:spacing w:val="75"/>
                <w:sz w:val="24"/>
              </w:rPr>
              <w:t> </w:t>
            </w:r>
            <w:r>
              <w:rPr>
                <w:spacing w:val="7"/>
                <w:sz w:val="24"/>
              </w:rPr>
              <w:t>Building</w:t>
            </w:r>
          </w:p>
        </w:tc>
        <w:tc>
          <w:tcPr>
            <w:tcW w:w="1001" w:type="dxa"/>
          </w:tcPr>
          <w:p>
            <w:pPr>
              <w:pStyle w:val="TableParagraph"/>
              <w:spacing w:before="47"/>
              <w:ind w:left="6"/>
              <w:jc w:val="center"/>
              <w:rPr>
                <w:sz w:val="24"/>
              </w:rPr>
            </w:pPr>
            <w:r>
              <w:rPr>
                <w:spacing w:val="-5"/>
                <w:sz w:val="24"/>
              </w:rPr>
              <w:t>327</w:t>
            </w:r>
          </w:p>
        </w:tc>
      </w:tr>
      <w:tr>
        <w:trPr>
          <w:trHeight w:val="379" w:hRule="atLeast"/>
        </w:trPr>
        <w:tc>
          <w:tcPr>
            <w:tcW w:w="1572" w:type="dxa"/>
          </w:tcPr>
          <w:p>
            <w:pPr>
              <w:pStyle w:val="TableParagraph"/>
              <w:rPr>
                <w:rFonts w:ascii="Times New Roman"/>
                <w:sz w:val="22"/>
              </w:rPr>
            </w:pPr>
          </w:p>
        </w:tc>
        <w:tc>
          <w:tcPr>
            <w:tcW w:w="6196" w:type="dxa"/>
          </w:tcPr>
          <w:p>
            <w:pPr>
              <w:pStyle w:val="TableParagraph"/>
              <w:spacing w:before="47"/>
              <w:ind w:left="287"/>
              <w:rPr>
                <w:sz w:val="24"/>
              </w:rPr>
            </w:pPr>
            <w:r>
              <w:rPr>
                <w:sz w:val="24"/>
              </w:rPr>
              <w:t>(II)</w:t>
            </w:r>
            <w:r>
              <w:rPr>
                <w:spacing w:val="62"/>
                <w:sz w:val="24"/>
              </w:rPr>
              <w:t> </w:t>
            </w:r>
            <w:r>
              <w:rPr>
                <w:sz w:val="24"/>
              </w:rPr>
              <w:t>Building</w:t>
            </w:r>
            <w:r>
              <w:rPr>
                <w:spacing w:val="61"/>
                <w:sz w:val="24"/>
              </w:rPr>
              <w:t> </w:t>
            </w:r>
            <w:r>
              <w:rPr>
                <w:sz w:val="24"/>
              </w:rPr>
              <w:t>for</w:t>
            </w:r>
            <w:r>
              <w:rPr>
                <w:spacing w:val="61"/>
                <w:sz w:val="24"/>
              </w:rPr>
              <w:t> </w:t>
            </w:r>
            <w:r>
              <w:rPr>
                <w:sz w:val="24"/>
              </w:rPr>
              <w:t>Medical</w:t>
            </w:r>
            <w:r>
              <w:rPr>
                <w:spacing w:val="61"/>
                <w:sz w:val="24"/>
              </w:rPr>
              <w:t> </w:t>
            </w:r>
            <w:r>
              <w:rPr>
                <w:spacing w:val="-5"/>
                <w:sz w:val="24"/>
              </w:rPr>
              <w:t>use</w:t>
            </w:r>
          </w:p>
        </w:tc>
        <w:tc>
          <w:tcPr>
            <w:tcW w:w="1001" w:type="dxa"/>
          </w:tcPr>
          <w:p>
            <w:pPr>
              <w:pStyle w:val="TableParagraph"/>
              <w:spacing w:before="47"/>
              <w:ind w:left="6"/>
              <w:jc w:val="center"/>
              <w:rPr>
                <w:sz w:val="24"/>
              </w:rPr>
            </w:pPr>
            <w:r>
              <w:rPr>
                <w:spacing w:val="-5"/>
                <w:sz w:val="24"/>
              </w:rPr>
              <w:t>328</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287"/>
              <w:rPr>
                <w:sz w:val="24"/>
              </w:rPr>
            </w:pPr>
            <w:r>
              <w:rPr>
                <w:sz w:val="24"/>
              </w:rPr>
              <w:t>(III)</w:t>
            </w:r>
            <w:r>
              <w:rPr>
                <w:spacing w:val="60"/>
                <w:sz w:val="24"/>
              </w:rPr>
              <w:t> </w:t>
            </w:r>
            <w:r>
              <w:rPr>
                <w:sz w:val="24"/>
              </w:rPr>
              <w:t>Public</w:t>
            </w:r>
            <w:r>
              <w:rPr>
                <w:spacing w:val="61"/>
                <w:sz w:val="24"/>
              </w:rPr>
              <w:t> </w:t>
            </w:r>
            <w:r>
              <w:rPr>
                <w:spacing w:val="-2"/>
                <w:sz w:val="24"/>
              </w:rPr>
              <w:t>Building</w:t>
            </w:r>
          </w:p>
        </w:tc>
        <w:tc>
          <w:tcPr>
            <w:tcW w:w="1001" w:type="dxa"/>
          </w:tcPr>
          <w:p>
            <w:pPr>
              <w:pStyle w:val="TableParagraph"/>
              <w:spacing w:before="47"/>
              <w:ind w:left="6"/>
              <w:jc w:val="center"/>
              <w:rPr>
                <w:sz w:val="24"/>
              </w:rPr>
            </w:pPr>
            <w:r>
              <w:rPr>
                <w:spacing w:val="-5"/>
                <w:sz w:val="24"/>
              </w:rPr>
              <w:t>328</w:t>
            </w:r>
          </w:p>
        </w:tc>
      </w:tr>
      <w:tr>
        <w:trPr>
          <w:trHeight w:val="659" w:hRule="atLeast"/>
        </w:trPr>
        <w:tc>
          <w:tcPr>
            <w:tcW w:w="1572" w:type="dxa"/>
          </w:tcPr>
          <w:p>
            <w:pPr>
              <w:pStyle w:val="TableParagraph"/>
              <w:spacing w:before="188"/>
              <w:ind w:left="9" w:right="2"/>
              <w:jc w:val="center"/>
              <w:rPr>
                <w:sz w:val="24"/>
              </w:rPr>
            </w:pPr>
            <w:r>
              <w:rPr>
                <w:spacing w:val="-5"/>
                <w:sz w:val="24"/>
              </w:rPr>
              <w:t>39</w:t>
            </w:r>
          </w:p>
        </w:tc>
        <w:tc>
          <w:tcPr>
            <w:tcW w:w="6196" w:type="dxa"/>
          </w:tcPr>
          <w:p>
            <w:pPr>
              <w:pStyle w:val="TableParagraph"/>
              <w:spacing w:before="47"/>
              <w:ind w:left="287" w:right="1568"/>
              <w:rPr>
                <w:b/>
                <w:sz w:val="24"/>
              </w:rPr>
            </w:pPr>
            <w:r>
              <w:rPr>
                <w:b/>
                <w:sz w:val="24"/>
              </w:rPr>
              <w:t>Special</w:t>
            </w:r>
            <w:r>
              <w:rPr>
                <w:b/>
                <w:spacing w:val="-13"/>
                <w:sz w:val="24"/>
              </w:rPr>
              <w:t> </w:t>
            </w:r>
            <w:r>
              <w:rPr>
                <w:b/>
                <w:sz w:val="24"/>
              </w:rPr>
              <w:t>Regulations</w:t>
            </w:r>
            <w:r>
              <w:rPr>
                <w:b/>
                <w:spacing w:val="-13"/>
                <w:sz w:val="24"/>
              </w:rPr>
              <w:t> </w:t>
            </w:r>
            <w:r>
              <w:rPr>
                <w:b/>
                <w:sz w:val="24"/>
              </w:rPr>
              <w:t>for</w:t>
            </w:r>
            <w:r>
              <w:rPr>
                <w:b/>
                <w:spacing w:val="-13"/>
                <w:sz w:val="24"/>
              </w:rPr>
              <w:t> </w:t>
            </w:r>
            <w:r>
              <w:rPr>
                <w:b/>
                <w:sz w:val="24"/>
              </w:rPr>
              <w:t>Differently abled persons</w:t>
            </w:r>
          </w:p>
        </w:tc>
        <w:tc>
          <w:tcPr>
            <w:tcW w:w="1001" w:type="dxa"/>
          </w:tcPr>
          <w:p>
            <w:pPr>
              <w:pStyle w:val="TableParagraph"/>
              <w:spacing w:before="47"/>
              <w:ind w:left="6"/>
              <w:jc w:val="center"/>
              <w:rPr>
                <w:sz w:val="24"/>
              </w:rPr>
            </w:pPr>
            <w:r>
              <w:rPr>
                <w:spacing w:val="-5"/>
                <w:sz w:val="24"/>
              </w:rPr>
              <w:t>328</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28"/>
                <w:sz w:val="24"/>
              </w:rPr>
              <w:t> </w:t>
            </w:r>
            <w:r>
              <w:rPr>
                <w:spacing w:val="-2"/>
                <w:sz w:val="24"/>
              </w:rPr>
              <w:t>Scope</w:t>
            </w:r>
          </w:p>
        </w:tc>
        <w:tc>
          <w:tcPr>
            <w:tcW w:w="1001" w:type="dxa"/>
          </w:tcPr>
          <w:p>
            <w:pPr>
              <w:pStyle w:val="TableParagraph"/>
              <w:spacing w:line="281" w:lineRule="exact"/>
              <w:ind w:left="6"/>
              <w:jc w:val="center"/>
              <w:rPr>
                <w:sz w:val="24"/>
              </w:rPr>
            </w:pPr>
            <w:r>
              <w:rPr>
                <w:spacing w:val="-5"/>
                <w:sz w:val="24"/>
              </w:rPr>
              <w:t>329</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2.</w:t>
            </w:r>
            <w:r>
              <w:rPr>
                <w:spacing w:val="37"/>
                <w:sz w:val="24"/>
              </w:rPr>
              <w:t> </w:t>
            </w:r>
            <w:r>
              <w:rPr>
                <w:sz w:val="24"/>
              </w:rPr>
              <w:t>Site</w:t>
            </w:r>
            <w:r>
              <w:rPr>
                <w:spacing w:val="36"/>
                <w:sz w:val="24"/>
              </w:rPr>
              <w:t> </w:t>
            </w:r>
            <w:r>
              <w:rPr>
                <w:spacing w:val="-2"/>
                <w:sz w:val="24"/>
              </w:rPr>
              <w:t>Development</w:t>
            </w:r>
          </w:p>
        </w:tc>
        <w:tc>
          <w:tcPr>
            <w:tcW w:w="1001" w:type="dxa"/>
          </w:tcPr>
          <w:p>
            <w:pPr>
              <w:pStyle w:val="TableParagraph"/>
              <w:spacing w:line="281" w:lineRule="exact"/>
              <w:ind w:left="6"/>
              <w:jc w:val="center"/>
              <w:rPr>
                <w:sz w:val="24"/>
              </w:rPr>
            </w:pPr>
            <w:r>
              <w:rPr>
                <w:spacing w:val="-5"/>
                <w:sz w:val="24"/>
              </w:rPr>
              <w:t>329</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54"/>
                <w:sz w:val="24"/>
              </w:rPr>
              <w:t> </w:t>
            </w:r>
            <w:r>
              <w:rPr>
                <w:sz w:val="24"/>
              </w:rPr>
              <w:t>Building</w:t>
            </w:r>
            <w:r>
              <w:rPr>
                <w:spacing w:val="56"/>
                <w:sz w:val="24"/>
              </w:rPr>
              <w:t> </w:t>
            </w:r>
            <w:r>
              <w:rPr>
                <w:spacing w:val="7"/>
                <w:sz w:val="24"/>
              </w:rPr>
              <w:t>Requirements</w:t>
            </w:r>
          </w:p>
        </w:tc>
        <w:tc>
          <w:tcPr>
            <w:tcW w:w="1001" w:type="dxa"/>
          </w:tcPr>
          <w:p>
            <w:pPr>
              <w:pStyle w:val="TableParagraph"/>
              <w:spacing w:before="47"/>
              <w:ind w:left="6"/>
              <w:jc w:val="center"/>
              <w:rPr>
                <w:sz w:val="24"/>
              </w:rPr>
            </w:pPr>
            <w:r>
              <w:rPr>
                <w:spacing w:val="-5"/>
                <w:sz w:val="24"/>
              </w:rPr>
              <w:t>332</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4.</w:t>
            </w:r>
            <w:r>
              <w:rPr>
                <w:spacing w:val="40"/>
                <w:sz w:val="24"/>
              </w:rPr>
              <w:t> </w:t>
            </w:r>
            <w:r>
              <w:rPr>
                <w:sz w:val="24"/>
              </w:rPr>
              <w:t>Design</w:t>
            </w:r>
            <w:r>
              <w:rPr>
                <w:spacing w:val="40"/>
                <w:sz w:val="24"/>
              </w:rPr>
              <w:t> </w:t>
            </w:r>
            <w:r>
              <w:rPr>
                <w:sz w:val="24"/>
              </w:rPr>
              <w:t>guidelines-</w:t>
            </w:r>
            <w:r>
              <w:rPr>
                <w:spacing w:val="40"/>
                <w:sz w:val="24"/>
              </w:rPr>
              <w:t> </w:t>
            </w:r>
            <w:r>
              <w:rPr>
                <w:sz w:val="24"/>
              </w:rPr>
              <w:t>Streetscapes</w:t>
            </w:r>
            <w:r>
              <w:rPr>
                <w:spacing w:val="40"/>
                <w:sz w:val="24"/>
              </w:rPr>
              <w:t> </w:t>
            </w:r>
            <w:r>
              <w:rPr>
                <w:sz w:val="24"/>
              </w:rPr>
              <w:t>for</w:t>
            </w:r>
            <w:r>
              <w:rPr>
                <w:spacing w:val="40"/>
                <w:sz w:val="24"/>
              </w:rPr>
              <w:t> </w:t>
            </w:r>
            <w:r>
              <w:rPr>
                <w:sz w:val="24"/>
              </w:rPr>
              <w:t>Public </w:t>
            </w:r>
            <w:r>
              <w:rPr>
                <w:spacing w:val="-2"/>
                <w:sz w:val="24"/>
              </w:rPr>
              <w:t>Street</w:t>
            </w:r>
          </w:p>
        </w:tc>
        <w:tc>
          <w:tcPr>
            <w:tcW w:w="1001" w:type="dxa"/>
          </w:tcPr>
          <w:p>
            <w:pPr>
              <w:pStyle w:val="TableParagraph"/>
              <w:spacing w:before="47"/>
              <w:ind w:left="6"/>
              <w:jc w:val="center"/>
              <w:rPr>
                <w:sz w:val="24"/>
              </w:rPr>
            </w:pPr>
            <w:r>
              <w:rPr>
                <w:spacing w:val="-5"/>
                <w:sz w:val="24"/>
              </w:rPr>
              <w:t>337</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5.</w:t>
            </w:r>
            <w:r>
              <w:rPr>
                <w:spacing w:val="53"/>
                <w:sz w:val="24"/>
              </w:rPr>
              <w:t> </w:t>
            </w:r>
            <w:r>
              <w:rPr>
                <w:sz w:val="24"/>
              </w:rPr>
              <w:t>Guidelines</w:t>
            </w:r>
            <w:r>
              <w:rPr>
                <w:spacing w:val="58"/>
                <w:sz w:val="24"/>
              </w:rPr>
              <w:t> </w:t>
            </w:r>
            <w:r>
              <w:rPr>
                <w:sz w:val="24"/>
              </w:rPr>
              <w:t>and</w:t>
            </w:r>
            <w:r>
              <w:rPr>
                <w:spacing w:val="58"/>
                <w:sz w:val="24"/>
              </w:rPr>
              <w:t> </w:t>
            </w:r>
            <w:r>
              <w:rPr>
                <w:spacing w:val="7"/>
                <w:sz w:val="24"/>
              </w:rPr>
              <w:t>Provisions</w:t>
            </w:r>
          </w:p>
        </w:tc>
        <w:tc>
          <w:tcPr>
            <w:tcW w:w="1001" w:type="dxa"/>
          </w:tcPr>
          <w:p>
            <w:pPr>
              <w:pStyle w:val="TableParagraph"/>
              <w:spacing w:before="47"/>
              <w:ind w:left="6"/>
              <w:jc w:val="center"/>
              <w:rPr>
                <w:sz w:val="24"/>
              </w:rPr>
            </w:pPr>
            <w:r>
              <w:rPr>
                <w:spacing w:val="-5"/>
                <w:sz w:val="24"/>
              </w:rPr>
              <w:t>337</w:t>
            </w:r>
          </w:p>
        </w:tc>
      </w:tr>
      <w:tr>
        <w:trPr>
          <w:trHeight w:val="379" w:hRule="atLeast"/>
        </w:trPr>
        <w:tc>
          <w:tcPr>
            <w:tcW w:w="1572" w:type="dxa"/>
          </w:tcPr>
          <w:p>
            <w:pPr>
              <w:pStyle w:val="TableParagraph"/>
              <w:spacing w:before="47"/>
              <w:ind w:left="9" w:right="2"/>
              <w:jc w:val="center"/>
              <w:rPr>
                <w:sz w:val="24"/>
              </w:rPr>
            </w:pPr>
            <w:r>
              <w:rPr>
                <w:spacing w:val="-5"/>
                <w:sz w:val="24"/>
              </w:rPr>
              <w:t>40</w:t>
            </w:r>
          </w:p>
        </w:tc>
        <w:tc>
          <w:tcPr>
            <w:tcW w:w="6196" w:type="dxa"/>
          </w:tcPr>
          <w:p>
            <w:pPr>
              <w:pStyle w:val="TableParagraph"/>
              <w:spacing w:before="47"/>
              <w:ind w:left="287"/>
              <w:rPr>
                <w:b/>
                <w:sz w:val="24"/>
              </w:rPr>
            </w:pPr>
            <w:r>
              <w:rPr>
                <w:b/>
                <w:sz w:val="24"/>
              </w:rPr>
              <w:t>Lighting</w:t>
            </w:r>
            <w:r>
              <w:rPr>
                <w:b/>
                <w:spacing w:val="-5"/>
                <w:sz w:val="24"/>
              </w:rPr>
              <w:t> </w:t>
            </w:r>
            <w:r>
              <w:rPr>
                <w:b/>
                <w:sz w:val="24"/>
              </w:rPr>
              <w:t>and</w:t>
            </w:r>
            <w:r>
              <w:rPr>
                <w:b/>
                <w:spacing w:val="-4"/>
                <w:sz w:val="24"/>
              </w:rPr>
              <w:t> </w:t>
            </w:r>
            <w:r>
              <w:rPr>
                <w:b/>
                <w:spacing w:val="-2"/>
                <w:sz w:val="24"/>
              </w:rPr>
              <w:t>Ventilation</w:t>
            </w:r>
          </w:p>
        </w:tc>
        <w:tc>
          <w:tcPr>
            <w:tcW w:w="1001" w:type="dxa"/>
          </w:tcPr>
          <w:p>
            <w:pPr>
              <w:pStyle w:val="TableParagraph"/>
              <w:rPr>
                <w:rFonts w:ascii="Times New Roman"/>
                <w:sz w:val="22"/>
              </w:rPr>
            </w:pP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20"/>
                <w:sz w:val="24"/>
              </w:rPr>
              <w:t> </w:t>
            </w:r>
            <w:r>
              <w:rPr>
                <w:sz w:val="24"/>
              </w:rPr>
              <w:t>Adequacy</w:t>
            </w:r>
            <w:r>
              <w:rPr>
                <w:spacing w:val="50"/>
                <w:sz w:val="24"/>
              </w:rPr>
              <w:t> </w:t>
            </w:r>
            <w:r>
              <w:rPr>
                <w:sz w:val="24"/>
              </w:rPr>
              <w:t>and</w:t>
            </w:r>
            <w:r>
              <w:rPr>
                <w:spacing w:val="50"/>
                <w:sz w:val="24"/>
              </w:rPr>
              <w:t> </w:t>
            </w:r>
            <w:r>
              <w:rPr>
                <w:sz w:val="24"/>
              </w:rPr>
              <w:t>manner</w:t>
            </w:r>
            <w:r>
              <w:rPr>
                <w:spacing w:val="47"/>
                <w:sz w:val="24"/>
              </w:rPr>
              <w:t> </w:t>
            </w:r>
            <w:r>
              <w:rPr>
                <w:sz w:val="24"/>
              </w:rPr>
              <w:t>of</w:t>
            </w:r>
            <w:r>
              <w:rPr>
                <w:spacing w:val="48"/>
                <w:sz w:val="24"/>
              </w:rPr>
              <w:t> </w:t>
            </w:r>
            <w:r>
              <w:rPr>
                <w:spacing w:val="-2"/>
                <w:sz w:val="24"/>
              </w:rPr>
              <w:t>provision</w:t>
            </w:r>
          </w:p>
        </w:tc>
        <w:tc>
          <w:tcPr>
            <w:tcW w:w="1001" w:type="dxa"/>
          </w:tcPr>
          <w:p>
            <w:pPr>
              <w:pStyle w:val="TableParagraph"/>
              <w:spacing w:before="47"/>
              <w:ind w:left="6"/>
              <w:jc w:val="center"/>
              <w:rPr>
                <w:sz w:val="24"/>
              </w:rPr>
            </w:pPr>
            <w:r>
              <w:rPr>
                <w:spacing w:val="-5"/>
                <w:sz w:val="24"/>
              </w:rPr>
              <w:t>338</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(2)</w:t>
            </w:r>
            <w:r>
              <w:rPr>
                <w:spacing w:val="-4"/>
                <w:sz w:val="24"/>
              </w:rPr>
              <w:t> </w:t>
            </w:r>
            <w:r>
              <w:rPr>
                <w:sz w:val="24"/>
              </w:rPr>
              <w:t>Artificial</w:t>
            </w:r>
            <w:r>
              <w:rPr>
                <w:spacing w:val="-3"/>
                <w:sz w:val="24"/>
              </w:rPr>
              <w:t> </w:t>
            </w:r>
            <w:r>
              <w:rPr>
                <w:sz w:val="24"/>
              </w:rPr>
              <w:t>ventilation</w:t>
            </w:r>
            <w:r>
              <w:rPr>
                <w:spacing w:val="-3"/>
                <w:sz w:val="24"/>
              </w:rPr>
              <w:t> </w:t>
            </w:r>
            <w:r>
              <w:rPr>
                <w:spacing w:val="-2"/>
                <w:sz w:val="24"/>
              </w:rPr>
              <w:t>shaft</w:t>
            </w:r>
          </w:p>
        </w:tc>
        <w:tc>
          <w:tcPr>
            <w:tcW w:w="1001" w:type="dxa"/>
          </w:tcPr>
          <w:p>
            <w:pPr>
              <w:pStyle w:val="TableParagraph"/>
              <w:spacing w:before="49"/>
              <w:ind w:left="6"/>
              <w:jc w:val="center"/>
              <w:rPr>
                <w:sz w:val="24"/>
              </w:rPr>
            </w:pPr>
            <w:r>
              <w:rPr>
                <w:spacing w:val="-5"/>
                <w:sz w:val="24"/>
              </w:rPr>
              <w:t>338</w:t>
            </w:r>
          </w:p>
        </w:tc>
      </w:tr>
      <w:tr>
        <w:trPr>
          <w:trHeight w:val="376" w:hRule="atLeast"/>
        </w:trPr>
        <w:tc>
          <w:tcPr>
            <w:tcW w:w="1572" w:type="dxa"/>
          </w:tcPr>
          <w:p>
            <w:pPr>
              <w:pStyle w:val="TableParagraph"/>
              <w:spacing w:before="47"/>
              <w:ind w:left="9" w:right="2"/>
              <w:jc w:val="center"/>
              <w:rPr>
                <w:sz w:val="24"/>
              </w:rPr>
            </w:pPr>
            <w:r>
              <w:rPr>
                <w:spacing w:val="-5"/>
                <w:sz w:val="24"/>
              </w:rPr>
              <w:t>41</w:t>
            </w:r>
          </w:p>
        </w:tc>
        <w:tc>
          <w:tcPr>
            <w:tcW w:w="6196" w:type="dxa"/>
          </w:tcPr>
          <w:p>
            <w:pPr>
              <w:pStyle w:val="TableParagraph"/>
              <w:spacing w:before="47"/>
              <w:ind w:left="107"/>
              <w:rPr>
                <w:b/>
                <w:sz w:val="24"/>
              </w:rPr>
            </w:pPr>
            <w:r>
              <w:rPr>
                <w:b/>
                <w:sz w:val="24"/>
              </w:rPr>
              <w:t>Open</w:t>
            </w:r>
            <w:r>
              <w:rPr>
                <w:b/>
                <w:spacing w:val="-4"/>
                <w:sz w:val="24"/>
              </w:rPr>
              <w:t> </w:t>
            </w:r>
            <w:r>
              <w:rPr>
                <w:b/>
                <w:sz w:val="24"/>
              </w:rPr>
              <w:t>Spaces</w:t>
            </w:r>
            <w:r>
              <w:rPr>
                <w:b/>
                <w:spacing w:val="-4"/>
                <w:sz w:val="24"/>
              </w:rPr>
              <w:t> </w:t>
            </w:r>
            <w:r>
              <w:rPr>
                <w:b/>
                <w:sz w:val="24"/>
              </w:rPr>
              <w:t>within</w:t>
            </w:r>
            <w:r>
              <w:rPr>
                <w:b/>
                <w:spacing w:val="-4"/>
                <w:sz w:val="24"/>
              </w:rPr>
              <w:t> </w:t>
            </w:r>
            <w:r>
              <w:rPr>
                <w:b/>
                <w:sz w:val="24"/>
              </w:rPr>
              <w:t>Building</w:t>
            </w:r>
            <w:r>
              <w:rPr>
                <w:b/>
                <w:spacing w:val="-4"/>
                <w:sz w:val="24"/>
              </w:rPr>
              <w:t> </w:t>
            </w:r>
            <w:r>
              <w:rPr>
                <w:b/>
                <w:sz w:val="24"/>
              </w:rPr>
              <w:t>Plots/</w:t>
            </w:r>
            <w:r>
              <w:rPr>
                <w:b/>
                <w:spacing w:val="-4"/>
                <w:sz w:val="24"/>
              </w:rPr>
              <w:t> </w:t>
            </w:r>
            <w:r>
              <w:rPr>
                <w:b/>
                <w:spacing w:val="-2"/>
                <w:sz w:val="24"/>
              </w:rPr>
              <w:t>Layout</w:t>
            </w:r>
          </w:p>
        </w:tc>
        <w:tc>
          <w:tcPr>
            <w:tcW w:w="1001" w:type="dxa"/>
          </w:tcPr>
          <w:p>
            <w:pPr>
              <w:pStyle w:val="TableParagraph"/>
              <w:rPr>
                <w:rFonts w:ascii="Times New Roman"/>
                <w:sz w:val="22"/>
              </w:rPr>
            </w:pP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9"/>
              <w:ind w:left="751" w:right="324" w:hanging="644"/>
              <w:rPr>
                <w:sz w:val="24"/>
              </w:rPr>
            </w:pPr>
            <w:r>
              <w:rPr>
                <w:sz w:val="24"/>
              </w:rPr>
              <w:t>(1)</w:t>
            </w:r>
            <w:r>
              <w:rPr>
                <w:spacing w:val="40"/>
                <w:sz w:val="24"/>
              </w:rPr>
              <w:t> </w:t>
            </w:r>
            <w:r>
              <w:rPr>
                <w:sz w:val="24"/>
              </w:rPr>
              <w:t>(a)</w:t>
            </w:r>
            <w:r>
              <w:rPr>
                <w:spacing w:val="40"/>
                <w:sz w:val="24"/>
              </w:rPr>
              <w:t> </w:t>
            </w:r>
            <w:r>
              <w:rPr>
                <w:sz w:val="24"/>
              </w:rPr>
              <w:t>Open</w:t>
            </w:r>
            <w:r>
              <w:rPr>
                <w:spacing w:val="40"/>
                <w:sz w:val="24"/>
              </w:rPr>
              <w:t> </w:t>
            </w:r>
            <w:r>
              <w:rPr>
                <w:sz w:val="24"/>
              </w:rPr>
              <w:t>spaces</w:t>
            </w:r>
            <w:r>
              <w:rPr>
                <w:spacing w:val="40"/>
                <w:sz w:val="24"/>
              </w:rPr>
              <w:t> </w:t>
            </w:r>
            <w:r>
              <w:rPr>
                <w:sz w:val="24"/>
              </w:rPr>
              <w:t>separate</w:t>
            </w:r>
            <w:r>
              <w:rPr>
                <w:spacing w:val="40"/>
                <w:sz w:val="24"/>
              </w:rPr>
              <w:t> </w:t>
            </w:r>
            <w:r>
              <w:rPr>
                <w:sz w:val="24"/>
              </w:rPr>
              <w:t>for</w:t>
            </w:r>
            <w:r>
              <w:rPr>
                <w:spacing w:val="40"/>
                <w:sz w:val="24"/>
              </w:rPr>
              <w:t> </w:t>
            </w:r>
            <w:r>
              <w:rPr>
                <w:sz w:val="24"/>
              </w:rPr>
              <w:t>each</w:t>
            </w:r>
            <w:r>
              <w:rPr>
                <w:spacing w:val="40"/>
                <w:sz w:val="24"/>
              </w:rPr>
              <w:t> </w:t>
            </w:r>
            <w:r>
              <w:rPr>
                <w:sz w:val="24"/>
              </w:rPr>
              <w:t>building or wing</w:t>
            </w:r>
          </w:p>
        </w:tc>
        <w:tc>
          <w:tcPr>
            <w:tcW w:w="1001" w:type="dxa"/>
          </w:tcPr>
          <w:p>
            <w:pPr>
              <w:pStyle w:val="TableParagraph"/>
              <w:spacing w:before="49"/>
              <w:ind w:left="6"/>
              <w:jc w:val="center"/>
              <w:rPr>
                <w:sz w:val="24"/>
              </w:rPr>
            </w:pPr>
            <w:r>
              <w:rPr>
                <w:spacing w:val="-5"/>
                <w:sz w:val="24"/>
              </w:rPr>
              <w:t>339</w:t>
            </w:r>
          </w:p>
        </w:tc>
      </w:tr>
      <w:tr>
        <w:trPr>
          <w:trHeight w:val="942" w:hRule="atLeast"/>
        </w:trPr>
        <w:tc>
          <w:tcPr>
            <w:tcW w:w="1572" w:type="dxa"/>
          </w:tcPr>
          <w:p>
            <w:pPr>
              <w:pStyle w:val="TableParagraph"/>
              <w:rPr>
                <w:rFonts w:ascii="Times New Roman"/>
                <w:sz w:val="22"/>
              </w:rPr>
            </w:pPr>
          </w:p>
        </w:tc>
        <w:tc>
          <w:tcPr>
            <w:tcW w:w="6196" w:type="dxa"/>
          </w:tcPr>
          <w:p>
            <w:pPr>
              <w:pStyle w:val="TableParagraph"/>
              <w:spacing w:before="49"/>
              <w:ind w:left="653" w:right="116" w:hanging="107"/>
              <w:rPr>
                <w:sz w:val="24"/>
              </w:rPr>
            </w:pPr>
            <w:r>
              <w:rPr>
                <w:sz w:val="24"/>
              </w:rPr>
              <w:t>(b) Manner of computing front open</w:t>
            </w:r>
            <w:r>
              <w:rPr>
                <w:spacing w:val="80"/>
                <w:sz w:val="24"/>
              </w:rPr>
              <w:t> </w:t>
            </w:r>
            <w:r>
              <w:rPr>
                <w:sz w:val="24"/>
              </w:rPr>
              <w:t>space/setback</w:t>
            </w:r>
            <w:r>
              <w:rPr>
                <w:spacing w:val="40"/>
                <w:sz w:val="24"/>
              </w:rPr>
              <w:t> </w:t>
            </w:r>
            <w:r>
              <w:rPr>
                <w:sz w:val="24"/>
              </w:rPr>
              <w:t>where</w:t>
            </w:r>
            <w:r>
              <w:rPr>
                <w:spacing w:val="40"/>
                <w:sz w:val="24"/>
              </w:rPr>
              <w:t> </w:t>
            </w:r>
            <w:r>
              <w:rPr>
                <w:sz w:val="24"/>
              </w:rPr>
              <w:t>the</w:t>
            </w:r>
            <w:r>
              <w:rPr>
                <w:spacing w:val="40"/>
                <w:sz w:val="24"/>
              </w:rPr>
              <w:t> </w:t>
            </w:r>
            <w:r>
              <w:rPr>
                <w:sz w:val="24"/>
              </w:rPr>
              <w:t>street</w:t>
            </w:r>
            <w:r>
              <w:rPr>
                <w:spacing w:val="40"/>
                <w:sz w:val="24"/>
              </w:rPr>
              <w:t> </w:t>
            </w:r>
            <w:r>
              <w:rPr>
                <w:sz w:val="24"/>
              </w:rPr>
              <w:t>is</w:t>
            </w:r>
            <w:r>
              <w:rPr>
                <w:spacing w:val="40"/>
                <w:sz w:val="24"/>
              </w:rPr>
              <w:t> </w:t>
            </w:r>
            <w:r>
              <w:rPr>
                <w:sz w:val="24"/>
              </w:rPr>
              <w:t>to</w:t>
            </w:r>
            <w:r>
              <w:rPr>
                <w:spacing w:val="40"/>
                <w:sz w:val="24"/>
              </w:rPr>
              <w:t> </w:t>
            </w:r>
            <w:r>
              <w:rPr>
                <w:sz w:val="24"/>
              </w:rPr>
              <w:t>be </w:t>
            </w:r>
            <w:r>
              <w:rPr>
                <w:spacing w:val="-2"/>
                <w:sz w:val="24"/>
              </w:rPr>
              <w:t>widened</w:t>
            </w:r>
          </w:p>
        </w:tc>
        <w:tc>
          <w:tcPr>
            <w:tcW w:w="1001" w:type="dxa"/>
          </w:tcPr>
          <w:p>
            <w:pPr>
              <w:pStyle w:val="TableParagraph"/>
              <w:spacing w:before="49"/>
              <w:ind w:left="6"/>
              <w:jc w:val="center"/>
              <w:rPr>
                <w:sz w:val="24"/>
              </w:rPr>
            </w:pPr>
            <w:r>
              <w:rPr>
                <w:spacing w:val="-5"/>
                <w:sz w:val="24"/>
              </w:rPr>
              <w:t>339</w:t>
            </w:r>
          </w:p>
        </w:tc>
      </w:tr>
      <w:tr>
        <w:trPr>
          <w:trHeight w:val="660" w:hRule="atLeast"/>
        </w:trPr>
        <w:tc>
          <w:tcPr>
            <w:tcW w:w="1572" w:type="dxa"/>
          </w:tcPr>
          <w:p>
            <w:pPr>
              <w:pStyle w:val="TableParagraph"/>
              <w:rPr>
                <w:rFonts w:ascii="Times New Roman"/>
                <w:sz w:val="22"/>
              </w:rPr>
            </w:pPr>
          </w:p>
        </w:tc>
        <w:tc>
          <w:tcPr>
            <w:tcW w:w="6196" w:type="dxa"/>
          </w:tcPr>
          <w:p>
            <w:pPr>
              <w:pStyle w:val="TableParagraph"/>
              <w:spacing w:before="47"/>
              <w:ind w:left="751" w:right="992" w:hanging="272"/>
              <w:rPr>
                <w:sz w:val="24"/>
              </w:rPr>
            </w:pPr>
            <w:r>
              <w:rPr>
                <w:sz w:val="24"/>
              </w:rPr>
              <w:t>(c) Measurement for Marginal Open</w:t>
            </w:r>
            <w:r>
              <w:rPr>
                <w:spacing w:val="80"/>
                <w:sz w:val="24"/>
              </w:rPr>
              <w:t> </w:t>
            </w:r>
            <w:r>
              <w:rPr>
                <w:spacing w:val="-2"/>
                <w:sz w:val="24"/>
              </w:rPr>
              <w:t>Space</w:t>
            </w:r>
          </w:p>
        </w:tc>
        <w:tc>
          <w:tcPr>
            <w:tcW w:w="1001" w:type="dxa"/>
          </w:tcPr>
          <w:p>
            <w:pPr>
              <w:pStyle w:val="TableParagraph"/>
              <w:spacing w:before="47"/>
              <w:ind w:left="6"/>
              <w:jc w:val="center"/>
              <w:rPr>
                <w:sz w:val="24"/>
              </w:rPr>
            </w:pPr>
            <w:r>
              <w:rPr>
                <w:spacing w:val="-5"/>
                <w:sz w:val="24"/>
              </w:rPr>
              <w:t>339</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479" w:right="292" w:hanging="372"/>
              <w:rPr>
                <w:sz w:val="24"/>
              </w:rPr>
            </w:pPr>
            <w:r>
              <w:rPr>
                <w:sz w:val="24"/>
              </w:rPr>
              <w:t>(2)</w:t>
            </w:r>
            <w:r>
              <w:rPr>
                <w:spacing w:val="40"/>
                <w:sz w:val="24"/>
              </w:rPr>
              <w:t> </w:t>
            </w:r>
            <w:r>
              <w:rPr>
                <w:sz w:val="24"/>
              </w:rPr>
              <w:t>Side</w:t>
            </w:r>
            <w:r>
              <w:rPr>
                <w:spacing w:val="40"/>
                <w:sz w:val="24"/>
              </w:rPr>
              <w:t> </w:t>
            </w:r>
            <w:r>
              <w:rPr>
                <w:sz w:val="24"/>
              </w:rPr>
              <w:t>and</w:t>
            </w:r>
            <w:r>
              <w:rPr>
                <w:spacing w:val="40"/>
                <w:sz w:val="24"/>
              </w:rPr>
              <w:t> </w:t>
            </w:r>
            <w:r>
              <w:rPr>
                <w:sz w:val="24"/>
              </w:rPr>
              <w:t>rear</w:t>
            </w:r>
            <w:r>
              <w:rPr>
                <w:spacing w:val="40"/>
                <w:sz w:val="24"/>
              </w:rPr>
              <w:t> </w:t>
            </w:r>
            <w:r>
              <w:rPr>
                <w:sz w:val="24"/>
              </w:rPr>
              <w:t>open</w:t>
            </w:r>
            <w:r>
              <w:rPr>
                <w:spacing w:val="40"/>
                <w:sz w:val="24"/>
              </w:rPr>
              <w:t> </w:t>
            </w:r>
            <w:r>
              <w:rPr>
                <w:sz w:val="24"/>
              </w:rPr>
              <w:t>space</w:t>
            </w:r>
            <w:r>
              <w:rPr>
                <w:spacing w:val="40"/>
                <w:sz w:val="24"/>
              </w:rPr>
              <w:t> </w:t>
            </w:r>
            <w:r>
              <w:rPr>
                <w:sz w:val="24"/>
              </w:rPr>
              <w:t>in</w:t>
            </w:r>
            <w:r>
              <w:rPr>
                <w:spacing w:val="40"/>
                <w:sz w:val="24"/>
              </w:rPr>
              <w:t> </w:t>
            </w:r>
            <w:r>
              <w:rPr>
                <w:sz w:val="24"/>
              </w:rPr>
              <w:t>relation</w:t>
            </w:r>
            <w:r>
              <w:rPr>
                <w:spacing w:val="40"/>
                <w:sz w:val="24"/>
              </w:rPr>
              <w:t> </w:t>
            </w:r>
            <w:r>
              <w:rPr>
                <w:sz w:val="24"/>
              </w:rPr>
              <w:t>to</w:t>
            </w:r>
            <w:r>
              <w:rPr>
                <w:spacing w:val="40"/>
                <w:sz w:val="24"/>
              </w:rPr>
              <w:t> </w:t>
            </w:r>
            <w:r>
              <w:rPr>
                <w:sz w:val="24"/>
              </w:rPr>
              <w:t>the height of the</w:t>
            </w:r>
            <w:r>
              <w:rPr>
                <w:spacing w:val="40"/>
                <w:sz w:val="24"/>
              </w:rPr>
              <w:t> </w:t>
            </w:r>
            <w:r>
              <w:rPr>
                <w:sz w:val="24"/>
              </w:rPr>
              <w:t>building for light </w:t>
            </w:r>
            <w:r>
              <w:rPr>
                <w:spacing w:val="9"/>
                <w:sz w:val="24"/>
              </w:rPr>
              <w:t>and</w:t>
            </w:r>
            <w:r>
              <w:rPr>
                <w:spacing w:val="40"/>
                <w:sz w:val="24"/>
              </w:rPr>
              <w:t> </w:t>
            </w:r>
            <w:r>
              <w:rPr>
                <w:spacing w:val="7"/>
                <w:sz w:val="24"/>
              </w:rPr>
              <w:t>ventilation</w:t>
            </w:r>
          </w:p>
        </w:tc>
        <w:tc>
          <w:tcPr>
            <w:tcW w:w="1001" w:type="dxa"/>
          </w:tcPr>
          <w:p>
            <w:pPr>
              <w:pStyle w:val="TableParagraph"/>
              <w:spacing w:before="47"/>
              <w:ind w:left="6"/>
              <w:jc w:val="center"/>
              <w:rPr>
                <w:sz w:val="24"/>
              </w:rPr>
            </w:pPr>
            <w:r>
              <w:rPr>
                <w:spacing w:val="-5"/>
                <w:sz w:val="24"/>
              </w:rPr>
              <w:t>339</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539"/>
              <w:rPr>
                <w:sz w:val="24"/>
              </w:rPr>
            </w:pPr>
            <w:r>
              <w:rPr>
                <w:sz w:val="24"/>
              </w:rPr>
              <w:t>(i)</w:t>
            </w:r>
            <w:r>
              <w:rPr>
                <w:spacing w:val="74"/>
                <w:sz w:val="24"/>
              </w:rPr>
              <w:t> </w:t>
            </w:r>
            <w:r>
              <w:rPr>
                <w:sz w:val="24"/>
              </w:rPr>
              <w:t>Residential</w:t>
            </w:r>
            <w:r>
              <w:rPr>
                <w:spacing w:val="75"/>
                <w:sz w:val="24"/>
              </w:rPr>
              <w:t> </w:t>
            </w:r>
            <w:r>
              <w:rPr>
                <w:sz w:val="24"/>
              </w:rPr>
              <w:t>and</w:t>
            </w:r>
            <w:r>
              <w:rPr>
                <w:spacing w:val="70"/>
                <w:sz w:val="24"/>
              </w:rPr>
              <w:t> </w:t>
            </w:r>
            <w:r>
              <w:rPr>
                <w:sz w:val="24"/>
              </w:rPr>
              <w:t>Commercial</w:t>
            </w:r>
            <w:r>
              <w:rPr>
                <w:spacing w:val="75"/>
                <w:sz w:val="24"/>
              </w:rPr>
              <w:t> </w:t>
            </w:r>
            <w:r>
              <w:rPr>
                <w:spacing w:val="-4"/>
                <w:sz w:val="24"/>
              </w:rPr>
              <w:t>Zones</w:t>
            </w:r>
          </w:p>
        </w:tc>
        <w:tc>
          <w:tcPr>
            <w:tcW w:w="1001" w:type="dxa"/>
          </w:tcPr>
          <w:p>
            <w:pPr>
              <w:pStyle w:val="TableParagraph"/>
              <w:spacing w:before="47"/>
              <w:ind w:left="6"/>
              <w:jc w:val="center"/>
              <w:rPr>
                <w:sz w:val="24"/>
              </w:rPr>
            </w:pPr>
            <w:r>
              <w:rPr>
                <w:spacing w:val="-5"/>
                <w:sz w:val="24"/>
              </w:rPr>
              <w:t>339</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539"/>
              <w:rPr>
                <w:sz w:val="24"/>
              </w:rPr>
            </w:pPr>
            <w:r>
              <w:rPr>
                <w:sz w:val="24"/>
              </w:rPr>
              <w:t>(ii)</w:t>
            </w:r>
            <w:r>
              <w:rPr>
                <w:spacing w:val="76"/>
                <w:sz w:val="24"/>
              </w:rPr>
              <w:t> </w:t>
            </w:r>
            <w:r>
              <w:rPr>
                <w:sz w:val="24"/>
              </w:rPr>
              <w:t>Industrial</w:t>
            </w:r>
            <w:r>
              <w:rPr>
                <w:spacing w:val="76"/>
                <w:sz w:val="24"/>
              </w:rPr>
              <w:t> </w:t>
            </w:r>
            <w:r>
              <w:rPr>
                <w:spacing w:val="-4"/>
                <w:sz w:val="24"/>
              </w:rPr>
              <w:t>Zones</w:t>
            </w:r>
          </w:p>
        </w:tc>
        <w:tc>
          <w:tcPr>
            <w:tcW w:w="1001" w:type="dxa"/>
          </w:tcPr>
          <w:p>
            <w:pPr>
              <w:pStyle w:val="TableParagraph"/>
              <w:spacing w:before="49"/>
              <w:ind w:left="6"/>
              <w:jc w:val="center"/>
              <w:rPr>
                <w:sz w:val="24"/>
              </w:rPr>
            </w:pPr>
            <w:r>
              <w:rPr>
                <w:spacing w:val="-5"/>
                <w:sz w:val="24"/>
              </w:rPr>
              <w:t>341</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479" w:right="116" w:hanging="372"/>
              <w:rPr>
                <w:sz w:val="24"/>
              </w:rPr>
            </w:pPr>
            <w:r>
              <w:rPr>
                <w:sz w:val="24"/>
              </w:rPr>
              <w:t>(3)</w:t>
            </w:r>
            <w:r>
              <w:rPr>
                <w:spacing w:val="40"/>
                <w:sz w:val="24"/>
              </w:rPr>
              <w:t> </w:t>
            </w:r>
            <w:r>
              <w:rPr>
                <w:sz w:val="24"/>
              </w:rPr>
              <w:t>Provisions</w:t>
            </w:r>
            <w:r>
              <w:rPr>
                <w:spacing w:val="40"/>
                <w:sz w:val="24"/>
              </w:rPr>
              <w:t> </w:t>
            </w:r>
            <w:r>
              <w:rPr>
                <w:sz w:val="24"/>
              </w:rPr>
              <w:t>in</w:t>
            </w:r>
            <w:r>
              <w:rPr>
                <w:spacing w:val="40"/>
                <w:sz w:val="24"/>
              </w:rPr>
              <w:t> </w:t>
            </w:r>
            <w:r>
              <w:rPr>
                <w:sz w:val="24"/>
              </w:rPr>
              <w:t>marginal</w:t>
            </w:r>
            <w:r>
              <w:rPr>
                <w:spacing w:val="40"/>
                <w:sz w:val="24"/>
              </w:rPr>
              <w:t> </w:t>
            </w:r>
            <w:r>
              <w:rPr>
                <w:sz w:val="24"/>
              </w:rPr>
              <w:t>open</w:t>
            </w:r>
            <w:r>
              <w:rPr>
                <w:spacing w:val="40"/>
                <w:sz w:val="24"/>
              </w:rPr>
              <w:t> </w:t>
            </w:r>
            <w:r>
              <w:rPr>
                <w:sz w:val="24"/>
              </w:rPr>
              <w:t>spaces</w:t>
            </w:r>
            <w:r>
              <w:rPr>
                <w:spacing w:val="40"/>
                <w:sz w:val="24"/>
              </w:rPr>
              <w:t> </w:t>
            </w:r>
            <w:r>
              <w:rPr>
                <w:sz w:val="24"/>
              </w:rPr>
              <w:t>if</w:t>
            </w:r>
            <w:r>
              <w:rPr>
                <w:spacing w:val="40"/>
                <w:sz w:val="24"/>
              </w:rPr>
              <w:t> </w:t>
            </w:r>
            <w:r>
              <w:rPr>
                <w:sz w:val="24"/>
              </w:rPr>
              <w:t>the height</w:t>
            </w:r>
            <w:r>
              <w:rPr>
                <w:spacing w:val="40"/>
                <w:sz w:val="24"/>
              </w:rPr>
              <w:t> </w:t>
            </w:r>
            <w:r>
              <w:rPr>
                <w:sz w:val="24"/>
              </w:rPr>
              <w:t>of</w:t>
            </w:r>
            <w:r>
              <w:rPr>
                <w:spacing w:val="40"/>
                <w:sz w:val="24"/>
              </w:rPr>
              <w:t> </w:t>
            </w:r>
            <w:r>
              <w:rPr>
                <w:sz w:val="24"/>
              </w:rPr>
              <w:t>the</w:t>
            </w:r>
            <w:r>
              <w:rPr>
                <w:spacing w:val="40"/>
                <w:sz w:val="24"/>
              </w:rPr>
              <w:t> </w:t>
            </w:r>
            <w:r>
              <w:rPr>
                <w:sz w:val="24"/>
              </w:rPr>
              <w:t>building</w:t>
            </w:r>
            <w:r>
              <w:rPr>
                <w:spacing w:val="40"/>
                <w:sz w:val="24"/>
              </w:rPr>
              <w:t> </w:t>
            </w:r>
            <w:r>
              <w:rPr>
                <w:sz w:val="24"/>
              </w:rPr>
              <w:t>is</w:t>
            </w:r>
            <w:r>
              <w:rPr>
                <w:spacing w:val="40"/>
                <w:sz w:val="24"/>
              </w:rPr>
              <w:t> </w:t>
            </w:r>
            <w:r>
              <w:rPr>
                <w:sz w:val="24"/>
              </w:rPr>
              <w:t>restricted</w:t>
            </w:r>
          </w:p>
        </w:tc>
        <w:tc>
          <w:tcPr>
            <w:tcW w:w="1001" w:type="dxa"/>
          </w:tcPr>
          <w:p>
            <w:pPr>
              <w:pStyle w:val="TableParagraph"/>
              <w:spacing w:before="47"/>
              <w:ind w:left="6"/>
              <w:jc w:val="center"/>
              <w:rPr>
                <w:sz w:val="24"/>
              </w:rPr>
            </w:pPr>
            <w:r>
              <w:rPr>
                <w:spacing w:val="-5"/>
                <w:sz w:val="24"/>
              </w:rPr>
              <w:t>341</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943" w:hRule="atLeast"/>
        </w:trPr>
        <w:tc>
          <w:tcPr>
            <w:tcW w:w="1572" w:type="dxa"/>
          </w:tcPr>
          <w:p>
            <w:pPr>
              <w:pStyle w:val="TableParagraph"/>
              <w:rPr>
                <w:rFonts w:ascii="Times New Roman"/>
                <w:sz w:val="22"/>
              </w:rPr>
            </w:pPr>
          </w:p>
        </w:tc>
        <w:tc>
          <w:tcPr>
            <w:tcW w:w="6196" w:type="dxa"/>
          </w:tcPr>
          <w:p>
            <w:pPr>
              <w:pStyle w:val="TableParagraph"/>
              <w:spacing w:before="50"/>
              <w:ind w:left="479" w:right="94" w:hanging="372"/>
              <w:jc w:val="both"/>
              <w:rPr>
                <w:sz w:val="24"/>
              </w:rPr>
            </w:pPr>
            <w:r>
              <w:rPr>
                <w:sz w:val="24"/>
              </w:rPr>
              <w:t>(4) Front </w:t>
            </w:r>
            <w:r>
              <w:rPr>
                <w:spacing w:val="10"/>
                <w:sz w:val="24"/>
              </w:rPr>
              <w:t>Set-</w:t>
            </w:r>
            <w:r>
              <w:rPr>
                <w:sz w:val="24"/>
              </w:rPr>
              <w:t>backs from the Street Line/Plot Boundary and </w:t>
            </w:r>
            <w:r>
              <w:rPr>
                <w:spacing w:val="10"/>
                <w:sz w:val="24"/>
              </w:rPr>
              <w:t>set-</w:t>
            </w:r>
            <w:r>
              <w:rPr>
                <w:sz w:val="24"/>
              </w:rPr>
              <w:t>backs from the zonal boundary</w:t>
            </w:r>
            <w:r>
              <w:rPr>
                <w:spacing w:val="40"/>
                <w:sz w:val="24"/>
              </w:rPr>
              <w:t> </w:t>
            </w:r>
            <w:r>
              <w:rPr>
                <w:sz w:val="24"/>
              </w:rPr>
              <w:t>in</w:t>
            </w:r>
            <w:r>
              <w:rPr>
                <w:spacing w:val="40"/>
                <w:sz w:val="24"/>
              </w:rPr>
              <w:t> </w:t>
            </w:r>
            <w:r>
              <w:rPr>
                <w:sz w:val="24"/>
              </w:rPr>
              <w:t>the</w:t>
            </w:r>
            <w:r>
              <w:rPr>
                <w:spacing w:val="40"/>
                <w:sz w:val="24"/>
              </w:rPr>
              <w:t> </w:t>
            </w:r>
            <w:r>
              <w:rPr>
                <w:sz w:val="24"/>
              </w:rPr>
              <w:t>different</w:t>
            </w:r>
            <w:r>
              <w:rPr>
                <w:spacing w:val="40"/>
                <w:sz w:val="24"/>
              </w:rPr>
              <w:t> </w:t>
            </w:r>
            <w:r>
              <w:rPr>
                <w:spacing w:val="9"/>
                <w:sz w:val="24"/>
              </w:rPr>
              <w:t>zones</w:t>
            </w:r>
          </w:p>
        </w:tc>
        <w:tc>
          <w:tcPr>
            <w:tcW w:w="1001" w:type="dxa"/>
          </w:tcPr>
          <w:p>
            <w:pPr>
              <w:pStyle w:val="TableParagraph"/>
              <w:spacing w:before="50"/>
              <w:ind w:left="6"/>
              <w:jc w:val="center"/>
              <w:rPr>
                <w:sz w:val="24"/>
              </w:rPr>
            </w:pPr>
            <w:r>
              <w:rPr>
                <w:spacing w:val="-5"/>
                <w:sz w:val="24"/>
              </w:rPr>
              <w:t>343</w:t>
            </w:r>
          </w:p>
        </w:tc>
      </w:tr>
      <w:tr>
        <w:trPr>
          <w:trHeight w:val="2913" w:hRule="atLeast"/>
        </w:trPr>
        <w:tc>
          <w:tcPr>
            <w:tcW w:w="1572" w:type="dxa"/>
          </w:tcPr>
          <w:p>
            <w:pPr>
              <w:pStyle w:val="TableParagraph"/>
              <w:rPr>
                <w:rFonts w:ascii="Times New Roman"/>
                <w:sz w:val="22"/>
              </w:rPr>
            </w:pPr>
          </w:p>
        </w:tc>
        <w:tc>
          <w:tcPr>
            <w:tcW w:w="6196" w:type="dxa"/>
          </w:tcPr>
          <w:p>
            <w:pPr>
              <w:pStyle w:val="TableParagraph"/>
              <w:spacing w:before="47"/>
              <w:ind w:left="390" w:right="98" w:hanging="284"/>
              <w:jc w:val="both"/>
              <w:rPr>
                <w:sz w:val="24"/>
              </w:rPr>
            </w:pPr>
            <w:r>
              <w:rPr>
                <w:sz w:val="24"/>
              </w:rPr>
              <w:t>(5) Provisions in open spaces for plots in Reconstruction/Redevelopment </w:t>
            </w:r>
            <w:r>
              <w:rPr>
                <w:spacing w:val="9"/>
                <w:sz w:val="24"/>
              </w:rPr>
              <w:t>Schemes</w:t>
            </w:r>
            <w:r>
              <w:rPr>
                <w:spacing w:val="80"/>
                <w:sz w:val="24"/>
              </w:rPr>
              <w:t> </w:t>
            </w:r>
            <w:r>
              <w:rPr>
                <w:sz w:val="24"/>
              </w:rPr>
              <w:t>under the Maharashtra Housing and Area Development Authority Act, 1976, Slum Rehabilitation Authority, and </w:t>
            </w:r>
            <w:r>
              <w:rPr>
                <w:spacing w:val="9"/>
                <w:sz w:val="24"/>
              </w:rPr>
              <w:t>Redevelopment </w:t>
            </w:r>
            <w:r>
              <w:rPr>
                <w:sz w:val="24"/>
              </w:rPr>
              <w:t>Scheme of municipal tenanted properties and</w:t>
            </w:r>
            <w:r>
              <w:rPr>
                <w:spacing w:val="80"/>
                <w:sz w:val="24"/>
              </w:rPr>
              <w:t> </w:t>
            </w:r>
            <w:r>
              <w:rPr>
                <w:sz w:val="24"/>
              </w:rPr>
              <w:t>in case of development under Regulation No. 33(5),</w:t>
            </w:r>
            <w:r>
              <w:rPr>
                <w:spacing w:val="72"/>
                <w:sz w:val="24"/>
              </w:rPr>
              <w:t>  </w:t>
            </w:r>
            <w:r>
              <w:rPr>
                <w:sz w:val="24"/>
              </w:rPr>
              <w:t>33(6),</w:t>
            </w:r>
            <w:r>
              <w:rPr>
                <w:spacing w:val="73"/>
                <w:sz w:val="24"/>
              </w:rPr>
              <w:t>  </w:t>
            </w:r>
            <w:r>
              <w:rPr>
                <w:sz w:val="24"/>
              </w:rPr>
              <w:t>33(7),33(7)(A),</w:t>
            </w:r>
            <w:r>
              <w:rPr>
                <w:spacing w:val="72"/>
                <w:sz w:val="24"/>
              </w:rPr>
              <w:t>  </w:t>
            </w:r>
            <w:r>
              <w:rPr>
                <w:spacing w:val="-2"/>
                <w:sz w:val="24"/>
              </w:rPr>
              <w:t>33(7)(B),33(9),</w:t>
            </w:r>
          </w:p>
          <w:p>
            <w:pPr>
              <w:pStyle w:val="TableParagraph"/>
              <w:spacing w:line="281" w:lineRule="exact"/>
              <w:ind w:left="390"/>
              <w:jc w:val="both"/>
              <w:rPr>
                <w:sz w:val="24"/>
              </w:rPr>
            </w:pPr>
            <w:r>
              <w:rPr>
                <w:sz w:val="24"/>
              </w:rPr>
              <w:t>33(9)(A),33(9)(B),</w:t>
            </w:r>
            <w:r>
              <w:rPr>
                <w:spacing w:val="32"/>
                <w:sz w:val="24"/>
              </w:rPr>
              <w:t>  </w:t>
            </w:r>
            <w:r>
              <w:rPr>
                <w:sz w:val="24"/>
              </w:rPr>
              <w:t>33(10),</w:t>
            </w:r>
            <w:r>
              <w:rPr>
                <w:spacing w:val="33"/>
                <w:sz w:val="24"/>
              </w:rPr>
              <w:t>  </w:t>
            </w:r>
            <w:r>
              <w:rPr>
                <w:sz w:val="24"/>
              </w:rPr>
              <w:t>33(10)</w:t>
            </w:r>
            <w:r>
              <w:rPr>
                <w:spacing w:val="34"/>
                <w:sz w:val="24"/>
              </w:rPr>
              <w:t>  </w:t>
            </w:r>
            <w:r>
              <w:rPr>
                <w:sz w:val="24"/>
              </w:rPr>
              <w:t>(A),</w:t>
            </w:r>
            <w:r>
              <w:rPr>
                <w:spacing w:val="34"/>
                <w:sz w:val="24"/>
              </w:rPr>
              <w:t>  </w:t>
            </w:r>
            <w:r>
              <w:rPr>
                <w:spacing w:val="-2"/>
                <w:sz w:val="24"/>
              </w:rPr>
              <w:t>33(11),</w:t>
            </w:r>
          </w:p>
          <w:p>
            <w:pPr>
              <w:pStyle w:val="TableParagraph"/>
              <w:ind w:left="390"/>
              <w:jc w:val="both"/>
              <w:rPr>
                <w:sz w:val="24"/>
              </w:rPr>
            </w:pPr>
            <w:r>
              <w:rPr>
                <w:sz w:val="24"/>
              </w:rPr>
              <w:t>33(15)</w:t>
            </w:r>
            <w:r>
              <w:rPr>
                <w:spacing w:val="56"/>
                <w:sz w:val="24"/>
              </w:rPr>
              <w:t> </w:t>
            </w:r>
            <w:r>
              <w:rPr>
                <w:sz w:val="24"/>
              </w:rPr>
              <w:t>and</w:t>
            </w:r>
            <w:r>
              <w:rPr>
                <w:spacing w:val="56"/>
                <w:sz w:val="24"/>
              </w:rPr>
              <w:t> </w:t>
            </w:r>
            <w:r>
              <w:rPr>
                <w:sz w:val="24"/>
              </w:rPr>
              <w:t>33(20)</w:t>
            </w:r>
            <w:r>
              <w:rPr>
                <w:spacing w:val="57"/>
                <w:sz w:val="24"/>
              </w:rPr>
              <w:t> </w:t>
            </w:r>
            <w:r>
              <w:rPr>
                <w:spacing w:val="4"/>
                <w:sz w:val="24"/>
              </w:rPr>
              <w:t>(A)</w:t>
            </w:r>
          </w:p>
        </w:tc>
        <w:tc>
          <w:tcPr>
            <w:tcW w:w="1001" w:type="dxa"/>
          </w:tcPr>
          <w:p>
            <w:pPr>
              <w:pStyle w:val="TableParagraph"/>
              <w:spacing w:before="47"/>
              <w:ind w:left="6"/>
              <w:jc w:val="center"/>
              <w:rPr>
                <w:sz w:val="24"/>
              </w:rPr>
            </w:pPr>
            <w:r>
              <w:rPr>
                <w:spacing w:val="-5"/>
                <w:sz w:val="24"/>
              </w:rPr>
              <w:t>345</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(6)</w:t>
            </w:r>
            <w:r>
              <w:rPr>
                <w:spacing w:val="48"/>
                <w:sz w:val="24"/>
              </w:rPr>
              <w:t> </w:t>
            </w:r>
            <w:r>
              <w:rPr>
                <w:sz w:val="24"/>
              </w:rPr>
              <w:t>Open</w:t>
            </w:r>
            <w:r>
              <w:rPr>
                <w:spacing w:val="51"/>
                <w:sz w:val="24"/>
              </w:rPr>
              <w:t> </w:t>
            </w:r>
            <w:r>
              <w:rPr>
                <w:sz w:val="24"/>
              </w:rPr>
              <w:t>spaces</w:t>
            </w:r>
            <w:r>
              <w:rPr>
                <w:spacing w:val="49"/>
                <w:sz w:val="24"/>
              </w:rPr>
              <w:t> </w:t>
            </w:r>
            <w:r>
              <w:rPr>
                <w:sz w:val="24"/>
              </w:rPr>
              <w:t>for</w:t>
            </w:r>
            <w:r>
              <w:rPr>
                <w:spacing w:val="51"/>
                <w:sz w:val="24"/>
              </w:rPr>
              <w:t> </w:t>
            </w:r>
            <w:r>
              <w:rPr>
                <w:sz w:val="24"/>
              </w:rPr>
              <w:t>various</w:t>
            </w:r>
            <w:r>
              <w:rPr>
                <w:spacing w:val="51"/>
                <w:sz w:val="24"/>
              </w:rPr>
              <w:t> </w:t>
            </w:r>
            <w:r>
              <w:rPr>
                <w:sz w:val="24"/>
              </w:rPr>
              <w:t>types</w:t>
            </w:r>
            <w:r>
              <w:rPr>
                <w:spacing w:val="51"/>
                <w:sz w:val="24"/>
              </w:rPr>
              <w:t> </w:t>
            </w:r>
            <w:r>
              <w:rPr>
                <w:sz w:val="24"/>
              </w:rPr>
              <w:t>of</w:t>
            </w:r>
            <w:r>
              <w:rPr>
                <w:spacing w:val="49"/>
                <w:sz w:val="24"/>
              </w:rPr>
              <w:t> </w:t>
            </w:r>
            <w:r>
              <w:rPr>
                <w:spacing w:val="7"/>
                <w:sz w:val="24"/>
              </w:rPr>
              <w:t>buildings</w:t>
            </w:r>
          </w:p>
        </w:tc>
        <w:tc>
          <w:tcPr>
            <w:tcW w:w="1001" w:type="dxa"/>
          </w:tcPr>
          <w:p>
            <w:pPr>
              <w:pStyle w:val="TableParagraph"/>
              <w:spacing w:before="47"/>
              <w:ind w:left="6"/>
              <w:jc w:val="center"/>
              <w:rPr>
                <w:sz w:val="24"/>
              </w:rPr>
            </w:pPr>
            <w:r>
              <w:rPr>
                <w:spacing w:val="-5"/>
                <w:sz w:val="24"/>
              </w:rPr>
              <w:t>345</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9"/>
              <w:ind w:left="479" w:right="456" w:hanging="360"/>
              <w:rPr>
                <w:sz w:val="24"/>
              </w:rPr>
            </w:pPr>
            <w:r>
              <w:rPr>
                <w:sz w:val="24"/>
              </w:rPr>
              <w:t>(7)</w:t>
            </w:r>
            <w:r>
              <w:rPr>
                <w:spacing w:val="40"/>
                <w:sz w:val="24"/>
              </w:rPr>
              <w:t> </w:t>
            </w:r>
            <w:r>
              <w:rPr>
                <w:sz w:val="24"/>
              </w:rPr>
              <w:t>Provisions</w:t>
            </w:r>
            <w:r>
              <w:rPr>
                <w:spacing w:val="40"/>
                <w:sz w:val="24"/>
              </w:rPr>
              <w:t> </w:t>
            </w:r>
            <w:r>
              <w:rPr>
                <w:sz w:val="24"/>
              </w:rPr>
              <w:t>regarding</w:t>
            </w:r>
            <w:r>
              <w:rPr>
                <w:spacing w:val="40"/>
                <w:sz w:val="24"/>
              </w:rPr>
              <w:t> </w:t>
            </w:r>
            <w:r>
              <w:rPr>
                <w:sz w:val="24"/>
              </w:rPr>
              <w:t>relaxation</w:t>
            </w:r>
            <w:r>
              <w:rPr>
                <w:spacing w:val="40"/>
                <w:sz w:val="24"/>
              </w:rPr>
              <w:t> </w:t>
            </w:r>
            <w:r>
              <w:rPr>
                <w:sz w:val="24"/>
              </w:rPr>
              <w:t>in</w:t>
            </w:r>
            <w:r>
              <w:rPr>
                <w:spacing w:val="40"/>
                <w:sz w:val="24"/>
              </w:rPr>
              <w:t> </w:t>
            </w:r>
            <w:r>
              <w:rPr>
                <w:sz w:val="24"/>
              </w:rPr>
              <w:t>open spaces in narrow </w:t>
            </w:r>
            <w:r>
              <w:rPr>
                <w:spacing w:val="9"/>
                <w:sz w:val="24"/>
              </w:rPr>
              <w:t>plots</w:t>
            </w:r>
          </w:p>
        </w:tc>
        <w:tc>
          <w:tcPr>
            <w:tcW w:w="1001" w:type="dxa"/>
          </w:tcPr>
          <w:p>
            <w:pPr>
              <w:pStyle w:val="TableParagraph"/>
              <w:spacing w:before="49"/>
              <w:ind w:left="6"/>
              <w:jc w:val="center"/>
              <w:rPr>
                <w:sz w:val="24"/>
              </w:rPr>
            </w:pPr>
            <w:r>
              <w:rPr>
                <w:spacing w:val="-5"/>
                <w:sz w:val="24"/>
              </w:rPr>
              <w:t>346</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(8)</w:t>
            </w:r>
            <w:r>
              <w:rPr>
                <w:spacing w:val="57"/>
                <w:sz w:val="24"/>
              </w:rPr>
              <w:t> </w:t>
            </w:r>
            <w:r>
              <w:rPr>
                <w:sz w:val="24"/>
              </w:rPr>
              <w:t>Interior</w:t>
            </w:r>
            <w:r>
              <w:rPr>
                <w:spacing w:val="57"/>
                <w:sz w:val="24"/>
              </w:rPr>
              <w:t> </w:t>
            </w:r>
            <w:r>
              <w:rPr>
                <w:sz w:val="24"/>
              </w:rPr>
              <w:t>open</w:t>
            </w:r>
            <w:r>
              <w:rPr>
                <w:spacing w:val="64"/>
                <w:sz w:val="24"/>
              </w:rPr>
              <w:t> </w:t>
            </w:r>
            <w:r>
              <w:rPr>
                <w:sz w:val="24"/>
              </w:rPr>
              <w:t>spaces</w:t>
            </w:r>
            <w:r>
              <w:rPr>
                <w:spacing w:val="58"/>
                <w:sz w:val="24"/>
              </w:rPr>
              <w:t> </w:t>
            </w:r>
            <w:r>
              <w:rPr>
                <w:spacing w:val="-2"/>
                <w:sz w:val="24"/>
              </w:rPr>
              <w:t>(chowks)</w:t>
            </w:r>
          </w:p>
        </w:tc>
        <w:tc>
          <w:tcPr>
            <w:tcW w:w="1001" w:type="dxa"/>
          </w:tcPr>
          <w:p>
            <w:pPr>
              <w:pStyle w:val="TableParagraph"/>
              <w:spacing w:before="47"/>
              <w:ind w:left="6"/>
              <w:jc w:val="center"/>
              <w:rPr>
                <w:sz w:val="24"/>
              </w:rPr>
            </w:pPr>
            <w:r>
              <w:rPr>
                <w:spacing w:val="-5"/>
                <w:sz w:val="24"/>
              </w:rPr>
              <w:t>348</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(9)</w:t>
            </w:r>
            <w:r>
              <w:rPr>
                <w:spacing w:val="38"/>
                <w:sz w:val="24"/>
              </w:rPr>
              <w:t> </w:t>
            </w:r>
            <w:r>
              <w:rPr>
                <w:sz w:val="24"/>
              </w:rPr>
              <w:t>Open</w:t>
            </w:r>
            <w:r>
              <w:rPr>
                <w:spacing w:val="44"/>
                <w:sz w:val="24"/>
              </w:rPr>
              <w:t> </w:t>
            </w:r>
            <w:r>
              <w:rPr>
                <w:sz w:val="24"/>
              </w:rPr>
              <w:t>spaces</w:t>
            </w:r>
            <w:r>
              <w:rPr>
                <w:spacing w:val="40"/>
                <w:sz w:val="24"/>
              </w:rPr>
              <w:t> </w:t>
            </w:r>
            <w:r>
              <w:rPr>
                <w:sz w:val="24"/>
              </w:rPr>
              <w:t>to</w:t>
            </w:r>
            <w:r>
              <w:rPr>
                <w:spacing w:val="44"/>
                <w:sz w:val="24"/>
              </w:rPr>
              <w:t> </w:t>
            </w:r>
            <w:r>
              <w:rPr>
                <w:sz w:val="24"/>
              </w:rPr>
              <w:t>be</w:t>
            </w:r>
            <w:r>
              <w:rPr>
                <w:spacing w:val="41"/>
                <w:sz w:val="24"/>
              </w:rPr>
              <w:t> </w:t>
            </w:r>
            <w:r>
              <w:rPr>
                <w:spacing w:val="-2"/>
                <w:sz w:val="24"/>
              </w:rPr>
              <w:t>unencumbered</w:t>
            </w:r>
          </w:p>
        </w:tc>
        <w:tc>
          <w:tcPr>
            <w:tcW w:w="1001" w:type="dxa"/>
          </w:tcPr>
          <w:p>
            <w:pPr>
              <w:pStyle w:val="TableParagraph"/>
              <w:spacing w:before="47"/>
              <w:ind w:left="6"/>
              <w:jc w:val="center"/>
              <w:rPr>
                <w:sz w:val="24"/>
              </w:rPr>
            </w:pPr>
            <w:r>
              <w:rPr>
                <w:spacing w:val="-5"/>
                <w:sz w:val="24"/>
              </w:rPr>
              <w:t>349</w:t>
            </w:r>
          </w:p>
        </w:tc>
      </w:tr>
      <w:tr>
        <w:trPr>
          <w:trHeight w:val="378" w:hRule="atLeast"/>
        </w:trPr>
        <w:tc>
          <w:tcPr>
            <w:tcW w:w="1572" w:type="dxa"/>
          </w:tcPr>
          <w:p>
            <w:pPr>
              <w:pStyle w:val="TableParagraph"/>
              <w:spacing w:before="49"/>
              <w:ind w:left="9" w:right="2"/>
              <w:jc w:val="center"/>
              <w:rPr>
                <w:sz w:val="24"/>
              </w:rPr>
            </w:pPr>
            <w:r>
              <w:rPr>
                <w:spacing w:val="-5"/>
                <w:sz w:val="24"/>
              </w:rPr>
              <w:t>42</w:t>
            </w:r>
          </w:p>
        </w:tc>
        <w:tc>
          <w:tcPr>
            <w:tcW w:w="6196" w:type="dxa"/>
          </w:tcPr>
          <w:p>
            <w:pPr>
              <w:pStyle w:val="TableParagraph"/>
              <w:spacing w:before="49"/>
              <w:ind w:left="287"/>
              <w:rPr>
                <w:b/>
                <w:sz w:val="24"/>
              </w:rPr>
            </w:pPr>
            <w:r>
              <w:rPr>
                <w:b/>
                <w:sz w:val="24"/>
              </w:rPr>
              <w:t>Features</w:t>
            </w:r>
            <w:r>
              <w:rPr>
                <w:b/>
                <w:spacing w:val="-3"/>
                <w:sz w:val="24"/>
              </w:rPr>
              <w:t> </w:t>
            </w:r>
            <w:r>
              <w:rPr>
                <w:b/>
                <w:sz w:val="24"/>
              </w:rPr>
              <w:t>permitted</w:t>
            </w:r>
            <w:r>
              <w:rPr>
                <w:b/>
                <w:spacing w:val="-3"/>
                <w:sz w:val="24"/>
              </w:rPr>
              <w:t> </w:t>
            </w:r>
            <w:r>
              <w:rPr>
                <w:b/>
                <w:sz w:val="24"/>
              </w:rPr>
              <w:t>in</w:t>
            </w:r>
            <w:r>
              <w:rPr>
                <w:b/>
                <w:spacing w:val="-3"/>
                <w:sz w:val="24"/>
              </w:rPr>
              <w:t> </w:t>
            </w:r>
            <w:r>
              <w:rPr>
                <w:b/>
                <w:sz w:val="24"/>
              </w:rPr>
              <w:t>open</w:t>
            </w:r>
            <w:r>
              <w:rPr>
                <w:b/>
                <w:spacing w:val="-3"/>
                <w:sz w:val="24"/>
              </w:rPr>
              <w:t> </w:t>
            </w:r>
            <w:r>
              <w:rPr>
                <w:b/>
                <w:spacing w:val="-2"/>
                <w:sz w:val="24"/>
              </w:rPr>
              <w:t>spaces</w:t>
            </w:r>
          </w:p>
        </w:tc>
        <w:tc>
          <w:tcPr>
            <w:tcW w:w="1001" w:type="dxa"/>
          </w:tcPr>
          <w:p>
            <w:pPr>
              <w:pStyle w:val="TableParagraph"/>
              <w:rPr>
                <w:rFonts w:ascii="Times New Roman"/>
                <w:sz w:val="22"/>
              </w:rPr>
            </w:pPr>
          </w:p>
        </w:tc>
      </w:tr>
      <w:tr>
        <w:trPr>
          <w:trHeight w:val="640"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(i)</w:t>
            </w:r>
            <w:r>
              <w:rPr>
                <w:spacing w:val="40"/>
                <w:sz w:val="24"/>
              </w:rPr>
              <w:t> </w:t>
            </w:r>
            <w:r>
              <w:rPr>
                <w:sz w:val="24"/>
              </w:rPr>
              <w:t>Permitted</w:t>
            </w:r>
            <w:r>
              <w:rPr>
                <w:spacing w:val="40"/>
                <w:sz w:val="24"/>
              </w:rPr>
              <w:t> </w:t>
            </w:r>
            <w:r>
              <w:rPr>
                <w:sz w:val="24"/>
              </w:rPr>
              <w:t>in</w:t>
            </w:r>
            <w:r>
              <w:rPr>
                <w:spacing w:val="40"/>
                <w:sz w:val="24"/>
              </w:rPr>
              <w:t> </w:t>
            </w:r>
            <w:r>
              <w:rPr>
                <w:sz w:val="24"/>
              </w:rPr>
              <w:t>the</w:t>
            </w:r>
            <w:r>
              <w:rPr>
                <w:spacing w:val="40"/>
                <w:sz w:val="24"/>
              </w:rPr>
              <w:t> </w:t>
            </w:r>
            <w:r>
              <w:rPr>
                <w:sz w:val="24"/>
              </w:rPr>
              <w:t>side</w:t>
            </w:r>
            <w:r>
              <w:rPr>
                <w:spacing w:val="40"/>
                <w:sz w:val="24"/>
              </w:rPr>
              <w:t> </w:t>
            </w:r>
            <w:r>
              <w:rPr>
                <w:sz w:val="24"/>
              </w:rPr>
              <w:t>or</w:t>
            </w:r>
            <w:r>
              <w:rPr>
                <w:spacing w:val="40"/>
                <w:sz w:val="24"/>
              </w:rPr>
              <w:t> </w:t>
            </w:r>
            <w:r>
              <w:rPr>
                <w:sz w:val="24"/>
              </w:rPr>
              <w:t>rear</w:t>
            </w:r>
            <w:r>
              <w:rPr>
                <w:spacing w:val="40"/>
                <w:sz w:val="24"/>
              </w:rPr>
              <w:t> </w:t>
            </w:r>
            <w:r>
              <w:rPr>
                <w:sz w:val="24"/>
              </w:rPr>
              <w:t>marginal</w:t>
            </w:r>
            <w:r>
              <w:rPr>
                <w:spacing w:val="40"/>
                <w:sz w:val="24"/>
              </w:rPr>
              <w:t> </w:t>
            </w:r>
            <w:r>
              <w:rPr>
                <w:sz w:val="24"/>
              </w:rPr>
              <w:t>open </w:t>
            </w:r>
            <w:r>
              <w:rPr>
                <w:spacing w:val="-2"/>
                <w:sz w:val="24"/>
              </w:rPr>
              <w:t>spaces</w:t>
            </w:r>
          </w:p>
        </w:tc>
        <w:tc>
          <w:tcPr>
            <w:tcW w:w="1001" w:type="dxa"/>
          </w:tcPr>
          <w:p>
            <w:pPr>
              <w:pStyle w:val="TableParagraph"/>
              <w:spacing w:line="281" w:lineRule="exact"/>
              <w:ind w:left="6"/>
              <w:jc w:val="center"/>
              <w:rPr>
                <w:sz w:val="24"/>
              </w:rPr>
            </w:pPr>
            <w:r>
              <w:rPr>
                <w:spacing w:val="-5"/>
                <w:sz w:val="24"/>
              </w:rPr>
              <w:t>349</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(ii)</w:t>
            </w:r>
            <w:r>
              <w:rPr>
                <w:spacing w:val="59"/>
                <w:sz w:val="24"/>
              </w:rPr>
              <w:t> </w:t>
            </w:r>
            <w:r>
              <w:rPr>
                <w:sz w:val="24"/>
              </w:rPr>
              <w:t>Other</w:t>
            </w:r>
            <w:r>
              <w:rPr>
                <w:spacing w:val="59"/>
                <w:sz w:val="24"/>
              </w:rPr>
              <w:t> </w:t>
            </w:r>
            <w:r>
              <w:rPr>
                <w:sz w:val="24"/>
              </w:rPr>
              <w:t>features</w:t>
            </w:r>
            <w:r>
              <w:rPr>
                <w:spacing w:val="62"/>
                <w:sz w:val="24"/>
              </w:rPr>
              <w:t> </w:t>
            </w:r>
            <w:r>
              <w:rPr>
                <w:sz w:val="24"/>
              </w:rPr>
              <w:t>permitted</w:t>
            </w:r>
            <w:r>
              <w:rPr>
                <w:spacing w:val="59"/>
                <w:sz w:val="24"/>
              </w:rPr>
              <w:t> </w:t>
            </w:r>
            <w:r>
              <w:rPr>
                <w:sz w:val="24"/>
              </w:rPr>
              <w:t>in</w:t>
            </w:r>
            <w:r>
              <w:rPr>
                <w:spacing w:val="59"/>
                <w:sz w:val="24"/>
              </w:rPr>
              <w:t> </w:t>
            </w:r>
            <w:r>
              <w:rPr>
                <w:sz w:val="24"/>
              </w:rPr>
              <w:t>open</w:t>
            </w:r>
            <w:r>
              <w:rPr>
                <w:spacing w:val="62"/>
                <w:sz w:val="24"/>
              </w:rPr>
              <w:t> </w:t>
            </w:r>
            <w:r>
              <w:rPr>
                <w:spacing w:val="-2"/>
                <w:sz w:val="24"/>
              </w:rPr>
              <w:t>space</w:t>
            </w:r>
          </w:p>
        </w:tc>
        <w:tc>
          <w:tcPr>
            <w:tcW w:w="1001" w:type="dxa"/>
          </w:tcPr>
          <w:p>
            <w:pPr>
              <w:pStyle w:val="TableParagraph"/>
              <w:spacing w:line="281" w:lineRule="exact"/>
              <w:ind w:left="6"/>
              <w:jc w:val="center"/>
              <w:rPr>
                <w:sz w:val="24"/>
              </w:rPr>
            </w:pPr>
            <w:r>
              <w:rPr>
                <w:spacing w:val="-5"/>
                <w:sz w:val="24"/>
              </w:rPr>
              <w:t>349</w:t>
            </w:r>
          </w:p>
        </w:tc>
      </w:tr>
      <w:tr>
        <w:trPr>
          <w:trHeight w:val="357" w:hRule="atLeast"/>
        </w:trPr>
        <w:tc>
          <w:tcPr>
            <w:tcW w:w="1572" w:type="dxa"/>
          </w:tcPr>
          <w:p>
            <w:pPr>
              <w:pStyle w:val="TableParagraph"/>
              <w:spacing w:before="47"/>
              <w:ind w:left="9" w:right="2"/>
              <w:jc w:val="center"/>
              <w:rPr>
                <w:sz w:val="24"/>
              </w:rPr>
            </w:pPr>
            <w:r>
              <w:rPr>
                <w:spacing w:val="-5"/>
                <w:sz w:val="24"/>
              </w:rPr>
              <w:t>43</w:t>
            </w:r>
          </w:p>
        </w:tc>
        <w:tc>
          <w:tcPr>
            <w:tcW w:w="6196" w:type="dxa"/>
          </w:tcPr>
          <w:p>
            <w:pPr>
              <w:pStyle w:val="TableParagraph"/>
              <w:spacing w:before="47"/>
              <w:ind w:left="287"/>
              <w:rPr>
                <w:b/>
                <w:sz w:val="24"/>
              </w:rPr>
            </w:pPr>
            <w:r>
              <w:rPr>
                <w:b/>
                <w:sz w:val="24"/>
              </w:rPr>
              <w:t>Heights of </w:t>
            </w:r>
            <w:r>
              <w:rPr>
                <w:b/>
                <w:spacing w:val="-2"/>
                <w:sz w:val="24"/>
              </w:rPr>
              <w:t>Buildings</w:t>
            </w:r>
          </w:p>
        </w:tc>
        <w:tc>
          <w:tcPr>
            <w:tcW w:w="1001" w:type="dxa"/>
          </w:tcPr>
          <w:p>
            <w:pPr>
              <w:pStyle w:val="TableParagraph"/>
              <w:spacing w:before="47"/>
              <w:ind w:left="6"/>
              <w:jc w:val="center"/>
              <w:rPr>
                <w:sz w:val="24"/>
              </w:rPr>
            </w:pPr>
            <w:r>
              <w:rPr>
                <w:spacing w:val="-5"/>
                <w:sz w:val="24"/>
              </w:rPr>
              <w:t>351</w:t>
            </w:r>
          </w:p>
        </w:tc>
      </w:tr>
      <w:tr>
        <w:trPr>
          <w:trHeight w:val="357" w:hRule="atLeast"/>
        </w:trPr>
        <w:tc>
          <w:tcPr>
            <w:tcW w:w="1572" w:type="dxa"/>
          </w:tcPr>
          <w:p>
            <w:pPr>
              <w:pStyle w:val="TableParagraph"/>
              <w:spacing w:before="47"/>
              <w:ind w:left="9" w:right="2"/>
              <w:jc w:val="center"/>
              <w:rPr>
                <w:sz w:val="24"/>
              </w:rPr>
            </w:pPr>
            <w:r>
              <w:rPr>
                <w:spacing w:val="-5"/>
                <w:sz w:val="24"/>
              </w:rPr>
              <w:t>44</w:t>
            </w:r>
          </w:p>
        </w:tc>
        <w:tc>
          <w:tcPr>
            <w:tcW w:w="6196" w:type="dxa"/>
          </w:tcPr>
          <w:p>
            <w:pPr>
              <w:pStyle w:val="TableParagraph"/>
              <w:spacing w:before="47"/>
              <w:ind w:left="287"/>
              <w:rPr>
                <w:b/>
                <w:sz w:val="24"/>
              </w:rPr>
            </w:pPr>
            <w:r>
              <w:rPr>
                <w:b/>
                <w:sz w:val="24"/>
              </w:rPr>
              <w:t>Parking</w:t>
            </w:r>
            <w:r>
              <w:rPr>
                <w:b/>
                <w:spacing w:val="-6"/>
                <w:sz w:val="24"/>
              </w:rPr>
              <w:t> </w:t>
            </w:r>
            <w:r>
              <w:rPr>
                <w:b/>
                <w:spacing w:val="-2"/>
                <w:sz w:val="24"/>
              </w:rPr>
              <w:t>Spaces</w:t>
            </w:r>
          </w:p>
        </w:tc>
        <w:tc>
          <w:tcPr>
            <w:tcW w:w="1001" w:type="dxa"/>
          </w:tcPr>
          <w:p>
            <w:pPr>
              <w:pStyle w:val="TableParagraph"/>
              <w:rPr>
                <w:rFonts w:ascii="Times New Roman"/>
                <w:sz w:val="22"/>
              </w:rPr>
            </w:pP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56"/>
                <w:sz w:val="24"/>
              </w:rPr>
              <w:t> </w:t>
            </w:r>
            <w:r>
              <w:rPr>
                <w:sz w:val="24"/>
              </w:rPr>
              <w:t>General</w:t>
            </w:r>
            <w:r>
              <w:rPr>
                <w:spacing w:val="56"/>
                <w:sz w:val="24"/>
              </w:rPr>
              <w:t> </w:t>
            </w:r>
            <w:r>
              <w:rPr>
                <w:sz w:val="24"/>
              </w:rPr>
              <w:t>Space</w:t>
            </w:r>
            <w:r>
              <w:rPr>
                <w:spacing w:val="59"/>
                <w:sz w:val="24"/>
              </w:rPr>
              <w:t> </w:t>
            </w:r>
            <w:r>
              <w:rPr>
                <w:spacing w:val="7"/>
                <w:sz w:val="24"/>
              </w:rPr>
              <w:t>Requirement</w:t>
            </w:r>
          </w:p>
        </w:tc>
        <w:tc>
          <w:tcPr>
            <w:tcW w:w="1001" w:type="dxa"/>
          </w:tcPr>
          <w:p>
            <w:pPr>
              <w:pStyle w:val="TableParagraph"/>
              <w:spacing w:before="47"/>
              <w:ind w:left="6"/>
              <w:jc w:val="center"/>
              <w:rPr>
                <w:sz w:val="24"/>
              </w:rPr>
            </w:pPr>
            <w:r>
              <w:rPr>
                <w:spacing w:val="-5"/>
                <w:sz w:val="24"/>
              </w:rPr>
              <w:t>351</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(2)</w:t>
            </w:r>
            <w:r>
              <w:rPr>
                <w:spacing w:val="77"/>
                <w:sz w:val="24"/>
              </w:rPr>
              <w:t> </w:t>
            </w:r>
            <w:r>
              <w:rPr>
                <w:sz w:val="24"/>
              </w:rPr>
              <w:t>Quantitative</w:t>
            </w:r>
            <w:r>
              <w:rPr>
                <w:spacing w:val="80"/>
                <w:sz w:val="24"/>
              </w:rPr>
              <w:t> </w:t>
            </w:r>
            <w:r>
              <w:rPr>
                <w:spacing w:val="7"/>
                <w:sz w:val="24"/>
              </w:rPr>
              <w:t>Requirements</w:t>
            </w:r>
          </w:p>
        </w:tc>
        <w:tc>
          <w:tcPr>
            <w:tcW w:w="1001" w:type="dxa"/>
          </w:tcPr>
          <w:p>
            <w:pPr>
              <w:pStyle w:val="TableParagraph"/>
              <w:spacing w:before="49"/>
              <w:ind w:left="6"/>
              <w:jc w:val="center"/>
              <w:rPr>
                <w:sz w:val="24"/>
              </w:rPr>
            </w:pPr>
            <w:r>
              <w:rPr>
                <w:spacing w:val="-5"/>
                <w:sz w:val="24"/>
              </w:rPr>
              <w:t>352</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43"/>
                <w:sz w:val="24"/>
              </w:rPr>
              <w:t> </w:t>
            </w:r>
            <w:r>
              <w:rPr>
                <w:sz w:val="24"/>
              </w:rPr>
              <w:t>Other</w:t>
            </w:r>
            <w:r>
              <w:rPr>
                <w:spacing w:val="49"/>
                <w:sz w:val="24"/>
              </w:rPr>
              <w:t> </w:t>
            </w:r>
            <w:r>
              <w:rPr>
                <w:spacing w:val="7"/>
                <w:sz w:val="24"/>
              </w:rPr>
              <w:t>vehicles</w:t>
            </w:r>
          </w:p>
        </w:tc>
        <w:tc>
          <w:tcPr>
            <w:tcW w:w="1001" w:type="dxa"/>
          </w:tcPr>
          <w:p>
            <w:pPr>
              <w:pStyle w:val="TableParagraph"/>
              <w:spacing w:before="47"/>
              <w:ind w:left="6"/>
              <w:jc w:val="center"/>
              <w:rPr>
                <w:sz w:val="24"/>
              </w:rPr>
            </w:pPr>
            <w:r>
              <w:rPr>
                <w:spacing w:val="-5"/>
                <w:sz w:val="24"/>
              </w:rPr>
              <w:t>356</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(4)</w:t>
            </w:r>
            <w:r>
              <w:rPr>
                <w:spacing w:val="53"/>
                <w:sz w:val="24"/>
              </w:rPr>
              <w:t> </w:t>
            </w:r>
            <w:r>
              <w:rPr>
                <w:sz w:val="24"/>
              </w:rPr>
              <w:t>Two</w:t>
            </w:r>
            <w:r>
              <w:rPr>
                <w:spacing w:val="49"/>
                <w:sz w:val="24"/>
              </w:rPr>
              <w:t> </w:t>
            </w:r>
            <w:r>
              <w:rPr>
                <w:sz w:val="24"/>
              </w:rPr>
              <w:t>wheeled</w:t>
            </w:r>
            <w:r>
              <w:rPr>
                <w:spacing w:val="53"/>
                <w:sz w:val="24"/>
              </w:rPr>
              <w:t> </w:t>
            </w:r>
            <w:r>
              <w:rPr>
                <w:sz w:val="24"/>
              </w:rPr>
              <w:t>motor</w:t>
            </w:r>
            <w:r>
              <w:rPr>
                <w:spacing w:val="50"/>
                <w:sz w:val="24"/>
              </w:rPr>
              <w:t> </w:t>
            </w:r>
            <w:r>
              <w:rPr>
                <w:spacing w:val="-4"/>
                <w:sz w:val="24"/>
              </w:rPr>
              <w:t>cycle</w:t>
            </w:r>
          </w:p>
        </w:tc>
        <w:tc>
          <w:tcPr>
            <w:tcW w:w="1001" w:type="dxa"/>
          </w:tcPr>
          <w:p>
            <w:pPr>
              <w:pStyle w:val="TableParagraph"/>
              <w:spacing w:line="281" w:lineRule="exact"/>
              <w:ind w:left="6"/>
              <w:jc w:val="center"/>
              <w:rPr>
                <w:sz w:val="24"/>
              </w:rPr>
            </w:pPr>
            <w:r>
              <w:rPr>
                <w:spacing w:val="-5"/>
                <w:sz w:val="24"/>
              </w:rPr>
              <w:t>356</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(5)</w:t>
            </w:r>
            <w:r>
              <w:rPr>
                <w:spacing w:val="65"/>
                <w:sz w:val="24"/>
              </w:rPr>
              <w:t> </w:t>
            </w:r>
            <w:r>
              <w:rPr>
                <w:sz w:val="24"/>
              </w:rPr>
              <w:t>Transport</w:t>
            </w:r>
            <w:r>
              <w:rPr>
                <w:spacing w:val="66"/>
                <w:sz w:val="24"/>
              </w:rPr>
              <w:t> </w:t>
            </w:r>
            <w:r>
              <w:rPr>
                <w:spacing w:val="-2"/>
                <w:sz w:val="24"/>
              </w:rPr>
              <w:t>Vehicles</w:t>
            </w:r>
          </w:p>
        </w:tc>
        <w:tc>
          <w:tcPr>
            <w:tcW w:w="1001" w:type="dxa"/>
          </w:tcPr>
          <w:p>
            <w:pPr>
              <w:pStyle w:val="TableParagraph"/>
              <w:spacing w:line="281" w:lineRule="exact"/>
              <w:ind w:left="6"/>
              <w:jc w:val="center"/>
              <w:rPr>
                <w:sz w:val="24"/>
              </w:rPr>
            </w:pPr>
            <w:r>
              <w:rPr>
                <w:spacing w:val="-5"/>
                <w:sz w:val="24"/>
              </w:rPr>
              <w:t>356</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(6)</w:t>
            </w:r>
            <w:r>
              <w:rPr>
                <w:spacing w:val="56"/>
                <w:sz w:val="24"/>
              </w:rPr>
              <w:t> </w:t>
            </w:r>
            <w:r>
              <w:rPr>
                <w:sz w:val="24"/>
              </w:rPr>
              <w:t>Parking</w:t>
            </w:r>
            <w:r>
              <w:rPr>
                <w:spacing w:val="56"/>
                <w:sz w:val="24"/>
              </w:rPr>
              <w:t> </w:t>
            </w:r>
            <w:r>
              <w:rPr>
                <w:spacing w:val="7"/>
                <w:sz w:val="24"/>
              </w:rPr>
              <w:t>Spaces</w:t>
            </w:r>
          </w:p>
        </w:tc>
        <w:tc>
          <w:tcPr>
            <w:tcW w:w="1001" w:type="dxa"/>
          </w:tcPr>
          <w:p>
            <w:pPr>
              <w:pStyle w:val="TableParagraph"/>
              <w:spacing w:before="47"/>
              <w:ind w:left="6"/>
              <w:jc w:val="center"/>
              <w:rPr>
                <w:sz w:val="24"/>
              </w:rPr>
            </w:pPr>
            <w:r>
              <w:rPr>
                <w:spacing w:val="-5"/>
                <w:sz w:val="24"/>
              </w:rPr>
              <w:t>356</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(7)</w:t>
            </w:r>
            <w:r>
              <w:rPr>
                <w:spacing w:val="64"/>
                <w:sz w:val="24"/>
              </w:rPr>
              <w:t> </w:t>
            </w:r>
            <w:r>
              <w:rPr>
                <w:sz w:val="24"/>
              </w:rPr>
              <w:t>Cinemas,</w:t>
            </w:r>
            <w:r>
              <w:rPr>
                <w:spacing w:val="68"/>
                <w:sz w:val="24"/>
              </w:rPr>
              <w:t> </w:t>
            </w:r>
            <w:r>
              <w:rPr>
                <w:sz w:val="24"/>
              </w:rPr>
              <w:t>Theatres</w:t>
            </w:r>
            <w:r>
              <w:rPr>
                <w:spacing w:val="64"/>
                <w:sz w:val="24"/>
              </w:rPr>
              <w:t> </w:t>
            </w:r>
            <w:r>
              <w:rPr>
                <w:sz w:val="24"/>
              </w:rPr>
              <w:t>and</w:t>
            </w:r>
            <w:r>
              <w:rPr>
                <w:spacing w:val="68"/>
                <w:sz w:val="24"/>
              </w:rPr>
              <w:t> </w:t>
            </w:r>
            <w:r>
              <w:rPr>
                <w:sz w:val="24"/>
              </w:rPr>
              <w:t>Assembly</w:t>
            </w:r>
            <w:r>
              <w:rPr>
                <w:spacing w:val="68"/>
                <w:sz w:val="24"/>
              </w:rPr>
              <w:t> </w:t>
            </w:r>
            <w:r>
              <w:rPr>
                <w:spacing w:val="-2"/>
                <w:sz w:val="24"/>
              </w:rPr>
              <w:t>Halls</w:t>
            </w:r>
          </w:p>
        </w:tc>
        <w:tc>
          <w:tcPr>
            <w:tcW w:w="1001" w:type="dxa"/>
          </w:tcPr>
          <w:p>
            <w:pPr>
              <w:pStyle w:val="TableParagraph"/>
              <w:spacing w:before="49"/>
              <w:ind w:left="6"/>
              <w:jc w:val="center"/>
              <w:rPr>
                <w:sz w:val="24"/>
              </w:rPr>
            </w:pPr>
            <w:r>
              <w:rPr>
                <w:spacing w:val="-5"/>
                <w:sz w:val="24"/>
              </w:rPr>
              <w:t>357</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(8)</w:t>
            </w:r>
            <w:r>
              <w:rPr>
                <w:spacing w:val="60"/>
                <w:sz w:val="24"/>
              </w:rPr>
              <w:t> </w:t>
            </w:r>
            <w:r>
              <w:rPr>
                <w:sz w:val="24"/>
              </w:rPr>
              <w:t>Common</w:t>
            </w:r>
            <w:r>
              <w:rPr>
                <w:spacing w:val="61"/>
                <w:sz w:val="24"/>
              </w:rPr>
              <w:t> </w:t>
            </w:r>
            <w:r>
              <w:rPr>
                <w:sz w:val="24"/>
              </w:rPr>
              <w:t>Parking</w:t>
            </w:r>
            <w:r>
              <w:rPr>
                <w:spacing w:val="59"/>
                <w:sz w:val="24"/>
              </w:rPr>
              <w:t> </w:t>
            </w:r>
            <w:r>
              <w:rPr>
                <w:spacing w:val="-4"/>
                <w:sz w:val="24"/>
              </w:rPr>
              <w:t>Space</w:t>
            </w:r>
          </w:p>
        </w:tc>
        <w:tc>
          <w:tcPr>
            <w:tcW w:w="1001" w:type="dxa"/>
          </w:tcPr>
          <w:p>
            <w:pPr>
              <w:pStyle w:val="TableParagraph"/>
              <w:spacing w:before="47"/>
              <w:ind w:left="6"/>
              <w:jc w:val="center"/>
              <w:rPr>
                <w:sz w:val="24"/>
              </w:rPr>
            </w:pPr>
            <w:r>
              <w:rPr>
                <w:spacing w:val="-5"/>
                <w:sz w:val="24"/>
              </w:rPr>
              <w:t>358</w:t>
            </w:r>
          </w:p>
        </w:tc>
      </w:tr>
      <w:tr>
        <w:trPr>
          <w:trHeight w:val="357" w:hRule="atLeast"/>
        </w:trPr>
        <w:tc>
          <w:tcPr>
            <w:tcW w:w="1572" w:type="dxa"/>
          </w:tcPr>
          <w:p>
            <w:pPr>
              <w:pStyle w:val="TableParagraph"/>
              <w:spacing w:before="47"/>
              <w:ind w:left="9" w:right="2"/>
              <w:jc w:val="center"/>
              <w:rPr>
                <w:sz w:val="24"/>
              </w:rPr>
            </w:pPr>
            <w:r>
              <w:rPr>
                <w:spacing w:val="-5"/>
                <w:sz w:val="24"/>
              </w:rPr>
              <w:t>45</w:t>
            </w:r>
          </w:p>
        </w:tc>
        <w:tc>
          <w:tcPr>
            <w:tcW w:w="6196" w:type="dxa"/>
          </w:tcPr>
          <w:p>
            <w:pPr>
              <w:pStyle w:val="TableParagraph"/>
              <w:spacing w:before="47"/>
              <w:ind w:left="107"/>
              <w:rPr>
                <w:b/>
                <w:sz w:val="24"/>
              </w:rPr>
            </w:pPr>
            <w:r>
              <w:rPr>
                <w:b/>
                <w:sz w:val="24"/>
              </w:rPr>
              <w:t>Restrictions</w:t>
            </w:r>
            <w:r>
              <w:rPr>
                <w:b/>
                <w:spacing w:val="-4"/>
                <w:sz w:val="24"/>
              </w:rPr>
              <w:t> </w:t>
            </w:r>
            <w:r>
              <w:rPr>
                <w:b/>
                <w:sz w:val="24"/>
              </w:rPr>
              <w:t>on</w:t>
            </w:r>
            <w:r>
              <w:rPr>
                <w:b/>
                <w:spacing w:val="-2"/>
                <w:sz w:val="24"/>
              </w:rPr>
              <w:t> </w:t>
            </w:r>
            <w:r>
              <w:rPr>
                <w:b/>
                <w:sz w:val="24"/>
              </w:rPr>
              <w:t>Development</w:t>
            </w:r>
            <w:r>
              <w:rPr>
                <w:b/>
                <w:spacing w:val="-1"/>
                <w:sz w:val="24"/>
              </w:rPr>
              <w:t> </w:t>
            </w:r>
            <w:r>
              <w:rPr>
                <w:b/>
                <w:sz w:val="24"/>
              </w:rPr>
              <w:t>in</w:t>
            </w:r>
            <w:r>
              <w:rPr>
                <w:b/>
                <w:spacing w:val="-2"/>
                <w:sz w:val="24"/>
              </w:rPr>
              <w:t> </w:t>
            </w:r>
            <w:r>
              <w:rPr>
                <w:b/>
                <w:sz w:val="24"/>
              </w:rPr>
              <w:t>certain</w:t>
            </w:r>
            <w:r>
              <w:rPr>
                <w:b/>
                <w:spacing w:val="-1"/>
                <w:sz w:val="24"/>
              </w:rPr>
              <w:t> </w:t>
            </w:r>
            <w:r>
              <w:rPr>
                <w:b/>
                <w:spacing w:val="-2"/>
                <w:sz w:val="24"/>
              </w:rPr>
              <w:t>areas</w:t>
            </w:r>
          </w:p>
        </w:tc>
        <w:tc>
          <w:tcPr>
            <w:tcW w:w="1001" w:type="dxa"/>
          </w:tcPr>
          <w:p>
            <w:pPr>
              <w:pStyle w:val="TableParagraph"/>
              <w:rPr>
                <w:rFonts w:ascii="Times New Roman"/>
                <w:sz w:val="22"/>
              </w:rPr>
            </w:pPr>
          </w:p>
        </w:tc>
      </w:tr>
      <w:tr>
        <w:trPr>
          <w:trHeight w:val="969"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(A)</w:t>
            </w:r>
            <w:r>
              <w:rPr>
                <w:spacing w:val="43"/>
                <w:sz w:val="24"/>
              </w:rPr>
              <w:t> </w:t>
            </w:r>
            <w:r>
              <w:rPr>
                <w:sz w:val="24"/>
              </w:rPr>
              <w:t>Funnel</w:t>
            </w:r>
            <w:r>
              <w:rPr>
                <w:spacing w:val="44"/>
                <w:sz w:val="24"/>
              </w:rPr>
              <w:t> </w:t>
            </w:r>
            <w:r>
              <w:rPr>
                <w:sz w:val="24"/>
              </w:rPr>
              <w:t>of</w:t>
            </w:r>
            <w:r>
              <w:rPr>
                <w:spacing w:val="46"/>
                <w:sz w:val="24"/>
              </w:rPr>
              <w:t> </w:t>
            </w:r>
            <w:r>
              <w:rPr>
                <w:spacing w:val="-2"/>
                <w:sz w:val="24"/>
              </w:rPr>
              <w:t>Vision</w:t>
            </w:r>
          </w:p>
          <w:p>
            <w:pPr>
              <w:pStyle w:val="TableParagraph"/>
              <w:spacing w:before="47"/>
              <w:ind w:left="107"/>
              <w:rPr>
                <w:sz w:val="24"/>
              </w:rPr>
            </w:pPr>
            <w:r>
              <w:rPr>
                <w:sz w:val="24"/>
              </w:rPr>
              <w:t>(a)</w:t>
            </w:r>
            <w:r>
              <w:rPr>
                <w:spacing w:val="80"/>
                <w:sz w:val="24"/>
              </w:rPr>
              <w:t> </w:t>
            </w:r>
            <w:r>
              <w:rPr>
                <w:sz w:val="24"/>
              </w:rPr>
              <w:t>Preserving</w:t>
            </w:r>
            <w:r>
              <w:rPr>
                <w:spacing w:val="80"/>
                <w:sz w:val="24"/>
              </w:rPr>
              <w:t> </w:t>
            </w:r>
            <w:r>
              <w:rPr>
                <w:sz w:val="24"/>
              </w:rPr>
              <w:t>the</w:t>
            </w:r>
            <w:r>
              <w:rPr>
                <w:spacing w:val="80"/>
                <w:sz w:val="24"/>
              </w:rPr>
              <w:t> </w:t>
            </w:r>
            <w:r>
              <w:rPr>
                <w:sz w:val="24"/>
              </w:rPr>
              <w:t>view</w:t>
            </w:r>
            <w:r>
              <w:rPr>
                <w:spacing w:val="80"/>
                <w:sz w:val="24"/>
              </w:rPr>
              <w:t> </w:t>
            </w:r>
            <w:r>
              <w:rPr>
                <w:sz w:val="24"/>
              </w:rPr>
              <w:t>from</w:t>
            </w:r>
            <w:r>
              <w:rPr>
                <w:spacing w:val="80"/>
                <w:sz w:val="24"/>
              </w:rPr>
              <w:t> </w:t>
            </w:r>
            <w:r>
              <w:rPr>
                <w:sz w:val="24"/>
              </w:rPr>
              <w:t>the</w:t>
            </w:r>
            <w:r>
              <w:rPr>
                <w:spacing w:val="80"/>
                <w:sz w:val="24"/>
              </w:rPr>
              <w:t> </w:t>
            </w:r>
            <w:r>
              <w:rPr>
                <w:sz w:val="24"/>
              </w:rPr>
              <w:t>Phiroz</w:t>
            </w:r>
            <w:r>
              <w:rPr>
                <w:spacing w:val="80"/>
                <w:sz w:val="24"/>
              </w:rPr>
              <w:t> </w:t>
            </w:r>
            <w:r>
              <w:rPr>
                <w:sz w:val="24"/>
              </w:rPr>
              <w:t>shah Mehta </w:t>
            </w:r>
            <w:r>
              <w:rPr>
                <w:spacing w:val="9"/>
                <w:sz w:val="24"/>
              </w:rPr>
              <w:t>Garden</w:t>
            </w:r>
          </w:p>
        </w:tc>
        <w:tc>
          <w:tcPr>
            <w:tcW w:w="1001" w:type="dxa"/>
          </w:tcPr>
          <w:p>
            <w:pPr>
              <w:pStyle w:val="TableParagraph"/>
              <w:spacing w:before="47"/>
              <w:ind w:left="6"/>
              <w:jc w:val="center"/>
              <w:rPr>
                <w:sz w:val="24"/>
              </w:rPr>
            </w:pPr>
            <w:r>
              <w:rPr>
                <w:spacing w:val="-5"/>
                <w:sz w:val="24"/>
              </w:rPr>
              <w:t>358</w:t>
            </w:r>
          </w:p>
        </w:tc>
      </w:tr>
      <w:tr>
        <w:trPr>
          <w:trHeight w:val="640"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(b).</w:t>
            </w:r>
            <w:r>
              <w:rPr>
                <w:spacing w:val="40"/>
                <w:sz w:val="24"/>
              </w:rPr>
              <w:t> </w:t>
            </w:r>
            <w:r>
              <w:rPr>
                <w:sz w:val="24"/>
              </w:rPr>
              <w:t>Preserving</w:t>
            </w:r>
            <w:r>
              <w:rPr>
                <w:spacing w:val="40"/>
                <w:sz w:val="24"/>
              </w:rPr>
              <w:t> </w:t>
            </w:r>
            <w:r>
              <w:rPr>
                <w:sz w:val="24"/>
              </w:rPr>
              <w:t>the</w:t>
            </w:r>
            <w:r>
              <w:rPr>
                <w:spacing w:val="40"/>
                <w:sz w:val="24"/>
              </w:rPr>
              <w:t> </w:t>
            </w:r>
            <w:r>
              <w:rPr>
                <w:sz w:val="24"/>
              </w:rPr>
              <w:t>eastern</w:t>
            </w:r>
            <w:r>
              <w:rPr>
                <w:spacing w:val="40"/>
                <w:sz w:val="24"/>
              </w:rPr>
              <w:t> </w:t>
            </w:r>
            <w:r>
              <w:rPr>
                <w:sz w:val="24"/>
              </w:rPr>
              <w:t>and</w:t>
            </w:r>
            <w:r>
              <w:rPr>
                <w:spacing w:val="40"/>
                <w:sz w:val="24"/>
              </w:rPr>
              <w:t> </w:t>
            </w:r>
            <w:r>
              <w:rPr>
                <w:sz w:val="24"/>
              </w:rPr>
              <w:t>southern</w:t>
            </w:r>
            <w:r>
              <w:rPr>
                <w:spacing w:val="40"/>
                <w:sz w:val="24"/>
              </w:rPr>
              <w:t> </w:t>
            </w:r>
            <w:r>
              <w:rPr>
                <w:sz w:val="24"/>
              </w:rPr>
              <w:t>view</w:t>
            </w:r>
            <w:r>
              <w:rPr>
                <w:spacing w:val="40"/>
                <w:sz w:val="24"/>
              </w:rPr>
              <w:t> </w:t>
            </w:r>
            <w:r>
              <w:rPr>
                <w:sz w:val="24"/>
              </w:rPr>
              <w:t>of the</w:t>
            </w:r>
            <w:r>
              <w:rPr>
                <w:spacing w:val="40"/>
                <w:sz w:val="24"/>
              </w:rPr>
              <w:t> </w:t>
            </w:r>
            <w:r>
              <w:rPr>
                <w:sz w:val="24"/>
              </w:rPr>
              <w:t>Backbay</w:t>
            </w:r>
            <w:r>
              <w:rPr>
                <w:spacing w:val="40"/>
                <w:sz w:val="24"/>
              </w:rPr>
              <w:t> </w:t>
            </w:r>
            <w:r>
              <w:rPr>
                <w:sz w:val="24"/>
              </w:rPr>
              <w:t>Area,</w:t>
            </w:r>
            <w:r>
              <w:rPr>
                <w:spacing w:val="40"/>
                <w:sz w:val="24"/>
              </w:rPr>
              <w:t> </w:t>
            </w:r>
            <w:r>
              <w:rPr>
                <w:sz w:val="24"/>
              </w:rPr>
              <w:t>Marine</w:t>
            </w:r>
            <w:r>
              <w:rPr>
                <w:spacing w:val="9"/>
                <w:sz w:val="24"/>
              </w:rPr>
              <w:t> Drive</w:t>
            </w:r>
          </w:p>
        </w:tc>
        <w:tc>
          <w:tcPr>
            <w:tcW w:w="1001" w:type="dxa"/>
          </w:tcPr>
          <w:p>
            <w:pPr>
              <w:pStyle w:val="TableParagraph"/>
              <w:spacing w:before="47"/>
              <w:ind w:left="6"/>
              <w:jc w:val="center"/>
              <w:rPr>
                <w:sz w:val="24"/>
              </w:rPr>
            </w:pPr>
            <w:r>
              <w:rPr>
                <w:spacing w:val="-5"/>
                <w:sz w:val="24"/>
              </w:rPr>
              <w:t>358</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640" w:hRule="atLeast"/>
        </w:trPr>
        <w:tc>
          <w:tcPr>
            <w:tcW w:w="1572" w:type="dxa"/>
          </w:tcPr>
          <w:p>
            <w:pPr>
              <w:pStyle w:val="TableParagraph"/>
              <w:rPr>
                <w:rFonts w:ascii="Times New Roman"/>
                <w:sz w:val="22"/>
              </w:rPr>
            </w:pPr>
          </w:p>
        </w:tc>
        <w:tc>
          <w:tcPr>
            <w:tcW w:w="6196" w:type="dxa"/>
          </w:tcPr>
          <w:p>
            <w:pPr>
              <w:pStyle w:val="TableParagraph"/>
              <w:tabs>
                <w:tab w:pos="713" w:val="left" w:leader="none"/>
                <w:tab w:pos="1800" w:val="left" w:leader="none"/>
                <w:tab w:pos="3501" w:val="left" w:leader="none"/>
                <w:tab w:pos="4006" w:val="left" w:leader="none"/>
                <w:tab w:pos="4668" w:val="left" w:leader="none"/>
                <w:tab w:pos="5846" w:val="left" w:leader="none"/>
              </w:tabs>
              <w:spacing w:before="50"/>
              <w:ind w:left="107" w:right="114"/>
              <w:rPr>
                <w:sz w:val="24"/>
              </w:rPr>
            </w:pPr>
            <w:r>
              <w:rPr>
                <w:spacing w:val="-4"/>
                <w:sz w:val="24"/>
              </w:rPr>
              <w:t>(B)</w:t>
            </w:r>
            <w:r>
              <w:rPr>
                <w:sz w:val="24"/>
              </w:rPr>
              <w:tab/>
            </w:r>
            <w:r>
              <w:rPr>
                <w:spacing w:val="-2"/>
                <w:sz w:val="24"/>
              </w:rPr>
              <w:t>Height</w:t>
            </w:r>
            <w:r>
              <w:rPr>
                <w:sz w:val="24"/>
              </w:rPr>
              <w:tab/>
            </w:r>
            <w:r>
              <w:rPr>
                <w:spacing w:val="-2"/>
                <w:sz w:val="24"/>
              </w:rPr>
              <w:t>restrictions</w:t>
            </w:r>
            <w:r>
              <w:rPr>
                <w:sz w:val="24"/>
              </w:rPr>
              <w:tab/>
            </w:r>
            <w:r>
              <w:rPr>
                <w:spacing w:val="-6"/>
                <w:sz w:val="24"/>
              </w:rPr>
              <w:t>in</w:t>
            </w:r>
            <w:r>
              <w:rPr>
                <w:sz w:val="24"/>
              </w:rPr>
              <w:tab/>
            </w:r>
            <w:r>
              <w:rPr>
                <w:spacing w:val="-4"/>
                <w:sz w:val="24"/>
              </w:rPr>
              <w:t>the</w:t>
            </w:r>
            <w:r>
              <w:rPr>
                <w:sz w:val="24"/>
              </w:rPr>
              <w:tab/>
            </w:r>
            <w:r>
              <w:rPr>
                <w:spacing w:val="-2"/>
                <w:sz w:val="24"/>
              </w:rPr>
              <w:t>vicinity</w:t>
            </w:r>
            <w:r>
              <w:rPr>
                <w:sz w:val="24"/>
              </w:rPr>
              <w:tab/>
            </w:r>
            <w:r>
              <w:rPr>
                <w:spacing w:val="-6"/>
                <w:sz w:val="24"/>
              </w:rPr>
              <w:t>o</w:t>
            </w:r>
            <w:r>
              <w:rPr>
                <w:spacing w:val="-6"/>
                <w:sz w:val="24"/>
              </w:rPr>
              <w:t>f</w:t>
            </w:r>
            <w:r>
              <w:rPr>
                <w:spacing w:val="-6"/>
                <w:sz w:val="24"/>
              </w:rPr>
              <w:t> </w:t>
            </w:r>
            <w:r>
              <w:rPr>
                <w:spacing w:val="7"/>
                <w:sz w:val="24"/>
              </w:rPr>
              <w:t>aerodromes</w:t>
            </w:r>
          </w:p>
        </w:tc>
        <w:tc>
          <w:tcPr>
            <w:tcW w:w="1001" w:type="dxa"/>
          </w:tcPr>
          <w:p>
            <w:pPr>
              <w:pStyle w:val="TableParagraph"/>
              <w:spacing w:before="50"/>
              <w:ind w:left="6"/>
              <w:jc w:val="center"/>
              <w:rPr>
                <w:sz w:val="24"/>
              </w:rPr>
            </w:pPr>
            <w:r>
              <w:rPr>
                <w:spacing w:val="-5"/>
                <w:sz w:val="24"/>
              </w:rPr>
              <w:t>359</w:t>
            </w:r>
          </w:p>
        </w:tc>
      </w:tr>
      <w:tr>
        <w:trPr>
          <w:trHeight w:val="640" w:hRule="atLeast"/>
        </w:trPr>
        <w:tc>
          <w:tcPr>
            <w:tcW w:w="1572" w:type="dxa"/>
          </w:tcPr>
          <w:p>
            <w:pPr>
              <w:pStyle w:val="TableParagraph"/>
              <w:rPr>
                <w:rFonts w:ascii="Times New Roman"/>
                <w:sz w:val="22"/>
              </w:rPr>
            </w:pPr>
          </w:p>
        </w:tc>
        <w:tc>
          <w:tcPr>
            <w:tcW w:w="6196" w:type="dxa"/>
          </w:tcPr>
          <w:p>
            <w:pPr>
              <w:pStyle w:val="TableParagraph"/>
              <w:tabs>
                <w:tab w:pos="721" w:val="left" w:leader="none"/>
                <w:tab w:pos="2055" w:val="left" w:leader="none"/>
                <w:tab w:pos="2906" w:val="left" w:leader="none"/>
                <w:tab w:pos="4240" w:val="left" w:leader="none"/>
                <w:tab w:pos="5417" w:val="left" w:leader="none"/>
              </w:tabs>
              <w:spacing w:before="47"/>
              <w:ind w:left="107" w:right="128"/>
              <w:rPr>
                <w:sz w:val="24"/>
              </w:rPr>
            </w:pPr>
            <w:r>
              <w:rPr>
                <w:spacing w:val="-4"/>
                <w:sz w:val="24"/>
              </w:rPr>
              <w:t>(C)</w:t>
            </w:r>
            <w:r>
              <w:rPr>
                <w:sz w:val="24"/>
              </w:rPr>
              <w:tab/>
            </w:r>
            <w:r>
              <w:rPr>
                <w:spacing w:val="-2"/>
                <w:sz w:val="24"/>
              </w:rPr>
              <w:t>Building</w:t>
            </w:r>
            <w:r>
              <w:rPr>
                <w:sz w:val="24"/>
              </w:rPr>
              <w:tab/>
            </w:r>
            <w:r>
              <w:rPr>
                <w:spacing w:val="-4"/>
                <w:sz w:val="24"/>
              </w:rPr>
              <w:t>sites</w:t>
            </w:r>
            <w:r>
              <w:rPr>
                <w:sz w:val="24"/>
              </w:rPr>
              <w:tab/>
            </w:r>
            <w:r>
              <w:rPr>
                <w:spacing w:val="-2"/>
                <w:sz w:val="24"/>
              </w:rPr>
              <w:t>abutting</w:t>
            </w:r>
            <w:r>
              <w:rPr>
                <w:sz w:val="24"/>
              </w:rPr>
              <w:tab/>
            </w:r>
            <w:r>
              <w:rPr>
                <w:spacing w:val="-2"/>
                <w:sz w:val="24"/>
              </w:rPr>
              <w:t>railway</w:t>
            </w:r>
            <w:r>
              <w:rPr>
                <w:sz w:val="24"/>
              </w:rPr>
              <w:tab/>
            </w:r>
            <w:r>
              <w:rPr>
                <w:spacing w:val="-2"/>
                <w:sz w:val="24"/>
              </w:rPr>
              <w:t>trac</w:t>
            </w:r>
            <w:r>
              <w:rPr>
                <w:spacing w:val="-2"/>
                <w:sz w:val="24"/>
              </w:rPr>
              <w:t>k</w:t>
            </w:r>
            <w:r>
              <w:rPr>
                <w:spacing w:val="-2"/>
                <w:sz w:val="24"/>
              </w:rPr>
              <w:t> boundary</w:t>
            </w:r>
          </w:p>
        </w:tc>
        <w:tc>
          <w:tcPr>
            <w:tcW w:w="1001" w:type="dxa"/>
          </w:tcPr>
          <w:p>
            <w:pPr>
              <w:pStyle w:val="TableParagraph"/>
              <w:spacing w:before="47"/>
              <w:ind w:left="6"/>
              <w:jc w:val="center"/>
              <w:rPr>
                <w:sz w:val="24"/>
              </w:rPr>
            </w:pPr>
            <w:r>
              <w:rPr>
                <w:spacing w:val="-5"/>
                <w:sz w:val="24"/>
              </w:rPr>
              <w:t>359</w:t>
            </w:r>
          </w:p>
        </w:tc>
      </w:tr>
      <w:tr>
        <w:trPr>
          <w:trHeight w:val="357" w:hRule="atLeast"/>
        </w:trPr>
        <w:tc>
          <w:tcPr>
            <w:tcW w:w="1572" w:type="dxa"/>
          </w:tcPr>
          <w:p>
            <w:pPr>
              <w:pStyle w:val="TableParagraph"/>
              <w:rPr>
                <w:rFonts w:ascii="Times New Roman"/>
                <w:sz w:val="22"/>
              </w:rPr>
            </w:pPr>
          </w:p>
        </w:tc>
        <w:tc>
          <w:tcPr>
            <w:tcW w:w="6196" w:type="dxa"/>
          </w:tcPr>
          <w:p>
            <w:pPr>
              <w:pStyle w:val="TableParagraph"/>
              <w:tabs>
                <w:tab w:pos="828" w:val="left" w:leader="none"/>
              </w:tabs>
              <w:spacing w:before="47"/>
              <w:ind w:left="107"/>
              <w:rPr>
                <w:sz w:val="24"/>
              </w:rPr>
            </w:pPr>
            <w:r>
              <w:rPr>
                <w:spacing w:val="-5"/>
                <w:sz w:val="24"/>
              </w:rPr>
              <w:t>(D)</w:t>
            </w:r>
            <w:r>
              <w:rPr>
                <w:sz w:val="24"/>
              </w:rPr>
              <w:tab/>
              <w:t>Distance</w:t>
            </w:r>
            <w:r>
              <w:rPr>
                <w:spacing w:val="44"/>
                <w:w w:val="150"/>
                <w:sz w:val="24"/>
              </w:rPr>
              <w:t> </w:t>
            </w:r>
            <w:r>
              <w:rPr>
                <w:sz w:val="24"/>
              </w:rPr>
              <w:t>from</w:t>
            </w:r>
            <w:r>
              <w:rPr>
                <w:spacing w:val="42"/>
                <w:w w:val="150"/>
                <w:sz w:val="24"/>
              </w:rPr>
              <w:t> </w:t>
            </w:r>
            <w:r>
              <w:rPr>
                <w:sz w:val="24"/>
              </w:rPr>
              <w:t>electricity</w:t>
            </w:r>
            <w:r>
              <w:rPr>
                <w:spacing w:val="41"/>
                <w:w w:val="150"/>
                <w:sz w:val="24"/>
              </w:rPr>
              <w:t> </w:t>
            </w:r>
            <w:r>
              <w:rPr>
                <w:spacing w:val="5"/>
                <w:sz w:val="24"/>
              </w:rPr>
              <w:t>lines</w:t>
            </w:r>
          </w:p>
        </w:tc>
        <w:tc>
          <w:tcPr>
            <w:tcW w:w="1001" w:type="dxa"/>
          </w:tcPr>
          <w:p>
            <w:pPr>
              <w:pStyle w:val="TableParagraph"/>
              <w:spacing w:before="47"/>
              <w:ind w:left="6"/>
              <w:jc w:val="center"/>
              <w:rPr>
                <w:sz w:val="24"/>
              </w:rPr>
            </w:pPr>
            <w:r>
              <w:rPr>
                <w:spacing w:val="-5"/>
                <w:sz w:val="24"/>
              </w:rPr>
              <w:t>360</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(E)</w:t>
            </w:r>
            <w:r>
              <w:rPr>
                <w:spacing w:val="46"/>
                <w:sz w:val="24"/>
              </w:rPr>
              <w:t>  </w:t>
            </w:r>
            <w:r>
              <w:rPr>
                <w:sz w:val="24"/>
              </w:rPr>
              <w:t>Other</w:t>
            </w:r>
            <w:r>
              <w:rPr>
                <w:spacing w:val="53"/>
                <w:sz w:val="24"/>
              </w:rPr>
              <w:t> </w:t>
            </w:r>
            <w:r>
              <w:rPr>
                <w:sz w:val="24"/>
              </w:rPr>
              <w:t>restrictions</w:t>
            </w:r>
            <w:r>
              <w:rPr>
                <w:spacing w:val="53"/>
                <w:sz w:val="24"/>
              </w:rPr>
              <w:t> </w:t>
            </w:r>
            <w:r>
              <w:rPr>
                <w:sz w:val="24"/>
              </w:rPr>
              <w:t>in</w:t>
            </w:r>
            <w:r>
              <w:rPr>
                <w:spacing w:val="54"/>
                <w:sz w:val="24"/>
              </w:rPr>
              <w:t> </w:t>
            </w:r>
            <w:r>
              <w:rPr>
                <w:spacing w:val="7"/>
                <w:sz w:val="24"/>
              </w:rPr>
              <w:t>height</w:t>
            </w:r>
          </w:p>
        </w:tc>
        <w:tc>
          <w:tcPr>
            <w:tcW w:w="1001" w:type="dxa"/>
          </w:tcPr>
          <w:p>
            <w:pPr>
              <w:pStyle w:val="TableParagraph"/>
              <w:spacing w:before="47"/>
              <w:ind w:left="6"/>
              <w:jc w:val="center"/>
              <w:rPr>
                <w:sz w:val="24"/>
              </w:rPr>
            </w:pPr>
            <w:r>
              <w:rPr>
                <w:spacing w:val="-5"/>
                <w:sz w:val="24"/>
              </w:rPr>
              <w:t>361</w:t>
            </w:r>
          </w:p>
        </w:tc>
      </w:tr>
      <w:tr>
        <w:trPr>
          <w:trHeight w:val="640" w:hRule="atLeast"/>
        </w:trPr>
        <w:tc>
          <w:tcPr>
            <w:tcW w:w="1572" w:type="dxa"/>
          </w:tcPr>
          <w:p>
            <w:pPr>
              <w:pStyle w:val="TableParagraph"/>
              <w:rPr>
                <w:rFonts w:ascii="Times New Roman"/>
                <w:sz w:val="22"/>
              </w:rPr>
            </w:pPr>
          </w:p>
        </w:tc>
        <w:tc>
          <w:tcPr>
            <w:tcW w:w="6196" w:type="dxa"/>
          </w:tcPr>
          <w:p>
            <w:pPr>
              <w:pStyle w:val="TableParagraph"/>
              <w:tabs>
                <w:tab w:pos="658" w:val="left" w:leader="none"/>
                <w:tab w:pos="2253" w:val="left" w:leader="none"/>
                <w:tab w:pos="2777" w:val="left" w:leader="none"/>
                <w:tab w:pos="4618" w:val="left" w:leader="none"/>
                <w:tab w:pos="5062" w:val="left" w:leader="none"/>
                <w:tab w:pos="5859" w:val="left" w:leader="none"/>
              </w:tabs>
              <w:spacing w:before="47"/>
              <w:ind w:left="107" w:right="93"/>
              <w:rPr>
                <w:sz w:val="24"/>
              </w:rPr>
            </w:pPr>
            <w:r>
              <w:rPr>
                <w:spacing w:val="-4"/>
                <w:sz w:val="24"/>
              </w:rPr>
              <w:t>(F)</w:t>
            </w:r>
            <w:r>
              <w:rPr>
                <w:sz w:val="24"/>
              </w:rPr>
              <w:tab/>
            </w:r>
            <w:r>
              <w:rPr>
                <w:spacing w:val="-2"/>
                <w:sz w:val="24"/>
              </w:rPr>
              <w:t>Restriction</w:t>
            </w:r>
            <w:r>
              <w:rPr>
                <w:sz w:val="24"/>
              </w:rPr>
              <w:tab/>
            </w:r>
            <w:r>
              <w:rPr>
                <w:spacing w:val="-6"/>
                <w:sz w:val="24"/>
              </w:rPr>
              <w:t>on</w:t>
            </w:r>
            <w:r>
              <w:rPr>
                <w:sz w:val="24"/>
              </w:rPr>
              <w:tab/>
            </w:r>
            <w:r>
              <w:rPr>
                <w:spacing w:val="-2"/>
                <w:sz w:val="24"/>
              </w:rPr>
              <w:t>Development</w:t>
            </w:r>
            <w:r>
              <w:rPr>
                <w:sz w:val="24"/>
              </w:rPr>
              <w:tab/>
            </w:r>
            <w:r>
              <w:rPr>
                <w:spacing w:val="-6"/>
                <w:sz w:val="24"/>
              </w:rPr>
              <w:t>of</w:t>
            </w:r>
            <w:r>
              <w:rPr>
                <w:sz w:val="24"/>
              </w:rPr>
              <w:tab/>
            </w:r>
            <w:r>
              <w:rPr>
                <w:spacing w:val="-2"/>
                <w:sz w:val="24"/>
              </w:rPr>
              <w:t>sites</w:t>
            </w:r>
            <w:r>
              <w:rPr>
                <w:sz w:val="24"/>
              </w:rPr>
              <w:tab/>
            </w:r>
            <w:r>
              <w:rPr>
                <w:spacing w:val="-6"/>
                <w:sz w:val="24"/>
              </w:rPr>
              <w:t>o</w:t>
            </w:r>
            <w:r>
              <w:rPr>
                <w:spacing w:val="-6"/>
                <w:sz w:val="24"/>
              </w:rPr>
              <w:t>f</w:t>
            </w:r>
            <w:r>
              <w:rPr>
                <w:spacing w:val="-6"/>
                <w:sz w:val="24"/>
              </w:rPr>
              <w:t> </w:t>
            </w:r>
            <w:r>
              <w:rPr>
                <w:sz w:val="24"/>
              </w:rPr>
              <w:t>existing Fuel Station</w:t>
            </w:r>
          </w:p>
        </w:tc>
        <w:tc>
          <w:tcPr>
            <w:tcW w:w="1001" w:type="dxa"/>
          </w:tcPr>
          <w:p>
            <w:pPr>
              <w:pStyle w:val="TableParagraph"/>
              <w:spacing w:before="47"/>
              <w:ind w:left="6"/>
              <w:jc w:val="center"/>
              <w:rPr>
                <w:sz w:val="24"/>
              </w:rPr>
            </w:pPr>
            <w:r>
              <w:rPr>
                <w:spacing w:val="-5"/>
                <w:sz w:val="24"/>
              </w:rPr>
              <w:t>361</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(G)</w:t>
            </w:r>
            <w:r>
              <w:rPr>
                <w:spacing w:val="51"/>
                <w:sz w:val="24"/>
              </w:rPr>
              <w:t> </w:t>
            </w:r>
            <w:r>
              <w:rPr>
                <w:sz w:val="24"/>
              </w:rPr>
              <w:t>Structures</w:t>
            </w:r>
            <w:r>
              <w:rPr>
                <w:spacing w:val="57"/>
                <w:sz w:val="24"/>
              </w:rPr>
              <w:t> </w:t>
            </w:r>
            <w:r>
              <w:rPr>
                <w:sz w:val="24"/>
              </w:rPr>
              <w:t>not</w:t>
            </w:r>
            <w:r>
              <w:rPr>
                <w:spacing w:val="53"/>
                <w:sz w:val="24"/>
              </w:rPr>
              <w:t> </w:t>
            </w:r>
            <w:r>
              <w:rPr>
                <w:sz w:val="24"/>
              </w:rPr>
              <w:t>included</w:t>
            </w:r>
            <w:r>
              <w:rPr>
                <w:spacing w:val="57"/>
                <w:sz w:val="24"/>
              </w:rPr>
              <w:t> </w:t>
            </w:r>
            <w:r>
              <w:rPr>
                <w:sz w:val="24"/>
              </w:rPr>
              <w:t>in</w:t>
            </w:r>
            <w:r>
              <w:rPr>
                <w:spacing w:val="53"/>
                <w:sz w:val="24"/>
              </w:rPr>
              <w:t> </w:t>
            </w:r>
            <w:r>
              <w:rPr>
                <w:sz w:val="24"/>
              </w:rPr>
              <w:t>reckoning</w:t>
            </w:r>
            <w:r>
              <w:rPr>
                <w:spacing w:val="54"/>
                <w:sz w:val="24"/>
              </w:rPr>
              <w:t> </w:t>
            </w:r>
            <w:r>
              <w:rPr>
                <w:spacing w:val="-2"/>
                <w:sz w:val="24"/>
              </w:rPr>
              <w:t>height</w:t>
            </w:r>
          </w:p>
        </w:tc>
        <w:tc>
          <w:tcPr>
            <w:tcW w:w="1001" w:type="dxa"/>
          </w:tcPr>
          <w:p>
            <w:pPr>
              <w:pStyle w:val="TableParagraph"/>
              <w:spacing w:before="47"/>
              <w:ind w:left="6"/>
              <w:jc w:val="center"/>
              <w:rPr>
                <w:sz w:val="24"/>
              </w:rPr>
            </w:pPr>
            <w:r>
              <w:rPr>
                <w:spacing w:val="-5"/>
                <w:sz w:val="24"/>
              </w:rPr>
              <w:t>361</w:t>
            </w:r>
          </w:p>
        </w:tc>
      </w:tr>
      <w:tr>
        <w:trPr>
          <w:trHeight w:val="357" w:hRule="atLeast"/>
        </w:trPr>
        <w:tc>
          <w:tcPr>
            <w:tcW w:w="1572" w:type="dxa"/>
          </w:tcPr>
          <w:p>
            <w:pPr>
              <w:pStyle w:val="TableParagraph"/>
              <w:spacing w:before="47"/>
              <w:ind w:left="9" w:right="2"/>
              <w:jc w:val="center"/>
              <w:rPr>
                <w:sz w:val="24"/>
              </w:rPr>
            </w:pPr>
            <w:r>
              <w:rPr>
                <w:spacing w:val="-5"/>
                <w:sz w:val="24"/>
              </w:rPr>
              <w:t>46</w:t>
            </w:r>
          </w:p>
        </w:tc>
        <w:tc>
          <w:tcPr>
            <w:tcW w:w="6196" w:type="dxa"/>
          </w:tcPr>
          <w:p>
            <w:pPr>
              <w:pStyle w:val="TableParagraph"/>
              <w:spacing w:before="47"/>
              <w:ind w:left="107"/>
              <w:rPr>
                <w:b/>
                <w:sz w:val="24"/>
              </w:rPr>
            </w:pPr>
            <w:r>
              <w:rPr>
                <w:b/>
                <w:sz w:val="24"/>
              </w:rPr>
              <w:t>Signs</w:t>
            </w:r>
            <w:r>
              <w:rPr>
                <w:b/>
                <w:spacing w:val="59"/>
                <w:sz w:val="24"/>
              </w:rPr>
              <w:t> </w:t>
            </w:r>
            <w:r>
              <w:rPr>
                <w:b/>
                <w:sz w:val="24"/>
              </w:rPr>
              <w:t>and</w:t>
            </w:r>
            <w:r>
              <w:rPr>
                <w:b/>
                <w:spacing w:val="62"/>
                <w:sz w:val="24"/>
              </w:rPr>
              <w:t> </w:t>
            </w:r>
            <w:r>
              <w:rPr>
                <w:b/>
                <w:sz w:val="24"/>
              </w:rPr>
              <w:t>Outdoor</w:t>
            </w:r>
            <w:r>
              <w:rPr>
                <w:b/>
                <w:spacing w:val="61"/>
                <w:sz w:val="24"/>
              </w:rPr>
              <w:t> </w:t>
            </w:r>
            <w:r>
              <w:rPr>
                <w:b/>
                <w:sz w:val="24"/>
              </w:rPr>
              <w:t>Display</w:t>
            </w:r>
            <w:r>
              <w:rPr>
                <w:b/>
                <w:spacing w:val="62"/>
                <w:sz w:val="24"/>
              </w:rPr>
              <w:t> </w:t>
            </w:r>
            <w:r>
              <w:rPr>
                <w:b/>
                <w:spacing w:val="7"/>
                <w:sz w:val="24"/>
              </w:rPr>
              <w:t>Structures</w:t>
            </w:r>
          </w:p>
        </w:tc>
        <w:tc>
          <w:tcPr>
            <w:tcW w:w="1001" w:type="dxa"/>
          </w:tcPr>
          <w:p>
            <w:pPr>
              <w:pStyle w:val="TableParagraph"/>
              <w:spacing w:before="47"/>
              <w:ind w:left="6"/>
              <w:jc w:val="center"/>
              <w:rPr>
                <w:sz w:val="24"/>
              </w:rPr>
            </w:pPr>
            <w:r>
              <w:rPr>
                <w:spacing w:val="-5"/>
                <w:sz w:val="24"/>
              </w:rPr>
              <w:t>361</w:t>
            </w:r>
          </w:p>
        </w:tc>
      </w:tr>
      <w:tr>
        <w:trPr>
          <w:trHeight w:val="357" w:hRule="atLeast"/>
        </w:trPr>
        <w:tc>
          <w:tcPr>
            <w:tcW w:w="8769" w:type="dxa"/>
            <w:gridSpan w:val="3"/>
          </w:tcPr>
          <w:p>
            <w:pPr>
              <w:pStyle w:val="TableParagraph"/>
              <w:tabs>
                <w:tab w:pos="1300" w:val="left" w:leader="none"/>
              </w:tabs>
              <w:spacing w:before="47"/>
              <w:ind w:left="4"/>
              <w:jc w:val="center"/>
              <w:rPr>
                <w:b/>
                <w:sz w:val="24"/>
              </w:rPr>
            </w:pPr>
            <w:r>
              <w:rPr>
                <w:b/>
                <w:sz w:val="24"/>
              </w:rPr>
              <w:t>PART</w:t>
            </w:r>
            <w:r>
              <w:rPr>
                <w:b/>
                <w:spacing w:val="-5"/>
                <w:sz w:val="24"/>
              </w:rPr>
              <w:t> IX</w:t>
            </w:r>
            <w:r>
              <w:rPr>
                <w:b/>
                <w:sz w:val="24"/>
              </w:rPr>
              <w:tab/>
              <w:t>URBAN</w:t>
            </w:r>
            <w:r>
              <w:rPr>
                <w:b/>
                <w:spacing w:val="-3"/>
                <w:sz w:val="24"/>
              </w:rPr>
              <w:t> </w:t>
            </w:r>
            <w:r>
              <w:rPr>
                <w:b/>
                <w:sz w:val="24"/>
              </w:rPr>
              <w:t>SAFETY</w:t>
            </w:r>
            <w:r>
              <w:rPr>
                <w:b/>
                <w:spacing w:val="-2"/>
                <w:sz w:val="24"/>
              </w:rPr>
              <w:t> REQUIREMENTS</w:t>
            </w:r>
          </w:p>
        </w:tc>
      </w:tr>
      <w:tr>
        <w:trPr>
          <w:trHeight w:val="359" w:hRule="atLeast"/>
        </w:trPr>
        <w:tc>
          <w:tcPr>
            <w:tcW w:w="1572" w:type="dxa"/>
          </w:tcPr>
          <w:p>
            <w:pPr>
              <w:pStyle w:val="TableParagraph"/>
              <w:spacing w:before="49"/>
              <w:ind w:left="9" w:right="2"/>
              <w:jc w:val="center"/>
              <w:rPr>
                <w:sz w:val="24"/>
              </w:rPr>
            </w:pPr>
            <w:r>
              <w:rPr>
                <w:spacing w:val="-5"/>
                <w:sz w:val="24"/>
              </w:rPr>
              <w:t>47</w:t>
            </w:r>
          </w:p>
        </w:tc>
        <w:tc>
          <w:tcPr>
            <w:tcW w:w="6196" w:type="dxa"/>
          </w:tcPr>
          <w:p>
            <w:pPr>
              <w:pStyle w:val="TableParagraph"/>
              <w:spacing w:before="49"/>
              <w:ind w:left="107"/>
              <w:rPr>
                <w:b/>
                <w:sz w:val="24"/>
              </w:rPr>
            </w:pPr>
            <w:r>
              <w:rPr>
                <w:b/>
                <w:sz w:val="24"/>
              </w:rPr>
              <w:t>Fire</w:t>
            </w:r>
            <w:r>
              <w:rPr>
                <w:b/>
                <w:spacing w:val="-6"/>
                <w:sz w:val="24"/>
              </w:rPr>
              <w:t> </w:t>
            </w:r>
            <w:r>
              <w:rPr>
                <w:b/>
                <w:sz w:val="24"/>
              </w:rPr>
              <w:t>Protection</w:t>
            </w:r>
            <w:r>
              <w:rPr>
                <w:b/>
                <w:spacing w:val="-6"/>
                <w:sz w:val="24"/>
              </w:rPr>
              <w:t> </w:t>
            </w:r>
            <w:r>
              <w:rPr>
                <w:b/>
                <w:spacing w:val="-2"/>
                <w:sz w:val="24"/>
              </w:rPr>
              <w:t>Requirements</w:t>
            </w:r>
          </w:p>
        </w:tc>
        <w:tc>
          <w:tcPr>
            <w:tcW w:w="1001" w:type="dxa"/>
          </w:tcPr>
          <w:p>
            <w:pPr>
              <w:pStyle w:val="TableParagraph"/>
              <w:rPr>
                <w:rFonts w:ascii="Times New Roman"/>
                <w:sz w:val="22"/>
              </w:rPr>
            </w:pP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35"/>
                <w:sz w:val="24"/>
              </w:rPr>
              <w:t> </w:t>
            </w:r>
            <w:r>
              <w:rPr>
                <w:spacing w:val="7"/>
                <w:sz w:val="24"/>
              </w:rPr>
              <w:t>General</w:t>
            </w:r>
          </w:p>
        </w:tc>
        <w:tc>
          <w:tcPr>
            <w:tcW w:w="1001" w:type="dxa"/>
          </w:tcPr>
          <w:p>
            <w:pPr>
              <w:pStyle w:val="TableParagraph"/>
              <w:spacing w:before="47"/>
              <w:ind w:left="6"/>
              <w:jc w:val="center"/>
              <w:rPr>
                <w:sz w:val="24"/>
              </w:rPr>
            </w:pPr>
            <w:r>
              <w:rPr>
                <w:spacing w:val="-5"/>
                <w:sz w:val="24"/>
              </w:rPr>
              <w:t>363</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(2)</w:t>
            </w:r>
            <w:r>
              <w:rPr>
                <w:spacing w:val="77"/>
                <w:sz w:val="24"/>
              </w:rPr>
              <w:t> </w:t>
            </w:r>
            <w:r>
              <w:rPr>
                <w:sz w:val="24"/>
              </w:rPr>
              <w:t>Construction</w:t>
            </w:r>
            <w:r>
              <w:rPr>
                <w:spacing w:val="80"/>
                <w:sz w:val="24"/>
              </w:rPr>
              <w:t> </w:t>
            </w:r>
            <w:r>
              <w:rPr>
                <w:spacing w:val="7"/>
                <w:sz w:val="24"/>
              </w:rPr>
              <w:t>Materials</w:t>
            </w:r>
          </w:p>
        </w:tc>
        <w:tc>
          <w:tcPr>
            <w:tcW w:w="1001" w:type="dxa"/>
          </w:tcPr>
          <w:p>
            <w:pPr>
              <w:pStyle w:val="TableParagraph"/>
              <w:spacing w:before="47"/>
              <w:ind w:left="6"/>
              <w:jc w:val="center"/>
              <w:rPr>
                <w:sz w:val="24"/>
              </w:rPr>
            </w:pPr>
            <w:r>
              <w:rPr>
                <w:spacing w:val="-5"/>
                <w:sz w:val="24"/>
              </w:rPr>
              <w:t>364</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37"/>
                <w:sz w:val="24"/>
              </w:rPr>
              <w:t> </w:t>
            </w:r>
            <w:r>
              <w:rPr>
                <w:spacing w:val="-2"/>
                <w:sz w:val="24"/>
              </w:rPr>
              <w:t>Exits</w:t>
            </w:r>
          </w:p>
        </w:tc>
        <w:tc>
          <w:tcPr>
            <w:tcW w:w="1001" w:type="dxa"/>
          </w:tcPr>
          <w:p>
            <w:pPr>
              <w:pStyle w:val="TableParagraph"/>
              <w:spacing w:before="47"/>
              <w:ind w:left="6"/>
              <w:jc w:val="center"/>
              <w:rPr>
                <w:sz w:val="24"/>
              </w:rPr>
            </w:pPr>
            <w:r>
              <w:rPr>
                <w:spacing w:val="-5"/>
                <w:sz w:val="24"/>
              </w:rPr>
              <w:t>365</w:t>
            </w:r>
          </w:p>
        </w:tc>
      </w:tr>
      <w:tr>
        <w:trPr>
          <w:trHeight w:val="357" w:hRule="atLeast"/>
        </w:trPr>
        <w:tc>
          <w:tcPr>
            <w:tcW w:w="1572" w:type="dxa"/>
          </w:tcPr>
          <w:p>
            <w:pPr>
              <w:pStyle w:val="TableParagraph"/>
              <w:spacing w:before="47"/>
              <w:ind w:left="9" w:right="2"/>
              <w:jc w:val="center"/>
              <w:rPr>
                <w:sz w:val="24"/>
              </w:rPr>
            </w:pPr>
            <w:r>
              <w:rPr>
                <w:spacing w:val="-5"/>
                <w:sz w:val="24"/>
              </w:rPr>
              <w:t>48</w:t>
            </w:r>
          </w:p>
        </w:tc>
        <w:tc>
          <w:tcPr>
            <w:tcW w:w="6196" w:type="dxa"/>
          </w:tcPr>
          <w:p>
            <w:pPr>
              <w:pStyle w:val="TableParagraph"/>
              <w:spacing w:before="47"/>
              <w:ind w:left="107"/>
              <w:rPr>
                <w:b/>
                <w:sz w:val="24"/>
              </w:rPr>
            </w:pPr>
            <w:r>
              <w:rPr>
                <w:b/>
                <w:sz w:val="24"/>
              </w:rPr>
              <w:t>Requirements</w:t>
            </w:r>
            <w:r>
              <w:rPr>
                <w:b/>
                <w:spacing w:val="73"/>
                <w:sz w:val="24"/>
              </w:rPr>
              <w:t> </w:t>
            </w:r>
            <w:r>
              <w:rPr>
                <w:b/>
                <w:sz w:val="24"/>
              </w:rPr>
              <w:t>of</w:t>
            </w:r>
            <w:r>
              <w:rPr>
                <w:b/>
                <w:spacing w:val="78"/>
                <w:sz w:val="24"/>
              </w:rPr>
              <w:t> </w:t>
            </w:r>
            <w:r>
              <w:rPr>
                <w:b/>
                <w:spacing w:val="-4"/>
                <w:sz w:val="24"/>
              </w:rPr>
              <w:t>Exits</w:t>
            </w:r>
          </w:p>
        </w:tc>
        <w:tc>
          <w:tcPr>
            <w:tcW w:w="1001" w:type="dxa"/>
          </w:tcPr>
          <w:p>
            <w:pPr>
              <w:pStyle w:val="TableParagraph"/>
              <w:rPr>
                <w:rFonts w:ascii="Times New Roman"/>
                <w:sz w:val="22"/>
              </w:rPr>
            </w:pP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(1)</w:t>
            </w:r>
            <w:r>
              <w:rPr>
                <w:spacing w:val="42"/>
                <w:sz w:val="24"/>
              </w:rPr>
              <w:t> </w:t>
            </w:r>
            <w:r>
              <w:rPr>
                <w:spacing w:val="-2"/>
                <w:sz w:val="24"/>
              </w:rPr>
              <w:t>Corridors</w:t>
            </w:r>
          </w:p>
        </w:tc>
        <w:tc>
          <w:tcPr>
            <w:tcW w:w="1001" w:type="dxa"/>
          </w:tcPr>
          <w:p>
            <w:pPr>
              <w:pStyle w:val="TableParagraph"/>
              <w:spacing w:before="49"/>
              <w:ind w:left="6"/>
              <w:jc w:val="center"/>
              <w:rPr>
                <w:sz w:val="24"/>
              </w:rPr>
            </w:pPr>
            <w:r>
              <w:rPr>
                <w:spacing w:val="-5"/>
                <w:sz w:val="24"/>
              </w:rPr>
              <w:t>367</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(2)</w:t>
            </w:r>
            <w:r>
              <w:rPr>
                <w:spacing w:val="35"/>
                <w:sz w:val="24"/>
              </w:rPr>
              <w:t> </w:t>
            </w:r>
            <w:r>
              <w:rPr>
                <w:spacing w:val="7"/>
                <w:sz w:val="24"/>
              </w:rPr>
              <w:t>Doorways</w:t>
            </w:r>
          </w:p>
        </w:tc>
        <w:tc>
          <w:tcPr>
            <w:tcW w:w="1001" w:type="dxa"/>
          </w:tcPr>
          <w:p>
            <w:pPr>
              <w:pStyle w:val="TableParagraph"/>
              <w:spacing w:line="281" w:lineRule="exact"/>
              <w:ind w:left="6"/>
              <w:jc w:val="center"/>
              <w:rPr>
                <w:sz w:val="24"/>
              </w:rPr>
            </w:pPr>
            <w:r>
              <w:rPr>
                <w:spacing w:val="-5"/>
                <w:sz w:val="24"/>
              </w:rPr>
              <w:t>368</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65"/>
                <w:sz w:val="24"/>
              </w:rPr>
              <w:t> </w:t>
            </w:r>
            <w:r>
              <w:rPr>
                <w:sz w:val="24"/>
              </w:rPr>
              <w:t>Revolving</w:t>
            </w:r>
            <w:r>
              <w:rPr>
                <w:spacing w:val="65"/>
                <w:sz w:val="24"/>
              </w:rPr>
              <w:t> </w:t>
            </w:r>
            <w:r>
              <w:rPr>
                <w:spacing w:val="7"/>
                <w:sz w:val="24"/>
              </w:rPr>
              <w:t>Doors</w:t>
            </w:r>
          </w:p>
        </w:tc>
        <w:tc>
          <w:tcPr>
            <w:tcW w:w="1001" w:type="dxa"/>
          </w:tcPr>
          <w:p>
            <w:pPr>
              <w:pStyle w:val="TableParagraph"/>
              <w:spacing w:line="281" w:lineRule="exact"/>
              <w:ind w:left="6"/>
              <w:jc w:val="center"/>
              <w:rPr>
                <w:sz w:val="24"/>
              </w:rPr>
            </w:pPr>
            <w:r>
              <w:rPr>
                <w:spacing w:val="-5"/>
                <w:sz w:val="24"/>
              </w:rPr>
              <w:t>368</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(4)</w:t>
            </w:r>
            <w:r>
              <w:rPr>
                <w:spacing w:val="59"/>
                <w:sz w:val="24"/>
              </w:rPr>
              <w:t> </w:t>
            </w:r>
            <w:r>
              <w:rPr>
                <w:sz w:val="24"/>
              </w:rPr>
              <w:t>Internal</w:t>
            </w:r>
            <w:r>
              <w:rPr>
                <w:spacing w:val="60"/>
                <w:sz w:val="24"/>
              </w:rPr>
              <w:t> </w:t>
            </w:r>
            <w:r>
              <w:rPr>
                <w:spacing w:val="-2"/>
                <w:sz w:val="24"/>
              </w:rPr>
              <w:t>Stairways</w:t>
            </w:r>
          </w:p>
        </w:tc>
        <w:tc>
          <w:tcPr>
            <w:tcW w:w="1001" w:type="dxa"/>
          </w:tcPr>
          <w:p>
            <w:pPr>
              <w:pStyle w:val="TableParagraph"/>
              <w:spacing w:before="47"/>
              <w:ind w:left="6"/>
              <w:jc w:val="center"/>
              <w:rPr>
                <w:sz w:val="24"/>
              </w:rPr>
            </w:pPr>
            <w:r>
              <w:rPr>
                <w:spacing w:val="-5"/>
                <w:sz w:val="24"/>
              </w:rPr>
              <w:t>368</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(5)</w:t>
            </w:r>
            <w:r>
              <w:rPr>
                <w:spacing w:val="66"/>
                <w:sz w:val="24"/>
              </w:rPr>
              <w:t> </w:t>
            </w:r>
            <w:r>
              <w:rPr>
                <w:sz w:val="24"/>
              </w:rPr>
              <w:t>Additional</w:t>
            </w:r>
            <w:r>
              <w:rPr>
                <w:spacing w:val="73"/>
                <w:sz w:val="24"/>
              </w:rPr>
              <w:t> </w:t>
            </w:r>
            <w:r>
              <w:rPr>
                <w:spacing w:val="7"/>
                <w:sz w:val="24"/>
              </w:rPr>
              <w:t>Staircase</w:t>
            </w:r>
          </w:p>
        </w:tc>
        <w:tc>
          <w:tcPr>
            <w:tcW w:w="1001" w:type="dxa"/>
          </w:tcPr>
          <w:p>
            <w:pPr>
              <w:pStyle w:val="TableParagraph"/>
              <w:spacing w:before="47"/>
              <w:ind w:left="6"/>
              <w:jc w:val="center"/>
              <w:rPr>
                <w:sz w:val="24"/>
              </w:rPr>
            </w:pPr>
            <w:r>
              <w:rPr>
                <w:spacing w:val="-5"/>
                <w:sz w:val="24"/>
              </w:rPr>
              <w:t>369</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(6)</w:t>
            </w:r>
            <w:r>
              <w:rPr>
                <w:spacing w:val="49"/>
                <w:sz w:val="24"/>
              </w:rPr>
              <w:t> </w:t>
            </w:r>
            <w:r>
              <w:rPr>
                <w:sz w:val="24"/>
              </w:rPr>
              <w:t>Fire</w:t>
            </w:r>
            <w:r>
              <w:rPr>
                <w:spacing w:val="52"/>
                <w:sz w:val="24"/>
              </w:rPr>
              <w:t> </w:t>
            </w:r>
            <w:r>
              <w:rPr>
                <w:sz w:val="24"/>
              </w:rPr>
              <w:t>Escape</w:t>
            </w:r>
            <w:r>
              <w:rPr>
                <w:spacing w:val="50"/>
                <w:sz w:val="24"/>
              </w:rPr>
              <w:t> </w:t>
            </w:r>
            <w:r>
              <w:rPr>
                <w:spacing w:val="7"/>
                <w:sz w:val="24"/>
              </w:rPr>
              <w:t>Balcony</w:t>
            </w:r>
          </w:p>
        </w:tc>
        <w:tc>
          <w:tcPr>
            <w:tcW w:w="1001" w:type="dxa"/>
          </w:tcPr>
          <w:p>
            <w:pPr>
              <w:pStyle w:val="TableParagraph"/>
              <w:spacing w:before="47"/>
              <w:ind w:left="6"/>
              <w:jc w:val="center"/>
              <w:rPr>
                <w:sz w:val="24"/>
              </w:rPr>
            </w:pPr>
            <w:r>
              <w:rPr>
                <w:spacing w:val="-5"/>
                <w:sz w:val="24"/>
              </w:rPr>
              <w:t>370</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(7)</w:t>
            </w:r>
            <w:r>
              <w:rPr>
                <w:spacing w:val="37"/>
                <w:sz w:val="24"/>
              </w:rPr>
              <w:t> </w:t>
            </w:r>
            <w:r>
              <w:rPr>
                <w:spacing w:val="-2"/>
                <w:sz w:val="24"/>
              </w:rPr>
              <w:t>Ramps</w:t>
            </w:r>
          </w:p>
        </w:tc>
        <w:tc>
          <w:tcPr>
            <w:tcW w:w="1001" w:type="dxa"/>
          </w:tcPr>
          <w:p>
            <w:pPr>
              <w:pStyle w:val="TableParagraph"/>
              <w:spacing w:before="47"/>
              <w:ind w:left="6"/>
              <w:jc w:val="center"/>
              <w:rPr>
                <w:sz w:val="24"/>
              </w:rPr>
            </w:pPr>
            <w:r>
              <w:rPr>
                <w:spacing w:val="-5"/>
                <w:sz w:val="24"/>
              </w:rPr>
              <w:t>370</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(8)</w:t>
            </w:r>
            <w:r>
              <w:rPr>
                <w:spacing w:val="51"/>
                <w:sz w:val="24"/>
              </w:rPr>
              <w:t> </w:t>
            </w:r>
            <w:r>
              <w:rPr>
                <w:sz w:val="24"/>
              </w:rPr>
              <w:t>Refuge</w:t>
            </w:r>
            <w:r>
              <w:rPr>
                <w:spacing w:val="52"/>
                <w:sz w:val="24"/>
              </w:rPr>
              <w:t> </w:t>
            </w:r>
            <w:r>
              <w:rPr>
                <w:spacing w:val="-4"/>
                <w:sz w:val="24"/>
              </w:rPr>
              <w:t>Area</w:t>
            </w:r>
          </w:p>
        </w:tc>
        <w:tc>
          <w:tcPr>
            <w:tcW w:w="1001" w:type="dxa"/>
          </w:tcPr>
          <w:p>
            <w:pPr>
              <w:pStyle w:val="TableParagraph"/>
              <w:spacing w:before="47"/>
              <w:ind w:left="6"/>
              <w:jc w:val="center"/>
              <w:rPr>
                <w:sz w:val="24"/>
              </w:rPr>
            </w:pPr>
            <w:r>
              <w:rPr>
                <w:spacing w:val="-5"/>
                <w:sz w:val="24"/>
              </w:rPr>
              <w:t>370</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390" w:hanging="284"/>
              <w:rPr>
                <w:sz w:val="24"/>
              </w:rPr>
            </w:pPr>
            <w:r>
              <w:rPr>
                <w:sz w:val="24"/>
              </w:rPr>
              <w:t>(9)</w:t>
            </w:r>
            <w:r>
              <w:rPr>
                <w:spacing w:val="40"/>
                <w:sz w:val="24"/>
              </w:rPr>
              <w:t> </w:t>
            </w:r>
            <w:r>
              <w:rPr>
                <w:sz w:val="24"/>
              </w:rPr>
              <w:t>Fire</w:t>
            </w:r>
            <w:r>
              <w:rPr>
                <w:spacing w:val="40"/>
                <w:sz w:val="24"/>
              </w:rPr>
              <w:t> </w:t>
            </w:r>
            <w:r>
              <w:rPr>
                <w:sz w:val="24"/>
              </w:rPr>
              <w:t>Escape</w:t>
            </w:r>
            <w:r>
              <w:rPr>
                <w:spacing w:val="40"/>
                <w:sz w:val="24"/>
              </w:rPr>
              <w:t> </w:t>
            </w:r>
            <w:r>
              <w:rPr>
                <w:sz w:val="24"/>
              </w:rPr>
              <w:t>Chutes/</w:t>
            </w:r>
            <w:r>
              <w:rPr>
                <w:spacing w:val="40"/>
                <w:sz w:val="24"/>
              </w:rPr>
              <w:t> </w:t>
            </w:r>
            <w:r>
              <w:rPr>
                <w:sz w:val="24"/>
              </w:rPr>
              <w:t>Controlled</w:t>
            </w:r>
            <w:r>
              <w:rPr>
                <w:spacing w:val="9"/>
                <w:sz w:val="24"/>
              </w:rPr>
              <w:t> Lowering </w:t>
            </w:r>
            <w:r>
              <w:rPr>
                <w:sz w:val="24"/>
              </w:rPr>
              <w:t>Device for evacuation</w:t>
            </w:r>
          </w:p>
        </w:tc>
        <w:tc>
          <w:tcPr>
            <w:tcW w:w="1001" w:type="dxa"/>
          </w:tcPr>
          <w:p>
            <w:pPr>
              <w:pStyle w:val="TableParagraph"/>
              <w:spacing w:before="47"/>
              <w:ind w:left="6"/>
              <w:jc w:val="center"/>
              <w:rPr>
                <w:sz w:val="24"/>
              </w:rPr>
            </w:pPr>
            <w:r>
              <w:rPr>
                <w:spacing w:val="-5"/>
                <w:sz w:val="24"/>
              </w:rPr>
              <w:t>371</w:t>
            </w:r>
          </w:p>
        </w:tc>
      </w:tr>
      <w:tr>
        <w:trPr>
          <w:trHeight w:val="376" w:hRule="atLeast"/>
        </w:trPr>
        <w:tc>
          <w:tcPr>
            <w:tcW w:w="1572" w:type="dxa"/>
          </w:tcPr>
          <w:p>
            <w:pPr>
              <w:pStyle w:val="TableParagraph"/>
              <w:spacing w:before="47"/>
              <w:ind w:left="9" w:right="2"/>
              <w:jc w:val="center"/>
              <w:rPr>
                <w:sz w:val="24"/>
              </w:rPr>
            </w:pPr>
            <w:r>
              <w:rPr>
                <w:spacing w:val="-5"/>
                <w:sz w:val="24"/>
              </w:rPr>
              <w:t>49</w:t>
            </w:r>
          </w:p>
        </w:tc>
        <w:tc>
          <w:tcPr>
            <w:tcW w:w="6196" w:type="dxa"/>
          </w:tcPr>
          <w:p>
            <w:pPr>
              <w:pStyle w:val="TableParagraph"/>
              <w:spacing w:before="47"/>
              <w:ind w:left="287"/>
              <w:rPr>
                <w:b/>
                <w:sz w:val="24"/>
              </w:rPr>
            </w:pPr>
            <w:r>
              <w:rPr>
                <w:b/>
                <w:sz w:val="24"/>
              </w:rPr>
              <w:t>Structural</w:t>
            </w:r>
            <w:r>
              <w:rPr>
                <w:b/>
                <w:spacing w:val="68"/>
                <w:sz w:val="24"/>
              </w:rPr>
              <w:t> </w:t>
            </w:r>
            <w:r>
              <w:rPr>
                <w:b/>
                <w:sz w:val="24"/>
              </w:rPr>
              <w:t>Safety</w:t>
            </w:r>
            <w:r>
              <w:rPr>
                <w:b/>
                <w:spacing w:val="71"/>
                <w:sz w:val="24"/>
              </w:rPr>
              <w:t> </w:t>
            </w:r>
            <w:r>
              <w:rPr>
                <w:b/>
                <w:sz w:val="24"/>
              </w:rPr>
              <w:t>and</w:t>
            </w:r>
            <w:r>
              <w:rPr>
                <w:b/>
                <w:spacing w:val="68"/>
                <w:sz w:val="24"/>
              </w:rPr>
              <w:t> </w:t>
            </w:r>
            <w:r>
              <w:rPr>
                <w:b/>
                <w:spacing w:val="7"/>
                <w:sz w:val="24"/>
              </w:rPr>
              <w:t>Services</w:t>
            </w:r>
          </w:p>
        </w:tc>
        <w:tc>
          <w:tcPr>
            <w:tcW w:w="1001" w:type="dxa"/>
          </w:tcPr>
          <w:p>
            <w:pPr>
              <w:pStyle w:val="TableParagraph"/>
              <w:rPr>
                <w:rFonts w:ascii="Times New Roman"/>
                <w:sz w:val="22"/>
              </w:rPr>
            </w:pP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66"/>
                <w:sz w:val="24"/>
              </w:rPr>
              <w:t> </w:t>
            </w:r>
            <w:r>
              <w:rPr>
                <w:sz w:val="24"/>
              </w:rPr>
              <w:t>Structural</w:t>
            </w:r>
            <w:r>
              <w:rPr>
                <w:spacing w:val="73"/>
                <w:sz w:val="24"/>
              </w:rPr>
              <w:t> </w:t>
            </w:r>
            <w:r>
              <w:rPr>
                <w:spacing w:val="7"/>
                <w:sz w:val="24"/>
              </w:rPr>
              <w:t>Design</w:t>
            </w:r>
          </w:p>
        </w:tc>
        <w:tc>
          <w:tcPr>
            <w:tcW w:w="1001" w:type="dxa"/>
          </w:tcPr>
          <w:p>
            <w:pPr>
              <w:pStyle w:val="TableParagraph"/>
              <w:spacing w:before="47"/>
              <w:ind w:left="6"/>
              <w:jc w:val="center"/>
              <w:rPr>
                <w:sz w:val="24"/>
              </w:rPr>
            </w:pPr>
            <w:r>
              <w:rPr>
                <w:spacing w:val="-5"/>
                <w:sz w:val="24"/>
              </w:rPr>
              <w:t>372</w:t>
            </w:r>
          </w:p>
        </w:tc>
      </w:tr>
      <w:tr>
        <w:trPr>
          <w:trHeight w:val="660" w:hRule="atLeast"/>
        </w:trPr>
        <w:tc>
          <w:tcPr>
            <w:tcW w:w="1572" w:type="dxa"/>
          </w:tcPr>
          <w:p>
            <w:pPr>
              <w:pStyle w:val="TableParagraph"/>
              <w:rPr>
                <w:rFonts w:ascii="Times New Roman"/>
                <w:sz w:val="22"/>
              </w:rPr>
            </w:pPr>
          </w:p>
        </w:tc>
        <w:tc>
          <w:tcPr>
            <w:tcW w:w="6196" w:type="dxa"/>
          </w:tcPr>
          <w:p>
            <w:pPr>
              <w:pStyle w:val="TableParagraph"/>
              <w:spacing w:before="47"/>
              <w:ind w:left="479" w:right="456" w:hanging="372"/>
              <w:rPr>
                <w:sz w:val="24"/>
              </w:rPr>
            </w:pPr>
            <w:r>
              <w:rPr>
                <w:sz w:val="24"/>
              </w:rPr>
              <w:t>(2)</w:t>
            </w:r>
            <w:r>
              <w:rPr>
                <w:spacing w:val="40"/>
                <w:sz w:val="24"/>
              </w:rPr>
              <w:t> </w:t>
            </w:r>
            <w:r>
              <w:rPr>
                <w:sz w:val="24"/>
              </w:rPr>
              <w:t>Structural</w:t>
            </w:r>
            <w:r>
              <w:rPr>
                <w:spacing w:val="40"/>
                <w:sz w:val="24"/>
              </w:rPr>
              <w:t> </w:t>
            </w:r>
            <w:r>
              <w:rPr>
                <w:sz w:val="24"/>
              </w:rPr>
              <w:t>Safety</w:t>
            </w:r>
            <w:r>
              <w:rPr>
                <w:spacing w:val="40"/>
                <w:sz w:val="24"/>
              </w:rPr>
              <w:t> </w:t>
            </w:r>
            <w:r>
              <w:rPr>
                <w:sz w:val="24"/>
              </w:rPr>
              <w:t>for</w:t>
            </w:r>
            <w:r>
              <w:rPr>
                <w:spacing w:val="40"/>
                <w:sz w:val="24"/>
              </w:rPr>
              <w:t> </w:t>
            </w:r>
            <w:r>
              <w:rPr>
                <w:sz w:val="24"/>
              </w:rPr>
              <w:t>Protection</w:t>
            </w:r>
            <w:r>
              <w:rPr>
                <w:spacing w:val="40"/>
                <w:sz w:val="24"/>
              </w:rPr>
              <w:t> </w:t>
            </w:r>
            <w:r>
              <w:rPr>
                <w:sz w:val="24"/>
              </w:rPr>
              <w:t>of Buildings</w:t>
            </w:r>
            <w:r>
              <w:rPr>
                <w:spacing w:val="40"/>
                <w:sz w:val="24"/>
              </w:rPr>
              <w:t> </w:t>
            </w:r>
            <w:r>
              <w:rPr>
                <w:sz w:val="24"/>
              </w:rPr>
              <w:t>against</w:t>
            </w:r>
            <w:r>
              <w:rPr>
                <w:spacing w:val="40"/>
                <w:sz w:val="24"/>
              </w:rPr>
              <w:t> </w:t>
            </w:r>
            <w:r>
              <w:rPr>
                <w:sz w:val="24"/>
              </w:rPr>
              <w:t>Natural</w:t>
            </w:r>
            <w:r>
              <w:rPr>
                <w:spacing w:val="40"/>
                <w:sz w:val="24"/>
              </w:rPr>
              <w:t> </w:t>
            </w:r>
            <w:r>
              <w:rPr>
                <w:spacing w:val="9"/>
                <w:sz w:val="24"/>
              </w:rPr>
              <w:t>Hazard</w:t>
            </w:r>
          </w:p>
        </w:tc>
        <w:tc>
          <w:tcPr>
            <w:tcW w:w="1001" w:type="dxa"/>
          </w:tcPr>
          <w:p>
            <w:pPr>
              <w:pStyle w:val="TableParagraph"/>
              <w:spacing w:before="47"/>
              <w:ind w:left="6"/>
              <w:jc w:val="center"/>
              <w:rPr>
                <w:sz w:val="24"/>
              </w:rPr>
            </w:pPr>
            <w:r>
              <w:rPr>
                <w:spacing w:val="-5"/>
                <w:sz w:val="24"/>
              </w:rPr>
              <w:t>372</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107" w:right="1568"/>
              <w:rPr>
                <w:sz w:val="24"/>
              </w:rPr>
            </w:pPr>
            <w:r>
              <w:rPr>
                <w:sz w:val="24"/>
              </w:rPr>
              <w:t>(3) Quality of materials and</w:t>
            </w:r>
            <w:r>
              <w:rPr>
                <w:spacing w:val="40"/>
                <w:sz w:val="24"/>
              </w:rPr>
              <w:t> </w:t>
            </w:r>
            <w:r>
              <w:rPr>
                <w:spacing w:val="7"/>
                <w:sz w:val="24"/>
              </w:rPr>
              <w:t>workmanship</w:t>
            </w:r>
          </w:p>
        </w:tc>
        <w:tc>
          <w:tcPr>
            <w:tcW w:w="1001" w:type="dxa"/>
          </w:tcPr>
          <w:p>
            <w:pPr>
              <w:pStyle w:val="TableParagraph"/>
              <w:spacing w:before="47"/>
              <w:ind w:left="6"/>
              <w:jc w:val="center"/>
              <w:rPr>
                <w:sz w:val="24"/>
              </w:rPr>
            </w:pPr>
            <w:r>
              <w:rPr>
                <w:spacing w:val="-5"/>
                <w:sz w:val="24"/>
              </w:rPr>
              <w:t>373</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(4)</w:t>
            </w:r>
            <w:r>
              <w:rPr>
                <w:spacing w:val="37"/>
                <w:sz w:val="24"/>
              </w:rPr>
              <w:t> </w:t>
            </w:r>
            <w:r>
              <w:rPr>
                <w:spacing w:val="-2"/>
                <w:sz w:val="24"/>
              </w:rPr>
              <w:t>Tests</w:t>
            </w:r>
          </w:p>
        </w:tc>
        <w:tc>
          <w:tcPr>
            <w:tcW w:w="1001" w:type="dxa"/>
          </w:tcPr>
          <w:p>
            <w:pPr>
              <w:pStyle w:val="TableParagraph"/>
              <w:spacing w:before="47"/>
              <w:ind w:left="6"/>
              <w:jc w:val="center"/>
              <w:rPr>
                <w:sz w:val="24"/>
              </w:rPr>
            </w:pPr>
            <w:r>
              <w:rPr>
                <w:spacing w:val="-5"/>
                <w:sz w:val="24"/>
              </w:rPr>
              <w:t>373</w:t>
            </w:r>
          </w:p>
        </w:tc>
      </w:tr>
      <w:tr>
        <w:trPr>
          <w:trHeight w:val="378" w:hRule="atLeast"/>
        </w:trPr>
        <w:tc>
          <w:tcPr>
            <w:tcW w:w="1572" w:type="dxa"/>
          </w:tcPr>
          <w:p>
            <w:pPr>
              <w:pStyle w:val="TableParagraph"/>
              <w:spacing w:before="47"/>
              <w:ind w:left="9" w:right="2"/>
              <w:jc w:val="center"/>
              <w:rPr>
                <w:sz w:val="24"/>
              </w:rPr>
            </w:pPr>
            <w:r>
              <w:rPr>
                <w:spacing w:val="-5"/>
                <w:sz w:val="24"/>
              </w:rPr>
              <w:t>50</w:t>
            </w:r>
          </w:p>
        </w:tc>
        <w:tc>
          <w:tcPr>
            <w:tcW w:w="6196" w:type="dxa"/>
          </w:tcPr>
          <w:p>
            <w:pPr>
              <w:pStyle w:val="TableParagraph"/>
              <w:spacing w:before="47"/>
              <w:ind w:left="287"/>
              <w:rPr>
                <w:b/>
                <w:sz w:val="24"/>
              </w:rPr>
            </w:pPr>
            <w:r>
              <w:rPr>
                <w:b/>
                <w:sz w:val="24"/>
              </w:rPr>
              <w:t>Building</w:t>
            </w:r>
            <w:r>
              <w:rPr>
                <w:b/>
                <w:spacing w:val="43"/>
                <w:w w:val="150"/>
                <w:sz w:val="24"/>
              </w:rPr>
              <w:t> </w:t>
            </w:r>
            <w:r>
              <w:rPr>
                <w:b/>
                <w:spacing w:val="7"/>
                <w:sz w:val="24"/>
              </w:rPr>
              <w:t>services</w:t>
            </w:r>
          </w:p>
        </w:tc>
        <w:tc>
          <w:tcPr>
            <w:tcW w:w="1001" w:type="dxa"/>
          </w:tcPr>
          <w:p>
            <w:pPr>
              <w:pStyle w:val="TableParagraph"/>
              <w:rPr>
                <w:rFonts w:ascii="Times New Roman"/>
                <w:sz w:val="22"/>
              </w:rPr>
            </w:pP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287"/>
              <w:rPr>
                <w:sz w:val="24"/>
              </w:rPr>
            </w:pPr>
            <w:r>
              <w:rPr>
                <w:sz w:val="24"/>
              </w:rPr>
              <w:t>(1)</w:t>
            </w:r>
            <w:r>
              <w:rPr>
                <w:spacing w:val="68"/>
                <w:sz w:val="24"/>
              </w:rPr>
              <w:t> </w:t>
            </w:r>
            <w:r>
              <w:rPr>
                <w:sz w:val="24"/>
              </w:rPr>
              <w:t>Electrical</w:t>
            </w:r>
            <w:r>
              <w:rPr>
                <w:spacing w:val="73"/>
                <w:sz w:val="24"/>
              </w:rPr>
              <w:t> </w:t>
            </w:r>
            <w:r>
              <w:rPr>
                <w:spacing w:val="-2"/>
                <w:sz w:val="24"/>
              </w:rPr>
              <w:t>installation</w:t>
            </w:r>
          </w:p>
        </w:tc>
        <w:tc>
          <w:tcPr>
            <w:tcW w:w="1001" w:type="dxa"/>
          </w:tcPr>
          <w:p>
            <w:pPr>
              <w:pStyle w:val="TableParagraph"/>
              <w:spacing w:before="47"/>
              <w:ind w:left="6"/>
              <w:jc w:val="center"/>
              <w:rPr>
                <w:sz w:val="24"/>
              </w:rPr>
            </w:pPr>
            <w:r>
              <w:rPr>
                <w:spacing w:val="-5"/>
                <w:sz w:val="24"/>
              </w:rPr>
              <w:t>374</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287"/>
              <w:rPr>
                <w:sz w:val="24"/>
              </w:rPr>
            </w:pPr>
            <w:r>
              <w:rPr>
                <w:sz w:val="24"/>
              </w:rPr>
              <w:t>(2)</w:t>
            </w:r>
            <w:r>
              <w:rPr>
                <w:spacing w:val="37"/>
                <w:sz w:val="24"/>
              </w:rPr>
              <w:t> </w:t>
            </w:r>
            <w:r>
              <w:rPr>
                <w:spacing w:val="-2"/>
                <w:sz w:val="24"/>
              </w:rPr>
              <w:t>Lifts</w:t>
            </w:r>
          </w:p>
        </w:tc>
        <w:tc>
          <w:tcPr>
            <w:tcW w:w="1001" w:type="dxa"/>
          </w:tcPr>
          <w:p>
            <w:pPr>
              <w:pStyle w:val="TableParagraph"/>
              <w:spacing w:before="49"/>
              <w:ind w:left="6"/>
              <w:jc w:val="center"/>
              <w:rPr>
                <w:sz w:val="24"/>
              </w:rPr>
            </w:pPr>
            <w:r>
              <w:rPr>
                <w:spacing w:val="-5"/>
                <w:sz w:val="24"/>
              </w:rPr>
              <w:t>374</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379" w:hRule="atLeast"/>
        </w:trPr>
        <w:tc>
          <w:tcPr>
            <w:tcW w:w="8769" w:type="dxa"/>
            <w:gridSpan w:val="3"/>
          </w:tcPr>
          <w:p>
            <w:pPr>
              <w:pStyle w:val="TableParagraph"/>
              <w:tabs>
                <w:tab w:pos="1293" w:val="left" w:leader="none"/>
              </w:tabs>
              <w:spacing w:before="50"/>
              <w:ind w:left="5"/>
              <w:jc w:val="center"/>
              <w:rPr>
                <w:b/>
                <w:sz w:val="24"/>
              </w:rPr>
            </w:pPr>
            <w:r>
              <w:rPr>
                <w:b/>
                <w:sz w:val="24"/>
              </w:rPr>
              <w:t>PART</w:t>
            </w:r>
            <w:r>
              <w:rPr>
                <w:b/>
                <w:spacing w:val="46"/>
                <w:sz w:val="24"/>
              </w:rPr>
              <w:t> </w:t>
            </w:r>
            <w:r>
              <w:rPr>
                <w:b/>
                <w:spacing w:val="-10"/>
                <w:sz w:val="24"/>
              </w:rPr>
              <w:t>X</w:t>
            </w:r>
            <w:r>
              <w:rPr>
                <w:b/>
                <w:sz w:val="24"/>
              </w:rPr>
              <w:tab/>
              <w:t>SPECIAL</w:t>
            </w:r>
            <w:r>
              <w:rPr>
                <w:b/>
                <w:spacing w:val="77"/>
                <w:sz w:val="24"/>
              </w:rPr>
              <w:t> </w:t>
            </w:r>
            <w:r>
              <w:rPr>
                <w:b/>
                <w:spacing w:val="7"/>
                <w:sz w:val="24"/>
              </w:rPr>
              <w:t>PROVISIONS</w:t>
            </w:r>
          </w:p>
        </w:tc>
      </w:tr>
      <w:tr>
        <w:trPr>
          <w:trHeight w:val="378" w:hRule="atLeast"/>
        </w:trPr>
        <w:tc>
          <w:tcPr>
            <w:tcW w:w="1572" w:type="dxa"/>
          </w:tcPr>
          <w:p>
            <w:pPr>
              <w:pStyle w:val="TableParagraph"/>
              <w:spacing w:before="47"/>
              <w:ind w:left="9" w:right="2"/>
              <w:jc w:val="center"/>
              <w:rPr>
                <w:sz w:val="24"/>
              </w:rPr>
            </w:pPr>
            <w:r>
              <w:rPr>
                <w:spacing w:val="-5"/>
                <w:sz w:val="24"/>
              </w:rPr>
              <w:t>51</w:t>
            </w:r>
          </w:p>
        </w:tc>
        <w:tc>
          <w:tcPr>
            <w:tcW w:w="6196" w:type="dxa"/>
          </w:tcPr>
          <w:p>
            <w:pPr>
              <w:pStyle w:val="TableParagraph"/>
              <w:spacing w:before="47"/>
              <w:ind w:left="107"/>
              <w:rPr>
                <w:b/>
                <w:sz w:val="24"/>
              </w:rPr>
            </w:pPr>
            <w:r>
              <w:rPr>
                <w:b/>
                <w:sz w:val="24"/>
              </w:rPr>
              <w:t>Parking</w:t>
            </w:r>
            <w:r>
              <w:rPr>
                <w:b/>
                <w:spacing w:val="73"/>
                <w:sz w:val="24"/>
              </w:rPr>
              <w:t> </w:t>
            </w:r>
            <w:r>
              <w:rPr>
                <w:b/>
                <w:spacing w:val="7"/>
                <w:sz w:val="24"/>
              </w:rPr>
              <w:t>Authority</w:t>
            </w:r>
          </w:p>
        </w:tc>
        <w:tc>
          <w:tcPr>
            <w:tcW w:w="1001" w:type="dxa"/>
          </w:tcPr>
          <w:p>
            <w:pPr>
              <w:pStyle w:val="TableParagraph"/>
              <w:spacing w:before="47"/>
              <w:ind w:left="6"/>
              <w:jc w:val="center"/>
              <w:rPr>
                <w:sz w:val="24"/>
              </w:rPr>
            </w:pPr>
            <w:r>
              <w:rPr>
                <w:spacing w:val="-5"/>
                <w:sz w:val="24"/>
              </w:rPr>
              <w:t>375</w:t>
            </w:r>
          </w:p>
        </w:tc>
      </w:tr>
      <w:tr>
        <w:trPr>
          <w:trHeight w:val="376" w:hRule="atLeast"/>
        </w:trPr>
        <w:tc>
          <w:tcPr>
            <w:tcW w:w="1572" w:type="dxa"/>
          </w:tcPr>
          <w:p>
            <w:pPr>
              <w:pStyle w:val="TableParagraph"/>
              <w:spacing w:before="47"/>
              <w:ind w:left="9" w:right="2"/>
              <w:jc w:val="center"/>
              <w:rPr>
                <w:sz w:val="24"/>
              </w:rPr>
            </w:pPr>
            <w:r>
              <w:rPr>
                <w:spacing w:val="-5"/>
                <w:sz w:val="24"/>
              </w:rPr>
              <w:t>52</w:t>
            </w:r>
          </w:p>
        </w:tc>
        <w:tc>
          <w:tcPr>
            <w:tcW w:w="6196" w:type="dxa"/>
          </w:tcPr>
          <w:p>
            <w:pPr>
              <w:pStyle w:val="TableParagraph"/>
              <w:spacing w:before="47"/>
              <w:ind w:left="107"/>
              <w:rPr>
                <w:b/>
                <w:sz w:val="24"/>
              </w:rPr>
            </w:pPr>
            <w:r>
              <w:rPr>
                <w:b/>
                <w:sz w:val="24"/>
              </w:rPr>
              <w:t>Conservation</w:t>
            </w:r>
            <w:r>
              <w:rPr>
                <w:b/>
                <w:spacing w:val="75"/>
                <w:sz w:val="24"/>
              </w:rPr>
              <w:t> </w:t>
            </w:r>
            <w:r>
              <w:rPr>
                <w:b/>
                <w:sz w:val="24"/>
              </w:rPr>
              <w:t>of</w:t>
            </w:r>
            <w:r>
              <w:rPr>
                <w:b/>
                <w:spacing w:val="75"/>
                <w:sz w:val="24"/>
              </w:rPr>
              <w:t> </w:t>
            </w:r>
            <w:r>
              <w:rPr>
                <w:b/>
                <w:spacing w:val="7"/>
                <w:sz w:val="24"/>
              </w:rPr>
              <w:t>Heritage</w:t>
            </w:r>
          </w:p>
        </w:tc>
        <w:tc>
          <w:tcPr>
            <w:tcW w:w="1001" w:type="dxa"/>
          </w:tcPr>
          <w:p>
            <w:pPr>
              <w:pStyle w:val="TableParagraph"/>
              <w:rPr>
                <w:rFonts w:ascii="Times New Roman"/>
                <w:sz w:val="22"/>
              </w:rPr>
            </w:pP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28"/>
                <w:sz w:val="24"/>
              </w:rPr>
              <w:t> </w:t>
            </w:r>
            <w:r>
              <w:rPr>
                <w:spacing w:val="7"/>
                <w:sz w:val="24"/>
              </w:rPr>
              <w:t>Definitions</w:t>
            </w:r>
          </w:p>
        </w:tc>
        <w:tc>
          <w:tcPr>
            <w:tcW w:w="1001" w:type="dxa"/>
          </w:tcPr>
          <w:p>
            <w:pPr>
              <w:pStyle w:val="TableParagraph"/>
              <w:spacing w:before="47"/>
              <w:ind w:left="6"/>
              <w:jc w:val="center"/>
              <w:rPr>
                <w:sz w:val="24"/>
              </w:rPr>
            </w:pPr>
            <w:r>
              <w:rPr>
                <w:spacing w:val="-5"/>
                <w:sz w:val="24"/>
              </w:rPr>
              <w:t>375</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2.</w:t>
            </w:r>
            <w:r>
              <w:rPr>
                <w:spacing w:val="28"/>
                <w:sz w:val="24"/>
              </w:rPr>
              <w:t> </w:t>
            </w:r>
            <w:r>
              <w:rPr>
                <w:spacing w:val="-2"/>
                <w:sz w:val="24"/>
              </w:rPr>
              <w:t>Applicability</w:t>
            </w:r>
          </w:p>
        </w:tc>
        <w:tc>
          <w:tcPr>
            <w:tcW w:w="1001" w:type="dxa"/>
          </w:tcPr>
          <w:p>
            <w:pPr>
              <w:pStyle w:val="TableParagraph"/>
              <w:spacing w:before="47"/>
              <w:ind w:left="6"/>
              <w:jc w:val="center"/>
              <w:rPr>
                <w:sz w:val="24"/>
              </w:rPr>
            </w:pPr>
            <w:r>
              <w:rPr>
                <w:spacing w:val="-5"/>
                <w:sz w:val="24"/>
              </w:rPr>
              <w:t>376</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2370" w:val="left" w:leader="none"/>
                <w:tab w:pos="5771" w:val="left" w:leader="none"/>
              </w:tabs>
              <w:spacing w:before="47"/>
              <w:ind w:left="390" w:right="110" w:hanging="284"/>
              <w:rPr>
                <w:sz w:val="24"/>
              </w:rPr>
            </w:pPr>
            <w:r>
              <w:rPr>
                <w:spacing w:val="-6"/>
                <w:sz w:val="24"/>
              </w:rPr>
              <w:t>3.</w:t>
            </w:r>
            <w:r>
              <w:rPr>
                <w:sz w:val="24"/>
              </w:rPr>
              <w:tab/>
              <w:tab/>
            </w:r>
            <w:r>
              <w:rPr>
                <w:spacing w:val="-2"/>
                <w:sz w:val="24"/>
              </w:rPr>
              <w:t>Restriction</w:t>
            </w:r>
            <w:r>
              <w:rPr>
                <w:sz w:val="24"/>
              </w:rPr>
              <w:tab/>
            </w:r>
            <w:r>
              <w:rPr>
                <w:spacing w:val="-6"/>
                <w:sz w:val="24"/>
              </w:rPr>
              <w:t>o</w:t>
            </w:r>
            <w:r>
              <w:rPr>
                <w:spacing w:val="-6"/>
                <w:sz w:val="24"/>
              </w:rPr>
              <w:t>n</w:t>
            </w:r>
            <w:r>
              <w:rPr>
                <w:spacing w:val="-6"/>
                <w:sz w:val="24"/>
              </w:rPr>
              <w:t> </w:t>
            </w:r>
            <w:r>
              <w:rPr>
                <w:spacing w:val="9"/>
                <w:sz w:val="24"/>
              </w:rPr>
              <w:t>Development/Redevelopment/Repairs, </w:t>
            </w:r>
            <w:r>
              <w:rPr>
                <w:sz w:val="24"/>
              </w:rPr>
              <w:t>etc.</w:t>
            </w:r>
          </w:p>
        </w:tc>
        <w:tc>
          <w:tcPr>
            <w:tcW w:w="1001" w:type="dxa"/>
          </w:tcPr>
          <w:p>
            <w:pPr>
              <w:pStyle w:val="TableParagraph"/>
              <w:spacing w:before="47"/>
              <w:ind w:left="6"/>
              <w:jc w:val="center"/>
              <w:rPr>
                <w:sz w:val="24"/>
              </w:rPr>
            </w:pPr>
            <w:r>
              <w:rPr>
                <w:spacing w:val="-5"/>
                <w:sz w:val="24"/>
              </w:rPr>
              <w:t>376</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479" w:right="116" w:hanging="372"/>
              <w:rPr>
                <w:sz w:val="24"/>
              </w:rPr>
            </w:pPr>
            <w:r>
              <w:rPr>
                <w:sz w:val="24"/>
              </w:rPr>
              <w:t>4.</w:t>
            </w:r>
            <w:r>
              <w:rPr>
                <w:spacing w:val="40"/>
                <w:sz w:val="24"/>
              </w:rPr>
              <w:t> </w:t>
            </w:r>
            <w:r>
              <w:rPr>
                <w:sz w:val="24"/>
              </w:rPr>
              <w:t>Preparation</w:t>
            </w:r>
            <w:r>
              <w:rPr>
                <w:spacing w:val="40"/>
                <w:sz w:val="24"/>
              </w:rPr>
              <w:t> </w:t>
            </w:r>
            <w:r>
              <w:rPr>
                <w:sz w:val="24"/>
              </w:rPr>
              <w:t>of</w:t>
            </w:r>
            <w:r>
              <w:rPr>
                <w:spacing w:val="40"/>
                <w:sz w:val="24"/>
              </w:rPr>
              <w:t> </w:t>
            </w:r>
            <w:r>
              <w:rPr>
                <w:sz w:val="24"/>
              </w:rPr>
              <w:t>list</w:t>
            </w:r>
            <w:r>
              <w:rPr>
                <w:spacing w:val="40"/>
                <w:sz w:val="24"/>
              </w:rPr>
              <w:t> </w:t>
            </w:r>
            <w:r>
              <w:rPr>
                <w:sz w:val="24"/>
              </w:rPr>
              <w:t>of</w:t>
            </w:r>
            <w:r>
              <w:rPr>
                <w:spacing w:val="40"/>
                <w:sz w:val="24"/>
              </w:rPr>
              <w:t> </w:t>
            </w:r>
            <w:r>
              <w:rPr>
                <w:sz w:val="24"/>
              </w:rPr>
              <w:t>Heritage</w:t>
            </w:r>
            <w:r>
              <w:rPr>
                <w:spacing w:val="40"/>
                <w:sz w:val="24"/>
              </w:rPr>
              <w:t> </w:t>
            </w:r>
            <w:r>
              <w:rPr>
                <w:sz w:val="24"/>
              </w:rPr>
              <w:t>Buildings</w:t>
            </w:r>
            <w:r>
              <w:rPr>
                <w:spacing w:val="40"/>
                <w:sz w:val="24"/>
              </w:rPr>
              <w:t> </w:t>
            </w:r>
            <w:r>
              <w:rPr>
                <w:sz w:val="24"/>
              </w:rPr>
              <w:t>and Heritage </w:t>
            </w:r>
            <w:r>
              <w:rPr>
                <w:spacing w:val="9"/>
                <w:sz w:val="24"/>
              </w:rPr>
              <w:t>Precincts</w:t>
            </w:r>
          </w:p>
        </w:tc>
        <w:tc>
          <w:tcPr>
            <w:tcW w:w="1001" w:type="dxa"/>
          </w:tcPr>
          <w:p>
            <w:pPr>
              <w:pStyle w:val="TableParagraph"/>
              <w:spacing w:before="47"/>
              <w:ind w:left="6"/>
              <w:jc w:val="center"/>
              <w:rPr>
                <w:sz w:val="24"/>
              </w:rPr>
            </w:pPr>
            <w:r>
              <w:rPr>
                <w:spacing w:val="-5"/>
                <w:sz w:val="24"/>
              </w:rPr>
              <w:t>376</w:t>
            </w:r>
          </w:p>
        </w:tc>
      </w:tr>
      <w:tr>
        <w:trPr>
          <w:trHeight w:val="660" w:hRule="atLeast"/>
        </w:trPr>
        <w:tc>
          <w:tcPr>
            <w:tcW w:w="1572" w:type="dxa"/>
          </w:tcPr>
          <w:p>
            <w:pPr>
              <w:pStyle w:val="TableParagraph"/>
              <w:rPr>
                <w:rFonts w:ascii="Times New Roman"/>
                <w:sz w:val="22"/>
              </w:rPr>
            </w:pPr>
          </w:p>
        </w:tc>
        <w:tc>
          <w:tcPr>
            <w:tcW w:w="6196" w:type="dxa"/>
          </w:tcPr>
          <w:p>
            <w:pPr>
              <w:pStyle w:val="TableParagraph"/>
              <w:spacing w:line="242" w:lineRule="auto" w:before="47"/>
              <w:ind w:left="390" w:hanging="284"/>
              <w:rPr>
                <w:sz w:val="24"/>
              </w:rPr>
            </w:pPr>
            <w:r>
              <w:rPr>
                <w:sz w:val="24"/>
              </w:rPr>
              <w:t>5.</w:t>
            </w:r>
            <w:r>
              <w:rPr>
                <w:spacing w:val="40"/>
                <w:sz w:val="24"/>
              </w:rPr>
              <w:t> </w:t>
            </w:r>
            <w:r>
              <w:rPr>
                <w:sz w:val="24"/>
              </w:rPr>
              <w:t>Grant</w:t>
            </w:r>
            <w:r>
              <w:rPr>
                <w:spacing w:val="40"/>
                <w:sz w:val="24"/>
              </w:rPr>
              <w:t> </w:t>
            </w:r>
            <w:r>
              <w:rPr>
                <w:sz w:val="24"/>
              </w:rPr>
              <w:t>of</w:t>
            </w:r>
            <w:r>
              <w:rPr>
                <w:spacing w:val="40"/>
                <w:sz w:val="24"/>
              </w:rPr>
              <w:t> </w:t>
            </w:r>
            <w:r>
              <w:rPr>
                <w:sz w:val="24"/>
              </w:rPr>
              <w:t>Transferable</w:t>
            </w:r>
            <w:r>
              <w:rPr>
                <w:spacing w:val="40"/>
                <w:sz w:val="24"/>
              </w:rPr>
              <w:t> </w:t>
            </w:r>
            <w:r>
              <w:rPr>
                <w:sz w:val="24"/>
              </w:rPr>
              <w:t>Development</w:t>
            </w:r>
            <w:r>
              <w:rPr>
                <w:spacing w:val="40"/>
                <w:sz w:val="24"/>
              </w:rPr>
              <w:t> </w:t>
            </w:r>
            <w:r>
              <w:rPr>
                <w:sz w:val="24"/>
              </w:rPr>
              <w:t>Rights</w:t>
            </w:r>
            <w:r>
              <w:rPr>
                <w:spacing w:val="40"/>
                <w:sz w:val="24"/>
              </w:rPr>
              <w:t> </w:t>
            </w:r>
            <w:r>
              <w:rPr>
                <w:sz w:val="24"/>
              </w:rPr>
              <w:t>in case</w:t>
            </w:r>
            <w:r>
              <w:rPr>
                <w:spacing w:val="40"/>
                <w:sz w:val="24"/>
              </w:rPr>
              <w:t> </w:t>
            </w:r>
            <w:r>
              <w:rPr>
                <w:sz w:val="24"/>
              </w:rPr>
              <w:t>of</w:t>
            </w:r>
            <w:r>
              <w:rPr>
                <w:spacing w:val="40"/>
                <w:sz w:val="24"/>
              </w:rPr>
              <w:t> </w:t>
            </w:r>
            <w:r>
              <w:rPr>
                <w:sz w:val="24"/>
              </w:rPr>
              <w:t>loss</w:t>
            </w:r>
            <w:r>
              <w:rPr>
                <w:spacing w:val="40"/>
                <w:sz w:val="24"/>
              </w:rPr>
              <w:t> </w:t>
            </w:r>
            <w:r>
              <w:rPr>
                <w:sz w:val="24"/>
              </w:rPr>
              <w:t>of</w:t>
            </w:r>
            <w:r>
              <w:rPr>
                <w:spacing w:val="40"/>
                <w:sz w:val="24"/>
              </w:rPr>
              <w:t> </w:t>
            </w:r>
            <w:r>
              <w:rPr>
                <w:sz w:val="24"/>
              </w:rPr>
              <w:t>Development</w:t>
            </w:r>
            <w:r>
              <w:rPr>
                <w:spacing w:val="40"/>
                <w:sz w:val="24"/>
              </w:rPr>
              <w:t> </w:t>
            </w:r>
            <w:r>
              <w:rPr>
                <w:sz w:val="24"/>
              </w:rPr>
              <w:t>Rights</w:t>
            </w:r>
          </w:p>
        </w:tc>
        <w:tc>
          <w:tcPr>
            <w:tcW w:w="1001" w:type="dxa"/>
          </w:tcPr>
          <w:p>
            <w:pPr>
              <w:pStyle w:val="TableParagraph"/>
              <w:spacing w:before="47"/>
              <w:ind w:left="6"/>
              <w:jc w:val="center"/>
              <w:rPr>
                <w:sz w:val="24"/>
              </w:rPr>
            </w:pPr>
            <w:r>
              <w:rPr>
                <w:spacing w:val="-5"/>
                <w:sz w:val="24"/>
              </w:rPr>
              <w:t>376</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6.</w:t>
            </w:r>
            <w:r>
              <w:rPr>
                <w:spacing w:val="70"/>
                <w:sz w:val="24"/>
              </w:rPr>
              <w:t> </w:t>
            </w:r>
            <w:r>
              <w:rPr>
                <w:sz w:val="24"/>
              </w:rPr>
              <w:t>Maintaining</w:t>
            </w:r>
            <w:r>
              <w:rPr>
                <w:spacing w:val="74"/>
                <w:sz w:val="24"/>
              </w:rPr>
              <w:t> </w:t>
            </w:r>
            <w:r>
              <w:rPr>
                <w:spacing w:val="9"/>
                <w:sz w:val="24"/>
              </w:rPr>
              <w:t>Sky-</w:t>
            </w:r>
            <w:r>
              <w:rPr>
                <w:spacing w:val="-4"/>
                <w:sz w:val="24"/>
              </w:rPr>
              <w:t>Line</w:t>
            </w:r>
          </w:p>
        </w:tc>
        <w:tc>
          <w:tcPr>
            <w:tcW w:w="1001" w:type="dxa"/>
          </w:tcPr>
          <w:p>
            <w:pPr>
              <w:pStyle w:val="TableParagraph"/>
              <w:spacing w:before="47"/>
              <w:ind w:left="6"/>
              <w:jc w:val="center"/>
              <w:rPr>
                <w:sz w:val="24"/>
              </w:rPr>
            </w:pPr>
            <w:r>
              <w:rPr>
                <w:spacing w:val="-5"/>
                <w:sz w:val="24"/>
              </w:rPr>
              <w:t>377</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7.</w:t>
            </w:r>
            <w:r>
              <w:rPr>
                <w:spacing w:val="56"/>
                <w:sz w:val="24"/>
              </w:rPr>
              <w:t>  </w:t>
            </w:r>
            <w:r>
              <w:rPr>
                <w:sz w:val="24"/>
              </w:rPr>
              <w:t>Heritage</w:t>
            </w:r>
            <w:r>
              <w:rPr>
                <w:spacing w:val="65"/>
                <w:sz w:val="24"/>
              </w:rPr>
              <w:t> </w:t>
            </w:r>
            <w:r>
              <w:rPr>
                <w:sz w:val="24"/>
              </w:rPr>
              <w:t>Conservation</w:t>
            </w:r>
            <w:r>
              <w:rPr>
                <w:spacing w:val="65"/>
                <w:sz w:val="24"/>
              </w:rPr>
              <w:t> </w:t>
            </w:r>
            <w:r>
              <w:rPr>
                <w:spacing w:val="5"/>
                <w:sz w:val="24"/>
              </w:rPr>
              <w:t>Fund</w:t>
            </w:r>
          </w:p>
        </w:tc>
        <w:tc>
          <w:tcPr>
            <w:tcW w:w="1001" w:type="dxa"/>
          </w:tcPr>
          <w:p>
            <w:pPr>
              <w:pStyle w:val="TableParagraph"/>
              <w:spacing w:before="47"/>
              <w:ind w:left="6"/>
              <w:jc w:val="center"/>
              <w:rPr>
                <w:sz w:val="24"/>
              </w:rPr>
            </w:pPr>
            <w:r>
              <w:rPr>
                <w:spacing w:val="-5"/>
                <w:sz w:val="24"/>
              </w:rPr>
              <w:t>378</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8.</w:t>
            </w:r>
            <w:r>
              <w:rPr>
                <w:spacing w:val="45"/>
                <w:sz w:val="24"/>
              </w:rPr>
              <w:t>  </w:t>
            </w:r>
            <w:r>
              <w:rPr>
                <w:sz w:val="24"/>
              </w:rPr>
              <w:t>Development</w:t>
            </w:r>
            <w:r>
              <w:rPr>
                <w:spacing w:val="54"/>
                <w:sz w:val="24"/>
              </w:rPr>
              <w:t> </w:t>
            </w:r>
            <w:r>
              <w:rPr>
                <w:sz w:val="24"/>
              </w:rPr>
              <w:t>plan</w:t>
            </w:r>
            <w:r>
              <w:rPr>
                <w:spacing w:val="54"/>
                <w:sz w:val="24"/>
              </w:rPr>
              <w:t> </w:t>
            </w:r>
            <w:r>
              <w:rPr>
                <w:spacing w:val="-2"/>
                <w:sz w:val="24"/>
              </w:rPr>
              <w:t>reservation</w:t>
            </w:r>
          </w:p>
        </w:tc>
        <w:tc>
          <w:tcPr>
            <w:tcW w:w="1001" w:type="dxa"/>
          </w:tcPr>
          <w:p>
            <w:pPr>
              <w:pStyle w:val="TableParagraph"/>
              <w:spacing w:before="47"/>
              <w:ind w:left="6"/>
              <w:jc w:val="center"/>
              <w:rPr>
                <w:sz w:val="24"/>
              </w:rPr>
            </w:pPr>
            <w:r>
              <w:rPr>
                <w:spacing w:val="-5"/>
                <w:sz w:val="24"/>
              </w:rPr>
              <w:t>378</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107" w:right="992"/>
              <w:rPr>
                <w:sz w:val="24"/>
              </w:rPr>
            </w:pPr>
            <w:r>
              <w:rPr>
                <w:sz w:val="24"/>
              </w:rPr>
              <w:t>9.</w:t>
            </w:r>
            <w:r>
              <w:rPr>
                <w:spacing w:val="80"/>
                <w:sz w:val="24"/>
              </w:rPr>
              <w:t> </w:t>
            </w:r>
            <w:r>
              <w:rPr>
                <w:sz w:val="24"/>
              </w:rPr>
              <w:t>Grading of the Listed </w:t>
            </w:r>
            <w:r>
              <w:rPr>
                <w:spacing w:val="9"/>
                <w:sz w:val="24"/>
              </w:rPr>
              <w:t>Buildings/Sites</w:t>
            </w:r>
            <w:r>
              <w:rPr>
                <w:spacing w:val="80"/>
                <w:sz w:val="24"/>
              </w:rPr>
              <w:t> </w:t>
            </w:r>
            <w:r>
              <w:rPr>
                <w:sz w:val="24"/>
              </w:rPr>
              <w:t>&amp; Listed </w:t>
            </w:r>
            <w:r>
              <w:rPr>
                <w:spacing w:val="9"/>
                <w:sz w:val="24"/>
              </w:rPr>
              <w:t>Precincts</w:t>
            </w:r>
          </w:p>
        </w:tc>
        <w:tc>
          <w:tcPr>
            <w:tcW w:w="1001" w:type="dxa"/>
          </w:tcPr>
          <w:p>
            <w:pPr>
              <w:pStyle w:val="TableParagraph"/>
              <w:spacing w:before="47"/>
              <w:ind w:left="6"/>
              <w:jc w:val="center"/>
              <w:rPr>
                <w:sz w:val="24"/>
              </w:rPr>
            </w:pPr>
            <w:r>
              <w:rPr>
                <w:spacing w:val="-5"/>
                <w:sz w:val="24"/>
              </w:rPr>
              <w:t>378</w:t>
            </w:r>
          </w:p>
        </w:tc>
      </w:tr>
      <w:tr>
        <w:trPr>
          <w:trHeight w:val="659" w:hRule="atLeast"/>
        </w:trPr>
        <w:tc>
          <w:tcPr>
            <w:tcW w:w="1572" w:type="dxa"/>
          </w:tcPr>
          <w:p>
            <w:pPr>
              <w:pStyle w:val="TableParagraph"/>
              <w:spacing w:before="186"/>
              <w:ind w:left="9" w:right="2"/>
              <w:jc w:val="center"/>
              <w:rPr>
                <w:sz w:val="24"/>
              </w:rPr>
            </w:pPr>
            <w:r>
              <w:rPr>
                <w:spacing w:val="-5"/>
                <w:sz w:val="24"/>
              </w:rPr>
              <w:t>53</w:t>
            </w:r>
          </w:p>
        </w:tc>
        <w:tc>
          <w:tcPr>
            <w:tcW w:w="6196" w:type="dxa"/>
          </w:tcPr>
          <w:p>
            <w:pPr>
              <w:pStyle w:val="TableParagraph"/>
              <w:spacing w:before="47"/>
              <w:ind w:left="107"/>
              <w:rPr>
                <w:b/>
                <w:sz w:val="24"/>
              </w:rPr>
            </w:pPr>
            <w:r>
              <w:rPr>
                <w:b/>
                <w:sz w:val="24"/>
              </w:rPr>
              <w:t>Under Ground </w:t>
            </w:r>
            <w:r>
              <w:rPr>
                <w:b/>
                <w:spacing w:val="9"/>
                <w:sz w:val="24"/>
              </w:rPr>
              <w:t>Public </w:t>
            </w:r>
            <w:r>
              <w:rPr>
                <w:b/>
                <w:sz w:val="24"/>
              </w:rPr>
              <w:t>Utility/Conveniences/Amenity</w:t>
            </w:r>
            <w:r>
              <w:rPr>
                <w:b/>
                <w:spacing w:val="79"/>
                <w:sz w:val="24"/>
              </w:rPr>
              <w:t> </w:t>
            </w:r>
            <w:r>
              <w:rPr>
                <w:b/>
                <w:spacing w:val="9"/>
                <w:sz w:val="24"/>
              </w:rPr>
              <w:t>Provision</w:t>
            </w:r>
          </w:p>
        </w:tc>
        <w:tc>
          <w:tcPr>
            <w:tcW w:w="1001" w:type="dxa"/>
          </w:tcPr>
          <w:p>
            <w:pPr>
              <w:pStyle w:val="TableParagraph"/>
              <w:spacing w:before="47"/>
              <w:ind w:left="6"/>
              <w:jc w:val="center"/>
              <w:rPr>
                <w:sz w:val="24"/>
              </w:rPr>
            </w:pPr>
            <w:r>
              <w:rPr>
                <w:spacing w:val="-5"/>
                <w:sz w:val="24"/>
              </w:rPr>
              <w:t>384</w:t>
            </w:r>
          </w:p>
        </w:tc>
      </w:tr>
      <w:tr>
        <w:trPr>
          <w:trHeight w:val="376" w:hRule="atLeast"/>
        </w:trPr>
        <w:tc>
          <w:tcPr>
            <w:tcW w:w="1572" w:type="dxa"/>
          </w:tcPr>
          <w:p>
            <w:pPr>
              <w:pStyle w:val="TableParagraph"/>
              <w:spacing w:before="47"/>
              <w:ind w:left="9" w:right="2"/>
              <w:jc w:val="center"/>
              <w:rPr>
                <w:sz w:val="24"/>
              </w:rPr>
            </w:pPr>
            <w:r>
              <w:rPr>
                <w:spacing w:val="-5"/>
                <w:sz w:val="24"/>
              </w:rPr>
              <w:t>54</w:t>
            </w:r>
          </w:p>
        </w:tc>
        <w:tc>
          <w:tcPr>
            <w:tcW w:w="6196" w:type="dxa"/>
          </w:tcPr>
          <w:p>
            <w:pPr>
              <w:pStyle w:val="TableParagraph"/>
              <w:spacing w:before="47"/>
              <w:ind w:left="107"/>
              <w:rPr>
                <w:b/>
                <w:sz w:val="24"/>
              </w:rPr>
            </w:pPr>
            <w:r>
              <w:rPr>
                <w:b/>
                <w:sz w:val="24"/>
              </w:rPr>
              <w:t>Uses</w:t>
            </w:r>
            <w:r>
              <w:rPr>
                <w:b/>
                <w:spacing w:val="68"/>
                <w:sz w:val="24"/>
              </w:rPr>
              <w:t> </w:t>
            </w:r>
            <w:r>
              <w:rPr>
                <w:b/>
                <w:sz w:val="24"/>
              </w:rPr>
              <w:t>Permissible</w:t>
            </w:r>
            <w:r>
              <w:rPr>
                <w:b/>
                <w:spacing w:val="75"/>
                <w:sz w:val="24"/>
              </w:rPr>
              <w:t> </w:t>
            </w:r>
            <w:r>
              <w:rPr>
                <w:b/>
                <w:sz w:val="24"/>
              </w:rPr>
              <w:t>Below</w:t>
            </w:r>
            <w:r>
              <w:rPr>
                <w:b/>
                <w:spacing w:val="71"/>
                <w:sz w:val="24"/>
              </w:rPr>
              <w:t> </w:t>
            </w:r>
            <w:r>
              <w:rPr>
                <w:b/>
                <w:spacing w:val="7"/>
                <w:sz w:val="24"/>
              </w:rPr>
              <w:t>Flyovers</w:t>
            </w:r>
          </w:p>
        </w:tc>
        <w:tc>
          <w:tcPr>
            <w:tcW w:w="1001" w:type="dxa"/>
          </w:tcPr>
          <w:p>
            <w:pPr>
              <w:pStyle w:val="TableParagraph"/>
              <w:spacing w:before="47"/>
              <w:ind w:left="6"/>
              <w:jc w:val="center"/>
              <w:rPr>
                <w:sz w:val="24"/>
              </w:rPr>
            </w:pPr>
            <w:r>
              <w:rPr>
                <w:spacing w:val="-5"/>
                <w:sz w:val="24"/>
              </w:rPr>
              <w:t>384</w:t>
            </w:r>
          </w:p>
        </w:tc>
      </w:tr>
      <w:tr>
        <w:trPr>
          <w:trHeight w:val="940" w:hRule="atLeast"/>
        </w:trPr>
        <w:tc>
          <w:tcPr>
            <w:tcW w:w="1572" w:type="dxa"/>
          </w:tcPr>
          <w:p>
            <w:pPr>
              <w:pStyle w:val="TableParagraph"/>
              <w:spacing w:before="49"/>
              <w:rPr>
                <w:sz w:val="24"/>
              </w:rPr>
            </w:pPr>
          </w:p>
          <w:p>
            <w:pPr>
              <w:pStyle w:val="TableParagraph"/>
              <w:ind w:left="9" w:right="2"/>
              <w:jc w:val="center"/>
              <w:rPr>
                <w:sz w:val="24"/>
              </w:rPr>
            </w:pPr>
            <w:r>
              <w:rPr>
                <w:spacing w:val="-5"/>
                <w:sz w:val="24"/>
              </w:rPr>
              <w:t>55</w:t>
            </w:r>
          </w:p>
        </w:tc>
        <w:tc>
          <w:tcPr>
            <w:tcW w:w="6196" w:type="dxa"/>
          </w:tcPr>
          <w:p>
            <w:pPr>
              <w:pStyle w:val="TableParagraph"/>
              <w:spacing w:before="47"/>
              <w:ind w:left="107" w:firstLine="91"/>
              <w:rPr>
                <w:b/>
                <w:sz w:val="24"/>
              </w:rPr>
            </w:pPr>
            <w:r>
              <w:rPr>
                <w:b/>
                <w:sz w:val="24"/>
              </w:rPr>
              <w:t>Alignment of Metro/Mono/Elevated</w:t>
            </w:r>
            <w:r>
              <w:rPr>
                <w:b/>
                <w:spacing w:val="80"/>
                <w:sz w:val="24"/>
              </w:rPr>
              <w:t> </w:t>
            </w:r>
            <w:r>
              <w:rPr>
                <w:b/>
                <w:sz w:val="24"/>
              </w:rPr>
              <w:t>Corridors/Corridors of Mass and </w:t>
            </w:r>
            <w:r>
              <w:rPr>
                <w:b/>
                <w:spacing w:val="9"/>
                <w:sz w:val="24"/>
              </w:rPr>
              <w:t>Rapid</w:t>
            </w:r>
            <w:r>
              <w:rPr>
                <w:b/>
                <w:spacing w:val="80"/>
                <w:sz w:val="24"/>
              </w:rPr>
              <w:t> </w:t>
            </w:r>
            <w:r>
              <w:rPr>
                <w:b/>
                <w:sz w:val="24"/>
              </w:rPr>
              <w:t>Transport </w:t>
            </w:r>
            <w:r>
              <w:rPr>
                <w:b/>
                <w:spacing w:val="9"/>
                <w:sz w:val="24"/>
              </w:rPr>
              <w:t>System</w:t>
            </w:r>
          </w:p>
        </w:tc>
        <w:tc>
          <w:tcPr>
            <w:tcW w:w="1001" w:type="dxa"/>
          </w:tcPr>
          <w:p>
            <w:pPr>
              <w:pStyle w:val="TableParagraph"/>
              <w:spacing w:before="47"/>
              <w:ind w:left="6"/>
              <w:jc w:val="center"/>
              <w:rPr>
                <w:sz w:val="24"/>
              </w:rPr>
            </w:pPr>
            <w:r>
              <w:rPr>
                <w:spacing w:val="-5"/>
                <w:sz w:val="24"/>
              </w:rPr>
              <w:t>385</w:t>
            </w:r>
          </w:p>
        </w:tc>
      </w:tr>
      <w:tr>
        <w:trPr>
          <w:trHeight w:val="378" w:hRule="atLeast"/>
        </w:trPr>
        <w:tc>
          <w:tcPr>
            <w:tcW w:w="1572" w:type="dxa"/>
          </w:tcPr>
          <w:p>
            <w:pPr>
              <w:pStyle w:val="TableParagraph"/>
              <w:spacing w:before="49"/>
              <w:ind w:left="9" w:right="2"/>
              <w:jc w:val="center"/>
              <w:rPr>
                <w:sz w:val="24"/>
              </w:rPr>
            </w:pPr>
            <w:r>
              <w:rPr>
                <w:spacing w:val="-5"/>
                <w:sz w:val="24"/>
              </w:rPr>
              <w:t>56</w:t>
            </w:r>
          </w:p>
        </w:tc>
        <w:tc>
          <w:tcPr>
            <w:tcW w:w="6196" w:type="dxa"/>
          </w:tcPr>
          <w:p>
            <w:pPr>
              <w:pStyle w:val="TableParagraph"/>
              <w:spacing w:before="49"/>
              <w:ind w:left="198"/>
              <w:rPr>
                <w:b/>
                <w:sz w:val="24"/>
              </w:rPr>
            </w:pPr>
            <w:r>
              <w:rPr>
                <w:b/>
                <w:sz w:val="24"/>
              </w:rPr>
              <w:t>Forest</w:t>
            </w:r>
            <w:r>
              <w:rPr>
                <w:b/>
                <w:spacing w:val="66"/>
                <w:sz w:val="24"/>
              </w:rPr>
              <w:t> </w:t>
            </w:r>
            <w:r>
              <w:rPr>
                <w:b/>
                <w:spacing w:val="-4"/>
                <w:sz w:val="24"/>
              </w:rPr>
              <w:t>Land</w:t>
            </w:r>
          </w:p>
        </w:tc>
        <w:tc>
          <w:tcPr>
            <w:tcW w:w="1001" w:type="dxa"/>
          </w:tcPr>
          <w:p>
            <w:pPr>
              <w:pStyle w:val="TableParagraph"/>
              <w:spacing w:before="49"/>
              <w:ind w:left="6"/>
              <w:jc w:val="center"/>
              <w:rPr>
                <w:sz w:val="24"/>
              </w:rPr>
            </w:pPr>
            <w:r>
              <w:rPr>
                <w:spacing w:val="-5"/>
                <w:sz w:val="24"/>
              </w:rPr>
              <w:t>385</w:t>
            </w:r>
          </w:p>
        </w:tc>
      </w:tr>
      <w:tr>
        <w:trPr>
          <w:trHeight w:val="376" w:hRule="atLeast"/>
        </w:trPr>
        <w:tc>
          <w:tcPr>
            <w:tcW w:w="8769" w:type="dxa"/>
            <w:gridSpan w:val="3"/>
          </w:tcPr>
          <w:p>
            <w:pPr>
              <w:pStyle w:val="TableParagraph"/>
              <w:spacing w:before="47"/>
              <w:ind w:left="6" w:right="16"/>
              <w:jc w:val="center"/>
              <w:rPr>
                <w:b/>
                <w:sz w:val="24"/>
              </w:rPr>
            </w:pPr>
            <w:r>
              <w:rPr>
                <w:b/>
                <w:sz w:val="24"/>
              </w:rPr>
              <w:t>PART</w:t>
            </w:r>
            <w:r>
              <w:rPr>
                <w:b/>
                <w:spacing w:val="55"/>
                <w:sz w:val="24"/>
              </w:rPr>
              <w:t> </w:t>
            </w:r>
            <w:r>
              <w:rPr>
                <w:b/>
                <w:sz w:val="24"/>
              </w:rPr>
              <w:t>–</w:t>
            </w:r>
            <w:r>
              <w:rPr>
                <w:b/>
                <w:spacing w:val="55"/>
                <w:sz w:val="24"/>
              </w:rPr>
              <w:t> </w:t>
            </w:r>
            <w:r>
              <w:rPr>
                <w:b/>
                <w:sz w:val="24"/>
              </w:rPr>
              <w:t>XI</w:t>
            </w:r>
            <w:r>
              <w:rPr>
                <w:b/>
                <w:spacing w:val="58"/>
                <w:sz w:val="24"/>
              </w:rPr>
              <w:t> </w:t>
            </w:r>
            <w:r>
              <w:rPr>
                <w:b/>
                <w:sz w:val="24"/>
              </w:rPr>
              <w:t>MISCELLANEOUS</w:t>
            </w:r>
            <w:r>
              <w:rPr>
                <w:b/>
                <w:spacing w:val="59"/>
                <w:sz w:val="24"/>
              </w:rPr>
              <w:t> </w:t>
            </w:r>
            <w:r>
              <w:rPr>
                <w:b/>
                <w:spacing w:val="-2"/>
                <w:sz w:val="24"/>
              </w:rPr>
              <w:t>PROVISIONS</w:t>
            </w:r>
          </w:p>
        </w:tc>
      </w:tr>
      <w:tr>
        <w:trPr>
          <w:trHeight w:val="378" w:hRule="atLeast"/>
        </w:trPr>
        <w:tc>
          <w:tcPr>
            <w:tcW w:w="1572" w:type="dxa"/>
          </w:tcPr>
          <w:p>
            <w:pPr>
              <w:pStyle w:val="TableParagraph"/>
              <w:spacing w:before="49"/>
              <w:ind w:left="9" w:right="2"/>
              <w:jc w:val="center"/>
              <w:rPr>
                <w:sz w:val="24"/>
              </w:rPr>
            </w:pPr>
            <w:r>
              <w:rPr>
                <w:spacing w:val="-5"/>
                <w:sz w:val="24"/>
              </w:rPr>
              <w:t>57</w:t>
            </w:r>
          </w:p>
        </w:tc>
        <w:tc>
          <w:tcPr>
            <w:tcW w:w="6196" w:type="dxa"/>
          </w:tcPr>
          <w:p>
            <w:pPr>
              <w:pStyle w:val="TableParagraph"/>
              <w:spacing w:before="49"/>
              <w:ind w:left="107"/>
              <w:rPr>
                <w:b/>
                <w:sz w:val="24"/>
              </w:rPr>
            </w:pPr>
            <w:r>
              <w:rPr>
                <w:b/>
                <w:sz w:val="24"/>
              </w:rPr>
              <w:t>Temporary</w:t>
            </w:r>
            <w:r>
              <w:rPr>
                <w:b/>
                <w:spacing w:val="52"/>
                <w:w w:val="150"/>
                <w:sz w:val="24"/>
              </w:rPr>
              <w:t> </w:t>
            </w:r>
            <w:r>
              <w:rPr>
                <w:b/>
                <w:spacing w:val="7"/>
                <w:sz w:val="24"/>
              </w:rPr>
              <w:t>Constructions</w:t>
            </w:r>
          </w:p>
        </w:tc>
        <w:tc>
          <w:tcPr>
            <w:tcW w:w="1001" w:type="dxa"/>
          </w:tcPr>
          <w:p>
            <w:pPr>
              <w:pStyle w:val="TableParagraph"/>
              <w:spacing w:before="49"/>
              <w:ind w:left="6"/>
              <w:jc w:val="center"/>
              <w:rPr>
                <w:sz w:val="24"/>
              </w:rPr>
            </w:pPr>
            <w:r>
              <w:rPr>
                <w:spacing w:val="-5"/>
                <w:sz w:val="24"/>
              </w:rPr>
              <w:t>387</w:t>
            </w:r>
          </w:p>
        </w:tc>
      </w:tr>
      <w:tr>
        <w:trPr>
          <w:trHeight w:val="1223" w:hRule="atLeast"/>
        </w:trPr>
        <w:tc>
          <w:tcPr>
            <w:tcW w:w="1572" w:type="dxa"/>
          </w:tcPr>
          <w:p>
            <w:pPr>
              <w:pStyle w:val="TableParagraph"/>
              <w:spacing w:before="187"/>
              <w:rPr>
                <w:sz w:val="24"/>
              </w:rPr>
            </w:pPr>
          </w:p>
          <w:p>
            <w:pPr>
              <w:pStyle w:val="TableParagraph"/>
              <w:ind w:left="9" w:right="2"/>
              <w:jc w:val="center"/>
              <w:rPr>
                <w:sz w:val="24"/>
              </w:rPr>
            </w:pPr>
            <w:r>
              <w:rPr>
                <w:spacing w:val="-5"/>
                <w:sz w:val="24"/>
              </w:rPr>
              <w:t>58</w:t>
            </w:r>
          </w:p>
        </w:tc>
        <w:tc>
          <w:tcPr>
            <w:tcW w:w="6196" w:type="dxa"/>
          </w:tcPr>
          <w:p>
            <w:pPr>
              <w:pStyle w:val="TableParagraph"/>
              <w:spacing w:before="47"/>
              <w:ind w:left="107" w:right="456" w:firstLine="96"/>
              <w:rPr>
                <w:b/>
                <w:sz w:val="24"/>
              </w:rPr>
            </w:pPr>
            <w:r>
              <w:rPr>
                <w:b/>
                <w:sz w:val="24"/>
              </w:rPr>
              <w:t>Common Antenna for Television</w:t>
            </w:r>
            <w:r>
              <w:rPr>
                <w:b/>
                <w:spacing w:val="40"/>
                <w:sz w:val="24"/>
              </w:rPr>
              <w:t> </w:t>
            </w:r>
            <w:r>
              <w:rPr>
                <w:b/>
                <w:spacing w:val="7"/>
                <w:sz w:val="24"/>
              </w:rPr>
              <w:t>Transmission Reception/Telecommunication/Digital Communication</w:t>
            </w:r>
          </w:p>
        </w:tc>
        <w:tc>
          <w:tcPr>
            <w:tcW w:w="1001" w:type="dxa"/>
          </w:tcPr>
          <w:p>
            <w:pPr>
              <w:pStyle w:val="TableParagraph"/>
              <w:spacing w:before="47"/>
              <w:ind w:left="6"/>
              <w:jc w:val="center"/>
              <w:rPr>
                <w:sz w:val="24"/>
              </w:rPr>
            </w:pPr>
            <w:r>
              <w:rPr>
                <w:spacing w:val="-5"/>
                <w:sz w:val="24"/>
              </w:rPr>
              <w:t>388</w:t>
            </w:r>
          </w:p>
        </w:tc>
      </w:tr>
      <w:tr>
        <w:trPr>
          <w:trHeight w:val="376" w:hRule="atLeast"/>
        </w:trPr>
        <w:tc>
          <w:tcPr>
            <w:tcW w:w="1572" w:type="dxa"/>
          </w:tcPr>
          <w:p>
            <w:pPr>
              <w:pStyle w:val="TableParagraph"/>
              <w:spacing w:before="47"/>
              <w:ind w:left="9" w:right="2"/>
              <w:jc w:val="center"/>
              <w:rPr>
                <w:sz w:val="24"/>
              </w:rPr>
            </w:pPr>
            <w:r>
              <w:rPr>
                <w:spacing w:val="-5"/>
                <w:sz w:val="24"/>
              </w:rPr>
              <w:t>59</w:t>
            </w:r>
          </w:p>
        </w:tc>
        <w:tc>
          <w:tcPr>
            <w:tcW w:w="6196" w:type="dxa"/>
          </w:tcPr>
          <w:p>
            <w:pPr>
              <w:pStyle w:val="TableParagraph"/>
              <w:spacing w:before="47"/>
              <w:ind w:left="107"/>
              <w:rPr>
                <w:b/>
                <w:sz w:val="24"/>
              </w:rPr>
            </w:pPr>
            <w:r>
              <w:rPr>
                <w:b/>
                <w:sz w:val="24"/>
              </w:rPr>
              <w:t>Special</w:t>
            </w:r>
            <w:r>
              <w:rPr>
                <w:b/>
                <w:spacing w:val="76"/>
                <w:sz w:val="24"/>
              </w:rPr>
              <w:t> </w:t>
            </w:r>
            <w:r>
              <w:rPr>
                <w:b/>
                <w:sz w:val="24"/>
              </w:rPr>
              <w:t>Purpose</w:t>
            </w:r>
            <w:r>
              <w:rPr>
                <w:b/>
                <w:spacing w:val="74"/>
                <w:sz w:val="24"/>
              </w:rPr>
              <w:t> </w:t>
            </w:r>
            <w:r>
              <w:rPr>
                <w:b/>
                <w:spacing w:val="5"/>
                <w:sz w:val="24"/>
              </w:rPr>
              <w:t>NOCs</w:t>
            </w:r>
          </w:p>
        </w:tc>
        <w:tc>
          <w:tcPr>
            <w:tcW w:w="1001" w:type="dxa"/>
          </w:tcPr>
          <w:p>
            <w:pPr>
              <w:pStyle w:val="TableParagraph"/>
              <w:spacing w:before="47"/>
              <w:ind w:left="6"/>
              <w:jc w:val="center"/>
              <w:rPr>
                <w:sz w:val="24"/>
              </w:rPr>
            </w:pPr>
            <w:r>
              <w:rPr>
                <w:spacing w:val="-5"/>
                <w:sz w:val="24"/>
              </w:rPr>
              <w:t>388</w:t>
            </w:r>
          </w:p>
        </w:tc>
      </w:tr>
      <w:tr>
        <w:trPr>
          <w:trHeight w:val="379" w:hRule="atLeast"/>
        </w:trPr>
        <w:tc>
          <w:tcPr>
            <w:tcW w:w="1572" w:type="dxa"/>
          </w:tcPr>
          <w:p>
            <w:pPr>
              <w:pStyle w:val="TableParagraph"/>
              <w:spacing w:before="47"/>
              <w:ind w:left="9" w:right="2"/>
              <w:jc w:val="center"/>
              <w:rPr>
                <w:sz w:val="24"/>
              </w:rPr>
            </w:pPr>
            <w:r>
              <w:rPr>
                <w:spacing w:val="-5"/>
                <w:sz w:val="24"/>
              </w:rPr>
              <w:t>60</w:t>
            </w:r>
          </w:p>
        </w:tc>
        <w:tc>
          <w:tcPr>
            <w:tcW w:w="6196" w:type="dxa"/>
          </w:tcPr>
          <w:p>
            <w:pPr>
              <w:pStyle w:val="TableParagraph"/>
              <w:spacing w:before="47"/>
              <w:ind w:left="107"/>
              <w:rPr>
                <w:b/>
                <w:sz w:val="24"/>
              </w:rPr>
            </w:pPr>
            <w:r>
              <w:rPr>
                <w:b/>
                <w:sz w:val="24"/>
              </w:rPr>
              <w:t>Repairs</w:t>
            </w:r>
            <w:r>
              <w:rPr>
                <w:b/>
                <w:spacing w:val="62"/>
                <w:sz w:val="24"/>
              </w:rPr>
              <w:t> </w:t>
            </w:r>
            <w:r>
              <w:rPr>
                <w:b/>
                <w:sz w:val="24"/>
              </w:rPr>
              <w:t>to</w:t>
            </w:r>
            <w:r>
              <w:rPr>
                <w:b/>
                <w:spacing w:val="62"/>
                <w:sz w:val="24"/>
              </w:rPr>
              <w:t> </w:t>
            </w:r>
            <w:r>
              <w:rPr>
                <w:b/>
                <w:sz w:val="24"/>
              </w:rPr>
              <w:t>Existing</w:t>
            </w:r>
            <w:r>
              <w:rPr>
                <w:b/>
                <w:spacing w:val="63"/>
                <w:sz w:val="24"/>
              </w:rPr>
              <w:t> </w:t>
            </w:r>
            <w:r>
              <w:rPr>
                <w:b/>
                <w:spacing w:val="7"/>
                <w:sz w:val="24"/>
              </w:rPr>
              <w:t>Building</w:t>
            </w:r>
          </w:p>
        </w:tc>
        <w:tc>
          <w:tcPr>
            <w:tcW w:w="1001" w:type="dxa"/>
          </w:tcPr>
          <w:p>
            <w:pPr>
              <w:pStyle w:val="TableParagraph"/>
              <w:spacing w:before="47"/>
              <w:ind w:left="6"/>
              <w:jc w:val="center"/>
              <w:rPr>
                <w:sz w:val="24"/>
              </w:rPr>
            </w:pPr>
            <w:r>
              <w:rPr>
                <w:spacing w:val="-5"/>
                <w:sz w:val="24"/>
              </w:rPr>
              <w:t>388</w:t>
            </w:r>
          </w:p>
        </w:tc>
      </w:tr>
      <w:tr>
        <w:trPr>
          <w:trHeight w:val="376" w:hRule="atLeast"/>
        </w:trPr>
        <w:tc>
          <w:tcPr>
            <w:tcW w:w="8769" w:type="dxa"/>
            <w:gridSpan w:val="3"/>
          </w:tcPr>
          <w:p>
            <w:pPr>
              <w:pStyle w:val="TableParagraph"/>
              <w:spacing w:before="47"/>
              <w:ind w:left="6" w:right="15"/>
              <w:jc w:val="center"/>
              <w:rPr>
                <w:b/>
                <w:sz w:val="24"/>
              </w:rPr>
            </w:pPr>
            <w:r>
              <w:rPr>
                <w:b/>
                <w:sz w:val="24"/>
              </w:rPr>
              <w:t>PART-</w:t>
            </w:r>
            <w:r>
              <w:rPr>
                <w:b/>
                <w:spacing w:val="72"/>
                <w:sz w:val="24"/>
              </w:rPr>
              <w:t> </w:t>
            </w:r>
            <w:r>
              <w:rPr>
                <w:b/>
                <w:sz w:val="24"/>
              </w:rPr>
              <w:t>XII</w:t>
            </w:r>
            <w:r>
              <w:rPr>
                <w:b/>
                <w:spacing w:val="74"/>
                <w:sz w:val="24"/>
              </w:rPr>
              <w:t> </w:t>
            </w:r>
            <w:r>
              <w:rPr>
                <w:b/>
                <w:sz w:val="24"/>
              </w:rPr>
              <w:t>ENVIRONMENTAL</w:t>
            </w:r>
            <w:r>
              <w:rPr>
                <w:b/>
                <w:spacing w:val="78"/>
                <w:sz w:val="24"/>
              </w:rPr>
              <w:t> </w:t>
            </w:r>
            <w:r>
              <w:rPr>
                <w:b/>
                <w:spacing w:val="-2"/>
                <w:sz w:val="24"/>
              </w:rPr>
              <w:t>SUSTAINABILITY</w:t>
            </w:r>
          </w:p>
        </w:tc>
      </w:tr>
      <w:tr>
        <w:trPr>
          <w:trHeight w:val="659" w:hRule="atLeast"/>
        </w:trPr>
        <w:tc>
          <w:tcPr>
            <w:tcW w:w="1572" w:type="dxa"/>
          </w:tcPr>
          <w:p>
            <w:pPr>
              <w:pStyle w:val="TableParagraph"/>
              <w:spacing w:before="188"/>
              <w:ind w:left="9" w:right="2"/>
              <w:jc w:val="center"/>
              <w:rPr>
                <w:sz w:val="24"/>
              </w:rPr>
            </w:pPr>
            <w:r>
              <w:rPr>
                <w:spacing w:val="-5"/>
                <w:sz w:val="24"/>
              </w:rPr>
              <w:t>61</w:t>
            </w:r>
          </w:p>
        </w:tc>
        <w:tc>
          <w:tcPr>
            <w:tcW w:w="6196" w:type="dxa"/>
          </w:tcPr>
          <w:p>
            <w:pPr>
              <w:pStyle w:val="TableParagraph"/>
              <w:spacing w:before="49"/>
              <w:ind w:left="107"/>
              <w:rPr>
                <w:b/>
                <w:sz w:val="24"/>
              </w:rPr>
            </w:pPr>
            <w:r>
              <w:rPr>
                <w:b/>
                <w:sz w:val="24"/>
              </w:rPr>
              <w:t>Public Sanitary Convenience </w:t>
            </w:r>
            <w:r>
              <w:rPr>
                <w:b/>
                <w:spacing w:val="9"/>
                <w:sz w:val="24"/>
              </w:rPr>
              <w:t>(PSC)</w:t>
            </w:r>
            <w:r>
              <w:rPr>
                <w:b/>
                <w:spacing w:val="40"/>
                <w:sz w:val="24"/>
              </w:rPr>
              <w:t> </w:t>
            </w:r>
            <w:r>
              <w:rPr>
                <w:b/>
                <w:spacing w:val="7"/>
                <w:sz w:val="24"/>
              </w:rPr>
              <w:t>Blocks/Toilets</w:t>
            </w:r>
          </w:p>
        </w:tc>
        <w:tc>
          <w:tcPr>
            <w:tcW w:w="1001" w:type="dxa"/>
          </w:tcPr>
          <w:p>
            <w:pPr>
              <w:pStyle w:val="TableParagraph"/>
              <w:spacing w:before="49"/>
              <w:ind w:left="6"/>
              <w:jc w:val="center"/>
              <w:rPr>
                <w:sz w:val="24"/>
              </w:rPr>
            </w:pPr>
            <w:r>
              <w:rPr>
                <w:spacing w:val="-5"/>
                <w:sz w:val="24"/>
              </w:rPr>
              <w:t>393</w:t>
            </w:r>
          </w:p>
        </w:tc>
      </w:tr>
      <w:tr>
        <w:trPr>
          <w:trHeight w:val="378" w:hRule="atLeast"/>
        </w:trPr>
        <w:tc>
          <w:tcPr>
            <w:tcW w:w="1572" w:type="dxa"/>
          </w:tcPr>
          <w:p>
            <w:pPr>
              <w:pStyle w:val="TableParagraph"/>
              <w:spacing w:before="47"/>
              <w:ind w:left="9" w:right="2"/>
              <w:jc w:val="center"/>
              <w:rPr>
                <w:sz w:val="24"/>
              </w:rPr>
            </w:pPr>
            <w:r>
              <w:rPr>
                <w:spacing w:val="-5"/>
                <w:sz w:val="24"/>
              </w:rPr>
              <w:t>62</w:t>
            </w:r>
          </w:p>
        </w:tc>
        <w:tc>
          <w:tcPr>
            <w:tcW w:w="6196" w:type="dxa"/>
          </w:tcPr>
          <w:p>
            <w:pPr>
              <w:pStyle w:val="TableParagraph"/>
              <w:spacing w:before="47"/>
              <w:ind w:left="107"/>
              <w:rPr>
                <w:b/>
                <w:sz w:val="24"/>
              </w:rPr>
            </w:pPr>
            <w:r>
              <w:rPr>
                <w:b/>
                <w:sz w:val="24"/>
              </w:rPr>
              <w:t>Rain</w:t>
            </w:r>
            <w:r>
              <w:rPr>
                <w:b/>
                <w:spacing w:val="70"/>
                <w:sz w:val="24"/>
              </w:rPr>
              <w:t> </w:t>
            </w:r>
            <w:r>
              <w:rPr>
                <w:b/>
                <w:sz w:val="24"/>
              </w:rPr>
              <w:t>Water</w:t>
            </w:r>
            <w:r>
              <w:rPr>
                <w:b/>
                <w:spacing w:val="67"/>
                <w:sz w:val="24"/>
              </w:rPr>
              <w:t> </w:t>
            </w:r>
            <w:r>
              <w:rPr>
                <w:b/>
                <w:sz w:val="24"/>
              </w:rPr>
              <w:t>Harvesting</w:t>
            </w:r>
            <w:r>
              <w:rPr>
                <w:b/>
                <w:spacing w:val="67"/>
                <w:sz w:val="24"/>
              </w:rPr>
              <w:t> </w:t>
            </w:r>
            <w:r>
              <w:rPr>
                <w:b/>
                <w:spacing w:val="-4"/>
                <w:sz w:val="24"/>
              </w:rPr>
              <w:t>(RWH)</w:t>
            </w:r>
          </w:p>
        </w:tc>
        <w:tc>
          <w:tcPr>
            <w:tcW w:w="1001" w:type="dxa"/>
          </w:tcPr>
          <w:p>
            <w:pPr>
              <w:pStyle w:val="TableParagraph"/>
              <w:spacing w:before="47"/>
              <w:ind w:left="6"/>
              <w:jc w:val="center"/>
              <w:rPr>
                <w:sz w:val="24"/>
              </w:rPr>
            </w:pPr>
            <w:r>
              <w:rPr>
                <w:spacing w:val="-5"/>
                <w:sz w:val="24"/>
              </w:rPr>
              <w:t>394</w:t>
            </w:r>
          </w:p>
        </w:tc>
      </w:tr>
      <w:tr>
        <w:trPr>
          <w:trHeight w:val="659" w:hRule="atLeast"/>
        </w:trPr>
        <w:tc>
          <w:tcPr>
            <w:tcW w:w="1572" w:type="dxa"/>
          </w:tcPr>
          <w:p>
            <w:pPr>
              <w:pStyle w:val="TableParagraph"/>
              <w:spacing w:before="188"/>
              <w:ind w:left="9" w:right="2"/>
              <w:jc w:val="center"/>
              <w:rPr>
                <w:sz w:val="24"/>
              </w:rPr>
            </w:pPr>
            <w:r>
              <w:rPr>
                <w:spacing w:val="-5"/>
                <w:sz w:val="24"/>
              </w:rPr>
              <w:t>63</w:t>
            </w:r>
          </w:p>
        </w:tc>
        <w:tc>
          <w:tcPr>
            <w:tcW w:w="6196" w:type="dxa"/>
          </w:tcPr>
          <w:p>
            <w:pPr>
              <w:pStyle w:val="TableParagraph"/>
              <w:spacing w:before="47"/>
              <w:ind w:left="107" w:right="992"/>
              <w:rPr>
                <w:b/>
                <w:sz w:val="24"/>
              </w:rPr>
            </w:pPr>
            <w:r>
              <w:rPr>
                <w:b/>
                <w:sz w:val="24"/>
              </w:rPr>
              <w:t>Special</w:t>
            </w:r>
            <w:r>
              <w:rPr>
                <w:b/>
                <w:spacing w:val="40"/>
                <w:sz w:val="24"/>
              </w:rPr>
              <w:t> </w:t>
            </w:r>
            <w:r>
              <w:rPr>
                <w:b/>
                <w:sz w:val="24"/>
              </w:rPr>
              <w:t>Provisions;</w:t>
            </w:r>
            <w:r>
              <w:rPr>
                <w:b/>
                <w:spacing w:val="40"/>
                <w:sz w:val="24"/>
              </w:rPr>
              <w:t> </w:t>
            </w:r>
            <w:r>
              <w:rPr>
                <w:b/>
                <w:sz w:val="24"/>
              </w:rPr>
              <w:t>for</w:t>
            </w:r>
            <w:r>
              <w:rPr>
                <w:b/>
                <w:spacing w:val="40"/>
                <w:sz w:val="24"/>
              </w:rPr>
              <w:t> </w:t>
            </w:r>
            <w:r>
              <w:rPr>
                <w:b/>
                <w:sz w:val="24"/>
              </w:rPr>
              <w:t>installation</w:t>
            </w:r>
            <w:r>
              <w:rPr>
                <w:b/>
                <w:spacing w:val="40"/>
                <w:sz w:val="24"/>
              </w:rPr>
              <w:t> </w:t>
            </w:r>
            <w:r>
              <w:rPr>
                <w:b/>
                <w:sz w:val="24"/>
              </w:rPr>
              <w:t>of Solar</w:t>
            </w:r>
            <w:r>
              <w:rPr>
                <w:b/>
                <w:spacing w:val="40"/>
                <w:sz w:val="24"/>
              </w:rPr>
              <w:t> </w:t>
            </w:r>
            <w:r>
              <w:rPr>
                <w:b/>
                <w:sz w:val="24"/>
              </w:rPr>
              <w:t>Water</w:t>
            </w:r>
            <w:r>
              <w:rPr>
                <w:b/>
                <w:spacing w:val="40"/>
                <w:sz w:val="24"/>
              </w:rPr>
              <w:t> </w:t>
            </w:r>
            <w:r>
              <w:rPr>
                <w:b/>
                <w:sz w:val="24"/>
              </w:rPr>
              <w:t>Heating</w:t>
            </w:r>
            <w:r>
              <w:rPr>
                <w:b/>
                <w:spacing w:val="40"/>
                <w:sz w:val="24"/>
              </w:rPr>
              <w:t> </w:t>
            </w:r>
            <w:r>
              <w:rPr>
                <w:b/>
                <w:sz w:val="24"/>
              </w:rPr>
              <w:t>(SWH)</w:t>
            </w:r>
            <w:r>
              <w:rPr>
                <w:b/>
                <w:spacing w:val="40"/>
                <w:sz w:val="24"/>
              </w:rPr>
              <w:t> </w:t>
            </w:r>
            <w:r>
              <w:rPr>
                <w:b/>
                <w:sz w:val="24"/>
              </w:rPr>
              <w:t>Systems</w:t>
            </w:r>
          </w:p>
        </w:tc>
        <w:tc>
          <w:tcPr>
            <w:tcW w:w="1001" w:type="dxa"/>
          </w:tcPr>
          <w:p>
            <w:pPr>
              <w:pStyle w:val="TableParagraph"/>
              <w:spacing w:before="47"/>
              <w:ind w:left="6"/>
              <w:jc w:val="center"/>
              <w:rPr>
                <w:sz w:val="24"/>
              </w:rPr>
            </w:pPr>
            <w:r>
              <w:rPr>
                <w:spacing w:val="-5"/>
                <w:sz w:val="24"/>
              </w:rPr>
              <w:t>396</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660" w:hRule="atLeast"/>
        </w:trPr>
        <w:tc>
          <w:tcPr>
            <w:tcW w:w="1572" w:type="dxa"/>
          </w:tcPr>
          <w:p>
            <w:pPr>
              <w:pStyle w:val="TableParagraph"/>
              <w:spacing w:before="189"/>
              <w:ind w:left="9" w:right="2"/>
              <w:jc w:val="center"/>
              <w:rPr>
                <w:sz w:val="24"/>
              </w:rPr>
            </w:pPr>
            <w:r>
              <w:rPr>
                <w:spacing w:val="-5"/>
                <w:sz w:val="24"/>
              </w:rPr>
              <w:t>64</w:t>
            </w:r>
          </w:p>
        </w:tc>
        <w:tc>
          <w:tcPr>
            <w:tcW w:w="6196" w:type="dxa"/>
          </w:tcPr>
          <w:p>
            <w:pPr>
              <w:pStyle w:val="TableParagraph"/>
              <w:spacing w:before="50"/>
              <w:ind w:left="107" w:right="1568"/>
              <w:rPr>
                <w:b/>
                <w:sz w:val="24"/>
              </w:rPr>
            </w:pPr>
            <w:r>
              <w:rPr>
                <w:b/>
                <w:sz w:val="24"/>
              </w:rPr>
              <w:t>Waste (Grey) Water Recycling and</w:t>
            </w:r>
            <w:r>
              <w:rPr>
                <w:b/>
                <w:spacing w:val="80"/>
                <w:sz w:val="24"/>
              </w:rPr>
              <w:t> </w:t>
            </w:r>
            <w:r>
              <w:rPr>
                <w:b/>
                <w:spacing w:val="-2"/>
                <w:sz w:val="24"/>
              </w:rPr>
              <w:t>Reuse</w:t>
            </w:r>
          </w:p>
        </w:tc>
        <w:tc>
          <w:tcPr>
            <w:tcW w:w="1001" w:type="dxa"/>
          </w:tcPr>
          <w:p>
            <w:pPr>
              <w:pStyle w:val="TableParagraph"/>
              <w:spacing w:before="50"/>
              <w:ind w:left="6"/>
              <w:jc w:val="center"/>
              <w:rPr>
                <w:sz w:val="24"/>
              </w:rPr>
            </w:pPr>
            <w:r>
              <w:rPr>
                <w:spacing w:val="-5"/>
                <w:sz w:val="24"/>
              </w:rPr>
              <w:t>398</w:t>
            </w:r>
          </w:p>
        </w:tc>
      </w:tr>
      <w:tr>
        <w:trPr>
          <w:trHeight w:val="659" w:hRule="atLeast"/>
        </w:trPr>
        <w:tc>
          <w:tcPr>
            <w:tcW w:w="1572" w:type="dxa"/>
          </w:tcPr>
          <w:p>
            <w:pPr>
              <w:pStyle w:val="TableParagraph"/>
              <w:spacing w:before="188"/>
              <w:ind w:left="9" w:right="2"/>
              <w:jc w:val="center"/>
              <w:rPr>
                <w:sz w:val="24"/>
              </w:rPr>
            </w:pPr>
            <w:r>
              <w:rPr>
                <w:spacing w:val="-5"/>
                <w:sz w:val="24"/>
              </w:rPr>
              <w:t>65</w:t>
            </w:r>
          </w:p>
        </w:tc>
        <w:tc>
          <w:tcPr>
            <w:tcW w:w="6196" w:type="dxa"/>
          </w:tcPr>
          <w:p>
            <w:pPr>
              <w:pStyle w:val="TableParagraph"/>
              <w:spacing w:before="49"/>
              <w:ind w:left="107" w:right="1568"/>
              <w:rPr>
                <w:b/>
                <w:sz w:val="24"/>
              </w:rPr>
            </w:pPr>
            <w:r>
              <w:rPr>
                <w:b/>
                <w:sz w:val="24"/>
              </w:rPr>
              <w:t>Sewage Treatment Plant (STP) &amp;</w:t>
            </w:r>
            <w:r>
              <w:rPr>
                <w:b/>
                <w:spacing w:val="40"/>
                <w:sz w:val="24"/>
              </w:rPr>
              <w:t> </w:t>
            </w:r>
            <w:r>
              <w:rPr>
                <w:b/>
                <w:spacing w:val="-2"/>
                <w:sz w:val="24"/>
              </w:rPr>
              <w:t>Disposal</w:t>
            </w:r>
          </w:p>
        </w:tc>
        <w:tc>
          <w:tcPr>
            <w:tcW w:w="1001" w:type="dxa"/>
          </w:tcPr>
          <w:p>
            <w:pPr>
              <w:pStyle w:val="TableParagraph"/>
              <w:spacing w:before="49"/>
              <w:ind w:left="6"/>
              <w:jc w:val="center"/>
              <w:rPr>
                <w:sz w:val="24"/>
              </w:rPr>
            </w:pPr>
            <w:r>
              <w:rPr>
                <w:spacing w:val="-5"/>
                <w:sz w:val="24"/>
              </w:rPr>
              <w:t>399</w:t>
            </w:r>
          </w:p>
        </w:tc>
      </w:tr>
      <w:tr>
        <w:trPr>
          <w:trHeight w:val="378" w:hRule="atLeast"/>
        </w:trPr>
        <w:tc>
          <w:tcPr>
            <w:tcW w:w="1572" w:type="dxa"/>
          </w:tcPr>
          <w:p>
            <w:pPr>
              <w:pStyle w:val="TableParagraph"/>
              <w:spacing w:before="49"/>
              <w:ind w:left="9" w:right="2"/>
              <w:jc w:val="center"/>
              <w:rPr>
                <w:sz w:val="24"/>
              </w:rPr>
            </w:pPr>
            <w:r>
              <w:rPr>
                <w:spacing w:val="-5"/>
                <w:sz w:val="24"/>
              </w:rPr>
              <w:t>66</w:t>
            </w:r>
          </w:p>
        </w:tc>
        <w:tc>
          <w:tcPr>
            <w:tcW w:w="6196" w:type="dxa"/>
          </w:tcPr>
          <w:p>
            <w:pPr>
              <w:pStyle w:val="TableParagraph"/>
              <w:spacing w:before="49"/>
              <w:ind w:left="179"/>
              <w:rPr>
                <w:b/>
                <w:sz w:val="24"/>
              </w:rPr>
            </w:pPr>
            <w:r>
              <w:rPr>
                <w:b/>
                <w:sz w:val="24"/>
              </w:rPr>
              <w:t>Solid</w:t>
            </w:r>
            <w:r>
              <w:rPr>
                <w:b/>
                <w:spacing w:val="-4"/>
                <w:sz w:val="24"/>
              </w:rPr>
              <w:t> </w:t>
            </w:r>
            <w:r>
              <w:rPr>
                <w:b/>
                <w:sz w:val="24"/>
              </w:rPr>
              <w:t>Waste</w:t>
            </w:r>
            <w:r>
              <w:rPr>
                <w:b/>
                <w:spacing w:val="-3"/>
                <w:sz w:val="24"/>
              </w:rPr>
              <w:t> </w:t>
            </w:r>
            <w:r>
              <w:rPr>
                <w:b/>
                <w:spacing w:val="-2"/>
                <w:sz w:val="24"/>
              </w:rPr>
              <w:t>Segregation</w:t>
            </w:r>
          </w:p>
        </w:tc>
        <w:tc>
          <w:tcPr>
            <w:tcW w:w="1001" w:type="dxa"/>
          </w:tcPr>
          <w:p>
            <w:pPr>
              <w:pStyle w:val="TableParagraph"/>
              <w:spacing w:before="49"/>
              <w:ind w:left="6"/>
              <w:jc w:val="center"/>
              <w:rPr>
                <w:sz w:val="24"/>
              </w:rPr>
            </w:pPr>
            <w:r>
              <w:rPr>
                <w:spacing w:val="-5"/>
                <w:sz w:val="24"/>
              </w:rPr>
              <w:t>400</w:t>
            </w:r>
          </w:p>
        </w:tc>
      </w:tr>
      <w:tr>
        <w:trPr>
          <w:trHeight w:val="659" w:hRule="atLeast"/>
        </w:trPr>
        <w:tc>
          <w:tcPr>
            <w:tcW w:w="1572" w:type="dxa"/>
          </w:tcPr>
          <w:p>
            <w:pPr>
              <w:pStyle w:val="TableParagraph"/>
              <w:spacing w:before="188"/>
              <w:ind w:left="9" w:right="2"/>
              <w:jc w:val="center"/>
              <w:rPr>
                <w:sz w:val="24"/>
              </w:rPr>
            </w:pPr>
            <w:r>
              <w:rPr>
                <w:spacing w:val="-5"/>
                <w:sz w:val="24"/>
              </w:rPr>
              <w:t>67</w:t>
            </w:r>
          </w:p>
        </w:tc>
        <w:tc>
          <w:tcPr>
            <w:tcW w:w="6196" w:type="dxa"/>
          </w:tcPr>
          <w:p>
            <w:pPr>
              <w:pStyle w:val="TableParagraph"/>
              <w:spacing w:before="47"/>
              <w:ind w:left="107"/>
              <w:rPr>
                <w:b/>
                <w:sz w:val="24"/>
              </w:rPr>
            </w:pPr>
            <w:r>
              <w:rPr>
                <w:b/>
                <w:sz w:val="24"/>
              </w:rPr>
              <mc:AlternateContent>
                <mc:Choice Requires="wps">
                  <w:drawing>
                    <wp:anchor distT="0" distB="0" distL="0" distR="0" allowOverlap="1" layoutInCell="1" locked="0" behindDoc="1" simplePos="0" relativeHeight="471340032">
                      <wp:simplePos x="0" y="0"/>
                      <wp:positionH relativeFrom="column">
                        <wp:posOffset>2690495</wp:posOffset>
                      </wp:positionH>
                      <wp:positionV relativeFrom="paragraph">
                        <wp:posOffset>196398</wp:posOffset>
                      </wp:positionV>
                      <wp:extent cx="60960" cy="1079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60960" cy="10795"/>
                                <a:chExt cx="60960" cy="10795"/>
                              </a:xfrm>
                            </wpg:grpSpPr>
                            <wps:wsp>
                              <wps:cNvPr id="29" name="Graphic 29"/>
                              <wps:cNvSpPr/>
                              <wps:spPr>
                                <a:xfrm>
                                  <a:off x="0" y="0"/>
                                  <a:ext cx="60960" cy="10795"/>
                                </a:xfrm>
                                <a:custGeom>
                                  <a:avLst/>
                                  <a:gdLst/>
                                  <a:ahLst/>
                                  <a:cxnLst/>
                                  <a:rect l="l" t="t" r="r" b="b"/>
                                  <a:pathLst>
                                    <a:path w="60960" h="10795">
                                      <a:moveTo>
                                        <a:pt x="60960" y="0"/>
                                      </a:moveTo>
                                      <a:lnTo>
                                        <a:pt x="0" y="0"/>
                                      </a:lnTo>
                                      <a:lnTo>
                                        <a:pt x="0" y="10668"/>
                                      </a:lnTo>
                                      <a:lnTo>
                                        <a:pt x="60960" y="10668"/>
                                      </a:lnTo>
                                      <a:lnTo>
                                        <a:pt x="609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11.850006pt;margin-top:15.464453pt;width:4.8pt;height:.85pt;mso-position-horizontal-relative:column;mso-position-vertical-relative:paragraph;z-index:-31976448" id="docshapegroup26" coordorigin="4237,309" coordsize="96,17">
                      <v:rect style="position:absolute;left:4237;top:309;width:96;height:17" id="docshape27" filled="true" fillcolor="#000000" stroked="false">
                        <v:fill type="solid"/>
                      </v:rect>
                      <w10:wrap type="none"/>
                    </v:group>
                  </w:pict>
                </mc:Fallback>
              </mc:AlternateContent>
            </w:r>
            <w:r>
              <w:rPr>
                <w:b/>
                <w:sz w:val="24"/>
              </w:rPr>
              <w:t>Tree</w:t>
            </w:r>
            <w:r>
              <w:rPr>
                <w:b/>
                <w:spacing w:val="40"/>
                <w:sz w:val="24"/>
              </w:rPr>
              <w:t> </w:t>
            </w:r>
            <w:r>
              <w:rPr>
                <w:b/>
                <w:sz w:val="24"/>
              </w:rPr>
              <w:t>Plantation</w:t>
            </w:r>
            <w:r>
              <w:rPr>
                <w:b/>
                <w:spacing w:val="40"/>
                <w:sz w:val="24"/>
              </w:rPr>
              <w:t> </w:t>
            </w:r>
            <w:r>
              <w:rPr>
                <w:b/>
                <w:sz w:val="24"/>
              </w:rPr>
              <w:t>Provisions</w:t>
            </w:r>
            <w:r>
              <w:rPr>
                <w:b/>
                <w:spacing w:val="40"/>
                <w:sz w:val="24"/>
              </w:rPr>
              <w:t> </w:t>
            </w:r>
            <w:r>
              <w:rPr>
                <w:b/>
                <w:sz w:val="24"/>
              </w:rPr>
              <w:t>for</w:t>
            </w:r>
            <w:r>
              <w:rPr>
                <w:b/>
                <w:spacing w:val="80"/>
                <w:w w:val="150"/>
                <w:sz w:val="24"/>
              </w:rPr>
              <w:t> </w:t>
            </w:r>
            <w:r>
              <w:rPr>
                <w:b/>
                <w:sz w:val="24"/>
              </w:rPr>
              <w:t>Enhancing/ Conserving/Preserving</w:t>
            </w:r>
            <w:r>
              <w:rPr>
                <w:b/>
                <w:spacing w:val="9"/>
                <w:sz w:val="24"/>
              </w:rPr>
              <w:t> Biodiversity</w:t>
            </w:r>
          </w:p>
        </w:tc>
        <w:tc>
          <w:tcPr>
            <w:tcW w:w="1001" w:type="dxa"/>
          </w:tcPr>
          <w:p>
            <w:pPr>
              <w:pStyle w:val="TableParagraph"/>
              <w:spacing w:before="47"/>
              <w:ind w:left="6"/>
              <w:jc w:val="center"/>
              <w:rPr>
                <w:sz w:val="24"/>
              </w:rPr>
            </w:pPr>
            <w:r>
              <w:rPr>
                <w:spacing w:val="-5"/>
                <w:sz w:val="24"/>
              </w:rPr>
              <w:t>401</w:t>
            </w:r>
          </w:p>
        </w:tc>
      </w:tr>
      <w:tr>
        <w:trPr>
          <w:trHeight w:val="376" w:hRule="atLeast"/>
        </w:trPr>
        <w:tc>
          <w:tcPr>
            <w:tcW w:w="1572" w:type="dxa"/>
          </w:tcPr>
          <w:p>
            <w:pPr>
              <w:pStyle w:val="TableParagraph"/>
              <w:spacing w:before="47"/>
              <w:ind w:left="9" w:right="2"/>
              <w:jc w:val="center"/>
              <w:rPr>
                <w:sz w:val="24"/>
              </w:rPr>
            </w:pPr>
            <w:r>
              <w:rPr>
                <w:spacing w:val="-5"/>
                <w:sz w:val="24"/>
              </w:rPr>
              <w:t>68</w:t>
            </w:r>
          </w:p>
        </w:tc>
        <w:tc>
          <w:tcPr>
            <w:tcW w:w="6196" w:type="dxa"/>
          </w:tcPr>
          <w:p>
            <w:pPr>
              <w:pStyle w:val="TableParagraph"/>
              <w:spacing w:before="47"/>
              <w:ind w:left="107"/>
              <w:rPr>
                <w:b/>
                <w:sz w:val="24"/>
              </w:rPr>
            </w:pPr>
            <w:r>
              <w:rPr>
                <w:b/>
                <w:sz w:val="24"/>
              </w:rPr>
              <w:t>Coastal</w:t>
            </w:r>
            <w:r>
              <w:rPr>
                <w:b/>
                <w:spacing w:val="-4"/>
                <w:sz w:val="24"/>
              </w:rPr>
              <w:t> </w:t>
            </w:r>
            <w:r>
              <w:rPr>
                <w:b/>
                <w:sz w:val="24"/>
              </w:rPr>
              <w:t>Regulation</w:t>
            </w:r>
            <w:r>
              <w:rPr>
                <w:b/>
                <w:spacing w:val="-4"/>
                <w:sz w:val="24"/>
              </w:rPr>
              <w:t> </w:t>
            </w:r>
            <w:r>
              <w:rPr>
                <w:b/>
                <w:sz w:val="24"/>
              </w:rPr>
              <w:t>Zone</w:t>
            </w:r>
            <w:r>
              <w:rPr>
                <w:b/>
                <w:spacing w:val="-4"/>
                <w:sz w:val="24"/>
              </w:rPr>
              <w:t> </w:t>
            </w:r>
            <w:r>
              <w:rPr>
                <w:b/>
                <w:spacing w:val="-2"/>
                <w:sz w:val="24"/>
              </w:rPr>
              <w:t>(CRZ)</w:t>
            </w:r>
          </w:p>
        </w:tc>
        <w:tc>
          <w:tcPr>
            <w:tcW w:w="1001" w:type="dxa"/>
          </w:tcPr>
          <w:p>
            <w:pPr>
              <w:pStyle w:val="TableParagraph"/>
              <w:spacing w:before="47"/>
              <w:ind w:left="6"/>
              <w:jc w:val="center"/>
              <w:rPr>
                <w:sz w:val="24"/>
              </w:rPr>
            </w:pPr>
            <w:r>
              <w:rPr>
                <w:spacing w:val="-5"/>
                <w:sz w:val="24"/>
              </w:rPr>
              <w:t>401</w:t>
            </w:r>
          </w:p>
        </w:tc>
      </w:tr>
      <w:tr>
        <w:trPr>
          <w:trHeight w:val="378" w:hRule="atLeast"/>
        </w:trPr>
        <w:tc>
          <w:tcPr>
            <w:tcW w:w="1572" w:type="dxa"/>
          </w:tcPr>
          <w:p>
            <w:pPr>
              <w:pStyle w:val="TableParagraph"/>
              <w:spacing w:before="49"/>
              <w:ind w:left="9" w:right="2"/>
              <w:jc w:val="center"/>
              <w:rPr>
                <w:sz w:val="24"/>
              </w:rPr>
            </w:pPr>
            <w:r>
              <w:rPr>
                <w:spacing w:val="-5"/>
                <w:sz w:val="24"/>
              </w:rPr>
              <w:t>69</w:t>
            </w:r>
          </w:p>
        </w:tc>
        <w:tc>
          <w:tcPr>
            <w:tcW w:w="6196" w:type="dxa"/>
          </w:tcPr>
          <w:p>
            <w:pPr>
              <w:pStyle w:val="TableParagraph"/>
              <w:spacing w:before="49"/>
              <w:ind w:left="107"/>
              <w:rPr>
                <w:b/>
                <w:sz w:val="24"/>
              </w:rPr>
            </w:pPr>
            <w:r>
              <w:rPr>
                <w:b/>
                <w:sz w:val="24"/>
              </w:rPr>
              <w:t>Environment Impact Assessment </w:t>
            </w:r>
            <w:r>
              <w:rPr>
                <w:b/>
                <w:spacing w:val="-2"/>
                <w:sz w:val="24"/>
              </w:rPr>
              <w:t>(EIA)</w:t>
            </w:r>
          </w:p>
        </w:tc>
        <w:tc>
          <w:tcPr>
            <w:tcW w:w="1001" w:type="dxa"/>
          </w:tcPr>
          <w:p>
            <w:pPr>
              <w:pStyle w:val="TableParagraph"/>
              <w:spacing w:before="49"/>
              <w:ind w:left="6"/>
              <w:jc w:val="center"/>
              <w:rPr>
                <w:sz w:val="24"/>
              </w:rPr>
            </w:pPr>
            <w:r>
              <w:rPr>
                <w:spacing w:val="-5"/>
                <w:sz w:val="24"/>
              </w:rPr>
              <w:t>401</w:t>
            </w:r>
          </w:p>
        </w:tc>
      </w:tr>
      <w:tr>
        <w:trPr>
          <w:trHeight w:val="376" w:hRule="atLeast"/>
        </w:trPr>
        <w:tc>
          <w:tcPr>
            <w:tcW w:w="1572" w:type="dxa"/>
          </w:tcPr>
          <w:p>
            <w:pPr>
              <w:pStyle w:val="TableParagraph"/>
              <w:spacing w:before="47"/>
              <w:ind w:left="9" w:right="2"/>
              <w:jc w:val="center"/>
              <w:rPr>
                <w:sz w:val="24"/>
              </w:rPr>
            </w:pPr>
            <w:r>
              <w:rPr>
                <w:spacing w:val="-5"/>
                <w:sz w:val="24"/>
              </w:rPr>
              <w:t>70</w:t>
            </w:r>
          </w:p>
        </w:tc>
        <w:tc>
          <w:tcPr>
            <w:tcW w:w="6196" w:type="dxa"/>
          </w:tcPr>
          <w:p>
            <w:pPr>
              <w:pStyle w:val="TableParagraph"/>
              <w:spacing w:before="47"/>
              <w:ind w:left="107"/>
              <w:rPr>
                <w:b/>
                <w:sz w:val="24"/>
              </w:rPr>
            </w:pPr>
            <w:r>
              <w:rPr>
                <w:b/>
                <w:sz w:val="24"/>
              </w:rPr>
              <w:t>Energy</w:t>
            </w:r>
            <w:r>
              <w:rPr>
                <w:b/>
                <w:spacing w:val="-3"/>
                <w:sz w:val="24"/>
              </w:rPr>
              <w:t> </w:t>
            </w:r>
            <w:r>
              <w:rPr>
                <w:b/>
                <w:sz w:val="24"/>
              </w:rPr>
              <w:t>Efficient</w:t>
            </w:r>
            <w:r>
              <w:rPr>
                <w:b/>
                <w:spacing w:val="-2"/>
                <w:sz w:val="24"/>
              </w:rPr>
              <w:t> Buildings</w:t>
            </w:r>
          </w:p>
        </w:tc>
        <w:tc>
          <w:tcPr>
            <w:tcW w:w="1001" w:type="dxa"/>
          </w:tcPr>
          <w:p>
            <w:pPr>
              <w:pStyle w:val="TableParagraph"/>
              <w:spacing w:before="47"/>
              <w:ind w:left="6"/>
              <w:jc w:val="center"/>
              <w:rPr>
                <w:sz w:val="24"/>
              </w:rPr>
            </w:pPr>
            <w:r>
              <w:rPr>
                <w:spacing w:val="-5"/>
                <w:sz w:val="24"/>
              </w:rPr>
              <w:t>402</w:t>
            </w:r>
          </w:p>
        </w:tc>
      </w:tr>
      <w:tr>
        <w:trPr>
          <w:trHeight w:val="446" w:hRule="atLeast"/>
        </w:trPr>
        <w:tc>
          <w:tcPr>
            <w:tcW w:w="8769" w:type="dxa"/>
            <w:gridSpan w:val="3"/>
          </w:tcPr>
          <w:p>
            <w:pPr>
              <w:pStyle w:val="TableParagraph"/>
              <w:spacing w:before="83"/>
              <w:ind w:left="5"/>
              <w:jc w:val="center"/>
              <w:rPr>
                <w:b/>
                <w:sz w:val="24"/>
              </w:rPr>
            </w:pPr>
            <w:r>
              <w:rPr>
                <w:b/>
                <w:sz w:val="24"/>
              </w:rPr>
              <w:t>APPENDICES</w:t>
            </w:r>
            <w:r>
              <w:rPr>
                <w:b/>
                <w:spacing w:val="-5"/>
                <w:sz w:val="24"/>
              </w:rPr>
              <w:t> </w:t>
            </w:r>
            <w:r>
              <w:rPr>
                <w:b/>
                <w:sz w:val="24"/>
              </w:rPr>
              <w:t>AND</w:t>
            </w:r>
            <w:r>
              <w:rPr>
                <w:b/>
                <w:spacing w:val="-4"/>
                <w:sz w:val="24"/>
              </w:rPr>
              <w:t> </w:t>
            </w:r>
            <w:r>
              <w:rPr>
                <w:b/>
                <w:spacing w:val="-2"/>
                <w:sz w:val="24"/>
              </w:rPr>
              <w:t>ANNEXURES</w:t>
            </w:r>
          </w:p>
        </w:tc>
      </w:tr>
      <w:tr>
        <w:trPr>
          <w:trHeight w:val="378" w:hRule="atLeast"/>
        </w:trPr>
        <w:tc>
          <w:tcPr>
            <w:tcW w:w="8769" w:type="dxa"/>
            <w:gridSpan w:val="3"/>
          </w:tcPr>
          <w:p>
            <w:pPr>
              <w:pStyle w:val="TableParagraph"/>
              <w:spacing w:before="49"/>
              <w:ind w:left="16" w:right="10"/>
              <w:jc w:val="center"/>
              <w:rPr>
                <w:b/>
                <w:sz w:val="24"/>
              </w:rPr>
            </w:pPr>
            <w:r>
              <w:rPr>
                <w:b/>
                <w:spacing w:val="-2"/>
                <w:sz w:val="24"/>
              </w:rPr>
              <w:t>APPENDICES</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1567" w:right="108" w:hanging="1350"/>
              <w:jc w:val="both"/>
              <w:rPr>
                <w:sz w:val="24"/>
              </w:rPr>
            </w:pPr>
            <w:r>
              <w:rPr>
                <w:spacing w:val="9"/>
                <w:sz w:val="24"/>
              </w:rPr>
              <w:t>Appendix-</w:t>
            </w:r>
            <w:r>
              <w:rPr>
                <w:sz w:val="24"/>
              </w:rPr>
              <w:t>I- Additional Fire Protection Requirements for High Rise and Special </w:t>
            </w:r>
            <w:r>
              <w:rPr>
                <w:spacing w:val="9"/>
                <w:sz w:val="24"/>
              </w:rPr>
              <w:t>Building</w:t>
            </w:r>
          </w:p>
        </w:tc>
        <w:tc>
          <w:tcPr>
            <w:tcW w:w="1001" w:type="dxa"/>
          </w:tcPr>
          <w:p>
            <w:pPr>
              <w:pStyle w:val="TableParagraph"/>
              <w:spacing w:before="47"/>
              <w:ind w:left="6"/>
              <w:jc w:val="center"/>
              <w:rPr>
                <w:sz w:val="24"/>
              </w:rPr>
            </w:pPr>
            <w:r>
              <w:rPr>
                <w:spacing w:val="-5"/>
                <w:sz w:val="24"/>
              </w:rPr>
              <w:t>403</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2105" w:val="left" w:leader="none"/>
                <w:tab w:pos="3071" w:val="left" w:leader="none"/>
                <w:tab w:pos="3610" w:val="left" w:leader="none"/>
                <w:tab w:pos="4700" w:val="left" w:leader="none"/>
                <w:tab w:pos="5486" w:val="left" w:leader="none"/>
              </w:tabs>
              <w:spacing w:before="49"/>
              <w:ind w:left="1567" w:right="114" w:hanging="1350"/>
              <w:rPr>
                <w:sz w:val="24"/>
              </w:rPr>
            </w:pPr>
            <w:r>
              <w:rPr>
                <w:spacing w:val="7"/>
                <w:sz w:val="24"/>
              </w:rPr>
              <w:t>Appendix-</w:t>
            </w:r>
            <w:r>
              <w:rPr>
                <w:sz w:val="24"/>
              </w:rPr>
              <w:t>II-</w:t>
              <w:tab/>
            </w:r>
            <w:r>
              <w:rPr>
                <w:spacing w:val="-4"/>
                <w:sz w:val="24"/>
              </w:rPr>
              <w:t>Form</w:t>
            </w:r>
            <w:r>
              <w:rPr>
                <w:sz w:val="24"/>
              </w:rPr>
              <w:tab/>
            </w:r>
            <w:r>
              <w:rPr>
                <w:spacing w:val="-6"/>
                <w:sz w:val="24"/>
              </w:rPr>
              <w:t>of</w:t>
            </w:r>
            <w:r>
              <w:rPr>
                <w:sz w:val="24"/>
              </w:rPr>
              <w:tab/>
            </w:r>
            <w:r>
              <w:rPr>
                <w:spacing w:val="-2"/>
                <w:sz w:val="24"/>
              </w:rPr>
              <w:t>Notice</w:t>
            </w:r>
            <w:r>
              <w:rPr>
                <w:sz w:val="24"/>
              </w:rPr>
              <w:tab/>
            </w:r>
            <w:r>
              <w:rPr>
                <w:spacing w:val="-4"/>
                <w:sz w:val="24"/>
              </w:rPr>
              <w:t>and</w:t>
            </w:r>
            <w:r>
              <w:rPr>
                <w:sz w:val="24"/>
              </w:rPr>
              <w:tab/>
            </w:r>
            <w:r>
              <w:rPr>
                <w:spacing w:val="-2"/>
                <w:sz w:val="24"/>
              </w:rPr>
              <w:t>First </w:t>
            </w:r>
            <w:r>
              <w:rPr>
                <w:sz w:val="24"/>
              </w:rPr>
              <w:t>Application for </w:t>
            </w:r>
            <w:r>
              <w:rPr>
                <w:spacing w:val="9"/>
                <w:sz w:val="24"/>
              </w:rPr>
              <w:t>Development</w:t>
            </w:r>
          </w:p>
        </w:tc>
        <w:tc>
          <w:tcPr>
            <w:tcW w:w="1001" w:type="dxa"/>
          </w:tcPr>
          <w:p>
            <w:pPr>
              <w:pStyle w:val="TableParagraph"/>
              <w:spacing w:before="49"/>
              <w:ind w:left="6"/>
              <w:jc w:val="center"/>
              <w:rPr>
                <w:sz w:val="24"/>
              </w:rPr>
            </w:pPr>
            <w:r>
              <w:rPr>
                <w:spacing w:val="-5"/>
                <w:sz w:val="24"/>
              </w:rPr>
              <w:t>421</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218"/>
              <w:rPr>
                <w:sz w:val="24"/>
              </w:rPr>
            </w:pPr>
            <w:r>
              <w:rPr>
                <w:spacing w:val="9"/>
                <w:sz w:val="24"/>
              </w:rPr>
              <w:t>Appendix-</w:t>
            </w:r>
            <w:r>
              <w:rPr>
                <w:sz w:val="24"/>
              </w:rPr>
              <w:t>III-</w:t>
            </w:r>
            <w:r>
              <w:rPr>
                <w:spacing w:val="55"/>
                <w:sz w:val="24"/>
              </w:rPr>
              <w:t> </w:t>
            </w:r>
            <w:r>
              <w:rPr>
                <w:sz w:val="24"/>
              </w:rPr>
              <w:t>List</w:t>
            </w:r>
            <w:r>
              <w:rPr>
                <w:spacing w:val="55"/>
                <w:sz w:val="24"/>
              </w:rPr>
              <w:t> </w:t>
            </w:r>
            <w:r>
              <w:rPr>
                <w:sz w:val="24"/>
              </w:rPr>
              <w:t>of</w:t>
            </w:r>
            <w:r>
              <w:rPr>
                <w:spacing w:val="56"/>
                <w:sz w:val="24"/>
              </w:rPr>
              <w:t> </w:t>
            </w:r>
            <w:r>
              <w:rPr>
                <w:sz w:val="24"/>
              </w:rPr>
              <w:t>Special</w:t>
            </w:r>
            <w:r>
              <w:rPr>
                <w:spacing w:val="55"/>
                <w:sz w:val="24"/>
              </w:rPr>
              <w:t> </w:t>
            </w:r>
            <w:r>
              <w:rPr>
                <w:sz w:val="24"/>
              </w:rPr>
              <w:t>Purpose</w:t>
            </w:r>
            <w:r>
              <w:rPr>
                <w:spacing w:val="59"/>
                <w:sz w:val="24"/>
              </w:rPr>
              <w:t> </w:t>
            </w:r>
            <w:r>
              <w:rPr>
                <w:spacing w:val="-4"/>
                <w:sz w:val="24"/>
              </w:rPr>
              <w:t>NOC’s</w:t>
            </w:r>
          </w:p>
        </w:tc>
        <w:tc>
          <w:tcPr>
            <w:tcW w:w="1001" w:type="dxa"/>
          </w:tcPr>
          <w:p>
            <w:pPr>
              <w:pStyle w:val="TableParagraph"/>
              <w:spacing w:before="47"/>
              <w:ind w:left="6"/>
              <w:jc w:val="center"/>
              <w:rPr>
                <w:sz w:val="24"/>
              </w:rPr>
            </w:pPr>
            <w:r>
              <w:rPr>
                <w:spacing w:val="-5"/>
                <w:sz w:val="24"/>
              </w:rPr>
              <w:t>423</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218"/>
              <w:rPr>
                <w:sz w:val="24"/>
              </w:rPr>
            </w:pPr>
            <w:r>
              <w:rPr>
                <w:spacing w:val="9"/>
                <w:sz w:val="24"/>
              </w:rPr>
              <w:t>Appendix-</w:t>
            </w:r>
            <w:r>
              <w:rPr>
                <w:sz w:val="24"/>
              </w:rPr>
              <w:t>IV-</w:t>
            </w:r>
            <w:r>
              <w:rPr>
                <w:spacing w:val="56"/>
                <w:sz w:val="24"/>
              </w:rPr>
              <w:t> </w:t>
            </w:r>
            <w:r>
              <w:rPr>
                <w:sz w:val="24"/>
              </w:rPr>
              <w:t>Repairs</w:t>
            </w:r>
            <w:r>
              <w:rPr>
                <w:spacing w:val="56"/>
                <w:sz w:val="24"/>
              </w:rPr>
              <w:t> </w:t>
            </w:r>
            <w:r>
              <w:rPr>
                <w:sz w:val="24"/>
              </w:rPr>
              <w:t>to</w:t>
            </w:r>
            <w:r>
              <w:rPr>
                <w:spacing w:val="60"/>
                <w:sz w:val="24"/>
              </w:rPr>
              <w:t> </w:t>
            </w:r>
            <w:r>
              <w:rPr>
                <w:sz w:val="24"/>
              </w:rPr>
              <w:t>Existing</w:t>
            </w:r>
            <w:r>
              <w:rPr>
                <w:spacing w:val="60"/>
                <w:sz w:val="24"/>
              </w:rPr>
              <w:t> </w:t>
            </w:r>
            <w:r>
              <w:rPr>
                <w:spacing w:val="-2"/>
                <w:sz w:val="24"/>
              </w:rPr>
              <w:t>Building</w:t>
            </w:r>
          </w:p>
        </w:tc>
        <w:tc>
          <w:tcPr>
            <w:tcW w:w="1001" w:type="dxa"/>
          </w:tcPr>
          <w:p>
            <w:pPr>
              <w:pStyle w:val="TableParagraph"/>
              <w:spacing w:before="47"/>
              <w:ind w:left="6"/>
              <w:jc w:val="center"/>
              <w:rPr>
                <w:sz w:val="24"/>
              </w:rPr>
            </w:pPr>
            <w:r>
              <w:rPr>
                <w:spacing w:val="-5"/>
                <w:sz w:val="24"/>
              </w:rPr>
              <w:t>424</w:t>
            </w:r>
          </w:p>
        </w:tc>
      </w:tr>
      <w:tr>
        <w:trPr>
          <w:trHeight w:val="379" w:hRule="atLeast"/>
        </w:trPr>
        <w:tc>
          <w:tcPr>
            <w:tcW w:w="1572" w:type="dxa"/>
          </w:tcPr>
          <w:p>
            <w:pPr>
              <w:pStyle w:val="TableParagraph"/>
              <w:rPr>
                <w:rFonts w:ascii="Times New Roman"/>
                <w:sz w:val="22"/>
              </w:rPr>
            </w:pPr>
          </w:p>
        </w:tc>
        <w:tc>
          <w:tcPr>
            <w:tcW w:w="6196" w:type="dxa"/>
          </w:tcPr>
          <w:p>
            <w:pPr>
              <w:pStyle w:val="TableParagraph"/>
              <w:spacing w:before="49"/>
              <w:ind w:left="218"/>
              <w:rPr>
                <w:sz w:val="24"/>
              </w:rPr>
            </w:pPr>
            <w:r>
              <w:rPr>
                <w:spacing w:val="9"/>
                <w:sz w:val="24"/>
              </w:rPr>
              <w:t>Appendix-</w:t>
            </w:r>
            <w:r>
              <w:rPr>
                <w:sz w:val="24"/>
              </w:rPr>
              <w:t>V-</w:t>
            </w:r>
            <w:r>
              <w:rPr>
                <w:spacing w:val="69"/>
                <w:sz w:val="24"/>
              </w:rPr>
              <w:t> </w:t>
            </w:r>
            <w:r>
              <w:rPr>
                <w:sz w:val="24"/>
              </w:rPr>
              <w:t>Advance</w:t>
            </w:r>
            <w:r>
              <w:rPr>
                <w:spacing w:val="69"/>
                <w:sz w:val="24"/>
              </w:rPr>
              <w:t> </w:t>
            </w:r>
            <w:r>
              <w:rPr>
                <w:sz w:val="24"/>
              </w:rPr>
              <w:t>Possession</w:t>
            </w:r>
            <w:r>
              <w:rPr>
                <w:spacing w:val="73"/>
                <w:sz w:val="24"/>
              </w:rPr>
              <w:t> </w:t>
            </w:r>
            <w:r>
              <w:rPr>
                <w:spacing w:val="-2"/>
                <w:sz w:val="24"/>
              </w:rPr>
              <w:t>Receipt</w:t>
            </w:r>
          </w:p>
        </w:tc>
        <w:tc>
          <w:tcPr>
            <w:tcW w:w="1001" w:type="dxa"/>
          </w:tcPr>
          <w:p>
            <w:pPr>
              <w:pStyle w:val="TableParagraph"/>
              <w:spacing w:before="49"/>
              <w:ind w:left="6"/>
              <w:jc w:val="center"/>
              <w:rPr>
                <w:sz w:val="24"/>
              </w:rPr>
            </w:pPr>
            <w:r>
              <w:rPr>
                <w:spacing w:val="-5"/>
                <w:sz w:val="24"/>
              </w:rPr>
              <w:t>427</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1567" w:right="113" w:hanging="1350"/>
              <w:jc w:val="both"/>
              <w:rPr>
                <w:sz w:val="24"/>
              </w:rPr>
            </w:pPr>
            <w:r>
              <w:rPr>
                <w:spacing w:val="9"/>
                <w:sz w:val="24"/>
              </w:rPr>
              <w:t>Appendix-</w:t>
            </w:r>
            <w:r>
              <w:rPr>
                <w:sz w:val="24"/>
              </w:rPr>
              <w:t>VI- Final Possession Receipt from Owner to DP Department &amp; DP Department</w:t>
            </w:r>
            <w:r>
              <w:rPr>
                <w:spacing w:val="40"/>
                <w:sz w:val="24"/>
              </w:rPr>
              <w:t> </w:t>
            </w:r>
            <w:r>
              <w:rPr>
                <w:sz w:val="24"/>
              </w:rPr>
              <w:t>To</w:t>
            </w:r>
            <w:r>
              <w:rPr>
                <w:spacing w:val="40"/>
                <w:sz w:val="24"/>
              </w:rPr>
              <w:t> </w:t>
            </w:r>
            <w:r>
              <w:rPr>
                <w:sz w:val="24"/>
              </w:rPr>
              <w:t>Estate </w:t>
            </w:r>
            <w:r>
              <w:rPr>
                <w:spacing w:val="9"/>
                <w:sz w:val="24"/>
              </w:rPr>
              <w:t>Department</w:t>
            </w:r>
          </w:p>
        </w:tc>
        <w:tc>
          <w:tcPr>
            <w:tcW w:w="1001" w:type="dxa"/>
          </w:tcPr>
          <w:p>
            <w:pPr>
              <w:pStyle w:val="TableParagraph"/>
              <w:spacing w:before="47"/>
              <w:ind w:left="6"/>
              <w:jc w:val="center"/>
              <w:rPr>
                <w:sz w:val="24"/>
              </w:rPr>
            </w:pPr>
            <w:r>
              <w:rPr>
                <w:spacing w:val="-5"/>
                <w:sz w:val="24"/>
              </w:rPr>
              <w:t>429</w:t>
            </w:r>
          </w:p>
        </w:tc>
      </w:tr>
      <w:tr>
        <w:trPr>
          <w:trHeight w:val="378" w:hRule="atLeast"/>
        </w:trPr>
        <w:tc>
          <w:tcPr>
            <w:tcW w:w="8769" w:type="dxa"/>
            <w:gridSpan w:val="3"/>
          </w:tcPr>
          <w:p>
            <w:pPr>
              <w:pStyle w:val="TableParagraph"/>
              <w:spacing w:before="47"/>
              <w:ind w:left="16" w:right="10"/>
              <w:jc w:val="center"/>
              <w:rPr>
                <w:b/>
                <w:sz w:val="24"/>
              </w:rPr>
            </w:pPr>
            <w:r>
              <w:rPr>
                <w:b/>
                <w:spacing w:val="-2"/>
                <w:sz w:val="24"/>
              </w:rPr>
              <w:t>ANNEXURES</w:t>
            </w:r>
          </w:p>
        </w:tc>
      </w:tr>
      <w:tr>
        <w:trPr>
          <w:trHeight w:val="376" w:hRule="atLeast"/>
        </w:trPr>
        <w:tc>
          <w:tcPr>
            <w:tcW w:w="1572" w:type="dxa"/>
          </w:tcPr>
          <w:p>
            <w:pPr>
              <w:pStyle w:val="TableParagraph"/>
              <w:rPr>
                <w:rFonts w:ascii="Times New Roman"/>
                <w:sz w:val="22"/>
              </w:rPr>
            </w:pPr>
          </w:p>
        </w:tc>
        <w:tc>
          <w:tcPr>
            <w:tcW w:w="6196" w:type="dxa"/>
          </w:tcPr>
          <w:p>
            <w:pPr>
              <w:pStyle w:val="TableParagraph"/>
              <w:tabs>
                <w:tab w:pos="1860" w:val="left" w:leader="none"/>
              </w:tabs>
              <w:spacing w:before="47"/>
              <w:ind w:left="107"/>
              <w:rPr>
                <w:sz w:val="24"/>
              </w:rPr>
            </w:pPr>
            <w:r>
              <w:rPr>
                <w:spacing w:val="-2"/>
                <w:sz w:val="24"/>
              </w:rPr>
              <w:t>Annexure-</w:t>
            </w:r>
            <w:r>
              <w:rPr>
                <w:sz w:val="24"/>
              </w:rPr>
              <w:tab/>
              <w:t>1</w:t>
            </w:r>
            <w:r>
              <w:rPr>
                <w:spacing w:val="42"/>
                <w:sz w:val="24"/>
              </w:rPr>
              <w:t> </w:t>
            </w:r>
            <w:r>
              <w:rPr>
                <w:sz w:val="24"/>
              </w:rPr>
              <w:t>-</w:t>
            </w:r>
            <w:r>
              <w:rPr>
                <w:spacing w:val="45"/>
                <w:sz w:val="24"/>
              </w:rPr>
              <w:t> </w:t>
            </w:r>
            <w:r>
              <w:rPr>
                <w:sz w:val="24"/>
              </w:rPr>
              <w:t>Particulars</w:t>
            </w:r>
            <w:r>
              <w:rPr>
                <w:spacing w:val="44"/>
                <w:sz w:val="24"/>
              </w:rPr>
              <w:t> </w:t>
            </w:r>
            <w:r>
              <w:rPr>
                <w:sz w:val="24"/>
              </w:rPr>
              <w:t>of</w:t>
            </w:r>
            <w:r>
              <w:rPr>
                <w:spacing w:val="44"/>
                <w:sz w:val="24"/>
              </w:rPr>
              <w:t> </w:t>
            </w:r>
            <w:r>
              <w:rPr>
                <w:spacing w:val="-2"/>
                <w:sz w:val="24"/>
              </w:rPr>
              <w:t>Development</w:t>
            </w:r>
          </w:p>
        </w:tc>
        <w:tc>
          <w:tcPr>
            <w:tcW w:w="1001" w:type="dxa"/>
          </w:tcPr>
          <w:p>
            <w:pPr>
              <w:pStyle w:val="TableParagraph"/>
              <w:spacing w:before="47"/>
              <w:ind w:left="6"/>
              <w:jc w:val="center"/>
              <w:rPr>
                <w:sz w:val="24"/>
              </w:rPr>
            </w:pPr>
            <w:r>
              <w:rPr>
                <w:spacing w:val="-5"/>
                <w:sz w:val="24"/>
              </w:rPr>
              <w:t>433</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1543" w:val="left" w:leader="none"/>
                <w:tab w:pos="2544" w:val="left" w:leader="none"/>
                <w:tab w:pos="2925" w:val="left" w:leader="none"/>
                <w:tab w:pos="3255" w:val="left" w:leader="none"/>
                <w:tab w:pos="4134" w:val="left" w:leader="none"/>
                <w:tab w:pos="4589" w:val="left" w:leader="none"/>
              </w:tabs>
              <w:spacing w:before="47"/>
              <w:ind w:left="107" w:right="110"/>
              <w:rPr>
                <w:sz w:val="24"/>
              </w:rPr>
            </w:pPr>
            <w:r>
              <w:rPr>
                <w:spacing w:val="-2"/>
                <w:sz w:val="24"/>
              </w:rPr>
              <w:t>Annexure</w:t>
            </w:r>
            <w:r>
              <w:rPr>
                <w:sz w:val="24"/>
              </w:rPr>
              <w:tab/>
            </w:r>
            <w:r>
              <w:rPr>
                <w:spacing w:val="-10"/>
                <w:sz w:val="24"/>
              </w:rPr>
              <w:t>-</w:t>
            </w:r>
            <w:r>
              <w:rPr>
                <w:sz w:val="24"/>
              </w:rPr>
              <w:tab/>
            </w:r>
            <w:r>
              <w:rPr>
                <w:spacing w:val="-10"/>
                <w:sz w:val="24"/>
              </w:rPr>
              <w:t>2</w:t>
            </w:r>
            <w:r>
              <w:rPr>
                <w:sz w:val="24"/>
              </w:rPr>
              <w:tab/>
            </w:r>
            <w:r>
              <w:rPr>
                <w:spacing w:val="-10"/>
                <w:sz w:val="24"/>
              </w:rPr>
              <w:t>-</w:t>
            </w:r>
            <w:r>
              <w:rPr>
                <w:sz w:val="24"/>
              </w:rPr>
              <w:tab/>
            </w:r>
            <w:r>
              <w:rPr>
                <w:spacing w:val="-4"/>
                <w:sz w:val="24"/>
              </w:rPr>
              <w:t>Form</w:t>
            </w:r>
            <w:r>
              <w:rPr>
                <w:sz w:val="24"/>
              </w:rPr>
              <w:tab/>
            </w:r>
            <w:r>
              <w:rPr>
                <w:spacing w:val="-6"/>
                <w:sz w:val="24"/>
              </w:rPr>
              <w:t>of</w:t>
            </w:r>
            <w:r>
              <w:rPr>
                <w:sz w:val="24"/>
              </w:rPr>
              <w:tab/>
            </w:r>
            <w:r>
              <w:rPr>
                <w:spacing w:val="-2"/>
                <w:sz w:val="24"/>
              </w:rPr>
              <w:t>Supervision </w:t>
            </w:r>
            <w:r>
              <w:rPr>
                <w:spacing w:val="7"/>
                <w:sz w:val="24"/>
              </w:rPr>
              <w:t>Acceptance</w:t>
            </w:r>
          </w:p>
        </w:tc>
        <w:tc>
          <w:tcPr>
            <w:tcW w:w="1001" w:type="dxa"/>
          </w:tcPr>
          <w:p>
            <w:pPr>
              <w:pStyle w:val="TableParagraph"/>
              <w:spacing w:before="47"/>
              <w:ind w:left="6"/>
              <w:jc w:val="center"/>
              <w:rPr>
                <w:sz w:val="24"/>
              </w:rPr>
            </w:pPr>
            <w:r>
              <w:rPr>
                <w:spacing w:val="-5"/>
                <w:sz w:val="24"/>
              </w:rPr>
              <w:t>444</w:t>
            </w:r>
          </w:p>
        </w:tc>
      </w:tr>
      <w:tr>
        <w:trPr>
          <w:trHeight w:val="378" w:hRule="atLeast"/>
        </w:trPr>
        <w:tc>
          <w:tcPr>
            <w:tcW w:w="1572" w:type="dxa"/>
          </w:tcPr>
          <w:p>
            <w:pPr>
              <w:pStyle w:val="TableParagraph"/>
              <w:rPr>
                <w:rFonts w:ascii="Times New Roman"/>
                <w:sz w:val="22"/>
              </w:rPr>
            </w:pPr>
          </w:p>
        </w:tc>
        <w:tc>
          <w:tcPr>
            <w:tcW w:w="6196" w:type="dxa"/>
          </w:tcPr>
          <w:p>
            <w:pPr>
              <w:pStyle w:val="TableParagraph"/>
              <w:tabs>
                <w:tab w:pos="1860" w:val="left" w:leader="none"/>
              </w:tabs>
              <w:spacing w:before="47"/>
              <w:ind w:left="107"/>
              <w:rPr>
                <w:sz w:val="24"/>
              </w:rPr>
            </w:pPr>
            <w:r>
              <w:rPr>
                <w:spacing w:val="-2"/>
                <w:sz w:val="24"/>
              </w:rPr>
              <w:t>Annexure-</w:t>
            </w:r>
            <w:r>
              <w:rPr>
                <w:sz w:val="24"/>
              </w:rPr>
              <w:tab/>
              <w:t>3</w:t>
            </w:r>
            <w:r>
              <w:rPr>
                <w:spacing w:val="33"/>
                <w:sz w:val="24"/>
              </w:rPr>
              <w:t> </w:t>
            </w:r>
            <w:r>
              <w:rPr>
                <w:sz w:val="24"/>
              </w:rPr>
              <w:t>-</w:t>
            </w:r>
            <w:r>
              <w:rPr>
                <w:spacing w:val="33"/>
                <w:sz w:val="24"/>
              </w:rPr>
              <w:t> </w:t>
            </w:r>
            <w:r>
              <w:rPr>
                <w:sz w:val="24"/>
              </w:rPr>
              <w:t>Plot</w:t>
            </w:r>
            <w:r>
              <w:rPr>
                <w:spacing w:val="32"/>
                <w:sz w:val="24"/>
              </w:rPr>
              <w:t> </w:t>
            </w:r>
            <w:r>
              <w:rPr>
                <w:sz w:val="24"/>
              </w:rPr>
              <w:t>Area</w:t>
            </w:r>
            <w:r>
              <w:rPr>
                <w:spacing w:val="32"/>
                <w:sz w:val="24"/>
              </w:rPr>
              <w:t> </w:t>
            </w:r>
            <w:r>
              <w:rPr>
                <w:spacing w:val="-2"/>
                <w:sz w:val="24"/>
              </w:rPr>
              <w:t>Certificate</w:t>
            </w:r>
          </w:p>
        </w:tc>
        <w:tc>
          <w:tcPr>
            <w:tcW w:w="1001" w:type="dxa"/>
          </w:tcPr>
          <w:p>
            <w:pPr>
              <w:pStyle w:val="TableParagraph"/>
              <w:spacing w:before="47"/>
              <w:ind w:left="6"/>
              <w:jc w:val="center"/>
              <w:rPr>
                <w:sz w:val="24"/>
              </w:rPr>
            </w:pPr>
            <w:r>
              <w:rPr>
                <w:spacing w:val="-5"/>
                <w:sz w:val="24"/>
              </w:rPr>
              <w:t>445</w:t>
            </w:r>
          </w:p>
        </w:tc>
      </w:tr>
      <w:tr>
        <w:trPr>
          <w:trHeight w:val="376" w:hRule="atLeast"/>
        </w:trPr>
        <w:tc>
          <w:tcPr>
            <w:tcW w:w="1572" w:type="dxa"/>
          </w:tcPr>
          <w:p>
            <w:pPr>
              <w:pStyle w:val="TableParagraph"/>
              <w:rPr>
                <w:rFonts w:ascii="Times New Roman"/>
                <w:sz w:val="22"/>
              </w:rPr>
            </w:pPr>
          </w:p>
        </w:tc>
        <w:tc>
          <w:tcPr>
            <w:tcW w:w="6196" w:type="dxa"/>
          </w:tcPr>
          <w:p>
            <w:pPr>
              <w:pStyle w:val="TableParagraph"/>
              <w:tabs>
                <w:tab w:pos="1860" w:val="left" w:leader="none"/>
              </w:tabs>
              <w:spacing w:before="47"/>
              <w:ind w:left="107"/>
              <w:rPr>
                <w:sz w:val="24"/>
              </w:rPr>
            </w:pPr>
            <w:r>
              <w:rPr>
                <w:sz w:val="24"/>
              </w:rPr>
              <w:t>Annexure</w:t>
            </w:r>
            <w:r>
              <w:rPr>
                <w:spacing w:val="46"/>
                <w:w w:val="150"/>
                <w:sz w:val="24"/>
              </w:rPr>
              <w:t> </w:t>
            </w:r>
            <w:r>
              <w:rPr>
                <w:spacing w:val="-10"/>
                <w:sz w:val="24"/>
              </w:rPr>
              <w:t>-</w:t>
            </w:r>
            <w:r>
              <w:rPr>
                <w:sz w:val="24"/>
              </w:rPr>
              <w:tab/>
              <w:t>4</w:t>
            </w:r>
            <w:r>
              <w:rPr>
                <w:spacing w:val="37"/>
                <w:sz w:val="24"/>
              </w:rPr>
              <w:t> </w:t>
            </w:r>
            <w:r>
              <w:rPr>
                <w:sz w:val="24"/>
              </w:rPr>
              <w:t>-</w:t>
            </w:r>
            <w:r>
              <w:rPr>
                <w:spacing w:val="33"/>
                <w:sz w:val="24"/>
              </w:rPr>
              <w:t>  </w:t>
            </w:r>
            <w:r>
              <w:rPr>
                <w:sz w:val="24"/>
              </w:rPr>
              <w:t>Owner’s</w:t>
            </w:r>
            <w:r>
              <w:rPr>
                <w:spacing w:val="39"/>
                <w:sz w:val="24"/>
              </w:rPr>
              <w:t> </w:t>
            </w:r>
            <w:r>
              <w:rPr>
                <w:sz w:val="24"/>
              </w:rPr>
              <w:t>Plot</w:t>
            </w:r>
            <w:r>
              <w:rPr>
                <w:spacing w:val="38"/>
                <w:sz w:val="24"/>
              </w:rPr>
              <w:t> </w:t>
            </w:r>
            <w:r>
              <w:rPr>
                <w:sz w:val="24"/>
              </w:rPr>
              <w:t>Area</w:t>
            </w:r>
            <w:r>
              <w:rPr>
                <w:spacing w:val="40"/>
                <w:sz w:val="24"/>
              </w:rPr>
              <w:t> </w:t>
            </w:r>
            <w:r>
              <w:rPr>
                <w:spacing w:val="-2"/>
                <w:sz w:val="24"/>
              </w:rPr>
              <w:t>Affidavit</w:t>
            </w:r>
          </w:p>
        </w:tc>
        <w:tc>
          <w:tcPr>
            <w:tcW w:w="1001" w:type="dxa"/>
          </w:tcPr>
          <w:p>
            <w:pPr>
              <w:pStyle w:val="TableParagraph"/>
              <w:spacing w:before="47"/>
              <w:ind w:left="6"/>
              <w:jc w:val="center"/>
              <w:rPr>
                <w:sz w:val="24"/>
              </w:rPr>
            </w:pPr>
            <w:r>
              <w:rPr>
                <w:spacing w:val="-5"/>
                <w:sz w:val="24"/>
              </w:rPr>
              <w:t>446</w:t>
            </w:r>
          </w:p>
        </w:tc>
      </w:tr>
      <w:tr>
        <w:trPr>
          <w:trHeight w:val="660" w:hRule="atLeast"/>
        </w:trPr>
        <w:tc>
          <w:tcPr>
            <w:tcW w:w="1572" w:type="dxa"/>
          </w:tcPr>
          <w:p>
            <w:pPr>
              <w:pStyle w:val="TableParagraph"/>
              <w:rPr>
                <w:rFonts w:ascii="Times New Roman"/>
                <w:sz w:val="22"/>
              </w:rPr>
            </w:pPr>
          </w:p>
        </w:tc>
        <w:tc>
          <w:tcPr>
            <w:tcW w:w="6196" w:type="dxa"/>
          </w:tcPr>
          <w:p>
            <w:pPr>
              <w:pStyle w:val="TableParagraph"/>
              <w:spacing w:before="49"/>
              <w:ind w:left="1567" w:hanging="1350"/>
              <w:rPr>
                <w:sz w:val="24"/>
              </w:rPr>
            </w:pPr>
            <w:r>
              <w:rPr>
                <w:sz w:val="24"/>
              </w:rPr>
              <w:t>Annexure-</w:t>
            </w:r>
            <w:r>
              <w:rPr>
                <w:spacing w:val="40"/>
                <w:sz w:val="24"/>
              </w:rPr>
              <w:t> </w:t>
            </w:r>
            <w:r>
              <w:rPr>
                <w:sz w:val="24"/>
              </w:rPr>
              <w:t>5-</w:t>
            </w:r>
            <w:r>
              <w:rPr>
                <w:spacing w:val="40"/>
                <w:sz w:val="24"/>
              </w:rPr>
              <w:t> </w:t>
            </w:r>
            <w:r>
              <w:rPr>
                <w:sz w:val="24"/>
              </w:rPr>
              <w:t>Supervision</w:t>
            </w:r>
            <w:r>
              <w:rPr>
                <w:spacing w:val="40"/>
                <w:sz w:val="24"/>
              </w:rPr>
              <w:t> </w:t>
            </w:r>
            <w:r>
              <w:rPr>
                <w:sz w:val="24"/>
              </w:rPr>
              <w:t>Memo</w:t>
            </w:r>
            <w:r>
              <w:rPr>
                <w:spacing w:val="40"/>
                <w:sz w:val="24"/>
              </w:rPr>
              <w:t> </w:t>
            </w:r>
            <w:r>
              <w:rPr>
                <w:sz w:val="24"/>
              </w:rPr>
              <w:t>of</w:t>
            </w:r>
            <w:r>
              <w:rPr>
                <w:spacing w:val="40"/>
                <w:sz w:val="24"/>
              </w:rPr>
              <w:t> </w:t>
            </w:r>
            <w:r>
              <w:rPr>
                <w:sz w:val="24"/>
              </w:rPr>
              <w:t>Structural</w:t>
            </w:r>
            <w:r>
              <w:rPr>
                <w:spacing w:val="40"/>
                <w:sz w:val="24"/>
              </w:rPr>
              <w:t> </w:t>
            </w:r>
            <w:r>
              <w:rPr>
                <w:spacing w:val="-2"/>
                <w:sz w:val="24"/>
              </w:rPr>
              <w:t>Engineer</w:t>
            </w:r>
          </w:p>
        </w:tc>
        <w:tc>
          <w:tcPr>
            <w:tcW w:w="1001" w:type="dxa"/>
          </w:tcPr>
          <w:p>
            <w:pPr>
              <w:pStyle w:val="TableParagraph"/>
              <w:spacing w:before="49"/>
              <w:ind w:left="6"/>
              <w:jc w:val="center"/>
              <w:rPr>
                <w:sz w:val="24"/>
              </w:rPr>
            </w:pPr>
            <w:r>
              <w:rPr>
                <w:spacing w:val="-5"/>
                <w:sz w:val="24"/>
              </w:rPr>
              <w:t>448</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1567" w:hanging="1350"/>
              <w:rPr>
                <w:sz w:val="24"/>
              </w:rPr>
            </w:pPr>
            <w:r>
              <w:rPr>
                <w:sz w:val="24"/>
              </w:rPr>
              <w:t>Annexure</w:t>
            </w:r>
            <w:r>
              <w:rPr>
                <w:spacing w:val="40"/>
                <w:sz w:val="24"/>
              </w:rPr>
              <w:t> </w:t>
            </w:r>
            <w:r>
              <w:rPr>
                <w:sz w:val="24"/>
              </w:rPr>
              <w:t>-</w:t>
            </w:r>
            <w:r>
              <w:rPr>
                <w:spacing w:val="80"/>
                <w:w w:val="150"/>
                <w:sz w:val="24"/>
              </w:rPr>
              <w:t> </w:t>
            </w:r>
            <w:r>
              <w:rPr>
                <w:sz w:val="24"/>
              </w:rPr>
              <w:t>6</w:t>
            </w:r>
            <w:r>
              <w:rPr>
                <w:spacing w:val="40"/>
                <w:sz w:val="24"/>
              </w:rPr>
              <w:t> </w:t>
            </w:r>
            <w:r>
              <w:rPr>
                <w:sz w:val="24"/>
              </w:rPr>
              <w:t>-</w:t>
            </w:r>
            <w:r>
              <w:rPr>
                <w:spacing w:val="40"/>
                <w:sz w:val="24"/>
              </w:rPr>
              <w:t> </w:t>
            </w:r>
            <w:r>
              <w:rPr>
                <w:sz w:val="24"/>
              </w:rPr>
              <w:t>Supervision</w:t>
            </w:r>
            <w:r>
              <w:rPr>
                <w:spacing w:val="40"/>
                <w:sz w:val="24"/>
              </w:rPr>
              <w:t> </w:t>
            </w:r>
            <w:r>
              <w:rPr>
                <w:sz w:val="24"/>
              </w:rPr>
              <w:t>Memo</w:t>
            </w:r>
            <w:r>
              <w:rPr>
                <w:spacing w:val="40"/>
                <w:sz w:val="24"/>
              </w:rPr>
              <w:t> </w:t>
            </w:r>
            <w:r>
              <w:rPr>
                <w:sz w:val="24"/>
              </w:rPr>
              <w:t>of</w:t>
            </w:r>
            <w:r>
              <w:rPr>
                <w:spacing w:val="40"/>
                <w:sz w:val="24"/>
              </w:rPr>
              <w:t> </w:t>
            </w:r>
            <w:r>
              <w:rPr>
                <w:sz w:val="24"/>
              </w:rPr>
              <w:t>Licensed </w:t>
            </w:r>
            <w:r>
              <w:rPr>
                <w:spacing w:val="-2"/>
                <w:sz w:val="24"/>
              </w:rPr>
              <w:t>Plumber</w:t>
            </w:r>
          </w:p>
        </w:tc>
        <w:tc>
          <w:tcPr>
            <w:tcW w:w="1001" w:type="dxa"/>
          </w:tcPr>
          <w:p>
            <w:pPr>
              <w:pStyle w:val="TableParagraph"/>
              <w:spacing w:before="47"/>
              <w:ind w:left="6"/>
              <w:jc w:val="center"/>
              <w:rPr>
                <w:sz w:val="24"/>
              </w:rPr>
            </w:pPr>
            <w:r>
              <w:rPr>
                <w:spacing w:val="-5"/>
                <w:sz w:val="24"/>
              </w:rPr>
              <w:t>449</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1977" w:val="left" w:leader="none"/>
                <w:tab w:pos="5600" w:val="left" w:leader="none"/>
              </w:tabs>
              <w:spacing w:before="47"/>
              <w:ind w:left="1567" w:right="110" w:hanging="1350"/>
              <w:rPr>
                <w:sz w:val="24"/>
              </w:rPr>
            </w:pPr>
            <w:r>
              <w:rPr>
                <w:sz w:val="24"/>
              </w:rPr>
              <w:t>Annexure</w:t>
            </w:r>
            <w:r>
              <w:rPr>
                <w:spacing w:val="40"/>
                <w:sz w:val="24"/>
              </w:rPr>
              <w:t> </w:t>
            </w:r>
            <w:r>
              <w:rPr>
                <w:sz w:val="24"/>
              </w:rPr>
              <w:t>-</w:t>
              <w:tab/>
              <w:tab/>
              <w:t>7</w:t>
            </w:r>
            <w:r>
              <w:rPr>
                <w:spacing w:val="40"/>
                <w:sz w:val="24"/>
              </w:rPr>
              <w:t> </w:t>
            </w:r>
            <w:r>
              <w:rPr>
                <w:sz w:val="24"/>
              </w:rPr>
              <w:t>-</w:t>
            </w:r>
            <w:r>
              <w:rPr>
                <w:spacing w:val="40"/>
                <w:sz w:val="24"/>
              </w:rPr>
              <w:t> </w:t>
            </w:r>
            <w:r>
              <w:rPr>
                <w:sz w:val="24"/>
              </w:rPr>
              <w:t>Supervision</w:t>
            </w:r>
            <w:r>
              <w:rPr>
                <w:spacing w:val="40"/>
                <w:sz w:val="24"/>
              </w:rPr>
              <w:t> </w:t>
            </w:r>
            <w:r>
              <w:rPr>
                <w:sz w:val="24"/>
              </w:rPr>
              <w:t>Memo</w:t>
            </w:r>
            <w:r>
              <w:rPr>
                <w:spacing w:val="40"/>
                <w:sz w:val="24"/>
              </w:rPr>
              <w:t> </w:t>
            </w:r>
            <w:r>
              <w:rPr>
                <w:sz w:val="24"/>
              </w:rPr>
              <w:t>of</w:t>
              <w:tab/>
            </w:r>
            <w:r>
              <w:rPr>
                <w:spacing w:val="-4"/>
                <w:sz w:val="24"/>
              </w:rPr>
              <w:t>Site </w:t>
            </w:r>
            <w:r>
              <w:rPr>
                <w:spacing w:val="7"/>
                <w:sz w:val="24"/>
              </w:rPr>
              <w:t>Supervisor</w:t>
            </w:r>
          </w:p>
        </w:tc>
        <w:tc>
          <w:tcPr>
            <w:tcW w:w="1001" w:type="dxa"/>
          </w:tcPr>
          <w:p>
            <w:pPr>
              <w:pStyle w:val="TableParagraph"/>
              <w:spacing w:before="47"/>
              <w:ind w:left="6"/>
              <w:jc w:val="center"/>
              <w:rPr>
                <w:sz w:val="24"/>
              </w:rPr>
            </w:pPr>
            <w:r>
              <w:rPr>
                <w:spacing w:val="-5"/>
                <w:sz w:val="24"/>
              </w:rPr>
              <w:t>450</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1567" w:hanging="1350"/>
              <w:rPr>
                <w:sz w:val="24"/>
              </w:rPr>
            </w:pPr>
            <w:r>
              <w:rPr>
                <w:sz w:val="24"/>
              </w:rPr>
              <w:t>Annexure</w:t>
            </w:r>
            <w:r>
              <w:rPr>
                <w:spacing w:val="80"/>
                <w:sz w:val="24"/>
              </w:rPr>
              <w:t> </w:t>
            </w:r>
            <w:r>
              <w:rPr>
                <w:sz w:val="24"/>
              </w:rPr>
              <w:t>-</w:t>
            </w:r>
            <w:r>
              <w:rPr>
                <w:spacing w:val="80"/>
                <w:sz w:val="24"/>
              </w:rPr>
              <w:t> </w:t>
            </w:r>
            <w:r>
              <w:rPr>
                <w:sz w:val="24"/>
              </w:rPr>
              <w:t>8</w:t>
            </w:r>
            <w:r>
              <w:rPr>
                <w:spacing w:val="80"/>
                <w:sz w:val="24"/>
              </w:rPr>
              <w:t> </w:t>
            </w:r>
            <w:r>
              <w:rPr>
                <w:sz w:val="24"/>
              </w:rPr>
              <w:t>-</w:t>
            </w:r>
            <w:r>
              <w:rPr>
                <w:spacing w:val="80"/>
                <w:sz w:val="24"/>
              </w:rPr>
              <w:t> </w:t>
            </w:r>
            <w:r>
              <w:rPr>
                <w:sz w:val="24"/>
              </w:rPr>
              <w:t>Supervision</w:t>
            </w:r>
            <w:r>
              <w:rPr>
                <w:spacing w:val="80"/>
                <w:sz w:val="24"/>
              </w:rPr>
              <w:t> </w:t>
            </w:r>
            <w:r>
              <w:rPr>
                <w:sz w:val="24"/>
              </w:rPr>
              <w:t>Memo</w:t>
            </w:r>
            <w:r>
              <w:rPr>
                <w:spacing w:val="80"/>
                <w:sz w:val="24"/>
              </w:rPr>
              <w:t> </w:t>
            </w:r>
            <w:r>
              <w:rPr>
                <w:sz w:val="24"/>
              </w:rPr>
              <w:t>of</w:t>
            </w:r>
            <w:r>
              <w:rPr>
                <w:spacing w:val="80"/>
                <w:sz w:val="24"/>
              </w:rPr>
              <w:t> </w:t>
            </w:r>
            <w:r>
              <w:rPr>
                <w:sz w:val="24"/>
              </w:rPr>
              <w:t>Other</w:t>
            </w:r>
            <w:r>
              <w:rPr>
                <w:spacing w:val="80"/>
                <w:sz w:val="24"/>
              </w:rPr>
              <w:t> </w:t>
            </w:r>
            <w:r>
              <w:rPr>
                <w:sz w:val="24"/>
              </w:rPr>
              <w:t>Professional on </w:t>
            </w:r>
            <w:r>
              <w:rPr>
                <w:spacing w:val="9"/>
                <w:sz w:val="24"/>
              </w:rPr>
              <w:t>Record</w:t>
            </w:r>
          </w:p>
        </w:tc>
        <w:tc>
          <w:tcPr>
            <w:tcW w:w="1001" w:type="dxa"/>
          </w:tcPr>
          <w:p>
            <w:pPr>
              <w:pStyle w:val="TableParagraph"/>
              <w:spacing w:before="47"/>
              <w:ind w:left="6"/>
              <w:jc w:val="center"/>
              <w:rPr>
                <w:sz w:val="24"/>
              </w:rPr>
            </w:pPr>
            <w:r>
              <w:rPr>
                <w:spacing w:val="-5"/>
                <w:sz w:val="24"/>
              </w:rPr>
              <w:t>451</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379" w:hRule="atLeast"/>
        </w:trPr>
        <w:tc>
          <w:tcPr>
            <w:tcW w:w="1572" w:type="dxa"/>
          </w:tcPr>
          <w:p>
            <w:pPr>
              <w:pStyle w:val="TableParagraph"/>
              <w:rPr>
                <w:rFonts w:ascii="Times New Roman"/>
                <w:sz w:val="22"/>
              </w:rPr>
            </w:pPr>
          </w:p>
        </w:tc>
        <w:tc>
          <w:tcPr>
            <w:tcW w:w="6196" w:type="dxa"/>
          </w:tcPr>
          <w:p>
            <w:pPr>
              <w:pStyle w:val="TableParagraph"/>
              <w:tabs>
                <w:tab w:pos="1881" w:val="left" w:leader="none"/>
              </w:tabs>
              <w:spacing w:before="50"/>
              <w:ind w:left="218"/>
              <w:rPr>
                <w:sz w:val="24"/>
              </w:rPr>
            </w:pPr>
            <w:r>
              <w:rPr>
                <w:sz w:val="24"/>
              </w:rPr>
              <w:t>Annexure</w:t>
            </w:r>
            <w:r>
              <w:rPr>
                <w:spacing w:val="46"/>
                <w:w w:val="150"/>
                <w:sz w:val="24"/>
              </w:rPr>
              <w:t> </w:t>
            </w:r>
            <w:r>
              <w:rPr>
                <w:spacing w:val="-10"/>
                <w:sz w:val="24"/>
              </w:rPr>
              <w:t>-</w:t>
            </w:r>
            <w:r>
              <w:rPr>
                <w:sz w:val="24"/>
              </w:rPr>
              <w:tab/>
              <w:t>9</w:t>
            </w:r>
            <w:r>
              <w:rPr>
                <w:spacing w:val="33"/>
                <w:sz w:val="24"/>
              </w:rPr>
              <w:t> </w:t>
            </w:r>
            <w:r>
              <w:rPr>
                <w:sz w:val="24"/>
              </w:rPr>
              <w:t>-</w:t>
            </w:r>
            <w:r>
              <w:rPr>
                <w:spacing w:val="30"/>
                <w:sz w:val="24"/>
              </w:rPr>
              <w:t> </w:t>
            </w:r>
            <w:r>
              <w:rPr>
                <w:sz w:val="24"/>
              </w:rPr>
              <w:t>Form</w:t>
            </w:r>
            <w:r>
              <w:rPr>
                <w:spacing w:val="30"/>
                <w:sz w:val="24"/>
              </w:rPr>
              <w:t> </w:t>
            </w:r>
            <w:r>
              <w:rPr>
                <w:sz w:val="24"/>
              </w:rPr>
              <w:t>for</w:t>
            </w:r>
            <w:r>
              <w:rPr>
                <w:spacing w:val="30"/>
                <w:sz w:val="24"/>
              </w:rPr>
              <w:t> </w:t>
            </w:r>
            <w:r>
              <w:rPr>
                <w:spacing w:val="-2"/>
                <w:sz w:val="24"/>
              </w:rPr>
              <w:t>Supervision</w:t>
            </w:r>
          </w:p>
        </w:tc>
        <w:tc>
          <w:tcPr>
            <w:tcW w:w="1001" w:type="dxa"/>
          </w:tcPr>
          <w:p>
            <w:pPr>
              <w:pStyle w:val="TableParagraph"/>
              <w:spacing w:before="50"/>
              <w:ind w:left="6"/>
              <w:jc w:val="center"/>
              <w:rPr>
                <w:sz w:val="24"/>
              </w:rPr>
            </w:pPr>
            <w:r>
              <w:rPr>
                <w:spacing w:val="-5"/>
                <w:sz w:val="24"/>
              </w:rPr>
              <w:t>452</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1567" w:right="98" w:hanging="1350"/>
              <w:jc w:val="both"/>
              <w:rPr>
                <w:sz w:val="24"/>
              </w:rPr>
            </w:pPr>
            <w:r>
              <w:rPr>
                <w:sz w:val="24"/>
              </w:rPr>
              <w:t>Annexure -</w:t>
            </w:r>
            <w:r>
              <w:rPr>
                <w:spacing w:val="40"/>
                <w:sz w:val="24"/>
              </w:rPr>
              <w:t> </w:t>
            </w:r>
            <w:r>
              <w:rPr>
                <w:sz w:val="24"/>
              </w:rPr>
              <w:t>10 - Details of the </w:t>
            </w:r>
            <w:r>
              <w:rPr>
                <w:spacing w:val="9"/>
                <w:sz w:val="24"/>
              </w:rPr>
              <w:t>Qualification, </w:t>
            </w:r>
            <w:r>
              <w:rPr>
                <w:sz w:val="24"/>
              </w:rPr>
              <w:t>Duties, Responsibilities and Registration Process</w:t>
            </w:r>
          </w:p>
        </w:tc>
        <w:tc>
          <w:tcPr>
            <w:tcW w:w="1001" w:type="dxa"/>
          </w:tcPr>
          <w:p>
            <w:pPr>
              <w:pStyle w:val="TableParagraph"/>
              <w:spacing w:before="47"/>
              <w:ind w:left="6"/>
              <w:jc w:val="center"/>
              <w:rPr>
                <w:sz w:val="24"/>
              </w:rPr>
            </w:pPr>
            <w:r>
              <w:rPr>
                <w:spacing w:val="-5"/>
                <w:sz w:val="24"/>
              </w:rPr>
              <w:t>453</w:t>
            </w:r>
          </w:p>
        </w:tc>
      </w:tr>
      <w:tr>
        <w:trPr>
          <w:trHeight w:val="1223" w:hRule="atLeast"/>
        </w:trPr>
        <w:tc>
          <w:tcPr>
            <w:tcW w:w="1572" w:type="dxa"/>
          </w:tcPr>
          <w:p>
            <w:pPr>
              <w:pStyle w:val="TableParagraph"/>
              <w:rPr>
                <w:rFonts w:ascii="Times New Roman"/>
                <w:sz w:val="22"/>
              </w:rPr>
            </w:pPr>
          </w:p>
        </w:tc>
        <w:tc>
          <w:tcPr>
            <w:tcW w:w="6196" w:type="dxa"/>
          </w:tcPr>
          <w:p>
            <w:pPr>
              <w:pStyle w:val="TableParagraph"/>
              <w:spacing w:before="49"/>
              <w:ind w:left="1567" w:right="98" w:hanging="1350"/>
              <w:jc w:val="both"/>
              <w:rPr>
                <w:sz w:val="24"/>
              </w:rPr>
            </w:pPr>
            <w:r>
              <w:rPr>
                <w:sz w:val="24"/>
              </w:rPr>
              <w:t>Annexure - 11 - Form of Sanction of</w:t>
            </w:r>
            <w:r>
              <w:rPr>
                <w:spacing w:val="80"/>
                <w:sz w:val="24"/>
              </w:rPr>
              <w:t> </w:t>
            </w:r>
            <w:r>
              <w:rPr>
                <w:sz w:val="24"/>
              </w:rPr>
              <w:t>Development Permission, </w:t>
            </w:r>
            <w:r>
              <w:rPr>
                <w:spacing w:val="9"/>
                <w:sz w:val="24"/>
              </w:rPr>
              <w:t>Building </w:t>
            </w:r>
            <w:r>
              <w:rPr>
                <w:sz w:val="24"/>
              </w:rPr>
              <w:t>Permission and Commencement </w:t>
            </w:r>
            <w:r>
              <w:rPr>
                <w:spacing w:val="7"/>
                <w:sz w:val="24"/>
              </w:rPr>
              <w:t>Certificate</w:t>
            </w:r>
          </w:p>
        </w:tc>
        <w:tc>
          <w:tcPr>
            <w:tcW w:w="1001" w:type="dxa"/>
          </w:tcPr>
          <w:p>
            <w:pPr>
              <w:pStyle w:val="TableParagraph"/>
              <w:spacing w:before="49"/>
              <w:ind w:left="6"/>
              <w:jc w:val="center"/>
              <w:rPr>
                <w:sz w:val="24"/>
              </w:rPr>
            </w:pPr>
            <w:r>
              <w:rPr>
                <w:spacing w:val="-5"/>
                <w:sz w:val="24"/>
              </w:rPr>
              <w:t>480</w:t>
            </w:r>
          </w:p>
        </w:tc>
      </w:tr>
      <w:tr>
        <w:trPr>
          <w:trHeight w:val="1224" w:hRule="atLeast"/>
        </w:trPr>
        <w:tc>
          <w:tcPr>
            <w:tcW w:w="1572" w:type="dxa"/>
          </w:tcPr>
          <w:p>
            <w:pPr>
              <w:pStyle w:val="TableParagraph"/>
              <w:rPr>
                <w:rFonts w:ascii="Times New Roman"/>
                <w:sz w:val="22"/>
              </w:rPr>
            </w:pPr>
          </w:p>
        </w:tc>
        <w:tc>
          <w:tcPr>
            <w:tcW w:w="6196" w:type="dxa"/>
          </w:tcPr>
          <w:p>
            <w:pPr>
              <w:pStyle w:val="TableParagraph"/>
              <w:spacing w:before="47"/>
              <w:ind w:left="1567" w:right="98" w:hanging="1350"/>
              <w:jc w:val="both"/>
              <w:rPr>
                <w:sz w:val="24"/>
              </w:rPr>
            </w:pPr>
            <w:r>
              <w:rPr>
                <w:sz w:val="24"/>
              </w:rPr>
              <w:t>Annexure</w:t>
            </w:r>
            <w:r>
              <w:rPr>
                <w:spacing w:val="40"/>
                <w:sz w:val="24"/>
              </w:rPr>
              <w:t> </w:t>
            </w:r>
            <w:r>
              <w:rPr>
                <w:sz w:val="24"/>
              </w:rPr>
              <w:t>-</w:t>
            </w:r>
            <w:r>
              <w:rPr>
                <w:spacing w:val="40"/>
                <w:sz w:val="24"/>
              </w:rPr>
              <w:t> </w:t>
            </w:r>
            <w:r>
              <w:rPr>
                <w:sz w:val="24"/>
              </w:rPr>
              <w:t>12</w:t>
            </w:r>
            <w:r>
              <w:rPr>
                <w:spacing w:val="40"/>
                <w:sz w:val="24"/>
              </w:rPr>
              <w:t> </w:t>
            </w:r>
            <w:r>
              <w:rPr>
                <w:sz w:val="24"/>
              </w:rPr>
              <w:t>-</w:t>
            </w:r>
            <w:r>
              <w:rPr>
                <w:spacing w:val="40"/>
                <w:sz w:val="24"/>
              </w:rPr>
              <w:t> </w:t>
            </w:r>
            <w:r>
              <w:rPr>
                <w:sz w:val="24"/>
              </w:rPr>
              <w:t>Form</w:t>
            </w:r>
            <w:r>
              <w:rPr>
                <w:spacing w:val="40"/>
                <w:sz w:val="24"/>
              </w:rPr>
              <w:t> </w:t>
            </w:r>
            <w:r>
              <w:rPr>
                <w:sz w:val="24"/>
              </w:rPr>
              <w:t>of</w:t>
            </w:r>
            <w:r>
              <w:rPr>
                <w:spacing w:val="40"/>
                <w:sz w:val="24"/>
              </w:rPr>
              <w:t> </w:t>
            </w:r>
            <w:r>
              <w:rPr>
                <w:sz w:val="24"/>
              </w:rPr>
              <w:t>Refusal</w:t>
            </w:r>
            <w:r>
              <w:rPr>
                <w:spacing w:val="40"/>
                <w:sz w:val="24"/>
              </w:rPr>
              <w:t> </w:t>
            </w:r>
            <w:r>
              <w:rPr>
                <w:sz w:val="24"/>
              </w:rPr>
              <w:t>of Development Permission, </w:t>
            </w:r>
            <w:r>
              <w:rPr>
                <w:spacing w:val="9"/>
                <w:sz w:val="24"/>
              </w:rPr>
              <w:t>Building </w:t>
            </w:r>
            <w:r>
              <w:rPr>
                <w:sz w:val="24"/>
              </w:rPr>
              <w:t>Permission and Commencement </w:t>
            </w:r>
            <w:r>
              <w:rPr>
                <w:spacing w:val="7"/>
                <w:sz w:val="24"/>
              </w:rPr>
              <w:t>Certificate</w:t>
            </w:r>
          </w:p>
        </w:tc>
        <w:tc>
          <w:tcPr>
            <w:tcW w:w="1001" w:type="dxa"/>
          </w:tcPr>
          <w:p>
            <w:pPr>
              <w:pStyle w:val="TableParagraph"/>
              <w:spacing w:before="47"/>
              <w:ind w:left="6"/>
              <w:jc w:val="center"/>
              <w:rPr>
                <w:sz w:val="24"/>
              </w:rPr>
            </w:pPr>
            <w:r>
              <w:rPr>
                <w:spacing w:val="-5"/>
                <w:sz w:val="24"/>
              </w:rPr>
              <w:t>481</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2013" w:val="left" w:leader="none"/>
                <w:tab w:pos="2724" w:val="left" w:leader="none"/>
              </w:tabs>
              <w:spacing w:before="47"/>
              <w:ind w:left="1567" w:right="128" w:hanging="1350"/>
              <w:rPr>
                <w:sz w:val="24"/>
              </w:rPr>
            </w:pPr>
            <w:r>
              <w:rPr>
                <w:sz w:val="24"/>
              </w:rPr>
              <w:t>Annexure -</w:t>
              <w:tab/>
              <w:tab/>
              <w:t>13 -</w:t>
              <w:tab/>
              <w:t>Form of Notice for Start of</w:t>
            </w:r>
            <w:r>
              <w:rPr>
                <w:spacing w:val="80"/>
                <w:sz w:val="24"/>
              </w:rPr>
              <w:t> </w:t>
            </w:r>
            <w:r>
              <w:rPr>
                <w:spacing w:val="-4"/>
                <w:sz w:val="24"/>
              </w:rPr>
              <w:t>Work</w:t>
            </w:r>
          </w:p>
        </w:tc>
        <w:tc>
          <w:tcPr>
            <w:tcW w:w="1001" w:type="dxa"/>
          </w:tcPr>
          <w:p>
            <w:pPr>
              <w:pStyle w:val="TableParagraph"/>
              <w:spacing w:before="47"/>
              <w:ind w:left="6"/>
              <w:jc w:val="center"/>
              <w:rPr>
                <w:sz w:val="24"/>
              </w:rPr>
            </w:pPr>
            <w:r>
              <w:rPr>
                <w:spacing w:val="-5"/>
                <w:sz w:val="24"/>
              </w:rPr>
              <w:t>482</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1567" w:right="109" w:hanging="1350"/>
              <w:jc w:val="both"/>
              <w:rPr>
                <w:sz w:val="24"/>
              </w:rPr>
            </w:pPr>
            <w:r>
              <w:rPr>
                <w:sz w:val="24"/>
              </w:rPr>
              <w:t>Annexure -</w:t>
            </w:r>
            <w:r>
              <w:rPr>
                <w:spacing w:val="80"/>
                <w:w w:val="150"/>
                <w:sz w:val="24"/>
              </w:rPr>
              <w:t> </w:t>
            </w:r>
            <w:r>
              <w:rPr>
                <w:sz w:val="24"/>
              </w:rPr>
              <w:t>14 - Form of Intimation of Completion</w:t>
            </w:r>
            <w:r>
              <w:rPr>
                <w:spacing w:val="40"/>
                <w:sz w:val="24"/>
              </w:rPr>
              <w:t> </w:t>
            </w:r>
            <w:r>
              <w:rPr>
                <w:sz w:val="24"/>
              </w:rPr>
              <w:t>of</w:t>
            </w:r>
            <w:r>
              <w:rPr>
                <w:spacing w:val="40"/>
                <w:sz w:val="24"/>
              </w:rPr>
              <w:t> </w:t>
            </w:r>
            <w:r>
              <w:rPr>
                <w:sz w:val="24"/>
              </w:rPr>
              <w:t>Work</w:t>
            </w:r>
            <w:r>
              <w:rPr>
                <w:spacing w:val="40"/>
                <w:sz w:val="24"/>
              </w:rPr>
              <w:t> </w:t>
            </w:r>
            <w:r>
              <w:rPr>
                <w:sz w:val="24"/>
              </w:rPr>
              <w:t>up</w:t>
            </w:r>
            <w:r>
              <w:rPr>
                <w:spacing w:val="40"/>
                <w:sz w:val="24"/>
              </w:rPr>
              <w:t> </w:t>
            </w:r>
            <w:r>
              <w:rPr>
                <w:sz w:val="24"/>
              </w:rPr>
              <w:t>to</w:t>
            </w:r>
            <w:r>
              <w:rPr>
                <w:spacing w:val="40"/>
                <w:sz w:val="24"/>
              </w:rPr>
              <w:t> </w:t>
            </w:r>
            <w:r>
              <w:rPr>
                <w:sz w:val="24"/>
              </w:rPr>
              <w:t>Plinth </w:t>
            </w:r>
            <w:r>
              <w:rPr>
                <w:spacing w:val="-2"/>
                <w:sz w:val="24"/>
              </w:rPr>
              <w:t>Level</w:t>
            </w:r>
          </w:p>
        </w:tc>
        <w:tc>
          <w:tcPr>
            <w:tcW w:w="1001" w:type="dxa"/>
          </w:tcPr>
          <w:p>
            <w:pPr>
              <w:pStyle w:val="TableParagraph"/>
              <w:spacing w:before="47"/>
              <w:ind w:left="6"/>
              <w:jc w:val="center"/>
              <w:rPr>
                <w:sz w:val="24"/>
              </w:rPr>
            </w:pPr>
            <w:r>
              <w:rPr>
                <w:spacing w:val="-5"/>
                <w:sz w:val="24"/>
              </w:rPr>
              <w:t>483</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1567" w:right="112" w:hanging="1350"/>
              <w:jc w:val="both"/>
              <w:rPr>
                <w:sz w:val="24"/>
              </w:rPr>
            </w:pPr>
            <w:r>
              <w:rPr>
                <w:sz w:val="24"/>
              </w:rPr>
              <w:t>Annexure</w:t>
            </w:r>
            <w:r>
              <w:rPr>
                <w:spacing w:val="40"/>
                <w:sz w:val="24"/>
              </w:rPr>
              <w:t> </w:t>
            </w:r>
            <w:r>
              <w:rPr>
                <w:sz w:val="24"/>
              </w:rPr>
              <w:t>-</w:t>
            </w:r>
            <w:r>
              <w:rPr>
                <w:spacing w:val="40"/>
                <w:sz w:val="24"/>
              </w:rPr>
              <w:t> </w:t>
            </w:r>
            <w:r>
              <w:rPr>
                <w:sz w:val="24"/>
              </w:rPr>
              <w:t>15</w:t>
            </w:r>
            <w:r>
              <w:rPr>
                <w:spacing w:val="40"/>
                <w:sz w:val="24"/>
              </w:rPr>
              <w:t> </w:t>
            </w:r>
            <w:r>
              <w:rPr>
                <w:sz w:val="24"/>
              </w:rPr>
              <w:t>-</w:t>
            </w:r>
            <w:r>
              <w:rPr>
                <w:spacing w:val="40"/>
                <w:sz w:val="24"/>
              </w:rPr>
              <w:t> </w:t>
            </w:r>
            <w:r>
              <w:rPr>
                <w:sz w:val="24"/>
              </w:rPr>
              <w:t>Form</w:t>
            </w:r>
            <w:r>
              <w:rPr>
                <w:spacing w:val="40"/>
                <w:sz w:val="24"/>
              </w:rPr>
              <w:t> </w:t>
            </w:r>
            <w:r>
              <w:rPr>
                <w:sz w:val="24"/>
              </w:rPr>
              <w:t>of</w:t>
            </w:r>
            <w:r>
              <w:rPr>
                <w:spacing w:val="40"/>
                <w:sz w:val="24"/>
              </w:rPr>
              <w:t> </w:t>
            </w:r>
            <w:r>
              <w:rPr>
                <w:sz w:val="24"/>
              </w:rPr>
              <w:t>Approval/Disapproval of Development Work up to Plinth </w:t>
            </w:r>
            <w:r>
              <w:rPr>
                <w:spacing w:val="-2"/>
                <w:sz w:val="24"/>
              </w:rPr>
              <w:t>Level</w:t>
            </w:r>
          </w:p>
        </w:tc>
        <w:tc>
          <w:tcPr>
            <w:tcW w:w="1001" w:type="dxa"/>
          </w:tcPr>
          <w:p>
            <w:pPr>
              <w:pStyle w:val="TableParagraph"/>
              <w:spacing w:before="47"/>
              <w:ind w:left="6"/>
              <w:jc w:val="center"/>
              <w:rPr>
                <w:sz w:val="24"/>
              </w:rPr>
            </w:pPr>
            <w:r>
              <w:rPr>
                <w:spacing w:val="-5"/>
                <w:sz w:val="24"/>
              </w:rPr>
              <w:t>484</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1697" w:val="left" w:leader="none"/>
                <w:tab w:pos="2210" w:val="left" w:leader="none"/>
                <w:tab w:pos="2733" w:val="left" w:leader="none"/>
                <w:tab w:pos="3043" w:val="left" w:leader="none"/>
                <w:tab w:pos="3784" w:val="left" w:leader="none"/>
                <w:tab w:pos="3903" w:val="left" w:leader="none"/>
                <w:tab w:pos="4452" w:val="left" w:leader="none"/>
              </w:tabs>
              <w:spacing w:before="47"/>
              <w:ind w:left="1653" w:right="128" w:hanging="1374"/>
              <w:rPr>
                <w:sz w:val="24"/>
              </w:rPr>
            </w:pPr>
            <w:r>
              <w:rPr>
                <w:spacing w:val="-2"/>
                <w:sz w:val="24"/>
              </w:rPr>
              <w:t>Annexure</w:t>
            </w:r>
            <w:r>
              <w:rPr>
                <w:sz w:val="24"/>
              </w:rPr>
              <w:tab/>
              <w:tab/>
            </w:r>
            <w:r>
              <w:rPr>
                <w:spacing w:val="-10"/>
                <w:sz w:val="24"/>
              </w:rPr>
              <w:t>-</w:t>
            </w:r>
            <w:r>
              <w:rPr>
                <w:sz w:val="24"/>
              </w:rPr>
              <w:tab/>
            </w:r>
            <w:r>
              <w:rPr>
                <w:spacing w:val="-6"/>
                <w:sz w:val="24"/>
              </w:rPr>
              <w:t>16</w:t>
            </w:r>
            <w:r>
              <w:rPr>
                <w:sz w:val="24"/>
              </w:rPr>
              <w:tab/>
            </w:r>
            <w:r>
              <w:rPr>
                <w:spacing w:val="-10"/>
                <w:sz w:val="24"/>
              </w:rPr>
              <w:t>-</w:t>
            </w:r>
            <w:r>
              <w:rPr>
                <w:sz w:val="24"/>
              </w:rPr>
              <w:tab/>
            </w:r>
            <w:r>
              <w:rPr>
                <w:spacing w:val="-4"/>
                <w:sz w:val="24"/>
              </w:rPr>
              <w:t>Form</w:t>
            </w:r>
            <w:r>
              <w:rPr>
                <w:sz w:val="24"/>
              </w:rPr>
              <w:tab/>
              <w:tab/>
            </w:r>
            <w:r>
              <w:rPr>
                <w:spacing w:val="-4"/>
                <w:sz w:val="24"/>
              </w:rPr>
              <w:t>for</w:t>
            </w:r>
            <w:r>
              <w:rPr>
                <w:sz w:val="24"/>
              </w:rPr>
              <w:tab/>
            </w:r>
            <w:r>
              <w:rPr>
                <w:spacing w:val="-2"/>
                <w:sz w:val="24"/>
              </w:rPr>
              <w:t>Development Completion</w:t>
            </w:r>
            <w:r>
              <w:rPr>
                <w:sz w:val="24"/>
              </w:rPr>
              <w:tab/>
              <w:tab/>
            </w:r>
            <w:r>
              <w:rPr>
                <w:spacing w:val="7"/>
                <w:sz w:val="24"/>
              </w:rPr>
              <w:t>Certificate</w:t>
            </w:r>
          </w:p>
        </w:tc>
        <w:tc>
          <w:tcPr>
            <w:tcW w:w="1001" w:type="dxa"/>
          </w:tcPr>
          <w:p>
            <w:pPr>
              <w:pStyle w:val="TableParagraph"/>
              <w:spacing w:before="47"/>
              <w:ind w:left="6"/>
              <w:jc w:val="center"/>
              <w:rPr>
                <w:sz w:val="24"/>
              </w:rPr>
            </w:pPr>
            <w:r>
              <w:rPr>
                <w:spacing w:val="-5"/>
                <w:sz w:val="24"/>
              </w:rPr>
              <w:t>485</w:t>
            </w:r>
          </w:p>
        </w:tc>
      </w:tr>
      <w:tr>
        <w:trPr>
          <w:trHeight w:val="660" w:hRule="atLeast"/>
        </w:trPr>
        <w:tc>
          <w:tcPr>
            <w:tcW w:w="1572" w:type="dxa"/>
          </w:tcPr>
          <w:p>
            <w:pPr>
              <w:pStyle w:val="TableParagraph"/>
              <w:rPr>
                <w:rFonts w:ascii="Times New Roman"/>
                <w:sz w:val="22"/>
              </w:rPr>
            </w:pPr>
          </w:p>
        </w:tc>
        <w:tc>
          <w:tcPr>
            <w:tcW w:w="6196" w:type="dxa"/>
          </w:tcPr>
          <w:p>
            <w:pPr>
              <w:pStyle w:val="TableParagraph"/>
              <w:tabs>
                <w:tab w:pos="2570" w:val="left" w:leader="none"/>
              </w:tabs>
              <w:spacing w:before="47"/>
              <w:ind w:left="1927" w:right="110" w:hanging="1710"/>
              <w:rPr>
                <w:sz w:val="24"/>
              </w:rPr>
            </w:pPr>
            <w:r>
              <w:rPr>
                <w:sz w:val="24"/>
              </w:rPr>
              <w:t>Annexure</w:t>
            </w:r>
            <w:r>
              <w:rPr>
                <w:spacing w:val="80"/>
                <w:sz w:val="24"/>
              </w:rPr>
              <w:t> </w:t>
            </w:r>
            <w:r>
              <w:rPr>
                <w:sz w:val="24"/>
              </w:rPr>
              <w:t>-</w:t>
              <w:tab/>
              <w:tab/>
              <w:t>17</w:t>
            </w:r>
            <w:r>
              <w:rPr>
                <w:spacing w:val="80"/>
                <w:sz w:val="24"/>
              </w:rPr>
              <w:t> </w:t>
            </w:r>
            <w:r>
              <w:rPr>
                <w:sz w:val="24"/>
              </w:rPr>
              <w:t>-</w:t>
            </w:r>
            <w:r>
              <w:rPr>
                <w:spacing w:val="80"/>
                <w:sz w:val="24"/>
              </w:rPr>
              <w:t> </w:t>
            </w:r>
            <w:r>
              <w:rPr>
                <w:sz w:val="24"/>
              </w:rPr>
              <w:t>Drainage</w:t>
            </w:r>
            <w:r>
              <w:rPr>
                <w:spacing w:val="80"/>
                <w:sz w:val="24"/>
              </w:rPr>
              <w:t> </w:t>
            </w:r>
            <w:r>
              <w:rPr>
                <w:sz w:val="24"/>
              </w:rPr>
              <w:t>Completion </w:t>
            </w:r>
            <w:r>
              <w:rPr>
                <w:spacing w:val="7"/>
                <w:sz w:val="24"/>
              </w:rPr>
              <w:t>Certificate</w:t>
            </w:r>
          </w:p>
        </w:tc>
        <w:tc>
          <w:tcPr>
            <w:tcW w:w="1001" w:type="dxa"/>
          </w:tcPr>
          <w:p>
            <w:pPr>
              <w:pStyle w:val="TableParagraph"/>
              <w:spacing w:before="47"/>
              <w:ind w:left="6"/>
              <w:jc w:val="center"/>
              <w:rPr>
                <w:sz w:val="24"/>
              </w:rPr>
            </w:pPr>
            <w:r>
              <w:rPr>
                <w:spacing w:val="-5"/>
                <w:sz w:val="24"/>
              </w:rPr>
              <w:t>486</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2613" w:val="left" w:leader="none"/>
              </w:tabs>
              <w:spacing w:before="47"/>
              <w:ind w:left="1927" w:right="110" w:hanging="1710"/>
              <w:rPr>
                <w:sz w:val="24"/>
              </w:rPr>
            </w:pPr>
            <w:r>
              <w:rPr>
                <w:sz w:val="24"/>
              </w:rPr>
              <w:t>Annexure</w:t>
            </w:r>
            <w:r>
              <w:rPr>
                <w:spacing w:val="80"/>
                <w:sz w:val="24"/>
              </w:rPr>
              <w:t> </w:t>
            </w:r>
            <w:r>
              <w:rPr>
                <w:sz w:val="24"/>
              </w:rPr>
              <w:t>-</w:t>
              <w:tab/>
              <w:tab/>
              <w:t>18</w:t>
            </w:r>
            <w:r>
              <w:rPr>
                <w:spacing w:val="80"/>
                <w:sz w:val="24"/>
              </w:rPr>
              <w:t> </w:t>
            </w:r>
            <w:r>
              <w:rPr>
                <w:sz w:val="24"/>
              </w:rPr>
              <w:t>-</w:t>
            </w:r>
            <w:r>
              <w:rPr>
                <w:spacing w:val="80"/>
                <w:sz w:val="24"/>
              </w:rPr>
              <w:t> </w:t>
            </w:r>
            <w:r>
              <w:rPr>
                <w:sz w:val="24"/>
              </w:rPr>
              <w:t>Building</w:t>
            </w:r>
            <w:r>
              <w:rPr>
                <w:spacing w:val="80"/>
                <w:sz w:val="24"/>
              </w:rPr>
              <w:t> </w:t>
            </w:r>
            <w:r>
              <w:rPr>
                <w:sz w:val="24"/>
              </w:rPr>
              <w:t>Completion</w:t>
            </w:r>
            <w:r>
              <w:rPr>
                <w:spacing w:val="40"/>
                <w:sz w:val="24"/>
              </w:rPr>
              <w:t> </w:t>
            </w:r>
            <w:r>
              <w:rPr>
                <w:spacing w:val="7"/>
                <w:sz w:val="24"/>
              </w:rPr>
              <w:t>Certificate</w:t>
            </w:r>
          </w:p>
        </w:tc>
        <w:tc>
          <w:tcPr>
            <w:tcW w:w="1001" w:type="dxa"/>
          </w:tcPr>
          <w:p>
            <w:pPr>
              <w:pStyle w:val="TableParagraph"/>
              <w:spacing w:before="47"/>
              <w:ind w:left="6"/>
              <w:jc w:val="center"/>
              <w:rPr>
                <w:sz w:val="24"/>
              </w:rPr>
            </w:pPr>
            <w:r>
              <w:rPr>
                <w:spacing w:val="-5"/>
                <w:sz w:val="24"/>
              </w:rPr>
              <w:t>487</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2239" w:val="left" w:leader="none"/>
              </w:tabs>
              <w:spacing w:before="47"/>
              <w:ind w:left="1927" w:right="128" w:hanging="1710"/>
              <w:rPr>
                <w:sz w:val="24"/>
              </w:rPr>
            </w:pPr>
            <w:r>
              <w:rPr>
                <w:sz w:val="24"/>
              </w:rPr>
              <w:t>Annexure</w:t>
            </w:r>
            <w:r>
              <w:rPr>
                <w:spacing w:val="80"/>
                <w:sz w:val="24"/>
              </w:rPr>
              <w:t> </w:t>
            </w:r>
            <w:r>
              <w:rPr>
                <w:sz w:val="24"/>
              </w:rPr>
              <w:t>-</w:t>
              <w:tab/>
              <w:tab/>
              <w:t>19</w:t>
            </w:r>
            <w:r>
              <w:rPr>
                <w:spacing w:val="80"/>
                <w:sz w:val="24"/>
              </w:rPr>
              <w:t> </w:t>
            </w:r>
            <w:r>
              <w:rPr>
                <w:sz w:val="24"/>
              </w:rPr>
              <w:t>-</w:t>
            </w:r>
            <w:r>
              <w:rPr>
                <w:spacing w:val="80"/>
                <w:sz w:val="24"/>
              </w:rPr>
              <w:t> </w:t>
            </w:r>
            <w:r>
              <w:rPr>
                <w:sz w:val="24"/>
              </w:rPr>
              <w:t>Form</w:t>
            </w:r>
            <w:r>
              <w:rPr>
                <w:spacing w:val="80"/>
                <w:sz w:val="24"/>
              </w:rPr>
              <w:t> </w:t>
            </w:r>
            <w:r>
              <w:rPr>
                <w:sz w:val="24"/>
              </w:rPr>
              <w:t>of</w:t>
            </w:r>
            <w:r>
              <w:rPr>
                <w:spacing w:val="80"/>
                <w:sz w:val="24"/>
              </w:rPr>
              <w:t> </w:t>
            </w:r>
            <w:r>
              <w:rPr>
                <w:sz w:val="24"/>
              </w:rPr>
              <w:t>Acceptance</w:t>
            </w:r>
            <w:r>
              <w:rPr>
                <w:spacing w:val="80"/>
                <w:sz w:val="24"/>
              </w:rPr>
              <w:t> </w:t>
            </w:r>
            <w:r>
              <w:rPr>
                <w:sz w:val="24"/>
              </w:rPr>
              <w:t>of</w:t>
            </w:r>
            <w:r>
              <w:rPr>
                <w:spacing w:val="80"/>
                <w:sz w:val="24"/>
              </w:rPr>
              <w:t> </w:t>
            </w:r>
            <w:r>
              <w:rPr>
                <w:sz w:val="24"/>
              </w:rPr>
              <w:t>Completion </w:t>
            </w:r>
            <w:r>
              <w:rPr>
                <w:spacing w:val="9"/>
                <w:sz w:val="24"/>
              </w:rPr>
              <w:t>Certificate</w:t>
            </w:r>
          </w:p>
        </w:tc>
        <w:tc>
          <w:tcPr>
            <w:tcW w:w="1001" w:type="dxa"/>
          </w:tcPr>
          <w:p>
            <w:pPr>
              <w:pStyle w:val="TableParagraph"/>
              <w:spacing w:before="47"/>
              <w:ind w:left="6"/>
              <w:jc w:val="center"/>
              <w:rPr>
                <w:sz w:val="24"/>
              </w:rPr>
            </w:pPr>
            <w:r>
              <w:rPr>
                <w:spacing w:val="-5"/>
                <w:sz w:val="24"/>
              </w:rPr>
              <w:t>488</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2573" w:val="left" w:leader="none"/>
              </w:tabs>
              <w:spacing w:before="47"/>
              <w:ind w:left="1927" w:right="110" w:hanging="1710"/>
              <w:rPr>
                <w:sz w:val="24"/>
              </w:rPr>
            </w:pPr>
            <w:r>
              <w:rPr>
                <w:sz w:val="24"/>
              </w:rPr>
              <w:t>Annexure</w:t>
            </w:r>
            <w:r>
              <w:rPr>
                <w:spacing w:val="80"/>
                <w:sz w:val="24"/>
              </w:rPr>
              <w:t> </w:t>
            </w:r>
            <w:r>
              <w:rPr>
                <w:sz w:val="24"/>
              </w:rPr>
              <w:t>-</w:t>
              <w:tab/>
              <w:tab/>
              <w:t>20</w:t>
            </w:r>
            <w:r>
              <w:rPr>
                <w:spacing w:val="80"/>
                <w:sz w:val="24"/>
              </w:rPr>
              <w:t> </w:t>
            </w:r>
            <w:r>
              <w:rPr>
                <w:sz w:val="24"/>
              </w:rPr>
              <w:t>-</w:t>
            </w:r>
            <w:r>
              <w:rPr>
                <w:spacing w:val="80"/>
                <w:sz w:val="24"/>
              </w:rPr>
              <w:t> </w:t>
            </w:r>
            <w:r>
              <w:rPr>
                <w:sz w:val="24"/>
              </w:rPr>
              <w:t>Form</w:t>
            </w:r>
            <w:r>
              <w:rPr>
                <w:spacing w:val="80"/>
                <w:sz w:val="24"/>
              </w:rPr>
              <w:t> </w:t>
            </w:r>
            <w:r>
              <w:rPr>
                <w:sz w:val="24"/>
              </w:rPr>
              <w:t>for</w:t>
            </w:r>
            <w:r>
              <w:rPr>
                <w:spacing w:val="80"/>
                <w:sz w:val="24"/>
              </w:rPr>
              <w:t> </w:t>
            </w:r>
            <w:r>
              <w:rPr>
                <w:sz w:val="24"/>
              </w:rPr>
              <w:t>Occupancy </w:t>
            </w:r>
            <w:r>
              <w:rPr>
                <w:spacing w:val="7"/>
                <w:sz w:val="24"/>
              </w:rPr>
              <w:t>Certificate</w:t>
            </w:r>
          </w:p>
        </w:tc>
        <w:tc>
          <w:tcPr>
            <w:tcW w:w="1001" w:type="dxa"/>
          </w:tcPr>
          <w:p>
            <w:pPr>
              <w:pStyle w:val="TableParagraph"/>
              <w:spacing w:before="47"/>
              <w:ind w:left="6"/>
              <w:jc w:val="center"/>
              <w:rPr>
                <w:sz w:val="24"/>
              </w:rPr>
            </w:pPr>
            <w:r>
              <w:rPr>
                <w:spacing w:val="-5"/>
                <w:sz w:val="24"/>
              </w:rPr>
              <w:t>489</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1927" w:hanging="1621"/>
              <w:rPr>
                <w:sz w:val="24"/>
              </w:rPr>
            </w:pPr>
            <w:r>
              <w:rPr>
                <w:sz w:val="24"/>
              </w:rPr>
              <w:t>Annexure</w:t>
            </w:r>
            <w:r>
              <w:rPr>
                <w:spacing w:val="80"/>
                <w:sz w:val="24"/>
              </w:rPr>
              <w:t> </w:t>
            </w:r>
            <w:r>
              <w:rPr>
                <w:sz w:val="24"/>
              </w:rPr>
              <w:t>-</w:t>
            </w:r>
            <w:r>
              <w:rPr>
                <w:spacing w:val="80"/>
                <w:sz w:val="24"/>
              </w:rPr>
              <w:t> </w:t>
            </w:r>
            <w:r>
              <w:rPr>
                <w:sz w:val="24"/>
              </w:rPr>
              <w:t>21</w:t>
            </w:r>
            <w:r>
              <w:rPr>
                <w:spacing w:val="80"/>
                <w:sz w:val="24"/>
              </w:rPr>
              <w:t> </w:t>
            </w:r>
            <w:r>
              <w:rPr>
                <w:sz w:val="24"/>
              </w:rPr>
              <w:t>-</w:t>
            </w:r>
            <w:r>
              <w:rPr>
                <w:spacing w:val="80"/>
                <w:sz w:val="24"/>
              </w:rPr>
              <w:t> </w:t>
            </w:r>
            <w:r>
              <w:rPr>
                <w:sz w:val="24"/>
              </w:rPr>
              <w:t>Form</w:t>
            </w:r>
            <w:r>
              <w:rPr>
                <w:spacing w:val="80"/>
                <w:sz w:val="24"/>
              </w:rPr>
              <w:t> </w:t>
            </w:r>
            <w:r>
              <w:rPr>
                <w:sz w:val="24"/>
              </w:rPr>
              <w:t>of</w:t>
            </w:r>
            <w:r>
              <w:rPr>
                <w:spacing w:val="80"/>
                <w:sz w:val="24"/>
              </w:rPr>
              <w:t> </w:t>
            </w:r>
            <w:r>
              <w:rPr>
                <w:sz w:val="24"/>
              </w:rPr>
              <w:t>Indemnity</w:t>
            </w:r>
            <w:r>
              <w:rPr>
                <w:spacing w:val="80"/>
                <w:sz w:val="24"/>
              </w:rPr>
              <w:t> </w:t>
            </w:r>
            <w:r>
              <w:rPr>
                <w:sz w:val="24"/>
              </w:rPr>
              <w:t>for</w:t>
            </w:r>
            <w:r>
              <w:rPr>
                <w:spacing w:val="80"/>
                <w:sz w:val="24"/>
              </w:rPr>
              <w:t> </w:t>
            </w:r>
            <w:r>
              <w:rPr>
                <w:sz w:val="24"/>
              </w:rPr>
              <w:t>Part Occupancy </w:t>
            </w:r>
            <w:r>
              <w:rPr>
                <w:spacing w:val="9"/>
                <w:sz w:val="24"/>
              </w:rPr>
              <w:t>Certificate</w:t>
            </w:r>
          </w:p>
        </w:tc>
        <w:tc>
          <w:tcPr>
            <w:tcW w:w="1001" w:type="dxa"/>
          </w:tcPr>
          <w:p>
            <w:pPr>
              <w:pStyle w:val="TableParagraph"/>
              <w:spacing w:before="47"/>
              <w:ind w:left="6"/>
              <w:jc w:val="center"/>
              <w:rPr>
                <w:sz w:val="24"/>
              </w:rPr>
            </w:pPr>
            <w:r>
              <w:rPr>
                <w:spacing w:val="-5"/>
                <w:sz w:val="24"/>
              </w:rPr>
              <w:t>490</w:t>
            </w:r>
          </w:p>
        </w:tc>
      </w:tr>
      <w:tr>
        <w:trPr>
          <w:trHeight w:val="660" w:hRule="atLeast"/>
        </w:trPr>
        <w:tc>
          <w:tcPr>
            <w:tcW w:w="1572" w:type="dxa"/>
          </w:tcPr>
          <w:p>
            <w:pPr>
              <w:pStyle w:val="TableParagraph"/>
              <w:rPr>
                <w:rFonts w:ascii="Times New Roman"/>
                <w:sz w:val="22"/>
              </w:rPr>
            </w:pPr>
          </w:p>
        </w:tc>
        <w:tc>
          <w:tcPr>
            <w:tcW w:w="6196" w:type="dxa"/>
          </w:tcPr>
          <w:p>
            <w:pPr>
              <w:pStyle w:val="TableParagraph"/>
              <w:tabs>
                <w:tab w:pos="2239" w:val="left" w:leader="none"/>
              </w:tabs>
              <w:spacing w:before="47"/>
              <w:ind w:left="1927" w:right="128" w:hanging="1710"/>
              <w:rPr>
                <w:sz w:val="24"/>
              </w:rPr>
            </w:pPr>
            <w:r>
              <w:rPr>
                <w:sz w:val="24"/>
              </w:rPr>
              <w:t>Annexure</w:t>
            </w:r>
            <w:r>
              <w:rPr>
                <w:spacing w:val="80"/>
                <w:sz w:val="24"/>
              </w:rPr>
              <w:t> </w:t>
            </w:r>
            <w:r>
              <w:rPr>
                <w:sz w:val="24"/>
              </w:rPr>
              <w:t>-</w:t>
              <w:tab/>
              <w:tab/>
              <w:t>22</w:t>
            </w:r>
            <w:r>
              <w:rPr>
                <w:spacing w:val="80"/>
                <w:sz w:val="24"/>
              </w:rPr>
              <w:t> </w:t>
            </w:r>
            <w:r>
              <w:rPr>
                <w:sz w:val="24"/>
              </w:rPr>
              <w:t>-</w:t>
            </w:r>
            <w:r>
              <w:rPr>
                <w:spacing w:val="80"/>
                <w:sz w:val="24"/>
              </w:rPr>
              <w:t> </w:t>
            </w:r>
            <w:r>
              <w:rPr>
                <w:sz w:val="24"/>
              </w:rPr>
              <w:t>Form</w:t>
            </w:r>
            <w:r>
              <w:rPr>
                <w:spacing w:val="80"/>
                <w:sz w:val="24"/>
              </w:rPr>
              <w:t> </w:t>
            </w:r>
            <w:r>
              <w:rPr>
                <w:sz w:val="24"/>
              </w:rPr>
              <w:t>of</w:t>
            </w:r>
            <w:r>
              <w:rPr>
                <w:spacing w:val="80"/>
                <w:sz w:val="24"/>
              </w:rPr>
              <w:t> </w:t>
            </w:r>
            <w:r>
              <w:rPr>
                <w:sz w:val="24"/>
              </w:rPr>
              <w:t>Acceptance</w:t>
            </w:r>
            <w:r>
              <w:rPr>
                <w:spacing w:val="80"/>
                <w:sz w:val="24"/>
              </w:rPr>
              <w:t> </w:t>
            </w:r>
            <w:r>
              <w:rPr>
                <w:sz w:val="24"/>
              </w:rPr>
              <w:t>of</w:t>
            </w:r>
            <w:r>
              <w:rPr>
                <w:spacing w:val="80"/>
                <w:sz w:val="24"/>
              </w:rPr>
              <w:t> </w:t>
            </w:r>
            <w:r>
              <w:rPr>
                <w:sz w:val="24"/>
              </w:rPr>
              <w:t>Completion </w:t>
            </w:r>
            <w:r>
              <w:rPr>
                <w:spacing w:val="9"/>
                <w:sz w:val="24"/>
              </w:rPr>
              <w:t>Certificate</w:t>
            </w:r>
          </w:p>
        </w:tc>
        <w:tc>
          <w:tcPr>
            <w:tcW w:w="1001" w:type="dxa"/>
          </w:tcPr>
          <w:p>
            <w:pPr>
              <w:pStyle w:val="TableParagraph"/>
              <w:spacing w:before="47"/>
              <w:ind w:left="6"/>
              <w:jc w:val="center"/>
              <w:rPr>
                <w:sz w:val="24"/>
              </w:rPr>
            </w:pPr>
            <w:r>
              <w:rPr>
                <w:spacing w:val="-5"/>
                <w:sz w:val="24"/>
              </w:rPr>
              <w:t>491</w:t>
            </w:r>
          </w:p>
        </w:tc>
      </w:tr>
      <w:tr>
        <w:trPr>
          <w:trHeight w:val="376" w:hRule="atLeast"/>
        </w:trPr>
        <w:tc>
          <w:tcPr>
            <w:tcW w:w="1572" w:type="dxa"/>
          </w:tcPr>
          <w:p>
            <w:pPr>
              <w:pStyle w:val="TableParagraph"/>
              <w:rPr>
                <w:rFonts w:ascii="Times New Roman"/>
                <w:sz w:val="22"/>
              </w:rPr>
            </w:pPr>
          </w:p>
        </w:tc>
        <w:tc>
          <w:tcPr>
            <w:tcW w:w="6196" w:type="dxa"/>
          </w:tcPr>
          <w:p>
            <w:pPr>
              <w:pStyle w:val="TableParagraph"/>
              <w:tabs>
                <w:tab w:pos="1994" w:val="left" w:leader="none"/>
              </w:tabs>
              <w:spacing w:before="47"/>
              <w:ind w:left="218"/>
              <w:rPr>
                <w:sz w:val="24"/>
              </w:rPr>
            </w:pPr>
            <w:r>
              <w:rPr>
                <w:sz w:val="24"/>
              </w:rPr>
              <w:t>Annexure</w:t>
            </w:r>
            <w:r>
              <w:rPr>
                <w:spacing w:val="46"/>
                <w:w w:val="150"/>
                <w:sz w:val="24"/>
              </w:rPr>
              <w:t> </w:t>
            </w:r>
            <w:r>
              <w:rPr>
                <w:spacing w:val="-10"/>
                <w:sz w:val="24"/>
              </w:rPr>
              <w:t>–</w:t>
            </w:r>
            <w:r>
              <w:rPr>
                <w:sz w:val="24"/>
              </w:rPr>
              <w:tab/>
              <w:t>23</w:t>
            </w:r>
            <w:r>
              <w:rPr>
                <w:spacing w:val="38"/>
                <w:sz w:val="24"/>
              </w:rPr>
              <w:t> </w:t>
            </w:r>
            <w:r>
              <w:rPr>
                <w:sz w:val="24"/>
              </w:rPr>
              <w:t>Sketches</w:t>
            </w:r>
            <w:r>
              <w:rPr>
                <w:spacing w:val="42"/>
                <w:sz w:val="24"/>
              </w:rPr>
              <w:t> </w:t>
            </w:r>
            <w:r>
              <w:rPr>
                <w:sz w:val="24"/>
              </w:rPr>
              <w:t>1</w:t>
            </w:r>
            <w:r>
              <w:rPr>
                <w:spacing w:val="39"/>
                <w:sz w:val="24"/>
              </w:rPr>
              <w:t> </w:t>
            </w:r>
            <w:r>
              <w:rPr>
                <w:sz w:val="24"/>
              </w:rPr>
              <w:t>to</w:t>
            </w:r>
            <w:r>
              <w:rPr>
                <w:spacing w:val="39"/>
                <w:sz w:val="24"/>
              </w:rPr>
              <w:t> </w:t>
            </w:r>
            <w:r>
              <w:rPr>
                <w:spacing w:val="-10"/>
                <w:sz w:val="24"/>
              </w:rPr>
              <w:t>7</w:t>
            </w:r>
          </w:p>
        </w:tc>
        <w:tc>
          <w:tcPr>
            <w:tcW w:w="1001" w:type="dxa"/>
          </w:tcPr>
          <w:p>
            <w:pPr>
              <w:pStyle w:val="TableParagraph"/>
              <w:spacing w:before="47"/>
              <w:ind w:left="6"/>
              <w:jc w:val="center"/>
              <w:rPr>
                <w:sz w:val="24"/>
              </w:rPr>
            </w:pPr>
            <w:r>
              <w:rPr>
                <w:spacing w:val="-5"/>
                <w:sz w:val="24"/>
              </w:rPr>
              <w:t>492</w:t>
            </w:r>
          </w:p>
        </w:tc>
      </w:tr>
      <w:tr>
        <w:trPr>
          <w:trHeight w:val="378" w:hRule="atLeast"/>
        </w:trPr>
        <w:tc>
          <w:tcPr>
            <w:tcW w:w="1572" w:type="dxa"/>
          </w:tcPr>
          <w:p>
            <w:pPr>
              <w:pStyle w:val="TableParagraph"/>
              <w:rPr>
                <w:rFonts w:ascii="Times New Roman"/>
                <w:sz w:val="22"/>
              </w:rPr>
            </w:pPr>
          </w:p>
        </w:tc>
        <w:tc>
          <w:tcPr>
            <w:tcW w:w="6196" w:type="dxa"/>
          </w:tcPr>
          <w:p>
            <w:pPr>
              <w:pStyle w:val="TableParagraph"/>
              <w:tabs>
                <w:tab w:pos="1905" w:val="left" w:leader="none"/>
              </w:tabs>
              <w:spacing w:before="49"/>
              <w:ind w:left="218"/>
              <w:rPr>
                <w:sz w:val="24"/>
              </w:rPr>
            </w:pPr>
            <w:r>
              <w:rPr>
                <w:sz w:val="24"/>
              </w:rPr>
              <w:t>Annexure</w:t>
            </w:r>
            <w:r>
              <w:rPr>
                <w:spacing w:val="46"/>
                <w:w w:val="150"/>
                <w:sz w:val="24"/>
              </w:rPr>
              <w:t> </w:t>
            </w:r>
            <w:r>
              <w:rPr>
                <w:spacing w:val="-10"/>
                <w:sz w:val="24"/>
              </w:rPr>
              <w:t>–</w:t>
            </w:r>
            <w:r>
              <w:rPr>
                <w:sz w:val="24"/>
              </w:rPr>
              <w:tab/>
              <w:t>24</w:t>
            </w:r>
            <w:r>
              <w:rPr>
                <w:spacing w:val="70"/>
                <w:sz w:val="24"/>
              </w:rPr>
              <w:t> </w:t>
            </w:r>
            <w:r>
              <w:rPr>
                <w:sz w:val="24"/>
              </w:rPr>
              <w:t>Appropriate</w:t>
            </w:r>
            <w:r>
              <w:rPr>
                <w:spacing w:val="71"/>
                <w:sz w:val="24"/>
              </w:rPr>
              <w:t> </w:t>
            </w:r>
            <w:r>
              <w:rPr>
                <w:spacing w:val="-2"/>
                <w:sz w:val="24"/>
              </w:rPr>
              <w:t>Authority</w:t>
            </w:r>
          </w:p>
        </w:tc>
        <w:tc>
          <w:tcPr>
            <w:tcW w:w="1001" w:type="dxa"/>
          </w:tcPr>
          <w:p>
            <w:pPr>
              <w:pStyle w:val="TableParagraph"/>
              <w:spacing w:before="49"/>
              <w:ind w:left="6"/>
              <w:jc w:val="center"/>
              <w:rPr>
                <w:sz w:val="24"/>
              </w:rPr>
            </w:pPr>
            <w:r>
              <w:rPr>
                <w:spacing w:val="-5"/>
                <w:sz w:val="24"/>
              </w:rPr>
              <w:t>496</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1927" w:right="108" w:hanging="1710"/>
              <w:jc w:val="both"/>
              <w:rPr>
                <w:sz w:val="24"/>
              </w:rPr>
            </w:pPr>
            <w:r>
              <w:rPr>
                <w:sz w:val="24"/>
              </w:rPr>
              <w:t>Annexure –</w:t>
            </w:r>
            <w:r>
              <w:rPr>
                <w:spacing w:val="80"/>
                <w:sz w:val="24"/>
              </w:rPr>
              <w:t> </w:t>
            </w:r>
            <w:r>
              <w:rPr>
                <w:sz w:val="24"/>
              </w:rPr>
              <w:t>25 Abbreviation of criteria (classification)</w:t>
            </w:r>
            <w:r>
              <w:rPr>
                <w:spacing w:val="40"/>
                <w:sz w:val="24"/>
              </w:rPr>
              <w:t>  </w:t>
            </w:r>
            <w:r>
              <w:rPr>
                <w:sz w:val="24"/>
              </w:rPr>
              <w:t>for</w:t>
            </w:r>
            <w:r>
              <w:rPr>
                <w:spacing w:val="40"/>
                <w:sz w:val="24"/>
              </w:rPr>
              <w:t>  </w:t>
            </w:r>
            <w:r>
              <w:rPr>
                <w:sz w:val="24"/>
              </w:rPr>
              <w:t>heritage</w:t>
            </w:r>
            <w:r>
              <w:rPr>
                <w:spacing w:val="40"/>
                <w:sz w:val="24"/>
              </w:rPr>
              <w:t> </w:t>
            </w:r>
            <w:r>
              <w:rPr>
                <w:spacing w:val="-2"/>
                <w:sz w:val="24"/>
              </w:rPr>
              <w:t>listing</w:t>
            </w:r>
          </w:p>
        </w:tc>
        <w:tc>
          <w:tcPr>
            <w:tcW w:w="1001" w:type="dxa"/>
          </w:tcPr>
          <w:p>
            <w:pPr>
              <w:pStyle w:val="TableParagraph"/>
              <w:spacing w:before="47"/>
              <w:ind w:left="6"/>
              <w:jc w:val="center"/>
              <w:rPr>
                <w:sz w:val="24"/>
              </w:rPr>
            </w:pPr>
            <w:r>
              <w:rPr>
                <w:spacing w:val="-5"/>
                <w:sz w:val="24"/>
              </w:rPr>
              <w:t>503</w:t>
            </w:r>
          </w:p>
        </w:tc>
      </w:tr>
    </w:tbl>
    <w:p>
      <w:pPr>
        <w:pStyle w:val="TableParagraph"/>
        <w:spacing w:after="0"/>
        <w:jc w:val="center"/>
        <w:rPr>
          <w:sz w:val="24"/>
        </w:rPr>
        <w:sectPr>
          <w:pgSz w:w="11910" w:h="16840"/>
          <w:pgMar w:header="1048" w:footer="1300" w:top="1480" w:bottom="1480" w:left="360" w:right="360"/>
        </w:sectPr>
      </w:pPr>
    </w:p>
    <w:p>
      <w:pPr>
        <w:pStyle w:val="BodyText"/>
        <w:jc w:val="left"/>
        <w:rPr>
          <w:sz w:val="17"/>
        </w:rPr>
      </w:pPr>
    </w:p>
    <w:p>
      <w:pPr>
        <w:pStyle w:val="BodyText"/>
        <w:spacing w:after="0"/>
        <w:jc w:val="left"/>
        <w:rPr>
          <w:sz w:val="17"/>
        </w:rPr>
        <w:sectPr>
          <w:pgSz w:w="11910" w:h="16840"/>
          <w:pgMar w:header="1048" w:footer="1300" w:top="1480" w:bottom="1480" w:left="360" w:right="360"/>
        </w:sectPr>
      </w:pPr>
    </w:p>
    <w:p>
      <w:pPr>
        <w:pStyle w:val="Heading1"/>
        <w:ind w:right="15"/>
      </w:pPr>
      <w:r>
        <w:rPr>
          <w:spacing w:val="10"/>
        </w:rPr>
        <w:t>PART-</w:t>
      </w:r>
      <w:r>
        <w:rPr/>
        <w:t>I</w:t>
      </w:r>
      <w:r>
        <w:rPr>
          <w:spacing w:val="7"/>
        </w:rPr>
        <w:t> ADMINISTRATION</w:t>
      </w:r>
    </w:p>
    <w:p>
      <w:pPr>
        <w:pStyle w:val="Heading3"/>
        <w:numPr>
          <w:ilvl w:val="0"/>
          <w:numId w:val="4"/>
        </w:numPr>
        <w:tabs>
          <w:tab w:pos="1493" w:val="left" w:leader="none"/>
        </w:tabs>
        <w:spacing w:line="240" w:lineRule="auto" w:before="238" w:after="0"/>
        <w:ind w:left="1493" w:right="0" w:hanging="721"/>
        <w:jc w:val="left"/>
        <w:rPr>
          <w:i w:val="0"/>
        </w:rPr>
      </w:pPr>
      <w:r>
        <w:rPr/>
        <w:t>Short</w:t>
      </w:r>
      <w:r>
        <w:rPr>
          <w:spacing w:val="52"/>
        </w:rPr>
        <w:t> </w:t>
      </w:r>
      <w:r>
        <w:rPr/>
        <w:t>title,</w:t>
      </w:r>
      <w:r>
        <w:rPr>
          <w:spacing w:val="61"/>
        </w:rPr>
        <w:t> </w:t>
      </w:r>
      <w:r>
        <w:rPr/>
        <w:t>extent</w:t>
      </w:r>
      <w:r>
        <w:rPr>
          <w:spacing w:val="53"/>
        </w:rPr>
        <w:t> </w:t>
      </w:r>
      <w:r>
        <w:rPr/>
        <w:t>and</w:t>
      </w:r>
      <w:r>
        <w:rPr>
          <w:spacing w:val="57"/>
        </w:rPr>
        <w:t> </w:t>
      </w:r>
      <w:r>
        <w:rPr>
          <w:spacing w:val="-2"/>
        </w:rPr>
        <w:t>commencement</w:t>
      </w:r>
    </w:p>
    <w:p>
      <w:pPr>
        <w:pStyle w:val="ListParagraph"/>
        <w:numPr>
          <w:ilvl w:val="1"/>
          <w:numId w:val="4"/>
        </w:numPr>
        <w:tabs>
          <w:tab w:pos="1870" w:val="left" w:leader="none"/>
          <w:tab w:pos="1872" w:val="left" w:leader="none"/>
        </w:tabs>
        <w:spacing w:line="240" w:lineRule="auto" w:before="242" w:after="0"/>
        <w:ind w:left="1872" w:right="785" w:hanging="329"/>
        <w:jc w:val="both"/>
        <w:rPr>
          <w:sz w:val="24"/>
        </w:rPr>
      </w:pPr>
      <w:r>
        <w:rPr>
          <w:b/>
          <w:i/>
          <w:sz w:val="24"/>
        </w:rPr>
        <w:t>Title:</w:t>
      </w:r>
      <w:r>
        <w:rPr>
          <w:b/>
          <w:i/>
          <w:spacing w:val="40"/>
          <w:sz w:val="24"/>
        </w:rPr>
        <w:t> </w:t>
      </w:r>
      <w:r>
        <w:rPr>
          <w:sz w:val="24"/>
        </w:rPr>
        <w:t>These</w:t>
      </w:r>
      <w:r>
        <w:rPr>
          <w:spacing w:val="40"/>
          <w:sz w:val="24"/>
        </w:rPr>
        <w:t> </w:t>
      </w:r>
      <w:r>
        <w:rPr>
          <w:sz w:val="24"/>
        </w:rPr>
        <w:t>Regulations</w:t>
      </w:r>
      <w:r>
        <w:rPr>
          <w:spacing w:val="40"/>
          <w:sz w:val="24"/>
        </w:rPr>
        <w:t> </w:t>
      </w:r>
      <w:r>
        <w:rPr>
          <w:sz w:val="24"/>
        </w:rPr>
        <w:t>shall</w:t>
      </w:r>
      <w:r>
        <w:rPr>
          <w:spacing w:val="40"/>
          <w:sz w:val="24"/>
        </w:rPr>
        <w:t> </w:t>
      </w:r>
      <w:r>
        <w:rPr>
          <w:sz w:val="24"/>
        </w:rPr>
        <w:t>be</w:t>
      </w:r>
      <w:r>
        <w:rPr>
          <w:spacing w:val="40"/>
          <w:sz w:val="24"/>
        </w:rPr>
        <w:t> </w:t>
      </w:r>
      <w:r>
        <w:rPr>
          <w:sz w:val="24"/>
        </w:rPr>
        <w:t>called</w:t>
      </w:r>
      <w:r>
        <w:rPr>
          <w:spacing w:val="40"/>
          <w:sz w:val="24"/>
        </w:rPr>
        <w:t> </w:t>
      </w:r>
      <w:r>
        <w:rPr>
          <w:sz w:val="24"/>
        </w:rPr>
        <w:t>the</w:t>
      </w:r>
      <w:r>
        <w:rPr>
          <w:spacing w:val="40"/>
          <w:sz w:val="24"/>
        </w:rPr>
        <w:t> </w:t>
      </w:r>
      <w:r>
        <w:rPr>
          <w:sz w:val="24"/>
        </w:rPr>
        <w:t>“Development</w:t>
      </w:r>
      <w:r>
        <w:rPr>
          <w:spacing w:val="40"/>
          <w:sz w:val="24"/>
        </w:rPr>
        <w:t> </w:t>
      </w:r>
      <w:r>
        <w:rPr>
          <w:sz w:val="24"/>
        </w:rPr>
        <w:t>Control</w:t>
      </w:r>
      <w:r>
        <w:rPr>
          <w:spacing w:val="40"/>
          <w:sz w:val="24"/>
        </w:rPr>
        <w:t> </w:t>
      </w:r>
      <w:r>
        <w:rPr>
          <w:sz w:val="22"/>
        </w:rPr>
        <w:t>and</w:t>
      </w:r>
      <w:r>
        <w:rPr>
          <w:spacing w:val="40"/>
          <w:sz w:val="22"/>
        </w:rPr>
        <w:t> </w:t>
      </w:r>
      <w:r>
        <w:rPr>
          <w:sz w:val="22"/>
        </w:rPr>
        <w:t>Promotion</w:t>
      </w:r>
      <w:r>
        <w:rPr>
          <w:spacing w:val="40"/>
          <w:sz w:val="22"/>
        </w:rPr>
        <w:t> </w:t>
      </w:r>
      <w:r>
        <w:rPr>
          <w:sz w:val="24"/>
        </w:rPr>
        <w:t>Regulations</w:t>
      </w:r>
      <w:r>
        <w:rPr>
          <w:spacing w:val="40"/>
          <w:sz w:val="24"/>
        </w:rPr>
        <w:t> </w:t>
      </w:r>
      <w:r>
        <w:rPr>
          <w:sz w:val="24"/>
        </w:rPr>
        <w:t>for</w:t>
      </w:r>
      <w:r>
        <w:rPr>
          <w:spacing w:val="40"/>
          <w:sz w:val="24"/>
        </w:rPr>
        <w:t> </w:t>
      </w:r>
      <w:r>
        <w:rPr>
          <w:sz w:val="24"/>
        </w:rPr>
        <w:t>Greater</w:t>
      </w:r>
      <w:r>
        <w:rPr>
          <w:spacing w:val="40"/>
          <w:sz w:val="24"/>
        </w:rPr>
        <w:t> </w:t>
      </w:r>
      <w:r>
        <w:rPr>
          <w:sz w:val="24"/>
        </w:rPr>
        <w:t>Mumbai,2034”</w:t>
      </w:r>
      <w:r>
        <w:rPr>
          <w:spacing w:val="40"/>
          <w:sz w:val="24"/>
        </w:rPr>
        <w:t> </w:t>
      </w:r>
      <w:r>
        <w:rPr>
          <w:sz w:val="24"/>
        </w:rPr>
        <w:t>(hereinafter called “these </w:t>
      </w:r>
      <w:r>
        <w:rPr>
          <w:spacing w:val="9"/>
          <w:sz w:val="24"/>
        </w:rPr>
        <w:t>Regulations”).</w:t>
      </w:r>
    </w:p>
    <w:p>
      <w:pPr>
        <w:pStyle w:val="ListParagraph"/>
        <w:numPr>
          <w:ilvl w:val="1"/>
          <w:numId w:val="4"/>
        </w:numPr>
        <w:tabs>
          <w:tab w:pos="1903" w:val="left" w:leader="none"/>
          <w:tab w:pos="1906" w:val="left" w:leader="none"/>
        </w:tabs>
        <w:spacing w:line="240" w:lineRule="auto" w:before="239" w:after="0"/>
        <w:ind w:left="1906" w:right="779" w:hanging="413"/>
        <w:jc w:val="both"/>
        <w:rPr>
          <w:sz w:val="24"/>
        </w:rPr>
      </w:pPr>
      <w:r>
        <w:rPr>
          <w:b/>
          <w:i/>
          <w:sz w:val="24"/>
        </w:rPr>
        <w:t>Jurisdiction: </w:t>
      </w:r>
      <w:r>
        <w:rPr>
          <w:sz w:val="24"/>
        </w:rPr>
        <w:t>These Regulations apply to building activity and development work in areas under the entire jurisdiction of the</w:t>
      </w:r>
      <w:r>
        <w:rPr>
          <w:spacing w:val="40"/>
          <w:sz w:val="24"/>
        </w:rPr>
        <w:t> </w:t>
      </w:r>
      <w:r>
        <w:rPr>
          <w:sz w:val="24"/>
        </w:rPr>
        <w:t>Municipal Corporation of Greater Mumbai (hereinafter called "the Corporation").</w:t>
      </w:r>
      <w:r>
        <w:rPr>
          <w:spacing w:val="80"/>
          <w:sz w:val="24"/>
        </w:rPr>
        <w:t> </w:t>
      </w:r>
      <w:r>
        <w:rPr>
          <w:sz w:val="24"/>
        </w:rPr>
        <w:t>If</w:t>
      </w:r>
      <w:r>
        <w:rPr>
          <w:spacing w:val="80"/>
          <w:sz w:val="24"/>
        </w:rPr>
        <w:t> </w:t>
      </w:r>
      <w:r>
        <w:rPr>
          <w:sz w:val="24"/>
        </w:rPr>
        <w:t>there</w:t>
      </w:r>
      <w:r>
        <w:rPr>
          <w:spacing w:val="40"/>
          <w:sz w:val="24"/>
        </w:rPr>
        <w:t> </w:t>
      </w:r>
      <w:r>
        <w:rPr>
          <w:sz w:val="24"/>
        </w:rPr>
        <w:t>is</w:t>
      </w:r>
      <w:r>
        <w:rPr>
          <w:spacing w:val="40"/>
          <w:sz w:val="24"/>
        </w:rPr>
        <w:t> </w:t>
      </w:r>
      <w:r>
        <w:rPr>
          <w:sz w:val="24"/>
        </w:rPr>
        <w:t>a</w:t>
      </w:r>
      <w:r>
        <w:rPr>
          <w:spacing w:val="80"/>
          <w:sz w:val="24"/>
        </w:rPr>
        <w:t> </w:t>
      </w:r>
      <w:r>
        <w:rPr>
          <w:sz w:val="24"/>
        </w:rPr>
        <w:t>conflict</w:t>
      </w:r>
      <w:r>
        <w:rPr>
          <w:spacing w:val="80"/>
          <w:sz w:val="24"/>
        </w:rPr>
        <w:t> </w:t>
      </w:r>
      <w:r>
        <w:rPr>
          <w:sz w:val="24"/>
        </w:rPr>
        <w:t>between</w:t>
      </w:r>
      <w:r>
        <w:rPr>
          <w:spacing w:val="80"/>
          <w:sz w:val="24"/>
        </w:rPr>
        <w:t> </w:t>
      </w:r>
      <w:r>
        <w:rPr>
          <w:sz w:val="24"/>
        </w:rPr>
        <w:t>the</w:t>
      </w:r>
      <w:r>
        <w:rPr>
          <w:spacing w:val="80"/>
          <w:sz w:val="24"/>
        </w:rPr>
        <w:t> </w:t>
      </w:r>
      <w:r>
        <w:rPr>
          <w:sz w:val="24"/>
        </w:rPr>
        <w:t>requirements</w:t>
      </w:r>
      <w:r>
        <w:rPr>
          <w:spacing w:val="80"/>
          <w:sz w:val="24"/>
        </w:rPr>
        <w:t> </w:t>
      </w:r>
      <w:r>
        <w:rPr>
          <w:sz w:val="24"/>
        </w:rPr>
        <w:t>of these Regulations and those of any other rules or byelaws, these Regulations shall </w:t>
      </w:r>
      <w:r>
        <w:rPr>
          <w:spacing w:val="9"/>
          <w:sz w:val="24"/>
        </w:rPr>
        <w:t>prevail.</w:t>
      </w:r>
    </w:p>
    <w:p>
      <w:pPr>
        <w:pStyle w:val="BodyText"/>
        <w:spacing w:before="3"/>
        <w:ind w:left="1906" w:right="787"/>
      </w:pPr>
      <w:r>
        <w:rPr/>
        <w:t>Provided, however, that in respect of areas included in a finally sanctioned Town Planning Scheme, if there is a conflict between the requirements of these Regulations and the Town Planning Scheme Regulations,</w:t>
      </w:r>
      <w:r>
        <w:rPr>
          <w:spacing w:val="80"/>
        </w:rPr>
        <w:t> </w:t>
      </w:r>
      <w:r>
        <w:rPr/>
        <w:t>the</w:t>
      </w:r>
      <w:r>
        <w:rPr>
          <w:spacing w:val="80"/>
        </w:rPr>
        <w:t> </w:t>
      </w:r>
      <w:r>
        <w:rPr/>
        <w:t>provisions</w:t>
      </w:r>
      <w:r>
        <w:rPr>
          <w:spacing w:val="80"/>
        </w:rPr>
        <w:t> </w:t>
      </w:r>
      <w:r>
        <w:rPr/>
        <w:t>of</w:t>
      </w:r>
      <w:r>
        <w:rPr>
          <w:spacing w:val="80"/>
        </w:rPr>
        <w:t> </w:t>
      </w:r>
      <w:r>
        <w:rPr/>
        <w:t>these</w:t>
      </w:r>
      <w:r>
        <w:rPr>
          <w:spacing w:val="80"/>
        </w:rPr>
        <w:t> </w:t>
      </w:r>
      <w:r>
        <w:rPr/>
        <w:t>Regulations</w:t>
      </w:r>
      <w:r>
        <w:rPr>
          <w:spacing w:val="80"/>
        </w:rPr>
        <w:t> </w:t>
      </w:r>
      <w:r>
        <w:rPr/>
        <w:t>shall</w:t>
      </w:r>
      <w:r>
        <w:rPr>
          <w:spacing w:val="80"/>
        </w:rPr>
        <w:t> </w:t>
      </w:r>
      <w:r>
        <w:rPr/>
        <w:t>prevail..</w:t>
      </w:r>
    </w:p>
    <w:p>
      <w:pPr>
        <w:pStyle w:val="BodyText"/>
        <w:spacing w:before="1"/>
        <w:ind w:left="1906" w:right="771"/>
      </w:pPr>
      <w:r>
        <w:rPr/>
        <w:t>Provided further that, these regulations shall not apply to the Manori- Gorai-Uttan Notified area.</w:t>
      </w:r>
    </w:p>
    <w:p>
      <w:pPr>
        <w:pStyle w:val="ListParagraph"/>
        <w:numPr>
          <w:ilvl w:val="1"/>
          <w:numId w:val="4"/>
        </w:numPr>
        <w:tabs>
          <w:tab w:pos="1931" w:val="left" w:leader="none"/>
        </w:tabs>
        <w:spacing w:line="240" w:lineRule="auto" w:before="279" w:after="0"/>
        <w:ind w:left="1493" w:right="791" w:firstLine="0"/>
        <w:jc w:val="both"/>
        <w:rPr>
          <w:sz w:val="24"/>
        </w:rPr>
      </w:pPr>
      <w:r>
        <w:rPr>
          <w:sz w:val="24"/>
        </w:rPr>
        <mc:AlternateContent>
          <mc:Choice Requires="wps">
            <w:drawing>
              <wp:anchor distT="0" distB="0" distL="0" distR="0" allowOverlap="1" layoutInCell="1" locked="0" behindDoc="0" simplePos="0" relativeHeight="15730176">
                <wp:simplePos x="0" y="0"/>
                <wp:positionH relativeFrom="page">
                  <wp:posOffset>2399029</wp:posOffset>
                </wp:positionH>
                <wp:positionV relativeFrom="paragraph">
                  <wp:posOffset>168415</wp:posOffset>
                </wp:positionV>
                <wp:extent cx="55244" cy="18923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55244" cy="189230"/>
                        </a:xfrm>
                        <a:custGeom>
                          <a:avLst/>
                          <a:gdLst/>
                          <a:ahLst/>
                          <a:cxnLst/>
                          <a:rect l="l" t="t" r="r" b="b"/>
                          <a:pathLst>
                            <a:path w="55244" h="189230">
                              <a:moveTo>
                                <a:pt x="55168" y="0"/>
                              </a:moveTo>
                              <a:lnTo>
                                <a:pt x="0" y="0"/>
                              </a:lnTo>
                              <a:lnTo>
                                <a:pt x="0" y="188975"/>
                              </a:lnTo>
                              <a:lnTo>
                                <a:pt x="55168" y="188975"/>
                              </a:lnTo>
                              <a:lnTo>
                                <a:pt x="55168" y="0"/>
                              </a:lnTo>
                              <a:close/>
                            </a:path>
                          </a:pathLst>
                        </a:custGeom>
                        <a:solidFill>
                          <a:srgbClr val="FFCCFF"/>
                        </a:solidFill>
                      </wps:spPr>
                      <wps:bodyPr wrap="square" lIns="0" tIns="0" rIns="0" bIns="0" rtlCol="0">
                        <a:prstTxWarp prst="textNoShape">
                          <a:avLst/>
                        </a:prstTxWarp>
                        <a:noAutofit/>
                      </wps:bodyPr>
                    </wps:wsp>
                  </a:graphicData>
                </a:graphic>
              </wp:anchor>
            </w:drawing>
          </mc:Choice>
          <mc:Fallback>
            <w:pict>
              <v:rect style="position:absolute;margin-left:188.899994pt;margin-top:13.261094pt;width:4.344pt;height:14.88pt;mso-position-horizontal-relative:page;mso-position-vertical-relative:paragraph;z-index:15730176" id="docshape41" filled="true" fillcolor="#ffccff" stroked="false">
                <v:fill type="solid"/>
                <w10:wrap type="none"/>
              </v:rect>
            </w:pict>
          </mc:Fallback>
        </mc:AlternateContent>
      </w:r>
      <w:r>
        <w:rPr>
          <w:b/>
          <w:i/>
          <w:sz w:val="24"/>
        </w:rPr>
        <w:t>Protection:</w:t>
      </w:r>
      <w:r>
        <w:rPr>
          <w:sz w:val="24"/>
        </w:rPr>
        <w:t>.No suit, prosecution or other legal proceedings shall lie against</w:t>
      </w:r>
      <w:r>
        <w:rPr>
          <w:spacing w:val="38"/>
          <w:sz w:val="24"/>
        </w:rPr>
        <w:t> </w:t>
      </w:r>
      <w:r>
        <w:rPr>
          <w:sz w:val="24"/>
        </w:rPr>
        <w:t>any</w:t>
      </w:r>
      <w:r>
        <w:rPr>
          <w:spacing w:val="38"/>
          <w:sz w:val="24"/>
        </w:rPr>
        <w:t> </w:t>
      </w:r>
      <w:r>
        <w:rPr>
          <w:sz w:val="24"/>
        </w:rPr>
        <w:t>person</w:t>
      </w:r>
      <w:r>
        <w:rPr>
          <w:spacing w:val="38"/>
          <w:sz w:val="24"/>
        </w:rPr>
        <w:t> </w:t>
      </w:r>
      <w:r>
        <w:rPr>
          <w:sz w:val="24"/>
        </w:rPr>
        <w:t>for</w:t>
      </w:r>
      <w:r>
        <w:rPr>
          <w:spacing w:val="40"/>
          <w:sz w:val="24"/>
        </w:rPr>
        <w:t> </w:t>
      </w:r>
      <w:r>
        <w:rPr>
          <w:sz w:val="24"/>
        </w:rPr>
        <w:t>anything</w:t>
      </w:r>
      <w:r>
        <w:rPr>
          <w:spacing w:val="40"/>
          <w:sz w:val="24"/>
        </w:rPr>
        <w:t> </w:t>
      </w:r>
      <w:r>
        <w:rPr>
          <w:sz w:val="24"/>
        </w:rPr>
        <w:t>which</w:t>
      </w:r>
      <w:r>
        <w:rPr>
          <w:spacing w:val="38"/>
          <w:sz w:val="24"/>
        </w:rPr>
        <w:t> </w:t>
      </w:r>
      <w:r>
        <w:rPr>
          <w:sz w:val="24"/>
        </w:rPr>
        <w:t>is</w:t>
      </w:r>
      <w:r>
        <w:rPr>
          <w:spacing w:val="36"/>
          <w:sz w:val="24"/>
        </w:rPr>
        <w:t> </w:t>
      </w:r>
      <w:r>
        <w:rPr>
          <w:sz w:val="24"/>
        </w:rPr>
        <w:t>in</w:t>
      </w:r>
      <w:r>
        <w:rPr>
          <w:spacing w:val="38"/>
          <w:sz w:val="24"/>
        </w:rPr>
        <w:t> </w:t>
      </w:r>
      <w:r>
        <w:rPr>
          <w:sz w:val="24"/>
        </w:rPr>
        <w:t>good</w:t>
      </w:r>
      <w:r>
        <w:rPr>
          <w:spacing w:val="38"/>
          <w:sz w:val="24"/>
        </w:rPr>
        <w:t> </w:t>
      </w:r>
      <w:r>
        <w:rPr>
          <w:sz w:val="24"/>
        </w:rPr>
        <w:t>faith</w:t>
      </w:r>
      <w:r>
        <w:rPr>
          <w:spacing w:val="36"/>
          <w:sz w:val="24"/>
        </w:rPr>
        <w:t> </w:t>
      </w:r>
      <w:r>
        <w:rPr>
          <w:sz w:val="24"/>
        </w:rPr>
        <w:t>done</w:t>
      </w:r>
      <w:r>
        <w:rPr>
          <w:spacing w:val="36"/>
          <w:sz w:val="24"/>
        </w:rPr>
        <w:t> </w:t>
      </w:r>
      <w:r>
        <w:rPr>
          <w:sz w:val="24"/>
        </w:rPr>
        <w:t>or</w:t>
      </w:r>
      <w:r>
        <w:rPr>
          <w:spacing w:val="38"/>
          <w:sz w:val="24"/>
        </w:rPr>
        <w:t> </w:t>
      </w:r>
      <w:r>
        <w:rPr>
          <w:sz w:val="24"/>
        </w:rPr>
        <w:t>intended to be done under the MR&amp;TP Act or any rules or regulations made their </w:t>
      </w:r>
      <w:r>
        <w:rPr>
          <w:spacing w:val="-2"/>
          <w:sz w:val="24"/>
        </w:rPr>
        <w:t>under.</w:t>
      </w:r>
    </w:p>
    <w:p>
      <w:pPr>
        <w:tabs>
          <w:tab w:pos="1493" w:val="left" w:leader="none"/>
        </w:tabs>
        <w:spacing w:before="280"/>
        <w:ind w:left="772" w:right="0" w:firstLine="0"/>
        <w:jc w:val="left"/>
        <w:rPr>
          <w:b/>
          <w:i/>
          <w:sz w:val="24"/>
        </w:rPr>
      </w:pPr>
      <w:r>
        <w:rPr>
          <w:b/>
          <w:i/>
          <w:spacing w:val="-10"/>
          <w:sz w:val="24"/>
        </w:rPr>
        <w:t>2</w:t>
      </w:r>
      <w:r>
        <w:rPr>
          <w:b/>
          <w:i/>
          <w:sz w:val="24"/>
        </w:rPr>
        <w:tab/>
      </w:r>
      <w:r>
        <w:rPr>
          <w:b/>
          <w:i/>
          <w:sz w:val="28"/>
        </w:rPr>
        <w:t>Definitions</w:t>
      </w:r>
      <w:r>
        <w:rPr>
          <w:b/>
          <w:i/>
          <w:spacing w:val="44"/>
          <w:sz w:val="28"/>
        </w:rPr>
        <w:t> </w:t>
      </w:r>
      <w:r>
        <w:rPr>
          <w:b/>
          <w:i/>
          <w:sz w:val="24"/>
        </w:rPr>
        <w:t>of</w:t>
      </w:r>
      <w:r>
        <w:rPr>
          <w:b/>
          <w:i/>
          <w:spacing w:val="60"/>
          <w:sz w:val="24"/>
        </w:rPr>
        <w:t> </w:t>
      </w:r>
      <w:r>
        <w:rPr>
          <w:b/>
          <w:i/>
          <w:sz w:val="24"/>
        </w:rPr>
        <w:t>Terms</w:t>
      </w:r>
      <w:r>
        <w:rPr>
          <w:b/>
          <w:i/>
          <w:spacing w:val="55"/>
          <w:sz w:val="24"/>
        </w:rPr>
        <w:t> </w:t>
      </w:r>
      <w:r>
        <w:rPr>
          <w:b/>
          <w:i/>
          <w:sz w:val="24"/>
        </w:rPr>
        <w:t>and</w:t>
      </w:r>
      <w:r>
        <w:rPr>
          <w:b/>
          <w:i/>
          <w:spacing w:val="60"/>
          <w:sz w:val="24"/>
        </w:rPr>
        <w:t> </w:t>
      </w:r>
      <w:r>
        <w:rPr>
          <w:b/>
          <w:i/>
          <w:spacing w:val="-2"/>
          <w:sz w:val="24"/>
        </w:rPr>
        <w:t>Expressions</w:t>
      </w:r>
    </w:p>
    <w:p>
      <w:pPr>
        <w:pStyle w:val="BodyText"/>
        <w:spacing w:before="1"/>
        <w:jc w:val="left"/>
        <w:rPr>
          <w:b/>
          <w:i/>
        </w:rPr>
      </w:pPr>
    </w:p>
    <w:p>
      <w:pPr>
        <w:pStyle w:val="ListParagraph"/>
        <w:numPr>
          <w:ilvl w:val="0"/>
          <w:numId w:val="5"/>
        </w:numPr>
        <w:tabs>
          <w:tab w:pos="1572" w:val="left" w:leader="none"/>
          <w:tab w:pos="1853" w:val="left" w:leader="none"/>
        </w:tabs>
        <w:spacing w:line="242" w:lineRule="auto" w:before="0" w:after="0"/>
        <w:ind w:left="1853" w:right="794" w:hanging="629"/>
        <w:jc w:val="both"/>
        <w:rPr>
          <w:sz w:val="24"/>
        </w:rPr>
      </w:pPr>
      <w:r>
        <w:rPr>
          <w:b/>
          <w:i/>
          <w:sz w:val="24"/>
        </w:rPr>
        <w:t>Genera</w:t>
      </w:r>
      <w:r>
        <w:rPr>
          <w:b/>
          <w:sz w:val="24"/>
        </w:rPr>
        <w:t>l:</w:t>
      </w:r>
      <w:r>
        <w:rPr>
          <w:b/>
          <w:spacing w:val="40"/>
          <w:sz w:val="24"/>
        </w:rPr>
        <w:t> </w:t>
      </w:r>
      <w:r>
        <w:rPr>
          <w:sz w:val="24"/>
        </w:rPr>
        <w:t>In</w:t>
      </w:r>
      <w:r>
        <w:rPr>
          <w:spacing w:val="40"/>
          <w:sz w:val="24"/>
        </w:rPr>
        <w:t> </w:t>
      </w:r>
      <w:r>
        <w:rPr>
          <w:sz w:val="24"/>
        </w:rPr>
        <w:t>these</w:t>
      </w:r>
      <w:r>
        <w:rPr>
          <w:spacing w:val="40"/>
          <w:sz w:val="24"/>
        </w:rPr>
        <w:t> </w:t>
      </w:r>
      <w:r>
        <w:rPr>
          <w:sz w:val="24"/>
        </w:rPr>
        <w:t>Regulations,</w:t>
      </w:r>
      <w:r>
        <w:rPr>
          <w:spacing w:val="40"/>
          <w:sz w:val="24"/>
        </w:rPr>
        <w:t> </w:t>
      </w:r>
      <w:r>
        <w:rPr>
          <w:sz w:val="24"/>
        </w:rPr>
        <w:t>unless</w:t>
      </w:r>
      <w:r>
        <w:rPr>
          <w:spacing w:val="40"/>
          <w:sz w:val="24"/>
        </w:rPr>
        <w:t> </w:t>
      </w:r>
      <w:r>
        <w:rPr>
          <w:sz w:val="24"/>
        </w:rPr>
        <w:t>the</w:t>
      </w:r>
      <w:r>
        <w:rPr>
          <w:spacing w:val="40"/>
          <w:sz w:val="24"/>
        </w:rPr>
        <w:t> </w:t>
      </w:r>
      <w:r>
        <w:rPr>
          <w:sz w:val="24"/>
        </w:rPr>
        <w:t>context</w:t>
      </w:r>
      <w:r>
        <w:rPr>
          <w:spacing w:val="40"/>
          <w:sz w:val="24"/>
        </w:rPr>
        <w:t> </w:t>
      </w:r>
      <w:r>
        <w:rPr>
          <w:sz w:val="24"/>
        </w:rPr>
        <w:t>otherwise</w:t>
      </w:r>
      <w:r>
        <w:rPr>
          <w:spacing w:val="40"/>
          <w:sz w:val="24"/>
        </w:rPr>
        <w:t> </w:t>
      </w:r>
      <w:r>
        <w:rPr>
          <w:sz w:val="24"/>
        </w:rPr>
        <w:t>requires, the terms and expressions shall have the meaning indicated against each of them.</w:t>
      </w:r>
    </w:p>
    <w:p>
      <w:pPr>
        <w:pStyle w:val="ListParagraph"/>
        <w:numPr>
          <w:ilvl w:val="0"/>
          <w:numId w:val="5"/>
        </w:numPr>
        <w:tabs>
          <w:tab w:pos="1670" w:val="left" w:leader="none"/>
          <w:tab w:pos="1673" w:val="left" w:leader="none"/>
        </w:tabs>
        <w:spacing w:line="240" w:lineRule="auto" w:before="231" w:after="0"/>
        <w:ind w:left="1673" w:right="785" w:hanging="449"/>
        <w:jc w:val="both"/>
        <w:rPr>
          <w:sz w:val="24"/>
        </w:rPr>
      </w:pPr>
      <w:r>
        <w:rPr>
          <w:b/>
          <w:i/>
          <w:sz w:val="24"/>
        </w:rPr>
        <w:t>Meaning</w:t>
      </w:r>
      <w:r>
        <w:rPr>
          <w:b/>
          <w:i/>
          <w:spacing w:val="40"/>
          <w:sz w:val="24"/>
        </w:rPr>
        <w:t> </w:t>
      </w:r>
      <w:r>
        <w:rPr>
          <w:b/>
          <w:i/>
          <w:sz w:val="24"/>
        </w:rPr>
        <w:t>as</w:t>
      </w:r>
      <w:r>
        <w:rPr>
          <w:b/>
          <w:i/>
          <w:spacing w:val="40"/>
          <w:sz w:val="24"/>
        </w:rPr>
        <w:t> </w:t>
      </w:r>
      <w:r>
        <w:rPr>
          <w:b/>
          <w:i/>
          <w:sz w:val="24"/>
        </w:rPr>
        <w:t>in</w:t>
      </w:r>
      <w:r>
        <w:rPr>
          <w:b/>
          <w:i/>
          <w:spacing w:val="40"/>
          <w:sz w:val="24"/>
        </w:rPr>
        <w:t> </w:t>
      </w:r>
      <w:r>
        <w:rPr>
          <w:b/>
          <w:i/>
          <w:sz w:val="24"/>
        </w:rPr>
        <w:t>the</w:t>
      </w:r>
      <w:r>
        <w:rPr>
          <w:b/>
          <w:i/>
          <w:spacing w:val="40"/>
          <w:sz w:val="24"/>
        </w:rPr>
        <w:t> </w:t>
      </w:r>
      <w:r>
        <w:rPr>
          <w:b/>
          <w:i/>
          <w:sz w:val="24"/>
        </w:rPr>
        <w:t>Acts,</w:t>
      </w:r>
      <w:r>
        <w:rPr>
          <w:b/>
          <w:i/>
          <w:spacing w:val="40"/>
          <w:sz w:val="24"/>
        </w:rPr>
        <w:t> </w:t>
      </w:r>
      <w:r>
        <w:rPr>
          <w:b/>
          <w:i/>
          <w:sz w:val="24"/>
        </w:rPr>
        <w:t>Rules,</w:t>
      </w:r>
      <w:r>
        <w:rPr>
          <w:b/>
          <w:i/>
          <w:spacing w:val="9"/>
          <w:sz w:val="24"/>
        </w:rPr>
        <w:t> etc</w:t>
      </w:r>
      <w:r>
        <w:rPr>
          <w:spacing w:val="9"/>
          <w:sz w:val="24"/>
        </w:rPr>
        <w:t>.</w:t>
      </w:r>
      <w:r>
        <w:rPr>
          <w:i/>
          <w:spacing w:val="9"/>
          <w:sz w:val="24"/>
        </w:rPr>
        <w:t>:</w:t>
      </w:r>
      <w:r>
        <w:rPr>
          <w:i/>
          <w:spacing w:val="9"/>
          <w:sz w:val="24"/>
        </w:rPr>
        <w:t> </w:t>
      </w:r>
      <w:r>
        <w:rPr>
          <w:sz w:val="24"/>
        </w:rPr>
        <w:t>Terms</w:t>
      </w:r>
      <w:r>
        <w:rPr>
          <w:spacing w:val="40"/>
          <w:sz w:val="24"/>
        </w:rPr>
        <w:t> </w:t>
      </w:r>
      <w:r>
        <w:rPr>
          <w:sz w:val="24"/>
        </w:rPr>
        <w:t>and</w:t>
      </w:r>
      <w:r>
        <w:rPr>
          <w:spacing w:val="40"/>
          <w:sz w:val="24"/>
        </w:rPr>
        <w:t> </w:t>
      </w:r>
      <w:r>
        <w:rPr>
          <w:sz w:val="24"/>
        </w:rPr>
        <w:t>expressions</w:t>
      </w:r>
      <w:r>
        <w:rPr>
          <w:spacing w:val="40"/>
          <w:sz w:val="24"/>
        </w:rPr>
        <w:t> </w:t>
      </w:r>
      <w:r>
        <w:rPr>
          <w:sz w:val="24"/>
        </w:rPr>
        <w:t>not defined in these </w:t>
      </w:r>
      <w:r>
        <w:rPr>
          <w:i/>
          <w:sz w:val="24"/>
        </w:rPr>
        <w:t>Regulations </w:t>
      </w:r>
      <w:r>
        <w:rPr>
          <w:sz w:val="24"/>
        </w:rPr>
        <w:t>shall have the same meanings as in the MR&amp;TP Act, 1966 or the Mumbai Municipal Corporation Act, 1888 (Mumbai Act No. III of 1888) and the rules or </w:t>
      </w:r>
      <w:r>
        <w:rPr>
          <w:spacing w:val="10"/>
          <w:sz w:val="24"/>
        </w:rPr>
        <w:t>bye-</w:t>
      </w:r>
      <w:r>
        <w:rPr>
          <w:sz w:val="24"/>
        </w:rPr>
        <w:t>laws framed there under,</w:t>
      </w:r>
      <w:r>
        <w:rPr>
          <w:spacing w:val="40"/>
          <w:sz w:val="24"/>
        </w:rPr>
        <w:t> </w:t>
      </w:r>
      <w:r>
        <w:rPr>
          <w:sz w:val="24"/>
        </w:rPr>
        <w:t>as</w:t>
      </w:r>
      <w:r>
        <w:rPr>
          <w:spacing w:val="40"/>
          <w:sz w:val="24"/>
        </w:rPr>
        <w:t> </w:t>
      </w:r>
      <w:r>
        <w:rPr>
          <w:sz w:val="24"/>
        </w:rPr>
        <w:t>the</w:t>
      </w:r>
      <w:r>
        <w:rPr>
          <w:spacing w:val="77"/>
          <w:sz w:val="24"/>
        </w:rPr>
        <w:t> </w:t>
      </w:r>
      <w:r>
        <w:rPr>
          <w:sz w:val="24"/>
        </w:rPr>
        <w:t>case</w:t>
      </w:r>
      <w:r>
        <w:rPr>
          <w:spacing w:val="77"/>
          <w:sz w:val="24"/>
        </w:rPr>
        <w:t> </w:t>
      </w:r>
      <w:r>
        <w:rPr>
          <w:sz w:val="24"/>
        </w:rPr>
        <w:t>may</w:t>
      </w:r>
      <w:r>
        <w:rPr>
          <w:spacing w:val="40"/>
          <w:sz w:val="24"/>
        </w:rPr>
        <w:t> </w:t>
      </w:r>
      <w:r>
        <w:rPr>
          <w:sz w:val="24"/>
        </w:rPr>
        <w:t>be,</w:t>
      </w:r>
      <w:r>
        <w:rPr>
          <w:spacing w:val="79"/>
          <w:sz w:val="24"/>
        </w:rPr>
        <w:t> </w:t>
      </w:r>
      <w:r>
        <w:rPr>
          <w:sz w:val="24"/>
        </w:rPr>
        <w:t>unless</w:t>
      </w:r>
      <w:r>
        <w:rPr>
          <w:spacing w:val="77"/>
          <w:sz w:val="24"/>
        </w:rPr>
        <w:t> </w:t>
      </w:r>
      <w:r>
        <w:rPr>
          <w:sz w:val="24"/>
        </w:rPr>
        <w:t>the</w:t>
      </w:r>
      <w:r>
        <w:rPr>
          <w:spacing w:val="77"/>
          <w:sz w:val="24"/>
        </w:rPr>
        <w:t> </w:t>
      </w:r>
      <w:r>
        <w:rPr>
          <w:sz w:val="24"/>
        </w:rPr>
        <w:t>context</w:t>
      </w:r>
      <w:r>
        <w:rPr>
          <w:spacing w:val="77"/>
          <w:sz w:val="24"/>
        </w:rPr>
        <w:t> </w:t>
      </w:r>
      <w:r>
        <w:rPr>
          <w:sz w:val="24"/>
        </w:rPr>
        <w:t>otherwise</w:t>
      </w:r>
      <w:r>
        <w:rPr>
          <w:spacing w:val="77"/>
          <w:sz w:val="24"/>
        </w:rPr>
        <w:t> </w:t>
      </w:r>
      <w:r>
        <w:rPr>
          <w:sz w:val="24"/>
        </w:rPr>
        <w:t>requires.</w:t>
      </w:r>
    </w:p>
    <w:p>
      <w:pPr>
        <w:pStyle w:val="BodyText"/>
        <w:spacing w:before="4"/>
        <w:jc w:val="left"/>
      </w:pPr>
    </w:p>
    <w:p>
      <w:pPr>
        <w:pStyle w:val="ListParagraph"/>
        <w:numPr>
          <w:ilvl w:val="0"/>
          <w:numId w:val="5"/>
        </w:numPr>
        <w:tabs>
          <w:tab w:pos="1669" w:val="left" w:leader="none"/>
          <w:tab w:pos="1673" w:val="left" w:leader="none"/>
        </w:tabs>
        <w:spacing w:line="240" w:lineRule="auto" w:before="1" w:after="0"/>
        <w:ind w:left="1673" w:right="780" w:hanging="449"/>
        <w:jc w:val="both"/>
        <w:rPr>
          <w:sz w:val="24"/>
        </w:rPr>
      </w:pPr>
      <w:r>
        <w:rPr>
          <w:sz w:val="24"/>
        </w:rPr>
        <w:t>Terms</w:t>
      </w:r>
      <w:r>
        <w:rPr>
          <w:spacing w:val="40"/>
          <w:sz w:val="24"/>
        </w:rPr>
        <w:t> </w:t>
      </w:r>
      <w:r>
        <w:rPr>
          <w:sz w:val="24"/>
        </w:rPr>
        <w:t>and</w:t>
      </w:r>
      <w:r>
        <w:rPr>
          <w:spacing w:val="40"/>
          <w:sz w:val="24"/>
        </w:rPr>
        <w:t> </w:t>
      </w:r>
      <w:r>
        <w:rPr>
          <w:sz w:val="24"/>
        </w:rPr>
        <w:t>expressions</w:t>
      </w:r>
      <w:r>
        <w:rPr>
          <w:spacing w:val="40"/>
          <w:sz w:val="24"/>
        </w:rPr>
        <w:t> </w:t>
      </w:r>
      <w:r>
        <w:rPr>
          <w:sz w:val="24"/>
        </w:rPr>
        <w:t>neither</w:t>
      </w:r>
      <w:r>
        <w:rPr>
          <w:spacing w:val="40"/>
          <w:sz w:val="24"/>
        </w:rPr>
        <w:t> </w:t>
      </w:r>
      <w:r>
        <w:rPr>
          <w:sz w:val="24"/>
        </w:rPr>
        <w:t>defined</w:t>
      </w:r>
      <w:r>
        <w:rPr>
          <w:spacing w:val="40"/>
          <w:sz w:val="24"/>
        </w:rPr>
        <w:t> </w:t>
      </w:r>
      <w:r>
        <w:rPr>
          <w:sz w:val="24"/>
        </w:rPr>
        <w:t>in</w:t>
      </w:r>
      <w:r>
        <w:rPr>
          <w:spacing w:val="40"/>
          <w:sz w:val="24"/>
        </w:rPr>
        <w:t> </w:t>
      </w:r>
      <w:r>
        <w:rPr>
          <w:sz w:val="24"/>
        </w:rPr>
        <w:t>these</w:t>
      </w:r>
      <w:r>
        <w:rPr>
          <w:spacing w:val="80"/>
          <w:sz w:val="24"/>
        </w:rPr>
        <w:t> </w:t>
      </w:r>
      <w:r>
        <w:rPr>
          <w:i/>
          <w:sz w:val="24"/>
        </w:rPr>
        <w:t>Regulations</w:t>
      </w:r>
      <w:r>
        <w:rPr>
          <w:i/>
          <w:spacing w:val="80"/>
          <w:sz w:val="24"/>
        </w:rPr>
        <w:t> </w:t>
      </w:r>
      <w:r>
        <w:rPr>
          <w:sz w:val="24"/>
        </w:rPr>
        <w:t>nor defined</w:t>
      </w:r>
      <w:r>
        <w:rPr>
          <w:spacing w:val="40"/>
          <w:sz w:val="24"/>
        </w:rPr>
        <w:t> </w:t>
      </w:r>
      <w:r>
        <w:rPr>
          <w:sz w:val="24"/>
        </w:rPr>
        <w:t>in</w:t>
      </w:r>
      <w:r>
        <w:rPr>
          <w:spacing w:val="40"/>
          <w:sz w:val="24"/>
        </w:rPr>
        <w:t> </w:t>
      </w:r>
      <w:r>
        <w:rPr>
          <w:sz w:val="24"/>
        </w:rPr>
        <w:t>(I)</w:t>
      </w:r>
      <w:r>
        <w:rPr>
          <w:spacing w:val="40"/>
          <w:sz w:val="24"/>
        </w:rPr>
        <w:t> </w:t>
      </w:r>
      <w:r>
        <w:rPr>
          <w:sz w:val="24"/>
        </w:rPr>
        <w:t>and</w:t>
      </w:r>
      <w:r>
        <w:rPr>
          <w:spacing w:val="40"/>
          <w:sz w:val="24"/>
        </w:rPr>
        <w:t> </w:t>
      </w:r>
      <w:r>
        <w:rPr>
          <w:sz w:val="24"/>
        </w:rPr>
        <w:t>(II)</w:t>
      </w:r>
      <w:r>
        <w:rPr>
          <w:spacing w:val="40"/>
          <w:sz w:val="24"/>
        </w:rPr>
        <w:t> </w:t>
      </w:r>
      <w:r>
        <w:rPr>
          <w:sz w:val="24"/>
        </w:rPr>
        <w:t>above</w:t>
      </w:r>
      <w:r>
        <w:rPr>
          <w:spacing w:val="40"/>
          <w:sz w:val="24"/>
        </w:rPr>
        <w:t> </w:t>
      </w:r>
      <w:r>
        <w:rPr>
          <w:sz w:val="24"/>
        </w:rPr>
        <w:t>shall</w:t>
      </w:r>
      <w:r>
        <w:rPr>
          <w:spacing w:val="40"/>
          <w:sz w:val="24"/>
        </w:rPr>
        <w:t> </w:t>
      </w:r>
      <w:r>
        <w:rPr>
          <w:sz w:val="24"/>
        </w:rPr>
        <w:t>be</w:t>
      </w:r>
      <w:r>
        <w:rPr>
          <w:spacing w:val="40"/>
          <w:sz w:val="24"/>
        </w:rPr>
        <w:t> </w:t>
      </w:r>
      <w:r>
        <w:rPr>
          <w:sz w:val="24"/>
        </w:rPr>
        <w:t>interpreted</w:t>
      </w:r>
      <w:r>
        <w:rPr>
          <w:spacing w:val="40"/>
          <w:sz w:val="24"/>
        </w:rPr>
        <w:t> </w:t>
      </w:r>
      <w:r>
        <w:rPr>
          <w:sz w:val="24"/>
        </w:rPr>
        <w:t>with</w:t>
      </w:r>
      <w:r>
        <w:rPr>
          <w:spacing w:val="40"/>
          <w:sz w:val="24"/>
        </w:rPr>
        <w:t> </w:t>
      </w:r>
      <w:r>
        <w:rPr>
          <w:sz w:val="24"/>
        </w:rPr>
        <w:t>reference</w:t>
      </w:r>
      <w:r>
        <w:rPr>
          <w:spacing w:val="40"/>
          <w:sz w:val="24"/>
        </w:rPr>
        <w:t> </w:t>
      </w:r>
      <w:r>
        <w:rPr>
          <w:sz w:val="24"/>
        </w:rPr>
        <w:t>to</w:t>
      </w:r>
      <w:r>
        <w:rPr>
          <w:spacing w:val="40"/>
          <w:sz w:val="24"/>
        </w:rPr>
        <w:t> </w:t>
      </w:r>
      <w:r>
        <w:rPr>
          <w:sz w:val="24"/>
        </w:rPr>
        <w:t>the latest</w:t>
      </w:r>
      <w:r>
        <w:rPr>
          <w:spacing w:val="80"/>
          <w:sz w:val="24"/>
        </w:rPr>
        <w:t> </w:t>
      </w:r>
      <w:r>
        <w:rPr>
          <w:sz w:val="24"/>
        </w:rPr>
        <w:t>National</w:t>
      </w:r>
      <w:r>
        <w:rPr>
          <w:spacing w:val="80"/>
          <w:sz w:val="24"/>
        </w:rPr>
        <w:t> </w:t>
      </w:r>
      <w:r>
        <w:rPr>
          <w:sz w:val="24"/>
        </w:rPr>
        <w:t>Building</w:t>
      </w:r>
      <w:r>
        <w:rPr>
          <w:spacing w:val="80"/>
          <w:sz w:val="24"/>
        </w:rPr>
        <w:t> </w:t>
      </w:r>
      <w:r>
        <w:rPr>
          <w:sz w:val="24"/>
        </w:rPr>
        <w:t>Code</w:t>
      </w:r>
      <w:r>
        <w:rPr>
          <w:spacing w:val="80"/>
          <w:sz w:val="24"/>
        </w:rPr>
        <w:t> </w:t>
      </w:r>
      <w:r>
        <w:rPr>
          <w:sz w:val="24"/>
        </w:rPr>
        <w:t>in</w:t>
      </w:r>
      <w:r>
        <w:rPr>
          <w:spacing w:val="80"/>
          <w:sz w:val="24"/>
        </w:rPr>
        <w:t> </w:t>
      </w:r>
      <w:r>
        <w:rPr>
          <w:sz w:val="24"/>
        </w:rPr>
        <w:t>the</w:t>
      </w:r>
      <w:r>
        <w:rPr>
          <w:spacing w:val="80"/>
          <w:sz w:val="24"/>
        </w:rPr>
        <w:t> </w:t>
      </w:r>
      <w:r>
        <w:rPr>
          <w:sz w:val="24"/>
        </w:rPr>
        <w:t>relevant</w:t>
      </w:r>
      <w:r>
        <w:rPr>
          <w:spacing w:val="80"/>
          <w:sz w:val="24"/>
        </w:rPr>
        <w:t> </w:t>
      </w:r>
      <w:r>
        <w:rPr>
          <w:sz w:val="24"/>
        </w:rPr>
        <w:t>context.</w:t>
      </w:r>
    </w:p>
    <w:p>
      <w:pPr>
        <w:pStyle w:val="Heading6"/>
        <w:numPr>
          <w:ilvl w:val="0"/>
          <w:numId w:val="5"/>
        </w:numPr>
        <w:tabs>
          <w:tab w:pos="1670" w:val="left" w:leader="none"/>
        </w:tabs>
        <w:spacing w:line="240" w:lineRule="auto" w:before="280" w:after="0"/>
        <w:ind w:left="1670" w:right="0" w:hanging="446"/>
        <w:jc w:val="left"/>
      </w:pPr>
      <w:r>
        <w:rPr>
          <w:spacing w:val="7"/>
        </w:rPr>
        <w:t>Definitions.</w:t>
      </w:r>
    </w:p>
    <w:p>
      <w:pPr>
        <w:pStyle w:val="BodyText"/>
        <w:jc w:val="left"/>
        <w:rPr>
          <w:b/>
          <w:i/>
        </w:rPr>
      </w:pPr>
    </w:p>
    <w:p>
      <w:pPr>
        <w:pStyle w:val="ListParagraph"/>
        <w:numPr>
          <w:ilvl w:val="0"/>
          <w:numId w:val="6"/>
        </w:numPr>
        <w:tabs>
          <w:tab w:pos="1766" w:val="left" w:leader="none"/>
        </w:tabs>
        <w:spacing w:line="240" w:lineRule="auto" w:before="0" w:after="0"/>
        <w:ind w:left="1766" w:right="0" w:hanging="710"/>
        <w:jc w:val="left"/>
        <w:rPr>
          <w:sz w:val="24"/>
        </w:rPr>
      </w:pPr>
      <w:r>
        <w:rPr>
          <w:sz w:val="24"/>
        </w:rPr>
        <w:t>“Access”</w:t>
      </w:r>
      <w:r>
        <w:rPr>
          <w:spacing w:val="47"/>
          <w:sz w:val="24"/>
        </w:rPr>
        <w:t> </w:t>
      </w:r>
      <w:r>
        <w:rPr>
          <w:sz w:val="24"/>
        </w:rPr>
        <w:t>means</w:t>
      </w:r>
      <w:r>
        <w:rPr>
          <w:spacing w:val="49"/>
          <w:sz w:val="24"/>
        </w:rPr>
        <w:t> </w:t>
      </w:r>
      <w:r>
        <w:rPr>
          <w:sz w:val="24"/>
        </w:rPr>
        <w:t>clear</w:t>
      </w:r>
      <w:r>
        <w:rPr>
          <w:spacing w:val="45"/>
          <w:sz w:val="24"/>
        </w:rPr>
        <w:t> </w:t>
      </w:r>
      <w:r>
        <w:rPr>
          <w:sz w:val="24"/>
        </w:rPr>
        <w:t>approach</w:t>
      </w:r>
      <w:r>
        <w:rPr>
          <w:spacing w:val="46"/>
          <w:sz w:val="24"/>
        </w:rPr>
        <w:t> </w:t>
      </w:r>
      <w:r>
        <w:rPr>
          <w:sz w:val="24"/>
        </w:rPr>
        <w:t>to</w:t>
      </w:r>
      <w:r>
        <w:rPr>
          <w:spacing w:val="49"/>
          <w:sz w:val="24"/>
        </w:rPr>
        <w:t> </w:t>
      </w:r>
      <w:r>
        <w:rPr>
          <w:sz w:val="24"/>
        </w:rPr>
        <w:t>a</w:t>
      </w:r>
      <w:r>
        <w:rPr>
          <w:spacing w:val="45"/>
          <w:sz w:val="24"/>
        </w:rPr>
        <w:t> </w:t>
      </w:r>
      <w:r>
        <w:rPr>
          <w:sz w:val="24"/>
        </w:rPr>
        <w:t>plot</w:t>
      </w:r>
      <w:r>
        <w:rPr>
          <w:spacing w:val="46"/>
          <w:sz w:val="24"/>
        </w:rPr>
        <w:t> </w:t>
      </w:r>
      <w:r>
        <w:rPr>
          <w:sz w:val="24"/>
        </w:rPr>
        <w:t>or</w:t>
      </w:r>
      <w:r>
        <w:rPr>
          <w:spacing w:val="45"/>
          <w:sz w:val="24"/>
        </w:rPr>
        <w:t> </w:t>
      </w:r>
      <w:r>
        <w:rPr>
          <w:sz w:val="24"/>
        </w:rPr>
        <w:t>a</w:t>
      </w:r>
      <w:r>
        <w:rPr>
          <w:spacing w:val="46"/>
          <w:sz w:val="24"/>
        </w:rPr>
        <w:t> </w:t>
      </w:r>
      <w:r>
        <w:rPr>
          <w:spacing w:val="-2"/>
          <w:sz w:val="24"/>
        </w:rPr>
        <w:t>building.</w:t>
      </w:r>
    </w:p>
    <w:p>
      <w:pPr>
        <w:pStyle w:val="ListParagraph"/>
        <w:spacing w:after="0" w:line="240" w:lineRule="auto"/>
        <w:jc w:val="left"/>
        <w:rPr>
          <w:sz w:val="24"/>
        </w:rPr>
        <w:sectPr>
          <w:headerReference w:type="default" r:id="rId10"/>
          <w:footerReference w:type="default" r:id="rId11"/>
          <w:pgSz w:w="11910" w:h="16840"/>
          <w:pgMar w:header="1058" w:footer="1357" w:top="1500" w:bottom="1540" w:left="360" w:right="360"/>
          <w:pgNumType w:start="1"/>
        </w:sectPr>
      </w:pPr>
    </w:p>
    <w:p>
      <w:pPr>
        <w:pStyle w:val="BodyText"/>
        <w:spacing w:before="256"/>
        <w:jc w:val="left"/>
      </w:pPr>
    </w:p>
    <w:p>
      <w:pPr>
        <w:pStyle w:val="ListParagraph"/>
        <w:numPr>
          <w:ilvl w:val="0"/>
          <w:numId w:val="6"/>
        </w:numPr>
        <w:tabs>
          <w:tab w:pos="1763" w:val="left" w:leader="none"/>
          <w:tab w:pos="1766" w:val="left" w:leader="none"/>
        </w:tabs>
        <w:spacing w:line="240" w:lineRule="auto" w:before="0" w:after="0"/>
        <w:ind w:left="1766" w:right="777" w:hanging="711"/>
        <w:jc w:val="both"/>
        <w:rPr>
          <w:sz w:val="24"/>
        </w:rPr>
      </w:pPr>
      <w:r>
        <w:rPr>
          <w:sz w:val="24"/>
        </w:rPr>
        <w:t>"Accessory</w:t>
      </w:r>
      <w:r>
        <w:rPr>
          <w:spacing w:val="40"/>
          <w:sz w:val="24"/>
        </w:rPr>
        <w:t> </w:t>
      </w:r>
      <w:r>
        <w:rPr>
          <w:sz w:val="24"/>
        </w:rPr>
        <w:t>building"</w:t>
      </w:r>
      <w:r>
        <w:rPr>
          <w:spacing w:val="40"/>
          <w:sz w:val="24"/>
        </w:rPr>
        <w:t> </w:t>
      </w:r>
      <w:r>
        <w:rPr>
          <w:sz w:val="24"/>
        </w:rPr>
        <w:t>means</w:t>
      </w:r>
      <w:r>
        <w:rPr>
          <w:spacing w:val="40"/>
          <w:sz w:val="24"/>
        </w:rPr>
        <w:t> </w:t>
      </w:r>
      <w:r>
        <w:rPr>
          <w:sz w:val="24"/>
        </w:rPr>
        <w:t>a</w:t>
      </w:r>
      <w:r>
        <w:rPr>
          <w:spacing w:val="40"/>
          <w:sz w:val="24"/>
        </w:rPr>
        <w:t> </w:t>
      </w:r>
      <w:r>
        <w:rPr>
          <w:sz w:val="24"/>
        </w:rPr>
        <w:t>building</w:t>
      </w:r>
      <w:r>
        <w:rPr>
          <w:spacing w:val="40"/>
          <w:sz w:val="24"/>
        </w:rPr>
        <w:t> </w:t>
      </w:r>
      <w:r>
        <w:rPr>
          <w:sz w:val="24"/>
        </w:rPr>
        <w:t>separated</w:t>
      </w:r>
      <w:r>
        <w:rPr>
          <w:spacing w:val="40"/>
          <w:sz w:val="24"/>
        </w:rPr>
        <w:t> </w:t>
      </w:r>
      <w:r>
        <w:rPr>
          <w:sz w:val="24"/>
        </w:rPr>
        <w:t>from</w:t>
      </w:r>
      <w:r>
        <w:rPr>
          <w:spacing w:val="40"/>
          <w:sz w:val="24"/>
        </w:rPr>
        <w:t> </w:t>
      </w:r>
      <w:r>
        <w:rPr>
          <w:sz w:val="24"/>
        </w:rPr>
        <w:t>the</w:t>
      </w:r>
      <w:r>
        <w:rPr>
          <w:spacing w:val="40"/>
          <w:sz w:val="24"/>
        </w:rPr>
        <w:t> </w:t>
      </w:r>
      <w:r>
        <w:rPr>
          <w:sz w:val="24"/>
        </w:rPr>
        <w:t>main building</w:t>
      </w:r>
      <w:r>
        <w:rPr>
          <w:spacing w:val="40"/>
          <w:sz w:val="24"/>
        </w:rPr>
        <w:t> </w:t>
      </w:r>
      <w:r>
        <w:rPr>
          <w:sz w:val="24"/>
        </w:rPr>
        <w:t>on</w:t>
      </w:r>
      <w:r>
        <w:rPr>
          <w:spacing w:val="40"/>
          <w:sz w:val="24"/>
        </w:rPr>
        <w:t> </w:t>
      </w:r>
      <w:r>
        <w:rPr>
          <w:sz w:val="24"/>
        </w:rPr>
        <w:t>a</w:t>
      </w:r>
      <w:r>
        <w:rPr>
          <w:spacing w:val="40"/>
          <w:sz w:val="24"/>
        </w:rPr>
        <w:t> </w:t>
      </w:r>
      <w:r>
        <w:rPr>
          <w:sz w:val="24"/>
        </w:rPr>
        <w:t>plot,</w:t>
      </w:r>
      <w:r>
        <w:rPr>
          <w:spacing w:val="40"/>
          <w:sz w:val="24"/>
        </w:rPr>
        <w:t> </w:t>
      </w:r>
      <w:r>
        <w:rPr>
          <w:sz w:val="24"/>
        </w:rPr>
        <w:t>and</w:t>
      </w:r>
      <w:r>
        <w:rPr>
          <w:spacing w:val="40"/>
          <w:sz w:val="24"/>
        </w:rPr>
        <w:t> </w:t>
      </w:r>
      <w:r>
        <w:rPr>
          <w:sz w:val="24"/>
        </w:rPr>
        <w:t>put</w:t>
      </w:r>
      <w:r>
        <w:rPr>
          <w:spacing w:val="40"/>
          <w:sz w:val="24"/>
        </w:rPr>
        <w:t> </w:t>
      </w:r>
      <w:r>
        <w:rPr>
          <w:sz w:val="24"/>
        </w:rPr>
        <w:t>to</w:t>
      </w:r>
      <w:r>
        <w:rPr>
          <w:spacing w:val="40"/>
          <w:sz w:val="24"/>
        </w:rPr>
        <w:t> </w:t>
      </w:r>
      <w:r>
        <w:rPr>
          <w:sz w:val="24"/>
        </w:rPr>
        <w:t>one</w:t>
      </w:r>
      <w:r>
        <w:rPr>
          <w:spacing w:val="40"/>
          <w:sz w:val="24"/>
        </w:rPr>
        <w:t> </w:t>
      </w:r>
      <w:r>
        <w:rPr>
          <w:sz w:val="24"/>
        </w:rPr>
        <w:t>or</w:t>
      </w:r>
      <w:r>
        <w:rPr>
          <w:spacing w:val="40"/>
          <w:sz w:val="24"/>
        </w:rPr>
        <w:t> </w:t>
      </w:r>
      <w:r>
        <w:rPr>
          <w:sz w:val="24"/>
        </w:rPr>
        <w:t>more</w:t>
      </w:r>
      <w:r>
        <w:rPr>
          <w:spacing w:val="40"/>
          <w:sz w:val="24"/>
        </w:rPr>
        <w:t> </w:t>
      </w:r>
      <w:r>
        <w:rPr>
          <w:sz w:val="24"/>
        </w:rPr>
        <w:t>accessory/ancillary</w:t>
      </w:r>
      <w:r>
        <w:rPr>
          <w:spacing w:val="40"/>
          <w:sz w:val="24"/>
        </w:rPr>
        <w:t> </w:t>
      </w:r>
      <w:r>
        <w:rPr>
          <w:spacing w:val="9"/>
          <w:sz w:val="24"/>
        </w:rPr>
        <w:t>use.</w:t>
      </w:r>
    </w:p>
    <w:p>
      <w:pPr>
        <w:pStyle w:val="BodyText"/>
        <w:jc w:val="left"/>
      </w:pPr>
    </w:p>
    <w:p>
      <w:pPr>
        <w:pStyle w:val="ListParagraph"/>
        <w:numPr>
          <w:ilvl w:val="0"/>
          <w:numId w:val="6"/>
        </w:numPr>
        <w:tabs>
          <w:tab w:pos="1763" w:val="left" w:leader="none"/>
          <w:tab w:pos="1766" w:val="left" w:leader="none"/>
        </w:tabs>
        <w:spacing w:line="240" w:lineRule="auto" w:before="0" w:after="0"/>
        <w:ind w:left="1766" w:right="778" w:hanging="711"/>
        <w:jc w:val="both"/>
        <w:rPr>
          <w:sz w:val="24"/>
        </w:rPr>
      </w:pPr>
      <w:r>
        <w:rPr>
          <w:sz w:val="24"/>
        </w:rPr>
        <w:t>"Accessory/Ancillary</w:t>
      </w:r>
      <w:r>
        <w:rPr>
          <w:spacing w:val="80"/>
          <w:sz w:val="24"/>
        </w:rPr>
        <w:t> </w:t>
      </w:r>
      <w:r>
        <w:rPr>
          <w:sz w:val="24"/>
        </w:rPr>
        <w:t>use"</w:t>
      </w:r>
      <w:r>
        <w:rPr>
          <w:spacing w:val="80"/>
          <w:sz w:val="24"/>
        </w:rPr>
        <w:t> </w:t>
      </w:r>
      <w:r>
        <w:rPr>
          <w:sz w:val="24"/>
        </w:rPr>
        <w:t>means</w:t>
      </w:r>
      <w:r>
        <w:rPr>
          <w:spacing w:val="80"/>
          <w:sz w:val="24"/>
        </w:rPr>
        <w:t> </w:t>
      </w:r>
      <w:r>
        <w:rPr>
          <w:sz w:val="24"/>
        </w:rPr>
        <w:t>use</w:t>
      </w:r>
      <w:r>
        <w:rPr>
          <w:spacing w:val="80"/>
          <w:sz w:val="24"/>
        </w:rPr>
        <w:t> </w:t>
      </w:r>
      <w:r>
        <w:rPr>
          <w:sz w:val="24"/>
        </w:rPr>
        <w:t>of</w:t>
      </w:r>
      <w:r>
        <w:rPr>
          <w:spacing w:val="80"/>
          <w:sz w:val="24"/>
        </w:rPr>
        <w:t> </w:t>
      </w:r>
      <w:r>
        <w:rPr>
          <w:sz w:val="24"/>
        </w:rPr>
        <w:t>the</w:t>
      </w:r>
      <w:r>
        <w:rPr>
          <w:spacing w:val="80"/>
          <w:sz w:val="24"/>
        </w:rPr>
        <w:t> </w:t>
      </w:r>
      <w:r>
        <w:rPr>
          <w:sz w:val="24"/>
        </w:rPr>
        <w:t>building,</w:t>
      </w:r>
      <w:r>
        <w:rPr>
          <w:spacing w:val="80"/>
          <w:sz w:val="24"/>
        </w:rPr>
        <w:t> </w:t>
      </w:r>
      <w:r>
        <w:rPr>
          <w:spacing w:val="9"/>
          <w:sz w:val="24"/>
        </w:rPr>
        <w:t>subordinate </w:t>
      </w:r>
      <w:r>
        <w:rPr>
          <w:sz w:val="24"/>
        </w:rPr>
        <w:t>and</w:t>
      </w:r>
      <w:r>
        <w:rPr>
          <w:spacing w:val="40"/>
          <w:sz w:val="24"/>
        </w:rPr>
        <w:t> </w:t>
      </w:r>
      <w:r>
        <w:rPr>
          <w:sz w:val="24"/>
        </w:rPr>
        <w:t>customarily</w:t>
      </w:r>
      <w:r>
        <w:rPr>
          <w:spacing w:val="40"/>
          <w:sz w:val="24"/>
        </w:rPr>
        <w:t> </w:t>
      </w:r>
      <w:r>
        <w:rPr>
          <w:sz w:val="24"/>
        </w:rPr>
        <w:t>incidental</w:t>
      </w:r>
      <w:r>
        <w:rPr>
          <w:spacing w:val="40"/>
          <w:sz w:val="24"/>
        </w:rPr>
        <w:t> </w:t>
      </w:r>
      <w:r>
        <w:rPr>
          <w:sz w:val="24"/>
        </w:rPr>
        <w:t>to</w:t>
      </w:r>
      <w:r>
        <w:rPr>
          <w:spacing w:val="40"/>
          <w:sz w:val="24"/>
        </w:rPr>
        <w:t> </w:t>
      </w:r>
      <w:r>
        <w:rPr>
          <w:sz w:val="24"/>
        </w:rPr>
        <w:t>the</w:t>
      </w:r>
      <w:r>
        <w:rPr>
          <w:spacing w:val="40"/>
          <w:sz w:val="24"/>
        </w:rPr>
        <w:t> </w:t>
      </w:r>
      <w:r>
        <w:rPr>
          <w:sz w:val="24"/>
        </w:rPr>
        <w:t>principal</w:t>
      </w:r>
      <w:r>
        <w:rPr>
          <w:spacing w:val="40"/>
          <w:sz w:val="24"/>
        </w:rPr>
        <w:t> </w:t>
      </w:r>
      <w:r>
        <w:rPr>
          <w:spacing w:val="9"/>
          <w:sz w:val="24"/>
        </w:rPr>
        <w:t>use.</w:t>
      </w:r>
    </w:p>
    <w:p>
      <w:pPr>
        <w:pStyle w:val="ListParagraph"/>
        <w:numPr>
          <w:ilvl w:val="0"/>
          <w:numId w:val="6"/>
        </w:numPr>
        <w:tabs>
          <w:tab w:pos="1763" w:val="left" w:leader="none"/>
          <w:tab w:pos="1766" w:val="left" w:leader="none"/>
        </w:tabs>
        <w:spacing w:line="240" w:lineRule="auto" w:before="281" w:after="0"/>
        <w:ind w:left="1766" w:right="768" w:hanging="711"/>
        <w:jc w:val="both"/>
        <w:rPr>
          <w:sz w:val="24"/>
        </w:rPr>
      </w:pPr>
      <w:r>
        <w:rPr>
          <w:sz w:val="24"/>
        </w:rPr>
        <w:t>“Accommodation Reservation” means a </w:t>
      </w:r>
      <w:r>
        <w:rPr>
          <w:sz w:val="22"/>
        </w:rPr>
        <w:t>plot of land reserved for public purpose, where land owner has an option of handing over the specified part of land</w:t>
      </w:r>
      <w:r>
        <w:rPr>
          <w:spacing w:val="40"/>
          <w:sz w:val="22"/>
        </w:rPr>
        <w:t> </w:t>
      </w:r>
      <w:r>
        <w:rPr>
          <w:sz w:val="22"/>
        </w:rPr>
        <w:t>along with developed amenity to MCGM, for the intended public purpose free of cost and free from any encumbrances and developing balance land with permissible basic FSI and Development Right (DR)</w:t>
      </w:r>
      <w:r>
        <w:rPr>
          <w:spacing w:val="40"/>
          <w:sz w:val="22"/>
        </w:rPr>
        <w:t> </w:t>
      </w:r>
      <w:r>
        <w:rPr>
          <w:sz w:val="22"/>
        </w:rPr>
        <w:t>potential of</w:t>
      </w:r>
      <w:r>
        <w:rPr>
          <w:spacing w:val="40"/>
          <w:sz w:val="22"/>
        </w:rPr>
        <w:t>  </w:t>
      </w:r>
      <w:r>
        <w:rPr>
          <w:sz w:val="22"/>
        </w:rPr>
        <w:t>such balance land</w:t>
      </w:r>
      <w:r>
        <w:rPr>
          <w:spacing w:val="40"/>
          <w:sz w:val="22"/>
        </w:rPr>
        <w:t> </w:t>
      </w:r>
      <w:r>
        <w:rPr>
          <w:sz w:val="22"/>
        </w:rPr>
        <w:t>as permissible under</w:t>
      </w:r>
      <w:r>
        <w:rPr>
          <w:spacing w:val="40"/>
          <w:sz w:val="22"/>
        </w:rPr>
        <w:t> </w:t>
      </w:r>
      <w:r>
        <w:rPr>
          <w:sz w:val="22"/>
        </w:rPr>
        <w:t>these regulations.</w:t>
      </w:r>
    </w:p>
    <w:p>
      <w:pPr>
        <w:pStyle w:val="BodyText"/>
        <w:spacing w:before="25"/>
        <w:jc w:val="left"/>
        <w:rPr>
          <w:sz w:val="22"/>
        </w:rPr>
      </w:pPr>
    </w:p>
    <w:p>
      <w:pPr>
        <w:pStyle w:val="ListParagraph"/>
        <w:numPr>
          <w:ilvl w:val="0"/>
          <w:numId w:val="6"/>
        </w:numPr>
        <w:tabs>
          <w:tab w:pos="1766" w:val="left" w:leader="none"/>
        </w:tabs>
        <w:spacing w:line="240" w:lineRule="auto" w:before="0" w:after="0"/>
        <w:ind w:left="1766" w:right="0" w:hanging="710"/>
        <w:jc w:val="left"/>
        <w:rPr>
          <w:sz w:val="24"/>
        </w:rPr>
      </w:pPr>
      <w:r>
        <w:rPr>
          <w:sz w:val="24"/>
        </w:rPr>
        <w:t>"Act"</w:t>
      </w:r>
      <w:r>
        <w:rPr>
          <w:spacing w:val="55"/>
          <w:sz w:val="24"/>
        </w:rPr>
        <w:t> </w:t>
      </w:r>
      <w:r>
        <w:rPr>
          <w:spacing w:val="-2"/>
          <w:sz w:val="24"/>
        </w:rPr>
        <w:t>means-</w:t>
      </w:r>
    </w:p>
    <w:p>
      <w:pPr>
        <w:pStyle w:val="BodyText"/>
        <w:jc w:val="left"/>
      </w:pPr>
    </w:p>
    <w:p>
      <w:pPr>
        <w:pStyle w:val="ListParagraph"/>
        <w:numPr>
          <w:ilvl w:val="1"/>
          <w:numId w:val="6"/>
        </w:numPr>
        <w:tabs>
          <w:tab w:pos="1763" w:val="left" w:leader="none"/>
          <w:tab w:pos="1766" w:val="left" w:leader="none"/>
        </w:tabs>
        <w:spacing w:line="240" w:lineRule="auto" w:before="0" w:after="0"/>
        <w:ind w:left="1766" w:right="785" w:hanging="711"/>
        <w:jc w:val="both"/>
        <w:rPr>
          <w:sz w:val="24"/>
        </w:rPr>
      </w:pPr>
      <w:r>
        <w:rPr>
          <w:sz w:val="24"/>
        </w:rPr>
        <w:t>The</w:t>
      </w:r>
      <w:r>
        <w:rPr>
          <w:spacing w:val="80"/>
          <w:sz w:val="24"/>
        </w:rPr>
        <w:t> </w:t>
      </w:r>
      <w:r>
        <w:rPr>
          <w:sz w:val="24"/>
        </w:rPr>
        <w:t>Maharashtra</w:t>
      </w:r>
      <w:r>
        <w:rPr>
          <w:spacing w:val="80"/>
          <w:sz w:val="24"/>
        </w:rPr>
        <w:t> </w:t>
      </w:r>
      <w:r>
        <w:rPr>
          <w:sz w:val="24"/>
        </w:rPr>
        <w:t>Regional</w:t>
      </w:r>
      <w:r>
        <w:rPr>
          <w:spacing w:val="80"/>
          <w:sz w:val="24"/>
        </w:rPr>
        <w:t> </w:t>
      </w:r>
      <w:r>
        <w:rPr>
          <w:sz w:val="24"/>
        </w:rPr>
        <w:t>and</w:t>
      </w:r>
      <w:r>
        <w:rPr>
          <w:spacing w:val="80"/>
          <w:sz w:val="24"/>
        </w:rPr>
        <w:t> </w:t>
      </w:r>
      <w:r>
        <w:rPr>
          <w:sz w:val="24"/>
        </w:rPr>
        <w:t>Town</w:t>
      </w:r>
      <w:r>
        <w:rPr>
          <w:spacing w:val="80"/>
          <w:sz w:val="24"/>
        </w:rPr>
        <w:t> </w:t>
      </w:r>
      <w:r>
        <w:rPr>
          <w:sz w:val="24"/>
        </w:rPr>
        <w:t>Planning</w:t>
      </w:r>
      <w:r>
        <w:rPr>
          <w:spacing w:val="80"/>
          <w:sz w:val="24"/>
        </w:rPr>
        <w:t> </w:t>
      </w:r>
      <w:r>
        <w:rPr>
          <w:sz w:val="24"/>
        </w:rPr>
        <w:t>Act,</w:t>
      </w:r>
      <w:r>
        <w:rPr>
          <w:spacing w:val="80"/>
          <w:sz w:val="24"/>
        </w:rPr>
        <w:t> </w:t>
      </w:r>
      <w:r>
        <w:rPr>
          <w:sz w:val="24"/>
        </w:rPr>
        <w:t>1966(Mah.</w:t>
      </w:r>
      <w:r>
        <w:rPr>
          <w:spacing w:val="80"/>
          <w:sz w:val="24"/>
        </w:rPr>
        <w:t> </w:t>
      </w:r>
      <w:r>
        <w:rPr>
          <w:sz w:val="24"/>
        </w:rPr>
        <w:t>Act No. XXXVII of </w:t>
      </w:r>
      <w:r>
        <w:rPr>
          <w:spacing w:val="9"/>
          <w:sz w:val="24"/>
        </w:rPr>
        <w:t>1966);or</w:t>
      </w:r>
    </w:p>
    <w:p>
      <w:pPr>
        <w:pStyle w:val="ListParagraph"/>
        <w:numPr>
          <w:ilvl w:val="1"/>
          <w:numId w:val="6"/>
        </w:numPr>
        <w:tabs>
          <w:tab w:pos="1762" w:val="left" w:leader="none"/>
          <w:tab w:pos="1766" w:val="left" w:leader="none"/>
        </w:tabs>
        <w:spacing w:line="240" w:lineRule="auto" w:before="239" w:after="0"/>
        <w:ind w:left="1766" w:right="784" w:hanging="711"/>
        <w:jc w:val="both"/>
        <w:rPr>
          <w:sz w:val="24"/>
        </w:rPr>
      </w:pPr>
      <w:r>
        <w:rPr>
          <w:sz w:val="24"/>
        </w:rPr>
        <w:t>The Mumbai Municipal Corporation Act, </w:t>
      </w:r>
      <w:r>
        <w:rPr>
          <w:spacing w:val="9"/>
          <w:sz w:val="24"/>
        </w:rPr>
        <w:t>1888 </w:t>
      </w:r>
      <w:r>
        <w:rPr>
          <w:sz w:val="24"/>
        </w:rPr>
        <w:t>(Mumbai Act No. III of </w:t>
      </w:r>
      <w:r>
        <w:rPr>
          <w:spacing w:val="-2"/>
          <w:sz w:val="24"/>
        </w:rPr>
        <w:t>1888)</w:t>
      </w:r>
    </w:p>
    <w:p>
      <w:pPr>
        <w:pStyle w:val="ListParagraph"/>
        <w:numPr>
          <w:ilvl w:val="0"/>
          <w:numId w:val="6"/>
        </w:numPr>
        <w:tabs>
          <w:tab w:pos="1763" w:val="left" w:leader="none"/>
          <w:tab w:pos="1766" w:val="left" w:leader="none"/>
        </w:tabs>
        <w:spacing w:line="240" w:lineRule="auto" w:before="240" w:after="0"/>
        <w:ind w:left="1766" w:right="774" w:hanging="711"/>
        <w:jc w:val="both"/>
        <w:rPr>
          <w:sz w:val="24"/>
        </w:rPr>
      </w:pPr>
      <w:r>
        <w:rPr>
          <w:sz w:val="24"/>
        </w:rPr>
        <w:t>"Addition and/or alteration" means change from one occupancy to another,</w:t>
      </w:r>
      <w:r>
        <w:rPr>
          <w:spacing w:val="40"/>
          <w:sz w:val="24"/>
        </w:rPr>
        <w:t> </w:t>
      </w:r>
      <w:r>
        <w:rPr>
          <w:sz w:val="24"/>
        </w:rPr>
        <w:t>or</w:t>
      </w:r>
      <w:r>
        <w:rPr>
          <w:spacing w:val="40"/>
          <w:sz w:val="24"/>
        </w:rPr>
        <w:t> </w:t>
      </w:r>
      <w:r>
        <w:rPr>
          <w:sz w:val="24"/>
        </w:rPr>
        <w:t>a</w:t>
      </w:r>
      <w:r>
        <w:rPr>
          <w:spacing w:val="40"/>
          <w:sz w:val="24"/>
        </w:rPr>
        <w:t> </w:t>
      </w:r>
      <w:r>
        <w:rPr>
          <w:sz w:val="24"/>
        </w:rPr>
        <w:t>structural</w:t>
      </w:r>
      <w:r>
        <w:rPr>
          <w:spacing w:val="40"/>
          <w:sz w:val="24"/>
        </w:rPr>
        <w:t> </w:t>
      </w:r>
      <w:r>
        <w:rPr>
          <w:sz w:val="24"/>
        </w:rPr>
        <w:t>change,</w:t>
      </w:r>
      <w:r>
        <w:rPr>
          <w:spacing w:val="40"/>
          <w:sz w:val="24"/>
        </w:rPr>
        <w:t> </w:t>
      </w:r>
      <w:r>
        <w:rPr>
          <w:sz w:val="24"/>
        </w:rPr>
        <w:t>such</w:t>
      </w:r>
      <w:r>
        <w:rPr>
          <w:spacing w:val="40"/>
          <w:sz w:val="24"/>
        </w:rPr>
        <w:t> </w:t>
      </w:r>
      <w:r>
        <w:rPr>
          <w:sz w:val="24"/>
        </w:rPr>
        <w:t>as</w:t>
      </w:r>
      <w:r>
        <w:rPr>
          <w:spacing w:val="40"/>
          <w:sz w:val="24"/>
        </w:rPr>
        <w:t> </w:t>
      </w:r>
      <w:r>
        <w:rPr>
          <w:sz w:val="24"/>
        </w:rPr>
        <w:t>addition</w:t>
      </w:r>
      <w:r>
        <w:rPr>
          <w:spacing w:val="40"/>
          <w:sz w:val="24"/>
        </w:rPr>
        <w:t> </w:t>
      </w:r>
      <w:r>
        <w:rPr>
          <w:sz w:val="24"/>
        </w:rPr>
        <w:t>to</w:t>
      </w:r>
      <w:r>
        <w:rPr>
          <w:spacing w:val="40"/>
          <w:sz w:val="24"/>
        </w:rPr>
        <w:t> </w:t>
      </w:r>
      <w:r>
        <w:rPr>
          <w:sz w:val="24"/>
        </w:rPr>
        <w:t>the</w:t>
      </w:r>
      <w:r>
        <w:rPr>
          <w:spacing w:val="40"/>
          <w:sz w:val="24"/>
        </w:rPr>
        <w:t> </w:t>
      </w:r>
      <w:r>
        <w:rPr>
          <w:sz w:val="24"/>
        </w:rPr>
        <w:t>area</w:t>
      </w:r>
      <w:r>
        <w:rPr>
          <w:spacing w:val="40"/>
          <w:sz w:val="24"/>
        </w:rPr>
        <w:t> </w:t>
      </w:r>
      <w:r>
        <w:rPr>
          <w:sz w:val="24"/>
        </w:rPr>
        <w:t>or height,</w:t>
      </w:r>
      <w:r>
        <w:rPr>
          <w:spacing w:val="40"/>
          <w:sz w:val="24"/>
        </w:rPr>
        <w:t> </w:t>
      </w:r>
      <w:r>
        <w:rPr>
          <w:sz w:val="24"/>
        </w:rPr>
        <w:t>or</w:t>
      </w:r>
      <w:r>
        <w:rPr>
          <w:spacing w:val="40"/>
          <w:sz w:val="24"/>
        </w:rPr>
        <w:t> </w:t>
      </w:r>
      <w:r>
        <w:rPr>
          <w:sz w:val="24"/>
        </w:rPr>
        <w:t>the</w:t>
      </w:r>
      <w:r>
        <w:rPr>
          <w:spacing w:val="40"/>
          <w:sz w:val="24"/>
        </w:rPr>
        <w:t> </w:t>
      </w:r>
      <w:r>
        <w:rPr>
          <w:sz w:val="24"/>
        </w:rPr>
        <w:t>removal</w:t>
      </w:r>
      <w:r>
        <w:rPr>
          <w:spacing w:val="40"/>
          <w:sz w:val="24"/>
        </w:rPr>
        <w:t> </w:t>
      </w:r>
      <w:r>
        <w:rPr>
          <w:sz w:val="24"/>
        </w:rPr>
        <w:t>of</w:t>
      </w:r>
      <w:r>
        <w:rPr>
          <w:spacing w:val="80"/>
          <w:sz w:val="24"/>
        </w:rPr>
        <w:t> </w:t>
      </w:r>
      <w:r>
        <w:rPr>
          <w:sz w:val="24"/>
        </w:rPr>
        <w:t>part</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or</w:t>
      </w:r>
      <w:r>
        <w:rPr>
          <w:spacing w:val="40"/>
          <w:sz w:val="24"/>
        </w:rPr>
        <w:t> </w:t>
      </w:r>
      <w:r>
        <w:rPr>
          <w:sz w:val="24"/>
        </w:rPr>
        <w:t>a</w:t>
      </w:r>
      <w:r>
        <w:rPr>
          <w:spacing w:val="40"/>
          <w:sz w:val="24"/>
        </w:rPr>
        <w:t> </w:t>
      </w:r>
      <w:r>
        <w:rPr>
          <w:sz w:val="24"/>
        </w:rPr>
        <w:t>change</w:t>
      </w:r>
      <w:r>
        <w:rPr>
          <w:spacing w:val="40"/>
          <w:sz w:val="24"/>
        </w:rPr>
        <w:t> </w:t>
      </w:r>
      <w:r>
        <w:rPr>
          <w:sz w:val="24"/>
        </w:rPr>
        <w:t>to</w:t>
      </w:r>
      <w:r>
        <w:rPr>
          <w:spacing w:val="40"/>
          <w:sz w:val="24"/>
        </w:rPr>
        <w:t> </w:t>
      </w:r>
      <w:r>
        <w:rPr>
          <w:sz w:val="24"/>
        </w:rPr>
        <w:t>the structure, such</w:t>
      </w:r>
      <w:r>
        <w:rPr>
          <w:spacing w:val="40"/>
          <w:sz w:val="24"/>
        </w:rPr>
        <w:t> </w:t>
      </w:r>
      <w:r>
        <w:rPr>
          <w:sz w:val="24"/>
        </w:rPr>
        <w:t>as</w:t>
      </w:r>
      <w:r>
        <w:rPr>
          <w:spacing w:val="40"/>
          <w:sz w:val="24"/>
        </w:rPr>
        <w:t> </w:t>
      </w:r>
      <w:r>
        <w:rPr>
          <w:sz w:val="24"/>
        </w:rPr>
        <w:t>the construction or</w:t>
      </w:r>
      <w:r>
        <w:rPr>
          <w:spacing w:val="40"/>
          <w:sz w:val="24"/>
        </w:rPr>
        <w:t> </w:t>
      </w:r>
      <w:r>
        <w:rPr>
          <w:sz w:val="24"/>
        </w:rPr>
        <w:t>cutting into or removal of </w:t>
      </w:r>
      <w:r>
        <w:rPr>
          <w:spacing w:val="9"/>
          <w:sz w:val="24"/>
        </w:rPr>
        <w:t>any </w:t>
      </w:r>
      <w:r>
        <w:rPr>
          <w:sz w:val="24"/>
        </w:rPr>
        <w:t>wall</w:t>
      </w:r>
      <w:r>
        <w:rPr>
          <w:spacing w:val="65"/>
          <w:sz w:val="24"/>
        </w:rPr>
        <w:t> </w:t>
      </w:r>
      <w:r>
        <w:rPr>
          <w:sz w:val="24"/>
        </w:rPr>
        <w:t>or</w:t>
      </w:r>
      <w:r>
        <w:rPr>
          <w:spacing w:val="65"/>
          <w:sz w:val="24"/>
        </w:rPr>
        <w:t> </w:t>
      </w:r>
      <w:r>
        <w:rPr>
          <w:sz w:val="24"/>
        </w:rPr>
        <w:t>part</w:t>
      </w:r>
      <w:r>
        <w:rPr>
          <w:spacing w:val="69"/>
          <w:sz w:val="24"/>
        </w:rPr>
        <w:t> </w:t>
      </w:r>
      <w:r>
        <w:rPr>
          <w:sz w:val="24"/>
        </w:rPr>
        <w:t>of</w:t>
      </w:r>
      <w:r>
        <w:rPr>
          <w:spacing w:val="65"/>
          <w:sz w:val="24"/>
        </w:rPr>
        <w:t> </w:t>
      </w:r>
      <w:r>
        <w:rPr>
          <w:sz w:val="24"/>
        </w:rPr>
        <w:t>a</w:t>
      </w:r>
      <w:r>
        <w:rPr>
          <w:spacing w:val="65"/>
          <w:sz w:val="24"/>
        </w:rPr>
        <w:t> </w:t>
      </w:r>
      <w:r>
        <w:rPr>
          <w:sz w:val="24"/>
        </w:rPr>
        <w:t>wall,</w:t>
      </w:r>
      <w:r>
        <w:rPr>
          <w:spacing w:val="65"/>
          <w:sz w:val="24"/>
        </w:rPr>
        <w:t> </w:t>
      </w:r>
      <w:r>
        <w:rPr>
          <w:sz w:val="24"/>
        </w:rPr>
        <w:t>partition,</w:t>
      </w:r>
      <w:r>
        <w:rPr>
          <w:spacing w:val="65"/>
          <w:sz w:val="24"/>
        </w:rPr>
        <w:t> </w:t>
      </w:r>
      <w:r>
        <w:rPr>
          <w:sz w:val="24"/>
        </w:rPr>
        <w:t>column,</w:t>
      </w:r>
      <w:r>
        <w:rPr>
          <w:spacing w:val="65"/>
          <w:sz w:val="24"/>
        </w:rPr>
        <w:t> </w:t>
      </w:r>
      <w:r>
        <w:rPr>
          <w:sz w:val="24"/>
        </w:rPr>
        <w:t>beam,</w:t>
      </w:r>
      <w:r>
        <w:rPr>
          <w:spacing w:val="65"/>
          <w:sz w:val="24"/>
        </w:rPr>
        <w:t> </w:t>
      </w:r>
      <w:r>
        <w:rPr>
          <w:sz w:val="24"/>
        </w:rPr>
        <w:t>joist,</w:t>
      </w:r>
      <w:r>
        <w:rPr>
          <w:spacing w:val="65"/>
          <w:sz w:val="24"/>
        </w:rPr>
        <w:t> </w:t>
      </w:r>
      <w:r>
        <w:rPr>
          <w:sz w:val="24"/>
        </w:rPr>
        <w:t>floor</w:t>
      </w:r>
      <w:r>
        <w:rPr>
          <w:spacing w:val="65"/>
          <w:sz w:val="24"/>
        </w:rPr>
        <w:t> </w:t>
      </w:r>
      <w:r>
        <w:rPr>
          <w:sz w:val="24"/>
        </w:rPr>
        <w:t>including a mezzanine floor or other support, or a change to or closing of any required</w:t>
      </w:r>
      <w:r>
        <w:rPr>
          <w:spacing w:val="40"/>
          <w:sz w:val="24"/>
        </w:rPr>
        <w:t> </w:t>
      </w:r>
      <w:r>
        <w:rPr>
          <w:sz w:val="24"/>
        </w:rPr>
        <w:t>means</w:t>
      </w:r>
      <w:r>
        <w:rPr>
          <w:spacing w:val="40"/>
          <w:sz w:val="24"/>
        </w:rPr>
        <w:t> </w:t>
      </w:r>
      <w:r>
        <w:rPr>
          <w:sz w:val="24"/>
        </w:rPr>
        <w:t>of</w:t>
      </w:r>
      <w:r>
        <w:rPr>
          <w:spacing w:val="40"/>
          <w:sz w:val="24"/>
        </w:rPr>
        <w:t> </w:t>
      </w:r>
      <w:r>
        <w:rPr>
          <w:sz w:val="24"/>
        </w:rPr>
        <w:t>ingress</w:t>
      </w:r>
      <w:r>
        <w:rPr>
          <w:spacing w:val="40"/>
          <w:sz w:val="24"/>
        </w:rPr>
        <w:t> </w:t>
      </w:r>
      <w:r>
        <w:rPr>
          <w:sz w:val="24"/>
        </w:rPr>
        <w:t>or</w:t>
      </w:r>
      <w:r>
        <w:rPr>
          <w:spacing w:val="40"/>
          <w:sz w:val="24"/>
        </w:rPr>
        <w:t> </w:t>
      </w:r>
      <w:r>
        <w:rPr>
          <w:sz w:val="24"/>
        </w:rPr>
        <w:t>egress,</w:t>
      </w:r>
      <w:r>
        <w:rPr>
          <w:spacing w:val="40"/>
          <w:sz w:val="24"/>
        </w:rPr>
        <w:t> </w:t>
      </w:r>
      <w:r>
        <w:rPr>
          <w:sz w:val="24"/>
        </w:rPr>
        <w:t>or</w:t>
      </w:r>
      <w:r>
        <w:rPr>
          <w:spacing w:val="80"/>
          <w:w w:val="150"/>
          <w:sz w:val="24"/>
        </w:rPr>
        <w:t> </w:t>
      </w:r>
      <w:r>
        <w:rPr>
          <w:sz w:val="24"/>
        </w:rPr>
        <w:t>change</w:t>
      </w:r>
      <w:r>
        <w:rPr>
          <w:spacing w:val="40"/>
          <w:sz w:val="24"/>
        </w:rPr>
        <w:t> </w:t>
      </w:r>
      <w:r>
        <w:rPr>
          <w:sz w:val="24"/>
        </w:rPr>
        <w:t>to</w:t>
      </w:r>
      <w:r>
        <w:rPr>
          <w:spacing w:val="40"/>
          <w:sz w:val="24"/>
        </w:rPr>
        <w:t> </w:t>
      </w:r>
      <w:r>
        <w:rPr>
          <w:sz w:val="24"/>
        </w:rPr>
        <w:t>fixtures</w:t>
      </w:r>
      <w:r>
        <w:rPr>
          <w:spacing w:val="40"/>
          <w:sz w:val="24"/>
        </w:rPr>
        <w:t> </w:t>
      </w:r>
      <w:r>
        <w:rPr>
          <w:sz w:val="24"/>
        </w:rPr>
        <w:t>or equipment,</w:t>
      </w:r>
      <w:r>
        <w:rPr>
          <w:spacing w:val="40"/>
          <w:sz w:val="24"/>
        </w:rPr>
        <w:t> </w:t>
      </w:r>
      <w:r>
        <w:rPr>
          <w:sz w:val="24"/>
        </w:rPr>
        <w:t>as</w:t>
      </w:r>
      <w:r>
        <w:rPr>
          <w:spacing w:val="40"/>
          <w:sz w:val="24"/>
        </w:rPr>
        <w:t> </w:t>
      </w:r>
      <w:r>
        <w:rPr>
          <w:sz w:val="24"/>
        </w:rPr>
        <w:t>provided</w:t>
      </w:r>
      <w:r>
        <w:rPr>
          <w:spacing w:val="40"/>
          <w:sz w:val="24"/>
        </w:rPr>
        <w:t> </w:t>
      </w:r>
      <w:r>
        <w:rPr>
          <w:sz w:val="24"/>
        </w:rPr>
        <w:t>in</w:t>
      </w:r>
      <w:r>
        <w:rPr>
          <w:spacing w:val="40"/>
          <w:sz w:val="24"/>
        </w:rPr>
        <w:t> </w:t>
      </w:r>
      <w:r>
        <w:rPr>
          <w:sz w:val="24"/>
        </w:rPr>
        <w:t>these</w:t>
      </w:r>
      <w:r>
        <w:rPr>
          <w:spacing w:val="40"/>
          <w:sz w:val="24"/>
        </w:rPr>
        <w:t> </w:t>
      </w:r>
      <w:r>
        <w:rPr>
          <w:spacing w:val="9"/>
          <w:sz w:val="24"/>
        </w:rPr>
        <w:t>Regulations.</w:t>
      </w:r>
    </w:p>
    <w:p>
      <w:pPr>
        <w:pStyle w:val="BodyText"/>
        <w:spacing w:before="2"/>
        <w:jc w:val="left"/>
      </w:pPr>
    </w:p>
    <w:p>
      <w:pPr>
        <w:pStyle w:val="ListParagraph"/>
        <w:numPr>
          <w:ilvl w:val="0"/>
          <w:numId w:val="6"/>
        </w:numPr>
        <w:tabs>
          <w:tab w:pos="1763" w:val="left" w:leader="none"/>
          <w:tab w:pos="1766" w:val="left" w:leader="none"/>
        </w:tabs>
        <w:spacing w:line="240" w:lineRule="auto" w:before="0" w:after="0"/>
        <w:ind w:left="1766" w:right="772" w:hanging="711"/>
        <w:jc w:val="both"/>
        <w:rPr>
          <w:sz w:val="24"/>
        </w:rPr>
      </w:pPr>
      <w:r>
        <w:rPr>
          <w:sz w:val="24"/>
        </w:rPr>
        <w:t>"Advertising</w:t>
      </w:r>
      <w:r>
        <w:rPr>
          <w:spacing w:val="40"/>
          <w:sz w:val="24"/>
        </w:rPr>
        <w:t> </w:t>
      </w:r>
      <w:r>
        <w:rPr>
          <w:sz w:val="24"/>
        </w:rPr>
        <w:t>sign"</w:t>
      </w:r>
      <w:r>
        <w:rPr>
          <w:spacing w:val="40"/>
          <w:sz w:val="24"/>
        </w:rPr>
        <w:t> </w:t>
      </w:r>
      <w:r>
        <w:rPr>
          <w:sz w:val="24"/>
        </w:rPr>
        <w:t>means</w:t>
      </w:r>
      <w:r>
        <w:rPr>
          <w:spacing w:val="40"/>
          <w:sz w:val="24"/>
        </w:rPr>
        <w:t> </w:t>
      </w:r>
      <w:r>
        <w:rPr>
          <w:sz w:val="24"/>
        </w:rPr>
        <w:t>any</w:t>
      </w:r>
      <w:r>
        <w:rPr>
          <w:spacing w:val="40"/>
          <w:sz w:val="24"/>
        </w:rPr>
        <w:t> </w:t>
      </w:r>
      <w:r>
        <w:rPr>
          <w:sz w:val="24"/>
        </w:rPr>
        <w:t>surface</w:t>
      </w:r>
      <w:r>
        <w:rPr>
          <w:spacing w:val="40"/>
          <w:sz w:val="24"/>
        </w:rPr>
        <w:t> </w:t>
      </w:r>
      <w:r>
        <w:rPr>
          <w:sz w:val="24"/>
        </w:rPr>
        <w:t>or</w:t>
      </w:r>
      <w:r>
        <w:rPr>
          <w:spacing w:val="40"/>
          <w:sz w:val="24"/>
        </w:rPr>
        <w:t> </w:t>
      </w:r>
      <w:r>
        <w:rPr>
          <w:sz w:val="24"/>
        </w:rPr>
        <w:t>structure</w:t>
      </w:r>
      <w:r>
        <w:rPr>
          <w:spacing w:val="40"/>
          <w:sz w:val="24"/>
        </w:rPr>
        <w:t> </w:t>
      </w:r>
      <w:r>
        <w:rPr>
          <w:sz w:val="24"/>
        </w:rPr>
        <w:t>with</w:t>
      </w:r>
      <w:r>
        <w:rPr>
          <w:spacing w:val="40"/>
          <w:sz w:val="24"/>
        </w:rPr>
        <w:t> </w:t>
      </w:r>
      <w:r>
        <w:rPr>
          <w:sz w:val="24"/>
        </w:rPr>
        <w:t>characters, letter or illustrations applied thereto and displayed in any manner whatsoever out of doors for the purpose of advertising or giving information regarding or to attract the public to any </w:t>
      </w:r>
      <w:r>
        <w:rPr>
          <w:spacing w:val="9"/>
          <w:sz w:val="24"/>
        </w:rPr>
        <w:t>place, </w:t>
      </w:r>
      <w:r>
        <w:rPr>
          <w:sz w:val="24"/>
        </w:rPr>
        <w:t>person,</w:t>
      </w:r>
      <w:r>
        <w:rPr>
          <w:spacing w:val="40"/>
          <w:sz w:val="24"/>
        </w:rPr>
        <w:t> </w:t>
      </w:r>
      <w:r>
        <w:rPr>
          <w:sz w:val="24"/>
        </w:rPr>
        <w:t>public performance, article or merchandise, and which surface or structure</w:t>
      </w:r>
      <w:r>
        <w:rPr>
          <w:spacing w:val="40"/>
          <w:sz w:val="24"/>
        </w:rPr>
        <w:t> </w:t>
      </w:r>
      <w:r>
        <w:rPr>
          <w:sz w:val="24"/>
        </w:rPr>
        <w:t>is</w:t>
      </w:r>
      <w:r>
        <w:rPr>
          <w:spacing w:val="40"/>
          <w:sz w:val="24"/>
        </w:rPr>
        <w:t> </w:t>
      </w:r>
      <w:r>
        <w:rPr>
          <w:sz w:val="24"/>
        </w:rPr>
        <w:t>attached</w:t>
      </w:r>
      <w:r>
        <w:rPr>
          <w:spacing w:val="40"/>
          <w:sz w:val="24"/>
        </w:rPr>
        <w:t> </w:t>
      </w:r>
      <w:r>
        <w:rPr>
          <w:sz w:val="24"/>
        </w:rPr>
        <w:t>to,</w:t>
      </w:r>
      <w:r>
        <w:rPr>
          <w:spacing w:val="40"/>
          <w:sz w:val="24"/>
        </w:rPr>
        <w:t> </w:t>
      </w:r>
      <w:r>
        <w:rPr>
          <w:sz w:val="24"/>
        </w:rPr>
        <w:t>forms</w:t>
      </w:r>
      <w:r>
        <w:rPr>
          <w:spacing w:val="40"/>
          <w:sz w:val="24"/>
        </w:rPr>
        <w:t> </w:t>
      </w:r>
      <w:r>
        <w:rPr>
          <w:sz w:val="24"/>
        </w:rPr>
        <w:t>part</w:t>
      </w:r>
      <w:r>
        <w:rPr>
          <w:spacing w:val="40"/>
          <w:sz w:val="24"/>
        </w:rPr>
        <w:t> </w:t>
      </w:r>
      <w:r>
        <w:rPr>
          <w:sz w:val="24"/>
        </w:rPr>
        <w:t>of,</w:t>
      </w:r>
      <w:r>
        <w:rPr>
          <w:spacing w:val="40"/>
          <w:sz w:val="24"/>
        </w:rPr>
        <w:t> </w:t>
      </w:r>
      <w:r>
        <w:rPr>
          <w:sz w:val="24"/>
        </w:rPr>
        <w:t>or</w:t>
      </w:r>
      <w:r>
        <w:rPr>
          <w:spacing w:val="40"/>
          <w:sz w:val="24"/>
        </w:rPr>
        <w:t> </w:t>
      </w:r>
      <w:r>
        <w:rPr>
          <w:sz w:val="24"/>
        </w:rPr>
        <w:t>is</w:t>
      </w:r>
      <w:r>
        <w:rPr>
          <w:spacing w:val="40"/>
          <w:sz w:val="24"/>
        </w:rPr>
        <w:t> </w:t>
      </w:r>
      <w:r>
        <w:rPr>
          <w:sz w:val="24"/>
        </w:rPr>
        <w:t>connected</w:t>
      </w:r>
      <w:r>
        <w:rPr>
          <w:spacing w:val="40"/>
          <w:sz w:val="24"/>
        </w:rPr>
        <w:t> </w:t>
      </w:r>
      <w:r>
        <w:rPr>
          <w:sz w:val="24"/>
        </w:rPr>
        <w:t>with</w:t>
      </w:r>
      <w:r>
        <w:rPr>
          <w:spacing w:val="40"/>
          <w:sz w:val="24"/>
        </w:rPr>
        <w:t> </w:t>
      </w:r>
      <w:r>
        <w:rPr>
          <w:sz w:val="24"/>
        </w:rPr>
        <w:t>any building, or is fixed to a tree, or to the ground or to any pole, </w:t>
      </w:r>
      <w:r>
        <w:rPr>
          <w:spacing w:val="9"/>
          <w:sz w:val="24"/>
        </w:rPr>
        <w:t>screen, </w:t>
      </w:r>
      <w:r>
        <w:rPr>
          <w:sz w:val="24"/>
        </w:rPr>
        <w:t>fence or hoarding or displayed in space or in or over any water body included</w:t>
      </w:r>
      <w:r>
        <w:rPr>
          <w:spacing w:val="74"/>
          <w:sz w:val="24"/>
        </w:rPr>
        <w:t> </w:t>
      </w:r>
      <w:r>
        <w:rPr>
          <w:sz w:val="24"/>
        </w:rPr>
        <w:t>in</w:t>
      </w:r>
      <w:r>
        <w:rPr>
          <w:spacing w:val="71"/>
          <w:sz w:val="24"/>
        </w:rPr>
        <w:t> </w:t>
      </w:r>
      <w:r>
        <w:rPr>
          <w:sz w:val="24"/>
        </w:rPr>
        <w:t>the</w:t>
      </w:r>
      <w:r>
        <w:rPr>
          <w:spacing w:val="74"/>
          <w:sz w:val="24"/>
        </w:rPr>
        <w:t> </w:t>
      </w:r>
      <w:r>
        <w:rPr>
          <w:sz w:val="24"/>
        </w:rPr>
        <w:t>limits</w:t>
      </w:r>
      <w:r>
        <w:rPr>
          <w:spacing w:val="71"/>
          <w:sz w:val="24"/>
        </w:rPr>
        <w:t> </w:t>
      </w:r>
      <w:r>
        <w:rPr>
          <w:sz w:val="24"/>
        </w:rPr>
        <w:t>of</w:t>
      </w:r>
      <w:r>
        <w:rPr>
          <w:spacing w:val="71"/>
          <w:sz w:val="24"/>
        </w:rPr>
        <w:t> </w:t>
      </w:r>
      <w:r>
        <w:rPr>
          <w:sz w:val="24"/>
        </w:rPr>
        <w:t>Greater</w:t>
      </w:r>
      <w:r>
        <w:rPr>
          <w:spacing w:val="74"/>
          <w:sz w:val="24"/>
        </w:rPr>
        <w:t> </w:t>
      </w:r>
      <w:r>
        <w:rPr>
          <w:sz w:val="24"/>
        </w:rPr>
        <w:t>Mumbai</w:t>
      </w:r>
      <w:r>
        <w:rPr>
          <w:spacing w:val="71"/>
          <w:sz w:val="24"/>
        </w:rPr>
        <w:t> </w:t>
      </w:r>
      <w:r>
        <w:rPr>
          <w:sz w:val="24"/>
        </w:rPr>
        <w:t>i.e.</w:t>
      </w:r>
      <w:r>
        <w:rPr>
          <w:spacing w:val="77"/>
          <w:sz w:val="24"/>
        </w:rPr>
        <w:t> </w:t>
      </w:r>
      <w:r>
        <w:rPr>
          <w:sz w:val="24"/>
        </w:rPr>
        <w:t>Island</w:t>
      </w:r>
      <w:r>
        <w:rPr>
          <w:spacing w:val="74"/>
          <w:sz w:val="24"/>
        </w:rPr>
        <w:t> </w:t>
      </w:r>
      <w:r>
        <w:rPr>
          <w:sz w:val="24"/>
        </w:rPr>
        <w:t>City,</w:t>
      </w:r>
      <w:r>
        <w:rPr>
          <w:spacing w:val="40"/>
          <w:sz w:val="24"/>
        </w:rPr>
        <w:t>  </w:t>
      </w:r>
      <w:r>
        <w:rPr>
          <w:sz w:val="24"/>
        </w:rPr>
        <w:t>Suburbs or extended Suburbs as defined in section 3 of the Mumbai Municipal Corporation</w:t>
      </w:r>
      <w:r>
        <w:rPr>
          <w:spacing w:val="39"/>
          <w:sz w:val="24"/>
        </w:rPr>
        <w:t> </w:t>
      </w:r>
      <w:r>
        <w:rPr>
          <w:sz w:val="24"/>
        </w:rPr>
        <w:t>Act,</w:t>
      </w:r>
      <w:r>
        <w:rPr>
          <w:spacing w:val="39"/>
          <w:sz w:val="24"/>
        </w:rPr>
        <w:t> </w:t>
      </w:r>
      <w:r>
        <w:rPr>
          <w:sz w:val="24"/>
        </w:rPr>
        <w:t>1888,</w:t>
      </w:r>
      <w:r>
        <w:rPr>
          <w:spacing w:val="39"/>
          <w:sz w:val="24"/>
        </w:rPr>
        <w:t> </w:t>
      </w:r>
      <w:r>
        <w:rPr>
          <w:sz w:val="24"/>
        </w:rPr>
        <w:t>and</w:t>
      </w:r>
      <w:r>
        <w:rPr>
          <w:spacing w:val="40"/>
          <w:sz w:val="24"/>
        </w:rPr>
        <w:t> </w:t>
      </w:r>
      <w:r>
        <w:rPr>
          <w:sz w:val="24"/>
        </w:rPr>
        <w:t>area</w:t>
      </w:r>
      <w:r>
        <w:rPr>
          <w:spacing w:val="39"/>
          <w:sz w:val="24"/>
        </w:rPr>
        <w:t> </w:t>
      </w:r>
      <w:r>
        <w:rPr>
          <w:sz w:val="24"/>
        </w:rPr>
        <w:t>specified</w:t>
      </w:r>
      <w:r>
        <w:rPr>
          <w:spacing w:val="39"/>
          <w:sz w:val="24"/>
        </w:rPr>
        <w:t> </w:t>
      </w:r>
      <w:r>
        <w:rPr>
          <w:sz w:val="24"/>
        </w:rPr>
        <w:t>in</w:t>
      </w:r>
      <w:r>
        <w:rPr>
          <w:spacing w:val="39"/>
          <w:sz w:val="24"/>
        </w:rPr>
        <w:t> </w:t>
      </w:r>
      <w:r>
        <w:rPr>
          <w:sz w:val="24"/>
        </w:rPr>
        <w:t>Part</w:t>
      </w:r>
      <w:r>
        <w:rPr>
          <w:spacing w:val="39"/>
          <w:sz w:val="24"/>
        </w:rPr>
        <w:t> </w:t>
      </w:r>
      <w:r>
        <w:rPr>
          <w:sz w:val="24"/>
        </w:rPr>
        <w:t>II</w:t>
      </w:r>
      <w:r>
        <w:rPr>
          <w:spacing w:val="40"/>
          <w:sz w:val="24"/>
        </w:rPr>
        <w:t> </w:t>
      </w:r>
      <w:r>
        <w:rPr>
          <w:sz w:val="24"/>
        </w:rPr>
        <w:t>to</w:t>
      </w:r>
      <w:r>
        <w:rPr>
          <w:spacing w:val="39"/>
          <w:sz w:val="24"/>
        </w:rPr>
        <w:t> </w:t>
      </w:r>
      <w:r>
        <w:rPr>
          <w:sz w:val="24"/>
        </w:rPr>
        <w:t>IV</w:t>
      </w:r>
      <w:r>
        <w:rPr>
          <w:spacing w:val="36"/>
          <w:sz w:val="24"/>
        </w:rPr>
        <w:t> </w:t>
      </w:r>
      <w:r>
        <w:rPr>
          <w:sz w:val="24"/>
        </w:rPr>
        <w:t>of</w:t>
      </w:r>
      <w:r>
        <w:rPr>
          <w:spacing w:val="39"/>
          <w:sz w:val="24"/>
        </w:rPr>
        <w:t> </w:t>
      </w:r>
      <w:r>
        <w:rPr>
          <w:spacing w:val="9"/>
          <w:sz w:val="24"/>
        </w:rPr>
        <w:t>Schedule</w:t>
      </w:r>
    </w:p>
    <w:p>
      <w:pPr>
        <w:pStyle w:val="BodyText"/>
        <w:ind w:left="1766" w:right="791"/>
      </w:pPr>
      <w:r>
        <w:rPr/>
        <w:t>`A`</w:t>
      </w:r>
      <w:r>
        <w:rPr>
          <w:spacing w:val="37"/>
        </w:rPr>
        <w:t> </w:t>
      </w:r>
      <w:r>
        <w:rPr/>
        <w:t>to</w:t>
      </w:r>
      <w:r>
        <w:rPr>
          <w:spacing w:val="40"/>
        </w:rPr>
        <w:t> </w:t>
      </w:r>
      <w:r>
        <w:rPr/>
        <w:t>the</w:t>
      </w:r>
      <w:r>
        <w:rPr>
          <w:spacing w:val="40"/>
        </w:rPr>
        <w:t> </w:t>
      </w:r>
      <w:r>
        <w:rPr/>
        <w:t>Greater</w:t>
      </w:r>
      <w:r>
        <w:rPr>
          <w:spacing w:val="40"/>
        </w:rPr>
        <w:t> </w:t>
      </w:r>
      <w:r>
        <w:rPr/>
        <w:t>Mumbai</w:t>
      </w:r>
      <w:r>
        <w:rPr>
          <w:spacing w:val="37"/>
        </w:rPr>
        <w:t> </w:t>
      </w:r>
      <w:r>
        <w:rPr/>
        <w:t>Laws</w:t>
      </w:r>
      <w:r>
        <w:rPr>
          <w:spacing w:val="37"/>
        </w:rPr>
        <w:t> </w:t>
      </w:r>
      <w:r>
        <w:rPr/>
        <w:t>and</w:t>
      </w:r>
      <w:r>
        <w:rPr>
          <w:spacing w:val="37"/>
        </w:rPr>
        <w:t> </w:t>
      </w:r>
      <w:r>
        <w:rPr/>
        <w:t>Mumbai</w:t>
      </w:r>
      <w:r>
        <w:rPr>
          <w:spacing w:val="37"/>
        </w:rPr>
        <w:t> </w:t>
      </w:r>
      <w:r>
        <w:rPr/>
        <w:t>High</w:t>
      </w:r>
      <w:r>
        <w:rPr>
          <w:spacing w:val="37"/>
        </w:rPr>
        <w:t> </w:t>
      </w:r>
      <w:r>
        <w:rPr/>
        <w:t>Court</w:t>
      </w:r>
      <w:r>
        <w:rPr>
          <w:spacing w:val="40"/>
        </w:rPr>
        <w:t> </w:t>
      </w:r>
      <w:r>
        <w:rPr/>
        <w:t>(Declaration of Limits) Act,1945.</w:t>
      </w:r>
    </w:p>
    <w:p>
      <w:pPr>
        <w:pStyle w:val="BodyText"/>
        <w:spacing w:before="1"/>
        <w:ind w:left="1766" w:right="785" w:hanging="3"/>
      </w:pPr>
      <w:r>
        <w:rPr/>
        <w:t>However,</w:t>
      </w:r>
      <w:r>
        <w:rPr>
          <w:spacing w:val="80"/>
        </w:rPr>
        <w:t> </w:t>
      </w:r>
      <w:r>
        <w:rPr/>
        <w:t>advertising</w:t>
      </w:r>
      <w:r>
        <w:rPr>
          <w:spacing w:val="80"/>
        </w:rPr>
        <w:t> </w:t>
      </w:r>
      <w:r>
        <w:rPr/>
        <w:t>sign</w:t>
      </w:r>
      <w:r>
        <w:rPr>
          <w:spacing w:val="80"/>
        </w:rPr>
        <w:t> </w:t>
      </w:r>
      <w:r>
        <w:rPr/>
        <w:t>shall</w:t>
      </w:r>
      <w:r>
        <w:rPr>
          <w:spacing w:val="80"/>
        </w:rPr>
        <w:t> </w:t>
      </w:r>
      <w:r>
        <w:rPr/>
        <w:t>not</w:t>
      </w:r>
      <w:r>
        <w:rPr>
          <w:spacing w:val="80"/>
        </w:rPr>
        <w:t> </w:t>
      </w:r>
      <w:r>
        <w:rPr/>
        <w:t>include</w:t>
      </w:r>
      <w:r>
        <w:rPr>
          <w:spacing w:val="80"/>
        </w:rPr>
        <w:t> </w:t>
      </w:r>
      <w:r>
        <w:rPr/>
        <w:t>hoarding</w:t>
      </w:r>
      <w:r>
        <w:rPr>
          <w:spacing w:val="80"/>
        </w:rPr>
        <w:t> </w:t>
      </w:r>
      <w:r>
        <w:rPr/>
        <w:t>displaying details</w:t>
      </w:r>
      <w:r>
        <w:rPr>
          <w:spacing w:val="40"/>
        </w:rPr>
        <w:t> </w:t>
      </w:r>
      <w:r>
        <w:rPr/>
        <w:t>of</w:t>
      </w:r>
      <w:r>
        <w:rPr>
          <w:spacing w:val="40"/>
        </w:rPr>
        <w:t> </w:t>
      </w:r>
      <w:r>
        <w:rPr/>
        <w:t>the</w:t>
      </w:r>
      <w:r>
        <w:rPr>
          <w:spacing w:val="40"/>
        </w:rPr>
        <w:t> </w:t>
      </w:r>
      <w:r>
        <w:rPr/>
        <w:t>project</w:t>
      </w:r>
      <w:r>
        <w:rPr>
          <w:spacing w:val="40"/>
        </w:rPr>
        <w:t> </w:t>
      </w:r>
      <w:r>
        <w:rPr/>
        <w:t>as</w:t>
      </w:r>
      <w:r>
        <w:rPr>
          <w:spacing w:val="40"/>
        </w:rPr>
        <w:t> </w:t>
      </w:r>
      <w:r>
        <w:rPr/>
        <w:t>per</w:t>
      </w:r>
      <w:r>
        <w:rPr>
          <w:spacing w:val="40"/>
        </w:rPr>
        <w:t> </w:t>
      </w:r>
      <w:r>
        <w:rPr/>
        <w:t>IOD/IOA</w:t>
      </w:r>
      <w:r>
        <w:rPr>
          <w:spacing w:val="40"/>
        </w:rPr>
        <w:t> </w:t>
      </w:r>
      <w:r>
        <w:rPr/>
        <w:t>condition,</w:t>
      </w:r>
      <w:r>
        <w:rPr>
          <w:spacing w:val="40"/>
        </w:rPr>
        <w:t> </w:t>
      </w:r>
      <w:r>
        <w:rPr/>
        <w:t>at</w:t>
      </w:r>
      <w:r>
        <w:rPr>
          <w:spacing w:val="40"/>
        </w:rPr>
        <w:t> </w:t>
      </w:r>
      <w:r>
        <w:rPr/>
        <w:t>the</w:t>
      </w:r>
      <w:r>
        <w:rPr>
          <w:spacing w:val="40"/>
        </w:rPr>
        <w:t> </w:t>
      </w:r>
      <w:r>
        <w:rPr/>
        <w:t>site</w:t>
      </w:r>
      <w:r>
        <w:rPr>
          <w:spacing w:val="40"/>
        </w:rPr>
        <w:t> </w:t>
      </w:r>
      <w:r>
        <w:rPr/>
        <w:t>of</w:t>
      </w:r>
      <w:r>
        <w:rPr>
          <w:spacing w:val="40"/>
        </w:rPr>
        <w:t> </w:t>
      </w:r>
      <w:r>
        <w:rPr/>
        <w:t>the </w:t>
      </w:r>
      <w:r>
        <w:rPr>
          <w:spacing w:val="-2"/>
        </w:rPr>
        <w:t>project.</w:t>
      </w:r>
    </w:p>
    <w:p>
      <w:pPr>
        <w:pStyle w:val="BodyText"/>
        <w:spacing w:after="0"/>
        <w:sectPr>
          <w:pgSz w:w="11910" w:h="16840"/>
          <w:pgMar w:header="1058" w:footer="1357" w:top="1500" w:bottom="1540" w:left="360" w:right="360"/>
        </w:sectPr>
      </w:pPr>
    </w:p>
    <w:p>
      <w:pPr>
        <w:pStyle w:val="BodyText"/>
        <w:jc w:val="left"/>
      </w:pPr>
    </w:p>
    <w:p>
      <w:pPr>
        <w:pStyle w:val="BodyText"/>
        <w:spacing w:before="255"/>
        <w:jc w:val="left"/>
      </w:pPr>
    </w:p>
    <w:p>
      <w:pPr>
        <w:pStyle w:val="ListParagraph"/>
        <w:numPr>
          <w:ilvl w:val="0"/>
          <w:numId w:val="6"/>
        </w:numPr>
        <w:tabs>
          <w:tab w:pos="1763" w:val="left" w:leader="none"/>
          <w:tab w:pos="1766" w:val="left" w:leader="none"/>
        </w:tabs>
        <w:spacing w:line="240" w:lineRule="auto" w:before="0" w:after="0"/>
        <w:ind w:left="1766" w:right="777" w:hanging="711"/>
        <w:jc w:val="both"/>
        <w:rPr>
          <w:sz w:val="24"/>
        </w:rPr>
      </w:pPr>
      <w:r>
        <w:rPr>
          <w:sz w:val="24"/>
        </w:rPr>
        <w:t>"Air-conditioning" means the process of treating air to control simultaneously</w:t>
      </w:r>
      <w:r>
        <w:rPr>
          <w:spacing w:val="80"/>
          <w:sz w:val="24"/>
        </w:rPr>
        <w:t> </w:t>
      </w:r>
      <w:r>
        <w:rPr>
          <w:sz w:val="24"/>
        </w:rPr>
        <w:t>its</w:t>
      </w:r>
      <w:r>
        <w:rPr>
          <w:spacing w:val="80"/>
          <w:sz w:val="24"/>
        </w:rPr>
        <w:t> </w:t>
      </w:r>
      <w:r>
        <w:rPr>
          <w:sz w:val="24"/>
        </w:rPr>
        <w:t>temperature,</w:t>
      </w:r>
      <w:r>
        <w:rPr>
          <w:spacing w:val="80"/>
          <w:sz w:val="24"/>
        </w:rPr>
        <w:t> </w:t>
      </w:r>
      <w:r>
        <w:rPr>
          <w:sz w:val="24"/>
        </w:rPr>
        <w:t>humidity,</w:t>
      </w:r>
      <w:r>
        <w:rPr>
          <w:spacing w:val="80"/>
          <w:sz w:val="24"/>
        </w:rPr>
        <w:t> </w:t>
      </w:r>
      <w:r>
        <w:rPr>
          <w:sz w:val="24"/>
        </w:rPr>
        <w:t>cleanliness</w:t>
      </w:r>
      <w:r>
        <w:rPr>
          <w:spacing w:val="80"/>
          <w:sz w:val="24"/>
        </w:rPr>
        <w:t> </w:t>
      </w:r>
      <w:r>
        <w:rPr>
          <w:sz w:val="24"/>
        </w:rPr>
        <w:t>and distribution</w:t>
      </w:r>
      <w:r>
        <w:rPr>
          <w:spacing w:val="80"/>
          <w:sz w:val="24"/>
        </w:rPr>
        <w:t> </w:t>
      </w:r>
      <w:r>
        <w:rPr>
          <w:sz w:val="24"/>
        </w:rPr>
        <w:t>to</w:t>
      </w:r>
      <w:r>
        <w:rPr>
          <w:spacing w:val="80"/>
          <w:sz w:val="24"/>
        </w:rPr>
        <w:t> </w:t>
      </w:r>
      <w:r>
        <w:rPr>
          <w:sz w:val="24"/>
        </w:rPr>
        <w:t>meet</w:t>
      </w:r>
      <w:r>
        <w:rPr>
          <w:spacing w:val="80"/>
          <w:sz w:val="24"/>
        </w:rPr>
        <w:t> </w:t>
      </w:r>
      <w:r>
        <w:rPr>
          <w:sz w:val="24"/>
        </w:rPr>
        <w:t>the</w:t>
      </w:r>
      <w:r>
        <w:rPr>
          <w:spacing w:val="80"/>
          <w:sz w:val="24"/>
        </w:rPr>
        <w:t> </w:t>
      </w:r>
      <w:r>
        <w:rPr>
          <w:sz w:val="24"/>
        </w:rPr>
        <w:t>requirement</w:t>
      </w:r>
      <w:r>
        <w:rPr>
          <w:spacing w:val="80"/>
          <w:sz w:val="24"/>
        </w:rPr>
        <w:t> </w:t>
      </w:r>
      <w:r>
        <w:rPr>
          <w:sz w:val="24"/>
        </w:rPr>
        <w:t>of</w:t>
      </w:r>
      <w:r>
        <w:rPr>
          <w:spacing w:val="80"/>
          <w:sz w:val="24"/>
        </w:rPr>
        <w:t> </w:t>
      </w:r>
      <w:r>
        <w:rPr>
          <w:sz w:val="24"/>
        </w:rPr>
        <w:t>an</w:t>
      </w:r>
      <w:r>
        <w:rPr>
          <w:spacing w:val="80"/>
          <w:sz w:val="24"/>
        </w:rPr>
        <w:t> </w:t>
      </w:r>
      <w:r>
        <w:rPr>
          <w:sz w:val="24"/>
        </w:rPr>
        <w:t>enclosed</w:t>
      </w:r>
      <w:r>
        <w:rPr>
          <w:spacing w:val="80"/>
          <w:sz w:val="24"/>
        </w:rPr>
        <w:t> </w:t>
      </w:r>
      <w:r>
        <w:rPr>
          <w:sz w:val="24"/>
        </w:rPr>
        <w:t>space.</w:t>
      </w:r>
    </w:p>
    <w:p>
      <w:pPr>
        <w:pStyle w:val="BodyText"/>
        <w:spacing w:before="1"/>
        <w:jc w:val="left"/>
      </w:pPr>
    </w:p>
    <w:p>
      <w:pPr>
        <w:pStyle w:val="ListParagraph"/>
        <w:numPr>
          <w:ilvl w:val="0"/>
          <w:numId w:val="6"/>
        </w:numPr>
        <w:tabs>
          <w:tab w:pos="1461" w:val="left" w:leader="none"/>
          <w:tab w:pos="1766" w:val="left" w:leader="none"/>
        </w:tabs>
        <w:spacing w:line="240" w:lineRule="auto" w:before="0" w:after="0"/>
        <w:ind w:left="1766" w:right="785" w:hanging="711"/>
        <w:jc w:val="both"/>
        <w:rPr>
          <w:sz w:val="24"/>
        </w:rPr>
      </w:pPr>
      <w:r>
        <w:rPr>
          <w:sz w:val="24"/>
        </w:rPr>
        <w:t>“Alcove” means a cooking place with direct access from the main room without</w:t>
      </w:r>
      <w:r>
        <w:rPr>
          <w:spacing w:val="40"/>
          <w:sz w:val="24"/>
        </w:rPr>
        <w:t> </w:t>
      </w:r>
      <w:r>
        <w:rPr>
          <w:sz w:val="24"/>
        </w:rPr>
        <w:t>a</w:t>
      </w:r>
      <w:r>
        <w:rPr>
          <w:spacing w:val="40"/>
          <w:sz w:val="24"/>
        </w:rPr>
        <w:t> </w:t>
      </w:r>
      <w:r>
        <w:rPr>
          <w:sz w:val="24"/>
        </w:rPr>
        <w:t>communicating</w:t>
      </w:r>
      <w:r>
        <w:rPr>
          <w:spacing w:val="40"/>
          <w:sz w:val="24"/>
        </w:rPr>
        <w:t> </w:t>
      </w:r>
      <w:r>
        <w:rPr>
          <w:sz w:val="24"/>
        </w:rPr>
        <w:t>door.</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84" w:hanging="711"/>
        <w:jc w:val="both"/>
        <w:rPr>
          <w:sz w:val="24"/>
        </w:rPr>
      </w:pPr>
      <w:r>
        <w:rPr>
          <w:sz w:val="24"/>
        </w:rPr>
        <w:t>“Amenity</w:t>
      </w:r>
      <w:r>
        <w:rPr>
          <w:spacing w:val="80"/>
          <w:sz w:val="24"/>
        </w:rPr>
        <w:t> </w:t>
      </w:r>
      <w:r>
        <w:rPr>
          <w:sz w:val="24"/>
        </w:rPr>
        <w:t>Space”</w:t>
      </w:r>
      <w:r>
        <w:rPr>
          <w:spacing w:val="80"/>
          <w:sz w:val="24"/>
        </w:rPr>
        <w:t> </w:t>
      </w:r>
      <w:r>
        <w:rPr>
          <w:sz w:val="24"/>
        </w:rPr>
        <w:t>means</w:t>
      </w:r>
      <w:r>
        <w:rPr>
          <w:spacing w:val="80"/>
          <w:sz w:val="24"/>
        </w:rPr>
        <w:t> </w:t>
      </w:r>
      <w:r>
        <w:rPr>
          <w:sz w:val="24"/>
        </w:rPr>
        <w:t>a</w:t>
      </w:r>
      <w:r>
        <w:rPr>
          <w:spacing w:val="80"/>
          <w:sz w:val="24"/>
        </w:rPr>
        <w:t> </w:t>
      </w:r>
      <w:r>
        <w:rPr>
          <w:sz w:val="24"/>
        </w:rPr>
        <w:t>statutory</w:t>
      </w:r>
      <w:r>
        <w:rPr>
          <w:spacing w:val="80"/>
          <w:sz w:val="24"/>
        </w:rPr>
        <w:t> </w:t>
      </w:r>
      <w:r>
        <w:rPr>
          <w:sz w:val="24"/>
        </w:rPr>
        <w:t>space</w:t>
      </w:r>
      <w:r>
        <w:rPr>
          <w:spacing w:val="80"/>
          <w:sz w:val="24"/>
        </w:rPr>
        <w:t> </w:t>
      </w:r>
      <w:r>
        <w:rPr>
          <w:sz w:val="24"/>
        </w:rPr>
        <w:t>provided</w:t>
      </w:r>
      <w:r>
        <w:rPr>
          <w:spacing w:val="80"/>
          <w:sz w:val="24"/>
        </w:rPr>
        <w:t> </w:t>
      </w:r>
      <w:r>
        <w:rPr>
          <w:sz w:val="24"/>
        </w:rPr>
        <w:t>in</w:t>
      </w:r>
      <w:r>
        <w:rPr>
          <w:spacing w:val="80"/>
          <w:sz w:val="24"/>
        </w:rPr>
        <w:t> </w:t>
      </w:r>
      <w:r>
        <w:rPr>
          <w:sz w:val="24"/>
        </w:rPr>
        <w:t>any layout/plot</w:t>
      </w:r>
      <w:r>
        <w:rPr>
          <w:spacing w:val="40"/>
          <w:sz w:val="24"/>
        </w:rPr>
        <w:t> </w:t>
      </w:r>
      <w:r>
        <w:rPr>
          <w:sz w:val="24"/>
        </w:rPr>
        <w:t>to be used for any of</w:t>
      </w:r>
      <w:r>
        <w:rPr>
          <w:spacing w:val="40"/>
          <w:sz w:val="24"/>
        </w:rPr>
        <w:t> </w:t>
      </w:r>
      <w:r>
        <w:rPr>
          <w:sz w:val="24"/>
        </w:rPr>
        <w:t>the</w:t>
      </w:r>
      <w:r>
        <w:rPr>
          <w:spacing w:val="40"/>
          <w:sz w:val="24"/>
        </w:rPr>
        <w:t> </w:t>
      </w:r>
      <w:r>
        <w:rPr>
          <w:sz w:val="24"/>
        </w:rPr>
        <w:t>amenities/utilities</w:t>
      </w:r>
      <w:r>
        <w:rPr>
          <w:spacing w:val="40"/>
          <w:sz w:val="24"/>
        </w:rPr>
        <w:t> </w:t>
      </w:r>
      <w:r>
        <w:rPr>
          <w:sz w:val="24"/>
        </w:rPr>
        <w:t>specified in these regulations.</w:t>
      </w:r>
    </w:p>
    <w:p>
      <w:pPr>
        <w:pStyle w:val="BodyText"/>
        <w:spacing w:before="281"/>
        <w:ind w:left="1766" w:right="771" w:firstLine="91"/>
      </w:pPr>
      <w:r>
        <w:rPr>
          <w:sz w:val="22"/>
        </w:rPr>
        <w:t>“</w:t>
      </w:r>
      <w:r>
        <w:rPr/>
        <w:t>Affordable Housing” means social housing in the nature of housing meant for economically weaker section, lower income group having</w:t>
      </w:r>
      <w:r>
        <w:rPr>
          <w:spacing w:val="40"/>
        </w:rPr>
        <w:t> </w:t>
      </w:r>
      <w:r>
        <w:rPr/>
        <w:t>carpet area of 27.88 sq. mt. (300 sq. ft) or of such area as may be</w:t>
      </w:r>
      <w:r>
        <w:rPr>
          <w:spacing w:val="80"/>
        </w:rPr>
        <w:t> </w:t>
      </w:r>
      <w:r>
        <w:rPr/>
        <w:t>decided</w:t>
      </w:r>
      <w:r>
        <w:rPr>
          <w:spacing w:val="40"/>
        </w:rPr>
        <w:t> </w:t>
      </w:r>
      <w:r>
        <w:rPr/>
        <w:t>by</w:t>
      </w:r>
      <w:r>
        <w:rPr>
          <w:spacing w:val="40"/>
        </w:rPr>
        <w:t> </w:t>
      </w:r>
      <w:r>
        <w:rPr/>
        <w:t>Govt.</w:t>
      </w:r>
      <w:r>
        <w:rPr>
          <w:spacing w:val="40"/>
        </w:rPr>
        <w:t> </w:t>
      </w:r>
      <w:r>
        <w:rPr/>
        <w:t>from</w:t>
      </w:r>
      <w:r>
        <w:rPr>
          <w:spacing w:val="40"/>
        </w:rPr>
        <w:t> </w:t>
      </w:r>
      <w:r>
        <w:rPr/>
        <w:t>time</w:t>
      </w:r>
      <w:r>
        <w:rPr>
          <w:spacing w:val="40"/>
        </w:rPr>
        <w:t> </w:t>
      </w:r>
      <w:r>
        <w:rPr/>
        <w:t>to</w:t>
      </w:r>
      <w:r>
        <w:rPr>
          <w:spacing w:val="40"/>
        </w:rPr>
        <w:t> </w:t>
      </w:r>
      <w:r>
        <w:rPr/>
        <w:t>time.</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79" w:hanging="711"/>
        <w:jc w:val="both"/>
        <w:rPr>
          <w:sz w:val="24"/>
        </w:rPr>
      </w:pPr>
      <w:r>
        <w:rPr>
          <w:sz w:val="24"/>
        </w:rPr>
        <w:t>"Architect" means a person registered as an architect under the provisions</w:t>
      </w:r>
      <w:r>
        <w:rPr>
          <w:spacing w:val="40"/>
          <w:sz w:val="24"/>
        </w:rPr>
        <w:t> </w:t>
      </w:r>
      <w:r>
        <w:rPr>
          <w:sz w:val="24"/>
        </w:rPr>
        <w:t>of</w:t>
      </w:r>
      <w:r>
        <w:rPr>
          <w:spacing w:val="40"/>
          <w:sz w:val="24"/>
        </w:rPr>
        <w:t> </w:t>
      </w:r>
      <w:r>
        <w:rPr>
          <w:sz w:val="24"/>
        </w:rPr>
        <w:t>the</w:t>
      </w:r>
      <w:r>
        <w:rPr>
          <w:spacing w:val="40"/>
          <w:sz w:val="24"/>
        </w:rPr>
        <w:t> </w:t>
      </w:r>
      <w:r>
        <w:rPr>
          <w:sz w:val="24"/>
        </w:rPr>
        <w:t>Architects</w:t>
      </w:r>
      <w:r>
        <w:rPr>
          <w:spacing w:val="40"/>
          <w:sz w:val="24"/>
        </w:rPr>
        <w:t> </w:t>
      </w:r>
      <w:r>
        <w:rPr>
          <w:sz w:val="24"/>
        </w:rPr>
        <w:t>Act,</w:t>
      </w:r>
      <w:r>
        <w:rPr>
          <w:spacing w:val="40"/>
          <w:sz w:val="24"/>
        </w:rPr>
        <w:t> </w:t>
      </w:r>
      <w:r>
        <w:rPr>
          <w:sz w:val="24"/>
        </w:rPr>
        <w:t>1972.</w:t>
      </w:r>
    </w:p>
    <w:p>
      <w:pPr>
        <w:pStyle w:val="BodyText"/>
        <w:spacing w:before="2"/>
        <w:jc w:val="left"/>
      </w:pPr>
    </w:p>
    <w:p>
      <w:pPr>
        <w:pStyle w:val="ListParagraph"/>
        <w:numPr>
          <w:ilvl w:val="0"/>
          <w:numId w:val="6"/>
        </w:numPr>
        <w:tabs>
          <w:tab w:pos="1658" w:val="left" w:leader="none"/>
          <w:tab w:pos="1853" w:val="left" w:leader="none"/>
        </w:tabs>
        <w:spacing w:line="240" w:lineRule="auto" w:before="0" w:after="0"/>
        <w:ind w:left="1853" w:right="788" w:hanging="809"/>
        <w:jc w:val="both"/>
        <w:rPr>
          <w:sz w:val="24"/>
        </w:rPr>
      </w:pPr>
      <w:r>
        <w:rPr>
          <w:sz w:val="24"/>
        </w:rPr>
        <w:t>“Atrium” means the area comprised of entrance lobby or common entrance</w:t>
      </w:r>
      <w:r>
        <w:rPr>
          <w:spacing w:val="40"/>
          <w:sz w:val="24"/>
        </w:rPr>
        <w:t> </w:t>
      </w:r>
      <w:r>
        <w:rPr>
          <w:sz w:val="24"/>
        </w:rPr>
        <w:t>hall</w:t>
      </w:r>
      <w:r>
        <w:rPr>
          <w:spacing w:val="40"/>
          <w:sz w:val="24"/>
        </w:rPr>
        <w:t> </w:t>
      </w:r>
      <w:r>
        <w:rPr>
          <w:sz w:val="24"/>
        </w:rPr>
        <w:t>of</w:t>
      </w:r>
      <w:r>
        <w:rPr>
          <w:spacing w:val="40"/>
          <w:sz w:val="24"/>
        </w:rPr>
        <w:t> </w:t>
      </w:r>
      <w:r>
        <w:rPr>
          <w:sz w:val="24"/>
        </w:rPr>
        <w:t>the</w:t>
      </w:r>
      <w:r>
        <w:rPr>
          <w:spacing w:val="40"/>
          <w:sz w:val="24"/>
        </w:rPr>
        <w:t> </w:t>
      </w:r>
      <w:r>
        <w:rPr>
          <w:sz w:val="24"/>
        </w:rPr>
        <w:t>building</w:t>
      </w:r>
      <w:r>
        <w:rPr>
          <w:spacing w:val="40"/>
          <w:sz w:val="24"/>
        </w:rPr>
        <w:t> </w:t>
      </w:r>
      <w:r>
        <w:rPr>
          <w:sz w:val="24"/>
        </w:rPr>
        <w:t>or</w:t>
      </w:r>
      <w:r>
        <w:rPr>
          <w:spacing w:val="80"/>
          <w:sz w:val="24"/>
        </w:rPr>
        <w:t> </w:t>
      </w:r>
      <w:r>
        <w:rPr>
          <w:sz w:val="24"/>
        </w:rPr>
        <w:t>common</w:t>
      </w:r>
      <w:r>
        <w:rPr>
          <w:spacing w:val="40"/>
          <w:sz w:val="24"/>
        </w:rPr>
        <w:t> </w:t>
      </w:r>
      <w:r>
        <w:rPr>
          <w:sz w:val="24"/>
        </w:rPr>
        <w:t>entrance</w:t>
      </w:r>
      <w:r>
        <w:rPr>
          <w:spacing w:val="40"/>
          <w:sz w:val="24"/>
        </w:rPr>
        <w:t> </w:t>
      </w:r>
      <w:r>
        <w:rPr>
          <w:sz w:val="24"/>
        </w:rPr>
        <w:t>hall</w:t>
      </w:r>
      <w:r>
        <w:rPr>
          <w:spacing w:val="40"/>
          <w:sz w:val="24"/>
        </w:rPr>
        <w:t> </w:t>
      </w:r>
      <w:r>
        <w:rPr>
          <w:sz w:val="24"/>
        </w:rPr>
        <w:t>of</w:t>
      </w:r>
      <w:r>
        <w:rPr>
          <w:spacing w:val="40"/>
          <w:sz w:val="24"/>
        </w:rPr>
        <w:t> </w:t>
      </w:r>
      <w:r>
        <w:rPr>
          <w:sz w:val="24"/>
        </w:rPr>
        <w:t>the</w:t>
      </w:r>
      <w:r>
        <w:rPr>
          <w:spacing w:val="40"/>
          <w:sz w:val="24"/>
        </w:rPr>
        <w:t> </w:t>
      </w:r>
      <w:r>
        <w:rPr>
          <w:sz w:val="24"/>
        </w:rPr>
        <w:t>building or common area at any single floor level which serves as a Common</w:t>
      </w:r>
      <w:r>
        <w:rPr>
          <w:spacing w:val="40"/>
          <w:sz w:val="24"/>
        </w:rPr>
        <w:t> </w:t>
      </w:r>
      <w:r>
        <w:rPr>
          <w:sz w:val="24"/>
        </w:rPr>
        <w:t>Open</w:t>
      </w:r>
      <w:r>
        <w:rPr>
          <w:spacing w:val="40"/>
          <w:sz w:val="24"/>
        </w:rPr>
        <w:t> </w:t>
      </w:r>
      <w:r>
        <w:rPr>
          <w:sz w:val="24"/>
        </w:rPr>
        <w:t>Spaces</w:t>
      </w:r>
      <w:r>
        <w:rPr>
          <w:spacing w:val="40"/>
          <w:sz w:val="24"/>
        </w:rPr>
        <w:t> </w:t>
      </w:r>
      <w:r>
        <w:rPr>
          <w:sz w:val="24"/>
        </w:rPr>
        <w:t>for</w:t>
      </w:r>
      <w:r>
        <w:rPr>
          <w:spacing w:val="40"/>
          <w:sz w:val="24"/>
        </w:rPr>
        <w:t> </w:t>
      </w:r>
      <w:r>
        <w:rPr>
          <w:sz w:val="24"/>
        </w:rPr>
        <w:t>more</w:t>
      </w:r>
      <w:r>
        <w:rPr>
          <w:spacing w:val="40"/>
          <w:sz w:val="24"/>
        </w:rPr>
        <w:t> </w:t>
      </w:r>
      <w:r>
        <w:rPr>
          <w:sz w:val="24"/>
        </w:rPr>
        <w:t>than</w:t>
      </w:r>
      <w:r>
        <w:rPr>
          <w:spacing w:val="40"/>
          <w:sz w:val="24"/>
        </w:rPr>
        <w:t> </w:t>
      </w:r>
      <w:r>
        <w:rPr>
          <w:sz w:val="24"/>
        </w:rPr>
        <w:t>one</w:t>
      </w:r>
      <w:r>
        <w:rPr>
          <w:spacing w:val="40"/>
          <w:sz w:val="24"/>
        </w:rPr>
        <w:t> </w:t>
      </w:r>
      <w:r>
        <w:rPr>
          <w:sz w:val="24"/>
        </w:rPr>
        <w:t>floor.</w:t>
      </w:r>
    </w:p>
    <w:p>
      <w:pPr>
        <w:pStyle w:val="ListParagraph"/>
        <w:numPr>
          <w:ilvl w:val="0"/>
          <w:numId w:val="6"/>
        </w:numPr>
        <w:tabs>
          <w:tab w:pos="1762" w:val="left" w:leader="none"/>
          <w:tab w:pos="1766" w:val="left" w:leader="none"/>
        </w:tabs>
        <w:spacing w:line="240" w:lineRule="auto" w:before="280" w:after="0"/>
        <w:ind w:left="1766" w:right="773" w:hanging="711"/>
        <w:jc w:val="both"/>
        <w:rPr>
          <w:sz w:val="24"/>
        </w:rPr>
      </w:pPr>
      <w:r>
        <w:rPr>
          <w:sz w:val="24"/>
        </w:rPr>
        <w:t>"Automatic</w:t>
      </w:r>
      <w:r>
        <w:rPr>
          <w:spacing w:val="80"/>
          <w:sz w:val="24"/>
        </w:rPr>
        <w:t> </w:t>
      </w:r>
      <w:r>
        <w:rPr>
          <w:sz w:val="24"/>
        </w:rPr>
        <w:t>sprinkler</w:t>
      </w:r>
      <w:r>
        <w:rPr>
          <w:spacing w:val="80"/>
          <w:sz w:val="24"/>
        </w:rPr>
        <w:t> </w:t>
      </w:r>
      <w:r>
        <w:rPr>
          <w:sz w:val="24"/>
        </w:rPr>
        <w:t>system"</w:t>
      </w:r>
      <w:r>
        <w:rPr>
          <w:spacing w:val="80"/>
          <w:sz w:val="24"/>
        </w:rPr>
        <w:t> </w:t>
      </w:r>
      <w:r>
        <w:rPr>
          <w:sz w:val="24"/>
        </w:rPr>
        <w:t>means</w:t>
      </w:r>
      <w:r>
        <w:rPr>
          <w:spacing w:val="80"/>
          <w:sz w:val="24"/>
        </w:rPr>
        <w:t> </w:t>
      </w:r>
      <w:r>
        <w:rPr>
          <w:sz w:val="24"/>
        </w:rPr>
        <w:t>an</w:t>
      </w:r>
      <w:r>
        <w:rPr>
          <w:spacing w:val="80"/>
          <w:sz w:val="24"/>
        </w:rPr>
        <w:t> </w:t>
      </w:r>
      <w:r>
        <w:rPr>
          <w:sz w:val="24"/>
        </w:rPr>
        <w:t>arrangement</w:t>
      </w:r>
      <w:r>
        <w:rPr>
          <w:spacing w:val="80"/>
          <w:sz w:val="24"/>
        </w:rPr>
        <w:t> </w:t>
      </w:r>
      <w:r>
        <w:rPr>
          <w:sz w:val="24"/>
        </w:rPr>
        <w:t>of</w:t>
      </w:r>
      <w:r>
        <w:rPr>
          <w:spacing w:val="80"/>
          <w:sz w:val="24"/>
        </w:rPr>
        <w:t> </w:t>
      </w:r>
      <w:r>
        <w:rPr>
          <w:sz w:val="24"/>
        </w:rPr>
        <w:t>pumps, pipes</w:t>
      </w:r>
      <w:r>
        <w:rPr>
          <w:spacing w:val="80"/>
          <w:sz w:val="24"/>
        </w:rPr>
        <w:t> </w:t>
      </w:r>
      <w:r>
        <w:rPr>
          <w:sz w:val="24"/>
        </w:rPr>
        <w:t>and</w:t>
      </w:r>
      <w:r>
        <w:rPr>
          <w:spacing w:val="80"/>
          <w:sz w:val="24"/>
        </w:rPr>
        <w:t> </w:t>
      </w:r>
      <w:r>
        <w:rPr>
          <w:sz w:val="24"/>
        </w:rPr>
        <w:t>sprinklers,</w:t>
      </w:r>
      <w:r>
        <w:rPr>
          <w:spacing w:val="80"/>
          <w:sz w:val="24"/>
        </w:rPr>
        <w:t> </w:t>
      </w:r>
      <w:r>
        <w:rPr>
          <w:sz w:val="24"/>
        </w:rPr>
        <w:t>set</w:t>
      </w:r>
      <w:r>
        <w:rPr>
          <w:spacing w:val="80"/>
          <w:sz w:val="24"/>
        </w:rPr>
        <w:t> </w:t>
      </w:r>
      <w:r>
        <w:rPr>
          <w:sz w:val="24"/>
        </w:rPr>
        <w:t>to</w:t>
      </w:r>
      <w:r>
        <w:rPr>
          <w:spacing w:val="80"/>
          <w:sz w:val="24"/>
        </w:rPr>
        <w:t> </w:t>
      </w:r>
      <w:r>
        <w:rPr>
          <w:sz w:val="24"/>
        </w:rPr>
        <w:t>activate</w:t>
      </w:r>
      <w:r>
        <w:rPr>
          <w:spacing w:val="80"/>
          <w:sz w:val="24"/>
        </w:rPr>
        <w:t> </w:t>
      </w:r>
      <w:r>
        <w:rPr>
          <w:sz w:val="24"/>
        </w:rPr>
        <w:t>automatically</w:t>
      </w:r>
      <w:r>
        <w:rPr>
          <w:spacing w:val="80"/>
          <w:sz w:val="24"/>
        </w:rPr>
        <w:t> </w:t>
      </w:r>
      <w:r>
        <w:rPr>
          <w:sz w:val="24"/>
        </w:rPr>
        <w:t>on</w:t>
      </w:r>
      <w:r>
        <w:rPr>
          <w:spacing w:val="80"/>
          <w:sz w:val="24"/>
        </w:rPr>
        <w:t> </w:t>
      </w:r>
      <w:r>
        <w:rPr>
          <w:sz w:val="24"/>
        </w:rPr>
        <w:t>detection</w:t>
      </w:r>
      <w:r>
        <w:rPr>
          <w:spacing w:val="80"/>
          <w:sz w:val="24"/>
        </w:rPr>
        <w:t> </w:t>
      </w:r>
      <w:r>
        <w:rPr>
          <w:sz w:val="24"/>
        </w:rPr>
        <w:t>of fire inside the building and spray water under force to douse </w:t>
      </w:r>
      <w:r>
        <w:rPr>
          <w:spacing w:val="10"/>
          <w:sz w:val="24"/>
        </w:rPr>
        <w:t>fire, </w:t>
      </w:r>
      <w:r>
        <w:rPr>
          <w:sz w:val="24"/>
        </w:rPr>
        <w:t>simultaneously</w:t>
      </w:r>
      <w:r>
        <w:rPr>
          <w:spacing w:val="80"/>
          <w:sz w:val="24"/>
        </w:rPr>
        <w:t> </w:t>
      </w:r>
      <w:r>
        <w:rPr>
          <w:sz w:val="24"/>
        </w:rPr>
        <w:t>setting</w:t>
      </w:r>
      <w:r>
        <w:rPr>
          <w:spacing w:val="40"/>
          <w:sz w:val="24"/>
        </w:rPr>
        <w:t> </w:t>
      </w:r>
      <w:r>
        <w:rPr>
          <w:sz w:val="24"/>
        </w:rPr>
        <w:t>an</w:t>
      </w:r>
      <w:r>
        <w:rPr>
          <w:spacing w:val="80"/>
          <w:sz w:val="24"/>
        </w:rPr>
        <w:t> </w:t>
      </w:r>
      <w:r>
        <w:rPr>
          <w:sz w:val="24"/>
        </w:rPr>
        <w:t>audible</w:t>
      </w:r>
      <w:r>
        <w:rPr>
          <w:spacing w:val="40"/>
          <w:sz w:val="24"/>
        </w:rPr>
        <w:t> </w:t>
      </w:r>
      <w:r>
        <w:rPr>
          <w:sz w:val="24"/>
        </w:rPr>
        <w:t>alarm.</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80" w:hanging="711"/>
        <w:jc w:val="both"/>
        <w:rPr>
          <w:sz w:val="24"/>
        </w:rPr>
      </w:pPr>
      <w:r>
        <w:rPr>
          <w:sz w:val="24"/>
        </w:rPr>
        <w:t>"Balcony"</w:t>
      </w:r>
      <w:r>
        <w:rPr>
          <w:spacing w:val="40"/>
          <w:sz w:val="24"/>
        </w:rPr>
        <w:t> </w:t>
      </w:r>
      <w:r>
        <w:rPr>
          <w:sz w:val="24"/>
        </w:rPr>
        <w:t>means</w:t>
      </w:r>
      <w:r>
        <w:rPr>
          <w:spacing w:val="40"/>
          <w:sz w:val="24"/>
        </w:rPr>
        <w:t> </w:t>
      </w:r>
      <w:r>
        <w:rPr>
          <w:sz w:val="24"/>
        </w:rPr>
        <w:t>a</w:t>
      </w:r>
      <w:r>
        <w:rPr>
          <w:spacing w:val="40"/>
          <w:sz w:val="24"/>
        </w:rPr>
        <w:t> </w:t>
      </w:r>
      <w:r>
        <w:rPr>
          <w:sz w:val="24"/>
        </w:rPr>
        <w:t>horizontal</w:t>
      </w:r>
      <w:r>
        <w:rPr>
          <w:spacing w:val="40"/>
          <w:sz w:val="24"/>
        </w:rPr>
        <w:t> </w:t>
      </w:r>
      <w:r>
        <w:rPr>
          <w:sz w:val="24"/>
        </w:rPr>
        <w:t>projection,</w:t>
      </w:r>
      <w:r>
        <w:rPr>
          <w:spacing w:val="40"/>
          <w:sz w:val="24"/>
        </w:rPr>
        <w:t> </w:t>
      </w:r>
      <w:r>
        <w:rPr>
          <w:sz w:val="24"/>
        </w:rPr>
        <w:t>including</w:t>
      </w:r>
      <w:r>
        <w:rPr>
          <w:spacing w:val="40"/>
          <w:sz w:val="24"/>
        </w:rPr>
        <w:t> </w:t>
      </w:r>
      <w:r>
        <w:rPr>
          <w:sz w:val="24"/>
        </w:rPr>
        <w:t>a</w:t>
      </w:r>
      <w:r>
        <w:rPr>
          <w:spacing w:val="40"/>
          <w:sz w:val="24"/>
        </w:rPr>
        <w:t> </w:t>
      </w:r>
      <w:r>
        <w:rPr>
          <w:sz w:val="24"/>
        </w:rPr>
        <w:t>parapet,</w:t>
      </w:r>
      <w:r>
        <w:rPr>
          <w:spacing w:val="40"/>
          <w:sz w:val="24"/>
        </w:rPr>
        <w:t> </w:t>
      </w:r>
      <w:r>
        <w:rPr>
          <w:spacing w:val="10"/>
          <w:sz w:val="24"/>
        </w:rPr>
        <w:t>hand- </w:t>
      </w:r>
      <w:r>
        <w:rPr>
          <w:sz w:val="24"/>
        </w:rPr>
        <w:t>rail</w:t>
      </w:r>
      <w:r>
        <w:rPr>
          <w:spacing w:val="40"/>
          <w:sz w:val="24"/>
        </w:rPr>
        <w:t> </w:t>
      </w:r>
      <w:r>
        <w:rPr>
          <w:sz w:val="24"/>
        </w:rPr>
        <w:t>balustrade,</w:t>
      </w:r>
      <w:r>
        <w:rPr>
          <w:spacing w:val="40"/>
          <w:sz w:val="24"/>
        </w:rPr>
        <w:t> </w:t>
      </w:r>
      <w:r>
        <w:rPr>
          <w:sz w:val="24"/>
        </w:rPr>
        <w:t>to</w:t>
      </w:r>
      <w:r>
        <w:rPr>
          <w:spacing w:val="40"/>
          <w:sz w:val="24"/>
        </w:rPr>
        <w:t> </w:t>
      </w:r>
      <w:r>
        <w:rPr>
          <w:sz w:val="24"/>
        </w:rPr>
        <w:t>serve</w:t>
      </w:r>
      <w:r>
        <w:rPr>
          <w:spacing w:val="40"/>
          <w:sz w:val="24"/>
        </w:rPr>
        <w:t> </w:t>
      </w:r>
      <w:r>
        <w:rPr>
          <w:sz w:val="24"/>
        </w:rPr>
        <w:t>as</w:t>
      </w:r>
      <w:r>
        <w:rPr>
          <w:spacing w:val="40"/>
          <w:sz w:val="24"/>
        </w:rPr>
        <w:t> </w:t>
      </w:r>
      <w:r>
        <w:rPr>
          <w:sz w:val="24"/>
        </w:rPr>
        <w:t>a</w:t>
      </w:r>
      <w:r>
        <w:rPr>
          <w:spacing w:val="40"/>
          <w:sz w:val="24"/>
        </w:rPr>
        <w:t> </w:t>
      </w:r>
      <w:r>
        <w:rPr>
          <w:sz w:val="24"/>
        </w:rPr>
        <w:t>passage</w:t>
      </w:r>
      <w:r>
        <w:rPr>
          <w:spacing w:val="40"/>
          <w:sz w:val="24"/>
        </w:rPr>
        <w:t> </w:t>
      </w:r>
      <w:r>
        <w:rPr>
          <w:sz w:val="24"/>
        </w:rPr>
        <w:t>or</w:t>
      </w:r>
      <w:r>
        <w:rPr>
          <w:spacing w:val="40"/>
          <w:sz w:val="24"/>
        </w:rPr>
        <w:t> </w:t>
      </w:r>
      <w:r>
        <w:rPr>
          <w:sz w:val="24"/>
        </w:rPr>
        <w:t>sitting</w:t>
      </w:r>
      <w:r>
        <w:rPr>
          <w:spacing w:val="40"/>
          <w:sz w:val="24"/>
        </w:rPr>
        <w:t> </w:t>
      </w:r>
      <w:r>
        <w:rPr>
          <w:sz w:val="24"/>
        </w:rPr>
        <w:t>out</w:t>
      </w:r>
      <w:r>
        <w:rPr>
          <w:spacing w:val="40"/>
          <w:sz w:val="24"/>
        </w:rPr>
        <w:t> </w:t>
      </w:r>
      <w:r>
        <w:rPr>
          <w:sz w:val="24"/>
        </w:rPr>
        <w:t>place.</w:t>
      </w:r>
    </w:p>
    <w:p>
      <w:pPr>
        <w:pStyle w:val="BodyText"/>
        <w:spacing w:before="2"/>
        <w:jc w:val="left"/>
      </w:pPr>
    </w:p>
    <w:p>
      <w:pPr>
        <w:pStyle w:val="ListParagraph"/>
        <w:numPr>
          <w:ilvl w:val="0"/>
          <w:numId w:val="6"/>
        </w:numPr>
        <w:tabs>
          <w:tab w:pos="1762" w:val="left" w:leader="none"/>
          <w:tab w:pos="1766" w:val="left" w:leader="none"/>
        </w:tabs>
        <w:spacing w:line="240" w:lineRule="auto" w:before="1" w:after="0"/>
        <w:ind w:left="1766" w:right="779" w:hanging="711"/>
        <w:jc w:val="both"/>
        <w:rPr>
          <w:sz w:val="24"/>
        </w:rPr>
      </w:pPr>
      <w:r>
        <w:rPr>
          <w:sz w:val="24"/>
        </w:rPr>
        <w:t>"Basement or cellar" means the lower</w:t>
      </w:r>
      <w:r>
        <w:rPr>
          <w:spacing w:val="40"/>
          <w:sz w:val="24"/>
        </w:rPr>
        <w:t> </w:t>
      </w:r>
      <w:r>
        <w:rPr>
          <w:sz w:val="24"/>
        </w:rPr>
        <w:t>storey of a building below, or</w:t>
      </w:r>
      <w:r>
        <w:rPr>
          <w:spacing w:val="40"/>
          <w:sz w:val="24"/>
        </w:rPr>
        <w:t> </w:t>
      </w:r>
      <w:r>
        <w:rPr>
          <w:sz w:val="24"/>
        </w:rPr>
        <w:t>partly</w:t>
      </w:r>
      <w:r>
        <w:rPr>
          <w:spacing w:val="40"/>
          <w:sz w:val="24"/>
        </w:rPr>
        <w:t> </w:t>
      </w:r>
      <w:r>
        <w:rPr>
          <w:sz w:val="24"/>
        </w:rPr>
        <w:t>below</w:t>
      </w:r>
      <w:r>
        <w:rPr>
          <w:spacing w:val="40"/>
          <w:sz w:val="24"/>
        </w:rPr>
        <w:t> </w:t>
      </w:r>
      <w:r>
        <w:rPr>
          <w:sz w:val="24"/>
        </w:rPr>
        <w:t>the</w:t>
      </w:r>
      <w:r>
        <w:rPr>
          <w:spacing w:val="40"/>
          <w:sz w:val="24"/>
        </w:rPr>
        <w:t> </w:t>
      </w:r>
      <w:r>
        <w:rPr>
          <w:sz w:val="24"/>
        </w:rPr>
        <w:t>ground</w:t>
      </w:r>
      <w:r>
        <w:rPr>
          <w:spacing w:val="9"/>
          <w:sz w:val="24"/>
        </w:rPr>
        <w:t> level.</w:t>
      </w:r>
    </w:p>
    <w:p>
      <w:pPr>
        <w:pStyle w:val="ListParagraph"/>
        <w:numPr>
          <w:ilvl w:val="0"/>
          <w:numId w:val="6"/>
        </w:numPr>
        <w:tabs>
          <w:tab w:pos="1762" w:val="left" w:leader="none"/>
          <w:tab w:pos="1766" w:val="left" w:leader="none"/>
        </w:tabs>
        <w:spacing w:line="240" w:lineRule="auto" w:before="281" w:after="0"/>
        <w:ind w:left="1766" w:right="789" w:hanging="711"/>
        <w:jc w:val="both"/>
        <w:rPr>
          <w:sz w:val="24"/>
        </w:rPr>
      </w:pPr>
      <w:r>
        <w:rPr>
          <w:sz w:val="24"/>
        </w:rPr>
        <w:t>“Biotechnology</w:t>
      </w:r>
      <w:r>
        <w:rPr>
          <w:spacing w:val="40"/>
          <w:sz w:val="24"/>
        </w:rPr>
        <w:t> </w:t>
      </w:r>
      <w:r>
        <w:rPr>
          <w:sz w:val="24"/>
        </w:rPr>
        <w:t>Unit”</w:t>
      </w:r>
      <w:r>
        <w:rPr>
          <w:spacing w:val="40"/>
          <w:sz w:val="24"/>
        </w:rPr>
        <w:t> </w:t>
      </w:r>
      <w:r>
        <w:rPr>
          <w:sz w:val="24"/>
        </w:rPr>
        <w:t>means</w:t>
      </w:r>
      <w:r>
        <w:rPr>
          <w:spacing w:val="40"/>
          <w:sz w:val="24"/>
        </w:rPr>
        <w:t> </w:t>
      </w:r>
      <w:r>
        <w:rPr>
          <w:sz w:val="24"/>
        </w:rPr>
        <w:t>and</w:t>
      </w:r>
      <w:r>
        <w:rPr>
          <w:spacing w:val="40"/>
          <w:sz w:val="24"/>
        </w:rPr>
        <w:t> </w:t>
      </w:r>
      <w:r>
        <w:rPr>
          <w:sz w:val="24"/>
        </w:rPr>
        <w:t>includes</w:t>
      </w:r>
      <w:r>
        <w:rPr>
          <w:spacing w:val="40"/>
          <w:sz w:val="24"/>
        </w:rPr>
        <w:t> </w:t>
      </w:r>
      <w:r>
        <w:rPr>
          <w:sz w:val="24"/>
        </w:rPr>
        <w:t>Biotechnology</w:t>
      </w:r>
      <w:r>
        <w:rPr>
          <w:spacing w:val="40"/>
          <w:sz w:val="24"/>
        </w:rPr>
        <w:t> </w:t>
      </w:r>
      <w:r>
        <w:rPr>
          <w:sz w:val="24"/>
        </w:rPr>
        <w:t>units</w:t>
      </w:r>
      <w:r>
        <w:rPr>
          <w:spacing w:val="40"/>
          <w:sz w:val="24"/>
        </w:rPr>
        <w:t> </w:t>
      </w:r>
      <w:r>
        <w:rPr>
          <w:sz w:val="24"/>
        </w:rPr>
        <w:t>which are</w:t>
      </w:r>
      <w:r>
        <w:rPr>
          <w:spacing w:val="40"/>
          <w:sz w:val="24"/>
        </w:rPr>
        <w:t> </w:t>
      </w:r>
      <w:r>
        <w:rPr>
          <w:sz w:val="24"/>
        </w:rPr>
        <w:t>certified</w:t>
      </w:r>
      <w:r>
        <w:rPr>
          <w:spacing w:val="40"/>
          <w:sz w:val="24"/>
        </w:rPr>
        <w:t> </w:t>
      </w:r>
      <w:r>
        <w:rPr>
          <w:sz w:val="24"/>
        </w:rPr>
        <w:t>by</w:t>
      </w:r>
      <w:r>
        <w:rPr>
          <w:spacing w:val="40"/>
          <w:sz w:val="24"/>
        </w:rPr>
        <w:t> </w:t>
      </w:r>
      <w:r>
        <w:rPr>
          <w:sz w:val="24"/>
        </w:rPr>
        <w:t>the</w:t>
      </w:r>
      <w:r>
        <w:rPr>
          <w:spacing w:val="40"/>
          <w:sz w:val="24"/>
        </w:rPr>
        <w:t> </w:t>
      </w:r>
      <w:r>
        <w:rPr>
          <w:sz w:val="24"/>
        </w:rPr>
        <w:t>Development</w:t>
      </w:r>
      <w:r>
        <w:rPr>
          <w:spacing w:val="40"/>
          <w:sz w:val="24"/>
        </w:rPr>
        <w:t> </w:t>
      </w:r>
      <w:r>
        <w:rPr>
          <w:sz w:val="24"/>
        </w:rPr>
        <w:t>Commissioner</w:t>
      </w:r>
      <w:r>
        <w:rPr>
          <w:spacing w:val="40"/>
          <w:sz w:val="24"/>
        </w:rPr>
        <w:t> </w:t>
      </w:r>
      <w:r>
        <w:rPr>
          <w:sz w:val="24"/>
        </w:rPr>
        <w:t>(Industries)</w:t>
      </w:r>
      <w:r>
        <w:rPr>
          <w:spacing w:val="40"/>
          <w:sz w:val="24"/>
        </w:rPr>
        <w:t> </w:t>
      </w:r>
      <w:r>
        <w:rPr>
          <w:sz w:val="24"/>
        </w:rPr>
        <w:t>or</w:t>
      </w:r>
      <w:r>
        <w:rPr>
          <w:spacing w:val="40"/>
          <w:sz w:val="24"/>
        </w:rPr>
        <w:t> </w:t>
      </w:r>
      <w:r>
        <w:rPr>
          <w:sz w:val="24"/>
        </w:rPr>
        <w:t>any other</w:t>
      </w:r>
      <w:r>
        <w:rPr>
          <w:spacing w:val="40"/>
          <w:sz w:val="24"/>
        </w:rPr>
        <w:t> </w:t>
      </w:r>
      <w:r>
        <w:rPr>
          <w:sz w:val="24"/>
        </w:rPr>
        <w:t>officer</w:t>
      </w:r>
      <w:r>
        <w:rPr>
          <w:spacing w:val="40"/>
          <w:sz w:val="24"/>
        </w:rPr>
        <w:t> </w:t>
      </w:r>
      <w:r>
        <w:rPr>
          <w:sz w:val="24"/>
        </w:rPr>
        <w:t>authorized</w:t>
      </w:r>
      <w:r>
        <w:rPr>
          <w:spacing w:val="40"/>
          <w:sz w:val="24"/>
        </w:rPr>
        <w:t> </w:t>
      </w:r>
      <w:r>
        <w:rPr>
          <w:sz w:val="24"/>
        </w:rPr>
        <w:t>by</w:t>
      </w:r>
      <w:r>
        <w:rPr>
          <w:spacing w:val="40"/>
          <w:sz w:val="24"/>
        </w:rPr>
        <w:t> </w:t>
      </w:r>
      <w:r>
        <w:rPr>
          <w:sz w:val="24"/>
        </w:rPr>
        <w:t>him</w:t>
      </w:r>
      <w:r>
        <w:rPr>
          <w:spacing w:val="40"/>
          <w:sz w:val="24"/>
        </w:rPr>
        <w:t> </w:t>
      </w:r>
      <w:r>
        <w:rPr>
          <w:sz w:val="24"/>
        </w:rPr>
        <w:t>on</w:t>
      </w:r>
      <w:r>
        <w:rPr>
          <w:spacing w:val="40"/>
          <w:sz w:val="24"/>
        </w:rPr>
        <w:t> </w:t>
      </w:r>
      <w:r>
        <w:rPr>
          <w:sz w:val="24"/>
        </w:rPr>
        <w:t>his</w:t>
      </w:r>
      <w:r>
        <w:rPr>
          <w:spacing w:val="40"/>
          <w:sz w:val="24"/>
        </w:rPr>
        <w:t> </w:t>
      </w:r>
      <w:r>
        <w:rPr>
          <w:sz w:val="24"/>
        </w:rPr>
        <w:t>behalf.</w:t>
      </w:r>
    </w:p>
    <w:p>
      <w:pPr>
        <w:pStyle w:val="ListParagraph"/>
        <w:numPr>
          <w:ilvl w:val="0"/>
          <w:numId w:val="6"/>
        </w:numPr>
        <w:tabs>
          <w:tab w:pos="1762" w:val="left" w:leader="none"/>
          <w:tab w:pos="1766" w:val="left" w:leader="none"/>
        </w:tabs>
        <w:spacing w:line="240" w:lineRule="auto" w:before="281" w:after="0"/>
        <w:ind w:left="1766" w:right="774" w:hanging="711"/>
        <w:jc w:val="both"/>
        <w:rPr>
          <w:sz w:val="24"/>
        </w:rPr>
      </w:pPr>
      <w:r>
        <w:rPr>
          <w:sz w:val="24"/>
        </w:rPr>
        <w:t>"Building” means a structure, constructed with any </w:t>
      </w:r>
      <w:r>
        <w:rPr>
          <w:spacing w:val="9"/>
          <w:sz w:val="24"/>
        </w:rPr>
        <w:t>materials </w:t>
      </w:r>
      <w:r>
        <w:rPr>
          <w:sz w:val="24"/>
        </w:rPr>
        <w:t>whatsoever</w:t>
      </w:r>
      <w:r>
        <w:rPr>
          <w:spacing w:val="40"/>
          <w:sz w:val="24"/>
        </w:rPr>
        <w:t> </w:t>
      </w:r>
      <w:r>
        <w:rPr>
          <w:sz w:val="24"/>
        </w:rPr>
        <w:t>for</w:t>
      </w:r>
      <w:r>
        <w:rPr>
          <w:spacing w:val="40"/>
          <w:sz w:val="24"/>
        </w:rPr>
        <w:t> </w:t>
      </w:r>
      <w:r>
        <w:rPr>
          <w:sz w:val="24"/>
        </w:rPr>
        <w:t>any</w:t>
      </w:r>
      <w:r>
        <w:rPr>
          <w:spacing w:val="40"/>
          <w:sz w:val="24"/>
        </w:rPr>
        <w:t> </w:t>
      </w:r>
      <w:r>
        <w:rPr>
          <w:sz w:val="24"/>
        </w:rPr>
        <w:t>purpose,</w:t>
      </w:r>
      <w:r>
        <w:rPr>
          <w:spacing w:val="40"/>
          <w:sz w:val="24"/>
        </w:rPr>
        <w:t> </w:t>
      </w:r>
      <w:r>
        <w:rPr>
          <w:sz w:val="24"/>
        </w:rPr>
        <w:t>whether</w:t>
      </w:r>
      <w:r>
        <w:rPr>
          <w:spacing w:val="40"/>
          <w:sz w:val="24"/>
        </w:rPr>
        <w:t> </w:t>
      </w:r>
      <w:r>
        <w:rPr>
          <w:sz w:val="24"/>
        </w:rPr>
        <w:t>used</w:t>
      </w:r>
      <w:r>
        <w:rPr>
          <w:spacing w:val="40"/>
          <w:sz w:val="24"/>
        </w:rPr>
        <w:t> </w:t>
      </w:r>
      <w:r>
        <w:rPr>
          <w:sz w:val="24"/>
        </w:rPr>
        <w:t>for</w:t>
      </w:r>
      <w:r>
        <w:rPr>
          <w:spacing w:val="40"/>
          <w:sz w:val="24"/>
        </w:rPr>
        <w:t> </w:t>
      </w:r>
      <w:r>
        <w:rPr>
          <w:sz w:val="24"/>
        </w:rPr>
        <w:t>human</w:t>
      </w:r>
      <w:r>
        <w:rPr>
          <w:spacing w:val="40"/>
          <w:sz w:val="24"/>
        </w:rPr>
        <w:t> </w:t>
      </w:r>
      <w:r>
        <w:rPr>
          <w:sz w:val="24"/>
        </w:rPr>
        <w:t>habitation</w:t>
      </w:r>
      <w:r>
        <w:rPr>
          <w:spacing w:val="40"/>
          <w:sz w:val="24"/>
        </w:rPr>
        <w:t> </w:t>
      </w:r>
      <w:r>
        <w:rPr>
          <w:sz w:val="24"/>
        </w:rPr>
        <w:t>or not, and includes-</w:t>
      </w:r>
    </w:p>
    <w:p>
      <w:pPr>
        <w:pStyle w:val="ListParagraph"/>
        <w:spacing w:after="0" w:line="240" w:lineRule="auto"/>
        <w:jc w:val="both"/>
        <w:rPr>
          <w:sz w:val="24"/>
        </w:rPr>
        <w:sectPr>
          <w:pgSz w:w="11910" w:h="16840"/>
          <w:pgMar w:header="1058" w:footer="1357" w:top="1500" w:bottom="1540" w:left="360" w:right="360"/>
        </w:sectPr>
      </w:pPr>
    </w:p>
    <w:p>
      <w:pPr>
        <w:pStyle w:val="ListParagraph"/>
        <w:numPr>
          <w:ilvl w:val="1"/>
          <w:numId w:val="6"/>
        </w:numPr>
        <w:tabs>
          <w:tab w:pos="1766" w:val="left" w:leader="none"/>
        </w:tabs>
        <w:spacing w:line="240" w:lineRule="auto" w:before="255" w:after="0"/>
        <w:ind w:left="1766" w:right="775" w:hanging="711"/>
        <w:jc w:val="left"/>
        <w:rPr>
          <w:sz w:val="24"/>
        </w:rPr>
      </w:pPr>
      <w:r>
        <w:rPr>
          <w:sz w:val="24"/>
        </w:rPr>
        <w:t>Foundation,</w:t>
      </w:r>
      <w:r>
        <w:rPr>
          <w:spacing w:val="80"/>
          <w:w w:val="150"/>
          <w:sz w:val="24"/>
        </w:rPr>
        <w:t> </w:t>
      </w:r>
      <w:r>
        <w:rPr>
          <w:sz w:val="24"/>
        </w:rPr>
        <w:t>plinth,</w:t>
      </w:r>
      <w:r>
        <w:rPr>
          <w:spacing w:val="80"/>
          <w:w w:val="150"/>
          <w:sz w:val="24"/>
        </w:rPr>
        <w:t> </w:t>
      </w:r>
      <w:r>
        <w:rPr>
          <w:sz w:val="24"/>
        </w:rPr>
        <w:t>walls,</w:t>
      </w:r>
      <w:r>
        <w:rPr>
          <w:spacing w:val="80"/>
          <w:w w:val="150"/>
          <w:sz w:val="24"/>
        </w:rPr>
        <w:t> </w:t>
      </w:r>
      <w:r>
        <w:rPr>
          <w:sz w:val="24"/>
        </w:rPr>
        <w:t>floors,</w:t>
      </w:r>
      <w:r>
        <w:rPr>
          <w:spacing w:val="80"/>
          <w:w w:val="150"/>
          <w:sz w:val="24"/>
        </w:rPr>
        <w:t> </w:t>
      </w:r>
      <w:r>
        <w:rPr>
          <w:sz w:val="24"/>
        </w:rPr>
        <w:t>roofs,</w:t>
      </w:r>
      <w:r>
        <w:rPr>
          <w:spacing w:val="80"/>
          <w:w w:val="150"/>
          <w:sz w:val="24"/>
        </w:rPr>
        <w:t> </w:t>
      </w:r>
      <w:r>
        <w:rPr>
          <w:sz w:val="24"/>
        </w:rPr>
        <w:t>chimneys,</w:t>
      </w:r>
      <w:r>
        <w:rPr>
          <w:spacing w:val="80"/>
          <w:w w:val="150"/>
          <w:sz w:val="24"/>
        </w:rPr>
        <w:t> </w:t>
      </w:r>
      <w:r>
        <w:rPr>
          <w:sz w:val="24"/>
        </w:rPr>
        <w:t>plumbing</w:t>
      </w:r>
      <w:r>
        <w:rPr>
          <w:spacing w:val="80"/>
          <w:w w:val="150"/>
          <w:sz w:val="24"/>
        </w:rPr>
        <w:t> </w:t>
      </w:r>
      <w:r>
        <w:rPr>
          <w:sz w:val="24"/>
        </w:rPr>
        <w:t>and building</w:t>
      </w:r>
      <w:r>
        <w:rPr>
          <w:spacing w:val="80"/>
          <w:sz w:val="24"/>
        </w:rPr>
        <w:t> </w:t>
      </w:r>
      <w:r>
        <w:rPr>
          <w:sz w:val="24"/>
        </w:rPr>
        <w:t>services,</w:t>
      </w:r>
      <w:r>
        <w:rPr>
          <w:spacing w:val="40"/>
          <w:sz w:val="24"/>
        </w:rPr>
        <w:t> </w:t>
      </w:r>
      <w:r>
        <w:rPr>
          <w:sz w:val="24"/>
        </w:rPr>
        <w:t>fixed</w:t>
      </w:r>
      <w:r>
        <w:rPr>
          <w:spacing w:val="40"/>
          <w:sz w:val="24"/>
        </w:rPr>
        <w:t> </w:t>
      </w:r>
      <w:r>
        <w:rPr>
          <w:sz w:val="24"/>
        </w:rPr>
        <w:t>platforms;</w:t>
      </w:r>
    </w:p>
    <w:p>
      <w:pPr>
        <w:pStyle w:val="ListParagraph"/>
        <w:numPr>
          <w:ilvl w:val="1"/>
          <w:numId w:val="6"/>
        </w:numPr>
        <w:tabs>
          <w:tab w:pos="1766" w:val="left" w:leader="none"/>
        </w:tabs>
        <w:spacing w:line="240" w:lineRule="auto" w:before="0" w:after="0"/>
        <w:ind w:left="1766" w:right="0" w:hanging="710"/>
        <w:jc w:val="left"/>
        <w:rPr>
          <w:sz w:val="24"/>
        </w:rPr>
      </w:pPr>
      <w:r>
        <w:rPr>
          <w:sz w:val="24"/>
        </w:rPr>
        <w:t>Verandahs,</w:t>
      </w:r>
      <w:r>
        <w:rPr>
          <w:spacing w:val="60"/>
          <w:w w:val="150"/>
          <w:sz w:val="24"/>
        </w:rPr>
        <w:t> </w:t>
      </w:r>
      <w:r>
        <w:rPr>
          <w:sz w:val="24"/>
        </w:rPr>
        <w:t>balconies,</w:t>
      </w:r>
      <w:r>
        <w:rPr>
          <w:spacing w:val="61"/>
          <w:w w:val="150"/>
          <w:sz w:val="24"/>
        </w:rPr>
        <w:t> </w:t>
      </w:r>
      <w:r>
        <w:rPr>
          <w:sz w:val="24"/>
        </w:rPr>
        <w:t>cornices,</w:t>
      </w:r>
      <w:r>
        <w:rPr>
          <w:spacing w:val="64"/>
          <w:w w:val="150"/>
          <w:sz w:val="24"/>
        </w:rPr>
        <w:t> </w:t>
      </w:r>
      <w:r>
        <w:rPr>
          <w:spacing w:val="7"/>
          <w:sz w:val="24"/>
        </w:rPr>
        <w:t>projections;</w:t>
      </w:r>
    </w:p>
    <w:p>
      <w:pPr>
        <w:pStyle w:val="ListParagraph"/>
        <w:numPr>
          <w:ilvl w:val="1"/>
          <w:numId w:val="6"/>
        </w:numPr>
        <w:tabs>
          <w:tab w:pos="1766" w:val="left" w:leader="none"/>
        </w:tabs>
        <w:spacing w:line="281" w:lineRule="exact" w:before="2" w:after="0"/>
        <w:ind w:left="1766" w:right="0" w:hanging="710"/>
        <w:jc w:val="left"/>
        <w:rPr>
          <w:sz w:val="24"/>
        </w:rPr>
      </w:pPr>
      <w:r>
        <w:rPr>
          <w:sz w:val="24"/>
        </w:rPr>
        <w:t>part</w:t>
      </w:r>
      <w:r>
        <w:rPr>
          <w:spacing w:val="50"/>
          <w:sz w:val="24"/>
        </w:rPr>
        <w:t> </w:t>
      </w:r>
      <w:r>
        <w:rPr>
          <w:sz w:val="24"/>
        </w:rPr>
        <w:t>of</w:t>
      </w:r>
      <w:r>
        <w:rPr>
          <w:spacing w:val="52"/>
          <w:sz w:val="24"/>
        </w:rPr>
        <w:t> </w:t>
      </w:r>
      <w:r>
        <w:rPr>
          <w:sz w:val="24"/>
        </w:rPr>
        <w:t>a</w:t>
      </w:r>
      <w:r>
        <w:rPr>
          <w:spacing w:val="55"/>
          <w:sz w:val="24"/>
        </w:rPr>
        <w:t> </w:t>
      </w:r>
      <w:r>
        <w:rPr>
          <w:sz w:val="24"/>
        </w:rPr>
        <w:t>building</w:t>
      </w:r>
      <w:r>
        <w:rPr>
          <w:spacing w:val="52"/>
          <w:sz w:val="24"/>
        </w:rPr>
        <w:t> </w:t>
      </w:r>
      <w:r>
        <w:rPr>
          <w:sz w:val="24"/>
        </w:rPr>
        <w:t>or</w:t>
      </w:r>
      <w:r>
        <w:rPr>
          <w:spacing w:val="52"/>
          <w:sz w:val="24"/>
        </w:rPr>
        <w:t> </w:t>
      </w:r>
      <w:r>
        <w:rPr>
          <w:sz w:val="24"/>
        </w:rPr>
        <w:t>anything</w:t>
      </w:r>
      <w:r>
        <w:rPr>
          <w:spacing w:val="52"/>
          <w:sz w:val="24"/>
        </w:rPr>
        <w:t> </w:t>
      </w:r>
      <w:r>
        <w:rPr>
          <w:sz w:val="24"/>
        </w:rPr>
        <w:t>affixed</w:t>
      </w:r>
      <w:r>
        <w:rPr>
          <w:spacing w:val="53"/>
          <w:sz w:val="24"/>
        </w:rPr>
        <w:t> </w:t>
      </w:r>
      <w:r>
        <w:rPr>
          <w:spacing w:val="7"/>
          <w:sz w:val="24"/>
        </w:rPr>
        <w:t>thereto;</w:t>
      </w:r>
    </w:p>
    <w:p>
      <w:pPr>
        <w:pStyle w:val="ListParagraph"/>
        <w:numPr>
          <w:ilvl w:val="1"/>
          <w:numId w:val="6"/>
        </w:numPr>
        <w:tabs>
          <w:tab w:pos="1762" w:val="left" w:leader="none"/>
          <w:tab w:pos="1766" w:val="left" w:leader="none"/>
        </w:tabs>
        <w:spacing w:line="240" w:lineRule="auto" w:before="0" w:after="0"/>
        <w:ind w:left="1766" w:right="800" w:hanging="711"/>
        <w:jc w:val="both"/>
        <w:rPr>
          <w:sz w:val="24"/>
        </w:rPr>
      </w:pPr>
      <w:r>
        <w:rPr>
          <w:sz w:val="24"/>
        </w:rPr>
        <w:t>any</w:t>
      </w:r>
      <w:r>
        <w:rPr>
          <w:spacing w:val="40"/>
          <w:sz w:val="24"/>
        </w:rPr>
        <w:t> </w:t>
      </w:r>
      <w:r>
        <w:rPr>
          <w:sz w:val="24"/>
        </w:rPr>
        <w:t>wall</w:t>
      </w:r>
      <w:r>
        <w:rPr>
          <w:spacing w:val="40"/>
          <w:sz w:val="24"/>
        </w:rPr>
        <w:t> </w:t>
      </w:r>
      <w:r>
        <w:rPr>
          <w:sz w:val="24"/>
        </w:rPr>
        <w:t>enclosing</w:t>
      </w:r>
      <w:r>
        <w:rPr>
          <w:spacing w:val="40"/>
          <w:sz w:val="24"/>
        </w:rPr>
        <w:t> </w:t>
      </w:r>
      <w:r>
        <w:rPr>
          <w:sz w:val="24"/>
        </w:rPr>
        <w:t>or</w:t>
      </w:r>
      <w:r>
        <w:rPr>
          <w:spacing w:val="40"/>
          <w:sz w:val="24"/>
        </w:rPr>
        <w:t> </w:t>
      </w:r>
      <w:r>
        <w:rPr>
          <w:sz w:val="24"/>
        </w:rPr>
        <w:t>intended</w:t>
      </w:r>
      <w:r>
        <w:rPr>
          <w:spacing w:val="40"/>
          <w:sz w:val="24"/>
        </w:rPr>
        <w:t> </w:t>
      </w:r>
      <w:r>
        <w:rPr>
          <w:sz w:val="24"/>
        </w:rPr>
        <w:t>to</w:t>
      </w:r>
      <w:r>
        <w:rPr>
          <w:spacing w:val="40"/>
          <w:sz w:val="24"/>
        </w:rPr>
        <w:t> </w:t>
      </w:r>
      <w:r>
        <w:rPr>
          <w:sz w:val="24"/>
        </w:rPr>
        <w:t>enclose</w:t>
      </w:r>
      <w:r>
        <w:rPr>
          <w:spacing w:val="40"/>
          <w:sz w:val="24"/>
        </w:rPr>
        <w:t> </w:t>
      </w:r>
      <w:r>
        <w:rPr>
          <w:sz w:val="24"/>
        </w:rPr>
        <w:t>any</w:t>
      </w:r>
      <w:r>
        <w:rPr>
          <w:spacing w:val="40"/>
          <w:sz w:val="24"/>
        </w:rPr>
        <w:t> </w:t>
      </w:r>
      <w:r>
        <w:rPr>
          <w:sz w:val="24"/>
        </w:rPr>
        <w:t>land</w:t>
      </w:r>
      <w:r>
        <w:rPr>
          <w:spacing w:val="40"/>
          <w:sz w:val="24"/>
        </w:rPr>
        <w:t> </w:t>
      </w:r>
      <w:r>
        <w:rPr>
          <w:sz w:val="24"/>
        </w:rPr>
        <w:t>or</w:t>
      </w:r>
      <w:r>
        <w:rPr>
          <w:spacing w:val="40"/>
          <w:sz w:val="24"/>
        </w:rPr>
        <w:t> </w:t>
      </w:r>
      <w:r>
        <w:rPr>
          <w:sz w:val="24"/>
        </w:rPr>
        <w:t>space,</w:t>
      </w:r>
      <w:r>
        <w:rPr>
          <w:spacing w:val="40"/>
          <w:sz w:val="24"/>
        </w:rPr>
        <w:t> </w:t>
      </w:r>
      <w:r>
        <w:rPr>
          <w:sz w:val="24"/>
        </w:rPr>
        <w:t>signs and outdoor display </w:t>
      </w:r>
      <w:r>
        <w:rPr>
          <w:spacing w:val="9"/>
          <w:sz w:val="24"/>
        </w:rPr>
        <w:t>structures;</w:t>
      </w:r>
    </w:p>
    <w:p>
      <w:pPr>
        <w:pStyle w:val="ListParagraph"/>
        <w:numPr>
          <w:ilvl w:val="1"/>
          <w:numId w:val="6"/>
        </w:numPr>
        <w:tabs>
          <w:tab w:pos="1763" w:val="left" w:leader="none"/>
          <w:tab w:pos="1766" w:val="left" w:leader="none"/>
        </w:tabs>
        <w:spacing w:line="240" w:lineRule="auto" w:before="0" w:after="0"/>
        <w:ind w:left="1766" w:right="797" w:hanging="711"/>
        <w:jc w:val="both"/>
        <w:rPr>
          <w:sz w:val="24"/>
        </w:rPr>
      </w:pPr>
      <w:r>
        <w:rPr>
          <w:sz w:val="24"/>
        </w:rPr>
        <w:t>tanks</w:t>
      </w:r>
      <w:r>
        <w:rPr>
          <w:spacing w:val="40"/>
          <w:sz w:val="24"/>
        </w:rPr>
        <w:t> </w:t>
      </w:r>
      <w:r>
        <w:rPr>
          <w:sz w:val="24"/>
        </w:rPr>
        <w:t>constructed</w:t>
      </w:r>
      <w:r>
        <w:rPr>
          <w:spacing w:val="40"/>
          <w:sz w:val="24"/>
        </w:rPr>
        <w:t> </w:t>
      </w:r>
      <w:r>
        <w:rPr>
          <w:sz w:val="24"/>
        </w:rPr>
        <w:t>for</w:t>
      </w:r>
      <w:r>
        <w:rPr>
          <w:spacing w:val="40"/>
          <w:sz w:val="24"/>
        </w:rPr>
        <w:t> </w:t>
      </w:r>
      <w:r>
        <w:rPr>
          <w:sz w:val="24"/>
        </w:rPr>
        <w:t>storage</w:t>
      </w:r>
      <w:r>
        <w:rPr>
          <w:spacing w:val="40"/>
          <w:sz w:val="24"/>
        </w:rPr>
        <w:t> </w:t>
      </w:r>
      <w:r>
        <w:rPr>
          <w:sz w:val="24"/>
        </w:rPr>
        <w:t>of</w:t>
      </w:r>
      <w:r>
        <w:rPr>
          <w:spacing w:val="40"/>
          <w:sz w:val="24"/>
        </w:rPr>
        <w:t> </w:t>
      </w:r>
      <w:r>
        <w:rPr>
          <w:sz w:val="24"/>
        </w:rPr>
        <w:t>chemicals</w:t>
      </w:r>
      <w:r>
        <w:rPr>
          <w:spacing w:val="40"/>
          <w:sz w:val="24"/>
        </w:rPr>
        <w:t> </w:t>
      </w:r>
      <w:r>
        <w:rPr>
          <w:sz w:val="24"/>
        </w:rPr>
        <w:t>or</w:t>
      </w:r>
      <w:r>
        <w:rPr>
          <w:spacing w:val="40"/>
          <w:sz w:val="24"/>
        </w:rPr>
        <w:t> </w:t>
      </w:r>
      <w:r>
        <w:rPr>
          <w:sz w:val="24"/>
        </w:rPr>
        <w:t>chemicals</w:t>
      </w:r>
      <w:r>
        <w:rPr>
          <w:spacing w:val="40"/>
          <w:sz w:val="24"/>
        </w:rPr>
        <w:t> </w:t>
      </w:r>
      <w:r>
        <w:rPr>
          <w:sz w:val="24"/>
        </w:rPr>
        <w:t>in</w:t>
      </w:r>
      <w:r>
        <w:rPr>
          <w:spacing w:val="40"/>
          <w:sz w:val="24"/>
        </w:rPr>
        <w:t> </w:t>
      </w:r>
      <w:r>
        <w:rPr>
          <w:sz w:val="24"/>
        </w:rPr>
        <w:t>liquid</w:t>
      </w:r>
      <w:r>
        <w:rPr>
          <w:spacing w:val="40"/>
          <w:sz w:val="24"/>
        </w:rPr>
        <w:t> </w:t>
      </w:r>
      <w:r>
        <w:rPr>
          <w:spacing w:val="-2"/>
          <w:sz w:val="24"/>
        </w:rPr>
        <w:t>form;</w:t>
      </w:r>
    </w:p>
    <w:p>
      <w:pPr>
        <w:pStyle w:val="ListParagraph"/>
        <w:numPr>
          <w:ilvl w:val="1"/>
          <w:numId w:val="6"/>
        </w:numPr>
        <w:tabs>
          <w:tab w:pos="1762" w:val="left" w:leader="none"/>
          <w:tab w:pos="1766" w:val="left" w:leader="none"/>
        </w:tabs>
        <w:spacing w:line="240" w:lineRule="auto" w:before="0" w:after="0"/>
        <w:ind w:left="1766" w:right="771" w:hanging="711"/>
        <w:jc w:val="both"/>
        <w:rPr>
          <w:sz w:val="24"/>
        </w:rPr>
      </w:pPr>
      <w:r>
        <w:rPr>
          <w:sz w:val="24"/>
        </w:rPr>
        <w:t>all types of </w:t>
      </w:r>
      <w:r>
        <w:rPr>
          <w:spacing w:val="9"/>
          <w:sz w:val="24"/>
        </w:rPr>
        <w:t>buildings </w:t>
      </w:r>
      <w:r>
        <w:rPr>
          <w:sz w:val="24"/>
        </w:rPr>
        <w:t>defined in (a) to (r) below; but tents, </w:t>
      </w:r>
      <w:r>
        <w:rPr>
          <w:spacing w:val="9"/>
          <w:sz w:val="24"/>
        </w:rPr>
        <w:t>shamianas </w:t>
      </w:r>
      <w:r>
        <w:rPr>
          <w:sz w:val="24"/>
        </w:rPr>
        <w:t>and tarpaulin shelters erected for temporary purposes for ceremonial occasions, with the permission of the Commissioner, shall not be considered to be </w:t>
      </w:r>
      <w:r>
        <w:rPr>
          <w:spacing w:val="9"/>
          <w:sz w:val="24"/>
        </w:rPr>
        <w:t>"buildings".</w:t>
      </w:r>
    </w:p>
    <w:p>
      <w:pPr>
        <w:pStyle w:val="ListParagraph"/>
        <w:numPr>
          <w:ilvl w:val="2"/>
          <w:numId w:val="6"/>
        </w:numPr>
        <w:tabs>
          <w:tab w:pos="1763" w:val="left" w:leader="none"/>
          <w:tab w:pos="1766" w:val="left" w:leader="none"/>
        </w:tabs>
        <w:spacing w:line="240" w:lineRule="auto" w:before="281" w:after="0"/>
        <w:ind w:left="1766" w:right="783" w:hanging="428"/>
        <w:jc w:val="both"/>
        <w:rPr>
          <w:sz w:val="24"/>
        </w:rPr>
      </w:pPr>
      <w:r>
        <w:rPr>
          <w:sz w:val="24"/>
        </w:rPr>
        <w:t>"Assembly</w:t>
      </w:r>
      <w:r>
        <w:rPr>
          <w:spacing w:val="40"/>
          <w:sz w:val="24"/>
        </w:rPr>
        <w:t> </w:t>
      </w:r>
      <w:r>
        <w:rPr>
          <w:sz w:val="24"/>
        </w:rPr>
        <w:t>building"</w:t>
      </w:r>
      <w:r>
        <w:rPr>
          <w:spacing w:val="40"/>
          <w:sz w:val="24"/>
        </w:rPr>
        <w:t> </w:t>
      </w:r>
      <w:r>
        <w:rPr>
          <w:sz w:val="24"/>
        </w:rPr>
        <w:t>means</w:t>
      </w:r>
      <w:r>
        <w:rPr>
          <w:spacing w:val="40"/>
          <w:sz w:val="24"/>
        </w:rPr>
        <w:t> </w:t>
      </w:r>
      <w:r>
        <w:rPr>
          <w:sz w:val="22"/>
        </w:rPr>
        <w:t>a</w:t>
      </w:r>
      <w:r>
        <w:rPr>
          <w:spacing w:val="40"/>
          <w:sz w:val="22"/>
        </w:rPr>
        <w:t> </w:t>
      </w:r>
      <w:r>
        <w:rPr>
          <w:sz w:val="22"/>
        </w:rPr>
        <w:t>public</w:t>
      </w:r>
      <w:r>
        <w:rPr>
          <w:spacing w:val="40"/>
          <w:sz w:val="22"/>
        </w:rPr>
        <w:t> </w:t>
      </w:r>
      <w:r>
        <w:rPr>
          <w:sz w:val="22"/>
        </w:rPr>
        <w:t>building</w:t>
      </w:r>
      <w:r>
        <w:rPr>
          <w:spacing w:val="40"/>
          <w:sz w:val="22"/>
        </w:rPr>
        <w:t> </w:t>
      </w:r>
      <w:r>
        <w:rPr>
          <w:sz w:val="24"/>
        </w:rPr>
        <w:t>or</w:t>
      </w:r>
      <w:r>
        <w:rPr>
          <w:spacing w:val="40"/>
          <w:sz w:val="24"/>
        </w:rPr>
        <w:t> </w:t>
      </w:r>
      <w:r>
        <w:rPr>
          <w:sz w:val="24"/>
        </w:rPr>
        <w:t>part</w:t>
      </w:r>
      <w:r>
        <w:rPr>
          <w:spacing w:val="40"/>
          <w:sz w:val="24"/>
        </w:rPr>
        <w:t> </w:t>
      </w:r>
      <w:r>
        <w:rPr>
          <w:sz w:val="24"/>
        </w:rPr>
        <w:t>thereof</w:t>
      </w:r>
      <w:r>
        <w:rPr>
          <w:spacing w:val="40"/>
          <w:sz w:val="24"/>
        </w:rPr>
        <w:t> </w:t>
      </w:r>
      <w:r>
        <w:rPr>
          <w:sz w:val="24"/>
        </w:rPr>
        <w:t>where groups</w:t>
      </w:r>
      <w:r>
        <w:rPr>
          <w:spacing w:val="40"/>
          <w:sz w:val="24"/>
        </w:rPr>
        <w:t> </w:t>
      </w:r>
      <w:r>
        <w:rPr>
          <w:sz w:val="24"/>
        </w:rPr>
        <w:t>of</w:t>
      </w:r>
      <w:r>
        <w:rPr>
          <w:spacing w:val="40"/>
          <w:sz w:val="24"/>
        </w:rPr>
        <w:t> </w:t>
      </w:r>
      <w:r>
        <w:rPr>
          <w:sz w:val="24"/>
        </w:rPr>
        <w:t>people</w:t>
      </w:r>
      <w:r>
        <w:rPr>
          <w:spacing w:val="9"/>
          <w:sz w:val="24"/>
        </w:rPr>
        <w:t> congregate</w:t>
      </w:r>
      <w:r>
        <w:rPr>
          <w:spacing w:val="9"/>
          <w:sz w:val="24"/>
        </w:rPr>
        <w:t> </w:t>
      </w:r>
      <w:r>
        <w:rPr>
          <w:sz w:val="24"/>
        </w:rPr>
        <w:t>or</w:t>
      </w:r>
      <w:r>
        <w:rPr>
          <w:spacing w:val="40"/>
          <w:sz w:val="24"/>
        </w:rPr>
        <w:t> </w:t>
      </w:r>
      <w:r>
        <w:rPr>
          <w:sz w:val="24"/>
        </w:rPr>
        <w:t>gather</w:t>
      </w:r>
      <w:r>
        <w:rPr>
          <w:spacing w:val="40"/>
          <w:sz w:val="24"/>
        </w:rPr>
        <w:t> </w:t>
      </w:r>
      <w:r>
        <w:rPr>
          <w:sz w:val="24"/>
        </w:rPr>
        <w:t>for</w:t>
      </w:r>
      <w:r>
        <w:rPr>
          <w:spacing w:val="40"/>
          <w:sz w:val="24"/>
        </w:rPr>
        <w:t> </w:t>
      </w:r>
      <w:r>
        <w:rPr>
          <w:sz w:val="24"/>
        </w:rPr>
        <w:t>amusement,</w:t>
      </w:r>
      <w:r>
        <w:rPr>
          <w:spacing w:val="40"/>
          <w:sz w:val="24"/>
        </w:rPr>
        <w:t> </w:t>
      </w:r>
      <w:r>
        <w:rPr>
          <w:sz w:val="24"/>
        </w:rPr>
        <w:t>recreation, social,</w:t>
      </w:r>
      <w:r>
        <w:rPr>
          <w:spacing w:val="80"/>
          <w:sz w:val="24"/>
        </w:rPr>
        <w:t> </w:t>
      </w:r>
      <w:r>
        <w:rPr>
          <w:sz w:val="24"/>
        </w:rPr>
        <w:t>religious,</w:t>
      </w:r>
      <w:r>
        <w:rPr>
          <w:spacing w:val="80"/>
          <w:sz w:val="24"/>
        </w:rPr>
        <w:t> </w:t>
      </w:r>
      <w:r>
        <w:rPr>
          <w:sz w:val="24"/>
        </w:rPr>
        <w:t>patriotic,</w:t>
      </w:r>
      <w:r>
        <w:rPr>
          <w:spacing w:val="80"/>
          <w:sz w:val="24"/>
        </w:rPr>
        <w:t> </w:t>
      </w:r>
      <w:r>
        <w:rPr>
          <w:sz w:val="24"/>
        </w:rPr>
        <w:t>civil,</w:t>
      </w:r>
      <w:r>
        <w:rPr>
          <w:spacing w:val="80"/>
          <w:sz w:val="24"/>
        </w:rPr>
        <w:t> </w:t>
      </w:r>
      <w:r>
        <w:rPr>
          <w:sz w:val="24"/>
        </w:rPr>
        <w:t>travel</w:t>
      </w:r>
      <w:r>
        <w:rPr>
          <w:spacing w:val="80"/>
          <w:sz w:val="24"/>
        </w:rPr>
        <w:t> </w:t>
      </w:r>
      <w:r>
        <w:rPr>
          <w:sz w:val="24"/>
        </w:rPr>
        <w:t>and</w:t>
      </w:r>
      <w:r>
        <w:rPr>
          <w:spacing w:val="80"/>
          <w:sz w:val="24"/>
        </w:rPr>
        <w:t> </w:t>
      </w:r>
      <w:r>
        <w:rPr>
          <w:sz w:val="24"/>
        </w:rPr>
        <w:t>similar</w:t>
      </w:r>
      <w:r>
        <w:rPr>
          <w:spacing w:val="80"/>
          <w:sz w:val="24"/>
        </w:rPr>
        <w:t> </w:t>
      </w:r>
      <w:r>
        <w:rPr>
          <w:sz w:val="24"/>
        </w:rPr>
        <w:t>purposes. "Assembly</w:t>
      </w:r>
      <w:r>
        <w:rPr>
          <w:spacing w:val="80"/>
          <w:sz w:val="24"/>
        </w:rPr>
        <w:t> </w:t>
      </w:r>
      <w:r>
        <w:rPr>
          <w:sz w:val="24"/>
        </w:rPr>
        <w:t>buildings"</w:t>
      </w:r>
      <w:r>
        <w:rPr>
          <w:spacing w:val="80"/>
          <w:sz w:val="24"/>
        </w:rPr>
        <w:t> </w:t>
      </w:r>
      <w:r>
        <w:rPr>
          <w:sz w:val="24"/>
        </w:rPr>
        <w:t>include</w:t>
      </w:r>
      <w:r>
        <w:rPr>
          <w:spacing w:val="80"/>
          <w:sz w:val="24"/>
        </w:rPr>
        <w:t> </w:t>
      </w:r>
      <w:r>
        <w:rPr>
          <w:sz w:val="24"/>
        </w:rPr>
        <w:t>buildings</w:t>
      </w:r>
      <w:r>
        <w:rPr>
          <w:spacing w:val="80"/>
          <w:sz w:val="24"/>
        </w:rPr>
        <w:t> </w:t>
      </w:r>
      <w:r>
        <w:rPr>
          <w:sz w:val="24"/>
        </w:rPr>
        <w:t>of</w:t>
      </w:r>
      <w:r>
        <w:rPr>
          <w:spacing w:val="80"/>
          <w:sz w:val="24"/>
        </w:rPr>
        <w:t> </w:t>
      </w:r>
      <w:r>
        <w:rPr>
          <w:sz w:val="24"/>
        </w:rPr>
        <w:t>drama</w:t>
      </w:r>
      <w:r>
        <w:rPr>
          <w:spacing w:val="80"/>
          <w:sz w:val="24"/>
        </w:rPr>
        <w:t> </w:t>
      </w:r>
      <w:r>
        <w:rPr>
          <w:sz w:val="24"/>
        </w:rPr>
        <w:t>and</w:t>
      </w:r>
      <w:r>
        <w:rPr>
          <w:spacing w:val="80"/>
          <w:sz w:val="24"/>
        </w:rPr>
        <w:t> </w:t>
      </w:r>
      <w:r>
        <w:rPr>
          <w:sz w:val="24"/>
        </w:rPr>
        <w:t>cinema theatres, </w:t>
      </w:r>
      <w:r>
        <w:rPr>
          <w:spacing w:val="9"/>
          <w:sz w:val="24"/>
        </w:rPr>
        <w:t>drive-</w:t>
      </w:r>
      <w:r>
        <w:rPr>
          <w:sz w:val="24"/>
        </w:rPr>
        <w:t>in-theatres, assembly halls, city halls, town halls, auditoria,</w:t>
      </w:r>
      <w:r>
        <w:rPr>
          <w:spacing w:val="40"/>
          <w:sz w:val="24"/>
        </w:rPr>
        <w:t> </w:t>
      </w:r>
      <w:r>
        <w:rPr>
          <w:sz w:val="24"/>
        </w:rPr>
        <w:t>exhibition</w:t>
      </w:r>
      <w:r>
        <w:rPr>
          <w:spacing w:val="40"/>
          <w:sz w:val="24"/>
        </w:rPr>
        <w:t> </w:t>
      </w:r>
      <w:r>
        <w:rPr>
          <w:sz w:val="24"/>
        </w:rPr>
        <w:t>halls,</w:t>
      </w:r>
      <w:r>
        <w:rPr>
          <w:spacing w:val="40"/>
          <w:sz w:val="24"/>
        </w:rPr>
        <w:t> </w:t>
      </w:r>
      <w:r>
        <w:rPr>
          <w:sz w:val="24"/>
        </w:rPr>
        <w:t>museums,</w:t>
      </w:r>
      <w:r>
        <w:rPr>
          <w:spacing w:val="40"/>
          <w:sz w:val="24"/>
        </w:rPr>
        <w:t> </w:t>
      </w:r>
      <w:r>
        <w:rPr>
          <w:sz w:val="24"/>
        </w:rPr>
        <w:t>mangal</w:t>
      </w:r>
      <w:r>
        <w:rPr>
          <w:spacing w:val="40"/>
          <w:sz w:val="24"/>
        </w:rPr>
        <w:t> </w:t>
      </w:r>
      <w:r>
        <w:rPr>
          <w:sz w:val="24"/>
        </w:rPr>
        <w:t>karyalayas,</w:t>
      </w:r>
      <w:r>
        <w:rPr>
          <w:spacing w:val="40"/>
          <w:sz w:val="24"/>
        </w:rPr>
        <w:t> </w:t>
      </w:r>
      <w:r>
        <w:rPr>
          <w:sz w:val="24"/>
        </w:rPr>
        <w:t>skating rinks,</w:t>
      </w:r>
      <w:r>
        <w:rPr>
          <w:spacing w:val="40"/>
          <w:sz w:val="24"/>
        </w:rPr>
        <w:t> </w:t>
      </w:r>
      <w:r>
        <w:rPr>
          <w:sz w:val="24"/>
        </w:rPr>
        <w:t>gymnasia,</w:t>
      </w:r>
      <w:r>
        <w:rPr>
          <w:spacing w:val="40"/>
          <w:sz w:val="24"/>
        </w:rPr>
        <w:t> </w:t>
      </w:r>
      <w:r>
        <w:rPr>
          <w:sz w:val="24"/>
        </w:rPr>
        <w:t>stadia,</w:t>
      </w:r>
      <w:r>
        <w:rPr>
          <w:spacing w:val="40"/>
          <w:sz w:val="24"/>
        </w:rPr>
        <w:t> </w:t>
      </w:r>
      <w:r>
        <w:rPr>
          <w:sz w:val="24"/>
        </w:rPr>
        <w:t>restaurants,</w:t>
      </w:r>
      <w:r>
        <w:rPr>
          <w:spacing w:val="40"/>
          <w:sz w:val="24"/>
        </w:rPr>
        <w:t> </w:t>
      </w:r>
      <w:r>
        <w:rPr>
          <w:sz w:val="24"/>
        </w:rPr>
        <w:t>eating</w:t>
      </w:r>
      <w:r>
        <w:rPr>
          <w:spacing w:val="40"/>
          <w:sz w:val="24"/>
        </w:rPr>
        <w:t> </w:t>
      </w:r>
      <w:r>
        <w:rPr>
          <w:sz w:val="24"/>
        </w:rPr>
        <w:t>or</w:t>
      </w:r>
      <w:r>
        <w:rPr>
          <w:spacing w:val="40"/>
          <w:sz w:val="24"/>
        </w:rPr>
        <w:t> </w:t>
      </w:r>
      <w:r>
        <w:rPr>
          <w:sz w:val="24"/>
        </w:rPr>
        <w:t>boarding</w:t>
      </w:r>
      <w:r>
        <w:rPr>
          <w:spacing w:val="40"/>
          <w:sz w:val="24"/>
        </w:rPr>
        <w:t> </w:t>
      </w:r>
      <w:r>
        <w:rPr>
          <w:sz w:val="24"/>
        </w:rPr>
        <w:t>houses,</w:t>
      </w:r>
      <w:r>
        <w:rPr>
          <w:spacing w:val="40"/>
          <w:sz w:val="24"/>
        </w:rPr>
        <w:t> </w:t>
      </w:r>
      <w:r>
        <w:rPr>
          <w:sz w:val="24"/>
        </w:rPr>
        <w:t>places</w:t>
      </w:r>
      <w:r>
        <w:rPr>
          <w:spacing w:val="80"/>
          <w:sz w:val="24"/>
        </w:rPr>
        <w:t> </w:t>
      </w:r>
      <w:r>
        <w:rPr>
          <w:sz w:val="24"/>
        </w:rPr>
        <w:t>of</w:t>
      </w:r>
      <w:r>
        <w:rPr>
          <w:spacing w:val="80"/>
          <w:sz w:val="24"/>
        </w:rPr>
        <w:t> </w:t>
      </w:r>
      <w:r>
        <w:rPr>
          <w:sz w:val="24"/>
        </w:rPr>
        <w:t>worship,</w:t>
      </w:r>
      <w:r>
        <w:rPr>
          <w:spacing w:val="80"/>
          <w:sz w:val="24"/>
        </w:rPr>
        <w:t> </w:t>
      </w:r>
      <w:r>
        <w:rPr>
          <w:sz w:val="24"/>
        </w:rPr>
        <w:t>dance</w:t>
      </w:r>
      <w:r>
        <w:rPr>
          <w:spacing w:val="80"/>
          <w:sz w:val="24"/>
        </w:rPr>
        <w:t> </w:t>
      </w:r>
      <w:r>
        <w:rPr>
          <w:sz w:val="24"/>
        </w:rPr>
        <w:t>halls,</w:t>
      </w:r>
      <w:r>
        <w:rPr>
          <w:spacing w:val="80"/>
          <w:sz w:val="24"/>
        </w:rPr>
        <w:t> </w:t>
      </w:r>
      <w:r>
        <w:rPr>
          <w:sz w:val="24"/>
        </w:rPr>
        <w:t>multipurpose</w:t>
      </w:r>
      <w:r>
        <w:rPr>
          <w:spacing w:val="80"/>
          <w:sz w:val="24"/>
        </w:rPr>
        <w:t> </w:t>
      </w:r>
      <w:r>
        <w:rPr>
          <w:sz w:val="24"/>
        </w:rPr>
        <w:t>hall,</w:t>
      </w:r>
      <w:r>
        <w:rPr>
          <w:spacing w:val="80"/>
          <w:sz w:val="24"/>
        </w:rPr>
        <w:t> </w:t>
      </w:r>
      <w:r>
        <w:rPr>
          <w:sz w:val="24"/>
        </w:rPr>
        <w:t>clubs, gymkhanas,</w:t>
      </w:r>
      <w:r>
        <w:rPr>
          <w:spacing w:val="40"/>
          <w:sz w:val="24"/>
        </w:rPr>
        <w:t> </w:t>
      </w:r>
      <w:r>
        <w:rPr>
          <w:sz w:val="24"/>
        </w:rPr>
        <w:t>malls,</w:t>
      </w:r>
      <w:r>
        <w:rPr>
          <w:spacing w:val="40"/>
          <w:sz w:val="24"/>
        </w:rPr>
        <w:t> </w:t>
      </w:r>
      <w:r>
        <w:rPr>
          <w:sz w:val="24"/>
        </w:rPr>
        <w:t>road,</w:t>
      </w:r>
      <w:r>
        <w:rPr>
          <w:spacing w:val="40"/>
          <w:sz w:val="24"/>
        </w:rPr>
        <w:t> </w:t>
      </w:r>
      <w:r>
        <w:rPr>
          <w:sz w:val="24"/>
        </w:rPr>
        <w:t>air,</w:t>
      </w:r>
      <w:r>
        <w:rPr>
          <w:spacing w:val="40"/>
          <w:sz w:val="24"/>
        </w:rPr>
        <w:t> </w:t>
      </w:r>
      <w:r>
        <w:rPr>
          <w:sz w:val="24"/>
        </w:rPr>
        <w:t>sea</w:t>
      </w:r>
      <w:r>
        <w:rPr>
          <w:spacing w:val="40"/>
          <w:sz w:val="24"/>
        </w:rPr>
        <w:t> </w:t>
      </w:r>
      <w:r>
        <w:rPr>
          <w:sz w:val="24"/>
        </w:rPr>
        <w:t>or</w:t>
      </w:r>
      <w:r>
        <w:rPr>
          <w:spacing w:val="40"/>
          <w:sz w:val="24"/>
        </w:rPr>
        <w:t> </w:t>
      </w:r>
      <w:r>
        <w:rPr>
          <w:sz w:val="24"/>
        </w:rPr>
        <w:t>other</w:t>
      </w:r>
      <w:r>
        <w:rPr>
          <w:spacing w:val="40"/>
          <w:sz w:val="24"/>
        </w:rPr>
        <w:t> </w:t>
      </w:r>
      <w:r>
        <w:rPr>
          <w:sz w:val="24"/>
        </w:rPr>
        <w:t>public</w:t>
      </w:r>
      <w:r>
        <w:rPr>
          <w:spacing w:val="40"/>
          <w:sz w:val="24"/>
        </w:rPr>
        <w:t> </w:t>
      </w:r>
      <w:r>
        <w:rPr>
          <w:sz w:val="24"/>
        </w:rPr>
        <w:t>transportation stations, and recreation piers. Public for this purpose shall mean use open for public at </w:t>
      </w:r>
      <w:r>
        <w:rPr>
          <w:spacing w:val="9"/>
          <w:sz w:val="24"/>
        </w:rPr>
        <w:t>large.</w:t>
      </w:r>
    </w:p>
    <w:p>
      <w:pPr>
        <w:pStyle w:val="ListParagraph"/>
        <w:numPr>
          <w:ilvl w:val="2"/>
          <w:numId w:val="6"/>
        </w:numPr>
        <w:tabs>
          <w:tab w:pos="1766" w:val="left" w:leader="none"/>
          <w:tab w:pos="1912" w:val="left" w:leader="none"/>
        </w:tabs>
        <w:spacing w:line="240" w:lineRule="auto" w:before="1" w:after="0"/>
        <w:ind w:left="1766" w:right="774" w:hanging="428"/>
        <w:jc w:val="both"/>
        <w:rPr>
          <w:sz w:val="24"/>
        </w:rPr>
      </w:pPr>
      <w:r>
        <w:rPr>
          <w:sz w:val="24"/>
        </w:rPr>
        <w:tab/>
        <w:t>"Business building" means any building or part thereof used for transaction</w:t>
      </w:r>
      <w:r>
        <w:rPr>
          <w:spacing w:val="40"/>
          <w:sz w:val="24"/>
        </w:rPr>
        <w:t> </w:t>
      </w:r>
      <w:r>
        <w:rPr>
          <w:sz w:val="24"/>
        </w:rPr>
        <w:t>of</w:t>
      </w:r>
      <w:r>
        <w:rPr>
          <w:spacing w:val="40"/>
          <w:sz w:val="24"/>
        </w:rPr>
        <w:t> </w:t>
      </w:r>
      <w:r>
        <w:rPr>
          <w:sz w:val="24"/>
        </w:rPr>
        <w:t>business</w:t>
      </w:r>
      <w:r>
        <w:rPr>
          <w:spacing w:val="40"/>
          <w:sz w:val="24"/>
        </w:rPr>
        <w:t> </w:t>
      </w:r>
      <w:r>
        <w:rPr>
          <w:sz w:val="24"/>
        </w:rPr>
        <w:t>and/or</w:t>
      </w:r>
      <w:r>
        <w:rPr>
          <w:spacing w:val="40"/>
          <w:sz w:val="24"/>
        </w:rPr>
        <w:t> </w:t>
      </w:r>
      <w:r>
        <w:rPr>
          <w:sz w:val="24"/>
        </w:rPr>
        <w:t>keeping</w:t>
      </w:r>
      <w:r>
        <w:rPr>
          <w:spacing w:val="40"/>
          <w:sz w:val="24"/>
        </w:rPr>
        <w:t> </w:t>
      </w:r>
      <w:r>
        <w:rPr>
          <w:sz w:val="24"/>
        </w:rPr>
        <w:t>of</w:t>
      </w:r>
      <w:r>
        <w:rPr>
          <w:spacing w:val="40"/>
          <w:sz w:val="24"/>
        </w:rPr>
        <w:t> </w:t>
      </w:r>
      <w:r>
        <w:rPr>
          <w:sz w:val="24"/>
        </w:rPr>
        <w:t>accounts</w:t>
      </w:r>
      <w:r>
        <w:rPr>
          <w:spacing w:val="40"/>
          <w:sz w:val="24"/>
        </w:rPr>
        <w:t> </w:t>
      </w:r>
      <w:r>
        <w:rPr>
          <w:sz w:val="24"/>
        </w:rPr>
        <w:t>and</w:t>
      </w:r>
      <w:r>
        <w:rPr>
          <w:spacing w:val="40"/>
          <w:sz w:val="24"/>
        </w:rPr>
        <w:t> </w:t>
      </w:r>
      <w:r>
        <w:rPr>
          <w:sz w:val="24"/>
        </w:rPr>
        <w:t>record</w:t>
      </w:r>
      <w:r>
        <w:rPr>
          <w:spacing w:val="9"/>
          <w:sz w:val="24"/>
        </w:rPr>
        <w:t> there </w:t>
      </w:r>
      <w:r>
        <w:rPr>
          <w:sz w:val="24"/>
        </w:rPr>
        <w:t>for;</w:t>
      </w:r>
      <w:r>
        <w:rPr>
          <w:spacing w:val="40"/>
          <w:sz w:val="24"/>
        </w:rPr>
        <w:t> </w:t>
      </w:r>
      <w:r>
        <w:rPr>
          <w:sz w:val="24"/>
        </w:rPr>
        <w:t>offices,</w:t>
      </w:r>
      <w:r>
        <w:rPr>
          <w:spacing w:val="40"/>
          <w:sz w:val="24"/>
        </w:rPr>
        <w:t> </w:t>
      </w:r>
      <w:r>
        <w:rPr>
          <w:sz w:val="24"/>
        </w:rPr>
        <w:t>banks,</w:t>
      </w:r>
      <w:r>
        <w:rPr>
          <w:spacing w:val="40"/>
          <w:sz w:val="24"/>
        </w:rPr>
        <w:t> </w:t>
      </w:r>
      <w:r>
        <w:rPr>
          <w:sz w:val="24"/>
        </w:rPr>
        <w:t>professional</w:t>
      </w:r>
      <w:r>
        <w:rPr>
          <w:spacing w:val="40"/>
          <w:sz w:val="24"/>
        </w:rPr>
        <w:t> </w:t>
      </w:r>
      <w:r>
        <w:rPr>
          <w:spacing w:val="9"/>
          <w:sz w:val="24"/>
        </w:rPr>
        <w:t>establishments,</w:t>
      </w:r>
      <w:r>
        <w:rPr>
          <w:spacing w:val="40"/>
          <w:sz w:val="24"/>
        </w:rPr>
        <w:t> </w:t>
      </w:r>
      <w:r>
        <w:rPr>
          <w:sz w:val="24"/>
        </w:rPr>
        <w:t>IT</w:t>
      </w:r>
      <w:r>
        <w:rPr>
          <w:spacing w:val="40"/>
          <w:sz w:val="24"/>
        </w:rPr>
        <w:t> </w:t>
      </w:r>
      <w:r>
        <w:rPr>
          <w:sz w:val="24"/>
        </w:rPr>
        <w:t>establishments,</w:t>
      </w:r>
      <w:r>
        <w:rPr>
          <w:spacing w:val="40"/>
          <w:sz w:val="24"/>
        </w:rPr>
        <w:t> </w:t>
      </w:r>
      <w:r>
        <w:rPr>
          <w:sz w:val="24"/>
        </w:rPr>
        <w:t>call centers, offices for private entrepreneur,</w:t>
      </w:r>
      <w:r>
        <w:rPr>
          <w:spacing w:val="40"/>
          <w:sz w:val="24"/>
        </w:rPr>
        <w:t> </w:t>
      </w:r>
      <w:r>
        <w:rPr>
          <w:sz w:val="24"/>
        </w:rPr>
        <w:t>provided their principal function</w:t>
      </w:r>
      <w:r>
        <w:rPr>
          <w:spacing w:val="40"/>
          <w:sz w:val="24"/>
        </w:rPr>
        <w:t> </w:t>
      </w:r>
      <w:r>
        <w:rPr>
          <w:sz w:val="24"/>
        </w:rPr>
        <w:t>is</w:t>
      </w:r>
      <w:r>
        <w:rPr>
          <w:spacing w:val="40"/>
          <w:sz w:val="24"/>
        </w:rPr>
        <w:t> </w:t>
      </w:r>
      <w:r>
        <w:rPr>
          <w:sz w:val="24"/>
        </w:rPr>
        <w:t>transaction</w:t>
      </w:r>
      <w:r>
        <w:rPr>
          <w:spacing w:val="40"/>
          <w:sz w:val="24"/>
        </w:rPr>
        <w:t> </w:t>
      </w:r>
      <w:r>
        <w:rPr>
          <w:sz w:val="24"/>
        </w:rPr>
        <w:t>of</w:t>
      </w:r>
      <w:r>
        <w:rPr>
          <w:spacing w:val="40"/>
          <w:sz w:val="24"/>
        </w:rPr>
        <w:t> </w:t>
      </w:r>
      <w:r>
        <w:rPr>
          <w:sz w:val="24"/>
        </w:rPr>
        <w:t>business</w:t>
      </w:r>
      <w:r>
        <w:rPr>
          <w:spacing w:val="40"/>
          <w:sz w:val="24"/>
        </w:rPr>
        <w:t> </w:t>
      </w:r>
      <w:r>
        <w:rPr>
          <w:sz w:val="24"/>
        </w:rPr>
        <w:t>and/or</w:t>
      </w:r>
      <w:r>
        <w:rPr>
          <w:spacing w:val="40"/>
          <w:sz w:val="24"/>
        </w:rPr>
        <w:t> </w:t>
      </w:r>
      <w:r>
        <w:rPr>
          <w:sz w:val="24"/>
        </w:rPr>
        <w:t>keeping</w:t>
      </w:r>
      <w:r>
        <w:rPr>
          <w:spacing w:val="40"/>
          <w:sz w:val="24"/>
        </w:rPr>
        <w:t> </w:t>
      </w:r>
      <w:r>
        <w:rPr>
          <w:sz w:val="24"/>
        </w:rPr>
        <w:t>of</w:t>
      </w:r>
      <w:r>
        <w:rPr>
          <w:spacing w:val="40"/>
          <w:sz w:val="24"/>
        </w:rPr>
        <w:t> </w:t>
      </w:r>
      <w:r>
        <w:rPr>
          <w:sz w:val="24"/>
        </w:rPr>
        <w:t>books</w:t>
      </w:r>
      <w:r>
        <w:rPr>
          <w:spacing w:val="40"/>
          <w:sz w:val="24"/>
        </w:rPr>
        <w:t> </w:t>
      </w:r>
      <w:r>
        <w:rPr>
          <w:sz w:val="24"/>
        </w:rPr>
        <w:t>and </w:t>
      </w:r>
      <w:r>
        <w:rPr>
          <w:spacing w:val="-2"/>
          <w:sz w:val="24"/>
        </w:rPr>
        <w:t>records.</w:t>
      </w:r>
    </w:p>
    <w:p>
      <w:pPr>
        <w:pStyle w:val="ListParagraph"/>
        <w:numPr>
          <w:ilvl w:val="2"/>
          <w:numId w:val="6"/>
        </w:numPr>
        <w:tabs>
          <w:tab w:pos="1766" w:val="left" w:leader="none"/>
          <w:tab w:pos="2036" w:val="left" w:leader="none"/>
        </w:tabs>
        <w:spacing w:line="240" w:lineRule="auto" w:before="0" w:after="0"/>
        <w:ind w:left="1766" w:right="794" w:hanging="428"/>
        <w:jc w:val="both"/>
        <w:rPr>
          <w:sz w:val="24"/>
        </w:rPr>
      </w:pPr>
      <w:r>
        <w:rPr>
          <w:sz w:val="24"/>
        </w:rPr>
        <w:tab/>
        <w:t>"Detached building” means a building with walls and roofs independent</w:t>
      </w:r>
      <w:r>
        <w:rPr>
          <w:spacing w:val="42"/>
          <w:sz w:val="24"/>
        </w:rPr>
        <w:t> </w:t>
      </w:r>
      <w:r>
        <w:rPr>
          <w:sz w:val="24"/>
        </w:rPr>
        <w:t>of</w:t>
      </w:r>
      <w:r>
        <w:rPr>
          <w:spacing w:val="43"/>
          <w:sz w:val="24"/>
        </w:rPr>
        <w:t> </w:t>
      </w:r>
      <w:r>
        <w:rPr>
          <w:sz w:val="24"/>
        </w:rPr>
        <w:t>any</w:t>
      </w:r>
      <w:r>
        <w:rPr>
          <w:spacing w:val="45"/>
          <w:sz w:val="24"/>
        </w:rPr>
        <w:t> </w:t>
      </w:r>
      <w:r>
        <w:rPr>
          <w:sz w:val="24"/>
        </w:rPr>
        <w:t>other</w:t>
      </w:r>
      <w:r>
        <w:rPr>
          <w:spacing w:val="43"/>
          <w:sz w:val="24"/>
        </w:rPr>
        <w:t> </w:t>
      </w:r>
      <w:r>
        <w:rPr>
          <w:sz w:val="24"/>
        </w:rPr>
        <w:t>building</w:t>
      </w:r>
      <w:r>
        <w:rPr>
          <w:spacing w:val="42"/>
          <w:sz w:val="24"/>
        </w:rPr>
        <w:t> </w:t>
      </w:r>
      <w:r>
        <w:rPr>
          <w:sz w:val="24"/>
        </w:rPr>
        <w:t>and</w:t>
      </w:r>
      <w:r>
        <w:rPr>
          <w:spacing w:val="46"/>
          <w:sz w:val="24"/>
        </w:rPr>
        <w:t> </w:t>
      </w:r>
      <w:r>
        <w:rPr>
          <w:sz w:val="24"/>
        </w:rPr>
        <w:t>with</w:t>
      </w:r>
      <w:r>
        <w:rPr>
          <w:spacing w:val="42"/>
          <w:sz w:val="24"/>
        </w:rPr>
        <w:t> </w:t>
      </w:r>
      <w:r>
        <w:rPr>
          <w:sz w:val="24"/>
        </w:rPr>
        <w:t>open</w:t>
      </w:r>
      <w:r>
        <w:rPr>
          <w:spacing w:val="43"/>
          <w:sz w:val="24"/>
        </w:rPr>
        <w:t> </w:t>
      </w:r>
      <w:r>
        <w:rPr>
          <w:sz w:val="24"/>
        </w:rPr>
        <w:t>spaces</w:t>
      </w:r>
      <w:r>
        <w:rPr>
          <w:spacing w:val="42"/>
          <w:sz w:val="24"/>
        </w:rPr>
        <w:t> </w:t>
      </w:r>
      <w:r>
        <w:rPr>
          <w:sz w:val="24"/>
        </w:rPr>
        <w:t>on</w:t>
      </w:r>
      <w:r>
        <w:rPr>
          <w:spacing w:val="43"/>
          <w:sz w:val="24"/>
        </w:rPr>
        <w:t> </w:t>
      </w:r>
      <w:r>
        <w:rPr>
          <w:sz w:val="24"/>
        </w:rPr>
        <w:t>all</w:t>
      </w:r>
      <w:r>
        <w:rPr>
          <w:spacing w:val="43"/>
          <w:sz w:val="24"/>
        </w:rPr>
        <w:t> </w:t>
      </w:r>
      <w:r>
        <w:rPr>
          <w:spacing w:val="-2"/>
          <w:sz w:val="24"/>
        </w:rPr>
        <w:t>sides.</w:t>
      </w:r>
    </w:p>
    <w:p>
      <w:pPr>
        <w:pStyle w:val="ListParagraph"/>
        <w:numPr>
          <w:ilvl w:val="2"/>
          <w:numId w:val="6"/>
        </w:numPr>
        <w:tabs>
          <w:tab w:pos="1724" w:val="left" w:leader="none"/>
          <w:tab w:pos="1766" w:val="left" w:leader="none"/>
        </w:tabs>
        <w:spacing w:line="240" w:lineRule="auto" w:before="1" w:after="0"/>
        <w:ind w:left="1766" w:right="781" w:hanging="428"/>
        <w:jc w:val="both"/>
        <w:rPr>
          <w:b/>
          <w:sz w:val="24"/>
        </w:rPr>
      </w:pPr>
      <w:r>
        <w:rPr>
          <w:sz w:val="24"/>
        </w:rPr>
        <w:t>"Educational</w:t>
      </w:r>
      <w:r>
        <w:rPr>
          <w:spacing w:val="40"/>
          <w:sz w:val="24"/>
        </w:rPr>
        <w:t> </w:t>
      </w:r>
      <w:r>
        <w:rPr>
          <w:sz w:val="24"/>
        </w:rPr>
        <w:t>building"</w:t>
      </w:r>
      <w:r>
        <w:rPr>
          <w:spacing w:val="40"/>
          <w:sz w:val="24"/>
        </w:rPr>
        <w:t> </w:t>
      </w:r>
      <w:r>
        <w:rPr>
          <w:sz w:val="24"/>
        </w:rPr>
        <w:t>means</w:t>
      </w:r>
      <w:r>
        <w:rPr>
          <w:spacing w:val="40"/>
          <w:sz w:val="24"/>
        </w:rPr>
        <w:t> </w:t>
      </w:r>
      <w:r>
        <w:rPr>
          <w:sz w:val="24"/>
        </w:rPr>
        <w:t>a</w:t>
      </w:r>
      <w:r>
        <w:rPr>
          <w:spacing w:val="40"/>
          <w:sz w:val="24"/>
        </w:rPr>
        <w:t> </w:t>
      </w:r>
      <w:r>
        <w:rPr>
          <w:sz w:val="24"/>
        </w:rPr>
        <w:t>building</w:t>
      </w:r>
      <w:r>
        <w:rPr>
          <w:spacing w:val="40"/>
          <w:sz w:val="24"/>
        </w:rPr>
        <w:t> </w:t>
      </w:r>
      <w:r>
        <w:rPr>
          <w:sz w:val="24"/>
        </w:rPr>
        <w:t>exclusively</w:t>
      </w:r>
      <w:r>
        <w:rPr>
          <w:spacing w:val="40"/>
          <w:sz w:val="24"/>
        </w:rPr>
        <w:t> </w:t>
      </w:r>
      <w:r>
        <w:rPr>
          <w:sz w:val="24"/>
        </w:rPr>
        <w:t>used</w:t>
      </w:r>
      <w:r>
        <w:rPr>
          <w:spacing w:val="40"/>
          <w:sz w:val="24"/>
        </w:rPr>
        <w:t> </w:t>
      </w:r>
      <w:r>
        <w:rPr>
          <w:sz w:val="24"/>
        </w:rPr>
        <w:t>for</w:t>
      </w:r>
      <w:r>
        <w:rPr>
          <w:spacing w:val="40"/>
          <w:sz w:val="24"/>
        </w:rPr>
        <w:t> </w:t>
      </w:r>
      <w:r>
        <w:rPr>
          <w:sz w:val="24"/>
        </w:rPr>
        <w:t>a</w:t>
      </w:r>
      <w:r>
        <w:rPr>
          <w:spacing w:val="40"/>
          <w:sz w:val="24"/>
        </w:rPr>
        <w:t> </w:t>
      </w:r>
      <w:r>
        <w:rPr>
          <w:sz w:val="24"/>
        </w:rPr>
        <w:t>school or college, recognized by the appropriate Board or University, or any other</w:t>
      </w:r>
      <w:r>
        <w:rPr>
          <w:spacing w:val="40"/>
          <w:sz w:val="24"/>
        </w:rPr>
        <w:t> </w:t>
      </w:r>
      <w:r>
        <w:rPr>
          <w:sz w:val="24"/>
        </w:rPr>
        <w:t>competent</w:t>
      </w:r>
      <w:r>
        <w:rPr>
          <w:spacing w:val="40"/>
          <w:sz w:val="24"/>
        </w:rPr>
        <w:t> </w:t>
      </w:r>
      <w:r>
        <w:rPr>
          <w:sz w:val="24"/>
        </w:rPr>
        <w:t>authority</w:t>
      </w:r>
      <w:r>
        <w:rPr>
          <w:spacing w:val="40"/>
          <w:sz w:val="24"/>
        </w:rPr>
        <w:t> </w:t>
      </w:r>
      <w:r>
        <w:rPr>
          <w:sz w:val="24"/>
        </w:rPr>
        <w:t>involving</w:t>
      </w:r>
      <w:r>
        <w:rPr>
          <w:spacing w:val="40"/>
          <w:sz w:val="24"/>
        </w:rPr>
        <w:t> </w:t>
      </w:r>
      <w:r>
        <w:rPr>
          <w:sz w:val="24"/>
        </w:rPr>
        <w:t>assembly</w:t>
      </w:r>
      <w:r>
        <w:rPr>
          <w:spacing w:val="40"/>
          <w:sz w:val="24"/>
        </w:rPr>
        <w:t> </w:t>
      </w:r>
      <w:r>
        <w:rPr>
          <w:sz w:val="24"/>
        </w:rPr>
        <w:t>for</w:t>
      </w:r>
      <w:r>
        <w:rPr>
          <w:spacing w:val="9"/>
          <w:sz w:val="24"/>
        </w:rPr>
        <w:t> instruction, </w:t>
      </w:r>
      <w:r>
        <w:rPr>
          <w:sz w:val="24"/>
        </w:rPr>
        <w:t>education</w:t>
      </w:r>
      <w:r>
        <w:rPr>
          <w:spacing w:val="75"/>
          <w:sz w:val="24"/>
        </w:rPr>
        <w:t> </w:t>
      </w:r>
      <w:r>
        <w:rPr>
          <w:sz w:val="24"/>
        </w:rPr>
        <w:t>or</w:t>
      </w:r>
      <w:r>
        <w:rPr>
          <w:spacing w:val="80"/>
          <w:sz w:val="24"/>
        </w:rPr>
        <w:t> </w:t>
      </w:r>
      <w:r>
        <w:rPr>
          <w:sz w:val="24"/>
        </w:rPr>
        <w:t>recreation</w:t>
      </w:r>
      <w:r>
        <w:rPr>
          <w:spacing w:val="75"/>
          <w:sz w:val="24"/>
        </w:rPr>
        <w:t> </w:t>
      </w:r>
      <w:r>
        <w:rPr>
          <w:sz w:val="24"/>
        </w:rPr>
        <w:t>incidental</w:t>
      </w:r>
      <w:r>
        <w:rPr>
          <w:spacing w:val="75"/>
          <w:sz w:val="24"/>
        </w:rPr>
        <w:t> </w:t>
      </w:r>
      <w:r>
        <w:rPr>
          <w:sz w:val="24"/>
        </w:rPr>
        <w:t>to</w:t>
      </w:r>
      <w:r>
        <w:rPr>
          <w:spacing w:val="80"/>
          <w:sz w:val="24"/>
        </w:rPr>
        <w:t> </w:t>
      </w:r>
      <w:r>
        <w:rPr>
          <w:sz w:val="24"/>
        </w:rPr>
        <w:t>educational</w:t>
      </w:r>
      <w:r>
        <w:rPr>
          <w:spacing w:val="75"/>
          <w:sz w:val="24"/>
        </w:rPr>
        <w:t> </w:t>
      </w:r>
      <w:r>
        <w:rPr>
          <w:sz w:val="24"/>
        </w:rPr>
        <w:t>use,</w:t>
      </w:r>
      <w:r>
        <w:rPr>
          <w:spacing w:val="75"/>
          <w:sz w:val="24"/>
        </w:rPr>
        <w:t> </w:t>
      </w:r>
      <w:r>
        <w:rPr>
          <w:sz w:val="24"/>
        </w:rPr>
        <w:t>and</w:t>
      </w:r>
      <w:r>
        <w:rPr>
          <w:spacing w:val="75"/>
          <w:sz w:val="24"/>
        </w:rPr>
        <w:t> </w:t>
      </w:r>
      <w:r>
        <w:rPr>
          <w:sz w:val="24"/>
        </w:rPr>
        <w:t>including a building for such other uses incidental thereto such as a </w:t>
      </w:r>
      <w:r>
        <w:rPr>
          <w:spacing w:val="9"/>
          <w:sz w:val="24"/>
        </w:rPr>
        <w:t>library, </w:t>
      </w:r>
      <w:r>
        <w:rPr>
          <w:sz w:val="24"/>
        </w:rPr>
        <w:t>multipurpose hall, auditorium or a research institution.</w:t>
      </w:r>
      <w:r>
        <w:rPr>
          <w:spacing w:val="40"/>
          <w:sz w:val="24"/>
        </w:rPr>
        <w:t> </w:t>
      </w:r>
      <w:r>
        <w:rPr>
          <w:sz w:val="24"/>
        </w:rPr>
        <w:t>It shall also include quarters for essential staff required to reside in the premises,</w:t>
      </w:r>
      <w:r>
        <w:rPr>
          <w:spacing w:val="40"/>
          <w:sz w:val="24"/>
        </w:rPr>
        <w:t> </w:t>
      </w:r>
      <w:r>
        <w:rPr>
          <w:sz w:val="24"/>
        </w:rPr>
        <w:t>and a building used as a hostel captive to an educational institution whether</w:t>
      </w:r>
      <w:r>
        <w:rPr>
          <w:spacing w:val="77"/>
          <w:sz w:val="24"/>
        </w:rPr>
        <w:t> </w:t>
      </w:r>
      <w:r>
        <w:rPr>
          <w:sz w:val="24"/>
        </w:rPr>
        <w:t>situated</w:t>
      </w:r>
      <w:r>
        <w:rPr>
          <w:spacing w:val="40"/>
          <w:sz w:val="24"/>
        </w:rPr>
        <w:t> </w:t>
      </w:r>
      <w:r>
        <w:rPr>
          <w:sz w:val="24"/>
        </w:rPr>
        <w:t>in</w:t>
      </w:r>
      <w:r>
        <w:rPr>
          <w:spacing w:val="40"/>
          <w:sz w:val="24"/>
        </w:rPr>
        <w:t> </w:t>
      </w:r>
      <w:r>
        <w:rPr>
          <w:sz w:val="24"/>
        </w:rPr>
        <w:t>its</w:t>
      </w:r>
      <w:r>
        <w:rPr>
          <w:spacing w:val="40"/>
          <w:sz w:val="24"/>
        </w:rPr>
        <w:t> </w:t>
      </w:r>
      <w:r>
        <w:rPr>
          <w:sz w:val="24"/>
        </w:rPr>
        <w:t>campus</w:t>
      </w:r>
      <w:r>
        <w:rPr>
          <w:spacing w:val="40"/>
          <w:sz w:val="24"/>
        </w:rPr>
        <w:t> </w:t>
      </w:r>
      <w:r>
        <w:rPr>
          <w:sz w:val="24"/>
        </w:rPr>
        <w:t>or</w:t>
      </w:r>
      <w:r>
        <w:rPr>
          <w:spacing w:val="40"/>
          <w:sz w:val="24"/>
        </w:rPr>
        <w:t> </w:t>
      </w:r>
      <w:r>
        <w:rPr>
          <w:sz w:val="24"/>
        </w:rPr>
        <w:t>not,</w:t>
      </w:r>
      <w:r>
        <w:rPr>
          <w:spacing w:val="80"/>
          <w:sz w:val="24"/>
        </w:rPr>
        <w:t> </w:t>
      </w:r>
      <w:r>
        <w:rPr>
          <w:b/>
          <w:sz w:val="24"/>
        </w:rPr>
        <w:t>Hostel</w:t>
      </w:r>
      <w:r>
        <w:rPr>
          <w:b/>
          <w:spacing w:val="80"/>
          <w:sz w:val="24"/>
        </w:rPr>
        <w:t> </w:t>
      </w:r>
      <w:r>
        <w:rPr>
          <w:b/>
          <w:sz w:val="24"/>
        </w:rPr>
        <w:t>for</w:t>
      </w:r>
      <w:r>
        <w:rPr>
          <w:b/>
          <w:spacing w:val="40"/>
          <w:sz w:val="24"/>
        </w:rPr>
        <w:t> </w:t>
      </w:r>
      <w:r>
        <w:rPr>
          <w:b/>
          <w:sz w:val="24"/>
        </w:rPr>
        <w:t>girls</w:t>
      </w:r>
      <w:r>
        <w:rPr>
          <w:b/>
          <w:spacing w:val="80"/>
          <w:sz w:val="24"/>
        </w:rPr>
        <w:t> </w:t>
      </w:r>
      <w:r>
        <w:rPr>
          <w:b/>
          <w:sz w:val="24"/>
        </w:rPr>
        <w:t>student.</w:t>
      </w:r>
    </w:p>
    <w:p>
      <w:pPr>
        <w:pStyle w:val="ListParagraph"/>
        <w:numPr>
          <w:ilvl w:val="2"/>
          <w:numId w:val="6"/>
        </w:numPr>
        <w:tabs>
          <w:tab w:pos="1807" w:val="left" w:leader="none"/>
        </w:tabs>
        <w:spacing w:line="281" w:lineRule="exact" w:before="0" w:after="0"/>
        <w:ind w:left="1807" w:right="0" w:hanging="468"/>
        <w:jc w:val="both"/>
        <w:rPr>
          <w:sz w:val="24"/>
        </w:rPr>
      </w:pPr>
      <w:r>
        <w:rPr>
          <w:sz w:val="24"/>
        </w:rPr>
        <w:t>"Hazardous</w:t>
      </w:r>
      <w:r>
        <w:rPr>
          <w:spacing w:val="61"/>
          <w:sz w:val="24"/>
        </w:rPr>
        <w:t> </w:t>
      </w:r>
      <w:r>
        <w:rPr>
          <w:sz w:val="24"/>
        </w:rPr>
        <w:t>building"</w:t>
      </w:r>
      <w:r>
        <w:rPr>
          <w:spacing w:val="61"/>
          <w:sz w:val="24"/>
        </w:rPr>
        <w:t> </w:t>
      </w:r>
      <w:r>
        <w:rPr>
          <w:sz w:val="24"/>
        </w:rPr>
        <w:t>means</w:t>
      </w:r>
      <w:r>
        <w:rPr>
          <w:spacing w:val="61"/>
          <w:sz w:val="24"/>
        </w:rPr>
        <w:t> </w:t>
      </w:r>
      <w:r>
        <w:rPr>
          <w:sz w:val="24"/>
        </w:rPr>
        <w:t>a</w:t>
      </w:r>
      <w:r>
        <w:rPr>
          <w:spacing w:val="64"/>
          <w:sz w:val="24"/>
        </w:rPr>
        <w:t> </w:t>
      </w:r>
      <w:r>
        <w:rPr>
          <w:sz w:val="24"/>
        </w:rPr>
        <w:t>building</w:t>
      </w:r>
      <w:r>
        <w:rPr>
          <w:spacing w:val="62"/>
          <w:sz w:val="24"/>
        </w:rPr>
        <w:t> </w:t>
      </w:r>
      <w:r>
        <w:rPr>
          <w:sz w:val="24"/>
        </w:rPr>
        <w:t>or</w:t>
      </w:r>
      <w:r>
        <w:rPr>
          <w:spacing w:val="64"/>
          <w:sz w:val="24"/>
        </w:rPr>
        <w:t> </w:t>
      </w:r>
      <w:r>
        <w:rPr>
          <w:sz w:val="24"/>
        </w:rPr>
        <w:t>part</w:t>
      </w:r>
      <w:r>
        <w:rPr>
          <w:spacing w:val="61"/>
          <w:sz w:val="24"/>
        </w:rPr>
        <w:t> </w:t>
      </w:r>
      <w:r>
        <w:rPr>
          <w:sz w:val="24"/>
        </w:rPr>
        <w:t>thereof</w:t>
      </w:r>
      <w:r>
        <w:rPr>
          <w:spacing w:val="61"/>
          <w:sz w:val="24"/>
        </w:rPr>
        <w:t> </w:t>
      </w:r>
      <w:r>
        <w:rPr>
          <w:sz w:val="24"/>
        </w:rPr>
        <w:t>used</w:t>
      </w:r>
      <w:r>
        <w:rPr>
          <w:spacing w:val="65"/>
          <w:sz w:val="24"/>
        </w:rPr>
        <w:t> </w:t>
      </w:r>
      <w:r>
        <w:rPr>
          <w:spacing w:val="-4"/>
          <w:sz w:val="24"/>
        </w:rPr>
        <w:t>for-</w:t>
      </w:r>
    </w:p>
    <w:p>
      <w:pPr>
        <w:pStyle w:val="ListParagraph"/>
        <w:numPr>
          <w:ilvl w:val="3"/>
          <w:numId w:val="6"/>
        </w:numPr>
        <w:tabs>
          <w:tab w:pos="2343" w:val="left" w:leader="none"/>
        </w:tabs>
        <w:spacing w:line="240" w:lineRule="auto" w:before="1" w:after="0"/>
        <w:ind w:left="1766" w:right="777" w:firstLine="0"/>
        <w:jc w:val="both"/>
        <w:rPr>
          <w:sz w:val="24"/>
        </w:rPr>
      </w:pPr>
      <w:r>
        <w:rPr>
          <w:sz w:val="24"/>
        </w:rPr>
        <w:t>storage, handling, manufacture or processing of radioactive substances</w:t>
      </w:r>
      <w:r>
        <w:rPr>
          <w:spacing w:val="40"/>
          <w:sz w:val="24"/>
        </w:rPr>
        <w:t> </w:t>
      </w:r>
      <w:r>
        <w:rPr>
          <w:sz w:val="24"/>
        </w:rPr>
        <w:t>or</w:t>
      </w:r>
      <w:r>
        <w:rPr>
          <w:spacing w:val="40"/>
          <w:sz w:val="24"/>
        </w:rPr>
        <w:t> </w:t>
      </w:r>
      <w:r>
        <w:rPr>
          <w:sz w:val="24"/>
        </w:rPr>
        <w:t>of</w:t>
      </w:r>
      <w:r>
        <w:rPr>
          <w:spacing w:val="40"/>
          <w:sz w:val="24"/>
        </w:rPr>
        <w:t> </w:t>
      </w:r>
      <w:r>
        <w:rPr>
          <w:sz w:val="24"/>
        </w:rPr>
        <w:t>highly</w:t>
      </w:r>
      <w:r>
        <w:rPr>
          <w:spacing w:val="40"/>
          <w:sz w:val="24"/>
        </w:rPr>
        <w:t> </w:t>
      </w:r>
      <w:r>
        <w:rPr>
          <w:sz w:val="24"/>
        </w:rPr>
        <w:t>combustible</w:t>
      </w:r>
      <w:r>
        <w:rPr>
          <w:spacing w:val="40"/>
          <w:sz w:val="24"/>
        </w:rPr>
        <w:t> </w:t>
      </w:r>
      <w:r>
        <w:rPr>
          <w:sz w:val="24"/>
        </w:rPr>
        <w:t>or</w:t>
      </w:r>
      <w:r>
        <w:rPr>
          <w:spacing w:val="40"/>
          <w:sz w:val="24"/>
        </w:rPr>
        <w:t> </w:t>
      </w:r>
      <w:r>
        <w:rPr>
          <w:sz w:val="24"/>
        </w:rPr>
        <w:t>explosive</w:t>
      </w:r>
      <w:r>
        <w:rPr>
          <w:spacing w:val="40"/>
          <w:sz w:val="24"/>
        </w:rPr>
        <w:t> </w:t>
      </w:r>
      <w:r>
        <w:rPr>
          <w:sz w:val="24"/>
        </w:rPr>
        <w:t>materials</w:t>
      </w:r>
      <w:r>
        <w:rPr>
          <w:spacing w:val="40"/>
          <w:sz w:val="24"/>
        </w:rPr>
        <w:t> </w:t>
      </w:r>
      <w:r>
        <w:rPr>
          <w:sz w:val="24"/>
        </w:rPr>
        <w:t>or</w:t>
      </w:r>
      <w:r>
        <w:rPr>
          <w:spacing w:val="80"/>
          <w:sz w:val="24"/>
        </w:rPr>
        <w:t> </w:t>
      </w:r>
      <w:r>
        <w:rPr>
          <w:sz w:val="24"/>
        </w:rPr>
        <w:t>products which are liable to burn with extreme rapidity </w:t>
      </w:r>
      <w:r>
        <w:rPr>
          <w:spacing w:val="9"/>
          <w:sz w:val="24"/>
        </w:rPr>
        <w:t>and/or </w:t>
      </w:r>
      <w:r>
        <w:rPr>
          <w:sz w:val="24"/>
        </w:rPr>
        <w:t>producing</w:t>
      </w:r>
      <w:r>
        <w:rPr>
          <w:spacing w:val="80"/>
          <w:sz w:val="24"/>
        </w:rPr>
        <w:t> </w:t>
      </w:r>
      <w:r>
        <w:rPr>
          <w:sz w:val="24"/>
        </w:rPr>
        <w:t>poisonous</w:t>
      </w:r>
      <w:r>
        <w:rPr>
          <w:spacing w:val="80"/>
          <w:sz w:val="24"/>
        </w:rPr>
        <w:t> </w:t>
      </w:r>
      <w:r>
        <w:rPr>
          <w:sz w:val="24"/>
        </w:rPr>
        <w:t>fumes</w:t>
      </w:r>
      <w:r>
        <w:rPr>
          <w:spacing w:val="80"/>
          <w:sz w:val="24"/>
        </w:rPr>
        <w:t> </w:t>
      </w:r>
      <w:r>
        <w:rPr>
          <w:sz w:val="24"/>
        </w:rPr>
        <w:t>or</w:t>
      </w:r>
      <w:r>
        <w:rPr>
          <w:spacing w:val="80"/>
          <w:sz w:val="24"/>
        </w:rPr>
        <w:t> </w:t>
      </w:r>
      <w:r>
        <w:rPr>
          <w:sz w:val="24"/>
        </w:rPr>
        <w:t>explosive</w:t>
      </w:r>
      <w:r>
        <w:rPr>
          <w:spacing w:val="80"/>
          <w:sz w:val="24"/>
        </w:rPr>
        <w:t> </w:t>
      </w:r>
      <w:r>
        <w:rPr>
          <w:sz w:val="24"/>
        </w:rPr>
        <w:t>emanations;</w:t>
      </w:r>
    </w:p>
    <w:p>
      <w:pPr>
        <w:pStyle w:val="ListParagraph"/>
        <w:spacing w:after="0" w:line="240" w:lineRule="auto"/>
        <w:jc w:val="both"/>
        <w:rPr>
          <w:sz w:val="24"/>
        </w:rPr>
        <w:sectPr>
          <w:pgSz w:w="11910" w:h="16840"/>
          <w:pgMar w:header="1058" w:footer="1357" w:top="1500" w:bottom="1540" w:left="360" w:right="360"/>
        </w:sectPr>
      </w:pPr>
    </w:p>
    <w:p>
      <w:pPr>
        <w:pStyle w:val="ListParagraph"/>
        <w:numPr>
          <w:ilvl w:val="3"/>
          <w:numId w:val="6"/>
        </w:numPr>
        <w:tabs>
          <w:tab w:pos="2367" w:val="left" w:leader="none"/>
        </w:tabs>
        <w:spacing w:line="240" w:lineRule="auto" w:before="255" w:after="0"/>
        <w:ind w:left="1766" w:right="783" w:firstLine="0"/>
        <w:jc w:val="both"/>
        <w:rPr>
          <w:sz w:val="24"/>
        </w:rPr>
      </w:pPr>
      <w:r>
        <w:rPr>
          <w:sz w:val="24"/>
        </w:rPr>
        <w:t>storage,</w:t>
      </w:r>
      <w:r>
        <w:rPr>
          <w:spacing w:val="40"/>
          <w:sz w:val="24"/>
        </w:rPr>
        <w:t> </w:t>
      </w:r>
      <w:r>
        <w:rPr>
          <w:sz w:val="24"/>
        </w:rPr>
        <w:t>handling,</w:t>
      </w:r>
      <w:r>
        <w:rPr>
          <w:spacing w:val="40"/>
          <w:sz w:val="24"/>
        </w:rPr>
        <w:t> </w:t>
      </w:r>
      <w:r>
        <w:rPr>
          <w:sz w:val="24"/>
        </w:rPr>
        <w:t>manufacture</w:t>
      </w:r>
      <w:r>
        <w:rPr>
          <w:spacing w:val="40"/>
          <w:sz w:val="24"/>
        </w:rPr>
        <w:t> </w:t>
      </w:r>
      <w:r>
        <w:rPr>
          <w:sz w:val="24"/>
        </w:rPr>
        <w:t>or</w:t>
      </w:r>
      <w:r>
        <w:rPr>
          <w:spacing w:val="40"/>
          <w:sz w:val="24"/>
        </w:rPr>
        <w:t> </w:t>
      </w:r>
      <w:r>
        <w:rPr>
          <w:sz w:val="24"/>
        </w:rPr>
        <w:t>processing</w:t>
      </w:r>
      <w:r>
        <w:rPr>
          <w:spacing w:val="40"/>
          <w:sz w:val="24"/>
        </w:rPr>
        <w:t> </w:t>
      </w:r>
      <w:r>
        <w:rPr>
          <w:sz w:val="24"/>
        </w:rPr>
        <w:t>which</w:t>
      </w:r>
      <w:r>
        <w:rPr>
          <w:spacing w:val="40"/>
          <w:sz w:val="24"/>
        </w:rPr>
        <w:t> </w:t>
      </w:r>
      <w:r>
        <w:rPr>
          <w:sz w:val="24"/>
        </w:rPr>
        <w:t>involves highly</w:t>
      </w:r>
      <w:r>
        <w:rPr>
          <w:spacing w:val="80"/>
          <w:sz w:val="24"/>
        </w:rPr>
        <w:t> </w:t>
      </w:r>
      <w:r>
        <w:rPr>
          <w:sz w:val="24"/>
        </w:rPr>
        <w:t>corrosive,</w:t>
      </w:r>
      <w:r>
        <w:rPr>
          <w:spacing w:val="80"/>
          <w:sz w:val="24"/>
        </w:rPr>
        <w:t> </w:t>
      </w:r>
      <w:r>
        <w:rPr>
          <w:sz w:val="24"/>
        </w:rPr>
        <w:t>toxic</w:t>
      </w:r>
      <w:r>
        <w:rPr>
          <w:spacing w:val="80"/>
          <w:sz w:val="24"/>
        </w:rPr>
        <w:t> </w:t>
      </w:r>
      <w:r>
        <w:rPr>
          <w:sz w:val="24"/>
        </w:rPr>
        <w:t>or</w:t>
      </w:r>
      <w:r>
        <w:rPr>
          <w:spacing w:val="80"/>
          <w:sz w:val="24"/>
        </w:rPr>
        <w:t> </w:t>
      </w:r>
      <w:r>
        <w:rPr>
          <w:sz w:val="24"/>
        </w:rPr>
        <w:t>noxious</w:t>
      </w:r>
      <w:r>
        <w:rPr>
          <w:spacing w:val="80"/>
          <w:sz w:val="24"/>
        </w:rPr>
        <w:t> </w:t>
      </w:r>
      <w:r>
        <w:rPr>
          <w:sz w:val="24"/>
        </w:rPr>
        <w:t>alkalis,</w:t>
      </w:r>
      <w:r>
        <w:rPr>
          <w:spacing w:val="80"/>
          <w:sz w:val="24"/>
        </w:rPr>
        <w:t> </w:t>
      </w:r>
      <w:r>
        <w:rPr>
          <w:sz w:val="24"/>
        </w:rPr>
        <w:t>acids,</w:t>
      </w:r>
      <w:r>
        <w:rPr>
          <w:spacing w:val="80"/>
          <w:sz w:val="24"/>
        </w:rPr>
        <w:t> </w:t>
      </w:r>
      <w:r>
        <w:rPr>
          <w:sz w:val="24"/>
        </w:rPr>
        <w:t>or</w:t>
      </w:r>
      <w:r>
        <w:rPr>
          <w:spacing w:val="80"/>
          <w:sz w:val="24"/>
        </w:rPr>
        <w:t> </w:t>
      </w:r>
      <w:r>
        <w:rPr>
          <w:sz w:val="24"/>
        </w:rPr>
        <w:t>other</w:t>
      </w:r>
      <w:r>
        <w:rPr>
          <w:spacing w:val="80"/>
          <w:sz w:val="24"/>
        </w:rPr>
        <w:t> </w:t>
      </w:r>
      <w:r>
        <w:rPr>
          <w:sz w:val="24"/>
        </w:rPr>
        <w:t>liquids, gases</w:t>
      </w:r>
      <w:r>
        <w:rPr>
          <w:spacing w:val="80"/>
          <w:sz w:val="24"/>
        </w:rPr>
        <w:t> </w:t>
      </w:r>
      <w:r>
        <w:rPr>
          <w:sz w:val="24"/>
        </w:rPr>
        <w:t>or</w:t>
      </w:r>
      <w:r>
        <w:rPr>
          <w:spacing w:val="80"/>
          <w:sz w:val="24"/>
        </w:rPr>
        <w:t> </w:t>
      </w:r>
      <w:r>
        <w:rPr>
          <w:sz w:val="24"/>
        </w:rPr>
        <w:t>chemicals</w:t>
      </w:r>
      <w:r>
        <w:rPr>
          <w:spacing w:val="80"/>
          <w:sz w:val="24"/>
        </w:rPr>
        <w:t> </w:t>
      </w:r>
      <w:r>
        <w:rPr>
          <w:sz w:val="24"/>
        </w:rPr>
        <w:t>producing</w:t>
      </w:r>
      <w:r>
        <w:rPr>
          <w:spacing w:val="80"/>
          <w:sz w:val="24"/>
        </w:rPr>
        <w:t> </w:t>
      </w:r>
      <w:r>
        <w:rPr>
          <w:sz w:val="24"/>
        </w:rPr>
        <w:t>flame,</w:t>
      </w:r>
      <w:r>
        <w:rPr>
          <w:spacing w:val="80"/>
          <w:sz w:val="24"/>
        </w:rPr>
        <w:t> </w:t>
      </w:r>
      <w:r>
        <w:rPr>
          <w:sz w:val="24"/>
        </w:rPr>
        <w:t>fumes</w:t>
      </w:r>
      <w:r>
        <w:rPr>
          <w:spacing w:val="80"/>
          <w:sz w:val="24"/>
        </w:rPr>
        <w:t> </w:t>
      </w:r>
      <w:r>
        <w:rPr>
          <w:sz w:val="24"/>
        </w:rPr>
        <w:t>and</w:t>
      </w:r>
      <w:r>
        <w:rPr>
          <w:spacing w:val="80"/>
          <w:sz w:val="24"/>
        </w:rPr>
        <w:t> </w:t>
      </w:r>
      <w:r>
        <w:rPr>
          <w:sz w:val="24"/>
        </w:rPr>
        <w:t>explosive</w:t>
      </w:r>
      <w:r>
        <w:rPr>
          <w:spacing w:val="80"/>
          <w:sz w:val="24"/>
        </w:rPr>
        <w:t> </w:t>
      </w:r>
      <w:r>
        <w:rPr>
          <w:sz w:val="24"/>
        </w:rPr>
        <w:t>mixtures or which result in division of matter into fine particles capable of spontaneous ignition.</w:t>
      </w:r>
    </w:p>
    <w:p>
      <w:pPr>
        <w:pStyle w:val="ListParagraph"/>
        <w:numPr>
          <w:ilvl w:val="2"/>
          <w:numId w:val="6"/>
        </w:numPr>
        <w:tabs>
          <w:tab w:pos="1766" w:val="left" w:leader="none"/>
          <w:tab w:pos="1843" w:val="left" w:leader="none"/>
        </w:tabs>
        <w:spacing w:line="240" w:lineRule="auto" w:before="0" w:after="0"/>
        <w:ind w:left="1766" w:right="776" w:hanging="341"/>
        <w:jc w:val="both"/>
        <w:rPr>
          <w:sz w:val="24"/>
        </w:rPr>
      </w:pPr>
      <w:r>
        <w:rPr>
          <w:sz w:val="24"/>
        </w:rPr>
        <w:tab/>
        <w:t>"Industrial</w:t>
      </w:r>
      <w:r>
        <w:rPr>
          <w:spacing w:val="40"/>
          <w:sz w:val="24"/>
        </w:rPr>
        <w:t> </w:t>
      </w:r>
      <w:r>
        <w:rPr>
          <w:sz w:val="24"/>
        </w:rPr>
        <w:t>building"</w:t>
      </w:r>
      <w:r>
        <w:rPr>
          <w:spacing w:val="40"/>
          <w:sz w:val="24"/>
        </w:rPr>
        <w:t> </w:t>
      </w:r>
      <w:r>
        <w:rPr>
          <w:sz w:val="24"/>
        </w:rPr>
        <w:t>means</w:t>
      </w:r>
      <w:r>
        <w:rPr>
          <w:spacing w:val="40"/>
          <w:sz w:val="24"/>
        </w:rPr>
        <w:t> </w:t>
      </w:r>
      <w:r>
        <w:rPr>
          <w:sz w:val="24"/>
        </w:rPr>
        <w:t>a</w:t>
      </w:r>
      <w:r>
        <w:rPr>
          <w:spacing w:val="40"/>
          <w:sz w:val="24"/>
        </w:rPr>
        <w:t> </w:t>
      </w:r>
      <w:r>
        <w:rPr>
          <w:sz w:val="24"/>
        </w:rPr>
        <w:t>building</w:t>
      </w:r>
      <w:r>
        <w:rPr>
          <w:spacing w:val="40"/>
          <w:sz w:val="24"/>
        </w:rPr>
        <w:t> </w:t>
      </w:r>
      <w:r>
        <w:rPr>
          <w:sz w:val="24"/>
        </w:rPr>
        <w:t>or</w:t>
      </w:r>
      <w:r>
        <w:rPr>
          <w:spacing w:val="40"/>
          <w:sz w:val="24"/>
        </w:rPr>
        <w:t> </w:t>
      </w:r>
      <w:r>
        <w:rPr>
          <w:sz w:val="24"/>
        </w:rPr>
        <w:t>part</w:t>
      </w:r>
      <w:r>
        <w:rPr>
          <w:spacing w:val="40"/>
          <w:sz w:val="24"/>
        </w:rPr>
        <w:t> </w:t>
      </w:r>
      <w:r>
        <w:rPr>
          <w:sz w:val="24"/>
        </w:rPr>
        <w:t>thereof</w:t>
      </w:r>
      <w:r>
        <w:rPr>
          <w:spacing w:val="40"/>
          <w:sz w:val="24"/>
        </w:rPr>
        <w:t> </w:t>
      </w:r>
      <w:r>
        <w:rPr>
          <w:sz w:val="24"/>
        </w:rPr>
        <w:t>wherein products</w:t>
      </w:r>
      <w:r>
        <w:rPr>
          <w:spacing w:val="80"/>
          <w:sz w:val="24"/>
        </w:rPr>
        <w:t> </w:t>
      </w:r>
      <w:r>
        <w:rPr>
          <w:sz w:val="24"/>
        </w:rPr>
        <w:t>or</w:t>
      </w:r>
      <w:r>
        <w:rPr>
          <w:spacing w:val="80"/>
          <w:sz w:val="24"/>
        </w:rPr>
        <w:t> </w:t>
      </w:r>
      <w:r>
        <w:rPr>
          <w:sz w:val="24"/>
        </w:rPr>
        <w:t>material</w:t>
      </w:r>
      <w:r>
        <w:rPr>
          <w:spacing w:val="80"/>
          <w:sz w:val="24"/>
        </w:rPr>
        <w:t> </w:t>
      </w:r>
      <w:r>
        <w:rPr>
          <w:sz w:val="24"/>
        </w:rPr>
        <w:t>are</w:t>
      </w:r>
      <w:r>
        <w:rPr>
          <w:spacing w:val="80"/>
          <w:sz w:val="24"/>
        </w:rPr>
        <w:t> </w:t>
      </w:r>
      <w:r>
        <w:rPr>
          <w:sz w:val="24"/>
        </w:rPr>
        <w:t>fabricated,</w:t>
      </w:r>
      <w:r>
        <w:rPr>
          <w:spacing w:val="80"/>
          <w:sz w:val="24"/>
        </w:rPr>
        <w:t> </w:t>
      </w:r>
      <w:r>
        <w:rPr>
          <w:sz w:val="24"/>
        </w:rPr>
        <w:t>assembled</w:t>
      </w:r>
      <w:r>
        <w:rPr>
          <w:spacing w:val="80"/>
          <w:sz w:val="24"/>
        </w:rPr>
        <w:t> </w:t>
      </w:r>
      <w:r>
        <w:rPr>
          <w:sz w:val="24"/>
        </w:rPr>
        <w:t>or</w:t>
      </w:r>
      <w:r>
        <w:rPr>
          <w:spacing w:val="80"/>
          <w:sz w:val="24"/>
        </w:rPr>
        <w:t> </w:t>
      </w:r>
      <w:r>
        <w:rPr>
          <w:sz w:val="24"/>
        </w:rPr>
        <w:t>processed,</w:t>
      </w:r>
      <w:r>
        <w:rPr>
          <w:spacing w:val="80"/>
          <w:sz w:val="24"/>
        </w:rPr>
        <w:t> </w:t>
      </w:r>
      <w:r>
        <w:rPr>
          <w:spacing w:val="9"/>
          <w:sz w:val="24"/>
        </w:rPr>
        <w:t>such </w:t>
      </w:r>
      <w:r>
        <w:rPr>
          <w:sz w:val="24"/>
        </w:rPr>
        <w:t>as</w:t>
      </w:r>
      <w:r>
        <w:rPr>
          <w:spacing w:val="80"/>
          <w:sz w:val="24"/>
        </w:rPr>
        <w:t> </w:t>
      </w:r>
      <w:r>
        <w:rPr>
          <w:sz w:val="24"/>
        </w:rPr>
        <w:t>assembly</w:t>
      </w:r>
      <w:r>
        <w:rPr>
          <w:spacing w:val="80"/>
          <w:sz w:val="24"/>
        </w:rPr>
        <w:t> </w:t>
      </w:r>
      <w:r>
        <w:rPr>
          <w:sz w:val="24"/>
        </w:rPr>
        <w:t>plants,</w:t>
      </w:r>
      <w:r>
        <w:rPr>
          <w:spacing w:val="80"/>
          <w:sz w:val="24"/>
        </w:rPr>
        <w:t> </w:t>
      </w:r>
      <w:r>
        <w:rPr>
          <w:sz w:val="24"/>
        </w:rPr>
        <w:t>laboratories,</w:t>
      </w:r>
      <w:r>
        <w:rPr>
          <w:spacing w:val="80"/>
          <w:sz w:val="24"/>
        </w:rPr>
        <w:t> </w:t>
      </w:r>
      <w:r>
        <w:rPr>
          <w:sz w:val="24"/>
        </w:rPr>
        <w:t>power</w:t>
      </w:r>
      <w:r>
        <w:rPr>
          <w:spacing w:val="80"/>
          <w:sz w:val="24"/>
        </w:rPr>
        <w:t> </w:t>
      </w:r>
      <w:r>
        <w:rPr>
          <w:sz w:val="24"/>
        </w:rPr>
        <w:t>plants,</w:t>
      </w:r>
      <w:r>
        <w:rPr>
          <w:spacing w:val="80"/>
          <w:sz w:val="24"/>
        </w:rPr>
        <w:t> </w:t>
      </w:r>
      <w:r>
        <w:rPr>
          <w:sz w:val="24"/>
        </w:rPr>
        <w:t>refineries,</w:t>
      </w:r>
      <w:r>
        <w:rPr>
          <w:spacing w:val="80"/>
          <w:sz w:val="24"/>
        </w:rPr>
        <w:t> </w:t>
      </w:r>
      <w:r>
        <w:rPr>
          <w:sz w:val="24"/>
        </w:rPr>
        <w:t>gas plants,</w:t>
      </w:r>
      <w:r>
        <w:rPr>
          <w:spacing w:val="40"/>
          <w:sz w:val="24"/>
        </w:rPr>
        <w:t> </w:t>
      </w:r>
      <w:r>
        <w:rPr>
          <w:sz w:val="24"/>
        </w:rPr>
        <w:t>mills,</w:t>
      </w:r>
      <w:r>
        <w:rPr>
          <w:spacing w:val="40"/>
          <w:sz w:val="24"/>
        </w:rPr>
        <w:t> </w:t>
      </w:r>
      <w:r>
        <w:rPr>
          <w:sz w:val="24"/>
        </w:rPr>
        <w:t>dairies</w:t>
      </w:r>
      <w:r>
        <w:rPr>
          <w:spacing w:val="40"/>
          <w:sz w:val="24"/>
        </w:rPr>
        <w:t> </w:t>
      </w:r>
      <w:r>
        <w:rPr>
          <w:sz w:val="24"/>
        </w:rPr>
        <w:t>and</w:t>
      </w:r>
      <w:r>
        <w:rPr>
          <w:spacing w:val="40"/>
          <w:sz w:val="24"/>
        </w:rPr>
        <w:t> </w:t>
      </w:r>
      <w:r>
        <w:rPr>
          <w:spacing w:val="9"/>
          <w:sz w:val="24"/>
        </w:rPr>
        <w:t>factories</w:t>
      </w:r>
    </w:p>
    <w:p>
      <w:pPr>
        <w:pStyle w:val="ListParagraph"/>
        <w:numPr>
          <w:ilvl w:val="2"/>
          <w:numId w:val="6"/>
        </w:numPr>
        <w:tabs>
          <w:tab w:pos="1758" w:val="left" w:leader="none"/>
          <w:tab w:pos="1766" w:val="left" w:leader="none"/>
        </w:tabs>
        <w:spacing w:line="240" w:lineRule="auto" w:before="1" w:after="0"/>
        <w:ind w:left="1766" w:right="773" w:hanging="428"/>
        <w:jc w:val="both"/>
        <w:rPr>
          <w:sz w:val="24"/>
        </w:rPr>
      </w:pPr>
      <w:r>
        <w:rPr>
          <w:sz w:val="24"/>
        </w:rPr>
        <w:t>"Institutional building" means a building constructed or used</w:t>
      </w:r>
      <w:r>
        <w:rPr>
          <w:spacing w:val="40"/>
          <w:sz w:val="24"/>
        </w:rPr>
        <w:t> </w:t>
      </w:r>
      <w:r>
        <w:rPr>
          <w:sz w:val="24"/>
        </w:rPr>
        <w:t>for education, health, research and such other activities, /hostel for </w:t>
      </w:r>
      <w:r>
        <w:rPr>
          <w:spacing w:val="9"/>
          <w:sz w:val="24"/>
        </w:rPr>
        <w:t>workingwomen/persons/students,</w:t>
      </w:r>
      <w:r>
        <w:rPr>
          <w:spacing w:val="9"/>
          <w:sz w:val="24"/>
        </w:rPr>
        <w:t> </w:t>
      </w:r>
      <w:r>
        <w:rPr>
          <w:sz w:val="24"/>
        </w:rPr>
        <w:t>but not for lodging or for an auditorium</w:t>
      </w:r>
      <w:r>
        <w:rPr>
          <w:spacing w:val="40"/>
          <w:sz w:val="24"/>
        </w:rPr>
        <w:t> </w:t>
      </w:r>
      <w:r>
        <w:rPr>
          <w:sz w:val="24"/>
        </w:rPr>
        <w:t>or</w:t>
      </w:r>
      <w:r>
        <w:rPr>
          <w:spacing w:val="40"/>
          <w:sz w:val="24"/>
        </w:rPr>
        <w:t> </w:t>
      </w:r>
      <w:r>
        <w:rPr>
          <w:sz w:val="24"/>
        </w:rPr>
        <w:t>complex</w:t>
      </w:r>
      <w:r>
        <w:rPr>
          <w:spacing w:val="40"/>
          <w:sz w:val="24"/>
        </w:rPr>
        <w:t> </w:t>
      </w:r>
      <w:r>
        <w:rPr>
          <w:sz w:val="24"/>
        </w:rPr>
        <w:t>for</w:t>
      </w:r>
      <w:r>
        <w:rPr>
          <w:spacing w:val="40"/>
          <w:sz w:val="24"/>
        </w:rPr>
        <w:t> </w:t>
      </w:r>
      <w:r>
        <w:rPr>
          <w:sz w:val="24"/>
        </w:rPr>
        <w:t>cultural</w:t>
      </w:r>
      <w:r>
        <w:rPr>
          <w:spacing w:val="40"/>
          <w:sz w:val="24"/>
        </w:rPr>
        <w:t> </w:t>
      </w:r>
      <w:r>
        <w:rPr>
          <w:sz w:val="24"/>
        </w:rPr>
        <w:t>and</w:t>
      </w:r>
      <w:r>
        <w:rPr>
          <w:spacing w:val="40"/>
          <w:sz w:val="24"/>
        </w:rPr>
        <w:t> </w:t>
      </w:r>
      <w:r>
        <w:rPr>
          <w:sz w:val="24"/>
        </w:rPr>
        <w:t>allied</w:t>
      </w:r>
      <w:r>
        <w:rPr>
          <w:spacing w:val="40"/>
          <w:sz w:val="24"/>
        </w:rPr>
        <w:t> </w:t>
      </w:r>
      <w:r>
        <w:rPr>
          <w:sz w:val="24"/>
        </w:rPr>
        <w:t>activities</w:t>
      </w:r>
      <w:r>
        <w:rPr>
          <w:spacing w:val="40"/>
          <w:sz w:val="24"/>
        </w:rPr>
        <w:t> </w:t>
      </w:r>
      <w:r>
        <w:rPr>
          <w:sz w:val="24"/>
        </w:rPr>
        <w:t>or</w:t>
      </w:r>
      <w:r>
        <w:rPr>
          <w:spacing w:val="40"/>
          <w:sz w:val="24"/>
        </w:rPr>
        <w:t> </w:t>
      </w:r>
      <w:r>
        <w:rPr>
          <w:sz w:val="24"/>
        </w:rPr>
        <w:t>for</w:t>
      </w:r>
      <w:r>
        <w:rPr>
          <w:spacing w:val="40"/>
          <w:sz w:val="24"/>
        </w:rPr>
        <w:t> </w:t>
      </w:r>
      <w:r>
        <w:rPr>
          <w:sz w:val="24"/>
        </w:rPr>
        <w:t>an hospice, care of persons suffering from physical or mental illness, handicap, disease or infirmity care of orphans, abandoned</w:t>
      </w:r>
      <w:r>
        <w:rPr>
          <w:spacing w:val="40"/>
          <w:sz w:val="24"/>
        </w:rPr>
        <w:t> </w:t>
      </w:r>
      <w:r>
        <w:rPr>
          <w:sz w:val="24"/>
        </w:rPr>
        <w:t>women, children</w:t>
      </w:r>
      <w:r>
        <w:rPr>
          <w:spacing w:val="80"/>
          <w:sz w:val="24"/>
        </w:rPr>
        <w:t> </w:t>
      </w:r>
      <w:r>
        <w:rPr>
          <w:sz w:val="24"/>
        </w:rPr>
        <w:t>and</w:t>
      </w:r>
      <w:r>
        <w:rPr>
          <w:spacing w:val="80"/>
          <w:sz w:val="24"/>
        </w:rPr>
        <w:t> </w:t>
      </w:r>
      <w:r>
        <w:rPr>
          <w:sz w:val="24"/>
        </w:rPr>
        <w:t>infants,</w:t>
      </w:r>
      <w:r>
        <w:rPr>
          <w:spacing w:val="80"/>
          <w:sz w:val="24"/>
        </w:rPr>
        <w:t> </w:t>
      </w:r>
      <w:r>
        <w:rPr>
          <w:sz w:val="24"/>
        </w:rPr>
        <w:t>convalescents,</w:t>
      </w:r>
      <w:r>
        <w:rPr>
          <w:spacing w:val="80"/>
          <w:sz w:val="24"/>
        </w:rPr>
        <w:t> </w:t>
      </w:r>
      <w:r>
        <w:rPr>
          <w:sz w:val="24"/>
        </w:rPr>
        <w:t>destitute</w:t>
      </w:r>
      <w:r>
        <w:rPr>
          <w:spacing w:val="80"/>
          <w:sz w:val="24"/>
        </w:rPr>
        <w:t> </w:t>
      </w:r>
      <w:r>
        <w:rPr>
          <w:sz w:val="24"/>
        </w:rPr>
        <w:t>or</w:t>
      </w:r>
      <w:r>
        <w:rPr>
          <w:spacing w:val="80"/>
          <w:sz w:val="24"/>
        </w:rPr>
        <w:t> </w:t>
      </w:r>
      <w:r>
        <w:rPr>
          <w:sz w:val="24"/>
        </w:rPr>
        <w:t>aged</w:t>
      </w:r>
      <w:r>
        <w:rPr>
          <w:spacing w:val="80"/>
          <w:sz w:val="24"/>
        </w:rPr>
        <w:t> </w:t>
      </w:r>
      <w:r>
        <w:rPr>
          <w:sz w:val="24"/>
        </w:rPr>
        <w:t>persons</w:t>
      </w:r>
      <w:r>
        <w:rPr>
          <w:spacing w:val="80"/>
          <w:sz w:val="24"/>
        </w:rPr>
        <w:t> </w:t>
      </w:r>
      <w:r>
        <w:rPr>
          <w:sz w:val="24"/>
        </w:rPr>
        <w:t>and for</w:t>
      </w:r>
      <w:r>
        <w:rPr>
          <w:spacing w:val="40"/>
          <w:sz w:val="24"/>
        </w:rPr>
        <w:t> </w:t>
      </w:r>
      <w:r>
        <w:rPr>
          <w:sz w:val="24"/>
        </w:rPr>
        <w:t>penal</w:t>
      </w:r>
      <w:r>
        <w:rPr>
          <w:spacing w:val="40"/>
          <w:sz w:val="24"/>
        </w:rPr>
        <w:t> </w:t>
      </w:r>
      <w:r>
        <w:rPr>
          <w:sz w:val="24"/>
        </w:rPr>
        <w:t>or</w:t>
      </w:r>
      <w:r>
        <w:rPr>
          <w:spacing w:val="40"/>
          <w:sz w:val="24"/>
        </w:rPr>
        <w:t> </w:t>
      </w:r>
      <w:r>
        <w:rPr>
          <w:sz w:val="24"/>
        </w:rPr>
        <w:t>correctional</w:t>
      </w:r>
      <w:r>
        <w:rPr>
          <w:spacing w:val="40"/>
          <w:sz w:val="24"/>
        </w:rPr>
        <w:t> </w:t>
      </w:r>
      <w:r>
        <w:rPr>
          <w:sz w:val="24"/>
        </w:rPr>
        <w:t>detention</w:t>
      </w:r>
      <w:r>
        <w:rPr>
          <w:spacing w:val="40"/>
          <w:sz w:val="24"/>
        </w:rPr>
        <w:t> </w:t>
      </w:r>
      <w:r>
        <w:rPr>
          <w:sz w:val="24"/>
        </w:rPr>
        <w:t>with</w:t>
      </w:r>
      <w:r>
        <w:rPr>
          <w:spacing w:val="40"/>
          <w:sz w:val="24"/>
        </w:rPr>
        <w:t> </w:t>
      </w:r>
      <w:r>
        <w:rPr>
          <w:sz w:val="24"/>
        </w:rPr>
        <w:t>restricted</w:t>
      </w:r>
      <w:r>
        <w:rPr>
          <w:spacing w:val="40"/>
          <w:sz w:val="24"/>
        </w:rPr>
        <w:t> </w:t>
      </w:r>
      <w:r>
        <w:rPr>
          <w:sz w:val="24"/>
        </w:rPr>
        <w:t>liberty</w:t>
      </w:r>
      <w:r>
        <w:rPr>
          <w:spacing w:val="40"/>
          <w:sz w:val="24"/>
        </w:rPr>
        <w:t> </w:t>
      </w:r>
      <w:r>
        <w:rPr>
          <w:sz w:val="24"/>
        </w:rPr>
        <w:t>of</w:t>
      </w:r>
      <w:r>
        <w:rPr>
          <w:spacing w:val="40"/>
          <w:sz w:val="24"/>
        </w:rPr>
        <w:t> </w:t>
      </w:r>
      <w:r>
        <w:rPr>
          <w:sz w:val="24"/>
        </w:rPr>
        <w:t>the inmates ordinarily providing sleeping accommodation, and includes dharamshalas, hospitals, sanatoria, custodial and penal </w:t>
      </w:r>
      <w:r>
        <w:rPr>
          <w:spacing w:val="9"/>
          <w:sz w:val="24"/>
        </w:rPr>
        <w:t>institutions </w:t>
      </w:r>
      <w:r>
        <w:rPr>
          <w:sz w:val="24"/>
        </w:rPr>
        <w:t>such</w:t>
      </w:r>
      <w:r>
        <w:rPr>
          <w:spacing w:val="40"/>
          <w:sz w:val="24"/>
        </w:rPr>
        <w:t> </w:t>
      </w:r>
      <w:r>
        <w:rPr>
          <w:sz w:val="24"/>
        </w:rPr>
        <w:t>as</w:t>
      </w:r>
      <w:r>
        <w:rPr>
          <w:spacing w:val="40"/>
          <w:sz w:val="24"/>
        </w:rPr>
        <w:t> </w:t>
      </w:r>
      <w:r>
        <w:rPr>
          <w:sz w:val="24"/>
        </w:rPr>
        <w:t>jails,</w:t>
      </w:r>
      <w:r>
        <w:rPr>
          <w:spacing w:val="40"/>
          <w:sz w:val="24"/>
        </w:rPr>
        <w:t> </w:t>
      </w:r>
      <w:r>
        <w:rPr>
          <w:sz w:val="24"/>
        </w:rPr>
        <w:t>prisons,</w:t>
      </w:r>
      <w:r>
        <w:rPr>
          <w:spacing w:val="40"/>
          <w:sz w:val="24"/>
        </w:rPr>
        <w:t> </w:t>
      </w:r>
      <w:r>
        <w:rPr>
          <w:sz w:val="24"/>
        </w:rPr>
        <w:t>mental</w:t>
      </w:r>
      <w:r>
        <w:rPr>
          <w:spacing w:val="40"/>
          <w:sz w:val="24"/>
        </w:rPr>
        <w:t> </w:t>
      </w:r>
      <w:r>
        <w:rPr>
          <w:sz w:val="24"/>
        </w:rPr>
        <w:t>hospitals,</w:t>
      </w:r>
      <w:r>
        <w:rPr>
          <w:spacing w:val="40"/>
          <w:sz w:val="24"/>
        </w:rPr>
        <w:t> </w:t>
      </w:r>
      <w:r>
        <w:rPr>
          <w:sz w:val="24"/>
        </w:rPr>
        <w:t>houses</w:t>
      </w:r>
      <w:r>
        <w:rPr>
          <w:spacing w:val="40"/>
          <w:sz w:val="24"/>
        </w:rPr>
        <w:t> </w:t>
      </w:r>
      <w:r>
        <w:rPr>
          <w:sz w:val="24"/>
        </w:rPr>
        <w:t>of</w:t>
      </w:r>
      <w:r>
        <w:rPr>
          <w:spacing w:val="40"/>
          <w:sz w:val="24"/>
        </w:rPr>
        <w:t> </w:t>
      </w:r>
      <w:r>
        <w:rPr>
          <w:sz w:val="24"/>
        </w:rPr>
        <w:t>correction, detention and </w:t>
      </w:r>
      <w:r>
        <w:rPr>
          <w:spacing w:val="9"/>
          <w:sz w:val="24"/>
        </w:rPr>
        <w:t>reformatories.</w:t>
      </w:r>
    </w:p>
    <w:p>
      <w:pPr>
        <w:pStyle w:val="ListParagraph"/>
        <w:numPr>
          <w:ilvl w:val="2"/>
          <w:numId w:val="6"/>
        </w:numPr>
        <w:tabs>
          <w:tab w:pos="1766" w:val="left" w:leader="none"/>
          <w:tab w:pos="1775" w:val="left" w:leader="none"/>
        </w:tabs>
        <w:spacing w:line="240" w:lineRule="auto" w:before="2" w:after="0"/>
        <w:ind w:left="1766" w:right="783" w:hanging="454"/>
        <w:jc w:val="both"/>
        <w:rPr>
          <w:sz w:val="24"/>
        </w:rPr>
      </w:pPr>
      <w:r>
        <w:rPr>
          <w:sz w:val="24"/>
        </w:rPr>
        <w:t>“Information</w:t>
      </w:r>
      <w:r>
        <w:rPr>
          <w:sz w:val="24"/>
        </w:rPr>
        <w:t> Technology Building” means a building used for the</w:t>
      </w:r>
      <w:r>
        <w:rPr>
          <w:spacing w:val="40"/>
          <w:sz w:val="24"/>
        </w:rPr>
        <w:t> </w:t>
      </w:r>
      <w:r>
        <w:rPr>
          <w:sz w:val="24"/>
        </w:rPr>
        <w:t>purpose of business of developing either </w:t>
      </w:r>
      <w:r>
        <w:rPr>
          <w:spacing w:val="9"/>
          <w:sz w:val="24"/>
        </w:rPr>
        <w:t>software</w:t>
      </w:r>
      <w:r>
        <w:rPr>
          <w:spacing w:val="9"/>
          <w:sz w:val="24"/>
        </w:rPr>
        <w:t> </w:t>
      </w:r>
      <w:r>
        <w:rPr>
          <w:sz w:val="24"/>
        </w:rPr>
        <w:t>or hardware or providing</w:t>
      </w:r>
      <w:r>
        <w:rPr>
          <w:spacing w:val="40"/>
          <w:sz w:val="24"/>
        </w:rPr>
        <w:t> </w:t>
      </w:r>
      <w:r>
        <w:rPr>
          <w:sz w:val="24"/>
        </w:rPr>
        <w:t>IT</w:t>
      </w:r>
      <w:r>
        <w:rPr>
          <w:spacing w:val="40"/>
          <w:sz w:val="24"/>
        </w:rPr>
        <w:t> </w:t>
      </w:r>
      <w:r>
        <w:rPr>
          <w:sz w:val="24"/>
        </w:rPr>
        <w:t>enabled</w:t>
      </w:r>
      <w:r>
        <w:rPr>
          <w:spacing w:val="40"/>
          <w:sz w:val="24"/>
        </w:rPr>
        <w:t> </w:t>
      </w:r>
      <w:r>
        <w:rPr>
          <w:sz w:val="24"/>
        </w:rPr>
        <w:t>services</w:t>
      </w:r>
      <w:r>
        <w:rPr>
          <w:spacing w:val="40"/>
          <w:sz w:val="24"/>
        </w:rPr>
        <w:t> </w:t>
      </w:r>
      <w:r>
        <w:rPr>
          <w:sz w:val="24"/>
        </w:rPr>
        <w:t>as</w:t>
      </w:r>
      <w:r>
        <w:rPr>
          <w:spacing w:val="40"/>
          <w:sz w:val="24"/>
        </w:rPr>
        <w:t> </w:t>
      </w:r>
      <w:r>
        <w:rPr>
          <w:sz w:val="24"/>
        </w:rPr>
        <w:t>defined</w:t>
      </w:r>
      <w:r>
        <w:rPr>
          <w:spacing w:val="40"/>
          <w:sz w:val="24"/>
        </w:rPr>
        <w:t> </w:t>
      </w:r>
      <w:r>
        <w:rPr>
          <w:sz w:val="24"/>
        </w:rPr>
        <w:t>in</w:t>
      </w:r>
      <w:r>
        <w:rPr>
          <w:spacing w:val="40"/>
          <w:sz w:val="24"/>
        </w:rPr>
        <w:t> </w:t>
      </w:r>
      <w:r>
        <w:rPr>
          <w:sz w:val="24"/>
        </w:rPr>
        <w:t>IT</w:t>
      </w:r>
      <w:r>
        <w:rPr>
          <w:spacing w:val="40"/>
          <w:sz w:val="24"/>
        </w:rPr>
        <w:t> </w:t>
      </w:r>
      <w:r>
        <w:rPr>
          <w:sz w:val="24"/>
        </w:rPr>
        <w:t>policy</w:t>
      </w:r>
      <w:r>
        <w:rPr>
          <w:spacing w:val="40"/>
          <w:sz w:val="24"/>
        </w:rPr>
        <w:t> </w:t>
      </w:r>
      <w:r>
        <w:rPr>
          <w:sz w:val="24"/>
        </w:rPr>
        <w:t>amended</w:t>
      </w:r>
      <w:r>
        <w:rPr>
          <w:spacing w:val="40"/>
          <w:sz w:val="24"/>
        </w:rPr>
        <w:t> </w:t>
      </w:r>
      <w:r>
        <w:rPr>
          <w:sz w:val="24"/>
        </w:rPr>
        <w:t>from time to </w:t>
      </w:r>
      <w:r>
        <w:rPr>
          <w:spacing w:val="9"/>
          <w:sz w:val="24"/>
        </w:rPr>
        <w:t>time.</w:t>
      </w:r>
    </w:p>
    <w:p>
      <w:pPr>
        <w:pStyle w:val="ListParagraph"/>
        <w:numPr>
          <w:ilvl w:val="2"/>
          <w:numId w:val="6"/>
        </w:numPr>
        <w:tabs>
          <w:tab w:pos="1657" w:val="left" w:leader="none"/>
          <w:tab w:pos="1766" w:val="left" w:leader="none"/>
        </w:tabs>
        <w:spacing w:line="240" w:lineRule="auto" w:before="0" w:after="0"/>
        <w:ind w:left="1766" w:right="776" w:hanging="428"/>
        <w:jc w:val="both"/>
        <w:rPr>
          <w:sz w:val="24"/>
        </w:rPr>
      </w:pPr>
      <w:r>
        <w:rPr>
          <w:sz w:val="24"/>
        </w:rPr>
        <w:t>"Mercantile building" means a building or part thereof used as shops, stores or markets for display and sale of wholesale or retail goods or merchandise,</w:t>
      </w:r>
      <w:r>
        <w:rPr>
          <w:spacing w:val="80"/>
          <w:sz w:val="24"/>
        </w:rPr>
        <w:t> </w:t>
      </w:r>
      <w:r>
        <w:rPr>
          <w:sz w:val="24"/>
        </w:rPr>
        <w:t>including</w:t>
      </w:r>
      <w:r>
        <w:rPr>
          <w:spacing w:val="80"/>
          <w:sz w:val="24"/>
        </w:rPr>
        <w:t> </w:t>
      </w:r>
      <w:r>
        <w:rPr>
          <w:sz w:val="24"/>
        </w:rPr>
        <w:t>office,</w:t>
      </w:r>
      <w:r>
        <w:rPr>
          <w:spacing w:val="80"/>
          <w:sz w:val="24"/>
        </w:rPr>
        <w:t> </w:t>
      </w:r>
      <w:r>
        <w:rPr>
          <w:sz w:val="24"/>
        </w:rPr>
        <w:t>storage</w:t>
      </w:r>
      <w:r>
        <w:rPr>
          <w:spacing w:val="80"/>
          <w:sz w:val="24"/>
        </w:rPr>
        <w:t> </w:t>
      </w:r>
      <w:r>
        <w:rPr>
          <w:sz w:val="24"/>
        </w:rPr>
        <w:t>and</w:t>
      </w:r>
      <w:r>
        <w:rPr>
          <w:spacing w:val="80"/>
          <w:sz w:val="24"/>
        </w:rPr>
        <w:t> </w:t>
      </w:r>
      <w:r>
        <w:rPr>
          <w:sz w:val="24"/>
        </w:rPr>
        <w:t>service</w:t>
      </w:r>
      <w:r>
        <w:rPr>
          <w:spacing w:val="80"/>
          <w:sz w:val="24"/>
        </w:rPr>
        <w:t> </w:t>
      </w:r>
      <w:r>
        <w:rPr>
          <w:spacing w:val="9"/>
          <w:sz w:val="24"/>
        </w:rPr>
        <w:t>facilities </w:t>
      </w:r>
      <w:r>
        <w:rPr>
          <w:sz w:val="24"/>
        </w:rPr>
        <w:t>incidental</w:t>
      </w:r>
      <w:r>
        <w:rPr>
          <w:spacing w:val="40"/>
          <w:sz w:val="24"/>
        </w:rPr>
        <w:t> </w:t>
      </w:r>
      <w:r>
        <w:rPr>
          <w:sz w:val="24"/>
        </w:rPr>
        <w:t>thereto</w:t>
      </w:r>
      <w:r>
        <w:rPr>
          <w:spacing w:val="40"/>
          <w:sz w:val="24"/>
        </w:rPr>
        <w:t> </w:t>
      </w:r>
      <w:r>
        <w:rPr>
          <w:sz w:val="24"/>
        </w:rPr>
        <w:t>located</w:t>
      </w:r>
      <w:r>
        <w:rPr>
          <w:spacing w:val="40"/>
          <w:sz w:val="24"/>
        </w:rPr>
        <w:t> </w:t>
      </w:r>
      <w:r>
        <w:rPr>
          <w:sz w:val="24"/>
        </w:rPr>
        <w:t>in</w:t>
      </w:r>
      <w:r>
        <w:rPr>
          <w:spacing w:val="80"/>
          <w:sz w:val="24"/>
        </w:rPr>
        <w:t> </w:t>
      </w:r>
      <w:r>
        <w:rPr>
          <w:sz w:val="24"/>
        </w:rPr>
        <w:t>the</w:t>
      </w:r>
      <w:r>
        <w:rPr>
          <w:spacing w:val="80"/>
          <w:sz w:val="24"/>
        </w:rPr>
        <w:t> </w:t>
      </w:r>
      <w:r>
        <w:rPr>
          <w:sz w:val="24"/>
        </w:rPr>
        <w:t>same</w:t>
      </w:r>
      <w:r>
        <w:rPr>
          <w:spacing w:val="80"/>
          <w:sz w:val="24"/>
        </w:rPr>
        <w:t> </w:t>
      </w:r>
      <w:r>
        <w:rPr>
          <w:sz w:val="24"/>
        </w:rPr>
        <w:t>building.</w:t>
      </w:r>
    </w:p>
    <w:p>
      <w:pPr>
        <w:pStyle w:val="ListParagraph"/>
        <w:numPr>
          <w:ilvl w:val="2"/>
          <w:numId w:val="6"/>
        </w:numPr>
        <w:tabs>
          <w:tab w:pos="1708" w:val="left" w:leader="none"/>
          <w:tab w:pos="1766" w:val="left" w:leader="none"/>
        </w:tabs>
        <w:spacing w:line="240" w:lineRule="auto" w:before="0" w:after="0"/>
        <w:ind w:left="1766" w:right="780" w:hanging="428"/>
        <w:jc w:val="both"/>
        <w:rPr>
          <w:sz w:val="24"/>
        </w:rPr>
      </w:pPr>
      <w:r>
        <w:rPr>
          <w:sz w:val="24"/>
        </w:rPr>
        <w:t>"Office</w:t>
      </w:r>
      <w:r>
        <w:rPr>
          <w:spacing w:val="40"/>
          <w:sz w:val="24"/>
        </w:rPr>
        <w:t> </w:t>
      </w:r>
      <w:r>
        <w:rPr>
          <w:sz w:val="24"/>
        </w:rPr>
        <w:t>building"</w:t>
      </w:r>
      <w:r>
        <w:rPr>
          <w:spacing w:val="40"/>
          <w:sz w:val="24"/>
        </w:rPr>
        <w:t> </w:t>
      </w:r>
      <w:r>
        <w:rPr>
          <w:sz w:val="24"/>
        </w:rPr>
        <w:t>(Premises),</w:t>
      </w:r>
      <w:r>
        <w:rPr>
          <w:spacing w:val="40"/>
          <w:sz w:val="24"/>
        </w:rPr>
        <w:t> </w:t>
      </w:r>
      <w:r>
        <w:rPr>
          <w:sz w:val="24"/>
        </w:rPr>
        <w:t>means</w:t>
      </w:r>
      <w:r>
        <w:rPr>
          <w:spacing w:val="40"/>
          <w:sz w:val="24"/>
        </w:rPr>
        <w:t> </w:t>
      </w:r>
      <w:r>
        <w:rPr>
          <w:sz w:val="24"/>
        </w:rPr>
        <w:t>a</w:t>
      </w:r>
      <w:r>
        <w:rPr>
          <w:spacing w:val="40"/>
          <w:sz w:val="24"/>
        </w:rPr>
        <w:t> </w:t>
      </w:r>
      <w:r>
        <w:rPr>
          <w:sz w:val="24"/>
        </w:rPr>
        <w:t>building</w:t>
      </w:r>
      <w:r>
        <w:rPr>
          <w:spacing w:val="40"/>
          <w:sz w:val="24"/>
        </w:rPr>
        <w:t> </w:t>
      </w:r>
      <w:r>
        <w:rPr>
          <w:sz w:val="24"/>
        </w:rPr>
        <w:t>or</w:t>
      </w:r>
      <w:r>
        <w:rPr>
          <w:spacing w:val="40"/>
          <w:sz w:val="24"/>
        </w:rPr>
        <w:t> </w:t>
      </w:r>
      <w:r>
        <w:rPr>
          <w:sz w:val="24"/>
        </w:rPr>
        <w:t>premises</w:t>
      </w:r>
      <w:r>
        <w:rPr>
          <w:spacing w:val="40"/>
          <w:sz w:val="24"/>
        </w:rPr>
        <w:t> </w:t>
      </w:r>
      <w:r>
        <w:rPr>
          <w:sz w:val="24"/>
        </w:rPr>
        <w:t>or</w:t>
      </w:r>
      <w:r>
        <w:rPr>
          <w:spacing w:val="40"/>
          <w:sz w:val="24"/>
        </w:rPr>
        <w:t> </w:t>
      </w:r>
      <w:r>
        <w:rPr>
          <w:sz w:val="24"/>
        </w:rPr>
        <w:t>part thereof</w:t>
      </w:r>
      <w:r>
        <w:rPr>
          <w:spacing w:val="40"/>
          <w:sz w:val="24"/>
        </w:rPr>
        <w:t> </w:t>
      </w:r>
      <w:r>
        <w:rPr>
          <w:sz w:val="24"/>
        </w:rPr>
        <w:t>whose</w:t>
      </w:r>
      <w:r>
        <w:rPr>
          <w:spacing w:val="40"/>
          <w:sz w:val="24"/>
        </w:rPr>
        <w:t> </w:t>
      </w:r>
      <w:r>
        <w:rPr>
          <w:sz w:val="24"/>
        </w:rPr>
        <w:t>sole</w:t>
      </w:r>
      <w:r>
        <w:rPr>
          <w:spacing w:val="40"/>
          <w:sz w:val="24"/>
        </w:rPr>
        <w:t> </w:t>
      </w:r>
      <w:r>
        <w:rPr>
          <w:sz w:val="24"/>
        </w:rPr>
        <w:t>or</w:t>
      </w:r>
      <w:r>
        <w:rPr>
          <w:spacing w:val="40"/>
          <w:sz w:val="24"/>
        </w:rPr>
        <w:t> </w:t>
      </w:r>
      <w:r>
        <w:rPr>
          <w:sz w:val="24"/>
        </w:rPr>
        <w:t>principal</w:t>
      </w:r>
      <w:r>
        <w:rPr>
          <w:spacing w:val="40"/>
          <w:sz w:val="24"/>
        </w:rPr>
        <w:t> </w:t>
      </w:r>
      <w:r>
        <w:rPr>
          <w:sz w:val="24"/>
        </w:rPr>
        <w:t>use</w:t>
      </w:r>
      <w:r>
        <w:rPr>
          <w:spacing w:val="40"/>
          <w:sz w:val="24"/>
        </w:rPr>
        <w:t> </w:t>
      </w:r>
      <w:r>
        <w:rPr>
          <w:sz w:val="24"/>
        </w:rPr>
        <w:t>is</w:t>
      </w:r>
      <w:r>
        <w:rPr>
          <w:spacing w:val="40"/>
          <w:sz w:val="24"/>
        </w:rPr>
        <w:t> </w:t>
      </w:r>
      <w:r>
        <w:rPr>
          <w:sz w:val="24"/>
        </w:rPr>
        <w:t>for</w:t>
      </w:r>
      <w:r>
        <w:rPr>
          <w:spacing w:val="40"/>
          <w:sz w:val="24"/>
        </w:rPr>
        <w:t> </w:t>
      </w:r>
      <w:r>
        <w:rPr>
          <w:sz w:val="24"/>
        </w:rPr>
        <w:t>an</w:t>
      </w:r>
      <w:r>
        <w:rPr>
          <w:spacing w:val="40"/>
          <w:sz w:val="24"/>
        </w:rPr>
        <w:t> </w:t>
      </w:r>
      <w:r>
        <w:rPr>
          <w:sz w:val="24"/>
        </w:rPr>
        <w:t>office</w:t>
      </w:r>
      <w:r>
        <w:rPr>
          <w:spacing w:val="40"/>
          <w:sz w:val="24"/>
        </w:rPr>
        <w:t> </w:t>
      </w:r>
      <w:r>
        <w:rPr>
          <w:sz w:val="24"/>
        </w:rPr>
        <w:t>or</w:t>
      </w:r>
      <w:r>
        <w:rPr>
          <w:spacing w:val="40"/>
          <w:sz w:val="24"/>
        </w:rPr>
        <w:t> </w:t>
      </w:r>
      <w:r>
        <w:rPr>
          <w:sz w:val="24"/>
        </w:rPr>
        <w:t>for</w:t>
      </w:r>
      <w:r>
        <w:rPr>
          <w:spacing w:val="40"/>
          <w:sz w:val="24"/>
        </w:rPr>
        <w:t> </w:t>
      </w:r>
      <w:r>
        <w:rPr>
          <w:spacing w:val="9"/>
          <w:sz w:val="24"/>
        </w:rPr>
        <w:t>office </w:t>
      </w:r>
      <w:r>
        <w:rPr>
          <w:sz w:val="24"/>
        </w:rPr>
        <w:t>purposes . "Office purposes" includes the purpose of administration, handling</w:t>
      </w:r>
      <w:r>
        <w:rPr>
          <w:spacing w:val="40"/>
          <w:sz w:val="24"/>
        </w:rPr>
        <w:t> </w:t>
      </w:r>
      <w:r>
        <w:rPr>
          <w:sz w:val="24"/>
        </w:rPr>
        <w:t>money,</w:t>
      </w:r>
      <w:r>
        <w:rPr>
          <w:spacing w:val="40"/>
          <w:sz w:val="24"/>
        </w:rPr>
        <w:t> </w:t>
      </w:r>
      <w:r>
        <w:rPr>
          <w:sz w:val="24"/>
        </w:rPr>
        <w:t>telephone,</w:t>
      </w:r>
      <w:r>
        <w:rPr>
          <w:spacing w:val="40"/>
          <w:sz w:val="24"/>
        </w:rPr>
        <w:t> </w:t>
      </w:r>
      <w:r>
        <w:rPr>
          <w:sz w:val="24"/>
        </w:rPr>
        <w:t>telegraph</w:t>
      </w:r>
      <w:r>
        <w:rPr>
          <w:spacing w:val="40"/>
          <w:sz w:val="24"/>
        </w:rPr>
        <w:t> </w:t>
      </w:r>
      <w:r>
        <w:rPr>
          <w:sz w:val="24"/>
        </w:rPr>
        <w:t>and</w:t>
      </w:r>
      <w:r>
        <w:rPr>
          <w:spacing w:val="40"/>
          <w:sz w:val="24"/>
        </w:rPr>
        <w:t> </w:t>
      </w:r>
      <w:r>
        <w:rPr>
          <w:sz w:val="24"/>
        </w:rPr>
        <w:t>computer</w:t>
      </w:r>
      <w:r>
        <w:rPr>
          <w:spacing w:val="40"/>
          <w:sz w:val="24"/>
        </w:rPr>
        <w:t> </w:t>
      </w:r>
      <w:r>
        <w:rPr>
          <w:sz w:val="24"/>
        </w:rPr>
        <w:t>operation</w:t>
      </w:r>
      <w:r>
        <w:rPr>
          <w:spacing w:val="40"/>
          <w:sz w:val="24"/>
        </w:rPr>
        <w:t> </w:t>
      </w:r>
      <w:r>
        <w:rPr>
          <w:sz w:val="24"/>
        </w:rPr>
        <w:t>and such other activities; and including writing, </w:t>
      </w:r>
      <w:r>
        <w:rPr>
          <w:spacing w:val="9"/>
          <w:sz w:val="24"/>
        </w:rPr>
        <w:t>book-</w:t>
      </w:r>
      <w:r>
        <w:rPr>
          <w:sz w:val="24"/>
        </w:rPr>
        <w:t>keeping, sorting papers,</w:t>
      </w:r>
      <w:r>
        <w:rPr>
          <w:spacing w:val="80"/>
          <w:sz w:val="24"/>
        </w:rPr>
        <w:t> </w:t>
      </w:r>
      <w:r>
        <w:rPr>
          <w:sz w:val="24"/>
        </w:rPr>
        <w:t>typing,</w:t>
      </w:r>
      <w:r>
        <w:rPr>
          <w:spacing w:val="80"/>
          <w:sz w:val="24"/>
        </w:rPr>
        <w:t> </w:t>
      </w:r>
      <w:r>
        <w:rPr>
          <w:sz w:val="24"/>
        </w:rPr>
        <w:t>filing,</w:t>
      </w:r>
      <w:r>
        <w:rPr>
          <w:spacing w:val="80"/>
          <w:sz w:val="24"/>
        </w:rPr>
        <w:t> </w:t>
      </w:r>
      <w:r>
        <w:rPr>
          <w:spacing w:val="9"/>
          <w:sz w:val="24"/>
        </w:rPr>
        <w:t>duplicating,</w:t>
      </w:r>
      <w:r>
        <w:rPr>
          <w:spacing w:val="80"/>
          <w:sz w:val="24"/>
        </w:rPr>
        <w:t> </w:t>
      </w:r>
      <w:r>
        <w:rPr>
          <w:sz w:val="24"/>
        </w:rPr>
        <w:t>data</w:t>
      </w:r>
      <w:r>
        <w:rPr>
          <w:spacing w:val="80"/>
          <w:sz w:val="24"/>
        </w:rPr>
        <w:t> </w:t>
      </w:r>
      <w:r>
        <w:rPr>
          <w:sz w:val="24"/>
        </w:rPr>
        <w:t>processing,</w:t>
      </w:r>
      <w:r>
        <w:rPr>
          <w:spacing w:val="80"/>
          <w:sz w:val="24"/>
        </w:rPr>
        <w:t> </w:t>
      </w:r>
      <w:r>
        <w:rPr>
          <w:sz w:val="24"/>
        </w:rPr>
        <w:t>drawing</w:t>
      </w:r>
      <w:r>
        <w:rPr>
          <w:spacing w:val="80"/>
          <w:sz w:val="24"/>
        </w:rPr>
        <w:t> </w:t>
      </w:r>
      <w:r>
        <w:rPr>
          <w:sz w:val="24"/>
        </w:rPr>
        <w:t>of matter</w:t>
      </w:r>
      <w:r>
        <w:rPr>
          <w:spacing w:val="40"/>
          <w:sz w:val="24"/>
        </w:rPr>
        <w:t> </w:t>
      </w:r>
      <w:r>
        <w:rPr>
          <w:sz w:val="24"/>
        </w:rPr>
        <w:t>for</w:t>
      </w:r>
      <w:r>
        <w:rPr>
          <w:spacing w:val="40"/>
          <w:sz w:val="24"/>
        </w:rPr>
        <w:t> </w:t>
      </w:r>
      <w:r>
        <w:rPr>
          <w:sz w:val="24"/>
        </w:rPr>
        <w:t>publication</w:t>
      </w:r>
      <w:r>
        <w:rPr>
          <w:spacing w:val="40"/>
          <w:sz w:val="24"/>
        </w:rPr>
        <w:t> </w:t>
      </w:r>
      <w:r>
        <w:rPr>
          <w:sz w:val="24"/>
        </w:rPr>
        <w:t>and</w:t>
      </w:r>
      <w:r>
        <w:rPr>
          <w:spacing w:val="40"/>
          <w:sz w:val="24"/>
        </w:rPr>
        <w:t> </w:t>
      </w:r>
      <w:r>
        <w:rPr>
          <w:sz w:val="24"/>
        </w:rPr>
        <w:t>editorial</w:t>
      </w:r>
      <w:r>
        <w:rPr>
          <w:spacing w:val="40"/>
          <w:sz w:val="24"/>
        </w:rPr>
        <w:t> </w:t>
      </w:r>
      <w:r>
        <w:rPr>
          <w:sz w:val="24"/>
        </w:rPr>
        <w:t>preparation</w:t>
      </w:r>
      <w:r>
        <w:rPr>
          <w:spacing w:val="40"/>
          <w:sz w:val="24"/>
        </w:rPr>
        <w:t> </w:t>
      </w:r>
      <w:r>
        <w:rPr>
          <w:sz w:val="24"/>
        </w:rPr>
        <w:t>of</w:t>
      </w:r>
      <w:r>
        <w:rPr>
          <w:spacing w:val="40"/>
          <w:sz w:val="24"/>
        </w:rPr>
        <w:t> </w:t>
      </w:r>
      <w:r>
        <w:rPr>
          <w:sz w:val="24"/>
        </w:rPr>
        <w:t>matter</w:t>
      </w:r>
      <w:r>
        <w:rPr>
          <w:spacing w:val="40"/>
          <w:sz w:val="24"/>
        </w:rPr>
        <w:t> </w:t>
      </w:r>
      <w:r>
        <w:rPr>
          <w:sz w:val="24"/>
        </w:rPr>
        <w:t>for publication</w:t>
      </w:r>
      <w:r>
        <w:rPr>
          <w:spacing w:val="40"/>
          <w:sz w:val="24"/>
        </w:rPr>
        <w:t> </w:t>
      </w:r>
      <w:r>
        <w:rPr>
          <w:sz w:val="24"/>
        </w:rPr>
        <w:t>and</w:t>
      </w:r>
      <w:r>
        <w:rPr>
          <w:spacing w:val="40"/>
          <w:sz w:val="24"/>
        </w:rPr>
        <w:t> </w:t>
      </w:r>
      <w:r>
        <w:rPr>
          <w:sz w:val="24"/>
        </w:rPr>
        <w:t>such</w:t>
      </w:r>
      <w:r>
        <w:rPr>
          <w:spacing w:val="40"/>
          <w:sz w:val="24"/>
        </w:rPr>
        <w:t> </w:t>
      </w:r>
      <w:r>
        <w:rPr>
          <w:sz w:val="24"/>
        </w:rPr>
        <w:t>other</w:t>
      </w:r>
      <w:r>
        <w:rPr>
          <w:spacing w:val="40"/>
          <w:sz w:val="24"/>
        </w:rPr>
        <w:t> </w:t>
      </w:r>
      <w:r>
        <w:rPr>
          <w:sz w:val="24"/>
        </w:rPr>
        <w:t>activities.</w:t>
      </w:r>
    </w:p>
    <w:p>
      <w:pPr>
        <w:pStyle w:val="ListParagraph"/>
        <w:numPr>
          <w:ilvl w:val="2"/>
          <w:numId w:val="6"/>
        </w:numPr>
        <w:tabs>
          <w:tab w:pos="1724" w:val="left" w:leader="none"/>
          <w:tab w:pos="1766" w:val="left" w:leader="none"/>
        </w:tabs>
        <w:spacing w:line="240" w:lineRule="auto" w:before="0" w:after="0"/>
        <w:ind w:left="1766" w:right="798" w:hanging="428"/>
        <w:jc w:val="both"/>
        <w:rPr>
          <w:sz w:val="24"/>
        </w:rPr>
      </w:pPr>
      <w:r>
        <w:rPr>
          <w:sz w:val="24"/>
        </w:rPr>
        <w:t>“Public Building” means a building used or intended to be used either ordinarily</w:t>
      </w:r>
      <w:r>
        <w:rPr>
          <w:spacing w:val="40"/>
          <w:sz w:val="24"/>
        </w:rPr>
        <w:t> </w:t>
      </w:r>
      <w:r>
        <w:rPr>
          <w:sz w:val="24"/>
        </w:rPr>
        <w:t>or</w:t>
      </w:r>
      <w:r>
        <w:rPr>
          <w:spacing w:val="40"/>
          <w:sz w:val="24"/>
        </w:rPr>
        <w:t> </w:t>
      </w:r>
      <w:r>
        <w:rPr>
          <w:sz w:val="24"/>
        </w:rPr>
        <w:t>occasionally</w:t>
      </w:r>
      <w:r>
        <w:rPr>
          <w:spacing w:val="40"/>
          <w:sz w:val="24"/>
        </w:rPr>
        <w:t> </w:t>
      </w:r>
      <w:r>
        <w:rPr>
          <w:sz w:val="24"/>
        </w:rPr>
        <w:t>by</w:t>
      </w:r>
      <w:r>
        <w:rPr>
          <w:spacing w:val="40"/>
          <w:sz w:val="24"/>
        </w:rPr>
        <w:t> </w:t>
      </w:r>
      <w:r>
        <w:rPr>
          <w:sz w:val="24"/>
        </w:rPr>
        <w:t>the</w:t>
      </w:r>
      <w:r>
        <w:rPr>
          <w:spacing w:val="40"/>
          <w:sz w:val="24"/>
        </w:rPr>
        <w:t> </w:t>
      </w:r>
      <w:r>
        <w:rPr>
          <w:sz w:val="24"/>
        </w:rPr>
        <w:t>public</w:t>
      </w:r>
      <w:r>
        <w:rPr>
          <w:spacing w:val="40"/>
          <w:sz w:val="24"/>
        </w:rPr>
        <w:t> </w:t>
      </w:r>
      <w:r>
        <w:rPr>
          <w:sz w:val="24"/>
        </w:rPr>
        <w:t>such</w:t>
      </w:r>
      <w:r>
        <w:rPr>
          <w:spacing w:val="40"/>
          <w:sz w:val="24"/>
        </w:rPr>
        <w:t> </w:t>
      </w:r>
      <w:r>
        <w:rPr>
          <w:spacing w:val="9"/>
          <w:sz w:val="24"/>
        </w:rPr>
        <w:t>as;</w:t>
      </w:r>
    </w:p>
    <w:p>
      <w:pPr>
        <w:pStyle w:val="BodyText"/>
        <w:ind w:left="1766" w:right="782"/>
      </w:pPr>
      <w:r>
        <w:rPr/>
        <w:t>(a) offices of Central or State Government or any </w:t>
      </w:r>
      <w:r>
        <w:rPr>
          <w:spacing w:val="9"/>
        </w:rPr>
        <w:t>Public-</w:t>
      </w:r>
      <w:r>
        <w:rPr/>
        <w:t>Sector Undertaking</w:t>
      </w:r>
      <w:r>
        <w:rPr>
          <w:spacing w:val="80"/>
        </w:rPr>
        <w:t> </w:t>
      </w:r>
      <w:r>
        <w:rPr/>
        <w:t>or</w:t>
      </w:r>
      <w:r>
        <w:rPr>
          <w:spacing w:val="80"/>
        </w:rPr>
        <w:t> </w:t>
      </w:r>
      <w:r>
        <w:rPr/>
        <w:t>Statutory</w:t>
      </w:r>
      <w:r>
        <w:rPr>
          <w:spacing w:val="80"/>
        </w:rPr>
        <w:t> </w:t>
      </w:r>
      <w:r>
        <w:rPr/>
        <w:t>Authority</w:t>
      </w:r>
      <w:r>
        <w:rPr>
          <w:spacing w:val="80"/>
        </w:rPr>
        <w:t> </w:t>
      </w:r>
      <w:r>
        <w:rPr/>
        <w:t>or</w:t>
      </w:r>
      <w:r>
        <w:rPr>
          <w:spacing w:val="80"/>
        </w:rPr>
        <w:t> </w:t>
      </w:r>
      <w:r>
        <w:rPr/>
        <w:t>Local</w:t>
      </w:r>
      <w:r>
        <w:rPr>
          <w:spacing w:val="80"/>
        </w:rPr>
        <w:t> </w:t>
      </w:r>
      <w:r>
        <w:rPr/>
        <w:t>Authorities</w:t>
      </w:r>
    </w:p>
    <w:p>
      <w:pPr>
        <w:pStyle w:val="BodyText"/>
        <w:ind w:left="1766"/>
      </w:pPr>
      <w:r>
        <w:rPr/>
        <w:t>or</w:t>
      </w:r>
      <w:r>
        <w:rPr>
          <w:spacing w:val="50"/>
        </w:rPr>
        <w:t> </w:t>
      </w:r>
      <w:r>
        <w:rPr/>
        <w:t>(b)</w:t>
      </w:r>
      <w:r>
        <w:rPr>
          <w:spacing w:val="52"/>
        </w:rPr>
        <w:t> </w:t>
      </w:r>
      <w:r>
        <w:rPr/>
        <w:t>buildings</w:t>
      </w:r>
      <w:r>
        <w:rPr>
          <w:spacing w:val="52"/>
        </w:rPr>
        <w:t> </w:t>
      </w:r>
      <w:r>
        <w:rPr/>
        <w:t>such</w:t>
      </w:r>
      <w:r>
        <w:rPr>
          <w:spacing w:val="52"/>
        </w:rPr>
        <w:t> </w:t>
      </w:r>
      <w:r>
        <w:rPr>
          <w:spacing w:val="-5"/>
        </w:rPr>
        <w:t>as;</w:t>
      </w:r>
    </w:p>
    <w:p>
      <w:pPr>
        <w:pStyle w:val="ListParagraph"/>
        <w:numPr>
          <w:ilvl w:val="0"/>
          <w:numId w:val="7"/>
        </w:numPr>
        <w:tabs>
          <w:tab w:pos="1903" w:val="left" w:leader="none"/>
        </w:tabs>
        <w:spacing w:line="281" w:lineRule="exact" w:before="1" w:after="0"/>
        <w:ind w:left="1903" w:right="0" w:hanging="449"/>
        <w:jc w:val="both"/>
        <w:rPr>
          <w:sz w:val="24"/>
        </w:rPr>
      </w:pPr>
      <w:r>
        <w:rPr>
          <w:sz w:val="24"/>
        </w:rPr>
        <w:t>temple,</w:t>
      </w:r>
      <w:r>
        <w:rPr>
          <w:spacing w:val="57"/>
          <w:sz w:val="24"/>
        </w:rPr>
        <w:t> </w:t>
      </w:r>
      <w:r>
        <w:rPr>
          <w:sz w:val="24"/>
        </w:rPr>
        <w:t>mosque,</w:t>
      </w:r>
      <w:r>
        <w:rPr>
          <w:spacing w:val="55"/>
          <w:sz w:val="24"/>
        </w:rPr>
        <w:t> </w:t>
      </w:r>
      <w:r>
        <w:rPr>
          <w:sz w:val="24"/>
        </w:rPr>
        <w:t>church,</w:t>
      </w:r>
      <w:r>
        <w:rPr>
          <w:spacing w:val="56"/>
          <w:sz w:val="24"/>
        </w:rPr>
        <w:t> </w:t>
      </w:r>
      <w:r>
        <w:rPr>
          <w:sz w:val="24"/>
        </w:rPr>
        <w:t>chapel,</w:t>
      </w:r>
      <w:r>
        <w:rPr>
          <w:spacing w:val="68"/>
          <w:sz w:val="24"/>
        </w:rPr>
        <w:t> </w:t>
      </w:r>
      <w:r>
        <w:rPr>
          <w:sz w:val="24"/>
        </w:rPr>
        <w:t>or</w:t>
      </w:r>
      <w:r>
        <w:rPr>
          <w:spacing w:val="56"/>
          <w:sz w:val="24"/>
        </w:rPr>
        <w:t> </w:t>
      </w:r>
      <w:r>
        <w:rPr>
          <w:sz w:val="24"/>
        </w:rPr>
        <w:t>any</w:t>
      </w:r>
      <w:r>
        <w:rPr>
          <w:spacing w:val="55"/>
          <w:sz w:val="24"/>
        </w:rPr>
        <w:t> </w:t>
      </w:r>
      <w:r>
        <w:rPr>
          <w:sz w:val="24"/>
        </w:rPr>
        <w:t>place</w:t>
      </w:r>
      <w:r>
        <w:rPr>
          <w:spacing w:val="60"/>
          <w:sz w:val="24"/>
        </w:rPr>
        <w:t> </w:t>
      </w:r>
      <w:r>
        <w:rPr>
          <w:sz w:val="24"/>
        </w:rPr>
        <w:t>of</w:t>
      </w:r>
      <w:r>
        <w:rPr>
          <w:spacing w:val="56"/>
          <w:sz w:val="24"/>
        </w:rPr>
        <w:t> </w:t>
      </w:r>
      <w:r>
        <w:rPr>
          <w:sz w:val="24"/>
        </w:rPr>
        <w:t>public</w:t>
      </w:r>
      <w:r>
        <w:rPr>
          <w:spacing w:val="60"/>
          <w:sz w:val="24"/>
        </w:rPr>
        <w:t> </w:t>
      </w:r>
      <w:r>
        <w:rPr>
          <w:spacing w:val="-2"/>
          <w:sz w:val="24"/>
        </w:rPr>
        <w:t>worship.</w:t>
      </w:r>
    </w:p>
    <w:p>
      <w:pPr>
        <w:pStyle w:val="ListParagraph"/>
        <w:numPr>
          <w:ilvl w:val="0"/>
          <w:numId w:val="7"/>
        </w:numPr>
        <w:tabs>
          <w:tab w:pos="1765" w:val="left" w:leader="none"/>
          <w:tab w:pos="1906" w:val="left" w:leader="none"/>
        </w:tabs>
        <w:spacing w:line="240" w:lineRule="auto" w:before="0" w:after="0"/>
        <w:ind w:left="1906" w:right="800" w:hanging="533"/>
        <w:jc w:val="both"/>
        <w:rPr>
          <w:sz w:val="24"/>
        </w:rPr>
      </w:pPr>
      <w:r>
        <w:rPr>
          <w:sz w:val="24"/>
        </w:rPr>
        <w:t>public or private college, school, library, or places of educational </w:t>
      </w:r>
      <w:r>
        <w:rPr>
          <w:spacing w:val="7"/>
          <w:sz w:val="24"/>
        </w:rPr>
        <w:t>facilities.</w:t>
      </w:r>
    </w:p>
    <w:p>
      <w:pPr>
        <w:pStyle w:val="ListParagraph"/>
        <w:spacing w:after="0" w:line="240" w:lineRule="auto"/>
        <w:jc w:val="both"/>
        <w:rPr>
          <w:sz w:val="24"/>
        </w:rPr>
        <w:sectPr>
          <w:pgSz w:w="11910" w:h="16840"/>
          <w:pgMar w:header="1058" w:footer="1357" w:top="1500" w:bottom="1540" w:left="360" w:right="360"/>
        </w:sectPr>
      </w:pPr>
    </w:p>
    <w:p>
      <w:pPr>
        <w:pStyle w:val="ListParagraph"/>
        <w:numPr>
          <w:ilvl w:val="0"/>
          <w:numId w:val="7"/>
        </w:numPr>
        <w:tabs>
          <w:tab w:pos="1906" w:val="left" w:leader="none"/>
        </w:tabs>
        <w:spacing w:line="240" w:lineRule="auto" w:before="255" w:after="0"/>
        <w:ind w:left="1906" w:right="784" w:hanging="615"/>
        <w:jc w:val="left"/>
        <w:rPr>
          <w:sz w:val="24"/>
        </w:rPr>
      </w:pPr>
      <w:r>
        <w:rPr>
          <w:sz w:val="24"/>
        </w:rPr>
        <w:t>cinema,</w:t>
      </w:r>
      <w:r>
        <w:rPr>
          <w:spacing w:val="80"/>
          <w:w w:val="150"/>
          <w:sz w:val="24"/>
        </w:rPr>
        <w:t> </w:t>
      </w:r>
      <w:r>
        <w:rPr>
          <w:sz w:val="24"/>
        </w:rPr>
        <w:t>public</w:t>
      </w:r>
      <w:r>
        <w:rPr>
          <w:spacing w:val="80"/>
          <w:w w:val="150"/>
          <w:sz w:val="24"/>
        </w:rPr>
        <w:t> </w:t>
      </w:r>
      <w:r>
        <w:rPr>
          <w:sz w:val="24"/>
        </w:rPr>
        <w:t>concert</w:t>
      </w:r>
      <w:r>
        <w:rPr>
          <w:spacing w:val="80"/>
          <w:w w:val="150"/>
          <w:sz w:val="24"/>
        </w:rPr>
        <w:t> </w:t>
      </w:r>
      <w:r>
        <w:rPr>
          <w:sz w:val="24"/>
        </w:rPr>
        <w:t>hall,</w:t>
      </w:r>
      <w:r>
        <w:rPr>
          <w:spacing w:val="80"/>
          <w:w w:val="150"/>
          <w:sz w:val="24"/>
        </w:rPr>
        <w:t> </w:t>
      </w:r>
      <w:r>
        <w:rPr>
          <w:sz w:val="24"/>
        </w:rPr>
        <w:t>drama</w:t>
      </w:r>
      <w:r>
        <w:rPr>
          <w:spacing w:val="80"/>
          <w:w w:val="150"/>
          <w:sz w:val="24"/>
        </w:rPr>
        <w:t> </w:t>
      </w:r>
      <w:r>
        <w:rPr>
          <w:sz w:val="24"/>
        </w:rPr>
        <w:t>theatre,</w:t>
      </w:r>
      <w:r>
        <w:rPr>
          <w:spacing w:val="80"/>
          <w:w w:val="150"/>
          <w:sz w:val="24"/>
        </w:rPr>
        <w:t> </w:t>
      </w:r>
      <w:r>
        <w:rPr>
          <w:sz w:val="24"/>
        </w:rPr>
        <w:t>auditorium,</w:t>
      </w:r>
      <w:r>
        <w:rPr>
          <w:spacing w:val="80"/>
          <w:w w:val="150"/>
          <w:sz w:val="24"/>
        </w:rPr>
        <w:t> </w:t>
      </w:r>
      <w:r>
        <w:rPr>
          <w:sz w:val="24"/>
        </w:rPr>
        <w:t>sports</w:t>
      </w:r>
      <w:r>
        <w:rPr>
          <w:spacing w:val="40"/>
          <w:sz w:val="24"/>
        </w:rPr>
        <w:t> </w:t>
      </w:r>
      <w:r>
        <w:rPr>
          <w:sz w:val="24"/>
        </w:rPr>
        <w:t>complex,</w:t>
      </w:r>
      <w:r>
        <w:rPr>
          <w:spacing w:val="80"/>
          <w:sz w:val="24"/>
        </w:rPr>
        <w:t> </w:t>
      </w:r>
      <w:r>
        <w:rPr>
          <w:sz w:val="24"/>
        </w:rPr>
        <w:t>sports</w:t>
      </w:r>
      <w:r>
        <w:rPr>
          <w:spacing w:val="80"/>
          <w:sz w:val="24"/>
        </w:rPr>
        <w:t> </w:t>
      </w:r>
      <w:r>
        <w:rPr>
          <w:sz w:val="24"/>
        </w:rPr>
        <w:t>facility,</w:t>
      </w:r>
      <w:r>
        <w:rPr>
          <w:spacing w:val="80"/>
          <w:sz w:val="24"/>
        </w:rPr>
        <w:t> </w:t>
      </w:r>
      <w:r>
        <w:rPr>
          <w:sz w:val="24"/>
        </w:rPr>
        <w:t>theatre</w:t>
      </w:r>
      <w:r>
        <w:rPr>
          <w:spacing w:val="80"/>
          <w:sz w:val="24"/>
        </w:rPr>
        <w:t> </w:t>
      </w:r>
      <w:r>
        <w:rPr>
          <w:sz w:val="24"/>
        </w:rPr>
        <w:t>for</w:t>
      </w:r>
      <w:r>
        <w:rPr>
          <w:spacing w:val="80"/>
          <w:sz w:val="24"/>
        </w:rPr>
        <w:t> </w:t>
      </w:r>
      <w:r>
        <w:rPr>
          <w:sz w:val="24"/>
        </w:rPr>
        <w:t>cultural</w:t>
      </w:r>
      <w:r>
        <w:rPr>
          <w:spacing w:val="80"/>
          <w:sz w:val="24"/>
        </w:rPr>
        <w:t> </w:t>
      </w:r>
      <w:r>
        <w:rPr>
          <w:sz w:val="24"/>
        </w:rPr>
        <w:t>activities.</w:t>
      </w:r>
    </w:p>
    <w:p>
      <w:pPr>
        <w:pStyle w:val="ListParagraph"/>
        <w:numPr>
          <w:ilvl w:val="0"/>
          <w:numId w:val="7"/>
        </w:numPr>
        <w:tabs>
          <w:tab w:pos="1765" w:val="left" w:leader="none"/>
          <w:tab w:pos="1906" w:val="left" w:leader="none"/>
        </w:tabs>
        <w:spacing w:line="240" w:lineRule="auto" w:before="0" w:after="0"/>
        <w:ind w:left="1906" w:right="783" w:hanging="586"/>
        <w:jc w:val="left"/>
        <w:rPr>
          <w:sz w:val="24"/>
        </w:rPr>
      </w:pPr>
      <w:r>
        <w:rPr>
          <w:sz w:val="24"/>
        </w:rPr>
        <w:t>public</w:t>
      </w:r>
      <w:r>
        <w:rPr>
          <w:spacing w:val="80"/>
          <w:sz w:val="24"/>
        </w:rPr>
        <w:t> </w:t>
      </w:r>
      <w:r>
        <w:rPr>
          <w:sz w:val="24"/>
        </w:rPr>
        <w:t>hall,</w:t>
      </w:r>
      <w:r>
        <w:rPr>
          <w:spacing w:val="80"/>
          <w:sz w:val="24"/>
        </w:rPr>
        <w:t> </w:t>
      </w:r>
      <w:r>
        <w:rPr>
          <w:sz w:val="24"/>
        </w:rPr>
        <w:t>welfare</w:t>
      </w:r>
      <w:r>
        <w:rPr>
          <w:spacing w:val="80"/>
          <w:sz w:val="24"/>
        </w:rPr>
        <w:t> </w:t>
      </w:r>
      <w:r>
        <w:rPr>
          <w:sz w:val="24"/>
        </w:rPr>
        <w:t>centre,</w:t>
      </w:r>
      <w:r>
        <w:rPr>
          <w:spacing w:val="78"/>
          <w:w w:val="150"/>
          <w:sz w:val="24"/>
        </w:rPr>
        <w:t> </w:t>
      </w:r>
      <w:r>
        <w:rPr>
          <w:sz w:val="24"/>
        </w:rPr>
        <w:t>exhibition</w:t>
      </w:r>
      <w:r>
        <w:rPr>
          <w:spacing w:val="80"/>
          <w:sz w:val="24"/>
        </w:rPr>
        <w:t> </w:t>
      </w:r>
      <w:r>
        <w:rPr>
          <w:sz w:val="24"/>
        </w:rPr>
        <w:t>hall,</w:t>
      </w:r>
      <w:r>
        <w:rPr>
          <w:spacing w:val="80"/>
          <w:w w:val="150"/>
          <w:sz w:val="24"/>
        </w:rPr>
        <w:t> </w:t>
      </w:r>
      <w:r>
        <w:rPr>
          <w:sz w:val="24"/>
        </w:rPr>
        <w:t>Museum</w:t>
      </w:r>
      <w:r>
        <w:rPr>
          <w:spacing w:val="80"/>
          <w:w w:val="150"/>
          <w:sz w:val="24"/>
        </w:rPr>
        <w:t> </w:t>
      </w:r>
      <w:r>
        <w:rPr>
          <w:sz w:val="24"/>
        </w:rPr>
        <w:t>or</w:t>
      </w:r>
      <w:r>
        <w:rPr>
          <w:spacing w:val="80"/>
          <w:sz w:val="24"/>
        </w:rPr>
        <w:t> </w:t>
      </w:r>
      <w:r>
        <w:rPr>
          <w:sz w:val="24"/>
        </w:rPr>
        <w:t>any</w:t>
      </w:r>
      <w:r>
        <w:rPr>
          <w:spacing w:val="80"/>
          <w:sz w:val="24"/>
        </w:rPr>
        <w:t> </w:t>
      </w:r>
      <w:r>
        <w:rPr>
          <w:sz w:val="24"/>
        </w:rPr>
        <w:t>other place of </w:t>
      </w:r>
      <w:r>
        <w:rPr>
          <w:spacing w:val="9"/>
          <w:sz w:val="24"/>
        </w:rPr>
        <w:t>assembly.</w:t>
      </w:r>
    </w:p>
    <w:p>
      <w:pPr>
        <w:pStyle w:val="ListParagraph"/>
        <w:numPr>
          <w:ilvl w:val="0"/>
          <w:numId w:val="7"/>
        </w:numPr>
        <w:tabs>
          <w:tab w:pos="1624" w:val="left" w:leader="none"/>
        </w:tabs>
        <w:spacing w:line="281" w:lineRule="exact" w:before="1" w:after="0"/>
        <w:ind w:left="1624" w:right="0" w:hanging="222"/>
        <w:jc w:val="left"/>
        <w:rPr>
          <w:sz w:val="24"/>
        </w:rPr>
      </w:pPr>
      <w:r>
        <w:rPr>
          <w:sz w:val="24"/>
        </w:rPr>
        <w:t>hospital,</w:t>
      </w:r>
      <w:r>
        <w:rPr>
          <w:spacing w:val="53"/>
          <w:sz w:val="24"/>
        </w:rPr>
        <w:t> </w:t>
      </w:r>
      <w:r>
        <w:rPr>
          <w:sz w:val="24"/>
        </w:rPr>
        <w:t>maternity</w:t>
      </w:r>
      <w:r>
        <w:rPr>
          <w:spacing w:val="60"/>
          <w:sz w:val="24"/>
        </w:rPr>
        <w:t> </w:t>
      </w:r>
      <w:r>
        <w:rPr>
          <w:sz w:val="24"/>
        </w:rPr>
        <w:t>home</w:t>
      </w:r>
      <w:r>
        <w:rPr>
          <w:spacing w:val="55"/>
          <w:sz w:val="24"/>
        </w:rPr>
        <w:t> </w:t>
      </w:r>
      <w:r>
        <w:rPr>
          <w:sz w:val="24"/>
        </w:rPr>
        <w:t>etc.</w:t>
      </w:r>
      <w:r>
        <w:rPr>
          <w:spacing w:val="56"/>
          <w:sz w:val="24"/>
        </w:rPr>
        <w:t> </w:t>
      </w:r>
      <w:r>
        <w:rPr>
          <w:sz w:val="24"/>
        </w:rPr>
        <w:t>or</w:t>
      </w:r>
      <w:r>
        <w:rPr>
          <w:spacing w:val="55"/>
          <w:sz w:val="24"/>
        </w:rPr>
        <w:t> </w:t>
      </w:r>
      <w:r>
        <w:rPr>
          <w:sz w:val="24"/>
        </w:rPr>
        <w:t>any</w:t>
      </w:r>
      <w:r>
        <w:rPr>
          <w:spacing w:val="56"/>
          <w:sz w:val="24"/>
        </w:rPr>
        <w:t> </w:t>
      </w:r>
      <w:r>
        <w:rPr>
          <w:sz w:val="24"/>
        </w:rPr>
        <w:t>other</w:t>
      </w:r>
      <w:r>
        <w:rPr>
          <w:spacing w:val="55"/>
          <w:sz w:val="24"/>
        </w:rPr>
        <w:t> </w:t>
      </w:r>
      <w:r>
        <w:rPr>
          <w:sz w:val="24"/>
        </w:rPr>
        <w:t>place</w:t>
      </w:r>
      <w:r>
        <w:rPr>
          <w:spacing w:val="56"/>
          <w:sz w:val="24"/>
        </w:rPr>
        <w:t> </w:t>
      </w:r>
      <w:r>
        <w:rPr>
          <w:sz w:val="24"/>
        </w:rPr>
        <w:t>of</w:t>
      </w:r>
      <w:r>
        <w:rPr>
          <w:spacing w:val="55"/>
          <w:sz w:val="24"/>
        </w:rPr>
        <w:t> </w:t>
      </w:r>
      <w:r>
        <w:rPr>
          <w:sz w:val="24"/>
        </w:rPr>
        <w:t>medical</w:t>
      </w:r>
      <w:r>
        <w:rPr>
          <w:spacing w:val="56"/>
          <w:sz w:val="24"/>
        </w:rPr>
        <w:t> </w:t>
      </w:r>
      <w:r>
        <w:rPr>
          <w:spacing w:val="-2"/>
          <w:sz w:val="24"/>
        </w:rPr>
        <w:t>facility.</w:t>
      </w:r>
    </w:p>
    <w:p>
      <w:pPr>
        <w:pStyle w:val="ListParagraph"/>
        <w:numPr>
          <w:ilvl w:val="0"/>
          <w:numId w:val="7"/>
        </w:numPr>
        <w:tabs>
          <w:tab w:pos="1765" w:val="left" w:leader="none"/>
          <w:tab w:pos="1906" w:val="left" w:leader="none"/>
        </w:tabs>
        <w:spacing w:line="240" w:lineRule="auto" w:before="0" w:after="0"/>
        <w:ind w:left="1906" w:right="784" w:hanging="586"/>
        <w:jc w:val="left"/>
        <w:rPr>
          <w:sz w:val="24"/>
        </w:rPr>
      </w:pPr>
      <w:r>
        <w:rPr>
          <w:sz w:val="24"/>
        </w:rPr>
        <w:t>market,</w:t>
      </w:r>
      <w:r>
        <w:rPr>
          <w:spacing w:val="40"/>
          <w:sz w:val="24"/>
        </w:rPr>
        <w:t> </w:t>
      </w:r>
      <w:r>
        <w:rPr>
          <w:sz w:val="24"/>
        </w:rPr>
        <w:t>shopping</w:t>
      </w:r>
      <w:r>
        <w:rPr>
          <w:spacing w:val="40"/>
          <w:sz w:val="24"/>
        </w:rPr>
        <w:t> </w:t>
      </w:r>
      <w:r>
        <w:rPr>
          <w:sz w:val="24"/>
        </w:rPr>
        <w:t>centre,</w:t>
      </w:r>
      <w:r>
        <w:rPr>
          <w:spacing w:val="40"/>
          <w:sz w:val="24"/>
        </w:rPr>
        <w:t> </w:t>
      </w:r>
      <w:r>
        <w:rPr>
          <w:sz w:val="24"/>
        </w:rPr>
        <w:t>departmental</w:t>
      </w:r>
      <w:r>
        <w:rPr>
          <w:spacing w:val="40"/>
          <w:sz w:val="24"/>
        </w:rPr>
        <w:t> </w:t>
      </w:r>
      <w:r>
        <w:rPr>
          <w:sz w:val="24"/>
        </w:rPr>
        <w:t>store</w:t>
      </w:r>
      <w:r>
        <w:rPr>
          <w:spacing w:val="40"/>
          <w:sz w:val="24"/>
        </w:rPr>
        <w:t> </w:t>
      </w:r>
      <w:r>
        <w:rPr>
          <w:sz w:val="24"/>
        </w:rPr>
        <w:t>or</w:t>
      </w:r>
      <w:r>
        <w:rPr>
          <w:spacing w:val="40"/>
          <w:sz w:val="24"/>
        </w:rPr>
        <w:t> </w:t>
      </w:r>
      <w:r>
        <w:rPr>
          <w:sz w:val="24"/>
        </w:rPr>
        <w:t>mall</w:t>
      </w:r>
      <w:r>
        <w:rPr>
          <w:spacing w:val="40"/>
          <w:sz w:val="24"/>
        </w:rPr>
        <w:t> </w:t>
      </w:r>
      <w:r>
        <w:rPr>
          <w:sz w:val="24"/>
        </w:rPr>
        <w:t>with</w:t>
      </w:r>
      <w:r>
        <w:rPr>
          <w:spacing w:val="40"/>
          <w:sz w:val="24"/>
        </w:rPr>
        <w:t> </w:t>
      </w:r>
      <w:r>
        <w:rPr>
          <w:sz w:val="24"/>
        </w:rPr>
        <w:t>or</w:t>
      </w:r>
      <w:r>
        <w:rPr>
          <w:spacing w:val="40"/>
          <w:sz w:val="24"/>
        </w:rPr>
        <w:t> </w:t>
      </w:r>
      <w:r>
        <w:rPr>
          <w:sz w:val="24"/>
        </w:rPr>
        <w:t>without multiplex</w:t>
      </w:r>
      <w:r>
        <w:rPr>
          <w:spacing w:val="80"/>
          <w:sz w:val="24"/>
        </w:rPr>
        <w:t> </w:t>
      </w:r>
      <w:r>
        <w:rPr>
          <w:sz w:val="24"/>
        </w:rPr>
        <w:t>or</w:t>
      </w:r>
      <w:r>
        <w:rPr>
          <w:spacing w:val="80"/>
          <w:sz w:val="24"/>
        </w:rPr>
        <w:t> </w:t>
      </w:r>
      <w:r>
        <w:rPr>
          <w:sz w:val="24"/>
        </w:rPr>
        <w:t>any</w:t>
      </w:r>
      <w:r>
        <w:rPr>
          <w:spacing w:val="80"/>
          <w:sz w:val="24"/>
        </w:rPr>
        <w:t> </w:t>
      </w:r>
      <w:r>
        <w:rPr>
          <w:sz w:val="24"/>
        </w:rPr>
        <w:t>other</w:t>
      </w:r>
      <w:r>
        <w:rPr>
          <w:spacing w:val="80"/>
          <w:sz w:val="24"/>
        </w:rPr>
        <w:t> </w:t>
      </w:r>
      <w:r>
        <w:rPr>
          <w:sz w:val="24"/>
        </w:rPr>
        <w:t>place</w:t>
      </w:r>
      <w:r>
        <w:rPr>
          <w:spacing w:val="80"/>
          <w:sz w:val="24"/>
        </w:rPr>
        <w:t> </w:t>
      </w:r>
      <w:r>
        <w:rPr>
          <w:sz w:val="24"/>
        </w:rPr>
        <w:t>of</w:t>
      </w:r>
      <w:r>
        <w:rPr>
          <w:spacing w:val="80"/>
          <w:sz w:val="24"/>
        </w:rPr>
        <w:t> </w:t>
      </w:r>
      <w:r>
        <w:rPr>
          <w:sz w:val="24"/>
        </w:rPr>
        <w:t>retail</w:t>
      </w:r>
      <w:r>
        <w:rPr>
          <w:spacing w:val="80"/>
          <w:sz w:val="24"/>
        </w:rPr>
        <w:t> </w:t>
      </w:r>
      <w:r>
        <w:rPr>
          <w:sz w:val="24"/>
        </w:rPr>
        <w:t>and</w:t>
      </w:r>
      <w:r>
        <w:rPr>
          <w:spacing w:val="80"/>
          <w:sz w:val="24"/>
        </w:rPr>
        <w:t> </w:t>
      </w:r>
      <w:r>
        <w:rPr>
          <w:sz w:val="24"/>
        </w:rPr>
        <w:t>wholesale</w:t>
      </w:r>
      <w:r>
        <w:rPr>
          <w:spacing w:val="80"/>
          <w:sz w:val="24"/>
        </w:rPr>
        <w:t> </w:t>
      </w:r>
      <w:r>
        <w:rPr>
          <w:sz w:val="24"/>
        </w:rPr>
        <w:t>merchandise.</w:t>
      </w:r>
    </w:p>
    <w:p>
      <w:pPr>
        <w:pStyle w:val="ListParagraph"/>
        <w:numPr>
          <w:ilvl w:val="0"/>
          <w:numId w:val="7"/>
        </w:numPr>
        <w:tabs>
          <w:tab w:pos="1622" w:val="left" w:leader="none"/>
          <w:tab w:pos="1906" w:val="left" w:leader="none"/>
        </w:tabs>
        <w:spacing w:line="240" w:lineRule="auto" w:before="0" w:after="0"/>
        <w:ind w:left="1906" w:right="787" w:hanging="668"/>
        <w:jc w:val="left"/>
        <w:rPr>
          <w:sz w:val="24"/>
        </w:rPr>
      </w:pPr>
      <w:r>
        <w:rPr>
          <w:sz w:val="24"/>
        </w:rPr>
        <w:t>railway</w:t>
      </w:r>
      <w:r>
        <w:rPr>
          <w:spacing w:val="80"/>
          <w:sz w:val="24"/>
        </w:rPr>
        <w:t> </w:t>
      </w:r>
      <w:r>
        <w:rPr>
          <w:sz w:val="24"/>
        </w:rPr>
        <w:t>station,</w:t>
      </w:r>
      <w:r>
        <w:rPr>
          <w:spacing w:val="76"/>
          <w:sz w:val="24"/>
        </w:rPr>
        <w:t> </w:t>
      </w:r>
      <w:r>
        <w:rPr>
          <w:sz w:val="24"/>
        </w:rPr>
        <w:t>metro/mono</w:t>
      </w:r>
      <w:r>
        <w:rPr>
          <w:spacing w:val="79"/>
          <w:sz w:val="24"/>
        </w:rPr>
        <w:t> </w:t>
      </w:r>
      <w:r>
        <w:rPr>
          <w:sz w:val="24"/>
        </w:rPr>
        <w:t>rail</w:t>
      </w:r>
      <w:r>
        <w:rPr>
          <w:spacing w:val="79"/>
          <w:sz w:val="24"/>
        </w:rPr>
        <w:t> </w:t>
      </w:r>
      <w:r>
        <w:rPr>
          <w:sz w:val="24"/>
        </w:rPr>
        <w:t>station,</w:t>
      </w:r>
      <w:r>
        <w:rPr>
          <w:spacing w:val="76"/>
          <w:sz w:val="24"/>
        </w:rPr>
        <w:t> </w:t>
      </w:r>
      <w:r>
        <w:rPr>
          <w:sz w:val="24"/>
        </w:rPr>
        <w:t>bus</w:t>
      </w:r>
      <w:r>
        <w:rPr>
          <w:spacing w:val="79"/>
          <w:sz w:val="24"/>
        </w:rPr>
        <w:t> </w:t>
      </w:r>
      <w:r>
        <w:rPr>
          <w:spacing w:val="9"/>
          <w:sz w:val="24"/>
        </w:rPr>
        <w:t>station,</w:t>
      </w:r>
      <w:r>
        <w:rPr>
          <w:spacing w:val="76"/>
          <w:sz w:val="24"/>
        </w:rPr>
        <w:t> </w:t>
      </w:r>
      <w:r>
        <w:rPr>
          <w:sz w:val="24"/>
        </w:rPr>
        <w:t>airport</w:t>
      </w:r>
      <w:r>
        <w:rPr>
          <w:spacing w:val="76"/>
          <w:sz w:val="24"/>
        </w:rPr>
        <w:t> </w:t>
      </w:r>
      <w:r>
        <w:rPr>
          <w:sz w:val="24"/>
        </w:rPr>
        <w:t>or</w:t>
      </w:r>
      <w:r>
        <w:rPr>
          <w:spacing w:val="79"/>
          <w:sz w:val="24"/>
        </w:rPr>
        <w:t> </w:t>
      </w:r>
      <w:r>
        <w:rPr>
          <w:sz w:val="24"/>
        </w:rPr>
        <w:t>any other</w:t>
      </w:r>
      <w:r>
        <w:rPr>
          <w:spacing w:val="40"/>
          <w:sz w:val="24"/>
        </w:rPr>
        <w:t> </w:t>
      </w:r>
      <w:r>
        <w:rPr>
          <w:sz w:val="24"/>
        </w:rPr>
        <w:t>public</w:t>
      </w:r>
      <w:r>
        <w:rPr>
          <w:spacing w:val="40"/>
          <w:sz w:val="24"/>
        </w:rPr>
        <w:t> </w:t>
      </w:r>
      <w:r>
        <w:rPr>
          <w:sz w:val="24"/>
        </w:rPr>
        <w:t>transport</w:t>
      </w:r>
      <w:r>
        <w:rPr>
          <w:spacing w:val="9"/>
          <w:sz w:val="24"/>
        </w:rPr>
        <w:t> terminal.</w:t>
      </w:r>
    </w:p>
    <w:p>
      <w:pPr>
        <w:pStyle w:val="ListParagraph"/>
        <w:numPr>
          <w:ilvl w:val="0"/>
          <w:numId w:val="7"/>
        </w:numPr>
        <w:tabs>
          <w:tab w:pos="1622" w:val="left" w:leader="none"/>
        </w:tabs>
        <w:spacing w:line="281" w:lineRule="exact" w:before="1" w:after="0"/>
        <w:ind w:left="1622" w:right="0" w:hanging="465"/>
        <w:jc w:val="left"/>
        <w:rPr>
          <w:sz w:val="24"/>
        </w:rPr>
      </w:pPr>
      <w:r>
        <w:rPr>
          <w:sz w:val="24"/>
        </w:rPr>
        <w:t>public</w:t>
      </w:r>
      <w:r>
        <w:rPr>
          <w:spacing w:val="56"/>
          <w:sz w:val="24"/>
        </w:rPr>
        <w:t> </w:t>
      </w:r>
      <w:r>
        <w:rPr>
          <w:sz w:val="24"/>
        </w:rPr>
        <w:t>or</w:t>
      </w:r>
      <w:r>
        <w:rPr>
          <w:spacing w:val="56"/>
          <w:sz w:val="24"/>
        </w:rPr>
        <w:t> </w:t>
      </w:r>
      <w:r>
        <w:rPr>
          <w:sz w:val="24"/>
        </w:rPr>
        <w:t>private</w:t>
      </w:r>
      <w:r>
        <w:rPr>
          <w:spacing w:val="57"/>
          <w:sz w:val="24"/>
        </w:rPr>
        <w:t> </w:t>
      </w:r>
      <w:r>
        <w:rPr>
          <w:spacing w:val="7"/>
          <w:sz w:val="24"/>
        </w:rPr>
        <w:t>hospital</w:t>
      </w:r>
    </w:p>
    <w:p>
      <w:pPr>
        <w:pStyle w:val="ListParagraph"/>
        <w:numPr>
          <w:ilvl w:val="2"/>
          <w:numId w:val="6"/>
        </w:numPr>
        <w:tabs>
          <w:tab w:pos="1766" w:val="left" w:leader="none"/>
          <w:tab w:pos="1844" w:val="left" w:leader="none"/>
        </w:tabs>
        <w:spacing w:line="240" w:lineRule="auto" w:before="0" w:after="0"/>
        <w:ind w:left="1766" w:right="773" w:hanging="428"/>
        <w:jc w:val="both"/>
        <w:rPr>
          <w:sz w:val="24"/>
        </w:rPr>
      </w:pPr>
      <w:r>
        <w:rPr>
          <w:sz w:val="24"/>
        </w:rPr>
        <w:tab/>
        <w:t>"Residential building" means a building in which sleeping accommodation is provided for normal residential purposes, with or without cooking or dining facilities, and includes one or more family dwellings,</w:t>
      </w:r>
      <w:r>
        <w:rPr>
          <w:spacing w:val="80"/>
          <w:sz w:val="24"/>
        </w:rPr>
        <w:t> </w:t>
      </w:r>
      <w:r>
        <w:rPr>
          <w:sz w:val="24"/>
        </w:rPr>
        <w:t>lodging</w:t>
      </w:r>
      <w:r>
        <w:rPr>
          <w:spacing w:val="80"/>
          <w:sz w:val="24"/>
        </w:rPr>
        <w:t> </w:t>
      </w:r>
      <w:r>
        <w:rPr>
          <w:sz w:val="24"/>
        </w:rPr>
        <w:t>or</w:t>
      </w:r>
      <w:r>
        <w:rPr>
          <w:spacing w:val="80"/>
          <w:sz w:val="24"/>
        </w:rPr>
        <w:t> </w:t>
      </w:r>
      <w:r>
        <w:rPr>
          <w:sz w:val="24"/>
        </w:rPr>
        <w:t>rooming</w:t>
      </w:r>
      <w:r>
        <w:rPr>
          <w:spacing w:val="80"/>
          <w:sz w:val="24"/>
        </w:rPr>
        <w:t> </w:t>
      </w:r>
      <w:r>
        <w:rPr>
          <w:sz w:val="24"/>
        </w:rPr>
        <w:t>houses,</w:t>
      </w:r>
      <w:r>
        <w:rPr>
          <w:spacing w:val="80"/>
          <w:sz w:val="24"/>
        </w:rPr>
        <w:t> </w:t>
      </w:r>
      <w:r>
        <w:rPr>
          <w:sz w:val="24"/>
        </w:rPr>
        <w:t>hostels,</w:t>
      </w:r>
      <w:r>
        <w:rPr>
          <w:spacing w:val="80"/>
          <w:sz w:val="24"/>
        </w:rPr>
        <w:t> </w:t>
      </w:r>
      <w:r>
        <w:rPr>
          <w:sz w:val="24"/>
        </w:rPr>
        <w:t>dormitories,</w:t>
      </w:r>
      <w:r>
        <w:rPr>
          <w:spacing w:val="40"/>
          <w:sz w:val="24"/>
        </w:rPr>
        <w:t> </w:t>
      </w:r>
      <w:r>
        <w:rPr>
          <w:sz w:val="24"/>
        </w:rPr>
        <w:t>apartment houses, flats, and private garages of such </w:t>
      </w:r>
      <w:r>
        <w:rPr>
          <w:spacing w:val="9"/>
          <w:sz w:val="24"/>
        </w:rPr>
        <w:t>buildings.(m) </w:t>
      </w:r>
      <w:r>
        <w:rPr>
          <w:sz w:val="24"/>
        </w:rPr>
        <w:t>“Semi-detached</w:t>
      </w:r>
      <w:r>
        <w:rPr>
          <w:spacing w:val="80"/>
          <w:sz w:val="24"/>
        </w:rPr>
        <w:t> </w:t>
      </w:r>
      <w:r>
        <w:rPr>
          <w:sz w:val="24"/>
        </w:rPr>
        <w:t>building"</w:t>
      </w:r>
      <w:r>
        <w:rPr>
          <w:spacing w:val="80"/>
          <w:sz w:val="24"/>
        </w:rPr>
        <w:t> </w:t>
      </w:r>
      <w:r>
        <w:rPr>
          <w:sz w:val="24"/>
        </w:rPr>
        <w:t>means</w:t>
      </w:r>
      <w:r>
        <w:rPr>
          <w:spacing w:val="80"/>
          <w:sz w:val="24"/>
        </w:rPr>
        <w:t> </w:t>
      </w:r>
      <w:r>
        <w:rPr>
          <w:sz w:val="24"/>
        </w:rPr>
        <w:t>a</w:t>
      </w:r>
      <w:r>
        <w:rPr>
          <w:spacing w:val="80"/>
          <w:sz w:val="24"/>
        </w:rPr>
        <w:t> </w:t>
      </w:r>
      <w:r>
        <w:rPr>
          <w:sz w:val="24"/>
        </w:rPr>
        <w:t>building</w:t>
      </w:r>
      <w:r>
        <w:rPr>
          <w:spacing w:val="80"/>
          <w:sz w:val="24"/>
        </w:rPr>
        <w:t> </w:t>
      </w:r>
      <w:r>
        <w:rPr>
          <w:sz w:val="24"/>
        </w:rPr>
        <w:t>detached</w:t>
      </w:r>
      <w:r>
        <w:rPr>
          <w:spacing w:val="80"/>
          <w:sz w:val="24"/>
        </w:rPr>
        <w:t> </w:t>
      </w:r>
      <w:r>
        <w:rPr>
          <w:sz w:val="24"/>
        </w:rPr>
        <w:t>on</w:t>
      </w:r>
      <w:r>
        <w:rPr>
          <w:spacing w:val="80"/>
          <w:sz w:val="24"/>
        </w:rPr>
        <w:t> </w:t>
      </w:r>
      <w:r>
        <w:rPr>
          <w:sz w:val="24"/>
        </w:rPr>
        <w:t>three sides.(n)</w:t>
      </w:r>
      <w:r>
        <w:rPr>
          <w:spacing w:val="80"/>
          <w:sz w:val="24"/>
        </w:rPr>
        <w:t> </w:t>
      </w:r>
      <w:r>
        <w:rPr>
          <w:sz w:val="24"/>
        </w:rPr>
        <w:t>“Special</w:t>
      </w:r>
      <w:r>
        <w:rPr>
          <w:spacing w:val="40"/>
          <w:sz w:val="24"/>
        </w:rPr>
        <w:t> </w:t>
      </w:r>
      <w:r>
        <w:rPr>
          <w:sz w:val="24"/>
        </w:rPr>
        <w:t>building"</w:t>
      </w:r>
      <w:r>
        <w:rPr>
          <w:spacing w:val="80"/>
          <w:sz w:val="24"/>
        </w:rPr>
        <w:t> </w:t>
      </w:r>
      <w:r>
        <w:rPr>
          <w:sz w:val="24"/>
        </w:rPr>
        <w:t>means-</w:t>
      </w:r>
    </w:p>
    <w:p>
      <w:pPr>
        <w:pStyle w:val="ListParagraph"/>
        <w:numPr>
          <w:ilvl w:val="3"/>
          <w:numId w:val="6"/>
        </w:numPr>
        <w:tabs>
          <w:tab w:pos="1763" w:val="left" w:leader="none"/>
          <w:tab w:pos="1766" w:val="left" w:leader="none"/>
        </w:tabs>
        <w:spacing w:line="240" w:lineRule="auto" w:before="0" w:after="0"/>
        <w:ind w:left="1766" w:right="771" w:hanging="428"/>
        <w:jc w:val="both"/>
        <w:rPr>
          <w:sz w:val="24"/>
        </w:rPr>
      </w:pPr>
      <w:r>
        <w:rPr>
          <w:sz w:val="24"/>
        </w:rPr>
        <w:t>a</w:t>
      </w:r>
      <w:r>
        <w:rPr>
          <w:spacing w:val="40"/>
          <w:sz w:val="24"/>
        </w:rPr>
        <w:t> </w:t>
      </w:r>
      <w:r>
        <w:rPr>
          <w:sz w:val="24"/>
        </w:rPr>
        <w:t>building</w:t>
      </w:r>
      <w:r>
        <w:rPr>
          <w:spacing w:val="40"/>
          <w:sz w:val="24"/>
        </w:rPr>
        <w:t> </w:t>
      </w:r>
      <w:r>
        <w:rPr>
          <w:sz w:val="24"/>
        </w:rPr>
        <w:t>solely</w:t>
      </w:r>
      <w:r>
        <w:rPr>
          <w:spacing w:val="40"/>
          <w:sz w:val="24"/>
        </w:rPr>
        <w:t> </w:t>
      </w:r>
      <w:r>
        <w:rPr>
          <w:sz w:val="24"/>
        </w:rPr>
        <w:t>used</w:t>
      </w:r>
      <w:r>
        <w:rPr>
          <w:spacing w:val="40"/>
          <w:sz w:val="24"/>
        </w:rPr>
        <w:t> </w:t>
      </w:r>
      <w:r>
        <w:rPr>
          <w:sz w:val="24"/>
        </w:rPr>
        <w:t>for</w:t>
      </w:r>
      <w:r>
        <w:rPr>
          <w:spacing w:val="40"/>
          <w:sz w:val="24"/>
        </w:rPr>
        <w:t> </w:t>
      </w:r>
      <w:r>
        <w:rPr>
          <w:sz w:val="24"/>
        </w:rPr>
        <w:t>the</w:t>
      </w:r>
      <w:r>
        <w:rPr>
          <w:spacing w:val="40"/>
          <w:sz w:val="24"/>
        </w:rPr>
        <w:t> </w:t>
      </w:r>
      <w:r>
        <w:rPr>
          <w:sz w:val="24"/>
        </w:rPr>
        <w:t>purpose</w:t>
      </w:r>
      <w:r>
        <w:rPr>
          <w:spacing w:val="40"/>
          <w:sz w:val="24"/>
        </w:rPr>
        <w:t> </w:t>
      </w:r>
      <w:r>
        <w:rPr>
          <w:sz w:val="24"/>
        </w:rPr>
        <w:t>of</w:t>
      </w:r>
      <w:r>
        <w:rPr>
          <w:spacing w:val="40"/>
          <w:sz w:val="24"/>
        </w:rPr>
        <w:t> </w:t>
      </w:r>
      <w:r>
        <w:rPr>
          <w:sz w:val="24"/>
        </w:rPr>
        <w:t>a</w:t>
      </w:r>
      <w:r>
        <w:rPr>
          <w:spacing w:val="40"/>
          <w:sz w:val="24"/>
        </w:rPr>
        <w:t> </w:t>
      </w:r>
      <w:r>
        <w:rPr>
          <w:sz w:val="24"/>
        </w:rPr>
        <w:t>drama</w:t>
      </w:r>
      <w:r>
        <w:rPr>
          <w:spacing w:val="40"/>
          <w:sz w:val="24"/>
        </w:rPr>
        <w:t> </w:t>
      </w:r>
      <w:r>
        <w:rPr>
          <w:sz w:val="24"/>
        </w:rPr>
        <w:t>or</w:t>
      </w:r>
      <w:r>
        <w:rPr>
          <w:spacing w:val="40"/>
          <w:sz w:val="24"/>
        </w:rPr>
        <w:t> </w:t>
      </w:r>
      <w:r>
        <w:rPr>
          <w:sz w:val="24"/>
        </w:rPr>
        <w:t>cinema</w:t>
      </w:r>
      <w:r>
        <w:rPr>
          <w:spacing w:val="40"/>
          <w:sz w:val="24"/>
        </w:rPr>
        <w:t> </w:t>
      </w:r>
      <w:r>
        <w:rPr>
          <w:sz w:val="24"/>
        </w:rPr>
        <w:t>theatre,</w:t>
      </w:r>
      <w:r>
        <w:rPr>
          <w:spacing w:val="40"/>
          <w:sz w:val="24"/>
        </w:rPr>
        <w:t> </w:t>
      </w:r>
      <w:r>
        <w:rPr>
          <w:sz w:val="24"/>
        </w:rPr>
        <w:t>a</w:t>
      </w:r>
      <w:r>
        <w:rPr>
          <w:spacing w:val="40"/>
          <w:sz w:val="24"/>
        </w:rPr>
        <w:t> </w:t>
      </w:r>
      <w:r>
        <w:rPr>
          <w:spacing w:val="9"/>
          <w:sz w:val="24"/>
        </w:rPr>
        <w:t>drive-</w:t>
      </w:r>
      <w:r>
        <w:rPr>
          <w:sz w:val="24"/>
        </w:rPr>
        <w:t>in-theatre,</w:t>
      </w:r>
      <w:r>
        <w:rPr>
          <w:spacing w:val="40"/>
          <w:sz w:val="24"/>
        </w:rPr>
        <w:t> </w:t>
      </w:r>
      <w:r>
        <w:rPr>
          <w:sz w:val="24"/>
        </w:rPr>
        <w:t>an</w:t>
      </w:r>
      <w:r>
        <w:rPr>
          <w:spacing w:val="40"/>
          <w:sz w:val="24"/>
        </w:rPr>
        <w:t> </w:t>
      </w:r>
      <w:r>
        <w:rPr>
          <w:sz w:val="24"/>
        </w:rPr>
        <w:t>assembly</w:t>
      </w:r>
      <w:r>
        <w:rPr>
          <w:spacing w:val="40"/>
          <w:sz w:val="24"/>
        </w:rPr>
        <w:t> </w:t>
      </w:r>
      <w:r>
        <w:rPr>
          <w:sz w:val="24"/>
        </w:rPr>
        <w:t>hall</w:t>
      </w:r>
      <w:r>
        <w:rPr>
          <w:spacing w:val="40"/>
          <w:sz w:val="24"/>
        </w:rPr>
        <w:t> </w:t>
      </w:r>
      <w:r>
        <w:rPr>
          <w:sz w:val="24"/>
        </w:rPr>
        <w:t>or</w:t>
      </w:r>
      <w:r>
        <w:rPr>
          <w:spacing w:val="40"/>
          <w:sz w:val="24"/>
        </w:rPr>
        <w:t> </w:t>
      </w:r>
      <w:r>
        <w:rPr>
          <w:sz w:val="24"/>
        </w:rPr>
        <w:t>auditorium,</w:t>
      </w:r>
      <w:r>
        <w:rPr>
          <w:spacing w:val="40"/>
          <w:sz w:val="24"/>
        </w:rPr>
        <w:t> </w:t>
      </w:r>
      <w:r>
        <w:rPr>
          <w:sz w:val="24"/>
        </w:rPr>
        <w:t>an</w:t>
      </w:r>
      <w:r>
        <w:rPr>
          <w:spacing w:val="40"/>
          <w:sz w:val="24"/>
        </w:rPr>
        <w:t> </w:t>
      </w:r>
      <w:r>
        <w:rPr>
          <w:spacing w:val="10"/>
          <w:sz w:val="24"/>
        </w:rPr>
        <w:t>exhibition</w:t>
      </w:r>
      <w:r>
        <w:rPr>
          <w:spacing w:val="40"/>
          <w:sz w:val="24"/>
        </w:rPr>
        <w:t> </w:t>
      </w:r>
      <w:r>
        <w:rPr>
          <w:sz w:val="24"/>
        </w:rPr>
        <w:t>hall,</w:t>
      </w:r>
      <w:r>
        <w:rPr>
          <w:spacing w:val="40"/>
          <w:sz w:val="24"/>
        </w:rPr>
        <w:t> </w:t>
      </w:r>
      <w:r>
        <w:rPr>
          <w:sz w:val="24"/>
        </w:rPr>
        <w:t>theatre</w:t>
      </w:r>
      <w:r>
        <w:rPr>
          <w:spacing w:val="40"/>
          <w:sz w:val="24"/>
        </w:rPr>
        <w:t> </w:t>
      </w:r>
      <w:r>
        <w:rPr>
          <w:sz w:val="24"/>
        </w:rPr>
        <w:t>museum,</w:t>
      </w:r>
      <w:r>
        <w:rPr>
          <w:spacing w:val="40"/>
          <w:sz w:val="24"/>
        </w:rPr>
        <w:t> </w:t>
      </w:r>
      <w:r>
        <w:rPr>
          <w:sz w:val="24"/>
        </w:rPr>
        <w:t>a</w:t>
      </w:r>
      <w:r>
        <w:rPr>
          <w:spacing w:val="40"/>
          <w:sz w:val="24"/>
        </w:rPr>
        <w:t> </w:t>
      </w:r>
      <w:r>
        <w:rPr>
          <w:sz w:val="24"/>
        </w:rPr>
        <w:t>stadium,</w:t>
      </w:r>
      <w:r>
        <w:rPr>
          <w:spacing w:val="40"/>
          <w:sz w:val="24"/>
        </w:rPr>
        <w:t> </w:t>
      </w:r>
      <w:r>
        <w:rPr>
          <w:sz w:val="24"/>
        </w:rPr>
        <w:t>a</w:t>
      </w:r>
      <w:r>
        <w:rPr>
          <w:spacing w:val="40"/>
          <w:sz w:val="24"/>
        </w:rPr>
        <w:t> </w:t>
      </w:r>
      <w:r>
        <w:rPr>
          <w:sz w:val="24"/>
        </w:rPr>
        <w:t>"Mangal</w:t>
      </w:r>
      <w:r>
        <w:rPr>
          <w:spacing w:val="40"/>
          <w:sz w:val="24"/>
        </w:rPr>
        <w:t> </w:t>
      </w:r>
      <w:r>
        <w:rPr>
          <w:sz w:val="24"/>
        </w:rPr>
        <w:t>Karyalaya",</w:t>
      </w:r>
      <w:r>
        <w:rPr>
          <w:spacing w:val="40"/>
          <w:sz w:val="24"/>
        </w:rPr>
        <w:t> </w:t>
      </w:r>
      <w:r>
        <w:rPr>
          <w:sz w:val="24"/>
        </w:rPr>
        <w:t>exceeding built-up area of1000 sq. m or where the </w:t>
      </w:r>
      <w:r>
        <w:rPr>
          <w:spacing w:val="10"/>
          <w:sz w:val="24"/>
        </w:rPr>
        <w:t>built-</w:t>
      </w:r>
      <w:r>
        <w:rPr>
          <w:sz w:val="24"/>
        </w:rPr>
        <w:t>up area of such a user exceeds</w:t>
      </w:r>
      <w:r>
        <w:rPr>
          <w:spacing w:val="40"/>
          <w:sz w:val="24"/>
        </w:rPr>
        <w:t> </w:t>
      </w:r>
      <w:r>
        <w:rPr>
          <w:sz w:val="24"/>
        </w:rPr>
        <w:t>1000</w:t>
      </w:r>
      <w:r>
        <w:rPr>
          <w:spacing w:val="40"/>
          <w:sz w:val="24"/>
        </w:rPr>
        <w:t> </w:t>
      </w:r>
      <w:r>
        <w:rPr>
          <w:sz w:val="24"/>
        </w:rPr>
        <w:t>sq.</w:t>
      </w:r>
      <w:r>
        <w:rPr>
          <w:spacing w:val="40"/>
          <w:sz w:val="24"/>
        </w:rPr>
        <w:t> </w:t>
      </w:r>
      <w:r>
        <w:rPr>
          <w:sz w:val="24"/>
        </w:rPr>
        <w:t>m</w:t>
      </w:r>
      <w:r>
        <w:rPr>
          <w:spacing w:val="40"/>
          <w:sz w:val="24"/>
        </w:rPr>
        <w:t> </w:t>
      </w:r>
      <w:r>
        <w:rPr>
          <w:sz w:val="24"/>
        </w:rPr>
        <w:t>in</w:t>
      </w:r>
      <w:r>
        <w:rPr>
          <w:spacing w:val="40"/>
          <w:sz w:val="24"/>
        </w:rPr>
        <w:t> </w:t>
      </w:r>
      <w:r>
        <w:rPr>
          <w:sz w:val="24"/>
        </w:rPr>
        <w:t>the</w:t>
      </w:r>
      <w:r>
        <w:rPr>
          <w:spacing w:val="40"/>
          <w:sz w:val="24"/>
        </w:rPr>
        <w:t> </w:t>
      </w:r>
      <w:r>
        <w:rPr>
          <w:sz w:val="24"/>
        </w:rPr>
        <w:t>case</w:t>
      </w:r>
      <w:r>
        <w:rPr>
          <w:spacing w:val="40"/>
          <w:sz w:val="24"/>
        </w:rPr>
        <w:t> </w:t>
      </w:r>
      <w:r>
        <w:rPr>
          <w:sz w:val="24"/>
        </w:rPr>
        <w:t>of</w:t>
      </w:r>
      <w:r>
        <w:rPr>
          <w:spacing w:val="40"/>
          <w:sz w:val="24"/>
        </w:rPr>
        <w:t> </w:t>
      </w:r>
      <w:r>
        <w:rPr>
          <w:sz w:val="24"/>
        </w:rPr>
        <w:t>mixed</w:t>
      </w:r>
      <w:r>
        <w:rPr>
          <w:spacing w:val="40"/>
          <w:sz w:val="24"/>
        </w:rPr>
        <w:t> </w:t>
      </w:r>
      <w:r>
        <w:rPr>
          <w:spacing w:val="9"/>
          <w:sz w:val="24"/>
        </w:rPr>
        <w:t>occupancies;</w:t>
      </w:r>
    </w:p>
    <w:p>
      <w:pPr>
        <w:pStyle w:val="ListParagraph"/>
        <w:numPr>
          <w:ilvl w:val="3"/>
          <w:numId w:val="6"/>
        </w:numPr>
        <w:tabs>
          <w:tab w:pos="1763" w:val="left" w:leader="none"/>
        </w:tabs>
        <w:spacing w:line="281" w:lineRule="exact" w:before="1" w:after="0"/>
        <w:ind w:left="1763" w:right="0" w:hanging="424"/>
        <w:jc w:val="left"/>
        <w:rPr>
          <w:sz w:val="24"/>
        </w:rPr>
      </w:pPr>
      <w:r>
        <w:rPr>
          <w:sz w:val="24"/>
        </w:rPr>
        <w:t>an</w:t>
      </w:r>
      <w:r>
        <w:rPr>
          <w:spacing w:val="64"/>
          <w:sz w:val="24"/>
        </w:rPr>
        <w:t> </w:t>
      </w:r>
      <w:r>
        <w:rPr>
          <w:sz w:val="24"/>
        </w:rPr>
        <w:t>industrial</w:t>
      </w:r>
      <w:r>
        <w:rPr>
          <w:spacing w:val="68"/>
          <w:sz w:val="24"/>
        </w:rPr>
        <w:t> </w:t>
      </w:r>
      <w:r>
        <w:rPr>
          <w:spacing w:val="7"/>
          <w:sz w:val="24"/>
        </w:rPr>
        <w:t>building;</w:t>
      </w:r>
    </w:p>
    <w:p>
      <w:pPr>
        <w:pStyle w:val="ListParagraph"/>
        <w:numPr>
          <w:ilvl w:val="3"/>
          <w:numId w:val="6"/>
        </w:numPr>
        <w:tabs>
          <w:tab w:pos="1763" w:val="left" w:leader="none"/>
        </w:tabs>
        <w:spacing w:line="281" w:lineRule="exact" w:before="0" w:after="0"/>
        <w:ind w:left="1763" w:right="0" w:hanging="424"/>
        <w:jc w:val="left"/>
        <w:rPr>
          <w:sz w:val="24"/>
        </w:rPr>
      </w:pPr>
      <w:r>
        <w:rPr>
          <w:sz w:val="24"/>
        </w:rPr>
        <w:t>a</w:t>
      </w:r>
      <w:r>
        <w:rPr>
          <w:spacing w:val="56"/>
          <w:sz w:val="24"/>
        </w:rPr>
        <w:t> </w:t>
      </w:r>
      <w:r>
        <w:rPr>
          <w:sz w:val="24"/>
        </w:rPr>
        <w:t>hazardous</w:t>
      </w:r>
      <w:r>
        <w:rPr>
          <w:spacing w:val="56"/>
          <w:sz w:val="24"/>
        </w:rPr>
        <w:t> </w:t>
      </w:r>
      <w:r>
        <w:rPr>
          <w:spacing w:val="7"/>
          <w:sz w:val="24"/>
        </w:rPr>
        <w:t>building;</w:t>
      </w:r>
    </w:p>
    <w:p>
      <w:pPr>
        <w:pStyle w:val="ListParagraph"/>
        <w:numPr>
          <w:ilvl w:val="3"/>
          <w:numId w:val="6"/>
        </w:numPr>
        <w:tabs>
          <w:tab w:pos="1763" w:val="left" w:leader="none"/>
        </w:tabs>
        <w:spacing w:line="281" w:lineRule="exact" w:before="1" w:after="0"/>
        <w:ind w:left="1763" w:right="0" w:hanging="424"/>
        <w:jc w:val="left"/>
        <w:rPr>
          <w:sz w:val="24"/>
        </w:rPr>
      </w:pPr>
      <w:r>
        <w:rPr>
          <w:sz w:val="24"/>
        </w:rPr>
        <w:t>a</w:t>
      </w:r>
      <w:r>
        <w:rPr>
          <w:spacing w:val="56"/>
          <w:sz w:val="24"/>
        </w:rPr>
        <w:t> </w:t>
      </w:r>
      <w:r>
        <w:rPr>
          <w:sz w:val="24"/>
        </w:rPr>
        <w:t>building</w:t>
      </w:r>
      <w:r>
        <w:rPr>
          <w:spacing w:val="57"/>
          <w:sz w:val="24"/>
        </w:rPr>
        <w:t> </w:t>
      </w:r>
      <w:r>
        <w:rPr>
          <w:sz w:val="24"/>
        </w:rPr>
        <w:t>of</w:t>
      </w:r>
      <w:r>
        <w:rPr>
          <w:spacing w:val="56"/>
          <w:sz w:val="24"/>
        </w:rPr>
        <w:t> </w:t>
      </w:r>
      <w:r>
        <w:rPr>
          <w:sz w:val="24"/>
        </w:rPr>
        <w:t>wholesale</w:t>
      </w:r>
      <w:r>
        <w:rPr>
          <w:spacing w:val="56"/>
          <w:sz w:val="24"/>
        </w:rPr>
        <w:t> </w:t>
      </w:r>
      <w:r>
        <w:rPr>
          <w:spacing w:val="-2"/>
          <w:sz w:val="24"/>
        </w:rPr>
        <w:t>establishment;</w:t>
      </w:r>
    </w:p>
    <w:p>
      <w:pPr>
        <w:pStyle w:val="ListParagraph"/>
        <w:numPr>
          <w:ilvl w:val="3"/>
          <w:numId w:val="6"/>
        </w:numPr>
        <w:tabs>
          <w:tab w:pos="1763" w:val="left" w:leader="none"/>
          <w:tab w:pos="1766" w:val="left" w:leader="none"/>
        </w:tabs>
        <w:spacing w:line="240" w:lineRule="auto" w:before="0" w:after="0"/>
        <w:ind w:left="1766" w:right="776" w:hanging="428"/>
        <w:jc w:val="left"/>
        <w:rPr>
          <w:sz w:val="24"/>
        </w:rPr>
      </w:pPr>
      <w:r>
        <w:rPr>
          <w:sz w:val="24"/>
        </w:rPr>
        <w:t>Educational,</w:t>
      </w:r>
      <w:r>
        <w:rPr>
          <w:spacing w:val="40"/>
          <w:sz w:val="24"/>
        </w:rPr>
        <w:t> </w:t>
      </w:r>
      <w:r>
        <w:rPr>
          <w:sz w:val="24"/>
        </w:rPr>
        <w:t>Institutional</w:t>
      </w:r>
      <w:r>
        <w:rPr>
          <w:spacing w:val="40"/>
          <w:sz w:val="24"/>
        </w:rPr>
        <w:t> </w:t>
      </w:r>
      <w:r>
        <w:rPr>
          <w:sz w:val="24"/>
        </w:rPr>
        <w:t>and</w:t>
      </w:r>
      <w:r>
        <w:rPr>
          <w:spacing w:val="40"/>
          <w:sz w:val="24"/>
        </w:rPr>
        <w:t> </w:t>
      </w:r>
      <w:r>
        <w:rPr>
          <w:sz w:val="24"/>
        </w:rPr>
        <w:t>residential</w:t>
      </w:r>
      <w:r>
        <w:rPr>
          <w:spacing w:val="40"/>
          <w:sz w:val="24"/>
        </w:rPr>
        <w:t> </w:t>
      </w:r>
      <w:r>
        <w:rPr>
          <w:sz w:val="24"/>
        </w:rPr>
        <w:t>hotel</w:t>
      </w:r>
      <w:r>
        <w:rPr>
          <w:spacing w:val="40"/>
          <w:sz w:val="24"/>
        </w:rPr>
        <w:t> </w:t>
      </w:r>
      <w:r>
        <w:rPr>
          <w:sz w:val="24"/>
        </w:rPr>
        <w:t>building</w:t>
      </w:r>
      <w:r>
        <w:rPr>
          <w:spacing w:val="40"/>
          <w:sz w:val="24"/>
        </w:rPr>
        <w:t> </w:t>
      </w:r>
      <w:r>
        <w:rPr>
          <w:sz w:val="24"/>
        </w:rPr>
        <w:t>or</w:t>
      </w:r>
      <w:r>
        <w:rPr>
          <w:spacing w:val="40"/>
          <w:sz w:val="24"/>
        </w:rPr>
        <w:t> </w:t>
      </w:r>
      <w:r>
        <w:rPr>
          <w:spacing w:val="9"/>
          <w:sz w:val="24"/>
        </w:rPr>
        <w:t>centrally</w:t>
      </w:r>
      <w:r>
        <w:rPr>
          <w:spacing w:val="80"/>
          <w:sz w:val="24"/>
        </w:rPr>
        <w:t> </w:t>
      </w:r>
      <w:r>
        <w:rPr>
          <w:sz w:val="24"/>
        </w:rPr>
        <w:t>air-conditioned</w:t>
      </w:r>
      <w:r>
        <w:rPr>
          <w:spacing w:val="80"/>
          <w:sz w:val="24"/>
        </w:rPr>
        <w:t> </w:t>
      </w:r>
      <w:r>
        <w:rPr>
          <w:sz w:val="24"/>
        </w:rPr>
        <w:t>building</w:t>
      </w:r>
      <w:r>
        <w:rPr>
          <w:spacing w:val="80"/>
          <w:sz w:val="24"/>
        </w:rPr>
        <w:t> </w:t>
      </w:r>
      <w:r>
        <w:rPr>
          <w:sz w:val="24"/>
        </w:rPr>
        <w:t>which</w:t>
      </w:r>
      <w:r>
        <w:rPr>
          <w:spacing w:val="80"/>
          <w:sz w:val="24"/>
        </w:rPr>
        <w:t> </w:t>
      </w:r>
      <w:r>
        <w:rPr>
          <w:sz w:val="24"/>
        </w:rPr>
        <w:t>exceeds</w:t>
      </w:r>
    </w:p>
    <w:p>
      <w:pPr>
        <w:pStyle w:val="ListParagraph"/>
        <w:numPr>
          <w:ilvl w:val="4"/>
          <w:numId w:val="6"/>
        </w:numPr>
        <w:tabs>
          <w:tab w:pos="1764" w:val="left" w:leader="none"/>
        </w:tabs>
        <w:spacing w:line="281" w:lineRule="exact" w:before="0" w:after="0"/>
        <w:ind w:left="1764" w:right="0" w:hanging="425"/>
        <w:jc w:val="left"/>
        <w:rPr>
          <w:sz w:val="24"/>
        </w:rPr>
      </w:pPr>
      <w:r>
        <w:rPr>
          <w:sz w:val="24"/>
        </w:rPr>
        <w:t>15m</w:t>
      </w:r>
      <w:r>
        <w:rPr>
          <w:spacing w:val="46"/>
          <w:sz w:val="24"/>
        </w:rPr>
        <w:t> </w:t>
      </w:r>
      <w:r>
        <w:rPr>
          <w:sz w:val="24"/>
        </w:rPr>
        <w:t>in</w:t>
      </w:r>
      <w:r>
        <w:rPr>
          <w:spacing w:val="46"/>
          <w:sz w:val="24"/>
        </w:rPr>
        <w:t> </w:t>
      </w:r>
      <w:r>
        <w:rPr>
          <w:sz w:val="24"/>
        </w:rPr>
        <w:t>height,</w:t>
      </w:r>
      <w:r>
        <w:rPr>
          <w:spacing w:val="50"/>
          <w:sz w:val="24"/>
        </w:rPr>
        <w:t> </w:t>
      </w:r>
      <w:r>
        <w:rPr>
          <w:spacing w:val="-5"/>
          <w:sz w:val="24"/>
        </w:rPr>
        <w:t>or</w:t>
      </w:r>
    </w:p>
    <w:p>
      <w:pPr>
        <w:pStyle w:val="ListParagraph"/>
        <w:numPr>
          <w:ilvl w:val="4"/>
          <w:numId w:val="6"/>
        </w:numPr>
        <w:tabs>
          <w:tab w:pos="1764" w:val="left" w:leader="none"/>
        </w:tabs>
        <w:spacing w:line="281" w:lineRule="exact" w:before="0" w:after="0"/>
        <w:ind w:left="1764" w:right="0" w:hanging="425"/>
        <w:jc w:val="left"/>
        <w:rPr>
          <w:sz w:val="24"/>
        </w:rPr>
      </w:pPr>
      <w:r>
        <w:rPr>
          <w:sz w:val="24"/>
        </w:rPr>
        <w:t>a</w:t>
      </w:r>
      <w:r>
        <w:rPr>
          <w:spacing w:val="42"/>
          <w:sz w:val="24"/>
        </w:rPr>
        <w:t> </w:t>
      </w:r>
      <w:r>
        <w:rPr>
          <w:sz w:val="24"/>
        </w:rPr>
        <w:t>total</w:t>
      </w:r>
      <w:r>
        <w:rPr>
          <w:spacing w:val="42"/>
          <w:sz w:val="24"/>
        </w:rPr>
        <w:t> </w:t>
      </w:r>
      <w:r>
        <w:rPr>
          <w:spacing w:val="9"/>
          <w:sz w:val="24"/>
        </w:rPr>
        <w:t>built-</w:t>
      </w:r>
      <w:r>
        <w:rPr>
          <w:sz w:val="24"/>
        </w:rPr>
        <w:t>up</w:t>
      </w:r>
      <w:r>
        <w:rPr>
          <w:spacing w:val="41"/>
          <w:sz w:val="24"/>
        </w:rPr>
        <w:t> </w:t>
      </w:r>
      <w:r>
        <w:rPr>
          <w:sz w:val="24"/>
        </w:rPr>
        <w:t>area</w:t>
      </w:r>
      <w:r>
        <w:rPr>
          <w:spacing w:val="41"/>
          <w:sz w:val="24"/>
        </w:rPr>
        <w:t> </w:t>
      </w:r>
      <w:r>
        <w:rPr>
          <w:sz w:val="24"/>
        </w:rPr>
        <w:t>of1000</w:t>
      </w:r>
      <w:r>
        <w:rPr>
          <w:spacing w:val="50"/>
          <w:sz w:val="24"/>
        </w:rPr>
        <w:t> </w:t>
      </w:r>
      <w:r>
        <w:rPr>
          <w:sz w:val="24"/>
        </w:rPr>
        <w:t>sq.</w:t>
      </w:r>
      <w:r>
        <w:rPr>
          <w:spacing w:val="43"/>
          <w:sz w:val="24"/>
        </w:rPr>
        <w:t> </w:t>
      </w:r>
      <w:r>
        <w:rPr>
          <w:spacing w:val="7"/>
          <w:sz w:val="24"/>
        </w:rPr>
        <w:t>m.</w:t>
      </w:r>
    </w:p>
    <w:p>
      <w:pPr>
        <w:pStyle w:val="ListParagraph"/>
        <w:numPr>
          <w:ilvl w:val="0"/>
          <w:numId w:val="8"/>
        </w:numPr>
        <w:tabs>
          <w:tab w:pos="1753" w:val="left" w:leader="none"/>
          <w:tab w:pos="1766" w:val="left" w:leader="none"/>
        </w:tabs>
        <w:spacing w:line="240" w:lineRule="auto" w:before="2" w:after="0"/>
        <w:ind w:left="1766" w:right="797" w:hanging="428"/>
        <w:jc w:val="both"/>
        <w:rPr>
          <w:sz w:val="24"/>
        </w:rPr>
      </w:pPr>
      <w:r>
        <w:rPr>
          <w:sz w:val="24"/>
        </w:rPr>
        <w:t>"Storage</w:t>
      </w:r>
      <w:r>
        <w:rPr>
          <w:spacing w:val="80"/>
          <w:sz w:val="24"/>
        </w:rPr>
        <w:t> </w:t>
      </w:r>
      <w:r>
        <w:rPr>
          <w:sz w:val="24"/>
        </w:rPr>
        <w:t>building"</w:t>
      </w:r>
      <w:r>
        <w:rPr>
          <w:spacing w:val="80"/>
          <w:sz w:val="24"/>
        </w:rPr>
        <w:t> </w:t>
      </w:r>
      <w:r>
        <w:rPr>
          <w:sz w:val="24"/>
        </w:rPr>
        <w:t>means</w:t>
      </w:r>
      <w:r>
        <w:rPr>
          <w:spacing w:val="80"/>
          <w:sz w:val="24"/>
        </w:rPr>
        <w:t> </w:t>
      </w:r>
      <w:r>
        <w:rPr>
          <w:sz w:val="24"/>
        </w:rPr>
        <w:t>a</w:t>
      </w:r>
      <w:r>
        <w:rPr>
          <w:spacing w:val="80"/>
          <w:sz w:val="24"/>
        </w:rPr>
        <w:t> </w:t>
      </w:r>
      <w:r>
        <w:rPr>
          <w:sz w:val="24"/>
        </w:rPr>
        <w:t>building</w:t>
      </w:r>
      <w:r>
        <w:rPr>
          <w:spacing w:val="80"/>
          <w:sz w:val="24"/>
        </w:rPr>
        <w:t> </w:t>
      </w:r>
      <w:r>
        <w:rPr>
          <w:sz w:val="24"/>
        </w:rPr>
        <w:t>or</w:t>
      </w:r>
      <w:r>
        <w:rPr>
          <w:spacing w:val="80"/>
          <w:sz w:val="24"/>
        </w:rPr>
        <w:t> </w:t>
      </w:r>
      <w:r>
        <w:rPr>
          <w:sz w:val="24"/>
        </w:rPr>
        <w:t>part</w:t>
      </w:r>
      <w:r>
        <w:rPr>
          <w:spacing w:val="80"/>
          <w:sz w:val="24"/>
        </w:rPr>
        <w:t> </w:t>
      </w:r>
      <w:r>
        <w:rPr>
          <w:sz w:val="24"/>
        </w:rPr>
        <w:t>thereof</w:t>
      </w:r>
      <w:r>
        <w:rPr>
          <w:spacing w:val="80"/>
          <w:sz w:val="24"/>
        </w:rPr>
        <w:t> </w:t>
      </w:r>
      <w:r>
        <w:rPr>
          <w:sz w:val="24"/>
        </w:rPr>
        <w:t>used</w:t>
      </w:r>
      <w:r>
        <w:rPr>
          <w:spacing w:val="80"/>
          <w:sz w:val="24"/>
        </w:rPr>
        <w:t> </w:t>
      </w:r>
      <w:r>
        <w:rPr>
          <w:sz w:val="24"/>
        </w:rPr>
        <w:t>primarily for</w:t>
      </w:r>
      <w:r>
        <w:rPr>
          <w:spacing w:val="40"/>
          <w:sz w:val="24"/>
        </w:rPr>
        <w:t> </w:t>
      </w:r>
      <w:r>
        <w:rPr>
          <w:sz w:val="24"/>
        </w:rPr>
        <w:t>storage</w:t>
      </w:r>
      <w:r>
        <w:rPr>
          <w:spacing w:val="40"/>
          <w:sz w:val="24"/>
        </w:rPr>
        <w:t> </w:t>
      </w:r>
      <w:r>
        <w:rPr>
          <w:sz w:val="24"/>
        </w:rPr>
        <w:t>or</w:t>
      </w:r>
      <w:r>
        <w:rPr>
          <w:spacing w:val="40"/>
          <w:sz w:val="24"/>
        </w:rPr>
        <w:t> </w:t>
      </w:r>
      <w:r>
        <w:rPr>
          <w:sz w:val="24"/>
        </w:rPr>
        <w:t>shelter</w:t>
      </w:r>
      <w:r>
        <w:rPr>
          <w:spacing w:val="40"/>
          <w:sz w:val="24"/>
        </w:rPr>
        <w:t> </w:t>
      </w:r>
      <w:r>
        <w:rPr>
          <w:sz w:val="24"/>
        </w:rPr>
        <w:t>of</w:t>
      </w:r>
      <w:r>
        <w:rPr>
          <w:spacing w:val="40"/>
          <w:sz w:val="24"/>
        </w:rPr>
        <w:t> </w:t>
      </w:r>
      <w:r>
        <w:rPr>
          <w:sz w:val="24"/>
        </w:rPr>
        <w:t>goods,</w:t>
      </w:r>
      <w:r>
        <w:rPr>
          <w:spacing w:val="40"/>
          <w:sz w:val="24"/>
        </w:rPr>
        <w:t> </w:t>
      </w:r>
      <w:r>
        <w:rPr>
          <w:sz w:val="24"/>
        </w:rPr>
        <w:t>wares</w:t>
      </w:r>
      <w:r>
        <w:rPr>
          <w:spacing w:val="40"/>
          <w:sz w:val="24"/>
        </w:rPr>
        <w:t> </w:t>
      </w:r>
      <w:r>
        <w:rPr>
          <w:sz w:val="24"/>
        </w:rPr>
        <w:t>or</w:t>
      </w:r>
      <w:r>
        <w:rPr>
          <w:spacing w:val="40"/>
          <w:sz w:val="24"/>
        </w:rPr>
        <w:t> </w:t>
      </w:r>
      <w:r>
        <w:rPr>
          <w:sz w:val="24"/>
        </w:rPr>
        <w:t>merchandise,</w:t>
      </w:r>
      <w:r>
        <w:rPr>
          <w:spacing w:val="40"/>
          <w:sz w:val="24"/>
        </w:rPr>
        <w:t> </w:t>
      </w:r>
      <w:r>
        <w:rPr>
          <w:sz w:val="24"/>
        </w:rPr>
        <w:t>warehouse,</w:t>
      </w:r>
      <w:r>
        <w:rPr>
          <w:spacing w:val="80"/>
          <w:sz w:val="24"/>
        </w:rPr>
        <w:t> </w:t>
      </w:r>
      <w:r>
        <w:rPr>
          <w:sz w:val="24"/>
        </w:rPr>
        <w:t>cold storage, freight depot, transit shed, store house, public garage hangar,</w:t>
      </w:r>
      <w:r>
        <w:rPr>
          <w:spacing w:val="80"/>
          <w:sz w:val="24"/>
        </w:rPr>
        <w:t> </w:t>
      </w:r>
      <w:r>
        <w:rPr>
          <w:sz w:val="24"/>
        </w:rPr>
        <w:t>truck</w:t>
      </w:r>
      <w:r>
        <w:rPr>
          <w:spacing w:val="80"/>
          <w:sz w:val="24"/>
        </w:rPr>
        <w:t> </w:t>
      </w:r>
      <w:r>
        <w:rPr>
          <w:sz w:val="24"/>
        </w:rPr>
        <w:t>terminal,</w:t>
      </w:r>
      <w:r>
        <w:rPr>
          <w:spacing w:val="40"/>
          <w:sz w:val="24"/>
        </w:rPr>
        <w:t> </w:t>
      </w:r>
      <w:r>
        <w:rPr>
          <w:sz w:val="24"/>
        </w:rPr>
        <w:t>grain</w:t>
      </w:r>
      <w:r>
        <w:rPr>
          <w:spacing w:val="40"/>
          <w:sz w:val="24"/>
        </w:rPr>
        <w:t> </w:t>
      </w:r>
      <w:r>
        <w:rPr>
          <w:sz w:val="24"/>
        </w:rPr>
        <w:t>elevator</w:t>
      </w:r>
      <w:r>
        <w:rPr>
          <w:spacing w:val="80"/>
          <w:sz w:val="24"/>
        </w:rPr>
        <w:t> </w:t>
      </w:r>
      <w:r>
        <w:rPr>
          <w:sz w:val="24"/>
        </w:rPr>
        <w:t>and</w:t>
      </w:r>
      <w:r>
        <w:rPr>
          <w:spacing w:val="40"/>
          <w:sz w:val="24"/>
        </w:rPr>
        <w:t> </w:t>
      </w:r>
      <w:r>
        <w:rPr>
          <w:sz w:val="24"/>
        </w:rPr>
        <w:t>barn.</w:t>
      </w:r>
    </w:p>
    <w:p>
      <w:pPr>
        <w:pStyle w:val="ListParagraph"/>
        <w:numPr>
          <w:ilvl w:val="0"/>
          <w:numId w:val="8"/>
        </w:numPr>
        <w:tabs>
          <w:tab w:pos="1766" w:val="left" w:leader="none"/>
          <w:tab w:pos="1804" w:val="left" w:leader="none"/>
        </w:tabs>
        <w:spacing w:line="240" w:lineRule="auto" w:before="0" w:after="0"/>
        <w:ind w:left="1766" w:right="774" w:hanging="428"/>
        <w:jc w:val="both"/>
        <w:rPr>
          <w:sz w:val="24"/>
        </w:rPr>
      </w:pPr>
      <w:r>
        <w:rPr>
          <w:sz w:val="24"/>
        </w:rPr>
        <w:t>“Temporary</w:t>
      </w:r>
      <w:r>
        <w:rPr>
          <w:sz w:val="24"/>
        </w:rPr>
        <w:t> Building/structure” means any building/structure of whatever size and of whatever material which the Commissioner </w:t>
      </w:r>
      <w:r>
        <w:rPr>
          <w:spacing w:val="9"/>
          <w:sz w:val="24"/>
        </w:rPr>
        <w:t>has </w:t>
      </w:r>
      <w:r>
        <w:rPr>
          <w:sz w:val="24"/>
        </w:rPr>
        <w:t>allowed to be built as a temporary measure in accordance with Regulation No 57.</w:t>
      </w:r>
    </w:p>
    <w:p>
      <w:pPr>
        <w:pStyle w:val="ListParagraph"/>
        <w:numPr>
          <w:ilvl w:val="0"/>
          <w:numId w:val="8"/>
        </w:numPr>
        <w:tabs>
          <w:tab w:pos="1735" w:val="left" w:leader="none"/>
        </w:tabs>
        <w:spacing w:line="282" w:lineRule="exact" w:before="0" w:after="0"/>
        <w:ind w:left="1735" w:right="0" w:hanging="396"/>
        <w:jc w:val="left"/>
        <w:rPr>
          <w:sz w:val="24"/>
        </w:rPr>
      </w:pPr>
      <w:r>
        <w:rPr>
          <w:sz w:val="24"/>
        </w:rPr>
        <w:t>"Unsafe</w:t>
      </w:r>
      <w:r>
        <w:rPr>
          <w:spacing w:val="64"/>
          <w:sz w:val="24"/>
        </w:rPr>
        <w:t> </w:t>
      </w:r>
      <w:r>
        <w:rPr>
          <w:sz w:val="24"/>
        </w:rPr>
        <w:t>building"</w:t>
      </w:r>
      <w:r>
        <w:rPr>
          <w:spacing w:val="65"/>
          <w:sz w:val="24"/>
        </w:rPr>
        <w:t> </w:t>
      </w:r>
      <w:r>
        <w:rPr>
          <w:sz w:val="24"/>
        </w:rPr>
        <w:t>means</w:t>
      </w:r>
      <w:r>
        <w:rPr>
          <w:spacing w:val="69"/>
          <w:sz w:val="24"/>
        </w:rPr>
        <w:t> </w:t>
      </w:r>
      <w:r>
        <w:rPr>
          <w:sz w:val="24"/>
        </w:rPr>
        <w:t>a</w:t>
      </w:r>
      <w:r>
        <w:rPr>
          <w:spacing w:val="65"/>
          <w:sz w:val="24"/>
        </w:rPr>
        <w:t> </w:t>
      </w:r>
      <w:r>
        <w:rPr>
          <w:sz w:val="24"/>
        </w:rPr>
        <w:t>building</w:t>
      </w:r>
      <w:r>
        <w:rPr>
          <w:spacing w:val="65"/>
          <w:sz w:val="24"/>
        </w:rPr>
        <w:t> </w:t>
      </w:r>
      <w:r>
        <w:rPr>
          <w:spacing w:val="7"/>
          <w:sz w:val="24"/>
        </w:rPr>
        <w:t>which-</w:t>
      </w:r>
    </w:p>
    <w:p>
      <w:pPr>
        <w:pStyle w:val="ListParagraph"/>
        <w:numPr>
          <w:ilvl w:val="1"/>
          <w:numId w:val="8"/>
        </w:numPr>
        <w:tabs>
          <w:tab w:pos="1764" w:val="left" w:leader="none"/>
        </w:tabs>
        <w:spacing w:line="281" w:lineRule="exact" w:before="0" w:after="0"/>
        <w:ind w:left="1764" w:right="0" w:hanging="425"/>
        <w:jc w:val="left"/>
        <w:rPr>
          <w:sz w:val="24"/>
        </w:rPr>
      </w:pPr>
      <w:r>
        <w:rPr>
          <w:sz w:val="24"/>
        </w:rPr>
        <w:t>is</w:t>
      </w:r>
      <w:r>
        <w:rPr>
          <w:spacing w:val="75"/>
          <w:sz w:val="24"/>
        </w:rPr>
        <w:t> </w:t>
      </w:r>
      <w:r>
        <w:rPr>
          <w:sz w:val="24"/>
        </w:rPr>
        <w:t>structurally</w:t>
      </w:r>
      <w:r>
        <w:rPr>
          <w:spacing w:val="75"/>
          <w:sz w:val="24"/>
        </w:rPr>
        <w:t> </w:t>
      </w:r>
      <w:r>
        <w:rPr>
          <w:spacing w:val="7"/>
          <w:sz w:val="24"/>
        </w:rPr>
        <w:t>unsafe,</w:t>
      </w:r>
    </w:p>
    <w:p>
      <w:pPr>
        <w:pStyle w:val="ListParagraph"/>
        <w:numPr>
          <w:ilvl w:val="1"/>
          <w:numId w:val="8"/>
        </w:numPr>
        <w:tabs>
          <w:tab w:pos="1763" w:val="left" w:leader="none"/>
        </w:tabs>
        <w:spacing w:line="281" w:lineRule="exact" w:before="0" w:after="0"/>
        <w:ind w:left="1763" w:right="0" w:hanging="424"/>
        <w:jc w:val="left"/>
        <w:rPr>
          <w:sz w:val="24"/>
        </w:rPr>
      </w:pPr>
      <w:r>
        <w:rPr>
          <w:sz w:val="24"/>
        </w:rPr>
        <w:t>is</w:t>
      </w:r>
      <w:r>
        <w:rPr>
          <w:spacing w:val="28"/>
          <w:sz w:val="24"/>
        </w:rPr>
        <w:t> </w:t>
      </w:r>
      <w:r>
        <w:rPr>
          <w:spacing w:val="-2"/>
          <w:sz w:val="24"/>
        </w:rPr>
        <w:t>insanitary,</w:t>
      </w:r>
    </w:p>
    <w:p>
      <w:pPr>
        <w:pStyle w:val="ListParagraph"/>
        <w:numPr>
          <w:ilvl w:val="1"/>
          <w:numId w:val="8"/>
        </w:numPr>
        <w:tabs>
          <w:tab w:pos="1763" w:val="left" w:leader="none"/>
        </w:tabs>
        <w:spacing w:line="281" w:lineRule="exact" w:before="1" w:after="0"/>
        <w:ind w:left="1763" w:right="0" w:hanging="424"/>
        <w:jc w:val="left"/>
        <w:rPr>
          <w:sz w:val="24"/>
        </w:rPr>
      </w:pPr>
      <w:r>
        <w:rPr>
          <w:sz w:val="24"/>
        </w:rPr>
        <w:t>is</w:t>
      </w:r>
      <w:r>
        <w:rPr>
          <w:spacing w:val="50"/>
          <w:sz w:val="24"/>
        </w:rPr>
        <w:t> </w:t>
      </w:r>
      <w:r>
        <w:rPr>
          <w:sz w:val="24"/>
        </w:rPr>
        <w:t>not</w:t>
      </w:r>
      <w:r>
        <w:rPr>
          <w:spacing w:val="53"/>
          <w:sz w:val="24"/>
        </w:rPr>
        <w:t> </w:t>
      </w:r>
      <w:r>
        <w:rPr>
          <w:sz w:val="24"/>
        </w:rPr>
        <w:t>provided</w:t>
      </w:r>
      <w:r>
        <w:rPr>
          <w:spacing w:val="53"/>
          <w:sz w:val="24"/>
        </w:rPr>
        <w:t> </w:t>
      </w:r>
      <w:r>
        <w:rPr>
          <w:sz w:val="24"/>
        </w:rPr>
        <w:t>with</w:t>
      </w:r>
      <w:r>
        <w:rPr>
          <w:spacing w:val="53"/>
          <w:sz w:val="24"/>
        </w:rPr>
        <w:t> </w:t>
      </w:r>
      <w:r>
        <w:rPr>
          <w:sz w:val="24"/>
        </w:rPr>
        <w:t>adequate</w:t>
      </w:r>
      <w:r>
        <w:rPr>
          <w:spacing w:val="52"/>
          <w:sz w:val="24"/>
        </w:rPr>
        <w:t> </w:t>
      </w:r>
      <w:r>
        <w:rPr>
          <w:sz w:val="24"/>
        </w:rPr>
        <w:t>means</w:t>
      </w:r>
      <w:r>
        <w:rPr>
          <w:spacing w:val="56"/>
          <w:sz w:val="24"/>
        </w:rPr>
        <w:t> </w:t>
      </w:r>
      <w:r>
        <w:rPr>
          <w:sz w:val="24"/>
        </w:rPr>
        <w:t>of</w:t>
      </w:r>
      <w:r>
        <w:rPr>
          <w:spacing w:val="53"/>
          <w:sz w:val="24"/>
        </w:rPr>
        <w:t> </w:t>
      </w:r>
      <w:r>
        <w:rPr>
          <w:spacing w:val="7"/>
          <w:sz w:val="24"/>
        </w:rPr>
        <w:t>egress,</w:t>
      </w:r>
    </w:p>
    <w:p>
      <w:pPr>
        <w:pStyle w:val="ListParagraph"/>
        <w:numPr>
          <w:ilvl w:val="1"/>
          <w:numId w:val="8"/>
        </w:numPr>
        <w:tabs>
          <w:tab w:pos="1763" w:val="left" w:leader="none"/>
        </w:tabs>
        <w:spacing w:line="281" w:lineRule="exact" w:before="0" w:after="0"/>
        <w:ind w:left="1763" w:right="0" w:hanging="424"/>
        <w:jc w:val="left"/>
        <w:rPr>
          <w:sz w:val="24"/>
        </w:rPr>
      </w:pPr>
      <w:r>
        <w:rPr>
          <w:sz w:val="24"/>
        </w:rPr>
        <w:t>constitutes</w:t>
      </w:r>
      <w:r>
        <w:rPr>
          <w:spacing w:val="56"/>
          <w:sz w:val="24"/>
        </w:rPr>
        <w:t> </w:t>
      </w:r>
      <w:r>
        <w:rPr>
          <w:sz w:val="24"/>
        </w:rPr>
        <w:t>a</w:t>
      </w:r>
      <w:r>
        <w:rPr>
          <w:spacing w:val="61"/>
          <w:sz w:val="24"/>
        </w:rPr>
        <w:t> </w:t>
      </w:r>
      <w:r>
        <w:rPr>
          <w:sz w:val="24"/>
        </w:rPr>
        <w:t>fire</w:t>
      </w:r>
      <w:r>
        <w:rPr>
          <w:spacing w:val="59"/>
          <w:sz w:val="24"/>
        </w:rPr>
        <w:t> </w:t>
      </w:r>
      <w:r>
        <w:rPr>
          <w:spacing w:val="7"/>
          <w:sz w:val="24"/>
        </w:rPr>
        <w:t>hazard,</w:t>
      </w:r>
    </w:p>
    <w:p>
      <w:pPr>
        <w:pStyle w:val="ListParagraph"/>
        <w:numPr>
          <w:ilvl w:val="1"/>
          <w:numId w:val="8"/>
        </w:numPr>
        <w:tabs>
          <w:tab w:pos="1764" w:val="left" w:leader="none"/>
        </w:tabs>
        <w:spacing w:line="281" w:lineRule="exact" w:before="2" w:after="0"/>
        <w:ind w:left="1764" w:right="0" w:hanging="425"/>
        <w:jc w:val="left"/>
        <w:rPr>
          <w:sz w:val="24"/>
        </w:rPr>
      </w:pPr>
      <w:r>
        <w:rPr>
          <w:sz w:val="24"/>
        </w:rPr>
        <w:t>is</w:t>
      </w:r>
      <w:r>
        <w:rPr>
          <w:spacing w:val="52"/>
          <w:sz w:val="24"/>
        </w:rPr>
        <w:t> </w:t>
      </w:r>
      <w:r>
        <w:rPr>
          <w:sz w:val="24"/>
        </w:rPr>
        <w:t>dangerous</w:t>
      </w:r>
      <w:r>
        <w:rPr>
          <w:spacing w:val="52"/>
          <w:sz w:val="24"/>
        </w:rPr>
        <w:t> </w:t>
      </w:r>
      <w:r>
        <w:rPr>
          <w:sz w:val="24"/>
        </w:rPr>
        <w:t>to</w:t>
      </w:r>
      <w:r>
        <w:rPr>
          <w:spacing w:val="52"/>
          <w:sz w:val="24"/>
        </w:rPr>
        <w:t> </w:t>
      </w:r>
      <w:r>
        <w:rPr>
          <w:sz w:val="24"/>
        </w:rPr>
        <w:t>human</w:t>
      </w:r>
      <w:r>
        <w:rPr>
          <w:spacing w:val="52"/>
          <w:sz w:val="24"/>
        </w:rPr>
        <w:t> </w:t>
      </w:r>
      <w:r>
        <w:rPr>
          <w:spacing w:val="-2"/>
          <w:sz w:val="24"/>
        </w:rPr>
        <w:t>life,</w:t>
      </w:r>
    </w:p>
    <w:p>
      <w:pPr>
        <w:pStyle w:val="ListParagraph"/>
        <w:numPr>
          <w:ilvl w:val="1"/>
          <w:numId w:val="8"/>
        </w:numPr>
        <w:tabs>
          <w:tab w:pos="1762" w:val="left" w:leader="none"/>
          <w:tab w:pos="1766" w:val="left" w:leader="none"/>
        </w:tabs>
        <w:spacing w:line="240" w:lineRule="auto" w:before="0" w:after="0"/>
        <w:ind w:left="1766" w:right="789" w:hanging="428"/>
        <w:jc w:val="both"/>
        <w:rPr>
          <w:sz w:val="24"/>
        </w:rPr>
      </w:pPr>
      <w:r>
        <w:rPr>
          <w:sz w:val="24"/>
        </w:rPr>
        <w:t>in</w:t>
      </w:r>
      <w:r>
        <w:rPr>
          <w:spacing w:val="40"/>
          <w:sz w:val="24"/>
        </w:rPr>
        <w:t> </w:t>
      </w:r>
      <w:r>
        <w:rPr>
          <w:sz w:val="24"/>
        </w:rPr>
        <w:t>relation</w:t>
      </w:r>
      <w:r>
        <w:rPr>
          <w:spacing w:val="40"/>
          <w:sz w:val="24"/>
        </w:rPr>
        <w:t> </w:t>
      </w:r>
      <w:r>
        <w:rPr>
          <w:sz w:val="24"/>
        </w:rPr>
        <w:t>to</w:t>
      </w:r>
      <w:r>
        <w:rPr>
          <w:spacing w:val="40"/>
          <w:sz w:val="24"/>
        </w:rPr>
        <w:t> </w:t>
      </w:r>
      <w:r>
        <w:rPr>
          <w:sz w:val="24"/>
        </w:rPr>
        <w:t>its</w:t>
      </w:r>
      <w:r>
        <w:rPr>
          <w:spacing w:val="40"/>
          <w:sz w:val="24"/>
        </w:rPr>
        <w:t> </w:t>
      </w:r>
      <w:r>
        <w:rPr>
          <w:sz w:val="24"/>
        </w:rPr>
        <w:t>existing</w:t>
      </w:r>
      <w:r>
        <w:rPr>
          <w:spacing w:val="40"/>
          <w:sz w:val="24"/>
        </w:rPr>
        <w:t> </w:t>
      </w:r>
      <w:r>
        <w:rPr>
          <w:sz w:val="24"/>
        </w:rPr>
        <w:t>use,</w:t>
      </w:r>
      <w:r>
        <w:rPr>
          <w:spacing w:val="40"/>
          <w:sz w:val="24"/>
        </w:rPr>
        <w:t> </w:t>
      </w:r>
      <w:r>
        <w:rPr>
          <w:sz w:val="24"/>
        </w:rPr>
        <w:t>constitutes</w:t>
      </w:r>
      <w:r>
        <w:rPr>
          <w:spacing w:val="40"/>
          <w:sz w:val="24"/>
        </w:rPr>
        <w:t> </w:t>
      </w:r>
      <w:r>
        <w:rPr>
          <w:sz w:val="24"/>
        </w:rPr>
        <w:t>a</w:t>
      </w:r>
      <w:r>
        <w:rPr>
          <w:spacing w:val="40"/>
          <w:sz w:val="24"/>
        </w:rPr>
        <w:t> </w:t>
      </w:r>
      <w:r>
        <w:rPr>
          <w:sz w:val="24"/>
        </w:rPr>
        <w:t>hazard</w:t>
      </w:r>
      <w:r>
        <w:rPr>
          <w:spacing w:val="40"/>
          <w:sz w:val="24"/>
        </w:rPr>
        <w:t> </w:t>
      </w:r>
      <w:r>
        <w:rPr>
          <w:sz w:val="24"/>
        </w:rPr>
        <w:t>to</w:t>
      </w:r>
      <w:r>
        <w:rPr>
          <w:spacing w:val="40"/>
          <w:sz w:val="24"/>
        </w:rPr>
        <w:t> </w:t>
      </w:r>
      <w:r>
        <w:rPr>
          <w:sz w:val="24"/>
        </w:rPr>
        <w:t>safety</w:t>
      </w:r>
      <w:r>
        <w:rPr>
          <w:spacing w:val="40"/>
          <w:sz w:val="24"/>
        </w:rPr>
        <w:t> </w:t>
      </w:r>
      <w:r>
        <w:rPr>
          <w:sz w:val="24"/>
        </w:rPr>
        <w:t>or</w:t>
      </w:r>
      <w:r>
        <w:rPr>
          <w:spacing w:val="40"/>
          <w:sz w:val="24"/>
        </w:rPr>
        <w:t> </w:t>
      </w:r>
      <w:r>
        <w:rPr>
          <w:sz w:val="24"/>
        </w:rPr>
        <w:t>health or</w:t>
      </w:r>
      <w:r>
        <w:rPr>
          <w:spacing w:val="40"/>
          <w:sz w:val="24"/>
        </w:rPr>
        <w:t> </w:t>
      </w:r>
      <w:r>
        <w:rPr>
          <w:sz w:val="24"/>
        </w:rPr>
        <w:t>public</w:t>
      </w:r>
      <w:r>
        <w:rPr>
          <w:spacing w:val="40"/>
          <w:sz w:val="24"/>
        </w:rPr>
        <w:t> </w:t>
      </w:r>
      <w:r>
        <w:rPr>
          <w:sz w:val="24"/>
        </w:rPr>
        <w:t>welfare</w:t>
      </w:r>
      <w:r>
        <w:rPr>
          <w:spacing w:val="40"/>
          <w:sz w:val="24"/>
        </w:rPr>
        <w:t> </w:t>
      </w:r>
      <w:r>
        <w:rPr>
          <w:sz w:val="24"/>
        </w:rPr>
        <w:t>by</w:t>
      </w:r>
      <w:r>
        <w:rPr>
          <w:spacing w:val="40"/>
          <w:sz w:val="24"/>
        </w:rPr>
        <w:t> </w:t>
      </w:r>
      <w:r>
        <w:rPr>
          <w:sz w:val="24"/>
        </w:rPr>
        <w:t>reasons</w:t>
      </w:r>
      <w:r>
        <w:rPr>
          <w:spacing w:val="40"/>
          <w:sz w:val="24"/>
        </w:rPr>
        <w:t> </w:t>
      </w:r>
      <w:r>
        <w:rPr>
          <w:sz w:val="24"/>
        </w:rPr>
        <w:t>of</w:t>
      </w:r>
      <w:r>
        <w:rPr>
          <w:spacing w:val="40"/>
          <w:sz w:val="24"/>
        </w:rPr>
        <w:t> </w:t>
      </w:r>
      <w:r>
        <w:rPr>
          <w:sz w:val="24"/>
        </w:rPr>
        <w:t>inadequate</w:t>
      </w:r>
      <w:r>
        <w:rPr>
          <w:spacing w:val="40"/>
          <w:sz w:val="24"/>
        </w:rPr>
        <w:t> </w:t>
      </w:r>
      <w:r>
        <w:rPr>
          <w:sz w:val="24"/>
        </w:rPr>
        <w:t>maintenance,</w:t>
      </w:r>
      <w:r>
        <w:rPr>
          <w:spacing w:val="40"/>
          <w:sz w:val="24"/>
        </w:rPr>
        <w:t> </w:t>
      </w:r>
      <w:r>
        <w:rPr>
          <w:sz w:val="24"/>
        </w:rPr>
        <w:t>dilapidation or abandonment.</w:t>
      </w:r>
    </w:p>
    <w:p>
      <w:pPr>
        <w:pStyle w:val="ListParagraph"/>
        <w:spacing w:after="0" w:line="240" w:lineRule="auto"/>
        <w:jc w:val="both"/>
        <w:rPr>
          <w:sz w:val="24"/>
        </w:rPr>
        <w:sectPr>
          <w:pgSz w:w="11910" w:h="16840"/>
          <w:pgMar w:header="1058" w:footer="1357" w:top="1500" w:bottom="1540" w:left="360" w:right="360"/>
        </w:sectPr>
      </w:pPr>
    </w:p>
    <w:p>
      <w:pPr>
        <w:pStyle w:val="ListParagraph"/>
        <w:numPr>
          <w:ilvl w:val="0"/>
          <w:numId w:val="8"/>
        </w:numPr>
        <w:tabs>
          <w:tab w:pos="1713" w:val="left" w:leader="none"/>
          <w:tab w:pos="1766" w:val="left" w:leader="none"/>
        </w:tabs>
        <w:spacing w:line="240" w:lineRule="auto" w:before="255" w:after="0"/>
        <w:ind w:left="1766" w:right="771" w:hanging="428"/>
        <w:jc w:val="both"/>
        <w:rPr>
          <w:sz w:val="24"/>
        </w:rPr>
      </w:pPr>
      <w:r>
        <w:rPr>
          <w:sz w:val="24"/>
        </w:rPr>
        <w:t>"Wholesale establishment" means an establishment wholly or partly engaged in wholesale trade and manufacturers wholesale </w:t>
      </w:r>
      <w:r>
        <w:rPr>
          <w:spacing w:val="11"/>
          <w:sz w:val="24"/>
        </w:rPr>
        <w:t>outlets, </w:t>
      </w:r>
      <w:r>
        <w:rPr>
          <w:sz w:val="24"/>
        </w:rPr>
        <w:t>including related storage facilities, warehouses and </w:t>
      </w:r>
      <w:r>
        <w:rPr>
          <w:spacing w:val="9"/>
          <w:sz w:val="24"/>
        </w:rPr>
        <w:t>establishments </w:t>
      </w:r>
      <w:r>
        <w:rPr>
          <w:sz w:val="24"/>
        </w:rPr>
        <w:t>engaged</w:t>
      </w:r>
      <w:r>
        <w:rPr>
          <w:spacing w:val="40"/>
          <w:sz w:val="24"/>
        </w:rPr>
        <w:t> </w:t>
      </w:r>
      <w:r>
        <w:rPr>
          <w:sz w:val="24"/>
        </w:rPr>
        <w:t>in</w:t>
      </w:r>
      <w:r>
        <w:rPr>
          <w:spacing w:val="40"/>
          <w:sz w:val="24"/>
        </w:rPr>
        <w:t> </w:t>
      </w:r>
      <w:r>
        <w:rPr>
          <w:sz w:val="24"/>
        </w:rPr>
        <w:t>truck</w:t>
      </w:r>
      <w:r>
        <w:rPr>
          <w:spacing w:val="40"/>
          <w:sz w:val="24"/>
        </w:rPr>
        <w:t> </w:t>
      </w:r>
      <w:r>
        <w:rPr>
          <w:sz w:val="24"/>
        </w:rPr>
        <w:t>transport,</w:t>
      </w:r>
      <w:r>
        <w:rPr>
          <w:spacing w:val="40"/>
          <w:sz w:val="24"/>
        </w:rPr>
        <w:t> </w:t>
      </w:r>
      <w:r>
        <w:rPr>
          <w:sz w:val="24"/>
        </w:rPr>
        <w:t>including</w:t>
      </w:r>
      <w:r>
        <w:rPr>
          <w:spacing w:val="40"/>
          <w:sz w:val="24"/>
        </w:rPr>
        <w:t> </w:t>
      </w:r>
      <w:r>
        <w:rPr>
          <w:sz w:val="24"/>
        </w:rPr>
        <w:t>truck</w:t>
      </w:r>
      <w:r>
        <w:rPr>
          <w:spacing w:val="40"/>
          <w:sz w:val="24"/>
        </w:rPr>
        <w:t> </w:t>
      </w:r>
      <w:r>
        <w:rPr>
          <w:sz w:val="24"/>
        </w:rPr>
        <w:t>transport</w:t>
      </w:r>
      <w:r>
        <w:rPr>
          <w:spacing w:val="40"/>
          <w:sz w:val="24"/>
        </w:rPr>
        <w:t> </w:t>
      </w:r>
      <w:r>
        <w:rPr>
          <w:sz w:val="24"/>
        </w:rPr>
        <w:t>booking </w:t>
      </w:r>
      <w:r>
        <w:rPr>
          <w:spacing w:val="-2"/>
          <w:sz w:val="24"/>
        </w:rPr>
        <w:t>agencies.</w:t>
      </w:r>
    </w:p>
    <w:p>
      <w:pPr>
        <w:pStyle w:val="BodyText"/>
        <w:spacing w:before="1"/>
        <w:jc w:val="left"/>
      </w:pPr>
    </w:p>
    <w:p>
      <w:pPr>
        <w:pStyle w:val="ListParagraph"/>
        <w:numPr>
          <w:ilvl w:val="0"/>
          <w:numId w:val="6"/>
        </w:numPr>
        <w:tabs>
          <w:tab w:pos="1532" w:val="left" w:leader="none"/>
          <w:tab w:pos="1766" w:val="left" w:leader="none"/>
        </w:tabs>
        <w:spacing w:line="240" w:lineRule="auto" w:before="0" w:after="0"/>
        <w:ind w:left="1766" w:right="800" w:hanging="711"/>
        <w:jc w:val="both"/>
        <w:rPr>
          <w:sz w:val="22"/>
        </w:rPr>
      </w:pPr>
      <w:r>
        <w:rPr>
          <w:sz w:val="24"/>
        </w:rPr>
        <w:t>"Building</w:t>
      </w:r>
      <w:r>
        <w:rPr>
          <w:spacing w:val="40"/>
          <w:sz w:val="24"/>
        </w:rPr>
        <w:t> </w:t>
      </w:r>
      <w:r>
        <w:rPr>
          <w:sz w:val="24"/>
        </w:rPr>
        <w:t>line"</w:t>
      </w:r>
      <w:r>
        <w:rPr>
          <w:spacing w:val="40"/>
          <w:sz w:val="24"/>
        </w:rPr>
        <w:t> </w:t>
      </w:r>
      <w:r>
        <w:rPr>
          <w:sz w:val="24"/>
        </w:rPr>
        <w:t>means</w:t>
      </w:r>
      <w:r>
        <w:rPr>
          <w:spacing w:val="40"/>
          <w:sz w:val="24"/>
        </w:rPr>
        <w:t> </w:t>
      </w:r>
      <w:r>
        <w:rPr>
          <w:sz w:val="24"/>
        </w:rPr>
        <w:t>the</w:t>
      </w:r>
      <w:r>
        <w:rPr>
          <w:spacing w:val="40"/>
          <w:sz w:val="24"/>
        </w:rPr>
        <w:t> </w:t>
      </w:r>
      <w:r>
        <w:rPr>
          <w:sz w:val="24"/>
        </w:rPr>
        <w:t>line</w:t>
      </w:r>
      <w:r>
        <w:rPr>
          <w:spacing w:val="40"/>
          <w:sz w:val="24"/>
        </w:rPr>
        <w:t> </w:t>
      </w:r>
      <w:r>
        <w:rPr>
          <w:sz w:val="24"/>
        </w:rPr>
        <w:t>up</w:t>
      </w:r>
      <w:r>
        <w:rPr>
          <w:spacing w:val="40"/>
          <w:sz w:val="24"/>
        </w:rPr>
        <w:t> </w:t>
      </w:r>
      <w:r>
        <w:rPr>
          <w:sz w:val="24"/>
        </w:rPr>
        <w:t>to</w:t>
      </w:r>
      <w:r>
        <w:rPr>
          <w:spacing w:val="40"/>
          <w:sz w:val="24"/>
        </w:rPr>
        <w:t> </w:t>
      </w:r>
      <w:r>
        <w:rPr>
          <w:sz w:val="24"/>
        </w:rPr>
        <w:t>which</w:t>
      </w:r>
      <w:r>
        <w:rPr>
          <w:spacing w:val="40"/>
          <w:sz w:val="24"/>
        </w:rPr>
        <w:t> </w:t>
      </w:r>
      <w:r>
        <w:rPr>
          <w:sz w:val="24"/>
        </w:rPr>
        <w:t>the</w:t>
      </w:r>
      <w:r>
        <w:rPr>
          <w:spacing w:val="40"/>
          <w:sz w:val="24"/>
        </w:rPr>
        <w:t> </w:t>
      </w:r>
      <w:r>
        <w:rPr>
          <w:sz w:val="24"/>
        </w:rPr>
        <w:t>plinth</w:t>
      </w:r>
      <w:r>
        <w:rPr>
          <w:spacing w:val="40"/>
          <w:sz w:val="24"/>
        </w:rPr>
        <w:t> </w:t>
      </w:r>
      <w:r>
        <w:rPr>
          <w:sz w:val="24"/>
        </w:rPr>
        <w:t>of</w:t>
      </w:r>
      <w:r>
        <w:rPr>
          <w:spacing w:val="40"/>
          <w:sz w:val="24"/>
        </w:rPr>
        <w:t> </w:t>
      </w:r>
      <w:r>
        <w:rPr>
          <w:sz w:val="24"/>
        </w:rPr>
        <w:t>a</w:t>
      </w:r>
      <w:r>
        <w:rPr>
          <w:spacing w:val="40"/>
          <w:sz w:val="24"/>
        </w:rPr>
        <w:t> </w:t>
      </w:r>
      <w:r>
        <w:rPr>
          <w:sz w:val="24"/>
        </w:rPr>
        <w:t>building extends</w:t>
      </w:r>
      <w:r>
        <w:rPr>
          <w:spacing w:val="40"/>
          <w:sz w:val="24"/>
        </w:rPr>
        <w:t> </w:t>
      </w:r>
      <w:r>
        <w:rPr>
          <w:sz w:val="24"/>
        </w:rPr>
        <w:t>in</w:t>
      </w:r>
      <w:r>
        <w:rPr>
          <w:spacing w:val="40"/>
          <w:sz w:val="24"/>
        </w:rPr>
        <w:t> </w:t>
      </w:r>
      <w:r>
        <w:rPr>
          <w:sz w:val="24"/>
        </w:rPr>
        <w:t>any</w:t>
      </w:r>
      <w:r>
        <w:rPr>
          <w:spacing w:val="40"/>
          <w:sz w:val="24"/>
        </w:rPr>
        <w:t> </w:t>
      </w:r>
      <w:r>
        <w:rPr>
          <w:sz w:val="24"/>
        </w:rPr>
        <w:t>development.</w:t>
      </w:r>
    </w:p>
    <w:p>
      <w:pPr>
        <w:pStyle w:val="BodyText"/>
        <w:jc w:val="left"/>
      </w:pPr>
    </w:p>
    <w:p>
      <w:pPr>
        <w:pStyle w:val="ListParagraph"/>
        <w:numPr>
          <w:ilvl w:val="0"/>
          <w:numId w:val="6"/>
        </w:numPr>
        <w:tabs>
          <w:tab w:pos="1532" w:val="left" w:leader="none"/>
          <w:tab w:pos="1766" w:val="left" w:leader="none"/>
        </w:tabs>
        <w:spacing w:line="240" w:lineRule="auto" w:before="0" w:after="0"/>
        <w:ind w:left="1766" w:right="783" w:hanging="711"/>
        <w:jc w:val="both"/>
        <w:rPr>
          <w:sz w:val="22"/>
        </w:rPr>
      </w:pPr>
      <w:r>
        <w:rPr>
          <w:spacing w:val="9"/>
          <w:sz w:val="24"/>
        </w:rPr>
        <w:t>"Built-</w:t>
      </w:r>
      <w:r>
        <w:rPr>
          <w:sz w:val="24"/>
        </w:rPr>
        <w:t>up area" means the area covered by a building on all floors</w:t>
      </w:r>
      <w:r>
        <w:rPr>
          <w:spacing w:val="40"/>
          <w:sz w:val="24"/>
        </w:rPr>
        <w:t> </w:t>
      </w:r>
      <w:r>
        <w:rPr>
          <w:sz w:val="24"/>
        </w:rPr>
        <w:t>including</w:t>
      </w:r>
      <w:r>
        <w:rPr>
          <w:spacing w:val="40"/>
          <w:sz w:val="24"/>
        </w:rPr>
        <w:t> </w:t>
      </w:r>
      <w:r>
        <w:rPr>
          <w:sz w:val="24"/>
        </w:rPr>
        <w:t>cantilevered</w:t>
      </w:r>
      <w:r>
        <w:rPr>
          <w:spacing w:val="40"/>
          <w:sz w:val="24"/>
        </w:rPr>
        <w:t> </w:t>
      </w:r>
      <w:r>
        <w:rPr>
          <w:sz w:val="24"/>
        </w:rPr>
        <w:t>portion,</w:t>
      </w:r>
      <w:r>
        <w:rPr>
          <w:spacing w:val="40"/>
          <w:sz w:val="24"/>
        </w:rPr>
        <w:t> </w:t>
      </w:r>
      <w:r>
        <w:rPr>
          <w:sz w:val="24"/>
        </w:rPr>
        <w:t>if</w:t>
      </w:r>
      <w:r>
        <w:rPr>
          <w:spacing w:val="40"/>
          <w:sz w:val="24"/>
        </w:rPr>
        <w:t> </w:t>
      </w:r>
      <w:r>
        <w:rPr>
          <w:sz w:val="24"/>
        </w:rPr>
        <w:t>any,</w:t>
      </w:r>
      <w:r>
        <w:rPr>
          <w:spacing w:val="40"/>
          <w:sz w:val="24"/>
        </w:rPr>
        <w:t> </w:t>
      </w:r>
      <w:r>
        <w:rPr>
          <w:sz w:val="24"/>
        </w:rPr>
        <w:t>but</w:t>
      </w:r>
      <w:r>
        <w:rPr>
          <w:spacing w:val="40"/>
          <w:sz w:val="24"/>
        </w:rPr>
        <w:t> </w:t>
      </w:r>
      <w:r>
        <w:rPr>
          <w:sz w:val="24"/>
        </w:rPr>
        <w:t>excluding</w:t>
      </w:r>
      <w:r>
        <w:rPr>
          <w:spacing w:val="40"/>
          <w:sz w:val="24"/>
        </w:rPr>
        <w:t> </w:t>
      </w:r>
      <w:r>
        <w:rPr>
          <w:sz w:val="24"/>
        </w:rPr>
        <w:t>cladding</w:t>
      </w:r>
      <w:r>
        <w:rPr>
          <w:spacing w:val="40"/>
          <w:sz w:val="24"/>
        </w:rPr>
        <w:t> </w:t>
      </w:r>
      <w:r>
        <w:rPr>
          <w:sz w:val="24"/>
        </w:rPr>
        <w:t>and areas</w:t>
      </w:r>
      <w:r>
        <w:rPr>
          <w:spacing w:val="40"/>
          <w:sz w:val="24"/>
        </w:rPr>
        <w:t> </w:t>
      </w:r>
      <w:r>
        <w:rPr>
          <w:sz w:val="24"/>
        </w:rPr>
        <w:t>specifically</w:t>
      </w:r>
      <w:r>
        <w:rPr>
          <w:spacing w:val="40"/>
          <w:sz w:val="24"/>
        </w:rPr>
        <w:t> </w:t>
      </w:r>
      <w:r>
        <w:rPr>
          <w:sz w:val="24"/>
        </w:rPr>
        <w:t>exempted</w:t>
      </w:r>
      <w:r>
        <w:rPr>
          <w:spacing w:val="40"/>
          <w:sz w:val="24"/>
        </w:rPr>
        <w:t> </w:t>
      </w:r>
      <w:r>
        <w:rPr>
          <w:sz w:val="24"/>
        </w:rPr>
        <w:t>under</w:t>
      </w:r>
      <w:r>
        <w:rPr>
          <w:spacing w:val="40"/>
          <w:sz w:val="24"/>
        </w:rPr>
        <w:t> </w:t>
      </w:r>
      <w:r>
        <w:rPr>
          <w:sz w:val="24"/>
        </w:rPr>
        <w:t>these</w:t>
      </w:r>
      <w:r>
        <w:rPr>
          <w:spacing w:val="40"/>
          <w:sz w:val="24"/>
        </w:rPr>
        <w:t> </w:t>
      </w:r>
      <w:r>
        <w:rPr>
          <w:sz w:val="24"/>
        </w:rPr>
        <w:t>Regulations</w:t>
      </w:r>
      <w:r>
        <w:rPr>
          <w:spacing w:val="40"/>
          <w:sz w:val="24"/>
        </w:rPr>
        <w:t> </w:t>
      </w:r>
      <w:r>
        <w:rPr>
          <w:sz w:val="24"/>
        </w:rPr>
        <w:t>for</w:t>
      </w:r>
      <w:r>
        <w:rPr>
          <w:spacing w:val="77"/>
          <w:sz w:val="24"/>
        </w:rPr>
        <w:t> </w:t>
      </w:r>
      <w:r>
        <w:rPr>
          <w:sz w:val="24"/>
        </w:rPr>
        <w:t>the</w:t>
      </w:r>
      <w:r>
        <w:rPr>
          <w:spacing w:val="40"/>
          <w:sz w:val="24"/>
        </w:rPr>
        <w:t> </w:t>
      </w:r>
      <w:r>
        <w:rPr>
          <w:sz w:val="24"/>
        </w:rPr>
        <w:t>purpose</w:t>
      </w:r>
      <w:r>
        <w:rPr>
          <w:spacing w:val="40"/>
          <w:sz w:val="24"/>
        </w:rPr>
        <w:t> </w:t>
      </w:r>
      <w:r>
        <w:rPr>
          <w:sz w:val="24"/>
        </w:rPr>
        <w:t>of computation</w:t>
      </w:r>
      <w:r>
        <w:rPr>
          <w:spacing w:val="40"/>
          <w:sz w:val="24"/>
        </w:rPr>
        <w:t> </w:t>
      </w:r>
      <w:r>
        <w:rPr>
          <w:sz w:val="24"/>
        </w:rPr>
        <w:t>of</w:t>
      </w:r>
      <w:r>
        <w:rPr>
          <w:spacing w:val="40"/>
          <w:sz w:val="24"/>
        </w:rPr>
        <w:t> </w:t>
      </w:r>
      <w:r>
        <w:rPr>
          <w:sz w:val="24"/>
        </w:rPr>
        <w:t>FSI.</w:t>
      </w:r>
    </w:p>
    <w:p>
      <w:pPr>
        <w:pStyle w:val="BodyText"/>
        <w:spacing w:before="1"/>
        <w:jc w:val="left"/>
      </w:pPr>
    </w:p>
    <w:p>
      <w:pPr>
        <w:pStyle w:val="ListParagraph"/>
        <w:numPr>
          <w:ilvl w:val="0"/>
          <w:numId w:val="6"/>
        </w:numPr>
        <w:tabs>
          <w:tab w:pos="1532" w:val="left" w:leader="none"/>
          <w:tab w:pos="1766" w:val="left" w:leader="none"/>
        </w:tabs>
        <w:spacing w:line="240" w:lineRule="auto" w:before="0" w:after="0"/>
        <w:ind w:left="1766" w:right="783" w:hanging="711"/>
        <w:jc w:val="both"/>
        <w:rPr>
          <w:sz w:val="22"/>
        </w:rPr>
      </w:pPr>
      <w:r>
        <w:rPr>
          <w:sz w:val="24"/>
        </w:rPr>
        <w:t>"Cabin" means a </w:t>
      </w:r>
      <w:r>
        <w:rPr>
          <w:spacing w:val="11"/>
          <w:sz w:val="24"/>
        </w:rPr>
        <w:t>non-</w:t>
      </w:r>
      <w:r>
        <w:rPr>
          <w:sz w:val="24"/>
        </w:rPr>
        <w:t>residential enclosure constructed of </w:t>
      </w:r>
      <w:r>
        <w:rPr>
          <w:spacing w:val="12"/>
          <w:sz w:val="24"/>
        </w:rPr>
        <w:t>non-</w:t>
      </w:r>
      <w:r>
        <w:rPr>
          <w:sz w:val="24"/>
        </w:rPr>
        <w:t>load bearing </w:t>
      </w:r>
      <w:r>
        <w:rPr>
          <w:spacing w:val="9"/>
          <w:sz w:val="24"/>
        </w:rPr>
        <w:t>partitions.</w:t>
      </w:r>
    </w:p>
    <w:p>
      <w:pPr>
        <w:pStyle w:val="ListParagraph"/>
        <w:numPr>
          <w:ilvl w:val="0"/>
          <w:numId w:val="6"/>
        </w:numPr>
        <w:tabs>
          <w:tab w:pos="1533" w:val="left" w:leader="none"/>
        </w:tabs>
        <w:spacing w:line="240" w:lineRule="auto" w:before="281" w:after="0"/>
        <w:ind w:left="1533" w:right="0" w:hanging="477"/>
        <w:jc w:val="left"/>
        <w:rPr>
          <w:sz w:val="22"/>
        </w:rPr>
      </w:pPr>
      <w:r>
        <w:rPr>
          <w:sz w:val="24"/>
        </w:rPr>
        <w:t>“Canopy”</w:t>
      </w:r>
      <w:r>
        <w:rPr>
          <w:spacing w:val="65"/>
          <w:sz w:val="24"/>
        </w:rPr>
        <w:t> </w:t>
      </w:r>
      <w:r>
        <w:rPr>
          <w:sz w:val="24"/>
        </w:rPr>
        <w:t>means</w:t>
      </w:r>
      <w:r>
        <w:rPr>
          <w:spacing w:val="68"/>
          <w:sz w:val="24"/>
        </w:rPr>
        <w:t> </w:t>
      </w:r>
      <w:r>
        <w:rPr>
          <w:sz w:val="24"/>
        </w:rPr>
        <w:t>a</w:t>
      </w:r>
      <w:r>
        <w:rPr>
          <w:spacing w:val="67"/>
          <w:sz w:val="24"/>
        </w:rPr>
        <w:t> </w:t>
      </w:r>
      <w:r>
        <w:rPr>
          <w:sz w:val="24"/>
        </w:rPr>
        <w:t>cantilevered</w:t>
      </w:r>
      <w:r>
        <w:rPr>
          <w:spacing w:val="68"/>
          <w:sz w:val="24"/>
        </w:rPr>
        <w:t> </w:t>
      </w:r>
      <w:r>
        <w:rPr>
          <w:sz w:val="24"/>
        </w:rPr>
        <w:t>projection</w:t>
      </w:r>
      <w:r>
        <w:rPr>
          <w:spacing w:val="72"/>
          <w:sz w:val="24"/>
        </w:rPr>
        <w:t> </w:t>
      </w:r>
      <w:r>
        <w:rPr>
          <w:sz w:val="24"/>
        </w:rPr>
        <w:t>over</w:t>
      </w:r>
      <w:r>
        <w:rPr>
          <w:spacing w:val="72"/>
          <w:sz w:val="24"/>
        </w:rPr>
        <w:t> </w:t>
      </w:r>
      <w:r>
        <w:rPr>
          <w:sz w:val="24"/>
        </w:rPr>
        <w:t>any</w:t>
      </w:r>
      <w:r>
        <w:rPr>
          <w:spacing w:val="67"/>
          <w:sz w:val="24"/>
        </w:rPr>
        <w:t> </w:t>
      </w:r>
      <w:r>
        <w:rPr>
          <w:sz w:val="24"/>
        </w:rPr>
        <w:t>building</w:t>
      </w:r>
      <w:r>
        <w:rPr>
          <w:spacing w:val="73"/>
          <w:sz w:val="24"/>
        </w:rPr>
        <w:t> </w:t>
      </w:r>
      <w:r>
        <w:rPr>
          <w:spacing w:val="-2"/>
          <w:sz w:val="24"/>
        </w:rPr>
        <w:t>entrance.</w:t>
      </w:r>
    </w:p>
    <w:p>
      <w:pPr>
        <w:pStyle w:val="BodyText"/>
        <w:spacing w:before="1"/>
        <w:jc w:val="left"/>
      </w:pPr>
    </w:p>
    <w:p>
      <w:pPr>
        <w:pStyle w:val="ListParagraph"/>
        <w:numPr>
          <w:ilvl w:val="0"/>
          <w:numId w:val="6"/>
        </w:numPr>
        <w:tabs>
          <w:tab w:pos="1532" w:val="left" w:leader="none"/>
          <w:tab w:pos="1766" w:val="left" w:leader="none"/>
        </w:tabs>
        <w:spacing w:line="240" w:lineRule="auto" w:before="0" w:after="0"/>
        <w:ind w:left="1766" w:right="785" w:hanging="711"/>
        <w:jc w:val="both"/>
        <w:rPr>
          <w:sz w:val="22"/>
        </w:rPr>
      </w:pPr>
      <w:r>
        <w:rPr>
          <w:sz w:val="22"/>
        </w:rPr>
        <w:t>"</w:t>
      </w:r>
      <w:r>
        <w:rPr>
          <w:sz w:val="24"/>
        </w:rPr>
        <w:t>Carpet area" would have the same meaning as defined in Real Estate (Regulation</w:t>
      </w:r>
      <w:r>
        <w:rPr>
          <w:spacing w:val="40"/>
          <w:sz w:val="24"/>
        </w:rPr>
        <w:t> </w:t>
      </w:r>
      <w:r>
        <w:rPr>
          <w:sz w:val="24"/>
        </w:rPr>
        <w:t>and</w:t>
      </w:r>
      <w:r>
        <w:rPr>
          <w:spacing w:val="40"/>
          <w:sz w:val="24"/>
        </w:rPr>
        <w:t> </w:t>
      </w:r>
      <w:r>
        <w:rPr>
          <w:sz w:val="24"/>
        </w:rPr>
        <w:t>Development)</w:t>
      </w:r>
      <w:r>
        <w:rPr>
          <w:spacing w:val="40"/>
          <w:sz w:val="24"/>
        </w:rPr>
        <w:t> </w:t>
      </w:r>
      <w:r>
        <w:rPr>
          <w:sz w:val="24"/>
        </w:rPr>
        <w:t>Act,</w:t>
      </w:r>
      <w:r>
        <w:rPr>
          <w:spacing w:val="80"/>
          <w:sz w:val="24"/>
        </w:rPr>
        <w:t> </w:t>
      </w:r>
      <w:r>
        <w:rPr>
          <w:sz w:val="24"/>
        </w:rPr>
        <w:t>2016.</w:t>
      </w:r>
    </w:p>
    <w:p>
      <w:pPr>
        <w:pStyle w:val="ListParagraph"/>
        <w:numPr>
          <w:ilvl w:val="0"/>
          <w:numId w:val="6"/>
        </w:numPr>
        <w:tabs>
          <w:tab w:pos="1762" w:val="left" w:leader="none"/>
          <w:tab w:pos="1766" w:val="left" w:leader="none"/>
        </w:tabs>
        <w:spacing w:line="240" w:lineRule="auto" w:before="281" w:after="0"/>
        <w:ind w:left="1766" w:right="777" w:hanging="711"/>
        <w:jc w:val="both"/>
        <w:rPr>
          <w:sz w:val="24"/>
        </w:rPr>
      </w:pPr>
      <w:r>
        <w:rPr>
          <w:sz w:val="24"/>
        </w:rPr>
        <w:t>"Chimney"</w:t>
      </w:r>
      <w:r>
        <w:rPr>
          <w:spacing w:val="40"/>
          <w:sz w:val="24"/>
        </w:rPr>
        <w:t> </w:t>
      </w:r>
      <w:r>
        <w:rPr>
          <w:sz w:val="24"/>
        </w:rPr>
        <w:t>means</w:t>
      </w:r>
      <w:r>
        <w:rPr>
          <w:spacing w:val="40"/>
          <w:sz w:val="24"/>
        </w:rPr>
        <w:t> </w:t>
      </w:r>
      <w:r>
        <w:rPr>
          <w:sz w:val="24"/>
        </w:rPr>
        <w:t>a</w:t>
      </w:r>
      <w:r>
        <w:rPr>
          <w:spacing w:val="40"/>
          <w:sz w:val="24"/>
        </w:rPr>
        <w:t> </w:t>
      </w:r>
      <w:r>
        <w:rPr>
          <w:sz w:val="24"/>
        </w:rPr>
        <w:t>construction</w:t>
      </w:r>
      <w:r>
        <w:rPr>
          <w:spacing w:val="40"/>
          <w:sz w:val="24"/>
        </w:rPr>
        <w:t> </w:t>
      </w:r>
      <w:r>
        <w:rPr>
          <w:sz w:val="24"/>
        </w:rPr>
        <w:t>by</w:t>
      </w:r>
      <w:r>
        <w:rPr>
          <w:spacing w:val="40"/>
          <w:sz w:val="24"/>
        </w:rPr>
        <w:t> </w:t>
      </w:r>
      <w:r>
        <w:rPr>
          <w:sz w:val="24"/>
        </w:rPr>
        <w:t>means</w:t>
      </w:r>
      <w:r>
        <w:rPr>
          <w:spacing w:val="40"/>
          <w:sz w:val="24"/>
        </w:rPr>
        <w:t> </w:t>
      </w:r>
      <w:r>
        <w:rPr>
          <w:sz w:val="24"/>
        </w:rPr>
        <w:t>of</w:t>
      </w:r>
      <w:r>
        <w:rPr>
          <w:spacing w:val="40"/>
          <w:sz w:val="24"/>
        </w:rPr>
        <w:t> </w:t>
      </w:r>
      <w:r>
        <w:rPr>
          <w:sz w:val="24"/>
        </w:rPr>
        <w:t>which</w:t>
      </w:r>
      <w:r>
        <w:rPr>
          <w:spacing w:val="40"/>
          <w:sz w:val="24"/>
        </w:rPr>
        <w:t> </w:t>
      </w:r>
      <w:r>
        <w:rPr>
          <w:sz w:val="24"/>
        </w:rPr>
        <w:t>a</w:t>
      </w:r>
      <w:r>
        <w:rPr>
          <w:spacing w:val="40"/>
          <w:sz w:val="24"/>
        </w:rPr>
        <w:t> </w:t>
      </w:r>
      <w:r>
        <w:rPr>
          <w:sz w:val="24"/>
        </w:rPr>
        <w:t>flue</w:t>
      </w:r>
      <w:r>
        <w:rPr>
          <w:spacing w:val="40"/>
          <w:sz w:val="24"/>
        </w:rPr>
        <w:t> </w:t>
      </w:r>
      <w:r>
        <w:rPr>
          <w:sz w:val="24"/>
        </w:rPr>
        <w:t>is</w:t>
      </w:r>
      <w:r>
        <w:rPr>
          <w:spacing w:val="40"/>
          <w:sz w:val="24"/>
        </w:rPr>
        <w:t> </w:t>
      </w:r>
      <w:r>
        <w:rPr>
          <w:spacing w:val="9"/>
          <w:sz w:val="24"/>
        </w:rPr>
        <w:t>formed </w:t>
      </w:r>
      <w:r>
        <w:rPr>
          <w:sz w:val="24"/>
        </w:rPr>
        <w:t>for</w:t>
      </w:r>
      <w:r>
        <w:rPr>
          <w:spacing w:val="40"/>
          <w:sz w:val="24"/>
        </w:rPr>
        <w:t> </w:t>
      </w:r>
      <w:r>
        <w:rPr>
          <w:sz w:val="24"/>
        </w:rPr>
        <w:t>the</w:t>
      </w:r>
      <w:r>
        <w:rPr>
          <w:spacing w:val="40"/>
          <w:sz w:val="24"/>
        </w:rPr>
        <w:t> </w:t>
      </w:r>
      <w:r>
        <w:rPr>
          <w:sz w:val="24"/>
        </w:rPr>
        <w:t>purpose</w:t>
      </w:r>
      <w:r>
        <w:rPr>
          <w:spacing w:val="40"/>
          <w:sz w:val="24"/>
        </w:rPr>
        <w:t> </w:t>
      </w:r>
      <w:r>
        <w:rPr>
          <w:sz w:val="24"/>
        </w:rPr>
        <w:t>of</w:t>
      </w:r>
      <w:r>
        <w:rPr>
          <w:spacing w:val="40"/>
          <w:sz w:val="24"/>
        </w:rPr>
        <w:t> </w:t>
      </w:r>
      <w:r>
        <w:rPr>
          <w:sz w:val="24"/>
        </w:rPr>
        <w:t>carrying</w:t>
      </w:r>
      <w:r>
        <w:rPr>
          <w:spacing w:val="40"/>
          <w:sz w:val="24"/>
        </w:rPr>
        <w:t> </w:t>
      </w:r>
      <w:r>
        <w:rPr>
          <w:sz w:val="24"/>
        </w:rPr>
        <w:t>products</w:t>
      </w:r>
      <w:r>
        <w:rPr>
          <w:spacing w:val="40"/>
          <w:sz w:val="24"/>
        </w:rPr>
        <w:t> </w:t>
      </w:r>
      <w:r>
        <w:rPr>
          <w:sz w:val="24"/>
        </w:rPr>
        <w:t>of</w:t>
      </w:r>
      <w:r>
        <w:rPr>
          <w:spacing w:val="40"/>
          <w:sz w:val="24"/>
        </w:rPr>
        <w:t> </w:t>
      </w:r>
      <w:r>
        <w:rPr>
          <w:sz w:val="24"/>
        </w:rPr>
        <w:t>combustion</w:t>
      </w:r>
      <w:r>
        <w:rPr>
          <w:spacing w:val="40"/>
          <w:sz w:val="24"/>
        </w:rPr>
        <w:t> </w:t>
      </w:r>
      <w:r>
        <w:rPr>
          <w:sz w:val="24"/>
        </w:rPr>
        <w:t>to</w:t>
      </w:r>
      <w:r>
        <w:rPr>
          <w:spacing w:val="40"/>
          <w:sz w:val="24"/>
        </w:rPr>
        <w:t> </w:t>
      </w:r>
      <w:r>
        <w:rPr>
          <w:sz w:val="24"/>
        </w:rPr>
        <w:t>the</w:t>
      </w:r>
      <w:r>
        <w:rPr>
          <w:spacing w:val="40"/>
          <w:sz w:val="24"/>
        </w:rPr>
        <w:t> </w:t>
      </w:r>
      <w:r>
        <w:rPr>
          <w:sz w:val="24"/>
        </w:rPr>
        <w:t>open</w:t>
      </w:r>
      <w:r>
        <w:rPr>
          <w:spacing w:val="40"/>
          <w:sz w:val="24"/>
        </w:rPr>
        <w:t> </w:t>
      </w:r>
      <w:r>
        <w:rPr>
          <w:sz w:val="24"/>
        </w:rPr>
        <w:t>air and</w:t>
      </w:r>
      <w:r>
        <w:rPr>
          <w:spacing w:val="40"/>
          <w:sz w:val="24"/>
        </w:rPr>
        <w:t> </w:t>
      </w:r>
      <w:r>
        <w:rPr>
          <w:sz w:val="24"/>
        </w:rPr>
        <w:t>includes</w:t>
      </w:r>
      <w:r>
        <w:rPr>
          <w:spacing w:val="40"/>
          <w:sz w:val="24"/>
        </w:rPr>
        <w:t> </w:t>
      </w:r>
      <w:r>
        <w:rPr>
          <w:sz w:val="24"/>
        </w:rPr>
        <w:t>a</w:t>
      </w:r>
      <w:r>
        <w:rPr>
          <w:spacing w:val="40"/>
          <w:sz w:val="24"/>
        </w:rPr>
        <w:t> </w:t>
      </w:r>
      <w:r>
        <w:rPr>
          <w:sz w:val="24"/>
        </w:rPr>
        <w:t>chimney</w:t>
      </w:r>
      <w:r>
        <w:rPr>
          <w:spacing w:val="40"/>
          <w:sz w:val="24"/>
        </w:rPr>
        <w:t> </w:t>
      </w:r>
      <w:r>
        <w:rPr>
          <w:sz w:val="24"/>
        </w:rPr>
        <w:t>stack</w:t>
      </w:r>
      <w:r>
        <w:rPr>
          <w:spacing w:val="40"/>
          <w:sz w:val="24"/>
        </w:rPr>
        <w:t> </w:t>
      </w:r>
      <w:r>
        <w:rPr>
          <w:sz w:val="24"/>
        </w:rPr>
        <w:t>and</w:t>
      </w:r>
      <w:r>
        <w:rPr>
          <w:spacing w:val="40"/>
          <w:sz w:val="24"/>
        </w:rPr>
        <w:t> </w:t>
      </w:r>
      <w:r>
        <w:rPr>
          <w:sz w:val="24"/>
        </w:rPr>
        <w:t>the</w:t>
      </w:r>
      <w:r>
        <w:rPr>
          <w:spacing w:val="40"/>
          <w:sz w:val="24"/>
        </w:rPr>
        <w:t> </w:t>
      </w:r>
      <w:r>
        <w:rPr>
          <w:sz w:val="24"/>
        </w:rPr>
        <w:t>flue</w:t>
      </w:r>
      <w:r>
        <w:rPr>
          <w:spacing w:val="40"/>
          <w:sz w:val="24"/>
        </w:rPr>
        <w:t> </w:t>
      </w:r>
      <w:r>
        <w:rPr>
          <w:spacing w:val="9"/>
          <w:sz w:val="24"/>
        </w:rPr>
        <w:t>pipe.</w:t>
      </w:r>
    </w:p>
    <w:p>
      <w:pPr>
        <w:pStyle w:val="ListParagraph"/>
        <w:numPr>
          <w:ilvl w:val="0"/>
          <w:numId w:val="6"/>
        </w:numPr>
        <w:tabs>
          <w:tab w:pos="1762" w:val="left" w:leader="none"/>
          <w:tab w:pos="1766" w:val="left" w:leader="none"/>
        </w:tabs>
        <w:spacing w:line="240" w:lineRule="auto" w:before="281" w:after="0"/>
        <w:ind w:left="1766" w:right="776" w:hanging="711"/>
        <w:jc w:val="both"/>
        <w:rPr>
          <w:sz w:val="24"/>
        </w:rPr>
      </w:pPr>
      <w:r>
        <w:rPr>
          <w:sz w:val="24"/>
        </w:rPr>
        <w:t>"Chajja"</w:t>
      </w:r>
      <w:r>
        <w:rPr>
          <w:spacing w:val="40"/>
          <w:sz w:val="24"/>
        </w:rPr>
        <w:t> </w:t>
      </w:r>
      <w:r>
        <w:rPr>
          <w:sz w:val="24"/>
        </w:rPr>
        <w:t>means</w:t>
      </w:r>
      <w:r>
        <w:rPr>
          <w:spacing w:val="40"/>
          <w:sz w:val="24"/>
        </w:rPr>
        <w:t> </w:t>
      </w:r>
      <w:r>
        <w:rPr>
          <w:sz w:val="24"/>
        </w:rPr>
        <w:t>a</w:t>
      </w:r>
      <w:r>
        <w:rPr>
          <w:spacing w:val="40"/>
          <w:sz w:val="24"/>
        </w:rPr>
        <w:t> </w:t>
      </w:r>
      <w:r>
        <w:rPr>
          <w:sz w:val="24"/>
        </w:rPr>
        <w:t>structural</w:t>
      </w:r>
      <w:r>
        <w:rPr>
          <w:spacing w:val="40"/>
          <w:sz w:val="24"/>
        </w:rPr>
        <w:t> </w:t>
      </w:r>
      <w:r>
        <w:rPr>
          <w:sz w:val="24"/>
        </w:rPr>
        <w:t>overhang</w:t>
      </w:r>
      <w:r>
        <w:rPr>
          <w:spacing w:val="40"/>
          <w:sz w:val="24"/>
        </w:rPr>
        <w:t> </w:t>
      </w:r>
      <w:r>
        <w:rPr>
          <w:sz w:val="24"/>
        </w:rPr>
        <w:t>provided</w:t>
      </w:r>
      <w:r>
        <w:rPr>
          <w:spacing w:val="40"/>
          <w:sz w:val="24"/>
        </w:rPr>
        <w:t> </w:t>
      </w:r>
      <w:r>
        <w:rPr>
          <w:sz w:val="24"/>
        </w:rPr>
        <w:t>over</w:t>
      </w:r>
      <w:r>
        <w:rPr>
          <w:spacing w:val="40"/>
          <w:sz w:val="24"/>
        </w:rPr>
        <w:t> </w:t>
      </w:r>
      <w:r>
        <w:rPr>
          <w:sz w:val="24"/>
        </w:rPr>
        <w:t>openings</w:t>
      </w:r>
      <w:r>
        <w:rPr>
          <w:spacing w:val="40"/>
          <w:sz w:val="24"/>
        </w:rPr>
        <w:t> </w:t>
      </w:r>
      <w:r>
        <w:rPr>
          <w:sz w:val="24"/>
        </w:rPr>
        <w:t>on external</w:t>
      </w:r>
      <w:r>
        <w:rPr>
          <w:spacing w:val="40"/>
          <w:sz w:val="24"/>
        </w:rPr>
        <w:t> </w:t>
      </w:r>
      <w:r>
        <w:rPr>
          <w:sz w:val="24"/>
        </w:rPr>
        <w:t>walls</w:t>
      </w:r>
      <w:r>
        <w:rPr>
          <w:spacing w:val="40"/>
          <w:sz w:val="24"/>
        </w:rPr>
        <w:t> </w:t>
      </w:r>
      <w:r>
        <w:rPr>
          <w:sz w:val="24"/>
        </w:rPr>
        <w:t>for</w:t>
      </w:r>
      <w:r>
        <w:rPr>
          <w:spacing w:val="40"/>
          <w:sz w:val="24"/>
        </w:rPr>
        <w:t> </w:t>
      </w:r>
      <w:r>
        <w:rPr>
          <w:sz w:val="24"/>
        </w:rPr>
        <w:t>protection</w:t>
      </w:r>
      <w:r>
        <w:rPr>
          <w:spacing w:val="40"/>
          <w:sz w:val="24"/>
        </w:rPr>
        <w:t> </w:t>
      </w:r>
      <w:r>
        <w:rPr>
          <w:sz w:val="24"/>
        </w:rPr>
        <w:t>from</w:t>
      </w:r>
      <w:r>
        <w:rPr>
          <w:spacing w:val="40"/>
          <w:sz w:val="24"/>
        </w:rPr>
        <w:t> </w:t>
      </w:r>
      <w:r>
        <w:rPr>
          <w:sz w:val="24"/>
        </w:rPr>
        <w:t>the</w:t>
      </w:r>
      <w:r>
        <w:rPr>
          <w:spacing w:val="40"/>
          <w:sz w:val="24"/>
        </w:rPr>
        <w:t> </w:t>
      </w:r>
      <w:r>
        <w:rPr>
          <w:sz w:val="24"/>
        </w:rPr>
        <w:t>weather.</w:t>
      </w:r>
    </w:p>
    <w:p>
      <w:pPr>
        <w:pStyle w:val="BodyText"/>
        <w:spacing w:before="2"/>
        <w:jc w:val="left"/>
      </w:pPr>
    </w:p>
    <w:p>
      <w:pPr>
        <w:pStyle w:val="ListParagraph"/>
        <w:numPr>
          <w:ilvl w:val="0"/>
          <w:numId w:val="6"/>
        </w:numPr>
        <w:tabs>
          <w:tab w:pos="1762" w:val="left" w:leader="none"/>
          <w:tab w:pos="1766" w:val="left" w:leader="none"/>
        </w:tabs>
        <w:spacing w:line="240" w:lineRule="auto" w:before="0" w:after="0"/>
        <w:ind w:left="1766" w:right="774" w:hanging="711"/>
        <w:jc w:val="both"/>
        <w:rPr>
          <w:sz w:val="24"/>
        </w:rPr>
      </w:pPr>
      <w:r>
        <w:rPr>
          <w:sz w:val="24"/>
        </w:rPr>
        <w:t>"Chowk"</w:t>
      </w:r>
      <w:r>
        <w:rPr>
          <w:spacing w:val="40"/>
          <w:sz w:val="24"/>
        </w:rPr>
        <w:t> </w:t>
      </w:r>
      <w:r>
        <w:rPr>
          <w:sz w:val="24"/>
        </w:rPr>
        <w:t>means</w:t>
      </w:r>
      <w:r>
        <w:rPr>
          <w:spacing w:val="40"/>
          <w:sz w:val="24"/>
        </w:rPr>
        <w:t> </w:t>
      </w:r>
      <w:r>
        <w:rPr>
          <w:sz w:val="24"/>
        </w:rPr>
        <w:t>a</w:t>
      </w:r>
      <w:r>
        <w:rPr>
          <w:spacing w:val="40"/>
          <w:sz w:val="24"/>
        </w:rPr>
        <w:t> </w:t>
      </w:r>
      <w:r>
        <w:rPr>
          <w:sz w:val="24"/>
        </w:rPr>
        <w:t>fully</w:t>
      </w:r>
      <w:r>
        <w:rPr>
          <w:spacing w:val="40"/>
          <w:sz w:val="24"/>
        </w:rPr>
        <w:t> </w:t>
      </w:r>
      <w:r>
        <w:rPr>
          <w:sz w:val="24"/>
        </w:rPr>
        <w:t>or</w:t>
      </w:r>
      <w:r>
        <w:rPr>
          <w:spacing w:val="40"/>
          <w:sz w:val="24"/>
        </w:rPr>
        <w:t> </w:t>
      </w:r>
      <w:r>
        <w:rPr>
          <w:sz w:val="24"/>
        </w:rPr>
        <w:t>partially</w:t>
      </w:r>
      <w:r>
        <w:rPr>
          <w:spacing w:val="40"/>
          <w:sz w:val="24"/>
        </w:rPr>
        <w:t> </w:t>
      </w:r>
      <w:r>
        <w:rPr>
          <w:sz w:val="24"/>
        </w:rPr>
        <w:t>enclosed</w:t>
      </w:r>
      <w:r>
        <w:rPr>
          <w:spacing w:val="40"/>
          <w:sz w:val="24"/>
        </w:rPr>
        <w:t> </w:t>
      </w:r>
      <w:r>
        <w:rPr>
          <w:sz w:val="24"/>
        </w:rPr>
        <w:t>space</w:t>
      </w:r>
      <w:r>
        <w:rPr>
          <w:spacing w:val="40"/>
          <w:sz w:val="24"/>
        </w:rPr>
        <w:t> </w:t>
      </w:r>
      <w:r>
        <w:rPr>
          <w:sz w:val="24"/>
        </w:rPr>
        <w:t>permanently</w:t>
      </w:r>
      <w:r>
        <w:rPr>
          <w:spacing w:val="40"/>
          <w:sz w:val="24"/>
        </w:rPr>
        <w:t> </w:t>
      </w:r>
      <w:r>
        <w:rPr>
          <w:spacing w:val="9"/>
          <w:sz w:val="24"/>
        </w:rPr>
        <w:t>open </w:t>
      </w:r>
      <w:r>
        <w:rPr>
          <w:sz w:val="24"/>
        </w:rPr>
        <w:t>to</w:t>
      </w:r>
      <w:r>
        <w:rPr>
          <w:spacing w:val="40"/>
          <w:sz w:val="24"/>
        </w:rPr>
        <w:t> </w:t>
      </w:r>
      <w:r>
        <w:rPr>
          <w:sz w:val="24"/>
        </w:rPr>
        <w:t>the</w:t>
      </w:r>
      <w:r>
        <w:rPr>
          <w:spacing w:val="40"/>
          <w:sz w:val="24"/>
        </w:rPr>
        <w:t> </w:t>
      </w:r>
      <w:r>
        <w:rPr>
          <w:sz w:val="24"/>
        </w:rPr>
        <w:t>sky</w:t>
      </w:r>
      <w:r>
        <w:rPr>
          <w:spacing w:val="40"/>
          <w:sz w:val="24"/>
        </w:rPr>
        <w:t> </w:t>
      </w:r>
      <w:r>
        <w:rPr>
          <w:sz w:val="24"/>
        </w:rPr>
        <w:t>within</w:t>
      </w:r>
      <w:r>
        <w:rPr>
          <w:spacing w:val="40"/>
          <w:sz w:val="24"/>
        </w:rPr>
        <w:t> </w:t>
      </w:r>
      <w:r>
        <w:rPr>
          <w:sz w:val="24"/>
        </w:rPr>
        <w:t>a</w:t>
      </w:r>
      <w:r>
        <w:rPr>
          <w:spacing w:val="40"/>
          <w:sz w:val="24"/>
        </w:rPr>
        <w:t> </w:t>
      </w:r>
      <w:r>
        <w:rPr>
          <w:sz w:val="24"/>
        </w:rPr>
        <w:t>building</w:t>
      </w:r>
      <w:r>
        <w:rPr>
          <w:spacing w:val="40"/>
          <w:sz w:val="24"/>
        </w:rPr>
        <w:t> </w:t>
      </w:r>
      <w:r>
        <w:rPr>
          <w:sz w:val="24"/>
        </w:rPr>
        <w:t>at</w:t>
      </w:r>
      <w:r>
        <w:rPr>
          <w:spacing w:val="40"/>
          <w:sz w:val="24"/>
        </w:rPr>
        <w:t> </w:t>
      </w:r>
      <w:r>
        <w:rPr>
          <w:sz w:val="24"/>
        </w:rPr>
        <w:t>any</w:t>
      </w:r>
      <w:r>
        <w:rPr>
          <w:spacing w:val="40"/>
          <w:sz w:val="24"/>
        </w:rPr>
        <w:t> </w:t>
      </w:r>
      <w:r>
        <w:rPr>
          <w:sz w:val="24"/>
        </w:rPr>
        <w:t>level;</w:t>
      </w:r>
      <w:r>
        <w:rPr>
          <w:spacing w:val="40"/>
          <w:sz w:val="24"/>
        </w:rPr>
        <w:t> </w:t>
      </w:r>
      <w:r>
        <w:rPr>
          <w:sz w:val="24"/>
        </w:rPr>
        <w:t>inner</w:t>
      </w:r>
      <w:r>
        <w:rPr>
          <w:spacing w:val="40"/>
          <w:sz w:val="24"/>
        </w:rPr>
        <w:t> </w:t>
      </w:r>
      <w:r>
        <w:rPr>
          <w:sz w:val="24"/>
        </w:rPr>
        <w:t>chowk</w:t>
      </w:r>
      <w:r>
        <w:rPr>
          <w:spacing w:val="40"/>
          <w:sz w:val="24"/>
        </w:rPr>
        <w:t> </w:t>
      </w:r>
      <w:r>
        <w:rPr>
          <w:sz w:val="24"/>
        </w:rPr>
        <w:t>being</w:t>
      </w:r>
      <w:r>
        <w:rPr>
          <w:spacing w:val="40"/>
          <w:sz w:val="24"/>
        </w:rPr>
        <w:t> </w:t>
      </w:r>
      <w:r>
        <w:rPr>
          <w:sz w:val="24"/>
        </w:rPr>
        <w:t>enclosed on</w:t>
      </w:r>
      <w:r>
        <w:rPr>
          <w:spacing w:val="40"/>
          <w:sz w:val="24"/>
        </w:rPr>
        <w:t> </w:t>
      </w:r>
      <w:r>
        <w:rPr>
          <w:sz w:val="24"/>
        </w:rPr>
        <w:t>all</w:t>
      </w:r>
      <w:r>
        <w:rPr>
          <w:spacing w:val="40"/>
          <w:sz w:val="24"/>
        </w:rPr>
        <w:t> </w:t>
      </w:r>
      <w:r>
        <w:rPr>
          <w:sz w:val="24"/>
        </w:rPr>
        <w:t>sides</w:t>
      </w:r>
      <w:r>
        <w:rPr>
          <w:spacing w:val="40"/>
          <w:sz w:val="24"/>
        </w:rPr>
        <w:t> </w:t>
      </w:r>
      <w:r>
        <w:rPr>
          <w:sz w:val="24"/>
        </w:rPr>
        <w:t>and</w:t>
      </w:r>
      <w:r>
        <w:rPr>
          <w:spacing w:val="40"/>
          <w:sz w:val="24"/>
        </w:rPr>
        <w:t> </w:t>
      </w:r>
      <w:r>
        <w:rPr>
          <w:sz w:val="24"/>
        </w:rPr>
        <w:t>an</w:t>
      </w:r>
      <w:r>
        <w:rPr>
          <w:spacing w:val="40"/>
          <w:sz w:val="24"/>
        </w:rPr>
        <w:t> </w:t>
      </w:r>
      <w:r>
        <w:rPr>
          <w:sz w:val="24"/>
        </w:rPr>
        <w:t>outer</w:t>
      </w:r>
      <w:r>
        <w:rPr>
          <w:spacing w:val="40"/>
          <w:sz w:val="24"/>
        </w:rPr>
        <w:t> </w:t>
      </w:r>
      <w:r>
        <w:rPr>
          <w:sz w:val="24"/>
        </w:rPr>
        <w:t>chowk</w:t>
      </w:r>
      <w:r>
        <w:rPr>
          <w:spacing w:val="40"/>
          <w:sz w:val="24"/>
        </w:rPr>
        <w:t> </w:t>
      </w:r>
      <w:r>
        <w:rPr>
          <w:sz w:val="24"/>
        </w:rPr>
        <w:t>having</w:t>
      </w:r>
      <w:r>
        <w:rPr>
          <w:spacing w:val="40"/>
          <w:sz w:val="24"/>
        </w:rPr>
        <w:t> </w:t>
      </w:r>
      <w:r>
        <w:rPr>
          <w:sz w:val="24"/>
        </w:rPr>
        <w:t>one</w:t>
      </w:r>
      <w:r>
        <w:rPr>
          <w:spacing w:val="40"/>
          <w:sz w:val="24"/>
        </w:rPr>
        <w:t> </w:t>
      </w:r>
      <w:r>
        <w:rPr>
          <w:sz w:val="24"/>
        </w:rPr>
        <w:t>unenclosed</w:t>
      </w:r>
      <w:r>
        <w:rPr>
          <w:spacing w:val="40"/>
          <w:sz w:val="24"/>
        </w:rPr>
        <w:t> </w:t>
      </w:r>
      <w:r>
        <w:rPr>
          <w:spacing w:val="9"/>
          <w:sz w:val="24"/>
        </w:rPr>
        <w:t>side.</w:t>
      </w:r>
    </w:p>
    <w:p>
      <w:pPr>
        <w:pStyle w:val="ListParagraph"/>
        <w:numPr>
          <w:ilvl w:val="0"/>
          <w:numId w:val="6"/>
        </w:numPr>
        <w:tabs>
          <w:tab w:pos="1762" w:val="left" w:leader="none"/>
          <w:tab w:pos="1766" w:val="left" w:leader="none"/>
        </w:tabs>
        <w:spacing w:line="240" w:lineRule="auto" w:before="280" w:after="0"/>
        <w:ind w:left="1766" w:right="782" w:hanging="711"/>
        <w:jc w:val="both"/>
        <w:rPr>
          <w:sz w:val="24"/>
        </w:rPr>
      </w:pPr>
      <w:r>
        <w:rPr>
          <w:sz w:val="24"/>
        </w:rPr>
        <w:t>"Chute"</w:t>
      </w:r>
      <w:r>
        <w:rPr>
          <w:spacing w:val="40"/>
          <w:sz w:val="24"/>
        </w:rPr>
        <w:t> </w:t>
      </w:r>
      <w:r>
        <w:rPr>
          <w:sz w:val="24"/>
        </w:rPr>
        <w:t>means</w:t>
      </w:r>
      <w:r>
        <w:rPr>
          <w:spacing w:val="40"/>
          <w:sz w:val="24"/>
        </w:rPr>
        <w:t> </w:t>
      </w:r>
      <w:r>
        <w:rPr>
          <w:sz w:val="24"/>
        </w:rPr>
        <w:t>a</w:t>
      </w:r>
      <w:r>
        <w:rPr>
          <w:spacing w:val="40"/>
          <w:sz w:val="24"/>
        </w:rPr>
        <w:t> </w:t>
      </w:r>
      <w:r>
        <w:rPr>
          <w:sz w:val="24"/>
        </w:rPr>
        <w:t>vertical</w:t>
      </w:r>
      <w:r>
        <w:rPr>
          <w:spacing w:val="40"/>
          <w:sz w:val="24"/>
        </w:rPr>
        <w:t> </w:t>
      </w:r>
      <w:r>
        <w:rPr>
          <w:sz w:val="24"/>
        </w:rPr>
        <w:t>system</w:t>
      </w:r>
      <w:r>
        <w:rPr>
          <w:spacing w:val="40"/>
          <w:sz w:val="24"/>
        </w:rPr>
        <w:t> </w:t>
      </w:r>
      <w:r>
        <w:rPr>
          <w:sz w:val="24"/>
        </w:rPr>
        <w:t>passing</w:t>
      </w:r>
      <w:r>
        <w:rPr>
          <w:spacing w:val="40"/>
          <w:sz w:val="24"/>
        </w:rPr>
        <w:t> </w:t>
      </w:r>
      <w:r>
        <w:rPr>
          <w:sz w:val="24"/>
        </w:rPr>
        <w:t>from</w:t>
      </w:r>
      <w:r>
        <w:rPr>
          <w:spacing w:val="40"/>
          <w:sz w:val="24"/>
        </w:rPr>
        <w:t> </w:t>
      </w:r>
      <w:r>
        <w:rPr>
          <w:sz w:val="24"/>
        </w:rPr>
        <w:t>floor</w:t>
      </w:r>
      <w:r>
        <w:rPr>
          <w:spacing w:val="40"/>
          <w:sz w:val="24"/>
        </w:rPr>
        <w:t> </w:t>
      </w:r>
      <w:r>
        <w:rPr>
          <w:sz w:val="24"/>
        </w:rPr>
        <w:t>to</w:t>
      </w:r>
      <w:r>
        <w:rPr>
          <w:spacing w:val="40"/>
          <w:sz w:val="24"/>
        </w:rPr>
        <w:t> </w:t>
      </w:r>
      <w:r>
        <w:rPr>
          <w:sz w:val="24"/>
        </w:rPr>
        <w:t>floor</w:t>
      </w:r>
      <w:r>
        <w:rPr>
          <w:spacing w:val="40"/>
          <w:sz w:val="24"/>
        </w:rPr>
        <w:t> </w:t>
      </w:r>
      <w:r>
        <w:rPr>
          <w:sz w:val="24"/>
        </w:rPr>
        <w:t>provided with</w:t>
      </w:r>
      <w:r>
        <w:rPr>
          <w:spacing w:val="40"/>
          <w:sz w:val="24"/>
        </w:rPr>
        <w:t> </w:t>
      </w:r>
      <w:r>
        <w:rPr>
          <w:sz w:val="24"/>
        </w:rPr>
        <w:t>ventilation</w:t>
      </w:r>
      <w:r>
        <w:rPr>
          <w:spacing w:val="40"/>
          <w:sz w:val="24"/>
        </w:rPr>
        <w:t> </w:t>
      </w:r>
      <w:r>
        <w:rPr>
          <w:sz w:val="24"/>
        </w:rPr>
        <w:t>and</w:t>
      </w:r>
      <w:r>
        <w:rPr>
          <w:spacing w:val="40"/>
          <w:sz w:val="24"/>
        </w:rPr>
        <w:t> </w:t>
      </w:r>
      <w:r>
        <w:rPr>
          <w:sz w:val="24"/>
        </w:rPr>
        <w:t>inlet</w:t>
      </w:r>
      <w:r>
        <w:rPr>
          <w:spacing w:val="40"/>
          <w:sz w:val="24"/>
        </w:rPr>
        <w:t> </w:t>
      </w:r>
      <w:r>
        <w:rPr>
          <w:sz w:val="24"/>
        </w:rPr>
        <w:t>openings</w:t>
      </w:r>
      <w:r>
        <w:rPr>
          <w:spacing w:val="40"/>
          <w:sz w:val="24"/>
        </w:rPr>
        <w:t> </w:t>
      </w:r>
      <w:r>
        <w:rPr>
          <w:sz w:val="24"/>
        </w:rPr>
        <w:t>for</w:t>
      </w:r>
      <w:r>
        <w:rPr>
          <w:spacing w:val="40"/>
          <w:sz w:val="24"/>
        </w:rPr>
        <w:t> </w:t>
      </w:r>
      <w:r>
        <w:rPr>
          <w:sz w:val="24"/>
        </w:rPr>
        <w:t>receiving</w:t>
      </w:r>
      <w:r>
        <w:rPr>
          <w:spacing w:val="40"/>
          <w:sz w:val="24"/>
        </w:rPr>
        <w:t> </w:t>
      </w:r>
      <w:r>
        <w:rPr>
          <w:sz w:val="24"/>
        </w:rPr>
        <w:t>refuse</w:t>
      </w:r>
      <w:r>
        <w:rPr>
          <w:spacing w:val="40"/>
          <w:sz w:val="24"/>
        </w:rPr>
        <w:t> </w:t>
      </w:r>
      <w:r>
        <w:rPr>
          <w:sz w:val="24"/>
        </w:rPr>
        <w:t>from</w:t>
      </w:r>
      <w:r>
        <w:rPr>
          <w:spacing w:val="80"/>
          <w:sz w:val="24"/>
        </w:rPr>
        <w:t> </w:t>
      </w:r>
      <w:r>
        <w:rPr>
          <w:sz w:val="24"/>
        </w:rPr>
        <w:t>successive</w:t>
      </w:r>
      <w:r>
        <w:rPr>
          <w:spacing w:val="40"/>
          <w:sz w:val="24"/>
        </w:rPr>
        <w:t> </w:t>
      </w:r>
      <w:r>
        <w:rPr>
          <w:sz w:val="24"/>
        </w:rPr>
        <w:t>floors</w:t>
      </w:r>
      <w:r>
        <w:rPr>
          <w:spacing w:val="40"/>
          <w:sz w:val="24"/>
        </w:rPr>
        <w:t> </w:t>
      </w:r>
      <w:r>
        <w:rPr>
          <w:sz w:val="24"/>
        </w:rPr>
        <w:t>with</w:t>
      </w:r>
      <w:r>
        <w:rPr>
          <w:spacing w:val="40"/>
          <w:sz w:val="24"/>
        </w:rPr>
        <w:t> </w:t>
      </w:r>
      <w:r>
        <w:rPr>
          <w:sz w:val="24"/>
        </w:rPr>
        <w:t>or</w:t>
      </w:r>
      <w:r>
        <w:rPr>
          <w:spacing w:val="40"/>
          <w:sz w:val="24"/>
        </w:rPr>
        <w:t> </w:t>
      </w:r>
      <w:r>
        <w:rPr>
          <w:sz w:val="24"/>
        </w:rPr>
        <w:t>without</w:t>
      </w:r>
      <w:r>
        <w:rPr>
          <w:spacing w:val="40"/>
          <w:sz w:val="24"/>
        </w:rPr>
        <w:t> </w:t>
      </w:r>
      <w:r>
        <w:rPr>
          <w:sz w:val="24"/>
        </w:rPr>
        <w:t>sprinklers</w:t>
      </w:r>
      <w:r>
        <w:rPr>
          <w:spacing w:val="40"/>
          <w:sz w:val="24"/>
        </w:rPr>
        <w:t> </w:t>
      </w:r>
      <w:r>
        <w:rPr>
          <w:sz w:val="24"/>
        </w:rPr>
        <w:t>for</w:t>
      </w:r>
      <w:r>
        <w:rPr>
          <w:spacing w:val="40"/>
          <w:sz w:val="24"/>
        </w:rPr>
        <w:t> </w:t>
      </w:r>
      <w:r>
        <w:rPr>
          <w:sz w:val="24"/>
        </w:rPr>
        <w:t>cleaning</w:t>
      </w:r>
      <w:r>
        <w:rPr>
          <w:spacing w:val="80"/>
          <w:sz w:val="24"/>
        </w:rPr>
        <w:t> </w:t>
      </w:r>
      <w:r>
        <w:rPr>
          <w:sz w:val="24"/>
        </w:rPr>
        <w:t>and</w:t>
      </w:r>
      <w:r>
        <w:rPr>
          <w:spacing w:val="40"/>
          <w:sz w:val="24"/>
        </w:rPr>
        <w:t> </w:t>
      </w:r>
      <w:r>
        <w:rPr>
          <w:sz w:val="24"/>
        </w:rPr>
        <w:t>ending</w:t>
      </w:r>
      <w:r>
        <w:rPr>
          <w:spacing w:val="40"/>
          <w:sz w:val="24"/>
        </w:rPr>
        <w:t> </w:t>
      </w:r>
      <w:r>
        <w:rPr>
          <w:sz w:val="24"/>
        </w:rPr>
        <w:t>at</w:t>
      </w:r>
      <w:r>
        <w:rPr>
          <w:spacing w:val="40"/>
          <w:sz w:val="24"/>
        </w:rPr>
        <w:t> </w:t>
      </w:r>
      <w:r>
        <w:rPr>
          <w:sz w:val="24"/>
        </w:rPr>
        <w:t>the</w:t>
      </w:r>
      <w:r>
        <w:rPr>
          <w:spacing w:val="40"/>
          <w:sz w:val="24"/>
        </w:rPr>
        <w:t> </w:t>
      </w:r>
      <w:r>
        <w:rPr>
          <w:sz w:val="24"/>
        </w:rPr>
        <w:t>ground</w:t>
      </w:r>
      <w:r>
        <w:rPr>
          <w:spacing w:val="40"/>
          <w:sz w:val="24"/>
        </w:rPr>
        <w:t> </w:t>
      </w:r>
      <w:r>
        <w:rPr>
          <w:sz w:val="24"/>
        </w:rPr>
        <w:t>floor</w:t>
      </w:r>
      <w:r>
        <w:rPr>
          <w:spacing w:val="40"/>
          <w:sz w:val="24"/>
        </w:rPr>
        <w:t> </w:t>
      </w:r>
      <w:r>
        <w:rPr>
          <w:sz w:val="24"/>
        </w:rPr>
        <w:t>on</w:t>
      </w:r>
      <w:r>
        <w:rPr>
          <w:spacing w:val="40"/>
          <w:sz w:val="24"/>
        </w:rPr>
        <w:t> </w:t>
      </w:r>
      <w:r>
        <w:rPr>
          <w:sz w:val="24"/>
        </w:rPr>
        <w:t>the</w:t>
      </w:r>
      <w:r>
        <w:rPr>
          <w:spacing w:val="40"/>
          <w:sz w:val="24"/>
        </w:rPr>
        <w:t> </w:t>
      </w:r>
      <w:r>
        <w:rPr>
          <w:sz w:val="24"/>
        </w:rPr>
        <w:t>top</w:t>
      </w:r>
      <w:r>
        <w:rPr>
          <w:spacing w:val="40"/>
          <w:sz w:val="24"/>
        </w:rPr>
        <w:t> </w:t>
      </w:r>
      <w:r>
        <w:rPr>
          <w:sz w:val="24"/>
        </w:rPr>
        <w:t>of</w:t>
      </w:r>
      <w:r>
        <w:rPr>
          <w:spacing w:val="40"/>
          <w:sz w:val="24"/>
        </w:rPr>
        <w:t> </w:t>
      </w:r>
      <w:r>
        <w:rPr>
          <w:sz w:val="24"/>
        </w:rPr>
        <w:t>the</w:t>
      </w:r>
      <w:r>
        <w:rPr>
          <w:spacing w:val="40"/>
          <w:sz w:val="24"/>
        </w:rPr>
        <w:t> </w:t>
      </w:r>
      <w:r>
        <w:rPr>
          <w:sz w:val="24"/>
        </w:rPr>
        <w:t>collecting</w:t>
      </w:r>
      <w:r>
        <w:rPr>
          <w:spacing w:val="40"/>
          <w:sz w:val="24"/>
        </w:rPr>
        <w:t> </w:t>
      </w:r>
      <w:r>
        <w:rPr>
          <w:sz w:val="24"/>
        </w:rPr>
        <w:t>chambers.</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88" w:hanging="711"/>
        <w:jc w:val="both"/>
        <w:rPr>
          <w:sz w:val="24"/>
        </w:rPr>
      </w:pPr>
      <w:r>
        <w:rPr>
          <w:sz w:val="24"/>
        </w:rPr>
        <w:t>“Cluster” means any defined area</w:t>
      </w:r>
      <w:r>
        <w:rPr>
          <w:spacing w:val="40"/>
          <w:sz w:val="24"/>
        </w:rPr>
        <w:t> </w:t>
      </w:r>
      <w:r>
        <w:rPr>
          <w:sz w:val="24"/>
        </w:rPr>
        <w:t>with proper access comprising</w:t>
      </w:r>
      <w:r>
        <w:rPr>
          <w:spacing w:val="40"/>
          <w:sz w:val="24"/>
        </w:rPr>
        <w:t> </w:t>
      </w:r>
      <w:r>
        <w:rPr>
          <w:sz w:val="24"/>
        </w:rPr>
        <w:t>dwelling</w:t>
      </w:r>
      <w:r>
        <w:rPr>
          <w:spacing w:val="80"/>
          <w:sz w:val="24"/>
        </w:rPr>
        <w:t> </w:t>
      </w:r>
      <w:r>
        <w:rPr>
          <w:sz w:val="24"/>
        </w:rPr>
        <w:t>units,</w:t>
      </w:r>
      <w:r>
        <w:rPr>
          <w:spacing w:val="80"/>
          <w:sz w:val="24"/>
        </w:rPr>
        <w:t> </w:t>
      </w:r>
      <w:r>
        <w:rPr>
          <w:sz w:val="24"/>
        </w:rPr>
        <w:t>buildings,</w:t>
      </w:r>
      <w:r>
        <w:rPr>
          <w:spacing w:val="40"/>
          <w:sz w:val="24"/>
        </w:rPr>
        <w:t> </w:t>
      </w:r>
      <w:r>
        <w:rPr>
          <w:sz w:val="24"/>
        </w:rPr>
        <w:t>chawls,</w:t>
      </w:r>
      <w:r>
        <w:rPr>
          <w:spacing w:val="80"/>
          <w:sz w:val="24"/>
        </w:rPr>
        <w:t> </w:t>
      </w:r>
      <w:r>
        <w:rPr>
          <w:sz w:val="24"/>
        </w:rPr>
        <w:t>etc.</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74" w:hanging="711"/>
        <w:jc w:val="both"/>
        <w:rPr>
          <w:sz w:val="24"/>
        </w:rPr>
      </w:pPr>
      <w:r>
        <w:rPr>
          <w:sz w:val="24"/>
        </w:rPr>
        <w:t>"Combustible material" means that material which when</w:t>
      </w:r>
      <w:r>
        <w:rPr>
          <w:spacing w:val="40"/>
          <w:sz w:val="24"/>
        </w:rPr>
        <w:t> </w:t>
      </w:r>
      <w:r>
        <w:rPr>
          <w:sz w:val="24"/>
        </w:rPr>
        <w:t>burnt adds</w:t>
      </w:r>
      <w:r>
        <w:rPr>
          <w:spacing w:val="40"/>
          <w:sz w:val="24"/>
        </w:rPr>
        <w:t> </w:t>
      </w:r>
      <w:r>
        <w:rPr>
          <w:sz w:val="24"/>
        </w:rPr>
        <w:t>heat</w:t>
      </w:r>
      <w:r>
        <w:rPr>
          <w:spacing w:val="40"/>
          <w:sz w:val="24"/>
        </w:rPr>
        <w:t> </w:t>
      </w:r>
      <w:r>
        <w:rPr>
          <w:sz w:val="24"/>
        </w:rPr>
        <w:t>to</w:t>
      </w:r>
      <w:r>
        <w:rPr>
          <w:spacing w:val="40"/>
          <w:sz w:val="24"/>
        </w:rPr>
        <w:t> </w:t>
      </w:r>
      <w:r>
        <w:rPr>
          <w:sz w:val="24"/>
        </w:rPr>
        <w:t>a</w:t>
      </w:r>
      <w:r>
        <w:rPr>
          <w:spacing w:val="40"/>
          <w:sz w:val="24"/>
        </w:rPr>
        <w:t> </w:t>
      </w:r>
      <w:r>
        <w:rPr>
          <w:sz w:val="24"/>
        </w:rPr>
        <w:t>fire</w:t>
      </w:r>
      <w:r>
        <w:rPr>
          <w:spacing w:val="40"/>
          <w:sz w:val="24"/>
        </w:rPr>
        <w:t> </w:t>
      </w:r>
      <w:r>
        <w:rPr>
          <w:sz w:val="24"/>
        </w:rPr>
        <w:t>when</w:t>
      </w:r>
      <w:r>
        <w:rPr>
          <w:spacing w:val="40"/>
          <w:sz w:val="24"/>
        </w:rPr>
        <w:t> </w:t>
      </w:r>
      <w:r>
        <w:rPr>
          <w:sz w:val="24"/>
        </w:rPr>
        <w:t>tested</w:t>
      </w:r>
      <w:r>
        <w:rPr>
          <w:spacing w:val="40"/>
          <w:sz w:val="24"/>
        </w:rPr>
        <w:t> </w:t>
      </w:r>
      <w:r>
        <w:rPr>
          <w:sz w:val="24"/>
        </w:rPr>
        <w:t>for</w:t>
      </w:r>
      <w:r>
        <w:rPr>
          <w:spacing w:val="40"/>
          <w:sz w:val="24"/>
        </w:rPr>
        <w:t> </w:t>
      </w:r>
      <w:r>
        <w:rPr>
          <w:sz w:val="24"/>
        </w:rPr>
        <w:t>combustibility</w:t>
      </w:r>
      <w:r>
        <w:rPr>
          <w:spacing w:val="40"/>
          <w:sz w:val="24"/>
        </w:rPr>
        <w:t> </w:t>
      </w:r>
      <w:r>
        <w:rPr>
          <w:sz w:val="24"/>
        </w:rPr>
        <w:t>in</w:t>
      </w:r>
      <w:r>
        <w:rPr>
          <w:spacing w:val="40"/>
          <w:sz w:val="24"/>
        </w:rPr>
        <w:t> </w:t>
      </w:r>
      <w:r>
        <w:rPr>
          <w:sz w:val="24"/>
        </w:rPr>
        <w:t>accordance</w:t>
      </w:r>
      <w:r>
        <w:rPr>
          <w:spacing w:val="40"/>
          <w:sz w:val="24"/>
        </w:rPr>
        <w:t> </w:t>
      </w:r>
      <w:r>
        <w:rPr>
          <w:sz w:val="24"/>
        </w:rPr>
        <w:t>with</w:t>
      </w:r>
      <w:r>
        <w:rPr>
          <w:spacing w:val="40"/>
          <w:sz w:val="24"/>
        </w:rPr>
        <w:t> </w:t>
      </w:r>
      <w:r>
        <w:rPr>
          <w:sz w:val="24"/>
        </w:rPr>
        <w:t>the IS:</w:t>
      </w:r>
      <w:r>
        <w:rPr>
          <w:spacing w:val="80"/>
          <w:sz w:val="24"/>
        </w:rPr>
        <w:t> </w:t>
      </w:r>
      <w:r>
        <w:rPr>
          <w:sz w:val="24"/>
        </w:rPr>
        <w:t>3808-1966</w:t>
      </w:r>
      <w:r>
        <w:rPr>
          <w:spacing w:val="80"/>
          <w:sz w:val="24"/>
        </w:rPr>
        <w:t> </w:t>
      </w:r>
      <w:r>
        <w:rPr>
          <w:sz w:val="24"/>
        </w:rPr>
        <w:t>Method</w:t>
      </w:r>
      <w:r>
        <w:rPr>
          <w:spacing w:val="80"/>
          <w:sz w:val="24"/>
        </w:rPr>
        <w:t> </w:t>
      </w:r>
      <w:r>
        <w:rPr>
          <w:sz w:val="24"/>
        </w:rPr>
        <w:t>of</w:t>
      </w:r>
      <w:r>
        <w:rPr>
          <w:spacing w:val="80"/>
          <w:sz w:val="24"/>
        </w:rPr>
        <w:t> </w:t>
      </w:r>
      <w:r>
        <w:rPr>
          <w:sz w:val="24"/>
        </w:rPr>
        <w:t>Test</w:t>
      </w:r>
      <w:r>
        <w:rPr>
          <w:spacing w:val="80"/>
          <w:sz w:val="24"/>
        </w:rPr>
        <w:t> </w:t>
      </w:r>
      <w:r>
        <w:rPr>
          <w:sz w:val="24"/>
        </w:rPr>
        <w:t>for</w:t>
      </w:r>
      <w:r>
        <w:rPr>
          <w:spacing w:val="80"/>
          <w:sz w:val="24"/>
        </w:rPr>
        <w:t> </w:t>
      </w:r>
      <w:r>
        <w:rPr>
          <w:sz w:val="24"/>
        </w:rPr>
        <w:t>combustibility</w:t>
      </w:r>
      <w:r>
        <w:rPr>
          <w:spacing w:val="80"/>
          <w:sz w:val="24"/>
        </w:rPr>
        <w:t> </w:t>
      </w:r>
      <w:r>
        <w:rPr>
          <w:sz w:val="24"/>
        </w:rPr>
        <w:t>of</w:t>
      </w:r>
      <w:r>
        <w:rPr>
          <w:spacing w:val="80"/>
          <w:sz w:val="24"/>
        </w:rPr>
        <w:t> </w:t>
      </w:r>
      <w:r>
        <w:rPr>
          <w:sz w:val="24"/>
        </w:rPr>
        <w:t>Building Materials,</w:t>
      </w:r>
      <w:r>
        <w:rPr>
          <w:spacing w:val="40"/>
          <w:sz w:val="24"/>
        </w:rPr>
        <w:t> </w:t>
      </w:r>
      <w:r>
        <w:rPr>
          <w:sz w:val="24"/>
        </w:rPr>
        <w:t>National</w:t>
      </w:r>
      <w:r>
        <w:rPr>
          <w:spacing w:val="40"/>
          <w:sz w:val="24"/>
        </w:rPr>
        <w:t> </w:t>
      </w:r>
      <w:r>
        <w:rPr>
          <w:sz w:val="24"/>
        </w:rPr>
        <w:t>Building</w:t>
      </w:r>
      <w:r>
        <w:rPr>
          <w:spacing w:val="40"/>
          <w:sz w:val="24"/>
        </w:rPr>
        <w:t> </w:t>
      </w:r>
      <w:r>
        <w:rPr>
          <w:sz w:val="24"/>
        </w:rPr>
        <w:t>Code.</w:t>
      </w:r>
    </w:p>
    <w:p>
      <w:pPr>
        <w:pStyle w:val="ListParagraph"/>
        <w:spacing w:after="0" w:line="240" w:lineRule="auto"/>
        <w:jc w:val="both"/>
        <w:rPr>
          <w:sz w:val="24"/>
        </w:rPr>
        <w:sectPr>
          <w:pgSz w:w="11910" w:h="16840"/>
          <w:pgMar w:header="1058" w:footer="1357" w:top="1500" w:bottom="1540" w:left="360" w:right="360"/>
        </w:sectPr>
      </w:pPr>
    </w:p>
    <w:p>
      <w:pPr>
        <w:pStyle w:val="ListParagraph"/>
        <w:numPr>
          <w:ilvl w:val="0"/>
          <w:numId w:val="6"/>
        </w:numPr>
        <w:tabs>
          <w:tab w:pos="1673" w:val="left" w:leader="none"/>
          <w:tab w:pos="1852" w:val="left" w:leader="none"/>
        </w:tabs>
        <w:spacing w:line="240" w:lineRule="auto" w:before="255" w:after="0"/>
        <w:ind w:left="1673" w:right="775" w:hanging="629"/>
        <w:jc w:val="both"/>
        <w:rPr>
          <w:sz w:val="24"/>
        </w:rPr>
      </w:pPr>
      <w:r>
        <w:rPr>
          <w:sz w:val="24"/>
        </w:rPr>
        <w:tab/>
        <w:t>Commissioner</w:t>
      </w:r>
      <w:r>
        <w:rPr>
          <w:spacing w:val="80"/>
          <w:sz w:val="24"/>
        </w:rPr>
        <w:t> </w:t>
      </w:r>
      <w:r>
        <w:rPr>
          <w:sz w:val="24"/>
        </w:rPr>
        <w:t>means</w:t>
      </w:r>
      <w:r>
        <w:rPr>
          <w:spacing w:val="80"/>
          <w:sz w:val="24"/>
        </w:rPr>
        <w:t> </w:t>
      </w:r>
      <w:r>
        <w:rPr>
          <w:sz w:val="24"/>
        </w:rPr>
        <w:t>Municipal</w:t>
      </w:r>
      <w:r>
        <w:rPr>
          <w:spacing w:val="80"/>
          <w:sz w:val="24"/>
        </w:rPr>
        <w:t> </w:t>
      </w:r>
      <w:r>
        <w:rPr>
          <w:sz w:val="24"/>
        </w:rPr>
        <w:t>Commissioner</w:t>
      </w:r>
      <w:r>
        <w:rPr>
          <w:spacing w:val="80"/>
          <w:sz w:val="24"/>
        </w:rPr>
        <w:t> </w:t>
      </w:r>
      <w:r>
        <w:rPr>
          <w:sz w:val="24"/>
        </w:rPr>
        <w:t>of</w:t>
      </w:r>
      <w:r>
        <w:rPr>
          <w:spacing w:val="80"/>
          <w:sz w:val="24"/>
        </w:rPr>
        <w:t> </w:t>
      </w:r>
      <w:r>
        <w:rPr>
          <w:sz w:val="24"/>
        </w:rPr>
        <w:t>Greater</w:t>
      </w:r>
      <w:r>
        <w:rPr>
          <w:spacing w:val="80"/>
          <w:sz w:val="24"/>
        </w:rPr>
        <w:t> </w:t>
      </w:r>
      <w:r>
        <w:rPr>
          <w:spacing w:val="9"/>
          <w:sz w:val="24"/>
        </w:rPr>
        <w:t>Mumbai </w:t>
      </w:r>
      <w:r>
        <w:rPr>
          <w:sz w:val="24"/>
        </w:rPr>
        <w:t>or</w:t>
      </w:r>
      <w:r>
        <w:rPr>
          <w:spacing w:val="40"/>
          <w:sz w:val="24"/>
        </w:rPr>
        <w:t> </w:t>
      </w:r>
      <w:r>
        <w:rPr>
          <w:sz w:val="24"/>
        </w:rPr>
        <w:t>any</w:t>
      </w:r>
      <w:r>
        <w:rPr>
          <w:spacing w:val="40"/>
          <w:sz w:val="24"/>
        </w:rPr>
        <w:t> </w:t>
      </w:r>
      <w:r>
        <w:rPr>
          <w:sz w:val="24"/>
        </w:rPr>
        <w:t>other</w:t>
      </w:r>
      <w:r>
        <w:rPr>
          <w:spacing w:val="40"/>
          <w:sz w:val="24"/>
        </w:rPr>
        <w:t> </w:t>
      </w:r>
      <w:r>
        <w:rPr>
          <w:sz w:val="24"/>
        </w:rPr>
        <w:t>officer</w:t>
      </w:r>
      <w:r>
        <w:rPr>
          <w:spacing w:val="40"/>
          <w:sz w:val="24"/>
        </w:rPr>
        <w:t> </w:t>
      </w:r>
      <w:r>
        <w:rPr>
          <w:sz w:val="24"/>
        </w:rPr>
        <w:t>designated</w:t>
      </w:r>
      <w:r>
        <w:rPr>
          <w:spacing w:val="40"/>
          <w:sz w:val="24"/>
        </w:rPr>
        <w:t> </w:t>
      </w:r>
      <w:r>
        <w:rPr>
          <w:sz w:val="24"/>
        </w:rPr>
        <w:t>by</w:t>
      </w:r>
      <w:r>
        <w:rPr>
          <w:spacing w:val="40"/>
          <w:sz w:val="24"/>
        </w:rPr>
        <w:t> </w:t>
      </w:r>
      <w:r>
        <w:rPr>
          <w:sz w:val="24"/>
        </w:rPr>
        <w:t>him.</w:t>
      </w:r>
    </w:p>
    <w:p>
      <w:pPr>
        <w:pStyle w:val="BodyText"/>
        <w:spacing w:before="2"/>
        <w:jc w:val="left"/>
      </w:pPr>
    </w:p>
    <w:p>
      <w:pPr>
        <w:pStyle w:val="ListParagraph"/>
        <w:numPr>
          <w:ilvl w:val="0"/>
          <w:numId w:val="6"/>
        </w:numPr>
        <w:tabs>
          <w:tab w:pos="1532" w:val="left" w:leader="none"/>
          <w:tab w:pos="1766" w:val="left" w:leader="none"/>
        </w:tabs>
        <w:spacing w:line="240" w:lineRule="auto" w:before="0" w:after="0"/>
        <w:ind w:left="1766" w:right="783" w:hanging="711"/>
        <w:jc w:val="left"/>
        <w:rPr>
          <w:sz w:val="22"/>
        </w:rPr>
      </w:pPr>
      <w:r>
        <w:rPr>
          <w:sz w:val="24"/>
        </w:rPr>
        <w:t>"Contiguous</w:t>
      </w:r>
      <w:r>
        <w:rPr>
          <w:spacing w:val="40"/>
          <w:sz w:val="24"/>
        </w:rPr>
        <w:t>  </w:t>
      </w:r>
      <w:r>
        <w:rPr>
          <w:sz w:val="24"/>
        </w:rPr>
        <w:t>holding"</w:t>
      </w:r>
      <w:r>
        <w:rPr>
          <w:spacing w:val="40"/>
          <w:sz w:val="24"/>
        </w:rPr>
        <w:t>  </w:t>
      </w:r>
      <w:r>
        <w:rPr>
          <w:sz w:val="24"/>
        </w:rPr>
        <w:t>means</w:t>
      </w:r>
      <w:r>
        <w:rPr>
          <w:spacing w:val="40"/>
          <w:sz w:val="24"/>
        </w:rPr>
        <w:t>  </w:t>
      </w:r>
      <w:r>
        <w:rPr>
          <w:sz w:val="24"/>
        </w:rPr>
        <w:t>contiguous</w:t>
      </w:r>
      <w:r>
        <w:rPr>
          <w:spacing w:val="40"/>
          <w:sz w:val="24"/>
        </w:rPr>
        <w:t>  </w:t>
      </w:r>
      <w:r>
        <w:rPr>
          <w:sz w:val="24"/>
        </w:rPr>
        <w:t>piece</w:t>
      </w:r>
      <w:r>
        <w:rPr>
          <w:spacing w:val="40"/>
          <w:sz w:val="24"/>
        </w:rPr>
        <w:t>  </w:t>
      </w:r>
      <w:r>
        <w:rPr>
          <w:sz w:val="24"/>
        </w:rPr>
        <w:t>of</w:t>
      </w:r>
      <w:r>
        <w:rPr>
          <w:spacing w:val="40"/>
          <w:sz w:val="24"/>
        </w:rPr>
        <w:t>  </w:t>
      </w:r>
      <w:r>
        <w:rPr>
          <w:sz w:val="24"/>
        </w:rPr>
        <w:t>land</w:t>
      </w:r>
      <w:r>
        <w:rPr>
          <w:spacing w:val="40"/>
          <w:sz w:val="24"/>
        </w:rPr>
        <w:t>  </w:t>
      </w:r>
      <w:r>
        <w:rPr>
          <w:sz w:val="24"/>
        </w:rPr>
        <w:t>under</w:t>
      </w:r>
      <w:r>
        <w:rPr>
          <w:spacing w:val="40"/>
          <w:sz w:val="24"/>
        </w:rPr>
        <w:t>  </w:t>
      </w:r>
      <w:r>
        <w:rPr>
          <w:sz w:val="24"/>
        </w:rPr>
        <w:t>one ownership</w:t>
      </w:r>
      <w:r>
        <w:rPr>
          <w:spacing w:val="80"/>
          <w:sz w:val="24"/>
        </w:rPr>
        <w:t> </w:t>
      </w:r>
      <w:r>
        <w:rPr>
          <w:sz w:val="24"/>
        </w:rPr>
        <w:t>irrespective</w:t>
      </w:r>
      <w:r>
        <w:rPr>
          <w:spacing w:val="80"/>
          <w:sz w:val="24"/>
        </w:rPr>
        <w:t> </w:t>
      </w:r>
      <w:r>
        <w:rPr>
          <w:sz w:val="24"/>
        </w:rPr>
        <w:t>of</w:t>
      </w:r>
      <w:r>
        <w:rPr>
          <w:spacing w:val="80"/>
          <w:sz w:val="24"/>
        </w:rPr>
        <w:t> </w:t>
      </w:r>
      <w:r>
        <w:rPr>
          <w:sz w:val="24"/>
        </w:rPr>
        <w:t>separate</w:t>
      </w:r>
      <w:r>
        <w:rPr>
          <w:spacing w:val="80"/>
          <w:sz w:val="24"/>
        </w:rPr>
        <w:t> </w:t>
      </w:r>
      <w:r>
        <w:rPr>
          <w:sz w:val="24"/>
        </w:rPr>
        <w:t>property</w:t>
      </w:r>
      <w:r>
        <w:rPr>
          <w:spacing w:val="80"/>
          <w:sz w:val="24"/>
        </w:rPr>
        <w:t> </w:t>
      </w:r>
      <w:r>
        <w:rPr>
          <w:sz w:val="24"/>
        </w:rPr>
        <w:t>register</w:t>
      </w:r>
      <w:r>
        <w:rPr>
          <w:spacing w:val="80"/>
          <w:sz w:val="24"/>
        </w:rPr>
        <w:t> </w:t>
      </w:r>
      <w:r>
        <w:rPr>
          <w:spacing w:val="9"/>
          <w:sz w:val="24"/>
        </w:rPr>
        <w:t>cards.</w:t>
      </w:r>
    </w:p>
    <w:p>
      <w:pPr>
        <w:pStyle w:val="ListParagraph"/>
        <w:numPr>
          <w:ilvl w:val="0"/>
          <w:numId w:val="6"/>
        </w:numPr>
        <w:tabs>
          <w:tab w:pos="1762" w:val="left" w:leader="none"/>
          <w:tab w:pos="1766" w:val="left" w:leader="none"/>
        </w:tabs>
        <w:spacing w:line="240" w:lineRule="auto" w:before="281" w:after="0"/>
        <w:ind w:left="1766" w:right="784" w:hanging="711"/>
        <w:jc w:val="both"/>
        <w:rPr>
          <w:sz w:val="24"/>
        </w:rPr>
      </w:pPr>
      <w:r>
        <w:rPr>
          <w:sz w:val="24"/>
        </w:rPr>
        <w:t>“Conversion” means the change of occupancy or premises to any occupancy</w:t>
      </w:r>
      <w:r>
        <w:rPr>
          <w:spacing w:val="40"/>
          <w:sz w:val="24"/>
        </w:rPr>
        <w:t> </w:t>
      </w:r>
      <w:r>
        <w:rPr>
          <w:sz w:val="24"/>
        </w:rPr>
        <w:t>or</w:t>
      </w:r>
      <w:r>
        <w:rPr>
          <w:spacing w:val="40"/>
          <w:sz w:val="24"/>
        </w:rPr>
        <w:t> </w:t>
      </w:r>
      <w:r>
        <w:rPr>
          <w:sz w:val="24"/>
        </w:rPr>
        <w:t>use</w:t>
      </w:r>
      <w:r>
        <w:rPr>
          <w:spacing w:val="40"/>
          <w:sz w:val="24"/>
        </w:rPr>
        <w:t> </w:t>
      </w:r>
      <w:r>
        <w:rPr>
          <w:sz w:val="24"/>
        </w:rPr>
        <w:t>requiring</w:t>
      </w:r>
      <w:r>
        <w:rPr>
          <w:spacing w:val="40"/>
          <w:sz w:val="24"/>
        </w:rPr>
        <w:t> </w:t>
      </w:r>
      <w:r>
        <w:rPr>
          <w:sz w:val="24"/>
        </w:rPr>
        <w:t>development</w:t>
      </w:r>
      <w:r>
        <w:rPr>
          <w:spacing w:val="40"/>
          <w:sz w:val="24"/>
        </w:rPr>
        <w:t> </w:t>
      </w:r>
      <w:r>
        <w:rPr>
          <w:spacing w:val="9"/>
          <w:sz w:val="24"/>
        </w:rPr>
        <w:t>permission.</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71" w:hanging="711"/>
        <w:jc w:val="both"/>
        <w:rPr>
          <w:sz w:val="24"/>
        </w:rPr>
      </w:pPr>
      <w:r>
        <w:rPr>
          <w:sz w:val="24"/>
        </w:rPr>
        <w:t>"Convenience shopping,” means shops, each with a carpet area not exceeding 30 sq. m except where otherwise indicated and comprising those dealing with day to day requirements, as distinguished </w:t>
      </w:r>
      <w:r>
        <w:rPr>
          <w:spacing w:val="13"/>
          <w:sz w:val="24"/>
        </w:rPr>
        <w:t>from </w:t>
      </w:r>
      <w:r>
        <w:rPr>
          <w:sz w:val="24"/>
        </w:rPr>
        <w:t>wholesale</w:t>
      </w:r>
      <w:r>
        <w:rPr>
          <w:spacing w:val="80"/>
          <w:sz w:val="24"/>
        </w:rPr>
        <w:t> </w:t>
      </w:r>
      <w:r>
        <w:rPr>
          <w:sz w:val="24"/>
        </w:rPr>
        <w:t>trade</w:t>
      </w:r>
      <w:r>
        <w:rPr>
          <w:spacing w:val="80"/>
          <w:sz w:val="24"/>
        </w:rPr>
        <w:t> </w:t>
      </w:r>
      <w:r>
        <w:rPr>
          <w:sz w:val="24"/>
        </w:rPr>
        <w:t>or</w:t>
      </w:r>
      <w:r>
        <w:rPr>
          <w:spacing w:val="80"/>
          <w:sz w:val="24"/>
        </w:rPr>
        <w:t> </w:t>
      </w:r>
      <w:r>
        <w:rPr>
          <w:sz w:val="24"/>
        </w:rPr>
        <w:t>shopping,</w:t>
      </w:r>
      <w:r>
        <w:rPr>
          <w:spacing w:val="80"/>
          <w:sz w:val="24"/>
        </w:rPr>
        <w:t> </w:t>
      </w:r>
      <w:r>
        <w:rPr>
          <w:sz w:val="24"/>
        </w:rPr>
        <w:t>provided</w:t>
      </w:r>
      <w:r>
        <w:rPr>
          <w:spacing w:val="40"/>
          <w:sz w:val="24"/>
        </w:rPr>
        <w:t> </w:t>
      </w:r>
      <w:r>
        <w:rPr>
          <w:sz w:val="24"/>
        </w:rPr>
        <w:t>on</w:t>
      </w:r>
      <w:r>
        <w:rPr>
          <w:spacing w:val="40"/>
          <w:sz w:val="24"/>
        </w:rPr>
        <w:t> </w:t>
      </w:r>
      <w:r>
        <w:rPr>
          <w:sz w:val="24"/>
        </w:rPr>
        <w:t>the</w:t>
      </w:r>
      <w:r>
        <w:rPr>
          <w:spacing w:val="40"/>
          <w:sz w:val="24"/>
        </w:rPr>
        <w:t> </w:t>
      </w:r>
      <w:r>
        <w:rPr>
          <w:sz w:val="24"/>
        </w:rPr>
        <w:t>ground</w:t>
      </w:r>
      <w:r>
        <w:rPr>
          <w:spacing w:val="40"/>
          <w:sz w:val="24"/>
        </w:rPr>
        <w:t> </w:t>
      </w:r>
      <w:r>
        <w:rPr>
          <w:sz w:val="24"/>
        </w:rPr>
        <w:t>and/or</w:t>
      </w:r>
      <w:r>
        <w:rPr>
          <w:spacing w:val="40"/>
          <w:sz w:val="24"/>
        </w:rPr>
        <w:t> </w:t>
      </w:r>
      <w:r>
        <w:rPr>
          <w:sz w:val="24"/>
        </w:rPr>
        <w:t>first floor</w:t>
      </w:r>
      <w:r>
        <w:rPr>
          <w:spacing w:val="40"/>
          <w:sz w:val="24"/>
        </w:rPr>
        <w:t> </w:t>
      </w:r>
      <w:r>
        <w:rPr>
          <w:sz w:val="24"/>
        </w:rPr>
        <w:t>of</w:t>
      </w:r>
      <w:r>
        <w:rPr>
          <w:spacing w:val="40"/>
          <w:sz w:val="24"/>
        </w:rPr>
        <w:t>  </w:t>
      </w:r>
      <w:r>
        <w:rPr>
          <w:sz w:val="24"/>
        </w:rPr>
        <w:t>building</w:t>
      </w:r>
      <w:r>
        <w:rPr>
          <w:spacing w:val="40"/>
          <w:sz w:val="24"/>
        </w:rPr>
        <w:t> </w:t>
      </w:r>
      <w:r>
        <w:rPr>
          <w:sz w:val="24"/>
        </w:rPr>
        <w:t>with</w:t>
      </w:r>
      <w:r>
        <w:rPr>
          <w:spacing w:val="40"/>
          <w:sz w:val="24"/>
        </w:rPr>
        <w:t> </w:t>
      </w:r>
      <w:r>
        <w:rPr>
          <w:sz w:val="24"/>
        </w:rPr>
        <w:t>internal</w:t>
      </w:r>
      <w:r>
        <w:rPr>
          <w:spacing w:val="40"/>
          <w:sz w:val="24"/>
        </w:rPr>
        <w:t> </w:t>
      </w:r>
      <w:r>
        <w:rPr>
          <w:sz w:val="24"/>
        </w:rPr>
        <w:t>means</w:t>
      </w:r>
      <w:r>
        <w:rPr>
          <w:spacing w:val="40"/>
          <w:sz w:val="24"/>
        </w:rPr>
        <w:t> </w:t>
      </w:r>
      <w:r>
        <w:rPr>
          <w:sz w:val="24"/>
        </w:rPr>
        <w:t>of</w:t>
      </w:r>
      <w:r>
        <w:rPr>
          <w:spacing w:val="40"/>
          <w:sz w:val="24"/>
        </w:rPr>
        <w:t> </w:t>
      </w:r>
      <w:r>
        <w:rPr>
          <w:sz w:val="24"/>
        </w:rPr>
        <w:t>access.</w:t>
      </w:r>
      <w:r>
        <w:rPr>
          <w:spacing w:val="40"/>
          <w:sz w:val="24"/>
        </w:rPr>
        <w:t>  </w:t>
      </w:r>
      <w:r>
        <w:rPr>
          <w:sz w:val="24"/>
        </w:rPr>
        <w:t>It</w:t>
      </w:r>
      <w:r>
        <w:rPr>
          <w:spacing w:val="40"/>
          <w:sz w:val="24"/>
        </w:rPr>
        <w:t> </w:t>
      </w:r>
      <w:r>
        <w:rPr>
          <w:sz w:val="24"/>
        </w:rPr>
        <w:t>includes-</w:t>
      </w:r>
    </w:p>
    <w:p>
      <w:pPr>
        <w:pStyle w:val="ListParagraph"/>
        <w:numPr>
          <w:ilvl w:val="1"/>
          <w:numId w:val="6"/>
        </w:numPr>
        <w:tabs>
          <w:tab w:pos="1766" w:val="left" w:leader="none"/>
        </w:tabs>
        <w:spacing w:line="240" w:lineRule="auto" w:before="281" w:after="0"/>
        <w:ind w:left="1766" w:right="0" w:hanging="710"/>
        <w:jc w:val="left"/>
        <w:rPr>
          <w:sz w:val="24"/>
        </w:rPr>
      </w:pPr>
      <w:r>
        <w:rPr>
          <w:sz w:val="24"/>
        </w:rPr>
        <w:t>Food</w:t>
      </w:r>
      <w:r>
        <w:rPr>
          <w:spacing w:val="47"/>
          <w:sz w:val="24"/>
        </w:rPr>
        <w:t> </w:t>
      </w:r>
      <w:r>
        <w:rPr>
          <w:sz w:val="24"/>
        </w:rPr>
        <w:t>grain</w:t>
      </w:r>
      <w:r>
        <w:rPr>
          <w:spacing w:val="49"/>
          <w:sz w:val="24"/>
        </w:rPr>
        <w:t> </w:t>
      </w:r>
      <w:r>
        <w:rPr>
          <w:sz w:val="24"/>
        </w:rPr>
        <w:t>or</w:t>
      </w:r>
      <w:r>
        <w:rPr>
          <w:spacing w:val="51"/>
          <w:sz w:val="24"/>
        </w:rPr>
        <w:t> </w:t>
      </w:r>
      <w:r>
        <w:rPr>
          <w:sz w:val="24"/>
        </w:rPr>
        <w:t>ration</w:t>
      </w:r>
      <w:r>
        <w:rPr>
          <w:spacing w:val="50"/>
          <w:sz w:val="24"/>
        </w:rPr>
        <w:t> </w:t>
      </w:r>
      <w:r>
        <w:rPr>
          <w:spacing w:val="-2"/>
          <w:sz w:val="24"/>
        </w:rPr>
        <w:t>shops,</w:t>
      </w:r>
    </w:p>
    <w:p>
      <w:pPr>
        <w:pStyle w:val="ListParagraph"/>
        <w:numPr>
          <w:ilvl w:val="1"/>
          <w:numId w:val="6"/>
        </w:numPr>
        <w:tabs>
          <w:tab w:pos="1766" w:val="left" w:leader="none"/>
        </w:tabs>
        <w:spacing w:line="281" w:lineRule="exact" w:before="2" w:after="0"/>
        <w:ind w:left="1766" w:right="0" w:hanging="710"/>
        <w:jc w:val="left"/>
        <w:rPr>
          <w:sz w:val="24"/>
        </w:rPr>
      </w:pPr>
      <w:r>
        <w:rPr>
          <w:sz w:val="24"/>
        </w:rPr>
        <w:t>Pan</w:t>
      </w:r>
      <w:r>
        <w:rPr>
          <w:spacing w:val="37"/>
          <w:sz w:val="24"/>
        </w:rPr>
        <w:t> </w:t>
      </w:r>
      <w:r>
        <w:rPr>
          <w:spacing w:val="-2"/>
          <w:sz w:val="24"/>
        </w:rPr>
        <w:t>shops.</w:t>
      </w:r>
    </w:p>
    <w:p>
      <w:pPr>
        <w:pStyle w:val="ListParagraph"/>
        <w:numPr>
          <w:ilvl w:val="1"/>
          <w:numId w:val="6"/>
        </w:numPr>
        <w:tabs>
          <w:tab w:pos="1766" w:val="left" w:leader="none"/>
        </w:tabs>
        <w:spacing w:line="240" w:lineRule="auto" w:before="0" w:after="0"/>
        <w:ind w:left="1766" w:right="796" w:hanging="711"/>
        <w:jc w:val="left"/>
        <w:rPr>
          <w:sz w:val="24"/>
        </w:rPr>
      </w:pPr>
      <w:r>
        <w:rPr>
          <w:sz w:val="24"/>
        </w:rPr>
        <w:t>Shops</w:t>
      </w:r>
      <w:r>
        <w:rPr>
          <w:spacing w:val="79"/>
          <w:sz w:val="24"/>
        </w:rPr>
        <w:t> </w:t>
      </w:r>
      <w:r>
        <w:rPr>
          <w:sz w:val="24"/>
        </w:rPr>
        <w:t>for</w:t>
      </w:r>
      <w:r>
        <w:rPr>
          <w:spacing w:val="80"/>
          <w:sz w:val="24"/>
        </w:rPr>
        <w:t> </w:t>
      </w:r>
      <w:r>
        <w:rPr>
          <w:sz w:val="24"/>
        </w:rPr>
        <w:t>collecting</w:t>
      </w:r>
      <w:r>
        <w:rPr>
          <w:spacing w:val="79"/>
          <w:sz w:val="24"/>
        </w:rPr>
        <w:t> </w:t>
      </w:r>
      <w:r>
        <w:rPr>
          <w:sz w:val="24"/>
        </w:rPr>
        <w:t>and</w:t>
      </w:r>
      <w:r>
        <w:rPr>
          <w:spacing w:val="79"/>
          <w:sz w:val="24"/>
        </w:rPr>
        <w:t> </w:t>
      </w:r>
      <w:r>
        <w:rPr>
          <w:sz w:val="24"/>
        </w:rPr>
        <w:t>distribution</w:t>
      </w:r>
      <w:r>
        <w:rPr>
          <w:spacing w:val="80"/>
          <w:sz w:val="24"/>
        </w:rPr>
        <w:t> </w:t>
      </w:r>
      <w:r>
        <w:rPr>
          <w:sz w:val="24"/>
        </w:rPr>
        <w:t>of</w:t>
      </w:r>
      <w:r>
        <w:rPr>
          <w:spacing w:val="79"/>
          <w:sz w:val="24"/>
        </w:rPr>
        <w:t> </w:t>
      </w:r>
      <w:r>
        <w:rPr>
          <w:sz w:val="24"/>
        </w:rPr>
        <w:t>clothes</w:t>
      </w:r>
      <w:r>
        <w:rPr>
          <w:spacing w:val="80"/>
          <w:sz w:val="24"/>
        </w:rPr>
        <w:t> </w:t>
      </w:r>
      <w:r>
        <w:rPr>
          <w:sz w:val="24"/>
        </w:rPr>
        <w:t>and</w:t>
      </w:r>
      <w:r>
        <w:rPr>
          <w:spacing w:val="79"/>
          <w:sz w:val="24"/>
        </w:rPr>
        <w:t> </w:t>
      </w:r>
      <w:r>
        <w:rPr>
          <w:sz w:val="24"/>
        </w:rPr>
        <w:t>other</w:t>
      </w:r>
      <w:r>
        <w:rPr>
          <w:spacing w:val="79"/>
          <w:sz w:val="24"/>
        </w:rPr>
        <w:t> </w:t>
      </w:r>
      <w:r>
        <w:rPr>
          <w:sz w:val="24"/>
        </w:rPr>
        <w:t>materials for</w:t>
      </w:r>
      <w:r>
        <w:rPr>
          <w:spacing w:val="40"/>
          <w:sz w:val="24"/>
        </w:rPr>
        <w:t> </w:t>
      </w:r>
      <w:r>
        <w:rPr>
          <w:sz w:val="24"/>
        </w:rPr>
        <w:t>cleaning</w:t>
      </w:r>
      <w:r>
        <w:rPr>
          <w:spacing w:val="40"/>
          <w:sz w:val="24"/>
        </w:rPr>
        <w:t> </w:t>
      </w:r>
      <w:r>
        <w:rPr>
          <w:sz w:val="24"/>
        </w:rPr>
        <w:t>and</w:t>
      </w:r>
      <w:r>
        <w:rPr>
          <w:spacing w:val="40"/>
          <w:sz w:val="24"/>
        </w:rPr>
        <w:t> </w:t>
      </w:r>
      <w:r>
        <w:rPr>
          <w:sz w:val="24"/>
        </w:rPr>
        <w:t>dyeing</w:t>
      </w:r>
      <w:r>
        <w:rPr>
          <w:spacing w:val="9"/>
          <w:sz w:val="24"/>
        </w:rPr>
        <w:t> establishments.</w:t>
      </w:r>
    </w:p>
    <w:p>
      <w:pPr>
        <w:pStyle w:val="ListParagraph"/>
        <w:numPr>
          <w:ilvl w:val="1"/>
          <w:numId w:val="6"/>
        </w:numPr>
        <w:tabs>
          <w:tab w:pos="1766" w:val="left" w:leader="none"/>
        </w:tabs>
        <w:spacing w:line="281" w:lineRule="exact" w:before="0" w:after="0"/>
        <w:ind w:left="1766" w:right="0" w:hanging="710"/>
        <w:jc w:val="left"/>
        <w:rPr>
          <w:sz w:val="24"/>
        </w:rPr>
      </w:pPr>
      <w:r>
        <w:rPr>
          <w:sz w:val="24"/>
        </w:rPr>
        <w:t>Tailor</w:t>
      </w:r>
      <w:r>
        <w:rPr>
          <w:spacing w:val="50"/>
          <w:sz w:val="24"/>
        </w:rPr>
        <w:t> </w:t>
      </w:r>
      <w:r>
        <w:rPr>
          <w:sz w:val="24"/>
        </w:rPr>
        <w:t>or</w:t>
      </w:r>
      <w:r>
        <w:rPr>
          <w:spacing w:val="56"/>
          <w:sz w:val="24"/>
        </w:rPr>
        <w:t> </w:t>
      </w:r>
      <w:r>
        <w:rPr>
          <w:sz w:val="24"/>
        </w:rPr>
        <w:t>darner</w:t>
      </w:r>
      <w:r>
        <w:rPr>
          <w:spacing w:val="51"/>
          <w:sz w:val="24"/>
        </w:rPr>
        <w:t> </w:t>
      </w:r>
      <w:r>
        <w:rPr>
          <w:spacing w:val="-2"/>
          <w:sz w:val="24"/>
        </w:rPr>
        <w:t>shops.</w:t>
      </w:r>
    </w:p>
    <w:p>
      <w:pPr>
        <w:pStyle w:val="ListParagraph"/>
        <w:numPr>
          <w:ilvl w:val="1"/>
          <w:numId w:val="6"/>
        </w:numPr>
        <w:tabs>
          <w:tab w:pos="1766" w:val="left" w:leader="none"/>
        </w:tabs>
        <w:spacing w:line="281" w:lineRule="exact" w:before="0" w:after="0"/>
        <w:ind w:left="1766" w:right="0" w:hanging="710"/>
        <w:jc w:val="left"/>
        <w:rPr>
          <w:sz w:val="24"/>
        </w:rPr>
      </w:pPr>
      <w:r>
        <w:rPr>
          <w:sz w:val="24"/>
        </w:rPr>
        <w:t>Groceries,</w:t>
      </w:r>
      <w:r>
        <w:rPr>
          <w:spacing w:val="45"/>
          <w:w w:val="150"/>
          <w:sz w:val="24"/>
        </w:rPr>
        <w:t> </w:t>
      </w:r>
      <w:r>
        <w:rPr>
          <w:sz w:val="24"/>
        </w:rPr>
        <w:t>confectioneries,</w:t>
      </w:r>
      <w:r>
        <w:rPr>
          <w:spacing w:val="50"/>
          <w:w w:val="150"/>
          <w:sz w:val="24"/>
        </w:rPr>
        <w:t> </w:t>
      </w:r>
      <w:r>
        <w:rPr>
          <w:sz w:val="24"/>
        </w:rPr>
        <w:t>wine</w:t>
      </w:r>
      <w:r>
        <w:rPr>
          <w:spacing w:val="46"/>
          <w:w w:val="150"/>
          <w:sz w:val="24"/>
        </w:rPr>
        <w:t> </w:t>
      </w:r>
      <w:r>
        <w:rPr>
          <w:sz w:val="24"/>
        </w:rPr>
        <w:t>and</w:t>
      </w:r>
      <w:r>
        <w:rPr>
          <w:spacing w:val="52"/>
          <w:w w:val="150"/>
          <w:sz w:val="24"/>
        </w:rPr>
        <w:t> </w:t>
      </w:r>
      <w:r>
        <w:rPr>
          <w:sz w:val="24"/>
        </w:rPr>
        <w:t>general</w:t>
      </w:r>
      <w:r>
        <w:rPr>
          <w:spacing w:val="49"/>
          <w:w w:val="150"/>
          <w:sz w:val="24"/>
        </w:rPr>
        <w:t> </w:t>
      </w:r>
      <w:r>
        <w:rPr>
          <w:sz w:val="24"/>
        </w:rPr>
        <w:t>provision</w:t>
      </w:r>
      <w:r>
        <w:rPr>
          <w:spacing w:val="46"/>
          <w:w w:val="150"/>
          <w:sz w:val="24"/>
        </w:rPr>
        <w:t> </w:t>
      </w:r>
      <w:r>
        <w:rPr>
          <w:spacing w:val="7"/>
          <w:sz w:val="24"/>
        </w:rPr>
        <w:t>shops</w:t>
      </w:r>
    </w:p>
    <w:p>
      <w:pPr>
        <w:pStyle w:val="ListParagraph"/>
        <w:numPr>
          <w:ilvl w:val="1"/>
          <w:numId w:val="6"/>
        </w:numPr>
        <w:tabs>
          <w:tab w:pos="1766" w:val="left" w:leader="none"/>
        </w:tabs>
        <w:spacing w:line="281" w:lineRule="exact" w:before="1" w:after="0"/>
        <w:ind w:left="1766" w:right="0" w:hanging="710"/>
        <w:jc w:val="left"/>
        <w:rPr>
          <w:sz w:val="24"/>
        </w:rPr>
      </w:pPr>
      <w:r>
        <w:rPr>
          <w:sz w:val="24"/>
        </w:rPr>
        <w:t>Hair</w:t>
      </w:r>
      <w:r>
        <w:rPr>
          <w:spacing w:val="61"/>
          <w:sz w:val="24"/>
        </w:rPr>
        <w:t> </w:t>
      </w:r>
      <w:r>
        <w:rPr>
          <w:sz w:val="24"/>
        </w:rPr>
        <w:t>dressing</w:t>
      </w:r>
      <w:r>
        <w:rPr>
          <w:spacing w:val="64"/>
          <w:sz w:val="24"/>
        </w:rPr>
        <w:t> </w:t>
      </w:r>
      <w:r>
        <w:rPr>
          <w:sz w:val="24"/>
        </w:rPr>
        <w:t>saloons</w:t>
      </w:r>
      <w:r>
        <w:rPr>
          <w:spacing w:val="61"/>
          <w:sz w:val="24"/>
        </w:rPr>
        <w:t> </w:t>
      </w:r>
      <w:r>
        <w:rPr>
          <w:sz w:val="24"/>
        </w:rPr>
        <w:t>and</w:t>
      </w:r>
      <w:r>
        <w:rPr>
          <w:spacing w:val="61"/>
          <w:sz w:val="24"/>
        </w:rPr>
        <w:t> </w:t>
      </w:r>
      <w:r>
        <w:rPr>
          <w:sz w:val="24"/>
        </w:rPr>
        <w:t>beauty</w:t>
      </w:r>
      <w:r>
        <w:rPr>
          <w:spacing w:val="65"/>
          <w:sz w:val="24"/>
        </w:rPr>
        <w:t> </w:t>
      </w:r>
      <w:r>
        <w:rPr>
          <w:spacing w:val="7"/>
          <w:sz w:val="24"/>
        </w:rPr>
        <w:t>parlours.</w:t>
      </w:r>
    </w:p>
    <w:p>
      <w:pPr>
        <w:pStyle w:val="ListParagraph"/>
        <w:numPr>
          <w:ilvl w:val="1"/>
          <w:numId w:val="6"/>
        </w:numPr>
        <w:tabs>
          <w:tab w:pos="1766" w:val="left" w:leader="none"/>
        </w:tabs>
        <w:spacing w:line="281" w:lineRule="exact" w:before="0" w:after="0"/>
        <w:ind w:left="1766" w:right="0" w:hanging="710"/>
        <w:jc w:val="left"/>
        <w:rPr>
          <w:sz w:val="24"/>
        </w:rPr>
      </w:pPr>
      <w:r>
        <w:rPr>
          <w:sz w:val="24"/>
        </w:rPr>
        <w:t>Bicycles</w:t>
      </w:r>
      <w:r>
        <w:rPr>
          <w:spacing w:val="60"/>
          <w:sz w:val="24"/>
        </w:rPr>
        <w:t> </w:t>
      </w:r>
      <w:r>
        <w:rPr>
          <w:sz w:val="24"/>
        </w:rPr>
        <w:t>hire</w:t>
      </w:r>
      <w:r>
        <w:rPr>
          <w:spacing w:val="58"/>
          <w:sz w:val="24"/>
        </w:rPr>
        <w:t> </w:t>
      </w:r>
      <w:r>
        <w:rPr>
          <w:sz w:val="24"/>
        </w:rPr>
        <w:t>and</w:t>
      </w:r>
      <w:r>
        <w:rPr>
          <w:spacing w:val="58"/>
          <w:sz w:val="24"/>
        </w:rPr>
        <w:t> </w:t>
      </w:r>
      <w:r>
        <w:rPr>
          <w:sz w:val="24"/>
        </w:rPr>
        <w:t>repair</w:t>
      </w:r>
      <w:r>
        <w:rPr>
          <w:spacing w:val="59"/>
          <w:sz w:val="24"/>
        </w:rPr>
        <w:t> </w:t>
      </w:r>
      <w:r>
        <w:rPr>
          <w:spacing w:val="7"/>
          <w:sz w:val="24"/>
        </w:rPr>
        <w:t>shops.</w:t>
      </w:r>
    </w:p>
    <w:p>
      <w:pPr>
        <w:pStyle w:val="ListParagraph"/>
        <w:numPr>
          <w:ilvl w:val="1"/>
          <w:numId w:val="6"/>
        </w:numPr>
        <w:tabs>
          <w:tab w:pos="1763" w:val="left" w:leader="none"/>
        </w:tabs>
        <w:spacing w:line="281" w:lineRule="exact" w:before="0" w:after="0"/>
        <w:ind w:left="1763" w:right="0" w:hanging="707"/>
        <w:jc w:val="left"/>
        <w:rPr>
          <w:sz w:val="24"/>
        </w:rPr>
      </w:pPr>
      <w:r>
        <w:rPr>
          <w:sz w:val="24"/>
        </w:rPr>
        <w:t>Vegetable</w:t>
      </w:r>
      <w:r>
        <w:rPr>
          <w:spacing w:val="65"/>
          <w:sz w:val="24"/>
        </w:rPr>
        <w:t> </w:t>
      </w:r>
      <w:r>
        <w:rPr>
          <w:sz w:val="24"/>
        </w:rPr>
        <w:t>and</w:t>
      </w:r>
      <w:r>
        <w:rPr>
          <w:spacing w:val="67"/>
          <w:sz w:val="24"/>
        </w:rPr>
        <w:t> </w:t>
      </w:r>
      <w:r>
        <w:rPr>
          <w:sz w:val="24"/>
        </w:rPr>
        <w:t>fruits</w:t>
      </w:r>
      <w:r>
        <w:rPr>
          <w:spacing w:val="66"/>
          <w:sz w:val="24"/>
        </w:rPr>
        <w:t> </w:t>
      </w:r>
      <w:r>
        <w:rPr>
          <w:spacing w:val="-2"/>
          <w:sz w:val="24"/>
        </w:rPr>
        <w:t>shops.</w:t>
      </w:r>
    </w:p>
    <w:p>
      <w:pPr>
        <w:pStyle w:val="ListParagraph"/>
        <w:numPr>
          <w:ilvl w:val="1"/>
          <w:numId w:val="6"/>
        </w:numPr>
        <w:tabs>
          <w:tab w:pos="1766" w:val="left" w:leader="none"/>
        </w:tabs>
        <w:spacing w:line="281" w:lineRule="exact" w:before="2" w:after="0"/>
        <w:ind w:left="1766" w:right="0" w:hanging="710"/>
        <w:jc w:val="left"/>
        <w:rPr>
          <w:sz w:val="24"/>
        </w:rPr>
      </w:pPr>
      <w:r>
        <w:rPr>
          <w:sz w:val="24"/>
        </w:rPr>
        <w:t>Milk</w:t>
      </w:r>
      <w:r>
        <w:rPr>
          <w:spacing w:val="53"/>
          <w:sz w:val="24"/>
        </w:rPr>
        <w:t> </w:t>
      </w:r>
      <w:r>
        <w:rPr>
          <w:sz w:val="24"/>
        </w:rPr>
        <w:t>and</w:t>
      </w:r>
      <w:r>
        <w:rPr>
          <w:spacing w:val="56"/>
          <w:sz w:val="24"/>
        </w:rPr>
        <w:t> </w:t>
      </w:r>
      <w:r>
        <w:rPr>
          <w:sz w:val="24"/>
        </w:rPr>
        <w:t>milk</w:t>
      </w:r>
      <w:r>
        <w:rPr>
          <w:spacing w:val="54"/>
          <w:sz w:val="24"/>
        </w:rPr>
        <w:t> </w:t>
      </w:r>
      <w:r>
        <w:rPr>
          <w:sz w:val="24"/>
        </w:rPr>
        <w:t>products</w:t>
      </w:r>
      <w:r>
        <w:rPr>
          <w:spacing w:val="54"/>
          <w:sz w:val="24"/>
        </w:rPr>
        <w:t> </w:t>
      </w:r>
      <w:r>
        <w:rPr>
          <w:spacing w:val="7"/>
          <w:sz w:val="24"/>
        </w:rPr>
        <w:t>shops.</w:t>
      </w:r>
    </w:p>
    <w:p>
      <w:pPr>
        <w:pStyle w:val="ListParagraph"/>
        <w:numPr>
          <w:ilvl w:val="1"/>
          <w:numId w:val="6"/>
        </w:numPr>
        <w:tabs>
          <w:tab w:pos="1763" w:val="left" w:leader="none"/>
          <w:tab w:pos="1766" w:val="left" w:leader="none"/>
        </w:tabs>
        <w:spacing w:line="240" w:lineRule="auto" w:before="0" w:after="0"/>
        <w:ind w:left="1766" w:right="774" w:hanging="711"/>
        <w:jc w:val="both"/>
        <w:rPr>
          <w:sz w:val="24"/>
        </w:rPr>
      </w:pPr>
      <w:r>
        <w:rPr>
          <w:sz w:val="24"/>
        </w:rPr>
        <w:t>Medical</w:t>
      </w:r>
      <w:r>
        <w:rPr>
          <w:spacing w:val="80"/>
          <w:sz w:val="24"/>
        </w:rPr>
        <w:t> </w:t>
      </w:r>
      <w:r>
        <w:rPr>
          <w:sz w:val="24"/>
        </w:rPr>
        <w:t>and</w:t>
      </w:r>
      <w:r>
        <w:rPr>
          <w:spacing w:val="80"/>
          <w:sz w:val="24"/>
        </w:rPr>
        <w:t> </w:t>
      </w:r>
      <w:r>
        <w:rPr>
          <w:sz w:val="24"/>
        </w:rPr>
        <w:t>dental</w:t>
      </w:r>
      <w:r>
        <w:rPr>
          <w:spacing w:val="80"/>
          <w:sz w:val="24"/>
        </w:rPr>
        <w:t> </w:t>
      </w:r>
      <w:r>
        <w:rPr>
          <w:sz w:val="24"/>
        </w:rPr>
        <w:t>practitioners’</w:t>
      </w:r>
      <w:r>
        <w:rPr>
          <w:spacing w:val="80"/>
          <w:sz w:val="24"/>
        </w:rPr>
        <w:t> </w:t>
      </w:r>
      <w:r>
        <w:rPr>
          <w:sz w:val="24"/>
        </w:rPr>
        <w:t>dispensaries</w:t>
      </w:r>
      <w:r>
        <w:rPr>
          <w:spacing w:val="80"/>
          <w:sz w:val="24"/>
        </w:rPr>
        <w:t> </w:t>
      </w:r>
      <w:r>
        <w:rPr>
          <w:sz w:val="24"/>
        </w:rPr>
        <w:t>or</w:t>
      </w:r>
      <w:r>
        <w:rPr>
          <w:spacing w:val="80"/>
          <w:sz w:val="24"/>
        </w:rPr>
        <w:t> </w:t>
      </w:r>
      <w:r>
        <w:rPr>
          <w:spacing w:val="9"/>
          <w:sz w:val="24"/>
        </w:rPr>
        <w:t>clinics,</w:t>
      </w:r>
      <w:r>
        <w:rPr>
          <w:spacing w:val="40"/>
          <w:sz w:val="24"/>
        </w:rPr>
        <w:t> </w:t>
      </w:r>
      <w:r>
        <w:rPr>
          <w:sz w:val="24"/>
        </w:rPr>
        <w:t>pathological or diagnostic clinics and pharmacies, each with a </w:t>
      </w:r>
      <w:r>
        <w:rPr>
          <w:spacing w:val="9"/>
          <w:sz w:val="24"/>
        </w:rPr>
        <w:t>carpet </w:t>
      </w:r>
      <w:r>
        <w:rPr>
          <w:sz w:val="24"/>
        </w:rPr>
        <w:t>area</w:t>
      </w:r>
      <w:r>
        <w:rPr>
          <w:spacing w:val="40"/>
          <w:sz w:val="24"/>
        </w:rPr>
        <w:t> </w:t>
      </w:r>
      <w:r>
        <w:rPr>
          <w:sz w:val="24"/>
        </w:rPr>
        <w:t>not</w:t>
      </w:r>
      <w:r>
        <w:rPr>
          <w:spacing w:val="40"/>
          <w:sz w:val="24"/>
        </w:rPr>
        <w:t> </w:t>
      </w:r>
      <w:r>
        <w:rPr>
          <w:sz w:val="24"/>
        </w:rPr>
        <w:t>exceeding</w:t>
      </w:r>
      <w:r>
        <w:rPr>
          <w:spacing w:val="40"/>
          <w:sz w:val="24"/>
        </w:rPr>
        <w:t> </w:t>
      </w:r>
      <w:r>
        <w:rPr>
          <w:sz w:val="24"/>
        </w:rPr>
        <w:t>100sq.</w:t>
      </w:r>
      <w:r>
        <w:rPr>
          <w:spacing w:val="40"/>
          <w:sz w:val="24"/>
        </w:rPr>
        <w:t> </w:t>
      </w:r>
      <w:r>
        <w:rPr>
          <w:sz w:val="24"/>
        </w:rPr>
        <w:t>m.</w:t>
      </w:r>
    </w:p>
    <w:p>
      <w:pPr>
        <w:pStyle w:val="ListParagraph"/>
        <w:numPr>
          <w:ilvl w:val="1"/>
          <w:numId w:val="6"/>
        </w:numPr>
        <w:tabs>
          <w:tab w:pos="1766" w:val="left" w:leader="none"/>
        </w:tabs>
        <w:spacing w:line="281" w:lineRule="exact" w:before="0" w:after="0"/>
        <w:ind w:left="1766" w:right="0" w:hanging="710"/>
        <w:jc w:val="left"/>
        <w:rPr>
          <w:sz w:val="24"/>
        </w:rPr>
      </w:pPr>
      <w:r>
        <w:rPr>
          <w:spacing w:val="-2"/>
          <w:sz w:val="24"/>
        </w:rPr>
        <w:t>Florists.</w:t>
      </w:r>
    </w:p>
    <w:p>
      <w:pPr>
        <w:pStyle w:val="ListParagraph"/>
        <w:numPr>
          <w:ilvl w:val="1"/>
          <w:numId w:val="6"/>
        </w:numPr>
        <w:tabs>
          <w:tab w:pos="1766" w:val="left" w:leader="none"/>
        </w:tabs>
        <w:spacing w:line="281" w:lineRule="exact" w:before="1" w:after="0"/>
        <w:ind w:left="1766" w:right="0" w:hanging="710"/>
        <w:jc w:val="left"/>
        <w:rPr>
          <w:sz w:val="24"/>
        </w:rPr>
      </w:pPr>
      <w:r>
        <w:rPr>
          <w:sz w:val="24"/>
        </w:rPr>
        <w:t>Shops</w:t>
      </w:r>
      <w:r>
        <w:rPr>
          <w:spacing w:val="59"/>
          <w:sz w:val="24"/>
        </w:rPr>
        <w:t> </w:t>
      </w:r>
      <w:r>
        <w:rPr>
          <w:sz w:val="24"/>
        </w:rPr>
        <w:t>dealing</w:t>
      </w:r>
      <w:r>
        <w:rPr>
          <w:spacing w:val="64"/>
          <w:sz w:val="24"/>
        </w:rPr>
        <w:t> </w:t>
      </w:r>
      <w:r>
        <w:rPr>
          <w:sz w:val="24"/>
        </w:rPr>
        <w:t>in</w:t>
      </w:r>
      <w:r>
        <w:rPr>
          <w:spacing w:val="63"/>
          <w:sz w:val="24"/>
        </w:rPr>
        <w:t> </w:t>
      </w:r>
      <w:r>
        <w:rPr>
          <w:sz w:val="24"/>
        </w:rPr>
        <w:t>ladies’</w:t>
      </w:r>
      <w:r>
        <w:rPr>
          <w:spacing w:val="63"/>
          <w:sz w:val="24"/>
        </w:rPr>
        <w:t> </w:t>
      </w:r>
      <w:r>
        <w:rPr>
          <w:sz w:val="24"/>
        </w:rPr>
        <w:t>ornaments</w:t>
      </w:r>
      <w:r>
        <w:rPr>
          <w:spacing w:val="60"/>
          <w:sz w:val="24"/>
        </w:rPr>
        <w:t> </w:t>
      </w:r>
      <w:r>
        <w:rPr>
          <w:sz w:val="24"/>
        </w:rPr>
        <w:t>such</w:t>
      </w:r>
      <w:r>
        <w:rPr>
          <w:spacing w:val="61"/>
          <w:sz w:val="24"/>
        </w:rPr>
        <w:t> </w:t>
      </w:r>
      <w:r>
        <w:rPr>
          <w:sz w:val="24"/>
        </w:rPr>
        <w:t>as</w:t>
      </w:r>
      <w:r>
        <w:rPr>
          <w:spacing w:val="60"/>
          <w:sz w:val="24"/>
        </w:rPr>
        <w:t> </w:t>
      </w:r>
      <w:r>
        <w:rPr>
          <w:sz w:val="24"/>
        </w:rPr>
        <w:t>bangles,</w:t>
      </w:r>
      <w:r>
        <w:rPr>
          <w:spacing w:val="66"/>
          <w:sz w:val="24"/>
        </w:rPr>
        <w:t> </w:t>
      </w:r>
      <w:r>
        <w:rPr>
          <w:spacing w:val="-4"/>
          <w:sz w:val="24"/>
        </w:rPr>
        <w:t>etc.</w:t>
      </w:r>
    </w:p>
    <w:p>
      <w:pPr>
        <w:pStyle w:val="ListParagraph"/>
        <w:numPr>
          <w:ilvl w:val="1"/>
          <w:numId w:val="6"/>
        </w:numPr>
        <w:tabs>
          <w:tab w:pos="1762" w:val="left" w:leader="none"/>
        </w:tabs>
        <w:spacing w:line="281" w:lineRule="exact" w:before="0" w:after="0"/>
        <w:ind w:left="1762" w:right="0" w:hanging="706"/>
        <w:jc w:val="left"/>
        <w:rPr>
          <w:sz w:val="24"/>
        </w:rPr>
      </w:pPr>
      <w:r>
        <w:rPr>
          <w:sz w:val="24"/>
        </w:rPr>
        <w:t>Shops</w:t>
      </w:r>
      <w:r>
        <w:rPr>
          <w:spacing w:val="63"/>
          <w:sz w:val="24"/>
        </w:rPr>
        <w:t> </w:t>
      </w:r>
      <w:r>
        <w:rPr>
          <w:sz w:val="24"/>
        </w:rPr>
        <w:t>selling</w:t>
      </w:r>
      <w:r>
        <w:rPr>
          <w:spacing w:val="67"/>
          <w:sz w:val="24"/>
        </w:rPr>
        <w:t> </w:t>
      </w:r>
      <w:r>
        <w:rPr>
          <w:sz w:val="24"/>
        </w:rPr>
        <w:t>bakery</w:t>
      </w:r>
      <w:r>
        <w:rPr>
          <w:spacing w:val="66"/>
          <w:sz w:val="24"/>
        </w:rPr>
        <w:t> </w:t>
      </w:r>
      <w:r>
        <w:rPr>
          <w:spacing w:val="7"/>
          <w:sz w:val="24"/>
        </w:rPr>
        <w:t>products.</w:t>
      </w:r>
    </w:p>
    <w:p>
      <w:pPr>
        <w:pStyle w:val="ListParagraph"/>
        <w:numPr>
          <w:ilvl w:val="1"/>
          <w:numId w:val="6"/>
        </w:numPr>
        <w:tabs>
          <w:tab w:pos="1763" w:val="left" w:leader="none"/>
        </w:tabs>
        <w:spacing w:line="281" w:lineRule="exact" w:before="0" w:after="0"/>
        <w:ind w:left="1763" w:right="0" w:hanging="707"/>
        <w:jc w:val="left"/>
        <w:rPr>
          <w:sz w:val="24"/>
        </w:rPr>
      </w:pPr>
      <w:r>
        <w:rPr>
          <w:sz w:val="24"/>
        </w:rPr>
        <w:t>Newspaper</w:t>
      </w:r>
      <w:r>
        <w:rPr>
          <w:spacing w:val="41"/>
          <w:w w:val="150"/>
          <w:sz w:val="24"/>
        </w:rPr>
        <w:t> </w:t>
      </w:r>
      <w:r>
        <w:rPr>
          <w:sz w:val="24"/>
        </w:rPr>
        <w:t>magazines</w:t>
      </w:r>
      <w:r>
        <w:rPr>
          <w:spacing w:val="42"/>
          <w:w w:val="150"/>
          <w:sz w:val="24"/>
        </w:rPr>
        <w:t> </w:t>
      </w:r>
      <w:r>
        <w:rPr>
          <w:sz w:val="24"/>
        </w:rPr>
        <w:t>stalls</w:t>
      </w:r>
      <w:r>
        <w:rPr>
          <w:spacing w:val="42"/>
          <w:w w:val="150"/>
          <w:sz w:val="24"/>
        </w:rPr>
        <w:t> </w:t>
      </w:r>
      <w:r>
        <w:rPr>
          <w:sz w:val="24"/>
        </w:rPr>
        <w:t>and</w:t>
      </w:r>
      <w:r>
        <w:rPr>
          <w:spacing w:val="45"/>
          <w:w w:val="150"/>
          <w:sz w:val="24"/>
        </w:rPr>
        <w:t> </w:t>
      </w:r>
      <w:r>
        <w:rPr>
          <w:sz w:val="24"/>
        </w:rPr>
        <w:t>circulating</w:t>
      </w:r>
      <w:r>
        <w:rPr>
          <w:spacing w:val="42"/>
          <w:w w:val="150"/>
          <w:sz w:val="24"/>
        </w:rPr>
        <w:t> </w:t>
      </w:r>
      <w:r>
        <w:rPr>
          <w:spacing w:val="7"/>
          <w:sz w:val="24"/>
        </w:rPr>
        <w:t>libraries.</w:t>
      </w:r>
    </w:p>
    <w:p>
      <w:pPr>
        <w:pStyle w:val="ListParagraph"/>
        <w:numPr>
          <w:ilvl w:val="1"/>
          <w:numId w:val="6"/>
        </w:numPr>
        <w:tabs>
          <w:tab w:pos="1766" w:val="left" w:leader="none"/>
        </w:tabs>
        <w:spacing w:line="281" w:lineRule="exact" w:before="2" w:after="0"/>
        <w:ind w:left="1766" w:right="0" w:hanging="710"/>
        <w:jc w:val="left"/>
        <w:rPr>
          <w:sz w:val="24"/>
        </w:rPr>
      </w:pPr>
      <w:r>
        <w:rPr>
          <w:sz w:val="24"/>
        </w:rPr>
        <w:t>Books</w:t>
      </w:r>
      <w:r>
        <w:rPr>
          <w:spacing w:val="54"/>
          <w:sz w:val="24"/>
        </w:rPr>
        <w:t> </w:t>
      </w:r>
      <w:r>
        <w:rPr>
          <w:sz w:val="24"/>
        </w:rPr>
        <w:t>and</w:t>
      </w:r>
      <w:r>
        <w:rPr>
          <w:spacing w:val="56"/>
          <w:sz w:val="24"/>
        </w:rPr>
        <w:t> </w:t>
      </w:r>
      <w:r>
        <w:rPr>
          <w:sz w:val="24"/>
        </w:rPr>
        <w:t>stationery</w:t>
      </w:r>
      <w:r>
        <w:rPr>
          <w:spacing w:val="56"/>
          <w:sz w:val="24"/>
        </w:rPr>
        <w:t> </w:t>
      </w:r>
      <w:r>
        <w:rPr>
          <w:sz w:val="24"/>
        </w:rPr>
        <w:t>shops</w:t>
      </w:r>
      <w:r>
        <w:rPr>
          <w:spacing w:val="58"/>
          <w:sz w:val="24"/>
        </w:rPr>
        <w:t> </w:t>
      </w:r>
      <w:r>
        <w:rPr>
          <w:sz w:val="24"/>
        </w:rPr>
        <w:t>or</w:t>
      </w:r>
      <w:r>
        <w:rPr>
          <w:spacing w:val="57"/>
          <w:sz w:val="24"/>
        </w:rPr>
        <w:t> </w:t>
      </w:r>
      <w:r>
        <w:rPr>
          <w:spacing w:val="7"/>
          <w:sz w:val="24"/>
        </w:rPr>
        <w:t>stores.</w:t>
      </w:r>
    </w:p>
    <w:p>
      <w:pPr>
        <w:pStyle w:val="ListParagraph"/>
        <w:numPr>
          <w:ilvl w:val="1"/>
          <w:numId w:val="6"/>
        </w:numPr>
        <w:tabs>
          <w:tab w:pos="1763" w:val="left" w:leader="none"/>
        </w:tabs>
        <w:spacing w:line="281" w:lineRule="exact" w:before="0" w:after="0"/>
        <w:ind w:left="1763" w:right="0" w:hanging="707"/>
        <w:jc w:val="left"/>
        <w:rPr>
          <w:sz w:val="24"/>
        </w:rPr>
      </w:pPr>
      <w:r>
        <w:rPr>
          <w:sz w:val="24"/>
        </w:rPr>
        <w:t>Cloth</w:t>
      </w:r>
      <w:r>
        <w:rPr>
          <w:spacing w:val="54"/>
          <w:sz w:val="24"/>
        </w:rPr>
        <w:t> </w:t>
      </w:r>
      <w:r>
        <w:rPr>
          <w:sz w:val="24"/>
        </w:rPr>
        <w:t>and</w:t>
      </w:r>
      <w:r>
        <w:rPr>
          <w:spacing w:val="55"/>
          <w:sz w:val="24"/>
        </w:rPr>
        <w:t> </w:t>
      </w:r>
      <w:r>
        <w:rPr>
          <w:sz w:val="24"/>
        </w:rPr>
        <w:t>garment</w:t>
      </w:r>
      <w:r>
        <w:rPr>
          <w:spacing w:val="59"/>
          <w:sz w:val="24"/>
        </w:rPr>
        <w:t> </w:t>
      </w:r>
      <w:r>
        <w:rPr>
          <w:spacing w:val="-2"/>
          <w:sz w:val="24"/>
        </w:rPr>
        <w:t>shops.</w:t>
      </w:r>
    </w:p>
    <w:p>
      <w:pPr>
        <w:pStyle w:val="ListParagraph"/>
        <w:numPr>
          <w:ilvl w:val="1"/>
          <w:numId w:val="6"/>
        </w:numPr>
        <w:tabs>
          <w:tab w:pos="1761" w:val="left" w:leader="none"/>
          <w:tab w:pos="1766" w:val="left" w:leader="none"/>
        </w:tabs>
        <w:spacing w:line="240" w:lineRule="auto" w:before="1" w:after="0"/>
        <w:ind w:left="1766" w:right="776" w:hanging="711"/>
        <w:jc w:val="left"/>
        <w:rPr>
          <w:sz w:val="24"/>
        </w:rPr>
      </w:pPr>
      <w:r>
        <w:rPr>
          <w:sz w:val="24"/>
        </w:rPr>
        <w:t>Plumbers',</w:t>
      </w:r>
      <w:r>
        <w:rPr>
          <w:spacing w:val="80"/>
          <w:sz w:val="24"/>
        </w:rPr>
        <w:t> </w:t>
      </w:r>
      <w:r>
        <w:rPr>
          <w:sz w:val="24"/>
        </w:rPr>
        <w:t>electricians,</w:t>
      </w:r>
      <w:r>
        <w:rPr>
          <w:spacing w:val="80"/>
          <w:sz w:val="24"/>
        </w:rPr>
        <w:t> </w:t>
      </w:r>
      <w:r>
        <w:rPr>
          <w:sz w:val="24"/>
        </w:rPr>
        <w:t>radio,</w:t>
      </w:r>
      <w:r>
        <w:rPr>
          <w:spacing w:val="80"/>
          <w:sz w:val="24"/>
        </w:rPr>
        <w:t> </w:t>
      </w:r>
      <w:r>
        <w:rPr>
          <w:sz w:val="24"/>
        </w:rPr>
        <w:t>television</w:t>
      </w:r>
      <w:r>
        <w:rPr>
          <w:spacing w:val="80"/>
          <w:sz w:val="24"/>
        </w:rPr>
        <w:t> </w:t>
      </w:r>
      <w:r>
        <w:rPr>
          <w:sz w:val="24"/>
        </w:rPr>
        <w:t>and</w:t>
      </w:r>
      <w:r>
        <w:rPr>
          <w:spacing w:val="80"/>
          <w:sz w:val="24"/>
        </w:rPr>
        <w:t> </w:t>
      </w:r>
      <w:r>
        <w:rPr>
          <w:sz w:val="24"/>
        </w:rPr>
        <w:t>video</w:t>
      </w:r>
      <w:r>
        <w:rPr>
          <w:spacing w:val="80"/>
          <w:sz w:val="24"/>
        </w:rPr>
        <w:t> </w:t>
      </w:r>
      <w:r>
        <w:rPr>
          <w:sz w:val="24"/>
        </w:rPr>
        <w:t>equipment</w:t>
      </w:r>
      <w:r>
        <w:rPr>
          <w:spacing w:val="80"/>
          <w:sz w:val="24"/>
        </w:rPr>
        <w:t> </w:t>
      </w:r>
      <w:r>
        <w:rPr>
          <w:sz w:val="24"/>
        </w:rPr>
        <w:t>repair shops and video </w:t>
      </w:r>
      <w:r>
        <w:rPr>
          <w:spacing w:val="9"/>
          <w:sz w:val="24"/>
        </w:rPr>
        <w:t>libraries.</w:t>
      </w:r>
    </w:p>
    <w:p>
      <w:pPr>
        <w:pStyle w:val="ListParagraph"/>
        <w:numPr>
          <w:ilvl w:val="1"/>
          <w:numId w:val="6"/>
        </w:numPr>
        <w:tabs>
          <w:tab w:pos="1761" w:val="left" w:leader="none"/>
        </w:tabs>
        <w:spacing w:line="280" w:lineRule="exact" w:before="0" w:after="0"/>
        <w:ind w:left="1761" w:right="0" w:hanging="705"/>
        <w:jc w:val="left"/>
        <w:rPr>
          <w:sz w:val="24"/>
        </w:rPr>
      </w:pPr>
      <w:r>
        <w:rPr>
          <w:sz w:val="24"/>
        </w:rPr>
        <w:t>Restaurants</w:t>
      </w:r>
      <w:r>
        <w:rPr>
          <w:spacing w:val="54"/>
          <w:sz w:val="24"/>
        </w:rPr>
        <w:t> </w:t>
      </w:r>
      <w:r>
        <w:rPr>
          <w:sz w:val="24"/>
        </w:rPr>
        <w:t>and</w:t>
      </w:r>
      <w:r>
        <w:rPr>
          <w:spacing w:val="57"/>
          <w:sz w:val="24"/>
        </w:rPr>
        <w:t> </w:t>
      </w:r>
      <w:r>
        <w:rPr>
          <w:sz w:val="24"/>
        </w:rPr>
        <w:t>eating</w:t>
      </w:r>
      <w:r>
        <w:rPr>
          <w:spacing w:val="57"/>
          <w:sz w:val="24"/>
        </w:rPr>
        <w:t> </w:t>
      </w:r>
      <w:r>
        <w:rPr>
          <w:sz w:val="24"/>
        </w:rPr>
        <w:t>houses</w:t>
      </w:r>
      <w:r>
        <w:rPr>
          <w:spacing w:val="56"/>
          <w:sz w:val="24"/>
        </w:rPr>
        <w:t> </w:t>
      </w:r>
      <w:r>
        <w:rPr>
          <w:sz w:val="24"/>
        </w:rPr>
        <w:t>of</w:t>
      </w:r>
      <w:r>
        <w:rPr>
          <w:spacing w:val="58"/>
          <w:sz w:val="24"/>
        </w:rPr>
        <w:t> </w:t>
      </w:r>
      <w:r>
        <w:rPr>
          <w:sz w:val="24"/>
        </w:rPr>
        <w:t>area</w:t>
      </w:r>
      <w:r>
        <w:rPr>
          <w:spacing w:val="56"/>
          <w:sz w:val="24"/>
        </w:rPr>
        <w:t> </w:t>
      </w:r>
      <w:r>
        <w:rPr>
          <w:sz w:val="24"/>
        </w:rPr>
        <w:t>not</w:t>
      </w:r>
      <w:r>
        <w:rPr>
          <w:spacing w:val="55"/>
          <w:sz w:val="24"/>
        </w:rPr>
        <w:t> </w:t>
      </w:r>
      <w:r>
        <w:rPr>
          <w:sz w:val="24"/>
        </w:rPr>
        <w:t>exceeding</w:t>
      </w:r>
      <w:r>
        <w:rPr>
          <w:spacing w:val="63"/>
          <w:sz w:val="24"/>
        </w:rPr>
        <w:t> </w:t>
      </w:r>
      <w:r>
        <w:rPr>
          <w:sz w:val="24"/>
        </w:rPr>
        <w:t>150</w:t>
      </w:r>
      <w:r>
        <w:rPr>
          <w:spacing w:val="57"/>
          <w:sz w:val="24"/>
        </w:rPr>
        <w:t> </w:t>
      </w:r>
      <w:r>
        <w:rPr>
          <w:sz w:val="24"/>
        </w:rPr>
        <w:t>sq.</w:t>
      </w:r>
      <w:r>
        <w:rPr>
          <w:spacing w:val="57"/>
          <w:sz w:val="24"/>
        </w:rPr>
        <w:t> </w:t>
      </w:r>
      <w:r>
        <w:rPr>
          <w:spacing w:val="-10"/>
          <w:sz w:val="24"/>
        </w:rPr>
        <w:t>m</w:t>
      </w:r>
    </w:p>
    <w:p>
      <w:pPr>
        <w:pStyle w:val="ListParagraph"/>
        <w:numPr>
          <w:ilvl w:val="1"/>
          <w:numId w:val="6"/>
        </w:numPr>
        <w:tabs>
          <w:tab w:pos="1762" w:val="left" w:leader="none"/>
          <w:tab w:pos="1766" w:val="left" w:leader="none"/>
        </w:tabs>
        <w:spacing w:line="240" w:lineRule="auto" w:before="2" w:after="0"/>
        <w:ind w:left="1766" w:right="790" w:hanging="711"/>
        <w:jc w:val="left"/>
        <w:rPr>
          <w:sz w:val="24"/>
        </w:rPr>
      </w:pPr>
      <w:r>
        <w:rPr>
          <w:sz w:val="24"/>
        </w:rPr>
        <w:t>Shoes</w:t>
      </w:r>
      <w:r>
        <w:rPr>
          <w:spacing w:val="80"/>
          <w:sz w:val="24"/>
        </w:rPr>
        <w:t> </w:t>
      </w:r>
      <w:r>
        <w:rPr>
          <w:sz w:val="24"/>
        </w:rPr>
        <w:t>and</w:t>
      </w:r>
      <w:r>
        <w:rPr>
          <w:spacing w:val="80"/>
          <w:sz w:val="24"/>
        </w:rPr>
        <w:t> </w:t>
      </w:r>
      <w:r>
        <w:rPr>
          <w:sz w:val="24"/>
        </w:rPr>
        <w:t>sports</w:t>
      </w:r>
      <w:r>
        <w:rPr>
          <w:spacing w:val="80"/>
          <w:sz w:val="24"/>
        </w:rPr>
        <w:t> </w:t>
      </w:r>
      <w:r>
        <w:rPr>
          <w:sz w:val="24"/>
        </w:rPr>
        <w:t>shopseach</w:t>
      </w:r>
      <w:r>
        <w:rPr>
          <w:spacing w:val="80"/>
          <w:sz w:val="24"/>
        </w:rPr>
        <w:t> </w:t>
      </w:r>
      <w:r>
        <w:rPr>
          <w:sz w:val="24"/>
        </w:rPr>
        <w:t>with</w:t>
      </w:r>
      <w:r>
        <w:rPr>
          <w:spacing w:val="80"/>
          <w:sz w:val="24"/>
        </w:rPr>
        <w:t> </w:t>
      </w:r>
      <w:r>
        <w:rPr>
          <w:sz w:val="24"/>
        </w:rPr>
        <w:t>a</w:t>
      </w:r>
      <w:r>
        <w:rPr>
          <w:spacing w:val="80"/>
          <w:sz w:val="24"/>
        </w:rPr>
        <w:t> </w:t>
      </w:r>
      <w:r>
        <w:rPr>
          <w:sz w:val="24"/>
        </w:rPr>
        <w:t>carpet</w:t>
      </w:r>
      <w:r>
        <w:rPr>
          <w:spacing w:val="80"/>
          <w:sz w:val="24"/>
        </w:rPr>
        <w:t> </w:t>
      </w:r>
      <w:r>
        <w:rPr>
          <w:sz w:val="24"/>
        </w:rPr>
        <w:t>area</w:t>
      </w:r>
      <w:r>
        <w:rPr>
          <w:spacing w:val="80"/>
          <w:sz w:val="24"/>
        </w:rPr>
        <w:t> </w:t>
      </w:r>
      <w:r>
        <w:rPr>
          <w:sz w:val="24"/>
        </w:rPr>
        <w:t>not</w:t>
      </w:r>
      <w:r>
        <w:rPr>
          <w:spacing w:val="80"/>
          <w:sz w:val="24"/>
        </w:rPr>
        <w:t> </w:t>
      </w:r>
      <w:r>
        <w:rPr>
          <w:sz w:val="24"/>
        </w:rPr>
        <w:t>exceeding</w:t>
      </w:r>
      <w:r>
        <w:rPr>
          <w:spacing w:val="80"/>
          <w:sz w:val="24"/>
        </w:rPr>
        <w:t> </w:t>
      </w:r>
      <w:r>
        <w:rPr>
          <w:sz w:val="24"/>
        </w:rPr>
        <w:t>100 sq.</w:t>
      </w:r>
      <w:r>
        <w:rPr>
          <w:spacing w:val="40"/>
          <w:sz w:val="24"/>
        </w:rPr>
        <w:t> </w:t>
      </w:r>
      <w:r>
        <w:rPr>
          <w:sz w:val="24"/>
        </w:rPr>
        <w:t>m.Coaching</w:t>
      </w:r>
      <w:r>
        <w:rPr>
          <w:spacing w:val="58"/>
          <w:sz w:val="24"/>
        </w:rPr>
        <w:t> </w:t>
      </w:r>
      <w:r>
        <w:rPr>
          <w:sz w:val="24"/>
        </w:rPr>
        <w:t>Classes</w:t>
      </w:r>
      <w:r>
        <w:rPr>
          <w:spacing w:val="40"/>
          <w:sz w:val="24"/>
        </w:rPr>
        <w:t> </w:t>
      </w:r>
      <w:r>
        <w:rPr>
          <w:sz w:val="24"/>
        </w:rPr>
        <w:t>with</w:t>
      </w:r>
      <w:r>
        <w:rPr>
          <w:spacing w:val="40"/>
          <w:sz w:val="24"/>
        </w:rPr>
        <w:t> </w:t>
      </w:r>
      <w:r>
        <w:rPr>
          <w:sz w:val="24"/>
        </w:rPr>
        <w:t>a</w:t>
      </w:r>
      <w:r>
        <w:rPr>
          <w:spacing w:val="40"/>
          <w:sz w:val="24"/>
        </w:rPr>
        <w:t> </w:t>
      </w:r>
      <w:r>
        <w:rPr>
          <w:sz w:val="24"/>
        </w:rPr>
        <w:t>carpet</w:t>
      </w:r>
      <w:r>
        <w:rPr>
          <w:spacing w:val="40"/>
          <w:sz w:val="24"/>
        </w:rPr>
        <w:t> </w:t>
      </w:r>
      <w:r>
        <w:rPr>
          <w:sz w:val="24"/>
        </w:rPr>
        <w:t>area</w:t>
      </w:r>
      <w:r>
        <w:rPr>
          <w:spacing w:val="40"/>
          <w:sz w:val="24"/>
        </w:rPr>
        <w:t> </w:t>
      </w:r>
      <w:r>
        <w:rPr>
          <w:sz w:val="24"/>
        </w:rPr>
        <w:t>not</w:t>
      </w:r>
      <w:r>
        <w:rPr>
          <w:spacing w:val="40"/>
          <w:sz w:val="24"/>
        </w:rPr>
        <w:t> </w:t>
      </w:r>
      <w:r>
        <w:rPr>
          <w:sz w:val="24"/>
        </w:rPr>
        <w:t>exceeding</w:t>
      </w:r>
      <w:r>
        <w:rPr>
          <w:spacing w:val="40"/>
          <w:sz w:val="24"/>
        </w:rPr>
        <w:t> </w:t>
      </w:r>
      <w:r>
        <w:rPr>
          <w:sz w:val="24"/>
        </w:rPr>
        <w:t>100</w:t>
      </w:r>
      <w:r>
        <w:rPr>
          <w:spacing w:val="40"/>
          <w:sz w:val="24"/>
        </w:rPr>
        <w:t> </w:t>
      </w:r>
      <w:r>
        <w:rPr>
          <w:sz w:val="24"/>
        </w:rPr>
        <w:t>sq.</w:t>
      </w:r>
      <w:r>
        <w:rPr>
          <w:spacing w:val="40"/>
          <w:sz w:val="24"/>
        </w:rPr>
        <w:t> </w:t>
      </w:r>
      <w:r>
        <w:rPr>
          <w:spacing w:val="10"/>
          <w:sz w:val="24"/>
        </w:rPr>
        <w:t>m.</w:t>
      </w:r>
    </w:p>
    <w:p>
      <w:pPr>
        <w:pStyle w:val="ListParagraph"/>
        <w:numPr>
          <w:ilvl w:val="1"/>
          <w:numId w:val="6"/>
        </w:numPr>
        <w:tabs>
          <w:tab w:pos="1766" w:val="left" w:leader="none"/>
        </w:tabs>
        <w:spacing w:line="280" w:lineRule="exact" w:before="0" w:after="0"/>
        <w:ind w:left="1766" w:right="0" w:hanging="710"/>
        <w:jc w:val="left"/>
        <w:rPr>
          <w:sz w:val="24"/>
        </w:rPr>
      </w:pPr>
      <w:r>
        <w:rPr>
          <w:sz w:val="24"/>
        </w:rPr>
        <w:t>Gymnasium</w:t>
      </w:r>
      <w:r>
        <w:rPr>
          <w:spacing w:val="59"/>
          <w:sz w:val="24"/>
        </w:rPr>
        <w:t> </w:t>
      </w:r>
      <w:r>
        <w:rPr>
          <w:sz w:val="24"/>
        </w:rPr>
        <w:t>not</w:t>
      </w:r>
      <w:r>
        <w:rPr>
          <w:spacing w:val="62"/>
          <w:sz w:val="24"/>
        </w:rPr>
        <w:t> </w:t>
      </w:r>
      <w:r>
        <w:rPr>
          <w:sz w:val="24"/>
        </w:rPr>
        <w:t>exceeding</w:t>
      </w:r>
      <w:r>
        <w:rPr>
          <w:spacing w:val="62"/>
          <w:sz w:val="24"/>
        </w:rPr>
        <w:t> </w:t>
      </w:r>
      <w:r>
        <w:rPr>
          <w:sz w:val="24"/>
        </w:rPr>
        <w:t>150</w:t>
      </w:r>
      <w:r>
        <w:rPr>
          <w:spacing w:val="62"/>
          <w:sz w:val="24"/>
        </w:rPr>
        <w:t> </w:t>
      </w:r>
      <w:r>
        <w:rPr>
          <w:sz w:val="24"/>
        </w:rPr>
        <w:t>sq.</w:t>
      </w:r>
      <w:r>
        <w:rPr>
          <w:spacing w:val="61"/>
          <w:sz w:val="24"/>
        </w:rPr>
        <w:t> </w:t>
      </w:r>
      <w:r>
        <w:rPr>
          <w:spacing w:val="-5"/>
          <w:sz w:val="24"/>
        </w:rPr>
        <w:t>m.</w:t>
      </w:r>
    </w:p>
    <w:p>
      <w:pPr>
        <w:pStyle w:val="BodyText"/>
        <w:spacing w:before="1"/>
        <w:ind w:left="1766" w:right="781" w:hanging="274"/>
      </w:pPr>
      <w:r>
        <w:rPr/>
        <w:t>Any</w:t>
      </w:r>
      <w:r>
        <w:rPr>
          <w:spacing w:val="74"/>
        </w:rPr>
        <w:t> </w:t>
      </w:r>
      <w:r>
        <w:rPr/>
        <w:t>other</w:t>
      </w:r>
      <w:r>
        <w:rPr>
          <w:spacing w:val="77"/>
        </w:rPr>
        <w:t> </w:t>
      </w:r>
      <w:r>
        <w:rPr/>
        <w:t>shop</w:t>
      </w:r>
      <w:r>
        <w:rPr>
          <w:spacing w:val="77"/>
        </w:rPr>
        <w:t> </w:t>
      </w:r>
      <w:r>
        <w:rPr/>
        <w:t>covered</w:t>
      </w:r>
      <w:r>
        <w:rPr>
          <w:spacing w:val="74"/>
        </w:rPr>
        <w:t> </w:t>
      </w:r>
      <w:r>
        <w:rPr/>
        <w:t>under</w:t>
      </w:r>
      <w:r>
        <w:rPr>
          <w:spacing w:val="77"/>
        </w:rPr>
        <w:t> </w:t>
      </w:r>
      <w:r>
        <w:rPr/>
        <w:t>the</w:t>
      </w:r>
      <w:r>
        <w:rPr>
          <w:spacing w:val="77"/>
        </w:rPr>
        <w:t> </w:t>
      </w:r>
      <w:r>
        <w:rPr/>
        <w:t>definition</w:t>
      </w:r>
      <w:r>
        <w:rPr>
          <w:spacing w:val="77"/>
        </w:rPr>
        <w:t> </w:t>
      </w:r>
      <w:r>
        <w:rPr/>
        <w:t>of</w:t>
      </w:r>
      <w:r>
        <w:rPr>
          <w:spacing w:val="74"/>
        </w:rPr>
        <w:t> </w:t>
      </w:r>
      <w:r>
        <w:rPr/>
        <w:t>convenience</w:t>
      </w:r>
      <w:r>
        <w:rPr>
          <w:spacing w:val="74"/>
        </w:rPr>
        <w:t> </w:t>
      </w:r>
      <w:r>
        <w:rPr/>
        <w:t>shopping, to whom license under the shops and establishment has been issued under the MMC Act. With the</w:t>
      </w:r>
      <w:r>
        <w:rPr>
          <w:spacing w:val="80"/>
        </w:rPr>
        <w:t> </w:t>
      </w:r>
      <w:r>
        <w:rPr/>
        <w:t>special permission, the </w:t>
      </w:r>
      <w:r>
        <w:rPr>
          <w:spacing w:val="9"/>
        </w:rPr>
        <w:t>Commissioner </w:t>
      </w:r>
      <w:r>
        <w:rPr/>
        <w:t>may</w:t>
      </w:r>
      <w:r>
        <w:rPr>
          <w:spacing w:val="40"/>
        </w:rPr>
        <w:t> </w:t>
      </w:r>
      <w:r>
        <w:rPr/>
        <w:t>from</w:t>
      </w:r>
      <w:r>
        <w:rPr>
          <w:spacing w:val="40"/>
        </w:rPr>
        <w:t> </w:t>
      </w:r>
      <w:r>
        <w:rPr/>
        <w:t>time</w:t>
      </w:r>
      <w:r>
        <w:rPr>
          <w:spacing w:val="40"/>
        </w:rPr>
        <w:t> </w:t>
      </w:r>
      <w:r>
        <w:rPr/>
        <w:t>to</w:t>
      </w:r>
      <w:r>
        <w:rPr>
          <w:spacing w:val="40"/>
        </w:rPr>
        <w:t> </w:t>
      </w:r>
      <w:r>
        <w:rPr/>
        <w:t>time</w:t>
      </w:r>
      <w:r>
        <w:rPr>
          <w:spacing w:val="40"/>
        </w:rPr>
        <w:t> </w:t>
      </w:r>
      <w:r>
        <w:rPr/>
        <w:t>add</w:t>
      </w:r>
      <w:r>
        <w:rPr>
          <w:spacing w:val="40"/>
        </w:rPr>
        <w:t> </w:t>
      </w:r>
      <w:r>
        <w:rPr/>
        <w:t>to,</w:t>
      </w:r>
      <w:r>
        <w:rPr>
          <w:spacing w:val="40"/>
        </w:rPr>
        <w:t> </w:t>
      </w:r>
      <w:r>
        <w:rPr/>
        <w:t>alter</w:t>
      </w:r>
      <w:r>
        <w:rPr>
          <w:spacing w:val="40"/>
        </w:rPr>
        <w:t> </w:t>
      </w:r>
      <w:r>
        <w:rPr/>
        <w:t>or</w:t>
      </w:r>
      <w:r>
        <w:rPr>
          <w:spacing w:val="40"/>
        </w:rPr>
        <w:t> </w:t>
      </w:r>
      <w:r>
        <w:rPr/>
        <w:t>amend</w:t>
      </w:r>
      <w:r>
        <w:rPr>
          <w:spacing w:val="40"/>
        </w:rPr>
        <w:t> </w:t>
      </w:r>
      <w:r>
        <w:rPr/>
        <w:t>the</w:t>
      </w:r>
      <w:r>
        <w:rPr>
          <w:spacing w:val="40"/>
        </w:rPr>
        <w:t> </w:t>
      </w:r>
      <w:r>
        <w:rPr/>
        <w:t>above</w:t>
      </w:r>
      <w:r>
        <w:rPr>
          <w:spacing w:val="40"/>
        </w:rPr>
        <w:t> </w:t>
      </w:r>
      <w:r>
        <w:rPr/>
        <w:t>list.</w:t>
      </w:r>
    </w:p>
    <w:p>
      <w:pPr>
        <w:pStyle w:val="BodyText"/>
        <w:spacing w:after="0"/>
        <w:sectPr>
          <w:pgSz w:w="11910" w:h="16840"/>
          <w:pgMar w:header="1058" w:footer="1357" w:top="1500" w:bottom="1540" w:left="360" w:right="360"/>
        </w:sectPr>
      </w:pPr>
    </w:p>
    <w:p>
      <w:pPr>
        <w:pStyle w:val="ListParagraph"/>
        <w:numPr>
          <w:ilvl w:val="0"/>
          <w:numId w:val="6"/>
        </w:numPr>
        <w:tabs>
          <w:tab w:pos="1762" w:val="left" w:leader="none"/>
          <w:tab w:pos="1766" w:val="left" w:leader="none"/>
        </w:tabs>
        <w:spacing w:line="240" w:lineRule="auto" w:before="255" w:after="0"/>
        <w:ind w:left="1766" w:right="776" w:hanging="711"/>
        <w:jc w:val="both"/>
        <w:rPr>
          <w:sz w:val="24"/>
        </w:rPr>
      </w:pPr>
      <w:r>
        <w:rPr>
          <w:sz w:val="24"/>
        </w:rPr>
        <w:t>"Corridor”</w:t>
      </w:r>
      <w:r>
        <w:rPr>
          <w:spacing w:val="78"/>
          <w:sz w:val="24"/>
        </w:rPr>
        <w:t> </w:t>
      </w:r>
      <w:r>
        <w:rPr>
          <w:sz w:val="24"/>
        </w:rPr>
        <w:t>means</w:t>
      </w:r>
      <w:r>
        <w:rPr>
          <w:spacing w:val="78"/>
          <w:sz w:val="24"/>
        </w:rPr>
        <w:t> </w:t>
      </w:r>
      <w:r>
        <w:rPr>
          <w:sz w:val="24"/>
        </w:rPr>
        <w:t>a</w:t>
      </w:r>
      <w:r>
        <w:rPr>
          <w:spacing w:val="80"/>
          <w:sz w:val="24"/>
        </w:rPr>
        <w:t> </w:t>
      </w:r>
      <w:r>
        <w:rPr>
          <w:sz w:val="24"/>
        </w:rPr>
        <w:t>common</w:t>
      </w:r>
      <w:r>
        <w:rPr>
          <w:spacing w:val="80"/>
          <w:sz w:val="24"/>
        </w:rPr>
        <w:t> </w:t>
      </w:r>
      <w:r>
        <w:rPr>
          <w:sz w:val="24"/>
        </w:rPr>
        <w:t>passage</w:t>
      </w:r>
      <w:r>
        <w:rPr>
          <w:spacing w:val="80"/>
          <w:sz w:val="24"/>
        </w:rPr>
        <w:t> </w:t>
      </w:r>
      <w:r>
        <w:rPr>
          <w:sz w:val="24"/>
        </w:rPr>
        <w:t>or</w:t>
      </w:r>
      <w:r>
        <w:rPr>
          <w:spacing w:val="78"/>
          <w:sz w:val="24"/>
        </w:rPr>
        <w:t> </w:t>
      </w:r>
      <w:r>
        <w:rPr>
          <w:sz w:val="24"/>
        </w:rPr>
        <w:t>circulation</w:t>
      </w:r>
      <w:r>
        <w:rPr>
          <w:spacing w:val="80"/>
          <w:sz w:val="24"/>
        </w:rPr>
        <w:t> </w:t>
      </w:r>
      <w:r>
        <w:rPr>
          <w:sz w:val="24"/>
        </w:rPr>
        <w:t>space</w:t>
      </w:r>
      <w:r>
        <w:rPr>
          <w:spacing w:val="78"/>
          <w:sz w:val="24"/>
        </w:rPr>
        <w:t> </w:t>
      </w:r>
      <w:r>
        <w:rPr>
          <w:spacing w:val="9"/>
          <w:sz w:val="24"/>
        </w:rPr>
        <w:t>including </w:t>
      </w:r>
      <w:r>
        <w:rPr>
          <w:sz w:val="24"/>
        </w:rPr>
        <w:t>a</w:t>
      </w:r>
      <w:r>
        <w:rPr>
          <w:spacing w:val="40"/>
          <w:sz w:val="24"/>
        </w:rPr>
        <w:t> </w:t>
      </w:r>
      <w:r>
        <w:rPr>
          <w:sz w:val="24"/>
        </w:rPr>
        <w:t>common</w:t>
      </w:r>
      <w:r>
        <w:rPr>
          <w:spacing w:val="40"/>
          <w:sz w:val="24"/>
        </w:rPr>
        <w:t> </w:t>
      </w:r>
      <w:r>
        <w:rPr>
          <w:sz w:val="24"/>
        </w:rPr>
        <w:t>entrance</w:t>
      </w:r>
      <w:r>
        <w:rPr>
          <w:spacing w:val="40"/>
          <w:sz w:val="24"/>
        </w:rPr>
        <w:t> </w:t>
      </w:r>
      <w:r>
        <w:rPr>
          <w:sz w:val="24"/>
        </w:rPr>
        <w:t>hall.</w:t>
      </w:r>
    </w:p>
    <w:p>
      <w:pPr>
        <w:pStyle w:val="BodyText"/>
        <w:spacing w:before="2"/>
        <w:jc w:val="left"/>
      </w:pPr>
    </w:p>
    <w:p>
      <w:pPr>
        <w:pStyle w:val="ListParagraph"/>
        <w:numPr>
          <w:ilvl w:val="0"/>
          <w:numId w:val="6"/>
        </w:numPr>
        <w:tabs>
          <w:tab w:pos="1762" w:val="left" w:leader="none"/>
          <w:tab w:pos="1766" w:val="left" w:leader="none"/>
        </w:tabs>
        <w:spacing w:line="240" w:lineRule="auto" w:before="0" w:after="0"/>
        <w:ind w:left="1766" w:right="782" w:hanging="711"/>
        <w:jc w:val="both"/>
        <w:rPr>
          <w:sz w:val="24"/>
        </w:rPr>
      </w:pPr>
      <w:r>
        <w:rPr>
          <w:sz w:val="24"/>
        </w:rPr>
        <w:t>"Courtyard"</w:t>
      </w:r>
      <w:r>
        <w:rPr>
          <w:spacing w:val="40"/>
          <w:sz w:val="24"/>
        </w:rPr>
        <w:t> </w:t>
      </w:r>
      <w:r>
        <w:rPr>
          <w:sz w:val="24"/>
        </w:rPr>
        <w:t>means</w:t>
      </w:r>
      <w:r>
        <w:rPr>
          <w:spacing w:val="40"/>
          <w:sz w:val="24"/>
        </w:rPr>
        <w:t> </w:t>
      </w:r>
      <w:r>
        <w:rPr>
          <w:sz w:val="24"/>
        </w:rPr>
        <w:t>a</w:t>
      </w:r>
      <w:r>
        <w:rPr>
          <w:spacing w:val="40"/>
          <w:sz w:val="24"/>
        </w:rPr>
        <w:t> </w:t>
      </w:r>
      <w:r>
        <w:rPr>
          <w:sz w:val="24"/>
        </w:rPr>
        <w:t>space</w:t>
      </w:r>
      <w:r>
        <w:rPr>
          <w:spacing w:val="40"/>
          <w:sz w:val="24"/>
        </w:rPr>
        <w:t> </w:t>
      </w:r>
      <w:r>
        <w:rPr>
          <w:sz w:val="24"/>
        </w:rPr>
        <w:t>permanently</w:t>
      </w:r>
      <w:r>
        <w:rPr>
          <w:spacing w:val="40"/>
          <w:sz w:val="24"/>
        </w:rPr>
        <w:t> </w:t>
      </w:r>
      <w:r>
        <w:rPr>
          <w:sz w:val="24"/>
        </w:rPr>
        <w:t>open</w:t>
      </w:r>
      <w:r>
        <w:rPr>
          <w:spacing w:val="40"/>
          <w:sz w:val="24"/>
        </w:rPr>
        <w:t> </w:t>
      </w:r>
      <w:r>
        <w:rPr>
          <w:sz w:val="24"/>
        </w:rPr>
        <w:t>to</w:t>
      </w:r>
      <w:r>
        <w:rPr>
          <w:spacing w:val="40"/>
          <w:sz w:val="24"/>
        </w:rPr>
        <w:t> </w:t>
      </w:r>
      <w:r>
        <w:rPr>
          <w:sz w:val="24"/>
        </w:rPr>
        <w:t>the</w:t>
      </w:r>
      <w:r>
        <w:rPr>
          <w:spacing w:val="40"/>
          <w:sz w:val="24"/>
        </w:rPr>
        <w:t> </w:t>
      </w:r>
      <w:r>
        <w:rPr>
          <w:sz w:val="24"/>
        </w:rPr>
        <w:t>sky</w:t>
      </w:r>
      <w:r>
        <w:rPr>
          <w:spacing w:val="40"/>
          <w:sz w:val="24"/>
        </w:rPr>
        <w:t> </w:t>
      </w:r>
      <w:r>
        <w:rPr>
          <w:sz w:val="24"/>
        </w:rPr>
        <w:t>within</w:t>
      </w:r>
      <w:r>
        <w:rPr>
          <w:spacing w:val="40"/>
          <w:sz w:val="24"/>
        </w:rPr>
        <w:t> </w:t>
      </w:r>
      <w:r>
        <w:rPr>
          <w:sz w:val="24"/>
        </w:rPr>
        <w:t>the site around a structure or surrounded by structure and may be </w:t>
      </w:r>
      <w:r>
        <w:rPr>
          <w:spacing w:val="7"/>
          <w:sz w:val="24"/>
        </w:rPr>
        <w:t>paved/concreted.</w:t>
      </w:r>
    </w:p>
    <w:p>
      <w:pPr>
        <w:pStyle w:val="ListParagraph"/>
        <w:numPr>
          <w:ilvl w:val="0"/>
          <w:numId w:val="6"/>
        </w:numPr>
        <w:tabs>
          <w:tab w:pos="1762" w:val="left" w:leader="none"/>
          <w:tab w:pos="1766" w:val="left" w:leader="none"/>
        </w:tabs>
        <w:spacing w:line="240" w:lineRule="auto" w:before="280" w:after="0"/>
        <w:ind w:left="1766" w:right="783" w:hanging="711"/>
        <w:jc w:val="both"/>
        <w:rPr>
          <w:sz w:val="24"/>
        </w:rPr>
      </w:pPr>
      <w:r>
        <w:rPr>
          <w:sz w:val="24"/>
        </w:rPr>
        <w:t>“Curb Cut” means a small solid (usually </w:t>
      </w:r>
      <w:r>
        <w:rPr>
          <w:spacing w:val="9"/>
          <w:sz w:val="24"/>
        </w:rPr>
        <w:t>concrete) </w:t>
      </w:r>
      <w:r>
        <w:rPr>
          <w:sz w:val="24"/>
        </w:rPr>
        <w:t>ramp that slopes down</w:t>
      </w:r>
      <w:r>
        <w:rPr>
          <w:spacing w:val="40"/>
          <w:sz w:val="24"/>
        </w:rPr>
        <w:t> </w:t>
      </w:r>
      <w:r>
        <w:rPr>
          <w:sz w:val="24"/>
        </w:rPr>
        <w:t>from</w:t>
      </w:r>
      <w:r>
        <w:rPr>
          <w:spacing w:val="40"/>
          <w:sz w:val="24"/>
        </w:rPr>
        <w:t> </w:t>
      </w:r>
      <w:r>
        <w:rPr>
          <w:sz w:val="24"/>
        </w:rPr>
        <w:t>the</w:t>
      </w:r>
      <w:r>
        <w:rPr>
          <w:spacing w:val="40"/>
          <w:sz w:val="24"/>
        </w:rPr>
        <w:t> </w:t>
      </w:r>
      <w:r>
        <w:rPr>
          <w:sz w:val="24"/>
        </w:rPr>
        <w:t>top</w:t>
      </w:r>
      <w:r>
        <w:rPr>
          <w:spacing w:val="40"/>
          <w:sz w:val="24"/>
        </w:rPr>
        <w:t> </w:t>
      </w:r>
      <w:r>
        <w:rPr>
          <w:sz w:val="24"/>
        </w:rPr>
        <w:t>surface</w:t>
      </w:r>
      <w:r>
        <w:rPr>
          <w:spacing w:val="40"/>
          <w:sz w:val="24"/>
        </w:rPr>
        <w:t> </w:t>
      </w:r>
      <w:r>
        <w:rPr>
          <w:sz w:val="24"/>
        </w:rPr>
        <w:t>of</w:t>
      </w:r>
      <w:r>
        <w:rPr>
          <w:spacing w:val="40"/>
          <w:sz w:val="24"/>
        </w:rPr>
        <w:t> </w:t>
      </w:r>
      <w:r>
        <w:rPr>
          <w:sz w:val="24"/>
        </w:rPr>
        <w:t>a</w:t>
      </w:r>
      <w:r>
        <w:rPr>
          <w:spacing w:val="40"/>
          <w:sz w:val="24"/>
        </w:rPr>
        <w:t> </w:t>
      </w:r>
      <w:r>
        <w:rPr>
          <w:sz w:val="24"/>
        </w:rPr>
        <w:t>side</w:t>
      </w:r>
      <w:r>
        <w:rPr>
          <w:spacing w:val="40"/>
          <w:sz w:val="24"/>
        </w:rPr>
        <w:t> </w:t>
      </w:r>
      <w:r>
        <w:rPr>
          <w:sz w:val="24"/>
        </w:rPr>
        <w:t>walk</w:t>
      </w:r>
      <w:r>
        <w:rPr>
          <w:spacing w:val="70"/>
          <w:sz w:val="24"/>
        </w:rPr>
        <w:t> </w:t>
      </w:r>
      <w:r>
        <w:rPr>
          <w:sz w:val="24"/>
        </w:rPr>
        <w:t>or</w:t>
      </w:r>
      <w:r>
        <w:rPr>
          <w:spacing w:val="40"/>
          <w:sz w:val="24"/>
        </w:rPr>
        <w:t> </w:t>
      </w:r>
      <w:r>
        <w:rPr>
          <w:sz w:val="24"/>
        </w:rPr>
        <w:t>footpath</w:t>
      </w:r>
      <w:r>
        <w:rPr>
          <w:spacing w:val="40"/>
          <w:sz w:val="24"/>
        </w:rPr>
        <w:t> </w:t>
      </w:r>
      <w:r>
        <w:rPr>
          <w:sz w:val="24"/>
        </w:rPr>
        <w:t>to</w:t>
      </w:r>
      <w:r>
        <w:rPr>
          <w:spacing w:val="40"/>
          <w:sz w:val="24"/>
        </w:rPr>
        <w:t> </w:t>
      </w:r>
      <w:r>
        <w:rPr>
          <w:sz w:val="24"/>
        </w:rPr>
        <w:t>the</w:t>
      </w:r>
      <w:r>
        <w:rPr>
          <w:spacing w:val="40"/>
          <w:sz w:val="24"/>
        </w:rPr>
        <w:t> </w:t>
      </w:r>
      <w:r>
        <w:rPr>
          <w:sz w:val="24"/>
        </w:rPr>
        <w:t>surface</w:t>
      </w:r>
      <w:r>
        <w:rPr>
          <w:spacing w:val="40"/>
          <w:sz w:val="24"/>
        </w:rPr>
        <w:t> </w:t>
      </w:r>
      <w:r>
        <w:rPr>
          <w:sz w:val="24"/>
        </w:rPr>
        <w:t>of</w:t>
      </w:r>
      <w:r>
        <w:rPr>
          <w:spacing w:val="40"/>
          <w:sz w:val="24"/>
        </w:rPr>
        <w:t> </w:t>
      </w:r>
      <w:r>
        <w:rPr>
          <w:sz w:val="24"/>
        </w:rPr>
        <w:t>an</w:t>
      </w:r>
      <w:r>
        <w:rPr>
          <w:spacing w:val="40"/>
          <w:sz w:val="24"/>
        </w:rPr>
        <w:t> </w:t>
      </w:r>
      <w:r>
        <w:rPr>
          <w:sz w:val="24"/>
        </w:rPr>
        <w:t>adjoining</w:t>
      </w:r>
      <w:r>
        <w:rPr>
          <w:spacing w:val="40"/>
          <w:sz w:val="24"/>
        </w:rPr>
        <w:t> </w:t>
      </w:r>
      <w:r>
        <w:rPr>
          <w:sz w:val="24"/>
        </w:rPr>
        <w:t>street.</w:t>
      </w:r>
      <w:r>
        <w:rPr>
          <w:spacing w:val="40"/>
          <w:sz w:val="24"/>
        </w:rPr>
        <w:t> </w:t>
      </w:r>
      <w:r>
        <w:rPr>
          <w:sz w:val="24"/>
        </w:rPr>
        <w:t>It</w:t>
      </w:r>
      <w:r>
        <w:rPr>
          <w:spacing w:val="40"/>
          <w:sz w:val="24"/>
        </w:rPr>
        <w:t> </w:t>
      </w:r>
      <w:r>
        <w:rPr>
          <w:sz w:val="24"/>
        </w:rPr>
        <w:t>is</w:t>
      </w:r>
      <w:r>
        <w:rPr>
          <w:spacing w:val="40"/>
          <w:sz w:val="24"/>
        </w:rPr>
        <w:t> </w:t>
      </w:r>
      <w:r>
        <w:rPr>
          <w:sz w:val="24"/>
        </w:rPr>
        <w:t>designed</w:t>
      </w:r>
      <w:r>
        <w:rPr>
          <w:spacing w:val="40"/>
          <w:sz w:val="24"/>
        </w:rPr>
        <w:t> </w:t>
      </w:r>
      <w:r>
        <w:rPr>
          <w:sz w:val="24"/>
        </w:rPr>
        <w:t>for</w:t>
      </w:r>
      <w:r>
        <w:rPr>
          <w:spacing w:val="40"/>
          <w:sz w:val="24"/>
        </w:rPr>
        <w:t> </w:t>
      </w:r>
      <w:r>
        <w:rPr>
          <w:sz w:val="24"/>
        </w:rPr>
        <w:t>ease</w:t>
      </w:r>
      <w:r>
        <w:rPr>
          <w:spacing w:val="40"/>
          <w:sz w:val="24"/>
        </w:rPr>
        <w:t> </w:t>
      </w:r>
      <w:r>
        <w:rPr>
          <w:sz w:val="24"/>
        </w:rPr>
        <w:t>of</w:t>
      </w:r>
      <w:r>
        <w:rPr>
          <w:spacing w:val="40"/>
          <w:sz w:val="24"/>
        </w:rPr>
        <w:t> </w:t>
      </w:r>
      <w:r>
        <w:rPr>
          <w:sz w:val="24"/>
        </w:rPr>
        <w:t>access</w:t>
      </w:r>
      <w:r>
        <w:rPr>
          <w:spacing w:val="40"/>
          <w:sz w:val="24"/>
        </w:rPr>
        <w:t> </w:t>
      </w:r>
      <w:r>
        <w:rPr>
          <w:sz w:val="24"/>
        </w:rPr>
        <w:t>for</w:t>
      </w:r>
      <w:r>
        <w:rPr>
          <w:spacing w:val="40"/>
          <w:sz w:val="24"/>
        </w:rPr>
        <w:t> </w:t>
      </w:r>
      <w:r>
        <w:rPr>
          <w:sz w:val="24"/>
        </w:rPr>
        <w:t>pedestrians,</w:t>
      </w:r>
      <w:r>
        <w:rPr>
          <w:spacing w:val="80"/>
          <w:sz w:val="24"/>
        </w:rPr>
        <w:t> </w:t>
      </w:r>
      <w:r>
        <w:rPr>
          <w:sz w:val="24"/>
        </w:rPr>
        <w:t>bicyclists</w:t>
      </w:r>
      <w:r>
        <w:rPr>
          <w:spacing w:val="80"/>
          <w:sz w:val="24"/>
        </w:rPr>
        <w:t> </w:t>
      </w:r>
      <w:r>
        <w:rPr>
          <w:sz w:val="24"/>
        </w:rPr>
        <w:t>and</w:t>
      </w:r>
      <w:r>
        <w:rPr>
          <w:spacing w:val="80"/>
          <w:sz w:val="24"/>
        </w:rPr>
        <w:t> </w:t>
      </w:r>
      <w:r>
        <w:rPr>
          <w:sz w:val="24"/>
        </w:rPr>
        <w:t>differently</w:t>
      </w:r>
      <w:r>
        <w:rPr>
          <w:spacing w:val="80"/>
          <w:sz w:val="24"/>
        </w:rPr>
        <w:t> </w:t>
      </w:r>
      <w:r>
        <w:rPr>
          <w:sz w:val="24"/>
        </w:rPr>
        <w:t>abled</w:t>
      </w:r>
      <w:r>
        <w:rPr>
          <w:spacing w:val="80"/>
          <w:sz w:val="24"/>
        </w:rPr>
        <w:t> </w:t>
      </w:r>
      <w:r>
        <w:rPr>
          <w:sz w:val="24"/>
        </w:rPr>
        <w:t>people.</w:t>
      </w:r>
    </w:p>
    <w:p>
      <w:pPr>
        <w:pStyle w:val="BodyText"/>
        <w:spacing w:before="1"/>
        <w:jc w:val="left"/>
      </w:pPr>
    </w:p>
    <w:p>
      <w:pPr>
        <w:pStyle w:val="ListParagraph"/>
        <w:numPr>
          <w:ilvl w:val="0"/>
          <w:numId w:val="6"/>
        </w:numPr>
        <w:tabs>
          <w:tab w:pos="1693" w:val="left" w:leader="none"/>
          <w:tab w:pos="1766" w:val="left" w:leader="none"/>
        </w:tabs>
        <w:spacing w:line="240" w:lineRule="auto" w:before="0" w:after="0"/>
        <w:ind w:left="1766" w:right="769" w:hanging="711"/>
        <w:jc w:val="both"/>
        <w:rPr>
          <w:b/>
          <w:sz w:val="24"/>
        </w:rPr>
      </w:pPr>
      <w:r>
        <w:rPr>
          <w:b/>
          <w:sz w:val="24"/>
        </w:rPr>
        <w:t>“Demonstrable Hardship” </w:t>
      </w:r>
      <w:r>
        <w:rPr>
          <w:sz w:val="24"/>
        </w:rPr>
        <w:t>Demonstrable hardship means plot under development/ redevelopment affected due to Nalla, Nallah/river buffer, road widening, height restriction due to statutory restriction as per these Regulations such as railway buffer, height restrictions in the vicinity of Airport,</w:t>
      </w:r>
      <w:r>
        <w:rPr>
          <w:spacing w:val="-17"/>
          <w:sz w:val="24"/>
        </w:rPr>
        <w:t> </w:t>
      </w:r>
      <w:r>
        <w:rPr>
          <w:sz w:val="24"/>
        </w:rPr>
        <w:t>height</w:t>
      </w:r>
      <w:r>
        <w:rPr>
          <w:spacing w:val="-17"/>
          <w:sz w:val="24"/>
        </w:rPr>
        <w:t> </w:t>
      </w:r>
      <w:r>
        <w:rPr>
          <w:sz w:val="24"/>
        </w:rPr>
        <w:t>restriction</w:t>
      </w:r>
      <w:r>
        <w:rPr>
          <w:spacing w:val="-17"/>
          <w:sz w:val="24"/>
        </w:rPr>
        <w:t> </w:t>
      </w:r>
      <w:r>
        <w:rPr>
          <w:sz w:val="24"/>
        </w:rPr>
        <w:t>in</w:t>
      </w:r>
      <w:r>
        <w:rPr>
          <w:spacing w:val="-17"/>
          <w:sz w:val="24"/>
        </w:rPr>
        <w:t> </w:t>
      </w:r>
      <w:r>
        <w:rPr>
          <w:sz w:val="24"/>
        </w:rPr>
        <w:t>the</w:t>
      </w:r>
      <w:r>
        <w:rPr>
          <w:spacing w:val="-17"/>
          <w:sz w:val="24"/>
        </w:rPr>
        <w:t> </w:t>
      </w:r>
      <w:r>
        <w:rPr>
          <w:sz w:val="24"/>
        </w:rPr>
        <w:t>vicinity</w:t>
      </w:r>
      <w:r>
        <w:rPr>
          <w:spacing w:val="-17"/>
          <w:sz w:val="24"/>
        </w:rPr>
        <w:t> </w:t>
      </w:r>
      <w:r>
        <w:rPr>
          <w:sz w:val="24"/>
        </w:rPr>
        <w:t>of</w:t>
      </w:r>
      <w:r>
        <w:rPr>
          <w:spacing w:val="-17"/>
          <w:sz w:val="24"/>
        </w:rPr>
        <w:t> </w:t>
      </w:r>
      <w:r>
        <w:rPr>
          <w:sz w:val="24"/>
        </w:rPr>
        <w:t>defence</w:t>
      </w:r>
      <w:r>
        <w:rPr>
          <w:spacing w:val="-17"/>
          <w:sz w:val="24"/>
        </w:rPr>
        <w:t> </w:t>
      </w:r>
      <w:r>
        <w:rPr>
          <w:sz w:val="24"/>
        </w:rPr>
        <w:t>establishments,</w:t>
      </w:r>
      <w:r>
        <w:rPr>
          <w:spacing w:val="-17"/>
          <w:sz w:val="24"/>
        </w:rPr>
        <w:t> </w:t>
      </w:r>
      <w:r>
        <w:rPr>
          <w:sz w:val="24"/>
        </w:rPr>
        <w:t>and/or any other restrictions as per the provisions of these Regulations affecting the project, odd shape plot, rehabilitation of existing tenants/occupants on small size plot/s</w:t>
      </w:r>
      <w:r>
        <w:rPr>
          <w:spacing w:val="40"/>
          <w:sz w:val="24"/>
        </w:rPr>
        <w:t> </w:t>
      </w:r>
      <w:r>
        <w:rPr>
          <w:sz w:val="24"/>
        </w:rPr>
        <w:t>etc.</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79" w:hanging="711"/>
        <w:jc w:val="both"/>
        <w:rPr>
          <w:sz w:val="24"/>
        </w:rPr>
      </w:pPr>
      <w:r>
        <w:rPr>
          <w:sz w:val="24"/>
        </w:rPr>
        <w:t>“Developer/Builder/Project</w:t>
      </w:r>
      <w:r>
        <w:rPr>
          <w:spacing w:val="40"/>
          <w:sz w:val="24"/>
        </w:rPr>
        <w:t> </w:t>
      </w:r>
      <w:r>
        <w:rPr>
          <w:sz w:val="24"/>
        </w:rPr>
        <w:t>Proponent”</w:t>
      </w:r>
      <w:r>
        <w:rPr>
          <w:spacing w:val="40"/>
          <w:sz w:val="24"/>
        </w:rPr>
        <w:t> </w:t>
      </w:r>
      <w:r>
        <w:rPr>
          <w:sz w:val="24"/>
        </w:rPr>
        <w:t>means</w:t>
      </w:r>
      <w:r>
        <w:rPr>
          <w:spacing w:val="40"/>
          <w:sz w:val="24"/>
        </w:rPr>
        <w:t> </w:t>
      </w:r>
      <w:r>
        <w:rPr>
          <w:sz w:val="24"/>
        </w:rPr>
        <w:t>the</w:t>
      </w:r>
      <w:r>
        <w:rPr>
          <w:spacing w:val="40"/>
          <w:sz w:val="24"/>
        </w:rPr>
        <w:t> </w:t>
      </w:r>
      <w:r>
        <w:rPr>
          <w:sz w:val="24"/>
        </w:rPr>
        <w:t>person</w:t>
      </w:r>
      <w:r>
        <w:rPr>
          <w:spacing w:val="40"/>
          <w:sz w:val="24"/>
        </w:rPr>
        <w:t> </w:t>
      </w:r>
      <w:r>
        <w:rPr>
          <w:sz w:val="24"/>
        </w:rPr>
        <w:t>who</w:t>
      </w:r>
      <w:r>
        <w:rPr>
          <w:spacing w:val="40"/>
          <w:sz w:val="24"/>
        </w:rPr>
        <w:t> </w:t>
      </w:r>
      <w:r>
        <w:rPr>
          <w:sz w:val="24"/>
        </w:rPr>
        <w:t>is</w:t>
      </w:r>
      <w:r>
        <w:rPr>
          <w:spacing w:val="80"/>
          <w:sz w:val="24"/>
        </w:rPr>
        <w:t> </w:t>
      </w:r>
      <w:r>
        <w:rPr>
          <w:sz w:val="24"/>
        </w:rPr>
        <w:t>legally</w:t>
      </w:r>
      <w:r>
        <w:rPr>
          <w:spacing w:val="40"/>
          <w:sz w:val="24"/>
        </w:rPr>
        <w:t> </w:t>
      </w:r>
      <w:r>
        <w:rPr>
          <w:sz w:val="24"/>
        </w:rPr>
        <w:t>empowered</w:t>
      </w:r>
      <w:r>
        <w:rPr>
          <w:spacing w:val="80"/>
          <w:sz w:val="24"/>
        </w:rPr>
        <w:t> </w:t>
      </w:r>
      <w:r>
        <w:rPr>
          <w:sz w:val="24"/>
        </w:rPr>
        <w:t>to</w:t>
      </w:r>
      <w:r>
        <w:rPr>
          <w:spacing w:val="40"/>
          <w:sz w:val="24"/>
        </w:rPr>
        <w:t> </w:t>
      </w:r>
      <w:r>
        <w:rPr>
          <w:sz w:val="24"/>
        </w:rPr>
        <w:t>carry</w:t>
      </w:r>
      <w:r>
        <w:rPr>
          <w:spacing w:val="80"/>
          <w:sz w:val="24"/>
        </w:rPr>
        <w:t> </w:t>
      </w:r>
      <w:r>
        <w:rPr>
          <w:sz w:val="24"/>
        </w:rPr>
        <w:t>out</w:t>
      </w:r>
      <w:r>
        <w:rPr>
          <w:spacing w:val="40"/>
          <w:sz w:val="24"/>
        </w:rPr>
        <w:t> </w:t>
      </w:r>
      <w:r>
        <w:rPr>
          <w:sz w:val="24"/>
        </w:rPr>
        <w:t>the</w:t>
      </w:r>
      <w:r>
        <w:rPr>
          <w:spacing w:val="40"/>
          <w:sz w:val="24"/>
        </w:rPr>
        <w:t> </w:t>
      </w:r>
      <w:r>
        <w:rPr>
          <w:sz w:val="24"/>
        </w:rPr>
        <w:t>development.</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72" w:hanging="711"/>
        <w:jc w:val="both"/>
        <w:rPr>
          <w:sz w:val="24"/>
        </w:rPr>
      </w:pPr>
      <w:r>
        <w:rPr>
          <w:sz w:val="24"/>
        </w:rPr>
        <w:t>"Dharmashala"</w:t>
      </w:r>
      <w:r>
        <w:rPr>
          <w:spacing w:val="40"/>
          <w:sz w:val="24"/>
        </w:rPr>
        <w:t> </w:t>
      </w:r>
      <w:r>
        <w:rPr>
          <w:sz w:val="24"/>
        </w:rPr>
        <w:t>means</w:t>
      </w:r>
      <w:r>
        <w:rPr>
          <w:spacing w:val="40"/>
          <w:sz w:val="24"/>
        </w:rPr>
        <w:t> </w:t>
      </w:r>
      <w:r>
        <w:rPr>
          <w:sz w:val="24"/>
        </w:rPr>
        <w:t>a</w:t>
      </w:r>
      <w:r>
        <w:rPr>
          <w:spacing w:val="40"/>
          <w:sz w:val="24"/>
        </w:rPr>
        <w:t> </w:t>
      </w:r>
      <w:r>
        <w:rPr>
          <w:sz w:val="24"/>
        </w:rPr>
        <w:t>building</w:t>
      </w:r>
      <w:r>
        <w:rPr>
          <w:spacing w:val="40"/>
          <w:sz w:val="24"/>
        </w:rPr>
        <w:t> </w:t>
      </w:r>
      <w:r>
        <w:rPr>
          <w:sz w:val="24"/>
        </w:rPr>
        <w:t>used</w:t>
      </w:r>
      <w:r>
        <w:rPr>
          <w:spacing w:val="40"/>
          <w:sz w:val="24"/>
        </w:rPr>
        <w:t> </w:t>
      </w:r>
      <w:r>
        <w:rPr>
          <w:sz w:val="24"/>
        </w:rPr>
        <w:t>as</w:t>
      </w:r>
      <w:r>
        <w:rPr>
          <w:spacing w:val="40"/>
          <w:sz w:val="24"/>
        </w:rPr>
        <w:t> </w:t>
      </w:r>
      <w:r>
        <w:rPr>
          <w:sz w:val="24"/>
        </w:rPr>
        <w:t>a</w:t>
      </w:r>
      <w:r>
        <w:rPr>
          <w:spacing w:val="40"/>
          <w:sz w:val="24"/>
        </w:rPr>
        <w:t> </w:t>
      </w:r>
      <w:r>
        <w:rPr>
          <w:sz w:val="24"/>
        </w:rPr>
        <w:t>place</w:t>
      </w:r>
      <w:r>
        <w:rPr>
          <w:spacing w:val="40"/>
          <w:sz w:val="24"/>
        </w:rPr>
        <w:t> </w:t>
      </w:r>
      <w:r>
        <w:rPr>
          <w:sz w:val="24"/>
        </w:rPr>
        <w:t>of</w:t>
      </w:r>
      <w:r>
        <w:rPr>
          <w:spacing w:val="40"/>
          <w:sz w:val="24"/>
        </w:rPr>
        <w:t> </w:t>
      </w:r>
      <w:r>
        <w:rPr>
          <w:spacing w:val="9"/>
          <w:sz w:val="24"/>
        </w:rPr>
        <w:t>religious </w:t>
      </w:r>
      <w:r>
        <w:rPr>
          <w:sz w:val="24"/>
        </w:rPr>
        <w:t>assembly, a rest house, a place in which charity is exercised with religious</w:t>
      </w:r>
      <w:r>
        <w:rPr>
          <w:spacing w:val="40"/>
          <w:sz w:val="24"/>
        </w:rPr>
        <w:t> </w:t>
      </w:r>
      <w:r>
        <w:rPr>
          <w:sz w:val="24"/>
        </w:rPr>
        <w:t>or</w:t>
      </w:r>
      <w:r>
        <w:rPr>
          <w:spacing w:val="40"/>
          <w:sz w:val="24"/>
        </w:rPr>
        <w:t> </w:t>
      </w:r>
      <w:r>
        <w:rPr>
          <w:sz w:val="24"/>
        </w:rPr>
        <w:t>social</w:t>
      </w:r>
      <w:r>
        <w:rPr>
          <w:spacing w:val="40"/>
          <w:sz w:val="24"/>
        </w:rPr>
        <w:t> </w:t>
      </w:r>
      <w:r>
        <w:rPr>
          <w:sz w:val="24"/>
        </w:rPr>
        <w:t>motives,</w:t>
      </w:r>
      <w:r>
        <w:rPr>
          <w:spacing w:val="40"/>
          <w:sz w:val="24"/>
        </w:rPr>
        <w:t> </w:t>
      </w:r>
      <w:r>
        <w:rPr>
          <w:sz w:val="24"/>
        </w:rPr>
        <w:t>or</w:t>
      </w:r>
      <w:r>
        <w:rPr>
          <w:spacing w:val="40"/>
          <w:sz w:val="24"/>
        </w:rPr>
        <w:t> </w:t>
      </w:r>
      <w:r>
        <w:rPr>
          <w:sz w:val="24"/>
        </w:rPr>
        <w:t>a</w:t>
      </w:r>
      <w:r>
        <w:rPr>
          <w:spacing w:val="40"/>
          <w:sz w:val="24"/>
        </w:rPr>
        <w:t> </w:t>
      </w:r>
      <w:r>
        <w:rPr>
          <w:sz w:val="24"/>
        </w:rPr>
        <w:t>place</w:t>
      </w:r>
      <w:r>
        <w:rPr>
          <w:spacing w:val="40"/>
          <w:sz w:val="24"/>
        </w:rPr>
        <w:t> </w:t>
      </w:r>
      <w:r>
        <w:rPr>
          <w:sz w:val="24"/>
        </w:rPr>
        <w:t>where</w:t>
      </w:r>
      <w:r>
        <w:rPr>
          <w:spacing w:val="40"/>
          <w:sz w:val="24"/>
        </w:rPr>
        <w:t> </w:t>
      </w:r>
      <w:r>
        <w:rPr>
          <w:sz w:val="24"/>
        </w:rPr>
        <w:t>in</w:t>
      </w:r>
      <w:r>
        <w:rPr>
          <w:spacing w:val="40"/>
          <w:sz w:val="24"/>
        </w:rPr>
        <w:t> </w:t>
      </w:r>
      <w:r>
        <w:rPr>
          <w:sz w:val="24"/>
        </w:rPr>
        <w:t>a</w:t>
      </w:r>
      <w:r>
        <w:rPr>
          <w:spacing w:val="40"/>
          <w:sz w:val="24"/>
        </w:rPr>
        <w:t> </w:t>
      </w:r>
      <w:r>
        <w:rPr>
          <w:sz w:val="24"/>
        </w:rPr>
        <w:t>certain</w:t>
      </w:r>
      <w:r>
        <w:rPr>
          <w:spacing w:val="40"/>
          <w:sz w:val="24"/>
        </w:rPr>
        <w:t> </w:t>
      </w:r>
      <w:r>
        <w:rPr>
          <w:sz w:val="24"/>
        </w:rPr>
        <w:t>section</w:t>
      </w:r>
      <w:r>
        <w:rPr>
          <w:spacing w:val="40"/>
          <w:sz w:val="24"/>
        </w:rPr>
        <w:t> </w:t>
      </w:r>
      <w:r>
        <w:rPr>
          <w:sz w:val="24"/>
        </w:rPr>
        <w:t>of people</w:t>
      </w:r>
      <w:r>
        <w:rPr>
          <w:spacing w:val="40"/>
          <w:sz w:val="24"/>
        </w:rPr>
        <w:t> </w:t>
      </w:r>
      <w:r>
        <w:rPr>
          <w:sz w:val="24"/>
        </w:rPr>
        <w:t>have</w:t>
      </w:r>
      <w:r>
        <w:rPr>
          <w:spacing w:val="40"/>
          <w:sz w:val="24"/>
        </w:rPr>
        <w:t> </w:t>
      </w:r>
      <w:r>
        <w:rPr>
          <w:sz w:val="24"/>
        </w:rPr>
        <w:t>a</w:t>
      </w:r>
      <w:r>
        <w:rPr>
          <w:spacing w:val="40"/>
          <w:sz w:val="24"/>
        </w:rPr>
        <w:t> </w:t>
      </w:r>
      <w:r>
        <w:rPr>
          <w:sz w:val="24"/>
        </w:rPr>
        <w:t>right</w:t>
      </w:r>
      <w:r>
        <w:rPr>
          <w:spacing w:val="40"/>
          <w:sz w:val="24"/>
        </w:rPr>
        <w:t> </w:t>
      </w:r>
      <w:r>
        <w:rPr>
          <w:sz w:val="24"/>
        </w:rPr>
        <w:t>of,</w:t>
      </w:r>
      <w:r>
        <w:rPr>
          <w:spacing w:val="40"/>
          <w:sz w:val="24"/>
        </w:rPr>
        <w:t> </w:t>
      </w:r>
      <w:r>
        <w:rPr>
          <w:sz w:val="24"/>
        </w:rPr>
        <w:t>or</w:t>
      </w:r>
      <w:r>
        <w:rPr>
          <w:spacing w:val="40"/>
          <w:sz w:val="24"/>
        </w:rPr>
        <w:t> </w:t>
      </w:r>
      <w:r>
        <w:rPr>
          <w:sz w:val="24"/>
        </w:rPr>
        <w:t>are</w:t>
      </w:r>
      <w:r>
        <w:rPr>
          <w:spacing w:val="40"/>
          <w:sz w:val="24"/>
        </w:rPr>
        <w:t> </w:t>
      </w:r>
      <w:r>
        <w:rPr>
          <w:sz w:val="24"/>
        </w:rPr>
        <w:t>granted,</w:t>
      </w:r>
      <w:r>
        <w:rPr>
          <w:spacing w:val="40"/>
          <w:sz w:val="24"/>
        </w:rPr>
        <w:t> </w:t>
      </w:r>
      <w:r>
        <w:rPr>
          <w:sz w:val="24"/>
        </w:rPr>
        <w:t>residence</w:t>
      </w:r>
      <w:r>
        <w:rPr>
          <w:spacing w:val="40"/>
          <w:sz w:val="24"/>
        </w:rPr>
        <w:t> </w:t>
      </w:r>
      <w:r>
        <w:rPr>
          <w:sz w:val="24"/>
        </w:rPr>
        <w:t>without</w:t>
      </w:r>
      <w:r>
        <w:rPr>
          <w:spacing w:val="40"/>
          <w:sz w:val="24"/>
        </w:rPr>
        <w:t> </w:t>
      </w:r>
      <w:r>
        <w:rPr>
          <w:sz w:val="24"/>
        </w:rPr>
        <w:t>payment</w:t>
      </w:r>
      <w:r>
        <w:rPr>
          <w:spacing w:val="40"/>
          <w:sz w:val="24"/>
        </w:rPr>
        <w:t> </w:t>
      </w:r>
      <w:r>
        <w:rPr>
          <w:sz w:val="24"/>
        </w:rPr>
        <w:t>or on nominal </w:t>
      </w:r>
      <w:r>
        <w:rPr>
          <w:spacing w:val="9"/>
          <w:sz w:val="24"/>
        </w:rPr>
        <w:t>payment.</w:t>
      </w:r>
    </w:p>
    <w:p>
      <w:pPr>
        <w:pStyle w:val="ListParagraph"/>
        <w:numPr>
          <w:ilvl w:val="0"/>
          <w:numId w:val="6"/>
        </w:numPr>
        <w:tabs>
          <w:tab w:pos="1762" w:val="left" w:leader="none"/>
          <w:tab w:pos="1766" w:val="left" w:leader="none"/>
        </w:tabs>
        <w:spacing w:line="240" w:lineRule="auto" w:before="281" w:after="0"/>
        <w:ind w:left="1766" w:right="771" w:hanging="711"/>
        <w:jc w:val="both"/>
        <w:rPr>
          <w:sz w:val="24"/>
        </w:rPr>
      </w:pPr>
      <w:r>
        <w:rPr>
          <w:sz w:val="24"/>
        </w:rPr>
        <w:t>"Drain" means a system or a line of pipes, with their fittings and accessories</w:t>
      </w:r>
      <w:r>
        <w:rPr>
          <w:spacing w:val="40"/>
          <w:sz w:val="24"/>
        </w:rPr>
        <w:t> </w:t>
      </w:r>
      <w:r>
        <w:rPr>
          <w:sz w:val="24"/>
        </w:rPr>
        <w:t>such</w:t>
      </w:r>
      <w:r>
        <w:rPr>
          <w:spacing w:val="40"/>
          <w:sz w:val="24"/>
        </w:rPr>
        <w:t> </w:t>
      </w:r>
      <w:r>
        <w:rPr>
          <w:sz w:val="24"/>
        </w:rPr>
        <w:t>as</w:t>
      </w:r>
      <w:r>
        <w:rPr>
          <w:spacing w:val="40"/>
          <w:sz w:val="24"/>
        </w:rPr>
        <w:t> </w:t>
      </w:r>
      <w:r>
        <w:rPr>
          <w:sz w:val="24"/>
        </w:rPr>
        <w:t>manholes,</w:t>
      </w:r>
      <w:r>
        <w:rPr>
          <w:spacing w:val="40"/>
          <w:sz w:val="24"/>
        </w:rPr>
        <w:t> </w:t>
      </w:r>
      <w:r>
        <w:rPr>
          <w:sz w:val="24"/>
        </w:rPr>
        <w:t>inspection</w:t>
      </w:r>
      <w:r>
        <w:rPr>
          <w:spacing w:val="40"/>
          <w:sz w:val="24"/>
        </w:rPr>
        <w:t> </w:t>
      </w:r>
      <w:r>
        <w:rPr>
          <w:sz w:val="24"/>
        </w:rPr>
        <w:t>chambers,</w:t>
      </w:r>
      <w:r>
        <w:rPr>
          <w:spacing w:val="40"/>
          <w:sz w:val="24"/>
        </w:rPr>
        <w:t> </w:t>
      </w:r>
      <w:r>
        <w:rPr>
          <w:sz w:val="24"/>
        </w:rPr>
        <w:t>traps,</w:t>
      </w:r>
      <w:r>
        <w:rPr>
          <w:spacing w:val="40"/>
          <w:sz w:val="24"/>
        </w:rPr>
        <w:t> </w:t>
      </w:r>
      <w:r>
        <w:rPr>
          <w:sz w:val="24"/>
        </w:rPr>
        <w:t>and</w:t>
      </w:r>
      <w:r>
        <w:rPr>
          <w:spacing w:val="40"/>
          <w:sz w:val="24"/>
        </w:rPr>
        <w:t> </w:t>
      </w:r>
      <w:r>
        <w:rPr>
          <w:sz w:val="24"/>
        </w:rPr>
        <w:t>gullies,</w:t>
      </w:r>
      <w:r>
        <w:rPr>
          <w:spacing w:val="40"/>
          <w:sz w:val="24"/>
        </w:rPr>
        <w:t> </w:t>
      </w:r>
      <w:r>
        <w:rPr>
          <w:sz w:val="24"/>
        </w:rPr>
        <w:t>floor</w:t>
      </w:r>
      <w:r>
        <w:rPr>
          <w:spacing w:val="40"/>
          <w:sz w:val="24"/>
        </w:rPr>
        <w:t> </w:t>
      </w:r>
      <w:r>
        <w:rPr>
          <w:sz w:val="24"/>
        </w:rPr>
        <w:t>traps</w:t>
      </w:r>
      <w:r>
        <w:rPr>
          <w:spacing w:val="40"/>
          <w:sz w:val="24"/>
        </w:rPr>
        <w:t> </w:t>
      </w:r>
      <w:r>
        <w:rPr>
          <w:sz w:val="24"/>
        </w:rPr>
        <w:t>used</w:t>
      </w:r>
      <w:r>
        <w:rPr>
          <w:spacing w:val="40"/>
          <w:sz w:val="24"/>
        </w:rPr>
        <w:t> </w:t>
      </w:r>
      <w:r>
        <w:rPr>
          <w:sz w:val="24"/>
        </w:rPr>
        <w:t>for</w:t>
      </w:r>
      <w:r>
        <w:rPr>
          <w:spacing w:val="40"/>
          <w:sz w:val="24"/>
        </w:rPr>
        <w:t> </w:t>
      </w:r>
      <w:r>
        <w:rPr>
          <w:sz w:val="24"/>
        </w:rPr>
        <w:t>drainage</w:t>
      </w:r>
      <w:r>
        <w:rPr>
          <w:spacing w:val="40"/>
          <w:sz w:val="24"/>
        </w:rPr>
        <w:t> </w:t>
      </w:r>
      <w:r>
        <w:rPr>
          <w:sz w:val="24"/>
        </w:rPr>
        <w:t>of</w:t>
      </w:r>
      <w:r>
        <w:rPr>
          <w:spacing w:val="40"/>
          <w:sz w:val="24"/>
        </w:rPr>
        <w:t> </w:t>
      </w:r>
      <w:r>
        <w:rPr>
          <w:sz w:val="24"/>
        </w:rPr>
        <w:t>buildings</w:t>
      </w:r>
      <w:r>
        <w:rPr>
          <w:spacing w:val="40"/>
          <w:sz w:val="24"/>
        </w:rPr>
        <w:t> </w:t>
      </w:r>
      <w:r>
        <w:rPr>
          <w:sz w:val="24"/>
        </w:rPr>
        <w:t>or</w:t>
      </w:r>
      <w:r>
        <w:rPr>
          <w:spacing w:val="40"/>
          <w:sz w:val="24"/>
        </w:rPr>
        <w:t> </w:t>
      </w:r>
      <w:r>
        <w:rPr>
          <w:spacing w:val="11"/>
          <w:sz w:val="24"/>
        </w:rPr>
        <w:t>yards </w:t>
      </w:r>
      <w:r>
        <w:rPr>
          <w:sz w:val="24"/>
        </w:rPr>
        <w:t>appurtenant to the buildings within the same curtilage.</w:t>
      </w:r>
      <w:r>
        <w:rPr>
          <w:spacing w:val="80"/>
          <w:sz w:val="24"/>
        </w:rPr>
        <w:t> </w:t>
      </w:r>
      <w:r>
        <w:rPr>
          <w:sz w:val="24"/>
        </w:rPr>
        <w:t>A </w:t>
      </w:r>
      <w:r>
        <w:rPr>
          <w:spacing w:val="9"/>
          <w:sz w:val="24"/>
        </w:rPr>
        <w:t>drain</w:t>
      </w:r>
      <w:r>
        <w:rPr>
          <w:spacing w:val="40"/>
          <w:sz w:val="24"/>
        </w:rPr>
        <w:t> </w:t>
      </w:r>
      <w:r>
        <w:rPr>
          <w:sz w:val="24"/>
        </w:rPr>
        <w:t>includes</w:t>
      </w:r>
      <w:r>
        <w:rPr>
          <w:spacing w:val="80"/>
          <w:sz w:val="24"/>
        </w:rPr>
        <w:t> </w:t>
      </w:r>
      <w:r>
        <w:rPr>
          <w:sz w:val="24"/>
        </w:rPr>
        <w:t>an</w:t>
      </w:r>
      <w:r>
        <w:rPr>
          <w:spacing w:val="80"/>
          <w:sz w:val="24"/>
        </w:rPr>
        <w:t> </w:t>
      </w:r>
      <w:r>
        <w:rPr>
          <w:sz w:val="24"/>
        </w:rPr>
        <w:t>open</w:t>
      </w:r>
      <w:r>
        <w:rPr>
          <w:spacing w:val="80"/>
          <w:sz w:val="24"/>
        </w:rPr>
        <w:t> </w:t>
      </w:r>
      <w:r>
        <w:rPr>
          <w:sz w:val="24"/>
        </w:rPr>
        <w:t>channel</w:t>
      </w:r>
      <w:r>
        <w:rPr>
          <w:spacing w:val="80"/>
          <w:sz w:val="24"/>
        </w:rPr>
        <w:t> </w:t>
      </w:r>
      <w:r>
        <w:rPr>
          <w:sz w:val="24"/>
        </w:rPr>
        <w:t>for</w:t>
      </w:r>
      <w:r>
        <w:rPr>
          <w:spacing w:val="80"/>
          <w:sz w:val="24"/>
        </w:rPr>
        <w:t> </w:t>
      </w:r>
      <w:r>
        <w:rPr>
          <w:sz w:val="24"/>
        </w:rPr>
        <w:t>conveying</w:t>
      </w:r>
      <w:r>
        <w:rPr>
          <w:spacing w:val="79"/>
          <w:sz w:val="24"/>
        </w:rPr>
        <w:t> </w:t>
      </w:r>
      <w:r>
        <w:rPr>
          <w:sz w:val="24"/>
        </w:rPr>
        <w:t>surface</w:t>
      </w:r>
      <w:r>
        <w:rPr>
          <w:spacing w:val="80"/>
          <w:sz w:val="24"/>
        </w:rPr>
        <w:t> </w:t>
      </w:r>
      <w:r>
        <w:rPr>
          <w:sz w:val="24"/>
        </w:rPr>
        <w:t>water</w:t>
      </w:r>
      <w:r>
        <w:rPr>
          <w:spacing w:val="80"/>
          <w:sz w:val="24"/>
        </w:rPr>
        <w:t> </w:t>
      </w:r>
      <w:r>
        <w:rPr>
          <w:sz w:val="24"/>
        </w:rPr>
        <w:t>or</w:t>
      </w:r>
      <w:r>
        <w:rPr>
          <w:spacing w:val="79"/>
          <w:sz w:val="24"/>
        </w:rPr>
        <w:t> </w:t>
      </w:r>
      <w:r>
        <w:rPr>
          <w:sz w:val="24"/>
        </w:rPr>
        <w:t>a</w:t>
      </w:r>
      <w:r>
        <w:rPr>
          <w:spacing w:val="79"/>
          <w:sz w:val="24"/>
        </w:rPr>
        <w:t> </w:t>
      </w:r>
      <w:r>
        <w:rPr>
          <w:spacing w:val="9"/>
          <w:sz w:val="24"/>
        </w:rPr>
        <w:t>system </w:t>
      </w:r>
      <w:r>
        <w:rPr>
          <w:sz w:val="24"/>
        </w:rPr>
        <w:t>for</w:t>
      </w:r>
      <w:r>
        <w:rPr>
          <w:spacing w:val="40"/>
          <w:sz w:val="24"/>
        </w:rPr>
        <w:t> </w:t>
      </w:r>
      <w:r>
        <w:rPr>
          <w:sz w:val="24"/>
        </w:rPr>
        <w:t>the</w:t>
      </w:r>
      <w:r>
        <w:rPr>
          <w:spacing w:val="40"/>
          <w:sz w:val="24"/>
        </w:rPr>
        <w:t> </w:t>
      </w:r>
      <w:r>
        <w:rPr>
          <w:sz w:val="24"/>
        </w:rPr>
        <w:t>removal</w:t>
      </w:r>
      <w:r>
        <w:rPr>
          <w:spacing w:val="40"/>
          <w:sz w:val="24"/>
        </w:rPr>
        <w:t> </w:t>
      </w:r>
      <w:r>
        <w:rPr>
          <w:sz w:val="24"/>
        </w:rPr>
        <w:t>of</w:t>
      </w:r>
      <w:r>
        <w:rPr>
          <w:spacing w:val="40"/>
          <w:sz w:val="24"/>
        </w:rPr>
        <w:t> </w:t>
      </w:r>
      <w:r>
        <w:rPr>
          <w:sz w:val="24"/>
        </w:rPr>
        <w:t>any</w:t>
      </w:r>
      <w:r>
        <w:rPr>
          <w:spacing w:val="9"/>
          <w:sz w:val="24"/>
        </w:rPr>
        <w:t> liquid.</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93" w:hanging="711"/>
        <w:jc w:val="both"/>
        <w:rPr>
          <w:sz w:val="24"/>
        </w:rPr>
      </w:pPr>
      <w:r>
        <w:rPr>
          <w:sz w:val="24"/>
        </w:rPr>
        <w:t>“Dwelling Unit/Tenement” means an independent housing unit with separate</w:t>
      </w:r>
      <w:r>
        <w:rPr>
          <w:spacing w:val="40"/>
          <w:sz w:val="24"/>
        </w:rPr>
        <w:t> </w:t>
      </w:r>
      <w:r>
        <w:rPr>
          <w:sz w:val="24"/>
        </w:rPr>
        <w:t>facilities</w:t>
      </w:r>
      <w:r>
        <w:rPr>
          <w:spacing w:val="40"/>
          <w:sz w:val="24"/>
        </w:rPr>
        <w:t> </w:t>
      </w:r>
      <w:r>
        <w:rPr>
          <w:sz w:val="24"/>
        </w:rPr>
        <w:t>for</w:t>
      </w:r>
      <w:r>
        <w:rPr>
          <w:spacing w:val="40"/>
          <w:sz w:val="24"/>
        </w:rPr>
        <w:t> </w:t>
      </w:r>
      <w:r>
        <w:rPr>
          <w:sz w:val="24"/>
        </w:rPr>
        <w:t>living,</w:t>
      </w:r>
      <w:r>
        <w:rPr>
          <w:spacing w:val="40"/>
          <w:sz w:val="24"/>
        </w:rPr>
        <w:t> </w:t>
      </w:r>
      <w:r>
        <w:rPr>
          <w:sz w:val="24"/>
        </w:rPr>
        <w:t>cooking</w:t>
      </w:r>
      <w:r>
        <w:rPr>
          <w:spacing w:val="40"/>
          <w:sz w:val="24"/>
        </w:rPr>
        <w:t> </w:t>
      </w:r>
      <w:r>
        <w:rPr>
          <w:sz w:val="24"/>
        </w:rPr>
        <w:t>and</w:t>
      </w:r>
      <w:r>
        <w:rPr>
          <w:spacing w:val="40"/>
          <w:sz w:val="24"/>
        </w:rPr>
        <w:t> </w:t>
      </w:r>
      <w:r>
        <w:rPr>
          <w:spacing w:val="9"/>
          <w:sz w:val="24"/>
        </w:rPr>
        <w:t>sanitation.</w:t>
      </w:r>
    </w:p>
    <w:p>
      <w:pPr>
        <w:pStyle w:val="BodyText"/>
        <w:jc w:val="left"/>
      </w:pPr>
    </w:p>
    <w:p>
      <w:pPr>
        <w:pStyle w:val="ListParagraph"/>
        <w:numPr>
          <w:ilvl w:val="0"/>
          <w:numId w:val="6"/>
        </w:numPr>
        <w:tabs>
          <w:tab w:pos="1701" w:val="left" w:leader="none"/>
          <w:tab w:pos="1764" w:val="left" w:leader="none"/>
        </w:tabs>
        <w:spacing w:line="240" w:lineRule="auto" w:before="0" w:after="0"/>
        <w:ind w:left="1764" w:right="786" w:hanging="711"/>
        <w:jc w:val="both"/>
        <w:rPr>
          <w:sz w:val="24"/>
        </w:rPr>
      </w:pPr>
      <w:r>
        <w:rPr>
          <w:sz w:val="24"/>
        </w:rPr>
        <w:t>“Eating</w:t>
      </w:r>
      <w:r>
        <w:rPr>
          <w:spacing w:val="40"/>
          <w:sz w:val="24"/>
        </w:rPr>
        <w:t> </w:t>
      </w:r>
      <w:r>
        <w:rPr>
          <w:sz w:val="24"/>
        </w:rPr>
        <w:t>House”</w:t>
      </w:r>
      <w:r>
        <w:rPr>
          <w:spacing w:val="40"/>
          <w:sz w:val="24"/>
        </w:rPr>
        <w:t> </w:t>
      </w:r>
      <w:r>
        <w:rPr>
          <w:sz w:val="24"/>
        </w:rPr>
        <w:t>means</w:t>
      </w:r>
      <w:r>
        <w:rPr>
          <w:spacing w:val="40"/>
          <w:sz w:val="24"/>
        </w:rPr>
        <w:t> </w:t>
      </w:r>
      <w:r>
        <w:rPr>
          <w:sz w:val="24"/>
        </w:rPr>
        <w:t>any</w:t>
      </w:r>
      <w:r>
        <w:rPr>
          <w:spacing w:val="40"/>
          <w:sz w:val="24"/>
        </w:rPr>
        <w:t> </w:t>
      </w:r>
      <w:r>
        <w:rPr>
          <w:sz w:val="24"/>
        </w:rPr>
        <w:t>premises</w:t>
      </w:r>
      <w:r>
        <w:rPr>
          <w:spacing w:val="40"/>
          <w:sz w:val="24"/>
        </w:rPr>
        <w:t> </w:t>
      </w:r>
      <w:r>
        <w:rPr>
          <w:sz w:val="24"/>
        </w:rPr>
        <w:t>where</w:t>
      </w:r>
      <w:r>
        <w:rPr>
          <w:spacing w:val="40"/>
          <w:sz w:val="24"/>
        </w:rPr>
        <w:t> </w:t>
      </w:r>
      <w:r>
        <w:rPr>
          <w:sz w:val="24"/>
        </w:rPr>
        <w:t>any</w:t>
      </w:r>
      <w:r>
        <w:rPr>
          <w:spacing w:val="40"/>
          <w:sz w:val="24"/>
        </w:rPr>
        <w:t> </w:t>
      </w:r>
      <w:r>
        <w:rPr>
          <w:sz w:val="24"/>
        </w:rPr>
        <w:t>kind</w:t>
      </w:r>
      <w:r>
        <w:rPr>
          <w:spacing w:val="40"/>
          <w:sz w:val="24"/>
        </w:rPr>
        <w:t> </w:t>
      </w:r>
      <w:r>
        <w:rPr>
          <w:sz w:val="24"/>
        </w:rPr>
        <w:t>of</w:t>
      </w:r>
      <w:r>
        <w:rPr>
          <w:spacing w:val="40"/>
          <w:sz w:val="24"/>
        </w:rPr>
        <w:t> </w:t>
      </w:r>
      <w:r>
        <w:rPr>
          <w:sz w:val="24"/>
        </w:rPr>
        <w:t>food</w:t>
      </w:r>
      <w:r>
        <w:rPr>
          <w:spacing w:val="40"/>
          <w:sz w:val="24"/>
        </w:rPr>
        <w:t> </w:t>
      </w:r>
      <w:r>
        <w:rPr>
          <w:sz w:val="24"/>
        </w:rPr>
        <w:t>is prepared</w:t>
      </w:r>
      <w:r>
        <w:rPr>
          <w:spacing w:val="40"/>
          <w:sz w:val="24"/>
        </w:rPr>
        <w:t> </w:t>
      </w:r>
      <w:r>
        <w:rPr>
          <w:sz w:val="24"/>
        </w:rPr>
        <w:t>or</w:t>
      </w:r>
      <w:r>
        <w:rPr>
          <w:spacing w:val="40"/>
          <w:sz w:val="24"/>
        </w:rPr>
        <w:t> </w:t>
      </w:r>
      <w:r>
        <w:rPr>
          <w:sz w:val="24"/>
        </w:rPr>
        <w:t>supplied</w:t>
      </w:r>
      <w:r>
        <w:rPr>
          <w:spacing w:val="40"/>
          <w:sz w:val="24"/>
        </w:rPr>
        <w:t> </w:t>
      </w:r>
      <w:r>
        <w:rPr>
          <w:sz w:val="24"/>
        </w:rPr>
        <w:t>for</w:t>
      </w:r>
      <w:r>
        <w:rPr>
          <w:spacing w:val="40"/>
          <w:sz w:val="24"/>
        </w:rPr>
        <w:t> </w:t>
      </w:r>
      <w:r>
        <w:rPr>
          <w:sz w:val="24"/>
        </w:rPr>
        <w:t>consumption</w:t>
      </w:r>
      <w:r>
        <w:rPr>
          <w:spacing w:val="40"/>
          <w:sz w:val="24"/>
        </w:rPr>
        <w:t> </w:t>
      </w:r>
      <w:r>
        <w:rPr>
          <w:sz w:val="24"/>
        </w:rPr>
        <w:t>of</w:t>
      </w:r>
      <w:r>
        <w:rPr>
          <w:spacing w:val="40"/>
          <w:sz w:val="24"/>
        </w:rPr>
        <w:t> </w:t>
      </w:r>
      <w:r>
        <w:rPr>
          <w:sz w:val="24"/>
        </w:rPr>
        <w:t>public</w:t>
      </w:r>
      <w:r>
        <w:rPr>
          <w:spacing w:val="40"/>
          <w:sz w:val="24"/>
        </w:rPr>
        <w:t> </w:t>
      </w:r>
      <w:r>
        <w:rPr>
          <w:sz w:val="24"/>
        </w:rPr>
        <w:t>for</w:t>
      </w:r>
      <w:r>
        <w:rPr>
          <w:spacing w:val="40"/>
          <w:sz w:val="24"/>
        </w:rPr>
        <w:t> </w:t>
      </w:r>
      <w:r>
        <w:rPr>
          <w:sz w:val="24"/>
        </w:rPr>
        <w:t>the</w:t>
      </w:r>
      <w:r>
        <w:rPr>
          <w:spacing w:val="40"/>
          <w:sz w:val="24"/>
        </w:rPr>
        <w:t> </w:t>
      </w:r>
      <w:r>
        <w:rPr>
          <w:sz w:val="24"/>
        </w:rPr>
        <w:t>profit</w:t>
      </w:r>
      <w:r>
        <w:rPr>
          <w:spacing w:val="40"/>
          <w:sz w:val="24"/>
        </w:rPr>
        <w:t> </w:t>
      </w:r>
      <w:r>
        <w:rPr>
          <w:sz w:val="24"/>
        </w:rPr>
        <w:t>or</w:t>
      </w:r>
      <w:r>
        <w:rPr>
          <w:spacing w:val="40"/>
          <w:sz w:val="24"/>
        </w:rPr>
        <w:t> </w:t>
      </w:r>
      <w:r>
        <w:rPr>
          <w:sz w:val="24"/>
        </w:rPr>
        <w:t>gain of any person owning or having an interest in or managing such </w:t>
      </w:r>
      <w:r>
        <w:rPr>
          <w:spacing w:val="-2"/>
          <w:sz w:val="24"/>
        </w:rPr>
        <w:t>premises.</w:t>
      </w:r>
    </w:p>
    <w:p>
      <w:pPr>
        <w:pStyle w:val="ListParagraph"/>
        <w:spacing w:after="0" w:line="240" w:lineRule="auto"/>
        <w:jc w:val="both"/>
        <w:rPr>
          <w:sz w:val="24"/>
        </w:rPr>
        <w:sectPr>
          <w:pgSz w:w="11910" w:h="16840"/>
          <w:pgMar w:header="1058" w:footer="1357" w:top="1500" w:bottom="1540" w:left="360" w:right="360"/>
        </w:sectPr>
      </w:pPr>
    </w:p>
    <w:p>
      <w:pPr>
        <w:pStyle w:val="ListParagraph"/>
        <w:numPr>
          <w:ilvl w:val="0"/>
          <w:numId w:val="6"/>
        </w:numPr>
        <w:tabs>
          <w:tab w:pos="1762" w:val="left" w:leader="none"/>
          <w:tab w:pos="1766" w:val="left" w:leader="none"/>
        </w:tabs>
        <w:spacing w:line="240" w:lineRule="auto" w:before="255" w:after="0"/>
        <w:ind w:left="1766" w:right="776" w:hanging="711"/>
        <w:jc w:val="both"/>
        <w:rPr>
          <w:sz w:val="24"/>
        </w:rPr>
      </w:pPr>
      <w:r>
        <w:rPr>
          <w:sz w:val="24"/>
        </w:rPr>
        <w:t>"Enclosed</w:t>
      </w:r>
      <w:r>
        <w:rPr>
          <w:spacing w:val="40"/>
          <w:sz w:val="24"/>
        </w:rPr>
        <w:t> </w:t>
      </w:r>
      <w:r>
        <w:rPr>
          <w:sz w:val="24"/>
        </w:rPr>
        <w:t>staircase"</w:t>
      </w:r>
      <w:r>
        <w:rPr>
          <w:spacing w:val="40"/>
          <w:sz w:val="24"/>
        </w:rPr>
        <w:t> </w:t>
      </w:r>
      <w:r>
        <w:rPr>
          <w:sz w:val="24"/>
        </w:rPr>
        <w:t>means</w:t>
      </w:r>
      <w:r>
        <w:rPr>
          <w:spacing w:val="40"/>
          <w:sz w:val="24"/>
        </w:rPr>
        <w:t> </w:t>
      </w:r>
      <w:r>
        <w:rPr>
          <w:sz w:val="24"/>
        </w:rPr>
        <w:t>a</w:t>
      </w:r>
      <w:r>
        <w:rPr>
          <w:spacing w:val="40"/>
          <w:sz w:val="24"/>
        </w:rPr>
        <w:t> </w:t>
      </w:r>
      <w:r>
        <w:rPr>
          <w:sz w:val="24"/>
        </w:rPr>
        <w:t>staircase</w:t>
      </w:r>
      <w:r>
        <w:rPr>
          <w:spacing w:val="40"/>
          <w:sz w:val="24"/>
        </w:rPr>
        <w:t> </w:t>
      </w:r>
      <w:r>
        <w:rPr>
          <w:sz w:val="24"/>
        </w:rPr>
        <w:t>separated</w:t>
      </w:r>
      <w:r>
        <w:rPr>
          <w:spacing w:val="40"/>
          <w:sz w:val="24"/>
        </w:rPr>
        <w:t> </w:t>
      </w:r>
      <w:r>
        <w:rPr>
          <w:sz w:val="24"/>
        </w:rPr>
        <w:t>by</w:t>
      </w:r>
      <w:r>
        <w:rPr>
          <w:spacing w:val="40"/>
          <w:sz w:val="24"/>
        </w:rPr>
        <w:t> </w:t>
      </w:r>
      <w:r>
        <w:rPr>
          <w:sz w:val="24"/>
        </w:rPr>
        <w:t>fire</w:t>
      </w:r>
      <w:r>
        <w:rPr>
          <w:spacing w:val="40"/>
          <w:sz w:val="24"/>
        </w:rPr>
        <w:t> </w:t>
      </w:r>
      <w:r>
        <w:rPr>
          <w:spacing w:val="9"/>
          <w:sz w:val="24"/>
        </w:rPr>
        <w:t>resistant </w:t>
      </w:r>
      <w:r>
        <w:rPr>
          <w:sz w:val="24"/>
        </w:rPr>
        <w:t>walls</w:t>
      </w:r>
      <w:r>
        <w:rPr>
          <w:spacing w:val="40"/>
          <w:sz w:val="24"/>
        </w:rPr>
        <w:t> </w:t>
      </w:r>
      <w:r>
        <w:rPr>
          <w:sz w:val="24"/>
        </w:rPr>
        <w:t>and</w:t>
      </w:r>
      <w:r>
        <w:rPr>
          <w:spacing w:val="40"/>
          <w:sz w:val="24"/>
        </w:rPr>
        <w:t> </w:t>
      </w:r>
      <w:r>
        <w:rPr>
          <w:sz w:val="24"/>
        </w:rPr>
        <w:t>door</w:t>
      </w:r>
      <w:r>
        <w:rPr>
          <w:spacing w:val="40"/>
          <w:sz w:val="24"/>
        </w:rPr>
        <w:t> </w:t>
      </w:r>
      <w:r>
        <w:rPr>
          <w:sz w:val="24"/>
        </w:rPr>
        <w:t>from</w:t>
      </w:r>
      <w:r>
        <w:rPr>
          <w:spacing w:val="40"/>
          <w:sz w:val="24"/>
        </w:rPr>
        <w:t> </w:t>
      </w:r>
      <w:r>
        <w:rPr>
          <w:sz w:val="24"/>
        </w:rPr>
        <w:t>the</w:t>
      </w:r>
      <w:r>
        <w:rPr>
          <w:spacing w:val="40"/>
          <w:sz w:val="24"/>
        </w:rPr>
        <w:t> </w:t>
      </w:r>
      <w:r>
        <w:rPr>
          <w:sz w:val="24"/>
        </w:rPr>
        <w:t>rest</w:t>
      </w:r>
      <w:r>
        <w:rPr>
          <w:spacing w:val="40"/>
          <w:sz w:val="24"/>
        </w:rPr>
        <w:t> </w:t>
      </w:r>
      <w:r>
        <w:rPr>
          <w:sz w:val="24"/>
        </w:rPr>
        <w:t>of</w:t>
      </w:r>
      <w:r>
        <w:rPr>
          <w:spacing w:val="40"/>
          <w:sz w:val="24"/>
        </w:rPr>
        <w:t> </w:t>
      </w:r>
      <w:r>
        <w:rPr>
          <w:sz w:val="24"/>
        </w:rPr>
        <w:t>the</w:t>
      </w:r>
      <w:r>
        <w:rPr>
          <w:spacing w:val="40"/>
          <w:sz w:val="24"/>
        </w:rPr>
        <w:t> </w:t>
      </w:r>
      <w:r>
        <w:rPr>
          <w:spacing w:val="9"/>
          <w:sz w:val="24"/>
        </w:rPr>
        <w:t>building.</w:t>
      </w:r>
    </w:p>
    <w:p>
      <w:pPr>
        <w:pStyle w:val="BodyText"/>
        <w:spacing w:before="2"/>
        <w:jc w:val="left"/>
      </w:pPr>
    </w:p>
    <w:p>
      <w:pPr>
        <w:pStyle w:val="ListParagraph"/>
        <w:numPr>
          <w:ilvl w:val="0"/>
          <w:numId w:val="6"/>
        </w:numPr>
        <w:tabs>
          <w:tab w:pos="1593" w:val="left" w:leader="none"/>
        </w:tabs>
        <w:spacing w:line="281" w:lineRule="exact" w:before="0" w:after="0"/>
        <w:ind w:left="1593" w:right="0" w:hanging="549"/>
        <w:jc w:val="left"/>
        <w:rPr>
          <w:sz w:val="24"/>
        </w:rPr>
      </w:pPr>
      <w:r>
        <w:rPr>
          <w:sz w:val="24"/>
        </w:rPr>
        <w:t>“Energy</w:t>
      </w:r>
      <w:r>
        <w:rPr>
          <w:spacing w:val="61"/>
          <w:sz w:val="24"/>
        </w:rPr>
        <w:t> </w:t>
      </w:r>
      <w:r>
        <w:rPr>
          <w:sz w:val="24"/>
        </w:rPr>
        <w:t>Efficient</w:t>
      </w:r>
      <w:r>
        <w:rPr>
          <w:spacing w:val="61"/>
          <w:sz w:val="24"/>
        </w:rPr>
        <w:t> </w:t>
      </w:r>
      <w:r>
        <w:rPr>
          <w:sz w:val="24"/>
        </w:rPr>
        <w:t>Building”</w:t>
      </w:r>
      <w:r>
        <w:rPr>
          <w:spacing w:val="61"/>
          <w:sz w:val="24"/>
        </w:rPr>
        <w:t> </w:t>
      </w:r>
      <w:r>
        <w:rPr>
          <w:sz w:val="24"/>
        </w:rPr>
        <w:t>means</w:t>
      </w:r>
      <w:r>
        <w:rPr>
          <w:spacing w:val="66"/>
          <w:sz w:val="24"/>
        </w:rPr>
        <w:t> </w:t>
      </w:r>
      <w:r>
        <w:rPr>
          <w:sz w:val="24"/>
        </w:rPr>
        <w:t>the</w:t>
      </w:r>
      <w:r>
        <w:rPr>
          <w:spacing w:val="61"/>
          <w:sz w:val="24"/>
        </w:rPr>
        <w:t> </w:t>
      </w:r>
      <w:r>
        <w:rPr>
          <w:sz w:val="24"/>
        </w:rPr>
        <w:t>building</w:t>
      </w:r>
      <w:r>
        <w:rPr>
          <w:spacing w:val="61"/>
          <w:sz w:val="24"/>
        </w:rPr>
        <w:t> </w:t>
      </w:r>
      <w:r>
        <w:rPr>
          <w:sz w:val="24"/>
        </w:rPr>
        <w:t>(having</w:t>
      </w:r>
      <w:r>
        <w:rPr>
          <w:spacing w:val="61"/>
          <w:sz w:val="24"/>
        </w:rPr>
        <w:t> </w:t>
      </w:r>
      <w:r>
        <w:rPr>
          <w:sz w:val="24"/>
        </w:rPr>
        <w:t>connected</w:t>
      </w:r>
      <w:r>
        <w:rPr>
          <w:spacing w:val="62"/>
          <w:sz w:val="24"/>
        </w:rPr>
        <w:t> </w:t>
      </w:r>
      <w:r>
        <w:rPr>
          <w:spacing w:val="-4"/>
          <w:sz w:val="24"/>
        </w:rPr>
        <w:t>load</w:t>
      </w:r>
    </w:p>
    <w:p>
      <w:pPr>
        <w:pStyle w:val="BodyText"/>
        <w:ind w:left="1766" w:right="797"/>
      </w:pPr>
      <w:r>
        <w:rPr/>
        <w:t>100</w:t>
      </w:r>
      <w:r>
        <w:rPr>
          <w:spacing w:val="40"/>
        </w:rPr>
        <w:t> </w:t>
      </w:r>
      <w:r>
        <w:rPr/>
        <w:t>KW</w:t>
      </w:r>
      <w:r>
        <w:rPr>
          <w:spacing w:val="40"/>
        </w:rPr>
        <w:t> </w:t>
      </w:r>
      <w:r>
        <w:rPr/>
        <w:t>or</w:t>
      </w:r>
      <w:r>
        <w:rPr>
          <w:spacing w:val="40"/>
        </w:rPr>
        <w:t> </w:t>
      </w:r>
      <w:r>
        <w:rPr/>
        <w:t>greater</w:t>
      </w:r>
      <w:r>
        <w:rPr>
          <w:spacing w:val="40"/>
        </w:rPr>
        <w:t> </w:t>
      </w:r>
      <w:r>
        <w:rPr/>
        <w:t>and</w:t>
      </w:r>
      <w:r>
        <w:rPr>
          <w:spacing w:val="40"/>
        </w:rPr>
        <w:t> </w:t>
      </w:r>
      <w:r>
        <w:rPr/>
        <w:t>having</w:t>
      </w:r>
      <w:r>
        <w:rPr>
          <w:spacing w:val="40"/>
        </w:rPr>
        <w:t> </w:t>
      </w:r>
      <w:r>
        <w:rPr/>
        <w:t>conditioned</w:t>
      </w:r>
      <w:r>
        <w:rPr>
          <w:spacing w:val="40"/>
        </w:rPr>
        <w:t> </w:t>
      </w:r>
      <w:r>
        <w:rPr/>
        <w:t>area</w:t>
      </w:r>
      <w:r>
        <w:rPr>
          <w:spacing w:val="40"/>
        </w:rPr>
        <w:t> </w:t>
      </w:r>
      <w:r>
        <w:rPr/>
        <w:t>of</w:t>
      </w:r>
      <w:r>
        <w:rPr>
          <w:spacing w:val="40"/>
        </w:rPr>
        <w:t> </w:t>
      </w:r>
      <w:r>
        <w:rPr/>
        <w:t>1000</w:t>
      </w:r>
      <w:r>
        <w:rPr>
          <w:spacing w:val="40"/>
        </w:rPr>
        <w:t> </w:t>
      </w:r>
      <w:r>
        <w:rPr/>
        <w:t>sq.</w:t>
      </w:r>
      <w:r>
        <w:rPr>
          <w:spacing w:val="40"/>
        </w:rPr>
        <w:t> </w:t>
      </w:r>
      <w:r>
        <w:rPr/>
        <w:t>m</w:t>
      </w:r>
      <w:r>
        <w:rPr>
          <w:spacing w:val="40"/>
        </w:rPr>
        <w:t> </w:t>
      </w:r>
      <w:r>
        <w:rPr/>
        <w:t>or more)</w:t>
      </w:r>
      <w:r>
        <w:rPr>
          <w:spacing w:val="40"/>
        </w:rPr>
        <w:t> </w:t>
      </w:r>
      <w:r>
        <w:rPr/>
        <w:t>compliant</w:t>
      </w:r>
      <w:r>
        <w:rPr>
          <w:spacing w:val="40"/>
        </w:rPr>
        <w:t> </w:t>
      </w:r>
      <w:r>
        <w:rPr/>
        <w:t>with</w:t>
      </w:r>
      <w:r>
        <w:rPr>
          <w:spacing w:val="40"/>
        </w:rPr>
        <w:t> </w:t>
      </w:r>
      <w:r>
        <w:rPr/>
        <w:t>the</w:t>
      </w:r>
      <w:r>
        <w:rPr>
          <w:spacing w:val="40"/>
        </w:rPr>
        <w:t> </w:t>
      </w:r>
      <w:r>
        <w:rPr/>
        <w:t>provisions</w:t>
      </w:r>
      <w:r>
        <w:rPr>
          <w:spacing w:val="40"/>
        </w:rPr>
        <w:t> </w:t>
      </w:r>
      <w:r>
        <w:rPr/>
        <w:t>of</w:t>
      </w:r>
      <w:r>
        <w:rPr>
          <w:spacing w:val="40"/>
        </w:rPr>
        <w:t> </w:t>
      </w:r>
      <w:r>
        <w:rPr/>
        <w:t>ECBC</w:t>
      </w:r>
      <w:r>
        <w:rPr>
          <w:spacing w:val="40"/>
        </w:rPr>
        <w:t> </w:t>
      </w:r>
      <w:r>
        <w:rPr/>
        <w:t>code.</w:t>
      </w:r>
    </w:p>
    <w:p>
      <w:pPr>
        <w:pStyle w:val="ListParagraph"/>
        <w:numPr>
          <w:ilvl w:val="0"/>
          <w:numId w:val="6"/>
        </w:numPr>
        <w:tabs>
          <w:tab w:pos="1762" w:val="left" w:leader="none"/>
          <w:tab w:pos="1766" w:val="left" w:leader="none"/>
        </w:tabs>
        <w:spacing w:line="240" w:lineRule="auto" w:before="281" w:after="0"/>
        <w:ind w:left="1766" w:right="789" w:hanging="711"/>
        <w:jc w:val="both"/>
        <w:rPr>
          <w:sz w:val="24"/>
        </w:rPr>
      </w:pPr>
      <w:r>
        <w:rPr>
          <w:sz w:val="24"/>
        </w:rPr>
        <w:t>“Escalator”</w:t>
      </w:r>
      <w:r>
        <w:rPr>
          <w:spacing w:val="80"/>
          <w:sz w:val="24"/>
        </w:rPr>
        <w:t> </w:t>
      </w:r>
      <w:r>
        <w:rPr>
          <w:sz w:val="24"/>
        </w:rPr>
        <w:t>means</w:t>
      </w:r>
      <w:r>
        <w:rPr>
          <w:spacing w:val="80"/>
          <w:sz w:val="24"/>
        </w:rPr>
        <w:t> </w:t>
      </w:r>
      <w:r>
        <w:rPr>
          <w:sz w:val="24"/>
        </w:rPr>
        <w:t>a</w:t>
      </w:r>
      <w:r>
        <w:rPr>
          <w:spacing w:val="80"/>
          <w:sz w:val="24"/>
        </w:rPr>
        <w:t> </w:t>
      </w:r>
      <w:r>
        <w:rPr>
          <w:sz w:val="24"/>
        </w:rPr>
        <w:t>power</w:t>
      </w:r>
      <w:r>
        <w:rPr>
          <w:spacing w:val="80"/>
          <w:sz w:val="24"/>
        </w:rPr>
        <w:t> </w:t>
      </w:r>
      <w:r>
        <w:rPr>
          <w:sz w:val="24"/>
        </w:rPr>
        <w:t>driven,</w:t>
      </w:r>
      <w:r>
        <w:rPr>
          <w:spacing w:val="80"/>
          <w:sz w:val="24"/>
        </w:rPr>
        <w:t> </w:t>
      </w:r>
      <w:r>
        <w:rPr>
          <w:sz w:val="24"/>
        </w:rPr>
        <w:t>inclined,</w:t>
      </w:r>
      <w:r>
        <w:rPr>
          <w:spacing w:val="80"/>
          <w:sz w:val="24"/>
        </w:rPr>
        <w:t> </w:t>
      </w:r>
      <w:r>
        <w:rPr>
          <w:sz w:val="24"/>
        </w:rPr>
        <w:t>continuous</w:t>
      </w:r>
      <w:r>
        <w:rPr>
          <w:spacing w:val="80"/>
          <w:sz w:val="24"/>
        </w:rPr>
        <w:t> </w:t>
      </w:r>
      <w:r>
        <w:rPr>
          <w:sz w:val="24"/>
        </w:rPr>
        <w:t>stairway used for ascending or descending between floors or bridge over the road/railway </w:t>
      </w:r>
      <w:r>
        <w:rPr>
          <w:spacing w:val="9"/>
          <w:sz w:val="24"/>
        </w:rPr>
        <w:t>line.</w:t>
      </w:r>
    </w:p>
    <w:p>
      <w:pPr>
        <w:pStyle w:val="ListParagraph"/>
        <w:numPr>
          <w:ilvl w:val="0"/>
          <w:numId w:val="6"/>
        </w:numPr>
        <w:tabs>
          <w:tab w:pos="1762" w:val="left" w:leader="none"/>
          <w:tab w:pos="1766" w:val="left" w:leader="none"/>
        </w:tabs>
        <w:spacing w:line="240" w:lineRule="auto" w:before="0" w:after="0"/>
        <w:ind w:left="1766" w:right="778" w:hanging="711"/>
        <w:jc w:val="both"/>
        <w:rPr>
          <w:sz w:val="24"/>
        </w:rPr>
      </w:pPr>
      <w:r>
        <w:rPr>
          <w:sz w:val="24"/>
        </w:rPr>
        <w:t>"Escape route" means any well ventilated corridor, staircase or other circulation</w:t>
      </w:r>
      <w:r>
        <w:rPr>
          <w:spacing w:val="40"/>
          <w:sz w:val="24"/>
        </w:rPr>
        <w:t> </w:t>
      </w:r>
      <w:r>
        <w:rPr>
          <w:sz w:val="24"/>
        </w:rPr>
        <w:t>space,</w:t>
      </w:r>
      <w:r>
        <w:rPr>
          <w:spacing w:val="80"/>
          <w:sz w:val="24"/>
        </w:rPr>
        <w:t> </w:t>
      </w:r>
      <w:r>
        <w:rPr>
          <w:sz w:val="24"/>
        </w:rPr>
        <w:t>or</w:t>
      </w:r>
      <w:r>
        <w:rPr>
          <w:spacing w:val="40"/>
          <w:sz w:val="24"/>
        </w:rPr>
        <w:t> </w:t>
      </w:r>
      <w:r>
        <w:rPr>
          <w:sz w:val="24"/>
        </w:rPr>
        <w:t>any</w:t>
      </w:r>
      <w:r>
        <w:rPr>
          <w:spacing w:val="40"/>
          <w:sz w:val="24"/>
        </w:rPr>
        <w:t> </w:t>
      </w:r>
      <w:r>
        <w:rPr>
          <w:sz w:val="24"/>
        </w:rPr>
        <w:t>combination</w:t>
      </w:r>
      <w:r>
        <w:rPr>
          <w:spacing w:val="40"/>
          <w:sz w:val="24"/>
        </w:rPr>
        <w:t> </w:t>
      </w:r>
      <w:r>
        <w:rPr>
          <w:sz w:val="24"/>
        </w:rPr>
        <w:t>of</w:t>
      </w:r>
      <w:r>
        <w:rPr>
          <w:spacing w:val="40"/>
          <w:sz w:val="24"/>
        </w:rPr>
        <w:t> </w:t>
      </w:r>
      <w:r>
        <w:rPr>
          <w:sz w:val="24"/>
        </w:rPr>
        <w:t>the</w:t>
      </w:r>
      <w:r>
        <w:rPr>
          <w:spacing w:val="40"/>
          <w:sz w:val="24"/>
        </w:rPr>
        <w:t> </w:t>
      </w:r>
      <w:r>
        <w:rPr>
          <w:sz w:val="24"/>
        </w:rPr>
        <w:t>same,</w:t>
      </w:r>
      <w:r>
        <w:rPr>
          <w:spacing w:val="40"/>
          <w:sz w:val="24"/>
        </w:rPr>
        <w:t> </w:t>
      </w:r>
      <w:r>
        <w:rPr>
          <w:sz w:val="24"/>
        </w:rPr>
        <w:t>by</w:t>
      </w:r>
      <w:r>
        <w:rPr>
          <w:spacing w:val="40"/>
          <w:sz w:val="24"/>
        </w:rPr>
        <w:t> </w:t>
      </w:r>
      <w:r>
        <w:rPr>
          <w:sz w:val="24"/>
        </w:rPr>
        <w:t>means</w:t>
      </w:r>
      <w:r>
        <w:rPr>
          <w:spacing w:val="40"/>
          <w:sz w:val="24"/>
        </w:rPr>
        <w:t> </w:t>
      </w:r>
      <w:r>
        <w:rPr>
          <w:sz w:val="24"/>
        </w:rPr>
        <w:t>of</w:t>
      </w:r>
      <w:r>
        <w:rPr>
          <w:spacing w:val="40"/>
          <w:sz w:val="24"/>
        </w:rPr>
        <w:t> </w:t>
      </w:r>
      <w:r>
        <w:rPr>
          <w:sz w:val="24"/>
        </w:rPr>
        <w:t>which</w:t>
      </w:r>
      <w:r>
        <w:rPr>
          <w:spacing w:val="40"/>
          <w:sz w:val="24"/>
        </w:rPr>
        <w:t> </w:t>
      </w:r>
      <w:r>
        <w:rPr>
          <w:sz w:val="24"/>
        </w:rPr>
        <w:t>a</w:t>
      </w:r>
      <w:r>
        <w:rPr>
          <w:spacing w:val="40"/>
          <w:sz w:val="24"/>
        </w:rPr>
        <w:t> </w:t>
      </w:r>
      <w:r>
        <w:rPr>
          <w:sz w:val="24"/>
        </w:rPr>
        <w:t>safe</w:t>
      </w:r>
      <w:r>
        <w:rPr>
          <w:spacing w:val="40"/>
          <w:sz w:val="24"/>
        </w:rPr>
        <w:t> </w:t>
      </w:r>
      <w:r>
        <w:rPr>
          <w:sz w:val="24"/>
        </w:rPr>
        <w:t>place</w:t>
      </w:r>
      <w:r>
        <w:rPr>
          <w:spacing w:val="40"/>
          <w:sz w:val="24"/>
        </w:rPr>
        <w:t> </w:t>
      </w:r>
      <w:r>
        <w:rPr>
          <w:sz w:val="24"/>
        </w:rPr>
        <w:t>in</w:t>
      </w:r>
      <w:r>
        <w:rPr>
          <w:spacing w:val="40"/>
          <w:sz w:val="24"/>
        </w:rPr>
        <w:t> </w:t>
      </w:r>
      <w:r>
        <w:rPr>
          <w:sz w:val="24"/>
        </w:rPr>
        <w:t>the</w:t>
      </w:r>
      <w:r>
        <w:rPr>
          <w:spacing w:val="40"/>
          <w:sz w:val="24"/>
        </w:rPr>
        <w:t> </w:t>
      </w:r>
      <w:r>
        <w:rPr>
          <w:sz w:val="24"/>
        </w:rPr>
        <w:t>open</w:t>
      </w:r>
      <w:r>
        <w:rPr>
          <w:spacing w:val="40"/>
          <w:sz w:val="24"/>
        </w:rPr>
        <w:t> </w:t>
      </w:r>
      <w:r>
        <w:rPr>
          <w:sz w:val="24"/>
        </w:rPr>
        <w:t>air</w:t>
      </w:r>
      <w:r>
        <w:rPr>
          <w:spacing w:val="40"/>
          <w:sz w:val="24"/>
        </w:rPr>
        <w:t> </w:t>
      </w:r>
      <w:r>
        <w:rPr>
          <w:sz w:val="24"/>
        </w:rPr>
        <w:t>at</w:t>
      </w:r>
      <w:r>
        <w:rPr>
          <w:spacing w:val="40"/>
          <w:sz w:val="24"/>
        </w:rPr>
        <w:t> </w:t>
      </w:r>
      <w:r>
        <w:rPr>
          <w:sz w:val="24"/>
        </w:rPr>
        <w:t>ground</w:t>
      </w:r>
      <w:r>
        <w:rPr>
          <w:spacing w:val="40"/>
          <w:sz w:val="24"/>
        </w:rPr>
        <w:t> </w:t>
      </w:r>
      <w:r>
        <w:rPr>
          <w:sz w:val="24"/>
        </w:rPr>
        <w:t>level</w:t>
      </w:r>
      <w:r>
        <w:rPr>
          <w:spacing w:val="40"/>
          <w:sz w:val="24"/>
        </w:rPr>
        <w:t> </w:t>
      </w:r>
      <w:r>
        <w:rPr>
          <w:sz w:val="24"/>
        </w:rPr>
        <w:t>can</w:t>
      </w:r>
      <w:r>
        <w:rPr>
          <w:spacing w:val="40"/>
          <w:sz w:val="24"/>
        </w:rPr>
        <w:t> </w:t>
      </w:r>
      <w:r>
        <w:rPr>
          <w:sz w:val="24"/>
        </w:rPr>
        <w:t>be</w:t>
      </w:r>
      <w:r>
        <w:rPr>
          <w:spacing w:val="40"/>
          <w:sz w:val="24"/>
        </w:rPr>
        <w:t> </w:t>
      </w:r>
      <w:r>
        <w:rPr>
          <w:sz w:val="24"/>
        </w:rPr>
        <w:t>reached.</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86" w:hanging="711"/>
        <w:jc w:val="both"/>
        <w:rPr>
          <w:sz w:val="24"/>
        </w:rPr>
      </w:pPr>
      <w:r>
        <w:rPr>
          <w:sz w:val="24"/>
        </w:rPr>
        <w:t>"Existing</w:t>
      </w:r>
      <w:r>
        <w:rPr>
          <w:spacing w:val="80"/>
          <w:sz w:val="24"/>
        </w:rPr>
        <w:t> </w:t>
      </w:r>
      <w:r>
        <w:rPr>
          <w:sz w:val="24"/>
        </w:rPr>
        <w:t>building"</w:t>
      </w:r>
      <w:r>
        <w:rPr>
          <w:spacing w:val="80"/>
          <w:sz w:val="24"/>
        </w:rPr>
        <w:t> </w:t>
      </w:r>
      <w:r>
        <w:rPr>
          <w:sz w:val="24"/>
        </w:rPr>
        <w:t>means</w:t>
      </w:r>
      <w:r>
        <w:rPr>
          <w:spacing w:val="80"/>
          <w:sz w:val="24"/>
        </w:rPr>
        <w:t> </w:t>
      </w:r>
      <w:r>
        <w:rPr>
          <w:sz w:val="24"/>
        </w:rPr>
        <w:t>a</w:t>
      </w:r>
      <w:r>
        <w:rPr>
          <w:spacing w:val="80"/>
          <w:sz w:val="24"/>
        </w:rPr>
        <w:t> </w:t>
      </w:r>
      <w:r>
        <w:rPr>
          <w:sz w:val="24"/>
        </w:rPr>
        <w:t>building</w:t>
      </w:r>
      <w:r>
        <w:rPr>
          <w:spacing w:val="80"/>
          <w:sz w:val="24"/>
        </w:rPr>
        <w:t> </w:t>
      </w:r>
      <w:r>
        <w:rPr>
          <w:sz w:val="24"/>
        </w:rPr>
        <w:t>or</w:t>
      </w:r>
      <w:r>
        <w:rPr>
          <w:spacing w:val="80"/>
          <w:sz w:val="24"/>
        </w:rPr>
        <w:t> </w:t>
      </w:r>
      <w:r>
        <w:rPr>
          <w:sz w:val="24"/>
        </w:rPr>
        <w:t>structure</w:t>
      </w:r>
      <w:r>
        <w:rPr>
          <w:spacing w:val="80"/>
          <w:sz w:val="24"/>
        </w:rPr>
        <w:t> </w:t>
      </w:r>
      <w:r>
        <w:rPr>
          <w:sz w:val="24"/>
        </w:rPr>
        <w:t>existing authorisedly</w:t>
      </w:r>
      <w:r>
        <w:rPr>
          <w:spacing w:val="80"/>
          <w:sz w:val="24"/>
        </w:rPr>
        <w:t> </w:t>
      </w:r>
      <w:r>
        <w:rPr>
          <w:sz w:val="24"/>
        </w:rPr>
        <w:t>before</w:t>
      </w:r>
      <w:r>
        <w:rPr>
          <w:spacing w:val="80"/>
          <w:sz w:val="24"/>
        </w:rPr>
        <w:t> </w:t>
      </w:r>
      <w:r>
        <w:rPr>
          <w:sz w:val="24"/>
        </w:rPr>
        <w:t>the</w:t>
      </w:r>
      <w:r>
        <w:rPr>
          <w:spacing w:val="80"/>
          <w:sz w:val="24"/>
        </w:rPr>
        <w:t> </w:t>
      </w:r>
      <w:r>
        <w:rPr>
          <w:sz w:val="24"/>
        </w:rPr>
        <w:t>commencement</w:t>
      </w:r>
      <w:r>
        <w:rPr>
          <w:spacing w:val="80"/>
          <w:sz w:val="24"/>
        </w:rPr>
        <w:t> </w:t>
      </w:r>
      <w:r>
        <w:rPr>
          <w:sz w:val="24"/>
        </w:rPr>
        <w:t>of</w:t>
      </w:r>
      <w:r>
        <w:rPr>
          <w:spacing w:val="80"/>
          <w:sz w:val="24"/>
        </w:rPr>
        <w:t> </w:t>
      </w:r>
      <w:r>
        <w:rPr>
          <w:sz w:val="24"/>
        </w:rPr>
        <w:t>these</w:t>
      </w:r>
      <w:r>
        <w:rPr>
          <w:spacing w:val="80"/>
          <w:sz w:val="24"/>
        </w:rPr>
        <w:t> </w:t>
      </w:r>
      <w:r>
        <w:rPr>
          <w:sz w:val="24"/>
        </w:rPr>
        <w:t>Regulations.</w:t>
      </w:r>
    </w:p>
    <w:p>
      <w:pPr>
        <w:pStyle w:val="ListParagraph"/>
        <w:numPr>
          <w:ilvl w:val="0"/>
          <w:numId w:val="6"/>
        </w:numPr>
        <w:tabs>
          <w:tab w:pos="1762" w:val="left" w:leader="none"/>
          <w:tab w:pos="1766" w:val="left" w:leader="none"/>
        </w:tabs>
        <w:spacing w:line="240" w:lineRule="auto" w:before="281" w:after="0"/>
        <w:ind w:left="1766" w:right="793" w:hanging="711"/>
        <w:jc w:val="both"/>
        <w:rPr>
          <w:sz w:val="24"/>
        </w:rPr>
      </w:pPr>
      <w:r>
        <w:rPr>
          <w:sz w:val="24"/>
        </w:rPr>
        <w:t>"Existing use” means use of a building or a structure existing authorisedly</w:t>
      </w:r>
      <w:r>
        <w:rPr>
          <w:spacing w:val="40"/>
          <w:sz w:val="24"/>
        </w:rPr>
        <w:t> </w:t>
      </w:r>
      <w:r>
        <w:rPr>
          <w:sz w:val="24"/>
        </w:rPr>
        <w:t>before</w:t>
      </w:r>
      <w:r>
        <w:rPr>
          <w:spacing w:val="80"/>
          <w:sz w:val="24"/>
        </w:rPr>
        <w:t> </w:t>
      </w:r>
      <w:r>
        <w:rPr>
          <w:sz w:val="24"/>
        </w:rPr>
        <w:t>the</w:t>
      </w:r>
      <w:r>
        <w:rPr>
          <w:spacing w:val="40"/>
          <w:sz w:val="24"/>
        </w:rPr>
        <w:t> </w:t>
      </w:r>
      <w:r>
        <w:rPr>
          <w:sz w:val="24"/>
        </w:rPr>
        <w:t>commencement</w:t>
      </w:r>
      <w:r>
        <w:rPr>
          <w:spacing w:val="40"/>
          <w:sz w:val="24"/>
        </w:rPr>
        <w:t> </w:t>
      </w:r>
      <w:r>
        <w:rPr>
          <w:sz w:val="24"/>
        </w:rPr>
        <w:t>of</w:t>
      </w:r>
      <w:r>
        <w:rPr>
          <w:spacing w:val="40"/>
          <w:sz w:val="24"/>
        </w:rPr>
        <w:t> </w:t>
      </w:r>
      <w:r>
        <w:rPr>
          <w:sz w:val="24"/>
        </w:rPr>
        <w:t>these</w:t>
      </w:r>
      <w:r>
        <w:rPr>
          <w:spacing w:val="40"/>
          <w:sz w:val="24"/>
        </w:rPr>
        <w:t> </w:t>
      </w:r>
      <w:r>
        <w:rPr>
          <w:spacing w:val="9"/>
          <w:sz w:val="24"/>
        </w:rPr>
        <w:t>Regulations.</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80" w:hanging="711"/>
        <w:jc w:val="both"/>
        <w:rPr>
          <w:sz w:val="24"/>
        </w:rPr>
      </w:pPr>
      <w:r>
        <w:rPr>
          <w:sz w:val="24"/>
        </w:rPr>
        <w:t>"Exit"</w:t>
      </w:r>
      <w:r>
        <w:rPr>
          <w:spacing w:val="40"/>
          <w:sz w:val="24"/>
        </w:rPr>
        <w:t> </w:t>
      </w:r>
      <w:r>
        <w:rPr>
          <w:sz w:val="24"/>
        </w:rPr>
        <w:t>means</w:t>
      </w:r>
      <w:r>
        <w:rPr>
          <w:spacing w:val="40"/>
          <w:sz w:val="24"/>
        </w:rPr>
        <w:t> </w:t>
      </w:r>
      <w:r>
        <w:rPr>
          <w:sz w:val="24"/>
        </w:rPr>
        <w:t>a</w:t>
      </w:r>
      <w:r>
        <w:rPr>
          <w:spacing w:val="40"/>
          <w:sz w:val="24"/>
        </w:rPr>
        <w:t> </w:t>
      </w:r>
      <w:r>
        <w:rPr>
          <w:sz w:val="24"/>
        </w:rPr>
        <w:t>passage</w:t>
      </w:r>
      <w:r>
        <w:rPr>
          <w:spacing w:val="40"/>
          <w:sz w:val="24"/>
        </w:rPr>
        <w:t> </w:t>
      </w:r>
      <w:r>
        <w:rPr>
          <w:sz w:val="24"/>
        </w:rPr>
        <w:t>channel</w:t>
      </w:r>
      <w:r>
        <w:rPr>
          <w:spacing w:val="40"/>
          <w:sz w:val="24"/>
        </w:rPr>
        <w:t> </w:t>
      </w:r>
      <w:r>
        <w:rPr>
          <w:sz w:val="24"/>
        </w:rPr>
        <w:t>or</w:t>
      </w:r>
      <w:r>
        <w:rPr>
          <w:spacing w:val="40"/>
          <w:sz w:val="24"/>
        </w:rPr>
        <w:t> </w:t>
      </w:r>
      <w:r>
        <w:rPr>
          <w:sz w:val="24"/>
        </w:rPr>
        <w:t>means</w:t>
      </w:r>
      <w:r>
        <w:rPr>
          <w:spacing w:val="40"/>
          <w:sz w:val="24"/>
        </w:rPr>
        <w:t> </w:t>
      </w:r>
      <w:r>
        <w:rPr>
          <w:sz w:val="24"/>
        </w:rPr>
        <w:t>of</w:t>
      </w:r>
      <w:r>
        <w:rPr>
          <w:spacing w:val="40"/>
          <w:sz w:val="24"/>
        </w:rPr>
        <w:t> </w:t>
      </w:r>
      <w:r>
        <w:rPr>
          <w:sz w:val="24"/>
        </w:rPr>
        <w:t>egress</w:t>
      </w:r>
      <w:r>
        <w:rPr>
          <w:spacing w:val="40"/>
          <w:sz w:val="24"/>
        </w:rPr>
        <w:t> </w:t>
      </w:r>
      <w:r>
        <w:rPr>
          <w:sz w:val="24"/>
        </w:rPr>
        <w:t>from</w:t>
      </w:r>
      <w:r>
        <w:rPr>
          <w:spacing w:val="40"/>
          <w:sz w:val="24"/>
        </w:rPr>
        <w:t> </w:t>
      </w:r>
      <w:r>
        <w:rPr>
          <w:sz w:val="24"/>
        </w:rPr>
        <w:t>any</w:t>
      </w:r>
      <w:r>
        <w:rPr>
          <w:spacing w:val="80"/>
          <w:sz w:val="24"/>
        </w:rPr>
        <w:t> </w:t>
      </w:r>
      <w:r>
        <w:rPr>
          <w:sz w:val="24"/>
        </w:rPr>
        <w:t>building, storey or floor area to a street or other open space of </w:t>
      </w:r>
      <w:r>
        <w:rPr>
          <w:spacing w:val="9"/>
          <w:sz w:val="24"/>
        </w:rPr>
        <w:t>safety; </w:t>
      </w:r>
      <w:r>
        <w:rPr>
          <w:sz w:val="24"/>
        </w:rPr>
        <w:t>horizontal,</w:t>
      </w:r>
      <w:r>
        <w:rPr>
          <w:spacing w:val="40"/>
          <w:sz w:val="24"/>
        </w:rPr>
        <w:t> </w:t>
      </w:r>
      <w:r>
        <w:rPr>
          <w:sz w:val="24"/>
        </w:rPr>
        <w:t>outside</w:t>
      </w:r>
      <w:r>
        <w:rPr>
          <w:spacing w:val="60"/>
          <w:sz w:val="24"/>
        </w:rPr>
        <w:t> </w:t>
      </w:r>
      <w:r>
        <w:rPr>
          <w:sz w:val="24"/>
        </w:rPr>
        <w:t>and</w:t>
      </w:r>
      <w:r>
        <w:rPr>
          <w:spacing w:val="40"/>
          <w:sz w:val="24"/>
        </w:rPr>
        <w:t> </w:t>
      </w:r>
      <w:r>
        <w:rPr>
          <w:sz w:val="24"/>
        </w:rPr>
        <w:t>vertical</w:t>
      </w:r>
      <w:r>
        <w:rPr>
          <w:spacing w:val="40"/>
          <w:sz w:val="24"/>
        </w:rPr>
        <w:t>  </w:t>
      </w:r>
      <w:r>
        <w:rPr>
          <w:sz w:val="24"/>
        </w:rPr>
        <w:t>exits</w:t>
      </w:r>
      <w:r>
        <w:rPr>
          <w:spacing w:val="60"/>
          <w:sz w:val="24"/>
        </w:rPr>
        <w:t> </w:t>
      </w:r>
      <w:r>
        <w:rPr>
          <w:sz w:val="24"/>
        </w:rPr>
        <w:t>having</w:t>
      </w:r>
      <w:r>
        <w:rPr>
          <w:spacing w:val="40"/>
          <w:sz w:val="24"/>
        </w:rPr>
        <w:t> </w:t>
      </w:r>
      <w:r>
        <w:rPr>
          <w:sz w:val="24"/>
        </w:rPr>
        <w:t>meanings</w:t>
      </w:r>
      <w:r>
        <w:rPr>
          <w:spacing w:val="60"/>
          <w:sz w:val="24"/>
        </w:rPr>
        <w:t> </w:t>
      </w:r>
      <w:r>
        <w:rPr>
          <w:sz w:val="24"/>
        </w:rPr>
        <w:t>at</w:t>
      </w:r>
      <w:r>
        <w:rPr>
          <w:spacing w:val="40"/>
          <w:sz w:val="24"/>
        </w:rPr>
        <w:t> </w:t>
      </w:r>
      <w:r>
        <w:rPr>
          <w:sz w:val="24"/>
        </w:rPr>
        <w:t>(i),</w:t>
      </w:r>
      <w:r>
        <w:rPr>
          <w:spacing w:val="40"/>
          <w:sz w:val="24"/>
        </w:rPr>
        <w:t> </w:t>
      </w:r>
      <w:r>
        <w:rPr>
          <w:sz w:val="24"/>
        </w:rPr>
        <w:t>(ii)</w:t>
      </w:r>
      <w:r>
        <w:rPr>
          <w:spacing w:val="60"/>
          <w:sz w:val="24"/>
        </w:rPr>
        <w:t> </w:t>
      </w:r>
      <w:r>
        <w:rPr>
          <w:sz w:val="24"/>
        </w:rPr>
        <w:t>and</w:t>
      </w:r>
    </w:p>
    <w:p>
      <w:pPr>
        <w:pStyle w:val="BodyText"/>
        <w:spacing w:line="281" w:lineRule="exact"/>
        <w:ind w:left="1766"/>
      </w:pPr>
      <w:r>
        <w:rPr/>
        <w:t>(iii)</w:t>
      </w:r>
      <w:r>
        <w:rPr>
          <w:spacing w:val="57"/>
        </w:rPr>
        <w:t> </w:t>
      </w:r>
      <w:r>
        <w:rPr/>
        <w:t>respectively</w:t>
      </w:r>
      <w:r>
        <w:rPr>
          <w:spacing w:val="50"/>
        </w:rPr>
        <w:t>  </w:t>
      </w:r>
      <w:r>
        <w:rPr/>
        <w:t>as</w:t>
      </w:r>
      <w:r>
        <w:rPr>
          <w:spacing w:val="60"/>
        </w:rPr>
        <w:t> </w:t>
      </w:r>
      <w:r>
        <w:rPr>
          <w:spacing w:val="-2"/>
        </w:rPr>
        <w:t>under:</w:t>
      </w:r>
    </w:p>
    <w:p>
      <w:pPr>
        <w:pStyle w:val="BodyText"/>
        <w:spacing w:before="1"/>
        <w:jc w:val="left"/>
      </w:pPr>
    </w:p>
    <w:p>
      <w:pPr>
        <w:pStyle w:val="ListParagraph"/>
        <w:numPr>
          <w:ilvl w:val="1"/>
          <w:numId w:val="6"/>
        </w:numPr>
        <w:tabs>
          <w:tab w:pos="1763" w:val="left" w:leader="none"/>
          <w:tab w:pos="1766" w:val="left" w:leader="none"/>
        </w:tabs>
        <w:spacing w:line="240" w:lineRule="auto" w:before="0" w:after="0"/>
        <w:ind w:left="1766" w:right="775" w:hanging="711"/>
        <w:jc w:val="both"/>
        <w:rPr>
          <w:sz w:val="24"/>
        </w:rPr>
      </w:pPr>
      <w:r>
        <w:rPr>
          <w:sz w:val="24"/>
        </w:rPr>
        <w:t>"Horizontal</w:t>
      </w:r>
      <w:r>
        <w:rPr>
          <w:spacing w:val="40"/>
          <w:sz w:val="24"/>
        </w:rPr>
        <w:t> </w:t>
      </w:r>
      <w:r>
        <w:rPr>
          <w:sz w:val="24"/>
        </w:rPr>
        <w:t>exit"</w:t>
      </w:r>
      <w:r>
        <w:rPr>
          <w:spacing w:val="40"/>
          <w:sz w:val="24"/>
        </w:rPr>
        <w:t> </w:t>
      </w:r>
      <w:r>
        <w:rPr>
          <w:sz w:val="24"/>
        </w:rPr>
        <w:t>means</w:t>
      </w:r>
      <w:r>
        <w:rPr>
          <w:spacing w:val="40"/>
          <w:sz w:val="24"/>
        </w:rPr>
        <w:t> </w:t>
      </w:r>
      <w:r>
        <w:rPr>
          <w:sz w:val="24"/>
        </w:rPr>
        <w:t>an</w:t>
      </w:r>
      <w:r>
        <w:rPr>
          <w:spacing w:val="40"/>
          <w:sz w:val="24"/>
        </w:rPr>
        <w:t> </w:t>
      </w:r>
      <w:r>
        <w:rPr>
          <w:sz w:val="24"/>
        </w:rPr>
        <w:t>exit</w:t>
      </w:r>
      <w:r>
        <w:rPr>
          <w:spacing w:val="40"/>
          <w:sz w:val="24"/>
        </w:rPr>
        <w:t> </w:t>
      </w:r>
      <w:r>
        <w:rPr>
          <w:sz w:val="24"/>
        </w:rPr>
        <w:t>which</w:t>
      </w:r>
      <w:r>
        <w:rPr>
          <w:spacing w:val="40"/>
          <w:sz w:val="24"/>
        </w:rPr>
        <w:t> </w:t>
      </w:r>
      <w:r>
        <w:rPr>
          <w:sz w:val="24"/>
        </w:rPr>
        <w:t>is</w:t>
      </w:r>
      <w:r>
        <w:rPr>
          <w:spacing w:val="40"/>
          <w:sz w:val="24"/>
        </w:rPr>
        <w:t> </w:t>
      </w:r>
      <w:r>
        <w:rPr>
          <w:sz w:val="24"/>
        </w:rPr>
        <w:t>a</w:t>
      </w:r>
      <w:r>
        <w:rPr>
          <w:spacing w:val="40"/>
          <w:sz w:val="24"/>
        </w:rPr>
        <w:t> </w:t>
      </w:r>
      <w:r>
        <w:rPr>
          <w:sz w:val="24"/>
        </w:rPr>
        <w:t>protected</w:t>
      </w:r>
      <w:r>
        <w:rPr>
          <w:spacing w:val="40"/>
          <w:sz w:val="24"/>
        </w:rPr>
        <w:t> </w:t>
      </w:r>
      <w:r>
        <w:rPr>
          <w:sz w:val="24"/>
        </w:rPr>
        <w:t>opening</w:t>
      </w:r>
      <w:r>
        <w:rPr>
          <w:spacing w:val="40"/>
          <w:sz w:val="24"/>
        </w:rPr>
        <w:t> </w:t>
      </w:r>
      <w:r>
        <w:rPr>
          <w:spacing w:val="9"/>
          <w:sz w:val="24"/>
        </w:rPr>
        <w:t>through </w:t>
      </w:r>
      <w:r>
        <w:rPr>
          <w:sz w:val="24"/>
        </w:rPr>
        <w:t>or</w:t>
      </w:r>
      <w:r>
        <w:rPr>
          <w:spacing w:val="40"/>
          <w:sz w:val="24"/>
        </w:rPr>
        <w:t> </w:t>
      </w:r>
      <w:r>
        <w:rPr>
          <w:sz w:val="24"/>
        </w:rPr>
        <w:t>around</w:t>
      </w:r>
      <w:r>
        <w:rPr>
          <w:spacing w:val="40"/>
          <w:sz w:val="24"/>
        </w:rPr>
        <w:t> </w:t>
      </w:r>
      <w:r>
        <w:rPr>
          <w:sz w:val="24"/>
        </w:rPr>
        <w:t>a</w:t>
      </w:r>
      <w:r>
        <w:rPr>
          <w:spacing w:val="40"/>
          <w:sz w:val="24"/>
        </w:rPr>
        <w:t> </w:t>
      </w:r>
      <w:r>
        <w:rPr>
          <w:sz w:val="24"/>
        </w:rPr>
        <w:t>fire</w:t>
      </w:r>
      <w:r>
        <w:rPr>
          <w:spacing w:val="40"/>
          <w:sz w:val="24"/>
        </w:rPr>
        <w:t> </w:t>
      </w:r>
      <w:r>
        <w:rPr>
          <w:sz w:val="24"/>
        </w:rPr>
        <w:t>wall</w:t>
      </w:r>
      <w:r>
        <w:rPr>
          <w:spacing w:val="40"/>
          <w:sz w:val="24"/>
        </w:rPr>
        <w:t> </w:t>
      </w:r>
      <w:r>
        <w:rPr>
          <w:sz w:val="24"/>
        </w:rPr>
        <w:t>or</w:t>
      </w:r>
      <w:r>
        <w:rPr>
          <w:spacing w:val="40"/>
          <w:sz w:val="24"/>
        </w:rPr>
        <w:t> </w:t>
      </w:r>
      <w:r>
        <w:rPr>
          <w:sz w:val="24"/>
        </w:rPr>
        <w:t>a</w:t>
      </w:r>
      <w:r>
        <w:rPr>
          <w:spacing w:val="40"/>
          <w:sz w:val="24"/>
        </w:rPr>
        <w:t> </w:t>
      </w:r>
      <w:r>
        <w:rPr>
          <w:sz w:val="24"/>
        </w:rPr>
        <w:t>bridge</w:t>
      </w:r>
      <w:r>
        <w:rPr>
          <w:spacing w:val="40"/>
          <w:sz w:val="24"/>
        </w:rPr>
        <w:t> </w:t>
      </w:r>
      <w:r>
        <w:rPr>
          <w:sz w:val="24"/>
        </w:rPr>
        <w:t>connecting</w:t>
      </w:r>
      <w:r>
        <w:rPr>
          <w:spacing w:val="40"/>
          <w:sz w:val="24"/>
        </w:rPr>
        <w:t> </w:t>
      </w:r>
      <w:r>
        <w:rPr>
          <w:sz w:val="24"/>
        </w:rPr>
        <w:t>two</w:t>
      </w:r>
      <w:r>
        <w:rPr>
          <w:spacing w:val="40"/>
          <w:sz w:val="24"/>
        </w:rPr>
        <w:t> </w:t>
      </w:r>
      <w:r>
        <w:rPr>
          <w:sz w:val="24"/>
        </w:rPr>
        <w:t>or</w:t>
      </w:r>
      <w:r>
        <w:rPr>
          <w:spacing w:val="40"/>
          <w:sz w:val="24"/>
        </w:rPr>
        <w:t> </w:t>
      </w:r>
      <w:r>
        <w:rPr>
          <w:sz w:val="24"/>
        </w:rPr>
        <w:t>more</w:t>
      </w:r>
      <w:r>
        <w:rPr>
          <w:spacing w:val="40"/>
          <w:sz w:val="24"/>
        </w:rPr>
        <w:t> </w:t>
      </w:r>
      <w:r>
        <w:rPr>
          <w:sz w:val="24"/>
        </w:rPr>
        <w:t>buildings.</w:t>
      </w:r>
    </w:p>
    <w:p>
      <w:pPr>
        <w:pStyle w:val="ListParagraph"/>
        <w:numPr>
          <w:ilvl w:val="1"/>
          <w:numId w:val="6"/>
        </w:numPr>
        <w:tabs>
          <w:tab w:pos="1762" w:val="left" w:leader="none"/>
          <w:tab w:pos="1766" w:val="left" w:leader="none"/>
        </w:tabs>
        <w:spacing w:line="240" w:lineRule="auto" w:before="1" w:after="0"/>
        <w:ind w:left="1766" w:right="778" w:hanging="711"/>
        <w:jc w:val="both"/>
        <w:rPr>
          <w:sz w:val="24"/>
        </w:rPr>
      </w:pPr>
      <w:r>
        <w:rPr>
          <w:sz w:val="24"/>
        </w:rPr>
        <w:t>"Outside</w:t>
      </w:r>
      <w:r>
        <w:rPr>
          <w:spacing w:val="40"/>
          <w:sz w:val="24"/>
        </w:rPr>
        <w:t> </w:t>
      </w:r>
      <w:r>
        <w:rPr>
          <w:sz w:val="24"/>
        </w:rPr>
        <w:t>exit"</w:t>
      </w:r>
      <w:r>
        <w:rPr>
          <w:spacing w:val="40"/>
          <w:sz w:val="24"/>
        </w:rPr>
        <w:t> </w:t>
      </w:r>
      <w:r>
        <w:rPr>
          <w:sz w:val="24"/>
        </w:rPr>
        <w:t>means</w:t>
      </w:r>
      <w:r>
        <w:rPr>
          <w:spacing w:val="40"/>
          <w:sz w:val="24"/>
        </w:rPr>
        <w:t> </w:t>
      </w:r>
      <w:r>
        <w:rPr>
          <w:sz w:val="24"/>
        </w:rPr>
        <w:t>an</w:t>
      </w:r>
      <w:r>
        <w:rPr>
          <w:spacing w:val="40"/>
          <w:sz w:val="24"/>
        </w:rPr>
        <w:t> </w:t>
      </w:r>
      <w:r>
        <w:rPr>
          <w:sz w:val="24"/>
        </w:rPr>
        <w:t>exit</w:t>
      </w:r>
      <w:r>
        <w:rPr>
          <w:spacing w:val="40"/>
          <w:sz w:val="24"/>
        </w:rPr>
        <w:t> </w:t>
      </w:r>
      <w:r>
        <w:rPr>
          <w:sz w:val="24"/>
        </w:rPr>
        <w:t>from</w:t>
      </w:r>
      <w:r>
        <w:rPr>
          <w:spacing w:val="40"/>
          <w:sz w:val="24"/>
        </w:rPr>
        <w:t> </w:t>
      </w:r>
      <w:r>
        <w:rPr>
          <w:sz w:val="24"/>
        </w:rPr>
        <w:t>a</w:t>
      </w:r>
      <w:r>
        <w:rPr>
          <w:spacing w:val="40"/>
          <w:sz w:val="24"/>
        </w:rPr>
        <w:t> </w:t>
      </w:r>
      <w:r>
        <w:rPr>
          <w:sz w:val="24"/>
        </w:rPr>
        <w:t>building</w:t>
      </w:r>
      <w:r>
        <w:rPr>
          <w:spacing w:val="40"/>
          <w:sz w:val="24"/>
        </w:rPr>
        <w:t> </w:t>
      </w:r>
      <w:r>
        <w:rPr>
          <w:sz w:val="24"/>
        </w:rPr>
        <w:t>to</w:t>
      </w:r>
      <w:r>
        <w:rPr>
          <w:spacing w:val="40"/>
          <w:sz w:val="24"/>
        </w:rPr>
        <w:t> </w:t>
      </w:r>
      <w:r>
        <w:rPr>
          <w:sz w:val="24"/>
        </w:rPr>
        <w:t>a</w:t>
      </w:r>
      <w:r>
        <w:rPr>
          <w:spacing w:val="40"/>
          <w:sz w:val="24"/>
        </w:rPr>
        <w:t> </w:t>
      </w:r>
      <w:r>
        <w:rPr>
          <w:sz w:val="24"/>
        </w:rPr>
        <w:t>public</w:t>
      </w:r>
      <w:r>
        <w:rPr>
          <w:spacing w:val="40"/>
          <w:sz w:val="24"/>
        </w:rPr>
        <w:t> </w:t>
      </w:r>
      <w:r>
        <w:rPr>
          <w:sz w:val="24"/>
        </w:rPr>
        <w:t>way,</w:t>
      </w:r>
      <w:r>
        <w:rPr>
          <w:spacing w:val="40"/>
          <w:sz w:val="24"/>
        </w:rPr>
        <w:t> </w:t>
      </w:r>
      <w:r>
        <w:rPr>
          <w:sz w:val="24"/>
        </w:rPr>
        <w:t>to</w:t>
      </w:r>
      <w:r>
        <w:rPr>
          <w:spacing w:val="40"/>
          <w:sz w:val="24"/>
        </w:rPr>
        <w:t> </w:t>
      </w:r>
      <w:r>
        <w:rPr>
          <w:sz w:val="24"/>
        </w:rPr>
        <w:t>an open</w:t>
      </w:r>
      <w:r>
        <w:rPr>
          <w:spacing w:val="40"/>
          <w:sz w:val="24"/>
        </w:rPr>
        <w:t> </w:t>
      </w:r>
      <w:r>
        <w:rPr>
          <w:sz w:val="24"/>
        </w:rPr>
        <w:t>area</w:t>
      </w:r>
      <w:r>
        <w:rPr>
          <w:spacing w:val="40"/>
          <w:sz w:val="24"/>
        </w:rPr>
        <w:t> </w:t>
      </w:r>
      <w:r>
        <w:rPr>
          <w:sz w:val="24"/>
        </w:rPr>
        <w:t>leading</w:t>
      </w:r>
      <w:r>
        <w:rPr>
          <w:spacing w:val="40"/>
          <w:sz w:val="24"/>
        </w:rPr>
        <w:t> </w:t>
      </w:r>
      <w:r>
        <w:rPr>
          <w:sz w:val="24"/>
        </w:rPr>
        <w:t>to</w:t>
      </w:r>
      <w:r>
        <w:rPr>
          <w:spacing w:val="40"/>
          <w:sz w:val="24"/>
        </w:rPr>
        <w:t> </w:t>
      </w:r>
      <w:r>
        <w:rPr>
          <w:sz w:val="24"/>
        </w:rPr>
        <w:t>a</w:t>
      </w:r>
      <w:r>
        <w:rPr>
          <w:spacing w:val="40"/>
          <w:sz w:val="24"/>
        </w:rPr>
        <w:t> </w:t>
      </w:r>
      <w:r>
        <w:rPr>
          <w:sz w:val="24"/>
        </w:rPr>
        <w:t>public</w:t>
      </w:r>
      <w:r>
        <w:rPr>
          <w:spacing w:val="40"/>
          <w:sz w:val="24"/>
        </w:rPr>
        <w:t> </w:t>
      </w:r>
      <w:r>
        <w:rPr>
          <w:sz w:val="24"/>
        </w:rPr>
        <w:t>way</w:t>
      </w:r>
      <w:r>
        <w:rPr>
          <w:spacing w:val="40"/>
          <w:sz w:val="24"/>
        </w:rPr>
        <w:t> </w:t>
      </w:r>
      <w:r>
        <w:rPr>
          <w:sz w:val="24"/>
        </w:rPr>
        <w:t>or</w:t>
      </w:r>
      <w:r>
        <w:rPr>
          <w:spacing w:val="40"/>
          <w:sz w:val="24"/>
        </w:rPr>
        <w:t> </w:t>
      </w:r>
      <w:r>
        <w:rPr>
          <w:sz w:val="24"/>
        </w:rPr>
        <w:t>an</w:t>
      </w:r>
      <w:r>
        <w:rPr>
          <w:spacing w:val="40"/>
          <w:sz w:val="24"/>
        </w:rPr>
        <w:t> </w:t>
      </w:r>
      <w:r>
        <w:rPr>
          <w:sz w:val="24"/>
        </w:rPr>
        <w:t>enclosed</w:t>
      </w:r>
      <w:r>
        <w:rPr>
          <w:spacing w:val="40"/>
          <w:sz w:val="24"/>
        </w:rPr>
        <w:t> </w:t>
      </w:r>
      <w:r>
        <w:rPr>
          <w:sz w:val="24"/>
        </w:rPr>
        <w:t>fire</w:t>
      </w:r>
      <w:r>
        <w:rPr>
          <w:spacing w:val="40"/>
          <w:sz w:val="24"/>
        </w:rPr>
        <w:t> </w:t>
      </w:r>
      <w:r>
        <w:rPr>
          <w:sz w:val="24"/>
        </w:rPr>
        <w:t>resistant passage</w:t>
      </w:r>
      <w:r>
        <w:rPr>
          <w:spacing w:val="40"/>
          <w:sz w:val="24"/>
        </w:rPr>
        <w:t> </w:t>
      </w:r>
      <w:r>
        <w:rPr>
          <w:sz w:val="24"/>
        </w:rPr>
        <w:t>leading</w:t>
      </w:r>
      <w:r>
        <w:rPr>
          <w:spacing w:val="40"/>
          <w:sz w:val="24"/>
        </w:rPr>
        <w:t> </w:t>
      </w:r>
      <w:r>
        <w:rPr>
          <w:sz w:val="24"/>
        </w:rPr>
        <w:t>to</w:t>
      </w:r>
      <w:r>
        <w:rPr>
          <w:spacing w:val="40"/>
          <w:sz w:val="24"/>
        </w:rPr>
        <w:t> </w:t>
      </w:r>
      <w:r>
        <w:rPr>
          <w:sz w:val="24"/>
        </w:rPr>
        <w:t>a</w:t>
      </w:r>
      <w:r>
        <w:rPr>
          <w:spacing w:val="40"/>
          <w:sz w:val="24"/>
        </w:rPr>
        <w:t> </w:t>
      </w:r>
      <w:r>
        <w:rPr>
          <w:sz w:val="24"/>
        </w:rPr>
        <w:t>public</w:t>
      </w:r>
      <w:r>
        <w:rPr>
          <w:spacing w:val="40"/>
          <w:sz w:val="24"/>
        </w:rPr>
        <w:t> </w:t>
      </w:r>
      <w:r>
        <w:rPr>
          <w:sz w:val="24"/>
        </w:rPr>
        <w:t>way.</w:t>
      </w:r>
    </w:p>
    <w:p>
      <w:pPr>
        <w:pStyle w:val="ListParagraph"/>
        <w:numPr>
          <w:ilvl w:val="1"/>
          <w:numId w:val="6"/>
        </w:numPr>
        <w:tabs>
          <w:tab w:pos="1761" w:val="left" w:leader="none"/>
          <w:tab w:pos="1766" w:val="left" w:leader="none"/>
        </w:tabs>
        <w:spacing w:line="240" w:lineRule="auto" w:before="0" w:after="0"/>
        <w:ind w:left="1766" w:right="783" w:hanging="711"/>
        <w:jc w:val="both"/>
        <w:rPr>
          <w:sz w:val="24"/>
        </w:rPr>
      </w:pPr>
      <w:r>
        <w:rPr>
          <w:sz w:val="24"/>
        </w:rPr>
        <w:t>"Vertical</w:t>
      </w:r>
      <w:r>
        <w:rPr>
          <w:spacing w:val="40"/>
          <w:sz w:val="24"/>
        </w:rPr>
        <w:t> </w:t>
      </w:r>
      <w:r>
        <w:rPr>
          <w:sz w:val="24"/>
        </w:rPr>
        <w:t>exit"</w:t>
      </w:r>
      <w:r>
        <w:rPr>
          <w:spacing w:val="40"/>
          <w:sz w:val="24"/>
        </w:rPr>
        <w:t> </w:t>
      </w:r>
      <w:r>
        <w:rPr>
          <w:sz w:val="24"/>
        </w:rPr>
        <w:t>means</w:t>
      </w:r>
      <w:r>
        <w:rPr>
          <w:spacing w:val="40"/>
          <w:sz w:val="24"/>
        </w:rPr>
        <w:t> </w:t>
      </w:r>
      <w:r>
        <w:rPr>
          <w:sz w:val="24"/>
        </w:rPr>
        <w:t>an</w:t>
      </w:r>
      <w:r>
        <w:rPr>
          <w:spacing w:val="40"/>
          <w:sz w:val="24"/>
        </w:rPr>
        <w:t> </w:t>
      </w:r>
      <w:r>
        <w:rPr>
          <w:sz w:val="24"/>
        </w:rPr>
        <w:t>exit</w:t>
      </w:r>
      <w:r>
        <w:rPr>
          <w:spacing w:val="40"/>
          <w:sz w:val="24"/>
        </w:rPr>
        <w:t> </w:t>
      </w:r>
      <w:r>
        <w:rPr>
          <w:sz w:val="24"/>
        </w:rPr>
        <w:t>used</w:t>
      </w:r>
      <w:r>
        <w:rPr>
          <w:spacing w:val="40"/>
          <w:sz w:val="24"/>
        </w:rPr>
        <w:t> </w:t>
      </w:r>
      <w:r>
        <w:rPr>
          <w:sz w:val="24"/>
        </w:rPr>
        <w:t>for</w:t>
      </w:r>
      <w:r>
        <w:rPr>
          <w:spacing w:val="40"/>
          <w:sz w:val="24"/>
        </w:rPr>
        <w:t> </w:t>
      </w:r>
      <w:r>
        <w:rPr>
          <w:sz w:val="24"/>
        </w:rPr>
        <w:t>ascending</w:t>
      </w:r>
      <w:r>
        <w:rPr>
          <w:spacing w:val="40"/>
          <w:sz w:val="24"/>
        </w:rPr>
        <w:t> </w:t>
      </w:r>
      <w:r>
        <w:rPr>
          <w:sz w:val="24"/>
        </w:rPr>
        <w:t>or</w:t>
      </w:r>
      <w:r>
        <w:rPr>
          <w:spacing w:val="40"/>
          <w:sz w:val="24"/>
        </w:rPr>
        <w:t> </w:t>
      </w:r>
      <w:r>
        <w:rPr>
          <w:sz w:val="24"/>
        </w:rPr>
        <w:t>descending between two or more levels, including stairways, </w:t>
      </w:r>
      <w:r>
        <w:rPr>
          <w:spacing w:val="11"/>
          <w:sz w:val="24"/>
        </w:rPr>
        <w:t>smoke-</w:t>
      </w:r>
      <w:r>
        <w:rPr>
          <w:sz w:val="24"/>
        </w:rPr>
        <w:t>proof towers, ramps,</w:t>
      </w:r>
      <w:r>
        <w:rPr>
          <w:spacing w:val="40"/>
          <w:sz w:val="24"/>
        </w:rPr>
        <w:t> </w:t>
      </w:r>
      <w:r>
        <w:rPr>
          <w:sz w:val="24"/>
        </w:rPr>
        <w:t>escalators</w:t>
      </w:r>
      <w:r>
        <w:rPr>
          <w:spacing w:val="40"/>
          <w:sz w:val="24"/>
        </w:rPr>
        <w:t> </w:t>
      </w:r>
      <w:r>
        <w:rPr>
          <w:sz w:val="24"/>
        </w:rPr>
        <w:t>and</w:t>
      </w:r>
      <w:r>
        <w:rPr>
          <w:spacing w:val="40"/>
          <w:sz w:val="24"/>
        </w:rPr>
        <w:t> </w:t>
      </w:r>
      <w:r>
        <w:rPr>
          <w:sz w:val="24"/>
        </w:rPr>
        <w:t>fire</w:t>
      </w:r>
      <w:r>
        <w:rPr>
          <w:spacing w:val="40"/>
          <w:sz w:val="24"/>
        </w:rPr>
        <w:t> </w:t>
      </w:r>
      <w:r>
        <w:rPr>
          <w:spacing w:val="9"/>
          <w:sz w:val="24"/>
        </w:rPr>
        <w:t>escapes.</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75" w:hanging="711"/>
        <w:jc w:val="both"/>
        <w:rPr>
          <w:sz w:val="24"/>
        </w:rPr>
      </w:pPr>
      <w:r>
        <w:rPr>
          <w:sz w:val="24"/>
        </w:rPr>
        <w:t>"External</w:t>
      </w:r>
      <w:r>
        <w:rPr>
          <w:spacing w:val="40"/>
          <w:sz w:val="24"/>
        </w:rPr>
        <w:t> </w:t>
      </w:r>
      <w:r>
        <w:rPr>
          <w:sz w:val="24"/>
        </w:rPr>
        <w:t>wall"</w:t>
      </w:r>
      <w:r>
        <w:rPr>
          <w:spacing w:val="40"/>
          <w:sz w:val="24"/>
        </w:rPr>
        <w:t> </w:t>
      </w:r>
      <w:r>
        <w:rPr>
          <w:sz w:val="24"/>
        </w:rPr>
        <w:t>means</w:t>
      </w:r>
      <w:r>
        <w:rPr>
          <w:spacing w:val="40"/>
          <w:sz w:val="24"/>
        </w:rPr>
        <w:t> </w:t>
      </w:r>
      <w:r>
        <w:rPr>
          <w:sz w:val="24"/>
        </w:rPr>
        <w:t>an</w:t>
      </w:r>
      <w:r>
        <w:rPr>
          <w:spacing w:val="40"/>
          <w:sz w:val="24"/>
        </w:rPr>
        <w:t> </w:t>
      </w:r>
      <w:r>
        <w:rPr>
          <w:sz w:val="24"/>
        </w:rPr>
        <w:t>outer</w:t>
      </w:r>
      <w:r>
        <w:rPr>
          <w:spacing w:val="40"/>
          <w:sz w:val="24"/>
        </w:rPr>
        <w:t> </w:t>
      </w:r>
      <w:r>
        <w:rPr>
          <w:sz w:val="24"/>
        </w:rPr>
        <w:t>wall</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not</w:t>
      </w:r>
      <w:r>
        <w:rPr>
          <w:spacing w:val="40"/>
          <w:sz w:val="24"/>
        </w:rPr>
        <w:t> </w:t>
      </w:r>
      <w:r>
        <w:rPr>
          <w:sz w:val="24"/>
        </w:rPr>
        <w:t>being</w:t>
      </w:r>
      <w:r>
        <w:rPr>
          <w:spacing w:val="40"/>
          <w:sz w:val="24"/>
        </w:rPr>
        <w:t> </w:t>
      </w:r>
      <w:r>
        <w:rPr>
          <w:sz w:val="24"/>
        </w:rPr>
        <w:t>a</w:t>
      </w:r>
      <w:r>
        <w:rPr>
          <w:spacing w:val="40"/>
          <w:sz w:val="24"/>
        </w:rPr>
        <w:t> </w:t>
      </w:r>
      <w:r>
        <w:rPr>
          <w:sz w:val="24"/>
        </w:rPr>
        <w:t>partition</w:t>
      </w:r>
      <w:r>
        <w:rPr>
          <w:spacing w:val="40"/>
          <w:sz w:val="24"/>
        </w:rPr>
        <w:t> </w:t>
      </w:r>
      <w:r>
        <w:rPr>
          <w:sz w:val="24"/>
        </w:rPr>
        <w:t>wall</w:t>
      </w:r>
      <w:r>
        <w:rPr>
          <w:spacing w:val="40"/>
          <w:sz w:val="24"/>
        </w:rPr>
        <w:t> </w:t>
      </w:r>
      <w:r>
        <w:rPr>
          <w:sz w:val="24"/>
        </w:rPr>
        <w:t>even</w:t>
      </w:r>
      <w:r>
        <w:rPr>
          <w:spacing w:val="40"/>
          <w:sz w:val="24"/>
        </w:rPr>
        <w:t> </w:t>
      </w:r>
      <w:r>
        <w:rPr>
          <w:sz w:val="24"/>
        </w:rPr>
        <w:t>though</w:t>
      </w:r>
      <w:r>
        <w:rPr>
          <w:spacing w:val="40"/>
          <w:sz w:val="24"/>
        </w:rPr>
        <w:t> </w:t>
      </w:r>
      <w:r>
        <w:rPr>
          <w:sz w:val="24"/>
        </w:rPr>
        <w:t>adjoining</w:t>
      </w:r>
      <w:r>
        <w:rPr>
          <w:spacing w:val="40"/>
          <w:sz w:val="24"/>
        </w:rPr>
        <w:t> </w:t>
      </w:r>
      <w:r>
        <w:rPr>
          <w:sz w:val="24"/>
        </w:rPr>
        <w:t>a</w:t>
      </w:r>
      <w:r>
        <w:rPr>
          <w:spacing w:val="40"/>
          <w:sz w:val="24"/>
        </w:rPr>
        <w:t> </w:t>
      </w:r>
      <w:r>
        <w:rPr>
          <w:sz w:val="24"/>
        </w:rPr>
        <w:t>wall</w:t>
      </w:r>
      <w:r>
        <w:rPr>
          <w:spacing w:val="40"/>
          <w:sz w:val="24"/>
        </w:rPr>
        <w:t> </w:t>
      </w:r>
      <w:r>
        <w:rPr>
          <w:sz w:val="24"/>
        </w:rPr>
        <w:t>of</w:t>
      </w:r>
      <w:r>
        <w:rPr>
          <w:spacing w:val="40"/>
          <w:sz w:val="24"/>
        </w:rPr>
        <w:t> </w:t>
      </w:r>
      <w:r>
        <w:rPr>
          <w:sz w:val="24"/>
        </w:rPr>
        <w:t>another</w:t>
      </w:r>
      <w:r>
        <w:rPr>
          <w:spacing w:val="40"/>
          <w:sz w:val="24"/>
        </w:rPr>
        <w:t> </w:t>
      </w:r>
      <w:r>
        <w:rPr>
          <w:sz w:val="24"/>
        </w:rPr>
        <w:t>building</w:t>
      </w:r>
      <w:r>
        <w:rPr>
          <w:spacing w:val="40"/>
          <w:sz w:val="24"/>
        </w:rPr>
        <w:t> </w:t>
      </w:r>
      <w:r>
        <w:rPr>
          <w:sz w:val="24"/>
        </w:rPr>
        <w:t>and also</w:t>
      </w:r>
      <w:r>
        <w:rPr>
          <w:spacing w:val="33"/>
          <w:sz w:val="24"/>
        </w:rPr>
        <w:t> </w:t>
      </w:r>
      <w:r>
        <w:rPr>
          <w:sz w:val="24"/>
        </w:rPr>
        <w:t>means</w:t>
      </w:r>
      <w:r>
        <w:rPr>
          <w:spacing w:val="33"/>
          <w:sz w:val="24"/>
        </w:rPr>
        <w:t> </w:t>
      </w:r>
      <w:r>
        <w:rPr>
          <w:sz w:val="24"/>
        </w:rPr>
        <w:t>a</w:t>
      </w:r>
      <w:r>
        <w:rPr>
          <w:spacing w:val="33"/>
          <w:sz w:val="24"/>
        </w:rPr>
        <w:t> </w:t>
      </w:r>
      <w:r>
        <w:rPr>
          <w:sz w:val="24"/>
        </w:rPr>
        <w:t>wall</w:t>
      </w:r>
      <w:r>
        <w:rPr>
          <w:spacing w:val="33"/>
          <w:sz w:val="24"/>
        </w:rPr>
        <w:t> </w:t>
      </w:r>
      <w:r>
        <w:rPr>
          <w:sz w:val="24"/>
        </w:rPr>
        <w:t>abutting</w:t>
      </w:r>
      <w:r>
        <w:rPr>
          <w:spacing w:val="33"/>
          <w:sz w:val="24"/>
        </w:rPr>
        <w:t> </w:t>
      </w:r>
      <w:r>
        <w:rPr>
          <w:sz w:val="24"/>
        </w:rPr>
        <w:t>on</w:t>
      </w:r>
      <w:r>
        <w:rPr>
          <w:spacing w:val="33"/>
          <w:sz w:val="24"/>
        </w:rPr>
        <w:t> </w:t>
      </w:r>
      <w:r>
        <w:rPr>
          <w:sz w:val="24"/>
        </w:rPr>
        <w:t>an</w:t>
      </w:r>
      <w:r>
        <w:rPr>
          <w:spacing w:val="33"/>
          <w:sz w:val="24"/>
        </w:rPr>
        <w:t> </w:t>
      </w:r>
      <w:r>
        <w:rPr>
          <w:sz w:val="24"/>
        </w:rPr>
        <w:t>interior</w:t>
      </w:r>
      <w:r>
        <w:rPr>
          <w:spacing w:val="33"/>
          <w:sz w:val="24"/>
        </w:rPr>
        <w:t> </w:t>
      </w:r>
      <w:r>
        <w:rPr>
          <w:sz w:val="24"/>
        </w:rPr>
        <w:t>open</w:t>
      </w:r>
      <w:r>
        <w:rPr>
          <w:spacing w:val="33"/>
          <w:sz w:val="24"/>
        </w:rPr>
        <w:t> </w:t>
      </w:r>
      <w:r>
        <w:rPr>
          <w:sz w:val="24"/>
        </w:rPr>
        <w:t>space</w:t>
      </w:r>
      <w:r>
        <w:rPr>
          <w:spacing w:val="33"/>
          <w:sz w:val="24"/>
        </w:rPr>
        <w:t> </w:t>
      </w:r>
      <w:r>
        <w:rPr>
          <w:sz w:val="24"/>
        </w:rPr>
        <w:t>of</w:t>
      </w:r>
      <w:r>
        <w:rPr>
          <w:spacing w:val="33"/>
          <w:sz w:val="24"/>
        </w:rPr>
        <w:t> </w:t>
      </w:r>
      <w:r>
        <w:rPr>
          <w:sz w:val="24"/>
        </w:rPr>
        <w:t>any</w:t>
      </w:r>
      <w:r>
        <w:rPr>
          <w:spacing w:val="33"/>
          <w:sz w:val="24"/>
        </w:rPr>
        <w:t> </w:t>
      </w:r>
      <w:r>
        <w:rPr>
          <w:spacing w:val="9"/>
          <w:sz w:val="24"/>
        </w:rPr>
        <w:t>building.</w:t>
      </w:r>
    </w:p>
    <w:p>
      <w:pPr>
        <w:pStyle w:val="ListParagraph"/>
        <w:numPr>
          <w:ilvl w:val="0"/>
          <w:numId w:val="6"/>
        </w:numPr>
        <w:tabs>
          <w:tab w:pos="1762" w:val="left" w:leader="none"/>
          <w:tab w:pos="1766" w:val="left" w:leader="none"/>
        </w:tabs>
        <w:spacing w:line="240" w:lineRule="auto" w:before="281" w:after="0"/>
        <w:ind w:left="1766" w:right="782" w:hanging="711"/>
        <w:jc w:val="both"/>
        <w:rPr>
          <w:sz w:val="24"/>
        </w:rPr>
      </w:pPr>
      <w:r>
        <w:rPr>
          <w:sz w:val="24"/>
        </w:rPr>
        <w:t>"Fire and/or emergency alarm system" means an arrangement of call points</w:t>
      </w:r>
      <w:r>
        <w:rPr>
          <w:spacing w:val="40"/>
          <w:sz w:val="24"/>
        </w:rPr>
        <w:t> </w:t>
      </w:r>
      <w:r>
        <w:rPr>
          <w:sz w:val="24"/>
        </w:rPr>
        <w:t>or</w:t>
      </w:r>
      <w:r>
        <w:rPr>
          <w:spacing w:val="40"/>
          <w:sz w:val="24"/>
        </w:rPr>
        <w:t> </w:t>
      </w:r>
      <w:r>
        <w:rPr>
          <w:sz w:val="24"/>
        </w:rPr>
        <w:t>detectors,</w:t>
      </w:r>
      <w:r>
        <w:rPr>
          <w:spacing w:val="40"/>
          <w:sz w:val="24"/>
        </w:rPr>
        <w:t> </w:t>
      </w:r>
      <w:r>
        <w:rPr>
          <w:sz w:val="24"/>
        </w:rPr>
        <w:t>sounders</w:t>
      </w:r>
      <w:r>
        <w:rPr>
          <w:spacing w:val="40"/>
          <w:sz w:val="24"/>
        </w:rPr>
        <w:t> </w:t>
      </w:r>
      <w:r>
        <w:rPr>
          <w:sz w:val="24"/>
        </w:rPr>
        <w:t>and</w:t>
      </w:r>
      <w:r>
        <w:rPr>
          <w:spacing w:val="40"/>
          <w:sz w:val="24"/>
        </w:rPr>
        <w:t> </w:t>
      </w:r>
      <w:r>
        <w:rPr>
          <w:sz w:val="24"/>
        </w:rPr>
        <w:t>other</w:t>
      </w:r>
      <w:r>
        <w:rPr>
          <w:spacing w:val="40"/>
          <w:sz w:val="24"/>
        </w:rPr>
        <w:t> </w:t>
      </w:r>
      <w:r>
        <w:rPr>
          <w:sz w:val="24"/>
        </w:rPr>
        <w:t>equipment</w:t>
      </w:r>
      <w:r>
        <w:rPr>
          <w:spacing w:val="40"/>
          <w:sz w:val="24"/>
        </w:rPr>
        <w:t> </w:t>
      </w:r>
      <w:r>
        <w:rPr>
          <w:sz w:val="24"/>
        </w:rPr>
        <w:t>for</w:t>
      </w:r>
      <w:r>
        <w:rPr>
          <w:spacing w:val="40"/>
          <w:sz w:val="24"/>
        </w:rPr>
        <w:t> </w:t>
      </w:r>
      <w:r>
        <w:rPr>
          <w:sz w:val="24"/>
        </w:rPr>
        <w:t>the transmission</w:t>
      </w:r>
      <w:r>
        <w:rPr>
          <w:spacing w:val="80"/>
          <w:sz w:val="24"/>
        </w:rPr>
        <w:t> </w:t>
      </w:r>
      <w:r>
        <w:rPr>
          <w:sz w:val="24"/>
        </w:rPr>
        <w:t>and</w:t>
      </w:r>
      <w:r>
        <w:rPr>
          <w:spacing w:val="80"/>
          <w:sz w:val="24"/>
        </w:rPr>
        <w:t> </w:t>
      </w:r>
      <w:r>
        <w:rPr>
          <w:sz w:val="24"/>
        </w:rPr>
        <w:t>indication</w:t>
      </w:r>
      <w:r>
        <w:rPr>
          <w:spacing w:val="80"/>
          <w:sz w:val="24"/>
        </w:rPr>
        <w:t> </w:t>
      </w:r>
      <w:r>
        <w:rPr>
          <w:sz w:val="24"/>
        </w:rPr>
        <w:t>of</w:t>
      </w:r>
      <w:r>
        <w:rPr>
          <w:spacing w:val="80"/>
          <w:sz w:val="24"/>
        </w:rPr>
        <w:t> </w:t>
      </w:r>
      <w:r>
        <w:rPr>
          <w:sz w:val="24"/>
        </w:rPr>
        <w:t>alarm</w:t>
      </w:r>
      <w:r>
        <w:rPr>
          <w:spacing w:val="80"/>
          <w:sz w:val="24"/>
        </w:rPr>
        <w:t> </w:t>
      </w:r>
      <w:r>
        <w:rPr>
          <w:sz w:val="24"/>
        </w:rPr>
        <w:t>signals,</w:t>
      </w:r>
      <w:r>
        <w:rPr>
          <w:spacing w:val="80"/>
          <w:w w:val="150"/>
          <w:sz w:val="24"/>
        </w:rPr>
        <w:t> </w:t>
      </w:r>
      <w:r>
        <w:rPr>
          <w:sz w:val="24"/>
        </w:rPr>
        <w:t>activated</w:t>
      </w:r>
      <w:r>
        <w:rPr>
          <w:spacing w:val="40"/>
          <w:sz w:val="24"/>
        </w:rPr>
        <w:t> </w:t>
      </w:r>
      <w:r>
        <w:rPr>
          <w:sz w:val="24"/>
        </w:rPr>
        <w:t>automatically</w:t>
      </w:r>
      <w:r>
        <w:rPr>
          <w:spacing w:val="78"/>
          <w:sz w:val="24"/>
        </w:rPr>
        <w:t> </w:t>
      </w:r>
      <w:r>
        <w:rPr>
          <w:sz w:val="24"/>
        </w:rPr>
        <w:t>or</w:t>
      </w:r>
      <w:r>
        <w:rPr>
          <w:spacing w:val="40"/>
          <w:sz w:val="24"/>
        </w:rPr>
        <w:t> </w:t>
      </w:r>
      <w:r>
        <w:rPr>
          <w:sz w:val="24"/>
        </w:rPr>
        <w:t>manually</w:t>
      </w:r>
      <w:r>
        <w:rPr>
          <w:spacing w:val="78"/>
          <w:sz w:val="24"/>
        </w:rPr>
        <w:t> </w:t>
      </w:r>
      <w:r>
        <w:rPr>
          <w:sz w:val="24"/>
        </w:rPr>
        <w:t>in</w:t>
      </w:r>
      <w:r>
        <w:rPr>
          <w:spacing w:val="40"/>
          <w:sz w:val="24"/>
        </w:rPr>
        <w:t> </w:t>
      </w:r>
      <w:r>
        <w:rPr>
          <w:sz w:val="24"/>
        </w:rPr>
        <w:t>the</w:t>
      </w:r>
      <w:r>
        <w:rPr>
          <w:spacing w:val="78"/>
          <w:sz w:val="24"/>
        </w:rPr>
        <w:t> </w:t>
      </w:r>
      <w:r>
        <w:rPr>
          <w:sz w:val="24"/>
        </w:rPr>
        <w:t>case</w:t>
      </w:r>
      <w:r>
        <w:rPr>
          <w:spacing w:val="78"/>
          <w:sz w:val="24"/>
        </w:rPr>
        <w:t> </w:t>
      </w:r>
      <w:r>
        <w:rPr>
          <w:sz w:val="24"/>
        </w:rPr>
        <w:t>of</w:t>
      </w:r>
      <w:r>
        <w:rPr>
          <w:spacing w:val="40"/>
          <w:sz w:val="24"/>
        </w:rPr>
        <w:t> </w:t>
      </w:r>
      <w:r>
        <w:rPr>
          <w:sz w:val="24"/>
        </w:rPr>
        <w:t>fire</w:t>
      </w:r>
      <w:r>
        <w:rPr>
          <w:spacing w:val="78"/>
          <w:sz w:val="24"/>
        </w:rPr>
        <w:t> </w:t>
      </w:r>
      <w:r>
        <w:rPr>
          <w:sz w:val="24"/>
        </w:rPr>
        <w:t>or</w:t>
      </w:r>
      <w:r>
        <w:rPr>
          <w:spacing w:val="40"/>
          <w:sz w:val="24"/>
        </w:rPr>
        <w:t> </w:t>
      </w:r>
      <w:r>
        <w:rPr>
          <w:sz w:val="24"/>
        </w:rPr>
        <w:t>other</w:t>
      </w:r>
      <w:r>
        <w:rPr>
          <w:spacing w:val="40"/>
          <w:sz w:val="24"/>
        </w:rPr>
        <w:t> </w:t>
      </w:r>
      <w:r>
        <w:rPr>
          <w:sz w:val="24"/>
        </w:rPr>
        <w:t>emergency.</w:t>
      </w:r>
    </w:p>
    <w:p>
      <w:pPr>
        <w:pStyle w:val="BodyText"/>
        <w:jc w:val="left"/>
      </w:pPr>
    </w:p>
    <w:p>
      <w:pPr>
        <w:pStyle w:val="ListParagraph"/>
        <w:numPr>
          <w:ilvl w:val="0"/>
          <w:numId w:val="6"/>
        </w:numPr>
        <w:tabs>
          <w:tab w:pos="1762" w:val="left" w:leader="none"/>
          <w:tab w:pos="1766" w:val="left" w:leader="none"/>
        </w:tabs>
        <w:spacing w:line="240" w:lineRule="auto" w:before="1" w:after="0"/>
        <w:ind w:left="1766" w:right="797" w:hanging="711"/>
        <w:jc w:val="both"/>
        <w:rPr>
          <w:sz w:val="24"/>
        </w:rPr>
      </w:pPr>
      <w:r>
        <w:rPr>
          <w:sz w:val="24"/>
        </w:rPr>
        <w:t>"Fire</w:t>
      </w:r>
      <w:r>
        <w:rPr>
          <w:spacing w:val="80"/>
          <w:sz w:val="24"/>
        </w:rPr>
        <w:t> </w:t>
      </w:r>
      <w:r>
        <w:rPr>
          <w:sz w:val="24"/>
        </w:rPr>
        <w:t>Booster</w:t>
      </w:r>
      <w:r>
        <w:rPr>
          <w:spacing w:val="80"/>
          <w:sz w:val="24"/>
        </w:rPr>
        <w:t> </w:t>
      </w:r>
      <w:r>
        <w:rPr>
          <w:sz w:val="24"/>
        </w:rPr>
        <w:t>pump"</w:t>
      </w:r>
      <w:r>
        <w:rPr>
          <w:spacing w:val="80"/>
          <w:sz w:val="24"/>
        </w:rPr>
        <w:t> </w:t>
      </w:r>
      <w:r>
        <w:rPr>
          <w:sz w:val="24"/>
        </w:rPr>
        <w:t>means</w:t>
      </w:r>
      <w:r>
        <w:rPr>
          <w:spacing w:val="80"/>
          <w:sz w:val="24"/>
        </w:rPr>
        <w:t> </w:t>
      </w:r>
      <w:r>
        <w:rPr>
          <w:sz w:val="24"/>
        </w:rPr>
        <w:t>a</w:t>
      </w:r>
      <w:r>
        <w:rPr>
          <w:spacing w:val="80"/>
          <w:sz w:val="24"/>
        </w:rPr>
        <w:t> </w:t>
      </w:r>
      <w:r>
        <w:rPr>
          <w:sz w:val="24"/>
        </w:rPr>
        <w:t>mechanical/electrical</w:t>
      </w:r>
      <w:r>
        <w:rPr>
          <w:spacing w:val="80"/>
          <w:sz w:val="24"/>
        </w:rPr>
        <w:t> </w:t>
      </w:r>
      <w:r>
        <w:rPr>
          <w:sz w:val="24"/>
        </w:rPr>
        <w:t>device</w:t>
      </w:r>
      <w:r>
        <w:rPr>
          <w:spacing w:val="80"/>
          <w:sz w:val="24"/>
        </w:rPr>
        <w:t> </w:t>
      </w:r>
      <w:r>
        <w:rPr>
          <w:sz w:val="24"/>
        </w:rPr>
        <w:t>installed at</w:t>
      </w:r>
      <w:r>
        <w:rPr>
          <w:spacing w:val="56"/>
          <w:sz w:val="24"/>
        </w:rPr>
        <w:t> </w:t>
      </w:r>
      <w:r>
        <w:rPr>
          <w:sz w:val="24"/>
        </w:rPr>
        <w:t>intermittent</w:t>
      </w:r>
      <w:r>
        <w:rPr>
          <w:spacing w:val="56"/>
          <w:sz w:val="24"/>
        </w:rPr>
        <w:t> </w:t>
      </w:r>
      <w:r>
        <w:rPr>
          <w:sz w:val="24"/>
        </w:rPr>
        <w:t>level</w:t>
      </w:r>
      <w:r>
        <w:rPr>
          <w:spacing w:val="56"/>
          <w:sz w:val="24"/>
        </w:rPr>
        <w:t> </w:t>
      </w:r>
      <w:r>
        <w:rPr>
          <w:sz w:val="24"/>
        </w:rPr>
        <w:t>to</w:t>
      </w:r>
      <w:r>
        <w:rPr>
          <w:spacing w:val="56"/>
          <w:sz w:val="24"/>
        </w:rPr>
        <w:t> </w:t>
      </w:r>
      <w:r>
        <w:rPr>
          <w:sz w:val="24"/>
        </w:rPr>
        <w:t>boost</w:t>
      </w:r>
      <w:r>
        <w:rPr>
          <w:spacing w:val="56"/>
          <w:sz w:val="24"/>
        </w:rPr>
        <w:t> </w:t>
      </w:r>
      <w:r>
        <w:rPr>
          <w:sz w:val="24"/>
        </w:rPr>
        <w:t>up</w:t>
      </w:r>
      <w:r>
        <w:rPr>
          <w:spacing w:val="56"/>
          <w:sz w:val="24"/>
        </w:rPr>
        <w:t> </w:t>
      </w:r>
      <w:r>
        <w:rPr>
          <w:sz w:val="24"/>
        </w:rPr>
        <w:t>the</w:t>
      </w:r>
      <w:r>
        <w:rPr>
          <w:spacing w:val="56"/>
          <w:sz w:val="24"/>
        </w:rPr>
        <w:t> </w:t>
      </w:r>
      <w:r>
        <w:rPr>
          <w:sz w:val="24"/>
        </w:rPr>
        <w:t>water</w:t>
      </w:r>
      <w:r>
        <w:rPr>
          <w:spacing w:val="56"/>
          <w:sz w:val="24"/>
        </w:rPr>
        <w:t> </w:t>
      </w:r>
      <w:r>
        <w:rPr>
          <w:sz w:val="24"/>
        </w:rPr>
        <w:t>pressure</w:t>
      </w:r>
      <w:r>
        <w:rPr>
          <w:spacing w:val="56"/>
          <w:sz w:val="24"/>
        </w:rPr>
        <w:t> </w:t>
      </w:r>
      <w:r>
        <w:rPr>
          <w:sz w:val="24"/>
        </w:rPr>
        <w:t>so</w:t>
      </w:r>
      <w:r>
        <w:rPr>
          <w:spacing w:val="56"/>
          <w:sz w:val="24"/>
        </w:rPr>
        <w:t> </w:t>
      </w:r>
      <w:r>
        <w:rPr>
          <w:sz w:val="24"/>
        </w:rPr>
        <w:t>as</w:t>
      </w:r>
      <w:r>
        <w:rPr>
          <w:spacing w:val="58"/>
          <w:sz w:val="24"/>
        </w:rPr>
        <w:t> </w:t>
      </w:r>
      <w:r>
        <w:rPr>
          <w:sz w:val="24"/>
        </w:rPr>
        <w:t>to</w:t>
      </w:r>
      <w:r>
        <w:rPr>
          <w:spacing w:val="56"/>
          <w:sz w:val="24"/>
        </w:rPr>
        <w:t> </w:t>
      </w:r>
      <w:r>
        <w:rPr>
          <w:sz w:val="24"/>
        </w:rPr>
        <w:t>achieve</w:t>
      </w:r>
    </w:p>
    <w:p>
      <w:pPr>
        <w:pStyle w:val="ListParagraph"/>
        <w:spacing w:after="0" w:line="240" w:lineRule="auto"/>
        <w:jc w:val="both"/>
        <w:rPr>
          <w:sz w:val="24"/>
        </w:rPr>
        <w:sectPr>
          <w:pgSz w:w="11910" w:h="16840"/>
          <w:pgMar w:header="1058" w:footer="1357" w:top="1500" w:bottom="1540" w:left="360" w:right="360"/>
        </w:sectPr>
      </w:pPr>
    </w:p>
    <w:p>
      <w:pPr>
        <w:pStyle w:val="BodyText"/>
        <w:spacing w:before="255"/>
        <w:ind w:left="1766" w:right="838"/>
        <w:jc w:val="left"/>
      </w:pPr>
      <w:r>
        <w:rPr/>
        <w:t>the</w:t>
      </w:r>
      <w:r>
        <w:rPr>
          <w:spacing w:val="80"/>
        </w:rPr>
        <w:t> </w:t>
      </w:r>
      <w:r>
        <w:rPr/>
        <w:t>required</w:t>
      </w:r>
      <w:r>
        <w:rPr>
          <w:spacing w:val="80"/>
        </w:rPr>
        <w:t> </w:t>
      </w:r>
      <w:r>
        <w:rPr/>
        <w:t>pressure</w:t>
      </w:r>
      <w:r>
        <w:rPr>
          <w:spacing w:val="80"/>
        </w:rPr>
        <w:t> </w:t>
      </w:r>
      <w:r>
        <w:rPr/>
        <w:t>of</w:t>
      </w:r>
      <w:r>
        <w:rPr>
          <w:spacing w:val="80"/>
        </w:rPr>
        <w:t> </w:t>
      </w:r>
      <w:r>
        <w:rPr/>
        <w:t>3.2</w:t>
      </w:r>
      <w:r>
        <w:rPr>
          <w:spacing w:val="80"/>
        </w:rPr>
        <w:t> </w:t>
      </w:r>
      <w:r>
        <w:rPr/>
        <w:t>kg/cm2</w:t>
      </w:r>
      <w:r>
        <w:rPr>
          <w:spacing w:val="80"/>
        </w:rPr>
        <w:t> </w:t>
      </w:r>
      <w:r>
        <w:rPr/>
        <w:t>at</w:t>
      </w:r>
      <w:r>
        <w:rPr>
          <w:spacing w:val="80"/>
        </w:rPr>
        <w:t> </w:t>
      </w:r>
      <w:r>
        <w:rPr/>
        <w:t>the</w:t>
      </w:r>
      <w:r>
        <w:rPr>
          <w:spacing w:val="80"/>
        </w:rPr>
        <w:t> </w:t>
      </w:r>
      <w:r>
        <w:rPr/>
        <w:t>top</w:t>
      </w:r>
      <w:r>
        <w:rPr>
          <w:spacing w:val="80"/>
        </w:rPr>
        <w:t> </w:t>
      </w:r>
      <w:r>
        <w:rPr/>
        <w:t>level</w:t>
      </w:r>
      <w:r>
        <w:rPr>
          <w:spacing w:val="80"/>
        </w:rPr>
        <w:t> </w:t>
      </w:r>
      <w:r>
        <w:rPr/>
        <w:t>of</w:t>
      </w:r>
      <w:r>
        <w:rPr>
          <w:spacing w:val="80"/>
        </w:rPr>
        <w:t> </w:t>
      </w:r>
      <w:r>
        <w:rPr/>
        <w:t>high</w:t>
      </w:r>
      <w:r>
        <w:rPr>
          <w:spacing w:val="80"/>
        </w:rPr>
        <w:t> </w:t>
      </w:r>
      <w:r>
        <w:rPr/>
        <w:t>rise building</w:t>
      </w:r>
      <w:r>
        <w:rPr>
          <w:spacing w:val="40"/>
        </w:rPr>
        <w:t> </w:t>
      </w:r>
      <w:r>
        <w:rPr/>
        <w:t>or</w:t>
      </w:r>
      <w:r>
        <w:rPr>
          <w:spacing w:val="40"/>
        </w:rPr>
        <w:t> </w:t>
      </w:r>
      <w:r>
        <w:rPr/>
        <w:t>at</w:t>
      </w:r>
      <w:r>
        <w:rPr>
          <w:spacing w:val="40"/>
        </w:rPr>
        <w:t> </w:t>
      </w:r>
      <w:r>
        <w:rPr/>
        <w:t>the</w:t>
      </w:r>
      <w:r>
        <w:rPr>
          <w:spacing w:val="40"/>
        </w:rPr>
        <w:t> </w:t>
      </w:r>
      <w:r>
        <w:rPr/>
        <w:t>nearest</w:t>
      </w:r>
      <w:r>
        <w:rPr>
          <w:spacing w:val="40"/>
        </w:rPr>
        <w:t> </w:t>
      </w:r>
      <w:r>
        <w:rPr/>
        <w:t>point.</w:t>
      </w:r>
    </w:p>
    <w:p>
      <w:pPr>
        <w:pStyle w:val="BodyText"/>
        <w:spacing w:before="2"/>
        <w:jc w:val="left"/>
      </w:pPr>
    </w:p>
    <w:p>
      <w:pPr>
        <w:pStyle w:val="ListParagraph"/>
        <w:numPr>
          <w:ilvl w:val="0"/>
          <w:numId w:val="6"/>
        </w:numPr>
        <w:tabs>
          <w:tab w:pos="1762" w:val="left" w:leader="none"/>
          <w:tab w:pos="1766" w:val="left" w:leader="none"/>
        </w:tabs>
        <w:spacing w:line="240" w:lineRule="auto" w:before="0" w:after="0"/>
        <w:ind w:left="1766" w:right="801" w:hanging="711"/>
        <w:jc w:val="both"/>
        <w:rPr>
          <w:sz w:val="24"/>
        </w:rPr>
      </w:pPr>
      <w:r>
        <w:rPr>
          <w:sz w:val="24"/>
        </w:rPr>
        <w:t>"Fire lift" means a special lift designed for the use of fire service</w:t>
      </w:r>
      <w:r>
        <w:rPr>
          <w:spacing w:val="40"/>
          <w:sz w:val="24"/>
        </w:rPr>
        <w:t> </w:t>
      </w:r>
      <w:r>
        <w:rPr>
          <w:sz w:val="24"/>
        </w:rPr>
        <w:t>personnel</w:t>
      </w:r>
      <w:r>
        <w:rPr>
          <w:spacing w:val="40"/>
          <w:sz w:val="24"/>
        </w:rPr>
        <w:t> </w:t>
      </w:r>
      <w:r>
        <w:rPr>
          <w:sz w:val="24"/>
        </w:rPr>
        <w:t>in</w:t>
      </w:r>
      <w:r>
        <w:rPr>
          <w:spacing w:val="40"/>
          <w:sz w:val="24"/>
        </w:rPr>
        <w:t> </w:t>
      </w:r>
      <w:r>
        <w:rPr>
          <w:sz w:val="24"/>
        </w:rPr>
        <w:t>the</w:t>
      </w:r>
      <w:r>
        <w:rPr>
          <w:spacing w:val="40"/>
          <w:sz w:val="24"/>
        </w:rPr>
        <w:t> </w:t>
      </w:r>
      <w:r>
        <w:rPr>
          <w:sz w:val="24"/>
        </w:rPr>
        <w:t>event</w:t>
      </w:r>
      <w:r>
        <w:rPr>
          <w:spacing w:val="40"/>
          <w:sz w:val="24"/>
        </w:rPr>
        <w:t> </w:t>
      </w:r>
      <w:r>
        <w:rPr>
          <w:sz w:val="24"/>
        </w:rPr>
        <w:t>of</w:t>
      </w:r>
      <w:r>
        <w:rPr>
          <w:spacing w:val="40"/>
          <w:sz w:val="24"/>
        </w:rPr>
        <w:t> </w:t>
      </w:r>
      <w:r>
        <w:rPr>
          <w:sz w:val="24"/>
        </w:rPr>
        <w:t>fire</w:t>
      </w:r>
      <w:r>
        <w:rPr>
          <w:spacing w:val="40"/>
          <w:sz w:val="24"/>
        </w:rPr>
        <w:t> </w:t>
      </w:r>
      <w:r>
        <w:rPr>
          <w:sz w:val="24"/>
        </w:rPr>
        <w:t>or</w:t>
      </w:r>
      <w:r>
        <w:rPr>
          <w:spacing w:val="40"/>
          <w:sz w:val="24"/>
        </w:rPr>
        <w:t> </w:t>
      </w:r>
      <w:r>
        <w:rPr>
          <w:sz w:val="24"/>
        </w:rPr>
        <w:t>other</w:t>
      </w:r>
      <w:r>
        <w:rPr>
          <w:spacing w:val="40"/>
          <w:sz w:val="24"/>
        </w:rPr>
        <w:t> </w:t>
      </w:r>
      <w:r>
        <w:rPr>
          <w:spacing w:val="9"/>
          <w:sz w:val="24"/>
        </w:rPr>
        <w:t>emergency.</w:t>
      </w:r>
    </w:p>
    <w:p>
      <w:pPr>
        <w:pStyle w:val="ListParagraph"/>
        <w:numPr>
          <w:ilvl w:val="0"/>
          <w:numId w:val="6"/>
        </w:numPr>
        <w:tabs>
          <w:tab w:pos="1762" w:val="left" w:leader="none"/>
          <w:tab w:pos="1766" w:val="left" w:leader="none"/>
        </w:tabs>
        <w:spacing w:line="240" w:lineRule="auto" w:before="281" w:after="0"/>
        <w:ind w:left="1766" w:right="771" w:hanging="711"/>
        <w:jc w:val="both"/>
        <w:rPr>
          <w:sz w:val="24"/>
        </w:rPr>
      </w:pPr>
      <w:r>
        <w:rPr>
          <w:sz w:val="24"/>
        </w:rPr>
        <w:t>"Fire</w:t>
      </w:r>
      <w:r>
        <w:rPr>
          <w:spacing w:val="40"/>
          <w:sz w:val="24"/>
        </w:rPr>
        <w:t> </w:t>
      </w:r>
      <w:r>
        <w:rPr>
          <w:sz w:val="24"/>
        </w:rPr>
        <w:t>proof</w:t>
      </w:r>
      <w:r>
        <w:rPr>
          <w:spacing w:val="40"/>
          <w:sz w:val="24"/>
        </w:rPr>
        <w:t> </w:t>
      </w:r>
      <w:r>
        <w:rPr>
          <w:sz w:val="24"/>
        </w:rPr>
        <w:t>door"</w:t>
      </w:r>
      <w:r>
        <w:rPr>
          <w:spacing w:val="40"/>
          <w:sz w:val="24"/>
        </w:rPr>
        <w:t> </w:t>
      </w:r>
      <w:r>
        <w:rPr>
          <w:sz w:val="24"/>
        </w:rPr>
        <w:t>means</w:t>
      </w:r>
      <w:r>
        <w:rPr>
          <w:spacing w:val="40"/>
          <w:sz w:val="24"/>
        </w:rPr>
        <w:t> </w:t>
      </w:r>
      <w:r>
        <w:rPr>
          <w:sz w:val="24"/>
        </w:rPr>
        <w:t>a</w:t>
      </w:r>
      <w:r>
        <w:rPr>
          <w:spacing w:val="40"/>
          <w:sz w:val="24"/>
        </w:rPr>
        <w:t> </w:t>
      </w:r>
      <w:r>
        <w:rPr>
          <w:sz w:val="24"/>
        </w:rPr>
        <w:t>door</w:t>
      </w:r>
      <w:r>
        <w:rPr>
          <w:spacing w:val="40"/>
          <w:sz w:val="24"/>
        </w:rPr>
        <w:t> </w:t>
      </w:r>
      <w:r>
        <w:rPr>
          <w:sz w:val="24"/>
        </w:rPr>
        <w:t>or</w:t>
      </w:r>
      <w:r>
        <w:rPr>
          <w:spacing w:val="40"/>
          <w:sz w:val="24"/>
        </w:rPr>
        <w:t> </w:t>
      </w:r>
      <w:r>
        <w:rPr>
          <w:sz w:val="24"/>
        </w:rPr>
        <w:t>shutter</w:t>
      </w:r>
      <w:r>
        <w:rPr>
          <w:spacing w:val="40"/>
          <w:sz w:val="24"/>
        </w:rPr>
        <w:t> </w:t>
      </w:r>
      <w:r>
        <w:rPr>
          <w:sz w:val="24"/>
        </w:rPr>
        <w:t>fitted</w:t>
      </w:r>
      <w:r>
        <w:rPr>
          <w:spacing w:val="40"/>
          <w:sz w:val="24"/>
        </w:rPr>
        <w:t> </w:t>
      </w:r>
      <w:r>
        <w:rPr>
          <w:sz w:val="24"/>
        </w:rPr>
        <w:t>to</w:t>
      </w:r>
      <w:r>
        <w:rPr>
          <w:spacing w:val="40"/>
          <w:sz w:val="24"/>
        </w:rPr>
        <w:t> </w:t>
      </w:r>
      <w:r>
        <w:rPr>
          <w:sz w:val="24"/>
        </w:rPr>
        <w:t>a</w:t>
      </w:r>
      <w:r>
        <w:rPr>
          <w:spacing w:val="40"/>
          <w:sz w:val="24"/>
        </w:rPr>
        <w:t> </w:t>
      </w:r>
      <w:r>
        <w:rPr>
          <w:sz w:val="24"/>
        </w:rPr>
        <w:t>wall</w:t>
      </w:r>
      <w:r>
        <w:rPr>
          <w:spacing w:val="40"/>
          <w:sz w:val="24"/>
        </w:rPr>
        <w:t> </w:t>
      </w:r>
      <w:r>
        <w:rPr>
          <w:sz w:val="24"/>
        </w:rPr>
        <w:t>opening, made</w:t>
      </w:r>
      <w:r>
        <w:rPr>
          <w:spacing w:val="40"/>
          <w:sz w:val="24"/>
        </w:rPr>
        <w:t> </w:t>
      </w:r>
      <w:r>
        <w:rPr>
          <w:sz w:val="24"/>
        </w:rPr>
        <w:t>of</w:t>
      </w:r>
      <w:r>
        <w:rPr>
          <w:spacing w:val="40"/>
          <w:sz w:val="24"/>
        </w:rPr>
        <w:t> </w:t>
      </w:r>
      <w:r>
        <w:rPr>
          <w:sz w:val="24"/>
        </w:rPr>
        <w:t>fire</w:t>
      </w:r>
      <w:r>
        <w:rPr>
          <w:spacing w:val="40"/>
          <w:sz w:val="24"/>
        </w:rPr>
        <w:t> </w:t>
      </w:r>
      <w:r>
        <w:rPr>
          <w:sz w:val="24"/>
        </w:rPr>
        <w:t>resistant</w:t>
      </w:r>
      <w:r>
        <w:rPr>
          <w:spacing w:val="40"/>
          <w:sz w:val="24"/>
        </w:rPr>
        <w:t> </w:t>
      </w:r>
      <w:r>
        <w:rPr>
          <w:sz w:val="24"/>
        </w:rPr>
        <w:t>material</w:t>
      </w:r>
      <w:r>
        <w:rPr>
          <w:spacing w:val="40"/>
          <w:sz w:val="24"/>
        </w:rPr>
        <w:t> </w:t>
      </w:r>
      <w:r>
        <w:rPr>
          <w:sz w:val="24"/>
        </w:rPr>
        <w:t>to</w:t>
      </w:r>
      <w:r>
        <w:rPr>
          <w:spacing w:val="40"/>
          <w:sz w:val="24"/>
        </w:rPr>
        <w:t> </w:t>
      </w:r>
      <w:r>
        <w:rPr>
          <w:sz w:val="24"/>
        </w:rPr>
        <w:t>prevent</w:t>
      </w:r>
      <w:r>
        <w:rPr>
          <w:spacing w:val="80"/>
          <w:sz w:val="24"/>
        </w:rPr>
        <w:t> </w:t>
      </w:r>
      <w:r>
        <w:rPr>
          <w:sz w:val="24"/>
        </w:rPr>
        <w:t>the</w:t>
      </w:r>
      <w:r>
        <w:rPr>
          <w:spacing w:val="40"/>
          <w:sz w:val="24"/>
        </w:rPr>
        <w:t> </w:t>
      </w:r>
      <w:r>
        <w:rPr>
          <w:sz w:val="24"/>
        </w:rPr>
        <w:t>transmission</w:t>
      </w:r>
      <w:r>
        <w:rPr>
          <w:spacing w:val="80"/>
          <w:sz w:val="24"/>
        </w:rPr>
        <w:t> </w:t>
      </w:r>
      <w:r>
        <w:rPr>
          <w:sz w:val="24"/>
        </w:rPr>
        <w:t>and</w:t>
      </w:r>
      <w:r>
        <w:rPr>
          <w:spacing w:val="40"/>
          <w:sz w:val="24"/>
        </w:rPr>
        <w:t> </w:t>
      </w:r>
      <w:r>
        <w:rPr>
          <w:sz w:val="24"/>
        </w:rPr>
        <w:t>spread</w:t>
      </w:r>
      <w:r>
        <w:rPr>
          <w:spacing w:val="40"/>
          <w:sz w:val="24"/>
        </w:rPr>
        <w:t> </w:t>
      </w:r>
      <w:r>
        <w:rPr>
          <w:sz w:val="24"/>
        </w:rPr>
        <w:t>of</w:t>
      </w:r>
      <w:r>
        <w:rPr>
          <w:spacing w:val="40"/>
          <w:sz w:val="24"/>
        </w:rPr>
        <w:t> </w:t>
      </w:r>
      <w:r>
        <w:rPr>
          <w:sz w:val="24"/>
        </w:rPr>
        <w:t>heat</w:t>
      </w:r>
      <w:r>
        <w:rPr>
          <w:spacing w:val="40"/>
          <w:sz w:val="24"/>
        </w:rPr>
        <w:t> </w:t>
      </w:r>
      <w:r>
        <w:rPr>
          <w:sz w:val="24"/>
        </w:rPr>
        <w:t>and</w:t>
      </w:r>
      <w:r>
        <w:rPr>
          <w:spacing w:val="40"/>
          <w:sz w:val="24"/>
        </w:rPr>
        <w:t> </w:t>
      </w:r>
      <w:r>
        <w:rPr>
          <w:sz w:val="24"/>
        </w:rPr>
        <w:t>fire</w:t>
      </w:r>
      <w:r>
        <w:rPr>
          <w:spacing w:val="40"/>
          <w:sz w:val="24"/>
        </w:rPr>
        <w:t> </w:t>
      </w:r>
      <w:r>
        <w:rPr>
          <w:sz w:val="24"/>
        </w:rPr>
        <w:t>for</w:t>
      </w:r>
      <w:r>
        <w:rPr>
          <w:spacing w:val="40"/>
          <w:sz w:val="24"/>
        </w:rPr>
        <w:t> </w:t>
      </w:r>
      <w:r>
        <w:rPr>
          <w:sz w:val="24"/>
        </w:rPr>
        <w:t>a</w:t>
      </w:r>
      <w:r>
        <w:rPr>
          <w:spacing w:val="40"/>
          <w:sz w:val="24"/>
        </w:rPr>
        <w:t> </w:t>
      </w:r>
      <w:r>
        <w:rPr>
          <w:sz w:val="24"/>
        </w:rPr>
        <w:t>specified</w:t>
      </w:r>
      <w:r>
        <w:rPr>
          <w:spacing w:val="40"/>
          <w:sz w:val="24"/>
        </w:rPr>
        <w:t> </w:t>
      </w:r>
      <w:r>
        <w:rPr>
          <w:sz w:val="24"/>
        </w:rPr>
        <w:t>period.</w:t>
      </w:r>
    </w:p>
    <w:p>
      <w:pPr>
        <w:pStyle w:val="ListParagraph"/>
        <w:numPr>
          <w:ilvl w:val="0"/>
          <w:numId w:val="6"/>
        </w:numPr>
        <w:tabs>
          <w:tab w:pos="1766" w:val="left" w:leader="none"/>
          <w:tab w:pos="1849" w:val="left" w:leader="none"/>
        </w:tabs>
        <w:spacing w:line="240" w:lineRule="auto" w:before="281" w:after="0"/>
        <w:ind w:left="1766" w:right="777" w:hanging="711"/>
        <w:jc w:val="both"/>
        <w:rPr>
          <w:sz w:val="24"/>
        </w:rPr>
      </w:pPr>
      <w:r>
        <w:rPr>
          <w:sz w:val="24"/>
        </w:rPr>
        <w:tab/>
        <w:t>"Fire Pump" means a machine, driven by external power for</w:t>
      </w:r>
      <w:r>
        <w:rPr>
          <w:spacing w:val="80"/>
          <w:sz w:val="24"/>
        </w:rPr>
        <w:t> </w:t>
      </w:r>
      <w:r>
        <w:rPr>
          <w:sz w:val="24"/>
        </w:rPr>
        <w:t>transmitting</w:t>
      </w:r>
      <w:r>
        <w:rPr>
          <w:spacing w:val="40"/>
          <w:sz w:val="24"/>
        </w:rPr>
        <w:t> </w:t>
      </w:r>
      <w:r>
        <w:rPr>
          <w:sz w:val="24"/>
        </w:rPr>
        <w:t>energy</w:t>
      </w:r>
      <w:r>
        <w:rPr>
          <w:spacing w:val="40"/>
          <w:sz w:val="24"/>
        </w:rPr>
        <w:t> </w:t>
      </w:r>
      <w:r>
        <w:rPr>
          <w:sz w:val="24"/>
        </w:rPr>
        <w:t>to</w:t>
      </w:r>
      <w:r>
        <w:rPr>
          <w:spacing w:val="40"/>
          <w:sz w:val="24"/>
        </w:rPr>
        <w:t> </w:t>
      </w:r>
      <w:r>
        <w:rPr>
          <w:sz w:val="24"/>
        </w:rPr>
        <w:t>fluids</w:t>
      </w:r>
      <w:r>
        <w:rPr>
          <w:spacing w:val="40"/>
          <w:sz w:val="24"/>
        </w:rPr>
        <w:t> </w:t>
      </w:r>
      <w:r>
        <w:rPr>
          <w:sz w:val="24"/>
        </w:rPr>
        <w:t>by</w:t>
      </w:r>
      <w:r>
        <w:rPr>
          <w:spacing w:val="40"/>
          <w:sz w:val="24"/>
        </w:rPr>
        <w:t> </w:t>
      </w:r>
      <w:r>
        <w:rPr>
          <w:sz w:val="24"/>
        </w:rPr>
        <w:t>coupling</w:t>
      </w:r>
      <w:r>
        <w:rPr>
          <w:spacing w:val="40"/>
          <w:sz w:val="24"/>
        </w:rPr>
        <w:t> </w:t>
      </w:r>
      <w:r>
        <w:rPr>
          <w:sz w:val="24"/>
        </w:rPr>
        <w:t>the</w:t>
      </w:r>
      <w:r>
        <w:rPr>
          <w:spacing w:val="40"/>
          <w:sz w:val="24"/>
        </w:rPr>
        <w:t> </w:t>
      </w:r>
      <w:r>
        <w:rPr>
          <w:sz w:val="24"/>
        </w:rPr>
        <w:t>pump</w:t>
      </w:r>
      <w:r>
        <w:rPr>
          <w:spacing w:val="40"/>
          <w:sz w:val="24"/>
        </w:rPr>
        <w:t> </w:t>
      </w:r>
      <w:r>
        <w:rPr>
          <w:sz w:val="24"/>
        </w:rPr>
        <w:t>to</w:t>
      </w:r>
      <w:r>
        <w:rPr>
          <w:spacing w:val="40"/>
          <w:sz w:val="24"/>
        </w:rPr>
        <w:t> </w:t>
      </w:r>
      <w:r>
        <w:rPr>
          <w:sz w:val="24"/>
        </w:rPr>
        <w:t>a</w:t>
      </w:r>
      <w:r>
        <w:rPr>
          <w:spacing w:val="40"/>
          <w:sz w:val="24"/>
        </w:rPr>
        <w:t> </w:t>
      </w:r>
      <w:r>
        <w:rPr>
          <w:spacing w:val="9"/>
          <w:sz w:val="24"/>
        </w:rPr>
        <w:t>suitable </w:t>
      </w:r>
      <w:r>
        <w:rPr>
          <w:sz w:val="24"/>
        </w:rPr>
        <w:t>engine</w:t>
      </w:r>
      <w:r>
        <w:rPr>
          <w:spacing w:val="40"/>
          <w:sz w:val="24"/>
        </w:rPr>
        <w:t> </w:t>
      </w:r>
      <w:r>
        <w:rPr>
          <w:sz w:val="24"/>
        </w:rPr>
        <w:t>or</w:t>
      </w:r>
      <w:r>
        <w:rPr>
          <w:spacing w:val="40"/>
          <w:sz w:val="24"/>
        </w:rPr>
        <w:t> </w:t>
      </w:r>
      <w:r>
        <w:rPr>
          <w:sz w:val="24"/>
        </w:rPr>
        <w:t>motor,</w:t>
      </w:r>
      <w:r>
        <w:rPr>
          <w:spacing w:val="40"/>
          <w:sz w:val="24"/>
        </w:rPr>
        <w:t> </w:t>
      </w:r>
      <w:r>
        <w:rPr>
          <w:sz w:val="24"/>
        </w:rPr>
        <w:t>which</w:t>
      </w:r>
      <w:r>
        <w:rPr>
          <w:spacing w:val="40"/>
          <w:sz w:val="24"/>
        </w:rPr>
        <w:t> </w:t>
      </w:r>
      <w:r>
        <w:rPr>
          <w:sz w:val="24"/>
        </w:rPr>
        <w:t>may</w:t>
      </w:r>
      <w:r>
        <w:rPr>
          <w:spacing w:val="40"/>
          <w:sz w:val="24"/>
        </w:rPr>
        <w:t> </w:t>
      </w:r>
      <w:r>
        <w:rPr>
          <w:sz w:val="24"/>
        </w:rPr>
        <w:t>have</w:t>
      </w:r>
      <w:r>
        <w:rPr>
          <w:spacing w:val="40"/>
          <w:sz w:val="24"/>
        </w:rPr>
        <w:t> </w:t>
      </w:r>
      <w:r>
        <w:rPr>
          <w:sz w:val="24"/>
        </w:rPr>
        <w:t>varying</w:t>
      </w:r>
      <w:r>
        <w:rPr>
          <w:spacing w:val="40"/>
          <w:sz w:val="24"/>
        </w:rPr>
        <w:t> </w:t>
      </w:r>
      <w:r>
        <w:rPr>
          <w:sz w:val="24"/>
        </w:rPr>
        <w:t>outputs/capacity</w:t>
      </w:r>
      <w:r>
        <w:rPr>
          <w:spacing w:val="40"/>
          <w:sz w:val="24"/>
        </w:rPr>
        <w:t> </w:t>
      </w:r>
      <w:r>
        <w:rPr>
          <w:sz w:val="24"/>
        </w:rPr>
        <w:t>but</w:t>
      </w:r>
      <w:r>
        <w:rPr>
          <w:spacing w:val="40"/>
          <w:sz w:val="24"/>
        </w:rPr>
        <w:t> </w:t>
      </w:r>
      <w:r>
        <w:rPr>
          <w:sz w:val="24"/>
        </w:rPr>
        <w:t>shall be</w:t>
      </w:r>
      <w:r>
        <w:rPr>
          <w:spacing w:val="40"/>
          <w:sz w:val="24"/>
        </w:rPr>
        <w:t> </w:t>
      </w:r>
      <w:r>
        <w:rPr>
          <w:sz w:val="24"/>
        </w:rPr>
        <w:t>capable</w:t>
      </w:r>
      <w:r>
        <w:rPr>
          <w:spacing w:val="40"/>
          <w:sz w:val="24"/>
        </w:rPr>
        <w:t> </w:t>
      </w:r>
      <w:r>
        <w:rPr>
          <w:sz w:val="24"/>
        </w:rPr>
        <w:t>of</w:t>
      </w:r>
      <w:r>
        <w:rPr>
          <w:spacing w:val="59"/>
          <w:sz w:val="24"/>
        </w:rPr>
        <w:t> </w:t>
      </w:r>
      <w:r>
        <w:rPr>
          <w:sz w:val="24"/>
        </w:rPr>
        <w:t>having</w:t>
      </w:r>
      <w:r>
        <w:rPr>
          <w:spacing w:val="40"/>
          <w:sz w:val="24"/>
        </w:rPr>
        <w:t> </w:t>
      </w:r>
      <w:r>
        <w:rPr>
          <w:sz w:val="24"/>
        </w:rPr>
        <w:t>pressure</w:t>
      </w:r>
      <w:r>
        <w:rPr>
          <w:spacing w:val="40"/>
          <w:sz w:val="24"/>
        </w:rPr>
        <w:t> </w:t>
      </w:r>
      <w:r>
        <w:rPr>
          <w:sz w:val="24"/>
        </w:rPr>
        <w:t>of</w:t>
      </w:r>
      <w:r>
        <w:rPr>
          <w:spacing w:val="59"/>
          <w:sz w:val="24"/>
        </w:rPr>
        <w:t> </w:t>
      </w:r>
      <w:r>
        <w:rPr>
          <w:sz w:val="24"/>
        </w:rPr>
        <w:t>3.2</w:t>
      </w:r>
      <w:r>
        <w:rPr>
          <w:spacing w:val="61"/>
          <w:sz w:val="24"/>
        </w:rPr>
        <w:t> </w:t>
      </w:r>
      <w:r>
        <w:rPr>
          <w:sz w:val="24"/>
        </w:rPr>
        <w:t>kg/cm2</w:t>
      </w:r>
      <w:r>
        <w:rPr>
          <w:spacing w:val="40"/>
          <w:sz w:val="24"/>
        </w:rPr>
        <w:t> </w:t>
      </w:r>
      <w:r>
        <w:rPr>
          <w:sz w:val="24"/>
        </w:rPr>
        <w:t>at</w:t>
      </w:r>
      <w:r>
        <w:rPr>
          <w:spacing w:val="59"/>
          <w:sz w:val="24"/>
        </w:rPr>
        <w:t> </w:t>
      </w:r>
      <w:r>
        <w:rPr>
          <w:sz w:val="24"/>
        </w:rPr>
        <w:t>the</w:t>
      </w:r>
      <w:r>
        <w:rPr>
          <w:spacing w:val="40"/>
          <w:sz w:val="24"/>
        </w:rPr>
        <w:t> </w:t>
      </w:r>
      <w:r>
        <w:rPr>
          <w:sz w:val="24"/>
        </w:rPr>
        <w:t>topmost</w:t>
      </w:r>
      <w:r>
        <w:rPr>
          <w:spacing w:val="59"/>
          <w:sz w:val="24"/>
        </w:rPr>
        <w:t> </w:t>
      </w:r>
      <w:r>
        <w:rPr>
          <w:sz w:val="24"/>
        </w:rPr>
        <w:t>level</w:t>
      </w:r>
      <w:r>
        <w:rPr>
          <w:spacing w:val="59"/>
          <w:sz w:val="24"/>
        </w:rPr>
        <w:t> </w:t>
      </w:r>
      <w:r>
        <w:rPr>
          <w:sz w:val="24"/>
        </w:rPr>
        <w:t>of a</w:t>
      </w:r>
      <w:r>
        <w:rPr>
          <w:spacing w:val="80"/>
          <w:sz w:val="24"/>
        </w:rPr>
        <w:t> </w:t>
      </w:r>
      <w:r>
        <w:rPr>
          <w:sz w:val="24"/>
        </w:rPr>
        <w:t>high rise </w:t>
      </w:r>
      <w:r>
        <w:rPr>
          <w:spacing w:val="9"/>
          <w:sz w:val="24"/>
        </w:rPr>
        <w:t>building.</w:t>
      </w:r>
    </w:p>
    <w:p>
      <w:pPr>
        <w:pStyle w:val="BodyText"/>
        <w:spacing w:before="2"/>
        <w:jc w:val="left"/>
      </w:pPr>
    </w:p>
    <w:p>
      <w:pPr>
        <w:pStyle w:val="ListParagraph"/>
        <w:numPr>
          <w:ilvl w:val="0"/>
          <w:numId w:val="6"/>
        </w:numPr>
        <w:tabs>
          <w:tab w:pos="1762" w:val="left" w:leader="none"/>
          <w:tab w:pos="1766" w:val="left" w:leader="none"/>
        </w:tabs>
        <w:spacing w:line="240" w:lineRule="auto" w:before="0" w:after="0"/>
        <w:ind w:left="1766" w:right="776" w:hanging="711"/>
        <w:jc w:val="both"/>
        <w:rPr>
          <w:sz w:val="24"/>
        </w:rPr>
      </w:pPr>
      <w:r>
        <w:rPr>
          <w:sz w:val="24"/>
        </w:rPr>
        <w:t>"Fire resistance" means the duration of time which a fire resistant material</w:t>
      </w:r>
      <w:r>
        <w:rPr>
          <w:spacing w:val="80"/>
          <w:sz w:val="24"/>
        </w:rPr>
        <w:t> </w:t>
      </w:r>
      <w:r>
        <w:rPr>
          <w:sz w:val="24"/>
        </w:rPr>
        <w:t>i.e.</w:t>
      </w:r>
      <w:r>
        <w:rPr>
          <w:spacing w:val="80"/>
          <w:sz w:val="24"/>
        </w:rPr>
        <w:t> </w:t>
      </w:r>
      <w:r>
        <w:rPr>
          <w:sz w:val="24"/>
        </w:rPr>
        <w:t>material</w:t>
      </w:r>
      <w:r>
        <w:rPr>
          <w:spacing w:val="80"/>
          <w:sz w:val="24"/>
        </w:rPr>
        <w:t> </w:t>
      </w:r>
      <w:r>
        <w:rPr>
          <w:sz w:val="24"/>
        </w:rPr>
        <w:t>having</w:t>
      </w:r>
      <w:r>
        <w:rPr>
          <w:spacing w:val="80"/>
          <w:sz w:val="24"/>
        </w:rPr>
        <w:t> </w:t>
      </w:r>
      <w:r>
        <w:rPr>
          <w:sz w:val="24"/>
        </w:rPr>
        <w:t>a</w:t>
      </w:r>
      <w:r>
        <w:rPr>
          <w:spacing w:val="80"/>
          <w:sz w:val="24"/>
        </w:rPr>
        <w:t> </w:t>
      </w:r>
      <w:r>
        <w:rPr>
          <w:sz w:val="24"/>
        </w:rPr>
        <w:t>certain</w:t>
      </w:r>
      <w:r>
        <w:rPr>
          <w:spacing w:val="80"/>
          <w:sz w:val="24"/>
        </w:rPr>
        <w:t> </w:t>
      </w:r>
      <w:r>
        <w:rPr>
          <w:sz w:val="24"/>
        </w:rPr>
        <w:t>degree</w:t>
      </w:r>
      <w:r>
        <w:rPr>
          <w:spacing w:val="80"/>
          <w:sz w:val="24"/>
        </w:rPr>
        <w:t> </w:t>
      </w:r>
      <w:r>
        <w:rPr>
          <w:sz w:val="24"/>
        </w:rPr>
        <w:t>of</w:t>
      </w:r>
      <w:r>
        <w:rPr>
          <w:spacing w:val="80"/>
          <w:sz w:val="24"/>
        </w:rPr>
        <w:t> </w:t>
      </w:r>
      <w:r>
        <w:rPr>
          <w:sz w:val="24"/>
        </w:rPr>
        <w:t>fire</w:t>
      </w:r>
      <w:r>
        <w:rPr>
          <w:spacing w:val="80"/>
          <w:sz w:val="24"/>
        </w:rPr>
        <w:t> </w:t>
      </w:r>
      <w:r>
        <w:rPr>
          <w:sz w:val="24"/>
        </w:rPr>
        <w:t>resistance, fulfills</w:t>
      </w:r>
      <w:r>
        <w:rPr>
          <w:spacing w:val="40"/>
          <w:sz w:val="24"/>
        </w:rPr>
        <w:t> </w:t>
      </w:r>
      <w:r>
        <w:rPr>
          <w:sz w:val="24"/>
        </w:rPr>
        <w:t>its</w:t>
      </w:r>
      <w:r>
        <w:rPr>
          <w:spacing w:val="40"/>
          <w:sz w:val="24"/>
        </w:rPr>
        <w:t> </w:t>
      </w:r>
      <w:r>
        <w:rPr>
          <w:sz w:val="24"/>
        </w:rPr>
        <w:t>function</w:t>
      </w:r>
      <w:r>
        <w:rPr>
          <w:spacing w:val="40"/>
          <w:sz w:val="24"/>
        </w:rPr>
        <w:t> </w:t>
      </w:r>
      <w:r>
        <w:rPr>
          <w:sz w:val="24"/>
        </w:rPr>
        <w:t>of</w:t>
      </w:r>
      <w:r>
        <w:rPr>
          <w:spacing w:val="40"/>
          <w:sz w:val="24"/>
        </w:rPr>
        <w:t> </w:t>
      </w:r>
      <w:r>
        <w:rPr>
          <w:sz w:val="24"/>
        </w:rPr>
        <w:t>contributing</w:t>
      </w:r>
      <w:r>
        <w:rPr>
          <w:spacing w:val="40"/>
          <w:sz w:val="24"/>
        </w:rPr>
        <w:t> </w:t>
      </w:r>
      <w:r>
        <w:rPr>
          <w:sz w:val="24"/>
        </w:rPr>
        <w:t>to</w:t>
      </w:r>
      <w:r>
        <w:rPr>
          <w:spacing w:val="40"/>
          <w:sz w:val="24"/>
        </w:rPr>
        <w:t> </w:t>
      </w:r>
      <w:r>
        <w:rPr>
          <w:sz w:val="24"/>
        </w:rPr>
        <w:t>the</w:t>
      </w:r>
      <w:r>
        <w:rPr>
          <w:spacing w:val="40"/>
          <w:sz w:val="24"/>
        </w:rPr>
        <w:t> </w:t>
      </w:r>
      <w:r>
        <w:rPr>
          <w:sz w:val="24"/>
        </w:rPr>
        <w:t>fire</w:t>
      </w:r>
      <w:r>
        <w:rPr>
          <w:spacing w:val="40"/>
          <w:sz w:val="24"/>
        </w:rPr>
        <w:t> </w:t>
      </w:r>
      <w:r>
        <w:rPr>
          <w:sz w:val="24"/>
        </w:rPr>
        <w:t>safety</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80"/>
          <w:sz w:val="24"/>
        </w:rPr>
        <w:t> </w:t>
      </w:r>
      <w:r>
        <w:rPr>
          <w:sz w:val="24"/>
        </w:rPr>
        <w:t>when</w:t>
      </w:r>
      <w:r>
        <w:rPr>
          <w:spacing w:val="80"/>
          <w:sz w:val="24"/>
        </w:rPr>
        <w:t> </w:t>
      </w:r>
      <w:r>
        <w:rPr>
          <w:sz w:val="24"/>
        </w:rPr>
        <w:t>subjected</w:t>
      </w:r>
      <w:r>
        <w:rPr>
          <w:spacing w:val="80"/>
          <w:sz w:val="24"/>
        </w:rPr>
        <w:t> </w:t>
      </w:r>
      <w:r>
        <w:rPr>
          <w:sz w:val="24"/>
        </w:rPr>
        <w:t>to</w:t>
      </w:r>
      <w:r>
        <w:rPr>
          <w:spacing w:val="80"/>
          <w:sz w:val="24"/>
        </w:rPr>
        <w:t> </w:t>
      </w:r>
      <w:r>
        <w:rPr>
          <w:sz w:val="24"/>
        </w:rPr>
        <w:t>prescribed</w:t>
      </w:r>
      <w:r>
        <w:rPr>
          <w:spacing w:val="80"/>
          <w:sz w:val="24"/>
        </w:rPr>
        <w:t> </w:t>
      </w:r>
      <w:r>
        <w:rPr>
          <w:sz w:val="24"/>
        </w:rPr>
        <w:t>conditions</w:t>
      </w:r>
      <w:r>
        <w:rPr>
          <w:spacing w:val="80"/>
          <w:sz w:val="24"/>
        </w:rPr>
        <w:t> </w:t>
      </w:r>
      <w:r>
        <w:rPr>
          <w:sz w:val="24"/>
        </w:rPr>
        <w:t>of</w:t>
      </w:r>
      <w:r>
        <w:rPr>
          <w:spacing w:val="80"/>
          <w:sz w:val="24"/>
        </w:rPr>
        <w:t> </w:t>
      </w:r>
      <w:r>
        <w:rPr>
          <w:sz w:val="24"/>
        </w:rPr>
        <w:t>heat</w:t>
      </w:r>
      <w:r>
        <w:rPr>
          <w:spacing w:val="80"/>
          <w:sz w:val="24"/>
        </w:rPr>
        <w:t> </w:t>
      </w:r>
      <w:r>
        <w:rPr>
          <w:sz w:val="24"/>
        </w:rPr>
        <w:t>and</w:t>
      </w:r>
      <w:r>
        <w:rPr>
          <w:spacing w:val="80"/>
          <w:sz w:val="24"/>
        </w:rPr>
        <w:t> </w:t>
      </w:r>
      <w:r>
        <w:rPr>
          <w:sz w:val="24"/>
        </w:rPr>
        <w:t>load</w:t>
      </w:r>
      <w:r>
        <w:rPr>
          <w:spacing w:val="80"/>
          <w:sz w:val="24"/>
        </w:rPr>
        <w:t> </w:t>
      </w:r>
      <w:r>
        <w:rPr>
          <w:sz w:val="24"/>
        </w:rPr>
        <w:t>or restraint. The fire resistance test of structures shall be done in accordance</w:t>
      </w:r>
      <w:r>
        <w:rPr>
          <w:spacing w:val="80"/>
          <w:sz w:val="24"/>
        </w:rPr>
        <w:t> </w:t>
      </w:r>
      <w:r>
        <w:rPr>
          <w:sz w:val="24"/>
        </w:rPr>
        <w:t>with</w:t>
      </w:r>
      <w:r>
        <w:rPr>
          <w:spacing w:val="80"/>
          <w:sz w:val="24"/>
        </w:rPr>
        <w:t> </w:t>
      </w:r>
      <w:r>
        <w:rPr>
          <w:sz w:val="24"/>
        </w:rPr>
        <w:t>IS:</w:t>
      </w:r>
      <w:r>
        <w:rPr>
          <w:spacing w:val="80"/>
          <w:sz w:val="24"/>
        </w:rPr>
        <w:t> </w:t>
      </w:r>
      <w:r>
        <w:rPr>
          <w:spacing w:val="9"/>
          <w:sz w:val="24"/>
        </w:rPr>
        <w:t>3809-</w:t>
      </w:r>
      <w:r>
        <w:rPr>
          <w:sz w:val="24"/>
        </w:rPr>
        <w:t>1966</w:t>
      </w:r>
      <w:r>
        <w:rPr>
          <w:spacing w:val="80"/>
          <w:sz w:val="24"/>
        </w:rPr>
        <w:t> </w:t>
      </w:r>
      <w:r>
        <w:rPr>
          <w:sz w:val="24"/>
        </w:rPr>
        <w:t>Fire</w:t>
      </w:r>
      <w:r>
        <w:rPr>
          <w:spacing w:val="80"/>
          <w:sz w:val="24"/>
        </w:rPr>
        <w:t> </w:t>
      </w:r>
      <w:r>
        <w:rPr>
          <w:sz w:val="24"/>
        </w:rPr>
        <w:t>Resistance</w:t>
      </w:r>
      <w:r>
        <w:rPr>
          <w:spacing w:val="80"/>
          <w:sz w:val="24"/>
        </w:rPr>
        <w:t> </w:t>
      </w:r>
      <w:r>
        <w:rPr>
          <w:sz w:val="24"/>
        </w:rPr>
        <w:t>Test</w:t>
      </w:r>
      <w:r>
        <w:rPr>
          <w:spacing w:val="80"/>
          <w:sz w:val="24"/>
        </w:rPr>
        <w:t> </w:t>
      </w:r>
      <w:r>
        <w:rPr>
          <w:sz w:val="24"/>
        </w:rPr>
        <w:t>of</w:t>
      </w:r>
      <w:r>
        <w:rPr>
          <w:spacing w:val="80"/>
          <w:sz w:val="24"/>
        </w:rPr>
        <w:t> </w:t>
      </w:r>
      <w:r>
        <w:rPr>
          <w:sz w:val="24"/>
        </w:rPr>
        <w:t>Structure.</w:t>
      </w:r>
    </w:p>
    <w:p>
      <w:pPr>
        <w:pStyle w:val="ListParagraph"/>
        <w:numPr>
          <w:ilvl w:val="0"/>
          <w:numId w:val="6"/>
        </w:numPr>
        <w:tabs>
          <w:tab w:pos="1762" w:val="left" w:leader="none"/>
          <w:tab w:pos="1766" w:val="left" w:leader="none"/>
        </w:tabs>
        <w:spacing w:line="240" w:lineRule="auto" w:before="280" w:after="0"/>
        <w:ind w:left="1766" w:right="787" w:hanging="711"/>
        <w:jc w:val="both"/>
        <w:rPr>
          <w:sz w:val="24"/>
        </w:rPr>
      </w:pPr>
      <w:r>
        <w:rPr>
          <w:sz w:val="24"/>
        </w:rPr>
        <w:t>"Fire separation"</w:t>
      </w:r>
      <w:r>
        <w:rPr>
          <w:spacing w:val="40"/>
          <w:sz w:val="24"/>
        </w:rPr>
        <w:t> </w:t>
      </w:r>
      <w:r>
        <w:rPr>
          <w:sz w:val="24"/>
        </w:rPr>
        <w:t>means the distance in </w:t>
      </w:r>
      <w:r>
        <w:rPr>
          <w:spacing w:val="9"/>
          <w:sz w:val="24"/>
        </w:rPr>
        <w:t>meters </w:t>
      </w:r>
      <w:r>
        <w:rPr>
          <w:sz w:val="24"/>
        </w:rPr>
        <w:t>measured from</w:t>
      </w:r>
      <w:r>
        <w:rPr>
          <w:spacing w:val="40"/>
          <w:sz w:val="24"/>
        </w:rPr>
        <w:t> </w:t>
      </w:r>
      <w:r>
        <w:rPr>
          <w:sz w:val="24"/>
        </w:rPr>
        <w:t>any other</w:t>
      </w:r>
      <w:r>
        <w:rPr>
          <w:spacing w:val="40"/>
          <w:sz w:val="24"/>
        </w:rPr>
        <w:t> </w:t>
      </w:r>
      <w:r>
        <w:rPr>
          <w:sz w:val="24"/>
        </w:rPr>
        <w:t>building</w:t>
      </w:r>
      <w:r>
        <w:rPr>
          <w:spacing w:val="40"/>
          <w:sz w:val="24"/>
        </w:rPr>
        <w:t> </w:t>
      </w:r>
      <w:r>
        <w:rPr>
          <w:sz w:val="24"/>
        </w:rPr>
        <w:t>on</w:t>
      </w:r>
      <w:r>
        <w:rPr>
          <w:spacing w:val="40"/>
          <w:sz w:val="24"/>
        </w:rPr>
        <w:t> </w:t>
      </w:r>
      <w:r>
        <w:rPr>
          <w:sz w:val="24"/>
        </w:rPr>
        <w:t>the</w:t>
      </w:r>
      <w:r>
        <w:rPr>
          <w:spacing w:val="40"/>
          <w:sz w:val="24"/>
        </w:rPr>
        <w:t> </w:t>
      </w:r>
      <w:r>
        <w:rPr>
          <w:sz w:val="24"/>
        </w:rPr>
        <w:t>site</w:t>
      </w:r>
      <w:r>
        <w:rPr>
          <w:spacing w:val="40"/>
          <w:sz w:val="24"/>
        </w:rPr>
        <w:t> </w:t>
      </w:r>
      <w:r>
        <w:rPr>
          <w:sz w:val="24"/>
        </w:rPr>
        <w:t>or</w:t>
      </w:r>
      <w:r>
        <w:rPr>
          <w:spacing w:val="40"/>
          <w:sz w:val="24"/>
        </w:rPr>
        <w:t> </w:t>
      </w:r>
      <w:r>
        <w:rPr>
          <w:sz w:val="24"/>
        </w:rPr>
        <w:t>from</w:t>
      </w:r>
      <w:r>
        <w:rPr>
          <w:spacing w:val="40"/>
          <w:sz w:val="24"/>
        </w:rPr>
        <w:t> </w:t>
      </w:r>
      <w:r>
        <w:rPr>
          <w:sz w:val="24"/>
        </w:rPr>
        <w:t>another</w:t>
      </w:r>
      <w:r>
        <w:rPr>
          <w:spacing w:val="40"/>
          <w:sz w:val="24"/>
        </w:rPr>
        <w:t> </w:t>
      </w:r>
      <w:r>
        <w:rPr>
          <w:sz w:val="24"/>
        </w:rPr>
        <w:t>site,</w:t>
      </w:r>
      <w:r>
        <w:rPr>
          <w:spacing w:val="40"/>
          <w:sz w:val="24"/>
        </w:rPr>
        <w:t> </w:t>
      </w:r>
      <w:r>
        <w:rPr>
          <w:sz w:val="24"/>
        </w:rPr>
        <w:t>or</w:t>
      </w:r>
      <w:r>
        <w:rPr>
          <w:spacing w:val="40"/>
          <w:sz w:val="24"/>
        </w:rPr>
        <w:t> </w:t>
      </w:r>
      <w:r>
        <w:rPr>
          <w:sz w:val="24"/>
        </w:rPr>
        <w:t>from</w:t>
      </w:r>
      <w:r>
        <w:rPr>
          <w:spacing w:val="40"/>
          <w:sz w:val="24"/>
        </w:rPr>
        <w:t> </w:t>
      </w:r>
      <w:r>
        <w:rPr>
          <w:sz w:val="24"/>
        </w:rPr>
        <w:t>the</w:t>
      </w:r>
      <w:r>
        <w:rPr>
          <w:spacing w:val="40"/>
          <w:sz w:val="24"/>
        </w:rPr>
        <w:t> </w:t>
      </w:r>
      <w:r>
        <w:rPr>
          <w:sz w:val="24"/>
        </w:rPr>
        <w:t>opposite side</w:t>
      </w:r>
      <w:r>
        <w:rPr>
          <w:spacing w:val="40"/>
          <w:sz w:val="24"/>
        </w:rPr>
        <w:t> </w:t>
      </w:r>
      <w:r>
        <w:rPr>
          <w:sz w:val="24"/>
        </w:rPr>
        <w:t>of</w:t>
      </w:r>
      <w:r>
        <w:rPr>
          <w:spacing w:val="40"/>
          <w:sz w:val="24"/>
        </w:rPr>
        <w:t> </w:t>
      </w:r>
      <w:r>
        <w:rPr>
          <w:sz w:val="24"/>
        </w:rPr>
        <w:t>a</w:t>
      </w:r>
      <w:r>
        <w:rPr>
          <w:spacing w:val="40"/>
          <w:sz w:val="24"/>
        </w:rPr>
        <w:t> </w:t>
      </w:r>
      <w:r>
        <w:rPr>
          <w:sz w:val="24"/>
        </w:rPr>
        <w:t>street</w:t>
      </w:r>
      <w:r>
        <w:rPr>
          <w:spacing w:val="40"/>
          <w:sz w:val="24"/>
        </w:rPr>
        <w:t> </w:t>
      </w:r>
      <w:r>
        <w:rPr>
          <w:sz w:val="24"/>
        </w:rPr>
        <w:t>or</w:t>
      </w:r>
      <w:r>
        <w:rPr>
          <w:spacing w:val="40"/>
          <w:sz w:val="24"/>
        </w:rPr>
        <w:t> </w:t>
      </w:r>
      <w:r>
        <w:rPr>
          <w:sz w:val="24"/>
        </w:rPr>
        <w:t>other</w:t>
      </w:r>
      <w:r>
        <w:rPr>
          <w:spacing w:val="40"/>
          <w:sz w:val="24"/>
        </w:rPr>
        <w:t> </w:t>
      </w:r>
      <w:r>
        <w:rPr>
          <w:sz w:val="24"/>
        </w:rPr>
        <w:t>public</w:t>
      </w:r>
      <w:r>
        <w:rPr>
          <w:spacing w:val="40"/>
          <w:sz w:val="24"/>
        </w:rPr>
        <w:t> </w:t>
      </w:r>
      <w:r>
        <w:rPr>
          <w:sz w:val="24"/>
        </w:rPr>
        <w:t>space</w:t>
      </w:r>
      <w:r>
        <w:rPr>
          <w:spacing w:val="40"/>
          <w:sz w:val="24"/>
        </w:rPr>
        <w:t> </w:t>
      </w:r>
      <w:r>
        <w:rPr>
          <w:sz w:val="24"/>
        </w:rPr>
        <w:t>to</w:t>
      </w:r>
      <w:r>
        <w:rPr>
          <w:spacing w:val="40"/>
          <w:sz w:val="24"/>
        </w:rPr>
        <w:t> </w:t>
      </w:r>
      <w:r>
        <w:rPr>
          <w:sz w:val="24"/>
        </w:rPr>
        <w:t>the</w:t>
      </w:r>
      <w:r>
        <w:rPr>
          <w:spacing w:val="40"/>
          <w:sz w:val="24"/>
        </w:rPr>
        <w:t> </w:t>
      </w:r>
      <w:r>
        <w:rPr>
          <w:sz w:val="24"/>
        </w:rPr>
        <w:t>building.</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76" w:hanging="711"/>
        <w:jc w:val="both"/>
        <w:rPr>
          <w:sz w:val="24"/>
        </w:rPr>
      </w:pPr>
      <w:r>
        <w:rPr>
          <w:sz w:val="24"/>
        </w:rPr>
        <w:t>"Fire</w:t>
      </w:r>
      <w:r>
        <w:rPr>
          <w:spacing w:val="40"/>
          <w:sz w:val="24"/>
        </w:rPr>
        <w:t> </w:t>
      </w:r>
      <w:r>
        <w:rPr>
          <w:sz w:val="24"/>
        </w:rPr>
        <w:t>service</w:t>
      </w:r>
      <w:r>
        <w:rPr>
          <w:spacing w:val="40"/>
          <w:sz w:val="24"/>
        </w:rPr>
        <w:t> </w:t>
      </w:r>
      <w:r>
        <w:rPr>
          <w:sz w:val="24"/>
        </w:rPr>
        <w:t>inlet"</w:t>
      </w:r>
      <w:r>
        <w:rPr>
          <w:spacing w:val="40"/>
          <w:sz w:val="24"/>
        </w:rPr>
        <w:t> </w:t>
      </w:r>
      <w:r>
        <w:rPr>
          <w:sz w:val="24"/>
        </w:rPr>
        <w:t>means</w:t>
      </w:r>
      <w:r>
        <w:rPr>
          <w:spacing w:val="40"/>
          <w:sz w:val="24"/>
        </w:rPr>
        <w:t> </w:t>
      </w:r>
      <w:r>
        <w:rPr>
          <w:sz w:val="24"/>
        </w:rPr>
        <w:t>a</w:t>
      </w:r>
      <w:r>
        <w:rPr>
          <w:spacing w:val="40"/>
          <w:sz w:val="24"/>
        </w:rPr>
        <w:t> </w:t>
      </w:r>
      <w:r>
        <w:rPr>
          <w:sz w:val="24"/>
        </w:rPr>
        <w:t>connection</w:t>
      </w:r>
      <w:r>
        <w:rPr>
          <w:spacing w:val="40"/>
          <w:sz w:val="24"/>
        </w:rPr>
        <w:t> </w:t>
      </w:r>
      <w:r>
        <w:rPr>
          <w:sz w:val="24"/>
        </w:rPr>
        <w:t>provided</w:t>
      </w:r>
      <w:r>
        <w:rPr>
          <w:spacing w:val="40"/>
          <w:sz w:val="24"/>
        </w:rPr>
        <w:t> </w:t>
      </w:r>
      <w:r>
        <w:rPr>
          <w:sz w:val="24"/>
        </w:rPr>
        <w:t>at</w:t>
      </w:r>
      <w:r>
        <w:rPr>
          <w:spacing w:val="40"/>
          <w:sz w:val="24"/>
        </w:rPr>
        <w:t> </w:t>
      </w:r>
      <w:r>
        <w:rPr>
          <w:sz w:val="24"/>
        </w:rPr>
        <w:t>the</w:t>
      </w:r>
      <w:r>
        <w:rPr>
          <w:spacing w:val="40"/>
          <w:sz w:val="24"/>
        </w:rPr>
        <w:t> </w:t>
      </w:r>
      <w:r>
        <w:rPr>
          <w:sz w:val="24"/>
        </w:rPr>
        <w:t>base</w:t>
      </w:r>
      <w:r>
        <w:rPr>
          <w:spacing w:val="40"/>
          <w:sz w:val="24"/>
        </w:rPr>
        <w:t> </w:t>
      </w:r>
      <w:r>
        <w:rPr>
          <w:sz w:val="24"/>
        </w:rPr>
        <w:t>of</w:t>
      </w:r>
      <w:r>
        <w:rPr>
          <w:spacing w:val="40"/>
          <w:sz w:val="24"/>
        </w:rPr>
        <w:t> </w:t>
      </w:r>
      <w:r>
        <w:rPr>
          <w:sz w:val="24"/>
        </w:rPr>
        <w:t>a building for pumping up water through </w:t>
      </w:r>
      <w:r>
        <w:rPr>
          <w:spacing w:val="10"/>
          <w:sz w:val="24"/>
        </w:rPr>
        <w:t>in-</w:t>
      </w:r>
      <w:r>
        <w:rPr>
          <w:sz w:val="24"/>
        </w:rPr>
        <w:t>built </w:t>
      </w:r>
      <w:r>
        <w:rPr>
          <w:spacing w:val="10"/>
          <w:sz w:val="24"/>
        </w:rPr>
        <w:t>fire-</w:t>
      </w:r>
      <w:r>
        <w:rPr>
          <w:sz w:val="24"/>
        </w:rPr>
        <w:t>fighting arrangements by fire service pumps in accordance with the recommendations</w:t>
      </w:r>
      <w:r>
        <w:rPr>
          <w:spacing w:val="40"/>
          <w:sz w:val="24"/>
        </w:rPr>
        <w:t> </w:t>
      </w:r>
      <w:r>
        <w:rPr>
          <w:sz w:val="24"/>
        </w:rPr>
        <w:t>of</w:t>
      </w:r>
      <w:r>
        <w:rPr>
          <w:spacing w:val="40"/>
          <w:sz w:val="24"/>
        </w:rPr>
        <w:t> </w:t>
      </w:r>
      <w:r>
        <w:rPr>
          <w:sz w:val="24"/>
        </w:rPr>
        <w:t>the</w:t>
      </w:r>
      <w:r>
        <w:rPr>
          <w:spacing w:val="40"/>
          <w:sz w:val="24"/>
        </w:rPr>
        <w:t> </w:t>
      </w:r>
      <w:r>
        <w:rPr>
          <w:sz w:val="24"/>
        </w:rPr>
        <w:t>Chief</w:t>
      </w:r>
      <w:r>
        <w:rPr>
          <w:spacing w:val="40"/>
          <w:sz w:val="24"/>
        </w:rPr>
        <w:t> </w:t>
      </w:r>
      <w:r>
        <w:rPr>
          <w:sz w:val="24"/>
        </w:rPr>
        <w:t>Fire</w:t>
      </w:r>
      <w:r>
        <w:rPr>
          <w:spacing w:val="40"/>
          <w:sz w:val="24"/>
        </w:rPr>
        <w:t> </w:t>
      </w:r>
      <w:r>
        <w:rPr>
          <w:spacing w:val="9"/>
          <w:sz w:val="24"/>
        </w:rPr>
        <w:t>Officer.</w:t>
      </w:r>
    </w:p>
    <w:p>
      <w:pPr>
        <w:pStyle w:val="BodyText"/>
        <w:jc w:val="left"/>
      </w:pPr>
    </w:p>
    <w:p>
      <w:pPr>
        <w:pStyle w:val="ListParagraph"/>
        <w:numPr>
          <w:ilvl w:val="0"/>
          <w:numId w:val="6"/>
        </w:numPr>
        <w:tabs>
          <w:tab w:pos="1762" w:val="left" w:leader="none"/>
          <w:tab w:pos="1766" w:val="left" w:leader="none"/>
        </w:tabs>
        <w:spacing w:line="240" w:lineRule="auto" w:before="1" w:after="0"/>
        <w:ind w:left="1766" w:right="779" w:hanging="711"/>
        <w:jc w:val="both"/>
        <w:rPr>
          <w:sz w:val="24"/>
        </w:rPr>
      </w:pPr>
      <w:r>
        <w:rPr>
          <w:sz w:val="24"/>
        </w:rPr>
        <w:t>"Fire</w:t>
      </w:r>
      <w:r>
        <w:rPr>
          <w:spacing w:val="40"/>
          <w:sz w:val="24"/>
        </w:rPr>
        <w:t> </w:t>
      </w:r>
      <w:r>
        <w:rPr>
          <w:sz w:val="24"/>
        </w:rPr>
        <w:t>tower"</w:t>
      </w:r>
      <w:r>
        <w:rPr>
          <w:spacing w:val="40"/>
          <w:sz w:val="24"/>
        </w:rPr>
        <w:t> </w:t>
      </w:r>
      <w:r>
        <w:rPr>
          <w:sz w:val="24"/>
        </w:rPr>
        <w:t>means</w:t>
      </w:r>
      <w:r>
        <w:rPr>
          <w:spacing w:val="40"/>
          <w:sz w:val="24"/>
        </w:rPr>
        <w:t> </w:t>
      </w:r>
      <w:r>
        <w:rPr>
          <w:sz w:val="24"/>
        </w:rPr>
        <w:t>an</w:t>
      </w:r>
      <w:r>
        <w:rPr>
          <w:spacing w:val="40"/>
          <w:sz w:val="24"/>
        </w:rPr>
        <w:t> </w:t>
      </w:r>
      <w:r>
        <w:rPr>
          <w:sz w:val="24"/>
        </w:rPr>
        <w:t>enclosed</w:t>
      </w:r>
      <w:r>
        <w:rPr>
          <w:spacing w:val="40"/>
          <w:sz w:val="24"/>
        </w:rPr>
        <w:t> </w:t>
      </w:r>
      <w:r>
        <w:rPr>
          <w:sz w:val="24"/>
        </w:rPr>
        <w:t>staircase</w:t>
      </w:r>
      <w:r>
        <w:rPr>
          <w:spacing w:val="40"/>
          <w:sz w:val="24"/>
        </w:rPr>
        <w:t> </w:t>
      </w:r>
      <w:r>
        <w:rPr>
          <w:sz w:val="24"/>
        </w:rPr>
        <w:t>which</w:t>
      </w:r>
      <w:r>
        <w:rPr>
          <w:spacing w:val="40"/>
          <w:sz w:val="24"/>
        </w:rPr>
        <w:t> </w:t>
      </w:r>
      <w:r>
        <w:rPr>
          <w:sz w:val="24"/>
        </w:rPr>
        <w:t>can</w:t>
      </w:r>
      <w:r>
        <w:rPr>
          <w:spacing w:val="40"/>
          <w:sz w:val="24"/>
        </w:rPr>
        <w:t> </w:t>
      </w:r>
      <w:r>
        <w:rPr>
          <w:sz w:val="24"/>
        </w:rPr>
        <w:t>only</w:t>
      </w:r>
      <w:r>
        <w:rPr>
          <w:spacing w:val="40"/>
          <w:sz w:val="24"/>
        </w:rPr>
        <w:t> </w:t>
      </w:r>
      <w:r>
        <w:rPr>
          <w:sz w:val="24"/>
        </w:rPr>
        <w:t>be approached from the various floors through landings or </w:t>
      </w:r>
      <w:r>
        <w:rPr>
          <w:spacing w:val="9"/>
          <w:sz w:val="24"/>
        </w:rPr>
        <w:t>lobbies </w:t>
      </w:r>
      <w:r>
        <w:rPr>
          <w:sz w:val="24"/>
        </w:rPr>
        <w:t>separated from both the floor area and the staircase by </w:t>
      </w:r>
      <w:r>
        <w:rPr>
          <w:spacing w:val="10"/>
          <w:sz w:val="24"/>
        </w:rPr>
        <w:t>fire-</w:t>
      </w:r>
      <w:r>
        <w:rPr>
          <w:sz w:val="24"/>
        </w:rPr>
        <w:t>resisting doors</w:t>
      </w:r>
      <w:r>
        <w:rPr>
          <w:spacing w:val="40"/>
          <w:sz w:val="24"/>
        </w:rPr>
        <w:t> </w:t>
      </w:r>
      <w:r>
        <w:rPr>
          <w:sz w:val="24"/>
        </w:rPr>
        <w:t>and</w:t>
      </w:r>
      <w:r>
        <w:rPr>
          <w:spacing w:val="40"/>
          <w:sz w:val="24"/>
        </w:rPr>
        <w:t> </w:t>
      </w:r>
      <w:r>
        <w:rPr>
          <w:sz w:val="24"/>
        </w:rPr>
        <w:t>open</w:t>
      </w:r>
      <w:r>
        <w:rPr>
          <w:spacing w:val="40"/>
          <w:sz w:val="24"/>
        </w:rPr>
        <w:t> </w:t>
      </w:r>
      <w:r>
        <w:rPr>
          <w:sz w:val="24"/>
        </w:rPr>
        <w:t>to</w:t>
      </w:r>
      <w:r>
        <w:rPr>
          <w:spacing w:val="40"/>
          <w:sz w:val="24"/>
        </w:rPr>
        <w:t> </w:t>
      </w:r>
      <w:r>
        <w:rPr>
          <w:sz w:val="24"/>
        </w:rPr>
        <w:t>the</w:t>
      </w:r>
      <w:r>
        <w:rPr>
          <w:spacing w:val="40"/>
          <w:sz w:val="24"/>
        </w:rPr>
        <w:t> </w:t>
      </w:r>
      <w:r>
        <w:rPr>
          <w:sz w:val="24"/>
        </w:rPr>
        <w:t>outer</w:t>
      </w:r>
      <w:r>
        <w:rPr>
          <w:spacing w:val="40"/>
          <w:sz w:val="24"/>
        </w:rPr>
        <w:t> </w:t>
      </w:r>
      <w:r>
        <w:rPr>
          <w:sz w:val="24"/>
        </w:rPr>
        <w:t>air.</w:t>
      </w:r>
    </w:p>
    <w:p>
      <w:pPr>
        <w:pStyle w:val="ListParagraph"/>
        <w:numPr>
          <w:ilvl w:val="0"/>
          <w:numId w:val="6"/>
        </w:numPr>
        <w:tabs>
          <w:tab w:pos="1762" w:val="left" w:leader="none"/>
          <w:tab w:pos="1766" w:val="left" w:leader="none"/>
        </w:tabs>
        <w:spacing w:line="240" w:lineRule="auto" w:before="0" w:after="0"/>
        <w:ind w:left="1766" w:right="771" w:hanging="711"/>
        <w:jc w:val="both"/>
        <w:rPr>
          <w:sz w:val="24"/>
        </w:rPr>
      </w:pPr>
      <w:r>
        <w:rPr>
          <w:sz w:val="24"/>
        </w:rPr>
        <w:t>“Fitness</w:t>
      </w:r>
      <w:r>
        <w:rPr>
          <w:spacing w:val="80"/>
          <w:sz w:val="24"/>
        </w:rPr>
        <w:t> </w:t>
      </w:r>
      <w:r>
        <w:rPr>
          <w:sz w:val="24"/>
        </w:rPr>
        <w:t>centre/Yogalaya</w:t>
      </w:r>
      <w:r>
        <w:rPr>
          <w:spacing w:val="80"/>
          <w:sz w:val="24"/>
        </w:rPr>
        <w:t> </w:t>
      </w:r>
      <w:r>
        <w:rPr>
          <w:sz w:val="24"/>
        </w:rPr>
        <w:t>in</w:t>
      </w:r>
      <w:r>
        <w:rPr>
          <w:spacing w:val="80"/>
          <w:sz w:val="24"/>
        </w:rPr>
        <w:t> </w:t>
      </w:r>
      <w:r>
        <w:rPr>
          <w:sz w:val="24"/>
        </w:rPr>
        <w:t>a</w:t>
      </w:r>
      <w:r>
        <w:rPr>
          <w:spacing w:val="80"/>
          <w:sz w:val="24"/>
        </w:rPr>
        <w:t> </w:t>
      </w:r>
      <w:r>
        <w:rPr>
          <w:sz w:val="24"/>
        </w:rPr>
        <w:t>building”</w:t>
      </w:r>
      <w:r>
        <w:rPr>
          <w:spacing w:val="80"/>
          <w:sz w:val="24"/>
        </w:rPr>
        <w:t> </w:t>
      </w:r>
      <w:r>
        <w:rPr>
          <w:sz w:val="24"/>
        </w:rPr>
        <w:t>means</w:t>
      </w:r>
      <w:r>
        <w:rPr>
          <w:spacing w:val="80"/>
          <w:sz w:val="24"/>
        </w:rPr>
        <w:t> </w:t>
      </w:r>
      <w:r>
        <w:rPr>
          <w:sz w:val="24"/>
        </w:rPr>
        <w:t>and</w:t>
      </w:r>
      <w:r>
        <w:rPr>
          <w:spacing w:val="80"/>
          <w:sz w:val="24"/>
        </w:rPr>
        <w:t> </w:t>
      </w:r>
      <w:r>
        <w:rPr>
          <w:sz w:val="24"/>
        </w:rPr>
        <w:t>includes</w:t>
      </w:r>
      <w:r>
        <w:rPr>
          <w:spacing w:val="80"/>
          <w:sz w:val="24"/>
        </w:rPr>
        <w:t> </w:t>
      </w:r>
      <w:r>
        <w:rPr>
          <w:sz w:val="24"/>
        </w:rPr>
        <w:t>the built-up premises including toilet facilities provided in the building including</w:t>
      </w:r>
      <w:r>
        <w:rPr>
          <w:spacing w:val="40"/>
          <w:sz w:val="24"/>
        </w:rPr>
        <w:t> </w:t>
      </w:r>
      <w:r>
        <w:rPr>
          <w:sz w:val="24"/>
        </w:rPr>
        <w:t>gymnasium</w:t>
      </w:r>
      <w:r>
        <w:rPr>
          <w:spacing w:val="40"/>
          <w:sz w:val="24"/>
        </w:rPr>
        <w:t> </w:t>
      </w:r>
      <w:r>
        <w:rPr>
          <w:sz w:val="24"/>
        </w:rPr>
        <w:t>for</w:t>
      </w:r>
      <w:r>
        <w:rPr>
          <w:spacing w:val="40"/>
          <w:sz w:val="24"/>
        </w:rPr>
        <w:t> </w:t>
      </w:r>
      <w:r>
        <w:rPr>
          <w:sz w:val="24"/>
        </w:rPr>
        <w:t>the</w:t>
      </w:r>
      <w:r>
        <w:rPr>
          <w:spacing w:val="40"/>
          <w:sz w:val="24"/>
        </w:rPr>
        <w:t> </w:t>
      </w:r>
      <w:r>
        <w:rPr>
          <w:sz w:val="24"/>
        </w:rPr>
        <w:t>benefit</w:t>
      </w:r>
      <w:r>
        <w:rPr>
          <w:spacing w:val="40"/>
          <w:sz w:val="24"/>
        </w:rPr>
        <w:t> </w:t>
      </w:r>
      <w:r>
        <w:rPr>
          <w:sz w:val="24"/>
        </w:rPr>
        <w:t>of</w:t>
      </w:r>
      <w:r>
        <w:rPr>
          <w:spacing w:val="40"/>
          <w:sz w:val="24"/>
        </w:rPr>
        <w:t> </w:t>
      </w:r>
      <w:r>
        <w:rPr>
          <w:sz w:val="24"/>
        </w:rPr>
        <w:t>its</w:t>
      </w:r>
      <w:r>
        <w:rPr>
          <w:spacing w:val="40"/>
          <w:sz w:val="24"/>
        </w:rPr>
        <w:t> </w:t>
      </w:r>
      <w:r>
        <w:rPr>
          <w:sz w:val="24"/>
        </w:rPr>
        <w:t>inmates</w:t>
      </w:r>
      <w:r>
        <w:rPr>
          <w:spacing w:val="40"/>
          <w:sz w:val="24"/>
        </w:rPr>
        <w:t> </w:t>
      </w:r>
      <w:r>
        <w:rPr>
          <w:sz w:val="24"/>
        </w:rPr>
        <w:t>and</w:t>
      </w:r>
      <w:r>
        <w:rPr>
          <w:spacing w:val="40"/>
          <w:sz w:val="24"/>
        </w:rPr>
        <w:t> </w:t>
      </w:r>
      <w:r>
        <w:rPr>
          <w:sz w:val="24"/>
        </w:rPr>
        <w:t>for</w:t>
      </w:r>
      <w:r>
        <w:rPr>
          <w:spacing w:val="40"/>
          <w:sz w:val="24"/>
        </w:rPr>
        <w:t> </w:t>
      </w:r>
      <w:r>
        <w:rPr>
          <w:sz w:val="24"/>
        </w:rPr>
        <w:t>the purpose of fitness, physical exercises, yoga, reading and such other activities</w:t>
      </w:r>
      <w:r>
        <w:rPr>
          <w:spacing w:val="40"/>
          <w:sz w:val="24"/>
        </w:rPr>
        <w:t> </w:t>
      </w:r>
      <w:r>
        <w:rPr>
          <w:sz w:val="24"/>
        </w:rPr>
        <w:t>as</w:t>
      </w:r>
      <w:r>
        <w:rPr>
          <w:spacing w:val="40"/>
          <w:sz w:val="24"/>
        </w:rPr>
        <w:t> </w:t>
      </w:r>
      <w:r>
        <w:rPr>
          <w:sz w:val="24"/>
        </w:rPr>
        <w:t>may</w:t>
      </w:r>
      <w:r>
        <w:rPr>
          <w:spacing w:val="40"/>
          <w:sz w:val="24"/>
        </w:rPr>
        <w:t> </w:t>
      </w:r>
      <w:r>
        <w:rPr>
          <w:sz w:val="24"/>
        </w:rPr>
        <w:t>be</w:t>
      </w:r>
      <w:r>
        <w:rPr>
          <w:spacing w:val="40"/>
          <w:sz w:val="24"/>
        </w:rPr>
        <w:t> </w:t>
      </w:r>
      <w:r>
        <w:rPr>
          <w:sz w:val="24"/>
        </w:rPr>
        <w:t>permitted</w:t>
      </w:r>
      <w:r>
        <w:rPr>
          <w:spacing w:val="40"/>
          <w:sz w:val="24"/>
        </w:rPr>
        <w:t> </w:t>
      </w:r>
      <w:r>
        <w:rPr>
          <w:sz w:val="24"/>
        </w:rPr>
        <w:t>by</w:t>
      </w:r>
      <w:r>
        <w:rPr>
          <w:spacing w:val="40"/>
          <w:sz w:val="24"/>
        </w:rPr>
        <w:t> </w:t>
      </w:r>
      <w:r>
        <w:rPr>
          <w:sz w:val="24"/>
        </w:rPr>
        <w:t>the</w:t>
      </w:r>
      <w:r>
        <w:rPr>
          <w:spacing w:val="40"/>
          <w:sz w:val="24"/>
        </w:rPr>
        <w:t> </w:t>
      </w:r>
      <w:r>
        <w:rPr>
          <w:sz w:val="24"/>
        </w:rPr>
        <w:t>commissioner</w:t>
      </w:r>
      <w:r>
        <w:rPr>
          <w:spacing w:val="40"/>
          <w:sz w:val="24"/>
        </w:rPr>
        <w:t> </w:t>
      </w:r>
      <w:r>
        <w:rPr>
          <w:sz w:val="24"/>
        </w:rPr>
        <w:t>from</w:t>
      </w:r>
      <w:r>
        <w:rPr>
          <w:spacing w:val="40"/>
          <w:sz w:val="24"/>
        </w:rPr>
        <w:t> </w:t>
      </w:r>
      <w:r>
        <w:rPr>
          <w:sz w:val="24"/>
        </w:rPr>
        <w:t>time</w:t>
      </w:r>
      <w:r>
        <w:rPr>
          <w:spacing w:val="40"/>
          <w:sz w:val="24"/>
        </w:rPr>
        <w:t> </w:t>
      </w:r>
      <w:r>
        <w:rPr>
          <w:sz w:val="24"/>
        </w:rPr>
        <w:t>to</w:t>
      </w:r>
      <w:r>
        <w:rPr>
          <w:spacing w:val="40"/>
          <w:sz w:val="24"/>
        </w:rPr>
        <w:t> </w:t>
      </w:r>
      <w:r>
        <w:rPr>
          <w:sz w:val="24"/>
        </w:rPr>
        <w:t>time</w:t>
      </w:r>
    </w:p>
    <w:p>
      <w:pPr>
        <w:pStyle w:val="BodyText"/>
        <w:jc w:val="left"/>
      </w:pPr>
    </w:p>
    <w:p>
      <w:pPr>
        <w:pStyle w:val="ListParagraph"/>
        <w:numPr>
          <w:ilvl w:val="0"/>
          <w:numId w:val="6"/>
        </w:numPr>
        <w:tabs>
          <w:tab w:pos="1762" w:val="left" w:leader="none"/>
          <w:tab w:pos="1766" w:val="left" w:leader="none"/>
        </w:tabs>
        <w:spacing w:line="240" w:lineRule="auto" w:before="1" w:after="0"/>
        <w:ind w:left="1766" w:right="777" w:hanging="711"/>
        <w:jc w:val="both"/>
        <w:rPr>
          <w:sz w:val="24"/>
        </w:rPr>
      </w:pPr>
      <w:r>
        <w:rPr>
          <w:sz w:val="24"/>
        </w:rPr>
        <w:t>"Floor"</w:t>
      </w:r>
      <w:r>
        <w:rPr>
          <w:spacing w:val="40"/>
          <w:sz w:val="24"/>
        </w:rPr>
        <w:t> </w:t>
      </w:r>
      <w:r>
        <w:rPr>
          <w:sz w:val="24"/>
        </w:rPr>
        <w:t>means</w:t>
      </w:r>
      <w:r>
        <w:rPr>
          <w:spacing w:val="40"/>
          <w:sz w:val="24"/>
        </w:rPr>
        <w:t> </w:t>
      </w:r>
      <w:r>
        <w:rPr>
          <w:sz w:val="24"/>
        </w:rPr>
        <w:t>the</w:t>
      </w:r>
      <w:r>
        <w:rPr>
          <w:spacing w:val="40"/>
          <w:sz w:val="24"/>
        </w:rPr>
        <w:t> </w:t>
      </w:r>
      <w:r>
        <w:rPr>
          <w:sz w:val="24"/>
        </w:rPr>
        <w:t>lower</w:t>
      </w:r>
      <w:r>
        <w:rPr>
          <w:spacing w:val="40"/>
          <w:sz w:val="24"/>
        </w:rPr>
        <w:t> </w:t>
      </w:r>
      <w:r>
        <w:rPr>
          <w:sz w:val="24"/>
        </w:rPr>
        <w:t>surface</w:t>
      </w:r>
      <w:r>
        <w:rPr>
          <w:spacing w:val="40"/>
          <w:sz w:val="24"/>
        </w:rPr>
        <w:t> </w:t>
      </w:r>
      <w:r>
        <w:rPr>
          <w:sz w:val="24"/>
        </w:rPr>
        <w:t>in</w:t>
      </w:r>
      <w:r>
        <w:rPr>
          <w:spacing w:val="40"/>
          <w:sz w:val="24"/>
        </w:rPr>
        <w:t> </w:t>
      </w:r>
      <w:r>
        <w:rPr>
          <w:sz w:val="24"/>
        </w:rPr>
        <w:t>a</w:t>
      </w:r>
      <w:r>
        <w:rPr>
          <w:spacing w:val="40"/>
          <w:sz w:val="24"/>
        </w:rPr>
        <w:t> </w:t>
      </w:r>
      <w:r>
        <w:rPr>
          <w:sz w:val="24"/>
        </w:rPr>
        <w:t>storey</w:t>
      </w:r>
      <w:r>
        <w:rPr>
          <w:spacing w:val="40"/>
          <w:sz w:val="24"/>
        </w:rPr>
        <w:t> </w:t>
      </w:r>
      <w:r>
        <w:rPr>
          <w:sz w:val="24"/>
        </w:rPr>
        <w:t>on</w:t>
      </w:r>
      <w:r>
        <w:rPr>
          <w:spacing w:val="40"/>
          <w:sz w:val="24"/>
        </w:rPr>
        <w:t> </w:t>
      </w:r>
      <w:r>
        <w:rPr>
          <w:sz w:val="24"/>
        </w:rPr>
        <w:t>which</w:t>
      </w:r>
      <w:r>
        <w:rPr>
          <w:spacing w:val="40"/>
          <w:sz w:val="24"/>
        </w:rPr>
        <w:t> </w:t>
      </w:r>
      <w:r>
        <w:rPr>
          <w:sz w:val="24"/>
        </w:rPr>
        <w:t>one</w:t>
      </w:r>
      <w:r>
        <w:rPr>
          <w:spacing w:val="9"/>
          <w:sz w:val="24"/>
        </w:rPr>
        <w:t> normally </w:t>
      </w:r>
      <w:r>
        <w:rPr>
          <w:sz w:val="24"/>
        </w:rPr>
        <w:t>walks</w:t>
      </w:r>
      <w:r>
        <w:rPr>
          <w:spacing w:val="40"/>
          <w:sz w:val="24"/>
        </w:rPr>
        <w:t> </w:t>
      </w:r>
      <w:r>
        <w:rPr>
          <w:sz w:val="24"/>
        </w:rPr>
        <w:t>in</w:t>
      </w:r>
      <w:r>
        <w:rPr>
          <w:spacing w:val="40"/>
          <w:sz w:val="24"/>
        </w:rPr>
        <w:t> </w:t>
      </w:r>
      <w:r>
        <w:rPr>
          <w:sz w:val="24"/>
        </w:rPr>
        <w:t>a</w:t>
      </w:r>
      <w:r>
        <w:rPr>
          <w:spacing w:val="40"/>
          <w:sz w:val="24"/>
        </w:rPr>
        <w:t> </w:t>
      </w:r>
      <w:r>
        <w:rPr>
          <w:sz w:val="24"/>
        </w:rPr>
        <w:t>building,</w:t>
      </w:r>
      <w:r>
        <w:rPr>
          <w:spacing w:val="40"/>
          <w:sz w:val="24"/>
        </w:rPr>
        <w:t> </w:t>
      </w:r>
      <w:r>
        <w:rPr>
          <w:sz w:val="24"/>
        </w:rPr>
        <w:t>and</w:t>
      </w:r>
      <w:r>
        <w:rPr>
          <w:spacing w:val="40"/>
          <w:sz w:val="24"/>
        </w:rPr>
        <w:t> </w:t>
      </w:r>
      <w:r>
        <w:rPr>
          <w:sz w:val="24"/>
        </w:rPr>
        <w:t>does</w:t>
      </w:r>
      <w:r>
        <w:rPr>
          <w:spacing w:val="40"/>
          <w:sz w:val="24"/>
        </w:rPr>
        <w:t> </w:t>
      </w:r>
      <w:r>
        <w:rPr>
          <w:sz w:val="24"/>
        </w:rPr>
        <w:t>not</w:t>
      </w:r>
      <w:r>
        <w:rPr>
          <w:spacing w:val="40"/>
          <w:sz w:val="24"/>
        </w:rPr>
        <w:t> </w:t>
      </w:r>
      <w:r>
        <w:rPr>
          <w:sz w:val="24"/>
        </w:rPr>
        <w:t>include</w:t>
      </w:r>
      <w:r>
        <w:rPr>
          <w:spacing w:val="40"/>
          <w:sz w:val="24"/>
        </w:rPr>
        <w:t> </w:t>
      </w:r>
      <w:r>
        <w:rPr>
          <w:sz w:val="24"/>
        </w:rPr>
        <w:t>a</w:t>
      </w:r>
      <w:r>
        <w:rPr>
          <w:spacing w:val="40"/>
          <w:sz w:val="24"/>
        </w:rPr>
        <w:t> </w:t>
      </w:r>
      <w:r>
        <w:rPr>
          <w:sz w:val="24"/>
        </w:rPr>
        <w:t>mezzanine</w:t>
      </w:r>
      <w:r>
        <w:rPr>
          <w:spacing w:val="40"/>
          <w:sz w:val="24"/>
        </w:rPr>
        <w:t> </w:t>
      </w:r>
      <w:r>
        <w:rPr>
          <w:sz w:val="24"/>
        </w:rPr>
        <w:t>floor.</w:t>
      </w:r>
      <w:r>
        <w:rPr>
          <w:spacing w:val="40"/>
          <w:sz w:val="24"/>
        </w:rPr>
        <w:t>  </w:t>
      </w:r>
      <w:r>
        <w:rPr>
          <w:sz w:val="24"/>
        </w:rPr>
        <w:t>The floor</w:t>
      </w:r>
      <w:r>
        <w:rPr>
          <w:spacing w:val="40"/>
          <w:sz w:val="24"/>
        </w:rPr>
        <w:t> </w:t>
      </w:r>
      <w:r>
        <w:rPr>
          <w:sz w:val="24"/>
        </w:rPr>
        <w:t>at</w:t>
      </w:r>
      <w:r>
        <w:rPr>
          <w:spacing w:val="40"/>
          <w:sz w:val="24"/>
        </w:rPr>
        <w:t> </w:t>
      </w:r>
      <w:r>
        <w:rPr>
          <w:sz w:val="24"/>
        </w:rPr>
        <w:t>ground</w:t>
      </w:r>
      <w:r>
        <w:rPr>
          <w:spacing w:val="40"/>
          <w:sz w:val="24"/>
        </w:rPr>
        <w:t> </w:t>
      </w:r>
      <w:r>
        <w:rPr>
          <w:sz w:val="24"/>
        </w:rPr>
        <w:t>level</w:t>
      </w:r>
      <w:r>
        <w:rPr>
          <w:spacing w:val="40"/>
          <w:sz w:val="24"/>
        </w:rPr>
        <w:t> </w:t>
      </w:r>
      <w:r>
        <w:rPr>
          <w:sz w:val="24"/>
        </w:rPr>
        <w:t>with</w:t>
      </w:r>
      <w:r>
        <w:rPr>
          <w:spacing w:val="40"/>
          <w:sz w:val="24"/>
        </w:rPr>
        <w:t> </w:t>
      </w:r>
      <w:r>
        <w:rPr>
          <w:sz w:val="24"/>
        </w:rPr>
        <w:t>a</w:t>
      </w:r>
      <w:r>
        <w:rPr>
          <w:spacing w:val="40"/>
          <w:sz w:val="24"/>
        </w:rPr>
        <w:t> </w:t>
      </w:r>
      <w:r>
        <w:rPr>
          <w:spacing w:val="9"/>
          <w:sz w:val="24"/>
        </w:rPr>
        <w:t>direct</w:t>
      </w:r>
      <w:r>
        <w:rPr>
          <w:spacing w:val="40"/>
          <w:sz w:val="24"/>
        </w:rPr>
        <w:t> </w:t>
      </w:r>
      <w:r>
        <w:rPr>
          <w:sz w:val="24"/>
        </w:rPr>
        <w:t>access</w:t>
      </w:r>
      <w:r>
        <w:rPr>
          <w:spacing w:val="40"/>
          <w:sz w:val="24"/>
        </w:rPr>
        <w:t> </w:t>
      </w:r>
      <w:r>
        <w:rPr>
          <w:sz w:val="24"/>
        </w:rPr>
        <w:t>to</w:t>
      </w:r>
      <w:r>
        <w:rPr>
          <w:spacing w:val="40"/>
          <w:sz w:val="24"/>
        </w:rPr>
        <w:t> </w:t>
      </w:r>
      <w:r>
        <w:rPr>
          <w:sz w:val="24"/>
        </w:rPr>
        <w:t>a</w:t>
      </w:r>
      <w:r>
        <w:rPr>
          <w:spacing w:val="40"/>
          <w:sz w:val="24"/>
        </w:rPr>
        <w:t> </w:t>
      </w:r>
      <w:r>
        <w:rPr>
          <w:sz w:val="24"/>
        </w:rPr>
        <w:t>street</w:t>
      </w:r>
      <w:r>
        <w:rPr>
          <w:spacing w:val="40"/>
          <w:sz w:val="24"/>
        </w:rPr>
        <w:t> </w:t>
      </w:r>
      <w:r>
        <w:rPr>
          <w:sz w:val="24"/>
        </w:rPr>
        <w:t>or</w:t>
      </w:r>
      <w:r>
        <w:rPr>
          <w:spacing w:val="40"/>
          <w:sz w:val="24"/>
        </w:rPr>
        <w:t> </w:t>
      </w:r>
      <w:r>
        <w:rPr>
          <w:sz w:val="24"/>
        </w:rPr>
        <w:t>open</w:t>
      </w:r>
      <w:r>
        <w:rPr>
          <w:spacing w:val="40"/>
          <w:sz w:val="24"/>
        </w:rPr>
        <w:t> </w:t>
      </w:r>
      <w:r>
        <w:rPr>
          <w:sz w:val="24"/>
        </w:rPr>
        <w:t>space shall</w:t>
      </w:r>
      <w:r>
        <w:rPr>
          <w:spacing w:val="40"/>
          <w:sz w:val="24"/>
        </w:rPr>
        <w:t> </w:t>
      </w:r>
      <w:r>
        <w:rPr>
          <w:sz w:val="24"/>
        </w:rPr>
        <w:t>be</w:t>
      </w:r>
      <w:r>
        <w:rPr>
          <w:spacing w:val="40"/>
          <w:sz w:val="24"/>
        </w:rPr>
        <w:t> </w:t>
      </w:r>
      <w:r>
        <w:rPr>
          <w:sz w:val="24"/>
        </w:rPr>
        <w:t>called</w:t>
      </w:r>
      <w:r>
        <w:rPr>
          <w:spacing w:val="40"/>
          <w:sz w:val="24"/>
        </w:rPr>
        <w:t> </w:t>
      </w:r>
      <w:r>
        <w:rPr>
          <w:sz w:val="24"/>
        </w:rPr>
        <w:t>the</w:t>
      </w:r>
      <w:r>
        <w:rPr>
          <w:spacing w:val="40"/>
          <w:sz w:val="24"/>
        </w:rPr>
        <w:t> </w:t>
      </w:r>
      <w:r>
        <w:rPr>
          <w:sz w:val="24"/>
        </w:rPr>
        <w:t>ground</w:t>
      </w:r>
      <w:r>
        <w:rPr>
          <w:spacing w:val="40"/>
          <w:sz w:val="24"/>
        </w:rPr>
        <w:t> </w:t>
      </w:r>
      <w:r>
        <w:rPr>
          <w:sz w:val="24"/>
        </w:rPr>
        <w:t>floor;</w:t>
      </w:r>
      <w:r>
        <w:rPr>
          <w:spacing w:val="40"/>
          <w:sz w:val="24"/>
        </w:rPr>
        <w:t> </w:t>
      </w:r>
      <w:r>
        <w:rPr>
          <w:sz w:val="24"/>
        </w:rPr>
        <w:t>the</w:t>
      </w:r>
      <w:r>
        <w:rPr>
          <w:spacing w:val="40"/>
          <w:sz w:val="24"/>
        </w:rPr>
        <w:t> </w:t>
      </w:r>
      <w:r>
        <w:rPr>
          <w:sz w:val="24"/>
        </w:rPr>
        <w:t>floor</w:t>
      </w:r>
      <w:r>
        <w:rPr>
          <w:spacing w:val="40"/>
          <w:sz w:val="24"/>
        </w:rPr>
        <w:t> </w:t>
      </w:r>
      <w:r>
        <w:rPr>
          <w:sz w:val="24"/>
        </w:rPr>
        <w:t>above</w:t>
      </w:r>
      <w:r>
        <w:rPr>
          <w:spacing w:val="40"/>
          <w:sz w:val="24"/>
        </w:rPr>
        <w:t> </w:t>
      </w:r>
      <w:r>
        <w:rPr>
          <w:sz w:val="24"/>
        </w:rPr>
        <w:t>it</w:t>
      </w:r>
      <w:r>
        <w:rPr>
          <w:spacing w:val="40"/>
          <w:sz w:val="24"/>
        </w:rPr>
        <w:t> </w:t>
      </w:r>
      <w:r>
        <w:rPr>
          <w:sz w:val="24"/>
        </w:rPr>
        <w:t>shall</w:t>
      </w:r>
      <w:r>
        <w:rPr>
          <w:spacing w:val="40"/>
          <w:sz w:val="24"/>
        </w:rPr>
        <w:t> </w:t>
      </w:r>
      <w:r>
        <w:rPr>
          <w:sz w:val="24"/>
        </w:rPr>
        <w:t>be</w:t>
      </w:r>
      <w:r>
        <w:rPr>
          <w:spacing w:val="40"/>
          <w:sz w:val="24"/>
        </w:rPr>
        <w:t> </w:t>
      </w:r>
      <w:r>
        <w:rPr>
          <w:sz w:val="24"/>
        </w:rPr>
        <w:t>termed</w:t>
      </w:r>
      <w:r>
        <w:rPr>
          <w:spacing w:val="40"/>
          <w:sz w:val="24"/>
        </w:rPr>
        <w:t> </w:t>
      </w:r>
      <w:r>
        <w:rPr>
          <w:sz w:val="24"/>
        </w:rPr>
        <w:t>as</w:t>
      </w:r>
    </w:p>
    <w:p>
      <w:pPr>
        <w:pStyle w:val="ListParagraph"/>
        <w:spacing w:after="0" w:line="240" w:lineRule="auto"/>
        <w:jc w:val="both"/>
        <w:rPr>
          <w:sz w:val="24"/>
        </w:rPr>
        <w:sectPr>
          <w:pgSz w:w="11910" w:h="16840"/>
          <w:pgMar w:header="1058" w:footer="1357" w:top="1500" w:bottom="1540" w:left="360" w:right="360"/>
        </w:sectPr>
      </w:pPr>
    </w:p>
    <w:p>
      <w:pPr>
        <w:pStyle w:val="BodyText"/>
        <w:spacing w:before="255"/>
        <w:ind w:left="1766"/>
        <w:jc w:val="left"/>
      </w:pPr>
      <w:r>
        <w:rPr/>
        <w:t>floor</w:t>
      </w:r>
      <w:r>
        <w:rPr>
          <w:spacing w:val="40"/>
        </w:rPr>
        <w:t> </w:t>
      </w:r>
      <w:r>
        <w:rPr/>
        <w:t>1,</w:t>
      </w:r>
      <w:r>
        <w:rPr>
          <w:spacing w:val="40"/>
        </w:rPr>
        <w:t> </w:t>
      </w:r>
      <w:r>
        <w:rPr/>
        <w:t>with</w:t>
      </w:r>
      <w:r>
        <w:rPr>
          <w:spacing w:val="40"/>
        </w:rPr>
        <w:t> </w:t>
      </w:r>
      <w:r>
        <w:rPr/>
        <w:t>the</w:t>
      </w:r>
      <w:r>
        <w:rPr>
          <w:spacing w:val="40"/>
        </w:rPr>
        <w:t> </w:t>
      </w:r>
      <w:r>
        <w:rPr/>
        <w:t>next</w:t>
      </w:r>
      <w:r>
        <w:rPr>
          <w:spacing w:val="40"/>
        </w:rPr>
        <w:t> </w:t>
      </w:r>
      <w:r>
        <w:rPr/>
        <w:t>higher</w:t>
      </w:r>
      <w:r>
        <w:rPr>
          <w:spacing w:val="40"/>
        </w:rPr>
        <w:t> </w:t>
      </w:r>
      <w:r>
        <w:rPr/>
        <w:t>floor</w:t>
      </w:r>
      <w:r>
        <w:rPr>
          <w:spacing w:val="40"/>
        </w:rPr>
        <w:t> </w:t>
      </w:r>
      <w:r>
        <w:rPr/>
        <w:t>being</w:t>
      </w:r>
      <w:r>
        <w:rPr>
          <w:spacing w:val="40"/>
        </w:rPr>
        <w:t> </w:t>
      </w:r>
      <w:r>
        <w:rPr/>
        <w:t>termed</w:t>
      </w:r>
      <w:r>
        <w:rPr>
          <w:spacing w:val="40"/>
        </w:rPr>
        <w:t> </w:t>
      </w:r>
      <w:r>
        <w:rPr/>
        <w:t>as</w:t>
      </w:r>
      <w:r>
        <w:rPr>
          <w:spacing w:val="40"/>
        </w:rPr>
        <w:t> </w:t>
      </w:r>
      <w:r>
        <w:rPr/>
        <w:t>floor</w:t>
      </w:r>
      <w:r>
        <w:rPr>
          <w:spacing w:val="40"/>
        </w:rPr>
        <w:t> </w:t>
      </w:r>
      <w:r>
        <w:rPr/>
        <w:t>2,</w:t>
      </w:r>
      <w:r>
        <w:rPr>
          <w:spacing w:val="40"/>
        </w:rPr>
        <w:t> </w:t>
      </w:r>
      <w:r>
        <w:rPr/>
        <w:t>and</w:t>
      </w:r>
      <w:r>
        <w:rPr>
          <w:spacing w:val="40"/>
        </w:rPr>
        <w:t> </w:t>
      </w:r>
      <w:r>
        <w:rPr/>
        <w:t>so</w:t>
      </w:r>
      <w:r>
        <w:rPr>
          <w:spacing w:val="40"/>
        </w:rPr>
        <w:t> </w:t>
      </w:r>
      <w:r>
        <w:rPr/>
        <w:t>on </w:t>
      </w:r>
      <w:r>
        <w:rPr>
          <w:spacing w:val="-2"/>
        </w:rPr>
        <w:t>upwards.</w:t>
      </w:r>
    </w:p>
    <w:p>
      <w:pPr>
        <w:pStyle w:val="BodyText"/>
        <w:spacing w:before="2"/>
        <w:jc w:val="left"/>
      </w:pPr>
    </w:p>
    <w:p>
      <w:pPr>
        <w:pStyle w:val="ListParagraph"/>
        <w:numPr>
          <w:ilvl w:val="0"/>
          <w:numId w:val="6"/>
        </w:numPr>
        <w:tabs>
          <w:tab w:pos="1762" w:val="left" w:leader="none"/>
          <w:tab w:pos="1766" w:val="left" w:leader="none"/>
        </w:tabs>
        <w:spacing w:line="240" w:lineRule="auto" w:before="0" w:after="0"/>
        <w:ind w:left="1766" w:right="771" w:hanging="711"/>
        <w:jc w:val="both"/>
        <w:rPr>
          <w:sz w:val="24"/>
        </w:rPr>
      </w:pPr>
      <w:r>
        <w:rPr>
          <w:sz w:val="24"/>
        </w:rPr>
        <w:t>"Floor</w:t>
      </w:r>
      <w:r>
        <w:rPr>
          <w:spacing w:val="40"/>
          <w:sz w:val="24"/>
        </w:rPr>
        <w:t> </w:t>
      </w:r>
      <w:r>
        <w:rPr>
          <w:sz w:val="24"/>
        </w:rPr>
        <w:t>space</w:t>
      </w:r>
      <w:r>
        <w:rPr>
          <w:spacing w:val="40"/>
          <w:sz w:val="24"/>
        </w:rPr>
        <w:t> </w:t>
      </w:r>
      <w:r>
        <w:rPr>
          <w:sz w:val="24"/>
        </w:rPr>
        <w:t>index</w:t>
      </w:r>
      <w:r>
        <w:rPr>
          <w:spacing w:val="40"/>
          <w:sz w:val="24"/>
        </w:rPr>
        <w:t> </w:t>
      </w:r>
      <w:r>
        <w:rPr>
          <w:sz w:val="24"/>
        </w:rPr>
        <w:t>(FSI)"</w:t>
      </w:r>
      <w:r>
        <w:rPr>
          <w:spacing w:val="40"/>
          <w:sz w:val="24"/>
        </w:rPr>
        <w:t> </w:t>
      </w:r>
      <w:r>
        <w:rPr>
          <w:sz w:val="24"/>
        </w:rPr>
        <w:t>means</w:t>
      </w:r>
      <w:r>
        <w:rPr>
          <w:spacing w:val="40"/>
          <w:sz w:val="24"/>
        </w:rPr>
        <w:t> </w:t>
      </w:r>
      <w:r>
        <w:rPr>
          <w:sz w:val="24"/>
        </w:rPr>
        <w:t>the</w:t>
      </w:r>
      <w:r>
        <w:rPr>
          <w:spacing w:val="40"/>
          <w:sz w:val="24"/>
        </w:rPr>
        <w:t> </w:t>
      </w:r>
      <w:r>
        <w:rPr>
          <w:sz w:val="24"/>
        </w:rPr>
        <w:t>quotient</w:t>
      </w:r>
      <w:r>
        <w:rPr>
          <w:spacing w:val="40"/>
          <w:sz w:val="24"/>
        </w:rPr>
        <w:t> </w:t>
      </w:r>
      <w:r>
        <w:rPr>
          <w:sz w:val="24"/>
        </w:rPr>
        <w:t>of</w:t>
      </w:r>
      <w:r>
        <w:rPr>
          <w:spacing w:val="40"/>
          <w:sz w:val="24"/>
        </w:rPr>
        <w:t> </w:t>
      </w:r>
      <w:r>
        <w:rPr>
          <w:sz w:val="24"/>
        </w:rPr>
        <w:t>the</w:t>
      </w:r>
      <w:r>
        <w:rPr>
          <w:spacing w:val="40"/>
          <w:sz w:val="24"/>
        </w:rPr>
        <w:t> </w:t>
      </w:r>
      <w:r>
        <w:rPr>
          <w:sz w:val="24"/>
        </w:rPr>
        <w:t>ratio</w:t>
      </w:r>
      <w:r>
        <w:rPr>
          <w:spacing w:val="40"/>
          <w:sz w:val="24"/>
        </w:rPr>
        <w:t> </w:t>
      </w:r>
      <w:r>
        <w:rPr>
          <w:sz w:val="24"/>
        </w:rPr>
        <w:t>of</w:t>
      </w:r>
      <w:r>
        <w:rPr>
          <w:spacing w:val="40"/>
          <w:sz w:val="24"/>
        </w:rPr>
        <w:t> </w:t>
      </w:r>
      <w:r>
        <w:rPr>
          <w:sz w:val="24"/>
        </w:rPr>
        <w:t>the </w:t>
      </w:r>
      <w:r>
        <w:rPr>
          <w:sz w:val="22"/>
        </w:rPr>
        <w:t>combined</w:t>
      </w:r>
      <w:r>
        <w:rPr>
          <w:spacing w:val="40"/>
          <w:sz w:val="22"/>
        </w:rPr>
        <w:t> </w:t>
      </w:r>
      <w:r>
        <w:rPr>
          <w:sz w:val="22"/>
        </w:rPr>
        <w:t>gross</w:t>
      </w:r>
      <w:r>
        <w:rPr>
          <w:spacing w:val="40"/>
          <w:sz w:val="22"/>
        </w:rPr>
        <w:t> </w:t>
      </w:r>
      <w:r>
        <w:rPr>
          <w:sz w:val="22"/>
        </w:rPr>
        <w:t>floor area of all</w:t>
      </w:r>
      <w:r>
        <w:rPr>
          <w:spacing w:val="40"/>
          <w:sz w:val="22"/>
        </w:rPr>
        <w:t> </w:t>
      </w:r>
      <w:r>
        <w:rPr>
          <w:color w:val="000000"/>
          <w:sz w:val="24"/>
          <w:shd w:fill="FFCCFF" w:color="auto" w:val="clear"/>
        </w:rPr>
        <w:t>floors,</w:t>
      </w:r>
      <w:r>
        <w:rPr>
          <w:color w:val="000000"/>
          <w:sz w:val="24"/>
        </w:rPr>
        <w:t> excepting areas specifically exempted</w:t>
      </w:r>
      <w:r>
        <w:rPr>
          <w:color w:val="000000"/>
          <w:spacing w:val="78"/>
          <w:sz w:val="24"/>
        </w:rPr>
        <w:t> </w:t>
      </w:r>
      <w:r>
        <w:rPr>
          <w:color w:val="000000"/>
          <w:sz w:val="24"/>
        </w:rPr>
        <w:t>under</w:t>
      </w:r>
      <w:r>
        <w:rPr>
          <w:color w:val="000000"/>
          <w:spacing w:val="78"/>
          <w:sz w:val="24"/>
        </w:rPr>
        <w:t> </w:t>
      </w:r>
      <w:r>
        <w:rPr>
          <w:color w:val="000000"/>
          <w:sz w:val="24"/>
        </w:rPr>
        <w:t>these</w:t>
      </w:r>
      <w:r>
        <w:rPr>
          <w:color w:val="000000"/>
          <w:spacing w:val="40"/>
          <w:sz w:val="24"/>
        </w:rPr>
        <w:t> </w:t>
      </w:r>
      <w:r>
        <w:rPr>
          <w:color w:val="000000"/>
          <w:sz w:val="24"/>
        </w:rPr>
        <w:t>Regulations,</w:t>
      </w:r>
      <w:r>
        <w:rPr>
          <w:color w:val="000000"/>
          <w:spacing w:val="40"/>
          <w:sz w:val="24"/>
        </w:rPr>
        <w:t> </w:t>
      </w:r>
      <w:r>
        <w:rPr>
          <w:color w:val="000000"/>
          <w:sz w:val="24"/>
        </w:rPr>
        <w:t>to</w:t>
      </w:r>
      <w:r>
        <w:rPr>
          <w:color w:val="000000"/>
          <w:spacing w:val="80"/>
          <w:sz w:val="24"/>
        </w:rPr>
        <w:t> </w:t>
      </w:r>
      <w:r>
        <w:rPr>
          <w:color w:val="000000"/>
          <w:sz w:val="24"/>
        </w:rPr>
        <w:t>the</w:t>
      </w:r>
      <w:r>
        <w:rPr>
          <w:color w:val="000000"/>
          <w:spacing w:val="40"/>
          <w:sz w:val="24"/>
        </w:rPr>
        <w:t> </w:t>
      </w:r>
      <w:r>
        <w:rPr>
          <w:color w:val="000000"/>
          <w:sz w:val="24"/>
        </w:rPr>
        <w:t>area</w:t>
      </w:r>
      <w:r>
        <w:rPr>
          <w:color w:val="000000"/>
          <w:spacing w:val="40"/>
          <w:sz w:val="24"/>
        </w:rPr>
        <w:t> </w:t>
      </w:r>
      <w:r>
        <w:rPr>
          <w:color w:val="000000"/>
          <w:sz w:val="24"/>
        </w:rPr>
        <w:t>of</w:t>
      </w:r>
      <w:r>
        <w:rPr>
          <w:color w:val="000000"/>
          <w:spacing w:val="40"/>
          <w:sz w:val="24"/>
        </w:rPr>
        <w:t> </w:t>
      </w:r>
      <w:r>
        <w:rPr>
          <w:color w:val="000000"/>
          <w:sz w:val="24"/>
        </w:rPr>
        <w:t>the</w:t>
      </w:r>
      <w:r>
        <w:rPr>
          <w:color w:val="000000"/>
          <w:spacing w:val="40"/>
          <w:sz w:val="24"/>
        </w:rPr>
        <w:t> </w:t>
      </w:r>
      <w:r>
        <w:rPr>
          <w:color w:val="000000"/>
          <w:sz w:val="24"/>
        </w:rPr>
        <w:t>plot,</w:t>
      </w:r>
      <w:r>
        <w:rPr>
          <w:color w:val="000000"/>
          <w:spacing w:val="40"/>
          <w:sz w:val="24"/>
        </w:rPr>
        <w:t> </w:t>
      </w:r>
      <w:r>
        <w:rPr>
          <w:color w:val="000000"/>
          <w:sz w:val="24"/>
        </w:rPr>
        <w:t>viz.:</w:t>
      </w:r>
    </w:p>
    <w:p>
      <w:pPr>
        <w:pStyle w:val="BodyText"/>
        <w:spacing w:line="281" w:lineRule="exact"/>
        <w:ind w:left="5093"/>
      </w:pPr>
      <w:r>
        <w:rPr/>
        <w:t>Total</w:t>
      </w:r>
      <w:r>
        <w:rPr>
          <w:spacing w:val="56"/>
        </w:rPr>
        <w:t> </w:t>
      </w:r>
      <w:r>
        <w:rPr/>
        <w:t>coveredarea</w:t>
      </w:r>
      <w:r>
        <w:rPr>
          <w:spacing w:val="61"/>
        </w:rPr>
        <w:t> </w:t>
      </w:r>
      <w:r>
        <w:rPr/>
        <w:t>on</w:t>
      </w:r>
      <w:r>
        <w:rPr>
          <w:spacing w:val="57"/>
        </w:rPr>
        <w:t> </w:t>
      </w:r>
      <w:r>
        <w:rPr/>
        <w:t>all</w:t>
      </w:r>
      <w:r>
        <w:rPr>
          <w:spacing w:val="57"/>
        </w:rPr>
        <w:t> </w:t>
      </w:r>
      <w:r>
        <w:rPr>
          <w:spacing w:val="-2"/>
        </w:rPr>
        <w:t>floors</w:t>
      </w:r>
    </w:p>
    <w:p>
      <w:pPr>
        <w:pStyle w:val="BodyText"/>
        <w:ind w:right="4310"/>
        <w:jc w:val="center"/>
      </w:pPr>
      <w:r>
        <w:rPr/>
        <mc:AlternateContent>
          <mc:Choice Requires="wps">
            <w:drawing>
              <wp:anchor distT="0" distB="0" distL="0" distR="0" allowOverlap="1" layoutInCell="1" locked="0" behindDoc="0" simplePos="0" relativeHeight="15730688">
                <wp:simplePos x="0" y="0"/>
                <wp:positionH relativeFrom="page">
                  <wp:posOffset>3463163</wp:posOffset>
                </wp:positionH>
                <wp:positionV relativeFrom="paragraph">
                  <wp:posOffset>105784</wp:posOffset>
                </wp:positionV>
                <wp:extent cx="2617470"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2617470" cy="1270"/>
                        </a:xfrm>
                        <a:custGeom>
                          <a:avLst/>
                          <a:gdLst/>
                          <a:ahLst/>
                          <a:cxnLst/>
                          <a:rect l="l" t="t" r="r" b="b"/>
                          <a:pathLst>
                            <a:path w="2617470" h="0">
                              <a:moveTo>
                                <a:pt x="0" y="0"/>
                              </a:moveTo>
                              <a:lnTo>
                                <a:pt x="2617302"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272.690002pt,8.329471pt" to="478.77684pt,8.329471pt" stroked="true" strokeweight=".72pt" strokecolor="#000000">
                <v:stroke dashstyle="dash"/>
                <w10:wrap type="none"/>
              </v:line>
            </w:pict>
          </mc:Fallback>
        </mc:AlternateContent>
      </w:r>
      <w:r>
        <w:rPr/>
        <w:t>Floor</w:t>
      </w:r>
      <w:r>
        <w:rPr>
          <w:spacing w:val="55"/>
        </w:rPr>
        <w:t> </w:t>
      </w:r>
      <w:r>
        <w:rPr/>
        <w:t>Space</w:t>
      </w:r>
      <w:r>
        <w:rPr>
          <w:spacing w:val="55"/>
        </w:rPr>
        <w:t> </w:t>
      </w:r>
      <w:r>
        <w:rPr/>
        <w:t>Index</w:t>
      </w:r>
      <w:r>
        <w:rPr>
          <w:spacing w:val="59"/>
        </w:rPr>
        <w:t> </w:t>
      </w:r>
      <w:r>
        <w:rPr/>
        <w:t>(FSI)</w:t>
      </w:r>
      <w:r>
        <w:rPr>
          <w:spacing w:val="56"/>
        </w:rPr>
        <w:t> </w:t>
      </w:r>
      <w:r>
        <w:rPr>
          <w:spacing w:val="-10"/>
        </w:rPr>
        <w:t>=</w:t>
      </w:r>
    </w:p>
    <w:p>
      <w:pPr>
        <w:pStyle w:val="BodyText"/>
        <w:spacing w:before="1"/>
        <w:ind w:left="1548" w:right="1436"/>
        <w:jc w:val="center"/>
      </w:pPr>
      <w:r>
        <w:rPr/>
        <w:t>Plot</w:t>
      </w:r>
      <w:r>
        <w:rPr>
          <w:spacing w:val="46"/>
        </w:rPr>
        <w:t> </w:t>
      </w:r>
      <w:r>
        <w:rPr>
          <w:spacing w:val="-4"/>
        </w:rPr>
        <w:t>area</w:t>
      </w:r>
    </w:p>
    <w:p>
      <w:pPr>
        <w:pStyle w:val="BodyText"/>
        <w:spacing w:before="281"/>
        <w:jc w:val="left"/>
      </w:pPr>
    </w:p>
    <w:p>
      <w:pPr>
        <w:pStyle w:val="ListParagraph"/>
        <w:numPr>
          <w:ilvl w:val="0"/>
          <w:numId w:val="6"/>
        </w:numPr>
        <w:tabs>
          <w:tab w:pos="1762" w:val="left" w:leader="none"/>
          <w:tab w:pos="1766" w:val="left" w:leader="none"/>
        </w:tabs>
        <w:spacing w:line="240" w:lineRule="auto" w:before="0" w:after="0"/>
        <w:ind w:left="1766" w:right="777" w:hanging="711"/>
        <w:jc w:val="both"/>
        <w:rPr>
          <w:sz w:val="24"/>
        </w:rPr>
      </w:pPr>
      <w:r>
        <w:rPr>
          <w:sz w:val="24"/>
        </w:rPr>
        <w:t>"Footing" means a foundation unit constructed in brick work, stone masonry</w:t>
      </w:r>
      <w:r>
        <w:rPr>
          <w:spacing w:val="40"/>
          <w:sz w:val="24"/>
        </w:rPr>
        <w:t> </w:t>
      </w:r>
      <w:r>
        <w:rPr>
          <w:sz w:val="24"/>
        </w:rPr>
        <w:t>or</w:t>
      </w:r>
      <w:r>
        <w:rPr>
          <w:spacing w:val="40"/>
          <w:sz w:val="24"/>
        </w:rPr>
        <w:t> </w:t>
      </w:r>
      <w:r>
        <w:rPr>
          <w:sz w:val="24"/>
        </w:rPr>
        <w:t>concrete</w:t>
      </w:r>
      <w:r>
        <w:rPr>
          <w:spacing w:val="40"/>
          <w:sz w:val="24"/>
        </w:rPr>
        <w:t> </w:t>
      </w:r>
      <w:r>
        <w:rPr>
          <w:sz w:val="24"/>
        </w:rPr>
        <w:t>under</w:t>
      </w:r>
      <w:r>
        <w:rPr>
          <w:spacing w:val="40"/>
          <w:sz w:val="24"/>
        </w:rPr>
        <w:t> </w:t>
      </w:r>
      <w:r>
        <w:rPr>
          <w:sz w:val="24"/>
        </w:rPr>
        <w:t>the</w:t>
      </w:r>
      <w:r>
        <w:rPr>
          <w:spacing w:val="40"/>
          <w:sz w:val="24"/>
        </w:rPr>
        <w:t> </w:t>
      </w:r>
      <w:r>
        <w:rPr>
          <w:sz w:val="24"/>
        </w:rPr>
        <w:t>base</w:t>
      </w:r>
      <w:r>
        <w:rPr>
          <w:spacing w:val="40"/>
          <w:sz w:val="24"/>
        </w:rPr>
        <w:t> </w:t>
      </w:r>
      <w:r>
        <w:rPr>
          <w:sz w:val="24"/>
        </w:rPr>
        <w:t>of</w:t>
      </w:r>
      <w:r>
        <w:rPr>
          <w:spacing w:val="40"/>
          <w:sz w:val="24"/>
        </w:rPr>
        <w:t> </w:t>
      </w:r>
      <w:r>
        <w:rPr>
          <w:sz w:val="24"/>
        </w:rPr>
        <w:t>a</w:t>
      </w:r>
      <w:r>
        <w:rPr>
          <w:spacing w:val="40"/>
          <w:sz w:val="24"/>
        </w:rPr>
        <w:t> </w:t>
      </w:r>
      <w:r>
        <w:rPr>
          <w:sz w:val="24"/>
        </w:rPr>
        <w:t>wall</w:t>
      </w:r>
      <w:r>
        <w:rPr>
          <w:spacing w:val="40"/>
          <w:sz w:val="24"/>
        </w:rPr>
        <w:t> </w:t>
      </w:r>
      <w:r>
        <w:rPr>
          <w:sz w:val="24"/>
        </w:rPr>
        <w:t>or</w:t>
      </w:r>
      <w:r>
        <w:rPr>
          <w:spacing w:val="40"/>
          <w:sz w:val="24"/>
        </w:rPr>
        <w:t> </w:t>
      </w:r>
      <w:r>
        <w:rPr>
          <w:sz w:val="24"/>
        </w:rPr>
        <w:t>column</w:t>
      </w:r>
      <w:r>
        <w:rPr>
          <w:spacing w:val="40"/>
          <w:sz w:val="24"/>
        </w:rPr>
        <w:t> </w:t>
      </w:r>
      <w:r>
        <w:rPr>
          <w:sz w:val="24"/>
        </w:rPr>
        <w:t>for</w:t>
      </w:r>
      <w:r>
        <w:rPr>
          <w:spacing w:val="40"/>
          <w:sz w:val="24"/>
        </w:rPr>
        <w:t> </w:t>
      </w:r>
      <w:r>
        <w:rPr>
          <w:sz w:val="24"/>
        </w:rPr>
        <w:t>the purpose</w:t>
      </w:r>
      <w:r>
        <w:rPr>
          <w:spacing w:val="40"/>
          <w:sz w:val="24"/>
        </w:rPr>
        <w:t> </w:t>
      </w:r>
      <w:r>
        <w:rPr>
          <w:sz w:val="24"/>
        </w:rPr>
        <w:t>of</w:t>
      </w:r>
      <w:r>
        <w:rPr>
          <w:spacing w:val="40"/>
          <w:sz w:val="24"/>
        </w:rPr>
        <w:t> </w:t>
      </w:r>
      <w:r>
        <w:rPr>
          <w:sz w:val="24"/>
        </w:rPr>
        <w:t>distributing</w:t>
      </w:r>
      <w:r>
        <w:rPr>
          <w:spacing w:val="40"/>
          <w:sz w:val="24"/>
        </w:rPr>
        <w:t> </w:t>
      </w:r>
      <w:r>
        <w:rPr>
          <w:sz w:val="24"/>
        </w:rPr>
        <w:t>the</w:t>
      </w:r>
      <w:r>
        <w:rPr>
          <w:spacing w:val="40"/>
          <w:sz w:val="24"/>
        </w:rPr>
        <w:t> </w:t>
      </w:r>
      <w:r>
        <w:rPr>
          <w:sz w:val="24"/>
        </w:rPr>
        <w:t>load</w:t>
      </w:r>
      <w:r>
        <w:rPr>
          <w:spacing w:val="40"/>
          <w:sz w:val="24"/>
        </w:rPr>
        <w:t> </w:t>
      </w:r>
      <w:r>
        <w:rPr>
          <w:sz w:val="24"/>
        </w:rPr>
        <w:t>over</w:t>
      </w:r>
      <w:r>
        <w:rPr>
          <w:spacing w:val="40"/>
          <w:sz w:val="24"/>
        </w:rPr>
        <w:t> </w:t>
      </w:r>
      <w:r>
        <w:rPr>
          <w:sz w:val="24"/>
        </w:rPr>
        <w:t>a</w:t>
      </w:r>
      <w:r>
        <w:rPr>
          <w:spacing w:val="40"/>
          <w:sz w:val="24"/>
        </w:rPr>
        <w:t> </w:t>
      </w:r>
      <w:r>
        <w:rPr>
          <w:sz w:val="24"/>
        </w:rPr>
        <w:t>large</w:t>
      </w:r>
      <w:r>
        <w:rPr>
          <w:spacing w:val="40"/>
          <w:sz w:val="24"/>
        </w:rPr>
        <w:t> </w:t>
      </w:r>
      <w:r>
        <w:rPr>
          <w:spacing w:val="9"/>
          <w:sz w:val="24"/>
        </w:rPr>
        <w:t>area.</w:t>
      </w:r>
    </w:p>
    <w:p>
      <w:pPr>
        <w:pStyle w:val="ListParagraph"/>
        <w:numPr>
          <w:ilvl w:val="0"/>
          <w:numId w:val="6"/>
        </w:numPr>
        <w:tabs>
          <w:tab w:pos="1762" w:val="left" w:leader="none"/>
          <w:tab w:pos="1766" w:val="left" w:leader="none"/>
        </w:tabs>
        <w:spacing w:line="240" w:lineRule="auto" w:before="281" w:after="0"/>
        <w:ind w:left="1766" w:right="777" w:hanging="711"/>
        <w:jc w:val="both"/>
        <w:rPr>
          <w:sz w:val="24"/>
        </w:rPr>
      </w:pPr>
      <w:r>
        <w:rPr>
          <w:sz w:val="24"/>
        </w:rPr>
        <w:t>"Foundation"</w:t>
      </w:r>
      <w:r>
        <w:rPr>
          <w:spacing w:val="40"/>
          <w:sz w:val="24"/>
        </w:rPr>
        <w:t> </w:t>
      </w:r>
      <w:r>
        <w:rPr>
          <w:sz w:val="24"/>
        </w:rPr>
        <w:t>means</w:t>
      </w:r>
      <w:r>
        <w:rPr>
          <w:spacing w:val="40"/>
          <w:sz w:val="24"/>
        </w:rPr>
        <w:t> </w:t>
      </w:r>
      <w:r>
        <w:rPr>
          <w:sz w:val="24"/>
        </w:rPr>
        <w:t>that</w:t>
      </w:r>
      <w:r>
        <w:rPr>
          <w:spacing w:val="40"/>
          <w:sz w:val="24"/>
        </w:rPr>
        <w:t> </w:t>
      </w:r>
      <w:r>
        <w:rPr>
          <w:sz w:val="24"/>
        </w:rPr>
        <w:t>part</w:t>
      </w:r>
      <w:r>
        <w:rPr>
          <w:spacing w:val="40"/>
          <w:sz w:val="24"/>
        </w:rPr>
        <w:t> </w:t>
      </w:r>
      <w:r>
        <w:rPr>
          <w:sz w:val="24"/>
        </w:rPr>
        <w:t>of</w:t>
      </w:r>
      <w:r>
        <w:rPr>
          <w:spacing w:val="40"/>
          <w:sz w:val="24"/>
        </w:rPr>
        <w:t> </w:t>
      </w:r>
      <w:r>
        <w:rPr>
          <w:sz w:val="24"/>
        </w:rPr>
        <w:t>the</w:t>
      </w:r>
      <w:r>
        <w:rPr>
          <w:spacing w:val="40"/>
          <w:sz w:val="24"/>
        </w:rPr>
        <w:t> </w:t>
      </w:r>
      <w:r>
        <w:rPr>
          <w:sz w:val="24"/>
        </w:rPr>
        <w:t>structure</w:t>
      </w:r>
      <w:r>
        <w:rPr>
          <w:spacing w:val="40"/>
          <w:sz w:val="24"/>
        </w:rPr>
        <w:t> </w:t>
      </w:r>
      <w:r>
        <w:rPr>
          <w:sz w:val="24"/>
        </w:rPr>
        <w:t>which</w:t>
      </w:r>
      <w:r>
        <w:rPr>
          <w:spacing w:val="40"/>
          <w:sz w:val="24"/>
        </w:rPr>
        <w:t> </w:t>
      </w:r>
      <w:r>
        <w:rPr>
          <w:sz w:val="24"/>
        </w:rPr>
        <w:t>is</w:t>
      </w:r>
      <w:r>
        <w:rPr>
          <w:spacing w:val="40"/>
          <w:sz w:val="24"/>
        </w:rPr>
        <w:t> </w:t>
      </w:r>
      <w:r>
        <w:rPr>
          <w:sz w:val="24"/>
        </w:rPr>
        <w:t>in</w:t>
      </w:r>
      <w:r>
        <w:rPr>
          <w:spacing w:val="40"/>
          <w:sz w:val="24"/>
        </w:rPr>
        <w:t> </w:t>
      </w:r>
      <w:r>
        <w:rPr>
          <w:sz w:val="24"/>
        </w:rPr>
        <w:t>direct contact</w:t>
      </w:r>
      <w:r>
        <w:rPr>
          <w:spacing w:val="40"/>
          <w:sz w:val="24"/>
        </w:rPr>
        <w:t> </w:t>
      </w:r>
      <w:r>
        <w:rPr>
          <w:sz w:val="24"/>
        </w:rPr>
        <w:t>with</w:t>
      </w:r>
      <w:r>
        <w:rPr>
          <w:spacing w:val="40"/>
          <w:sz w:val="24"/>
        </w:rPr>
        <w:t> </w:t>
      </w:r>
      <w:r>
        <w:rPr>
          <w:sz w:val="24"/>
        </w:rPr>
        <w:t>and</w:t>
      </w:r>
      <w:r>
        <w:rPr>
          <w:spacing w:val="40"/>
          <w:sz w:val="24"/>
        </w:rPr>
        <w:t> </w:t>
      </w:r>
      <w:r>
        <w:rPr>
          <w:sz w:val="24"/>
        </w:rPr>
        <w:t>transmitting</w:t>
      </w:r>
      <w:r>
        <w:rPr>
          <w:spacing w:val="40"/>
          <w:sz w:val="24"/>
        </w:rPr>
        <w:t> </w:t>
      </w:r>
      <w:r>
        <w:rPr>
          <w:sz w:val="24"/>
        </w:rPr>
        <w:t>loads</w:t>
      </w:r>
      <w:r>
        <w:rPr>
          <w:spacing w:val="40"/>
          <w:sz w:val="24"/>
        </w:rPr>
        <w:t> </w:t>
      </w:r>
      <w:r>
        <w:rPr>
          <w:sz w:val="24"/>
        </w:rPr>
        <w:t>to</w:t>
      </w:r>
      <w:r>
        <w:rPr>
          <w:spacing w:val="40"/>
          <w:sz w:val="24"/>
        </w:rPr>
        <w:t> </w:t>
      </w:r>
      <w:r>
        <w:rPr>
          <w:sz w:val="24"/>
        </w:rPr>
        <w:t>the</w:t>
      </w:r>
      <w:r>
        <w:rPr>
          <w:spacing w:val="40"/>
          <w:sz w:val="24"/>
        </w:rPr>
        <w:t> </w:t>
      </w:r>
      <w:r>
        <w:rPr>
          <w:spacing w:val="9"/>
          <w:sz w:val="24"/>
        </w:rPr>
        <w:t>ground.</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80" w:hanging="711"/>
        <w:jc w:val="both"/>
        <w:rPr>
          <w:sz w:val="24"/>
        </w:rPr>
      </w:pPr>
      <w:r>
        <w:rPr>
          <w:sz w:val="24"/>
        </w:rPr>
        <w:t>"Front</w:t>
      </w:r>
      <w:r>
        <w:rPr>
          <w:spacing w:val="40"/>
          <w:sz w:val="24"/>
        </w:rPr>
        <w:t> </w:t>
      </w:r>
      <w:r>
        <w:rPr>
          <w:sz w:val="24"/>
        </w:rPr>
        <w:t>Open</w:t>
      </w:r>
      <w:r>
        <w:rPr>
          <w:spacing w:val="40"/>
          <w:sz w:val="24"/>
        </w:rPr>
        <w:t> </w:t>
      </w:r>
      <w:r>
        <w:rPr>
          <w:sz w:val="24"/>
        </w:rPr>
        <w:t>Space"</w:t>
      </w:r>
      <w:r>
        <w:rPr>
          <w:spacing w:val="40"/>
          <w:sz w:val="24"/>
        </w:rPr>
        <w:t> </w:t>
      </w:r>
      <w:r>
        <w:rPr>
          <w:sz w:val="24"/>
        </w:rPr>
        <w:t>means</w:t>
      </w:r>
      <w:r>
        <w:rPr>
          <w:spacing w:val="40"/>
          <w:sz w:val="24"/>
        </w:rPr>
        <w:t> </w:t>
      </w:r>
      <w:r>
        <w:rPr>
          <w:sz w:val="24"/>
        </w:rPr>
        <w:t>the</w:t>
      </w:r>
      <w:r>
        <w:rPr>
          <w:spacing w:val="40"/>
          <w:sz w:val="24"/>
        </w:rPr>
        <w:t> </w:t>
      </w:r>
      <w:r>
        <w:rPr>
          <w:sz w:val="24"/>
        </w:rPr>
        <w:t>space</w:t>
      </w:r>
      <w:r>
        <w:rPr>
          <w:spacing w:val="40"/>
          <w:sz w:val="24"/>
        </w:rPr>
        <w:t> </w:t>
      </w:r>
      <w:r>
        <w:rPr>
          <w:sz w:val="24"/>
        </w:rPr>
        <w:t>between</w:t>
      </w:r>
      <w:r>
        <w:rPr>
          <w:spacing w:val="40"/>
          <w:sz w:val="24"/>
        </w:rPr>
        <w:t> </w:t>
      </w:r>
      <w:r>
        <w:rPr>
          <w:sz w:val="24"/>
        </w:rPr>
        <w:t>the</w:t>
      </w:r>
      <w:r>
        <w:rPr>
          <w:spacing w:val="40"/>
          <w:sz w:val="24"/>
        </w:rPr>
        <w:t> </w:t>
      </w:r>
      <w:r>
        <w:rPr>
          <w:sz w:val="24"/>
        </w:rPr>
        <w:t>boundary</w:t>
      </w:r>
      <w:r>
        <w:rPr>
          <w:spacing w:val="40"/>
          <w:sz w:val="24"/>
        </w:rPr>
        <w:t> </w:t>
      </w:r>
      <w:r>
        <w:rPr>
          <w:sz w:val="24"/>
        </w:rPr>
        <w:t>line</w:t>
      </w:r>
      <w:r>
        <w:rPr>
          <w:spacing w:val="40"/>
          <w:sz w:val="24"/>
        </w:rPr>
        <w:t> </w:t>
      </w:r>
      <w:r>
        <w:rPr>
          <w:sz w:val="24"/>
        </w:rPr>
        <w:t>of</w:t>
      </w:r>
      <w:r>
        <w:rPr>
          <w:spacing w:val="40"/>
          <w:sz w:val="24"/>
        </w:rPr>
        <w:t> </w:t>
      </w:r>
      <w:r>
        <w:rPr>
          <w:sz w:val="24"/>
        </w:rPr>
        <w:t>a plot abutting the means of access/road/street and the building line.</w:t>
      </w:r>
      <w:r>
        <w:rPr>
          <w:spacing w:val="40"/>
          <w:sz w:val="24"/>
        </w:rPr>
        <w:t> </w:t>
      </w:r>
      <w:r>
        <w:rPr>
          <w:sz w:val="24"/>
        </w:rPr>
        <w:t>Plots facing two or more means of </w:t>
      </w:r>
      <w:r>
        <w:rPr>
          <w:spacing w:val="9"/>
          <w:sz w:val="24"/>
        </w:rPr>
        <w:t>accesses/roads/streets</w:t>
      </w:r>
      <w:r>
        <w:rPr>
          <w:spacing w:val="9"/>
          <w:sz w:val="24"/>
        </w:rPr>
        <w:t> </w:t>
      </w:r>
      <w:r>
        <w:rPr>
          <w:sz w:val="24"/>
        </w:rPr>
        <w:t>shall </w:t>
      </w:r>
      <w:r>
        <w:rPr>
          <w:spacing w:val="13"/>
          <w:sz w:val="24"/>
        </w:rPr>
        <w:t>be </w:t>
      </w:r>
      <w:r>
        <w:rPr>
          <w:sz w:val="24"/>
        </w:rPr>
        <w:t>deemed</w:t>
      </w:r>
      <w:r>
        <w:rPr>
          <w:spacing w:val="40"/>
          <w:sz w:val="24"/>
        </w:rPr>
        <w:t> </w:t>
      </w:r>
      <w:r>
        <w:rPr>
          <w:sz w:val="24"/>
        </w:rPr>
        <w:t>to</w:t>
      </w:r>
      <w:r>
        <w:rPr>
          <w:spacing w:val="40"/>
          <w:sz w:val="24"/>
        </w:rPr>
        <w:t> </w:t>
      </w:r>
      <w:r>
        <w:rPr>
          <w:sz w:val="24"/>
        </w:rPr>
        <w:t>front</w:t>
      </w:r>
      <w:r>
        <w:rPr>
          <w:spacing w:val="40"/>
          <w:sz w:val="24"/>
        </w:rPr>
        <w:t> </w:t>
      </w:r>
      <w:r>
        <w:rPr>
          <w:sz w:val="24"/>
        </w:rPr>
        <w:t>on</w:t>
      </w:r>
      <w:r>
        <w:rPr>
          <w:spacing w:val="40"/>
          <w:sz w:val="24"/>
        </w:rPr>
        <w:t> </w:t>
      </w:r>
      <w:r>
        <w:rPr>
          <w:sz w:val="24"/>
        </w:rPr>
        <w:t>all</w:t>
      </w:r>
      <w:r>
        <w:rPr>
          <w:spacing w:val="40"/>
          <w:sz w:val="24"/>
        </w:rPr>
        <w:t> </w:t>
      </w:r>
      <w:r>
        <w:rPr>
          <w:sz w:val="24"/>
        </w:rPr>
        <w:t>such</w:t>
      </w:r>
      <w:r>
        <w:rPr>
          <w:spacing w:val="40"/>
          <w:sz w:val="24"/>
        </w:rPr>
        <w:t> </w:t>
      </w:r>
      <w:r>
        <w:rPr>
          <w:sz w:val="24"/>
        </w:rPr>
        <w:t>means</w:t>
      </w:r>
      <w:r>
        <w:rPr>
          <w:spacing w:val="40"/>
          <w:sz w:val="24"/>
        </w:rPr>
        <w:t> </w:t>
      </w:r>
      <w:r>
        <w:rPr>
          <w:sz w:val="24"/>
        </w:rPr>
        <w:t>of</w:t>
      </w:r>
      <w:r>
        <w:rPr>
          <w:spacing w:val="40"/>
          <w:sz w:val="24"/>
        </w:rPr>
        <w:t> </w:t>
      </w:r>
      <w:r>
        <w:rPr>
          <w:spacing w:val="9"/>
          <w:sz w:val="24"/>
        </w:rPr>
        <w:t>accesses/roads/streets.</w:t>
      </w:r>
    </w:p>
    <w:p>
      <w:pPr>
        <w:pStyle w:val="BodyText"/>
        <w:jc w:val="left"/>
      </w:pPr>
    </w:p>
    <w:p>
      <w:pPr>
        <w:pStyle w:val="ListParagraph"/>
        <w:numPr>
          <w:ilvl w:val="0"/>
          <w:numId w:val="6"/>
        </w:numPr>
        <w:tabs>
          <w:tab w:pos="1734" w:val="left" w:leader="none"/>
          <w:tab w:pos="1764" w:val="left" w:leader="none"/>
        </w:tabs>
        <w:spacing w:line="240" w:lineRule="auto" w:before="0" w:after="0"/>
        <w:ind w:left="1764" w:right="783" w:hanging="632"/>
        <w:jc w:val="both"/>
        <w:rPr>
          <w:sz w:val="24"/>
        </w:rPr>
      </w:pPr>
      <w:r>
        <w:rPr>
          <w:sz w:val="24"/>
        </w:rPr>
        <w:t>“Fungible</w:t>
      </w:r>
      <w:r>
        <w:rPr>
          <w:spacing w:val="40"/>
          <w:sz w:val="24"/>
        </w:rPr>
        <w:t> </w:t>
      </w:r>
      <w:r>
        <w:rPr>
          <w:sz w:val="24"/>
        </w:rPr>
        <w:t>Compensatory</w:t>
      </w:r>
      <w:r>
        <w:rPr>
          <w:spacing w:val="40"/>
          <w:sz w:val="24"/>
        </w:rPr>
        <w:t> </w:t>
      </w:r>
      <w:r>
        <w:rPr>
          <w:sz w:val="24"/>
        </w:rPr>
        <w:t>Area”</w:t>
      </w:r>
      <w:r>
        <w:rPr>
          <w:spacing w:val="40"/>
          <w:sz w:val="24"/>
        </w:rPr>
        <w:t> </w:t>
      </w:r>
      <w:r>
        <w:rPr>
          <w:sz w:val="24"/>
        </w:rPr>
        <w:t>means</w:t>
      </w:r>
      <w:r>
        <w:rPr>
          <w:spacing w:val="40"/>
          <w:sz w:val="24"/>
        </w:rPr>
        <w:t> </w:t>
      </w:r>
      <w:r>
        <w:rPr>
          <w:sz w:val="24"/>
        </w:rPr>
        <w:t>any</w:t>
      </w:r>
      <w:r>
        <w:rPr>
          <w:spacing w:val="40"/>
          <w:sz w:val="24"/>
        </w:rPr>
        <w:t> </w:t>
      </w:r>
      <w:r>
        <w:rPr>
          <w:spacing w:val="9"/>
          <w:sz w:val="24"/>
        </w:rPr>
        <w:t>built-</w:t>
      </w:r>
      <w:r>
        <w:rPr>
          <w:sz w:val="24"/>
        </w:rPr>
        <w:t>up</w:t>
      </w:r>
      <w:r>
        <w:rPr>
          <w:spacing w:val="40"/>
          <w:sz w:val="24"/>
        </w:rPr>
        <w:t> </w:t>
      </w:r>
      <w:r>
        <w:rPr>
          <w:sz w:val="24"/>
        </w:rPr>
        <w:t>area</w:t>
      </w:r>
      <w:r>
        <w:rPr>
          <w:spacing w:val="40"/>
          <w:sz w:val="24"/>
        </w:rPr>
        <w:t> </w:t>
      </w:r>
      <w:r>
        <w:rPr>
          <w:sz w:val="24"/>
        </w:rPr>
        <w:t>permitted</w:t>
      </w:r>
      <w:r>
        <w:rPr>
          <w:spacing w:val="40"/>
          <w:sz w:val="24"/>
        </w:rPr>
        <w:t> </w:t>
      </w:r>
      <w:r>
        <w:rPr>
          <w:sz w:val="24"/>
        </w:rPr>
        <w:t>over and above the admissible FSI by a special permission of the Commissioner</w:t>
      </w:r>
      <w:r>
        <w:rPr>
          <w:spacing w:val="80"/>
          <w:sz w:val="24"/>
        </w:rPr>
        <w:t> </w:t>
      </w:r>
      <w:r>
        <w:rPr>
          <w:sz w:val="24"/>
        </w:rPr>
        <w:t>in</w:t>
      </w:r>
      <w:r>
        <w:rPr>
          <w:spacing w:val="80"/>
          <w:sz w:val="24"/>
        </w:rPr>
        <w:t> </w:t>
      </w:r>
      <w:r>
        <w:rPr>
          <w:sz w:val="24"/>
        </w:rPr>
        <w:t>accordance</w:t>
      </w:r>
      <w:r>
        <w:rPr>
          <w:spacing w:val="80"/>
          <w:sz w:val="24"/>
        </w:rPr>
        <w:t> </w:t>
      </w:r>
      <w:r>
        <w:rPr>
          <w:sz w:val="24"/>
        </w:rPr>
        <w:t>with</w:t>
      </w:r>
      <w:r>
        <w:rPr>
          <w:spacing w:val="80"/>
          <w:sz w:val="24"/>
        </w:rPr>
        <w:t> </w:t>
      </w:r>
      <w:r>
        <w:rPr>
          <w:sz w:val="24"/>
        </w:rPr>
        <w:t>the</w:t>
      </w:r>
      <w:r>
        <w:rPr>
          <w:spacing w:val="80"/>
          <w:sz w:val="24"/>
        </w:rPr>
        <w:t> </w:t>
      </w:r>
      <w:r>
        <w:rPr>
          <w:sz w:val="24"/>
        </w:rPr>
        <w:t>Regulation</w:t>
      </w:r>
      <w:r>
        <w:rPr>
          <w:spacing w:val="80"/>
          <w:sz w:val="24"/>
        </w:rPr>
        <w:t> </w:t>
      </w:r>
      <w:r>
        <w:rPr>
          <w:sz w:val="24"/>
        </w:rPr>
        <w:t>No.</w:t>
      </w:r>
      <w:r>
        <w:rPr>
          <w:spacing w:val="80"/>
          <w:sz w:val="24"/>
        </w:rPr>
        <w:t> </w:t>
      </w:r>
      <w:r>
        <w:rPr>
          <w:sz w:val="24"/>
        </w:rPr>
        <w:t>31(3).</w:t>
      </w:r>
    </w:p>
    <w:p>
      <w:pPr>
        <w:pStyle w:val="BodyText"/>
        <w:jc w:val="left"/>
      </w:pP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78" w:hanging="711"/>
        <w:jc w:val="both"/>
        <w:rPr>
          <w:sz w:val="24"/>
        </w:rPr>
      </w:pPr>
      <w:r>
        <w:rPr>
          <w:sz w:val="24"/>
        </w:rPr>
        <w:t>"Gallery"</w:t>
      </w:r>
      <w:r>
        <w:rPr>
          <w:spacing w:val="40"/>
          <w:sz w:val="24"/>
        </w:rPr>
        <w:t> </w:t>
      </w:r>
      <w:r>
        <w:rPr>
          <w:sz w:val="24"/>
        </w:rPr>
        <w:t>means</w:t>
      </w:r>
      <w:r>
        <w:rPr>
          <w:spacing w:val="40"/>
          <w:sz w:val="24"/>
        </w:rPr>
        <w:t> </w:t>
      </w:r>
      <w:r>
        <w:rPr>
          <w:sz w:val="24"/>
        </w:rPr>
        <w:t>an</w:t>
      </w:r>
      <w:r>
        <w:rPr>
          <w:spacing w:val="40"/>
          <w:sz w:val="24"/>
        </w:rPr>
        <w:t> </w:t>
      </w:r>
      <w:r>
        <w:rPr>
          <w:sz w:val="24"/>
        </w:rPr>
        <w:t>intermediate</w:t>
      </w:r>
      <w:r>
        <w:rPr>
          <w:spacing w:val="40"/>
          <w:sz w:val="24"/>
        </w:rPr>
        <w:t> </w:t>
      </w:r>
      <w:r>
        <w:rPr>
          <w:sz w:val="24"/>
        </w:rPr>
        <w:t>floor</w:t>
      </w:r>
      <w:r>
        <w:rPr>
          <w:spacing w:val="40"/>
          <w:sz w:val="24"/>
        </w:rPr>
        <w:t> </w:t>
      </w:r>
      <w:r>
        <w:rPr>
          <w:sz w:val="24"/>
        </w:rPr>
        <w:t>or</w:t>
      </w:r>
      <w:r>
        <w:rPr>
          <w:spacing w:val="40"/>
          <w:sz w:val="24"/>
        </w:rPr>
        <w:t> </w:t>
      </w:r>
      <w:r>
        <w:rPr>
          <w:sz w:val="24"/>
        </w:rPr>
        <w:t>platform</w:t>
      </w:r>
      <w:r>
        <w:rPr>
          <w:spacing w:val="40"/>
          <w:sz w:val="24"/>
        </w:rPr>
        <w:t> </w:t>
      </w:r>
      <w:r>
        <w:rPr>
          <w:sz w:val="24"/>
        </w:rPr>
        <w:t>projecting</w:t>
      </w:r>
      <w:r>
        <w:rPr>
          <w:spacing w:val="40"/>
          <w:sz w:val="24"/>
        </w:rPr>
        <w:t> </w:t>
      </w:r>
      <w:r>
        <w:rPr>
          <w:sz w:val="24"/>
        </w:rPr>
        <w:t>from</w:t>
      </w:r>
      <w:r>
        <w:rPr>
          <w:spacing w:val="40"/>
          <w:sz w:val="24"/>
        </w:rPr>
        <w:t> </w:t>
      </w:r>
      <w:r>
        <w:rPr>
          <w:sz w:val="24"/>
        </w:rPr>
        <w:t>a wall of an auditorium or a hall, providing extra floor area, and/or additional seating accommodation.</w:t>
      </w:r>
      <w:r>
        <w:rPr>
          <w:spacing w:val="40"/>
          <w:sz w:val="24"/>
        </w:rPr>
        <w:t> </w:t>
      </w:r>
      <w:r>
        <w:rPr>
          <w:sz w:val="24"/>
        </w:rPr>
        <w:t>It also includes the </w:t>
      </w:r>
      <w:r>
        <w:rPr>
          <w:spacing w:val="9"/>
          <w:sz w:val="24"/>
        </w:rPr>
        <w:t>structures </w:t>
      </w:r>
      <w:r>
        <w:rPr>
          <w:sz w:val="24"/>
        </w:rPr>
        <w:t>provided</w:t>
      </w:r>
      <w:r>
        <w:rPr>
          <w:spacing w:val="40"/>
          <w:sz w:val="24"/>
        </w:rPr>
        <w:t> </w:t>
      </w:r>
      <w:r>
        <w:rPr>
          <w:sz w:val="24"/>
        </w:rPr>
        <w:t>for</w:t>
      </w:r>
      <w:r>
        <w:rPr>
          <w:spacing w:val="40"/>
          <w:sz w:val="24"/>
        </w:rPr>
        <w:t> </w:t>
      </w:r>
      <w:r>
        <w:rPr>
          <w:sz w:val="24"/>
        </w:rPr>
        <w:t>seating</w:t>
      </w:r>
      <w:r>
        <w:rPr>
          <w:spacing w:val="40"/>
          <w:sz w:val="24"/>
        </w:rPr>
        <w:t> </w:t>
      </w:r>
      <w:r>
        <w:rPr>
          <w:sz w:val="24"/>
        </w:rPr>
        <w:t>in</w:t>
      </w:r>
      <w:r>
        <w:rPr>
          <w:spacing w:val="9"/>
          <w:sz w:val="24"/>
        </w:rPr>
        <w:t> stadia.</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86" w:hanging="711"/>
        <w:jc w:val="both"/>
        <w:rPr>
          <w:sz w:val="24"/>
        </w:rPr>
      </w:pPr>
      <w:r>
        <w:rPr>
          <w:sz w:val="24"/>
        </w:rPr>
        <w:t>“Gaothan” means portion of the land shown as such in the Revenue </w:t>
      </w:r>
      <w:r>
        <w:rPr>
          <w:spacing w:val="-2"/>
          <w:sz w:val="24"/>
        </w:rPr>
        <w:t>Records.</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72" w:hanging="711"/>
        <w:jc w:val="both"/>
        <w:rPr>
          <w:sz w:val="24"/>
        </w:rPr>
      </w:pPr>
      <w:r>
        <w:rPr>
          <w:sz w:val="24"/>
        </w:rPr>
        <w:t>"Garage"</w:t>
      </w:r>
      <w:r>
        <w:rPr>
          <w:spacing w:val="40"/>
          <w:sz w:val="24"/>
        </w:rPr>
        <w:t> </w:t>
      </w:r>
      <w:r>
        <w:rPr>
          <w:sz w:val="24"/>
        </w:rPr>
        <w:t>means</w:t>
      </w:r>
      <w:r>
        <w:rPr>
          <w:spacing w:val="40"/>
          <w:sz w:val="24"/>
        </w:rPr>
        <w:t> </w:t>
      </w:r>
      <w:r>
        <w:rPr>
          <w:sz w:val="24"/>
        </w:rPr>
        <w:t>a</w:t>
      </w:r>
      <w:r>
        <w:rPr>
          <w:spacing w:val="40"/>
          <w:sz w:val="24"/>
        </w:rPr>
        <w:t> </w:t>
      </w:r>
      <w:r>
        <w:rPr>
          <w:sz w:val="24"/>
        </w:rPr>
        <w:t>place</w:t>
      </w:r>
      <w:r>
        <w:rPr>
          <w:spacing w:val="40"/>
          <w:sz w:val="24"/>
        </w:rPr>
        <w:t> </w:t>
      </w:r>
      <w:r>
        <w:rPr>
          <w:sz w:val="24"/>
        </w:rPr>
        <w:t>within</w:t>
      </w:r>
      <w:r>
        <w:rPr>
          <w:spacing w:val="40"/>
          <w:sz w:val="24"/>
        </w:rPr>
        <w:t> </w:t>
      </w:r>
      <w:r>
        <w:rPr>
          <w:sz w:val="24"/>
        </w:rPr>
        <w:t>a</w:t>
      </w:r>
      <w:r>
        <w:rPr>
          <w:spacing w:val="40"/>
          <w:sz w:val="24"/>
        </w:rPr>
        <w:t> </w:t>
      </w:r>
      <w:r>
        <w:rPr>
          <w:sz w:val="24"/>
        </w:rPr>
        <w:t>project</w:t>
      </w:r>
      <w:r>
        <w:rPr>
          <w:spacing w:val="40"/>
          <w:sz w:val="24"/>
        </w:rPr>
        <w:t> </w:t>
      </w:r>
      <w:r>
        <w:rPr>
          <w:sz w:val="24"/>
        </w:rPr>
        <w:t>having</w:t>
      </w:r>
      <w:r>
        <w:rPr>
          <w:spacing w:val="40"/>
          <w:sz w:val="24"/>
        </w:rPr>
        <w:t> </w:t>
      </w:r>
      <w:r>
        <w:rPr>
          <w:sz w:val="24"/>
        </w:rPr>
        <w:t>a</w:t>
      </w:r>
      <w:r>
        <w:rPr>
          <w:spacing w:val="40"/>
          <w:sz w:val="24"/>
        </w:rPr>
        <w:t> </w:t>
      </w:r>
      <w:r>
        <w:rPr>
          <w:sz w:val="24"/>
        </w:rPr>
        <w:t>roof</w:t>
      </w:r>
      <w:r>
        <w:rPr>
          <w:spacing w:val="40"/>
          <w:sz w:val="24"/>
        </w:rPr>
        <w:t> </w:t>
      </w:r>
      <w:r>
        <w:rPr>
          <w:sz w:val="24"/>
        </w:rPr>
        <w:t>and</w:t>
      </w:r>
      <w:r>
        <w:rPr>
          <w:spacing w:val="40"/>
          <w:sz w:val="24"/>
        </w:rPr>
        <w:t> </w:t>
      </w:r>
      <w:r>
        <w:rPr>
          <w:sz w:val="24"/>
        </w:rPr>
        <w:t>walls</w:t>
      </w:r>
      <w:r>
        <w:rPr>
          <w:spacing w:val="40"/>
          <w:sz w:val="24"/>
        </w:rPr>
        <w:t> </w:t>
      </w:r>
      <w:r>
        <w:rPr>
          <w:sz w:val="24"/>
        </w:rPr>
        <w:t>on three</w:t>
      </w:r>
      <w:r>
        <w:rPr>
          <w:spacing w:val="40"/>
          <w:sz w:val="24"/>
        </w:rPr>
        <w:t> </w:t>
      </w:r>
      <w:r>
        <w:rPr>
          <w:sz w:val="24"/>
        </w:rPr>
        <w:t>sides</w:t>
      </w:r>
      <w:r>
        <w:rPr>
          <w:spacing w:val="40"/>
          <w:sz w:val="24"/>
        </w:rPr>
        <w:t> </w:t>
      </w:r>
      <w:r>
        <w:rPr>
          <w:sz w:val="24"/>
        </w:rPr>
        <w:t>for</w:t>
      </w:r>
      <w:r>
        <w:rPr>
          <w:spacing w:val="40"/>
          <w:sz w:val="24"/>
        </w:rPr>
        <w:t> </w:t>
      </w:r>
      <w:r>
        <w:rPr>
          <w:sz w:val="24"/>
        </w:rPr>
        <w:t>parking</w:t>
      </w:r>
      <w:r>
        <w:rPr>
          <w:spacing w:val="40"/>
          <w:sz w:val="24"/>
        </w:rPr>
        <w:t> </w:t>
      </w:r>
      <w:r>
        <w:rPr>
          <w:sz w:val="24"/>
        </w:rPr>
        <w:t>any</w:t>
      </w:r>
      <w:r>
        <w:rPr>
          <w:spacing w:val="40"/>
          <w:sz w:val="24"/>
        </w:rPr>
        <w:t> </w:t>
      </w:r>
      <w:r>
        <w:rPr>
          <w:sz w:val="24"/>
        </w:rPr>
        <w:t>vehicle,</w:t>
      </w:r>
      <w:r>
        <w:rPr>
          <w:spacing w:val="40"/>
          <w:sz w:val="24"/>
        </w:rPr>
        <w:t> </w:t>
      </w:r>
      <w:r>
        <w:rPr>
          <w:sz w:val="24"/>
        </w:rPr>
        <w:t>but</w:t>
      </w:r>
      <w:r>
        <w:rPr>
          <w:spacing w:val="40"/>
          <w:sz w:val="24"/>
        </w:rPr>
        <w:t> </w:t>
      </w:r>
      <w:r>
        <w:rPr>
          <w:sz w:val="24"/>
        </w:rPr>
        <w:t>does</w:t>
      </w:r>
      <w:r>
        <w:rPr>
          <w:spacing w:val="40"/>
          <w:sz w:val="24"/>
        </w:rPr>
        <w:t> </w:t>
      </w:r>
      <w:r>
        <w:rPr>
          <w:sz w:val="24"/>
        </w:rPr>
        <w:t>not</w:t>
      </w:r>
      <w:r>
        <w:rPr>
          <w:spacing w:val="40"/>
          <w:sz w:val="24"/>
        </w:rPr>
        <w:t> </w:t>
      </w:r>
      <w:r>
        <w:rPr>
          <w:sz w:val="24"/>
        </w:rPr>
        <w:t>include</w:t>
      </w:r>
      <w:r>
        <w:rPr>
          <w:spacing w:val="40"/>
          <w:sz w:val="24"/>
        </w:rPr>
        <w:t> </w:t>
      </w:r>
      <w:r>
        <w:rPr>
          <w:sz w:val="24"/>
        </w:rPr>
        <w:t>an unenclosed</w:t>
      </w:r>
      <w:r>
        <w:rPr>
          <w:spacing w:val="40"/>
          <w:sz w:val="24"/>
        </w:rPr>
        <w:t> </w:t>
      </w:r>
      <w:r>
        <w:rPr>
          <w:sz w:val="24"/>
        </w:rPr>
        <w:t>or</w:t>
      </w:r>
      <w:r>
        <w:rPr>
          <w:spacing w:val="64"/>
          <w:sz w:val="24"/>
        </w:rPr>
        <w:t> </w:t>
      </w:r>
      <w:r>
        <w:rPr>
          <w:sz w:val="24"/>
        </w:rPr>
        <w:t>uncovered</w:t>
      </w:r>
      <w:r>
        <w:rPr>
          <w:spacing w:val="40"/>
          <w:sz w:val="24"/>
        </w:rPr>
        <w:t> </w:t>
      </w:r>
      <w:r>
        <w:rPr>
          <w:sz w:val="24"/>
        </w:rPr>
        <w:t>parking</w:t>
      </w:r>
      <w:r>
        <w:rPr>
          <w:spacing w:val="64"/>
          <w:sz w:val="24"/>
        </w:rPr>
        <w:t> </w:t>
      </w:r>
      <w:r>
        <w:rPr>
          <w:sz w:val="24"/>
        </w:rPr>
        <w:t>space</w:t>
      </w:r>
      <w:r>
        <w:rPr>
          <w:spacing w:val="40"/>
          <w:sz w:val="24"/>
        </w:rPr>
        <w:t> </w:t>
      </w:r>
      <w:r>
        <w:rPr>
          <w:sz w:val="24"/>
        </w:rPr>
        <w:t>such</w:t>
      </w:r>
      <w:r>
        <w:rPr>
          <w:spacing w:val="64"/>
          <w:sz w:val="24"/>
        </w:rPr>
        <w:t> </w:t>
      </w:r>
      <w:r>
        <w:rPr>
          <w:sz w:val="24"/>
        </w:rPr>
        <w:t>as</w:t>
      </w:r>
      <w:r>
        <w:rPr>
          <w:spacing w:val="40"/>
          <w:sz w:val="24"/>
        </w:rPr>
        <w:t> </w:t>
      </w:r>
      <w:r>
        <w:rPr>
          <w:sz w:val="24"/>
        </w:rPr>
        <w:t>open</w:t>
      </w:r>
      <w:r>
        <w:rPr>
          <w:spacing w:val="40"/>
          <w:sz w:val="24"/>
        </w:rPr>
        <w:t> </w:t>
      </w:r>
      <w:r>
        <w:rPr>
          <w:sz w:val="24"/>
        </w:rPr>
        <w:t>parking</w:t>
      </w:r>
      <w:r>
        <w:rPr>
          <w:spacing w:val="40"/>
          <w:sz w:val="24"/>
        </w:rPr>
        <w:t> </w:t>
      </w:r>
      <w:r>
        <w:rPr>
          <w:sz w:val="24"/>
        </w:rPr>
        <w:t>areas</w:t>
      </w:r>
      <w:r>
        <w:rPr>
          <w:sz w:val="22"/>
        </w:rPr>
        <w:t>.</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80" w:hanging="711"/>
        <w:jc w:val="both"/>
        <w:rPr>
          <w:sz w:val="24"/>
        </w:rPr>
      </w:pPr>
      <w:r>
        <w:rPr>
          <w:spacing w:val="9"/>
          <w:sz w:val="24"/>
        </w:rPr>
        <w:t>"Garage-</w:t>
      </w:r>
      <w:r>
        <w:rPr>
          <w:sz w:val="24"/>
        </w:rPr>
        <w:t>Public" means a building or portion thereof, designed other</w:t>
      </w:r>
      <w:r>
        <w:rPr>
          <w:spacing w:val="40"/>
          <w:sz w:val="24"/>
        </w:rPr>
        <w:t> </w:t>
      </w:r>
      <w:r>
        <w:rPr>
          <w:sz w:val="24"/>
        </w:rPr>
        <w:t>than</w:t>
      </w:r>
      <w:r>
        <w:rPr>
          <w:spacing w:val="40"/>
          <w:sz w:val="24"/>
        </w:rPr>
        <w:t> </w:t>
      </w:r>
      <w:r>
        <w:rPr>
          <w:sz w:val="24"/>
        </w:rPr>
        <w:t>as</w:t>
      </w:r>
      <w:r>
        <w:rPr>
          <w:spacing w:val="40"/>
          <w:sz w:val="24"/>
        </w:rPr>
        <w:t> </w:t>
      </w:r>
      <w:r>
        <w:rPr>
          <w:sz w:val="24"/>
        </w:rPr>
        <w:t>a</w:t>
      </w:r>
      <w:r>
        <w:rPr>
          <w:spacing w:val="80"/>
          <w:w w:val="150"/>
          <w:sz w:val="24"/>
        </w:rPr>
        <w:t> </w:t>
      </w:r>
      <w:r>
        <w:rPr>
          <w:sz w:val="24"/>
        </w:rPr>
        <w:t>garage,</w:t>
      </w:r>
      <w:r>
        <w:rPr>
          <w:spacing w:val="40"/>
          <w:sz w:val="24"/>
        </w:rPr>
        <w:t> </w:t>
      </w:r>
      <w:r>
        <w:rPr>
          <w:sz w:val="24"/>
        </w:rPr>
        <w:t>operated</w:t>
      </w:r>
      <w:r>
        <w:rPr>
          <w:spacing w:val="40"/>
          <w:sz w:val="24"/>
        </w:rPr>
        <w:t> </w:t>
      </w:r>
      <w:r>
        <w:rPr>
          <w:sz w:val="24"/>
        </w:rPr>
        <w:t>for</w:t>
      </w:r>
      <w:r>
        <w:rPr>
          <w:spacing w:val="40"/>
          <w:sz w:val="24"/>
        </w:rPr>
        <w:t> </w:t>
      </w:r>
      <w:r>
        <w:rPr>
          <w:sz w:val="24"/>
        </w:rPr>
        <w:t>gain,</w:t>
      </w:r>
      <w:r>
        <w:rPr>
          <w:spacing w:val="40"/>
          <w:sz w:val="24"/>
        </w:rPr>
        <w:t> </w:t>
      </w:r>
      <w:r>
        <w:rPr>
          <w:sz w:val="24"/>
        </w:rPr>
        <w:t>designed</w:t>
      </w:r>
      <w:r>
        <w:rPr>
          <w:spacing w:val="40"/>
          <w:sz w:val="24"/>
        </w:rPr>
        <w:t> </w:t>
      </w:r>
      <w:r>
        <w:rPr>
          <w:sz w:val="24"/>
        </w:rPr>
        <w:t>and/or</w:t>
      </w:r>
      <w:r>
        <w:rPr>
          <w:spacing w:val="40"/>
          <w:sz w:val="24"/>
        </w:rPr>
        <w:t> </w:t>
      </w:r>
      <w:r>
        <w:rPr>
          <w:sz w:val="24"/>
        </w:rPr>
        <w:t>used</w:t>
      </w:r>
      <w:r>
        <w:rPr>
          <w:spacing w:val="40"/>
          <w:sz w:val="24"/>
        </w:rPr>
        <w:t> </w:t>
      </w:r>
      <w:r>
        <w:rPr>
          <w:sz w:val="24"/>
        </w:rPr>
        <w:t>for repairing,</w:t>
      </w:r>
      <w:r>
        <w:rPr>
          <w:spacing w:val="80"/>
          <w:sz w:val="24"/>
        </w:rPr>
        <w:t> </w:t>
      </w:r>
      <w:r>
        <w:rPr>
          <w:sz w:val="24"/>
        </w:rPr>
        <w:t>servicing,</w:t>
      </w:r>
      <w:r>
        <w:rPr>
          <w:spacing w:val="80"/>
          <w:sz w:val="24"/>
        </w:rPr>
        <w:t> </w:t>
      </w:r>
      <w:r>
        <w:rPr>
          <w:sz w:val="24"/>
        </w:rPr>
        <w:t>hiring,</w:t>
      </w:r>
      <w:r>
        <w:rPr>
          <w:spacing w:val="80"/>
          <w:sz w:val="24"/>
        </w:rPr>
        <w:t> </w:t>
      </w:r>
      <w:r>
        <w:rPr>
          <w:sz w:val="24"/>
        </w:rPr>
        <w:t>selling</w:t>
      </w:r>
      <w:r>
        <w:rPr>
          <w:spacing w:val="80"/>
          <w:sz w:val="24"/>
        </w:rPr>
        <w:t> </w:t>
      </w:r>
      <w:r>
        <w:rPr>
          <w:sz w:val="24"/>
        </w:rPr>
        <w:t>or</w:t>
      </w:r>
      <w:r>
        <w:rPr>
          <w:spacing w:val="80"/>
          <w:sz w:val="24"/>
        </w:rPr>
        <w:t> </w:t>
      </w:r>
      <w:r>
        <w:rPr>
          <w:sz w:val="24"/>
        </w:rPr>
        <w:t>storing</w:t>
      </w:r>
      <w:r>
        <w:rPr>
          <w:spacing w:val="80"/>
          <w:sz w:val="24"/>
        </w:rPr>
        <w:t> </w:t>
      </w:r>
      <w:r>
        <w:rPr>
          <w:sz w:val="24"/>
        </w:rPr>
        <w:t>or</w:t>
      </w:r>
      <w:r>
        <w:rPr>
          <w:spacing w:val="80"/>
          <w:sz w:val="24"/>
        </w:rPr>
        <w:t> </w:t>
      </w:r>
      <w:r>
        <w:rPr>
          <w:sz w:val="24"/>
        </w:rPr>
        <w:t>parking</w:t>
      </w:r>
      <w:r>
        <w:rPr>
          <w:spacing w:val="80"/>
          <w:sz w:val="24"/>
        </w:rPr>
        <w:t> </w:t>
      </w:r>
      <w:r>
        <w:rPr>
          <w:sz w:val="24"/>
        </w:rPr>
        <w:t>motor- driven or other </w:t>
      </w:r>
      <w:r>
        <w:rPr>
          <w:spacing w:val="9"/>
          <w:sz w:val="24"/>
        </w:rPr>
        <w:t>vehicles.</w:t>
      </w:r>
    </w:p>
    <w:p>
      <w:pPr>
        <w:pStyle w:val="ListParagraph"/>
        <w:spacing w:after="0" w:line="240" w:lineRule="auto"/>
        <w:jc w:val="both"/>
        <w:rPr>
          <w:sz w:val="24"/>
        </w:rPr>
        <w:sectPr>
          <w:pgSz w:w="11910" w:h="16840"/>
          <w:pgMar w:header="1058" w:footer="1357" w:top="1500" w:bottom="1540" w:left="360" w:right="360"/>
        </w:sectPr>
      </w:pPr>
    </w:p>
    <w:p>
      <w:pPr>
        <w:pStyle w:val="ListParagraph"/>
        <w:numPr>
          <w:ilvl w:val="0"/>
          <w:numId w:val="6"/>
        </w:numPr>
        <w:tabs>
          <w:tab w:pos="1762" w:val="left" w:leader="none"/>
          <w:tab w:pos="1766" w:val="left" w:leader="none"/>
        </w:tabs>
        <w:spacing w:line="240" w:lineRule="auto" w:before="255" w:after="0"/>
        <w:ind w:left="1766" w:right="775" w:hanging="711"/>
        <w:jc w:val="both"/>
        <w:rPr>
          <w:sz w:val="24"/>
        </w:rPr>
      </w:pPr>
      <w:r>
        <w:rPr>
          <w:sz w:val="24"/>
        </w:rPr>
        <w:t>“Grey Water” means waste water from kitchen sink, bathrooms, tubs, showers,</w:t>
      </w:r>
      <w:r>
        <w:rPr>
          <w:spacing w:val="80"/>
          <w:sz w:val="24"/>
        </w:rPr>
        <w:t> </w:t>
      </w:r>
      <w:r>
        <w:rPr>
          <w:sz w:val="24"/>
        </w:rPr>
        <w:t>wash</w:t>
      </w:r>
      <w:r>
        <w:rPr>
          <w:spacing w:val="80"/>
          <w:sz w:val="24"/>
        </w:rPr>
        <w:t> </w:t>
      </w:r>
      <w:r>
        <w:rPr>
          <w:sz w:val="24"/>
        </w:rPr>
        <w:t>basins,</w:t>
      </w:r>
      <w:r>
        <w:rPr>
          <w:spacing w:val="80"/>
          <w:sz w:val="24"/>
        </w:rPr>
        <w:t> </w:t>
      </w:r>
      <w:r>
        <w:rPr>
          <w:sz w:val="24"/>
        </w:rPr>
        <w:t>washing</w:t>
      </w:r>
      <w:r>
        <w:rPr>
          <w:spacing w:val="80"/>
          <w:sz w:val="24"/>
        </w:rPr>
        <w:t> </w:t>
      </w:r>
      <w:r>
        <w:rPr>
          <w:sz w:val="24"/>
        </w:rPr>
        <w:t>machines,</w:t>
      </w:r>
      <w:r>
        <w:rPr>
          <w:spacing w:val="80"/>
          <w:sz w:val="24"/>
        </w:rPr>
        <w:t> </w:t>
      </w:r>
      <w:r>
        <w:rPr>
          <w:sz w:val="24"/>
        </w:rPr>
        <w:t>and</w:t>
      </w:r>
      <w:r>
        <w:rPr>
          <w:spacing w:val="80"/>
          <w:sz w:val="24"/>
        </w:rPr>
        <w:t> </w:t>
      </w:r>
      <w:r>
        <w:rPr>
          <w:sz w:val="24"/>
        </w:rPr>
        <w:t>dish</w:t>
      </w:r>
      <w:r>
        <w:rPr>
          <w:spacing w:val="80"/>
          <w:sz w:val="24"/>
        </w:rPr>
        <w:t> </w:t>
      </w:r>
      <w:r>
        <w:rPr>
          <w:sz w:val="24"/>
        </w:rPr>
        <w:t>washers excluding</w:t>
      </w:r>
      <w:r>
        <w:rPr>
          <w:spacing w:val="40"/>
          <w:sz w:val="24"/>
        </w:rPr>
        <w:t> </w:t>
      </w:r>
      <w:r>
        <w:rPr>
          <w:sz w:val="24"/>
        </w:rPr>
        <w:t>the</w:t>
      </w:r>
      <w:r>
        <w:rPr>
          <w:spacing w:val="40"/>
          <w:sz w:val="24"/>
        </w:rPr>
        <w:t> </w:t>
      </w:r>
      <w:r>
        <w:rPr>
          <w:sz w:val="24"/>
        </w:rPr>
        <w:t>waste</w:t>
      </w:r>
      <w:r>
        <w:rPr>
          <w:spacing w:val="40"/>
          <w:sz w:val="24"/>
        </w:rPr>
        <w:t> </w:t>
      </w:r>
      <w:r>
        <w:rPr>
          <w:sz w:val="24"/>
        </w:rPr>
        <w:t>water</w:t>
      </w:r>
      <w:r>
        <w:rPr>
          <w:spacing w:val="40"/>
          <w:sz w:val="24"/>
        </w:rPr>
        <w:t> </w:t>
      </w:r>
      <w:r>
        <w:rPr>
          <w:sz w:val="24"/>
        </w:rPr>
        <w:t>from</w:t>
      </w:r>
      <w:r>
        <w:rPr>
          <w:spacing w:val="40"/>
          <w:sz w:val="24"/>
        </w:rPr>
        <w:t> </w:t>
      </w:r>
      <w:r>
        <w:rPr>
          <w:sz w:val="24"/>
        </w:rPr>
        <w:t>water</w:t>
      </w:r>
      <w:r>
        <w:rPr>
          <w:spacing w:val="40"/>
          <w:sz w:val="24"/>
        </w:rPr>
        <w:t> </w:t>
      </w:r>
      <w:r>
        <w:rPr>
          <w:sz w:val="24"/>
        </w:rPr>
        <w:t>closet</w:t>
      </w:r>
      <w:r>
        <w:rPr>
          <w:spacing w:val="40"/>
          <w:sz w:val="24"/>
        </w:rPr>
        <w:t> </w:t>
      </w:r>
      <w:r>
        <w:rPr>
          <w:spacing w:val="9"/>
          <w:sz w:val="24"/>
        </w:rPr>
        <w:t>(W.C.).</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76" w:hanging="711"/>
        <w:jc w:val="both"/>
        <w:rPr>
          <w:sz w:val="24"/>
        </w:rPr>
      </w:pPr>
      <w:r>
        <w:rPr>
          <w:sz w:val="24"/>
        </w:rPr>
        <w:t>"Habitable</w:t>
      </w:r>
      <w:r>
        <w:rPr>
          <w:spacing w:val="40"/>
          <w:sz w:val="24"/>
        </w:rPr>
        <w:t> </w:t>
      </w:r>
      <w:r>
        <w:rPr>
          <w:sz w:val="24"/>
        </w:rPr>
        <w:t>room"</w:t>
      </w:r>
      <w:r>
        <w:rPr>
          <w:spacing w:val="40"/>
          <w:sz w:val="24"/>
        </w:rPr>
        <w:t> </w:t>
      </w:r>
      <w:r>
        <w:rPr>
          <w:sz w:val="24"/>
        </w:rPr>
        <w:t>means</w:t>
      </w:r>
      <w:r>
        <w:rPr>
          <w:spacing w:val="40"/>
          <w:sz w:val="24"/>
        </w:rPr>
        <w:t> </w:t>
      </w:r>
      <w:r>
        <w:rPr>
          <w:sz w:val="24"/>
        </w:rPr>
        <w:t>a</w:t>
      </w:r>
      <w:r>
        <w:rPr>
          <w:spacing w:val="40"/>
          <w:sz w:val="24"/>
        </w:rPr>
        <w:t> </w:t>
      </w:r>
      <w:r>
        <w:rPr>
          <w:sz w:val="24"/>
        </w:rPr>
        <w:t>room</w:t>
      </w:r>
      <w:r>
        <w:rPr>
          <w:spacing w:val="40"/>
          <w:sz w:val="24"/>
        </w:rPr>
        <w:t> </w:t>
      </w:r>
      <w:r>
        <w:rPr>
          <w:sz w:val="24"/>
        </w:rPr>
        <w:t>occupied</w:t>
      </w:r>
      <w:r>
        <w:rPr>
          <w:spacing w:val="40"/>
          <w:sz w:val="24"/>
        </w:rPr>
        <w:t> </w:t>
      </w:r>
      <w:r>
        <w:rPr>
          <w:sz w:val="24"/>
        </w:rPr>
        <w:t>or</w:t>
      </w:r>
      <w:r>
        <w:rPr>
          <w:spacing w:val="40"/>
          <w:sz w:val="24"/>
        </w:rPr>
        <w:t> </w:t>
      </w:r>
      <w:r>
        <w:rPr>
          <w:sz w:val="24"/>
        </w:rPr>
        <w:t>designed</w:t>
      </w:r>
      <w:r>
        <w:rPr>
          <w:spacing w:val="40"/>
          <w:sz w:val="24"/>
        </w:rPr>
        <w:t> </w:t>
      </w:r>
      <w:r>
        <w:rPr>
          <w:sz w:val="24"/>
        </w:rPr>
        <w:t>for</w:t>
      </w:r>
      <w:r>
        <w:rPr>
          <w:spacing w:val="40"/>
          <w:sz w:val="24"/>
        </w:rPr>
        <w:t> </w:t>
      </w:r>
      <w:r>
        <w:rPr>
          <w:spacing w:val="9"/>
          <w:sz w:val="24"/>
        </w:rPr>
        <w:t>occupancy </w:t>
      </w:r>
      <w:r>
        <w:rPr>
          <w:sz w:val="24"/>
        </w:rPr>
        <w:t>for</w:t>
      </w:r>
      <w:r>
        <w:rPr>
          <w:spacing w:val="80"/>
          <w:sz w:val="24"/>
        </w:rPr>
        <w:t> </w:t>
      </w:r>
      <w:r>
        <w:rPr>
          <w:sz w:val="24"/>
        </w:rPr>
        <w:t>human</w:t>
      </w:r>
      <w:r>
        <w:rPr>
          <w:spacing w:val="80"/>
          <w:sz w:val="24"/>
        </w:rPr>
        <w:t> </w:t>
      </w:r>
      <w:r>
        <w:rPr>
          <w:sz w:val="24"/>
        </w:rPr>
        <w:t>habitation</w:t>
      </w:r>
      <w:r>
        <w:rPr>
          <w:spacing w:val="80"/>
          <w:sz w:val="24"/>
        </w:rPr>
        <w:t> </w:t>
      </w:r>
      <w:r>
        <w:rPr>
          <w:sz w:val="24"/>
        </w:rPr>
        <w:t>and</w:t>
      </w:r>
      <w:r>
        <w:rPr>
          <w:spacing w:val="80"/>
          <w:sz w:val="24"/>
        </w:rPr>
        <w:t> </w:t>
      </w:r>
      <w:r>
        <w:rPr>
          <w:sz w:val="24"/>
        </w:rPr>
        <w:t>uses</w:t>
      </w:r>
      <w:r>
        <w:rPr>
          <w:spacing w:val="80"/>
          <w:sz w:val="24"/>
        </w:rPr>
        <w:t> </w:t>
      </w:r>
      <w:r>
        <w:rPr>
          <w:sz w:val="24"/>
        </w:rPr>
        <w:t>incidental</w:t>
      </w:r>
      <w:r>
        <w:rPr>
          <w:spacing w:val="80"/>
          <w:sz w:val="24"/>
        </w:rPr>
        <w:t> </w:t>
      </w:r>
      <w:r>
        <w:rPr>
          <w:sz w:val="24"/>
        </w:rPr>
        <w:t>thereto,</w:t>
      </w:r>
      <w:r>
        <w:rPr>
          <w:spacing w:val="80"/>
          <w:sz w:val="24"/>
        </w:rPr>
        <w:t> </w:t>
      </w:r>
      <w:r>
        <w:rPr>
          <w:sz w:val="24"/>
        </w:rPr>
        <w:t>including</w:t>
      </w:r>
      <w:r>
        <w:rPr>
          <w:spacing w:val="80"/>
          <w:sz w:val="24"/>
        </w:rPr>
        <w:t> </w:t>
      </w:r>
      <w:r>
        <w:rPr>
          <w:sz w:val="24"/>
        </w:rPr>
        <w:t>a kitchen</w:t>
      </w:r>
      <w:r>
        <w:rPr>
          <w:spacing w:val="40"/>
          <w:sz w:val="24"/>
        </w:rPr>
        <w:t> </w:t>
      </w:r>
      <w:r>
        <w:rPr>
          <w:sz w:val="24"/>
        </w:rPr>
        <w:t>if</w:t>
      </w:r>
      <w:r>
        <w:rPr>
          <w:spacing w:val="40"/>
          <w:sz w:val="24"/>
        </w:rPr>
        <w:t> </w:t>
      </w:r>
      <w:r>
        <w:rPr>
          <w:sz w:val="24"/>
        </w:rPr>
        <w:t>used</w:t>
      </w:r>
      <w:r>
        <w:rPr>
          <w:spacing w:val="40"/>
          <w:sz w:val="24"/>
        </w:rPr>
        <w:t> </w:t>
      </w:r>
      <w:r>
        <w:rPr>
          <w:sz w:val="24"/>
        </w:rPr>
        <w:t>as</w:t>
      </w:r>
      <w:r>
        <w:rPr>
          <w:spacing w:val="40"/>
          <w:sz w:val="24"/>
        </w:rPr>
        <w:t> </w:t>
      </w:r>
      <w:r>
        <w:rPr>
          <w:sz w:val="24"/>
        </w:rPr>
        <w:t>a</w:t>
      </w:r>
      <w:r>
        <w:rPr>
          <w:spacing w:val="40"/>
          <w:sz w:val="24"/>
        </w:rPr>
        <w:t> </w:t>
      </w:r>
      <w:r>
        <w:rPr>
          <w:sz w:val="24"/>
        </w:rPr>
        <w:t>living</w:t>
      </w:r>
      <w:r>
        <w:rPr>
          <w:spacing w:val="40"/>
          <w:sz w:val="24"/>
        </w:rPr>
        <w:t> </w:t>
      </w:r>
      <w:r>
        <w:rPr>
          <w:sz w:val="24"/>
        </w:rPr>
        <w:t>room,</w:t>
      </w:r>
      <w:r>
        <w:rPr>
          <w:spacing w:val="40"/>
          <w:sz w:val="24"/>
        </w:rPr>
        <w:t> </w:t>
      </w:r>
      <w:r>
        <w:rPr>
          <w:sz w:val="24"/>
        </w:rPr>
        <w:t>but</w:t>
      </w:r>
      <w:r>
        <w:rPr>
          <w:spacing w:val="40"/>
          <w:sz w:val="24"/>
        </w:rPr>
        <w:t> </w:t>
      </w:r>
      <w:r>
        <w:rPr>
          <w:sz w:val="24"/>
        </w:rPr>
        <w:t>excluding</w:t>
      </w:r>
      <w:r>
        <w:rPr>
          <w:spacing w:val="40"/>
          <w:sz w:val="24"/>
        </w:rPr>
        <w:t> </w:t>
      </w:r>
      <w:r>
        <w:rPr>
          <w:sz w:val="24"/>
        </w:rPr>
        <w:t>a</w:t>
      </w:r>
      <w:r>
        <w:rPr>
          <w:spacing w:val="12"/>
          <w:sz w:val="24"/>
        </w:rPr>
        <w:t> bath-</w:t>
      </w:r>
      <w:r>
        <w:rPr>
          <w:sz w:val="24"/>
        </w:rPr>
        <w:t>room</w:t>
      </w:r>
      <w:r>
        <w:rPr>
          <w:spacing w:val="40"/>
          <w:sz w:val="24"/>
        </w:rPr>
        <w:t> </w:t>
      </w:r>
      <w:r>
        <w:rPr>
          <w:sz w:val="24"/>
        </w:rPr>
        <w:t>water closet compartment, laundry, serving and storing pantry, </w:t>
      </w:r>
      <w:r>
        <w:rPr>
          <w:spacing w:val="10"/>
          <w:sz w:val="24"/>
        </w:rPr>
        <w:t>corridor, </w:t>
      </w:r>
      <w:r>
        <w:rPr>
          <w:sz w:val="24"/>
        </w:rPr>
        <w:t>cellar,</w:t>
      </w:r>
      <w:r>
        <w:rPr>
          <w:spacing w:val="40"/>
          <w:sz w:val="24"/>
        </w:rPr>
        <w:t> </w:t>
      </w:r>
      <w:r>
        <w:rPr>
          <w:sz w:val="24"/>
        </w:rPr>
        <w:t>attic,</w:t>
      </w:r>
      <w:r>
        <w:rPr>
          <w:spacing w:val="40"/>
          <w:sz w:val="24"/>
        </w:rPr>
        <w:t> </w:t>
      </w:r>
      <w:r>
        <w:rPr>
          <w:sz w:val="24"/>
        </w:rPr>
        <w:t>and</w:t>
      </w:r>
      <w:r>
        <w:rPr>
          <w:spacing w:val="40"/>
          <w:sz w:val="24"/>
        </w:rPr>
        <w:t> </w:t>
      </w:r>
      <w:r>
        <w:rPr>
          <w:sz w:val="24"/>
        </w:rPr>
        <w:t>spaces</w:t>
      </w:r>
      <w:r>
        <w:rPr>
          <w:spacing w:val="40"/>
          <w:sz w:val="24"/>
        </w:rPr>
        <w:t> </w:t>
      </w:r>
      <w:r>
        <w:rPr>
          <w:sz w:val="24"/>
        </w:rPr>
        <w:t>not</w:t>
      </w:r>
      <w:r>
        <w:rPr>
          <w:spacing w:val="40"/>
          <w:sz w:val="24"/>
        </w:rPr>
        <w:t> </w:t>
      </w:r>
      <w:r>
        <w:rPr>
          <w:sz w:val="24"/>
        </w:rPr>
        <w:t>frequently</w:t>
      </w:r>
      <w:r>
        <w:rPr>
          <w:spacing w:val="40"/>
          <w:sz w:val="24"/>
        </w:rPr>
        <w:t> </w:t>
      </w:r>
      <w:r>
        <w:rPr>
          <w:sz w:val="24"/>
        </w:rPr>
        <w:t>used.</w:t>
      </w:r>
    </w:p>
    <w:p>
      <w:pPr>
        <w:pStyle w:val="ListParagraph"/>
        <w:numPr>
          <w:ilvl w:val="0"/>
          <w:numId w:val="6"/>
        </w:numPr>
        <w:tabs>
          <w:tab w:pos="1763" w:val="left" w:leader="none"/>
        </w:tabs>
        <w:spacing w:line="240" w:lineRule="auto" w:before="281" w:after="0"/>
        <w:ind w:left="1763" w:right="0" w:hanging="707"/>
        <w:jc w:val="both"/>
        <w:rPr>
          <w:sz w:val="24"/>
        </w:rPr>
      </w:pPr>
      <w:r>
        <w:rPr>
          <w:sz w:val="24"/>
        </w:rPr>
        <w:t>"Hazardous</w:t>
      </w:r>
      <w:r>
        <w:rPr>
          <w:spacing w:val="59"/>
          <w:w w:val="150"/>
          <w:sz w:val="24"/>
        </w:rPr>
        <w:t> </w:t>
      </w:r>
      <w:r>
        <w:rPr>
          <w:sz w:val="24"/>
        </w:rPr>
        <w:t>material"</w:t>
      </w:r>
      <w:r>
        <w:rPr>
          <w:spacing w:val="62"/>
          <w:w w:val="150"/>
          <w:sz w:val="24"/>
        </w:rPr>
        <w:t> </w:t>
      </w:r>
      <w:r>
        <w:rPr>
          <w:spacing w:val="-2"/>
          <w:sz w:val="24"/>
        </w:rPr>
        <w:t>means-</w:t>
      </w:r>
    </w:p>
    <w:p>
      <w:pPr>
        <w:pStyle w:val="BodyText"/>
        <w:spacing w:before="1"/>
        <w:jc w:val="left"/>
      </w:pPr>
    </w:p>
    <w:p>
      <w:pPr>
        <w:pStyle w:val="ListParagraph"/>
        <w:numPr>
          <w:ilvl w:val="0"/>
          <w:numId w:val="9"/>
        </w:numPr>
        <w:tabs>
          <w:tab w:pos="1765" w:val="left" w:leader="none"/>
        </w:tabs>
        <w:spacing w:line="281" w:lineRule="exact" w:before="0" w:after="0"/>
        <w:ind w:left="1765" w:right="0" w:hanging="709"/>
        <w:jc w:val="both"/>
        <w:rPr>
          <w:sz w:val="24"/>
        </w:rPr>
      </w:pPr>
      <w:r>
        <w:rPr>
          <w:sz w:val="24"/>
        </w:rPr>
        <w:t>radioactive</w:t>
      </w:r>
      <w:r>
        <w:rPr>
          <w:spacing w:val="72"/>
          <w:w w:val="150"/>
          <w:sz w:val="24"/>
        </w:rPr>
        <w:t> </w:t>
      </w:r>
      <w:r>
        <w:rPr>
          <w:spacing w:val="7"/>
          <w:sz w:val="24"/>
        </w:rPr>
        <w:t>substances;</w:t>
      </w:r>
    </w:p>
    <w:p>
      <w:pPr>
        <w:pStyle w:val="ListParagraph"/>
        <w:numPr>
          <w:ilvl w:val="0"/>
          <w:numId w:val="9"/>
        </w:numPr>
        <w:tabs>
          <w:tab w:pos="1763" w:val="left" w:leader="none"/>
          <w:tab w:pos="1766" w:val="left" w:leader="none"/>
        </w:tabs>
        <w:spacing w:line="240" w:lineRule="auto" w:before="0" w:after="0"/>
        <w:ind w:left="1766" w:right="774" w:hanging="711"/>
        <w:jc w:val="both"/>
        <w:rPr>
          <w:sz w:val="24"/>
        </w:rPr>
      </w:pPr>
      <w:r>
        <w:rPr>
          <w:sz w:val="24"/>
        </w:rPr>
        <w:t>material which is highly combustible or explosive and/or which may produce</w:t>
      </w:r>
      <w:r>
        <w:rPr>
          <w:spacing w:val="40"/>
          <w:sz w:val="24"/>
        </w:rPr>
        <w:t> </w:t>
      </w:r>
      <w:r>
        <w:rPr>
          <w:sz w:val="24"/>
        </w:rPr>
        <w:t>poisonous</w:t>
      </w:r>
      <w:r>
        <w:rPr>
          <w:spacing w:val="40"/>
          <w:sz w:val="24"/>
        </w:rPr>
        <w:t> </w:t>
      </w:r>
      <w:r>
        <w:rPr>
          <w:sz w:val="24"/>
        </w:rPr>
        <w:t>fumes</w:t>
      </w:r>
      <w:r>
        <w:rPr>
          <w:spacing w:val="40"/>
          <w:sz w:val="24"/>
        </w:rPr>
        <w:t> </w:t>
      </w:r>
      <w:r>
        <w:rPr>
          <w:sz w:val="24"/>
        </w:rPr>
        <w:t>or</w:t>
      </w:r>
      <w:r>
        <w:rPr>
          <w:spacing w:val="40"/>
          <w:sz w:val="24"/>
        </w:rPr>
        <w:t> </w:t>
      </w:r>
      <w:r>
        <w:rPr>
          <w:sz w:val="24"/>
        </w:rPr>
        <w:t>explosive</w:t>
      </w:r>
      <w:r>
        <w:rPr>
          <w:spacing w:val="40"/>
          <w:sz w:val="24"/>
        </w:rPr>
        <w:t> </w:t>
      </w:r>
      <w:r>
        <w:rPr>
          <w:sz w:val="24"/>
        </w:rPr>
        <w:t>emanations</w:t>
      </w:r>
      <w:r>
        <w:rPr>
          <w:spacing w:val="40"/>
          <w:sz w:val="24"/>
        </w:rPr>
        <w:t> </w:t>
      </w:r>
      <w:r>
        <w:rPr>
          <w:sz w:val="24"/>
        </w:rPr>
        <w:t>or</w:t>
      </w:r>
      <w:r>
        <w:rPr>
          <w:spacing w:val="40"/>
          <w:sz w:val="24"/>
        </w:rPr>
        <w:t> </w:t>
      </w:r>
      <w:r>
        <w:rPr>
          <w:spacing w:val="9"/>
          <w:sz w:val="24"/>
        </w:rPr>
        <w:t>storage, </w:t>
      </w:r>
      <w:r>
        <w:rPr>
          <w:sz w:val="24"/>
        </w:rPr>
        <w:t>handling, processing or manufacturing of which may involve </w:t>
      </w:r>
      <w:r>
        <w:rPr>
          <w:spacing w:val="9"/>
          <w:sz w:val="24"/>
        </w:rPr>
        <w:t>highly </w:t>
      </w:r>
      <w:r>
        <w:rPr>
          <w:sz w:val="24"/>
        </w:rPr>
        <w:t>corrosive,</w:t>
      </w:r>
      <w:r>
        <w:rPr>
          <w:spacing w:val="80"/>
          <w:sz w:val="24"/>
        </w:rPr>
        <w:t> </w:t>
      </w:r>
      <w:r>
        <w:rPr>
          <w:sz w:val="24"/>
        </w:rPr>
        <w:t>toxic</w:t>
      </w:r>
      <w:r>
        <w:rPr>
          <w:spacing w:val="80"/>
          <w:sz w:val="24"/>
        </w:rPr>
        <w:t> </w:t>
      </w:r>
      <w:r>
        <w:rPr>
          <w:sz w:val="24"/>
        </w:rPr>
        <w:t>or</w:t>
      </w:r>
      <w:r>
        <w:rPr>
          <w:spacing w:val="80"/>
          <w:sz w:val="24"/>
        </w:rPr>
        <w:t> </w:t>
      </w:r>
      <w:r>
        <w:rPr>
          <w:sz w:val="24"/>
        </w:rPr>
        <w:t>noxious</w:t>
      </w:r>
      <w:r>
        <w:rPr>
          <w:spacing w:val="80"/>
          <w:sz w:val="24"/>
        </w:rPr>
        <w:t> </w:t>
      </w:r>
      <w:r>
        <w:rPr>
          <w:sz w:val="24"/>
        </w:rPr>
        <w:t>alkalis</w:t>
      </w:r>
      <w:r>
        <w:rPr>
          <w:spacing w:val="40"/>
          <w:sz w:val="24"/>
        </w:rPr>
        <w:t> </w:t>
      </w:r>
      <w:r>
        <w:rPr>
          <w:sz w:val="24"/>
        </w:rPr>
        <w:t>or</w:t>
      </w:r>
      <w:r>
        <w:rPr>
          <w:spacing w:val="80"/>
          <w:sz w:val="24"/>
        </w:rPr>
        <w:t> </w:t>
      </w:r>
      <w:r>
        <w:rPr>
          <w:sz w:val="24"/>
        </w:rPr>
        <w:t>acids</w:t>
      </w:r>
      <w:r>
        <w:rPr>
          <w:spacing w:val="40"/>
          <w:sz w:val="24"/>
        </w:rPr>
        <w:t> </w:t>
      </w:r>
      <w:r>
        <w:rPr>
          <w:sz w:val="24"/>
        </w:rPr>
        <w:t>or</w:t>
      </w:r>
      <w:r>
        <w:rPr>
          <w:spacing w:val="80"/>
          <w:sz w:val="24"/>
        </w:rPr>
        <w:t> </w:t>
      </w:r>
      <w:r>
        <w:rPr>
          <w:sz w:val="24"/>
        </w:rPr>
        <w:t>other</w:t>
      </w:r>
      <w:r>
        <w:rPr>
          <w:spacing w:val="80"/>
          <w:sz w:val="24"/>
        </w:rPr>
        <w:t> </w:t>
      </w:r>
      <w:r>
        <w:rPr>
          <w:sz w:val="24"/>
        </w:rPr>
        <w:t>liquids;</w:t>
      </w:r>
    </w:p>
    <w:p>
      <w:pPr>
        <w:pStyle w:val="ListParagraph"/>
        <w:numPr>
          <w:ilvl w:val="0"/>
          <w:numId w:val="9"/>
        </w:numPr>
        <w:tabs>
          <w:tab w:pos="1762" w:val="left" w:leader="none"/>
          <w:tab w:pos="1766" w:val="left" w:leader="none"/>
        </w:tabs>
        <w:spacing w:line="240" w:lineRule="auto" w:before="1" w:after="0"/>
        <w:ind w:left="1766" w:right="777" w:hanging="711"/>
        <w:jc w:val="both"/>
        <w:rPr>
          <w:sz w:val="24"/>
        </w:rPr>
      </w:pPr>
      <w:r>
        <w:rPr>
          <w:sz w:val="24"/>
        </w:rPr>
        <w:t>other</w:t>
      </w:r>
      <w:r>
        <w:rPr>
          <w:spacing w:val="40"/>
          <w:sz w:val="24"/>
        </w:rPr>
        <w:t> </w:t>
      </w:r>
      <w:r>
        <w:rPr>
          <w:sz w:val="24"/>
        </w:rPr>
        <w:t>liquids</w:t>
      </w:r>
      <w:r>
        <w:rPr>
          <w:spacing w:val="40"/>
          <w:sz w:val="24"/>
        </w:rPr>
        <w:t> </w:t>
      </w:r>
      <w:r>
        <w:rPr>
          <w:sz w:val="24"/>
        </w:rPr>
        <w:t>or</w:t>
      </w:r>
      <w:r>
        <w:rPr>
          <w:spacing w:val="40"/>
          <w:sz w:val="24"/>
        </w:rPr>
        <w:t> </w:t>
      </w:r>
      <w:r>
        <w:rPr>
          <w:sz w:val="24"/>
        </w:rPr>
        <w:t>chemicals</w:t>
      </w:r>
      <w:r>
        <w:rPr>
          <w:spacing w:val="40"/>
          <w:sz w:val="24"/>
        </w:rPr>
        <w:t> </w:t>
      </w:r>
      <w:r>
        <w:rPr>
          <w:sz w:val="24"/>
        </w:rPr>
        <w:t>producing</w:t>
      </w:r>
      <w:r>
        <w:rPr>
          <w:spacing w:val="40"/>
          <w:sz w:val="24"/>
        </w:rPr>
        <w:t> </w:t>
      </w:r>
      <w:r>
        <w:rPr>
          <w:sz w:val="24"/>
        </w:rPr>
        <w:t>flame,</w:t>
      </w:r>
      <w:r>
        <w:rPr>
          <w:spacing w:val="40"/>
          <w:sz w:val="24"/>
        </w:rPr>
        <w:t> </w:t>
      </w:r>
      <w:r>
        <w:rPr>
          <w:sz w:val="24"/>
        </w:rPr>
        <w:t>explosive,</w:t>
      </w:r>
      <w:r>
        <w:rPr>
          <w:spacing w:val="40"/>
          <w:sz w:val="24"/>
        </w:rPr>
        <w:t> </w:t>
      </w:r>
      <w:r>
        <w:rPr>
          <w:sz w:val="24"/>
        </w:rPr>
        <w:t>poisonous, irritant</w:t>
      </w:r>
      <w:r>
        <w:rPr>
          <w:spacing w:val="40"/>
          <w:sz w:val="24"/>
        </w:rPr>
        <w:t> </w:t>
      </w:r>
      <w:r>
        <w:rPr>
          <w:sz w:val="24"/>
        </w:rPr>
        <w:t>or</w:t>
      </w:r>
      <w:r>
        <w:rPr>
          <w:spacing w:val="40"/>
          <w:sz w:val="24"/>
        </w:rPr>
        <w:t> </w:t>
      </w:r>
      <w:r>
        <w:rPr>
          <w:sz w:val="24"/>
        </w:rPr>
        <w:t>corrosive</w:t>
      </w:r>
      <w:r>
        <w:rPr>
          <w:spacing w:val="40"/>
          <w:sz w:val="24"/>
        </w:rPr>
        <w:t> </w:t>
      </w:r>
      <w:r>
        <w:rPr>
          <w:sz w:val="24"/>
        </w:rPr>
        <w:t>gases</w:t>
      </w:r>
      <w:r>
        <w:rPr>
          <w:spacing w:val="40"/>
          <w:sz w:val="24"/>
        </w:rPr>
        <w:t> </w:t>
      </w:r>
      <w:r>
        <w:rPr>
          <w:sz w:val="24"/>
        </w:rPr>
        <w:t>or</w:t>
      </w:r>
      <w:r>
        <w:rPr>
          <w:spacing w:val="40"/>
          <w:sz w:val="24"/>
        </w:rPr>
        <w:t> </w:t>
      </w:r>
      <w:r>
        <w:rPr>
          <w:sz w:val="24"/>
        </w:rPr>
        <w:t>which</w:t>
      </w:r>
      <w:r>
        <w:rPr>
          <w:spacing w:val="40"/>
          <w:sz w:val="24"/>
        </w:rPr>
        <w:t> </w:t>
      </w:r>
      <w:r>
        <w:rPr>
          <w:sz w:val="24"/>
        </w:rPr>
        <w:t>may</w:t>
      </w:r>
      <w:r>
        <w:rPr>
          <w:spacing w:val="40"/>
          <w:sz w:val="24"/>
        </w:rPr>
        <w:t> </w:t>
      </w:r>
      <w:r>
        <w:rPr>
          <w:sz w:val="24"/>
        </w:rPr>
        <w:t>produce</w:t>
      </w:r>
      <w:r>
        <w:rPr>
          <w:spacing w:val="40"/>
          <w:sz w:val="24"/>
        </w:rPr>
        <w:t> </w:t>
      </w:r>
      <w:r>
        <w:rPr>
          <w:sz w:val="24"/>
        </w:rPr>
        <w:t>explosive</w:t>
      </w:r>
      <w:r>
        <w:rPr>
          <w:spacing w:val="40"/>
          <w:sz w:val="24"/>
        </w:rPr>
        <w:t> </w:t>
      </w:r>
      <w:r>
        <w:rPr>
          <w:spacing w:val="9"/>
          <w:sz w:val="24"/>
        </w:rPr>
        <w:t>mixtures</w:t>
      </w:r>
      <w:r>
        <w:rPr>
          <w:spacing w:val="40"/>
          <w:sz w:val="24"/>
        </w:rPr>
        <w:t> </w:t>
      </w:r>
      <w:r>
        <w:rPr>
          <w:sz w:val="24"/>
        </w:rPr>
        <w:t>of</w:t>
      </w:r>
      <w:r>
        <w:rPr>
          <w:spacing w:val="80"/>
          <w:sz w:val="24"/>
        </w:rPr>
        <w:t> </w:t>
      </w:r>
      <w:r>
        <w:rPr>
          <w:sz w:val="24"/>
        </w:rPr>
        <w:t>dust</w:t>
      </w:r>
      <w:r>
        <w:rPr>
          <w:spacing w:val="80"/>
          <w:sz w:val="24"/>
        </w:rPr>
        <w:t> </w:t>
      </w:r>
      <w:r>
        <w:rPr>
          <w:sz w:val="24"/>
        </w:rPr>
        <w:t>or</w:t>
      </w:r>
      <w:r>
        <w:rPr>
          <w:spacing w:val="80"/>
          <w:sz w:val="24"/>
        </w:rPr>
        <w:t> </w:t>
      </w:r>
      <w:r>
        <w:rPr>
          <w:sz w:val="24"/>
        </w:rPr>
        <w:t>fine</w:t>
      </w:r>
      <w:r>
        <w:rPr>
          <w:spacing w:val="80"/>
          <w:sz w:val="24"/>
        </w:rPr>
        <w:t> </w:t>
      </w:r>
      <w:r>
        <w:rPr>
          <w:sz w:val="24"/>
        </w:rPr>
        <w:t>particles</w:t>
      </w:r>
      <w:r>
        <w:rPr>
          <w:spacing w:val="80"/>
          <w:sz w:val="24"/>
        </w:rPr>
        <w:t> </w:t>
      </w:r>
      <w:r>
        <w:rPr>
          <w:sz w:val="24"/>
        </w:rPr>
        <w:t>capable</w:t>
      </w:r>
      <w:r>
        <w:rPr>
          <w:spacing w:val="80"/>
          <w:sz w:val="24"/>
        </w:rPr>
        <w:t> </w:t>
      </w:r>
      <w:r>
        <w:rPr>
          <w:sz w:val="24"/>
        </w:rPr>
        <w:t>of</w:t>
      </w:r>
      <w:r>
        <w:rPr>
          <w:spacing w:val="80"/>
          <w:sz w:val="24"/>
        </w:rPr>
        <w:t> </w:t>
      </w:r>
      <w:r>
        <w:rPr>
          <w:sz w:val="24"/>
        </w:rPr>
        <w:t>spontaneous</w:t>
      </w:r>
      <w:r>
        <w:rPr>
          <w:spacing w:val="80"/>
          <w:sz w:val="24"/>
        </w:rPr>
        <w:t> </w:t>
      </w:r>
      <w:r>
        <w:rPr>
          <w:sz w:val="24"/>
        </w:rPr>
        <w:t>ignition.</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85" w:hanging="711"/>
        <w:jc w:val="both"/>
        <w:rPr>
          <w:sz w:val="24"/>
        </w:rPr>
      </w:pPr>
      <w:r>
        <w:rPr>
          <w:sz w:val="24"/>
        </w:rPr>
        <w:t>"Height</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means</w:t>
      </w:r>
      <w:r>
        <w:rPr>
          <w:spacing w:val="40"/>
          <w:sz w:val="24"/>
        </w:rPr>
        <w:t> </w:t>
      </w:r>
      <w:r>
        <w:rPr>
          <w:sz w:val="24"/>
        </w:rPr>
        <w:t>the</w:t>
      </w:r>
      <w:r>
        <w:rPr>
          <w:spacing w:val="40"/>
          <w:sz w:val="24"/>
        </w:rPr>
        <w:t> </w:t>
      </w:r>
      <w:r>
        <w:rPr>
          <w:sz w:val="24"/>
        </w:rPr>
        <w:t>vertical</w:t>
      </w:r>
      <w:r>
        <w:rPr>
          <w:spacing w:val="40"/>
          <w:sz w:val="24"/>
        </w:rPr>
        <w:t> </w:t>
      </w:r>
      <w:r>
        <w:rPr>
          <w:sz w:val="24"/>
        </w:rPr>
        <w:t>distance</w:t>
      </w:r>
      <w:r>
        <w:rPr>
          <w:spacing w:val="40"/>
          <w:sz w:val="24"/>
        </w:rPr>
        <w:t> </w:t>
      </w:r>
      <w:r>
        <w:rPr>
          <w:sz w:val="24"/>
        </w:rPr>
        <w:t>measured,</w:t>
      </w:r>
      <w:r>
        <w:rPr>
          <w:spacing w:val="40"/>
          <w:sz w:val="24"/>
        </w:rPr>
        <w:t> </w:t>
      </w:r>
      <w:r>
        <w:rPr>
          <w:sz w:val="24"/>
        </w:rPr>
        <w:t>in</w:t>
      </w:r>
      <w:r>
        <w:rPr>
          <w:spacing w:val="40"/>
          <w:sz w:val="24"/>
        </w:rPr>
        <w:t> </w:t>
      </w:r>
      <w:r>
        <w:rPr>
          <w:sz w:val="24"/>
        </w:rPr>
        <w:t>the case of flat roofs, from the average level of the ground around and contiguous</w:t>
      </w:r>
      <w:r>
        <w:rPr>
          <w:spacing w:val="40"/>
          <w:sz w:val="24"/>
        </w:rPr>
        <w:t> </w:t>
      </w:r>
      <w:r>
        <w:rPr>
          <w:sz w:val="24"/>
        </w:rPr>
        <w:t>to</w:t>
      </w:r>
      <w:r>
        <w:rPr>
          <w:spacing w:val="40"/>
          <w:sz w:val="24"/>
        </w:rPr>
        <w:t> </w:t>
      </w:r>
      <w:r>
        <w:rPr>
          <w:sz w:val="24"/>
        </w:rPr>
        <w:t>the</w:t>
      </w:r>
      <w:r>
        <w:rPr>
          <w:spacing w:val="40"/>
          <w:sz w:val="24"/>
        </w:rPr>
        <w:t> </w:t>
      </w:r>
      <w:r>
        <w:rPr>
          <w:sz w:val="24"/>
        </w:rPr>
        <w:t>building</w:t>
      </w:r>
      <w:r>
        <w:rPr>
          <w:spacing w:val="40"/>
          <w:sz w:val="24"/>
        </w:rPr>
        <w:t> </w:t>
      </w:r>
      <w:r>
        <w:rPr>
          <w:sz w:val="24"/>
        </w:rPr>
        <w:t>to</w:t>
      </w:r>
      <w:r>
        <w:rPr>
          <w:spacing w:val="40"/>
          <w:sz w:val="24"/>
        </w:rPr>
        <w:t> </w:t>
      </w:r>
      <w:r>
        <w:rPr>
          <w:sz w:val="24"/>
        </w:rPr>
        <w:t>the</w:t>
      </w:r>
      <w:r>
        <w:rPr>
          <w:spacing w:val="40"/>
          <w:sz w:val="24"/>
        </w:rPr>
        <w:t> </w:t>
      </w:r>
      <w:r>
        <w:rPr>
          <w:sz w:val="24"/>
        </w:rPr>
        <w:t>topmost</w:t>
      </w:r>
      <w:r>
        <w:rPr>
          <w:spacing w:val="40"/>
          <w:sz w:val="24"/>
        </w:rPr>
        <w:t> </w:t>
      </w:r>
      <w:r>
        <w:rPr>
          <w:sz w:val="24"/>
        </w:rPr>
        <w:t>terrace</w:t>
      </w:r>
      <w:r>
        <w:rPr>
          <w:spacing w:val="40"/>
          <w:sz w:val="24"/>
        </w:rPr>
        <w:t> </w:t>
      </w:r>
      <w:r>
        <w:rPr>
          <w:sz w:val="24"/>
        </w:rPr>
        <w:t>level</w:t>
      </w:r>
      <w:r>
        <w:rPr>
          <w:spacing w:val="40"/>
          <w:sz w:val="24"/>
        </w:rPr>
        <w:t> </w:t>
      </w:r>
      <w:r>
        <w:rPr>
          <w:sz w:val="24"/>
        </w:rPr>
        <w:t>and,</w:t>
      </w:r>
      <w:r>
        <w:rPr>
          <w:spacing w:val="40"/>
          <w:sz w:val="24"/>
        </w:rPr>
        <w:t> </w:t>
      </w:r>
      <w:r>
        <w:rPr>
          <w:sz w:val="24"/>
        </w:rPr>
        <w:t>in</w:t>
      </w:r>
      <w:r>
        <w:rPr>
          <w:spacing w:val="40"/>
          <w:sz w:val="24"/>
        </w:rPr>
        <w:t> </w:t>
      </w:r>
      <w:r>
        <w:rPr>
          <w:sz w:val="24"/>
        </w:rPr>
        <w:t>the case</w:t>
      </w:r>
      <w:r>
        <w:rPr>
          <w:spacing w:val="40"/>
          <w:sz w:val="24"/>
        </w:rPr>
        <w:t> </w:t>
      </w:r>
      <w:r>
        <w:rPr>
          <w:sz w:val="24"/>
        </w:rPr>
        <w:t>of</w:t>
      </w:r>
      <w:r>
        <w:rPr>
          <w:spacing w:val="80"/>
          <w:sz w:val="24"/>
        </w:rPr>
        <w:t> </w:t>
      </w:r>
      <w:r>
        <w:rPr>
          <w:sz w:val="24"/>
        </w:rPr>
        <w:t>pitched</w:t>
      </w:r>
      <w:r>
        <w:rPr>
          <w:spacing w:val="80"/>
          <w:sz w:val="24"/>
        </w:rPr>
        <w:t> </w:t>
      </w:r>
      <w:r>
        <w:rPr>
          <w:sz w:val="24"/>
        </w:rPr>
        <w:t>roofs,</w:t>
      </w:r>
      <w:r>
        <w:rPr>
          <w:spacing w:val="40"/>
          <w:sz w:val="24"/>
        </w:rPr>
        <w:t> </w:t>
      </w:r>
      <w:r>
        <w:rPr>
          <w:sz w:val="24"/>
        </w:rPr>
        <w:t>upto</w:t>
      </w:r>
      <w:r>
        <w:rPr>
          <w:spacing w:val="40"/>
          <w:sz w:val="24"/>
        </w:rPr>
        <w:t> </w:t>
      </w:r>
      <w:r>
        <w:rPr>
          <w:sz w:val="24"/>
        </w:rPr>
        <w:t>the</w:t>
      </w:r>
      <w:r>
        <w:rPr>
          <w:spacing w:val="40"/>
          <w:sz w:val="24"/>
        </w:rPr>
        <w:t> </w:t>
      </w:r>
      <w:r>
        <w:rPr>
          <w:sz w:val="24"/>
        </w:rPr>
        <w:t>point</w:t>
      </w:r>
      <w:r>
        <w:rPr>
          <w:spacing w:val="80"/>
          <w:sz w:val="24"/>
        </w:rPr>
        <w:t> </w:t>
      </w:r>
      <w:r>
        <w:rPr>
          <w:sz w:val="24"/>
        </w:rPr>
        <w:t>where</w:t>
      </w:r>
      <w:r>
        <w:rPr>
          <w:spacing w:val="80"/>
          <w:sz w:val="24"/>
        </w:rPr>
        <w:t> </w:t>
      </w:r>
      <w:r>
        <w:rPr>
          <w:sz w:val="24"/>
        </w:rPr>
        <w:t>the</w:t>
      </w:r>
      <w:r>
        <w:rPr>
          <w:spacing w:val="80"/>
          <w:sz w:val="24"/>
        </w:rPr>
        <w:t> </w:t>
      </w:r>
      <w:r>
        <w:rPr>
          <w:sz w:val="24"/>
        </w:rPr>
        <w:t>external</w:t>
      </w:r>
      <w:r>
        <w:rPr>
          <w:spacing w:val="40"/>
          <w:sz w:val="24"/>
        </w:rPr>
        <w:t> </w:t>
      </w:r>
      <w:r>
        <w:rPr>
          <w:sz w:val="24"/>
        </w:rPr>
        <w:t>surface</w:t>
      </w:r>
      <w:r>
        <w:rPr>
          <w:spacing w:val="40"/>
          <w:sz w:val="24"/>
        </w:rPr>
        <w:t> </w:t>
      </w:r>
      <w:r>
        <w:rPr>
          <w:sz w:val="24"/>
        </w:rPr>
        <w:t>of the</w:t>
      </w:r>
      <w:r>
        <w:rPr>
          <w:spacing w:val="40"/>
          <w:sz w:val="24"/>
        </w:rPr>
        <w:t> </w:t>
      </w:r>
      <w:r>
        <w:rPr>
          <w:sz w:val="24"/>
        </w:rPr>
        <w:t>outer</w:t>
      </w:r>
      <w:r>
        <w:rPr>
          <w:spacing w:val="40"/>
          <w:sz w:val="24"/>
        </w:rPr>
        <w:t> </w:t>
      </w:r>
      <w:r>
        <w:rPr>
          <w:sz w:val="24"/>
        </w:rPr>
        <w:t>wall</w:t>
      </w:r>
      <w:r>
        <w:rPr>
          <w:spacing w:val="40"/>
          <w:sz w:val="24"/>
        </w:rPr>
        <w:t> </w:t>
      </w:r>
      <w:r>
        <w:rPr>
          <w:sz w:val="24"/>
        </w:rPr>
        <w:t>intersects</w:t>
      </w:r>
      <w:r>
        <w:rPr>
          <w:spacing w:val="40"/>
          <w:sz w:val="24"/>
        </w:rPr>
        <w:t> </w:t>
      </w:r>
      <w:r>
        <w:rPr>
          <w:sz w:val="24"/>
        </w:rPr>
        <w:t>the</w:t>
      </w:r>
      <w:r>
        <w:rPr>
          <w:spacing w:val="40"/>
          <w:sz w:val="24"/>
        </w:rPr>
        <w:t> </w:t>
      </w:r>
      <w:r>
        <w:rPr>
          <w:sz w:val="24"/>
        </w:rPr>
        <w:t>finished</w:t>
      </w:r>
      <w:r>
        <w:rPr>
          <w:spacing w:val="40"/>
          <w:sz w:val="24"/>
        </w:rPr>
        <w:t> </w:t>
      </w:r>
      <w:r>
        <w:rPr>
          <w:sz w:val="24"/>
        </w:rPr>
        <w:t>surface</w:t>
      </w:r>
      <w:r>
        <w:rPr>
          <w:spacing w:val="40"/>
          <w:sz w:val="24"/>
        </w:rPr>
        <w:t> </w:t>
      </w:r>
      <w:r>
        <w:rPr>
          <w:sz w:val="24"/>
        </w:rPr>
        <w:t>of</w:t>
      </w:r>
      <w:r>
        <w:rPr>
          <w:spacing w:val="40"/>
          <w:sz w:val="24"/>
        </w:rPr>
        <w:t> </w:t>
      </w:r>
      <w:r>
        <w:rPr>
          <w:sz w:val="24"/>
        </w:rPr>
        <w:t>the</w:t>
      </w:r>
      <w:r>
        <w:rPr>
          <w:spacing w:val="40"/>
          <w:sz w:val="24"/>
        </w:rPr>
        <w:t> </w:t>
      </w:r>
      <w:r>
        <w:rPr>
          <w:sz w:val="24"/>
        </w:rPr>
        <w:t>sloping</w:t>
      </w:r>
      <w:r>
        <w:rPr>
          <w:spacing w:val="40"/>
          <w:sz w:val="24"/>
        </w:rPr>
        <w:t> </w:t>
      </w:r>
      <w:r>
        <w:rPr>
          <w:sz w:val="24"/>
        </w:rPr>
        <w:t>roof,</w:t>
      </w:r>
      <w:r>
        <w:rPr>
          <w:spacing w:val="40"/>
          <w:sz w:val="24"/>
        </w:rPr>
        <w:t> </w:t>
      </w:r>
      <w:r>
        <w:rPr>
          <w:sz w:val="24"/>
        </w:rPr>
        <w:t>and, in the case of gables facing the road, the </w:t>
      </w:r>
      <w:r>
        <w:rPr>
          <w:spacing w:val="12"/>
          <w:sz w:val="24"/>
        </w:rPr>
        <w:t>mid-</w:t>
      </w:r>
      <w:r>
        <w:rPr>
          <w:sz w:val="24"/>
        </w:rPr>
        <w:t>point between the eaves level and the ridge.</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75" w:hanging="711"/>
        <w:jc w:val="both"/>
        <w:rPr>
          <w:sz w:val="24"/>
        </w:rPr>
      </w:pPr>
      <w:r>
        <w:rPr>
          <w:sz w:val="24"/>
        </w:rPr>
        <w:t>"Height of a room" means the vertical distance measured, from </w:t>
      </w:r>
      <w:r>
        <w:rPr>
          <w:spacing w:val="9"/>
          <w:sz w:val="24"/>
        </w:rPr>
        <w:t>the </w:t>
      </w:r>
      <w:r>
        <w:rPr>
          <w:sz w:val="24"/>
        </w:rPr>
        <w:t>finished</w:t>
      </w:r>
      <w:r>
        <w:rPr>
          <w:spacing w:val="40"/>
          <w:sz w:val="24"/>
        </w:rPr>
        <w:t> </w:t>
      </w:r>
      <w:r>
        <w:rPr>
          <w:sz w:val="24"/>
        </w:rPr>
        <w:t>floor</w:t>
      </w:r>
      <w:r>
        <w:rPr>
          <w:spacing w:val="40"/>
          <w:sz w:val="24"/>
        </w:rPr>
        <w:t> </w:t>
      </w:r>
      <w:r>
        <w:rPr>
          <w:sz w:val="24"/>
        </w:rPr>
        <w:t>surface</w:t>
      </w:r>
      <w:r>
        <w:rPr>
          <w:spacing w:val="40"/>
          <w:sz w:val="24"/>
        </w:rPr>
        <w:t> </w:t>
      </w:r>
      <w:r>
        <w:rPr>
          <w:sz w:val="24"/>
        </w:rPr>
        <w:t>to</w:t>
      </w:r>
      <w:r>
        <w:rPr>
          <w:spacing w:val="40"/>
          <w:sz w:val="24"/>
        </w:rPr>
        <w:t> </w:t>
      </w:r>
      <w:r>
        <w:rPr>
          <w:sz w:val="24"/>
        </w:rPr>
        <w:t>the</w:t>
      </w:r>
      <w:r>
        <w:rPr>
          <w:spacing w:val="40"/>
          <w:sz w:val="24"/>
        </w:rPr>
        <w:t> </w:t>
      </w:r>
      <w:r>
        <w:rPr>
          <w:sz w:val="24"/>
        </w:rPr>
        <w:t>finished</w:t>
      </w:r>
      <w:r>
        <w:rPr>
          <w:spacing w:val="40"/>
          <w:sz w:val="24"/>
        </w:rPr>
        <w:t> </w:t>
      </w:r>
      <w:r>
        <w:rPr>
          <w:sz w:val="24"/>
        </w:rPr>
        <w:t>ceiling/soffit</w:t>
      </w:r>
      <w:r>
        <w:rPr>
          <w:spacing w:val="40"/>
          <w:sz w:val="24"/>
        </w:rPr>
        <w:t> </w:t>
      </w:r>
      <w:r>
        <w:rPr>
          <w:sz w:val="24"/>
        </w:rPr>
        <w:t>of</w:t>
      </w:r>
      <w:r>
        <w:rPr>
          <w:spacing w:val="40"/>
          <w:sz w:val="24"/>
        </w:rPr>
        <w:t> </w:t>
      </w:r>
      <w:r>
        <w:rPr>
          <w:sz w:val="24"/>
        </w:rPr>
        <w:t>slab.</w:t>
      </w:r>
      <w:r>
        <w:rPr>
          <w:spacing w:val="80"/>
          <w:w w:val="150"/>
          <w:sz w:val="24"/>
        </w:rPr>
        <w:t> </w:t>
      </w:r>
      <w:r>
        <w:rPr>
          <w:sz w:val="24"/>
        </w:rPr>
        <w:t>The</w:t>
      </w:r>
      <w:r>
        <w:rPr>
          <w:spacing w:val="40"/>
          <w:sz w:val="24"/>
        </w:rPr>
        <w:t> </w:t>
      </w:r>
      <w:r>
        <w:rPr>
          <w:sz w:val="24"/>
        </w:rPr>
        <w:t>height of a room with a pitched roof means the average height between the finished</w:t>
      </w:r>
      <w:r>
        <w:rPr>
          <w:spacing w:val="40"/>
          <w:sz w:val="24"/>
        </w:rPr>
        <w:t> </w:t>
      </w:r>
      <w:r>
        <w:rPr>
          <w:sz w:val="24"/>
        </w:rPr>
        <w:t>floor</w:t>
      </w:r>
      <w:r>
        <w:rPr>
          <w:spacing w:val="40"/>
          <w:sz w:val="24"/>
        </w:rPr>
        <w:t> </w:t>
      </w:r>
      <w:r>
        <w:rPr>
          <w:sz w:val="24"/>
        </w:rPr>
        <w:t>surface</w:t>
      </w:r>
      <w:r>
        <w:rPr>
          <w:spacing w:val="40"/>
          <w:sz w:val="24"/>
        </w:rPr>
        <w:t> </w:t>
      </w:r>
      <w:r>
        <w:rPr>
          <w:sz w:val="24"/>
        </w:rPr>
        <w:t>and</w:t>
      </w:r>
      <w:r>
        <w:rPr>
          <w:spacing w:val="40"/>
          <w:sz w:val="24"/>
        </w:rPr>
        <w:t> </w:t>
      </w:r>
      <w:r>
        <w:rPr>
          <w:sz w:val="24"/>
        </w:rPr>
        <w:t>the</w:t>
      </w:r>
      <w:r>
        <w:rPr>
          <w:spacing w:val="40"/>
          <w:sz w:val="24"/>
        </w:rPr>
        <w:t> </w:t>
      </w:r>
      <w:r>
        <w:rPr>
          <w:sz w:val="24"/>
        </w:rPr>
        <w:t>bottom</w:t>
      </w:r>
      <w:r>
        <w:rPr>
          <w:spacing w:val="40"/>
          <w:sz w:val="24"/>
        </w:rPr>
        <w:t> </w:t>
      </w:r>
      <w:r>
        <w:rPr>
          <w:sz w:val="24"/>
        </w:rPr>
        <w:t>of</w:t>
      </w:r>
      <w:r>
        <w:rPr>
          <w:spacing w:val="40"/>
          <w:sz w:val="24"/>
        </w:rPr>
        <w:t> </w:t>
      </w:r>
      <w:r>
        <w:rPr>
          <w:sz w:val="24"/>
        </w:rPr>
        <w:t>the</w:t>
      </w:r>
      <w:r>
        <w:rPr>
          <w:spacing w:val="40"/>
          <w:sz w:val="24"/>
        </w:rPr>
        <w:t> </w:t>
      </w:r>
      <w:r>
        <w:rPr>
          <w:sz w:val="24"/>
        </w:rPr>
        <w:t>eaves</w:t>
      </w:r>
      <w:r>
        <w:rPr>
          <w:spacing w:val="40"/>
          <w:sz w:val="24"/>
        </w:rPr>
        <w:t> </w:t>
      </w:r>
      <w:r>
        <w:rPr>
          <w:sz w:val="24"/>
        </w:rPr>
        <w:t>and</w:t>
      </w:r>
      <w:r>
        <w:rPr>
          <w:spacing w:val="40"/>
          <w:sz w:val="24"/>
        </w:rPr>
        <w:t> </w:t>
      </w:r>
      <w:r>
        <w:rPr>
          <w:sz w:val="24"/>
        </w:rPr>
        <w:t>the</w:t>
      </w:r>
      <w:r>
        <w:rPr>
          <w:spacing w:val="40"/>
          <w:sz w:val="24"/>
        </w:rPr>
        <w:t> </w:t>
      </w:r>
      <w:r>
        <w:rPr>
          <w:sz w:val="24"/>
        </w:rPr>
        <w:t>bottom</w:t>
      </w:r>
      <w:r>
        <w:rPr>
          <w:spacing w:val="40"/>
          <w:sz w:val="24"/>
        </w:rPr>
        <w:t> </w:t>
      </w:r>
      <w:r>
        <w:rPr>
          <w:sz w:val="24"/>
        </w:rPr>
        <w:t>of the </w:t>
      </w:r>
      <w:r>
        <w:rPr>
          <w:spacing w:val="9"/>
          <w:sz w:val="24"/>
        </w:rPr>
        <w:t>ridge.</w:t>
      </w:r>
    </w:p>
    <w:p>
      <w:pPr>
        <w:pStyle w:val="ListParagraph"/>
        <w:numPr>
          <w:ilvl w:val="0"/>
          <w:numId w:val="6"/>
        </w:numPr>
        <w:tabs>
          <w:tab w:pos="1762" w:val="left" w:leader="none"/>
          <w:tab w:pos="1766" w:val="left" w:leader="none"/>
        </w:tabs>
        <w:spacing w:line="240" w:lineRule="auto" w:before="281" w:after="0"/>
        <w:ind w:left="1766" w:right="779" w:hanging="711"/>
        <w:jc w:val="both"/>
        <w:rPr>
          <w:sz w:val="24"/>
        </w:rPr>
      </w:pPr>
      <w:r>
        <w:rPr>
          <w:sz w:val="24"/>
        </w:rPr>
        <w:t>“High Rise Building” means a building having height more than 32mabove</w:t>
      </w:r>
      <w:r>
        <w:rPr>
          <w:spacing w:val="40"/>
          <w:sz w:val="24"/>
        </w:rPr>
        <w:t> </w:t>
      </w:r>
      <w:r>
        <w:rPr>
          <w:sz w:val="24"/>
        </w:rPr>
        <w:t>the</w:t>
      </w:r>
      <w:r>
        <w:rPr>
          <w:spacing w:val="40"/>
          <w:sz w:val="24"/>
        </w:rPr>
        <w:t> </w:t>
      </w:r>
      <w:r>
        <w:rPr>
          <w:sz w:val="24"/>
        </w:rPr>
        <w:t>average</w:t>
      </w:r>
      <w:r>
        <w:rPr>
          <w:spacing w:val="40"/>
          <w:sz w:val="24"/>
        </w:rPr>
        <w:t> </w:t>
      </w:r>
      <w:r>
        <w:rPr>
          <w:sz w:val="24"/>
        </w:rPr>
        <w:t>surrounding</w:t>
      </w:r>
      <w:r>
        <w:rPr>
          <w:spacing w:val="40"/>
          <w:sz w:val="24"/>
        </w:rPr>
        <w:t> </w:t>
      </w:r>
      <w:r>
        <w:rPr>
          <w:sz w:val="24"/>
        </w:rPr>
        <w:t>ground</w:t>
      </w:r>
      <w:r>
        <w:rPr>
          <w:spacing w:val="40"/>
          <w:sz w:val="24"/>
        </w:rPr>
        <w:t> </w:t>
      </w:r>
      <w:r>
        <w:rPr>
          <w:spacing w:val="9"/>
          <w:sz w:val="24"/>
        </w:rPr>
        <w:t>level.</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79" w:hanging="711"/>
        <w:jc w:val="both"/>
        <w:rPr>
          <w:sz w:val="24"/>
        </w:rPr>
      </w:pPr>
      <w:r>
        <w:rPr>
          <w:sz w:val="24"/>
        </w:rPr>
        <w:t>"Home</w:t>
      </w:r>
      <w:r>
        <w:rPr>
          <w:spacing w:val="80"/>
          <w:sz w:val="24"/>
        </w:rPr>
        <w:t> </w:t>
      </w:r>
      <w:r>
        <w:rPr>
          <w:sz w:val="24"/>
        </w:rPr>
        <w:t>occupation"</w:t>
      </w:r>
      <w:r>
        <w:rPr>
          <w:spacing w:val="80"/>
          <w:sz w:val="24"/>
        </w:rPr>
        <w:t>  </w:t>
      </w:r>
      <w:r>
        <w:rPr>
          <w:sz w:val="24"/>
        </w:rPr>
        <w:t>means</w:t>
      </w:r>
      <w:r>
        <w:rPr>
          <w:spacing w:val="80"/>
          <w:sz w:val="24"/>
        </w:rPr>
        <w:t> </w:t>
      </w:r>
      <w:r>
        <w:rPr>
          <w:sz w:val="24"/>
        </w:rPr>
        <w:t>customary</w:t>
      </w:r>
      <w:r>
        <w:rPr>
          <w:spacing w:val="80"/>
          <w:sz w:val="24"/>
        </w:rPr>
        <w:t> </w:t>
      </w:r>
      <w:r>
        <w:rPr>
          <w:sz w:val="24"/>
        </w:rPr>
        <w:t>services</w:t>
      </w:r>
      <w:r>
        <w:rPr>
          <w:spacing w:val="80"/>
          <w:sz w:val="24"/>
        </w:rPr>
        <w:t> </w:t>
      </w:r>
      <w:r>
        <w:rPr>
          <w:sz w:val="24"/>
        </w:rPr>
        <w:t>provided</w:t>
      </w:r>
      <w:r>
        <w:rPr>
          <w:spacing w:val="80"/>
          <w:sz w:val="24"/>
        </w:rPr>
        <w:t> </w:t>
      </w:r>
      <w:r>
        <w:rPr>
          <w:sz w:val="24"/>
        </w:rPr>
        <w:t>to</w:t>
      </w:r>
      <w:r>
        <w:rPr>
          <w:spacing w:val="80"/>
          <w:sz w:val="24"/>
        </w:rPr>
        <w:t> </w:t>
      </w:r>
      <w:r>
        <w:rPr>
          <w:sz w:val="24"/>
        </w:rPr>
        <w:t>the general public other than that of</w:t>
      </w:r>
      <w:r>
        <w:rPr>
          <w:spacing w:val="40"/>
          <w:sz w:val="24"/>
        </w:rPr>
        <w:t> </w:t>
      </w:r>
      <w:r>
        <w:rPr>
          <w:sz w:val="24"/>
        </w:rPr>
        <w:t>eating or a drinking place,</w:t>
      </w:r>
      <w:r>
        <w:rPr>
          <w:spacing w:val="80"/>
          <w:sz w:val="24"/>
        </w:rPr>
        <w:t> </w:t>
      </w:r>
      <w:r>
        <w:rPr>
          <w:sz w:val="24"/>
        </w:rPr>
        <w:t>by a member</w:t>
      </w:r>
      <w:r>
        <w:rPr>
          <w:spacing w:val="40"/>
          <w:sz w:val="24"/>
        </w:rPr>
        <w:t> </w:t>
      </w:r>
      <w:r>
        <w:rPr>
          <w:sz w:val="24"/>
        </w:rPr>
        <w:t>of</w:t>
      </w:r>
      <w:r>
        <w:rPr>
          <w:spacing w:val="40"/>
          <w:sz w:val="24"/>
        </w:rPr>
        <w:t> </w:t>
      </w:r>
      <w:r>
        <w:rPr>
          <w:sz w:val="24"/>
        </w:rPr>
        <w:t>the</w:t>
      </w:r>
      <w:r>
        <w:rPr>
          <w:spacing w:val="40"/>
          <w:sz w:val="24"/>
        </w:rPr>
        <w:t> </w:t>
      </w:r>
      <w:r>
        <w:rPr>
          <w:sz w:val="24"/>
        </w:rPr>
        <w:t>family</w:t>
      </w:r>
      <w:r>
        <w:rPr>
          <w:spacing w:val="40"/>
          <w:sz w:val="24"/>
        </w:rPr>
        <w:t> </w:t>
      </w:r>
      <w:r>
        <w:rPr>
          <w:sz w:val="24"/>
        </w:rPr>
        <w:t>residing</w:t>
      </w:r>
      <w:r>
        <w:rPr>
          <w:spacing w:val="40"/>
          <w:sz w:val="24"/>
        </w:rPr>
        <w:t> </w:t>
      </w:r>
      <w:r>
        <w:rPr>
          <w:sz w:val="24"/>
        </w:rPr>
        <w:t>on</w:t>
      </w:r>
      <w:r>
        <w:rPr>
          <w:spacing w:val="40"/>
          <w:sz w:val="24"/>
        </w:rPr>
        <w:t> </w:t>
      </w:r>
      <w:r>
        <w:rPr>
          <w:sz w:val="24"/>
        </w:rPr>
        <w:t>the</w:t>
      </w:r>
      <w:r>
        <w:rPr>
          <w:spacing w:val="40"/>
          <w:sz w:val="24"/>
        </w:rPr>
        <w:t> </w:t>
      </w:r>
      <w:r>
        <w:rPr>
          <w:sz w:val="24"/>
        </w:rPr>
        <w:t>premises</w:t>
      </w:r>
      <w:r>
        <w:rPr>
          <w:spacing w:val="40"/>
          <w:sz w:val="24"/>
        </w:rPr>
        <w:t> </w:t>
      </w:r>
      <w:r>
        <w:rPr>
          <w:sz w:val="24"/>
        </w:rPr>
        <w:t>without</w:t>
      </w:r>
      <w:r>
        <w:rPr>
          <w:spacing w:val="40"/>
          <w:sz w:val="24"/>
        </w:rPr>
        <w:t> </w:t>
      </w:r>
      <w:r>
        <w:rPr>
          <w:sz w:val="24"/>
        </w:rPr>
        <w:t>employing hired labour, and for which there is no display to indicate from the exterior</w:t>
      </w:r>
      <w:r>
        <w:rPr>
          <w:spacing w:val="40"/>
          <w:sz w:val="24"/>
        </w:rPr>
        <w:t> </w:t>
      </w:r>
      <w:r>
        <w:rPr>
          <w:sz w:val="24"/>
        </w:rPr>
        <w:t>of</w:t>
      </w:r>
      <w:r>
        <w:rPr>
          <w:spacing w:val="39"/>
          <w:sz w:val="24"/>
        </w:rPr>
        <w:t> </w:t>
      </w:r>
      <w:r>
        <w:rPr>
          <w:sz w:val="24"/>
        </w:rPr>
        <w:t>the</w:t>
      </w:r>
      <w:r>
        <w:rPr>
          <w:spacing w:val="39"/>
          <w:sz w:val="24"/>
        </w:rPr>
        <w:t> </w:t>
      </w:r>
      <w:r>
        <w:rPr>
          <w:sz w:val="24"/>
        </w:rPr>
        <w:t>building</w:t>
      </w:r>
      <w:r>
        <w:rPr>
          <w:spacing w:val="39"/>
          <w:sz w:val="24"/>
        </w:rPr>
        <w:t> </w:t>
      </w:r>
      <w:r>
        <w:rPr>
          <w:sz w:val="24"/>
        </w:rPr>
        <w:t>that</w:t>
      </w:r>
      <w:r>
        <w:rPr>
          <w:spacing w:val="39"/>
          <w:sz w:val="24"/>
        </w:rPr>
        <w:t> </w:t>
      </w:r>
      <w:r>
        <w:rPr>
          <w:sz w:val="24"/>
        </w:rPr>
        <w:t>it</w:t>
      </w:r>
      <w:r>
        <w:rPr>
          <w:spacing w:val="39"/>
          <w:sz w:val="24"/>
        </w:rPr>
        <w:t> </w:t>
      </w:r>
      <w:r>
        <w:rPr>
          <w:sz w:val="24"/>
        </w:rPr>
        <w:t>is</w:t>
      </w:r>
      <w:r>
        <w:rPr>
          <w:spacing w:val="39"/>
          <w:sz w:val="24"/>
        </w:rPr>
        <w:t> </w:t>
      </w:r>
      <w:r>
        <w:rPr>
          <w:sz w:val="24"/>
        </w:rPr>
        <w:t>being</w:t>
      </w:r>
      <w:r>
        <w:rPr>
          <w:spacing w:val="39"/>
          <w:sz w:val="24"/>
        </w:rPr>
        <w:t> </w:t>
      </w:r>
      <w:r>
        <w:rPr>
          <w:sz w:val="24"/>
        </w:rPr>
        <w:t>utilised</w:t>
      </w:r>
      <w:r>
        <w:rPr>
          <w:spacing w:val="39"/>
          <w:sz w:val="24"/>
        </w:rPr>
        <w:t> </w:t>
      </w:r>
      <w:r>
        <w:rPr>
          <w:sz w:val="24"/>
        </w:rPr>
        <w:t>in</w:t>
      </w:r>
      <w:r>
        <w:rPr>
          <w:spacing w:val="40"/>
          <w:sz w:val="24"/>
        </w:rPr>
        <w:t> </w:t>
      </w:r>
      <w:r>
        <w:rPr>
          <w:sz w:val="24"/>
        </w:rPr>
        <w:t>whole</w:t>
      </w:r>
      <w:r>
        <w:rPr>
          <w:spacing w:val="40"/>
          <w:sz w:val="24"/>
        </w:rPr>
        <w:t> </w:t>
      </w:r>
      <w:r>
        <w:rPr>
          <w:sz w:val="24"/>
        </w:rPr>
        <w:t>or</w:t>
      </w:r>
      <w:r>
        <w:rPr>
          <w:spacing w:val="39"/>
          <w:sz w:val="24"/>
        </w:rPr>
        <w:t> </w:t>
      </w:r>
      <w:r>
        <w:rPr>
          <w:sz w:val="24"/>
        </w:rPr>
        <w:t>in</w:t>
      </w:r>
      <w:r>
        <w:rPr>
          <w:spacing w:val="39"/>
          <w:sz w:val="24"/>
        </w:rPr>
        <w:t> </w:t>
      </w:r>
      <w:r>
        <w:rPr>
          <w:sz w:val="24"/>
        </w:rPr>
        <w:t>part</w:t>
      </w:r>
      <w:r>
        <w:rPr>
          <w:spacing w:val="39"/>
          <w:sz w:val="24"/>
        </w:rPr>
        <w:t> </w:t>
      </w:r>
      <w:r>
        <w:rPr>
          <w:sz w:val="24"/>
        </w:rPr>
        <w:t>for any</w:t>
      </w:r>
      <w:r>
        <w:rPr>
          <w:spacing w:val="40"/>
          <w:sz w:val="24"/>
        </w:rPr>
        <w:t> </w:t>
      </w:r>
      <w:r>
        <w:rPr>
          <w:sz w:val="24"/>
        </w:rPr>
        <w:t>purpose</w:t>
      </w:r>
      <w:r>
        <w:rPr>
          <w:spacing w:val="40"/>
          <w:sz w:val="24"/>
        </w:rPr>
        <w:t> </w:t>
      </w:r>
      <w:r>
        <w:rPr>
          <w:sz w:val="24"/>
        </w:rPr>
        <w:t>other</w:t>
      </w:r>
      <w:r>
        <w:rPr>
          <w:spacing w:val="40"/>
          <w:sz w:val="24"/>
        </w:rPr>
        <w:t> </w:t>
      </w:r>
      <w:r>
        <w:rPr>
          <w:sz w:val="24"/>
        </w:rPr>
        <w:t>than</w:t>
      </w:r>
      <w:r>
        <w:rPr>
          <w:spacing w:val="40"/>
          <w:sz w:val="24"/>
        </w:rPr>
        <w:t> </w:t>
      </w:r>
      <w:r>
        <w:rPr>
          <w:sz w:val="24"/>
        </w:rPr>
        <w:t>a</w:t>
      </w:r>
      <w:r>
        <w:rPr>
          <w:spacing w:val="40"/>
          <w:sz w:val="24"/>
        </w:rPr>
        <w:t> </w:t>
      </w:r>
      <w:r>
        <w:rPr>
          <w:sz w:val="24"/>
        </w:rPr>
        <w:t>residential</w:t>
      </w:r>
      <w:r>
        <w:rPr>
          <w:spacing w:val="40"/>
          <w:sz w:val="24"/>
        </w:rPr>
        <w:t> </w:t>
      </w:r>
      <w:r>
        <w:rPr>
          <w:sz w:val="24"/>
        </w:rPr>
        <w:t>or</w:t>
      </w:r>
      <w:r>
        <w:rPr>
          <w:spacing w:val="40"/>
          <w:sz w:val="24"/>
        </w:rPr>
        <w:t> </w:t>
      </w:r>
      <w:r>
        <w:rPr>
          <w:spacing w:val="9"/>
          <w:sz w:val="24"/>
        </w:rPr>
        <w:t>dwelling</w:t>
      </w:r>
      <w:r>
        <w:rPr>
          <w:spacing w:val="40"/>
          <w:sz w:val="24"/>
        </w:rPr>
        <w:t> </w:t>
      </w:r>
      <w:r>
        <w:rPr>
          <w:sz w:val="24"/>
        </w:rPr>
        <w:t>use,</w:t>
      </w:r>
      <w:r>
        <w:rPr>
          <w:spacing w:val="40"/>
          <w:sz w:val="24"/>
        </w:rPr>
        <w:t> </w:t>
      </w:r>
      <w:r>
        <w:rPr>
          <w:sz w:val="24"/>
        </w:rPr>
        <w:t>and</w:t>
      </w:r>
      <w:r>
        <w:rPr>
          <w:spacing w:val="40"/>
          <w:sz w:val="24"/>
        </w:rPr>
        <w:t> </w:t>
      </w:r>
      <w:r>
        <w:rPr>
          <w:sz w:val="24"/>
        </w:rPr>
        <w:t>in connection</w:t>
      </w:r>
      <w:r>
        <w:rPr>
          <w:spacing w:val="40"/>
          <w:sz w:val="24"/>
        </w:rPr>
        <w:t> </w:t>
      </w:r>
      <w:r>
        <w:rPr>
          <w:sz w:val="24"/>
        </w:rPr>
        <w:t>with</w:t>
      </w:r>
      <w:r>
        <w:rPr>
          <w:spacing w:val="40"/>
          <w:sz w:val="24"/>
        </w:rPr>
        <w:t> </w:t>
      </w:r>
      <w:r>
        <w:rPr>
          <w:sz w:val="24"/>
        </w:rPr>
        <w:t>which</w:t>
      </w:r>
      <w:r>
        <w:rPr>
          <w:spacing w:val="40"/>
          <w:sz w:val="24"/>
        </w:rPr>
        <w:t> </w:t>
      </w:r>
      <w:r>
        <w:rPr>
          <w:sz w:val="24"/>
        </w:rPr>
        <w:t>no</w:t>
      </w:r>
      <w:r>
        <w:rPr>
          <w:spacing w:val="40"/>
          <w:sz w:val="24"/>
        </w:rPr>
        <w:t> </w:t>
      </w:r>
      <w:r>
        <w:rPr>
          <w:sz w:val="24"/>
        </w:rPr>
        <w:t>article</w:t>
      </w:r>
      <w:r>
        <w:rPr>
          <w:spacing w:val="40"/>
          <w:sz w:val="24"/>
        </w:rPr>
        <w:t> </w:t>
      </w:r>
      <w:r>
        <w:rPr>
          <w:sz w:val="24"/>
        </w:rPr>
        <w:t>or</w:t>
      </w:r>
      <w:r>
        <w:rPr>
          <w:spacing w:val="40"/>
          <w:sz w:val="24"/>
        </w:rPr>
        <w:t> </w:t>
      </w:r>
      <w:r>
        <w:rPr>
          <w:sz w:val="24"/>
        </w:rPr>
        <w:t>service</w:t>
      </w:r>
      <w:r>
        <w:rPr>
          <w:spacing w:val="40"/>
          <w:sz w:val="24"/>
        </w:rPr>
        <w:t> </w:t>
      </w:r>
      <w:r>
        <w:rPr>
          <w:sz w:val="24"/>
        </w:rPr>
        <w:t>is</w:t>
      </w:r>
      <w:r>
        <w:rPr>
          <w:spacing w:val="40"/>
          <w:sz w:val="24"/>
        </w:rPr>
        <w:t> </w:t>
      </w:r>
      <w:r>
        <w:rPr>
          <w:sz w:val="24"/>
        </w:rPr>
        <w:t>sold</w:t>
      </w:r>
      <w:r>
        <w:rPr>
          <w:spacing w:val="40"/>
          <w:sz w:val="24"/>
        </w:rPr>
        <w:t> </w:t>
      </w:r>
      <w:r>
        <w:rPr>
          <w:sz w:val="24"/>
        </w:rPr>
        <w:t>or</w:t>
      </w:r>
      <w:r>
        <w:rPr>
          <w:spacing w:val="40"/>
          <w:sz w:val="24"/>
        </w:rPr>
        <w:t> </w:t>
      </w:r>
      <w:r>
        <w:rPr>
          <w:sz w:val="24"/>
        </w:rPr>
        <w:t>exhibited</w:t>
      </w:r>
      <w:r>
        <w:rPr>
          <w:spacing w:val="40"/>
          <w:sz w:val="24"/>
        </w:rPr>
        <w:t> </w:t>
      </w:r>
      <w:r>
        <w:rPr>
          <w:spacing w:val="9"/>
          <w:sz w:val="24"/>
        </w:rPr>
        <w:t>for </w:t>
      </w:r>
      <w:r>
        <w:rPr>
          <w:sz w:val="24"/>
        </w:rPr>
        <w:t>sale</w:t>
      </w:r>
      <w:r>
        <w:rPr>
          <w:spacing w:val="71"/>
          <w:w w:val="150"/>
          <w:sz w:val="24"/>
        </w:rPr>
        <w:t> </w:t>
      </w:r>
      <w:r>
        <w:rPr>
          <w:sz w:val="24"/>
        </w:rPr>
        <w:t>except</w:t>
      </w:r>
      <w:r>
        <w:rPr>
          <w:spacing w:val="73"/>
          <w:w w:val="150"/>
          <w:sz w:val="24"/>
        </w:rPr>
        <w:t> </w:t>
      </w:r>
      <w:r>
        <w:rPr>
          <w:sz w:val="24"/>
        </w:rPr>
        <w:t>that</w:t>
      </w:r>
      <w:r>
        <w:rPr>
          <w:spacing w:val="71"/>
          <w:w w:val="150"/>
          <w:sz w:val="24"/>
        </w:rPr>
        <w:t> </w:t>
      </w:r>
      <w:r>
        <w:rPr>
          <w:sz w:val="24"/>
        </w:rPr>
        <w:t>which</w:t>
      </w:r>
      <w:r>
        <w:rPr>
          <w:spacing w:val="71"/>
          <w:w w:val="150"/>
          <w:sz w:val="24"/>
        </w:rPr>
        <w:t> </w:t>
      </w:r>
      <w:r>
        <w:rPr>
          <w:sz w:val="24"/>
        </w:rPr>
        <w:t>is</w:t>
      </w:r>
      <w:r>
        <w:rPr>
          <w:spacing w:val="71"/>
          <w:w w:val="150"/>
          <w:sz w:val="24"/>
        </w:rPr>
        <w:t> </w:t>
      </w:r>
      <w:r>
        <w:rPr>
          <w:sz w:val="24"/>
        </w:rPr>
        <w:t>produced</w:t>
      </w:r>
      <w:r>
        <w:rPr>
          <w:spacing w:val="73"/>
          <w:w w:val="150"/>
          <w:sz w:val="24"/>
        </w:rPr>
        <w:t> </w:t>
      </w:r>
      <w:r>
        <w:rPr>
          <w:sz w:val="24"/>
        </w:rPr>
        <w:t>therein,</w:t>
      </w:r>
      <w:r>
        <w:rPr>
          <w:spacing w:val="73"/>
          <w:w w:val="150"/>
          <w:sz w:val="24"/>
        </w:rPr>
        <w:t> </w:t>
      </w:r>
      <w:r>
        <w:rPr>
          <w:sz w:val="24"/>
        </w:rPr>
        <w:t>which</w:t>
      </w:r>
      <w:r>
        <w:rPr>
          <w:spacing w:val="73"/>
          <w:w w:val="150"/>
          <w:sz w:val="24"/>
        </w:rPr>
        <w:t> </w:t>
      </w:r>
      <w:r>
        <w:rPr>
          <w:sz w:val="24"/>
        </w:rPr>
        <w:t>shall</w:t>
      </w:r>
      <w:r>
        <w:rPr>
          <w:spacing w:val="71"/>
          <w:w w:val="150"/>
          <w:sz w:val="24"/>
        </w:rPr>
        <w:t> </w:t>
      </w:r>
      <w:r>
        <w:rPr>
          <w:sz w:val="24"/>
        </w:rPr>
        <w:t>be</w:t>
      </w:r>
      <w:r>
        <w:rPr>
          <w:spacing w:val="73"/>
          <w:w w:val="150"/>
          <w:sz w:val="24"/>
        </w:rPr>
        <w:t> </w:t>
      </w:r>
      <w:r>
        <w:rPr>
          <w:spacing w:val="11"/>
          <w:sz w:val="24"/>
        </w:rPr>
        <w:t>non-</w:t>
      </w:r>
    </w:p>
    <w:p>
      <w:pPr>
        <w:pStyle w:val="ListParagraph"/>
        <w:spacing w:after="0" w:line="240" w:lineRule="auto"/>
        <w:jc w:val="both"/>
        <w:rPr>
          <w:sz w:val="24"/>
        </w:rPr>
        <w:sectPr>
          <w:pgSz w:w="11910" w:h="16840"/>
          <w:pgMar w:header="1058" w:footer="1357" w:top="1500" w:bottom="1540" w:left="360" w:right="360"/>
        </w:sectPr>
      </w:pPr>
    </w:p>
    <w:p>
      <w:pPr>
        <w:pStyle w:val="BodyText"/>
        <w:spacing w:before="255"/>
        <w:ind w:left="1766" w:right="774"/>
      </w:pPr>
      <w:r>
        <w:rPr/>
        <w:t>hazardous</w:t>
      </w:r>
      <w:r>
        <w:rPr>
          <w:spacing w:val="40"/>
        </w:rPr>
        <w:t> </w:t>
      </w:r>
      <w:r>
        <w:rPr/>
        <w:t>and</w:t>
      </w:r>
      <w:r>
        <w:rPr>
          <w:spacing w:val="40"/>
        </w:rPr>
        <w:t> </w:t>
      </w:r>
      <w:r>
        <w:rPr/>
        <w:t>not</w:t>
      </w:r>
      <w:r>
        <w:rPr>
          <w:spacing w:val="40"/>
        </w:rPr>
        <w:t> </w:t>
      </w:r>
      <w:r>
        <w:rPr/>
        <w:t>affecting</w:t>
      </w:r>
      <w:r>
        <w:rPr>
          <w:spacing w:val="40"/>
        </w:rPr>
        <w:t> </w:t>
      </w:r>
      <w:r>
        <w:rPr/>
        <w:t>the</w:t>
      </w:r>
      <w:r>
        <w:rPr>
          <w:spacing w:val="40"/>
        </w:rPr>
        <w:t> </w:t>
      </w:r>
      <w:r>
        <w:rPr/>
        <w:t>safety</w:t>
      </w:r>
      <w:r>
        <w:rPr>
          <w:spacing w:val="40"/>
        </w:rPr>
        <w:t> </w:t>
      </w:r>
      <w:r>
        <w:rPr/>
        <w:t>of</w:t>
      </w:r>
      <w:r>
        <w:rPr>
          <w:spacing w:val="40"/>
        </w:rPr>
        <w:t> </w:t>
      </w:r>
      <w:r>
        <w:rPr/>
        <w:t>the</w:t>
      </w:r>
      <w:r>
        <w:rPr>
          <w:spacing w:val="40"/>
        </w:rPr>
        <w:t> </w:t>
      </w:r>
      <w:r>
        <w:rPr/>
        <w:t>inhabitants</w:t>
      </w:r>
      <w:r>
        <w:rPr>
          <w:spacing w:val="40"/>
        </w:rPr>
        <w:t> </w:t>
      </w:r>
      <w:r>
        <w:rPr/>
        <w:t>of</w:t>
      </w:r>
      <w:r>
        <w:rPr>
          <w:spacing w:val="40"/>
        </w:rPr>
        <w:t> </w:t>
      </w:r>
      <w:r>
        <w:rPr>
          <w:spacing w:val="9"/>
        </w:rPr>
        <w:t>the </w:t>
      </w:r>
      <w:r>
        <w:rPr/>
        <w:t>building and the neighborhood, and provided that no mechanical equipment</w:t>
      </w:r>
      <w:r>
        <w:rPr>
          <w:spacing w:val="40"/>
        </w:rPr>
        <w:t> </w:t>
      </w:r>
      <w:r>
        <w:rPr/>
        <w:t>is</w:t>
      </w:r>
      <w:r>
        <w:rPr>
          <w:spacing w:val="40"/>
        </w:rPr>
        <w:t> </w:t>
      </w:r>
      <w:r>
        <w:rPr/>
        <w:t>used</w:t>
      </w:r>
      <w:r>
        <w:rPr>
          <w:spacing w:val="40"/>
        </w:rPr>
        <w:t> </w:t>
      </w:r>
      <w:r>
        <w:rPr/>
        <w:t>except</w:t>
      </w:r>
      <w:r>
        <w:rPr>
          <w:spacing w:val="40"/>
        </w:rPr>
        <w:t> </w:t>
      </w:r>
      <w:r>
        <w:rPr/>
        <w:t>that</w:t>
      </w:r>
      <w:r>
        <w:rPr>
          <w:spacing w:val="40"/>
        </w:rPr>
        <w:t> </w:t>
      </w:r>
      <w:r>
        <w:rPr/>
        <w:t>as</w:t>
      </w:r>
      <w:r>
        <w:rPr>
          <w:spacing w:val="40"/>
        </w:rPr>
        <w:t> </w:t>
      </w:r>
      <w:r>
        <w:rPr/>
        <w:t>is</w:t>
      </w:r>
      <w:r>
        <w:rPr>
          <w:spacing w:val="40"/>
        </w:rPr>
        <w:t> </w:t>
      </w:r>
      <w:r>
        <w:rPr/>
        <w:t>customarily</w:t>
      </w:r>
      <w:r>
        <w:rPr>
          <w:spacing w:val="40"/>
        </w:rPr>
        <w:t> </w:t>
      </w:r>
      <w:r>
        <w:rPr/>
        <w:t>used</w:t>
      </w:r>
      <w:r>
        <w:rPr>
          <w:spacing w:val="40"/>
        </w:rPr>
        <w:t> </w:t>
      </w:r>
      <w:r>
        <w:rPr/>
        <w:t>for</w:t>
      </w:r>
      <w:r>
        <w:rPr>
          <w:spacing w:val="40"/>
        </w:rPr>
        <w:t> </w:t>
      </w:r>
      <w:r>
        <w:rPr/>
        <w:t>purely domestic</w:t>
      </w:r>
      <w:r>
        <w:rPr>
          <w:spacing w:val="40"/>
        </w:rPr>
        <w:t> </w:t>
      </w:r>
      <w:r>
        <w:rPr/>
        <w:t>or</w:t>
      </w:r>
      <w:r>
        <w:rPr>
          <w:spacing w:val="40"/>
        </w:rPr>
        <w:t> </w:t>
      </w:r>
      <w:r>
        <w:rPr/>
        <w:t>household</w:t>
      </w:r>
      <w:r>
        <w:rPr>
          <w:spacing w:val="40"/>
        </w:rPr>
        <w:t> </w:t>
      </w:r>
      <w:r>
        <w:rPr/>
        <w:t>purposes</w:t>
      </w:r>
      <w:r>
        <w:rPr>
          <w:spacing w:val="40"/>
        </w:rPr>
        <w:t> </w:t>
      </w:r>
      <w:r>
        <w:rPr/>
        <w:t>and/or</w:t>
      </w:r>
      <w:r>
        <w:rPr>
          <w:spacing w:val="40"/>
        </w:rPr>
        <w:t> </w:t>
      </w:r>
      <w:r>
        <w:rPr/>
        <w:t>employing</w:t>
      </w:r>
      <w:r>
        <w:rPr>
          <w:spacing w:val="40"/>
        </w:rPr>
        <w:t> </w:t>
      </w:r>
      <w:r>
        <w:rPr/>
        <w:t>licensable</w:t>
      </w:r>
      <w:r>
        <w:rPr>
          <w:spacing w:val="40"/>
        </w:rPr>
        <w:t> </w:t>
      </w:r>
      <w:r>
        <w:rPr>
          <w:spacing w:val="9"/>
        </w:rPr>
        <w:t>goods.</w:t>
      </w:r>
      <w:r>
        <w:rPr>
          <w:spacing w:val="80"/>
        </w:rPr>
        <w:t> </w:t>
      </w:r>
      <w:r>
        <w:rPr/>
        <w:t>If</w:t>
      </w:r>
      <w:r>
        <w:rPr>
          <w:spacing w:val="72"/>
        </w:rPr>
        <w:t> </w:t>
      </w:r>
      <w:r>
        <w:rPr/>
        <w:t>motive</w:t>
      </w:r>
      <w:r>
        <w:rPr>
          <w:spacing w:val="72"/>
        </w:rPr>
        <w:t> </w:t>
      </w:r>
      <w:r>
        <w:rPr/>
        <w:t>power</w:t>
      </w:r>
      <w:r>
        <w:rPr>
          <w:spacing w:val="72"/>
        </w:rPr>
        <w:t> </w:t>
      </w:r>
      <w:r>
        <w:rPr/>
        <w:t>is</w:t>
      </w:r>
      <w:r>
        <w:rPr>
          <w:spacing w:val="72"/>
        </w:rPr>
        <w:t> </w:t>
      </w:r>
      <w:r>
        <w:rPr/>
        <w:t>used,</w:t>
      </w:r>
      <w:r>
        <w:rPr>
          <w:spacing w:val="72"/>
        </w:rPr>
        <w:t> </w:t>
      </w:r>
      <w:r>
        <w:rPr/>
        <w:t>the</w:t>
      </w:r>
      <w:r>
        <w:rPr>
          <w:spacing w:val="72"/>
        </w:rPr>
        <w:t> </w:t>
      </w:r>
      <w:r>
        <w:rPr/>
        <w:t>total</w:t>
      </w:r>
      <w:r>
        <w:rPr>
          <w:spacing w:val="72"/>
        </w:rPr>
        <w:t> </w:t>
      </w:r>
      <w:r>
        <w:rPr/>
        <w:t>electricity</w:t>
      </w:r>
      <w:r>
        <w:rPr>
          <w:spacing w:val="72"/>
        </w:rPr>
        <w:t> </w:t>
      </w:r>
      <w:r>
        <w:rPr/>
        <w:t>load</w:t>
      </w:r>
      <w:r>
        <w:rPr>
          <w:spacing w:val="72"/>
        </w:rPr>
        <w:t> </w:t>
      </w:r>
      <w:r>
        <w:rPr/>
        <w:t>should</w:t>
      </w:r>
      <w:r>
        <w:rPr>
          <w:spacing w:val="72"/>
        </w:rPr>
        <w:t> </w:t>
      </w:r>
      <w:r>
        <w:rPr/>
        <w:t>not</w:t>
      </w:r>
      <w:r>
        <w:rPr>
          <w:spacing w:val="72"/>
        </w:rPr>
        <w:t> </w:t>
      </w:r>
      <w:r>
        <w:rPr/>
        <w:t>exceed</w:t>
      </w:r>
    </w:p>
    <w:p>
      <w:pPr>
        <w:pStyle w:val="BodyText"/>
        <w:ind w:left="1766" w:right="784"/>
      </w:pPr>
      <w:r>
        <w:rPr/>
        <w:t>0.75</w:t>
      </w:r>
      <w:r>
        <w:rPr>
          <w:spacing w:val="40"/>
        </w:rPr>
        <w:t> </w:t>
      </w:r>
      <w:r>
        <w:rPr/>
        <w:t>KW.</w:t>
      </w:r>
      <w:r>
        <w:rPr>
          <w:spacing w:val="40"/>
        </w:rPr>
        <w:t> </w:t>
      </w:r>
      <w:r>
        <w:rPr/>
        <w:t>"Home</w:t>
      </w:r>
      <w:r>
        <w:rPr>
          <w:spacing w:val="40"/>
        </w:rPr>
        <w:t> </w:t>
      </w:r>
      <w:r>
        <w:rPr/>
        <w:t>Occupation"</w:t>
      </w:r>
      <w:r>
        <w:rPr>
          <w:spacing w:val="40"/>
        </w:rPr>
        <w:t> </w:t>
      </w:r>
      <w:r>
        <w:rPr/>
        <w:t>may</w:t>
      </w:r>
      <w:r>
        <w:rPr>
          <w:spacing w:val="40"/>
        </w:rPr>
        <w:t> </w:t>
      </w:r>
      <w:r>
        <w:rPr/>
        <w:t>also</w:t>
      </w:r>
      <w:r>
        <w:rPr>
          <w:spacing w:val="40"/>
        </w:rPr>
        <w:t> </w:t>
      </w:r>
      <w:r>
        <w:rPr/>
        <w:t>include</w:t>
      </w:r>
      <w:r>
        <w:rPr>
          <w:spacing w:val="40"/>
        </w:rPr>
        <w:t> </w:t>
      </w:r>
      <w:r>
        <w:rPr/>
        <w:t>such</w:t>
      </w:r>
      <w:r>
        <w:rPr>
          <w:spacing w:val="40"/>
        </w:rPr>
        <w:t> </w:t>
      </w:r>
      <w:r>
        <w:rPr/>
        <w:t>similar occupations as may be specified by the Commissioner and subject to such</w:t>
      </w:r>
      <w:r>
        <w:rPr>
          <w:spacing w:val="40"/>
        </w:rPr>
        <w:t> </w:t>
      </w:r>
      <w:r>
        <w:rPr/>
        <w:t>terms</w:t>
      </w:r>
      <w:r>
        <w:rPr>
          <w:spacing w:val="40"/>
        </w:rPr>
        <w:t> </w:t>
      </w:r>
      <w:r>
        <w:rPr/>
        <w:t>and</w:t>
      </w:r>
      <w:r>
        <w:rPr>
          <w:spacing w:val="40"/>
        </w:rPr>
        <w:t> </w:t>
      </w:r>
      <w:r>
        <w:rPr/>
        <w:t>conditions</w:t>
      </w:r>
      <w:r>
        <w:rPr>
          <w:spacing w:val="40"/>
        </w:rPr>
        <w:t> </w:t>
      </w:r>
      <w:r>
        <w:rPr/>
        <w:t>as</w:t>
      </w:r>
      <w:r>
        <w:rPr>
          <w:spacing w:val="40"/>
        </w:rPr>
        <w:t> </w:t>
      </w:r>
      <w:r>
        <w:rPr/>
        <w:t>may</w:t>
      </w:r>
      <w:r>
        <w:rPr>
          <w:spacing w:val="40"/>
        </w:rPr>
        <w:t> </w:t>
      </w:r>
      <w:r>
        <w:rPr/>
        <w:t>be</w:t>
      </w:r>
      <w:r>
        <w:rPr>
          <w:spacing w:val="40"/>
        </w:rPr>
        <w:t> </w:t>
      </w:r>
      <w:r>
        <w:rPr>
          <w:spacing w:val="9"/>
        </w:rPr>
        <w:t>prescribed.</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93" w:hanging="711"/>
        <w:jc w:val="both"/>
        <w:rPr>
          <w:sz w:val="24"/>
        </w:rPr>
      </w:pPr>
      <w:r>
        <w:rPr>
          <w:sz w:val="24"/>
        </w:rPr>
        <w:t>Information</w:t>
      </w:r>
      <w:r>
        <w:rPr>
          <w:spacing w:val="80"/>
          <w:sz w:val="24"/>
        </w:rPr>
        <w:t> </w:t>
      </w:r>
      <w:r>
        <w:rPr>
          <w:sz w:val="24"/>
        </w:rPr>
        <w:t>Technology</w:t>
      </w:r>
      <w:r>
        <w:rPr>
          <w:spacing w:val="80"/>
          <w:sz w:val="24"/>
        </w:rPr>
        <w:t> </w:t>
      </w:r>
      <w:r>
        <w:rPr>
          <w:sz w:val="24"/>
        </w:rPr>
        <w:t>Establishment</w:t>
      </w:r>
      <w:r>
        <w:rPr>
          <w:spacing w:val="80"/>
          <w:sz w:val="24"/>
        </w:rPr>
        <w:t> </w:t>
      </w:r>
      <w:r>
        <w:rPr>
          <w:sz w:val="24"/>
        </w:rPr>
        <w:t>means</w:t>
      </w:r>
      <w:r>
        <w:rPr>
          <w:spacing w:val="80"/>
          <w:sz w:val="24"/>
        </w:rPr>
        <w:t> </w:t>
      </w:r>
      <w:r>
        <w:rPr>
          <w:sz w:val="24"/>
        </w:rPr>
        <w:t>an</w:t>
      </w:r>
      <w:r>
        <w:rPr>
          <w:spacing w:val="80"/>
          <w:sz w:val="24"/>
        </w:rPr>
        <w:t> </w:t>
      </w:r>
      <w:r>
        <w:rPr>
          <w:sz w:val="24"/>
        </w:rPr>
        <w:t>establishment which</w:t>
      </w:r>
      <w:r>
        <w:rPr>
          <w:spacing w:val="80"/>
          <w:sz w:val="24"/>
        </w:rPr>
        <w:t> </w:t>
      </w:r>
      <w:r>
        <w:rPr>
          <w:sz w:val="24"/>
        </w:rPr>
        <w:t>is</w:t>
      </w:r>
      <w:r>
        <w:rPr>
          <w:spacing w:val="80"/>
          <w:sz w:val="24"/>
        </w:rPr>
        <w:t> </w:t>
      </w:r>
      <w:r>
        <w:rPr>
          <w:sz w:val="24"/>
        </w:rPr>
        <w:t>in</w:t>
      </w:r>
      <w:r>
        <w:rPr>
          <w:spacing w:val="80"/>
          <w:sz w:val="24"/>
        </w:rPr>
        <w:t> </w:t>
      </w:r>
      <w:r>
        <w:rPr>
          <w:sz w:val="24"/>
        </w:rPr>
        <w:t>the</w:t>
      </w:r>
      <w:r>
        <w:rPr>
          <w:spacing w:val="80"/>
          <w:sz w:val="24"/>
        </w:rPr>
        <w:t> </w:t>
      </w:r>
      <w:r>
        <w:rPr>
          <w:sz w:val="24"/>
        </w:rPr>
        <w:t>business</w:t>
      </w:r>
      <w:r>
        <w:rPr>
          <w:spacing w:val="80"/>
          <w:sz w:val="24"/>
        </w:rPr>
        <w:t> </w:t>
      </w:r>
      <w:r>
        <w:rPr>
          <w:sz w:val="24"/>
        </w:rPr>
        <w:t>of</w:t>
      </w:r>
      <w:r>
        <w:rPr>
          <w:spacing w:val="80"/>
          <w:sz w:val="24"/>
        </w:rPr>
        <w:t> </w:t>
      </w:r>
      <w:r>
        <w:rPr>
          <w:sz w:val="24"/>
        </w:rPr>
        <w:t>developing</w:t>
      </w:r>
      <w:r>
        <w:rPr>
          <w:spacing w:val="80"/>
          <w:sz w:val="24"/>
        </w:rPr>
        <w:t> </w:t>
      </w:r>
      <w:r>
        <w:rPr>
          <w:sz w:val="24"/>
        </w:rPr>
        <w:t>either</w:t>
      </w:r>
      <w:r>
        <w:rPr>
          <w:spacing w:val="80"/>
          <w:sz w:val="24"/>
        </w:rPr>
        <w:t> </w:t>
      </w:r>
      <w:r>
        <w:rPr>
          <w:sz w:val="24"/>
        </w:rPr>
        <w:t>software</w:t>
      </w:r>
      <w:r>
        <w:rPr>
          <w:spacing w:val="80"/>
          <w:sz w:val="24"/>
        </w:rPr>
        <w:t> </w:t>
      </w:r>
      <w:r>
        <w:rPr>
          <w:sz w:val="24"/>
        </w:rPr>
        <w:t>or</w:t>
      </w:r>
      <w:r>
        <w:rPr>
          <w:spacing w:val="80"/>
          <w:sz w:val="24"/>
        </w:rPr>
        <w:t> </w:t>
      </w:r>
      <w:r>
        <w:rPr>
          <w:sz w:val="24"/>
        </w:rPr>
        <w:t>hardware or</w:t>
      </w:r>
      <w:r>
        <w:rPr>
          <w:spacing w:val="40"/>
          <w:sz w:val="24"/>
        </w:rPr>
        <w:t> </w:t>
      </w:r>
      <w:r>
        <w:rPr>
          <w:sz w:val="24"/>
        </w:rPr>
        <w:t>providing</w:t>
      </w:r>
      <w:r>
        <w:rPr>
          <w:spacing w:val="40"/>
          <w:sz w:val="24"/>
        </w:rPr>
        <w:t> </w:t>
      </w:r>
      <w:r>
        <w:rPr>
          <w:sz w:val="24"/>
        </w:rPr>
        <w:t>IT</w:t>
      </w:r>
      <w:r>
        <w:rPr>
          <w:spacing w:val="40"/>
          <w:sz w:val="24"/>
        </w:rPr>
        <w:t> </w:t>
      </w:r>
      <w:r>
        <w:rPr>
          <w:sz w:val="24"/>
        </w:rPr>
        <w:t>Enabled</w:t>
      </w:r>
      <w:r>
        <w:rPr>
          <w:spacing w:val="40"/>
          <w:sz w:val="24"/>
        </w:rPr>
        <w:t> </w:t>
      </w:r>
      <w:r>
        <w:rPr>
          <w:sz w:val="24"/>
        </w:rPr>
        <w:t>services.</w:t>
      </w:r>
    </w:p>
    <w:p>
      <w:pPr>
        <w:pStyle w:val="BodyText"/>
        <w:jc w:val="left"/>
      </w:pPr>
    </w:p>
    <w:p>
      <w:pPr>
        <w:pStyle w:val="BodyText"/>
        <w:spacing w:before="1"/>
        <w:jc w:val="left"/>
      </w:pPr>
    </w:p>
    <w:p>
      <w:pPr>
        <w:pStyle w:val="ListParagraph"/>
        <w:numPr>
          <w:ilvl w:val="0"/>
          <w:numId w:val="6"/>
        </w:numPr>
        <w:tabs>
          <w:tab w:pos="1520" w:val="left" w:leader="none"/>
          <w:tab w:pos="1766" w:val="left" w:leader="none"/>
        </w:tabs>
        <w:spacing w:line="240" w:lineRule="auto" w:before="0" w:after="0"/>
        <w:ind w:left="1766" w:right="786" w:hanging="723"/>
        <w:jc w:val="both"/>
        <w:rPr>
          <w:sz w:val="22"/>
        </w:rPr>
      </w:pPr>
      <w:r>
        <w:rPr>
          <w:sz w:val="24"/>
        </w:rPr>
        <w:t>“Ledge”</w:t>
      </w:r>
      <w:r>
        <w:rPr>
          <w:spacing w:val="40"/>
          <w:sz w:val="24"/>
        </w:rPr>
        <w:t> </w:t>
      </w:r>
      <w:r>
        <w:rPr>
          <w:sz w:val="24"/>
        </w:rPr>
        <w:t>or</w:t>
      </w:r>
      <w:r>
        <w:rPr>
          <w:spacing w:val="40"/>
          <w:sz w:val="24"/>
        </w:rPr>
        <w:t> </w:t>
      </w:r>
      <w:r>
        <w:rPr>
          <w:sz w:val="24"/>
        </w:rPr>
        <w:t>“Tand”</w:t>
      </w:r>
      <w:r>
        <w:rPr>
          <w:spacing w:val="40"/>
          <w:sz w:val="24"/>
        </w:rPr>
        <w:t> </w:t>
      </w:r>
      <w:r>
        <w:rPr>
          <w:sz w:val="24"/>
        </w:rPr>
        <w:t>means</w:t>
      </w:r>
      <w:r>
        <w:rPr>
          <w:spacing w:val="40"/>
          <w:sz w:val="24"/>
        </w:rPr>
        <w:t> </w:t>
      </w:r>
      <w:r>
        <w:rPr>
          <w:sz w:val="24"/>
        </w:rPr>
        <w:t>a</w:t>
      </w:r>
      <w:r>
        <w:rPr>
          <w:spacing w:val="9"/>
          <w:sz w:val="24"/>
        </w:rPr>
        <w:t> shelf- </w:t>
      </w:r>
      <w:r>
        <w:rPr>
          <w:sz w:val="24"/>
        </w:rPr>
        <w:t>like</w:t>
      </w:r>
      <w:r>
        <w:rPr>
          <w:spacing w:val="40"/>
          <w:sz w:val="24"/>
        </w:rPr>
        <w:t> </w:t>
      </w:r>
      <w:r>
        <w:rPr>
          <w:sz w:val="24"/>
        </w:rPr>
        <w:t>projection</w:t>
      </w:r>
      <w:r>
        <w:rPr>
          <w:spacing w:val="40"/>
          <w:sz w:val="24"/>
        </w:rPr>
        <w:t> </w:t>
      </w:r>
      <w:r>
        <w:rPr>
          <w:sz w:val="24"/>
        </w:rPr>
        <w:t>supported</w:t>
      </w:r>
      <w:r>
        <w:rPr>
          <w:spacing w:val="40"/>
          <w:sz w:val="24"/>
        </w:rPr>
        <w:t> </w:t>
      </w:r>
      <w:r>
        <w:rPr>
          <w:sz w:val="24"/>
        </w:rPr>
        <w:t>in</w:t>
      </w:r>
      <w:r>
        <w:rPr>
          <w:spacing w:val="40"/>
          <w:sz w:val="24"/>
        </w:rPr>
        <w:t> </w:t>
      </w:r>
      <w:r>
        <w:rPr>
          <w:sz w:val="24"/>
        </w:rPr>
        <w:t>any manner,</w:t>
      </w:r>
      <w:r>
        <w:rPr>
          <w:spacing w:val="40"/>
          <w:sz w:val="24"/>
        </w:rPr>
        <w:t> </w:t>
      </w:r>
      <w:r>
        <w:rPr>
          <w:sz w:val="24"/>
        </w:rPr>
        <w:t>except</w:t>
      </w:r>
      <w:r>
        <w:rPr>
          <w:spacing w:val="40"/>
          <w:sz w:val="24"/>
        </w:rPr>
        <w:t> </w:t>
      </w:r>
      <w:r>
        <w:rPr>
          <w:sz w:val="24"/>
        </w:rPr>
        <w:t>by</w:t>
      </w:r>
      <w:r>
        <w:rPr>
          <w:spacing w:val="40"/>
          <w:sz w:val="24"/>
        </w:rPr>
        <w:t> </w:t>
      </w:r>
      <w:r>
        <w:rPr>
          <w:sz w:val="24"/>
        </w:rPr>
        <w:t>vertical</w:t>
      </w:r>
      <w:r>
        <w:rPr>
          <w:spacing w:val="40"/>
          <w:sz w:val="24"/>
        </w:rPr>
        <w:t> </w:t>
      </w:r>
      <w:r>
        <w:rPr>
          <w:sz w:val="24"/>
        </w:rPr>
        <w:t>supports,</w:t>
      </w:r>
      <w:r>
        <w:rPr>
          <w:spacing w:val="40"/>
          <w:sz w:val="24"/>
        </w:rPr>
        <w:t> </w:t>
      </w:r>
      <w:r>
        <w:rPr>
          <w:sz w:val="24"/>
        </w:rPr>
        <w:t>within</w:t>
      </w:r>
      <w:r>
        <w:rPr>
          <w:spacing w:val="40"/>
          <w:sz w:val="24"/>
        </w:rPr>
        <w:t> </w:t>
      </w:r>
      <w:r>
        <w:rPr>
          <w:sz w:val="24"/>
        </w:rPr>
        <w:t>a</w:t>
      </w:r>
      <w:r>
        <w:rPr>
          <w:spacing w:val="40"/>
          <w:sz w:val="24"/>
        </w:rPr>
        <w:t> </w:t>
      </w:r>
      <w:r>
        <w:rPr>
          <w:sz w:val="24"/>
        </w:rPr>
        <w:t>room</w:t>
      </w:r>
      <w:r>
        <w:rPr>
          <w:spacing w:val="40"/>
          <w:sz w:val="24"/>
        </w:rPr>
        <w:t> </w:t>
      </w:r>
      <w:r>
        <w:rPr>
          <w:sz w:val="24"/>
        </w:rPr>
        <w:t>itself</w:t>
      </w:r>
      <w:r>
        <w:rPr>
          <w:spacing w:val="40"/>
          <w:sz w:val="24"/>
        </w:rPr>
        <w:t> </w:t>
      </w:r>
      <w:r>
        <w:rPr>
          <w:sz w:val="24"/>
        </w:rPr>
        <w:t>but</w:t>
      </w:r>
      <w:r>
        <w:rPr>
          <w:spacing w:val="40"/>
          <w:sz w:val="24"/>
        </w:rPr>
        <w:t> </w:t>
      </w:r>
      <w:r>
        <w:rPr>
          <w:sz w:val="24"/>
        </w:rPr>
        <w:t>without a</w:t>
      </w:r>
      <w:r>
        <w:rPr>
          <w:spacing w:val="40"/>
          <w:sz w:val="24"/>
        </w:rPr>
        <w:t> </w:t>
      </w:r>
      <w:r>
        <w:rPr>
          <w:sz w:val="24"/>
        </w:rPr>
        <w:t>projection</w:t>
      </w:r>
      <w:r>
        <w:rPr>
          <w:spacing w:val="40"/>
          <w:sz w:val="24"/>
        </w:rPr>
        <w:t> </w:t>
      </w:r>
      <w:r>
        <w:rPr>
          <w:sz w:val="24"/>
        </w:rPr>
        <w:t>of</w:t>
      </w:r>
      <w:r>
        <w:rPr>
          <w:spacing w:val="40"/>
          <w:sz w:val="24"/>
        </w:rPr>
        <w:t> </w:t>
      </w:r>
      <w:r>
        <w:rPr>
          <w:sz w:val="24"/>
        </w:rPr>
        <w:t>more</w:t>
      </w:r>
      <w:r>
        <w:rPr>
          <w:spacing w:val="40"/>
          <w:sz w:val="24"/>
        </w:rPr>
        <w:t> </w:t>
      </w:r>
      <w:r>
        <w:rPr>
          <w:sz w:val="24"/>
        </w:rPr>
        <w:t>than</w:t>
      </w:r>
      <w:r>
        <w:rPr>
          <w:spacing w:val="40"/>
          <w:sz w:val="24"/>
        </w:rPr>
        <w:t> </w:t>
      </w:r>
      <w:r>
        <w:rPr>
          <w:sz w:val="24"/>
        </w:rPr>
        <w:t>half</w:t>
      </w:r>
      <w:r>
        <w:rPr>
          <w:spacing w:val="40"/>
          <w:sz w:val="24"/>
        </w:rPr>
        <w:t> </w:t>
      </w:r>
      <w:r>
        <w:rPr>
          <w:sz w:val="24"/>
        </w:rPr>
        <w:t>a</w:t>
      </w:r>
      <w:r>
        <w:rPr>
          <w:spacing w:val="40"/>
          <w:sz w:val="24"/>
        </w:rPr>
        <w:t> </w:t>
      </w:r>
      <w:r>
        <w:rPr>
          <w:sz w:val="24"/>
        </w:rPr>
        <w:t>meter.</w:t>
      </w:r>
    </w:p>
    <w:p>
      <w:pPr>
        <w:pStyle w:val="ListParagraph"/>
        <w:numPr>
          <w:ilvl w:val="0"/>
          <w:numId w:val="6"/>
        </w:numPr>
        <w:tabs>
          <w:tab w:pos="1762" w:val="left" w:leader="none"/>
          <w:tab w:pos="1766" w:val="left" w:leader="none"/>
        </w:tabs>
        <w:spacing w:line="240" w:lineRule="auto" w:before="280" w:after="0"/>
        <w:ind w:left="1766" w:right="775" w:hanging="711"/>
        <w:jc w:val="both"/>
        <w:rPr>
          <w:sz w:val="24"/>
        </w:rPr>
      </w:pPr>
      <w:r>
        <w:rPr>
          <w:sz w:val="24"/>
        </w:rPr>
        <w:t>"Licensed </w:t>
      </w:r>
      <w:r>
        <w:rPr>
          <w:spacing w:val="9"/>
          <w:sz w:val="24"/>
        </w:rPr>
        <w:t>Surveyor/Engineer/Structural</w:t>
      </w:r>
      <w:r>
        <w:rPr>
          <w:spacing w:val="9"/>
          <w:sz w:val="24"/>
        </w:rPr>
        <w:t> Engineer/Supervisor" </w:t>
      </w:r>
      <w:r>
        <w:rPr>
          <w:sz w:val="24"/>
        </w:rPr>
        <w:t>means</w:t>
      </w:r>
      <w:r>
        <w:rPr>
          <w:spacing w:val="40"/>
          <w:sz w:val="24"/>
        </w:rPr>
        <w:t> </w:t>
      </w:r>
      <w:r>
        <w:rPr>
          <w:sz w:val="24"/>
        </w:rPr>
        <w:t>a</w:t>
      </w:r>
      <w:r>
        <w:rPr>
          <w:spacing w:val="40"/>
          <w:sz w:val="24"/>
        </w:rPr>
        <w:t> </w:t>
      </w:r>
      <w:r>
        <w:rPr>
          <w:sz w:val="24"/>
        </w:rPr>
        <w:t>qualified</w:t>
      </w:r>
      <w:r>
        <w:rPr>
          <w:spacing w:val="40"/>
          <w:sz w:val="24"/>
        </w:rPr>
        <w:t> </w:t>
      </w:r>
      <w:r>
        <w:rPr>
          <w:sz w:val="24"/>
        </w:rPr>
        <w:t>surveyor,</w:t>
      </w:r>
      <w:r>
        <w:rPr>
          <w:spacing w:val="40"/>
          <w:sz w:val="24"/>
        </w:rPr>
        <w:t> </w:t>
      </w:r>
      <w:r>
        <w:rPr>
          <w:sz w:val="24"/>
        </w:rPr>
        <w:t>engineer,</w:t>
      </w:r>
      <w:r>
        <w:rPr>
          <w:spacing w:val="40"/>
          <w:sz w:val="24"/>
        </w:rPr>
        <w:t> </w:t>
      </w:r>
      <w:r>
        <w:rPr>
          <w:sz w:val="24"/>
        </w:rPr>
        <w:t>structural</w:t>
      </w:r>
      <w:r>
        <w:rPr>
          <w:spacing w:val="40"/>
          <w:sz w:val="24"/>
        </w:rPr>
        <w:t> </w:t>
      </w:r>
      <w:r>
        <w:rPr>
          <w:sz w:val="24"/>
        </w:rPr>
        <w:t>engineer</w:t>
      </w:r>
      <w:r>
        <w:rPr>
          <w:spacing w:val="40"/>
          <w:sz w:val="24"/>
        </w:rPr>
        <w:t> </w:t>
      </w:r>
      <w:r>
        <w:rPr>
          <w:sz w:val="24"/>
        </w:rPr>
        <w:t>or supervisor,</w:t>
      </w:r>
      <w:r>
        <w:rPr>
          <w:spacing w:val="40"/>
          <w:sz w:val="24"/>
        </w:rPr>
        <w:t> </w:t>
      </w:r>
      <w:r>
        <w:rPr>
          <w:sz w:val="24"/>
        </w:rPr>
        <w:t>licensed</w:t>
      </w:r>
      <w:r>
        <w:rPr>
          <w:spacing w:val="40"/>
          <w:sz w:val="24"/>
        </w:rPr>
        <w:t> </w:t>
      </w:r>
      <w:r>
        <w:rPr>
          <w:sz w:val="24"/>
        </w:rPr>
        <w:t>by</w:t>
      </w:r>
      <w:r>
        <w:rPr>
          <w:spacing w:val="40"/>
          <w:sz w:val="24"/>
        </w:rPr>
        <w:t> </w:t>
      </w:r>
      <w:r>
        <w:rPr>
          <w:sz w:val="24"/>
        </w:rPr>
        <w:t>the</w:t>
      </w:r>
      <w:r>
        <w:rPr>
          <w:spacing w:val="40"/>
          <w:sz w:val="24"/>
        </w:rPr>
        <w:t> </w:t>
      </w:r>
      <w:r>
        <w:rPr>
          <w:spacing w:val="9"/>
          <w:sz w:val="24"/>
        </w:rPr>
        <w:t>Commissioner.</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77" w:hanging="711"/>
        <w:jc w:val="both"/>
        <w:rPr>
          <w:sz w:val="24"/>
        </w:rPr>
      </w:pPr>
      <w:r>
        <w:rPr>
          <w:sz w:val="24"/>
        </w:rPr>
        <w:t>"Lift</w:t>
      </w:r>
      <w:r>
        <w:rPr>
          <w:spacing w:val="40"/>
          <w:sz w:val="24"/>
        </w:rPr>
        <w:t> </w:t>
      </w:r>
      <w:r>
        <w:rPr>
          <w:sz w:val="24"/>
        </w:rPr>
        <w:t>or</w:t>
      </w:r>
      <w:r>
        <w:rPr>
          <w:spacing w:val="40"/>
          <w:sz w:val="24"/>
        </w:rPr>
        <w:t> </w:t>
      </w:r>
      <w:r>
        <w:rPr>
          <w:sz w:val="24"/>
        </w:rPr>
        <w:t>Elevator"</w:t>
      </w:r>
      <w:r>
        <w:rPr>
          <w:spacing w:val="40"/>
          <w:sz w:val="24"/>
        </w:rPr>
        <w:t> </w:t>
      </w:r>
      <w:r>
        <w:rPr>
          <w:sz w:val="24"/>
        </w:rPr>
        <w:t>means</w:t>
      </w:r>
      <w:r>
        <w:rPr>
          <w:spacing w:val="40"/>
          <w:sz w:val="24"/>
        </w:rPr>
        <w:t> </w:t>
      </w:r>
      <w:r>
        <w:rPr>
          <w:sz w:val="24"/>
        </w:rPr>
        <w:t>an</w:t>
      </w:r>
      <w:r>
        <w:rPr>
          <w:spacing w:val="40"/>
          <w:sz w:val="24"/>
        </w:rPr>
        <w:t> </w:t>
      </w:r>
      <w:r>
        <w:rPr>
          <w:sz w:val="24"/>
        </w:rPr>
        <w:t>appliance</w:t>
      </w:r>
      <w:r>
        <w:rPr>
          <w:spacing w:val="40"/>
          <w:sz w:val="24"/>
        </w:rPr>
        <w:t> </w:t>
      </w:r>
      <w:r>
        <w:rPr>
          <w:sz w:val="24"/>
        </w:rPr>
        <w:t>designed</w:t>
      </w:r>
      <w:r>
        <w:rPr>
          <w:spacing w:val="40"/>
          <w:sz w:val="24"/>
        </w:rPr>
        <w:t> </w:t>
      </w:r>
      <w:r>
        <w:rPr>
          <w:sz w:val="24"/>
        </w:rPr>
        <w:t>to</w:t>
      </w:r>
      <w:r>
        <w:rPr>
          <w:spacing w:val="40"/>
          <w:sz w:val="24"/>
        </w:rPr>
        <w:t> </w:t>
      </w:r>
      <w:r>
        <w:rPr>
          <w:sz w:val="24"/>
        </w:rPr>
        <w:t>transport</w:t>
      </w:r>
      <w:r>
        <w:rPr>
          <w:spacing w:val="40"/>
          <w:sz w:val="24"/>
        </w:rPr>
        <w:t> </w:t>
      </w:r>
      <w:r>
        <w:rPr>
          <w:sz w:val="24"/>
        </w:rPr>
        <w:t>persons and</w:t>
      </w:r>
      <w:r>
        <w:rPr>
          <w:spacing w:val="40"/>
          <w:sz w:val="24"/>
        </w:rPr>
        <w:t> </w:t>
      </w:r>
      <w:r>
        <w:rPr>
          <w:sz w:val="24"/>
        </w:rPr>
        <w:t>materials</w:t>
      </w:r>
      <w:r>
        <w:rPr>
          <w:spacing w:val="40"/>
          <w:sz w:val="24"/>
        </w:rPr>
        <w:t> </w:t>
      </w:r>
      <w:r>
        <w:rPr>
          <w:sz w:val="24"/>
        </w:rPr>
        <w:t>between</w:t>
      </w:r>
      <w:r>
        <w:rPr>
          <w:spacing w:val="40"/>
          <w:sz w:val="24"/>
        </w:rPr>
        <w:t> </w:t>
      </w:r>
      <w:r>
        <w:rPr>
          <w:sz w:val="24"/>
        </w:rPr>
        <w:t>two</w:t>
      </w:r>
      <w:r>
        <w:rPr>
          <w:spacing w:val="40"/>
          <w:sz w:val="24"/>
        </w:rPr>
        <w:t> </w:t>
      </w:r>
      <w:r>
        <w:rPr>
          <w:sz w:val="24"/>
        </w:rPr>
        <w:t>or</w:t>
      </w:r>
      <w:r>
        <w:rPr>
          <w:spacing w:val="40"/>
          <w:sz w:val="24"/>
        </w:rPr>
        <w:t> </w:t>
      </w:r>
      <w:r>
        <w:rPr>
          <w:sz w:val="24"/>
        </w:rPr>
        <w:t>more</w:t>
      </w:r>
      <w:r>
        <w:rPr>
          <w:spacing w:val="40"/>
          <w:sz w:val="24"/>
        </w:rPr>
        <w:t> </w:t>
      </w:r>
      <w:r>
        <w:rPr>
          <w:sz w:val="24"/>
        </w:rPr>
        <w:t>levels</w:t>
      </w:r>
      <w:r>
        <w:rPr>
          <w:spacing w:val="40"/>
          <w:sz w:val="24"/>
        </w:rPr>
        <w:t> </w:t>
      </w:r>
      <w:r>
        <w:rPr>
          <w:sz w:val="24"/>
        </w:rPr>
        <w:t>in</w:t>
      </w:r>
      <w:r>
        <w:rPr>
          <w:spacing w:val="40"/>
          <w:sz w:val="24"/>
        </w:rPr>
        <w:t> </w:t>
      </w:r>
      <w:r>
        <w:rPr>
          <w:sz w:val="24"/>
        </w:rPr>
        <w:t>a</w:t>
      </w:r>
      <w:r>
        <w:rPr>
          <w:spacing w:val="40"/>
          <w:sz w:val="24"/>
        </w:rPr>
        <w:t> </w:t>
      </w:r>
      <w:r>
        <w:rPr>
          <w:sz w:val="24"/>
        </w:rPr>
        <w:t>vertical</w:t>
      </w:r>
      <w:r>
        <w:rPr>
          <w:spacing w:val="40"/>
          <w:sz w:val="24"/>
        </w:rPr>
        <w:t> </w:t>
      </w:r>
      <w:r>
        <w:rPr>
          <w:sz w:val="24"/>
        </w:rPr>
        <w:t>or</w:t>
      </w:r>
      <w:r>
        <w:rPr>
          <w:spacing w:val="80"/>
          <w:sz w:val="24"/>
        </w:rPr>
        <w:t> </w:t>
      </w:r>
      <w:r>
        <w:rPr>
          <w:sz w:val="24"/>
        </w:rPr>
        <w:t>substantially</w:t>
      </w:r>
      <w:r>
        <w:rPr>
          <w:spacing w:val="40"/>
          <w:sz w:val="24"/>
        </w:rPr>
        <w:t> </w:t>
      </w:r>
      <w:r>
        <w:rPr>
          <w:sz w:val="24"/>
        </w:rPr>
        <w:t>vertical</w:t>
      </w:r>
      <w:r>
        <w:rPr>
          <w:spacing w:val="40"/>
          <w:sz w:val="24"/>
        </w:rPr>
        <w:t> </w:t>
      </w:r>
      <w:r>
        <w:rPr>
          <w:sz w:val="24"/>
        </w:rPr>
        <w:t>direction</w:t>
      </w:r>
      <w:r>
        <w:rPr>
          <w:spacing w:val="40"/>
          <w:sz w:val="24"/>
        </w:rPr>
        <w:t> </w:t>
      </w:r>
      <w:r>
        <w:rPr>
          <w:sz w:val="24"/>
        </w:rPr>
        <w:t>by</w:t>
      </w:r>
      <w:r>
        <w:rPr>
          <w:spacing w:val="40"/>
          <w:sz w:val="24"/>
        </w:rPr>
        <w:t> </w:t>
      </w:r>
      <w:r>
        <w:rPr>
          <w:sz w:val="24"/>
        </w:rPr>
        <w:t>means</w:t>
      </w:r>
      <w:r>
        <w:rPr>
          <w:spacing w:val="40"/>
          <w:sz w:val="24"/>
        </w:rPr>
        <w:t> </w:t>
      </w:r>
      <w:r>
        <w:rPr>
          <w:sz w:val="24"/>
        </w:rPr>
        <w:t>of</w:t>
      </w:r>
      <w:r>
        <w:rPr>
          <w:spacing w:val="40"/>
          <w:sz w:val="24"/>
        </w:rPr>
        <w:t> </w:t>
      </w:r>
      <w:r>
        <w:rPr>
          <w:sz w:val="24"/>
        </w:rPr>
        <w:t>guided</w:t>
      </w:r>
      <w:r>
        <w:rPr>
          <w:spacing w:val="40"/>
          <w:sz w:val="24"/>
        </w:rPr>
        <w:t> </w:t>
      </w:r>
      <w:r>
        <w:rPr>
          <w:sz w:val="24"/>
        </w:rPr>
        <w:t>car</w:t>
      </w:r>
      <w:r>
        <w:rPr>
          <w:spacing w:val="40"/>
          <w:sz w:val="24"/>
        </w:rPr>
        <w:t> </w:t>
      </w:r>
      <w:r>
        <w:rPr>
          <w:sz w:val="24"/>
        </w:rPr>
        <w:t>or</w:t>
      </w:r>
      <w:r>
        <w:rPr>
          <w:spacing w:val="40"/>
          <w:sz w:val="24"/>
        </w:rPr>
        <w:t> </w:t>
      </w:r>
      <w:r>
        <w:rPr>
          <w:spacing w:val="9"/>
          <w:sz w:val="24"/>
        </w:rPr>
        <w:t>platform</w:t>
      </w:r>
      <w:r>
        <w:rPr>
          <w:spacing w:val="40"/>
          <w:sz w:val="24"/>
        </w:rPr>
        <w:t> </w:t>
      </w:r>
      <w:r>
        <w:rPr>
          <w:spacing w:val="-4"/>
          <w:sz w:val="24"/>
        </w:rPr>
        <w:t>etc.</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86" w:hanging="711"/>
        <w:jc w:val="both"/>
        <w:rPr>
          <w:sz w:val="24"/>
        </w:rPr>
      </w:pPr>
      <w:r>
        <w:rPr>
          <w:sz w:val="24"/>
        </w:rPr>
        <w:t>"Loft"</w:t>
      </w:r>
      <w:r>
        <w:rPr>
          <w:spacing w:val="80"/>
          <w:sz w:val="24"/>
        </w:rPr>
        <w:t> </w:t>
      </w:r>
      <w:r>
        <w:rPr>
          <w:sz w:val="24"/>
        </w:rPr>
        <w:t>means</w:t>
      </w:r>
      <w:r>
        <w:rPr>
          <w:spacing w:val="80"/>
          <w:sz w:val="24"/>
        </w:rPr>
        <w:t> </w:t>
      </w:r>
      <w:r>
        <w:rPr>
          <w:sz w:val="24"/>
        </w:rPr>
        <w:t>a</w:t>
      </w:r>
      <w:r>
        <w:rPr>
          <w:spacing w:val="40"/>
          <w:sz w:val="24"/>
        </w:rPr>
        <w:t> </w:t>
      </w:r>
      <w:r>
        <w:rPr>
          <w:sz w:val="24"/>
        </w:rPr>
        <w:t>structure</w:t>
      </w:r>
      <w:r>
        <w:rPr>
          <w:spacing w:val="80"/>
          <w:sz w:val="24"/>
        </w:rPr>
        <w:t> </w:t>
      </w:r>
      <w:r>
        <w:rPr>
          <w:sz w:val="24"/>
        </w:rPr>
        <w:t>providing</w:t>
      </w:r>
      <w:r>
        <w:rPr>
          <w:spacing w:val="80"/>
          <w:sz w:val="24"/>
        </w:rPr>
        <w:t> </w:t>
      </w:r>
      <w:r>
        <w:rPr>
          <w:spacing w:val="9"/>
          <w:sz w:val="24"/>
        </w:rPr>
        <w:t>intermediate</w:t>
      </w:r>
      <w:r>
        <w:rPr>
          <w:spacing w:val="40"/>
          <w:sz w:val="24"/>
        </w:rPr>
        <w:t> </w:t>
      </w:r>
      <w:r>
        <w:rPr>
          <w:sz w:val="24"/>
        </w:rPr>
        <w:t>space</w:t>
      </w:r>
      <w:r>
        <w:rPr>
          <w:spacing w:val="80"/>
          <w:sz w:val="24"/>
        </w:rPr>
        <w:t> </w:t>
      </w:r>
      <w:r>
        <w:rPr>
          <w:sz w:val="24"/>
        </w:rPr>
        <w:t>in</w:t>
      </w:r>
      <w:r>
        <w:rPr>
          <w:spacing w:val="40"/>
          <w:sz w:val="24"/>
        </w:rPr>
        <w:t> </w:t>
      </w:r>
      <w:r>
        <w:rPr>
          <w:sz w:val="24"/>
        </w:rPr>
        <w:t>between two</w:t>
      </w:r>
      <w:r>
        <w:rPr>
          <w:spacing w:val="40"/>
          <w:sz w:val="24"/>
        </w:rPr>
        <w:t> </w:t>
      </w:r>
      <w:r>
        <w:rPr>
          <w:sz w:val="24"/>
        </w:rPr>
        <w:t>floors</w:t>
      </w:r>
      <w:r>
        <w:rPr>
          <w:spacing w:val="40"/>
          <w:sz w:val="24"/>
        </w:rPr>
        <w:t> </w:t>
      </w:r>
      <w:r>
        <w:rPr>
          <w:sz w:val="24"/>
        </w:rPr>
        <w:t>with</w:t>
      </w:r>
      <w:r>
        <w:rPr>
          <w:spacing w:val="40"/>
          <w:sz w:val="24"/>
        </w:rPr>
        <w:t> </w:t>
      </w:r>
      <w:r>
        <w:rPr>
          <w:sz w:val="24"/>
        </w:rPr>
        <w:t>maximum</w:t>
      </w:r>
      <w:r>
        <w:rPr>
          <w:spacing w:val="40"/>
          <w:sz w:val="24"/>
        </w:rPr>
        <w:t> </w:t>
      </w:r>
      <w:r>
        <w:rPr>
          <w:sz w:val="24"/>
        </w:rPr>
        <w:t>height</w:t>
      </w:r>
      <w:r>
        <w:rPr>
          <w:spacing w:val="40"/>
          <w:sz w:val="24"/>
        </w:rPr>
        <w:t> </w:t>
      </w:r>
      <w:r>
        <w:rPr>
          <w:sz w:val="24"/>
        </w:rPr>
        <w:t>of</w:t>
      </w:r>
      <w:r>
        <w:rPr>
          <w:spacing w:val="40"/>
          <w:sz w:val="24"/>
        </w:rPr>
        <w:t> </w:t>
      </w:r>
      <w:r>
        <w:rPr>
          <w:sz w:val="24"/>
        </w:rPr>
        <w:t>1.50</w:t>
      </w:r>
      <w:r>
        <w:rPr>
          <w:spacing w:val="80"/>
          <w:sz w:val="24"/>
        </w:rPr>
        <w:t> </w:t>
      </w:r>
      <w:r>
        <w:rPr>
          <w:sz w:val="24"/>
        </w:rPr>
        <w:t>m,</w:t>
      </w:r>
      <w:r>
        <w:rPr>
          <w:spacing w:val="40"/>
          <w:sz w:val="24"/>
        </w:rPr>
        <w:t> </w:t>
      </w:r>
      <w:r>
        <w:rPr>
          <w:sz w:val="24"/>
        </w:rPr>
        <w:t>without</w:t>
      </w:r>
      <w:r>
        <w:rPr>
          <w:spacing w:val="40"/>
          <w:sz w:val="24"/>
        </w:rPr>
        <w:t> </w:t>
      </w:r>
      <w:r>
        <w:rPr>
          <w:sz w:val="24"/>
        </w:rPr>
        <w:t>having</w:t>
      </w:r>
      <w:r>
        <w:rPr>
          <w:spacing w:val="40"/>
          <w:sz w:val="24"/>
        </w:rPr>
        <w:t> </w:t>
      </w:r>
      <w:r>
        <w:rPr>
          <w:sz w:val="24"/>
        </w:rPr>
        <w:t>permanent </w:t>
      </w:r>
      <w:r>
        <w:rPr>
          <w:spacing w:val="9"/>
          <w:sz w:val="24"/>
        </w:rPr>
        <w:t>access.</w:t>
      </w:r>
    </w:p>
    <w:p>
      <w:pPr>
        <w:pStyle w:val="ListParagraph"/>
        <w:numPr>
          <w:ilvl w:val="0"/>
          <w:numId w:val="6"/>
        </w:numPr>
        <w:tabs>
          <w:tab w:pos="1762" w:val="left" w:leader="none"/>
          <w:tab w:pos="1766" w:val="left" w:leader="none"/>
        </w:tabs>
        <w:spacing w:line="240" w:lineRule="auto" w:before="280" w:after="0"/>
        <w:ind w:left="1766" w:right="797" w:hanging="711"/>
        <w:jc w:val="both"/>
        <w:rPr>
          <w:sz w:val="24"/>
        </w:rPr>
      </w:pPr>
      <w:r>
        <w:rPr>
          <w:sz w:val="24"/>
        </w:rPr>
        <w:t>“Mall”</w:t>
      </w:r>
      <w:r>
        <w:rPr>
          <w:spacing w:val="40"/>
          <w:sz w:val="24"/>
        </w:rPr>
        <w:t> </w:t>
      </w:r>
      <w:r>
        <w:rPr>
          <w:sz w:val="24"/>
        </w:rPr>
        <w:t>means</w:t>
      </w:r>
      <w:r>
        <w:rPr>
          <w:spacing w:val="40"/>
          <w:sz w:val="24"/>
        </w:rPr>
        <w:t> </w:t>
      </w:r>
      <w:r>
        <w:rPr>
          <w:sz w:val="24"/>
        </w:rPr>
        <w:t>a</w:t>
      </w:r>
      <w:r>
        <w:rPr>
          <w:spacing w:val="40"/>
          <w:sz w:val="24"/>
        </w:rPr>
        <w:t> </w:t>
      </w:r>
      <w:r>
        <w:rPr>
          <w:sz w:val="24"/>
        </w:rPr>
        <w:t>large</w:t>
      </w:r>
      <w:r>
        <w:rPr>
          <w:spacing w:val="40"/>
          <w:sz w:val="24"/>
        </w:rPr>
        <w:t> </w:t>
      </w:r>
      <w:r>
        <w:rPr>
          <w:sz w:val="24"/>
        </w:rPr>
        <w:t>enclosed</w:t>
      </w:r>
      <w:r>
        <w:rPr>
          <w:spacing w:val="40"/>
          <w:sz w:val="24"/>
        </w:rPr>
        <w:t> </w:t>
      </w:r>
      <w:r>
        <w:rPr>
          <w:sz w:val="24"/>
        </w:rPr>
        <w:t>area</w:t>
      </w:r>
      <w:r>
        <w:rPr>
          <w:spacing w:val="40"/>
          <w:sz w:val="24"/>
        </w:rPr>
        <w:t> </w:t>
      </w:r>
      <w:r>
        <w:rPr>
          <w:sz w:val="24"/>
        </w:rPr>
        <w:t>comprising</w:t>
      </w:r>
      <w:r>
        <w:rPr>
          <w:spacing w:val="40"/>
          <w:sz w:val="24"/>
        </w:rPr>
        <w:t> </w:t>
      </w:r>
      <w:r>
        <w:rPr>
          <w:sz w:val="24"/>
        </w:rPr>
        <w:t>shopping, entertainment,</w:t>
      </w:r>
      <w:r>
        <w:rPr>
          <w:spacing w:val="80"/>
          <w:sz w:val="24"/>
        </w:rPr>
        <w:t> </w:t>
      </w:r>
      <w:r>
        <w:rPr>
          <w:sz w:val="24"/>
        </w:rPr>
        <w:t>eating</w:t>
      </w:r>
      <w:r>
        <w:rPr>
          <w:spacing w:val="80"/>
          <w:sz w:val="24"/>
        </w:rPr>
        <w:t> </w:t>
      </w:r>
      <w:r>
        <w:rPr>
          <w:sz w:val="24"/>
        </w:rPr>
        <w:t>facilities</w:t>
      </w:r>
      <w:r>
        <w:rPr>
          <w:spacing w:val="80"/>
          <w:sz w:val="24"/>
        </w:rPr>
        <w:t> </w:t>
      </w:r>
      <w:r>
        <w:rPr>
          <w:sz w:val="24"/>
        </w:rPr>
        <w:t>and</w:t>
      </w:r>
      <w:r>
        <w:rPr>
          <w:spacing w:val="80"/>
          <w:sz w:val="24"/>
        </w:rPr>
        <w:t> </w:t>
      </w:r>
      <w:r>
        <w:rPr>
          <w:sz w:val="24"/>
        </w:rPr>
        <w:t>facilities</w:t>
      </w:r>
      <w:r>
        <w:rPr>
          <w:spacing w:val="80"/>
          <w:sz w:val="24"/>
        </w:rPr>
        <w:t> </w:t>
      </w:r>
      <w:r>
        <w:rPr>
          <w:sz w:val="24"/>
        </w:rPr>
        <w:t>incidental</w:t>
      </w:r>
      <w:r>
        <w:rPr>
          <w:spacing w:val="80"/>
          <w:sz w:val="24"/>
        </w:rPr>
        <w:t> </w:t>
      </w:r>
      <w:r>
        <w:rPr>
          <w:spacing w:val="9"/>
          <w:sz w:val="24"/>
        </w:rPr>
        <w:t>thereto.</w:t>
      </w:r>
    </w:p>
    <w:p>
      <w:pPr>
        <w:pStyle w:val="BodyText"/>
        <w:spacing w:before="2"/>
        <w:jc w:val="left"/>
      </w:pPr>
    </w:p>
    <w:p>
      <w:pPr>
        <w:pStyle w:val="ListParagraph"/>
        <w:numPr>
          <w:ilvl w:val="0"/>
          <w:numId w:val="6"/>
        </w:numPr>
        <w:tabs>
          <w:tab w:pos="1762" w:val="left" w:leader="none"/>
          <w:tab w:pos="1766" w:val="left" w:leader="none"/>
        </w:tabs>
        <w:spacing w:line="240" w:lineRule="auto" w:before="1" w:after="0"/>
        <w:ind w:left="1766" w:right="777" w:hanging="711"/>
        <w:jc w:val="both"/>
        <w:rPr>
          <w:sz w:val="24"/>
        </w:rPr>
      </w:pPr>
      <w:r>
        <w:rPr>
          <w:sz w:val="24"/>
        </w:rPr>
        <w:t>“Marginal Open Space/Distance” means the minimum distance</w:t>
      </w:r>
      <w:r>
        <w:rPr>
          <w:spacing w:val="40"/>
          <w:sz w:val="24"/>
        </w:rPr>
        <w:t> </w:t>
      </w:r>
      <w:r>
        <w:rPr>
          <w:sz w:val="24"/>
        </w:rPr>
        <w:t>measured</w:t>
      </w:r>
      <w:r>
        <w:rPr>
          <w:spacing w:val="40"/>
          <w:sz w:val="24"/>
        </w:rPr>
        <w:t> </w:t>
      </w:r>
      <w:r>
        <w:rPr>
          <w:sz w:val="24"/>
        </w:rPr>
        <w:t>between</w:t>
      </w:r>
      <w:r>
        <w:rPr>
          <w:spacing w:val="40"/>
          <w:sz w:val="24"/>
        </w:rPr>
        <w:t> </w:t>
      </w:r>
      <w:r>
        <w:rPr>
          <w:sz w:val="24"/>
        </w:rPr>
        <w:t>the</w:t>
      </w:r>
      <w:r>
        <w:rPr>
          <w:spacing w:val="40"/>
          <w:sz w:val="24"/>
        </w:rPr>
        <w:t> </w:t>
      </w:r>
      <w:r>
        <w:rPr>
          <w:sz w:val="24"/>
        </w:rPr>
        <w:t>front,</w:t>
      </w:r>
      <w:r>
        <w:rPr>
          <w:spacing w:val="40"/>
          <w:sz w:val="24"/>
        </w:rPr>
        <w:t> </w:t>
      </w:r>
      <w:r>
        <w:rPr>
          <w:sz w:val="24"/>
        </w:rPr>
        <w:t>rear</w:t>
      </w:r>
      <w:r>
        <w:rPr>
          <w:spacing w:val="40"/>
          <w:sz w:val="24"/>
        </w:rPr>
        <w:t> </w:t>
      </w:r>
      <w:r>
        <w:rPr>
          <w:sz w:val="24"/>
        </w:rPr>
        <w:t>and</w:t>
      </w:r>
      <w:r>
        <w:rPr>
          <w:spacing w:val="40"/>
          <w:sz w:val="24"/>
        </w:rPr>
        <w:t> </w:t>
      </w:r>
      <w:r>
        <w:rPr>
          <w:sz w:val="24"/>
        </w:rPr>
        <w:t>sides</w:t>
      </w:r>
      <w:r>
        <w:rPr>
          <w:spacing w:val="40"/>
          <w:sz w:val="24"/>
        </w:rPr>
        <w:t> </w:t>
      </w:r>
      <w:r>
        <w:rPr>
          <w:sz w:val="24"/>
        </w:rPr>
        <w:t>of</w:t>
      </w:r>
      <w:r>
        <w:rPr>
          <w:spacing w:val="40"/>
          <w:sz w:val="24"/>
        </w:rPr>
        <w:t> </w:t>
      </w:r>
      <w:r>
        <w:rPr>
          <w:sz w:val="24"/>
        </w:rPr>
        <w:t>the</w:t>
      </w:r>
      <w:r>
        <w:rPr>
          <w:spacing w:val="40"/>
          <w:sz w:val="24"/>
        </w:rPr>
        <w:t> </w:t>
      </w:r>
      <w:r>
        <w:rPr>
          <w:sz w:val="24"/>
        </w:rPr>
        <w:t>building</w:t>
      </w:r>
      <w:r>
        <w:rPr>
          <w:spacing w:val="40"/>
          <w:sz w:val="24"/>
        </w:rPr>
        <w:t> </w:t>
      </w:r>
      <w:r>
        <w:rPr>
          <w:sz w:val="24"/>
        </w:rPr>
        <w:t>line</w:t>
      </w:r>
      <w:r>
        <w:rPr>
          <w:spacing w:val="40"/>
          <w:sz w:val="24"/>
        </w:rPr>
        <w:t> </w:t>
      </w:r>
      <w:r>
        <w:rPr>
          <w:sz w:val="24"/>
        </w:rPr>
        <w:t>and the respective plot </w:t>
      </w:r>
      <w:r>
        <w:rPr>
          <w:spacing w:val="9"/>
          <w:sz w:val="24"/>
        </w:rPr>
        <w:t>boundaries</w:t>
      </w:r>
    </w:p>
    <w:p>
      <w:pPr>
        <w:pStyle w:val="ListParagraph"/>
        <w:numPr>
          <w:ilvl w:val="0"/>
          <w:numId w:val="6"/>
        </w:numPr>
        <w:tabs>
          <w:tab w:pos="1609" w:val="left" w:leader="none"/>
          <w:tab w:pos="1766" w:val="left" w:leader="none"/>
        </w:tabs>
        <w:spacing w:line="240" w:lineRule="auto" w:before="281" w:after="0"/>
        <w:ind w:left="1766" w:right="776" w:hanging="711"/>
        <w:jc w:val="both"/>
        <w:rPr>
          <w:sz w:val="24"/>
        </w:rPr>
      </w:pPr>
      <w:r>
        <w:rPr>
          <w:sz w:val="24"/>
        </w:rPr>
        <w:t>“Multiplex/Multiplex Theatre Complex (MTC)” means a place of public entertainment for the purpose of exhibition of motion picture with multiple</w:t>
      </w:r>
      <w:r>
        <w:rPr>
          <w:spacing w:val="40"/>
          <w:sz w:val="24"/>
        </w:rPr>
        <w:t> </w:t>
      </w:r>
      <w:r>
        <w:rPr>
          <w:sz w:val="24"/>
        </w:rPr>
        <w:t>screens</w:t>
      </w:r>
      <w:r>
        <w:rPr>
          <w:spacing w:val="40"/>
          <w:sz w:val="24"/>
        </w:rPr>
        <w:t> </w:t>
      </w:r>
      <w:r>
        <w:rPr>
          <w:sz w:val="24"/>
        </w:rPr>
        <w:t>and</w:t>
      </w:r>
      <w:r>
        <w:rPr>
          <w:spacing w:val="40"/>
          <w:sz w:val="24"/>
        </w:rPr>
        <w:t> </w:t>
      </w:r>
      <w:r>
        <w:rPr>
          <w:sz w:val="24"/>
        </w:rPr>
        <w:t>or</w:t>
      </w:r>
      <w:r>
        <w:rPr>
          <w:spacing w:val="40"/>
          <w:sz w:val="24"/>
        </w:rPr>
        <w:t> </w:t>
      </w:r>
      <w:r>
        <w:rPr>
          <w:sz w:val="24"/>
        </w:rPr>
        <w:t>dramas</w:t>
      </w:r>
      <w:r>
        <w:rPr>
          <w:spacing w:val="40"/>
          <w:sz w:val="24"/>
        </w:rPr>
        <w:t> </w:t>
      </w:r>
      <w:r>
        <w:rPr>
          <w:sz w:val="24"/>
        </w:rPr>
        <w:t>and</w:t>
      </w:r>
      <w:r>
        <w:rPr>
          <w:spacing w:val="40"/>
          <w:sz w:val="24"/>
        </w:rPr>
        <w:t> </w:t>
      </w:r>
      <w:r>
        <w:rPr>
          <w:sz w:val="24"/>
        </w:rPr>
        <w:t>other</w:t>
      </w:r>
      <w:r>
        <w:rPr>
          <w:spacing w:val="40"/>
          <w:sz w:val="24"/>
        </w:rPr>
        <w:t> </w:t>
      </w:r>
      <w:r>
        <w:rPr>
          <w:sz w:val="24"/>
        </w:rPr>
        <w:t>social</w:t>
      </w:r>
      <w:r>
        <w:rPr>
          <w:spacing w:val="40"/>
          <w:sz w:val="24"/>
        </w:rPr>
        <w:t> </w:t>
      </w:r>
      <w:r>
        <w:rPr>
          <w:sz w:val="24"/>
        </w:rPr>
        <w:t>or</w:t>
      </w:r>
      <w:r>
        <w:rPr>
          <w:spacing w:val="40"/>
          <w:sz w:val="24"/>
        </w:rPr>
        <w:t> </w:t>
      </w:r>
      <w:r>
        <w:rPr>
          <w:spacing w:val="9"/>
          <w:sz w:val="24"/>
        </w:rPr>
        <w:t>cultural</w:t>
      </w:r>
      <w:r>
        <w:rPr>
          <w:spacing w:val="80"/>
          <w:sz w:val="24"/>
        </w:rPr>
        <w:t> </w:t>
      </w:r>
      <w:r>
        <w:rPr>
          <w:sz w:val="24"/>
        </w:rPr>
        <w:t>programs</w:t>
      </w:r>
      <w:r>
        <w:rPr>
          <w:spacing w:val="80"/>
          <w:sz w:val="24"/>
        </w:rPr>
        <w:t> </w:t>
      </w:r>
      <w:r>
        <w:rPr>
          <w:sz w:val="24"/>
        </w:rPr>
        <w:t>as</w:t>
      </w:r>
      <w:r>
        <w:rPr>
          <w:spacing w:val="80"/>
          <w:sz w:val="24"/>
        </w:rPr>
        <w:t> </w:t>
      </w:r>
      <w:r>
        <w:rPr>
          <w:sz w:val="24"/>
        </w:rPr>
        <w:t>described</w:t>
      </w:r>
      <w:r>
        <w:rPr>
          <w:spacing w:val="80"/>
          <w:sz w:val="24"/>
        </w:rPr>
        <w:t> </w:t>
      </w:r>
      <w:r>
        <w:rPr>
          <w:sz w:val="24"/>
        </w:rPr>
        <w:t>in</w:t>
      </w:r>
      <w:r>
        <w:rPr>
          <w:spacing w:val="80"/>
          <w:sz w:val="24"/>
        </w:rPr>
        <w:t> </w:t>
      </w:r>
      <w:r>
        <w:rPr>
          <w:sz w:val="24"/>
        </w:rPr>
        <w:t>Bombay</w:t>
      </w:r>
      <w:r>
        <w:rPr>
          <w:spacing w:val="80"/>
          <w:sz w:val="24"/>
        </w:rPr>
        <w:t> </w:t>
      </w:r>
      <w:r>
        <w:rPr>
          <w:sz w:val="24"/>
        </w:rPr>
        <w:t>Entertainment</w:t>
      </w:r>
      <w:r>
        <w:rPr>
          <w:spacing w:val="80"/>
          <w:sz w:val="24"/>
        </w:rPr>
        <w:t> </w:t>
      </w:r>
      <w:r>
        <w:rPr>
          <w:sz w:val="24"/>
        </w:rPr>
        <w:t>Duty</w:t>
      </w:r>
      <w:r>
        <w:rPr>
          <w:spacing w:val="80"/>
          <w:sz w:val="24"/>
        </w:rPr>
        <w:t> </w:t>
      </w:r>
      <w:r>
        <w:rPr>
          <w:sz w:val="24"/>
        </w:rPr>
        <w:t>Act</w:t>
      </w:r>
      <w:r>
        <w:rPr>
          <w:spacing w:val="80"/>
          <w:sz w:val="24"/>
        </w:rPr>
        <w:t> </w:t>
      </w:r>
      <w:r>
        <w:rPr>
          <w:sz w:val="24"/>
        </w:rPr>
        <w:t>1923.</w:t>
      </w:r>
    </w:p>
    <w:p>
      <w:pPr>
        <w:pStyle w:val="BodyText"/>
        <w:jc w:val="left"/>
      </w:pPr>
    </w:p>
    <w:p>
      <w:pPr>
        <w:pStyle w:val="ListParagraph"/>
        <w:numPr>
          <w:ilvl w:val="0"/>
          <w:numId w:val="6"/>
        </w:numPr>
        <w:tabs>
          <w:tab w:pos="1521" w:val="left" w:leader="none"/>
          <w:tab w:pos="1764" w:val="left" w:leader="none"/>
        </w:tabs>
        <w:spacing w:line="240" w:lineRule="auto" w:before="0" w:after="0"/>
        <w:ind w:left="1764" w:right="784" w:hanging="720"/>
        <w:jc w:val="both"/>
        <w:rPr>
          <w:sz w:val="22"/>
        </w:rPr>
      </w:pPr>
      <w:r>
        <w:rPr>
          <w:sz w:val="24"/>
        </w:rPr>
        <w:t>“Noise</w:t>
      </w:r>
      <w:r>
        <w:rPr>
          <w:spacing w:val="40"/>
          <w:sz w:val="24"/>
        </w:rPr>
        <w:t> </w:t>
      </w:r>
      <w:r>
        <w:rPr>
          <w:sz w:val="24"/>
        </w:rPr>
        <w:t>barrier”</w:t>
      </w:r>
      <w:r>
        <w:rPr>
          <w:spacing w:val="80"/>
          <w:sz w:val="24"/>
        </w:rPr>
        <w:t> </w:t>
      </w:r>
      <w:r>
        <w:rPr>
          <w:sz w:val="24"/>
        </w:rPr>
        <w:t>means</w:t>
      </w:r>
      <w:r>
        <w:rPr>
          <w:spacing w:val="40"/>
          <w:sz w:val="24"/>
        </w:rPr>
        <w:t> </w:t>
      </w:r>
      <w:r>
        <w:rPr>
          <w:sz w:val="24"/>
        </w:rPr>
        <w:t>an</w:t>
      </w:r>
      <w:r>
        <w:rPr>
          <w:spacing w:val="40"/>
          <w:sz w:val="24"/>
        </w:rPr>
        <w:t> </w:t>
      </w:r>
      <w:r>
        <w:rPr>
          <w:sz w:val="24"/>
        </w:rPr>
        <w:t>exterior</w:t>
      </w:r>
      <w:r>
        <w:rPr>
          <w:spacing w:val="40"/>
          <w:sz w:val="24"/>
        </w:rPr>
        <w:t> </w:t>
      </w:r>
      <w:r>
        <w:rPr>
          <w:sz w:val="24"/>
        </w:rPr>
        <w:t>structure/part</w:t>
      </w:r>
      <w:r>
        <w:rPr>
          <w:spacing w:val="40"/>
          <w:sz w:val="24"/>
        </w:rPr>
        <w:t> </w:t>
      </w:r>
      <w:r>
        <w:rPr>
          <w:sz w:val="24"/>
        </w:rPr>
        <w:t>of</w:t>
      </w:r>
      <w:r>
        <w:rPr>
          <w:spacing w:val="40"/>
          <w:sz w:val="24"/>
        </w:rPr>
        <w:t> </w:t>
      </w:r>
      <w:r>
        <w:rPr>
          <w:sz w:val="24"/>
        </w:rPr>
        <w:t>structure</w:t>
      </w:r>
      <w:r>
        <w:rPr>
          <w:spacing w:val="40"/>
          <w:sz w:val="24"/>
        </w:rPr>
        <w:t> </w:t>
      </w:r>
      <w:r>
        <w:rPr>
          <w:sz w:val="24"/>
        </w:rPr>
        <w:t>designed to</w:t>
      </w:r>
      <w:r>
        <w:rPr>
          <w:spacing w:val="80"/>
          <w:w w:val="150"/>
          <w:sz w:val="24"/>
        </w:rPr>
        <w:t>  </w:t>
      </w:r>
      <w:r>
        <w:rPr>
          <w:sz w:val="24"/>
        </w:rPr>
        <w:t>protect</w:t>
      </w:r>
      <w:r>
        <w:rPr>
          <w:spacing w:val="80"/>
          <w:w w:val="150"/>
          <w:sz w:val="24"/>
        </w:rPr>
        <w:t>  </w:t>
      </w:r>
      <w:r>
        <w:rPr>
          <w:sz w:val="24"/>
        </w:rPr>
        <w:t>inhabitants</w:t>
      </w:r>
      <w:r>
        <w:rPr>
          <w:spacing w:val="80"/>
          <w:w w:val="150"/>
          <w:sz w:val="24"/>
        </w:rPr>
        <w:t>  </w:t>
      </w:r>
      <w:r>
        <w:rPr>
          <w:sz w:val="24"/>
        </w:rPr>
        <w:t>of</w:t>
      </w:r>
      <w:r>
        <w:rPr>
          <w:spacing w:val="80"/>
          <w:w w:val="150"/>
          <w:sz w:val="24"/>
        </w:rPr>
        <w:t>  </w:t>
      </w:r>
      <w:r>
        <w:rPr>
          <w:spacing w:val="9"/>
          <w:sz w:val="24"/>
        </w:rPr>
        <w:t>sensitive</w:t>
      </w:r>
      <w:r>
        <w:rPr>
          <w:spacing w:val="80"/>
          <w:w w:val="150"/>
          <w:sz w:val="24"/>
        </w:rPr>
        <w:t>  </w:t>
      </w:r>
      <w:r>
        <w:rPr>
          <w:sz w:val="24"/>
        </w:rPr>
        <w:t>land</w:t>
      </w:r>
      <w:r>
        <w:rPr>
          <w:spacing w:val="80"/>
          <w:w w:val="150"/>
          <w:sz w:val="24"/>
        </w:rPr>
        <w:t>  </w:t>
      </w:r>
      <w:r>
        <w:rPr>
          <w:sz w:val="24"/>
        </w:rPr>
        <w:t>use</w:t>
      </w:r>
      <w:r>
        <w:rPr>
          <w:spacing w:val="80"/>
          <w:w w:val="150"/>
          <w:sz w:val="24"/>
        </w:rPr>
        <w:t>  </w:t>
      </w:r>
      <w:r>
        <w:rPr>
          <w:sz w:val="24"/>
        </w:rPr>
        <w:t>areas</w:t>
      </w:r>
      <w:r>
        <w:rPr>
          <w:spacing w:val="80"/>
          <w:sz w:val="24"/>
        </w:rPr>
        <w:t> </w:t>
      </w:r>
      <w:r>
        <w:rPr>
          <w:sz w:val="24"/>
        </w:rPr>
        <w:t>from</w:t>
      </w:r>
      <w:r>
        <w:rPr>
          <w:spacing w:val="40"/>
          <w:sz w:val="24"/>
        </w:rPr>
        <w:t> </w:t>
      </w:r>
      <w:r>
        <w:rPr>
          <w:sz w:val="24"/>
        </w:rPr>
        <w:t>noise</w:t>
      </w:r>
      <w:r>
        <w:rPr>
          <w:spacing w:val="40"/>
          <w:sz w:val="24"/>
        </w:rPr>
        <w:t> </w:t>
      </w:r>
      <w:r>
        <w:rPr>
          <w:sz w:val="24"/>
        </w:rPr>
        <w:t>pollution.</w:t>
      </w:r>
    </w:p>
    <w:p>
      <w:pPr>
        <w:pStyle w:val="ListParagraph"/>
        <w:spacing w:after="0" w:line="240" w:lineRule="auto"/>
        <w:jc w:val="both"/>
        <w:rPr>
          <w:sz w:val="22"/>
        </w:rPr>
        <w:sectPr>
          <w:pgSz w:w="11910" w:h="16840"/>
          <w:pgMar w:header="1058" w:footer="1357" w:top="1500" w:bottom="1540" w:left="360" w:right="360"/>
        </w:sectPr>
      </w:pPr>
    </w:p>
    <w:p>
      <w:pPr>
        <w:pStyle w:val="BodyText"/>
        <w:jc w:val="left"/>
        <w:rPr>
          <w:sz w:val="22"/>
        </w:rPr>
      </w:pPr>
    </w:p>
    <w:p>
      <w:pPr>
        <w:pStyle w:val="BodyText"/>
        <w:spacing w:before="21"/>
        <w:jc w:val="left"/>
        <w:rPr>
          <w:sz w:val="22"/>
        </w:rPr>
      </w:pPr>
    </w:p>
    <w:p>
      <w:pPr>
        <w:pStyle w:val="ListParagraph"/>
        <w:numPr>
          <w:ilvl w:val="0"/>
          <w:numId w:val="6"/>
        </w:numPr>
        <w:tabs>
          <w:tab w:pos="1488" w:val="left" w:leader="none"/>
          <w:tab w:pos="1764" w:val="left" w:leader="none"/>
        </w:tabs>
        <w:spacing w:line="240" w:lineRule="auto" w:before="0" w:after="0"/>
        <w:ind w:left="1764" w:right="787" w:hanging="720"/>
        <w:jc w:val="both"/>
        <w:rPr>
          <w:sz w:val="20"/>
        </w:rPr>
      </w:pPr>
      <w:r>
        <w:rPr>
          <w:spacing w:val="9"/>
          <w:sz w:val="22"/>
        </w:rPr>
        <w:t>"Non-</w:t>
      </w:r>
      <w:r>
        <w:rPr>
          <w:sz w:val="22"/>
        </w:rPr>
        <w:t>combustible"</w:t>
      </w:r>
      <w:r>
        <w:rPr>
          <w:spacing w:val="40"/>
          <w:sz w:val="22"/>
        </w:rPr>
        <w:t> </w:t>
      </w:r>
      <w:r>
        <w:rPr>
          <w:sz w:val="22"/>
        </w:rPr>
        <w:t>means</w:t>
      </w:r>
      <w:r>
        <w:rPr>
          <w:spacing w:val="40"/>
          <w:sz w:val="22"/>
        </w:rPr>
        <w:t> </w:t>
      </w:r>
      <w:r>
        <w:rPr>
          <w:sz w:val="22"/>
        </w:rPr>
        <w:t>not</w:t>
      </w:r>
      <w:r>
        <w:rPr>
          <w:spacing w:val="40"/>
          <w:sz w:val="22"/>
        </w:rPr>
        <w:t> </w:t>
      </w:r>
      <w:r>
        <w:rPr>
          <w:sz w:val="22"/>
        </w:rPr>
        <w:t>liable</w:t>
      </w:r>
      <w:r>
        <w:rPr>
          <w:spacing w:val="40"/>
          <w:sz w:val="22"/>
        </w:rPr>
        <w:t> </w:t>
      </w:r>
      <w:r>
        <w:rPr>
          <w:sz w:val="22"/>
        </w:rPr>
        <w:t>to</w:t>
      </w:r>
      <w:r>
        <w:rPr>
          <w:spacing w:val="40"/>
          <w:sz w:val="22"/>
        </w:rPr>
        <w:t> </w:t>
      </w:r>
      <w:r>
        <w:rPr>
          <w:sz w:val="22"/>
        </w:rPr>
        <w:t>burn</w:t>
      </w:r>
      <w:r>
        <w:rPr>
          <w:spacing w:val="40"/>
          <w:sz w:val="22"/>
        </w:rPr>
        <w:t> </w:t>
      </w:r>
      <w:r>
        <w:rPr>
          <w:sz w:val="22"/>
        </w:rPr>
        <w:t>or</w:t>
      </w:r>
      <w:r>
        <w:rPr>
          <w:spacing w:val="40"/>
          <w:sz w:val="22"/>
        </w:rPr>
        <w:t> </w:t>
      </w:r>
      <w:r>
        <w:rPr>
          <w:sz w:val="22"/>
        </w:rPr>
        <w:t>add</w:t>
      </w:r>
      <w:r>
        <w:rPr>
          <w:spacing w:val="40"/>
          <w:sz w:val="22"/>
        </w:rPr>
        <w:t> </w:t>
      </w:r>
      <w:r>
        <w:rPr>
          <w:sz w:val="22"/>
        </w:rPr>
        <w:t>heat</w:t>
      </w:r>
      <w:r>
        <w:rPr>
          <w:spacing w:val="40"/>
          <w:sz w:val="22"/>
        </w:rPr>
        <w:t> </w:t>
      </w:r>
      <w:r>
        <w:rPr>
          <w:sz w:val="22"/>
        </w:rPr>
        <w:t>to</w:t>
      </w:r>
      <w:r>
        <w:rPr>
          <w:spacing w:val="40"/>
          <w:sz w:val="22"/>
        </w:rPr>
        <w:t> </w:t>
      </w:r>
      <w:r>
        <w:rPr>
          <w:sz w:val="22"/>
        </w:rPr>
        <w:t>a</w:t>
      </w:r>
      <w:r>
        <w:rPr>
          <w:spacing w:val="40"/>
          <w:sz w:val="22"/>
        </w:rPr>
        <w:t> </w:t>
      </w:r>
      <w:r>
        <w:rPr>
          <w:sz w:val="22"/>
        </w:rPr>
        <w:t>fire</w:t>
      </w:r>
      <w:r>
        <w:rPr>
          <w:spacing w:val="40"/>
          <w:sz w:val="22"/>
        </w:rPr>
        <w:t> </w:t>
      </w:r>
      <w:r>
        <w:rPr>
          <w:sz w:val="22"/>
        </w:rPr>
        <w:t>when</w:t>
      </w:r>
      <w:r>
        <w:rPr>
          <w:spacing w:val="40"/>
          <w:sz w:val="22"/>
        </w:rPr>
        <w:t> </w:t>
      </w:r>
      <w:r>
        <w:rPr>
          <w:sz w:val="22"/>
        </w:rPr>
        <w:t>tested for combustibility in accordance with the </w:t>
      </w:r>
      <w:r>
        <w:rPr>
          <w:spacing w:val="12"/>
          <w:sz w:val="22"/>
        </w:rPr>
        <w:t>IS-</w:t>
      </w:r>
      <w:r>
        <w:rPr>
          <w:spacing w:val="9"/>
          <w:sz w:val="22"/>
        </w:rPr>
        <w:t>3808-</w:t>
      </w:r>
      <w:r>
        <w:rPr>
          <w:sz w:val="22"/>
        </w:rPr>
        <w:t>1966 Method of Test for Combustibility</w:t>
      </w:r>
      <w:r>
        <w:rPr>
          <w:spacing w:val="80"/>
          <w:sz w:val="22"/>
        </w:rPr>
        <w:t> </w:t>
      </w:r>
      <w:r>
        <w:rPr>
          <w:sz w:val="22"/>
        </w:rPr>
        <w:t>of</w:t>
      </w:r>
      <w:r>
        <w:rPr>
          <w:spacing w:val="80"/>
          <w:sz w:val="22"/>
        </w:rPr>
        <w:t> </w:t>
      </w:r>
      <w:r>
        <w:rPr>
          <w:sz w:val="22"/>
        </w:rPr>
        <w:t>Building</w:t>
      </w:r>
      <w:r>
        <w:rPr>
          <w:spacing w:val="80"/>
          <w:sz w:val="22"/>
        </w:rPr>
        <w:t> </w:t>
      </w:r>
      <w:r>
        <w:rPr>
          <w:sz w:val="22"/>
        </w:rPr>
        <w:t>Materials.</w:t>
      </w:r>
    </w:p>
    <w:p>
      <w:pPr>
        <w:pStyle w:val="BodyText"/>
        <w:spacing w:before="23"/>
        <w:jc w:val="left"/>
        <w:rPr>
          <w:sz w:val="22"/>
        </w:rPr>
      </w:pPr>
    </w:p>
    <w:p>
      <w:pPr>
        <w:pStyle w:val="ListParagraph"/>
        <w:numPr>
          <w:ilvl w:val="0"/>
          <w:numId w:val="6"/>
        </w:numPr>
        <w:tabs>
          <w:tab w:pos="1762" w:val="left" w:leader="none"/>
          <w:tab w:pos="1766" w:val="left" w:leader="none"/>
        </w:tabs>
        <w:spacing w:line="240" w:lineRule="auto" w:before="0" w:after="0"/>
        <w:ind w:left="1766" w:right="783" w:hanging="711"/>
        <w:jc w:val="both"/>
        <w:rPr>
          <w:sz w:val="24"/>
        </w:rPr>
      </w:pPr>
      <w:r>
        <w:rPr>
          <w:sz w:val="24"/>
        </w:rPr>
        <w:t>“Non-Conforming</w:t>
      </w:r>
      <w:r>
        <w:rPr>
          <w:spacing w:val="80"/>
          <w:sz w:val="24"/>
        </w:rPr>
        <w:t> </w:t>
      </w:r>
      <w:r>
        <w:rPr>
          <w:sz w:val="24"/>
        </w:rPr>
        <w:t>User”</w:t>
      </w:r>
      <w:r>
        <w:rPr>
          <w:spacing w:val="80"/>
          <w:sz w:val="24"/>
        </w:rPr>
        <w:t> </w:t>
      </w:r>
      <w:r>
        <w:rPr>
          <w:sz w:val="24"/>
        </w:rPr>
        <w:t>means</w:t>
      </w:r>
      <w:r>
        <w:rPr>
          <w:spacing w:val="80"/>
          <w:sz w:val="24"/>
        </w:rPr>
        <w:t> </w:t>
      </w:r>
      <w:r>
        <w:rPr>
          <w:sz w:val="24"/>
        </w:rPr>
        <w:t>any</w:t>
      </w:r>
      <w:r>
        <w:rPr>
          <w:spacing w:val="80"/>
          <w:sz w:val="24"/>
        </w:rPr>
        <w:t> </w:t>
      </w:r>
      <w:r>
        <w:rPr>
          <w:sz w:val="24"/>
        </w:rPr>
        <w:t>lawful</w:t>
      </w:r>
      <w:r>
        <w:rPr>
          <w:spacing w:val="80"/>
          <w:sz w:val="24"/>
        </w:rPr>
        <w:t> </w:t>
      </w:r>
      <w:r>
        <w:rPr>
          <w:sz w:val="24"/>
        </w:rPr>
        <w:t>use/building</w:t>
      </w:r>
      <w:r>
        <w:rPr>
          <w:spacing w:val="80"/>
          <w:sz w:val="24"/>
        </w:rPr>
        <w:t> </w:t>
      </w:r>
      <w:r>
        <w:rPr>
          <w:sz w:val="24"/>
        </w:rPr>
        <w:t>existed</w:t>
      </w:r>
      <w:r>
        <w:rPr>
          <w:spacing w:val="80"/>
          <w:sz w:val="24"/>
        </w:rPr>
        <w:t> </w:t>
      </w:r>
      <w:r>
        <w:rPr>
          <w:sz w:val="24"/>
        </w:rPr>
        <w:t>on the site but which does not conform to the zoning shown in the Development </w:t>
      </w:r>
      <w:r>
        <w:rPr>
          <w:spacing w:val="9"/>
          <w:sz w:val="24"/>
        </w:rPr>
        <w:t>Plan.</w:t>
      </w:r>
    </w:p>
    <w:p>
      <w:pPr>
        <w:pStyle w:val="BodyText"/>
        <w:spacing w:before="1"/>
        <w:jc w:val="left"/>
      </w:pPr>
    </w:p>
    <w:p>
      <w:pPr>
        <w:pStyle w:val="ListParagraph"/>
        <w:numPr>
          <w:ilvl w:val="0"/>
          <w:numId w:val="6"/>
        </w:numPr>
        <w:tabs>
          <w:tab w:pos="1762" w:val="left" w:leader="none"/>
          <w:tab w:pos="1766" w:val="left" w:leader="none"/>
        </w:tabs>
        <w:spacing w:line="240" w:lineRule="auto" w:before="1" w:after="0"/>
        <w:ind w:left="1766" w:right="775" w:hanging="711"/>
        <w:jc w:val="both"/>
        <w:rPr>
          <w:sz w:val="24"/>
        </w:rPr>
      </w:pPr>
      <w:r>
        <w:rPr>
          <w:sz w:val="24"/>
        </w:rPr>
        <w:t>"Occupancy"</w:t>
      </w:r>
      <w:r>
        <w:rPr>
          <w:spacing w:val="80"/>
          <w:sz w:val="24"/>
        </w:rPr>
        <w:t> </w:t>
      </w:r>
      <w:r>
        <w:rPr>
          <w:sz w:val="24"/>
        </w:rPr>
        <w:t>or</w:t>
      </w:r>
      <w:r>
        <w:rPr>
          <w:spacing w:val="80"/>
          <w:sz w:val="24"/>
        </w:rPr>
        <w:t> </w:t>
      </w:r>
      <w:r>
        <w:rPr>
          <w:sz w:val="24"/>
        </w:rPr>
        <w:t>"Use"</w:t>
      </w:r>
      <w:r>
        <w:rPr>
          <w:spacing w:val="80"/>
          <w:sz w:val="24"/>
        </w:rPr>
        <w:t> </w:t>
      </w:r>
      <w:r>
        <w:rPr>
          <w:sz w:val="24"/>
        </w:rPr>
        <w:t>means</w:t>
      </w:r>
      <w:r>
        <w:rPr>
          <w:spacing w:val="80"/>
          <w:sz w:val="24"/>
        </w:rPr>
        <w:t> </w:t>
      </w:r>
      <w:r>
        <w:rPr>
          <w:sz w:val="24"/>
        </w:rPr>
        <w:t>the</w:t>
      </w:r>
      <w:r>
        <w:rPr>
          <w:spacing w:val="80"/>
          <w:sz w:val="24"/>
        </w:rPr>
        <w:t> </w:t>
      </w:r>
      <w:r>
        <w:rPr>
          <w:sz w:val="24"/>
        </w:rPr>
        <w:t>principal</w:t>
      </w:r>
      <w:r>
        <w:rPr>
          <w:spacing w:val="80"/>
          <w:sz w:val="24"/>
        </w:rPr>
        <w:t> </w:t>
      </w:r>
      <w:r>
        <w:rPr>
          <w:sz w:val="24"/>
        </w:rPr>
        <w:t>occupancy</w:t>
      </w:r>
      <w:r>
        <w:rPr>
          <w:spacing w:val="80"/>
          <w:sz w:val="24"/>
        </w:rPr>
        <w:t> </w:t>
      </w:r>
      <w:r>
        <w:rPr>
          <w:sz w:val="24"/>
        </w:rPr>
        <w:t>or</w:t>
      </w:r>
      <w:r>
        <w:rPr>
          <w:spacing w:val="80"/>
          <w:sz w:val="24"/>
        </w:rPr>
        <w:t> </w:t>
      </w:r>
      <w:r>
        <w:rPr>
          <w:sz w:val="24"/>
        </w:rPr>
        <w:t>use</w:t>
      </w:r>
      <w:r>
        <w:rPr>
          <w:spacing w:val="80"/>
          <w:sz w:val="24"/>
        </w:rPr>
        <w:t> </w:t>
      </w:r>
      <w:r>
        <w:rPr>
          <w:sz w:val="24"/>
        </w:rPr>
        <w:t>for which</w:t>
      </w:r>
      <w:r>
        <w:rPr>
          <w:spacing w:val="40"/>
          <w:sz w:val="24"/>
        </w:rPr>
        <w:t> </w:t>
      </w:r>
      <w:r>
        <w:rPr>
          <w:sz w:val="24"/>
        </w:rPr>
        <w:t>a</w:t>
      </w:r>
      <w:r>
        <w:rPr>
          <w:spacing w:val="40"/>
          <w:sz w:val="24"/>
        </w:rPr>
        <w:t> </w:t>
      </w:r>
      <w:r>
        <w:rPr>
          <w:sz w:val="24"/>
        </w:rPr>
        <w:t>building</w:t>
      </w:r>
      <w:r>
        <w:rPr>
          <w:spacing w:val="40"/>
          <w:sz w:val="24"/>
        </w:rPr>
        <w:t> </w:t>
      </w:r>
      <w:r>
        <w:rPr>
          <w:sz w:val="24"/>
        </w:rPr>
        <w:t>or</w:t>
      </w:r>
      <w:r>
        <w:rPr>
          <w:spacing w:val="40"/>
          <w:sz w:val="24"/>
        </w:rPr>
        <w:t> </w:t>
      </w:r>
      <w:r>
        <w:rPr>
          <w:sz w:val="24"/>
        </w:rPr>
        <w:t>a</w:t>
      </w:r>
      <w:r>
        <w:rPr>
          <w:spacing w:val="40"/>
          <w:sz w:val="24"/>
        </w:rPr>
        <w:t> </w:t>
      </w:r>
      <w:r>
        <w:rPr>
          <w:sz w:val="24"/>
        </w:rPr>
        <w:t>part</w:t>
      </w:r>
      <w:r>
        <w:rPr>
          <w:spacing w:val="40"/>
          <w:sz w:val="24"/>
        </w:rPr>
        <w:t> </w:t>
      </w:r>
      <w:r>
        <w:rPr>
          <w:sz w:val="24"/>
        </w:rPr>
        <w:t>of</w:t>
      </w:r>
      <w:r>
        <w:rPr>
          <w:spacing w:val="40"/>
          <w:sz w:val="24"/>
        </w:rPr>
        <w:t> </w:t>
      </w:r>
      <w:r>
        <w:rPr>
          <w:sz w:val="24"/>
        </w:rPr>
        <w:t>it</w:t>
      </w:r>
      <w:r>
        <w:rPr>
          <w:spacing w:val="40"/>
          <w:sz w:val="24"/>
        </w:rPr>
        <w:t> </w:t>
      </w:r>
      <w:r>
        <w:rPr>
          <w:sz w:val="24"/>
        </w:rPr>
        <w:t>is</w:t>
      </w:r>
      <w:r>
        <w:rPr>
          <w:spacing w:val="40"/>
          <w:sz w:val="24"/>
        </w:rPr>
        <w:t> </w:t>
      </w:r>
      <w:r>
        <w:rPr>
          <w:sz w:val="24"/>
        </w:rPr>
        <w:t>used</w:t>
      </w:r>
      <w:r>
        <w:rPr>
          <w:spacing w:val="40"/>
          <w:sz w:val="24"/>
        </w:rPr>
        <w:t> </w:t>
      </w:r>
      <w:r>
        <w:rPr>
          <w:sz w:val="24"/>
        </w:rPr>
        <w:t>or</w:t>
      </w:r>
      <w:r>
        <w:rPr>
          <w:spacing w:val="40"/>
          <w:sz w:val="24"/>
        </w:rPr>
        <w:t> </w:t>
      </w:r>
      <w:r>
        <w:rPr>
          <w:sz w:val="24"/>
        </w:rPr>
        <w:t>intended</w:t>
      </w:r>
      <w:r>
        <w:rPr>
          <w:spacing w:val="40"/>
          <w:sz w:val="24"/>
        </w:rPr>
        <w:t> </w:t>
      </w:r>
      <w:r>
        <w:rPr>
          <w:sz w:val="24"/>
        </w:rPr>
        <w:t>to</w:t>
      </w:r>
      <w:r>
        <w:rPr>
          <w:spacing w:val="40"/>
          <w:sz w:val="24"/>
        </w:rPr>
        <w:t> </w:t>
      </w:r>
      <w:r>
        <w:rPr>
          <w:sz w:val="24"/>
        </w:rPr>
        <w:t>be</w:t>
      </w:r>
      <w:r>
        <w:rPr>
          <w:spacing w:val="40"/>
          <w:sz w:val="24"/>
        </w:rPr>
        <w:t> </w:t>
      </w:r>
      <w:r>
        <w:rPr>
          <w:sz w:val="24"/>
        </w:rPr>
        <w:t>used, including</w:t>
      </w:r>
      <w:r>
        <w:rPr>
          <w:spacing w:val="40"/>
          <w:sz w:val="24"/>
        </w:rPr>
        <w:t> </w:t>
      </w:r>
      <w:r>
        <w:rPr>
          <w:sz w:val="24"/>
        </w:rPr>
        <w:t>contingent</w:t>
      </w:r>
      <w:r>
        <w:rPr>
          <w:spacing w:val="40"/>
          <w:sz w:val="24"/>
        </w:rPr>
        <w:t> </w:t>
      </w:r>
      <w:r>
        <w:rPr>
          <w:sz w:val="24"/>
        </w:rPr>
        <w:t>subsidiary</w:t>
      </w:r>
      <w:r>
        <w:rPr>
          <w:spacing w:val="40"/>
          <w:sz w:val="24"/>
        </w:rPr>
        <w:t> </w:t>
      </w:r>
      <w:r>
        <w:rPr>
          <w:sz w:val="24"/>
        </w:rPr>
        <w:t>occupancies;</w:t>
      </w:r>
      <w:r>
        <w:rPr>
          <w:spacing w:val="40"/>
          <w:sz w:val="24"/>
        </w:rPr>
        <w:t> </w:t>
      </w:r>
      <w:r>
        <w:rPr>
          <w:sz w:val="24"/>
        </w:rPr>
        <w:t>mixed</w:t>
      </w:r>
      <w:r>
        <w:rPr>
          <w:spacing w:val="40"/>
          <w:sz w:val="24"/>
        </w:rPr>
        <w:t> </w:t>
      </w:r>
      <w:r>
        <w:rPr>
          <w:sz w:val="24"/>
        </w:rPr>
        <w:t>occupancy buildings</w:t>
      </w:r>
      <w:r>
        <w:rPr>
          <w:spacing w:val="40"/>
          <w:sz w:val="24"/>
        </w:rPr>
        <w:t> </w:t>
      </w:r>
      <w:r>
        <w:rPr>
          <w:sz w:val="24"/>
        </w:rPr>
        <w:t>being</w:t>
      </w:r>
      <w:r>
        <w:rPr>
          <w:spacing w:val="40"/>
          <w:sz w:val="24"/>
        </w:rPr>
        <w:t> </w:t>
      </w:r>
      <w:r>
        <w:rPr>
          <w:sz w:val="24"/>
        </w:rPr>
        <w:t>those</w:t>
      </w:r>
      <w:r>
        <w:rPr>
          <w:spacing w:val="40"/>
          <w:sz w:val="24"/>
        </w:rPr>
        <w:t> </w:t>
      </w:r>
      <w:r>
        <w:rPr>
          <w:sz w:val="24"/>
        </w:rPr>
        <w:t>in</w:t>
      </w:r>
      <w:r>
        <w:rPr>
          <w:spacing w:val="40"/>
          <w:sz w:val="24"/>
        </w:rPr>
        <w:t> </w:t>
      </w:r>
      <w:r>
        <w:rPr>
          <w:sz w:val="24"/>
        </w:rPr>
        <w:t>which</w:t>
      </w:r>
      <w:r>
        <w:rPr>
          <w:spacing w:val="40"/>
          <w:sz w:val="24"/>
        </w:rPr>
        <w:t> </w:t>
      </w:r>
      <w:r>
        <w:rPr>
          <w:sz w:val="24"/>
        </w:rPr>
        <w:t>more</w:t>
      </w:r>
      <w:r>
        <w:rPr>
          <w:spacing w:val="40"/>
          <w:sz w:val="24"/>
        </w:rPr>
        <w:t> </w:t>
      </w:r>
      <w:r>
        <w:rPr>
          <w:sz w:val="24"/>
        </w:rPr>
        <w:t>than</w:t>
      </w:r>
      <w:r>
        <w:rPr>
          <w:spacing w:val="40"/>
          <w:sz w:val="24"/>
        </w:rPr>
        <w:t> </w:t>
      </w:r>
      <w:r>
        <w:rPr>
          <w:sz w:val="24"/>
        </w:rPr>
        <w:t>one</w:t>
      </w:r>
      <w:r>
        <w:rPr>
          <w:spacing w:val="40"/>
          <w:sz w:val="24"/>
        </w:rPr>
        <w:t> </w:t>
      </w:r>
      <w:r>
        <w:rPr>
          <w:sz w:val="24"/>
        </w:rPr>
        <w:t>occupancy</w:t>
      </w:r>
      <w:r>
        <w:rPr>
          <w:spacing w:val="40"/>
          <w:sz w:val="24"/>
        </w:rPr>
        <w:t> </w:t>
      </w:r>
      <w:r>
        <w:rPr>
          <w:sz w:val="24"/>
        </w:rPr>
        <w:t>are</w:t>
      </w:r>
      <w:r>
        <w:rPr>
          <w:spacing w:val="9"/>
          <w:sz w:val="24"/>
        </w:rPr>
        <w:t> present </w:t>
      </w:r>
      <w:r>
        <w:rPr>
          <w:sz w:val="24"/>
        </w:rPr>
        <w:t>in-different</w:t>
      </w:r>
      <w:r>
        <w:rPr>
          <w:spacing w:val="40"/>
          <w:sz w:val="24"/>
        </w:rPr>
        <w:t> </w:t>
      </w:r>
      <w:r>
        <w:rPr>
          <w:sz w:val="24"/>
        </w:rPr>
        <w:t>portions</w:t>
      </w:r>
      <w:r>
        <w:rPr>
          <w:spacing w:val="40"/>
          <w:sz w:val="24"/>
        </w:rPr>
        <w:t> </w:t>
      </w:r>
      <w:r>
        <w:rPr>
          <w:sz w:val="24"/>
        </w:rPr>
        <w:t>of</w:t>
      </w:r>
      <w:r>
        <w:rPr>
          <w:spacing w:val="40"/>
          <w:sz w:val="24"/>
        </w:rPr>
        <w:t> </w:t>
      </w:r>
      <w:r>
        <w:rPr>
          <w:sz w:val="24"/>
        </w:rPr>
        <w:t>the</w:t>
      </w:r>
      <w:r>
        <w:rPr>
          <w:spacing w:val="80"/>
          <w:sz w:val="24"/>
        </w:rPr>
        <w:t> </w:t>
      </w:r>
      <w:r>
        <w:rPr>
          <w:sz w:val="24"/>
        </w:rPr>
        <w:t>buildings.</w:t>
      </w:r>
    </w:p>
    <w:p>
      <w:pPr>
        <w:pStyle w:val="ListParagraph"/>
        <w:numPr>
          <w:ilvl w:val="0"/>
          <w:numId w:val="6"/>
        </w:numPr>
        <w:tabs>
          <w:tab w:pos="1762" w:val="left" w:leader="none"/>
          <w:tab w:pos="1766" w:val="left" w:leader="none"/>
        </w:tabs>
        <w:spacing w:line="240" w:lineRule="auto" w:before="281" w:after="0"/>
        <w:ind w:left="1766" w:right="773" w:hanging="711"/>
        <w:jc w:val="both"/>
        <w:rPr>
          <w:sz w:val="24"/>
        </w:rPr>
      </w:pPr>
      <w:r>
        <w:rPr>
          <w:sz w:val="24"/>
        </w:rPr>
        <w:t>"Owner" means a person who receives rent for the use of the land or building</w:t>
      </w:r>
      <w:r>
        <w:rPr>
          <w:spacing w:val="40"/>
          <w:sz w:val="24"/>
        </w:rPr>
        <w:t> </w:t>
      </w:r>
      <w:r>
        <w:rPr>
          <w:sz w:val="24"/>
        </w:rPr>
        <w:t>or</w:t>
      </w:r>
      <w:r>
        <w:rPr>
          <w:spacing w:val="40"/>
          <w:sz w:val="24"/>
        </w:rPr>
        <w:t> </w:t>
      </w:r>
      <w:r>
        <w:rPr>
          <w:sz w:val="24"/>
        </w:rPr>
        <w:t>would</w:t>
      </w:r>
      <w:r>
        <w:rPr>
          <w:spacing w:val="40"/>
          <w:sz w:val="24"/>
        </w:rPr>
        <w:t> </w:t>
      </w:r>
      <w:r>
        <w:rPr>
          <w:sz w:val="24"/>
        </w:rPr>
        <w:t>be</w:t>
      </w:r>
      <w:r>
        <w:rPr>
          <w:spacing w:val="40"/>
          <w:sz w:val="24"/>
        </w:rPr>
        <w:t> </w:t>
      </w:r>
      <w:r>
        <w:rPr>
          <w:sz w:val="24"/>
        </w:rPr>
        <w:t>entitled</w:t>
      </w:r>
      <w:r>
        <w:rPr>
          <w:spacing w:val="40"/>
          <w:sz w:val="24"/>
        </w:rPr>
        <w:t> </w:t>
      </w:r>
      <w:r>
        <w:rPr>
          <w:sz w:val="24"/>
        </w:rPr>
        <w:t>to</w:t>
      </w:r>
      <w:r>
        <w:rPr>
          <w:spacing w:val="40"/>
          <w:sz w:val="24"/>
        </w:rPr>
        <w:t> </w:t>
      </w:r>
      <w:r>
        <w:rPr>
          <w:sz w:val="24"/>
        </w:rPr>
        <w:t>do</w:t>
      </w:r>
      <w:r>
        <w:rPr>
          <w:spacing w:val="40"/>
          <w:sz w:val="24"/>
        </w:rPr>
        <w:t> </w:t>
      </w:r>
      <w:r>
        <w:rPr>
          <w:sz w:val="24"/>
        </w:rPr>
        <w:t>so</w:t>
      </w:r>
      <w:r>
        <w:rPr>
          <w:spacing w:val="40"/>
          <w:sz w:val="24"/>
        </w:rPr>
        <w:t> </w:t>
      </w:r>
      <w:r>
        <w:rPr>
          <w:sz w:val="24"/>
        </w:rPr>
        <w:t>if</w:t>
      </w:r>
      <w:r>
        <w:rPr>
          <w:spacing w:val="40"/>
          <w:sz w:val="24"/>
        </w:rPr>
        <w:t> </w:t>
      </w:r>
      <w:r>
        <w:rPr>
          <w:sz w:val="24"/>
        </w:rPr>
        <w:t>it</w:t>
      </w:r>
      <w:r>
        <w:rPr>
          <w:spacing w:val="40"/>
          <w:sz w:val="24"/>
        </w:rPr>
        <w:t> </w:t>
      </w:r>
      <w:r>
        <w:rPr>
          <w:sz w:val="24"/>
        </w:rPr>
        <w:t>were</w:t>
      </w:r>
      <w:r>
        <w:rPr>
          <w:spacing w:val="40"/>
          <w:sz w:val="24"/>
        </w:rPr>
        <w:t> </w:t>
      </w:r>
      <w:r>
        <w:rPr>
          <w:sz w:val="24"/>
        </w:rPr>
        <w:t>let,</w:t>
      </w:r>
      <w:r>
        <w:rPr>
          <w:spacing w:val="40"/>
          <w:sz w:val="24"/>
        </w:rPr>
        <w:t> </w:t>
      </w:r>
      <w:r>
        <w:rPr>
          <w:sz w:val="24"/>
        </w:rPr>
        <w:t>and</w:t>
      </w:r>
      <w:r>
        <w:rPr>
          <w:spacing w:val="40"/>
          <w:sz w:val="24"/>
        </w:rPr>
        <w:t> </w:t>
      </w:r>
      <w:r>
        <w:rPr>
          <w:sz w:val="24"/>
        </w:rPr>
        <w:t>includes:</w:t>
      </w:r>
    </w:p>
    <w:p>
      <w:pPr>
        <w:pStyle w:val="ListParagraph"/>
        <w:numPr>
          <w:ilvl w:val="1"/>
          <w:numId w:val="6"/>
        </w:numPr>
        <w:tabs>
          <w:tab w:pos="1763" w:val="left" w:leader="none"/>
          <w:tab w:pos="1766" w:val="left" w:leader="none"/>
        </w:tabs>
        <w:spacing w:line="240" w:lineRule="auto" w:before="1" w:after="0"/>
        <w:ind w:left="1766" w:right="800" w:hanging="711"/>
        <w:jc w:val="both"/>
        <w:rPr>
          <w:sz w:val="24"/>
        </w:rPr>
      </w:pPr>
      <w:r>
        <w:rPr>
          <w:sz w:val="24"/>
        </w:rPr>
        <w:t>an</w:t>
      </w:r>
      <w:r>
        <w:rPr>
          <w:spacing w:val="40"/>
          <w:sz w:val="24"/>
        </w:rPr>
        <w:t> </w:t>
      </w:r>
      <w:r>
        <w:rPr>
          <w:sz w:val="24"/>
        </w:rPr>
        <w:t>authorised</w:t>
      </w:r>
      <w:r>
        <w:rPr>
          <w:spacing w:val="40"/>
          <w:sz w:val="24"/>
        </w:rPr>
        <w:t> </w:t>
      </w:r>
      <w:r>
        <w:rPr>
          <w:sz w:val="24"/>
        </w:rPr>
        <w:t>agent</w:t>
      </w:r>
      <w:r>
        <w:rPr>
          <w:spacing w:val="40"/>
          <w:sz w:val="24"/>
        </w:rPr>
        <w:t> </w:t>
      </w:r>
      <w:r>
        <w:rPr>
          <w:sz w:val="24"/>
        </w:rPr>
        <w:t>or</w:t>
      </w:r>
      <w:r>
        <w:rPr>
          <w:spacing w:val="40"/>
          <w:sz w:val="24"/>
        </w:rPr>
        <w:t> </w:t>
      </w:r>
      <w:r>
        <w:rPr>
          <w:sz w:val="24"/>
        </w:rPr>
        <w:t>trustee</w:t>
      </w:r>
      <w:r>
        <w:rPr>
          <w:spacing w:val="40"/>
          <w:sz w:val="24"/>
        </w:rPr>
        <w:t> </w:t>
      </w:r>
      <w:r>
        <w:rPr>
          <w:sz w:val="24"/>
        </w:rPr>
        <w:t>who</w:t>
      </w:r>
      <w:r>
        <w:rPr>
          <w:spacing w:val="40"/>
          <w:sz w:val="24"/>
        </w:rPr>
        <w:t> </w:t>
      </w:r>
      <w:r>
        <w:rPr>
          <w:sz w:val="24"/>
        </w:rPr>
        <w:t>receives</w:t>
      </w:r>
      <w:r>
        <w:rPr>
          <w:spacing w:val="40"/>
          <w:sz w:val="24"/>
        </w:rPr>
        <w:t> </w:t>
      </w:r>
      <w:r>
        <w:rPr>
          <w:sz w:val="24"/>
        </w:rPr>
        <w:t>such</w:t>
      </w:r>
      <w:r>
        <w:rPr>
          <w:spacing w:val="40"/>
          <w:sz w:val="24"/>
        </w:rPr>
        <w:t> </w:t>
      </w:r>
      <w:r>
        <w:rPr>
          <w:sz w:val="24"/>
        </w:rPr>
        <w:t>rent</w:t>
      </w:r>
      <w:r>
        <w:rPr>
          <w:spacing w:val="40"/>
          <w:sz w:val="24"/>
        </w:rPr>
        <w:t> </w:t>
      </w:r>
      <w:r>
        <w:rPr>
          <w:sz w:val="24"/>
        </w:rPr>
        <w:t>on</w:t>
      </w:r>
      <w:r>
        <w:rPr>
          <w:spacing w:val="40"/>
          <w:sz w:val="24"/>
        </w:rPr>
        <w:t> </w:t>
      </w:r>
      <w:r>
        <w:rPr>
          <w:sz w:val="24"/>
        </w:rPr>
        <w:t>behalf</w:t>
      </w:r>
      <w:r>
        <w:rPr>
          <w:spacing w:val="40"/>
          <w:sz w:val="24"/>
        </w:rPr>
        <w:t> </w:t>
      </w:r>
      <w:r>
        <w:rPr>
          <w:sz w:val="24"/>
        </w:rPr>
        <w:t>of the </w:t>
      </w:r>
      <w:r>
        <w:rPr>
          <w:spacing w:val="9"/>
          <w:sz w:val="24"/>
        </w:rPr>
        <w:t>owner;</w:t>
      </w:r>
    </w:p>
    <w:p>
      <w:pPr>
        <w:pStyle w:val="ListParagraph"/>
        <w:numPr>
          <w:ilvl w:val="1"/>
          <w:numId w:val="6"/>
        </w:numPr>
        <w:tabs>
          <w:tab w:pos="1762" w:val="left" w:leader="none"/>
          <w:tab w:pos="1766" w:val="left" w:leader="none"/>
        </w:tabs>
        <w:spacing w:line="240" w:lineRule="auto" w:before="0" w:after="0"/>
        <w:ind w:left="1766" w:right="788" w:hanging="711"/>
        <w:jc w:val="both"/>
        <w:rPr>
          <w:sz w:val="24"/>
        </w:rPr>
      </w:pPr>
      <w:r>
        <w:rPr>
          <w:sz w:val="24"/>
        </w:rPr>
        <w:t>a receiver, executor or administrator, or a manager appointed by any court</w:t>
      </w:r>
      <w:r>
        <w:rPr>
          <w:spacing w:val="40"/>
          <w:sz w:val="24"/>
        </w:rPr>
        <w:t> </w:t>
      </w:r>
      <w:r>
        <w:rPr>
          <w:sz w:val="24"/>
        </w:rPr>
        <w:t>of</w:t>
      </w:r>
      <w:r>
        <w:rPr>
          <w:spacing w:val="40"/>
          <w:sz w:val="24"/>
        </w:rPr>
        <w:t> </w:t>
      </w:r>
      <w:r>
        <w:rPr>
          <w:sz w:val="24"/>
        </w:rPr>
        <w:t>competent</w:t>
      </w:r>
      <w:r>
        <w:rPr>
          <w:spacing w:val="40"/>
          <w:sz w:val="24"/>
        </w:rPr>
        <w:t> </w:t>
      </w:r>
      <w:r>
        <w:rPr>
          <w:sz w:val="24"/>
        </w:rPr>
        <w:t>jurisdiction</w:t>
      </w:r>
      <w:r>
        <w:rPr>
          <w:spacing w:val="40"/>
          <w:sz w:val="24"/>
        </w:rPr>
        <w:t> </w:t>
      </w:r>
      <w:r>
        <w:rPr>
          <w:sz w:val="24"/>
        </w:rPr>
        <w:t>to</w:t>
      </w:r>
      <w:r>
        <w:rPr>
          <w:spacing w:val="40"/>
          <w:sz w:val="24"/>
        </w:rPr>
        <w:t> </w:t>
      </w:r>
      <w:r>
        <w:rPr>
          <w:sz w:val="24"/>
        </w:rPr>
        <w:t>have</w:t>
      </w:r>
      <w:r>
        <w:rPr>
          <w:spacing w:val="40"/>
          <w:sz w:val="24"/>
        </w:rPr>
        <w:t> </w:t>
      </w:r>
      <w:r>
        <w:rPr>
          <w:sz w:val="24"/>
        </w:rPr>
        <w:t>the</w:t>
      </w:r>
      <w:r>
        <w:rPr>
          <w:spacing w:val="40"/>
          <w:sz w:val="24"/>
        </w:rPr>
        <w:t> </w:t>
      </w:r>
      <w:r>
        <w:rPr>
          <w:spacing w:val="9"/>
          <w:sz w:val="24"/>
        </w:rPr>
        <w:t>charge</w:t>
      </w:r>
      <w:r>
        <w:rPr>
          <w:spacing w:val="40"/>
          <w:sz w:val="24"/>
        </w:rPr>
        <w:t> </w:t>
      </w:r>
      <w:r>
        <w:rPr>
          <w:sz w:val="24"/>
        </w:rPr>
        <w:t>of</w:t>
      </w:r>
      <w:r>
        <w:rPr>
          <w:spacing w:val="40"/>
          <w:sz w:val="24"/>
        </w:rPr>
        <w:t> </w:t>
      </w:r>
      <w:r>
        <w:rPr>
          <w:sz w:val="24"/>
        </w:rPr>
        <w:t>or</w:t>
      </w:r>
      <w:r>
        <w:rPr>
          <w:spacing w:val="40"/>
          <w:sz w:val="24"/>
        </w:rPr>
        <w:t> </w:t>
      </w:r>
      <w:r>
        <w:rPr>
          <w:sz w:val="24"/>
        </w:rPr>
        <w:t>to</w:t>
      </w:r>
      <w:r>
        <w:rPr>
          <w:spacing w:val="40"/>
          <w:sz w:val="24"/>
        </w:rPr>
        <w:t> </w:t>
      </w:r>
      <w:r>
        <w:rPr>
          <w:sz w:val="24"/>
        </w:rPr>
        <w:t>exercise the rights of the </w:t>
      </w:r>
      <w:r>
        <w:rPr>
          <w:spacing w:val="9"/>
          <w:sz w:val="24"/>
        </w:rPr>
        <w:t>owner;</w:t>
      </w:r>
    </w:p>
    <w:p>
      <w:pPr>
        <w:pStyle w:val="ListParagraph"/>
        <w:numPr>
          <w:ilvl w:val="1"/>
          <w:numId w:val="6"/>
        </w:numPr>
        <w:tabs>
          <w:tab w:pos="1761" w:val="left" w:leader="none"/>
          <w:tab w:pos="1766" w:val="left" w:leader="none"/>
        </w:tabs>
        <w:spacing w:line="240" w:lineRule="auto" w:before="0" w:after="0"/>
        <w:ind w:left="1766" w:right="778" w:hanging="711"/>
        <w:jc w:val="both"/>
        <w:rPr>
          <w:sz w:val="24"/>
        </w:rPr>
      </w:pPr>
      <w:r>
        <w:rPr>
          <w:sz w:val="24"/>
        </w:rPr>
        <w:t>an</w:t>
      </w:r>
      <w:r>
        <w:rPr>
          <w:spacing w:val="40"/>
          <w:sz w:val="24"/>
        </w:rPr>
        <w:t> </w:t>
      </w:r>
      <w:r>
        <w:rPr>
          <w:sz w:val="24"/>
        </w:rPr>
        <w:t>agent</w:t>
      </w:r>
      <w:r>
        <w:rPr>
          <w:spacing w:val="64"/>
          <w:sz w:val="24"/>
        </w:rPr>
        <w:t> </w:t>
      </w:r>
      <w:r>
        <w:rPr>
          <w:sz w:val="24"/>
        </w:rPr>
        <w:t>or</w:t>
      </w:r>
      <w:r>
        <w:rPr>
          <w:spacing w:val="64"/>
          <w:sz w:val="24"/>
        </w:rPr>
        <w:t> </w:t>
      </w:r>
      <w:r>
        <w:rPr>
          <w:sz w:val="24"/>
        </w:rPr>
        <w:t>trustee</w:t>
      </w:r>
      <w:r>
        <w:rPr>
          <w:spacing w:val="40"/>
          <w:sz w:val="24"/>
        </w:rPr>
        <w:t> </w:t>
      </w:r>
      <w:r>
        <w:rPr>
          <w:sz w:val="24"/>
        </w:rPr>
        <w:t>who</w:t>
      </w:r>
      <w:r>
        <w:rPr>
          <w:spacing w:val="64"/>
          <w:sz w:val="24"/>
        </w:rPr>
        <w:t> </w:t>
      </w:r>
      <w:r>
        <w:rPr>
          <w:sz w:val="24"/>
        </w:rPr>
        <w:t>receives</w:t>
      </w:r>
      <w:r>
        <w:rPr>
          <w:spacing w:val="64"/>
          <w:sz w:val="24"/>
        </w:rPr>
        <w:t> </w:t>
      </w:r>
      <w:r>
        <w:rPr>
          <w:sz w:val="24"/>
        </w:rPr>
        <w:t>the</w:t>
      </w:r>
      <w:r>
        <w:rPr>
          <w:spacing w:val="66"/>
          <w:sz w:val="24"/>
        </w:rPr>
        <w:t> </w:t>
      </w:r>
      <w:r>
        <w:rPr>
          <w:sz w:val="24"/>
        </w:rPr>
        <w:t>rent</w:t>
      </w:r>
      <w:r>
        <w:rPr>
          <w:spacing w:val="64"/>
          <w:sz w:val="24"/>
        </w:rPr>
        <w:t> </w:t>
      </w:r>
      <w:r>
        <w:rPr>
          <w:sz w:val="24"/>
        </w:rPr>
        <w:t>of</w:t>
      </w:r>
      <w:r>
        <w:rPr>
          <w:spacing w:val="40"/>
          <w:sz w:val="24"/>
        </w:rPr>
        <w:t> </w:t>
      </w:r>
      <w:r>
        <w:rPr>
          <w:sz w:val="24"/>
        </w:rPr>
        <w:t>or</w:t>
      </w:r>
      <w:r>
        <w:rPr>
          <w:spacing w:val="40"/>
          <w:sz w:val="24"/>
        </w:rPr>
        <w:t> </w:t>
      </w:r>
      <w:r>
        <w:rPr>
          <w:sz w:val="24"/>
        </w:rPr>
        <w:t>is</w:t>
      </w:r>
      <w:r>
        <w:rPr>
          <w:spacing w:val="40"/>
          <w:sz w:val="24"/>
        </w:rPr>
        <w:t> </w:t>
      </w:r>
      <w:r>
        <w:rPr>
          <w:sz w:val="24"/>
        </w:rPr>
        <w:t>entrusted</w:t>
      </w:r>
      <w:r>
        <w:rPr>
          <w:spacing w:val="40"/>
          <w:sz w:val="24"/>
        </w:rPr>
        <w:t> </w:t>
      </w:r>
      <w:r>
        <w:rPr>
          <w:sz w:val="24"/>
        </w:rPr>
        <w:t>with</w:t>
      </w:r>
      <w:r>
        <w:rPr>
          <w:spacing w:val="64"/>
          <w:sz w:val="24"/>
        </w:rPr>
        <w:t> </w:t>
      </w:r>
      <w:r>
        <w:rPr>
          <w:sz w:val="24"/>
        </w:rPr>
        <w:t>or is concerned with any building devoted to religious or charitable purposes; and</w:t>
      </w:r>
    </w:p>
    <w:p>
      <w:pPr>
        <w:pStyle w:val="ListParagraph"/>
        <w:numPr>
          <w:ilvl w:val="1"/>
          <w:numId w:val="6"/>
        </w:numPr>
        <w:tabs>
          <w:tab w:pos="1763" w:val="left" w:leader="none"/>
        </w:tabs>
        <w:spacing w:line="240" w:lineRule="auto" w:before="0" w:after="0"/>
        <w:ind w:left="1763" w:right="0" w:hanging="707"/>
        <w:jc w:val="both"/>
        <w:rPr>
          <w:sz w:val="24"/>
        </w:rPr>
      </w:pPr>
      <w:r>
        <w:rPr>
          <w:sz w:val="24"/>
        </w:rPr>
        <w:t>a</w:t>
      </w:r>
      <w:r>
        <w:rPr>
          <w:spacing w:val="46"/>
          <w:sz w:val="24"/>
        </w:rPr>
        <w:t> </w:t>
      </w:r>
      <w:r>
        <w:rPr>
          <w:sz w:val="24"/>
        </w:rPr>
        <w:t>mortgagee</w:t>
      </w:r>
      <w:r>
        <w:rPr>
          <w:spacing w:val="46"/>
          <w:sz w:val="24"/>
        </w:rPr>
        <w:t> </w:t>
      </w:r>
      <w:r>
        <w:rPr>
          <w:sz w:val="24"/>
        </w:rPr>
        <w:t>in</w:t>
      </w:r>
      <w:r>
        <w:rPr>
          <w:spacing w:val="50"/>
          <w:sz w:val="24"/>
        </w:rPr>
        <w:t> </w:t>
      </w:r>
      <w:r>
        <w:rPr>
          <w:spacing w:val="7"/>
          <w:sz w:val="24"/>
        </w:rPr>
        <w:t>possession.</w:t>
      </w:r>
    </w:p>
    <w:p>
      <w:pPr>
        <w:pStyle w:val="ListParagraph"/>
        <w:numPr>
          <w:ilvl w:val="0"/>
          <w:numId w:val="6"/>
        </w:numPr>
        <w:tabs>
          <w:tab w:pos="1762" w:val="left" w:leader="none"/>
          <w:tab w:pos="1766" w:val="left" w:leader="none"/>
        </w:tabs>
        <w:spacing w:line="240" w:lineRule="auto" w:before="280" w:after="0"/>
        <w:ind w:left="1766" w:right="791" w:hanging="711"/>
        <w:jc w:val="both"/>
        <w:rPr>
          <w:sz w:val="24"/>
        </w:rPr>
      </w:pPr>
      <w:r>
        <w:rPr>
          <w:sz w:val="24"/>
        </w:rPr>
        <w:t>"Parapet"</w:t>
      </w:r>
      <w:r>
        <w:rPr>
          <w:spacing w:val="40"/>
          <w:sz w:val="24"/>
        </w:rPr>
        <w:t> </w:t>
      </w:r>
      <w:r>
        <w:rPr>
          <w:sz w:val="24"/>
        </w:rPr>
        <w:t>means</w:t>
      </w:r>
      <w:r>
        <w:rPr>
          <w:spacing w:val="40"/>
          <w:sz w:val="24"/>
        </w:rPr>
        <w:t> </w:t>
      </w:r>
      <w:r>
        <w:rPr>
          <w:sz w:val="24"/>
        </w:rPr>
        <w:t>a</w:t>
      </w:r>
      <w:r>
        <w:rPr>
          <w:spacing w:val="40"/>
          <w:sz w:val="24"/>
        </w:rPr>
        <w:t> </w:t>
      </w:r>
      <w:r>
        <w:rPr>
          <w:sz w:val="24"/>
        </w:rPr>
        <w:t>low</w:t>
      </w:r>
      <w:r>
        <w:rPr>
          <w:spacing w:val="40"/>
          <w:sz w:val="24"/>
        </w:rPr>
        <w:t> </w:t>
      </w:r>
      <w:r>
        <w:rPr>
          <w:sz w:val="24"/>
        </w:rPr>
        <w:t>wall</w:t>
      </w:r>
      <w:r>
        <w:rPr>
          <w:spacing w:val="40"/>
          <w:sz w:val="24"/>
        </w:rPr>
        <w:t> </w:t>
      </w:r>
      <w:r>
        <w:rPr>
          <w:sz w:val="24"/>
        </w:rPr>
        <w:t>or</w:t>
      </w:r>
      <w:r>
        <w:rPr>
          <w:spacing w:val="40"/>
          <w:sz w:val="24"/>
        </w:rPr>
        <w:t> </w:t>
      </w:r>
      <w:r>
        <w:rPr>
          <w:sz w:val="24"/>
        </w:rPr>
        <w:t>railing</w:t>
      </w:r>
      <w:r>
        <w:rPr>
          <w:spacing w:val="40"/>
          <w:sz w:val="24"/>
        </w:rPr>
        <w:t> </w:t>
      </w:r>
      <w:r>
        <w:rPr>
          <w:sz w:val="24"/>
        </w:rPr>
        <w:t>built</w:t>
      </w:r>
      <w:r>
        <w:rPr>
          <w:spacing w:val="40"/>
          <w:sz w:val="24"/>
        </w:rPr>
        <w:t> </w:t>
      </w:r>
      <w:r>
        <w:rPr>
          <w:sz w:val="24"/>
        </w:rPr>
        <w:t>along</w:t>
      </w:r>
      <w:r>
        <w:rPr>
          <w:spacing w:val="40"/>
          <w:sz w:val="24"/>
        </w:rPr>
        <w:t> </w:t>
      </w:r>
      <w:r>
        <w:rPr>
          <w:sz w:val="24"/>
        </w:rPr>
        <w:t>the</w:t>
      </w:r>
      <w:r>
        <w:rPr>
          <w:spacing w:val="40"/>
          <w:sz w:val="24"/>
        </w:rPr>
        <w:t> </w:t>
      </w:r>
      <w:r>
        <w:rPr>
          <w:sz w:val="24"/>
        </w:rPr>
        <w:t>edge</w:t>
      </w:r>
      <w:r>
        <w:rPr>
          <w:spacing w:val="40"/>
          <w:sz w:val="24"/>
        </w:rPr>
        <w:t> </w:t>
      </w:r>
      <w:r>
        <w:rPr>
          <w:sz w:val="24"/>
        </w:rPr>
        <w:t>of</w:t>
      </w:r>
      <w:r>
        <w:rPr>
          <w:spacing w:val="40"/>
          <w:sz w:val="24"/>
        </w:rPr>
        <w:t> </w:t>
      </w:r>
      <w:r>
        <w:rPr>
          <w:sz w:val="24"/>
        </w:rPr>
        <w:t>the</w:t>
      </w:r>
      <w:r>
        <w:rPr>
          <w:spacing w:val="40"/>
          <w:sz w:val="24"/>
        </w:rPr>
        <w:t> </w:t>
      </w:r>
      <w:r>
        <w:rPr>
          <w:sz w:val="24"/>
        </w:rPr>
        <w:t>roof or a </w:t>
      </w:r>
      <w:r>
        <w:rPr>
          <w:spacing w:val="9"/>
          <w:sz w:val="24"/>
        </w:rPr>
        <w:t>floor.</w:t>
      </w:r>
    </w:p>
    <w:p>
      <w:pPr>
        <w:pStyle w:val="BodyText"/>
        <w:spacing w:before="2"/>
        <w:jc w:val="left"/>
      </w:pPr>
    </w:p>
    <w:p>
      <w:pPr>
        <w:pStyle w:val="ListParagraph"/>
        <w:numPr>
          <w:ilvl w:val="0"/>
          <w:numId w:val="6"/>
        </w:numPr>
        <w:tabs>
          <w:tab w:pos="1762" w:val="left" w:leader="none"/>
          <w:tab w:pos="1766" w:val="left" w:leader="none"/>
        </w:tabs>
        <w:spacing w:line="240" w:lineRule="auto" w:before="0" w:after="0"/>
        <w:ind w:left="1766" w:right="773" w:hanging="711"/>
        <w:jc w:val="both"/>
        <w:rPr>
          <w:sz w:val="24"/>
        </w:rPr>
      </w:pPr>
      <w:r>
        <w:rPr>
          <w:sz w:val="24"/>
        </w:rPr>
        <w:t>"Parking</w:t>
      </w:r>
      <w:r>
        <w:rPr>
          <w:spacing w:val="40"/>
          <w:sz w:val="24"/>
        </w:rPr>
        <w:t> </w:t>
      </w:r>
      <w:r>
        <w:rPr>
          <w:sz w:val="24"/>
        </w:rPr>
        <w:t>space,”</w:t>
      </w:r>
      <w:r>
        <w:rPr>
          <w:spacing w:val="40"/>
          <w:sz w:val="24"/>
        </w:rPr>
        <w:t> </w:t>
      </w:r>
      <w:r>
        <w:rPr>
          <w:sz w:val="24"/>
        </w:rPr>
        <w:t>means</w:t>
      </w:r>
      <w:r>
        <w:rPr>
          <w:spacing w:val="40"/>
          <w:sz w:val="24"/>
        </w:rPr>
        <w:t> </w:t>
      </w:r>
      <w:r>
        <w:rPr>
          <w:sz w:val="24"/>
        </w:rPr>
        <w:t>an</w:t>
      </w:r>
      <w:r>
        <w:rPr>
          <w:spacing w:val="40"/>
          <w:sz w:val="24"/>
        </w:rPr>
        <w:t> </w:t>
      </w:r>
      <w:r>
        <w:rPr>
          <w:sz w:val="24"/>
        </w:rPr>
        <w:t>enclosed</w:t>
      </w:r>
      <w:r>
        <w:rPr>
          <w:spacing w:val="40"/>
          <w:sz w:val="24"/>
        </w:rPr>
        <w:t> </w:t>
      </w:r>
      <w:r>
        <w:rPr>
          <w:sz w:val="24"/>
        </w:rPr>
        <w:t>or</w:t>
      </w:r>
      <w:r>
        <w:rPr>
          <w:spacing w:val="40"/>
          <w:sz w:val="24"/>
        </w:rPr>
        <w:t> </w:t>
      </w:r>
      <w:r>
        <w:rPr>
          <w:sz w:val="24"/>
        </w:rPr>
        <w:t>unenclosed,</w:t>
      </w:r>
      <w:r>
        <w:rPr>
          <w:spacing w:val="40"/>
          <w:sz w:val="24"/>
        </w:rPr>
        <w:t> </w:t>
      </w:r>
      <w:r>
        <w:rPr>
          <w:sz w:val="24"/>
        </w:rPr>
        <w:t>covered</w:t>
      </w:r>
      <w:r>
        <w:rPr>
          <w:spacing w:val="40"/>
          <w:sz w:val="24"/>
        </w:rPr>
        <w:t> </w:t>
      </w:r>
      <w:r>
        <w:rPr>
          <w:sz w:val="24"/>
        </w:rPr>
        <w:t>or</w:t>
      </w:r>
      <w:r>
        <w:rPr>
          <w:spacing w:val="40"/>
          <w:sz w:val="24"/>
        </w:rPr>
        <w:t> </w:t>
      </w:r>
      <w:r>
        <w:rPr>
          <w:sz w:val="24"/>
        </w:rPr>
        <w:t>open area or area provided by mechanical means </w:t>
      </w:r>
      <w:r>
        <w:rPr>
          <w:spacing w:val="9"/>
          <w:sz w:val="24"/>
        </w:rPr>
        <w:t>sufficient </w:t>
      </w:r>
      <w:r>
        <w:rPr>
          <w:sz w:val="24"/>
        </w:rPr>
        <w:t>in size to park vehicles.</w:t>
      </w:r>
      <w:r>
        <w:rPr>
          <w:spacing w:val="40"/>
          <w:sz w:val="24"/>
        </w:rPr>
        <w:t> </w:t>
      </w:r>
      <w:r>
        <w:rPr>
          <w:sz w:val="24"/>
        </w:rPr>
        <w:t>Parking</w:t>
      </w:r>
      <w:r>
        <w:rPr>
          <w:spacing w:val="40"/>
          <w:sz w:val="24"/>
        </w:rPr>
        <w:t> </w:t>
      </w:r>
      <w:r>
        <w:rPr>
          <w:sz w:val="24"/>
        </w:rPr>
        <w:t>spaces</w:t>
      </w:r>
      <w:r>
        <w:rPr>
          <w:spacing w:val="40"/>
          <w:sz w:val="24"/>
        </w:rPr>
        <w:t> </w:t>
      </w:r>
      <w:r>
        <w:rPr>
          <w:sz w:val="24"/>
        </w:rPr>
        <w:t>shall</w:t>
      </w:r>
      <w:r>
        <w:rPr>
          <w:spacing w:val="40"/>
          <w:sz w:val="24"/>
        </w:rPr>
        <w:t> </w:t>
      </w:r>
      <w:r>
        <w:rPr>
          <w:sz w:val="24"/>
        </w:rPr>
        <w:t>be</w:t>
      </w:r>
      <w:r>
        <w:rPr>
          <w:spacing w:val="40"/>
          <w:sz w:val="24"/>
        </w:rPr>
        <w:t> </w:t>
      </w:r>
      <w:r>
        <w:rPr>
          <w:sz w:val="24"/>
        </w:rPr>
        <w:t>served</w:t>
      </w:r>
      <w:r>
        <w:rPr>
          <w:spacing w:val="40"/>
          <w:sz w:val="24"/>
        </w:rPr>
        <w:t> </w:t>
      </w:r>
      <w:r>
        <w:rPr>
          <w:sz w:val="24"/>
        </w:rPr>
        <w:t>by</w:t>
      </w:r>
      <w:r>
        <w:rPr>
          <w:spacing w:val="40"/>
          <w:sz w:val="24"/>
        </w:rPr>
        <w:t> </w:t>
      </w:r>
      <w:r>
        <w:rPr>
          <w:sz w:val="24"/>
        </w:rPr>
        <w:t>a</w:t>
      </w:r>
      <w:r>
        <w:rPr>
          <w:spacing w:val="40"/>
          <w:sz w:val="24"/>
        </w:rPr>
        <w:t> </w:t>
      </w:r>
      <w:r>
        <w:rPr>
          <w:sz w:val="24"/>
        </w:rPr>
        <w:t>driveway</w:t>
      </w:r>
      <w:r>
        <w:rPr>
          <w:spacing w:val="40"/>
          <w:sz w:val="24"/>
        </w:rPr>
        <w:t> </w:t>
      </w:r>
      <w:r>
        <w:rPr>
          <w:sz w:val="24"/>
        </w:rPr>
        <w:t>connecting them</w:t>
      </w:r>
      <w:r>
        <w:rPr>
          <w:spacing w:val="40"/>
          <w:sz w:val="24"/>
        </w:rPr>
        <w:t> </w:t>
      </w:r>
      <w:r>
        <w:rPr>
          <w:sz w:val="24"/>
        </w:rPr>
        <w:t>with</w:t>
      </w:r>
      <w:r>
        <w:rPr>
          <w:spacing w:val="40"/>
          <w:sz w:val="24"/>
        </w:rPr>
        <w:t> </w:t>
      </w:r>
      <w:r>
        <w:rPr>
          <w:sz w:val="24"/>
        </w:rPr>
        <w:t>a</w:t>
      </w:r>
      <w:r>
        <w:rPr>
          <w:spacing w:val="40"/>
          <w:sz w:val="24"/>
        </w:rPr>
        <w:t> </w:t>
      </w:r>
      <w:r>
        <w:rPr>
          <w:sz w:val="24"/>
        </w:rPr>
        <w:t>street</w:t>
      </w:r>
      <w:r>
        <w:rPr>
          <w:spacing w:val="40"/>
          <w:sz w:val="24"/>
        </w:rPr>
        <w:t> </w:t>
      </w:r>
      <w:r>
        <w:rPr>
          <w:sz w:val="24"/>
        </w:rPr>
        <w:t>or</w:t>
      </w:r>
      <w:r>
        <w:rPr>
          <w:spacing w:val="40"/>
          <w:sz w:val="24"/>
        </w:rPr>
        <w:t> </w:t>
      </w:r>
      <w:r>
        <w:rPr>
          <w:sz w:val="24"/>
        </w:rPr>
        <w:t>alley</w:t>
      </w:r>
      <w:r>
        <w:rPr>
          <w:spacing w:val="40"/>
          <w:sz w:val="24"/>
        </w:rPr>
        <w:t> </w:t>
      </w:r>
      <w:r>
        <w:rPr>
          <w:sz w:val="24"/>
        </w:rPr>
        <w:t>and</w:t>
      </w:r>
      <w:r>
        <w:rPr>
          <w:spacing w:val="40"/>
          <w:sz w:val="24"/>
        </w:rPr>
        <w:t> </w:t>
      </w:r>
      <w:r>
        <w:rPr>
          <w:sz w:val="24"/>
        </w:rPr>
        <w:t>permitting</w:t>
      </w:r>
      <w:r>
        <w:rPr>
          <w:spacing w:val="40"/>
          <w:sz w:val="24"/>
        </w:rPr>
        <w:t> </w:t>
      </w:r>
      <w:r>
        <w:rPr>
          <w:sz w:val="24"/>
        </w:rPr>
        <w:t>ingress</w:t>
      </w:r>
      <w:r>
        <w:rPr>
          <w:spacing w:val="40"/>
          <w:sz w:val="24"/>
        </w:rPr>
        <w:t> </w:t>
      </w:r>
      <w:r>
        <w:rPr>
          <w:sz w:val="24"/>
        </w:rPr>
        <w:t>or</w:t>
      </w:r>
      <w:r>
        <w:rPr>
          <w:spacing w:val="40"/>
          <w:sz w:val="24"/>
        </w:rPr>
        <w:t> </w:t>
      </w:r>
      <w:r>
        <w:rPr>
          <w:sz w:val="24"/>
        </w:rPr>
        <w:t>egress</w:t>
      </w:r>
      <w:r>
        <w:rPr>
          <w:spacing w:val="40"/>
          <w:sz w:val="24"/>
        </w:rPr>
        <w:t> </w:t>
      </w:r>
      <w:r>
        <w:rPr>
          <w:sz w:val="24"/>
        </w:rPr>
        <w:t>of </w:t>
      </w:r>
      <w:r>
        <w:rPr>
          <w:spacing w:val="-2"/>
          <w:sz w:val="24"/>
        </w:rPr>
        <w:t>vehicles.</w:t>
      </w:r>
    </w:p>
    <w:p>
      <w:pPr>
        <w:pStyle w:val="ListParagraph"/>
        <w:numPr>
          <w:ilvl w:val="0"/>
          <w:numId w:val="6"/>
        </w:numPr>
        <w:tabs>
          <w:tab w:pos="1532" w:val="left" w:leader="none"/>
          <w:tab w:pos="1766" w:val="left" w:leader="none"/>
        </w:tabs>
        <w:spacing w:line="240" w:lineRule="auto" w:before="281" w:after="0"/>
        <w:ind w:left="1766" w:right="791" w:hanging="711"/>
        <w:jc w:val="both"/>
        <w:rPr>
          <w:sz w:val="22"/>
        </w:rPr>
      </w:pPr>
      <w:r>
        <w:rPr>
          <w:sz w:val="24"/>
        </w:rPr>
        <w:t>"Partition"</w:t>
      </w:r>
      <w:r>
        <w:rPr>
          <w:spacing w:val="40"/>
          <w:sz w:val="24"/>
        </w:rPr>
        <w:t> </w:t>
      </w:r>
      <w:r>
        <w:rPr>
          <w:sz w:val="24"/>
        </w:rPr>
        <w:t>means</w:t>
      </w:r>
      <w:r>
        <w:rPr>
          <w:spacing w:val="40"/>
          <w:sz w:val="24"/>
        </w:rPr>
        <w:t> </w:t>
      </w:r>
      <w:r>
        <w:rPr>
          <w:sz w:val="24"/>
        </w:rPr>
        <w:t>an</w:t>
      </w:r>
      <w:r>
        <w:rPr>
          <w:spacing w:val="40"/>
          <w:sz w:val="24"/>
        </w:rPr>
        <w:t> </w:t>
      </w:r>
      <w:r>
        <w:rPr>
          <w:sz w:val="24"/>
        </w:rPr>
        <w:t>interior</w:t>
      </w:r>
      <w:r>
        <w:rPr>
          <w:spacing w:val="40"/>
          <w:sz w:val="24"/>
        </w:rPr>
        <w:t> </w:t>
      </w:r>
      <w:r>
        <w:rPr>
          <w:spacing w:val="12"/>
          <w:sz w:val="24"/>
        </w:rPr>
        <w:t>non-</w:t>
      </w:r>
      <w:r>
        <w:rPr>
          <w:sz w:val="24"/>
        </w:rPr>
        <w:t>load</w:t>
      </w:r>
      <w:r>
        <w:rPr>
          <w:spacing w:val="40"/>
          <w:sz w:val="24"/>
        </w:rPr>
        <w:t> </w:t>
      </w:r>
      <w:r>
        <w:rPr>
          <w:sz w:val="24"/>
        </w:rPr>
        <w:t>bearing</w:t>
      </w:r>
      <w:r>
        <w:rPr>
          <w:spacing w:val="40"/>
          <w:sz w:val="24"/>
        </w:rPr>
        <w:t> </w:t>
      </w:r>
      <w:r>
        <w:rPr>
          <w:sz w:val="24"/>
        </w:rPr>
        <w:t>barrier,</w:t>
      </w:r>
      <w:r>
        <w:rPr>
          <w:spacing w:val="40"/>
          <w:sz w:val="24"/>
        </w:rPr>
        <w:t> </w:t>
      </w:r>
      <w:r>
        <w:rPr>
          <w:sz w:val="24"/>
        </w:rPr>
        <w:t>one</w:t>
      </w:r>
      <w:r>
        <w:rPr>
          <w:spacing w:val="40"/>
          <w:sz w:val="24"/>
        </w:rPr>
        <w:t> </w:t>
      </w:r>
      <w:r>
        <w:rPr>
          <w:sz w:val="24"/>
        </w:rPr>
        <w:t>storey</w:t>
      </w:r>
      <w:r>
        <w:rPr>
          <w:spacing w:val="40"/>
          <w:sz w:val="24"/>
        </w:rPr>
        <w:t> </w:t>
      </w:r>
      <w:r>
        <w:rPr>
          <w:sz w:val="24"/>
        </w:rPr>
        <w:t>or part storey in </w:t>
      </w:r>
      <w:r>
        <w:rPr>
          <w:spacing w:val="9"/>
          <w:sz w:val="24"/>
        </w:rPr>
        <w:t>height.</w:t>
      </w:r>
    </w:p>
    <w:p>
      <w:pPr>
        <w:pStyle w:val="BodyText"/>
        <w:jc w:val="left"/>
      </w:pPr>
    </w:p>
    <w:p>
      <w:pPr>
        <w:pStyle w:val="ListParagraph"/>
        <w:numPr>
          <w:ilvl w:val="0"/>
          <w:numId w:val="6"/>
        </w:numPr>
        <w:tabs>
          <w:tab w:pos="1533" w:val="left" w:leader="none"/>
        </w:tabs>
        <w:spacing w:line="240" w:lineRule="auto" w:before="0" w:after="0"/>
        <w:ind w:left="1533" w:right="0" w:hanging="477"/>
        <w:jc w:val="left"/>
        <w:rPr>
          <w:sz w:val="22"/>
        </w:rPr>
      </w:pPr>
      <w:r>
        <w:rPr>
          <w:sz w:val="24"/>
        </w:rPr>
        <w:t>"Permanent</w:t>
      </w:r>
      <w:r>
        <w:rPr>
          <w:spacing w:val="67"/>
          <w:sz w:val="24"/>
        </w:rPr>
        <w:t> </w:t>
      </w:r>
      <w:r>
        <w:rPr>
          <w:sz w:val="24"/>
        </w:rPr>
        <w:t>open</w:t>
      </w:r>
      <w:r>
        <w:rPr>
          <w:spacing w:val="63"/>
          <w:sz w:val="24"/>
        </w:rPr>
        <w:t> </w:t>
      </w:r>
      <w:r>
        <w:rPr>
          <w:sz w:val="24"/>
        </w:rPr>
        <w:t>air</w:t>
      </w:r>
      <w:r>
        <w:rPr>
          <w:spacing w:val="64"/>
          <w:sz w:val="24"/>
        </w:rPr>
        <w:t> </w:t>
      </w:r>
      <w:r>
        <w:rPr>
          <w:sz w:val="24"/>
        </w:rPr>
        <w:t>space"</w:t>
      </w:r>
      <w:r>
        <w:rPr>
          <w:spacing w:val="67"/>
          <w:sz w:val="24"/>
        </w:rPr>
        <w:t> </w:t>
      </w:r>
      <w:r>
        <w:rPr>
          <w:sz w:val="24"/>
        </w:rPr>
        <w:t>means</w:t>
      </w:r>
      <w:r>
        <w:rPr>
          <w:spacing w:val="64"/>
          <w:sz w:val="24"/>
        </w:rPr>
        <w:t> </w:t>
      </w:r>
      <w:r>
        <w:rPr>
          <w:sz w:val="24"/>
        </w:rPr>
        <w:t>air</w:t>
      </w:r>
      <w:r>
        <w:rPr>
          <w:spacing w:val="63"/>
          <w:sz w:val="24"/>
        </w:rPr>
        <w:t> </w:t>
      </w:r>
      <w:r>
        <w:rPr>
          <w:sz w:val="24"/>
        </w:rPr>
        <w:t>space</w:t>
      </w:r>
      <w:r>
        <w:rPr>
          <w:spacing w:val="63"/>
          <w:sz w:val="24"/>
        </w:rPr>
        <w:t> </w:t>
      </w:r>
      <w:r>
        <w:rPr>
          <w:sz w:val="24"/>
        </w:rPr>
        <w:t>permanently</w:t>
      </w:r>
      <w:r>
        <w:rPr>
          <w:spacing w:val="64"/>
          <w:sz w:val="24"/>
        </w:rPr>
        <w:t> </w:t>
      </w:r>
      <w:r>
        <w:rPr>
          <w:spacing w:val="-2"/>
          <w:sz w:val="24"/>
        </w:rPr>
        <w:t>open;</w:t>
      </w:r>
    </w:p>
    <w:p>
      <w:pPr>
        <w:pStyle w:val="BodyText"/>
        <w:spacing w:before="1"/>
        <w:jc w:val="left"/>
      </w:pPr>
    </w:p>
    <w:p>
      <w:pPr>
        <w:pStyle w:val="ListParagraph"/>
        <w:numPr>
          <w:ilvl w:val="1"/>
          <w:numId w:val="6"/>
        </w:numPr>
        <w:tabs>
          <w:tab w:pos="1764" w:val="left" w:leader="none"/>
        </w:tabs>
        <w:spacing w:line="281" w:lineRule="exact" w:before="0" w:after="0"/>
        <w:ind w:left="1764" w:right="0" w:hanging="708"/>
        <w:jc w:val="both"/>
        <w:rPr>
          <w:sz w:val="24"/>
        </w:rPr>
      </w:pPr>
      <w:r>
        <w:rPr>
          <w:sz w:val="24"/>
        </w:rPr>
        <w:t>if</w:t>
      </w:r>
      <w:r>
        <w:rPr>
          <w:spacing w:val="25"/>
          <w:sz w:val="24"/>
        </w:rPr>
        <w:t> </w:t>
      </w:r>
      <w:r>
        <w:rPr>
          <w:sz w:val="24"/>
        </w:rPr>
        <w:t>it</w:t>
      </w:r>
      <w:r>
        <w:rPr>
          <w:spacing w:val="26"/>
          <w:sz w:val="24"/>
        </w:rPr>
        <w:t> </w:t>
      </w:r>
      <w:r>
        <w:rPr>
          <w:sz w:val="24"/>
        </w:rPr>
        <w:t>is</w:t>
      </w:r>
      <w:r>
        <w:rPr>
          <w:spacing w:val="28"/>
          <w:sz w:val="24"/>
        </w:rPr>
        <w:t> </w:t>
      </w:r>
      <w:r>
        <w:rPr>
          <w:sz w:val="24"/>
        </w:rPr>
        <w:t>a</w:t>
      </w:r>
      <w:r>
        <w:rPr>
          <w:spacing w:val="26"/>
          <w:sz w:val="24"/>
        </w:rPr>
        <w:t> </w:t>
      </w:r>
      <w:r>
        <w:rPr>
          <w:spacing w:val="7"/>
          <w:sz w:val="24"/>
        </w:rPr>
        <w:t>street,</w:t>
      </w:r>
    </w:p>
    <w:p>
      <w:pPr>
        <w:pStyle w:val="ListParagraph"/>
        <w:numPr>
          <w:ilvl w:val="1"/>
          <w:numId w:val="6"/>
        </w:numPr>
        <w:tabs>
          <w:tab w:pos="1762" w:val="left" w:leader="none"/>
          <w:tab w:pos="1766" w:val="left" w:leader="none"/>
        </w:tabs>
        <w:spacing w:line="240" w:lineRule="auto" w:before="0" w:after="0"/>
        <w:ind w:left="1766" w:right="773" w:hanging="711"/>
        <w:jc w:val="both"/>
        <w:rPr>
          <w:sz w:val="24"/>
        </w:rPr>
      </w:pPr>
      <w:r>
        <w:rPr>
          <w:sz w:val="24"/>
        </w:rPr>
        <w:t>if its freedom from encroachment is protected by any law or contract ensuring that the ground below it is either a street or is </w:t>
      </w:r>
      <w:r>
        <w:rPr>
          <w:spacing w:val="9"/>
          <w:sz w:val="24"/>
        </w:rPr>
        <w:t>permanently </w:t>
      </w:r>
      <w:r>
        <w:rPr>
          <w:sz w:val="24"/>
        </w:rPr>
        <w:t>and</w:t>
      </w:r>
      <w:r>
        <w:rPr>
          <w:spacing w:val="40"/>
          <w:sz w:val="24"/>
        </w:rPr>
        <w:t> </w:t>
      </w:r>
      <w:r>
        <w:rPr>
          <w:sz w:val="24"/>
        </w:rPr>
        <w:t>irrevocably</w:t>
      </w:r>
      <w:r>
        <w:rPr>
          <w:spacing w:val="40"/>
          <w:sz w:val="24"/>
        </w:rPr>
        <w:t> </w:t>
      </w:r>
      <w:r>
        <w:rPr>
          <w:sz w:val="24"/>
        </w:rPr>
        <w:t>appropriated</w:t>
      </w:r>
      <w:r>
        <w:rPr>
          <w:spacing w:val="40"/>
          <w:sz w:val="24"/>
        </w:rPr>
        <w:t> </w:t>
      </w:r>
      <w:r>
        <w:rPr>
          <w:sz w:val="24"/>
        </w:rPr>
        <w:t>as</w:t>
      </w:r>
      <w:r>
        <w:rPr>
          <w:spacing w:val="40"/>
          <w:sz w:val="24"/>
        </w:rPr>
        <w:t> </w:t>
      </w:r>
      <w:r>
        <w:rPr>
          <w:sz w:val="24"/>
        </w:rPr>
        <w:t>an</w:t>
      </w:r>
      <w:r>
        <w:rPr>
          <w:spacing w:val="40"/>
          <w:sz w:val="24"/>
        </w:rPr>
        <w:t> </w:t>
      </w:r>
      <w:r>
        <w:rPr>
          <w:sz w:val="24"/>
        </w:rPr>
        <w:t>open</w:t>
      </w:r>
      <w:r>
        <w:rPr>
          <w:spacing w:val="40"/>
          <w:sz w:val="24"/>
        </w:rPr>
        <w:t> </w:t>
      </w:r>
      <w:r>
        <w:rPr>
          <w:spacing w:val="9"/>
          <w:sz w:val="24"/>
        </w:rPr>
        <w:t>space.</w:t>
      </w:r>
    </w:p>
    <w:p>
      <w:pPr>
        <w:pStyle w:val="ListParagraph"/>
        <w:spacing w:after="0" w:line="240" w:lineRule="auto"/>
        <w:jc w:val="both"/>
        <w:rPr>
          <w:sz w:val="24"/>
        </w:rPr>
        <w:sectPr>
          <w:pgSz w:w="11910" w:h="16840"/>
          <w:pgMar w:header="1058" w:footer="1357" w:top="1500" w:bottom="1540" w:left="360" w:right="360"/>
        </w:sectPr>
      </w:pPr>
    </w:p>
    <w:p>
      <w:pPr>
        <w:pStyle w:val="BodyText"/>
        <w:spacing w:before="255"/>
        <w:ind w:left="1766" w:right="784"/>
      </w:pPr>
      <w:r>
        <w:rPr/>
        <w:t>In Determining the open-air space required for construction of a</w:t>
      </w:r>
      <w:r>
        <w:rPr>
          <w:spacing w:val="40"/>
        </w:rPr>
        <w:t> </w:t>
      </w:r>
      <w:r>
        <w:rPr/>
        <w:t>building, any space occupied by an existing structure may, on its planned</w:t>
      </w:r>
      <w:r>
        <w:rPr>
          <w:spacing w:val="40"/>
        </w:rPr>
        <w:t> </w:t>
      </w:r>
      <w:r>
        <w:rPr/>
        <w:t>demolition</w:t>
      </w:r>
      <w:r>
        <w:rPr>
          <w:spacing w:val="40"/>
        </w:rPr>
        <w:t> </w:t>
      </w:r>
      <w:r>
        <w:rPr/>
        <w:t>to</w:t>
      </w:r>
      <w:r>
        <w:rPr>
          <w:spacing w:val="40"/>
        </w:rPr>
        <w:t> </w:t>
      </w:r>
      <w:r>
        <w:rPr/>
        <w:t>become</w:t>
      </w:r>
      <w:r>
        <w:rPr>
          <w:spacing w:val="40"/>
        </w:rPr>
        <w:t> </w:t>
      </w:r>
      <w:r>
        <w:rPr/>
        <w:t>a</w:t>
      </w:r>
      <w:r>
        <w:rPr>
          <w:spacing w:val="40"/>
        </w:rPr>
        <w:t> </w:t>
      </w:r>
      <w:r>
        <w:rPr/>
        <w:t>permanently</w:t>
      </w:r>
      <w:r>
        <w:rPr>
          <w:spacing w:val="40"/>
        </w:rPr>
        <w:t> </w:t>
      </w:r>
      <w:r>
        <w:rPr/>
        <w:t>open</w:t>
      </w:r>
      <w:r>
        <w:rPr>
          <w:spacing w:val="40"/>
        </w:rPr>
        <w:t> </w:t>
      </w:r>
      <w:r>
        <w:rPr/>
        <w:t>air</w:t>
      </w:r>
      <w:r>
        <w:rPr>
          <w:spacing w:val="40"/>
        </w:rPr>
        <w:t> </w:t>
      </w:r>
      <w:r>
        <w:rPr/>
        <w:t>space,</w:t>
      </w:r>
      <w:r>
        <w:rPr>
          <w:spacing w:val="40"/>
        </w:rPr>
        <w:t> </w:t>
      </w:r>
      <w:r>
        <w:rPr/>
        <w:t>be treated</w:t>
      </w:r>
      <w:r>
        <w:rPr>
          <w:spacing w:val="40"/>
        </w:rPr>
        <w:t> </w:t>
      </w:r>
      <w:r>
        <w:rPr/>
        <w:t>as</w:t>
      </w:r>
      <w:r>
        <w:rPr>
          <w:spacing w:val="40"/>
        </w:rPr>
        <w:t> </w:t>
      </w:r>
      <w:r>
        <w:rPr/>
        <w:t>if</w:t>
      </w:r>
      <w:r>
        <w:rPr>
          <w:spacing w:val="40"/>
        </w:rPr>
        <w:t> </w:t>
      </w:r>
      <w:r>
        <w:rPr/>
        <w:t>it</w:t>
      </w:r>
      <w:r>
        <w:rPr>
          <w:spacing w:val="40"/>
        </w:rPr>
        <w:t> </w:t>
      </w:r>
      <w:r>
        <w:rPr/>
        <w:t>were</w:t>
      </w:r>
      <w:r>
        <w:rPr>
          <w:spacing w:val="40"/>
        </w:rPr>
        <w:t> </w:t>
      </w:r>
      <w:r>
        <w:rPr/>
        <w:t>already</w:t>
      </w:r>
      <w:r>
        <w:rPr>
          <w:spacing w:val="40"/>
        </w:rPr>
        <w:t> </w:t>
      </w:r>
      <w:r>
        <w:rPr/>
        <w:t>such</w:t>
      </w:r>
      <w:r>
        <w:rPr>
          <w:spacing w:val="40"/>
        </w:rPr>
        <w:t> </w:t>
      </w:r>
      <w:r>
        <w:rPr/>
        <w:t>a</w:t>
      </w:r>
      <w:r>
        <w:rPr>
          <w:spacing w:val="40"/>
        </w:rPr>
        <w:t> </w:t>
      </w:r>
      <w:r>
        <w:rPr>
          <w:spacing w:val="9"/>
        </w:rPr>
        <w:t>place.</w:t>
      </w:r>
    </w:p>
    <w:p>
      <w:pPr>
        <w:pStyle w:val="BodyText"/>
        <w:jc w:val="left"/>
      </w:pPr>
    </w:p>
    <w:p>
      <w:pPr>
        <w:pStyle w:val="ListParagraph"/>
        <w:numPr>
          <w:ilvl w:val="0"/>
          <w:numId w:val="6"/>
        </w:numPr>
        <w:tabs>
          <w:tab w:pos="1621" w:val="left" w:leader="none"/>
          <w:tab w:pos="1766" w:val="left" w:leader="none"/>
        </w:tabs>
        <w:spacing w:line="240" w:lineRule="auto" w:before="0" w:after="0"/>
        <w:ind w:left="1766" w:right="786" w:hanging="711"/>
        <w:jc w:val="both"/>
        <w:rPr>
          <w:sz w:val="24"/>
        </w:rPr>
      </w:pPr>
      <w:r>
        <w:rPr>
          <w:sz w:val="24"/>
        </w:rPr>
        <w:t>"Permission”</w:t>
      </w:r>
      <w:r>
        <w:rPr>
          <w:spacing w:val="40"/>
          <w:sz w:val="24"/>
        </w:rPr>
        <w:t> </w:t>
      </w:r>
      <w:r>
        <w:rPr>
          <w:sz w:val="24"/>
        </w:rPr>
        <w:t>means</w:t>
      </w:r>
      <w:r>
        <w:rPr>
          <w:spacing w:val="40"/>
          <w:sz w:val="24"/>
        </w:rPr>
        <w:t> </w:t>
      </w:r>
      <w:r>
        <w:rPr>
          <w:sz w:val="24"/>
        </w:rPr>
        <w:t>a</w:t>
      </w:r>
      <w:r>
        <w:rPr>
          <w:spacing w:val="40"/>
          <w:sz w:val="24"/>
        </w:rPr>
        <w:t> </w:t>
      </w:r>
      <w:r>
        <w:rPr>
          <w:sz w:val="24"/>
        </w:rPr>
        <w:t>valid</w:t>
      </w:r>
      <w:r>
        <w:rPr>
          <w:spacing w:val="40"/>
          <w:sz w:val="24"/>
        </w:rPr>
        <w:t> </w:t>
      </w:r>
      <w:r>
        <w:rPr>
          <w:sz w:val="24"/>
        </w:rPr>
        <w:t>permission</w:t>
      </w:r>
      <w:r>
        <w:rPr>
          <w:spacing w:val="40"/>
          <w:sz w:val="24"/>
        </w:rPr>
        <w:t> </w:t>
      </w:r>
      <w:r>
        <w:rPr>
          <w:sz w:val="24"/>
        </w:rPr>
        <w:t>or</w:t>
      </w:r>
      <w:r>
        <w:rPr>
          <w:spacing w:val="40"/>
          <w:sz w:val="24"/>
        </w:rPr>
        <w:t> </w:t>
      </w:r>
      <w:r>
        <w:rPr>
          <w:sz w:val="24"/>
        </w:rPr>
        <w:t>authorisation</w:t>
      </w:r>
      <w:r>
        <w:rPr>
          <w:spacing w:val="40"/>
          <w:sz w:val="24"/>
        </w:rPr>
        <w:t> </w:t>
      </w:r>
      <w:r>
        <w:rPr>
          <w:sz w:val="24"/>
        </w:rPr>
        <w:t>in</w:t>
      </w:r>
      <w:r>
        <w:rPr>
          <w:spacing w:val="40"/>
          <w:sz w:val="24"/>
        </w:rPr>
        <w:t> </w:t>
      </w:r>
      <w:r>
        <w:rPr>
          <w:sz w:val="24"/>
        </w:rPr>
        <w:t>writing</w:t>
      </w:r>
      <w:r>
        <w:rPr>
          <w:spacing w:val="40"/>
          <w:sz w:val="24"/>
        </w:rPr>
        <w:t> </w:t>
      </w:r>
      <w:r>
        <w:rPr>
          <w:sz w:val="24"/>
        </w:rPr>
        <w:t>by the</w:t>
      </w:r>
      <w:r>
        <w:rPr>
          <w:spacing w:val="80"/>
          <w:sz w:val="24"/>
        </w:rPr>
        <w:t> </w:t>
      </w:r>
      <w:r>
        <w:rPr>
          <w:sz w:val="24"/>
        </w:rPr>
        <w:t>competent</w:t>
      </w:r>
      <w:r>
        <w:rPr>
          <w:spacing w:val="80"/>
          <w:sz w:val="24"/>
        </w:rPr>
        <w:t> </w:t>
      </w:r>
      <w:r>
        <w:rPr>
          <w:sz w:val="24"/>
        </w:rPr>
        <w:t>authority</w:t>
      </w:r>
      <w:r>
        <w:rPr>
          <w:spacing w:val="80"/>
          <w:sz w:val="24"/>
        </w:rPr>
        <w:t> </w:t>
      </w:r>
      <w:r>
        <w:rPr>
          <w:sz w:val="24"/>
        </w:rPr>
        <w:t>to</w:t>
      </w:r>
      <w:r>
        <w:rPr>
          <w:spacing w:val="80"/>
          <w:sz w:val="24"/>
        </w:rPr>
        <w:t> </w:t>
      </w:r>
      <w:r>
        <w:rPr>
          <w:sz w:val="24"/>
        </w:rPr>
        <w:t>carry</w:t>
      </w:r>
      <w:r>
        <w:rPr>
          <w:spacing w:val="80"/>
          <w:sz w:val="24"/>
        </w:rPr>
        <w:t> </w:t>
      </w:r>
      <w:r>
        <w:rPr>
          <w:sz w:val="24"/>
        </w:rPr>
        <w:t>out</w:t>
      </w:r>
      <w:r>
        <w:rPr>
          <w:spacing w:val="80"/>
          <w:sz w:val="24"/>
        </w:rPr>
        <w:t> </w:t>
      </w:r>
      <w:r>
        <w:rPr>
          <w:sz w:val="24"/>
        </w:rPr>
        <w:t>development</w:t>
      </w:r>
      <w:r>
        <w:rPr>
          <w:spacing w:val="80"/>
          <w:sz w:val="24"/>
        </w:rPr>
        <w:t> </w:t>
      </w:r>
      <w:r>
        <w:rPr>
          <w:sz w:val="24"/>
        </w:rPr>
        <w:t>or</w:t>
      </w:r>
      <w:r>
        <w:rPr>
          <w:spacing w:val="80"/>
          <w:sz w:val="24"/>
        </w:rPr>
        <w:t> </w:t>
      </w:r>
      <w:r>
        <w:rPr>
          <w:sz w:val="24"/>
        </w:rPr>
        <w:t>a</w:t>
      </w:r>
      <w:r>
        <w:rPr>
          <w:spacing w:val="80"/>
          <w:sz w:val="24"/>
        </w:rPr>
        <w:t> </w:t>
      </w:r>
      <w:r>
        <w:rPr>
          <w:sz w:val="24"/>
        </w:rPr>
        <w:t>work regulated by the </w:t>
      </w:r>
      <w:r>
        <w:rPr>
          <w:spacing w:val="9"/>
          <w:sz w:val="24"/>
        </w:rPr>
        <w:t>Regulations.</w:t>
      </w:r>
    </w:p>
    <w:p>
      <w:pPr>
        <w:pStyle w:val="BodyText"/>
        <w:spacing w:before="1"/>
        <w:jc w:val="left"/>
      </w:pPr>
    </w:p>
    <w:p>
      <w:pPr>
        <w:pStyle w:val="ListParagraph"/>
        <w:numPr>
          <w:ilvl w:val="0"/>
          <w:numId w:val="6"/>
        </w:numPr>
        <w:tabs>
          <w:tab w:pos="1532" w:val="left" w:leader="none"/>
          <w:tab w:pos="1766" w:val="left" w:leader="none"/>
        </w:tabs>
        <w:spacing w:line="240" w:lineRule="auto" w:before="0" w:after="0"/>
        <w:ind w:left="1766" w:right="787" w:hanging="711"/>
        <w:jc w:val="both"/>
        <w:rPr>
          <w:sz w:val="22"/>
        </w:rPr>
      </w:pPr>
      <w:r>
        <w:rPr>
          <w:sz w:val="24"/>
        </w:rPr>
        <w:t>"Plinth" means the portion of a structure between the surface of the surrounding ground and surface of the floor immediately above the ground</w:t>
      </w:r>
      <w:r>
        <w:rPr>
          <w:spacing w:val="40"/>
          <w:sz w:val="24"/>
        </w:rPr>
        <w:t> </w:t>
      </w:r>
      <w:r>
        <w:rPr>
          <w:sz w:val="24"/>
        </w:rPr>
        <w:t>or</w:t>
      </w:r>
      <w:r>
        <w:rPr>
          <w:spacing w:val="40"/>
          <w:sz w:val="24"/>
        </w:rPr>
        <w:t> </w:t>
      </w:r>
      <w:r>
        <w:rPr>
          <w:sz w:val="24"/>
        </w:rPr>
        <w:t>basement</w:t>
      </w:r>
      <w:r>
        <w:rPr>
          <w:spacing w:val="40"/>
          <w:sz w:val="24"/>
        </w:rPr>
        <w:t> </w:t>
      </w:r>
      <w:r>
        <w:rPr>
          <w:sz w:val="24"/>
        </w:rPr>
        <w:t>or</w:t>
      </w:r>
      <w:r>
        <w:rPr>
          <w:spacing w:val="40"/>
          <w:sz w:val="24"/>
        </w:rPr>
        <w:t> </w:t>
      </w:r>
      <w:r>
        <w:rPr>
          <w:sz w:val="24"/>
        </w:rPr>
        <w:t>any</w:t>
      </w:r>
      <w:r>
        <w:rPr>
          <w:spacing w:val="40"/>
          <w:sz w:val="24"/>
        </w:rPr>
        <w:t> </w:t>
      </w:r>
      <w:r>
        <w:rPr>
          <w:sz w:val="24"/>
        </w:rPr>
        <w:t>storey</w:t>
      </w:r>
      <w:r>
        <w:rPr>
          <w:spacing w:val="40"/>
          <w:sz w:val="24"/>
        </w:rPr>
        <w:t> </w:t>
      </w:r>
      <w:r>
        <w:rPr>
          <w:sz w:val="24"/>
        </w:rPr>
        <w:t>level.</w:t>
      </w:r>
    </w:p>
    <w:p>
      <w:pPr>
        <w:pStyle w:val="ListParagraph"/>
        <w:numPr>
          <w:ilvl w:val="0"/>
          <w:numId w:val="6"/>
        </w:numPr>
        <w:tabs>
          <w:tab w:pos="1532" w:val="left" w:leader="none"/>
          <w:tab w:pos="1766" w:val="left" w:leader="none"/>
        </w:tabs>
        <w:spacing w:line="240" w:lineRule="auto" w:before="281" w:after="0"/>
        <w:ind w:left="1766" w:right="784" w:hanging="711"/>
        <w:jc w:val="both"/>
        <w:rPr>
          <w:sz w:val="22"/>
        </w:rPr>
      </w:pPr>
      <w:r>
        <w:rPr>
          <w:sz w:val="24"/>
        </w:rPr>
        <w:t>"Plinth area" means the</w:t>
      </w:r>
      <w:r>
        <w:rPr>
          <w:spacing w:val="10"/>
          <w:sz w:val="24"/>
        </w:rPr>
        <w:t> built-</w:t>
      </w:r>
      <w:r>
        <w:rPr>
          <w:sz w:val="24"/>
        </w:rPr>
        <w:t>up covered area measured at the</w:t>
      </w:r>
      <w:r>
        <w:rPr>
          <w:spacing w:val="40"/>
          <w:sz w:val="24"/>
        </w:rPr>
        <w:t> </w:t>
      </w:r>
      <w:r>
        <w:rPr>
          <w:sz w:val="24"/>
        </w:rPr>
        <w:t>plinth</w:t>
      </w:r>
      <w:r>
        <w:rPr>
          <w:spacing w:val="40"/>
          <w:sz w:val="24"/>
        </w:rPr>
        <w:t> </w:t>
      </w:r>
      <w:r>
        <w:rPr>
          <w:spacing w:val="-2"/>
          <w:sz w:val="24"/>
        </w:rPr>
        <w:t>level.</w:t>
      </w:r>
    </w:p>
    <w:p>
      <w:pPr>
        <w:pStyle w:val="ListParagraph"/>
        <w:numPr>
          <w:ilvl w:val="0"/>
          <w:numId w:val="6"/>
        </w:numPr>
        <w:tabs>
          <w:tab w:pos="1611" w:val="left" w:leader="none"/>
          <w:tab w:pos="1766" w:val="left" w:leader="none"/>
        </w:tabs>
        <w:spacing w:line="240" w:lineRule="auto" w:before="1" w:after="0"/>
        <w:ind w:left="1766" w:right="798" w:hanging="711"/>
        <w:jc w:val="both"/>
        <w:rPr>
          <w:sz w:val="24"/>
        </w:rPr>
      </w:pPr>
      <w:r>
        <w:rPr>
          <w:sz w:val="24"/>
        </w:rPr>
        <w:t>"Porch"</w:t>
      </w:r>
      <w:r>
        <w:rPr>
          <w:spacing w:val="40"/>
          <w:sz w:val="24"/>
        </w:rPr>
        <w:t> </w:t>
      </w:r>
      <w:r>
        <w:rPr>
          <w:sz w:val="24"/>
        </w:rPr>
        <w:t>means</w:t>
      </w:r>
      <w:r>
        <w:rPr>
          <w:spacing w:val="40"/>
          <w:sz w:val="24"/>
        </w:rPr>
        <w:t> </w:t>
      </w:r>
      <w:r>
        <w:rPr>
          <w:sz w:val="24"/>
        </w:rPr>
        <w:t>a</w:t>
      </w:r>
      <w:r>
        <w:rPr>
          <w:spacing w:val="40"/>
          <w:sz w:val="24"/>
        </w:rPr>
        <w:t> </w:t>
      </w:r>
      <w:r>
        <w:rPr>
          <w:sz w:val="24"/>
        </w:rPr>
        <w:t>covered</w:t>
      </w:r>
      <w:r>
        <w:rPr>
          <w:spacing w:val="40"/>
          <w:sz w:val="24"/>
        </w:rPr>
        <w:t> </w:t>
      </w:r>
      <w:r>
        <w:rPr>
          <w:sz w:val="24"/>
        </w:rPr>
        <w:t>surface</w:t>
      </w:r>
      <w:r>
        <w:rPr>
          <w:spacing w:val="40"/>
          <w:sz w:val="24"/>
        </w:rPr>
        <w:t> </w:t>
      </w:r>
      <w:r>
        <w:rPr>
          <w:sz w:val="24"/>
        </w:rPr>
        <w:t>supported</w:t>
      </w:r>
      <w:r>
        <w:rPr>
          <w:spacing w:val="40"/>
          <w:sz w:val="24"/>
        </w:rPr>
        <w:t> </w:t>
      </w:r>
      <w:r>
        <w:rPr>
          <w:sz w:val="24"/>
        </w:rPr>
        <w:t>on</w:t>
      </w:r>
      <w:r>
        <w:rPr>
          <w:spacing w:val="40"/>
          <w:sz w:val="24"/>
        </w:rPr>
        <w:t> </w:t>
      </w:r>
      <w:r>
        <w:rPr>
          <w:sz w:val="24"/>
        </w:rPr>
        <w:t>pillars</w:t>
      </w:r>
      <w:r>
        <w:rPr>
          <w:spacing w:val="40"/>
          <w:sz w:val="24"/>
        </w:rPr>
        <w:t> </w:t>
      </w:r>
      <w:r>
        <w:rPr>
          <w:sz w:val="24"/>
        </w:rPr>
        <w:t>or</w:t>
      </w:r>
      <w:r>
        <w:rPr>
          <w:spacing w:val="40"/>
          <w:sz w:val="24"/>
        </w:rPr>
        <w:t> </w:t>
      </w:r>
      <w:r>
        <w:rPr>
          <w:sz w:val="24"/>
        </w:rPr>
        <w:t>otherwise</w:t>
      </w:r>
      <w:r>
        <w:rPr>
          <w:spacing w:val="40"/>
          <w:sz w:val="24"/>
        </w:rPr>
        <w:t> </w:t>
      </w:r>
      <w:r>
        <w:rPr>
          <w:sz w:val="24"/>
        </w:rPr>
        <w:t>for the</w:t>
      </w:r>
      <w:r>
        <w:rPr>
          <w:spacing w:val="40"/>
          <w:sz w:val="24"/>
        </w:rPr>
        <w:t> </w:t>
      </w:r>
      <w:r>
        <w:rPr>
          <w:sz w:val="24"/>
        </w:rPr>
        <w:t>purpose</w:t>
      </w:r>
      <w:r>
        <w:rPr>
          <w:spacing w:val="40"/>
          <w:sz w:val="24"/>
        </w:rPr>
        <w:t> </w:t>
      </w:r>
      <w:r>
        <w:rPr>
          <w:sz w:val="24"/>
        </w:rPr>
        <w:t>of</w:t>
      </w:r>
      <w:r>
        <w:rPr>
          <w:spacing w:val="40"/>
          <w:sz w:val="24"/>
        </w:rPr>
        <w:t> </w:t>
      </w:r>
      <w:r>
        <w:rPr>
          <w:sz w:val="24"/>
        </w:rPr>
        <w:t>a</w:t>
      </w:r>
      <w:r>
        <w:rPr>
          <w:spacing w:val="40"/>
          <w:sz w:val="24"/>
        </w:rPr>
        <w:t> </w:t>
      </w:r>
      <w:r>
        <w:rPr>
          <w:sz w:val="24"/>
        </w:rPr>
        <w:t>pedestrian</w:t>
      </w:r>
      <w:r>
        <w:rPr>
          <w:spacing w:val="40"/>
          <w:sz w:val="24"/>
        </w:rPr>
        <w:t> </w:t>
      </w:r>
      <w:r>
        <w:rPr>
          <w:sz w:val="24"/>
        </w:rPr>
        <w:t>or</w:t>
      </w:r>
      <w:r>
        <w:rPr>
          <w:spacing w:val="40"/>
          <w:sz w:val="24"/>
        </w:rPr>
        <w:t> </w:t>
      </w:r>
      <w:r>
        <w:rPr>
          <w:sz w:val="24"/>
        </w:rPr>
        <w:t>vehicular</w:t>
      </w:r>
      <w:r>
        <w:rPr>
          <w:spacing w:val="40"/>
          <w:sz w:val="24"/>
        </w:rPr>
        <w:t> </w:t>
      </w:r>
      <w:r>
        <w:rPr>
          <w:sz w:val="24"/>
        </w:rPr>
        <w:t>approach</w:t>
      </w:r>
      <w:r>
        <w:rPr>
          <w:spacing w:val="40"/>
          <w:sz w:val="24"/>
        </w:rPr>
        <w:t> </w:t>
      </w:r>
      <w:r>
        <w:rPr>
          <w:sz w:val="24"/>
        </w:rPr>
        <w:t>to</w:t>
      </w:r>
      <w:r>
        <w:rPr>
          <w:spacing w:val="40"/>
          <w:sz w:val="24"/>
        </w:rPr>
        <w:t> </w:t>
      </w:r>
      <w:r>
        <w:rPr>
          <w:sz w:val="24"/>
        </w:rPr>
        <w:t>a</w:t>
      </w:r>
      <w:r>
        <w:rPr>
          <w:spacing w:val="40"/>
          <w:sz w:val="24"/>
        </w:rPr>
        <w:t> </w:t>
      </w:r>
      <w:r>
        <w:rPr>
          <w:spacing w:val="9"/>
          <w:sz w:val="24"/>
        </w:rPr>
        <w:t>building.</w:t>
      </w:r>
    </w:p>
    <w:p>
      <w:pPr>
        <w:pStyle w:val="ListParagraph"/>
        <w:numPr>
          <w:ilvl w:val="0"/>
          <w:numId w:val="6"/>
        </w:numPr>
        <w:tabs>
          <w:tab w:pos="1762" w:val="left" w:leader="none"/>
          <w:tab w:pos="1766" w:val="left" w:leader="none"/>
        </w:tabs>
        <w:spacing w:line="240" w:lineRule="auto" w:before="281" w:after="0"/>
        <w:ind w:left="1766" w:right="788" w:hanging="711"/>
        <w:jc w:val="both"/>
        <w:rPr>
          <w:sz w:val="24"/>
        </w:rPr>
      </w:pPr>
      <w:r>
        <w:rPr>
          <w:sz w:val="24"/>
        </w:rPr>
        <w:t>“Podium” means one or more floors of a building extending beyond building</w:t>
      </w:r>
      <w:r>
        <w:rPr>
          <w:spacing w:val="40"/>
          <w:sz w:val="24"/>
        </w:rPr>
        <w:t> </w:t>
      </w:r>
      <w:r>
        <w:rPr>
          <w:sz w:val="24"/>
        </w:rPr>
        <w:t>line/s</w:t>
      </w:r>
      <w:r>
        <w:rPr>
          <w:spacing w:val="40"/>
          <w:sz w:val="24"/>
        </w:rPr>
        <w:t> </w:t>
      </w:r>
      <w:r>
        <w:rPr>
          <w:sz w:val="24"/>
        </w:rPr>
        <w:t>used</w:t>
      </w:r>
      <w:r>
        <w:rPr>
          <w:spacing w:val="40"/>
          <w:sz w:val="24"/>
        </w:rPr>
        <w:t> </w:t>
      </w:r>
      <w:r>
        <w:rPr>
          <w:sz w:val="24"/>
        </w:rPr>
        <w:t>for</w:t>
      </w:r>
      <w:r>
        <w:rPr>
          <w:spacing w:val="40"/>
          <w:sz w:val="24"/>
        </w:rPr>
        <w:t> </w:t>
      </w:r>
      <w:r>
        <w:rPr>
          <w:sz w:val="24"/>
        </w:rPr>
        <w:t>parking,</w:t>
      </w:r>
      <w:r>
        <w:rPr>
          <w:spacing w:val="40"/>
          <w:sz w:val="24"/>
        </w:rPr>
        <w:t> </w:t>
      </w:r>
      <w:r>
        <w:rPr>
          <w:sz w:val="24"/>
        </w:rPr>
        <w:t>providing</w:t>
      </w:r>
      <w:r>
        <w:rPr>
          <w:spacing w:val="40"/>
          <w:sz w:val="24"/>
        </w:rPr>
        <w:t> </w:t>
      </w:r>
      <w:r>
        <w:rPr>
          <w:sz w:val="24"/>
        </w:rPr>
        <w:t>other</w:t>
      </w:r>
      <w:r>
        <w:rPr>
          <w:spacing w:val="40"/>
          <w:sz w:val="24"/>
        </w:rPr>
        <w:t> </w:t>
      </w:r>
      <w:r>
        <w:rPr>
          <w:sz w:val="24"/>
        </w:rPr>
        <w:t>services</w:t>
      </w:r>
      <w:r>
        <w:rPr>
          <w:spacing w:val="40"/>
          <w:sz w:val="24"/>
        </w:rPr>
        <w:t> </w:t>
      </w:r>
      <w:r>
        <w:rPr>
          <w:sz w:val="24"/>
        </w:rPr>
        <w:t>and incidental</w:t>
      </w:r>
      <w:r>
        <w:rPr>
          <w:spacing w:val="40"/>
          <w:sz w:val="24"/>
        </w:rPr>
        <w:t> </w:t>
      </w:r>
      <w:r>
        <w:rPr>
          <w:sz w:val="24"/>
        </w:rPr>
        <w:t>purposes</w:t>
      </w:r>
      <w:r>
        <w:rPr>
          <w:spacing w:val="40"/>
          <w:sz w:val="24"/>
        </w:rPr>
        <w:t> </w:t>
      </w:r>
      <w:r>
        <w:rPr>
          <w:sz w:val="24"/>
        </w:rPr>
        <w:t>as</w:t>
      </w:r>
      <w:r>
        <w:rPr>
          <w:spacing w:val="40"/>
          <w:sz w:val="24"/>
        </w:rPr>
        <w:t> </w:t>
      </w:r>
      <w:r>
        <w:rPr>
          <w:sz w:val="24"/>
        </w:rPr>
        <w:t>prescribed</w:t>
      </w:r>
      <w:r>
        <w:rPr>
          <w:spacing w:val="40"/>
          <w:sz w:val="24"/>
        </w:rPr>
        <w:t> </w:t>
      </w:r>
      <w:r>
        <w:rPr>
          <w:sz w:val="24"/>
        </w:rPr>
        <w:t>under</w:t>
      </w:r>
      <w:r>
        <w:rPr>
          <w:spacing w:val="40"/>
          <w:sz w:val="24"/>
        </w:rPr>
        <w:t> </w:t>
      </w:r>
      <w:r>
        <w:rPr>
          <w:sz w:val="24"/>
        </w:rPr>
        <w:t>these</w:t>
      </w:r>
      <w:r>
        <w:rPr>
          <w:spacing w:val="40"/>
          <w:sz w:val="24"/>
        </w:rPr>
        <w:t> </w:t>
      </w:r>
      <w:r>
        <w:rPr>
          <w:spacing w:val="9"/>
          <w:sz w:val="24"/>
        </w:rPr>
        <w:t>Regulations.</w:t>
      </w:r>
    </w:p>
    <w:p>
      <w:pPr>
        <w:pStyle w:val="BodyText"/>
        <w:spacing w:before="1"/>
        <w:jc w:val="left"/>
      </w:pPr>
    </w:p>
    <w:p>
      <w:pPr>
        <w:pStyle w:val="ListParagraph"/>
        <w:numPr>
          <w:ilvl w:val="0"/>
          <w:numId w:val="6"/>
        </w:numPr>
        <w:tabs>
          <w:tab w:pos="2243" w:val="left" w:leader="none"/>
        </w:tabs>
        <w:spacing w:line="240" w:lineRule="auto" w:before="0" w:after="0"/>
        <w:ind w:left="1766" w:right="777" w:firstLine="0"/>
        <w:jc w:val="both"/>
        <w:rPr>
          <w:sz w:val="22"/>
        </w:rPr>
      </w:pPr>
      <w:r>
        <w:rPr>
          <w:sz w:val="24"/>
        </w:rPr>
        <w:t>“Professionals on Record” means the persons educationally, technically</w:t>
      </w:r>
      <w:r>
        <w:rPr>
          <w:spacing w:val="80"/>
          <w:sz w:val="24"/>
        </w:rPr>
        <w:t> </w:t>
      </w:r>
      <w:r>
        <w:rPr>
          <w:sz w:val="24"/>
        </w:rPr>
        <w:t>and</w:t>
      </w:r>
      <w:r>
        <w:rPr>
          <w:spacing w:val="80"/>
          <w:sz w:val="24"/>
        </w:rPr>
        <w:t> </w:t>
      </w:r>
      <w:r>
        <w:rPr>
          <w:sz w:val="24"/>
        </w:rPr>
        <w:t>experientially</w:t>
      </w:r>
      <w:r>
        <w:rPr>
          <w:spacing w:val="80"/>
          <w:sz w:val="24"/>
        </w:rPr>
        <w:t> </w:t>
      </w:r>
      <w:r>
        <w:rPr>
          <w:sz w:val="24"/>
        </w:rPr>
        <w:t>qualified</w:t>
      </w:r>
      <w:r>
        <w:rPr>
          <w:spacing w:val="80"/>
          <w:sz w:val="24"/>
        </w:rPr>
        <w:t> </w:t>
      </w:r>
      <w:r>
        <w:rPr>
          <w:sz w:val="24"/>
        </w:rPr>
        <w:t>to</w:t>
      </w:r>
      <w:r>
        <w:rPr>
          <w:spacing w:val="80"/>
          <w:sz w:val="24"/>
        </w:rPr>
        <w:t> </w:t>
      </w:r>
      <w:r>
        <w:rPr>
          <w:sz w:val="24"/>
        </w:rPr>
        <w:t>perform</w:t>
      </w:r>
      <w:r>
        <w:rPr>
          <w:spacing w:val="80"/>
          <w:sz w:val="24"/>
        </w:rPr>
        <w:t> </w:t>
      </w:r>
      <w:r>
        <w:rPr>
          <w:sz w:val="24"/>
        </w:rPr>
        <w:t>a</w:t>
      </w:r>
      <w:r>
        <w:rPr>
          <w:spacing w:val="80"/>
          <w:sz w:val="24"/>
        </w:rPr>
        <w:t> </w:t>
      </w:r>
      <w:r>
        <w:rPr>
          <w:sz w:val="24"/>
        </w:rPr>
        <w:t>designated skilled job and who are appointed by the Owners/Developers and are responsible</w:t>
      </w:r>
      <w:r>
        <w:rPr>
          <w:spacing w:val="80"/>
          <w:sz w:val="24"/>
        </w:rPr>
        <w:t> </w:t>
      </w:r>
      <w:r>
        <w:rPr>
          <w:sz w:val="24"/>
        </w:rPr>
        <w:t>for</w:t>
      </w:r>
      <w:r>
        <w:rPr>
          <w:spacing w:val="80"/>
          <w:sz w:val="24"/>
        </w:rPr>
        <w:t> </w:t>
      </w:r>
      <w:r>
        <w:rPr>
          <w:sz w:val="24"/>
        </w:rPr>
        <w:t>the</w:t>
      </w:r>
      <w:r>
        <w:rPr>
          <w:spacing w:val="80"/>
          <w:sz w:val="24"/>
        </w:rPr>
        <w:t> </w:t>
      </w:r>
      <w:r>
        <w:rPr>
          <w:sz w:val="24"/>
        </w:rPr>
        <w:t>work</w:t>
      </w:r>
      <w:r>
        <w:rPr>
          <w:spacing w:val="80"/>
          <w:sz w:val="24"/>
        </w:rPr>
        <w:t> </w:t>
      </w:r>
      <w:r>
        <w:rPr>
          <w:sz w:val="24"/>
        </w:rPr>
        <w:t>carried</w:t>
      </w:r>
      <w:r>
        <w:rPr>
          <w:spacing w:val="80"/>
          <w:sz w:val="24"/>
        </w:rPr>
        <w:t> </w:t>
      </w:r>
      <w:r>
        <w:rPr>
          <w:sz w:val="24"/>
        </w:rPr>
        <w:t>out</w:t>
      </w:r>
      <w:r>
        <w:rPr>
          <w:spacing w:val="80"/>
          <w:sz w:val="24"/>
        </w:rPr>
        <w:t> </w:t>
      </w:r>
      <w:r>
        <w:rPr>
          <w:sz w:val="24"/>
        </w:rPr>
        <w:t>by</w:t>
      </w:r>
      <w:r>
        <w:rPr>
          <w:spacing w:val="80"/>
          <w:sz w:val="24"/>
        </w:rPr>
        <w:t> </w:t>
      </w:r>
      <w:r>
        <w:rPr>
          <w:sz w:val="24"/>
        </w:rPr>
        <w:t>his/her</w:t>
      </w:r>
      <w:r>
        <w:rPr>
          <w:spacing w:val="80"/>
          <w:sz w:val="24"/>
        </w:rPr>
        <w:t> </w:t>
      </w:r>
      <w:r>
        <w:rPr>
          <w:sz w:val="24"/>
        </w:rPr>
        <w:t>subordinates</w:t>
      </w:r>
      <w:r>
        <w:rPr>
          <w:spacing w:val="80"/>
          <w:sz w:val="24"/>
        </w:rPr>
        <w:t> </w:t>
      </w:r>
      <w:r>
        <w:rPr>
          <w:sz w:val="24"/>
        </w:rPr>
        <w:t>or team,</w:t>
      </w:r>
      <w:r>
        <w:rPr>
          <w:spacing w:val="40"/>
          <w:sz w:val="24"/>
        </w:rPr>
        <w:t> </w:t>
      </w:r>
      <w:r>
        <w:rPr>
          <w:sz w:val="24"/>
        </w:rPr>
        <w:t>such</w:t>
      </w:r>
      <w:r>
        <w:rPr>
          <w:spacing w:val="40"/>
          <w:sz w:val="24"/>
        </w:rPr>
        <w:t> </w:t>
      </w:r>
      <w:r>
        <w:rPr>
          <w:sz w:val="24"/>
        </w:rPr>
        <w:t>as</w:t>
      </w:r>
      <w:r>
        <w:rPr>
          <w:spacing w:val="40"/>
          <w:sz w:val="24"/>
        </w:rPr>
        <w:t> </w:t>
      </w:r>
      <w:r>
        <w:rPr>
          <w:sz w:val="24"/>
        </w:rPr>
        <w:t>Architects,</w:t>
      </w:r>
      <w:r>
        <w:rPr>
          <w:spacing w:val="40"/>
          <w:sz w:val="24"/>
        </w:rPr>
        <w:t> </w:t>
      </w:r>
      <w:r>
        <w:rPr>
          <w:sz w:val="24"/>
        </w:rPr>
        <w:t>Town</w:t>
      </w:r>
      <w:r>
        <w:rPr>
          <w:spacing w:val="40"/>
          <w:sz w:val="24"/>
        </w:rPr>
        <w:t> </w:t>
      </w:r>
      <w:r>
        <w:rPr>
          <w:sz w:val="24"/>
        </w:rPr>
        <w:t>Planner,</w:t>
      </w:r>
      <w:r>
        <w:rPr>
          <w:spacing w:val="40"/>
          <w:sz w:val="24"/>
        </w:rPr>
        <w:t> </w:t>
      </w:r>
      <w:r>
        <w:rPr>
          <w:sz w:val="24"/>
        </w:rPr>
        <w:t>Licensed</w:t>
      </w:r>
      <w:r>
        <w:rPr>
          <w:spacing w:val="40"/>
          <w:sz w:val="24"/>
        </w:rPr>
        <w:t> </w:t>
      </w:r>
      <w:r>
        <w:rPr>
          <w:sz w:val="24"/>
        </w:rPr>
        <w:t>Surveyors, Engineers, Structural Engineers, Fire Protection Consultants, etc. registered</w:t>
      </w:r>
      <w:r>
        <w:rPr>
          <w:spacing w:val="40"/>
          <w:sz w:val="24"/>
        </w:rPr>
        <w:t> </w:t>
      </w:r>
      <w:r>
        <w:rPr>
          <w:sz w:val="24"/>
        </w:rPr>
        <w:t>with</w:t>
      </w:r>
      <w:r>
        <w:rPr>
          <w:spacing w:val="40"/>
          <w:sz w:val="24"/>
        </w:rPr>
        <w:t> </w:t>
      </w:r>
      <w:r>
        <w:rPr>
          <w:sz w:val="24"/>
        </w:rPr>
        <w:t>the</w:t>
      </w:r>
      <w:r>
        <w:rPr>
          <w:spacing w:val="40"/>
          <w:sz w:val="24"/>
        </w:rPr>
        <w:t> </w:t>
      </w:r>
      <w:r>
        <w:rPr>
          <w:sz w:val="24"/>
        </w:rPr>
        <w:t>Competent</w:t>
      </w:r>
      <w:r>
        <w:rPr>
          <w:spacing w:val="40"/>
          <w:sz w:val="24"/>
        </w:rPr>
        <w:t> </w:t>
      </w:r>
      <w:r>
        <w:rPr>
          <w:sz w:val="24"/>
        </w:rPr>
        <w:t>Authority</w:t>
      </w:r>
      <w:r>
        <w:rPr>
          <w:spacing w:val="40"/>
          <w:sz w:val="24"/>
        </w:rPr>
        <w:t> </w:t>
      </w:r>
      <w:r>
        <w:rPr>
          <w:sz w:val="24"/>
        </w:rPr>
        <w:t>wherever</w:t>
      </w:r>
      <w:r>
        <w:rPr>
          <w:spacing w:val="40"/>
          <w:sz w:val="24"/>
        </w:rPr>
        <w:t> </w:t>
      </w:r>
      <w:r>
        <w:rPr>
          <w:sz w:val="24"/>
        </w:rPr>
        <w:t>applicable</w:t>
      </w:r>
      <w:r>
        <w:rPr>
          <w:spacing w:val="40"/>
          <w:sz w:val="24"/>
        </w:rPr>
        <w:t> </w:t>
      </w:r>
      <w:r>
        <w:rPr>
          <w:sz w:val="24"/>
        </w:rPr>
        <w:t>and under</w:t>
      </w:r>
      <w:r>
        <w:rPr>
          <w:spacing w:val="40"/>
          <w:sz w:val="24"/>
        </w:rPr>
        <w:t> </w:t>
      </w:r>
      <w:r>
        <w:rPr>
          <w:sz w:val="24"/>
        </w:rPr>
        <w:t>taking</w:t>
      </w:r>
      <w:r>
        <w:rPr>
          <w:spacing w:val="40"/>
          <w:sz w:val="24"/>
        </w:rPr>
        <w:t> </w:t>
      </w:r>
      <w:r>
        <w:rPr>
          <w:sz w:val="24"/>
        </w:rPr>
        <w:t>the</w:t>
      </w:r>
      <w:r>
        <w:rPr>
          <w:spacing w:val="40"/>
          <w:sz w:val="24"/>
        </w:rPr>
        <w:t> </w:t>
      </w:r>
      <w:r>
        <w:rPr>
          <w:sz w:val="24"/>
        </w:rPr>
        <w:t>responsibility</w:t>
      </w:r>
      <w:r>
        <w:rPr>
          <w:spacing w:val="40"/>
          <w:sz w:val="24"/>
        </w:rPr>
        <w:t> </w:t>
      </w:r>
      <w:r>
        <w:rPr>
          <w:sz w:val="24"/>
        </w:rPr>
        <w:t>for</w:t>
      </w:r>
      <w:r>
        <w:rPr>
          <w:spacing w:val="40"/>
          <w:sz w:val="24"/>
        </w:rPr>
        <w:t> </w:t>
      </w:r>
      <w:r>
        <w:rPr>
          <w:sz w:val="24"/>
        </w:rPr>
        <w:t>the</w:t>
      </w:r>
      <w:r>
        <w:rPr>
          <w:spacing w:val="40"/>
          <w:sz w:val="24"/>
        </w:rPr>
        <w:t> </w:t>
      </w:r>
      <w:r>
        <w:rPr>
          <w:sz w:val="24"/>
        </w:rPr>
        <w:t>particular</w:t>
      </w:r>
      <w:r>
        <w:rPr>
          <w:spacing w:val="40"/>
          <w:sz w:val="24"/>
        </w:rPr>
        <w:t> </w:t>
      </w:r>
      <w:r>
        <w:rPr>
          <w:sz w:val="24"/>
        </w:rPr>
        <w:t>work</w:t>
      </w:r>
      <w:r>
        <w:rPr>
          <w:spacing w:val="40"/>
          <w:sz w:val="24"/>
        </w:rPr>
        <w:t> </w:t>
      </w:r>
      <w:r>
        <w:rPr>
          <w:sz w:val="24"/>
        </w:rPr>
        <w:t>as</w:t>
      </w:r>
      <w:r>
        <w:rPr>
          <w:spacing w:val="40"/>
          <w:sz w:val="24"/>
        </w:rPr>
        <w:t> </w:t>
      </w:r>
      <w:r>
        <w:rPr>
          <w:sz w:val="24"/>
        </w:rPr>
        <w:t>prescribed by</w:t>
      </w:r>
      <w:r>
        <w:rPr>
          <w:spacing w:val="40"/>
          <w:sz w:val="24"/>
        </w:rPr>
        <w:t> </w:t>
      </w:r>
      <w:r>
        <w:rPr>
          <w:sz w:val="24"/>
        </w:rPr>
        <w:t>the</w:t>
      </w:r>
      <w:r>
        <w:rPr>
          <w:spacing w:val="40"/>
          <w:sz w:val="24"/>
        </w:rPr>
        <w:t> </w:t>
      </w:r>
      <w:r>
        <w:rPr>
          <w:sz w:val="24"/>
        </w:rPr>
        <w:t>Appropriate</w:t>
      </w:r>
      <w:r>
        <w:rPr>
          <w:spacing w:val="40"/>
          <w:sz w:val="24"/>
        </w:rPr>
        <w:t> </w:t>
      </w:r>
      <w:r>
        <w:rPr>
          <w:sz w:val="24"/>
        </w:rPr>
        <w:t>Authority</w:t>
      </w:r>
      <w:r>
        <w:rPr>
          <w:spacing w:val="40"/>
          <w:sz w:val="24"/>
        </w:rPr>
        <w:t> </w:t>
      </w:r>
      <w:r>
        <w:rPr>
          <w:sz w:val="24"/>
        </w:rPr>
        <w:t>in</w:t>
      </w:r>
      <w:r>
        <w:rPr>
          <w:spacing w:val="40"/>
          <w:sz w:val="24"/>
        </w:rPr>
        <w:t> </w:t>
      </w:r>
      <w:r>
        <w:rPr>
          <w:sz w:val="24"/>
        </w:rPr>
        <w:t>these</w:t>
      </w:r>
      <w:r>
        <w:rPr>
          <w:spacing w:val="40"/>
          <w:sz w:val="24"/>
        </w:rPr>
        <w:t> </w:t>
      </w:r>
      <w:r>
        <w:rPr>
          <w:spacing w:val="9"/>
          <w:sz w:val="24"/>
        </w:rPr>
        <w:t>Regulations.</w:t>
      </w:r>
    </w:p>
    <w:p>
      <w:pPr>
        <w:pStyle w:val="BodyText"/>
        <w:spacing w:before="1"/>
        <w:jc w:val="left"/>
      </w:pPr>
    </w:p>
    <w:p>
      <w:pPr>
        <w:spacing w:before="0"/>
        <w:ind w:left="1056" w:right="0" w:firstLine="0"/>
        <w:jc w:val="left"/>
        <w:rPr>
          <w:sz w:val="24"/>
        </w:rPr>
      </w:pPr>
      <w:r>
        <w:rPr>
          <w:spacing w:val="-10"/>
          <w:sz w:val="24"/>
        </w:rPr>
        <w:t>.</w:t>
      </w:r>
    </w:p>
    <w:p>
      <w:pPr>
        <w:pStyle w:val="BodyText"/>
        <w:jc w:val="left"/>
      </w:pPr>
    </w:p>
    <w:p>
      <w:pPr>
        <w:pStyle w:val="ListParagraph"/>
        <w:numPr>
          <w:ilvl w:val="0"/>
          <w:numId w:val="6"/>
        </w:numPr>
        <w:tabs>
          <w:tab w:pos="1690" w:val="left" w:leader="none"/>
          <w:tab w:pos="1766" w:val="left" w:leader="none"/>
        </w:tabs>
        <w:spacing w:line="240" w:lineRule="auto" w:before="1" w:after="0"/>
        <w:ind w:left="1766" w:right="791" w:hanging="711"/>
        <w:jc w:val="both"/>
        <w:rPr>
          <w:sz w:val="22"/>
        </w:rPr>
      </w:pPr>
      <w:r>
        <w:rPr>
          <w:sz w:val="24"/>
        </w:rPr>
        <w:t>“Refuge Area” means an area within the building for a temporary use during</w:t>
      </w:r>
      <w:r>
        <w:rPr>
          <w:spacing w:val="40"/>
          <w:sz w:val="24"/>
        </w:rPr>
        <w:t> </w:t>
      </w:r>
      <w:r>
        <w:rPr>
          <w:sz w:val="24"/>
        </w:rPr>
        <w:t>egress.</w:t>
      </w:r>
      <w:r>
        <w:rPr>
          <w:spacing w:val="40"/>
          <w:sz w:val="24"/>
        </w:rPr>
        <w:t> </w:t>
      </w:r>
      <w:r>
        <w:rPr>
          <w:sz w:val="24"/>
        </w:rPr>
        <w:t>It</w:t>
      </w:r>
      <w:r>
        <w:rPr>
          <w:spacing w:val="40"/>
          <w:sz w:val="24"/>
        </w:rPr>
        <w:t> </w:t>
      </w:r>
      <w:r>
        <w:rPr>
          <w:sz w:val="24"/>
        </w:rPr>
        <w:t>generally</w:t>
      </w:r>
      <w:r>
        <w:rPr>
          <w:spacing w:val="40"/>
          <w:sz w:val="24"/>
        </w:rPr>
        <w:t> </w:t>
      </w:r>
      <w:r>
        <w:rPr>
          <w:sz w:val="24"/>
        </w:rPr>
        <w:t>serves</w:t>
      </w:r>
      <w:r>
        <w:rPr>
          <w:spacing w:val="40"/>
          <w:sz w:val="24"/>
        </w:rPr>
        <w:t> </w:t>
      </w:r>
      <w:r>
        <w:rPr>
          <w:sz w:val="24"/>
        </w:rPr>
        <w:t>as</w:t>
      </w:r>
      <w:r>
        <w:rPr>
          <w:spacing w:val="40"/>
          <w:sz w:val="24"/>
        </w:rPr>
        <w:t> </w:t>
      </w:r>
      <w:r>
        <w:rPr>
          <w:sz w:val="24"/>
        </w:rPr>
        <w:t>staging</w:t>
      </w:r>
      <w:r>
        <w:rPr>
          <w:spacing w:val="40"/>
          <w:sz w:val="24"/>
        </w:rPr>
        <w:t> </w:t>
      </w:r>
      <w:r>
        <w:rPr>
          <w:sz w:val="24"/>
        </w:rPr>
        <w:t>area</w:t>
      </w:r>
      <w:r>
        <w:rPr>
          <w:spacing w:val="40"/>
          <w:sz w:val="24"/>
        </w:rPr>
        <w:t> </w:t>
      </w:r>
      <w:r>
        <w:rPr>
          <w:sz w:val="24"/>
        </w:rPr>
        <w:t>which</w:t>
      </w:r>
      <w:r>
        <w:rPr>
          <w:spacing w:val="40"/>
          <w:sz w:val="24"/>
        </w:rPr>
        <w:t> </w:t>
      </w:r>
      <w:r>
        <w:rPr>
          <w:sz w:val="24"/>
        </w:rPr>
        <w:t>is</w:t>
      </w:r>
      <w:r>
        <w:rPr>
          <w:spacing w:val="40"/>
          <w:sz w:val="24"/>
        </w:rPr>
        <w:t> </w:t>
      </w:r>
      <w:r>
        <w:rPr>
          <w:sz w:val="24"/>
        </w:rPr>
        <w:t>protected from</w:t>
      </w:r>
      <w:r>
        <w:rPr>
          <w:spacing w:val="40"/>
          <w:sz w:val="24"/>
        </w:rPr>
        <w:t> </w:t>
      </w:r>
      <w:r>
        <w:rPr>
          <w:sz w:val="24"/>
        </w:rPr>
        <w:t>the</w:t>
      </w:r>
      <w:r>
        <w:rPr>
          <w:spacing w:val="40"/>
          <w:sz w:val="24"/>
        </w:rPr>
        <w:t> </w:t>
      </w:r>
      <w:r>
        <w:rPr>
          <w:sz w:val="24"/>
        </w:rPr>
        <w:t>effect</w:t>
      </w:r>
      <w:r>
        <w:rPr>
          <w:spacing w:val="40"/>
          <w:sz w:val="24"/>
        </w:rPr>
        <w:t> </w:t>
      </w:r>
      <w:r>
        <w:rPr>
          <w:sz w:val="24"/>
        </w:rPr>
        <w:t>of</w:t>
      </w:r>
      <w:r>
        <w:rPr>
          <w:spacing w:val="40"/>
          <w:sz w:val="24"/>
        </w:rPr>
        <w:t> </w:t>
      </w:r>
      <w:r>
        <w:rPr>
          <w:sz w:val="24"/>
        </w:rPr>
        <w:t>fire</w:t>
      </w:r>
      <w:r>
        <w:rPr>
          <w:spacing w:val="40"/>
          <w:sz w:val="24"/>
        </w:rPr>
        <w:t> </w:t>
      </w:r>
      <w:r>
        <w:rPr>
          <w:sz w:val="24"/>
        </w:rPr>
        <w:t>and</w:t>
      </w:r>
      <w:r>
        <w:rPr>
          <w:spacing w:val="40"/>
          <w:sz w:val="24"/>
        </w:rPr>
        <w:t> </w:t>
      </w:r>
      <w:r>
        <w:rPr>
          <w:spacing w:val="9"/>
          <w:sz w:val="24"/>
        </w:rPr>
        <w:t>smoke</w:t>
      </w:r>
    </w:p>
    <w:p>
      <w:pPr>
        <w:pStyle w:val="BodyText"/>
        <w:spacing w:before="279"/>
        <w:jc w:val="left"/>
      </w:pPr>
    </w:p>
    <w:p>
      <w:pPr>
        <w:pStyle w:val="ListParagraph"/>
        <w:numPr>
          <w:ilvl w:val="0"/>
          <w:numId w:val="6"/>
        </w:numPr>
        <w:tabs>
          <w:tab w:pos="1762" w:val="left" w:leader="none"/>
          <w:tab w:pos="1766" w:val="left" w:leader="none"/>
        </w:tabs>
        <w:spacing w:line="240" w:lineRule="auto" w:before="1" w:after="0"/>
        <w:ind w:left="1766" w:right="776" w:hanging="711"/>
        <w:jc w:val="both"/>
        <w:rPr>
          <w:sz w:val="24"/>
        </w:rPr>
      </w:pPr>
      <w:r>
        <w:rPr>
          <w:sz w:val="24"/>
        </w:rPr>
        <w:t>"Retention activity" means an activity or use which is allowed to</w:t>
      </w:r>
      <w:r>
        <w:rPr>
          <w:spacing w:val="40"/>
          <w:sz w:val="24"/>
        </w:rPr>
        <w:t> </w:t>
      </w:r>
      <w:r>
        <w:rPr>
          <w:sz w:val="24"/>
        </w:rPr>
        <w:t>continue,</w:t>
      </w:r>
      <w:r>
        <w:rPr>
          <w:spacing w:val="40"/>
          <w:sz w:val="24"/>
        </w:rPr>
        <w:t> </w:t>
      </w:r>
      <w:r>
        <w:rPr>
          <w:sz w:val="24"/>
        </w:rPr>
        <w:t>notwithstanding</w:t>
      </w:r>
      <w:r>
        <w:rPr>
          <w:spacing w:val="40"/>
          <w:sz w:val="24"/>
        </w:rPr>
        <w:t> </w:t>
      </w:r>
      <w:r>
        <w:rPr>
          <w:sz w:val="24"/>
        </w:rPr>
        <w:t>its</w:t>
      </w:r>
      <w:r>
        <w:rPr>
          <w:spacing w:val="40"/>
          <w:sz w:val="24"/>
        </w:rPr>
        <w:t> </w:t>
      </w:r>
      <w:r>
        <w:rPr>
          <w:spacing w:val="10"/>
          <w:sz w:val="24"/>
        </w:rPr>
        <w:t>non-</w:t>
      </w:r>
      <w:r>
        <w:rPr>
          <w:sz w:val="24"/>
        </w:rPr>
        <w:t>conforming</w:t>
      </w:r>
      <w:r>
        <w:rPr>
          <w:spacing w:val="40"/>
          <w:sz w:val="24"/>
        </w:rPr>
        <w:t> </w:t>
      </w:r>
      <w:r>
        <w:rPr>
          <w:sz w:val="24"/>
        </w:rPr>
        <w:t>nature</w:t>
      </w:r>
      <w:r>
        <w:rPr>
          <w:spacing w:val="40"/>
          <w:sz w:val="24"/>
        </w:rPr>
        <w:t> </w:t>
      </w:r>
      <w:r>
        <w:rPr>
          <w:sz w:val="24"/>
        </w:rPr>
        <w:t>in</w:t>
      </w:r>
      <w:r>
        <w:rPr>
          <w:spacing w:val="40"/>
          <w:sz w:val="24"/>
        </w:rPr>
        <w:t> </w:t>
      </w:r>
      <w:r>
        <w:rPr>
          <w:sz w:val="24"/>
        </w:rPr>
        <w:t>relation</w:t>
      </w:r>
      <w:r>
        <w:rPr>
          <w:spacing w:val="40"/>
          <w:sz w:val="24"/>
        </w:rPr>
        <w:t> </w:t>
      </w:r>
      <w:r>
        <w:rPr>
          <w:sz w:val="24"/>
        </w:rPr>
        <w:t>to</w:t>
      </w:r>
      <w:r>
        <w:rPr>
          <w:spacing w:val="80"/>
          <w:sz w:val="24"/>
        </w:rPr>
        <w:t> </w:t>
      </w:r>
      <w:r>
        <w:rPr>
          <w:sz w:val="24"/>
        </w:rPr>
        <w:t>the</w:t>
      </w:r>
      <w:r>
        <w:rPr>
          <w:spacing w:val="40"/>
          <w:sz w:val="24"/>
        </w:rPr>
        <w:t> </w:t>
      </w:r>
      <w:r>
        <w:rPr>
          <w:sz w:val="24"/>
        </w:rPr>
        <w:t>use</w:t>
      </w:r>
      <w:r>
        <w:rPr>
          <w:spacing w:val="40"/>
          <w:sz w:val="24"/>
        </w:rPr>
        <w:t> </w:t>
      </w:r>
      <w:r>
        <w:rPr>
          <w:sz w:val="24"/>
        </w:rPr>
        <w:t>permitted</w:t>
      </w:r>
      <w:r>
        <w:rPr>
          <w:spacing w:val="40"/>
          <w:sz w:val="24"/>
        </w:rPr>
        <w:t> </w:t>
      </w:r>
      <w:r>
        <w:rPr>
          <w:sz w:val="24"/>
        </w:rPr>
        <w:t>in</w:t>
      </w:r>
      <w:r>
        <w:rPr>
          <w:spacing w:val="40"/>
          <w:sz w:val="24"/>
        </w:rPr>
        <w:t> </w:t>
      </w:r>
      <w:r>
        <w:rPr>
          <w:sz w:val="24"/>
        </w:rPr>
        <w:t>the</w:t>
      </w:r>
      <w:r>
        <w:rPr>
          <w:spacing w:val="40"/>
          <w:sz w:val="24"/>
        </w:rPr>
        <w:t> </w:t>
      </w:r>
      <w:r>
        <w:rPr>
          <w:sz w:val="24"/>
        </w:rPr>
        <w:t>adjoining</w:t>
      </w:r>
      <w:r>
        <w:rPr>
          <w:spacing w:val="40"/>
          <w:sz w:val="24"/>
        </w:rPr>
        <w:t> </w:t>
      </w:r>
      <w:r>
        <w:rPr>
          <w:sz w:val="24"/>
        </w:rPr>
        <w:t>or</w:t>
      </w:r>
      <w:r>
        <w:rPr>
          <w:spacing w:val="40"/>
          <w:sz w:val="24"/>
        </w:rPr>
        <w:t> </w:t>
      </w:r>
      <w:r>
        <w:rPr>
          <w:sz w:val="24"/>
        </w:rPr>
        <w:t>surrounding</w:t>
      </w:r>
      <w:r>
        <w:rPr>
          <w:spacing w:val="40"/>
          <w:sz w:val="24"/>
        </w:rPr>
        <w:t> </w:t>
      </w:r>
      <w:r>
        <w:rPr>
          <w:spacing w:val="9"/>
          <w:sz w:val="24"/>
        </w:rPr>
        <w:t>area.</w:t>
      </w:r>
    </w:p>
    <w:p>
      <w:pPr>
        <w:pStyle w:val="BodyText"/>
        <w:spacing w:before="1"/>
        <w:jc w:val="left"/>
      </w:pPr>
    </w:p>
    <w:p>
      <w:pPr>
        <w:pStyle w:val="ListParagraph"/>
        <w:numPr>
          <w:ilvl w:val="0"/>
          <w:numId w:val="6"/>
        </w:numPr>
        <w:tabs>
          <w:tab w:pos="2401" w:val="left" w:leader="none"/>
        </w:tabs>
        <w:spacing w:line="240" w:lineRule="auto" w:before="0" w:after="0"/>
        <w:ind w:left="1766" w:right="775" w:firstLine="0"/>
        <w:jc w:val="both"/>
        <w:rPr>
          <w:sz w:val="22"/>
        </w:rPr>
      </w:pPr>
      <w:r>
        <w:rPr>
          <w:sz w:val="24"/>
        </w:rPr>
        <w:t>"Road/Street" means any </w:t>
      </w:r>
      <w:r>
        <w:rPr>
          <w:spacing w:val="9"/>
          <w:sz w:val="24"/>
        </w:rPr>
        <w:t>highway, </w:t>
      </w:r>
      <w:r>
        <w:rPr>
          <w:sz w:val="24"/>
        </w:rPr>
        <w:t>street, lane, pathway, alley, stairway, passageway, carriageway, footway, square, place or bridge, tunnel,</w:t>
      </w:r>
      <w:r>
        <w:rPr>
          <w:spacing w:val="40"/>
          <w:sz w:val="24"/>
        </w:rPr>
        <w:t> </w:t>
      </w:r>
      <w:r>
        <w:rPr>
          <w:sz w:val="24"/>
        </w:rPr>
        <w:t>underpass,</w:t>
      </w:r>
      <w:r>
        <w:rPr>
          <w:spacing w:val="40"/>
          <w:sz w:val="24"/>
        </w:rPr>
        <w:t> </w:t>
      </w:r>
      <w:r>
        <w:rPr>
          <w:sz w:val="24"/>
        </w:rPr>
        <w:t>elevated</w:t>
      </w:r>
      <w:r>
        <w:rPr>
          <w:spacing w:val="40"/>
          <w:sz w:val="24"/>
        </w:rPr>
        <w:t> </w:t>
      </w:r>
      <w:r>
        <w:rPr>
          <w:sz w:val="24"/>
        </w:rPr>
        <w:t>road</w:t>
      </w:r>
      <w:r>
        <w:rPr>
          <w:spacing w:val="40"/>
          <w:sz w:val="24"/>
        </w:rPr>
        <w:t> </w:t>
      </w:r>
      <w:r>
        <w:rPr>
          <w:sz w:val="24"/>
        </w:rPr>
        <w:t>whether</w:t>
      </w:r>
      <w:r>
        <w:rPr>
          <w:spacing w:val="40"/>
          <w:sz w:val="24"/>
        </w:rPr>
        <w:t> </w:t>
      </w:r>
      <w:r>
        <w:rPr>
          <w:sz w:val="24"/>
        </w:rPr>
        <w:t>a</w:t>
      </w:r>
      <w:r>
        <w:rPr>
          <w:spacing w:val="40"/>
          <w:sz w:val="24"/>
        </w:rPr>
        <w:t> </w:t>
      </w:r>
      <w:r>
        <w:rPr>
          <w:sz w:val="24"/>
        </w:rPr>
        <w:t>thoroughfare</w:t>
      </w:r>
      <w:r>
        <w:rPr>
          <w:spacing w:val="40"/>
          <w:sz w:val="24"/>
        </w:rPr>
        <w:t> </w:t>
      </w:r>
      <w:r>
        <w:rPr>
          <w:sz w:val="24"/>
        </w:rPr>
        <w:t>or</w:t>
      </w:r>
      <w:r>
        <w:rPr>
          <w:spacing w:val="40"/>
          <w:sz w:val="24"/>
        </w:rPr>
        <w:t> </w:t>
      </w:r>
      <w:r>
        <w:rPr>
          <w:sz w:val="24"/>
        </w:rPr>
        <w:t>not,</w:t>
      </w:r>
      <w:r>
        <w:rPr>
          <w:spacing w:val="40"/>
          <w:sz w:val="24"/>
        </w:rPr>
        <w:t> </w:t>
      </w:r>
      <w:r>
        <w:rPr>
          <w:sz w:val="24"/>
        </w:rPr>
        <w:t>over</w:t>
      </w:r>
    </w:p>
    <w:p>
      <w:pPr>
        <w:pStyle w:val="ListParagraph"/>
        <w:spacing w:after="0" w:line="240" w:lineRule="auto"/>
        <w:jc w:val="both"/>
        <w:rPr>
          <w:sz w:val="22"/>
        </w:rPr>
        <w:sectPr>
          <w:pgSz w:w="11910" w:h="16840"/>
          <w:pgMar w:header="1058" w:footer="1357" w:top="1500" w:bottom="1540" w:left="360" w:right="360"/>
        </w:sectPr>
      </w:pPr>
    </w:p>
    <w:p>
      <w:pPr>
        <w:pStyle w:val="BodyText"/>
        <w:spacing w:before="255"/>
        <w:ind w:left="1766" w:right="778"/>
      </w:pPr>
      <w:r>
        <w:rPr/>
        <w:t>which</w:t>
      </w:r>
      <w:r>
        <w:rPr>
          <w:spacing w:val="40"/>
        </w:rPr>
        <w:t> </w:t>
      </w:r>
      <w:r>
        <w:rPr/>
        <w:t>the</w:t>
      </w:r>
      <w:r>
        <w:rPr>
          <w:spacing w:val="40"/>
        </w:rPr>
        <w:t> </w:t>
      </w:r>
      <w:r>
        <w:rPr/>
        <w:t>public</w:t>
      </w:r>
      <w:r>
        <w:rPr>
          <w:spacing w:val="40"/>
        </w:rPr>
        <w:t> </w:t>
      </w:r>
      <w:r>
        <w:rPr/>
        <w:t>have</w:t>
      </w:r>
      <w:r>
        <w:rPr>
          <w:spacing w:val="40"/>
        </w:rPr>
        <w:t> </w:t>
      </w:r>
      <w:r>
        <w:rPr/>
        <w:t>a</w:t>
      </w:r>
      <w:r>
        <w:rPr>
          <w:spacing w:val="40"/>
        </w:rPr>
        <w:t> </w:t>
      </w:r>
      <w:r>
        <w:rPr/>
        <w:t>right</w:t>
      </w:r>
      <w:r>
        <w:rPr>
          <w:spacing w:val="40"/>
        </w:rPr>
        <w:t> </w:t>
      </w:r>
      <w:r>
        <w:rPr/>
        <w:t>of</w:t>
      </w:r>
      <w:r>
        <w:rPr>
          <w:spacing w:val="40"/>
        </w:rPr>
        <w:t> </w:t>
      </w:r>
      <w:r>
        <w:rPr/>
        <w:t>passage</w:t>
      </w:r>
      <w:r>
        <w:rPr>
          <w:spacing w:val="40"/>
        </w:rPr>
        <w:t> </w:t>
      </w:r>
      <w:r>
        <w:rPr/>
        <w:t>or</w:t>
      </w:r>
      <w:r>
        <w:rPr>
          <w:spacing w:val="40"/>
        </w:rPr>
        <w:t> </w:t>
      </w:r>
      <w:r>
        <w:rPr/>
        <w:t>access</w:t>
      </w:r>
      <w:r>
        <w:rPr>
          <w:spacing w:val="40"/>
        </w:rPr>
        <w:t> </w:t>
      </w:r>
      <w:r>
        <w:rPr/>
        <w:t>or</w:t>
      </w:r>
      <w:r>
        <w:rPr>
          <w:spacing w:val="40"/>
        </w:rPr>
        <w:t> </w:t>
      </w:r>
      <w:r>
        <w:rPr/>
        <w:t>have</w:t>
      </w:r>
      <w:r>
        <w:rPr>
          <w:spacing w:val="40"/>
        </w:rPr>
        <w:t> </w:t>
      </w:r>
      <w:r>
        <w:rPr/>
        <w:t>passed and</w:t>
      </w:r>
      <w:r>
        <w:rPr>
          <w:spacing w:val="40"/>
        </w:rPr>
        <w:t> </w:t>
      </w:r>
      <w:r>
        <w:rPr/>
        <w:t>had</w:t>
      </w:r>
      <w:r>
        <w:rPr>
          <w:spacing w:val="40"/>
        </w:rPr>
        <w:t> </w:t>
      </w:r>
      <w:r>
        <w:rPr/>
        <w:t>access</w:t>
      </w:r>
      <w:r>
        <w:rPr>
          <w:spacing w:val="40"/>
        </w:rPr>
        <w:t> </w:t>
      </w:r>
      <w:r>
        <w:rPr/>
        <w:t>uninterruptedly</w:t>
      </w:r>
      <w:r>
        <w:rPr>
          <w:spacing w:val="40"/>
        </w:rPr>
        <w:t> </w:t>
      </w:r>
      <w:r>
        <w:rPr/>
        <w:t>for</w:t>
      </w:r>
      <w:r>
        <w:rPr>
          <w:spacing w:val="40"/>
        </w:rPr>
        <w:t> </w:t>
      </w:r>
      <w:r>
        <w:rPr/>
        <w:t>a</w:t>
      </w:r>
      <w:r>
        <w:rPr>
          <w:spacing w:val="40"/>
        </w:rPr>
        <w:t> </w:t>
      </w:r>
      <w:r>
        <w:rPr/>
        <w:t>specified</w:t>
      </w:r>
      <w:r>
        <w:rPr>
          <w:spacing w:val="40"/>
        </w:rPr>
        <w:t> </w:t>
      </w:r>
      <w:r>
        <w:rPr/>
        <w:t>period,</w:t>
      </w:r>
      <w:r>
        <w:rPr>
          <w:spacing w:val="40"/>
        </w:rPr>
        <w:t> </w:t>
      </w:r>
      <w:r>
        <w:rPr/>
        <w:t>whether</w:t>
      </w:r>
      <w:r>
        <w:rPr>
          <w:spacing w:val="40"/>
        </w:rPr>
        <w:t> </w:t>
      </w:r>
      <w:r>
        <w:rPr/>
        <w:t>existing</w:t>
      </w:r>
      <w:r>
        <w:rPr>
          <w:spacing w:val="80"/>
        </w:rPr>
        <w:t> </w:t>
      </w:r>
      <w:r>
        <w:rPr/>
        <w:t>or</w:t>
      </w:r>
      <w:r>
        <w:rPr>
          <w:spacing w:val="80"/>
        </w:rPr>
        <w:t> </w:t>
      </w:r>
      <w:r>
        <w:rPr/>
        <w:t>proposed</w:t>
      </w:r>
      <w:r>
        <w:rPr>
          <w:spacing w:val="80"/>
        </w:rPr>
        <w:t> </w:t>
      </w:r>
      <w:r>
        <w:rPr/>
        <w:t>in</w:t>
      </w:r>
      <w:r>
        <w:rPr>
          <w:spacing w:val="80"/>
        </w:rPr>
        <w:t> </w:t>
      </w:r>
      <w:r>
        <w:rPr/>
        <w:t>any</w:t>
      </w:r>
      <w:r>
        <w:rPr>
          <w:spacing w:val="80"/>
        </w:rPr>
        <w:t> </w:t>
      </w:r>
      <w:r>
        <w:rPr/>
        <w:t>scheme,</w:t>
      </w:r>
      <w:r>
        <w:rPr>
          <w:spacing w:val="80"/>
        </w:rPr>
        <w:t> </w:t>
      </w:r>
      <w:r>
        <w:rPr/>
        <w:t>and</w:t>
      </w:r>
      <w:r>
        <w:rPr>
          <w:spacing w:val="80"/>
        </w:rPr>
        <w:t> </w:t>
      </w:r>
      <w:r>
        <w:rPr/>
        <w:t>includes</w:t>
      </w:r>
      <w:r>
        <w:rPr>
          <w:spacing w:val="80"/>
        </w:rPr>
        <w:t> </w:t>
      </w:r>
      <w:r>
        <w:rPr/>
        <w:t>all</w:t>
      </w:r>
      <w:r>
        <w:rPr>
          <w:spacing w:val="80"/>
        </w:rPr>
        <w:t> </w:t>
      </w:r>
      <w:r>
        <w:rPr/>
        <w:t>bunds channels, ditches, </w:t>
      </w:r>
      <w:r>
        <w:rPr>
          <w:spacing w:val="9"/>
        </w:rPr>
        <w:t>storm-</w:t>
      </w:r>
      <w:r>
        <w:rPr/>
        <w:t>water drains, culverts, sidewalks, traffic islands, </w:t>
      </w:r>
      <w:r>
        <w:rPr>
          <w:spacing w:val="9"/>
        </w:rPr>
        <w:t>road-</w:t>
      </w:r>
      <w:r>
        <w:rPr/>
        <w:t>side trees, hedges, retaining walls, fences, barriers and railings</w:t>
      </w:r>
      <w:r>
        <w:rPr>
          <w:spacing w:val="40"/>
        </w:rPr>
        <w:t> </w:t>
      </w:r>
      <w:r>
        <w:rPr/>
        <w:t>within</w:t>
      </w:r>
      <w:r>
        <w:rPr>
          <w:spacing w:val="40"/>
        </w:rPr>
        <w:t> </w:t>
      </w:r>
      <w:r>
        <w:rPr/>
        <w:t>the</w:t>
      </w:r>
      <w:r>
        <w:rPr>
          <w:spacing w:val="40"/>
        </w:rPr>
        <w:t> </w:t>
      </w:r>
      <w:r>
        <w:rPr/>
        <w:t>street</w:t>
      </w:r>
      <w:r>
        <w:rPr>
          <w:spacing w:val="40"/>
        </w:rPr>
        <w:t> </w:t>
      </w:r>
      <w:r>
        <w:rPr>
          <w:spacing w:val="9"/>
        </w:rPr>
        <w:t>lines.</w:t>
      </w:r>
    </w:p>
    <w:p>
      <w:pPr>
        <w:pStyle w:val="BodyText"/>
        <w:jc w:val="left"/>
      </w:pPr>
    </w:p>
    <w:p>
      <w:pPr>
        <w:pStyle w:val="ListParagraph"/>
        <w:numPr>
          <w:ilvl w:val="0"/>
          <w:numId w:val="6"/>
        </w:numPr>
        <w:tabs>
          <w:tab w:pos="2401" w:val="left" w:leader="none"/>
        </w:tabs>
        <w:spacing w:line="240" w:lineRule="auto" w:before="0" w:after="0"/>
        <w:ind w:left="1766" w:right="787" w:firstLine="0"/>
        <w:jc w:val="both"/>
        <w:rPr>
          <w:sz w:val="22"/>
        </w:rPr>
      </w:pPr>
      <w:r>
        <w:rPr>
          <w:sz w:val="24"/>
        </w:rPr>
        <w:t>"Road/Street level or grade" means the officially established elevation or grade of the centre line of the Street upon which a plot fronts,</w:t>
      </w:r>
      <w:r>
        <w:rPr>
          <w:spacing w:val="40"/>
          <w:sz w:val="24"/>
        </w:rPr>
        <w:t> </w:t>
      </w:r>
      <w:r>
        <w:rPr>
          <w:sz w:val="24"/>
        </w:rPr>
        <w:t>and</w:t>
      </w:r>
      <w:r>
        <w:rPr>
          <w:spacing w:val="40"/>
          <w:sz w:val="24"/>
        </w:rPr>
        <w:t> </w:t>
      </w:r>
      <w:r>
        <w:rPr>
          <w:sz w:val="24"/>
        </w:rPr>
        <w:t>if</w:t>
      </w:r>
      <w:r>
        <w:rPr>
          <w:spacing w:val="40"/>
          <w:sz w:val="24"/>
        </w:rPr>
        <w:t> </w:t>
      </w:r>
      <w:r>
        <w:rPr>
          <w:sz w:val="24"/>
        </w:rPr>
        <w:t>there</w:t>
      </w:r>
      <w:r>
        <w:rPr>
          <w:spacing w:val="40"/>
          <w:sz w:val="24"/>
        </w:rPr>
        <w:t> </w:t>
      </w:r>
      <w:r>
        <w:rPr>
          <w:sz w:val="24"/>
        </w:rPr>
        <w:t>is</w:t>
      </w:r>
      <w:r>
        <w:rPr>
          <w:spacing w:val="40"/>
          <w:sz w:val="24"/>
        </w:rPr>
        <w:t> </w:t>
      </w:r>
      <w:r>
        <w:rPr>
          <w:sz w:val="24"/>
        </w:rPr>
        <w:t>no</w:t>
      </w:r>
      <w:r>
        <w:rPr>
          <w:spacing w:val="40"/>
          <w:sz w:val="24"/>
        </w:rPr>
        <w:t> </w:t>
      </w:r>
      <w:r>
        <w:rPr>
          <w:sz w:val="24"/>
        </w:rPr>
        <w:t>officially</w:t>
      </w:r>
      <w:r>
        <w:rPr>
          <w:spacing w:val="40"/>
          <w:sz w:val="24"/>
        </w:rPr>
        <w:t> </w:t>
      </w:r>
      <w:r>
        <w:rPr>
          <w:sz w:val="24"/>
        </w:rPr>
        <w:t>established</w:t>
      </w:r>
      <w:r>
        <w:rPr>
          <w:spacing w:val="40"/>
          <w:sz w:val="24"/>
        </w:rPr>
        <w:t> </w:t>
      </w:r>
      <w:r>
        <w:rPr>
          <w:sz w:val="24"/>
        </w:rPr>
        <w:t>grade,</w:t>
      </w:r>
      <w:r>
        <w:rPr>
          <w:spacing w:val="40"/>
          <w:sz w:val="24"/>
        </w:rPr>
        <w:t> </w:t>
      </w:r>
      <w:r>
        <w:rPr>
          <w:sz w:val="24"/>
        </w:rPr>
        <w:t>the</w:t>
      </w:r>
      <w:r>
        <w:rPr>
          <w:spacing w:val="40"/>
          <w:sz w:val="24"/>
        </w:rPr>
        <w:t> </w:t>
      </w:r>
      <w:r>
        <w:rPr>
          <w:sz w:val="24"/>
        </w:rPr>
        <w:t>existing</w:t>
      </w:r>
      <w:r>
        <w:rPr>
          <w:spacing w:val="40"/>
          <w:sz w:val="24"/>
        </w:rPr>
        <w:t> </w:t>
      </w:r>
      <w:r>
        <w:rPr>
          <w:sz w:val="24"/>
        </w:rPr>
        <w:t>grade</w:t>
      </w:r>
      <w:r>
        <w:rPr>
          <w:spacing w:val="40"/>
          <w:sz w:val="24"/>
        </w:rPr>
        <w:t> </w:t>
      </w:r>
      <w:r>
        <w:rPr>
          <w:sz w:val="24"/>
        </w:rPr>
        <w:t>of</w:t>
      </w:r>
      <w:r>
        <w:rPr>
          <w:spacing w:val="40"/>
          <w:sz w:val="24"/>
        </w:rPr>
        <w:t> </w:t>
      </w:r>
      <w:r>
        <w:rPr>
          <w:sz w:val="24"/>
        </w:rPr>
        <w:t>the</w:t>
      </w:r>
      <w:r>
        <w:rPr>
          <w:spacing w:val="40"/>
          <w:sz w:val="24"/>
        </w:rPr>
        <w:t> </w:t>
      </w:r>
      <w:r>
        <w:rPr>
          <w:sz w:val="24"/>
        </w:rPr>
        <w:t>street</w:t>
      </w:r>
      <w:r>
        <w:rPr>
          <w:spacing w:val="40"/>
          <w:sz w:val="24"/>
        </w:rPr>
        <w:t> </w:t>
      </w:r>
      <w:r>
        <w:rPr>
          <w:sz w:val="24"/>
        </w:rPr>
        <w:t>at</w:t>
      </w:r>
      <w:r>
        <w:rPr>
          <w:spacing w:val="40"/>
          <w:sz w:val="24"/>
        </w:rPr>
        <w:t> </w:t>
      </w:r>
      <w:r>
        <w:rPr>
          <w:sz w:val="24"/>
        </w:rPr>
        <w:t>its</w:t>
      </w:r>
      <w:r>
        <w:rPr>
          <w:spacing w:val="40"/>
          <w:sz w:val="24"/>
        </w:rPr>
        <w:t> </w:t>
      </w:r>
      <w:r>
        <w:rPr>
          <w:spacing w:val="9"/>
          <w:sz w:val="24"/>
        </w:rPr>
        <w:t>mid-</w:t>
      </w:r>
      <w:r>
        <w:rPr>
          <w:sz w:val="24"/>
        </w:rPr>
        <w:t>point.</w:t>
      </w:r>
    </w:p>
    <w:p>
      <w:pPr>
        <w:pStyle w:val="BodyText"/>
        <w:spacing w:before="1"/>
        <w:jc w:val="left"/>
      </w:pPr>
    </w:p>
    <w:p>
      <w:pPr>
        <w:pStyle w:val="ListParagraph"/>
        <w:numPr>
          <w:ilvl w:val="0"/>
          <w:numId w:val="6"/>
        </w:numPr>
        <w:tabs>
          <w:tab w:pos="2401" w:val="left" w:leader="none"/>
        </w:tabs>
        <w:spacing w:line="240" w:lineRule="auto" w:before="0" w:after="0"/>
        <w:ind w:left="1766" w:right="797" w:firstLine="0"/>
        <w:jc w:val="both"/>
        <w:rPr>
          <w:sz w:val="22"/>
        </w:rPr>
      </w:pPr>
      <w:r>
        <w:rPr>
          <w:sz w:val="24"/>
        </w:rPr>
        <w:t>"Road/Street line" means the line defining the side limits of a </w:t>
      </w:r>
      <w:r>
        <w:rPr>
          <w:spacing w:val="7"/>
          <w:sz w:val="24"/>
        </w:rPr>
        <w:t>road/street.</w:t>
      </w:r>
    </w:p>
    <w:p>
      <w:pPr>
        <w:pStyle w:val="BodyText"/>
        <w:jc w:val="left"/>
      </w:pPr>
    </w:p>
    <w:p>
      <w:pPr>
        <w:pStyle w:val="ListParagraph"/>
        <w:numPr>
          <w:ilvl w:val="0"/>
          <w:numId w:val="6"/>
        </w:numPr>
        <w:tabs>
          <w:tab w:pos="2401" w:val="left" w:leader="none"/>
        </w:tabs>
        <w:spacing w:line="240" w:lineRule="auto" w:before="0" w:after="0"/>
        <w:ind w:left="1766" w:right="776" w:firstLine="0"/>
        <w:jc w:val="both"/>
        <w:rPr>
          <w:sz w:val="22"/>
        </w:rPr>
      </w:pPr>
      <w:r>
        <w:rPr>
          <w:sz w:val="24"/>
        </w:rPr>
        <w:t>"Road</w:t>
      </w:r>
      <w:r>
        <w:rPr>
          <w:spacing w:val="40"/>
          <w:sz w:val="24"/>
        </w:rPr>
        <w:t> </w:t>
      </w:r>
      <w:r>
        <w:rPr>
          <w:sz w:val="24"/>
        </w:rPr>
        <w:t>width"</w:t>
      </w:r>
      <w:r>
        <w:rPr>
          <w:spacing w:val="74"/>
          <w:sz w:val="24"/>
        </w:rPr>
        <w:t> </w:t>
      </w:r>
      <w:r>
        <w:rPr>
          <w:sz w:val="24"/>
        </w:rPr>
        <w:t>or</w:t>
      </w:r>
      <w:r>
        <w:rPr>
          <w:spacing w:val="40"/>
          <w:sz w:val="24"/>
        </w:rPr>
        <w:t> </w:t>
      </w:r>
      <w:r>
        <w:rPr>
          <w:sz w:val="24"/>
        </w:rPr>
        <w:t>"Width</w:t>
      </w:r>
      <w:r>
        <w:rPr>
          <w:spacing w:val="40"/>
          <w:sz w:val="24"/>
        </w:rPr>
        <w:t> </w:t>
      </w:r>
      <w:r>
        <w:rPr>
          <w:sz w:val="24"/>
        </w:rPr>
        <w:t>of</w:t>
      </w:r>
      <w:r>
        <w:rPr>
          <w:spacing w:val="40"/>
          <w:sz w:val="24"/>
        </w:rPr>
        <w:t> </w:t>
      </w:r>
      <w:r>
        <w:rPr>
          <w:sz w:val="24"/>
        </w:rPr>
        <w:t>road/street"</w:t>
      </w:r>
      <w:r>
        <w:rPr>
          <w:spacing w:val="40"/>
          <w:sz w:val="24"/>
        </w:rPr>
        <w:t> </w:t>
      </w:r>
      <w:r>
        <w:rPr>
          <w:sz w:val="24"/>
        </w:rPr>
        <w:t>means</w:t>
      </w:r>
      <w:r>
        <w:rPr>
          <w:spacing w:val="40"/>
          <w:sz w:val="24"/>
        </w:rPr>
        <w:t> </w:t>
      </w:r>
      <w:r>
        <w:rPr>
          <w:sz w:val="24"/>
        </w:rPr>
        <w:t>the</w:t>
      </w:r>
      <w:r>
        <w:rPr>
          <w:spacing w:val="40"/>
          <w:sz w:val="24"/>
        </w:rPr>
        <w:t> </w:t>
      </w:r>
      <w:r>
        <w:rPr>
          <w:sz w:val="24"/>
        </w:rPr>
        <w:t>whole</w:t>
      </w:r>
      <w:r>
        <w:rPr>
          <w:spacing w:val="40"/>
          <w:sz w:val="24"/>
        </w:rPr>
        <w:t> </w:t>
      </w:r>
      <w:r>
        <w:rPr>
          <w:sz w:val="24"/>
        </w:rPr>
        <w:t>extent</w:t>
      </w:r>
      <w:r>
        <w:rPr>
          <w:spacing w:val="40"/>
          <w:sz w:val="24"/>
        </w:rPr>
        <w:t> </w:t>
      </w:r>
      <w:r>
        <w:rPr>
          <w:sz w:val="24"/>
        </w:rPr>
        <w:t>of space within the boundaries of a road when applied to a new road/street, as laid down in the city survey or development plan or prescribed</w:t>
      </w:r>
      <w:r>
        <w:rPr>
          <w:spacing w:val="40"/>
          <w:sz w:val="24"/>
        </w:rPr>
        <w:t> </w:t>
      </w:r>
      <w:r>
        <w:rPr>
          <w:sz w:val="24"/>
        </w:rPr>
        <w:t>road</w:t>
      </w:r>
      <w:r>
        <w:rPr>
          <w:spacing w:val="40"/>
          <w:sz w:val="24"/>
        </w:rPr>
        <w:t> </w:t>
      </w:r>
      <w:r>
        <w:rPr>
          <w:sz w:val="24"/>
        </w:rPr>
        <w:t>lines</w:t>
      </w:r>
      <w:r>
        <w:rPr>
          <w:spacing w:val="40"/>
          <w:sz w:val="24"/>
        </w:rPr>
        <w:t> </w:t>
      </w:r>
      <w:r>
        <w:rPr>
          <w:sz w:val="24"/>
        </w:rPr>
        <w:t>by</w:t>
      </w:r>
      <w:r>
        <w:rPr>
          <w:spacing w:val="40"/>
          <w:sz w:val="24"/>
        </w:rPr>
        <w:t> </w:t>
      </w:r>
      <w:r>
        <w:rPr>
          <w:sz w:val="24"/>
        </w:rPr>
        <w:t>any</w:t>
      </w:r>
      <w:r>
        <w:rPr>
          <w:spacing w:val="40"/>
          <w:sz w:val="24"/>
        </w:rPr>
        <w:t> </w:t>
      </w:r>
      <w:r>
        <w:rPr>
          <w:sz w:val="24"/>
        </w:rPr>
        <w:t>act</w:t>
      </w:r>
      <w:r>
        <w:rPr>
          <w:spacing w:val="40"/>
          <w:sz w:val="24"/>
        </w:rPr>
        <w:t> </w:t>
      </w:r>
      <w:r>
        <w:rPr>
          <w:sz w:val="24"/>
        </w:rPr>
        <w:t>or</w:t>
      </w:r>
      <w:r>
        <w:rPr>
          <w:spacing w:val="40"/>
          <w:sz w:val="24"/>
        </w:rPr>
        <w:t> </w:t>
      </w:r>
      <w:r>
        <w:rPr>
          <w:sz w:val="24"/>
        </w:rPr>
        <w:t>law</w:t>
      </w:r>
      <w:r>
        <w:rPr>
          <w:spacing w:val="40"/>
          <w:sz w:val="24"/>
        </w:rPr>
        <w:t> </w:t>
      </w:r>
      <w:r>
        <w:rPr>
          <w:sz w:val="24"/>
        </w:rPr>
        <w:t>and</w:t>
      </w:r>
      <w:r>
        <w:rPr>
          <w:spacing w:val="40"/>
          <w:sz w:val="24"/>
        </w:rPr>
        <w:t> </w:t>
      </w:r>
      <w:r>
        <w:rPr>
          <w:sz w:val="24"/>
        </w:rPr>
        <w:t>measured</w:t>
      </w:r>
      <w:r>
        <w:rPr>
          <w:spacing w:val="40"/>
          <w:sz w:val="24"/>
        </w:rPr>
        <w:t> </w:t>
      </w:r>
      <w:r>
        <w:rPr>
          <w:sz w:val="24"/>
        </w:rPr>
        <w:t>at</w:t>
      </w:r>
      <w:r>
        <w:rPr>
          <w:spacing w:val="40"/>
          <w:sz w:val="24"/>
        </w:rPr>
        <w:t> </w:t>
      </w:r>
      <w:r>
        <w:rPr>
          <w:sz w:val="24"/>
        </w:rPr>
        <w:t>right</w:t>
      </w:r>
      <w:r>
        <w:rPr>
          <w:spacing w:val="40"/>
          <w:sz w:val="24"/>
        </w:rPr>
        <w:t> </w:t>
      </w:r>
      <w:r>
        <w:rPr>
          <w:sz w:val="24"/>
        </w:rPr>
        <w:t>angles to</w:t>
      </w:r>
      <w:r>
        <w:rPr>
          <w:spacing w:val="40"/>
          <w:sz w:val="24"/>
        </w:rPr>
        <w:t> </w:t>
      </w:r>
      <w:r>
        <w:rPr>
          <w:sz w:val="24"/>
        </w:rPr>
        <w:t>the</w:t>
      </w:r>
      <w:r>
        <w:rPr>
          <w:spacing w:val="40"/>
          <w:sz w:val="24"/>
        </w:rPr>
        <w:t> </w:t>
      </w:r>
      <w:r>
        <w:rPr>
          <w:sz w:val="24"/>
        </w:rPr>
        <w:t>course</w:t>
      </w:r>
      <w:r>
        <w:rPr>
          <w:spacing w:val="40"/>
          <w:sz w:val="24"/>
        </w:rPr>
        <w:t> </w:t>
      </w:r>
      <w:r>
        <w:rPr>
          <w:sz w:val="24"/>
        </w:rPr>
        <w:t>or</w:t>
      </w:r>
      <w:r>
        <w:rPr>
          <w:spacing w:val="40"/>
          <w:sz w:val="24"/>
        </w:rPr>
        <w:t> </w:t>
      </w:r>
      <w:r>
        <w:rPr>
          <w:sz w:val="24"/>
        </w:rPr>
        <w:t>intended</w:t>
      </w:r>
      <w:r>
        <w:rPr>
          <w:spacing w:val="40"/>
          <w:sz w:val="24"/>
        </w:rPr>
        <w:t> </w:t>
      </w:r>
      <w:r>
        <w:rPr>
          <w:sz w:val="24"/>
        </w:rPr>
        <w:t>course</w:t>
      </w:r>
      <w:r>
        <w:rPr>
          <w:spacing w:val="40"/>
          <w:sz w:val="24"/>
        </w:rPr>
        <w:t> </w:t>
      </w:r>
      <w:r>
        <w:rPr>
          <w:sz w:val="24"/>
        </w:rPr>
        <w:t>of</w:t>
      </w:r>
      <w:r>
        <w:rPr>
          <w:spacing w:val="40"/>
          <w:sz w:val="24"/>
        </w:rPr>
        <w:t> </w:t>
      </w:r>
      <w:r>
        <w:rPr>
          <w:sz w:val="24"/>
        </w:rPr>
        <w:t>direction</w:t>
      </w:r>
      <w:r>
        <w:rPr>
          <w:spacing w:val="40"/>
          <w:sz w:val="24"/>
        </w:rPr>
        <w:t> </w:t>
      </w:r>
      <w:r>
        <w:rPr>
          <w:sz w:val="24"/>
        </w:rPr>
        <w:t>of</w:t>
      </w:r>
      <w:r>
        <w:rPr>
          <w:spacing w:val="40"/>
          <w:sz w:val="24"/>
        </w:rPr>
        <w:t> </w:t>
      </w:r>
      <w:r>
        <w:rPr>
          <w:sz w:val="24"/>
        </w:rPr>
        <w:t>such</w:t>
      </w:r>
      <w:r>
        <w:rPr>
          <w:spacing w:val="40"/>
          <w:sz w:val="24"/>
        </w:rPr>
        <w:t> </w:t>
      </w:r>
      <w:r>
        <w:rPr>
          <w:sz w:val="24"/>
        </w:rPr>
        <w:t>road.</w:t>
      </w:r>
    </w:p>
    <w:p>
      <w:pPr>
        <w:pStyle w:val="BodyText"/>
        <w:spacing w:before="1"/>
        <w:jc w:val="left"/>
      </w:pPr>
    </w:p>
    <w:p>
      <w:pPr>
        <w:pStyle w:val="ListParagraph"/>
        <w:numPr>
          <w:ilvl w:val="0"/>
          <w:numId w:val="6"/>
        </w:numPr>
        <w:tabs>
          <w:tab w:pos="1690" w:val="left" w:leader="none"/>
          <w:tab w:pos="1766" w:val="left" w:leader="none"/>
        </w:tabs>
        <w:spacing w:line="240" w:lineRule="auto" w:before="1" w:after="0"/>
        <w:ind w:left="1766" w:right="796" w:hanging="711"/>
        <w:jc w:val="both"/>
        <w:rPr>
          <w:sz w:val="22"/>
        </w:rPr>
      </w:pPr>
      <w:r>
        <w:rPr>
          <w:sz w:val="24"/>
        </w:rPr>
        <w:t>"Row</w:t>
      </w:r>
      <w:r>
        <w:rPr>
          <w:spacing w:val="40"/>
          <w:sz w:val="24"/>
        </w:rPr>
        <w:t> </w:t>
      </w:r>
      <w:r>
        <w:rPr>
          <w:sz w:val="24"/>
        </w:rPr>
        <w:t>housing"</w:t>
      </w:r>
      <w:r>
        <w:rPr>
          <w:spacing w:val="40"/>
          <w:sz w:val="24"/>
        </w:rPr>
        <w:t> </w:t>
      </w:r>
      <w:r>
        <w:rPr>
          <w:sz w:val="24"/>
        </w:rPr>
        <w:t>means</w:t>
      </w:r>
      <w:r>
        <w:rPr>
          <w:spacing w:val="40"/>
          <w:sz w:val="24"/>
        </w:rPr>
        <w:t> </w:t>
      </w:r>
      <w:r>
        <w:rPr>
          <w:sz w:val="24"/>
        </w:rPr>
        <w:t>a</w:t>
      </w:r>
      <w:r>
        <w:rPr>
          <w:spacing w:val="40"/>
          <w:sz w:val="24"/>
        </w:rPr>
        <w:t> </w:t>
      </w:r>
      <w:r>
        <w:rPr>
          <w:sz w:val="24"/>
        </w:rPr>
        <w:t>row</w:t>
      </w:r>
      <w:r>
        <w:rPr>
          <w:spacing w:val="40"/>
          <w:sz w:val="24"/>
        </w:rPr>
        <w:t> </w:t>
      </w:r>
      <w:r>
        <w:rPr>
          <w:sz w:val="24"/>
        </w:rPr>
        <w:t>of</w:t>
      </w:r>
      <w:r>
        <w:rPr>
          <w:spacing w:val="40"/>
          <w:sz w:val="24"/>
        </w:rPr>
        <w:t> </w:t>
      </w:r>
      <w:r>
        <w:rPr>
          <w:sz w:val="24"/>
        </w:rPr>
        <w:t>houses</w:t>
      </w:r>
      <w:r>
        <w:rPr>
          <w:spacing w:val="40"/>
          <w:sz w:val="24"/>
        </w:rPr>
        <w:t> </w:t>
      </w:r>
      <w:r>
        <w:rPr>
          <w:sz w:val="24"/>
        </w:rPr>
        <w:t>with</w:t>
      </w:r>
      <w:r>
        <w:rPr>
          <w:spacing w:val="40"/>
          <w:sz w:val="24"/>
        </w:rPr>
        <w:t> </w:t>
      </w:r>
      <w:r>
        <w:rPr>
          <w:sz w:val="24"/>
        </w:rPr>
        <w:t>only</w:t>
      </w:r>
      <w:r>
        <w:rPr>
          <w:spacing w:val="40"/>
          <w:sz w:val="24"/>
        </w:rPr>
        <w:t> </w:t>
      </w:r>
      <w:r>
        <w:rPr>
          <w:sz w:val="24"/>
        </w:rPr>
        <w:t>front,</w:t>
      </w:r>
      <w:r>
        <w:rPr>
          <w:spacing w:val="40"/>
          <w:sz w:val="24"/>
        </w:rPr>
        <w:t> </w:t>
      </w:r>
      <w:r>
        <w:rPr>
          <w:sz w:val="24"/>
        </w:rPr>
        <w:t>rear</w:t>
      </w:r>
      <w:r>
        <w:rPr>
          <w:spacing w:val="40"/>
          <w:sz w:val="24"/>
        </w:rPr>
        <w:t> </w:t>
      </w:r>
      <w:r>
        <w:rPr>
          <w:sz w:val="24"/>
        </w:rPr>
        <w:t>and interior open </w:t>
      </w:r>
      <w:r>
        <w:rPr>
          <w:spacing w:val="9"/>
          <w:sz w:val="24"/>
        </w:rPr>
        <w:t>spaces.</w:t>
      </w:r>
    </w:p>
    <w:p>
      <w:pPr>
        <w:pStyle w:val="ListParagraph"/>
        <w:numPr>
          <w:ilvl w:val="0"/>
          <w:numId w:val="6"/>
        </w:numPr>
        <w:tabs>
          <w:tab w:pos="1690" w:val="left" w:leader="none"/>
          <w:tab w:pos="1766" w:val="left" w:leader="none"/>
        </w:tabs>
        <w:spacing w:line="240" w:lineRule="auto" w:before="281" w:after="0"/>
        <w:ind w:left="1766" w:right="794" w:hanging="711"/>
        <w:jc w:val="both"/>
        <w:rPr>
          <w:sz w:val="22"/>
        </w:rPr>
      </w:pPr>
      <w:r>
        <w:rPr>
          <w:sz w:val="24"/>
        </w:rPr>
        <w:t>“Sanctioned</w:t>
      </w:r>
      <w:r>
        <w:rPr>
          <w:spacing w:val="40"/>
          <w:sz w:val="24"/>
        </w:rPr>
        <w:t> </w:t>
      </w:r>
      <w:r>
        <w:rPr>
          <w:sz w:val="24"/>
        </w:rPr>
        <w:t>or</w:t>
      </w:r>
      <w:r>
        <w:rPr>
          <w:spacing w:val="40"/>
          <w:sz w:val="24"/>
        </w:rPr>
        <w:t> </w:t>
      </w:r>
      <w:r>
        <w:rPr>
          <w:sz w:val="24"/>
        </w:rPr>
        <w:t>Approved</w:t>
      </w:r>
      <w:r>
        <w:rPr>
          <w:spacing w:val="40"/>
          <w:sz w:val="24"/>
        </w:rPr>
        <w:t> </w:t>
      </w:r>
      <w:r>
        <w:rPr>
          <w:sz w:val="24"/>
        </w:rPr>
        <w:t>Plan”</w:t>
      </w:r>
      <w:r>
        <w:rPr>
          <w:spacing w:val="40"/>
          <w:sz w:val="24"/>
        </w:rPr>
        <w:t> </w:t>
      </w:r>
      <w:r>
        <w:rPr>
          <w:sz w:val="24"/>
        </w:rPr>
        <w:t>means</w:t>
      </w:r>
      <w:r>
        <w:rPr>
          <w:spacing w:val="40"/>
          <w:sz w:val="24"/>
        </w:rPr>
        <w:t> </w:t>
      </w:r>
      <w:r>
        <w:rPr>
          <w:sz w:val="24"/>
        </w:rPr>
        <w:t>the</w:t>
      </w:r>
      <w:r>
        <w:rPr>
          <w:spacing w:val="40"/>
          <w:sz w:val="24"/>
        </w:rPr>
        <w:t> </w:t>
      </w:r>
      <w:r>
        <w:rPr>
          <w:sz w:val="24"/>
        </w:rPr>
        <w:t>set</w:t>
      </w:r>
      <w:r>
        <w:rPr>
          <w:spacing w:val="40"/>
          <w:sz w:val="24"/>
        </w:rPr>
        <w:t> </w:t>
      </w:r>
      <w:r>
        <w:rPr>
          <w:sz w:val="24"/>
        </w:rPr>
        <w:t>of</w:t>
      </w:r>
      <w:r>
        <w:rPr>
          <w:spacing w:val="40"/>
          <w:sz w:val="24"/>
        </w:rPr>
        <w:t> </w:t>
      </w:r>
      <w:r>
        <w:rPr>
          <w:sz w:val="24"/>
        </w:rPr>
        <w:t>plans</w:t>
      </w:r>
      <w:r>
        <w:rPr>
          <w:spacing w:val="40"/>
          <w:sz w:val="24"/>
        </w:rPr>
        <w:t> </w:t>
      </w:r>
      <w:r>
        <w:rPr>
          <w:sz w:val="24"/>
        </w:rPr>
        <w:t>in</w:t>
      </w:r>
      <w:r>
        <w:rPr>
          <w:spacing w:val="40"/>
          <w:sz w:val="24"/>
        </w:rPr>
        <w:t> </w:t>
      </w:r>
      <w:r>
        <w:rPr>
          <w:sz w:val="24"/>
        </w:rPr>
        <w:t>connection with a development which are duly approved and sanctioned by the Planning Authority.</w:t>
      </w:r>
    </w:p>
    <w:p>
      <w:pPr>
        <w:pStyle w:val="ListParagraph"/>
        <w:numPr>
          <w:ilvl w:val="0"/>
          <w:numId w:val="6"/>
        </w:numPr>
        <w:tabs>
          <w:tab w:pos="1690" w:val="left" w:leader="none"/>
          <w:tab w:pos="1766" w:val="left" w:leader="none"/>
        </w:tabs>
        <w:spacing w:line="240" w:lineRule="auto" w:before="281" w:after="0"/>
        <w:ind w:left="1766" w:right="800" w:hanging="711"/>
        <w:jc w:val="both"/>
        <w:rPr>
          <w:sz w:val="22"/>
        </w:rPr>
      </w:pPr>
      <w:r>
        <w:rPr>
          <w:sz w:val="24"/>
        </w:rPr>
        <w:t>"Service</w:t>
      </w:r>
      <w:r>
        <w:rPr>
          <w:spacing w:val="67"/>
          <w:sz w:val="24"/>
        </w:rPr>
        <w:t> </w:t>
      </w:r>
      <w:r>
        <w:rPr>
          <w:sz w:val="24"/>
        </w:rPr>
        <w:t>road"</w:t>
      </w:r>
      <w:r>
        <w:rPr>
          <w:spacing w:val="71"/>
          <w:sz w:val="24"/>
        </w:rPr>
        <w:t> </w:t>
      </w:r>
      <w:r>
        <w:rPr>
          <w:sz w:val="24"/>
        </w:rPr>
        <w:t>means</w:t>
      </w:r>
      <w:r>
        <w:rPr>
          <w:spacing w:val="67"/>
          <w:sz w:val="24"/>
        </w:rPr>
        <w:t> </w:t>
      </w:r>
      <w:r>
        <w:rPr>
          <w:sz w:val="24"/>
        </w:rPr>
        <w:t>a</w:t>
      </w:r>
      <w:r>
        <w:rPr>
          <w:spacing w:val="67"/>
          <w:sz w:val="24"/>
        </w:rPr>
        <w:t> </w:t>
      </w:r>
      <w:r>
        <w:rPr>
          <w:sz w:val="24"/>
        </w:rPr>
        <w:t>road/lane</w:t>
      </w:r>
      <w:r>
        <w:rPr>
          <w:spacing w:val="67"/>
          <w:sz w:val="24"/>
        </w:rPr>
        <w:t> </w:t>
      </w:r>
      <w:r>
        <w:rPr>
          <w:sz w:val="24"/>
        </w:rPr>
        <w:t>provided</w:t>
      </w:r>
      <w:r>
        <w:rPr>
          <w:spacing w:val="67"/>
          <w:sz w:val="24"/>
        </w:rPr>
        <w:t> </w:t>
      </w:r>
      <w:r>
        <w:rPr>
          <w:sz w:val="24"/>
        </w:rPr>
        <w:t>at</w:t>
      </w:r>
      <w:r>
        <w:rPr>
          <w:spacing w:val="67"/>
          <w:sz w:val="24"/>
        </w:rPr>
        <w:t> </w:t>
      </w:r>
      <w:r>
        <w:rPr>
          <w:sz w:val="24"/>
        </w:rPr>
        <w:t>the</w:t>
      </w:r>
      <w:r>
        <w:rPr>
          <w:spacing w:val="67"/>
          <w:sz w:val="24"/>
        </w:rPr>
        <w:t> </w:t>
      </w:r>
      <w:r>
        <w:rPr>
          <w:sz w:val="24"/>
        </w:rPr>
        <w:t>front,</w:t>
      </w:r>
      <w:r>
        <w:rPr>
          <w:spacing w:val="67"/>
          <w:sz w:val="24"/>
        </w:rPr>
        <w:t> </w:t>
      </w:r>
      <w:r>
        <w:rPr>
          <w:sz w:val="24"/>
        </w:rPr>
        <w:t>rear</w:t>
      </w:r>
      <w:r>
        <w:rPr>
          <w:spacing w:val="67"/>
          <w:sz w:val="24"/>
        </w:rPr>
        <w:t> </w:t>
      </w:r>
      <w:r>
        <w:rPr>
          <w:sz w:val="24"/>
        </w:rPr>
        <w:t>or</w:t>
      </w:r>
      <w:r>
        <w:rPr>
          <w:spacing w:val="67"/>
          <w:sz w:val="24"/>
        </w:rPr>
        <w:t> </w:t>
      </w:r>
      <w:r>
        <w:rPr>
          <w:sz w:val="24"/>
        </w:rPr>
        <w:t>side of</w:t>
      </w:r>
      <w:r>
        <w:rPr>
          <w:spacing w:val="40"/>
          <w:sz w:val="24"/>
        </w:rPr>
        <w:t> </w:t>
      </w:r>
      <w:r>
        <w:rPr>
          <w:sz w:val="24"/>
        </w:rPr>
        <w:t>a</w:t>
      </w:r>
      <w:r>
        <w:rPr>
          <w:spacing w:val="40"/>
          <w:sz w:val="24"/>
        </w:rPr>
        <w:t> </w:t>
      </w:r>
      <w:r>
        <w:rPr>
          <w:sz w:val="24"/>
        </w:rPr>
        <w:t>plot</w:t>
      </w:r>
      <w:r>
        <w:rPr>
          <w:spacing w:val="40"/>
          <w:sz w:val="24"/>
        </w:rPr>
        <w:t> </w:t>
      </w:r>
      <w:r>
        <w:rPr>
          <w:sz w:val="24"/>
        </w:rPr>
        <w:t>for</w:t>
      </w:r>
      <w:r>
        <w:rPr>
          <w:spacing w:val="40"/>
          <w:sz w:val="24"/>
        </w:rPr>
        <w:t> </w:t>
      </w:r>
      <w:r>
        <w:rPr>
          <w:sz w:val="24"/>
        </w:rPr>
        <w:t>service</w:t>
      </w:r>
      <w:r>
        <w:rPr>
          <w:spacing w:val="9"/>
          <w:sz w:val="24"/>
        </w:rPr>
        <w:t> purposes.</w:t>
      </w:r>
    </w:p>
    <w:p>
      <w:pPr>
        <w:pStyle w:val="ListParagraph"/>
        <w:numPr>
          <w:ilvl w:val="0"/>
          <w:numId w:val="6"/>
        </w:numPr>
        <w:tabs>
          <w:tab w:pos="1690" w:val="left" w:leader="none"/>
          <w:tab w:pos="1766" w:val="left" w:leader="none"/>
        </w:tabs>
        <w:spacing w:line="240" w:lineRule="auto" w:before="281" w:after="0"/>
        <w:ind w:left="1766" w:right="797" w:hanging="711"/>
        <w:jc w:val="both"/>
        <w:rPr>
          <w:sz w:val="22"/>
        </w:rPr>
      </w:pPr>
      <w:r>
        <w:rPr>
          <w:sz w:val="24"/>
        </w:rPr>
        <w:t>"Site/Plot" means a parcel or piece of land enclosed by definite </w:t>
      </w:r>
      <w:r>
        <w:rPr>
          <w:spacing w:val="7"/>
          <w:sz w:val="24"/>
        </w:rPr>
        <w:t>boundaries.</w:t>
      </w:r>
    </w:p>
    <w:p>
      <w:pPr>
        <w:pStyle w:val="BodyText"/>
        <w:spacing w:before="2"/>
        <w:jc w:val="left"/>
      </w:pPr>
    </w:p>
    <w:p>
      <w:pPr>
        <w:pStyle w:val="ListParagraph"/>
        <w:numPr>
          <w:ilvl w:val="0"/>
          <w:numId w:val="6"/>
        </w:numPr>
        <w:tabs>
          <w:tab w:pos="1690" w:val="left" w:leader="none"/>
          <w:tab w:pos="1766" w:val="left" w:leader="none"/>
        </w:tabs>
        <w:spacing w:line="240" w:lineRule="auto" w:before="0" w:after="0"/>
        <w:ind w:left="1766" w:right="801" w:hanging="711"/>
        <w:jc w:val="both"/>
        <w:rPr>
          <w:sz w:val="22"/>
        </w:rPr>
      </w:pPr>
      <w:r>
        <w:rPr>
          <w:sz w:val="24"/>
        </w:rPr>
        <w:t>"Site, Corner" means a site at the junction of land fronting on two or</w:t>
      </w:r>
      <w:r>
        <w:rPr>
          <w:spacing w:val="80"/>
          <w:sz w:val="24"/>
        </w:rPr>
        <w:t> </w:t>
      </w:r>
      <w:r>
        <w:rPr>
          <w:sz w:val="24"/>
        </w:rPr>
        <w:t>more roads or </w:t>
      </w:r>
      <w:r>
        <w:rPr>
          <w:spacing w:val="9"/>
          <w:sz w:val="24"/>
        </w:rPr>
        <w:t>streets.</w:t>
      </w:r>
    </w:p>
    <w:p>
      <w:pPr>
        <w:pStyle w:val="BodyText"/>
        <w:jc w:val="left"/>
      </w:pPr>
    </w:p>
    <w:p>
      <w:pPr>
        <w:pStyle w:val="ListParagraph"/>
        <w:numPr>
          <w:ilvl w:val="0"/>
          <w:numId w:val="6"/>
        </w:numPr>
        <w:tabs>
          <w:tab w:pos="1690" w:val="left" w:leader="none"/>
          <w:tab w:pos="1766" w:val="left" w:leader="none"/>
        </w:tabs>
        <w:spacing w:line="240" w:lineRule="auto" w:before="0" w:after="0"/>
        <w:ind w:left="1766" w:right="797" w:hanging="711"/>
        <w:jc w:val="both"/>
        <w:rPr>
          <w:sz w:val="22"/>
        </w:rPr>
      </w:pPr>
      <w:r>
        <w:rPr>
          <w:sz w:val="24"/>
        </w:rPr>
        <w:t>"Site,</w:t>
      </w:r>
      <w:r>
        <w:rPr>
          <w:spacing w:val="80"/>
          <w:sz w:val="24"/>
        </w:rPr>
        <w:t> </w:t>
      </w:r>
      <w:r>
        <w:rPr>
          <w:sz w:val="24"/>
        </w:rPr>
        <w:t>Depth</w:t>
      </w:r>
      <w:r>
        <w:rPr>
          <w:spacing w:val="80"/>
          <w:sz w:val="24"/>
        </w:rPr>
        <w:t> </w:t>
      </w:r>
      <w:r>
        <w:rPr>
          <w:sz w:val="24"/>
        </w:rPr>
        <w:t>of”</w:t>
      </w:r>
      <w:r>
        <w:rPr>
          <w:spacing w:val="80"/>
          <w:sz w:val="24"/>
        </w:rPr>
        <w:t> </w:t>
      </w:r>
      <w:r>
        <w:rPr>
          <w:sz w:val="24"/>
        </w:rPr>
        <w:t>means</w:t>
      </w:r>
      <w:r>
        <w:rPr>
          <w:spacing w:val="80"/>
          <w:sz w:val="24"/>
        </w:rPr>
        <w:t> </w:t>
      </w:r>
      <w:r>
        <w:rPr>
          <w:sz w:val="24"/>
        </w:rPr>
        <w:t>the</w:t>
      </w:r>
      <w:r>
        <w:rPr>
          <w:spacing w:val="80"/>
          <w:sz w:val="24"/>
        </w:rPr>
        <w:t> </w:t>
      </w:r>
      <w:r>
        <w:rPr>
          <w:sz w:val="24"/>
        </w:rPr>
        <w:t>mean</w:t>
      </w:r>
      <w:r>
        <w:rPr>
          <w:spacing w:val="80"/>
          <w:sz w:val="24"/>
        </w:rPr>
        <w:t> </w:t>
      </w:r>
      <w:r>
        <w:rPr>
          <w:sz w:val="24"/>
        </w:rPr>
        <w:t>horizontal</w:t>
      </w:r>
      <w:r>
        <w:rPr>
          <w:spacing w:val="80"/>
          <w:sz w:val="24"/>
        </w:rPr>
        <w:t> </w:t>
      </w:r>
      <w:r>
        <w:rPr>
          <w:sz w:val="24"/>
        </w:rPr>
        <w:t>distance</w:t>
      </w:r>
      <w:r>
        <w:rPr>
          <w:spacing w:val="80"/>
          <w:sz w:val="24"/>
        </w:rPr>
        <w:t> </w:t>
      </w:r>
      <w:r>
        <w:rPr>
          <w:sz w:val="24"/>
        </w:rPr>
        <w:t>between</w:t>
      </w:r>
      <w:r>
        <w:rPr>
          <w:spacing w:val="80"/>
          <w:sz w:val="24"/>
        </w:rPr>
        <w:t> </w:t>
      </w:r>
      <w:r>
        <w:rPr>
          <w:sz w:val="24"/>
        </w:rPr>
        <w:t>the front and rear site </w:t>
      </w:r>
      <w:r>
        <w:rPr>
          <w:spacing w:val="9"/>
          <w:sz w:val="24"/>
        </w:rPr>
        <w:t>boundaries.</w:t>
      </w:r>
    </w:p>
    <w:p>
      <w:pPr>
        <w:pStyle w:val="BodyText"/>
        <w:jc w:val="left"/>
      </w:pPr>
    </w:p>
    <w:p>
      <w:pPr>
        <w:pStyle w:val="ListParagraph"/>
        <w:numPr>
          <w:ilvl w:val="0"/>
          <w:numId w:val="6"/>
        </w:numPr>
        <w:tabs>
          <w:tab w:pos="1690" w:val="left" w:leader="none"/>
          <w:tab w:pos="1766" w:val="left" w:leader="none"/>
        </w:tabs>
        <w:spacing w:line="240" w:lineRule="auto" w:before="0" w:after="0"/>
        <w:ind w:left="1766" w:right="787" w:hanging="711"/>
        <w:jc w:val="both"/>
        <w:rPr>
          <w:sz w:val="22"/>
        </w:rPr>
      </w:pPr>
      <w:r>
        <w:rPr>
          <w:sz w:val="24"/>
        </w:rPr>
        <w:t>"Site</w:t>
      </w:r>
      <w:r>
        <w:rPr>
          <w:spacing w:val="40"/>
          <w:sz w:val="24"/>
        </w:rPr>
        <w:t> </w:t>
      </w:r>
      <w:r>
        <w:rPr>
          <w:sz w:val="24"/>
        </w:rPr>
        <w:t>with</w:t>
      </w:r>
      <w:r>
        <w:rPr>
          <w:spacing w:val="40"/>
          <w:sz w:val="24"/>
        </w:rPr>
        <w:t> </w:t>
      </w:r>
      <w:r>
        <w:rPr>
          <w:sz w:val="24"/>
        </w:rPr>
        <w:t>double</w:t>
      </w:r>
      <w:r>
        <w:rPr>
          <w:spacing w:val="40"/>
          <w:sz w:val="24"/>
        </w:rPr>
        <w:t> </w:t>
      </w:r>
      <w:r>
        <w:rPr>
          <w:sz w:val="24"/>
        </w:rPr>
        <w:t>frontage"</w:t>
      </w:r>
      <w:r>
        <w:rPr>
          <w:spacing w:val="40"/>
          <w:sz w:val="24"/>
        </w:rPr>
        <w:t> </w:t>
      </w:r>
      <w:r>
        <w:rPr>
          <w:sz w:val="24"/>
        </w:rPr>
        <w:t>means</w:t>
      </w:r>
      <w:r>
        <w:rPr>
          <w:spacing w:val="40"/>
          <w:sz w:val="24"/>
        </w:rPr>
        <w:t> </w:t>
      </w:r>
      <w:r>
        <w:rPr>
          <w:sz w:val="24"/>
        </w:rPr>
        <w:t>a</w:t>
      </w:r>
      <w:r>
        <w:rPr>
          <w:spacing w:val="40"/>
          <w:sz w:val="24"/>
        </w:rPr>
        <w:t> </w:t>
      </w:r>
      <w:r>
        <w:rPr>
          <w:sz w:val="24"/>
        </w:rPr>
        <w:t>site</w:t>
      </w:r>
      <w:r>
        <w:rPr>
          <w:spacing w:val="40"/>
          <w:sz w:val="24"/>
        </w:rPr>
        <w:t> </w:t>
      </w:r>
      <w:r>
        <w:rPr>
          <w:sz w:val="24"/>
        </w:rPr>
        <w:t>having</w:t>
      </w:r>
      <w:r>
        <w:rPr>
          <w:spacing w:val="40"/>
          <w:sz w:val="24"/>
        </w:rPr>
        <w:t> </w:t>
      </w:r>
      <w:r>
        <w:rPr>
          <w:sz w:val="24"/>
        </w:rPr>
        <w:t>a</w:t>
      </w:r>
      <w:r>
        <w:rPr>
          <w:spacing w:val="40"/>
          <w:sz w:val="24"/>
        </w:rPr>
        <w:t> </w:t>
      </w:r>
      <w:r>
        <w:rPr>
          <w:sz w:val="24"/>
        </w:rPr>
        <w:t>frontage</w:t>
      </w:r>
      <w:r>
        <w:rPr>
          <w:spacing w:val="40"/>
          <w:sz w:val="24"/>
        </w:rPr>
        <w:t> </w:t>
      </w:r>
      <w:r>
        <w:rPr>
          <w:sz w:val="24"/>
        </w:rPr>
        <w:t>on</w:t>
      </w:r>
      <w:r>
        <w:rPr>
          <w:spacing w:val="40"/>
          <w:sz w:val="24"/>
        </w:rPr>
        <w:t> </w:t>
      </w:r>
      <w:r>
        <w:rPr>
          <w:sz w:val="24"/>
        </w:rPr>
        <w:t>two streets</w:t>
      </w:r>
      <w:r>
        <w:rPr>
          <w:spacing w:val="40"/>
          <w:sz w:val="24"/>
        </w:rPr>
        <w:t> </w:t>
      </w:r>
      <w:r>
        <w:rPr>
          <w:sz w:val="24"/>
        </w:rPr>
        <w:t>other</w:t>
      </w:r>
      <w:r>
        <w:rPr>
          <w:spacing w:val="40"/>
          <w:sz w:val="24"/>
        </w:rPr>
        <w:t> </w:t>
      </w:r>
      <w:r>
        <w:rPr>
          <w:sz w:val="24"/>
        </w:rPr>
        <w:t>than</w:t>
      </w:r>
      <w:r>
        <w:rPr>
          <w:spacing w:val="40"/>
          <w:sz w:val="24"/>
        </w:rPr>
        <w:t> </w:t>
      </w:r>
      <w:r>
        <w:rPr>
          <w:sz w:val="24"/>
        </w:rPr>
        <w:t>a</w:t>
      </w:r>
      <w:r>
        <w:rPr>
          <w:spacing w:val="40"/>
          <w:sz w:val="24"/>
        </w:rPr>
        <w:t> </w:t>
      </w:r>
      <w:r>
        <w:rPr>
          <w:sz w:val="24"/>
        </w:rPr>
        <w:t>corner</w:t>
      </w:r>
      <w:r>
        <w:rPr>
          <w:spacing w:val="40"/>
          <w:sz w:val="24"/>
        </w:rPr>
        <w:t> </w:t>
      </w:r>
      <w:r>
        <w:rPr>
          <w:sz w:val="24"/>
        </w:rPr>
        <w:t>plot.</w:t>
      </w:r>
    </w:p>
    <w:p>
      <w:pPr>
        <w:pStyle w:val="BodyText"/>
        <w:jc w:val="left"/>
      </w:pPr>
    </w:p>
    <w:p>
      <w:pPr>
        <w:pStyle w:val="ListParagraph"/>
        <w:numPr>
          <w:ilvl w:val="0"/>
          <w:numId w:val="6"/>
        </w:numPr>
        <w:tabs>
          <w:tab w:pos="1690" w:val="left" w:leader="none"/>
          <w:tab w:pos="1766" w:val="left" w:leader="none"/>
        </w:tabs>
        <w:spacing w:line="240" w:lineRule="auto" w:before="0" w:after="0"/>
        <w:ind w:left="1766" w:right="799" w:hanging="711"/>
        <w:jc w:val="both"/>
        <w:rPr>
          <w:sz w:val="22"/>
        </w:rPr>
      </w:pPr>
      <w:r>
        <w:rPr>
          <w:sz w:val="24"/>
        </w:rPr>
        <w:t>"Site,</w:t>
      </w:r>
      <w:r>
        <w:rPr>
          <w:spacing w:val="40"/>
          <w:sz w:val="24"/>
        </w:rPr>
        <w:t> </w:t>
      </w:r>
      <w:r>
        <w:rPr>
          <w:sz w:val="24"/>
        </w:rPr>
        <w:t>Interior</w:t>
      </w:r>
      <w:r>
        <w:rPr>
          <w:spacing w:val="40"/>
          <w:sz w:val="24"/>
        </w:rPr>
        <w:t> </w:t>
      </w:r>
      <w:r>
        <w:rPr>
          <w:sz w:val="24"/>
        </w:rPr>
        <w:t>or</w:t>
      </w:r>
      <w:r>
        <w:rPr>
          <w:spacing w:val="40"/>
          <w:sz w:val="24"/>
        </w:rPr>
        <w:t> </w:t>
      </w:r>
      <w:r>
        <w:rPr>
          <w:sz w:val="24"/>
        </w:rPr>
        <w:t>Tandem"</w:t>
      </w:r>
      <w:r>
        <w:rPr>
          <w:spacing w:val="40"/>
          <w:sz w:val="24"/>
        </w:rPr>
        <w:t> </w:t>
      </w:r>
      <w:r>
        <w:rPr>
          <w:sz w:val="24"/>
        </w:rPr>
        <w:t>means</w:t>
      </w:r>
      <w:r>
        <w:rPr>
          <w:spacing w:val="40"/>
          <w:sz w:val="24"/>
        </w:rPr>
        <w:t> </w:t>
      </w:r>
      <w:r>
        <w:rPr>
          <w:sz w:val="24"/>
        </w:rPr>
        <w:t>a</w:t>
      </w:r>
      <w:r>
        <w:rPr>
          <w:spacing w:val="40"/>
          <w:sz w:val="24"/>
        </w:rPr>
        <w:t> </w:t>
      </w:r>
      <w:r>
        <w:rPr>
          <w:sz w:val="24"/>
        </w:rPr>
        <w:t>site</w:t>
      </w:r>
      <w:r>
        <w:rPr>
          <w:spacing w:val="40"/>
          <w:sz w:val="24"/>
        </w:rPr>
        <w:t> </w:t>
      </w:r>
      <w:r>
        <w:rPr>
          <w:sz w:val="24"/>
        </w:rPr>
        <w:t>access</w:t>
      </w:r>
      <w:r>
        <w:rPr>
          <w:spacing w:val="40"/>
          <w:sz w:val="24"/>
        </w:rPr>
        <w:t> </w:t>
      </w:r>
      <w:r>
        <w:rPr>
          <w:sz w:val="24"/>
        </w:rPr>
        <w:t>to</w:t>
      </w:r>
      <w:r>
        <w:rPr>
          <w:spacing w:val="40"/>
          <w:sz w:val="24"/>
        </w:rPr>
        <w:t> </w:t>
      </w:r>
      <w:r>
        <w:rPr>
          <w:sz w:val="24"/>
        </w:rPr>
        <w:t>which</w:t>
      </w:r>
      <w:r>
        <w:rPr>
          <w:spacing w:val="40"/>
          <w:sz w:val="24"/>
        </w:rPr>
        <w:t> </w:t>
      </w:r>
      <w:r>
        <w:rPr>
          <w:sz w:val="24"/>
        </w:rPr>
        <w:t>is</w:t>
      </w:r>
      <w:r>
        <w:rPr>
          <w:spacing w:val="40"/>
          <w:sz w:val="24"/>
        </w:rPr>
        <w:t> </w:t>
      </w:r>
      <w:r>
        <w:rPr>
          <w:sz w:val="24"/>
        </w:rPr>
        <w:t>by</w:t>
      </w:r>
      <w:r>
        <w:rPr>
          <w:spacing w:val="40"/>
          <w:sz w:val="24"/>
        </w:rPr>
        <w:t> </w:t>
      </w:r>
      <w:r>
        <w:rPr>
          <w:sz w:val="24"/>
        </w:rPr>
        <w:t>a passage</w:t>
      </w:r>
      <w:r>
        <w:rPr>
          <w:spacing w:val="40"/>
          <w:sz w:val="24"/>
        </w:rPr>
        <w:t> </w:t>
      </w:r>
      <w:r>
        <w:rPr>
          <w:sz w:val="24"/>
        </w:rPr>
        <w:t>from</w:t>
      </w:r>
      <w:r>
        <w:rPr>
          <w:spacing w:val="40"/>
          <w:sz w:val="24"/>
        </w:rPr>
        <w:t> </w:t>
      </w:r>
      <w:r>
        <w:rPr>
          <w:sz w:val="24"/>
        </w:rPr>
        <w:t>a</w:t>
      </w:r>
      <w:r>
        <w:rPr>
          <w:spacing w:val="40"/>
          <w:sz w:val="24"/>
        </w:rPr>
        <w:t> </w:t>
      </w:r>
      <w:r>
        <w:rPr>
          <w:sz w:val="24"/>
        </w:rPr>
        <w:t>street</w:t>
      </w:r>
      <w:r>
        <w:rPr>
          <w:spacing w:val="40"/>
          <w:sz w:val="24"/>
        </w:rPr>
        <w:t> </w:t>
      </w:r>
      <w:r>
        <w:rPr>
          <w:sz w:val="24"/>
        </w:rPr>
        <w:t>whether</w:t>
      </w:r>
      <w:r>
        <w:rPr>
          <w:spacing w:val="40"/>
          <w:sz w:val="24"/>
        </w:rPr>
        <w:t> </w:t>
      </w:r>
      <w:r>
        <w:rPr>
          <w:sz w:val="24"/>
        </w:rPr>
        <w:t>such</w:t>
      </w:r>
      <w:r>
        <w:rPr>
          <w:spacing w:val="40"/>
          <w:sz w:val="24"/>
        </w:rPr>
        <w:t> </w:t>
      </w:r>
      <w:r>
        <w:rPr>
          <w:sz w:val="24"/>
        </w:rPr>
        <w:t>passage</w:t>
      </w:r>
      <w:r>
        <w:rPr>
          <w:spacing w:val="40"/>
          <w:sz w:val="24"/>
        </w:rPr>
        <w:t> </w:t>
      </w:r>
      <w:r>
        <w:rPr>
          <w:sz w:val="24"/>
        </w:rPr>
        <w:t>forms</w:t>
      </w:r>
      <w:r>
        <w:rPr>
          <w:spacing w:val="40"/>
          <w:sz w:val="24"/>
        </w:rPr>
        <w:t> </w:t>
      </w:r>
      <w:r>
        <w:rPr>
          <w:sz w:val="24"/>
        </w:rPr>
        <w:t>part</w:t>
      </w:r>
      <w:r>
        <w:rPr>
          <w:spacing w:val="40"/>
          <w:sz w:val="24"/>
        </w:rPr>
        <w:t> </w:t>
      </w:r>
      <w:r>
        <w:rPr>
          <w:sz w:val="24"/>
        </w:rPr>
        <w:t>of</w:t>
      </w:r>
      <w:r>
        <w:rPr>
          <w:spacing w:val="40"/>
          <w:sz w:val="24"/>
        </w:rPr>
        <w:t> </w:t>
      </w:r>
      <w:r>
        <w:rPr>
          <w:sz w:val="24"/>
        </w:rPr>
        <w:t>the</w:t>
      </w:r>
      <w:r>
        <w:rPr>
          <w:spacing w:val="40"/>
          <w:sz w:val="24"/>
        </w:rPr>
        <w:t> </w:t>
      </w:r>
      <w:r>
        <w:rPr>
          <w:sz w:val="24"/>
        </w:rPr>
        <w:t>site</w:t>
      </w:r>
      <w:r>
        <w:rPr>
          <w:spacing w:val="40"/>
          <w:sz w:val="24"/>
        </w:rPr>
        <w:t> </w:t>
      </w:r>
      <w:r>
        <w:rPr>
          <w:sz w:val="24"/>
        </w:rPr>
        <w:t>or </w:t>
      </w:r>
      <w:r>
        <w:rPr>
          <w:spacing w:val="-4"/>
          <w:sz w:val="24"/>
        </w:rPr>
        <w:t>not.</w:t>
      </w:r>
    </w:p>
    <w:p>
      <w:pPr>
        <w:pStyle w:val="ListParagraph"/>
        <w:spacing w:after="0" w:line="240" w:lineRule="auto"/>
        <w:jc w:val="both"/>
        <w:rPr>
          <w:sz w:val="22"/>
        </w:rPr>
        <w:sectPr>
          <w:pgSz w:w="11910" w:h="16840"/>
          <w:pgMar w:header="1058" w:footer="1357" w:top="1500" w:bottom="1540" w:left="360" w:right="360"/>
        </w:sectPr>
      </w:pPr>
    </w:p>
    <w:p>
      <w:pPr>
        <w:pStyle w:val="BodyText"/>
        <w:spacing w:before="256"/>
        <w:jc w:val="left"/>
      </w:pPr>
    </w:p>
    <w:p>
      <w:pPr>
        <w:pStyle w:val="ListParagraph"/>
        <w:numPr>
          <w:ilvl w:val="0"/>
          <w:numId w:val="6"/>
        </w:numPr>
        <w:tabs>
          <w:tab w:pos="1690" w:val="left" w:leader="none"/>
          <w:tab w:pos="1766" w:val="left" w:leader="none"/>
        </w:tabs>
        <w:spacing w:line="240" w:lineRule="auto" w:before="0" w:after="0"/>
        <w:ind w:left="1766" w:right="784" w:hanging="711"/>
        <w:jc w:val="both"/>
        <w:rPr>
          <w:sz w:val="22"/>
        </w:rPr>
      </w:pPr>
      <w:r>
        <w:rPr>
          <w:spacing w:val="9"/>
          <w:sz w:val="24"/>
        </w:rPr>
        <w:t>"Smoke-</w:t>
      </w:r>
      <w:r>
        <w:rPr>
          <w:sz w:val="24"/>
        </w:rPr>
        <w:t>stop</w:t>
      </w:r>
      <w:r>
        <w:rPr>
          <w:spacing w:val="40"/>
          <w:sz w:val="24"/>
        </w:rPr>
        <w:t> </w:t>
      </w:r>
      <w:r>
        <w:rPr>
          <w:sz w:val="24"/>
        </w:rPr>
        <w:t>door"</w:t>
      </w:r>
      <w:r>
        <w:rPr>
          <w:spacing w:val="40"/>
          <w:sz w:val="24"/>
        </w:rPr>
        <w:t> </w:t>
      </w:r>
      <w:r>
        <w:rPr>
          <w:sz w:val="24"/>
        </w:rPr>
        <w:t>means</w:t>
      </w:r>
      <w:r>
        <w:rPr>
          <w:spacing w:val="40"/>
          <w:sz w:val="24"/>
        </w:rPr>
        <w:t> </w:t>
      </w:r>
      <w:r>
        <w:rPr>
          <w:sz w:val="24"/>
        </w:rPr>
        <w:t>a</w:t>
      </w:r>
      <w:r>
        <w:rPr>
          <w:spacing w:val="40"/>
          <w:sz w:val="24"/>
        </w:rPr>
        <w:t> </w:t>
      </w:r>
      <w:r>
        <w:rPr>
          <w:sz w:val="24"/>
        </w:rPr>
        <w:t>door</w:t>
      </w:r>
      <w:r>
        <w:rPr>
          <w:spacing w:val="40"/>
          <w:sz w:val="24"/>
        </w:rPr>
        <w:t> </w:t>
      </w:r>
      <w:r>
        <w:rPr>
          <w:sz w:val="24"/>
        </w:rPr>
        <w:t>for</w:t>
      </w:r>
      <w:r>
        <w:rPr>
          <w:spacing w:val="40"/>
          <w:sz w:val="24"/>
        </w:rPr>
        <w:t> </w:t>
      </w:r>
      <w:r>
        <w:rPr>
          <w:sz w:val="24"/>
        </w:rPr>
        <w:t>preventing</w:t>
      </w:r>
      <w:r>
        <w:rPr>
          <w:spacing w:val="40"/>
          <w:sz w:val="24"/>
        </w:rPr>
        <w:t> </w:t>
      </w:r>
      <w:r>
        <w:rPr>
          <w:sz w:val="24"/>
        </w:rPr>
        <w:t>or</w:t>
      </w:r>
      <w:r>
        <w:rPr>
          <w:spacing w:val="40"/>
          <w:sz w:val="24"/>
        </w:rPr>
        <w:t> </w:t>
      </w:r>
      <w:r>
        <w:rPr>
          <w:spacing w:val="9"/>
          <w:sz w:val="24"/>
        </w:rPr>
        <w:t>checking</w:t>
      </w:r>
      <w:r>
        <w:rPr>
          <w:spacing w:val="40"/>
          <w:sz w:val="24"/>
        </w:rPr>
        <w:t> </w:t>
      </w:r>
      <w:r>
        <w:rPr>
          <w:sz w:val="24"/>
        </w:rPr>
        <w:t>the spread</w:t>
      </w:r>
      <w:r>
        <w:rPr>
          <w:spacing w:val="40"/>
          <w:sz w:val="24"/>
        </w:rPr>
        <w:t> </w:t>
      </w:r>
      <w:r>
        <w:rPr>
          <w:sz w:val="24"/>
        </w:rPr>
        <w:t>of</w:t>
      </w:r>
      <w:r>
        <w:rPr>
          <w:spacing w:val="40"/>
          <w:sz w:val="24"/>
        </w:rPr>
        <w:t> </w:t>
      </w:r>
      <w:r>
        <w:rPr>
          <w:sz w:val="24"/>
        </w:rPr>
        <w:t>smoke</w:t>
      </w:r>
      <w:r>
        <w:rPr>
          <w:spacing w:val="40"/>
          <w:sz w:val="24"/>
        </w:rPr>
        <w:t> </w:t>
      </w:r>
      <w:r>
        <w:rPr>
          <w:sz w:val="24"/>
        </w:rPr>
        <w:t>from</w:t>
      </w:r>
      <w:r>
        <w:rPr>
          <w:spacing w:val="40"/>
          <w:sz w:val="24"/>
        </w:rPr>
        <w:t> </w:t>
      </w:r>
      <w:r>
        <w:rPr>
          <w:sz w:val="24"/>
        </w:rPr>
        <w:t>one</w:t>
      </w:r>
      <w:r>
        <w:rPr>
          <w:spacing w:val="40"/>
          <w:sz w:val="24"/>
        </w:rPr>
        <w:t> </w:t>
      </w:r>
      <w:r>
        <w:rPr>
          <w:sz w:val="24"/>
        </w:rPr>
        <w:t>area</w:t>
      </w:r>
      <w:r>
        <w:rPr>
          <w:spacing w:val="40"/>
          <w:sz w:val="24"/>
        </w:rPr>
        <w:t> </w:t>
      </w:r>
      <w:r>
        <w:rPr>
          <w:sz w:val="24"/>
        </w:rPr>
        <w:t>to</w:t>
      </w:r>
      <w:r>
        <w:rPr>
          <w:spacing w:val="40"/>
          <w:sz w:val="24"/>
        </w:rPr>
        <w:t> </w:t>
      </w:r>
      <w:r>
        <w:rPr>
          <w:spacing w:val="9"/>
          <w:sz w:val="24"/>
        </w:rPr>
        <w:t>another.</w:t>
      </w:r>
    </w:p>
    <w:p>
      <w:pPr>
        <w:pStyle w:val="BodyText"/>
        <w:jc w:val="left"/>
      </w:pPr>
    </w:p>
    <w:p>
      <w:pPr>
        <w:pStyle w:val="ListParagraph"/>
        <w:numPr>
          <w:ilvl w:val="0"/>
          <w:numId w:val="6"/>
        </w:numPr>
        <w:tabs>
          <w:tab w:pos="1764" w:val="left" w:leader="none"/>
          <w:tab w:pos="1768" w:val="left" w:leader="none"/>
        </w:tabs>
        <w:spacing w:line="240" w:lineRule="auto" w:before="0" w:after="0"/>
        <w:ind w:left="1764" w:right="785" w:hanging="720"/>
        <w:jc w:val="both"/>
        <w:rPr>
          <w:sz w:val="24"/>
        </w:rPr>
      </w:pPr>
      <w:r>
        <w:rPr>
          <w:sz w:val="24"/>
        </w:rPr>
        <w:t>“Solar</w:t>
      </w:r>
      <w:r>
        <w:rPr>
          <w:sz w:val="24"/>
        </w:rPr>
        <w:t> Energy System” means a device to heat the water or generate power</w:t>
      </w:r>
      <w:r>
        <w:rPr>
          <w:spacing w:val="40"/>
          <w:sz w:val="24"/>
        </w:rPr>
        <w:t> </w:t>
      </w:r>
      <w:r>
        <w:rPr>
          <w:sz w:val="24"/>
        </w:rPr>
        <w:t>using</w:t>
      </w:r>
      <w:r>
        <w:rPr>
          <w:spacing w:val="40"/>
          <w:sz w:val="24"/>
        </w:rPr>
        <w:t> </w:t>
      </w:r>
      <w:r>
        <w:rPr>
          <w:sz w:val="24"/>
        </w:rPr>
        <w:t>solar</w:t>
      </w:r>
      <w:r>
        <w:rPr>
          <w:spacing w:val="40"/>
          <w:sz w:val="24"/>
        </w:rPr>
        <w:t> </w:t>
      </w:r>
      <w:r>
        <w:rPr>
          <w:sz w:val="24"/>
        </w:rPr>
        <w:t>energy.</w:t>
      </w:r>
    </w:p>
    <w:p>
      <w:pPr>
        <w:pStyle w:val="ListParagraph"/>
        <w:numPr>
          <w:ilvl w:val="0"/>
          <w:numId w:val="6"/>
        </w:numPr>
        <w:tabs>
          <w:tab w:pos="1690" w:val="left" w:leader="none"/>
          <w:tab w:pos="1766" w:val="left" w:leader="none"/>
        </w:tabs>
        <w:spacing w:line="240" w:lineRule="auto" w:before="281" w:after="0"/>
        <w:ind w:left="1766" w:right="789" w:hanging="711"/>
        <w:jc w:val="both"/>
        <w:rPr>
          <w:sz w:val="22"/>
        </w:rPr>
      </w:pPr>
      <w:r>
        <w:rPr>
          <w:sz w:val="24"/>
        </w:rPr>
        <w:t>"Stair–cover/Stair case Room"</w:t>
      </w:r>
      <w:r>
        <w:rPr>
          <w:spacing w:val="40"/>
          <w:sz w:val="24"/>
        </w:rPr>
        <w:t> </w:t>
      </w:r>
      <w:r>
        <w:rPr>
          <w:sz w:val="24"/>
        </w:rPr>
        <w:t>means a structure with a covering roof over</w:t>
      </w:r>
      <w:r>
        <w:rPr>
          <w:spacing w:val="40"/>
          <w:sz w:val="24"/>
        </w:rPr>
        <w:t> </w:t>
      </w:r>
      <w:r>
        <w:rPr>
          <w:sz w:val="24"/>
        </w:rPr>
        <w:t>a</w:t>
      </w:r>
      <w:r>
        <w:rPr>
          <w:spacing w:val="40"/>
          <w:sz w:val="24"/>
        </w:rPr>
        <w:t> </w:t>
      </w:r>
      <w:r>
        <w:rPr>
          <w:sz w:val="24"/>
        </w:rPr>
        <w:t>staircase</w:t>
      </w:r>
      <w:r>
        <w:rPr>
          <w:spacing w:val="40"/>
          <w:sz w:val="24"/>
        </w:rPr>
        <w:t> </w:t>
      </w:r>
      <w:r>
        <w:rPr>
          <w:sz w:val="24"/>
        </w:rPr>
        <w:t>and</w:t>
      </w:r>
      <w:r>
        <w:rPr>
          <w:spacing w:val="40"/>
          <w:sz w:val="24"/>
        </w:rPr>
        <w:t> </w:t>
      </w:r>
      <w:r>
        <w:rPr>
          <w:sz w:val="24"/>
        </w:rPr>
        <w:t>its</w:t>
      </w:r>
      <w:r>
        <w:rPr>
          <w:spacing w:val="80"/>
          <w:sz w:val="24"/>
        </w:rPr>
        <w:t> </w:t>
      </w:r>
      <w:r>
        <w:rPr>
          <w:sz w:val="24"/>
        </w:rPr>
        <w:t>landing</w:t>
      </w:r>
      <w:r>
        <w:rPr>
          <w:spacing w:val="40"/>
          <w:sz w:val="24"/>
        </w:rPr>
        <w:t> </w:t>
      </w:r>
      <w:r>
        <w:rPr>
          <w:sz w:val="24"/>
        </w:rPr>
        <w:t>built</w:t>
      </w:r>
      <w:r>
        <w:rPr>
          <w:spacing w:val="40"/>
          <w:sz w:val="24"/>
        </w:rPr>
        <w:t> </w:t>
      </w:r>
      <w:r>
        <w:rPr>
          <w:sz w:val="24"/>
        </w:rPr>
        <w:t>to</w:t>
      </w:r>
      <w:r>
        <w:rPr>
          <w:spacing w:val="40"/>
          <w:sz w:val="24"/>
        </w:rPr>
        <w:t> </w:t>
      </w:r>
      <w:r>
        <w:rPr>
          <w:sz w:val="24"/>
        </w:rPr>
        <w:t>enclose</w:t>
      </w:r>
      <w:r>
        <w:rPr>
          <w:spacing w:val="40"/>
          <w:sz w:val="24"/>
        </w:rPr>
        <w:t> </w:t>
      </w:r>
      <w:r>
        <w:rPr>
          <w:sz w:val="24"/>
        </w:rPr>
        <w:t>only</w:t>
      </w:r>
      <w:r>
        <w:rPr>
          <w:spacing w:val="40"/>
          <w:sz w:val="24"/>
        </w:rPr>
        <w:t> </w:t>
      </w:r>
      <w:r>
        <w:rPr>
          <w:sz w:val="24"/>
        </w:rPr>
        <w:t>the</w:t>
      </w:r>
      <w:r>
        <w:rPr>
          <w:spacing w:val="40"/>
          <w:sz w:val="24"/>
        </w:rPr>
        <w:t> </w:t>
      </w:r>
      <w:r>
        <w:rPr>
          <w:sz w:val="24"/>
        </w:rPr>
        <w:t>stairs</w:t>
      </w:r>
      <w:r>
        <w:rPr>
          <w:spacing w:val="40"/>
          <w:sz w:val="24"/>
        </w:rPr>
        <w:t> </w:t>
      </w:r>
      <w:r>
        <w:rPr>
          <w:sz w:val="24"/>
        </w:rPr>
        <w:t>for</w:t>
      </w:r>
      <w:r>
        <w:rPr>
          <w:spacing w:val="40"/>
          <w:sz w:val="24"/>
        </w:rPr>
        <w:t> </w:t>
      </w:r>
      <w:r>
        <w:rPr>
          <w:sz w:val="24"/>
        </w:rPr>
        <w:t>the</w:t>
      </w:r>
      <w:r>
        <w:rPr>
          <w:spacing w:val="40"/>
          <w:sz w:val="24"/>
        </w:rPr>
        <w:t> </w:t>
      </w:r>
      <w:r>
        <w:rPr>
          <w:sz w:val="24"/>
        </w:rPr>
        <w:t>purpose</w:t>
      </w:r>
      <w:r>
        <w:rPr>
          <w:spacing w:val="40"/>
          <w:sz w:val="24"/>
        </w:rPr>
        <w:t> </w:t>
      </w:r>
      <w:r>
        <w:rPr>
          <w:sz w:val="24"/>
        </w:rPr>
        <w:t>of</w:t>
      </w:r>
      <w:r>
        <w:rPr>
          <w:spacing w:val="40"/>
          <w:sz w:val="24"/>
        </w:rPr>
        <w:t> </w:t>
      </w:r>
      <w:r>
        <w:rPr>
          <w:sz w:val="24"/>
        </w:rPr>
        <w:t>providing</w:t>
      </w:r>
      <w:r>
        <w:rPr>
          <w:spacing w:val="40"/>
          <w:sz w:val="24"/>
        </w:rPr>
        <w:t> </w:t>
      </w:r>
      <w:r>
        <w:rPr>
          <w:sz w:val="24"/>
        </w:rPr>
        <w:t>protection</w:t>
      </w:r>
      <w:r>
        <w:rPr>
          <w:spacing w:val="40"/>
          <w:sz w:val="24"/>
        </w:rPr>
        <w:t> </w:t>
      </w:r>
      <w:r>
        <w:rPr>
          <w:sz w:val="24"/>
        </w:rPr>
        <w:t>from</w:t>
      </w:r>
      <w:r>
        <w:rPr>
          <w:spacing w:val="40"/>
          <w:sz w:val="24"/>
        </w:rPr>
        <w:t> </w:t>
      </w:r>
      <w:r>
        <w:rPr>
          <w:sz w:val="24"/>
        </w:rPr>
        <w:t>the</w:t>
      </w:r>
      <w:r>
        <w:rPr>
          <w:spacing w:val="40"/>
          <w:sz w:val="24"/>
        </w:rPr>
        <w:t> </w:t>
      </w:r>
      <w:r>
        <w:rPr>
          <w:sz w:val="24"/>
        </w:rPr>
        <w:t>weather</w:t>
      </w:r>
      <w:r>
        <w:rPr>
          <w:spacing w:val="40"/>
          <w:sz w:val="24"/>
        </w:rPr>
        <w:t> </w:t>
      </w:r>
      <w:r>
        <w:rPr>
          <w:sz w:val="24"/>
        </w:rPr>
        <w:t>and</w:t>
      </w:r>
      <w:r>
        <w:rPr>
          <w:spacing w:val="40"/>
          <w:sz w:val="24"/>
        </w:rPr>
        <w:t> </w:t>
      </w:r>
      <w:r>
        <w:rPr>
          <w:sz w:val="24"/>
        </w:rPr>
        <w:t>not</w:t>
      </w:r>
      <w:r>
        <w:rPr>
          <w:spacing w:val="40"/>
          <w:sz w:val="24"/>
        </w:rPr>
        <w:t> </w:t>
      </w:r>
      <w:r>
        <w:rPr>
          <w:sz w:val="24"/>
        </w:rPr>
        <w:t>used</w:t>
      </w:r>
      <w:r>
        <w:rPr>
          <w:spacing w:val="80"/>
          <w:sz w:val="24"/>
        </w:rPr>
        <w:t> </w:t>
      </w:r>
      <w:r>
        <w:rPr>
          <w:sz w:val="24"/>
        </w:rPr>
        <w:t>for human </w:t>
      </w:r>
      <w:r>
        <w:rPr>
          <w:spacing w:val="9"/>
          <w:sz w:val="24"/>
        </w:rPr>
        <w:t>habitation.</w:t>
      </w:r>
    </w:p>
    <w:p>
      <w:pPr>
        <w:pStyle w:val="BodyText"/>
        <w:spacing w:before="1"/>
        <w:jc w:val="left"/>
      </w:pPr>
    </w:p>
    <w:p>
      <w:pPr>
        <w:pStyle w:val="ListParagraph"/>
        <w:numPr>
          <w:ilvl w:val="0"/>
          <w:numId w:val="6"/>
        </w:numPr>
        <w:tabs>
          <w:tab w:pos="1766" w:val="left" w:leader="none"/>
        </w:tabs>
        <w:spacing w:line="240" w:lineRule="auto" w:before="0" w:after="0"/>
        <w:ind w:left="1766" w:right="787" w:hanging="711"/>
        <w:jc w:val="both"/>
        <w:rPr>
          <w:sz w:val="24"/>
        </w:rPr>
      </w:pPr>
      <w:r>
        <w:rPr>
          <w:sz w:val="24"/>
        </w:rPr>
        <w:t>“Stilt” means a space within framework of columns, beams and slabs without</w:t>
      </w:r>
      <w:r>
        <w:rPr>
          <w:spacing w:val="40"/>
          <w:sz w:val="24"/>
        </w:rPr>
        <w:t> </w:t>
      </w:r>
      <w:r>
        <w:rPr>
          <w:sz w:val="24"/>
        </w:rPr>
        <w:t>enclosure</w:t>
      </w:r>
      <w:r>
        <w:rPr>
          <w:spacing w:val="40"/>
          <w:sz w:val="24"/>
        </w:rPr>
        <w:t> </w:t>
      </w:r>
      <w:r>
        <w:rPr>
          <w:sz w:val="24"/>
        </w:rPr>
        <w:t>of</w:t>
      </w:r>
      <w:r>
        <w:rPr>
          <w:spacing w:val="40"/>
          <w:sz w:val="24"/>
        </w:rPr>
        <w:t> </w:t>
      </w:r>
      <w:r>
        <w:rPr>
          <w:sz w:val="24"/>
        </w:rPr>
        <w:t>walls</w:t>
      </w:r>
      <w:r>
        <w:rPr>
          <w:spacing w:val="40"/>
          <w:sz w:val="24"/>
        </w:rPr>
        <w:t> </w:t>
      </w:r>
      <w:r>
        <w:rPr>
          <w:sz w:val="24"/>
        </w:rPr>
        <w:t>over</w:t>
      </w:r>
      <w:r>
        <w:rPr>
          <w:spacing w:val="40"/>
          <w:sz w:val="24"/>
        </w:rPr>
        <w:t> </w:t>
      </w:r>
      <w:r>
        <w:rPr>
          <w:sz w:val="24"/>
        </w:rPr>
        <w:t>which</w:t>
      </w:r>
      <w:r>
        <w:rPr>
          <w:spacing w:val="40"/>
          <w:sz w:val="24"/>
        </w:rPr>
        <w:t> </w:t>
      </w:r>
      <w:r>
        <w:rPr>
          <w:sz w:val="24"/>
        </w:rPr>
        <w:t>the</w:t>
      </w:r>
      <w:r>
        <w:rPr>
          <w:spacing w:val="77"/>
          <w:sz w:val="24"/>
        </w:rPr>
        <w:t> </w:t>
      </w:r>
      <w:r>
        <w:rPr>
          <w:sz w:val="24"/>
        </w:rPr>
        <w:t>building</w:t>
      </w:r>
      <w:r>
        <w:rPr>
          <w:spacing w:val="40"/>
          <w:sz w:val="24"/>
        </w:rPr>
        <w:t> </w:t>
      </w:r>
      <w:r>
        <w:rPr>
          <w:sz w:val="24"/>
        </w:rPr>
        <w:t>rests.</w:t>
      </w:r>
      <w:r>
        <w:rPr>
          <w:spacing w:val="40"/>
          <w:sz w:val="24"/>
        </w:rPr>
        <w:t> </w:t>
      </w:r>
      <w:r>
        <w:rPr>
          <w:sz w:val="24"/>
        </w:rPr>
        <w:t>It</w:t>
      </w:r>
      <w:r>
        <w:rPr>
          <w:spacing w:val="40"/>
          <w:sz w:val="24"/>
        </w:rPr>
        <w:t> </w:t>
      </w:r>
      <w:r>
        <w:rPr>
          <w:sz w:val="24"/>
        </w:rPr>
        <w:t>is</w:t>
      </w:r>
      <w:r>
        <w:rPr>
          <w:spacing w:val="40"/>
          <w:sz w:val="24"/>
        </w:rPr>
        <w:t> </w:t>
      </w:r>
      <w:r>
        <w:rPr>
          <w:sz w:val="24"/>
        </w:rPr>
        <w:t>used</w:t>
      </w:r>
      <w:r>
        <w:rPr>
          <w:spacing w:val="40"/>
          <w:sz w:val="24"/>
        </w:rPr>
        <w:t> </w:t>
      </w:r>
      <w:r>
        <w:rPr>
          <w:sz w:val="24"/>
        </w:rPr>
        <w:t>for parking purposes/other services as provided under these </w:t>
      </w:r>
      <w:r>
        <w:rPr>
          <w:spacing w:val="7"/>
          <w:sz w:val="24"/>
        </w:rPr>
        <w:t>Regulations.</w:t>
      </w:r>
    </w:p>
    <w:p>
      <w:pPr>
        <w:pStyle w:val="BodyText"/>
        <w:jc w:val="left"/>
      </w:pPr>
    </w:p>
    <w:p>
      <w:pPr>
        <w:pStyle w:val="ListParagraph"/>
        <w:numPr>
          <w:ilvl w:val="0"/>
          <w:numId w:val="6"/>
        </w:numPr>
        <w:tabs>
          <w:tab w:pos="1690" w:val="left" w:leader="none"/>
          <w:tab w:pos="1766" w:val="left" w:leader="none"/>
        </w:tabs>
        <w:spacing w:line="240" w:lineRule="auto" w:before="0" w:after="0"/>
        <w:ind w:left="1766" w:right="798" w:hanging="711"/>
        <w:jc w:val="both"/>
        <w:rPr>
          <w:sz w:val="22"/>
        </w:rPr>
      </w:pPr>
      <w:r>
        <w:rPr>
          <w:sz w:val="24"/>
        </w:rPr>
        <w:t>"Storey"</w:t>
      </w:r>
      <w:r>
        <w:rPr>
          <w:spacing w:val="40"/>
          <w:sz w:val="24"/>
        </w:rPr>
        <w:t> </w:t>
      </w:r>
      <w:r>
        <w:rPr>
          <w:sz w:val="24"/>
        </w:rPr>
        <w:t>means</w:t>
      </w:r>
      <w:r>
        <w:rPr>
          <w:spacing w:val="40"/>
          <w:sz w:val="24"/>
        </w:rPr>
        <w:t> </w:t>
      </w:r>
      <w:r>
        <w:rPr>
          <w:sz w:val="24"/>
        </w:rPr>
        <w:t>the</w:t>
      </w:r>
      <w:r>
        <w:rPr>
          <w:spacing w:val="40"/>
          <w:sz w:val="24"/>
        </w:rPr>
        <w:t> </w:t>
      </w:r>
      <w:r>
        <w:rPr>
          <w:sz w:val="24"/>
        </w:rPr>
        <w:t>portion</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included</w:t>
      </w:r>
      <w:r>
        <w:rPr>
          <w:spacing w:val="40"/>
          <w:sz w:val="24"/>
        </w:rPr>
        <w:t> </w:t>
      </w:r>
      <w:r>
        <w:rPr>
          <w:sz w:val="24"/>
        </w:rPr>
        <w:t>between</w:t>
      </w:r>
      <w:r>
        <w:rPr>
          <w:spacing w:val="40"/>
          <w:sz w:val="24"/>
        </w:rPr>
        <w:t> </w:t>
      </w:r>
      <w:r>
        <w:rPr>
          <w:sz w:val="24"/>
        </w:rPr>
        <w:t>the</w:t>
      </w:r>
      <w:r>
        <w:rPr>
          <w:spacing w:val="40"/>
          <w:sz w:val="24"/>
        </w:rPr>
        <w:t> </w:t>
      </w:r>
      <w:r>
        <w:rPr>
          <w:sz w:val="24"/>
        </w:rPr>
        <w:t>surface of</w:t>
      </w:r>
      <w:r>
        <w:rPr>
          <w:spacing w:val="40"/>
          <w:sz w:val="24"/>
        </w:rPr>
        <w:t> </w:t>
      </w:r>
      <w:r>
        <w:rPr>
          <w:sz w:val="24"/>
        </w:rPr>
        <w:t>any</w:t>
      </w:r>
      <w:r>
        <w:rPr>
          <w:spacing w:val="40"/>
          <w:sz w:val="24"/>
        </w:rPr>
        <w:t> </w:t>
      </w:r>
      <w:r>
        <w:rPr>
          <w:sz w:val="24"/>
        </w:rPr>
        <w:t>floor</w:t>
      </w:r>
      <w:r>
        <w:rPr>
          <w:spacing w:val="40"/>
          <w:sz w:val="24"/>
        </w:rPr>
        <w:t> </w:t>
      </w:r>
      <w:r>
        <w:rPr>
          <w:sz w:val="24"/>
        </w:rPr>
        <w:t>and</w:t>
      </w:r>
      <w:r>
        <w:rPr>
          <w:spacing w:val="40"/>
          <w:sz w:val="24"/>
        </w:rPr>
        <w:t> </w:t>
      </w:r>
      <w:r>
        <w:rPr>
          <w:sz w:val="24"/>
        </w:rPr>
        <w:t>the</w:t>
      </w:r>
      <w:r>
        <w:rPr>
          <w:spacing w:val="40"/>
          <w:sz w:val="24"/>
        </w:rPr>
        <w:t> </w:t>
      </w:r>
      <w:r>
        <w:rPr>
          <w:sz w:val="24"/>
        </w:rPr>
        <w:t>surface</w:t>
      </w:r>
      <w:r>
        <w:rPr>
          <w:spacing w:val="40"/>
          <w:sz w:val="24"/>
        </w:rPr>
        <w:t> </w:t>
      </w:r>
      <w:r>
        <w:rPr>
          <w:sz w:val="24"/>
        </w:rPr>
        <w:t>of</w:t>
      </w:r>
      <w:r>
        <w:rPr>
          <w:spacing w:val="40"/>
          <w:sz w:val="24"/>
        </w:rPr>
        <w:t> </w:t>
      </w:r>
      <w:r>
        <w:rPr>
          <w:sz w:val="24"/>
        </w:rPr>
        <w:t>the</w:t>
      </w:r>
      <w:r>
        <w:rPr>
          <w:spacing w:val="40"/>
          <w:sz w:val="24"/>
        </w:rPr>
        <w:t> </w:t>
      </w:r>
      <w:r>
        <w:rPr>
          <w:sz w:val="24"/>
        </w:rPr>
        <w:t>floor</w:t>
      </w:r>
      <w:r>
        <w:rPr>
          <w:spacing w:val="40"/>
          <w:sz w:val="24"/>
        </w:rPr>
        <w:t> </w:t>
      </w:r>
      <w:r>
        <w:rPr>
          <w:sz w:val="24"/>
        </w:rPr>
        <w:t>next</w:t>
      </w:r>
      <w:r>
        <w:rPr>
          <w:spacing w:val="40"/>
          <w:sz w:val="24"/>
        </w:rPr>
        <w:t> </w:t>
      </w:r>
      <w:r>
        <w:rPr>
          <w:sz w:val="24"/>
        </w:rPr>
        <w:t>above</w:t>
      </w:r>
      <w:r>
        <w:rPr>
          <w:spacing w:val="40"/>
          <w:sz w:val="24"/>
        </w:rPr>
        <w:t> </w:t>
      </w:r>
      <w:r>
        <w:rPr>
          <w:sz w:val="24"/>
        </w:rPr>
        <w:t>it,</w:t>
      </w:r>
      <w:r>
        <w:rPr>
          <w:spacing w:val="40"/>
          <w:sz w:val="24"/>
        </w:rPr>
        <w:t> </w:t>
      </w:r>
      <w:r>
        <w:rPr>
          <w:sz w:val="24"/>
        </w:rPr>
        <w:t>or</w:t>
      </w:r>
      <w:r>
        <w:rPr>
          <w:spacing w:val="40"/>
          <w:sz w:val="24"/>
        </w:rPr>
        <w:t> </w:t>
      </w:r>
      <w:r>
        <w:rPr>
          <w:sz w:val="24"/>
        </w:rPr>
        <w:t>if</w:t>
      </w:r>
      <w:r>
        <w:rPr>
          <w:spacing w:val="40"/>
          <w:sz w:val="24"/>
        </w:rPr>
        <w:t> </w:t>
      </w:r>
      <w:r>
        <w:rPr>
          <w:sz w:val="24"/>
        </w:rPr>
        <w:t>there</w:t>
      </w:r>
      <w:r>
        <w:rPr>
          <w:spacing w:val="40"/>
          <w:sz w:val="24"/>
        </w:rPr>
        <w:t> </w:t>
      </w:r>
      <w:r>
        <w:rPr>
          <w:sz w:val="24"/>
        </w:rPr>
        <w:t>be no</w:t>
      </w:r>
      <w:r>
        <w:rPr>
          <w:spacing w:val="40"/>
          <w:sz w:val="24"/>
        </w:rPr>
        <w:t> </w:t>
      </w:r>
      <w:r>
        <w:rPr>
          <w:sz w:val="24"/>
        </w:rPr>
        <w:t>floor</w:t>
      </w:r>
      <w:r>
        <w:rPr>
          <w:spacing w:val="40"/>
          <w:sz w:val="24"/>
        </w:rPr>
        <w:t> </w:t>
      </w:r>
      <w:r>
        <w:rPr>
          <w:sz w:val="24"/>
        </w:rPr>
        <w:t>above</w:t>
      </w:r>
      <w:r>
        <w:rPr>
          <w:spacing w:val="40"/>
          <w:sz w:val="24"/>
        </w:rPr>
        <w:t> </w:t>
      </w:r>
      <w:r>
        <w:rPr>
          <w:sz w:val="24"/>
        </w:rPr>
        <w:t>it,</w:t>
      </w:r>
      <w:r>
        <w:rPr>
          <w:spacing w:val="40"/>
          <w:sz w:val="24"/>
        </w:rPr>
        <w:t> </w:t>
      </w:r>
      <w:r>
        <w:rPr>
          <w:sz w:val="24"/>
        </w:rPr>
        <w:t>then</w:t>
      </w:r>
      <w:r>
        <w:rPr>
          <w:spacing w:val="40"/>
          <w:sz w:val="24"/>
        </w:rPr>
        <w:t> </w:t>
      </w:r>
      <w:r>
        <w:rPr>
          <w:sz w:val="24"/>
        </w:rPr>
        <w:t>the</w:t>
      </w:r>
      <w:r>
        <w:rPr>
          <w:spacing w:val="40"/>
          <w:sz w:val="24"/>
        </w:rPr>
        <w:t> </w:t>
      </w:r>
      <w:r>
        <w:rPr>
          <w:sz w:val="24"/>
        </w:rPr>
        <w:t>space</w:t>
      </w:r>
      <w:r>
        <w:rPr>
          <w:spacing w:val="40"/>
          <w:sz w:val="24"/>
        </w:rPr>
        <w:t> </w:t>
      </w:r>
      <w:r>
        <w:rPr>
          <w:sz w:val="24"/>
        </w:rPr>
        <w:t>between</w:t>
      </w:r>
      <w:r>
        <w:rPr>
          <w:spacing w:val="40"/>
          <w:sz w:val="24"/>
        </w:rPr>
        <w:t> </w:t>
      </w:r>
      <w:r>
        <w:rPr>
          <w:sz w:val="24"/>
        </w:rPr>
        <w:t>any</w:t>
      </w:r>
      <w:r>
        <w:rPr>
          <w:spacing w:val="40"/>
          <w:sz w:val="24"/>
        </w:rPr>
        <w:t> </w:t>
      </w:r>
      <w:r>
        <w:rPr>
          <w:sz w:val="24"/>
        </w:rPr>
        <w:t>floor</w:t>
      </w:r>
      <w:r>
        <w:rPr>
          <w:spacing w:val="40"/>
          <w:sz w:val="24"/>
        </w:rPr>
        <w:t> </w:t>
      </w:r>
      <w:r>
        <w:rPr>
          <w:sz w:val="24"/>
        </w:rPr>
        <w:t>and</w:t>
      </w:r>
      <w:r>
        <w:rPr>
          <w:spacing w:val="40"/>
          <w:sz w:val="24"/>
        </w:rPr>
        <w:t> </w:t>
      </w:r>
      <w:r>
        <w:rPr>
          <w:sz w:val="24"/>
        </w:rPr>
        <w:t>the</w:t>
      </w:r>
      <w:r>
        <w:rPr>
          <w:spacing w:val="40"/>
          <w:sz w:val="24"/>
        </w:rPr>
        <w:t> </w:t>
      </w:r>
      <w:r>
        <w:rPr>
          <w:sz w:val="24"/>
        </w:rPr>
        <w:t>ceiling next above it.</w:t>
      </w:r>
    </w:p>
    <w:p>
      <w:pPr>
        <w:pStyle w:val="BodyText"/>
        <w:jc w:val="left"/>
      </w:pPr>
    </w:p>
    <w:p>
      <w:pPr>
        <w:pStyle w:val="ListParagraph"/>
        <w:numPr>
          <w:ilvl w:val="0"/>
          <w:numId w:val="6"/>
        </w:numPr>
        <w:tabs>
          <w:tab w:pos="1678" w:val="left" w:leader="none"/>
          <w:tab w:pos="1766" w:val="left" w:leader="none"/>
        </w:tabs>
        <w:spacing w:line="240" w:lineRule="auto" w:before="0" w:after="0"/>
        <w:ind w:left="1766" w:right="776" w:hanging="723"/>
        <w:jc w:val="both"/>
        <w:rPr>
          <w:sz w:val="22"/>
        </w:rPr>
      </w:pPr>
      <w:r>
        <w:rPr>
          <w:spacing w:val="9"/>
          <w:sz w:val="24"/>
        </w:rPr>
        <w:t>"Sub-</w:t>
      </w:r>
      <w:r>
        <w:rPr>
          <w:sz w:val="24"/>
        </w:rPr>
        <w:t>station"</w:t>
      </w:r>
      <w:r>
        <w:rPr>
          <w:spacing w:val="80"/>
          <w:sz w:val="24"/>
        </w:rPr>
        <w:t> </w:t>
      </w:r>
      <w:r>
        <w:rPr>
          <w:sz w:val="24"/>
        </w:rPr>
        <w:t>means</w:t>
      </w:r>
      <w:r>
        <w:rPr>
          <w:spacing w:val="80"/>
          <w:sz w:val="24"/>
        </w:rPr>
        <w:t> </w:t>
      </w:r>
      <w:r>
        <w:rPr>
          <w:sz w:val="24"/>
        </w:rPr>
        <w:t>a</w:t>
      </w:r>
      <w:r>
        <w:rPr>
          <w:spacing w:val="80"/>
          <w:sz w:val="24"/>
        </w:rPr>
        <w:t> </w:t>
      </w:r>
      <w:r>
        <w:rPr>
          <w:sz w:val="24"/>
        </w:rPr>
        <w:t>station</w:t>
      </w:r>
      <w:r>
        <w:rPr>
          <w:spacing w:val="80"/>
          <w:sz w:val="24"/>
        </w:rPr>
        <w:t> </w:t>
      </w:r>
      <w:r>
        <w:rPr>
          <w:sz w:val="24"/>
        </w:rPr>
        <w:t>for</w:t>
      </w:r>
      <w:r>
        <w:rPr>
          <w:spacing w:val="80"/>
          <w:sz w:val="24"/>
        </w:rPr>
        <w:t> </w:t>
      </w:r>
      <w:r>
        <w:rPr>
          <w:sz w:val="24"/>
        </w:rPr>
        <w:t>transforming</w:t>
      </w:r>
      <w:r>
        <w:rPr>
          <w:spacing w:val="80"/>
          <w:sz w:val="24"/>
        </w:rPr>
        <w:t> </w:t>
      </w:r>
      <w:r>
        <w:rPr>
          <w:sz w:val="24"/>
        </w:rPr>
        <w:t>or</w:t>
      </w:r>
      <w:r>
        <w:rPr>
          <w:spacing w:val="80"/>
          <w:sz w:val="24"/>
        </w:rPr>
        <w:t> </w:t>
      </w:r>
      <w:r>
        <w:rPr>
          <w:sz w:val="24"/>
        </w:rPr>
        <w:t>converting electricity for the transmission or distribution thereof and </w:t>
      </w:r>
      <w:r>
        <w:rPr>
          <w:spacing w:val="9"/>
          <w:sz w:val="24"/>
        </w:rPr>
        <w:t>includes </w:t>
      </w:r>
      <w:r>
        <w:rPr>
          <w:sz w:val="24"/>
        </w:rPr>
        <w:t>transformers, converters, switchgears, </w:t>
      </w:r>
      <w:r>
        <w:rPr>
          <w:spacing w:val="9"/>
          <w:sz w:val="24"/>
        </w:rPr>
        <w:t>capacitors,</w:t>
      </w:r>
      <w:r>
        <w:rPr>
          <w:spacing w:val="9"/>
          <w:sz w:val="24"/>
        </w:rPr>
        <w:t> </w:t>
      </w:r>
      <w:r>
        <w:rPr>
          <w:sz w:val="24"/>
        </w:rPr>
        <w:t>synchronous condensers,</w:t>
      </w:r>
      <w:r>
        <w:rPr>
          <w:spacing w:val="40"/>
          <w:sz w:val="24"/>
        </w:rPr>
        <w:t> </w:t>
      </w:r>
      <w:r>
        <w:rPr>
          <w:sz w:val="24"/>
        </w:rPr>
        <w:t>structures,</w:t>
      </w:r>
      <w:r>
        <w:rPr>
          <w:spacing w:val="40"/>
          <w:sz w:val="24"/>
        </w:rPr>
        <w:t> </w:t>
      </w:r>
      <w:r>
        <w:rPr>
          <w:sz w:val="24"/>
        </w:rPr>
        <w:t>cable</w:t>
      </w:r>
      <w:r>
        <w:rPr>
          <w:spacing w:val="40"/>
          <w:sz w:val="24"/>
        </w:rPr>
        <w:t> </w:t>
      </w:r>
      <w:r>
        <w:rPr>
          <w:sz w:val="24"/>
        </w:rPr>
        <w:t>and</w:t>
      </w:r>
      <w:r>
        <w:rPr>
          <w:spacing w:val="40"/>
          <w:sz w:val="24"/>
        </w:rPr>
        <w:t> </w:t>
      </w:r>
      <w:r>
        <w:rPr>
          <w:sz w:val="24"/>
        </w:rPr>
        <w:t>other</w:t>
      </w:r>
      <w:r>
        <w:rPr>
          <w:spacing w:val="40"/>
          <w:sz w:val="24"/>
        </w:rPr>
        <w:t> </w:t>
      </w:r>
      <w:r>
        <w:rPr>
          <w:sz w:val="24"/>
        </w:rPr>
        <w:t>appurtenant</w:t>
      </w:r>
      <w:r>
        <w:rPr>
          <w:spacing w:val="40"/>
          <w:sz w:val="24"/>
        </w:rPr>
        <w:t> </w:t>
      </w:r>
      <w:r>
        <w:rPr>
          <w:sz w:val="24"/>
        </w:rPr>
        <w:t>equipment</w:t>
      </w:r>
      <w:r>
        <w:rPr>
          <w:spacing w:val="40"/>
          <w:sz w:val="24"/>
        </w:rPr>
        <w:t> </w:t>
      </w:r>
      <w:r>
        <w:rPr>
          <w:sz w:val="24"/>
        </w:rPr>
        <w:t>and any</w:t>
      </w:r>
      <w:r>
        <w:rPr>
          <w:spacing w:val="40"/>
          <w:sz w:val="24"/>
        </w:rPr>
        <w:t> </w:t>
      </w:r>
      <w:r>
        <w:rPr>
          <w:sz w:val="24"/>
        </w:rPr>
        <w:t>buildings</w:t>
      </w:r>
      <w:r>
        <w:rPr>
          <w:spacing w:val="40"/>
          <w:sz w:val="24"/>
        </w:rPr>
        <w:t> </w:t>
      </w:r>
      <w:r>
        <w:rPr>
          <w:sz w:val="24"/>
        </w:rPr>
        <w:t>used</w:t>
      </w:r>
      <w:r>
        <w:rPr>
          <w:spacing w:val="40"/>
          <w:sz w:val="24"/>
        </w:rPr>
        <w:t> </w:t>
      </w:r>
      <w:r>
        <w:rPr>
          <w:sz w:val="24"/>
        </w:rPr>
        <w:t>for</w:t>
      </w:r>
      <w:r>
        <w:rPr>
          <w:spacing w:val="40"/>
          <w:sz w:val="24"/>
        </w:rPr>
        <w:t> </w:t>
      </w:r>
      <w:r>
        <w:rPr>
          <w:sz w:val="24"/>
        </w:rPr>
        <w:t>that</w:t>
      </w:r>
      <w:r>
        <w:rPr>
          <w:spacing w:val="40"/>
          <w:sz w:val="24"/>
        </w:rPr>
        <w:t> </w:t>
      </w:r>
      <w:r>
        <w:rPr>
          <w:sz w:val="24"/>
        </w:rPr>
        <w:t>purpose</w:t>
      </w:r>
      <w:r>
        <w:rPr>
          <w:spacing w:val="40"/>
          <w:sz w:val="24"/>
        </w:rPr>
        <w:t> </w:t>
      </w:r>
      <w:r>
        <w:rPr>
          <w:sz w:val="24"/>
        </w:rPr>
        <w:t>and</w:t>
      </w:r>
      <w:r>
        <w:rPr>
          <w:spacing w:val="40"/>
          <w:sz w:val="24"/>
        </w:rPr>
        <w:t> </w:t>
      </w:r>
      <w:r>
        <w:rPr>
          <w:sz w:val="24"/>
        </w:rPr>
        <w:t>the</w:t>
      </w:r>
      <w:r>
        <w:rPr>
          <w:spacing w:val="40"/>
          <w:sz w:val="24"/>
        </w:rPr>
        <w:t> </w:t>
      </w:r>
      <w:r>
        <w:rPr>
          <w:sz w:val="24"/>
        </w:rPr>
        <w:t>site</w:t>
      </w:r>
      <w:r>
        <w:rPr>
          <w:spacing w:val="40"/>
          <w:sz w:val="24"/>
        </w:rPr>
        <w:t> </w:t>
      </w:r>
      <w:r>
        <w:rPr>
          <w:sz w:val="24"/>
        </w:rPr>
        <w:t>thereof</w:t>
      </w:r>
      <w:r>
        <w:rPr>
          <w:sz w:val="22"/>
        </w:rPr>
        <w:t>.</w:t>
      </w:r>
    </w:p>
    <w:p>
      <w:pPr>
        <w:pStyle w:val="BodyText"/>
        <w:jc w:val="left"/>
      </w:pPr>
    </w:p>
    <w:p>
      <w:pPr>
        <w:pStyle w:val="ListParagraph"/>
        <w:numPr>
          <w:ilvl w:val="0"/>
          <w:numId w:val="6"/>
        </w:numPr>
        <w:tabs>
          <w:tab w:pos="1673" w:val="left" w:leader="none"/>
          <w:tab w:pos="1679" w:val="left" w:leader="none"/>
        </w:tabs>
        <w:spacing w:line="240" w:lineRule="auto" w:before="0" w:after="0"/>
        <w:ind w:left="1673" w:right="797" w:hanging="629"/>
        <w:jc w:val="both"/>
        <w:rPr>
          <w:sz w:val="22"/>
        </w:rPr>
      </w:pPr>
      <w:r>
        <w:rPr>
          <w:sz w:val="24"/>
        </w:rPr>
        <w:t>“Tenement”</w:t>
      </w:r>
      <w:r>
        <w:rPr>
          <w:sz w:val="24"/>
        </w:rPr>
        <w:t> means an independent dwelling unit with a kitchen or a cooking alcove.</w:t>
      </w:r>
    </w:p>
    <w:p>
      <w:pPr>
        <w:pStyle w:val="BodyText"/>
        <w:jc w:val="left"/>
      </w:pPr>
    </w:p>
    <w:p>
      <w:pPr>
        <w:pStyle w:val="ListParagraph"/>
        <w:numPr>
          <w:ilvl w:val="0"/>
          <w:numId w:val="6"/>
        </w:numPr>
        <w:tabs>
          <w:tab w:pos="1690" w:val="left" w:leader="none"/>
          <w:tab w:pos="1766" w:val="left" w:leader="none"/>
        </w:tabs>
        <w:spacing w:line="240" w:lineRule="auto" w:before="0" w:after="0"/>
        <w:ind w:left="1766" w:right="776" w:hanging="711"/>
        <w:jc w:val="both"/>
        <w:rPr>
          <w:sz w:val="22"/>
        </w:rPr>
      </w:pPr>
      <w:r>
        <w:rPr>
          <w:sz w:val="24"/>
        </w:rPr>
        <w:t>"Theatre" means a place of public entertainment for the purpose of exhibition</w:t>
      </w:r>
      <w:r>
        <w:rPr>
          <w:spacing w:val="40"/>
          <w:sz w:val="24"/>
        </w:rPr>
        <w:t> </w:t>
      </w:r>
      <w:r>
        <w:rPr>
          <w:sz w:val="24"/>
        </w:rPr>
        <w:t>of</w:t>
      </w:r>
      <w:r>
        <w:rPr>
          <w:spacing w:val="40"/>
          <w:sz w:val="24"/>
        </w:rPr>
        <w:t> </w:t>
      </w:r>
      <w:r>
        <w:rPr>
          <w:sz w:val="24"/>
        </w:rPr>
        <w:t>motion</w:t>
      </w:r>
      <w:r>
        <w:rPr>
          <w:spacing w:val="40"/>
          <w:sz w:val="24"/>
        </w:rPr>
        <w:t> </w:t>
      </w:r>
      <w:r>
        <w:rPr>
          <w:sz w:val="24"/>
        </w:rPr>
        <w:t>picture</w:t>
      </w:r>
      <w:r>
        <w:rPr>
          <w:spacing w:val="40"/>
          <w:sz w:val="24"/>
        </w:rPr>
        <w:t> </w:t>
      </w:r>
      <w:r>
        <w:rPr>
          <w:sz w:val="24"/>
        </w:rPr>
        <w:t>and</w:t>
      </w:r>
      <w:r>
        <w:rPr>
          <w:spacing w:val="40"/>
          <w:sz w:val="24"/>
        </w:rPr>
        <w:t> </w:t>
      </w:r>
      <w:r>
        <w:rPr>
          <w:sz w:val="24"/>
        </w:rPr>
        <w:t>or</w:t>
      </w:r>
      <w:r>
        <w:rPr>
          <w:spacing w:val="40"/>
          <w:sz w:val="24"/>
        </w:rPr>
        <w:t> </w:t>
      </w:r>
      <w:r>
        <w:rPr>
          <w:sz w:val="24"/>
        </w:rPr>
        <w:t>dramas</w:t>
      </w:r>
      <w:r>
        <w:rPr>
          <w:spacing w:val="40"/>
          <w:sz w:val="24"/>
        </w:rPr>
        <w:t> </w:t>
      </w:r>
      <w:r>
        <w:rPr>
          <w:sz w:val="24"/>
        </w:rPr>
        <w:t>and</w:t>
      </w:r>
      <w:r>
        <w:rPr>
          <w:spacing w:val="40"/>
          <w:sz w:val="24"/>
        </w:rPr>
        <w:t> </w:t>
      </w:r>
      <w:r>
        <w:rPr>
          <w:sz w:val="24"/>
        </w:rPr>
        <w:t>other</w:t>
      </w:r>
      <w:r>
        <w:rPr>
          <w:spacing w:val="40"/>
          <w:sz w:val="24"/>
        </w:rPr>
        <w:t> </w:t>
      </w:r>
      <w:r>
        <w:rPr>
          <w:sz w:val="24"/>
        </w:rPr>
        <w:t>social</w:t>
      </w:r>
      <w:r>
        <w:rPr>
          <w:spacing w:val="40"/>
          <w:sz w:val="24"/>
        </w:rPr>
        <w:t> </w:t>
      </w:r>
      <w:r>
        <w:rPr>
          <w:sz w:val="24"/>
        </w:rPr>
        <w:t>or cultural </w:t>
      </w:r>
      <w:r>
        <w:rPr>
          <w:spacing w:val="9"/>
          <w:sz w:val="24"/>
        </w:rPr>
        <w:t>programs.</w:t>
      </w:r>
    </w:p>
    <w:p>
      <w:pPr>
        <w:pStyle w:val="BodyText"/>
        <w:spacing w:before="1"/>
        <w:jc w:val="left"/>
      </w:pPr>
    </w:p>
    <w:p>
      <w:pPr>
        <w:pStyle w:val="ListParagraph"/>
        <w:numPr>
          <w:ilvl w:val="0"/>
          <w:numId w:val="6"/>
        </w:numPr>
        <w:tabs>
          <w:tab w:pos="1690" w:val="left" w:leader="none"/>
          <w:tab w:pos="1766" w:val="left" w:leader="none"/>
        </w:tabs>
        <w:spacing w:line="240" w:lineRule="auto" w:before="0" w:after="0"/>
        <w:ind w:left="1766" w:right="796" w:hanging="711"/>
        <w:jc w:val="both"/>
        <w:rPr>
          <w:sz w:val="22"/>
        </w:rPr>
      </w:pPr>
      <w:r>
        <w:rPr>
          <w:spacing w:val="9"/>
          <w:sz w:val="24"/>
        </w:rPr>
        <w:t>"Tower-</w:t>
      </w:r>
      <w:r>
        <w:rPr>
          <w:sz w:val="24"/>
        </w:rPr>
        <w:t>like structure" means a structure in which the height of the tower-like</w:t>
      </w:r>
      <w:r>
        <w:rPr>
          <w:spacing w:val="40"/>
          <w:sz w:val="24"/>
        </w:rPr>
        <w:t> </w:t>
      </w:r>
      <w:r>
        <w:rPr>
          <w:sz w:val="24"/>
        </w:rPr>
        <w:t>portion</w:t>
      </w:r>
      <w:r>
        <w:rPr>
          <w:spacing w:val="40"/>
          <w:sz w:val="24"/>
        </w:rPr>
        <w:t> </w:t>
      </w:r>
      <w:r>
        <w:rPr>
          <w:sz w:val="24"/>
        </w:rPr>
        <w:t>is</w:t>
      </w:r>
      <w:r>
        <w:rPr>
          <w:spacing w:val="79"/>
          <w:sz w:val="24"/>
        </w:rPr>
        <w:t> </w:t>
      </w:r>
      <w:r>
        <w:rPr>
          <w:sz w:val="24"/>
        </w:rPr>
        <w:t>at</w:t>
      </w:r>
      <w:r>
        <w:rPr>
          <w:spacing w:val="40"/>
          <w:sz w:val="24"/>
        </w:rPr>
        <w:t> </w:t>
      </w:r>
      <w:r>
        <w:rPr>
          <w:sz w:val="24"/>
        </w:rPr>
        <w:t>least</w:t>
      </w:r>
      <w:r>
        <w:rPr>
          <w:spacing w:val="40"/>
          <w:sz w:val="24"/>
        </w:rPr>
        <w:t> </w:t>
      </w:r>
      <w:r>
        <w:rPr>
          <w:sz w:val="24"/>
        </w:rPr>
        <w:t>twice</w:t>
      </w:r>
      <w:r>
        <w:rPr>
          <w:spacing w:val="40"/>
          <w:sz w:val="24"/>
        </w:rPr>
        <w:t> </w:t>
      </w:r>
      <w:r>
        <w:rPr>
          <w:sz w:val="24"/>
        </w:rPr>
        <w:t>that</w:t>
      </w:r>
      <w:r>
        <w:rPr>
          <w:spacing w:val="40"/>
          <w:sz w:val="24"/>
        </w:rPr>
        <w:t> </w:t>
      </w:r>
      <w:r>
        <w:rPr>
          <w:sz w:val="24"/>
        </w:rPr>
        <w:t>of</w:t>
      </w:r>
      <w:r>
        <w:rPr>
          <w:spacing w:val="40"/>
          <w:sz w:val="24"/>
        </w:rPr>
        <w:t> </w:t>
      </w:r>
      <w:r>
        <w:rPr>
          <w:sz w:val="24"/>
        </w:rPr>
        <w:t>the</w:t>
      </w:r>
      <w:r>
        <w:rPr>
          <w:spacing w:val="40"/>
          <w:sz w:val="24"/>
        </w:rPr>
        <w:t> </w:t>
      </w:r>
      <w:r>
        <w:rPr>
          <w:sz w:val="24"/>
        </w:rPr>
        <w:t>broader</w:t>
      </w:r>
      <w:r>
        <w:rPr>
          <w:spacing w:val="40"/>
          <w:sz w:val="24"/>
        </w:rPr>
        <w:t> </w:t>
      </w:r>
      <w:r>
        <w:rPr>
          <w:sz w:val="24"/>
        </w:rPr>
        <w:t>base.</w:t>
      </w:r>
    </w:p>
    <w:p>
      <w:pPr>
        <w:pStyle w:val="BodyText"/>
        <w:jc w:val="left"/>
      </w:pPr>
    </w:p>
    <w:p>
      <w:pPr>
        <w:pStyle w:val="ListParagraph"/>
        <w:numPr>
          <w:ilvl w:val="0"/>
          <w:numId w:val="6"/>
        </w:numPr>
        <w:tabs>
          <w:tab w:pos="1690" w:val="left" w:leader="none"/>
          <w:tab w:pos="1766" w:val="left" w:leader="none"/>
        </w:tabs>
        <w:spacing w:line="240" w:lineRule="auto" w:before="0" w:after="0"/>
        <w:ind w:left="1766" w:right="787" w:hanging="711"/>
        <w:jc w:val="both"/>
        <w:rPr>
          <w:sz w:val="22"/>
        </w:rPr>
      </w:pPr>
      <w:r>
        <w:rPr>
          <w:sz w:val="24"/>
        </w:rPr>
        <w:t>"Travel distance" means the distance from the entrance/exit of the remotest</w:t>
      </w:r>
      <w:r>
        <w:rPr>
          <w:spacing w:val="35"/>
          <w:sz w:val="24"/>
        </w:rPr>
        <w:t> </w:t>
      </w:r>
      <w:r>
        <w:rPr>
          <w:spacing w:val="9"/>
          <w:sz w:val="24"/>
        </w:rPr>
        <w:t>Apartment/office/unit/Premises</w:t>
      </w:r>
      <w:r>
        <w:rPr>
          <w:spacing w:val="80"/>
          <w:w w:val="150"/>
          <w:sz w:val="24"/>
        </w:rPr>
        <w:t> </w:t>
      </w:r>
      <w:r>
        <w:rPr>
          <w:sz w:val="24"/>
        </w:rPr>
        <w:t>on</w:t>
      </w:r>
      <w:r>
        <w:rPr>
          <w:spacing w:val="31"/>
          <w:sz w:val="24"/>
        </w:rPr>
        <w:t> </w:t>
      </w:r>
      <w:r>
        <w:rPr>
          <w:sz w:val="24"/>
        </w:rPr>
        <w:t>a</w:t>
      </w:r>
      <w:r>
        <w:rPr>
          <w:spacing w:val="31"/>
          <w:sz w:val="24"/>
        </w:rPr>
        <w:t> </w:t>
      </w:r>
      <w:r>
        <w:rPr>
          <w:sz w:val="24"/>
        </w:rPr>
        <w:t>floor</w:t>
      </w:r>
      <w:r>
        <w:rPr>
          <w:spacing w:val="31"/>
          <w:sz w:val="24"/>
        </w:rPr>
        <w:t> </w:t>
      </w:r>
      <w:r>
        <w:rPr>
          <w:sz w:val="24"/>
        </w:rPr>
        <w:t>of</w:t>
      </w:r>
      <w:r>
        <w:rPr>
          <w:spacing w:val="31"/>
          <w:sz w:val="24"/>
        </w:rPr>
        <w:t> </w:t>
      </w:r>
      <w:r>
        <w:rPr>
          <w:sz w:val="24"/>
        </w:rPr>
        <w:t>a</w:t>
      </w:r>
      <w:r>
        <w:rPr>
          <w:spacing w:val="34"/>
          <w:sz w:val="24"/>
        </w:rPr>
        <w:t> </w:t>
      </w:r>
      <w:r>
        <w:rPr>
          <w:sz w:val="24"/>
        </w:rPr>
        <w:t>building</w:t>
      </w:r>
      <w:r>
        <w:rPr>
          <w:spacing w:val="31"/>
          <w:sz w:val="24"/>
        </w:rPr>
        <w:t> </w:t>
      </w:r>
      <w:r>
        <w:rPr>
          <w:sz w:val="24"/>
        </w:rPr>
        <w:t>to a</w:t>
      </w:r>
      <w:r>
        <w:rPr>
          <w:spacing w:val="40"/>
          <w:sz w:val="24"/>
        </w:rPr>
        <w:t> </w:t>
      </w:r>
      <w:r>
        <w:rPr>
          <w:sz w:val="24"/>
        </w:rPr>
        <w:t>place</w:t>
      </w:r>
      <w:r>
        <w:rPr>
          <w:spacing w:val="40"/>
          <w:sz w:val="24"/>
        </w:rPr>
        <w:t> </w:t>
      </w:r>
      <w:r>
        <w:rPr>
          <w:sz w:val="24"/>
        </w:rPr>
        <w:t>of</w:t>
      </w:r>
      <w:r>
        <w:rPr>
          <w:spacing w:val="40"/>
          <w:sz w:val="24"/>
        </w:rPr>
        <w:t> </w:t>
      </w:r>
      <w:r>
        <w:rPr>
          <w:sz w:val="24"/>
        </w:rPr>
        <w:t>safety</w:t>
      </w:r>
      <w:r>
        <w:rPr>
          <w:spacing w:val="40"/>
          <w:sz w:val="24"/>
        </w:rPr>
        <w:t> </w:t>
      </w:r>
      <w:r>
        <w:rPr>
          <w:sz w:val="24"/>
        </w:rPr>
        <w:t>be</w:t>
      </w:r>
      <w:r>
        <w:rPr>
          <w:spacing w:val="40"/>
          <w:sz w:val="24"/>
        </w:rPr>
        <w:t> </w:t>
      </w:r>
      <w:r>
        <w:rPr>
          <w:sz w:val="24"/>
        </w:rPr>
        <w:t>it</w:t>
      </w:r>
      <w:r>
        <w:rPr>
          <w:spacing w:val="40"/>
          <w:sz w:val="24"/>
        </w:rPr>
        <w:t> </w:t>
      </w:r>
      <w:r>
        <w:rPr>
          <w:sz w:val="24"/>
        </w:rPr>
        <w:t>vertical</w:t>
      </w:r>
      <w:r>
        <w:rPr>
          <w:spacing w:val="40"/>
          <w:sz w:val="24"/>
        </w:rPr>
        <w:t> </w:t>
      </w:r>
      <w:r>
        <w:rPr>
          <w:sz w:val="24"/>
        </w:rPr>
        <w:t>exit</w:t>
      </w:r>
      <w:r>
        <w:rPr>
          <w:spacing w:val="40"/>
          <w:sz w:val="24"/>
        </w:rPr>
        <w:t> </w:t>
      </w:r>
      <w:r>
        <w:rPr>
          <w:sz w:val="24"/>
        </w:rPr>
        <w:t>or</w:t>
      </w:r>
      <w:r>
        <w:rPr>
          <w:spacing w:val="40"/>
          <w:sz w:val="24"/>
        </w:rPr>
        <w:t> </w:t>
      </w:r>
      <w:r>
        <w:rPr>
          <w:sz w:val="24"/>
        </w:rPr>
        <w:t>a</w:t>
      </w:r>
      <w:r>
        <w:rPr>
          <w:spacing w:val="40"/>
          <w:sz w:val="24"/>
        </w:rPr>
        <w:t> </w:t>
      </w:r>
      <w:r>
        <w:rPr>
          <w:sz w:val="24"/>
        </w:rPr>
        <w:t>horizontally</w:t>
      </w:r>
      <w:r>
        <w:rPr>
          <w:spacing w:val="40"/>
          <w:sz w:val="24"/>
        </w:rPr>
        <w:t> </w:t>
      </w:r>
      <w:r>
        <w:rPr>
          <w:sz w:val="24"/>
        </w:rPr>
        <w:t>exit</w:t>
      </w:r>
      <w:r>
        <w:rPr>
          <w:spacing w:val="40"/>
          <w:sz w:val="24"/>
        </w:rPr>
        <w:t> </w:t>
      </w:r>
      <w:r>
        <w:rPr>
          <w:sz w:val="24"/>
        </w:rPr>
        <w:t>or</w:t>
      </w:r>
      <w:r>
        <w:rPr>
          <w:spacing w:val="40"/>
          <w:sz w:val="24"/>
        </w:rPr>
        <w:t> </w:t>
      </w:r>
      <w:r>
        <w:rPr>
          <w:sz w:val="24"/>
        </w:rPr>
        <w:t>an</w:t>
      </w:r>
      <w:r>
        <w:rPr>
          <w:spacing w:val="40"/>
          <w:sz w:val="24"/>
        </w:rPr>
        <w:t> </w:t>
      </w:r>
      <w:r>
        <w:rPr>
          <w:sz w:val="24"/>
        </w:rPr>
        <w:t>outside exit</w:t>
      </w:r>
      <w:r>
        <w:rPr>
          <w:spacing w:val="40"/>
          <w:sz w:val="24"/>
        </w:rPr>
        <w:t> </w:t>
      </w:r>
      <w:r>
        <w:rPr>
          <w:sz w:val="24"/>
        </w:rPr>
        <w:t>measured</w:t>
      </w:r>
      <w:r>
        <w:rPr>
          <w:spacing w:val="40"/>
          <w:sz w:val="24"/>
        </w:rPr>
        <w:t> </w:t>
      </w:r>
      <w:r>
        <w:rPr>
          <w:sz w:val="24"/>
        </w:rPr>
        <w:t>along</w:t>
      </w:r>
      <w:r>
        <w:rPr>
          <w:spacing w:val="40"/>
          <w:sz w:val="24"/>
        </w:rPr>
        <w:t> </w:t>
      </w:r>
      <w:r>
        <w:rPr>
          <w:sz w:val="24"/>
        </w:rPr>
        <w:t>the</w:t>
      </w:r>
      <w:r>
        <w:rPr>
          <w:spacing w:val="40"/>
          <w:sz w:val="24"/>
        </w:rPr>
        <w:t> </w:t>
      </w:r>
      <w:r>
        <w:rPr>
          <w:sz w:val="24"/>
        </w:rPr>
        <w:t>line</w:t>
      </w:r>
      <w:r>
        <w:rPr>
          <w:spacing w:val="40"/>
          <w:sz w:val="24"/>
        </w:rPr>
        <w:t> </w:t>
      </w:r>
      <w:r>
        <w:rPr>
          <w:sz w:val="24"/>
        </w:rPr>
        <w:t>of</w:t>
      </w:r>
      <w:r>
        <w:rPr>
          <w:spacing w:val="40"/>
          <w:sz w:val="24"/>
        </w:rPr>
        <w:t> </w:t>
      </w:r>
      <w:r>
        <w:rPr>
          <w:sz w:val="24"/>
        </w:rPr>
        <w:t>travel.</w:t>
      </w:r>
    </w:p>
    <w:p>
      <w:pPr>
        <w:pStyle w:val="BodyText"/>
        <w:jc w:val="left"/>
      </w:pPr>
    </w:p>
    <w:p>
      <w:pPr>
        <w:pStyle w:val="ListParagraph"/>
        <w:numPr>
          <w:ilvl w:val="0"/>
          <w:numId w:val="6"/>
        </w:numPr>
        <w:tabs>
          <w:tab w:pos="1690" w:val="left" w:leader="none"/>
          <w:tab w:pos="1766" w:val="left" w:leader="none"/>
        </w:tabs>
        <w:spacing w:line="240" w:lineRule="auto" w:before="0" w:after="0"/>
        <w:ind w:left="1766" w:right="800" w:hanging="711"/>
        <w:jc w:val="both"/>
        <w:rPr>
          <w:sz w:val="22"/>
        </w:rPr>
      </w:pPr>
      <w:r>
        <w:rPr>
          <w:sz w:val="24"/>
        </w:rPr>
        <w:t>"Volume</w:t>
      </w:r>
      <w:r>
        <w:rPr>
          <w:spacing w:val="40"/>
          <w:sz w:val="24"/>
        </w:rPr>
        <w:t> </w:t>
      </w:r>
      <w:r>
        <w:rPr>
          <w:sz w:val="24"/>
        </w:rPr>
        <w:t>to</w:t>
      </w:r>
      <w:r>
        <w:rPr>
          <w:spacing w:val="40"/>
          <w:sz w:val="24"/>
        </w:rPr>
        <w:t> </w:t>
      </w:r>
      <w:r>
        <w:rPr>
          <w:sz w:val="24"/>
        </w:rPr>
        <w:t>plot</w:t>
      </w:r>
      <w:r>
        <w:rPr>
          <w:spacing w:val="40"/>
          <w:sz w:val="24"/>
        </w:rPr>
        <w:t> </w:t>
      </w:r>
      <w:r>
        <w:rPr>
          <w:sz w:val="24"/>
        </w:rPr>
        <w:t>ratio</w:t>
      </w:r>
      <w:r>
        <w:rPr>
          <w:spacing w:val="40"/>
          <w:sz w:val="24"/>
        </w:rPr>
        <w:t> </w:t>
      </w:r>
      <w:r>
        <w:rPr>
          <w:sz w:val="24"/>
        </w:rPr>
        <w:t>(V.P.R.)"</w:t>
      </w:r>
      <w:r>
        <w:rPr>
          <w:spacing w:val="40"/>
          <w:sz w:val="24"/>
        </w:rPr>
        <w:t> </w:t>
      </w:r>
      <w:r>
        <w:rPr>
          <w:sz w:val="24"/>
        </w:rPr>
        <w:t>means</w:t>
      </w:r>
      <w:r>
        <w:rPr>
          <w:spacing w:val="40"/>
          <w:sz w:val="24"/>
        </w:rPr>
        <w:t> </w:t>
      </w:r>
      <w:r>
        <w:rPr>
          <w:sz w:val="24"/>
        </w:rPr>
        <w:t>the</w:t>
      </w:r>
      <w:r>
        <w:rPr>
          <w:spacing w:val="40"/>
          <w:sz w:val="24"/>
        </w:rPr>
        <w:t> </w:t>
      </w:r>
      <w:r>
        <w:rPr>
          <w:sz w:val="24"/>
        </w:rPr>
        <w:t>ratio</w:t>
      </w:r>
      <w:r>
        <w:rPr>
          <w:spacing w:val="40"/>
          <w:sz w:val="24"/>
        </w:rPr>
        <w:t> </w:t>
      </w:r>
      <w:r>
        <w:rPr>
          <w:sz w:val="24"/>
        </w:rPr>
        <w:t>expressed</w:t>
      </w:r>
      <w:r>
        <w:rPr>
          <w:spacing w:val="40"/>
          <w:sz w:val="24"/>
        </w:rPr>
        <w:t> </w:t>
      </w:r>
      <w:r>
        <w:rPr>
          <w:sz w:val="24"/>
        </w:rPr>
        <w:t>in</w:t>
      </w:r>
      <w:r>
        <w:rPr>
          <w:spacing w:val="40"/>
          <w:sz w:val="24"/>
        </w:rPr>
        <w:t> </w:t>
      </w:r>
      <w:r>
        <w:rPr>
          <w:sz w:val="24"/>
        </w:rPr>
        <w:t>meters</w:t>
      </w:r>
      <w:r>
        <w:rPr>
          <w:spacing w:val="40"/>
          <w:sz w:val="24"/>
        </w:rPr>
        <w:t> </w:t>
      </w:r>
      <w:r>
        <w:rPr>
          <w:sz w:val="24"/>
        </w:rPr>
        <w:t>of the</w:t>
      </w:r>
      <w:r>
        <w:rPr>
          <w:spacing w:val="40"/>
          <w:sz w:val="24"/>
        </w:rPr>
        <w:t> </w:t>
      </w:r>
      <w:r>
        <w:rPr>
          <w:sz w:val="24"/>
        </w:rPr>
        <w:t>volume</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measured</w:t>
      </w:r>
      <w:r>
        <w:rPr>
          <w:spacing w:val="40"/>
          <w:sz w:val="24"/>
        </w:rPr>
        <w:t> </w:t>
      </w:r>
      <w:r>
        <w:rPr>
          <w:sz w:val="24"/>
        </w:rPr>
        <w:t>in</w:t>
      </w:r>
      <w:r>
        <w:rPr>
          <w:spacing w:val="40"/>
          <w:sz w:val="24"/>
        </w:rPr>
        <w:t> </w:t>
      </w:r>
      <w:r>
        <w:rPr>
          <w:sz w:val="24"/>
        </w:rPr>
        <w:t>cubic</w:t>
      </w:r>
      <w:r>
        <w:rPr>
          <w:spacing w:val="40"/>
          <w:sz w:val="24"/>
        </w:rPr>
        <w:t> </w:t>
      </w:r>
      <w:r>
        <w:rPr>
          <w:sz w:val="24"/>
        </w:rPr>
        <w:t>meters</w:t>
      </w:r>
      <w:r>
        <w:rPr>
          <w:spacing w:val="40"/>
          <w:sz w:val="24"/>
        </w:rPr>
        <w:t> </w:t>
      </w:r>
      <w:r>
        <w:rPr>
          <w:sz w:val="24"/>
        </w:rPr>
        <w:t>to</w:t>
      </w:r>
      <w:r>
        <w:rPr>
          <w:spacing w:val="40"/>
          <w:sz w:val="24"/>
        </w:rPr>
        <w:t> </w:t>
      </w:r>
      <w:r>
        <w:rPr>
          <w:sz w:val="24"/>
        </w:rPr>
        <w:t>the</w:t>
      </w:r>
      <w:r>
        <w:rPr>
          <w:spacing w:val="40"/>
          <w:sz w:val="24"/>
        </w:rPr>
        <w:t> </w:t>
      </w:r>
      <w:r>
        <w:rPr>
          <w:sz w:val="24"/>
        </w:rPr>
        <w:t>areas</w:t>
      </w:r>
      <w:r>
        <w:rPr>
          <w:spacing w:val="40"/>
          <w:sz w:val="24"/>
        </w:rPr>
        <w:t> </w:t>
      </w:r>
      <w:r>
        <w:rPr>
          <w:sz w:val="24"/>
        </w:rPr>
        <w:t>of</w:t>
      </w:r>
      <w:r>
        <w:rPr>
          <w:spacing w:val="40"/>
          <w:sz w:val="24"/>
        </w:rPr>
        <w:t> </w:t>
      </w:r>
      <w:r>
        <w:rPr>
          <w:sz w:val="24"/>
        </w:rPr>
        <w:t>the</w:t>
      </w:r>
      <w:r>
        <w:rPr>
          <w:spacing w:val="40"/>
          <w:sz w:val="24"/>
        </w:rPr>
        <w:t> </w:t>
      </w:r>
      <w:r>
        <w:rPr>
          <w:sz w:val="24"/>
        </w:rPr>
        <w:t>plot</w:t>
      </w:r>
      <w:r>
        <w:rPr>
          <w:spacing w:val="40"/>
          <w:sz w:val="24"/>
        </w:rPr>
        <w:t> </w:t>
      </w:r>
      <w:r>
        <w:rPr>
          <w:sz w:val="24"/>
        </w:rPr>
        <w:t>measured</w:t>
      </w:r>
      <w:r>
        <w:rPr>
          <w:spacing w:val="40"/>
          <w:sz w:val="24"/>
        </w:rPr>
        <w:t> </w:t>
      </w:r>
      <w:r>
        <w:rPr>
          <w:sz w:val="24"/>
        </w:rPr>
        <w:t>in</w:t>
      </w:r>
      <w:r>
        <w:rPr>
          <w:spacing w:val="40"/>
          <w:sz w:val="24"/>
        </w:rPr>
        <w:t> </w:t>
      </w:r>
      <w:r>
        <w:rPr>
          <w:sz w:val="24"/>
        </w:rPr>
        <w:t>square</w:t>
      </w:r>
      <w:r>
        <w:rPr>
          <w:spacing w:val="40"/>
          <w:sz w:val="24"/>
        </w:rPr>
        <w:t> </w:t>
      </w:r>
      <w:r>
        <w:rPr>
          <w:spacing w:val="9"/>
          <w:sz w:val="24"/>
        </w:rPr>
        <w:t>meters.</w:t>
      </w:r>
    </w:p>
    <w:p>
      <w:pPr>
        <w:pStyle w:val="ListParagraph"/>
        <w:spacing w:after="0" w:line="240" w:lineRule="auto"/>
        <w:jc w:val="both"/>
        <w:rPr>
          <w:sz w:val="22"/>
        </w:rPr>
        <w:sectPr>
          <w:pgSz w:w="11910" w:h="16840"/>
          <w:pgMar w:header="1058" w:footer="1357" w:top="1500" w:bottom="1540" w:left="360" w:right="360"/>
        </w:sectPr>
      </w:pPr>
    </w:p>
    <w:p>
      <w:pPr>
        <w:pStyle w:val="BodyText"/>
        <w:spacing w:before="256"/>
        <w:jc w:val="left"/>
      </w:pPr>
    </w:p>
    <w:p>
      <w:pPr>
        <w:pStyle w:val="ListParagraph"/>
        <w:numPr>
          <w:ilvl w:val="0"/>
          <w:numId w:val="6"/>
        </w:numPr>
        <w:tabs>
          <w:tab w:pos="1690" w:val="left" w:leader="none"/>
          <w:tab w:pos="1766" w:val="left" w:leader="none"/>
        </w:tabs>
        <w:spacing w:line="240" w:lineRule="auto" w:before="0" w:after="0"/>
        <w:ind w:left="1766" w:right="788" w:hanging="711"/>
        <w:jc w:val="both"/>
        <w:rPr>
          <w:sz w:val="22"/>
        </w:rPr>
      </w:pPr>
      <w:r>
        <w:rPr>
          <w:sz w:val="24"/>
        </w:rPr>
        <w:t>"Water</w:t>
      </w:r>
      <w:r>
        <w:rPr>
          <w:spacing w:val="40"/>
          <w:sz w:val="24"/>
        </w:rPr>
        <w:t> </w:t>
      </w:r>
      <w:r>
        <w:rPr>
          <w:sz w:val="24"/>
        </w:rPr>
        <w:t>closet</w:t>
      </w:r>
      <w:r>
        <w:rPr>
          <w:spacing w:val="40"/>
          <w:sz w:val="24"/>
        </w:rPr>
        <w:t> </w:t>
      </w:r>
      <w:r>
        <w:rPr>
          <w:sz w:val="24"/>
        </w:rPr>
        <w:t>(W.C.)"</w:t>
      </w:r>
      <w:r>
        <w:rPr>
          <w:spacing w:val="40"/>
          <w:sz w:val="24"/>
        </w:rPr>
        <w:t> </w:t>
      </w:r>
      <w:r>
        <w:rPr>
          <w:sz w:val="24"/>
        </w:rPr>
        <w:t>means</w:t>
      </w:r>
      <w:r>
        <w:rPr>
          <w:spacing w:val="40"/>
          <w:sz w:val="24"/>
        </w:rPr>
        <w:t> </w:t>
      </w:r>
      <w:r>
        <w:rPr>
          <w:sz w:val="24"/>
        </w:rPr>
        <w:t>a</w:t>
      </w:r>
      <w:r>
        <w:rPr>
          <w:spacing w:val="40"/>
          <w:sz w:val="24"/>
        </w:rPr>
        <w:t> </w:t>
      </w:r>
      <w:r>
        <w:rPr>
          <w:sz w:val="24"/>
        </w:rPr>
        <w:t>privy</w:t>
      </w:r>
      <w:r>
        <w:rPr>
          <w:spacing w:val="40"/>
          <w:sz w:val="24"/>
        </w:rPr>
        <w:t> </w:t>
      </w:r>
      <w:r>
        <w:rPr>
          <w:sz w:val="24"/>
        </w:rPr>
        <w:t>with</w:t>
      </w:r>
      <w:r>
        <w:rPr>
          <w:spacing w:val="40"/>
          <w:sz w:val="24"/>
        </w:rPr>
        <w:t> </w:t>
      </w:r>
      <w:r>
        <w:rPr>
          <w:sz w:val="24"/>
        </w:rPr>
        <w:t>an</w:t>
      </w:r>
      <w:r>
        <w:rPr>
          <w:spacing w:val="9"/>
          <w:sz w:val="24"/>
        </w:rPr>
        <w:t> arrangement </w:t>
      </w:r>
      <w:r>
        <w:rPr>
          <w:sz w:val="24"/>
        </w:rPr>
        <w:t>for</w:t>
      </w:r>
      <w:r>
        <w:rPr>
          <w:spacing w:val="40"/>
          <w:sz w:val="24"/>
        </w:rPr>
        <w:t> </w:t>
      </w:r>
      <w:r>
        <w:rPr>
          <w:sz w:val="24"/>
        </w:rPr>
        <w:t>flushing the</w:t>
      </w:r>
      <w:r>
        <w:rPr>
          <w:spacing w:val="40"/>
          <w:sz w:val="24"/>
        </w:rPr>
        <w:t> </w:t>
      </w:r>
      <w:r>
        <w:rPr>
          <w:sz w:val="24"/>
        </w:rPr>
        <w:t>pan</w:t>
      </w:r>
      <w:r>
        <w:rPr>
          <w:spacing w:val="40"/>
          <w:sz w:val="24"/>
        </w:rPr>
        <w:t> </w:t>
      </w:r>
      <w:r>
        <w:rPr>
          <w:sz w:val="24"/>
        </w:rPr>
        <w:t>with</w:t>
      </w:r>
      <w:r>
        <w:rPr>
          <w:spacing w:val="40"/>
          <w:sz w:val="24"/>
        </w:rPr>
        <w:t> </w:t>
      </w:r>
      <w:r>
        <w:rPr>
          <w:sz w:val="24"/>
        </w:rPr>
        <w:t>water,</w:t>
      </w:r>
      <w:r>
        <w:rPr>
          <w:spacing w:val="40"/>
          <w:sz w:val="24"/>
        </w:rPr>
        <w:t> </w:t>
      </w:r>
      <w:r>
        <w:rPr>
          <w:sz w:val="24"/>
        </w:rPr>
        <w:t>but</w:t>
      </w:r>
      <w:r>
        <w:rPr>
          <w:spacing w:val="40"/>
          <w:sz w:val="24"/>
        </w:rPr>
        <w:t> </w:t>
      </w:r>
      <w:r>
        <w:rPr>
          <w:sz w:val="24"/>
        </w:rPr>
        <w:t>does</w:t>
      </w:r>
      <w:r>
        <w:rPr>
          <w:spacing w:val="40"/>
          <w:sz w:val="24"/>
        </w:rPr>
        <w:t> </w:t>
      </w:r>
      <w:r>
        <w:rPr>
          <w:sz w:val="24"/>
        </w:rPr>
        <w:t>not</w:t>
      </w:r>
      <w:r>
        <w:rPr>
          <w:spacing w:val="40"/>
          <w:sz w:val="24"/>
        </w:rPr>
        <w:t> </w:t>
      </w:r>
      <w:r>
        <w:rPr>
          <w:sz w:val="24"/>
        </w:rPr>
        <w:t>include</w:t>
      </w:r>
      <w:r>
        <w:rPr>
          <w:spacing w:val="40"/>
          <w:sz w:val="24"/>
        </w:rPr>
        <w:t> </w:t>
      </w:r>
      <w:r>
        <w:rPr>
          <w:sz w:val="24"/>
        </w:rPr>
        <w:t>a</w:t>
      </w:r>
      <w:r>
        <w:rPr>
          <w:spacing w:val="40"/>
          <w:sz w:val="24"/>
        </w:rPr>
        <w:t> </w:t>
      </w:r>
      <w:r>
        <w:rPr>
          <w:sz w:val="24"/>
        </w:rPr>
        <w:t>bathroom.</w:t>
      </w:r>
    </w:p>
    <w:p>
      <w:pPr>
        <w:pStyle w:val="BodyText"/>
        <w:jc w:val="left"/>
      </w:pPr>
    </w:p>
    <w:p>
      <w:pPr>
        <w:pStyle w:val="ListParagraph"/>
        <w:numPr>
          <w:ilvl w:val="0"/>
          <w:numId w:val="6"/>
        </w:numPr>
        <w:tabs>
          <w:tab w:pos="1690" w:val="left" w:leader="none"/>
          <w:tab w:pos="1766" w:val="left" w:leader="none"/>
        </w:tabs>
        <w:spacing w:line="240" w:lineRule="auto" w:before="0" w:after="0"/>
        <w:ind w:left="1766" w:right="797" w:hanging="711"/>
        <w:jc w:val="both"/>
        <w:rPr>
          <w:sz w:val="22"/>
        </w:rPr>
      </w:pPr>
      <w:r>
        <w:rPr>
          <w:sz w:val="24"/>
        </w:rPr>
        <w:t>"Water</w:t>
      </w:r>
      <w:r>
        <w:rPr>
          <w:spacing w:val="40"/>
          <w:sz w:val="24"/>
        </w:rPr>
        <w:t> </w:t>
      </w:r>
      <w:r>
        <w:rPr>
          <w:sz w:val="24"/>
        </w:rPr>
        <w:t>course"</w:t>
      </w:r>
      <w:r>
        <w:rPr>
          <w:spacing w:val="40"/>
          <w:sz w:val="24"/>
        </w:rPr>
        <w:t> </w:t>
      </w:r>
      <w:r>
        <w:rPr>
          <w:sz w:val="24"/>
        </w:rPr>
        <w:t>means</w:t>
      </w:r>
      <w:r>
        <w:rPr>
          <w:spacing w:val="40"/>
          <w:sz w:val="24"/>
        </w:rPr>
        <w:t> </w:t>
      </w:r>
      <w:r>
        <w:rPr>
          <w:sz w:val="24"/>
        </w:rPr>
        <w:t>a</w:t>
      </w:r>
      <w:r>
        <w:rPr>
          <w:spacing w:val="40"/>
          <w:sz w:val="24"/>
        </w:rPr>
        <w:t> </w:t>
      </w:r>
      <w:r>
        <w:rPr>
          <w:sz w:val="24"/>
        </w:rPr>
        <w:t>natural</w:t>
      </w:r>
      <w:r>
        <w:rPr>
          <w:spacing w:val="40"/>
          <w:sz w:val="24"/>
        </w:rPr>
        <w:t> </w:t>
      </w:r>
      <w:r>
        <w:rPr>
          <w:sz w:val="24"/>
        </w:rPr>
        <w:t>channel</w:t>
      </w:r>
      <w:r>
        <w:rPr>
          <w:spacing w:val="40"/>
          <w:sz w:val="24"/>
        </w:rPr>
        <w:t> </w:t>
      </w:r>
      <w:r>
        <w:rPr>
          <w:sz w:val="24"/>
        </w:rPr>
        <w:t>or</w:t>
      </w:r>
      <w:r>
        <w:rPr>
          <w:spacing w:val="40"/>
          <w:sz w:val="24"/>
        </w:rPr>
        <w:t> </w:t>
      </w:r>
      <w:r>
        <w:rPr>
          <w:sz w:val="24"/>
        </w:rPr>
        <w:t>an</w:t>
      </w:r>
      <w:r>
        <w:rPr>
          <w:spacing w:val="40"/>
          <w:sz w:val="24"/>
        </w:rPr>
        <w:t> </w:t>
      </w:r>
      <w:r>
        <w:rPr>
          <w:sz w:val="24"/>
        </w:rPr>
        <w:t>artificial</w:t>
      </w:r>
      <w:r>
        <w:rPr>
          <w:spacing w:val="40"/>
          <w:sz w:val="24"/>
        </w:rPr>
        <w:t> </w:t>
      </w:r>
      <w:r>
        <w:rPr>
          <w:sz w:val="24"/>
        </w:rPr>
        <w:t>channel formed</w:t>
      </w:r>
      <w:r>
        <w:rPr>
          <w:spacing w:val="40"/>
          <w:sz w:val="24"/>
        </w:rPr>
        <w:t> </w:t>
      </w:r>
      <w:r>
        <w:rPr>
          <w:sz w:val="24"/>
        </w:rPr>
        <w:t>by</w:t>
      </w:r>
      <w:r>
        <w:rPr>
          <w:spacing w:val="40"/>
          <w:sz w:val="24"/>
        </w:rPr>
        <w:t> </w:t>
      </w:r>
      <w:r>
        <w:rPr>
          <w:sz w:val="24"/>
        </w:rPr>
        <w:t>training</w:t>
      </w:r>
      <w:r>
        <w:rPr>
          <w:spacing w:val="40"/>
          <w:sz w:val="24"/>
        </w:rPr>
        <w:t> </w:t>
      </w:r>
      <w:r>
        <w:rPr>
          <w:sz w:val="24"/>
        </w:rPr>
        <w:t>or</w:t>
      </w:r>
      <w:r>
        <w:rPr>
          <w:spacing w:val="40"/>
          <w:sz w:val="24"/>
        </w:rPr>
        <w:t> </w:t>
      </w:r>
      <w:r>
        <w:rPr>
          <w:sz w:val="24"/>
        </w:rPr>
        <w:t>diversion</w:t>
      </w:r>
      <w:r>
        <w:rPr>
          <w:spacing w:val="40"/>
          <w:sz w:val="24"/>
        </w:rPr>
        <w:t> </w:t>
      </w:r>
      <w:r>
        <w:rPr>
          <w:sz w:val="24"/>
        </w:rPr>
        <w:t>of</w:t>
      </w:r>
      <w:r>
        <w:rPr>
          <w:spacing w:val="40"/>
          <w:sz w:val="24"/>
        </w:rPr>
        <w:t> </w:t>
      </w:r>
      <w:r>
        <w:rPr>
          <w:sz w:val="24"/>
        </w:rPr>
        <w:t>a</w:t>
      </w:r>
      <w:r>
        <w:rPr>
          <w:spacing w:val="40"/>
          <w:sz w:val="24"/>
        </w:rPr>
        <w:t> </w:t>
      </w:r>
      <w:r>
        <w:rPr>
          <w:sz w:val="24"/>
        </w:rPr>
        <w:t>natural</w:t>
      </w:r>
      <w:r>
        <w:rPr>
          <w:spacing w:val="40"/>
          <w:sz w:val="24"/>
        </w:rPr>
        <w:t> </w:t>
      </w:r>
      <w:r>
        <w:rPr>
          <w:sz w:val="24"/>
        </w:rPr>
        <w:t>channel</w:t>
      </w:r>
      <w:r>
        <w:rPr>
          <w:spacing w:val="40"/>
          <w:sz w:val="24"/>
        </w:rPr>
        <w:t> </w:t>
      </w:r>
      <w:r>
        <w:rPr>
          <w:sz w:val="24"/>
        </w:rPr>
        <w:t>meant</w:t>
      </w:r>
      <w:r>
        <w:rPr>
          <w:spacing w:val="40"/>
          <w:sz w:val="24"/>
        </w:rPr>
        <w:t> </w:t>
      </w:r>
      <w:r>
        <w:rPr>
          <w:sz w:val="24"/>
        </w:rPr>
        <w:t>for carrying</w:t>
      </w:r>
      <w:r>
        <w:rPr>
          <w:spacing w:val="40"/>
          <w:sz w:val="24"/>
        </w:rPr>
        <w:t> </w:t>
      </w:r>
      <w:r>
        <w:rPr>
          <w:sz w:val="24"/>
        </w:rPr>
        <w:t>storm</w:t>
      </w:r>
      <w:r>
        <w:rPr>
          <w:spacing w:val="40"/>
          <w:sz w:val="24"/>
        </w:rPr>
        <w:t> </w:t>
      </w:r>
      <w:r>
        <w:rPr>
          <w:sz w:val="24"/>
        </w:rPr>
        <w:t>and</w:t>
      </w:r>
      <w:r>
        <w:rPr>
          <w:spacing w:val="40"/>
          <w:sz w:val="24"/>
        </w:rPr>
        <w:t> </w:t>
      </w:r>
      <w:r>
        <w:rPr>
          <w:sz w:val="24"/>
        </w:rPr>
        <w:t>waste</w:t>
      </w:r>
      <w:r>
        <w:rPr>
          <w:spacing w:val="9"/>
          <w:sz w:val="24"/>
        </w:rPr>
        <w:t> water.</w:t>
      </w:r>
    </w:p>
    <w:p>
      <w:pPr>
        <w:pStyle w:val="BodyText"/>
        <w:spacing w:before="1"/>
        <w:jc w:val="left"/>
      </w:pPr>
    </w:p>
    <w:p>
      <w:pPr>
        <w:pStyle w:val="ListParagraph"/>
        <w:numPr>
          <w:ilvl w:val="0"/>
          <w:numId w:val="6"/>
        </w:numPr>
        <w:tabs>
          <w:tab w:pos="1690" w:val="left" w:leader="none"/>
          <w:tab w:pos="1766" w:val="left" w:leader="none"/>
        </w:tabs>
        <w:spacing w:line="240" w:lineRule="auto" w:before="0" w:after="0"/>
        <w:ind w:left="1766" w:right="776" w:hanging="711"/>
        <w:jc w:val="both"/>
        <w:rPr>
          <w:sz w:val="22"/>
        </w:rPr>
      </w:pPr>
      <w:r>
        <w:rPr>
          <w:sz w:val="24"/>
        </w:rPr>
        <w:t>"Water</w:t>
      </w:r>
      <w:r>
        <w:rPr>
          <w:spacing w:val="40"/>
          <w:sz w:val="24"/>
        </w:rPr>
        <w:t> </w:t>
      </w:r>
      <w:r>
        <w:rPr>
          <w:sz w:val="24"/>
        </w:rPr>
        <w:t>course,</w:t>
      </w:r>
      <w:r>
        <w:rPr>
          <w:spacing w:val="40"/>
          <w:sz w:val="24"/>
        </w:rPr>
        <w:t> </w:t>
      </w:r>
      <w:r>
        <w:rPr>
          <w:sz w:val="24"/>
        </w:rPr>
        <w:t>Major"</w:t>
      </w:r>
      <w:r>
        <w:rPr>
          <w:spacing w:val="40"/>
          <w:sz w:val="24"/>
        </w:rPr>
        <w:t> </w:t>
      </w:r>
      <w:r>
        <w:rPr>
          <w:sz w:val="24"/>
        </w:rPr>
        <w:t>means</w:t>
      </w:r>
      <w:r>
        <w:rPr>
          <w:spacing w:val="40"/>
          <w:sz w:val="24"/>
        </w:rPr>
        <w:t> </w:t>
      </w:r>
      <w:r>
        <w:rPr>
          <w:sz w:val="24"/>
        </w:rPr>
        <w:t>a</w:t>
      </w:r>
      <w:r>
        <w:rPr>
          <w:spacing w:val="80"/>
          <w:sz w:val="24"/>
        </w:rPr>
        <w:t> </w:t>
      </w:r>
      <w:r>
        <w:rPr>
          <w:sz w:val="24"/>
        </w:rPr>
        <w:t>water</w:t>
      </w:r>
      <w:r>
        <w:rPr>
          <w:spacing w:val="40"/>
          <w:sz w:val="24"/>
        </w:rPr>
        <w:t> </w:t>
      </w:r>
      <w:r>
        <w:rPr>
          <w:sz w:val="24"/>
        </w:rPr>
        <w:t>course</w:t>
      </w:r>
      <w:r>
        <w:rPr>
          <w:spacing w:val="40"/>
          <w:sz w:val="24"/>
        </w:rPr>
        <w:t> </w:t>
      </w:r>
      <w:r>
        <w:rPr>
          <w:sz w:val="24"/>
        </w:rPr>
        <w:t>which</w:t>
      </w:r>
      <w:r>
        <w:rPr>
          <w:spacing w:val="40"/>
          <w:sz w:val="24"/>
        </w:rPr>
        <w:t> </w:t>
      </w:r>
      <w:r>
        <w:rPr>
          <w:sz w:val="24"/>
        </w:rPr>
        <w:t>carries</w:t>
      </w:r>
      <w:r>
        <w:rPr>
          <w:spacing w:val="40"/>
          <w:sz w:val="24"/>
        </w:rPr>
        <w:t> </w:t>
      </w:r>
      <w:r>
        <w:rPr>
          <w:sz w:val="24"/>
        </w:rPr>
        <w:t>storm</w:t>
      </w:r>
      <w:r>
        <w:rPr>
          <w:spacing w:val="40"/>
          <w:sz w:val="24"/>
        </w:rPr>
        <w:t> </w:t>
      </w:r>
      <w:r>
        <w:rPr>
          <w:sz w:val="24"/>
        </w:rPr>
        <w:t>water</w:t>
      </w:r>
      <w:r>
        <w:rPr>
          <w:spacing w:val="40"/>
          <w:sz w:val="24"/>
        </w:rPr>
        <w:t> </w:t>
      </w:r>
      <w:r>
        <w:rPr>
          <w:sz w:val="24"/>
        </w:rPr>
        <w:t>discharging</w:t>
      </w:r>
      <w:r>
        <w:rPr>
          <w:spacing w:val="40"/>
          <w:sz w:val="24"/>
        </w:rPr>
        <w:t> </w:t>
      </w:r>
      <w:r>
        <w:rPr>
          <w:sz w:val="24"/>
        </w:rPr>
        <w:t>from</w:t>
      </w:r>
      <w:r>
        <w:rPr>
          <w:spacing w:val="40"/>
          <w:sz w:val="24"/>
        </w:rPr>
        <w:t> </w:t>
      </w:r>
      <w:r>
        <w:rPr>
          <w:sz w:val="24"/>
        </w:rPr>
        <w:t>a</w:t>
      </w:r>
      <w:r>
        <w:rPr>
          <w:spacing w:val="40"/>
          <w:sz w:val="24"/>
        </w:rPr>
        <w:t> </w:t>
      </w:r>
      <w:r>
        <w:rPr>
          <w:sz w:val="24"/>
        </w:rPr>
        <w:t>contributing area of not less than</w:t>
      </w:r>
      <w:r>
        <w:rPr>
          <w:spacing w:val="40"/>
          <w:sz w:val="24"/>
        </w:rPr>
        <w:t> </w:t>
      </w:r>
      <w:r>
        <w:rPr>
          <w:sz w:val="24"/>
        </w:rPr>
        <w:t>160 hectares, the decision of the Commissioner on the extent of the contributing</w:t>
      </w:r>
      <w:r>
        <w:rPr>
          <w:spacing w:val="40"/>
          <w:sz w:val="24"/>
        </w:rPr>
        <w:t> </w:t>
      </w:r>
      <w:r>
        <w:rPr>
          <w:sz w:val="24"/>
        </w:rPr>
        <w:t>area</w:t>
      </w:r>
      <w:r>
        <w:rPr>
          <w:spacing w:val="40"/>
          <w:sz w:val="24"/>
        </w:rPr>
        <w:t> </w:t>
      </w:r>
      <w:r>
        <w:rPr>
          <w:sz w:val="24"/>
        </w:rPr>
        <w:t>being</w:t>
      </w:r>
      <w:r>
        <w:rPr>
          <w:spacing w:val="40"/>
          <w:sz w:val="24"/>
        </w:rPr>
        <w:t> </w:t>
      </w:r>
      <w:r>
        <w:rPr>
          <w:sz w:val="24"/>
        </w:rPr>
        <w:t>final.</w:t>
      </w:r>
      <w:r>
        <w:rPr>
          <w:spacing w:val="40"/>
          <w:sz w:val="24"/>
        </w:rPr>
        <w:t> </w:t>
      </w:r>
      <w:r>
        <w:rPr>
          <w:sz w:val="24"/>
        </w:rPr>
        <w:t>A</w:t>
      </w:r>
      <w:r>
        <w:rPr>
          <w:spacing w:val="40"/>
          <w:sz w:val="24"/>
        </w:rPr>
        <w:t> </w:t>
      </w:r>
      <w:r>
        <w:rPr>
          <w:sz w:val="24"/>
        </w:rPr>
        <w:t>minor</w:t>
      </w:r>
      <w:r>
        <w:rPr>
          <w:spacing w:val="40"/>
          <w:sz w:val="24"/>
        </w:rPr>
        <w:t> </w:t>
      </w:r>
      <w:r>
        <w:rPr>
          <w:sz w:val="24"/>
        </w:rPr>
        <w:t>water</w:t>
      </w:r>
      <w:r>
        <w:rPr>
          <w:spacing w:val="40"/>
          <w:sz w:val="24"/>
        </w:rPr>
        <w:t> </w:t>
      </w:r>
      <w:r>
        <w:rPr>
          <w:sz w:val="24"/>
        </w:rPr>
        <w:t>course</w:t>
      </w:r>
      <w:r>
        <w:rPr>
          <w:spacing w:val="40"/>
          <w:sz w:val="24"/>
        </w:rPr>
        <w:t> </w:t>
      </w:r>
      <w:r>
        <w:rPr>
          <w:sz w:val="24"/>
        </w:rPr>
        <w:t>is</w:t>
      </w:r>
      <w:r>
        <w:rPr>
          <w:spacing w:val="40"/>
          <w:sz w:val="24"/>
        </w:rPr>
        <w:t> </w:t>
      </w:r>
      <w:r>
        <w:rPr>
          <w:sz w:val="24"/>
        </w:rPr>
        <w:t>one</w:t>
      </w:r>
      <w:r>
        <w:rPr>
          <w:spacing w:val="40"/>
          <w:sz w:val="24"/>
        </w:rPr>
        <w:t> </w:t>
      </w:r>
      <w:r>
        <w:rPr>
          <w:sz w:val="24"/>
        </w:rPr>
        <w:t>which</w:t>
      </w:r>
      <w:r>
        <w:rPr>
          <w:spacing w:val="40"/>
          <w:sz w:val="24"/>
        </w:rPr>
        <w:t> </w:t>
      </w:r>
      <w:r>
        <w:rPr>
          <w:sz w:val="24"/>
        </w:rPr>
        <w:t>is not a major one.</w:t>
      </w:r>
    </w:p>
    <w:p>
      <w:pPr>
        <w:pStyle w:val="BodyText"/>
        <w:jc w:val="left"/>
      </w:pPr>
    </w:p>
    <w:p>
      <w:pPr>
        <w:pStyle w:val="ListParagraph"/>
        <w:numPr>
          <w:ilvl w:val="0"/>
          <w:numId w:val="6"/>
        </w:numPr>
        <w:tabs>
          <w:tab w:pos="1690" w:val="left" w:leader="none"/>
          <w:tab w:pos="1766" w:val="left" w:leader="none"/>
        </w:tabs>
        <w:spacing w:line="240" w:lineRule="auto" w:before="0" w:after="0"/>
        <w:ind w:left="1766" w:right="778" w:hanging="711"/>
        <w:jc w:val="both"/>
        <w:rPr>
          <w:sz w:val="22"/>
        </w:rPr>
      </w:pPr>
      <w:r>
        <w:rPr>
          <w:sz w:val="24"/>
        </w:rPr>
        <w:t>"Window" means an opening other than a door, to the outside of a building which provides all or part of the required natural </w:t>
      </w:r>
      <w:r>
        <w:rPr>
          <w:spacing w:val="9"/>
          <w:sz w:val="24"/>
        </w:rPr>
        <w:t>light, </w:t>
      </w:r>
      <w:r>
        <w:rPr>
          <w:sz w:val="24"/>
        </w:rPr>
        <w:t>ventilation</w:t>
      </w:r>
      <w:r>
        <w:rPr>
          <w:spacing w:val="40"/>
          <w:sz w:val="24"/>
        </w:rPr>
        <w:t> </w:t>
      </w:r>
      <w:r>
        <w:rPr>
          <w:sz w:val="24"/>
        </w:rPr>
        <w:t>or</w:t>
      </w:r>
      <w:r>
        <w:rPr>
          <w:spacing w:val="40"/>
          <w:sz w:val="24"/>
        </w:rPr>
        <w:t> </w:t>
      </w:r>
      <w:r>
        <w:rPr>
          <w:sz w:val="24"/>
        </w:rPr>
        <w:t>both</w:t>
      </w:r>
      <w:r>
        <w:rPr>
          <w:spacing w:val="40"/>
          <w:sz w:val="24"/>
        </w:rPr>
        <w:t> </w:t>
      </w:r>
      <w:r>
        <w:rPr>
          <w:sz w:val="24"/>
        </w:rPr>
        <w:t>to</w:t>
      </w:r>
      <w:r>
        <w:rPr>
          <w:spacing w:val="40"/>
          <w:sz w:val="24"/>
        </w:rPr>
        <w:t> </w:t>
      </w:r>
      <w:r>
        <w:rPr>
          <w:sz w:val="24"/>
        </w:rPr>
        <w:t>an</w:t>
      </w:r>
      <w:r>
        <w:rPr>
          <w:spacing w:val="40"/>
          <w:sz w:val="24"/>
        </w:rPr>
        <w:t> </w:t>
      </w:r>
      <w:r>
        <w:rPr>
          <w:sz w:val="24"/>
        </w:rPr>
        <w:t>interior</w:t>
      </w:r>
      <w:r>
        <w:rPr>
          <w:spacing w:val="40"/>
          <w:sz w:val="24"/>
        </w:rPr>
        <w:t> </w:t>
      </w:r>
      <w:r>
        <w:rPr>
          <w:spacing w:val="9"/>
          <w:sz w:val="24"/>
        </w:rPr>
        <w:t>space.</w:t>
      </w:r>
    </w:p>
    <w:p>
      <w:pPr>
        <w:pStyle w:val="ListParagraph"/>
        <w:numPr>
          <w:ilvl w:val="0"/>
          <w:numId w:val="6"/>
        </w:numPr>
        <w:tabs>
          <w:tab w:pos="1690" w:val="left" w:leader="none"/>
          <w:tab w:pos="1766" w:val="left" w:leader="none"/>
        </w:tabs>
        <w:spacing w:line="240" w:lineRule="auto" w:before="280" w:after="0"/>
        <w:ind w:left="1766" w:right="784" w:hanging="711"/>
        <w:jc w:val="both"/>
        <w:rPr>
          <w:sz w:val="22"/>
        </w:rPr>
      </w:pPr>
      <w:r>
        <w:rPr>
          <w:sz w:val="24"/>
        </w:rPr>
        <w:t>“Wing</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means</w:t>
      </w:r>
      <w:r>
        <w:rPr>
          <w:spacing w:val="40"/>
          <w:sz w:val="24"/>
        </w:rPr>
        <w:t> </w:t>
      </w:r>
      <w:r>
        <w:rPr>
          <w:sz w:val="24"/>
        </w:rPr>
        <w:t>part</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with</w:t>
      </w:r>
      <w:r>
        <w:rPr>
          <w:spacing w:val="40"/>
          <w:sz w:val="24"/>
        </w:rPr>
        <w:t> </w:t>
      </w:r>
      <w:r>
        <w:rPr>
          <w:spacing w:val="9"/>
          <w:sz w:val="24"/>
        </w:rPr>
        <w:t>independent </w:t>
      </w:r>
      <w:r>
        <w:rPr>
          <w:sz w:val="24"/>
        </w:rPr>
        <w:t>access, staircase &amp; lift connected to other parts with common basement/stilt/</w:t>
      </w:r>
      <w:r>
        <w:rPr>
          <w:spacing w:val="40"/>
          <w:sz w:val="24"/>
        </w:rPr>
        <w:t>  </w:t>
      </w:r>
      <w:r>
        <w:rPr>
          <w:spacing w:val="9"/>
          <w:sz w:val="24"/>
        </w:rPr>
        <w:t>podium/terrace/common</w:t>
      </w:r>
      <w:r>
        <w:rPr>
          <w:spacing w:val="40"/>
          <w:sz w:val="24"/>
        </w:rPr>
        <w:t>  </w:t>
      </w:r>
      <w:r>
        <w:rPr>
          <w:sz w:val="24"/>
        </w:rPr>
        <w:t>wall/connecting</w:t>
      </w:r>
      <w:r>
        <w:rPr>
          <w:spacing w:val="80"/>
          <w:sz w:val="24"/>
        </w:rPr>
        <w:t> </w:t>
      </w:r>
      <w:r>
        <w:rPr>
          <w:spacing w:val="-2"/>
          <w:sz w:val="24"/>
        </w:rPr>
        <w:t>passages.</w:t>
      </w:r>
    </w:p>
    <w:p>
      <w:pPr>
        <w:pStyle w:val="Heading3"/>
        <w:numPr>
          <w:ilvl w:val="0"/>
          <w:numId w:val="10"/>
        </w:numPr>
        <w:tabs>
          <w:tab w:pos="1491" w:val="left" w:leader="none"/>
        </w:tabs>
        <w:spacing w:line="240" w:lineRule="auto" w:before="278" w:after="0"/>
        <w:ind w:left="1491" w:right="0" w:hanging="608"/>
        <w:jc w:val="both"/>
      </w:pPr>
      <w:r>
        <w:rPr>
          <w:spacing w:val="-2"/>
        </w:rPr>
        <w:t>Applicability</w:t>
      </w:r>
    </w:p>
    <w:p>
      <w:pPr>
        <w:pStyle w:val="ListParagraph"/>
        <w:numPr>
          <w:ilvl w:val="1"/>
          <w:numId w:val="10"/>
        </w:numPr>
        <w:tabs>
          <w:tab w:pos="1393" w:val="left" w:leader="none"/>
        </w:tabs>
        <w:spacing w:line="240" w:lineRule="auto" w:before="286" w:after="0"/>
        <w:ind w:left="864" w:right="771" w:firstLine="19"/>
        <w:jc w:val="both"/>
        <w:rPr>
          <w:sz w:val="24"/>
        </w:rPr>
      </w:pPr>
      <w:r>
        <w:rPr>
          <w:b/>
          <w:i/>
          <w:sz w:val="24"/>
        </w:rPr>
        <w:t>Development and </w:t>
      </w:r>
      <w:r>
        <w:rPr>
          <w:b/>
          <w:i/>
          <w:spacing w:val="9"/>
          <w:sz w:val="24"/>
        </w:rPr>
        <w:t>construction:</w:t>
      </w:r>
      <w:r>
        <w:rPr>
          <w:b/>
          <w:i/>
          <w:spacing w:val="9"/>
          <w:sz w:val="24"/>
        </w:rPr>
        <w:t> </w:t>
      </w:r>
      <w:r>
        <w:rPr>
          <w:sz w:val="24"/>
        </w:rPr>
        <w:t>Except as hereinafter otherwise</w:t>
      </w:r>
      <w:r>
        <w:rPr>
          <w:spacing w:val="80"/>
          <w:sz w:val="24"/>
        </w:rPr>
        <w:t> </w:t>
      </w:r>
      <w:r>
        <w:rPr>
          <w:sz w:val="24"/>
        </w:rPr>
        <w:t>provided, these Regulations shall apply to all development, redevelopment, erection</w:t>
      </w:r>
      <w:r>
        <w:rPr>
          <w:spacing w:val="40"/>
          <w:sz w:val="24"/>
        </w:rPr>
        <w:t> </w:t>
      </w:r>
      <w:r>
        <w:rPr>
          <w:sz w:val="24"/>
        </w:rPr>
        <w:t>and/or</w:t>
      </w:r>
      <w:r>
        <w:rPr>
          <w:spacing w:val="40"/>
          <w:sz w:val="24"/>
        </w:rPr>
        <w:t> </w:t>
      </w:r>
      <w:r>
        <w:rPr>
          <w:spacing w:val="11"/>
          <w:sz w:val="24"/>
        </w:rPr>
        <w:t>re-</w:t>
      </w:r>
      <w:r>
        <w:rPr>
          <w:sz w:val="24"/>
        </w:rPr>
        <w:t>erection</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change</w:t>
      </w:r>
      <w:r>
        <w:rPr>
          <w:spacing w:val="40"/>
          <w:sz w:val="24"/>
        </w:rPr>
        <w:t> </w:t>
      </w:r>
      <w:r>
        <w:rPr>
          <w:sz w:val="24"/>
        </w:rPr>
        <w:t>of</w:t>
      </w:r>
      <w:r>
        <w:rPr>
          <w:spacing w:val="40"/>
          <w:sz w:val="24"/>
        </w:rPr>
        <w:t> </w:t>
      </w:r>
      <w:r>
        <w:rPr>
          <w:sz w:val="24"/>
        </w:rPr>
        <w:t>user</w:t>
      </w:r>
      <w:r>
        <w:rPr>
          <w:spacing w:val="40"/>
          <w:sz w:val="24"/>
        </w:rPr>
        <w:t> </w:t>
      </w:r>
      <w:r>
        <w:rPr>
          <w:sz w:val="24"/>
        </w:rPr>
        <w:t>etc.</w:t>
      </w:r>
      <w:r>
        <w:rPr>
          <w:spacing w:val="40"/>
          <w:sz w:val="24"/>
        </w:rPr>
        <w:t> </w:t>
      </w:r>
      <w:r>
        <w:rPr>
          <w:sz w:val="24"/>
        </w:rPr>
        <w:t>as</w:t>
      </w:r>
      <w:r>
        <w:rPr>
          <w:spacing w:val="40"/>
          <w:sz w:val="24"/>
        </w:rPr>
        <w:t> </w:t>
      </w:r>
      <w:r>
        <w:rPr>
          <w:sz w:val="24"/>
        </w:rPr>
        <w:t>well</w:t>
      </w:r>
      <w:r>
        <w:rPr>
          <w:spacing w:val="40"/>
          <w:sz w:val="24"/>
        </w:rPr>
        <w:t> </w:t>
      </w:r>
      <w:r>
        <w:rPr>
          <w:sz w:val="24"/>
        </w:rPr>
        <w:t>as</w:t>
      </w:r>
      <w:r>
        <w:rPr>
          <w:spacing w:val="40"/>
          <w:sz w:val="24"/>
        </w:rPr>
        <w:t> </w:t>
      </w:r>
      <w:r>
        <w:rPr>
          <w:sz w:val="24"/>
        </w:rPr>
        <w:t>to the</w:t>
      </w:r>
      <w:r>
        <w:rPr>
          <w:spacing w:val="40"/>
          <w:sz w:val="24"/>
        </w:rPr>
        <w:t> </w:t>
      </w:r>
      <w:r>
        <w:rPr>
          <w:sz w:val="24"/>
        </w:rPr>
        <w:t>design,</w:t>
      </w:r>
      <w:r>
        <w:rPr>
          <w:spacing w:val="40"/>
          <w:sz w:val="24"/>
        </w:rPr>
        <w:t> </w:t>
      </w:r>
      <w:r>
        <w:rPr>
          <w:sz w:val="24"/>
        </w:rPr>
        <w:t>construction</w:t>
      </w:r>
      <w:r>
        <w:rPr>
          <w:spacing w:val="40"/>
          <w:sz w:val="24"/>
        </w:rPr>
        <w:t> </w:t>
      </w:r>
      <w:r>
        <w:rPr>
          <w:sz w:val="24"/>
        </w:rPr>
        <w:t>or</w:t>
      </w:r>
      <w:r>
        <w:rPr>
          <w:spacing w:val="40"/>
          <w:sz w:val="24"/>
        </w:rPr>
        <w:t> </w:t>
      </w:r>
      <w:r>
        <w:rPr>
          <w:sz w:val="24"/>
        </w:rPr>
        <w:t>reconstruction</w:t>
      </w:r>
      <w:r>
        <w:rPr>
          <w:spacing w:val="40"/>
          <w:sz w:val="24"/>
        </w:rPr>
        <w:t> </w:t>
      </w:r>
      <w:r>
        <w:rPr>
          <w:sz w:val="24"/>
        </w:rPr>
        <w:t>of,</w:t>
      </w:r>
      <w:r>
        <w:rPr>
          <w:spacing w:val="40"/>
          <w:sz w:val="24"/>
        </w:rPr>
        <w:t> </w:t>
      </w:r>
      <w:r>
        <w:rPr>
          <w:sz w:val="24"/>
        </w:rPr>
        <w:t>and</w:t>
      </w:r>
      <w:r>
        <w:rPr>
          <w:spacing w:val="40"/>
          <w:sz w:val="24"/>
        </w:rPr>
        <w:t> </w:t>
      </w:r>
      <w:r>
        <w:rPr>
          <w:sz w:val="24"/>
        </w:rPr>
        <w:t>additions</w:t>
      </w:r>
      <w:r>
        <w:rPr>
          <w:spacing w:val="40"/>
          <w:sz w:val="24"/>
        </w:rPr>
        <w:t> </w:t>
      </w:r>
      <w:r>
        <w:rPr>
          <w:sz w:val="24"/>
        </w:rPr>
        <w:t>and</w:t>
      </w:r>
      <w:r>
        <w:rPr>
          <w:spacing w:val="40"/>
          <w:sz w:val="24"/>
        </w:rPr>
        <w:t> </w:t>
      </w:r>
      <w:r>
        <w:rPr>
          <w:spacing w:val="10"/>
          <w:sz w:val="24"/>
        </w:rPr>
        <w:t>alterations </w:t>
      </w:r>
      <w:r>
        <w:rPr>
          <w:sz w:val="24"/>
        </w:rPr>
        <w:t>to a </w:t>
      </w:r>
      <w:r>
        <w:rPr>
          <w:spacing w:val="9"/>
          <w:sz w:val="24"/>
        </w:rPr>
        <w:t>building.</w:t>
      </w:r>
    </w:p>
    <w:p>
      <w:pPr>
        <w:pStyle w:val="ListParagraph"/>
        <w:numPr>
          <w:ilvl w:val="1"/>
          <w:numId w:val="10"/>
        </w:numPr>
        <w:tabs>
          <w:tab w:pos="1309" w:val="left" w:leader="none"/>
        </w:tabs>
        <w:spacing w:line="240" w:lineRule="auto" w:before="280" w:after="0"/>
        <w:ind w:left="864" w:right="790" w:firstLine="19"/>
        <w:jc w:val="both"/>
        <w:rPr>
          <w:sz w:val="24"/>
        </w:rPr>
      </w:pPr>
      <w:r>
        <w:rPr>
          <w:b/>
          <w:i/>
          <w:sz w:val="24"/>
        </w:rPr>
        <w:t>Part</w:t>
      </w:r>
      <w:r>
        <w:rPr>
          <w:b/>
          <w:i/>
          <w:spacing w:val="80"/>
          <w:sz w:val="24"/>
        </w:rPr>
        <w:t> </w:t>
      </w:r>
      <w:r>
        <w:rPr>
          <w:b/>
          <w:i/>
          <w:sz w:val="24"/>
        </w:rPr>
        <w:t>construction:</w:t>
      </w:r>
      <w:r>
        <w:rPr>
          <w:b/>
          <w:i/>
          <w:spacing w:val="80"/>
          <w:sz w:val="24"/>
        </w:rPr>
        <w:t> </w:t>
      </w:r>
      <w:r>
        <w:rPr>
          <w:sz w:val="24"/>
        </w:rPr>
        <w:t>Where</w:t>
      </w:r>
      <w:r>
        <w:rPr>
          <w:spacing w:val="80"/>
          <w:sz w:val="24"/>
        </w:rPr>
        <w:t> </w:t>
      </w:r>
      <w:r>
        <w:rPr>
          <w:sz w:val="24"/>
        </w:rPr>
        <w:t>the</w:t>
      </w:r>
      <w:r>
        <w:rPr>
          <w:spacing w:val="80"/>
          <w:sz w:val="24"/>
        </w:rPr>
        <w:t> </w:t>
      </w:r>
      <w:r>
        <w:rPr>
          <w:sz w:val="24"/>
        </w:rPr>
        <w:t>whole</w:t>
      </w:r>
      <w:r>
        <w:rPr>
          <w:spacing w:val="80"/>
          <w:sz w:val="24"/>
        </w:rPr>
        <w:t> </w:t>
      </w:r>
      <w:r>
        <w:rPr>
          <w:sz w:val="24"/>
        </w:rPr>
        <w:t>or</w:t>
      </w:r>
      <w:r>
        <w:rPr>
          <w:spacing w:val="80"/>
          <w:sz w:val="24"/>
        </w:rPr>
        <w:t> </w:t>
      </w:r>
      <w:r>
        <w:rPr>
          <w:sz w:val="24"/>
        </w:rPr>
        <w:t>part</w:t>
      </w:r>
      <w:r>
        <w:rPr>
          <w:spacing w:val="80"/>
          <w:sz w:val="24"/>
        </w:rPr>
        <w:t> </w:t>
      </w:r>
      <w:r>
        <w:rPr>
          <w:sz w:val="24"/>
        </w:rPr>
        <w:t>of</w:t>
      </w:r>
      <w:r>
        <w:rPr>
          <w:spacing w:val="80"/>
          <w:sz w:val="24"/>
        </w:rPr>
        <w:t> </w:t>
      </w:r>
      <w:r>
        <w:rPr>
          <w:sz w:val="24"/>
        </w:rPr>
        <w:t>building</w:t>
      </w:r>
      <w:r>
        <w:rPr>
          <w:spacing w:val="80"/>
          <w:sz w:val="24"/>
        </w:rPr>
        <w:t> </w:t>
      </w:r>
      <w:r>
        <w:rPr>
          <w:sz w:val="24"/>
        </w:rPr>
        <w:t>is</w:t>
      </w:r>
      <w:r>
        <w:rPr>
          <w:spacing w:val="80"/>
          <w:sz w:val="24"/>
        </w:rPr>
        <w:t> </w:t>
      </w:r>
      <w:r>
        <w:rPr>
          <w:sz w:val="24"/>
        </w:rPr>
        <w:t>demolished or altered or </w:t>
      </w:r>
      <w:r>
        <w:rPr>
          <w:spacing w:val="9"/>
          <w:sz w:val="24"/>
        </w:rPr>
        <w:t>reconstructed/removed,</w:t>
      </w:r>
      <w:r>
        <w:rPr>
          <w:spacing w:val="9"/>
          <w:sz w:val="24"/>
        </w:rPr>
        <w:t> </w:t>
      </w:r>
      <w:r>
        <w:rPr>
          <w:sz w:val="24"/>
        </w:rPr>
        <w:t>except where otherwise specifically stipulated,</w:t>
      </w:r>
      <w:r>
        <w:rPr>
          <w:spacing w:val="40"/>
          <w:sz w:val="24"/>
        </w:rPr>
        <w:t> </w:t>
      </w:r>
      <w:r>
        <w:rPr>
          <w:sz w:val="24"/>
        </w:rPr>
        <w:t>these</w:t>
      </w:r>
      <w:r>
        <w:rPr>
          <w:spacing w:val="40"/>
          <w:sz w:val="24"/>
        </w:rPr>
        <w:t> </w:t>
      </w:r>
      <w:r>
        <w:rPr>
          <w:sz w:val="24"/>
        </w:rPr>
        <w:t>Regulations</w:t>
      </w:r>
      <w:r>
        <w:rPr>
          <w:spacing w:val="40"/>
          <w:sz w:val="24"/>
        </w:rPr>
        <w:t> </w:t>
      </w:r>
      <w:r>
        <w:rPr>
          <w:sz w:val="24"/>
        </w:rPr>
        <w:t>shall</w:t>
      </w:r>
      <w:r>
        <w:rPr>
          <w:spacing w:val="40"/>
          <w:sz w:val="24"/>
        </w:rPr>
        <w:t> </w:t>
      </w:r>
      <w:r>
        <w:rPr>
          <w:sz w:val="24"/>
        </w:rPr>
        <w:t>apply</w:t>
      </w:r>
      <w:r>
        <w:rPr>
          <w:spacing w:val="40"/>
          <w:sz w:val="24"/>
        </w:rPr>
        <w:t> </w:t>
      </w:r>
      <w:r>
        <w:rPr>
          <w:sz w:val="24"/>
        </w:rPr>
        <w:t>only</w:t>
      </w:r>
      <w:r>
        <w:rPr>
          <w:spacing w:val="40"/>
          <w:sz w:val="24"/>
        </w:rPr>
        <w:t> </w:t>
      </w:r>
      <w:r>
        <w:rPr>
          <w:sz w:val="24"/>
        </w:rPr>
        <w:t>to</w:t>
      </w:r>
      <w:r>
        <w:rPr>
          <w:spacing w:val="40"/>
          <w:sz w:val="24"/>
        </w:rPr>
        <w:t> </w:t>
      </w:r>
      <w:r>
        <w:rPr>
          <w:sz w:val="24"/>
        </w:rPr>
        <w:t>the</w:t>
      </w:r>
      <w:r>
        <w:rPr>
          <w:spacing w:val="40"/>
          <w:sz w:val="24"/>
        </w:rPr>
        <w:t> </w:t>
      </w:r>
      <w:r>
        <w:rPr>
          <w:sz w:val="24"/>
        </w:rPr>
        <w:t>extent</w:t>
      </w:r>
      <w:r>
        <w:rPr>
          <w:spacing w:val="40"/>
          <w:sz w:val="24"/>
        </w:rPr>
        <w:t> </w:t>
      </w:r>
      <w:r>
        <w:rPr>
          <w:sz w:val="24"/>
        </w:rPr>
        <w:t>of</w:t>
      </w:r>
      <w:r>
        <w:rPr>
          <w:spacing w:val="40"/>
          <w:sz w:val="24"/>
        </w:rPr>
        <w:t> </w:t>
      </w:r>
      <w:r>
        <w:rPr>
          <w:sz w:val="24"/>
        </w:rPr>
        <w:t>the</w:t>
      </w:r>
      <w:r>
        <w:rPr>
          <w:spacing w:val="40"/>
          <w:sz w:val="24"/>
        </w:rPr>
        <w:t> </w:t>
      </w:r>
      <w:r>
        <w:rPr>
          <w:sz w:val="24"/>
        </w:rPr>
        <w:t>work </w:t>
      </w:r>
      <w:r>
        <w:rPr>
          <w:spacing w:val="-2"/>
          <w:sz w:val="24"/>
        </w:rPr>
        <w:t>involved.</w:t>
      </w:r>
    </w:p>
    <w:p>
      <w:pPr>
        <w:pStyle w:val="BodyText"/>
        <w:jc w:val="left"/>
      </w:pPr>
    </w:p>
    <w:p>
      <w:pPr>
        <w:pStyle w:val="ListParagraph"/>
        <w:numPr>
          <w:ilvl w:val="1"/>
          <w:numId w:val="10"/>
        </w:numPr>
        <w:tabs>
          <w:tab w:pos="1301" w:val="left" w:leader="none"/>
        </w:tabs>
        <w:spacing w:line="242" w:lineRule="auto" w:before="1" w:after="0"/>
        <w:ind w:left="864" w:right="784" w:firstLine="19"/>
        <w:jc w:val="both"/>
        <w:rPr>
          <w:sz w:val="24"/>
        </w:rPr>
      </w:pPr>
      <w:r>
        <w:rPr>
          <w:b/>
          <w:i/>
          <w:sz w:val="24"/>
        </w:rPr>
        <w:t>Change of occupancy</w:t>
      </w:r>
      <w:r>
        <w:rPr>
          <w:sz w:val="24"/>
        </w:rPr>
        <w:t>: Where the occupancy of a building is changed, except</w:t>
      </w:r>
      <w:r>
        <w:rPr>
          <w:spacing w:val="80"/>
          <w:sz w:val="24"/>
        </w:rPr>
        <w:t> </w:t>
      </w:r>
      <w:r>
        <w:rPr>
          <w:sz w:val="24"/>
        </w:rPr>
        <w:t>where</w:t>
      </w:r>
      <w:r>
        <w:rPr>
          <w:spacing w:val="80"/>
          <w:sz w:val="24"/>
        </w:rPr>
        <w:t> </w:t>
      </w:r>
      <w:r>
        <w:rPr>
          <w:sz w:val="24"/>
        </w:rPr>
        <w:t>otherwise</w:t>
      </w:r>
      <w:r>
        <w:rPr>
          <w:spacing w:val="80"/>
          <w:sz w:val="24"/>
        </w:rPr>
        <w:t> </w:t>
      </w:r>
      <w:r>
        <w:rPr>
          <w:sz w:val="24"/>
        </w:rPr>
        <w:t>specifically</w:t>
      </w:r>
      <w:r>
        <w:rPr>
          <w:spacing w:val="80"/>
          <w:sz w:val="24"/>
        </w:rPr>
        <w:t> </w:t>
      </w:r>
      <w:r>
        <w:rPr>
          <w:spacing w:val="9"/>
          <w:sz w:val="24"/>
        </w:rPr>
        <w:t>stipulated,</w:t>
      </w:r>
      <w:r>
        <w:rPr>
          <w:spacing w:val="80"/>
          <w:sz w:val="24"/>
        </w:rPr>
        <w:t> </w:t>
      </w:r>
      <w:r>
        <w:rPr>
          <w:sz w:val="24"/>
        </w:rPr>
        <w:t>these</w:t>
      </w:r>
      <w:r>
        <w:rPr>
          <w:spacing w:val="80"/>
          <w:sz w:val="24"/>
        </w:rPr>
        <w:t> </w:t>
      </w:r>
      <w:r>
        <w:rPr>
          <w:sz w:val="24"/>
        </w:rPr>
        <w:t>Regulations</w:t>
      </w:r>
      <w:r>
        <w:rPr>
          <w:spacing w:val="80"/>
          <w:sz w:val="24"/>
        </w:rPr>
        <w:t> </w:t>
      </w:r>
      <w:r>
        <w:rPr>
          <w:sz w:val="24"/>
        </w:rPr>
        <w:t>apply</w:t>
      </w:r>
      <w:r>
        <w:rPr>
          <w:spacing w:val="80"/>
          <w:sz w:val="24"/>
        </w:rPr>
        <w:t> </w:t>
      </w:r>
      <w:r>
        <w:rPr>
          <w:sz w:val="24"/>
        </w:rPr>
        <w:t>to all</w:t>
      </w:r>
      <w:r>
        <w:rPr>
          <w:spacing w:val="40"/>
          <w:sz w:val="24"/>
        </w:rPr>
        <w:t> </w:t>
      </w:r>
      <w:r>
        <w:rPr>
          <w:sz w:val="24"/>
        </w:rPr>
        <w:t>parts</w:t>
      </w:r>
      <w:r>
        <w:rPr>
          <w:spacing w:val="40"/>
          <w:sz w:val="24"/>
        </w:rPr>
        <w:t> </w:t>
      </w:r>
      <w:r>
        <w:rPr>
          <w:sz w:val="24"/>
        </w:rPr>
        <w:t>of</w:t>
      </w:r>
      <w:r>
        <w:rPr>
          <w:spacing w:val="40"/>
          <w:sz w:val="24"/>
        </w:rPr>
        <w:t> </w:t>
      </w:r>
      <w:r>
        <w:rPr>
          <w:sz w:val="24"/>
        </w:rPr>
        <w:t>the</w:t>
      </w:r>
      <w:r>
        <w:rPr>
          <w:spacing w:val="40"/>
          <w:sz w:val="24"/>
        </w:rPr>
        <w:t> </w:t>
      </w:r>
      <w:r>
        <w:rPr>
          <w:sz w:val="24"/>
        </w:rPr>
        <w:t>building</w:t>
      </w:r>
      <w:r>
        <w:rPr>
          <w:spacing w:val="40"/>
          <w:sz w:val="24"/>
        </w:rPr>
        <w:t> </w:t>
      </w:r>
      <w:r>
        <w:rPr>
          <w:sz w:val="24"/>
        </w:rPr>
        <w:t>affected</w:t>
      </w:r>
      <w:r>
        <w:rPr>
          <w:spacing w:val="40"/>
          <w:sz w:val="24"/>
        </w:rPr>
        <w:t> </w:t>
      </w:r>
      <w:r>
        <w:rPr>
          <w:sz w:val="24"/>
        </w:rPr>
        <w:t>by</w:t>
      </w:r>
      <w:r>
        <w:rPr>
          <w:spacing w:val="40"/>
          <w:sz w:val="24"/>
        </w:rPr>
        <w:t> </w:t>
      </w:r>
      <w:r>
        <w:rPr>
          <w:sz w:val="24"/>
        </w:rPr>
        <w:t>the</w:t>
      </w:r>
      <w:r>
        <w:rPr>
          <w:spacing w:val="40"/>
          <w:sz w:val="24"/>
        </w:rPr>
        <w:t> </w:t>
      </w:r>
      <w:r>
        <w:rPr>
          <w:sz w:val="24"/>
        </w:rPr>
        <w:t>change.</w:t>
      </w:r>
    </w:p>
    <w:p>
      <w:pPr>
        <w:pStyle w:val="ListParagraph"/>
        <w:numPr>
          <w:ilvl w:val="1"/>
          <w:numId w:val="10"/>
        </w:numPr>
        <w:tabs>
          <w:tab w:pos="1280" w:val="left" w:leader="none"/>
        </w:tabs>
        <w:spacing w:line="240" w:lineRule="auto" w:before="272" w:after="0"/>
        <w:ind w:left="883" w:right="778" w:firstLine="0"/>
        <w:jc w:val="both"/>
        <w:rPr>
          <w:sz w:val="24"/>
        </w:rPr>
      </w:pPr>
      <w:r>
        <w:rPr>
          <w:sz w:val="24"/>
        </w:rPr>
        <mc:AlternateContent>
          <mc:Choice Requires="wps">
            <w:drawing>
              <wp:anchor distT="0" distB="0" distL="0" distR="0" allowOverlap="1" layoutInCell="1" locked="0" behindDoc="1" simplePos="0" relativeHeight="471341568">
                <wp:simplePos x="0" y="0"/>
                <wp:positionH relativeFrom="page">
                  <wp:posOffset>4216272</wp:posOffset>
                </wp:positionH>
                <wp:positionV relativeFrom="paragraph">
                  <wp:posOffset>1060389</wp:posOffset>
                </wp:positionV>
                <wp:extent cx="56515" cy="18796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56515" cy="187960"/>
                        </a:xfrm>
                        <a:custGeom>
                          <a:avLst/>
                          <a:gdLst/>
                          <a:ahLst/>
                          <a:cxnLst/>
                          <a:rect l="l" t="t" r="r" b="b"/>
                          <a:pathLst>
                            <a:path w="56515" h="187960">
                              <a:moveTo>
                                <a:pt x="56387" y="0"/>
                              </a:moveTo>
                              <a:lnTo>
                                <a:pt x="0" y="0"/>
                              </a:lnTo>
                              <a:lnTo>
                                <a:pt x="0" y="187452"/>
                              </a:lnTo>
                              <a:lnTo>
                                <a:pt x="56387" y="187452"/>
                              </a:lnTo>
                              <a:lnTo>
                                <a:pt x="56387" y="0"/>
                              </a:lnTo>
                              <a:close/>
                            </a:path>
                          </a:pathLst>
                        </a:custGeom>
                        <a:solidFill>
                          <a:srgbClr val="FFCCFF"/>
                        </a:solidFill>
                      </wps:spPr>
                      <wps:bodyPr wrap="square" lIns="0" tIns="0" rIns="0" bIns="0" rtlCol="0">
                        <a:prstTxWarp prst="textNoShape">
                          <a:avLst/>
                        </a:prstTxWarp>
                        <a:noAutofit/>
                      </wps:bodyPr>
                    </wps:wsp>
                  </a:graphicData>
                </a:graphic>
              </wp:anchor>
            </w:drawing>
          </mc:Choice>
          <mc:Fallback>
            <w:pict>
              <v:rect style="position:absolute;margin-left:331.989990pt;margin-top:83.495232pt;width:4.440pt;height:14.76pt;mso-position-horizontal-relative:page;mso-position-vertical-relative:paragraph;z-index:-31974912" id="docshape42" filled="true" fillcolor="#ffccff" stroked="false">
                <v:fill type="solid"/>
                <w10:wrap type="none"/>
              </v:rect>
            </w:pict>
          </mc:Fallback>
        </mc:AlternateContent>
      </w:r>
      <w:r>
        <w:rPr>
          <w:b/>
          <w:i/>
          <w:spacing w:val="9"/>
          <w:sz w:val="24"/>
        </w:rPr>
        <w:t>Reconstruction: </w:t>
      </w:r>
      <w:r>
        <w:rPr>
          <w:sz w:val="24"/>
        </w:rPr>
        <w:t>The reconstruction in whole or part of a building which has ceased to exist due to</w:t>
      </w:r>
      <w:r>
        <w:rPr>
          <w:spacing w:val="40"/>
          <w:sz w:val="24"/>
        </w:rPr>
        <w:t> </w:t>
      </w:r>
      <w:r>
        <w:rPr>
          <w:sz w:val="24"/>
        </w:rPr>
        <w:t>fire, natural </w:t>
      </w:r>
      <w:r>
        <w:rPr>
          <w:spacing w:val="9"/>
          <w:sz w:val="24"/>
        </w:rPr>
        <w:t>collapse,</w:t>
      </w:r>
      <w:r>
        <w:rPr>
          <w:spacing w:val="80"/>
          <w:sz w:val="24"/>
        </w:rPr>
        <w:t> </w:t>
      </w:r>
      <w:r>
        <w:rPr>
          <w:sz w:val="24"/>
        </w:rPr>
        <w:t>demolition having been declared</w:t>
      </w:r>
      <w:r>
        <w:rPr>
          <w:spacing w:val="40"/>
          <w:sz w:val="24"/>
        </w:rPr>
        <w:t> </w:t>
      </w:r>
      <w:r>
        <w:rPr>
          <w:sz w:val="24"/>
        </w:rPr>
        <w:t>unsafe</w:t>
      </w:r>
      <w:r>
        <w:rPr>
          <w:spacing w:val="40"/>
          <w:sz w:val="24"/>
        </w:rPr>
        <w:t> </w:t>
      </w:r>
      <w:r>
        <w:rPr>
          <w:sz w:val="24"/>
        </w:rPr>
        <w:t>or</w:t>
      </w:r>
      <w:r>
        <w:rPr>
          <w:spacing w:val="40"/>
          <w:sz w:val="24"/>
        </w:rPr>
        <w:t> </w:t>
      </w:r>
      <w:r>
        <w:rPr>
          <w:sz w:val="24"/>
        </w:rPr>
        <w:t>which</w:t>
      </w:r>
      <w:r>
        <w:rPr>
          <w:spacing w:val="40"/>
          <w:sz w:val="24"/>
        </w:rPr>
        <w:t> </w:t>
      </w:r>
      <w:r>
        <w:rPr>
          <w:sz w:val="24"/>
        </w:rPr>
        <w:t>is</w:t>
      </w:r>
      <w:r>
        <w:rPr>
          <w:spacing w:val="40"/>
          <w:sz w:val="24"/>
        </w:rPr>
        <w:t> </w:t>
      </w:r>
      <w:r>
        <w:rPr>
          <w:sz w:val="24"/>
        </w:rPr>
        <w:t>likely</w:t>
      </w:r>
      <w:r>
        <w:rPr>
          <w:spacing w:val="40"/>
          <w:sz w:val="24"/>
        </w:rPr>
        <w:t> </w:t>
      </w:r>
      <w:r>
        <w:rPr>
          <w:sz w:val="24"/>
        </w:rPr>
        <w:t>to</w:t>
      </w:r>
      <w:r>
        <w:rPr>
          <w:spacing w:val="40"/>
          <w:sz w:val="24"/>
        </w:rPr>
        <w:t> </w:t>
      </w:r>
      <w:r>
        <w:rPr>
          <w:sz w:val="24"/>
        </w:rPr>
        <w:t>be</w:t>
      </w:r>
      <w:r>
        <w:rPr>
          <w:spacing w:val="40"/>
          <w:sz w:val="24"/>
        </w:rPr>
        <w:t> </w:t>
      </w:r>
      <w:r>
        <w:rPr>
          <w:sz w:val="24"/>
        </w:rPr>
        <w:t>demolished</w:t>
      </w:r>
      <w:r>
        <w:rPr>
          <w:spacing w:val="40"/>
          <w:sz w:val="24"/>
        </w:rPr>
        <w:t> </w:t>
      </w:r>
      <w:r>
        <w:rPr>
          <w:sz w:val="24"/>
        </w:rPr>
        <w:t>by</w:t>
      </w:r>
      <w:r>
        <w:rPr>
          <w:spacing w:val="40"/>
          <w:sz w:val="24"/>
        </w:rPr>
        <w:t> </w:t>
      </w:r>
      <w:r>
        <w:rPr>
          <w:sz w:val="24"/>
        </w:rPr>
        <w:t>or</w:t>
      </w:r>
      <w:r>
        <w:rPr>
          <w:spacing w:val="40"/>
          <w:sz w:val="24"/>
        </w:rPr>
        <w:t> </w:t>
      </w:r>
      <w:r>
        <w:rPr>
          <w:sz w:val="24"/>
        </w:rPr>
        <w:t>under</w:t>
      </w:r>
      <w:r>
        <w:rPr>
          <w:spacing w:val="40"/>
          <w:sz w:val="24"/>
        </w:rPr>
        <w:t> </w:t>
      </w:r>
      <w:r>
        <w:rPr>
          <w:sz w:val="24"/>
        </w:rPr>
        <w:t>an</w:t>
      </w:r>
      <w:r>
        <w:rPr>
          <w:spacing w:val="40"/>
          <w:sz w:val="24"/>
        </w:rPr>
        <w:t> </w:t>
      </w:r>
      <w:r>
        <w:rPr>
          <w:sz w:val="24"/>
        </w:rPr>
        <w:t>order</w:t>
      </w:r>
      <w:r>
        <w:rPr>
          <w:spacing w:val="40"/>
          <w:sz w:val="24"/>
        </w:rPr>
        <w:t> </w:t>
      </w:r>
      <w:r>
        <w:rPr>
          <w:sz w:val="24"/>
        </w:rPr>
        <w:t>of the</w:t>
      </w:r>
      <w:r>
        <w:rPr>
          <w:spacing w:val="40"/>
          <w:sz w:val="24"/>
        </w:rPr>
        <w:t> </w:t>
      </w:r>
      <w:r>
        <w:rPr>
          <w:sz w:val="24"/>
        </w:rPr>
        <w:t>Corporation</w:t>
      </w:r>
      <w:r>
        <w:rPr>
          <w:spacing w:val="40"/>
          <w:sz w:val="24"/>
        </w:rPr>
        <w:t> </w:t>
      </w:r>
      <w:r>
        <w:rPr>
          <w:sz w:val="24"/>
        </w:rPr>
        <w:t>or</w:t>
      </w:r>
      <w:r>
        <w:rPr>
          <w:spacing w:val="40"/>
          <w:sz w:val="24"/>
        </w:rPr>
        <w:t> </w:t>
      </w:r>
      <w:r>
        <w:rPr>
          <w:sz w:val="24"/>
        </w:rPr>
        <w:t>the</w:t>
      </w:r>
      <w:r>
        <w:rPr>
          <w:spacing w:val="40"/>
          <w:sz w:val="24"/>
        </w:rPr>
        <w:t> </w:t>
      </w:r>
      <w:r>
        <w:rPr>
          <w:sz w:val="24"/>
        </w:rPr>
        <w:t>Bombay</w:t>
      </w:r>
      <w:r>
        <w:rPr>
          <w:spacing w:val="40"/>
          <w:sz w:val="24"/>
        </w:rPr>
        <w:t> </w:t>
      </w:r>
      <w:r>
        <w:rPr>
          <w:sz w:val="24"/>
        </w:rPr>
        <w:t>Housing</w:t>
      </w:r>
      <w:r>
        <w:rPr>
          <w:spacing w:val="40"/>
          <w:sz w:val="24"/>
        </w:rPr>
        <w:t> </w:t>
      </w:r>
      <w:r>
        <w:rPr>
          <w:sz w:val="24"/>
        </w:rPr>
        <w:t>and</w:t>
      </w:r>
      <w:r>
        <w:rPr>
          <w:spacing w:val="40"/>
          <w:sz w:val="24"/>
        </w:rPr>
        <w:t> </w:t>
      </w:r>
      <w:r>
        <w:rPr>
          <w:sz w:val="24"/>
        </w:rPr>
        <w:t>Area</w:t>
      </w:r>
      <w:r>
        <w:rPr>
          <w:spacing w:val="80"/>
          <w:sz w:val="24"/>
        </w:rPr>
        <w:t> </w:t>
      </w:r>
      <w:r>
        <w:rPr>
          <w:sz w:val="24"/>
        </w:rPr>
        <w:t>Development</w:t>
      </w:r>
      <w:r>
        <w:rPr>
          <w:spacing w:val="40"/>
          <w:sz w:val="24"/>
        </w:rPr>
        <w:t> </w:t>
      </w:r>
      <w:r>
        <w:rPr>
          <w:sz w:val="24"/>
        </w:rPr>
        <w:t>Board</w:t>
      </w:r>
      <w:r>
        <w:rPr>
          <w:spacing w:val="40"/>
          <w:sz w:val="24"/>
        </w:rPr>
        <w:t> </w:t>
      </w:r>
      <w:r>
        <w:rPr>
          <w:sz w:val="24"/>
        </w:rPr>
        <w:t>and for</w:t>
      </w:r>
      <w:r>
        <w:rPr>
          <w:spacing w:val="40"/>
          <w:sz w:val="24"/>
        </w:rPr>
        <w:t> </w:t>
      </w:r>
      <w:r>
        <w:rPr>
          <w:sz w:val="24"/>
        </w:rPr>
        <w:t>which</w:t>
      </w:r>
      <w:r>
        <w:rPr>
          <w:spacing w:val="40"/>
          <w:sz w:val="24"/>
        </w:rPr>
        <w:t> </w:t>
      </w:r>
      <w:r>
        <w:rPr>
          <w:sz w:val="24"/>
        </w:rPr>
        <w:t>the</w:t>
      </w:r>
      <w:r>
        <w:rPr>
          <w:spacing w:val="40"/>
          <w:sz w:val="24"/>
        </w:rPr>
        <w:t> </w:t>
      </w:r>
      <w:r>
        <w:rPr>
          <w:sz w:val="24"/>
        </w:rPr>
        <w:t>necessary</w:t>
      </w:r>
      <w:r>
        <w:rPr>
          <w:spacing w:val="40"/>
          <w:sz w:val="24"/>
        </w:rPr>
        <w:t> </w:t>
      </w:r>
      <w:r>
        <w:rPr>
          <w:sz w:val="24"/>
        </w:rPr>
        <w:t>certificate</w:t>
      </w:r>
      <w:r>
        <w:rPr>
          <w:spacing w:val="40"/>
          <w:sz w:val="24"/>
        </w:rPr>
        <w:t> </w:t>
      </w:r>
      <w:r>
        <w:rPr>
          <w:sz w:val="24"/>
        </w:rPr>
        <w:t>has</w:t>
      </w:r>
      <w:r>
        <w:rPr>
          <w:spacing w:val="40"/>
          <w:sz w:val="24"/>
        </w:rPr>
        <w:t> </w:t>
      </w:r>
      <w:r>
        <w:rPr>
          <w:sz w:val="24"/>
        </w:rPr>
        <w:t>been</w:t>
      </w:r>
      <w:r>
        <w:rPr>
          <w:spacing w:val="40"/>
          <w:sz w:val="24"/>
        </w:rPr>
        <w:t> </w:t>
      </w:r>
      <w:r>
        <w:rPr>
          <w:sz w:val="24"/>
        </w:rPr>
        <w:t>given</w:t>
      </w:r>
      <w:r>
        <w:rPr>
          <w:spacing w:val="40"/>
          <w:sz w:val="24"/>
        </w:rPr>
        <w:t> </w:t>
      </w:r>
      <w:r>
        <w:rPr>
          <w:sz w:val="24"/>
        </w:rPr>
        <w:t>by</w:t>
      </w:r>
      <w:r>
        <w:rPr>
          <w:spacing w:val="40"/>
          <w:sz w:val="24"/>
        </w:rPr>
        <w:t> </w:t>
      </w:r>
      <w:r>
        <w:rPr>
          <w:sz w:val="24"/>
        </w:rPr>
        <w:t>either</w:t>
      </w:r>
      <w:r>
        <w:rPr>
          <w:spacing w:val="40"/>
          <w:sz w:val="24"/>
        </w:rPr>
        <w:t> </w:t>
      </w:r>
      <w:r>
        <w:rPr>
          <w:sz w:val="24"/>
        </w:rPr>
        <w:t>the</w:t>
      </w:r>
      <w:r>
        <w:rPr>
          <w:spacing w:val="40"/>
          <w:sz w:val="24"/>
        </w:rPr>
        <w:t> </w:t>
      </w:r>
      <w:r>
        <w:rPr>
          <w:sz w:val="24"/>
        </w:rPr>
        <w:t>said Corporation</w:t>
      </w:r>
      <w:r>
        <w:rPr>
          <w:spacing w:val="40"/>
          <w:sz w:val="24"/>
        </w:rPr>
        <w:t> </w:t>
      </w:r>
      <w:r>
        <w:rPr>
          <w:sz w:val="24"/>
        </w:rPr>
        <w:t>or</w:t>
      </w:r>
      <w:r>
        <w:rPr>
          <w:spacing w:val="40"/>
          <w:sz w:val="24"/>
        </w:rPr>
        <w:t> </w:t>
      </w:r>
      <w:r>
        <w:rPr>
          <w:sz w:val="24"/>
        </w:rPr>
        <w:t>the</w:t>
      </w:r>
      <w:r>
        <w:rPr>
          <w:spacing w:val="40"/>
          <w:sz w:val="24"/>
        </w:rPr>
        <w:t> </w:t>
      </w:r>
      <w:r>
        <w:rPr>
          <w:sz w:val="24"/>
        </w:rPr>
        <w:t>Board</w:t>
      </w:r>
      <w:r>
        <w:rPr>
          <w:spacing w:val="40"/>
          <w:sz w:val="24"/>
        </w:rPr>
        <w:t> </w:t>
      </w:r>
      <w:r>
        <w:rPr>
          <w:sz w:val="24"/>
        </w:rPr>
        <w:t>shall</w:t>
      </w:r>
      <w:r>
        <w:rPr>
          <w:spacing w:val="40"/>
          <w:sz w:val="24"/>
        </w:rPr>
        <w:t> </w:t>
      </w:r>
      <w:r>
        <w:rPr>
          <w:sz w:val="24"/>
        </w:rPr>
        <w:t>be</w:t>
      </w:r>
      <w:r>
        <w:rPr>
          <w:spacing w:val="40"/>
          <w:sz w:val="24"/>
        </w:rPr>
        <w:t> </w:t>
      </w:r>
      <w:r>
        <w:rPr>
          <w:sz w:val="24"/>
        </w:rPr>
        <w:t>allowed</w:t>
      </w:r>
      <w:r>
        <w:rPr>
          <w:spacing w:val="40"/>
          <w:sz w:val="24"/>
        </w:rPr>
        <w:t> </w:t>
      </w:r>
      <w:r>
        <w:rPr>
          <w:sz w:val="24"/>
        </w:rPr>
        <w:t>.</w:t>
      </w:r>
    </w:p>
    <w:p>
      <w:pPr>
        <w:pStyle w:val="ListParagraph"/>
        <w:spacing w:after="0" w:line="240" w:lineRule="auto"/>
        <w:jc w:val="both"/>
        <w:rPr>
          <w:sz w:val="24"/>
        </w:rPr>
        <w:sectPr>
          <w:pgSz w:w="11910" w:h="16840"/>
          <w:pgMar w:header="1058" w:footer="1357" w:top="1500" w:bottom="1540" w:left="360" w:right="360"/>
        </w:sectPr>
      </w:pPr>
    </w:p>
    <w:p>
      <w:pPr>
        <w:pStyle w:val="BodyText"/>
        <w:spacing w:before="254"/>
        <w:jc w:val="left"/>
      </w:pPr>
    </w:p>
    <w:p>
      <w:pPr>
        <w:pStyle w:val="ListParagraph"/>
        <w:numPr>
          <w:ilvl w:val="1"/>
          <w:numId w:val="10"/>
        </w:numPr>
        <w:tabs>
          <w:tab w:pos="1345" w:val="left" w:leader="none"/>
        </w:tabs>
        <w:spacing w:line="240" w:lineRule="auto" w:before="0" w:after="0"/>
        <w:ind w:left="883" w:right="787" w:firstLine="0"/>
        <w:jc w:val="both"/>
        <w:rPr>
          <w:sz w:val="24"/>
        </w:rPr>
      </w:pPr>
      <w:r>
        <w:rPr>
          <w:b/>
          <w:i/>
          <w:sz w:val="24"/>
        </w:rPr>
        <w:t>Exclusions: </w:t>
      </w:r>
      <w:r>
        <w:rPr>
          <w:sz w:val="24"/>
        </w:rPr>
        <w:t>Nothing in these Regulations shall require the removal, alteration or abandonment or prevent the continuance of the lawfully</w:t>
      </w:r>
      <w:r>
        <w:rPr>
          <w:spacing w:val="40"/>
          <w:sz w:val="24"/>
        </w:rPr>
        <w:t> </w:t>
      </w:r>
      <w:r>
        <w:rPr>
          <w:sz w:val="24"/>
        </w:rPr>
        <w:t>established</w:t>
      </w:r>
      <w:r>
        <w:rPr>
          <w:spacing w:val="40"/>
          <w:sz w:val="24"/>
        </w:rPr>
        <w:t> </w:t>
      </w:r>
      <w:r>
        <w:rPr>
          <w:sz w:val="24"/>
        </w:rPr>
        <w:t>use</w:t>
      </w:r>
      <w:r>
        <w:rPr>
          <w:spacing w:val="40"/>
          <w:sz w:val="24"/>
        </w:rPr>
        <w:t> </w:t>
      </w:r>
      <w:r>
        <w:rPr>
          <w:sz w:val="24"/>
        </w:rPr>
        <w:t>or</w:t>
      </w:r>
      <w:r>
        <w:rPr>
          <w:spacing w:val="40"/>
          <w:sz w:val="24"/>
        </w:rPr>
        <w:t> </w:t>
      </w:r>
      <w:r>
        <w:rPr>
          <w:sz w:val="24"/>
        </w:rPr>
        <w:t>occupancy</w:t>
      </w:r>
      <w:r>
        <w:rPr>
          <w:spacing w:val="40"/>
          <w:sz w:val="24"/>
        </w:rPr>
        <w:t> </w:t>
      </w:r>
      <w:r>
        <w:rPr>
          <w:sz w:val="24"/>
        </w:rPr>
        <w:t>of</w:t>
      </w:r>
      <w:r>
        <w:rPr>
          <w:spacing w:val="40"/>
          <w:sz w:val="24"/>
        </w:rPr>
        <w:t> </w:t>
      </w:r>
      <w:r>
        <w:rPr>
          <w:sz w:val="24"/>
        </w:rPr>
        <w:t>an</w:t>
      </w:r>
      <w:r>
        <w:rPr>
          <w:spacing w:val="40"/>
          <w:sz w:val="24"/>
        </w:rPr>
        <w:t> </w:t>
      </w:r>
      <w:r>
        <w:rPr>
          <w:sz w:val="24"/>
        </w:rPr>
        <w:t>existing</w:t>
      </w:r>
      <w:r>
        <w:rPr>
          <w:spacing w:val="40"/>
          <w:sz w:val="24"/>
        </w:rPr>
        <w:t> </w:t>
      </w:r>
      <w:r>
        <w:rPr>
          <w:sz w:val="24"/>
        </w:rPr>
        <w:t>building</w:t>
      </w:r>
      <w:r>
        <w:rPr>
          <w:spacing w:val="40"/>
          <w:sz w:val="24"/>
        </w:rPr>
        <w:t> </w:t>
      </w:r>
      <w:r>
        <w:rPr>
          <w:sz w:val="24"/>
        </w:rPr>
        <w:t>or</w:t>
      </w:r>
      <w:r>
        <w:rPr>
          <w:spacing w:val="40"/>
          <w:sz w:val="24"/>
        </w:rPr>
        <w:t> </w:t>
      </w:r>
      <w:r>
        <w:rPr>
          <w:sz w:val="24"/>
        </w:rPr>
        <w:t>its</w:t>
      </w:r>
      <w:r>
        <w:rPr>
          <w:spacing w:val="40"/>
          <w:sz w:val="24"/>
        </w:rPr>
        <w:t> </w:t>
      </w:r>
      <w:r>
        <w:rPr>
          <w:sz w:val="24"/>
        </w:rPr>
        <w:t>use</w:t>
      </w:r>
      <w:r>
        <w:rPr>
          <w:spacing w:val="40"/>
          <w:sz w:val="24"/>
        </w:rPr>
        <w:t> </w:t>
      </w:r>
      <w:r>
        <w:rPr>
          <w:sz w:val="24"/>
        </w:rPr>
        <w:t>unless,</w:t>
      </w:r>
      <w:r>
        <w:rPr>
          <w:spacing w:val="40"/>
          <w:sz w:val="24"/>
        </w:rPr>
        <w:t> </w:t>
      </w:r>
      <w:r>
        <w:rPr>
          <w:sz w:val="24"/>
        </w:rPr>
        <w:t>in</w:t>
      </w:r>
      <w:r>
        <w:rPr>
          <w:spacing w:val="80"/>
          <w:w w:val="150"/>
          <w:sz w:val="24"/>
        </w:rPr>
        <w:t> </w:t>
      </w:r>
      <w:r>
        <w:rPr>
          <w:sz w:val="24"/>
        </w:rPr>
        <w:t>the opinion of the Commissioner, such a building is unsafe or constitutes a hazard</w:t>
      </w:r>
      <w:r>
        <w:rPr>
          <w:spacing w:val="40"/>
          <w:sz w:val="24"/>
        </w:rPr>
        <w:t> </w:t>
      </w:r>
      <w:r>
        <w:rPr>
          <w:sz w:val="24"/>
        </w:rPr>
        <w:t>to</w:t>
      </w:r>
      <w:r>
        <w:rPr>
          <w:spacing w:val="40"/>
          <w:sz w:val="24"/>
        </w:rPr>
        <w:t> </w:t>
      </w:r>
      <w:r>
        <w:rPr>
          <w:sz w:val="24"/>
        </w:rPr>
        <w:t>the</w:t>
      </w:r>
      <w:r>
        <w:rPr>
          <w:spacing w:val="40"/>
          <w:sz w:val="24"/>
        </w:rPr>
        <w:t> </w:t>
      </w:r>
      <w:r>
        <w:rPr>
          <w:sz w:val="24"/>
        </w:rPr>
        <w:t>safety</w:t>
      </w:r>
      <w:r>
        <w:rPr>
          <w:spacing w:val="40"/>
          <w:sz w:val="24"/>
        </w:rPr>
        <w:t> </w:t>
      </w:r>
      <w:r>
        <w:rPr>
          <w:sz w:val="24"/>
        </w:rPr>
        <w:t>of</w:t>
      </w:r>
      <w:r>
        <w:rPr>
          <w:spacing w:val="40"/>
          <w:sz w:val="24"/>
        </w:rPr>
        <w:t> </w:t>
      </w:r>
      <w:r>
        <w:rPr>
          <w:sz w:val="24"/>
        </w:rPr>
        <w:t>adjacent</w:t>
      </w:r>
      <w:r>
        <w:rPr>
          <w:spacing w:val="40"/>
          <w:sz w:val="24"/>
        </w:rPr>
        <w:t> </w:t>
      </w:r>
      <w:r>
        <w:rPr>
          <w:spacing w:val="9"/>
          <w:sz w:val="24"/>
        </w:rPr>
        <w:t>property.</w:t>
      </w:r>
    </w:p>
    <w:p>
      <w:pPr>
        <w:pStyle w:val="Heading3"/>
        <w:numPr>
          <w:ilvl w:val="0"/>
          <w:numId w:val="10"/>
        </w:numPr>
        <w:tabs>
          <w:tab w:pos="1866" w:val="left" w:leader="none"/>
        </w:tabs>
        <w:spacing w:line="240" w:lineRule="auto" w:before="238" w:after="0"/>
        <w:ind w:left="1866" w:right="0" w:hanging="1074"/>
        <w:jc w:val="both"/>
      </w:pPr>
      <w:r>
        <w:rPr>
          <w:spacing w:val="-2"/>
        </w:rPr>
        <w:t>Interpretation</w:t>
      </w:r>
    </w:p>
    <w:p>
      <w:pPr>
        <w:pStyle w:val="ListParagraph"/>
        <w:numPr>
          <w:ilvl w:val="1"/>
          <w:numId w:val="10"/>
        </w:numPr>
        <w:tabs>
          <w:tab w:pos="1947" w:val="left" w:leader="none"/>
        </w:tabs>
        <w:spacing w:line="240" w:lineRule="auto" w:before="285" w:after="0"/>
        <w:ind w:left="864" w:right="774" w:firstLine="19"/>
        <w:jc w:val="both"/>
        <w:rPr>
          <w:sz w:val="24"/>
        </w:rPr>
      </w:pPr>
      <w:r>
        <w:rPr>
          <w:sz w:val="24"/>
        </w:rPr>
        <w:t>In</w:t>
      </w:r>
      <w:r>
        <w:rPr>
          <w:spacing w:val="40"/>
          <w:sz w:val="24"/>
        </w:rPr>
        <w:t> </w:t>
      </w:r>
      <w:r>
        <w:rPr>
          <w:sz w:val="24"/>
        </w:rPr>
        <w:t>these</w:t>
      </w:r>
      <w:r>
        <w:rPr>
          <w:spacing w:val="40"/>
          <w:sz w:val="24"/>
        </w:rPr>
        <w:t> </w:t>
      </w:r>
      <w:r>
        <w:rPr>
          <w:sz w:val="24"/>
        </w:rPr>
        <w:t>Regulations,</w:t>
      </w:r>
      <w:r>
        <w:rPr>
          <w:spacing w:val="40"/>
          <w:sz w:val="24"/>
        </w:rPr>
        <w:t> </w:t>
      </w:r>
      <w:r>
        <w:rPr>
          <w:sz w:val="24"/>
        </w:rPr>
        <w:t>the</w:t>
      </w:r>
      <w:r>
        <w:rPr>
          <w:spacing w:val="40"/>
          <w:sz w:val="24"/>
        </w:rPr>
        <w:t> </w:t>
      </w:r>
      <w:r>
        <w:rPr>
          <w:sz w:val="24"/>
        </w:rPr>
        <w:t>use</w:t>
      </w:r>
      <w:r>
        <w:rPr>
          <w:spacing w:val="40"/>
          <w:sz w:val="24"/>
        </w:rPr>
        <w:t> </w:t>
      </w:r>
      <w:r>
        <w:rPr>
          <w:sz w:val="24"/>
        </w:rPr>
        <w:t>of</w:t>
      </w:r>
      <w:r>
        <w:rPr>
          <w:spacing w:val="40"/>
          <w:sz w:val="24"/>
        </w:rPr>
        <w:t> </w:t>
      </w:r>
      <w:r>
        <w:rPr>
          <w:sz w:val="24"/>
        </w:rPr>
        <w:t>the</w:t>
      </w:r>
      <w:r>
        <w:rPr>
          <w:spacing w:val="40"/>
          <w:sz w:val="24"/>
        </w:rPr>
        <w:t> </w:t>
      </w:r>
      <w:r>
        <w:rPr>
          <w:sz w:val="24"/>
        </w:rPr>
        <w:t>present</w:t>
      </w:r>
      <w:r>
        <w:rPr>
          <w:spacing w:val="40"/>
          <w:sz w:val="24"/>
        </w:rPr>
        <w:t> </w:t>
      </w:r>
      <w:r>
        <w:rPr>
          <w:sz w:val="24"/>
        </w:rPr>
        <w:t>tense</w:t>
      </w:r>
      <w:r>
        <w:rPr>
          <w:spacing w:val="40"/>
          <w:sz w:val="24"/>
        </w:rPr>
        <w:t> </w:t>
      </w:r>
      <w:r>
        <w:rPr>
          <w:sz w:val="24"/>
        </w:rPr>
        <w:t>includes</w:t>
      </w:r>
      <w:r>
        <w:rPr>
          <w:spacing w:val="40"/>
          <w:sz w:val="24"/>
        </w:rPr>
        <w:t> </w:t>
      </w:r>
      <w:r>
        <w:rPr>
          <w:sz w:val="24"/>
        </w:rPr>
        <w:t>the future</w:t>
      </w:r>
      <w:r>
        <w:rPr>
          <w:spacing w:val="40"/>
          <w:sz w:val="24"/>
        </w:rPr>
        <w:t> </w:t>
      </w:r>
      <w:r>
        <w:rPr>
          <w:sz w:val="24"/>
        </w:rPr>
        <w:t>tense,</w:t>
      </w:r>
      <w:r>
        <w:rPr>
          <w:spacing w:val="80"/>
          <w:sz w:val="24"/>
        </w:rPr>
        <w:t> </w:t>
      </w:r>
      <w:r>
        <w:rPr>
          <w:sz w:val="24"/>
        </w:rPr>
        <w:t>the</w:t>
      </w:r>
      <w:r>
        <w:rPr>
          <w:spacing w:val="80"/>
          <w:sz w:val="24"/>
        </w:rPr>
        <w:t> </w:t>
      </w:r>
      <w:r>
        <w:rPr>
          <w:sz w:val="24"/>
        </w:rPr>
        <w:t>masculine</w:t>
      </w:r>
      <w:r>
        <w:rPr>
          <w:spacing w:val="40"/>
          <w:sz w:val="24"/>
        </w:rPr>
        <w:t> </w:t>
      </w:r>
      <w:r>
        <w:rPr>
          <w:sz w:val="24"/>
        </w:rPr>
        <w:t>gender</w:t>
      </w:r>
      <w:r>
        <w:rPr>
          <w:spacing w:val="40"/>
          <w:sz w:val="24"/>
        </w:rPr>
        <w:t> </w:t>
      </w:r>
      <w:r>
        <w:rPr>
          <w:sz w:val="24"/>
        </w:rPr>
        <w:t>includes</w:t>
      </w:r>
      <w:r>
        <w:rPr>
          <w:spacing w:val="40"/>
          <w:sz w:val="24"/>
        </w:rPr>
        <w:t> </w:t>
      </w:r>
      <w:r>
        <w:rPr>
          <w:sz w:val="24"/>
        </w:rPr>
        <w:t>the</w:t>
      </w:r>
      <w:r>
        <w:rPr>
          <w:spacing w:val="40"/>
          <w:sz w:val="24"/>
        </w:rPr>
        <w:t> </w:t>
      </w:r>
      <w:r>
        <w:rPr>
          <w:sz w:val="24"/>
        </w:rPr>
        <w:t>feminine</w:t>
      </w:r>
      <w:r>
        <w:rPr>
          <w:spacing w:val="40"/>
          <w:sz w:val="24"/>
        </w:rPr>
        <w:t> </w:t>
      </w:r>
      <w:r>
        <w:rPr>
          <w:sz w:val="24"/>
        </w:rPr>
        <w:t>and</w:t>
      </w:r>
      <w:r>
        <w:rPr>
          <w:spacing w:val="40"/>
          <w:sz w:val="24"/>
        </w:rPr>
        <w:t> </w:t>
      </w:r>
      <w:r>
        <w:rPr>
          <w:sz w:val="24"/>
        </w:rPr>
        <w:t>neuter</w:t>
      </w:r>
      <w:r>
        <w:rPr>
          <w:spacing w:val="40"/>
          <w:sz w:val="24"/>
        </w:rPr>
        <w:t> </w:t>
      </w:r>
      <w:r>
        <w:rPr>
          <w:sz w:val="24"/>
        </w:rPr>
        <w:t>genders,</w:t>
      </w:r>
      <w:r>
        <w:rPr>
          <w:spacing w:val="80"/>
          <w:sz w:val="24"/>
        </w:rPr>
        <w:t> </w:t>
      </w:r>
      <w:r>
        <w:rPr>
          <w:sz w:val="24"/>
        </w:rPr>
        <w:t>the</w:t>
      </w:r>
      <w:r>
        <w:rPr>
          <w:spacing w:val="80"/>
          <w:sz w:val="24"/>
        </w:rPr>
        <w:t> </w:t>
      </w:r>
      <w:r>
        <w:rPr>
          <w:sz w:val="24"/>
        </w:rPr>
        <w:t>singular</w:t>
      </w:r>
      <w:r>
        <w:rPr>
          <w:spacing w:val="40"/>
          <w:sz w:val="24"/>
        </w:rPr>
        <w:t> </w:t>
      </w:r>
      <w:r>
        <w:rPr>
          <w:sz w:val="24"/>
        </w:rPr>
        <w:t>number</w:t>
      </w:r>
      <w:r>
        <w:rPr>
          <w:spacing w:val="40"/>
          <w:sz w:val="24"/>
        </w:rPr>
        <w:t> </w:t>
      </w:r>
      <w:r>
        <w:rPr>
          <w:sz w:val="24"/>
        </w:rPr>
        <w:t>includes</w:t>
      </w:r>
      <w:r>
        <w:rPr>
          <w:spacing w:val="40"/>
          <w:sz w:val="24"/>
        </w:rPr>
        <w:t> </w:t>
      </w:r>
      <w:r>
        <w:rPr>
          <w:sz w:val="24"/>
        </w:rPr>
        <w:t>the</w:t>
      </w:r>
      <w:r>
        <w:rPr>
          <w:spacing w:val="80"/>
          <w:sz w:val="24"/>
        </w:rPr>
        <w:t> </w:t>
      </w:r>
      <w:r>
        <w:rPr>
          <w:sz w:val="24"/>
        </w:rPr>
        <w:t>plural</w:t>
      </w:r>
      <w:r>
        <w:rPr>
          <w:spacing w:val="80"/>
          <w:sz w:val="24"/>
        </w:rPr>
        <w:t> </w:t>
      </w:r>
      <w:r>
        <w:rPr>
          <w:sz w:val="24"/>
        </w:rPr>
        <w:t>number</w:t>
      </w:r>
      <w:r>
        <w:rPr>
          <w:spacing w:val="40"/>
          <w:sz w:val="24"/>
        </w:rPr>
        <w:t> </w:t>
      </w:r>
      <w:r>
        <w:rPr>
          <w:sz w:val="24"/>
        </w:rPr>
        <w:t>and</w:t>
      </w:r>
      <w:r>
        <w:rPr>
          <w:spacing w:val="40"/>
          <w:sz w:val="24"/>
        </w:rPr>
        <w:t> </w:t>
      </w:r>
      <w:r>
        <w:rPr>
          <w:spacing w:val="9"/>
          <w:sz w:val="24"/>
        </w:rPr>
        <w:t>plural </w:t>
      </w:r>
      <w:r>
        <w:rPr>
          <w:sz w:val="24"/>
        </w:rPr>
        <w:t>number</w:t>
      </w:r>
      <w:r>
        <w:rPr>
          <w:spacing w:val="80"/>
          <w:sz w:val="24"/>
        </w:rPr>
        <w:t> </w:t>
      </w:r>
      <w:r>
        <w:rPr>
          <w:sz w:val="24"/>
        </w:rPr>
        <w:t>includes</w:t>
      </w:r>
      <w:r>
        <w:rPr>
          <w:spacing w:val="80"/>
          <w:sz w:val="24"/>
        </w:rPr>
        <w:t> </w:t>
      </w:r>
      <w:r>
        <w:rPr>
          <w:sz w:val="24"/>
        </w:rPr>
        <w:t>singular</w:t>
      </w:r>
      <w:r>
        <w:rPr>
          <w:spacing w:val="80"/>
          <w:sz w:val="24"/>
        </w:rPr>
        <w:t> </w:t>
      </w:r>
      <w:r>
        <w:rPr>
          <w:sz w:val="24"/>
        </w:rPr>
        <w:t>number.</w:t>
      </w:r>
      <w:r>
        <w:rPr>
          <w:spacing w:val="80"/>
          <w:sz w:val="24"/>
        </w:rPr>
        <w:t> </w:t>
      </w:r>
      <w:r>
        <w:rPr>
          <w:sz w:val="24"/>
        </w:rPr>
        <w:t>The</w:t>
      </w:r>
      <w:r>
        <w:rPr>
          <w:spacing w:val="80"/>
          <w:sz w:val="24"/>
        </w:rPr>
        <w:t> </w:t>
      </w:r>
      <w:r>
        <w:rPr>
          <w:sz w:val="24"/>
        </w:rPr>
        <w:t>word</w:t>
      </w:r>
      <w:r>
        <w:rPr>
          <w:spacing w:val="80"/>
          <w:sz w:val="24"/>
        </w:rPr>
        <w:t> </w:t>
      </w:r>
      <w:r>
        <w:rPr>
          <w:sz w:val="24"/>
        </w:rPr>
        <w:t>"person"</w:t>
      </w:r>
      <w:r>
        <w:rPr>
          <w:spacing w:val="80"/>
          <w:sz w:val="24"/>
        </w:rPr>
        <w:t> </w:t>
      </w:r>
      <w:r>
        <w:rPr>
          <w:sz w:val="24"/>
        </w:rPr>
        <w:t>includes</w:t>
      </w:r>
      <w:r>
        <w:rPr>
          <w:spacing w:val="80"/>
          <w:sz w:val="24"/>
        </w:rPr>
        <w:t> </w:t>
      </w:r>
      <w:r>
        <w:rPr>
          <w:sz w:val="24"/>
        </w:rPr>
        <w:t>a corporation as well as an individual; "writing" includes printing, typing, </w:t>
      </w:r>
      <w:r>
        <w:rPr>
          <w:spacing w:val="13"/>
          <w:sz w:val="24"/>
        </w:rPr>
        <w:t>e- </w:t>
      </w:r>
      <w:r>
        <w:rPr>
          <w:sz w:val="24"/>
        </w:rPr>
        <w:t>communication and "signature" includes </w:t>
      </w:r>
      <w:r>
        <w:rPr>
          <w:spacing w:val="11"/>
          <w:sz w:val="24"/>
        </w:rPr>
        <w:t>e-</w:t>
      </w:r>
      <w:r>
        <w:rPr>
          <w:sz w:val="24"/>
        </w:rPr>
        <w:t>signature, digital signature and thumb</w:t>
      </w:r>
      <w:r>
        <w:rPr>
          <w:spacing w:val="40"/>
          <w:sz w:val="24"/>
        </w:rPr>
        <w:t> </w:t>
      </w:r>
      <w:r>
        <w:rPr>
          <w:sz w:val="24"/>
        </w:rPr>
        <w:t>impression</w:t>
      </w:r>
      <w:r>
        <w:rPr>
          <w:spacing w:val="40"/>
          <w:sz w:val="24"/>
        </w:rPr>
        <w:t> </w:t>
      </w:r>
      <w:r>
        <w:rPr>
          <w:sz w:val="24"/>
        </w:rPr>
        <w:t>of</w:t>
      </w:r>
      <w:r>
        <w:rPr>
          <w:spacing w:val="40"/>
          <w:sz w:val="24"/>
        </w:rPr>
        <w:t> </w:t>
      </w:r>
      <w:r>
        <w:rPr>
          <w:sz w:val="24"/>
        </w:rPr>
        <w:t>a</w:t>
      </w:r>
      <w:r>
        <w:rPr>
          <w:spacing w:val="40"/>
          <w:sz w:val="24"/>
        </w:rPr>
        <w:t> </w:t>
      </w:r>
      <w:r>
        <w:rPr>
          <w:sz w:val="24"/>
        </w:rPr>
        <w:t>person</w:t>
      </w:r>
      <w:r>
        <w:rPr>
          <w:spacing w:val="40"/>
          <w:sz w:val="24"/>
        </w:rPr>
        <w:t> </w:t>
      </w:r>
      <w:r>
        <w:rPr>
          <w:sz w:val="24"/>
        </w:rPr>
        <w:t>unable</w:t>
      </w:r>
      <w:r>
        <w:rPr>
          <w:spacing w:val="40"/>
          <w:sz w:val="24"/>
        </w:rPr>
        <w:t> </w:t>
      </w:r>
      <w:r>
        <w:rPr>
          <w:sz w:val="24"/>
        </w:rPr>
        <w:t>to</w:t>
      </w:r>
      <w:r>
        <w:rPr>
          <w:spacing w:val="40"/>
          <w:sz w:val="24"/>
        </w:rPr>
        <w:t> </w:t>
      </w:r>
      <w:r>
        <w:rPr>
          <w:sz w:val="24"/>
        </w:rPr>
        <w:t>sign,</w:t>
      </w:r>
      <w:r>
        <w:rPr>
          <w:spacing w:val="40"/>
          <w:sz w:val="24"/>
        </w:rPr>
        <w:t> </w:t>
      </w:r>
      <w:r>
        <w:rPr>
          <w:sz w:val="24"/>
        </w:rPr>
        <w:t>provided</w:t>
      </w:r>
      <w:r>
        <w:rPr>
          <w:spacing w:val="40"/>
          <w:sz w:val="24"/>
        </w:rPr>
        <w:t> </w:t>
      </w:r>
      <w:r>
        <w:rPr>
          <w:sz w:val="24"/>
        </w:rPr>
        <w:t>that</w:t>
      </w:r>
      <w:r>
        <w:rPr>
          <w:spacing w:val="40"/>
          <w:sz w:val="24"/>
        </w:rPr>
        <w:t> </w:t>
      </w:r>
      <w:r>
        <w:rPr>
          <w:sz w:val="24"/>
        </w:rPr>
        <w:t>his</w:t>
      </w:r>
      <w:r>
        <w:rPr>
          <w:spacing w:val="40"/>
          <w:sz w:val="24"/>
        </w:rPr>
        <w:t> </w:t>
      </w:r>
      <w:r>
        <w:rPr>
          <w:sz w:val="24"/>
        </w:rPr>
        <w:t>name</w:t>
      </w:r>
      <w:r>
        <w:rPr>
          <w:spacing w:val="40"/>
          <w:sz w:val="24"/>
        </w:rPr>
        <w:t> </w:t>
      </w:r>
      <w:r>
        <w:rPr>
          <w:sz w:val="24"/>
        </w:rPr>
        <w:t>is written below such </w:t>
      </w:r>
      <w:r>
        <w:rPr>
          <w:spacing w:val="9"/>
          <w:sz w:val="24"/>
        </w:rPr>
        <w:t>impression.</w:t>
      </w:r>
    </w:p>
    <w:p>
      <w:pPr>
        <w:pStyle w:val="BodyText"/>
        <w:spacing w:before="2"/>
        <w:jc w:val="left"/>
      </w:pPr>
    </w:p>
    <w:p>
      <w:pPr>
        <w:pStyle w:val="ListParagraph"/>
        <w:numPr>
          <w:ilvl w:val="1"/>
          <w:numId w:val="10"/>
        </w:numPr>
        <w:tabs>
          <w:tab w:pos="1947" w:val="left" w:leader="none"/>
        </w:tabs>
        <w:spacing w:line="240" w:lineRule="auto" w:before="0" w:after="0"/>
        <w:ind w:left="864" w:right="777" w:firstLine="19"/>
        <w:jc w:val="both"/>
        <w:rPr>
          <w:sz w:val="24"/>
        </w:rPr>
      </w:pPr>
      <w:r>
        <w:rPr>
          <w:sz w:val="24"/>
        </w:rPr>
        <w:t>Sizes</w:t>
      </w:r>
      <w:r>
        <w:rPr>
          <w:spacing w:val="40"/>
          <w:sz w:val="24"/>
        </w:rPr>
        <w:t> </w:t>
      </w:r>
      <w:r>
        <w:rPr>
          <w:sz w:val="24"/>
        </w:rPr>
        <w:t>and</w:t>
      </w:r>
      <w:r>
        <w:rPr>
          <w:spacing w:val="40"/>
          <w:sz w:val="24"/>
        </w:rPr>
        <w:t> </w:t>
      </w:r>
      <w:r>
        <w:rPr>
          <w:spacing w:val="9"/>
          <w:sz w:val="24"/>
        </w:rPr>
        <w:t>Dimensions:</w:t>
      </w:r>
      <w:r>
        <w:rPr>
          <w:spacing w:val="40"/>
          <w:sz w:val="24"/>
        </w:rPr>
        <w:t> </w:t>
      </w:r>
      <w:r>
        <w:rPr>
          <w:sz w:val="24"/>
        </w:rPr>
        <w:t>Wherever</w:t>
      </w:r>
      <w:r>
        <w:rPr>
          <w:spacing w:val="40"/>
          <w:sz w:val="24"/>
        </w:rPr>
        <w:t> </w:t>
      </w:r>
      <w:r>
        <w:rPr>
          <w:sz w:val="24"/>
        </w:rPr>
        <w:t>sizes</w:t>
      </w:r>
      <w:r>
        <w:rPr>
          <w:spacing w:val="40"/>
          <w:sz w:val="24"/>
        </w:rPr>
        <w:t> </w:t>
      </w:r>
      <w:r>
        <w:rPr>
          <w:sz w:val="24"/>
        </w:rPr>
        <w:t>and</w:t>
      </w:r>
      <w:r>
        <w:rPr>
          <w:spacing w:val="40"/>
          <w:sz w:val="24"/>
        </w:rPr>
        <w:t> </w:t>
      </w:r>
      <w:r>
        <w:rPr>
          <w:sz w:val="24"/>
        </w:rPr>
        <w:t>dimensions</w:t>
      </w:r>
      <w:r>
        <w:rPr>
          <w:spacing w:val="40"/>
          <w:sz w:val="24"/>
        </w:rPr>
        <w:t> </w:t>
      </w:r>
      <w:r>
        <w:rPr>
          <w:sz w:val="24"/>
        </w:rPr>
        <w:t>of</w:t>
      </w:r>
      <w:r>
        <w:rPr>
          <w:spacing w:val="40"/>
          <w:sz w:val="24"/>
        </w:rPr>
        <w:t> </w:t>
      </w:r>
      <w:r>
        <w:rPr>
          <w:sz w:val="24"/>
        </w:rPr>
        <w:t>rooms</w:t>
      </w:r>
      <w:r>
        <w:rPr>
          <w:spacing w:val="80"/>
          <w:sz w:val="24"/>
        </w:rPr>
        <w:t> </w:t>
      </w:r>
      <w:r>
        <w:rPr>
          <w:sz w:val="24"/>
        </w:rPr>
        <w:t>and spaces within buildings are specified, they mean the clear </w:t>
      </w:r>
      <w:r>
        <w:rPr>
          <w:spacing w:val="9"/>
          <w:sz w:val="24"/>
        </w:rPr>
        <w:t>dimensions, </w:t>
      </w:r>
      <w:r>
        <w:rPr>
          <w:sz w:val="24"/>
        </w:rPr>
        <w:t>unless</w:t>
      </w:r>
      <w:r>
        <w:rPr>
          <w:spacing w:val="40"/>
          <w:sz w:val="24"/>
        </w:rPr>
        <w:t> </w:t>
      </w:r>
      <w:r>
        <w:rPr>
          <w:sz w:val="24"/>
        </w:rPr>
        <w:t>otherwise</w:t>
      </w:r>
      <w:r>
        <w:rPr>
          <w:spacing w:val="40"/>
          <w:sz w:val="24"/>
        </w:rPr>
        <w:t> </w:t>
      </w:r>
      <w:r>
        <w:rPr>
          <w:sz w:val="24"/>
        </w:rPr>
        <w:t>specified</w:t>
      </w:r>
      <w:r>
        <w:rPr>
          <w:spacing w:val="40"/>
          <w:sz w:val="24"/>
        </w:rPr>
        <w:t> </w:t>
      </w:r>
      <w:r>
        <w:rPr>
          <w:sz w:val="24"/>
        </w:rPr>
        <w:t>in</w:t>
      </w:r>
      <w:r>
        <w:rPr>
          <w:spacing w:val="40"/>
          <w:sz w:val="24"/>
        </w:rPr>
        <w:t> </w:t>
      </w:r>
      <w:r>
        <w:rPr>
          <w:sz w:val="24"/>
        </w:rPr>
        <w:t>these</w:t>
      </w:r>
      <w:r>
        <w:rPr>
          <w:spacing w:val="40"/>
          <w:sz w:val="24"/>
        </w:rPr>
        <w:t> </w:t>
      </w:r>
      <w:r>
        <w:rPr>
          <w:spacing w:val="9"/>
          <w:sz w:val="24"/>
        </w:rPr>
        <w:t>Regulations.</w:t>
      </w:r>
    </w:p>
    <w:p>
      <w:pPr>
        <w:pStyle w:val="ListParagraph"/>
        <w:numPr>
          <w:ilvl w:val="1"/>
          <w:numId w:val="10"/>
        </w:numPr>
        <w:tabs>
          <w:tab w:pos="953" w:val="left" w:leader="none"/>
          <w:tab w:pos="1946" w:val="left" w:leader="none"/>
        </w:tabs>
        <w:spacing w:line="240" w:lineRule="auto" w:before="281" w:after="0"/>
        <w:ind w:left="953" w:right="777" w:hanging="71"/>
        <w:jc w:val="both"/>
        <w:rPr>
          <w:sz w:val="24"/>
        </w:rPr>
      </w:pPr>
      <w:r>
        <w:rPr>
          <w:sz w:val="24"/>
        </w:rPr>
        <w:t>If</w:t>
      </w:r>
      <w:r>
        <w:rPr>
          <w:spacing w:val="40"/>
          <w:sz w:val="24"/>
        </w:rPr>
        <w:t> </w:t>
      </w:r>
      <w:r>
        <w:rPr>
          <w:sz w:val="24"/>
        </w:rPr>
        <w:t>any</w:t>
      </w:r>
      <w:r>
        <w:rPr>
          <w:spacing w:val="40"/>
          <w:sz w:val="24"/>
        </w:rPr>
        <w:t> </w:t>
      </w:r>
      <w:r>
        <w:rPr>
          <w:sz w:val="24"/>
        </w:rPr>
        <w:t>question</w:t>
      </w:r>
      <w:r>
        <w:rPr>
          <w:spacing w:val="40"/>
          <w:sz w:val="24"/>
        </w:rPr>
        <w:t> </w:t>
      </w:r>
      <w:r>
        <w:rPr>
          <w:sz w:val="24"/>
        </w:rPr>
        <w:t>or</w:t>
      </w:r>
      <w:r>
        <w:rPr>
          <w:spacing w:val="40"/>
          <w:sz w:val="24"/>
        </w:rPr>
        <w:t> </w:t>
      </w:r>
      <w:r>
        <w:rPr>
          <w:sz w:val="24"/>
        </w:rPr>
        <w:t>dispute</w:t>
      </w:r>
      <w:r>
        <w:rPr>
          <w:spacing w:val="40"/>
          <w:sz w:val="24"/>
        </w:rPr>
        <w:t> </w:t>
      </w:r>
      <w:r>
        <w:rPr>
          <w:sz w:val="24"/>
        </w:rPr>
        <w:t>arises</w:t>
      </w:r>
      <w:r>
        <w:rPr>
          <w:spacing w:val="40"/>
          <w:sz w:val="24"/>
        </w:rPr>
        <w:t> </w:t>
      </w:r>
      <w:r>
        <w:rPr>
          <w:sz w:val="24"/>
        </w:rPr>
        <w:t>with</w:t>
      </w:r>
      <w:r>
        <w:rPr>
          <w:spacing w:val="40"/>
          <w:sz w:val="24"/>
        </w:rPr>
        <w:t> </w:t>
      </w:r>
      <w:r>
        <w:rPr>
          <w:sz w:val="24"/>
        </w:rPr>
        <w:t>regard</w:t>
      </w:r>
      <w:r>
        <w:rPr>
          <w:spacing w:val="40"/>
          <w:sz w:val="24"/>
        </w:rPr>
        <w:t> </w:t>
      </w:r>
      <w:r>
        <w:rPr>
          <w:sz w:val="24"/>
        </w:rPr>
        <w:t>to</w:t>
      </w:r>
      <w:r>
        <w:rPr>
          <w:spacing w:val="40"/>
          <w:sz w:val="24"/>
        </w:rPr>
        <w:t> </w:t>
      </w:r>
      <w:r>
        <w:rPr>
          <w:sz w:val="24"/>
        </w:rPr>
        <w:t>interpretation</w:t>
      </w:r>
      <w:r>
        <w:rPr>
          <w:spacing w:val="40"/>
          <w:sz w:val="24"/>
        </w:rPr>
        <w:t> </w:t>
      </w:r>
      <w:r>
        <w:rPr>
          <w:sz w:val="24"/>
        </w:rPr>
        <w:t>of any</w:t>
      </w:r>
      <w:r>
        <w:rPr>
          <w:spacing w:val="80"/>
          <w:w w:val="150"/>
          <w:sz w:val="24"/>
        </w:rPr>
        <w:t> </w:t>
      </w:r>
      <w:r>
        <w:rPr>
          <w:sz w:val="24"/>
        </w:rPr>
        <w:t>of</w:t>
      </w:r>
      <w:r>
        <w:rPr>
          <w:spacing w:val="40"/>
          <w:sz w:val="24"/>
        </w:rPr>
        <w:t> </w:t>
      </w:r>
      <w:r>
        <w:rPr>
          <w:sz w:val="24"/>
        </w:rPr>
        <w:t>these</w:t>
      </w:r>
      <w:r>
        <w:rPr>
          <w:spacing w:val="40"/>
          <w:sz w:val="24"/>
        </w:rPr>
        <w:t>  </w:t>
      </w:r>
      <w:r>
        <w:rPr>
          <w:sz w:val="24"/>
        </w:rPr>
        <w:t>Regulations</w:t>
      </w:r>
      <w:r>
        <w:rPr>
          <w:spacing w:val="40"/>
          <w:sz w:val="24"/>
        </w:rPr>
        <w:t>  </w:t>
      </w:r>
      <w:r>
        <w:rPr>
          <w:sz w:val="24"/>
        </w:rPr>
        <w:t>the</w:t>
      </w:r>
      <w:r>
        <w:rPr>
          <w:spacing w:val="40"/>
          <w:sz w:val="24"/>
        </w:rPr>
        <w:t>  </w:t>
      </w:r>
      <w:r>
        <w:rPr>
          <w:sz w:val="24"/>
        </w:rPr>
        <w:t>matter</w:t>
      </w:r>
      <w:r>
        <w:rPr>
          <w:spacing w:val="40"/>
          <w:sz w:val="24"/>
        </w:rPr>
        <w:t>  </w:t>
      </w:r>
      <w:r>
        <w:rPr>
          <w:sz w:val="24"/>
        </w:rPr>
        <w:t>shall</w:t>
      </w:r>
      <w:r>
        <w:rPr>
          <w:spacing w:val="40"/>
          <w:sz w:val="24"/>
        </w:rPr>
        <w:t>  </w:t>
      </w:r>
      <w:r>
        <w:rPr>
          <w:sz w:val="24"/>
        </w:rPr>
        <w:t>be</w:t>
      </w:r>
      <w:r>
        <w:rPr>
          <w:spacing w:val="40"/>
          <w:sz w:val="24"/>
        </w:rPr>
        <w:t>  </w:t>
      </w:r>
      <w:r>
        <w:rPr>
          <w:sz w:val="24"/>
        </w:rPr>
        <w:t>referred</w:t>
      </w:r>
      <w:r>
        <w:rPr>
          <w:spacing w:val="40"/>
          <w:sz w:val="24"/>
        </w:rPr>
        <w:t>  </w:t>
      </w:r>
      <w:r>
        <w:rPr>
          <w:sz w:val="24"/>
        </w:rPr>
        <w:t>to</w:t>
      </w:r>
      <w:r>
        <w:rPr>
          <w:spacing w:val="40"/>
          <w:sz w:val="24"/>
        </w:rPr>
        <w:t>  </w:t>
      </w:r>
      <w:r>
        <w:rPr>
          <w:sz w:val="24"/>
        </w:rPr>
        <w:t>the</w:t>
      </w:r>
      <w:r>
        <w:rPr>
          <w:spacing w:val="40"/>
          <w:sz w:val="24"/>
        </w:rPr>
        <w:t>  </w:t>
      </w:r>
      <w:r>
        <w:rPr>
          <w:sz w:val="24"/>
        </w:rPr>
        <w:t>State Government</w:t>
      </w:r>
      <w:r>
        <w:rPr>
          <w:spacing w:val="40"/>
          <w:sz w:val="24"/>
        </w:rPr>
        <w:t> </w:t>
      </w:r>
      <w:r>
        <w:rPr>
          <w:sz w:val="24"/>
        </w:rPr>
        <w:t>which,</w:t>
      </w:r>
      <w:r>
        <w:rPr>
          <w:spacing w:val="40"/>
          <w:sz w:val="24"/>
        </w:rPr>
        <w:t> </w:t>
      </w:r>
      <w:r>
        <w:rPr>
          <w:sz w:val="24"/>
        </w:rPr>
        <w:t>after</w:t>
      </w:r>
      <w:r>
        <w:rPr>
          <w:spacing w:val="40"/>
          <w:sz w:val="24"/>
        </w:rPr>
        <w:t> </w:t>
      </w:r>
      <w:r>
        <w:rPr>
          <w:sz w:val="24"/>
        </w:rPr>
        <w:t>considering</w:t>
      </w:r>
      <w:r>
        <w:rPr>
          <w:spacing w:val="40"/>
          <w:sz w:val="24"/>
        </w:rPr>
        <w:t> </w:t>
      </w:r>
      <w:r>
        <w:rPr>
          <w:sz w:val="24"/>
        </w:rPr>
        <w:t>the</w:t>
      </w:r>
      <w:r>
        <w:rPr>
          <w:spacing w:val="40"/>
          <w:sz w:val="24"/>
        </w:rPr>
        <w:t> </w:t>
      </w:r>
      <w:r>
        <w:rPr>
          <w:sz w:val="24"/>
        </w:rPr>
        <w:t>matter</w:t>
      </w:r>
      <w:r>
        <w:rPr>
          <w:spacing w:val="40"/>
          <w:sz w:val="24"/>
        </w:rPr>
        <w:t> </w:t>
      </w:r>
      <w:r>
        <w:rPr>
          <w:sz w:val="24"/>
        </w:rPr>
        <w:t>and,</w:t>
      </w:r>
      <w:r>
        <w:rPr>
          <w:spacing w:val="40"/>
          <w:sz w:val="24"/>
        </w:rPr>
        <w:t> </w:t>
      </w:r>
      <w:r>
        <w:rPr>
          <w:sz w:val="24"/>
        </w:rPr>
        <w:t>if</w:t>
      </w:r>
      <w:r>
        <w:rPr>
          <w:spacing w:val="40"/>
          <w:sz w:val="24"/>
        </w:rPr>
        <w:t> </w:t>
      </w:r>
      <w:r>
        <w:rPr>
          <w:sz w:val="24"/>
        </w:rPr>
        <w:t>necessary,</w:t>
      </w:r>
      <w:r>
        <w:rPr>
          <w:spacing w:val="40"/>
          <w:sz w:val="24"/>
        </w:rPr>
        <w:t> </w:t>
      </w:r>
      <w:r>
        <w:rPr>
          <w:spacing w:val="9"/>
          <w:sz w:val="24"/>
        </w:rPr>
        <w:t>after </w:t>
      </w:r>
      <w:r>
        <w:rPr>
          <w:sz w:val="24"/>
        </w:rPr>
        <w:t>giving</w:t>
      </w:r>
      <w:r>
        <w:rPr>
          <w:spacing w:val="40"/>
          <w:sz w:val="24"/>
        </w:rPr>
        <w:t> </w:t>
      </w:r>
      <w:r>
        <w:rPr>
          <w:sz w:val="24"/>
        </w:rPr>
        <w:t>hearing</w:t>
      </w:r>
      <w:r>
        <w:rPr>
          <w:spacing w:val="40"/>
          <w:sz w:val="24"/>
        </w:rPr>
        <w:t> </w:t>
      </w:r>
      <w:r>
        <w:rPr>
          <w:sz w:val="24"/>
        </w:rPr>
        <w:t>to</w:t>
      </w:r>
      <w:r>
        <w:rPr>
          <w:spacing w:val="40"/>
          <w:sz w:val="24"/>
        </w:rPr>
        <w:t> </w:t>
      </w:r>
      <w:r>
        <w:rPr>
          <w:sz w:val="24"/>
        </w:rPr>
        <w:t>the</w:t>
      </w:r>
      <w:r>
        <w:rPr>
          <w:spacing w:val="40"/>
          <w:sz w:val="24"/>
        </w:rPr>
        <w:t> </w:t>
      </w:r>
      <w:r>
        <w:rPr>
          <w:sz w:val="24"/>
        </w:rPr>
        <w:t>parties,</w:t>
      </w:r>
      <w:r>
        <w:rPr>
          <w:spacing w:val="40"/>
          <w:sz w:val="24"/>
        </w:rPr>
        <w:t> </w:t>
      </w:r>
      <w:r>
        <w:rPr>
          <w:sz w:val="24"/>
        </w:rPr>
        <w:t>shall</w:t>
      </w:r>
      <w:r>
        <w:rPr>
          <w:spacing w:val="40"/>
          <w:sz w:val="24"/>
        </w:rPr>
        <w:t> </w:t>
      </w:r>
      <w:r>
        <w:rPr>
          <w:sz w:val="24"/>
        </w:rPr>
        <w:t>give</w:t>
      </w:r>
      <w:r>
        <w:rPr>
          <w:spacing w:val="40"/>
          <w:sz w:val="24"/>
        </w:rPr>
        <w:t> </w:t>
      </w:r>
      <w:r>
        <w:rPr>
          <w:sz w:val="24"/>
        </w:rPr>
        <w:t>a</w:t>
      </w:r>
      <w:r>
        <w:rPr>
          <w:spacing w:val="40"/>
          <w:sz w:val="24"/>
        </w:rPr>
        <w:t> </w:t>
      </w:r>
      <w:r>
        <w:rPr>
          <w:sz w:val="24"/>
        </w:rPr>
        <w:t>decision</w:t>
      </w:r>
      <w:r>
        <w:rPr>
          <w:spacing w:val="40"/>
          <w:sz w:val="24"/>
        </w:rPr>
        <w:t> </w:t>
      </w:r>
      <w:r>
        <w:rPr>
          <w:sz w:val="24"/>
        </w:rPr>
        <w:t>on</w:t>
      </w:r>
      <w:r>
        <w:rPr>
          <w:spacing w:val="40"/>
          <w:sz w:val="24"/>
        </w:rPr>
        <w:t> </w:t>
      </w:r>
      <w:r>
        <w:rPr>
          <w:sz w:val="24"/>
        </w:rPr>
        <w:t>the</w:t>
      </w:r>
      <w:r>
        <w:rPr>
          <w:spacing w:val="40"/>
          <w:sz w:val="24"/>
        </w:rPr>
        <w:t> </w:t>
      </w:r>
      <w:r>
        <w:rPr>
          <w:sz w:val="24"/>
        </w:rPr>
        <w:t>interpretation</w:t>
      </w:r>
      <w:r>
        <w:rPr>
          <w:spacing w:val="40"/>
          <w:sz w:val="24"/>
        </w:rPr>
        <w:t> </w:t>
      </w:r>
      <w:r>
        <w:rPr>
          <w:sz w:val="24"/>
        </w:rPr>
        <w:t>of the provisions of these Regulations.</w:t>
      </w:r>
      <w:r>
        <w:rPr>
          <w:spacing w:val="40"/>
          <w:sz w:val="24"/>
        </w:rPr>
        <w:t> </w:t>
      </w:r>
      <w:r>
        <w:rPr>
          <w:sz w:val="24"/>
        </w:rPr>
        <w:t>The decision </w:t>
      </w:r>
      <w:r>
        <w:rPr>
          <w:spacing w:val="10"/>
          <w:sz w:val="24"/>
        </w:rPr>
        <w:t>of </w:t>
      </w:r>
      <w:r>
        <w:rPr>
          <w:sz w:val="24"/>
        </w:rPr>
        <w:t>the Government on the interpretation</w:t>
      </w:r>
      <w:r>
        <w:rPr>
          <w:spacing w:val="40"/>
          <w:sz w:val="24"/>
        </w:rPr>
        <w:t> </w:t>
      </w:r>
      <w:r>
        <w:rPr>
          <w:sz w:val="24"/>
        </w:rPr>
        <w:t>of</w:t>
      </w:r>
      <w:r>
        <w:rPr>
          <w:spacing w:val="40"/>
          <w:sz w:val="24"/>
        </w:rPr>
        <w:t> </w:t>
      </w:r>
      <w:r>
        <w:rPr>
          <w:sz w:val="24"/>
        </w:rPr>
        <w:t>these</w:t>
      </w:r>
      <w:r>
        <w:rPr>
          <w:spacing w:val="40"/>
          <w:sz w:val="24"/>
        </w:rPr>
        <w:t> </w:t>
      </w:r>
      <w:r>
        <w:rPr>
          <w:sz w:val="24"/>
        </w:rPr>
        <w:t>Regulations</w:t>
      </w:r>
      <w:r>
        <w:rPr>
          <w:spacing w:val="40"/>
          <w:sz w:val="24"/>
        </w:rPr>
        <w:t> </w:t>
      </w:r>
      <w:r>
        <w:rPr>
          <w:sz w:val="24"/>
        </w:rPr>
        <w:t>shall</w:t>
      </w:r>
      <w:r>
        <w:rPr>
          <w:spacing w:val="40"/>
          <w:sz w:val="24"/>
        </w:rPr>
        <w:t> </w:t>
      </w:r>
      <w:r>
        <w:rPr>
          <w:sz w:val="24"/>
        </w:rPr>
        <w:t>be</w:t>
      </w:r>
      <w:r>
        <w:rPr>
          <w:spacing w:val="40"/>
          <w:sz w:val="24"/>
        </w:rPr>
        <w:t> </w:t>
      </w:r>
      <w:r>
        <w:rPr>
          <w:sz w:val="24"/>
        </w:rPr>
        <w:t>final</w:t>
      </w:r>
      <w:r>
        <w:rPr>
          <w:spacing w:val="40"/>
          <w:sz w:val="24"/>
        </w:rPr>
        <w:t> </w:t>
      </w:r>
      <w:r>
        <w:rPr>
          <w:sz w:val="24"/>
        </w:rPr>
        <w:t>and</w:t>
      </w:r>
      <w:r>
        <w:rPr>
          <w:spacing w:val="40"/>
          <w:sz w:val="24"/>
        </w:rPr>
        <w:t> </w:t>
      </w:r>
      <w:r>
        <w:rPr>
          <w:sz w:val="24"/>
        </w:rPr>
        <w:t>binding</w:t>
      </w:r>
      <w:r>
        <w:rPr>
          <w:spacing w:val="40"/>
          <w:sz w:val="24"/>
        </w:rPr>
        <w:t> </w:t>
      </w:r>
      <w:r>
        <w:rPr>
          <w:sz w:val="24"/>
        </w:rPr>
        <w:t>on</w:t>
      </w:r>
      <w:r>
        <w:rPr>
          <w:spacing w:val="40"/>
          <w:sz w:val="24"/>
        </w:rPr>
        <w:t> </w:t>
      </w:r>
      <w:r>
        <w:rPr>
          <w:sz w:val="24"/>
        </w:rPr>
        <w:t>the concerned</w:t>
      </w:r>
      <w:r>
        <w:rPr>
          <w:spacing w:val="40"/>
          <w:sz w:val="24"/>
        </w:rPr>
        <w:t> </w:t>
      </w:r>
      <w:r>
        <w:rPr>
          <w:sz w:val="24"/>
        </w:rPr>
        <w:t>party</w:t>
      </w:r>
      <w:r>
        <w:rPr>
          <w:spacing w:val="40"/>
          <w:sz w:val="24"/>
        </w:rPr>
        <w:t> </w:t>
      </w:r>
      <w:r>
        <w:rPr>
          <w:sz w:val="24"/>
        </w:rPr>
        <w:t>or</w:t>
      </w:r>
      <w:r>
        <w:rPr>
          <w:spacing w:val="40"/>
          <w:sz w:val="24"/>
        </w:rPr>
        <w:t> </w:t>
      </w:r>
      <w:r>
        <w:rPr>
          <w:sz w:val="24"/>
        </w:rPr>
        <w:t>parties.</w:t>
      </w:r>
    </w:p>
    <w:p>
      <w:pPr>
        <w:pStyle w:val="BodyText"/>
        <w:jc w:val="left"/>
      </w:pPr>
    </w:p>
    <w:p>
      <w:pPr>
        <w:pStyle w:val="ListParagraph"/>
        <w:numPr>
          <w:ilvl w:val="1"/>
          <w:numId w:val="10"/>
        </w:numPr>
        <w:tabs>
          <w:tab w:pos="953" w:val="left" w:leader="none"/>
          <w:tab w:pos="1946" w:val="left" w:leader="none"/>
        </w:tabs>
        <w:spacing w:line="240" w:lineRule="auto" w:before="0" w:after="0"/>
        <w:ind w:left="953" w:right="783" w:hanging="71"/>
        <w:jc w:val="both"/>
        <w:rPr>
          <w:sz w:val="24"/>
        </w:rPr>
      </w:pPr>
      <w:r>
        <w:rPr>
          <w:sz w:val="24"/>
        </w:rPr>
        <w:t>In the case of provisions of other Acts/Rules/Regulations which are incorporated</w:t>
      </w:r>
      <w:r>
        <w:rPr>
          <w:spacing w:val="40"/>
          <w:sz w:val="24"/>
        </w:rPr>
        <w:t> </w:t>
      </w:r>
      <w:r>
        <w:rPr>
          <w:sz w:val="24"/>
        </w:rPr>
        <w:t>in</w:t>
      </w:r>
      <w:r>
        <w:rPr>
          <w:spacing w:val="40"/>
          <w:sz w:val="24"/>
        </w:rPr>
        <w:t> </w:t>
      </w:r>
      <w:r>
        <w:rPr>
          <w:sz w:val="24"/>
        </w:rPr>
        <w:t>these</w:t>
      </w:r>
      <w:r>
        <w:rPr>
          <w:spacing w:val="40"/>
          <w:sz w:val="24"/>
        </w:rPr>
        <w:t> </w:t>
      </w:r>
      <w:r>
        <w:rPr>
          <w:sz w:val="24"/>
        </w:rPr>
        <w:t>Regulations</w:t>
      </w:r>
      <w:r>
        <w:rPr>
          <w:spacing w:val="40"/>
          <w:sz w:val="24"/>
        </w:rPr>
        <w:t> </w:t>
      </w:r>
      <w:r>
        <w:rPr>
          <w:sz w:val="24"/>
        </w:rPr>
        <w:t>wherever</w:t>
      </w:r>
      <w:r>
        <w:rPr>
          <w:spacing w:val="40"/>
          <w:sz w:val="24"/>
        </w:rPr>
        <w:t> </w:t>
      </w:r>
      <w:r>
        <w:rPr>
          <w:sz w:val="24"/>
        </w:rPr>
        <w:t>applicable,</w:t>
      </w:r>
      <w:r>
        <w:rPr>
          <w:spacing w:val="40"/>
          <w:sz w:val="24"/>
        </w:rPr>
        <w:t> </w:t>
      </w:r>
      <w:r>
        <w:rPr>
          <w:sz w:val="24"/>
        </w:rPr>
        <w:t>the</w:t>
      </w:r>
      <w:r>
        <w:rPr>
          <w:spacing w:val="40"/>
          <w:sz w:val="24"/>
        </w:rPr>
        <w:t> </w:t>
      </w:r>
      <w:r>
        <w:rPr>
          <w:sz w:val="24"/>
        </w:rPr>
        <w:t>amendments</w:t>
      </w:r>
      <w:r>
        <w:rPr>
          <w:spacing w:val="40"/>
          <w:sz w:val="24"/>
        </w:rPr>
        <w:t> </w:t>
      </w:r>
      <w:r>
        <w:rPr>
          <w:sz w:val="24"/>
        </w:rPr>
        <w:t>made</w:t>
      </w:r>
      <w:r>
        <w:rPr>
          <w:spacing w:val="80"/>
          <w:w w:val="150"/>
          <w:sz w:val="24"/>
        </w:rPr>
        <w:t> </w:t>
      </w:r>
      <w:r>
        <w:rPr>
          <w:sz w:val="24"/>
        </w:rPr>
        <w:t>subsequently</w:t>
      </w:r>
      <w:r>
        <w:rPr>
          <w:spacing w:val="80"/>
          <w:w w:val="150"/>
          <w:sz w:val="24"/>
        </w:rPr>
        <w:t> </w:t>
      </w:r>
      <w:r>
        <w:rPr>
          <w:sz w:val="24"/>
        </w:rPr>
        <w:t>in</w:t>
      </w:r>
      <w:r>
        <w:rPr>
          <w:spacing w:val="80"/>
          <w:w w:val="150"/>
          <w:sz w:val="24"/>
        </w:rPr>
        <w:t> </w:t>
      </w:r>
      <w:r>
        <w:rPr>
          <w:sz w:val="24"/>
        </w:rPr>
        <w:t>parent</w:t>
      </w:r>
      <w:r>
        <w:rPr>
          <w:spacing w:val="80"/>
          <w:w w:val="150"/>
          <w:sz w:val="24"/>
        </w:rPr>
        <w:t> </w:t>
      </w:r>
      <w:r>
        <w:rPr>
          <w:sz w:val="24"/>
        </w:rPr>
        <w:t>Acts/Rules/Regulations,</w:t>
      </w:r>
      <w:r>
        <w:rPr>
          <w:spacing w:val="80"/>
          <w:w w:val="150"/>
          <w:sz w:val="24"/>
        </w:rPr>
        <w:t> </w:t>
      </w:r>
      <w:r>
        <w:rPr>
          <w:sz w:val="24"/>
        </w:rPr>
        <w:t>will</w:t>
      </w:r>
      <w:r>
        <w:rPr>
          <w:spacing w:val="80"/>
          <w:w w:val="150"/>
          <w:sz w:val="24"/>
        </w:rPr>
        <w:t> </w:t>
      </w:r>
      <w:r>
        <w:rPr>
          <w:sz w:val="24"/>
        </w:rPr>
        <w:t>automatically be</w:t>
      </w:r>
      <w:r>
        <w:rPr>
          <w:spacing w:val="40"/>
          <w:sz w:val="24"/>
        </w:rPr>
        <w:t> </w:t>
      </w:r>
      <w:r>
        <w:rPr>
          <w:sz w:val="24"/>
        </w:rPr>
        <w:t>applicable</w:t>
      </w:r>
      <w:r>
        <w:rPr>
          <w:spacing w:val="40"/>
          <w:sz w:val="24"/>
        </w:rPr>
        <w:t> </w:t>
      </w:r>
      <w:r>
        <w:rPr>
          <w:sz w:val="24"/>
        </w:rPr>
        <w:t>to</w:t>
      </w:r>
      <w:r>
        <w:rPr>
          <w:spacing w:val="40"/>
          <w:sz w:val="24"/>
        </w:rPr>
        <w:t> </w:t>
      </w:r>
      <w:r>
        <w:rPr>
          <w:sz w:val="24"/>
        </w:rPr>
        <w:t>these</w:t>
      </w:r>
      <w:r>
        <w:rPr>
          <w:spacing w:val="40"/>
          <w:sz w:val="24"/>
        </w:rPr>
        <w:t> </w:t>
      </w:r>
      <w:r>
        <w:rPr>
          <w:sz w:val="24"/>
        </w:rPr>
        <w:t>Regulations.</w:t>
      </w:r>
    </w:p>
    <w:p>
      <w:pPr>
        <w:pStyle w:val="BodyText"/>
        <w:jc w:val="left"/>
      </w:pPr>
    </w:p>
    <w:p>
      <w:pPr>
        <w:pStyle w:val="ListParagraph"/>
        <w:numPr>
          <w:ilvl w:val="1"/>
          <w:numId w:val="10"/>
        </w:numPr>
        <w:tabs>
          <w:tab w:pos="953" w:val="left" w:leader="none"/>
          <w:tab w:pos="1946" w:val="left" w:leader="none"/>
        </w:tabs>
        <w:spacing w:line="240" w:lineRule="auto" w:before="0" w:after="0"/>
        <w:ind w:left="953" w:right="781" w:hanging="71"/>
        <w:jc w:val="both"/>
        <w:rPr>
          <w:sz w:val="24"/>
        </w:rPr>
      </w:pPr>
      <w:r>
        <w:rPr>
          <w:sz w:val="24"/>
        </w:rPr>
        <w:t>If</w:t>
      </w:r>
      <w:r>
        <w:rPr>
          <w:spacing w:val="40"/>
          <w:sz w:val="24"/>
        </w:rPr>
        <w:t> </w:t>
      </w:r>
      <w:r>
        <w:rPr>
          <w:sz w:val="24"/>
        </w:rPr>
        <w:t>there</w:t>
      </w:r>
      <w:r>
        <w:rPr>
          <w:spacing w:val="40"/>
          <w:sz w:val="24"/>
        </w:rPr>
        <w:t> </w:t>
      </w:r>
      <w:r>
        <w:rPr>
          <w:sz w:val="24"/>
        </w:rPr>
        <w:t>is</w:t>
      </w:r>
      <w:r>
        <w:rPr>
          <w:spacing w:val="40"/>
          <w:sz w:val="24"/>
        </w:rPr>
        <w:t> </w:t>
      </w:r>
      <w:r>
        <w:rPr>
          <w:sz w:val="24"/>
        </w:rPr>
        <w:t>a</w:t>
      </w:r>
      <w:r>
        <w:rPr>
          <w:spacing w:val="40"/>
          <w:sz w:val="24"/>
        </w:rPr>
        <w:t> </w:t>
      </w:r>
      <w:r>
        <w:rPr>
          <w:sz w:val="24"/>
        </w:rPr>
        <w:t>conflict</w:t>
      </w:r>
      <w:r>
        <w:rPr>
          <w:spacing w:val="40"/>
          <w:sz w:val="24"/>
        </w:rPr>
        <w:t> </w:t>
      </w:r>
      <w:r>
        <w:rPr>
          <w:sz w:val="24"/>
        </w:rPr>
        <w:t>in</w:t>
      </w:r>
      <w:r>
        <w:rPr>
          <w:spacing w:val="40"/>
          <w:sz w:val="24"/>
        </w:rPr>
        <w:t> </w:t>
      </w:r>
      <w:r>
        <w:rPr>
          <w:sz w:val="24"/>
        </w:rPr>
        <w:t>interpretation</w:t>
      </w:r>
      <w:r>
        <w:rPr>
          <w:spacing w:val="40"/>
          <w:sz w:val="24"/>
        </w:rPr>
        <w:t> </w:t>
      </w:r>
      <w:r>
        <w:rPr>
          <w:sz w:val="24"/>
        </w:rPr>
        <w:t>of</w:t>
      </w:r>
      <w:r>
        <w:rPr>
          <w:spacing w:val="40"/>
          <w:sz w:val="24"/>
        </w:rPr>
        <w:t> </w:t>
      </w:r>
      <w:r>
        <w:rPr>
          <w:sz w:val="24"/>
        </w:rPr>
        <w:t>any</w:t>
      </w:r>
      <w:r>
        <w:rPr>
          <w:spacing w:val="40"/>
          <w:sz w:val="24"/>
        </w:rPr>
        <w:t> </w:t>
      </w:r>
      <w:r>
        <w:rPr>
          <w:sz w:val="24"/>
        </w:rPr>
        <w:t>clause</w:t>
      </w:r>
      <w:r>
        <w:rPr>
          <w:spacing w:val="40"/>
          <w:sz w:val="24"/>
        </w:rPr>
        <w:t> </w:t>
      </w:r>
      <w:r>
        <w:rPr>
          <w:sz w:val="24"/>
        </w:rPr>
        <w:t>between</w:t>
      </w:r>
      <w:r>
        <w:rPr>
          <w:spacing w:val="40"/>
          <w:sz w:val="24"/>
        </w:rPr>
        <w:t> </w:t>
      </w:r>
      <w:r>
        <w:rPr>
          <w:sz w:val="24"/>
        </w:rPr>
        <w:t>English</w:t>
      </w:r>
      <w:r>
        <w:rPr>
          <w:spacing w:val="40"/>
          <w:sz w:val="24"/>
        </w:rPr>
        <w:t> </w:t>
      </w:r>
      <w:r>
        <w:rPr>
          <w:sz w:val="24"/>
        </w:rPr>
        <w:t>&amp; Marathi versions of these Regulations, then the interpretation of </w:t>
      </w:r>
      <w:r>
        <w:rPr>
          <w:spacing w:val="10"/>
          <w:sz w:val="24"/>
        </w:rPr>
        <w:t>English </w:t>
      </w:r>
      <w:r>
        <w:rPr>
          <w:sz w:val="24"/>
        </w:rPr>
        <w:t>version shall prevail.</w:t>
      </w:r>
    </w:p>
    <w:p>
      <w:pPr>
        <w:pStyle w:val="BodyText"/>
        <w:spacing w:before="244"/>
        <w:jc w:val="left"/>
      </w:pPr>
    </w:p>
    <w:p>
      <w:pPr>
        <w:pStyle w:val="ListParagraph"/>
        <w:numPr>
          <w:ilvl w:val="1"/>
          <w:numId w:val="10"/>
        </w:numPr>
        <w:tabs>
          <w:tab w:pos="953" w:val="left" w:leader="none"/>
          <w:tab w:pos="1946" w:val="left" w:leader="none"/>
        </w:tabs>
        <w:spacing w:line="240" w:lineRule="auto" w:before="0" w:after="0"/>
        <w:ind w:left="953" w:right="795" w:hanging="71"/>
        <w:jc w:val="both"/>
        <w:rPr>
          <w:sz w:val="24"/>
        </w:rPr>
      </w:pPr>
      <w:r>
        <w:rPr>
          <w:sz w:val="24"/>
        </w:rPr>
        <w:t>Govt.</w:t>
      </w:r>
      <w:r>
        <w:rPr>
          <w:spacing w:val="80"/>
          <w:w w:val="150"/>
          <w:sz w:val="24"/>
        </w:rPr>
        <w:t> </w:t>
      </w:r>
      <w:r>
        <w:rPr>
          <w:sz w:val="24"/>
        </w:rPr>
        <w:t>may</w:t>
      </w:r>
      <w:r>
        <w:rPr>
          <w:spacing w:val="80"/>
          <w:w w:val="150"/>
          <w:sz w:val="24"/>
        </w:rPr>
        <w:t> </w:t>
      </w:r>
      <w:r>
        <w:rPr>
          <w:sz w:val="24"/>
        </w:rPr>
        <w:t>amend</w:t>
      </w:r>
      <w:r>
        <w:rPr>
          <w:spacing w:val="80"/>
          <w:w w:val="150"/>
          <w:sz w:val="24"/>
        </w:rPr>
        <w:t> </w:t>
      </w:r>
      <w:r>
        <w:rPr>
          <w:sz w:val="24"/>
        </w:rPr>
        <w:t>the</w:t>
      </w:r>
      <w:r>
        <w:rPr>
          <w:spacing w:val="80"/>
          <w:w w:val="150"/>
          <w:sz w:val="24"/>
        </w:rPr>
        <w:t> </w:t>
      </w:r>
      <w:r>
        <w:rPr>
          <w:sz w:val="24"/>
        </w:rPr>
        <w:t>rate</w:t>
      </w:r>
      <w:r>
        <w:rPr>
          <w:spacing w:val="80"/>
          <w:w w:val="150"/>
          <w:sz w:val="24"/>
        </w:rPr>
        <w:t> </w:t>
      </w:r>
      <w:r>
        <w:rPr>
          <w:sz w:val="24"/>
        </w:rPr>
        <w:t>of</w:t>
      </w:r>
      <w:r>
        <w:rPr>
          <w:spacing w:val="80"/>
          <w:w w:val="150"/>
          <w:sz w:val="24"/>
        </w:rPr>
        <w:t> </w:t>
      </w:r>
      <w:r>
        <w:rPr>
          <w:sz w:val="24"/>
        </w:rPr>
        <w:t>premium</w:t>
      </w:r>
      <w:r>
        <w:rPr>
          <w:spacing w:val="80"/>
          <w:w w:val="150"/>
          <w:sz w:val="24"/>
        </w:rPr>
        <w:t> </w:t>
      </w:r>
      <w:r>
        <w:rPr>
          <w:sz w:val="24"/>
        </w:rPr>
        <w:t>mentioned</w:t>
      </w:r>
      <w:r>
        <w:rPr>
          <w:spacing w:val="80"/>
          <w:w w:val="150"/>
          <w:sz w:val="24"/>
        </w:rPr>
        <w:t> </w:t>
      </w:r>
      <w:r>
        <w:rPr>
          <w:sz w:val="24"/>
        </w:rPr>
        <w:t>in</w:t>
      </w:r>
      <w:r>
        <w:rPr>
          <w:spacing w:val="80"/>
          <w:w w:val="150"/>
          <w:sz w:val="24"/>
        </w:rPr>
        <w:t> </w:t>
      </w:r>
      <w:r>
        <w:rPr>
          <w:sz w:val="24"/>
        </w:rPr>
        <w:t>various</w:t>
      </w:r>
      <w:r>
        <w:rPr>
          <w:spacing w:val="40"/>
          <w:sz w:val="24"/>
        </w:rPr>
        <w:t> </w:t>
      </w:r>
      <w:r>
        <w:rPr>
          <w:sz w:val="24"/>
        </w:rPr>
        <w:t>Regulation</w:t>
      </w:r>
      <w:r>
        <w:rPr>
          <w:spacing w:val="76"/>
          <w:sz w:val="24"/>
        </w:rPr>
        <w:t> </w:t>
      </w:r>
      <w:r>
        <w:rPr>
          <w:sz w:val="24"/>
        </w:rPr>
        <w:t>of</w:t>
      </w:r>
      <w:r>
        <w:rPr>
          <w:spacing w:val="80"/>
          <w:sz w:val="24"/>
        </w:rPr>
        <w:t> </w:t>
      </w:r>
      <w:r>
        <w:rPr>
          <w:sz w:val="24"/>
        </w:rPr>
        <w:t>this</w:t>
      </w:r>
      <w:r>
        <w:rPr>
          <w:spacing w:val="80"/>
          <w:sz w:val="24"/>
        </w:rPr>
        <w:t> </w:t>
      </w:r>
      <w:r>
        <w:rPr>
          <w:spacing w:val="9"/>
          <w:sz w:val="24"/>
        </w:rPr>
        <w:t>DCPR-</w:t>
      </w:r>
      <w:r>
        <w:rPr>
          <w:sz w:val="24"/>
        </w:rPr>
        <w:t>2034</w:t>
      </w:r>
      <w:r>
        <w:rPr>
          <w:spacing w:val="40"/>
          <w:sz w:val="24"/>
        </w:rPr>
        <w:t> </w:t>
      </w:r>
      <w:r>
        <w:rPr>
          <w:sz w:val="24"/>
        </w:rPr>
        <w:t>from</w:t>
      </w:r>
      <w:r>
        <w:rPr>
          <w:spacing w:val="80"/>
          <w:sz w:val="24"/>
        </w:rPr>
        <w:t> </w:t>
      </w:r>
      <w:r>
        <w:rPr>
          <w:sz w:val="24"/>
        </w:rPr>
        <w:t>time</w:t>
      </w:r>
      <w:r>
        <w:rPr>
          <w:spacing w:val="40"/>
          <w:sz w:val="24"/>
        </w:rPr>
        <w:t> </w:t>
      </w:r>
      <w:r>
        <w:rPr>
          <w:sz w:val="24"/>
        </w:rPr>
        <w:t>to</w:t>
      </w:r>
      <w:r>
        <w:rPr>
          <w:spacing w:val="40"/>
          <w:sz w:val="24"/>
        </w:rPr>
        <w:t> </w:t>
      </w:r>
      <w:r>
        <w:rPr>
          <w:sz w:val="24"/>
        </w:rPr>
        <w:t>time</w:t>
      </w:r>
      <w:r>
        <w:rPr>
          <w:spacing w:val="40"/>
          <w:sz w:val="24"/>
        </w:rPr>
        <w:t> </w:t>
      </w:r>
      <w:r>
        <w:rPr>
          <w:sz w:val="24"/>
        </w:rPr>
        <w:t>by</w:t>
      </w:r>
      <w:r>
        <w:rPr>
          <w:spacing w:val="40"/>
          <w:sz w:val="24"/>
        </w:rPr>
        <w:t> </w:t>
      </w:r>
      <w:r>
        <w:rPr>
          <w:sz w:val="24"/>
        </w:rPr>
        <w:t>official</w:t>
      </w:r>
      <w:r>
        <w:rPr>
          <w:spacing w:val="40"/>
          <w:sz w:val="24"/>
        </w:rPr>
        <w:t> </w:t>
      </w:r>
      <w:r>
        <w:rPr>
          <w:sz w:val="24"/>
        </w:rPr>
        <w:t>Notification</w:t>
      </w:r>
    </w:p>
    <w:p>
      <w:pPr>
        <w:pStyle w:val="ListParagraph"/>
        <w:spacing w:after="0" w:line="240" w:lineRule="auto"/>
        <w:jc w:val="both"/>
        <w:rPr>
          <w:sz w:val="24"/>
        </w:rPr>
        <w:sectPr>
          <w:pgSz w:w="11910" w:h="16840"/>
          <w:pgMar w:header="1058" w:footer="1357" w:top="1500" w:bottom="1540" w:left="360" w:right="360"/>
        </w:sectPr>
      </w:pPr>
    </w:p>
    <w:p>
      <w:pPr>
        <w:pStyle w:val="Heading3"/>
        <w:numPr>
          <w:ilvl w:val="0"/>
          <w:numId w:val="10"/>
        </w:numPr>
        <w:tabs>
          <w:tab w:pos="1538" w:val="left" w:leader="none"/>
        </w:tabs>
        <w:spacing w:line="240" w:lineRule="auto" w:before="251" w:after="0"/>
        <w:ind w:left="1538" w:right="0" w:hanging="766"/>
        <w:jc w:val="left"/>
      </w:pPr>
      <w:r>
        <w:rPr/>
        <w:t>Delegation</w:t>
      </w:r>
      <w:r>
        <w:rPr>
          <w:spacing w:val="63"/>
        </w:rPr>
        <w:t> </w:t>
      </w:r>
      <w:r>
        <w:rPr/>
        <w:t>of</w:t>
      </w:r>
      <w:r>
        <w:rPr>
          <w:spacing w:val="63"/>
        </w:rPr>
        <w:t> </w:t>
      </w:r>
      <w:r>
        <w:rPr>
          <w:spacing w:val="-2"/>
        </w:rPr>
        <w:t>powers</w:t>
      </w:r>
    </w:p>
    <w:p>
      <w:pPr>
        <w:pStyle w:val="BodyText"/>
        <w:spacing w:before="287"/>
        <w:ind w:left="864" w:right="774" w:firstLine="19"/>
      </w:pPr>
      <w:r>
        <w:rPr/>
        <w:t>Except</w:t>
      </w:r>
      <w:r>
        <w:rPr>
          <w:spacing w:val="80"/>
        </w:rPr>
        <w:t> </w:t>
      </w:r>
      <w:r>
        <w:rPr/>
        <w:t>where</w:t>
      </w:r>
      <w:r>
        <w:rPr>
          <w:spacing w:val="80"/>
        </w:rPr>
        <w:t> </w:t>
      </w:r>
      <w:r>
        <w:rPr/>
        <w:t>the</w:t>
      </w:r>
      <w:r>
        <w:rPr>
          <w:spacing w:val="80"/>
        </w:rPr>
        <w:t> </w:t>
      </w:r>
      <w:r>
        <w:rPr/>
        <w:t>Commissioner's</w:t>
      </w:r>
      <w:r>
        <w:rPr>
          <w:spacing w:val="80"/>
        </w:rPr>
        <w:t> </w:t>
      </w:r>
      <w:r>
        <w:rPr/>
        <w:t>special</w:t>
      </w:r>
      <w:r>
        <w:rPr>
          <w:spacing w:val="80"/>
        </w:rPr>
        <w:t> </w:t>
      </w:r>
      <w:r>
        <w:rPr/>
        <w:t>permission</w:t>
      </w:r>
      <w:r>
        <w:rPr>
          <w:spacing w:val="80"/>
        </w:rPr>
        <w:t> </w:t>
      </w:r>
      <w:r>
        <w:rPr/>
        <w:t>is</w:t>
      </w:r>
      <w:r>
        <w:rPr>
          <w:spacing w:val="80"/>
        </w:rPr>
        <w:t> </w:t>
      </w:r>
      <w:r>
        <w:rPr/>
        <w:t>expressly</w:t>
      </w:r>
      <w:r>
        <w:rPr>
          <w:spacing w:val="40"/>
        </w:rPr>
        <w:t> </w:t>
      </w:r>
      <w:r>
        <w:rPr/>
        <w:t>stipulated,</w:t>
      </w:r>
      <w:r>
        <w:rPr>
          <w:spacing w:val="40"/>
        </w:rPr>
        <w:t> </w:t>
      </w:r>
      <w:r>
        <w:rPr/>
        <w:t>the</w:t>
      </w:r>
      <w:r>
        <w:rPr>
          <w:spacing w:val="40"/>
        </w:rPr>
        <w:t> </w:t>
      </w:r>
      <w:r>
        <w:rPr/>
        <w:t>powers</w:t>
      </w:r>
      <w:r>
        <w:rPr>
          <w:spacing w:val="40"/>
        </w:rPr>
        <w:t> </w:t>
      </w:r>
      <w:r>
        <w:rPr/>
        <w:t>or</w:t>
      </w:r>
      <w:r>
        <w:rPr>
          <w:spacing w:val="40"/>
        </w:rPr>
        <w:t> </w:t>
      </w:r>
      <w:r>
        <w:rPr/>
        <w:t>functions</w:t>
      </w:r>
      <w:r>
        <w:rPr>
          <w:spacing w:val="40"/>
        </w:rPr>
        <w:t> </w:t>
      </w:r>
      <w:r>
        <w:rPr/>
        <w:t>vested</w:t>
      </w:r>
      <w:r>
        <w:rPr>
          <w:spacing w:val="40"/>
        </w:rPr>
        <w:t> </w:t>
      </w:r>
      <w:r>
        <w:rPr/>
        <w:t>in</w:t>
      </w:r>
      <w:r>
        <w:rPr>
          <w:spacing w:val="40"/>
        </w:rPr>
        <w:t> </w:t>
      </w:r>
      <w:r>
        <w:rPr/>
        <w:t>him</w:t>
      </w:r>
      <w:r>
        <w:rPr>
          <w:spacing w:val="40"/>
        </w:rPr>
        <w:t> </w:t>
      </w:r>
      <w:r>
        <w:rPr/>
        <w:t>by</w:t>
      </w:r>
      <w:r>
        <w:rPr>
          <w:spacing w:val="40"/>
        </w:rPr>
        <w:t> </w:t>
      </w:r>
      <w:r>
        <w:rPr/>
        <w:t>these</w:t>
      </w:r>
      <w:r>
        <w:rPr>
          <w:spacing w:val="40"/>
        </w:rPr>
        <w:t> </w:t>
      </w:r>
      <w:r>
        <w:rPr/>
        <w:t>Regulations</w:t>
      </w:r>
      <w:r>
        <w:rPr>
          <w:spacing w:val="40"/>
        </w:rPr>
        <w:t> </w:t>
      </w:r>
      <w:r>
        <w:rPr/>
        <w:t>may be</w:t>
      </w:r>
      <w:r>
        <w:rPr>
          <w:spacing w:val="40"/>
        </w:rPr>
        <w:t> </w:t>
      </w:r>
      <w:r>
        <w:rPr/>
        <w:t>delegated</w:t>
      </w:r>
      <w:r>
        <w:rPr>
          <w:spacing w:val="40"/>
        </w:rPr>
        <w:t> </w:t>
      </w:r>
      <w:r>
        <w:rPr/>
        <w:t>to</w:t>
      </w:r>
      <w:r>
        <w:rPr>
          <w:spacing w:val="40"/>
        </w:rPr>
        <w:t> </w:t>
      </w:r>
      <w:r>
        <w:rPr/>
        <w:t>any</w:t>
      </w:r>
      <w:r>
        <w:rPr>
          <w:spacing w:val="40"/>
        </w:rPr>
        <w:t> </w:t>
      </w:r>
      <w:r>
        <w:rPr/>
        <w:t>municipal</w:t>
      </w:r>
      <w:r>
        <w:rPr>
          <w:spacing w:val="40"/>
        </w:rPr>
        <w:t> </w:t>
      </w:r>
      <w:r>
        <w:rPr/>
        <w:t>official</w:t>
      </w:r>
      <w:r>
        <w:rPr>
          <w:spacing w:val="40"/>
        </w:rPr>
        <w:t> </w:t>
      </w:r>
      <w:r>
        <w:rPr/>
        <w:t>under</w:t>
      </w:r>
      <w:r>
        <w:rPr>
          <w:spacing w:val="40"/>
        </w:rPr>
        <w:t> </w:t>
      </w:r>
      <w:r>
        <w:rPr/>
        <w:t>his</w:t>
      </w:r>
      <w:r>
        <w:rPr>
          <w:spacing w:val="40"/>
        </w:rPr>
        <w:t> </w:t>
      </w:r>
      <w:r>
        <w:rPr/>
        <w:t>control,</w:t>
      </w:r>
      <w:r>
        <w:rPr>
          <w:spacing w:val="40"/>
        </w:rPr>
        <w:t> </w:t>
      </w:r>
      <w:r>
        <w:rPr/>
        <w:t>subject</w:t>
      </w:r>
      <w:r>
        <w:rPr>
          <w:spacing w:val="40"/>
        </w:rPr>
        <w:t> </w:t>
      </w:r>
      <w:r>
        <w:rPr/>
        <w:t>to</w:t>
      </w:r>
      <w:r>
        <w:rPr>
          <w:spacing w:val="40"/>
        </w:rPr>
        <w:t> </w:t>
      </w:r>
      <w:r>
        <w:rPr/>
        <w:t>his revision</w:t>
      </w:r>
      <w:r>
        <w:rPr>
          <w:spacing w:val="40"/>
        </w:rPr>
        <w:t> </w:t>
      </w:r>
      <w:r>
        <w:rPr/>
        <w:t>if</w:t>
      </w:r>
      <w:r>
        <w:rPr>
          <w:spacing w:val="40"/>
        </w:rPr>
        <w:t> </w:t>
      </w:r>
      <w:r>
        <w:rPr/>
        <w:t>necessary</w:t>
      </w:r>
      <w:r>
        <w:rPr>
          <w:spacing w:val="40"/>
        </w:rPr>
        <w:t> </w:t>
      </w:r>
      <w:r>
        <w:rPr/>
        <w:t>and</w:t>
      </w:r>
      <w:r>
        <w:rPr>
          <w:spacing w:val="40"/>
        </w:rPr>
        <w:t> </w:t>
      </w:r>
      <w:r>
        <w:rPr/>
        <w:t>to</w:t>
      </w:r>
      <w:r>
        <w:rPr>
          <w:spacing w:val="40"/>
        </w:rPr>
        <w:t> </w:t>
      </w:r>
      <w:r>
        <w:rPr/>
        <w:t>such</w:t>
      </w:r>
      <w:r>
        <w:rPr>
          <w:spacing w:val="40"/>
        </w:rPr>
        <w:t> </w:t>
      </w:r>
      <w:r>
        <w:rPr/>
        <w:t>conditions</w:t>
      </w:r>
      <w:r>
        <w:rPr>
          <w:spacing w:val="40"/>
        </w:rPr>
        <w:t> </w:t>
      </w:r>
      <w:r>
        <w:rPr/>
        <w:t>and</w:t>
      </w:r>
      <w:r>
        <w:rPr>
          <w:spacing w:val="40"/>
        </w:rPr>
        <w:t> </w:t>
      </w:r>
      <w:r>
        <w:rPr/>
        <w:t>limitations,</w:t>
      </w:r>
      <w:r>
        <w:rPr>
          <w:spacing w:val="40"/>
        </w:rPr>
        <w:t> </w:t>
      </w:r>
      <w:r>
        <w:rPr/>
        <w:t>if</w:t>
      </w:r>
      <w:r>
        <w:rPr>
          <w:spacing w:val="40"/>
        </w:rPr>
        <w:t> </w:t>
      </w:r>
      <w:r>
        <w:rPr/>
        <w:t>any,</w:t>
      </w:r>
      <w:r>
        <w:rPr>
          <w:spacing w:val="40"/>
        </w:rPr>
        <w:t> </w:t>
      </w:r>
      <w:r>
        <w:rPr/>
        <w:t>as</w:t>
      </w:r>
      <w:r>
        <w:rPr>
          <w:spacing w:val="40"/>
        </w:rPr>
        <w:t> </w:t>
      </w:r>
      <w:r>
        <w:rPr/>
        <w:t>he may</w:t>
      </w:r>
      <w:r>
        <w:rPr>
          <w:spacing w:val="40"/>
        </w:rPr>
        <w:t> </w:t>
      </w:r>
      <w:r>
        <w:rPr/>
        <w:t>prescribe.</w:t>
      </w:r>
      <w:r>
        <w:rPr>
          <w:spacing w:val="40"/>
        </w:rPr>
        <w:t> </w:t>
      </w:r>
      <w:r>
        <w:rPr/>
        <w:t>In</w:t>
      </w:r>
      <w:r>
        <w:rPr>
          <w:spacing w:val="40"/>
        </w:rPr>
        <w:t> </w:t>
      </w:r>
      <w:r>
        <w:rPr/>
        <w:t>each</w:t>
      </w:r>
      <w:r>
        <w:rPr>
          <w:spacing w:val="40"/>
        </w:rPr>
        <w:t> </w:t>
      </w:r>
      <w:r>
        <w:rPr/>
        <w:t>of</w:t>
      </w:r>
      <w:r>
        <w:rPr>
          <w:spacing w:val="40"/>
        </w:rPr>
        <w:t> </w:t>
      </w:r>
      <w:r>
        <w:rPr/>
        <w:t>the</w:t>
      </w:r>
      <w:r>
        <w:rPr>
          <w:spacing w:val="40"/>
        </w:rPr>
        <w:t> </w:t>
      </w:r>
      <w:r>
        <w:rPr/>
        <w:t>said</w:t>
      </w:r>
      <w:r>
        <w:rPr>
          <w:spacing w:val="40"/>
        </w:rPr>
        <w:t> </w:t>
      </w:r>
      <w:r>
        <w:rPr/>
        <w:t>Regulations,</w:t>
      </w:r>
      <w:r>
        <w:rPr>
          <w:spacing w:val="40"/>
        </w:rPr>
        <w:t> </w:t>
      </w:r>
      <w:r>
        <w:rPr/>
        <w:t>the</w:t>
      </w:r>
      <w:r>
        <w:rPr>
          <w:spacing w:val="40"/>
        </w:rPr>
        <w:t> </w:t>
      </w:r>
      <w:r>
        <w:rPr/>
        <w:t>word</w:t>
      </w:r>
      <w:r>
        <w:rPr>
          <w:spacing w:val="40"/>
        </w:rPr>
        <w:t> </w:t>
      </w:r>
      <w:r>
        <w:rPr/>
        <w:t>"Commissioner" shall,</w:t>
      </w:r>
      <w:r>
        <w:rPr>
          <w:spacing w:val="40"/>
        </w:rPr>
        <w:t> </w:t>
      </w:r>
      <w:r>
        <w:rPr/>
        <w:t>to</w:t>
      </w:r>
      <w:r>
        <w:rPr>
          <w:spacing w:val="40"/>
        </w:rPr>
        <w:t> </w:t>
      </w:r>
      <w:r>
        <w:rPr/>
        <w:t>the</w:t>
      </w:r>
      <w:r>
        <w:rPr>
          <w:spacing w:val="40"/>
        </w:rPr>
        <w:t> </w:t>
      </w:r>
      <w:r>
        <w:rPr/>
        <w:t>extent</w:t>
      </w:r>
      <w:r>
        <w:rPr>
          <w:spacing w:val="40"/>
        </w:rPr>
        <w:t> </w:t>
      </w:r>
      <w:r>
        <w:rPr/>
        <w:t>to</w:t>
      </w:r>
      <w:r>
        <w:rPr>
          <w:spacing w:val="40"/>
        </w:rPr>
        <w:t> </w:t>
      </w:r>
      <w:r>
        <w:rPr/>
        <w:t>which</w:t>
      </w:r>
      <w:r>
        <w:rPr>
          <w:spacing w:val="40"/>
        </w:rPr>
        <w:t> </w:t>
      </w:r>
      <w:r>
        <w:rPr/>
        <w:t>any</w:t>
      </w:r>
      <w:r>
        <w:rPr>
          <w:spacing w:val="40"/>
        </w:rPr>
        <w:t> </w:t>
      </w:r>
      <w:r>
        <w:rPr/>
        <w:t>municipal</w:t>
      </w:r>
      <w:r>
        <w:rPr>
          <w:spacing w:val="40"/>
        </w:rPr>
        <w:t> </w:t>
      </w:r>
      <w:r>
        <w:rPr/>
        <w:t>official</w:t>
      </w:r>
      <w:r>
        <w:rPr>
          <w:spacing w:val="40"/>
        </w:rPr>
        <w:t> </w:t>
      </w:r>
      <w:r>
        <w:rPr/>
        <w:t>is</w:t>
      </w:r>
      <w:r>
        <w:rPr>
          <w:spacing w:val="40"/>
        </w:rPr>
        <w:t> </w:t>
      </w:r>
      <w:r>
        <w:rPr/>
        <w:t>so</w:t>
      </w:r>
      <w:r>
        <w:rPr>
          <w:spacing w:val="40"/>
        </w:rPr>
        <w:t> </w:t>
      </w:r>
      <w:r>
        <w:rPr/>
        <w:t>empowered,</w:t>
      </w:r>
      <w:r>
        <w:rPr>
          <w:spacing w:val="40"/>
        </w:rPr>
        <w:t> </w:t>
      </w:r>
      <w:r>
        <w:rPr/>
        <w:t>be deemed</w:t>
      </w:r>
      <w:r>
        <w:rPr>
          <w:spacing w:val="40"/>
        </w:rPr>
        <w:t> </w:t>
      </w:r>
      <w:r>
        <w:rPr/>
        <w:t>to</w:t>
      </w:r>
      <w:r>
        <w:rPr>
          <w:spacing w:val="40"/>
        </w:rPr>
        <w:t> </w:t>
      </w:r>
      <w:r>
        <w:rPr/>
        <w:t>include</w:t>
      </w:r>
      <w:r>
        <w:rPr>
          <w:spacing w:val="40"/>
        </w:rPr>
        <w:t> </w:t>
      </w:r>
      <w:r>
        <w:rPr/>
        <w:t>such</w:t>
      </w:r>
      <w:r>
        <w:rPr>
          <w:spacing w:val="9"/>
        </w:rPr>
        <w:t> official.</w:t>
      </w:r>
    </w:p>
    <w:p>
      <w:pPr>
        <w:pStyle w:val="Heading3"/>
        <w:numPr>
          <w:ilvl w:val="0"/>
          <w:numId w:val="10"/>
        </w:numPr>
        <w:tabs>
          <w:tab w:pos="1493" w:val="left" w:leader="none"/>
        </w:tabs>
        <w:spacing w:line="240" w:lineRule="auto" w:before="277" w:after="0"/>
        <w:ind w:left="1493" w:right="0" w:hanging="721"/>
        <w:jc w:val="left"/>
      </w:pPr>
      <w:r>
        <w:rPr/>
        <w:t>Discretionary</w:t>
      </w:r>
      <w:r>
        <w:rPr>
          <w:spacing w:val="18"/>
        </w:rPr>
        <w:t>  </w:t>
      </w:r>
      <w:r>
        <w:rPr>
          <w:spacing w:val="-2"/>
        </w:rPr>
        <w:t>powers</w:t>
      </w:r>
    </w:p>
    <w:p>
      <w:pPr>
        <w:pStyle w:val="ListParagraph"/>
        <w:numPr>
          <w:ilvl w:val="0"/>
          <w:numId w:val="11"/>
        </w:numPr>
        <w:tabs>
          <w:tab w:pos="1932" w:val="left" w:leader="none"/>
        </w:tabs>
        <w:spacing w:line="240" w:lineRule="auto" w:before="286" w:after="0"/>
        <w:ind w:left="1493" w:right="799" w:firstLine="19"/>
        <w:jc w:val="both"/>
        <w:rPr>
          <w:sz w:val="24"/>
        </w:rPr>
      </w:pPr>
      <w:r>
        <w:rPr>
          <w:sz w:val="24"/>
        </w:rPr>
        <w:t>In conformity with the intent and spirit of these Regulations, the Municipal</w:t>
      </w:r>
      <w:r>
        <w:rPr>
          <w:spacing w:val="40"/>
          <w:sz w:val="24"/>
        </w:rPr>
        <w:t> </w:t>
      </w:r>
      <w:r>
        <w:rPr>
          <w:sz w:val="24"/>
        </w:rPr>
        <w:t>Commissioner</w:t>
      </w:r>
      <w:r>
        <w:rPr>
          <w:spacing w:val="40"/>
          <w:sz w:val="24"/>
        </w:rPr>
        <w:t> </w:t>
      </w:r>
      <w:r>
        <w:rPr>
          <w:sz w:val="24"/>
        </w:rPr>
        <w:t>may:</w:t>
      </w:r>
      <w:r>
        <w:rPr>
          <w:spacing w:val="40"/>
          <w:sz w:val="24"/>
        </w:rPr>
        <w:t> </w:t>
      </w:r>
      <w:r>
        <w:rPr>
          <w:sz w:val="24"/>
        </w:rPr>
        <w:t>-</w:t>
      </w:r>
    </w:p>
    <w:p>
      <w:pPr>
        <w:pStyle w:val="ListParagraph"/>
        <w:numPr>
          <w:ilvl w:val="1"/>
          <w:numId w:val="11"/>
        </w:numPr>
        <w:tabs>
          <w:tab w:pos="2061" w:val="left" w:leader="none"/>
        </w:tabs>
        <w:spacing w:line="240" w:lineRule="auto" w:before="1" w:after="0"/>
        <w:ind w:left="1673" w:right="790" w:firstLine="19"/>
        <w:jc w:val="both"/>
        <w:rPr>
          <w:sz w:val="24"/>
        </w:rPr>
      </w:pPr>
      <w:r>
        <w:rPr>
          <w:sz w:val="24"/>
        </w:rPr>
        <w:t>modify</w:t>
      </w:r>
      <w:r>
        <w:rPr>
          <w:spacing w:val="40"/>
          <w:sz w:val="24"/>
        </w:rPr>
        <w:t> </w:t>
      </w:r>
      <w:r>
        <w:rPr>
          <w:sz w:val="24"/>
        </w:rPr>
        <w:t>the</w:t>
      </w:r>
      <w:r>
        <w:rPr>
          <w:spacing w:val="40"/>
          <w:sz w:val="24"/>
        </w:rPr>
        <w:t> </w:t>
      </w:r>
      <w:r>
        <w:rPr>
          <w:sz w:val="24"/>
        </w:rPr>
        <w:t>limit</w:t>
      </w:r>
      <w:r>
        <w:rPr>
          <w:spacing w:val="40"/>
          <w:sz w:val="24"/>
        </w:rPr>
        <w:t> </w:t>
      </w:r>
      <w:r>
        <w:rPr>
          <w:sz w:val="24"/>
        </w:rPr>
        <w:t>of</w:t>
      </w:r>
      <w:r>
        <w:rPr>
          <w:spacing w:val="40"/>
          <w:sz w:val="24"/>
        </w:rPr>
        <w:t> </w:t>
      </w:r>
      <w:r>
        <w:rPr>
          <w:sz w:val="24"/>
        </w:rPr>
        <w:t>a</w:t>
      </w:r>
      <w:r>
        <w:rPr>
          <w:spacing w:val="40"/>
          <w:sz w:val="24"/>
        </w:rPr>
        <w:t> </w:t>
      </w:r>
      <w:r>
        <w:rPr>
          <w:sz w:val="24"/>
        </w:rPr>
        <w:t>zone</w:t>
      </w:r>
      <w:r>
        <w:rPr>
          <w:spacing w:val="40"/>
          <w:sz w:val="24"/>
        </w:rPr>
        <w:t> </w:t>
      </w:r>
      <w:r>
        <w:rPr>
          <w:sz w:val="24"/>
        </w:rPr>
        <w:t>where</w:t>
      </w:r>
      <w:r>
        <w:rPr>
          <w:spacing w:val="40"/>
          <w:sz w:val="24"/>
        </w:rPr>
        <w:t> </w:t>
      </w:r>
      <w:r>
        <w:rPr>
          <w:sz w:val="24"/>
        </w:rPr>
        <w:t>the</w:t>
      </w:r>
      <w:r>
        <w:rPr>
          <w:spacing w:val="40"/>
          <w:sz w:val="24"/>
        </w:rPr>
        <w:t> </w:t>
      </w:r>
      <w:r>
        <w:rPr>
          <w:sz w:val="24"/>
        </w:rPr>
        <w:t>boundary</w:t>
      </w:r>
      <w:r>
        <w:rPr>
          <w:spacing w:val="40"/>
          <w:sz w:val="24"/>
        </w:rPr>
        <w:t> </w:t>
      </w:r>
      <w:r>
        <w:rPr>
          <w:sz w:val="24"/>
        </w:rPr>
        <w:t>line</w:t>
      </w:r>
      <w:r>
        <w:rPr>
          <w:spacing w:val="40"/>
          <w:sz w:val="24"/>
        </w:rPr>
        <w:t> </w:t>
      </w:r>
      <w:r>
        <w:rPr>
          <w:sz w:val="24"/>
        </w:rPr>
        <w:t>of</w:t>
      </w:r>
      <w:r>
        <w:rPr>
          <w:spacing w:val="40"/>
          <w:sz w:val="24"/>
        </w:rPr>
        <w:t> </w:t>
      </w:r>
      <w:r>
        <w:rPr>
          <w:sz w:val="24"/>
        </w:rPr>
        <w:t>the</w:t>
      </w:r>
      <w:r>
        <w:rPr>
          <w:spacing w:val="40"/>
          <w:sz w:val="24"/>
        </w:rPr>
        <w:t> </w:t>
      </w:r>
      <w:r>
        <w:rPr>
          <w:sz w:val="24"/>
        </w:rPr>
        <w:t>zone divides</w:t>
      </w:r>
      <w:r>
        <w:rPr>
          <w:spacing w:val="39"/>
          <w:sz w:val="24"/>
        </w:rPr>
        <w:t> </w:t>
      </w:r>
      <w:r>
        <w:rPr>
          <w:sz w:val="24"/>
        </w:rPr>
        <w:t>a</w:t>
      </w:r>
      <w:r>
        <w:rPr>
          <w:spacing w:val="39"/>
          <w:sz w:val="24"/>
        </w:rPr>
        <w:t> </w:t>
      </w:r>
      <w:r>
        <w:rPr>
          <w:sz w:val="24"/>
        </w:rPr>
        <w:t>plot,</w:t>
      </w:r>
      <w:r>
        <w:rPr>
          <w:spacing w:val="39"/>
          <w:sz w:val="24"/>
        </w:rPr>
        <w:t> </w:t>
      </w:r>
      <w:r>
        <w:rPr>
          <w:sz w:val="24"/>
        </w:rPr>
        <w:t>village</w:t>
      </w:r>
      <w:r>
        <w:rPr>
          <w:spacing w:val="36"/>
          <w:sz w:val="24"/>
        </w:rPr>
        <w:t> </w:t>
      </w:r>
      <w:r>
        <w:rPr>
          <w:sz w:val="24"/>
        </w:rPr>
        <w:t>boundary,</w:t>
      </w:r>
      <w:r>
        <w:rPr>
          <w:spacing w:val="36"/>
          <w:sz w:val="24"/>
        </w:rPr>
        <w:t> </w:t>
      </w:r>
      <w:r>
        <w:rPr>
          <w:sz w:val="24"/>
        </w:rPr>
        <w:t>CS/CTS</w:t>
      </w:r>
      <w:r>
        <w:rPr>
          <w:spacing w:val="39"/>
          <w:sz w:val="24"/>
        </w:rPr>
        <w:t> </w:t>
      </w:r>
      <w:r>
        <w:rPr>
          <w:sz w:val="24"/>
        </w:rPr>
        <w:t>No.</w:t>
      </w:r>
      <w:r>
        <w:rPr>
          <w:spacing w:val="39"/>
          <w:sz w:val="24"/>
        </w:rPr>
        <w:t> </w:t>
      </w:r>
      <w:r>
        <w:rPr>
          <w:sz w:val="24"/>
        </w:rPr>
        <w:t>as</w:t>
      </w:r>
      <w:r>
        <w:rPr>
          <w:spacing w:val="39"/>
          <w:sz w:val="24"/>
        </w:rPr>
        <w:t> </w:t>
      </w:r>
      <w:r>
        <w:rPr>
          <w:sz w:val="24"/>
        </w:rPr>
        <w:t>per</w:t>
      </w:r>
      <w:r>
        <w:rPr>
          <w:spacing w:val="39"/>
          <w:sz w:val="24"/>
        </w:rPr>
        <w:t> </w:t>
      </w:r>
      <w:r>
        <w:rPr>
          <w:sz w:val="24"/>
        </w:rPr>
        <w:t>records</w:t>
      </w:r>
      <w:r>
        <w:rPr>
          <w:spacing w:val="36"/>
          <w:sz w:val="24"/>
        </w:rPr>
        <w:t> </w:t>
      </w:r>
      <w:r>
        <w:rPr>
          <w:sz w:val="24"/>
        </w:rPr>
        <w:t>of</w:t>
      </w:r>
      <w:r>
        <w:rPr>
          <w:spacing w:val="39"/>
          <w:sz w:val="24"/>
        </w:rPr>
        <w:t> </w:t>
      </w:r>
      <w:r>
        <w:rPr>
          <w:sz w:val="24"/>
        </w:rPr>
        <w:t>revenue by</w:t>
      </w:r>
      <w:r>
        <w:rPr>
          <w:spacing w:val="40"/>
          <w:sz w:val="24"/>
        </w:rPr>
        <w:t> </w:t>
      </w:r>
      <w:r>
        <w:rPr>
          <w:sz w:val="24"/>
        </w:rPr>
        <w:t>a</w:t>
      </w:r>
      <w:r>
        <w:rPr>
          <w:spacing w:val="40"/>
          <w:sz w:val="24"/>
        </w:rPr>
        <w:t> </w:t>
      </w:r>
      <w:r>
        <w:rPr>
          <w:sz w:val="24"/>
        </w:rPr>
        <w:t>special</w:t>
      </w:r>
      <w:r>
        <w:rPr>
          <w:spacing w:val="40"/>
          <w:sz w:val="24"/>
        </w:rPr>
        <w:t> </w:t>
      </w:r>
      <w:r>
        <w:rPr>
          <w:sz w:val="24"/>
        </w:rPr>
        <w:t>permission;</w:t>
      </w:r>
      <w:r>
        <w:rPr>
          <w:spacing w:val="40"/>
          <w:sz w:val="24"/>
        </w:rPr>
        <w:t> </w:t>
      </w:r>
      <w:r>
        <w:rPr>
          <w:sz w:val="24"/>
        </w:rPr>
        <w:t>and</w:t>
      </w:r>
    </w:p>
    <w:p>
      <w:pPr>
        <w:pStyle w:val="ListParagraph"/>
        <w:numPr>
          <w:ilvl w:val="1"/>
          <w:numId w:val="11"/>
        </w:numPr>
        <w:tabs>
          <w:tab w:pos="2121" w:val="left" w:leader="none"/>
        </w:tabs>
        <w:spacing w:line="240" w:lineRule="auto" w:before="0" w:after="0"/>
        <w:ind w:left="1673" w:right="774" w:firstLine="19"/>
        <w:jc w:val="both"/>
        <w:rPr>
          <w:sz w:val="24"/>
        </w:rPr>
      </w:pPr>
      <w:r>
        <w:rPr>
          <w:sz w:val="24"/>
        </w:rPr>
        <w:t>authorize</w:t>
      </w:r>
      <w:r>
        <w:rPr>
          <w:spacing w:val="40"/>
          <w:sz w:val="24"/>
        </w:rPr>
        <w:t> </w:t>
      </w:r>
      <w:r>
        <w:rPr>
          <w:sz w:val="24"/>
        </w:rPr>
        <w:t>the</w:t>
      </w:r>
      <w:r>
        <w:rPr>
          <w:spacing w:val="40"/>
          <w:sz w:val="24"/>
        </w:rPr>
        <w:t> </w:t>
      </w:r>
      <w:r>
        <w:rPr>
          <w:sz w:val="24"/>
        </w:rPr>
        <w:t>erection</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or</w:t>
      </w:r>
      <w:r>
        <w:rPr>
          <w:spacing w:val="40"/>
          <w:sz w:val="24"/>
        </w:rPr>
        <w:t> </w:t>
      </w:r>
      <w:r>
        <w:rPr>
          <w:sz w:val="24"/>
        </w:rPr>
        <w:t>the</w:t>
      </w:r>
      <w:r>
        <w:rPr>
          <w:spacing w:val="40"/>
          <w:sz w:val="24"/>
        </w:rPr>
        <w:t> </w:t>
      </w:r>
      <w:r>
        <w:rPr>
          <w:sz w:val="24"/>
        </w:rPr>
        <w:t>use</w:t>
      </w:r>
      <w:r>
        <w:rPr>
          <w:spacing w:val="40"/>
          <w:sz w:val="24"/>
        </w:rPr>
        <w:t> </w:t>
      </w:r>
      <w:r>
        <w:rPr>
          <w:sz w:val="24"/>
        </w:rPr>
        <w:t>of</w:t>
      </w:r>
      <w:r>
        <w:rPr>
          <w:spacing w:val="40"/>
          <w:sz w:val="24"/>
        </w:rPr>
        <w:t> </w:t>
      </w:r>
      <w:r>
        <w:rPr>
          <w:sz w:val="24"/>
        </w:rPr>
        <w:t>premises</w:t>
      </w:r>
      <w:r>
        <w:rPr>
          <w:spacing w:val="40"/>
          <w:sz w:val="24"/>
        </w:rPr>
        <w:t> </w:t>
      </w:r>
      <w:r>
        <w:rPr>
          <w:sz w:val="24"/>
        </w:rPr>
        <w:t>for</w:t>
      </w:r>
      <w:r>
        <w:rPr>
          <w:spacing w:val="40"/>
          <w:sz w:val="24"/>
        </w:rPr>
        <w:t> </w:t>
      </w:r>
      <w:r>
        <w:rPr>
          <w:sz w:val="24"/>
        </w:rPr>
        <w:t>a public</w:t>
      </w:r>
      <w:r>
        <w:rPr>
          <w:spacing w:val="40"/>
          <w:sz w:val="24"/>
        </w:rPr>
        <w:t> </w:t>
      </w:r>
      <w:r>
        <w:rPr>
          <w:sz w:val="24"/>
        </w:rPr>
        <w:t>service</w:t>
      </w:r>
      <w:r>
        <w:rPr>
          <w:spacing w:val="40"/>
          <w:sz w:val="24"/>
        </w:rPr>
        <w:t> </w:t>
      </w:r>
      <w:r>
        <w:rPr>
          <w:sz w:val="24"/>
        </w:rPr>
        <w:t>undertaking,</w:t>
      </w:r>
      <w:r>
        <w:rPr>
          <w:spacing w:val="40"/>
          <w:sz w:val="24"/>
        </w:rPr>
        <w:t> </w:t>
      </w:r>
      <w:r>
        <w:rPr>
          <w:sz w:val="24"/>
        </w:rPr>
        <w:t>Government,</w:t>
      </w:r>
      <w:r>
        <w:rPr>
          <w:spacing w:val="11"/>
          <w:sz w:val="24"/>
        </w:rPr>
        <w:t> Semi-</w:t>
      </w:r>
      <w:r>
        <w:rPr>
          <w:sz w:val="24"/>
        </w:rPr>
        <w:t>Government,</w:t>
      </w:r>
      <w:r>
        <w:rPr>
          <w:spacing w:val="40"/>
          <w:sz w:val="24"/>
        </w:rPr>
        <w:t> </w:t>
      </w:r>
      <w:r>
        <w:rPr>
          <w:sz w:val="24"/>
        </w:rPr>
        <w:t>Local Bodies for public utility purposes only, where he finds such an authorization to be reasonably necessary for public convenience and welfare,</w:t>
      </w:r>
      <w:r>
        <w:rPr>
          <w:spacing w:val="38"/>
          <w:sz w:val="24"/>
        </w:rPr>
        <w:t> </w:t>
      </w:r>
      <w:r>
        <w:rPr>
          <w:sz w:val="24"/>
        </w:rPr>
        <w:t>even</w:t>
      </w:r>
      <w:r>
        <w:rPr>
          <w:spacing w:val="38"/>
          <w:sz w:val="24"/>
        </w:rPr>
        <w:t> </w:t>
      </w:r>
      <w:r>
        <w:rPr>
          <w:sz w:val="24"/>
        </w:rPr>
        <w:t>if</w:t>
      </w:r>
      <w:r>
        <w:rPr>
          <w:spacing w:val="40"/>
          <w:sz w:val="24"/>
        </w:rPr>
        <w:t> </w:t>
      </w:r>
      <w:r>
        <w:rPr>
          <w:sz w:val="24"/>
        </w:rPr>
        <w:t>it</w:t>
      </w:r>
      <w:r>
        <w:rPr>
          <w:spacing w:val="38"/>
          <w:sz w:val="24"/>
        </w:rPr>
        <w:t> </w:t>
      </w:r>
      <w:r>
        <w:rPr>
          <w:sz w:val="24"/>
        </w:rPr>
        <w:t>is</w:t>
      </w:r>
      <w:r>
        <w:rPr>
          <w:spacing w:val="40"/>
          <w:sz w:val="24"/>
        </w:rPr>
        <w:t> </w:t>
      </w:r>
      <w:r>
        <w:rPr>
          <w:sz w:val="24"/>
        </w:rPr>
        <w:t>not</w:t>
      </w:r>
      <w:r>
        <w:rPr>
          <w:spacing w:val="38"/>
          <w:sz w:val="24"/>
        </w:rPr>
        <w:t> </w:t>
      </w:r>
      <w:r>
        <w:rPr>
          <w:sz w:val="24"/>
        </w:rPr>
        <w:t>permitted</w:t>
      </w:r>
      <w:r>
        <w:rPr>
          <w:spacing w:val="38"/>
          <w:sz w:val="24"/>
        </w:rPr>
        <w:t> </w:t>
      </w:r>
      <w:r>
        <w:rPr>
          <w:sz w:val="24"/>
        </w:rPr>
        <w:t>in</w:t>
      </w:r>
      <w:r>
        <w:rPr>
          <w:spacing w:val="40"/>
          <w:sz w:val="24"/>
        </w:rPr>
        <w:t> </w:t>
      </w:r>
      <w:r>
        <w:rPr>
          <w:sz w:val="24"/>
        </w:rPr>
        <w:t>any</w:t>
      </w:r>
      <w:r>
        <w:rPr>
          <w:spacing w:val="38"/>
          <w:sz w:val="24"/>
        </w:rPr>
        <w:t> </w:t>
      </w:r>
      <w:r>
        <w:rPr>
          <w:sz w:val="24"/>
        </w:rPr>
        <w:t>land</w:t>
      </w:r>
      <w:r>
        <w:rPr>
          <w:spacing w:val="38"/>
          <w:sz w:val="24"/>
        </w:rPr>
        <w:t> </w:t>
      </w:r>
      <w:r>
        <w:rPr>
          <w:sz w:val="24"/>
        </w:rPr>
        <w:t>use</w:t>
      </w:r>
      <w:r>
        <w:rPr>
          <w:spacing w:val="9"/>
          <w:sz w:val="24"/>
        </w:rPr>
        <w:t> classification/zone </w:t>
      </w:r>
      <w:r>
        <w:rPr>
          <w:sz w:val="24"/>
        </w:rPr>
        <w:t>by a special </w:t>
      </w:r>
      <w:r>
        <w:rPr>
          <w:spacing w:val="9"/>
          <w:sz w:val="24"/>
        </w:rPr>
        <w:t>permission.</w:t>
      </w:r>
    </w:p>
    <w:p>
      <w:pPr>
        <w:pStyle w:val="ListParagraph"/>
        <w:numPr>
          <w:ilvl w:val="1"/>
          <w:numId w:val="11"/>
        </w:numPr>
        <w:tabs>
          <w:tab w:pos="2178" w:val="left" w:leader="none"/>
        </w:tabs>
        <w:spacing w:line="240" w:lineRule="auto" w:before="0" w:after="0"/>
        <w:ind w:left="1692" w:right="784" w:firstLine="0"/>
        <w:jc w:val="both"/>
        <w:rPr>
          <w:sz w:val="24"/>
        </w:rPr>
      </w:pPr>
      <w:r>
        <w:rPr>
          <w:sz w:val="24"/>
        </w:rPr>
        <w:t>decide on matters where it is alleged that there is an error in any order, requirement, decision, determination made by any </w:t>
      </w:r>
      <w:r>
        <w:rPr>
          <w:spacing w:val="10"/>
          <w:sz w:val="24"/>
        </w:rPr>
        <w:t>municipal </w:t>
      </w:r>
      <w:r>
        <w:rPr>
          <w:sz w:val="24"/>
        </w:rPr>
        <w:t>officer</w:t>
      </w:r>
      <w:r>
        <w:rPr>
          <w:spacing w:val="80"/>
          <w:sz w:val="24"/>
        </w:rPr>
        <w:t> </w:t>
      </w:r>
      <w:r>
        <w:rPr>
          <w:sz w:val="24"/>
        </w:rPr>
        <w:t>under</w:t>
      </w:r>
      <w:r>
        <w:rPr>
          <w:spacing w:val="80"/>
          <w:sz w:val="24"/>
        </w:rPr>
        <w:t> </w:t>
      </w:r>
      <w:r>
        <w:rPr>
          <w:sz w:val="24"/>
        </w:rPr>
        <w:t>delegation</w:t>
      </w:r>
      <w:r>
        <w:rPr>
          <w:spacing w:val="80"/>
          <w:sz w:val="24"/>
        </w:rPr>
        <w:t> </w:t>
      </w:r>
      <w:r>
        <w:rPr>
          <w:sz w:val="24"/>
        </w:rPr>
        <w:t>of</w:t>
      </w:r>
      <w:r>
        <w:rPr>
          <w:spacing w:val="80"/>
          <w:sz w:val="24"/>
        </w:rPr>
        <w:t> </w:t>
      </w:r>
      <w:r>
        <w:rPr>
          <w:sz w:val="24"/>
        </w:rPr>
        <w:t>powers</w:t>
      </w:r>
      <w:r>
        <w:rPr>
          <w:spacing w:val="80"/>
          <w:sz w:val="24"/>
        </w:rPr>
        <w:t> </w:t>
      </w:r>
      <w:r>
        <w:rPr>
          <w:sz w:val="24"/>
        </w:rPr>
        <w:t>in</w:t>
      </w:r>
      <w:r>
        <w:rPr>
          <w:spacing w:val="80"/>
          <w:sz w:val="24"/>
        </w:rPr>
        <w:t> </w:t>
      </w:r>
      <w:r>
        <w:rPr>
          <w:sz w:val="24"/>
        </w:rPr>
        <w:t>application</w:t>
      </w:r>
      <w:r>
        <w:rPr>
          <w:spacing w:val="80"/>
          <w:sz w:val="24"/>
        </w:rPr>
        <w:t> </w:t>
      </w:r>
      <w:r>
        <w:rPr>
          <w:sz w:val="24"/>
        </w:rPr>
        <w:t>of</w:t>
      </w:r>
      <w:r>
        <w:rPr>
          <w:spacing w:val="80"/>
          <w:sz w:val="24"/>
        </w:rPr>
        <w:t> </w:t>
      </w:r>
      <w:r>
        <w:rPr>
          <w:sz w:val="24"/>
        </w:rPr>
        <w:t>the</w:t>
      </w:r>
      <w:r>
        <w:rPr>
          <w:spacing w:val="80"/>
          <w:sz w:val="24"/>
        </w:rPr>
        <w:t> </w:t>
      </w:r>
      <w:r>
        <w:rPr>
          <w:sz w:val="24"/>
        </w:rPr>
        <w:t>Regulations or</w:t>
      </w:r>
      <w:r>
        <w:rPr>
          <w:spacing w:val="40"/>
          <w:sz w:val="24"/>
        </w:rPr>
        <w:t> </w:t>
      </w:r>
      <w:r>
        <w:rPr>
          <w:sz w:val="24"/>
        </w:rPr>
        <w:t>in</w:t>
      </w:r>
      <w:r>
        <w:rPr>
          <w:spacing w:val="40"/>
          <w:sz w:val="24"/>
        </w:rPr>
        <w:t> </w:t>
      </w:r>
      <w:r>
        <w:rPr>
          <w:sz w:val="24"/>
        </w:rPr>
        <w:t>interpretation</w:t>
      </w:r>
      <w:r>
        <w:rPr>
          <w:spacing w:val="40"/>
          <w:sz w:val="24"/>
        </w:rPr>
        <w:t> </w:t>
      </w:r>
      <w:r>
        <w:rPr>
          <w:sz w:val="24"/>
        </w:rPr>
        <w:t>of</w:t>
      </w:r>
      <w:r>
        <w:rPr>
          <w:spacing w:val="40"/>
          <w:sz w:val="24"/>
        </w:rPr>
        <w:t> </w:t>
      </w:r>
      <w:r>
        <w:rPr>
          <w:sz w:val="24"/>
        </w:rPr>
        <w:t>these</w:t>
      </w:r>
      <w:r>
        <w:rPr>
          <w:spacing w:val="40"/>
          <w:sz w:val="24"/>
        </w:rPr>
        <w:t> </w:t>
      </w:r>
      <w:r>
        <w:rPr>
          <w:spacing w:val="9"/>
          <w:sz w:val="24"/>
        </w:rPr>
        <w:t>Regulations:</w:t>
      </w:r>
    </w:p>
    <w:p>
      <w:pPr>
        <w:pStyle w:val="ListParagraph"/>
        <w:numPr>
          <w:ilvl w:val="1"/>
          <w:numId w:val="11"/>
        </w:numPr>
        <w:tabs>
          <w:tab w:pos="2058" w:val="left" w:leader="none"/>
        </w:tabs>
        <w:spacing w:line="240" w:lineRule="auto" w:before="0" w:after="0"/>
        <w:ind w:left="1584" w:right="776" w:firstLine="19"/>
        <w:jc w:val="both"/>
        <w:rPr>
          <w:sz w:val="24"/>
        </w:rPr>
      </w:pPr>
      <w:r>
        <w:rPr>
          <w:sz w:val="24"/>
        </w:rPr>
        <w:t>interpret the provisions of these Regulations where a street layout actually on the ground varies from the street layout shown on the development </w:t>
      </w:r>
      <w:r>
        <w:rPr>
          <w:spacing w:val="9"/>
          <w:sz w:val="24"/>
        </w:rPr>
        <w:t>plan;</w:t>
      </w:r>
    </w:p>
    <w:p>
      <w:pPr>
        <w:pStyle w:val="ListParagraph"/>
        <w:numPr>
          <w:ilvl w:val="0"/>
          <w:numId w:val="11"/>
        </w:numPr>
        <w:tabs>
          <w:tab w:pos="1903" w:val="left" w:leader="none"/>
        </w:tabs>
        <w:spacing w:line="240" w:lineRule="auto" w:before="281" w:after="0"/>
        <w:ind w:left="1493" w:right="773" w:firstLine="0"/>
        <w:jc w:val="both"/>
        <w:rPr>
          <w:sz w:val="24"/>
        </w:rPr>
      </w:pPr>
      <w:r>
        <w:rPr>
          <w:sz w:val="24"/>
        </w:rPr>
        <w:t>In</w:t>
      </w:r>
      <w:r>
        <w:rPr>
          <w:spacing w:val="40"/>
          <w:sz w:val="24"/>
        </w:rPr>
        <w:t> </w:t>
      </w:r>
      <w:r>
        <w:rPr>
          <w:sz w:val="24"/>
        </w:rPr>
        <w:t>specific</w:t>
      </w:r>
      <w:r>
        <w:rPr>
          <w:spacing w:val="40"/>
          <w:sz w:val="24"/>
        </w:rPr>
        <w:t> </w:t>
      </w:r>
      <w:r>
        <w:rPr>
          <w:sz w:val="24"/>
        </w:rPr>
        <w:t>cases</w:t>
      </w:r>
      <w:r>
        <w:rPr>
          <w:spacing w:val="40"/>
          <w:sz w:val="24"/>
        </w:rPr>
        <w:t> </w:t>
      </w:r>
      <w:r>
        <w:rPr>
          <w:sz w:val="24"/>
        </w:rPr>
        <w:t>where</w:t>
      </w:r>
      <w:r>
        <w:rPr>
          <w:spacing w:val="40"/>
          <w:sz w:val="24"/>
        </w:rPr>
        <w:t> </w:t>
      </w:r>
      <w:r>
        <w:rPr>
          <w:sz w:val="24"/>
        </w:rPr>
        <w:t>a</w:t>
      </w:r>
      <w:r>
        <w:rPr>
          <w:spacing w:val="40"/>
          <w:sz w:val="24"/>
        </w:rPr>
        <w:t> </w:t>
      </w:r>
      <w:r>
        <w:rPr>
          <w:sz w:val="24"/>
        </w:rPr>
        <w:t>clearly</w:t>
      </w:r>
      <w:r>
        <w:rPr>
          <w:spacing w:val="40"/>
          <w:sz w:val="24"/>
        </w:rPr>
        <w:t> </w:t>
      </w:r>
      <w:r>
        <w:rPr>
          <w:sz w:val="24"/>
        </w:rPr>
        <w:t>demonstrable</w:t>
      </w:r>
      <w:r>
        <w:rPr>
          <w:spacing w:val="40"/>
          <w:sz w:val="24"/>
        </w:rPr>
        <w:t> </w:t>
      </w:r>
      <w:r>
        <w:rPr>
          <w:sz w:val="24"/>
        </w:rPr>
        <w:t>hardship</w:t>
      </w:r>
      <w:r>
        <w:rPr>
          <w:spacing w:val="40"/>
          <w:sz w:val="24"/>
        </w:rPr>
        <w:t> </w:t>
      </w:r>
      <w:r>
        <w:rPr>
          <w:sz w:val="24"/>
        </w:rPr>
        <w:t>is</w:t>
      </w:r>
      <w:r>
        <w:rPr>
          <w:spacing w:val="40"/>
          <w:sz w:val="24"/>
        </w:rPr>
        <w:t> </w:t>
      </w:r>
      <w:r>
        <w:rPr>
          <w:sz w:val="24"/>
        </w:rPr>
        <w:t>caused, the Commissioner may for reasons to be </w:t>
      </w:r>
      <w:r>
        <w:rPr>
          <w:spacing w:val="9"/>
          <w:sz w:val="24"/>
        </w:rPr>
        <w:t>recorded </w:t>
      </w:r>
      <w:r>
        <w:rPr>
          <w:sz w:val="24"/>
        </w:rPr>
        <w:t>in writing, by special permission</w:t>
      </w:r>
      <w:r>
        <w:rPr>
          <w:spacing w:val="40"/>
          <w:sz w:val="24"/>
        </w:rPr>
        <w:t> </w:t>
      </w:r>
      <w:r>
        <w:rPr>
          <w:sz w:val="24"/>
        </w:rPr>
        <w:t>permit</w:t>
      </w:r>
      <w:r>
        <w:rPr>
          <w:spacing w:val="40"/>
          <w:sz w:val="24"/>
        </w:rPr>
        <w:t> </w:t>
      </w:r>
      <w:r>
        <w:rPr>
          <w:sz w:val="24"/>
        </w:rPr>
        <w:t>any</w:t>
      </w:r>
      <w:r>
        <w:rPr>
          <w:spacing w:val="40"/>
          <w:sz w:val="24"/>
        </w:rPr>
        <w:t> </w:t>
      </w:r>
      <w:r>
        <w:rPr>
          <w:sz w:val="24"/>
        </w:rPr>
        <w:t>of</w:t>
      </w:r>
      <w:r>
        <w:rPr>
          <w:spacing w:val="40"/>
          <w:sz w:val="24"/>
        </w:rPr>
        <w:t> </w:t>
      </w:r>
      <w:r>
        <w:rPr>
          <w:sz w:val="24"/>
        </w:rPr>
        <w:t>the</w:t>
      </w:r>
      <w:r>
        <w:rPr>
          <w:spacing w:val="40"/>
          <w:sz w:val="24"/>
        </w:rPr>
        <w:t> </w:t>
      </w:r>
      <w:r>
        <w:rPr>
          <w:sz w:val="24"/>
        </w:rPr>
        <w:t>dimensions</w:t>
      </w:r>
      <w:r>
        <w:rPr>
          <w:spacing w:val="40"/>
          <w:sz w:val="24"/>
        </w:rPr>
        <w:t> </w:t>
      </w:r>
      <w:r>
        <w:rPr>
          <w:sz w:val="24"/>
        </w:rPr>
        <w:t>prescribed</w:t>
      </w:r>
      <w:r>
        <w:rPr>
          <w:spacing w:val="40"/>
          <w:sz w:val="24"/>
        </w:rPr>
        <w:t> </w:t>
      </w:r>
      <w:r>
        <w:rPr>
          <w:sz w:val="24"/>
        </w:rPr>
        <w:t>by</w:t>
      </w:r>
      <w:r>
        <w:rPr>
          <w:spacing w:val="40"/>
          <w:sz w:val="24"/>
        </w:rPr>
        <w:t> </w:t>
      </w:r>
      <w:r>
        <w:rPr>
          <w:spacing w:val="9"/>
          <w:sz w:val="24"/>
        </w:rPr>
        <w:t>these </w:t>
      </w:r>
      <w:r>
        <w:rPr>
          <w:sz w:val="24"/>
        </w:rPr>
        <w:t>Regulations to be modified, except those relating to floor space </w:t>
      </w:r>
      <w:r>
        <w:rPr>
          <w:spacing w:val="9"/>
          <w:sz w:val="24"/>
        </w:rPr>
        <w:t>indices </w:t>
      </w:r>
      <w:r>
        <w:rPr>
          <w:sz w:val="24"/>
        </w:rPr>
        <w:t>unless otherwise permitted under these Regulations, provided that the relaxation</w:t>
      </w:r>
      <w:r>
        <w:rPr>
          <w:spacing w:val="40"/>
          <w:sz w:val="24"/>
        </w:rPr>
        <w:t> </w:t>
      </w:r>
      <w:r>
        <w:rPr>
          <w:sz w:val="24"/>
        </w:rPr>
        <w:t>will</w:t>
      </w:r>
      <w:r>
        <w:rPr>
          <w:spacing w:val="40"/>
          <w:sz w:val="24"/>
        </w:rPr>
        <w:t> </w:t>
      </w:r>
      <w:r>
        <w:rPr>
          <w:sz w:val="24"/>
        </w:rPr>
        <w:t>not</w:t>
      </w:r>
      <w:r>
        <w:rPr>
          <w:spacing w:val="40"/>
          <w:sz w:val="24"/>
        </w:rPr>
        <w:t> </w:t>
      </w:r>
      <w:r>
        <w:rPr>
          <w:sz w:val="24"/>
        </w:rPr>
        <w:t>affect</w:t>
      </w:r>
      <w:r>
        <w:rPr>
          <w:spacing w:val="40"/>
          <w:sz w:val="24"/>
        </w:rPr>
        <w:t> </w:t>
      </w:r>
      <w:r>
        <w:rPr>
          <w:sz w:val="24"/>
        </w:rPr>
        <w:t>the</w:t>
      </w:r>
      <w:r>
        <w:rPr>
          <w:spacing w:val="40"/>
          <w:sz w:val="24"/>
        </w:rPr>
        <w:t> </w:t>
      </w:r>
      <w:r>
        <w:rPr>
          <w:sz w:val="24"/>
        </w:rPr>
        <w:t>health,</w:t>
      </w:r>
      <w:r>
        <w:rPr>
          <w:spacing w:val="40"/>
          <w:sz w:val="24"/>
        </w:rPr>
        <w:t> </w:t>
      </w:r>
      <w:r>
        <w:rPr>
          <w:sz w:val="24"/>
        </w:rPr>
        <w:t>safety,</w:t>
      </w:r>
      <w:r>
        <w:rPr>
          <w:spacing w:val="40"/>
          <w:sz w:val="24"/>
        </w:rPr>
        <w:t> </w:t>
      </w:r>
      <w:r>
        <w:rPr>
          <w:sz w:val="24"/>
        </w:rPr>
        <w:t>fire</w:t>
      </w:r>
      <w:r>
        <w:rPr>
          <w:spacing w:val="40"/>
          <w:sz w:val="24"/>
        </w:rPr>
        <w:t> </w:t>
      </w:r>
      <w:r>
        <w:rPr>
          <w:sz w:val="24"/>
        </w:rPr>
        <w:t>safety,</w:t>
      </w:r>
      <w:r>
        <w:rPr>
          <w:spacing w:val="40"/>
          <w:sz w:val="24"/>
        </w:rPr>
        <w:t> </w:t>
      </w:r>
      <w:r>
        <w:rPr>
          <w:sz w:val="24"/>
        </w:rPr>
        <w:t>structural</w:t>
      </w:r>
      <w:r>
        <w:rPr>
          <w:spacing w:val="40"/>
          <w:sz w:val="24"/>
        </w:rPr>
        <w:t> </w:t>
      </w:r>
      <w:r>
        <w:rPr>
          <w:sz w:val="24"/>
        </w:rPr>
        <w:t>safety and</w:t>
      </w:r>
      <w:r>
        <w:rPr>
          <w:spacing w:val="40"/>
          <w:sz w:val="24"/>
        </w:rPr>
        <w:t> </w:t>
      </w:r>
      <w:r>
        <w:rPr>
          <w:sz w:val="24"/>
        </w:rPr>
        <w:t>public</w:t>
      </w:r>
      <w:r>
        <w:rPr>
          <w:spacing w:val="40"/>
          <w:sz w:val="24"/>
        </w:rPr>
        <w:t> </w:t>
      </w:r>
      <w:r>
        <w:rPr>
          <w:sz w:val="24"/>
        </w:rPr>
        <w:t>safety</w:t>
      </w:r>
      <w:r>
        <w:rPr>
          <w:spacing w:val="40"/>
          <w:sz w:val="24"/>
        </w:rPr>
        <w:t> </w:t>
      </w:r>
      <w:r>
        <w:rPr>
          <w:sz w:val="24"/>
        </w:rPr>
        <w:t>of</w:t>
      </w:r>
      <w:r>
        <w:rPr>
          <w:spacing w:val="40"/>
          <w:sz w:val="24"/>
        </w:rPr>
        <w:t> </w:t>
      </w:r>
      <w:r>
        <w:rPr>
          <w:sz w:val="24"/>
        </w:rPr>
        <w:t>the</w:t>
      </w:r>
      <w:r>
        <w:rPr>
          <w:spacing w:val="40"/>
          <w:sz w:val="24"/>
        </w:rPr>
        <w:t> </w:t>
      </w:r>
      <w:r>
        <w:rPr>
          <w:sz w:val="24"/>
        </w:rPr>
        <w:t>inhabitants</w:t>
      </w:r>
      <w:r>
        <w:rPr>
          <w:spacing w:val="40"/>
          <w:sz w:val="24"/>
        </w:rPr>
        <w:t> </w:t>
      </w:r>
      <w:r>
        <w:rPr>
          <w:sz w:val="24"/>
        </w:rPr>
        <w:t>of</w:t>
      </w:r>
      <w:r>
        <w:rPr>
          <w:spacing w:val="40"/>
          <w:sz w:val="24"/>
        </w:rPr>
        <w:t> </w:t>
      </w:r>
      <w:r>
        <w:rPr>
          <w:sz w:val="24"/>
        </w:rPr>
        <w:t>the</w:t>
      </w:r>
      <w:r>
        <w:rPr>
          <w:spacing w:val="40"/>
          <w:sz w:val="24"/>
        </w:rPr>
        <w:t> </w:t>
      </w:r>
      <w:r>
        <w:rPr>
          <w:sz w:val="24"/>
        </w:rPr>
        <w:t>building</w:t>
      </w:r>
      <w:r>
        <w:rPr>
          <w:spacing w:val="40"/>
          <w:sz w:val="24"/>
        </w:rPr>
        <w:t> </w:t>
      </w:r>
      <w:r>
        <w:rPr>
          <w:sz w:val="24"/>
        </w:rPr>
        <w:t>and</w:t>
      </w:r>
      <w:r>
        <w:rPr>
          <w:spacing w:val="40"/>
          <w:sz w:val="24"/>
        </w:rPr>
        <w:t> </w:t>
      </w:r>
      <w:r>
        <w:rPr>
          <w:sz w:val="24"/>
        </w:rPr>
        <w:t>the </w:t>
      </w:r>
      <w:r>
        <w:rPr>
          <w:spacing w:val="7"/>
          <w:sz w:val="24"/>
        </w:rPr>
        <w:t>neighborhood.</w:t>
      </w:r>
    </w:p>
    <w:p>
      <w:pPr>
        <w:pStyle w:val="BodyText"/>
        <w:spacing w:before="1"/>
        <w:jc w:val="left"/>
      </w:pPr>
    </w:p>
    <w:p>
      <w:pPr>
        <w:pStyle w:val="ListParagraph"/>
        <w:numPr>
          <w:ilvl w:val="0"/>
          <w:numId w:val="11"/>
        </w:numPr>
        <w:tabs>
          <w:tab w:pos="2083" w:val="left" w:leader="none"/>
        </w:tabs>
        <w:spacing w:line="240" w:lineRule="auto" w:before="1" w:after="0"/>
        <w:ind w:left="1493" w:right="773" w:firstLine="0"/>
        <w:jc w:val="both"/>
        <w:rPr>
          <w:sz w:val="24"/>
        </w:rPr>
      </w:pPr>
      <w:r>
        <w:rPr>
          <w:sz w:val="24"/>
        </w:rPr>
        <w:t>Any</w:t>
      </w:r>
      <w:r>
        <w:rPr>
          <w:spacing w:val="40"/>
          <w:sz w:val="24"/>
        </w:rPr>
        <w:t> </w:t>
      </w:r>
      <w:r>
        <w:rPr>
          <w:sz w:val="24"/>
        </w:rPr>
        <w:t>discrepancy/error</w:t>
      </w:r>
      <w:r>
        <w:rPr>
          <w:spacing w:val="40"/>
          <w:sz w:val="24"/>
        </w:rPr>
        <w:t> </w:t>
      </w:r>
      <w:r>
        <w:rPr>
          <w:sz w:val="24"/>
        </w:rPr>
        <w:t>in</w:t>
      </w:r>
      <w:r>
        <w:rPr>
          <w:spacing w:val="40"/>
          <w:sz w:val="24"/>
        </w:rPr>
        <w:t> </w:t>
      </w:r>
      <w:r>
        <w:rPr>
          <w:sz w:val="24"/>
        </w:rPr>
        <w:t>regard</w:t>
      </w:r>
      <w:r>
        <w:rPr>
          <w:spacing w:val="40"/>
          <w:sz w:val="24"/>
        </w:rPr>
        <w:t> </w:t>
      </w:r>
      <w:r>
        <w:rPr>
          <w:sz w:val="24"/>
        </w:rPr>
        <w:t>to</w:t>
      </w:r>
      <w:r>
        <w:rPr>
          <w:spacing w:val="40"/>
          <w:sz w:val="24"/>
        </w:rPr>
        <w:t> </w:t>
      </w:r>
      <w:r>
        <w:rPr>
          <w:sz w:val="24"/>
        </w:rPr>
        <w:t>location/size/use</w:t>
      </w:r>
      <w:r>
        <w:rPr>
          <w:spacing w:val="40"/>
          <w:sz w:val="24"/>
        </w:rPr>
        <w:t> </w:t>
      </w:r>
      <w:r>
        <w:rPr>
          <w:sz w:val="24"/>
        </w:rPr>
        <w:t>of</w:t>
      </w:r>
      <w:r>
        <w:rPr>
          <w:spacing w:val="80"/>
          <w:sz w:val="24"/>
        </w:rPr>
        <w:t> </w:t>
      </w:r>
      <w:r>
        <w:rPr>
          <w:sz w:val="24"/>
        </w:rPr>
        <w:t>designations</w:t>
      </w:r>
      <w:r>
        <w:rPr>
          <w:spacing w:val="40"/>
          <w:sz w:val="24"/>
        </w:rPr>
        <w:t> </w:t>
      </w:r>
      <w:r>
        <w:rPr>
          <w:sz w:val="24"/>
        </w:rPr>
        <w:t>and</w:t>
      </w:r>
      <w:r>
        <w:rPr>
          <w:spacing w:val="40"/>
          <w:sz w:val="24"/>
        </w:rPr>
        <w:t> </w:t>
      </w:r>
      <w:r>
        <w:rPr>
          <w:sz w:val="24"/>
        </w:rPr>
        <w:t>any</w:t>
      </w:r>
      <w:r>
        <w:rPr>
          <w:spacing w:val="40"/>
          <w:sz w:val="24"/>
        </w:rPr>
        <w:t> </w:t>
      </w:r>
      <w:r>
        <w:rPr>
          <w:sz w:val="24"/>
        </w:rPr>
        <w:t>relocation</w:t>
      </w:r>
      <w:r>
        <w:rPr>
          <w:spacing w:val="40"/>
          <w:sz w:val="24"/>
        </w:rPr>
        <w:t> </w:t>
      </w:r>
      <w:r>
        <w:rPr>
          <w:sz w:val="24"/>
        </w:rPr>
        <w:t>of</w:t>
      </w:r>
      <w:r>
        <w:rPr>
          <w:spacing w:val="40"/>
          <w:sz w:val="24"/>
        </w:rPr>
        <w:t> </w:t>
      </w:r>
      <w:r>
        <w:rPr>
          <w:sz w:val="24"/>
        </w:rPr>
        <w:t>reservation</w:t>
      </w:r>
      <w:r>
        <w:rPr>
          <w:spacing w:val="40"/>
          <w:sz w:val="24"/>
        </w:rPr>
        <w:t> </w:t>
      </w:r>
      <w:r>
        <w:rPr>
          <w:sz w:val="24"/>
        </w:rPr>
        <w:t>approved</w:t>
      </w:r>
      <w:r>
        <w:rPr>
          <w:spacing w:val="40"/>
          <w:sz w:val="24"/>
        </w:rPr>
        <w:t> </w:t>
      </w:r>
      <w:r>
        <w:rPr>
          <w:sz w:val="24"/>
        </w:rPr>
        <w:t>by</w:t>
      </w:r>
      <w:r>
        <w:rPr>
          <w:spacing w:val="40"/>
          <w:sz w:val="24"/>
        </w:rPr>
        <w:t> </w:t>
      </w:r>
      <w:r>
        <w:rPr>
          <w:sz w:val="24"/>
        </w:rPr>
        <w:t>the competent</w:t>
      </w:r>
      <w:r>
        <w:rPr>
          <w:spacing w:val="80"/>
          <w:sz w:val="24"/>
        </w:rPr>
        <w:t> </w:t>
      </w:r>
      <w:r>
        <w:rPr>
          <w:sz w:val="24"/>
        </w:rPr>
        <w:t>authority</w:t>
      </w:r>
      <w:r>
        <w:rPr>
          <w:spacing w:val="80"/>
          <w:sz w:val="24"/>
        </w:rPr>
        <w:t> </w:t>
      </w:r>
      <w:r>
        <w:rPr>
          <w:sz w:val="24"/>
        </w:rPr>
        <w:t>along</w:t>
      </w:r>
      <w:r>
        <w:rPr>
          <w:spacing w:val="80"/>
          <w:sz w:val="24"/>
        </w:rPr>
        <w:t> </w:t>
      </w:r>
      <w:r>
        <w:rPr>
          <w:sz w:val="24"/>
        </w:rPr>
        <w:t>with</w:t>
      </w:r>
      <w:r>
        <w:rPr>
          <w:spacing w:val="80"/>
          <w:sz w:val="24"/>
        </w:rPr>
        <w:t> </w:t>
      </w:r>
      <w:r>
        <w:rPr>
          <w:sz w:val="24"/>
        </w:rPr>
        <w:t>its</w:t>
      </w:r>
      <w:r>
        <w:rPr>
          <w:spacing w:val="80"/>
          <w:sz w:val="24"/>
        </w:rPr>
        <w:t> </w:t>
      </w:r>
      <w:r>
        <w:rPr>
          <w:sz w:val="24"/>
        </w:rPr>
        <w:t>development</w:t>
      </w:r>
      <w:r>
        <w:rPr>
          <w:spacing w:val="80"/>
          <w:sz w:val="24"/>
        </w:rPr>
        <w:t> </w:t>
      </w:r>
      <w:r>
        <w:rPr>
          <w:sz w:val="24"/>
        </w:rPr>
        <w:t>at</w:t>
      </w:r>
      <w:r>
        <w:rPr>
          <w:spacing w:val="80"/>
          <w:sz w:val="24"/>
        </w:rPr>
        <w:t> </w:t>
      </w:r>
      <w:r>
        <w:rPr>
          <w:sz w:val="24"/>
        </w:rPr>
        <w:t>its</w:t>
      </w:r>
      <w:r>
        <w:rPr>
          <w:spacing w:val="80"/>
          <w:sz w:val="24"/>
        </w:rPr>
        <w:t> </w:t>
      </w:r>
      <w:r>
        <w:rPr>
          <w:sz w:val="24"/>
        </w:rPr>
        <w:t>relocated position</w:t>
      </w:r>
      <w:r>
        <w:rPr>
          <w:spacing w:val="40"/>
          <w:sz w:val="24"/>
        </w:rPr>
        <w:t> </w:t>
      </w:r>
      <w:r>
        <w:rPr>
          <w:sz w:val="24"/>
        </w:rPr>
        <w:t>if</w:t>
      </w:r>
      <w:r>
        <w:rPr>
          <w:spacing w:val="40"/>
          <w:sz w:val="24"/>
        </w:rPr>
        <w:t> </w:t>
      </w:r>
      <w:r>
        <w:rPr>
          <w:sz w:val="24"/>
        </w:rPr>
        <w:t>not</w:t>
      </w:r>
      <w:r>
        <w:rPr>
          <w:spacing w:val="40"/>
          <w:sz w:val="24"/>
        </w:rPr>
        <w:t> </w:t>
      </w:r>
      <w:r>
        <w:rPr>
          <w:sz w:val="24"/>
        </w:rPr>
        <w:t>reflected</w:t>
      </w:r>
      <w:r>
        <w:rPr>
          <w:spacing w:val="40"/>
          <w:sz w:val="24"/>
        </w:rPr>
        <w:t> </w:t>
      </w:r>
      <w:r>
        <w:rPr>
          <w:sz w:val="24"/>
        </w:rPr>
        <w:t>in</w:t>
      </w:r>
      <w:r>
        <w:rPr>
          <w:spacing w:val="40"/>
          <w:sz w:val="24"/>
        </w:rPr>
        <w:t> </w:t>
      </w:r>
      <w:r>
        <w:rPr>
          <w:sz w:val="24"/>
        </w:rPr>
        <w:t>this</w:t>
      </w:r>
      <w:r>
        <w:rPr>
          <w:spacing w:val="40"/>
          <w:sz w:val="24"/>
        </w:rPr>
        <w:t> </w:t>
      </w:r>
      <w:r>
        <w:rPr>
          <w:sz w:val="24"/>
        </w:rPr>
        <w:t>Development</w:t>
      </w:r>
      <w:r>
        <w:rPr>
          <w:spacing w:val="40"/>
          <w:sz w:val="24"/>
        </w:rPr>
        <w:t> </w:t>
      </w:r>
      <w:r>
        <w:rPr>
          <w:sz w:val="24"/>
        </w:rPr>
        <w:t>Plan</w:t>
      </w:r>
      <w:r>
        <w:rPr>
          <w:spacing w:val="40"/>
          <w:sz w:val="24"/>
        </w:rPr>
        <w:t> </w:t>
      </w:r>
      <w:r>
        <w:rPr>
          <w:sz w:val="24"/>
        </w:rPr>
        <w:t>and</w:t>
      </w:r>
      <w:r>
        <w:rPr>
          <w:spacing w:val="40"/>
          <w:sz w:val="24"/>
        </w:rPr>
        <w:t> </w:t>
      </w:r>
      <w:r>
        <w:rPr>
          <w:sz w:val="24"/>
        </w:rPr>
        <w:t>that</w:t>
      </w:r>
      <w:r>
        <w:rPr>
          <w:spacing w:val="40"/>
          <w:sz w:val="24"/>
        </w:rPr>
        <w:t> </w:t>
      </w:r>
      <w:r>
        <w:rPr>
          <w:sz w:val="24"/>
        </w:rPr>
        <w:t>are</w:t>
      </w:r>
      <w:r>
        <w:rPr>
          <w:spacing w:val="40"/>
          <w:sz w:val="24"/>
        </w:rPr>
        <w:t> </w:t>
      </w:r>
      <w:r>
        <w:rPr>
          <w:sz w:val="24"/>
        </w:rPr>
        <w:t>brought to the notice of</w:t>
      </w:r>
      <w:r>
        <w:rPr>
          <w:spacing w:val="80"/>
          <w:sz w:val="24"/>
        </w:rPr>
        <w:t> </w:t>
      </w:r>
      <w:r>
        <w:rPr>
          <w:sz w:val="24"/>
        </w:rPr>
        <w:t>MCGM may, after due enquiry, be corrected with the special</w:t>
      </w:r>
      <w:r>
        <w:rPr>
          <w:spacing w:val="80"/>
          <w:sz w:val="24"/>
        </w:rPr>
        <w:t> </w:t>
      </w:r>
      <w:r>
        <w:rPr>
          <w:sz w:val="24"/>
        </w:rPr>
        <w:t>permission</w:t>
      </w:r>
      <w:r>
        <w:rPr>
          <w:spacing w:val="80"/>
          <w:sz w:val="24"/>
        </w:rPr>
        <w:t> </w:t>
      </w:r>
      <w:r>
        <w:rPr>
          <w:sz w:val="24"/>
        </w:rPr>
        <w:t>of</w:t>
      </w:r>
      <w:r>
        <w:rPr>
          <w:spacing w:val="80"/>
          <w:sz w:val="24"/>
        </w:rPr>
        <w:t> </w:t>
      </w:r>
      <w:r>
        <w:rPr>
          <w:sz w:val="24"/>
        </w:rPr>
        <w:t>the</w:t>
      </w:r>
      <w:r>
        <w:rPr>
          <w:spacing w:val="40"/>
          <w:sz w:val="24"/>
        </w:rPr>
        <w:t> </w:t>
      </w:r>
      <w:r>
        <w:rPr>
          <w:sz w:val="24"/>
        </w:rPr>
        <w:t>Commissioner.</w:t>
      </w:r>
    </w:p>
    <w:p>
      <w:pPr>
        <w:pStyle w:val="ListParagraph"/>
        <w:spacing w:after="0" w:line="240" w:lineRule="auto"/>
        <w:jc w:val="both"/>
        <w:rPr>
          <w:sz w:val="24"/>
        </w:rPr>
        <w:sectPr>
          <w:pgSz w:w="11910" w:h="16840"/>
          <w:pgMar w:header="1058" w:footer="1357" w:top="1500" w:bottom="1540" w:left="360" w:right="360"/>
        </w:sectPr>
      </w:pPr>
    </w:p>
    <w:p>
      <w:pPr>
        <w:pStyle w:val="BodyText"/>
        <w:spacing w:before="255"/>
        <w:ind w:left="1493" w:right="770"/>
      </w:pPr>
      <w:r>
        <w:rPr/>
        <w:t>Provided</w:t>
      </w:r>
      <w:r>
        <w:rPr>
          <w:spacing w:val="-8"/>
        </w:rPr>
        <w:t> </w:t>
      </w:r>
      <w:r>
        <w:rPr/>
        <w:t>that</w:t>
      </w:r>
      <w:r>
        <w:rPr>
          <w:spacing w:val="-8"/>
        </w:rPr>
        <w:t> </w:t>
      </w:r>
      <w:r>
        <w:rPr/>
        <w:t>the</w:t>
      </w:r>
      <w:r>
        <w:rPr>
          <w:spacing w:val="-6"/>
        </w:rPr>
        <w:t> </w:t>
      </w:r>
      <w:r>
        <w:rPr/>
        <w:t>Municipal</w:t>
      </w:r>
      <w:r>
        <w:rPr>
          <w:spacing w:val="-8"/>
        </w:rPr>
        <w:t> </w:t>
      </w:r>
      <w:r>
        <w:rPr/>
        <w:t>Commissioner</w:t>
      </w:r>
      <w:r>
        <w:rPr>
          <w:spacing w:val="-8"/>
        </w:rPr>
        <w:t> </w:t>
      </w:r>
      <w:r>
        <w:rPr/>
        <w:t>shall</w:t>
      </w:r>
      <w:r>
        <w:rPr>
          <w:spacing w:val="-8"/>
        </w:rPr>
        <w:t> </w:t>
      </w:r>
      <w:r>
        <w:rPr/>
        <w:t>issue</w:t>
      </w:r>
      <w:r>
        <w:rPr>
          <w:spacing w:val="-6"/>
        </w:rPr>
        <w:t> </w:t>
      </w:r>
      <w:r>
        <w:rPr/>
        <w:t>a</w:t>
      </w:r>
      <w:r>
        <w:rPr>
          <w:spacing w:val="-7"/>
        </w:rPr>
        <w:t> </w:t>
      </w:r>
      <w:r>
        <w:rPr/>
        <w:t>well-reasoned</w:t>
      </w:r>
      <w:r>
        <w:rPr>
          <w:spacing w:val="-8"/>
        </w:rPr>
        <w:t> </w:t>
      </w:r>
      <w:r>
        <w:rPr/>
        <w:t>order of such correction, along with the authenticated part plan showing the location under his seal and signature, with a copy to the Govt., Director of Town planning, Maharashtra State, Deputy Director of Town Planning, Greater Mumbai for information and record purpose. The proposal of Development Plan shall stand modified to that effect.</w:t>
      </w:r>
    </w:p>
    <w:p>
      <w:pPr>
        <w:pStyle w:val="Heading3"/>
        <w:numPr>
          <w:ilvl w:val="0"/>
          <w:numId w:val="10"/>
        </w:numPr>
        <w:tabs>
          <w:tab w:pos="1308" w:val="left" w:leader="none"/>
        </w:tabs>
        <w:spacing w:line="240" w:lineRule="auto" w:before="278" w:after="0"/>
        <w:ind w:left="1308" w:right="0" w:hanging="516"/>
        <w:jc w:val="left"/>
      </w:pPr>
      <w:r>
        <w:rPr/>
        <w:t>Power</w:t>
      </w:r>
      <w:r>
        <w:rPr>
          <w:spacing w:val="39"/>
        </w:rPr>
        <w:t> </w:t>
      </w:r>
      <w:r>
        <w:rPr/>
        <w:t>to</w:t>
      </w:r>
      <w:r>
        <w:rPr>
          <w:spacing w:val="39"/>
        </w:rPr>
        <w:t> </w:t>
      </w:r>
      <w:r>
        <w:rPr>
          <w:spacing w:val="-2"/>
        </w:rPr>
        <w:t>delegate</w:t>
      </w:r>
    </w:p>
    <w:p>
      <w:pPr>
        <w:pStyle w:val="BodyText"/>
        <w:spacing w:before="288"/>
        <w:ind w:left="1133" w:right="776" w:firstLine="19"/>
      </w:pPr>
      <w:r>
        <w:rPr/>
        <w:t>The</w:t>
      </w:r>
      <w:r>
        <w:rPr>
          <w:spacing w:val="40"/>
        </w:rPr>
        <w:t> </w:t>
      </w:r>
      <w:r>
        <w:rPr/>
        <w:t>State</w:t>
      </w:r>
      <w:r>
        <w:rPr>
          <w:spacing w:val="40"/>
        </w:rPr>
        <w:t> </w:t>
      </w:r>
      <w:r>
        <w:rPr/>
        <w:t>Government</w:t>
      </w:r>
      <w:r>
        <w:rPr>
          <w:spacing w:val="40"/>
        </w:rPr>
        <w:t> </w:t>
      </w:r>
      <w:r>
        <w:rPr/>
        <w:t>may,</w:t>
      </w:r>
      <w:r>
        <w:rPr>
          <w:spacing w:val="40"/>
        </w:rPr>
        <w:t> </w:t>
      </w:r>
      <w:r>
        <w:rPr/>
        <w:t>by</w:t>
      </w:r>
      <w:r>
        <w:rPr>
          <w:spacing w:val="40"/>
        </w:rPr>
        <w:t> </w:t>
      </w:r>
      <w:r>
        <w:rPr/>
        <w:t>notification</w:t>
      </w:r>
      <w:r>
        <w:rPr>
          <w:spacing w:val="40"/>
        </w:rPr>
        <w:t> </w:t>
      </w:r>
      <w:r>
        <w:rPr/>
        <w:t>in</w:t>
      </w:r>
      <w:r>
        <w:rPr>
          <w:spacing w:val="40"/>
        </w:rPr>
        <w:t> </w:t>
      </w:r>
      <w:r>
        <w:rPr/>
        <w:t>the</w:t>
      </w:r>
      <w:r>
        <w:rPr>
          <w:spacing w:val="40"/>
        </w:rPr>
        <w:t> </w:t>
      </w:r>
      <w:r>
        <w:rPr/>
        <w:t>Official</w:t>
      </w:r>
      <w:r>
        <w:rPr>
          <w:spacing w:val="40"/>
        </w:rPr>
        <w:t> </w:t>
      </w:r>
      <w:r>
        <w:rPr/>
        <w:t>Gazette</w:t>
      </w:r>
      <w:r>
        <w:rPr>
          <w:spacing w:val="40"/>
        </w:rPr>
        <w:t> </w:t>
      </w:r>
      <w:r>
        <w:rPr/>
        <w:t>delegate by a general or special order any of its powers under these Regulations, subject</w:t>
      </w:r>
      <w:r>
        <w:rPr>
          <w:spacing w:val="68"/>
        </w:rPr>
        <w:t> </w:t>
      </w:r>
      <w:r>
        <w:rPr/>
        <w:t>to</w:t>
      </w:r>
      <w:r>
        <w:rPr>
          <w:spacing w:val="67"/>
        </w:rPr>
        <w:t> </w:t>
      </w:r>
      <w:r>
        <w:rPr/>
        <w:t>such</w:t>
      </w:r>
      <w:r>
        <w:rPr>
          <w:spacing w:val="67"/>
        </w:rPr>
        <w:t> </w:t>
      </w:r>
      <w:r>
        <w:rPr/>
        <w:t>conditions</w:t>
      </w:r>
      <w:r>
        <w:rPr>
          <w:spacing w:val="68"/>
        </w:rPr>
        <w:t> </w:t>
      </w:r>
      <w:r>
        <w:rPr/>
        <w:t>as</w:t>
      </w:r>
      <w:r>
        <w:rPr>
          <w:spacing w:val="68"/>
        </w:rPr>
        <w:t> </w:t>
      </w:r>
      <w:r>
        <w:rPr/>
        <w:t>it</w:t>
      </w:r>
      <w:r>
        <w:rPr>
          <w:spacing w:val="68"/>
        </w:rPr>
        <w:t> </w:t>
      </w:r>
      <w:r>
        <w:rPr/>
        <w:t>may</w:t>
      </w:r>
      <w:r>
        <w:rPr>
          <w:spacing w:val="68"/>
        </w:rPr>
        <w:t> </w:t>
      </w:r>
      <w:r>
        <w:rPr/>
        <w:t>consider</w:t>
      </w:r>
      <w:r>
        <w:rPr>
          <w:spacing w:val="68"/>
        </w:rPr>
        <w:t> </w:t>
      </w:r>
      <w:r>
        <w:rPr/>
        <w:t>appropriate,</w:t>
      </w:r>
      <w:r>
        <w:rPr>
          <w:spacing w:val="68"/>
        </w:rPr>
        <w:t> </w:t>
      </w:r>
      <w:r>
        <w:rPr/>
        <w:t>to</w:t>
      </w:r>
      <w:r>
        <w:rPr>
          <w:spacing w:val="67"/>
        </w:rPr>
        <w:t> </w:t>
      </w:r>
      <w:r>
        <w:rPr/>
        <w:t>any</w:t>
      </w:r>
      <w:r>
        <w:rPr>
          <w:spacing w:val="68"/>
        </w:rPr>
        <w:t> </w:t>
      </w:r>
      <w:r>
        <w:rPr>
          <w:spacing w:val="9"/>
        </w:rPr>
        <w:t>officer </w:t>
      </w:r>
      <w:r>
        <w:rPr/>
        <w:t>of</w:t>
      </w:r>
      <w:r>
        <w:rPr>
          <w:spacing w:val="40"/>
        </w:rPr>
        <w:t> </w:t>
      </w:r>
      <w:r>
        <w:rPr/>
        <w:t>the</w:t>
      </w:r>
      <w:r>
        <w:rPr>
          <w:spacing w:val="40"/>
        </w:rPr>
        <w:t> </w:t>
      </w:r>
      <w:r>
        <w:rPr/>
        <w:t>State</w:t>
      </w:r>
      <w:r>
        <w:rPr>
          <w:spacing w:val="40"/>
        </w:rPr>
        <w:t> </w:t>
      </w:r>
      <w:r>
        <w:rPr/>
        <w:t>Government</w:t>
      </w:r>
      <w:r>
        <w:rPr>
          <w:spacing w:val="40"/>
        </w:rPr>
        <w:t> </w:t>
      </w:r>
      <w:r>
        <w:rPr/>
        <w:t>not</w:t>
      </w:r>
      <w:r>
        <w:rPr>
          <w:spacing w:val="40"/>
        </w:rPr>
        <w:t> </w:t>
      </w:r>
      <w:r>
        <w:rPr/>
        <w:t>below</w:t>
      </w:r>
      <w:r>
        <w:rPr>
          <w:spacing w:val="40"/>
        </w:rPr>
        <w:t> </w:t>
      </w:r>
      <w:r>
        <w:rPr/>
        <w:t>the</w:t>
      </w:r>
      <w:r>
        <w:rPr>
          <w:spacing w:val="40"/>
        </w:rPr>
        <w:t> </w:t>
      </w:r>
      <w:r>
        <w:rPr/>
        <w:t>rank</w:t>
      </w:r>
      <w:r>
        <w:rPr>
          <w:spacing w:val="40"/>
        </w:rPr>
        <w:t> </w:t>
      </w:r>
      <w:r>
        <w:rPr/>
        <w:t>of</w:t>
      </w:r>
      <w:r>
        <w:rPr>
          <w:spacing w:val="40"/>
        </w:rPr>
        <w:t> </w:t>
      </w:r>
      <w:r>
        <w:rPr/>
        <w:t>Deputy</w:t>
      </w:r>
      <w:r>
        <w:rPr>
          <w:spacing w:val="40"/>
        </w:rPr>
        <w:t> </w:t>
      </w:r>
      <w:r>
        <w:rPr/>
        <w:t>Secretary,</w:t>
      </w:r>
      <w:r>
        <w:rPr>
          <w:spacing w:val="40"/>
        </w:rPr>
        <w:t> </w:t>
      </w:r>
      <w:r>
        <w:rPr/>
        <w:t>except those relating to any matter which is required to be dealt with under the special</w:t>
      </w:r>
      <w:r>
        <w:rPr>
          <w:spacing w:val="40"/>
        </w:rPr>
        <w:t> </w:t>
      </w:r>
      <w:r>
        <w:rPr/>
        <w:t>permission</w:t>
      </w:r>
      <w:r>
        <w:rPr>
          <w:spacing w:val="40"/>
        </w:rPr>
        <w:t> </w:t>
      </w:r>
      <w:r>
        <w:rPr/>
        <w:t>of</w:t>
      </w:r>
      <w:r>
        <w:rPr>
          <w:spacing w:val="40"/>
        </w:rPr>
        <w:t> </w:t>
      </w:r>
      <w:r>
        <w:rPr/>
        <w:t>the</w:t>
      </w:r>
      <w:r>
        <w:rPr>
          <w:spacing w:val="40"/>
        </w:rPr>
        <w:t> </w:t>
      </w:r>
      <w:r>
        <w:rPr>
          <w:spacing w:val="9"/>
        </w:rPr>
        <w:t>Commissioner.</w:t>
      </w:r>
    </w:p>
    <w:p>
      <w:pPr>
        <w:pStyle w:val="Heading3"/>
        <w:numPr>
          <w:ilvl w:val="0"/>
          <w:numId w:val="10"/>
        </w:numPr>
        <w:tabs>
          <w:tab w:pos="1288" w:val="left" w:leader="none"/>
        </w:tabs>
        <w:spacing w:line="240" w:lineRule="auto" w:before="235" w:after="0"/>
        <w:ind w:left="1288" w:right="0" w:hanging="516"/>
        <w:jc w:val="left"/>
      </w:pPr>
      <w:r>
        <w:rPr/>
        <w:t>Amendment/modification</w:t>
      </w:r>
      <w:r>
        <w:rPr>
          <w:spacing w:val="19"/>
        </w:rPr>
        <w:t>  </w:t>
      </w:r>
      <w:r>
        <w:rPr/>
        <w:t>to</w:t>
      </w:r>
      <w:r>
        <w:rPr>
          <w:spacing w:val="17"/>
        </w:rPr>
        <w:t>  </w:t>
      </w:r>
      <w:r>
        <w:rPr>
          <w:spacing w:val="-2"/>
        </w:rPr>
        <w:t>Appendices/Annexures</w:t>
      </w:r>
    </w:p>
    <w:p>
      <w:pPr>
        <w:pStyle w:val="BodyText"/>
        <w:spacing w:before="285"/>
        <w:ind w:left="1056" w:right="788" w:firstLine="76"/>
      </w:pPr>
      <w:r>
        <w:rPr/>
        <w:t>Except</w:t>
      </w:r>
      <w:r>
        <w:rPr>
          <w:spacing w:val="40"/>
        </w:rPr>
        <w:t> </w:t>
      </w:r>
      <w:r>
        <w:rPr/>
        <w:t>where</w:t>
      </w:r>
      <w:r>
        <w:rPr>
          <w:spacing w:val="40"/>
        </w:rPr>
        <w:t> </w:t>
      </w:r>
      <w:r>
        <w:rPr/>
        <w:t>the</w:t>
      </w:r>
      <w:r>
        <w:rPr>
          <w:spacing w:val="40"/>
        </w:rPr>
        <w:t> </w:t>
      </w:r>
      <w:r>
        <w:rPr/>
        <w:t>same</w:t>
      </w:r>
      <w:r>
        <w:rPr>
          <w:spacing w:val="40"/>
        </w:rPr>
        <w:t> </w:t>
      </w:r>
      <w:r>
        <w:rPr/>
        <w:t>are</w:t>
      </w:r>
      <w:r>
        <w:rPr>
          <w:spacing w:val="40"/>
        </w:rPr>
        <w:t> </w:t>
      </w:r>
      <w:r>
        <w:rPr/>
        <w:t>prescribed</w:t>
      </w:r>
      <w:r>
        <w:rPr>
          <w:spacing w:val="40"/>
        </w:rPr>
        <w:t> </w:t>
      </w:r>
      <w:r>
        <w:rPr/>
        <w:t>in</w:t>
      </w:r>
      <w:r>
        <w:rPr>
          <w:spacing w:val="40"/>
        </w:rPr>
        <w:t> </w:t>
      </w:r>
      <w:r>
        <w:rPr/>
        <w:t>Mumbai</w:t>
      </w:r>
      <w:r>
        <w:rPr>
          <w:spacing w:val="40"/>
        </w:rPr>
        <w:t> </w:t>
      </w:r>
      <w:r>
        <w:rPr/>
        <w:t>Municipal</w:t>
      </w:r>
      <w:r>
        <w:rPr>
          <w:spacing w:val="40"/>
        </w:rPr>
        <w:t> </w:t>
      </w:r>
      <w:r>
        <w:rPr/>
        <w:t>Corporation Act,</w:t>
      </w:r>
      <w:r>
        <w:rPr>
          <w:spacing w:val="40"/>
        </w:rPr>
        <w:t> </w:t>
      </w:r>
      <w:r>
        <w:rPr/>
        <w:t>1888,</w:t>
      </w:r>
      <w:r>
        <w:rPr>
          <w:spacing w:val="40"/>
        </w:rPr>
        <w:t> </w:t>
      </w:r>
      <w:r>
        <w:rPr/>
        <w:t>or</w:t>
      </w:r>
      <w:r>
        <w:rPr>
          <w:spacing w:val="40"/>
        </w:rPr>
        <w:t> </w:t>
      </w:r>
      <w:r>
        <w:rPr/>
        <w:t>Maharashtra</w:t>
      </w:r>
      <w:r>
        <w:rPr>
          <w:spacing w:val="40"/>
        </w:rPr>
        <w:t> </w:t>
      </w:r>
      <w:r>
        <w:rPr/>
        <w:t>Regional</w:t>
      </w:r>
      <w:r>
        <w:rPr>
          <w:spacing w:val="40"/>
        </w:rPr>
        <w:t> </w:t>
      </w:r>
      <w:r>
        <w:rPr/>
        <w:t>and</w:t>
      </w:r>
      <w:r>
        <w:rPr>
          <w:spacing w:val="40"/>
        </w:rPr>
        <w:t> </w:t>
      </w:r>
      <w:r>
        <w:rPr/>
        <w:t>Town</w:t>
      </w:r>
      <w:r>
        <w:rPr>
          <w:spacing w:val="40"/>
        </w:rPr>
        <w:t> </w:t>
      </w:r>
      <w:r>
        <w:rPr/>
        <w:t>Planning</w:t>
      </w:r>
      <w:r>
        <w:rPr>
          <w:spacing w:val="40"/>
        </w:rPr>
        <w:t> </w:t>
      </w:r>
      <w:r>
        <w:rPr/>
        <w:t>Act,</w:t>
      </w:r>
      <w:r>
        <w:rPr>
          <w:spacing w:val="40"/>
        </w:rPr>
        <w:t> </w:t>
      </w:r>
      <w:r>
        <w:rPr/>
        <w:t>1966</w:t>
      </w:r>
      <w:r>
        <w:rPr>
          <w:spacing w:val="40"/>
        </w:rPr>
        <w:t> </w:t>
      </w:r>
      <w:r>
        <w:rPr/>
        <w:t>or</w:t>
      </w:r>
      <w:r>
        <w:rPr>
          <w:spacing w:val="40"/>
        </w:rPr>
        <w:t> </w:t>
      </w:r>
      <w:r>
        <w:rPr/>
        <w:t>the rules</w:t>
      </w:r>
      <w:r>
        <w:rPr>
          <w:spacing w:val="75"/>
        </w:rPr>
        <w:t> </w:t>
      </w:r>
      <w:r>
        <w:rPr/>
        <w:t>or</w:t>
      </w:r>
      <w:r>
        <w:rPr>
          <w:spacing w:val="75"/>
        </w:rPr>
        <w:t> </w:t>
      </w:r>
      <w:r>
        <w:rPr>
          <w:spacing w:val="10"/>
        </w:rPr>
        <w:t>bye-</w:t>
      </w:r>
      <w:r>
        <w:rPr/>
        <w:t>laws</w:t>
      </w:r>
      <w:r>
        <w:rPr>
          <w:spacing w:val="75"/>
        </w:rPr>
        <w:t> </w:t>
      </w:r>
      <w:r>
        <w:rPr/>
        <w:t>framed</w:t>
      </w:r>
      <w:r>
        <w:rPr>
          <w:spacing w:val="79"/>
        </w:rPr>
        <w:t> </w:t>
      </w:r>
      <w:r>
        <w:rPr/>
        <w:t>there</w:t>
      </w:r>
      <w:r>
        <w:rPr>
          <w:spacing w:val="75"/>
        </w:rPr>
        <w:t> </w:t>
      </w:r>
      <w:r>
        <w:rPr/>
        <w:t>under,</w:t>
      </w:r>
      <w:r>
        <w:rPr>
          <w:spacing w:val="75"/>
        </w:rPr>
        <w:t> </w:t>
      </w:r>
      <w:r>
        <w:rPr/>
        <w:t>the</w:t>
      </w:r>
      <w:r>
        <w:rPr>
          <w:spacing w:val="75"/>
        </w:rPr>
        <w:t> </w:t>
      </w:r>
      <w:r>
        <w:rPr/>
        <w:t>Commissioner</w:t>
      </w:r>
      <w:r>
        <w:rPr>
          <w:spacing w:val="75"/>
        </w:rPr>
        <w:t> </w:t>
      </w:r>
      <w:r>
        <w:rPr/>
        <w:t>may,</w:t>
      </w:r>
      <w:r>
        <w:rPr>
          <w:spacing w:val="75"/>
        </w:rPr>
        <w:t> </w:t>
      </w:r>
      <w:r>
        <w:rPr/>
        <w:t>from</w:t>
      </w:r>
      <w:r>
        <w:rPr>
          <w:spacing w:val="75"/>
        </w:rPr>
        <w:t> </w:t>
      </w:r>
      <w:r>
        <w:rPr/>
        <w:t>time to</w:t>
      </w:r>
      <w:r>
        <w:rPr>
          <w:spacing w:val="40"/>
        </w:rPr>
        <w:t> </w:t>
      </w:r>
      <w:r>
        <w:rPr/>
        <w:t>time,</w:t>
      </w:r>
      <w:r>
        <w:rPr>
          <w:spacing w:val="40"/>
        </w:rPr>
        <w:t> </w:t>
      </w:r>
      <w:r>
        <w:rPr/>
        <w:t>add</w:t>
      </w:r>
      <w:r>
        <w:rPr>
          <w:spacing w:val="40"/>
        </w:rPr>
        <w:t> </w:t>
      </w:r>
      <w:r>
        <w:rPr/>
        <w:t>to,</w:t>
      </w:r>
      <w:r>
        <w:rPr>
          <w:spacing w:val="40"/>
        </w:rPr>
        <w:t> </w:t>
      </w:r>
      <w:r>
        <w:rPr/>
        <w:t>alter</w:t>
      </w:r>
      <w:r>
        <w:rPr>
          <w:spacing w:val="40"/>
        </w:rPr>
        <w:t> </w:t>
      </w:r>
      <w:r>
        <w:rPr/>
        <w:t>or</w:t>
      </w:r>
      <w:r>
        <w:rPr>
          <w:spacing w:val="40"/>
        </w:rPr>
        <w:t> </w:t>
      </w:r>
      <w:r>
        <w:rPr/>
        <w:t>amend</w:t>
      </w:r>
      <w:r>
        <w:rPr>
          <w:spacing w:val="40"/>
        </w:rPr>
        <w:t> </w:t>
      </w:r>
      <w:r>
        <w:rPr/>
        <w:t>Appendices</w:t>
      </w:r>
      <w:r>
        <w:rPr>
          <w:spacing w:val="40"/>
        </w:rPr>
        <w:t> </w:t>
      </w:r>
      <w:r>
        <w:rPr/>
        <w:t>and</w:t>
      </w:r>
      <w:r>
        <w:rPr>
          <w:spacing w:val="40"/>
        </w:rPr>
        <w:t> </w:t>
      </w:r>
      <w:r>
        <w:rPr/>
        <w:t>Annexures</w:t>
      </w:r>
      <w:r>
        <w:rPr>
          <w:spacing w:val="40"/>
        </w:rPr>
        <w:t> </w:t>
      </w:r>
      <w:r>
        <w:rPr/>
        <w:t>appended</w:t>
      </w:r>
      <w:r>
        <w:rPr>
          <w:spacing w:val="40"/>
        </w:rPr>
        <w:t> </w:t>
      </w:r>
      <w:r>
        <w:rPr/>
        <w:t>to these Regulations.</w:t>
      </w:r>
    </w:p>
    <w:p>
      <w:pPr>
        <w:pStyle w:val="BodyText"/>
        <w:spacing w:after="0"/>
        <w:sectPr>
          <w:pgSz w:w="11910" w:h="16840"/>
          <w:pgMar w:header="1058" w:footer="1357" w:top="1500" w:bottom="1540" w:left="360" w:right="360"/>
        </w:sectPr>
      </w:pPr>
    </w:p>
    <w:p>
      <w:pPr>
        <w:pStyle w:val="Heading1"/>
        <w:spacing w:before="277"/>
        <w:ind w:right="291"/>
      </w:pPr>
      <w:r>
        <w:rPr/>
        <w:t>PART</w:t>
      </w:r>
      <w:r>
        <w:rPr>
          <w:spacing w:val="19"/>
        </w:rPr>
        <w:t> </w:t>
      </w:r>
      <w:r>
        <w:rPr/>
        <w:t>II</w:t>
      </w:r>
      <w:r>
        <w:rPr>
          <w:spacing w:val="20"/>
        </w:rPr>
        <w:t> </w:t>
      </w:r>
      <w:r>
        <w:rPr>
          <w:spacing w:val="9"/>
        </w:rPr>
        <w:t>DEVELOPMENT</w:t>
      </w:r>
      <w:r>
        <w:rPr>
          <w:spacing w:val="18"/>
        </w:rPr>
        <w:t> </w:t>
      </w:r>
      <w:r>
        <w:rPr>
          <w:spacing w:val="-2"/>
        </w:rPr>
        <w:t>PERMISSION</w:t>
      </w:r>
    </w:p>
    <w:p>
      <w:pPr>
        <w:pStyle w:val="Heading3"/>
        <w:numPr>
          <w:ilvl w:val="0"/>
          <w:numId w:val="10"/>
        </w:numPr>
        <w:tabs>
          <w:tab w:pos="1493" w:val="left" w:leader="none"/>
        </w:tabs>
        <w:spacing w:line="240" w:lineRule="auto" w:before="238" w:after="0"/>
        <w:ind w:left="1493" w:right="0" w:hanging="721"/>
        <w:jc w:val="left"/>
        <w:rPr>
          <w:i w:val="0"/>
        </w:rPr>
      </w:pPr>
      <w:r>
        <w:rPr/>
        <w:t>Development</w:t>
      </w:r>
      <w:r>
        <w:rPr>
          <w:spacing w:val="40"/>
          <w:w w:val="150"/>
        </w:rPr>
        <w:t> </w:t>
      </w:r>
      <w:r>
        <w:rPr/>
        <w:t>permission</w:t>
      </w:r>
      <w:r>
        <w:rPr>
          <w:spacing w:val="44"/>
          <w:w w:val="150"/>
        </w:rPr>
        <w:t> </w:t>
      </w:r>
      <w:r>
        <w:rPr/>
        <w:t>and</w:t>
      </w:r>
      <w:r>
        <w:rPr>
          <w:spacing w:val="41"/>
          <w:w w:val="150"/>
        </w:rPr>
        <w:t> </w:t>
      </w:r>
      <w:r>
        <w:rPr/>
        <w:t>commencement</w:t>
      </w:r>
      <w:r>
        <w:rPr>
          <w:spacing w:val="37"/>
          <w:w w:val="150"/>
        </w:rPr>
        <w:t> </w:t>
      </w:r>
      <w:r>
        <w:rPr>
          <w:spacing w:val="-2"/>
        </w:rPr>
        <w:t>certificate</w:t>
      </w:r>
    </w:p>
    <w:p>
      <w:pPr>
        <w:pStyle w:val="ListParagraph"/>
        <w:numPr>
          <w:ilvl w:val="1"/>
          <w:numId w:val="10"/>
        </w:numPr>
        <w:tabs>
          <w:tab w:pos="1490" w:val="left" w:leader="none"/>
          <w:tab w:pos="1493" w:val="left" w:leader="none"/>
        </w:tabs>
        <w:spacing w:line="240" w:lineRule="auto" w:before="242" w:after="0"/>
        <w:ind w:left="1493" w:right="781" w:hanging="721"/>
        <w:jc w:val="both"/>
        <w:rPr>
          <w:i/>
          <w:sz w:val="24"/>
        </w:rPr>
      </w:pPr>
      <w:r>
        <w:rPr>
          <w:b/>
          <w:i/>
          <w:sz w:val="24"/>
        </w:rPr>
        <w:t>Necessity</w:t>
      </w:r>
      <w:r>
        <w:rPr>
          <w:b/>
          <w:i/>
          <w:spacing w:val="72"/>
          <w:sz w:val="24"/>
        </w:rPr>
        <w:t> </w:t>
      </w:r>
      <w:r>
        <w:rPr>
          <w:b/>
          <w:i/>
          <w:sz w:val="24"/>
        </w:rPr>
        <w:t>of</w:t>
      </w:r>
      <w:r>
        <w:rPr>
          <w:b/>
          <w:i/>
          <w:spacing w:val="72"/>
          <w:sz w:val="24"/>
        </w:rPr>
        <w:t> </w:t>
      </w:r>
      <w:r>
        <w:rPr>
          <w:b/>
          <w:i/>
          <w:sz w:val="24"/>
        </w:rPr>
        <w:t>obtaining</w:t>
      </w:r>
      <w:r>
        <w:rPr>
          <w:b/>
          <w:i/>
          <w:spacing w:val="72"/>
          <w:sz w:val="24"/>
        </w:rPr>
        <w:t> </w:t>
      </w:r>
      <w:r>
        <w:rPr>
          <w:b/>
          <w:i/>
          <w:sz w:val="24"/>
        </w:rPr>
        <w:t>permission:</w:t>
      </w:r>
      <w:r>
        <w:rPr>
          <w:b/>
          <w:i/>
          <w:spacing w:val="66"/>
          <w:sz w:val="24"/>
        </w:rPr>
        <w:t> </w:t>
      </w:r>
      <w:r>
        <w:rPr>
          <w:sz w:val="24"/>
        </w:rPr>
        <w:t>No</w:t>
      </w:r>
      <w:r>
        <w:rPr>
          <w:spacing w:val="70"/>
          <w:sz w:val="24"/>
        </w:rPr>
        <w:t> </w:t>
      </w:r>
      <w:r>
        <w:rPr>
          <w:sz w:val="24"/>
        </w:rPr>
        <w:t>person</w:t>
      </w:r>
      <w:r>
        <w:rPr>
          <w:spacing w:val="70"/>
          <w:sz w:val="24"/>
        </w:rPr>
        <w:t> </w:t>
      </w:r>
      <w:r>
        <w:rPr>
          <w:sz w:val="24"/>
        </w:rPr>
        <w:t>shall</w:t>
      </w:r>
      <w:r>
        <w:rPr>
          <w:spacing w:val="70"/>
          <w:sz w:val="24"/>
        </w:rPr>
        <w:t> </w:t>
      </w:r>
      <w:r>
        <w:rPr>
          <w:sz w:val="24"/>
        </w:rPr>
        <w:t>erect</w:t>
      </w:r>
      <w:r>
        <w:rPr>
          <w:spacing w:val="70"/>
          <w:sz w:val="24"/>
        </w:rPr>
        <w:t> </w:t>
      </w:r>
      <w:r>
        <w:rPr>
          <w:sz w:val="24"/>
        </w:rPr>
        <w:t>or</w:t>
      </w:r>
      <w:r>
        <w:rPr>
          <w:spacing w:val="70"/>
          <w:sz w:val="24"/>
        </w:rPr>
        <w:t> </w:t>
      </w:r>
      <w:r>
        <w:rPr>
          <w:spacing w:val="11"/>
          <w:sz w:val="24"/>
        </w:rPr>
        <w:t>re-</w:t>
      </w:r>
      <w:r>
        <w:rPr>
          <w:sz w:val="24"/>
        </w:rPr>
        <w:t>erect a building or alter any building or carry out any development or redevelopment,</w:t>
      </w:r>
      <w:r>
        <w:rPr>
          <w:spacing w:val="40"/>
          <w:sz w:val="24"/>
        </w:rPr>
        <w:t> </w:t>
      </w:r>
      <w:r>
        <w:rPr>
          <w:sz w:val="24"/>
        </w:rPr>
        <w:t>on</w:t>
      </w:r>
      <w:r>
        <w:rPr>
          <w:spacing w:val="40"/>
          <w:sz w:val="24"/>
        </w:rPr>
        <w:t> </w:t>
      </w:r>
      <w:r>
        <w:rPr>
          <w:sz w:val="24"/>
        </w:rPr>
        <w:t>any</w:t>
      </w:r>
      <w:r>
        <w:rPr>
          <w:spacing w:val="40"/>
          <w:sz w:val="24"/>
        </w:rPr>
        <w:t> </w:t>
      </w:r>
      <w:r>
        <w:rPr>
          <w:sz w:val="24"/>
        </w:rPr>
        <w:t>plot</w:t>
      </w:r>
      <w:r>
        <w:rPr>
          <w:spacing w:val="40"/>
          <w:sz w:val="24"/>
        </w:rPr>
        <w:t> </w:t>
      </w:r>
      <w:r>
        <w:rPr>
          <w:sz w:val="24"/>
        </w:rPr>
        <w:t>of</w:t>
      </w:r>
      <w:r>
        <w:rPr>
          <w:spacing w:val="40"/>
          <w:sz w:val="24"/>
        </w:rPr>
        <w:t> </w:t>
      </w:r>
      <w:r>
        <w:rPr>
          <w:sz w:val="24"/>
        </w:rPr>
        <w:t>land</w:t>
      </w:r>
      <w:r>
        <w:rPr>
          <w:spacing w:val="40"/>
          <w:sz w:val="24"/>
        </w:rPr>
        <w:t> </w:t>
      </w:r>
      <w:r>
        <w:rPr>
          <w:sz w:val="24"/>
        </w:rPr>
        <w:t>or</w:t>
      </w:r>
      <w:r>
        <w:rPr>
          <w:spacing w:val="40"/>
          <w:sz w:val="24"/>
        </w:rPr>
        <w:t> </w:t>
      </w:r>
      <w:r>
        <w:rPr>
          <w:sz w:val="24"/>
        </w:rPr>
        <w:t>cause</w:t>
      </w:r>
      <w:r>
        <w:rPr>
          <w:spacing w:val="40"/>
          <w:sz w:val="24"/>
        </w:rPr>
        <w:t> </w:t>
      </w:r>
      <w:r>
        <w:rPr>
          <w:sz w:val="24"/>
        </w:rPr>
        <w:t>the</w:t>
      </w:r>
      <w:r>
        <w:rPr>
          <w:spacing w:val="40"/>
          <w:sz w:val="24"/>
        </w:rPr>
        <w:t> </w:t>
      </w:r>
      <w:r>
        <w:rPr>
          <w:sz w:val="24"/>
        </w:rPr>
        <w:t>same</w:t>
      </w:r>
      <w:r>
        <w:rPr>
          <w:spacing w:val="40"/>
          <w:sz w:val="24"/>
        </w:rPr>
        <w:t> </w:t>
      </w:r>
      <w:r>
        <w:rPr>
          <w:sz w:val="24"/>
        </w:rPr>
        <w:t>to</w:t>
      </w:r>
      <w:r>
        <w:rPr>
          <w:spacing w:val="40"/>
          <w:sz w:val="24"/>
        </w:rPr>
        <w:t> </w:t>
      </w:r>
      <w:r>
        <w:rPr>
          <w:sz w:val="24"/>
        </w:rPr>
        <w:t>be</w:t>
      </w:r>
      <w:r>
        <w:rPr>
          <w:spacing w:val="40"/>
          <w:sz w:val="24"/>
        </w:rPr>
        <w:t> </w:t>
      </w:r>
      <w:r>
        <w:rPr>
          <w:sz w:val="24"/>
        </w:rPr>
        <w:t>done without obtaining development permission and a commencement</w:t>
      </w:r>
      <w:r>
        <w:rPr>
          <w:spacing w:val="80"/>
          <w:sz w:val="24"/>
        </w:rPr>
        <w:t> </w:t>
      </w:r>
      <w:r>
        <w:rPr>
          <w:sz w:val="24"/>
        </w:rPr>
        <w:t>certificate</w:t>
      </w:r>
      <w:r>
        <w:rPr>
          <w:spacing w:val="40"/>
          <w:sz w:val="24"/>
        </w:rPr>
        <w:t> </w:t>
      </w:r>
      <w:r>
        <w:rPr>
          <w:sz w:val="24"/>
        </w:rPr>
        <w:t>from</w:t>
      </w:r>
      <w:r>
        <w:rPr>
          <w:spacing w:val="40"/>
          <w:sz w:val="24"/>
        </w:rPr>
        <w:t> </w:t>
      </w:r>
      <w:r>
        <w:rPr>
          <w:sz w:val="24"/>
        </w:rPr>
        <w:t>the</w:t>
      </w:r>
      <w:r>
        <w:rPr>
          <w:spacing w:val="9"/>
          <w:sz w:val="24"/>
        </w:rPr>
        <w:t> Commissioner.</w:t>
      </w:r>
    </w:p>
    <w:p>
      <w:pPr>
        <w:pStyle w:val="ListParagraph"/>
        <w:numPr>
          <w:ilvl w:val="1"/>
          <w:numId w:val="10"/>
        </w:numPr>
        <w:tabs>
          <w:tab w:pos="1490" w:val="left" w:leader="none"/>
          <w:tab w:pos="1493" w:val="left" w:leader="none"/>
        </w:tabs>
        <w:spacing w:line="240" w:lineRule="auto" w:before="240" w:after="0"/>
        <w:ind w:left="1493" w:right="776" w:hanging="721"/>
        <w:jc w:val="both"/>
        <w:rPr>
          <w:sz w:val="24"/>
        </w:rPr>
      </w:pPr>
      <w:r>
        <w:rPr>
          <w:b/>
          <w:i/>
          <w:sz w:val="24"/>
        </w:rPr>
        <w:t>Items of operational construction by some authorities </w:t>
      </w:r>
      <w:r>
        <w:rPr>
          <w:b/>
          <w:i/>
          <w:spacing w:val="10"/>
          <w:sz w:val="24"/>
        </w:rPr>
        <w:t>excluded: </w:t>
      </w:r>
      <w:r>
        <w:rPr>
          <w:sz w:val="24"/>
        </w:rPr>
        <w:t>Construction for operational purposes, including maintenance of operational</w:t>
      </w:r>
      <w:r>
        <w:rPr>
          <w:spacing w:val="40"/>
          <w:sz w:val="24"/>
        </w:rPr>
        <w:t> </w:t>
      </w:r>
      <w:r>
        <w:rPr>
          <w:sz w:val="24"/>
        </w:rPr>
        <w:t>structures,</w:t>
      </w:r>
      <w:r>
        <w:rPr>
          <w:spacing w:val="40"/>
          <w:sz w:val="24"/>
        </w:rPr>
        <w:t> </w:t>
      </w:r>
      <w:r>
        <w:rPr>
          <w:sz w:val="24"/>
        </w:rPr>
        <w:t>emergency/essential</w:t>
      </w:r>
      <w:r>
        <w:rPr>
          <w:spacing w:val="40"/>
          <w:sz w:val="24"/>
        </w:rPr>
        <w:t> </w:t>
      </w:r>
      <w:r>
        <w:rPr>
          <w:sz w:val="24"/>
        </w:rPr>
        <w:t>staff</w:t>
      </w:r>
      <w:r>
        <w:rPr>
          <w:spacing w:val="40"/>
          <w:sz w:val="24"/>
        </w:rPr>
        <w:t> </w:t>
      </w:r>
      <w:r>
        <w:rPr>
          <w:sz w:val="24"/>
        </w:rPr>
        <w:t>quarters</w:t>
      </w:r>
      <w:r>
        <w:rPr>
          <w:spacing w:val="40"/>
          <w:sz w:val="24"/>
        </w:rPr>
        <w:t> </w:t>
      </w:r>
      <w:r>
        <w:rPr>
          <w:sz w:val="24"/>
        </w:rPr>
        <w:t>by</w:t>
      </w:r>
      <w:r>
        <w:rPr>
          <w:spacing w:val="40"/>
          <w:sz w:val="24"/>
        </w:rPr>
        <w:t> </w:t>
      </w:r>
      <w:r>
        <w:rPr>
          <w:sz w:val="24"/>
        </w:rPr>
        <w:t>the following</w:t>
      </w:r>
      <w:r>
        <w:rPr>
          <w:spacing w:val="80"/>
          <w:sz w:val="24"/>
        </w:rPr>
        <w:t> </w:t>
      </w:r>
      <w:r>
        <w:rPr>
          <w:spacing w:val="9"/>
          <w:sz w:val="24"/>
        </w:rPr>
        <w:t>organizations,</w:t>
      </w:r>
      <w:r>
        <w:rPr>
          <w:spacing w:val="80"/>
          <w:sz w:val="24"/>
        </w:rPr>
        <w:t> </w:t>
      </w:r>
      <w:r>
        <w:rPr>
          <w:sz w:val="24"/>
        </w:rPr>
        <w:t>authorities</w:t>
      </w:r>
      <w:r>
        <w:rPr>
          <w:spacing w:val="80"/>
          <w:sz w:val="24"/>
        </w:rPr>
        <w:t> </w:t>
      </w:r>
      <w:r>
        <w:rPr>
          <w:sz w:val="24"/>
        </w:rPr>
        <w:t>or</w:t>
      </w:r>
      <w:r>
        <w:rPr>
          <w:spacing w:val="80"/>
          <w:sz w:val="24"/>
        </w:rPr>
        <w:t> </w:t>
      </w:r>
      <w:r>
        <w:rPr>
          <w:sz w:val="24"/>
        </w:rPr>
        <w:t>departments,</w:t>
      </w:r>
      <w:r>
        <w:rPr>
          <w:spacing w:val="80"/>
          <w:sz w:val="24"/>
        </w:rPr>
        <w:t> </w:t>
      </w:r>
      <w:r>
        <w:rPr>
          <w:sz w:val="24"/>
        </w:rPr>
        <w:t>whether</w:t>
      </w:r>
      <w:r>
        <w:rPr>
          <w:spacing w:val="80"/>
          <w:sz w:val="24"/>
        </w:rPr>
        <w:t> </w:t>
      </w:r>
      <w:r>
        <w:rPr>
          <w:sz w:val="24"/>
        </w:rPr>
        <w:t>temporary or permanent, may be exempted e from the purview of these Regulations, except those relating to floor space index and </w:t>
      </w:r>
      <w:r>
        <w:rPr>
          <w:spacing w:val="9"/>
          <w:sz w:val="24"/>
        </w:rPr>
        <w:t>fire </w:t>
      </w:r>
      <w:r>
        <w:rPr>
          <w:spacing w:val="7"/>
          <w:sz w:val="24"/>
        </w:rPr>
        <w:t>precautions:</w:t>
      </w:r>
    </w:p>
    <w:p>
      <w:pPr>
        <w:pStyle w:val="ListParagraph"/>
        <w:numPr>
          <w:ilvl w:val="2"/>
          <w:numId w:val="10"/>
        </w:numPr>
        <w:tabs>
          <w:tab w:pos="2051" w:val="left" w:leader="none"/>
        </w:tabs>
        <w:spacing w:line="281" w:lineRule="exact" w:before="243" w:after="0"/>
        <w:ind w:left="2051" w:right="0" w:hanging="287"/>
        <w:jc w:val="left"/>
        <w:rPr>
          <w:sz w:val="24"/>
        </w:rPr>
      </w:pPr>
      <w:r>
        <w:rPr>
          <w:spacing w:val="-2"/>
          <w:sz w:val="24"/>
        </w:rPr>
        <w:t>Railways;</w:t>
      </w:r>
    </w:p>
    <w:p>
      <w:pPr>
        <w:pStyle w:val="ListParagraph"/>
        <w:numPr>
          <w:ilvl w:val="2"/>
          <w:numId w:val="10"/>
        </w:numPr>
        <w:tabs>
          <w:tab w:pos="2134" w:val="left" w:leader="none"/>
        </w:tabs>
        <w:spacing w:line="281" w:lineRule="exact" w:before="0" w:after="0"/>
        <w:ind w:left="2134" w:right="0" w:hanging="368"/>
        <w:jc w:val="left"/>
        <w:rPr>
          <w:sz w:val="24"/>
        </w:rPr>
      </w:pPr>
      <w:r>
        <w:rPr>
          <w:sz w:val="24"/>
        </w:rPr>
        <w:t>National</w:t>
      </w:r>
      <w:r>
        <w:rPr>
          <w:spacing w:val="45"/>
          <w:w w:val="150"/>
          <w:sz w:val="24"/>
        </w:rPr>
        <w:t> </w:t>
      </w:r>
      <w:r>
        <w:rPr>
          <w:spacing w:val="7"/>
          <w:sz w:val="24"/>
        </w:rPr>
        <w:t>Highways;</w:t>
      </w:r>
    </w:p>
    <w:p>
      <w:pPr>
        <w:pStyle w:val="ListParagraph"/>
        <w:numPr>
          <w:ilvl w:val="2"/>
          <w:numId w:val="10"/>
        </w:numPr>
        <w:tabs>
          <w:tab w:pos="2215" w:val="left" w:leader="none"/>
        </w:tabs>
        <w:spacing w:line="281" w:lineRule="exact" w:before="0" w:after="0"/>
        <w:ind w:left="2215" w:right="0" w:hanging="449"/>
        <w:jc w:val="left"/>
        <w:rPr>
          <w:sz w:val="24"/>
        </w:rPr>
      </w:pPr>
      <w:r>
        <w:rPr>
          <w:sz w:val="24"/>
        </w:rPr>
        <w:t>National</w:t>
      </w:r>
      <w:r>
        <w:rPr>
          <w:spacing w:val="45"/>
          <w:w w:val="150"/>
          <w:sz w:val="24"/>
        </w:rPr>
        <w:t> </w:t>
      </w:r>
      <w:r>
        <w:rPr>
          <w:spacing w:val="7"/>
          <w:sz w:val="24"/>
        </w:rPr>
        <w:t>Waterways;</w:t>
      </w:r>
    </w:p>
    <w:p>
      <w:pPr>
        <w:pStyle w:val="ListParagraph"/>
        <w:numPr>
          <w:ilvl w:val="2"/>
          <w:numId w:val="10"/>
        </w:numPr>
        <w:tabs>
          <w:tab w:pos="2185" w:val="left" w:leader="none"/>
        </w:tabs>
        <w:spacing w:line="281" w:lineRule="exact" w:before="2" w:after="0"/>
        <w:ind w:left="2185" w:right="0" w:hanging="421"/>
        <w:jc w:val="left"/>
        <w:rPr>
          <w:sz w:val="24"/>
        </w:rPr>
      </w:pPr>
      <w:r>
        <w:rPr>
          <w:sz w:val="24"/>
        </w:rPr>
        <w:t>Major</w:t>
      </w:r>
      <w:r>
        <w:rPr>
          <w:spacing w:val="55"/>
          <w:sz w:val="24"/>
        </w:rPr>
        <w:t> </w:t>
      </w:r>
      <w:r>
        <w:rPr>
          <w:spacing w:val="7"/>
          <w:sz w:val="24"/>
        </w:rPr>
        <w:t>ports;</w:t>
      </w:r>
    </w:p>
    <w:p>
      <w:pPr>
        <w:pStyle w:val="ListParagraph"/>
        <w:numPr>
          <w:ilvl w:val="2"/>
          <w:numId w:val="10"/>
        </w:numPr>
        <w:tabs>
          <w:tab w:pos="2104" w:val="left" w:leader="none"/>
        </w:tabs>
        <w:spacing w:line="281" w:lineRule="exact" w:before="0" w:after="0"/>
        <w:ind w:left="2104" w:right="0" w:hanging="340"/>
        <w:jc w:val="left"/>
        <w:rPr>
          <w:sz w:val="24"/>
        </w:rPr>
      </w:pPr>
      <w:r>
        <w:rPr>
          <w:sz w:val="24"/>
        </w:rPr>
        <w:t>Aerodromes</w:t>
      </w:r>
      <w:r>
        <w:rPr>
          <w:spacing w:val="66"/>
          <w:sz w:val="24"/>
        </w:rPr>
        <w:t> </w:t>
      </w:r>
      <w:r>
        <w:rPr>
          <w:sz w:val="24"/>
        </w:rPr>
        <w:t>and</w:t>
      </w:r>
      <w:r>
        <w:rPr>
          <w:spacing w:val="73"/>
          <w:sz w:val="24"/>
        </w:rPr>
        <w:t> </w:t>
      </w:r>
      <w:r>
        <w:rPr>
          <w:spacing w:val="7"/>
          <w:sz w:val="24"/>
        </w:rPr>
        <w:t>Airports;</w:t>
      </w:r>
    </w:p>
    <w:p>
      <w:pPr>
        <w:pStyle w:val="ListParagraph"/>
        <w:numPr>
          <w:ilvl w:val="2"/>
          <w:numId w:val="10"/>
        </w:numPr>
        <w:tabs>
          <w:tab w:pos="2188" w:val="left" w:leader="none"/>
          <w:tab w:pos="2191" w:val="left" w:leader="none"/>
        </w:tabs>
        <w:spacing w:line="240" w:lineRule="auto" w:before="1" w:after="0"/>
        <w:ind w:left="2191" w:right="776" w:hanging="428"/>
        <w:jc w:val="both"/>
        <w:rPr>
          <w:sz w:val="24"/>
        </w:rPr>
      </w:pPr>
      <w:r>
        <w:rPr>
          <w:sz w:val="24"/>
        </w:rPr>
        <w:t>Posts</w:t>
      </w:r>
      <w:r>
        <w:rPr>
          <w:spacing w:val="40"/>
          <w:sz w:val="24"/>
        </w:rPr>
        <w:t> </w:t>
      </w:r>
      <w:r>
        <w:rPr>
          <w:sz w:val="24"/>
        </w:rPr>
        <w:t>and</w:t>
      </w:r>
      <w:r>
        <w:rPr>
          <w:spacing w:val="40"/>
          <w:sz w:val="24"/>
        </w:rPr>
        <w:t> </w:t>
      </w:r>
      <w:r>
        <w:rPr>
          <w:sz w:val="24"/>
        </w:rPr>
        <w:t>Telegraphs,</w:t>
      </w:r>
      <w:r>
        <w:rPr>
          <w:spacing w:val="40"/>
          <w:sz w:val="24"/>
        </w:rPr>
        <w:t> </w:t>
      </w:r>
      <w:r>
        <w:rPr>
          <w:sz w:val="24"/>
        </w:rPr>
        <w:t>Telephones,</w:t>
      </w:r>
      <w:r>
        <w:rPr>
          <w:spacing w:val="40"/>
          <w:sz w:val="24"/>
        </w:rPr>
        <w:t> </w:t>
      </w:r>
      <w:r>
        <w:rPr>
          <w:sz w:val="24"/>
        </w:rPr>
        <w:t>Television,</w:t>
      </w:r>
      <w:r>
        <w:rPr>
          <w:spacing w:val="40"/>
          <w:sz w:val="24"/>
        </w:rPr>
        <w:t> </w:t>
      </w:r>
      <w:r>
        <w:rPr>
          <w:sz w:val="24"/>
        </w:rPr>
        <w:t>Wireless, Broadcasting</w:t>
      </w:r>
      <w:r>
        <w:rPr>
          <w:spacing w:val="80"/>
          <w:sz w:val="24"/>
        </w:rPr>
        <w:t> </w:t>
      </w:r>
      <w:r>
        <w:rPr>
          <w:sz w:val="24"/>
        </w:rPr>
        <w:t>authorities</w:t>
      </w:r>
      <w:r>
        <w:rPr>
          <w:spacing w:val="80"/>
          <w:sz w:val="24"/>
        </w:rPr>
        <w:t> </w:t>
      </w:r>
      <w:r>
        <w:rPr>
          <w:sz w:val="24"/>
        </w:rPr>
        <w:t>and</w:t>
      </w:r>
      <w:r>
        <w:rPr>
          <w:spacing w:val="80"/>
          <w:sz w:val="24"/>
        </w:rPr>
        <w:t> </w:t>
      </w:r>
      <w:r>
        <w:rPr>
          <w:sz w:val="24"/>
        </w:rPr>
        <w:t>the</w:t>
      </w:r>
      <w:r>
        <w:rPr>
          <w:spacing w:val="80"/>
          <w:sz w:val="24"/>
        </w:rPr>
        <w:t> </w:t>
      </w:r>
      <w:r>
        <w:rPr>
          <w:sz w:val="24"/>
        </w:rPr>
        <w:t>authorities</w:t>
      </w:r>
      <w:r>
        <w:rPr>
          <w:spacing w:val="80"/>
          <w:sz w:val="24"/>
        </w:rPr>
        <w:t> </w:t>
      </w:r>
      <w:r>
        <w:rPr>
          <w:sz w:val="24"/>
        </w:rPr>
        <w:t>of</w:t>
      </w:r>
      <w:r>
        <w:rPr>
          <w:spacing w:val="80"/>
          <w:sz w:val="24"/>
        </w:rPr>
        <w:t> </w:t>
      </w:r>
      <w:r>
        <w:rPr>
          <w:sz w:val="24"/>
        </w:rPr>
        <w:t>other</w:t>
      </w:r>
      <w:r>
        <w:rPr>
          <w:spacing w:val="80"/>
          <w:sz w:val="24"/>
        </w:rPr>
        <w:t> </w:t>
      </w:r>
      <w:r>
        <w:rPr>
          <w:sz w:val="24"/>
        </w:rPr>
        <w:t>similar forms of </w:t>
      </w:r>
      <w:r>
        <w:rPr>
          <w:spacing w:val="9"/>
          <w:sz w:val="24"/>
        </w:rPr>
        <w:t>communication;</w:t>
      </w:r>
    </w:p>
    <w:p>
      <w:pPr>
        <w:pStyle w:val="ListParagraph"/>
        <w:numPr>
          <w:ilvl w:val="2"/>
          <w:numId w:val="10"/>
        </w:numPr>
        <w:tabs>
          <w:tab w:pos="2213" w:val="left" w:leader="none"/>
          <w:tab w:pos="2265" w:val="left" w:leader="none"/>
        </w:tabs>
        <w:spacing w:line="240" w:lineRule="auto" w:before="0" w:after="0"/>
        <w:ind w:left="2213" w:right="790" w:hanging="449"/>
        <w:jc w:val="both"/>
        <w:rPr>
          <w:sz w:val="24"/>
        </w:rPr>
      </w:pPr>
      <w:r>
        <w:rPr>
          <w:sz w:val="24"/>
        </w:rPr>
        <w:t>Regional</w:t>
      </w:r>
      <w:r>
        <w:rPr>
          <w:spacing w:val="80"/>
          <w:w w:val="150"/>
          <w:sz w:val="24"/>
        </w:rPr>
        <w:t> </w:t>
      </w:r>
      <w:r>
        <w:rPr>
          <w:sz w:val="24"/>
        </w:rPr>
        <w:t>grids,</w:t>
      </w:r>
      <w:r>
        <w:rPr>
          <w:spacing w:val="80"/>
          <w:sz w:val="24"/>
        </w:rPr>
        <w:t> </w:t>
      </w:r>
      <w:r>
        <w:rPr>
          <w:sz w:val="24"/>
        </w:rPr>
        <w:t>towers,</w:t>
      </w:r>
      <w:r>
        <w:rPr>
          <w:spacing w:val="80"/>
          <w:sz w:val="24"/>
        </w:rPr>
        <w:t> </w:t>
      </w:r>
      <w:r>
        <w:rPr>
          <w:sz w:val="24"/>
        </w:rPr>
        <w:t>gantries,</w:t>
      </w:r>
      <w:r>
        <w:rPr>
          <w:spacing w:val="80"/>
          <w:sz w:val="24"/>
        </w:rPr>
        <w:t> </w:t>
      </w:r>
      <w:r>
        <w:rPr>
          <w:sz w:val="24"/>
        </w:rPr>
        <w:t>switchyards,</w:t>
      </w:r>
      <w:r>
        <w:rPr>
          <w:spacing w:val="80"/>
          <w:sz w:val="24"/>
        </w:rPr>
        <w:t> </w:t>
      </w:r>
      <w:r>
        <w:rPr>
          <w:sz w:val="24"/>
        </w:rPr>
        <w:t>control</w:t>
      </w:r>
      <w:r>
        <w:rPr>
          <w:spacing w:val="80"/>
          <w:sz w:val="24"/>
        </w:rPr>
        <w:t> </w:t>
      </w:r>
      <w:r>
        <w:rPr>
          <w:sz w:val="24"/>
        </w:rPr>
        <w:t>room,</w:t>
      </w:r>
      <w:r>
        <w:rPr>
          <w:spacing w:val="40"/>
          <w:sz w:val="24"/>
        </w:rPr>
        <w:t> </w:t>
      </w:r>
      <w:r>
        <w:rPr>
          <w:sz w:val="24"/>
        </w:rPr>
        <w:t>Relay</w:t>
      </w:r>
      <w:r>
        <w:rPr>
          <w:spacing w:val="80"/>
          <w:sz w:val="24"/>
        </w:rPr>
        <w:t> </w:t>
      </w:r>
      <w:r>
        <w:rPr>
          <w:sz w:val="24"/>
        </w:rPr>
        <w:t>room</w:t>
      </w:r>
      <w:r>
        <w:rPr>
          <w:spacing w:val="80"/>
          <w:sz w:val="24"/>
        </w:rPr>
        <w:t> </w:t>
      </w:r>
      <w:r>
        <w:rPr>
          <w:sz w:val="24"/>
        </w:rPr>
        <w:t>for</w:t>
      </w:r>
      <w:r>
        <w:rPr>
          <w:spacing w:val="80"/>
          <w:sz w:val="24"/>
        </w:rPr>
        <w:t> </w:t>
      </w:r>
      <w:r>
        <w:rPr>
          <w:sz w:val="24"/>
        </w:rPr>
        <w:t>transmission,</w:t>
      </w:r>
      <w:r>
        <w:rPr>
          <w:spacing w:val="80"/>
          <w:sz w:val="24"/>
        </w:rPr>
        <w:t> </w:t>
      </w:r>
      <w:r>
        <w:rPr>
          <w:sz w:val="24"/>
        </w:rPr>
        <w:t>distribution,</w:t>
      </w:r>
      <w:r>
        <w:rPr>
          <w:spacing w:val="80"/>
          <w:sz w:val="24"/>
        </w:rPr>
        <w:t> </w:t>
      </w:r>
      <w:r>
        <w:rPr>
          <w:sz w:val="24"/>
        </w:rPr>
        <w:t>etc.</w:t>
      </w:r>
      <w:r>
        <w:rPr>
          <w:spacing w:val="80"/>
          <w:sz w:val="24"/>
        </w:rPr>
        <w:t> </w:t>
      </w:r>
      <w:r>
        <w:rPr>
          <w:sz w:val="24"/>
        </w:rPr>
        <w:t>of</w:t>
      </w:r>
      <w:r>
        <w:rPr>
          <w:spacing w:val="80"/>
          <w:sz w:val="24"/>
        </w:rPr>
        <w:t> </w:t>
      </w:r>
      <w:r>
        <w:rPr>
          <w:sz w:val="24"/>
        </w:rPr>
        <w:t>electricity;</w:t>
      </w:r>
    </w:p>
    <w:p>
      <w:pPr>
        <w:pStyle w:val="ListParagraph"/>
        <w:numPr>
          <w:ilvl w:val="2"/>
          <w:numId w:val="10"/>
        </w:numPr>
        <w:tabs>
          <w:tab w:pos="2346" w:val="left" w:leader="none"/>
        </w:tabs>
        <w:spacing w:line="280" w:lineRule="exact" w:before="0" w:after="0"/>
        <w:ind w:left="2346" w:right="0" w:hanging="582"/>
        <w:jc w:val="both"/>
        <w:rPr>
          <w:sz w:val="24"/>
        </w:rPr>
      </w:pPr>
      <w:r>
        <w:rPr>
          <w:sz w:val="24"/>
        </w:rPr>
        <w:t>Defence</w:t>
      </w:r>
      <w:r>
        <w:rPr>
          <w:spacing w:val="73"/>
          <w:sz w:val="24"/>
        </w:rPr>
        <w:t> </w:t>
      </w:r>
      <w:r>
        <w:rPr>
          <w:spacing w:val="7"/>
          <w:sz w:val="24"/>
        </w:rPr>
        <w:t>Authorities;</w:t>
      </w:r>
    </w:p>
    <w:p>
      <w:pPr>
        <w:pStyle w:val="ListParagraph"/>
        <w:numPr>
          <w:ilvl w:val="2"/>
          <w:numId w:val="10"/>
        </w:numPr>
        <w:tabs>
          <w:tab w:pos="2210" w:val="left" w:leader="none"/>
          <w:tab w:pos="2213" w:val="left" w:leader="none"/>
        </w:tabs>
        <w:spacing w:line="240" w:lineRule="auto" w:before="2" w:after="0"/>
        <w:ind w:left="2213" w:right="800" w:hanging="449"/>
        <w:jc w:val="both"/>
        <w:rPr>
          <w:sz w:val="24"/>
        </w:rPr>
      </w:pPr>
      <w:r>
        <w:rPr>
          <w:sz w:val="24"/>
        </w:rPr>
        <w:t>Any other essential public services as may be notified by the State </w:t>
      </w:r>
      <w:r>
        <w:rPr>
          <w:spacing w:val="7"/>
          <w:sz w:val="24"/>
        </w:rPr>
        <w:t>Government.</w:t>
      </w:r>
    </w:p>
    <w:p>
      <w:pPr>
        <w:pStyle w:val="ListParagraph"/>
        <w:numPr>
          <w:ilvl w:val="2"/>
          <w:numId w:val="10"/>
        </w:numPr>
        <w:tabs>
          <w:tab w:pos="2211" w:val="left" w:leader="none"/>
          <w:tab w:pos="2213" w:val="left" w:leader="none"/>
        </w:tabs>
        <w:spacing w:line="240" w:lineRule="auto" w:before="1" w:after="0"/>
        <w:ind w:left="2213" w:right="781" w:hanging="449"/>
        <w:jc w:val="both"/>
        <w:rPr>
          <w:sz w:val="24"/>
        </w:rPr>
      </w:pPr>
      <w:r>
        <w:rPr>
          <w:sz w:val="24"/>
        </w:rPr>
        <w:t>Metrorail Administration (MRA)/Project Implementing Agency designated</w:t>
      </w:r>
      <w:r>
        <w:rPr>
          <w:spacing w:val="40"/>
          <w:sz w:val="24"/>
        </w:rPr>
        <w:t> </w:t>
      </w:r>
      <w:r>
        <w:rPr>
          <w:sz w:val="24"/>
        </w:rPr>
        <w:t>by</w:t>
      </w:r>
      <w:r>
        <w:rPr>
          <w:spacing w:val="40"/>
          <w:sz w:val="24"/>
        </w:rPr>
        <w:t> </w:t>
      </w:r>
      <w:r>
        <w:rPr>
          <w:sz w:val="24"/>
        </w:rPr>
        <w:t>the</w:t>
      </w:r>
      <w:r>
        <w:rPr>
          <w:spacing w:val="40"/>
          <w:sz w:val="24"/>
        </w:rPr>
        <w:t> </w:t>
      </w:r>
      <w:r>
        <w:rPr>
          <w:sz w:val="24"/>
        </w:rPr>
        <w:t>Government</w:t>
      </w:r>
      <w:r>
        <w:rPr>
          <w:spacing w:val="40"/>
          <w:sz w:val="24"/>
        </w:rPr>
        <w:t> </w:t>
      </w:r>
      <w:r>
        <w:rPr>
          <w:sz w:val="24"/>
        </w:rPr>
        <w:t>for</w:t>
      </w:r>
      <w:r>
        <w:rPr>
          <w:spacing w:val="40"/>
          <w:sz w:val="24"/>
        </w:rPr>
        <w:t> </w:t>
      </w:r>
      <w:r>
        <w:rPr>
          <w:sz w:val="24"/>
        </w:rPr>
        <w:t>the</w:t>
      </w:r>
      <w:r>
        <w:rPr>
          <w:spacing w:val="40"/>
          <w:sz w:val="24"/>
        </w:rPr>
        <w:t> </w:t>
      </w:r>
      <w:r>
        <w:rPr>
          <w:sz w:val="24"/>
        </w:rPr>
        <w:t>Metro</w:t>
      </w:r>
      <w:r>
        <w:rPr>
          <w:spacing w:val="40"/>
          <w:sz w:val="24"/>
        </w:rPr>
        <w:t> </w:t>
      </w:r>
      <w:r>
        <w:rPr>
          <w:sz w:val="24"/>
        </w:rPr>
        <w:t>Rail</w:t>
      </w:r>
      <w:r>
        <w:rPr>
          <w:spacing w:val="40"/>
          <w:sz w:val="24"/>
        </w:rPr>
        <w:t> </w:t>
      </w:r>
      <w:r>
        <w:rPr>
          <w:sz w:val="24"/>
        </w:rPr>
        <w:t>and Monorail/Light</w:t>
      </w:r>
      <w:r>
        <w:rPr>
          <w:spacing w:val="80"/>
          <w:sz w:val="24"/>
        </w:rPr>
        <w:t> </w:t>
      </w:r>
      <w:r>
        <w:rPr>
          <w:sz w:val="24"/>
        </w:rPr>
        <w:t>Rail</w:t>
      </w:r>
      <w:r>
        <w:rPr>
          <w:spacing w:val="80"/>
          <w:sz w:val="24"/>
        </w:rPr>
        <w:t> </w:t>
      </w:r>
      <w:r>
        <w:rPr>
          <w:sz w:val="24"/>
        </w:rPr>
        <w:t>Transit</w:t>
      </w:r>
      <w:r>
        <w:rPr>
          <w:spacing w:val="80"/>
          <w:sz w:val="24"/>
        </w:rPr>
        <w:t> </w:t>
      </w:r>
      <w:r>
        <w:rPr>
          <w:sz w:val="24"/>
        </w:rPr>
        <w:t>(LRT)</w:t>
      </w:r>
      <w:r>
        <w:rPr>
          <w:spacing w:val="80"/>
          <w:sz w:val="24"/>
        </w:rPr>
        <w:t> </w:t>
      </w:r>
      <w:r>
        <w:rPr>
          <w:sz w:val="24"/>
        </w:rPr>
        <w:t>Projects.</w:t>
      </w:r>
    </w:p>
    <w:p>
      <w:pPr>
        <w:pStyle w:val="ListParagraph"/>
        <w:numPr>
          <w:ilvl w:val="2"/>
          <w:numId w:val="10"/>
        </w:numPr>
        <w:tabs>
          <w:tab w:pos="2210" w:val="left" w:leader="none"/>
          <w:tab w:pos="2213" w:val="left" w:leader="none"/>
        </w:tabs>
        <w:spacing w:line="240" w:lineRule="auto" w:before="0" w:after="0"/>
        <w:ind w:left="2213" w:right="778" w:hanging="449"/>
        <w:jc w:val="both"/>
        <w:rPr>
          <w:sz w:val="24"/>
        </w:rPr>
      </w:pPr>
      <w:r>
        <w:rPr>
          <w:sz w:val="24"/>
        </w:rPr>
        <w:t>Facilities &amp; services of Municipal Corporation of Greater </w:t>
      </w:r>
      <w:r>
        <w:rPr>
          <w:spacing w:val="9"/>
          <w:sz w:val="24"/>
        </w:rPr>
        <w:t>Mumbai </w:t>
      </w:r>
      <w:r>
        <w:rPr>
          <w:sz w:val="24"/>
        </w:rPr>
        <w:t>such</w:t>
      </w:r>
      <w:r>
        <w:rPr>
          <w:spacing w:val="40"/>
          <w:sz w:val="24"/>
        </w:rPr>
        <w:t> </w:t>
      </w:r>
      <w:r>
        <w:rPr>
          <w:sz w:val="24"/>
        </w:rPr>
        <w:t>as</w:t>
      </w:r>
      <w:r>
        <w:rPr>
          <w:spacing w:val="40"/>
          <w:sz w:val="24"/>
        </w:rPr>
        <w:t> </w:t>
      </w:r>
      <w:r>
        <w:rPr>
          <w:sz w:val="24"/>
        </w:rPr>
        <w:t>Roads,</w:t>
      </w:r>
      <w:r>
        <w:rPr>
          <w:spacing w:val="40"/>
          <w:sz w:val="24"/>
        </w:rPr>
        <w:t> </w:t>
      </w:r>
      <w:r>
        <w:rPr>
          <w:sz w:val="24"/>
        </w:rPr>
        <w:t>Water</w:t>
      </w:r>
      <w:r>
        <w:rPr>
          <w:spacing w:val="40"/>
          <w:sz w:val="24"/>
        </w:rPr>
        <w:t> </w:t>
      </w:r>
      <w:r>
        <w:rPr>
          <w:sz w:val="24"/>
        </w:rPr>
        <w:t>Supply,</w:t>
      </w:r>
      <w:r>
        <w:rPr>
          <w:spacing w:val="40"/>
          <w:sz w:val="24"/>
        </w:rPr>
        <w:t> </w:t>
      </w:r>
      <w:r>
        <w:rPr>
          <w:sz w:val="24"/>
        </w:rPr>
        <w:t>Sewerage,</w:t>
      </w:r>
      <w:r>
        <w:rPr>
          <w:spacing w:val="40"/>
          <w:sz w:val="24"/>
        </w:rPr>
        <w:t> </w:t>
      </w:r>
      <w:r>
        <w:rPr>
          <w:sz w:val="24"/>
        </w:rPr>
        <w:t>Storm</w:t>
      </w:r>
      <w:r>
        <w:rPr>
          <w:spacing w:val="40"/>
          <w:sz w:val="24"/>
        </w:rPr>
        <w:t> </w:t>
      </w:r>
      <w:r>
        <w:rPr>
          <w:spacing w:val="9"/>
          <w:sz w:val="24"/>
        </w:rPr>
        <w:t>Water</w:t>
      </w:r>
      <w:r>
        <w:rPr>
          <w:spacing w:val="40"/>
          <w:sz w:val="24"/>
        </w:rPr>
        <w:t> </w:t>
      </w:r>
      <w:r>
        <w:rPr>
          <w:sz w:val="24"/>
        </w:rPr>
        <w:t>Disposal and</w:t>
      </w:r>
      <w:r>
        <w:rPr>
          <w:spacing w:val="40"/>
          <w:sz w:val="24"/>
        </w:rPr>
        <w:t> </w:t>
      </w:r>
      <w:r>
        <w:rPr>
          <w:sz w:val="24"/>
        </w:rPr>
        <w:t>any</w:t>
      </w:r>
      <w:r>
        <w:rPr>
          <w:spacing w:val="40"/>
          <w:sz w:val="24"/>
        </w:rPr>
        <w:t> </w:t>
      </w:r>
      <w:r>
        <w:rPr>
          <w:sz w:val="24"/>
        </w:rPr>
        <w:t>other</w:t>
      </w:r>
      <w:r>
        <w:rPr>
          <w:spacing w:val="40"/>
          <w:sz w:val="24"/>
        </w:rPr>
        <w:t> </w:t>
      </w:r>
      <w:r>
        <w:rPr>
          <w:sz w:val="24"/>
        </w:rPr>
        <w:t>essential</w:t>
      </w:r>
      <w:r>
        <w:rPr>
          <w:spacing w:val="40"/>
          <w:sz w:val="24"/>
        </w:rPr>
        <w:t> </w:t>
      </w:r>
      <w:r>
        <w:rPr>
          <w:sz w:val="24"/>
        </w:rPr>
        <w:t>public</w:t>
      </w:r>
      <w:r>
        <w:rPr>
          <w:spacing w:val="40"/>
          <w:sz w:val="24"/>
        </w:rPr>
        <w:t> </w:t>
      </w:r>
      <w:r>
        <w:rPr>
          <w:sz w:val="24"/>
        </w:rPr>
        <w:t>services</w:t>
      </w:r>
      <w:r>
        <w:rPr>
          <w:spacing w:val="40"/>
          <w:sz w:val="24"/>
        </w:rPr>
        <w:t> </w:t>
      </w:r>
      <w:r>
        <w:rPr>
          <w:sz w:val="24"/>
        </w:rPr>
        <w:t>as</w:t>
      </w:r>
      <w:r>
        <w:rPr>
          <w:spacing w:val="40"/>
          <w:sz w:val="24"/>
        </w:rPr>
        <w:t> </w:t>
      </w:r>
      <w:r>
        <w:rPr>
          <w:sz w:val="24"/>
        </w:rPr>
        <w:t>decided</w:t>
      </w:r>
      <w:r>
        <w:rPr>
          <w:spacing w:val="40"/>
          <w:sz w:val="24"/>
        </w:rPr>
        <w:t> </w:t>
      </w:r>
      <w:r>
        <w:rPr>
          <w:sz w:val="24"/>
        </w:rPr>
        <w:t>by</w:t>
      </w:r>
      <w:r>
        <w:rPr>
          <w:spacing w:val="40"/>
          <w:sz w:val="24"/>
        </w:rPr>
        <w:t> </w:t>
      </w:r>
      <w:r>
        <w:rPr>
          <w:sz w:val="24"/>
        </w:rPr>
        <w:t>the Municipal </w:t>
      </w:r>
      <w:r>
        <w:rPr>
          <w:spacing w:val="9"/>
          <w:sz w:val="24"/>
        </w:rPr>
        <w:t>Commissioner.</w:t>
      </w:r>
    </w:p>
    <w:p>
      <w:pPr>
        <w:pStyle w:val="BodyText"/>
        <w:ind w:left="1493" w:right="778"/>
      </w:pPr>
      <w:r>
        <w:rPr/>
        <w:t>All such constructions shall, however, conform to the prescribed requirement for the provision of essential services, water </w:t>
      </w:r>
      <w:r>
        <w:rPr>
          <w:spacing w:val="9"/>
        </w:rPr>
        <w:t>supply </w:t>
      </w:r>
      <w:r>
        <w:rPr/>
        <w:t>connections,</w:t>
      </w:r>
      <w:r>
        <w:rPr>
          <w:spacing w:val="80"/>
        </w:rPr>
        <w:t> </w:t>
      </w:r>
      <w:r>
        <w:rPr/>
        <w:t>drains,</w:t>
      </w:r>
      <w:r>
        <w:rPr>
          <w:spacing w:val="80"/>
        </w:rPr>
        <w:t> </w:t>
      </w:r>
      <w:r>
        <w:rPr/>
        <w:t>etc.</w:t>
      </w:r>
      <w:r>
        <w:rPr>
          <w:spacing w:val="80"/>
        </w:rPr>
        <w:t> </w:t>
      </w:r>
      <w:r>
        <w:rPr/>
        <w:t>to</w:t>
      </w:r>
      <w:r>
        <w:rPr>
          <w:spacing w:val="80"/>
        </w:rPr>
        <w:t> </w:t>
      </w:r>
      <w:r>
        <w:rPr/>
        <w:t>the</w:t>
      </w:r>
      <w:r>
        <w:rPr>
          <w:spacing w:val="80"/>
        </w:rPr>
        <w:t> </w:t>
      </w:r>
      <w:r>
        <w:rPr/>
        <w:t>satisfaction</w:t>
      </w:r>
      <w:r>
        <w:rPr>
          <w:spacing w:val="80"/>
        </w:rPr>
        <w:t> </w:t>
      </w:r>
      <w:r>
        <w:rPr/>
        <w:t>of</w:t>
      </w:r>
      <w:r>
        <w:rPr>
          <w:spacing w:val="80"/>
        </w:rPr>
        <w:t> </w:t>
      </w:r>
      <w:r>
        <w:rPr/>
        <w:t>the</w:t>
      </w:r>
      <w:r>
        <w:rPr>
          <w:spacing w:val="80"/>
        </w:rPr>
        <w:t> </w:t>
      </w:r>
      <w:r>
        <w:rPr/>
        <w:t>Commissioner.</w:t>
      </w:r>
    </w:p>
    <w:p>
      <w:pPr>
        <w:pStyle w:val="ListParagraph"/>
        <w:numPr>
          <w:ilvl w:val="1"/>
          <w:numId w:val="10"/>
        </w:numPr>
        <w:tabs>
          <w:tab w:pos="1490" w:val="left" w:leader="none"/>
          <w:tab w:pos="1493" w:val="left" w:leader="none"/>
        </w:tabs>
        <w:spacing w:line="242" w:lineRule="auto" w:before="236" w:after="0"/>
        <w:ind w:left="1493" w:right="780" w:hanging="721"/>
        <w:jc w:val="both"/>
        <w:rPr>
          <w:sz w:val="24"/>
        </w:rPr>
      </w:pPr>
      <w:r>
        <w:rPr>
          <w:b/>
          <w:i/>
          <w:sz w:val="24"/>
        </w:rPr>
        <w:t>Operational constructions excluded: </w:t>
      </w:r>
      <w:r>
        <w:rPr>
          <w:sz w:val="24"/>
        </w:rPr>
        <w:t>The following constructions for operational purposes of the</w:t>
      </w:r>
      <w:r>
        <w:rPr>
          <w:spacing w:val="40"/>
          <w:sz w:val="24"/>
        </w:rPr>
        <w:t> </w:t>
      </w:r>
      <w:r>
        <w:rPr>
          <w:sz w:val="24"/>
        </w:rPr>
        <w:t>organizations, authorities or</w:t>
      </w:r>
      <w:r>
        <w:rPr>
          <w:spacing w:val="40"/>
          <w:sz w:val="24"/>
        </w:rPr>
        <w:t> </w:t>
      </w:r>
      <w:r>
        <w:rPr>
          <w:sz w:val="24"/>
        </w:rPr>
        <w:t>departments listed above are exempted from the purview of these Regulations except those</w:t>
      </w:r>
      <w:r>
        <w:rPr>
          <w:spacing w:val="40"/>
          <w:sz w:val="24"/>
        </w:rPr>
        <w:t> </w:t>
      </w:r>
      <w:r>
        <w:rPr>
          <w:sz w:val="24"/>
        </w:rPr>
        <w:t>relating</w:t>
      </w:r>
      <w:r>
        <w:rPr>
          <w:spacing w:val="40"/>
          <w:sz w:val="24"/>
        </w:rPr>
        <w:t> </w:t>
      </w:r>
      <w:r>
        <w:rPr>
          <w:sz w:val="24"/>
        </w:rPr>
        <w:t>to</w:t>
      </w:r>
      <w:r>
        <w:rPr>
          <w:spacing w:val="40"/>
          <w:sz w:val="24"/>
        </w:rPr>
        <w:t> </w:t>
      </w:r>
      <w:r>
        <w:rPr>
          <w:sz w:val="24"/>
        </w:rPr>
        <w:t>floor</w:t>
      </w:r>
      <w:r>
        <w:rPr>
          <w:spacing w:val="40"/>
          <w:sz w:val="24"/>
        </w:rPr>
        <w:t> </w:t>
      </w:r>
      <w:r>
        <w:rPr>
          <w:sz w:val="24"/>
        </w:rPr>
        <w:t>space</w:t>
      </w:r>
      <w:r>
        <w:rPr>
          <w:spacing w:val="40"/>
          <w:sz w:val="24"/>
        </w:rPr>
        <w:t> </w:t>
      </w:r>
      <w:r>
        <w:rPr>
          <w:sz w:val="24"/>
        </w:rPr>
        <w:t>index</w:t>
      </w:r>
      <w:r>
        <w:rPr>
          <w:spacing w:val="40"/>
          <w:sz w:val="24"/>
        </w:rPr>
        <w:t> </w:t>
      </w:r>
      <w:r>
        <w:rPr>
          <w:sz w:val="24"/>
        </w:rPr>
        <w:t>and</w:t>
      </w:r>
      <w:r>
        <w:rPr>
          <w:spacing w:val="40"/>
          <w:sz w:val="24"/>
        </w:rPr>
        <w:t> </w:t>
      </w:r>
      <w:r>
        <w:rPr>
          <w:sz w:val="24"/>
        </w:rPr>
        <w:t>fire</w:t>
      </w:r>
      <w:r>
        <w:rPr>
          <w:spacing w:val="40"/>
          <w:sz w:val="24"/>
        </w:rPr>
        <w:t> </w:t>
      </w:r>
      <w:r>
        <w:rPr>
          <w:spacing w:val="9"/>
          <w:sz w:val="24"/>
        </w:rPr>
        <w:t>precautions:</w:t>
      </w:r>
    </w:p>
    <w:p>
      <w:pPr>
        <w:pStyle w:val="ListParagraph"/>
        <w:spacing w:after="0" w:line="242" w:lineRule="auto"/>
        <w:jc w:val="both"/>
        <w:rPr>
          <w:sz w:val="24"/>
        </w:rPr>
        <w:sectPr>
          <w:headerReference w:type="default" r:id="rId12"/>
          <w:footerReference w:type="default" r:id="rId13"/>
          <w:pgSz w:w="11910" w:h="16840"/>
          <w:pgMar w:header="1036" w:footer="974" w:top="1460" w:bottom="1160" w:left="360" w:right="360"/>
        </w:sectPr>
      </w:pPr>
    </w:p>
    <w:p>
      <w:pPr>
        <w:pStyle w:val="ListParagraph"/>
        <w:numPr>
          <w:ilvl w:val="0"/>
          <w:numId w:val="12"/>
        </w:numPr>
        <w:tabs>
          <w:tab w:pos="2481" w:val="left" w:leader="none"/>
          <w:tab w:pos="2484" w:val="left" w:leader="none"/>
        </w:tabs>
        <w:spacing w:line="240" w:lineRule="auto" w:before="278" w:after="0"/>
        <w:ind w:left="2484" w:right="780" w:hanging="272"/>
        <w:jc w:val="both"/>
        <w:rPr>
          <w:sz w:val="24"/>
        </w:rPr>
      </w:pPr>
      <w:r>
        <w:rPr>
          <w:sz w:val="24"/>
        </w:rPr>
        <w:t>Repairs</w:t>
      </w:r>
      <w:r>
        <w:rPr>
          <w:spacing w:val="40"/>
          <w:sz w:val="24"/>
        </w:rPr>
        <w:t> </w:t>
      </w:r>
      <w:r>
        <w:rPr>
          <w:sz w:val="24"/>
        </w:rPr>
        <w:t>and</w:t>
      </w:r>
      <w:r>
        <w:rPr>
          <w:spacing w:val="40"/>
          <w:sz w:val="24"/>
        </w:rPr>
        <w:t> </w:t>
      </w:r>
      <w:r>
        <w:rPr>
          <w:sz w:val="24"/>
        </w:rPr>
        <w:t>renovation</w:t>
      </w:r>
      <w:r>
        <w:rPr>
          <w:spacing w:val="40"/>
          <w:sz w:val="24"/>
        </w:rPr>
        <w:t> </w:t>
      </w:r>
      <w:r>
        <w:rPr>
          <w:sz w:val="24"/>
        </w:rPr>
        <w:t>of</w:t>
      </w:r>
      <w:r>
        <w:rPr>
          <w:spacing w:val="40"/>
          <w:sz w:val="24"/>
        </w:rPr>
        <w:t> </w:t>
      </w:r>
      <w:r>
        <w:rPr>
          <w:sz w:val="24"/>
        </w:rPr>
        <w:t>existing</w:t>
      </w:r>
      <w:r>
        <w:rPr>
          <w:spacing w:val="40"/>
          <w:sz w:val="24"/>
        </w:rPr>
        <w:t> </w:t>
      </w:r>
      <w:r>
        <w:rPr>
          <w:sz w:val="24"/>
        </w:rPr>
        <w:t>installations</w:t>
      </w:r>
      <w:r>
        <w:rPr>
          <w:spacing w:val="40"/>
          <w:sz w:val="24"/>
        </w:rPr>
        <w:t> </w:t>
      </w:r>
      <w:r>
        <w:rPr>
          <w:sz w:val="24"/>
        </w:rPr>
        <w:t>of</w:t>
      </w:r>
      <w:r>
        <w:rPr>
          <w:spacing w:val="40"/>
          <w:sz w:val="24"/>
        </w:rPr>
        <w:t> </w:t>
      </w:r>
      <w:r>
        <w:rPr>
          <w:sz w:val="24"/>
        </w:rPr>
        <w:t>buildings</w:t>
      </w:r>
      <w:r>
        <w:rPr>
          <w:spacing w:val="80"/>
          <w:sz w:val="24"/>
        </w:rPr>
        <w:t> </w:t>
      </w:r>
      <w:r>
        <w:rPr>
          <w:sz w:val="24"/>
        </w:rPr>
        <w:t>used for operational purposes alone and which do not involve addition</w:t>
      </w:r>
      <w:r>
        <w:rPr>
          <w:spacing w:val="40"/>
          <w:sz w:val="24"/>
        </w:rPr>
        <w:t> </w:t>
      </w:r>
      <w:r>
        <w:rPr>
          <w:sz w:val="24"/>
        </w:rPr>
        <w:t>to</w:t>
      </w:r>
      <w:r>
        <w:rPr>
          <w:spacing w:val="40"/>
          <w:sz w:val="24"/>
        </w:rPr>
        <w:t> </w:t>
      </w:r>
      <w:r>
        <w:rPr>
          <w:sz w:val="24"/>
        </w:rPr>
        <w:t>or</w:t>
      </w:r>
      <w:r>
        <w:rPr>
          <w:spacing w:val="40"/>
          <w:sz w:val="24"/>
        </w:rPr>
        <w:t> </w:t>
      </w:r>
      <w:r>
        <w:rPr>
          <w:sz w:val="24"/>
        </w:rPr>
        <w:t>increase</w:t>
      </w:r>
      <w:r>
        <w:rPr>
          <w:spacing w:val="40"/>
          <w:sz w:val="24"/>
        </w:rPr>
        <w:t> </w:t>
      </w:r>
      <w:r>
        <w:rPr>
          <w:sz w:val="24"/>
        </w:rPr>
        <w:t>of</w:t>
      </w:r>
      <w:r>
        <w:rPr>
          <w:spacing w:val="40"/>
          <w:sz w:val="24"/>
        </w:rPr>
        <w:t> </w:t>
      </w:r>
      <w:r>
        <w:rPr>
          <w:spacing w:val="9"/>
          <w:sz w:val="24"/>
        </w:rPr>
        <w:t>built-</w:t>
      </w:r>
      <w:r>
        <w:rPr>
          <w:sz w:val="24"/>
        </w:rPr>
        <w:t>up</w:t>
      </w:r>
      <w:r>
        <w:rPr>
          <w:spacing w:val="40"/>
          <w:sz w:val="24"/>
        </w:rPr>
        <w:t> </w:t>
      </w:r>
      <w:r>
        <w:rPr>
          <w:sz w:val="24"/>
        </w:rPr>
        <w:t>areas.</w:t>
      </w:r>
    </w:p>
    <w:p>
      <w:pPr>
        <w:pStyle w:val="ListParagraph"/>
        <w:numPr>
          <w:ilvl w:val="0"/>
          <w:numId w:val="12"/>
        </w:numPr>
        <w:tabs>
          <w:tab w:pos="2678" w:val="left" w:leader="none"/>
        </w:tabs>
        <w:spacing w:line="240" w:lineRule="auto" w:before="242" w:after="0"/>
        <w:ind w:left="2213" w:right="785" w:firstLine="0"/>
        <w:jc w:val="left"/>
        <w:rPr>
          <w:sz w:val="24"/>
        </w:rPr>
      </w:pPr>
      <w:r>
        <w:rPr>
          <w:sz w:val="24"/>
        </w:rPr>
        <w:t>In</w:t>
      </w:r>
      <w:r>
        <w:rPr>
          <w:spacing w:val="80"/>
          <w:sz w:val="24"/>
        </w:rPr>
        <w:t> </w:t>
      </w:r>
      <w:r>
        <w:rPr>
          <w:sz w:val="24"/>
        </w:rPr>
        <w:t>the</w:t>
      </w:r>
      <w:r>
        <w:rPr>
          <w:spacing w:val="80"/>
          <w:sz w:val="24"/>
        </w:rPr>
        <w:t> </w:t>
      </w:r>
      <w:r>
        <w:rPr>
          <w:sz w:val="24"/>
        </w:rPr>
        <w:t>case</w:t>
      </w:r>
      <w:r>
        <w:rPr>
          <w:spacing w:val="80"/>
          <w:sz w:val="24"/>
        </w:rPr>
        <w:t> </w:t>
      </w:r>
      <w:r>
        <w:rPr>
          <w:sz w:val="24"/>
        </w:rPr>
        <w:t>of</w:t>
      </w:r>
      <w:r>
        <w:rPr>
          <w:spacing w:val="80"/>
          <w:sz w:val="24"/>
        </w:rPr>
        <w:t> </w:t>
      </w:r>
      <w:r>
        <w:rPr>
          <w:sz w:val="24"/>
        </w:rPr>
        <w:t>the</w:t>
      </w:r>
      <w:r>
        <w:rPr>
          <w:spacing w:val="80"/>
          <w:sz w:val="24"/>
        </w:rPr>
        <w:t> </w:t>
      </w:r>
      <w:r>
        <w:rPr>
          <w:spacing w:val="9"/>
          <w:sz w:val="24"/>
        </w:rPr>
        <w:t>Railways/Metro</w:t>
      </w:r>
      <w:r>
        <w:rPr>
          <w:spacing w:val="80"/>
          <w:sz w:val="24"/>
        </w:rPr>
        <w:t> </w:t>
      </w:r>
      <w:r>
        <w:rPr>
          <w:sz w:val="24"/>
        </w:rPr>
        <w:t>Rail</w:t>
      </w:r>
      <w:r>
        <w:rPr>
          <w:spacing w:val="80"/>
          <w:sz w:val="24"/>
        </w:rPr>
        <w:t> </w:t>
      </w:r>
      <w:r>
        <w:rPr>
          <w:sz w:val="24"/>
        </w:rPr>
        <w:t>and</w:t>
      </w:r>
      <w:r>
        <w:rPr>
          <w:spacing w:val="80"/>
          <w:sz w:val="24"/>
        </w:rPr>
        <w:t> </w:t>
      </w:r>
      <w:r>
        <w:rPr>
          <w:sz w:val="24"/>
        </w:rPr>
        <w:t>Monorail/LRT </w:t>
      </w:r>
      <w:r>
        <w:rPr>
          <w:spacing w:val="-2"/>
          <w:sz w:val="24"/>
        </w:rPr>
        <w:t>Authority:</w:t>
      </w:r>
    </w:p>
    <w:p>
      <w:pPr>
        <w:pStyle w:val="ListParagraph"/>
        <w:numPr>
          <w:ilvl w:val="1"/>
          <w:numId w:val="12"/>
        </w:numPr>
        <w:tabs>
          <w:tab w:pos="2751" w:val="left" w:leader="none"/>
          <w:tab w:pos="2753" w:val="left" w:leader="none"/>
        </w:tabs>
        <w:spacing w:line="240" w:lineRule="auto" w:before="238" w:after="0"/>
        <w:ind w:left="2753" w:right="788" w:hanging="269"/>
        <w:jc w:val="both"/>
        <w:rPr>
          <w:sz w:val="24"/>
        </w:rPr>
      </w:pPr>
      <w:r>
        <w:rPr>
          <w:sz w:val="24"/>
        </w:rPr>
        <w:t>repairs and renovation of existing railway tracks, including culverts, over bridges, </w:t>
      </w:r>
      <w:r>
        <w:rPr>
          <w:spacing w:val="9"/>
          <w:sz w:val="24"/>
        </w:rPr>
        <w:t>under-</w:t>
      </w:r>
      <w:r>
        <w:rPr>
          <w:sz w:val="24"/>
        </w:rPr>
        <w:t>passes or bridges, tunnels and</w:t>
      </w:r>
      <w:r>
        <w:rPr>
          <w:spacing w:val="40"/>
          <w:sz w:val="24"/>
        </w:rPr>
        <w:t> </w:t>
      </w:r>
      <w:r>
        <w:rPr>
          <w:sz w:val="24"/>
        </w:rPr>
        <w:t>side </w:t>
      </w:r>
      <w:r>
        <w:rPr>
          <w:spacing w:val="9"/>
          <w:sz w:val="24"/>
        </w:rPr>
        <w:t>drains;</w:t>
      </w:r>
    </w:p>
    <w:p>
      <w:pPr>
        <w:pStyle w:val="ListParagraph"/>
        <w:numPr>
          <w:ilvl w:val="1"/>
          <w:numId w:val="12"/>
        </w:numPr>
        <w:tabs>
          <w:tab w:pos="2751" w:val="left" w:leader="none"/>
          <w:tab w:pos="2753" w:val="left" w:leader="none"/>
        </w:tabs>
        <w:spacing w:line="240" w:lineRule="auto" w:before="242" w:after="0"/>
        <w:ind w:left="2753" w:right="780" w:hanging="269"/>
        <w:jc w:val="both"/>
        <w:rPr>
          <w:sz w:val="24"/>
        </w:rPr>
      </w:pPr>
      <w:r>
        <w:rPr>
          <w:sz w:val="24"/>
        </w:rPr>
        <w:t>platforms,</w:t>
      </w:r>
      <w:r>
        <w:rPr>
          <w:spacing w:val="40"/>
          <w:sz w:val="24"/>
        </w:rPr>
        <w:t> </w:t>
      </w:r>
      <w:r>
        <w:rPr>
          <w:sz w:val="24"/>
        </w:rPr>
        <w:t>goods</w:t>
      </w:r>
      <w:r>
        <w:rPr>
          <w:spacing w:val="40"/>
          <w:sz w:val="24"/>
        </w:rPr>
        <w:t> </w:t>
      </w:r>
      <w:r>
        <w:rPr>
          <w:sz w:val="24"/>
        </w:rPr>
        <w:t>sheds</w:t>
      </w:r>
      <w:r>
        <w:rPr>
          <w:spacing w:val="40"/>
          <w:sz w:val="24"/>
        </w:rPr>
        <w:t> </w:t>
      </w:r>
      <w:r>
        <w:rPr>
          <w:sz w:val="24"/>
        </w:rPr>
        <w:t>and</w:t>
      </w:r>
      <w:r>
        <w:rPr>
          <w:spacing w:val="40"/>
          <w:sz w:val="24"/>
        </w:rPr>
        <w:t> </w:t>
      </w:r>
      <w:r>
        <w:rPr>
          <w:sz w:val="24"/>
        </w:rPr>
        <w:t>offices,</w:t>
      </w:r>
      <w:r>
        <w:rPr>
          <w:spacing w:val="40"/>
          <w:sz w:val="24"/>
        </w:rPr>
        <w:t> </w:t>
      </w:r>
      <w:r>
        <w:rPr>
          <w:sz w:val="24"/>
        </w:rPr>
        <w:t>parcel</w:t>
      </w:r>
      <w:r>
        <w:rPr>
          <w:spacing w:val="40"/>
          <w:sz w:val="24"/>
        </w:rPr>
        <w:t> </w:t>
      </w:r>
      <w:r>
        <w:rPr>
          <w:sz w:val="24"/>
        </w:rPr>
        <w:t>offices,</w:t>
      </w:r>
      <w:r>
        <w:rPr>
          <w:spacing w:val="40"/>
          <w:sz w:val="24"/>
        </w:rPr>
        <w:t> </w:t>
      </w:r>
      <w:r>
        <w:rPr>
          <w:sz w:val="24"/>
        </w:rPr>
        <w:t>sub- stations,</w:t>
      </w:r>
      <w:r>
        <w:rPr>
          <w:spacing w:val="80"/>
          <w:sz w:val="24"/>
        </w:rPr>
        <w:t> </w:t>
      </w:r>
      <w:r>
        <w:rPr>
          <w:spacing w:val="9"/>
          <w:sz w:val="24"/>
        </w:rPr>
        <w:t>foot-</w:t>
      </w:r>
      <w:r>
        <w:rPr>
          <w:sz w:val="24"/>
        </w:rPr>
        <w:t>over</w:t>
      </w:r>
      <w:r>
        <w:rPr>
          <w:spacing w:val="80"/>
          <w:sz w:val="24"/>
        </w:rPr>
        <w:t> </w:t>
      </w:r>
      <w:r>
        <w:rPr>
          <w:sz w:val="24"/>
        </w:rPr>
        <w:t>bridges</w:t>
      </w:r>
      <w:r>
        <w:rPr>
          <w:spacing w:val="80"/>
          <w:sz w:val="24"/>
        </w:rPr>
        <w:t> </w:t>
      </w:r>
      <w:r>
        <w:rPr>
          <w:spacing w:val="10"/>
          <w:sz w:val="24"/>
        </w:rPr>
        <w:t>turn-</w:t>
      </w:r>
      <w:r>
        <w:rPr>
          <w:sz w:val="24"/>
        </w:rPr>
        <w:t>tables,</w:t>
      </w:r>
      <w:r>
        <w:rPr>
          <w:spacing w:val="80"/>
          <w:sz w:val="24"/>
        </w:rPr>
        <w:t> </w:t>
      </w:r>
      <w:r>
        <w:rPr>
          <w:sz w:val="24"/>
        </w:rPr>
        <w:t>lifting</w:t>
      </w:r>
      <w:r>
        <w:rPr>
          <w:spacing w:val="80"/>
          <w:sz w:val="24"/>
        </w:rPr>
        <w:t> </w:t>
      </w:r>
      <w:r>
        <w:rPr>
          <w:sz w:val="24"/>
        </w:rPr>
        <w:t>towers, gantries, signal and signal boxes or control cabins in hump </w:t>
      </w:r>
      <w:r>
        <w:rPr>
          <w:spacing w:val="-2"/>
          <w:sz w:val="24"/>
        </w:rPr>
        <w:t>yards;</w:t>
      </w:r>
    </w:p>
    <w:p>
      <w:pPr>
        <w:pStyle w:val="ListParagraph"/>
        <w:numPr>
          <w:ilvl w:val="1"/>
          <w:numId w:val="12"/>
        </w:numPr>
        <w:tabs>
          <w:tab w:pos="2751" w:val="left" w:leader="none"/>
          <w:tab w:pos="2753" w:val="left" w:leader="none"/>
        </w:tabs>
        <w:spacing w:line="240" w:lineRule="auto" w:before="239" w:after="0"/>
        <w:ind w:left="2753" w:right="775" w:hanging="269"/>
        <w:jc w:val="both"/>
        <w:rPr>
          <w:sz w:val="24"/>
        </w:rPr>
      </w:pPr>
      <w:r>
        <w:rPr>
          <w:sz w:val="24"/>
        </w:rPr>
        <w:t>running (loco) sheds, carriage and wagon depots, </w:t>
      </w:r>
      <w:r>
        <w:rPr>
          <w:spacing w:val="9"/>
          <w:sz w:val="24"/>
        </w:rPr>
        <w:t>carriage </w:t>
      </w:r>
      <w:r>
        <w:rPr>
          <w:sz w:val="24"/>
        </w:rPr>
        <w:t>washing</w:t>
      </w:r>
      <w:r>
        <w:rPr>
          <w:spacing w:val="40"/>
          <w:sz w:val="24"/>
        </w:rPr>
        <w:t> </w:t>
      </w:r>
      <w:r>
        <w:rPr>
          <w:sz w:val="24"/>
        </w:rPr>
        <w:t>places,</w:t>
      </w:r>
      <w:r>
        <w:rPr>
          <w:spacing w:val="40"/>
          <w:sz w:val="24"/>
        </w:rPr>
        <w:t> </w:t>
      </w:r>
      <w:r>
        <w:rPr>
          <w:sz w:val="24"/>
        </w:rPr>
        <w:t>overhead</w:t>
      </w:r>
      <w:r>
        <w:rPr>
          <w:spacing w:val="40"/>
          <w:sz w:val="24"/>
        </w:rPr>
        <w:t> </w:t>
      </w:r>
      <w:r>
        <w:rPr>
          <w:sz w:val="24"/>
        </w:rPr>
        <w:t>or</w:t>
      </w:r>
      <w:r>
        <w:rPr>
          <w:spacing w:val="40"/>
          <w:sz w:val="24"/>
        </w:rPr>
        <w:t> </w:t>
      </w:r>
      <w:r>
        <w:rPr>
          <w:sz w:val="24"/>
        </w:rPr>
        <w:t>ground</w:t>
      </w:r>
      <w:r>
        <w:rPr>
          <w:spacing w:val="40"/>
          <w:sz w:val="24"/>
        </w:rPr>
        <w:t> </w:t>
      </w:r>
      <w:r>
        <w:rPr>
          <w:sz w:val="24"/>
        </w:rPr>
        <w:t>level</w:t>
      </w:r>
      <w:r>
        <w:rPr>
          <w:spacing w:val="40"/>
          <w:sz w:val="24"/>
        </w:rPr>
        <w:t> </w:t>
      </w:r>
      <w:r>
        <w:rPr>
          <w:sz w:val="24"/>
        </w:rPr>
        <w:t>water</w:t>
      </w:r>
      <w:r>
        <w:rPr>
          <w:spacing w:val="40"/>
          <w:sz w:val="24"/>
        </w:rPr>
        <w:t> </w:t>
      </w:r>
      <w:r>
        <w:rPr>
          <w:spacing w:val="9"/>
          <w:sz w:val="24"/>
        </w:rPr>
        <w:t>tanks, </w:t>
      </w:r>
      <w:r>
        <w:rPr>
          <w:sz w:val="24"/>
        </w:rPr>
        <w:t>pipelines</w:t>
      </w:r>
      <w:r>
        <w:rPr>
          <w:spacing w:val="40"/>
          <w:sz w:val="24"/>
        </w:rPr>
        <w:t> </w:t>
      </w:r>
      <w:r>
        <w:rPr>
          <w:sz w:val="24"/>
        </w:rPr>
        <w:t>and</w:t>
      </w:r>
      <w:r>
        <w:rPr>
          <w:spacing w:val="40"/>
          <w:sz w:val="24"/>
        </w:rPr>
        <w:t> </w:t>
      </w:r>
      <w:r>
        <w:rPr>
          <w:sz w:val="24"/>
        </w:rPr>
        <w:t>pumping</w:t>
      </w:r>
      <w:r>
        <w:rPr>
          <w:spacing w:val="40"/>
          <w:sz w:val="24"/>
        </w:rPr>
        <w:t> </w:t>
      </w:r>
      <w:r>
        <w:rPr>
          <w:sz w:val="24"/>
        </w:rPr>
        <w:t>station;</w:t>
      </w:r>
      <w:r>
        <w:rPr>
          <w:spacing w:val="40"/>
          <w:sz w:val="24"/>
        </w:rPr>
        <w:t> </w:t>
      </w:r>
      <w:r>
        <w:rPr>
          <w:sz w:val="24"/>
        </w:rPr>
        <w:t>running</w:t>
      </w:r>
      <w:r>
        <w:rPr>
          <w:spacing w:val="40"/>
          <w:sz w:val="24"/>
        </w:rPr>
        <w:t> </w:t>
      </w:r>
      <w:r>
        <w:rPr>
          <w:sz w:val="24"/>
        </w:rPr>
        <w:t>rooms,</w:t>
      </w:r>
      <w:r>
        <w:rPr>
          <w:spacing w:val="9"/>
          <w:sz w:val="24"/>
        </w:rPr>
        <w:t> train </w:t>
      </w:r>
      <w:r>
        <w:rPr>
          <w:sz w:val="24"/>
        </w:rPr>
        <w:t>examiners'</w:t>
      </w:r>
      <w:r>
        <w:rPr>
          <w:spacing w:val="40"/>
          <w:sz w:val="24"/>
        </w:rPr>
        <w:t> </w:t>
      </w:r>
      <w:r>
        <w:rPr>
          <w:sz w:val="24"/>
        </w:rPr>
        <w:t>offices,</w:t>
      </w:r>
      <w:r>
        <w:rPr>
          <w:spacing w:val="40"/>
          <w:sz w:val="24"/>
        </w:rPr>
        <w:t> </w:t>
      </w:r>
      <w:r>
        <w:rPr>
          <w:sz w:val="24"/>
        </w:rPr>
        <w:t>yard</w:t>
      </w:r>
      <w:r>
        <w:rPr>
          <w:spacing w:val="40"/>
          <w:sz w:val="24"/>
        </w:rPr>
        <w:t> </w:t>
      </w:r>
      <w:r>
        <w:rPr>
          <w:sz w:val="24"/>
        </w:rPr>
        <w:t>depots,</w:t>
      </w:r>
      <w:r>
        <w:rPr>
          <w:spacing w:val="40"/>
          <w:sz w:val="24"/>
        </w:rPr>
        <w:t> </w:t>
      </w:r>
      <w:r>
        <w:rPr>
          <w:sz w:val="24"/>
        </w:rPr>
        <w:t>permanent</w:t>
      </w:r>
      <w:r>
        <w:rPr>
          <w:spacing w:val="40"/>
          <w:sz w:val="24"/>
        </w:rPr>
        <w:t> </w:t>
      </w:r>
      <w:r>
        <w:rPr>
          <w:sz w:val="24"/>
        </w:rPr>
        <w:t>way</w:t>
      </w:r>
      <w:r>
        <w:rPr>
          <w:spacing w:val="40"/>
          <w:sz w:val="24"/>
        </w:rPr>
        <w:t> </w:t>
      </w:r>
      <w:r>
        <w:rPr>
          <w:sz w:val="24"/>
        </w:rPr>
        <w:t>inspectors'</w:t>
      </w:r>
      <w:r>
        <w:rPr>
          <w:spacing w:val="40"/>
          <w:sz w:val="24"/>
        </w:rPr>
        <w:t> </w:t>
      </w:r>
      <w:r>
        <w:rPr>
          <w:sz w:val="24"/>
        </w:rPr>
        <w:t>and</w:t>
      </w:r>
      <w:r>
        <w:rPr>
          <w:spacing w:val="40"/>
          <w:sz w:val="24"/>
        </w:rPr>
        <w:t> </w:t>
      </w:r>
      <w:r>
        <w:rPr>
          <w:sz w:val="24"/>
        </w:rPr>
        <w:t>signal</w:t>
      </w:r>
      <w:r>
        <w:rPr>
          <w:spacing w:val="40"/>
          <w:sz w:val="24"/>
        </w:rPr>
        <w:t> </w:t>
      </w:r>
      <w:r>
        <w:rPr>
          <w:sz w:val="24"/>
        </w:rPr>
        <w:t>inspectors'</w:t>
      </w:r>
      <w:r>
        <w:rPr>
          <w:spacing w:val="40"/>
          <w:sz w:val="24"/>
        </w:rPr>
        <w:t> </w:t>
      </w:r>
      <w:r>
        <w:rPr>
          <w:sz w:val="24"/>
        </w:rPr>
        <w:t>stores</w:t>
      </w:r>
      <w:r>
        <w:rPr>
          <w:spacing w:val="40"/>
          <w:sz w:val="24"/>
        </w:rPr>
        <w:t> </w:t>
      </w:r>
      <w:r>
        <w:rPr>
          <w:sz w:val="24"/>
        </w:rPr>
        <w:t>in</w:t>
      </w:r>
      <w:r>
        <w:rPr>
          <w:spacing w:val="40"/>
          <w:sz w:val="24"/>
        </w:rPr>
        <w:t> </w:t>
      </w:r>
      <w:r>
        <w:rPr>
          <w:sz w:val="24"/>
        </w:rPr>
        <w:t>railway</w:t>
      </w:r>
      <w:r>
        <w:rPr>
          <w:spacing w:val="40"/>
          <w:sz w:val="24"/>
        </w:rPr>
        <w:t> </w:t>
      </w:r>
      <w:r>
        <w:rPr>
          <w:sz w:val="24"/>
        </w:rPr>
        <w:t>yards</w:t>
      </w:r>
      <w:r>
        <w:rPr>
          <w:spacing w:val="40"/>
          <w:sz w:val="24"/>
        </w:rPr>
        <w:t> </w:t>
      </w:r>
      <w:r>
        <w:rPr>
          <w:sz w:val="24"/>
        </w:rPr>
        <w:t>and</w:t>
      </w:r>
      <w:r>
        <w:rPr>
          <w:spacing w:val="40"/>
          <w:sz w:val="24"/>
        </w:rPr>
        <w:t> </w:t>
      </w:r>
      <w:r>
        <w:rPr>
          <w:sz w:val="24"/>
        </w:rPr>
        <w:t>all</w:t>
      </w:r>
      <w:r>
        <w:rPr>
          <w:spacing w:val="80"/>
          <w:sz w:val="24"/>
        </w:rPr>
        <w:t> </w:t>
      </w:r>
      <w:r>
        <w:rPr>
          <w:sz w:val="24"/>
        </w:rPr>
        <w:t>overhead</w:t>
      </w:r>
      <w:r>
        <w:rPr>
          <w:spacing w:val="40"/>
          <w:sz w:val="24"/>
        </w:rPr>
        <w:t> </w:t>
      </w:r>
      <w:r>
        <w:rPr>
          <w:sz w:val="24"/>
        </w:rPr>
        <w:t>electric</w:t>
      </w:r>
      <w:r>
        <w:rPr>
          <w:spacing w:val="40"/>
          <w:sz w:val="24"/>
        </w:rPr>
        <w:t> </w:t>
      </w:r>
      <w:r>
        <w:rPr>
          <w:sz w:val="24"/>
        </w:rPr>
        <w:t>equipment</w:t>
      </w:r>
      <w:r>
        <w:rPr>
          <w:spacing w:val="40"/>
          <w:sz w:val="24"/>
        </w:rPr>
        <w:t> </w:t>
      </w:r>
      <w:r>
        <w:rPr>
          <w:sz w:val="24"/>
        </w:rPr>
        <w:t>for</w:t>
      </w:r>
      <w:r>
        <w:rPr>
          <w:spacing w:val="40"/>
          <w:sz w:val="24"/>
        </w:rPr>
        <w:t> </w:t>
      </w:r>
      <w:r>
        <w:rPr>
          <w:spacing w:val="9"/>
          <w:sz w:val="24"/>
        </w:rPr>
        <w:t>traction.</w:t>
      </w:r>
    </w:p>
    <w:p>
      <w:pPr>
        <w:pStyle w:val="BodyText"/>
        <w:spacing w:before="240"/>
        <w:ind w:left="1493" w:right="776" w:firstLine="719"/>
      </w:pPr>
      <w:r>
        <w:rPr/>
        <w:t>Operational</w:t>
      </w:r>
      <w:r>
        <w:rPr>
          <w:spacing w:val="40"/>
        </w:rPr>
        <w:t> </w:t>
      </w:r>
      <w:r>
        <w:rPr/>
        <w:t>Control</w:t>
      </w:r>
      <w:r>
        <w:rPr>
          <w:spacing w:val="40"/>
        </w:rPr>
        <w:t> </w:t>
      </w:r>
      <w:r>
        <w:rPr/>
        <w:t>Centre,</w:t>
      </w:r>
      <w:r>
        <w:rPr>
          <w:spacing w:val="40"/>
        </w:rPr>
        <w:t> </w:t>
      </w:r>
      <w:r>
        <w:rPr/>
        <w:t>Playback</w:t>
      </w:r>
      <w:r>
        <w:rPr>
          <w:spacing w:val="40"/>
        </w:rPr>
        <w:t> </w:t>
      </w:r>
      <w:r>
        <w:rPr/>
        <w:t>Training</w:t>
      </w:r>
      <w:r>
        <w:rPr>
          <w:spacing w:val="40"/>
        </w:rPr>
        <w:t> </w:t>
      </w:r>
      <w:r>
        <w:rPr/>
        <w:t>Room,</w:t>
      </w:r>
      <w:r>
        <w:rPr>
          <w:spacing w:val="40"/>
        </w:rPr>
        <w:t> </w:t>
      </w:r>
      <w:r>
        <w:rPr/>
        <w:t>Stabling Yards, Maintenance Workshop, Auto wash plant, Auxiliary Rail Vehicle Building, Under Floor Wheel Lathe &amp; Blow Down Plant, Cooling Tower, Generator</w:t>
      </w:r>
      <w:r>
        <w:rPr>
          <w:spacing w:val="80"/>
        </w:rPr>
        <w:t> </w:t>
      </w:r>
      <w:r>
        <w:rPr/>
        <w:t>Area,</w:t>
      </w:r>
      <w:r>
        <w:rPr>
          <w:spacing w:val="80"/>
        </w:rPr>
        <w:t> </w:t>
      </w:r>
      <w:r>
        <w:rPr/>
        <w:t>Auxiliary</w:t>
      </w:r>
      <w:r>
        <w:rPr>
          <w:spacing w:val="80"/>
        </w:rPr>
        <w:t> </w:t>
      </w:r>
      <w:r>
        <w:rPr/>
        <w:t>Substation,</w:t>
      </w:r>
      <w:r>
        <w:rPr>
          <w:spacing w:val="80"/>
        </w:rPr>
        <w:t> </w:t>
      </w:r>
      <w:r>
        <w:rPr/>
        <w:t>Traction</w:t>
      </w:r>
      <w:r>
        <w:rPr>
          <w:spacing w:val="80"/>
        </w:rPr>
        <w:t> </w:t>
      </w:r>
      <w:r>
        <w:rPr>
          <w:spacing w:val="9"/>
        </w:rPr>
        <w:t>Substation,</w:t>
      </w:r>
      <w:r>
        <w:rPr>
          <w:spacing w:val="40"/>
        </w:rPr>
        <w:t> </w:t>
      </w:r>
      <w:r>
        <w:rPr/>
        <w:t>Transformer</w:t>
      </w:r>
      <w:r>
        <w:rPr>
          <w:spacing w:val="80"/>
        </w:rPr>
        <w:t> </w:t>
      </w:r>
      <w:r>
        <w:rPr/>
        <w:t>Area,</w:t>
      </w:r>
      <w:r>
        <w:rPr>
          <w:spacing w:val="80"/>
        </w:rPr>
        <w:t> </w:t>
      </w:r>
      <w:r>
        <w:rPr/>
        <w:t>Water</w:t>
      </w:r>
      <w:r>
        <w:rPr>
          <w:spacing w:val="80"/>
        </w:rPr>
        <w:t> </w:t>
      </w:r>
      <w:r>
        <w:rPr/>
        <w:t>Treatment</w:t>
      </w:r>
      <w:r>
        <w:rPr>
          <w:spacing w:val="80"/>
        </w:rPr>
        <w:t> </w:t>
      </w:r>
      <w:r>
        <w:rPr/>
        <w:t>Plant,</w:t>
      </w:r>
      <w:r>
        <w:rPr>
          <w:spacing w:val="80"/>
        </w:rPr>
        <w:t> </w:t>
      </w:r>
      <w:r>
        <w:rPr/>
        <w:t>Wastewater</w:t>
      </w:r>
      <w:r>
        <w:rPr>
          <w:spacing w:val="80"/>
        </w:rPr>
        <w:t> </w:t>
      </w:r>
      <w:r>
        <w:rPr/>
        <w:t>Treatment</w:t>
      </w:r>
      <w:r>
        <w:rPr>
          <w:spacing w:val="80"/>
        </w:rPr>
        <w:t> </w:t>
      </w:r>
      <w:r>
        <w:rPr/>
        <w:t>Plant,</w:t>
      </w:r>
      <w:r>
        <w:rPr>
          <w:spacing w:val="40"/>
        </w:rPr>
        <w:t> </w:t>
      </w:r>
      <w:r>
        <w:rPr/>
        <w:t>Depot,</w:t>
      </w:r>
      <w:r>
        <w:rPr>
          <w:spacing w:val="40"/>
        </w:rPr>
        <w:t> </w:t>
      </w:r>
      <w:r>
        <w:rPr/>
        <w:t>Control</w:t>
      </w:r>
      <w:r>
        <w:rPr>
          <w:spacing w:val="40"/>
        </w:rPr>
        <w:t> </w:t>
      </w:r>
      <w:r>
        <w:rPr/>
        <w:t>Centre,</w:t>
      </w:r>
      <w:r>
        <w:rPr>
          <w:spacing w:val="40"/>
        </w:rPr>
        <w:t> </w:t>
      </w:r>
      <w:r>
        <w:rPr/>
        <w:t>Sump</w:t>
      </w:r>
      <w:r>
        <w:rPr>
          <w:spacing w:val="40"/>
        </w:rPr>
        <w:t> </w:t>
      </w:r>
      <w:r>
        <w:rPr/>
        <w:t>Area,</w:t>
      </w:r>
      <w:r>
        <w:rPr>
          <w:spacing w:val="40"/>
        </w:rPr>
        <w:t> </w:t>
      </w:r>
      <w:r>
        <w:rPr/>
        <w:t>Parking</w:t>
      </w:r>
      <w:r>
        <w:rPr>
          <w:spacing w:val="40"/>
        </w:rPr>
        <w:t> </w:t>
      </w:r>
      <w:r>
        <w:rPr/>
        <w:t>Check</w:t>
      </w:r>
      <w:r>
        <w:rPr>
          <w:spacing w:val="40"/>
        </w:rPr>
        <w:t> </w:t>
      </w:r>
      <w:r>
        <w:rPr/>
        <w:t>post,</w:t>
      </w:r>
      <w:r>
        <w:rPr>
          <w:spacing w:val="40"/>
        </w:rPr>
        <w:t> </w:t>
      </w:r>
      <w:r>
        <w:rPr/>
        <w:t>Loading</w:t>
      </w:r>
      <w:r>
        <w:rPr>
          <w:spacing w:val="40"/>
        </w:rPr>
        <w:t> </w:t>
      </w:r>
      <w:r>
        <w:rPr/>
        <w:t>&amp; Unloading Areas, Fouling Points, DG Set Rooms, Metro&amp; Mono Stations(Underground&amp; Elevated),Viaduct &amp; Tunnel, Ventilation Shaft, Entry/Exit</w:t>
      </w:r>
      <w:r>
        <w:rPr>
          <w:spacing w:val="80"/>
        </w:rPr>
        <w:t> </w:t>
      </w:r>
      <w:r>
        <w:rPr/>
        <w:t>Block,</w:t>
      </w:r>
      <w:r>
        <w:rPr>
          <w:spacing w:val="80"/>
        </w:rPr>
        <w:t> </w:t>
      </w:r>
      <w:r>
        <w:rPr/>
        <w:t>Passages,</w:t>
      </w:r>
      <w:r>
        <w:rPr>
          <w:spacing w:val="80"/>
        </w:rPr>
        <w:t> </w:t>
      </w:r>
      <w:r>
        <w:rPr/>
        <w:t>Underground</w:t>
      </w:r>
      <w:r>
        <w:rPr>
          <w:spacing w:val="80"/>
        </w:rPr>
        <w:t> </w:t>
      </w:r>
      <w:r>
        <w:rPr/>
        <w:t>Passages</w:t>
      </w:r>
      <w:r>
        <w:rPr>
          <w:spacing w:val="80"/>
        </w:rPr>
        <w:t> </w:t>
      </w:r>
      <w:r>
        <w:rPr/>
        <w:t>to</w:t>
      </w:r>
      <w:r>
        <w:rPr>
          <w:spacing w:val="80"/>
        </w:rPr>
        <w:t> </w:t>
      </w:r>
      <w:r>
        <w:rPr/>
        <w:t>Station</w:t>
      </w:r>
      <w:r>
        <w:rPr>
          <w:spacing w:val="80"/>
        </w:rPr>
        <w:t> </w:t>
      </w:r>
      <w:r>
        <w:rPr/>
        <w:t>Box, Lift/ Staircases, Escalators, Air Handling Unit.(iii) Store sheds, when ancillary</w:t>
      </w:r>
      <w:r>
        <w:rPr>
          <w:spacing w:val="40"/>
        </w:rPr>
        <w:t> </w:t>
      </w:r>
      <w:r>
        <w:rPr/>
        <w:t>to</w:t>
      </w:r>
      <w:r>
        <w:rPr>
          <w:spacing w:val="40"/>
        </w:rPr>
        <w:t> </w:t>
      </w:r>
      <w:r>
        <w:rPr/>
        <w:t>operational</w:t>
      </w:r>
      <w:r>
        <w:rPr>
          <w:spacing w:val="40"/>
        </w:rPr>
        <w:t> </w:t>
      </w:r>
      <w:r>
        <w:rPr/>
        <w:t>requirement</w:t>
      </w:r>
      <w:r>
        <w:rPr>
          <w:spacing w:val="40"/>
        </w:rPr>
        <w:t> </w:t>
      </w:r>
      <w:r>
        <w:rPr>
          <w:spacing w:val="9"/>
        </w:rPr>
        <w:t>only;</w:t>
      </w:r>
    </w:p>
    <w:p>
      <w:pPr>
        <w:pStyle w:val="BodyText"/>
        <w:spacing w:before="242"/>
        <w:ind w:left="1493" w:right="775"/>
      </w:pPr>
      <w:r>
        <w:rPr/>
        <w:t>Provided that, for the construction of new railway lines or tracks the approval</w:t>
      </w:r>
      <w:r>
        <w:rPr>
          <w:spacing w:val="40"/>
        </w:rPr>
        <w:t> </w:t>
      </w:r>
      <w:r>
        <w:rPr/>
        <w:t>of</w:t>
      </w:r>
      <w:r>
        <w:rPr>
          <w:spacing w:val="40"/>
        </w:rPr>
        <w:t> </w:t>
      </w:r>
      <w:r>
        <w:rPr/>
        <w:t>the</w:t>
      </w:r>
      <w:r>
        <w:rPr>
          <w:spacing w:val="40"/>
        </w:rPr>
        <w:t> </w:t>
      </w:r>
      <w:r>
        <w:rPr/>
        <w:t>State</w:t>
      </w:r>
      <w:r>
        <w:rPr>
          <w:spacing w:val="40"/>
        </w:rPr>
        <w:t> </w:t>
      </w:r>
      <w:r>
        <w:rPr/>
        <w:t>Government</w:t>
      </w:r>
      <w:r>
        <w:rPr>
          <w:spacing w:val="40"/>
        </w:rPr>
        <w:t> </w:t>
      </w:r>
      <w:r>
        <w:rPr/>
        <w:t>shall</w:t>
      </w:r>
      <w:r>
        <w:rPr>
          <w:spacing w:val="40"/>
        </w:rPr>
        <w:t> </w:t>
      </w:r>
      <w:r>
        <w:rPr/>
        <w:t>be</w:t>
      </w:r>
      <w:r>
        <w:rPr>
          <w:spacing w:val="40"/>
        </w:rPr>
        <w:t> </w:t>
      </w:r>
      <w:r>
        <w:rPr/>
        <w:t>necessary.</w:t>
      </w:r>
      <w:r>
        <w:rPr>
          <w:spacing w:val="40"/>
        </w:rPr>
        <w:t> </w:t>
      </w:r>
      <w:r>
        <w:rPr/>
        <w:t>For</w:t>
      </w:r>
      <w:r>
        <w:rPr>
          <w:spacing w:val="40"/>
        </w:rPr>
        <w:t> </w:t>
      </w:r>
      <w:r>
        <w:rPr>
          <w:spacing w:val="9"/>
        </w:rPr>
        <w:t>construction </w:t>
      </w:r>
      <w:r>
        <w:rPr/>
        <w:t>of new buildings, goods stores, sheds or platforms, parcel </w:t>
      </w:r>
      <w:r>
        <w:rPr>
          <w:spacing w:val="10"/>
        </w:rPr>
        <w:t>offices </w:t>
      </w:r>
      <w:r>
        <w:rPr/>
        <w:t>and workshops or for purposes of major </w:t>
      </w:r>
      <w:r>
        <w:rPr>
          <w:spacing w:val="9"/>
        </w:rPr>
        <w:t>remodeling,</w:t>
      </w:r>
      <w:r>
        <w:rPr>
          <w:spacing w:val="9"/>
        </w:rPr>
        <w:t> </w:t>
      </w:r>
      <w:r>
        <w:rPr/>
        <w:t>the approval of the Commissioner</w:t>
      </w:r>
      <w:r>
        <w:rPr>
          <w:spacing w:val="40"/>
        </w:rPr>
        <w:t> </w:t>
      </w:r>
      <w:r>
        <w:rPr/>
        <w:t>shall</w:t>
      </w:r>
      <w:r>
        <w:rPr>
          <w:spacing w:val="40"/>
        </w:rPr>
        <w:t> </w:t>
      </w:r>
      <w:r>
        <w:rPr/>
        <w:t>be</w:t>
      </w:r>
      <w:r>
        <w:rPr>
          <w:spacing w:val="40"/>
        </w:rPr>
        <w:t> </w:t>
      </w:r>
      <w:r>
        <w:rPr/>
        <w:t>necessary.</w:t>
      </w:r>
    </w:p>
    <w:p>
      <w:pPr>
        <w:pStyle w:val="BodyText"/>
        <w:spacing w:before="241"/>
        <w:ind w:left="1493" w:right="777"/>
      </w:pPr>
      <w:r>
        <w:rPr/>
        <w:t>Further</w:t>
      </w:r>
      <w:r>
        <w:rPr>
          <w:spacing w:val="80"/>
        </w:rPr>
        <w:t> </w:t>
      </w:r>
      <w:r>
        <w:rPr/>
        <w:t>provided</w:t>
      </w:r>
      <w:r>
        <w:rPr>
          <w:spacing w:val="80"/>
        </w:rPr>
        <w:t> </w:t>
      </w:r>
      <w:r>
        <w:rPr/>
        <w:t>that,</w:t>
      </w:r>
      <w:r>
        <w:rPr>
          <w:spacing w:val="80"/>
        </w:rPr>
        <w:t> </w:t>
      </w:r>
      <w:r>
        <w:rPr/>
        <w:t>the</w:t>
      </w:r>
      <w:r>
        <w:rPr>
          <w:spacing w:val="80"/>
        </w:rPr>
        <w:t> </w:t>
      </w:r>
      <w:r>
        <w:rPr/>
        <w:t>following</w:t>
      </w:r>
      <w:r>
        <w:rPr>
          <w:spacing w:val="80"/>
        </w:rPr>
        <w:t> </w:t>
      </w:r>
      <w:r>
        <w:rPr/>
        <w:t>constructions</w:t>
      </w:r>
      <w:r>
        <w:rPr>
          <w:spacing w:val="80"/>
        </w:rPr>
        <w:t> </w:t>
      </w:r>
      <w:r>
        <w:rPr/>
        <w:t>by</w:t>
      </w:r>
      <w:r>
        <w:rPr>
          <w:spacing w:val="80"/>
        </w:rPr>
        <w:t> </w:t>
      </w:r>
      <w:r>
        <w:rPr/>
        <w:t>the organizations, authorities or </w:t>
      </w:r>
      <w:r>
        <w:rPr>
          <w:spacing w:val="9"/>
        </w:rPr>
        <w:t>departments </w:t>
      </w:r>
      <w:r>
        <w:rPr/>
        <w:t>listed in </w:t>
      </w:r>
      <w:r>
        <w:rPr>
          <w:spacing w:val="10"/>
        </w:rPr>
        <w:t>sub-</w:t>
      </w:r>
      <w:r>
        <w:rPr/>
        <w:t>Regulation (2) herein</w:t>
      </w:r>
      <w:r>
        <w:rPr>
          <w:spacing w:val="40"/>
        </w:rPr>
        <w:t> </w:t>
      </w:r>
      <w:r>
        <w:rPr/>
        <w:t>shall</w:t>
      </w:r>
      <w:r>
        <w:rPr>
          <w:spacing w:val="40"/>
        </w:rPr>
        <w:t> </w:t>
      </w:r>
      <w:r>
        <w:rPr/>
        <w:t>not</w:t>
      </w:r>
      <w:r>
        <w:rPr>
          <w:spacing w:val="40"/>
        </w:rPr>
        <w:t> </w:t>
      </w:r>
      <w:r>
        <w:rPr/>
        <w:t>be</w:t>
      </w:r>
      <w:r>
        <w:rPr>
          <w:spacing w:val="40"/>
        </w:rPr>
        <w:t> </w:t>
      </w:r>
      <w:r>
        <w:rPr/>
        <w:t>deemed</w:t>
      </w:r>
      <w:r>
        <w:rPr>
          <w:spacing w:val="40"/>
        </w:rPr>
        <w:t> </w:t>
      </w:r>
      <w:r>
        <w:rPr/>
        <w:t>to</w:t>
      </w:r>
      <w:r>
        <w:rPr>
          <w:spacing w:val="40"/>
        </w:rPr>
        <w:t> </w:t>
      </w:r>
      <w:r>
        <w:rPr/>
        <w:t>be</w:t>
      </w:r>
      <w:r>
        <w:rPr>
          <w:spacing w:val="40"/>
        </w:rPr>
        <w:t> </w:t>
      </w:r>
      <w:r>
        <w:rPr/>
        <w:t>operational</w:t>
      </w:r>
      <w:r>
        <w:rPr>
          <w:spacing w:val="40"/>
        </w:rPr>
        <w:t> </w:t>
      </w:r>
      <w:r>
        <w:rPr/>
        <w:t>for</w:t>
      </w:r>
      <w:r>
        <w:rPr>
          <w:spacing w:val="40"/>
        </w:rPr>
        <w:t> </w:t>
      </w:r>
      <w:r>
        <w:rPr/>
        <w:t>the</w:t>
      </w:r>
      <w:r>
        <w:rPr>
          <w:spacing w:val="40"/>
        </w:rPr>
        <w:t> </w:t>
      </w:r>
      <w:r>
        <w:rPr/>
        <w:t>purpose</w:t>
      </w:r>
      <w:r>
        <w:rPr>
          <w:spacing w:val="40"/>
        </w:rPr>
        <w:t> </w:t>
      </w:r>
      <w:r>
        <w:rPr/>
        <w:t>of exemption</w:t>
      </w:r>
      <w:r>
        <w:rPr>
          <w:spacing w:val="40"/>
        </w:rPr>
        <w:t> </w:t>
      </w:r>
      <w:r>
        <w:rPr/>
        <w:t>under</w:t>
      </w:r>
      <w:r>
        <w:rPr>
          <w:spacing w:val="40"/>
        </w:rPr>
        <w:t> </w:t>
      </w:r>
      <w:r>
        <w:rPr/>
        <w:t>the</w:t>
      </w:r>
      <w:r>
        <w:rPr>
          <w:spacing w:val="40"/>
        </w:rPr>
        <w:t> </w:t>
      </w:r>
      <w:r>
        <w:rPr/>
        <w:t>said</w:t>
      </w:r>
      <w:r>
        <w:rPr>
          <w:spacing w:val="80"/>
        </w:rPr>
        <w:t> </w:t>
      </w:r>
      <w:r>
        <w:rPr/>
        <w:t>Regulations,</w:t>
      </w:r>
      <w:r>
        <w:rPr>
          <w:spacing w:val="80"/>
        </w:rPr>
        <w:t> </w:t>
      </w:r>
      <w:r>
        <w:rPr/>
        <w:t>namely:</w:t>
      </w:r>
      <w:r>
        <w:rPr>
          <w:spacing w:val="40"/>
        </w:rPr>
        <w:t> </w:t>
      </w:r>
      <w:r>
        <w:rPr/>
        <w:t>-</w:t>
      </w:r>
    </w:p>
    <w:p>
      <w:pPr>
        <w:pStyle w:val="ListParagraph"/>
        <w:numPr>
          <w:ilvl w:val="0"/>
          <w:numId w:val="13"/>
        </w:numPr>
        <w:tabs>
          <w:tab w:pos="1906" w:val="left" w:leader="none"/>
          <w:tab w:pos="1920" w:val="left" w:leader="none"/>
        </w:tabs>
        <w:spacing w:line="240" w:lineRule="auto" w:before="238" w:after="0"/>
        <w:ind w:left="1906" w:right="775" w:hanging="706"/>
        <w:jc w:val="left"/>
        <w:rPr>
          <w:sz w:val="24"/>
        </w:rPr>
      </w:pPr>
      <w:r>
        <w:rPr>
          <w:sz w:val="24"/>
        </w:rPr>
        <w:t>Residential</w:t>
      </w:r>
      <w:r>
        <w:rPr>
          <w:spacing w:val="80"/>
          <w:w w:val="150"/>
          <w:sz w:val="24"/>
        </w:rPr>
        <w:t> </w:t>
      </w:r>
      <w:r>
        <w:rPr>
          <w:sz w:val="24"/>
        </w:rPr>
        <w:t>buildings,</w:t>
      </w:r>
      <w:r>
        <w:rPr>
          <w:spacing w:val="80"/>
          <w:w w:val="150"/>
          <w:sz w:val="24"/>
        </w:rPr>
        <w:t> </w:t>
      </w:r>
      <w:r>
        <w:rPr>
          <w:sz w:val="24"/>
        </w:rPr>
        <w:t>commercial</w:t>
      </w:r>
      <w:r>
        <w:rPr>
          <w:spacing w:val="80"/>
          <w:w w:val="150"/>
          <w:sz w:val="24"/>
        </w:rPr>
        <w:t> </w:t>
      </w:r>
      <w:r>
        <w:rPr>
          <w:sz w:val="24"/>
        </w:rPr>
        <w:t>buildings,</w:t>
      </w:r>
      <w:r>
        <w:rPr>
          <w:spacing w:val="80"/>
          <w:w w:val="150"/>
          <w:sz w:val="24"/>
        </w:rPr>
        <w:t> </w:t>
      </w:r>
      <w:r>
        <w:rPr>
          <w:sz w:val="24"/>
        </w:rPr>
        <w:t>office</w:t>
      </w:r>
      <w:r>
        <w:rPr>
          <w:spacing w:val="80"/>
          <w:w w:val="150"/>
          <w:sz w:val="24"/>
        </w:rPr>
        <w:t> </w:t>
      </w:r>
      <w:r>
        <w:rPr>
          <w:sz w:val="24"/>
        </w:rPr>
        <w:t>buildings</w:t>
      </w:r>
      <w:r>
        <w:rPr>
          <w:spacing w:val="80"/>
          <w:w w:val="150"/>
          <w:sz w:val="24"/>
        </w:rPr>
        <w:t> </w:t>
      </w:r>
      <w:r>
        <w:rPr>
          <w:sz w:val="24"/>
        </w:rPr>
        <w:t>and industrial</w:t>
      </w:r>
      <w:r>
        <w:rPr>
          <w:spacing w:val="50"/>
          <w:w w:val="150"/>
          <w:sz w:val="24"/>
        </w:rPr>
        <w:t> </w:t>
      </w:r>
      <w:r>
        <w:rPr>
          <w:sz w:val="24"/>
        </w:rPr>
        <w:t>buildings</w:t>
      </w:r>
      <w:r>
        <w:rPr>
          <w:spacing w:val="52"/>
          <w:w w:val="150"/>
          <w:sz w:val="24"/>
        </w:rPr>
        <w:t> </w:t>
      </w:r>
      <w:r>
        <w:rPr>
          <w:sz w:val="24"/>
        </w:rPr>
        <w:t>(other</w:t>
      </w:r>
      <w:r>
        <w:rPr>
          <w:spacing w:val="52"/>
          <w:w w:val="150"/>
          <w:sz w:val="24"/>
        </w:rPr>
        <w:t> </w:t>
      </w:r>
      <w:r>
        <w:rPr>
          <w:sz w:val="24"/>
        </w:rPr>
        <w:t>than</w:t>
      </w:r>
      <w:r>
        <w:rPr>
          <w:spacing w:val="52"/>
          <w:w w:val="150"/>
          <w:sz w:val="24"/>
        </w:rPr>
        <w:t> </w:t>
      </w:r>
      <w:r>
        <w:rPr>
          <w:sz w:val="24"/>
        </w:rPr>
        <w:t>gate</w:t>
      </w:r>
      <w:r>
        <w:rPr>
          <w:spacing w:val="56"/>
          <w:w w:val="150"/>
          <w:sz w:val="24"/>
        </w:rPr>
        <w:t> </w:t>
      </w:r>
      <w:r>
        <w:rPr>
          <w:sz w:val="24"/>
        </w:rPr>
        <w:t>lodges,</w:t>
      </w:r>
      <w:r>
        <w:rPr>
          <w:spacing w:val="52"/>
          <w:w w:val="150"/>
          <w:sz w:val="24"/>
        </w:rPr>
        <w:t> </w:t>
      </w:r>
      <w:r>
        <w:rPr>
          <w:sz w:val="24"/>
        </w:rPr>
        <w:t>essential</w:t>
      </w:r>
      <w:r>
        <w:rPr>
          <w:spacing w:val="53"/>
          <w:w w:val="150"/>
          <w:sz w:val="24"/>
        </w:rPr>
        <w:t> </w:t>
      </w:r>
      <w:r>
        <w:rPr>
          <w:spacing w:val="7"/>
          <w:sz w:val="24"/>
        </w:rPr>
        <w:t>operational</w:t>
      </w:r>
    </w:p>
    <w:p>
      <w:pPr>
        <w:pStyle w:val="ListParagraph"/>
        <w:spacing w:after="0" w:line="240" w:lineRule="auto"/>
        <w:jc w:val="left"/>
        <w:rPr>
          <w:sz w:val="24"/>
        </w:rPr>
        <w:sectPr>
          <w:pgSz w:w="11910" w:h="16840"/>
          <w:pgMar w:header="1036" w:footer="974" w:top="1460" w:bottom="1160" w:left="360" w:right="360"/>
        </w:sectPr>
      </w:pPr>
    </w:p>
    <w:p>
      <w:pPr>
        <w:pStyle w:val="BodyText"/>
        <w:spacing w:before="278"/>
        <w:ind w:left="1906" w:right="779"/>
      </w:pPr>
      <w:r>
        <w:rPr/>
        <w:t>staff quarters and the like), roads and drains, hospitals, clubs, institutes</w:t>
      </w:r>
      <w:r>
        <w:rPr>
          <w:spacing w:val="40"/>
        </w:rPr>
        <w:t> </w:t>
      </w:r>
      <w:r>
        <w:rPr/>
        <w:t>and</w:t>
      </w:r>
      <w:r>
        <w:rPr>
          <w:spacing w:val="40"/>
        </w:rPr>
        <w:t> </w:t>
      </w:r>
      <w:r>
        <w:rPr/>
        <w:t>schools</w:t>
      </w:r>
      <w:r>
        <w:rPr>
          <w:spacing w:val="40"/>
        </w:rPr>
        <w:t> </w:t>
      </w:r>
      <w:r>
        <w:rPr/>
        <w:t>in</w:t>
      </w:r>
      <w:r>
        <w:rPr>
          <w:spacing w:val="40"/>
        </w:rPr>
        <w:t> </w:t>
      </w:r>
      <w:r>
        <w:rPr/>
        <w:t>residential,</w:t>
      </w:r>
      <w:r>
        <w:rPr>
          <w:spacing w:val="40"/>
        </w:rPr>
        <w:t> </w:t>
      </w:r>
      <w:r>
        <w:rPr/>
        <w:t>commercial</w:t>
      </w:r>
      <w:r>
        <w:rPr>
          <w:spacing w:val="40"/>
        </w:rPr>
        <w:t> </w:t>
      </w:r>
      <w:r>
        <w:rPr/>
        <w:t>or</w:t>
      </w:r>
      <w:r>
        <w:rPr>
          <w:spacing w:val="40"/>
        </w:rPr>
        <w:t> </w:t>
      </w:r>
      <w:r>
        <w:rPr/>
        <w:t>industrial</w:t>
      </w:r>
      <w:r>
        <w:rPr>
          <w:spacing w:val="40"/>
        </w:rPr>
        <w:t> </w:t>
      </w:r>
      <w:r>
        <w:rPr/>
        <w:t>areas of</w:t>
      </w:r>
      <w:r>
        <w:rPr>
          <w:spacing w:val="80"/>
        </w:rPr>
        <w:t> </w:t>
      </w:r>
      <w:r>
        <w:rPr/>
        <w:t>the</w:t>
      </w:r>
      <w:r>
        <w:rPr>
          <w:spacing w:val="80"/>
        </w:rPr>
        <w:t> </w:t>
      </w:r>
      <w:r>
        <w:rPr/>
        <w:t>colonies</w:t>
      </w:r>
      <w:r>
        <w:rPr>
          <w:spacing w:val="80"/>
        </w:rPr>
        <w:t> </w:t>
      </w:r>
      <w:r>
        <w:rPr/>
        <w:t>of</w:t>
      </w:r>
      <w:r>
        <w:rPr>
          <w:spacing w:val="80"/>
        </w:rPr>
        <w:t> </w:t>
      </w:r>
      <w:r>
        <w:rPr/>
        <w:t>such</w:t>
      </w:r>
      <w:r>
        <w:rPr>
          <w:spacing w:val="80"/>
        </w:rPr>
        <w:t> </w:t>
      </w:r>
      <w:r>
        <w:rPr/>
        <w:t>organizations,</w:t>
      </w:r>
      <w:r>
        <w:rPr>
          <w:spacing w:val="80"/>
        </w:rPr>
        <w:t> </w:t>
      </w:r>
      <w:r>
        <w:rPr/>
        <w:t>authorities</w:t>
      </w:r>
      <w:r>
        <w:rPr>
          <w:spacing w:val="80"/>
        </w:rPr>
        <w:t> </w:t>
      </w:r>
      <w:r>
        <w:rPr/>
        <w:t>or</w:t>
      </w:r>
      <w:r>
        <w:rPr>
          <w:spacing w:val="80"/>
        </w:rPr>
        <w:t> </w:t>
      </w:r>
      <w:r>
        <w:rPr/>
        <w:t>departments.</w:t>
      </w:r>
    </w:p>
    <w:p>
      <w:pPr>
        <w:pStyle w:val="ListParagraph"/>
        <w:numPr>
          <w:ilvl w:val="0"/>
          <w:numId w:val="13"/>
        </w:numPr>
        <w:tabs>
          <w:tab w:pos="1906" w:val="left" w:leader="none"/>
          <w:tab w:pos="1917" w:val="left" w:leader="none"/>
        </w:tabs>
        <w:spacing w:line="240" w:lineRule="auto" w:before="2" w:after="0"/>
        <w:ind w:left="1906" w:right="780" w:hanging="706"/>
        <w:jc w:val="both"/>
        <w:rPr>
          <w:sz w:val="24"/>
        </w:rPr>
      </w:pPr>
      <w:r>
        <w:rPr>
          <w:sz w:val="24"/>
        </w:rPr>
        <w:t>Construction,</w:t>
      </w:r>
      <w:r>
        <w:rPr>
          <w:spacing w:val="40"/>
          <w:sz w:val="24"/>
        </w:rPr>
        <w:t> </w:t>
      </w:r>
      <w:r>
        <w:rPr>
          <w:sz w:val="24"/>
        </w:rPr>
        <w:t>installation</w:t>
      </w:r>
      <w:r>
        <w:rPr>
          <w:spacing w:val="40"/>
          <w:sz w:val="24"/>
        </w:rPr>
        <w:t> </w:t>
      </w:r>
      <w:r>
        <w:rPr>
          <w:sz w:val="24"/>
        </w:rPr>
        <w:t>or</w:t>
      </w:r>
      <w:r>
        <w:rPr>
          <w:spacing w:val="40"/>
          <w:sz w:val="24"/>
        </w:rPr>
        <w:t> </w:t>
      </w:r>
      <w:r>
        <w:rPr>
          <w:sz w:val="24"/>
        </w:rPr>
        <w:t>any</w:t>
      </w:r>
      <w:r>
        <w:rPr>
          <w:spacing w:val="40"/>
          <w:sz w:val="24"/>
        </w:rPr>
        <w:t> </w:t>
      </w:r>
      <w:r>
        <w:rPr>
          <w:sz w:val="24"/>
        </w:rPr>
        <w:t>extension</w:t>
      </w:r>
      <w:r>
        <w:rPr>
          <w:spacing w:val="40"/>
          <w:sz w:val="24"/>
        </w:rPr>
        <w:t> </w:t>
      </w:r>
      <w:r>
        <w:rPr>
          <w:sz w:val="24"/>
        </w:rPr>
        <w:t>of</w:t>
      </w:r>
      <w:r>
        <w:rPr>
          <w:spacing w:val="40"/>
          <w:sz w:val="24"/>
        </w:rPr>
        <w:t> </w:t>
      </w:r>
      <w:r>
        <w:rPr>
          <w:sz w:val="24"/>
        </w:rPr>
        <w:t>any</w:t>
      </w:r>
      <w:r>
        <w:rPr>
          <w:spacing w:val="40"/>
          <w:sz w:val="24"/>
        </w:rPr>
        <w:t> </w:t>
      </w:r>
      <w:r>
        <w:rPr>
          <w:sz w:val="24"/>
        </w:rPr>
        <w:t>building</w:t>
      </w:r>
      <w:r>
        <w:rPr>
          <w:spacing w:val="40"/>
          <w:sz w:val="24"/>
        </w:rPr>
        <w:t> </w:t>
      </w:r>
      <w:r>
        <w:rPr>
          <w:sz w:val="24"/>
        </w:rPr>
        <w:t>in</w:t>
      </w:r>
      <w:r>
        <w:rPr>
          <w:spacing w:val="40"/>
          <w:sz w:val="24"/>
        </w:rPr>
        <w:t> </w:t>
      </w:r>
      <w:r>
        <w:rPr>
          <w:sz w:val="24"/>
        </w:rPr>
        <w:t>the case</w:t>
      </w:r>
      <w:r>
        <w:rPr>
          <w:spacing w:val="68"/>
          <w:sz w:val="24"/>
        </w:rPr>
        <w:t> </w:t>
      </w:r>
      <w:r>
        <w:rPr>
          <w:sz w:val="24"/>
        </w:rPr>
        <w:t>of</w:t>
      </w:r>
      <w:r>
        <w:rPr>
          <w:spacing w:val="71"/>
          <w:sz w:val="24"/>
        </w:rPr>
        <w:t> </w:t>
      </w:r>
      <w:r>
        <w:rPr>
          <w:sz w:val="24"/>
        </w:rPr>
        <w:t>any</w:t>
      </w:r>
      <w:r>
        <w:rPr>
          <w:spacing w:val="68"/>
          <w:sz w:val="24"/>
        </w:rPr>
        <w:t> </w:t>
      </w:r>
      <w:r>
        <w:rPr>
          <w:sz w:val="24"/>
        </w:rPr>
        <w:t>service</w:t>
      </w:r>
      <w:r>
        <w:rPr>
          <w:spacing w:val="73"/>
          <w:sz w:val="24"/>
        </w:rPr>
        <w:t> </w:t>
      </w:r>
      <w:r>
        <w:rPr>
          <w:sz w:val="24"/>
        </w:rPr>
        <w:t>other</w:t>
      </w:r>
      <w:r>
        <w:rPr>
          <w:spacing w:val="40"/>
          <w:sz w:val="24"/>
        </w:rPr>
        <w:t> </w:t>
      </w:r>
      <w:r>
        <w:rPr>
          <w:sz w:val="24"/>
        </w:rPr>
        <w:t>than</w:t>
      </w:r>
      <w:r>
        <w:rPr>
          <w:spacing w:val="71"/>
          <w:sz w:val="24"/>
        </w:rPr>
        <w:t> </w:t>
      </w:r>
      <w:r>
        <w:rPr>
          <w:sz w:val="24"/>
        </w:rPr>
        <w:t>those</w:t>
      </w:r>
      <w:r>
        <w:rPr>
          <w:spacing w:val="71"/>
          <w:sz w:val="24"/>
        </w:rPr>
        <w:t> </w:t>
      </w:r>
      <w:r>
        <w:rPr>
          <w:sz w:val="24"/>
        </w:rPr>
        <w:t>mentioned</w:t>
      </w:r>
      <w:r>
        <w:rPr>
          <w:spacing w:val="40"/>
          <w:sz w:val="24"/>
        </w:rPr>
        <w:t> </w:t>
      </w:r>
      <w:r>
        <w:rPr>
          <w:sz w:val="24"/>
        </w:rPr>
        <w:t>in</w:t>
      </w:r>
      <w:r>
        <w:rPr>
          <w:spacing w:val="40"/>
          <w:sz w:val="24"/>
        </w:rPr>
        <w:t> </w:t>
      </w:r>
      <w:r>
        <w:rPr>
          <w:sz w:val="24"/>
        </w:rPr>
        <w:t>this</w:t>
      </w:r>
      <w:r>
        <w:rPr>
          <w:spacing w:val="71"/>
          <w:sz w:val="24"/>
        </w:rPr>
        <w:t> </w:t>
      </w:r>
      <w:r>
        <w:rPr>
          <w:sz w:val="24"/>
        </w:rPr>
        <w:t>Regulation.</w:t>
      </w:r>
    </w:p>
    <w:p>
      <w:pPr>
        <w:pStyle w:val="ListParagraph"/>
        <w:numPr>
          <w:ilvl w:val="1"/>
          <w:numId w:val="10"/>
        </w:numPr>
        <w:tabs>
          <w:tab w:pos="1490" w:val="left" w:leader="none"/>
          <w:tab w:pos="1493" w:val="left" w:leader="none"/>
        </w:tabs>
        <w:spacing w:line="240" w:lineRule="auto" w:before="236" w:after="0"/>
        <w:ind w:left="1493" w:right="780" w:hanging="721"/>
        <w:jc w:val="both"/>
        <w:rPr>
          <w:i/>
          <w:sz w:val="24"/>
        </w:rPr>
      </w:pPr>
      <w:r>
        <w:rPr>
          <w:b/>
          <w:i/>
          <w:sz w:val="24"/>
        </w:rPr>
        <w:t>Exclusion from requirement of </w:t>
      </w:r>
      <w:r>
        <w:rPr>
          <w:b/>
          <w:i/>
          <w:spacing w:val="9"/>
          <w:sz w:val="24"/>
        </w:rPr>
        <w:t>permissions: </w:t>
      </w:r>
      <w:r>
        <w:rPr>
          <w:b/>
          <w:i/>
          <w:sz w:val="24"/>
        </w:rPr>
        <w:t>-</w:t>
      </w:r>
      <w:r>
        <w:rPr>
          <w:sz w:val="24"/>
        </w:rPr>
        <w:t>No permission shall be required</w:t>
      </w:r>
      <w:r>
        <w:rPr>
          <w:spacing w:val="40"/>
          <w:sz w:val="24"/>
        </w:rPr>
        <w:t> </w:t>
      </w:r>
      <w:r>
        <w:rPr>
          <w:sz w:val="24"/>
        </w:rPr>
        <w:t>to</w:t>
      </w:r>
      <w:r>
        <w:rPr>
          <w:spacing w:val="40"/>
          <w:sz w:val="24"/>
        </w:rPr>
        <w:t> </w:t>
      </w:r>
      <w:r>
        <w:rPr>
          <w:sz w:val="24"/>
        </w:rPr>
        <w:t>carry</w:t>
      </w:r>
      <w:r>
        <w:rPr>
          <w:spacing w:val="40"/>
          <w:sz w:val="24"/>
        </w:rPr>
        <w:t> </w:t>
      </w:r>
      <w:r>
        <w:rPr>
          <w:sz w:val="24"/>
        </w:rPr>
        <w:t>out</w:t>
      </w:r>
      <w:r>
        <w:rPr>
          <w:spacing w:val="40"/>
          <w:sz w:val="24"/>
        </w:rPr>
        <w:t> </w:t>
      </w:r>
      <w:r>
        <w:rPr>
          <w:sz w:val="24"/>
        </w:rPr>
        <w:t>tenantable</w:t>
      </w:r>
      <w:r>
        <w:rPr>
          <w:spacing w:val="40"/>
          <w:sz w:val="24"/>
        </w:rPr>
        <w:t> </w:t>
      </w:r>
      <w:r>
        <w:rPr>
          <w:sz w:val="24"/>
        </w:rPr>
        <w:t>repair</w:t>
      </w:r>
      <w:r>
        <w:rPr>
          <w:spacing w:val="40"/>
          <w:sz w:val="24"/>
        </w:rPr>
        <w:t> </w:t>
      </w:r>
      <w:r>
        <w:rPr>
          <w:sz w:val="24"/>
        </w:rPr>
        <w:t>works</w:t>
      </w:r>
      <w:r>
        <w:rPr>
          <w:spacing w:val="40"/>
          <w:sz w:val="24"/>
        </w:rPr>
        <w:t> </w:t>
      </w:r>
      <w:r>
        <w:rPr>
          <w:sz w:val="24"/>
        </w:rPr>
        <w:t>to</w:t>
      </w:r>
      <w:r>
        <w:rPr>
          <w:spacing w:val="40"/>
          <w:sz w:val="24"/>
        </w:rPr>
        <w:t> </w:t>
      </w:r>
      <w:r>
        <w:rPr>
          <w:sz w:val="24"/>
        </w:rPr>
        <w:t>existing</w:t>
      </w:r>
      <w:r>
        <w:rPr>
          <w:spacing w:val="40"/>
          <w:sz w:val="24"/>
        </w:rPr>
        <w:t> </w:t>
      </w:r>
      <w:r>
        <w:rPr>
          <w:sz w:val="24"/>
        </w:rPr>
        <w:t>buildings, which have been constructed with the approval from the competent authority or are in existence since prior to 17.04.1964 in respect of residential structures and 01.04.1962 in respect of </w:t>
      </w:r>
      <w:r>
        <w:rPr>
          <w:spacing w:val="10"/>
          <w:sz w:val="24"/>
        </w:rPr>
        <w:t>non-</w:t>
      </w:r>
      <w:r>
        <w:rPr>
          <w:sz w:val="24"/>
        </w:rPr>
        <w:t>residential structures,</w:t>
      </w:r>
      <w:r>
        <w:rPr>
          <w:spacing w:val="40"/>
          <w:sz w:val="24"/>
        </w:rPr>
        <w:t> </w:t>
      </w:r>
      <w:r>
        <w:rPr>
          <w:sz w:val="24"/>
        </w:rPr>
        <w:t>as</w:t>
      </w:r>
      <w:r>
        <w:rPr>
          <w:spacing w:val="80"/>
          <w:sz w:val="24"/>
        </w:rPr>
        <w:t> </w:t>
      </w:r>
      <w:r>
        <w:rPr>
          <w:sz w:val="24"/>
        </w:rPr>
        <w:t>described</w:t>
      </w:r>
      <w:r>
        <w:rPr>
          <w:spacing w:val="40"/>
          <w:sz w:val="24"/>
        </w:rPr>
        <w:t> </w:t>
      </w:r>
      <w:r>
        <w:rPr>
          <w:sz w:val="24"/>
        </w:rPr>
        <w:t>under</w:t>
      </w:r>
      <w:r>
        <w:rPr>
          <w:spacing w:val="40"/>
          <w:sz w:val="24"/>
        </w:rPr>
        <w:t> </w:t>
      </w:r>
      <w:r>
        <w:rPr>
          <w:sz w:val="24"/>
        </w:rPr>
        <w:t>section</w:t>
      </w:r>
      <w:r>
        <w:rPr>
          <w:spacing w:val="80"/>
          <w:sz w:val="24"/>
        </w:rPr>
        <w:t> </w:t>
      </w:r>
      <w:r>
        <w:rPr>
          <w:sz w:val="24"/>
        </w:rPr>
        <w:t>342</w:t>
      </w:r>
      <w:r>
        <w:rPr>
          <w:spacing w:val="40"/>
          <w:sz w:val="24"/>
        </w:rPr>
        <w:t> </w:t>
      </w:r>
      <w:r>
        <w:rPr>
          <w:sz w:val="24"/>
        </w:rPr>
        <w:t>of</w:t>
      </w:r>
      <w:r>
        <w:rPr>
          <w:spacing w:val="80"/>
          <w:sz w:val="24"/>
        </w:rPr>
        <w:t> </w:t>
      </w:r>
      <w:r>
        <w:rPr>
          <w:sz w:val="24"/>
        </w:rPr>
        <w:t>MMC</w:t>
      </w:r>
      <w:r>
        <w:rPr>
          <w:spacing w:val="40"/>
          <w:sz w:val="24"/>
        </w:rPr>
        <w:t> </w:t>
      </w:r>
      <w:r>
        <w:rPr>
          <w:sz w:val="24"/>
        </w:rPr>
        <w:t>Act</w:t>
      </w:r>
      <w:r>
        <w:rPr>
          <w:spacing w:val="80"/>
          <w:sz w:val="24"/>
        </w:rPr>
        <w:t> </w:t>
      </w:r>
      <w:r>
        <w:rPr>
          <w:sz w:val="24"/>
        </w:rPr>
        <w:t>1888.</w:t>
      </w:r>
    </w:p>
    <w:p>
      <w:pPr>
        <w:pStyle w:val="BodyText"/>
        <w:spacing w:before="244"/>
        <w:ind w:left="1493" w:right="774"/>
      </w:pPr>
      <w:r>
        <w:rPr/>
        <w:t>No permission shall be required for provision of safety grills to window/ventilator. No permission shall be required for repairs to the Existing </w:t>
      </w:r>
      <w:r>
        <w:rPr>
          <w:spacing w:val="9"/>
        </w:rPr>
        <w:t>Consumer/Distribution/Receiving</w:t>
      </w:r>
      <w:r>
        <w:rPr>
          <w:spacing w:val="9"/>
        </w:rPr>
        <w:t> </w:t>
      </w:r>
      <w:r>
        <w:rPr/>
        <w:t>Substation of the BEST/Electric</w:t>
      </w:r>
      <w:r>
        <w:rPr>
          <w:spacing w:val="40"/>
        </w:rPr>
        <w:t> </w:t>
      </w:r>
      <w:r>
        <w:rPr/>
        <w:t>Supply</w:t>
      </w:r>
      <w:r>
        <w:rPr>
          <w:spacing w:val="40"/>
        </w:rPr>
        <w:t> </w:t>
      </w:r>
      <w:r>
        <w:rPr/>
        <w:t>Company.</w:t>
      </w:r>
      <w:r>
        <w:rPr>
          <w:spacing w:val="40"/>
        </w:rPr>
        <w:t> </w:t>
      </w:r>
      <w:r>
        <w:rPr/>
        <w:t>However,</w:t>
      </w:r>
      <w:r>
        <w:rPr>
          <w:spacing w:val="40"/>
        </w:rPr>
        <w:t> </w:t>
      </w:r>
      <w:r>
        <w:rPr/>
        <w:t>no</w:t>
      </w:r>
      <w:r>
        <w:rPr>
          <w:spacing w:val="9"/>
        </w:rPr>
        <w:t> addition/alteration </w:t>
      </w:r>
      <w:r>
        <w:rPr/>
        <w:t>shall be</w:t>
      </w:r>
      <w:r>
        <w:rPr>
          <w:spacing w:val="80"/>
        </w:rPr>
        <w:t> </w:t>
      </w:r>
      <w:r>
        <w:rPr/>
        <w:t>permissible</w:t>
      </w:r>
      <w:r>
        <w:rPr>
          <w:spacing w:val="80"/>
        </w:rPr>
        <w:t> </w:t>
      </w:r>
      <w:r>
        <w:rPr/>
        <w:t>without</w:t>
      </w:r>
      <w:r>
        <w:rPr>
          <w:spacing w:val="80"/>
        </w:rPr>
        <w:t> </w:t>
      </w:r>
      <w:r>
        <w:rPr/>
        <w:t>the</w:t>
      </w:r>
      <w:r>
        <w:rPr>
          <w:spacing w:val="80"/>
        </w:rPr>
        <w:t> </w:t>
      </w:r>
      <w:r>
        <w:rPr/>
        <w:t>approval</w:t>
      </w:r>
      <w:r>
        <w:rPr>
          <w:spacing w:val="80"/>
        </w:rPr>
        <w:t> </w:t>
      </w:r>
      <w:r>
        <w:rPr/>
        <w:t>of</w:t>
      </w:r>
      <w:r>
        <w:rPr>
          <w:spacing w:val="80"/>
        </w:rPr>
        <w:t> </w:t>
      </w:r>
      <w:r>
        <w:rPr/>
        <w:t>the</w:t>
      </w:r>
      <w:r>
        <w:rPr>
          <w:spacing w:val="80"/>
        </w:rPr>
        <w:t> </w:t>
      </w:r>
      <w:r>
        <w:rPr/>
        <w:t>Commissioner.</w:t>
      </w:r>
    </w:p>
    <w:p>
      <w:pPr>
        <w:pStyle w:val="BodyText"/>
        <w:spacing w:before="240"/>
        <w:ind w:left="1493" w:right="783"/>
      </w:pPr>
      <w:r>
        <w:rPr/>
        <w:t>No permission shall be required</w:t>
      </w:r>
      <w:r>
        <w:rPr>
          <w:spacing w:val="40"/>
        </w:rPr>
        <w:t> </w:t>
      </w:r>
      <w:r>
        <w:rPr/>
        <w:t>for, installation of Solar Panels</w:t>
      </w:r>
      <w:r>
        <w:rPr>
          <w:spacing w:val="40"/>
        </w:rPr>
        <w:t> </w:t>
      </w:r>
      <w:r>
        <w:rPr/>
        <w:t>having base of solar panel at height 1.8m from </w:t>
      </w:r>
      <w:r>
        <w:rPr>
          <w:spacing w:val="9"/>
        </w:rPr>
        <w:t>terrace,</w:t>
      </w:r>
      <w:r>
        <w:rPr>
          <w:spacing w:val="9"/>
        </w:rPr>
        <w:t> </w:t>
      </w:r>
      <w:r>
        <w:rPr/>
        <w:t>ensuring structural stability</w:t>
      </w:r>
      <w:r>
        <w:rPr>
          <w:spacing w:val="40"/>
        </w:rPr>
        <w:t> </w:t>
      </w:r>
      <w:r>
        <w:rPr/>
        <w:t>from</w:t>
      </w:r>
      <w:r>
        <w:rPr>
          <w:spacing w:val="40"/>
        </w:rPr>
        <w:t> </w:t>
      </w:r>
      <w:r>
        <w:rPr/>
        <w:t>the</w:t>
      </w:r>
      <w:r>
        <w:rPr>
          <w:spacing w:val="40"/>
        </w:rPr>
        <w:t> </w:t>
      </w:r>
      <w:r>
        <w:rPr/>
        <w:t>Licensed</w:t>
      </w:r>
      <w:r>
        <w:rPr>
          <w:spacing w:val="40"/>
        </w:rPr>
        <w:t> </w:t>
      </w:r>
      <w:r>
        <w:rPr/>
        <w:t>Structural</w:t>
      </w:r>
      <w:r>
        <w:rPr>
          <w:spacing w:val="40"/>
        </w:rPr>
        <w:t> </w:t>
      </w:r>
      <w:r>
        <w:rPr>
          <w:spacing w:val="9"/>
        </w:rPr>
        <w:t>Engineer.</w:t>
      </w:r>
    </w:p>
    <w:p>
      <w:pPr>
        <w:pStyle w:val="BodyText"/>
        <w:spacing w:before="240"/>
        <w:ind w:left="1493" w:right="776"/>
      </w:pPr>
      <w:r>
        <w:rPr/>
        <w:t>No</w:t>
      </w:r>
      <w:r>
        <w:rPr>
          <w:spacing w:val="40"/>
        </w:rPr>
        <w:t> </w:t>
      </w:r>
      <w:r>
        <w:rPr/>
        <w:t>permission</w:t>
      </w:r>
      <w:r>
        <w:rPr>
          <w:spacing w:val="40"/>
        </w:rPr>
        <w:t> </w:t>
      </w:r>
      <w:r>
        <w:rPr/>
        <w:t>shall</w:t>
      </w:r>
      <w:r>
        <w:rPr>
          <w:spacing w:val="40"/>
        </w:rPr>
        <w:t> </w:t>
      </w:r>
      <w:r>
        <w:rPr/>
        <w:t>be</w:t>
      </w:r>
      <w:r>
        <w:rPr>
          <w:spacing w:val="40"/>
        </w:rPr>
        <w:t> </w:t>
      </w:r>
      <w:r>
        <w:rPr/>
        <w:t>required</w:t>
      </w:r>
      <w:r>
        <w:rPr>
          <w:spacing w:val="40"/>
        </w:rPr>
        <w:t> </w:t>
      </w:r>
      <w:r>
        <w:rPr/>
        <w:t>for</w:t>
      </w:r>
      <w:r>
        <w:rPr>
          <w:spacing w:val="40"/>
        </w:rPr>
        <w:t> </w:t>
      </w:r>
      <w:r>
        <w:rPr/>
        <w:t>internal</w:t>
      </w:r>
      <w:r>
        <w:rPr>
          <w:spacing w:val="40"/>
        </w:rPr>
        <w:t> </w:t>
      </w:r>
      <w:r>
        <w:rPr/>
        <w:t>light</w:t>
      </w:r>
      <w:r>
        <w:rPr>
          <w:spacing w:val="40"/>
        </w:rPr>
        <w:t> </w:t>
      </w:r>
      <w:r>
        <w:rPr/>
        <w:t>weight partitions/cabins up to height of 2.2 in the </w:t>
      </w:r>
      <w:r>
        <w:rPr>
          <w:spacing w:val="9"/>
        </w:rPr>
        <w:t>Residential/commercial </w:t>
      </w:r>
      <w:r>
        <w:rPr/>
        <w:t>building/establishment</w:t>
      </w:r>
      <w:r>
        <w:rPr>
          <w:spacing w:val="80"/>
        </w:rPr>
        <w:t> </w:t>
      </w:r>
      <w:r>
        <w:rPr/>
        <w:t>subject</w:t>
      </w:r>
      <w:r>
        <w:rPr>
          <w:spacing w:val="80"/>
        </w:rPr>
        <w:t> </w:t>
      </w:r>
      <w:r>
        <w:rPr/>
        <w:t>to</w:t>
      </w:r>
      <w:r>
        <w:rPr>
          <w:spacing w:val="80"/>
        </w:rPr>
        <w:t> </w:t>
      </w:r>
      <w:r>
        <w:rPr/>
        <w:t>structural</w:t>
      </w:r>
      <w:r>
        <w:rPr>
          <w:spacing w:val="80"/>
        </w:rPr>
        <w:t> </w:t>
      </w:r>
      <w:r>
        <w:rPr/>
        <w:t>stability</w:t>
      </w:r>
      <w:r>
        <w:rPr>
          <w:spacing w:val="80"/>
        </w:rPr>
        <w:t> </w:t>
      </w:r>
      <w:r>
        <w:rPr/>
        <w:t>from</w:t>
      </w:r>
      <w:r>
        <w:rPr>
          <w:spacing w:val="80"/>
        </w:rPr>
        <w:t> </w:t>
      </w:r>
      <w:r>
        <w:rPr/>
        <w:t>the</w:t>
      </w:r>
      <w:r>
        <w:rPr>
          <w:spacing w:val="80"/>
        </w:rPr>
        <w:t> </w:t>
      </w:r>
      <w:r>
        <w:rPr/>
        <w:t>Licensed Structural Engineer. Further internal light weight partitions/cabins</w:t>
      </w:r>
      <w:r>
        <w:rPr>
          <w:spacing w:val="80"/>
        </w:rPr>
        <w:t> </w:t>
      </w:r>
      <w:r>
        <w:rPr/>
        <w:t>up</w:t>
      </w:r>
      <w:r>
        <w:rPr>
          <w:spacing w:val="80"/>
        </w:rPr>
        <w:t> </w:t>
      </w:r>
      <w:r>
        <w:rPr/>
        <w:t>to</w:t>
      </w:r>
      <w:r>
        <w:rPr>
          <w:spacing w:val="80"/>
        </w:rPr>
        <w:t> </w:t>
      </w:r>
      <w:r>
        <w:rPr/>
        <w:t>floor</w:t>
      </w:r>
      <w:r>
        <w:rPr>
          <w:spacing w:val="80"/>
        </w:rPr>
        <w:t> </w:t>
      </w:r>
      <w:r>
        <w:rPr/>
        <w:t>height</w:t>
      </w:r>
      <w:r>
        <w:rPr>
          <w:spacing w:val="80"/>
        </w:rPr>
        <w:t> </w:t>
      </w:r>
      <w:r>
        <w:rPr/>
        <w:t>will</w:t>
      </w:r>
      <w:r>
        <w:rPr>
          <w:spacing w:val="80"/>
        </w:rPr>
        <w:t> </w:t>
      </w:r>
      <w:r>
        <w:rPr/>
        <w:t>be</w:t>
      </w:r>
      <w:r>
        <w:rPr>
          <w:spacing w:val="80"/>
        </w:rPr>
        <w:t> </w:t>
      </w:r>
      <w:r>
        <w:rPr/>
        <w:t>permissible</w:t>
      </w:r>
      <w:r>
        <w:rPr>
          <w:spacing w:val="80"/>
        </w:rPr>
        <w:t> </w:t>
      </w:r>
      <w:r>
        <w:rPr/>
        <w:t>if</w:t>
      </w:r>
      <w:r>
        <w:rPr>
          <w:spacing w:val="80"/>
        </w:rPr>
        <w:t> </w:t>
      </w:r>
      <w:r>
        <w:rPr/>
        <w:t>it</w:t>
      </w:r>
      <w:r>
        <w:rPr>
          <w:spacing w:val="80"/>
        </w:rPr>
        <w:t> </w:t>
      </w:r>
      <w:r>
        <w:rPr/>
        <w:t>satisfies the criteria for light &amp; ventilation and other requirements of these regulations</w:t>
      </w:r>
      <w:r>
        <w:rPr>
          <w:spacing w:val="80"/>
        </w:rPr>
        <w:t> </w:t>
      </w:r>
      <w:r>
        <w:rPr/>
        <w:t>certified</w:t>
      </w:r>
      <w:r>
        <w:rPr>
          <w:spacing w:val="80"/>
        </w:rPr>
        <w:t> </w:t>
      </w:r>
      <w:r>
        <w:rPr/>
        <w:t>by</w:t>
      </w:r>
      <w:r>
        <w:rPr>
          <w:spacing w:val="80"/>
        </w:rPr>
        <w:t> </w:t>
      </w:r>
      <w:r>
        <w:rPr/>
        <w:t>the</w:t>
      </w:r>
      <w:r>
        <w:rPr>
          <w:spacing w:val="80"/>
        </w:rPr>
        <w:t> </w:t>
      </w:r>
      <w:r>
        <w:rPr/>
        <w:t>Architect/Licensed</w:t>
      </w:r>
      <w:r>
        <w:rPr>
          <w:spacing w:val="80"/>
        </w:rPr>
        <w:t> </w:t>
      </w:r>
      <w:r>
        <w:rPr>
          <w:spacing w:val="9"/>
        </w:rPr>
        <w:t>Surveyor/Town</w:t>
      </w:r>
      <w:r>
        <w:rPr>
          <w:spacing w:val="80"/>
        </w:rPr>
        <w:t> </w:t>
      </w:r>
      <w:r>
        <w:rPr/>
        <w:t>Planner, fire safety requirements certified by fire safety consultant and subject</w:t>
      </w:r>
      <w:r>
        <w:rPr>
          <w:spacing w:val="80"/>
        </w:rPr>
        <w:t> </w:t>
      </w:r>
      <w:r>
        <w:rPr/>
        <w:t>to</w:t>
      </w:r>
      <w:r>
        <w:rPr>
          <w:spacing w:val="80"/>
        </w:rPr>
        <w:t> </w:t>
      </w:r>
      <w:r>
        <w:rPr/>
        <w:t>structural</w:t>
      </w:r>
      <w:r>
        <w:rPr>
          <w:spacing w:val="80"/>
        </w:rPr>
        <w:t> </w:t>
      </w:r>
      <w:r>
        <w:rPr/>
        <w:t>stability</w:t>
      </w:r>
      <w:r>
        <w:rPr>
          <w:spacing w:val="80"/>
        </w:rPr>
        <w:t> </w:t>
      </w:r>
      <w:r>
        <w:rPr/>
        <w:t>from</w:t>
      </w:r>
      <w:r>
        <w:rPr>
          <w:spacing w:val="80"/>
        </w:rPr>
        <w:t> </w:t>
      </w:r>
      <w:r>
        <w:rPr/>
        <w:t>the</w:t>
      </w:r>
      <w:r>
        <w:rPr>
          <w:spacing w:val="80"/>
        </w:rPr>
        <w:t> </w:t>
      </w:r>
      <w:r>
        <w:rPr/>
        <w:t>Licensed</w:t>
      </w:r>
      <w:r>
        <w:rPr>
          <w:spacing w:val="80"/>
        </w:rPr>
        <w:t> </w:t>
      </w:r>
      <w:r>
        <w:rPr/>
        <w:t>Structural</w:t>
      </w:r>
      <w:r>
        <w:rPr>
          <w:spacing w:val="80"/>
        </w:rPr>
        <w:t> </w:t>
      </w:r>
      <w:r>
        <w:rPr>
          <w:spacing w:val="9"/>
        </w:rPr>
        <w:t>Engineer.</w:t>
      </w:r>
    </w:p>
    <w:p>
      <w:pPr>
        <w:pStyle w:val="ListParagraph"/>
        <w:numPr>
          <w:ilvl w:val="1"/>
          <w:numId w:val="10"/>
        </w:numPr>
        <w:tabs>
          <w:tab w:pos="1490" w:val="left" w:leader="none"/>
          <w:tab w:pos="1493" w:val="left" w:leader="none"/>
        </w:tabs>
        <w:spacing w:line="242" w:lineRule="auto" w:before="237" w:after="0"/>
        <w:ind w:left="1493" w:right="779" w:hanging="721"/>
        <w:jc w:val="both"/>
        <w:rPr>
          <w:sz w:val="24"/>
        </w:rPr>
      </w:pPr>
      <w:r>
        <w:rPr>
          <w:b/>
          <w:i/>
          <w:sz w:val="24"/>
        </w:rPr>
        <w:t>Validity of development permission: </w:t>
      </w:r>
      <w:r>
        <w:rPr>
          <w:sz w:val="24"/>
        </w:rPr>
        <w:t>The development permission granted</w:t>
      </w:r>
      <w:r>
        <w:rPr>
          <w:spacing w:val="40"/>
          <w:sz w:val="24"/>
        </w:rPr>
        <w:t> </w:t>
      </w:r>
      <w:r>
        <w:rPr>
          <w:sz w:val="24"/>
        </w:rPr>
        <w:t>in</w:t>
      </w:r>
      <w:r>
        <w:rPr>
          <w:spacing w:val="40"/>
          <w:sz w:val="24"/>
        </w:rPr>
        <w:t> </w:t>
      </w:r>
      <w:r>
        <w:rPr>
          <w:sz w:val="24"/>
        </w:rPr>
        <w:t>the</w:t>
      </w:r>
      <w:r>
        <w:rPr>
          <w:spacing w:val="40"/>
          <w:sz w:val="24"/>
        </w:rPr>
        <w:t> </w:t>
      </w:r>
      <w:r>
        <w:rPr>
          <w:sz w:val="24"/>
        </w:rPr>
        <w:t>past</w:t>
      </w:r>
      <w:r>
        <w:rPr>
          <w:spacing w:val="40"/>
          <w:sz w:val="24"/>
        </w:rPr>
        <w:t> </w:t>
      </w:r>
      <w:r>
        <w:rPr>
          <w:sz w:val="24"/>
        </w:rPr>
        <w:t>shall</w:t>
      </w:r>
      <w:r>
        <w:rPr>
          <w:spacing w:val="40"/>
          <w:sz w:val="24"/>
        </w:rPr>
        <w:t> </w:t>
      </w:r>
      <w:r>
        <w:rPr>
          <w:sz w:val="24"/>
        </w:rPr>
        <w:t>be</w:t>
      </w:r>
      <w:r>
        <w:rPr>
          <w:spacing w:val="40"/>
          <w:sz w:val="24"/>
        </w:rPr>
        <w:t> </w:t>
      </w:r>
      <w:r>
        <w:rPr>
          <w:sz w:val="24"/>
        </w:rPr>
        <w:t>governed</w:t>
      </w:r>
      <w:r>
        <w:rPr>
          <w:spacing w:val="40"/>
          <w:sz w:val="24"/>
        </w:rPr>
        <w:t> </w:t>
      </w:r>
      <w:r>
        <w:rPr>
          <w:sz w:val="24"/>
        </w:rPr>
        <w:t>by</w:t>
      </w:r>
      <w:r>
        <w:rPr>
          <w:spacing w:val="40"/>
          <w:sz w:val="24"/>
        </w:rPr>
        <w:t> </w:t>
      </w:r>
      <w:r>
        <w:rPr>
          <w:sz w:val="24"/>
        </w:rPr>
        <w:t>the</w:t>
      </w:r>
      <w:r>
        <w:rPr>
          <w:spacing w:val="40"/>
          <w:sz w:val="24"/>
        </w:rPr>
        <w:t> </w:t>
      </w:r>
      <w:r>
        <w:rPr>
          <w:sz w:val="24"/>
        </w:rPr>
        <w:t>provision</w:t>
      </w:r>
      <w:r>
        <w:rPr>
          <w:spacing w:val="40"/>
          <w:sz w:val="24"/>
        </w:rPr>
        <w:t> </w:t>
      </w:r>
      <w:r>
        <w:rPr>
          <w:sz w:val="24"/>
        </w:rPr>
        <w:t>of</w:t>
      </w:r>
      <w:r>
        <w:rPr>
          <w:spacing w:val="40"/>
          <w:sz w:val="24"/>
        </w:rPr>
        <w:t> </w:t>
      </w:r>
      <w:r>
        <w:rPr>
          <w:sz w:val="24"/>
        </w:rPr>
        <w:t>section</w:t>
      </w:r>
      <w:r>
        <w:rPr>
          <w:spacing w:val="40"/>
          <w:sz w:val="24"/>
        </w:rPr>
        <w:t> </w:t>
      </w:r>
      <w:r>
        <w:rPr>
          <w:sz w:val="24"/>
        </w:rPr>
        <w:t>48</w:t>
      </w:r>
      <w:r>
        <w:rPr>
          <w:spacing w:val="40"/>
          <w:sz w:val="24"/>
        </w:rPr>
        <w:t> </w:t>
      </w:r>
      <w:r>
        <w:rPr>
          <w:sz w:val="24"/>
        </w:rPr>
        <w:t>of the MR&amp;TP Act, 1966.</w:t>
      </w:r>
    </w:p>
    <w:p>
      <w:pPr>
        <w:pStyle w:val="BodyText"/>
        <w:spacing w:before="233"/>
        <w:ind w:left="1493" w:right="773"/>
      </w:pPr>
      <w:r>
        <w:rPr/>
        <w:t>Where development has commenced as per the </w:t>
      </w:r>
      <w:r>
        <w:rPr>
          <w:spacing w:val="9"/>
        </w:rPr>
        <w:t>development </w:t>
      </w:r>
      <w:r>
        <w:rPr/>
        <w:t>permission/IOD</w:t>
      </w:r>
      <w:r>
        <w:rPr>
          <w:spacing w:val="40"/>
        </w:rPr>
        <w:t> </w:t>
      </w:r>
      <w:r>
        <w:rPr/>
        <w:t>issued</w:t>
      </w:r>
      <w:r>
        <w:rPr>
          <w:spacing w:val="40"/>
        </w:rPr>
        <w:t> </w:t>
      </w:r>
      <w:r>
        <w:rPr/>
        <w:t>prior</w:t>
      </w:r>
      <w:r>
        <w:rPr>
          <w:spacing w:val="40"/>
        </w:rPr>
        <w:t> </w:t>
      </w:r>
      <w:r>
        <w:rPr/>
        <w:t>to</w:t>
      </w:r>
      <w:r>
        <w:rPr>
          <w:spacing w:val="40"/>
        </w:rPr>
        <w:t> </w:t>
      </w:r>
      <w:r>
        <w:rPr/>
        <w:t>publication</w:t>
      </w:r>
      <w:r>
        <w:rPr>
          <w:spacing w:val="40"/>
        </w:rPr>
        <w:t> </w:t>
      </w:r>
      <w:r>
        <w:rPr/>
        <w:t>of</w:t>
      </w:r>
      <w:r>
        <w:rPr>
          <w:spacing w:val="40"/>
        </w:rPr>
        <w:t> </w:t>
      </w:r>
      <w:r>
        <w:rPr/>
        <w:t>these</w:t>
      </w:r>
      <w:r>
        <w:rPr>
          <w:spacing w:val="40"/>
        </w:rPr>
        <w:t> </w:t>
      </w:r>
      <w:r>
        <w:rPr>
          <w:spacing w:val="9"/>
        </w:rPr>
        <w:t>Regulations,</w:t>
      </w:r>
      <w:r>
        <w:rPr>
          <w:spacing w:val="40"/>
        </w:rPr>
        <w:t> </w:t>
      </w:r>
      <w:r>
        <w:rPr/>
        <w:t>the</w:t>
      </w:r>
      <w:r>
        <w:rPr>
          <w:spacing w:val="80"/>
        </w:rPr>
        <w:t> </w:t>
      </w:r>
      <w:r>
        <w:rPr/>
        <w:t>CC shall be issued or revalidated till completion of </w:t>
      </w:r>
      <w:r>
        <w:rPr>
          <w:spacing w:val="10"/>
        </w:rPr>
        <w:t>development</w:t>
      </w:r>
      <w:r>
        <w:rPr>
          <w:spacing w:val="10"/>
        </w:rPr>
        <w:t> </w:t>
      </w:r>
      <w:r>
        <w:rPr/>
        <w:t>in accordance</w:t>
      </w:r>
      <w:r>
        <w:rPr>
          <w:spacing w:val="40"/>
        </w:rPr>
        <w:t> </w:t>
      </w:r>
      <w:r>
        <w:rPr/>
        <w:t>with</w:t>
      </w:r>
      <w:r>
        <w:rPr>
          <w:spacing w:val="40"/>
        </w:rPr>
        <w:t> </w:t>
      </w:r>
      <w:r>
        <w:rPr/>
        <w:t>the</w:t>
      </w:r>
      <w:r>
        <w:rPr>
          <w:spacing w:val="40"/>
        </w:rPr>
        <w:t> </w:t>
      </w:r>
      <w:r>
        <w:rPr/>
        <w:t>plans/</w:t>
      </w:r>
      <w:r>
        <w:rPr>
          <w:spacing w:val="40"/>
        </w:rPr>
        <w:t> </w:t>
      </w:r>
      <w:r>
        <w:rPr/>
        <w:t>approved</w:t>
      </w:r>
      <w:r>
        <w:rPr>
          <w:spacing w:val="40"/>
        </w:rPr>
        <w:t> </w:t>
      </w:r>
      <w:r>
        <w:rPr/>
        <w:t>,</w:t>
      </w:r>
      <w:r>
        <w:rPr>
          <w:spacing w:val="40"/>
        </w:rPr>
        <w:t> </w:t>
      </w:r>
      <w:r>
        <w:rPr/>
        <w:t>in</w:t>
      </w:r>
      <w:r>
        <w:rPr>
          <w:spacing w:val="40"/>
        </w:rPr>
        <w:t> </w:t>
      </w:r>
      <w:r>
        <w:rPr/>
        <w:t>respect</w:t>
      </w:r>
      <w:r>
        <w:rPr>
          <w:spacing w:val="40"/>
        </w:rPr>
        <w:t> </w:t>
      </w:r>
      <w:r>
        <w:rPr/>
        <w:t>of</w:t>
      </w:r>
      <w:r>
        <w:rPr>
          <w:spacing w:val="40"/>
        </w:rPr>
        <w:t> </w:t>
      </w:r>
      <w:r>
        <w:rPr/>
        <w:t>the</w:t>
      </w:r>
      <w:r>
        <w:rPr>
          <w:spacing w:val="40"/>
        </w:rPr>
        <w:t> </w:t>
      </w:r>
      <w:r>
        <w:rPr/>
        <w:t>said</w:t>
      </w:r>
      <w:r>
        <w:rPr>
          <w:spacing w:val="40"/>
        </w:rPr>
        <w:t> </w:t>
      </w:r>
      <w:r>
        <w:rPr/>
        <w:t>IOD including</w:t>
      </w:r>
      <w:r>
        <w:rPr>
          <w:spacing w:val="40"/>
        </w:rPr>
        <w:t> </w:t>
      </w:r>
      <w:r>
        <w:rPr/>
        <w:t>minor amendments thereof</w:t>
      </w:r>
      <w:r>
        <w:rPr>
          <w:spacing w:val="80"/>
          <w:w w:val="150"/>
        </w:rPr>
        <w:t> </w:t>
      </w:r>
      <w:r>
        <w:rPr/>
        <w:t>as</w:t>
      </w:r>
      <w:r>
        <w:rPr>
          <w:spacing w:val="40"/>
        </w:rPr>
        <w:t> </w:t>
      </w:r>
      <w:r>
        <w:rPr/>
        <w:t>per the then Regulations.</w:t>
      </w:r>
    </w:p>
    <w:p>
      <w:pPr>
        <w:pStyle w:val="Heading6"/>
        <w:numPr>
          <w:ilvl w:val="1"/>
          <w:numId w:val="10"/>
        </w:numPr>
        <w:tabs>
          <w:tab w:pos="1493" w:val="left" w:leader="none"/>
        </w:tabs>
        <w:spacing w:line="240" w:lineRule="auto" w:before="239" w:after="0"/>
        <w:ind w:left="1493" w:right="0" w:hanging="634"/>
        <w:jc w:val="left"/>
        <w:rPr>
          <w:b w:val="0"/>
          <w:i w:val="0"/>
        </w:rPr>
      </w:pPr>
      <w:r>
        <w:rPr/>
        <w:t>Applicability</w:t>
      </w:r>
      <w:r>
        <w:rPr>
          <w:spacing w:val="48"/>
          <w:w w:val="150"/>
        </w:rPr>
        <w:t> </w:t>
      </w:r>
      <w:r>
        <w:rPr/>
        <w:t>to</w:t>
      </w:r>
      <w:r>
        <w:rPr>
          <w:spacing w:val="44"/>
          <w:w w:val="150"/>
        </w:rPr>
        <w:t> </w:t>
      </w:r>
      <w:r>
        <w:rPr/>
        <w:t>partially</w:t>
      </w:r>
      <w:r>
        <w:rPr>
          <w:spacing w:val="49"/>
          <w:w w:val="150"/>
        </w:rPr>
        <w:t> </w:t>
      </w:r>
      <w:r>
        <w:rPr/>
        <w:t>completed</w:t>
      </w:r>
      <w:r>
        <w:rPr>
          <w:spacing w:val="44"/>
          <w:w w:val="150"/>
        </w:rPr>
        <w:t> </w:t>
      </w:r>
      <w:r>
        <w:rPr>
          <w:spacing w:val="-2"/>
        </w:rPr>
        <w:t>works:</w:t>
      </w:r>
    </w:p>
    <w:p>
      <w:pPr>
        <w:pStyle w:val="ListParagraph"/>
        <w:numPr>
          <w:ilvl w:val="0"/>
          <w:numId w:val="14"/>
        </w:numPr>
        <w:tabs>
          <w:tab w:pos="1490" w:val="left" w:leader="none"/>
          <w:tab w:pos="1493" w:val="left" w:leader="none"/>
        </w:tabs>
        <w:spacing w:line="240" w:lineRule="auto" w:before="244" w:after="0"/>
        <w:ind w:left="1493" w:right="782" w:hanging="721"/>
        <w:jc w:val="both"/>
        <w:rPr>
          <w:sz w:val="24"/>
        </w:rPr>
      </w:pPr>
      <w:r>
        <w:rPr>
          <w:sz w:val="24"/>
        </w:rPr>
        <w:t>For works where IOD/IOA has been issued or for ongoing partially completed works, started with due permission before these Regulations have</w:t>
      </w:r>
      <w:r>
        <w:rPr>
          <w:spacing w:val="80"/>
          <w:sz w:val="24"/>
        </w:rPr>
        <w:t> </w:t>
      </w:r>
      <w:r>
        <w:rPr>
          <w:sz w:val="24"/>
        </w:rPr>
        <w:t>come</w:t>
      </w:r>
      <w:r>
        <w:rPr>
          <w:spacing w:val="80"/>
          <w:sz w:val="24"/>
        </w:rPr>
        <w:t> </w:t>
      </w:r>
      <w:r>
        <w:rPr>
          <w:sz w:val="24"/>
        </w:rPr>
        <w:t>into</w:t>
      </w:r>
      <w:r>
        <w:rPr>
          <w:spacing w:val="80"/>
          <w:sz w:val="24"/>
        </w:rPr>
        <w:t> </w:t>
      </w:r>
      <w:r>
        <w:rPr>
          <w:sz w:val="24"/>
        </w:rPr>
        <w:t>force,</w:t>
      </w:r>
      <w:r>
        <w:rPr>
          <w:spacing w:val="80"/>
          <w:sz w:val="24"/>
        </w:rPr>
        <w:t> </w:t>
      </w:r>
      <w:r>
        <w:rPr>
          <w:sz w:val="24"/>
        </w:rPr>
        <w:t>the</w:t>
      </w:r>
      <w:r>
        <w:rPr>
          <w:spacing w:val="80"/>
          <w:sz w:val="24"/>
        </w:rPr>
        <w:t> </w:t>
      </w:r>
      <w:r>
        <w:rPr>
          <w:sz w:val="24"/>
        </w:rPr>
        <w:t>developer/owner</w:t>
      </w:r>
      <w:r>
        <w:rPr>
          <w:spacing w:val="80"/>
          <w:sz w:val="24"/>
        </w:rPr>
        <w:t> </w:t>
      </w:r>
      <w:r>
        <w:rPr>
          <w:sz w:val="24"/>
        </w:rPr>
        <w:t>may</w:t>
      </w:r>
      <w:r>
        <w:rPr>
          <w:spacing w:val="80"/>
          <w:sz w:val="24"/>
        </w:rPr>
        <w:t> </w:t>
      </w:r>
      <w:r>
        <w:rPr>
          <w:sz w:val="24"/>
        </w:rPr>
        <w:t>continue</w:t>
      </w:r>
      <w:r>
        <w:rPr>
          <w:spacing w:val="80"/>
          <w:sz w:val="24"/>
        </w:rPr>
        <w:t> </w:t>
      </w:r>
      <w:r>
        <w:rPr>
          <w:sz w:val="24"/>
        </w:rPr>
        <w:t>to</w:t>
      </w:r>
      <w:r>
        <w:rPr>
          <w:spacing w:val="80"/>
          <w:sz w:val="24"/>
        </w:rPr>
        <w:t> </w:t>
      </w:r>
      <w:r>
        <w:rPr>
          <w:sz w:val="24"/>
        </w:rPr>
        <w:t>complete</w:t>
      </w:r>
    </w:p>
    <w:p>
      <w:pPr>
        <w:pStyle w:val="ListParagraph"/>
        <w:spacing w:after="0" w:line="240" w:lineRule="auto"/>
        <w:jc w:val="both"/>
        <w:rPr>
          <w:sz w:val="24"/>
        </w:rPr>
        <w:sectPr>
          <w:pgSz w:w="11910" w:h="16840"/>
          <w:pgMar w:header="1036" w:footer="974" w:top="1460" w:bottom="1160" w:left="360" w:right="360"/>
        </w:sectPr>
      </w:pPr>
    </w:p>
    <w:p>
      <w:pPr>
        <w:pStyle w:val="BodyText"/>
        <w:spacing w:before="278"/>
        <w:ind w:left="1493" w:right="783"/>
      </w:pPr>
      <w:r>
        <w:rPr/>
        <w:t>the</w:t>
      </w:r>
      <w:r>
        <w:rPr>
          <w:spacing w:val="40"/>
        </w:rPr>
        <w:t> </w:t>
      </w:r>
      <w:r>
        <w:rPr/>
        <w:t>said</w:t>
      </w:r>
      <w:r>
        <w:rPr>
          <w:spacing w:val="40"/>
        </w:rPr>
        <w:t> </w:t>
      </w:r>
      <w:r>
        <w:rPr/>
        <w:t>works</w:t>
      </w:r>
      <w:r>
        <w:rPr>
          <w:spacing w:val="40"/>
        </w:rPr>
        <w:t> </w:t>
      </w:r>
      <w:r>
        <w:rPr/>
        <w:t>in</w:t>
      </w:r>
      <w:r>
        <w:rPr>
          <w:spacing w:val="40"/>
        </w:rPr>
        <w:t> </w:t>
      </w:r>
      <w:r>
        <w:rPr/>
        <w:t>accordance</w:t>
      </w:r>
      <w:r>
        <w:rPr>
          <w:spacing w:val="40"/>
        </w:rPr>
        <w:t> </w:t>
      </w:r>
      <w:r>
        <w:rPr/>
        <w:t>with</w:t>
      </w:r>
      <w:r>
        <w:rPr>
          <w:spacing w:val="40"/>
        </w:rPr>
        <w:t> </w:t>
      </w:r>
      <w:r>
        <w:rPr/>
        <w:t>the</w:t>
      </w:r>
      <w:r>
        <w:rPr>
          <w:spacing w:val="40"/>
        </w:rPr>
        <w:t> </w:t>
      </w:r>
      <w:r>
        <w:rPr/>
        <w:t>conditions</w:t>
      </w:r>
      <w:r>
        <w:rPr>
          <w:spacing w:val="40"/>
        </w:rPr>
        <w:t> </w:t>
      </w:r>
      <w:r>
        <w:rPr/>
        <w:t>under</w:t>
      </w:r>
      <w:r>
        <w:rPr>
          <w:spacing w:val="40"/>
        </w:rPr>
        <w:t> </w:t>
      </w:r>
      <w:r>
        <w:rPr/>
        <w:t>which permission stood granted. However, the period of the development permission granted shall not exceed that specified in section 48 of the MR&amp;TP</w:t>
      </w:r>
      <w:r>
        <w:rPr>
          <w:spacing w:val="40"/>
        </w:rPr>
        <w:t> </w:t>
      </w:r>
      <w:r>
        <w:rPr/>
        <w:t>Act,</w:t>
      </w:r>
      <w:r>
        <w:rPr>
          <w:spacing w:val="40"/>
        </w:rPr>
        <w:t> </w:t>
      </w:r>
      <w:r>
        <w:rPr/>
        <w:t>1966</w:t>
      </w:r>
      <w:r>
        <w:rPr>
          <w:spacing w:val="40"/>
        </w:rPr>
        <w:t> </w:t>
      </w:r>
      <w:r>
        <w:rPr/>
        <w:t>or</w:t>
      </w:r>
      <w:r>
        <w:rPr>
          <w:spacing w:val="40"/>
        </w:rPr>
        <w:t> </w:t>
      </w:r>
      <w:r>
        <w:rPr/>
        <w:t>at</w:t>
      </w:r>
      <w:r>
        <w:rPr>
          <w:spacing w:val="40"/>
        </w:rPr>
        <w:t> </w:t>
      </w:r>
      <w:r>
        <w:rPr/>
        <w:t>the</w:t>
      </w:r>
      <w:r>
        <w:rPr>
          <w:spacing w:val="40"/>
        </w:rPr>
        <w:t> </w:t>
      </w:r>
      <w:r>
        <w:rPr/>
        <w:t>option</w:t>
      </w:r>
      <w:r>
        <w:rPr>
          <w:spacing w:val="40"/>
        </w:rPr>
        <w:t> </w:t>
      </w:r>
      <w:r>
        <w:rPr/>
        <w:t>of</w:t>
      </w:r>
      <w:r>
        <w:rPr>
          <w:spacing w:val="40"/>
        </w:rPr>
        <w:t> </w:t>
      </w:r>
      <w:r>
        <w:rPr>
          <w:spacing w:val="9"/>
        </w:rPr>
        <w:t>owner/developer,</w:t>
      </w:r>
      <w:r>
        <w:rPr>
          <w:spacing w:val="80"/>
          <w:w w:val="150"/>
        </w:rPr>
        <w:t> </w:t>
      </w:r>
      <w:r>
        <w:rPr/>
        <w:t>the</w:t>
      </w:r>
      <w:r>
        <w:rPr>
          <w:spacing w:val="40"/>
        </w:rPr>
        <w:t> </w:t>
      </w:r>
      <w:r>
        <w:rPr/>
        <w:t>proposal can</w:t>
      </w:r>
      <w:r>
        <w:rPr>
          <w:spacing w:val="40"/>
        </w:rPr>
        <w:t> </w:t>
      </w:r>
      <w:r>
        <w:rPr/>
        <w:t>be</w:t>
      </w:r>
      <w:r>
        <w:rPr>
          <w:spacing w:val="40"/>
        </w:rPr>
        <w:t> </w:t>
      </w:r>
      <w:r>
        <w:rPr/>
        <w:t>converted</w:t>
      </w:r>
      <w:r>
        <w:rPr>
          <w:spacing w:val="40"/>
        </w:rPr>
        <w:t> </w:t>
      </w:r>
      <w:r>
        <w:rPr/>
        <w:t>as</w:t>
      </w:r>
      <w:r>
        <w:rPr>
          <w:spacing w:val="40"/>
        </w:rPr>
        <w:t> </w:t>
      </w:r>
      <w:r>
        <w:rPr/>
        <w:t>per</w:t>
      </w:r>
      <w:r>
        <w:rPr>
          <w:spacing w:val="40"/>
        </w:rPr>
        <w:t> </w:t>
      </w:r>
      <w:r>
        <w:rPr>
          <w:spacing w:val="9"/>
        </w:rPr>
        <w:t>DCPR-</w:t>
      </w:r>
      <w:r>
        <w:rPr/>
        <w:t>2034</w:t>
      </w:r>
      <w:r>
        <w:rPr>
          <w:spacing w:val="40"/>
        </w:rPr>
        <w:t> </w:t>
      </w:r>
      <w:r>
        <w:rPr/>
        <w:t>in</w:t>
      </w:r>
      <w:r>
        <w:rPr>
          <w:spacing w:val="40"/>
        </w:rPr>
        <w:t> </w:t>
      </w:r>
      <w:r>
        <w:rPr/>
        <w:t>toto.</w:t>
      </w:r>
    </w:p>
    <w:p>
      <w:pPr>
        <w:pStyle w:val="ListParagraph"/>
        <w:numPr>
          <w:ilvl w:val="0"/>
          <w:numId w:val="14"/>
        </w:numPr>
        <w:tabs>
          <w:tab w:pos="1481" w:val="left" w:leader="none"/>
          <w:tab w:pos="1741" w:val="left" w:leader="none"/>
        </w:tabs>
        <w:spacing w:line="276" w:lineRule="auto" w:before="238" w:after="0"/>
        <w:ind w:left="1481" w:right="768" w:hanging="632"/>
        <w:jc w:val="both"/>
        <w:rPr>
          <w:sz w:val="24"/>
        </w:rPr>
      </w:pPr>
      <w:r>
        <w:rPr>
          <w:sz w:val="24"/>
        </w:rPr>
        <w:tab/>
        <w:t>In case of such plots or layouts that started with due permission before DCPR 2034 have come into force,</w:t>
      </w:r>
      <w:r>
        <w:rPr>
          <w:spacing w:val="80"/>
          <w:sz w:val="24"/>
        </w:rPr>
        <w:t>  </w:t>
      </w:r>
      <w:r>
        <w:rPr>
          <w:sz w:val="24"/>
        </w:rPr>
        <w:t>and if the owner /developer, at his option,</w:t>
      </w:r>
      <w:r>
        <w:rPr>
          <w:spacing w:val="-4"/>
          <w:sz w:val="24"/>
        </w:rPr>
        <w:t> </w:t>
      </w:r>
      <w:r>
        <w:rPr>
          <w:sz w:val="24"/>
        </w:rPr>
        <w:t>thereafter</w:t>
      </w:r>
      <w:r>
        <w:rPr>
          <w:spacing w:val="-4"/>
          <w:sz w:val="24"/>
        </w:rPr>
        <w:t> </w:t>
      </w:r>
      <w:r>
        <w:rPr>
          <w:sz w:val="24"/>
        </w:rPr>
        <w:t>seeks</w:t>
      </w:r>
      <w:r>
        <w:rPr>
          <w:spacing w:val="-4"/>
          <w:sz w:val="24"/>
        </w:rPr>
        <w:t> </w:t>
      </w:r>
      <w:r>
        <w:rPr>
          <w:sz w:val="24"/>
        </w:rPr>
        <w:t>further</w:t>
      </w:r>
      <w:r>
        <w:rPr>
          <w:spacing w:val="-4"/>
          <w:sz w:val="24"/>
        </w:rPr>
        <w:t> </w:t>
      </w:r>
      <w:r>
        <w:rPr>
          <w:sz w:val="24"/>
        </w:rPr>
        <w:t>development</w:t>
      </w:r>
      <w:r>
        <w:rPr>
          <w:spacing w:val="-4"/>
          <w:sz w:val="24"/>
        </w:rPr>
        <w:t> </w:t>
      </w:r>
      <w:r>
        <w:rPr>
          <w:sz w:val="24"/>
        </w:rPr>
        <w:t>of</w:t>
      </w:r>
      <w:r>
        <w:rPr>
          <w:spacing w:val="-4"/>
          <w:sz w:val="24"/>
        </w:rPr>
        <w:t> </w:t>
      </w:r>
      <w:r>
        <w:rPr>
          <w:sz w:val="24"/>
        </w:rPr>
        <w:t>plot/layout/buildings</w:t>
      </w:r>
      <w:r>
        <w:rPr>
          <w:spacing w:val="-4"/>
          <w:sz w:val="24"/>
        </w:rPr>
        <w:t> </w:t>
      </w:r>
      <w:r>
        <w:rPr>
          <w:sz w:val="24"/>
        </w:rPr>
        <w:t>as</w:t>
      </w:r>
      <w:r>
        <w:rPr>
          <w:spacing w:val="-4"/>
          <w:sz w:val="24"/>
        </w:rPr>
        <w:t> </w:t>
      </w:r>
      <w:r>
        <w:rPr>
          <w:sz w:val="24"/>
        </w:rPr>
        <w:t>per DCPR 2034, then the provision of DCPR 2034 shall apply to the</w:t>
      </w:r>
      <w:r>
        <w:rPr>
          <w:spacing w:val="40"/>
          <w:sz w:val="24"/>
        </w:rPr>
        <w:t> </w:t>
      </w:r>
      <w:r>
        <w:rPr>
          <w:b/>
          <w:sz w:val="24"/>
        </w:rPr>
        <w:t>balance </w:t>
      </w:r>
      <w:r>
        <w:rPr>
          <w:sz w:val="24"/>
        </w:rPr>
        <w:t>development. The development potential of</w:t>
      </w:r>
      <w:r>
        <w:rPr>
          <w:spacing w:val="40"/>
          <w:sz w:val="24"/>
        </w:rPr>
        <w:t> </w:t>
      </w:r>
      <w:r>
        <w:rPr>
          <w:sz w:val="24"/>
        </w:rPr>
        <w:t>such entire plot shall be computed as per DCPR 2034 from which the sanctioned FSI of buildings/part of buildings which are proposed to be retained as per approved plan, as per then</w:t>
      </w:r>
      <w:r>
        <w:rPr>
          <w:spacing w:val="40"/>
          <w:sz w:val="24"/>
        </w:rPr>
        <w:t> </w:t>
      </w:r>
      <w:r>
        <w:rPr>
          <w:sz w:val="24"/>
        </w:rPr>
        <w:t>Regulations,</w:t>
      </w:r>
      <w:r>
        <w:rPr>
          <w:spacing w:val="80"/>
          <w:sz w:val="24"/>
        </w:rPr>
        <w:t> </w:t>
      </w:r>
      <w:r>
        <w:rPr>
          <w:sz w:val="24"/>
        </w:rPr>
        <w:t>shall be deducted to arrive at the balance development potential of</w:t>
      </w:r>
      <w:r>
        <w:rPr>
          <w:spacing w:val="40"/>
          <w:sz w:val="24"/>
        </w:rPr>
        <w:t> </w:t>
      </w:r>
      <w:r>
        <w:rPr>
          <w:sz w:val="24"/>
        </w:rPr>
        <w:t>such plot or layout.</w:t>
      </w:r>
    </w:p>
    <w:p>
      <w:pPr>
        <w:pStyle w:val="BodyText"/>
        <w:spacing w:line="278" w:lineRule="auto" w:before="202"/>
        <w:ind w:left="1481" w:hanging="639"/>
        <w:jc w:val="left"/>
      </w:pPr>
      <w:r>
        <w:rPr/>
        <w:t>Note-</w:t>
      </w:r>
      <w:r>
        <w:rPr>
          <w:spacing w:val="80"/>
        </w:rPr>
        <w:t> </w:t>
      </w:r>
      <w:r>
        <w:rPr/>
        <w:t>For</w:t>
      </w:r>
      <w:r>
        <w:rPr>
          <w:spacing w:val="80"/>
        </w:rPr>
        <w:t> </w:t>
      </w:r>
      <w:r>
        <w:rPr/>
        <w:t>smooth</w:t>
      </w:r>
      <w:r>
        <w:rPr>
          <w:spacing w:val="80"/>
        </w:rPr>
        <w:t> </w:t>
      </w:r>
      <w:r>
        <w:rPr/>
        <w:t>implementation</w:t>
      </w:r>
      <w:r>
        <w:rPr>
          <w:spacing w:val="80"/>
        </w:rPr>
        <w:t> </w:t>
      </w:r>
      <w:r>
        <w:rPr/>
        <w:t>and</w:t>
      </w:r>
      <w:r>
        <w:rPr>
          <w:spacing w:val="80"/>
        </w:rPr>
        <w:t> </w:t>
      </w:r>
      <w:r>
        <w:rPr/>
        <w:t>removal</w:t>
      </w:r>
      <w:r>
        <w:rPr>
          <w:spacing w:val="80"/>
        </w:rPr>
        <w:t> </w:t>
      </w:r>
      <w:r>
        <w:rPr/>
        <w:t>of</w:t>
      </w:r>
      <w:r>
        <w:rPr>
          <w:spacing w:val="80"/>
        </w:rPr>
        <w:t> </w:t>
      </w:r>
      <w:r>
        <w:rPr/>
        <w:t>difficulties</w:t>
      </w:r>
      <w:r>
        <w:rPr>
          <w:spacing w:val="80"/>
        </w:rPr>
        <w:t> </w:t>
      </w:r>
      <w:r>
        <w:rPr/>
        <w:t>in</w:t>
      </w:r>
      <w:r>
        <w:rPr>
          <w:spacing w:val="80"/>
        </w:rPr>
        <w:t> </w:t>
      </w:r>
      <w:r>
        <w:rPr/>
        <w:t>transitional proposals, the Municipal Commissioner may formulate a policy.</w:t>
      </w:r>
    </w:p>
    <w:p>
      <w:pPr>
        <w:pStyle w:val="Heading3"/>
        <w:numPr>
          <w:ilvl w:val="0"/>
          <w:numId w:val="10"/>
        </w:numPr>
        <w:tabs>
          <w:tab w:pos="1462" w:val="left" w:leader="none"/>
          <w:tab w:pos="1491" w:val="left" w:leader="none"/>
        </w:tabs>
        <w:spacing w:line="240" w:lineRule="auto" w:before="192" w:after="0"/>
        <w:ind w:left="1462" w:right="797" w:hanging="690"/>
        <w:jc w:val="both"/>
        <w:rPr>
          <w:i w:val="0"/>
        </w:rPr>
      </w:pPr>
      <w:r>
        <w:rPr/>
        <w:t>Procedure</w:t>
      </w:r>
      <w:r>
        <w:rPr/>
        <w:t> for obtaining Development Permission and Commencement</w:t>
      </w:r>
      <w:r>
        <w:rPr>
          <w:spacing w:val="40"/>
        </w:rPr>
        <w:t> </w:t>
      </w:r>
      <w:r>
        <w:rPr/>
        <w:t>Certificate.</w:t>
      </w:r>
    </w:p>
    <w:p>
      <w:pPr>
        <w:pStyle w:val="ListParagraph"/>
        <w:numPr>
          <w:ilvl w:val="1"/>
          <w:numId w:val="10"/>
        </w:numPr>
        <w:tabs>
          <w:tab w:pos="1207" w:val="left" w:leader="none"/>
          <w:tab w:pos="1490" w:val="left" w:leader="none"/>
        </w:tabs>
        <w:spacing w:line="240" w:lineRule="auto" w:before="242" w:after="0"/>
        <w:ind w:left="1207" w:right="776" w:hanging="435"/>
        <w:jc w:val="both"/>
        <w:rPr>
          <w:sz w:val="24"/>
        </w:rPr>
      </w:pPr>
      <w:r>
        <w:rPr>
          <w:sz w:val="24"/>
        </w:rPr>
        <w:tab/>
      </w:r>
      <w:r>
        <w:rPr>
          <w:b/>
          <w:i/>
          <w:sz w:val="24"/>
        </w:rPr>
        <w:t>Notice</w:t>
      </w:r>
      <w:r>
        <w:rPr>
          <w:b/>
          <w:i/>
          <w:spacing w:val="40"/>
          <w:sz w:val="24"/>
        </w:rPr>
        <w:t> </w:t>
      </w:r>
      <w:r>
        <w:rPr>
          <w:b/>
          <w:i/>
          <w:sz w:val="24"/>
        </w:rPr>
        <w:t>of</w:t>
      </w:r>
      <w:r>
        <w:rPr>
          <w:b/>
          <w:i/>
          <w:spacing w:val="40"/>
          <w:sz w:val="24"/>
        </w:rPr>
        <w:t> </w:t>
      </w:r>
      <w:r>
        <w:rPr>
          <w:b/>
          <w:i/>
          <w:sz w:val="24"/>
        </w:rPr>
        <w:t>intention:</w:t>
      </w:r>
      <w:r>
        <w:rPr>
          <w:b/>
          <w:i/>
          <w:spacing w:val="40"/>
          <w:sz w:val="24"/>
        </w:rPr>
        <w:t> </w:t>
      </w:r>
      <w:r>
        <w:rPr>
          <w:sz w:val="24"/>
        </w:rPr>
        <w:t>Every</w:t>
      </w:r>
      <w:r>
        <w:rPr>
          <w:spacing w:val="40"/>
          <w:sz w:val="24"/>
        </w:rPr>
        <w:t> </w:t>
      </w:r>
      <w:r>
        <w:rPr>
          <w:sz w:val="24"/>
        </w:rPr>
        <w:t>person</w:t>
      </w:r>
      <w:r>
        <w:rPr>
          <w:spacing w:val="40"/>
          <w:sz w:val="24"/>
        </w:rPr>
        <w:t> </w:t>
      </w:r>
      <w:r>
        <w:rPr>
          <w:sz w:val="24"/>
        </w:rPr>
        <w:t>who</w:t>
      </w:r>
      <w:r>
        <w:rPr>
          <w:spacing w:val="40"/>
          <w:sz w:val="24"/>
        </w:rPr>
        <w:t> </w:t>
      </w:r>
      <w:r>
        <w:rPr>
          <w:sz w:val="24"/>
        </w:rPr>
        <w:t>intends</w:t>
      </w:r>
      <w:r>
        <w:rPr>
          <w:spacing w:val="40"/>
          <w:sz w:val="24"/>
        </w:rPr>
        <w:t> </w:t>
      </w:r>
      <w:r>
        <w:rPr>
          <w:sz w:val="24"/>
        </w:rPr>
        <w:t>to</w:t>
      </w:r>
      <w:r>
        <w:rPr>
          <w:spacing w:val="40"/>
          <w:sz w:val="24"/>
        </w:rPr>
        <w:t> </w:t>
      </w:r>
      <w:r>
        <w:rPr>
          <w:sz w:val="24"/>
        </w:rPr>
        <w:t>carry</w:t>
      </w:r>
      <w:r>
        <w:rPr>
          <w:spacing w:val="40"/>
          <w:sz w:val="24"/>
        </w:rPr>
        <w:t> </w:t>
      </w:r>
      <w:r>
        <w:rPr>
          <w:sz w:val="24"/>
        </w:rPr>
        <w:t>out</w:t>
      </w:r>
      <w:r>
        <w:rPr>
          <w:spacing w:val="40"/>
          <w:sz w:val="24"/>
        </w:rPr>
        <w:t> </w:t>
      </w:r>
      <w:r>
        <w:rPr>
          <w:sz w:val="24"/>
        </w:rPr>
        <w:t>development or redevelopment, erect or </w:t>
      </w:r>
      <w:r>
        <w:rPr>
          <w:spacing w:val="10"/>
          <w:sz w:val="24"/>
        </w:rPr>
        <w:t>re-</w:t>
      </w:r>
      <w:r>
        <w:rPr>
          <w:sz w:val="24"/>
        </w:rPr>
        <w:t>erect a building or alter any building</w:t>
      </w:r>
      <w:r>
        <w:rPr>
          <w:spacing w:val="40"/>
          <w:sz w:val="24"/>
        </w:rPr>
        <w:t> </w:t>
      </w:r>
      <w:r>
        <w:rPr>
          <w:sz w:val="24"/>
        </w:rPr>
        <w:t>or</w:t>
      </w:r>
      <w:r>
        <w:rPr>
          <w:spacing w:val="40"/>
          <w:sz w:val="24"/>
        </w:rPr>
        <w:t> </w:t>
      </w:r>
      <w:r>
        <w:rPr>
          <w:sz w:val="24"/>
        </w:rPr>
        <w:t>part</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shall</w:t>
      </w:r>
      <w:r>
        <w:rPr>
          <w:spacing w:val="40"/>
          <w:sz w:val="24"/>
        </w:rPr>
        <w:t> </w:t>
      </w:r>
      <w:r>
        <w:rPr>
          <w:sz w:val="24"/>
        </w:rPr>
        <w:t>give</w:t>
      </w:r>
      <w:r>
        <w:rPr>
          <w:spacing w:val="40"/>
          <w:sz w:val="24"/>
        </w:rPr>
        <w:t> </w:t>
      </w:r>
      <w:r>
        <w:rPr>
          <w:sz w:val="24"/>
        </w:rPr>
        <w:t>notice</w:t>
      </w:r>
      <w:r>
        <w:rPr>
          <w:spacing w:val="40"/>
          <w:sz w:val="24"/>
        </w:rPr>
        <w:t> </w:t>
      </w:r>
      <w:r>
        <w:rPr>
          <w:sz w:val="24"/>
        </w:rPr>
        <w:t>in</w:t>
      </w:r>
      <w:r>
        <w:rPr>
          <w:spacing w:val="40"/>
          <w:sz w:val="24"/>
        </w:rPr>
        <w:t> </w:t>
      </w:r>
      <w:r>
        <w:rPr>
          <w:sz w:val="24"/>
        </w:rPr>
        <w:t>writing</w:t>
      </w:r>
      <w:r>
        <w:rPr>
          <w:spacing w:val="40"/>
          <w:sz w:val="24"/>
        </w:rPr>
        <w:t> </w:t>
      </w:r>
      <w:r>
        <w:rPr>
          <w:sz w:val="24"/>
        </w:rPr>
        <w:t>to</w:t>
      </w:r>
      <w:r>
        <w:rPr>
          <w:spacing w:val="40"/>
          <w:sz w:val="24"/>
        </w:rPr>
        <w:t> </w:t>
      </w:r>
      <w:r>
        <w:rPr>
          <w:sz w:val="24"/>
        </w:rPr>
        <w:t>the Commissioner</w:t>
      </w:r>
      <w:r>
        <w:rPr>
          <w:spacing w:val="40"/>
          <w:sz w:val="24"/>
        </w:rPr>
        <w:t> </w:t>
      </w:r>
      <w:r>
        <w:rPr>
          <w:sz w:val="24"/>
        </w:rPr>
        <w:t>of</w:t>
      </w:r>
      <w:r>
        <w:rPr>
          <w:spacing w:val="40"/>
          <w:sz w:val="24"/>
        </w:rPr>
        <w:t> </w:t>
      </w:r>
      <w:r>
        <w:rPr>
          <w:sz w:val="24"/>
        </w:rPr>
        <w:t>his</w:t>
      </w:r>
      <w:r>
        <w:rPr>
          <w:spacing w:val="40"/>
          <w:sz w:val="24"/>
        </w:rPr>
        <w:t> </w:t>
      </w:r>
      <w:r>
        <w:rPr>
          <w:sz w:val="24"/>
        </w:rPr>
        <w:t>said intention in</w:t>
      </w:r>
      <w:r>
        <w:rPr>
          <w:spacing w:val="40"/>
          <w:sz w:val="24"/>
        </w:rPr>
        <w:t> </w:t>
      </w:r>
      <w:r>
        <w:rPr>
          <w:sz w:val="24"/>
        </w:rPr>
        <w:t>the</w:t>
      </w:r>
      <w:r>
        <w:rPr>
          <w:spacing w:val="40"/>
          <w:sz w:val="24"/>
        </w:rPr>
        <w:t> </w:t>
      </w:r>
      <w:r>
        <w:rPr>
          <w:sz w:val="24"/>
        </w:rPr>
        <w:t>form</w:t>
      </w:r>
      <w:r>
        <w:rPr>
          <w:spacing w:val="40"/>
          <w:sz w:val="24"/>
        </w:rPr>
        <w:t> </w:t>
      </w:r>
      <w:r>
        <w:rPr>
          <w:sz w:val="24"/>
        </w:rPr>
        <w:t>in</w:t>
      </w:r>
      <w:r>
        <w:rPr>
          <w:spacing w:val="40"/>
          <w:sz w:val="24"/>
        </w:rPr>
        <w:t> </w:t>
      </w:r>
      <w:r>
        <w:rPr>
          <w:sz w:val="24"/>
        </w:rPr>
        <w:t>Appendix</w:t>
      </w:r>
      <w:r>
        <w:rPr>
          <w:spacing w:val="40"/>
          <w:sz w:val="24"/>
        </w:rPr>
        <w:t> </w:t>
      </w:r>
      <w:r>
        <w:rPr>
          <w:sz w:val="24"/>
        </w:rPr>
        <w:t>II</w:t>
      </w:r>
      <w:r>
        <w:rPr>
          <w:spacing w:val="40"/>
          <w:sz w:val="24"/>
        </w:rPr>
        <w:t> </w:t>
      </w:r>
      <w:r>
        <w:rPr>
          <w:sz w:val="24"/>
        </w:rPr>
        <w:t>and such notice</w:t>
      </w:r>
      <w:r>
        <w:rPr>
          <w:spacing w:val="40"/>
          <w:sz w:val="24"/>
        </w:rPr>
        <w:t> </w:t>
      </w:r>
      <w:r>
        <w:rPr>
          <w:sz w:val="24"/>
        </w:rPr>
        <w:t>shall</w:t>
      </w:r>
      <w:r>
        <w:rPr>
          <w:spacing w:val="40"/>
          <w:sz w:val="24"/>
        </w:rPr>
        <w:t> </w:t>
      </w:r>
      <w:r>
        <w:rPr>
          <w:sz w:val="24"/>
        </w:rPr>
        <w:t>be</w:t>
      </w:r>
      <w:r>
        <w:rPr>
          <w:spacing w:val="40"/>
          <w:sz w:val="24"/>
        </w:rPr>
        <w:t> </w:t>
      </w:r>
      <w:r>
        <w:rPr>
          <w:sz w:val="24"/>
        </w:rPr>
        <w:t>accompanied</w:t>
      </w:r>
      <w:r>
        <w:rPr>
          <w:spacing w:val="40"/>
          <w:sz w:val="24"/>
        </w:rPr>
        <w:t> </w:t>
      </w:r>
      <w:r>
        <w:rPr>
          <w:sz w:val="24"/>
        </w:rPr>
        <w:t>by</w:t>
      </w:r>
      <w:r>
        <w:rPr>
          <w:spacing w:val="40"/>
          <w:sz w:val="24"/>
        </w:rPr>
        <w:t> </w:t>
      </w:r>
      <w:r>
        <w:rPr>
          <w:sz w:val="24"/>
        </w:rPr>
        <w:t>plans</w:t>
      </w:r>
      <w:r>
        <w:rPr>
          <w:spacing w:val="40"/>
          <w:sz w:val="24"/>
        </w:rPr>
        <w:t> </w:t>
      </w:r>
      <w:r>
        <w:rPr>
          <w:sz w:val="24"/>
        </w:rPr>
        <w:t>and</w:t>
      </w:r>
      <w:r>
        <w:rPr>
          <w:spacing w:val="40"/>
          <w:sz w:val="24"/>
        </w:rPr>
        <w:t> </w:t>
      </w:r>
      <w:r>
        <w:rPr>
          <w:sz w:val="24"/>
        </w:rPr>
        <w:t>statements</w:t>
      </w:r>
      <w:r>
        <w:rPr>
          <w:spacing w:val="40"/>
          <w:sz w:val="24"/>
        </w:rPr>
        <w:t> </w:t>
      </w:r>
      <w:r>
        <w:rPr>
          <w:sz w:val="24"/>
        </w:rPr>
        <w:t>with</w:t>
      </w:r>
      <w:r>
        <w:rPr>
          <w:spacing w:val="40"/>
          <w:sz w:val="24"/>
        </w:rPr>
        <w:t> </w:t>
      </w:r>
      <w:r>
        <w:rPr>
          <w:sz w:val="24"/>
        </w:rPr>
        <w:t>sufficient number</w:t>
      </w:r>
      <w:r>
        <w:rPr>
          <w:spacing w:val="40"/>
          <w:sz w:val="24"/>
        </w:rPr>
        <w:t> </w:t>
      </w:r>
      <w:r>
        <w:rPr>
          <w:sz w:val="24"/>
        </w:rPr>
        <w:t>of</w:t>
      </w:r>
      <w:r>
        <w:rPr>
          <w:spacing w:val="40"/>
          <w:sz w:val="24"/>
        </w:rPr>
        <w:t> </w:t>
      </w:r>
      <w:r>
        <w:rPr>
          <w:sz w:val="24"/>
        </w:rPr>
        <w:t>copies,</w:t>
      </w:r>
      <w:r>
        <w:rPr>
          <w:spacing w:val="40"/>
          <w:sz w:val="24"/>
        </w:rPr>
        <w:t> </w:t>
      </w:r>
      <w:r>
        <w:rPr>
          <w:sz w:val="24"/>
        </w:rPr>
        <w:t>as</w:t>
      </w:r>
      <w:r>
        <w:rPr>
          <w:spacing w:val="40"/>
          <w:sz w:val="24"/>
        </w:rPr>
        <w:t> </w:t>
      </w:r>
      <w:r>
        <w:rPr>
          <w:sz w:val="24"/>
        </w:rPr>
        <w:t>required</w:t>
      </w:r>
      <w:r>
        <w:rPr>
          <w:spacing w:val="40"/>
          <w:sz w:val="24"/>
        </w:rPr>
        <w:t> </w:t>
      </w:r>
      <w:r>
        <w:rPr>
          <w:sz w:val="24"/>
        </w:rPr>
        <w:t>by</w:t>
      </w:r>
      <w:r>
        <w:rPr>
          <w:spacing w:val="40"/>
          <w:sz w:val="24"/>
        </w:rPr>
        <w:t> </w:t>
      </w:r>
      <w:r>
        <w:rPr>
          <w:spacing w:val="12"/>
          <w:sz w:val="24"/>
        </w:rPr>
        <w:t>sub-</w:t>
      </w:r>
      <w:r>
        <w:rPr>
          <w:sz w:val="24"/>
        </w:rPr>
        <w:t>Regulations</w:t>
      </w:r>
      <w:r>
        <w:rPr>
          <w:spacing w:val="40"/>
          <w:sz w:val="24"/>
        </w:rPr>
        <w:t> </w:t>
      </w:r>
      <w:r>
        <w:rPr>
          <w:sz w:val="24"/>
        </w:rPr>
        <w:t>(2)</w:t>
      </w:r>
      <w:r>
        <w:rPr>
          <w:spacing w:val="40"/>
          <w:sz w:val="24"/>
        </w:rPr>
        <w:t> </w:t>
      </w:r>
      <w:r>
        <w:rPr>
          <w:sz w:val="24"/>
        </w:rPr>
        <w:t>and</w:t>
      </w:r>
      <w:r>
        <w:rPr>
          <w:spacing w:val="40"/>
          <w:sz w:val="24"/>
        </w:rPr>
        <w:t> </w:t>
      </w:r>
      <w:r>
        <w:rPr>
          <w:sz w:val="24"/>
        </w:rPr>
        <w:t>(3)</w:t>
      </w:r>
      <w:r>
        <w:rPr>
          <w:spacing w:val="40"/>
          <w:sz w:val="24"/>
        </w:rPr>
        <w:t> </w:t>
      </w:r>
      <w:r>
        <w:rPr>
          <w:sz w:val="24"/>
        </w:rPr>
        <w:t>hereunder. The</w:t>
      </w:r>
      <w:r>
        <w:rPr>
          <w:spacing w:val="36"/>
          <w:sz w:val="24"/>
        </w:rPr>
        <w:t> </w:t>
      </w:r>
      <w:r>
        <w:rPr>
          <w:sz w:val="24"/>
        </w:rPr>
        <w:t>plans</w:t>
      </w:r>
      <w:r>
        <w:rPr>
          <w:spacing w:val="36"/>
          <w:sz w:val="24"/>
        </w:rPr>
        <w:t> </w:t>
      </w:r>
      <w:r>
        <w:rPr>
          <w:sz w:val="24"/>
        </w:rPr>
        <w:t>may</w:t>
      </w:r>
      <w:r>
        <w:rPr>
          <w:spacing w:val="40"/>
          <w:sz w:val="24"/>
        </w:rPr>
        <w:t> </w:t>
      </w:r>
      <w:r>
        <w:rPr>
          <w:sz w:val="24"/>
        </w:rPr>
        <w:t>be</w:t>
      </w:r>
      <w:r>
        <w:rPr>
          <w:spacing w:val="36"/>
          <w:sz w:val="24"/>
        </w:rPr>
        <w:t> </w:t>
      </w:r>
      <w:r>
        <w:rPr>
          <w:sz w:val="24"/>
        </w:rPr>
        <w:t>ordinary</w:t>
      </w:r>
      <w:r>
        <w:rPr>
          <w:spacing w:val="40"/>
          <w:sz w:val="24"/>
        </w:rPr>
        <w:t> </w:t>
      </w:r>
      <w:r>
        <w:rPr>
          <w:sz w:val="24"/>
        </w:rPr>
        <w:t>prints.</w:t>
      </w:r>
      <w:r>
        <w:rPr>
          <w:spacing w:val="36"/>
          <w:sz w:val="24"/>
        </w:rPr>
        <w:t> </w:t>
      </w:r>
      <w:r>
        <w:rPr>
          <w:sz w:val="24"/>
        </w:rPr>
        <w:t>One</w:t>
      </w:r>
      <w:r>
        <w:rPr>
          <w:spacing w:val="40"/>
          <w:sz w:val="24"/>
        </w:rPr>
        <w:t> </w:t>
      </w:r>
      <w:r>
        <w:rPr>
          <w:sz w:val="24"/>
        </w:rPr>
        <w:t>set</w:t>
      </w:r>
      <w:r>
        <w:rPr>
          <w:spacing w:val="36"/>
          <w:sz w:val="24"/>
        </w:rPr>
        <w:t> </w:t>
      </w:r>
      <w:r>
        <w:rPr>
          <w:sz w:val="24"/>
        </w:rPr>
        <w:t>of</w:t>
      </w:r>
      <w:r>
        <w:rPr>
          <w:spacing w:val="40"/>
          <w:sz w:val="24"/>
        </w:rPr>
        <w:t> </w:t>
      </w:r>
      <w:r>
        <w:rPr>
          <w:sz w:val="24"/>
        </w:rPr>
        <w:t>such</w:t>
      </w:r>
      <w:r>
        <w:rPr>
          <w:spacing w:val="39"/>
          <w:sz w:val="24"/>
        </w:rPr>
        <w:t> </w:t>
      </w:r>
      <w:r>
        <w:rPr>
          <w:sz w:val="24"/>
        </w:rPr>
        <w:t>plans</w:t>
      </w:r>
      <w:r>
        <w:rPr>
          <w:spacing w:val="40"/>
          <w:sz w:val="24"/>
        </w:rPr>
        <w:t> </w:t>
      </w:r>
      <w:r>
        <w:rPr>
          <w:sz w:val="24"/>
        </w:rPr>
        <w:t>shall</w:t>
      </w:r>
      <w:r>
        <w:rPr>
          <w:spacing w:val="36"/>
          <w:sz w:val="24"/>
        </w:rPr>
        <w:t> </w:t>
      </w:r>
      <w:r>
        <w:rPr>
          <w:sz w:val="24"/>
        </w:rPr>
        <w:t>be</w:t>
      </w:r>
      <w:r>
        <w:rPr>
          <w:spacing w:val="40"/>
          <w:sz w:val="24"/>
        </w:rPr>
        <w:t> </w:t>
      </w:r>
      <w:r>
        <w:rPr>
          <w:sz w:val="24"/>
        </w:rPr>
        <w:t>retained in</w:t>
      </w:r>
      <w:r>
        <w:rPr>
          <w:spacing w:val="40"/>
          <w:sz w:val="24"/>
        </w:rPr>
        <w:t> </w:t>
      </w:r>
      <w:r>
        <w:rPr>
          <w:sz w:val="24"/>
        </w:rPr>
        <w:t>the</w:t>
      </w:r>
      <w:r>
        <w:rPr>
          <w:spacing w:val="40"/>
          <w:sz w:val="24"/>
        </w:rPr>
        <w:t> </w:t>
      </w:r>
      <w:r>
        <w:rPr>
          <w:sz w:val="24"/>
        </w:rPr>
        <w:t>office</w:t>
      </w:r>
      <w:r>
        <w:rPr>
          <w:spacing w:val="40"/>
          <w:sz w:val="24"/>
        </w:rPr>
        <w:t> </w:t>
      </w:r>
      <w:r>
        <w:rPr>
          <w:sz w:val="24"/>
        </w:rPr>
        <w:t>of</w:t>
      </w:r>
      <w:r>
        <w:rPr>
          <w:spacing w:val="40"/>
          <w:sz w:val="24"/>
        </w:rPr>
        <w:t> </w:t>
      </w:r>
      <w:r>
        <w:rPr>
          <w:sz w:val="24"/>
        </w:rPr>
        <w:t>the</w:t>
      </w:r>
      <w:r>
        <w:rPr>
          <w:spacing w:val="40"/>
          <w:sz w:val="24"/>
        </w:rPr>
        <w:t> </w:t>
      </w:r>
      <w:r>
        <w:rPr>
          <w:sz w:val="24"/>
        </w:rPr>
        <w:t>Commissioner</w:t>
      </w:r>
      <w:r>
        <w:rPr>
          <w:spacing w:val="40"/>
          <w:sz w:val="24"/>
        </w:rPr>
        <w:t> </w:t>
      </w:r>
      <w:r>
        <w:rPr>
          <w:sz w:val="24"/>
        </w:rPr>
        <w:t>for</w:t>
      </w:r>
      <w:r>
        <w:rPr>
          <w:spacing w:val="40"/>
          <w:sz w:val="24"/>
        </w:rPr>
        <w:t> </w:t>
      </w:r>
      <w:r>
        <w:rPr>
          <w:sz w:val="24"/>
        </w:rPr>
        <w:t>record</w:t>
      </w:r>
      <w:r>
        <w:rPr>
          <w:spacing w:val="40"/>
          <w:sz w:val="24"/>
        </w:rPr>
        <w:t> </w:t>
      </w:r>
      <w:r>
        <w:rPr>
          <w:sz w:val="24"/>
        </w:rPr>
        <w:t>after</w:t>
      </w:r>
      <w:r>
        <w:rPr>
          <w:spacing w:val="40"/>
          <w:sz w:val="24"/>
        </w:rPr>
        <w:t> </w:t>
      </w:r>
      <w:r>
        <w:rPr>
          <w:sz w:val="24"/>
        </w:rPr>
        <w:t>the</w:t>
      </w:r>
      <w:r>
        <w:rPr>
          <w:spacing w:val="40"/>
          <w:sz w:val="24"/>
        </w:rPr>
        <w:t> </w:t>
      </w:r>
      <w:r>
        <w:rPr>
          <w:sz w:val="24"/>
        </w:rPr>
        <w:t>issue</w:t>
      </w:r>
      <w:r>
        <w:rPr>
          <w:spacing w:val="40"/>
          <w:sz w:val="24"/>
        </w:rPr>
        <w:t> </w:t>
      </w:r>
      <w:r>
        <w:rPr>
          <w:sz w:val="24"/>
        </w:rPr>
        <w:t>of</w:t>
      </w:r>
      <w:r>
        <w:rPr>
          <w:spacing w:val="40"/>
          <w:sz w:val="24"/>
        </w:rPr>
        <w:t> </w:t>
      </w:r>
      <w:r>
        <w:rPr>
          <w:sz w:val="24"/>
        </w:rPr>
        <w:t>permission or refusal. The Commissioner may set a</w:t>
      </w:r>
      <w:r>
        <w:rPr>
          <w:spacing w:val="40"/>
          <w:sz w:val="24"/>
        </w:rPr>
        <w:t> </w:t>
      </w:r>
      <w:r>
        <w:rPr>
          <w:sz w:val="24"/>
        </w:rPr>
        <w:t>policy by which all submissions, approvals</w:t>
      </w:r>
      <w:r>
        <w:rPr>
          <w:spacing w:val="40"/>
          <w:sz w:val="24"/>
        </w:rPr>
        <w:t> </w:t>
      </w:r>
      <w:r>
        <w:rPr>
          <w:sz w:val="24"/>
        </w:rPr>
        <w:t>and</w:t>
      </w:r>
      <w:r>
        <w:rPr>
          <w:spacing w:val="40"/>
          <w:sz w:val="24"/>
        </w:rPr>
        <w:t> </w:t>
      </w:r>
      <w:r>
        <w:rPr>
          <w:sz w:val="24"/>
        </w:rPr>
        <w:t>communication</w:t>
      </w:r>
      <w:r>
        <w:rPr>
          <w:spacing w:val="40"/>
          <w:sz w:val="24"/>
        </w:rPr>
        <w:t> </w:t>
      </w:r>
      <w:r>
        <w:rPr>
          <w:sz w:val="24"/>
        </w:rPr>
        <w:t>in</w:t>
      </w:r>
      <w:r>
        <w:rPr>
          <w:spacing w:val="40"/>
          <w:sz w:val="24"/>
        </w:rPr>
        <w:t> </w:t>
      </w:r>
      <w:r>
        <w:rPr>
          <w:sz w:val="24"/>
        </w:rPr>
        <w:t>regard</w:t>
      </w:r>
      <w:r>
        <w:rPr>
          <w:spacing w:val="40"/>
          <w:sz w:val="24"/>
        </w:rPr>
        <w:t> </w:t>
      </w:r>
      <w:r>
        <w:rPr>
          <w:sz w:val="24"/>
        </w:rPr>
        <w:t>to</w:t>
      </w:r>
      <w:r>
        <w:rPr>
          <w:spacing w:val="40"/>
          <w:sz w:val="24"/>
        </w:rPr>
        <w:t> </w:t>
      </w:r>
      <w:r>
        <w:rPr>
          <w:sz w:val="24"/>
        </w:rPr>
        <w:t>development</w:t>
      </w:r>
      <w:r>
        <w:rPr>
          <w:spacing w:val="40"/>
          <w:sz w:val="24"/>
        </w:rPr>
        <w:t> </w:t>
      </w:r>
      <w:r>
        <w:rPr>
          <w:sz w:val="24"/>
        </w:rPr>
        <w:t>permission</w:t>
      </w:r>
      <w:r>
        <w:rPr>
          <w:spacing w:val="40"/>
          <w:sz w:val="24"/>
        </w:rPr>
        <w:t> </w:t>
      </w:r>
      <w:r>
        <w:rPr>
          <w:spacing w:val="9"/>
          <w:sz w:val="24"/>
        </w:rPr>
        <w:t>shall </w:t>
      </w:r>
      <w:r>
        <w:rPr>
          <w:sz w:val="24"/>
        </w:rPr>
        <w:t>be on </w:t>
      </w:r>
      <w:r>
        <w:rPr>
          <w:spacing w:val="9"/>
          <w:sz w:val="24"/>
        </w:rPr>
        <w:t>line.</w:t>
      </w:r>
    </w:p>
    <w:p>
      <w:pPr>
        <w:pStyle w:val="Heading6"/>
        <w:numPr>
          <w:ilvl w:val="1"/>
          <w:numId w:val="10"/>
        </w:numPr>
        <w:tabs>
          <w:tab w:pos="1205" w:val="left" w:leader="none"/>
        </w:tabs>
        <w:spacing w:line="240" w:lineRule="auto" w:before="240" w:after="0"/>
        <w:ind w:left="1205" w:right="0" w:hanging="433"/>
        <w:jc w:val="left"/>
        <w:rPr>
          <w:i w:val="0"/>
        </w:rPr>
      </w:pPr>
      <w:r>
        <w:rPr/>
        <w:t>Copies</w:t>
      </w:r>
      <w:r>
        <w:rPr>
          <w:spacing w:val="47"/>
        </w:rPr>
        <w:t> </w:t>
      </w:r>
      <w:r>
        <w:rPr/>
        <w:t>of</w:t>
      </w:r>
      <w:r>
        <w:rPr>
          <w:spacing w:val="48"/>
        </w:rPr>
        <w:t> </w:t>
      </w:r>
      <w:r>
        <w:rPr/>
        <w:t>plans</w:t>
      </w:r>
      <w:r>
        <w:rPr>
          <w:spacing w:val="47"/>
        </w:rPr>
        <w:t> </w:t>
      </w:r>
      <w:r>
        <w:rPr/>
        <w:t>and</w:t>
      </w:r>
      <w:r>
        <w:rPr>
          <w:spacing w:val="48"/>
        </w:rPr>
        <w:t> </w:t>
      </w:r>
      <w:r>
        <w:rPr>
          <w:spacing w:val="-2"/>
        </w:rPr>
        <w:t>statements:</w:t>
      </w:r>
    </w:p>
    <w:p>
      <w:pPr>
        <w:pStyle w:val="ListParagraph"/>
        <w:numPr>
          <w:ilvl w:val="0"/>
          <w:numId w:val="15"/>
        </w:numPr>
        <w:tabs>
          <w:tab w:pos="1490" w:val="left" w:leader="none"/>
        </w:tabs>
        <w:spacing w:line="240" w:lineRule="auto" w:before="239" w:after="0"/>
        <w:ind w:left="1490" w:right="0" w:hanging="576"/>
        <w:jc w:val="both"/>
        <w:rPr>
          <w:sz w:val="24"/>
        </w:rPr>
      </w:pPr>
      <w:r>
        <w:rPr>
          <w:b/>
          <w:i/>
          <w:sz w:val="24"/>
        </w:rPr>
        <w:t>Notice:</w:t>
      </w:r>
      <w:r>
        <w:rPr>
          <w:b/>
          <w:i/>
          <w:spacing w:val="62"/>
          <w:sz w:val="24"/>
        </w:rPr>
        <w:t> </w:t>
      </w:r>
      <w:r>
        <w:rPr>
          <w:sz w:val="24"/>
        </w:rPr>
        <w:t>The</w:t>
      </w:r>
      <w:r>
        <w:rPr>
          <w:spacing w:val="66"/>
          <w:sz w:val="24"/>
        </w:rPr>
        <w:t> </w:t>
      </w:r>
      <w:r>
        <w:rPr>
          <w:sz w:val="24"/>
        </w:rPr>
        <w:t>notice</w:t>
      </w:r>
      <w:r>
        <w:rPr>
          <w:spacing w:val="68"/>
          <w:sz w:val="24"/>
        </w:rPr>
        <w:t> </w:t>
      </w:r>
      <w:r>
        <w:rPr>
          <w:sz w:val="24"/>
        </w:rPr>
        <w:t>referred</w:t>
      </w:r>
      <w:r>
        <w:rPr>
          <w:spacing w:val="68"/>
          <w:sz w:val="24"/>
        </w:rPr>
        <w:t> </w:t>
      </w:r>
      <w:r>
        <w:rPr>
          <w:sz w:val="24"/>
        </w:rPr>
        <w:t>to</w:t>
      </w:r>
      <w:r>
        <w:rPr>
          <w:spacing w:val="66"/>
          <w:sz w:val="24"/>
        </w:rPr>
        <w:t> </w:t>
      </w:r>
      <w:r>
        <w:rPr>
          <w:sz w:val="24"/>
        </w:rPr>
        <w:t>in</w:t>
      </w:r>
      <w:r>
        <w:rPr>
          <w:spacing w:val="66"/>
          <w:sz w:val="24"/>
        </w:rPr>
        <w:t> </w:t>
      </w:r>
      <w:r>
        <w:rPr>
          <w:sz w:val="24"/>
        </w:rPr>
        <w:t>sub</w:t>
      </w:r>
      <w:r>
        <w:rPr>
          <w:spacing w:val="79"/>
          <w:sz w:val="24"/>
        </w:rPr>
        <w:t> </w:t>
      </w:r>
      <w:r>
        <w:rPr>
          <w:sz w:val="24"/>
        </w:rPr>
        <w:t>Regulations</w:t>
      </w:r>
      <w:r>
        <w:rPr>
          <w:spacing w:val="65"/>
          <w:sz w:val="24"/>
        </w:rPr>
        <w:t> </w:t>
      </w:r>
      <w:r>
        <w:rPr>
          <w:sz w:val="24"/>
        </w:rPr>
        <w:t>(2)</w:t>
      </w:r>
      <w:r>
        <w:rPr>
          <w:spacing w:val="70"/>
          <w:sz w:val="24"/>
        </w:rPr>
        <w:t> </w:t>
      </w:r>
      <w:r>
        <w:rPr>
          <w:sz w:val="24"/>
        </w:rPr>
        <w:t>of</w:t>
      </w:r>
      <w:r>
        <w:rPr>
          <w:spacing w:val="70"/>
          <w:sz w:val="24"/>
        </w:rPr>
        <w:t> </w:t>
      </w:r>
      <w:r>
        <w:rPr>
          <w:sz w:val="24"/>
        </w:rPr>
        <w:t>Regulation</w:t>
      </w:r>
      <w:r>
        <w:rPr>
          <w:spacing w:val="66"/>
          <w:sz w:val="24"/>
        </w:rPr>
        <w:t> </w:t>
      </w:r>
      <w:r>
        <w:rPr>
          <w:spacing w:val="-5"/>
          <w:sz w:val="24"/>
        </w:rPr>
        <w:t>No</w:t>
      </w:r>
    </w:p>
    <w:p>
      <w:pPr>
        <w:pStyle w:val="BodyText"/>
        <w:spacing w:before="4"/>
        <w:ind w:left="1493" w:right="786"/>
      </w:pPr>
      <w:r>
        <w:rPr/>
        <w:t>11</w:t>
      </w:r>
      <w:r>
        <w:rPr>
          <w:spacing w:val="40"/>
        </w:rPr>
        <w:t> </w:t>
      </w:r>
      <w:r>
        <w:rPr/>
        <w:t>shall</w:t>
      </w:r>
      <w:r>
        <w:rPr>
          <w:spacing w:val="40"/>
        </w:rPr>
        <w:t> </w:t>
      </w:r>
      <w:r>
        <w:rPr/>
        <w:t>be</w:t>
      </w:r>
      <w:r>
        <w:rPr>
          <w:spacing w:val="40"/>
        </w:rPr>
        <w:t> </w:t>
      </w:r>
      <w:r>
        <w:rPr/>
        <w:t>accompanied</w:t>
      </w:r>
      <w:r>
        <w:rPr>
          <w:spacing w:val="40"/>
        </w:rPr>
        <w:t> </w:t>
      </w:r>
      <w:r>
        <w:rPr/>
        <w:t>by</w:t>
      </w:r>
      <w:r>
        <w:rPr>
          <w:spacing w:val="40"/>
        </w:rPr>
        <w:t> </w:t>
      </w:r>
      <w:r>
        <w:rPr/>
        <w:t>as</w:t>
      </w:r>
      <w:r>
        <w:rPr>
          <w:spacing w:val="40"/>
        </w:rPr>
        <w:t> </w:t>
      </w:r>
      <w:r>
        <w:rPr/>
        <w:t>many</w:t>
      </w:r>
      <w:r>
        <w:rPr>
          <w:spacing w:val="40"/>
        </w:rPr>
        <w:t> </w:t>
      </w:r>
      <w:r>
        <w:rPr/>
        <w:t>copies</w:t>
      </w:r>
      <w:r>
        <w:rPr>
          <w:spacing w:val="40"/>
        </w:rPr>
        <w:t> </w:t>
      </w:r>
      <w:r>
        <w:rPr/>
        <w:t>of</w:t>
      </w:r>
      <w:r>
        <w:rPr>
          <w:spacing w:val="40"/>
        </w:rPr>
        <w:t> </w:t>
      </w:r>
      <w:r>
        <w:rPr/>
        <w:t>plans</w:t>
      </w:r>
      <w:r>
        <w:rPr>
          <w:spacing w:val="40"/>
        </w:rPr>
        <w:t> </w:t>
      </w:r>
      <w:r>
        <w:rPr/>
        <w:t>as</w:t>
      </w:r>
      <w:r>
        <w:rPr>
          <w:spacing w:val="40"/>
        </w:rPr>
        <w:t> </w:t>
      </w:r>
      <w:r>
        <w:rPr/>
        <w:t>the Commissioner</w:t>
      </w:r>
      <w:r>
        <w:rPr>
          <w:spacing w:val="40"/>
        </w:rPr>
        <w:t> </w:t>
      </w:r>
      <w:r>
        <w:rPr/>
        <w:t>may</w:t>
      </w:r>
      <w:r>
        <w:rPr>
          <w:spacing w:val="40"/>
        </w:rPr>
        <w:t> </w:t>
      </w:r>
      <w:r>
        <w:rPr/>
        <w:t>prescribe</w:t>
      </w:r>
      <w:r>
        <w:rPr>
          <w:spacing w:val="40"/>
        </w:rPr>
        <w:t> </w:t>
      </w:r>
      <w:r>
        <w:rPr/>
        <w:t>after</w:t>
      </w:r>
      <w:r>
        <w:rPr>
          <w:spacing w:val="40"/>
        </w:rPr>
        <w:t> </w:t>
      </w:r>
      <w:r>
        <w:rPr/>
        <w:t>taking</w:t>
      </w:r>
      <w:r>
        <w:rPr>
          <w:spacing w:val="40"/>
        </w:rPr>
        <w:t> </w:t>
      </w:r>
      <w:r>
        <w:rPr/>
        <w:t>into</w:t>
      </w:r>
      <w:r>
        <w:rPr>
          <w:spacing w:val="40"/>
        </w:rPr>
        <w:t> </w:t>
      </w:r>
      <w:r>
        <w:rPr/>
        <w:t>consideration</w:t>
      </w:r>
      <w:r>
        <w:rPr>
          <w:spacing w:val="40"/>
        </w:rPr>
        <w:t> </w:t>
      </w:r>
      <w:r>
        <w:rPr/>
        <w:t>the clearances</w:t>
      </w:r>
      <w:r>
        <w:rPr>
          <w:spacing w:val="40"/>
        </w:rPr>
        <w:t> </w:t>
      </w:r>
      <w:r>
        <w:rPr/>
        <w:t>required</w:t>
      </w:r>
      <w:r>
        <w:rPr>
          <w:spacing w:val="40"/>
        </w:rPr>
        <w:t> </w:t>
      </w:r>
      <w:r>
        <w:rPr/>
        <w:t>from</w:t>
      </w:r>
      <w:r>
        <w:rPr>
          <w:spacing w:val="40"/>
        </w:rPr>
        <w:t> </w:t>
      </w:r>
      <w:r>
        <w:rPr/>
        <w:t>other</w:t>
      </w:r>
      <w:r>
        <w:rPr>
          <w:spacing w:val="40"/>
        </w:rPr>
        <w:t> </w:t>
      </w:r>
      <w:r>
        <w:rPr>
          <w:spacing w:val="9"/>
        </w:rPr>
        <w:t>agencies.</w:t>
      </w:r>
    </w:p>
    <w:p>
      <w:pPr>
        <w:pStyle w:val="ListParagraph"/>
        <w:numPr>
          <w:ilvl w:val="0"/>
          <w:numId w:val="15"/>
        </w:numPr>
        <w:tabs>
          <w:tab w:pos="1490" w:val="left" w:leader="none"/>
          <w:tab w:pos="1493" w:val="left" w:leader="none"/>
        </w:tabs>
        <w:spacing w:line="240" w:lineRule="auto" w:before="238" w:after="0"/>
        <w:ind w:left="1493" w:right="797" w:hanging="579"/>
        <w:jc w:val="both"/>
        <w:rPr>
          <w:sz w:val="24"/>
        </w:rPr>
      </w:pPr>
      <w:r>
        <w:rPr>
          <w:b/>
          <w:i/>
          <w:sz w:val="24"/>
        </w:rPr>
        <w:t>Size:</w:t>
      </w:r>
      <w:r>
        <w:rPr>
          <w:b/>
          <w:i/>
          <w:spacing w:val="40"/>
          <w:sz w:val="24"/>
        </w:rPr>
        <w:t> </w:t>
      </w:r>
      <w:r>
        <w:rPr>
          <w:sz w:val="24"/>
        </w:rPr>
        <w:t>The</w:t>
      </w:r>
      <w:r>
        <w:rPr>
          <w:spacing w:val="40"/>
          <w:sz w:val="24"/>
        </w:rPr>
        <w:t> </w:t>
      </w:r>
      <w:r>
        <w:rPr>
          <w:sz w:val="24"/>
        </w:rPr>
        <w:t>size</w:t>
      </w:r>
      <w:r>
        <w:rPr>
          <w:spacing w:val="40"/>
          <w:sz w:val="24"/>
        </w:rPr>
        <w:t> </w:t>
      </w:r>
      <w:r>
        <w:rPr>
          <w:sz w:val="24"/>
        </w:rPr>
        <w:t>of</w:t>
      </w:r>
      <w:r>
        <w:rPr>
          <w:spacing w:val="35"/>
          <w:sz w:val="24"/>
        </w:rPr>
        <w:t> </w:t>
      </w:r>
      <w:r>
        <w:rPr>
          <w:sz w:val="24"/>
        </w:rPr>
        <w:t>drawing</w:t>
      </w:r>
      <w:r>
        <w:rPr>
          <w:spacing w:val="35"/>
          <w:sz w:val="24"/>
        </w:rPr>
        <w:t> </w:t>
      </w:r>
      <w:r>
        <w:rPr>
          <w:sz w:val="24"/>
        </w:rPr>
        <w:t>sheets</w:t>
      </w:r>
      <w:r>
        <w:rPr>
          <w:spacing w:val="35"/>
          <w:sz w:val="24"/>
        </w:rPr>
        <w:t> </w:t>
      </w:r>
      <w:r>
        <w:rPr>
          <w:sz w:val="24"/>
        </w:rPr>
        <w:t>shall</w:t>
      </w:r>
      <w:r>
        <w:rPr>
          <w:spacing w:val="40"/>
          <w:sz w:val="24"/>
        </w:rPr>
        <w:t> </w:t>
      </w:r>
      <w:r>
        <w:rPr>
          <w:sz w:val="24"/>
        </w:rPr>
        <w:t>be</w:t>
      </w:r>
      <w:r>
        <w:rPr>
          <w:spacing w:val="35"/>
          <w:sz w:val="24"/>
        </w:rPr>
        <w:t> </w:t>
      </w:r>
      <w:r>
        <w:rPr>
          <w:sz w:val="24"/>
        </w:rPr>
        <w:t>any</w:t>
      </w:r>
      <w:r>
        <w:rPr>
          <w:spacing w:val="35"/>
          <w:sz w:val="24"/>
        </w:rPr>
        <w:t> </w:t>
      </w:r>
      <w:r>
        <w:rPr>
          <w:sz w:val="24"/>
        </w:rPr>
        <w:t>of</w:t>
      </w:r>
      <w:r>
        <w:rPr>
          <w:spacing w:val="35"/>
          <w:sz w:val="24"/>
        </w:rPr>
        <w:t> </w:t>
      </w:r>
      <w:r>
        <w:rPr>
          <w:sz w:val="24"/>
        </w:rPr>
        <w:t>those</w:t>
      </w:r>
      <w:r>
        <w:rPr>
          <w:spacing w:val="35"/>
          <w:sz w:val="24"/>
        </w:rPr>
        <w:t> </w:t>
      </w:r>
      <w:r>
        <w:rPr>
          <w:sz w:val="24"/>
        </w:rPr>
        <w:t>specified</w:t>
      </w:r>
      <w:r>
        <w:rPr>
          <w:spacing w:val="35"/>
          <w:sz w:val="24"/>
        </w:rPr>
        <w:t> </w:t>
      </w:r>
      <w:r>
        <w:rPr>
          <w:sz w:val="24"/>
        </w:rPr>
        <w:t>in</w:t>
      </w:r>
      <w:r>
        <w:rPr>
          <w:spacing w:val="38"/>
          <w:sz w:val="24"/>
        </w:rPr>
        <w:t> </w:t>
      </w:r>
      <w:r>
        <w:rPr>
          <w:sz w:val="24"/>
        </w:rPr>
        <w:t>Table 1 </w:t>
      </w:r>
      <w:r>
        <w:rPr>
          <w:spacing w:val="9"/>
          <w:sz w:val="24"/>
        </w:rPr>
        <w:t>hereunder.</w:t>
      </w:r>
    </w:p>
    <w:p>
      <w:pPr>
        <w:pStyle w:val="ListParagraph"/>
        <w:spacing w:after="0" w:line="240" w:lineRule="auto"/>
        <w:jc w:val="both"/>
        <w:rPr>
          <w:sz w:val="24"/>
        </w:rPr>
        <w:sectPr>
          <w:pgSz w:w="11910" w:h="16840"/>
          <w:pgMar w:header="1036" w:footer="974" w:top="1460" w:bottom="1160" w:left="360" w:right="360"/>
        </w:sectPr>
      </w:pPr>
    </w:p>
    <w:p>
      <w:pPr>
        <w:pStyle w:val="Heading5"/>
        <w:spacing w:before="278"/>
        <w:ind w:left="914"/>
      </w:pPr>
      <w:r>
        <w:rPr/>
        <w:t>TABLE</w:t>
      </w:r>
      <w:r>
        <w:rPr>
          <w:spacing w:val="42"/>
        </w:rPr>
        <w:t> </w:t>
      </w:r>
      <w:r>
        <w:rPr/>
        <w:t>1</w:t>
      </w:r>
      <w:r>
        <w:rPr>
          <w:spacing w:val="48"/>
        </w:rPr>
        <w:t> </w:t>
      </w:r>
      <w:r>
        <w:rPr/>
        <w:t>-</w:t>
      </w:r>
      <w:r>
        <w:rPr>
          <w:spacing w:val="38"/>
        </w:rPr>
        <w:t> </w:t>
      </w:r>
      <w:r>
        <w:rPr/>
        <w:t>Drawing</w:t>
      </w:r>
      <w:r>
        <w:rPr>
          <w:spacing w:val="44"/>
        </w:rPr>
        <w:t> </w:t>
      </w:r>
      <w:r>
        <w:rPr/>
        <w:t>sheet</w:t>
      </w:r>
      <w:r>
        <w:rPr>
          <w:spacing w:val="53"/>
        </w:rPr>
        <w:t> </w:t>
      </w:r>
      <w:r>
        <w:rPr>
          <w:spacing w:val="-2"/>
        </w:rPr>
        <w:t>sizes</w:t>
      </w:r>
    </w:p>
    <w:p>
      <w:pPr>
        <w:pStyle w:val="BodyText"/>
        <w:spacing w:before="7"/>
        <w:jc w:val="left"/>
        <w:rPr>
          <w:b/>
          <w:sz w:val="20"/>
        </w:rPr>
      </w:pPr>
    </w:p>
    <w:tbl>
      <w:tblPr>
        <w:tblW w:w="0" w:type="auto"/>
        <w:jc w:val="left"/>
        <w:tblInd w:w="30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00"/>
        <w:gridCol w:w="1491"/>
        <w:gridCol w:w="2279"/>
      </w:tblGrid>
      <w:tr>
        <w:trPr>
          <w:trHeight w:val="589" w:hRule="atLeast"/>
        </w:trPr>
        <w:tc>
          <w:tcPr>
            <w:tcW w:w="1400" w:type="dxa"/>
            <w:shd w:val="clear" w:color="auto" w:fill="F1F1F1"/>
          </w:tcPr>
          <w:p>
            <w:pPr>
              <w:pStyle w:val="TableParagraph"/>
              <w:spacing w:line="270" w:lineRule="atLeast" w:before="4"/>
              <w:ind w:left="564" w:hanging="455"/>
              <w:rPr>
                <w:sz w:val="20"/>
              </w:rPr>
            </w:pPr>
            <w:r>
              <w:rPr>
                <w:sz w:val="20"/>
              </w:rPr>
              <w:t>Serial </w:t>
            </w:r>
            <w:r>
              <w:rPr>
                <w:sz w:val="20"/>
              </w:rPr>
              <w:t>No.1 </w:t>
            </w:r>
            <w:r>
              <w:rPr>
                <w:spacing w:val="-4"/>
                <w:sz w:val="20"/>
              </w:rPr>
              <w:t>(1)</w:t>
            </w:r>
          </w:p>
        </w:tc>
        <w:tc>
          <w:tcPr>
            <w:tcW w:w="1491" w:type="dxa"/>
            <w:shd w:val="clear" w:color="auto" w:fill="F1F1F1"/>
          </w:tcPr>
          <w:p>
            <w:pPr>
              <w:pStyle w:val="TableParagraph"/>
              <w:spacing w:line="270" w:lineRule="atLeast" w:before="4"/>
              <w:ind w:left="606" w:right="16" w:hanging="500"/>
              <w:rPr>
                <w:sz w:val="20"/>
              </w:rPr>
            </w:pPr>
            <w:r>
              <w:rPr>
                <w:spacing w:val="-2"/>
                <w:sz w:val="20"/>
              </w:rPr>
              <w:t>Designation </w:t>
            </w:r>
            <w:r>
              <w:rPr>
                <w:spacing w:val="-4"/>
                <w:sz w:val="20"/>
              </w:rPr>
              <w:t>(2)</w:t>
            </w:r>
          </w:p>
        </w:tc>
        <w:tc>
          <w:tcPr>
            <w:tcW w:w="2279" w:type="dxa"/>
            <w:shd w:val="clear" w:color="auto" w:fill="F1F1F1"/>
          </w:tcPr>
          <w:p>
            <w:pPr>
              <w:pStyle w:val="TableParagraph"/>
              <w:spacing w:line="270" w:lineRule="atLeast" w:before="4"/>
              <w:ind w:left="1000" w:right="108" w:hanging="893"/>
              <w:rPr>
                <w:sz w:val="20"/>
              </w:rPr>
            </w:pPr>
            <w:r>
              <w:rPr>
                <w:sz w:val="20"/>
              </w:rPr>
              <w:t>Trimmed Size (mm) </w:t>
            </w:r>
            <w:r>
              <w:rPr>
                <w:spacing w:val="-4"/>
                <w:sz w:val="20"/>
              </w:rPr>
              <w:t>(3)</w:t>
            </w:r>
          </w:p>
        </w:tc>
      </w:tr>
      <w:tr>
        <w:trPr>
          <w:trHeight w:val="1689" w:hRule="atLeast"/>
        </w:trPr>
        <w:tc>
          <w:tcPr>
            <w:tcW w:w="1400" w:type="dxa"/>
          </w:tcPr>
          <w:p>
            <w:pPr>
              <w:pStyle w:val="TableParagraph"/>
              <w:spacing w:before="77"/>
              <w:rPr>
                <w:b/>
                <w:sz w:val="20"/>
              </w:rPr>
            </w:pPr>
          </w:p>
          <w:p>
            <w:pPr>
              <w:pStyle w:val="TableParagraph"/>
              <w:spacing w:before="1"/>
              <w:ind w:left="6"/>
              <w:jc w:val="center"/>
              <w:rPr>
                <w:sz w:val="20"/>
              </w:rPr>
            </w:pPr>
            <w:r>
              <w:rPr>
                <w:spacing w:val="-10"/>
                <w:sz w:val="20"/>
              </w:rPr>
              <w:t>1</w:t>
            </w:r>
          </w:p>
          <w:p>
            <w:pPr>
              <w:pStyle w:val="TableParagraph"/>
              <w:spacing w:before="41"/>
              <w:ind w:left="6"/>
              <w:jc w:val="center"/>
              <w:rPr>
                <w:sz w:val="20"/>
              </w:rPr>
            </w:pPr>
            <w:r>
              <w:rPr>
                <w:spacing w:val="-10"/>
                <w:sz w:val="20"/>
              </w:rPr>
              <w:t>2</w:t>
            </w:r>
          </w:p>
          <w:p>
            <w:pPr>
              <w:pStyle w:val="TableParagraph"/>
              <w:spacing w:before="39"/>
              <w:ind w:left="6"/>
              <w:jc w:val="center"/>
              <w:rPr>
                <w:sz w:val="20"/>
              </w:rPr>
            </w:pPr>
            <w:r>
              <w:rPr>
                <w:spacing w:val="-10"/>
                <w:sz w:val="20"/>
              </w:rPr>
              <w:t>3</w:t>
            </w:r>
          </w:p>
          <w:p>
            <w:pPr>
              <w:pStyle w:val="TableParagraph"/>
              <w:spacing w:before="41"/>
              <w:ind w:left="6"/>
              <w:jc w:val="center"/>
              <w:rPr>
                <w:sz w:val="20"/>
              </w:rPr>
            </w:pPr>
            <w:r>
              <w:rPr>
                <w:spacing w:val="-10"/>
                <w:sz w:val="20"/>
              </w:rPr>
              <w:t>4</w:t>
            </w:r>
          </w:p>
          <w:p>
            <w:pPr>
              <w:pStyle w:val="TableParagraph"/>
              <w:spacing w:before="39"/>
              <w:ind w:left="6"/>
              <w:jc w:val="center"/>
              <w:rPr>
                <w:sz w:val="20"/>
              </w:rPr>
            </w:pPr>
            <w:r>
              <w:rPr>
                <w:spacing w:val="-10"/>
                <w:sz w:val="20"/>
              </w:rPr>
              <w:t>5</w:t>
            </w:r>
          </w:p>
        </w:tc>
        <w:tc>
          <w:tcPr>
            <w:tcW w:w="1491" w:type="dxa"/>
          </w:tcPr>
          <w:p>
            <w:pPr>
              <w:pStyle w:val="TableParagraph"/>
              <w:spacing w:before="77"/>
              <w:rPr>
                <w:b/>
                <w:sz w:val="20"/>
              </w:rPr>
            </w:pPr>
          </w:p>
          <w:p>
            <w:pPr>
              <w:pStyle w:val="TableParagraph"/>
              <w:spacing w:line="280" w:lineRule="auto" w:before="1"/>
              <w:ind w:left="604" w:right="588"/>
              <w:jc w:val="both"/>
              <w:rPr>
                <w:sz w:val="20"/>
              </w:rPr>
            </w:pPr>
            <w:r>
              <w:rPr>
                <w:spacing w:val="4"/>
                <w:sz w:val="20"/>
              </w:rPr>
              <w:t>A0 A1 A2 </w:t>
            </w:r>
            <w:r>
              <w:rPr>
                <w:spacing w:val="5"/>
                <w:sz w:val="20"/>
              </w:rPr>
              <w:t>A3</w:t>
            </w:r>
          </w:p>
          <w:p>
            <w:pPr>
              <w:pStyle w:val="TableParagraph"/>
              <w:ind w:left="13"/>
              <w:jc w:val="center"/>
              <w:rPr>
                <w:sz w:val="20"/>
              </w:rPr>
            </w:pPr>
            <w:r>
              <w:rPr>
                <w:spacing w:val="5"/>
                <w:sz w:val="20"/>
              </w:rPr>
              <w:t>A4</w:t>
            </w:r>
          </w:p>
        </w:tc>
        <w:tc>
          <w:tcPr>
            <w:tcW w:w="2279" w:type="dxa"/>
          </w:tcPr>
          <w:p>
            <w:pPr>
              <w:pStyle w:val="TableParagraph"/>
              <w:spacing w:before="77"/>
              <w:rPr>
                <w:b/>
                <w:sz w:val="20"/>
              </w:rPr>
            </w:pPr>
          </w:p>
          <w:p>
            <w:pPr>
              <w:pStyle w:val="TableParagraph"/>
              <w:spacing w:before="1"/>
              <w:ind w:left="623"/>
              <w:rPr>
                <w:sz w:val="20"/>
              </w:rPr>
            </w:pPr>
            <w:r>
              <w:rPr>
                <w:sz w:val="20"/>
              </w:rPr>
              <w:t>841-</w:t>
            </w:r>
            <w:r>
              <w:rPr>
                <w:spacing w:val="-4"/>
                <w:sz w:val="20"/>
              </w:rPr>
              <w:t>1189</w:t>
            </w:r>
          </w:p>
          <w:p>
            <w:pPr>
              <w:pStyle w:val="TableParagraph"/>
              <w:spacing w:before="41"/>
              <w:ind w:left="690"/>
              <w:rPr>
                <w:sz w:val="20"/>
              </w:rPr>
            </w:pPr>
            <w:r>
              <w:rPr>
                <w:sz w:val="20"/>
              </w:rPr>
              <w:t>594-</w:t>
            </w:r>
            <w:r>
              <w:rPr>
                <w:spacing w:val="-5"/>
                <w:sz w:val="20"/>
              </w:rPr>
              <w:t>841</w:t>
            </w:r>
          </w:p>
          <w:p>
            <w:pPr>
              <w:pStyle w:val="TableParagraph"/>
              <w:spacing w:before="39"/>
              <w:ind w:left="690"/>
              <w:rPr>
                <w:sz w:val="20"/>
              </w:rPr>
            </w:pPr>
            <w:r>
              <w:rPr>
                <w:sz w:val="20"/>
              </w:rPr>
              <w:t>420-</w:t>
            </w:r>
            <w:r>
              <w:rPr>
                <w:spacing w:val="-5"/>
                <w:sz w:val="20"/>
              </w:rPr>
              <w:t>594</w:t>
            </w:r>
          </w:p>
          <w:p>
            <w:pPr>
              <w:pStyle w:val="TableParagraph"/>
              <w:spacing w:before="41"/>
              <w:ind w:left="690"/>
              <w:rPr>
                <w:sz w:val="20"/>
              </w:rPr>
            </w:pPr>
            <w:r>
              <w:rPr>
                <w:sz w:val="20"/>
              </w:rPr>
              <w:t>297-</w:t>
            </w:r>
            <w:r>
              <w:rPr>
                <w:spacing w:val="-5"/>
                <w:sz w:val="20"/>
              </w:rPr>
              <w:t>420</w:t>
            </w:r>
          </w:p>
          <w:p>
            <w:pPr>
              <w:pStyle w:val="TableParagraph"/>
              <w:spacing w:before="39"/>
              <w:ind w:left="690"/>
              <w:rPr>
                <w:sz w:val="20"/>
              </w:rPr>
            </w:pPr>
            <w:r>
              <w:rPr>
                <w:sz w:val="20"/>
              </w:rPr>
              <w:t>210-</w:t>
            </w:r>
            <w:r>
              <w:rPr>
                <w:spacing w:val="-5"/>
                <w:sz w:val="20"/>
              </w:rPr>
              <w:t>297</w:t>
            </w:r>
          </w:p>
        </w:tc>
      </w:tr>
    </w:tbl>
    <w:p>
      <w:pPr>
        <w:pStyle w:val="BodyText"/>
        <w:spacing w:before="239"/>
        <w:jc w:val="left"/>
        <w:rPr>
          <w:b/>
        </w:rPr>
      </w:pPr>
    </w:p>
    <w:p>
      <w:pPr>
        <w:pStyle w:val="BodyText"/>
        <w:ind w:left="1224" w:right="799" w:hanging="452"/>
      </w:pPr>
      <w:r>
        <w:rPr/>
        <w:t>If necessary, submission of plans on sheets bigger than A0 size is also </w:t>
      </w:r>
      <w:r>
        <w:rPr>
          <w:spacing w:val="7"/>
        </w:rPr>
        <w:t>permissible.</w:t>
      </w:r>
    </w:p>
    <w:p>
      <w:pPr>
        <w:pStyle w:val="ListParagraph"/>
        <w:numPr>
          <w:ilvl w:val="0"/>
          <w:numId w:val="15"/>
        </w:numPr>
        <w:tabs>
          <w:tab w:pos="1177" w:val="left" w:leader="none"/>
          <w:tab w:pos="1224" w:val="left" w:leader="none"/>
        </w:tabs>
        <w:spacing w:line="240" w:lineRule="auto" w:before="238" w:after="0"/>
        <w:ind w:left="1224" w:right="781" w:hanging="452"/>
        <w:jc w:val="both"/>
        <w:rPr>
          <w:sz w:val="24"/>
        </w:rPr>
      </w:pPr>
      <w:r>
        <w:rPr>
          <w:b/>
          <w:i/>
          <w:sz w:val="24"/>
        </w:rPr>
        <w:t>Colouring</w:t>
      </w:r>
      <w:r>
        <w:rPr>
          <w:b/>
          <w:i/>
          <w:spacing w:val="40"/>
          <w:sz w:val="24"/>
        </w:rPr>
        <w:t> </w:t>
      </w:r>
      <w:r>
        <w:rPr>
          <w:b/>
          <w:i/>
          <w:sz w:val="24"/>
        </w:rPr>
        <w:t>notations</w:t>
      </w:r>
      <w:r>
        <w:rPr>
          <w:b/>
          <w:i/>
          <w:spacing w:val="40"/>
          <w:sz w:val="24"/>
        </w:rPr>
        <w:t> </w:t>
      </w:r>
      <w:r>
        <w:rPr>
          <w:b/>
          <w:i/>
          <w:sz w:val="24"/>
        </w:rPr>
        <w:t>for</w:t>
      </w:r>
      <w:r>
        <w:rPr>
          <w:b/>
          <w:i/>
          <w:spacing w:val="40"/>
          <w:sz w:val="24"/>
        </w:rPr>
        <w:t> </w:t>
      </w:r>
      <w:r>
        <w:rPr>
          <w:b/>
          <w:i/>
          <w:sz w:val="24"/>
        </w:rPr>
        <w:t>plans:</w:t>
      </w:r>
      <w:r>
        <w:rPr>
          <w:b/>
          <w:i/>
          <w:spacing w:val="40"/>
          <w:sz w:val="24"/>
        </w:rPr>
        <w:t> </w:t>
      </w:r>
      <w:r>
        <w:rPr>
          <w:sz w:val="24"/>
        </w:rPr>
        <w:t>The</w:t>
      </w:r>
      <w:r>
        <w:rPr>
          <w:spacing w:val="40"/>
          <w:sz w:val="24"/>
        </w:rPr>
        <w:t> </w:t>
      </w:r>
      <w:r>
        <w:rPr>
          <w:sz w:val="24"/>
        </w:rPr>
        <w:t>plans</w:t>
      </w:r>
      <w:r>
        <w:rPr>
          <w:spacing w:val="40"/>
          <w:sz w:val="24"/>
        </w:rPr>
        <w:t> </w:t>
      </w:r>
      <w:r>
        <w:rPr>
          <w:sz w:val="24"/>
        </w:rPr>
        <w:t>shall</w:t>
      </w:r>
      <w:r>
        <w:rPr>
          <w:spacing w:val="40"/>
          <w:sz w:val="24"/>
        </w:rPr>
        <w:t> </w:t>
      </w:r>
      <w:r>
        <w:rPr>
          <w:sz w:val="24"/>
        </w:rPr>
        <w:t>be</w:t>
      </w:r>
      <w:r>
        <w:rPr>
          <w:spacing w:val="40"/>
          <w:sz w:val="24"/>
        </w:rPr>
        <w:t> </w:t>
      </w:r>
      <w:r>
        <w:rPr>
          <w:sz w:val="24"/>
        </w:rPr>
        <w:t>coloured</w:t>
      </w:r>
      <w:r>
        <w:rPr>
          <w:spacing w:val="40"/>
          <w:sz w:val="24"/>
        </w:rPr>
        <w:t> </w:t>
      </w:r>
      <w:r>
        <w:rPr>
          <w:sz w:val="24"/>
        </w:rPr>
        <w:t>as</w:t>
      </w:r>
      <w:r>
        <w:rPr>
          <w:spacing w:val="40"/>
          <w:sz w:val="24"/>
        </w:rPr>
        <w:t> </w:t>
      </w:r>
      <w:r>
        <w:rPr>
          <w:spacing w:val="9"/>
          <w:sz w:val="24"/>
        </w:rPr>
        <w:t>specified </w:t>
      </w:r>
      <w:r>
        <w:rPr>
          <w:sz w:val="24"/>
        </w:rPr>
        <w:t>in Table 2 hereunder.</w:t>
      </w:r>
      <w:r>
        <w:rPr>
          <w:spacing w:val="80"/>
          <w:sz w:val="24"/>
        </w:rPr>
        <w:t> </w:t>
      </w:r>
      <w:r>
        <w:rPr>
          <w:sz w:val="24"/>
        </w:rPr>
        <w:t>The prints of the plans shall be on one side of the paper </w:t>
      </w:r>
      <w:r>
        <w:rPr>
          <w:spacing w:val="9"/>
          <w:sz w:val="24"/>
        </w:rPr>
        <w:t>only.</w:t>
      </w:r>
    </w:p>
    <w:p>
      <w:pPr>
        <w:pStyle w:val="Heading4"/>
        <w:spacing w:before="242"/>
        <w:ind w:left="772"/>
        <w:jc w:val="left"/>
      </w:pPr>
      <w:r>
        <w:rPr/>
        <w:t>TABLE</w:t>
      </w:r>
      <w:r>
        <w:rPr>
          <w:spacing w:val="55"/>
        </w:rPr>
        <w:t> </w:t>
      </w:r>
      <w:r>
        <w:rPr>
          <w:spacing w:val="-10"/>
        </w:rPr>
        <w:t>2</w:t>
      </w:r>
    </w:p>
    <w:p>
      <w:pPr>
        <w:pStyle w:val="Heading5"/>
        <w:spacing w:before="242"/>
        <w:ind w:left="3653"/>
      </w:pPr>
      <w:r>
        <w:rPr/>
        <w:t>Colouring</w:t>
      </w:r>
      <w:r>
        <w:rPr>
          <w:spacing w:val="60"/>
        </w:rPr>
        <w:t> </w:t>
      </w:r>
      <w:r>
        <w:rPr/>
        <w:t>of</w:t>
      </w:r>
      <w:r>
        <w:rPr>
          <w:spacing w:val="61"/>
        </w:rPr>
        <w:t> </w:t>
      </w:r>
      <w:r>
        <w:rPr>
          <w:spacing w:val="-4"/>
        </w:rPr>
        <w:t>Plans</w:t>
      </w:r>
    </w:p>
    <w:p>
      <w:pPr>
        <w:pStyle w:val="BodyText"/>
        <w:spacing w:before="4" w:after="1"/>
        <w:jc w:val="left"/>
        <w:rPr>
          <w:b/>
          <w:sz w:val="20"/>
        </w:rPr>
      </w:pPr>
    </w:p>
    <w:tbl>
      <w:tblPr>
        <w:tblW w:w="0" w:type="auto"/>
        <w:jc w:val="left"/>
        <w:tblInd w:w="7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36"/>
        <w:gridCol w:w="3018"/>
        <w:gridCol w:w="4454"/>
        <w:gridCol w:w="1376"/>
      </w:tblGrid>
      <w:tr>
        <w:trPr>
          <w:trHeight w:val="1132" w:hRule="atLeast"/>
        </w:trPr>
        <w:tc>
          <w:tcPr>
            <w:tcW w:w="836" w:type="dxa"/>
          </w:tcPr>
          <w:p>
            <w:pPr>
              <w:pStyle w:val="TableParagraph"/>
              <w:spacing w:before="95"/>
              <w:ind w:left="228"/>
              <w:rPr>
                <w:b/>
                <w:sz w:val="24"/>
              </w:rPr>
            </w:pPr>
            <w:r>
              <w:rPr>
                <w:b/>
                <w:spacing w:val="-5"/>
                <w:sz w:val="24"/>
              </w:rPr>
              <w:t>Sr.</w:t>
            </w:r>
          </w:p>
          <w:p>
            <w:pPr>
              <w:pStyle w:val="TableParagraph"/>
              <w:spacing w:before="1"/>
              <w:ind w:left="199"/>
              <w:rPr>
                <w:b/>
                <w:sz w:val="24"/>
              </w:rPr>
            </w:pPr>
            <w:r>
              <w:rPr>
                <w:b/>
                <w:spacing w:val="-5"/>
                <w:sz w:val="24"/>
              </w:rPr>
              <w:t>No.</w:t>
            </w:r>
          </w:p>
          <w:p>
            <w:pPr>
              <w:pStyle w:val="TableParagraph"/>
              <w:spacing w:before="96"/>
              <w:ind w:left="247"/>
              <w:rPr>
                <w:b/>
                <w:sz w:val="24"/>
              </w:rPr>
            </w:pPr>
            <w:r>
              <w:rPr>
                <w:b/>
                <w:spacing w:val="-5"/>
                <w:sz w:val="24"/>
              </w:rPr>
              <w:t>(1)</w:t>
            </w:r>
          </w:p>
        </w:tc>
        <w:tc>
          <w:tcPr>
            <w:tcW w:w="3018" w:type="dxa"/>
          </w:tcPr>
          <w:p>
            <w:pPr>
              <w:pStyle w:val="TableParagraph"/>
              <w:spacing w:line="324" w:lineRule="auto" w:before="95"/>
              <w:ind w:left="1092" w:right="1080"/>
              <w:jc w:val="center"/>
              <w:rPr>
                <w:b/>
                <w:sz w:val="24"/>
              </w:rPr>
            </w:pPr>
            <w:r>
              <w:rPr>
                <w:b/>
                <w:spacing w:val="-4"/>
                <w:sz w:val="24"/>
              </w:rPr>
              <w:t>Item (2)</w:t>
            </w:r>
          </w:p>
        </w:tc>
        <w:tc>
          <w:tcPr>
            <w:tcW w:w="4454" w:type="dxa"/>
            <w:tcBorders>
              <w:right w:val="single" w:sz="4" w:space="0" w:color="000000"/>
            </w:tcBorders>
          </w:tcPr>
          <w:p>
            <w:pPr>
              <w:pStyle w:val="TableParagraph"/>
              <w:spacing w:line="324" w:lineRule="auto" w:before="95"/>
              <w:ind w:left="1529" w:right="1533"/>
              <w:jc w:val="center"/>
              <w:rPr>
                <w:b/>
                <w:sz w:val="24"/>
              </w:rPr>
            </w:pPr>
            <w:r>
              <w:rPr>
                <w:b/>
                <w:sz w:val="24"/>
              </w:rPr>
              <w:t>Site </w:t>
            </w:r>
            <w:r>
              <w:rPr>
                <w:b/>
                <w:sz w:val="24"/>
              </w:rPr>
              <w:t>Plan </w:t>
            </w:r>
            <w:r>
              <w:rPr>
                <w:b/>
                <w:spacing w:val="-4"/>
                <w:sz w:val="24"/>
              </w:rPr>
              <w:t>(3)</w:t>
            </w:r>
          </w:p>
        </w:tc>
        <w:tc>
          <w:tcPr>
            <w:tcW w:w="1376" w:type="dxa"/>
            <w:tcBorders>
              <w:left w:val="single" w:sz="4" w:space="0" w:color="000000"/>
              <w:bottom w:val="single" w:sz="4" w:space="0" w:color="000000"/>
              <w:right w:val="single" w:sz="4" w:space="0" w:color="000000"/>
            </w:tcBorders>
          </w:tcPr>
          <w:p>
            <w:pPr>
              <w:pStyle w:val="TableParagraph"/>
              <w:spacing w:before="95"/>
              <w:ind w:left="9"/>
              <w:jc w:val="center"/>
              <w:rPr>
                <w:b/>
                <w:sz w:val="24"/>
              </w:rPr>
            </w:pPr>
            <w:r>
              <w:rPr>
                <w:b/>
                <w:spacing w:val="-2"/>
                <w:sz w:val="24"/>
              </w:rPr>
              <w:t>Building </w:t>
            </w:r>
            <w:r>
              <w:rPr>
                <w:b/>
                <w:spacing w:val="-4"/>
                <w:sz w:val="24"/>
              </w:rPr>
              <w:t>Plan</w:t>
            </w:r>
          </w:p>
          <w:p>
            <w:pPr>
              <w:pStyle w:val="TableParagraph"/>
              <w:spacing w:before="97"/>
              <w:ind w:left="9" w:right="2"/>
              <w:jc w:val="center"/>
              <w:rPr>
                <w:b/>
                <w:sz w:val="24"/>
              </w:rPr>
            </w:pPr>
            <w:r>
              <w:rPr>
                <w:b/>
                <w:spacing w:val="-5"/>
                <w:sz w:val="24"/>
              </w:rPr>
              <w:t>(4)</w:t>
            </w:r>
          </w:p>
        </w:tc>
      </w:tr>
      <w:tr>
        <w:trPr>
          <w:trHeight w:val="755" w:hRule="atLeast"/>
        </w:trPr>
        <w:tc>
          <w:tcPr>
            <w:tcW w:w="836" w:type="dxa"/>
          </w:tcPr>
          <w:p>
            <w:pPr>
              <w:pStyle w:val="TableParagraph"/>
              <w:spacing w:before="97"/>
              <w:ind w:left="14"/>
              <w:jc w:val="center"/>
              <w:rPr>
                <w:sz w:val="24"/>
              </w:rPr>
            </w:pPr>
            <w:r>
              <w:rPr>
                <w:spacing w:val="-5"/>
                <w:sz w:val="24"/>
              </w:rPr>
              <w:t>1.</w:t>
            </w:r>
          </w:p>
        </w:tc>
        <w:tc>
          <w:tcPr>
            <w:tcW w:w="3018" w:type="dxa"/>
          </w:tcPr>
          <w:p>
            <w:pPr>
              <w:pStyle w:val="TableParagraph"/>
              <w:spacing w:before="97"/>
              <w:ind w:left="107"/>
              <w:rPr>
                <w:sz w:val="24"/>
              </w:rPr>
            </w:pPr>
            <w:r>
              <w:rPr>
                <w:sz w:val="24"/>
              </w:rPr>
              <w:t>Plot</w:t>
            </w:r>
            <w:r>
              <w:rPr>
                <w:spacing w:val="46"/>
                <w:sz w:val="24"/>
              </w:rPr>
              <w:t> </w:t>
            </w:r>
            <w:r>
              <w:rPr>
                <w:spacing w:val="7"/>
                <w:sz w:val="24"/>
              </w:rPr>
              <w:t>Lines</w:t>
            </w:r>
          </w:p>
        </w:tc>
        <w:tc>
          <w:tcPr>
            <w:tcW w:w="4454" w:type="dxa"/>
            <w:tcBorders>
              <w:right w:val="single" w:sz="4" w:space="0" w:color="000000"/>
            </w:tcBorders>
          </w:tcPr>
          <w:p>
            <w:pPr>
              <w:pStyle w:val="TableParagraph"/>
              <w:spacing w:line="281" w:lineRule="exact" w:before="97"/>
              <w:ind w:left="711"/>
              <w:rPr>
                <w:sz w:val="24"/>
              </w:rPr>
            </w:pPr>
            <w:r>
              <w:rPr>
                <w:sz w:val="24"/>
              </w:rPr>
              <w:t>-</w:t>
            </w:r>
            <w:r>
              <w:rPr>
                <w:spacing w:val="11"/>
                <w:sz w:val="24"/>
              </w:rPr>
              <w:t>-</w:t>
            </w:r>
            <w:r>
              <w:rPr>
                <w:sz w:val="24"/>
              </w:rPr>
              <w:t>-----</w:t>
            </w:r>
            <w:r>
              <w:rPr>
                <w:spacing w:val="11"/>
                <w:sz w:val="24"/>
              </w:rPr>
              <w:t>--</w:t>
            </w:r>
            <w:r>
              <w:rPr>
                <w:sz w:val="24"/>
              </w:rPr>
              <w:t>--</w:t>
            </w:r>
            <w:r>
              <w:rPr>
                <w:spacing w:val="57"/>
                <w:w w:val="150"/>
                <w:sz w:val="24"/>
              </w:rPr>
              <w:t> </w:t>
            </w:r>
            <w:r>
              <w:rPr>
                <w:sz w:val="24"/>
              </w:rPr>
              <w:t>Thick</w:t>
            </w:r>
            <w:r>
              <w:rPr>
                <w:spacing w:val="52"/>
                <w:w w:val="150"/>
                <w:sz w:val="24"/>
              </w:rPr>
              <w:t> </w:t>
            </w:r>
            <w:r>
              <w:rPr>
                <w:spacing w:val="9"/>
                <w:sz w:val="24"/>
              </w:rPr>
              <w:t>Black-</w:t>
            </w:r>
            <w:r>
              <w:rPr>
                <w:spacing w:val="11"/>
                <w:sz w:val="24"/>
              </w:rPr>
              <w:t>-</w:t>
            </w:r>
            <w:r>
              <w:rPr>
                <w:sz w:val="24"/>
              </w:rPr>
              <w:t>-----</w:t>
            </w:r>
            <w:r>
              <w:rPr>
                <w:spacing w:val="-10"/>
                <w:sz w:val="24"/>
              </w:rPr>
              <w:t>-</w:t>
            </w:r>
          </w:p>
          <w:p>
            <w:pPr>
              <w:pStyle w:val="TableParagraph"/>
              <w:spacing w:line="281" w:lineRule="exact"/>
              <w:ind w:left="106"/>
              <w:rPr>
                <w:sz w:val="24"/>
              </w:rPr>
            </w:pPr>
            <w:r>
              <w:rPr>
                <w:sz w:val="24"/>
              </w:rPr>
              <w:t>--</w:t>
            </w:r>
            <w:r>
              <w:rPr>
                <w:spacing w:val="-10"/>
                <w:sz w:val="24"/>
              </w:rPr>
              <w:t>-</w:t>
            </w:r>
          </w:p>
        </w:tc>
        <w:tc>
          <w:tcPr>
            <w:tcW w:w="1376" w:type="dxa"/>
            <w:tcBorders>
              <w:top w:val="single" w:sz="4" w:space="0" w:color="000000"/>
              <w:left w:val="single" w:sz="4" w:space="0" w:color="000000"/>
              <w:right w:val="nil"/>
            </w:tcBorders>
          </w:tcPr>
          <w:p>
            <w:pPr>
              <w:pStyle w:val="TableParagraph"/>
              <w:rPr>
                <w:rFonts w:ascii="Times New Roman"/>
                <w:sz w:val="22"/>
              </w:rPr>
            </w:pPr>
          </w:p>
        </w:tc>
      </w:tr>
      <w:tr>
        <w:trPr>
          <w:trHeight w:val="755" w:hRule="atLeast"/>
        </w:trPr>
        <w:tc>
          <w:tcPr>
            <w:tcW w:w="836" w:type="dxa"/>
          </w:tcPr>
          <w:p>
            <w:pPr>
              <w:pStyle w:val="TableParagraph"/>
              <w:spacing w:before="97"/>
              <w:ind w:left="14"/>
              <w:jc w:val="center"/>
              <w:rPr>
                <w:sz w:val="24"/>
              </w:rPr>
            </w:pPr>
            <w:r>
              <w:rPr>
                <w:spacing w:val="-5"/>
                <w:sz w:val="24"/>
              </w:rPr>
              <w:t>2.</w:t>
            </w:r>
          </w:p>
        </w:tc>
        <w:tc>
          <w:tcPr>
            <w:tcW w:w="3018" w:type="dxa"/>
          </w:tcPr>
          <w:p>
            <w:pPr>
              <w:pStyle w:val="TableParagraph"/>
              <w:spacing w:before="97"/>
              <w:ind w:left="107"/>
              <w:rPr>
                <w:sz w:val="24"/>
              </w:rPr>
            </w:pPr>
            <w:r>
              <w:rPr>
                <w:sz w:val="24"/>
              </w:rPr>
              <w:t>Existing</w:t>
            </w:r>
            <w:r>
              <w:rPr>
                <w:spacing w:val="45"/>
                <w:w w:val="150"/>
                <w:sz w:val="24"/>
              </w:rPr>
              <w:t> </w:t>
            </w:r>
            <w:r>
              <w:rPr>
                <w:spacing w:val="-2"/>
                <w:sz w:val="24"/>
              </w:rPr>
              <w:t>Street</w:t>
            </w:r>
          </w:p>
        </w:tc>
        <w:tc>
          <w:tcPr>
            <w:tcW w:w="4454" w:type="dxa"/>
          </w:tcPr>
          <w:p>
            <w:pPr>
              <w:pStyle w:val="TableParagraph"/>
              <w:spacing w:before="97"/>
              <w:ind w:left="106"/>
              <w:rPr>
                <w:sz w:val="24"/>
              </w:rPr>
            </w:pPr>
            <w:r>
              <w:rPr>
                <w:spacing w:val="-2"/>
                <w:sz w:val="24"/>
              </w:rPr>
              <w:t>Green</w:t>
            </w:r>
          </w:p>
        </w:tc>
        <w:tc>
          <w:tcPr>
            <w:tcW w:w="1376" w:type="dxa"/>
            <w:tcBorders>
              <w:right w:val="single" w:sz="4" w:space="0" w:color="000000"/>
            </w:tcBorders>
          </w:tcPr>
          <w:p>
            <w:pPr>
              <w:pStyle w:val="TableParagraph"/>
              <w:spacing w:before="97"/>
              <w:ind w:left="105"/>
              <w:rPr>
                <w:sz w:val="24"/>
              </w:rPr>
            </w:pPr>
            <w:r>
              <w:rPr>
                <w:sz w:val="24"/>
              </w:rPr>
              <mc:AlternateContent>
                <mc:Choice Requires="wps">
                  <w:drawing>
                    <wp:anchor distT="0" distB="0" distL="0" distR="0" allowOverlap="1" layoutInCell="1" locked="0" behindDoc="1" simplePos="0" relativeHeight="471342080">
                      <wp:simplePos x="0" y="0"/>
                      <wp:positionH relativeFrom="column">
                        <wp:posOffset>68580</wp:posOffset>
                      </wp:positionH>
                      <wp:positionV relativeFrom="paragraph">
                        <wp:posOffset>341229</wp:posOffset>
                      </wp:positionV>
                      <wp:extent cx="402590" cy="952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402590" cy="9525"/>
                                <a:chExt cx="402590" cy="9525"/>
                              </a:xfrm>
                            </wpg:grpSpPr>
                            <wps:wsp>
                              <wps:cNvPr id="57" name="Graphic 57"/>
                              <wps:cNvSpPr/>
                              <wps:spPr>
                                <a:xfrm>
                                  <a:off x="0" y="4572"/>
                                  <a:ext cx="402590" cy="1270"/>
                                </a:xfrm>
                                <a:custGeom>
                                  <a:avLst/>
                                  <a:gdLst/>
                                  <a:ahLst/>
                                  <a:cxnLst/>
                                  <a:rect l="l" t="t" r="r" b="b"/>
                                  <a:pathLst>
                                    <a:path w="402590" h="0">
                                      <a:moveTo>
                                        <a:pt x="0" y="0"/>
                                      </a:moveTo>
                                      <a:lnTo>
                                        <a:pt x="402336" y="0"/>
                                      </a:lnTo>
                                    </a:path>
                                  </a:pathLst>
                                </a:custGeom>
                                <a:ln w="9144">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5.4pt;margin-top:26.868431pt;width:31.7pt;height:.75pt;mso-position-horizontal-relative:column;mso-position-vertical-relative:paragraph;z-index:-31974400" id="docshapegroup50" coordorigin="108,537" coordsize="634,15">
                      <v:line style="position:absolute" from="108,545" to="742,545" stroked="true" strokeweight=".72pt" strokecolor="#000000">
                        <v:stroke dashstyle="dash"/>
                      </v:line>
                      <w10:wrap type="none"/>
                    </v:group>
                  </w:pict>
                </mc:Fallback>
              </mc:AlternateContent>
            </w:r>
            <w:r>
              <w:rPr>
                <w:sz w:val="24"/>
              </w:rPr>
              <w:t>--------</w:t>
            </w:r>
            <w:r>
              <w:rPr>
                <w:spacing w:val="11"/>
                <w:sz w:val="24"/>
              </w:rPr>
              <w:t>-</w:t>
            </w:r>
            <w:r>
              <w:rPr>
                <w:spacing w:val="-10"/>
                <w:sz w:val="24"/>
              </w:rPr>
              <w:t>-</w:t>
            </w:r>
          </w:p>
        </w:tc>
      </w:tr>
      <w:tr>
        <w:trPr>
          <w:trHeight w:val="755" w:hRule="atLeast"/>
        </w:trPr>
        <w:tc>
          <w:tcPr>
            <w:tcW w:w="836" w:type="dxa"/>
          </w:tcPr>
          <w:p>
            <w:pPr>
              <w:pStyle w:val="TableParagraph"/>
              <w:spacing w:before="97"/>
              <w:ind w:left="14"/>
              <w:jc w:val="center"/>
              <w:rPr>
                <w:sz w:val="24"/>
              </w:rPr>
            </w:pPr>
            <w:r>
              <w:rPr>
                <w:spacing w:val="-5"/>
                <w:sz w:val="24"/>
              </w:rPr>
              <w:t>3.</w:t>
            </w:r>
          </w:p>
        </w:tc>
        <w:tc>
          <w:tcPr>
            <w:tcW w:w="3018" w:type="dxa"/>
          </w:tcPr>
          <w:p>
            <w:pPr>
              <w:pStyle w:val="TableParagraph"/>
              <w:spacing w:before="97"/>
              <w:ind w:left="107"/>
              <w:rPr>
                <w:sz w:val="24"/>
              </w:rPr>
            </w:pPr>
            <w:r>
              <w:rPr>
                <w:sz w:val="24"/>
              </w:rPr>
              <w:t>Future</w:t>
            </w:r>
            <w:r>
              <w:rPr>
                <w:spacing w:val="64"/>
                <w:sz w:val="24"/>
              </w:rPr>
              <w:t> </w:t>
            </w:r>
            <w:r>
              <w:rPr>
                <w:spacing w:val="7"/>
                <w:sz w:val="24"/>
              </w:rPr>
              <w:t>Street</w:t>
            </w:r>
          </w:p>
        </w:tc>
        <w:tc>
          <w:tcPr>
            <w:tcW w:w="4454" w:type="dxa"/>
          </w:tcPr>
          <w:p>
            <w:pPr>
              <w:pStyle w:val="TableParagraph"/>
              <w:spacing w:before="97"/>
              <w:ind w:left="106"/>
              <w:rPr>
                <w:sz w:val="24"/>
              </w:rPr>
            </w:pPr>
            <w:r>
              <w:rPr>
                <w:sz w:val="24"/>
              </w:rPr>
              <w:t>Green</w:t>
            </w:r>
            <w:r>
              <w:rPr>
                <w:spacing w:val="55"/>
                <w:sz w:val="24"/>
              </w:rPr>
              <w:t> </w:t>
            </w:r>
            <w:r>
              <w:rPr>
                <w:spacing w:val="7"/>
                <w:sz w:val="24"/>
              </w:rPr>
              <w:t>Dotted</w:t>
            </w:r>
          </w:p>
        </w:tc>
        <w:tc>
          <w:tcPr>
            <w:tcW w:w="1376" w:type="dxa"/>
            <w:tcBorders>
              <w:right w:val="single" w:sz="4" w:space="0" w:color="000000"/>
            </w:tcBorders>
          </w:tcPr>
          <w:p>
            <w:pPr>
              <w:pStyle w:val="TableParagraph"/>
              <w:spacing w:before="97"/>
              <w:ind w:left="105"/>
              <w:rPr>
                <w:sz w:val="24"/>
              </w:rPr>
            </w:pPr>
            <w:r>
              <w:rPr>
                <w:sz w:val="24"/>
              </w:rPr>
              <mc:AlternateContent>
                <mc:Choice Requires="wps">
                  <w:drawing>
                    <wp:anchor distT="0" distB="0" distL="0" distR="0" allowOverlap="1" layoutInCell="1" locked="0" behindDoc="1" simplePos="0" relativeHeight="471342592">
                      <wp:simplePos x="0" y="0"/>
                      <wp:positionH relativeFrom="column">
                        <wp:posOffset>68580</wp:posOffset>
                      </wp:positionH>
                      <wp:positionV relativeFrom="paragraph">
                        <wp:posOffset>341229</wp:posOffset>
                      </wp:positionV>
                      <wp:extent cx="402590" cy="952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402590" cy="9525"/>
                                <a:chExt cx="402590" cy="9525"/>
                              </a:xfrm>
                            </wpg:grpSpPr>
                            <wps:wsp>
                              <wps:cNvPr id="59" name="Graphic 59"/>
                              <wps:cNvSpPr/>
                              <wps:spPr>
                                <a:xfrm>
                                  <a:off x="0" y="4572"/>
                                  <a:ext cx="402590" cy="1270"/>
                                </a:xfrm>
                                <a:custGeom>
                                  <a:avLst/>
                                  <a:gdLst/>
                                  <a:ahLst/>
                                  <a:cxnLst/>
                                  <a:rect l="l" t="t" r="r" b="b"/>
                                  <a:pathLst>
                                    <a:path w="402590" h="0">
                                      <a:moveTo>
                                        <a:pt x="0" y="0"/>
                                      </a:moveTo>
                                      <a:lnTo>
                                        <a:pt x="402336" y="0"/>
                                      </a:lnTo>
                                    </a:path>
                                  </a:pathLst>
                                </a:custGeom>
                                <a:ln w="9144">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5.4pt;margin-top:26.868462pt;width:31.7pt;height:.75pt;mso-position-horizontal-relative:column;mso-position-vertical-relative:paragraph;z-index:-31973888" id="docshapegroup51" coordorigin="108,537" coordsize="634,15">
                      <v:line style="position:absolute" from="108,545" to="742,545" stroked="true" strokeweight=".72pt" strokecolor="#000000">
                        <v:stroke dashstyle="dash"/>
                      </v:line>
                      <w10:wrap type="none"/>
                    </v:group>
                  </w:pict>
                </mc:Fallback>
              </mc:AlternateContent>
            </w:r>
            <w:r>
              <w:rPr>
                <w:sz w:val="24"/>
              </w:rPr>
              <w:t>--------</w:t>
            </w:r>
            <w:r>
              <w:rPr>
                <w:spacing w:val="11"/>
                <w:sz w:val="24"/>
              </w:rPr>
              <w:t>-</w:t>
            </w:r>
            <w:r>
              <w:rPr>
                <w:spacing w:val="-10"/>
                <w:sz w:val="24"/>
              </w:rPr>
              <w:t>-</w:t>
            </w:r>
          </w:p>
        </w:tc>
      </w:tr>
      <w:tr>
        <w:trPr>
          <w:trHeight w:val="851" w:hRule="atLeast"/>
        </w:trPr>
        <w:tc>
          <w:tcPr>
            <w:tcW w:w="836" w:type="dxa"/>
          </w:tcPr>
          <w:p>
            <w:pPr>
              <w:pStyle w:val="TableParagraph"/>
              <w:spacing w:before="97"/>
              <w:ind w:left="14"/>
              <w:jc w:val="center"/>
              <w:rPr>
                <w:sz w:val="24"/>
              </w:rPr>
            </w:pPr>
            <w:r>
              <w:rPr>
                <w:spacing w:val="-5"/>
                <w:sz w:val="24"/>
              </w:rPr>
              <w:t>4.</w:t>
            </w:r>
          </w:p>
        </w:tc>
        <w:tc>
          <w:tcPr>
            <w:tcW w:w="3018" w:type="dxa"/>
          </w:tcPr>
          <w:p>
            <w:pPr>
              <w:pStyle w:val="TableParagraph"/>
              <w:spacing w:before="97"/>
              <w:ind w:left="107"/>
              <w:rPr>
                <w:sz w:val="24"/>
              </w:rPr>
            </w:pPr>
            <w:r>
              <w:rPr>
                <w:sz w:val="24"/>
              </w:rPr>
              <w:t>Permissible</w:t>
            </w:r>
            <w:r>
              <w:rPr>
                <w:spacing w:val="72"/>
                <w:w w:val="150"/>
                <w:sz w:val="24"/>
              </w:rPr>
              <w:t> </w:t>
            </w:r>
            <w:r>
              <w:rPr>
                <w:spacing w:val="7"/>
                <w:sz w:val="24"/>
              </w:rPr>
              <w:t>Building</w:t>
            </w:r>
          </w:p>
        </w:tc>
        <w:tc>
          <w:tcPr>
            <w:tcW w:w="4454" w:type="dxa"/>
          </w:tcPr>
          <w:p>
            <w:pPr>
              <w:pStyle w:val="TableParagraph"/>
              <w:spacing w:line="370" w:lineRule="atLeast" w:before="9"/>
              <w:ind w:left="106" w:right="2188"/>
              <w:rPr>
                <w:sz w:val="24"/>
              </w:rPr>
            </w:pPr>
            <w:r>
              <w:rPr>
                <w:sz w:val="24"/>
              </w:rPr>
              <w:t>Thick </w:t>
            </w:r>
            <w:r>
              <w:rPr>
                <w:sz w:val="24"/>
              </w:rPr>
              <w:t>Dotted </w:t>
            </w:r>
            <w:r>
              <w:rPr>
                <w:spacing w:val="-2"/>
                <w:sz w:val="24"/>
              </w:rPr>
              <w:t>Black</w:t>
            </w:r>
          </w:p>
        </w:tc>
        <w:tc>
          <w:tcPr>
            <w:tcW w:w="1376" w:type="dxa"/>
            <w:tcBorders>
              <w:right w:val="single" w:sz="4" w:space="0" w:color="000000"/>
            </w:tcBorders>
          </w:tcPr>
          <w:p>
            <w:pPr>
              <w:pStyle w:val="TableParagraph"/>
              <w:spacing w:line="281" w:lineRule="exact" w:before="97"/>
              <w:ind w:left="105"/>
              <w:rPr>
                <w:sz w:val="24"/>
              </w:rPr>
            </w:pPr>
            <w:r>
              <w:rPr>
                <w:sz w:val="24"/>
              </w:rPr>
              <w:t>--------</w:t>
            </w:r>
            <w:r>
              <w:rPr>
                <w:spacing w:val="11"/>
                <w:sz w:val="24"/>
              </w:rPr>
              <w:t>-</w:t>
            </w:r>
            <w:r>
              <w:rPr>
                <w:spacing w:val="-10"/>
                <w:sz w:val="24"/>
              </w:rPr>
              <w:t>-</w:t>
            </w:r>
          </w:p>
          <w:p>
            <w:pPr>
              <w:pStyle w:val="TableParagraph"/>
              <w:spacing w:line="281" w:lineRule="exact"/>
              <w:ind w:left="105"/>
              <w:rPr>
                <w:sz w:val="24"/>
              </w:rPr>
            </w:pPr>
            <w:r>
              <w:rPr>
                <w:sz w:val="24"/>
              </w:rPr>
              <w:t>-----</w:t>
            </w:r>
            <w:r>
              <w:rPr>
                <w:spacing w:val="-10"/>
                <w:sz w:val="24"/>
              </w:rPr>
              <w:t>-</w:t>
            </w:r>
          </w:p>
        </w:tc>
      </w:tr>
      <w:tr>
        <w:trPr>
          <w:trHeight w:val="756" w:hRule="atLeast"/>
        </w:trPr>
        <w:tc>
          <w:tcPr>
            <w:tcW w:w="836" w:type="dxa"/>
          </w:tcPr>
          <w:p>
            <w:pPr>
              <w:pStyle w:val="TableParagraph"/>
              <w:spacing w:before="98"/>
              <w:ind w:left="14"/>
              <w:jc w:val="center"/>
              <w:rPr>
                <w:sz w:val="24"/>
              </w:rPr>
            </w:pPr>
            <w:r>
              <w:rPr>
                <w:spacing w:val="-5"/>
                <w:sz w:val="24"/>
              </w:rPr>
              <w:t>5.</w:t>
            </w:r>
          </w:p>
        </w:tc>
        <w:tc>
          <w:tcPr>
            <w:tcW w:w="3018" w:type="dxa"/>
          </w:tcPr>
          <w:p>
            <w:pPr>
              <w:pStyle w:val="TableParagraph"/>
              <w:spacing w:before="98"/>
              <w:ind w:left="107"/>
              <w:rPr>
                <w:sz w:val="24"/>
              </w:rPr>
            </w:pPr>
            <w:r>
              <w:rPr>
                <w:sz w:val="24"/>
              </w:rPr>
              <w:t>Open</w:t>
            </w:r>
            <w:r>
              <w:rPr>
                <w:spacing w:val="46"/>
                <w:sz w:val="24"/>
              </w:rPr>
              <w:t> </w:t>
            </w:r>
            <w:r>
              <w:rPr>
                <w:spacing w:val="7"/>
                <w:sz w:val="24"/>
              </w:rPr>
              <w:t>Spaces</w:t>
            </w:r>
          </w:p>
        </w:tc>
        <w:tc>
          <w:tcPr>
            <w:tcW w:w="4454" w:type="dxa"/>
            <w:tcBorders>
              <w:right w:val="single" w:sz="4" w:space="0" w:color="000000"/>
            </w:tcBorders>
          </w:tcPr>
          <w:p>
            <w:pPr>
              <w:pStyle w:val="TableParagraph"/>
              <w:spacing w:before="98"/>
              <w:ind w:right="156"/>
              <w:jc w:val="right"/>
              <w:rPr>
                <w:sz w:val="24"/>
              </w:rPr>
            </w:pPr>
            <w:r>
              <w:rPr>
                <w:sz w:val="24"/>
              </w:rPr>
              <mc:AlternateContent>
                <mc:Choice Requires="wps">
                  <w:drawing>
                    <wp:anchor distT="0" distB="0" distL="0" distR="0" allowOverlap="1" layoutInCell="1" locked="0" behindDoc="1" simplePos="0" relativeHeight="471343104">
                      <wp:simplePos x="0" y="0"/>
                      <wp:positionH relativeFrom="column">
                        <wp:posOffset>1211833</wp:posOffset>
                      </wp:positionH>
                      <wp:positionV relativeFrom="paragraph">
                        <wp:posOffset>341864</wp:posOffset>
                      </wp:positionV>
                      <wp:extent cx="402590" cy="952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402590" cy="9525"/>
                                <a:chExt cx="402590" cy="9525"/>
                              </a:xfrm>
                            </wpg:grpSpPr>
                            <wps:wsp>
                              <wps:cNvPr id="61" name="Graphic 61"/>
                              <wps:cNvSpPr/>
                              <wps:spPr>
                                <a:xfrm>
                                  <a:off x="0" y="4572"/>
                                  <a:ext cx="402590" cy="1270"/>
                                </a:xfrm>
                                <a:custGeom>
                                  <a:avLst/>
                                  <a:gdLst/>
                                  <a:ahLst/>
                                  <a:cxnLst/>
                                  <a:rect l="l" t="t" r="r" b="b"/>
                                  <a:pathLst>
                                    <a:path w="402590" h="0">
                                      <a:moveTo>
                                        <a:pt x="0" y="0"/>
                                      </a:moveTo>
                                      <a:lnTo>
                                        <a:pt x="402336" y="0"/>
                                      </a:lnTo>
                                    </a:path>
                                  </a:pathLst>
                                </a:custGeom>
                                <a:ln w="9144">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95.419998pt;margin-top:26.918461pt;width:31.7pt;height:.75pt;mso-position-horizontal-relative:column;mso-position-vertical-relative:paragraph;z-index:-31973376" id="docshapegroup52" coordorigin="1908,538" coordsize="634,15">
                      <v:line style="position:absolute" from="1908,546" to="2542,546" stroked="true" strokeweight=".72pt" strokecolor="#000000">
                        <v:stroke dashstyle="dash"/>
                      </v:line>
                      <w10:wrap type="none"/>
                    </v:group>
                  </w:pict>
                </mc:Fallback>
              </mc:AlternateContent>
            </w:r>
            <w:r>
              <w:rPr>
                <w:sz w:val="24"/>
              </w:rPr>
              <w:t>--------</w:t>
            </w:r>
            <w:r>
              <w:rPr>
                <w:spacing w:val="11"/>
                <w:sz w:val="24"/>
              </w:rPr>
              <w:t>-</w:t>
            </w:r>
            <w:r>
              <w:rPr>
                <w:sz w:val="24"/>
              </w:rPr>
              <w:t>-----</w:t>
            </w:r>
            <w:r>
              <w:rPr>
                <w:spacing w:val="11"/>
                <w:sz w:val="24"/>
              </w:rPr>
              <w:t>-</w:t>
            </w:r>
            <w:r>
              <w:rPr>
                <w:sz w:val="24"/>
              </w:rPr>
              <w:t>--</w:t>
            </w:r>
            <w:r>
              <w:rPr>
                <w:spacing w:val="21"/>
                <w:sz w:val="24"/>
              </w:rPr>
              <w:t>  </w:t>
            </w:r>
            <w:r>
              <w:rPr>
                <w:sz w:val="24"/>
              </w:rPr>
              <w:t>No</w:t>
            </w:r>
            <w:r>
              <w:rPr>
                <w:spacing w:val="22"/>
                <w:sz w:val="24"/>
              </w:rPr>
              <w:t>  </w:t>
            </w:r>
            <w:r>
              <w:rPr>
                <w:spacing w:val="9"/>
                <w:sz w:val="24"/>
              </w:rPr>
              <w:t>Color-</w:t>
            </w:r>
            <w:r>
              <w:rPr>
                <w:sz w:val="24"/>
              </w:rPr>
              <w:t>--</w:t>
            </w:r>
            <w:r>
              <w:rPr>
                <w:spacing w:val="11"/>
                <w:sz w:val="24"/>
              </w:rPr>
              <w:t>-</w:t>
            </w:r>
            <w:r>
              <w:rPr>
                <w:sz w:val="24"/>
              </w:rPr>
              <w:t>-----</w:t>
            </w:r>
            <w:r>
              <w:rPr>
                <w:spacing w:val="11"/>
                <w:sz w:val="24"/>
              </w:rPr>
              <w:t>-</w:t>
            </w:r>
            <w:r>
              <w:rPr>
                <w:spacing w:val="-10"/>
                <w:sz w:val="24"/>
              </w:rPr>
              <w:t>-</w:t>
            </w:r>
          </w:p>
        </w:tc>
        <w:tc>
          <w:tcPr>
            <w:tcW w:w="1376" w:type="dxa"/>
            <w:vMerge w:val="restart"/>
            <w:tcBorders>
              <w:left w:val="single" w:sz="4" w:space="0" w:color="000000"/>
              <w:bottom w:val="nil"/>
              <w:right w:val="nil"/>
            </w:tcBorders>
          </w:tcPr>
          <w:p>
            <w:pPr>
              <w:pStyle w:val="TableParagraph"/>
              <w:rPr>
                <w:rFonts w:ascii="Times New Roman"/>
                <w:sz w:val="22"/>
              </w:rPr>
            </w:pPr>
          </w:p>
        </w:tc>
      </w:tr>
      <w:tr>
        <w:trPr>
          <w:trHeight w:val="755" w:hRule="atLeast"/>
        </w:trPr>
        <w:tc>
          <w:tcPr>
            <w:tcW w:w="836" w:type="dxa"/>
          </w:tcPr>
          <w:p>
            <w:pPr>
              <w:pStyle w:val="TableParagraph"/>
              <w:spacing w:before="97"/>
              <w:ind w:left="14"/>
              <w:jc w:val="center"/>
              <w:rPr>
                <w:sz w:val="24"/>
              </w:rPr>
            </w:pPr>
            <w:r>
              <w:rPr>
                <w:spacing w:val="-5"/>
                <w:sz w:val="24"/>
              </w:rPr>
              <w:t>6.</w:t>
            </w:r>
          </w:p>
        </w:tc>
        <w:tc>
          <w:tcPr>
            <w:tcW w:w="3018" w:type="dxa"/>
          </w:tcPr>
          <w:p>
            <w:pPr>
              <w:pStyle w:val="TableParagraph"/>
              <w:spacing w:before="97"/>
              <w:ind w:left="107"/>
              <w:rPr>
                <w:sz w:val="24"/>
              </w:rPr>
            </w:pPr>
            <w:r>
              <w:rPr>
                <w:sz w:val="24"/>
              </w:rPr>
              <w:t>Work proposed to be </w:t>
            </w:r>
            <w:r>
              <w:rPr>
                <w:spacing w:val="7"/>
                <w:sz w:val="24"/>
              </w:rPr>
              <w:t>demolished</w:t>
            </w:r>
          </w:p>
        </w:tc>
        <w:tc>
          <w:tcPr>
            <w:tcW w:w="4454" w:type="dxa"/>
            <w:tcBorders>
              <w:right w:val="single" w:sz="4" w:space="0" w:color="000000"/>
            </w:tcBorders>
          </w:tcPr>
          <w:p>
            <w:pPr>
              <w:pStyle w:val="TableParagraph"/>
              <w:spacing w:line="281" w:lineRule="exact" w:before="97"/>
              <w:ind w:left="84" w:right="80"/>
              <w:jc w:val="center"/>
              <w:rPr>
                <w:sz w:val="24"/>
              </w:rPr>
            </w:pPr>
            <w:r>
              <w:rPr>
                <w:sz w:val="24"/>
              </w:rPr>
              <w:t>--------</w:t>
            </w:r>
            <w:r>
              <w:rPr>
                <w:spacing w:val="11"/>
                <w:sz w:val="24"/>
              </w:rPr>
              <w:t>-</w:t>
            </w:r>
            <w:r>
              <w:rPr>
                <w:sz w:val="24"/>
              </w:rPr>
              <w:t>-----</w:t>
            </w:r>
            <w:r>
              <w:rPr>
                <w:spacing w:val="11"/>
                <w:sz w:val="24"/>
              </w:rPr>
              <w:t>-</w:t>
            </w:r>
            <w:r>
              <w:rPr>
                <w:sz w:val="24"/>
              </w:rPr>
              <w:t>-</w:t>
            </w:r>
            <w:r>
              <w:rPr>
                <w:spacing w:val="72"/>
                <w:sz w:val="24"/>
              </w:rPr>
              <w:t>  </w:t>
            </w:r>
            <w:r>
              <w:rPr>
                <w:sz w:val="24"/>
              </w:rPr>
              <w:t>Yellow</w:t>
            </w:r>
            <w:r>
              <w:rPr>
                <w:spacing w:val="79"/>
                <w:sz w:val="24"/>
              </w:rPr>
              <w:t> </w:t>
            </w:r>
            <w:r>
              <w:rPr>
                <w:sz w:val="24"/>
              </w:rPr>
              <w:t>hatched</w:t>
            </w:r>
            <w:r>
              <w:rPr>
                <w:spacing w:val="46"/>
                <w:w w:val="150"/>
                <w:sz w:val="24"/>
              </w:rPr>
              <w:t> </w:t>
            </w:r>
            <w:r>
              <w:rPr>
                <w:sz w:val="24"/>
              </w:rPr>
              <w:t>--</w:t>
            </w:r>
            <w:r>
              <w:rPr>
                <w:spacing w:val="-10"/>
                <w:sz w:val="24"/>
              </w:rPr>
              <w:t>-</w:t>
            </w:r>
          </w:p>
          <w:p>
            <w:pPr>
              <w:pStyle w:val="TableParagraph"/>
              <w:spacing w:line="281" w:lineRule="exact"/>
              <w:ind w:left="1539" w:right="1533"/>
              <w:jc w:val="center"/>
              <w:rPr>
                <w:sz w:val="24"/>
              </w:rPr>
            </w:pPr>
            <w:r>
              <w:rPr>
                <w:sz w:val="24"/>
              </w:rPr>
              <w:t>------</w:t>
            </w:r>
            <w:r>
              <w:rPr>
                <w:spacing w:val="-10"/>
                <w:sz w:val="24"/>
              </w:rPr>
              <w:t>-</w:t>
            </w:r>
          </w:p>
        </w:tc>
        <w:tc>
          <w:tcPr>
            <w:tcW w:w="1376" w:type="dxa"/>
            <w:vMerge/>
            <w:tcBorders>
              <w:top w:val="nil"/>
              <w:left w:val="single" w:sz="4" w:space="0" w:color="000000"/>
              <w:bottom w:val="nil"/>
              <w:right w:val="nil"/>
            </w:tcBorders>
          </w:tcPr>
          <w:p>
            <w:pPr>
              <w:rPr>
                <w:sz w:val="2"/>
                <w:szCs w:val="2"/>
              </w:rPr>
            </w:pPr>
          </w:p>
        </w:tc>
      </w:tr>
      <w:tr>
        <w:trPr>
          <w:trHeight w:val="757" w:hRule="atLeast"/>
        </w:trPr>
        <w:tc>
          <w:tcPr>
            <w:tcW w:w="836" w:type="dxa"/>
          </w:tcPr>
          <w:p>
            <w:pPr>
              <w:pStyle w:val="TableParagraph"/>
              <w:spacing w:before="97"/>
              <w:ind w:left="14"/>
              <w:jc w:val="center"/>
              <w:rPr>
                <w:sz w:val="24"/>
              </w:rPr>
            </w:pPr>
            <w:r>
              <w:rPr>
                <w:spacing w:val="-5"/>
                <w:sz w:val="24"/>
              </w:rPr>
              <w:t>7.</w:t>
            </w:r>
          </w:p>
        </w:tc>
        <w:tc>
          <w:tcPr>
            <w:tcW w:w="3018" w:type="dxa"/>
          </w:tcPr>
          <w:p>
            <w:pPr>
              <w:pStyle w:val="TableParagraph"/>
              <w:spacing w:before="97"/>
              <w:ind w:left="107"/>
              <w:rPr>
                <w:sz w:val="24"/>
              </w:rPr>
            </w:pPr>
            <w:r>
              <w:rPr>
                <w:sz w:val="24"/>
              </w:rPr>
              <w:t>Proposed</w:t>
            </w:r>
            <w:r>
              <w:rPr>
                <w:spacing w:val="45"/>
                <w:w w:val="150"/>
                <w:sz w:val="24"/>
              </w:rPr>
              <w:t> </w:t>
            </w:r>
            <w:r>
              <w:rPr>
                <w:spacing w:val="-4"/>
                <w:sz w:val="24"/>
              </w:rPr>
              <w:t>work</w:t>
            </w:r>
          </w:p>
        </w:tc>
        <w:tc>
          <w:tcPr>
            <w:tcW w:w="4454" w:type="dxa"/>
            <w:tcBorders>
              <w:right w:val="single" w:sz="4" w:space="0" w:color="000000"/>
            </w:tcBorders>
          </w:tcPr>
          <w:p>
            <w:pPr>
              <w:pStyle w:val="TableParagraph"/>
              <w:spacing w:before="97"/>
              <w:ind w:right="157"/>
              <w:jc w:val="right"/>
              <w:rPr>
                <w:sz w:val="24"/>
              </w:rPr>
            </w:pPr>
            <w:r>
              <w:rPr>
                <w:sz w:val="24"/>
              </w:rPr>
              <mc:AlternateContent>
                <mc:Choice Requires="wps">
                  <w:drawing>
                    <wp:anchor distT="0" distB="0" distL="0" distR="0" allowOverlap="1" layoutInCell="1" locked="0" behindDoc="1" simplePos="0" relativeHeight="471343616">
                      <wp:simplePos x="0" y="0"/>
                      <wp:positionH relativeFrom="column">
                        <wp:posOffset>1245361</wp:posOffset>
                      </wp:positionH>
                      <wp:positionV relativeFrom="paragraph">
                        <wp:posOffset>341229</wp:posOffset>
                      </wp:positionV>
                      <wp:extent cx="335280" cy="952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335280" cy="9525"/>
                                <a:chExt cx="335280" cy="9525"/>
                              </a:xfrm>
                            </wpg:grpSpPr>
                            <wps:wsp>
                              <wps:cNvPr id="63" name="Graphic 63"/>
                              <wps:cNvSpPr/>
                              <wps:spPr>
                                <a:xfrm>
                                  <a:off x="0" y="4572"/>
                                  <a:ext cx="335280" cy="1270"/>
                                </a:xfrm>
                                <a:custGeom>
                                  <a:avLst/>
                                  <a:gdLst/>
                                  <a:ahLst/>
                                  <a:cxnLst/>
                                  <a:rect l="l" t="t" r="r" b="b"/>
                                  <a:pathLst>
                                    <a:path w="335280" h="0">
                                      <a:moveTo>
                                        <a:pt x="0" y="0"/>
                                      </a:moveTo>
                                      <a:lnTo>
                                        <a:pt x="335280" y="0"/>
                                      </a:lnTo>
                                    </a:path>
                                  </a:pathLst>
                                </a:custGeom>
                                <a:ln w="9144">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98.059998pt;margin-top:26.868454pt;width:26.4pt;height:.75pt;mso-position-horizontal-relative:column;mso-position-vertical-relative:paragraph;z-index:-31972864" id="docshapegroup53" coordorigin="1961,537" coordsize="528,15">
                      <v:line style="position:absolute" from="1961,545" to="2489,545" stroked="true" strokeweight=".72pt" strokecolor="#000000">
                        <v:stroke dashstyle="dash"/>
                      </v:line>
                      <w10:wrap type="none"/>
                    </v:group>
                  </w:pict>
                </mc:Fallback>
              </mc:AlternateContent>
            </w:r>
            <w:r>
              <w:rPr>
                <w:sz w:val="24"/>
              </w:rPr>
              <w:t>--------</w:t>
            </w:r>
            <w:r>
              <w:rPr>
                <w:spacing w:val="11"/>
                <w:sz w:val="24"/>
              </w:rPr>
              <w:t>-</w:t>
            </w:r>
            <w:r>
              <w:rPr>
                <w:sz w:val="24"/>
              </w:rPr>
              <w:t>-----</w:t>
            </w:r>
            <w:r>
              <w:rPr>
                <w:spacing w:val="11"/>
                <w:sz w:val="24"/>
              </w:rPr>
              <w:t>-</w:t>
            </w:r>
            <w:r>
              <w:rPr>
                <w:sz w:val="24"/>
              </w:rPr>
              <w:t>-</w:t>
            </w:r>
            <w:r>
              <w:rPr>
                <w:spacing w:val="78"/>
                <w:sz w:val="24"/>
              </w:rPr>
              <w:t> </w:t>
            </w:r>
            <w:r>
              <w:rPr>
                <w:sz w:val="24"/>
              </w:rPr>
              <w:t>Red</w:t>
            </w:r>
            <w:r>
              <w:rPr>
                <w:spacing w:val="42"/>
                <w:w w:val="150"/>
                <w:sz w:val="24"/>
              </w:rPr>
              <w:t> </w:t>
            </w:r>
            <w:r>
              <w:rPr>
                <w:sz w:val="24"/>
              </w:rPr>
              <w:t>filled</w:t>
            </w:r>
            <w:r>
              <w:rPr>
                <w:spacing w:val="75"/>
                <w:sz w:val="24"/>
              </w:rPr>
              <w:t> </w:t>
            </w:r>
            <w:r>
              <w:rPr>
                <w:sz w:val="24"/>
              </w:rPr>
              <w:t>in</w:t>
            </w:r>
            <w:r>
              <w:rPr>
                <w:spacing w:val="47"/>
                <w:w w:val="150"/>
                <w:sz w:val="24"/>
              </w:rPr>
              <w:t> </w:t>
            </w:r>
            <w:r>
              <w:rPr>
                <w:sz w:val="24"/>
              </w:rPr>
              <w:t>-----</w:t>
            </w:r>
            <w:r>
              <w:rPr>
                <w:spacing w:val="11"/>
                <w:sz w:val="24"/>
              </w:rPr>
              <w:t>-</w:t>
            </w:r>
            <w:r>
              <w:rPr>
                <w:spacing w:val="-10"/>
                <w:sz w:val="24"/>
              </w:rPr>
              <w:t>-</w:t>
            </w:r>
          </w:p>
        </w:tc>
        <w:tc>
          <w:tcPr>
            <w:tcW w:w="1376" w:type="dxa"/>
            <w:vMerge/>
            <w:tcBorders>
              <w:top w:val="nil"/>
              <w:left w:val="single" w:sz="4" w:space="0" w:color="000000"/>
              <w:bottom w:val="nil"/>
              <w:right w:val="nil"/>
            </w:tcBorders>
          </w:tcPr>
          <w:p>
            <w:pPr>
              <w:rPr>
                <w:sz w:val="2"/>
                <w:szCs w:val="2"/>
              </w:rPr>
            </w:pPr>
          </w:p>
        </w:tc>
      </w:tr>
    </w:tbl>
    <w:p>
      <w:pPr>
        <w:spacing w:after="0"/>
        <w:rPr>
          <w:sz w:val="2"/>
          <w:szCs w:val="2"/>
        </w:rPr>
        <w:sectPr>
          <w:pgSz w:w="11910" w:h="16840"/>
          <w:pgMar w:header="1036" w:footer="974" w:top="1460" w:bottom="1160" w:left="360" w:right="360"/>
        </w:sectPr>
      </w:pPr>
    </w:p>
    <w:p>
      <w:pPr>
        <w:pStyle w:val="BodyText"/>
        <w:spacing w:before="43"/>
        <w:jc w:val="left"/>
        <w:rPr>
          <w:b/>
          <w:sz w:val="20"/>
        </w:rPr>
      </w:pPr>
    </w:p>
    <w:tbl>
      <w:tblPr>
        <w:tblW w:w="0" w:type="auto"/>
        <w:jc w:val="left"/>
        <w:tblInd w:w="7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36"/>
        <w:gridCol w:w="3018"/>
        <w:gridCol w:w="4454"/>
      </w:tblGrid>
      <w:tr>
        <w:trPr>
          <w:trHeight w:val="758" w:hRule="atLeast"/>
        </w:trPr>
        <w:tc>
          <w:tcPr>
            <w:tcW w:w="836" w:type="dxa"/>
          </w:tcPr>
          <w:p>
            <w:pPr>
              <w:pStyle w:val="TableParagraph"/>
              <w:spacing w:before="98"/>
              <w:ind w:left="14"/>
              <w:jc w:val="center"/>
              <w:rPr>
                <w:sz w:val="24"/>
              </w:rPr>
            </w:pPr>
            <w:r>
              <w:rPr>
                <w:spacing w:val="-5"/>
                <w:sz w:val="24"/>
              </w:rPr>
              <w:t>8.</w:t>
            </w:r>
          </w:p>
        </w:tc>
        <w:tc>
          <w:tcPr>
            <w:tcW w:w="3018" w:type="dxa"/>
          </w:tcPr>
          <w:p>
            <w:pPr>
              <w:pStyle w:val="TableParagraph"/>
              <w:spacing w:before="98"/>
              <w:ind w:left="107" w:right="237"/>
              <w:rPr>
                <w:sz w:val="24"/>
              </w:rPr>
            </w:pPr>
            <w:r>
              <w:rPr>
                <w:sz w:val="24"/>
              </w:rPr>
              <w:t>Drainage and Sewerage </w:t>
            </w:r>
            <w:r>
              <w:rPr>
                <w:sz w:val="24"/>
              </w:rPr>
              <w:t>work</w:t>
            </w:r>
          </w:p>
        </w:tc>
        <w:tc>
          <w:tcPr>
            <w:tcW w:w="4454" w:type="dxa"/>
            <w:tcBorders>
              <w:right w:val="single" w:sz="4" w:space="0" w:color="000000"/>
            </w:tcBorders>
          </w:tcPr>
          <w:p>
            <w:pPr>
              <w:pStyle w:val="TableParagraph"/>
              <w:spacing w:line="281" w:lineRule="exact" w:before="98"/>
              <w:ind w:left="74" w:right="80"/>
              <w:jc w:val="center"/>
              <w:rPr>
                <w:sz w:val="24"/>
              </w:rPr>
            </w:pPr>
            <w:r>
              <w:rPr>
                <w:sz w:val="24"/>
              </w:rPr>
              <w:t>--------</w:t>
            </w:r>
            <w:r>
              <w:rPr>
                <w:spacing w:val="11"/>
                <w:sz w:val="24"/>
              </w:rPr>
              <w:t>-</w:t>
            </w:r>
            <w:r>
              <w:rPr>
                <w:sz w:val="24"/>
              </w:rPr>
              <w:t>-----</w:t>
            </w:r>
            <w:r>
              <w:rPr>
                <w:spacing w:val="11"/>
                <w:sz w:val="24"/>
              </w:rPr>
              <w:t>-</w:t>
            </w:r>
            <w:r>
              <w:rPr>
                <w:sz w:val="24"/>
              </w:rPr>
              <w:t>-</w:t>
            </w:r>
            <w:r>
              <w:rPr>
                <w:spacing w:val="59"/>
                <w:w w:val="150"/>
                <w:sz w:val="24"/>
              </w:rPr>
              <w:t> </w:t>
            </w:r>
            <w:r>
              <w:rPr>
                <w:sz w:val="24"/>
              </w:rPr>
              <w:t>Red</w:t>
            </w:r>
            <w:r>
              <w:rPr>
                <w:spacing w:val="60"/>
                <w:w w:val="150"/>
                <w:sz w:val="24"/>
              </w:rPr>
              <w:t> </w:t>
            </w:r>
            <w:r>
              <w:rPr>
                <w:sz w:val="24"/>
              </w:rPr>
              <w:t>Dotted</w:t>
            </w:r>
            <w:r>
              <w:rPr>
                <w:spacing w:val="61"/>
                <w:w w:val="150"/>
                <w:sz w:val="24"/>
              </w:rPr>
              <w:t> </w:t>
            </w:r>
            <w:r>
              <w:rPr>
                <w:sz w:val="24"/>
              </w:rPr>
              <w:t>-</w:t>
            </w:r>
            <w:r>
              <w:rPr>
                <w:spacing w:val="11"/>
                <w:sz w:val="24"/>
              </w:rPr>
              <w:t>-</w:t>
            </w:r>
            <w:r>
              <w:rPr>
                <w:sz w:val="24"/>
              </w:rPr>
              <w:t>-----</w:t>
            </w:r>
            <w:r>
              <w:rPr>
                <w:spacing w:val="11"/>
                <w:sz w:val="24"/>
              </w:rPr>
              <w:t>-</w:t>
            </w:r>
            <w:r>
              <w:rPr>
                <w:spacing w:val="-10"/>
                <w:sz w:val="24"/>
              </w:rPr>
              <w:t>-</w:t>
            </w:r>
          </w:p>
          <w:p>
            <w:pPr>
              <w:pStyle w:val="TableParagraph"/>
              <w:spacing w:line="281" w:lineRule="exact"/>
              <w:ind w:left="1539" w:right="1533"/>
              <w:jc w:val="center"/>
              <w:rPr>
                <w:sz w:val="24"/>
              </w:rPr>
            </w:pPr>
            <w:r>
              <w:rPr>
                <w:sz w:val="24"/>
              </w:rPr>
              <w:t>---</w:t>
            </w:r>
            <w:r>
              <w:rPr>
                <w:spacing w:val="-10"/>
                <w:sz w:val="24"/>
              </w:rPr>
              <w:t>-</w:t>
            </w:r>
          </w:p>
        </w:tc>
      </w:tr>
      <w:tr>
        <w:trPr>
          <w:trHeight w:val="755" w:hRule="atLeast"/>
        </w:trPr>
        <w:tc>
          <w:tcPr>
            <w:tcW w:w="836" w:type="dxa"/>
          </w:tcPr>
          <w:p>
            <w:pPr>
              <w:pStyle w:val="TableParagraph"/>
              <w:spacing w:before="95"/>
              <w:ind w:left="14"/>
              <w:jc w:val="center"/>
              <w:rPr>
                <w:sz w:val="24"/>
              </w:rPr>
            </w:pPr>
            <w:r>
              <w:rPr>
                <w:spacing w:val="-5"/>
                <w:sz w:val="24"/>
              </w:rPr>
              <w:t>9.</w:t>
            </w:r>
          </w:p>
        </w:tc>
        <w:tc>
          <w:tcPr>
            <w:tcW w:w="3018" w:type="dxa"/>
          </w:tcPr>
          <w:p>
            <w:pPr>
              <w:pStyle w:val="TableParagraph"/>
              <w:spacing w:before="95"/>
              <w:ind w:left="107"/>
              <w:rPr>
                <w:sz w:val="24"/>
              </w:rPr>
            </w:pPr>
            <w:r>
              <w:rPr>
                <w:sz w:val="24"/>
              </w:rPr>
              <w:t>Water</w:t>
            </w:r>
            <w:r>
              <w:rPr>
                <w:spacing w:val="60"/>
                <w:sz w:val="24"/>
              </w:rPr>
              <w:t> </w:t>
            </w:r>
            <w:r>
              <w:rPr>
                <w:sz w:val="24"/>
              </w:rPr>
              <w:t>Supply</w:t>
            </w:r>
            <w:r>
              <w:rPr>
                <w:spacing w:val="61"/>
                <w:sz w:val="24"/>
              </w:rPr>
              <w:t> </w:t>
            </w:r>
            <w:r>
              <w:rPr>
                <w:spacing w:val="5"/>
                <w:sz w:val="24"/>
              </w:rPr>
              <w:t>Work</w:t>
            </w:r>
          </w:p>
        </w:tc>
        <w:tc>
          <w:tcPr>
            <w:tcW w:w="4454" w:type="dxa"/>
            <w:tcBorders>
              <w:right w:val="single" w:sz="4" w:space="0" w:color="000000"/>
            </w:tcBorders>
          </w:tcPr>
          <w:p>
            <w:pPr>
              <w:pStyle w:val="TableParagraph"/>
              <w:spacing w:before="95"/>
              <w:ind w:left="75" w:right="80"/>
              <w:jc w:val="center"/>
              <w:rPr>
                <w:sz w:val="24"/>
              </w:rPr>
            </w:pPr>
            <w:r>
              <w:rPr>
                <w:sz w:val="24"/>
              </w:rPr>
              <mc:AlternateContent>
                <mc:Choice Requires="wps">
                  <w:drawing>
                    <wp:anchor distT="0" distB="0" distL="0" distR="0" allowOverlap="1" layoutInCell="1" locked="0" behindDoc="1" simplePos="0" relativeHeight="471344128">
                      <wp:simplePos x="0" y="0"/>
                      <wp:positionH relativeFrom="column">
                        <wp:posOffset>1076197</wp:posOffset>
                      </wp:positionH>
                      <wp:positionV relativeFrom="paragraph">
                        <wp:posOffset>339959</wp:posOffset>
                      </wp:positionV>
                      <wp:extent cx="666115" cy="952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666115" cy="9525"/>
                                <a:chExt cx="666115" cy="9525"/>
                              </a:xfrm>
                            </wpg:grpSpPr>
                            <wps:wsp>
                              <wps:cNvPr id="65" name="Graphic 65"/>
                              <wps:cNvSpPr/>
                              <wps:spPr>
                                <a:xfrm>
                                  <a:off x="0" y="4572"/>
                                  <a:ext cx="666115" cy="1270"/>
                                </a:xfrm>
                                <a:custGeom>
                                  <a:avLst/>
                                  <a:gdLst/>
                                  <a:ahLst/>
                                  <a:cxnLst/>
                                  <a:rect l="l" t="t" r="r" b="b"/>
                                  <a:pathLst>
                                    <a:path w="666115" h="0">
                                      <a:moveTo>
                                        <a:pt x="0" y="0"/>
                                      </a:moveTo>
                                      <a:lnTo>
                                        <a:pt x="665820" y="0"/>
                                      </a:lnTo>
                                    </a:path>
                                  </a:pathLst>
                                </a:custGeom>
                                <a:ln w="9144">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84.739998pt;margin-top:26.768431pt;width:52.45pt;height:.75pt;mso-position-horizontal-relative:column;mso-position-vertical-relative:paragraph;z-index:-31972352" id="docshapegroup54" coordorigin="1695,535" coordsize="1049,15">
                      <v:line style="position:absolute" from="1695,543" to="2743,543" stroked="true" strokeweight=".72pt" strokecolor="#000000">
                        <v:stroke dashstyle="dash"/>
                      </v:line>
                      <w10:wrap type="none"/>
                    </v:group>
                  </w:pict>
                </mc:Fallback>
              </mc:AlternateContent>
            </w:r>
            <w:r>
              <w:rPr>
                <w:sz w:val="24"/>
              </w:rPr>
              <w:t>--------</w:t>
            </w:r>
            <w:r>
              <w:rPr>
                <w:spacing w:val="11"/>
                <w:sz w:val="24"/>
              </w:rPr>
              <w:t>-</w:t>
            </w:r>
            <w:r>
              <w:rPr>
                <w:sz w:val="24"/>
              </w:rPr>
              <w:t>-----</w:t>
            </w:r>
            <w:r>
              <w:rPr>
                <w:spacing w:val="11"/>
                <w:sz w:val="24"/>
              </w:rPr>
              <w:t>-</w:t>
            </w:r>
            <w:r>
              <w:rPr>
                <w:sz w:val="24"/>
              </w:rPr>
              <w:t>----</w:t>
            </w:r>
            <w:r>
              <w:rPr>
                <w:spacing w:val="55"/>
                <w:w w:val="150"/>
                <w:sz w:val="24"/>
              </w:rPr>
              <w:t> </w:t>
            </w:r>
            <w:r>
              <w:rPr>
                <w:sz w:val="24"/>
              </w:rPr>
              <w:t>Blue</w:t>
            </w:r>
            <w:r>
              <w:rPr>
                <w:spacing w:val="53"/>
                <w:w w:val="150"/>
                <w:sz w:val="24"/>
              </w:rPr>
              <w:t> </w:t>
            </w:r>
            <w:r>
              <w:rPr>
                <w:sz w:val="24"/>
              </w:rPr>
              <w:t>Dotted</w:t>
            </w:r>
            <w:r>
              <w:rPr>
                <w:spacing w:val="52"/>
                <w:w w:val="150"/>
                <w:sz w:val="24"/>
              </w:rPr>
              <w:t> </w:t>
            </w:r>
            <w:r>
              <w:rPr>
                <w:spacing w:val="-4"/>
                <w:sz w:val="24"/>
              </w:rPr>
              <w:t>thin</w:t>
            </w:r>
          </w:p>
        </w:tc>
      </w:tr>
      <w:tr>
        <w:trPr>
          <w:trHeight w:val="755" w:hRule="atLeast"/>
        </w:trPr>
        <w:tc>
          <w:tcPr>
            <w:tcW w:w="836" w:type="dxa"/>
          </w:tcPr>
          <w:p>
            <w:pPr>
              <w:pStyle w:val="TableParagraph"/>
              <w:spacing w:before="95"/>
              <w:ind w:left="14" w:right="5"/>
              <w:jc w:val="center"/>
              <w:rPr>
                <w:sz w:val="24"/>
              </w:rPr>
            </w:pPr>
            <w:r>
              <w:rPr>
                <w:spacing w:val="-5"/>
                <w:sz w:val="24"/>
              </w:rPr>
              <w:t>10.</w:t>
            </w:r>
          </w:p>
        </w:tc>
        <w:tc>
          <w:tcPr>
            <w:tcW w:w="3018" w:type="dxa"/>
          </w:tcPr>
          <w:p>
            <w:pPr>
              <w:pStyle w:val="TableParagraph"/>
              <w:spacing w:before="95"/>
              <w:ind w:left="107"/>
              <w:rPr>
                <w:sz w:val="24"/>
              </w:rPr>
            </w:pPr>
            <w:r>
              <w:rPr>
                <w:spacing w:val="7"/>
                <w:sz w:val="24"/>
              </w:rPr>
              <w:t>Deviations</w:t>
            </w:r>
          </w:p>
        </w:tc>
        <w:tc>
          <w:tcPr>
            <w:tcW w:w="4454" w:type="dxa"/>
            <w:tcBorders>
              <w:right w:val="single" w:sz="4" w:space="0" w:color="000000"/>
            </w:tcBorders>
          </w:tcPr>
          <w:p>
            <w:pPr>
              <w:pStyle w:val="TableParagraph"/>
              <w:spacing w:before="95"/>
              <w:ind w:left="84" w:right="80"/>
              <w:jc w:val="center"/>
              <w:rPr>
                <w:sz w:val="24"/>
              </w:rPr>
            </w:pPr>
            <w:r>
              <w:rPr>
                <w:sz w:val="24"/>
              </w:rPr>
              <mc:AlternateContent>
                <mc:Choice Requires="wps">
                  <w:drawing>
                    <wp:anchor distT="0" distB="0" distL="0" distR="0" allowOverlap="1" layoutInCell="1" locked="0" behindDoc="1" simplePos="0" relativeHeight="471344640">
                      <wp:simplePos x="0" y="0"/>
                      <wp:positionH relativeFrom="column">
                        <wp:posOffset>1076197</wp:posOffset>
                      </wp:positionH>
                      <wp:positionV relativeFrom="paragraph">
                        <wp:posOffset>339959</wp:posOffset>
                      </wp:positionV>
                      <wp:extent cx="666115" cy="952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666115" cy="9525"/>
                                <a:chExt cx="666115" cy="9525"/>
                              </a:xfrm>
                            </wpg:grpSpPr>
                            <wps:wsp>
                              <wps:cNvPr id="67" name="Graphic 67"/>
                              <wps:cNvSpPr/>
                              <wps:spPr>
                                <a:xfrm>
                                  <a:off x="0" y="4572"/>
                                  <a:ext cx="666115" cy="1270"/>
                                </a:xfrm>
                                <a:custGeom>
                                  <a:avLst/>
                                  <a:gdLst/>
                                  <a:ahLst/>
                                  <a:cxnLst/>
                                  <a:rect l="l" t="t" r="r" b="b"/>
                                  <a:pathLst>
                                    <a:path w="666115" h="0">
                                      <a:moveTo>
                                        <a:pt x="0" y="0"/>
                                      </a:moveTo>
                                      <a:lnTo>
                                        <a:pt x="665820" y="0"/>
                                      </a:lnTo>
                                    </a:path>
                                  </a:pathLst>
                                </a:custGeom>
                                <a:ln w="9144">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84.739998pt;margin-top:26.768431pt;width:52.45pt;height:.75pt;mso-position-horizontal-relative:column;mso-position-vertical-relative:paragraph;z-index:-31971840" id="docshapegroup55" coordorigin="1695,535" coordsize="1049,15">
                      <v:line style="position:absolute" from="1695,543" to="2743,543" stroked="true" strokeweight=".72pt" strokecolor="#000000">
                        <v:stroke dashstyle="dash"/>
                      </v:line>
                      <w10:wrap type="none"/>
                    </v:group>
                  </w:pict>
                </mc:Fallback>
              </mc:AlternateContent>
            </w:r>
            <w:r>
              <w:rPr>
                <w:sz w:val="24"/>
              </w:rPr>
              <w:t>--------</w:t>
            </w:r>
            <w:r>
              <w:rPr>
                <w:spacing w:val="11"/>
                <w:sz w:val="24"/>
              </w:rPr>
              <w:t>-</w:t>
            </w:r>
            <w:r>
              <w:rPr>
                <w:sz w:val="24"/>
              </w:rPr>
              <w:t>---</w:t>
            </w:r>
            <w:r>
              <w:rPr>
                <w:spacing w:val="76"/>
                <w:sz w:val="24"/>
              </w:rPr>
              <w:t> </w:t>
            </w:r>
            <w:r>
              <w:rPr>
                <w:sz w:val="24"/>
              </w:rPr>
              <w:t>-</w:t>
            </w:r>
            <w:r>
              <w:rPr>
                <w:spacing w:val="11"/>
                <w:sz w:val="24"/>
              </w:rPr>
              <w:t>-</w:t>
            </w:r>
            <w:r>
              <w:rPr>
                <w:sz w:val="24"/>
              </w:rPr>
              <w:t>----</w:t>
            </w:r>
            <w:r>
              <w:rPr>
                <w:spacing w:val="78"/>
                <w:sz w:val="24"/>
              </w:rPr>
              <w:t> </w:t>
            </w:r>
            <w:r>
              <w:rPr>
                <w:sz w:val="24"/>
              </w:rPr>
              <w:t>Red</w:t>
            </w:r>
            <w:r>
              <w:rPr>
                <w:spacing w:val="74"/>
                <w:sz w:val="24"/>
              </w:rPr>
              <w:t> </w:t>
            </w:r>
            <w:r>
              <w:rPr>
                <w:sz w:val="24"/>
              </w:rPr>
              <w:t>Hatched</w:t>
            </w:r>
            <w:r>
              <w:rPr>
                <w:spacing w:val="43"/>
                <w:w w:val="150"/>
                <w:sz w:val="24"/>
              </w:rPr>
              <w:t> </w:t>
            </w:r>
            <w:r>
              <w:rPr>
                <w:sz w:val="24"/>
              </w:rPr>
              <w:t>---</w:t>
            </w:r>
            <w:r>
              <w:rPr>
                <w:spacing w:val="-10"/>
                <w:sz w:val="24"/>
              </w:rPr>
              <w:t>-</w:t>
            </w:r>
          </w:p>
        </w:tc>
      </w:tr>
      <w:tr>
        <w:trPr>
          <w:trHeight w:val="755" w:hRule="atLeast"/>
        </w:trPr>
        <w:tc>
          <w:tcPr>
            <w:tcW w:w="836" w:type="dxa"/>
          </w:tcPr>
          <w:p>
            <w:pPr>
              <w:pStyle w:val="TableParagraph"/>
              <w:spacing w:before="95"/>
              <w:ind w:left="14" w:right="5"/>
              <w:jc w:val="center"/>
              <w:rPr>
                <w:sz w:val="24"/>
              </w:rPr>
            </w:pPr>
            <w:r>
              <w:rPr>
                <w:spacing w:val="-5"/>
                <w:sz w:val="24"/>
              </w:rPr>
              <w:t>11.</w:t>
            </w:r>
          </w:p>
        </w:tc>
        <w:tc>
          <w:tcPr>
            <w:tcW w:w="3018" w:type="dxa"/>
          </w:tcPr>
          <w:p>
            <w:pPr>
              <w:pStyle w:val="TableParagraph"/>
              <w:spacing w:before="95"/>
              <w:ind w:left="107"/>
              <w:rPr>
                <w:sz w:val="24"/>
              </w:rPr>
            </w:pPr>
            <w:r>
              <w:rPr>
                <w:sz w:val="24"/>
              </w:rPr>
              <w:t>Recreation</w:t>
            </w:r>
            <w:r>
              <w:rPr>
                <w:spacing w:val="63"/>
                <w:w w:val="150"/>
                <w:sz w:val="24"/>
              </w:rPr>
              <w:t> </w:t>
            </w:r>
            <w:r>
              <w:rPr>
                <w:spacing w:val="7"/>
                <w:sz w:val="24"/>
              </w:rPr>
              <w:t>Ground</w:t>
            </w:r>
          </w:p>
        </w:tc>
        <w:tc>
          <w:tcPr>
            <w:tcW w:w="4454" w:type="dxa"/>
            <w:tcBorders>
              <w:right w:val="single" w:sz="4" w:space="0" w:color="000000"/>
            </w:tcBorders>
          </w:tcPr>
          <w:p>
            <w:pPr>
              <w:pStyle w:val="TableParagraph"/>
              <w:spacing w:before="95"/>
              <w:ind w:left="4" w:right="84"/>
              <w:jc w:val="center"/>
              <w:rPr>
                <w:sz w:val="24"/>
              </w:rPr>
            </w:pPr>
            <w:r>
              <w:rPr>
                <w:sz w:val="24"/>
              </w:rPr>
              <mc:AlternateContent>
                <mc:Choice Requires="wps">
                  <w:drawing>
                    <wp:anchor distT="0" distB="0" distL="0" distR="0" allowOverlap="1" layoutInCell="1" locked="0" behindDoc="1" simplePos="0" relativeHeight="471345152">
                      <wp:simplePos x="0" y="0"/>
                      <wp:positionH relativeFrom="column">
                        <wp:posOffset>68580</wp:posOffset>
                      </wp:positionH>
                      <wp:positionV relativeFrom="paragraph">
                        <wp:posOffset>339959</wp:posOffset>
                      </wp:positionV>
                      <wp:extent cx="603885" cy="952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603885" cy="9525"/>
                                <a:chExt cx="603885" cy="9525"/>
                              </a:xfrm>
                            </wpg:grpSpPr>
                            <wps:wsp>
                              <wps:cNvPr id="69" name="Graphic 69"/>
                              <wps:cNvSpPr/>
                              <wps:spPr>
                                <a:xfrm>
                                  <a:off x="0" y="4572"/>
                                  <a:ext cx="603885" cy="1270"/>
                                </a:xfrm>
                                <a:custGeom>
                                  <a:avLst/>
                                  <a:gdLst/>
                                  <a:ahLst/>
                                  <a:cxnLst/>
                                  <a:rect l="l" t="t" r="r" b="b"/>
                                  <a:pathLst>
                                    <a:path w="603885" h="0">
                                      <a:moveTo>
                                        <a:pt x="0" y="0"/>
                                      </a:moveTo>
                                      <a:lnTo>
                                        <a:pt x="603504" y="0"/>
                                      </a:lnTo>
                                    </a:path>
                                  </a:pathLst>
                                </a:custGeom>
                                <a:ln w="9144">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5.4pt;margin-top:26.768492pt;width:47.55pt;height:.75pt;mso-position-horizontal-relative:column;mso-position-vertical-relative:paragraph;z-index:-31971328" id="docshapegroup56" coordorigin="108,535" coordsize="951,15">
                      <v:line style="position:absolute" from="108,543" to="1058,543" stroked="true" strokeweight=".72pt" strokecolor="#000000">
                        <v:stroke dashstyle="dash"/>
                      </v:line>
                      <w10:wrap type="none"/>
                    </v:group>
                  </w:pict>
                </mc:Fallback>
              </mc:AlternateContent>
            </w:r>
            <w:r>
              <w:rPr>
                <w:sz w:val="24"/>
              </w:rPr>
              <w:t>--------</w:t>
            </w:r>
            <w:r>
              <w:rPr>
                <w:spacing w:val="11"/>
                <w:sz w:val="24"/>
              </w:rPr>
              <w:t>-</w:t>
            </w:r>
            <w:r>
              <w:rPr>
                <w:sz w:val="24"/>
              </w:rPr>
              <w:t>-----</w:t>
            </w:r>
            <w:r>
              <w:rPr>
                <w:spacing w:val="11"/>
                <w:sz w:val="24"/>
              </w:rPr>
              <w:t>-</w:t>
            </w:r>
            <w:r>
              <w:rPr>
                <w:sz w:val="24"/>
              </w:rPr>
              <w:t>----</w:t>
            </w:r>
            <w:r>
              <w:rPr>
                <w:spacing w:val="65"/>
                <w:w w:val="150"/>
                <w:sz w:val="24"/>
              </w:rPr>
              <w:t> </w:t>
            </w:r>
            <w:r>
              <w:rPr>
                <w:sz w:val="24"/>
              </w:rPr>
              <w:t>Green</w:t>
            </w:r>
            <w:r>
              <w:rPr>
                <w:spacing w:val="56"/>
                <w:w w:val="150"/>
                <w:sz w:val="24"/>
              </w:rPr>
              <w:t> </w:t>
            </w:r>
            <w:r>
              <w:rPr>
                <w:sz w:val="24"/>
              </w:rPr>
              <w:t>Wash</w:t>
            </w:r>
            <w:r>
              <w:rPr>
                <w:spacing w:val="65"/>
                <w:w w:val="150"/>
                <w:sz w:val="24"/>
              </w:rPr>
              <w:t> </w:t>
            </w:r>
            <w:r>
              <w:rPr>
                <w:sz w:val="24"/>
              </w:rPr>
              <w:t>---</w:t>
            </w:r>
            <w:r>
              <w:rPr>
                <w:spacing w:val="-10"/>
                <w:sz w:val="24"/>
              </w:rPr>
              <w:t>-</w:t>
            </w:r>
          </w:p>
        </w:tc>
      </w:tr>
      <w:tr>
        <w:trPr>
          <w:trHeight w:val="755" w:hRule="atLeast"/>
        </w:trPr>
        <w:tc>
          <w:tcPr>
            <w:tcW w:w="836" w:type="dxa"/>
          </w:tcPr>
          <w:p>
            <w:pPr>
              <w:pStyle w:val="TableParagraph"/>
              <w:spacing w:before="95"/>
              <w:ind w:left="14" w:right="5"/>
              <w:jc w:val="center"/>
              <w:rPr>
                <w:sz w:val="24"/>
              </w:rPr>
            </w:pPr>
            <w:r>
              <w:rPr>
                <w:spacing w:val="-5"/>
                <w:sz w:val="24"/>
              </w:rPr>
              <w:t>12.</w:t>
            </w:r>
          </w:p>
        </w:tc>
        <w:tc>
          <w:tcPr>
            <w:tcW w:w="3018" w:type="dxa"/>
          </w:tcPr>
          <w:p>
            <w:pPr>
              <w:pStyle w:val="TableParagraph"/>
              <w:spacing w:before="95"/>
              <w:ind w:left="107"/>
              <w:rPr>
                <w:sz w:val="24"/>
              </w:rPr>
            </w:pPr>
            <w:r>
              <w:rPr>
                <w:sz w:val="24"/>
              </w:rPr>
              <w:t>Roads</w:t>
            </w:r>
            <w:r>
              <w:rPr>
                <w:spacing w:val="41"/>
                <w:sz w:val="24"/>
              </w:rPr>
              <w:t> </w:t>
            </w:r>
            <w:r>
              <w:rPr>
                <w:sz w:val="24"/>
              </w:rPr>
              <w:t>and</w:t>
            </w:r>
            <w:r>
              <w:rPr>
                <w:spacing w:val="44"/>
                <w:sz w:val="24"/>
              </w:rPr>
              <w:t> </w:t>
            </w:r>
            <w:r>
              <w:rPr>
                <w:sz w:val="24"/>
              </w:rPr>
              <w:t>Set</w:t>
            </w:r>
            <w:r>
              <w:rPr>
                <w:spacing w:val="46"/>
                <w:sz w:val="24"/>
              </w:rPr>
              <w:t> </w:t>
            </w:r>
            <w:r>
              <w:rPr>
                <w:spacing w:val="7"/>
                <w:sz w:val="24"/>
              </w:rPr>
              <w:t>backs</w:t>
            </w:r>
          </w:p>
        </w:tc>
        <w:tc>
          <w:tcPr>
            <w:tcW w:w="4454" w:type="dxa"/>
            <w:tcBorders>
              <w:right w:val="single" w:sz="4" w:space="0" w:color="000000"/>
            </w:tcBorders>
          </w:tcPr>
          <w:p>
            <w:pPr>
              <w:pStyle w:val="TableParagraph"/>
              <w:spacing w:before="95"/>
              <w:ind w:left="19" w:right="80"/>
              <w:jc w:val="center"/>
              <w:rPr>
                <w:sz w:val="24"/>
              </w:rPr>
            </w:pPr>
            <w:r>
              <w:rPr>
                <w:sz w:val="24"/>
              </w:rPr>
              <mc:AlternateContent>
                <mc:Choice Requires="wps">
                  <w:drawing>
                    <wp:anchor distT="0" distB="0" distL="0" distR="0" allowOverlap="1" layoutInCell="1" locked="0" behindDoc="1" simplePos="0" relativeHeight="471345664">
                      <wp:simplePos x="0" y="0"/>
                      <wp:positionH relativeFrom="column">
                        <wp:posOffset>68580</wp:posOffset>
                      </wp:positionH>
                      <wp:positionV relativeFrom="paragraph">
                        <wp:posOffset>340340</wp:posOffset>
                      </wp:positionV>
                      <wp:extent cx="603885" cy="952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603885" cy="9525"/>
                                <a:chExt cx="603885" cy="9525"/>
                              </a:xfrm>
                            </wpg:grpSpPr>
                            <wps:wsp>
                              <wps:cNvPr id="71" name="Graphic 71"/>
                              <wps:cNvSpPr/>
                              <wps:spPr>
                                <a:xfrm>
                                  <a:off x="0" y="4572"/>
                                  <a:ext cx="603885" cy="1270"/>
                                </a:xfrm>
                                <a:custGeom>
                                  <a:avLst/>
                                  <a:gdLst/>
                                  <a:ahLst/>
                                  <a:cxnLst/>
                                  <a:rect l="l" t="t" r="r" b="b"/>
                                  <a:pathLst>
                                    <a:path w="603885" h="0">
                                      <a:moveTo>
                                        <a:pt x="0" y="0"/>
                                      </a:moveTo>
                                      <a:lnTo>
                                        <a:pt x="603504" y="0"/>
                                      </a:lnTo>
                                    </a:path>
                                  </a:pathLst>
                                </a:custGeom>
                                <a:ln w="9144">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5.4pt;margin-top:26.79846pt;width:47.55pt;height:.75pt;mso-position-horizontal-relative:column;mso-position-vertical-relative:paragraph;z-index:-31970816" id="docshapegroup57" coordorigin="108,536" coordsize="951,15">
                      <v:line style="position:absolute" from="108,543" to="1058,543" stroked="true" strokeweight=".72pt" strokecolor="#000000">
                        <v:stroke dashstyle="dash"/>
                      </v:line>
                      <w10:wrap type="none"/>
                    </v:group>
                  </w:pict>
                </mc:Fallback>
              </mc:AlternateContent>
            </w:r>
            <w:r>
              <w:rPr>
                <w:sz w:val="24"/>
              </w:rPr>
              <w:t>--------</w:t>
            </w:r>
            <w:r>
              <w:rPr>
                <w:spacing w:val="11"/>
                <w:sz w:val="24"/>
              </w:rPr>
              <w:t>-</w:t>
            </w:r>
            <w:r>
              <w:rPr>
                <w:sz w:val="24"/>
              </w:rPr>
              <w:t>-----</w:t>
            </w:r>
            <w:r>
              <w:rPr>
                <w:spacing w:val="11"/>
                <w:sz w:val="24"/>
              </w:rPr>
              <w:t>-</w:t>
            </w:r>
            <w:r>
              <w:rPr>
                <w:sz w:val="24"/>
              </w:rPr>
              <w:t>----</w:t>
            </w:r>
            <w:r>
              <w:rPr>
                <w:spacing w:val="65"/>
                <w:w w:val="150"/>
                <w:sz w:val="24"/>
              </w:rPr>
              <w:t> </w:t>
            </w:r>
            <w:r>
              <w:rPr>
                <w:sz w:val="24"/>
              </w:rPr>
              <w:t>Burnt</w:t>
            </w:r>
            <w:r>
              <w:rPr>
                <w:spacing w:val="57"/>
                <w:w w:val="150"/>
                <w:sz w:val="24"/>
              </w:rPr>
              <w:t> </w:t>
            </w:r>
            <w:r>
              <w:rPr>
                <w:sz w:val="24"/>
              </w:rPr>
              <w:t>sienna</w:t>
            </w:r>
            <w:r>
              <w:rPr>
                <w:spacing w:val="63"/>
                <w:w w:val="150"/>
                <w:sz w:val="24"/>
              </w:rPr>
              <w:t> </w:t>
            </w:r>
            <w:r>
              <w:rPr>
                <w:sz w:val="24"/>
              </w:rPr>
              <w:t>-</w:t>
            </w:r>
            <w:r>
              <w:rPr>
                <w:spacing w:val="11"/>
                <w:sz w:val="24"/>
              </w:rPr>
              <w:t>-</w:t>
            </w:r>
            <w:r>
              <w:rPr>
                <w:spacing w:val="-10"/>
                <w:sz w:val="24"/>
              </w:rPr>
              <w:t>-</w:t>
            </w:r>
          </w:p>
        </w:tc>
      </w:tr>
      <w:tr>
        <w:trPr>
          <w:trHeight w:val="755" w:hRule="atLeast"/>
        </w:trPr>
        <w:tc>
          <w:tcPr>
            <w:tcW w:w="836" w:type="dxa"/>
          </w:tcPr>
          <w:p>
            <w:pPr>
              <w:pStyle w:val="TableParagraph"/>
              <w:spacing w:before="95"/>
              <w:ind w:left="14" w:right="5"/>
              <w:jc w:val="center"/>
              <w:rPr>
                <w:sz w:val="24"/>
              </w:rPr>
            </w:pPr>
            <w:r>
              <w:rPr>
                <w:spacing w:val="-5"/>
                <w:sz w:val="24"/>
              </w:rPr>
              <w:t>13.</w:t>
            </w:r>
          </w:p>
        </w:tc>
        <w:tc>
          <w:tcPr>
            <w:tcW w:w="3018" w:type="dxa"/>
          </w:tcPr>
          <w:p>
            <w:pPr>
              <w:pStyle w:val="TableParagraph"/>
              <w:spacing w:before="95"/>
              <w:ind w:left="107"/>
              <w:rPr>
                <w:sz w:val="24"/>
              </w:rPr>
            </w:pPr>
            <w:r>
              <w:rPr>
                <w:spacing w:val="7"/>
                <w:sz w:val="24"/>
              </w:rPr>
              <w:t>Reservation</w:t>
            </w:r>
          </w:p>
        </w:tc>
        <w:tc>
          <w:tcPr>
            <w:tcW w:w="4454" w:type="dxa"/>
            <w:tcBorders>
              <w:right w:val="single" w:sz="4" w:space="0" w:color="000000"/>
            </w:tcBorders>
          </w:tcPr>
          <w:p>
            <w:pPr>
              <w:pStyle w:val="TableParagraph"/>
              <w:tabs>
                <w:tab w:pos="2312" w:val="left" w:leader="hyphen"/>
              </w:tabs>
              <w:spacing w:line="281" w:lineRule="exact" w:before="95"/>
              <w:ind w:left="106"/>
              <w:rPr>
                <w:sz w:val="24"/>
              </w:rPr>
            </w:pPr>
            <w:r>
              <w:rPr>
                <w:spacing w:val="-10"/>
                <w:sz w:val="24"/>
              </w:rPr>
              <w:t>-</w:t>
            </w:r>
            <w:r>
              <w:rPr>
                <w:sz w:val="24"/>
              </w:rPr>
              <w:tab/>
            </w:r>
            <w:r>
              <w:rPr>
                <w:spacing w:val="-2"/>
                <w:sz w:val="24"/>
              </w:rPr>
              <w:t>Appropriate</w:t>
            </w:r>
          </w:p>
          <w:p>
            <w:pPr>
              <w:pStyle w:val="TableParagraph"/>
              <w:spacing w:line="281" w:lineRule="exact"/>
              <w:ind w:left="106"/>
              <w:rPr>
                <w:sz w:val="24"/>
              </w:rPr>
            </w:pPr>
            <w:r>
              <w:rPr>
                <w:sz w:val="24"/>
              </w:rPr>
              <w:t>colour</w:t>
            </w:r>
            <w:r>
              <w:rPr>
                <w:spacing w:val="58"/>
                <w:w w:val="150"/>
                <w:sz w:val="24"/>
              </w:rPr>
              <w:t> </w:t>
            </w:r>
            <w:r>
              <w:rPr>
                <w:sz w:val="24"/>
              </w:rPr>
              <w:t>code</w:t>
            </w:r>
            <w:r>
              <w:rPr>
                <w:spacing w:val="58"/>
                <w:w w:val="150"/>
                <w:sz w:val="24"/>
              </w:rPr>
              <w:t> </w:t>
            </w:r>
            <w:r>
              <w:rPr>
                <w:sz w:val="24"/>
              </w:rPr>
              <w:t>-</w:t>
            </w:r>
            <w:r>
              <w:rPr>
                <w:spacing w:val="11"/>
                <w:sz w:val="24"/>
              </w:rPr>
              <w:t>-</w:t>
            </w:r>
            <w:r>
              <w:rPr>
                <w:sz w:val="24"/>
              </w:rPr>
              <w:t>----</w:t>
            </w:r>
            <w:r>
              <w:rPr>
                <w:spacing w:val="11"/>
                <w:sz w:val="24"/>
              </w:rPr>
              <w:t>--</w:t>
            </w:r>
            <w:r>
              <w:rPr>
                <w:sz w:val="24"/>
              </w:rPr>
              <w:t>----</w:t>
            </w:r>
            <w:r>
              <w:rPr>
                <w:spacing w:val="-10"/>
                <w:sz w:val="24"/>
              </w:rPr>
              <w:t>-</w:t>
            </w:r>
          </w:p>
        </w:tc>
      </w:tr>
    </w:tbl>
    <w:p>
      <w:pPr>
        <w:pStyle w:val="BodyText"/>
        <w:spacing w:before="1"/>
        <w:ind w:left="1764" w:hanging="992"/>
        <w:jc w:val="left"/>
      </w:pPr>
      <w:r>
        <w:rPr/>
        <w:t>Note.</w:t>
      </w:r>
      <w:r>
        <w:rPr>
          <w:spacing w:val="80"/>
          <w:w w:val="150"/>
        </w:rPr>
        <w:t> </w:t>
      </w:r>
      <w:r>
        <w:rPr/>
        <w:t>-</w:t>
      </w:r>
      <w:r>
        <w:rPr>
          <w:spacing w:val="80"/>
          <w:w w:val="150"/>
        </w:rPr>
        <w:t> </w:t>
      </w:r>
      <w:r>
        <w:rPr/>
        <w:t>(i)</w:t>
      </w:r>
      <w:r>
        <w:rPr>
          <w:spacing w:val="80"/>
          <w:w w:val="150"/>
        </w:rPr>
        <w:t> </w:t>
      </w:r>
      <w:r>
        <w:rPr/>
        <w:t>Site</w:t>
      </w:r>
      <w:r>
        <w:rPr>
          <w:spacing w:val="80"/>
          <w:w w:val="150"/>
        </w:rPr>
        <w:t> </w:t>
      </w:r>
      <w:r>
        <w:rPr/>
        <w:t>plans/building</w:t>
      </w:r>
      <w:r>
        <w:rPr>
          <w:spacing w:val="80"/>
          <w:w w:val="150"/>
        </w:rPr>
        <w:t> </w:t>
      </w:r>
      <w:r>
        <w:rPr/>
        <w:t>plans</w:t>
      </w:r>
      <w:r>
        <w:rPr>
          <w:spacing w:val="80"/>
          <w:w w:val="150"/>
        </w:rPr>
        <w:t> </w:t>
      </w:r>
      <w:r>
        <w:rPr/>
        <w:t>may</w:t>
      </w:r>
      <w:r>
        <w:rPr>
          <w:spacing w:val="80"/>
          <w:w w:val="150"/>
        </w:rPr>
        <w:t> </w:t>
      </w:r>
      <w:r>
        <w:rPr/>
        <w:t>be</w:t>
      </w:r>
      <w:r>
        <w:rPr>
          <w:spacing w:val="80"/>
          <w:w w:val="150"/>
        </w:rPr>
        <w:t> </w:t>
      </w:r>
      <w:r>
        <w:rPr/>
        <w:t>submitted</w:t>
      </w:r>
      <w:r>
        <w:rPr>
          <w:spacing w:val="80"/>
          <w:w w:val="150"/>
        </w:rPr>
        <w:t> </w:t>
      </w:r>
      <w:r>
        <w:rPr/>
        <w:t>in</w:t>
      </w:r>
      <w:r>
        <w:rPr>
          <w:spacing w:val="80"/>
          <w:w w:val="150"/>
        </w:rPr>
        <w:t> </w:t>
      </w:r>
      <w:r>
        <w:rPr/>
        <w:t>the</w:t>
      </w:r>
      <w:r>
        <w:rPr>
          <w:spacing w:val="80"/>
          <w:w w:val="150"/>
        </w:rPr>
        <w:t> </w:t>
      </w:r>
      <w:r>
        <w:rPr/>
        <w:t>form</w:t>
      </w:r>
      <w:r>
        <w:rPr>
          <w:spacing w:val="80"/>
          <w:w w:val="150"/>
        </w:rPr>
        <w:t> </w:t>
      </w:r>
      <w:r>
        <w:rPr/>
        <w:t>of Ammonia</w:t>
      </w:r>
      <w:r>
        <w:rPr>
          <w:spacing w:val="80"/>
        </w:rPr>
        <w:t> </w:t>
      </w:r>
      <w:r>
        <w:rPr/>
        <w:t>prints/Blue</w:t>
      </w:r>
      <w:r>
        <w:rPr>
          <w:spacing w:val="40"/>
        </w:rPr>
        <w:t> </w:t>
      </w:r>
      <w:r>
        <w:rPr/>
        <w:t>prints</w:t>
      </w:r>
      <w:r>
        <w:rPr>
          <w:spacing w:val="40"/>
        </w:rPr>
        <w:t> </w:t>
      </w:r>
      <w:r>
        <w:rPr/>
        <w:t>or</w:t>
      </w:r>
      <w:r>
        <w:rPr>
          <w:spacing w:val="40"/>
        </w:rPr>
        <w:t> </w:t>
      </w:r>
      <w:r>
        <w:rPr/>
        <w:t>White</w:t>
      </w:r>
      <w:r>
        <w:rPr>
          <w:spacing w:val="80"/>
        </w:rPr>
        <w:t> </w:t>
      </w:r>
      <w:r>
        <w:rPr/>
        <w:t>plans.</w:t>
      </w:r>
    </w:p>
    <w:p>
      <w:pPr>
        <w:pStyle w:val="BodyText"/>
        <w:spacing w:before="241"/>
        <w:ind w:left="1853" w:right="783" w:hanging="360"/>
      </w:pPr>
      <w:r>
        <w:rPr/>
        <w:t>(ii) Existing work to be hatched black; for land </w:t>
      </w:r>
      <w:r>
        <w:rPr>
          <w:spacing w:val="9"/>
        </w:rPr>
        <w:t>development/sub- division/lay-</w:t>
      </w:r>
      <w:r>
        <w:rPr/>
        <w:t>out, suitable colouring notations shall be used duly </w:t>
      </w:r>
      <w:r>
        <w:rPr>
          <w:spacing w:val="-2"/>
        </w:rPr>
        <w:t>indexed.</w:t>
      </w:r>
    </w:p>
    <w:p>
      <w:pPr>
        <w:pStyle w:val="Heading6"/>
        <w:numPr>
          <w:ilvl w:val="1"/>
          <w:numId w:val="10"/>
        </w:numPr>
        <w:tabs>
          <w:tab w:pos="1493" w:val="left" w:leader="none"/>
        </w:tabs>
        <w:spacing w:line="240" w:lineRule="auto" w:before="237" w:after="0"/>
        <w:ind w:left="1493" w:right="0" w:hanging="721"/>
        <w:jc w:val="left"/>
      </w:pPr>
      <w:r>
        <w:rPr/>
        <w:t>Information</w:t>
      </w:r>
      <w:r>
        <w:rPr>
          <w:spacing w:val="74"/>
          <w:w w:val="150"/>
        </w:rPr>
        <w:t> </w:t>
      </w:r>
      <w:r>
        <w:rPr/>
        <w:t>accompanying</w:t>
      </w:r>
      <w:r>
        <w:rPr>
          <w:spacing w:val="79"/>
          <w:w w:val="150"/>
        </w:rPr>
        <w:t> </w:t>
      </w:r>
      <w:r>
        <w:rPr>
          <w:spacing w:val="-2"/>
        </w:rPr>
        <w:t>notice</w:t>
      </w:r>
      <w:r>
        <w:rPr>
          <w:i w:val="0"/>
          <w:spacing w:val="-2"/>
        </w:rPr>
        <w:t>:</w:t>
      </w:r>
    </w:p>
    <w:p>
      <w:pPr>
        <w:pStyle w:val="ListParagraph"/>
        <w:numPr>
          <w:ilvl w:val="0"/>
          <w:numId w:val="16"/>
        </w:numPr>
        <w:tabs>
          <w:tab w:pos="2211" w:val="left" w:leader="none"/>
          <w:tab w:pos="2213" w:val="left" w:leader="none"/>
        </w:tabs>
        <w:spacing w:line="240" w:lineRule="auto" w:before="242" w:after="0"/>
        <w:ind w:left="2213" w:right="780" w:hanging="720"/>
        <w:jc w:val="both"/>
        <w:rPr>
          <w:sz w:val="24"/>
        </w:rPr>
      </w:pPr>
      <w:r>
        <w:rPr>
          <w:sz w:val="24"/>
        </w:rPr>
        <w:t>Key plan, site plan, etc. to accompany notice. The notice shall be accompanied by the key plan (location plan), a site plan, sub- division/lay</w:t>
      </w:r>
      <w:r>
        <w:rPr>
          <w:spacing w:val="40"/>
          <w:sz w:val="24"/>
        </w:rPr>
        <w:t> </w:t>
      </w:r>
      <w:r>
        <w:rPr>
          <w:sz w:val="24"/>
        </w:rPr>
        <w:t>out</w:t>
      </w:r>
      <w:r>
        <w:rPr>
          <w:spacing w:val="40"/>
          <w:sz w:val="24"/>
        </w:rPr>
        <w:t> </w:t>
      </w:r>
      <w:r>
        <w:rPr>
          <w:sz w:val="24"/>
        </w:rPr>
        <w:t>plan,</w:t>
      </w:r>
      <w:r>
        <w:rPr>
          <w:spacing w:val="40"/>
          <w:sz w:val="24"/>
        </w:rPr>
        <w:t> </w:t>
      </w:r>
      <w:r>
        <w:rPr>
          <w:sz w:val="24"/>
        </w:rPr>
        <w:t>building</w:t>
      </w:r>
      <w:r>
        <w:rPr>
          <w:spacing w:val="40"/>
          <w:sz w:val="24"/>
        </w:rPr>
        <w:t> </w:t>
      </w:r>
      <w:r>
        <w:rPr>
          <w:sz w:val="24"/>
        </w:rPr>
        <w:t>plan,</w:t>
      </w:r>
      <w:r>
        <w:rPr>
          <w:spacing w:val="40"/>
          <w:sz w:val="24"/>
        </w:rPr>
        <w:t> </w:t>
      </w:r>
      <w:r>
        <w:rPr>
          <w:sz w:val="24"/>
        </w:rPr>
        <w:t>specifications</w:t>
      </w:r>
      <w:r>
        <w:rPr>
          <w:spacing w:val="40"/>
          <w:sz w:val="24"/>
        </w:rPr>
        <w:t> </w:t>
      </w:r>
      <w:r>
        <w:rPr>
          <w:sz w:val="24"/>
        </w:rPr>
        <w:t>and</w:t>
      </w:r>
      <w:r>
        <w:rPr>
          <w:spacing w:val="40"/>
          <w:sz w:val="24"/>
        </w:rPr>
        <w:t> </w:t>
      </w:r>
      <w:r>
        <w:rPr>
          <w:sz w:val="24"/>
        </w:rPr>
        <w:t>certificate</w:t>
      </w:r>
      <w:r>
        <w:rPr>
          <w:spacing w:val="40"/>
          <w:sz w:val="24"/>
        </w:rPr>
        <w:t> </w:t>
      </w:r>
      <w:r>
        <w:rPr>
          <w:sz w:val="24"/>
        </w:rPr>
        <w:t>of</w:t>
      </w:r>
      <w:r>
        <w:rPr>
          <w:spacing w:val="76"/>
          <w:sz w:val="24"/>
        </w:rPr>
        <w:t> </w:t>
      </w:r>
      <w:r>
        <w:rPr>
          <w:sz w:val="24"/>
        </w:rPr>
        <w:t>supervision,</w:t>
      </w:r>
      <w:r>
        <w:rPr>
          <w:spacing w:val="76"/>
          <w:sz w:val="24"/>
        </w:rPr>
        <w:t> </w:t>
      </w:r>
      <w:r>
        <w:rPr>
          <w:sz w:val="24"/>
        </w:rPr>
        <w:t>ownership,</w:t>
      </w:r>
      <w:r>
        <w:rPr>
          <w:spacing w:val="79"/>
          <w:sz w:val="24"/>
        </w:rPr>
        <w:t> </w:t>
      </w:r>
      <w:r>
        <w:rPr>
          <w:sz w:val="24"/>
        </w:rPr>
        <w:t>title,</w:t>
      </w:r>
      <w:r>
        <w:rPr>
          <w:spacing w:val="79"/>
          <w:sz w:val="24"/>
        </w:rPr>
        <w:t> </w:t>
      </w:r>
      <w:r>
        <w:rPr>
          <w:sz w:val="24"/>
        </w:rPr>
        <w:t>etc.</w:t>
      </w:r>
      <w:r>
        <w:rPr>
          <w:spacing w:val="80"/>
          <w:sz w:val="24"/>
        </w:rPr>
        <w:t> </w:t>
      </w:r>
      <w:r>
        <w:rPr>
          <w:sz w:val="24"/>
        </w:rPr>
        <w:t>as</w:t>
      </w:r>
      <w:r>
        <w:rPr>
          <w:spacing w:val="75"/>
          <w:sz w:val="24"/>
        </w:rPr>
        <w:t> </w:t>
      </w:r>
      <w:r>
        <w:rPr>
          <w:sz w:val="24"/>
        </w:rPr>
        <w:t>prescribed</w:t>
      </w:r>
      <w:r>
        <w:rPr>
          <w:spacing w:val="79"/>
          <w:sz w:val="24"/>
        </w:rPr>
        <w:t> </w:t>
      </w:r>
      <w:r>
        <w:rPr>
          <w:sz w:val="24"/>
        </w:rPr>
        <w:t>in</w:t>
      </w:r>
      <w:r>
        <w:rPr>
          <w:spacing w:val="75"/>
          <w:sz w:val="24"/>
        </w:rPr>
        <w:t> </w:t>
      </w:r>
      <w:r>
        <w:rPr>
          <w:sz w:val="24"/>
        </w:rPr>
        <w:t>clauses</w:t>
      </w:r>
      <w:r>
        <w:rPr>
          <w:spacing w:val="75"/>
          <w:sz w:val="24"/>
        </w:rPr>
        <w:t> </w:t>
      </w:r>
      <w:r>
        <w:rPr>
          <w:sz w:val="24"/>
        </w:rPr>
        <w:t>(ii) to (xiii) below.</w:t>
      </w:r>
    </w:p>
    <w:p>
      <w:pPr>
        <w:pStyle w:val="ListParagraph"/>
        <w:numPr>
          <w:ilvl w:val="0"/>
          <w:numId w:val="16"/>
        </w:numPr>
        <w:tabs>
          <w:tab w:pos="2210" w:val="left" w:leader="none"/>
        </w:tabs>
        <w:spacing w:line="240" w:lineRule="auto" w:before="240" w:after="0"/>
        <w:ind w:left="1493" w:right="782" w:firstLine="0"/>
        <w:jc w:val="both"/>
        <w:rPr>
          <w:sz w:val="24"/>
        </w:rPr>
      </w:pPr>
      <w:r>
        <w:rPr>
          <w:sz w:val="24"/>
        </w:rPr>
        <w:t>Ownership title and area. -Every application for development permission</w:t>
      </w:r>
      <w:r>
        <w:rPr>
          <w:spacing w:val="40"/>
          <w:sz w:val="24"/>
        </w:rPr>
        <w:t> </w:t>
      </w:r>
      <w:r>
        <w:rPr>
          <w:sz w:val="24"/>
        </w:rPr>
        <w:t>and</w:t>
      </w:r>
      <w:r>
        <w:rPr>
          <w:spacing w:val="40"/>
          <w:sz w:val="24"/>
        </w:rPr>
        <w:t> </w:t>
      </w:r>
      <w:r>
        <w:rPr>
          <w:sz w:val="24"/>
        </w:rPr>
        <w:t>commencement</w:t>
      </w:r>
      <w:r>
        <w:rPr>
          <w:spacing w:val="40"/>
          <w:sz w:val="24"/>
        </w:rPr>
        <w:t> </w:t>
      </w:r>
      <w:r>
        <w:rPr>
          <w:sz w:val="24"/>
        </w:rPr>
        <w:t>certificate</w:t>
      </w:r>
      <w:r>
        <w:rPr>
          <w:spacing w:val="40"/>
          <w:sz w:val="24"/>
        </w:rPr>
        <w:t> </w:t>
      </w:r>
      <w:r>
        <w:rPr>
          <w:sz w:val="24"/>
        </w:rPr>
        <w:t>shall</w:t>
      </w:r>
      <w:r>
        <w:rPr>
          <w:spacing w:val="40"/>
          <w:sz w:val="24"/>
        </w:rPr>
        <w:t> </w:t>
      </w:r>
      <w:r>
        <w:rPr>
          <w:sz w:val="24"/>
        </w:rPr>
        <w:t>be</w:t>
      </w:r>
      <w:r>
        <w:rPr>
          <w:spacing w:val="40"/>
          <w:sz w:val="24"/>
        </w:rPr>
        <w:t> </w:t>
      </w:r>
      <w:r>
        <w:rPr>
          <w:sz w:val="24"/>
        </w:rPr>
        <w:t>accompanied</w:t>
      </w:r>
      <w:r>
        <w:rPr>
          <w:spacing w:val="40"/>
          <w:sz w:val="24"/>
        </w:rPr>
        <w:t> </w:t>
      </w:r>
      <w:r>
        <w:rPr>
          <w:sz w:val="24"/>
        </w:rPr>
        <w:t>by</w:t>
      </w:r>
      <w:r>
        <w:rPr>
          <w:spacing w:val="40"/>
          <w:sz w:val="24"/>
        </w:rPr>
        <w:t> </w:t>
      </w:r>
      <w:r>
        <w:rPr>
          <w:sz w:val="24"/>
        </w:rPr>
        <w:t>a copy of certificate of the title of the land under </w:t>
      </w:r>
      <w:r>
        <w:rPr>
          <w:spacing w:val="9"/>
          <w:sz w:val="24"/>
        </w:rPr>
        <w:t>development, </w:t>
      </w:r>
      <w:r>
        <w:rPr>
          <w:sz w:val="24"/>
        </w:rPr>
        <w:t>obtained</w:t>
      </w:r>
      <w:r>
        <w:rPr>
          <w:spacing w:val="80"/>
          <w:sz w:val="24"/>
        </w:rPr>
        <w:t> </w:t>
      </w:r>
      <w:r>
        <w:rPr>
          <w:sz w:val="24"/>
        </w:rPr>
        <w:t>from</w:t>
      </w:r>
      <w:r>
        <w:rPr>
          <w:spacing w:val="40"/>
          <w:sz w:val="24"/>
        </w:rPr>
        <w:t> </w:t>
      </w:r>
      <w:r>
        <w:rPr>
          <w:sz w:val="24"/>
        </w:rPr>
        <w:t>an</w:t>
      </w:r>
      <w:r>
        <w:rPr>
          <w:spacing w:val="40"/>
          <w:sz w:val="24"/>
        </w:rPr>
        <w:t> </w:t>
      </w:r>
      <w:r>
        <w:rPr>
          <w:sz w:val="24"/>
        </w:rPr>
        <w:t>Advocate</w:t>
      </w:r>
      <w:r>
        <w:rPr>
          <w:spacing w:val="40"/>
          <w:sz w:val="24"/>
        </w:rPr>
        <w:t> </w:t>
      </w:r>
      <w:r>
        <w:rPr>
          <w:sz w:val="24"/>
        </w:rPr>
        <w:t>who</w:t>
      </w:r>
      <w:r>
        <w:rPr>
          <w:spacing w:val="40"/>
          <w:sz w:val="24"/>
        </w:rPr>
        <w:t> </w:t>
      </w:r>
      <w:r>
        <w:rPr>
          <w:sz w:val="24"/>
        </w:rPr>
        <w:t>has</w:t>
      </w:r>
      <w:r>
        <w:rPr>
          <w:spacing w:val="40"/>
          <w:sz w:val="24"/>
        </w:rPr>
        <w:t> </w:t>
      </w:r>
      <w:r>
        <w:rPr>
          <w:sz w:val="24"/>
        </w:rPr>
        <w:t>experience</w:t>
      </w:r>
      <w:r>
        <w:rPr>
          <w:spacing w:val="40"/>
          <w:sz w:val="24"/>
        </w:rPr>
        <w:t> </w:t>
      </w:r>
      <w:r>
        <w:rPr>
          <w:sz w:val="24"/>
        </w:rPr>
        <w:t>in</w:t>
      </w:r>
      <w:r>
        <w:rPr>
          <w:spacing w:val="40"/>
          <w:sz w:val="24"/>
        </w:rPr>
        <w:t> </w:t>
      </w:r>
      <w:r>
        <w:rPr>
          <w:sz w:val="24"/>
        </w:rPr>
        <w:t>this</w:t>
      </w:r>
      <w:r>
        <w:rPr>
          <w:spacing w:val="40"/>
          <w:sz w:val="24"/>
        </w:rPr>
        <w:t> </w:t>
      </w:r>
      <w:r>
        <w:rPr>
          <w:sz w:val="24"/>
        </w:rPr>
        <w:t>field</w:t>
      </w:r>
      <w:r>
        <w:rPr>
          <w:spacing w:val="40"/>
          <w:sz w:val="24"/>
        </w:rPr>
        <w:t> </w:t>
      </w:r>
      <w:r>
        <w:rPr>
          <w:sz w:val="24"/>
        </w:rPr>
        <w:t>of</w:t>
      </w:r>
      <w:r>
        <w:rPr>
          <w:spacing w:val="40"/>
          <w:sz w:val="24"/>
        </w:rPr>
        <w:t> </w:t>
      </w:r>
      <w:r>
        <w:rPr>
          <w:sz w:val="24"/>
        </w:rPr>
        <w:t>a</w:t>
      </w:r>
      <w:r>
        <w:rPr>
          <w:spacing w:val="40"/>
          <w:sz w:val="24"/>
        </w:rPr>
        <w:t> </w:t>
      </w:r>
      <w:r>
        <w:rPr>
          <w:sz w:val="24"/>
        </w:rPr>
        <w:t>minimum</w:t>
      </w:r>
      <w:r>
        <w:rPr>
          <w:spacing w:val="40"/>
          <w:sz w:val="24"/>
        </w:rPr>
        <w:t> </w:t>
      </w:r>
      <w:r>
        <w:rPr>
          <w:sz w:val="24"/>
        </w:rPr>
        <w:t>10 years. In case the application for Development Permission or Commencement</w:t>
      </w:r>
      <w:r>
        <w:rPr>
          <w:spacing w:val="40"/>
          <w:sz w:val="24"/>
        </w:rPr>
        <w:t> </w:t>
      </w:r>
      <w:r>
        <w:rPr>
          <w:sz w:val="24"/>
        </w:rPr>
        <w:t>Certificate</w:t>
      </w:r>
      <w:r>
        <w:rPr>
          <w:spacing w:val="40"/>
          <w:sz w:val="24"/>
        </w:rPr>
        <w:t> </w:t>
      </w:r>
      <w:r>
        <w:rPr>
          <w:sz w:val="24"/>
        </w:rPr>
        <w:t>is</w:t>
      </w:r>
      <w:r>
        <w:rPr>
          <w:spacing w:val="40"/>
          <w:sz w:val="24"/>
        </w:rPr>
        <w:t> </w:t>
      </w:r>
      <w:r>
        <w:rPr>
          <w:sz w:val="24"/>
        </w:rPr>
        <w:t>submitted</w:t>
      </w:r>
      <w:r>
        <w:rPr>
          <w:spacing w:val="40"/>
          <w:sz w:val="24"/>
        </w:rPr>
        <w:t> </w:t>
      </w:r>
      <w:r>
        <w:rPr>
          <w:sz w:val="24"/>
        </w:rPr>
        <w:t>by</w:t>
      </w:r>
      <w:r>
        <w:rPr>
          <w:spacing w:val="40"/>
          <w:sz w:val="24"/>
        </w:rPr>
        <w:t> </w:t>
      </w:r>
      <w:r>
        <w:rPr>
          <w:sz w:val="24"/>
        </w:rPr>
        <w:t>the</w:t>
      </w:r>
      <w:r>
        <w:rPr>
          <w:spacing w:val="40"/>
          <w:sz w:val="24"/>
        </w:rPr>
        <w:t> </w:t>
      </w:r>
      <w:r>
        <w:rPr>
          <w:sz w:val="24"/>
        </w:rPr>
        <w:t>holder</w:t>
      </w:r>
      <w:r>
        <w:rPr>
          <w:spacing w:val="40"/>
          <w:sz w:val="24"/>
        </w:rPr>
        <w:t> </w:t>
      </w:r>
      <w:r>
        <w:rPr>
          <w:sz w:val="24"/>
        </w:rPr>
        <w:t>of</w:t>
      </w:r>
      <w:r>
        <w:rPr>
          <w:spacing w:val="40"/>
          <w:sz w:val="24"/>
        </w:rPr>
        <w:t> </w:t>
      </w:r>
      <w:r>
        <w:rPr>
          <w:sz w:val="24"/>
        </w:rPr>
        <w:t>power</w:t>
      </w:r>
      <w:r>
        <w:rPr>
          <w:spacing w:val="40"/>
          <w:sz w:val="24"/>
        </w:rPr>
        <w:t> </w:t>
      </w:r>
      <w:r>
        <w:rPr>
          <w:sz w:val="24"/>
        </w:rPr>
        <w:t>of attorney,</w:t>
      </w:r>
      <w:r>
        <w:rPr>
          <w:spacing w:val="69"/>
          <w:sz w:val="24"/>
        </w:rPr>
        <w:t> </w:t>
      </w:r>
      <w:r>
        <w:rPr>
          <w:sz w:val="24"/>
        </w:rPr>
        <w:t>then</w:t>
      </w:r>
      <w:r>
        <w:rPr>
          <w:spacing w:val="69"/>
          <w:sz w:val="24"/>
        </w:rPr>
        <w:t> </w:t>
      </w:r>
      <w:r>
        <w:rPr>
          <w:sz w:val="24"/>
        </w:rPr>
        <w:t>a</w:t>
      </w:r>
      <w:r>
        <w:rPr>
          <w:spacing w:val="69"/>
          <w:sz w:val="24"/>
        </w:rPr>
        <w:t> </w:t>
      </w:r>
      <w:r>
        <w:rPr>
          <w:sz w:val="24"/>
        </w:rPr>
        <w:t>certificate</w:t>
      </w:r>
      <w:r>
        <w:rPr>
          <w:spacing w:val="69"/>
          <w:sz w:val="24"/>
        </w:rPr>
        <w:t> </w:t>
      </w:r>
      <w:r>
        <w:rPr>
          <w:sz w:val="24"/>
        </w:rPr>
        <w:t>from</w:t>
      </w:r>
      <w:r>
        <w:rPr>
          <w:spacing w:val="69"/>
          <w:sz w:val="24"/>
        </w:rPr>
        <w:t> </w:t>
      </w:r>
      <w:r>
        <w:rPr>
          <w:sz w:val="24"/>
        </w:rPr>
        <w:t>an</w:t>
      </w:r>
      <w:r>
        <w:rPr>
          <w:spacing w:val="75"/>
          <w:sz w:val="24"/>
        </w:rPr>
        <w:t> </w:t>
      </w:r>
      <w:r>
        <w:rPr>
          <w:sz w:val="24"/>
        </w:rPr>
        <w:t>Advocate</w:t>
      </w:r>
      <w:r>
        <w:rPr>
          <w:spacing w:val="69"/>
          <w:sz w:val="24"/>
        </w:rPr>
        <w:t> </w:t>
      </w:r>
      <w:r>
        <w:rPr>
          <w:sz w:val="24"/>
        </w:rPr>
        <w:t>certifying</w:t>
      </w:r>
      <w:r>
        <w:rPr>
          <w:spacing w:val="69"/>
          <w:sz w:val="24"/>
        </w:rPr>
        <w:t> </w:t>
      </w:r>
      <w:r>
        <w:rPr>
          <w:sz w:val="24"/>
        </w:rPr>
        <w:t>that</w:t>
      </w:r>
      <w:r>
        <w:rPr>
          <w:spacing w:val="69"/>
          <w:sz w:val="24"/>
        </w:rPr>
        <w:t> </w:t>
      </w:r>
      <w:r>
        <w:rPr>
          <w:sz w:val="24"/>
        </w:rPr>
        <w:t>the</w:t>
      </w:r>
      <w:r>
        <w:rPr>
          <w:spacing w:val="69"/>
          <w:sz w:val="24"/>
        </w:rPr>
        <w:t> </w:t>
      </w:r>
      <w:r>
        <w:rPr>
          <w:sz w:val="24"/>
        </w:rPr>
        <w:t>power of attorney in favour of the applicant is valid and subsisting shall be accompanied.</w:t>
      </w:r>
      <w:r>
        <w:rPr>
          <w:spacing w:val="40"/>
          <w:sz w:val="24"/>
        </w:rPr>
        <w:t> </w:t>
      </w:r>
      <w:r>
        <w:rPr>
          <w:sz w:val="24"/>
        </w:rPr>
        <w:t>In</w:t>
      </w:r>
      <w:r>
        <w:rPr>
          <w:spacing w:val="40"/>
          <w:sz w:val="24"/>
        </w:rPr>
        <w:t> </w:t>
      </w:r>
      <w:r>
        <w:rPr>
          <w:sz w:val="24"/>
        </w:rPr>
        <w:t>addition</w:t>
      </w:r>
      <w:r>
        <w:rPr>
          <w:spacing w:val="40"/>
          <w:sz w:val="24"/>
        </w:rPr>
        <w:t> </w:t>
      </w:r>
      <w:r>
        <w:rPr>
          <w:sz w:val="24"/>
        </w:rPr>
        <w:t>to</w:t>
      </w:r>
      <w:r>
        <w:rPr>
          <w:spacing w:val="40"/>
          <w:sz w:val="24"/>
        </w:rPr>
        <w:t> </w:t>
      </w:r>
      <w:r>
        <w:rPr>
          <w:sz w:val="24"/>
        </w:rPr>
        <w:t>above</w:t>
      </w:r>
      <w:r>
        <w:rPr>
          <w:spacing w:val="40"/>
          <w:sz w:val="24"/>
        </w:rPr>
        <w:t> </w:t>
      </w:r>
      <w:r>
        <w:rPr>
          <w:sz w:val="24"/>
        </w:rPr>
        <w:t>the</w:t>
      </w:r>
      <w:r>
        <w:rPr>
          <w:spacing w:val="40"/>
          <w:sz w:val="24"/>
        </w:rPr>
        <w:t> </w:t>
      </w:r>
      <w:r>
        <w:rPr>
          <w:sz w:val="24"/>
        </w:rPr>
        <w:t>certificate,</w:t>
      </w:r>
      <w:r>
        <w:rPr>
          <w:spacing w:val="40"/>
          <w:sz w:val="24"/>
        </w:rPr>
        <w:t> </w:t>
      </w:r>
      <w:r>
        <w:rPr>
          <w:sz w:val="24"/>
        </w:rPr>
        <w:t>the</w:t>
      </w:r>
      <w:r>
        <w:rPr>
          <w:spacing w:val="40"/>
          <w:sz w:val="24"/>
        </w:rPr>
        <w:t> </w:t>
      </w:r>
      <w:r>
        <w:rPr>
          <w:sz w:val="24"/>
        </w:rPr>
        <w:t>following documents for verifying the area of the land shall be </w:t>
      </w:r>
      <w:r>
        <w:rPr>
          <w:spacing w:val="9"/>
          <w:sz w:val="24"/>
        </w:rPr>
        <w:t>submitted, </w:t>
      </w:r>
      <w:r>
        <w:rPr>
          <w:sz w:val="24"/>
        </w:rPr>
        <w:t>accompanied by an Indemnity Bond indemnifying MCGM and its officer against</w:t>
      </w:r>
      <w:r>
        <w:rPr>
          <w:spacing w:val="80"/>
          <w:sz w:val="24"/>
        </w:rPr>
        <w:t> </w:t>
      </w:r>
      <w:r>
        <w:rPr>
          <w:sz w:val="24"/>
        </w:rPr>
        <w:t>legal</w:t>
      </w:r>
      <w:r>
        <w:rPr>
          <w:spacing w:val="80"/>
          <w:sz w:val="24"/>
        </w:rPr>
        <w:t> </w:t>
      </w:r>
      <w:r>
        <w:rPr>
          <w:sz w:val="24"/>
        </w:rPr>
        <w:t>consequences</w:t>
      </w:r>
      <w:r>
        <w:rPr>
          <w:spacing w:val="80"/>
          <w:sz w:val="24"/>
        </w:rPr>
        <w:t> </w:t>
      </w:r>
      <w:r>
        <w:rPr>
          <w:sz w:val="24"/>
        </w:rPr>
        <w:t>on</w:t>
      </w:r>
      <w:r>
        <w:rPr>
          <w:spacing w:val="80"/>
          <w:sz w:val="24"/>
        </w:rPr>
        <w:t> </w:t>
      </w:r>
      <w:r>
        <w:rPr>
          <w:sz w:val="24"/>
        </w:rPr>
        <w:t>account</w:t>
      </w:r>
      <w:r>
        <w:rPr>
          <w:spacing w:val="80"/>
          <w:sz w:val="24"/>
        </w:rPr>
        <w:t> </w:t>
      </w:r>
      <w:r>
        <w:rPr>
          <w:sz w:val="24"/>
        </w:rPr>
        <w:t>of</w:t>
      </w:r>
      <w:r>
        <w:rPr>
          <w:spacing w:val="80"/>
          <w:sz w:val="24"/>
        </w:rPr>
        <w:t> </w:t>
      </w:r>
      <w:r>
        <w:rPr>
          <w:sz w:val="24"/>
        </w:rPr>
        <w:t>ownership</w:t>
      </w:r>
      <w:r>
        <w:rPr>
          <w:spacing w:val="80"/>
          <w:sz w:val="24"/>
        </w:rPr>
        <w:t> </w:t>
      </w:r>
      <w:r>
        <w:rPr>
          <w:sz w:val="24"/>
        </w:rPr>
        <w:t>disputes,</w:t>
      </w:r>
      <w:r>
        <w:rPr>
          <w:spacing w:val="80"/>
          <w:sz w:val="24"/>
        </w:rPr>
        <w:t> </w:t>
      </w:r>
      <w:r>
        <w:rPr>
          <w:sz w:val="24"/>
        </w:rPr>
        <w:t>if</w:t>
      </w:r>
      <w:r>
        <w:rPr>
          <w:spacing w:val="80"/>
          <w:sz w:val="24"/>
        </w:rPr>
        <w:t> </w:t>
      </w:r>
      <w:r>
        <w:rPr>
          <w:sz w:val="24"/>
        </w:rPr>
        <w:t>any.</w:t>
      </w:r>
    </w:p>
    <w:p>
      <w:pPr>
        <w:pStyle w:val="ListParagraph"/>
        <w:numPr>
          <w:ilvl w:val="1"/>
          <w:numId w:val="16"/>
        </w:numPr>
        <w:tabs>
          <w:tab w:pos="2213" w:val="left" w:leader="none"/>
          <w:tab w:pos="2244" w:val="left" w:leader="none"/>
        </w:tabs>
        <w:spacing w:line="240" w:lineRule="auto" w:before="242" w:after="0"/>
        <w:ind w:left="2213" w:right="800" w:hanging="308"/>
        <w:jc w:val="left"/>
        <w:rPr>
          <w:sz w:val="24"/>
        </w:rPr>
      </w:pPr>
      <w:r>
        <w:rPr>
          <w:sz w:val="24"/>
        </w:rPr>
        <w:t>Property</w:t>
      </w:r>
      <w:r>
        <w:rPr>
          <w:spacing w:val="80"/>
          <w:w w:val="150"/>
          <w:sz w:val="24"/>
        </w:rPr>
        <w:t> </w:t>
      </w:r>
      <w:r>
        <w:rPr>
          <w:sz w:val="24"/>
        </w:rPr>
        <w:t>register</w:t>
      </w:r>
      <w:r>
        <w:rPr>
          <w:spacing w:val="80"/>
          <w:sz w:val="24"/>
        </w:rPr>
        <w:t> </w:t>
      </w:r>
      <w:r>
        <w:rPr>
          <w:sz w:val="24"/>
        </w:rPr>
        <w:t>card</w:t>
      </w:r>
      <w:r>
        <w:rPr>
          <w:spacing w:val="78"/>
          <w:sz w:val="24"/>
        </w:rPr>
        <w:t> </w:t>
      </w:r>
      <w:r>
        <w:rPr>
          <w:sz w:val="24"/>
        </w:rPr>
        <w:t>of</w:t>
      </w:r>
      <w:r>
        <w:rPr>
          <w:spacing w:val="80"/>
          <w:sz w:val="24"/>
        </w:rPr>
        <w:t> </w:t>
      </w:r>
      <w:r>
        <w:rPr>
          <w:sz w:val="24"/>
        </w:rPr>
        <w:t>a</w:t>
      </w:r>
      <w:r>
        <w:rPr>
          <w:spacing w:val="78"/>
          <w:sz w:val="24"/>
        </w:rPr>
        <w:t> </w:t>
      </w:r>
      <w:r>
        <w:rPr>
          <w:sz w:val="24"/>
        </w:rPr>
        <w:t>date</w:t>
      </w:r>
      <w:r>
        <w:rPr>
          <w:spacing w:val="80"/>
          <w:sz w:val="24"/>
        </w:rPr>
        <w:t> </w:t>
      </w:r>
      <w:r>
        <w:rPr>
          <w:sz w:val="24"/>
        </w:rPr>
        <w:t>not</w:t>
      </w:r>
      <w:r>
        <w:rPr>
          <w:spacing w:val="80"/>
          <w:sz w:val="24"/>
        </w:rPr>
        <w:t> </w:t>
      </w:r>
      <w:r>
        <w:rPr>
          <w:sz w:val="24"/>
        </w:rPr>
        <w:t>earlier</w:t>
      </w:r>
      <w:r>
        <w:rPr>
          <w:spacing w:val="80"/>
          <w:sz w:val="24"/>
        </w:rPr>
        <w:t> </w:t>
      </w:r>
      <w:r>
        <w:rPr>
          <w:sz w:val="24"/>
        </w:rPr>
        <w:t>than</w:t>
      </w:r>
      <w:r>
        <w:rPr>
          <w:spacing w:val="78"/>
          <w:sz w:val="24"/>
        </w:rPr>
        <w:t> </w:t>
      </w:r>
      <w:r>
        <w:rPr>
          <w:sz w:val="24"/>
        </w:rPr>
        <w:t>twelve</w:t>
      </w:r>
      <w:r>
        <w:rPr>
          <w:spacing w:val="80"/>
          <w:sz w:val="24"/>
        </w:rPr>
        <w:t> </w:t>
      </w:r>
      <w:r>
        <w:rPr>
          <w:sz w:val="24"/>
        </w:rPr>
        <w:t>months prior</w:t>
      </w:r>
      <w:r>
        <w:rPr>
          <w:spacing w:val="40"/>
          <w:sz w:val="24"/>
        </w:rPr>
        <w:t> </w:t>
      </w:r>
      <w:r>
        <w:rPr>
          <w:sz w:val="24"/>
        </w:rPr>
        <w:t>to</w:t>
      </w:r>
      <w:r>
        <w:rPr>
          <w:spacing w:val="80"/>
          <w:sz w:val="24"/>
        </w:rPr>
        <w:t> </w:t>
      </w:r>
      <w:r>
        <w:rPr>
          <w:sz w:val="24"/>
        </w:rPr>
        <w:t>the</w:t>
      </w:r>
      <w:r>
        <w:rPr>
          <w:spacing w:val="40"/>
          <w:sz w:val="24"/>
        </w:rPr>
        <w:t> </w:t>
      </w:r>
      <w:r>
        <w:rPr>
          <w:sz w:val="24"/>
        </w:rPr>
        <w:t>date</w:t>
      </w:r>
      <w:r>
        <w:rPr>
          <w:spacing w:val="40"/>
          <w:sz w:val="24"/>
        </w:rPr>
        <w:t> </w:t>
      </w:r>
      <w:r>
        <w:rPr>
          <w:sz w:val="24"/>
        </w:rPr>
        <w:t>of</w:t>
      </w:r>
      <w:r>
        <w:rPr>
          <w:spacing w:val="80"/>
          <w:sz w:val="24"/>
        </w:rPr>
        <w:t> </w:t>
      </w:r>
      <w:r>
        <w:rPr>
          <w:sz w:val="24"/>
        </w:rPr>
        <w:t>submission</w:t>
      </w:r>
      <w:r>
        <w:rPr>
          <w:spacing w:val="40"/>
          <w:sz w:val="24"/>
        </w:rPr>
        <w:t> </w:t>
      </w:r>
      <w:r>
        <w:rPr>
          <w:sz w:val="24"/>
        </w:rPr>
        <w:t>of</w:t>
      </w:r>
      <w:r>
        <w:rPr>
          <w:spacing w:val="80"/>
          <w:sz w:val="24"/>
        </w:rPr>
        <w:t> </w:t>
      </w:r>
      <w:r>
        <w:rPr>
          <w:sz w:val="24"/>
        </w:rPr>
        <w:t>the</w:t>
      </w:r>
      <w:r>
        <w:rPr>
          <w:spacing w:val="80"/>
          <w:sz w:val="24"/>
        </w:rPr>
        <w:t> </w:t>
      </w:r>
      <w:r>
        <w:rPr>
          <w:sz w:val="24"/>
        </w:rPr>
        <w:t>development</w:t>
      </w:r>
      <w:r>
        <w:rPr>
          <w:spacing w:val="40"/>
          <w:sz w:val="24"/>
        </w:rPr>
        <w:t> </w:t>
      </w:r>
      <w:r>
        <w:rPr>
          <w:sz w:val="24"/>
        </w:rPr>
        <w:t>proposal;</w:t>
      </w:r>
    </w:p>
    <w:p>
      <w:pPr>
        <w:pStyle w:val="ListParagraph"/>
        <w:spacing w:after="0" w:line="240" w:lineRule="auto"/>
        <w:jc w:val="left"/>
        <w:rPr>
          <w:sz w:val="24"/>
        </w:rPr>
        <w:sectPr>
          <w:pgSz w:w="11910" w:h="16840"/>
          <w:pgMar w:header="1036" w:footer="974" w:top="1460" w:bottom="1160" w:left="360" w:right="360"/>
        </w:sectPr>
      </w:pPr>
    </w:p>
    <w:p>
      <w:pPr>
        <w:pStyle w:val="ListParagraph"/>
        <w:numPr>
          <w:ilvl w:val="1"/>
          <w:numId w:val="16"/>
        </w:numPr>
        <w:tabs>
          <w:tab w:pos="2124" w:val="left" w:leader="none"/>
          <w:tab w:pos="2232" w:val="left" w:leader="none"/>
        </w:tabs>
        <w:spacing w:line="240" w:lineRule="auto" w:before="278" w:after="0"/>
        <w:ind w:left="2124" w:right="774" w:hanging="219"/>
        <w:jc w:val="both"/>
        <w:rPr>
          <w:sz w:val="24"/>
        </w:rPr>
      </w:pPr>
      <w:r>
        <w:rPr>
          <w:sz w:val="24"/>
        </w:rPr>
        <w:t>Statement of area of the holding by triangulation method from a licensed surveyor or architect with an affidavit from the owner certifying</w:t>
      </w:r>
      <w:r>
        <w:rPr>
          <w:spacing w:val="40"/>
          <w:sz w:val="24"/>
        </w:rPr>
        <w:t> </w:t>
      </w:r>
      <w:r>
        <w:rPr>
          <w:sz w:val="24"/>
        </w:rPr>
        <w:t>the</w:t>
      </w:r>
      <w:r>
        <w:rPr>
          <w:spacing w:val="40"/>
          <w:sz w:val="24"/>
        </w:rPr>
        <w:t> </w:t>
      </w:r>
      <w:r>
        <w:rPr>
          <w:sz w:val="24"/>
        </w:rPr>
        <w:t>boundaries</w:t>
      </w:r>
      <w:r>
        <w:rPr>
          <w:spacing w:val="40"/>
          <w:sz w:val="24"/>
        </w:rPr>
        <w:t> </w:t>
      </w:r>
      <w:r>
        <w:rPr>
          <w:sz w:val="24"/>
        </w:rPr>
        <w:t>of</w:t>
      </w:r>
      <w:r>
        <w:rPr>
          <w:spacing w:val="40"/>
          <w:sz w:val="24"/>
        </w:rPr>
        <w:t> </w:t>
      </w:r>
      <w:r>
        <w:rPr>
          <w:sz w:val="24"/>
        </w:rPr>
        <w:t>the</w:t>
      </w:r>
      <w:r>
        <w:rPr>
          <w:spacing w:val="40"/>
          <w:sz w:val="24"/>
        </w:rPr>
        <w:t> </w:t>
      </w:r>
      <w:r>
        <w:rPr>
          <w:sz w:val="24"/>
        </w:rPr>
        <w:t>plot</w:t>
      </w:r>
      <w:r>
        <w:rPr>
          <w:spacing w:val="40"/>
          <w:sz w:val="24"/>
        </w:rPr>
        <w:t> </w:t>
      </w:r>
      <w:r>
        <w:rPr>
          <w:sz w:val="24"/>
        </w:rPr>
        <w:t>and</w:t>
      </w:r>
      <w:r>
        <w:rPr>
          <w:spacing w:val="40"/>
          <w:sz w:val="24"/>
        </w:rPr>
        <w:t> </w:t>
      </w:r>
      <w:r>
        <w:rPr>
          <w:sz w:val="24"/>
        </w:rPr>
        <w:t>area</w:t>
      </w:r>
      <w:r>
        <w:rPr>
          <w:spacing w:val="40"/>
          <w:sz w:val="24"/>
        </w:rPr>
        <w:t> </w:t>
      </w:r>
      <w:r>
        <w:rPr>
          <w:sz w:val="24"/>
        </w:rPr>
        <w:t>in</w:t>
      </w:r>
      <w:r>
        <w:rPr>
          <w:spacing w:val="40"/>
          <w:sz w:val="24"/>
        </w:rPr>
        <w:t> </w:t>
      </w:r>
      <w:r>
        <w:rPr>
          <w:sz w:val="24"/>
        </w:rPr>
        <w:t>the</w:t>
      </w:r>
      <w:r>
        <w:rPr>
          <w:spacing w:val="40"/>
          <w:sz w:val="24"/>
        </w:rPr>
        <w:t> </w:t>
      </w:r>
      <w:r>
        <w:rPr>
          <w:sz w:val="24"/>
        </w:rPr>
        <w:t>form prescribed</w:t>
      </w:r>
      <w:r>
        <w:rPr>
          <w:spacing w:val="40"/>
          <w:sz w:val="24"/>
        </w:rPr>
        <w:t> </w:t>
      </w:r>
      <w:r>
        <w:rPr>
          <w:sz w:val="24"/>
        </w:rPr>
        <w:t>by</w:t>
      </w:r>
      <w:r>
        <w:rPr>
          <w:spacing w:val="40"/>
          <w:sz w:val="24"/>
        </w:rPr>
        <w:t> </w:t>
      </w:r>
      <w:r>
        <w:rPr>
          <w:sz w:val="24"/>
        </w:rPr>
        <w:t>the</w:t>
      </w:r>
      <w:r>
        <w:rPr>
          <w:spacing w:val="40"/>
          <w:sz w:val="24"/>
        </w:rPr>
        <w:t> </w:t>
      </w:r>
      <w:r>
        <w:rPr>
          <w:sz w:val="24"/>
        </w:rPr>
        <w:t>Commissioner;</w:t>
      </w:r>
    </w:p>
    <w:p>
      <w:pPr>
        <w:pStyle w:val="ListParagraph"/>
        <w:numPr>
          <w:ilvl w:val="1"/>
          <w:numId w:val="16"/>
        </w:numPr>
        <w:tabs>
          <w:tab w:pos="2124" w:val="left" w:leader="none"/>
          <w:tab w:pos="2258" w:val="left" w:leader="none"/>
        </w:tabs>
        <w:spacing w:line="240" w:lineRule="auto" w:before="241" w:after="0"/>
        <w:ind w:left="2124" w:right="788" w:hanging="219"/>
        <w:jc w:val="both"/>
        <w:rPr>
          <w:sz w:val="24"/>
        </w:rPr>
      </w:pPr>
      <w:r>
        <w:rPr>
          <w:sz w:val="24"/>
        </w:rPr>
        <w:tab/>
        <w:t>Affidavit</w:t>
      </w:r>
      <w:r>
        <w:rPr>
          <w:spacing w:val="80"/>
          <w:sz w:val="24"/>
        </w:rPr>
        <w:t> </w:t>
      </w:r>
      <w:r>
        <w:rPr>
          <w:sz w:val="24"/>
        </w:rPr>
        <w:t>from</w:t>
      </w:r>
      <w:r>
        <w:rPr>
          <w:spacing w:val="40"/>
          <w:sz w:val="24"/>
        </w:rPr>
        <w:t> </w:t>
      </w:r>
      <w:r>
        <w:rPr>
          <w:sz w:val="24"/>
        </w:rPr>
        <w:t>the</w:t>
      </w:r>
      <w:r>
        <w:rPr>
          <w:spacing w:val="40"/>
          <w:sz w:val="24"/>
        </w:rPr>
        <w:t> </w:t>
      </w:r>
      <w:r>
        <w:rPr>
          <w:sz w:val="24"/>
        </w:rPr>
        <w:t>owner</w:t>
      </w:r>
      <w:r>
        <w:rPr>
          <w:spacing w:val="80"/>
          <w:sz w:val="24"/>
        </w:rPr>
        <w:t> </w:t>
      </w:r>
      <w:r>
        <w:rPr>
          <w:sz w:val="24"/>
        </w:rPr>
        <w:t>regarding</w:t>
      </w:r>
      <w:r>
        <w:rPr>
          <w:spacing w:val="40"/>
          <w:sz w:val="24"/>
        </w:rPr>
        <w:t> </w:t>
      </w:r>
      <w:r>
        <w:rPr>
          <w:spacing w:val="12"/>
          <w:sz w:val="24"/>
        </w:rPr>
        <w:t>non-</w:t>
      </w:r>
      <w:r>
        <w:rPr>
          <w:sz w:val="24"/>
        </w:rPr>
        <w:t>holding</w:t>
      </w:r>
      <w:r>
        <w:rPr>
          <w:spacing w:val="40"/>
          <w:sz w:val="24"/>
        </w:rPr>
        <w:t> </w:t>
      </w:r>
      <w:r>
        <w:rPr>
          <w:sz w:val="24"/>
        </w:rPr>
        <w:t>of</w:t>
      </w:r>
      <w:r>
        <w:rPr>
          <w:spacing w:val="80"/>
          <w:sz w:val="24"/>
        </w:rPr>
        <w:t> </w:t>
      </w:r>
      <w:r>
        <w:rPr>
          <w:sz w:val="24"/>
        </w:rPr>
        <w:t>contiguous land</w:t>
      </w:r>
      <w:r>
        <w:rPr>
          <w:spacing w:val="40"/>
          <w:sz w:val="24"/>
        </w:rPr>
        <w:t> </w:t>
      </w:r>
      <w:r>
        <w:rPr>
          <w:sz w:val="24"/>
        </w:rPr>
        <w:t>to</w:t>
      </w:r>
      <w:r>
        <w:rPr>
          <w:spacing w:val="40"/>
          <w:sz w:val="24"/>
        </w:rPr>
        <w:t> </w:t>
      </w:r>
      <w:r>
        <w:rPr>
          <w:sz w:val="24"/>
        </w:rPr>
        <w:t>the</w:t>
      </w:r>
      <w:r>
        <w:rPr>
          <w:spacing w:val="40"/>
          <w:sz w:val="24"/>
        </w:rPr>
        <w:t> </w:t>
      </w:r>
      <w:r>
        <w:rPr>
          <w:sz w:val="24"/>
        </w:rPr>
        <w:t>site</w:t>
      </w:r>
      <w:r>
        <w:rPr>
          <w:spacing w:val="40"/>
          <w:sz w:val="24"/>
        </w:rPr>
        <w:t> </w:t>
      </w:r>
      <w:r>
        <w:rPr>
          <w:sz w:val="24"/>
        </w:rPr>
        <w:t>under</w:t>
      </w:r>
      <w:r>
        <w:rPr>
          <w:spacing w:val="9"/>
          <w:sz w:val="24"/>
        </w:rPr>
        <w:t> development.</w:t>
      </w:r>
    </w:p>
    <w:p>
      <w:pPr>
        <w:pStyle w:val="ListParagraph"/>
        <w:numPr>
          <w:ilvl w:val="1"/>
          <w:numId w:val="16"/>
        </w:numPr>
        <w:tabs>
          <w:tab w:pos="2213" w:val="left" w:leader="none"/>
          <w:tab w:pos="2324" w:val="left" w:leader="none"/>
        </w:tabs>
        <w:spacing w:line="240" w:lineRule="auto" w:before="240" w:after="0"/>
        <w:ind w:left="2213" w:right="784" w:hanging="269"/>
        <w:jc w:val="both"/>
        <w:rPr>
          <w:sz w:val="24"/>
        </w:rPr>
      </w:pPr>
      <w:r>
        <w:rPr>
          <w:sz w:val="24"/>
        </w:rPr>
        <w:tab/>
        <w:t>CTS/CS plan in original. If there is any </w:t>
      </w:r>
      <w:r>
        <w:rPr>
          <w:spacing w:val="12"/>
          <w:sz w:val="24"/>
        </w:rPr>
        <w:t>sub-</w:t>
      </w:r>
      <w:r>
        <w:rPr>
          <w:sz w:val="24"/>
        </w:rPr>
        <w:t>division due to ownership,</w:t>
      </w:r>
      <w:r>
        <w:rPr>
          <w:spacing w:val="80"/>
          <w:sz w:val="24"/>
        </w:rPr>
        <w:t> </w:t>
      </w:r>
      <w:r>
        <w:rPr>
          <w:sz w:val="24"/>
        </w:rPr>
        <w:t>documents</w:t>
      </w:r>
      <w:r>
        <w:rPr>
          <w:spacing w:val="80"/>
          <w:sz w:val="24"/>
        </w:rPr>
        <w:t> </w:t>
      </w:r>
      <w:r>
        <w:rPr>
          <w:sz w:val="24"/>
        </w:rPr>
        <w:t>related</w:t>
      </w:r>
      <w:r>
        <w:rPr>
          <w:spacing w:val="80"/>
          <w:sz w:val="24"/>
        </w:rPr>
        <w:t> </w:t>
      </w:r>
      <w:r>
        <w:rPr>
          <w:sz w:val="24"/>
        </w:rPr>
        <w:t>to</w:t>
      </w:r>
      <w:r>
        <w:rPr>
          <w:spacing w:val="80"/>
          <w:sz w:val="24"/>
        </w:rPr>
        <w:t> </w:t>
      </w:r>
      <w:r>
        <w:rPr>
          <w:spacing w:val="10"/>
          <w:sz w:val="24"/>
        </w:rPr>
        <w:t>sub-</w:t>
      </w:r>
      <w:r>
        <w:rPr>
          <w:sz w:val="24"/>
        </w:rPr>
        <w:t>division.</w:t>
      </w:r>
    </w:p>
    <w:p>
      <w:pPr>
        <w:pStyle w:val="ListParagraph"/>
        <w:numPr>
          <w:ilvl w:val="1"/>
          <w:numId w:val="16"/>
        </w:numPr>
        <w:tabs>
          <w:tab w:pos="2213" w:val="left" w:leader="none"/>
          <w:tab w:pos="2273" w:val="left" w:leader="none"/>
        </w:tabs>
        <w:spacing w:line="240" w:lineRule="auto" w:before="241" w:after="0"/>
        <w:ind w:left="2213" w:right="794" w:hanging="269"/>
        <w:jc w:val="both"/>
        <w:rPr>
          <w:sz w:val="24"/>
        </w:rPr>
      </w:pPr>
      <w:r>
        <w:rPr>
          <w:sz w:val="24"/>
        </w:rPr>
        <w:t>In</w:t>
      </w:r>
      <w:r>
        <w:rPr>
          <w:spacing w:val="80"/>
          <w:sz w:val="24"/>
        </w:rPr>
        <w:t> </w:t>
      </w:r>
      <w:r>
        <w:rPr>
          <w:sz w:val="24"/>
        </w:rPr>
        <w:t>case</w:t>
      </w:r>
      <w:r>
        <w:rPr>
          <w:spacing w:val="40"/>
          <w:sz w:val="24"/>
        </w:rPr>
        <w:t> </w:t>
      </w:r>
      <w:r>
        <w:rPr>
          <w:sz w:val="24"/>
        </w:rPr>
        <w:t>of</w:t>
      </w:r>
      <w:r>
        <w:rPr>
          <w:spacing w:val="40"/>
          <w:sz w:val="24"/>
        </w:rPr>
        <w:t> </w:t>
      </w:r>
      <w:r>
        <w:rPr>
          <w:sz w:val="24"/>
        </w:rPr>
        <w:t>property</w:t>
      </w:r>
      <w:r>
        <w:rPr>
          <w:spacing w:val="40"/>
          <w:sz w:val="24"/>
        </w:rPr>
        <w:t> </w:t>
      </w:r>
      <w:r>
        <w:rPr>
          <w:sz w:val="24"/>
        </w:rPr>
        <w:t>owned</w:t>
      </w:r>
      <w:r>
        <w:rPr>
          <w:spacing w:val="40"/>
          <w:sz w:val="24"/>
        </w:rPr>
        <w:t> </w:t>
      </w:r>
      <w:r>
        <w:rPr>
          <w:sz w:val="24"/>
        </w:rPr>
        <w:t>by</w:t>
      </w:r>
      <w:r>
        <w:rPr>
          <w:spacing w:val="40"/>
          <w:sz w:val="24"/>
        </w:rPr>
        <w:t> </w:t>
      </w:r>
      <w:r>
        <w:rPr>
          <w:sz w:val="24"/>
        </w:rPr>
        <w:t>more</w:t>
      </w:r>
      <w:r>
        <w:rPr>
          <w:spacing w:val="40"/>
          <w:sz w:val="24"/>
        </w:rPr>
        <w:t> </w:t>
      </w:r>
      <w:r>
        <w:rPr>
          <w:sz w:val="24"/>
        </w:rPr>
        <w:t>than</w:t>
      </w:r>
      <w:r>
        <w:rPr>
          <w:spacing w:val="40"/>
          <w:sz w:val="24"/>
        </w:rPr>
        <w:t> </w:t>
      </w:r>
      <w:r>
        <w:rPr>
          <w:sz w:val="24"/>
        </w:rPr>
        <w:t>one</w:t>
      </w:r>
      <w:r>
        <w:rPr>
          <w:spacing w:val="40"/>
          <w:sz w:val="24"/>
        </w:rPr>
        <w:t> </w:t>
      </w:r>
      <w:r>
        <w:rPr>
          <w:sz w:val="24"/>
        </w:rPr>
        <w:t>owner,</w:t>
      </w:r>
      <w:r>
        <w:rPr>
          <w:spacing w:val="40"/>
          <w:sz w:val="24"/>
        </w:rPr>
        <w:t> </w:t>
      </w:r>
      <w:r>
        <w:rPr>
          <w:sz w:val="24"/>
        </w:rPr>
        <w:t>certificate from</w:t>
      </w:r>
      <w:r>
        <w:rPr>
          <w:spacing w:val="49"/>
          <w:sz w:val="24"/>
        </w:rPr>
        <w:t> </w:t>
      </w:r>
      <w:r>
        <w:rPr>
          <w:sz w:val="24"/>
        </w:rPr>
        <w:t>an</w:t>
      </w:r>
      <w:r>
        <w:rPr>
          <w:spacing w:val="55"/>
          <w:sz w:val="24"/>
        </w:rPr>
        <w:t> </w:t>
      </w:r>
      <w:r>
        <w:rPr>
          <w:sz w:val="24"/>
        </w:rPr>
        <w:t>advocate</w:t>
      </w:r>
      <w:r>
        <w:rPr>
          <w:spacing w:val="56"/>
          <w:sz w:val="24"/>
        </w:rPr>
        <w:t> </w:t>
      </w:r>
      <w:r>
        <w:rPr>
          <w:sz w:val="24"/>
        </w:rPr>
        <w:t>who</w:t>
      </w:r>
      <w:r>
        <w:rPr>
          <w:spacing w:val="51"/>
          <w:sz w:val="24"/>
        </w:rPr>
        <w:t> </w:t>
      </w:r>
      <w:r>
        <w:rPr>
          <w:sz w:val="24"/>
        </w:rPr>
        <w:t>has</w:t>
      </w:r>
      <w:r>
        <w:rPr>
          <w:spacing w:val="53"/>
          <w:sz w:val="24"/>
        </w:rPr>
        <w:t> </w:t>
      </w:r>
      <w:r>
        <w:rPr>
          <w:sz w:val="24"/>
        </w:rPr>
        <w:t>experience</w:t>
      </w:r>
      <w:r>
        <w:rPr>
          <w:spacing w:val="50"/>
          <w:sz w:val="24"/>
        </w:rPr>
        <w:t> </w:t>
      </w:r>
      <w:r>
        <w:rPr>
          <w:sz w:val="24"/>
        </w:rPr>
        <w:t>in</w:t>
      </w:r>
      <w:r>
        <w:rPr>
          <w:spacing w:val="51"/>
          <w:sz w:val="24"/>
        </w:rPr>
        <w:t> </w:t>
      </w:r>
      <w:r>
        <w:rPr>
          <w:sz w:val="24"/>
        </w:rPr>
        <w:t>this</w:t>
      </w:r>
      <w:r>
        <w:rPr>
          <w:spacing w:val="50"/>
          <w:sz w:val="24"/>
        </w:rPr>
        <w:t> </w:t>
      </w:r>
      <w:r>
        <w:rPr>
          <w:sz w:val="24"/>
        </w:rPr>
        <w:t>field</w:t>
      </w:r>
      <w:r>
        <w:rPr>
          <w:spacing w:val="53"/>
          <w:sz w:val="24"/>
        </w:rPr>
        <w:t> </w:t>
      </w:r>
      <w:r>
        <w:rPr>
          <w:sz w:val="24"/>
        </w:rPr>
        <w:t>of</w:t>
      </w:r>
      <w:r>
        <w:rPr>
          <w:spacing w:val="51"/>
          <w:sz w:val="24"/>
        </w:rPr>
        <w:t> </w:t>
      </w:r>
      <w:r>
        <w:rPr>
          <w:sz w:val="24"/>
        </w:rPr>
        <w:t>a</w:t>
      </w:r>
      <w:r>
        <w:rPr>
          <w:spacing w:val="57"/>
          <w:sz w:val="24"/>
        </w:rPr>
        <w:t> </w:t>
      </w:r>
      <w:r>
        <w:rPr>
          <w:spacing w:val="-2"/>
          <w:sz w:val="24"/>
        </w:rPr>
        <w:t>minimum</w:t>
      </w:r>
    </w:p>
    <w:p>
      <w:pPr>
        <w:pStyle w:val="BodyText"/>
        <w:tabs>
          <w:tab w:pos="2730" w:val="left" w:leader="none"/>
          <w:tab w:pos="3691" w:val="left" w:leader="none"/>
          <w:tab w:pos="5075" w:val="left" w:leader="none"/>
          <w:tab w:pos="5794" w:val="left" w:leader="none"/>
          <w:tab w:pos="6307" w:val="left" w:leader="none"/>
          <w:tab w:pos="7792" w:val="left" w:leader="none"/>
          <w:tab w:pos="8578" w:val="left" w:leader="none"/>
          <w:tab w:pos="10059" w:val="left" w:leader="none"/>
        </w:tabs>
        <w:ind w:left="2213" w:right="789"/>
        <w:jc w:val="left"/>
      </w:pPr>
      <w:r>
        <w:rPr>
          <w:spacing w:val="-6"/>
        </w:rPr>
        <w:t>10</w:t>
      </w:r>
      <w:r>
        <w:rPr/>
        <w:tab/>
      </w:r>
      <w:r>
        <w:rPr>
          <w:spacing w:val="-2"/>
        </w:rPr>
        <w:t>years,</w:t>
      </w:r>
      <w:r>
        <w:rPr/>
        <w:tab/>
      </w:r>
      <w:r>
        <w:rPr>
          <w:spacing w:val="-2"/>
        </w:rPr>
        <w:t>certifying</w:t>
      </w:r>
      <w:r>
        <w:rPr/>
        <w:tab/>
      </w:r>
      <w:r>
        <w:rPr>
          <w:spacing w:val="-4"/>
        </w:rPr>
        <w:t>that</w:t>
      </w:r>
      <w:r>
        <w:rPr/>
        <w:tab/>
      </w:r>
      <w:r>
        <w:rPr>
          <w:spacing w:val="-4"/>
        </w:rPr>
        <w:t>all</w:t>
      </w:r>
      <w:r>
        <w:rPr/>
        <w:tab/>
      </w:r>
      <w:r>
        <w:rPr>
          <w:spacing w:val="7"/>
        </w:rPr>
        <w:t>co-</w:t>
      </w:r>
      <w:r>
        <w:rPr/>
        <w:t>owners</w:t>
        <w:tab/>
      </w:r>
      <w:r>
        <w:rPr>
          <w:spacing w:val="-4"/>
        </w:rPr>
        <w:t>have</w:t>
      </w:r>
      <w:r>
        <w:rPr/>
        <w:tab/>
      </w:r>
      <w:r>
        <w:rPr>
          <w:spacing w:val="-2"/>
        </w:rPr>
        <w:t>consented</w:t>
      </w:r>
      <w:r>
        <w:rPr/>
        <w:tab/>
      </w:r>
      <w:r>
        <w:rPr>
          <w:spacing w:val="-4"/>
        </w:rPr>
        <w:t>fo</w:t>
      </w:r>
      <w:r>
        <w:rPr>
          <w:spacing w:val="-4"/>
        </w:rPr>
        <w:t>r</w:t>
      </w:r>
      <w:r>
        <w:rPr>
          <w:spacing w:val="-4"/>
        </w:rPr>
        <w:t> </w:t>
      </w:r>
      <w:r>
        <w:rPr>
          <w:spacing w:val="7"/>
        </w:rPr>
        <w:t>development.</w:t>
      </w:r>
    </w:p>
    <w:p>
      <w:pPr>
        <w:pStyle w:val="ListParagraph"/>
        <w:numPr>
          <w:ilvl w:val="1"/>
          <w:numId w:val="16"/>
        </w:numPr>
        <w:tabs>
          <w:tab w:pos="2213" w:val="left" w:leader="none"/>
          <w:tab w:pos="2295" w:val="left" w:leader="none"/>
        </w:tabs>
        <w:spacing w:line="240" w:lineRule="auto" w:before="239" w:after="0"/>
        <w:ind w:left="2213" w:right="775" w:hanging="269"/>
        <w:jc w:val="both"/>
        <w:rPr>
          <w:sz w:val="24"/>
        </w:rPr>
      </w:pPr>
      <w:r>
        <w:rPr>
          <w:sz w:val="24"/>
        </w:rPr>
        <w:tab/>
        <w:t>In case of tenanted properties to be redeveloped under Reg. No. 33(7),</w:t>
      </w:r>
      <w:r>
        <w:rPr>
          <w:spacing w:val="40"/>
          <w:sz w:val="24"/>
        </w:rPr>
        <w:t> </w:t>
      </w:r>
      <w:r>
        <w:rPr>
          <w:sz w:val="24"/>
        </w:rPr>
        <w:t>certificate from </w:t>
      </w:r>
      <w:r>
        <w:rPr>
          <w:spacing w:val="9"/>
          <w:sz w:val="24"/>
        </w:rPr>
        <w:t>MHADA/Land</w:t>
      </w:r>
      <w:r>
        <w:rPr>
          <w:spacing w:val="9"/>
          <w:sz w:val="24"/>
        </w:rPr>
        <w:t> </w:t>
      </w:r>
      <w:r>
        <w:rPr>
          <w:sz w:val="24"/>
        </w:rPr>
        <w:t>owning public </w:t>
      </w:r>
      <w:r>
        <w:rPr>
          <w:spacing w:val="9"/>
          <w:sz w:val="24"/>
        </w:rPr>
        <w:t>authority, </w:t>
      </w:r>
      <w:r>
        <w:rPr>
          <w:sz w:val="24"/>
        </w:rPr>
        <w:t>certifying</w:t>
      </w:r>
      <w:r>
        <w:rPr>
          <w:spacing w:val="40"/>
          <w:sz w:val="24"/>
        </w:rPr>
        <w:t> </w:t>
      </w:r>
      <w:r>
        <w:rPr>
          <w:sz w:val="24"/>
        </w:rPr>
        <w:t>that</w:t>
      </w:r>
      <w:r>
        <w:rPr>
          <w:spacing w:val="40"/>
          <w:sz w:val="24"/>
        </w:rPr>
        <w:t> </w:t>
      </w:r>
      <w:r>
        <w:rPr>
          <w:sz w:val="24"/>
        </w:rPr>
        <w:t>at</w:t>
      </w:r>
      <w:r>
        <w:rPr>
          <w:spacing w:val="40"/>
          <w:sz w:val="24"/>
        </w:rPr>
        <w:t> </w:t>
      </w:r>
      <w:r>
        <w:rPr>
          <w:sz w:val="24"/>
        </w:rPr>
        <w:t>least51%</w:t>
      </w:r>
      <w:r>
        <w:rPr>
          <w:spacing w:val="40"/>
          <w:sz w:val="24"/>
        </w:rPr>
        <w:t> </w:t>
      </w:r>
      <w:r>
        <w:rPr>
          <w:sz w:val="24"/>
        </w:rPr>
        <w:t>of</w:t>
      </w:r>
      <w:r>
        <w:rPr>
          <w:spacing w:val="40"/>
          <w:sz w:val="24"/>
        </w:rPr>
        <w:t> </w:t>
      </w:r>
      <w:r>
        <w:rPr>
          <w:sz w:val="24"/>
        </w:rPr>
        <w:t>the</w:t>
      </w:r>
      <w:r>
        <w:rPr>
          <w:spacing w:val="40"/>
          <w:sz w:val="24"/>
        </w:rPr>
        <w:t> </w:t>
      </w:r>
      <w:r>
        <w:rPr>
          <w:sz w:val="24"/>
        </w:rPr>
        <w:t>certified</w:t>
      </w:r>
      <w:r>
        <w:rPr>
          <w:spacing w:val="40"/>
          <w:sz w:val="24"/>
        </w:rPr>
        <w:t> </w:t>
      </w:r>
      <w:r>
        <w:rPr>
          <w:sz w:val="24"/>
        </w:rPr>
        <w:t>and</w:t>
      </w:r>
      <w:r>
        <w:rPr>
          <w:spacing w:val="40"/>
          <w:sz w:val="24"/>
        </w:rPr>
        <w:t> </w:t>
      </w:r>
      <w:r>
        <w:rPr>
          <w:sz w:val="24"/>
        </w:rPr>
        <w:t>eligible</w:t>
      </w:r>
      <w:r>
        <w:rPr>
          <w:spacing w:val="40"/>
          <w:sz w:val="24"/>
        </w:rPr>
        <w:t> </w:t>
      </w:r>
      <w:r>
        <w:rPr>
          <w:sz w:val="24"/>
        </w:rPr>
        <w:t>tenants</w:t>
      </w:r>
      <w:r>
        <w:rPr>
          <w:spacing w:val="40"/>
          <w:sz w:val="24"/>
        </w:rPr>
        <w:t> </w:t>
      </w:r>
      <w:r>
        <w:rPr>
          <w:sz w:val="24"/>
        </w:rPr>
        <w:t>of the property/each building have granted irrevocable consent for development in favour of owner/developer &amp; in case of tenanted properties to be redeveloped under Reg. No. 33(9) certificate from MHADA/Land</w:t>
      </w:r>
      <w:r>
        <w:rPr>
          <w:spacing w:val="80"/>
          <w:sz w:val="24"/>
        </w:rPr>
        <w:t> </w:t>
      </w:r>
      <w:r>
        <w:rPr>
          <w:sz w:val="24"/>
        </w:rPr>
        <w:t>owning</w:t>
      </w:r>
      <w:r>
        <w:rPr>
          <w:spacing w:val="80"/>
          <w:sz w:val="24"/>
        </w:rPr>
        <w:t> </w:t>
      </w:r>
      <w:r>
        <w:rPr>
          <w:sz w:val="24"/>
        </w:rPr>
        <w:t>public</w:t>
      </w:r>
      <w:r>
        <w:rPr>
          <w:spacing w:val="80"/>
          <w:sz w:val="24"/>
        </w:rPr>
        <w:t> </w:t>
      </w:r>
      <w:r>
        <w:rPr>
          <w:sz w:val="24"/>
        </w:rPr>
        <w:t>authority,</w:t>
      </w:r>
      <w:r>
        <w:rPr>
          <w:spacing w:val="80"/>
          <w:sz w:val="24"/>
        </w:rPr>
        <w:t> </w:t>
      </w:r>
      <w:r>
        <w:rPr>
          <w:sz w:val="24"/>
        </w:rPr>
        <w:t>certifying</w:t>
      </w:r>
      <w:r>
        <w:rPr>
          <w:spacing w:val="80"/>
          <w:sz w:val="24"/>
        </w:rPr>
        <w:t> </w:t>
      </w:r>
      <w:r>
        <w:rPr>
          <w:sz w:val="24"/>
        </w:rPr>
        <w:t>that</w:t>
      </w:r>
      <w:r>
        <w:rPr>
          <w:spacing w:val="80"/>
          <w:sz w:val="24"/>
        </w:rPr>
        <w:t> </w:t>
      </w:r>
      <w:r>
        <w:rPr>
          <w:sz w:val="24"/>
        </w:rPr>
        <w:t>at</w:t>
      </w:r>
      <w:r>
        <w:rPr>
          <w:spacing w:val="80"/>
          <w:sz w:val="24"/>
        </w:rPr>
        <w:t> </w:t>
      </w:r>
      <w:r>
        <w:rPr>
          <w:sz w:val="24"/>
        </w:rPr>
        <w:t>least 51% of the certified and eligible tenants of the property/each</w:t>
      </w:r>
      <w:r>
        <w:rPr>
          <w:spacing w:val="80"/>
          <w:sz w:val="24"/>
        </w:rPr>
        <w:t> </w:t>
      </w:r>
      <w:r>
        <w:rPr>
          <w:sz w:val="24"/>
        </w:rPr>
        <w:t>building</w:t>
      </w:r>
      <w:r>
        <w:rPr>
          <w:spacing w:val="80"/>
          <w:w w:val="150"/>
          <w:sz w:val="24"/>
        </w:rPr>
        <w:t>  </w:t>
      </w:r>
      <w:r>
        <w:rPr>
          <w:b/>
          <w:sz w:val="24"/>
        </w:rPr>
        <w:t>or</w:t>
      </w:r>
      <w:r>
        <w:rPr>
          <w:b/>
          <w:spacing w:val="40"/>
          <w:sz w:val="24"/>
        </w:rPr>
        <w:t> </w:t>
      </w:r>
      <w:r>
        <w:rPr>
          <w:sz w:val="24"/>
        </w:rPr>
        <w:t>overall</w:t>
      </w:r>
      <w:r>
        <w:rPr>
          <w:spacing w:val="40"/>
          <w:sz w:val="24"/>
        </w:rPr>
        <w:t>  </w:t>
      </w:r>
      <w:r>
        <w:rPr>
          <w:b/>
          <w:sz w:val="24"/>
        </w:rPr>
        <w:t>60%</w:t>
      </w:r>
      <w:r>
        <w:rPr>
          <w:b/>
          <w:spacing w:val="40"/>
          <w:sz w:val="24"/>
        </w:rPr>
        <w:t> </w:t>
      </w:r>
      <w:r>
        <w:rPr>
          <w:sz w:val="24"/>
        </w:rPr>
        <w:t>eligible</w:t>
      </w:r>
      <w:r>
        <w:rPr>
          <w:spacing w:val="40"/>
          <w:sz w:val="24"/>
        </w:rPr>
        <w:t> </w:t>
      </w:r>
      <w:r>
        <w:rPr>
          <w:sz w:val="24"/>
        </w:rPr>
        <w:t>tenants</w:t>
      </w:r>
      <w:r>
        <w:rPr>
          <w:spacing w:val="40"/>
          <w:sz w:val="24"/>
        </w:rPr>
        <w:t> </w:t>
      </w:r>
      <w:r>
        <w:rPr>
          <w:sz w:val="24"/>
        </w:rPr>
        <w:t>have</w:t>
      </w:r>
      <w:r>
        <w:rPr>
          <w:spacing w:val="40"/>
          <w:sz w:val="24"/>
        </w:rPr>
        <w:t> </w:t>
      </w:r>
      <w:r>
        <w:rPr>
          <w:sz w:val="24"/>
        </w:rPr>
        <w:t>granted irrevocable</w:t>
      </w:r>
      <w:r>
        <w:rPr>
          <w:spacing w:val="80"/>
          <w:sz w:val="24"/>
        </w:rPr>
        <w:t> </w:t>
      </w:r>
      <w:r>
        <w:rPr>
          <w:sz w:val="24"/>
        </w:rPr>
        <w:t>consent</w:t>
      </w:r>
      <w:r>
        <w:rPr>
          <w:spacing w:val="80"/>
          <w:sz w:val="24"/>
        </w:rPr>
        <w:t> </w:t>
      </w:r>
      <w:r>
        <w:rPr>
          <w:sz w:val="24"/>
        </w:rPr>
        <w:t>for</w:t>
      </w:r>
      <w:r>
        <w:rPr>
          <w:spacing w:val="80"/>
          <w:sz w:val="24"/>
        </w:rPr>
        <w:t> </w:t>
      </w:r>
      <w:r>
        <w:rPr>
          <w:sz w:val="24"/>
        </w:rPr>
        <w:t>development</w:t>
      </w:r>
      <w:r>
        <w:rPr>
          <w:spacing w:val="80"/>
          <w:sz w:val="24"/>
        </w:rPr>
        <w:t> </w:t>
      </w:r>
      <w:r>
        <w:rPr>
          <w:sz w:val="24"/>
        </w:rPr>
        <w:t>in</w:t>
      </w:r>
      <w:r>
        <w:rPr>
          <w:spacing w:val="80"/>
          <w:sz w:val="24"/>
        </w:rPr>
        <w:t> </w:t>
      </w:r>
      <w:r>
        <w:rPr>
          <w:sz w:val="24"/>
        </w:rPr>
        <w:t>favour</w:t>
      </w:r>
      <w:r>
        <w:rPr>
          <w:spacing w:val="80"/>
          <w:sz w:val="24"/>
        </w:rPr>
        <w:t> </w:t>
      </w:r>
      <w:r>
        <w:rPr>
          <w:sz w:val="24"/>
        </w:rPr>
        <w:t>of </w:t>
      </w:r>
      <w:r>
        <w:rPr>
          <w:spacing w:val="7"/>
          <w:sz w:val="24"/>
        </w:rPr>
        <w:t>owner/developer.</w:t>
      </w:r>
    </w:p>
    <w:p>
      <w:pPr>
        <w:pStyle w:val="ListParagraph"/>
        <w:numPr>
          <w:ilvl w:val="1"/>
          <w:numId w:val="16"/>
        </w:numPr>
        <w:tabs>
          <w:tab w:pos="2213" w:val="left" w:leader="none"/>
          <w:tab w:pos="2257" w:val="left" w:leader="none"/>
        </w:tabs>
        <w:spacing w:line="240" w:lineRule="auto" w:before="240" w:after="0"/>
        <w:ind w:left="2213" w:right="782" w:hanging="269"/>
        <w:jc w:val="both"/>
        <w:rPr>
          <w:sz w:val="24"/>
        </w:rPr>
      </w:pPr>
      <w:r>
        <w:rPr>
          <w:sz w:val="24"/>
        </w:rPr>
        <w:t>In</w:t>
      </w:r>
      <w:r>
        <w:rPr>
          <w:spacing w:val="40"/>
          <w:sz w:val="24"/>
        </w:rPr>
        <w:t> </w:t>
      </w:r>
      <w:r>
        <w:rPr>
          <w:sz w:val="24"/>
        </w:rPr>
        <w:t>case</w:t>
      </w:r>
      <w:r>
        <w:rPr>
          <w:spacing w:val="40"/>
          <w:sz w:val="24"/>
        </w:rPr>
        <w:t> </w:t>
      </w:r>
      <w:r>
        <w:rPr>
          <w:sz w:val="24"/>
        </w:rPr>
        <w:t>of</w:t>
      </w:r>
      <w:r>
        <w:rPr>
          <w:spacing w:val="40"/>
          <w:sz w:val="24"/>
        </w:rPr>
        <w:t> </w:t>
      </w:r>
      <w:r>
        <w:rPr>
          <w:sz w:val="24"/>
        </w:rPr>
        <w:t>properties</w:t>
      </w:r>
      <w:r>
        <w:rPr>
          <w:spacing w:val="40"/>
          <w:sz w:val="24"/>
        </w:rPr>
        <w:t> </w:t>
      </w:r>
      <w:r>
        <w:rPr>
          <w:sz w:val="24"/>
        </w:rPr>
        <w:t>owned</w:t>
      </w:r>
      <w:r>
        <w:rPr>
          <w:spacing w:val="40"/>
          <w:sz w:val="24"/>
        </w:rPr>
        <w:t> </w:t>
      </w:r>
      <w:r>
        <w:rPr>
          <w:sz w:val="24"/>
        </w:rPr>
        <w:t>by</w:t>
      </w:r>
      <w:r>
        <w:rPr>
          <w:spacing w:val="13"/>
          <w:sz w:val="24"/>
        </w:rPr>
        <w:t> co-</w:t>
      </w:r>
      <w:r>
        <w:rPr>
          <w:sz w:val="24"/>
        </w:rPr>
        <w:t>operative</w:t>
      </w:r>
      <w:r>
        <w:rPr>
          <w:spacing w:val="40"/>
          <w:sz w:val="24"/>
        </w:rPr>
        <w:t> </w:t>
      </w:r>
      <w:r>
        <w:rPr>
          <w:sz w:val="24"/>
        </w:rPr>
        <w:t>societies,</w:t>
      </w:r>
      <w:r>
        <w:rPr>
          <w:spacing w:val="40"/>
          <w:sz w:val="24"/>
        </w:rPr>
        <w:t> </w:t>
      </w:r>
      <w:r>
        <w:rPr>
          <w:sz w:val="24"/>
        </w:rPr>
        <w:t>certificate from an</w:t>
      </w:r>
      <w:r>
        <w:rPr>
          <w:spacing w:val="35"/>
          <w:sz w:val="24"/>
        </w:rPr>
        <w:t> </w:t>
      </w:r>
      <w:r>
        <w:rPr>
          <w:sz w:val="24"/>
        </w:rPr>
        <w:t>Advocate</w:t>
      </w:r>
      <w:r>
        <w:rPr>
          <w:spacing w:val="34"/>
          <w:sz w:val="24"/>
        </w:rPr>
        <w:t> </w:t>
      </w:r>
      <w:r>
        <w:rPr>
          <w:sz w:val="24"/>
        </w:rPr>
        <w:t>who has</w:t>
      </w:r>
      <w:r>
        <w:rPr>
          <w:spacing w:val="80"/>
          <w:sz w:val="24"/>
        </w:rPr>
        <w:t> </w:t>
      </w:r>
      <w:r>
        <w:rPr>
          <w:sz w:val="24"/>
        </w:rPr>
        <w:t>experience,</w:t>
      </w:r>
      <w:r>
        <w:rPr>
          <w:spacing w:val="34"/>
          <w:sz w:val="24"/>
        </w:rPr>
        <w:t> </w:t>
      </w:r>
      <w:r>
        <w:rPr>
          <w:sz w:val="24"/>
        </w:rPr>
        <w:t>in this field, of</w:t>
      </w:r>
      <w:r>
        <w:rPr>
          <w:spacing w:val="34"/>
          <w:sz w:val="24"/>
        </w:rPr>
        <w:t> </w:t>
      </w:r>
      <w:r>
        <w:rPr>
          <w:sz w:val="24"/>
        </w:rPr>
        <w:t>a</w:t>
      </w:r>
      <w:r>
        <w:rPr>
          <w:spacing w:val="35"/>
          <w:sz w:val="24"/>
        </w:rPr>
        <w:t> </w:t>
      </w:r>
      <w:r>
        <w:rPr>
          <w:sz w:val="24"/>
        </w:rPr>
        <w:t>minimum 10</w:t>
      </w:r>
      <w:r>
        <w:rPr>
          <w:spacing w:val="80"/>
          <w:sz w:val="24"/>
        </w:rPr>
        <w:t> </w:t>
      </w:r>
      <w:r>
        <w:rPr>
          <w:sz w:val="24"/>
        </w:rPr>
        <w:t>years,</w:t>
      </w:r>
      <w:r>
        <w:rPr>
          <w:spacing w:val="80"/>
          <w:sz w:val="24"/>
        </w:rPr>
        <w:t> </w:t>
      </w:r>
      <w:r>
        <w:rPr>
          <w:sz w:val="24"/>
        </w:rPr>
        <w:t>confirming</w:t>
      </w:r>
      <w:r>
        <w:rPr>
          <w:spacing w:val="40"/>
          <w:sz w:val="24"/>
        </w:rPr>
        <w:t> </w:t>
      </w:r>
      <w:r>
        <w:rPr>
          <w:sz w:val="24"/>
        </w:rPr>
        <w:t>that</w:t>
      </w:r>
      <w:r>
        <w:rPr>
          <w:spacing w:val="40"/>
          <w:sz w:val="24"/>
        </w:rPr>
        <w:t> </w:t>
      </w:r>
      <w:r>
        <w:rPr>
          <w:sz w:val="24"/>
        </w:rPr>
        <w:t>the</w:t>
      </w:r>
      <w:r>
        <w:rPr>
          <w:spacing w:val="80"/>
          <w:sz w:val="24"/>
        </w:rPr>
        <w:t> </w:t>
      </w:r>
      <w:r>
        <w:rPr>
          <w:sz w:val="24"/>
        </w:rPr>
        <w:t>registered</w:t>
      </w:r>
      <w:r>
        <w:rPr>
          <w:spacing w:val="80"/>
          <w:sz w:val="24"/>
        </w:rPr>
        <w:t> </w:t>
      </w:r>
      <w:r>
        <w:rPr>
          <w:sz w:val="24"/>
        </w:rPr>
        <w:t>society/society</w:t>
      </w:r>
      <w:r>
        <w:rPr>
          <w:spacing w:val="80"/>
          <w:sz w:val="24"/>
        </w:rPr>
        <w:t> </w:t>
      </w:r>
      <w:r>
        <w:rPr>
          <w:sz w:val="24"/>
        </w:rPr>
        <w:t>on</w:t>
      </w:r>
      <w:r>
        <w:rPr>
          <w:spacing w:val="80"/>
          <w:sz w:val="24"/>
        </w:rPr>
        <w:t> </w:t>
      </w:r>
      <w:r>
        <w:rPr>
          <w:sz w:val="24"/>
        </w:rPr>
        <w:t>the plot</w:t>
      </w:r>
      <w:r>
        <w:rPr>
          <w:spacing w:val="80"/>
          <w:sz w:val="24"/>
        </w:rPr>
        <w:t> </w:t>
      </w:r>
      <w:r>
        <w:rPr>
          <w:sz w:val="24"/>
        </w:rPr>
        <w:t>of</w:t>
      </w:r>
      <w:r>
        <w:rPr>
          <w:spacing w:val="80"/>
          <w:sz w:val="24"/>
        </w:rPr>
        <w:t> </w:t>
      </w:r>
      <w:r>
        <w:rPr>
          <w:sz w:val="24"/>
        </w:rPr>
        <w:t>redevelopment</w:t>
      </w:r>
      <w:r>
        <w:rPr>
          <w:spacing w:val="80"/>
          <w:sz w:val="24"/>
        </w:rPr>
        <w:t> </w:t>
      </w:r>
      <w:r>
        <w:rPr>
          <w:sz w:val="24"/>
        </w:rPr>
        <w:t>have</w:t>
      </w:r>
      <w:r>
        <w:rPr>
          <w:spacing w:val="80"/>
          <w:sz w:val="24"/>
        </w:rPr>
        <w:t> </w:t>
      </w:r>
      <w:r>
        <w:rPr>
          <w:sz w:val="24"/>
        </w:rPr>
        <w:t>entered</w:t>
      </w:r>
      <w:r>
        <w:rPr>
          <w:spacing w:val="80"/>
          <w:sz w:val="24"/>
        </w:rPr>
        <w:t> </w:t>
      </w:r>
      <w:r>
        <w:rPr>
          <w:sz w:val="24"/>
        </w:rPr>
        <w:t>into</w:t>
      </w:r>
      <w:r>
        <w:rPr>
          <w:spacing w:val="80"/>
          <w:sz w:val="24"/>
        </w:rPr>
        <w:t> </w:t>
      </w:r>
      <w:r>
        <w:rPr>
          <w:sz w:val="24"/>
        </w:rPr>
        <w:t>registered</w:t>
      </w:r>
      <w:r>
        <w:rPr>
          <w:spacing w:val="80"/>
          <w:sz w:val="24"/>
        </w:rPr>
        <w:t> </w:t>
      </w:r>
      <w:r>
        <w:rPr>
          <w:sz w:val="24"/>
        </w:rPr>
        <w:t>agreement with the developer wherein it has granted permission for redevelopment of the project and at least 70% of </w:t>
      </w:r>
      <w:r>
        <w:rPr>
          <w:spacing w:val="10"/>
          <w:sz w:val="24"/>
        </w:rPr>
        <w:t>member </w:t>
      </w:r>
      <w:r>
        <w:rPr>
          <w:sz w:val="24"/>
        </w:rPr>
        <w:t>of the society</w:t>
      </w:r>
      <w:r>
        <w:rPr>
          <w:spacing w:val="40"/>
          <w:sz w:val="24"/>
        </w:rPr>
        <w:t> </w:t>
      </w:r>
      <w:r>
        <w:rPr>
          <w:sz w:val="24"/>
        </w:rPr>
        <w:t>present</w:t>
      </w:r>
      <w:r>
        <w:rPr>
          <w:spacing w:val="40"/>
          <w:sz w:val="24"/>
        </w:rPr>
        <w:t> </w:t>
      </w:r>
      <w:r>
        <w:rPr>
          <w:sz w:val="24"/>
        </w:rPr>
        <w:t>in</w:t>
      </w:r>
      <w:r>
        <w:rPr>
          <w:spacing w:val="40"/>
          <w:sz w:val="24"/>
        </w:rPr>
        <w:t> </w:t>
      </w:r>
      <w:r>
        <w:rPr>
          <w:sz w:val="24"/>
        </w:rPr>
        <w:t>a</w:t>
      </w:r>
      <w:r>
        <w:rPr>
          <w:spacing w:val="40"/>
          <w:sz w:val="24"/>
        </w:rPr>
        <w:t> </w:t>
      </w:r>
      <w:r>
        <w:rPr>
          <w:sz w:val="24"/>
        </w:rPr>
        <w:t>Special</w:t>
      </w:r>
      <w:r>
        <w:rPr>
          <w:spacing w:val="40"/>
          <w:sz w:val="24"/>
        </w:rPr>
        <w:t> </w:t>
      </w:r>
      <w:r>
        <w:rPr>
          <w:sz w:val="24"/>
        </w:rPr>
        <w:t>General</w:t>
      </w:r>
      <w:r>
        <w:rPr>
          <w:spacing w:val="40"/>
          <w:sz w:val="24"/>
        </w:rPr>
        <w:t> </w:t>
      </w:r>
      <w:r>
        <w:rPr>
          <w:sz w:val="24"/>
        </w:rPr>
        <w:t>Body</w:t>
      </w:r>
      <w:r>
        <w:rPr>
          <w:spacing w:val="40"/>
          <w:sz w:val="24"/>
        </w:rPr>
        <w:t> </w:t>
      </w:r>
      <w:r>
        <w:rPr>
          <w:sz w:val="24"/>
        </w:rPr>
        <w:t>Meeting</w:t>
      </w:r>
      <w:r>
        <w:rPr>
          <w:spacing w:val="40"/>
          <w:sz w:val="24"/>
        </w:rPr>
        <w:t> </w:t>
      </w:r>
      <w:r>
        <w:rPr>
          <w:sz w:val="24"/>
        </w:rPr>
        <w:t>convened</w:t>
      </w:r>
      <w:r>
        <w:rPr>
          <w:spacing w:val="40"/>
          <w:sz w:val="24"/>
        </w:rPr>
        <w:t> </w:t>
      </w:r>
      <w:r>
        <w:rPr>
          <w:sz w:val="24"/>
        </w:rPr>
        <w:t>for the</w:t>
      </w:r>
      <w:r>
        <w:rPr>
          <w:spacing w:val="80"/>
          <w:sz w:val="24"/>
        </w:rPr>
        <w:t> </w:t>
      </w:r>
      <w:r>
        <w:rPr>
          <w:sz w:val="24"/>
        </w:rPr>
        <w:t>purpose,</w:t>
      </w:r>
      <w:r>
        <w:rPr>
          <w:spacing w:val="80"/>
          <w:sz w:val="24"/>
        </w:rPr>
        <w:t> </w:t>
      </w:r>
      <w:r>
        <w:rPr>
          <w:sz w:val="24"/>
        </w:rPr>
        <w:t>have</w:t>
      </w:r>
      <w:r>
        <w:rPr>
          <w:spacing w:val="80"/>
          <w:sz w:val="24"/>
        </w:rPr>
        <w:t> </w:t>
      </w:r>
      <w:r>
        <w:rPr>
          <w:sz w:val="24"/>
        </w:rPr>
        <w:t>approved</w:t>
      </w:r>
      <w:r>
        <w:rPr>
          <w:spacing w:val="80"/>
          <w:sz w:val="24"/>
        </w:rPr>
        <w:t> </w:t>
      </w:r>
      <w:r>
        <w:rPr>
          <w:sz w:val="24"/>
        </w:rPr>
        <w:t>redevelopment</w:t>
      </w:r>
      <w:r>
        <w:rPr>
          <w:spacing w:val="80"/>
          <w:sz w:val="24"/>
        </w:rPr>
        <w:t> </w:t>
      </w:r>
      <w:r>
        <w:rPr>
          <w:sz w:val="24"/>
        </w:rPr>
        <w:t>and</w:t>
      </w:r>
      <w:r>
        <w:rPr>
          <w:spacing w:val="80"/>
          <w:sz w:val="24"/>
        </w:rPr>
        <w:t> </w:t>
      </w:r>
      <w:r>
        <w:rPr>
          <w:sz w:val="24"/>
        </w:rPr>
        <w:t>have</w:t>
      </w:r>
      <w:r>
        <w:rPr>
          <w:spacing w:val="80"/>
          <w:sz w:val="24"/>
        </w:rPr>
        <w:t> </w:t>
      </w:r>
      <w:r>
        <w:rPr>
          <w:sz w:val="24"/>
        </w:rPr>
        <w:t>consented in</w:t>
      </w:r>
      <w:r>
        <w:rPr>
          <w:spacing w:val="40"/>
          <w:sz w:val="24"/>
        </w:rPr>
        <w:t> </w:t>
      </w:r>
      <w:r>
        <w:rPr>
          <w:sz w:val="24"/>
        </w:rPr>
        <w:t>favour</w:t>
      </w:r>
      <w:r>
        <w:rPr>
          <w:spacing w:val="40"/>
          <w:sz w:val="24"/>
        </w:rPr>
        <w:t> </w:t>
      </w:r>
      <w:r>
        <w:rPr>
          <w:sz w:val="24"/>
        </w:rPr>
        <w:t>of</w:t>
      </w:r>
      <w:r>
        <w:rPr>
          <w:spacing w:val="40"/>
          <w:sz w:val="24"/>
        </w:rPr>
        <w:t> </w:t>
      </w:r>
      <w:r>
        <w:rPr>
          <w:sz w:val="24"/>
        </w:rPr>
        <w:t>the</w:t>
      </w:r>
      <w:r>
        <w:rPr>
          <w:spacing w:val="40"/>
          <w:sz w:val="24"/>
        </w:rPr>
        <w:t> </w:t>
      </w:r>
      <w:r>
        <w:rPr>
          <w:sz w:val="24"/>
        </w:rPr>
        <w:t>redevelopment</w:t>
      </w:r>
      <w:r>
        <w:rPr>
          <w:spacing w:val="40"/>
          <w:sz w:val="24"/>
        </w:rPr>
        <w:t> </w:t>
      </w:r>
      <w:r>
        <w:rPr>
          <w:sz w:val="24"/>
        </w:rPr>
        <w:t>by</w:t>
      </w:r>
      <w:r>
        <w:rPr>
          <w:spacing w:val="40"/>
          <w:sz w:val="24"/>
        </w:rPr>
        <w:t> </w:t>
      </w:r>
      <w:r>
        <w:rPr>
          <w:sz w:val="24"/>
        </w:rPr>
        <w:t>the</w:t>
      </w:r>
      <w:r>
        <w:rPr>
          <w:spacing w:val="40"/>
          <w:sz w:val="24"/>
        </w:rPr>
        <w:t> </w:t>
      </w:r>
      <w:r>
        <w:rPr>
          <w:sz w:val="24"/>
        </w:rPr>
        <w:t>applicant</w:t>
      </w:r>
      <w:r>
        <w:rPr>
          <w:spacing w:val="40"/>
          <w:sz w:val="24"/>
        </w:rPr>
        <w:t> </w:t>
      </w:r>
      <w:r>
        <w:rPr>
          <w:sz w:val="24"/>
        </w:rPr>
        <w:t>as</w:t>
      </w:r>
      <w:r>
        <w:rPr>
          <w:spacing w:val="40"/>
          <w:sz w:val="24"/>
        </w:rPr>
        <w:t> </w:t>
      </w:r>
      <w:r>
        <w:rPr>
          <w:sz w:val="24"/>
        </w:rPr>
        <w:t>per</w:t>
      </w:r>
      <w:r>
        <w:rPr>
          <w:spacing w:val="40"/>
          <w:sz w:val="24"/>
        </w:rPr>
        <w:t> </w:t>
      </w:r>
      <w:r>
        <w:rPr>
          <w:sz w:val="24"/>
        </w:rPr>
        <w:t>provision</w:t>
      </w:r>
      <w:r>
        <w:rPr>
          <w:spacing w:val="80"/>
          <w:sz w:val="24"/>
        </w:rPr>
        <w:t> </w:t>
      </w:r>
      <w:r>
        <w:rPr>
          <w:sz w:val="24"/>
        </w:rPr>
        <w:t>of relevant </w:t>
      </w:r>
      <w:r>
        <w:rPr>
          <w:spacing w:val="9"/>
          <w:sz w:val="24"/>
        </w:rPr>
        <w:t>Act.</w:t>
      </w:r>
    </w:p>
    <w:p>
      <w:pPr>
        <w:pStyle w:val="ListParagraph"/>
        <w:numPr>
          <w:ilvl w:val="1"/>
          <w:numId w:val="16"/>
        </w:numPr>
        <w:tabs>
          <w:tab w:pos="2213" w:val="left" w:leader="none"/>
          <w:tab w:pos="2499" w:val="left" w:leader="none"/>
        </w:tabs>
        <w:spacing w:line="240" w:lineRule="auto" w:before="241" w:after="0"/>
        <w:ind w:left="2213" w:right="781" w:hanging="269"/>
        <w:jc w:val="both"/>
        <w:rPr>
          <w:sz w:val="24"/>
        </w:rPr>
      </w:pPr>
      <w:r>
        <w:rPr>
          <w:sz w:val="24"/>
        </w:rPr>
        <w:tab/>
        <w:t>In case of properties situated in the layout and owned by MHADA/Land</w:t>
      </w:r>
      <w:r>
        <w:rPr>
          <w:spacing w:val="40"/>
          <w:sz w:val="24"/>
        </w:rPr>
        <w:t> </w:t>
      </w:r>
      <w:r>
        <w:rPr>
          <w:sz w:val="24"/>
        </w:rPr>
        <w:t>owning</w:t>
      </w:r>
      <w:r>
        <w:rPr>
          <w:spacing w:val="40"/>
          <w:sz w:val="24"/>
        </w:rPr>
        <w:t> </w:t>
      </w:r>
      <w:r>
        <w:rPr>
          <w:sz w:val="24"/>
        </w:rPr>
        <w:t>public</w:t>
      </w:r>
      <w:r>
        <w:rPr>
          <w:spacing w:val="40"/>
          <w:sz w:val="24"/>
        </w:rPr>
        <w:t> </w:t>
      </w:r>
      <w:r>
        <w:rPr>
          <w:sz w:val="24"/>
        </w:rPr>
        <w:t>authority,</w:t>
      </w:r>
      <w:r>
        <w:rPr>
          <w:spacing w:val="40"/>
          <w:sz w:val="24"/>
        </w:rPr>
        <w:t> </w:t>
      </w:r>
      <w:r>
        <w:rPr>
          <w:sz w:val="24"/>
        </w:rPr>
        <w:t>a</w:t>
      </w:r>
      <w:r>
        <w:rPr>
          <w:spacing w:val="40"/>
          <w:sz w:val="24"/>
        </w:rPr>
        <w:t> </w:t>
      </w:r>
      <w:r>
        <w:rPr>
          <w:sz w:val="24"/>
        </w:rPr>
        <w:t>certificate</w:t>
      </w:r>
      <w:r>
        <w:rPr>
          <w:spacing w:val="40"/>
          <w:sz w:val="24"/>
        </w:rPr>
        <w:t> </w:t>
      </w:r>
      <w:r>
        <w:rPr>
          <w:sz w:val="24"/>
        </w:rPr>
        <w:t>from</w:t>
      </w:r>
      <w:r>
        <w:rPr>
          <w:spacing w:val="40"/>
          <w:sz w:val="24"/>
        </w:rPr>
        <w:t> </w:t>
      </w:r>
      <w:r>
        <w:rPr>
          <w:sz w:val="24"/>
        </w:rPr>
        <w:t>MHADA or</w:t>
      </w:r>
      <w:r>
        <w:rPr>
          <w:spacing w:val="40"/>
          <w:sz w:val="24"/>
        </w:rPr>
        <w:t> </w:t>
      </w:r>
      <w:r>
        <w:rPr>
          <w:sz w:val="24"/>
        </w:rPr>
        <w:t>land</w:t>
      </w:r>
      <w:r>
        <w:rPr>
          <w:spacing w:val="40"/>
          <w:sz w:val="24"/>
        </w:rPr>
        <w:t> </w:t>
      </w:r>
      <w:r>
        <w:rPr>
          <w:sz w:val="24"/>
        </w:rPr>
        <w:t>owning</w:t>
      </w:r>
      <w:r>
        <w:rPr>
          <w:spacing w:val="40"/>
          <w:sz w:val="24"/>
        </w:rPr>
        <w:t> </w:t>
      </w:r>
      <w:r>
        <w:rPr>
          <w:sz w:val="24"/>
        </w:rPr>
        <w:t>public</w:t>
      </w:r>
      <w:r>
        <w:rPr>
          <w:spacing w:val="40"/>
          <w:sz w:val="24"/>
        </w:rPr>
        <w:t> </w:t>
      </w:r>
      <w:r>
        <w:rPr>
          <w:sz w:val="24"/>
        </w:rPr>
        <w:t>authority</w:t>
      </w:r>
      <w:r>
        <w:rPr>
          <w:spacing w:val="40"/>
          <w:sz w:val="24"/>
        </w:rPr>
        <w:t> </w:t>
      </w:r>
      <w:r>
        <w:rPr>
          <w:sz w:val="24"/>
        </w:rPr>
        <w:t>certifying</w:t>
      </w:r>
      <w:r>
        <w:rPr>
          <w:spacing w:val="40"/>
          <w:sz w:val="24"/>
        </w:rPr>
        <w:t> </w:t>
      </w:r>
      <w:r>
        <w:rPr>
          <w:sz w:val="24"/>
        </w:rPr>
        <w:t>that</w:t>
      </w:r>
      <w:r>
        <w:rPr>
          <w:spacing w:val="40"/>
          <w:sz w:val="24"/>
        </w:rPr>
        <w:t> </w:t>
      </w:r>
      <w:r>
        <w:rPr>
          <w:sz w:val="24"/>
        </w:rPr>
        <w:t>minimum</w:t>
      </w:r>
      <w:r>
        <w:rPr>
          <w:spacing w:val="40"/>
          <w:sz w:val="24"/>
        </w:rPr>
        <w:t> </w:t>
      </w:r>
      <w:r>
        <w:rPr>
          <w:sz w:val="24"/>
        </w:rPr>
        <w:t>51%</w:t>
      </w:r>
      <w:r>
        <w:rPr>
          <w:spacing w:val="40"/>
          <w:sz w:val="24"/>
        </w:rPr>
        <w:t> </w:t>
      </w:r>
      <w:r>
        <w:rPr>
          <w:sz w:val="24"/>
        </w:rPr>
        <w:t>of the certified and legal occupants of the property have </w:t>
      </w:r>
      <w:r>
        <w:rPr>
          <w:spacing w:val="10"/>
          <w:sz w:val="24"/>
        </w:rPr>
        <w:t>granted </w:t>
      </w:r>
      <w:r>
        <w:rPr>
          <w:sz w:val="24"/>
        </w:rPr>
        <w:t>consent</w:t>
      </w:r>
      <w:r>
        <w:rPr>
          <w:spacing w:val="40"/>
          <w:sz w:val="24"/>
        </w:rPr>
        <w:t> </w:t>
      </w:r>
      <w:r>
        <w:rPr>
          <w:sz w:val="24"/>
        </w:rPr>
        <w:t>in</w:t>
      </w:r>
      <w:r>
        <w:rPr>
          <w:spacing w:val="40"/>
          <w:sz w:val="24"/>
        </w:rPr>
        <w:t> </w:t>
      </w:r>
      <w:r>
        <w:rPr>
          <w:sz w:val="24"/>
        </w:rPr>
        <w:t>favour</w:t>
      </w:r>
      <w:r>
        <w:rPr>
          <w:spacing w:val="40"/>
          <w:sz w:val="24"/>
        </w:rPr>
        <w:t> </w:t>
      </w:r>
      <w:r>
        <w:rPr>
          <w:sz w:val="24"/>
        </w:rPr>
        <w:t>of</w:t>
      </w:r>
      <w:r>
        <w:rPr>
          <w:spacing w:val="40"/>
          <w:sz w:val="24"/>
        </w:rPr>
        <w:t> </w:t>
      </w:r>
      <w:r>
        <w:rPr>
          <w:sz w:val="24"/>
        </w:rPr>
        <w:t>developer.</w:t>
      </w:r>
    </w:p>
    <w:p>
      <w:pPr>
        <w:pStyle w:val="ListParagraph"/>
        <w:numPr>
          <w:ilvl w:val="1"/>
          <w:numId w:val="16"/>
        </w:numPr>
        <w:tabs>
          <w:tab w:pos="2182" w:val="left" w:leader="none"/>
          <w:tab w:pos="2213" w:val="left" w:leader="none"/>
        </w:tabs>
        <w:spacing w:line="240" w:lineRule="auto" w:before="240" w:after="0"/>
        <w:ind w:left="2213" w:right="777" w:hanging="269"/>
        <w:jc w:val="both"/>
        <w:rPr>
          <w:sz w:val="24"/>
        </w:rPr>
      </w:pPr>
      <w:r>
        <w:rPr>
          <w:sz w:val="24"/>
        </w:rPr>
        <w:t>In the case of land leased by the Government or local authorities, clearance</w:t>
      </w:r>
      <w:r>
        <w:rPr>
          <w:spacing w:val="80"/>
          <w:sz w:val="24"/>
        </w:rPr>
        <w:t> </w:t>
      </w:r>
      <w:r>
        <w:rPr>
          <w:sz w:val="24"/>
        </w:rPr>
        <w:t>of</w:t>
      </w:r>
      <w:r>
        <w:rPr>
          <w:spacing w:val="80"/>
          <w:sz w:val="24"/>
        </w:rPr>
        <w:t> </w:t>
      </w:r>
      <w:r>
        <w:rPr>
          <w:sz w:val="24"/>
        </w:rPr>
        <w:t>Government</w:t>
      </w:r>
      <w:r>
        <w:rPr>
          <w:spacing w:val="80"/>
          <w:sz w:val="24"/>
        </w:rPr>
        <w:t> </w:t>
      </w:r>
      <w:r>
        <w:rPr>
          <w:sz w:val="24"/>
        </w:rPr>
        <w:t>or</w:t>
      </w:r>
      <w:r>
        <w:rPr>
          <w:spacing w:val="80"/>
          <w:sz w:val="24"/>
        </w:rPr>
        <w:t> </w:t>
      </w:r>
      <w:r>
        <w:rPr>
          <w:sz w:val="24"/>
        </w:rPr>
        <w:t>such</w:t>
      </w:r>
      <w:r>
        <w:rPr>
          <w:spacing w:val="80"/>
          <w:sz w:val="24"/>
        </w:rPr>
        <w:t> </w:t>
      </w:r>
      <w:r>
        <w:rPr>
          <w:sz w:val="24"/>
        </w:rPr>
        <w:t>authorities</w:t>
      </w:r>
      <w:r>
        <w:rPr>
          <w:spacing w:val="80"/>
          <w:sz w:val="24"/>
        </w:rPr>
        <w:t> </w:t>
      </w:r>
      <w:r>
        <w:rPr>
          <w:spacing w:val="9"/>
          <w:sz w:val="24"/>
        </w:rPr>
        <w:t>regarding </w:t>
      </w:r>
      <w:r>
        <w:rPr>
          <w:sz w:val="24"/>
        </w:rPr>
        <w:t>observance</w:t>
      </w:r>
      <w:r>
        <w:rPr>
          <w:spacing w:val="40"/>
          <w:sz w:val="24"/>
        </w:rPr>
        <w:t> </w:t>
      </w:r>
      <w:r>
        <w:rPr>
          <w:sz w:val="24"/>
        </w:rPr>
        <w:t>of</w:t>
      </w:r>
      <w:r>
        <w:rPr>
          <w:spacing w:val="40"/>
          <w:sz w:val="24"/>
        </w:rPr>
        <w:t> </w:t>
      </w:r>
      <w:r>
        <w:rPr>
          <w:sz w:val="24"/>
        </w:rPr>
        <w:t>the</w:t>
      </w:r>
      <w:r>
        <w:rPr>
          <w:spacing w:val="40"/>
          <w:sz w:val="24"/>
        </w:rPr>
        <w:t> </w:t>
      </w:r>
      <w:r>
        <w:rPr>
          <w:sz w:val="24"/>
        </w:rPr>
        <w:t>lease</w:t>
      </w:r>
      <w:r>
        <w:rPr>
          <w:spacing w:val="40"/>
          <w:sz w:val="24"/>
        </w:rPr>
        <w:t> </w:t>
      </w:r>
      <w:r>
        <w:rPr>
          <w:sz w:val="24"/>
        </w:rPr>
        <w:t>conditions</w:t>
      </w:r>
      <w:r>
        <w:rPr>
          <w:spacing w:val="40"/>
          <w:sz w:val="24"/>
        </w:rPr>
        <w:t> </w:t>
      </w:r>
      <w:r>
        <w:rPr>
          <w:sz w:val="24"/>
        </w:rPr>
        <w:t>shall</w:t>
      </w:r>
      <w:r>
        <w:rPr>
          <w:spacing w:val="40"/>
          <w:sz w:val="24"/>
        </w:rPr>
        <w:t> </w:t>
      </w:r>
      <w:r>
        <w:rPr>
          <w:sz w:val="24"/>
        </w:rPr>
        <w:t>be</w:t>
      </w:r>
      <w:r>
        <w:rPr>
          <w:spacing w:val="40"/>
          <w:sz w:val="24"/>
        </w:rPr>
        <w:t> </w:t>
      </w:r>
      <w:r>
        <w:rPr>
          <w:sz w:val="24"/>
        </w:rPr>
        <w:t>obtained</w:t>
      </w:r>
      <w:r>
        <w:rPr>
          <w:spacing w:val="40"/>
          <w:sz w:val="24"/>
        </w:rPr>
        <w:t> </w:t>
      </w:r>
      <w:r>
        <w:rPr>
          <w:sz w:val="24"/>
        </w:rPr>
        <w:t>and</w:t>
      </w:r>
      <w:r>
        <w:rPr>
          <w:spacing w:val="40"/>
          <w:sz w:val="24"/>
        </w:rPr>
        <w:t> </w:t>
      </w:r>
      <w:r>
        <w:rPr>
          <w:sz w:val="24"/>
        </w:rPr>
        <w:t>attached</w:t>
      </w:r>
    </w:p>
    <w:p>
      <w:pPr>
        <w:pStyle w:val="ListParagraph"/>
        <w:spacing w:after="0" w:line="240" w:lineRule="auto"/>
        <w:jc w:val="both"/>
        <w:rPr>
          <w:sz w:val="24"/>
        </w:rPr>
        <w:sectPr>
          <w:pgSz w:w="11910" w:h="16840"/>
          <w:pgMar w:header="1036" w:footer="974" w:top="1460" w:bottom="1160" w:left="360" w:right="360"/>
        </w:sectPr>
      </w:pPr>
    </w:p>
    <w:p>
      <w:pPr>
        <w:pStyle w:val="BodyText"/>
        <w:spacing w:before="278"/>
        <w:ind w:left="2213" w:right="838"/>
        <w:jc w:val="left"/>
      </w:pPr>
      <w:r>
        <w:rPr/>
        <w:t>to</w:t>
      </w:r>
      <w:r>
        <w:rPr>
          <w:spacing w:val="40"/>
        </w:rPr>
        <w:t> </w:t>
      </w:r>
      <w:r>
        <w:rPr/>
        <w:t>the</w:t>
      </w:r>
      <w:r>
        <w:rPr>
          <w:spacing w:val="40"/>
        </w:rPr>
        <w:t> </w:t>
      </w:r>
      <w:r>
        <w:rPr/>
        <w:t>application</w:t>
      </w:r>
      <w:r>
        <w:rPr>
          <w:spacing w:val="40"/>
        </w:rPr>
        <w:t> </w:t>
      </w:r>
      <w:r>
        <w:rPr/>
        <w:t>for</w:t>
      </w:r>
      <w:r>
        <w:rPr>
          <w:spacing w:val="40"/>
        </w:rPr>
        <w:t> </w:t>
      </w:r>
      <w:r>
        <w:rPr/>
        <w:t>development</w:t>
      </w:r>
      <w:r>
        <w:rPr>
          <w:spacing w:val="40"/>
        </w:rPr>
        <w:t> </w:t>
      </w:r>
      <w:r>
        <w:rPr/>
        <w:t>permission</w:t>
      </w:r>
      <w:r>
        <w:rPr>
          <w:spacing w:val="40"/>
        </w:rPr>
        <w:t> </w:t>
      </w:r>
      <w:r>
        <w:rPr/>
        <w:t>in</w:t>
      </w:r>
      <w:r>
        <w:rPr>
          <w:spacing w:val="40"/>
        </w:rPr>
        <w:t> </w:t>
      </w:r>
      <w:r>
        <w:rPr/>
        <w:t>respect</w:t>
      </w:r>
      <w:r>
        <w:rPr>
          <w:spacing w:val="40"/>
        </w:rPr>
        <w:t> </w:t>
      </w:r>
      <w:r>
        <w:rPr/>
        <w:t>of</w:t>
      </w:r>
      <w:r>
        <w:rPr>
          <w:spacing w:val="40"/>
        </w:rPr>
        <w:t> </w:t>
      </w:r>
      <w:r>
        <w:rPr/>
        <w:t>such</w:t>
      </w:r>
      <w:r>
        <w:rPr>
          <w:spacing w:val="40"/>
        </w:rPr>
        <w:t> </w:t>
      </w:r>
      <w:r>
        <w:rPr>
          <w:spacing w:val="-2"/>
        </w:rPr>
        <w:t>land.</w:t>
      </w:r>
    </w:p>
    <w:p>
      <w:pPr>
        <w:pStyle w:val="ListParagraph"/>
        <w:numPr>
          <w:ilvl w:val="1"/>
          <w:numId w:val="16"/>
        </w:numPr>
        <w:tabs>
          <w:tab w:pos="2211" w:val="left" w:leader="none"/>
        </w:tabs>
        <w:spacing w:line="240" w:lineRule="auto" w:before="240" w:after="0"/>
        <w:ind w:left="2211" w:right="0" w:hanging="267"/>
        <w:jc w:val="left"/>
        <w:rPr>
          <w:sz w:val="24"/>
        </w:rPr>
      </w:pPr>
      <w:r>
        <w:rPr>
          <w:sz w:val="24"/>
        </w:rPr>
        <w:t>Any</w:t>
      </w:r>
      <w:r>
        <w:rPr>
          <w:spacing w:val="34"/>
          <w:sz w:val="24"/>
        </w:rPr>
        <w:t> </w:t>
      </w:r>
      <w:r>
        <w:rPr>
          <w:sz w:val="24"/>
        </w:rPr>
        <w:t>other</w:t>
      </w:r>
      <w:r>
        <w:rPr>
          <w:spacing w:val="35"/>
          <w:sz w:val="24"/>
        </w:rPr>
        <w:t> </w:t>
      </w:r>
      <w:r>
        <w:rPr>
          <w:sz w:val="24"/>
        </w:rPr>
        <w:t>documents</w:t>
      </w:r>
      <w:r>
        <w:rPr>
          <w:spacing w:val="34"/>
          <w:sz w:val="24"/>
        </w:rPr>
        <w:t> </w:t>
      </w:r>
      <w:r>
        <w:rPr>
          <w:sz w:val="24"/>
        </w:rPr>
        <w:t>as</w:t>
      </w:r>
      <w:r>
        <w:rPr>
          <w:spacing w:val="35"/>
          <w:sz w:val="24"/>
        </w:rPr>
        <w:t> </w:t>
      </w:r>
      <w:r>
        <w:rPr>
          <w:sz w:val="24"/>
        </w:rPr>
        <w:t>may</w:t>
      </w:r>
      <w:r>
        <w:rPr>
          <w:spacing w:val="35"/>
          <w:sz w:val="24"/>
        </w:rPr>
        <w:t> </w:t>
      </w:r>
      <w:r>
        <w:rPr>
          <w:sz w:val="24"/>
        </w:rPr>
        <w:t>be</w:t>
      </w:r>
      <w:r>
        <w:rPr>
          <w:spacing w:val="38"/>
          <w:sz w:val="24"/>
        </w:rPr>
        <w:t> </w:t>
      </w:r>
      <w:r>
        <w:rPr>
          <w:sz w:val="24"/>
        </w:rPr>
        <w:t>prescribed</w:t>
      </w:r>
      <w:r>
        <w:rPr>
          <w:spacing w:val="35"/>
          <w:sz w:val="24"/>
        </w:rPr>
        <w:t> </w:t>
      </w:r>
      <w:r>
        <w:rPr>
          <w:sz w:val="24"/>
        </w:rPr>
        <w:t>by</w:t>
      </w:r>
      <w:r>
        <w:rPr>
          <w:spacing w:val="35"/>
          <w:sz w:val="24"/>
        </w:rPr>
        <w:t> </w:t>
      </w:r>
      <w:r>
        <w:rPr>
          <w:sz w:val="24"/>
        </w:rPr>
        <w:t>the</w:t>
      </w:r>
      <w:r>
        <w:rPr>
          <w:spacing w:val="39"/>
          <w:sz w:val="24"/>
        </w:rPr>
        <w:t> </w:t>
      </w:r>
      <w:r>
        <w:rPr>
          <w:spacing w:val="-2"/>
          <w:sz w:val="24"/>
        </w:rPr>
        <w:t>Commissioner;</w:t>
      </w:r>
    </w:p>
    <w:p>
      <w:pPr>
        <w:pStyle w:val="ListParagraph"/>
        <w:numPr>
          <w:ilvl w:val="1"/>
          <w:numId w:val="16"/>
        </w:numPr>
        <w:tabs>
          <w:tab w:pos="2213" w:val="left" w:leader="none"/>
          <w:tab w:pos="2307" w:val="left" w:leader="none"/>
        </w:tabs>
        <w:spacing w:line="240" w:lineRule="auto" w:before="242" w:after="0"/>
        <w:ind w:left="2213" w:right="796" w:hanging="269"/>
        <w:jc w:val="both"/>
        <w:rPr>
          <w:sz w:val="24"/>
        </w:rPr>
      </w:pPr>
      <w:r>
        <w:rPr>
          <w:sz w:val="24"/>
        </w:rPr>
        <w:tab/>
        <w:t>Declaration cum affidavit from the owner/developer/applicant stating</w:t>
      </w:r>
      <w:r>
        <w:rPr>
          <w:spacing w:val="80"/>
          <w:sz w:val="24"/>
        </w:rPr>
        <w:t> </w:t>
      </w:r>
      <w:r>
        <w:rPr>
          <w:sz w:val="24"/>
        </w:rPr>
        <w:t>therein</w:t>
      </w:r>
      <w:r>
        <w:rPr>
          <w:spacing w:val="80"/>
          <w:sz w:val="24"/>
        </w:rPr>
        <w:t> </w:t>
      </w:r>
      <w:r>
        <w:rPr>
          <w:sz w:val="24"/>
        </w:rPr>
        <w:t>that</w:t>
      </w:r>
      <w:r>
        <w:rPr>
          <w:spacing w:val="80"/>
          <w:sz w:val="24"/>
        </w:rPr>
        <w:t> </w:t>
      </w:r>
      <w:r>
        <w:rPr>
          <w:sz w:val="24"/>
        </w:rPr>
        <w:t>construction</w:t>
      </w:r>
      <w:r>
        <w:rPr>
          <w:spacing w:val="80"/>
          <w:sz w:val="24"/>
        </w:rPr>
        <w:t> </w:t>
      </w:r>
      <w:r>
        <w:rPr>
          <w:sz w:val="24"/>
        </w:rPr>
        <w:t>materials</w:t>
      </w:r>
      <w:r>
        <w:rPr>
          <w:spacing w:val="80"/>
          <w:sz w:val="24"/>
        </w:rPr>
        <w:t> </w:t>
      </w:r>
      <w:r>
        <w:rPr>
          <w:sz w:val="24"/>
        </w:rPr>
        <w:t>like</w:t>
      </w:r>
      <w:r>
        <w:rPr>
          <w:spacing w:val="80"/>
          <w:sz w:val="24"/>
        </w:rPr>
        <w:t> </w:t>
      </w:r>
      <w:r>
        <w:rPr>
          <w:sz w:val="24"/>
        </w:rPr>
        <w:t>sand/aggregate will</w:t>
      </w:r>
      <w:r>
        <w:rPr>
          <w:spacing w:val="40"/>
          <w:sz w:val="24"/>
        </w:rPr>
        <w:t> </w:t>
      </w:r>
      <w:r>
        <w:rPr>
          <w:sz w:val="24"/>
        </w:rPr>
        <w:t>be</w:t>
      </w:r>
      <w:r>
        <w:rPr>
          <w:spacing w:val="40"/>
          <w:sz w:val="24"/>
        </w:rPr>
        <w:t> </w:t>
      </w:r>
      <w:r>
        <w:rPr>
          <w:sz w:val="24"/>
        </w:rPr>
        <w:t>obtained</w:t>
      </w:r>
      <w:r>
        <w:rPr>
          <w:spacing w:val="40"/>
          <w:sz w:val="24"/>
        </w:rPr>
        <w:t> </w:t>
      </w:r>
      <w:r>
        <w:rPr>
          <w:sz w:val="24"/>
        </w:rPr>
        <w:t>from</w:t>
      </w:r>
      <w:r>
        <w:rPr>
          <w:spacing w:val="40"/>
          <w:sz w:val="24"/>
        </w:rPr>
        <w:t> </w:t>
      </w:r>
      <w:r>
        <w:rPr>
          <w:sz w:val="24"/>
        </w:rPr>
        <w:t>the</w:t>
      </w:r>
      <w:r>
        <w:rPr>
          <w:spacing w:val="40"/>
          <w:sz w:val="24"/>
        </w:rPr>
        <w:t> </w:t>
      </w:r>
      <w:r>
        <w:rPr>
          <w:sz w:val="24"/>
        </w:rPr>
        <w:t>authorized</w:t>
      </w:r>
      <w:r>
        <w:rPr>
          <w:spacing w:val="40"/>
          <w:sz w:val="24"/>
        </w:rPr>
        <w:t> </w:t>
      </w:r>
      <w:r>
        <w:rPr>
          <w:spacing w:val="9"/>
          <w:sz w:val="24"/>
        </w:rPr>
        <w:t>quarry.</w:t>
      </w:r>
    </w:p>
    <w:p>
      <w:pPr>
        <w:pStyle w:val="ListParagraph"/>
        <w:numPr>
          <w:ilvl w:val="0"/>
          <w:numId w:val="16"/>
        </w:numPr>
        <w:tabs>
          <w:tab w:pos="2210" w:val="left" w:leader="none"/>
          <w:tab w:pos="2213" w:val="left" w:leader="none"/>
        </w:tabs>
        <w:spacing w:line="240" w:lineRule="auto" w:before="239" w:after="0"/>
        <w:ind w:left="2213" w:right="772" w:hanging="629"/>
        <w:jc w:val="both"/>
        <w:rPr>
          <w:sz w:val="24"/>
        </w:rPr>
      </w:pPr>
      <w:r>
        <w:rPr>
          <w:sz w:val="24"/>
        </w:rPr>
        <w:t>Key plan or location </w:t>
      </w:r>
      <w:r>
        <w:rPr>
          <w:spacing w:val="9"/>
          <w:sz w:val="24"/>
        </w:rPr>
        <w:t>plan-</w:t>
      </w:r>
      <w:r>
        <w:rPr>
          <w:sz w:val="24"/>
        </w:rPr>
        <w:t>A Key plan drawn to a scale of not less</w:t>
      </w:r>
      <w:r>
        <w:rPr>
          <w:spacing w:val="40"/>
          <w:sz w:val="24"/>
        </w:rPr>
        <w:t> </w:t>
      </w:r>
      <w:r>
        <w:rPr>
          <w:sz w:val="24"/>
        </w:rPr>
        <w:t>than 1: 4000 shall be submitted along with the application in Appendix II for development permission and commencement certificate</w:t>
      </w:r>
      <w:r>
        <w:rPr>
          <w:spacing w:val="40"/>
          <w:sz w:val="24"/>
        </w:rPr>
        <w:t> </w:t>
      </w:r>
      <w:r>
        <w:rPr>
          <w:sz w:val="24"/>
        </w:rPr>
        <w:t>showing</w:t>
      </w:r>
      <w:r>
        <w:rPr>
          <w:spacing w:val="40"/>
          <w:sz w:val="24"/>
        </w:rPr>
        <w:t> </w:t>
      </w:r>
      <w:r>
        <w:rPr>
          <w:sz w:val="24"/>
        </w:rPr>
        <w:t>the</w:t>
      </w:r>
      <w:r>
        <w:rPr>
          <w:spacing w:val="40"/>
          <w:sz w:val="24"/>
        </w:rPr>
        <w:t> </w:t>
      </w:r>
      <w:r>
        <w:rPr>
          <w:sz w:val="24"/>
        </w:rPr>
        <w:t>boundary,</w:t>
      </w:r>
      <w:r>
        <w:rPr>
          <w:spacing w:val="40"/>
          <w:sz w:val="24"/>
        </w:rPr>
        <w:t> </w:t>
      </w:r>
      <w:r>
        <w:rPr>
          <w:sz w:val="24"/>
        </w:rPr>
        <w:t>location</w:t>
      </w:r>
      <w:r>
        <w:rPr>
          <w:spacing w:val="40"/>
          <w:sz w:val="24"/>
        </w:rPr>
        <w:t> </w:t>
      </w:r>
      <w:r>
        <w:rPr>
          <w:sz w:val="24"/>
        </w:rPr>
        <w:t>of</w:t>
      </w:r>
      <w:r>
        <w:rPr>
          <w:spacing w:val="40"/>
          <w:sz w:val="24"/>
        </w:rPr>
        <w:t> </w:t>
      </w:r>
      <w:r>
        <w:rPr>
          <w:sz w:val="24"/>
        </w:rPr>
        <w:t>the</w:t>
      </w:r>
      <w:r>
        <w:rPr>
          <w:spacing w:val="40"/>
          <w:sz w:val="24"/>
        </w:rPr>
        <w:t> </w:t>
      </w:r>
      <w:r>
        <w:rPr>
          <w:sz w:val="24"/>
        </w:rPr>
        <w:t>site</w:t>
      </w:r>
      <w:r>
        <w:rPr>
          <w:spacing w:val="40"/>
          <w:sz w:val="24"/>
        </w:rPr>
        <w:t> </w:t>
      </w:r>
      <w:r>
        <w:rPr>
          <w:sz w:val="24"/>
        </w:rPr>
        <w:t>with</w:t>
      </w:r>
      <w:r>
        <w:rPr>
          <w:spacing w:val="40"/>
          <w:sz w:val="24"/>
        </w:rPr>
        <w:t> </w:t>
      </w:r>
      <w:r>
        <w:rPr>
          <w:sz w:val="24"/>
        </w:rPr>
        <w:t>respect to</w:t>
      </w:r>
      <w:r>
        <w:rPr>
          <w:spacing w:val="40"/>
          <w:sz w:val="24"/>
        </w:rPr>
        <w:t> </w:t>
      </w:r>
      <w:r>
        <w:rPr>
          <w:sz w:val="24"/>
        </w:rPr>
        <w:t>neighborhood</w:t>
      </w:r>
      <w:r>
        <w:rPr>
          <w:spacing w:val="9"/>
          <w:sz w:val="24"/>
        </w:rPr>
        <w:t> land-</w:t>
      </w:r>
      <w:r>
        <w:rPr>
          <w:sz w:val="24"/>
        </w:rPr>
        <w:t>marks.</w:t>
      </w:r>
    </w:p>
    <w:p>
      <w:pPr>
        <w:pStyle w:val="ListParagraph"/>
        <w:numPr>
          <w:ilvl w:val="0"/>
          <w:numId w:val="16"/>
        </w:numPr>
        <w:tabs>
          <w:tab w:pos="2210" w:val="left" w:leader="none"/>
          <w:tab w:pos="2213" w:val="left" w:leader="none"/>
        </w:tabs>
        <w:spacing w:line="240" w:lineRule="auto" w:before="241" w:after="0"/>
        <w:ind w:left="2213" w:right="791" w:hanging="540"/>
        <w:jc w:val="both"/>
        <w:rPr>
          <w:sz w:val="24"/>
        </w:rPr>
      </w:pPr>
      <w:r>
        <w:rPr>
          <w:sz w:val="24"/>
        </w:rPr>
        <w:t>Site </w:t>
      </w:r>
      <w:r>
        <w:rPr>
          <w:spacing w:val="10"/>
          <w:sz w:val="24"/>
        </w:rPr>
        <w:t>plan-</w:t>
      </w:r>
      <w:r>
        <w:rPr>
          <w:sz w:val="24"/>
        </w:rPr>
        <w:t>The site plan sent with an application for permission</w:t>
      </w:r>
      <w:r>
        <w:rPr>
          <w:spacing w:val="40"/>
          <w:sz w:val="24"/>
        </w:rPr>
        <w:t> </w:t>
      </w:r>
      <w:r>
        <w:rPr>
          <w:sz w:val="24"/>
        </w:rPr>
        <w:t>drawn to a scale of 1:500 shall be duly signed by the Owner &amp; licensed</w:t>
      </w:r>
      <w:r>
        <w:rPr>
          <w:spacing w:val="40"/>
          <w:sz w:val="24"/>
        </w:rPr>
        <w:t> </w:t>
      </w:r>
      <w:r>
        <w:rPr>
          <w:sz w:val="24"/>
        </w:rPr>
        <w:t>Surveyor</w:t>
      </w:r>
      <w:r>
        <w:rPr>
          <w:spacing w:val="40"/>
          <w:sz w:val="24"/>
        </w:rPr>
        <w:t> </w:t>
      </w:r>
      <w:r>
        <w:rPr>
          <w:sz w:val="24"/>
        </w:rPr>
        <w:t>or</w:t>
      </w:r>
      <w:r>
        <w:rPr>
          <w:spacing w:val="40"/>
          <w:sz w:val="24"/>
        </w:rPr>
        <w:t> </w:t>
      </w:r>
      <w:r>
        <w:rPr>
          <w:sz w:val="24"/>
        </w:rPr>
        <w:t>architect</w:t>
      </w:r>
      <w:r>
        <w:rPr>
          <w:spacing w:val="80"/>
          <w:sz w:val="24"/>
        </w:rPr>
        <w:t> </w:t>
      </w:r>
      <w:r>
        <w:rPr>
          <w:sz w:val="24"/>
        </w:rPr>
        <w:t>showing</w:t>
      </w:r>
      <w:r>
        <w:rPr>
          <w:spacing w:val="40"/>
          <w:sz w:val="24"/>
        </w:rPr>
        <w:t> </w:t>
      </w:r>
      <w:r>
        <w:rPr>
          <w:sz w:val="24"/>
        </w:rPr>
        <w:t>in</w:t>
      </w:r>
      <w:r>
        <w:rPr>
          <w:spacing w:val="40"/>
          <w:sz w:val="24"/>
        </w:rPr>
        <w:t> </w:t>
      </w:r>
      <w:r>
        <w:rPr>
          <w:sz w:val="24"/>
        </w:rPr>
        <w:t>addition</w:t>
      </w:r>
      <w:r>
        <w:rPr>
          <w:spacing w:val="40"/>
          <w:sz w:val="24"/>
        </w:rPr>
        <w:t> </w:t>
      </w:r>
      <w:r>
        <w:rPr>
          <w:sz w:val="24"/>
        </w:rPr>
        <w:t>to</w:t>
      </w:r>
      <w:r>
        <w:rPr>
          <w:spacing w:val="40"/>
          <w:sz w:val="24"/>
        </w:rPr>
        <w:t> </w:t>
      </w:r>
      <w:r>
        <w:rPr>
          <w:sz w:val="24"/>
        </w:rPr>
        <w:t>the</w:t>
      </w:r>
      <w:r>
        <w:rPr>
          <w:spacing w:val="40"/>
          <w:sz w:val="24"/>
        </w:rPr>
        <w:t> </w:t>
      </w:r>
      <w:r>
        <w:rPr>
          <w:sz w:val="24"/>
        </w:rPr>
        <w:t>details</w:t>
      </w:r>
      <w:r>
        <w:rPr>
          <w:spacing w:val="40"/>
          <w:sz w:val="24"/>
        </w:rPr>
        <w:t> </w:t>
      </w:r>
      <w:r>
        <w:rPr>
          <w:sz w:val="24"/>
        </w:rPr>
        <w:t>in</w:t>
      </w:r>
      <w:r>
        <w:rPr>
          <w:spacing w:val="40"/>
          <w:sz w:val="24"/>
        </w:rPr>
        <w:t> </w:t>
      </w:r>
      <w:r>
        <w:rPr>
          <w:sz w:val="24"/>
        </w:rPr>
        <w:t>Form-II</w:t>
      </w:r>
      <w:r>
        <w:rPr>
          <w:spacing w:val="40"/>
          <w:sz w:val="24"/>
        </w:rPr>
        <w:t> </w:t>
      </w:r>
      <w:r>
        <w:rPr>
          <w:sz w:val="24"/>
        </w:rPr>
        <w:t>of</w:t>
      </w:r>
      <w:r>
        <w:rPr>
          <w:spacing w:val="40"/>
          <w:sz w:val="24"/>
        </w:rPr>
        <w:t> </w:t>
      </w:r>
      <w:r>
        <w:rPr>
          <w:sz w:val="24"/>
        </w:rPr>
        <w:t>Annexure</w:t>
      </w:r>
      <w:r>
        <w:rPr>
          <w:spacing w:val="40"/>
          <w:sz w:val="24"/>
        </w:rPr>
        <w:t> </w:t>
      </w:r>
      <w:r>
        <w:rPr>
          <w:sz w:val="24"/>
        </w:rPr>
        <w:t>I</w:t>
      </w:r>
      <w:r>
        <w:rPr>
          <w:spacing w:val="40"/>
          <w:sz w:val="24"/>
        </w:rPr>
        <w:t> </w:t>
      </w:r>
      <w:r>
        <w:rPr>
          <w:sz w:val="24"/>
        </w:rPr>
        <w:t>the</w:t>
      </w:r>
      <w:r>
        <w:rPr>
          <w:spacing w:val="40"/>
          <w:sz w:val="24"/>
        </w:rPr>
        <w:t> </w:t>
      </w:r>
      <w:r>
        <w:rPr>
          <w:sz w:val="24"/>
        </w:rPr>
        <w:t>following:</w:t>
      </w:r>
      <w:r>
        <w:rPr>
          <w:spacing w:val="40"/>
          <w:sz w:val="24"/>
        </w:rPr>
        <w:t> </w:t>
      </w:r>
      <w:r>
        <w:rPr>
          <w:sz w:val="24"/>
        </w:rPr>
        <w:t>-</w:t>
      </w:r>
    </w:p>
    <w:p>
      <w:pPr>
        <w:pStyle w:val="ListParagraph"/>
        <w:numPr>
          <w:ilvl w:val="1"/>
          <w:numId w:val="16"/>
        </w:numPr>
        <w:tabs>
          <w:tab w:pos="2304" w:val="left" w:leader="none"/>
          <w:tab w:pos="2306" w:val="left" w:leader="none"/>
        </w:tabs>
        <w:spacing w:line="240" w:lineRule="auto" w:before="239" w:after="0"/>
        <w:ind w:left="2304" w:right="798" w:hanging="308"/>
        <w:jc w:val="both"/>
        <w:rPr>
          <w:sz w:val="24"/>
        </w:rPr>
      </w:pPr>
      <w:r>
        <w:rPr>
          <w:sz w:val="24"/>
        </w:rPr>
        <w:t>The</w:t>
      </w:r>
      <w:r>
        <w:rPr>
          <w:spacing w:val="40"/>
          <w:sz w:val="24"/>
        </w:rPr>
        <w:t> </w:t>
      </w:r>
      <w:r>
        <w:rPr>
          <w:sz w:val="24"/>
        </w:rPr>
        <w:t>boundaries</w:t>
      </w:r>
      <w:r>
        <w:rPr>
          <w:spacing w:val="40"/>
          <w:sz w:val="24"/>
        </w:rPr>
        <w:t> </w:t>
      </w:r>
      <w:r>
        <w:rPr>
          <w:sz w:val="24"/>
        </w:rPr>
        <w:t>of</w:t>
      </w:r>
      <w:r>
        <w:rPr>
          <w:spacing w:val="40"/>
          <w:sz w:val="24"/>
        </w:rPr>
        <w:t> </w:t>
      </w:r>
      <w:r>
        <w:rPr>
          <w:sz w:val="24"/>
        </w:rPr>
        <w:t>the</w:t>
      </w:r>
      <w:r>
        <w:rPr>
          <w:spacing w:val="40"/>
          <w:sz w:val="24"/>
        </w:rPr>
        <w:t> </w:t>
      </w:r>
      <w:r>
        <w:rPr>
          <w:sz w:val="24"/>
        </w:rPr>
        <w:t>site</w:t>
      </w:r>
      <w:r>
        <w:rPr>
          <w:spacing w:val="40"/>
          <w:sz w:val="24"/>
        </w:rPr>
        <w:t> </w:t>
      </w:r>
      <w:r>
        <w:rPr>
          <w:sz w:val="24"/>
        </w:rPr>
        <w:t>and</w:t>
      </w:r>
      <w:r>
        <w:rPr>
          <w:spacing w:val="40"/>
          <w:sz w:val="24"/>
        </w:rPr>
        <w:t> </w:t>
      </w:r>
      <w:r>
        <w:rPr>
          <w:sz w:val="24"/>
        </w:rPr>
        <w:t>of</w:t>
      </w:r>
      <w:r>
        <w:rPr>
          <w:spacing w:val="40"/>
          <w:sz w:val="24"/>
        </w:rPr>
        <w:t> </w:t>
      </w:r>
      <w:r>
        <w:rPr>
          <w:sz w:val="24"/>
        </w:rPr>
        <w:t>any</w:t>
      </w:r>
      <w:r>
        <w:rPr>
          <w:spacing w:val="40"/>
          <w:sz w:val="24"/>
        </w:rPr>
        <w:t> </w:t>
      </w:r>
      <w:r>
        <w:rPr>
          <w:sz w:val="24"/>
        </w:rPr>
        <w:t>contiguous</w:t>
      </w:r>
      <w:r>
        <w:rPr>
          <w:spacing w:val="40"/>
          <w:sz w:val="24"/>
        </w:rPr>
        <w:t> </w:t>
      </w:r>
      <w:r>
        <w:rPr>
          <w:sz w:val="24"/>
        </w:rPr>
        <w:t>land</w:t>
      </w:r>
      <w:r>
        <w:rPr>
          <w:spacing w:val="40"/>
          <w:sz w:val="24"/>
        </w:rPr>
        <w:t> </w:t>
      </w:r>
      <w:r>
        <w:rPr>
          <w:sz w:val="24"/>
        </w:rPr>
        <w:t>belonging to</w:t>
      </w:r>
      <w:r>
        <w:rPr>
          <w:spacing w:val="40"/>
          <w:sz w:val="24"/>
        </w:rPr>
        <w:t> </w:t>
      </w:r>
      <w:r>
        <w:rPr>
          <w:sz w:val="24"/>
        </w:rPr>
        <w:t>the</w:t>
      </w:r>
      <w:r>
        <w:rPr>
          <w:spacing w:val="40"/>
          <w:sz w:val="24"/>
        </w:rPr>
        <w:t> </w:t>
      </w:r>
      <w:r>
        <w:rPr>
          <w:sz w:val="24"/>
        </w:rPr>
        <w:t>owner</w:t>
      </w:r>
      <w:r>
        <w:rPr>
          <w:spacing w:val="40"/>
          <w:sz w:val="24"/>
        </w:rPr>
        <w:t> </w:t>
      </w:r>
      <w:r>
        <w:rPr>
          <w:sz w:val="24"/>
        </w:rPr>
        <w:t>of</w:t>
      </w:r>
      <w:r>
        <w:rPr>
          <w:spacing w:val="40"/>
          <w:sz w:val="24"/>
        </w:rPr>
        <w:t> </w:t>
      </w:r>
      <w:r>
        <w:rPr>
          <w:sz w:val="24"/>
        </w:rPr>
        <w:t>the</w:t>
      </w:r>
      <w:r>
        <w:rPr>
          <w:spacing w:val="40"/>
          <w:sz w:val="24"/>
        </w:rPr>
        <w:t> </w:t>
      </w:r>
      <w:r>
        <w:rPr>
          <w:sz w:val="24"/>
        </w:rPr>
        <w:t>site;</w:t>
      </w:r>
    </w:p>
    <w:p>
      <w:pPr>
        <w:pStyle w:val="ListParagraph"/>
        <w:numPr>
          <w:ilvl w:val="1"/>
          <w:numId w:val="16"/>
        </w:numPr>
        <w:tabs>
          <w:tab w:pos="528" w:val="left" w:leader="none"/>
        </w:tabs>
        <w:spacing w:line="240" w:lineRule="auto" w:before="241" w:after="0"/>
        <w:ind w:left="528" w:right="0" w:hanging="240"/>
        <w:jc w:val="center"/>
        <w:rPr>
          <w:sz w:val="24"/>
        </w:rPr>
      </w:pPr>
      <w:r>
        <w:rPr>
          <w:sz w:val="24"/>
        </w:rPr>
        <w:t>The</w:t>
      </w:r>
      <w:r>
        <w:rPr>
          <w:spacing w:val="52"/>
          <w:sz w:val="24"/>
        </w:rPr>
        <w:t> </w:t>
      </w:r>
      <w:r>
        <w:rPr>
          <w:sz w:val="24"/>
        </w:rPr>
        <w:t>position</w:t>
      </w:r>
      <w:r>
        <w:rPr>
          <w:spacing w:val="57"/>
          <w:sz w:val="24"/>
        </w:rPr>
        <w:t> </w:t>
      </w:r>
      <w:r>
        <w:rPr>
          <w:sz w:val="24"/>
        </w:rPr>
        <w:t>of</w:t>
      </w:r>
      <w:r>
        <w:rPr>
          <w:spacing w:val="53"/>
          <w:sz w:val="24"/>
        </w:rPr>
        <w:t> </w:t>
      </w:r>
      <w:r>
        <w:rPr>
          <w:sz w:val="24"/>
        </w:rPr>
        <w:t>the</w:t>
      </w:r>
      <w:r>
        <w:rPr>
          <w:spacing w:val="53"/>
          <w:sz w:val="24"/>
        </w:rPr>
        <w:t> </w:t>
      </w:r>
      <w:r>
        <w:rPr>
          <w:sz w:val="24"/>
        </w:rPr>
        <w:t>site</w:t>
      </w:r>
      <w:r>
        <w:rPr>
          <w:spacing w:val="52"/>
          <w:sz w:val="24"/>
        </w:rPr>
        <w:t> </w:t>
      </w:r>
      <w:r>
        <w:rPr>
          <w:sz w:val="24"/>
        </w:rPr>
        <w:t>in</w:t>
      </w:r>
      <w:r>
        <w:rPr>
          <w:spacing w:val="53"/>
          <w:sz w:val="24"/>
        </w:rPr>
        <w:t> </w:t>
      </w:r>
      <w:r>
        <w:rPr>
          <w:sz w:val="24"/>
        </w:rPr>
        <w:t>relation</w:t>
      </w:r>
      <w:r>
        <w:rPr>
          <w:spacing w:val="53"/>
          <w:sz w:val="24"/>
        </w:rPr>
        <w:t> </w:t>
      </w:r>
      <w:r>
        <w:rPr>
          <w:sz w:val="24"/>
        </w:rPr>
        <w:t>to</w:t>
      </w:r>
      <w:r>
        <w:rPr>
          <w:spacing w:val="53"/>
          <w:sz w:val="24"/>
        </w:rPr>
        <w:t> </w:t>
      </w:r>
      <w:r>
        <w:rPr>
          <w:sz w:val="24"/>
        </w:rPr>
        <w:t>neighboring</w:t>
      </w:r>
      <w:r>
        <w:rPr>
          <w:spacing w:val="57"/>
          <w:sz w:val="24"/>
        </w:rPr>
        <w:t> </w:t>
      </w:r>
      <w:r>
        <w:rPr>
          <w:spacing w:val="-2"/>
          <w:sz w:val="24"/>
        </w:rPr>
        <w:t>streets;</w:t>
      </w:r>
    </w:p>
    <w:p>
      <w:pPr>
        <w:pStyle w:val="ListParagraph"/>
        <w:numPr>
          <w:ilvl w:val="1"/>
          <w:numId w:val="16"/>
        </w:numPr>
        <w:tabs>
          <w:tab w:pos="2302" w:val="left" w:leader="none"/>
          <w:tab w:pos="2304" w:val="left" w:leader="none"/>
        </w:tabs>
        <w:spacing w:line="240" w:lineRule="auto" w:before="239" w:after="0"/>
        <w:ind w:left="2304" w:right="792" w:hanging="308"/>
        <w:jc w:val="both"/>
        <w:rPr>
          <w:sz w:val="24"/>
        </w:rPr>
      </w:pPr>
      <w:r>
        <w:rPr>
          <w:sz w:val="24"/>
        </w:rPr>
        <w:t>The names of the streets on which the building is proposed to be situated if </w:t>
      </w:r>
      <w:r>
        <w:rPr>
          <w:spacing w:val="9"/>
          <w:sz w:val="24"/>
        </w:rPr>
        <w:t>any;</w:t>
      </w:r>
    </w:p>
    <w:p>
      <w:pPr>
        <w:pStyle w:val="ListParagraph"/>
        <w:numPr>
          <w:ilvl w:val="1"/>
          <w:numId w:val="16"/>
        </w:numPr>
        <w:tabs>
          <w:tab w:pos="2304" w:val="left" w:leader="none"/>
          <w:tab w:pos="2354" w:val="left" w:leader="none"/>
        </w:tabs>
        <w:spacing w:line="240" w:lineRule="auto" w:before="241" w:after="0"/>
        <w:ind w:left="2304" w:right="796" w:hanging="272"/>
        <w:jc w:val="both"/>
        <w:rPr>
          <w:sz w:val="24"/>
        </w:rPr>
      </w:pPr>
      <w:r>
        <w:rPr>
          <w:sz w:val="24"/>
        </w:rPr>
        <w:t>All</w:t>
      </w:r>
      <w:r>
        <w:rPr>
          <w:spacing w:val="80"/>
          <w:sz w:val="24"/>
        </w:rPr>
        <w:t> </w:t>
      </w:r>
      <w:r>
        <w:rPr>
          <w:sz w:val="24"/>
        </w:rPr>
        <w:t>existing</w:t>
      </w:r>
      <w:r>
        <w:rPr>
          <w:spacing w:val="40"/>
          <w:sz w:val="24"/>
        </w:rPr>
        <w:t> </w:t>
      </w:r>
      <w:r>
        <w:rPr>
          <w:sz w:val="24"/>
        </w:rPr>
        <w:t>buildings</w:t>
      </w:r>
      <w:r>
        <w:rPr>
          <w:spacing w:val="40"/>
          <w:sz w:val="24"/>
        </w:rPr>
        <w:t> </w:t>
      </w:r>
      <w:r>
        <w:rPr>
          <w:sz w:val="24"/>
        </w:rPr>
        <w:t>contained</w:t>
      </w:r>
      <w:r>
        <w:rPr>
          <w:spacing w:val="40"/>
          <w:sz w:val="24"/>
        </w:rPr>
        <w:t> </w:t>
      </w:r>
      <w:r>
        <w:rPr>
          <w:sz w:val="24"/>
        </w:rPr>
        <w:t>in</w:t>
      </w:r>
      <w:r>
        <w:rPr>
          <w:spacing w:val="40"/>
          <w:sz w:val="24"/>
        </w:rPr>
        <w:t> </w:t>
      </w:r>
      <w:r>
        <w:rPr>
          <w:sz w:val="24"/>
        </w:rPr>
        <w:t>the</w:t>
      </w:r>
      <w:r>
        <w:rPr>
          <w:spacing w:val="40"/>
          <w:sz w:val="24"/>
        </w:rPr>
        <w:t> </w:t>
      </w:r>
      <w:r>
        <w:rPr>
          <w:sz w:val="24"/>
        </w:rPr>
        <w:t>site</w:t>
      </w:r>
      <w:r>
        <w:rPr>
          <w:spacing w:val="40"/>
          <w:sz w:val="24"/>
        </w:rPr>
        <w:t> </w:t>
      </w:r>
      <w:r>
        <w:rPr>
          <w:sz w:val="24"/>
        </w:rPr>
        <w:t>with</w:t>
      </w:r>
      <w:r>
        <w:rPr>
          <w:spacing w:val="40"/>
          <w:sz w:val="24"/>
        </w:rPr>
        <w:t> </w:t>
      </w:r>
      <w:r>
        <w:rPr>
          <w:sz w:val="24"/>
        </w:rPr>
        <w:t>their</w:t>
      </w:r>
      <w:r>
        <w:rPr>
          <w:spacing w:val="40"/>
          <w:sz w:val="24"/>
        </w:rPr>
        <w:t> </w:t>
      </w:r>
      <w:r>
        <w:rPr>
          <w:sz w:val="24"/>
        </w:rPr>
        <w:t>names (where</w:t>
      </w:r>
      <w:r>
        <w:rPr>
          <w:spacing w:val="40"/>
          <w:sz w:val="24"/>
        </w:rPr>
        <w:t> </w:t>
      </w:r>
      <w:r>
        <w:rPr>
          <w:sz w:val="24"/>
        </w:rPr>
        <w:t>the</w:t>
      </w:r>
      <w:r>
        <w:rPr>
          <w:spacing w:val="40"/>
          <w:sz w:val="24"/>
        </w:rPr>
        <w:t> </w:t>
      </w:r>
      <w:r>
        <w:rPr>
          <w:sz w:val="24"/>
        </w:rPr>
        <w:t>buildings</w:t>
      </w:r>
      <w:r>
        <w:rPr>
          <w:spacing w:val="40"/>
          <w:sz w:val="24"/>
        </w:rPr>
        <w:t> </w:t>
      </w:r>
      <w:r>
        <w:rPr>
          <w:sz w:val="24"/>
        </w:rPr>
        <w:t>are</w:t>
      </w:r>
      <w:r>
        <w:rPr>
          <w:spacing w:val="40"/>
          <w:sz w:val="24"/>
        </w:rPr>
        <w:t> </w:t>
      </w:r>
      <w:r>
        <w:rPr>
          <w:sz w:val="24"/>
        </w:rPr>
        <w:t>given</w:t>
      </w:r>
      <w:r>
        <w:rPr>
          <w:spacing w:val="40"/>
          <w:sz w:val="24"/>
        </w:rPr>
        <w:t> </w:t>
      </w:r>
      <w:r>
        <w:rPr>
          <w:sz w:val="24"/>
        </w:rPr>
        <w:t>names)</w:t>
      </w:r>
      <w:r>
        <w:rPr>
          <w:spacing w:val="80"/>
          <w:sz w:val="24"/>
        </w:rPr>
        <w:t> </w:t>
      </w:r>
      <w:r>
        <w:rPr>
          <w:sz w:val="24"/>
        </w:rPr>
        <w:t>and</w:t>
      </w:r>
      <w:r>
        <w:rPr>
          <w:spacing w:val="40"/>
          <w:sz w:val="24"/>
        </w:rPr>
        <w:t> </w:t>
      </w:r>
      <w:r>
        <w:rPr>
          <w:sz w:val="24"/>
        </w:rPr>
        <w:t>their</w:t>
      </w:r>
      <w:r>
        <w:rPr>
          <w:spacing w:val="40"/>
          <w:sz w:val="24"/>
        </w:rPr>
        <w:t> </w:t>
      </w:r>
      <w:r>
        <w:rPr>
          <w:sz w:val="24"/>
        </w:rPr>
        <w:t>numbers;</w:t>
      </w:r>
    </w:p>
    <w:p>
      <w:pPr>
        <w:pStyle w:val="ListParagraph"/>
        <w:numPr>
          <w:ilvl w:val="1"/>
          <w:numId w:val="16"/>
        </w:numPr>
        <w:tabs>
          <w:tab w:pos="2302" w:val="left" w:leader="none"/>
          <w:tab w:pos="2304" w:val="left" w:leader="none"/>
        </w:tabs>
        <w:spacing w:line="240" w:lineRule="auto" w:before="240" w:after="0"/>
        <w:ind w:left="2304" w:right="773" w:hanging="308"/>
        <w:jc w:val="both"/>
        <w:rPr>
          <w:sz w:val="24"/>
        </w:rPr>
      </w:pPr>
      <w:r>
        <w:rPr>
          <w:sz w:val="24"/>
        </w:rPr>
        <w:t>The</w:t>
      </w:r>
      <w:r>
        <w:rPr>
          <w:spacing w:val="40"/>
          <w:sz w:val="24"/>
        </w:rPr>
        <w:t> </w:t>
      </w:r>
      <w:r>
        <w:rPr>
          <w:sz w:val="24"/>
        </w:rPr>
        <w:t>position</w:t>
      </w:r>
      <w:r>
        <w:rPr>
          <w:spacing w:val="40"/>
          <w:sz w:val="24"/>
        </w:rPr>
        <w:t> </w:t>
      </w:r>
      <w:r>
        <w:rPr>
          <w:sz w:val="24"/>
        </w:rPr>
        <w:t>of</w:t>
      </w:r>
      <w:r>
        <w:rPr>
          <w:spacing w:val="40"/>
          <w:sz w:val="24"/>
        </w:rPr>
        <w:t> </w:t>
      </w:r>
      <w:r>
        <w:rPr>
          <w:sz w:val="24"/>
        </w:rPr>
        <w:t>the</w:t>
      </w:r>
      <w:r>
        <w:rPr>
          <w:spacing w:val="40"/>
          <w:sz w:val="24"/>
        </w:rPr>
        <w:t> </w:t>
      </w:r>
      <w:r>
        <w:rPr>
          <w:sz w:val="24"/>
        </w:rPr>
        <w:t>building</w:t>
      </w:r>
      <w:r>
        <w:rPr>
          <w:spacing w:val="40"/>
          <w:sz w:val="24"/>
        </w:rPr>
        <w:t> </w:t>
      </w:r>
      <w:r>
        <w:rPr>
          <w:sz w:val="24"/>
        </w:rPr>
        <w:t>and</w:t>
      </w:r>
      <w:r>
        <w:rPr>
          <w:spacing w:val="40"/>
          <w:sz w:val="24"/>
        </w:rPr>
        <w:t> </w:t>
      </w:r>
      <w:r>
        <w:rPr>
          <w:sz w:val="24"/>
        </w:rPr>
        <w:t>of</w:t>
      </w:r>
      <w:r>
        <w:rPr>
          <w:spacing w:val="9"/>
          <w:sz w:val="24"/>
        </w:rPr>
        <w:t> other </w:t>
      </w:r>
      <w:r>
        <w:rPr>
          <w:sz w:val="24"/>
        </w:rPr>
        <w:t>buildings,</w:t>
      </w:r>
      <w:r>
        <w:rPr>
          <w:spacing w:val="40"/>
          <w:sz w:val="24"/>
        </w:rPr>
        <w:t> </w:t>
      </w:r>
      <w:r>
        <w:rPr>
          <w:sz w:val="24"/>
        </w:rPr>
        <w:t>if</w:t>
      </w:r>
      <w:r>
        <w:rPr>
          <w:spacing w:val="40"/>
          <w:sz w:val="24"/>
        </w:rPr>
        <w:t> </w:t>
      </w:r>
      <w:r>
        <w:rPr>
          <w:sz w:val="24"/>
        </w:rPr>
        <w:t>any,</w:t>
      </w:r>
      <w:r>
        <w:rPr>
          <w:spacing w:val="40"/>
          <w:sz w:val="24"/>
        </w:rPr>
        <w:t> </w:t>
      </w:r>
      <w:r>
        <w:rPr>
          <w:sz w:val="24"/>
        </w:rPr>
        <w:t>which the</w:t>
      </w:r>
      <w:r>
        <w:rPr>
          <w:spacing w:val="80"/>
          <w:sz w:val="24"/>
        </w:rPr>
        <w:t> </w:t>
      </w:r>
      <w:r>
        <w:rPr>
          <w:sz w:val="24"/>
        </w:rPr>
        <w:t>applicant</w:t>
      </w:r>
      <w:r>
        <w:rPr>
          <w:spacing w:val="80"/>
          <w:sz w:val="24"/>
        </w:rPr>
        <w:t> </w:t>
      </w:r>
      <w:r>
        <w:rPr>
          <w:sz w:val="24"/>
        </w:rPr>
        <w:t>intends</w:t>
      </w:r>
      <w:r>
        <w:rPr>
          <w:spacing w:val="80"/>
          <w:sz w:val="24"/>
        </w:rPr>
        <w:t> </w:t>
      </w:r>
      <w:r>
        <w:rPr>
          <w:sz w:val="24"/>
        </w:rPr>
        <w:t>to</w:t>
      </w:r>
      <w:r>
        <w:rPr>
          <w:spacing w:val="80"/>
          <w:sz w:val="24"/>
        </w:rPr>
        <w:t> </w:t>
      </w:r>
      <w:r>
        <w:rPr>
          <w:sz w:val="24"/>
        </w:rPr>
        <w:t>erect</w:t>
      </w:r>
      <w:r>
        <w:rPr>
          <w:spacing w:val="80"/>
          <w:sz w:val="24"/>
        </w:rPr>
        <w:t> </w:t>
      </w:r>
      <w:r>
        <w:rPr>
          <w:sz w:val="24"/>
        </w:rPr>
        <w:t>upon</w:t>
      </w:r>
      <w:r>
        <w:rPr>
          <w:spacing w:val="80"/>
          <w:sz w:val="24"/>
        </w:rPr>
        <w:t> </w:t>
      </w:r>
      <w:r>
        <w:rPr>
          <w:sz w:val="24"/>
        </w:rPr>
        <w:t>his</w:t>
      </w:r>
      <w:r>
        <w:rPr>
          <w:spacing w:val="80"/>
          <w:sz w:val="24"/>
        </w:rPr>
        <w:t> </w:t>
      </w:r>
      <w:r>
        <w:rPr>
          <w:sz w:val="24"/>
        </w:rPr>
        <w:t>contiguous</w:t>
      </w:r>
      <w:r>
        <w:rPr>
          <w:spacing w:val="80"/>
          <w:sz w:val="24"/>
        </w:rPr>
        <w:t> </w:t>
      </w:r>
      <w:r>
        <w:rPr>
          <w:spacing w:val="10"/>
          <w:sz w:val="24"/>
        </w:rPr>
        <w:t>land </w:t>
      </w:r>
      <w:r>
        <w:rPr>
          <w:sz w:val="24"/>
        </w:rPr>
        <w:t>referred</w:t>
      </w:r>
      <w:r>
        <w:rPr>
          <w:spacing w:val="40"/>
          <w:sz w:val="24"/>
        </w:rPr>
        <w:t> </w:t>
      </w:r>
      <w:r>
        <w:rPr>
          <w:sz w:val="24"/>
        </w:rPr>
        <w:t>to</w:t>
      </w:r>
      <w:r>
        <w:rPr>
          <w:spacing w:val="40"/>
          <w:sz w:val="24"/>
        </w:rPr>
        <w:t> </w:t>
      </w:r>
      <w:r>
        <w:rPr>
          <w:sz w:val="24"/>
        </w:rPr>
        <w:t>in(iv)(a)</w:t>
      </w:r>
      <w:r>
        <w:rPr>
          <w:spacing w:val="40"/>
          <w:sz w:val="24"/>
        </w:rPr>
        <w:t> </w:t>
      </w:r>
      <w:r>
        <w:rPr>
          <w:sz w:val="24"/>
        </w:rPr>
        <w:t>above</w:t>
      </w:r>
      <w:r>
        <w:rPr>
          <w:spacing w:val="40"/>
          <w:sz w:val="24"/>
        </w:rPr>
        <w:t> </w:t>
      </w:r>
      <w:r>
        <w:rPr>
          <w:sz w:val="24"/>
        </w:rPr>
        <w:t>in</w:t>
      </w:r>
      <w:r>
        <w:rPr>
          <w:spacing w:val="40"/>
          <w:sz w:val="24"/>
        </w:rPr>
        <w:t> </w:t>
      </w:r>
      <w:r>
        <w:rPr>
          <w:sz w:val="24"/>
        </w:rPr>
        <w:t>relation</w:t>
      </w:r>
      <w:r>
        <w:rPr>
          <w:spacing w:val="40"/>
          <w:sz w:val="24"/>
        </w:rPr>
        <w:t> </w:t>
      </w:r>
      <w:r>
        <w:rPr>
          <w:sz w:val="24"/>
        </w:rPr>
        <w:t>to-</w:t>
      </w:r>
    </w:p>
    <w:p>
      <w:pPr>
        <w:pStyle w:val="ListParagraph"/>
        <w:numPr>
          <w:ilvl w:val="2"/>
          <w:numId w:val="16"/>
        </w:numPr>
        <w:tabs>
          <w:tab w:pos="2859" w:val="left" w:leader="none"/>
          <w:tab w:pos="2861" w:val="left" w:leader="none"/>
        </w:tabs>
        <w:spacing w:line="240" w:lineRule="auto" w:before="240" w:after="0"/>
        <w:ind w:left="2861" w:right="795" w:hanging="528"/>
        <w:jc w:val="both"/>
        <w:rPr>
          <w:sz w:val="24"/>
        </w:rPr>
      </w:pPr>
      <w:r>
        <w:rPr>
          <w:sz w:val="24"/>
        </w:rPr>
        <w:t>the</w:t>
      </w:r>
      <w:r>
        <w:rPr>
          <w:spacing w:val="40"/>
          <w:sz w:val="24"/>
        </w:rPr>
        <w:t> </w:t>
      </w:r>
      <w:r>
        <w:rPr>
          <w:sz w:val="24"/>
        </w:rPr>
        <w:t>boundaries</w:t>
      </w:r>
      <w:r>
        <w:rPr>
          <w:spacing w:val="40"/>
          <w:sz w:val="24"/>
        </w:rPr>
        <w:t> </w:t>
      </w:r>
      <w:r>
        <w:rPr>
          <w:sz w:val="24"/>
        </w:rPr>
        <w:t>of</w:t>
      </w:r>
      <w:r>
        <w:rPr>
          <w:spacing w:val="40"/>
          <w:sz w:val="24"/>
        </w:rPr>
        <w:t> </w:t>
      </w:r>
      <w:r>
        <w:rPr>
          <w:sz w:val="24"/>
        </w:rPr>
        <w:t>the</w:t>
      </w:r>
      <w:r>
        <w:rPr>
          <w:spacing w:val="40"/>
          <w:sz w:val="24"/>
        </w:rPr>
        <w:t> </w:t>
      </w:r>
      <w:r>
        <w:rPr>
          <w:sz w:val="24"/>
        </w:rPr>
        <w:t>site</w:t>
      </w:r>
      <w:r>
        <w:rPr>
          <w:spacing w:val="40"/>
          <w:sz w:val="24"/>
        </w:rPr>
        <w:t> </w:t>
      </w:r>
      <w:r>
        <w:rPr>
          <w:sz w:val="24"/>
        </w:rPr>
        <w:t>and</w:t>
      </w:r>
      <w:r>
        <w:rPr>
          <w:spacing w:val="40"/>
          <w:sz w:val="24"/>
        </w:rPr>
        <w:t> </w:t>
      </w:r>
      <w:r>
        <w:rPr>
          <w:sz w:val="24"/>
        </w:rPr>
        <w:t>in</w:t>
      </w:r>
      <w:r>
        <w:rPr>
          <w:spacing w:val="40"/>
          <w:sz w:val="24"/>
        </w:rPr>
        <w:t> </w:t>
      </w:r>
      <w:r>
        <w:rPr>
          <w:sz w:val="24"/>
        </w:rPr>
        <w:t>a</w:t>
      </w:r>
      <w:r>
        <w:rPr>
          <w:spacing w:val="40"/>
          <w:sz w:val="24"/>
        </w:rPr>
        <w:t> </w:t>
      </w:r>
      <w:r>
        <w:rPr>
          <w:sz w:val="24"/>
        </w:rPr>
        <w:t>case</w:t>
      </w:r>
      <w:r>
        <w:rPr>
          <w:spacing w:val="40"/>
          <w:sz w:val="24"/>
        </w:rPr>
        <w:t> </w:t>
      </w:r>
      <w:r>
        <w:rPr>
          <w:sz w:val="24"/>
        </w:rPr>
        <w:t>where</w:t>
      </w:r>
      <w:r>
        <w:rPr>
          <w:spacing w:val="40"/>
          <w:sz w:val="24"/>
        </w:rPr>
        <w:t> </w:t>
      </w:r>
      <w:r>
        <w:rPr>
          <w:sz w:val="24"/>
        </w:rPr>
        <w:t>the</w:t>
      </w:r>
      <w:r>
        <w:rPr>
          <w:spacing w:val="40"/>
          <w:sz w:val="24"/>
        </w:rPr>
        <w:t> </w:t>
      </w:r>
      <w:r>
        <w:rPr>
          <w:sz w:val="24"/>
        </w:rPr>
        <w:t>site</w:t>
      </w:r>
      <w:r>
        <w:rPr>
          <w:spacing w:val="40"/>
          <w:sz w:val="24"/>
        </w:rPr>
        <w:t> </w:t>
      </w:r>
      <w:r>
        <w:rPr>
          <w:sz w:val="24"/>
        </w:rPr>
        <w:t>has been partitioned, the boundaries of the portions owned by </w:t>
      </w:r>
      <w:r>
        <w:rPr>
          <w:spacing w:val="-2"/>
          <w:sz w:val="24"/>
        </w:rPr>
        <w:t>others;</w:t>
      </w:r>
    </w:p>
    <w:p>
      <w:pPr>
        <w:pStyle w:val="ListParagraph"/>
        <w:numPr>
          <w:ilvl w:val="2"/>
          <w:numId w:val="16"/>
        </w:numPr>
        <w:tabs>
          <w:tab w:pos="2858" w:val="left" w:leader="none"/>
          <w:tab w:pos="2861" w:val="left" w:leader="none"/>
        </w:tabs>
        <w:spacing w:line="240" w:lineRule="auto" w:before="240" w:after="0"/>
        <w:ind w:left="2861" w:right="792" w:hanging="610"/>
        <w:jc w:val="both"/>
        <w:rPr>
          <w:sz w:val="24"/>
        </w:rPr>
      </w:pPr>
      <w:r>
        <w:rPr>
          <w:sz w:val="24"/>
        </w:rPr>
        <w:t>all adjacent streets, buildings (with number of stories and height)</w:t>
      </w:r>
      <w:r>
        <w:rPr>
          <w:spacing w:val="40"/>
          <w:sz w:val="24"/>
        </w:rPr>
        <w:t> </w:t>
      </w:r>
      <w:r>
        <w:rPr>
          <w:sz w:val="24"/>
        </w:rPr>
        <w:t>and</w:t>
      </w:r>
      <w:r>
        <w:rPr>
          <w:spacing w:val="40"/>
          <w:sz w:val="24"/>
        </w:rPr>
        <w:t> </w:t>
      </w:r>
      <w:r>
        <w:rPr>
          <w:sz w:val="24"/>
        </w:rPr>
        <w:t>premises</w:t>
      </w:r>
      <w:r>
        <w:rPr>
          <w:spacing w:val="40"/>
          <w:sz w:val="24"/>
        </w:rPr>
        <w:t> </w:t>
      </w:r>
      <w:r>
        <w:rPr>
          <w:sz w:val="24"/>
        </w:rPr>
        <w:t>within</w:t>
      </w:r>
      <w:r>
        <w:rPr>
          <w:spacing w:val="40"/>
          <w:sz w:val="24"/>
        </w:rPr>
        <w:t> </w:t>
      </w:r>
      <w:r>
        <w:rPr>
          <w:sz w:val="24"/>
        </w:rPr>
        <w:t>a</w:t>
      </w:r>
      <w:r>
        <w:rPr>
          <w:spacing w:val="40"/>
          <w:sz w:val="24"/>
        </w:rPr>
        <w:t> </w:t>
      </w:r>
      <w:r>
        <w:rPr>
          <w:sz w:val="24"/>
        </w:rPr>
        <w:t>distance</w:t>
      </w:r>
      <w:r>
        <w:rPr>
          <w:spacing w:val="40"/>
          <w:sz w:val="24"/>
        </w:rPr>
        <w:t> </w:t>
      </w:r>
      <w:r>
        <w:rPr>
          <w:sz w:val="24"/>
        </w:rPr>
        <w:t>of</w:t>
      </w:r>
      <w:r>
        <w:rPr>
          <w:spacing w:val="80"/>
          <w:sz w:val="24"/>
        </w:rPr>
        <w:t> </w:t>
      </w:r>
      <w:r>
        <w:rPr>
          <w:sz w:val="24"/>
        </w:rPr>
        <w:t>12</w:t>
      </w:r>
      <w:r>
        <w:rPr>
          <w:spacing w:val="40"/>
          <w:sz w:val="24"/>
        </w:rPr>
        <w:t> </w:t>
      </w:r>
      <w:r>
        <w:rPr>
          <w:sz w:val="24"/>
        </w:rPr>
        <w:t>m</w:t>
      </w:r>
      <w:r>
        <w:rPr>
          <w:spacing w:val="40"/>
          <w:sz w:val="24"/>
        </w:rPr>
        <w:t> </w:t>
      </w:r>
      <w:r>
        <w:rPr>
          <w:sz w:val="24"/>
        </w:rPr>
        <w:t>of</w:t>
      </w:r>
      <w:r>
        <w:rPr>
          <w:spacing w:val="40"/>
          <w:sz w:val="24"/>
        </w:rPr>
        <w:t> </w:t>
      </w:r>
      <w:r>
        <w:rPr>
          <w:sz w:val="24"/>
        </w:rPr>
        <w:t>the</w:t>
      </w:r>
      <w:r>
        <w:rPr>
          <w:spacing w:val="40"/>
          <w:sz w:val="24"/>
        </w:rPr>
        <w:t> </w:t>
      </w:r>
      <w:r>
        <w:rPr>
          <w:sz w:val="24"/>
        </w:rPr>
        <w:t>work site</w:t>
      </w:r>
      <w:r>
        <w:rPr>
          <w:spacing w:val="40"/>
          <w:sz w:val="24"/>
        </w:rPr>
        <w:t> </w:t>
      </w:r>
      <w:r>
        <w:rPr>
          <w:sz w:val="24"/>
        </w:rPr>
        <w:t>and</w:t>
      </w:r>
      <w:r>
        <w:rPr>
          <w:spacing w:val="40"/>
          <w:sz w:val="24"/>
        </w:rPr>
        <w:t> </w:t>
      </w:r>
      <w:r>
        <w:rPr>
          <w:sz w:val="24"/>
        </w:rPr>
        <w:t>of</w:t>
      </w:r>
      <w:r>
        <w:rPr>
          <w:spacing w:val="40"/>
          <w:sz w:val="24"/>
        </w:rPr>
        <w:t> </w:t>
      </w:r>
      <w:r>
        <w:rPr>
          <w:sz w:val="24"/>
        </w:rPr>
        <w:t>the</w:t>
      </w:r>
      <w:r>
        <w:rPr>
          <w:spacing w:val="40"/>
          <w:sz w:val="24"/>
        </w:rPr>
        <w:t> </w:t>
      </w:r>
      <w:r>
        <w:rPr>
          <w:sz w:val="24"/>
        </w:rPr>
        <w:t>contiguous</w:t>
      </w:r>
      <w:r>
        <w:rPr>
          <w:spacing w:val="40"/>
          <w:sz w:val="24"/>
        </w:rPr>
        <w:t> </w:t>
      </w:r>
      <w:r>
        <w:rPr>
          <w:sz w:val="24"/>
        </w:rPr>
        <w:t>land(if</w:t>
      </w:r>
      <w:r>
        <w:rPr>
          <w:spacing w:val="40"/>
          <w:sz w:val="24"/>
        </w:rPr>
        <w:t> </w:t>
      </w:r>
      <w:r>
        <w:rPr>
          <w:sz w:val="24"/>
        </w:rPr>
        <w:t>any)</w:t>
      </w:r>
      <w:r>
        <w:rPr>
          <w:spacing w:val="40"/>
          <w:sz w:val="24"/>
        </w:rPr>
        <w:t> </w:t>
      </w:r>
      <w:r>
        <w:rPr>
          <w:sz w:val="24"/>
        </w:rPr>
        <w:t>referred</w:t>
      </w:r>
      <w:r>
        <w:rPr>
          <w:spacing w:val="40"/>
          <w:sz w:val="24"/>
        </w:rPr>
        <w:t> </w:t>
      </w:r>
      <w:r>
        <w:rPr>
          <w:sz w:val="24"/>
        </w:rPr>
        <w:t>to</w:t>
      </w:r>
      <w:r>
        <w:rPr>
          <w:spacing w:val="40"/>
          <w:sz w:val="24"/>
        </w:rPr>
        <w:t> </w:t>
      </w:r>
      <w:r>
        <w:rPr>
          <w:sz w:val="24"/>
        </w:rPr>
        <w:t>in</w:t>
      </w:r>
      <w:r>
        <w:rPr>
          <w:spacing w:val="40"/>
          <w:sz w:val="24"/>
        </w:rPr>
        <w:t> </w:t>
      </w:r>
      <w:r>
        <w:rPr>
          <w:sz w:val="24"/>
        </w:rPr>
        <w:t>(iv)(a); </w:t>
      </w:r>
      <w:r>
        <w:rPr>
          <w:spacing w:val="-4"/>
          <w:sz w:val="24"/>
        </w:rPr>
        <w:t>and</w:t>
      </w:r>
    </w:p>
    <w:p>
      <w:pPr>
        <w:pStyle w:val="ListParagraph"/>
        <w:numPr>
          <w:ilvl w:val="2"/>
          <w:numId w:val="16"/>
        </w:numPr>
        <w:tabs>
          <w:tab w:pos="2861" w:val="left" w:leader="none"/>
        </w:tabs>
        <w:spacing w:line="240" w:lineRule="auto" w:before="241" w:after="0"/>
        <w:ind w:left="2861" w:right="797" w:hanging="694"/>
        <w:jc w:val="left"/>
        <w:rPr>
          <w:sz w:val="24"/>
        </w:rPr>
      </w:pPr>
      <w:r>
        <w:rPr>
          <w:sz w:val="24"/>
        </w:rPr>
        <w:t>if</w:t>
      </w:r>
      <w:r>
        <w:rPr>
          <w:spacing w:val="40"/>
          <w:sz w:val="24"/>
        </w:rPr>
        <w:t> </w:t>
      </w:r>
      <w:r>
        <w:rPr>
          <w:sz w:val="24"/>
        </w:rPr>
        <w:t>there</w:t>
      </w:r>
      <w:r>
        <w:rPr>
          <w:spacing w:val="40"/>
          <w:sz w:val="24"/>
        </w:rPr>
        <w:t> </w:t>
      </w:r>
      <w:r>
        <w:rPr>
          <w:sz w:val="24"/>
        </w:rPr>
        <w:t>is</w:t>
      </w:r>
      <w:r>
        <w:rPr>
          <w:spacing w:val="40"/>
          <w:sz w:val="24"/>
        </w:rPr>
        <w:t> </w:t>
      </w:r>
      <w:r>
        <w:rPr>
          <w:sz w:val="24"/>
        </w:rPr>
        <w:t>no</w:t>
      </w:r>
      <w:r>
        <w:rPr>
          <w:spacing w:val="40"/>
          <w:sz w:val="24"/>
        </w:rPr>
        <w:t> </w:t>
      </w:r>
      <w:r>
        <w:rPr>
          <w:sz w:val="24"/>
        </w:rPr>
        <w:t>street</w:t>
      </w:r>
      <w:r>
        <w:rPr>
          <w:spacing w:val="40"/>
          <w:sz w:val="24"/>
        </w:rPr>
        <w:t> </w:t>
      </w:r>
      <w:r>
        <w:rPr>
          <w:sz w:val="24"/>
        </w:rPr>
        <w:t>within</w:t>
      </w:r>
      <w:r>
        <w:rPr>
          <w:spacing w:val="40"/>
          <w:sz w:val="24"/>
        </w:rPr>
        <w:t> </w:t>
      </w:r>
      <w:r>
        <w:rPr>
          <w:sz w:val="24"/>
        </w:rPr>
        <w:t>a</w:t>
      </w:r>
      <w:r>
        <w:rPr>
          <w:spacing w:val="40"/>
          <w:sz w:val="24"/>
        </w:rPr>
        <w:t> </w:t>
      </w:r>
      <w:r>
        <w:rPr>
          <w:sz w:val="24"/>
        </w:rPr>
        <w:t>distance</w:t>
      </w:r>
      <w:r>
        <w:rPr>
          <w:spacing w:val="40"/>
          <w:sz w:val="24"/>
        </w:rPr>
        <w:t> </w:t>
      </w:r>
      <w:r>
        <w:rPr>
          <w:sz w:val="24"/>
        </w:rPr>
        <w:t>of</w:t>
      </w:r>
      <w:r>
        <w:rPr>
          <w:spacing w:val="40"/>
          <w:sz w:val="24"/>
        </w:rPr>
        <w:t> </w:t>
      </w:r>
      <w:r>
        <w:rPr>
          <w:sz w:val="24"/>
        </w:rPr>
        <w:t>12m</w:t>
      </w:r>
      <w:r>
        <w:rPr>
          <w:spacing w:val="40"/>
          <w:sz w:val="24"/>
        </w:rPr>
        <w:t> </w:t>
      </w:r>
      <w:r>
        <w:rPr>
          <w:sz w:val="24"/>
        </w:rPr>
        <w:t>of</w:t>
      </w:r>
      <w:r>
        <w:rPr>
          <w:spacing w:val="40"/>
          <w:sz w:val="24"/>
        </w:rPr>
        <w:t> </w:t>
      </w:r>
      <w:r>
        <w:rPr>
          <w:sz w:val="24"/>
        </w:rPr>
        <w:t>the</w:t>
      </w:r>
      <w:r>
        <w:rPr>
          <w:spacing w:val="40"/>
          <w:sz w:val="24"/>
        </w:rPr>
        <w:t> </w:t>
      </w:r>
      <w:r>
        <w:rPr>
          <w:sz w:val="24"/>
        </w:rPr>
        <w:t>site,</w:t>
      </w:r>
      <w:r>
        <w:rPr>
          <w:spacing w:val="40"/>
          <w:sz w:val="24"/>
        </w:rPr>
        <w:t> </w:t>
      </w:r>
      <w:r>
        <w:rPr>
          <w:sz w:val="24"/>
        </w:rPr>
        <w:t>the nearest</w:t>
      </w:r>
      <w:r>
        <w:rPr>
          <w:spacing w:val="40"/>
          <w:sz w:val="24"/>
        </w:rPr>
        <w:t> </w:t>
      </w:r>
      <w:r>
        <w:rPr>
          <w:sz w:val="24"/>
        </w:rPr>
        <w:t>existing</w:t>
      </w:r>
      <w:r>
        <w:rPr>
          <w:spacing w:val="40"/>
          <w:sz w:val="24"/>
        </w:rPr>
        <w:t> </w:t>
      </w:r>
      <w:r>
        <w:rPr>
          <w:sz w:val="24"/>
        </w:rPr>
        <w:t>street</w:t>
      </w:r>
      <w:r>
        <w:rPr>
          <w:spacing w:val="40"/>
          <w:sz w:val="24"/>
        </w:rPr>
        <w:t> </w:t>
      </w:r>
      <w:r>
        <w:rPr>
          <w:sz w:val="24"/>
        </w:rPr>
        <w:t>with</w:t>
      </w:r>
      <w:r>
        <w:rPr>
          <w:spacing w:val="40"/>
          <w:sz w:val="24"/>
        </w:rPr>
        <w:t> </w:t>
      </w:r>
      <w:r>
        <w:rPr>
          <w:sz w:val="24"/>
        </w:rPr>
        <w:t>its</w:t>
      </w:r>
      <w:r>
        <w:rPr>
          <w:spacing w:val="40"/>
          <w:sz w:val="24"/>
        </w:rPr>
        <w:t> </w:t>
      </w:r>
      <w:r>
        <w:rPr>
          <w:sz w:val="24"/>
        </w:rPr>
        <w:t>name;</w:t>
      </w:r>
    </w:p>
    <w:p>
      <w:pPr>
        <w:pStyle w:val="ListParagraph"/>
        <w:spacing w:after="0" w:line="240" w:lineRule="auto"/>
        <w:jc w:val="left"/>
        <w:rPr>
          <w:sz w:val="24"/>
        </w:rPr>
        <w:sectPr>
          <w:pgSz w:w="11910" w:h="16840"/>
          <w:pgMar w:header="1036" w:footer="974" w:top="1460" w:bottom="1160" w:left="360" w:right="360"/>
        </w:sectPr>
      </w:pPr>
    </w:p>
    <w:p>
      <w:pPr>
        <w:pStyle w:val="ListParagraph"/>
        <w:numPr>
          <w:ilvl w:val="1"/>
          <w:numId w:val="16"/>
        </w:numPr>
        <w:tabs>
          <w:tab w:pos="2256" w:val="left" w:leader="none"/>
          <w:tab w:pos="2304" w:val="left" w:leader="none"/>
        </w:tabs>
        <w:spacing w:line="240" w:lineRule="auto" w:before="278" w:after="0"/>
        <w:ind w:left="2304" w:right="797" w:hanging="322"/>
        <w:jc w:val="both"/>
        <w:rPr>
          <w:sz w:val="24"/>
        </w:rPr>
      </w:pPr>
      <w:r>
        <w:rPr>
          <w:sz w:val="24"/>
        </w:rPr>
        <w:t>The</w:t>
      </w:r>
      <w:r>
        <w:rPr>
          <w:spacing w:val="40"/>
          <w:sz w:val="24"/>
        </w:rPr>
        <w:t> </w:t>
      </w:r>
      <w:r>
        <w:rPr>
          <w:sz w:val="24"/>
        </w:rPr>
        <w:t>means</w:t>
      </w:r>
      <w:r>
        <w:rPr>
          <w:spacing w:val="40"/>
          <w:sz w:val="24"/>
        </w:rPr>
        <w:t> </w:t>
      </w:r>
      <w:r>
        <w:rPr>
          <w:sz w:val="24"/>
        </w:rPr>
        <w:t>of</w:t>
      </w:r>
      <w:r>
        <w:rPr>
          <w:spacing w:val="40"/>
          <w:sz w:val="24"/>
        </w:rPr>
        <w:t> </w:t>
      </w:r>
      <w:r>
        <w:rPr>
          <w:sz w:val="24"/>
        </w:rPr>
        <w:t>access</w:t>
      </w:r>
      <w:r>
        <w:rPr>
          <w:spacing w:val="40"/>
          <w:sz w:val="24"/>
        </w:rPr>
        <w:t> </w:t>
      </w:r>
      <w:r>
        <w:rPr>
          <w:sz w:val="24"/>
        </w:rPr>
        <w:t>from</w:t>
      </w:r>
      <w:r>
        <w:rPr>
          <w:spacing w:val="40"/>
          <w:sz w:val="24"/>
        </w:rPr>
        <w:t> </w:t>
      </w:r>
      <w:r>
        <w:rPr>
          <w:sz w:val="24"/>
        </w:rPr>
        <w:t>the</w:t>
      </w:r>
      <w:r>
        <w:rPr>
          <w:spacing w:val="40"/>
          <w:sz w:val="24"/>
        </w:rPr>
        <w:t> </w:t>
      </w:r>
      <w:r>
        <w:rPr>
          <w:sz w:val="24"/>
        </w:rPr>
        <w:t>street</w:t>
      </w:r>
      <w:r>
        <w:rPr>
          <w:spacing w:val="40"/>
          <w:sz w:val="24"/>
        </w:rPr>
        <w:t> </w:t>
      </w:r>
      <w:r>
        <w:rPr>
          <w:sz w:val="24"/>
        </w:rPr>
        <w:t>to</w:t>
      </w:r>
      <w:r>
        <w:rPr>
          <w:spacing w:val="40"/>
          <w:sz w:val="24"/>
        </w:rPr>
        <w:t> </w:t>
      </w:r>
      <w:r>
        <w:rPr>
          <w:sz w:val="24"/>
        </w:rPr>
        <w:t>the</w:t>
      </w:r>
      <w:r>
        <w:rPr>
          <w:spacing w:val="40"/>
          <w:sz w:val="24"/>
        </w:rPr>
        <w:t> </w:t>
      </w:r>
      <w:r>
        <w:rPr>
          <w:sz w:val="24"/>
        </w:rPr>
        <w:t>building,</w:t>
      </w:r>
      <w:r>
        <w:rPr>
          <w:spacing w:val="40"/>
          <w:sz w:val="24"/>
        </w:rPr>
        <w:t> </w:t>
      </w:r>
      <w:r>
        <w:rPr>
          <w:sz w:val="24"/>
        </w:rPr>
        <w:t>and</w:t>
      </w:r>
      <w:r>
        <w:rPr>
          <w:spacing w:val="40"/>
          <w:sz w:val="24"/>
        </w:rPr>
        <w:t> </w:t>
      </w:r>
      <w:r>
        <w:rPr>
          <w:sz w:val="24"/>
        </w:rPr>
        <w:t>to</w:t>
      </w:r>
      <w:r>
        <w:rPr>
          <w:spacing w:val="40"/>
          <w:sz w:val="24"/>
        </w:rPr>
        <w:t> </w:t>
      </w:r>
      <w:r>
        <w:rPr>
          <w:sz w:val="24"/>
        </w:rPr>
        <w:t>all other buildings (if any) which the applicant intends to erect upon</w:t>
      </w:r>
      <w:r>
        <w:rPr>
          <w:spacing w:val="80"/>
          <w:sz w:val="24"/>
        </w:rPr>
        <w:t> </w:t>
      </w:r>
      <w:r>
        <w:rPr>
          <w:sz w:val="24"/>
        </w:rPr>
        <w:t>his</w:t>
      </w:r>
      <w:r>
        <w:rPr>
          <w:spacing w:val="40"/>
          <w:sz w:val="24"/>
        </w:rPr>
        <w:t> </w:t>
      </w:r>
      <w:r>
        <w:rPr>
          <w:sz w:val="24"/>
        </w:rPr>
        <w:t>contiguous</w:t>
      </w:r>
      <w:r>
        <w:rPr>
          <w:spacing w:val="40"/>
          <w:sz w:val="24"/>
        </w:rPr>
        <w:t> </w:t>
      </w:r>
      <w:r>
        <w:rPr>
          <w:sz w:val="24"/>
        </w:rPr>
        <w:t>land</w:t>
      </w:r>
      <w:r>
        <w:rPr>
          <w:spacing w:val="40"/>
          <w:sz w:val="24"/>
        </w:rPr>
        <w:t> </w:t>
      </w:r>
      <w:r>
        <w:rPr>
          <w:sz w:val="24"/>
        </w:rPr>
        <w:t>referred</w:t>
      </w:r>
      <w:r>
        <w:rPr>
          <w:spacing w:val="40"/>
          <w:sz w:val="24"/>
        </w:rPr>
        <w:t> </w:t>
      </w:r>
      <w:r>
        <w:rPr>
          <w:sz w:val="24"/>
        </w:rPr>
        <w:t>to</w:t>
      </w:r>
      <w:r>
        <w:rPr>
          <w:spacing w:val="40"/>
          <w:sz w:val="24"/>
        </w:rPr>
        <w:t> </w:t>
      </w:r>
      <w:r>
        <w:rPr>
          <w:sz w:val="24"/>
        </w:rPr>
        <w:t>in</w:t>
      </w:r>
      <w:r>
        <w:rPr>
          <w:spacing w:val="40"/>
          <w:sz w:val="24"/>
        </w:rPr>
        <w:t> </w:t>
      </w:r>
      <w:r>
        <w:rPr>
          <w:sz w:val="24"/>
        </w:rPr>
        <w:t>(iv)(a)</w:t>
      </w:r>
      <w:r>
        <w:rPr>
          <w:spacing w:val="40"/>
          <w:sz w:val="24"/>
        </w:rPr>
        <w:t> </w:t>
      </w:r>
      <w:r>
        <w:rPr>
          <w:spacing w:val="9"/>
          <w:sz w:val="24"/>
        </w:rPr>
        <w:t>above;</w:t>
      </w:r>
    </w:p>
    <w:p>
      <w:pPr>
        <w:pStyle w:val="ListParagraph"/>
        <w:numPr>
          <w:ilvl w:val="1"/>
          <w:numId w:val="16"/>
        </w:numPr>
        <w:tabs>
          <w:tab w:pos="2270" w:val="left" w:leader="none"/>
          <w:tab w:pos="2313" w:val="left" w:leader="none"/>
        </w:tabs>
        <w:spacing w:line="240" w:lineRule="auto" w:before="242" w:after="0"/>
        <w:ind w:left="2313" w:right="788" w:hanging="332"/>
        <w:jc w:val="both"/>
        <w:rPr>
          <w:sz w:val="24"/>
        </w:rPr>
      </w:pPr>
      <w:r>
        <w:rPr>
          <w:sz w:val="24"/>
        </w:rPr>
        <w:t>The</w:t>
      </w:r>
      <w:r>
        <w:rPr>
          <w:spacing w:val="33"/>
          <w:sz w:val="24"/>
        </w:rPr>
        <w:t> </w:t>
      </w:r>
      <w:r>
        <w:rPr>
          <w:sz w:val="24"/>
        </w:rPr>
        <w:t>space</w:t>
      </w:r>
      <w:r>
        <w:rPr>
          <w:spacing w:val="33"/>
          <w:sz w:val="24"/>
        </w:rPr>
        <w:t> </w:t>
      </w:r>
      <w:r>
        <w:rPr>
          <w:sz w:val="24"/>
        </w:rPr>
        <w:t>to</w:t>
      </w:r>
      <w:r>
        <w:rPr>
          <w:spacing w:val="33"/>
          <w:sz w:val="24"/>
        </w:rPr>
        <w:t> </w:t>
      </w:r>
      <w:r>
        <w:rPr>
          <w:sz w:val="24"/>
        </w:rPr>
        <w:t>be</w:t>
      </w:r>
      <w:r>
        <w:rPr>
          <w:spacing w:val="29"/>
          <w:sz w:val="24"/>
        </w:rPr>
        <w:t> </w:t>
      </w:r>
      <w:r>
        <w:rPr>
          <w:sz w:val="24"/>
        </w:rPr>
        <w:t>left</w:t>
      </w:r>
      <w:r>
        <w:rPr>
          <w:spacing w:val="29"/>
          <w:sz w:val="24"/>
        </w:rPr>
        <w:t> </w:t>
      </w:r>
      <w:r>
        <w:rPr>
          <w:sz w:val="24"/>
        </w:rPr>
        <w:t>around</w:t>
      </w:r>
      <w:r>
        <w:rPr>
          <w:spacing w:val="29"/>
          <w:sz w:val="24"/>
        </w:rPr>
        <w:t> </w:t>
      </w:r>
      <w:r>
        <w:rPr>
          <w:sz w:val="24"/>
        </w:rPr>
        <w:t>the</w:t>
      </w:r>
      <w:r>
        <w:rPr>
          <w:spacing w:val="9"/>
          <w:sz w:val="24"/>
        </w:rPr>
        <w:t> building </w:t>
      </w:r>
      <w:r>
        <w:rPr>
          <w:sz w:val="24"/>
        </w:rPr>
        <w:t>to</w:t>
      </w:r>
      <w:r>
        <w:rPr>
          <w:spacing w:val="33"/>
          <w:sz w:val="24"/>
        </w:rPr>
        <w:t> </w:t>
      </w:r>
      <w:r>
        <w:rPr>
          <w:sz w:val="24"/>
        </w:rPr>
        <w:t>secure</w:t>
      </w:r>
      <w:r>
        <w:rPr>
          <w:spacing w:val="29"/>
          <w:sz w:val="24"/>
        </w:rPr>
        <w:t> </w:t>
      </w:r>
      <w:r>
        <w:rPr>
          <w:sz w:val="24"/>
        </w:rPr>
        <w:t>free</w:t>
      </w:r>
      <w:r>
        <w:rPr>
          <w:spacing w:val="33"/>
          <w:sz w:val="24"/>
        </w:rPr>
        <w:t> </w:t>
      </w:r>
      <w:r>
        <w:rPr>
          <w:sz w:val="24"/>
        </w:rPr>
        <w:t>circulation of</w:t>
      </w:r>
      <w:r>
        <w:rPr>
          <w:spacing w:val="40"/>
          <w:sz w:val="24"/>
        </w:rPr>
        <w:t> </w:t>
      </w:r>
      <w:r>
        <w:rPr>
          <w:sz w:val="24"/>
        </w:rPr>
        <w:t>air,</w:t>
      </w:r>
      <w:r>
        <w:rPr>
          <w:spacing w:val="40"/>
          <w:sz w:val="24"/>
        </w:rPr>
        <w:t> </w:t>
      </w:r>
      <w:r>
        <w:rPr>
          <w:sz w:val="24"/>
        </w:rPr>
        <w:t>admission</w:t>
      </w:r>
      <w:r>
        <w:rPr>
          <w:spacing w:val="80"/>
          <w:sz w:val="24"/>
        </w:rPr>
        <w:t> </w:t>
      </w:r>
      <w:r>
        <w:rPr>
          <w:sz w:val="24"/>
        </w:rPr>
        <w:t>of</w:t>
      </w:r>
      <w:r>
        <w:rPr>
          <w:spacing w:val="80"/>
          <w:sz w:val="24"/>
        </w:rPr>
        <w:t> </w:t>
      </w:r>
      <w:r>
        <w:rPr>
          <w:sz w:val="24"/>
        </w:rPr>
        <w:t>light</w:t>
      </w:r>
      <w:r>
        <w:rPr>
          <w:spacing w:val="40"/>
          <w:sz w:val="24"/>
        </w:rPr>
        <w:t> </w:t>
      </w:r>
      <w:r>
        <w:rPr>
          <w:sz w:val="24"/>
        </w:rPr>
        <w:t>and</w:t>
      </w:r>
      <w:r>
        <w:rPr>
          <w:spacing w:val="40"/>
          <w:sz w:val="24"/>
        </w:rPr>
        <w:t> </w:t>
      </w:r>
      <w:r>
        <w:rPr>
          <w:sz w:val="24"/>
        </w:rPr>
        <w:t>access</w:t>
      </w:r>
      <w:r>
        <w:rPr>
          <w:spacing w:val="40"/>
          <w:sz w:val="24"/>
        </w:rPr>
        <w:t> </w:t>
      </w:r>
      <w:r>
        <w:rPr>
          <w:sz w:val="24"/>
        </w:rPr>
        <w:t>for</w:t>
      </w:r>
      <w:r>
        <w:rPr>
          <w:spacing w:val="40"/>
          <w:sz w:val="24"/>
        </w:rPr>
        <w:t> </w:t>
      </w:r>
      <w:r>
        <w:rPr>
          <w:sz w:val="24"/>
        </w:rPr>
        <w:t>service</w:t>
      </w:r>
      <w:r>
        <w:rPr>
          <w:spacing w:val="80"/>
          <w:sz w:val="24"/>
        </w:rPr>
        <w:t> </w:t>
      </w:r>
      <w:r>
        <w:rPr>
          <w:sz w:val="24"/>
        </w:rPr>
        <w:t>purposes;</w:t>
      </w:r>
    </w:p>
    <w:p>
      <w:pPr>
        <w:pStyle w:val="ListParagraph"/>
        <w:numPr>
          <w:ilvl w:val="1"/>
          <w:numId w:val="16"/>
        </w:numPr>
        <w:tabs>
          <w:tab w:pos="2231" w:val="left" w:leader="none"/>
          <w:tab w:pos="2313" w:val="left" w:leader="none"/>
        </w:tabs>
        <w:spacing w:line="240" w:lineRule="auto" w:before="238" w:after="0"/>
        <w:ind w:left="2313" w:right="799" w:hanging="332"/>
        <w:jc w:val="left"/>
        <w:rPr>
          <w:sz w:val="24"/>
        </w:rPr>
      </w:pPr>
      <w:r>
        <w:rPr>
          <w:sz w:val="24"/>
        </w:rPr>
        <w:t>The</w:t>
      </w:r>
      <w:r>
        <w:rPr>
          <w:spacing w:val="40"/>
          <w:sz w:val="24"/>
        </w:rPr>
        <w:t> </w:t>
      </w:r>
      <w:r>
        <w:rPr>
          <w:sz w:val="24"/>
        </w:rPr>
        <w:t>width</w:t>
      </w:r>
      <w:r>
        <w:rPr>
          <w:spacing w:val="40"/>
          <w:sz w:val="24"/>
        </w:rPr>
        <w:t> </w:t>
      </w:r>
      <w:r>
        <w:rPr>
          <w:sz w:val="24"/>
        </w:rPr>
        <w:t>of</w:t>
      </w:r>
      <w:r>
        <w:rPr>
          <w:spacing w:val="40"/>
          <w:sz w:val="24"/>
        </w:rPr>
        <w:t> </w:t>
      </w:r>
      <w:r>
        <w:rPr>
          <w:sz w:val="24"/>
        </w:rPr>
        <w:t>the</w:t>
      </w:r>
      <w:r>
        <w:rPr>
          <w:spacing w:val="40"/>
          <w:sz w:val="24"/>
        </w:rPr>
        <w:t> </w:t>
      </w:r>
      <w:r>
        <w:rPr>
          <w:sz w:val="24"/>
        </w:rPr>
        <w:t>street</w:t>
      </w:r>
      <w:r>
        <w:rPr>
          <w:spacing w:val="40"/>
          <w:sz w:val="24"/>
        </w:rPr>
        <w:t> </w:t>
      </w:r>
      <w:r>
        <w:rPr>
          <w:sz w:val="24"/>
        </w:rPr>
        <w:t>(if</w:t>
      </w:r>
      <w:r>
        <w:rPr>
          <w:spacing w:val="40"/>
          <w:sz w:val="24"/>
        </w:rPr>
        <w:t> </w:t>
      </w:r>
      <w:r>
        <w:rPr>
          <w:sz w:val="24"/>
        </w:rPr>
        <w:t>any)</w:t>
      </w:r>
      <w:r>
        <w:rPr>
          <w:spacing w:val="40"/>
          <w:sz w:val="24"/>
        </w:rPr>
        <w:t> </w:t>
      </w:r>
      <w:r>
        <w:rPr>
          <w:sz w:val="24"/>
        </w:rPr>
        <w:t>in</w:t>
      </w:r>
      <w:r>
        <w:rPr>
          <w:spacing w:val="40"/>
          <w:sz w:val="24"/>
        </w:rPr>
        <w:t> </w:t>
      </w:r>
      <w:r>
        <w:rPr>
          <w:sz w:val="24"/>
        </w:rPr>
        <w:t>front</w:t>
      </w:r>
      <w:r>
        <w:rPr>
          <w:spacing w:val="40"/>
          <w:sz w:val="24"/>
        </w:rPr>
        <w:t> </w:t>
      </w:r>
      <w:r>
        <w:rPr>
          <w:sz w:val="24"/>
        </w:rPr>
        <w:t>and</w:t>
      </w:r>
      <w:r>
        <w:rPr>
          <w:spacing w:val="40"/>
          <w:sz w:val="24"/>
        </w:rPr>
        <w:t> </w:t>
      </w:r>
      <w:r>
        <w:rPr>
          <w:sz w:val="24"/>
        </w:rPr>
        <w:t>of</w:t>
      </w:r>
      <w:r>
        <w:rPr>
          <w:spacing w:val="40"/>
          <w:sz w:val="24"/>
        </w:rPr>
        <w:t> </w:t>
      </w:r>
      <w:r>
        <w:rPr>
          <w:sz w:val="24"/>
        </w:rPr>
        <w:t>the</w:t>
      </w:r>
      <w:r>
        <w:rPr>
          <w:spacing w:val="40"/>
          <w:sz w:val="24"/>
        </w:rPr>
        <w:t> </w:t>
      </w:r>
      <w:r>
        <w:rPr>
          <w:sz w:val="24"/>
        </w:rPr>
        <w:t>street</w:t>
      </w:r>
      <w:r>
        <w:rPr>
          <w:spacing w:val="40"/>
          <w:sz w:val="24"/>
        </w:rPr>
        <w:t> </w:t>
      </w:r>
      <w:r>
        <w:rPr>
          <w:sz w:val="24"/>
        </w:rPr>
        <w:t>(if</w:t>
      </w:r>
      <w:r>
        <w:rPr>
          <w:spacing w:val="40"/>
          <w:sz w:val="24"/>
        </w:rPr>
        <w:t> </w:t>
      </w:r>
      <w:r>
        <w:rPr>
          <w:sz w:val="24"/>
        </w:rPr>
        <w:t>any) at</w:t>
      </w:r>
      <w:r>
        <w:rPr>
          <w:spacing w:val="40"/>
          <w:sz w:val="24"/>
        </w:rPr>
        <w:t> </w:t>
      </w:r>
      <w:r>
        <w:rPr>
          <w:sz w:val="24"/>
        </w:rPr>
        <w:t>the</w:t>
      </w:r>
      <w:r>
        <w:rPr>
          <w:spacing w:val="40"/>
          <w:sz w:val="24"/>
        </w:rPr>
        <w:t> </w:t>
      </w:r>
      <w:r>
        <w:rPr>
          <w:sz w:val="24"/>
        </w:rPr>
        <w:t>side</w:t>
      </w:r>
      <w:r>
        <w:rPr>
          <w:spacing w:val="40"/>
          <w:sz w:val="24"/>
        </w:rPr>
        <w:t> </w:t>
      </w:r>
      <w:r>
        <w:rPr>
          <w:sz w:val="24"/>
        </w:rPr>
        <w:t>or</w:t>
      </w:r>
      <w:r>
        <w:rPr>
          <w:spacing w:val="40"/>
          <w:sz w:val="24"/>
        </w:rPr>
        <w:t> </w:t>
      </w:r>
      <w:r>
        <w:rPr>
          <w:sz w:val="24"/>
        </w:rPr>
        <w:t>near</w:t>
      </w:r>
      <w:r>
        <w:rPr>
          <w:spacing w:val="40"/>
          <w:sz w:val="24"/>
        </w:rPr>
        <w:t> </w:t>
      </w:r>
      <w:r>
        <w:rPr>
          <w:sz w:val="24"/>
        </w:rPr>
        <w:t>the</w:t>
      </w:r>
      <w:r>
        <w:rPr>
          <w:spacing w:val="9"/>
          <w:sz w:val="24"/>
        </w:rPr>
        <w:t> building;</w:t>
      </w:r>
    </w:p>
    <w:p>
      <w:pPr>
        <w:pStyle w:val="ListParagraph"/>
        <w:numPr>
          <w:ilvl w:val="1"/>
          <w:numId w:val="16"/>
        </w:numPr>
        <w:tabs>
          <w:tab w:pos="2312" w:val="left" w:leader="none"/>
        </w:tabs>
        <w:spacing w:line="240" w:lineRule="auto" w:before="241" w:after="0"/>
        <w:ind w:left="2312" w:right="0" w:hanging="330"/>
        <w:jc w:val="left"/>
        <w:rPr>
          <w:sz w:val="24"/>
        </w:rPr>
      </w:pPr>
      <w:r>
        <w:rPr>
          <w:sz w:val="24"/>
        </w:rPr>
        <w:t>The</w:t>
      </w:r>
      <w:r>
        <w:rPr>
          <w:spacing w:val="23"/>
          <w:sz w:val="24"/>
        </w:rPr>
        <w:t> </w:t>
      </w:r>
      <w:r>
        <w:rPr>
          <w:sz w:val="24"/>
        </w:rPr>
        <w:t>direction</w:t>
      </w:r>
      <w:r>
        <w:rPr>
          <w:spacing w:val="26"/>
          <w:sz w:val="24"/>
        </w:rPr>
        <w:t> </w:t>
      </w:r>
      <w:r>
        <w:rPr>
          <w:sz w:val="24"/>
        </w:rPr>
        <w:t>of</w:t>
      </w:r>
      <w:r>
        <w:rPr>
          <w:spacing w:val="26"/>
          <w:sz w:val="24"/>
        </w:rPr>
        <w:t> </w:t>
      </w:r>
      <w:r>
        <w:rPr>
          <w:sz w:val="24"/>
        </w:rPr>
        <w:t>the</w:t>
      </w:r>
      <w:r>
        <w:rPr>
          <w:spacing w:val="30"/>
          <w:sz w:val="24"/>
        </w:rPr>
        <w:t> </w:t>
      </w:r>
      <w:r>
        <w:rPr>
          <w:sz w:val="24"/>
        </w:rPr>
        <w:t>north</w:t>
      </w:r>
      <w:r>
        <w:rPr>
          <w:spacing w:val="26"/>
          <w:sz w:val="24"/>
        </w:rPr>
        <w:t> </w:t>
      </w:r>
      <w:r>
        <w:rPr>
          <w:sz w:val="24"/>
        </w:rPr>
        <w:t>line</w:t>
      </w:r>
      <w:r>
        <w:rPr>
          <w:spacing w:val="26"/>
          <w:sz w:val="24"/>
        </w:rPr>
        <w:t> </w:t>
      </w:r>
      <w:r>
        <w:rPr>
          <w:sz w:val="24"/>
        </w:rPr>
        <w:t>relative</w:t>
      </w:r>
      <w:r>
        <w:rPr>
          <w:spacing w:val="30"/>
          <w:sz w:val="24"/>
        </w:rPr>
        <w:t> </w:t>
      </w:r>
      <w:r>
        <w:rPr>
          <w:sz w:val="24"/>
        </w:rPr>
        <w:t>to</w:t>
      </w:r>
      <w:r>
        <w:rPr>
          <w:spacing w:val="26"/>
          <w:sz w:val="24"/>
        </w:rPr>
        <w:t> </w:t>
      </w:r>
      <w:r>
        <w:rPr>
          <w:sz w:val="24"/>
        </w:rPr>
        <w:t>the</w:t>
      </w:r>
      <w:r>
        <w:rPr>
          <w:spacing w:val="26"/>
          <w:sz w:val="24"/>
        </w:rPr>
        <w:t> </w:t>
      </w:r>
      <w:r>
        <w:rPr>
          <w:sz w:val="24"/>
        </w:rPr>
        <w:t>plan</w:t>
      </w:r>
      <w:r>
        <w:rPr>
          <w:spacing w:val="30"/>
          <w:sz w:val="24"/>
        </w:rPr>
        <w:t> </w:t>
      </w:r>
      <w:r>
        <w:rPr>
          <w:sz w:val="24"/>
        </w:rPr>
        <w:t>of</w:t>
      </w:r>
      <w:r>
        <w:rPr>
          <w:spacing w:val="26"/>
          <w:sz w:val="24"/>
        </w:rPr>
        <w:t> </w:t>
      </w:r>
      <w:r>
        <w:rPr>
          <w:sz w:val="24"/>
        </w:rPr>
        <w:t>the</w:t>
      </w:r>
      <w:r>
        <w:rPr>
          <w:spacing w:val="44"/>
          <w:sz w:val="24"/>
        </w:rPr>
        <w:t> </w:t>
      </w:r>
      <w:r>
        <w:rPr>
          <w:spacing w:val="-2"/>
          <w:sz w:val="24"/>
        </w:rPr>
        <w:t>building;</w:t>
      </w:r>
    </w:p>
    <w:p>
      <w:pPr>
        <w:pStyle w:val="ListParagraph"/>
        <w:numPr>
          <w:ilvl w:val="1"/>
          <w:numId w:val="16"/>
        </w:numPr>
        <w:tabs>
          <w:tab w:pos="2311" w:val="left" w:leader="none"/>
          <w:tab w:pos="2313" w:val="left" w:leader="none"/>
        </w:tabs>
        <w:spacing w:line="240" w:lineRule="auto" w:before="241" w:after="0"/>
        <w:ind w:left="2313" w:right="797" w:hanging="332"/>
        <w:jc w:val="both"/>
        <w:rPr>
          <w:sz w:val="24"/>
        </w:rPr>
      </w:pPr>
      <w:r>
        <w:rPr>
          <w:sz w:val="24"/>
        </w:rPr>
        <w:t>Any</w:t>
      </w:r>
      <w:r>
        <w:rPr>
          <w:spacing w:val="40"/>
          <w:sz w:val="24"/>
        </w:rPr>
        <w:t> </w:t>
      </w:r>
      <w:r>
        <w:rPr>
          <w:sz w:val="24"/>
        </w:rPr>
        <w:t>existing</w:t>
      </w:r>
      <w:r>
        <w:rPr>
          <w:spacing w:val="40"/>
          <w:sz w:val="24"/>
        </w:rPr>
        <w:t> </w:t>
      </w:r>
      <w:r>
        <w:rPr>
          <w:sz w:val="24"/>
        </w:rPr>
        <w:t>physical</w:t>
      </w:r>
      <w:r>
        <w:rPr>
          <w:spacing w:val="40"/>
          <w:sz w:val="24"/>
        </w:rPr>
        <w:t> </w:t>
      </w:r>
      <w:r>
        <w:rPr>
          <w:sz w:val="24"/>
        </w:rPr>
        <w:t>features,</w:t>
      </w:r>
      <w:r>
        <w:rPr>
          <w:spacing w:val="40"/>
          <w:sz w:val="24"/>
        </w:rPr>
        <w:t> </w:t>
      </w:r>
      <w:r>
        <w:rPr>
          <w:sz w:val="24"/>
        </w:rPr>
        <w:t>such</w:t>
      </w:r>
      <w:r>
        <w:rPr>
          <w:spacing w:val="40"/>
          <w:sz w:val="24"/>
        </w:rPr>
        <w:t> </w:t>
      </w:r>
      <w:r>
        <w:rPr>
          <w:sz w:val="24"/>
        </w:rPr>
        <w:t>as</w:t>
      </w:r>
      <w:r>
        <w:rPr>
          <w:spacing w:val="40"/>
          <w:sz w:val="24"/>
        </w:rPr>
        <w:t> </w:t>
      </w:r>
      <w:r>
        <w:rPr>
          <w:sz w:val="24"/>
        </w:rPr>
        <w:t>wells,</w:t>
      </w:r>
      <w:r>
        <w:rPr>
          <w:spacing w:val="40"/>
          <w:sz w:val="24"/>
        </w:rPr>
        <w:t> </w:t>
      </w:r>
      <w:r>
        <w:rPr>
          <w:sz w:val="24"/>
        </w:rPr>
        <w:t>tanks,</w:t>
      </w:r>
      <w:r>
        <w:rPr>
          <w:spacing w:val="40"/>
          <w:sz w:val="24"/>
        </w:rPr>
        <w:t> </w:t>
      </w:r>
      <w:r>
        <w:rPr>
          <w:sz w:val="24"/>
        </w:rPr>
        <w:t>drains</w:t>
      </w:r>
      <w:r>
        <w:rPr>
          <w:spacing w:val="40"/>
          <w:sz w:val="24"/>
        </w:rPr>
        <w:t> </w:t>
      </w:r>
      <w:r>
        <w:rPr>
          <w:sz w:val="24"/>
        </w:rPr>
        <w:t>or </w:t>
      </w:r>
      <w:r>
        <w:rPr>
          <w:spacing w:val="-2"/>
          <w:sz w:val="24"/>
        </w:rPr>
        <w:t>trees;</w:t>
      </w:r>
    </w:p>
    <w:p>
      <w:pPr>
        <w:pStyle w:val="ListParagraph"/>
        <w:numPr>
          <w:ilvl w:val="1"/>
          <w:numId w:val="16"/>
        </w:numPr>
        <w:tabs>
          <w:tab w:pos="2313" w:val="left" w:leader="none"/>
          <w:tab w:pos="2930" w:val="left" w:leader="none"/>
        </w:tabs>
        <w:spacing w:line="240" w:lineRule="auto" w:before="239" w:after="0"/>
        <w:ind w:left="2313" w:right="779" w:hanging="332"/>
        <w:jc w:val="both"/>
        <w:rPr>
          <w:sz w:val="24"/>
        </w:rPr>
      </w:pPr>
      <w:r>
        <w:rPr>
          <w:sz w:val="24"/>
        </w:rPr>
        <w:tab/>
        <w:t>The</w:t>
      </w:r>
      <w:r>
        <w:rPr>
          <w:spacing w:val="40"/>
          <w:sz w:val="24"/>
        </w:rPr>
        <w:t> </w:t>
      </w:r>
      <w:r>
        <w:rPr>
          <w:sz w:val="24"/>
        </w:rPr>
        <w:t>ground</w:t>
      </w:r>
      <w:r>
        <w:rPr>
          <w:spacing w:val="40"/>
          <w:sz w:val="24"/>
        </w:rPr>
        <w:t> </w:t>
      </w:r>
      <w:r>
        <w:rPr>
          <w:sz w:val="24"/>
        </w:rPr>
        <w:t>area</w:t>
      </w:r>
      <w:r>
        <w:rPr>
          <w:spacing w:val="40"/>
          <w:sz w:val="24"/>
        </w:rPr>
        <w:t> </w:t>
      </w:r>
      <w:r>
        <w:rPr>
          <w:sz w:val="24"/>
        </w:rPr>
        <w:t>of</w:t>
      </w:r>
      <w:r>
        <w:rPr>
          <w:spacing w:val="40"/>
          <w:sz w:val="24"/>
        </w:rPr>
        <w:t> </w:t>
      </w:r>
      <w:r>
        <w:rPr>
          <w:sz w:val="24"/>
        </w:rPr>
        <w:t>the</w:t>
      </w:r>
      <w:r>
        <w:rPr>
          <w:spacing w:val="40"/>
          <w:sz w:val="24"/>
        </w:rPr>
        <w:t> </w:t>
      </w:r>
      <w:r>
        <w:rPr>
          <w:sz w:val="24"/>
        </w:rPr>
        <w:t>whole</w:t>
      </w:r>
      <w:r>
        <w:rPr>
          <w:spacing w:val="40"/>
          <w:sz w:val="24"/>
        </w:rPr>
        <w:t> </w:t>
      </w:r>
      <w:r>
        <w:rPr>
          <w:sz w:val="24"/>
        </w:rPr>
        <w:t>property</w:t>
      </w:r>
      <w:r>
        <w:rPr>
          <w:spacing w:val="40"/>
          <w:sz w:val="24"/>
        </w:rPr>
        <w:t> </w:t>
      </w:r>
      <w:r>
        <w:rPr>
          <w:sz w:val="24"/>
        </w:rPr>
        <w:t>and</w:t>
      </w:r>
      <w:r>
        <w:rPr>
          <w:spacing w:val="40"/>
          <w:sz w:val="24"/>
        </w:rPr>
        <w:t> </w:t>
      </w:r>
      <w:r>
        <w:rPr>
          <w:sz w:val="24"/>
        </w:rPr>
        <w:t>the</w:t>
      </w:r>
      <w:r>
        <w:rPr>
          <w:spacing w:val="40"/>
          <w:sz w:val="24"/>
        </w:rPr>
        <w:t> </w:t>
      </w:r>
      <w:r>
        <w:rPr>
          <w:spacing w:val="11"/>
          <w:sz w:val="24"/>
        </w:rPr>
        <w:t>back-</w:t>
      </w:r>
      <w:r>
        <w:rPr>
          <w:sz w:val="24"/>
        </w:rPr>
        <w:t>up</w:t>
      </w:r>
      <w:r>
        <w:rPr>
          <w:spacing w:val="40"/>
          <w:sz w:val="24"/>
        </w:rPr>
        <w:t> </w:t>
      </w:r>
      <w:r>
        <w:rPr>
          <w:sz w:val="24"/>
        </w:rPr>
        <w:t>of the</w:t>
      </w:r>
      <w:r>
        <w:rPr>
          <w:spacing w:val="40"/>
          <w:sz w:val="24"/>
        </w:rPr>
        <w:t> </w:t>
      </w:r>
      <w:r>
        <w:rPr>
          <w:sz w:val="24"/>
        </w:rPr>
        <w:t>covered</w:t>
      </w:r>
      <w:r>
        <w:rPr>
          <w:spacing w:val="40"/>
          <w:sz w:val="24"/>
        </w:rPr>
        <w:t> </w:t>
      </w:r>
      <w:r>
        <w:rPr>
          <w:sz w:val="24"/>
        </w:rPr>
        <w:t>area</w:t>
      </w:r>
      <w:r>
        <w:rPr>
          <w:spacing w:val="40"/>
          <w:sz w:val="24"/>
        </w:rPr>
        <w:t> </w:t>
      </w:r>
      <w:r>
        <w:rPr>
          <w:sz w:val="24"/>
        </w:rPr>
        <w:t>on</w:t>
      </w:r>
      <w:r>
        <w:rPr>
          <w:spacing w:val="40"/>
          <w:sz w:val="24"/>
        </w:rPr>
        <w:t> </w:t>
      </w:r>
      <w:r>
        <w:rPr>
          <w:sz w:val="24"/>
        </w:rPr>
        <w:t>each</w:t>
      </w:r>
      <w:r>
        <w:rPr>
          <w:spacing w:val="40"/>
          <w:sz w:val="24"/>
        </w:rPr>
        <w:t> </w:t>
      </w:r>
      <w:r>
        <w:rPr>
          <w:sz w:val="24"/>
        </w:rPr>
        <w:t>floor</w:t>
      </w:r>
      <w:r>
        <w:rPr>
          <w:spacing w:val="40"/>
          <w:sz w:val="24"/>
        </w:rPr>
        <w:t> </w:t>
      </w:r>
      <w:r>
        <w:rPr>
          <w:sz w:val="24"/>
        </w:rPr>
        <w:t>with</w:t>
      </w:r>
      <w:r>
        <w:rPr>
          <w:spacing w:val="40"/>
          <w:sz w:val="24"/>
        </w:rPr>
        <w:t> </w:t>
      </w:r>
      <w:r>
        <w:rPr>
          <w:sz w:val="24"/>
        </w:rPr>
        <w:t>the</w:t>
      </w:r>
      <w:r>
        <w:rPr>
          <w:spacing w:val="80"/>
          <w:sz w:val="24"/>
        </w:rPr>
        <w:t> </w:t>
      </w:r>
      <w:r>
        <w:rPr>
          <w:sz w:val="24"/>
        </w:rPr>
        <w:t>calculations;</w:t>
      </w:r>
    </w:p>
    <w:p>
      <w:pPr>
        <w:pStyle w:val="ListParagraph"/>
        <w:numPr>
          <w:ilvl w:val="1"/>
          <w:numId w:val="16"/>
        </w:numPr>
        <w:tabs>
          <w:tab w:pos="2188" w:val="left" w:leader="none"/>
          <w:tab w:pos="2313" w:val="left" w:leader="none"/>
        </w:tabs>
        <w:spacing w:line="240" w:lineRule="auto" w:before="240" w:after="0"/>
        <w:ind w:left="2313" w:right="790" w:hanging="332"/>
        <w:jc w:val="both"/>
        <w:rPr>
          <w:sz w:val="24"/>
        </w:rPr>
      </w:pPr>
      <w:r>
        <w:rPr>
          <w:sz w:val="24"/>
        </w:rPr>
        <w:t>Overhead electric supply lines including space for electrical transformer sub-station according to the requirements of the</w:t>
      </w:r>
      <w:r>
        <w:rPr>
          <w:spacing w:val="80"/>
          <w:sz w:val="24"/>
        </w:rPr>
        <w:t> </w:t>
      </w:r>
      <w:r>
        <w:rPr>
          <w:sz w:val="24"/>
        </w:rPr>
        <w:t>electric</w:t>
      </w:r>
      <w:r>
        <w:rPr>
          <w:spacing w:val="80"/>
          <w:sz w:val="24"/>
        </w:rPr>
        <w:t> </w:t>
      </w:r>
      <w:r>
        <w:rPr>
          <w:sz w:val="24"/>
        </w:rPr>
        <w:t>distribution</w:t>
      </w:r>
      <w:r>
        <w:rPr>
          <w:spacing w:val="80"/>
          <w:sz w:val="24"/>
        </w:rPr>
        <w:t> </w:t>
      </w:r>
      <w:r>
        <w:rPr>
          <w:sz w:val="24"/>
        </w:rPr>
        <w:t>licensees,</w:t>
      </w:r>
      <w:r>
        <w:rPr>
          <w:spacing w:val="80"/>
          <w:sz w:val="24"/>
        </w:rPr>
        <w:t> </w:t>
      </w:r>
      <w:r>
        <w:rPr>
          <w:sz w:val="24"/>
        </w:rPr>
        <w:t>water</w:t>
      </w:r>
      <w:r>
        <w:rPr>
          <w:spacing w:val="80"/>
          <w:sz w:val="24"/>
        </w:rPr>
        <w:t> </w:t>
      </w:r>
      <w:r>
        <w:rPr>
          <w:sz w:val="24"/>
        </w:rPr>
        <w:t>supply</w:t>
      </w:r>
      <w:r>
        <w:rPr>
          <w:spacing w:val="80"/>
          <w:sz w:val="24"/>
        </w:rPr>
        <w:t> </w:t>
      </w:r>
      <w:r>
        <w:rPr>
          <w:sz w:val="24"/>
        </w:rPr>
        <w:t>and</w:t>
      </w:r>
      <w:r>
        <w:rPr>
          <w:spacing w:val="80"/>
          <w:sz w:val="24"/>
        </w:rPr>
        <w:t> </w:t>
      </w:r>
      <w:r>
        <w:rPr>
          <w:sz w:val="24"/>
        </w:rPr>
        <w:t>drainage</w:t>
      </w:r>
      <w:r>
        <w:rPr>
          <w:spacing w:val="80"/>
          <w:sz w:val="24"/>
        </w:rPr>
        <w:t> </w:t>
      </w:r>
      <w:r>
        <w:rPr>
          <w:sz w:val="24"/>
        </w:rPr>
        <w:t>line.</w:t>
      </w:r>
    </w:p>
    <w:p>
      <w:pPr>
        <w:pStyle w:val="Heading5"/>
        <w:numPr>
          <w:ilvl w:val="1"/>
          <w:numId w:val="16"/>
        </w:numPr>
        <w:tabs>
          <w:tab w:pos="2384" w:val="left" w:leader="none"/>
        </w:tabs>
        <w:spacing w:line="240" w:lineRule="auto" w:before="240" w:after="0"/>
        <w:ind w:left="2384" w:right="0" w:hanging="402"/>
        <w:jc w:val="left"/>
        <w:rPr>
          <w:b w:val="0"/>
        </w:rPr>
      </w:pPr>
      <w:r>
        <w:rPr/>
        <w:t>Contour</w:t>
      </w:r>
      <w:r>
        <w:rPr>
          <w:spacing w:val="70"/>
        </w:rPr>
        <w:t> </w:t>
      </w:r>
      <w:r>
        <w:rPr/>
        <w:t>plan</w:t>
      </w:r>
      <w:r>
        <w:rPr>
          <w:spacing w:val="70"/>
        </w:rPr>
        <w:t> </w:t>
      </w:r>
      <w:r>
        <w:rPr/>
        <w:t>of</w:t>
      </w:r>
      <w:r>
        <w:rPr>
          <w:spacing w:val="71"/>
        </w:rPr>
        <w:t> </w:t>
      </w:r>
      <w:r>
        <w:rPr/>
        <w:t>site,</w:t>
      </w:r>
      <w:r>
        <w:rPr>
          <w:spacing w:val="70"/>
        </w:rPr>
        <w:t> </w:t>
      </w:r>
      <w:r>
        <w:rPr/>
        <w:t>wherever</w:t>
      </w:r>
      <w:r>
        <w:rPr>
          <w:spacing w:val="70"/>
        </w:rPr>
        <w:t> </w:t>
      </w:r>
      <w:r>
        <w:rPr/>
        <w:t>necessary</w:t>
      </w:r>
      <w:r>
        <w:rPr>
          <w:spacing w:val="-48"/>
        </w:rPr>
        <w:t> </w:t>
      </w:r>
      <w:r>
        <w:rPr>
          <w:b w:val="0"/>
          <w:spacing w:val="-10"/>
        </w:rPr>
        <w:t>.</w:t>
      </w:r>
    </w:p>
    <w:p>
      <w:pPr>
        <w:pStyle w:val="ListParagraph"/>
        <w:numPr>
          <w:ilvl w:val="1"/>
          <w:numId w:val="16"/>
        </w:numPr>
        <w:tabs>
          <w:tab w:pos="2313" w:val="left" w:leader="none"/>
          <w:tab w:pos="2930" w:val="left" w:leader="none"/>
        </w:tabs>
        <w:spacing w:line="240" w:lineRule="auto" w:before="242" w:after="0"/>
        <w:ind w:left="2313" w:right="796" w:hanging="245"/>
        <w:jc w:val="both"/>
        <w:rPr>
          <w:sz w:val="24"/>
        </w:rPr>
      </w:pPr>
      <w:r>
        <w:rPr>
          <w:sz w:val="24"/>
        </w:rPr>
        <w:tab/>
        <w:t>Such other particulars as may be prescribed by the </w:t>
      </w:r>
      <w:r>
        <w:rPr>
          <w:spacing w:val="7"/>
          <w:sz w:val="24"/>
        </w:rPr>
        <w:t>Commissioner.</w:t>
      </w:r>
    </w:p>
    <w:p>
      <w:pPr>
        <w:pStyle w:val="ListParagraph"/>
        <w:numPr>
          <w:ilvl w:val="0"/>
          <w:numId w:val="16"/>
        </w:numPr>
        <w:tabs>
          <w:tab w:pos="1979" w:val="left" w:leader="none"/>
          <w:tab w:pos="1982" w:val="left" w:leader="none"/>
        </w:tabs>
        <w:spacing w:line="240" w:lineRule="auto" w:before="238" w:after="0"/>
        <w:ind w:left="1982" w:right="784" w:hanging="490"/>
        <w:jc w:val="both"/>
        <w:rPr>
          <w:sz w:val="24"/>
        </w:rPr>
      </w:pPr>
      <w:r>
        <w:rPr>
          <w:sz w:val="24"/>
        </w:rPr>
        <w:t>Sub-</w:t>
      </w:r>
      <w:r>
        <w:rPr>
          <w:spacing w:val="9"/>
          <w:sz w:val="24"/>
        </w:rPr>
        <w:t>division/Lay-</w:t>
      </w:r>
      <w:r>
        <w:rPr>
          <w:sz w:val="24"/>
        </w:rPr>
        <w:t>out</w:t>
      </w:r>
      <w:r>
        <w:rPr>
          <w:spacing w:val="40"/>
          <w:sz w:val="24"/>
        </w:rPr>
        <w:t> </w:t>
      </w:r>
      <w:r>
        <w:rPr>
          <w:sz w:val="24"/>
        </w:rPr>
        <w:t>Plan</w:t>
      </w:r>
      <w:r>
        <w:rPr>
          <w:spacing w:val="40"/>
          <w:sz w:val="24"/>
        </w:rPr>
        <w:t> </w:t>
      </w:r>
      <w:r>
        <w:rPr>
          <w:spacing w:val="12"/>
          <w:sz w:val="24"/>
        </w:rPr>
        <w:t>-</w:t>
      </w:r>
      <w:r>
        <w:rPr>
          <w:sz w:val="24"/>
        </w:rPr>
        <w:t>Where</w:t>
      </w:r>
      <w:r>
        <w:rPr>
          <w:spacing w:val="40"/>
          <w:sz w:val="24"/>
        </w:rPr>
        <w:t> </w:t>
      </w:r>
      <w:r>
        <w:rPr>
          <w:sz w:val="24"/>
        </w:rPr>
        <w:t>development</w:t>
      </w:r>
      <w:r>
        <w:rPr>
          <w:spacing w:val="40"/>
          <w:sz w:val="24"/>
        </w:rPr>
        <w:t> </w:t>
      </w:r>
      <w:r>
        <w:rPr>
          <w:sz w:val="24"/>
        </w:rPr>
        <w:t>is</w:t>
      </w:r>
      <w:r>
        <w:rPr>
          <w:spacing w:val="40"/>
          <w:sz w:val="24"/>
        </w:rPr>
        <w:t> </w:t>
      </w:r>
      <w:r>
        <w:rPr>
          <w:sz w:val="24"/>
        </w:rPr>
        <w:t>proposed</w:t>
      </w:r>
      <w:r>
        <w:rPr>
          <w:spacing w:val="40"/>
          <w:sz w:val="24"/>
        </w:rPr>
        <w:t> </w:t>
      </w:r>
      <w:r>
        <w:rPr>
          <w:sz w:val="24"/>
        </w:rPr>
        <w:t>in</w:t>
      </w:r>
      <w:r>
        <w:rPr>
          <w:spacing w:val="40"/>
          <w:sz w:val="24"/>
        </w:rPr>
        <w:t> </w:t>
      </w:r>
      <w:r>
        <w:rPr>
          <w:sz w:val="24"/>
        </w:rPr>
        <w:t>a sub-division</w:t>
      </w:r>
      <w:r>
        <w:rPr>
          <w:spacing w:val="40"/>
          <w:sz w:val="24"/>
        </w:rPr>
        <w:t> </w:t>
      </w:r>
      <w:r>
        <w:rPr>
          <w:sz w:val="24"/>
        </w:rPr>
        <w:t>or</w:t>
      </w:r>
      <w:r>
        <w:rPr>
          <w:spacing w:val="40"/>
          <w:sz w:val="24"/>
        </w:rPr>
        <w:t> </w:t>
      </w:r>
      <w:r>
        <w:rPr>
          <w:sz w:val="24"/>
        </w:rPr>
        <w:t>involves</w:t>
      </w:r>
      <w:r>
        <w:rPr>
          <w:spacing w:val="40"/>
          <w:sz w:val="24"/>
        </w:rPr>
        <w:t> </w:t>
      </w:r>
      <w:r>
        <w:rPr>
          <w:sz w:val="24"/>
        </w:rPr>
        <w:t>a</w:t>
      </w:r>
      <w:r>
        <w:rPr>
          <w:spacing w:val="40"/>
          <w:sz w:val="24"/>
        </w:rPr>
        <w:t> </w:t>
      </w:r>
      <w:r>
        <w:rPr>
          <w:sz w:val="24"/>
        </w:rPr>
        <w:t>layout</w:t>
      </w:r>
      <w:r>
        <w:rPr>
          <w:spacing w:val="40"/>
          <w:sz w:val="24"/>
        </w:rPr>
        <w:t> </w:t>
      </w:r>
      <w:r>
        <w:rPr>
          <w:sz w:val="24"/>
        </w:rPr>
        <w:t>plan,</w:t>
      </w:r>
      <w:r>
        <w:rPr>
          <w:spacing w:val="40"/>
          <w:sz w:val="24"/>
        </w:rPr>
        <w:t> </w:t>
      </w:r>
      <w:r>
        <w:rPr>
          <w:sz w:val="24"/>
        </w:rPr>
        <w:t>the</w:t>
      </w:r>
      <w:r>
        <w:rPr>
          <w:spacing w:val="40"/>
          <w:sz w:val="24"/>
        </w:rPr>
        <w:t> </w:t>
      </w:r>
      <w:r>
        <w:rPr>
          <w:sz w:val="24"/>
        </w:rPr>
        <w:t>notice</w:t>
      </w:r>
      <w:r>
        <w:rPr>
          <w:spacing w:val="40"/>
          <w:sz w:val="24"/>
        </w:rPr>
        <w:t> </w:t>
      </w:r>
      <w:r>
        <w:rPr>
          <w:sz w:val="24"/>
        </w:rPr>
        <w:t>shall</w:t>
      </w:r>
      <w:r>
        <w:rPr>
          <w:spacing w:val="40"/>
          <w:sz w:val="24"/>
        </w:rPr>
        <w:t> </w:t>
      </w:r>
      <w:r>
        <w:rPr>
          <w:sz w:val="24"/>
        </w:rPr>
        <w:t>be accompanied by a </w:t>
      </w:r>
      <w:r>
        <w:rPr>
          <w:spacing w:val="9"/>
          <w:sz w:val="24"/>
        </w:rPr>
        <w:t>key-</w:t>
      </w:r>
      <w:r>
        <w:rPr>
          <w:sz w:val="24"/>
        </w:rPr>
        <w:t>plan showing the location of the plot in the</w:t>
      </w:r>
      <w:r>
        <w:rPr>
          <w:spacing w:val="80"/>
          <w:sz w:val="24"/>
        </w:rPr>
        <w:t> </w:t>
      </w:r>
      <w:r>
        <w:rPr>
          <w:sz w:val="24"/>
        </w:rPr>
        <w:t>ward</w:t>
      </w:r>
      <w:r>
        <w:rPr>
          <w:spacing w:val="40"/>
          <w:sz w:val="24"/>
        </w:rPr>
        <w:t> </w:t>
      </w:r>
      <w:r>
        <w:rPr>
          <w:sz w:val="24"/>
        </w:rPr>
        <w:t>at</w:t>
      </w:r>
      <w:r>
        <w:rPr>
          <w:spacing w:val="40"/>
          <w:sz w:val="24"/>
        </w:rPr>
        <w:t> </w:t>
      </w:r>
      <w:r>
        <w:rPr>
          <w:sz w:val="24"/>
        </w:rPr>
        <w:t>a</w:t>
      </w:r>
      <w:r>
        <w:rPr>
          <w:spacing w:val="40"/>
          <w:sz w:val="24"/>
        </w:rPr>
        <w:t> </w:t>
      </w:r>
      <w:r>
        <w:rPr>
          <w:sz w:val="24"/>
        </w:rPr>
        <w:t>scale</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1:4000</w:t>
      </w:r>
      <w:r>
        <w:rPr>
          <w:spacing w:val="40"/>
          <w:sz w:val="24"/>
        </w:rPr>
        <w:t> </w:t>
      </w:r>
      <w:r>
        <w:rPr>
          <w:sz w:val="24"/>
        </w:rPr>
        <w:t>and</w:t>
      </w:r>
      <w:r>
        <w:rPr>
          <w:spacing w:val="40"/>
          <w:sz w:val="24"/>
        </w:rPr>
        <w:t> </w:t>
      </w:r>
      <w:r>
        <w:rPr>
          <w:sz w:val="24"/>
        </w:rPr>
        <w:t>a</w:t>
      </w:r>
      <w:r>
        <w:rPr>
          <w:spacing w:val="13"/>
          <w:sz w:val="24"/>
        </w:rPr>
        <w:t> sub-</w:t>
      </w:r>
      <w:r>
        <w:rPr>
          <w:sz w:val="24"/>
        </w:rPr>
        <w:t>division</w:t>
      </w:r>
      <w:r>
        <w:rPr>
          <w:spacing w:val="40"/>
          <w:sz w:val="24"/>
        </w:rPr>
        <w:t> </w:t>
      </w:r>
      <w:r>
        <w:rPr>
          <w:sz w:val="24"/>
        </w:rPr>
        <w:t>layout plan</w:t>
      </w:r>
      <w:r>
        <w:rPr>
          <w:spacing w:val="40"/>
          <w:sz w:val="24"/>
        </w:rPr>
        <w:t> </w:t>
      </w:r>
      <w:r>
        <w:rPr>
          <w:sz w:val="24"/>
        </w:rPr>
        <w:t>to</w:t>
      </w:r>
      <w:r>
        <w:rPr>
          <w:spacing w:val="40"/>
          <w:sz w:val="24"/>
        </w:rPr>
        <w:t> </w:t>
      </w:r>
      <w:r>
        <w:rPr>
          <w:sz w:val="24"/>
        </w:rPr>
        <w:t>a</w:t>
      </w:r>
      <w:r>
        <w:rPr>
          <w:spacing w:val="40"/>
          <w:sz w:val="24"/>
        </w:rPr>
        <w:t> </w:t>
      </w:r>
      <w:r>
        <w:rPr>
          <w:sz w:val="24"/>
        </w:rPr>
        <w:t>scale</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pacing w:val="9"/>
          <w:sz w:val="24"/>
        </w:rPr>
        <w:t>1:500,</w:t>
      </w:r>
      <w:r>
        <w:rPr>
          <w:spacing w:val="40"/>
          <w:sz w:val="24"/>
        </w:rPr>
        <w:t> </w:t>
      </w:r>
      <w:r>
        <w:rPr>
          <w:sz w:val="24"/>
        </w:rPr>
        <w:t>which</w:t>
      </w:r>
      <w:r>
        <w:rPr>
          <w:spacing w:val="40"/>
          <w:sz w:val="24"/>
        </w:rPr>
        <w:t> </w:t>
      </w:r>
      <w:r>
        <w:rPr>
          <w:sz w:val="24"/>
        </w:rPr>
        <w:t>shall</w:t>
      </w:r>
      <w:r>
        <w:rPr>
          <w:spacing w:val="40"/>
          <w:sz w:val="24"/>
        </w:rPr>
        <w:t> </w:t>
      </w:r>
      <w:r>
        <w:rPr>
          <w:sz w:val="24"/>
        </w:rPr>
        <w:t>be</w:t>
      </w:r>
      <w:r>
        <w:rPr>
          <w:spacing w:val="40"/>
          <w:sz w:val="24"/>
        </w:rPr>
        <w:t> </w:t>
      </w:r>
      <w:r>
        <w:rPr>
          <w:sz w:val="24"/>
        </w:rPr>
        <w:t>duly</w:t>
      </w:r>
      <w:r>
        <w:rPr>
          <w:spacing w:val="40"/>
          <w:sz w:val="24"/>
        </w:rPr>
        <w:t> </w:t>
      </w:r>
      <w:r>
        <w:rPr>
          <w:sz w:val="24"/>
        </w:rPr>
        <w:t>signed by</w:t>
      </w:r>
      <w:r>
        <w:rPr>
          <w:spacing w:val="40"/>
          <w:sz w:val="24"/>
        </w:rPr>
        <w:t> </w:t>
      </w:r>
      <w:r>
        <w:rPr>
          <w:sz w:val="24"/>
        </w:rPr>
        <w:t>the</w:t>
      </w:r>
      <w:r>
        <w:rPr>
          <w:spacing w:val="40"/>
          <w:sz w:val="24"/>
        </w:rPr>
        <w:t> </w:t>
      </w:r>
      <w:r>
        <w:rPr>
          <w:sz w:val="24"/>
        </w:rPr>
        <w:t>Owner&amp;</w:t>
      </w:r>
      <w:r>
        <w:rPr>
          <w:spacing w:val="40"/>
          <w:sz w:val="24"/>
        </w:rPr>
        <w:t> </w:t>
      </w:r>
      <w:r>
        <w:rPr>
          <w:sz w:val="24"/>
        </w:rPr>
        <w:t>licensed</w:t>
      </w:r>
      <w:r>
        <w:rPr>
          <w:spacing w:val="40"/>
          <w:sz w:val="24"/>
        </w:rPr>
        <w:t> </w:t>
      </w:r>
      <w:r>
        <w:rPr>
          <w:sz w:val="24"/>
        </w:rPr>
        <w:t>surveyor</w:t>
      </w:r>
      <w:r>
        <w:rPr>
          <w:spacing w:val="40"/>
          <w:sz w:val="24"/>
        </w:rPr>
        <w:t> </w:t>
      </w:r>
      <w:r>
        <w:rPr>
          <w:sz w:val="24"/>
        </w:rPr>
        <w:t>or</w:t>
      </w:r>
      <w:r>
        <w:rPr>
          <w:spacing w:val="40"/>
          <w:sz w:val="24"/>
        </w:rPr>
        <w:t> </w:t>
      </w:r>
      <w:r>
        <w:rPr>
          <w:sz w:val="24"/>
        </w:rPr>
        <w:t>architect</w:t>
      </w:r>
      <w:r>
        <w:rPr>
          <w:spacing w:val="40"/>
          <w:sz w:val="24"/>
        </w:rPr>
        <w:t> </w:t>
      </w:r>
      <w:r>
        <w:rPr>
          <w:sz w:val="24"/>
        </w:rPr>
        <w:t>containing</w:t>
      </w:r>
      <w:r>
        <w:rPr>
          <w:spacing w:val="40"/>
          <w:sz w:val="24"/>
        </w:rPr>
        <w:t> </w:t>
      </w:r>
      <w:r>
        <w:rPr>
          <w:sz w:val="24"/>
        </w:rPr>
        <w:t>the following: -</w:t>
      </w:r>
    </w:p>
    <w:p>
      <w:pPr>
        <w:pStyle w:val="ListParagraph"/>
        <w:numPr>
          <w:ilvl w:val="1"/>
          <w:numId w:val="16"/>
        </w:numPr>
        <w:tabs>
          <w:tab w:pos="2931" w:val="left" w:leader="none"/>
          <w:tab w:pos="2933" w:val="left" w:leader="none"/>
        </w:tabs>
        <w:spacing w:line="240" w:lineRule="auto" w:before="241" w:after="0"/>
        <w:ind w:left="2933" w:right="790" w:hanging="360"/>
        <w:jc w:val="both"/>
        <w:rPr>
          <w:sz w:val="24"/>
        </w:rPr>
      </w:pPr>
      <w:r>
        <w:rPr>
          <w:sz w:val="24"/>
        </w:rPr>
        <w:t>Scale used and the direction of the north line relative to the plan of the </w:t>
      </w:r>
      <w:r>
        <w:rPr>
          <w:spacing w:val="9"/>
          <w:sz w:val="24"/>
        </w:rPr>
        <w:t>building;</w:t>
      </w:r>
    </w:p>
    <w:p>
      <w:pPr>
        <w:pStyle w:val="ListParagraph"/>
        <w:numPr>
          <w:ilvl w:val="1"/>
          <w:numId w:val="16"/>
        </w:numPr>
        <w:tabs>
          <w:tab w:pos="2933" w:val="left" w:leader="none"/>
        </w:tabs>
        <w:spacing w:line="240" w:lineRule="auto" w:before="0" w:after="0"/>
        <w:ind w:left="2933" w:right="784" w:hanging="360"/>
        <w:jc w:val="both"/>
        <w:rPr>
          <w:sz w:val="24"/>
        </w:rPr>
      </w:pPr>
      <w:r>
        <w:rPr>
          <w:sz w:val="24"/>
        </w:rPr>
        <w:t>The location of all proposed and existing roads with their names,</w:t>
      </w:r>
      <w:r>
        <w:rPr>
          <w:spacing w:val="40"/>
          <w:sz w:val="24"/>
        </w:rPr>
        <w:t> </w:t>
      </w:r>
      <w:r>
        <w:rPr>
          <w:spacing w:val="9"/>
          <w:sz w:val="24"/>
        </w:rPr>
        <w:t>existing/proposed/prescribed</w:t>
      </w:r>
      <w:r>
        <w:rPr>
          <w:spacing w:val="40"/>
          <w:sz w:val="24"/>
        </w:rPr>
        <w:t> </w:t>
      </w:r>
      <w:r>
        <w:rPr>
          <w:sz w:val="24"/>
        </w:rPr>
        <w:t>width</w:t>
      </w:r>
      <w:r>
        <w:rPr>
          <w:spacing w:val="40"/>
          <w:sz w:val="24"/>
        </w:rPr>
        <w:t> </w:t>
      </w:r>
      <w:r>
        <w:rPr>
          <w:sz w:val="24"/>
        </w:rPr>
        <w:t>within</w:t>
      </w:r>
      <w:r>
        <w:rPr>
          <w:spacing w:val="40"/>
          <w:sz w:val="24"/>
        </w:rPr>
        <w:t> </w:t>
      </w:r>
      <w:r>
        <w:rPr>
          <w:sz w:val="24"/>
        </w:rPr>
        <w:t>the</w:t>
      </w:r>
      <w:r>
        <w:rPr>
          <w:spacing w:val="40"/>
          <w:sz w:val="24"/>
        </w:rPr>
        <w:t> </w:t>
      </w:r>
      <w:r>
        <w:rPr>
          <w:spacing w:val="-2"/>
          <w:sz w:val="24"/>
        </w:rPr>
        <w:t>land;</w:t>
      </w:r>
    </w:p>
    <w:p>
      <w:pPr>
        <w:pStyle w:val="ListParagraph"/>
        <w:numPr>
          <w:ilvl w:val="1"/>
          <w:numId w:val="16"/>
        </w:numPr>
        <w:tabs>
          <w:tab w:pos="2933" w:val="left" w:leader="none"/>
        </w:tabs>
        <w:spacing w:line="240" w:lineRule="auto" w:before="1" w:after="0"/>
        <w:ind w:left="2933" w:right="776" w:hanging="360"/>
        <w:jc w:val="left"/>
        <w:rPr>
          <w:sz w:val="24"/>
        </w:rPr>
      </w:pPr>
      <w:r>
        <w:rPr>
          <w:sz w:val="24"/>
        </w:rPr>
        <w:t>dimensions of the plot along</w:t>
      </w:r>
      <w:r>
        <w:rPr>
          <w:spacing w:val="37"/>
          <w:sz w:val="24"/>
        </w:rPr>
        <w:t> </w:t>
      </w:r>
      <w:r>
        <w:rPr>
          <w:sz w:val="24"/>
        </w:rPr>
        <w:t>with</w:t>
      </w:r>
      <w:r>
        <w:rPr>
          <w:spacing w:val="36"/>
          <w:sz w:val="24"/>
        </w:rPr>
        <w:t> </w:t>
      </w:r>
      <w:r>
        <w:rPr>
          <w:sz w:val="24"/>
        </w:rPr>
        <w:t>the</w:t>
      </w:r>
      <w:r>
        <w:rPr>
          <w:spacing w:val="36"/>
          <w:sz w:val="24"/>
        </w:rPr>
        <w:t> </w:t>
      </w:r>
      <w:r>
        <w:rPr>
          <w:sz w:val="24"/>
        </w:rPr>
        <w:t>building</w:t>
      </w:r>
      <w:r>
        <w:rPr>
          <w:spacing w:val="36"/>
          <w:sz w:val="24"/>
        </w:rPr>
        <w:t> </w:t>
      </w:r>
      <w:r>
        <w:rPr>
          <w:sz w:val="24"/>
        </w:rPr>
        <w:t>lines </w:t>
      </w:r>
      <w:r>
        <w:rPr>
          <w:spacing w:val="9"/>
          <w:sz w:val="24"/>
        </w:rPr>
        <w:t>showing </w:t>
      </w:r>
      <w:r>
        <w:rPr>
          <w:sz w:val="24"/>
        </w:rPr>
        <w:t>the</w:t>
      </w:r>
      <w:r>
        <w:rPr>
          <w:spacing w:val="40"/>
          <w:sz w:val="24"/>
        </w:rPr>
        <w:t> </w:t>
      </w:r>
      <w:r>
        <w:rPr>
          <w:spacing w:val="10"/>
          <w:sz w:val="24"/>
        </w:rPr>
        <w:t>set-</w:t>
      </w:r>
      <w:r>
        <w:rPr>
          <w:sz w:val="24"/>
        </w:rPr>
        <w:t>backs</w:t>
      </w:r>
      <w:r>
        <w:rPr>
          <w:spacing w:val="40"/>
          <w:sz w:val="24"/>
        </w:rPr>
        <w:t> </w:t>
      </w:r>
      <w:r>
        <w:rPr>
          <w:sz w:val="24"/>
        </w:rPr>
        <w:t>with</w:t>
      </w:r>
      <w:r>
        <w:rPr>
          <w:spacing w:val="40"/>
          <w:sz w:val="24"/>
        </w:rPr>
        <w:t> </w:t>
      </w:r>
      <w:r>
        <w:rPr>
          <w:sz w:val="24"/>
        </w:rPr>
        <w:t>dimensions</w:t>
      </w:r>
      <w:r>
        <w:rPr>
          <w:spacing w:val="40"/>
          <w:sz w:val="24"/>
        </w:rPr>
        <w:t> </w:t>
      </w:r>
      <w:r>
        <w:rPr>
          <w:sz w:val="24"/>
        </w:rPr>
        <w:t>of</w:t>
      </w:r>
      <w:r>
        <w:rPr>
          <w:spacing w:val="40"/>
          <w:sz w:val="24"/>
        </w:rPr>
        <w:t> </w:t>
      </w:r>
      <w:r>
        <w:rPr>
          <w:sz w:val="24"/>
        </w:rPr>
        <w:t>each</w:t>
      </w:r>
      <w:r>
        <w:rPr>
          <w:spacing w:val="40"/>
          <w:sz w:val="24"/>
        </w:rPr>
        <w:t> </w:t>
      </w:r>
      <w:r>
        <w:rPr>
          <w:sz w:val="24"/>
        </w:rPr>
        <w:t>plot;</w:t>
      </w:r>
    </w:p>
    <w:p>
      <w:pPr>
        <w:pStyle w:val="ListParagraph"/>
        <w:numPr>
          <w:ilvl w:val="1"/>
          <w:numId w:val="16"/>
        </w:numPr>
        <w:tabs>
          <w:tab w:pos="2933" w:val="left" w:leader="none"/>
        </w:tabs>
        <w:spacing w:line="240" w:lineRule="auto" w:before="0" w:after="0"/>
        <w:ind w:left="2933" w:right="782" w:hanging="360"/>
        <w:jc w:val="left"/>
        <w:rPr>
          <w:sz w:val="24"/>
        </w:rPr>
      </w:pPr>
      <w:r>
        <w:rPr>
          <w:sz w:val="24"/>
        </w:rPr>
        <w:t>The</w:t>
      </w:r>
      <w:r>
        <w:rPr>
          <w:spacing w:val="80"/>
          <w:w w:val="150"/>
          <w:sz w:val="24"/>
        </w:rPr>
        <w:t> </w:t>
      </w:r>
      <w:r>
        <w:rPr>
          <w:sz w:val="24"/>
        </w:rPr>
        <w:t>location</w:t>
      </w:r>
      <w:r>
        <w:rPr>
          <w:spacing w:val="80"/>
          <w:w w:val="150"/>
          <w:sz w:val="24"/>
        </w:rPr>
        <w:t> </w:t>
      </w:r>
      <w:r>
        <w:rPr>
          <w:sz w:val="24"/>
        </w:rPr>
        <w:t>of</w:t>
      </w:r>
      <w:r>
        <w:rPr>
          <w:spacing w:val="80"/>
          <w:w w:val="150"/>
          <w:sz w:val="24"/>
        </w:rPr>
        <w:t> </w:t>
      </w:r>
      <w:r>
        <w:rPr>
          <w:sz w:val="24"/>
        </w:rPr>
        <w:t>drains,</w:t>
      </w:r>
      <w:r>
        <w:rPr>
          <w:spacing w:val="80"/>
          <w:w w:val="150"/>
          <w:sz w:val="24"/>
        </w:rPr>
        <w:t> </w:t>
      </w:r>
      <w:r>
        <w:rPr>
          <w:sz w:val="24"/>
        </w:rPr>
        <w:t>sewers,</w:t>
      </w:r>
      <w:r>
        <w:rPr>
          <w:spacing w:val="80"/>
          <w:w w:val="150"/>
          <w:sz w:val="24"/>
        </w:rPr>
        <w:t> </w:t>
      </w:r>
      <w:r>
        <w:rPr>
          <w:sz w:val="24"/>
        </w:rPr>
        <w:t>STP,</w:t>
      </w:r>
      <w:r>
        <w:rPr>
          <w:spacing w:val="80"/>
          <w:w w:val="150"/>
          <w:sz w:val="24"/>
        </w:rPr>
        <w:t> </w:t>
      </w:r>
      <w:r>
        <w:rPr>
          <w:sz w:val="24"/>
        </w:rPr>
        <w:t>tanks,</w:t>
      </w:r>
      <w:r>
        <w:rPr>
          <w:spacing w:val="80"/>
          <w:w w:val="150"/>
          <w:sz w:val="24"/>
        </w:rPr>
        <w:t> </w:t>
      </w:r>
      <w:r>
        <w:rPr>
          <w:sz w:val="24"/>
        </w:rPr>
        <w:t>wells,</w:t>
      </w:r>
      <w:r>
        <w:rPr>
          <w:spacing w:val="80"/>
          <w:w w:val="150"/>
          <w:sz w:val="24"/>
        </w:rPr>
        <w:t> </w:t>
      </w:r>
      <w:r>
        <w:rPr>
          <w:sz w:val="24"/>
        </w:rPr>
        <w:t>trees, public</w:t>
      </w:r>
      <w:r>
        <w:rPr>
          <w:spacing w:val="80"/>
          <w:sz w:val="24"/>
        </w:rPr>
        <w:t> </w:t>
      </w:r>
      <w:r>
        <w:rPr>
          <w:sz w:val="24"/>
        </w:rPr>
        <w:t>facilities</w:t>
      </w:r>
      <w:r>
        <w:rPr>
          <w:spacing w:val="80"/>
          <w:sz w:val="24"/>
        </w:rPr>
        <w:t> </w:t>
      </w:r>
      <w:r>
        <w:rPr>
          <w:sz w:val="24"/>
        </w:rPr>
        <w:t>and</w:t>
      </w:r>
      <w:r>
        <w:rPr>
          <w:spacing w:val="80"/>
          <w:sz w:val="24"/>
        </w:rPr>
        <w:t> </w:t>
      </w:r>
      <w:r>
        <w:rPr>
          <w:sz w:val="24"/>
        </w:rPr>
        <w:t>services,</w:t>
      </w:r>
      <w:r>
        <w:rPr>
          <w:spacing w:val="80"/>
          <w:sz w:val="24"/>
        </w:rPr>
        <w:t> </w:t>
      </w:r>
      <w:r>
        <w:rPr>
          <w:sz w:val="24"/>
        </w:rPr>
        <w:t>electric</w:t>
      </w:r>
      <w:r>
        <w:rPr>
          <w:spacing w:val="80"/>
          <w:sz w:val="24"/>
        </w:rPr>
        <w:t> </w:t>
      </w:r>
      <w:r>
        <w:rPr>
          <w:sz w:val="24"/>
        </w:rPr>
        <w:t>lines,</w:t>
      </w:r>
      <w:r>
        <w:rPr>
          <w:spacing w:val="80"/>
          <w:sz w:val="24"/>
        </w:rPr>
        <w:t> </w:t>
      </w:r>
      <w:r>
        <w:rPr>
          <w:spacing w:val="9"/>
          <w:sz w:val="24"/>
        </w:rPr>
        <w:t>etc.;</w:t>
      </w:r>
    </w:p>
    <w:p>
      <w:pPr>
        <w:pStyle w:val="ListParagraph"/>
        <w:numPr>
          <w:ilvl w:val="1"/>
          <w:numId w:val="16"/>
        </w:numPr>
        <w:tabs>
          <w:tab w:pos="2933" w:val="left" w:leader="none"/>
        </w:tabs>
        <w:spacing w:line="240" w:lineRule="auto" w:before="1" w:after="0"/>
        <w:ind w:left="2933" w:right="786" w:hanging="360"/>
        <w:jc w:val="left"/>
        <w:rPr>
          <w:sz w:val="24"/>
        </w:rPr>
      </w:pPr>
      <w:r>
        <w:rPr>
          <w:sz w:val="24"/>
        </w:rPr>
        <w:t>A</w:t>
      </w:r>
      <w:r>
        <w:rPr>
          <w:spacing w:val="40"/>
          <w:sz w:val="24"/>
        </w:rPr>
        <w:t> </w:t>
      </w:r>
      <w:r>
        <w:rPr>
          <w:sz w:val="24"/>
        </w:rPr>
        <w:t>table</w:t>
      </w:r>
      <w:r>
        <w:rPr>
          <w:spacing w:val="40"/>
          <w:sz w:val="24"/>
        </w:rPr>
        <w:t> </w:t>
      </w:r>
      <w:r>
        <w:rPr>
          <w:sz w:val="24"/>
        </w:rPr>
        <w:t>indicating</w:t>
      </w:r>
      <w:r>
        <w:rPr>
          <w:spacing w:val="40"/>
          <w:sz w:val="24"/>
        </w:rPr>
        <w:t> </w:t>
      </w:r>
      <w:r>
        <w:rPr>
          <w:sz w:val="24"/>
        </w:rPr>
        <w:t>the</w:t>
      </w:r>
      <w:r>
        <w:rPr>
          <w:spacing w:val="40"/>
          <w:sz w:val="24"/>
        </w:rPr>
        <w:t> </w:t>
      </w:r>
      <w:r>
        <w:rPr>
          <w:sz w:val="24"/>
        </w:rPr>
        <w:t>size,</w:t>
      </w:r>
      <w:r>
        <w:rPr>
          <w:spacing w:val="40"/>
          <w:sz w:val="24"/>
        </w:rPr>
        <w:t> </w:t>
      </w:r>
      <w:r>
        <w:rPr>
          <w:sz w:val="24"/>
        </w:rPr>
        <w:t>area</w:t>
      </w:r>
      <w:r>
        <w:rPr>
          <w:spacing w:val="40"/>
          <w:sz w:val="24"/>
        </w:rPr>
        <w:t> </w:t>
      </w:r>
      <w:r>
        <w:rPr>
          <w:sz w:val="24"/>
        </w:rPr>
        <w:t>and</w:t>
      </w:r>
      <w:r>
        <w:rPr>
          <w:spacing w:val="40"/>
          <w:sz w:val="24"/>
        </w:rPr>
        <w:t> </w:t>
      </w:r>
      <w:r>
        <w:rPr>
          <w:sz w:val="24"/>
        </w:rPr>
        <w:t>use</w:t>
      </w:r>
      <w:r>
        <w:rPr>
          <w:spacing w:val="40"/>
          <w:sz w:val="24"/>
        </w:rPr>
        <w:t> </w:t>
      </w:r>
      <w:r>
        <w:rPr>
          <w:sz w:val="24"/>
        </w:rPr>
        <w:t>of</w:t>
      </w:r>
      <w:r>
        <w:rPr>
          <w:spacing w:val="40"/>
          <w:sz w:val="24"/>
        </w:rPr>
        <w:t> </w:t>
      </w:r>
      <w:r>
        <w:rPr>
          <w:sz w:val="24"/>
        </w:rPr>
        <w:t>all</w:t>
      </w:r>
      <w:r>
        <w:rPr>
          <w:spacing w:val="40"/>
          <w:sz w:val="24"/>
        </w:rPr>
        <w:t> </w:t>
      </w:r>
      <w:r>
        <w:rPr>
          <w:sz w:val="24"/>
        </w:rPr>
        <w:t>the</w:t>
      </w:r>
      <w:r>
        <w:rPr>
          <w:spacing w:val="40"/>
          <w:sz w:val="24"/>
        </w:rPr>
        <w:t> </w:t>
      </w:r>
      <w:r>
        <w:rPr>
          <w:sz w:val="24"/>
        </w:rPr>
        <w:t>plots</w:t>
      </w:r>
      <w:r>
        <w:rPr>
          <w:spacing w:val="40"/>
          <w:sz w:val="24"/>
        </w:rPr>
        <w:t> </w:t>
      </w:r>
      <w:r>
        <w:rPr>
          <w:sz w:val="24"/>
        </w:rPr>
        <w:t>in the </w:t>
      </w:r>
      <w:r>
        <w:rPr>
          <w:spacing w:val="10"/>
          <w:sz w:val="24"/>
        </w:rPr>
        <w:t>sub-</w:t>
      </w:r>
      <w:r>
        <w:rPr>
          <w:spacing w:val="9"/>
          <w:sz w:val="24"/>
        </w:rPr>
        <w:t>division/lay-</w:t>
      </w:r>
      <w:r>
        <w:rPr>
          <w:sz w:val="24"/>
        </w:rPr>
        <w:t>out plan;</w:t>
      </w:r>
    </w:p>
    <w:p>
      <w:pPr>
        <w:pStyle w:val="ListParagraph"/>
        <w:numPr>
          <w:ilvl w:val="1"/>
          <w:numId w:val="16"/>
        </w:numPr>
        <w:tabs>
          <w:tab w:pos="2933" w:val="left" w:leader="none"/>
        </w:tabs>
        <w:spacing w:line="240" w:lineRule="auto" w:before="0" w:after="0"/>
        <w:ind w:left="2933" w:right="786" w:hanging="360"/>
        <w:jc w:val="left"/>
        <w:rPr>
          <w:sz w:val="24"/>
        </w:rPr>
      </w:pPr>
      <w:r>
        <w:rPr>
          <w:sz w:val="24"/>
        </w:rPr>
        <w:t>A</w:t>
      </w:r>
      <w:r>
        <w:rPr>
          <w:spacing w:val="80"/>
          <w:w w:val="150"/>
          <w:sz w:val="24"/>
        </w:rPr>
        <w:t> </w:t>
      </w:r>
      <w:r>
        <w:rPr>
          <w:sz w:val="24"/>
        </w:rPr>
        <w:t>statement</w:t>
      </w:r>
      <w:r>
        <w:rPr>
          <w:spacing w:val="80"/>
          <w:w w:val="150"/>
          <w:sz w:val="24"/>
        </w:rPr>
        <w:t> </w:t>
      </w:r>
      <w:r>
        <w:rPr>
          <w:sz w:val="24"/>
        </w:rPr>
        <w:t>indicating</w:t>
      </w:r>
      <w:r>
        <w:rPr>
          <w:spacing w:val="80"/>
          <w:w w:val="150"/>
          <w:sz w:val="24"/>
        </w:rPr>
        <w:t> </w:t>
      </w:r>
      <w:r>
        <w:rPr>
          <w:sz w:val="24"/>
        </w:rPr>
        <w:t>the</w:t>
      </w:r>
      <w:r>
        <w:rPr>
          <w:spacing w:val="80"/>
          <w:w w:val="150"/>
          <w:sz w:val="24"/>
        </w:rPr>
        <w:t> </w:t>
      </w:r>
      <w:r>
        <w:rPr>
          <w:sz w:val="24"/>
        </w:rPr>
        <w:t>total</w:t>
      </w:r>
      <w:r>
        <w:rPr>
          <w:spacing w:val="80"/>
          <w:w w:val="150"/>
          <w:sz w:val="24"/>
        </w:rPr>
        <w:t> </w:t>
      </w:r>
      <w:r>
        <w:rPr>
          <w:sz w:val="24"/>
        </w:rPr>
        <w:t>area</w:t>
      </w:r>
      <w:r>
        <w:rPr>
          <w:spacing w:val="80"/>
          <w:w w:val="150"/>
          <w:sz w:val="24"/>
        </w:rPr>
        <w:t> </w:t>
      </w:r>
      <w:r>
        <w:rPr>
          <w:sz w:val="24"/>
        </w:rPr>
        <w:t>of</w:t>
      </w:r>
      <w:r>
        <w:rPr>
          <w:spacing w:val="80"/>
          <w:w w:val="150"/>
          <w:sz w:val="24"/>
        </w:rPr>
        <w:t> </w:t>
      </w:r>
      <w:r>
        <w:rPr>
          <w:sz w:val="24"/>
        </w:rPr>
        <w:t>the</w:t>
      </w:r>
      <w:r>
        <w:rPr>
          <w:spacing w:val="80"/>
          <w:w w:val="150"/>
          <w:sz w:val="24"/>
        </w:rPr>
        <w:t> </w:t>
      </w:r>
      <w:r>
        <w:rPr>
          <w:sz w:val="24"/>
        </w:rPr>
        <w:t>site,</w:t>
      </w:r>
      <w:r>
        <w:rPr>
          <w:spacing w:val="80"/>
          <w:w w:val="150"/>
          <w:sz w:val="24"/>
        </w:rPr>
        <w:t> </w:t>
      </w:r>
      <w:r>
        <w:rPr>
          <w:sz w:val="24"/>
        </w:rPr>
        <w:t>area utilized</w:t>
      </w:r>
      <w:r>
        <w:rPr>
          <w:spacing w:val="80"/>
          <w:sz w:val="24"/>
        </w:rPr>
        <w:t> </w:t>
      </w:r>
      <w:r>
        <w:rPr>
          <w:sz w:val="24"/>
        </w:rPr>
        <w:t>under</w:t>
      </w:r>
      <w:r>
        <w:rPr>
          <w:spacing w:val="80"/>
          <w:sz w:val="24"/>
        </w:rPr>
        <w:t> </w:t>
      </w:r>
      <w:r>
        <w:rPr>
          <w:sz w:val="24"/>
        </w:rPr>
        <w:t>roads,</w:t>
      </w:r>
      <w:r>
        <w:rPr>
          <w:spacing w:val="80"/>
          <w:sz w:val="24"/>
        </w:rPr>
        <w:t> </w:t>
      </w:r>
      <w:r>
        <w:rPr>
          <w:sz w:val="24"/>
        </w:rPr>
        <w:t>open</w:t>
      </w:r>
      <w:r>
        <w:rPr>
          <w:spacing w:val="80"/>
          <w:sz w:val="24"/>
        </w:rPr>
        <w:t> </w:t>
      </w:r>
      <w:r>
        <w:rPr>
          <w:sz w:val="24"/>
        </w:rPr>
        <w:t>spaces</w:t>
      </w:r>
      <w:r>
        <w:rPr>
          <w:spacing w:val="80"/>
          <w:sz w:val="24"/>
        </w:rPr>
        <w:t> </w:t>
      </w:r>
      <w:r>
        <w:rPr>
          <w:sz w:val="24"/>
        </w:rPr>
        <w:t>for</w:t>
      </w:r>
      <w:r>
        <w:rPr>
          <w:spacing w:val="80"/>
          <w:sz w:val="24"/>
        </w:rPr>
        <w:t> </w:t>
      </w:r>
      <w:r>
        <w:rPr>
          <w:sz w:val="24"/>
        </w:rPr>
        <w:t>parks,</w:t>
      </w:r>
      <w:r>
        <w:rPr>
          <w:spacing w:val="80"/>
          <w:sz w:val="24"/>
        </w:rPr>
        <w:t> </w:t>
      </w:r>
      <w:r>
        <w:rPr>
          <w:sz w:val="24"/>
        </w:rPr>
        <w:t>playgrounds,</w:t>
      </w:r>
    </w:p>
    <w:p>
      <w:pPr>
        <w:pStyle w:val="ListParagraph"/>
        <w:spacing w:after="0" w:line="240" w:lineRule="auto"/>
        <w:jc w:val="left"/>
        <w:rPr>
          <w:sz w:val="24"/>
        </w:rPr>
        <w:sectPr>
          <w:pgSz w:w="11910" w:h="16840"/>
          <w:pgMar w:header="1036" w:footer="974" w:top="1460" w:bottom="1160" w:left="360" w:right="360"/>
        </w:sectPr>
      </w:pPr>
    </w:p>
    <w:p>
      <w:pPr>
        <w:pStyle w:val="BodyText"/>
        <w:spacing w:before="278"/>
        <w:ind w:left="2933" w:right="775"/>
      </w:pPr>
      <w:r>
        <w:rPr/>
        <w:t>recreation spaces and development plan </w:t>
      </w:r>
      <w:r>
        <w:rPr>
          <w:spacing w:val="9"/>
        </w:rPr>
        <w:t>designations, </w:t>
      </w:r>
      <w:r>
        <w:rPr/>
        <w:t>reservations</w:t>
      </w:r>
      <w:r>
        <w:rPr>
          <w:spacing w:val="40"/>
        </w:rPr>
        <w:t> </w:t>
      </w:r>
      <w:r>
        <w:rPr/>
        <w:t>and</w:t>
      </w:r>
      <w:r>
        <w:rPr>
          <w:spacing w:val="40"/>
        </w:rPr>
        <w:t> </w:t>
      </w:r>
      <w:r>
        <w:rPr/>
        <w:t>allocations,</w:t>
      </w:r>
      <w:r>
        <w:rPr>
          <w:spacing w:val="40"/>
        </w:rPr>
        <w:t> </w:t>
      </w:r>
      <w:r>
        <w:rPr/>
        <w:t>amenity</w:t>
      </w:r>
      <w:r>
        <w:rPr>
          <w:spacing w:val="40"/>
        </w:rPr>
        <w:t> </w:t>
      </w:r>
      <w:r>
        <w:rPr/>
        <w:t>space,</w:t>
      </w:r>
      <w:r>
        <w:rPr>
          <w:spacing w:val="40"/>
        </w:rPr>
        <w:t> </w:t>
      </w:r>
      <w:r>
        <w:rPr/>
        <w:t>school,</w:t>
      </w:r>
      <w:r>
        <w:rPr>
          <w:spacing w:val="80"/>
        </w:rPr>
        <w:t> </w:t>
      </w:r>
      <w:r>
        <w:rPr/>
        <w:t>shopping</w:t>
      </w:r>
      <w:r>
        <w:rPr>
          <w:spacing w:val="40"/>
        </w:rPr>
        <w:t> </w:t>
      </w:r>
      <w:r>
        <w:rPr/>
        <w:t>and</w:t>
      </w:r>
      <w:r>
        <w:rPr>
          <w:spacing w:val="40"/>
        </w:rPr>
        <w:t> </w:t>
      </w:r>
      <w:r>
        <w:rPr/>
        <w:t>other</w:t>
      </w:r>
      <w:r>
        <w:rPr>
          <w:spacing w:val="40"/>
        </w:rPr>
        <w:t> </w:t>
      </w:r>
      <w:r>
        <w:rPr/>
        <w:t>public</w:t>
      </w:r>
      <w:r>
        <w:rPr>
          <w:spacing w:val="40"/>
        </w:rPr>
        <w:t> </w:t>
      </w:r>
      <w:r>
        <w:rPr/>
        <w:t>places</w:t>
      </w:r>
      <w:r>
        <w:rPr>
          <w:spacing w:val="40"/>
        </w:rPr>
        <w:t> </w:t>
      </w:r>
      <w:r>
        <w:rPr/>
        <w:t>along</w:t>
      </w:r>
      <w:r>
        <w:rPr>
          <w:spacing w:val="40"/>
        </w:rPr>
        <w:t> </w:t>
      </w:r>
      <w:r>
        <w:rPr/>
        <w:t>with</w:t>
      </w:r>
      <w:r>
        <w:rPr>
          <w:spacing w:val="40"/>
        </w:rPr>
        <w:t> </w:t>
      </w:r>
      <w:r>
        <w:rPr>
          <w:spacing w:val="9"/>
        </w:rPr>
        <w:t>their</w:t>
      </w:r>
      <w:r>
        <w:rPr>
          <w:spacing w:val="40"/>
        </w:rPr>
        <w:t> </w:t>
      </w:r>
      <w:r>
        <w:rPr/>
        <w:t>percentage</w:t>
      </w:r>
      <w:r>
        <w:rPr>
          <w:spacing w:val="40"/>
        </w:rPr>
        <w:t> </w:t>
      </w:r>
      <w:r>
        <w:rPr/>
        <w:t>with</w:t>
      </w:r>
      <w:r>
        <w:rPr>
          <w:spacing w:val="40"/>
        </w:rPr>
        <w:t> </w:t>
      </w:r>
      <w:r>
        <w:rPr/>
        <w:t>reference</w:t>
      </w:r>
      <w:r>
        <w:rPr>
          <w:spacing w:val="40"/>
        </w:rPr>
        <w:t> </w:t>
      </w:r>
      <w:r>
        <w:rPr/>
        <w:t>to</w:t>
      </w:r>
      <w:r>
        <w:rPr>
          <w:spacing w:val="40"/>
        </w:rPr>
        <w:t> </w:t>
      </w:r>
      <w:r>
        <w:rPr/>
        <w:t>the</w:t>
      </w:r>
      <w:r>
        <w:rPr>
          <w:spacing w:val="40"/>
        </w:rPr>
        <w:t> </w:t>
      </w:r>
      <w:r>
        <w:rPr/>
        <w:t>total</w:t>
      </w:r>
      <w:r>
        <w:rPr>
          <w:spacing w:val="40"/>
        </w:rPr>
        <w:t> </w:t>
      </w:r>
      <w:r>
        <w:rPr/>
        <w:t>area</w:t>
      </w:r>
      <w:r>
        <w:rPr>
          <w:spacing w:val="40"/>
        </w:rPr>
        <w:t> </w:t>
      </w:r>
      <w:r>
        <w:rPr/>
        <w:t>of</w:t>
      </w:r>
      <w:r>
        <w:rPr>
          <w:spacing w:val="40"/>
        </w:rPr>
        <w:t> </w:t>
      </w:r>
      <w:r>
        <w:rPr/>
        <w:t>the</w:t>
      </w:r>
      <w:r>
        <w:rPr>
          <w:spacing w:val="40"/>
        </w:rPr>
        <w:t> </w:t>
      </w:r>
      <w:r>
        <w:rPr>
          <w:spacing w:val="9"/>
        </w:rPr>
        <w:t>site;</w:t>
      </w:r>
    </w:p>
    <w:p>
      <w:pPr>
        <w:pStyle w:val="ListParagraph"/>
        <w:numPr>
          <w:ilvl w:val="1"/>
          <w:numId w:val="16"/>
        </w:numPr>
        <w:tabs>
          <w:tab w:pos="2933" w:val="left" w:leader="none"/>
        </w:tabs>
        <w:spacing w:line="240" w:lineRule="auto" w:before="1" w:after="0"/>
        <w:ind w:left="2933" w:right="774" w:hanging="360"/>
        <w:jc w:val="both"/>
        <w:rPr>
          <w:sz w:val="24"/>
        </w:rPr>
      </w:pPr>
      <w:r>
        <w:rPr>
          <w:sz w:val="24"/>
        </w:rPr>
        <w:t>In</w:t>
      </w:r>
      <w:r>
        <w:rPr>
          <w:spacing w:val="32"/>
          <w:sz w:val="24"/>
        </w:rPr>
        <w:t> </w:t>
      </w:r>
      <w:r>
        <w:rPr>
          <w:sz w:val="24"/>
        </w:rPr>
        <w:t>the</w:t>
      </w:r>
      <w:r>
        <w:rPr>
          <w:spacing w:val="32"/>
          <w:sz w:val="24"/>
        </w:rPr>
        <w:t> </w:t>
      </w:r>
      <w:r>
        <w:rPr>
          <w:sz w:val="24"/>
        </w:rPr>
        <w:t>case</w:t>
      </w:r>
      <w:r>
        <w:rPr>
          <w:spacing w:val="32"/>
          <w:sz w:val="24"/>
        </w:rPr>
        <w:t> </w:t>
      </w:r>
      <w:r>
        <w:rPr>
          <w:sz w:val="24"/>
        </w:rPr>
        <w:t>of</w:t>
      </w:r>
      <w:r>
        <w:rPr>
          <w:spacing w:val="32"/>
          <w:sz w:val="24"/>
        </w:rPr>
        <w:t> </w:t>
      </w:r>
      <w:r>
        <w:rPr>
          <w:sz w:val="24"/>
        </w:rPr>
        <w:t>plots</w:t>
      </w:r>
      <w:r>
        <w:rPr>
          <w:spacing w:val="36"/>
          <w:sz w:val="24"/>
        </w:rPr>
        <w:t> </w:t>
      </w:r>
      <w:r>
        <w:rPr>
          <w:sz w:val="24"/>
        </w:rPr>
        <w:t>which</w:t>
      </w:r>
      <w:r>
        <w:rPr>
          <w:spacing w:val="32"/>
          <w:sz w:val="24"/>
        </w:rPr>
        <w:t> </w:t>
      </w:r>
      <w:r>
        <w:rPr>
          <w:sz w:val="24"/>
        </w:rPr>
        <w:t>are</w:t>
      </w:r>
      <w:r>
        <w:rPr>
          <w:spacing w:val="9"/>
          <w:sz w:val="24"/>
        </w:rPr>
        <w:t> sub-</w:t>
      </w:r>
      <w:r>
        <w:rPr>
          <w:sz w:val="24"/>
        </w:rPr>
        <w:t>divided</w:t>
      </w:r>
      <w:r>
        <w:rPr>
          <w:spacing w:val="32"/>
          <w:sz w:val="24"/>
        </w:rPr>
        <w:t> </w:t>
      </w:r>
      <w:r>
        <w:rPr>
          <w:sz w:val="24"/>
        </w:rPr>
        <w:t>in</w:t>
      </w:r>
      <w:r>
        <w:rPr>
          <w:spacing w:val="10"/>
          <w:sz w:val="24"/>
        </w:rPr>
        <w:t> built-</w:t>
      </w:r>
      <w:r>
        <w:rPr>
          <w:sz w:val="24"/>
        </w:rPr>
        <w:t>up</w:t>
      </w:r>
      <w:r>
        <w:rPr>
          <w:spacing w:val="32"/>
          <w:sz w:val="24"/>
        </w:rPr>
        <w:t> </w:t>
      </w:r>
      <w:r>
        <w:rPr>
          <w:sz w:val="24"/>
        </w:rPr>
        <w:t>areas, in addition to the above, the means of access to the </w:t>
      </w:r>
      <w:r>
        <w:rPr>
          <w:spacing w:val="11"/>
          <w:sz w:val="24"/>
        </w:rPr>
        <w:t>sub- </w:t>
      </w:r>
      <w:r>
        <w:rPr>
          <w:sz w:val="24"/>
        </w:rPr>
        <w:t>division from existing streets and in addition, in the case of plots which are </w:t>
      </w:r>
      <w:r>
        <w:rPr>
          <w:spacing w:val="10"/>
          <w:sz w:val="24"/>
        </w:rPr>
        <w:t>sub-</w:t>
      </w:r>
      <w:r>
        <w:rPr>
          <w:sz w:val="24"/>
        </w:rPr>
        <w:t>divided in built up area, the means of access</w:t>
      </w:r>
      <w:r>
        <w:rPr>
          <w:spacing w:val="40"/>
          <w:sz w:val="24"/>
        </w:rPr>
        <w:t> </w:t>
      </w:r>
      <w:r>
        <w:rPr>
          <w:sz w:val="24"/>
        </w:rPr>
        <w:t>to</w:t>
      </w:r>
      <w:r>
        <w:rPr>
          <w:spacing w:val="40"/>
          <w:sz w:val="24"/>
        </w:rPr>
        <w:t> </w:t>
      </w:r>
      <w:r>
        <w:rPr>
          <w:sz w:val="24"/>
        </w:rPr>
        <w:t>each</w:t>
      </w:r>
      <w:r>
        <w:rPr>
          <w:spacing w:val="40"/>
          <w:sz w:val="24"/>
        </w:rPr>
        <w:t> </w:t>
      </w:r>
      <w:r>
        <w:rPr>
          <w:spacing w:val="10"/>
          <w:sz w:val="24"/>
        </w:rPr>
        <w:t>sub-</w:t>
      </w:r>
      <w:r>
        <w:rPr>
          <w:sz w:val="24"/>
        </w:rPr>
        <w:t>plot</w:t>
      </w:r>
      <w:r>
        <w:rPr>
          <w:spacing w:val="40"/>
          <w:sz w:val="24"/>
        </w:rPr>
        <w:t> </w:t>
      </w:r>
      <w:r>
        <w:rPr>
          <w:sz w:val="24"/>
        </w:rPr>
        <w:t>from</w:t>
      </w:r>
      <w:r>
        <w:rPr>
          <w:spacing w:val="40"/>
          <w:sz w:val="24"/>
        </w:rPr>
        <w:t> </w:t>
      </w:r>
      <w:r>
        <w:rPr>
          <w:sz w:val="24"/>
        </w:rPr>
        <w:t>existing</w:t>
      </w:r>
      <w:r>
        <w:rPr>
          <w:spacing w:val="40"/>
          <w:sz w:val="24"/>
        </w:rPr>
        <w:t> </w:t>
      </w:r>
      <w:r>
        <w:rPr>
          <w:spacing w:val="9"/>
          <w:sz w:val="24"/>
        </w:rPr>
        <w:t>streets.</w:t>
      </w:r>
    </w:p>
    <w:p>
      <w:pPr>
        <w:pStyle w:val="ListParagraph"/>
        <w:numPr>
          <w:ilvl w:val="1"/>
          <w:numId w:val="16"/>
        </w:numPr>
        <w:tabs>
          <w:tab w:pos="2931" w:val="left" w:leader="none"/>
        </w:tabs>
        <w:spacing w:line="240" w:lineRule="auto" w:before="0" w:after="0"/>
        <w:ind w:left="2931" w:right="0" w:hanging="358"/>
        <w:jc w:val="both"/>
        <w:rPr>
          <w:sz w:val="24"/>
        </w:rPr>
      </w:pPr>
      <w:r>
        <w:rPr>
          <w:sz w:val="24"/>
        </w:rPr>
        <w:t>Contour</w:t>
      </w:r>
      <w:r>
        <w:rPr>
          <w:spacing w:val="58"/>
          <w:sz w:val="24"/>
        </w:rPr>
        <w:t> </w:t>
      </w:r>
      <w:r>
        <w:rPr>
          <w:sz w:val="24"/>
        </w:rPr>
        <w:t>plan</w:t>
      </w:r>
      <w:r>
        <w:rPr>
          <w:spacing w:val="58"/>
          <w:sz w:val="24"/>
        </w:rPr>
        <w:t> </w:t>
      </w:r>
      <w:r>
        <w:rPr>
          <w:sz w:val="24"/>
        </w:rPr>
        <w:t>of</w:t>
      </w:r>
      <w:r>
        <w:rPr>
          <w:spacing w:val="58"/>
          <w:sz w:val="24"/>
        </w:rPr>
        <w:t> </w:t>
      </w:r>
      <w:r>
        <w:rPr>
          <w:sz w:val="24"/>
        </w:rPr>
        <w:t>site,</w:t>
      </w:r>
      <w:r>
        <w:rPr>
          <w:spacing w:val="58"/>
          <w:sz w:val="24"/>
        </w:rPr>
        <w:t> </w:t>
      </w:r>
      <w:r>
        <w:rPr>
          <w:sz w:val="24"/>
        </w:rPr>
        <w:t>wherever</w:t>
      </w:r>
      <w:r>
        <w:rPr>
          <w:spacing w:val="58"/>
          <w:sz w:val="24"/>
        </w:rPr>
        <w:t> </w:t>
      </w:r>
      <w:r>
        <w:rPr>
          <w:spacing w:val="7"/>
          <w:sz w:val="24"/>
        </w:rPr>
        <w:t>necessary.</w:t>
      </w:r>
    </w:p>
    <w:p>
      <w:pPr>
        <w:pStyle w:val="ListParagraph"/>
        <w:numPr>
          <w:ilvl w:val="0"/>
          <w:numId w:val="16"/>
        </w:numPr>
        <w:tabs>
          <w:tab w:pos="2210" w:val="left" w:leader="none"/>
          <w:tab w:pos="2213" w:val="left" w:leader="none"/>
        </w:tabs>
        <w:spacing w:line="240" w:lineRule="auto" w:before="239" w:after="0"/>
        <w:ind w:left="2213" w:right="777" w:hanging="720"/>
        <w:jc w:val="both"/>
        <w:rPr>
          <w:sz w:val="24"/>
        </w:rPr>
      </w:pPr>
      <w:r>
        <w:rPr>
          <w:sz w:val="24"/>
        </w:rPr>
        <w:t>Building</w:t>
      </w:r>
      <w:r>
        <w:rPr>
          <w:spacing w:val="40"/>
          <w:sz w:val="24"/>
        </w:rPr>
        <w:t> </w:t>
      </w:r>
      <w:r>
        <w:rPr>
          <w:sz w:val="24"/>
        </w:rPr>
        <w:t>Plan</w:t>
      </w:r>
      <w:r>
        <w:rPr>
          <w:spacing w:val="40"/>
          <w:sz w:val="24"/>
        </w:rPr>
        <w:t> </w:t>
      </w:r>
      <w:r>
        <w:rPr>
          <w:spacing w:val="12"/>
          <w:sz w:val="24"/>
        </w:rPr>
        <w:t>-</w:t>
      </w:r>
      <w:r>
        <w:rPr>
          <w:sz w:val="24"/>
        </w:rPr>
        <w:t>The</w:t>
      </w:r>
      <w:r>
        <w:rPr>
          <w:spacing w:val="40"/>
          <w:sz w:val="24"/>
        </w:rPr>
        <w:t> </w:t>
      </w:r>
      <w:r>
        <w:rPr>
          <w:sz w:val="24"/>
        </w:rPr>
        <w:t>plans</w:t>
      </w:r>
      <w:r>
        <w:rPr>
          <w:spacing w:val="40"/>
          <w:sz w:val="24"/>
        </w:rPr>
        <w:t> </w:t>
      </w:r>
      <w:r>
        <w:rPr>
          <w:sz w:val="24"/>
        </w:rPr>
        <w:t>of</w:t>
      </w:r>
      <w:r>
        <w:rPr>
          <w:spacing w:val="40"/>
          <w:sz w:val="24"/>
        </w:rPr>
        <w:t> </w:t>
      </w:r>
      <w:r>
        <w:rPr>
          <w:sz w:val="24"/>
        </w:rPr>
        <w:t>the</w:t>
      </w:r>
      <w:r>
        <w:rPr>
          <w:spacing w:val="40"/>
          <w:sz w:val="24"/>
        </w:rPr>
        <w:t> </w:t>
      </w:r>
      <w:r>
        <w:rPr>
          <w:sz w:val="24"/>
        </w:rPr>
        <w:t>building</w:t>
      </w:r>
      <w:r>
        <w:rPr>
          <w:spacing w:val="40"/>
          <w:sz w:val="24"/>
        </w:rPr>
        <w:t> </w:t>
      </w:r>
      <w:r>
        <w:rPr>
          <w:sz w:val="24"/>
        </w:rPr>
        <w:t>with</w:t>
      </w:r>
      <w:r>
        <w:rPr>
          <w:spacing w:val="40"/>
          <w:sz w:val="24"/>
        </w:rPr>
        <w:t> </w:t>
      </w:r>
      <w:r>
        <w:rPr>
          <w:sz w:val="24"/>
        </w:rPr>
        <w:t>elevations</w:t>
      </w:r>
      <w:r>
        <w:rPr>
          <w:spacing w:val="40"/>
          <w:sz w:val="24"/>
        </w:rPr>
        <w:t> </w:t>
      </w:r>
      <w:r>
        <w:rPr>
          <w:sz w:val="24"/>
        </w:rPr>
        <w:t>and section</w:t>
      </w:r>
      <w:r>
        <w:rPr>
          <w:spacing w:val="40"/>
          <w:sz w:val="24"/>
        </w:rPr>
        <w:t> </w:t>
      </w:r>
      <w:r>
        <w:rPr>
          <w:sz w:val="24"/>
        </w:rPr>
        <w:t>accompanying</w:t>
      </w:r>
      <w:r>
        <w:rPr>
          <w:spacing w:val="40"/>
          <w:sz w:val="24"/>
        </w:rPr>
        <w:t> </w:t>
      </w:r>
      <w:r>
        <w:rPr>
          <w:sz w:val="24"/>
        </w:rPr>
        <w:t>the</w:t>
      </w:r>
      <w:r>
        <w:rPr>
          <w:spacing w:val="40"/>
          <w:sz w:val="24"/>
        </w:rPr>
        <w:t> </w:t>
      </w:r>
      <w:r>
        <w:rPr>
          <w:sz w:val="24"/>
        </w:rPr>
        <w:t>notice</w:t>
      </w:r>
      <w:r>
        <w:rPr>
          <w:spacing w:val="40"/>
          <w:sz w:val="24"/>
        </w:rPr>
        <w:t> </w:t>
      </w:r>
      <w:r>
        <w:rPr>
          <w:sz w:val="24"/>
        </w:rPr>
        <w:t>shall</w:t>
      </w:r>
      <w:r>
        <w:rPr>
          <w:spacing w:val="40"/>
          <w:sz w:val="24"/>
        </w:rPr>
        <w:t> </w:t>
      </w:r>
      <w:r>
        <w:rPr>
          <w:sz w:val="24"/>
        </w:rPr>
        <w:t>be</w:t>
      </w:r>
      <w:r>
        <w:rPr>
          <w:spacing w:val="40"/>
          <w:sz w:val="24"/>
        </w:rPr>
        <w:t> </w:t>
      </w:r>
      <w:r>
        <w:rPr>
          <w:sz w:val="24"/>
        </w:rPr>
        <w:t>drawn</w:t>
      </w:r>
      <w:r>
        <w:rPr>
          <w:spacing w:val="40"/>
          <w:sz w:val="24"/>
        </w:rPr>
        <w:t> </w:t>
      </w:r>
      <w:r>
        <w:rPr>
          <w:sz w:val="24"/>
        </w:rPr>
        <w:t>to</w:t>
      </w:r>
      <w:r>
        <w:rPr>
          <w:spacing w:val="40"/>
          <w:sz w:val="24"/>
        </w:rPr>
        <w:t> </w:t>
      </w:r>
      <w:r>
        <w:rPr>
          <w:sz w:val="24"/>
        </w:rPr>
        <w:t>a</w:t>
      </w:r>
      <w:r>
        <w:rPr>
          <w:spacing w:val="40"/>
          <w:sz w:val="24"/>
        </w:rPr>
        <w:t> </w:t>
      </w:r>
      <w:r>
        <w:rPr>
          <w:sz w:val="24"/>
        </w:rPr>
        <w:t>scale</w:t>
      </w:r>
      <w:r>
        <w:rPr>
          <w:spacing w:val="40"/>
          <w:sz w:val="24"/>
        </w:rPr>
        <w:t> </w:t>
      </w:r>
      <w:r>
        <w:rPr>
          <w:sz w:val="24"/>
        </w:rPr>
        <w:t>of 1:100 and shall-</w:t>
      </w:r>
    </w:p>
    <w:p>
      <w:pPr>
        <w:pStyle w:val="ListParagraph"/>
        <w:numPr>
          <w:ilvl w:val="0"/>
          <w:numId w:val="17"/>
        </w:numPr>
        <w:tabs>
          <w:tab w:pos="2211" w:val="left" w:leader="none"/>
          <w:tab w:pos="2213" w:val="left" w:leader="none"/>
        </w:tabs>
        <w:spacing w:line="240" w:lineRule="auto" w:before="240" w:after="0"/>
        <w:ind w:left="2213" w:right="775" w:hanging="360"/>
        <w:jc w:val="both"/>
        <w:rPr>
          <w:sz w:val="24"/>
        </w:rPr>
      </w:pPr>
      <w:r>
        <w:rPr>
          <w:sz w:val="24"/>
        </w:rPr>
        <w:t>Include</w:t>
      </w:r>
      <w:r>
        <w:rPr>
          <w:spacing w:val="40"/>
          <w:sz w:val="24"/>
        </w:rPr>
        <w:t> </w:t>
      </w:r>
      <w:r>
        <w:rPr>
          <w:sz w:val="24"/>
        </w:rPr>
        <w:t>floor</w:t>
      </w:r>
      <w:r>
        <w:rPr>
          <w:spacing w:val="40"/>
          <w:sz w:val="24"/>
        </w:rPr>
        <w:t> </w:t>
      </w:r>
      <w:r>
        <w:rPr>
          <w:sz w:val="24"/>
        </w:rPr>
        <w:t>plans</w:t>
      </w:r>
      <w:r>
        <w:rPr>
          <w:spacing w:val="40"/>
          <w:sz w:val="24"/>
        </w:rPr>
        <w:t> </w:t>
      </w:r>
      <w:r>
        <w:rPr>
          <w:sz w:val="24"/>
        </w:rPr>
        <w:t>of</w:t>
      </w:r>
      <w:r>
        <w:rPr>
          <w:spacing w:val="40"/>
          <w:sz w:val="24"/>
        </w:rPr>
        <w:t> </w:t>
      </w:r>
      <w:r>
        <w:rPr>
          <w:sz w:val="24"/>
        </w:rPr>
        <w:t>all</w:t>
      </w:r>
      <w:r>
        <w:rPr>
          <w:spacing w:val="40"/>
          <w:sz w:val="24"/>
        </w:rPr>
        <w:t> </w:t>
      </w:r>
      <w:r>
        <w:rPr>
          <w:sz w:val="24"/>
        </w:rPr>
        <w:t>floors</w:t>
      </w:r>
      <w:r>
        <w:rPr>
          <w:spacing w:val="40"/>
          <w:sz w:val="24"/>
        </w:rPr>
        <w:t> </w:t>
      </w:r>
      <w:r>
        <w:rPr>
          <w:sz w:val="24"/>
        </w:rPr>
        <w:t>together</w:t>
      </w:r>
      <w:r>
        <w:rPr>
          <w:spacing w:val="40"/>
          <w:sz w:val="24"/>
        </w:rPr>
        <w:t> </w:t>
      </w:r>
      <w:r>
        <w:rPr>
          <w:sz w:val="24"/>
        </w:rPr>
        <w:t>with</w:t>
      </w:r>
      <w:r>
        <w:rPr>
          <w:spacing w:val="40"/>
          <w:sz w:val="24"/>
        </w:rPr>
        <w:t> </w:t>
      </w:r>
      <w:r>
        <w:rPr>
          <w:sz w:val="24"/>
        </w:rPr>
        <w:t>the</w:t>
      </w:r>
      <w:r>
        <w:rPr>
          <w:spacing w:val="40"/>
          <w:sz w:val="24"/>
        </w:rPr>
        <w:t> </w:t>
      </w:r>
      <w:r>
        <w:rPr>
          <w:sz w:val="24"/>
        </w:rPr>
        <w:t>covered</w:t>
      </w:r>
      <w:r>
        <w:rPr>
          <w:spacing w:val="40"/>
          <w:sz w:val="24"/>
        </w:rPr>
        <w:t> </w:t>
      </w:r>
      <w:r>
        <w:rPr>
          <w:sz w:val="24"/>
        </w:rPr>
        <w:t>area clearly</w:t>
      </w:r>
      <w:r>
        <w:rPr>
          <w:spacing w:val="72"/>
          <w:sz w:val="24"/>
        </w:rPr>
        <w:t> </w:t>
      </w:r>
      <w:r>
        <w:rPr>
          <w:sz w:val="24"/>
        </w:rPr>
        <w:t>indicating</w:t>
      </w:r>
      <w:r>
        <w:rPr>
          <w:spacing w:val="72"/>
          <w:sz w:val="24"/>
        </w:rPr>
        <w:t> </w:t>
      </w:r>
      <w:r>
        <w:rPr>
          <w:sz w:val="24"/>
        </w:rPr>
        <w:t>the</w:t>
      </w:r>
      <w:r>
        <w:rPr>
          <w:spacing w:val="72"/>
          <w:sz w:val="24"/>
        </w:rPr>
        <w:t> </w:t>
      </w:r>
      <w:r>
        <w:rPr>
          <w:sz w:val="24"/>
        </w:rPr>
        <w:t>size</w:t>
      </w:r>
      <w:r>
        <w:rPr>
          <w:spacing w:val="72"/>
          <w:sz w:val="24"/>
        </w:rPr>
        <w:t> </w:t>
      </w:r>
      <w:r>
        <w:rPr>
          <w:sz w:val="24"/>
        </w:rPr>
        <w:t>of</w:t>
      </w:r>
      <w:r>
        <w:rPr>
          <w:spacing w:val="72"/>
          <w:sz w:val="24"/>
        </w:rPr>
        <w:t> </w:t>
      </w:r>
      <w:r>
        <w:rPr>
          <w:sz w:val="24"/>
        </w:rPr>
        <w:t>the</w:t>
      </w:r>
      <w:r>
        <w:rPr>
          <w:spacing w:val="72"/>
          <w:sz w:val="24"/>
        </w:rPr>
        <w:t> </w:t>
      </w:r>
      <w:r>
        <w:rPr>
          <w:sz w:val="24"/>
        </w:rPr>
        <w:t>rooms,</w:t>
      </w:r>
      <w:r>
        <w:rPr>
          <w:spacing w:val="72"/>
          <w:sz w:val="24"/>
        </w:rPr>
        <w:t> </w:t>
      </w:r>
      <w:r>
        <w:rPr>
          <w:sz w:val="24"/>
        </w:rPr>
        <w:t>the</w:t>
      </w:r>
      <w:r>
        <w:rPr>
          <w:spacing w:val="72"/>
          <w:sz w:val="24"/>
        </w:rPr>
        <w:t> </w:t>
      </w:r>
      <w:r>
        <w:rPr>
          <w:sz w:val="24"/>
        </w:rPr>
        <w:t>positions</w:t>
      </w:r>
      <w:r>
        <w:rPr>
          <w:spacing w:val="72"/>
          <w:sz w:val="24"/>
        </w:rPr>
        <w:t> </w:t>
      </w:r>
      <w:r>
        <w:rPr>
          <w:sz w:val="24"/>
        </w:rPr>
        <w:t>and</w:t>
      </w:r>
      <w:r>
        <w:rPr>
          <w:spacing w:val="71"/>
          <w:sz w:val="24"/>
        </w:rPr>
        <w:t> </w:t>
      </w:r>
      <w:r>
        <w:rPr>
          <w:sz w:val="24"/>
        </w:rPr>
        <w:t>width of staircases, ramps and other exit ways, lift</w:t>
      </w:r>
      <w:r>
        <w:rPr>
          <w:spacing w:val="40"/>
          <w:sz w:val="24"/>
        </w:rPr>
        <w:t> </w:t>
      </w:r>
      <w:r>
        <w:rPr>
          <w:sz w:val="24"/>
        </w:rPr>
        <w:t>wells, lift machine</w:t>
      </w:r>
      <w:r>
        <w:rPr>
          <w:spacing w:val="40"/>
          <w:sz w:val="24"/>
        </w:rPr>
        <w:t> </w:t>
      </w:r>
      <w:r>
        <w:rPr>
          <w:sz w:val="24"/>
        </w:rPr>
        <w:t>rooms and lift pit details, meter room and electric </w:t>
      </w:r>
      <w:r>
        <w:rPr>
          <w:spacing w:val="12"/>
          <w:sz w:val="24"/>
        </w:rPr>
        <w:t>sub-</w:t>
      </w:r>
      <w:r>
        <w:rPr>
          <w:sz w:val="24"/>
        </w:rPr>
        <w:t>station. It shall</w:t>
      </w:r>
      <w:r>
        <w:rPr>
          <w:spacing w:val="40"/>
          <w:sz w:val="24"/>
        </w:rPr>
        <w:t> </w:t>
      </w:r>
      <w:r>
        <w:rPr>
          <w:sz w:val="24"/>
        </w:rPr>
        <w:t>also</w:t>
      </w:r>
      <w:r>
        <w:rPr>
          <w:spacing w:val="40"/>
          <w:sz w:val="24"/>
        </w:rPr>
        <w:t> </w:t>
      </w:r>
      <w:r>
        <w:rPr>
          <w:sz w:val="24"/>
        </w:rPr>
        <w:t>include</w:t>
      </w:r>
      <w:r>
        <w:rPr>
          <w:spacing w:val="40"/>
          <w:sz w:val="24"/>
        </w:rPr>
        <w:t> </w:t>
      </w:r>
      <w:r>
        <w:rPr>
          <w:sz w:val="24"/>
        </w:rPr>
        <w:t>the</w:t>
      </w:r>
      <w:r>
        <w:rPr>
          <w:spacing w:val="40"/>
          <w:sz w:val="24"/>
        </w:rPr>
        <w:t> </w:t>
      </w:r>
      <w:r>
        <w:rPr>
          <w:sz w:val="24"/>
        </w:rPr>
        <w:t>ground</w:t>
      </w:r>
      <w:r>
        <w:rPr>
          <w:spacing w:val="40"/>
          <w:sz w:val="24"/>
        </w:rPr>
        <w:t> </w:t>
      </w:r>
      <w:r>
        <w:rPr>
          <w:sz w:val="24"/>
        </w:rPr>
        <w:t>floor</w:t>
      </w:r>
      <w:r>
        <w:rPr>
          <w:spacing w:val="40"/>
          <w:sz w:val="24"/>
        </w:rPr>
        <w:t> </w:t>
      </w:r>
      <w:r>
        <w:rPr>
          <w:sz w:val="24"/>
        </w:rPr>
        <w:t>plan</w:t>
      </w:r>
      <w:r>
        <w:rPr>
          <w:spacing w:val="40"/>
          <w:sz w:val="24"/>
        </w:rPr>
        <w:t> </w:t>
      </w:r>
      <w:r>
        <w:rPr>
          <w:sz w:val="24"/>
        </w:rPr>
        <w:t>as</w:t>
      </w:r>
      <w:r>
        <w:rPr>
          <w:spacing w:val="40"/>
          <w:sz w:val="24"/>
        </w:rPr>
        <w:t> </w:t>
      </w:r>
      <w:r>
        <w:rPr>
          <w:sz w:val="24"/>
        </w:rPr>
        <w:t>well</w:t>
      </w:r>
      <w:r>
        <w:rPr>
          <w:spacing w:val="40"/>
          <w:sz w:val="24"/>
        </w:rPr>
        <w:t> </w:t>
      </w:r>
      <w:r>
        <w:rPr>
          <w:sz w:val="24"/>
        </w:rPr>
        <w:t>as</w:t>
      </w:r>
      <w:r>
        <w:rPr>
          <w:spacing w:val="40"/>
          <w:sz w:val="24"/>
        </w:rPr>
        <w:t> </w:t>
      </w:r>
      <w:r>
        <w:rPr>
          <w:sz w:val="24"/>
        </w:rPr>
        <w:t>the</w:t>
      </w:r>
      <w:r>
        <w:rPr>
          <w:spacing w:val="40"/>
          <w:sz w:val="24"/>
        </w:rPr>
        <w:t> </w:t>
      </w:r>
      <w:r>
        <w:rPr>
          <w:sz w:val="24"/>
        </w:rPr>
        <w:t>basement plan and shall indicate the</w:t>
      </w:r>
      <w:r>
        <w:rPr>
          <w:spacing w:val="40"/>
          <w:sz w:val="24"/>
        </w:rPr>
        <w:t> </w:t>
      </w:r>
      <w:r>
        <w:rPr>
          <w:sz w:val="24"/>
        </w:rPr>
        <w:t>details of</w:t>
      </w:r>
      <w:r>
        <w:rPr>
          <w:spacing w:val="40"/>
          <w:sz w:val="24"/>
        </w:rPr>
        <w:t> </w:t>
      </w:r>
      <w:r>
        <w:rPr>
          <w:sz w:val="24"/>
        </w:rPr>
        <w:t>parking</w:t>
      </w:r>
      <w:r>
        <w:rPr>
          <w:spacing w:val="40"/>
          <w:sz w:val="24"/>
        </w:rPr>
        <w:t> </w:t>
      </w:r>
      <w:r>
        <w:rPr>
          <w:sz w:val="24"/>
        </w:rPr>
        <w:t>spaces, loading and un-loading</w:t>
      </w:r>
      <w:r>
        <w:rPr>
          <w:spacing w:val="40"/>
          <w:sz w:val="24"/>
        </w:rPr>
        <w:t> </w:t>
      </w:r>
      <w:r>
        <w:rPr>
          <w:sz w:val="24"/>
        </w:rPr>
        <w:t>spaces,</w:t>
      </w:r>
      <w:r>
        <w:rPr>
          <w:spacing w:val="40"/>
          <w:sz w:val="24"/>
        </w:rPr>
        <w:t> </w:t>
      </w:r>
      <w:r>
        <w:rPr>
          <w:sz w:val="24"/>
        </w:rPr>
        <w:t>if</w:t>
      </w:r>
      <w:r>
        <w:rPr>
          <w:spacing w:val="40"/>
          <w:sz w:val="24"/>
        </w:rPr>
        <w:t> </w:t>
      </w:r>
      <w:r>
        <w:rPr>
          <w:sz w:val="24"/>
        </w:rPr>
        <w:t>required</w:t>
      </w:r>
      <w:r>
        <w:rPr>
          <w:spacing w:val="40"/>
          <w:sz w:val="24"/>
        </w:rPr>
        <w:t> </w:t>
      </w:r>
      <w:r>
        <w:rPr>
          <w:sz w:val="24"/>
        </w:rPr>
        <w:t>to</w:t>
      </w:r>
      <w:r>
        <w:rPr>
          <w:spacing w:val="40"/>
          <w:sz w:val="24"/>
        </w:rPr>
        <w:t> </w:t>
      </w:r>
      <w:r>
        <w:rPr>
          <w:sz w:val="24"/>
        </w:rPr>
        <w:t>be</w:t>
      </w:r>
      <w:r>
        <w:rPr>
          <w:spacing w:val="40"/>
          <w:sz w:val="24"/>
        </w:rPr>
        <w:t> </w:t>
      </w:r>
      <w:r>
        <w:rPr>
          <w:sz w:val="24"/>
        </w:rPr>
        <w:t>provided</w:t>
      </w:r>
      <w:r>
        <w:rPr>
          <w:spacing w:val="40"/>
          <w:sz w:val="24"/>
        </w:rPr>
        <w:t> </w:t>
      </w:r>
      <w:r>
        <w:rPr>
          <w:sz w:val="24"/>
        </w:rPr>
        <w:t>around</w:t>
      </w:r>
      <w:r>
        <w:rPr>
          <w:spacing w:val="40"/>
          <w:sz w:val="24"/>
        </w:rPr>
        <w:t> </w:t>
      </w:r>
      <w:r>
        <w:rPr>
          <w:sz w:val="24"/>
        </w:rPr>
        <w:t>and</w:t>
      </w:r>
      <w:r>
        <w:rPr>
          <w:spacing w:val="40"/>
          <w:sz w:val="24"/>
        </w:rPr>
        <w:t> </w:t>
      </w:r>
      <w:r>
        <w:rPr>
          <w:sz w:val="24"/>
        </w:rPr>
        <w:t>within the</w:t>
      </w:r>
      <w:r>
        <w:rPr>
          <w:spacing w:val="40"/>
          <w:sz w:val="24"/>
        </w:rPr>
        <w:t> </w:t>
      </w:r>
      <w:r>
        <w:rPr>
          <w:sz w:val="24"/>
        </w:rPr>
        <w:t>building,</w:t>
      </w:r>
      <w:r>
        <w:rPr>
          <w:spacing w:val="40"/>
          <w:sz w:val="24"/>
        </w:rPr>
        <w:t> </w:t>
      </w:r>
      <w:r>
        <w:rPr>
          <w:sz w:val="24"/>
        </w:rPr>
        <w:t>as</w:t>
      </w:r>
      <w:r>
        <w:rPr>
          <w:spacing w:val="40"/>
          <w:sz w:val="24"/>
        </w:rPr>
        <w:t> </w:t>
      </w:r>
      <w:r>
        <w:rPr>
          <w:sz w:val="24"/>
        </w:rPr>
        <w:t>also</w:t>
      </w:r>
      <w:r>
        <w:rPr>
          <w:spacing w:val="40"/>
          <w:sz w:val="24"/>
        </w:rPr>
        <w:t> </w:t>
      </w:r>
      <w:r>
        <w:rPr>
          <w:sz w:val="24"/>
        </w:rPr>
        <w:t>the</w:t>
      </w:r>
      <w:r>
        <w:rPr>
          <w:spacing w:val="40"/>
          <w:sz w:val="24"/>
        </w:rPr>
        <w:t> </w:t>
      </w:r>
      <w:r>
        <w:rPr>
          <w:sz w:val="24"/>
        </w:rPr>
        <w:t>access</w:t>
      </w:r>
      <w:r>
        <w:rPr>
          <w:spacing w:val="40"/>
          <w:sz w:val="24"/>
        </w:rPr>
        <w:t> </w:t>
      </w:r>
      <w:r>
        <w:rPr>
          <w:sz w:val="24"/>
        </w:rPr>
        <w:t>ways</w:t>
      </w:r>
      <w:r>
        <w:rPr>
          <w:spacing w:val="40"/>
          <w:sz w:val="24"/>
        </w:rPr>
        <w:t> </w:t>
      </w:r>
      <w:r>
        <w:rPr>
          <w:sz w:val="24"/>
        </w:rPr>
        <w:t>and</w:t>
      </w:r>
      <w:r>
        <w:rPr>
          <w:spacing w:val="40"/>
          <w:sz w:val="24"/>
        </w:rPr>
        <w:t> </w:t>
      </w:r>
      <w:r>
        <w:rPr>
          <w:spacing w:val="9"/>
          <w:sz w:val="24"/>
        </w:rPr>
        <w:t>appurtenant</w:t>
      </w:r>
      <w:r>
        <w:rPr>
          <w:spacing w:val="40"/>
          <w:sz w:val="24"/>
        </w:rPr>
        <w:t> </w:t>
      </w:r>
      <w:r>
        <w:rPr>
          <w:sz w:val="24"/>
        </w:rPr>
        <w:t>open spaces with projections in dotted lines, the distance from any building existing on the plot in figured dimensions along with the accessory</w:t>
      </w:r>
      <w:r>
        <w:rPr>
          <w:spacing w:val="80"/>
          <w:sz w:val="24"/>
        </w:rPr>
        <w:t> </w:t>
      </w:r>
      <w:r>
        <w:rPr>
          <w:sz w:val="24"/>
        </w:rPr>
        <w:t>building.</w:t>
      </w:r>
      <w:r>
        <w:rPr>
          <w:spacing w:val="80"/>
          <w:sz w:val="24"/>
        </w:rPr>
        <w:t> </w:t>
      </w:r>
      <w:r>
        <w:rPr>
          <w:sz w:val="24"/>
        </w:rPr>
        <w:t>These</w:t>
      </w:r>
      <w:r>
        <w:rPr>
          <w:spacing w:val="80"/>
          <w:sz w:val="24"/>
        </w:rPr>
        <w:t> </w:t>
      </w:r>
      <w:r>
        <w:rPr>
          <w:sz w:val="24"/>
        </w:rPr>
        <w:t>plans</w:t>
      </w:r>
      <w:r>
        <w:rPr>
          <w:spacing w:val="80"/>
          <w:sz w:val="24"/>
        </w:rPr>
        <w:t> </w:t>
      </w:r>
      <w:r>
        <w:rPr>
          <w:sz w:val="24"/>
        </w:rPr>
        <w:t>will</w:t>
      </w:r>
      <w:r>
        <w:rPr>
          <w:spacing w:val="80"/>
          <w:sz w:val="24"/>
        </w:rPr>
        <w:t> </w:t>
      </w:r>
      <w:r>
        <w:rPr>
          <w:sz w:val="24"/>
        </w:rPr>
        <w:t>also</w:t>
      </w:r>
      <w:r>
        <w:rPr>
          <w:spacing w:val="80"/>
          <w:sz w:val="24"/>
        </w:rPr>
        <w:t> </w:t>
      </w:r>
      <w:r>
        <w:rPr>
          <w:sz w:val="24"/>
        </w:rPr>
        <w:t>contain</w:t>
      </w:r>
      <w:r>
        <w:rPr>
          <w:spacing w:val="80"/>
          <w:sz w:val="24"/>
        </w:rPr>
        <w:t> </w:t>
      </w:r>
      <w:r>
        <w:rPr>
          <w:sz w:val="24"/>
        </w:rPr>
        <w:t>the</w:t>
      </w:r>
      <w:r>
        <w:rPr>
          <w:spacing w:val="80"/>
          <w:sz w:val="24"/>
        </w:rPr>
        <w:t> </w:t>
      </w:r>
      <w:r>
        <w:rPr>
          <w:sz w:val="24"/>
        </w:rPr>
        <w:t>details</w:t>
      </w:r>
      <w:r>
        <w:rPr>
          <w:spacing w:val="80"/>
          <w:sz w:val="24"/>
        </w:rPr>
        <w:t> </w:t>
      </w:r>
      <w:r>
        <w:rPr>
          <w:sz w:val="24"/>
        </w:rPr>
        <w:t>of FSI calculations.</w:t>
      </w:r>
    </w:p>
    <w:p>
      <w:pPr>
        <w:pStyle w:val="ListParagraph"/>
        <w:numPr>
          <w:ilvl w:val="0"/>
          <w:numId w:val="17"/>
        </w:numPr>
        <w:tabs>
          <w:tab w:pos="2212" w:val="left" w:leader="none"/>
        </w:tabs>
        <w:spacing w:line="281" w:lineRule="exact" w:before="2" w:after="0"/>
        <w:ind w:left="2212" w:right="0" w:hanging="359"/>
        <w:jc w:val="both"/>
        <w:rPr>
          <w:sz w:val="24"/>
        </w:rPr>
      </w:pPr>
      <w:r>
        <w:rPr>
          <w:sz w:val="24"/>
        </w:rPr>
        <w:t>Show</w:t>
      </w:r>
      <w:r>
        <w:rPr>
          <w:spacing w:val="41"/>
          <w:sz w:val="24"/>
        </w:rPr>
        <w:t> </w:t>
      </w:r>
      <w:r>
        <w:rPr>
          <w:sz w:val="24"/>
        </w:rPr>
        <w:t>the</w:t>
      </w:r>
      <w:r>
        <w:rPr>
          <w:spacing w:val="45"/>
          <w:sz w:val="24"/>
        </w:rPr>
        <w:t> </w:t>
      </w:r>
      <w:r>
        <w:rPr>
          <w:sz w:val="24"/>
        </w:rPr>
        <w:t>use</w:t>
      </w:r>
      <w:r>
        <w:rPr>
          <w:spacing w:val="43"/>
          <w:sz w:val="24"/>
        </w:rPr>
        <w:t> </w:t>
      </w:r>
      <w:r>
        <w:rPr>
          <w:sz w:val="24"/>
        </w:rPr>
        <w:t>or</w:t>
      </w:r>
      <w:r>
        <w:rPr>
          <w:spacing w:val="43"/>
          <w:sz w:val="24"/>
        </w:rPr>
        <w:t> </w:t>
      </w:r>
      <w:r>
        <w:rPr>
          <w:sz w:val="24"/>
        </w:rPr>
        <w:t>occupancy</w:t>
      </w:r>
      <w:r>
        <w:rPr>
          <w:spacing w:val="46"/>
          <w:sz w:val="24"/>
        </w:rPr>
        <w:t> </w:t>
      </w:r>
      <w:r>
        <w:rPr>
          <w:sz w:val="24"/>
        </w:rPr>
        <w:t>of</w:t>
      </w:r>
      <w:r>
        <w:rPr>
          <w:spacing w:val="43"/>
          <w:sz w:val="24"/>
        </w:rPr>
        <w:t> </w:t>
      </w:r>
      <w:r>
        <w:rPr>
          <w:sz w:val="24"/>
        </w:rPr>
        <w:t>all</w:t>
      </w:r>
      <w:r>
        <w:rPr>
          <w:spacing w:val="45"/>
          <w:sz w:val="24"/>
        </w:rPr>
        <w:t> </w:t>
      </w:r>
      <w:r>
        <w:rPr>
          <w:sz w:val="24"/>
        </w:rPr>
        <w:t>parts</w:t>
      </w:r>
      <w:r>
        <w:rPr>
          <w:spacing w:val="42"/>
          <w:sz w:val="24"/>
        </w:rPr>
        <w:t> </w:t>
      </w:r>
      <w:r>
        <w:rPr>
          <w:sz w:val="24"/>
        </w:rPr>
        <w:t>of</w:t>
      </w:r>
      <w:r>
        <w:rPr>
          <w:spacing w:val="42"/>
          <w:sz w:val="24"/>
        </w:rPr>
        <w:t> </w:t>
      </w:r>
      <w:r>
        <w:rPr>
          <w:sz w:val="24"/>
        </w:rPr>
        <w:t>the</w:t>
      </w:r>
      <w:r>
        <w:rPr>
          <w:spacing w:val="46"/>
          <w:sz w:val="24"/>
        </w:rPr>
        <w:t> </w:t>
      </w:r>
      <w:r>
        <w:rPr>
          <w:spacing w:val="-2"/>
          <w:sz w:val="24"/>
        </w:rPr>
        <w:t>buildings;</w:t>
      </w:r>
    </w:p>
    <w:p>
      <w:pPr>
        <w:pStyle w:val="ListParagraph"/>
        <w:numPr>
          <w:ilvl w:val="0"/>
          <w:numId w:val="17"/>
        </w:numPr>
        <w:tabs>
          <w:tab w:pos="2213" w:val="left" w:leader="none"/>
        </w:tabs>
        <w:spacing w:line="240" w:lineRule="auto" w:before="0" w:after="0"/>
        <w:ind w:left="2213" w:right="799" w:hanging="360"/>
        <w:jc w:val="both"/>
        <w:rPr>
          <w:sz w:val="24"/>
        </w:rPr>
      </w:pPr>
      <w:r>
        <w:rPr>
          <w:sz w:val="24"/>
        </w:rPr>
        <w:t>Show</w:t>
      </w:r>
      <w:r>
        <w:rPr>
          <w:spacing w:val="40"/>
          <w:sz w:val="24"/>
        </w:rPr>
        <w:t> </w:t>
      </w:r>
      <w:r>
        <w:rPr>
          <w:sz w:val="24"/>
        </w:rPr>
        <w:t>the</w:t>
      </w:r>
      <w:r>
        <w:rPr>
          <w:spacing w:val="40"/>
          <w:sz w:val="24"/>
        </w:rPr>
        <w:t> </w:t>
      </w:r>
      <w:r>
        <w:rPr>
          <w:sz w:val="24"/>
        </w:rPr>
        <w:t>exact</w:t>
      </w:r>
      <w:r>
        <w:rPr>
          <w:spacing w:val="40"/>
          <w:sz w:val="24"/>
        </w:rPr>
        <w:t> </w:t>
      </w:r>
      <w:r>
        <w:rPr>
          <w:sz w:val="24"/>
        </w:rPr>
        <w:t>location</w:t>
      </w:r>
      <w:r>
        <w:rPr>
          <w:spacing w:val="40"/>
          <w:sz w:val="24"/>
        </w:rPr>
        <w:t> </w:t>
      </w:r>
      <w:r>
        <w:rPr>
          <w:sz w:val="24"/>
        </w:rPr>
        <w:t>of</w:t>
      </w:r>
      <w:r>
        <w:rPr>
          <w:spacing w:val="40"/>
          <w:sz w:val="24"/>
        </w:rPr>
        <w:t> </w:t>
      </w:r>
      <w:r>
        <w:rPr>
          <w:sz w:val="24"/>
        </w:rPr>
        <w:t>essential</w:t>
      </w:r>
      <w:r>
        <w:rPr>
          <w:spacing w:val="40"/>
          <w:sz w:val="24"/>
        </w:rPr>
        <w:t> </w:t>
      </w:r>
      <w:r>
        <w:rPr>
          <w:sz w:val="24"/>
        </w:rPr>
        <w:t>services,</w:t>
      </w:r>
      <w:r>
        <w:rPr>
          <w:spacing w:val="40"/>
          <w:sz w:val="24"/>
        </w:rPr>
        <w:t> </w:t>
      </w:r>
      <w:r>
        <w:rPr>
          <w:sz w:val="24"/>
        </w:rPr>
        <w:t>e.g.</w:t>
      </w:r>
      <w:r>
        <w:rPr>
          <w:spacing w:val="40"/>
          <w:sz w:val="24"/>
        </w:rPr>
        <w:t> </w:t>
      </w:r>
      <w:r>
        <w:rPr>
          <w:sz w:val="24"/>
        </w:rPr>
        <w:t>water</w:t>
      </w:r>
      <w:r>
        <w:rPr>
          <w:spacing w:val="40"/>
          <w:sz w:val="24"/>
        </w:rPr>
        <w:t> </w:t>
      </w:r>
      <w:r>
        <w:rPr>
          <w:sz w:val="24"/>
        </w:rPr>
        <w:t>closet (WC), sink, </w:t>
      </w:r>
      <w:r>
        <w:rPr>
          <w:spacing w:val="9"/>
          <w:sz w:val="24"/>
        </w:rPr>
        <w:t>bath,</w:t>
      </w:r>
    </w:p>
    <w:p>
      <w:pPr>
        <w:pStyle w:val="ListParagraph"/>
        <w:numPr>
          <w:ilvl w:val="0"/>
          <w:numId w:val="17"/>
        </w:numPr>
        <w:tabs>
          <w:tab w:pos="2213" w:val="left" w:leader="none"/>
        </w:tabs>
        <w:spacing w:line="240" w:lineRule="auto" w:before="0" w:after="0"/>
        <w:ind w:left="2213" w:right="771" w:hanging="360"/>
        <w:jc w:val="both"/>
        <w:rPr>
          <w:sz w:val="24"/>
        </w:rPr>
      </w:pPr>
      <w:r>
        <w:rPr>
          <w:sz w:val="24"/>
        </w:rPr>
        <w:t>Include</w:t>
      </w:r>
      <w:r>
        <w:rPr>
          <w:spacing w:val="80"/>
          <w:sz w:val="24"/>
        </w:rPr>
        <w:t> </w:t>
      </w:r>
      <w:r>
        <w:rPr>
          <w:sz w:val="24"/>
        </w:rPr>
        <w:t>sectional</w:t>
      </w:r>
      <w:r>
        <w:rPr>
          <w:spacing w:val="80"/>
          <w:sz w:val="24"/>
        </w:rPr>
        <w:t> </w:t>
      </w:r>
      <w:r>
        <w:rPr>
          <w:sz w:val="24"/>
        </w:rPr>
        <w:t>drawing</w:t>
      </w:r>
      <w:r>
        <w:rPr>
          <w:spacing w:val="80"/>
          <w:sz w:val="24"/>
        </w:rPr>
        <w:t> </w:t>
      </w:r>
      <w:r>
        <w:rPr>
          <w:sz w:val="24"/>
        </w:rPr>
        <w:t>showing</w:t>
      </w:r>
      <w:r>
        <w:rPr>
          <w:spacing w:val="80"/>
          <w:sz w:val="24"/>
        </w:rPr>
        <w:t> </w:t>
      </w:r>
      <w:r>
        <w:rPr>
          <w:sz w:val="24"/>
        </w:rPr>
        <w:t>clearly</w:t>
      </w:r>
      <w:r>
        <w:rPr>
          <w:spacing w:val="80"/>
          <w:sz w:val="24"/>
        </w:rPr>
        <w:t> </w:t>
      </w:r>
      <w:r>
        <w:rPr>
          <w:sz w:val="24"/>
        </w:rPr>
        <w:t>the</w:t>
      </w:r>
      <w:r>
        <w:rPr>
          <w:spacing w:val="80"/>
          <w:sz w:val="24"/>
        </w:rPr>
        <w:t> </w:t>
      </w:r>
      <w:r>
        <w:rPr>
          <w:sz w:val="24"/>
        </w:rPr>
        <w:t>sizes</w:t>
      </w:r>
      <w:r>
        <w:rPr>
          <w:spacing w:val="80"/>
          <w:sz w:val="24"/>
        </w:rPr>
        <w:t> </w:t>
      </w:r>
      <w:r>
        <w:rPr>
          <w:sz w:val="24"/>
        </w:rPr>
        <w:t>of</w:t>
      </w:r>
      <w:r>
        <w:rPr>
          <w:spacing w:val="80"/>
          <w:sz w:val="24"/>
        </w:rPr>
        <w:t> </w:t>
      </w:r>
      <w:r>
        <w:rPr>
          <w:sz w:val="24"/>
        </w:rPr>
        <w:t>the footings, thickness of basement wall, wall construction, size and spacing of framing members, floor slabs and roof slabs with their materials.</w:t>
      </w:r>
      <w:r>
        <w:rPr>
          <w:spacing w:val="40"/>
          <w:sz w:val="24"/>
        </w:rPr>
        <w:t> </w:t>
      </w:r>
      <w:r>
        <w:rPr>
          <w:sz w:val="24"/>
        </w:rPr>
        <w:t>The</w:t>
      </w:r>
      <w:r>
        <w:rPr>
          <w:spacing w:val="40"/>
          <w:sz w:val="24"/>
        </w:rPr>
        <w:t> </w:t>
      </w:r>
      <w:r>
        <w:rPr>
          <w:sz w:val="24"/>
        </w:rPr>
        <w:t>section</w:t>
      </w:r>
      <w:r>
        <w:rPr>
          <w:spacing w:val="40"/>
          <w:sz w:val="24"/>
        </w:rPr>
        <w:t> </w:t>
      </w:r>
      <w:r>
        <w:rPr>
          <w:sz w:val="24"/>
        </w:rPr>
        <w:t>shall</w:t>
      </w:r>
      <w:r>
        <w:rPr>
          <w:spacing w:val="40"/>
          <w:sz w:val="24"/>
        </w:rPr>
        <w:t> </w:t>
      </w:r>
      <w:r>
        <w:rPr>
          <w:sz w:val="24"/>
        </w:rPr>
        <w:t>indicate</w:t>
      </w:r>
      <w:r>
        <w:rPr>
          <w:spacing w:val="40"/>
          <w:sz w:val="24"/>
        </w:rPr>
        <w:t> </w:t>
      </w:r>
      <w:r>
        <w:rPr>
          <w:sz w:val="24"/>
        </w:rPr>
        <w:t>the</w:t>
      </w:r>
      <w:r>
        <w:rPr>
          <w:spacing w:val="40"/>
          <w:sz w:val="24"/>
        </w:rPr>
        <w:t> </w:t>
      </w:r>
      <w:r>
        <w:rPr>
          <w:sz w:val="24"/>
        </w:rPr>
        <w:t>heights</w:t>
      </w:r>
      <w:r>
        <w:rPr>
          <w:spacing w:val="40"/>
          <w:sz w:val="24"/>
        </w:rPr>
        <w:t> </w:t>
      </w:r>
      <w:r>
        <w:rPr>
          <w:sz w:val="24"/>
        </w:rPr>
        <w:t>of</w:t>
      </w:r>
      <w:r>
        <w:rPr>
          <w:spacing w:val="40"/>
          <w:sz w:val="24"/>
        </w:rPr>
        <w:t> </w:t>
      </w:r>
      <w:r>
        <w:rPr>
          <w:sz w:val="24"/>
        </w:rPr>
        <w:t>the</w:t>
      </w:r>
      <w:r>
        <w:rPr>
          <w:spacing w:val="40"/>
          <w:sz w:val="24"/>
        </w:rPr>
        <w:t> </w:t>
      </w:r>
      <w:r>
        <w:rPr>
          <w:spacing w:val="9"/>
          <w:sz w:val="24"/>
        </w:rPr>
        <w:t>building </w:t>
      </w:r>
      <w:r>
        <w:rPr>
          <w:sz w:val="24"/>
        </w:rPr>
        <w:t>and</w:t>
      </w:r>
      <w:r>
        <w:rPr>
          <w:spacing w:val="40"/>
          <w:sz w:val="24"/>
        </w:rPr>
        <w:t> </w:t>
      </w:r>
      <w:r>
        <w:rPr>
          <w:sz w:val="24"/>
        </w:rPr>
        <w:t>rooms</w:t>
      </w:r>
      <w:r>
        <w:rPr>
          <w:spacing w:val="40"/>
          <w:sz w:val="24"/>
        </w:rPr>
        <w:t> </w:t>
      </w:r>
      <w:r>
        <w:rPr>
          <w:sz w:val="24"/>
        </w:rPr>
        <w:t>and</w:t>
      </w:r>
      <w:r>
        <w:rPr>
          <w:spacing w:val="40"/>
          <w:sz w:val="24"/>
        </w:rPr>
        <w:t> </w:t>
      </w:r>
      <w:r>
        <w:rPr>
          <w:sz w:val="24"/>
        </w:rPr>
        <w:t>also</w:t>
      </w:r>
      <w:r>
        <w:rPr>
          <w:spacing w:val="40"/>
          <w:sz w:val="24"/>
        </w:rPr>
        <w:t> </w:t>
      </w:r>
      <w:r>
        <w:rPr>
          <w:sz w:val="24"/>
        </w:rPr>
        <w:t>the</w:t>
      </w:r>
      <w:r>
        <w:rPr>
          <w:spacing w:val="40"/>
          <w:sz w:val="24"/>
        </w:rPr>
        <w:t> </w:t>
      </w:r>
      <w:r>
        <w:rPr>
          <w:sz w:val="24"/>
        </w:rPr>
        <w:t>height</w:t>
      </w:r>
      <w:r>
        <w:rPr>
          <w:spacing w:val="40"/>
          <w:sz w:val="24"/>
        </w:rPr>
        <w:t> </w:t>
      </w:r>
      <w:r>
        <w:rPr>
          <w:sz w:val="24"/>
        </w:rPr>
        <w:t>of</w:t>
      </w:r>
      <w:r>
        <w:rPr>
          <w:spacing w:val="40"/>
          <w:sz w:val="24"/>
        </w:rPr>
        <w:t> </w:t>
      </w:r>
      <w:r>
        <w:rPr>
          <w:sz w:val="24"/>
        </w:rPr>
        <w:t>the</w:t>
      </w:r>
      <w:r>
        <w:rPr>
          <w:spacing w:val="40"/>
          <w:sz w:val="24"/>
        </w:rPr>
        <w:t> </w:t>
      </w:r>
      <w:r>
        <w:rPr>
          <w:sz w:val="24"/>
        </w:rPr>
        <w:t>parapet</w:t>
      </w:r>
      <w:r>
        <w:rPr>
          <w:spacing w:val="40"/>
          <w:sz w:val="24"/>
        </w:rPr>
        <w:t> </w:t>
      </w:r>
      <w:r>
        <w:rPr>
          <w:sz w:val="24"/>
        </w:rPr>
        <w:t>and</w:t>
      </w:r>
      <w:r>
        <w:rPr>
          <w:spacing w:val="40"/>
          <w:sz w:val="24"/>
        </w:rPr>
        <w:t> </w:t>
      </w:r>
      <w:r>
        <w:rPr>
          <w:sz w:val="24"/>
        </w:rPr>
        <w:t>the</w:t>
      </w:r>
      <w:r>
        <w:rPr>
          <w:spacing w:val="40"/>
          <w:sz w:val="24"/>
        </w:rPr>
        <w:t> </w:t>
      </w:r>
      <w:r>
        <w:rPr>
          <w:sz w:val="24"/>
        </w:rPr>
        <w:t>drainage and the slope of the roof. At least one section should be taken through the staircase &amp;Lift well. The certified structural plan by Structural Engineer/Consultant giving details of all structural elements</w:t>
      </w:r>
      <w:r>
        <w:rPr>
          <w:spacing w:val="40"/>
          <w:sz w:val="24"/>
        </w:rPr>
        <w:t> </w:t>
      </w:r>
      <w:r>
        <w:rPr>
          <w:sz w:val="24"/>
        </w:rPr>
        <w:t>and</w:t>
      </w:r>
      <w:r>
        <w:rPr>
          <w:spacing w:val="40"/>
          <w:sz w:val="24"/>
        </w:rPr>
        <w:t> </w:t>
      </w:r>
      <w:r>
        <w:rPr>
          <w:sz w:val="24"/>
        </w:rPr>
        <w:t>materials</w:t>
      </w:r>
      <w:r>
        <w:rPr>
          <w:spacing w:val="40"/>
          <w:sz w:val="24"/>
        </w:rPr>
        <w:t> </w:t>
      </w:r>
      <w:r>
        <w:rPr>
          <w:sz w:val="24"/>
        </w:rPr>
        <w:t>used</w:t>
      </w:r>
      <w:r>
        <w:rPr>
          <w:spacing w:val="40"/>
          <w:sz w:val="24"/>
        </w:rPr>
        <w:t> </w:t>
      </w:r>
      <w:r>
        <w:rPr>
          <w:sz w:val="24"/>
        </w:rPr>
        <w:t>along</w:t>
      </w:r>
      <w:r>
        <w:rPr>
          <w:spacing w:val="40"/>
          <w:sz w:val="24"/>
        </w:rPr>
        <w:t> </w:t>
      </w:r>
      <w:r>
        <w:rPr>
          <w:sz w:val="24"/>
        </w:rPr>
        <w:t>with</w:t>
      </w:r>
      <w:r>
        <w:rPr>
          <w:spacing w:val="40"/>
          <w:sz w:val="24"/>
        </w:rPr>
        <w:t> </w:t>
      </w:r>
      <w:r>
        <w:rPr>
          <w:sz w:val="24"/>
        </w:rPr>
        <w:t>structural</w:t>
      </w:r>
      <w:r>
        <w:rPr>
          <w:spacing w:val="40"/>
          <w:sz w:val="24"/>
        </w:rPr>
        <w:t> </w:t>
      </w:r>
      <w:r>
        <w:rPr>
          <w:sz w:val="24"/>
        </w:rPr>
        <w:t>calculations</w:t>
      </w:r>
      <w:r>
        <w:rPr>
          <w:spacing w:val="80"/>
          <w:sz w:val="24"/>
        </w:rPr>
        <w:t> </w:t>
      </w:r>
      <w:r>
        <w:rPr>
          <w:sz w:val="24"/>
        </w:rPr>
        <w:t>can</w:t>
      </w:r>
      <w:r>
        <w:rPr>
          <w:spacing w:val="40"/>
          <w:sz w:val="24"/>
        </w:rPr>
        <w:t> </w:t>
      </w:r>
      <w:r>
        <w:rPr>
          <w:sz w:val="24"/>
        </w:rPr>
        <w:t>be</w:t>
      </w:r>
      <w:r>
        <w:rPr>
          <w:spacing w:val="40"/>
          <w:sz w:val="24"/>
        </w:rPr>
        <w:t> </w:t>
      </w:r>
      <w:r>
        <w:rPr>
          <w:sz w:val="24"/>
        </w:rPr>
        <w:t>submitted</w:t>
      </w:r>
      <w:r>
        <w:rPr>
          <w:spacing w:val="40"/>
          <w:sz w:val="24"/>
        </w:rPr>
        <w:t> </w:t>
      </w:r>
      <w:r>
        <w:rPr>
          <w:sz w:val="24"/>
        </w:rPr>
        <w:t>separately,</w:t>
      </w:r>
      <w:r>
        <w:rPr>
          <w:spacing w:val="40"/>
          <w:sz w:val="24"/>
        </w:rPr>
        <w:t> </w:t>
      </w:r>
      <w:r>
        <w:rPr>
          <w:sz w:val="24"/>
        </w:rPr>
        <w:t>but</w:t>
      </w:r>
      <w:r>
        <w:rPr>
          <w:spacing w:val="40"/>
          <w:sz w:val="24"/>
        </w:rPr>
        <w:t> </w:t>
      </w:r>
      <w:r>
        <w:rPr>
          <w:sz w:val="24"/>
        </w:rPr>
        <w:t>under</w:t>
      </w:r>
      <w:r>
        <w:rPr>
          <w:spacing w:val="40"/>
          <w:sz w:val="24"/>
        </w:rPr>
        <w:t> </w:t>
      </w:r>
      <w:r>
        <w:rPr>
          <w:sz w:val="24"/>
        </w:rPr>
        <w:t>any</w:t>
      </w:r>
      <w:r>
        <w:rPr>
          <w:spacing w:val="40"/>
          <w:sz w:val="24"/>
        </w:rPr>
        <w:t> </w:t>
      </w:r>
      <w:r>
        <w:rPr>
          <w:spacing w:val="9"/>
          <w:sz w:val="24"/>
        </w:rPr>
        <w:t>circumstances,</w:t>
      </w:r>
      <w:r>
        <w:rPr>
          <w:spacing w:val="40"/>
          <w:sz w:val="24"/>
        </w:rPr>
        <w:t> </w:t>
      </w:r>
      <w:r>
        <w:rPr>
          <w:sz w:val="24"/>
        </w:rPr>
        <w:t>before the issue of the development permission/commencement </w:t>
      </w:r>
      <w:r>
        <w:rPr>
          <w:spacing w:val="7"/>
          <w:sz w:val="24"/>
        </w:rPr>
        <w:t>certificate;</w:t>
      </w:r>
    </w:p>
    <w:p>
      <w:pPr>
        <w:pStyle w:val="ListParagraph"/>
        <w:numPr>
          <w:ilvl w:val="0"/>
          <w:numId w:val="17"/>
        </w:numPr>
        <w:tabs>
          <w:tab w:pos="2212" w:val="left" w:leader="none"/>
        </w:tabs>
        <w:spacing w:line="281" w:lineRule="exact" w:before="2" w:after="0"/>
        <w:ind w:left="2212" w:right="0" w:hanging="359"/>
        <w:jc w:val="both"/>
        <w:rPr>
          <w:sz w:val="24"/>
        </w:rPr>
      </w:pPr>
      <w:r>
        <w:rPr>
          <w:sz w:val="24"/>
        </w:rPr>
        <w:t>Show</w:t>
      </w:r>
      <w:r>
        <w:rPr>
          <w:spacing w:val="56"/>
          <w:sz w:val="24"/>
        </w:rPr>
        <w:t> </w:t>
      </w:r>
      <w:r>
        <w:rPr>
          <w:sz w:val="24"/>
        </w:rPr>
        <w:t>relative</w:t>
      </w:r>
      <w:r>
        <w:rPr>
          <w:spacing w:val="57"/>
          <w:sz w:val="24"/>
        </w:rPr>
        <w:t> </w:t>
      </w:r>
      <w:r>
        <w:rPr>
          <w:sz w:val="24"/>
        </w:rPr>
        <w:t>levels</w:t>
      </w:r>
      <w:r>
        <w:rPr>
          <w:spacing w:val="56"/>
          <w:sz w:val="24"/>
        </w:rPr>
        <w:t> </w:t>
      </w:r>
      <w:r>
        <w:rPr>
          <w:sz w:val="24"/>
        </w:rPr>
        <w:t>of</w:t>
      </w:r>
      <w:r>
        <w:rPr>
          <w:spacing w:val="57"/>
          <w:sz w:val="24"/>
        </w:rPr>
        <w:t> </w:t>
      </w:r>
      <w:r>
        <w:rPr>
          <w:spacing w:val="7"/>
          <w:sz w:val="24"/>
        </w:rPr>
        <w:t>streets;</w:t>
      </w:r>
    </w:p>
    <w:p>
      <w:pPr>
        <w:pStyle w:val="ListParagraph"/>
        <w:numPr>
          <w:ilvl w:val="0"/>
          <w:numId w:val="17"/>
        </w:numPr>
        <w:tabs>
          <w:tab w:pos="2211" w:val="left" w:leader="none"/>
          <w:tab w:pos="2213" w:val="left" w:leader="none"/>
        </w:tabs>
        <w:spacing w:line="240" w:lineRule="auto" w:before="0" w:after="0"/>
        <w:ind w:left="2213" w:right="797" w:hanging="360"/>
        <w:jc w:val="both"/>
        <w:rPr>
          <w:sz w:val="24"/>
        </w:rPr>
      </w:pPr>
      <w:r>
        <w:rPr>
          <w:sz w:val="24"/>
        </w:rPr>
        <w:t>Give</w:t>
      </w:r>
      <w:r>
        <w:rPr>
          <w:spacing w:val="80"/>
          <w:sz w:val="24"/>
        </w:rPr>
        <w:t> </w:t>
      </w:r>
      <w:r>
        <w:rPr>
          <w:sz w:val="24"/>
        </w:rPr>
        <w:t>dimensions</w:t>
      </w:r>
      <w:r>
        <w:rPr>
          <w:spacing w:val="80"/>
          <w:sz w:val="24"/>
        </w:rPr>
        <w:t> </w:t>
      </w:r>
      <w:r>
        <w:rPr>
          <w:sz w:val="24"/>
        </w:rPr>
        <w:t>of</w:t>
      </w:r>
      <w:r>
        <w:rPr>
          <w:spacing w:val="80"/>
          <w:sz w:val="24"/>
        </w:rPr>
        <w:t> </w:t>
      </w:r>
      <w:r>
        <w:rPr>
          <w:sz w:val="24"/>
        </w:rPr>
        <w:t>the</w:t>
      </w:r>
      <w:r>
        <w:rPr>
          <w:spacing w:val="80"/>
          <w:sz w:val="24"/>
        </w:rPr>
        <w:t> </w:t>
      </w:r>
      <w:r>
        <w:rPr>
          <w:sz w:val="24"/>
        </w:rPr>
        <w:t>portions</w:t>
      </w:r>
      <w:r>
        <w:rPr>
          <w:spacing w:val="80"/>
          <w:sz w:val="24"/>
        </w:rPr>
        <w:t> </w:t>
      </w:r>
      <w:r>
        <w:rPr>
          <w:sz w:val="24"/>
        </w:rPr>
        <w:t>projecting</w:t>
      </w:r>
      <w:r>
        <w:rPr>
          <w:spacing w:val="80"/>
          <w:sz w:val="24"/>
        </w:rPr>
        <w:t> </w:t>
      </w:r>
      <w:r>
        <w:rPr>
          <w:sz w:val="24"/>
        </w:rPr>
        <w:t>beyond</w:t>
      </w:r>
      <w:r>
        <w:rPr>
          <w:spacing w:val="80"/>
          <w:sz w:val="24"/>
        </w:rPr>
        <w:t> </w:t>
      </w:r>
      <w:r>
        <w:rPr>
          <w:sz w:val="24"/>
        </w:rPr>
        <w:t>the permissible</w:t>
      </w:r>
      <w:r>
        <w:rPr>
          <w:spacing w:val="40"/>
          <w:sz w:val="24"/>
        </w:rPr>
        <w:t> </w:t>
      </w:r>
      <w:r>
        <w:rPr>
          <w:sz w:val="24"/>
        </w:rPr>
        <w:t>building</w:t>
      </w:r>
      <w:r>
        <w:rPr>
          <w:spacing w:val="40"/>
          <w:sz w:val="24"/>
        </w:rPr>
        <w:t> </w:t>
      </w:r>
      <w:r>
        <w:rPr>
          <w:sz w:val="24"/>
        </w:rPr>
        <w:t>line;</w:t>
      </w:r>
    </w:p>
    <w:p>
      <w:pPr>
        <w:pStyle w:val="ListParagraph"/>
        <w:numPr>
          <w:ilvl w:val="0"/>
          <w:numId w:val="17"/>
        </w:numPr>
        <w:tabs>
          <w:tab w:pos="2211" w:val="left" w:leader="none"/>
          <w:tab w:pos="2213" w:val="left" w:leader="none"/>
        </w:tabs>
        <w:spacing w:line="240" w:lineRule="auto" w:before="0" w:after="0"/>
        <w:ind w:left="2213" w:right="799" w:hanging="360"/>
        <w:jc w:val="both"/>
        <w:rPr>
          <w:sz w:val="24"/>
        </w:rPr>
      </w:pPr>
      <w:r>
        <w:rPr>
          <w:sz w:val="24"/>
        </w:rPr>
        <w:t>Include</w:t>
      </w:r>
      <w:r>
        <w:rPr>
          <w:spacing w:val="40"/>
          <w:sz w:val="24"/>
        </w:rPr>
        <w:t> </w:t>
      </w:r>
      <w:r>
        <w:rPr>
          <w:sz w:val="24"/>
        </w:rPr>
        <w:t>a</w:t>
      </w:r>
      <w:r>
        <w:rPr>
          <w:spacing w:val="40"/>
          <w:sz w:val="24"/>
        </w:rPr>
        <w:t> </w:t>
      </w:r>
      <w:r>
        <w:rPr>
          <w:sz w:val="24"/>
        </w:rPr>
        <w:t>terrace</w:t>
      </w:r>
      <w:r>
        <w:rPr>
          <w:spacing w:val="40"/>
          <w:sz w:val="24"/>
        </w:rPr>
        <w:t> </w:t>
      </w:r>
      <w:r>
        <w:rPr>
          <w:sz w:val="24"/>
        </w:rPr>
        <w:t>plan</w:t>
      </w:r>
      <w:r>
        <w:rPr>
          <w:spacing w:val="40"/>
          <w:sz w:val="24"/>
        </w:rPr>
        <w:t> </w:t>
      </w:r>
      <w:r>
        <w:rPr>
          <w:sz w:val="24"/>
        </w:rPr>
        <w:t>indicating</w:t>
      </w:r>
      <w:r>
        <w:rPr>
          <w:spacing w:val="40"/>
          <w:sz w:val="24"/>
        </w:rPr>
        <w:t> </w:t>
      </w:r>
      <w:r>
        <w:rPr>
          <w:sz w:val="24"/>
        </w:rPr>
        <w:t>the</w:t>
      </w:r>
      <w:r>
        <w:rPr>
          <w:spacing w:val="40"/>
          <w:sz w:val="24"/>
        </w:rPr>
        <w:t> </w:t>
      </w:r>
      <w:r>
        <w:rPr>
          <w:sz w:val="24"/>
        </w:rPr>
        <w:t>drainage</w:t>
      </w:r>
      <w:r>
        <w:rPr>
          <w:spacing w:val="40"/>
          <w:sz w:val="24"/>
        </w:rPr>
        <w:t> </w:t>
      </w:r>
      <w:r>
        <w:rPr>
          <w:sz w:val="24"/>
        </w:rPr>
        <w:t>and</w:t>
      </w:r>
      <w:r>
        <w:rPr>
          <w:spacing w:val="40"/>
          <w:sz w:val="24"/>
        </w:rPr>
        <w:t> </w:t>
      </w:r>
      <w:r>
        <w:rPr>
          <w:sz w:val="24"/>
        </w:rPr>
        <w:t>the</w:t>
      </w:r>
      <w:r>
        <w:rPr>
          <w:spacing w:val="40"/>
          <w:sz w:val="24"/>
        </w:rPr>
        <w:t> </w:t>
      </w:r>
      <w:r>
        <w:rPr>
          <w:sz w:val="24"/>
        </w:rPr>
        <w:t>slope</w:t>
      </w:r>
      <w:r>
        <w:rPr>
          <w:spacing w:val="40"/>
          <w:sz w:val="24"/>
        </w:rPr>
        <w:t> </w:t>
      </w:r>
      <w:r>
        <w:rPr>
          <w:sz w:val="24"/>
        </w:rPr>
        <w:t>of</w:t>
      </w:r>
      <w:r>
        <w:rPr>
          <w:spacing w:val="80"/>
          <w:sz w:val="24"/>
        </w:rPr>
        <w:t> </w:t>
      </w:r>
      <w:r>
        <w:rPr>
          <w:sz w:val="24"/>
        </w:rPr>
        <w:t>the roof;</w:t>
      </w:r>
    </w:p>
    <w:p>
      <w:pPr>
        <w:pStyle w:val="ListParagraph"/>
        <w:spacing w:after="0" w:line="240" w:lineRule="auto"/>
        <w:jc w:val="both"/>
        <w:rPr>
          <w:sz w:val="24"/>
        </w:rPr>
        <w:sectPr>
          <w:pgSz w:w="11910" w:h="16840"/>
          <w:pgMar w:header="1036" w:footer="974" w:top="1460" w:bottom="1160" w:left="360" w:right="360"/>
        </w:sectPr>
      </w:pPr>
    </w:p>
    <w:p>
      <w:pPr>
        <w:pStyle w:val="ListParagraph"/>
        <w:numPr>
          <w:ilvl w:val="0"/>
          <w:numId w:val="17"/>
        </w:numPr>
        <w:tabs>
          <w:tab w:pos="2211" w:val="left" w:leader="none"/>
        </w:tabs>
        <w:spacing w:line="240" w:lineRule="auto" w:before="278" w:after="0"/>
        <w:ind w:left="2211" w:right="0" w:hanging="358"/>
        <w:jc w:val="both"/>
        <w:rPr>
          <w:sz w:val="24"/>
        </w:rPr>
      </w:pPr>
      <w:r>
        <w:rPr>
          <w:sz w:val="24"/>
        </w:rPr>
        <w:t>Indicate</w:t>
      </w:r>
      <w:r>
        <w:rPr>
          <w:spacing w:val="52"/>
          <w:sz w:val="24"/>
        </w:rPr>
        <w:t> </w:t>
      </w:r>
      <w:r>
        <w:rPr>
          <w:sz w:val="24"/>
        </w:rPr>
        <w:t>the</w:t>
      </w:r>
      <w:r>
        <w:rPr>
          <w:spacing w:val="52"/>
          <w:sz w:val="24"/>
        </w:rPr>
        <w:t> </w:t>
      </w:r>
      <w:r>
        <w:rPr>
          <w:sz w:val="24"/>
        </w:rPr>
        <w:t>north</w:t>
      </w:r>
      <w:r>
        <w:rPr>
          <w:spacing w:val="56"/>
          <w:sz w:val="24"/>
        </w:rPr>
        <w:t> </w:t>
      </w:r>
      <w:r>
        <w:rPr>
          <w:sz w:val="24"/>
        </w:rPr>
        <w:t>line</w:t>
      </w:r>
      <w:r>
        <w:rPr>
          <w:spacing w:val="53"/>
          <w:sz w:val="24"/>
        </w:rPr>
        <w:t> </w:t>
      </w:r>
      <w:r>
        <w:rPr>
          <w:sz w:val="24"/>
        </w:rPr>
        <w:t>relative</w:t>
      </w:r>
      <w:r>
        <w:rPr>
          <w:spacing w:val="52"/>
          <w:sz w:val="24"/>
        </w:rPr>
        <w:t> </w:t>
      </w:r>
      <w:r>
        <w:rPr>
          <w:sz w:val="24"/>
        </w:rPr>
        <w:t>to</w:t>
      </w:r>
      <w:r>
        <w:rPr>
          <w:spacing w:val="52"/>
          <w:sz w:val="24"/>
        </w:rPr>
        <w:t> </w:t>
      </w:r>
      <w:r>
        <w:rPr>
          <w:sz w:val="24"/>
        </w:rPr>
        <w:t>the</w:t>
      </w:r>
      <w:r>
        <w:rPr>
          <w:spacing w:val="57"/>
          <w:sz w:val="24"/>
        </w:rPr>
        <w:t> </w:t>
      </w:r>
      <w:r>
        <w:rPr>
          <w:spacing w:val="-2"/>
          <w:sz w:val="24"/>
        </w:rPr>
        <w:t>plans;</w:t>
      </w:r>
    </w:p>
    <w:p>
      <w:pPr>
        <w:pStyle w:val="ListParagraph"/>
        <w:numPr>
          <w:ilvl w:val="0"/>
          <w:numId w:val="17"/>
        </w:numPr>
        <w:tabs>
          <w:tab w:pos="2211" w:val="left" w:leader="none"/>
        </w:tabs>
        <w:spacing w:line="281" w:lineRule="exact" w:before="1" w:after="0"/>
        <w:ind w:left="2211" w:right="0" w:hanging="358"/>
        <w:jc w:val="both"/>
        <w:rPr>
          <w:sz w:val="24"/>
        </w:rPr>
      </w:pPr>
      <w:r>
        <w:rPr>
          <w:sz w:val="24"/>
        </w:rPr>
        <w:t>Give</w:t>
      </w:r>
      <w:r>
        <w:rPr>
          <w:spacing w:val="50"/>
          <w:sz w:val="24"/>
        </w:rPr>
        <w:t> </w:t>
      </w:r>
      <w:r>
        <w:rPr>
          <w:sz w:val="24"/>
        </w:rPr>
        <w:t>a</w:t>
      </w:r>
      <w:r>
        <w:rPr>
          <w:spacing w:val="51"/>
          <w:sz w:val="24"/>
        </w:rPr>
        <w:t> </w:t>
      </w:r>
      <w:r>
        <w:rPr>
          <w:sz w:val="24"/>
        </w:rPr>
        <w:t>schedule</w:t>
      </w:r>
      <w:r>
        <w:rPr>
          <w:spacing w:val="51"/>
          <w:sz w:val="24"/>
        </w:rPr>
        <w:t> </w:t>
      </w:r>
      <w:r>
        <w:rPr>
          <w:sz w:val="24"/>
        </w:rPr>
        <w:t>of</w:t>
      </w:r>
      <w:r>
        <w:rPr>
          <w:spacing w:val="53"/>
          <w:sz w:val="24"/>
        </w:rPr>
        <w:t> </w:t>
      </w:r>
      <w:r>
        <w:rPr>
          <w:sz w:val="24"/>
        </w:rPr>
        <w:t>doors,</w:t>
      </w:r>
      <w:r>
        <w:rPr>
          <w:spacing w:val="51"/>
          <w:sz w:val="24"/>
        </w:rPr>
        <w:t> </w:t>
      </w:r>
      <w:r>
        <w:rPr>
          <w:sz w:val="24"/>
        </w:rPr>
        <w:t>windows</w:t>
      </w:r>
      <w:r>
        <w:rPr>
          <w:spacing w:val="54"/>
          <w:sz w:val="24"/>
        </w:rPr>
        <w:t> </w:t>
      </w:r>
      <w:r>
        <w:rPr>
          <w:sz w:val="24"/>
        </w:rPr>
        <w:t>and</w:t>
      </w:r>
      <w:r>
        <w:rPr>
          <w:spacing w:val="51"/>
          <w:sz w:val="24"/>
        </w:rPr>
        <w:t> </w:t>
      </w:r>
      <w:r>
        <w:rPr>
          <w:spacing w:val="7"/>
          <w:sz w:val="24"/>
        </w:rPr>
        <w:t>ventilators;</w:t>
      </w:r>
    </w:p>
    <w:p>
      <w:pPr>
        <w:pStyle w:val="ListParagraph"/>
        <w:numPr>
          <w:ilvl w:val="0"/>
          <w:numId w:val="17"/>
        </w:numPr>
        <w:tabs>
          <w:tab w:pos="2211" w:val="left" w:leader="none"/>
          <w:tab w:pos="2213" w:val="left" w:leader="none"/>
        </w:tabs>
        <w:spacing w:line="240" w:lineRule="auto" w:before="0" w:after="0"/>
        <w:ind w:left="2213" w:right="788" w:hanging="360"/>
        <w:jc w:val="both"/>
        <w:rPr>
          <w:sz w:val="24"/>
        </w:rPr>
      </w:pPr>
      <w:r>
        <w:rPr>
          <w:sz w:val="24"/>
        </w:rPr>
        <w:t>Show the pump rooms, Rain Water Harvesting System, Sewage Treatment</w:t>
      </w:r>
      <w:r>
        <w:rPr>
          <w:spacing w:val="40"/>
          <w:sz w:val="24"/>
        </w:rPr>
        <w:t> </w:t>
      </w:r>
      <w:r>
        <w:rPr>
          <w:sz w:val="24"/>
        </w:rPr>
        <w:t>Plant,</w:t>
      </w:r>
      <w:r>
        <w:rPr>
          <w:spacing w:val="40"/>
          <w:sz w:val="24"/>
        </w:rPr>
        <w:t> </w:t>
      </w:r>
      <w:r>
        <w:rPr>
          <w:sz w:val="24"/>
        </w:rPr>
        <w:t>if</w:t>
      </w:r>
      <w:r>
        <w:rPr>
          <w:spacing w:val="40"/>
          <w:sz w:val="24"/>
        </w:rPr>
        <w:t> </w:t>
      </w:r>
      <w:r>
        <w:rPr>
          <w:sz w:val="24"/>
        </w:rPr>
        <w:t>any.</w:t>
      </w:r>
    </w:p>
    <w:p>
      <w:pPr>
        <w:pStyle w:val="ListParagraph"/>
        <w:numPr>
          <w:ilvl w:val="0"/>
          <w:numId w:val="17"/>
        </w:numPr>
        <w:tabs>
          <w:tab w:pos="2213" w:val="left" w:leader="none"/>
        </w:tabs>
        <w:spacing w:line="240" w:lineRule="auto" w:before="0" w:after="0"/>
        <w:ind w:left="2213" w:right="776" w:hanging="360"/>
        <w:jc w:val="both"/>
        <w:rPr>
          <w:sz w:val="24"/>
        </w:rPr>
      </w:pPr>
      <w:r>
        <w:rPr>
          <w:sz w:val="24"/>
        </w:rPr>
        <w:t>Provide such other particulars as may be prescribed by the </w:t>
      </w:r>
      <w:r>
        <w:rPr>
          <w:spacing w:val="7"/>
          <w:sz w:val="24"/>
        </w:rPr>
        <w:t>Commissioner;</w:t>
      </w:r>
    </w:p>
    <w:p>
      <w:pPr>
        <w:pStyle w:val="BodyText"/>
        <w:spacing w:before="1"/>
        <w:ind w:left="2213" w:right="778"/>
      </w:pPr>
      <w:r>
        <w:rPr/>
        <w:t>Provided that with the building plans for high rise or special buildings,</w:t>
      </w:r>
      <w:r>
        <w:rPr>
          <w:spacing w:val="40"/>
        </w:rPr>
        <w:t> </w:t>
      </w:r>
      <w:r>
        <w:rPr/>
        <w:t>the</w:t>
      </w:r>
      <w:r>
        <w:rPr>
          <w:spacing w:val="40"/>
        </w:rPr>
        <w:t> </w:t>
      </w:r>
      <w:r>
        <w:rPr/>
        <w:t>following</w:t>
      </w:r>
      <w:r>
        <w:rPr>
          <w:spacing w:val="40"/>
        </w:rPr>
        <w:t> </w:t>
      </w:r>
      <w:r>
        <w:rPr/>
        <w:t>additional</w:t>
      </w:r>
      <w:r>
        <w:rPr>
          <w:spacing w:val="40"/>
        </w:rPr>
        <w:t> </w:t>
      </w:r>
      <w:r>
        <w:rPr/>
        <w:t>information</w:t>
      </w:r>
      <w:r>
        <w:rPr>
          <w:spacing w:val="40"/>
        </w:rPr>
        <w:t> </w:t>
      </w:r>
      <w:r>
        <w:rPr/>
        <w:t>shall</w:t>
      </w:r>
      <w:r>
        <w:rPr>
          <w:spacing w:val="40"/>
        </w:rPr>
        <w:t> </w:t>
      </w:r>
      <w:r>
        <w:rPr/>
        <w:t>be</w:t>
      </w:r>
      <w:r>
        <w:rPr>
          <w:spacing w:val="40"/>
        </w:rPr>
        <w:t> </w:t>
      </w:r>
      <w:r>
        <w:rPr>
          <w:spacing w:val="9"/>
        </w:rPr>
        <w:t>furnished </w:t>
      </w:r>
      <w:r>
        <w:rPr/>
        <w:t>or</w:t>
      </w:r>
      <w:r>
        <w:rPr>
          <w:spacing w:val="40"/>
        </w:rPr>
        <w:t> </w:t>
      </w:r>
      <w:r>
        <w:rPr/>
        <w:t>indicated</w:t>
      </w:r>
      <w:r>
        <w:rPr>
          <w:spacing w:val="40"/>
        </w:rPr>
        <w:t> </w:t>
      </w:r>
      <w:r>
        <w:rPr/>
        <w:t>on</w:t>
      </w:r>
      <w:r>
        <w:rPr>
          <w:spacing w:val="40"/>
        </w:rPr>
        <w:t> </w:t>
      </w:r>
      <w:r>
        <w:rPr/>
        <w:t>the</w:t>
      </w:r>
      <w:r>
        <w:rPr>
          <w:spacing w:val="40"/>
        </w:rPr>
        <w:t> </w:t>
      </w:r>
      <w:r>
        <w:rPr/>
        <w:t>building</w:t>
      </w:r>
      <w:r>
        <w:rPr>
          <w:spacing w:val="40"/>
        </w:rPr>
        <w:t> </w:t>
      </w:r>
      <w:r>
        <w:rPr>
          <w:spacing w:val="9"/>
        </w:rPr>
        <w:t>plans;</w:t>
      </w:r>
    </w:p>
    <w:p>
      <w:pPr>
        <w:pStyle w:val="ListParagraph"/>
        <w:numPr>
          <w:ilvl w:val="0"/>
          <w:numId w:val="17"/>
        </w:numPr>
        <w:tabs>
          <w:tab w:pos="2211" w:val="left" w:leader="none"/>
          <w:tab w:pos="2213" w:val="left" w:leader="none"/>
        </w:tabs>
        <w:spacing w:line="240" w:lineRule="auto" w:before="0" w:after="0"/>
        <w:ind w:left="2213" w:right="788" w:hanging="360"/>
        <w:jc w:val="both"/>
        <w:rPr>
          <w:sz w:val="24"/>
        </w:rPr>
      </w:pPr>
      <w:r>
        <w:rPr>
          <w:sz w:val="24"/>
        </w:rPr>
        <w:t>Access</w:t>
      </w:r>
      <w:r>
        <w:rPr>
          <w:spacing w:val="80"/>
          <w:sz w:val="24"/>
        </w:rPr>
        <w:t> </w:t>
      </w:r>
      <w:r>
        <w:rPr>
          <w:sz w:val="24"/>
        </w:rPr>
        <w:t>to</w:t>
      </w:r>
      <w:r>
        <w:rPr>
          <w:spacing w:val="80"/>
          <w:sz w:val="24"/>
        </w:rPr>
        <w:t> </w:t>
      </w:r>
      <w:r>
        <w:rPr>
          <w:sz w:val="24"/>
        </w:rPr>
        <w:t>fire</w:t>
      </w:r>
      <w:r>
        <w:rPr>
          <w:spacing w:val="80"/>
          <w:sz w:val="24"/>
        </w:rPr>
        <w:t> </w:t>
      </w:r>
      <w:r>
        <w:rPr>
          <w:sz w:val="24"/>
        </w:rPr>
        <w:t>appliances/vehicles</w:t>
      </w:r>
      <w:r>
        <w:rPr>
          <w:spacing w:val="80"/>
          <w:sz w:val="24"/>
        </w:rPr>
        <w:t> </w:t>
      </w:r>
      <w:r>
        <w:rPr>
          <w:sz w:val="24"/>
        </w:rPr>
        <w:t>with</w:t>
      </w:r>
      <w:r>
        <w:rPr>
          <w:spacing w:val="80"/>
          <w:sz w:val="24"/>
        </w:rPr>
        <w:t> </w:t>
      </w:r>
      <w:r>
        <w:rPr>
          <w:sz w:val="24"/>
        </w:rPr>
        <w:t>details</w:t>
      </w:r>
      <w:r>
        <w:rPr>
          <w:spacing w:val="80"/>
          <w:sz w:val="24"/>
        </w:rPr>
        <w:t> </w:t>
      </w:r>
      <w:r>
        <w:rPr>
          <w:sz w:val="24"/>
        </w:rPr>
        <w:t>of</w:t>
      </w:r>
      <w:r>
        <w:rPr>
          <w:spacing w:val="80"/>
          <w:sz w:val="24"/>
        </w:rPr>
        <w:t> </w:t>
      </w:r>
      <w:r>
        <w:rPr>
          <w:sz w:val="24"/>
        </w:rPr>
        <w:t>vehicular turning</w:t>
      </w:r>
      <w:r>
        <w:rPr>
          <w:spacing w:val="40"/>
          <w:sz w:val="24"/>
        </w:rPr>
        <w:t> </w:t>
      </w:r>
      <w:r>
        <w:rPr>
          <w:sz w:val="24"/>
        </w:rPr>
        <w:t>circle</w:t>
      </w:r>
      <w:r>
        <w:rPr>
          <w:spacing w:val="40"/>
          <w:sz w:val="24"/>
        </w:rPr>
        <w:t> </w:t>
      </w:r>
      <w:r>
        <w:rPr>
          <w:sz w:val="24"/>
        </w:rPr>
        <w:t>and</w:t>
      </w:r>
      <w:r>
        <w:rPr>
          <w:spacing w:val="40"/>
          <w:sz w:val="24"/>
        </w:rPr>
        <w:t> </w:t>
      </w:r>
      <w:r>
        <w:rPr>
          <w:sz w:val="24"/>
        </w:rPr>
        <w:t>clear</w:t>
      </w:r>
      <w:r>
        <w:rPr>
          <w:spacing w:val="40"/>
          <w:sz w:val="24"/>
        </w:rPr>
        <w:t> </w:t>
      </w:r>
      <w:r>
        <w:rPr>
          <w:sz w:val="24"/>
        </w:rPr>
        <w:t>motorable</w:t>
      </w:r>
      <w:r>
        <w:rPr>
          <w:spacing w:val="40"/>
          <w:sz w:val="24"/>
        </w:rPr>
        <w:t>  </w:t>
      </w:r>
      <w:r>
        <w:rPr>
          <w:sz w:val="24"/>
        </w:rPr>
        <w:t>access</w:t>
      </w:r>
      <w:r>
        <w:rPr>
          <w:spacing w:val="40"/>
          <w:sz w:val="24"/>
        </w:rPr>
        <w:t> </w:t>
      </w:r>
      <w:r>
        <w:rPr>
          <w:sz w:val="24"/>
        </w:rPr>
        <w:t>way</w:t>
      </w:r>
      <w:r>
        <w:rPr>
          <w:spacing w:val="40"/>
          <w:sz w:val="24"/>
        </w:rPr>
        <w:t> </w:t>
      </w:r>
      <w:r>
        <w:rPr>
          <w:sz w:val="24"/>
        </w:rPr>
        <w:t>around</w:t>
      </w:r>
      <w:r>
        <w:rPr>
          <w:spacing w:val="40"/>
          <w:sz w:val="24"/>
        </w:rPr>
        <w:t> </w:t>
      </w:r>
      <w:r>
        <w:rPr>
          <w:sz w:val="24"/>
        </w:rPr>
        <w:t>the </w:t>
      </w:r>
      <w:r>
        <w:rPr>
          <w:spacing w:val="-2"/>
          <w:sz w:val="24"/>
        </w:rPr>
        <w:t>building;</w:t>
      </w:r>
    </w:p>
    <w:p>
      <w:pPr>
        <w:pStyle w:val="ListParagraph"/>
        <w:numPr>
          <w:ilvl w:val="0"/>
          <w:numId w:val="17"/>
        </w:numPr>
        <w:tabs>
          <w:tab w:pos="2213" w:val="left" w:leader="none"/>
        </w:tabs>
        <w:spacing w:line="240" w:lineRule="auto" w:before="0" w:after="0"/>
        <w:ind w:left="2213" w:right="798" w:hanging="360"/>
        <w:jc w:val="both"/>
        <w:rPr>
          <w:sz w:val="24"/>
        </w:rPr>
      </w:pPr>
      <w:r>
        <w:rPr>
          <w:sz w:val="24"/>
        </w:rPr>
        <w:t>Size</w:t>
      </w:r>
      <w:r>
        <w:rPr>
          <w:spacing w:val="40"/>
          <w:sz w:val="24"/>
        </w:rPr>
        <w:t> </w:t>
      </w:r>
      <w:r>
        <w:rPr>
          <w:sz w:val="24"/>
        </w:rPr>
        <w:t>(width)</w:t>
      </w:r>
      <w:r>
        <w:rPr>
          <w:spacing w:val="40"/>
          <w:sz w:val="24"/>
        </w:rPr>
        <w:t> </w:t>
      </w:r>
      <w:r>
        <w:rPr>
          <w:sz w:val="24"/>
        </w:rPr>
        <w:t>of</w:t>
      </w:r>
      <w:r>
        <w:rPr>
          <w:spacing w:val="40"/>
          <w:sz w:val="24"/>
        </w:rPr>
        <w:t> </w:t>
      </w:r>
      <w:r>
        <w:rPr>
          <w:sz w:val="24"/>
        </w:rPr>
        <w:t>main</w:t>
      </w:r>
      <w:r>
        <w:rPr>
          <w:spacing w:val="40"/>
          <w:sz w:val="24"/>
        </w:rPr>
        <w:t> </w:t>
      </w:r>
      <w:r>
        <w:rPr>
          <w:sz w:val="24"/>
        </w:rPr>
        <w:t>and</w:t>
      </w:r>
      <w:r>
        <w:rPr>
          <w:spacing w:val="40"/>
          <w:sz w:val="24"/>
        </w:rPr>
        <w:t> </w:t>
      </w:r>
      <w:r>
        <w:rPr>
          <w:sz w:val="24"/>
        </w:rPr>
        <w:t>alternate</w:t>
      </w:r>
      <w:r>
        <w:rPr>
          <w:spacing w:val="40"/>
          <w:sz w:val="24"/>
        </w:rPr>
        <w:t> </w:t>
      </w:r>
      <w:r>
        <w:rPr>
          <w:sz w:val="24"/>
        </w:rPr>
        <w:t>staircases</w:t>
      </w:r>
      <w:r>
        <w:rPr>
          <w:spacing w:val="40"/>
          <w:sz w:val="24"/>
        </w:rPr>
        <w:t> </w:t>
      </w:r>
      <w:r>
        <w:rPr>
          <w:sz w:val="24"/>
        </w:rPr>
        <w:t>along</w:t>
      </w:r>
      <w:r>
        <w:rPr>
          <w:spacing w:val="40"/>
          <w:sz w:val="24"/>
        </w:rPr>
        <w:t> </w:t>
      </w:r>
      <w:r>
        <w:rPr>
          <w:sz w:val="24"/>
        </w:rPr>
        <w:t>with</w:t>
      </w:r>
      <w:r>
        <w:rPr>
          <w:spacing w:val="40"/>
          <w:sz w:val="24"/>
        </w:rPr>
        <w:t> </w:t>
      </w:r>
      <w:r>
        <w:rPr>
          <w:sz w:val="24"/>
        </w:rPr>
        <w:t>the balcony</w:t>
      </w:r>
      <w:r>
        <w:rPr>
          <w:spacing w:val="80"/>
          <w:sz w:val="24"/>
        </w:rPr>
        <w:t> </w:t>
      </w:r>
      <w:r>
        <w:rPr>
          <w:sz w:val="24"/>
        </w:rPr>
        <w:t>approach,</w:t>
      </w:r>
      <w:r>
        <w:rPr>
          <w:spacing w:val="80"/>
          <w:sz w:val="24"/>
        </w:rPr>
        <w:t> </w:t>
      </w:r>
      <w:r>
        <w:rPr>
          <w:sz w:val="24"/>
        </w:rPr>
        <w:t>corridor,</w:t>
      </w:r>
      <w:r>
        <w:rPr>
          <w:spacing w:val="80"/>
          <w:sz w:val="24"/>
        </w:rPr>
        <w:t> </w:t>
      </w:r>
      <w:r>
        <w:rPr>
          <w:sz w:val="24"/>
        </w:rPr>
        <w:t>ventilated</w:t>
      </w:r>
      <w:r>
        <w:rPr>
          <w:spacing w:val="80"/>
          <w:sz w:val="24"/>
        </w:rPr>
        <w:t> </w:t>
      </w:r>
      <w:r>
        <w:rPr>
          <w:sz w:val="24"/>
        </w:rPr>
        <w:t>lobby</w:t>
      </w:r>
      <w:r>
        <w:rPr>
          <w:spacing w:val="80"/>
          <w:sz w:val="24"/>
        </w:rPr>
        <w:t> </w:t>
      </w:r>
      <w:r>
        <w:rPr>
          <w:spacing w:val="9"/>
          <w:sz w:val="24"/>
        </w:rPr>
        <w:t>approach;</w:t>
      </w:r>
    </w:p>
    <w:p>
      <w:pPr>
        <w:pStyle w:val="ListParagraph"/>
        <w:numPr>
          <w:ilvl w:val="0"/>
          <w:numId w:val="17"/>
        </w:numPr>
        <w:tabs>
          <w:tab w:pos="2211" w:val="left" w:leader="none"/>
        </w:tabs>
        <w:spacing w:line="281" w:lineRule="exact" w:before="0" w:after="0"/>
        <w:ind w:left="2211" w:right="0" w:hanging="358"/>
        <w:jc w:val="left"/>
        <w:rPr>
          <w:sz w:val="24"/>
        </w:rPr>
      </w:pPr>
      <w:r>
        <w:rPr>
          <w:sz w:val="24"/>
        </w:rPr>
        <w:t>Location</w:t>
      </w:r>
      <w:r>
        <w:rPr>
          <w:spacing w:val="54"/>
          <w:sz w:val="24"/>
        </w:rPr>
        <w:t> </w:t>
      </w:r>
      <w:r>
        <w:rPr>
          <w:sz w:val="24"/>
        </w:rPr>
        <w:t>and</w:t>
      </w:r>
      <w:r>
        <w:rPr>
          <w:spacing w:val="54"/>
          <w:sz w:val="24"/>
        </w:rPr>
        <w:t> </w:t>
      </w:r>
      <w:r>
        <w:rPr>
          <w:sz w:val="24"/>
        </w:rPr>
        <w:t>details</w:t>
      </w:r>
      <w:r>
        <w:rPr>
          <w:spacing w:val="53"/>
          <w:sz w:val="24"/>
        </w:rPr>
        <w:t> </w:t>
      </w:r>
      <w:r>
        <w:rPr>
          <w:sz w:val="24"/>
        </w:rPr>
        <w:t>of</w:t>
      </w:r>
      <w:r>
        <w:rPr>
          <w:spacing w:val="54"/>
          <w:sz w:val="24"/>
        </w:rPr>
        <w:t> </w:t>
      </w:r>
      <w:r>
        <w:rPr>
          <w:sz w:val="24"/>
        </w:rPr>
        <w:t>lift</w:t>
      </w:r>
      <w:r>
        <w:rPr>
          <w:spacing w:val="57"/>
          <w:sz w:val="24"/>
        </w:rPr>
        <w:t> </w:t>
      </w:r>
      <w:r>
        <w:rPr>
          <w:spacing w:val="7"/>
          <w:sz w:val="24"/>
        </w:rPr>
        <w:t>enclosures;</w:t>
      </w:r>
    </w:p>
    <w:p>
      <w:pPr>
        <w:pStyle w:val="ListParagraph"/>
        <w:numPr>
          <w:ilvl w:val="0"/>
          <w:numId w:val="17"/>
        </w:numPr>
        <w:tabs>
          <w:tab w:pos="2211" w:val="left" w:leader="none"/>
        </w:tabs>
        <w:spacing w:line="281" w:lineRule="exact" w:before="0" w:after="0"/>
        <w:ind w:left="2211" w:right="0" w:hanging="358"/>
        <w:jc w:val="left"/>
        <w:rPr>
          <w:sz w:val="24"/>
        </w:rPr>
      </w:pPr>
      <w:r>
        <w:rPr>
          <w:sz w:val="24"/>
        </w:rPr>
        <w:t>Location</w:t>
      </w:r>
      <w:r>
        <w:rPr>
          <w:spacing w:val="49"/>
          <w:sz w:val="24"/>
        </w:rPr>
        <w:t> </w:t>
      </w:r>
      <w:r>
        <w:rPr>
          <w:sz w:val="24"/>
        </w:rPr>
        <w:t>and</w:t>
      </w:r>
      <w:r>
        <w:rPr>
          <w:spacing w:val="48"/>
          <w:sz w:val="24"/>
        </w:rPr>
        <w:t> </w:t>
      </w:r>
      <w:r>
        <w:rPr>
          <w:sz w:val="24"/>
        </w:rPr>
        <w:t>size</w:t>
      </w:r>
      <w:r>
        <w:rPr>
          <w:spacing w:val="49"/>
          <w:sz w:val="24"/>
        </w:rPr>
        <w:t> </w:t>
      </w:r>
      <w:r>
        <w:rPr>
          <w:sz w:val="24"/>
        </w:rPr>
        <w:t>of</w:t>
      </w:r>
      <w:r>
        <w:rPr>
          <w:spacing w:val="48"/>
          <w:sz w:val="24"/>
        </w:rPr>
        <w:t> </w:t>
      </w:r>
      <w:r>
        <w:rPr>
          <w:sz w:val="24"/>
        </w:rPr>
        <w:t>fire</w:t>
      </w:r>
      <w:r>
        <w:rPr>
          <w:spacing w:val="49"/>
          <w:sz w:val="24"/>
        </w:rPr>
        <w:t> </w:t>
      </w:r>
      <w:r>
        <w:rPr>
          <w:spacing w:val="5"/>
          <w:sz w:val="24"/>
        </w:rPr>
        <w:t>lift;</w:t>
      </w:r>
    </w:p>
    <w:p>
      <w:pPr>
        <w:pStyle w:val="ListParagraph"/>
        <w:numPr>
          <w:ilvl w:val="0"/>
          <w:numId w:val="17"/>
        </w:numPr>
        <w:tabs>
          <w:tab w:pos="2212" w:val="left" w:leader="none"/>
        </w:tabs>
        <w:spacing w:line="281" w:lineRule="exact" w:before="2" w:after="0"/>
        <w:ind w:left="2212" w:right="0" w:hanging="359"/>
        <w:jc w:val="left"/>
        <w:rPr>
          <w:sz w:val="24"/>
        </w:rPr>
      </w:pPr>
      <w:r>
        <w:rPr>
          <w:sz w:val="24"/>
        </w:rPr>
        <w:t>Smoke</w:t>
      </w:r>
      <w:r>
        <w:rPr>
          <w:spacing w:val="65"/>
          <w:sz w:val="24"/>
        </w:rPr>
        <w:t> </w:t>
      </w:r>
      <w:r>
        <w:rPr>
          <w:sz w:val="24"/>
        </w:rPr>
        <w:t>stop</w:t>
      </w:r>
      <w:r>
        <w:rPr>
          <w:spacing w:val="66"/>
          <w:sz w:val="24"/>
        </w:rPr>
        <w:t> </w:t>
      </w:r>
      <w:r>
        <w:rPr>
          <w:sz w:val="24"/>
        </w:rPr>
        <w:t>lobby</w:t>
      </w:r>
      <w:r>
        <w:rPr>
          <w:spacing w:val="68"/>
          <w:sz w:val="24"/>
        </w:rPr>
        <w:t> </w:t>
      </w:r>
      <w:r>
        <w:rPr>
          <w:sz w:val="24"/>
        </w:rPr>
        <w:t>door/Fire</w:t>
      </w:r>
      <w:r>
        <w:rPr>
          <w:spacing w:val="64"/>
          <w:sz w:val="24"/>
        </w:rPr>
        <w:t> </w:t>
      </w:r>
      <w:r>
        <w:rPr>
          <w:sz w:val="24"/>
        </w:rPr>
        <w:t>resistant</w:t>
      </w:r>
      <w:r>
        <w:rPr>
          <w:spacing w:val="68"/>
          <w:sz w:val="24"/>
        </w:rPr>
        <w:t> </w:t>
      </w:r>
      <w:r>
        <w:rPr>
          <w:sz w:val="24"/>
        </w:rPr>
        <w:t>door,</w:t>
      </w:r>
      <w:r>
        <w:rPr>
          <w:spacing w:val="64"/>
          <w:sz w:val="24"/>
        </w:rPr>
        <w:t> </w:t>
      </w:r>
      <w:r>
        <w:rPr>
          <w:sz w:val="24"/>
        </w:rPr>
        <w:t>where</w:t>
      </w:r>
      <w:r>
        <w:rPr>
          <w:spacing w:val="65"/>
          <w:sz w:val="24"/>
        </w:rPr>
        <w:t> </w:t>
      </w:r>
      <w:r>
        <w:rPr>
          <w:spacing w:val="-2"/>
          <w:sz w:val="24"/>
        </w:rPr>
        <w:t>provided;</w:t>
      </w:r>
    </w:p>
    <w:p>
      <w:pPr>
        <w:pStyle w:val="ListParagraph"/>
        <w:numPr>
          <w:ilvl w:val="0"/>
          <w:numId w:val="17"/>
        </w:numPr>
        <w:tabs>
          <w:tab w:pos="2211" w:val="left" w:leader="none"/>
        </w:tabs>
        <w:spacing w:line="281" w:lineRule="exact" w:before="0" w:after="0"/>
        <w:ind w:left="2211" w:right="0" w:hanging="358"/>
        <w:jc w:val="left"/>
        <w:rPr>
          <w:sz w:val="24"/>
        </w:rPr>
      </w:pPr>
      <w:r>
        <w:rPr>
          <w:sz w:val="24"/>
        </w:rPr>
        <w:t>Refuse</w:t>
      </w:r>
      <w:r>
        <w:rPr>
          <w:spacing w:val="64"/>
          <w:sz w:val="24"/>
        </w:rPr>
        <w:t> </w:t>
      </w:r>
      <w:r>
        <w:rPr>
          <w:sz w:val="24"/>
        </w:rPr>
        <w:t>chutes,</w:t>
      </w:r>
      <w:r>
        <w:rPr>
          <w:spacing w:val="58"/>
          <w:sz w:val="24"/>
        </w:rPr>
        <w:t>  </w:t>
      </w:r>
      <w:r>
        <w:rPr>
          <w:sz w:val="24"/>
        </w:rPr>
        <w:t>refuse</w:t>
      </w:r>
      <w:r>
        <w:rPr>
          <w:spacing w:val="64"/>
          <w:sz w:val="24"/>
        </w:rPr>
        <w:t> </w:t>
      </w:r>
      <w:r>
        <w:rPr>
          <w:sz w:val="24"/>
        </w:rPr>
        <w:t>chamber,</w:t>
      </w:r>
      <w:r>
        <w:rPr>
          <w:spacing w:val="63"/>
          <w:sz w:val="24"/>
        </w:rPr>
        <w:t> </w:t>
      </w:r>
      <w:r>
        <w:rPr>
          <w:sz w:val="24"/>
        </w:rPr>
        <w:t>service</w:t>
      </w:r>
      <w:r>
        <w:rPr>
          <w:spacing w:val="63"/>
          <w:sz w:val="24"/>
        </w:rPr>
        <w:t> </w:t>
      </w:r>
      <w:r>
        <w:rPr>
          <w:sz w:val="24"/>
        </w:rPr>
        <w:t>duct,</w:t>
      </w:r>
      <w:r>
        <w:rPr>
          <w:spacing w:val="68"/>
          <w:sz w:val="24"/>
        </w:rPr>
        <w:t> </w:t>
      </w:r>
      <w:r>
        <w:rPr>
          <w:spacing w:val="-4"/>
          <w:sz w:val="24"/>
        </w:rPr>
        <w:t>etc.</w:t>
      </w:r>
    </w:p>
    <w:p>
      <w:pPr>
        <w:pStyle w:val="ListParagraph"/>
        <w:numPr>
          <w:ilvl w:val="0"/>
          <w:numId w:val="17"/>
        </w:numPr>
        <w:tabs>
          <w:tab w:pos="2211" w:val="left" w:leader="none"/>
        </w:tabs>
        <w:spacing w:line="281" w:lineRule="exact" w:before="0" w:after="0"/>
        <w:ind w:left="2211" w:right="0" w:hanging="358"/>
        <w:jc w:val="left"/>
        <w:rPr>
          <w:sz w:val="24"/>
        </w:rPr>
      </w:pPr>
      <w:r>
        <w:rPr>
          <w:sz w:val="24"/>
        </w:rPr>
        <w:t>Vehicular</w:t>
      </w:r>
      <w:r>
        <w:rPr>
          <w:spacing w:val="65"/>
          <w:sz w:val="24"/>
        </w:rPr>
        <w:t> </w:t>
      </w:r>
      <w:r>
        <w:rPr>
          <w:sz w:val="24"/>
        </w:rPr>
        <w:t>loading</w:t>
      </w:r>
      <w:r>
        <w:rPr>
          <w:spacing w:val="70"/>
          <w:sz w:val="24"/>
        </w:rPr>
        <w:t> </w:t>
      </w:r>
      <w:r>
        <w:rPr>
          <w:sz w:val="24"/>
        </w:rPr>
        <w:t>and</w:t>
      </w:r>
      <w:r>
        <w:rPr>
          <w:spacing w:val="67"/>
          <w:sz w:val="24"/>
        </w:rPr>
        <w:t> </w:t>
      </w:r>
      <w:r>
        <w:rPr>
          <w:sz w:val="24"/>
        </w:rPr>
        <w:t>unloading</w:t>
      </w:r>
      <w:r>
        <w:rPr>
          <w:spacing w:val="73"/>
          <w:sz w:val="24"/>
        </w:rPr>
        <w:t> </w:t>
      </w:r>
      <w:r>
        <w:rPr>
          <w:sz w:val="24"/>
        </w:rPr>
        <w:t>and</w:t>
      </w:r>
      <w:r>
        <w:rPr>
          <w:spacing w:val="70"/>
          <w:sz w:val="24"/>
        </w:rPr>
        <w:t> </w:t>
      </w:r>
      <w:r>
        <w:rPr>
          <w:sz w:val="24"/>
        </w:rPr>
        <w:t>parking</w:t>
      </w:r>
      <w:r>
        <w:rPr>
          <w:spacing w:val="71"/>
          <w:sz w:val="24"/>
        </w:rPr>
        <w:t> </w:t>
      </w:r>
      <w:r>
        <w:rPr>
          <w:spacing w:val="-2"/>
          <w:sz w:val="24"/>
        </w:rPr>
        <w:t>spaces;</w:t>
      </w:r>
    </w:p>
    <w:p>
      <w:pPr>
        <w:pStyle w:val="ListParagraph"/>
        <w:numPr>
          <w:ilvl w:val="0"/>
          <w:numId w:val="17"/>
        </w:numPr>
        <w:tabs>
          <w:tab w:pos="2212" w:val="left" w:leader="none"/>
        </w:tabs>
        <w:spacing w:line="281" w:lineRule="exact" w:before="1" w:after="0"/>
        <w:ind w:left="2212" w:right="0" w:hanging="359"/>
        <w:jc w:val="left"/>
        <w:rPr>
          <w:sz w:val="24"/>
        </w:rPr>
      </w:pPr>
      <w:r>
        <w:rPr>
          <w:sz w:val="24"/>
        </w:rPr>
        <w:t>Refuse</w:t>
      </w:r>
      <w:r>
        <w:rPr>
          <w:spacing w:val="46"/>
          <w:sz w:val="24"/>
        </w:rPr>
        <w:t> </w:t>
      </w:r>
      <w:r>
        <w:rPr>
          <w:sz w:val="24"/>
        </w:rPr>
        <w:t>area</w:t>
      </w:r>
      <w:r>
        <w:rPr>
          <w:spacing w:val="46"/>
          <w:sz w:val="24"/>
        </w:rPr>
        <w:t> </w:t>
      </w:r>
      <w:r>
        <w:rPr>
          <w:sz w:val="24"/>
        </w:rPr>
        <w:t>if</w:t>
      </w:r>
      <w:r>
        <w:rPr>
          <w:spacing w:val="50"/>
          <w:sz w:val="24"/>
        </w:rPr>
        <w:t> </w:t>
      </w:r>
      <w:r>
        <w:rPr>
          <w:spacing w:val="-4"/>
          <w:sz w:val="24"/>
        </w:rPr>
        <w:t>any;</w:t>
      </w:r>
    </w:p>
    <w:p>
      <w:pPr>
        <w:pStyle w:val="ListParagraph"/>
        <w:numPr>
          <w:ilvl w:val="0"/>
          <w:numId w:val="17"/>
        </w:numPr>
        <w:tabs>
          <w:tab w:pos="2211" w:val="left" w:leader="none"/>
          <w:tab w:pos="2213" w:val="left" w:leader="none"/>
        </w:tabs>
        <w:spacing w:line="240" w:lineRule="auto" w:before="0" w:after="0"/>
        <w:ind w:left="2213" w:right="773" w:hanging="360"/>
        <w:jc w:val="both"/>
        <w:rPr>
          <w:sz w:val="24"/>
        </w:rPr>
      </w:pPr>
      <w:r>
        <w:rPr>
          <w:sz w:val="24"/>
        </w:rPr>
        <w:t>Details of </w:t>
      </w:r>
      <w:r>
        <w:rPr>
          <w:spacing w:val="10"/>
          <w:sz w:val="24"/>
        </w:rPr>
        <w:t>air-</w:t>
      </w:r>
      <w:r>
        <w:rPr>
          <w:sz w:val="24"/>
        </w:rPr>
        <w:t>conditioning system with position of fire dampers, mechanical</w:t>
      </w:r>
      <w:r>
        <w:rPr>
          <w:spacing w:val="80"/>
          <w:sz w:val="24"/>
        </w:rPr>
        <w:t> </w:t>
      </w:r>
      <w:r>
        <w:rPr>
          <w:sz w:val="24"/>
        </w:rPr>
        <w:t>ventilation</w:t>
      </w:r>
      <w:r>
        <w:rPr>
          <w:spacing w:val="80"/>
          <w:sz w:val="24"/>
        </w:rPr>
        <w:t> </w:t>
      </w:r>
      <w:r>
        <w:rPr>
          <w:sz w:val="24"/>
        </w:rPr>
        <w:t>system,</w:t>
      </w:r>
      <w:r>
        <w:rPr>
          <w:spacing w:val="80"/>
          <w:sz w:val="24"/>
        </w:rPr>
        <w:t> </w:t>
      </w:r>
      <w:r>
        <w:rPr>
          <w:sz w:val="24"/>
        </w:rPr>
        <w:t>electrical</w:t>
      </w:r>
      <w:r>
        <w:rPr>
          <w:spacing w:val="80"/>
          <w:sz w:val="24"/>
        </w:rPr>
        <w:t> </w:t>
      </w:r>
      <w:r>
        <w:rPr>
          <w:sz w:val="24"/>
        </w:rPr>
        <w:t>services</w:t>
      </w:r>
      <w:r>
        <w:rPr>
          <w:spacing w:val="80"/>
          <w:sz w:val="24"/>
        </w:rPr>
        <w:t> </w:t>
      </w:r>
      <w:r>
        <w:rPr>
          <w:sz w:val="24"/>
        </w:rPr>
        <w:t>(with</w:t>
      </w:r>
      <w:r>
        <w:rPr>
          <w:spacing w:val="40"/>
          <w:sz w:val="24"/>
        </w:rPr>
        <w:t> </w:t>
      </w:r>
      <w:r>
        <w:rPr>
          <w:sz w:val="24"/>
        </w:rPr>
        <w:t>dimensions</w:t>
      </w:r>
      <w:r>
        <w:rPr>
          <w:spacing w:val="80"/>
          <w:sz w:val="24"/>
        </w:rPr>
        <w:t> </w:t>
      </w:r>
      <w:r>
        <w:rPr>
          <w:sz w:val="24"/>
        </w:rPr>
        <w:t>of</w:t>
      </w:r>
      <w:r>
        <w:rPr>
          <w:spacing w:val="80"/>
          <w:sz w:val="24"/>
        </w:rPr>
        <w:t> </w:t>
      </w:r>
      <w:r>
        <w:rPr>
          <w:sz w:val="24"/>
        </w:rPr>
        <w:t>electrical</w:t>
      </w:r>
      <w:r>
        <w:rPr>
          <w:spacing w:val="80"/>
          <w:sz w:val="24"/>
        </w:rPr>
        <w:t> </w:t>
      </w:r>
      <w:r>
        <w:rPr>
          <w:sz w:val="24"/>
        </w:rPr>
        <w:t>transforming</w:t>
      </w:r>
      <w:r>
        <w:rPr>
          <w:spacing w:val="80"/>
          <w:sz w:val="24"/>
        </w:rPr>
        <w:t> </w:t>
      </w:r>
      <w:r>
        <w:rPr>
          <w:spacing w:val="9"/>
          <w:sz w:val="24"/>
        </w:rPr>
        <w:t>sub-</w:t>
      </w:r>
      <w:r>
        <w:rPr>
          <w:sz w:val="24"/>
        </w:rPr>
        <w:t>stations</w:t>
      </w:r>
      <w:r>
        <w:rPr>
          <w:spacing w:val="80"/>
          <w:sz w:val="24"/>
        </w:rPr>
        <w:t> </w:t>
      </w:r>
      <w:r>
        <w:rPr>
          <w:sz w:val="24"/>
        </w:rPr>
        <w:t>etc.)</w:t>
      </w:r>
      <w:r>
        <w:rPr>
          <w:spacing w:val="80"/>
          <w:sz w:val="24"/>
        </w:rPr>
        <w:t> </w:t>
      </w:r>
      <w:r>
        <w:rPr>
          <w:sz w:val="24"/>
        </w:rPr>
        <w:t>boilers, gas</w:t>
      </w:r>
      <w:r>
        <w:rPr>
          <w:spacing w:val="40"/>
          <w:sz w:val="24"/>
        </w:rPr>
        <w:t> </w:t>
      </w:r>
      <w:r>
        <w:rPr>
          <w:sz w:val="24"/>
        </w:rPr>
        <w:t>pipes,</w:t>
      </w:r>
      <w:r>
        <w:rPr>
          <w:spacing w:val="40"/>
          <w:sz w:val="24"/>
        </w:rPr>
        <w:t> </w:t>
      </w:r>
      <w:r>
        <w:rPr>
          <w:sz w:val="24"/>
        </w:rPr>
        <w:t>meter</w:t>
      </w:r>
      <w:r>
        <w:rPr>
          <w:spacing w:val="40"/>
          <w:sz w:val="24"/>
        </w:rPr>
        <w:t> </w:t>
      </w:r>
      <w:r>
        <w:rPr>
          <w:sz w:val="24"/>
        </w:rPr>
        <w:t>rooms</w:t>
      </w:r>
      <w:r>
        <w:rPr>
          <w:spacing w:val="40"/>
          <w:sz w:val="24"/>
        </w:rPr>
        <w:t> </w:t>
      </w:r>
      <w:r>
        <w:rPr>
          <w:sz w:val="24"/>
        </w:rPr>
        <w:t>etc.;</w:t>
      </w:r>
    </w:p>
    <w:p>
      <w:pPr>
        <w:pStyle w:val="ListParagraph"/>
        <w:numPr>
          <w:ilvl w:val="0"/>
          <w:numId w:val="17"/>
        </w:numPr>
        <w:tabs>
          <w:tab w:pos="2211" w:val="left" w:leader="none"/>
          <w:tab w:pos="2213" w:val="left" w:leader="none"/>
        </w:tabs>
        <w:spacing w:line="240" w:lineRule="auto" w:before="1" w:after="0"/>
        <w:ind w:left="2213" w:right="776" w:hanging="360"/>
        <w:jc w:val="both"/>
        <w:rPr>
          <w:sz w:val="24"/>
        </w:rPr>
      </w:pPr>
      <w:r>
        <w:rPr>
          <w:sz w:val="24"/>
        </w:rPr>
        <w:t>Details</w:t>
      </w:r>
      <w:r>
        <w:rPr>
          <w:spacing w:val="40"/>
          <w:sz w:val="24"/>
        </w:rPr>
        <w:t> </w:t>
      </w:r>
      <w:r>
        <w:rPr>
          <w:sz w:val="24"/>
        </w:rPr>
        <w:t>of</w:t>
      </w:r>
      <w:r>
        <w:rPr>
          <w:spacing w:val="40"/>
          <w:sz w:val="24"/>
        </w:rPr>
        <w:t> </w:t>
      </w:r>
      <w:r>
        <w:rPr>
          <w:sz w:val="24"/>
        </w:rPr>
        <w:t>exits,</w:t>
      </w:r>
      <w:r>
        <w:rPr>
          <w:spacing w:val="40"/>
          <w:sz w:val="24"/>
        </w:rPr>
        <w:t> </w:t>
      </w:r>
      <w:r>
        <w:rPr>
          <w:sz w:val="24"/>
        </w:rPr>
        <w:t>including</w:t>
      </w:r>
      <w:r>
        <w:rPr>
          <w:spacing w:val="40"/>
          <w:sz w:val="24"/>
        </w:rPr>
        <w:t> </w:t>
      </w:r>
      <w:r>
        <w:rPr>
          <w:sz w:val="24"/>
        </w:rPr>
        <w:t>ramps,</w:t>
      </w:r>
      <w:r>
        <w:rPr>
          <w:spacing w:val="40"/>
          <w:sz w:val="24"/>
        </w:rPr>
        <w:t> </w:t>
      </w:r>
      <w:r>
        <w:rPr>
          <w:sz w:val="24"/>
        </w:rPr>
        <w:t>etc.</w:t>
      </w:r>
      <w:r>
        <w:rPr>
          <w:spacing w:val="40"/>
          <w:sz w:val="24"/>
        </w:rPr>
        <w:t> </w:t>
      </w:r>
      <w:r>
        <w:rPr>
          <w:sz w:val="24"/>
        </w:rPr>
        <w:t>for</w:t>
      </w:r>
      <w:r>
        <w:rPr>
          <w:spacing w:val="40"/>
          <w:sz w:val="24"/>
        </w:rPr>
        <w:t> </w:t>
      </w:r>
      <w:r>
        <w:rPr>
          <w:sz w:val="24"/>
        </w:rPr>
        <w:t>hospitals</w:t>
      </w:r>
      <w:r>
        <w:rPr>
          <w:spacing w:val="40"/>
          <w:sz w:val="24"/>
        </w:rPr>
        <w:t> </w:t>
      </w:r>
      <w:r>
        <w:rPr>
          <w:sz w:val="24"/>
        </w:rPr>
        <w:t>and</w:t>
      </w:r>
      <w:r>
        <w:rPr>
          <w:spacing w:val="40"/>
          <w:sz w:val="24"/>
        </w:rPr>
        <w:t> </w:t>
      </w:r>
      <w:r>
        <w:rPr>
          <w:sz w:val="24"/>
        </w:rPr>
        <w:t>special </w:t>
      </w:r>
      <w:r>
        <w:rPr>
          <w:spacing w:val="-2"/>
          <w:sz w:val="24"/>
        </w:rPr>
        <w:t>risks;</w:t>
      </w:r>
    </w:p>
    <w:p>
      <w:pPr>
        <w:pStyle w:val="ListParagraph"/>
        <w:numPr>
          <w:ilvl w:val="0"/>
          <w:numId w:val="17"/>
        </w:numPr>
        <w:tabs>
          <w:tab w:pos="2212" w:val="left" w:leader="none"/>
        </w:tabs>
        <w:spacing w:line="280" w:lineRule="exact" w:before="0" w:after="0"/>
        <w:ind w:left="2212" w:right="0" w:hanging="359"/>
        <w:jc w:val="left"/>
        <w:rPr>
          <w:sz w:val="24"/>
        </w:rPr>
      </w:pPr>
      <w:r>
        <w:rPr>
          <w:sz w:val="24"/>
        </w:rPr>
        <w:t>Location</w:t>
      </w:r>
      <w:r>
        <w:rPr>
          <w:spacing w:val="68"/>
          <w:sz w:val="24"/>
        </w:rPr>
        <w:t> </w:t>
      </w:r>
      <w:r>
        <w:rPr>
          <w:sz w:val="24"/>
        </w:rPr>
        <w:t>of</w:t>
      </w:r>
      <w:r>
        <w:rPr>
          <w:spacing w:val="68"/>
          <w:sz w:val="24"/>
        </w:rPr>
        <w:t> </w:t>
      </w:r>
      <w:r>
        <w:rPr>
          <w:sz w:val="24"/>
        </w:rPr>
        <w:t>generator,</w:t>
      </w:r>
      <w:r>
        <w:rPr>
          <w:spacing w:val="68"/>
          <w:sz w:val="24"/>
        </w:rPr>
        <w:t> </w:t>
      </w:r>
      <w:r>
        <w:rPr>
          <w:sz w:val="24"/>
        </w:rPr>
        <w:t>transformer</w:t>
      </w:r>
      <w:r>
        <w:rPr>
          <w:spacing w:val="67"/>
          <w:sz w:val="24"/>
        </w:rPr>
        <w:t> </w:t>
      </w:r>
      <w:r>
        <w:rPr>
          <w:sz w:val="24"/>
        </w:rPr>
        <w:t>and</w:t>
      </w:r>
      <w:r>
        <w:rPr>
          <w:spacing w:val="68"/>
          <w:sz w:val="24"/>
        </w:rPr>
        <w:t> </w:t>
      </w:r>
      <w:r>
        <w:rPr>
          <w:sz w:val="24"/>
        </w:rPr>
        <w:t>switch</w:t>
      </w:r>
      <w:r>
        <w:rPr>
          <w:spacing w:val="71"/>
          <w:sz w:val="24"/>
        </w:rPr>
        <w:t> </w:t>
      </w:r>
      <w:r>
        <w:rPr>
          <w:sz w:val="24"/>
        </w:rPr>
        <w:t>gear</w:t>
      </w:r>
      <w:r>
        <w:rPr>
          <w:spacing w:val="68"/>
          <w:sz w:val="24"/>
        </w:rPr>
        <w:t> </w:t>
      </w:r>
      <w:r>
        <w:rPr>
          <w:spacing w:val="-2"/>
          <w:sz w:val="24"/>
        </w:rPr>
        <w:t>room;</w:t>
      </w:r>
    </w:p>
    <w:p>
      <w:pPr>
        <w:pStyle w:val="ListParagraph"/>
        <w:numPr>
          <w:ilvl w:val="0"/>
          <w:numId w:val="17"/>
        </w:numPr>
        <w:tabs>
          <w:tab w:pos="2211" w:val="left" w:leader="none"/>
        </w:tabs>
        <w:spacing w:line="281" w:lineRule="exact" w:before="2" w:after="0"/>
        <w:ind w:left="2211" w:right="0" w:hanging="358"/>
        <w:jc w:val="left"/>
        <w:rPr>
          <w:sz w:val="24"/>
        </w:rPr>
      </w:pPr>
      <w:r>
        <w:rPr>
          <w:sz w:val="24"/>
        </w:rPr>
        <w:t>Smoke</w:t>
      </w:r>
      <w:r>
        <w:rPr>
          <w:spacing w:val="60"/>
          <w:sz w:val="24"/>
        </w:rPr>
        <w:t> </w:t>
      </w:r>
      <w:r>
        <w:rPr>
          <w:sz w:val="24"/>
        </w:rPr>
        <w:t>exhaust</w:t>
      </w:r>
      <w:r>
        <w:rPr>
          <w:spacing w:val="63"/>
          <w:sz w:val="24"/>
        </w:rPr>
        <w:t> </w:t>
      </w:r>
      <w:r>
        <w:rPr>
          <w:sz w:val="24"/>
        </w:rPr>
        <w:t>systems,</w:t>
      </w:r>
      <w:r>
        <w:rPr>
          <w:spacing w:val="58"/>
          <w:sz w:val="24"/>
        </w:rPr>
        <w:t> </w:t>
      </w:r>
      <w:r>
        <w:rPr>
          <w:sz w:val="24"/>
        </w:rPr>
        <w:t>if</w:t>
      </w:r>
      <w:r>
        <w:rPr>
          <w:spacing w:val="64"/>
          <w:sz w:val="24"/>
        </w:rPr>
        <w:t> </w:t>
      </w:r>
      <w:r>
        <w:rPr>
          <w:spacing w:val="-4"/>
          <w:sz w:val="24"/>
        </w:rPr>
        <w:t>any;</w:t>
      </w:r>
    </w:p>
    <w:p>
      <w:pPr>
        <w:pStyle w:val="ListParagraph"/>
        <w:numPr>
          <w:ilvl w:val="0"/>
          <w:numId w:val="17"/>
        </w:numPr>
        <w:tabs>
          <w:tab w:pos="2211" w:val="left" w:leader="none"/>
        </w:tabs>
        <w:spacing w:line="281" w:lineRule="exact" w:before="0" w:after="0"/>
        <w:ind w:left="2211" w:right="0" w:hanging="358"/>
        <w:jc w:val="left"/>
        <w:rPr>
          <w:sz w:val="24"/>
        </w:rPr>
      </w:pPr>
      <w:r>
        <w:rPr>
          <w:sz w:val="24"/>
        </w:rPr>
        <w:t>Details</w:t>
      </w:r>
      <w:r>
        <w:rPr>
          <w:spacing w:val="51"/>
          <w:sz w:val="24"/>
        </w:rPr>
        <w:t> </w:t>
      </w:r>
      <w:r>
        <w:rPr>
          <w:sz w:val="24"/>
        </w:rPr>
        <w:t>of</w:t>
      </w:r>
      <w:r>
        <w:rPr>
          <w:spacing w:val="51"/>
          <w:sz w:val="24"/>
        </w:rPr>
        <w:t> </w:t>
      </w:r>
      <w:r>
        <w:rPr>
          <w:sz w:val="24"/>
        </w:rPr>
        <w:t>fire</w:t>
      </w:r>
      <w:r>
        <w:rPr>
          <w:spacing w:val="54"/>
          <w:sz w:val="24"/>
        </w:rPr>
        <w:t> </w:t>
      </w:r>
      <w:r>
        <w:rPr>
          <w:sz w:val="24"/>
        </w:rPr>
        <w:t>alarm</w:t>
      </w:r>
      <w:r>
        <w:rPr>
          <w:spacing w:val="52"/>
          <w:sz w:val="24"/>
        </w:rPr>
        <w:t> </w:t>
      </w:r>
      <w:r>
        <w:rPr>
          <w:spacing w:val="-2"/>
          <w:sz w:val="24"/>
        </w:rPr>
        <w:t>system;</w:t>
      </w:r>
    </w:p>
    <w:p>
      <w:pPr>
        <w:pStyle w:val="ListParagraph"/>
        <w:numPr>
          <w:ilvl w:val="0"/>
          <w:numId w:val="17"/>
        </w:numPr>
        <w:tabs>
          <w:tab w:pos="2211" w:val="left" w:leader="none"/>
          <w:tab w:pos="2213" w:val="left" w:leader="none"/>
        </w:tabs>
        <w:spacing w:line="240" w:lineRule="auto" w:before="1" w:after="0"/>
        <w:ind w:left="2213" w:right="780" w:hanging="360"/>
        <w:jc w:val="both"/>
        <w:rPr>
          <w:sz w:val="24"/>
        </w:rPr>
      </w:pPr>
      <w:r>
        <w:rPr>
          <w:sz w:val="24"/>
        </w:rPr>
        <w:t>Location</w:t>
      </w:r>
      <w:r>
        <w:rPr>
          <w:spacing w:val="80"/>
          <w:sz w:val="24"/>
        </w:rPr>
        <w:t> </w:t>
      </w:r>
      <w:r>
        <w:rPr>
          <w:sz w:val="24"/>
        </w:rPr>
        <w:t>of</w:t>
      </w:r>
      <w:r>
        <w:rPr>
          <w:spacing w:val="80"/>
          <w:sz w:val="24"/>
        </w:rPr>
        <w:t> </w:t>
      </w:r>
      <w:r>
        <w:rPr>
          <w:sz w:val="24"/>
        </w:rPr>
        <w:t>centralized</w:t>
      </w:r>
      <w:r>
        <w:rPr>
          <w:spacing w:val="80"/>
          <w:sz w:val="24"/>
        </w:rPr>
        <w:t> </w:t>
      </w:r>
      <w:r>
        <w:rPr>
          <w:sz w:val="24"/>
        </w:rPr>
        <w:t>control,</w:t>
      </w:r>
      <w:r>
        <w:rPr>
          <w:spacing w:val="40"/>
          <w:sz w:val="24"/>
        </w:rPr>
        <w:t> </w:t>
      </w:r>
      <w:r>
        <w:rPr>
          <w:sz w:val="24"/>
        </w:rPr>
        <w:t>connecting</w:t>
      </w:r>
      <w:r>
        <w:rPr>
          <w:spacing w:val="80"/>
          <w:sz w:val="24"/>
        </w:rPr>
        <w:t> </w:t>
      </w:r>
      <w:r>
        <w:rPr>
          <w:sz w:val="24"/>
        </w:rPr>
        <w:t>all</w:t>
      </w:r>
      <w:r>
        <w:rPr>
          <w:spacing w:val="80"/>
          <w:sz w:val="24"/>
        </w:rPr>
        <w:t> </w:t>
      </w:r>
      <w:r>
        <w:rPr>
          <w:sz w:val="24"/>
        </w:rPr>
        <w:t>fire</w:t>
      </w:r>
      <w:r>
        <w:rPr>
          <w:spacing w:val="80"/>
          <w:sz w:val="24"/>
        </w:rPr>
        <w:t> </w:t>
      </w:r>
      <w:r>
        <w:rPr>
          <w:sz w:val="24"/>
        </w:rPr>
        <w:t>alarms,</w:t>
      </w:r>
      <w:r>
        <w:rPr>
          <w:spacing w:val="40"/>
          <w:sz w:val="24"/>
        </w:rPr>
        <w:t> </w:t>
      </w:r>
      <w:r>
        <w:rPr>
          <w:spacing w:val="9"/>
          <w:sz w:val="24"/>
        </w:rPr>
        <w:t>built- </w:t>
      </w:r>
      <w:r>
        <w:rPr>
          <w:sz w:val="24"/>
        </w:rPr>
        <w:t>in fire protection arrangements and public address system, </w:t>
      </w:r>
      <w:r>
        <w:rPr>
          <w:spacing w:val="9"/>
          <w:sz w:val="24"/>
        </w:rPr>
        <w:t>etc.; </w:t>
      </w:r>
      <w:r>
        <w:rPr>
          <w:sz w:val="24"/>
        </w:rPr>
        <w:t>location</w:t>
      </w:r>
      <w:r>
        <w:rPr>
          <w:spacing w:val="40"/>
          <w:sz w:val="24"/>
        </w:rPr>
        <w:t> </w:t>
      </w:r>
      <w:r>
        <w:rPr>
          <w:sz w:val="24"/>
        </w:rPr>
        <w:t>and</w:t>
      </w:r>
      <w:r>
        <w:rPr>
          <w:spacing w:val="40"/>
          <w:sz w:val="24"/>
        </w:rPr>
        <w:t> </w:t>
      </w:r>
      <w:r>
        <w:rPr>
          <w:sz w:val="24"/>
        </w:rPr>
        <w:t>dimensions</w:t>
      </w:r>
      <w:r>
        <w:rPr>
          <w:spacing w:val="40"/>
          <w:sz w:val="24"/>
        </w:rPr>
        <w:t> </w:t>
      </w:r>
      <w:r>
        <w:rPr>
          <w:sz w:val="24"/>
        </w:rPr>
        <w:t>of</w:t>
      </w:r>
      <w:r>
        <w:rPr>
          <w:spacing w:val="40"/>
          <w:sz w:val="24"/>
        </w:rPr>
        <w:t> </w:t>
      </w:r>
      <w:r>
        <w:rPr>
          <w:sz w:val="24"/>
        </w:rPr>
        <w:t>static</w:t>
      </w:r>
      <w:r>
        <w:rPr>
          <w:spacing w:val="40"/>
          <w:sz w:val="24"/>
        </w:rPr>
        <w:t> </w:t>
      </w:r>
      <w:r>
        <w:rPr>
          <w:sz w:val="24"/>
        </w:rPr>
        <w:t>water</w:t>
      </w:r>
      <w:r>
        <w:rPr>
          <w:spacing w:val="40"/>
          <w:sz w:val="24"/>
        </w:rPr>
        <w:t> </w:t>
      </w:r>
      <w:r>
        <w:rPr>
          <w:sz w:val="24"/>
        </w:rPr>
        <w:t>storage</w:t>
      </w:r>
      <w:r>
        <w:rPr>
          <w:spacing w:val="40"/>
          <w:sz w:val="24"/>
        </w:rPr>
        <w:t> </w:t>
      </w:r>
      <w:r>
        <w:rPr>
          <w:sz w:val="24"/>
        </w:rPr>
        <w:t>tank</w:t>
      </w:r>
      <w:r>
        <w:rPr>
          <w:spacing w:val="40"/>
          <w:sz w:val="24"/>
        </w:rPr>
        <w:t> </w:t>
      </w:r>
      <w:r>
        <w:rPr>
          <w:sz w:val="24"/>
        </w:rPr>
        <w:t>and</w:t>
      </w:r>
      <w:r>
        <w:rPr>
          <w:spacing w:val="40"/>
          <w:sz w:val="24"/>
        </w:rPr>
        <w:t> </w:t>
      </w:r>
      <w:r>
        <w:rPr>
          <w:sz w:val="24"/>
        </w:rPr>
        <w:t>pump room</w:t>
      </w:r>
      <w:r>
        <w:rPr>
          <w:spacing w:val="40"/>
          <w:sz w:val="24"/>
        </w:rPr>
        <w:t> </w:t>
      </w:r>
      <w:r>
        <w:rPr>
          <w:sz w:val="24"/>
        </w:rPr>
        <w:t>along</w:t>
      </w:r>
      <w:r>
        <w:rPr>
          <w:spacing w:val="40"/>
          <w:sz w:val="24"/>
        </w:rPr>
        <w:t> </w:t>
      </w:r>
      <w:r>
        <w:rPr>
          <w:sz w:val="24"/>
        </w:rPr>
        <w:t>with</w:t>
      </w:r>
      <w:r>
        <w:rPr>
          <w:spacing w:val="40"/>
          <w:sz w:val="24"/>
        </w:rPr>
        <w:t> </w:t>
      </w:r>
      <w:r>
        <w:rPr>
          <w:sz w:val="24"/>
        </w:rPr>
        <w:t>fire</w:t>
      </w:r>
      <w:r>
        <w:rPr>
          <w:spacing w:val="40"/>
          <w:sz w:val="24"/>
        </w:rPr>
        <w:t> </w:t>
      </w:r>
      <w:r>
        <w:rPr>
          <w:sz w:val="24"/>
        </w:rPr>
        <w:t>service</w:t>
      </w:r>
      <w:r>
        <w:rPr>
          <w:spacing w:val="40"/>
          <w:sz w:val="24"/>
        </w:rPr>
        <w:t> </w:t>
      </w:r>
      <w:r>
        <w:rPr>
          <w:sz w:val="24"/>
        </w:rPr>
        <w:t>inlets</w:t>
      </w:r>
      <w:r>
        <w:rPr>
          <w:spacing w:val="40"/>
          <w:sz w:val="24"/>
        </w:rPr>
        <w:t> </w:t>
      </w:r>
      <w:r>
        <w:rPr>
          <w:sz w:val="24"/>
        </w:rPr>
        <w:t>for</w:t>
      </w:r>
      <w:r>
        <w:rPr>
          <w:spacing w:val="40"/>
          <w:sz w:val="24"/>
        </w:rPr>
        <w:t> </w:t>
      </w:r>
      <w:r>
        <w:rPr>
          <w:sz w:val="24"/>
        </w:rPr>
        <w:t>mobile</w:t>
      </w:r>
      <w:r>
        <w:rPr>
          <w:spacing w:val="40"/>
          <w:sz w:val="24"/>
        </w:rPr>
        <w:t> </w:t>
      </w:r>
      <w:r>
        <w:rPr>
          <w:sz w:val="24"/>
        </w:rPr>
        <w:t>pump</w:t>
      </w:r>
      <w:r>
        <w:rPr>
          <w:spacing w:val="40"/>
          <w:sz w:val="24"/>
        </w:rPr>
        <w:t> </w:t>
      </w:r>
      <w:r>
        <w:rPr>
          <w:sz w:val="24"/>
        </w:rPr>
        <w:t>and</w:t>
      </w:r>
      <w:r>
        <w:rPr>
          <w:spacing w:val="40"/>
          <w:sz w:val="24"/>
        </w:rPr>
        <w:t> </w:t>
      </w:r>
      <w:r>
        <w:rPr>
          <w:sz w:val="24"/>
        </w:rPr>
        <w:t>water storage tank;</w:t>
      </w:r>
    </w:p>
    <w:p>
      <w:pPr>
        <w:pStyle w:val="ListParagraph"/>
        <w:numPr>
          <w:ilvl w:val="0"/>
          <w:numId w:val="17"/>
        </w:numPr>
        <w:tabs>
          <w:tab w:pos="2211" w:val="left" w:leader="none"/>
          <w:tab w:pos="2213" w:val="left" w:leader="none"/>
        </w:tabs>
        <w:spacing w:line="240" w:lineRule="auto" w:before="0" w:after="0"/>
        <w:ind w:left="2213" w:right="778" w:hanging="360"/>
        <w:jc w:val="both"/>
        <w:rPr>
          <w:sz w:val="24"/>
        </w:rPr>
      </w:pPr>
      <w:r>
        <w:rPr>
          <w:sz w:val="24"/>
        </w:rPr>
        <w:t>Location and details of fixed fire protection installation such as </w:t>
      </w:r>
      <w:r>
        <w:rPr>
          <w:position w:val="2"/>
          <w:sz w:val="24"/>
        </w:rPr>
        <w:t>sprinklers, wet hose reels, drenchers, </w:t>
      </w:r>
      <w:r>
        <w:rPr>
          <w:spacing w:val="10"/>
          <w:position w:val="2"/>
          <w:sz w:val="24"/>
        </w:rPr>
        <w:t>carbon-</w:t>
      </w:r>
      <w:r>
        <w:rPr>
          <w:position w:val="2"/>
          <w:sz w:val="24"/>
        </w:rPr>
        <w:t>dioxide (CO</w:t>
      </w:r>
      <w:r>
        <w:rPr>
          <w:sz w:val="16"/>
        </w:rPr>
        <w:t>2</w:t>
      </w:r>
      <w:r>
        <w:rPr>
          <w:position w:val="2"/>
          <w:sz w:val="24"/>
        </w:rPr>
        <w:t>) </w:t>
      </w:r>
      <w:r>
        <w:rPr>
          <w:sz w:val="24"/>
        </w:rPr>
        <w:t>installations,</w:t>
      </w:r>
      <w:r>
        <w:rPr>
          <w:spacing w:val="40"/>
          <w:sz w:val="24"/>
        </w:rPr>
        <w:t> </w:t>
      </w:r>
      <w:r>
        <w:rPr>
          <w:sz w:val="24"/>
        </w:rPr>
        <w:t>etc.;</w:t>
      </w:r>
      <w:r>
        <w:rPr>
          <w:spacing w:val="40"/>
          <w:sz w:val="24"/>
        </w:rPr>
        <w:t> </w:t>
      </w:r>
      <w:r>
        <w:rPr>
          <w:sz w:val="24"/>
        </w:rPr>
        <w:t>and.</w:t>
      </w:r>
    </w:p>
    <w:p>
      <w:pPr>
        <w:pStyle w:val="BodyText"/>
        <w:tabs>
          <w:tab w:pos="3711" w:val="left" w:leader="none"/>
          <w:tab w:pos="4583" w:val="left" w:leader="none"/>
          <w:tab w:pos="5818" w:val="left" w:leader="none"/>
          <w:tab w:pos="6446" w:val="left" w:leader="none"/>
          <w:tab w:pos="7361" w:val="left" w:leader="none"/>
          <w:tab w:pos="8145" w:val="left" w:leader="none"/>
          <w:tab w:pos="9017" w:val="left" w:leader="none"/>
        </w:tabs>
        <w:spacing w:before="239"/>
        <w:ind w:left="2213" w:right="838" w:hanging="360"/>
        <w:jc w:val="left"/>
      </w:pPr>
      <w:r>
        <w:rPr>
          <w:spacing w:val="-2"/>
        </w:rPr>
        <w:t>aa.Location</w:t>
      </w:r>
      <w:r>
        <w:rPr/>
        <w:tab/>
      </w:r>
      <w:r>
        <w:rPr>
          <w:spacing w:val="-4"/>
        </w:rPr>
        <w:t>and</w:t>
      </w:r>
      <w:r>
        <w:rPr/>
        <w:tab/>
      </w:r>
      <w:r>
        <w:rPr>
          <w:spacing w:val="-2"/>
        </w:rPr>
        <w:t>details</w:t>
      </w:r>
      <w:r>
        <w:rPr/>
        <w:tab/>
      </w:r>
      <w:r>
        <w:rPr>
          <w:spacing w:val="-6"/>
        </w:rPr>
        <w:t>of</w:t>
      </w:r>
      <w:r>
        <w:rPr/>
        <w:tab/>
      </w:r>
      <w:r>
        <w:rPr>
          <w:spacing w:val="-4"/>
        </w:rPr>
        <w:t>first</w:t>
      </w:r>
      <w:r>
        <w:rPr/>
        <w:tab/>
      </w:r>
      <w:r>
        <w:rPr>
          <w:spacing w:val="-4"/>
        </w:rPr>
        <w:t>aid</w:t>
      </w:r>
      <w:r>
        <w:rPr/>
        <w:tab/>
      </w:r>
      <w:r>
        <w:rPr>
          <w:spacing w:val="-4"/>
        </w:rPr>
        <w:t>and</w:t>
      </w:r>
      <w:r>
        <w:rPr/>
        <w:tab/>
      </w:r>
      <w:r>
        <w:rPr>
          <w:spacing w:val="-2"/>
        </w:rPr>
        <w:t>firefighting </w:t>
      </w:r>
      <w:r>
        <w:rPr>
          <w:spacing w:val="7"/>
        </w:rPr>
        <w:t>equipment/installations.</w:t>
      </w:r>
    </w:p>
    <w:p>
      <w:pPr>
        <w:pStyle w:val="ListParagraph"/>
        <w:numPr>
          <w:ilvl w:val="0"/>
          <w:numId w:val="16"/>
        </w:numPr>
        <w:tabs>
          <w:tab w:pos="1493" w:val="left" w:leader="none"/>
          <w:tab w:pos="2213" w:val="left" w:leader="none"/>
        </w:tabs>
        <w:spacing w:line="240" w:lineRule="auto" w:before="238" w:after="0"/>
        <w:ind w:left="1493" w:right="775" w:hanging="721"/>
        <w:jc w:val="both"/>
        <w:rPr>
          <w:sz w:val="24"/>
        </w:rPr>
      </w:pPr>
      <w:r>
        <w:rPr>
          <w:sz w:val="24"/>
        </w:rPr>
        <w:tab/>
      </w:r>
      <w:r>
        <w:rPr>
          <w:i/>
          <w:sz w:val="24"/>
        </w:rPr>
        <w:t>Service</w:t>
      </w:r>
      <w:r>
        <w:rPr>
          <w:i/>
          <w:spacing w:val="40"/>
          <w:sz w:val="24"/>
        </w:rPr>
        <w:t> </w:t>
      </w:r>
      <w:r>
        <w:rPr>
          <w:i/>
          <w:sz w:val="24"/>
        </w:rPr>
        <w:t>plan</w:t>
      </w:r>
      <w:r>
        <w:rPr>
          <w:i/>
          <w:spacing w:val="40"/>
          <w:sz w:val="24"/>
        </w:rPr>
        <w:t> </w:t>
      </w:r>
      <w:r>
        <w:rPr>
          <w:sz w:val="24"/>
        </w:rPr>
        <w:t>-</w:t>
      </w:r>
      <w:r>
        <w:rPr>
          <w:spacing w:val="40"/>
          <w:sz w:val="24"/>
        </w:rPr>
        <w:t> </w:t>
      </w:r>
      <w:r>
        <w:rPr>
          <w:sz w:val="24"/>
        </w:rPr>
        <w:t>Plan</w:t>
      </w:r>
      <w:r>
        <w:rPr>
          <w:spacing w:val="40"/>
          <w:sz w:val="24"/>
        </w:rPr>
        <w:t> </w:t>
      </w:r>
      <w:r>
        <w:rPr>
          <w:sz w:val="24"/>
        </w:rPr>
        <w:t>and</w:t>
      </w:r>
      <w:r>
        <w:rPr>
          <w:spacing w:val="40"/>
          <w:sz w:val="24"/>
        </w:rPr>
        <w:t> </w:t>
      </w:r>
      <w:r>
        <w:rPr>
          <w:sz w:val="24"/>
        </w:rPr>
        <w:t>sectional</w:t>
      </w:r>
      <w:r>
        <w:rPr>
          <w:spacing w:val="40"/>
          <w:sz w:val="24"/>
        </w:rPr>
        <w:t> </w:t>
      </w:r>
      <w:r>
        <w:rPr>
          <w:sz w:val="24"/>
        </w:rPr>
        <w:t>elevations</w:t>
      </w:r>
      <w:r>
        <w:rPr>
          <w:spacing w:val="40"/>
          <w:sz w:val="24"/>
        </w:rPr>
        <w:t> </w:t>
      </w:r>
      <w:r>
        <w:rPr>
          <w:sz w:val="24"/>
        </w:rPr>
        <w:t>of</w:t>
      </w:r>
      <w:r>
        <w:rPr>
          <w:spacing w:val="40"/>
          <w:sz w:val="24"/>
        </w:rPr>
        <w:t> </w:t>
      </w:r>
      <w:r>
        <w:rPr>
          <w:sz w:val="24"/>
        </w:rPr>
        <w:t>private</w:t>
      </w:r>
      <w:r>
        <w:rPr>
          <w:spacing w:val="40"/>
          <w:sz w:val="24"/>
        </w:rPr>
        <w:t> </w:t>
      </w:r>
      <w:r>
        <w:rPr>
          <w:sz w:val="24"/>
        </w:rPr>
        <w:t>water supply, sewage disposal system and details of building services, </w:t>
      </w:r>
      <w:r>
        <w:rPr>
          <w:spacing w:val="9"/>
          <w:sz w:val="24"/>
        </w:rPr>
        <w:t>where </w:t>
      </w:r>
      <w:r>
        <w:rPr>
          <w:sz w:val="24"/>
        </w:rPr>
        <w:t>required</w:t>
      </w:r>
      <w:r>
        <w:rPr>
          <w:spacing w:val="80"/>
          <w:sz w:val="24"/>
        </w:rPr>
        <w:t> </w:t>
      </w:r>
      <w:r>
        <w:rPr>
          <w:sz w:val="24"/>
        </w:rPr>
        <w:t>by</w:t>
      </w:r>
      <w:r>
        <w:rPr>
          <w:spacing w:val="80"/>
          <w:sz w:val="24"/>
        </w:rPr>
        <w:t> </w:t>
      </w:r>
      <w:r>
        <w:rPr>
          <w:sz w:val="24"/>
        </w:rPr>
        <w:t>the</w:t>
      </w:r>
      <w:r>
        <w:rPr>
          <w:spacing w:val="80"/>
          <w:sz w:val="24"/>
        </w:rPr>
        <w:t> </w:t>
      </w:r>
      <w:r>
        <w:rPr>
          <w:sz w:val="24"/>
        </w:rPr>
        <w:t>Commissioner,</w:t>
      </w:r>
      <w:r>
        <w:rPr>
          <w:spacing w:val="40"/>
          <w:sz w:val="24"/>
        </w:rPr>
        <w:t> </w:t>
      </w:r>
      <w:r>
        <w:rPr>
          <w:sz w:val="24"/>
        </w:rPr>
        <w:t>shall</w:t>
      </w:r>
      <w:r>
        <w:rPr>
          <w:spacing w:val="80"/>
          <w:sz w:val="24"/>
        </w:rPr>
        <w:t> </w:t>
      </w:r>
      <w:r>
        <w:rPr>
          <w:sz w:val="24"/>
        </w:rPr>
        <w:t>be</w:t>
      </w:r>
      <w:r>
        <w:rPr>
          <w:spacing w:val="40"/>
          <w:sz w:val="24"/>
        </w:rPr>
        <w:t> </w:t>
      </w:r>
      <w:r>
        <w:rPr>
          <w:sz w:val="24"/>
        </w:rPr>
        <w:t>made</w:t>
      </w:r>
      <w:r>
        <w:rPr>
          <w:spacing w:val="40"/>
          <w:sz w:val="24"/>
        </w:rPr>
        <w:t> </w:t>
      </w:r>
      <w:r>
        <w:rPr>
          <w:sz w:val="24"/>
        </w:rPr>
        <w:t>available</w:t>
      </w:r>
      <w:r>
        <w:rPr>
          <w:spacing w:val="80"/>
          <w:sz w:val="24"/>
        </w:rPr>
        <w:t> </w:t>
      </w:r>
      <w:r>
        <w:rPr>
          <w:sz w:val="24"/>
        </w:rPr>
        <w:t>on</w:t>
      </w:r>
      <w:r>
        <w:rPr>
          <w:spacing w:val="40"/>
          <w:sz w:val="24"/>
        </w:rPr>
        <w:t> </w:t>
      </w:r>
      <w:r>
        <w:rPr>
          <w:sz w:val="24"/>
        </w:rPr>
        <w:t>a</w:t>
      </w:r>
      <w:r>
        <w:rPr>
          <w:spacing w:val="80"/>
          <w:sz w:val="24"/>
        </w:rPr>
        <w:t> </w:t>
      </w:r>
      <w:r>
        <w:rPr>
          <w:sz w:val="24"/>
        </w:rPr>
        <w:t>scale</w:t>
      </w:r>
      <w:r>
        <w:rPr>
          <w:spacing w:val="80"/>
          <w:sz w:val="24"/>
        </w:rPr>
        <w:t> </w:t>
      </w:r>
      <w:r>
        <w:rPr>
          <w:sz w:val="24"/>
        </w:rPr>
        <w:t>of not</w:t>
      </w:r>
      <w:r>
        <w:rPr>
          <w:spacing w:val="40"/>
          <w:sz w:val="24"/>
        </w:rPr>
        <w:t> </w:t>
      </w:r>
      <w:r>
        <w:rPr>
          <w:sz w:val="24"/>
        </w:rPr>
        <w:t>less</w:t>
      </w:r>
      <w:r>
        <w:rPr>
          <w:spacing w:val="40"/>
          <w:sz w:val="24"/>
        </w:rPr>
        <w:t> </w:t>
      </w:r>
      <w:r>
        <w:rPr>
          <w:sz w:val="24"/>
        </w:rPr>
        <w:t>than</w:t>
      </w:r>
      <w:r>
        <w:rPr>
          <w:spacing w:val="40"/>
          <w:sz w:val="24"/>
        </w:rPr>
        <w:t> </w:t>
      </w:r>
      <w:r>
        <w:rPr>
          <w:sz w:val="24"/>
        </w:rPr>
        <w:t>1:100</w:t>
      </w:r>
      <w:r>
        <w:rPr>
          <w:spacing w:val="40"/>
          <w:sz w:val="24"/>
        </w:rPr>
        <w:t> </w:t>
      </w:r>
      <w:r>
        <w:rPr>
          <w:sz w:val="24"/>
        </w:rPr>
        <w:t>before</w:t>
      </w:r>
      <w:r>
        <w:rPr>
          <w:spacing w:val="40"/>
          <w:sz w:val="24"/>
        </w:rPr>
        <w:t> </w:t>
      </w:r>
      <w:r>
        <w:rPr>
          <w:sz w:val="24"/>
        </w:rPr>
        <w:t>undertaking</w:t>
      </w:r>
      <w:r>
        <w:rPr>
          <w:spacing w:val="40"/>
          <w:sz w:val="24"/>
        </w:rPr>
        <w:t> </w:t>
      </w:r>
      <w:r>
        <w:rPr>
          <w:sz w:val="24"/>
        </w:rPr>
        <w:t>such</w:t>
      </w:r>
      <w:r>
        <w:rPr>
          <w:spacing w:val="40"/>
          <w:sz w:val="24"/>
        </w:rPr>
        <w:t> </w:t>
      </w:r>
      <w:r>
        <w:rPr>
          <w:sz w:val="24"/>
        </w:rPr>
        <w:t>work.</w:t>
      </w:r>
    </w:p>
    <w:p>
      <w:pPr>
        <w:pStyle w:val="ListParagraph"/>
        <w:spacing w:after="0" w:line="240" w:lineRule="auto"/>
        <w:jc w:val="both"/>
        <w:rPr>
          <w:sz w:val="24"/>
        </w:rPr>
        <w:sectPr>
          <w:pgSz w:w="11910" w:h="16840"/>
          <w:pgMar w:header="1036" w:footer="974" w:top="1460" w:bottom="1160" w:left="360" w:right="360"/>
        </w:sectPr>
      </w:pPr>
    </w:p>
    <w:p>
      <w:pPr>
        <w:pStyle w:val="ListParagraph"/>
        <w:numPr>
          <w:ilvl w:val="0"/>
          <w:numId w:val="16"/>
        </w:numPr>
        <w:tabs>
          <w:tab w:pos="1489" w:val="left" w:leader="none"/>
          <w:tab w:pos="1493" w:val="left" w:leader="none"/>
        </w:tabs>
        <w:spacing w:line="240" w:lineRule="auto" w:before="278" w:after="0"/>
        <w:ind w:left="1493" w:right="784" w:hanging="721"/>
        <w:jc w:val="both"/>
        <w:rPr>
          <w:sz w:val="24"/>
        </w:rPr>
      </w:pPr>
      <w:r>
        <w:rPr>
          <w:i/>
          <w:sz w:val="24"/>
        </w:rPr>
        <w:t>Specifications.</w:t>
      </w:r>
      <w:r>
        <w:rPr>
          <w:i/>
          <w:spacing w:val="40"/>
          <w:sz w:val="24"/>
        </w:rPr>
        <w:t> </w:t>
      </w:r>
      <w:r>
        <w:rPr>
          <w:sz w:val="24"/>
        </w:rPr>
        <w:t>-</w:t>
      </w:r>
      <w:r>
        <w:rPr>
          <w:spacing w:val="40"/>
          <w:sz w:val="24"/>
        </w:rPr>
        <w:t> </w:t>
      </w:r>
      <w:r>
        <w:rPr>
          <w:sz w:val="24"/>
        </w:rPr>
        <w:t>General</w:t>
      </w:r>
      <w:r>
        <w:rPr>
          <w:spacing w:val="40"/>
          <w:sz w:val="24"/>
        </w:rPr>
        <w:t> </w:t>
      </w:r>
      <w:r>
        <w:rPr>
          <w:sz w:val="24"/>
        </w:rPr>
        <w:t>specifications</w:t>
      </w:r>
      <w:r>
        <w:rPr>
          <w:spacing w:val="40"/>
          <w:sz w:val="24"/>
        </w:rPr>
        <w:t> </w:t>
      </w:r>
      <w:r>
        <w:rPr>
          <w:sz w:val="24"/>
        </w:rPr>
        <w:t>of</w:t>
      </w:r>
      <w:r>
        <w:rPr>
          <w:spacing w:val="40"/>
          <w:sz w:val="24"/>
        </w:rPr>
        <w:t> </w:t>
      </w:r>
      <w:r>
        <w:rPr>
          <w:sz w:val="24"/>
        </w:rPr>
        <w:t>the</w:t>
      </w:r>
      <w:r>
        <w:rPr>
          <w:spacing w:val="40"/>
          <w:sz w:val="24"/>
        </w:rPr>
        <w:t> </w:t>
      </w:r>
      <w:r>
        <w:rPr>
          <w:sz w:val="24"/>
        </w:rPr>
        <w:t>proposed</w:t>
      </w:r>
      <w:r>
        <w:rPr>
          <w:spacing w:val="40"/>
          <w:sz w:val="24"/>
        </w:rPr>
        <w:t> </w:t>
      </w:r>
      <w:r>
        <w:rPr>
          <w:sz w:val="24"/>
        </w:rPr>
        <w:t>construction, giving</w:t>
      </w:r>
      <w:r>
        <w:rPr>
          <w:spacing w:val="40"/>
          <w:sz w:val="24"/>
        </w:rPr>
        <w:t> </w:t>
      </w:r>
      <w:r>
        <w:rPr>
          <w:sz w:val="24"/>
        </w:rPr>
        <w:t>the</w:t>
      </w:r>
      <w:r>
        <w:rPr>
          <w:spacing w:val="40"/>
          <w:sz w:val="24"/>
        </w:rPr>
        <w:t> </w:t>
      </w:r>
      <w:r>
        <w:rPr>
          <w:sz w:val="24"/>
        </w:rPr>
        <w:t>type</w:t>
      </w:r>
      <w:r>
        <w:rPr>
          <w:spacing w:val="40"/>
          <w:sz w:val="24"/>
        </w:rPr>
        <w:t> </w:t>
      </w:r>
      <w:r>
        <w:rPr>
          <w:sz w:val="24"/>
        </w:rPr>
        <w:t>and</w:t>
      </w:r>
      <w:r>
        <w:rPr>
          <w:spacing w:val="40"/>
          <w:sz w:val="24"/>
        </w:rPr>
        <w:t> </w:t>
      </w:r>
      <w:r>
        <w:rPr>
          <w:sz w:val="24"/>
        </w:rPr>
        <w:t>grade</w:t>
      </w:r>
      <w:r>
        <w:rPr>
          <w:spacing w:val="40"/>
          <w:sz w:val="24"/>
        </w:rPr>
        <w:t> </w:t>
      </w:r>
      <w:r>
        <w:rPr>
          <w:sz w:val="24"/>
        </w:rPr>
        <w:t>of</w:t>
      </w:r>
      <w:r>
        <w:rPr>
          <w:spacing w:val="40"/>
          <w:sz w:val="24"/>
        </w:rPr>
        <w:t> </w:t>
      </w:r>
      <w:r>
        <w:rPr>
          <w:sz w:val="24"/>
        </w:rPr>
        <w:t>materials</w:t>
      </w:r>
      <w:r>
        <w:rPr>
          <w:spacing w:val="40"/>
          <w:sz w:val="24"/>
        </w:rPr>
        <w:t> </w:t>
      </w:r>
      <w:r>
        <w:rPr>
          <w:sz w:val="24"/>
        </w:rPr>
        <w:t>to</w:t>
      </w:r>
      <w:r>
        <w:rPr>
          <w:spacing w:val="40"/>
          <w:sz w:val="24"/>
        </w:rPr>
        <w:t> </w:t>
      </w:r>
      <w:r>
        <w:rPr>
          <w:sz w:val="24"/>
        </w:rPr>
        <w:t>be</w:t>
      </w:r>
      <w:r>
        <w:rPr>
          <w:spacing w:val="40"/>
          <w:sz w:val="24"/>
        </w:rPr>
        <w:t> </w:t>
      </w:r>
      <w:r>
        <w:rPr>
          <w:spacing w:val="10"/>
          <w:sz w:val="24"/>
        </w:rPr>
        <w:t>used</w:t>
      </w:r>
      <w:r>
        <w:rPr>
          <w:spacing w:val="40"/>
          <w:sz w:val="24"/>
        </w:rPr>
        <w:t> </w:t>
      </w:r>
      <w:r>
        <w:rPr>
          <w:sz w:val="24"/>
        </w:rPr>
        <w:t>in</w:t>
      </w:r>
      <w:r>
        <w:rPr>
          <w:spacing w:val="40"/>
          <w:sz w:val="24"/>
        </w:rPr>
        <w:t> </w:t>
      </w:r>
      <w:r>
        <w:rPr>
          <w:sz w:val="24"/>
        </w:rPr>
        <w:t>the</w:t>
      </w:r>
      <w:r>
        <w:rPr>
          <w:spacing w:val="40"/>
          <w:sz w:val="24"/>
        </w:rPr>
        <w:t> </w:t>
      </w:r>
      <w:r>
        <w:rPr>
          <w:sz w:val="24"/>
        </w:rPr>
        <w:t>form</w:t>
      </w:r>
      <w:r>
        <w:rPr>
          <w:spacing w:val="40"/>
          <w:sz w:val="24"/>
        </w:rPr>
        <w:t> </w:t>
      </w:r>
      <w:r>
        <w:rPr>
          <w:sz w:val="24"/>
        </w:rPr>
        <w:t>in Annexure 2 to 9 signed by a licensed surveyor/engineer/structural engineer,</w:t>
      </w:r>
      <w:r>
        <w:rPr>
          <w:spacing w:val="80"/>
          <w:sz w:val="24"/>
        </w:rPr>
        <w:t> </w:t>
      </w:r>
      <w:r>
        <w:rPr>
          <w:sz w:val="24"/>
        </w:rPr>
        <w:t>supervisor,</w:t>
      </w:r>
      <w:r>
        <w:rPr>
          <w:spacing w:val="80"/>
          <w:sz w:val="24"/>
        </w:rPr>
        <w:t> </w:t>
      </w:r>
      <w:r>
        <w:rPr>
          <w:color w:val="000000"/>
          <w:sz w:val="24"/>
          <w:shd w:fill="FFCCFF" w:color="auto" w:val="clear"/>
        </w:rPr>
        <w:t>architect</w:t>
      </w:r>
      <w:r>
        <w:rPr>
          <w:color w:val="000000"/>
          <w:sz w:val="24"/>
        </w:rPr>
        <w:t>,</w:t>
      </w:r>
      <w:r>
        <w:rPr>
          <w:color w:val="000000"/>
          <w:spacing w:val="80"/>
          <w:sz w:val="24"/>
        </w:rPr>
        <w:t> </w:t>
      </w:r>
      <w:r>
        <w:rPr>
          <w:color w:val="000000"/>
          <w:sz w:val="24"/>
        </w:rPr>
        <w:t>town</w:t>
      </w:r>
      <w:r>
        <w:rPr>
          <w:color w:val="000000"/>
          <w:spacing w:val="80"/>
          <w:sz w:val="24"/>
        </w:rPr>
        <w:t> </w:t>
      </w:r>
      <w:r>
        <w:rPr>
          <w:color w:val="000000"/>
          <w:spacing w:val="9"/>
          <w:sz w:val="24"/>
        </w:rPr>
        <w:t>planner</w:t>
      </w:r>
      <w:r>
        <w:rPr>
          <w:color w:val="000000"/>
          <w:spacing w:val="40"/>
          <w:sz w:val="24"/>
          <w:shd w:fill="FFCCFF" w:color="auto" w:val="clear"/>
        </w:rPr>
        <w:t> </w:t>
      </w:r>
      <w:r>
        <w:rPr>
          <w:color w:val="000000"/>
          <w:sz w:val="24"/>
          <w:shd w:fill="FFCCFF" w:color="auto" w:val="clear"/>
        </w:rPr>
        <w:t>or</w:t>
      </w:r>
      <w:r>
        <w:rPr>
          <w:color w:val="000000"/>
          <w:spacing w:val="80"/>
          <w:sz w:val="24"/>
          <w:shd w:fill="FFCCFF" w:color="auto" w:val="clear"/>
        </w:rPr>
        <w:t> </w:t>
      </w:r>
      <w:r>
        <w:rPr>
          <w:color w:val="000000"/>
          <w:sz w:val="24"/>
          <w:shd w:fill="FFCCFF" w:color="auto" w:val="clear"/>
        </w:rPr>
        <w:t>qualified</w:t>
      </w:r>
      <w:r>
        <w:rPr>
          <w:color w:val="000000"/>
          <w:spacing w:val="80"/>
          <w:sz w:val="24"/>
          <w:shd w:fill="FFCCFF" w:color="auto" w:val="clear"/>
        </w:rPr>
        <w:t> </w:t>
      </w:r>
      <w:r>
        <w:rPr>
          <w:color w:val="000000"/>
          <w:sz w:val="24"/>
          <w:shd w:fill="FFCCFF" w:color="auto" w:val="clear"/>
        </w:rPr>
        <w:t>professional</w:t>
      </w:r>
      <w:r>
        <w:rPr>
          <w:color w:val="000000"/>
          <w:sz w:val="24"/>
        </w:rPr>
        <w:t> as</w:t>
      </w:r>
      <w:r>
        <w:rPr>
          <w:color w:val="000000"/>
          <w:spacing w:val="40"/>
          <w:sz w:val="24"/>
        </w:rPr>
        <w:t> </w:t>
      </w:r>
      <w:r>
        <w:rPr>
          <w:color w:val="000000"/>
          <w:sz w:val="24"/>
        </w:rPr>
        <w:t>the</w:t>
      </w:r>
      <w:r>
        <w:rPr>
          <w:color w:val="000000"/>
          <w:spacing w:val="40"/>
          <w:sz w:val="24"/>
        </w:rPr>
        <w:t> </w:t>
      </w:r>
      <w:r>
        <w:rPr>
          <w:color w:val="000000"/>
          <w:sz w:val="24"/>
        </w:rPr>
        <w:t>case</w:t>
      </w:r>
      <w:r>
        <w:rPr>
          <w:color w:val="000000"/>
          <w:spacing w:val="40"/>
          <w:sz w:val="24"/>
        </w:rPr>
        <w:t> </w:t>
      </w:r>
      <w:r>
        <w:rPr>
          <w:color w:val="000000"/>
          <w:sz w:val="24"/>
        </w:rPr>
        <w:t>may</w:t>
      </w:r>
      <w:r>
        <w:rPr>
          <w:color w:val="000000"/>
          <w:spacing w:val="40"/>
          <w:sz w:val="24"/>
        </w:rPr>
        <w:t> </w:t>
      </w:r>
      <w:r>
        <w:rPr>
          <w:color w:val="000000"/>
          <w:sz w:val="24"/>
        </w:rPr>
        <w:t>be,</w:t>
      </w:r>
      <w:r>
        <w:rPr>
          <w:color w:val="000000"/>
          <w:spacing w:val="40"/>
          <w:sz w:val="24"/>
        </w:rPr>
        <w:t> </w:t>
      </w:r>
      <w:r>
        <w:rPr>
          <w:color w:val="000000"/>
          <w:sz w:val="24"/>
        </w:rPr>
        <w:t>shall</w:t>
      </w:r>
      <w:r>
        <w:rPr>
          <w:color w:val="000000"/>
          <w:spacing w:val="40"/>
          <w:sz w:val="24"/>
        </w:rPr>
        <w:t> </w:t>
      </w:r>
      <w:r>
        <w:rPr>
          <w:color w:val="000000"/>
          <w:sz w:val="24"/>
        </w:rPr>
        <w:t>accompany</w:t>
      </w:r>
      <w:r>
        <w:rPr>
          <w:color w:val="000000"/>
          <w:spacing w:val="40"/>
          <w:sz w:val="24"/>
        </w:rPr>
        <w:t> </w:t>
      </w:r>
      <w:r>
        <w:rPr>
          <w:color w:val="000000"/>
          <w:sz w:val="24"/>
        </w:rPr>
        <w:t>the</w:t>
      </w:r>
      <w:r>
        <w:rPr>
          <w:color w:val="000000"/>
          <w:spacing w:val="40"/>
          <w:sz w:val="24"/>
        </w:rPr>
        <w:t> </w:t>
      </w:r>
      <w:r>
        <w:rPr>
          <w:color w:val="000000"/>
          <w:sz w:val="24"/>
        </w:rPr>
        <w:t>notice.</w:t>
      </w:r>
      <w:r>
        <w:rPr>
          <w:color w:val="000000"/>
          <w:spacing w:val="80"/>
          <w:sz w:val="24"/>
        </w:rPr>
        <w:t> </w:t>
      </w:r>
      <w:r>
        <w:rPr>
          <w:color w:val="000000"/>
          <w:sz w:val="24"/>
        </w:rPr>
        <w:t>It</w:t>
      </w:r>
      <w:r>
        <w:rPr>
          <w:color w:val="000000"/>
          <w:spacing w:val="40"/>
          <w:sz w:val="24"/>
        </w:rPr>
        <w:t> </w:t>
      </w:r>
      <w:r>
        <w:rPr>
          <w:color w:val="000000"/>
          <w:sz w:val="24"/>
        </w:rPr>
        <w:t>shall</w:t>
      </w:r>
      <w:r>
        <w:rPr>
          <w:color w:val="000000"/>
          <w:spacing w:val="40"/>
          <w:sz w:val="24"/>
        </w:rPr>
        <w:t> </w:t>
      </w:r>
      <w:r>
        <w:rPr>
          <w:color w:val="000000"/>
          <w:sz w:val="24"/>
        </w:rPr>
        <w:t>be</w:t>
      </w:r>
      <w:r>
        <w:rPr>
          <w:color w:val="000000"/>
          <w:spacing w:val="40"/>
          <w:sz w:val="24"/>
        </w:rPr>
        <w:t> </w:t>
      </w:r>
      <w:r>
        <w:rPr>
          <w:color w:val="000000"/>
          <w:sz w:val="24"/>
        </w:rPr>
        <w:t>ensured that</w:t>
      </w:r>
      <w:r>
        <w:rPr>
          <w:color w:val="000000"/>
          <w:spacing w:val="40"/>
          <w:sz w:val="24"/>
        </w:rPr>
        <w:t> </w:t>
      </w:r>
      <w:r>
        <w:rPr>
          <w:color w:val="000000"/>
          <w:sz w:val="24"/>
        </w:rPr>
        <w:t>the</w:t>
      </w:r>
      <w:r>
        <w:rPr>
          <w:color w:val="000000"/>
          <w:spacing w:val="40"/>
          <w:sz w:val="24"/>
        </w:rPr>
        <w:t> </w:t>
      </w:r>
      <w:r>
        <w:rPr>
          <w:color w:val="000000"/>
          <w:sz w:val="24"/>
        </w:rPr>
        <w:t>construction</w:t>
      </w:r>
      <w:r>
        <w:rPr>
          <w:color w:val="000000"/>
          <w:spacing w:val="40"/>
          <w:sz w:val="24"/>
        </w:rPr>
        <w:t> </w:t>
      </w:r>
      <w:r>
        <w:rPr>
          <w:color w:val="000000"/>
          <w:sz w:val="24"/>
        </w:rPr>
        <w:t>materials</w:t>
      </w:r>
      <w:r>
        <w:rPr>
          <w:color w:val="000000"/>
          <w:spacing w:val="40"/>
          <w:sz w:val="24"/>
        </w:rPr>
        <w:t> </w:t>
      </w:r>
      <w:r>
        <w:rPr>
          <w:color w:val="000000"/>
          <w:sz w:val="24"/>
        </w:rPr>
        <w:t>to</w:t>
      </w:r>
      <w:r>
        <w:rPr>
          <w:color w:val="000000"/>
          <w:spacing w:val="40"/>
          <w:sz w:val="24"/>
        </w:rPr>
        <w:t> </w:t>
      </w:r>
      <w:r>
        <w:rPr>
          <w:color w:val="000000"/>
          <w:sz w:val="24"/>
        </w:rPr>
        <w:t>be</w:t>
      </w:r>
      <w:r>
        <w:rPr>
          <w:color w:val="000000"/>
          <w:spacing w:val="40"/>
          <w:sz w:val="24"/>
        </w:rPr>
        <w:t> </w:t>
      </w:r>
      <w:r>
        <w:rPr>
          <w:color w:val="000000"/>
          <w:sz w:val="24"/>
        </w:rPr>
        <w:t>used</w:t>
      </w:r>
      <w:r>
        <w:rPr>
          <w:color w:val="000000"/>
          <w:spacing w:val="40"/>
          <w:sz w:val="24"/>
        </w:rPr>
        <w:t> </w:t>
      </w:r>
      <w:r>
        <w:rPr>
          <w:color w:val="000000"/>
          <w:sz w:val="24"/>
        </w:rPr>
        <w:t>shall</w:t>
      </w:r>
      <w:r>
        <w:rPr>
          <w:color w:val="000000"/>
          <w:spacing w:val="40"/>
          <w:sz w:val="24"/>
        </w:rPr>
        <w:t> </w:t>
      </w:r>
      <w:r>
        <w:rPr>
          <w:color w:val="000000"/>
          <w:sz w:val="24"/>
        </w:rPr>
        <w:t>be</w:t>
      </w:r>
      <w:r>
        <w:rPr>
          <w:color w:val="000000"/>
          <w:spacing w:val="40"/>
          <w:sz w:val="24"/>
        </w:rPr>
        <w:t> </w:t>
      </w:r>
      <w:r>
        <w:rPr>
          <w:color w:val="000000"/>
          <w:sz w:val="24"/>
        </w:rPr>
        <w:t>in</w:t>
      </w:r>
      <w:r>
        <w:rPr>
          <w:color w:val="000000"/>
          <w:spacing w:val="40"/>
          <w:sz w:val="24"/>
        </w:rPr>
        <w:t> </w:t>
      </w:r>
      <w:r>
        <w:rPr>
          <w:color w:val="000000"/>
          <w:sz w:val="24"/>
        </w:rPr>
        <w:t>accordance</w:t>
      </w:r>
      <w:r>
        <w:rPr>
          <w:color w:val="000000"/>
          <w:spacing w:val="40"/>
          <w:sz w:val="24"/>
        </w:rPr>
        <w:t> </w:t>
      </w:r>
      <w:r>
        <w:rPr>
          <w:color w:val="000000"/>
          <w:sz w:val="24"/>
        </w:rPr>
        <w:t>with the</w:t>
      </w:r>
      <w:r>
        <w:rPr>
          <w:color w:val="000000"/>
          <w:spacing w:val="40"/>
          <w:sz w:val="24"/>
        </w:rPr>
        <w:t> </w:t>
      </w:r>
      <w:r>
        <w:rPr>
          <w:color w:val="000000"/>
          <w:sz w:val="24"/>
        </w:rPr>
        <w:t>relevant</w:t>
      </w:r>
      <w:r>
        <w:rPr>
          <w:color w:val="000000"/>
          <w:spacing w:val="40"/>
          <w:sz w:val="24"/>
        </w:rPr>
        <w:t> </w:t>
      </w:r>
      <w:r>
        <w:rPr>
          <w:color w:val="000000"/>
          <w:sz w:val="24"/>
        </w:rPr>
        <w:t>I</w:t>
      </w:r>
      <w:r>
        <w:rPr>
          <w:color w:val="000000"/>
          <w:spacing w:val="40"/>
          <w:sz w:val="24"/>
        </w:rPr>
        <w:t> </w:t>
      </w:r>
      <w:r>
        <w:rPr>
          <w:color w:val="000000"/>
          <w:sz w:val="24"/>
        </w:rPr>
        <w:t>S</w:t>
      </w:r>
      <w:r>
        <w:rPr>
          <w:color w:val="000000"/>
          <w:spacing w:val="40"/>
          <w:sz w:val="24"/>
        </w:rPr>
        <w:t> </w:t>
      </w:r>
      <w:r>
        <w:rPr>
          <w:color w:val="000000"/>
          <w:sz w:val="24"/>
        </w:rPr>
        <w:t>Codes,</w:t>
      </w:r>
      <w:r>
        <w:rPr>
          <w:color w:val="000000"/>
          <w:spacing w:val="40"/>
          <w:sz w:val="24"/>
        </w:rPr>
        <w:t> </w:t>
      </w:r>
      <w:r>
        <w:rPr>
          <w:color w:val="000000"/>
          <w:sz w:val="24"/>
          <w:shd w:fill="FFCCFF" w:color="auto" w:val="clear"/>
        </w:rPr>
        <w:t>by</w:t>
      </w:r>
      <w:r>
        <w:rPr>
          <w:color w:val="000000"/>
          <w:spacing w:val="40"/>
          <w:sz w:val="24"/>
          <w:shd w:fill="FFCCFF" w:color="auto" w:val="clear"/>
        </w:rPr>
        <w:t> </w:t>
      </w:r>
      <w:r>
        <w:rPr>
          <w:color w:val="000000"/>
          <w:sz w:val="24"/>
          <w:shd w:fill="FFCCFF" w:color="auto" w:val="clear"/>
        </w:rPr>
        <w:t>the</w:t>
      </w:r>
      <w:r>
        <w:rPr>
          <w:color w:val="000000"/>
          <w:spacing w:val="40"/>
          <w:sz w:val="24"/>
          <w:shd w:fill="FFCCFF" w:color="auto" w:val="clear"/>
        </w:rPr>
        <w:t> </w:t>
      </w:r>
      <w:r>
        <w:rPr>
          <w:color w:val="000000"/>
          <w:sz w:val="24"/>
          <w:shd w:fill="FFCCFF" w:color="auto" w:val="clear"/>
        </w:rPr>
        <w:t>developer/owner.</w:t>
      </w:r>
    </w:p>
    <w:p>
      <w:pPr>
        <w:pStyle w:val="ListParagraph"/>
        <w:numPr>
          <w:ilvl w:val="0"/>
          <w:numId w:val="16"/>
        </w:numPr>
        <w:tabs>
          <w:tab w:pos="1490" w:val="left" w:leader="none"/>
          <w:tab w:pos="1493" w:val="left" w:leader="none"/>
          <w:tab w:pos="6421" w:val="left" w:leader="none"/>
          <w:tab w:pos="10152" w:val="left" w:leader="none"/>
        </w:tabs>
        <w:spacing w:line="240" w:lineRule="auto" w:before="240" w:after="0"/>
        <w:ind w:left="1493" w:right="772" w:hanging="721"/>
        <w:jc w:val="both"/>
        <w:rPr>
          <w:sz w:val="24"/>
        </w:rPr>
      </w:pPr>
      <w:r>
        <w:rPr>
          <w:i/>
          <w:sz w:val="24"/>
        </w:rPr>
        <w:t>Supervision </w:t>
      </w:r>
      <w:r>
        <w:rPr>
          <w:i/>
          <w:spacing w:val="9"/>
          <w:sz w:val="24"/>
        </w:rPr>
        <w:t>Certificate</w:t>
      </w:r>
      <w:r>
        <w:rPr>
          <w:spacing w:val="9"/>
          <w:sz w:val="24"/>
        </w:rPr>
        <w:t>. </w:t>
      </w:r>
      <w:r>
        <w:rPr>
          <w:sz w:val="24"/>
        </w:rPr>
        <w:t>- The notice shall be further accompanied by a certificate of supervision in the form in Annexure 2 to 8by the licensed </w:t>
      </w:r>
      <w:r>
        <w:rPr>
          <w:spacing w:val="-2"/>
          <w:sz w:val="24"/>
        </w:rPr>
        <w:t>surveyor/engineer/structural</w:t>
      </w:r>
      <w:r>
        <w:rPr>
          <w:sz w:val="24"/>
        </w:rPr>
        <w:tab/>
      </w:r>
      <w:r>
        <w:rPr>
          <w:spacing w:val="-2"/>
          <w:sz w:val="24"/>
        </w:rPr>
        <w:t>engineer/supervisor</w:t>
      </w:r>
      <w:r>
        <w:rPr>
          <w:sz w:val="24"/>
        </w:rPr>
        <w:tab/>
      </w:r>
      <w:r>
        <w:rPr>
          <w:spacing w:val="-6"/>
          <w:sz w:val="24"/>
        </w:rPr>
        <w:t>or </w:t>
      </w:r>
      <w:r>
        <w:rPr>
          <w:sz w:val="24"/>
        </w:rPr>
        <w:t>architect/Professional</w:t>
      </w:r>
      <w:r>
        <w:rPr>
          <w:spacing w:val="40"/>
          <w:sz w:val="24"/>
        </w:rPr>
        <w:t> </w:t>
      </w:r>
      <w:r>
        <w:rPr>
          <w:sz w:val="24"/>
        </w:rPr>
        <w:t>on</w:t>
      </w:r>
      <w:r>
        <w:rPr>
          <w:spacing w:val="40"/>
          <w:sz w:val="24"/>
        </w:rPr>
        <w:t> </w:t>
      </w:r>
      <w:r>
        <w:rPr>
          <w:sz w:val="24"/>
        </w:rPr>
        <w:t>Record</w:t>
      </w:r>
      <w:r>
        <w:rPr>
          <w:spacing w:val="40"/>
          <w:sz w:val="24"/>
        </w:rPr>
        <w:t> </w:t>
      </w:r>
      <w:r>
        <w:rPr>
          <w:sz w:val="24"/>
        </w:rPr>
        <w:t>as</w:t>
      </w:r>
      <w:r>
        <w:rPr>
          <w:spacing w:val="40"/>
          <w:sz w:val="24"/>
        </w:rPr>
        <w:t> </w:t>
      </w:r>
      <w:r>
        <w:rPr>
          <w:sz w:val="24"/>
        </w:rPr>
        <w:t>the</w:t>
      </w:r>
      <w:r>
        <w:rPr>
          <w:spacing w:val="40"/>
          <w:sz w:val="24"/>
        </w:rPr>
        <w:t> </w:t>
      </w:r>
      <w:r>
        <w:rPr>
          <w:sz w:val="24"/>
        </w:rPr>
        <w:t>case</w:t>
      </w:r>
      <w:r>
        <w:rPr>
          <w:spacing w:val="40"/>
          <w:sz w:val="24"/>
        </w:rPr>
        <w:t> </w:t>
      </w:r>
      <w:r>
        <w:rPr>
          <w:sz w:val="24"/>
        </w:rPr>
        <w:t>may</w:t>
      </w:r>
      <w:r>
        <w:rPr>
          <w:spacing w:val="40"/>
          <w:sz w:val="24"/>
        </w:rPr>
        <w:t> </w:t>
      </w:r>
      <w:r>
        <w:rPr>
          <w:sz w:val="24"/>
        </w:rPr>
        <w:t>be.</w:t>
      </w:r>
      <w:r>
        <w:rPr>
          <w:spacing w:val="40"/>
          <w:sz w:val="24"/>
        </w:rPr>
        <w:t>  </w:t>
      </w:r>
      <w:r>
        <w:rPr>
          <w:sz w:val="24"/>
        </w:rPr>
        <w:t>If</w:t>
      </w:r>
      <w:r>
        <w:rPr>
          <w:spacing w:val="40"/>
          <w:sz w:val="24"/>
        </w:rPr>
        <w:t> </w:t>
      </w:r>
      <w:r>
        <w:rPr>
          <w:sz w:val="24"/>
        </w:rPr>
        <w:t>the</w:t>
      </w:r>
      <w:r>
        <w:rPr>
          <w:spacing w:val="40"/>
          <w:sz w:val="24"/>
        </w:rPr>
        <w:t> </w:t>
      </w:r>
      <w:r>
        <w:rPr>
          <w:sz w:val="24"/>
        </w:rPr>
        <w:t>said licensed technical person or architect ceases to be employed for the development work, further development shall be suspended till a new licensed</w:t>
      </w:r>
      <w:r>
        <w:rPr>
          <w:spacing w:val="76"/>
          <w:sz w:val="24"/>
        </w:rPr>
        <w:t> </w:t>
      </w:r>
      <w:r>
        <w:rPr>
          <w:sz w:val="24"/>
        </w:rPr>
        <w:t>technical</w:t>
      </w:r>
      <w:r>
        <w:rPr>
          <w:spacing w:val="76"/>
          <w:sz w:val="24"/>
        </w:rPr>
        <w:t> </w:t>
      </w:r>
      <w:r>
        <w:rPr>
          <w:sz w:val="24"/>
        </w:rPr>
        <w:t>person</w:t>
      </w:r>
      <w:r>
        <w:rPr>
          <w:spacing w:val="76"/>
          <w:sz w:val="24"/>
        </w:rPr>
        <w:t> </w:t>
      </w:r>
      <w:r>
        <w:rPr>
          <w:sz w:val="24"/>
        </w:rPr>
        <w:t>or</w:t>
      </w:r>
      <w:r>
        <w:rPr>
          <w:spacing w:val="76"/>
          <w:sz w:val="24"/>
        </w:rPr>
        <w:t> </w:t>
      </w:r>
      <w:r>
        <w:rPr>
          <w:sz w:val="24"/>
        </w:rPr>
        <w:t>architect</w:t>
      </w:r>
      <w:r>
        <w:rPr>
          <w:spacing w:val="79"/>
          <w:sz w:val="24"/>
        </w:rPr>
        <w:t> </w:t>
      </w:r>
      <w:r>
        <w:rPr>
          <w:sz w:val="24"/>
        </w:rPr>
        <w:t>is</w:t>
      </w:r>
      <w:r>
        <w:rPr>
          <w:spacing w:val="76"/>
          <w:sz w:val="24"/>
        </w:rPr>
        <w:t> </w:t>
      </w:r>
      <w:r>
        <w:rPr>
          <w:sz w:val="24"/>
        </w:rPr>
        <w:t>appointed</w:t>
      </w:r>
      <w:r>
        <w:rPr>
          <w:spacing w:val="76"/>
          <w:sz w:val="24"/>
        </w:rPr>
        <w:t> </w:t>
      </w:r>
      <w:r>
        <w:rPr>
          <w:sz w:val="24"/>
        </w:rPr>
        <w:t>and</w:t>
      </w:r>
      <w:r>
        <w:rPr>
          <w:spacing w:val="79"/>
          <w:sz w:val="24"/>
        </w:rPr>
        <w:t> </w:t>
      </w:r>
      <w:r>
        <w:rPr>
          <w:sz w:val="24"/>
        </w:rPr>
        <w:t>his</w:t>
      </w:r>
      <w:r>
        <w:rPr>
          <w:spacing w:val="76"/>
          <w:sz w:val="24"/>
        </w:rPr>
        <w:t> </w:t>
      </w:r>
      <w:r>
        <w:rPr>
          <w:spacing w:val="9"/>
          <w:sz w:val="24"/>
        </w:rPr>
        <w:t>certificate </w:t>
      </w:r>
      <w:r>
        <w:rPr>
          <w:sz w:val="24"/>
        </w:rPr>
        <w:t>of</w:t>
      </w:r>
      <w:r>
        <w:rPr>
          <w:spacing w:val="40"/>
          <w:sz w:val="24"/>
        </w:rPr>
        <w:t> </w:t>
      </w:r>
      <w:r>
        <w:rPr>
          <w:sz w:val="24"/>
        </w:rPr>
        <w:t>supervision</w:t>
      </w:r>
      <w:r>
        <w:rPr>
          <w:spacing w:val="40"/>
          <w:sz w:val="24"/>
        </w:rPr>
        <w:t> </w:t>
      </w:r>
      <w:r>
        <w:rPr>
          <w:sz w:val="24"/>
        </w:rPr>
        <w:t>along</w:t>
      </w:r>
      <w:r>
        <w:rPr>
          <w:spacing w:val="40"/>
          <w:sz w:val="24"/>
        </w:rPr>
        <w:t> </w:t>
      </w:r>
      <w:r>
        <w:rPr>
          <w:sz w:val="24"/>
        </w:rPr>
        <w:t>with</w:t>
      </w:r>
      <w:r>
        <w:rPr>
          <w:spacing w:val="40"/>
          <w:sz w:val="24"/>
        </w:rPr>
        <w:t> </w:t>
      </w:r>
      <w:r>
        <w:rPr>
          <w:sz w:val="24"/>
        </w:rPr>
        <w:t>a</w:t>
      </w:r>
      <w:r>
        <w:rPr>
          <w:spacing w:val="40"/>
          <w:sz w:val="24"/>
        </w:rPr>
        <w:t> </w:t>
      </w:r>
      <w:r>
        <w:rPr>
          <w:sz w:val="24"/>
        </w:rPr>
        <w:t>certificate</w:t>
      </w:r>
      <w:r>
        <w:rPr>
          <w:spacing w:val="40"/>
          <w:sz w:val="24"/>
        </w:rPr>
        <w:t> </w:t>
      </w:r>
      <w:r>
        <w:rPr>
          <w:sz w:val="24"/>
        </w:rPr>
        <w:t>for</w:t>
      </w:r>
      <w:r>
        <w:rPr>
          <w:spacing w:val="40"/>
          <w:sz w:val="24"/>
        </w:rPr>
        <w:t> </w:t>
      </w:r>
      <w:r>
        <w:rPr>
          <w:sz w:val="24"/>
        </w:rPr>
        <w:t>the</w:t>
      </w:r>
      <w:r>
        <w:rPr>
          <w:spacing w:val="40"/>
          <w:sz w:val="24"/>
        </w:rPr>
        <w:t> </w:t>
      </w:r>
      <w:r>
        <w:rPr>
          <w:sz w:val="24"/>
        </w:rPr>
        <w:t>previous</w:t>
      </w:r>
      <w:r>
        <w:rPr>
          <w:spacing w:val="40"/>
          <w:sz w:val="24"/>
        </w:rPr>
        <w:t> </w:t>
      </w:r>
      <w:r>
        <w:rPr>
          <w:sz w:val="24"/>
        </w:rPr>
        <w:t>work</w:t>
      </w:r>
      <w:r>
        <w:rPr>
          <w:spacing w:val="10"/>
          <w:sz w:val="24"/>
        </w:rPr>
        <w:t> erected, </w:t>
      </w:r>
      <w:r>
        <w:rPr>
          <w:sz w:val="24"/>
        </w:rPr>
        <w:t>if any,</w:t>
      </w:r>
      <w:r>
        <w:rPr>
          <w:spacing w:val="40"/>
          <w:sz w:val="24"/>
        </w:rPr>
        <w:t> </w:t>
      </w:r>
      <w:r>
        <w:rPr>
          <w:sz w:val="24"/>
        </w:rPr>
        <w:t>is</w:t>
      </w:r>
      <w:r>
        <w:rPr>
          <w:spacing w:val="40"/>
          <w:sz w:val="24"/>
        </w:rPr>
        <w:t> </w:t>
      </w:r>
      <w:r>
        <w:rPr>
          <w:sz w:val="24"/>
        </w:rPr>
        <w:t>accepted</w:t>
      </w:r>
      <w:r>
        <w:rPr>
          <w:spacing w:val="40"/>
          <w:sz w:val="24"/>
        </w:rPr>
        <w:t> </w:t>
      </w:r>
      <w:r>
        <w:rPr>
          <w:sz w:val="24"/>
        </w:rPr>
        <w:t>by</w:t>
      </w:r>
      <w:r>
        <w:rPr>
          <w:spacing w:val="40"/>
          <w:sz w:val="24"/>
        </w:rPr>
        <w:t> </w:t>
      </w:r>
      <w:r>
        <w:rPr>
          <w:sz w:val="24"/>
        </w:rPr>
        <w:t>the</w:t>
      </w:r>
      <w:r>
        <w:rPr>
          <w:spacing w:val="40"/>
          <w:sz w:val="24"/>
        </w:rPr>
        <w:t> </w:t>
      </w:r>
      <w:r>
        <w:rPr>
          <w:sz w:val="24"/>
        </w:rPr>
        <w:t>Commissioner.</w:t>
      </w:r>
    </w:p>
    <w:p>
      <w:pPr>
        <w:pStyle w:val="ListParagraph"/>
        <w:numPr>
          <w:ilvl w:val="0"/>
          <w:numId w:val="16"/>
        </w:numPr>
        <w:tabs>
          <w:tab w:pos="1490" w:val="left" w:leader="none"/>
          <w:tab w:pos="1493" w:val="left" w:leader="none"/>
        </w:tabs>
        <w:spacing w:line="240" w:lineRule="auto" w:before="242" w:after="0"/>
        <w:ind w:left="1493" w:right="785" w:hanging="721"/>
        <w:jc w:val="both"/>
        <w:rPr>
          <w:sz w:val="24"/>
        </w:rPr>
      </w:pPr>
      <w:r>
        <w:rPr>
          <w:i/>
          <w:sz w:val="24"/>
        </w:rPr>
        <w:t>Development</w:t>
      </w:r>
      <w:r>
        <w:rPr>
          <w:i/>
          <w:spacing w:val="40"/>
          <w:sz w:val="24"/>
        </w:rPr>
        <w:t> </w:t>
      </w:r>
      <w:r>
        <w:rPr>
          <w:i/>
          <w:sz w:val="24"/>
        </w:rPr>
        <w:t>permission</w:t>
      </w:r>
      <w:r>
        <w:rPr>
          <w:i/>
          <w:spacing w:val="40"/>
          <w:sz w:val="24"/>
        </w:rPr>
        <w:t> </w:t>
      </w:r>
      <w:r>
        <w:rPr>
          <w:i/>
          <w:sz w:val="24"/>
        </w:rPr>
        <w:t>fee</w:t>
      </w:r>
      <w:r>
        <w:rPr>
          <w:i/>
          <w:spacing w:val="78"/>
          <w:sz w:val="24"/>
        </w:rPr>
        <w:t> </w:t>
      </w:r>
      <w:r>
        <w:rPr>
          <w:i/>
          <w:sz w:val="24"/>
        </w:rPr>
        <w:t>receipt</w:t>
      </w:r>
      <w:r>
        <w:rPr>
          <w:i/>
          <w:spacing w:val="80"/>
          <w:sz w:val="24"/>
        </w:rPr>
        <w:t> </w:t>
      </w:r>
      <w:r>
        <w:rPr>
          <w:sz w:val="24"/>
        </w:rPr>
        <w:t>-</w:t>
      </w:r>
      <w:r>
        <w:rPr>
          <w:spacing w:val="80"/>
          <w:sz w:val="24"/>
        </w:rPr>
        <w:t> </w:t>
      </w:r>
      <w:r>
        <w:rPr>
          <w:sz w:val="24"/>
        </w:rPr>
        <w:t>The</w:t>
      </w:r>
      <w:r>
        <w:rPr>
          <w:spacing w:val="80"/>
          <w:sz w:val="24"/>
        </w:rPr>
        <w:t> </w:t>
      </w:r>
      <w:r>
        <w:rPr>
          <w:sz w:val="24"/>
        </w:rPr>
        <w:t>notice</w:t>
      </w:r>
      <w:r>
        <w:rPr>
          <w:spacing w:val="80"/>
          <w:sz w:val="24"/>
        </w:rPr>
        <w:t> </w:t>
      </w:r>
      <w:r>
        <w:rPr>
          <w:sz w:val="24"/>
        </w:rPr>
        <w:t>shall</w:t>
      </w:r>
      <w:r>
        <w:rPr>
          <w:spacing w:val="80"/>
          <w:sz w:val="24"/>
        </w:rPr>
        <w:t> </w:t>
      </w:r>
      <w:r>
        <w:rPr>
          <w:sz w:val="24"/>
        </w:rPr>
        <w:t>be</w:t>
      </w:r>
      <w:r>
        <w:rPr>
          <w:spacing w:val="80"/>
          <w:sz w:val="24"/>
        </w:rPr>
        <w:t> </w:t>
      </w:r>
      <w:r>
        <w:rPr>
          <w:sz w:val="24"/>
        </w:rPr>
        <w:t>accompanied by an attested copy of the receipt of payment of the development</w:t>
      </w:r>
      <w:r>
        <w:rPr>
          <w:spacing w:val="40"/>
          <w:sz w:val="24"/>
        </w:rPr>
        <w:t> </w:t>
      </w:r>
      <w:r>
        <w:rPr>
          <w:sz w:val="24"/>
        </w:rPr>
        <w:t>permission</w:t>
      </w:r>
      <w:r>
        <w:rPr>
          <w:spacing w:val="40"/>
          <w:sz w:val="24"/>
        </w:rPr>
        <w:t> </w:t>
      </w:r>
      <w:r>
        <w:rPr>
          <w:sz w:val="24"/>
        </w:rPr>
        <w:t>application</w:t>
      </w:r>
      <w:r>
        <w:rPr>
          <w:spacing w:val="40"/>
          <w:sz w:val="24"/>
        </w:rPr>
        <w:t> </w:t>
      </w:r>
      <w:r>
        <w:rPr>
          <w:sz w:val="24"/>
        </w:rPr>
        <w:t>fee.</w:t>
      </w:r>
    </w:p>
    <w:p>
      <w:pPr>
        <w:pStyle w:val="ListParagraph"/>
        <w:numPr>
          <w:ilvl w:val="0"/>
          <w:numId w:val="16"/>
        </w:numPr>
        <w:tabs>
          <w:tab w:pos="1490" w:val="left" w:leader="none"/>
          <w:tab w:pos="1493" w:val="left" w:leader="none"/>
        </w:tabs>
        <w:spacing w:line="240" w:lineRule="auto" w:before="239" w:after="0"/>
        <w:ind w:left="1493" w:right="778" w:hanging="721"/>
        <w:jc w:val="both"/>
        <w:rPr>
          <w:sz w:val="24"/>
        </w:rPr>
      </w:pPr>
      <w:r>
        <w:rPr>
          <w:i/>
          <w:sz w:val="24"/>
        </w:rPr>
        <w:t>Security deposit </w:t>
      </w:r>
      <w:r>
        <w:rPr>
          <w:sz w:val="24"/>
        </w:rPr>
        <w:t>- To ensure compliance with these Regulations and the directions given in the sanctioned plan and other conditions, a security deposit,</w:t>
      </w:r>
      <w:r>
        <w:rPr>
          <w:spacing w:val="40"/>
          <w:sz w:val="24"/>
        </w:rPr>
        <w:t> </w:t>
      </w:r>
      <w:r>
        <w:rPr>
          <w:sz w:val="24"/>
        </w:rPr>
        <w:t>shall</w:t>
      </w:r>
      <w:r>
        <w:rPr>
          <w:spacing w:val="40"/>
          <w:sz w:val="24"/>
        </w:rPr>
        <w:t> </w:t>
      </w:r>
      <w:r>
        <w:rPr>
          <w:sz w:val="24"/>
        </w:rPr>
        <w:t>be</w:t>
      </w:r>
      <w:r>
        <w:rPr>
          <w:spacing w:val="40"/>
          <w:sz w:val="24"/>
        </w:rPr>
        <w:t> </w:t>
      </w:r>
      <w:r>
        <w:rPr>
          <w:sz w:val="24"/>
        </w:rPr>
        <w:t>charged</w:t>
      </w:r>
      <w:r>
        <w:rPr>
          <w:spacing w:val="40"/>
          <w:sz w:val="24"/>
        </w:rPr>
        <w:t> </w:t>
      </w:r>
      <w:r>
        <w:rPr>
          <w:sz w:val="24"/>
        </w:rPr>
        <w:t>at</w:t>
      </w:r>
      <w:r>
        <w:rPr>
          <w:spacing w:val="40"/>
          <w:sz w:val="24"/>
        </w:rPr>
        <w:t> </w:t>
      </w:r>
      <w:r>
        <w:rPr>
          <w:sz w:val="24"/>
        </w:rPr>
        <w:t>rates</w:t>
      </w:r>
      <w:r>
        <w:rPr>
          <w:spacing w:val="40"/>
          <w:sz w:val="24"/>
        </w:rPr>
        <w:t> </w:t>
      </w:r>
      <w:r>
        <w:rPr>
          <w:sz w:val="24"/>
        </w:rPr>
        <w:t>specified</w:t>
      </w:r>
      <w:r>
        <w:rPr>
          <w:spacing w:val="40"/>
          <w:sz w:val="24"/>
        </w:rPr>
        <w:t> </w:t>
      </w:r>
      <w:r>
        <w:rPr>
          <w:sz w:val="24"/>
        </w:rPr>
        <w:t>by</w:t>
      </w:r>
      <w:r>
        <w:rPr>
          <w:spacing w:val="40"/>
          <w:sz w:val="24"/>
        </w:rPr>
        <w:t> </w:t>
      </w:r>
      <w:r>
        <w:rPr>
          <w:sz w:val="24"/>
        </w:rPr>
        <w:t>the</w:t>
      </w:r>
      <w:r>
        <w:rPr>
          <w:spacing w:val="40"/>
          <w:sz w:val="24"/>
        </w:rPr>
        <w:t> </w:t>
      </w:r>
      <w:r>
        <w:rPr>
          <w:sz w:val="24"/>
        </w:rPr>
        <w:t>Commissioner.</w:t>
      </w:r>
      <w:r>
        <w:rPr>
          <w:spacing w:val="40"/>
          <w:sz w:val="24"/>
        </w:rPr>
        <w:t> </w:t>
      </w:r>
      <w:r>
        <w:rPr>
          <w:sz w:val="24"/>
        </w:rPr>
        <w:t>It</w:t>
      </w:r>
      <w:r>
        <w:rPr>
          <w:spacing w:val="40"/>
          <w:sz w:val="24"/>
        </w:rPr>
        <w:t> </w:t>
      </w:r>
      <w:r>
        <w:rPr>
          <w:sz w:val="24"/>
        </w:rPr>
        <w:t>shall be returned to the owner </w:t>
      </w:r>
      <w:r>
        <w:rPr>
          <w:color w:val="000000"/>
          <w:sz w:val="24"/>
          <w:shd w:fill="FFCCFF" w:color="auto" w:val="clear"/>
        </w:rPr>
        <w:t>immediately </w:t>
      </w:r>
      <w:r>
        <w:rPr>
          <w:color w:val="000000"/>
          <w:sz w:val="24"/>
        </w:rPr>
        <w:t>after the issue of the full occupancy certificate after the Commissioner is satisfied with the compliance</w:t>
      </w:r>
      <w:r>
        <w:rPr>
          <w:color w:val="000000"/>
          <w:spacing w:val="80"/>
          <w:sz w:val="24"/>
        </w:rPr>
        <w:t> </w:t>
      </w:r>
      <w:r>
        <w:rPr>
          <w:color w:val="000000"/>
          <w:sz w:val="24"/>
        </w:rPr>
        <w:t>with</w:t>
      </w:r>
      <w:r>
        <w:rPr>
          <w:color w:val="000000"/>
          <w:spacing w:val="80"/>
          <w:sz w:val="24"/>
        </w:rPr>
        <w:t> </w:t>
      </w:r>
      <w:r>
        <w:rPr>
          <w:color w:val="000000"/>
          <w:sz w:val="24"/>
        </w:rPr>
        <w:t>various</w:t>
      </w:r>
      <w:r>
        <w:rPr>
          <w:color w:val="000000"/>
          <w:spacing w:val="80"/>
          <w:sz w:val="24"/>
        </w:rPr>
        <w:t> </w:t>
      </w:r>
      <w:r>
        <w:rPr>
          <w:color w:val="000000"/>
          <w:sz w:val="24"/>
        </w:rPr>
        <w:t>conditions</w:t>
      </w:r>
      <w:r>
        <w:rPr>
          <w:color w:val="000000"/>
          <w:spacing w:val="80"/>
          <w:sz w:val="24"/>
        </w:rPr>
        <w:t> </w:t>
      </w:r>
      <w:r>
        <w:rPr>
          <w:color w:val="000000"/>
          <w:sz w:val="24"/>
        </w:rPr>
        <w:t>stipulated</w:t>
      </w:r>
      <w:r>
        <w:rPr>
          <w:color w:val="000000"/>
          <w:spacing w:val="80"/>
          <w:sz w:val="24"/>
        </w:rPr>
        <w:t> </w:t>
      </w:r>
      <w:r>
        <w:rPr>
          <w:color w:val="000000"/>
          <w:sz w:val="24"/>
        </w:rPr>
        <w:t>in</w:t>
      </w:r>
      <w:r>
        <w:rPr>
          <w:color w:val="000000"/>
          <w:spacing w:val="80"/>
          <w:sz w:val="24"/>
        </w:rPr>
        <w:t> </w:t>
      </w:r>
      <w:r>
        <w:rPr>
          <w:color w:val="000000"/>
          <w:sz w:val="24"/>
        </w:rPr>
        <w:t>the</w:t>
      </w:r>
      <w:r>
        <w:rPr>
          <w:color w:val="000000"/>
          <w:spacing w:val="80"/>
          <w:sz w:val="24"/>
        </w:rPr>
        <w:t> </w:t>
      </w:r>
      <w:r>
        <w:rPr>
          <w:color w:val="000000"/>
          <w:sz w:val="24"/>
        </w:rPr>
        <w:t>said</w:t>
      </w:r>
      <w:r>
        <w:rPr>
          <w:color w:val="000000"/>
          <w:spacing w:val="80"/>
          <w:sz w:val="24"/>
        </w:rPr>
        <w:t> </w:t>
      </w:r>
      <w:r>
        <w:rPr>
          <w:color w:val="000000"/>
          <w:sz w:val="24"/>
        </w:rPr>
        <w:t>full occupancy </w:t>
      </w:r>
      <w:r>
        <w:rPr>
          <w:color w:val="000000"/>
          <w:spacing w:val="9"/>
          <w:sz w:val="24"/>
        </w:rPr>
        <w:t>certificate.</w:t>
      </w:r>
    </w:p>
    <w:p>
      <w:pPr>
        <w:pStyle w:val="ListParagraph"/>
        <w:numPr>
          <w:ilvl w:val="0"/>
          <w:numId w:val="16"/>
        </w:numPr>
        <w:tabs>
          <w:tab w:pos="1490" w:val="left" w:leader="none"/>
          <w:tab w:pos="1493" w:val="left" w:leader="none"/>
        </w:tabs>
        <w:spacing w:line="240" w:lineRule="auto" w:before="241" w:after="0"/>
        <w:ind w:left="1493" w:right="786" w:hanging="721"/>
        <w:jc w:val="both"/>
        <w:rPr>
          <w:i/>
          <w:sz w:val="24"/>
        </w:rPr>
      </w:pPr>
      <w:r>
        <w:rPr>
          <w:i/>
          <w:sz w:val="24"/>
        </w:rPr>
        <w:t>Clearance</w:t>
      </w:r>
      <w:r>
        <w:rPr>
          <w:i/>
          <w:spacing w:val="40"/>
          <w:sz w:val="24"/>
        </w:rPr>
        <w:t> </w:t>
      </w:r>
      <w:r>
        <w:rPr>
          <w:i/>
          <w:sz w:val="24"/>
        </w:rPr>
        <w:t>certificate</w:t>
      </w:r>
      <w:r>
        <w:rPr>
          <w:i/>
          <w:spacing w:val="40"/>
          <w:sz w:val="24"/>
        </w:rPr>
        <w:t> </w:t>
      </w:r>
      <w:r>
        <w:rPr>
          <w:i/>
          <w:sz w:val="24"/>
        </w:rPr>
        <w:t>for</w:t>
      </w:r>
      <w:r>
        <w:rPr>
          <w:i/>
          <w:spacing w:val="40"/>
          <w:sz w:val="24"/>
        </w:rPr>
        <w:t> </w:t>
      </w:r>
      <w:r>
        <w:rPr>
          <w:i/>
          <w:sz w:val="24"/>
        </w:rPr>
        <w:t>tax</w:t>
      </w:r>
      <w:r>
        <w:rPr>
          <w:i/>
          <w:spacing w:val="40"/>
          <w:sz w:val="24"/>
        </w:rPr>
        <w:t> </w:t>
      </w:r>
      <w:r>
        <w:rPr>
          <w:i/>
          <w:sz w:val="24"/>
        </w:rPr>
        <w:t>arrears</w:t>
      </w:r>
      <w:r>
        <w:rPr>
          <w:i/>
          <w:spacing w:val="40"/>
          <w:sz w:val="24"/>
        </w:rPr>
        <w:t> </w:t>
      </w:r>
      <w:r>
        <w:rPr>
          <w:sz w:val="24"/>
        </w:rPr>
        <w:t>-</w:t>
      </w:r>
      <w:r>
        <w:rPr>
          <w:spacing w:val="40"/>
          <w:sz w:val="24"/>
        </w:rPr>
        <w:t> </w:t>
      </w:r>
      <w:r>
        <w:rPr>
          <w:sz w:val="24"/>
        </w:rPr>
        <w:t>The</w:t>
      </w:r>
      <w:r>
        <w:rPr>
          <w:spacing w:val="40"/>
          <w:sz w:val="24"/>
        </w:rPr>
        <w:t> </w:t>
      </w:r>
      <w:r>
        <w:rPr>
          <w:sz w:val="24"/>
        </w:rPr>
        <w:t>notice</w:t>
      </w:r>
      <w:r>
        <w:rPr>
          <w:spacing w:val="40"/>
          <w:sz w:val="24"/>
        </w:rPr>
        <w:t> </w:t>
      </w:r>
      <w:r>
        <w:rPr>
          <w:sz w:val="24"/>
        </w:rPr>
        <w:t>shall</w:t>
      </w:r>
      <w:r>
        <w:rPr>
          <w:spacing w:val="40"/>
          <w:sz w:val="24"/>
        </w:rPr>
        <w:t> </w:t>
      </w:r>
      <w:r>
        <w:rPr>
          <w:sz w:val="24"/>
        </w:rPr>
        <w:t>also</w:t>
      </w:r>
      <w:r>
        <w:rPr>
          <w:spacing w:val="40"/>
          <w:sz w:val="24"/>
        </w:rPr>
        <w:t> </w:t>
      </w:r>
      <w:r>
        <w:rPr>
          <w:sz w:val="24"/>
        </w:rPr>
        <w:t>be accompanied </w:t>
      </w:r>
      <w:r>
        <w:rPr>
          <w:spacing w:val="10"/>
          <w:sz w:val="24"/>
        </w:rPr>
        <w:t>by</w:t>
      </w:r>
      <w:r>
        <w:rPr>
          <w:color w:val="000000"/>
          <w:spacing w:val="10"/>
          <w:sz w:val="24"/>
          <w:shd w:fill="FFCCFF" w:color="auto" w:val="clear"/>
        </w:rPr>
        <w:t> </w:t>
      </w:r>
      <w:r>
        <w:rPr>
          <w:color w:val="000000"/>
          <w:spacing w:val="9"/>
          <w:sz w:val="24"/>
          <w:shd w:fill="FFCCFF" w:color="auto" w:val="clear"/>
        </w:rPr>
        <w:t>self-</w:t>
      </w:r>
      <w:r>
        <w:rPr>
          <w:color w:val="000000"/>
          <w:sz w:val="24"/>
          <w:shd w:fill="FFCCFF" w:color="auto" w:val="clear"/>
        </w:rPr>
        <w:t>certification by the owner/developer regarding</w:t>
      </w:r>
      <w:r>
        <w:rPr>
          <w:color w:val="000000"/>
          <w:sz w:val="24"/>
        </w:rPr>
        <w:t> </w:t>
      </w:r>
      <w:r>
        <w:rPr>
          <w:color w:val="000000"/>
          <w:sz w:val="24"/>
          <w:shd w:fill="FFCCFF" w:color="auto" w:val="clear"/>
        </w:rPr>
        <w:t>payment</w:t>
      </w:r>
      <w:r>
        <w:rPr>
          <w:color w:val="000000"/>
          <w:spacing w:val="40"/>
          <w:sz w:val="24"/>
          <w:shd w:fill="FFCCFF" w:color="auto" w:val="clear"/>
        </w:rPr>
        <w:t> </w:t>
      </w:r>
      <w:r>
        <w:rPr>
          <w:color w:val="000000"/>
          <w:sz w:val="24"/>
          <w:shd w:fill="FFCCFF" w:color="auto" w:val="clear"/>
        </w:rPr>
        <w:t>of</w:t>
      </w:r>
      <w:r>
        <w:rPr>
          <w:color w:val="000000"/>
          <w:spacing w:val="40"/>
          <w:sz w:val="24"/>
          <w:shd w:fill="FFCCFF" w:color="auto" w:val="clear"/>
        </w:rPr>
        <w:t> </w:t>
      </w:r>
      <w:r>
        <w:rPr>
          <w:color w:val="000000"/>
          <w:sz w:val="24"/>
          <w:shd w:fill="FFCCFF" w:color="auto" w:val="clear"/>
        </w:rPr>
        <w:t>tax</w:t>
      </w:r>
      <w:r>
        <w:rPr>
          <w:color w:val="000000"/>
          <w:spacing w:val="40"/>
          <w:sz w:val="24"/>
          <w:shd w:fill="FFCCFF" w:color="auto" w:val="clear"/>
        </w:rPr>
        <w:t> </w:t>
      </w:r>
      <w:r>
        <w:rPr>
          <w:color w:val="000000"/>
          <w:sz w:val="24"/>
          <w:shd w:fill="FFCCFF" w:color="auto" w:val="clear"/>
        </w:rPr>
        <w:t>up</w:t>
      </w:r>
      <w:r>
        <w:rPr>
          <w:color w:val="000000"/>
          <w:spacing w:val="40"/>
          <w:sz w:val="24"/>
          <w:shd w:fill="FFCCFF" w:color="auto" w:val="clear"/>
        </w:rPr>
        <w:t> </w:t>
      </w:r>
      <w:r>
        <w:rPr>
          <w:color w:val="000000"/>
          <w:sz w:val="24"/>
          <w:shd w:fill="FFCCFF" w:color="auto" w:val="clear"/>
        </w:rPr>
        <w:t>to</w:t>
      </w:r>
      <w:r>
        <w:rPr>
          <w:color w:val="000000"/>
          <w:spacing w:val="40"/>
          <w:sz w:val="24"/>
          <w:shd w:fill="FFCCFF" w:color="auto" w:val="clear"/>
        </w:rPr>
        <w:t> </w:t>
      </w:r>
      <w:r>
        <w:rPr>
          <w:color w:val="000000"/>
          <w:sz w:val="24"/>
          <w:shd w:fill="FFCCFF" w:color="auto" w:val="clear"/>
        </w:rPr>
        <w:t>date</w:t>
      </w:r>
      <w:r>
        <w:rPr>
          <w:color w:val="000000"/>
          <w:spacing w:val="40"/>
          <w:sz w:val="24"/>
          <w:shd w:fill="FFCCFF" w:color="auto" w:val="clear"/>
        </w:rPr>
        <w:t> </w:t>
      </w:r>
      <w:r>
        <w:rPr>
          <w:color w:val="000000"/>
          <w:sz w:val="24"/>
        </w:rPr>
        <w:t>with certified copies latest payment receipt.</w:t>
      </w:r>
    </w:p>
    <w:p>
      <w:pPr>
        <w:pStyle w:val="ListParagraph"/>
        <w:numPr>
          <w:ilvl w:val="0"/>
          <w:numId w:val="16"/>
        </w:numPr>
        <w:tabs>
          <w:tab w:pos="1490" w:val="left" w:leader="none"/>
          <w:tab w:pos="1493" w:val="left" w:leader="none"/>
        </w:tabs>
        <w:spacing w:line="240" w:lineRule="auto" w:before="240" w:after="0"/>
        <w:ind w:left="1493" w:right="773" w:hanging="721"/>
        <w:jc w:val="both"/>
        <w:rPr>
          <w:i/>
          <w:sz w:val="24"/>
        </w:rPr>
      </w:pPr>
      <w:r>
        <w:rPr>
          <w:i/>
          <w:sz w:val="24"/>
        </w:rPr>
        <w:t>No objection certificate </w:t>
      </w:r>
      <w:r>
        <w:rPr>
          <w:sz w:val="24"/>
        </w:rPr>
        <w:t>- For occupancies requiring clearance from authorities</w:t>
      </w:r>
      <w:r>
        <w:rPr>
          <w:spacing w:val="80"/>
          <w:sz w:val="24"/>
        </w:rPr>
        <w:t> </w:t>
      </w:r>
      <w:r>
        <w:rPr>
          <w:sz w:val="24"/>
        </w:rPr>
        <w:t>like</w:t>
      </w:r>
      <w:r>
        <w:rPr>
          <w:spacing w:val="80"/>
          <w:sz w:val="24"/>
        </w:rPr>
        <w:t> </w:t>
      </w:r>
      <w:r>
        <w:rPr>
          <w:sz w:val="24"/>
        </w:rPr>
        <w:t>the</w:t>
      </w:r>
      <w:r>
        <w:rPr>
          <w:spacing w:val="80"/>
          <w:sz w:val="24"/>
        </w:rPr>
        <w:t> </w:t>
      </w:r>
      <w:r>
        <w:rPr>
          <w:sz w:val="24"/>
        </w:rPr>
        <w:t>Civil</w:t>
      </w:r>
      <w:r>
        <w:rPr>
          <w:spacing w:val="80"/>
          <w:sz w:val="24"/>
        </w:rPr>
        <w:t> </w:t>
      </w:r>
      <w:r>
        <w:rPr>
          <w:sz w:val="24"/>
        </w:rPr>
        <w:t>Aviation</w:t>
      </w:r>
      <w:r>
        <w:rPr>
          <w:spacing w:val="80"/>
          <w:sz w:val="24"/>
        </w:rPr>
        <w:t> </w:t>
      </w:r>
      <w:r>
        <w:rPr>
          <w:sz w:val="24"/>
        </w:rPr>
        <w:t>Department,</w:t>
      </w:r>
      <w:r>
        <w:rPr>
          <w:spacing w:val="80"/>
          <w:sz w:val="24"/>
        </w:rPr>
        <w:t> </w:t>
      </w:r>
      <w:r>
        <w:rPr>
          <w:sz w:val="24"/>
        </w:rPr>
        <w:t>Directorate</w:t>
      </w:r>
      <w:r>
        <w:rPr>
          <w:spacing w:val="80"/>
          <w:sz w:val="24"/>
        </w:rPr>
        <w:t> </w:t>
      </w:r>
      <w:r>
        <w:rPr>
          <w:sz w:val="24"/>
        </w:rPr>
        <w:t>of Industries,</w:t>
      </w:r>
      <w:r>
        <w:rPr>
          <w:spacing w:val="80"/>
          <w:sz w:val="24"/>
        </w:rPr>
        <w:t> </w:t>
      </w:r>
      <w:r>
        <w:rPr>
          <w:sz w:val="24"/>
        </w:rPr>
        <w:t>Maharashtra</w:t>
      </w:r>
      <w:r>
        <w:rPr>
          <w:spacing w:val="80"/>
          <w:sz w:val="24"/>
        </w:rPr>
        <w:t> </w:t>
      </w:r>
      <w:r>
        <w:rPr>
          <w:sz w:val="24"/>
        </w:rPr>
        <w:t>Pollution</w:t>
      </w:r>
      <w:r>
        <w:rPr>
          <w:spacing w:val="80"/>
          <w:sz w:val="24"/>
        </w:rPr>
        <w:t> </w:t>
      </w:r>
      <w:r>
        <w:rPr>
          <w:sz w:val="24"/>
        </w:rPr>
        <w:t>Control</w:t>
      </w:r>
      <w:r>
        <w:rPr>
          <w:spacing w:val="80"/>
          <w:sz w:val="24"/>
        </w:rPr>
        <w:t> </w:t>
      </w:r>
      <w:r>
        <w:rPr>
          <w:sz w:val="24"/>
        </w:rPr>
        <w:t>Board,</w:t>
      </w:r>
      <w:r>
        <w:rPr>
          <w:spacing w:val="80"/>
          <w:sz w:val="24"/>
        </w:rPr>
        <w:t> </w:t>
      </w:r>
      <w:r>
        <w:rPr>
          <w:sz w:val="24"/>
        </w:rPr>
        <w:t>Inspectorate</w:t>
      </w:r>
      <w:r>
        <w:rPr>
          <w:spacing w:val="80"/>
          <w:sz w:val="24"/>
        </w:rPr>
        <w:t> </w:t>
      </w:r>
      <w:r>
        <w:rPr>
          <w:sz w:val="24"/>
        </w:rPr>
        <w:t>of Boilers</w:t>
      </w:r>
      <w:r>
        <w:rPr>
          <w:spacing w:val="80"/>
          <w:sz w:val="24"/>
        </w:rPr>
        <w:t> </w:t>
      </w:r>
      <w:r>
        <w:rPr>
          <w:sz w:val="24"/>
        </w:rPr>
        <w:t>and</w:t>
      </w:r>
      <w:r>
        <w:rPr>
          <w:spacing w:val="80"/>
          <w:sz w:val="24"/>
        </w:rPr>
        <w:t> </w:t>
      </w:r>
      <w:r>
        <w:rPr>
          <w:sz w:val="24"/>
        </w:rPr>
        <w:t>Smoke</w:t>
      </w:r>
      <w:r>
        <w:rPr>
          <w:spacing w:val="80"/>
          <w:sz w:val="24"/>
        </w:rPr>
        <w:t> </w:t>
      </w:r>
      <w:r>
        <w:rPr>
          <w:sz w:val="24"/>
        </w:rPr>
        <w:t>Nuisances,</w:t>
      </w:r>
      <w:r>
        <w:rPr>
          <w:spacing w:val="80"/>
          <w:sz w:val="24"/>
        </w:rPr>
        <w:t> </w:t>
      </w:r>
      <w:r>
        <w:rPr>
          <w:sz w:val="24"/>
        </w:rPr>
        <w:t>electrical</w:t>
      </w:r>
      <w:r>
        <w:rPr>
          <w:spacing w:val="80"/>
          <w:sz w:val="24"/>
        </w:rPr>
        <w:t> </w:t>
      </w:r>
      <w:r>
        <w:rPr>
          <w:sz w:val="24"/>
        </w:rPr>
        <w:t>distribution</w:t>
      </w:r>
      <w:r>
        <w:rPr>
          <w:spacing w:val="80"/>
          <w:sz w:val="24"/>
        </w:rPr>
        <w:t> </w:t>
      </w:r>
      <w:r>
        <w:rPr>
          <w:spacing w:val="9"/>
          <w:sz w:val="24"/>
        </w:rPr>
        <w:t>licensers </w:t>
      </w:r>
      <w:r>
        <w:rPr>
          <w:sz w:val="24"/>
        </w:rPr>
        <w:t>regarding</w:t>
      </w:r>
      <w:r>
        <w:rPr>
          <w:spacing w:val="40"/>
          <w:sz w:val="24"/>
        </w:rPr>
        <w:t> </w:t>
      </w:r>
      <w:r>
        <w:rPr>
          <w:sz w:val="24"/>
        </w:rPr>
        <w:t>requirements</w:t>
      </w:r>
      <w:r>
        <w:rPr>
          <w:spacing w:val="40"/>
          <w:sz w:val="24"/>
        </w:rPr>
        <w:t> </w:t>
      </w:r>
      <w:r>
        <w:rPr>
          <w:sz w:val="24"/>
        </w:rPr>
        <w:t>of</w:t>
      </w:r>
      <w:r>
        <w:rPr>
          <w:spacing w:val="40"/>
          <w:sz w:val="24"/>
        </w:rPr>
        <w:t> </w:t>
      </w:r>
      <w:r>
        <w:rPr>
          <w:sz w:val="24"/>
        </w:rPr>
        <w:t>electrical</w:t>
      </w:r>
      <w:r>
        <w:rPr>
          <w:spacing w:val="40"/>
          <w:sz w:val="24"/>
        </w:rPr>
        <w:t> </w:t>
      </w:r>
      <w:r>
        <w:rPr>
          <w:sz w:val="24"/>
        </w:rPr>
        <w:t>transforming</w:t>
      </w:r>
      <w:r>
        <w:rPr>
          <w:spacing w:val="40"/>
          <w:sz w:val="24"/>
        </w:rPr>
        <w:t> </w:t>
      </w:r>
      <w:r>
        <w:rPr>
          <w:sz w:val="24"/>
        </w:rPr>
        <w:t>stations,</w:t>
      </w:r>
      <w:r>
        <w:rPr>
          <w:spacing w:val="40"/>
          <w:sz w:val="24"/>
        </w:rPr>
        <w:t> </w:t>
      </w:r>
      <w:r>
        <w:rPr>
          <w:sz w:val="24"/>
        </w:rPr>
        <w:t>the</w:t>
      </w:r>
      <w:r>
        <w:rPr>
          <w:spacing w:val="40"/>
          <w:sz w:val="24"/>
        </w:rPr>
        <w:t> </w:t>
      </w:r>
      <w:r>
        <w:rPr>
          <w:sz w:val="24"/>
        </w:rPr>
        <w:t>no objection</w:t>
      </w:r>
      <w:r>
        <w:rPr>
          <w:spacing w:val="80"/>
          <w:sz w:val="24"/>
        </w:rPr>
        <w:t> </w:t>
      </w:r>
      <w:r>
        <w:rPr>
          <w:sz w:val="24"/>
        </w:rPr>
        <w:t>certificate</w:t>
      </w:r>
      <w:r>
        <w:rPr>
          <w:spacing w:val="80"/>
          <w:sz w:val="24"/>
        </w:rPr>
        <w:t> </w:t>
      </w:r>
      <w:r>
        <w:rPr>
          <w:sz w:val="24"/>
        </w:rPr>
        <w:t>from</w:t>
      </w:r>
      <w:r>
        <w:rPr>
          <w:spacing w:val="80"/>
          <w:sz w:val="24"/>
        </w:rPr>
        <w:t> </w:t>
      </w:r>
      <w:r>
        <w:rPr>
          <w:sz w:val="24"/>
        </w:rPr>
        <w:t>these</w:t>
      </w:r>
      <w:r>
        <w:rPr>
          <w:spacing w:val="80"/>
          <w:sz w:val="24"/>
        </w:rPr>
        <w:t> </w:t>
      </w:r>
      <w:r>
        <w:rPr>
          <w:sz w:val="24"/>
        </w:rPr>
        <w:t>authorities,</w:t>
      </w:r>
      <w:r>
        <w:rPr>
          <w:spacing w:val="80"/>
          <w:sz w:val="24"/>
        </w:rPr>
        <w:t> </w:t>
      </w:r>
      <w:r>
        <w:rPr>
          <w:sz w:val="24"/>
        </w:rPr>
        <w:t>applicable</w:t>
      </w:r>
      <w:r>
        <w:rPr>
          <w:spacing w:val="80"/>
          <w:sz w:val="24"/>
        </w:rPr>
        <w:t> </w:t>
      </w:r>
      <w:r>
        <w:rPr>
          <w:sz w:val="24"/>
        </w:rPr>
        <w:t>to</w:t>
      </w:r>
      <w:r>
        <w:rPr>
          <w:spacing w:val="80"/>
          <w:sz w:val="24"/>
        </w:rPr>
        <w:t> </w:t>
      </w:r>
      <w:r>
        <w:rPr>
          <w:sz w:val="24"/>
        </w:rPr>
        <w:t>the occupancy,</w:t>
      </w:r>
      <w:r>
        <w:rPr>
          <w:spacing w:val="40"/>
          <w:sz w:val="24"/>
        </w:rPr>
        <w:t> </w:t>
      </w:r>
      <w:r>
        <w:rPr>
          <w:sz w:val="24"/>
        </w:rPr>
        <w:t>shall</w:t>
      </w:r>
      <w:r>
        <w:rPr>
          <w:spacing w:val="40"/>
          <w:sz w:val="24"/>
        </w:rPr>
        <w:t> </w:t>
      </w:r>
      <w:r>
        <w:rPr>
          <w:sz w:val="24"/>
        </w:rPr>
        <w:t>also</w:t>
      </w:r>
      <w:r>
        <w:rPr>
          <w:spacing w:val="40"/>
          <w:sz w:val="24"/>
        </w:rPr>
        <w:t> </w:t>
      </w:r>
      <w:r>
        <w:rPr>
          <w:sz w:val="24"/>
        </w:rPr>
        <w:t>accompany</w:t>
      </w:r>
      <w:r>
        <w:rPr>
          <w:spacing w:val="40"/>
          <w:sz w:val="24"/>
        </w:rPr>
        <w:t> </w:t>
      </w:r>
      <w:r>
        <w:rPr>
          <w:sz w:val="24"/>
        </w:rPr>
        <w:t>the</w:t>
      </w:r>
      <w:r>
        <w:rPr>
          <w:spacing w:val="80"/>
          <w:sz w:val="24"/>
        </w:rPr>
        <w:t> </w:t>
      </w:r>
      <w:r>
        <w:rPr>
          <w:sz w:val="24"/>
        </w:rPr>
        <w:t>notice.</w:t>
      </w:r>
    </w:p>
    <w:p>
      <w:pPr>
        <w:pStyle w:val="ListParagraph"/>
        <w:numPr>
          <w:ilvl w:val="0"/>
          <w:numId w:val="16"/>
        </w:numPr>
        <w:tabs>
          <w:tab w:pos="1489" w:val="left" w:leader="none"/>
          <w:tab w:pos="1493" w:val="left" w:leader="none"/>
        </w:tabs>
        <w:spacing w:line="240" w:lineRule="auto" w:before="241" w:after="0"/>
        <w:ind w:left="1493" w:right="781" w:hanging="721"/>
        <w:jc w:val="both"/>
        <w:rPr>
          <w:sz w:val="24"/>
        </w:rPr>
      </w:pPr>
      <w:r>
        <w:rPr>
          <w:i/>
          <w:sz w:val="24"/>
        </w:rPr>
        <w:t>Other</w:t>
      </w:r>
      <w:r>
        <w:rPr>
          <w:i/>
          <w:spacing w:val="80"/>
          <w:sz w:val="24"/>
        </w:rPr>
        <w:t> </w:t>
      </w:r>
      <w:r>
        <w:rPr>
          <w:i/>
          <w:sz w:val="24"/>
        </w:rPr>
        <w:t>facilities</w:t>
      </w:r>
      <w:r>
        <w:rPr>
          <w:i/>
          <w:spacing w:val="80"/>
          <w:sz w:val="24"/>
        </w:rPr>
        <w:t> </w:t>
      </w:r>
      <w:r>
        <w:rPr>
          <w:i/>
          <w:sz w:val="24"/>
        </w:rPr>
        <w:t>to</w:t>
      </w:r>
      <w:r>
        <w:rPr>
          <w:i/>
          <w:spacing w:val="80"/>
          <w:sz w:val="24"/>
        </w:rPr>
        <w:t> </w:t>
      </w:r>
      <w:r>
        <w:rPr>
          <w:i/>
          <w:sz w:val="24"/>
        </w:rPr>
        <w:t>be</w:t>
      </w:r>
      <w:r>
        <w:rPr>
          <w:i/>
          <w:spacing w:val="80"/>
          <w:sz w:val="24"/>
        </w:rPr>
        <w:t> </w:t>
      </w:r>
      <w:r>
        <w:rPr>
          <w:i/>
          <w:sz w:val="24"/>
        </w:rPr>
        <w:t>provided</w:t>
      </w:r>
      <w:r>
        <w:rPr>
          <w:i/>
          <w:spacing w:val="80"/>
          <w:sz w:val="24"/>
        </w:rPr>
        <w:t> </w:t>
      </w:r>
      <w:r>
        <w:rPr>
          <w:i/>
          <w:sz w:val="24"/>
        </w:rPr>
        <w:t>during</w:t>
      </w:r>
      <w:r>
        <w:rPr>
          <w:i/>
          <w:spacing w:val="80"/>
          <w:sz w:val="24"/>
        </w:rPr>
        <w:t> </w:t>
      </w:r>
      <w:r>
        <w:rPr>
          <w:i/>
          <w:sz w:val="24"/>
        </w:rPr>
        <w:t>construction.</w:t>
      </w:r>
      <w:r>
        <w:rPr>
          <w:i/>
          <w:spacing w:val="80"/>
          <w:sz w:val="24"/>
        </w:rPr>
        <w:t> </w:t>
      </w:r>
      <w:r>
        <w:rPr>
          <w:sz w:val="24"/>
        </w:rPr>
        <w:t>-</w:t>
      </w:r>
      <w:r>
        <w:rPr>
          <w:spacing w:val="80"/>
          <w:sz w:val="24"/>
        </w:rPr>
        <w:t> </w:t>
      </w:r>
      <w:r>
        <w:rPr>
          <w:sz w:val="24"/>
        </w:rPr>
        <w:t>The</w:t>
      </w:r>
      <w:r>
        <w:rPr>
          <w:spacing w:val="80"/>
          <w:sz w:val="24"/>
        </w:rPr>
        <w:t> </w:t>
      </w:r>
      <w:r>
        <w:rPr>
          <w:sz w:val="24"/>
        </w:rPr>
        <w:t>notice</w:t>
      </w:r>
      <w:r>
        <w:rPr>
          <w:spacing w:val="80"/>
          <w:sz w:val="24"/>
        </w:rPr>
        <w:t> </w:t>
      </w:r>
      <w:r>
        <w:rPr>
          <w:sz w:val="24"/>
        </w:rPr>
        <w:t>shall also be accompanied by an undertaking from the owner/developer/contractor to the effect that during the period of construction</w:t>
      </w:r>
      <w:r>
        <w:rPr>
          <w:spacing w:val="80"/>
          <w:sz w:val="24"/>
        </w:rPr>
        <w:t> </w:t>
      </w:r>
      <w:r>
        <w:rPr>
          <w:sz w:val="24"/>
        </w:rPr>
        <w:t>facilities</w:t>
      </w:r>
      <w:r>
        <w:rPr>
          <w:spacing w:val="80"/>
          <w:sz w:val="24"/>
        </w:rPr>
        <w:t> </w:t>
      </w:r>
      <w:r>
        <w:rPr>
          <w:sz w:val="24"/>
        </w:rPr>
        <w:t>will</w:t>
      </w:r>
      <w:r>
        <w:rPr>
          <w:spacing w:val="80"/>
          <w:sz w:val="24"/>
        </w:rPr>
        <w:t> </w:t>
      </w:r>
      <w:r>
        <w:rPr>
          <w:sz w:val="24"/>
        </w:rPr>
        <w:t>be</w:t>
      </w:r>
      <w:r>
        <w:rPr>
          <w:spacing w:val="80"/>
          <w:sz w:val="24"/>
        </w:rPr>
        <w:t> </w:t>
      </w:r>
      <w:r>
        <w:rPr>
          <w:sz w:val="24"/>
        </w:rPr>
        <w:t>made</w:t>
      </w:r>
      <w:r>
        <w:rPr>
          <w:spacing w:val="80"/>
          <w:sz w:val="24"/>
        </w:rPr>
        <w:t> </w:t>
      </w:r>
      <w:r>
        <w:rPr>
          <w:sz w:val="24"/>
        </w:rPr>
        <w:t>available</w:t>
      </w:r>
      <w:r>
        <w:rPr>
          <w:spacing w:val="80"/>
          <w:sz w:val="24"/>
        </w:rPr>
        <w:t> </w:t>
      </w:r>
      <w:r>
        <w:rPr>
          <w:sz w:val="24"/>
        </w:rPr>
        <w:t>for</w:t>
      </w:r>
      <w:r>
        <w:rPr>
          <w:spacing w:val="80"/>
          <w:sz w:val="24"/>
        </w:rPr>
        <w:t> </w:t>
      </w:r>
      <w:r>
        <w:rPr>
          <w:spacing w:val="10"/>
          <w:sz w:val="24"/>
        </w:rPr>
        <w:t>day-</w:t>
      </w:r>
      <w:r>
        <w:rPr>
          <w:sz w:val="24"/>
        </w:rPr>
        <w:t>care</w:t>
      </w:r>
      <w:r>
        <w:rPr>
          <w:spacing w:val="80"/>
          <w:sz w:val="24"/>
        </w:rPr>
        <w:t> </w:t>
      </w:r>
      <w:r>
        <w:rPr>
          <w:sz w:val="24"/>
        </w:rPr>
        <w:t>centre, crèche, </w:t>
      </w:r>
      <w:r>
        <w:rPr>
          <w:spacing w:val="9"/>
          <w:sz w:val="24"/>
        </w:rPr>
        <w:t>adult-</w:t>
      </w:r>
      <w:r>
        <w:rPr>
          <w:sz w:val="24"/>
        </w:rPr>
        <w:t>literacy and </w:t>
      </w:r>
      <w:r>
        <w:rPr>
          <w:spacing w:val="10"/>
          <w:sz w:val="24"/>
        </w:rPr>
        <w:t>non-</w:t>
      </w:r>
      <w:r>
        <w:rPr>
          <w:sz w:val="24"/>
        </w:rPr>
        <w:t>formal education programs for the construction</w:t>
      </w:r>
      <w:r>
        <w:rPr>
          <w:spacing w:val="77"/>
          <w:sz w:val="24"/>
        </w:rPr>
        <w:t> </w:t>
      </w:r>
      <w:r>
        <w:rPr>
          <w:sz w:val="24"/>
        </w:rPr>
        <w:t>workers,</w:t>
      </w:r>
      <w:r>
        <w:rPr>
          <w:spacing w:val="77"/>
          <w:sz w:val="24"/>
        </w:rPr>
        <w:t> </w:t>
      </w:r>
      <w:r>
        <w:rPr>
          <w:sz w:val="24"/>
        </w:rPr>
        <w:t>directly</w:t>
      </w:r>
      <w:r>
        <w:rPr>
          <w:spacing w:val="77"/>
          <w:sz w:val="24"/>
        </w:rPr>
        <w:t> </w:t>
      </w:r>
      <w:r>
        <w:rPr>
          <w:sz w:val="24"/>
        </w:rPr>
        <w:t>by</w:t>
      </w:r>
      <w:r>
        <w:rPr>
          <w:spacing w:val="80"/>
          <w:sz w:val="24"/>
        </w:rPr>
        <w:t> </w:t>
      </w:r>
      <w:r>
        <w:rPr>
          <w:sz w:val="24"/>
        </w:rPr>
        <w:t>him</w:t>
      </w:r>
      <w:r>
        <w:rPr>
          <w:spacing w:val="80"/>
          <w:sz w:val="24"/>
        </w:rPr>
        <w:t> </w:t>
      </w:r>
      <w:r>
        <w:rPr>
          <w:sz w:val="24"/>
        </w:rPr>
        <w:t>or</w:t>
      </w:r>
      <w:r>
        <w:rPr>
          <w:spacing w:val="77"/>
          <w:sz w:val="24"/>
        </w:rPr>
        <w:t> </w:t>
      </w:r>
      <w:r>
        <w:rPr>
          <w:sz w:val="24"/>
        </w:rPr>
        <w:t>through</w:t>
      </w:r>
      <w:r>
        <w:rPr>
          <w:spacing w:val="77"/>
          <w:sz w:val="24"/>
        </w:rPr>
        <w:t> </w:t>
      </w:r>
      <w:r>
        <w:rPr>
          <w:sz w:val="24"/>
        </w:rPr>
        <w:t>a</w:t>
      </w:r>
      <w:r>
        <w:rPr>
          <w:spacing w:val="77"/>
          <w:sz w:val="24"/>
        </w:rPr>
        <w:t> </w:t>
      </w:r>
      <w:r>
        <w:rPr>
          <w:sz w:val="24"/>
        </w:rPr>
        <w:t>voluntary</w:t>
      </w:r>
      <w:r>
        <w:rPr>
          <w:spacing w:val="77"/>
          <w:sz w:val="24"/>
        </w:rPr>
        <w:t> </w:t>
      </w:r>
      <w:r>
        <w:rPr>
          <w:spacing w:val="9"/>
          <w:sz w:val="24"/>
        </w:rPr>
        <w:t>agency.</w:t>
      </w:r>
    </w:p>
    <w:p>
      <w:pPr>
        <w:pStyle w:val="ListParagraph"/>
        <w:spacing w:after="0" w:line="240" w:lineRule="auto"/>
        <w:jc w:val="both"/>
        <w:rPr>
          <w:sz w:val="24"/>
        </w:rPr>
        <w:sectPr>
          <w:pgSz w:w="11910" w:h="16840"/>
          <w:pgMar w:header="1036" w:footer="974" w:top="1460" w:bottom="1160" w:left="360" w:right="360"/>
        </w:sectPr>
      </w:pPr>
    </w:p>
    <w:p>
      <w:pPr>
        <w:pStyle w:val="BodyText"/>
        <w:jc w:val="left"/>
      </w:pPr>
    </w:p>
    <w:p>
      <w:pPr>
        <w:pStyle w:val="BodyText"/>
        <w:spacing w:before="235"/>
        <w:jc w:val="left"/>
      </w:pPr>
    </w:p>
    <w:p>
      <w:pPr>
        <w:pStyle w:val="Heading6"/>
        <w:numPr>
          <w:ilvl w:val="1"/>
          <w:numId w:val="10"/>
        </w:numPr>
        <w:tabs>
          <w:tab w:pos="1493" w:val="left" w:leader="none"/>
        </w:tabs>
        <w:spacing w:line="240" w:lineRule="auto" w:before="0" w:after="0"/>
        <w:ind w:left="1493" w:right="0" w:hanging="721"/>
        <w:jc w:val="left"/>
      </w:pPr>
      <w:r>
        <w:rPr/>
        <w:t>Signing</w:t>
      </w:r>
      <w:r>
        <w:rPr>
          <w:spacing w:val="55"/>
        </w:rPr>
        <w:t> </w:t>
      </w:r>
      <w:r>
        <w:rPr/>
        <w:t>of</w:t>
      </w:r>
      <w:r>
        <w:rPr>
          <w:spacing w:val="53"/>
        </w:rPr>
        <w:t> </w:t>
      </w:r>
      <w:r>
        <w:rPr/>
        <w:t>plans</w:t>
      </w:r>
      <w:r>
        <w:rPr>
          <w:spacing w:val="56"/>
        </w:rPr>
        <w:t> </w:t>
      </w:r>
      <w:r>
        <w:rPr/>
        <w:t>by</w:t>
      </w:r>
      <w:r>
        <w:rPr>
          <w:spacing w:val="52"/>
        </w:rPr>
        <w:t> </w:t>
      </w:r>
      <w:r>
        <w:rPr/>
        <w:t>owners</w:t>
      </w:r>
      <w:r>
        <w:rPr>
          <w:spacing w:val="53"/>
        </w:rPr>
        <w:t> </w:t>
      </w:r>
      <w:r>
        <w:rPr/>
        <w:t>and</w:t>
      </w:r>
      <w:r>
        <w:rPr>
          <w:spacing w:val="56"/>
        </w:rPr>
        <w:t> </w:t>
      </w:r>
      <w:r>
        <w:rPr/>
        <w:t>licensed</w:t>
      </w:r>
      <w:r>
        <w:rPr>
          <w:spacing w:val="56"/>
        </w:rPr>
        <w:t> </w:t>
      </w:r>
      <w:r>
        <w:rPr>
          <w:spacing w:val="7"/>
        </w:rPr>
        <w:t>personnel/architect:</w:t>
      </w:r>
    </w:p>
    <w:p>
      <w:pPr>
        <w:pStyle w:val="ListParagraph"/>
        <w:numPr>
          <w:ilvl w:val="0"/>
          <w:numId w:val="18"/>
        </w:numPr>
        <w:tabs>
          <w:tab w:pos="1814" w:val="left" w:leader="none"/>
        </w:tabs>
        <w:spacing w:line="240" w:lineRule="auto" w:before="242" w:after="0"/>
        <w:ind w:left="1493" w:right="783" w:firstLine="0"/>
        <w:jc w:val="both"/>
        <w:rPr>
          <w:sz w:val="24"/>
        </w:rPr>
      </w:pPr>
      <w:r>
        <w:rPr>
          <w:sz w:val="24"/>
        </w:rPr>
        <w:t>Signing </w:t>
      </w:r>
      <w:r>
        <w:rPr>
          <w:i/>
          <w:sz w:val="24"/>
        </w:rPr>
        <w:t>of Plans </w:t>
      </w:r>
      <w:r>
        <w:rPr>
          <w:sz w:val="24"/>
        </w:rPr>
        <w:t>- All the plans shall be signed by the owner and the licensed</w:t>
      </w:r>
      <w:r>
        <w:rPr>
          <w:spacing w:val="80"/>
          <w:sz w:val="24"/>
        </w:rPr>
        <w:t> </w:t>
      </w:r>
      <w:r>
        <w:rPr>
          <w:spacing w:val="9"/>
          <w:sz w:val="24"/>
        </w:rPr>
        <w:t>surveyor/engineer/structural</w:t>
      </w:r>
      <w:r>
        <w:rPr>
          <w:spacing w:val="80"/>
          <w:sz w:val="24"/>
        </w:rPr>
        <w:t> </w:t>
      </w:r>
      <w:r>
        <w:rPr>
          <w:sz w:val="24"/>
        </w:rPr>
        <w:t>engineer/supervisor</w:t>
      </w:r>
      <w:r>
        <w:rPr>
          <w:spacing w:val="80"/>
          <w:sz w:val="24"/>
        </w:rPr>
        <w:t> </w:t>
      </w:r>
      <w:r>
        <w:rPr>
          <w:spacing w:val="11"/>
          <w:sz w:val="24"/>
        </w:rPr>
        <w:t>or</w:t>
      </w:r>
      <w:r>
        <w:rPr>
          <w:spacing w:val="80"/>
          <w:sz w:val="24"/>
        </w:rPr>
        <w:t> </w:t>
      </w:r>
      <w:r>
        <w:rPr>
          <w:sz w:val="24"/>
        </w:rPr>
        <w:t>architect or any Professional on Record as the case may be, and shall indicate their names in block capital letters, addresses and license</w:t>
      </w:r>
      <w:r>
        <w:rPr>
          <w:spacing w:val="40"/>
          <w:sz w:val="24"/>
        </w:rPr>
        <w:t> </w:t>
      </w:r>
      <w:r>
        <w:rPr>
          <w:sz w:val="24"/>
        </w:rPr>
        <w:t>numbers when so licensed, allotted by the Commissioner. The list of Professionals</w:t>
      </w:r>
      <w:r>
        <w:rPr>
          <w:spacing w:val="40"/>
          <w:sz w:val="24"/>
        </w:rPr>
        <w:t> </w:t>
      </w:r>
      <w:r>
        <w:rPr>
          <w:sz w:val="24"/>
        </w:rPr>
        <w:t>on</w:t>
      </w:r>
      <w:r>
        <w:rPr>
          <w:spacing w:val="40"/>
          <w:sz w:val="24"/>
        </w:rPr>
        <w:t> </w:t>
      </w:r>
      <w:r>
        <w:rPr>
          <w:sz w:val="24"/>
        </w:rPr>
        <w:t>Record</w:t>
      </w:r>
      <w:r>
        <w:rPr>
          <w:spacing w:val="40"/>
          <w:sz w:val="24"/>
        </w:rPr>
        <w:t> </w:t>
      </w:r>
      <w:r>
        <w:rPr>
          <w:sz w:val="24"/>
        </w:rPr>
        <w:t>is</w:t>
      </w:r>
      <w:r>
        <w:rPr>
          <w:spacing w:val="40"/>
          <w:sz w:val="24"/>
        </w:rPr>
        <w:t> </w:t>
      </w:r>
      <w:r>
        <w:rPr>
          <w:sz w:val="24"/>
        </w:rPr>
        <w:t>as</w:t>
      </w:r>
      <w:r>
        <w:rPr>
          <w:spacing w:val="40"/>
          <w:sz w:val="24"/>
        </w:rPr>
        <w:t> </w:t>
      </w:r>
      <w:r>
        <w:rPr>
          <w:sz w:val="24"/>
        </w:rPr>
        <w:t>per</w:t>
      </w:r>
      <w:r>
        <w:rPr>
          <w:spacing w:val="40"/>
          <w:sz w:val="24"/>
        </w:rPr>
        <w:t> </w:t>
      </w:r>
      <w:r>
        <w:rPr>
          <w:sz w:val="24"/>
        </w:rPr>
        <w:t>Annexure</w:t>
      </w:r>
      <w:r>
        <w:rPr>
          <w:spacing w:val="40"/>
          <w:sz w:val="24"/>
        </w:rPr>
        <w:t> </w:t>
      </w:r>
      <w:r>
        <w:rPr>
          <w:sz w:val="24"/>
        </w:rPr>
        <w:t>10.</w:t>
      </w:r>
    </w:p>
    <w:p>
      <w:pPr>
        <w:pStyle w:val="ListParagraph"/>
        <w:numPr>
          <w:ilvl w:val="0"/>
          <w:numId w:val="18"/>
        </w:numPr>
        <w:tabs>
          <w:tab w:pos="1816" w:val="left" w:leader="none"/>
        </w:tabs>
        <w:spacing w:line="240" w:lineRule="auto" w:before="241" w:after="0"/>
        <w:ind w:left="1493" w:right="782" w:firstLine="0"/>
        <w:jc w:val="both"/>
        <w:rPr>
          <w:sz w:val="24"/>
        </w:rPr>
      </w:pPr>
      <w:r>
        <w:rPr>
          <w:i/>
          <w:sz w:val="24"/>
        </w:rPr>
        <w:t>Qualification and competence of the licensed </w:t>
      </w:r>
      <w:r>
        <w:rPr>
          <w:i/>
          <w:spacing w:val="9"/>
          <w:sz w:val="24"/>
        </w:rPr>
        <w:t>surveyor/engineer/structural</w:t>
      </w:r>
      <w:r>
        <w:rPr>
          <w:i/>
          <w:spacing w:val="9"/>
          <w:sz w:val="24"/>
        </w:rPr>
        <w:t> engineer/supervisor/Professional</w:t>
      </w:r>
      <w:r>
        <w:rPr>
          <w:i/>
          <w:spacing w:val="9"/>
          <w:sz w:val="24"/>
        </w:rPr>
        <w:t> </w:t>
      </w:r>
      <w:r>
        <w:rPr>
          <w:i/>
          <w:sz w:val="24"/>
        </w:rPr>
        <w:t>on Record </w:t>
      </w:r>
      <w:r>
        <w:rPr>
          <w:sz w:val="24"/>
        </w:rPr>
        <w:t>- The Commissioner</w:t>
      </w:r>
      <w:r>
        <w:rPr>
          <w:spacing w:val="40"/>
          <w:sz w:val="24"/>
        </w:rPr>
        <w:t> </w:t>
      </w:r>
      <w:r>
        <w:rPr>
          <w:sz w:val="24"/>
        </w:rPr>
        <w:t>may grant license to surveyors, engineers, structural engineers and supervisors with the qualifications listed in Annexure</w:t>
      </w:r>
      <w:r>
        <w:rPr>
          <w:spacing w:val="40"/>
          <w:sz w:val="24"/>
        </w:rPr>
        <w:t> </w:t>
      </w:r>
      <w:r>
        <w:rPr>
          <w:sz w:val="24"/>
        </w:rPr>
        <w:t>10</w:t>
      </w:r>
      <w:r>
        <w:rPr>
          <w:spacing w:val="40"/>
          <w:sz w:val="24"/>
        </w:rPr>
        <w:t> </w:t>
      </w:r>
      <w:r>
        <w:rPr>
          <w:sz w:val="24"/>
        </w:rPr>
        <w:t>to</w:t>
      </w:r>
      <w:r>
        <w:rPr>
          <w:spacing w:val="40"/>
          <w:sz w:val="24"/>
        </w:rPr>
        <w:t> </w:t>
      </w:r>
      <w:r>
        <w:rPr>
          <w:sz w:val="24"/>
        </w:rPr>
        <w:t>perform</w:t>
      </w:r>
      <w:r>
        <w:rPr>
          <w:spacing w:val="40"/>
          <w:sz w:val="24"/>
        </w:rPr>
        <w:t> </w:t>
      </w:r>
      <w:r>
        <w:rPr>
          <w:sz w:val="24"/>
        </w:rPr>
        <w:t>the</w:t>
      </w:r>
      <w:r>
        <w:rPr>
          <w:spacing w:val="40"/>
          <w:sz w:val="24"/>
        </w:rPr>
        <w:t> </w:t>
      </w:r>
      <w:r>
        <w:rPr>
          <w:sz w:val="24"/>
        </w:rPr>
        <w:t>tasks</w:t>
      </w:r>
      <w:r>
        <w:rPr>
          <w:spacing w:val="40"/>
          <w:sz w:val="24"/>
        </w:rPr>
        <w:t> </w:t>
      </w:r>
      <w:r>
        <w:rPr>
          <w:sz w:val="24"/>
        </w:rPr>
        <w:t>mentioned</w:t>
      </w:r>
      <w:r>
        <w:rPr>
          <w:spacing w:val="40"/>
          <w:sz w:val="24"/>
        </w:rPr>
        <w:t> </w:t>
      </w:r>
      <w:r>
        <w:rPr>
          <w:sz w:val="24"/>
        </w:rPr>
        <w:t>in</w:t>
      </w:r>
      <w:r>
        <w:rPr>
          <w:spacing w:val="40"/>
          <w:sz w:val="24"/>
        </w:rPr>
        <w:t> </w:t>
      </w:r>
      <w:r>
        <w:rPr>
          <w:sz w:val="24"/>
        </w:rPr>
        <w:t>that</w:t>
      </w:r>
      <w:r>
        <w:rPr>
          <w:spacing w:val="40"/>
          <w:sz w:val="24"/>
        </w:rPr>
        <w:t> </w:t>
      </w:r>
      <w:r>
        <w:rPr>
          <w:spacing w:val="9"/>
          <w:sz w:val="24"/>
        </w:rPr>
        <w:t>Annexure.</w:t>
      </w:r>
    </w:p>
    <w:p>
      <w:pPr>
        <w:pStyle w:val="Heading6"/>
        <w:numPr>
          <w:ilvl w:val="1"/>
          <w:numId w:val="10"/>
        </w:numPr>
        <w:tabs>
          <w:tab w:pos="1493" w:val="left" w:leader="none"/>
        </w:tabs>
        <w:spacing w:line="240" w:lineRule="auto" w:before="238" w:after="0"/>
        <w:ind w:left="1493" w:right="0" w:hanging="721"/>
        <w:jc w:val="left"/>
      </w:pPr>
      <w:r>
        <w:rPr/>
        <w:t>Processing</w:t>
      </w:r>
      <w:r>
        <w:rPr>
          <w:spacing w:val="75"/>
        </w:rPr>
        <w:t> </w:t>
      </w:r>
      <w:r>
        <w:rPr/>
        <w:t>of</w:t>
      </w:r>
      <w:r>
        <w:rPr>
          <w:spacing w:val="79"/>
        </w:rPr>
        <w:t> </w:t>
      </w:r>
      <w:r>
        <w:rPr/>
        <w:t>the</w:t>
      </w:r>
      <w:r>
        <w:rPr>
          <w:spacing w:val="79"/>
        </w:rPr>
        <w:t> </w:t>
      </w:r>
      <w:r>
        <w:rPr/>
        <w:t>development</w:t>
      </w:r>
      <w:r>
        <w:rPr>
          <w:spacing w:val="77"/>
        </w:rPr>
        <w:t> </w:t>
      </w:r>
      <w:r>
        <w:rPr/>
        <w:t>permission</w:t>
      </w:r>
      <w:r>
        <w:rPr>
          <w:spacing w:val="79"/>
        </w:rPr>
        <w:t> </w:t>
      </w:r>
      <w:r>
        <w:rPr>
          <w:spacing w:val="7"/>
        </w:rPr>
        <w:t>application:</w:t>
      </w:r>
    </w:p>
    <w:p>
      <w:pPr>
        <w:pStyle w:val="ListParagraph"/>
        <w:numPr>
          <w:ilvl w:val="0"/>
          <w:numId w:val="19"/>
        </w:numPr>
        <w:tabs>
          <w:tab w:pos="1493" w:val="left" w:leader="none"/>
          <w:tab w:pos="1882" w:val="left" w:leader="none"/>
        </w:tabs>
        <w:spacing w:line="240" w:lineRule="auto" w:before="242" w:after="0"/>
        <w:ind w:left="1493" w:right="771" w:hanging="12"/>
        <w:jc w:val="both"/>
        <w:rPr>
          <w:sz w:val="24"/>
        </w:rPr>
      </w:pPr>
      <w:r>
        <w:rPr>
          <w:i/>
          <w:sz w:val="24"/>
        </w:rPr>
        <w:t>Grant</w:t>
      </w:r>
      <w:r>
        <w:rPr>
          <w:i/>
          <w:spacing w:val="40"/>
          <w:sz w:val="24"/>
        </w:rPr>
        <w:t> </w:t>
      </w:r>
      <w:r>
        <w:rPr>
          <w:i/>
          <w:sz w:val="24"/>
        </w:rPr>
        <w:t>of</w:t>
      </w:r>
      <w:r>
        <w:rPr>
          <w:i/>
          <w:spacing w:val="40"/>
          <w:sz w:val="24"/>
        </w:rPr>
        <w:t> </w:t>
      </w:r>
      <w:r>
        <w:rPr>
          <w:i/>
          <w:sz w:val="24"/>
        </w:rPr>
        <w:t>permission</w:t>
      </w:r>
      <w:r>
        <w:rPr>
          <w:i/>
          <w:spacing w:val="40"/>
          <w:sz w:val="24"/>
        </w:rPr>
        <w:t> </w:t>
      </w:r>
      <w:r>
        <w:rPr>
          <w:i/>
          <w:sz w:val="24"/>
        </w:rPr>
        <w:t>or</w:t>
      </w:r>
      <w:r>
        <w:rPr>
          <w:i/>
          <w:spacing w:val="40"/>
          <w:sz w:val="24"/>
        </w:rPr>
        <w:t> </w:t>
      </w:r>
      <w:r>
        <w:rPr>
          <w:i/>
          <w:sz w:val="24"/>
        </w:rPr>
        <w:t>refusal.</w:t>
      </w:r>
      <w:r>
        <w:rPr>
          <w:i/>
          <w:spacing w:val="40"/>
          <w:sz w:val="24"/>
        </w:rPr>
        <w:t> </w:t>
      </w:r>
      <w:r>
        <w:rPr>
          <w:sz w:val="24"/>
        </w:rPr>
        <w:t>-</w:t>
      </w:r>
      <w:r>
        <w:rPr>
          <w:spacing w:val="40"/>
          <w:sz w:val="24"/>
        </w:rPr>
        <w:t> </w:t>
      </w:r>
      <w:r>
        <w:rPr>
          <w:sz w:val="24"/>
        </w:rPr>
        <w:t>The</w:t>
      </w:r>
      <w:r>
        <w:rPr>
          <w:spacing w:val="40"/>
          <w:sz w:val="24"/>
        </w:rPr>
        <w:t> </w:t>
      </w:r>
      <w:r>
        <w:rPr>
          <w:sz w:val="24"/>
        </w:rPr>
        <w:t>Commissioner</w:t>
      </w:r>
      <w:r>
        <w:rPr>
          <w:spacing w:val="40"/>
          <w:sz w:val="24"/>
        </w:rPr>
        <w:t> </w:t>
      </w:r>
      <w:r>
        <w:rPr>
          <w:sz w:val="24"/>
        </w:rPr>
        <w:t>may</w:t>
      </w:r>
      <w:r>
        <w:rPr>
          <w:spacing w:val="40"/>
          <w:sz w:val="24"/>
        </w:rPr>
        <w:t> </w:t>
      </w:r>
      <w:r>
        <w:rPr>
          <w:sz w:val="24"/>
        </w:rPr>
        <w:t>either sanction</w:t>
      </w:r>
      <w:r>
        <w:rPr>
          <w:spacing w:val="40"/>
          <w:sz w:val="24"/>
        </w:rPr>
        <w:t> </w:t>
      </w:r>
      <w:r>
        <w:rPr>
          <w:sz w:val="24"/>
        </w:rPr>
        <w:t>or</w:t>
      </w:r>
      <w:r>
        <w:rPr>
          <w:spacing w:val="40"/>
          <w:sz w:val="24"/>
        </w:rPr>
        <w:t> </w:t>
      </w:r>
      <w:r>
        <w:rPr>
          <w:sz w:val="24"/>
        </w:rPr>
        <w:t>refuse</w:t>
      </w:r>
      <w:r>
        <w:rPr>
          <w:spacing w:val="40"/>
          <w:sz w:val="24"/>
        </w:rPr>
        <w:t> </w:t>
      </w:r>
      <w:r>
        <w:rPr>
          <w:sz w:val="24"/>
        </w:rPr>
        <w:t>to</w:t>
      </w:r>
      <w:r>
        <w:rPr>
          <w:spacing w:val="40"/>
          <w:sz w:val="24"/>
        </w:rPr>
        <w:t> </w:t>
      </w:r>
      <w:r>
        <w:rPr>
          <w:sz w:val="24"/>
        </w:rPr>
        <w:t>sanction</w:t>
      </w:r>
      <w:r>
        <w:rPr>
          <w:spacing w:val="40"/>
          <w:sz w:val="24"/>
        </w:rPr>
        <w:t> </w:t>
      </w:r>
      <w:r>
        <w:rPr>
          <w:sz w:val="24"/>
        </w:rPr>
        <w:t>the</w:t>
      </w:r>
      <w:r>
        <w:rPr>
          <w:spacing w:val="40"/>
          <w:sz w:val="24"/>
        </w:rPr>
        <w:t> </w:t>
      </w:r>
      <w:r>
        <w:rPr>
          <w:sz w:val="24"/>
        </w:rPr>
        <w:t>plans</w:t>
      </w:r>
      <w:r>
        <w:rPr>
          <w:spacing w:val="40"/>
          <w:sz w:val="24"/>
        </w:rPr>
        <w:t> </w:t>
      </w:r>
      <w:r>
        <w:rPr>
          <w:sz w:val="24"/>
        </w:rPr>
        <w:t>and</w:t>
      </w:r>
      <w:r>
        <w:rPr>
          <w:spacing w:val="40"/>
          <w:sz w:val="24"/>
        </w:rPr>
        <w:t> </w:t>
      </w:r>
      <w:r>
        <w:rPr>
          <w:sz w:val="24"/>
        </w:rPr>
        <w:t>specifications</w:t>
      </w:r>
      <w:r>
        <w:rPr>
          <w:spacing w:val="40"/>
          <w:sz w:val="24"/>
        </w:rPr>
        <w:t> </w:t>
      </w:r>
      <w:r>
        <w:rPr>
          <w:sz w:val="24"/>
        </w:rPr>
        <w:t>or</w:t>
      </w:r>
      <w:r>
        <w:rPr>
          <w:spacing w:val="9"/>
          <w:sz w:val="24"/>
        </w:rPr>
        <w:t> may </w:t>
      </w:r>
      <w:r>
        <w:rPr>
          <w:sz w:val="24"/>
        </w:rPr>
        <w:t>sanction them with such modifications or directions as he may deem necessary,</w:t>
      </w:r>
      <w:r>
        <w:rPr>
          <w:spacing w:val="40"/>
          <w:sz w:val="24"/>
        </w:rPr>
        <w:t> </w:t>
      </w:r>
      <w:r>
        <w:rPr>
          <w:sz w:val="24"/>
        </w:rPr>
        <w:t>and</w:t>
      </w:r>
      <w:r>
        <w:rPr>
          <w:spacing w:val="40"/>
          <w:sz w:val="24"/>
        </w:rPr>
        <w:t> </w:t>
      </w:r>
      <w:r>
        <w:rPr>
          <w:sz w:val="24"/>
        </w:rPr>
        <w:t>thereupon,</w:t>
      </w:r>
      <w:r>
        <w:rPr>
          <w:spacing w:val="40"/>
          <w:sz w:val="24"/>
        </w:rPr>
        <w:t> </w:t>
      </w:r>
      <w:r>
        <w:rPr>
          <w:sz w:val="24"/>
        </w:rPr>
        <w:t>he</w:t>
      </w:r>
      <w:r>
        <w:rPr>
          <w:spacing w:val="40"/>
          <w:sz w:val="24"/>
        </w:rPr>
        <w:t> </w:t>
      </w:r>
      <w:r>
        <w:rPr>
          <w:sz w:val="24"/>
        </w:rPr>
        <w:t>shall</w:t>
      </w:r>
      <w:r>
        <w:rPr>
          <w:spacing w:val="40"/>
          <w:sz w:val="24"/>
        </w:rPr>
        <w:t> </w:t>
      </w:r>
      <w:r>
        <w:rPr>
          <w:sz w:val="24"/>
        </w:rPr>
        <w:t>communicate</w:t>
      </w:r>
      <w:r>
        <w:rPr>
          <w:spacing w:val="40"/>
          <w:sz w:val="24"/>
        </w:rPr>
        <w:t> </w:t>
      </w:r>
      <w:r>
        <w:rPr>
          <w:sz w:val="24"/>
        </w:rPr>
        <w:t>his</w:t>
      </w:r>
      <w:r>
        <w:rPr>
          <w:spacing w:val="40"/>
          <w:sz w:val="24"/>
        </w:rPr>
        <w:t> </w:t>
      </w:r>
      <w:r>
        <w:rPr>
          <w:sz w:val="24"/>
        </w:rPr>
        <w:t>decision</w:t>
      </w:r>
      <w:r>
        <w:rPr>
          <w:spacing w:val="40"/>
          <w:sz w:val="24"/>
        </w:rPr>
        <w:t> </w:t>
      </w:r>
      <w:r>
        <w:rPr>
          <w:sz w:val="24"/>
        </w:rPr>
        <w:t>accordingly to the person giving the notice in the formats specified in Annexure 11 and 12</w:t>
      </w:r>
    </w:p>
    <w:p>
      <w:pPr>
        <w:pStyle w:val="ListParagraph"/>
        <w:numPr>
          <w:ilvl w:val="0"/>
          <w:numId w:val="19"/>
        </w:numPr>
        <w:tabs>
          <w:tab w:pos="1493" w:val="left" w:leader="none"/>
          <w:tab w:pos="1968" w:val="left" w:leader="none"/>
        </w:tabs>
        <w:spacing w:line="240" w:lineRule="auto" w:before="241" w:after="0"/>
        <w:ind w:left="1493" w:right="782" w:hanging="12"/>
        <w:jc w:val="both"/>
        <w:rPr>
          <w:sz w:val="24"/>
        </w:rPr>
      </w:pPr>
      <w:r>
        <w:rPr>
          <w:i/>
          <w:sz w:val="24"/>
        </w:rPr>
        <w:t>Fire</w:t>
      </w:r>
      <w:r>
        <w:rPr>
          <w:i/>
          <w:spacing w:val="40"/>
          <w:sz w:val="24"/>
        </w:rPr>
        <w:t> </w:t>
      </w:r>
      <w:r>
        <w:rPr>
          <w:i/>
          <w:sz w:val="24"/>
        </w:rPr>
        <w:t>brigade</w:t>
      </w:r>
      <w:r>
        <w:rPr>
          <w:i/>
          <w:spacing w:val="40"/>
          <w:sz w:val="24"/>
        </w:rPr>
        <w:t> </w:t>
      </w:r>
      <w:r>
        <w:rPr>
          <w:i/>
          <w:sz w:val="24"/>
        </w:rPr>
        <w:t>scrutiny.</w:t>
      </w:r>
      <w:r>
        <w:rPr>
          <w:i/>
          <w:spacing w:val="40"/>
          <w:sz w:val="24"/>
        </w:rPr>
        <w:t> </w:t>
      </w:r>
      <w:r>
        <w:rPr>
          <w:spacing w:val="12"/>
          <w:sz w:val="24"/>
        </w:rPr>
        <w:t>-</w:t>
      </w:r>
      <w:r>
        <w:rPr>
          <w:sz w:val="24"/>
        </w:rPr>
        <w:t>The</w:t>
      </w:r>
      <w:r>
        <w:rPr>
          <w:spacing w:val="40"/>
          <w:sz w:val="24"/>
        </w:rPr>
        <w:t> </w:t>
      </w:r>
      <w:r>
        <w:rPr>
          <w:sz w:val="24"/>
        </w:rPr>
        <w:t>plans</w:t>
      </w:r>
      <w:r>
        <w:rPr>
          <w:spacing w:val="40"/>
          <w:sz w:val="24"/>
        </w:rPr>
        <w:t> </w:t>
      </w:r>
      <w:r>
        <w:rPr>
          <w:sz w:val="24"/>
        </w:rPr>
        <w:t>for</w:t>
      </w:r>
      <w:r>
        <w:rPr>
          <w:spacing w:val="40"/>
          <w:sz w:val="24"/>
        </w:rPr>
        <w:t> </w:t>
      </w:r>
      <w:r>
        <w:rPr>
          <w:sz w:val="24"/>
        </w:rPr>
        <w:t>all</w:t>
      </w:r>
      <w:r>
        <w:rPr>
          <w:spacing w:val="40"/>
          <w:sz w:val="24"/>
        </w:rPr>
        <w:t> </w:t>
      </w:r>
      <w:r>
        <w:rPr>
          <w:sz w:val="24"/>
        </w:rPr>
        <w:t>high</w:t>
      </w:r>
      <w:r>
        <w:rPr>
          <w:spacing w:val="40"/>
          <w:sz w:val="24"/>
        </w:rPr>
        <w:t> </w:t>
      </w:r>
      <w:r>
        <w:rPr>
          <w:sz w:val="24"/>
        </w:rPr>
        <w:t>rise</w:t>
      </w:r>
      <w:r>
        <w:rPr>
          <w:spacing w:val="40"/>
          <w:sz w:val="24"/>
        </w:rPr>
        <w:t> </w:t>
      </w:r>
      <w:r>
        <w:rPr>
          <w:sz w:val="24"/>
        </w:rPr>
        <w:t>and</w:t>
      </w:r>
      <w:r>
        <w:rPr>
          <w:spacing w:val="40"/>
          <w:sz w:val="24"/>
        </w:rPr>
        <w:t> </w:t>
      </w:r>
      <w:r>
        <w:rPr>
          <w:sz w:val="24"/>
        </w:rPr>
        <w:t>special buildings</w:t>
      </w:r>
      <w:r>
        <w:rPr>
          <w:spacing w:val="40"/>
          <w:sz w:val="24"/>
        </w:rPr>
        <w:t> </w:t>
      </w:r>
      <w:r>
        <w:rPr>
          <w:sz w:val="24"/>
        </w:rPr>
        <w:t>shall</w:t>
      </w:r>
      <w:r>
        <w:rPr>
          <w:spacing w:val="40"/>
          <w:sz w:val="24"/>
        </w:rPr>
        <w:t> </w:t>
      </w:r>
      <w:r>
        <w:rPr>
          <w:sz w:val="24"/>
        </w:rPr>
        <w:t>also</w:t>
      </w:r>
      <w:r>
        <w:rPr>
          <w:spacing w:val="40"/>
          <w:sz w:val="24"/>
        </w:rPr>
        <w:t> </w:t>
      </w:r>
      <w:r>
        <w:rPr>
          <w:sz w:val="24"/>
        </w:rPr>
        <w:t>be</w:t>
      </w:r>
      <w:r>
        <w:rPr>
          <w:spacing w:val="40"/>
          <w:sz w:val="24"/>
        </w:rPr>
        <w:t> </w:t>
      </w:r>
      <w:r>
        <w:rPr>
          <w:sz w:val="24"/>
        </w:rPr>
        <w:t>subject</w:t>
      </w:r>
      <w:r>
        <w:rPr>
          <w:spacing w:val="40"/>
          <w:sz w:val="24"/>
        </w:rPr>
        <w:t> </w:t>
      </w:r>
      <w:r>
        <w:rPr>
          <w:sz w:val="24"/>
        </w:rPr>
        <w:t>to</w:t>
      </w:r>
      <w:r>
        <w:rPr>
          <w:spacing w:val="40"/>
          <w:sz w:val="24"/>
        </w:rPr>
        <w:t> </w:t>
      </w:r>
      <w:r>
        <w:rPr>
          <w:sz w:val="24"/>
        </w:rPr>
        <w:t>the</w:t>
      </w:r>
      <w:r>
        <w:rPr>
          <w:spacing w:val="40"/>
          <w:sz w:val="24"/>
        </w:rPr>
        <w:t> </w:t>
      </w:r>
      <w:r>
        <w:rPr>
          <w:sz w:val="24"/>
        </w:rPr>
        <w:t>scrutiny</w:t>
      </w:r>
      <w:r>
        <w:rPr>
          <w:spacing w:val="40"/>
          <w:sz w:val="24"/>
        </w:rPr>
        <w:t> </w:t>
      </w:r>
      <w:r>
        <w:rPr>
          <w:sz w:val="24"/>
        </w:rPr>
        <w:t>of</w:t>
      </w:r>
      <w:r>
        <w:rPr>
          <w:spacing w:val="40"/>
          <w:sz w:val="24"/>
        </w:rPr>
        <w:t> </w:t>
      </w:r>
      <w:r>
        <w:rPr>
          <w:sz w:val="24"/>
        </w:rPr>
        <w:t>the</w:t>
      </w:r>
      <w:r>
        <w:rPr>
          <w:spacing w:val="40"/>
          <w:sz w:val="24"/>
        </w:rPr>
        <w:t> </w:t>
      </w:r>
      <w:r>
        <w:rPr>
          <w:sz w:val="24"/>
        </w:rPr>
        <w:t>Chief</w:t>
      </w:r>
      <w:r>
        <w:rPr>
          <w:spacing w:val="40"/>
          <w:sz w:val="24"/>
        </w:rPr>
        <w:t> </w:t>
      </w:r>
      <w:r>
        <w:rPr>
          <w:sz w:val="24"/>
        </w:rPr>
        <w:t>Fire</w:t>
      </w:r>
      <w:r>
        <w:rPr>
          <w:spacing w:val="40"/>
          <w:sz w:val="24"/>
        </w:rPr>
        <w:t> </w:t>
      </w:r>
      <w:r>
        <w:rPr>
          <w:sz w:val="24"/>
        </w:rPr>
        <w:t>Officer, and</w:t>
      </w:r>
      <w:r>
        <w:rPr>
          <w:spacing w:val="40"/>
          <w:sz w:val="24"/>
        </w:rPr>
        <w:t> </w:t>
      </w:r>
      <w:r>
        <w:rPr>
          <w:sz w:val="24"/>
        </w:rPr>
        <w:t>development</w:t>
      </w:r>
      <w:r>
        <w:rPr>
          <w:spacing w:val="40"/>
          <w:sz w:val="24"/>
        </w:rPr>
        <w:t> </w:t>
      </w:r>
      <w:r>
        <w:rPr>
          <w:sz w:val="24"/>
        </w:rPr>
        <w:t>permission</w:t>
      </w:r>
      <w:r>
        <w:rPr>
          <w:spacing w:val="40"/>
          <w:sz w:val="24"/>
        </w:rPr>
        <w:t> </w:t>
      </w:r>
      <w:r>
        <w:rPr>
          <w:sz w:val="24"/>
        </w:rPr>
        <w:t>shall</w:t>
      </w:r>
      <w:r>
        <w:rPr>
          <w:spacing w:val="40"/>
          <w:sz w:val="24"/>
        </w:rPr>
        <w:t> </w:t>
      </w:r>
      <w:r>
        <w:rPr>
          <w:sz w:val="24"/>
        </w:rPr>
        <w:t>be</w:t>
      </w:r>
      <w:r>
        <w:rPr>
          <w:spacing w:val="40"/>
          <w:sz w:val="24"/>
        </w:rPr>
        <w:t> </w:t>
      </w:r>
      <w:r>
        <w:rPr>
          <w:sz w:val="24"/>
        </w:rPr>
        <w:t>given</w:t>
      </w:r>
      <w:r>
        <w:rPr>
          <w:spacing w:val="40"/>
          <w:sz w:val="24"/>
        </w:rPr>
        <w:t> </w:t>
      </w:r>
      <w:r>
        <w:rPr>
          <w:sz w:val="24"/>
        </w:rPr>
        <w:t>by</w:t>
      </w:r>
      <w:r>
        <w:rPr>
          <w:spacing w:val="40"/>
          <w:sz w:val="24"/>
        </w:rPr>
        <w:t> </w:t>
      </w:r>
      <w:r>
        <w:rPr>
          <w:sz w:val="24"/>
        </w:rPr>
        <w:t>the</w:t>
      </w:r>
      <w:r>
        <w:rPr>
          <w:spacing w:val="40"/>
          <w:sz w:val="24"/>
        </w:rPr>
        <w:t> </w:t>
      </w:r>
      <w:r>
        <w:rPr>
          <w:sz w:val="24"/>
        </w:rPr>
        <w:t>Commissioner</w:t>
      </w:r>
      <w:r>
        <w:rPr>
          <w:spacing w:val="40"/>
          <w:sz w:val="24"/>
        </w:rPr>
        <w:t> </w:t>
      </w:r>
      <w:r>
        <w:rPr>
          <w:sz w:val="24"/>
        </w:rPr>
        <w:t>only after</w:t>
      </w:r>
      <w:r>
        <w:rPr>
          <w:spacing w:val="40"/>
          <w:sz w:val="24"/>
        </w:rPr>
        <w:t> </w:t>
      </w:r>
      <w:r>
        <w:rPr>
          <w:sz w:val="24"/>
        </w:rPr>
        <w:t>clearance</w:t>
      </w:r>
      <w:r>
        <w:rPr>
          <w:spacing w:val="40"/>
          <w:sz w:val="24"/>
        </w:rPr>
        <w:t> </w:t>
      </w:r>
      <w:r>
        <w:rPr>
          <w:sz w:val="24"/>
        </w:rPr>
        <w:t>by</w:t>
      </w:r>
      <w:r>
        <w:rPr>
          <w:spacing w:val="40"/>
          <w:sz w:val="24"/>
        </w:rPr>
        <w:t> </w:t>
      </w:r>
      <w:r>
        <w:rPr>
          <w:sz w:val="24"/>
        </w:rPr>
        <w:t>the</w:t>
      </w:r>
      <w:r>
        <w:rPr>
          <w:spacing w:val="40"/>
          <w:sz w:val="24"/>
        </w:rPr>
        <w:t> </w:t>
      </w:r>
      <w:r>
        <w:rPr>
          <w:sz w:val="24"/>
        </w:rPr>
        <w:t>Chief</w:t>
      </w:r>
      <w:r>
        <w:rPr>
          <w:spacing w:val="40"/>
          <w:sz w:val="24"/>
        </w:rPr>
        <w:t> </w:t>
      </w:r>
      <w:r>
        <w:rPr>
          <w:sz w:val="24"/>
        </w:rPr>
        <w:t>Fire</w:t>
      </w:r>
      <w:r>
        <w:rPr>
          <w:spacing w:val="40"/>
          <w:sz w:val="24"/>
        </w:rPr>
        <w:t> </w:t>
      </w:r>
      <w:r>
        <w:rPr>
          <w:sz w:val="24"/>
        </w:rPr>
        <w:t>Officer.</w:t>
      </w:r>
    </w:p>
    <w:p>
      <w:pPr>
        <w:pStyle w:val="ListParagraph"/>
        <w:numPr>
          <w:ilvl w:val="0"/>
          <w:numId w:val="19"/>
        </w:numPr>
        <w:tabs>
          <w:tab w:pos="1493" w:val="left" w:leader="none"/>
          <w:tab w:pos="1959" w:val="left" w:leader="none"/>
        </w:tabs>
        <w:spacing w:line="240" w:lineRule="auto" w:before="239" w:after="0"/>
        <w:ind w:left="1493" w:right="779" w:hanging="12"/>
        <w:jc w:val="both"/>
        <w:rPr>
          <w:sz w:val="24"/>
        </w:rPr>
      </w:pPr>
      <w:r>
        <w:rPr>
          <w:i/>
          <w:sz w:val="24"/>
        </w:rPr>
        <w:t>Deemed </w:t>
      </w:r>
      <w:r>
        <w:rPr>
          <w:i/>
          <w:spacing w:val="9"/>
          <w:sz w:val="24"/>
        </w:rPr>
        <w:t>permission</w:t>
      </w:r>
      <w:r>
        <w:rPr>
          <w:spacing w:val="9"/>
          <w:sz w:val="24"/>
        </w:rPr>
        <w:t>.-</w:t>
      </w:r>
      <w:r>
        <w:rPr>
          <w:sz w:val="24"/>
        </w:rPr>
        <w:t>If within sixty days of the receipt of the notice under </w:t>
      </w:r>
      <w:r>
        <w:rPr>
          <w:spacing w:val="10"/>
          <w:sz w:val="24"/>
        </w:rPr>
        <w:t>sub-</w:t>
      </w:r>
      <w:r>
        <w:rPr>
          <w:sz w:val="24"/>
        </w:rPr>
        <w:t>Regulations (1) of Regulations 10, the Commissioner fails to intimate</w:t>
      </w:r>
      <w:r>
        <w:rPr>
          <w:spacing w:val="40"/>
          <w:sz w:val="24"/>
        </w:rPr>
        <w:t> </w:t>
      </w:r>
      <w:r>
        <w:rPr>
          <w:sz w:val="24"/>
        </w:rPr>
        <w:t>in</w:t>
      </w:r>
      <w:r>
        <w:rPr>
          <w:spacing w:val="40"/>
          <w:sz w:val="24"/>
        </w:rPr>
        <w:t> </w:t>
      </w:r>
      <w:r>
        <w:rPr>
          <w:sz w:val="24"/>
        </w:rPr>
        <w:t>writing</w:t>
      </w:r>
      <w:r>
        <w:rPr>
          <w:spacing w:val="40"/>
          <w:sz w:val="24"/>
        </w:rPr>
        <w:t> </w:t>
      </w:r>
      <w:r>
        <w:rPr>
          <w:sz w:val="24"/>
        </w:rPr>
        <w:t>to</w:t>
      </w:r>
      <w:r>
        <w:rPr>
          <w:spacing w:val="40"/>
          <w:sz w:val="24"/>
        </w:rPr>
        <w:t> </w:t>
      </w:r>
      <w:r>
        <w:rPr>
          <w:sz w:val="24"/>
        </w:rPr>
        <w:t>the</w:t>
      </w:r>
      <w:r>
        <w:rPr>
          <w:spacing w:val="40"/>
          <w:sz w:val="24"/>
        </w:rPr>
        <w:t> </w:t>
      </w:r>
      <w:r>
        <w:rPr>
          <w:sz w:val="24"/>
        </w:rPr>
        <w:t>person</w:t>
      </w:r>
      <w:r>
        <w:rPr>
          <w:spacing w:val="40"/>
          <w:sz w:val="24"/>
        </w:rPr>
        <w:t> </w:t>
      </w:r>
      <w:r>
        <w:rPr>
          <w:sz w:val="24"/>
        </w:rPr>
        <w:t>who</w:t>
      </w:r>
      <w:r>
        <w:rPr>
          <w:spacing w:val="40"/>
          <w:sz w:val="24"/>
        </w:rPr>
        <w:t> </w:t>
      </w:r>
      <w:r>
        <w:rPr>
          <w:sz w:val="24"/>
        </w:rPr>
        <w:t>has</w:t>
      </w:r>
      <w:r>
        <w:rPr>
          <w:spacing w:val="40"/>
          <w:sz w:val="24"/>
        </w:rPr>
        <w:t> </w:t>
      </w:r>
      <w:r>
        <w:rPr>
          <w:sz w:val="24"/>
        </w:rPr>
        <w:t>given</w:t>
      </w:r>
      <w:r>
        <w:rPr>
          <w:spacing w:val="40"/>
          <w:sz w:val="24"/>
        </w:rPr>
        <w:t> </w:t>
      </w:r>
      <w:r>
        <w:rPr>
          <w:sz w:val="24"/>
        </w:rPr>
        <w:t>the</w:t>
      </w:r>
      <w:r>
        <w:rPr>
          <w:spacing w:val="40"/>
          <w:sz w:val="24"/>
        </w:rPr>
        <w:t> </w:t>
      </w:r>
      <w:r>
        <w:rPr>
          <w:sz w:val="24"/>
        </w:rPr>
        <w:t>notice,</w:t>
      </w:r>
      <w:r>
        <w:rPr>
          <w:spacing w:val="40"/>
          <w:sz w:val="24"/>
        </w:rPr>
        <w:t> </w:t>
      </w:r>
      <w:r>
        <w:rPr>
          <w:sz w:val="24"/>
        </w:rPr>
        <w:t>his</w:t>
      </w:r>
      <w:r>
        <w:rPr>
          <w:spacing w:val="40"/>
          <w:sz w:val="24"/>
        </w:rPr>
        <w:t> </w:t>
      </w:r>
      <w:r>
        <w:rPr>
          <w:spacing w:val="9"/>
          <w:sz w:val="24"/>
        </w:rPr>
        <w:t>refusal </w:t>
      </w:r>
      <w:r>
        <w:rPr>
          <w:sz w:val="24"/>
        </w:rPr>
        <w:t>or</w:t>
      </w:r>
      <w:r>
        <w:rPr>
          <w:spacing w:val="80"/>
          <w:sz w:val="24"/>
        </w:rPr>
        <w:t> </w:t>
      </w:r>
      <w:r>
        <w:rPr>
          <w:sz w:val="24"/>
        </w:rPr>
        <w:t>sanction,</w:t>
      </w:r>
      <w:r>
        <w:rPr>
          <w:spacing w:val="80"/>
          <w:sz w:val="24"/>
        </w:rPr>
        <w:t> </w:t>
      </w:r>
      <w:r>
        <w:rPr>
          <w:sz w:val="24"/>
        </w:rPr>
        <w:t>or</w:t>
      </w:r>
      <w:r>
        <w:rPr>
          <w:spacing w:val="80"/>
          <w:sz w:val="24"/>
        </w:rPr>
        <w:t> </w:t>
      </w:r>
      <w:r>
        <w:rPr>
          <w:sz w:val="24"/>
        </w:rPr>
        <w:t>sanction</w:t>
      </w:r>
      <w:r>
        <w:rPr>
          <w:spacing w:val="80"/>
          <w:sz w:val="24"/>
        </w:rPr>
        <w:t> </w:t>
      </w:r>
      <w:r>
        <w:rPr>
          <w:sz w:val="24"/>
        </w:rPr>
        <w:t>with</w:t>
      </w:r>
      <w:r>
        <w:rPr>
          <w:spacing w:val="80"/>
          <w:sz w:val="24"/>
        </w:rPr>
        <w:t> </w:t>
      </w:r>
      <w:r>
        <w:rPr>
          <w:sz w:val="24"/>
        </w:rPr>
        <w:t>modifications</w:t>
      </w:r>
      <w:r>
        <w:rPr>
          <w:spacing w:val="80"/>
          <w:sz w:val="24"/>
        </w:rPr>
        <w:t> </w:t>
      </w:r>
      <w:r>
        <w:rPr>
          <w:sz w:val="24"/>
        </w:rPr>
        <w:t>or</w:t>
      </w:r>
      <w:r>
        <w:rPr>
          <w:spacing w:val="80"/>
          <w:sz w:val="24"/>
        </w:rPr>
        <w:t> </w:t>
      </w:r>
      <w:r>
        <w:rPr>
          <w:sz w:val="24"/>
        </w:rPr>
        <w:t>directions,</w:t>
      </w:r>
      <w:r>
        <w:rPr>
          <w:spacing w:val="80"/>
          <w:sz w:val="24"/>
        </w:rPr>
        <w:t> </w:t>
      </w:r>
      <w:r>
        <w:rPr>
          <w:sz w:val="24"/>
        </w:rPr>
        <w:t>the</w:t>
      </w:r>
      <w:r>
        <w:rPr>
          <w:spacing w:val="80"/>
          <w:sz w:val="24"/>
        </w:rPr>
        <w:t> </w:t>
      </w:r>
      <w:r>
        <w:rPr>
          <w:sz w:val="24"/>
        </w:rPr>
        <w:t>notice with its plans and statements shall be deemed to have been sanctioned, provided that this shall not be construed to authorize any person to do anything</w:t>
      </w:r>
      <w:r>
        <w:rPr>
          <w:spacing w:val="40"/>
          <w:sz w:val="24"/>
        </w:rPr>
        <w:t> </w:t>
      </w:r>
      <w:r>
        <w:rPr>
          <w:sz w:val="24"/>
        </w:rPr>
        <w:t>on</w:t>
      </w:r>
      <w:r>
        <w:rPr>
          <w:spacing w:val="40"/>
          <w:sz w:val="24"/>
        </w:rPr>
        <w:t> </w:t>
      </w:r>
      <w:r>
        <w:rPr>
          <w:sz w:val="24"/>
        </w:rPr>
        <w:t>the</w:t>
      </w:r>
      <w:r>
        <w:rPr>
          <w:spacing w:val="40"/>
          <w:sz w:val="24"/>
        </w:rPr>
        <w:t> </w:t>
      </w:r>
      <w:r>
        <w:rPr>
          <w:sz w:val="24"/>
        </w:rPr>
        <w:t>site</w:t>
      </w:r>
      <w:r>
        <w:rPr>
          <w:spacing w:val="40"/>
          <w:sz w:val="24"/>
        </w:rPr>
        <w:t> </w:t>
      </w:r>
      <w:r>
        <w:rPr>
          <w:sz w:val="24"/>
        </w:rPr>
        <w:t>of</w:t>
      </w:r>
      <w:r>
        <w:rPr>
          <w:spacing w:val="40"/>
          <w:sz w:val="24"/>
        </w:rPr>
        <w:t> </w:t>
      </w:r>
      <w:r>
        <w:rPr>
          <w:sz w:val="24"/>
        </w:rPr>
        <w:t>the</w:t>
      </w:r>
      <w:r>
        <w:rPr>
          <w:spacing w:val="40"/>
          <w:sz w:val="24"/>
        </w:rPr>
        <w:t> </w:t>
      </w:r>
      <w:r>
        <w:rPr>
          <w:sz w:val="24"/>
        </w:rPr>
        <w:t>work</w:t>
      </w:r>
      <w:r>
        <w:rPr>
          <w:spacing w:val="40"/>
          <w:sz w:val="24"/>
        </w:rPr>
        <w:t> </w:t>
      </w:r>
      <w:r>
        <w:rPr>
          <w:sz w:val="24"/>
        </w:rPr>
        <w:t>in</w:t>
      </w:r>
      <w:r>
        <w:rPr>
          <w:spacing w:val="40"/>
          <w:sz w:val="24"/>
        </w:rPr>
        <w:t> </w:t>
      </w:r>
      <w:r>
        <w:rPr>
          <w:sz w:val="24"/>
        </w:rPr>
        <w:t>contravention</w:t>
      </w:r>
      <w:r>
        <w:rPr>
          <w:spacing w:val="40"/>
          <w:sz w:val="24"/>
        </w:rPr>
        <w:t> </w:t>
      </w:r>
      <w:r>
        <w:rPr>
          <w:sz w:val="24"/>
        </w:rPr>
        <w:t>of</w:t>
      </w:r>
      <w:r>
        <w:rPr>
          <w:spacing w:val="40"/>
          <w:sz w:val="24"/>
        </w:rPr>
        <w:t> </w:t>
      </w:r>
      <w:r>
        <w:rPr>
          <w:sz w:val="24"/>
        </w:rPr>
        <w:t>or</w:t>
      </w:r>
      <w:r>
        <w:rPr>
          <w:spacing w:val="40"/>
          <w:sz w:val="24"/>
        </w:rPr>
        <w:t> </w:t>
      </w:r>
      <w:r>
        <w:rPr>
          <w:sz w:val="24"/>
        </w:rPr>
        <w:t>against</w:t>
      </w:r>
      <w:r>
        <w:rPr>
          <w:spacing w:val="40"/>
          <w:sz w:val="24"/>
        </w:rPr>
        <w:t> </w:t>
      </w:r>
      <w:r>
        <w:rPr>
          <w:sz w:val="24"/>
        </w:rPr>
        <w:t>the</w:t>
      </w:r>
      <w:r>
        <w:rPr>
          <w:spacing w:val="40"/>
          <w:sz w:val="24"/>
        </w:rPr>
        <w:t> </w:t>
      </w:r>
      <w:r>
        <w:rPr>
          <w:sz w:val="24"/>
        </w:rPr>
        <w:t>terms</w:t>
      </w:r>
      <w:r>
        <w:rPr>
          <w:spacing w:val="40"/>
          <w:sz w:val="24"/>
        </w:rPr>
        <w:t> </w:t>
      </w:r>
      <w:r>
        <w:rPr>
          <w:sz w:val="24"/>
        </w:rPr>
        <w:t>of</w:t>
      </w:r>
      <w:r>
        <w:rPr>
          <w:spacing w:val="40"/>
          <w:sz w:val="24"/>
        </w:rPr>
        <w:t> </w:t>
      </w:r>
      <w:r>
        <w:rPr>
          <w:sz w:val="24"/>
        </w:rPr>
        <w:t>lease</w:t>
      </w:r>
      <w:r>
        <w:rPr>
          <w:spacing w:val="40"/>
          <w:sz w:val="24"/>
        </w:rPr>
        <w:t> </w:t>
      </w:r>
      <w:r>
        <w:rPr>
          <w:sz w:val="24"/>
        </w:rPr>
        <w:t>or</w:t>
      </w:r>
      <w:r>
        <w:rPr>
          <w:spacing w:val="40"/>
          <w:sz w:val="24"/>
        </w:rPr>
        <w:t> </w:t>
      </w:r>
      <w:r>
        <w:rPr>
          <w:sz w:val="24"/>
        </w:rPr>
        <w:t>titles</w:t>
      </w:r>
      <w:r>
        <w:rPr>
          <w:spacing w:val="40"/>
          <w:sz w:val="24"/>
        </w:rPr>
        <w:t> </w:t>
      </w:r>
      <w:r>
        <w:rPr>
          <w:sz w:val="24"/>
        </w:rPr>
        <w:t>of</w:t>
      </w:r>
      <w:r>
        <w:rPr>
          <w:spacing w:val="40"/>
          <w:sz w:val="24"/>
        </w:rPr>
        <w:t> </w:t>
      </w:r>
      <w:r>
        <w:rPr>
          <w:sz w:val="24"/>
        </w:rPr>
        <w:t>the</w:t>
      </w:r>
      <w:r>
        <w:rPr>
          <w:spacing w:val="40"/>
          <w:sz w:val="24"/>
        </w:rPr>
        <w:t> </w:t>
      </w:r>
      <w:r>
        <w:rPr>
          <w:sz w:val="24"/>
        </w:rPr>
        <w:t>land,</w:t>
      </w:r>
      <w:r>
        <w:rPr>
          <w:spacing w:val="40"/>
          <w:sz w:val="24"/>
        </w:rPr>
        <w:t> </w:t>
      </w:r>
      <w:r>
        <w:rPr>
          <w:sz w:val="24"/>
        </w:rPr>
        <w:t>development</w:t>
      </w:r>
      <w:r>
        <w:rPr>
          <w:spacing w:val="40"/>
          <w:sz w:val="24"/>
        </w:rPr>
        <w:t> </w:t>
      </w:r>
      <w:r>
        <w:rPr>
          <w:sz w:val="24"/>
        </w:rPr>
        <w:t>plan,</w:t>
      </w:r>
      <w:r>
        <w:rPr>
          <w:spacing w:val="40"/>
          <w:sz w:val="24"/>
        </w:rPr>
        <w:t> </w:t>
      </w:r>
      <w:r>
        <w:rPr>
          <w:sz w:val="24"/>
        </w:rPr>
        <w:t>these</w:t>
      </w:r>
      <w:r>
        <w:rPr>
          <w:spacing w:val="40"/>
          <w:sz w:val="24"/>
        </w:rPr>
        <w:t> </w:t>
      </w:r>
      <w:r>
        <w:rPr>
          <w:sz w:val="24"/>
        </w:rPr>
        <w:t>Regulations or any law in </w:t>
      </w:r>
      <w:r>
        <w:rPr>
          <w:spacing w:val="9"/>
          <w:sz w:val="24"/>
        </w:rPr>
        <w:t>force.</w:t>
      </w:r>
    </w:p>
    <w:p>
      <w:pPr>
        <w:pStyle w:val="ListParagraph"/>
        <w:numPr>
          <w:ilvl w:val="0"/>
          <w:numId w:val="19"/>
        </w:numPr>
        <w:tabs>
          <w:tab w:pos="1493" w:val="left" w:leader="none"/>
          <w:tab w:pos="2046" w:val="left" w:leader="none"/>
        </w:tabs>
        <w:spacing w:line="240" w:lineRule="auto" w:before="122" w:after="0"/>
        <w:ind w:left="1493" w:right="783" w:hanging="12"/>
        <w:jc w:val="both"/>
        <w:rPr>
          <w:sz w:val="24"/>
        </w:rPr>
      </w:pPr>
      <w:r>
        <w:rPr>
          <w:i/>
          <w:sz w:val="24"/>
        </w:rPr>
        <w:t>Revised</w:t>
      </w:r>
      <w:r>
        <w:rPr>
          <w:i/>
          <w:spacing w:val="40"/>
          <w:sz w:val="24"/>
        </w:rPr>
        <w:t> </w:t>
      </w:r>
      <w:r>
        <w:rPr>
          <w:i/>
          <w:sz w:val="24"/>
        </w:rPr>
        <w:t>plans</w:t>
      </w:r>
      <w:r>
        <w:rPr>
          <w:sz w:val="24"/>
        </w:rPr>
        <w:t>.</w:t>
      </w:r>
      <w:r>
        <w:rPr>
          <w:spacing w:val="40"/>
          <w:sz w:val="24"/>
        </w:rPr>
        <w:t> </w:t>
      </w:r>
      <w:r>
        <w:rPr>
          <w:sz w:val="24"/>
        </w:rPr>
        <w:t>-</w:t>
      </w:r>
      <w:r>
        <w:rPr>
          <w:spacing w:val="40"/>
          <w:sz w:val="24"/>
        </w:rPr>
        <w:t> </w:t>
      </w:r>
      <w:r>
        <w:rPr>
          <w:sz w:val="24"/>
        </w:rPr>
        <w:t>Once</w:t>
      </w:r>
      <w:r>
        <w:rPr>
          <w:spacing w:val="40"/>
          <w:sz w:val="24"/>
        </w:rPr>
        <w:t> </w:t>
      </w:r>
      <w:r>
        <w:rPr>
          <w:sz w:val="24"/>
        </w:rPr>
        <w:t>the</w:t>
      </w:r>
      <w:r>
        <w:rPr>
          <w:spacing w:val="40"/>
          <w:sz w:val="24"/>
        </w:rPr>
        <w:t> </w:t>
      </w:r>
      <w:r>
        <w:rPr>
          <w:sz w:val="24"/>
        </w:rPr>
        <w:t>plans</w:t>
      </w:r>
      <w:r>
        <w:rPr>
          <w:spacing w:val="40"/>
          <w:sz w:val="24"/>
        </w:rPr>
        <w:t> </w:t>
      </w:r>
      <w:r>
        <w:rPr>
          <w:sz w:val="24"/>
        </w:rPr>
        <w:t>have</w:t>
      </w:r>
      <w:r>
        <w:rPr>
          <w:spacing w:val="40"/>
          <w:sz w:val="24"/>
        </w:rPr>
        <w:t> </w:t>
      </w:r>
      <w:r>
        <w:rPr>
          <w:sz w:val="24"/>
        </w:rPr>
        <w:t>been</w:t>
      </w:r>
      <w:r>
        <w:rPr>
          <w:spacing w:val="40"/>
          <w:sz w:val="24"/>
        </w:rPr>
        <w:t> </w:t>
      </w:r>
      <w:r>
        <w:rPr>
          <w:sz w:val="24"/>
        </w:rPr>
        <w:t>scrutinized</w:t>
      </w:r>
      <w:r>
        <w:rPr>
          <w:spacing w:val="40"/>
          <w:sz w:val="24"/>
        </w:rPr>
        <w:t> </w:t>
      </w:r>
      <w:r>
        <w:rPr>
          <w:sz w:val="24"/>
        </w:rPr>
        <w:t>and objections</w:t>
      </w:r>
      <w:r>
        <w:rPr>
          <w:spacing w:val="40"/>
          <w:sz w:val="24"/>
        </w:rPr>
        <w:t> </w:t>
      </w:r>
      <w:r>
        <w:rPr>
          <w:sz w:val="24"/>
        </w:rPr>
        <w:t>have</w:t>
      </w:r>
      <w:r>
        <w:rPr>
          <w:spacing w:val="40"/>
          <w:sz w:val="24"/>
        </w:rPr>
        <w:t> </w:t>
      </w:r>
      <w:r>
        <w:rPr>
          <w:sz w:val="24"/>
        </w:rPr>
        <w:t>been</w:t>
      </w:r>
      <w:r>
        <w:rPr>
          <w:spacing w:val="40"/>
          <w:sz w:val="24"/>
        </w:rPr>
        <w:t> </w:t>
      </w:r>
      <w:r>
        <w:rPr>
          <w:sz w:val="24"/>
        </w:rPr>
        <w:t>pointed</w:t>
      </w:r>
      <w:r>
        <w:rPr>
          <w:spacing w:val="40"/>
          <w:sz w:val="24"/>
        </w:rPr>
        <w:t> </w:t>
      </w:r>
      <w:r>
        <w:rPr>
          <w:sz w:val="24"/>
        </w:rPr>
        <w:t>out,</w:t>
      </w:r>
      <w:r>
        <w:rPr>
          <w:spacing w:val="40"/>
          <w:sz w:val="24"/>
        </w:rPr>
        <w:t> </w:t>
      </w:r>
      <w:r>
        <w:rPr>
          <w:sz w:val="24"/>
        </w:rPr>
        <w:t>the</w:t>
      </w:r>
      <w:r>
        <w:rPr>
          <w:spacing w:val="40"/>
          <w:sz w:val="24"/>
        </w:rPr>
        <w:t> </w:t>
      </w:r>
      <w:r>
        <w:rPr>
          <w:sz w:val="24"/>
        </w:rPr>
        <w:t>owner</w:t>
      </w:r>
      <w:r>
        <w:rPr>
          <w:spacing w:val="40"/>
          <w:sz w:val="24"/>
        </w:rPr>
        <w:t> </w:t>
      </w:r>
      <w:r>
        <w:rPr>
          <w:sz w:val="24"/>
        </w:rPr>
        <w:t>giving</w:t>
      </w:r>
      <w:r>
        <w:rPr>
          <w:spacing w:val="40"/>
          <w:sz w:val="24"/>
        </w:rPr>
        <w:t> </w:t>
      </w:r>
      <w:r>
        <w:rPr>
          <w:sz w:val="24"/>
        </w:rPr>
        <w:t>notice</w:t>
      </w:r>
      <w:r>
        <w:rPr>
          <w:spacing w:val="40"/>
          <w:sz w:val="24"/>
        </w:rPr>
        <w:t> </w:t>
      </w:r>
      <w:r>
        <w:rPr>
          <w:sz w:val="24"/>
        </w:rPr>
        <w:t>shall</w:t>
      </w:r>
      <w:r>
        <w:rPr>
          <w:spacing w:val="40"/>
          <w:sz w:val="24"/>
        </w:rPr>
        <w:t> </w:t>
      </w:r>
      <w:r>
        <w:rPr>
          <w:sz w:val="24"/>
        </w:rPr>
        <w:t>modify the plans to comply with the objections raised and resubmit them. The plans submitted for final approval shall not contain superimposed corrections.</w:t>
      </w:r>
      <w:r>
        <w:rPr>
          <w:spacing w:val="80"/>
          <w:sz w:val="24"/>
        </w:rPr>
        <w:t> </w:t>
      </w:r>
      <w:r>
        <w:rPr>
          <w:sz w:val="24"/>
        </w:rPr>
        <w:t>The</w:t>
      </w:r>
      <w:r>
        <w:rPr>
          <w:spacing w:val="40"/>
          <w:sz w:val="24"/>
        </w:rPr>
        <w:t> </w:t>
      </w:r>
      <w:r>
        <w:rPr>
          <w:sz w:val="24"/>
        </w:rPr>
        <w:t>Commissioner</w:t>
      </w:r>
      <w:r>
        <w:rPr>
          <w:spacing w:val="40"/>
          <w:sz w:val="24"/>
        </w:rPr>
        <w:t> </w:t>
      </w:r>
      <w:r>
        <w:rPr>
          <w:sz w:val="24"/>
        </w:rPr>
        <w:t>shall</w:t>
      </w:r>
      <w:r>
        <w:rPr>
          <w:spacing w:val="40"/>
          <w:sz w:val="24"/>
        </w:rPr>
        <w:t> </w:t>
      </w:r>
      <w:r>
        <w:rPr>
          <w:sz w:val="24"/>
        </w:rPr>
        <w:t>scrutinize</w:t>
      </w:r>
      <w:r>
        <w:rPr>
          <w:spacing w:val="40"/>
          <w:sz w:val="24"/>
        </w:rPr>
        <w:t> </w:t>
      </w:r>
      <w:r>
        <w:rPr>
          <w:sz w:val="24"/>
        </w:rPr>
        <w:t>the</w:t>
      </w:r>
      <w:r>
        <w:rPr>
          <w:spacing w:val="40"/>
          <w:sz w:val="24"/>
        </w:rPr>
        <w:t> </w:t>
      </w:r>
      <w:r>
        <w:rPr>
          <w:sz w:val="24"/>
        </w:rPr>
        <w:t>revised</w:t>
      </w:r>
      <w:r>
        <w:rPr>
          <w:spacing w:val="40"/>
          <w:sz w:val="24"/>
        </w:rPr>
        <w:t> </w:t>
      </w:r>
      <w:r>
        <w:rPr>
          <w:sz w:val="24"/>
        </w:rPr>
        <w:t>plans</w:t>
      </w:r>
      <w:r>
        <w:rPr>
          <w:spacing w:val="40"/>
          <w:sz w:val="24"/>
        </w:rPr>
        <w:t> </w:t>
      </w:r>
      <w:r>
        <w:rPr>
          <w:sz w:val="24"/>
        </w:rPr>
        <w:t>and shall</w:t>
      </w:r>
      <w:r>
        <w:rPr>
          <w:spacing w:val="80"/>
          <w:sz w:val="24"/>
        </w:rPr>
        <w:t> </w:t>
      </w:r>
      <w:r>
        <w:rPr>
          <w:sz w:val="24"/>
        </w:rPr>
        <w:t>grant</w:t>
      </w:r>
      <w:r>
        <w:rPr>
          <w:spacing w:val="80"/>
          <w:sz w:val="24"/>
        </w:rPr>
        <w:t> </w:t>
      </w:r>
      <w:r>
        <w:rPr>
          <w:sz w:val="24"/>
        </w:rPr>
        <w:t>or</w:t>
      </w:r>
      <w:r>
        <w:rPr>
          <w:spacing w:val="80"/>
          <w:sz w:val="24"/>
        </w:rPr>
        <w:t> </w:t>
      </w:r>
      <w:r>
        <w:rPr>
          <w:sz w:val="24"/>
        </w:rPr>
        <w:t>refuse</w:t>
      </w:r>
      <w:r>
        <w:rPr>
          <w:spacing w:val="80"/>
          <w:sz w:val="24"/>
        </w:rPr>
        <w:t> </w:t>
      </w:r>
      <w:r>
        <w:rPr>
          <w:sz w:val="24"/>
        </w:rPr>
        <w:t>development</w:t>
      </w:r>
      <w:r>
        <w:rPr>
          <w:spacing w:val="80"/>
          <w:sz w:val="24"/>
        </w:rPr>
        <w:t> </w:t>
      </w:r>
      <w:r>
        <w:rPr>
          <w:sz w:val="24"/>
        </w:rPr>
        <w:t>permission/commencement</w:t>
      </w:r>
      <w:r>
        <w:rPr>
          <w:spacing w:val="40"/>
          <w:sz w:val="24"/>
        </w:rPr>
        <w:t> </w:t>
      </w:r>
      <w:r>
        <w:rPr>
          <w:sz w:val="24"/>
        </w:rPr>
        <w:t>certificate</w:t>
      </w:r>
      <w:r>
        <w:rPr>
          <w:spacing w:val="40"/>
          <w:sz w:val="24"/>
        </w:rPr>
        <w:t> </w:t>
      </w:r>
      <w:r>
        <w:rPr>
          <w:sz w:val="24"/>
        </w:rPr>
        <w:t>within</w:t>
      </w:r>
      <w:r>
        <w:rPr>
          <w:spacing w:val="40"/>
          <w:sz w:val="24"/>
        </w:rPr>
        <w:t> </w:t>
      </w:r>
      <w:r>
        <w:rPr>
          <w:sz w:val="24"/>
        </w:rPr>
        <w:t>sixty</w:t>
      </w:r>
      <w:r>
        <w:rPr>
          <w:spacing w:val="40"/>
          <w:sz w:val="24"/>
        </w:rPr>
        <w:t> </w:t>
      </w:r>
      <w:r>
        <w:rPr>
          <w:sz w:val="24"/>
        </w:rPr>
        <w:t>days</w:t>
      </w:r>
      <w:r>
        <w:rPr>
          <w:spacing w:val="40"/>
          <w:sz w:val="24"/>
        </w:rPr>
        <w:t> </w:t>
      </w:r>
      <w:r>
        <w:rPr>
          <w:sz w:val="24"/>
        </w:rPr>
        <w:t>from</w:t>
      </w:r>
      <w:r>
        <w:rPr>
          <w:spacing w:val="40"/>
          <w:sz w:val="24"/>
        </w:rPr>
        <w:t> </w:t>
      </w:r>
      <w:r>
        <w:rPr>
          <w:sz w:val="24"/>
        </w:rPr>
        <w:t>the</w:t>
      </w:r>
      <w:r>
        <w:rPr>
          <w:spacing w:val="40"/>
          <w:sz w:val="24"/>
        </w:rPr>
        <w:t> </w:t>
      </w:r>
      <w:r>
        <w:rPr>
          <w:sz w:val="24"/>
        </w:rPr>
        <w:t>date</w:t>
      </w:r>
      <w:r>
        <w:rPr>
          <w:spacing w:val="40"/>
          <w:sz w:val="24"/>
        </w:rPr>
        <w:t> </w:t>
      </w:r>
      <w:r>
        <w:rPr>
          <w:sz w:val="24"/>
        </w:rPr>
        <w:t>of</w:t>
      </w:r>
      <w:r>
        <w:rPr>
          <w:spacing w:val="40"/>
          <w:sz w:val="24"/>
        </w:rPr>
        <w:t> </w:t>
      </w:r>
      <w:r>
        <w:rPr>
          <w:spacing w:val="9"/>
          <w:sz w:val="24"/>
        </w:rPr>
        <w:t>resubmission.</w:t>
      </w:r>
    </w:p>
    <w:p>
      <w:pPr>
        <w:pStyle w:val="ListParagraph"/>
        <w:spacing w:after="0" w:line="240" w:lineRule="auto"/>
        <w:jc w:val="both"/>
        <w:rPr>
          <w:sz w:val="24"/>
        </w:rPr>
        <w:sectPr>
          <w:pgSz w:w="11910" w:h="16840"/>
          <w:pgMar w:header="1036" w:footer="974" w:top="1460" w:bottom="1160" w:left="360" w:right="360"/>
        </w:sectPr>
      </w:pPr>
    </w:p>
    <w:p>
      <w:pPr>
        <w:pStyle w:val="BodyText"/>
        <w:jc w:val="left"/>
      </w:pPr>
    </w:p>
    <w:p>
      <w:pPr>
        <w:pStyle w:val="BodyText"/>
        <w:spacing w:before="115"/>
        <w:jc w:val="left"/>
      </w:pPr>
    </w:p>
    <w:p>
      <w:pPr>
        <w:pStyle w:val="Heading6"/>
        <w:numPr>
          <w:ilvl w:val="1"/>
          <w:numId w:val="10"/>
        </w:numPr>
        <w:tabs>
          <w:tab w:pos="1490" w:val="left" w:leader="none"/>
        </w:tabs>
        <w:spacing w:line="240" w:lineRule="auto" w:before="0" w:after="0"/>
        <w:ind w:left="1490" w:right="0" w:hanging="718"/>
        <w:jc w:val="both"/>
      </w:pPr>
      <w:r>
        <w:rPr/>
        <w:t>Commencement</w:t>
      </w:r>
      <w:r>
        <w:rPr>
          <w:spacing w:val="72"/>
        </w:rPr>
        <w:t> </w:t>
      </w:r>
      <w:r>
        <w:rPr/>
        <w:t>of</w:t>
      </w:r>
      <w:r>
        <w:rPr>
          <w:spacing w:val="78"/>
        </w:rPr>
        <w:t> </w:t>
      </w:r>
      <w:r>
        <w:rPr>
          <w:spacing w:val="-2"/>
        </w:rPr>
        <w:t>work:</w:t>
      </w:r>
    </w:p>
    <w:p>
      <w:pPr>
        <w:pStyle w:val="BodyText"/>
        <w:spacing w:before="122"/>
        <w:ind w:left="1493" w:right="782"/>
      </w:pPr>
      <w:r>
        <w:rPr/>
        <w:t>A</w:t>
      </w:r>
      <w:r>
        <w:rPr>
          <w:spacing w:val="80"/>
        </w:rPr>
        <w:t> </w:t>
      </w:r>
      <w:r>
        <w:rPr/>
        <w:t>development</w:t>
      </w:r>
      <w:r>
        <w:rPr>
          <w:spacing w:val="80"/>
        </w:rPr>
        <w:t> </w:t>
      </w:r>
      <w:r>
        <w:rPr/>
        <w:t>permission/commencement</w:t>
      </w:r>
      <w:r>
        <w:rPr>
          <w:spacing w:val="80"/>
        </w:rPr>
        <w:t> </w:t>
      </w:r>
      <w:r>
        <w:rPr/>
        <w:t>certificate</w:t>
      </w:r>
      <w:r>
        <w:rPr>
          <w:spacing w:val="80"/>
          <w:w w:val="150"/>
        </w:rPr>
        <w:t> </w:t>
      </w:r>
      <w:r>
        <w:rPr/>
        <w:t>shall</w:t>
      </w:r>
      <w:r>
        <w:rPr>
          <w:spacing w:val="80"/>
        </w:rPr>
        <w:t> </w:t>
      </w:r>
      <w:r>
        <w:rPr/>
        <w:t>remain</w:t>
      </w:r>
      <w:r>
        <w:rPr>
          <w:spacing w:val="80"/>
        </w:rPr>
        <w:t> </w:t>
      </w:r>
      <w:r>
        <w:rPr/>
        <w:t>valid</w:t>
      </w:r>
      <w:r>
        <w:rPr>
          <w:spacing w:val="40"/>
        </w:rPr>
        <w:t> </w:t>
      </w:r>
      <w:r>
        <w:rPr/>
        <w:t>for</w:t>
      </w:r>
      <w:r>
        <w:rPr>
          <w:spacing w:val="40"/>
        </w:rPr>
        <w:t> </w:t>
      </w:r>
      <w:r>
        <w:rPr/>
        <w:t>four</w:t>
      </w:r>
      <w:r>
        <w:rPr>
          <w:spacing w:val="40"/>
        </w:rPr>
        <w:t> </w:t>
      </w:r>
      <w:r>
        <w:rPr/>
        <w:t>years</w:t>
      </w:r>
      <w:r>
        <w:rPr>
          <w:spacing w:val="40"/>
        </w:rPr>
        <w:t> </w:t>
      </w:r>
      <w:r>
        <w:rPr/>
        <w:t>in</w:t>
      </w:r>
      <w:r>
        <w:rPr>
          <w:spacing w:val="40"/>
        </w:rPr>
        <w:t> </w:t>
      </w:r>
      <w:r>
        <w:rPr/>
        <w:t>the</w:t>
      </w:r>
      <w:r>
        <w:rPr>
          <w:spacing w:val="40"/>
        </w:rPr>
        <w:t> </w:t>
      </w:r>
      <w:r>
        <w:rPr/>
        <w:t>aggregate,</w:t>
      </w:r>
      <w:r>
        <w:rPr>
          <w:spacing w:val="40"/>
        </w:rPr>
        <w:t> </w:t>
      </w:r>
      <w:r>
        <w:rPr/>
        <w:t>but</w:t>
      </w:r>
      <w:r>
        <w:rPr>
          <w:spacing w:val="40"/>
        </w:rPr>
        <w:t> </w:t>
      </w:r>
      <w:r>
        <w:rPr/>
        <w:t>shall</w:t>
      </w:r>
      <w:r>
        <w:rPr>
          <w:spacing w:val="40"/>
        </w:rPr>
        <w:t> </w:t>
      </w:r>
      <w:r>
        <w:rPr/>
        <w:t>have</w:t>
      </w:r>
      <w:r>
        <w:rPr>
          <w:spacing w:val="40"/>
        </w:rPr>
        <w:t> </w:t>
      </w:r>
      <w:r>
        <w:rPr/>
        <w:t>to</w:t>
      </w:r>
      <w:r>
        <w:rPr>
          <w:spacing w:val="40"/>
        </w:rPr>
        <w:t> </w:t>
      </w:r>
      <w:r>
        <w:rPr/>
        <w:t>be</w:t>
      </w:r>
      <w:r>
        <w:rPr>
          <w:spacing w:val="40"/>
        </w:rPr>
        <w:t> </w:t>
      </w:r>
      <w:r>
        <w:rPr/>
        <w:t>renewed before</w:t>
      </w:r>
      <w:r>
        <w:rPr>
          <w:spacing w:val="40"/>
        </w:rPr>
        <w:t> </w:t>
      </w:r>
      <w:r>
        <w:rPr/>
        <w:t>the</w:t>
      </w:r>
      <w:r>
        <w:rPr>
          <w:spacing w:val="40"/>
        </w:rPr>
        <w:t> </w:t>
      </w:r>
      <w:r>
        <w:rPr/>
        <w:t>expiry</w:t>
      </w:r>
      <w:r>
        <w:rPr>
          <w:spacing w:val="40"/>
        </w:rPr>
        <w:t> </w:t>
      </w:r>
      <w:r>
        <w:rPr/>
        <w:t>of</w:t>
      </w:r>
      <w:r>
        <w:rPr>
          <w:spacing w:val="40"/>
        </w:rPr>
        <w:t> </w:t>
      </w:r>
      <w:r>
        <w:rPr/>
        <w:t>one</w:t>
      </w:r>
      <w:r>
        <w:rPr>
          <w:spacing w:val="40"/>
        </w:rPr>
        <w:t> </w:t>
      </w:r>
      <w:r>
        <w:rPr/>
        <w:t>year</w:t>
      </w:r>
      <w:r>
        <w:rPr>
          <w:spacing w:val="40"/>
        </w:rPr>
        <w:t> </w:t>
      </w:r>
      <w:r>
        <w:rPr/>
        <w:t>from</w:t>
      </w:r>
      <w:r>
        <w:rPr>
          <w:spacing w:val="40"/>
        </w:rPr>
        <w:t> </w:t>
      </w:r>
      <w:r>
        <w:rPr/>
        <w:t>the</w:t>
      </w:r>
      <w:r>
        <w:rPr>
          <w:spacing w:val="40"/>
        </w:rPr>
        <w:t> </w:t>
      </w:r>
      <w:r>
        <w:rPr/>
        <w:t>date</w:t>
      </w:r>
      <w:r>
        <w:rPr>
          <w:spacing w:val="40"/>
        </w:rPr>
        <w:t> </w:t>
      </w:r>
      <w:r>
        <w:rPr/>
        <w:t>of</w:t>
      </w:r>
      <w:r>
        <w:rPr>
          <w:spacing w:val="40"/>
        </w:rPr>
        <w:t> </w:t>
      </w:r>
      <w:r>
        <w:rPr/>
        <w:t>its</w:t>
      </w:r>
      <w:r>
        <w:rPr>
          <w:spacing w:val="40"/>
        </w:rPr>
        <w:t> </w:t>
      </w:r>
      <w:r>
        <w:rPr/>
        <w:t>issue.</w:t>
      </w:r>
      <w:r>
        <w:rPr>
          <w:spacing w:val="40"/>
        </w:rPr>
        <w:t> </w:t>
      </w:r>
      <w:r>
        <w:rPr/>
        <w:t>The</w:t>
      </w:r>
      <w:r>
        <w:rPr>
          <w:spacing w:val="40"/>
        </w:rPr>
        <w:t> </w:t>
      </w:r>
      <w:r>
        <w:rPr/>
        <w:t>application for renewal shall be made before expiry of one year, if the work has not already commenced. Such renewal can be done for three </w:t>
      </w:r>
      <w:r>
        <w:rPr>
          <w:spacing w:val="9"/>
        </w:rPr>
        <w:t>consecutive</w:t>
      </w:r>
      <w:r>
        <w:rPr>
          <w:spacing w:val="40"/>
        </w:rPr>
        <w:t> </w:t>
      </w:r>
      <w:r>
        <w:rPr/>
        <w:t>terms</w:t>
      </w:r>
      <w:r>
        <w:rPr>
          <w:spacing w:val="40"/>
        </w:rPr>
        <w:t> </w:t>
      </w:r>
      <w:r>
        <w:rPr/>
        <w:t>of</w:t>
      </w:r>
      <w:r>
        <w:rPr>
          <w:spacing w:val="40"/>
        </w:rPr>
        <w:t> </w:t>
      </w:r>
      <w:r>
        <w:rPr/>
        <w:t>one</w:t>
      </w:r>
      <w:r>
        <w:rPr>
          <w:spacing w:val="40"/>
        </w:rPr>
        <w:t> </w:t>
      </w:r>
      <w:r>
        <w:rPr/>
        <w:t>year</w:t>
      </w:r>
      <w:r>
        <w:rPr>
          <w:spacing w:val="40"/>
        </w:rPr>
        <w:t> </w:t>
      </w:r>
      <w:r>
        <w:rPr/>
        <w:t>each,</w:t>
      </w:r>
      <w:r>
        <w:rPr>
          <w:spacing w:val="40"/>
        </w:rPr>
        <w:t> </w:t>
      </w:r>
      <w:r>
        <w:rPr/>
        <w:t>after</w:t>
      </w:r>
      <w:r>
        <w:rPr>
          <w:spacing w:val="40"/>
        </w:rPr>
        <w:t> </w:t>
      </w:r>
      <w:r>
        <w:rPr/>
        <w:t>which</w:t>
      </w:r>
      <w:r>
        <w:rPr>
          <w:spacing w:val="40"/>
        </w:rPr>
        <w:t> </w:t>
      </w:r>
      <w:r>
        <w:rPr/>
        <w:t>proposals</w:t>
      </w:r>
      <w:r>
        <w:rPr>
          <w:spacing w:val="40"/>
        </w:rPr>
        <w:t> </w:t>
      </w:r>
      <w:r>
        <w:rPr/>
        <w:t>shall</w:t>
      </w:r>
      <w:r>
        <w:rPr>
          <w:spacing w:val="40"/>
        </w:rPr>
        <w:t> </w:t>
      </w:r>
      <w:r>
        <w:rPr/>
        <w:t>have</w:t>
      </w:r>
      <w:r>
        <w:rPr>
          <w:spacing w:val="40"/>
        </w:rPr>
        <w:t> </w:t>
      </w:r>
      <w:r>
        <w:rPr/>
        <w:t>to</w:t>
      </w:r>
      <w:r>
        <w:rPr>
          <w:spacing w:val="40"/>
        </w:rPr>
        <w:t> </w:t>
      </w:r>
      <w:r>
        <w:rPr/>
        <w:t>be submitted</w:t>
      </w:r>
      <w:r>
        <w:rPr>
          <w:spacing w:val="80"/>
        </w:rPr>
        <w:t> </w:t>
      </w:r>
      <w:r>
        <w:rPr/>
        <w:t>to</w:t>
      </w:r>
      <w:r>
        <w:rPr>
          <w:spacing w:val="80"/>
        </w:rPr>
        <w:t> </w:t>
      </w:r>
      <w:r>
        <w:rPr/>
        <w:t>obtain</w:t>
      </w:r>
      <w:r>
        <w:rPr>
          <w:spacing w:val="80"/>
        </w:rPr>
        <w:t> </w:t>
      </w:r>
      <w:r>
        <w:rPr/>
        <w:t>development</w:t>
      </w:r>
      <w:r>
        <w:rPr>
          <w:spacing w:val="80"/>
        </w:rPr>
        <w:t> </w:t>
      </w:r>
      <w:r>
        <w:rPr/>
        <w:t>permission</w:t>
      </w:r>
      <w:r>
        <w:rPr>
          <w:spacing w:val="80"/>
        </w:rPr>
        <w:t> </w:t>
      </w:r>
      <w:r>
        <w:rPr/>
        <w:t>afresh.</w:t>
      </w:r>
    </w:p>
    <w:p>
      <w:pPr>
        <w:pStyle w:val="BodyText"/>
        <w:spacing w:before="120"/>
        <w:ind w:left="1853" w:right="797"/>
      </w:pPr>
      <w:r>
        <w:rPr/>
        <w:t>For the purpose of this Regulation, `Commencement` shall mean as under: -</w:t>
      </w:r>
    </w:p>
    <w:p>
      <w:pPr>
        <w:pStyle w:val="BodyText"/>
        <w:spacing w:before="4"/>
        <w:jc w:val="left"/>
        <w:rPr>
          <w:sz w:val="10"/>
        </w:rPr>
      </w:pPr>
    </w:p>
    <w:tbl>
      <w:tblPr>
        <w:tblW w:w="0" w:type="auto"/>
        <w:jc w:val="left"/>
        <w:tblInd w:w="1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11"/>
        <w:gridCol w:w="3329"/>
        <w:gridCol w:w="3781"/>
      </w:tblGrid>
      <w:tr>
        <w:trPr>
          <w:trHeight w:val="1487" w:hRule="atLeast"/>
        </w:trPr>
        <w:tc>
          <w:tcPr>
            <w:tcW w:w="811" w:type="dxa"/>
          </w:tcPr>
          <w:p>
            <w:pPr>
              <w:pStyle w:val="TableParagraph"/>
              <w:spacing w:before="37"/>
              <w:ind w:left="110"/>
              <w:rPr>
                <w:sz w:val="24"/>
              </w:rPr>
            </w:pPr>
            <w:r>
              <w:rPr>
                <w:spacing w:val="-5"/>
                <w:sz w:val="24"/>
              </w:rPr>
              <w:t>(a)</w:t>
            </w:r>
          </w:p>
        </w:tc>
        <w:tc>
          <w:tcPr>
            <w:tcW w:w="3329" w:type="dxa"/>
          </w:tcPr>
          <w:p>
            <w:pPr>
              <w:pStyle w:val="TableParagraph"/>
              <w:spacing w:before="40"/>
              <w:ind w:left="107" w:right="92"/>
              <w:jc w:val="both"/>
              <w:rPr>
                <w:sz w:val="24"/>
              </w:rPr>
            </w:pPr>
            <w:r>
              <w:rPr>
                <w:sz w:val="24"/>
              </w:rPr>
              <w:t>For a building work including additions and </w:t>
            </w:r>
            <w:r>
              <w:rPr>
                <w:spacing w:val="-2"/>
                <w:sz w:val="24"/>
              </w:rPr>
              <w:t>alterations</w:t>
            </w:r>
          </w:p>
        </w:tc>
        <w:tc>
          <w:tcPr>
            <w:tcW w:w="3781" w:type="dxa"/>
          </w:tcPr>
          <w:p>
            <w:pPr>
              <w:pStyle w:val="TableParagraph"/>
              <w:spacing w:before="40"/>
              <w:ind w:left="110" w:right="90"/>
              <w:jc w:val="both"/>
              <w:rPr>
                <w:sz w:val="24"/>
              </w:rPr>
            </w:pPr>
            <w:r>
              <w:rPr>
                <w:sz w:val="24"/>
              </w:rPr>
              <w:t>Upto plinth level or where there</w:t>
            </w:r>
            <w:r>
              <w:rPr>
                <w:spacing w:val="40"/>
                <w:sz w:val="24"/>
              </w:rPr>
              <w:t> </w:t>
            </w:r>
            <w:r>
              <w:rPr>
                <w:sz w:val="24"/>
              </w:rPr>
              <w:t>is</w:t>
            </w:r>
            <w:r>
              <w:rPr>
                <w:spacing w:val="40"/>
                <w:sz w:val="24"/>
              </w:rPr>
              <w:t> </w:t>
            </w:r>
            <w:r>
              <w:rPr>
                <w:sz w:val="24"/>
              </w:rPr>
              <w:t>no</w:t>
            </w:r>
            <w:r>
              <w:rPr>
                <w:spacing w:val="40"/>
                <w:sz w:val="24"/>
              </w:rPr>
              <w:t> </w:t>
            </w:r>
            <w:r>
              <w:rPr>
                <w:sz w:val="24"/>
              </w:rPr>
              <w:t>plinth,</w:t>
            </w:r>
            <w:r>
              <w:rPr>
                <w:spacing w:val="40"/>
                <w:sz w:val="24"/>
              </w:rPr>
              <w:t> </w:t>
            </w:r>
            <w:r>
              <w:rPr>
                <w:sz w:val="24"/>
              </w:rPr>
              <w:t>upto upper</w:t>
            </w:r>
            <w:r>
              <w:rPr>
                <w:spacing w:val="40"/>
                <w:sz w:val="24"/>
              </w:rPr>
              <w:t> </w:t>
            </w:r>
            <w:r>
              <w:rPr>
                <w:sz w:val="24"/>
              </w:rPr>
              <w:t>level</w:t>
            </w:r>
            <w:r>
              <w:rPr>
                <w:spacing w:val="40"/>
                <w:sz w:val="24"/>
              </w:rPr>
              <w:t> </w:t>
            </w:r>
            <w:r>
              <w:rPr>
                <w:sz w:val="24"/>
              </w:rPr>
              <w:t>of</w:t>
            </w:r>
            <w:r>
              <w:rPr>
                <w:spacing w:val="40"/>
                <w:sz w:val="24"/>
              </w:rPr>
              <w:t> </w:t>
            </w:r>
            <w:r>
              <w:rPr>
                <w:sz w:val="24"/>
              </w:rPr>
              <w:t>lower basement</w:t>
            </w:r>
            <w:r>
              <w:rPr>
                <w:spacing w:val="40"/>
                <w:sz w:val="24"/>
              </w:rPr>
              <w:t> </w:t>
            </w:r>
            <w:r>
              <w:rPr>
                <w:sz w:val="24"/>
              </w:rPr>
              <w:t>or</w:t>
            </w:r>
            <w:r>
              <w:rPr>
                <w:spacing w:val="40"/>
                <w:sz w:val="24"/>
              </w:rPr>
              <w:t> </w:t>
            </w:r>
            <w:r>
              <w:rPr>
                <w:sz w:val="24"/>
              </w:rPr>
              <w:t>stilt,</w:t>
            </w:r>
            <w:r>
              <w:rPr>
                <w:spacing w:val="40"/>
                <w:sz w:val="24"/>
              </w:rPr>
              <w:t> </w:t>
            </w:r>
            <w:r>
              <w:rPr>
                <w:sz w:val="24"/>
              </w:rPr>
              <w:t>as</w:t>
            </w:r>
            <w:r>
              <w:rPr>
                <w:spacing w:val="40"/>
                <w:sz w:val="24"/>
              </w:rPr>
              <w:t> </w:t>
            </w:r>
            <w:r>
              <w:rPr>
                <w:spacing w:val="9"/>
                <w:sz w:val="24"/>
              </w:rPr>
              <w:t>the </w:t>
            </w:r>
            <w:r>
              <w:rPr>
                <w:sz w:val="24"/>
              </w:rPr>
              <w:t>case may be.</w:t>
            </w:r>
          </w:p>
        </w:tc>
      </w:tr>
      <w:tr>
        <w:trPr>
          <w:trHeight w:val="925" w:hRule="atLeast"/>
        </w:trPr>
        <w:tc>
          <w:tcPr>
            <w:tcW w:w="811" w:type="dxa"/>
          </w:tcPr>
          <w:p>
            <w:pPr>
              <w:pStyle w:val="TableParagraph"/>
              <w:spacing w:before="37"/>
              <w:ind w:left="110"/>
              <w:rPr>
                <w:sz w:val="24"/>
              </w:rPr>
            </w:pPr>
            <w:r>
              <w:rPr>
                <w:spacing w:val="-5"/>
                <w:sz w:val="24"/>
              </w:rPr>
              <w:t>(b)</w:t>
            </w:r>
          </w:p>
        </w:tc>
        <w:tc>
          <w:tcPr>
            <w:tcW w:w="3329" w:type="dxa"/>
          </w:tcPr>
          <w:p>
            <w:pPr>
              <w:pStyle w:val="TableParagraph"/>
              <w:tabs>
                <w:tab w:pos="1174" w:val="left" w:leader="none"/>
                <w:tab w:pos="2742" w:val="left" w:leader="none"/>
              </w:tabs>
              <w:spacing w:before="40"/>
              <w:ind w:left="107" w:right="104"/>
              <w:rPr>
                <w:sz w:val="24"/>
              </w:rPr>
            </w:pPr>
            <w:r>
              <w:rPr>
                <w:spacing w:val="-4"/>
                <w:sz w:val="24"/>
              </w:rPr>
              <w:t>For</w:t>
            </w:r>
            <w:r>
              <w:rPr>
                <w:sz w:val="24"/>
              </w:rPr>
              <w:tab/>
            </w:r>
            <w:r>
              <w:rPr>
                <w:spacing w:val="-2"/>
                <w:sz w:val="24"/>
              </w:rPr>
              <w:t>bridges</w:t>
            </w:r>
            <w:r>
              <w:rPr>
                <w:sz w:val="24"/>
              </w:rPr>
              <w:tab/>
            </w:r>
            <w:r>
              <w:rPr>
                <w:spacing w:val="-4"/>
                <w:sz w:val="24"/>
              </w:rPr>
              <w:t>and </w:t>
            </w:r>
            <w:r>
              <w:rPr>
                <w:sz w:val="24"/>
              </w:rPr>
              <w:t>overhead Tanks</w:t>
            </w:r>
          </w:p>
        </w:tc>
        <w:tc>
          <w:tcPr>
            <w:tcW w:w="3781" w:type="dxa"/>
          </w:tcPr>
          <w:p>
            <w:pPr>
              <w:pStyle w:val="TableParagraph"/>
              <w:tabs>
                <w:tab w:pos="3199" w:val="left" w:leader="none"/>
              </w:tabs>
              <w:spacing w:before="40"/>
              <w:ind w:left="110" w:right="89"/>
              <w:jc w:val="both"/>
              <w:rPr>
                <w:sz w:val="24"/>
              </w:rPr>
            </w:pPr>
            <w:r>
              <w:rPr>
                <w:spacing w:val="-2"/>
                <w:sz w:val="24"/>
              </w:rPr>
              <w:t>Foundation</w:t>
            </w:r>
            <w:r>
              <w:rPr>
                <w:sz w:val="24"/>
              </w:rPr>
              <w:tab/>
            </w:r>
            <w:r>
              <w:rPr>
                <w:spacing w:val="-4"/>
                <w:sz w:val="24"/>
              </w:rPr>
              <w:t>and </w:t>
            </w:r>
            <w:r>
              <w:rPr>
                <w:sz w:val="24"/>
              </w:rPr>
              <w:t>Construction work up to the base </w:t>
            </w:r>
            <w:r>
              <w:rPr>
                <w:spacing w:val="9"/>
                <w:sz w:val="24"/>
              </w:rPr>
              <w:t>Floor.</w:t>
            </w:r>
          </w:p>
        </w:tc>
      </w:tr>
      <w:tr>
        <w:trPr>
          <w:trHeight w:val="925" w:hRule="atLeast"/>
        </w:trPr>
        <w:tc>
          <w:tcPr>
            <w:tcW w:w="811" w:type="dxa"/>
          </w:tcPr>
          <w:p>
            <w:pPr>
              <w:pStyle w:val="TableParagraph"/>
              <w:spacing w:before="37"/>
              <w:ind w:left="110"/>
              <w:rPr>
                <w:sz w:val="24"/>
              </w:rPr>
            </w:pPr>
            <w:r>
              <w:rPr>
                <w:spacing w:val="-5"/>
                <w:sz w:val="24"/>
              </w:rPr>
              <w:t>(c)</w:t>
            </w:r>
          </w:p>
        </w:tc>
        <w:tc>
          <w:tcPr>
            <w:tcW w:w="3329" w:type="dxa"/>
          </w:tcPr>
          <w:p>
            <w:pPr>
              <w:pStyle w:val="TableParagraph"/>
              <w:spacing w:before="37"/>
              <w:ind w:left="107"/>
              <w:rPr>
                <w:sz w:val="24"/>
              </w:rPr>
            </w:pPr>
            <w:r>
              <w:rPr>
                <w:sz w:val="24"/>
              </w:rPr>
              <w:t>For</w:t>
            </w:r>
            <w:r>
              <w:rPr>
                <w:spacing w:val="72"/>
                <w:sz w:val="24"/>
              </w:rPr>
              <w:t> </w:t>
            </w:r>
            <w:r>
              <w:rPr>
                <w:sz w:val="24"/>
              </w:rPr>
              <w:t>Underground</w:t>
            </w:r>
            <w:r>
              <w:rPr>
                <w:spacing w:val="78"/>
                <w:sz w:val="24"/>
              </w:rPr>
              <w:t> </w:t>
            </w:r>
            <w:r>
              <w:rPr>
                <w:spacing w:val="-2"/>
                <w:sz w:val="24"/>
              </w:rPr>
              <w:t>works</w:t>
            </w:r>
          </w:p>
        </w:tc>
        <w:tc>
          <w:tcPr>
            <w:tcW w:w="3781" w:type="dxa"/>
          </w:tcPr>
          <w:p>
            <w:pPr>
              <w:pStyle w:val="TableParagraph"/>
              <w:tabs>
                <w:tab w:pos="3199" w:val="left" w:leader="none"/>
              </w:tabs>
              <w:spacing w:before="40"/>
              <w:ind w:left="110" w:right="89"/>
              <w:jc w:val="both"/>
              <w:rPr>
                <w:sz w:val="24"/>
              </w:rPr>
            </w:pPr>
            <w:r>
              <w:rPr>
                <w:spacing w:val="-2"/>
                <w:sz w:val="24"/>
              </w:rPr>
              <w:t>Foundation</w:t>
            </w:r>
            <w:r>
              <w:rPr>
                <w:sz w:val="24"/>
              </w:rPr>
              <w:tab/>
            </w:r>
            <w:r>
              <w:rPr>
                <w:spacing w:val="-4"/>
                <w:sz w:val="24"/>
              </w:rPr>
              <w:t>and </w:t>
            </w:r>
            <w:r>
              <w:rPr>
                <w:sz w:val="24"/>
              </w:rPr>
              <w:t>Construction</w:t>
            </w:r>
            <w:r>
              <w:rPr>
                <w:spacing w:val="40"/>
                <w:sz w:val="24"/>
              </w:rPr>
              <w:t> </w:t>
            </w:r>
            <w:r>
              <w:rPr>
                <w:sz w:val="24"/>
              </w:rPr>
              <w:t>work</w:t>
            </w:r>
            <w:r>
              <w:rPr>
                <w:spacing w:val="40"/>
                <w:sz w:val="24"/>
              </w:rPr>
              <w:t> </w:t>
            </w:r>
            <w:r>
              <w:rPr>
                <w:sz w:val="24"/>
              </w:rPr>
              <w:t>up</w:t>
            </w:r>
            <w:r>
              <w:rPr>
                <w:spacing w:val="40"/>
                <w:sz w:val="24"/>
              </w:rPr>
              <w:t> </w:t>
            </w:r>
            <w:r>
              <w:rPr>
                <w:sz w:val="24"/>
              </w:rPr>
              <w:t>to</w:t>
            </w:r>
            <w:r>
              <w:rPr>
                <w:spacing w:val="40"/>
                <w:sz w:val="24"/>
              </w:rPr>
              <w:t> </w:t>
            </w:r>
            <w:r>
              <w:rPr>
                <w:sz w:val="24"/>
              </w:rPr>
              <w:t>floor</w:t>
            </w:r>
            <w:r>
              <w:rPr>
                <w:spacing w:val="40"/>
                <w:sz w:val="24"/>
              </w:rPr>
              <w:t> </w:t>
            </w:r>
            <w:r>
              <w:rPr>
                <w:sz w:val="24"/>
              </w:rPr>
              <w:t>of</w:t>
            </w:r>
            <w:r>
              <w:rPr>
                <w:spacing w:val="40"/>
                <w:sz w:val="24"/>
              </w:rPr>
              <w:t> </w:t>
            </w:r>
            <w:r>
              <w:rPr>
                <w:sz w:val="24"/>
              </w:rPr>
              <w:t>underground</w:t>
            </w:r>
            <w:r>
              <w:rPr>
                <w:spacing w:val="40"/>
                <w:sz w:val="24"/>
              </w:rPr>
              <w:t> </w:t>
            </w:r>
            <w:r>
              <w:rPr>
                <w:sz w:val="24"/>
              </w:rPr>
              <w:t>Floor.</w:t>
            </w:r>
          </w:p>
        </w:tc>
      </w:tr>
      <w:tr>
        <w:trPr>
          <w:trHeight w:val="2695" w:hRule="atLeast"/>
        </w:trPr>
        <w:tc>
          <w:tcPr>
            <w:tcW w:w="811" w:type="dxa"/>
          </w:tcPr>
          <w:p>
            <w:pPr>
              <w:pStyle w:val="TableParagraph"/>
              <w:spacing w:before="38"/>
              <w:ind w:left="110"/>
              <w:rPr>
                <w:sz w:val="24"/>
              </w:rPr>
            </w:pPr>
            <w:r>
              <w:rPr>
                <w:spacing w:val="-5"/>
                <w:sz w:val="24"/>
              </w:rPr>
              <w:t>(d)</w:t>
            </w:r>
          </w:p>
        </w:tc>
        <w:tc>
          <w:tcPr>
            <w:tcW w:w="3329" w:type="dxa"/>
          </w:tcPr>
          <w:p>
            <w:pPr>
              <w:pStyle w:val="TableParagraph"/>
              <w:tabs>
                <w:tab w:pos="1433" w:val="left" w:leader="none"/>
              </w:tabs>
              <w:spacing w:before="40"/>
              <w:ind w:left="107" w:right="102"/>
              <w:jc w:val="both"/>
              <w:rPr>
                <w:sz w:val="24"/>
              </w:rPr>
            </w:pPr>
            <w:r>
              <w:rPr>
                <w:sz w:val="24"/>
              </w:rPr>
              <w:t>For </w:t>
            </w:r>
            <w:r>
              <w:rPr>
                <w:spacing w:val="9"/>
                <w:sz w:val="24"/>
              </w:rPr>
              <w:t>lay-</w:t>
            </w:r>
            <w:r>
              <w:rPr>
                <w:sz w:val="24"/>
              </w:rPr>
              <w:t>out, </w:t>
            </w:r>
            <w:r>
              <w:rPr>
                <w:spacing w:val="9"/>
                <w:sz w:val="24"/>
              </w:rPr>
              <w:t>sub-</w:t>
            </w:r>
            <w:r>
              <w:rPr>
                <w:sz w:val="24"/>
              </w:rPr>
              <w:t>division </w:t>
            </w:r>
            <w:r>
              <w:rPr>
                <w:spacing w:val="-4"/>
                <w:sz w:val="24"/>
              </w:rPr>
              <w:t>and</w:t>
            </w:r>
            <w:r>
              <w:rPr>
                <w:sz w:val="24"/>
              </w:rPr>
              <w:tab/>
            </w:r>
            <w:r>
              <w:rPr>
                <w:spacing w:val="-2"/>
                <w:sz w:val="24"/>
              </w:rPr>
              <w:t>amalgamation proposals</w:t>
            </w:r>
          </w:p>
        </w:tc>
        <w:tc>
          <w:tcPr>
            <w:tcW w:w="3781" w:type="dxa"/>
          </w:tcPr>
          <w:p>
            <w:pPr>
              <w:pStyle w:val="TableParagraph"/>
              <w:spacing w:before="40"/>
              <w:ind w:left="110" w:right="100"/>
              <w:jc w:val="both"/>
              <w:rPr>
                <w:sz w:val="24"/>
              </w:rPr>
            </w:pPr>
            <w:r>
              <w:rPr>
                <w:sz w:val="24"/>
              </w:rPr>
              <w:t>Final demarcation and provisions of infrastructure and services up to the following </w:t>
            </w:r>
            <w:r>
              <w:rPr>
                <w:spacing w:val="9"/>
                <w:sz w:val="24"/>
              </w:rPr>
              <w:t>stages:</w:t>
            </w:r>
          </w:p>
          <w:p>
            <w:pPr>
              <w:pStyle w:val="TableParagraph"/>
              <w:numPr>
                <w:ilvl w:val="0"/>
                <w:numId w:val="20"/>
              </w:numPr>
              <w:tabs>
                <w:tab w:pos="656" w:val="left" w:leader="none"/>
              </w:tabs>
              <w:spacing w:line="240" w:lineRule="auto" w:before="39" w:after="0"/>
              <w:ind w:left="110" w:right="106" w:firstLine="0"/>
              <w:jc w:val="both"/>
              <w:rPr>
                <w:sz w:val="24"/>
              </w:rPr>
            </w:pPr>
            <w:r>
              <w:rPr>
                <w:sz w:val="24"/>
              </w:rPr>
              <w:t>Roads: Water bound macadam complete.</w:t>
            </w:r>
          </w:p>
          <w:p>
            <w:pPr>
              <w:pStyle w:val="TableParagraph"/>
              <w:numPr>
                <w:ilvl w:val="0"/>
                <w:numId w:val="20"/>
              </w:numPr>
              <w:tabs>
                <w:tab w:pos="553" w:val="left" w:leader="none"/>
              </w:tabs>
              <w:spacing w:line="240" w:lineRule="auto" w:before="39" w:after="0"/>
              <w:ind w:left="110" w:right="104" w:firstLine="0"/>
              <w:jc w:val="both"/>
              <w:rPr>
                <w:sz w:val="24"/>
              </w:rPr>
            </w:pPr>
            <w:r>
              <w:rPr>
                <w:sz w:val="24"/>
              </w:rPr>
              <w:t>Sewerage, Drainage and water supply excavation and base concreting </w:t>
            </w:r>
            <w:r>
              <w:rPr>
                <w:spacing w:val="9"/>
                <w:sz w:val="24"/>
              </w:rPr>
              <w:t>complete.</w:t>
            </w:r>
          </w:p>
        </w:tc>
      </w:tr>
    </w:tbl>
    <w:p>
      <w:pPr>
        <w:pStyle w:val="BodyText"/>
        <w:spacing w:before="240"/>
        <w:jc w:val="left"/>
      </w:pPr>
    </w:p>
    <w:p>
      <w:pPr>
        <w:pStyle w:val="Heading6"/>
        <w:numPr>
          <w:ilvl w:val="1"/>
          <w:numId w:val="10"/>
        </w:numPr>
        <w:tabs>
          <w:tab w:pos="1493" w:val="left" w:leader="none"/>
        </w:tabs>
        <w:spacing w:line="240" w:lineRule="auto" w:before="0" w:after="0"/>
        <w:ind w:left="1493" w:right="782" w:hanging="721"/>
        <w:jc w:val="left"/>
      </w:pPr>
      <w:r>
        <w:rPr/>
        <w:t>Payments</w:t>
      </w:r>
      <w:r>
        <w:rPr>
          <w:spacing w:val="80"/>
          <w:w w:val="150"/>
        </w:rPr>
        <w:t> </w:t>
      </w:r>
      <w:r>
        <w:rPr/>
        <w:t>of</w:t>
      </w:r>
      <w:r>
        <w:rPr>
          <w:spacing w:val="80"/>
          <w:w w:val="150"/>
        </w:rPr>
        <w:t> </w:t>
      </w:r>
      <w:r>
        <w:rPr/>
        <w:t>the</w:t>
      </w:r>
      <w:r>
        <w:rPr>
          <w:spacing w:val="80"/>
          <w:w w:val="150"/>
        </w:rPr>
        <w:t> </w:t>
      </w:r>
      <w:r>
        <w:rPr/>
        <w:t>development</w:t>
      </w:r>
      <w:r>
        <w:rPr>
          <w:spacing w:val="80"/>
          <w:w w:val="150"/>
        </w:rPr>
        <w:t> </w:t>
      </w:r>
      <w:r>
        <w:rPr/>
        <w:t>charges/</w:t>
      </w:r>
      <w:r>
        <w:rPr>
          <w:spacing w:val="80"/>
          <w:w w:val="150"/>
        </w:rPr>
        <w:t> </w:t>
      </w:r>
      <w:r>
        <w:rPr/>
        <w:t>premium/</w:t>
      </w:r>
      <w:r>
        <w:rPr>
          <w:spacing w:val="80"/>
          <w:w w:val="150"/>
        </w:rPr>
        <w:t> </w:t>
      </w:r>
      <w:r>
        <w:rPr>
          <w:spacing w:val="9"/>
        </w:rPr>
        <w:t>development cess/off-</w:t>
      </w:r>
      <w:r>
        <w:rPr/>
        <w:t>site</w:t>
      </w:r>
      <w:r>
        <w:rPr>
          <w:spacing w:val="80"/>
        </w:rPr>
        <w:t> </w:t>
      </w:r>
      <w:r>
        <w:rPr/>
        <w:t>infrastructure</w:t>
      </w:r>
      <w:r>
        <w:rPr>
          <w:spacing w:val="80"/>
        </w:rPr>
        <w:t> </w:t>
      </w:r>
      <w:r>
        <w:rPr/>
        <w:t>charges/fees:</w:t>
      </w:r>
    </w:p>
    <w:p>
      <w:pPr>
        <w:pStyle w:val="BodyText"/>
        <w:spacing w:before="241"/>
        <w:ind w:left="1493" w:right="777"/>
      </w:pPr>
      <w:r>
        <w:rPr/>
        <w:t>Development</w:t>
      </w:r>
      <w:r>
        <w:rPr>
          <w:spacing w:val="40"/>
        </w:rPr>
        <w:t> </w:t>
      </w:r>
      <w:r>
        <w:rPr/>
        <w:t>permission/</w:t>
      </w:r>
      <w:r>
        <w:rPr>
          <w:spacing w:val="40"/>
        </w:rPr>
        <w:t> </w:t>
      </w:r>
      <w:r>
        <w:rPr/>
        <w:t>Commencement</w:t>
      </w:r>
      <w:r>
        <w:rPr>
          <w:spacing w:val="40"/>
        </w:rPr>
        <w:t> </w:t>
      </w:r>
      <w:r>
        <w:rPr/>
        <w:t>certificate</w:t>
      </w:r>
      <w:r>
        <w:rPr>
          <w:spacing w:val="40"/>
        </w:rPr>
        <w:t> </w:t>
      </w:r>
      <w:r>
        <w:rPr/>
        <w:t>shall</w:t>
      </w:r>
      <w:r>
        <w:rPr>
          <w:spacing w:val="40"/>
        </w:rPr>
        <w:t> </w:t>
      </w:r>
      <w:r>
        <w:rPr/>
        <w:t>be</w:t>
      </w:r>
      <w:r>
        <w:rPr>
          <w:spacing w:val="40"/>
        </w:rPr>
        <w:t> </w:t>
      </w:r>
      <w:r>
        <w:rPr/>
        <w:t>granted only on payment of the requisite fees, development charges, premiums, Development </w:t>
      </w:r>
      <w:r>
        <w:rPr>
          <w:spacing w:val="9"/>
        </w:rPr>
        <w:t>cess/off-</w:t>
      </w:r>
      <w:r>
        <w:rPr/>
        <w:t>site infrastructure charges, as applicable for the proposal.</w:t>
      </w:r>
      <w:r>
        <w:rPr>
          <w:spacing w:val="40"/>
        </w:rPr>
        <w:t> </w:t>
      </w:r>
      <w:r>
        <w:rPr/>
        <w:t>The</w:t>
      </w:r>
      <w:r>
        <w:rPr>
          <w:spacing w:val="40"/>
        </w:rPr>
        <w:t> </w:t>
      </w:r>
      <w:r>
        <w:rPr/>
        <w:t>development</w:t>
      </w:r>
      <w:r>
        <w:rPr>
          <w:spacing w:val="40"/>
        </w:rPr>
        <w:t> </w:t>
      </w:r>
      <w:r>
        <w:rPr/>
        <w:t>shall</w:t>
      </w:r>
      <w:r>
        <w:rPr>
          <w:spacing w:val="40"/>
        </w:rPr>
        <w:t> </w:t>
      </w:r>
      <w:r>
        <w:rPr/>
        <w:t>be</w:t>
      </w:r>
      <w:r>
        <w:rPr>
          <w:spacing w:val="40"/>
        </w:rPr>
        <w:t> </w:t>
      </w:r>
      <w:r>
        <w:rPr/>
        <w:t>considered</w:t>
      </w:r>
      <w:r>
        <w:rPr>
          <w:spacing w:val="40"/>
        </w:rPr>
        <w:t> </w:t>
      </w:r>
      <w:r>
        <w:rPr/>
        <w:t>unauthorized</w:t>
      </w:r>
      <w:r>
        <w:rPr>
          <w:spacing w:val="40"/>
        </w:rPr>
        <w:t> </w:t>
      </w:r>
      <w:r>
        <w:rPr/>
        <w:t>if</w:t>
      </w:r>
      <w:r>
        <w:rPr>
          <w:spacing w:val="40"/>
        </w:rPr>
        <w:t> </w:t>
      </w:r>
      <w:r>
        <w:rPr>
          <w:spacing w:val="9"/>
        </w:rPr>
        <w:t>carried </w:t>
      </w:r>
      <w:r>
        <w:rPr/>
        <w:t>out without requisite payments to the </w:t>
      </w:r>
      <w:r>
        <w:rPr>
          <w:spacing w:val="9"/>
        </w:rPr>
        <w:t>Government/MCGM/Planning </w:t>
      </w:r>
      <w:r>
        <w:rPr>
          <w:spacing w:val="-2"/>
        </w:rPr>
        <w:t>Authority.</w:t>
      </w:r>
    </w:p>
    <w:p>
      <w:pPr>
        <w:pStyle w:val="BodyText"/>
        <w:spacing w:after="0"/>
        <w:sectPr>
          <w:pgSz w:w="11910" w:h="16840"/>
          <w:pgMar w:header="1036" w:footer="974" w:top="1460" w:bottom="1160" w:left="360" w:right="360"/>
        </w:sectPr>
      </w:pPr>
    </w:p>
    <w:p>
      <w:pPr>
        <w:pStyle w:val="BodyText"/>
        <w:spacing w:before="278"/>
        <w:ind w:left="1493" w:right="782"/>
      </w:pPr>
      <w:r>
        <w:rPr/>
        <w:t>NOTE: The</w:t>
      </w:r>
      <w:r>
        <w:rPr>
          <w:spacing w:val="40"/>
        </w:rPr>
        <w:t> </w:t>
      </w:r>
      <w:r>
        <w:rPr/>
        <w:t>Commissioner with special permission may decide the modalities of procedure for Development Permission, including online approval</w:t>
      </w:r>
      <w:r>
        <w:rPr>
          <w:spacing w:val="40"/>
        </w:rPr>
        <w:t> </w:t>
      </w:r>
      <w:r>
        <w:rPr/>
        <w:t>process,</w:t>
      </w:r>
      <w:r>
        <w:rPr>
          <w:spacing w:val="40"/>
        </w:rPr>
        <w:t> </w:t>
      </w:r>
      <w:r>
        <w:rPr/>
        <w:t>from</w:t>
      </w:r>
      <w:r>
        <w:rPr>
          <w:spacing w:val="40"/>
        </w:rPr>
        <w:t> </w:t>
      </w:r>
      <w:r>
        <w:rPr/>
        <w:t>the</w:t>
      </w:r>
      <w:r>
        <w:rPr>
          <w:spacing w:val="40"/>
        </w:rPr>
        <w:t> </w:t>
      </w:r>
      <w:r>
        <w:rPr/>
        <w:t>point</w:t>
      </w:r>
      <w:r>
        <w:rPr>
          <w:spacing w:val="40"/>
        </w:rPr>
        <w:t> </w:t>
      </w:r>
      <w:r>
        <w:rPr/>
        <w:t>of</w:t>
      </w:r>
      <w:r>
        <w:rPr>
          <w:spacing w:val="40"/>
        </w:rPr>
        <w:t> </w:t>
      </w:r>
      <w:r>
        <w:rPr/>
        <w:t>view</w:t>
      </w:r>
      <w:r>
        <w:rPr>
          <w:spacing w:val="40"/>
        </w:rPr>
        <w:t> </w:t>
      </w:r>
      <w:r>
        <w:rPr/>
        <w:t>of</w:t>
      </w:r>
      <w:r>
        <w:rPr>
          <w:spacing w:val="40"/>
        </w:rPr>
        <w:t> </w:t>
      </w:r>
      <w:r>
        <w:rPr/>
        <w:t>Ease</w:t>
      </w:r>
      <w:r>
        <w:rPr>
          <w:spacing w:val="40"/>
        </w:rPr>
        <w:t> </w:t>
      </w:r>
      <w:r>
        <w:rPr/>
        <w:t>of</w:t>
      </w:r>
      <w:r>
        <w:rPr>
          <w:spacing w:val="40"/>
        </w:rPr>
        <w:t> </w:t>
      </w:r>
      <w:r>
        <w:rPr/>
        <w:t>Doing</w:t>
      </w:r>
      <w:r>
        <w:rPr>
          <w:spacing w:val="40"/>
        </w:rPr>
        <w:t> </w:t>
      </w:r>
      <w:r>
        <w:rPr/>
        <w:t>Business</w:t>
      </w:r>
      <w:r>
        <w:rPr>
          <w:spacing w:val="72"/>
        </w:rPr>
        <w:t> </w:t>
      </w:r>
      <w:r>
        <w:rPr/>
        <w:t>.</w:t>
      </w:r>
    </w:p>
    <w:p>
      <w:pPr>
        <w:pStyle w:val="Heading3"/>
        <w:numPr>
          <w:ilvl w:val="0"/>
          <w:numId w:val="10"/>
        </w:numPr>
        <w:tabs>
          <w:tab w:pos="1370" w:val="left" w:leader="none"/>
        </w:tabs>
        <w:spacing w:line="240" w:lineRule="auto" w:before="238" w:after="0"/>
        <w:ind w:left="1370" w:right="0" w:hanging="598"/>
        <w:jc w:val="left"/>
        <w:rPr>
          <w:i w:val="0"/>
        </w:rPr>
      </w:pPr>
      <w:r>
        <w:rPr/>
        <w:t>Procedure</w:t>
      </w:r>
      <w:r>
        <w:rPr>
          <w:spacing w:val="73"/>
        </w:rPr>
        <w:t> </w:t>
      </w:r>
      <w:r>
        <w:rPr/>
        <w:t>during</w:t>
      </w:r>
      <w:r>
        <w:rPr>
          <w:spacing w:val="32"/>
          <w:w w:val="150"/>
        </w:rPr>
        <w:t> </w:t>
      </w:r>
      <w:r>
        <w:rPr>
          <w:spacing w:val="-2"/>
        </w:rPr>
        <w:t>Construction</w:t>
      </w:r>
    </w:p>
    <w:p>
      <w:pPr>
        <w:pStyle w:val="ListParagraph"/>
        <w:numPr>
          <w:ilvl w:val="1"/>
          <w:numId w:val="10"/>
        </w:numPr>
        <w:tabs>
          <w:tab w:pos="1491" w:val="left" w:leader="none"/>
        </w:tabs>
        <w:spacing w:line="240" w:lineRule="auto" w:before="242" w:after="0"/>
        <w:ind w:left="1133" w:right="774" w:firstLine="0"/>
        <w:jc w:val="both"/>
        <w:rPr>
          <w:sz w:val="24"/>
        </w:rPr>
      </w:pPr>
      <w:r>
        <w:rPr>
          <w:b/>
          <w:i/>
          <w:sz w:val="24"/>
        </w:rPr>
        <w:t>Construction</w:t>
      </w:r>
      <w:r>
        <w:rPr>
          <w:b/>
          <w:i/>
          <w:spacing w:val="40"/>
          <w:sz w:val="24"/>
        </w:rPr>
        <w:t> </w:t>
      </w:r>
      <w:r>
        <w:rPr>
          <w:b/>
          <w:i/>
          <w:sz w:val="24"/>
        </w:rPr>
        <w:t>to</w:t>
      </w:r>
      <w:r>
        <w:rPr>
          <w:b/>
          <w:i/>
          <w:spacing w:val="40"/>
          <w:sz w:val="24"/>
        </w:rPr>
        <w:t> </w:t>
      </w:r>
      <w:r>
        <w:rPr>
          <w:b/>
          <w:i/>
          <w:sz w:val="24"/>
        </w:rPr>
        <w:t>be</w:t>
      </w:r>
      <w:r>
        <w:rPr>
          <w:b/>
          <w:i/>
          <w:spacing w:val="40"/>
          <w:sz w:val="24"/>
        </w:rPr>
        <w:t> </w:t>
      </w:r>
      <w:r>
        <w:rPr>
          <w:b/>
          <w:i/>
          <w:sz w:val="24"/>
        </w:rPr>
        <w:t>in</w:t>
      </w:r>
      <w:r>
        <w:rPr>
          <w:b/>
          <w:i/>
          <w:spacing w:val="40"/>
          <w:sz w:val="24"/>
        </w:rPr>
        <w:t> </w:t>
      </w:r>
      <w:r>
        <w:rPr>
          <w:b/>
          <w:i/>
          <w:sz w:val="24"/>
        </w:rPr>
        <w:t>conformity</w:t>
      </w:r>
      <w:r>
        <w:rPr>
          <w:b/>
          <w:i/>
          <w:spacing w:val="40"/>
          <w:sz w:val="24"/>
        </w:rPr>
        <w:t> </w:t>
      </w:r>
      <w:r>
        <w:rPr>
          <w:b/>
          <w:i/>
          <w:sz w:val="24"/>
        </w:rPr>
        <w:t>with</w:t>
      </w:r>
      <w:r>
        <w:rPr>
          <w:b/>
          <w:i/>
          <w:spacing w:val="40"/>
          <w:sz w:val="24"/>
        </w:rPr>
        <w:t> </w:t>
      </w:r>
      <w:r>
        <w:rPr>
          <w:b/>
          <w:i/>
          <w:sz w:val="24"/>
        </w:rPr>
        <w:t>Regulations</w:t>
      </w:r>
      <w:r>
        <w:rPr>
          <w:b/>
          <w:sz w:val="24"/>
        </w:rPr>
        <w:t>:</w:t>
      </w:r>
      <w:r>
        <w:rPr>
          <w:b/>
          <w:spacing w:val="40"/>
          <w:sz w:val="24"/>
        </w:rPr>
        <w:t> </w:t>
      </w:r>
      <w:r>
        <w:rPr>
          <w:sz w:val="24"/>
        </w:rPr>
        <w:t>Owner`s</w:t>
      </w:r>
      <w:r>
        <w:rPr>
          <w:spacing w:val="80"/>
          <w:sz w:val="24"/>
        </w:rPr>
        <w:t> </w:t>
      </w:r>
      <w:r>
        <w:rPr>
          <w:spacing w:val="9"/>
          <w:sz w:val="24"/>
        </w:rPr>
        <w:t>liability-</w:t>
      </w:r>
      <w:r>
        <w:rPr>
          <w:sz w:val="24"/>
        </w:rPr>
        <w:t>Neither the grant of permission nor approval of the drawing and specifications nor inspections by the Commissioner during erection of the building, shall in any way relieve the owner of such building from full responsibility</w:t>
      </w:r>
      <w:r>
        <w:rPr>
          <w:spacing w:val="40"/>
          <w:sz w:val="24"/>
        </w:rPr>
        <w:t> </w:t>
      </w:r>
      <w:r>
        <w:rPr>
          <w:sz w:val="24"/>
        </w:rPr>
        <w:t>for</w:t>
      </w:r>
      <w:r>
        <w:rPr>
          <w:spacing w:val="40"/>
          <w:sz w:val="24"/>
        </w:rPr>
        <w:t> </w:t>
      </w:r>
      <w:r>
        <w:rPr>
          <w:sz w:val="24"/>
        </w:rPr>
        <w:t>carrying</w:t>
      </w:r>
      <w:r>
        <w:rPr>
          <w:spacing w:val="40"/>
          <w:sz w:val="24"/>
        </w:rPr>
        <w:t> </w:t>
      </w:r>
      <w:r>
        <w:rPr>
          <w:sz w:val="24"/>
        </w:rPr>
        <w:t>out</w:t>
      </w:r>
      <w:r>
        <w:rPr>
          <w:spacing w:val="40"/>
          <w:sz w:val="24"/>
        </w:rPr>
        <w:t> </w:t>
      </w:r>
      <w:r>
        <w:rPr>
          <w:sz w:val="24"/>
        </w:rPr>
        <w:t>the</w:t>
      </w:r>
      <w:r>
        <w:rPr>
          <w:spacing w:val="40"/>
          <w:sz w:val="24"/>
        </w:rPr>
        <w:t> </w:t>
      </w:r>
      <w:r>
        <w:rPr>
          <w:sz w:val="24"/>
        </w:rPr>
        <w:t>work</w:t>
      </w:r>
      <w:r>
        <w:rPr>
          <w:spacing w:val="40"/>
          <w:sz w:val="24"/>
        </w:rPr>
        <w:t> </w:t>
      </w:r>
      <w:r>
        <w:rPr>
          <w:sz w:val="24"/>
        </w:rPr>
        <w:t>in</w:t>
      </w:r>
      <w:r>
        <w:rPr>
          <w:spacing w:val="40"/>
          <w:sz w:val="24"/>
        </w:rPr>
        <w:t> </w:t>
      </w:r>
      <w:r>
        <w:rPr>
          <w:sz w:val="24"/>
        </w:rPr>
        <w:t>accordance</w:t>
      </w:r>
      <w:r>
        <w:rPr>
          <w:spacing w:val="40"/>
          <w:sz w:val="24"/>
        </w:rPr>
        <w:t> </w:t>
      </w:r>
      <w:r>
        <w:rPr>
          <w:sz w:val="24"/>
        </w:rPr>
        <w:t>with</w:t>
      </w:r>
      <w:r>
        <w:rPr>
          <w:spacing w:val="40"/>
          <w:sz w:val="24"/>
        </w:rPr>
        <w:t> </w:t>
      </w:r>
      <w:r>
        <w:rPr>
          <w:sz w:val="24"/>
        </w:rPr>
        <w:t>these </w:t>
      </w:r>
      <w:r>
        <w:rPr>
          <w:spacing w:val="7"/>
          <w:sz w:val="24"/>
        </w:rPr>
        <w:t>Regulations.</w:t>
      </w:r>
    </w:p>
    <w:p>
      <w:pPr>
        <w:pStyle w:val="BodyText"/>
        <w:spacing w:line="278" w:lineRule="auto" w:before="239"/>
        <w:ind w:left="1224" w:right="838"/>
        <w:jc w:val="left"/>
      </w:pPr>
      <w:r>
        <w:rPr/>
        <w:t>The</w:t>
      </w:r>
      <w:r>
        <w:rPr>
          <w:spacing w:val="40"/>
        </w:rPr>
        <w:t> </w:t>
      </w:r>
      <w:r>
        <w:rPr/>
        <w:t>relevant</w:t>
      </w:r>
      <w:r>
        <w:rPr>
          <w:spacing w:val="40"/>
        </w:rPr>
        <w:t> </w:t>
      </w:r>
      <w:r>
        <w:rPr/>
        <w:t>provisions</w:t>
      </w:r>
      <w:r>
        <w:rPr>
          <w:spacing w:val="40"/>
        </w:rPr>
        <w:t> </w:t>
      </w:r>
      <w:r>
        <w:rPr/>
        <w:t>of</w:t>
      </w:r>
      <w:r>
        <w:rPr>
          <w:spacing w:val="40"/>
        </w:rPr>
        <w:t> </w:t>
      </w:r>
      <w:r>
        <w:rPr>
          <w:spacing w:val="9"/>
        </w:rPr>
        <w:t>the</w:t>
      </w:r>
      <w:r>
        <w:rPr>
          <w:spacing w:val="40"/>
        </w:rPr>
        <w:t> </w:t>
      </w:r>
      <w:r>
        <w:rPr/>
        <w:t>Noise</w:t>
      </w:r>
      <w:r>
        <w:rPr>
          <w:spacing w:val="40"/>
        </w:rPr>
        <w:t> </w:t>
      </w:r>
      <w:r>
        <w:rPr/>
        <w:t>Pollution</w:t>
      </w:r>
      <w:r>
        <w:rPr>
          <w:spacing w:val="40"/>
        </w:rPr>
        <w:t> </w:t>
      </w:r>
      <w:r>
        <w:rPr/>
        <w:t>(Regulation</w:t>
      </w:r>
      <w:r>
        <w:rPr>
          <w:spacing w:val="40"/>
        </w:rPr>
        <w:t> </w:t>
      </w:r>
      <w:r>
        <w:rPr/>
        <w:t>and</w:t>
      </w:r>
      <w:r>
        <w:rPr>
          <w:spacing w:val="40"/>
        </w:rPr>
        <w:t> </w:t>
      </w:r>
      <w:r>
        <w:rPr/>
        <w:t>Control),</w:t>
      </w:r>
      <w:r>
        <w:rPr>
          <w:spacing w:val="80"/>
        </w:rPr>
        <w:t> </w:t>
      </w:r>
      <w:r>
        <w:rPr/>
        <w:t>Rules</w:t>
      </w:r>
      <w:r>
        <w:rPr>
          <w:spacing w:val="40"/>
        </w:rPr>
        <w:t> </w:t>
      </w:r>
      <w:r>
        <w:rPr/>
        <w:t>2000</w:t>
      </w:r>
      <w:r>
        <w:rPr>
          <w:spacing w:val="40"/>
        </w:rPr>
        <w:t> </w:t>
      </w:r>
      <w:r>
        <w:rPr/>
        <w:t>as</w:t>
      </w:r>
      <w:r>
        <w:rPr>
          <w:spacing w:val="40"/>
        </w:rPr>
        <w:t> </w:t>
      </w:r>
      <w:r>
        <w:rPr/>
        <w:t>amended</w:t>
      </w:r>
      <w:r>
        <w:rPr>
          <w:spacing w:val="40"/>
        </w:rPr>
        <w:t> </w:t>
      </w:r>
      <w:r>
        <w:rPr/>
        <w:t>up</w:t>
      </w:r>
      <w:r>
        <w:rPr>
          <w:spacing w:val="40"/>
        </w:rPr>
        <w:t> </w:t>
      </w:r>
      <w:r>
        <w:rPr/>
        <w:t>to</w:t>
      </w:r>
      <w:r>
        <w:rPr>
          <w:spacing w:val="40"/>
        </w:rPr>
        <w:t> </w:t>
      </w:r>
      <w:r>
        <w:rPr/>
        <w:t>date</w:t>
      </w:r>
      <w:r>
        <w:rPr>
          <w:spacing w:val="40"/>
        </w:rPr>
        <w:t>  </w:t>
      </w:r>
      <w:r>
        <w:rPr/>
        <w:t>be</w:t>
      </w:r>
      <w:r>
        <w:rPr>
          <w:spacing w:val="40"/>
        </w:rPr>
        <w:t> </w:t>
      </w:r>
      <w:r>
        <w:rPr/>
        <w:t>adhered</w:t>
      </w:r>
      <w:r>
        <w:rPr>
          <w:spacing w:val="40"/>
        </w:rPr>
        <w:t> </w:t>
      </w:r>
      <w:r>
        <w:rPr/>
        <w:t>to</w:t>
      </w:r>
      <w:r>
        <w:rPr>
          <w:spacing w:val="40"/>
        </w:rPr>
        <w:t> </w:t>
      </w:r>
      <w:r>
        <w:rPr/>
        <w:t>in</w:t>
      </w:r>
      <w:r>
        <w:rPr>
          <w:spacing w:val="40"/>
        </w:rPr>
        <w:t> </w:t>
      </w:r>
      <w:r>
        <w:rPr/>
        <w:t>letter</w:t>
      </w:r>
      <w:r>
        <w:rPr>
          <w:spacing w:val="40"/>
        </w:rPr>
        <w:t> </w:t>
      </w:r>
      <w:r>
        <w:rPr/>
        <w:t>and</w:t>
      </w:r>
      <w:r>
        <w:rPr>
          <w:spacing w:val="40"/>
        </w:rPr>
        <w:t> </w:t>
      </w:r>
      <w:r>
        <w:rPr/>
        <w:t>spirit.</w:t>
      </w:r>
    </w:p>
    <w:p>
      <w:pPr>
        <w:pStyle w:val="ListParagraph"/>
        <w:numPr>
          <w:ilvl w:val="1"/>
          <w:numId w:val="10"/>
        </w:numPr>
        <w:tabs>
          <w:tab w:pos="1491" w:val="left" w:leader="none"/>
        </w:tabs>
        <w:spacing w:line="240" w:lineRule="auto" w:before="194" w:after="0"/>
        <w:ind w:left="1133" w:right="779" w:firstLine="0"/>
        <w:jc w:val="both"/>
        <w:rPr>
          <w:sz w:val="24"/>
        </w:rPr>
      </w:pPr>
      <w:r>
        <w:rPr>
          <w:b/>
          <w:i/>
          <w:sz w:val="24"/>
        </w:rPr>
        <w:t>Notice</w:t>
      </w:r>
      <w:r>
        <w:rPr>
          <w:b/>
          <w:i/>
          <w:spacing w:val="40"/>
          <w:sz w:val="24"/>
        </w:rPr>
        <w:t> </w:t>
      </w:r>
      <w:r>
        <w:rPr>
          <w:b/>
          <w:i/>
          <w:sz w:val="24"/>
        </w:rPr>
        <w:t>to</w:t>
      </w:r>
      <w:r>
        <w:rPr>
          <w:b/>
          <w:i/>
          <w:spacing w:val="40"/>
          <w:sz w:val="24"/>
        </w:rPr>
        <w:t> </w:t>
      </w:r>
      <w:r>
        <w:rPr>
          <w:b/>
          <w:i/>
          <w:sz w:val="24"/>
        </w:rPr>
        <w:t>start</w:t>
      </w:r>
      <w:r>
        <w:rPr>
          <w:b/>
          <w:i/>
          <w:spacing w:val="40"/>
          <w:sz w:val="24"/>
        </w:rPr>
        <w:t> </w:t>
      </w:r>
      <w:r>
        <w:rPr>
          <w:b/>
          <w:i/>
          <w:sz w:val="24"/>
        </w:rPr>
        <w:t>of</w:t>
      </w:r>
      <w:r>
        <w:rPr>
          <w:b/>
          <w:i/>
          <w:spacing w:val="40"/>
          <w:sz w:val="24"/>
        </w:rPr>
        <w:t> </w:t>
      </w:r>
      <w:r>
        <w:rPr>
          <w:b/>
          <w:i/>
          <w:sz w:val="24"/>
        </w:rPr>
        <w:t>work:</w:t>
      </w:r>
      <w:r>
        <w:rPr>
          <w:b/>
          <w:i/>
          <w:spacing w:val="40"/>
          <w:sz w:val="24"/>
        </w:rPr>
        <w:t> </w:t>
      </w:r>
      <w:r>
        <w:rPr>
          <w:sz w:val="24"/>
        </w:rPr>
        <w:t>The</w:t>
      </w:r>
      <w:r>
        <w:rPr>
          <w:spacing w:val="40"/>
          <w:sz w:val="24"/>
        </w:rPr>
        <w:t> </w:t>
      </w:r>
      <w:r>
        <w:rPr>
          <w:sz w:val="24"/>
        </w:rPr>
        <w:t>owner</w:t>
      </w:r>
      <w:r>
        <w:rPr>
          <w:spacing w:val="40"/>
          <w:sz w:val="24"/>
        </w:rPr>
        <w:t> </w:t>
      </w:r>
      <w:r>
        <w:rPr>
          <w:sz w:val="24"/>
        </w:rPr>
        <w:t>shall</w:t>
      </w:r>
      <w:r>
        <w:rPr>
          <w:spacing w:val="40"/>
          <w:sz w:val="24"/>
        </w:rPr>
        <w:t> </w:t>
      </w:r>
      <w:r>
        <w:rPr>
          <w:sz w:val="24"/>
        </w:rPr>
        <w:t>give</w:t>
      </w:r>
      <w:r>
        <w:rPr>
          <w:spacing w:val="40"/>
          <w:sz w:val="24"/>
        </w:rPr>
        <w:t> </w:t>
      </w:r>
      <w:r>
        <w:rPr>
          <w:sz w:val="24"/>
        </w:rPr>
        <w:t>notice</w:t>
      </w:r>
      <w:r>
        <w:rPr>
          <w:spacing w:val="40"/>
          <w:sz w:val="24"/>
        </w:rPr>
        <w:t> </w:t>
      </w:r>
      <w:r>
        <w:rPr>
          <w:sz w:val="24"/>
        </w:rPr>
        <w:t>to</w:t>
      </w:r>
      <w:r>
        <w:rPr>
          <w:spacing w:val="40"/>
          <w:sz w:val="24"/>
        </w:rPr>
        <w:t> </w:t>
      </w:r>
      <w:r>
        <w:rPr>
          <w:sz w:val="24"/>
        </w:rPr>
        <w:t>the Commissioner</w:t>
      </w:r>
      <w:r>
        <w:rPr>
          <w:spacing w:val="40"/>
          <w:sz w:val="24"/>
        </w:rPr>
        <w:t> </w:t>
      </w:r>
      <w:r>
        <w:rPr>
          <w:sz w:val="24"/>
        </w:rPr>
        <w:t>of</w:t>
      </w:r>
      <w:r>
        <w:rPr>
          <w:spacing w:val="40"/>
          <w:sz w:val="24"/>
        </w:rPr>
        <w:t> </w:t>
      </w:r>
      <w:r>
        <w:rPr>
          <w:sz w:val="24"/>
        </w:rPr>
        <w:t>his</w:t>
      </w:r>
      <w:r>
        <w:rPr>
          <w:spacing w:val="40"/>
          <w:sz w:val="24"/>
        </w:rPr>
        <w:t> </w:t>
      </w:r>
      <w:r>
        <w:rPr>
          <w:sz w:val="24"/>
        </w:rPr>
        <w:t>intention</w:t>
      </w:r>
      <w:r>
        <w:rPr>
          <w:spacing w:val="40"/>
          <w:sz w:val="24"/>
        </w:rPr>
        <w:t> </w:t>
      </w:r>
      <w:r>
        <w:rPr>
          <w:sz w:val="24"/>
        </w:rPr>
        <w:t>to</w:t>
      </w:r>
      <w:r>
        <w:rPr>
          <w:spacing w:val="40"/>
          <w:sz w:val="24"/>
        </w:rPr>
        <w:t> </w:t>
      </w:r>
      <w:r>
        <w:rPr>
          <w:sz w:val="24"/>
        </w:rPr>
        <w:t>start</w:t>
      </w:r>
      <w:r>
        <w:rPr>
          <w:spacing w:val="40"/>
          <w:sz w:val="24"/>
        </w:rPr>
        <w:t> </w:t>
      </w:r>
      <w:r>
        <w:rPr>
          <w:sz w:val="24"/>
        </w:rPr>
        <w:t>work</w:t>
      </w:r>
      <w:r>
        <w:rPr>
          <w:spacing w:val="40"/>
          <w:sz w:val="24"/>
        </w:rPr>
        <w:t> </w:t>
      </w:r>
      <w:r>
        <w:rPr>
          <w:sz w:val="24"/>
        </w:rPr>
        <w:t>on</w:t>
      </w:r>
      <w:r>
        <w:rPr>
          <w:spacing w:val="40"/>
          <w:sz w:val="24"/>
        </w:rPr>
        <w:t> </w:t>
      </w:r>
      <w:r>
        <w:rPr>
          <w:sz w:val="24"/>
        </w:rPr>
        <w:t>the</w:t>
      </w:r>
      <w:r>
        <w:rPr>
          <w:spacing w:val="40"/>
          <w:sz w:val="24"/>
        </w:rPr>
        <w:t> </w:t>
      </w:r>
      <w:r>
        <w:rPr>
          <w:sz w:val="24"/>
        </w:rPr>
        <w:t>building</w:t>
      </w:r>
      <w:r>
        <w:rPr>
          <w:spacing w:val="40"/>
          <w:sz w:val="24"/>
        </w:rPr>
        <w:t> </w:t>
      </w:r>
      <w:r>
        <w:rPr>
          <w:sz w:val="24"/>
        </w:rPr>
        <w:t>site</w:t>
      </w:r>
      <w:r>
        <w:rPr>
          <w:spacing w:val="40"/>
          <w:sz w:val="24"/>
        </w:rPr>
        <w:t> </w:t>
      </w:r>
      <w:r>
        <w:rPr>
          <w:sz w:val="24"/>
        </w:rPr>
        <w:t>in</w:t>
      </w:r>
      <w:r>
        <w:rPr>
          <w:spacing w:val="40"/>
          <w:sz w:val="24"/>
        </w:rPr>
        <w:t> </w:t>
      </w:r>
      <w:r>
        <w:rPr>
          <w:sz w:val="24"/>
        </w:rPr>
        <w:t>the format</w:t>
      </w:r>
      <w:r>
        <w:rPr>
          <w:spacing w:val="40"/>
          <w:sz w:val="24"/>
        </w:rPr>
        <w:t> </w:t>
      </w:r>
      <w:r>
        <w:rPr>
          <w:sz w:val="24"/>
        </w:rPr>
        <w:t>given</w:t>
      </w:r>
      <w:r>
        <w:rPr>
          <w:spacing w:val="40"/>
          <w:sz w:val="24"/>
        </w:rPr>
        <w:t> </w:t>
      </w:r>
      <w:r>
        <w:rPr>
          <w:sz w:val="24"/>
        </w:rPr>
        <w:t>in</w:t>
      </w:r>
      <w:r>
        <w:rPr>
          <w:spacing w:val="40"/>
          <w:sz w:val="24"/>
        </w:rPr>
        <w:t> </w:t>
      </w:r>
      <w:r>
        <w:rPr>
          <w:sz w:val="24"/>
        </w:rPr>
        <w:t>Annexure</w:t>
      </w:r>
      <w:r>
        <w:rPr>
          <w:spacing w:val="40"/>
          <w:sz w:val="24"/>
        </w:rPr>
        <w:t> </w:t>
      </w:r>
      <w:r>
        <w:rPr>
          <w:sz w:val="24"/>
        </w:rPr>
        <w:t>13</w:t>
      </w:r>
      <w:r>
        <w:rPr>
          <w:spacing w:val="40"/>
          <w:sz w:val="24"/>
        </w:rPr>
        <w:t> </w:t>
      </w:r>
      <w:r>
        <w:rPr>
          <w:sz w:val="24"/>
        </w:rPr>
        <w:t>The</w:t>
      </w:r>
      <w:r>
        <w:rPr>
          <w:spacing w:val="40"/>
          <w:sz w:val="24"/>
        </w:rPr>
        <w:t> </w:t>
      </w:r>
      <w:r>
        <w:rPr>
          <w:sz w:val="24"/>
        </w:rPr>
        <w:t>owner</w:t>
      </w:r>
      <w:r>
        <w:rPr>
          <w:spacing w:val="40"/>
          <w:sz w:val="24"/>
        </w:rPr>
        <w:t> </w:t>
      </w:r>
      <w:r>
        <w:rPr>
          <w:sz w:val="24"/>
        </w:rPr>
        <w:t>may</w:t>
      </w:r>
      <w:r>
        <w:rPr>
          <w:spacing w:val="40"/>
          <w:sz w:val="24"/>
        </w:rPr>
        <w:t> </w:t>
      </w:r>
      <w:r>
        <w:rPr>
          <w:sz w:val="24"/>
        </w:rPr>
        <w:t>start</w:t>
      </w:r>
      <w:r>
        <w:rPr>
          <w:spacing w:val="40"/>
          <w:sz w:val="24"/>
        </w:rPr>
        <w:t> </w:t>
      </w:r>
      <w:r>
        <w:rPr>
          <w:sz w:val="24"/>
        </w:rPr>
        <w:t>the</w:t>
      </w:r>
      <w:r>
        <w:rPr>
          <w:spacing w:val="40"/>
          <w:sz w:val="24"/>
        </w:rPr>
        <w:t> </w:t>
      </w:r>
      <w:r>
        <w:rPr>
          <w:sz w:val="24"/>
        </w:rPr>
        <w:t>work</w:t>
      </w:r>
      <w:r>
        <w:rPr>
          <w:spacing w:val="40"/>
          <w:sz w:val="24"/>
        </w:rPr>
        <w:t> </w:t>
      </w:r>
      <w:r>
        <w:rPr>
          <w:sz w:val="24"/>
        </w:rPr>
        <w:t>after</w:t>
      </w:r>
      <w:r>
        <w:rPr>
          <w:spacing w:val="40"/>
          <w:sz w:val="24"/>
        </w:rPr>
        <w:t> </w:t>
      </w:r>
      <w:r>
        <w:rPr>
          <w:sz w:val="24"/>
        </w:rPr>
        <w:t>7</w:t>
      </w:r>
      <w:r>
        <w:rPr>
          <w:spacing w:val="40"/>
          <w:sz w:val="24"/>
        </w:rPr>
        <w:t> </w:t>
      </w:r>
      <w:r>
        <w:rPr>
          <w:sz w:val="24"/>
        </w:rPr>
        <w:t>days have</w:t>
      </w:r>
      <w:r>
        <w:rPr>
          <w:spacing w:val="40"/>
          <w:sz w:val="24"/>
        </w:rPr>
        <w:t> </w:t>
      </w:r>
      <w:r>
        <w:rPr>
          <w:sz w:val="24"/>
        </w:rPr>
        <w:t>elapsed</w:t>
      </w:r>
      <w:r>
        <w:rPr>
          <w:spacing w:val="40"/>
          <w:sz w:val="24"/>
        </w:rPr>
        <w:t> </w:t>
      </w:r>
      <w:r>
        <w:rPr>
          <w:sz w:val="24"/>
        </w:rPr>
        <w:t>from</w:t>
      </w:r>
      <w:r>
        <w:rPr>
          <w:spacing w:val="40"/>
          <w:sz w:val="24"/>
        </w:rPr>
        <w:t> </w:t>
      </w:r>
      <w:r>
        <w:rPr>
          <w:sz w:val="24"/>
        </w:rPr>
        <w:t>the</w:t>
      </w:r>
      <w:r>
        <w:rPr>
          <w:spacing w:val="40"/>
          <w:sz w:val="24"/>
        </w:rPr>
        <w:t> </w:t>
      </w:r>
      <w:r>
        <w:rPr>
          <w:sz w:val="24"/>
        </w:rPr>
        <w:t>date</w:t>
      </w:r>
      <w:r>
        <w:rPr>
          <w:spacing w:val="40"/>
          <w:sz w:val="24"/>
        </w:rPr>
        <w:t> </w:t>
      </w:r>
      <w:r>
        <w:rPr>
          <w:sz w:val="24"/>
        </w:rPr>
        <w:t>of</w:t>
      </w:r>
      <w:r>
        <w:rPr>
          <w:spacing w:val="40"/>
          <w:sz w:val="24"/>
        </w:rPr>
        <w:t> </w:t>
      </w:r>
      <w:r>
        <w:rPr>
          <w:sz w:val="24"/>
        </w:rPr>
        <w:t>the</w:t>
      </w:r>
      <w:r>
        <w:rPr>
          <w:spacing w:val="40"/>
          <w:sz w:val="24"/>
        </w:rPr>
        <w:t> </w:t>
      </w:r>
      <w:r>
        <w:rPr>
          <w:sz w:val="24"/>
        </w:rPr>
        <w:t>service</w:t>
      </w:r>
      <w:r>
        <w:rPr>
          <w:spacing w:val="40"/>
          <w:sz w:val="24"/>
        </w:rPr>
        <w:t> </w:t>
      </w:r>
      <w:r>
        <w:rPr>
          <w:sz w:val="24"/>
        </w:rPr>
        <w:t>of</w:t>
      </w:r>
      <w:r>
        <w:rPr>
          <w:spacing w:val="40"/>
          <w:sz w:val="24"/>
        </w:rPr>
        <w:t> </w:t>
      </w:r>
      <w:r>
        <w:rPr>
          <w:sz w:val="24"/>
        </w:rPr>
        <w:t>such</w:t>
      </w:r>
      <w:r>
        <w:rPr>
          <w:spacing w:val="40"/>
          <w:sz w:val="24"/>
        </w:rPr>
        <w:t> </w:t>
      </w:r>
      <w:r>
        <w:rPr>
          <w:sz w:val="24"/>
        </w:rPr>
        <w:t>notice</w:t>
      </w:r>
      <w:r>
        <w:rPr>
          <w:spacing w:val="40"/>
          <w:sz w:val="24"/>
        </w:rPr>
        <w:t> </w:t>
      </w:r>
      <w:r>
        <w:rPr>
          <w:sz w:val="24"/>
        </w:rPr>
        <w:t>to</w:t>
      </w:r>
      <w:r>
        <w:rPr>
          <w:spacing w:val="40"/>
          <w:sz w:val="24"/>
        </w:rPr>
        <w:t> </w:t>
      </w:r>
      <w:r>
        <w:rPr>
          <w:sz w:val="24"/>
        </w:rPr>
        <w:t>the Commissioner</w:t>
      </w:r>
      <w:r>
        <w:rPr>
          <w:spacing w:val="40"/>
          <w:sz w:val="24"/>
        </w:rPr>
        <w:t> </w:t>
      </w:r>
      <w:r>
        <w:rPr>
          <w:sz w:val="24"/>
        </w:rPr>
        <w:t>or</w:t>
      </w:r>
      <w:r>
        <w:rPr>
          <w:spacing w:val="40"/>
          <w:sz w:val="24"/>
        </w:rPr>
        <w:t> </w:t>
      </w:r>
      <w:r>
        <w:rPr>
          <w:sz w:val="24"/>
        </w:rPr>
        <w:t>earlier,</w:t>
      </w:r>
      <w:r>
        <w:rPr>
          <w:spacing w:val="40"/>
          <w:sz w:val="24"/>
        </w:rPr>
        <w:t> </w:t>
      </w:r>
      <w:r>
        <w:rPr>
          <w:sz w:val="24"/>
        </w:rPr>
        <w:t>if</w:t>
      </w:r>
      <w:r>
        <w:rPr>
          <w:spacing w:val="40"/>
          <w:sz w:val="24"/>
        </w:rPr>
        <w:t> </w:t>
      </w:r>
      <w:r>
        <w:rPr>
          <w:sz w:val="24"/>
        </w:rPr>
        <w:t>so</w:t>
      </w:r>
      <w:r>
        <w:rPr>
          <w:spacing w:val="40"/>
          <w:sz w:val="24"/>
        </w:rPr>
        <w:t> </w:t>
      </w:r>
      <w:r>
        <w:rPr>
          <w:spacing w:val="9"/>
          <w:sz w:val="24"/>
        </w:rPr>
        <w:t>permitted.</w:t>
      </w:r>
    </w:p>
    <w:p>
      <w:pPr>
        <w:pStyle w:val="Heading6"/>
        <w:numPr>
          <w:ilvl w:val="1"/>
          <w:numId w:val="10"/>
        </w:numPr>
        <w:tabs>
          <w:tab w:pos="1491" w:val="left" w:leader="none"/>
        </w:tabs>
        <w:spacing w:line="240" w:lineRule="auto" w:before="240" w:after="0"/>
        <w:ind w:left="1491" w:right="0" w:hanging="358"/>
        <w:jc w:val="both"/>
        <w:rPr>
          <w:b w:val="0"/>
          <w:i w:val="0"/>
        </w:rPr>
      </w:pPr>
      <w:r>
        <w:rPr/>
        <w:t>Documents</w:t>
      </w:r>
      <w:r>
        <w:rPr>
          <w:spacing w:val="60"/>
        </w:rPr>
        <w:t> </w:t>
      </w:r>
      <w:r>
        <w:rPr/>
        <w:t>at</w:t>
      </w:r>
      <w:r>
        <w:rPr>
          <w:spacing w:val="60"/>
        </w:rPr>
        <w:t> </w:t>
      </w:r>
      <w:r>
        <w:rPr>
          <w:spacing w:val="-4"/>
        </w:rPr>
        <w:t>site:</w:t>
      </w:r>
    </w:p>
    <w:p>
      <w:pPr>
        <w:pStyle w:val="ListParagraph"/>
        <w:numPr>
          <w:ilvl w:val="0"/>
          <w:numId w:val="21"/>
        </w:numPr>
        <w:tabs>
          <w:tab w:pos="2211" w:val="left" w:leader="none"/>
        </w:tabs>
        <w:spacing w:line="240" w:lineRule="auto" w:before="244" w:after="0"/>
        <w:ind w:left="1493" w:right="776" w:firstLine="0"/>
        <w:jc w:val="both"/>
        <w:rPr>
          <w:sz w:val="24"/>
        </w:rPr>
      </w:pPr>
      <w:r>
        <w:rPr>
          <w:sz w:val="24"/>
        </w:rPr>
        <w:t>Results of tests- Where tests of any material are made to ensure conformity</w:t>
      </w:r>
      <w:r>
        <w:rPr>
          <w:spacing w:val="40"/>
          <w:sz w:val="24"/>
        </w:rPr>
        <w:t> </w:t>
      </w:r>
      <w:r>
        <w:rPr>
          <w:sz w:val="24"/>
        </w:rPr>
        <w:t>with</w:t>
      </w:r>
      <w:r>
        <w:rPr>
          <w:spacing w:val="40"/>
          <w:sz w:val="24"/>
        </w:rPr>
        <w:t> </w:t>
      </w:r>
      <w:r>
        <w:rPr>
          <w:sz w:val="24"/>
        </w:rPr>
        <w:t>the</w:t>
      </w:r>
      <w:r>
        <w:rPr>
          <w:spacing w:val="40"/>
          <w:sz w:val="24"/>
        </w:rPr>
        <w:t> </w:t>
      </w:r>
      <w:r>
        <w:rPr>
          <w:sz w:val="24"/>
        </w:rPr>
        <w:t>requirements</w:t>
      </w:r>
      <w:r>
        <w:rPr>
          <w:spacing w:val="40"/>
          <w:sz w:val="24"/>
        </w:rPr>
        <w:t> </w:t>
      </w:r>
      <w:r>
        <w:rPr>
          <w:sz w:val="24"/>
        </w:rPr>
        <w:t>of</w:t>
      </w:r>
      <w:r>
        <w:rPr>
          <w:spacing w:val="80"/>
          <w:sz w:val="24"/>
        </w:rPr>
        <w:t> </w:t>
      </w:r>
      <w:r>
        <w:rPr>
          <w:sz w:val="24"/>
        </w:rPr>
        <w:t>these</w:t>
      </w:r>
      <w:r>
        <w:rPr>
          <w:spacing w:val="40"/>
          <w:sz w:val="24"/>
        </w:rPr>
        <w:t> </w:t>
      </w:r>
      <w:r>
        <w:rPr>
          <w:sz w:val="24"/>
        </w:rPr>
        <w:t>Regulations,</w:t>
      </w:r>
      <w:r>
        <w:rPr>
          <w:spacing w:val="80"/>
          <w:sz w:val="24"/>
        </w:rPr>
        <w:t> </w:t>
      </w:r>
      <w:r>
        <w:rPr>
          <w:sz w:val="24"/>
        </w:rPr>
        <w:t>record</w:t>
      </w:r>
      <w:r>
        <w:rPr>
          <w:spacing w:val="40"/>
          <w:sz w:val="24"/>
        </w:rPr>
        <w:t> </w:t>
      </w:r>
      <w:r>
        <w:rPr>
          <w:sz w:val="24"/>
        </w:rPr>
        <w:t>of</w:t>
      </w:r>
      <w:r>
        <w:rPr>
          <w:spacing w:val="40"/>
          <w:sz w:val="24"/>
        </w:rPr>
        <w:t> </w:t>
      </w:r>
      <w:r>
        <w:rPr>
          <w:sz w:val="24"/>
        </w:rPr>
        <w:t>the</w:t>
      </w:r>
      <w:r>
        <w:rPr>
          <w:spacing w:val="40"/>
          <w:sz w:val="24"/>
        </w:rPr>
        <w:t> </w:t>
      </w:r>
      <w:r>
        <w:rPr>
          <w:sz w:val="24"/>
        </w:rPr>
        <w:t>test</w:t>
      </w:r>
      <w:r>
        <w:rPr>
          <w:spacing w:val="40"/>
          <w:sz w:val="24"/>
        </w:rPr>
        <w:t> </w:t>
      </w:r>
      <w:r>
        <w:rPr>
          <w:sz w:val="24"/>
        </w:rPr>
        <w:t>data</w:t>
      </w:r>
      <w:r>
        <w:rPr>
          <w:spacing w:val="40"/>
          <w:sz w:val="24"/>
        </w:rPr>
        <w:t> </w:t>
      </w:r>
      <w:r>
        <w:rPr>
          <w:sz w:val="24"/>
        </w:rPr>
        <w:t>shall</w:t>
      </w:r>
      <w:r>
        <w:rPr>
          <w:spacing w:val="40"/>
          <w:sz w:val="24"/>
        </w:rPr>
        <w:t> </w:t>
      </w:r>
      <w:r>
        <w:rPr>
          <w:sz w:val="24"/>
        </w:rPr>
        <w:t>be</w:t>
      </w:r>
      <w:r>
        <w:rPr>
          <w:spacing w:val="40"/>
          <w:sz w:val="24"/>
        </w:rPr>
        <w:t> </w:t>
      </w:r>
      <w:r>
        <w:rPr>
          <w:sz w:val="24"/>
        </w:rPr>
        <w:t>kept</w:t>
      </w:r>
      <w:r>
        <w:rPr>
          <w:spacing w:val="40"/>
          <w:sz w:val="24"/>
        </w:rPr>
        <w:t> </w:t>
      </w:r>
      <w:r>
        <w:rPr>
          <w:sz w:val="24"/>
        </w:rPr>
        <w:t>available</w:t>
      </w:r>
      <w:r>
        <w:rPr>
          <w:spacing w:val="40"/>
          <w:sz w:val="24"/>
        </w:rPr>
        <w:t> </w:t>
      </w:r>
      <w:r>
        <w:rPr>
          <w:sz w:val="24"/>
        </w:rPr>
        <w:t>for</w:t>
      </w:r>
      <w:r>
        <w:rPr>
          <w:spacing w:val="40"/>
          <w:sz w:val="24"/>
        </w:rPr>
        <w:t> </w:t>
      </w:r>
      <w:r>
        <w:rPr>
          <w:sz w:val="24"/>
        </w:rPr>
        <w:t>inspection</w:t>
      </w:r>
      <w:r>
        <w:rPr>
          <w:spacing w:val="40"/>
          <w:sz w:val="24"/>
        </w:rPr>
        <w:t> </w:t>
      </w:r>
      <w:r>
        <w:rPr>
          <w:sz w:val="24"/>
        </w:rPr>
        <w:t>during</w:t>
      </w:r>
      <w:r>
        <w:rPr>
          <w:spacing w:val="40"/>
          <w:sz w:val="24"/>
        </w:rPr>
        <w:t> </w:t>
      </w:r>
      <w:r>
        <w:rPr>
          <w:sz w:val="24"/>
        </w:rPr>
        <w:t>the</w:t>
      </w:r>
      <w:r>
        <w:rPr>
          <w:spacing w:val="40"/>
          <w:sz w:val="24"/>
        </w:rPr>
        <w:t> </w:t>
      </w:r>
      <w:r>
        <w:rPr>
          <w:sz w:val="24"/>
        </w:rPr>
        <w:t>construction</w:t>
      </w:r>
      <w:r>
        <w:rPr>
          <w:spacing w:val="40"/>
          <w:sz w:val="24"/>
        </w:rPr>
        <w:t> </w:t>
      </w:r>
      <w:r>
        <w:rPr>
          <w:sz w:val="24"/>
        </w:rPr>
        <w:t>of the building and for such period thereafter as required by the </w:t>
      </w:r>
      <w:r>
        <w:rPr>
          <w:spacing w:val="7"/>
          <w:sz w:val="24"/>
        </w:rPr>
        <w:t>Commissioner.</w:t>
      </w:r>
    </w:p>
    <w:p>
      <w:pPr>
        <w:pStyle w:val="ListParagraph"/>
        <w:numPr>
          <w:ilvl w:val="0"/>
          <w:numId w:val="21"/>
        </w:numPr>
        <w:tabs>
          <w:tab w:pos="2209" w:val="left" w:leader="none"/>
        </w:tabs>
        <w:spacing w:line="240" w:lineRule="auto" w:before="238" w:after="0"/>
        <w:ind w:left="1507" w:right="791" w:firstLine="0"/>
        <w:jc w:val="both"/>
        <w:rPr>
          <w:sz w:val="24"/>
        </w:rPr>
      </w:pPr>
      <w:r>
        <w:rPr>
          <w:sz w:val="24"/>
        </w:rPr>
        <w:t>Development permission - The person to whom development permission</w:t>
      </w:r>
      <w:r>
        <w:rPr>
          <w:spacing w:val="80"/>
          <w:sz w:val="24"/>
        </w:rPr>
        <w:t> </w:t>
      </w:r>
      <w:r>
        <w:rPr>
          <w:sz w:val="24"/>
        </w:rPr>
        <w:t>is</w:t>
      </w:r>
      <w:r>
        <w:rPr>
          <w:spacing w:val="80"/>
          <w:sz w:val="24"/>
        </w:rPr>
        <w:t> </w:t>
      </w:r>
      <w:r>
        <w:rPr>
          <w:sz w:val="24"/>
        </w:rPr>
        <w:t>issued</w:t>
      </w:r>
      <w:r>
        <w:rPr>
          <w:spacing w:val="80"/>
          <w:sz w:val="24"/>
        </w:rPr>
        <w:t> </w:t>
      </w:r>
      <w:r>
        <w:rPr>
          <w:sz w:val="24"/>
        </w:rPr>
        <w:t>shall</w:t>
      </w:r>
      <w:r>
        <w:rPr>
          <w:spacing w:val="80"/>
          <w:sz w:val="24"/>
        </w:rPr>
        <w:t> </w:t>
      </w:r>
      <w:r>
        <w:rPr>
          <w:sz w:val="24"/>
        </w:rPr>
        <w:t>during</w:t>
      </w:r>
      <w:r>
        <w:rPr>
          <w:spacing w:val="80"/>
          <w:sz w:val="24"/>
        </w:rPr>
        <w:t> </w:t>
      </w:r>
      <w:r>
        <w:rPr>
          <w:sz w:val="24"/>
        </w:rPr>
        <w:t>construction,</w:t>
      </w:r>
      <w:r>
        <w:rPr>
          <w:spacing w:val="80"/>
          <w:sz w:val="24"/>
        </w:rPr>
        <w:t> </w:t>
      </w:r>
      <w:r>
        <w:rPr>
          <w:sz w:val="24"/>
        </w:rPr>
        <w:t>keep-</w:t>
      </w:r>
    </w:p>
    <w:p>
      <w:pPr>
        <w:pStyle w:val="ListParagraph"/>
        <w:numPr>
          <w:ilvl w:val="1"/>
          <w:numId w:val="21"/>
        </w:numPr>
        <w:tabs>
          <w:tab w:pos="2844" w:val="left" w:leader="none"/>
          <w:tab w:pos="2856" w:val="left" w:leader="none"/>
        </w:tabs>
        <w:spacing w:line="240" w:lineRule="auto" w:before="241" w:after="0"/>
        <w:ind w:left="2844" w:right="783" w:hanging="632"/>
        <w:jc w:val="both"/>
        <w:rPr>
          <w:sz w:val="24"/>
        </w:rPr>
      </w:pPr>
      <w:r>
        <w:rPr>
          <w:sz w:val="24"/>
        </w:rPr>
        <w:t>posted</w:t>
      </w:r>
      <w:r>
        <w:rPr>
          <w:spacing w:val="40"/>
          <w:sz w:val="24"/>
        </w:rPr>
        <w:t> </w:t>
      </w:r>
      <w:r>
        <w:rPr>
          <w:sz w:val="24"/>
        </w:rPr>
        <w:t>in</w:t>
      </w:r>
      <w:r>
        <w:rPr>
          <w:spacing w:val="40"/>
          <w:sz w:val="24"/>
        </w:rPr>
        <w:t> </w:t>
      </w:r>
      <w:r>
        <w:rPr>
          <w:sz w:val="24"/>
        </w:rPr>
        <w:t>a</w:t>
      </w:r>
      <w:r>
        <w:rPr>
          <w:spacing w:val="40"/>
          <w:sz w:val="24"/>
        </w:rPr>
        <w:t> </w:t>
      </w:r>
      <w:r>
        <w:rPr>
          <w:sz w:val="24"/>
        </w:rPr>
        <w:t>conspicuous</w:t>
      </w:r>
      <w:r>
        <w:rPr>
          <w:spacing w:val="40"/>
          <w:sz w:val="24"/>
        </w:rPr>
        <w:t> </w:t>
      </w:r>
      <w:r>
        <w:rPr>
          <w:sz w:val="24"/>
        </w:rPr>
        <w:t>place,</w:t>
      </w:r>
      <w:r>
        <w:rPr>
          <w:spacing w:val="40"/>
          <w:sz w:val="24"/>
        </w:rPr>
        <w:t> </w:t>
      </w:r>
      <w:r>
        <w:rPr>
          <w:sz w:val="24"/>
        </w:rPr>
        <w:t>on</w:t>
      </w:r>
      <w:r>
        <w:rPr>
          <w:spacing w:val="40"/>
          <w:sz w:val="24"/>
        </w:rPr>
        <w:t> </w:t>
      </w:r>
      <w:r>
        <w:rPr>
          <w:sz w:val="24"/>
        </w:rPr>
        <w:t>the</w:t>
      </w:r>
      <w:r>
        <w:rPr>
          <w:spacing w:val="40"/>
          <w:sz w:val="24"/>
        </w:rPr>
        <w:t> </w:t>
      </w:r>
      <w:r>
        <w:rPr>
          <w:sz w:val="24"/>
        </w:rPr>
        <w:t>site</w:t>
      </w:r>
      <w:r>
        <w:rPr>
          <w:spacing w:val="40"/>
          <w:sz w:val="24"/>
        </w:rPr>
        <w:t> </w:t>
      </w:r>
      <w:r>
        <w:rPr>
          <w:sz w:val="24"/>
        </w:rPr>
        <w:t>for</w:t>
      </w:r>
      <w:r>
        <w:rPr>
          <w:spacing w:val="40"/>
          <w:sz w:val="24"/>
        </w:rPr>
        <w:t> </w:t>
      </w:r>
      <w:r>
        <w:rPr>
          <w:sz w:val="24"/>
        </w:rPr>
        <w:t>which permission has been issued, a copy of the development permission/commencement</w:t>
      </w:r>
      <w:r>
        <w:rPr>
          <w:spacing w:val="60"/>
          <w:w w:val="150"/>
          <w:sz w:val="24"/>
        </w:rPr>
        <w:t> </w:t>
      </w:r>
      <w:r>
        <w:rPr>
          <w:sz w:val="24"/>
        </w:rPr>
        <w:t>certificates;</w:t>
      </w:r>
      <w:r>
        <w:rPr>
          <w:spacing w:val="56"/>
          <w:w w:val="150"/>
          <w:sz w:val="24"/>
        </w:rPr>
        <w:t> </w:t>
      </w:r>
      <w:r>
        <w:rPr>
          <w:sz w:val="24"/>
        </w:rPr>
        <w:t>and</w:t>
      </w:r>
    </w:p>
    <w:p>
      <w:pPr>
        <w:pStyle w:val="ListParagraph"/>
        <w:numPr>
          <w:ilvl w:val="1"/>
          <w:numId w:val="21"/>
        </w:numPr>
        <w:tabs>
          <w:tab w:pos="2844" w:val="left" w:leader="none"/>
          <w:tab w:pos="2855" w:val="left" w:leader="none"/>
        </w:tabs>
        <w:spacing w:line="240" w:lineRule="auto" w:before="240" w:after="0"/>
        <w:ind w:left="2844" w:right="783" w:hanging="632"/>
        <w:jc w:val="both"/>
        <w:rPr>
          <w:sz w:val="24"/>
        </w:rPr>
      </w:pPr>
      <w:r>
        <w:rPr>
          <w:sz w:val="24"/>
        </w:rPr>
        <w:t>a</w:t>
      </w:r>
      <w:r>
        <w:rPr>
          <w:spacing w:val="80"/>
          <w:sz w:val="24"/>
        </w:rPr>
        <w:t> </w:t>
      </w:r>
      <w:r>
        <w:rPr>
          <w:sz w:val="24"/>
        </w:rPr>
        <w:t>copy</w:t>
      </w:r>
      <w:r>
        <w:rPr>
          <w:spacing w:val="40"/>
          <w:sz w:val="24"/>
        </w:rPr>
        <w:t> </w:t>
      </w:r>
      <w:r>
        <w:rPr>
          <w:sz w:val="24"/>
        </w:rPr>
        <w:t>of</w:t>
      </w:r>
      <w:r>
        <w:rPr>
          <w:spacing w:val="40"/>
          <w:sz w:val="24"/>
        </w:rPr>
        <w:t> </w:t>
      </w:r>
      <w:r>
        <w:rPr>
          <w:sz w:val="24"/>
        </w:rPr>
        <w:t>the</w:t>
      </w:r>
      <w:r>
        <w:rPr>
          <w:spacing w:val="40"/>
          <w:sz w:val="24"/>
        </w:rPr>
        <w:t> </w:t>
      </w:r>
      <w:r>
        <w:rPr>
          <w:sz w:val="24"/>
        </w:rPr>
        <w:t>approved</w:t>
      </w:r>
      <w:r>
        <w:rPr>
          <w:spacing w:val="40"/>
          <w:sz w:val="24"/>
        </w:rPr>
        <w:t> </w:t>
      </w:r>
      <w:r>
        <w:rPr>
          <w:sz w:val="24"/>
        </w:rPr>
        <w:t>drawings</w:t>
      </w:r>
      <w:r>
        <w:rPr>
          <w:spacing w:val="40"/>
          <w:sz w:val="24"/>
        </w:rPr>
        <w:t> </w:t>
      </w:r>
      <w:r>
        <w:rPr>
          <w:sz w:val="24"/>
        </w:rPr>
        <w:t>and</w:t>
      </w:r>
      <w:r>
        <w:rPr>
          <w:spacing w:val="40"/>
          <w:sz w:val="24"/>
        </w:rPr>
        <w:t> </w:t>
      </w:r>
      <w:r>
        <w:rPr>
          <w:sz w:val="24"/>
        </w:rPr>
        <w:t>specifications</w:t>
      </w:r>
      <w:r>
        <w:rPr>
          <w:spacing w:val="40"/>
          <w:sz w:val="24"/>
        </w:rPr>
        <w:t> </w:t>
      </w:r>
      <w:r>
        <w:rPr>
          <w:sz w:val="24"/>
        </w:rPr>
        <w:t>referred to</w:t>
      </w:r>
      <w:r>
        <w:rPr>
          <w:spacing w:val="40"/>
          <w:sz w:val="24"/>
        </w:rPr>
        <w:t> </w:t>
      </w:r>
      <w:r>
        <w:rPr>
          <w:sz w:val="24"/>
        </w:rPr>
        <w:t>in</w:t>
      </w:r>
      <w:r>
        <w:rPr>
          <w:spacing w:val="40"/>
          <w:sz w:val="24"/>
        </w:rPr>
        <w:t> </w:t>
      </w:r>
      <w:r>
        <w:rPr>
          <w:sz w:val="24"/>
        </w:rPr>
        <w:t>Regulations</w:t>
      </w:r>
      <w:r>
        <w:rPr>
          <w:spacing w:val="40"/>
          <w:sz w:val="24"/>
        </w:rPr>
        <w:t> </w:t>
      </w:r>
      <w:r>
        <w:rPr>
          <w:sz w:val="24"/>
        </w:rPr>
        <w:t>10</w:t>
      </w:r>
      <w:r>
        <w:rPr>
          <w:spacing w:val="40"/>
          <w:sz w:val="24"/>
        </w:rPr>
        <w:t> </w:t>
      </w:r>
      <w:r>
        <w:rPr>
          <w:sz w:val="24"/>
        </w:rPr>
        <w:t>on</w:t>
      </w:r>
      <w:r>
        <w:rPr>
          <w:spacing w:val="40"/>
          <w:sz w:val="24"/>
        </w:rPr>
        <w:t> </w:t>
      </w:r>
      <w:r>
        <w:rPr>
          <w:sz w:val="24"/>
        </w:rPr>
        <w:t>the</w:t>
      </w:r>
      <w:r>
        <w:rPr>
          <w:spacing w:val="40"/>
          <w:sz w:val="24"/>
        </w:rPr>
        <w:t> </w:t>
      </w:r>
      <w:r>
        <w:rPr>
          <w:sz w:val="24"/>
        </w:rPr>
        <w:t>site</w:t>
      </w:r>
      <w:r>
        <w:rPr>
          <w:spacing w:val="40"/>
          <w:sz w:val="24"/>
        </w:rPr>
        <w:t> </w:t>
      </w:r>
      <w:r>
        <w:rPr>
          <w:sz w:val="24"/>
        </w:rPr>
        <w:t>for</w:t>
      </w:r>
      <w:r>
        <w:rPr>
          <w:spacing w:val="40"/>
          <w:sz w:val="24"/>
        </w:rPr>
        <w:t> </w:t>
      </w:r>
      <w:r>
        <w:rPr>
          <w:sz w:val="24"/>
        </w:rPr>
        <w:t>which</w:t>
      </w:r>
      <w:r>
        <w:rPr>
          <w:spacing w:val="40"/>
          <w:sz w:val="24"/>
        </w:rPr>
        <w:t> </w:t>
      </w:r>
      <w:r>
        <w:rPr>
          <w:sz w:val="24"/>
        </w:rPr>
        <w:t>the</w:t>
      </w:r>
      <w:r>
        <w:rPr>
          <w:spacing w:val="40"/>
          <w:sz w:val="24"/>
        </w:rPr>
        <w:t> </w:t>
      </w:r>
      <w:r>
        <w:rPr>
          <w:sz w:val="24"/>
        </w:rPr>
        <w:t>permission</w:t>
      </w:r>
      <w:r>
        <w:rPr>
          <w:spacing w:val="40"/>
          <w:sz w:val="24"/>
        </w:rPr>
        <w:t> </w:t>
      </w:r>
      <w:r>
        <w:rPr>
          <w:sz w:val="24"/>
        </w:rPr>
        <w:t>was </w:t>
      </w:r>
      <w:r>
        <w:rPr>
          <w:spacing w:val="9"/>
          <w:sz w:val="24"/>
        </w:rPr>
        <w:t>issued.</w:t>
      </w:r>
    </w:p>
    <w:p>
      <w:pPr>
        <w:pStyle w:val="ListParagraph"/>
        <w:numPr>
          <w:ilvl w:val="1"/>
          <w:numId w:val="21"/>
        </w:numPr>
        <w:tabs>
          <w:tab w:pos="2858" w:val="left" w:leader="none"/>
        </w:tabs>
        <w:spacing w:line="240" w:lineRule="auto" w:before="240" w:after="0"/>
        <w:ind w:left="2858" w:right="0" w:hanging="645"/>
        <w:jc w:val="left"/>
        <w:rPr>
          <w:sz w:val="24"/>
        </w:rPr>
      </w:pPr>
      <w:r>
        <w:rPr>
          <w:sz w:val="24"/>
        </w:rPr>
        <w:t>list</w:t>
      </w:r>
      <w:r>
        <w:rPr>
          <w:spacing w:val="58"/>
          <w:sz w:val="24"/>
        </w:rPr>
        <w:t> </w:t>
      </w:r>
      <w:r>
        <w:rPr>
          <w:sz w:val="24"/>
        </w:rPr>
        <w:t>of</w:t>
      </w:r>
      <w:r>
        <w:rPr>
          <w:spacing w:val="60"/>
          <w:sz w:val="24"/>
        </w:rPr>
        <w:t> </w:t>
      </w:r>
      <w:r>
        <w:rPr>
          <w:sz w:val="24"/>
        </w:rPr>
        <w:t>Professionals</w:t>
      </w:r>
      <w:r>
        <w:rPr>
          <w:spacing w:val="60"/>
          <w:sz w:val="24"/>
        </w:rPr>
        <w:t> </w:t>
      </w:r>
      <w:r>
        <w:rPr>
          <w:sz w:val="24"/>
        </w:rPr>
        <w:t>on</w:t>
      </w:r>
      <w:r>
        <w:rPr>
          <w:spacing w:val="60"/>
          <w:sz w:val="24"/>
        </w:rPr>
        <w:t> </w:t>
      </w:r>
      <w:r>
        <w:rPr>
          <w:sz w:val="24"/>
        </w:rPr>
        <w:t>Record</w:t>
      </w:r>
      <w:r>
        <w:rPr>
          <w:spacing w:val="60"/>
          <w:sz w:val="24"/>
        </w:rPr>
        <w:t> </w:t>
      </w:r>
      <w:r>
        <w:rPr>
          <w:sz w:val="24"/>
        </w:rPr>
        <w:t>with</w:t>
      </w:r>
      <w:r>
        <w:rPr>
          <w:spacing w:val="60"/>
          <w:sz w:val="24"/>
        </w:rPr>
        <w:t> </w:t>
      </w:r>
      <w:r>
        <w:rPr>
          <w:sz w:val="24"/>
        </w:rPr>
        <w:t>their</w:t>
      </w:r>
      <w:r>
        <w:rPr>
          <w:spacing w:val="60"/>
          <w:sz w:val="24"/>
        </w:rPr>
        <w:t> </w:t>
      </w:r>
      <w:r>
        <w:rPr>
          <w:sz w:val="24"/>
        </w:rPr>
        <w:t>contact</w:t>
      </w:r>
      <w:r>
        <w:rPr>
          <w:spacing w:val="61"/>
          <w:sz w:val="24"/>
        </w:rPr>
        <w:t> </w:t>
      </w:r>
      <w:r>
        <w:rPr>
          <w:spacing w:val="-2"/>
          <w:sz w:val="24"/>
        </w:rPr>
        <w:t>details.</w:t>
      </w:r>
    </w:p>
    <w:p>
      <w:pPr>
        <w:pStyle w:val="ListParagraph"/>
        <w:numPr>
          <w:ilvl w:val="1"/>
          <w:numId w:val="21"/>
        </w:numPr>
        <w:tabs>
          <w:tab w:pos="2844" w:val="left" w:leader="none"/>
          <w:tab w:pos="2855" w:val="left" w:leader="none"/>
        </w:tabs>
        <w:spacing w:line="240" w:lineRule="auto" w:before="241" w:after="0"/>
        <w:ind w:left="2844" w:right="788" w:hanging="632"/>
        <w:jc w:val="both"/>
        <w:rPr>
          <w:sz w:val="24"/>
        </w:rPr>
      </w:pPr>
      <w:r>
        <w:rPr>
          <w:sz w:val="24"/>
        </w:rPr>
        <w:t>copies</w:t>
      </w:r>
      <w:r>
        <w:rPr>
          <w:spacing w:val="80"/>
          <w:sz w:val="24"/>
        </w:rPr>
        <w:t> </w:t>
      </w:r>
      <w:r>
        <w:rPr>
          <w:sz w:val="24"/>
        </w:rPr>
        <w:t>of</w:t>
      </w:r>
      <w:r>
        <w:rPr>
          <w:spacing w:val="80"/>
          <w:sz w:val="24"/>
        </w:rPr>
        <w:t> </w:t>
      </w:r>
      <w:r>
        <w:rPr>
          <w:sz w:val="24"/>
        </w:rPr>
        <w:t>various</w:t>
      </w:r>
      <w:r>
        <w:rPr>
          <w:spacing w:val="80"/>
          <w:sz w:val="24"/>
        </w:rPr>
        <w:t> </w:t>
      </w:r>
      <w:r>
        <w:rPr>
          <w:sz w:val="24"/>
        </w:rPr>
        <w:t>remarks</w:t>
      </w:r>
      <w:r>
        <w:rPr>
          <w:spacing w:val="80"/>
          <w:sz w:val="24"/>
        </w:rPr>
        <w:t> </w:t>
      </w:r>
      <w:r>
        <w:rPr>
          <w:sz w:val="24"/>
        </w:rPr>
        <w:t>obtained</w:t>
      </w:r>
      <w:r>
        <w:rPr>
          <w:spacing w:val="80"/>
          <w:sz w:val="24"/>
        </w:rPr>
        <w:t> </w:t>
      </w:r>
      <w:r>
        <w:rPr>
          <w:sz w:val="24"/>
        </w:rPr>
        <w:t>from</w:t>
      </w:r>
      <w:r>
        <w:rPr>
          <w:spacing w:val="80"/>
          <w:sz w:val="24"/>
        </w:rPr>
        <w:t> </w:t>
      </w:r>
      <w:r>
        <w:rPr>
          <w:sz w:val="24"/>
        </w:rPr>
        <w:t>various departments</w:t>
      </w:r>
      <w:r>
        <w:rPr>
          <w:spacing w:val="40"/>
          <w:sz w:val="24"/>
        </w:rPr>
        <w:t> </w:t>
      </w:r>
      <w:r>
        <w:rPr>
          <w:sz w:val="24"/>
        </w:rPr>
        <w:t>related</w:t>
      </w:r>
      <w:r>
        <w:rPr>
          <w:spacing w:val="40"/>
          <w:sz w:val="24"/>
        </w:rPr>
        <w:t> </w:t>
      </w:r>
      <w:r>
        <w:rPr>
          <w:sz w:val="24"/>
        </w:rPr>
        <w:t>to</w:t>
      </w:r>
      <w:r>
        <w:rPr>
          <w:spacing w:val="40"/>
          <w:sz w:val="24"/>
        </w:rPr>
        <w:t> </w:t>
      </w:r>
      <w:r>
        <w:rPr>
          <w:sz w:val="24"/>
        </w:rPr>
        <w:t>the</w:t>
      </w:r>
      <w:r>
        <w:rPr>
          <w:spacing w:val="40"/>
          <w:sz w:val="24"/>
        </w:rPr>
        <w:t> </w:t>
      </w:r>
      <w:r>
        <w:rPr>
          <w:spacing w:val="9"/>
          <w:sz w:val="24"/>
        </w:rPr>
        <w:t>development.</w:t>
      </w:r>
    </w:p>
    <w:p>
      <w:pPr>
        <w:pStyle w:val="ListParagraph"/>
        <w:numPr>
          <w:ilvl w:val="1"/>
          <w:numId w:val="10"/>
        </w:numPr>
        <w:tabs>
          <w:tab w:pos="1491" w:val="left" w:leader="none"/>
        </w:tabs>
        <w:spacing w:line="240" w:lineRule="auto" w:before="238" w:after="0"/>
        <w:ind w:left="1133" w:right="781" w:firstLine="0"/>
        <w:jc w:val="both"/>
        <w:rPr>
          <w:sz w:val="24"/>
        </w:rPr>
      </w:pPr>
      <w:r>
        <w:rPr>
          <w:b/>
          <w:i/>
          <w:sz w:val="24"/>
        </w:rPr>
        <w:t>Checking</w:t>
      </w:r>
      <w:r>
        <w:rPr>
          <w:b/>
          <w:i/>
          <w:spacing w:val="40"/>
          <w:sz w:val="24"/>
        </w:rPr>
        <w:t> </w:t>
      </w:r>
      <w:r>
        <w:rPr>
          <w:b/>
          <w:i/>
          <w:sz w:val="24"/>
        </w:rPr>
        <w:t>of</w:t>
      </w:r>
      <w:r>
        <w:rPr>
          <w:b/>
          <w:i/>
          <w:spacing w:val="40"/>
          <w:sz w:val="24"/>
        </w:rPr>
        <w:t> </w:t>
      </w:r>
      <w:r>
        <w:rPr>
          <w:b/>
          <w:i/>
          <w:sz w:val="24"/>
        </w:rPr>
        <w:t>plinth</w:t>
      </w:r>
      <w:r>
        <w:rPr>
          <w:b/>
          <w:i/>
          <w:spacing w:val="40"/>
          <w:sz w:val="24"/>
        </w:rPr>
        <w:t> </w:t>
      </w:r>
      <w:r>
        <w:rPr>
          <w:b/>
          <w:i/>
          <w:sz w:val="24"/>
        </w:rPr>
        <w:t>columns</w:t>
      </w:r>
      <w:r>
        <w:rPr>
          <w:b/>
          <w:i/>
          <w:spacing w:val="40"/>
          <w:sz w:val="24"/>
        </w:rPr>
        <w:t> </w:t>
      </w:r>
      <w:r>
        <w:rPr>
          <w:b/>
          <w:i/>
          <w:sz w:val="24"/>
        </w:rPr>
        <w:t>up</w:t>
      </w:r>
      <w:r>
        <w:rPr>
          <w:b/>
          <w:i/>
          <w:spacing w:val="40"/>
          <w:sz w:val="24"/>
        </w:rPr>
        <w:t> </w:t>
      </w:r>
      <w:r>
        <w:rPr>
          <w:b/>
          <w:i/>
          <w:sz w:val="24"/>
        </w:rPr>
        <w:t>to</w:t>
      </w:r>
      <w:r>
        <w:rPr>
          <w:b/>
          <w:i/>
          <w:spacing w:val="40"/>
          <w:sz w:val="24"/>
        </w:rPr>
        <w:t> </w:t>
      </w:r>
      <w:r>
        <w:rPr>
          <w:b/>
          <w:i/>
          <w:sz w:val="24"/>
        </w:rPr>
        <w:t>plinth</w:t>
      </w:r>
      <w:r>
        <w:rPr>
          <w:b/>
          <w:i/>
          <w:spacing w:val="40"/>
          <w:sz w:val="24"/>
        </w:rPr>
        <w:t> </w:t>
      </w:r>
      <w:r>
        <w:rPr>
          <w:b/>
          <w:i/>
          <w:sz w:val="24"/>
        </w:rPr>
        <w:t>level:</w:t>
      </w:r>
      <w:r>
        <w:rPr>
          <w:b/>
          <w:i/>
          <w:spacing w:val="40"/>
          <w:sz w:val="24"/>
        </w:rPr>
        <w:t> </w:t>
      </w:r>
      <w:r>
        <w:rPr>
          <w:sz w:val="24"/>
        </w:rPr>
        <w:t>The</w:t>
      </w:r>
      <w:r>
        <w:rPr>
          <w:spacing w:val="40"/>
          <w:sz w:val="24"/>
        </w:rPr>
        <w:t> </w:t>
      </w:r>
      <w:r>
        <w:rPr>
          <w:sz w:val="24"/>
        </w:rPr>
        <w:t>owner</w:t>
      </w:r>
      <w:r>
        <w:rPr>
          <w:spacing w:val="40"/>
          <w:sz w:val="24"/>
        </w:rPr>
        <w:t> </w:t>
      </w:r>
      <w:r>
        <w:rPr>
          <w:sz w:val="24"/>
        </w:rPr>
        <w:t>through his</w:t>
      </w:r>
      <w:r>
        <w:rPr>
          <w:spacing w:val="65"/>
          <w:sz w:val="24"/>
        </w:rPr>
        <w:t> </w:t>
      </w:r>
      <w:r>
        <w:rPr>
          <w:sz w:val="24"/>
        </w:rPr>
        <w:t>licensed</w:t>
      </w:r>
      <w:r>
        <w:rPr>
          <w:spacing w:val="65"/>
          <w:sz w:val="24"/>
        </w:rPr>
        <w:t> </w:t>
      </w:r>
      <w:r>
        <w:rPr>
          <w:sz w:val="24"/>
        </w:rPr>
        <w:t>surveyor,</w:t>
      </w:r>
      <w:r>
        <w:rPr>
          <w:spacing w:val="65"/>
          <w:sz w:val="24"/>
        </w:rPr>
        <w:t> </w:t>
      </w:r>
      <w:r>
        <w:rPr>
          <w:sz w:val="24"/>
        </w:rPr>
        <w:t>or</w:t>
      </w:r>
      <w:r>
        <w:rPr>
          <w:spacing w:val="65"/>
          <w:sz w:val="24"/>
        </w:rPr>
        <w:t> </w:t>
      </w:r>
      <w:r>
        <w:rPr>
          <w:sz w:val="24"/>
        </w:rPr>
        <w:t>his</w:t>
      </w:r>
      <w:r>
        <w:rPr>
          <w:spacing w:val="65"/>
          <w:sz w:val="24"/>
        </w:rPr>
        <w:t> </w:t>
      </w:r>
      <w:r>
        <w:rPr>
          <w:sz w:val="24"/>
        </w:rPr>
        <w:t>architect</w:t>
      </w:r>
      <w:r>
        <w:rPr>
          <w:spacing w:val="68"/>
          <w:sz w:val="24"/>
        </w:rPr>
        <w:t> </w:t>
      </w:r>
      <w:r>
        <w:rPr>
          <w:sz w:val="24"/>
        </w:rPr>
        <w:t>shall</w:t>
      </w:r>
      <w:r>
        <w:rPr>
          <w:spacing w:val="65"/>
          <w:sz w:val="24"/>
        </w:rPr>
        <w:t> </w:t>
      </w:r>
      <w:r>
        <w:rPr>
          <w:sz w:val="24"/>
        </w:rPr>
        <w:t>give</w:t>
      </w:r>
      <w:r>
        <w:rPr>
          <w:spacing w:val="65"/>
          <w:sz w:val="24"/>
        </w:rPr>
        <w:t> </w:t>
      </w:r>
      <w:r>
        <w:rPr>
          <w:sz w:val="24"/>
        </w:rPr>
        <w:t>notice</w:t>
      </w:r>
      <w:r>
        <w:rPr>
          <w:spacing w:val="65"/>
          <w:sz w:val="24"/>
        </w:rPr>
        <w:t> </w:t>
      </w:r>
      <w:r>
        <w:rPr>
          <w:sz w:val="24"/>
        </w:rPr>
        <w:t>in</w:t>
      </w:r>
      <w:r>
        <w:rPr>
          <w:spacing w:val="65"/>
          <w:sz w:val="24"/>
        </w:rPr>
        <w:t> </w:t>
      </w:r>
      <w:r>
        <w:rPr>
          <w:sz w:val="24"/>
        </w:rPr>
        <w:t>the</w:t>
      </w:r>
      <w:r>
        <w:rPr>
          <w:spacing w:val="80"/>
          <w:sz w:val="24"/>
        </w:rPr>
        <w:t> </w:t>
      </w:r>
      <w:r>
        <w:rPr>
          <w:sz w:val="24"/>
        </w:rPr>
        <w:t>form</w:t>
      </w:r>
      <w:r>
        <w:rPr>
          <w:spacing w:val="65"/>
          <w:sz w:val="24"/>
        </w:rPr>
        <w:t> </w:t>
      </w:r>
      <w:r>
        <w:rPr>
          <w:sz w:val="24"/>
        </w:rPr>
        <w:t>given</w:t>
      </w:r>
    </w:p>
    <w:p>
      <w:pPr>
        <w:pStyle w:val="ListParagraph"/>
        <w:spacing w:after="0" w:line="240" w:lineRule="auto"/>
        <w:jc w:val="both"/>
        <w:rPr>
          <w:sz w:val="24"/>
        </w:rPr>
        <w:sectPr>
          <w:pgSz w:w="11910" w:h="16840"/>
          <w:pgMar w:header="1036" w:footer="974" w:top="1460" w:bottom="1160" w:left="360" w:right="360"/>
        </w:sectPr>
      </w:pPr>
    </w:p>
    <w:p>
      <w:pPr>
        <w:pStyle w:val="BodyText"/>
        <w:spacing w:before="278"/>
        <w:ind w:left="1133" w:right="779"/>
      </w:pPr>
      <w:r>
        <w:rPr/>
        <w:t>at</w:t>
      </w:r>
      <w:r>
        <w:rPr>
          <w:spacing w:val="40"/>
        </w:rPr>
        <w:t> </w:t>
      </w:r>
      <w:r>
        <w:rPr/>
        <w:t>Annexure</w:t>
      </w:r>
      <w:r>
        <w:rPr>
          <w:spacing w:val="40"/>
        </w:rPr>
        <w:t> </w:t>
      </w:r>
      <w:r>
        <w:rPr/>
        <w:t>14</w:t>
      </w:r>
      <w:r>
        <w:rPr>
          <w:spacing w:val="40"/>
        </w:rPr>
        <w:t> </w:t>
      </w:r>
      <w:r>
        <w:rPr/>
        <w:t>to</w:t>
      </w:r>
      <w:r>
        <w:rPr>
          <w:spacing w:val="40"/>
        </w:rPr>
        <w:t> </w:t>
      </w:r>
      <w:r>
        <w:rPr/>
        <w:t>the</w:t>
      </w:r>
      <w:r>
        <w:rPr>
          <w:spacing w:val="40"/>
        </w:rPr>
        <w:t> </w:t>
      </w:r>
      <w:r>
        <w:rPr/>
        <w:t>Commissioner</w:t>
      </w:r>
      <w:r>
        <w:rPr>
          <w:spacing w:val="40"/>
        </w:rPr>
        <w:t> </w:t>
      </w:r>
      <w:r>
        <w:rPr/>
        <w:t>on</w:t>
      </w:r>
      <w:r>
        <w:rPr>
          <w:spacing w:val="40"/>
        </w:rPr>
        <w:t> </w:t>
      </w:r>
      <w:r>
        <w:rPr/>
        <w:t>completion</w:t>
      </w:r>
      <w:r>
        <w:rPr>
          <w:spacing w:val="40"/>
        </w:rPr>
        <w:t> </w:t>
      </w:r>
      <w:r>
        <w:rPr/>
        <w:t>of</w:t>
      </w:r>
      <w:r>
        <w:rPr>
          <w:spacing w:val="40"/>
        </w:rPr>
        <w:t> </w:t>
      </w:r>
      <w:r>
        <w:rPr/>
        <w:t>work</w:t>
      </w:r>
      <w:r>
        <w:rPr>
          <w:spacing w:val="40"/>
        </w:rPr>
        <w:t> </w:t>
      </w:r>
      <w:r>
        <w:rPr/>
        <w:t>up</w:t>
      </w:r>
      <w:r>
        <w:rPr>
          <w:spacing w:val="40"/>
        </w:rPr>
        <w:t> </w:t>
      </w:r>
      <w:r>
        <w:rPr/>
        <w:t>to</w:t>
      </w:r>
      <w:r>
        <w:rPr>
          <w:spacing w:val="40"/>
        </w:rPr>
        <w:t> </w:t>
      </w:r>
      <w:r>
        <w:rPr/>
        <w:t>plinth level to enable the Commissioner to ensure that the work conforms to the sanctioned</w:t>
      </w:r>
      <w:r>
        <w:rPr>
          <w:spacing w:val="40"/>
        </w:rPr>
        <w:t> </w:t>
      </w:r>
      <w:r>
        <w:rPr/>
        <w:t>plans.</w:t>
      </w:r>
      <w:r>
        <w:rPr>
          <w:spacing w:val="40"/>
        </w:rPr>
        <w:t>  </w:t>
      </w:r>
      <w:r>
        <w:rPr/>
        <w:t>The</w:t>
      </w:r>
      <w:r>
        <w:rPr>
          <w:spacing w:val="40"/>
        </w:rPr>
        <w:t> </w:t>
      </w:r>
      <w:r>
        <w:rPr/>
        <w:t>Commissioner</w:t>
      </w:r>
      <w:r>
        <w:rPr>
          <w:spacing w:val="40"/>
        </w:rPr>
        <w:t> </w:t>
      </w:r>
      <w:r>
        <w:rPr/>
        <w:t>may</w:t>
      </w:r>
      <w:r>
        <w:rPr>
          <w:spacing w:val="40"/>
        </w:rPr>
        <w:t> </w:t>
      </w:r>
      <w:r>
        <w:rPr/>
        <w:t>inspect</w:t>
      </w:r>
      <w:r>
        <w:rPr>
          <w:spacing w:val="40"/>
        </w:rPr>
        <w:t> </w:t>
      </w:r>
      <w:r>
        <w:rPr/>
        <w:t>the</w:t>
      </w:r>
      <w:r>
        <w:rPr>
          <w:spacing w:val="40"/>
        </w:rPr>
        <w:t> </w:t>
      </w:r>
      <w:r>
        <w:rPr/>
        <w:t>work</w:t>
      </w:r>
      <w:r>
        <w:rPr>
          <w:spacing w:val="40"/>
        </w:rPr>
        <w:t> </w:t>
      </w:r>
      <w:r>
        <w:rPr/>
        <w:t>jointly</w:t>
      </w:r>
      <w:r>
        <w:rPr>
          <w:spacing w:val="40"/>
        </w:rPr>
        <w:t> </w:t>
      </w:r>
      <w:r>
        <w:rPr/>
        <w:t>with</w:t>
      </w:r>
      <w:r>
        <w:rPr>
          <w:spacing w:val="80"/>
        </w:rPr>
        <w:t> </w:t>
      </w:r>
      <w:r>
        <w:rPr/>
        <w:t>the licensed technical personal or architect within fifteen days</w:t>
      </w:r>
      <w:r>
        <w:rPr>
          <w:spacing w:val="40"/>
        </w:rPr>
        <w:t> </w:t>
      </w:r>
      <w:r>
        <w:rPr/>
        <w:t>from the</w:t>
      </w:r>
      <w:r>
        <w:rPr>
          <w:spacing w:val="80"/>
        </w:rPr>
        <w:t> </w:t>
      </w:r>
      <w:r>
        <w:rPr/>
        <w:t>receipt of such notice and either give or refuse permission for </w:t>
      </w:r>
      <w:r>
        <w:rPr>
          <w:spacing w:val="9"/>
        </w:rPr>
        <w:t>further </w:t>
      </w:r>
      <w:r>
        <w:rPr/>
        <w:t>construction</w:t>
      </w:r>
      <w:r>
        <w:rPr>
          <w:spacing w:val="68"/>
        </w:rPr>
        <w:t> </w:t>
      </w:r>
      <w:r>
        <w:rPr/>
        <w:t>as</w:t>
      </w:r>
      <w:r>
        <w:rPr>
          <w:spacing w:val="72"/>
        </w:rPr>
        <w:t> </w:t>
      </w:r>
      <w:r>
        <w:rPr/>
        <w:t>per</w:t>
      </w:r>
      <w:r>
        <w:rPr>
          <w:spacing w:val="69"/>
        </w:rPr>
        <w:t> </w:t>
      </w:r>
      <w:r>
        <w:rPr/>
        <w:t>the</w:t>
      </w:r>
      <w:r>
        <w:rPr>
          <w:spacing w:val="70"/>
        </w:rPr>
        <w:t> </w:t>
      </w:r>
      <w:r>
        <w:rPr/>
        <w:t>sanctioned</w:t>
      </w:r>
      <w:r>
        <w:rPr>
          <w:spacing w:val="71"/>
        </w:rPr>
        <w:t> </w:t>
      </w:r>
      <w:r>
        <w:rPr/>
        <w:t>plans</w:t>
      </w:r>
      <w:r>
        <w:rPr>
          <w:spacing w:val="68"/>
        </w:rPr>
        <w:t> </w:t>
      </w:r>
      <w:r>
        <w:rPr/>
        <w:t>in</w:t>
      </w:r>
      <w:r>
        <w:rPr>
          <w:spacing w:val="71"/>
        </w:rPr>
        <w:t> </w:t>
      </w:r>
      <w:r>
        <w:rPr/>
        <w:t>the</w:t>
      </w:r>
      <w:r>
        <w:rPr>
          <w:spacing w:val="71"/>
        </w:rPr>
        <w:t> </w:t>
      </w:r>
      <w:r>
        <w:rPr/>
        <w:t>form</w:t>
      </w:r>
      <w:r>
        <w:rPr>
          <w:spacing w:val="75"/>
        </w:rPr>
        <w:t> </w:t>
      </w:r>
      <w:r>
        <w:rPr/>
        <w:t>given</w:t>
      </w:r>
      <w:r>
        <w:rPr>
          <w:spacing w:val="68"/>
        </w:rPr>
        <w:t> </w:t>
      </w:r>
      <w:r>
        <w:rPr/>
        <w:t>at</w:t>
      </w:r>
      <w:r>
        <w:rPr>
          <w:spacing w:val="75"/>
        </w:rPr>
        <w:t> </w:t>
      </w:r>
      <w:r>
        <w:rPr>
          <w:spacing w:val="-2"/>
        </w:rPr>
        <w:t>Annexure</w:t>
      </w:r>
    </w:p>
    <w:p>
      <w:pPr>
        <w:pStyle w:val="BodyText"/>
        <w:spacing w:before="1"/>
        <w:ind w:left="1133" w:right="793"/>
      </w:pPr>
      <w:r>
        <w:rPr/>
        <w:t>15.If</w:t>
      </w:r>
      <w:r>
        <w:rPr>
          <w:spacing w:val="40"/>
        </w:rPr>
        <w:t> </w:t>
      </w:r>
      <w:r>
        <w:rPr/>
        <w:t>within</w:t>
      </w:r>
      <w:r>
        <w:rPr>
          <w:spacing w:val="40"/>
        </w:rPr>
        <w:t> </w:t>
      </w:r>
      <w:r>
        <w:rPr/>
        <w:t>this</w:t>
      </w:r>
      <w:r>
        <w:rPr>
          <w:spacing w:val="40"/>
        </w:rPr>
        <w:t> </w:t>
      </w:r>
      <w:r>
        <w:rPr/>
        <w:t>period,</w:t>
      </w:r>
      <w:r>
        <w:rPr>
          <w:spacing w:val="40"/>
        </w:rPr>
        <w:t> </w:t>
      </w:r>
      <w:r>
        <w:rPr/>
        <w:t>the</w:t>
      </w:r>
      <w:r>
        <w:rPr>
          <w:spacing w:val="40"/>
        </w:rPr>
        <w:t> </w:t>
      </w:r>
      <w:r>
        <w:rPr/>
        <w:t>permission</w:t>
      </w:r>
      <w:r>
        <w:rPr>
          <w:spacing w:val="40"/>
        </w:rPr>
        <w:t> </w:t>
      </w:r>
      <w:r>
        <w:rPr/>
        <w:t>is</w:t>
      </w:r>
      <w:r>
        <w:rPr>
          <w:spacing w:val="40"/>
        </w:rPr>
        <w:t> </w:t>
      </w:r>
      <w:r>
        <w:rPr/>
        <w:t>not</w:t>
      </w:r>
      <w:r>
        <w:rPr>
          <w:spacing w:val="40"/>
        </w:rPr>
        <w:t> </w:t>
      </w:r>
      <w:r>
        <w:rPr/>
        <w:t>refused,</w:t>
      </w:r>
      <w:r>
        <w:rPr>
          <w:spacing w:val="40"/>
        </w:rPr>
        <w:t> </w:t>
      </w:r>
      <w:r>
        <w:rPr/>
        <w:t>it</w:t>
      </w:r>
      <w:r>
        <w:rPr>
          <w:spacing w:val="40"/>
        </w:rPr>
        <w:t> </w:t>
      </w:r>
      <w:r>
        <w:rPr/>
        <w:t>shall</w:t>
      </w:r>
      <w:r>
        <w:rPr>
          <w:spacing w:val="40"/>
        </w:rPr>
        <w:t> </w:t>
      </w:r>
      <w:r>
        <w:rPr/>
        <w:t>be</w:t>
      </w:r>
      <w:r>
        <w:rPr>
          <w:spacing w:val="40"/>
        </w:rPr>
        <w:t> </w:t>
      </w:r>
      <w:r>
        <w:rPr/>
        <w:t>deemed to have been given provided the work is carried out according to the sanctioned </w:t>
      </w:r>
      <w:r>
        <w:rPr>
          <w:spacing w:val="9"/>
        </w:rPr>
        <w:t>plans.</w:t>
      </w:r>
    </w:p>
    <w:p>
      <w:pPr>
        <w:pStyle w:val="ListParagraph"/>
        <w:numPr>
          <w:ilvl w:val="1"/>
          <w:numId w:val="10"/>
        </w:numPr>
        <w:tabs>
          <w:tab w:pos="1491" w:val="left" w:leader="none"/>
        </w:tabs>
        <w:spacing w:line="240" w:lineRule="auto" w:before="238" w:after="0"/>
        <w:ind w:left="1133" w:right="778" w:firstLine="0"/>
        <w:jc w:val="both"/>
        <w:rPr>
          <w:sz w:val="24"/>
        </w:rPr>
      </w:pPr>
      <w:r>
        <w:rPr>
          <w:b/>
          <w:i/>
          <w:sz w:val="24"/>
        </w:rPr>
        <w:t>Deviation</w:t>
      </w:r>
      <w:r>
        <w:rPr>
          <w:b/>
          <w:i/>
          <w:spacing w:val="40"/>
          <w:sz w:val="24"/>
        </w:rPr>
        <w:t> </w:t>
      </w:r>
      <w:r>
        <w:rPr>
          <w:b/>
          <w:i/>
          <w:sz w:val="24"/>
        </w:rPr>
        <w:t>during</w:t>
      </w:r>
      <w:r>
        <w:rPr>
          <w:b/>
          <w:i/>
          <w:spacing w:val="40"/>
          <w:sz w:val="24"/>
        </w:rPr>
        <w:t> </w:t>
      </w:r>
      <w:r>
        <w:rPr>
          <w:b/>
          <w:i/>
          <w:sz w:val="24"/>
        </w:rPr>
        <w:t>constructions</w:t>
      </w:r>
      <w:r>
        <w:rPr>
          <w:b/>
          <w:sz w:val="24"/>
        </w:rPr>
        <w:t>:</w:t>
      </w:r>
      <w:r>
        <w:rPr>
          <w:b/>
          <w:spacing w:val="40"/>
          <w:sz w:val="24"/>
        </w:rPr>
        <w:t> </w:t>
      </w:r>
      <w:r>
        <w:rPr>
          <w:sz w:val="24"/>
        </w:rPr>
        <w:t>If</w:t>
      </w:r>
      <w:r>
        <w:rPr>
          <w:spacing w:val="40"/>
          <w:sz w:val="24"/>
        </w:rPr>
        <w:t> </w:t>
      </w:r>
      <w:r>
        <w:rPr>
          <w:sz w:val="24"/>
        </w:rPr>
        <w:t>during</w:t>
      </w:r>
      <w:r>
        <w:rPr>
          <w:spacing w:val="40"/>
          <w:sz w:val="24"/>
        </w:rPr>
        <w:t> </w:t>
      </w:r>
      <w:r>
        <w:rPr>
          <w:sz w:val="24"/>
        </w:rPr>
        <w:t>the</w:t>
      </w:r>
      <w:r>
        <w:rPr>
          <w:spacing w:val="40"/>
          <w:sz w:val="24"/>
        </w:rPr>
        <w:t> </w:t>
      </w:r>
      <w:r>
        <w:rPr>
          <w:sz w:val="24"/>
        </w:rPr>
        <w:t>construction</w:t>
      </w:r>
      <w:r>
        <w:rPr>
          <w:spacing w:val="40"/>
          <w:sz w:val="24"/>
        </w:rPr>
        <w:t> </w:t>
      </w:r>
      <w:r>
        <w:rPr>
          <w:sz w:val="24"/>
        </w:rPr>
        <w:t>of</w:t>
      </w:r>
      <w:r>
        <w:rPr>
          <w:spacing w:val="40"/>
          <w:sz w:val="24"/>
        </w:rPr>
        <w:t> </w:t>
      </w:r>
      <w:r>
        <w:rPr>
          <w:sz w:val="24"/>
        </w:rPr>
        <w:t>a building,</w:t>
      </w:r>
      <w:r>
        <w:rPr>
          <w:spacing w:val="40"/>
          <w:sz w:val="24"/>
        </w:rPr>
        <w:t> </w:t>
      </w:r>
      <w:r>
        <w:rPr>
          <w:sz w:val="24"/>
        </w:rPr>
        <w:t>any</w:t>
      </w:r>
      <w:r>
        <w:rPr>
          <w:spacing w:val="40"/>
          <w:sz w:val="24"/>
        </w:rPr>
        <w:t> </w:t>
      </w:r>
      <w:r>
        <w:rPr>
          <w:sz w:val="24"/>
        </w:rPr>
        <w:t>departure</w:t>
      </w:r>
      <w:r>
        <w:rPr>
          <w:spacing w:val="40"/>
          <w:sz w:val="24"/>
        </w:rPr>
        <w:t> </w:t>
      </w:r>
      <w:r>
        <w:rPr>
          <w:sz w:val="24"/>
        </w:rPr>
        <w:t>of</w:t>
      </w:r>
      <w:r>
        <w:rPr>
          <w:spacing w:val="40"/>
          <w:sz w:val="24"/>
        </w:rPr>
        <w:t> </w:t>
      </w:r>
      <w:r>
        <w:rPr>
          <w:sz w:val="24"/>
        </w:rPr>
        <w:t>a</w:t>
      </w:r>
      <w:r>
        <w:rPr>
          <w:spacing w:val="40"/>
          <w:sz w:val="24"/>
        </w:rPr>
        <w:t> </w:t>
      </w:r>
      <w:r>
        <w:rPr>
          <w:sz w:val="24"/>
        </w:rPr>
        <w:t>substantial</w:t>
      </w:r>
      <w:r>
        <w:rPr>
          <w:spacing w:val="40"/>
          <w:sz w:val="24"/>
        </w:rPr>
        <w:t> </w:t>
      </w:r>
      <w:r>
        <w:rPr>
          <w:sz w:val="24"/>
        </w:rPr>
        <w:t>nature</w:t>
      </w:r>
      <w:r>
        <w:rPr>
          <w:spacing w:val="40"/>
          <w:sz w:val="24"/>
        </w:rPr>
        <w:t> </w:t>
      </w:r>
      <w:r>
        <w:rPr>
          <w:sz w:val="24"/>
        </w:rPr>
        <w:t>from</w:t>
      </w:r>
      <w:r>
        <w:rPr>
          <w:spacing w:val="40"/>
          <w:sz w:val="24"/>
        </w:rPr>
        <w:t> </w:t>
      </w:r>
      <w:r>
        <w:rPr>
          <w:sz w:val="24"/>
        </w:rPr>
        <w:t>the</w:t>
      </w:r>
      <w:r>
        <w:rPr>
          <w:spacing w:val="40"/>
          <w:sz w:val="24"/>
        </w:rPr>
        <w:t> </w:t>
      </w:r>
      <w:r>
        <w:rPr>
          <w:sz w:val="24"/>
        </w:rPr>
        <w:t>sanctioned</w:t>
      </w:r>
      <w:r>
        <w:rPr>
          <w:spacing w:val="40"/>
          <w:sz w:val="24"/>
        </w:rPr>
        <w:t> </w:t>
      </w:r>
      <w:r>
        <w:rPr>
          <w:spacing w:val="9"/>
          <w:sz w:val="24"/>
        </w:rPr>
        <w:t>plans </w:t>
      </w:r>
      <w:r>
        <w:rPr>
          <w:sz w:val="24"/>
        </w:rPr>
        <w:t>is intended by way of internal or external additions, prior sanction of the Commissioner shall be mandatory.</w:t>
      </w:r>
      <w:r>
        <w:rPr>
          <w:spacing w:val="80"/>
          <w:sz w:val="24"/>
        </w:rPr>
        <w:t> </w:t>
      </w:r>
      <w:r>
        <w:rPr>
          <w:sz w:val="24"/>
        </w:rPr>
        <w:t>A revised plan showing the deviations shall</w:t>
      </w:r>
      <w:r>
        <w:rPr>
          <w:spacing w:val="38"/>
          <w:sz w:val="24"/>
        </w:rPr>
        <w:t> </w:t>
      </w:r>
      <w:r>
        <w:rPr>
          <w:sz w:val="24"/>
        </w:rPr>
        <w:t>be</w:t>
      </w:r>
      <w:r>
        <w:rPr>
          <w:spacing w:val="38"/>
          <w:sz w:val="24"/>
        </w:rPr>
        <w:t> </w:t>
      </w:r>
      <w:r>
        <w:rPr>
          <w:sz w:val="24"/>
        </w:rPr>
        <w:t>submitted</w:t>
      </w:r>
      <w:r>
        <w:rPr>
          <w:spacing w:val="40"/>
          <w:sz w:val="24"/>
        </w:rPr>
        <w:t> </w:t>
      </w:r>
      <w:r>
        <w:rPr>
          <w:sz w:val="24"/>
        </w:rPr>
        <w:t>and</w:t>
      </w:r>
      <w:r>
        <w:rPr>
          <w:spacing w:val="38"/>
          <w:sz w:val="24"/>
        </w:rPr>
        <w:t> </w:t>
      </w:r>
      <w:r>
        <w:rPr>
          <w:sz w:val="24"/>
        </w:rPr>
        <w:t>the</w:t>
      </w:r>
      <w:r>
        <w:rPr>
          <w:spacing w:val="38"/>
          <w:sz w:val="24"/>
        </w:rPr>
        <w:t> </w:t>
      </w:r>
      <w:r>
        <w:rPr>
          <w:sz w:val="24"/>
        </w:rPr>
        <w:t>procedure</w:t>
      </w:r>
      <w:r>
        <w:rPr>
          <w:spacing w:val="38"/>
          <w:sz w:val="24"/>
        </w:rPr>
        <w:t> </w:t>
      </w:r>
      <w:r>
        <w:rPr>
          <w:sz w:val="24"/>
        </w:rPr>
        <w:t>laid</w:t>
      </w:r>
      <w:r>
        <w:rPr>
          <w:spacing w:val="38"/>
          <w:sz w:val="24"/>
        </w:rPr>
        <w:t> </w:t>
      </w:r>
      <w:r>
        <w:rPr>
          <w:sz w:val="24"/>
        </w:rPr>
        <w:t>down</w:t>
      </w:r>
      <w:r>
        <w:rPr>
          <w:spacing w:val="38"/>
          <w:sz w:val="24"/>
        </w:rPr>
        <w:t> </w:t>
      </w:r>
      <w:r>
        <w:rPr>
          <w:spacing w:val="10"/>
          <w:sz w:val="24"/>
        </w:rPr>
        <w:t>for</w:t>
      </w:r>
      <w:r>
        <w:rPr>
          <w:spacing w:val="38"/>
          <w:sz w:val="24"/>
        </w:rPr>
        <w:t> </w:t>
      </w:r>
      <w:r>
        <w:rPr>
          <w:sz w:val="24"/>
        </w:rPr>
        <w:t>the</w:t>
      </w:r>
      <w:r>
        <w:rPr>
          <w:spacing w:val="38"/>
          <w:sz w:val="24"/>
        </w:rPr>
        <w:t> </w:t>
      </w:r>
      <w:r>
        <w:rPr>
          <w:sz w:val="24"/>
        </w:rPr>
        <w:t>original</w:t>
      </w:r>
      <w:r>
        <w:rPr>
          <w:spacing w:val="38"/>
          <w:sz w:val="24"/>
        </w:rPr>
        <w:t> </w:t>
      </w:r>
      <w:r>
        <w:rPr>
          <w:sz w:val="24"/>
        </w:rPr>
        <w:t>plans</w:t>
      </w:r>
      <w:r>
        <w:rPr>
          <w:spacing w:val="38"/>
          <w:sz w:val="24"/>
        </w:rPr>
        <w:t> </w:t>
      </w:r>
      <w:r>
        <w:rPr>
          <w:sz w:val="24"/>
        </w:rPr>
        <w:t>here to</w:t>
      </w:r>
      <w:r>
        <w:rPr>
          <w:spacing w:val="40"/>
          <w:sz w:val="24"/>
        </w:rPr>
        <w:t> </w:t>
      </w:r>
      <w:r>
        <w:rPr>
          <w:sz w:val="24"/>
        </w:rPr>
        <w:t>shall</w:t>
      </w:r>
      <w:r>
        <w:rPr>
          <w:spacing w:val="40"/>
          <w:sz w:val="24"/>
        </w:rPr>
        <w:t> </w:t>
      </w:r>
      <w:r>
        <w:rPr>
          <w:sz w:val="24"/>
        </w:rPr>
        <w:t>apply</w:t>
      </w:r>
      <w:r>
        <w:rPr>
          <w:spacing w:val="40"/>
          <w:sz w:val="24"/>
        </w:rPr>
        <w:t> </w:t>
      </w:r>
      <w:r>
        <w:rPr>
          <w:sz w:val="24"/>
        </w:rPr>
        <w:t>to</w:t>
      </w:r>
      <w:r>
        <w:rPr>
          <w:spacing w:val="40"/>
          <w:sz w:val="24"/>
        </w:rPr>
        <w:t> </w:t>
      </w:r>
      <w:r>
        <w:rPr>
          <w:sz w:val="24"/>
        </w:rPr>
        <w:t>all</w:t>
      </w:r>
      <w:r>
        <w:rPr>
          <w:spacing w:val="40"/>
          <w:sz w:val="24"/>
        </w:rPr>
        <w:t> </w:t>
      </w:r>
      <w:r>
        <w:rPr>
          <w:sz w:val="24"/>
        </w:rPr>
        <w:t>such</w:t>
      </w:r>
      <w:r>
        <w:rPr>
          <w:spacing w:val="40"/>
          <w:sz w:val="24"/>
        </w:rPr>
        <w:t> </w:t>
      </w:r>
      <w:r>
        <w:rPr>
          <w:sz w:val="24"/>
        </w:rPr>
        <w:t>amended</w:t>
      </w:r>
      <w:r>
        <w:rPr>
          <w:spacing w:val="40"/>
          <w:sz w:val="24"/>
        </w:rPr>
        <w:t> </w:t>
      </w:r>
      <w:r>
        <w:rPr>
          <w:sz w:val="24"/>
        </w:rPr>
        <w:t>plans.</w:t>
      </w:r>
      <w:r>
        <w:rPr>
          <w:spacing w:val="40"/>
          <w:sz w:val="24"/>
        </w:rPr>
        <w:t> </w:t>
      </w:r>
      <w:r>
        <w:rPr>
          <w:sz w:val="24"/>
        </w:rPr>
        <w:t>Any</w:t>
      </w:r>
      <w:r>
        <w:rPr>
          <w:spacing w:val="40"/>
          <w:sz w:val="24"/>
        </w:rPr>
        <w:t> </w:t>
      </w:r>
      <w:r>
        <w:rPr>
          <w:sz w:val="24"/>
        </w:rPr>
        <w:t>work</w:t>
      </w:r>
      <w:r>
        <w:rPr>
          <w:spacing w:val="40"/>
          <w:sz w:val="24"/>
        </w:rPr>
        <w:t> </w:t>
      </w:r>
      <w:r>
        <w:rPr>
          <w:sz w:val="24"/>
        </w:rPr>
        <w:t>done</w:t>
      </w:r>
      <w:r>
        <w:rPr>
          <w:spacing w:val="40"/>
          <w:sz w:val="24"/>
        </w:rPr>
        <w:t> </w:t>
      </w:r>
      <w:r>
        <w:rPr>
          <w:sz w:val="24"/>
        </w:rPr>
        <w:t>in</w:t>
      </w:r>
      <w:r>
        <w:rPr>
          <w:spacing w:val="40"/>
          <w:sz w:val="24"/>
        </w:rPr>
        <w:t> </w:t>
      </w:r>
      <w:r>
        <w:rPr>
          <w:sz w:val="24"/>
        </w:rPr>
        <w:t>contravention of</w:t>
      </w:r>
      <w:r>
        <w:rPr>
          <w:spacing w:val="40"/>
          <w:sz w:val="24"/>
        </w:rPr>
        <w:t> </w:t>
      </w:r>
      <w:r>
        <w:rPr>
          <w:sz w:val="24"/>
        </w:rPr>
        <w:t>the</w:t>
      </w:r>
      <w:r>
        <w:rPr>
          <w:spacing w:val="40"/>
          <w:sz w:val="24"/>
        </w:rPr>
        <w:t> </w:t>
      </w:r>
      <w:r>
        <w:rPr>
          <w:sz w:val="24"/>
        </w:rPr>
        <w:t>sanctioned</w:t>
      </w:r>
      <w:r>
        <w:rPr>
          <w:spacing w:val="40"/>
          <w:sz w:val="24"/>
        </w:rPr>
        <w:t> </w:t>
      </w:r>
      <w:r>
        <w:rPr>
          <w:sz w:val="24"/>
        </w:rPr>
        <w:t>plans,</w:t>
      </w:r>
      <w:r>
        <w:rPr>
          <w:spacing w:val="40"/>
          <w:sz w:val="24"/>
        </w:rPr>
        <w:t> </w:t>
      </w:r>
      <w:r>
        <w:rPr>
          <w:sz w:val="24"/>
        </w:rPr>
        <w:t>without</w:t>
      </w:r>
      <w:r>
        <w:rPr>
          <w:spacing w:val="40"/>
          <w:sz w:val="24"/>
        </w:rPr>
        <w:t> </w:t>
      </w:r>
      <w:r>
        <w:rPr>
          <w:sz w:val="24"/>
        </w:rPr>
        <w:t>prior</w:t>
      </w:r>
      <w:r>
        <w:rPr>
          <w:spacing w:val="40"/>
          <w:sz w:val="24"/>
        </w:rPr>
        <w:t> </w:t>
      </w:r>
      <w:r>
        <w:rPr>
          <w:sz w:val="24"/>
        </w:rPr>
        <w:t>approval</w:t>
      </w:r>
      <w:r>
        <w:rPr>
          <w:spacing w:val="40"/>
          <w:sz w:val="24"/>
        </w:rPr>
        <w:t> </w:t>
      </w:r>
      <w:r>
        <w:rPr>
          <w:sz w:val="24"/>
        </w:rPr>
        <w:t>of</w:t>
      </w:r>
      <w:r>
        <w:rPr>
          <w:spacing w:val="40"/>
          <w:sz w:val="24"/>
        </w:rPr>
        <w:t> </w:t>
      </w:r>
      <w:r>
        <w:rPr>
          <w:sz w:val="24"/>
        </w:rPr>
        <w:t>the</w:t>
      </w:r>
      <w:r>
        <w:rPr>
          <w:spacing w:val="40"/>
          <w:sz w:val="24"/>
        </w:rPr>
        <w:t> </w:t>
      </w:r>
      <w:r>
        <w:rPr>
          <w:sz w:val="24"/>
        </w:rPr>
        <w:t>Commissioner,</w:t>
      </w:r>
      <w:r>
        <w:rPr>
          <w:spacing w:val="40"/>
          <w:sz w:val="24"/>
        </w:rPr>
        <w:t> </w:t>
      </w:r>
      <w:r>
        <w:rPr>
          <w:sz w:val="24"/>
        </w:rPr>
        <w:t>shall be</w:t>
      </w:r>
      <w:r>
        <w:rPr>
          <w:spacing w:val="40"/>
          <w:sz w:val="24"/>
        </w:rPr>
        <w:t> </w:t>
      </w:r>
      <w:r>
        <w:rPr>
          <w:sz w:val="24"/>
        </w:rPr>
        <w:t>deemed</w:t>
      </w:r>
      <w:r>
        <w:rPr>
          <w:spacing w:val="40"/>
          <w:sz w:val="24"/>
        </w:rPr>
        <w:t> </w:t>
      </w:r>
      <w:r>
        <w:rPr>
          <w:sz w:val="24"/>
        </w:rPr>
        <w:t>as</w:t>
      </w:r>
      <w:r>
        <w:rPr>
          <w:spacing w:val="40"/>
          <w:sz w:val="24"/>
        </w:rPr>
        <w:t> </w:t>
      </w:r>
      <w:r>
        <w:rPr>
          <w:sz w:val="24"/>
        </w:rPr>
        <w:t>unauthorized.</w:t>
      </w:r>
    </w:p>
    <w:p>
      <w:pPr>
        <w:pStyle w:val="ListParagraph"/>
        <w:numPr>
          <w:ilvl w:val="1"/>
          <w:numId w:val="10"/>
        </w:numPr>
        <w:tabs>
          <w:tab w:pos="1491" w:val="left" w:leader="none"/>
        </w:tabs>
        <w:spacing w:line="240" w:lineRule="auto" w:before="240" w:after="0"/>
        <w:ind w:left="1133" w:right="773" w:firstLine="0"/>
        <w:jc w:val="both"/>
        <w:rPr>
          <w:sz w:val="24"/>
        </w:rPr>
      </w:pPr>
      <w:r>
        <w:rPr>
          <w:b/>
          <w:i/>
          <w:sz w:val="24"/>
        </w:rPr>
        <w:t>Completion</w:t>
      </w:r>
      <w:r>
        <w:rPr>
          <w:b/>
          <w:i/>
          <w:spacing w:val="80"/>
          <w:sz w:val="24"/>
        </w:rPr>
        <w:t> </w:t>
      </w:r>
      <w:r>
        <w:rPr>
          <w:b/>
          <w:i/>
          <w:sz w:val="24"/>
        </w:rPr>
        <w:t>certificate:</w:t>
      </w:r>
      <w:r>
        <w:rPr>
          <w:b/>
          <w:i/>
          <w:spacing w:val="80"/>
          <w:sz w:val="24"/>
        </w:rPr>
        <w:t> </w:t>
      </w:r>
      <w:r>
        <w:rPr>
          <w:sz w:val="24"/>
        </w:rPr>
        <w:t>The</w:t>
      </w:r>
      <w:r>
        <w:rPr>
          <w:spacing w:val="80"/>
          <w:sz w:val="24"/>
        </w:rPr>
        <w:t> </w:t>
      </w:r>
      <w:r>
        <w:rPr>
          <w:sz w:val="24"/>
        </w:rPr>
        <w:t>owner,</w:t>
      </w:r>
      <w:r>
        <w:rPr>
          <w:spacing w:val="80"/>
          <w:sz w:val="24"/>
        </w:rPr>
        <w:t> </w:t>
      </w:r>
      <w:r>
        <w:rPr>
          <w:sz w:val="24"/>
        </w:rPr>
        <w:t>through</w:t>
      </w:r>
      <w:r>
        <w:rPr>
          <w:spacing w:val="80"/>
          <w:sz w:val="24"/>
        </w:rPr>
        <w:t> </w:t>
      </w:r>
      <w:r>
        <w:rPr>
          <w:sz w:val="24"/>
        </w:rPr>
        <w:t>his</w:t>
      </w:r>
      <w:r>
        <w:rPr>
          <w:spacing w:val="80"/>
          <w:sz w:val="24"/>
        </w:rPr>
        <w:t> </w:t>
      </w:r>
      <w:r>
        <w:rPr>
          <w:sz w:val="24"/>
        </w:rPr>
        <w:t>licensed</w:t>
      </w:r>
      <w:r>
        <w:rPr>
          <w:spacing w:val="80"/>
          <w:sz w:val="24"/>
        </w:rPr>
        <w:t> </w:t>
      </w:r>
      <w:r>
        <w:rPr>
          <w:sz w:val="24"/>
        </w:rPr>
        <w:t>plumber, shall furnish a drainage completion certificate to the Commissioner in the</w:t>
      </w:r>
      <w:r>
        <w:rPr>
          <w:spacing w:val="40"/>
          <w:sz w:val="24"/>
        </w:rPr>
        <w:t> </w:t>
      </w:r>
      <w:r>
        <w:rPr>
          <w:sz w:val="24"/>
        </w:rPr>
        <w:t>form given at Annexure 17. The owner through his licensed surveyor/engineer/structural</w:t>
      </w:r>
      <w:r>
        <w:rPr>
          <w:spacing w:val="80"/>
          <w:w w:val="150"/>
          <w:sz w:val="24"/>
        </w:rPr>
        <w:t> </w:t>
      </w:r>
      <w:r>
        <w:rPr>
          <w:sz w:val="24"/>
        </w:rPr>
        <w:t>engineer/supervisor</w:t>
      </w:r>
      <w:r>
        <w:rPr>
          <w:spacing w:val="80"/>
          <w:w w:val="150"/>
          <w:sz w:val="24"/>
        </w:rPr>
        <w:t> </w:t>
      </w:r>
      <w:r>
        <w:rPr>
          <w:sz w:val="24"/>
        </w:rPr>
        <w:t>or</w:t>
      </w:r>
      <w:r>
        <w:rPr>
          <w:spacing w:val="80"/>
          <w:w w:val="150"/>
          <w:sz w:val="24"/>
        </w:rPr>
        <w:t> </w:t>
      </w:r>
      <w:r>
        <w:rPr>
          <w:sz w:val="24"/>
        </w:rPr>
        <w:t>his</w:t>
      </w:r>
      <w:r>
        <w:rPr>
          <w:spacing w:val="80"/>
          <w:w w:val="150"/>
          <w:sz w:val="24"/>
        </w:rPr>
        <w:t> </w:t>
      </w:r>
      <w:r>
        <w:rPr>
          <w:sz w:val="24"/>
        </w:rPr>
        <w:t>architect,</w:t>
      </w:r>
      <w:r>
        <w:rPr>
          <w:spacing w:val="80"/>
          <w:w w:val="150"/>
          <w:sz w:val="24"/>
        </w:rPr>
        <w:t> </w:t>
      </w:r>
      <w:r>
        <w:rPr>
          <w:sz w:val="24"/>
        </w:rPr>
        <w:t>or</w:t>
      </w:r>
      <w:r>
        <w:rPr>
          <w:spacing w:val="80"/>
          <w:sz w:val="24"/>
        </w:rPr>
        <w:t> </w:t>
      </w:r>
      <w:r>
        <w:rPr>
          <w:sz w:val="24"/>
        </w:rPr>
        <w:t>any professional</w:t>
      </w:r>
      <w:r>
        <w:rPr>
          <w:spacing w:val="40"/>
          <w:sz w:val="24"/>
        </w:rPr>
        <w:t> </w:t>
      </w:r>
      <w:r>
        <w:rPr>
          <w:sz w:val="24"/>
        </w:rPr>
        <w:t>on record, who has supervised the construction, shall</w:t>
      </w:r>
      <w:r>
        <w:rPr>
          <w:spacing w:val="40"/>
          <w:sz w:val="24"/>
        </w:rPr>
        <w:t> </w:t>
      </w:r>
      <w:r>
        <w:rPr>
          <w:sz w:val="24"/>
        </w:rPr>
        <w:t>furnish a building completion certificate to the Commissioner in the form</w:t>
      </w:r>
      <w:r>
        <w:rPr>
          <w:spacing w:val="80"/>
          <w:sz w:val="24"/>
        </w:rPr>
        <w:t> </w:t>
      </w:r>
      <w:r>
        <w:rPr>
          <w:sz w:val="24"/>
        </w:rPr>
        <w:t>given</w:t>
      </w:r>
      <w:r>
        <w:rPr>
          <w:spacing w:val="40"/>
          <w:sz w:val="24"/>
        </w:rPr>
        <w:t> </w:t>
      </w:r>
      <w:r>
        <w:rPr>
          <w:sz w:val="24"/>
        </w:rPr>
        <w:t>at</w:t>
      </w:r>
      <w:r>
        <w:rPr>
          <w:spacing w:val="40"/>
          <w:sz w:val="24"/>
        </w:rPr>
        <w:t> </w:t>
      </w:r>
      <w:r>
        <w:rPr>
          <w:sz w:val="24"/>
        </w:rPr>
        <w:t>Annexure</w:t>
      </w:r>
      <w:r>
        <w:rPr>
          <w:spacing w:val="40"/>
          <w:sz w:val="24"/>
        </w:rPr>
        <w:t> </w:t>
      </w:r>
      <w:r>
        <w:rPr>
          <w:sz w:val="24"/>
        </w:rPr>
        <w:t>18.</w:t>
      </w:r>
      <w:r>
        <w:rPr>
          <w:spacing w:val="40"/>
          <w:sz w:val="24"/>
        </w:rPr>
        <w:t> </w:t>
      </w:r>
      <w:r>
        <w:rPr>
          <w:sz w:val="24"/>
        </w:rPr>
        <w:t>These</w:t>
      </w:r>
      <w:r>
        <w:rPr>
          <w:spacing w:val="40"/>
          <w:sz w:val="24"/>
        </w:rPr>
        <w:t> </w:t>
      </w:r>
      <w:r>
        <w:rPr>
          <w:sz w:val="24"/>
        </w:rPr>
        <w:t>certificates</w:t>
      </w:r>
      <w:r>
        <w:rPr>
          <w:spacing w:val="40"/>
          <w:sz w:val="24"/>
        </w:rPr>
        <w:t> </w:t>
      </w:r>
      <w:r>
        <w:rPr>
          <w:sz w:val="24"/>
        </w:rPr>
        <w:t>shall</w:t>
      </w:r>
      <w:r>
        <w:rPr>
          <w:spacing w:val="40"/>
          <w:sz w:val="24"/>
        </w:rPr>
        <w:t> </w:t>
      </w:r>
      <w:r>
        <w:rPr>
          <w:sz w:val="24"/>
        </w:rPr>
        <w:t>be</w:t>
      </w:r>
      <w:r>
        <w:rPr>
          <w:spacing w:val="40"/>
          <w:sz w:val="24"/>
        </w:rPr>
        <w:t> </w:t>
      </w:r>
      <w:r>
        <w:rPr>
          <w:sz w:val="24"/>
        </w:rPr>
        <w:t>accompanied</w:t>
      </w:r>
      <w:r>
        <w:rPr>
          <w:spacing w:val="40"/>
          <w:sz w:val="24"/>
        </w:rPr>
        <w:t> </w:t>
      </w:r>
      <w:r>
        <w:rPr>
          <w:sz w:val="24"/>
        </w:rPr>
        <w:t>by</w:t>
      </w:r>
      <w:r>
        <w:rPr>
          <w:spacing w:val="40"/>
          <w:sz w:val="24"/>
        </w:rPr>
        <w:t> </w:t>
      </w:r>
      <w:r>
        <w:rPr>
          <w:sz w:val="24"/>
        </w:rPr>
        <w:t>three</w:t>
      </w:r>
      <w:r>
        <w:rPr>
          <w:spacing w:val="80"/>
          <w:sz w:val="24"/>
        </w:rPr>
        <w:t> </w:t>
      </w:r>
      <w:r>
        <w:rPr>
          <w:sz w:val="24"/>
        </w:rPr>
        <w:t>sets</w:t>
      </w:r>
      <w:r>
        <w:rPr>
          <w:spacing w:val="40"/>
          <w:sz w:val="24"/>
        </w:rPr>
        <w:t> </w:t>
      </w:r>
      <w:r>
        <w:rPr>
          <w:sz w:val="24"/>
        </w:rPr>
        <w:t>of</w:t>
      </w:r>
      <w:r>
        <w:rPr>
          <w:spacing w:val="40"/>
          <w:sz w:val="24"/>
        </w:rPr>
        <w:t> </w:t>
      </w:r>
      <w:r>
        <w:rPr>
          <w:sz w:val="24"/>
        </w:rPr>
        <w:t>plans</w:t>
      </w:r>
      <w:r>
        <w:rPr>
          <w:spacing w:val="40"/>
          <w:sz w:val="24"/>
        </w:rPr>
        <w:t> </w:t>
      </w:r>
      <w:r>
        <w:rPr>
          <w:sz w:val="24"/>
        </w:rPr>
        <w:t>of</w:t>
      </w:r>
      <w:r>
        <w:rPr>
          <w:spacing w:val="40"/>
          <w:sz w:val="24"/>
        </w:rPr>
        <w:t> </w:t>
      </w:r>
      <w:r>
        <w:rPr>
          <w:sz w:val="24"/>
        </w:rPr>
        <w:t>the</w:t>
      </w:r>
      <w:r>
        <w:rPr>
          <w:spacing w:val="40"/>
          <w:sz w:val="24"/>
        </w:rPr>
        <w:t> </w:t>
      </w:r>
      <w:r>
        <w:rPr>
          <w:sz w:val="24"/>
        </w:rPr>
        <w:t>completed</w:t>
      </w:r>
      <w:r>
        <w:rPr>
          <w:spacing w:val="40"/>
          <w:sz w:val="24"/>
        </w:rPr>
        <w:t> </w:t>
      </w:r>
      <w:r>
        <w:rPr>
          <w:sz w:val="24"/>
        </w:rPr>
        <w:t>development.</w:t>
      </w:r>
      <w:r>
        <w:rPr>
          <w:spacing w:val="40"/>
          <w:sz w:val="24"/>
        </w:rPr>
        <w:t> </w:t>
      </w:r>
      <w:r>
        <w:rPr>
          <w:sz w:val="24"/>
        </w:rPr>
        <w:t>The</w:t>
      </w:r>
      <w:r>
        <w:rPr>
          <w:spacing w:val="40"/>
          <w:sz w:val="24"/>
        </w:rPr>
        <w:t> </w:t>
      </w:r>
      <w:r>
        <w:rPr>
          <w:sz w:val="24"/>
        </w:rPr>
        <w:t>Commissioner</w:t>
      </w:r>
      <w:r>
        <w:rPr>
          <w:spacing w:val="40"/>
          <w:sz w:val="24"/>
        </w:rPr>
        <w:t> </w:t>
      </w:r>
      <w:r>
        <w:rPr>
          <w:sz w:val="24"/>
        </w:rPr>
        <w:t>shall</w:t>
      </w:r>
      <w:r>
        <w:rPr>
          <w:spacing w:val="40"/>
          <w:sz w:val="24"/>
        </w:rPr>
        <w:t> </w:t>
      </w:r>
      <w:r>
        <w:rPr>
          <w:sz w:val="24"/>
        </w:rPr>
        <w:t>inspect</w:t>
      </w:r>
      <w:r>
        <w:rPr>
          <w:spacing w:val="40"/>
          <w:sz w:val="24"/>
        </w:rPr>
        <w:t> </w:t>
      </w:r>
      <w:r>
        <w:rPr>
          <w:sz w:val="24"/>
        </w:rPr>
        <w:t>the</w:t>
      </w:r>
      <w:r>
        <w:rPr>
          <w:spacing w:val="40"/>
          <w:sz w:val="24"/>
        </w:rPr>
        <w:t> </w:t>
      </w:r>
      <w:r>
        <w:rPr>
          <w:sz w:val="24"/>
        </w:rPr>
        <w:t>work</w:t>
      </w:r>
      <w:r>
        <w:rPr>
          <w:spacing w:val="40"/>
          <w:sz w:val="24"/>
        </w:rPr>
        <w:t> </w:t>
      </w:r>
      <w:r>
        <w:rPr>
          <w:sz w:val="24"/>
        </w:rPr>
        <w:t>and,</w:t>
      </w:r>
      <w:r>
        <w:rPr>
          <w:spacing w:val="40"/>
          <w:sz w:val="24"/>
        </w:rPr>
        <w:t> </w:t>
      </w:r>
      <w:r>
        <w:rPr>
          <w:sz w:val="24"/>
        </w:rPr>
        <w:t>after</w:t>
      </w:r>
      <w:r>
        <w:rPr>
          <w:spacing w:val="40"/>
          <w:sz w:val="24"/>
        </w:rPr>
        <w:t> </w:t>
      </w:r>
      <w:r>
        <w:rPr>
          <w:sz w:val="24"/>
        </w:rPr>
        <w:t>satisfying</w:t>
      </w:r>
      <w:r>
        <w:rPr>
          <w:spacing w:val="40"/>
          <w:sz w:val="24"/>
        </w:rPr>
        <w:t> </w:t>
      </w:r>
      <w:r>
        <w:rPr>
          <w:sz w:val="24"/>
        </w:rPr>
        <w:t>himself</w:t>
      </w:r>
      <w:r>
        <w:rPr>
          <w:spacing w:val="40"/>
          <w:sz w:val="24"/>
        </w:rPr>
        <w:t> </w:t>
      </w:r>
      <w:r>
        <w:rPr>
          <w:sz w:val="24"/>
        </w:rPr>
        <w:t>that</w:t>
      </w:r>
      <w:r>
        <w:rPr>
          <w:spacing w:val="40"/>
          <w:sz w:val="24"/>
        </w:rPr>
        <w:t> </w:t>
      </w:r>
      <w:r>
        <w:rPr>
          <w:sz w:val="24"/>
        </w:rPr>
        <w:t>there</w:t>
      </w:r>
      <w:r>
        <w:rPr>
          <w:spacing w:val="40"/>
          <w:sz w:val="24"/>
        </w:rPr>
        <w:t> </w:t>
      </w:r>
      <w:r>
        <w:rPr>
          <w:sz w:val="24"/>
        </w:rPr>
        <w:t>is</w:t>
      </w:r>
      <w:r>
        <w:rPr>
          <w:spacing w:val="40"/>
          <w:sz w:val="24"/>
        </w:rPr>
        <w:t> </w:t>
      </w:r>
      <w:r>
        <w:rPr>
          <w:sz w:val="24"/>
        </w:rPr>
        <w:t>no</w:t>
      </w:r>
      <w:r>
        <w:rPr>
          <w:spacing w:val="40"/>
          <w:sz w:val="24"/>
        </w:rPr>
        <w:t> </w:t>
      </w:r>
      <w:r>
        <w:rPr>
          <w:sz w:val="24"/>
        </w:rPr>
        <w:t>deviation from</w:t>
      </w:r>
      <w:r>
        <w:rPr>
          <w:spacing w:val="40"/>
          <w:sz w:val="24"/>
        </w:rPr>
        <w:t> </w:t>
      </w:r>
      <w:r>
        <w:rPr>
          <w:sz w:val="24"/>
        </w:rPr>
        <w:t>the</w:t>
      </w:r>
      <w:r>
        <w:rPr>
          <w:spacing w:val="40"/>
          <w:sz w:val="24"/>
        </w:rPr>
        <w:t> </w:t>
      </w:r>
      <w:r>
        <w:rPr>
          <w:sz w:val="24"/>
        </w:rPr>
        <w:t>approved</w:t>
      </w:r>
      <w:r>
        <w:rPr>
          <w:spacing w:val="40"/>
          <w:sz w:val="24"/>
        </w:rPr>
        <w:t> </w:t>
      </w:r>
      <w:r>
        <w:rPr>
          <w:sz w:val="24"/>
        </w:rPr>
        <w:t>plans,</w:t>
      </w:r>
      <w:r>
        <w:rPr>
          <w:spacing w:val="40"/>
          <w:sz w:val="24"/>
        </w:rPr>
        <w:t> </w:t>
      </w:r>
      <w:r>
        <w:rPr>
          <w:sz w:val="24"/>
        </w:rPr>
        <w:t>issue</w:t>
      </w:r>
      <w:r>
        <w:rPr>
          <w:spacing w:val="40"/>
          <w:sz w:val="24"/>
        </w:rPr>
        <w:t> </w:t>
      </w:r>
      <w:r>
        <w:rPr>
          <w:sz w:val="24"/>
        </w:rPr>
        <w:t>a</w:t>
      </w:r>
      <w:r>
        <w:rPr>
          <w:spacing w:val="40"/>
          <w:sz w:val="24"/>
        </w:rPr>
        <w:t> </w:t>
      </w:r>
      <w:r>
        <w:rPr>
          <w:sz w:val="24"/>
        </w:rPr>
        <w:t>certificate</w:t>
      </w:r>
      <w:r>
        <w:rPr>
          <w:spacing w:val="40"/>
          <w:sz w:val="24"/>
        </w:rPr>
        <w:t> </w:t>
      </w:r>
      <w:r>
        <w:rPr>
          <w:sz w:val="24"/>
        </w:rPr>
        <w:t>of</w:t>
      </w:r>
      <w:r>
        <w:rPr>
          <w:spacing w:val="40"/>
          <w:sz w:val="24"/>
        </w:rPr>
        <w:t> </w:t>
      </w:r>
      <w:r>
        <w:rPr>
          <w:spacing w:val="9"/>
          <w:sz w:val="24"/>
        </w:rPr>
        <w:t>acceptance</w:t>
      </w:r>
      <w:r>
        <w:rPr>
          <w:spacing w:val="40"/>
          <w:sz w:val="24"/>
        </w:rPr>
        <w:t> </w:t>
      </w:r>
      <w:r>
        <w:rPr>
          <w:sz w:val="24"/>
        </w:rPr>
        <w:t>of</w:t>
      </w:r>
      <w:r>
        <w:rPr>
          <w:spacing w:val="40"/>
          <w:sz w:val="24"/>
        </w:rPr>
        <w:t> </w:t>
      </w:r>
      <w:r>
        <w:rPr>
          <w:sz w:val="24"/>
        </w:rPr>
        <w:t>the completion</w:t>
      </w:r>
      <w:r>
        <w:rPr>
          <w:spacing w:val="40"/>
          <w:sz w:val="24"/>
        </w:rPr>
        <w:t> </w:t>
      </w:r>
      <w:r>
        <w:rPr>
          <w:sz w:val="24"/>
        </w:rPr>
        <w:t>of</w:t>
      </w:r>
      <w:r>
        <w:rPr>
          <w:spacing w:val="40"/>
          <w:sz w:val="24"/>
        </w:rPr>
        <w:t> </w:t>
      </w:r>
      <w:r>
        <w:rPr>
          <w:sz w:val="24"/>
        </w:rPr>
        <w:t>the</w:t>
      </w:r>
      <w:r>
        <w:rPr>
          <w:spacing w:val="40"/>
          <w:sz w:val="24"/>
        </w:rPr>
        <w:t> </w:t>
      </w:r>
      <w:r>
        <w:rPr>
          <w:sz w:val="24"/>
        </w:rPr>
        <w:t>work</w:t>
      </w:r>
      <w:r>
        <w:rPr>
          <w:spacing w:val="40"/>
          <w:sz w:val="24"/>
        </w:rPr>
        <w:t> </w:t>
      </w:r>
      <w:r>
        <w:rPr>
          <w:sz w:val="24"/>
        </w:rPr>
        <w:t>in</w:t>
      </w:r>
      <w:r>
        <w:rPr>
          <w:spacing w:val="40"/>
          <w:sz w:val="24"/>
        </w:rPr>
        <w:t> </w:t>
      </w:r>
      <w:r>
        <w:rPr>
          <w:sz w:val="24"/>
        </w:rPr>
        <w:t>the</w:t>
      </w:r>
      <w:r>
        <w:rPr>
          <w:spacing w:val="40"/>
          <w:sz w:val="24"/>
        </w:rPr>
        <w:t> </w:t>
      </w:r>
      <w:r>
        <w:rPr>
          <w:sz w:val="24"/>
        </w:rPr>
        <w:t>form</w:t>
      </w:r>
      <w:r>
        <w:rPr>
          <w:spacing w:val="40"/>
          <w:sz w:val="24"/>
        </w:rPr>
        <w:t> </w:t>
      </w:r>
      <w:r>
        <w:rPr>
          <w:sz w:val="24"/>
        </w:rPr>
        <w:t>given</w:t>
      </w:r>
      <w:r>
        <w:rPr>
          <w:spacing w:val="40"/>
          <w:sz w:val="24"/>
        </w:rPr>
        <w:t> </w:t>
      </w:r>
      <w:r>
        <w:rPr>
          <w:sz w:val="24"/>
        </w:rPr>
        <w:t>at</w:t>
      </w:r>
      <w:r>
        <w:rPr>
          <w:spacing w:val="40"/>
          <w:sz w:val="24"/>
        </w:rPr>
        <w:t> </w:t>
      </w:r>
      <w:r>
        <w:rPr>
          <w:sz w:val="24"/>
        </w:rPr>
        <w:t>Annexure</w:t>
      </w:r>
      <w:r>
        <w:rPr>
          <w:spacing w:val="40"/>
          <w:sz w:val="24"/>
        </w:rPr>
        <w:t> </w:t>
      </w:r>
      <w:r>
        <w:rPr>
          <w:sz w:val="24"/>
        </w:rPr>
        <w:t>19.</w:t>
      </w:r>
      <w:r>
        <w:rPr>
          <w:spacing w:val="80"/>
          <w:w w:val="150"/>
          <w:sz w:val="24"/>
        </w:rPr>
        <w:t> </w:t>
      </w:r>
      <w:r>
        <w:rPr>
          <w:sz w:val="24"/>
        </w:rPr>
        <w:t>Further</w:t>
      </w:r>
      <w:r>
        <w:rPr>
          <w:spacing w:val="40"/>
          <w:sz w:val="24"/>
        </w:rPr>
        <w:t> </w:t>
      </w:r>
      <w:r>
        <w:rPr>
          <w:sz w:val="24"/>
        </w:rPr>
        <w:t>on receipt of development completion certificate for entire development in the</w:t>
      </w:r>
      <w:r>
        <w:rPr>
          <w:spacing w:val="40"/>
          <w:sz w:val="24"/>
        </w:rPr>
        <w:t> </w:t>
      </w:r>
      <w:r>
        <w:rPr>
          <w:sz w:val="24"/>
        </w:rPr>
        <w:t>form of Annexure 16, and after satisfying himself that there is no deviation from</w:t>
      </w:r>
      <w:r>
        <w:rPr>
          <w:spacing w:val="40"/>
          <w:sz w:val="24"/>
        </w:rPr>
        <w:t> </w:t>
      </w:r>
      <w:r>
        <w:rPr>
          <w:sz w:val="24"/>
        </w:rPr>
        <w:t>the</w:t>
      </w:r>
      <w:r>
        <w:rPr>
          <w:spacing w:val="80"/>
          <w:sz w:val="24"/>
        </w:rPr>
        <w:t> </w:t>
      </w:r>
      <w:r>
        <w:rPr>
          <w:sz w:val="24"/>
        </w:rPr>
        <w:t>sanctioned</w:t>
      </w:r>
      <w:r>
        <w:rPr>
          <w:spacing w:val="40"/>
          <w:sz w:val="24"/>
        </w:rPr>
        <w:t> </w:t>
      </w:r>
      <w:r>
        <w:rPr>
          <w:sz w:val="24"/>
        </w:rPr>
        <w:t>plans,</w:t>
      </w:r>
      <w:r>
        <w:rPr>
          <w:spacing w:val="80"/>
          <w:sz w:val="24"/>
        </w:rPr>
        <w:t> </w:t>
      </w:r>
      <w:r>
        <w:rPr>
          <w:sz w:val="24"/>
        </w:rPr>
        <w:t>may</w:t>
      </w:r>
      <w:r>
        <w:rPr>
          <w:spacing w:val="80"/>
          <w:sz w:val="24"/>
        </w:rPr>
        <w:t> </w:t>
      </w:r>
      <w:r>
        <w:rPr>
          <w:sz w:val="24"/>
        </w:rPr>
        <w:t>issue</w:t>
      </w:r>
      <w:r>
        <w:rPr>
          <w:spacing w:val="80"/>
          <w:sz w:val="24"/>
        </w:rPr>
        <w:t> </w:t>
      </w:r>
      <w:r>
        <w:rPr>
          <w:sz w:val="24"/>
        </w:rPr>
        <w:t>Building</w:t>
      </w:r>
      <w:r>
        <w:rPr>
          <w:spacing w:val="80"/>
          <w:sz w:val="24"/>
        </w:rPr>
        <w:t> </w:t>
      </w:r>
      <w:r>
        <w:rPr>
          <w:sz w:val="24"/>
        </w:rPr>
        <w:t>Completion</w:t>
      </w:r>
      <w:r>
        <w:rPr>
          <w:spacing w:val="40"/>
          <w:sz w:val="24"/>
        </w:rPr>
        <w:t> </w:t>
      </w:r>
      <w:r>
        <w:rPr>
          <w:sz w:val="24"/>
        </w:rPr>
        <w:t>certificate</w:t>
      </w:r>
      <w:r>
        <w:rPr>
          <w:spacing w:val="80"/>
          <w:sz w:val="24"/>
        </w:rPr>
        <w:t> </w:t>
      </w:r>
      <w:r>
        <w:rPr>
          <w:sz w:val="24"/>
        </w:rPr>
        <w:t>in the</w:t>
      </w:r>
      <w:r>
        <w:rPr>
          <w:spacing w:val="40"/>
          <w:sz w:val="24"/>
        </w:rPr>
        <w:t> </w:t>
      </w:r>
      <w:r>
        <w:rPr>
          <w:sz w:val="24"/>
        </w:rPr>
        <w:t>form</w:t>
      </w:r>
      <w:r>
        <w:rPr>
          <w:spacing w:val="40"/>
          <w:sz w:val="24"/>
        </w:rPr>
        <w:t> </w:t>
      </w:r>
      <w:r>
        <w:rPr>
          <w:sz w:val="24"/>
        </w:rPr>
        <w:t>given</w:t>
      </w:r>
      <w:r>
        <w:rPr>
          <w:spacing w:val="40"/>
          <w:sz w:val="24"/>
        </w:rPr>
        <w:t> </w:t>
      </w:r>
      <w:r>
        <w:rPr>
          <w:sz w:val="24"/>
        </w:rPr>
        <w:t>at</w:t>
      </w:r>
      <w:r>
        <w:rPr>
          <w:spacing w:val="40"/>
          <w:sz w:val="24"/>
        </w:rPr>
        <w:t> </w:t>
      </w:r>
      <w:r>
        <w:rPr>
          <w:sz w:val="24"/>
        </w:rPr>
        <w:t>Annexure</w:t>
      </w:r>
      <w:r>
        <w:rPr>
          <w:spacing w:val="40"/>
          <w:sz w:val="24"/>
        </w:rPr>
        <w:t> </w:t>
      </w:r>
      <w:r>
        <w:rPr>
          <w:sz w:val="24"/>
        </w:rPr>
        <w:t>22</w:t>
      </w:r>
      <w:r>
        <w:rPr>
          <w:spacing w:val="40"/>
          <w:sz w:val="24"/>
        </w:rPr>
        <w:t> </w:t>
      </w:r>
      <w:r>
        <w:rPr>
          <w:sz w:val="24"/>
        </w:rPr>
        <w:t>or</w:t>
      </w:r>
      <w:r>
        <w:rPr>
          <w:spacing w:val="40"/>
          <w:sz w:val="24"/>
        </w:rPr>
        <w:t> </w:t>
      </w:r>
      <w:r>
        <w:rPr>
          <w:sz w:val="24"/>
        </w:rPr>
        <w:t>refuse</w:t>
      </w:r>
      <w:r>
        <w:rPr>
          <w:spacing w:val="40"/>
          <w:sz w:val="24"/>
        </w:rPr>
        <w:t> </w:t>
      </w:r>
      <w:r>
        <w:rPr>
          <w:sz w:val="24"/>
        </w:rPr>
        <w:t>the</w:t>
      </w:r>
      <w:r>
        <w:rPr>
          <w:spacing w:val="40"/>
          <w:sz w:val="24"/>
        </w:rPr>
        <w:t> </w:t>
      </w:r>
      <w:r>
        <w:rPr>
          <w:sz w:val="24"/>
        </w:rPr>
        <w:t>Building</w:t>
      </w:r>
      <w:r>
        <w:rPr>
          <w:spacing w:val="40"/>
          <w:sz w:val="24"/>
        </w:rPr>
        <w:t> </w:t>
      </w:r>
      <w:r>
        <w:rPr>
          <w:sz w:val="24"/>
        </w:rPr>
        <w:t>Completion</w:t>
      </w:r>
      <w:r>
        <w:rPr>
          <w:spacing w:val="40"/>
          <w:sz w:val="24"/>
        </w:rPr>
        <w:t> </w:t>
      </w:r>
      <w:r>
        <w:rPr>
          <w:sz w:val="24"/>
        </w:rPr>
        <w:t>Certificate</w:t>
      </w:r>
      <w:r>
        <w:rPr>
          <w:spacing w:val="40"/>
          <w:sz w:val="24"/>
        </w:rPr>
        <w:t> </w:t>
      </w:r>
      <w:r>
        <w:rPr>
          <w:sz w:val="24"/>
        </w:rPr>
        <w:t>within</w:t>
      </w:r>
      <w:r>
        <w:rPr>
          <w:spacing w:val="40"/>
          <w:sz w:val="24"/>
        </w:rPr>
        <w:t> </w:t>
      </w:r>
      <w:r>
        <w:rPr>
          <w:sz w:val="24"/>
        </w:rPr>
        <w:t>21</w:t>
      </w:r>
      <w:r>
        <w:rPr>
          <w:spacing w:val="40"/>
          <w:sz w:val="24"/>
        </w:rPr>
        <w:t> </w:t>
      </w:r>
      <w:r>
        <w:rPr>
          <w:sz w:val="24"/>
        </w:rPr>
        <w:t>days</w:t>
      </w:r>
      <w:r>
        <w:rPr>
          <w:spacing w:val="40"/>
          <w:sz w:val="24"/>
        </w:rPr>
        <w:t> </w:t>
      </w:r>
      <w:r>
        <w:rPr>
          <w:sz w:val="24"/>
        </w:rPr>
        <w:t>from</w:t>
      </w:r>
      <w:r>
        <w:rPr>
          <w:spacing w:val="40"/>
          <w:sz w:val="24"/>
        </w:rPr>
        <w:t> </w:t>
      </w:r>
      <w:r>
        <w:rPr>
          <w:sz w:val="24"/>
        </w:rPr>
        <w:t>the</w:t>
      </w:r>
      <w:r>
        <w:rPr>
          <w:spacing w:val="40"/>
          <w:sz w:val="24"/>
        </w:rPr>
        <w:t> </w:t>
      </w:r>
      <w:r>
        <w:rPr>
          <w:sz w:val="24"/>
        </w:rPr>
        <w:t>date</w:t>
      </w:r>
      <w:r>
        <w:rPr>
          <w:spacing w:val="40"/>
          <w:sz w:val="24"/>
        </w:rPr>
        <w:t> </w:t>
      </w:r>
      <w:r>
        <w:rPr>
          <w:sz w:val="24"/>
        </w:rPr>
        <w:t>of</w:t>
      </w:r>
      <w:r>
        <w:rPr>
          <w:spacing w:val="40"/>
          <w:sz w:val="24"/>
        </w:rPr>
        <w:t> </w:t>
      </w:r>
      <w:r>
        <w:rPr>
          <w:sz w:val="24"/>
        </w:rPr>
        <w:t>receipt</w:t>
      </w:r>
      <w:r>
        <w:rPr>
          <w:spacing w:val="40"/>
          <w:sz w:val="24"/>
        </w:rPr>
        <w:t> </w:t>
      </w:r>
      <w:r>
        <w:rPr>
          <w:sz w:val="24"/>
        </w:rPr>
        <w:t>of</w:t>
      </w:r>
      <w:r>
        <w:rPr>
          <w:spacing w:val="40"/>
          <w:sz w:val="24"/>
        </w:rPr>
        <w:t> </w:t>
      </w:r>
      <w:r>
        <w:rPr>
          <w:sz w:val="24"/>
        </w:rPr>
        <w:t>the</w:t>
      </w:r>
      <w:r>
        <w:rPr>
          <w:spacing w:val="40"/>
          <w:sz w:val="24"/>
        </w:rPr>
        <w:t> </w:t>
      </w:r>
      <w:r>
        <w:rPr>
          <w:sz w:val="24"/>
        </w:rPr>
        <w:t>request</w:t>
      </w:r>
      <w:r>
        <w:rPr>
          <w:spacing w:val="40"/>
          <w:sz w:val="24"/>
        </w:rPr>
        <w:t> </w:t>
      </w:r>
      <w:r>
        <w:rPr>
          <w:sz w:val="24"/>
        </w:rPr>
        <w:t>for</w:t>
      </w:r>
      <w:r>
        <w:rPr>
          <w:spacing w:val="40"/>
          <w:sz w:val="24"/>
        </w:rPr>
        <w:t> </w:t>
      </w:r>
      <w:r>
        <w:rPr>
          <w:sz w:val="24"/>
        </w:rPr>
        <w:t>the said Building completion </w:t>
      </w:r>
      <w:r>
        <w:rPr>
          <w:spacing w:val="9"/>
          <w:sz w:val="24"/>
        </w:rPr>
        <w:t>certificate. </w:t>
      </w:r>
      <w:r>
        <w:rPr>
          <w:sz w:val="24"/>
        </w:rPr>
        <w:t>Deviation in outer dimension to the extent</w:t>
      </w:r>
      <w:r>
        <w:rPr>
          <w:spacing w:val="40"/>
          <w:sz w:val="24"/>
        </w:rPr>
        <w:t> </w:t>
      </w:r>
      <w:r>
        <w:rPr>
          <w:sz w:val="24"/>
        </w:rPr>
        <w:t>of</w:t>
      </w:r>
      <w:r>
        <w:rPr>
          <w:spacing w:val="40"/>
          <w:sz w:val="24"/>
        </w:rPr>
        <w:t> </w:t>
      </w:r>
      <w:r>
        <w:rPr>
          <w:sz w:val="24"/>
        </w:rPr>
        <w:t>25</w:t>
      </w:r>
      <w:r>
        <w:rPr>
          <w:spacing w:val="40"/>
          <w:sz w:val="24"/>
        </w:rPr>
        <w:t> </w:t>
      </w:r>
      <w:r>
        <w:rPr>
          <w:sz w:val="24"/>
        </w:rPr>
        <w:t>mm</w:t>
      </w:r>
      <w:r>
        <w:rPr>
          <w:spacing w:val="40"/>
          <w:sz w:val="24"/>
        </w:rPr>
        <w:t> </w:t>
      </w:r>
      <w:r>
        <w:rPr>
          <w:sz w:val="24"/>
        </w:rPr>
        <w:t>shall</w:t>
      </w:r>
      <w:r>
        <w:rPr>
          <w:spacing w:val="40"/>
          <w:sz w:val="24"/>
        </w:rPr>
        <w:t> </w:t>
      </w:r>
      <w:r>
        <w:rPr>
          <w:sz w:val="24"/>
        </w:rPr>
        <w:t>be</w:t>
      </w:r>
      <w:r>
        <w:rPr>
          <w:spacing w:val="40"/>
          <w:sz w:val="24"/>
        </w:rPr>
        <w:t> </w:t>
      </w:r>
      <w:r>
        <w:rPr>
          <w:sz w:val="24"/>
        </w:rPr>
        <w:t>tolerated</w:t>
      </w:r>
      <w:r>
        <w:rPr>
          <w:spacing w:val="40"/>
          <w:sz w:val="24"/>
        </w:rPr>
        <w:t> </w:t>
      </w:r>
      <w:r>
        <w:rPr>
          <w:sz w:val="24"/>
        </w:rPr>
        <w:t>subject</w:t>
      </w:r>
      <w:r>
        <w:rPr>
          <w:spacing w:val="40"/>
          <w:sz w:val="24"/>
        </w:rPr>
        <w:t> </w:t>
      </w:r>
      <w:r>
        <w:rPr>
          <w:sz w:val="24"/>
        </w:rPr>
        <w:t>to</w:t>
      </w:r>
      <w:r>
        <w:rPr>
          <w:spacing w:val="40"/>
          <w:sz w:val="24"/>
        </w:rPr>
        <w:t> </w:t>
      </w:r>
      <w:r>
        <w:rPr>
          <w:sz w:val="24"/>
        </w:rPr>
        <w:t>condition</w:t>
      </w:r>
      <w:r>
        <w:rPr>
          <w:spacing w:val="40"/>
          <w:sz w:val="24"/>
        </w:rPr>
        <w:t> </w:t>
      </w:r>
      <w:r>
        <w:rPr>
          <w:sz w:val="24"/>
        </w:rPr>
        <w:t>that</w:t>
      </w:r>
      <w:r>
        <w:rPr>
          <w:spacing w:val="40"/>
          <w:sz w:val="24"/>
        </w:rPr>
        <w:t> </w:t>
      </w:r>
      <w:r>
        <w:rPr>
          <w:sz w:val="24"/>
        </w:rPr>
        <w:t>carpet</w:t>
      </w:r>
      <w:r>
        <w:rPr>
          <w:spacing w:val="40"/>
          <w:sz w:val="24"/>
        </w:rPr>
        <w:t> </w:t>
      </w:r>
      <w:r>
        <w:rPr>
          <w:sz w:val="24"/>
        </w:rPr>
        <w:t>area shall remain </w:t>
      </w:r>
      <w:r>
        <w:rPr>
          <w:spacing w:val="9"/>
          <w:sz w:val="24"/>
        </w:rPr>
        <w:t>unchanged.</w:t>
      </w:r>
    </w:p>
    <w:p>
      <w:pPr>
        <w:pStyle w:val="ListParagraph"/>
        <w:numPr>
          <w:ilvl w:val="1"/>
          <w:numId w:val="10"/>
        </w:numPr>
        <w:tabs>
          <w:tab w:pos="1491" w:val="left" w:leader="none"/>
        </w:tabs>
        <w:spacing w:line="240" w:lineRule="auto" w:before="241" w:after="0"/>
        <w:ind w:left="1133" w:right="777" w:firstLine="0"/>
        <w:jc w:val="both"/>
        <w:rPr>
          <w:sz w:val="24"/>
        </w:rPr>
      </w:pPr>
      <w:r>
        <w:rPr>
          <w:b/>
          <w:i/>
          <w:sz w:val="24"/>
        </w:rPr>
        <w:t>Occupancy certificate:</w:t>
      </w:r>
      <w:r>
        <w:rPr>
          <w:b/>
          <w:i/>
          <w:spacing w:val="40"/>
          <w:sz w:val="24"/>
        </w:rPr>
        <w:t> </w:t>
      </w:r>
      <w:r>
        <w:rPr>
          <w:sz w:val="24"/>
        </w:rPr>
        <w:t>On receipt of the acceptance of completion certificate</w:t>
      </w:r>
      <w:r>
        <w:rPr>
          <w:spacing w:val="40"/>
          <w:sz w:val="24"/>
        </w:rPr>
        <w:t> </w:t>
      </w:r>
      <w:r>
        <w:rPr>
          <w:sz w:val="24"/>
        </w:rPr>
        <w:t>in</w:t>
      </w:r>
      <w:r>
        <w:rPr>
          <w:spacing w:val="40"/>
          <w:sz w:val="24"/>
        </w:rPr>
        <w:t> </w:t>
      </w:r>
      <w:r>
        <w:rPr>
          <w:sz w:val="24"/>
        </w:rPr>
        <w:t>the</w:t>
      </w:r>
      <w:r>
        <w:rPr>
          <w:spacing w:val="40"/>
          <w:sz w:val="24"/>
        </w:rPr>
        <w:t> </w:t>
      </w:r>
      <w:r>
        <w:rPr>
          <w:sz w:val="24"/>
        </w:rPr>
        <w:t>form</w:t>
      </w:r>
      <w:r>
        <w:rPr>
          <w:spacing w:val="40"/>
          <w:sz w:val="24"/>
        </w:rPr>
        <w:t> </w:t>
      </w:r>
      <w:r>
        <w:rPr>
          <w:sz w:val="24"/>
        </w:rPr>
        <w:t>given</w:t>
      </w:r>
      <w:r>
        <w:rPr>
          <w:spacing w:val="40"/>
          <w:sz w:val="24"/>
        </w:rPr>
        <w:t> </w:t>
      </w:r>
      <w:r>
        <w:rPr>
          <w:sz w:val="24"/>
        </w:rPr>
        <w:t>at</w:t>
      </w:r>
      <w:r>
        <w:rPr>
          <w:spacing w:val="40"/>
          <w:sz w:val="24"/>
        </w:rPr>
        <w:t> </w:t>
      </w:r>
      <w:r>
        <w:rPr>
          <w:sz w:val="24"/>
        </w:rPr>
        <w:t>Annexure</w:t>
      </w:r>
      <w:r>
        <w:rPr>
          <w:spacing w:val="40"/>
          <w:sz w:val="24"/>
        </w:rPr>
        <w:t> </w:t>
      </w:r>
      <w:r>
        <w:rPr>
          <w:sz w:val="24"/>
        </w:rPr>
        <w:t>19,</w:t>
      </w:r>
      <w:r>
        <w:rPr>
          <w:spacing w:val="40"/>
          <w:sz w:val="24"/>
        </w:rPr>
        <w:t> </w:t>
      </w:r>
      <w:r>
        <w:rPr>
          <w:sz w:val="24"/>
        </w:rPr>
        <w:t>the</w:t>
      </w:r>
      <w:r>
        <w:rPr>
          <w:spacing w:val="40"/>
          <w:sz w:val="24"/>
        </w:rPr>
        <w:t> </w:t>
      </w:r>
      <w:r>
        <w:rPr>
          <w:sz w:val="24"/>
        </w:rPr>
        <w:t>owner,</w:t>
      </w:r>
      <w:r>
        <w:rPr>
          <w:spacing w:val="40"/>
          <w:sz w:val="24"/>
        </w:rPr>
        <w:t> </w:t>
      </w:r>
      <w:r>
        <w:rPr>
          <w:sz w:val="24"/>
        </w:rPr>
        <w:t>through</w:t>
      </w:r>
      <w:r>
        <w:rPr>
          <w:spacing w:val="40"/>
          <w:sz w:val="24"/>
        </w:rPr>
        <w:t> </w:t>
      </w:r>
      <w:r>
        <w:rPr>
          <w:sz w:val="24"/>
        </w:rPr>
        <w:t>his licensed surveyor or his architect shall submit to the Commissioner a development completion certificate in the form given at </w:t>
      </w:r>
      <w:r>
        <w:rPr>
          <w:spacing w:val="9"/>
          <w:sz w:val="24"/>
        </w:rPr>
        <w:t>Annexure </w:t>
      </w:r>
      <w:r>
        <w:rPr>
          <w:sz w:val="24"/>
        </w:rPr>
        <w:t>16 with three</w:t>
      </w:r>
      <w:r>
        <w:rPr>
          <w:spacing w:val="40"/>
          <w:sz w:val="24"/>
        </w:rPr>
        <w:t> </w:t>
      </w:r>
      <w:r>
        <w:rPr>
          <w:sz w:val="24"/>
        </w:rPr>
        <w:t>copies</w:t>
      </w:r>
      <w:r>
        <w:rPr>
          <w:spacing w:val="40"/>
          <w:sz w:val="24"/>
        </w:rPr>
        <w:t> </w:t>
      </w:r>
      <w:r>
        <w:rPr>
          <w:sz w:val="24"/>
        </w:rPr>
        <w:t>of</w:t>
      </w:r>
      <w:r>
        <w:rPr>
          <w:spacing w:val="40"/>
          <w:sz w:val="24"/>
        </w:rPr>
        <w:t> </w:t>
      </w:r>
      <w:r>
        <w:rPr>
          <w:sz w:val="24"/>
        </w:rPr>
        <w:t>the</w:t>
      </w:r>
      <w:r>
        <w:rPr>
          <w:spacing w:val="40"/>
          <w:sz w:val="24"/>
        </w:rPr>
        <w:t> </w:t>
      </w:r>
      <w:r>
        <w:rPr>
          <w:sz w:val="24"/>
        </w:rPr>
        <w:t>completion</w:t>
      </w:r>
      <w:r>
        <w:rPr>
          <w:spacing w:val="40"/>
          <w:sz w:val="24"/>
        </w:rPr>
        <w:t> </w:t>
      </w:r>
      <w:r>
        <w:rPr>
          <w:sz w:val="24"/>
        </w:rPr>
        <w:t>plan,</w:t>
      </w:r>
      <w:r>
        <w:rPr>
          <w:spacing w:val="40"/>
          <w:sz w:val="24"/>
        </w:rPr>
        <w:t> </w:t>
      </w:r>
      <w:r>
        <w:rPr>
          <w:sz w:val="24"/>
        </w:rPr>
        <w:t>one</w:t>
      </w:r>
      <w:r>
        <w:rPr>
          <w:spacing w:val="40"/>
          <w:sz w:val="24"/>
        </w:rPr>
        <w:t> </w:t>
      </w:r>
      <w:r>
        <w:rPr>
          <w:sz w:val="24"/>
        </w:rPr>
        <w:t>of</w:t>
      </w:r>
      <w:r>
        <w:rPr>
          <w:spacing w:val="40"/>
          <w:sz w:val="24"/>
        </w:rPr>
        <w:t> </w:t>
      </w:r>
      <w:r>
        <w:rPr>
          <w:sz w:val="24"/>
        </w:rPr>
        <w:t>which</w:t>
      </w:r>
      <w:r>
        <w:rPr>
          <w:spacing w:val="40"/>
          <w:sz w:val="24"/>
        </w:rPr>
        <w:t> </w:t>
      </w:r>
      <w:r>
        <w:rPr>
          <w:spacing w:val="10"/>
          <w:sz w:val="24"/>
        </w:rPr>
        <w:t>shall</w:t>
      </w:r>
      <w:r>
        <w:rPr>
          <w:spacing w:val="40"/>
          <w:sz w:val="24"/>
        </w:rPr>
        <w:t> </w:t>
      </w:r>
      <w:r>
        <w:rPr>
          <w:sz w:val="24"/>
        </w:rPr>
        <w:t>be</w:t>
      </w:r>
      <w:r>
        <w:rPr>
          <w:spacing w:val="40"/>
          <w:sz w:val="24"/>
        </w:rPr>
        <w:t> </w:t>
      </w:r>
      <w:r>
        <w:rPr>
          <w:sz w:val="24"/>
        </w:rPr>
        <w:t>cloth</w:t>
      </w:r>
      <w:r>
        <w:rPr>
          <w:spacing w:val="40"/>
          <w:sz w:val="24"/>
        </w:rPr>
        <w:t> </w:t>
      </w:r>
      <w:r>
        <w:rPr>
          <w:sz w:val="24"/>
        </w:rPr>
        <w:t>mounted for record. The Commissioner may inspect the work and after satisfying himself that there is no deviation from the sanctioned plans, issue an occupancy</w:t>
      </w:r>
      <w:r>
        <w:rPr>
          <w:spacing w:val="80"/>
          <w:w w:val="150"/>
          <w:sz w:val="24"/>
        </w:rPr>
        <w:t> </w:t>
      </w:r>
      <w:r>
        <w:rPr>
          <w:sz w:val="24"/>
        </w:rPr>
        <w:t>certificate</w:t>
      </w:r>
      <w:r>
        <w:rPr>
          <w:spacing w:val="80"/>
          <w:w w:val="150"/>
          <w:sz w:val="24"/>
        </w:rPr>
        <w:t> </w:t>
      </w:r>
      <w:r>
        <w:rPr>
          <w:sz w:val="24"/>
        </w:rPr>
        <w:t>in</w:t>
      </w:r>
      <w:r>
        <w:rPr>
          <w:spacing w:val="80"/>
          <w:w w:val="150"/>
          <w:sz w:val="24"/>
        </w:rPr>
        <w:t> </w:t>
      </w:r>
      <w:r>
        <w:rPr>
          <w:sz w:val="24"/>
        </w:rPr>
        <w:t>the</w:t>
      </w:r>
      <w:r>
        <w:rPr>
          <w:spacing w:val="80"/>
          <w:w w:val="150"/>
          <w:sz w:val="24"/>
        </w:rPr>
        <w:t> </w:t>
      </w:r>
      <w:r>
        <w:rPr>
          <w:sz w:val="24"/>
        </w:rPr>
        <w:t>form</w:t>
      </w:r>
      <w:r>
        <w:rPr>
          <w:spacing w:val="80"/>
          <w:w w:val="150"/>
          <w:sz w:val="24"/>
        </w:rPr>
        <w:t> </w:t>
      </w:r>
      <w:r>
        <w:rPr>
          <w:sz w:val="24"/>
        </w:rPr>
        <w:t>given</w:t>
      </w:r>
      <w:r>
        <w:rPr>
          <w:spacing w:val="80"/>
          <w:w w:val="150"/>
          <w:sz w:val="24"/>
        </w:rPr>
        <w:t> </w:t>
      </w:r>
      <w:r>
        <w:rPr>
          <w:sz w:val="24"/>
        </w:rPr>
        <w:t>at</w:t>
      </w:r>
      <w:r>
        <w:rPr>
          <w:spacing w:val="80"/>
          <w:w w:val="150"/>
          <w:sz w:val="24"/>
        </w:rPr>
        <w:t> </w:t>
      </w:r>
      <w:r>
        <w:rPr>
          <w:sz w:val="24"/>
        </w:rPr>
        <w:t>Annexure</w:t>
      </w:r>
      <w:r>
        <w:rPr>
          <w:spacing w:val="80"/>
          <w:w w:val="150"/>
          <w:sz w:val="24"/>
        </w:rPr>
        <w:t> </w:t>
      </w:r>
      <w:r>
        <w:rPr>
          <w:sz w:val="24"/>
        </w:rPr>
        <w:t>20</w:t>
      </w:r>
      <w:r>
        <w:rPr>
          <w:spacing w:val="80"/>
          <w:w w:val="150"/>
          <w:sz w:val="24"/>
        </w:rPr>
        <w:t> </w:t>
      </w:r>
      <w:r>
        <w:rPr>
          <w:sz w:val="24"/>
        </w:rPr>
        <w:t>or</w:t>
      </w:r>
      <w:r>
        <w:rPr>
          <w:spacing w:val="80"/>
          <w:w w:val="150"/>
          <w:sz w:val="24"/>
        </w:rPr>
        <w:t> </w:t>
      </w:r>
      <w:r>
        <w:rPr>
          <w:sz w:val="24"/>
        </w:rPr>
        <w:t>refuse</w:t>
      </w:r>
      <w:r>
        <w:rPr>
          <w:spacing w:val="80"/>
          <w:w w:val="150"/>
          <w:sz w:val="24"/>
        </w:rPr>
        <w:t> </w:t>
      </w:r>
      <w:r>
        <w:rPr>
          <w:sz w:val="24"/>
        </w:rPr>
        <w:t>to</w:t>
      </w:r>
    </w:p>
    <w:p>
      <w:pPr>
        <w:pStyle w:val="ListParagraph"/>
        <w:spacing w:after="0" w:line="240" w:lineRule="auto"/>
        <w:jc w:val="both"/>
        <w:rPr>
          <w:sz w:val="24"/>
        </w:rPr>
        <w:sectPr>
          <w:pgSz w:w="11910" w:h="16840"/>
          <w:pgMar w:header="1036" w:footer="974" w:top="1460" w:bottom="1160" w:left="360" w:right="360"/>
        </w:sectPr>
      </w:pPr>
    </w:p>
    <w:p>
      <w:pPr>
        <w:pStyle w:val="BodyText"/>
        <w:spacing w:before="278"/>
        <w:ind w:left="1133" w:right="783"/>
      </w:pPr>
      <w:r>
        <w:rPr/>
        <w:t>sanction</w:t>
      </w:r>
      <w:r>
        <w:rPr>
          <w:spacing w:val="40"/>
        </w:rPr>
        <w:t> </w:t>
      </w:r>
      <w:r>
        <w:rPr/>
        <w:t>the</w:t>
      </w:r>
      <w:r>
        <w:rPr>
          <w:spacing w:val="40"/>
        </w:rPr>
        <w:t> </w:t>
      </w:r>
      <w:r>
        <w:rPr/>
        <w:t>occupancy</w:t>
      </w:r>
      <w:r>
        <w:rPr>
          <w:spacing w:val="40"/>
        </w:rPr>
        <w:t> </w:t>
      </w:r>
      <w:r>
        <w:rPr/>
        <w:t>certificate</w:t>
      </w:r>
      <w:r>
        <w:rPr>
          <w:spacing w:val="40"/>
        </w:rPr>
        <w:t> </w:t>
      </w:r>
      <w:r>
        <w:rPr/>
        <w:t>within</w:t>
      </w:r>
      <w:r>
        <w:rPr>
          <w:spacing w:val="40"/>
        </w:rPr>
        <w:t> </w:t>
      </w:r>
      <w:r>
        <w:rPr/>
        <w:t>21</w:t>
      </w:r>
      <w:r>
        <w:rPr>
          <w:spacing w:val="40"/>
        </w:rPr>
        <w:t> </w:t>
      </w:r>
      <w:r>
        <w:rPr/>
        <w:t>days</w:t>
      </w:r>
      <w:r>
        <w:rPr>
          <w:spacing w:val="40"/>
        </w:rPr>
        <w:t> </w:t>
      </w:r>
      <w:r>
        <w:rPr/>
        <w:t>from</w:t>
      </w:r>
      <w:r>
        <w:rPr>
          <w:spacing w:val="40"/>
        </w:rPr>
        <w:t> </w:t>
      </w:r>
      <w:r>
        <w:rPr/>
        <w:t>the</w:t>
      </w:r>
      <w:r>
        <w:rPr>
          <w:spacing w:val="40"/>
        </w:rPr>
        <w:t> </w:t>
      </w:r>
      <w:r>
        <w:rPr/>
        <w:t>date</w:t>
      </w:r>
      <w:r>
        <w:rPr>
          <w:spacing w:val="40"/>
        </w:rPr>
        <w:t> </w:t>
      </w:r>
      <w:r>
        <w:rPr/>
        <w:t>of</w:t>
      </w:r>
      <w:r>
        <w:rPr>
          <w:spacing w:val="40"/>
        </w:rPr>
        <w:t> </w:t>
      </w:r>
      <w:r>
        <w:rPr/>
        <w:t>receipt of</w:t>
      </w:r>
      <w:r>
        <w:rPr>
          <w:spacing w:val="40"/>
        </w:rPr>
        <w:t> </w:t>
      </w:r>
      <w:r>
        <w:rPr/>
        <w:t>the</w:t>
      </w:r>
      <w:r>
        <w:rPr>
          <w:spacing w:val="40"/>
        </w:rPr>
        <w:t> </w:t>
      </w:r>
      <w:r>
        <w:rPr/>
        <w:t>said</w:t>
      </w:r>
      <w:r>
        <w:rPr>
          <w:spacing w:val="40"/>
        </w:rPr>
        <w:t> </w:t>
      </w:r>
      <w:r>
        <w:rPr/>
        <w:t>completion</w:t>
      </w:r>
      <w:r>
        <w:rPr>
          <w:spacing w:val="40"/>
        </w:rPr>
        <w:t> </w:t>
      </w:r>
      <w:r>
        <w:rPr/>
        <w:t>certificate,</w:t>
      </w:r>
      <w:r>
        <w:rPr>
          <w:spacing w:val="40"/>
        </w:rPr>
        <w:t> </w:t>
      </w:r>
      <w:r>
        <w:rPr/>
        <w:t>falling</w:t>
      </w:r>
      <w:r>
        <w:rPr>
          <w:spacing w:val="40"/>
        </w:rPr>
        <w:t> </w:t>
      </w:r>
      <w:r>
        <w:rPr/>
        <w:t>which</w:t>
      </w:r>
      <w:r>
        <w:rPr>
          <w:spacing w:val="40"/>
        </w:rPr>
        <w:t> </w:t>
      </w:r>
      <w:r>
        <w:rPr/>
        <w:t>the</w:t>
      </w:r>
      <w:r>
        <w:rPr>
          <w:spacing w:val="40"/>
        </w:rPr>
        <w:t> </w:t>
      </w:r>
      <w:r>
        <w:rPr/>
        <w:t>work</w:t>
      </w:r>
      <w:r>
        <w:rPr>
          <w:spacing w:val="69"/>
        </w:rPr>
        <w:t> </w:t>
      </w:r>
      <w:r>
        <w:rPr/>
        <w:t>shall</w:t>
      </w:r>
      <w:r>
        <w:rPr>
          <w:spacing w:val="40"/>
        </w:rPr>
        <w:t> </w:t>
      </w:r>
      <w:r>
        <w:rPr/>
        <w:t>be</w:t>
      </w:r>
      <w:r>
        <w:rPr>
          <w:spacing w:val="40"/>
        </w:rPr>
        <w:t> </w:t>
      </w:r>
      <w:r>
        <w:rPr/>
        <w:t>deemed</w:t>
      </w:r>
      <w:r>
        <w:rPr>
          <w:spacing w:val="40"/>
        </w:rPr>
        <w:t> </w:t>
      </w:r>
      <w:r>
        <w:rPr/>
        <w:t>to</w:t>
      </w:r>
      <w:r>
        <w:rPr>
          <w:spacing w:val="40"/>
        </w:rPr>
        <w:t> </w:t>
      </w:r>
      <w:r>
        <w:rPr/>
        <w:t>have</w:t>
      </w:r>
      <w:r>
        <w:rPr>
          <w:spacing w:val="40"/>
        </w:rPr>
        <w:t> </w:t>
      </w:r>
      <w:r>
        <w:rPr/>
        <w:t>been</w:t>
      </w:r>
      <w:r>
        <w:rPr>
          <w:spacing w:val="40"/>
        </w:rPr>
        <w:t> </w:t>
      </w:r>
      <w:r>
        <w:rPr/>
        <w:t>approved</w:t>
      </w:r>
      <w:r>
        <w:rPr>
          <w:spacing w:val="40"/>
        </w:rPr>
        <w:t> </w:t>
      </w:r>
      <w:r>
        <w:rPr/>
        <w:t>for</w:t>
      </w:r>
      <w:r>
        <w:rPr>
          <w:spacing w:val="40"/>
        </w:rPr>
        <w:t> </w:t>
      </w:r>
      <w:r>
        <w:rPr/>
        <w:t>occupation,</w:t>
      </w:r>
      <w:r>
        <w:rPr>
          <w:spacing w:val="40"/>
        </w:rPr>
        <w:t> </w:t>
      </w:r>
      <w:r>
        <w:rPr/>
        <w:t>provided</w:t>
      </w:r>
      <w:r>
        <w:rPr>
          <w:spacing w:val="40"/>
        </w:rPr>
        <w:t> </w:t>
      </w:r>
      <w:r>
        <w:rPr/>
        <w:t>the</w:t>
      </w:r>
      <w:r>
        <w:rPr>
          <w:spacing w:val="40"/>
        </w:rPr>
        <w:t> </w:t>
      </w:r>
      <w:r>
        <w:rPr/>
        <w:t>construction</w:t>
      </w:r>
      <w:r>
        <w:rPr>
          <w:spacing w:val="40"/>
        </w:rPr>
        <w:t> </w:t>
      </w:r>
      <w:r>
        <w:rPr/>
        <w:t>conforms to</w:t>
      </w:r>
      <w:r>
        <w:rPr>
          <w:spacing w:val="40"/>
        </w:rPr>
        <w:t> </w:t>
      </w:r>
      <w:r>
        <w:rPr/>
        <w:t>the</w:t>
      </w:r>
      <w:r>
        <w:rPr>
          <w:spacing w:val="40"/>
        </w:rPr>
        <w:t> </w:t>
      </w:r>
      <w:r>
        <w:rPr/>
        <w:t>sanctioned</w:t>
      </w:r>
      <w:r>
        <w:rPr>
          <w:spacing w:val="40"/>
        </w:rPr>
        <w:t> </w:t>
      </w:r>
      <w:r>
        <w:rPr/>
        <w:t>plans.</w:t>
      </w:r>
      <w:r>
        <w:rPr>
          <w:spacing w:val="40"/>
        </w:rPr>
        <w:t>  </w:t>
      </w:r>
      <w:r>
        <w:rPr/>
        <w:t>One</w:t>
      </w:r>
      <w:r>
        <w:rPr>
          <w:spacing w:val="40"/>
        </w:rPr>
        <w:t> </w:t>
      </w:r>
      <w:r>
        <w:rPr/>
        <w:t>set</w:t>
      </w:r>
      <w:r>
        <w:rPr>
          <w:spacing w:val="40"/>
        </w:rPr>
        <w:t> </w:t>
      </w:r>
      <w:r>
        <w:rPr/>
        <w:t>of</w:t>
      </w:r>
      <w:r>
        <w:rPr>
          <w:spacing w:val="40"/>
        </w:rPr>
        <w:t> </w:t>
      </w:r>
      <w:r>
        <w:rPr/>
        <w:t>plans,</w:t>
      </w:r>
      <w:r>
        <w:rPr>
          <w:spacing w:val="40"/>
        </w:rPr>
        <w:t> </w:t>
      </w:r>
      <w:r>
        <w:rPr/>
        <w:t>certified</w:t>
      </w:r>
      <w:r>
        <w:rPr>
          <w:spacing w:val="40"/>
        </w:rPr>
        <w:t> </w:t>
      </w:r>
      <w:r>
        <w:rPr/>
        <w:t>by</w:t>
      </w:r>
      <w:r>
        <w:rPr>
          <w:spacing w:val="40"/>
        </w:rPr>
        <w:t> </w:t>
      </w:r>
      <w:r>
        <w:rPr/>
        <w:t>the</w:t>
      </w:r>
      <w:r>
        <w:rPr>
          <w:spacing w:val="40"/>
        </w:rPr>
        <w:t> </w:t>
      </w:r>
      <w:r>
        <w:rPr/>
        <w:t>Commissioner as the completed plans, shall be returned to the owner along with the occupancy</w:t>
      </w:r>
      <w:r>
        <w:rPr>
          <w:spacing w:val="40"/>
        </w:rPr>
        <w:t> </w:t>
      </w:r>
      <w:r>
        <w:rPr/>
        <w:t>certificate.</w:t>
      </w:r>
      <w:r>
        <w:rPr>
          <w:spacing w:val="80"/>
          <w:w w:val="150"/>
        </w:rPr>
        <w:t> </w:t>
      </w:r>
      <w:r>
        <w:rPr/>
        <w:t>Where</w:t>
      </w:r>
      <w:r>
        <w:rPr>
          <w:spacing w:val="40"/>
        </w:rPr>
        <w:t> </w:t>
      </w:r>
      <w:r>
        <w:rPr/>
        <w:t>the</w:t>
      </w:r>
      <w:r>
        <w:rPr>
          <w:spacing w:val="40"/>
        </w:rPr>
        <w:t> </w:t>
      </w:r>
      <w:r>
        <w:rPr/>
        <w:t>occupancy</w:t>
      </w:r>
      <w:r>
        <w:rPr>
          <w:spacing w:val="40"/>
        </w:rPr>
        <w:t> </w:t>
      </w:r>
      <w:r>
        <w:rPr/>
        <w:t>certificate</w:t>
      </w:r>
      <w:r>
        <w:rPr>
          <w:spacing w:val="40"/>
        </w:rPr>
        <w:t> </w:t>
      </w:r>
      <w:r>
        <w:rPr/>
        <w:t>is</w:t>
      </w:r>
      <w:r>
        <w:rPr>
          <w:spacing w:val="40"/>
        </w:rPr>
        <w:t> </w:t>
      </w:r>
      <w:r>
        <w:rPr/>
        <w:t>refused,</w:t>
      </w:r>
      <w:r>
        <w:rPr>
          <w:spacing w:val="40"/>
        </w:rPr>
        <w:t> </w:t>
      </w:r>
      <w:r>
        <w:rPr/>
        <w:t>or rejected, the reasons for refusal or rejection shall be communicated to the owner in </w:t>
      </w:r>
      <w:r>
        <w:rPr>
          <w:spacing w:val="9"/>
        </w:rPr>
        <w:t>writing.</w:t>
      </w:r>
    </w:p>
    <w:p>
      <w:pPr>
        <w:pStyle w:val="ListParagraph"/>
        <w:numPr>
          <w:ilvl w:val="1"/>
          <w:numId w:val="10"/>
        </w:numPr>
        <w:tabs>
          <w:tab w:pos="2211" w:val="left" w:leader="none"/>
        </w:tabs>
        <w:spacing w:line="240" w:lineRule="auto" w:before="240" w:after="0"/>
        <w:ind w:left="1133" w:right="785" w:firstLine="0"/>
        <w:jc w:val="both"/>
        <w:rPr>
          <w:sz w:val="28"/>
        </w:rPr>
      </w:pPr>
      <w:r>
        <w:rPr>
          <w:b/>
          <w:i/>
          <w:sz w:val="24"/>
        </w:rPr>
        <w:t>Part occupancy certificate /part building completion</w:t>
      </w:r>
      <w:r>
        <w:rPr>
          <w:b/>
          <w:i/>
          <w:spacing w:val="80"/>
          <w:sz w:val="24"/>
        </w:rPr>
        <w:t> </w:t>
      </w:r>
      <w:r>
        <w:rPr>
          <w:b/>
          <w:i/>
          <w:sz w:val="24"/>
        </w:rPr>
        <w:t>certificate:</w:t>
      </w:r>
      <w:r>
        <w:rPr>
          <w:b/>
          <w:i/>
          <w:spacing w:val="40"/>
          <w:sz w:val="24"/>
        </w:rPr>
        <w:t>  </w:t>
      </w:r>
      <w:r>
        <w:rPr>
          <w:sz w:val="24"/>
        </w:rPr>
        <w:t>When</w:t>
      </w:r>
      <w:r>
        <w:rPr>
          <w:spacing w:val="68"/>
          <w:sz w:val="24"/>
        </w:rPr>
        <w:t> </w:t>
      </w:r>
      <w:r>
        <w:rPr>
          <w:sz w:val="24"/>
        </w:rPr>
        <w:t>requested</w:t>
      </w:r>
      <w:r>
        <w:rPr>
          <w:spacing w:val="68"/>
          <w:sz w:val="24"/>
        </w:rPr>
        <w:t> </w:t>
      </w:r>
      <w:r>
        <w:rPr>
          <w:sz w:val="24"/>
        </w:rPr>
        <w:t>by</w:t>
      </w:r>
      <w:r>
        <w:rPr>
          <w:spacing w:val="71"/>
          <w:sz w:val="24"/>
        </w:rPr>
        <w:t> </w:t>
      </w:r>
      <w:r>
        <w:rPr>
          <w:sz w:val="24"/>
        </w:rPr>
        <w:t>the</w:t>
      </w:r>
      <w:r>
        <w:rPr>
          <w:spacing w:val="65"/>
          <w:sz w:val="24"/>
        </w:rPr>
        <w:t> </w:t>
      </w:r>
      <w:r>
        <w:rPr>
          <w:sz w:val="24"/>
        </w:rPr>
        <w:t>owner,</w:t>
      </w:r>
      <w:r>
        <w:rPr>
          <w:spacing w:val="64"/>
          <w:sz w:val="24"/>
        </w:rPr>
        <w:t> </w:t>
      </w:r>
      <w:r>
        <w:rPr>
          <w:sz w:val="24"/>
        </w:rPr>
        <w:t>the</w:t>
      </w:r>
      <w:r>
        <w:rPr>
          <w:spacing w:val="64"/>
          <w:sz w:val="24"/>
        </w:rPr>
        <w:t> </w:t>
      </w:r>
      <w:r>
        <w:rPr>
          <w:sz w:val="24"/>
        </w:rPr>
        <w:t>Commissioner</w:t>
      </w:r>
      <w:r>
        <w:rPr>
          <w:spacing w:val="64"/>
          <w:sz w:val="24"/>
        </w:rPr>
        <w:t> </w:t>
      </w:r>
      <w:r>
        <w:rPr>
          <w:sz w:val="24"/>
        </w:rPr>
        <w:t>may</w:t>
      </w:r>
      <w:r>
        <w:rPr>
          <w:spacing w:val="64"/>
          <w:sz w:val="24"/>
        </w:rPr>
        <w:t> </w:t>
      </w:r>
      <w:r>
        <w:rPr>
          <w:sz w:val="24"/>
        </w:rPr>
        <w:t>issue a</w:t>
      </w:r>
      <w:r>
        <w:rPr>
          <w:spacing w:val="80"/>
          <w:sz w:val="24"/>
        </w:rPr>
        <w:t> </w:t>
      </w:r>
      <w:r>
        <w:rPr>
          <w:sz w:val="24"/>
        </w:rPr>
        <w:t>part</w:t>
      </w:r>
      <w:r>
        <w:rPr>
          <w:spacing w:val="80"/>
          <w:sz w:val="24"/>
        </w:rPr>
        <w:t> </w:t>
      </w:r>
      <w:r>
        <w:rPr>
          <w:sz w:val="24"/>
        </w:rPr>
        <w:t>occupancy</w:t>
      </w:r>
      <w:r>
        <w:rPr>
          <w:spacing w:val="80"/>
          <w:sz w:val="24"/>
        </w:rPr>
        <w:t> </w:t>
      </w:r>
      <w:r>
        <w:rPr>
          <w:sz w:val="24"/>
        </w:rPr>
        <w:t>certificate</w:t>
      </w:r>
      <w:r>
        <w:rPr>
          <w:spacing w:val="80"/>
          <w:sz w:val="24"/>
        </w:rPr>
        <w:t> </w:t>
      </w:r>
      <w:r>
        <w:rPr>
          <w:sz w:val="24"/>
        </w:rPr>
        <w:t>/accept</w:t>
      </w:r>
      <w:r>
        <w:rPr>
          <w:spacing w:val="80"/>
          <w:sz w:val="24"/>
        </w:rPr>
        <w:t> </w:t>
      </w:r>
      <w:r>
        <w:rPr>
          <w:sz w:val="24"/>
        </w:rPr>
        <w:t>part</w:t>
      </w:r>
      <w:r>
        <w:rPr>
          <w:spacing w:val="80"/>
          <w:sz w:val="24"/>
        </w:rPr>
        <w:t> </w:t>
      </w:r>
      <w:r>
        <w:rPr>
          <w:sz w:val="24"/>
        </w:rPr>
        <w:t>building</w:t>
      </w:r>
      <w:r>
        <w:rPr>
          <w:spacing w:val="80"/>
          <w:sz w:val="24"/>
        </w:rPr>
        <w:t> </w:t>
      </w:r>
      <w:r>
        <w:rPr>
          <w:sz w:val="24"/>
        </w:rPr>
        <w:t>completion</w:t>
      </w:r>
      <w:r>
        <w:rPr>
          <w:spacing w:val="80"/>
          <w:sz w:val="24"/>
        </w:rPr>
        <w:t> </w:t>
      </w:r>
      <w:r>
        <w:rPr>
          <w:sz w:val="24"/>
        </w:rPr>
        <w:t>certificate for</w:t>
      </w:r>
      <w:r>
        <w:rPr>
          <w:spacing w:val="40"/>
          <w:sz w:val="24"/>
        </w:rPr>
        <w:t> </w:t>
      </w:r>
      <w:r>
        <w:rPr>
          <w:sz w:val="24"/>
        </w:rPr>
        <w:t>a</w:t>
      </w:r>
      <w:r>
        <w:rPr>
          <w:spacing w:val="40"/>
          <w:sz w:val="24"/>
        </w:rPr>
        <w:t> </w:t>
      </w:r>
      <w:r>
        <w:rPr>
          <w:sz w:val="24"/>
        </w:rPr>
        <w:t>building</w:t>
      </w:r>
      <w:r>
        <w:rPr>
          <w:spacing w:val="40"/>
          <w:sz w:val="24"/>
        </w:rPr>
        <w:t> </w:t>
      </w:r>
      <w:r>
        <w:rPr>
          <w:sz w:val="24"/>
        </w:rPr>
        <w:t>or</w:t>
      </w:r>
      <w:r>
        <w:rPr>
          <w:spacing w:val="40"/>
          <w:sz w:val="24"/>
        </w:rPr>
        <w:t> </w:t>
      </w:r>
      <w:r>
        <w:rPr>
          <w:sz w:val="24"/>
        </w:rPr>
        <w:t>part</w:t>
      </w:r>
      <w:r>
        <w:rPr>
          <w:spacing w:val="40"/>
          <w:sz w:val="24"/>
        </w:rPr>
        <w:t> </w:t>
      </w:r>
      <w:r>
        <w:rPr>
          <w:sz w:val="24"/>
        </w:rPr>
        <w:t>thereof,</w:t>
      </w:r>
      <w:r>
        <w:rPr>
          <w:spacing w:val="40"/>
          <w:sz w:val="24"/>
        </w:rPr>
        <w:t> </w:t>
      </w:r>
      <w:r>
        <w:rPr>
          <w:sz w:val="24"/>
        </w:rPr>
        <w:t>before</w:t>
      </w:r>
      <w:r>
        <w:rPr>
          <w:spacing w:val="40"/>
          <w:sz w:val="24"/>
        </w:rPr>
        <w:t> </w:t>
      </w:r>
      <w:r>
        <w:rPr>
          <w:sz w:val="24"/>
        </w:rPr>
        <w:t>completion</w:t>
      </w:r>
      <w:r>
        <w:rPr>
          <w:spacing w:val="40"/>
          <w:sz w:val="24"/>
        </w:rPr>
        <w:t> </w:t>
      </w:r>
      <w:r>
        <w:rPr>
          <w:sz w:val="24"/>
        </w:rPr>
        <w:t>of</w:t>
      </w:r>
      <w:r>
        <w:rPr>
          <w:spacing w:val="40"/>
          <w:sz w:val="24"/>
        </w:rPr>
        <w:t> </w:t>
      </w:r>
      <w:r>
        <w:rPr>
          <w:sz w:val="24"/>
        </w:rPr>
        <w:t>the</w:t>
      </w:r>
      <w:r>
        <w:rPr>
          <w:spacing w:val="40"/>
          <w:sz w:val="24"/>
        </w:rPr>
        <w:t> </w:t>
      </w:r>
      <w:r>
        <w:rPr>
          <w:sz w:val="24"/>
        </w:rPr>
        <w:t>entire</w:t>
      </w:r>
      <w:r>
        <w:rPr>
          <w:spacing w:val="40"/>
          <w:sz w:val="24"/>
        </w:rPr>
        <w:t> </w:t>
      </w:r>
      <w:r>
        <w:rPr>
          <w:sz w:val="24"/>
        </w:rPr>
        <w:t>work</w:t>
      </w:r>
      <w:r>
        <w:rPr>
          <w:spacing w:val="40"/>
          <w:sz w:val="24"/>
        </w:rPr>
        <w:t> </w:t>
      </w:r>
      <w:r>
        <w:rPr>
          <w:sz w:val="24"/>
        </w:rPr>
        <w:t>as</w:t>
      </w:r>
      <w:r>
        <w:rPr>
          <w:spacing w:val="40"/>
          <w:sz w:val="24"/>
        </w:rPr>
        <w:t> </w:t>
      </w:r>
      <w:r>
        <w:rPr>
          <w:sz w:val="24"/>
        </w:rPr>
        <w:t>per the</w:t>
      </w:r>
      <w:r>
        <w:rPr>
          <w:spacing w:val="40"/>
          <w:sz w:val="24"/>
        </w:rPr>
        <w:t> </w:t>
      </w:r>
      <w:r>
        <w:rPr>
          <w:sz w:val="24"/>
        </w:rPr>
        <w:t>development</w:t>
      </w:r>
      <w:r>
        <w:rPr>
          <w:spacing w:val="80"/>
          <w:sz w:val="24"/>
        </w:rPr>
        <w:t> </w:t>
      </w:r>
      <w:r>
        <w:rPr>
          <w:sz w:val="24"/>
        </w:rPr>
        <w:t>permission,</w:t>
      </w:r>
      <w:r>
        <w:rPr>
          <w:spacing w:val="40"/>
          <w:sz w:val="24"/>
        </w:rPr>
        <w:t> </w:t>
      </w:r>
      <w:r>
        <w:rPr>
          <w:sz w:val="24"/>
        </w:rPr>
        <w:t>provided</w:t>
      </w:r>
      <w:r>
        <w:rPr>
          <w:spacing w:val="40"/>
          <w:sz w:val="24"/>
        </w:rPr>
        <w:t> </w:t>
      </w:r>
      <w:r>
        <w:rPr>
          <w:sz w:val="24"/>
        </w:rPr>
        <w:t>sufficient</w:t>
      </w:r>
      <w:r>
        <w:rPr>
          <w:spacing w:val="80"/>
          <w:sz w:val="24"/>
        </w:rPr>
        <w:t> </w:t>
      </w:r>
      <w:r>
        <w:rPr>
          <w:sz w:val="24"/>
        </w:rPr>
        <w:t>precautionary</w:t>
      </w:r>
      <w:r>
        <w:rPr>
          <w:spacing w:val="80"/>
          <w:sz w:val="24"/>
        </w:rPr>
        <w:t> </w:t>
      </w:r>
      <w:r>
        <w:rPr>
          <w:sz w:val="24"/>
        </w:rPr>
        <w:t>measures are taken by the holder to ensure public safety and health.</w:t>
      </w:r>
      <w:r>
        <w:rPr>
          <w:spacing w:val="80"/>
          <w:sz w:val="24"/>
        </w:rPr>
        <w:t> </w:t>
      </w:r>
      <w:r>
        <w:rPr>
          <w:sz w:val="24"/>
        </w:rPr>
        <w:t>The part occupancy</w:t>
      </w:r>
      <w:r>
        <w:rPr>
          <w:spacing w:val="40"/>
          <w:sz w:val="24"/>
        </w:rPr>
        <w:t> </w:t>
      </w:r>
      <w:r>
        <w:rPr>
          <w:sz w:val="24"/>
        </w:rPr>
        <w:t>certificate/part</w:t>
      </w:r>
      <w:r>
        <w:rPr>
          <w:spacing w:val="40"/>
          <w:sz w:val="24"/>
        </w:rPr>
        <w:t> </w:t>
      </w:r>
      <w:r>
        <w:rPr>
          <w:sz w:val="24"/>
        </w:rPr>
        <w:t>building</w:t>
      </w:r>
      <w:r>
        <w:rPr>
          <w:spacing w:val="40"/>
          <w:sz w:val="24"/>
        </w:rPr>
        <w:t> </w:t>
      </w:r>
      <w:r>
        <w:rPr>
          <w:sz w:val="24"/>
        </w:rPr>
        <w:t>completion</w:t>
      </w:r>
      <w:r>
        <w:rPr>
          <w:spacing w:val="78"/>
          <w:sz w:val="24"/>
        </w:rPr>
        <w:t> </w:t>
      </w:r>
      <w:r>
        <w:rPr>
          <w:sz w:val="24"/>
        </w:rPr>
        <w:t>certificate</w:t>
      </w:r>
      <w:r>
        <w:rPr>
          <w:spacing w:val="80"/>
          <w:sz w:val="24"/>
        </w:rPr>
        <w:t> </w:t>
      </w:r>
      <w:r>
        <w:rPr>
          <w:sz w:val="24"/>
        </w:rPr>
        <w:t>shall</w:t>
      </w:r>
      <w:r>
        <w:rPr>
          <w:spacing w:val="40"/>
          <w:sz w:val="24"/>
        </w:rPr>
        <w:t> </w:t>
      </w:r>
      <w:r>
        <w:rPr>
          <w:sz w:val="24"/>
        </w:rPr>
        <w:t>be</w:t>
      </w:r>
      <w:r>
        <w:rPr>
          <w:spacing w:val="40"/>
          <w:sz w:val="24"/>
        </w:rPr>
        <w:t> </w:t>
      </w:r>
      <w:r>
        <w:rPr>
          <w:sz w:val="24"/>
        </w:rPr>
        <w:t>subject</w:t>
      </w:r>
      <w:r>
        <w:rPr>
          <w:spacing w:val="40"/>
          <w:sz w:val="24"/>
        </w:rPr>
        <w:t> </w:t>
      </w:r>
      <w:r>
        <w:rPr>
          <w:sz w:val="24"/>
        </w:rPr>
        <w:t>to the owner's indemnifying the Commissioner in the format given at </w:t>
      </w:r>
      <w:r>
        <w:rPr>
          <w:spacing w:val="7"/>
          <w:sz w:val="24"/>
        </w:rPr>
        <w:t>Annexure-</w:t>
      </w:r>
      <w:r>
        <w:rPr>
          <w:sz w:val="24"/>
        </w:rPr>
        <w:t>21</w:t>
      </w:r>
    </w:p>
    <w:p>
      <w:pPr>
        <w:pStyle w:val="Heading3"/>
        <w:numPr>
          <w:ilvl w:val="0"/>
          <w:numId w:val="10"/>
        </w:numPr>
        <w:tabs>
          <w:tab w:pos="1731" w:val="left" w:leader="none"/>
        </w:tabs>
        <w:spacing w:line="240" w:lineRule="auto" w:before="229" w:after="0"/>
        <w:ind w:left="1731" w:right="0" w:hanging="598"/>
        <w:jc w:val="both"/>
        <w:rPr>
          <w:i w:val="0"/>
        </w:rPr>
      </w:pPr>
      <w:r>
        <w:rPr/>
        <w:t>Inspection</w:t>
      </w:r>
      <w:r>
        <w:rPr>
          <w:spacing w:val="54"/>
          <w:w w:val="150"/>
        </w:rPr>
        <w:t> </w:t>
      </w:r>
      <w:r>
        <w:rPr>
          <w:i w:val="0"/>
          <w:spacing w:val="-10"/>
        </w:rPr>
        <w:t>–</w:t>
      </w:r>
    </w:p>
    <w:p>
      <w:pPr>
        <w:pStyle w:val="ListParagraph"/>
        <w:numPr>
          <w:ilvl w:val="1"/>
          <w:numId w:val="10"/>
        </w:numPr>
        <w:tabs>
          <w:tab w:pos="1746" w:val="left" w:leader="none"/>
        </w:tabs>
        <w:spacing w:line="240" w:lineRule="auto" w:before="242" w:after="0"/>
        <w:ind w:left="1224" w:right="785" w:firstLine="0"/>
        <w:jc w:val="both"/>
        <w:rPr>
          <w:sz w:val="24"/>
        </w:rPr>
      </w:pPr>
      <w:r>
        <w:rPr>
          <w:b/>
          <w:i/>
          <w:sz w:val="24"/>
        </w:rPr>
        <w:t>Inspection at various </w:t>
      </w:r>
      <w:r>
        <w:rPr>
          <w:b/>
          <w:i/>
          <w:spacing w:val="9"/>
          <w:sz w:val="24"/>
        </w:rPr>
        <w:t>stages: </w:t>
      </w:r>
      <w:r>
        <w:rPr>
          <w:sz w:val="24"/>
        </w:rPr>
        <w:t>The Commissioner may at any time during erection of a building or the execution of any work or development, make</w:t>
      </w:r>
      <w:r>
        <w:rPr>
          <w:spacing w:val="40"/>
          <w:sz w:val="24"/>
        </w:rPr>
        <w:t> </w:t>
      </w:r>
      <w:r>
        <w:rPr>
          <w:sz w:val="24"/>
        </w:rPr>
        <w:t>an</w:t>
      </w:r>
      <w:r>
        <w:rPr>
          <w:spacing w:val="40"/>
          <w:sz w:val="24"/>
        </w:rPr>
        <w:t> </w:t>
      </w:r>
      <w:r>
        <w:rPr>
          <w:sz w:val="24"/>
        </w:rPr>
        <w:t>inspection</w:t>
      </w:r>
      <w:r>
        <w:rPr>
          <w:spacing w:val="40"/>
          <w:sz w:val="24"/>
        </w:rPr>
        <w:t> </w:t>
      </w:r>
      <w:r>
        <w:rPr>
          <w:sz w:val="24"/>
        </w:rPr>
        <w:t>thereof</w:t>
      </w:r>
      <w:r>
        <w:rPr>
          <w:spacing w:val="40"/>
          <w:sz w:val="24"/>
        </w:rPr>
        <w:t> </w:t>
      </w:r>
      <w:r>
        <w:rPr>
          <w:sz w:val="24"/>
        </w:rPr>
        <w:t>without</w:t>
      </w:r>
      <w:r>
        <w:rPr>
          <w:spacing w:val="40"/>
          <w:sz w:val="24"/>
        </w:rPr>
        <w:t> </w:t>
      </w:r>
      <w:r>
        <w:rPr>
          <w:sz w:val="24"/>
        </w:rPr>
        <w:t>giving</w:t>
      </w:r>
      <w:r>
        <w:rPr>
          <w:spacing w:val="40"/>
          <w:sz w:val="24"/>
        </w:rPr>
        <w:t> </w:t>
      </w:r>
      <w:r>
        <w:rPr>
          <w:sz w:val="24"/>
        </w:rPr>
        <w:t>previous</w:t>
      </w:r>
      <w:r>
        <w:rPr>
          <w:spacing w:val="40"/>
          <w:sz w:val="24"/>
        </w:rPr>
        <w:t> </w:t>
      </w:r>
      <w:r>
        <w:rPr>
          <w:sz w:val="24"/>
        </w:rPr>
        <w:t>notice</w:t>
      </w:r>
      <w:r>
        <w:rPr>
          <w:spacing w:val="40"/>
          <w:sz w:val="24"/>
        </w:rPr>
        <w:t> </w:t>
      </w:r>
      <w:r>
        <w:rPr>
          <w:sz w:val="24"/>
        </w:rPr>
        <w:t>of</w:t>
      </w:r>
      <w:r>
        <w:rPr>
          <w:spacing w:val="40"/>
          <w:sz w:val="24"/>
        </w:rPr>
        <w:t> </w:t>
      </w:r>
      <w:r>
        <w:rPr>
          <w:sz w:val="24"/>
        </w:rPr>
        <w:t>his</w:t>
      </w:r>
      <w:r>
        <w:rPr>
          <w:spacing w:val="40"/>
          <w:sz w:val="24"/>
        </w:rPr>
        <w:t> </w:t>
      </w:r>
      <w:r>
        <w:rPr>
          <w:sz w:val="24"/>
        </w:rPr>
        <w:t>intention so to do </w:t>
      </w:r>
      <w:r>
        <w:rPr>
          <w:b/>
          <w:sz w:val="24"/>
        </w:rPr>
        <w:t>so</w:t>
      </w:r>
      <w:r>
        <w:rPr>
          <w:sz w:val="24"/>
        </w:rPr>
        <w:t>.</w:t>
      </w:r>
    </w:p>
    <w:p>
      <w:pPr>
        <w:pStyle w:val="ListParagraph"/>
        <w:numPr>
          <w:ilvl w:val="1"/>
          <w:numId w:val="10"/>
        </w:numPr>
        <w:tabs>
          <w:tab w:pos="1625" w:val="left" w:leader="none"/>
        </w:tabs>
        <w:spacing w:line="240" w:lineRule="auto" w:before="239" w:after="0"/>
        <w:ind w:left="1224" w:right="786" w:firstLine="0"/>
        <w:jc w:val="both"/>
        <w:rPr>
          <w:sz w:val="24"/>
        </w:rPr>
      </w:pPr>
      <w:r>
        <w:rPr>
          <w:b/>
          <w:i/>
          <w:sz w:val="24"/>
        </w:rPr>
        <w:t>Inspection by Fire Departmental: </w:t>
      </w:r>
      <w:r>
        <w:rPr>
          <w:sz w:val="24"/>
        </w:rPr>
        <w:t>For all </w:t>
      </w:r>
      <w:r>
        <w:rPr>
          <w:spacing w:val="10"/>
          <w:sz w:val="24"/>
        </w:rPr>
        <w:t>high-</w:t>
      </w:r>
      <w:r>
        <w:rPr>
          <w:sz w:val="24"/>
        </w:rPr>
        <w:t>rise and special buildings, the work shall also be subject to inspection by the Chief Fire Officer,</w:t>
      </w:r>
      <w:r>
        <w:rPr>
          <w:spacing w:val="80"/>
          <w:sz w:val="24"/>
        </w:rPr>
        <w:t> </w:t>
      </w:r>
      <w:r>
        <w:rPr>
          <w:sz w:val="24"/>
        </w:rPr>
        <w:t>and</w:t>
      </w:r>
      <w:r>
        <w:rPr>
          <w:spacing w:val="80"/>
          <w:sz w:val="24"/>
        </w:rPr>
        <w:t> </w:t>
      </w:r>
      <w:r>
        <w:rPr>
          <w:sz w:val="24"/>
        </w:rPr>
        <w:t>the</w:t>
      </w:r>
      <w:r>
        <w:rPr>
          <w:spacing w:val="80"/>
          <w:sz w:val="24"/>
        </w:rPr>
        <w:t> </w:t>
      </w:r>
      <w:r>
        <w:rPr>
          <w:sz w:val="24"/>
        </w:rPr>
        <w:t>Commissioner</w:t>
      </w:r>
      <w:r>
        <w:rPr>
          <w:spacing w:val="80"/>
          <w:sz w:val="24"/>
        </w:rPr>
        <w:t> </w:t>
      </w:r>
      <w:r>
        <w:rPr>
          <w:sz w:val="24"/>
        </w:rPr>
        <w:t>shall</w:t>
      </w:r>
      <w:r>
        <w:rPr>
          <w:spacing w:val="80"/>
          <w:sz w:val="24"/>
        </w:rPr>
        <w:t> </w:t>
      </w:r>
      <w:r>
        <w:rPr>
          <w:sz w:val="24"/>
        </w:rPr>
        <w:t>issue</w:t>
      </w:r>
      <w:r>
        <w:rPr>
          <w:spacing w:val="80"/>
          <w:sz w:val="24"/>
        </w:rPr>
        <w:t> </w:t>
      </w:r>
      <w:r>
        <w:rPr>
          <w:sz w:val="24"/>
        </w:rPr>
        <w:t>the</w:t>
      </w:r>
      <w:r>
        <w:rPr>
          <w:spacing w:val="80"/>
          <w:sz w:val="24"/>
        </w:rPr>
        <w:t> </w:t>
      </w:r>
      <w:r>
        <w:rPr>
          <w:sz w:val="24"/>
        </w:rPr>
        <w:t>occupancy certificate/accept</w:t>
      </w:r>
      <w:r>
        <w:rPr>
          <w:spacing w:val="80"/>
          <w:sz w:val="24"/>
        </w:rPr>
        <w:t> </w:t>
      </w:r>
      <w:r>
        <w:rPr>
          <w:sz w:val="24"/>
        </w:rPr>
        <w:t>building</w:t>
      </w:r>
      <w:r>
        <w:rPr>
          <w:spacing w:val="40"/>
          <w:sz w:val="24"/>
        </w:rPr>
        <w:t> </w:t>
      </w:r>
      <w:r>
        <w:rPr>
          <w:sz w:val="24"/>
        </w:rPr>
        <w:t>completion</w:t>
      </w:r>
      <w:r>
        <w:rPr>
          <w:spacing w:val="40"/>
          <w:sz w:val="24"/>
        </w:rPr>
        <w:t> </w:t>
      </w:r>
      <w:r>
        <w:rPr>
          <w:sz w:val="24"/>
        </w:rPr>
        <w:t>certificate</w:t>
      </w:r>
      <w:r>
        <w:rPr>
          <w:spacing w:val="80"/>
          <w:sz w:val="24"/>
        </w:rPr>
        <w:t> </w:t>
      </w:r>
      <w:r>
        <w:rPr>
          <w:sz w:val="24"/>
        </w:rPr>
        <w:t>only</w:t>
      </w:r>
      <w:r>
        <w:rPr>
          <w:spacing w:val="40"/>
          <w:sz w:val="24"/>
        </w:rPr>
        <w:t> </w:t>
      </w:r>
      <w:r>
        <w:rPr>
          <w:sz w:val="24"/>
        </w:rPr>
        <w:t>after</w:t>
      </w:r>
      <w:r>
        <w:rPr>
          <w:spacing w:val="40"/>
          <w:sz w:val="24"/>
        </w:rPr>
        <w:t> </w:t>
      </w:r>
      <w:r>
        <w:rPr>
          <w:sz w:val="24"/>
        </w:rPr>
        <w:t>clearance</w:t>
      </w:r>
      <w:r>
        <w:rPr>
          <w:spacing w:val="40"/>
          <w:sz w:val="24"/>
        </w:rPr>
        <w:t> </w:t>
      </w:r>
      <w:r>
        <w:rPr>
          <w:sz w:val="24"/>
        </w:rPr>
        <w:t>by</w:t>
      </w:r>
      <w:r>
        <w:rPr>
          <w:spacing w:val="40"/>
          <w:sz w:val="24"/>
        </w:rPr>
        <w:t> </w:t>
      </w:r>
      <w:r>
        <w:rPr>
          <w:sz w:val="24"/>
        </w:rPr>
        <w:t>the</w:t>
      </w:r>
      <w:r>
        <w:rPr>
          <w:spacing w:val="40"/>
          <w:sz w:val="24"/>
        </w:rPr>
        <w:t> </w:t>
      </w:r>
      <w:r>
        <w:rPr>
          <w:sz w:val="24"/>
        </w:rPr>
        <w:t>said</w:t>
      </w:r>
      <w:r>
        <w:rPr>
          <w:spacing w:val="40"/>
          <w:sz w:val="24"/>
        </w:rPr>
        <w:t> </w:t>
      </w:r>
      <w:r>
        <w:rPr>
          <w:sz w:val="24"/>
        </w:rPr>
        <w:t>Chief</w:t>
      </w:r>
      <w:r>
        <w:rPr>
          <w:spacing w:val="40"/>
          <w:sz w:val="24"/>
        </w:rPr>
        <w:t> </w:t>
      </w:r>
      <w:r>
        <w:rPr>
          <w:sz w:val="24"/>
        </w:rPr>
        <w:t>Fire</w:t>
      </w:r>
      <w:r>
        <w:rPr>
          <w:spacing w:val="40"/>
          <w:sz w:val="24"/>
        </w:rPr>
        <w:t> </w:t>
      </w:r>
      <w:r>
        <w:rPr>
          <w:sz w:val="24"/>
        </w:rPr>
        <w:t>Officer.</w:t>
      </w:r>
    </w:p>
    <w:p>
      <w:pPr>
        <w:pStyle w:val="ListParagraph"/>
        <w:numPr>
          <w:ilvl w:val="1"/>
          <w:numId w:val="10"/>
        </w:numPr>
        <w:tabs>
          <w:tab w:pos="1625" w:val="left" w:leader="none"/>
        </w:tabs>
        <w:spacing w:line="240" w:lineRule="auto" w:before="240" w:after="0"/>
        <w:ind w:left="1224" w:right="785" w:firstLine="0"/>
        <w:jc w:val="both"/>
        <w:rPr>
          <w:sz w:val="24"/>
        </w:rPr>
      </w:pPr>
      <w:r>
        <w:rPr>
          <w:b/>
          <w:i/>
          <w:sz w:val="24"/>
        </w:rPr>
        <w:t>Unsafe</w:t>
      </w:r>
      <w:r>
        <w:rPr>
          <w:b/>
          <w:i/>
          <w:spacing w:val="80"/>
          <w:sz w:val="24"/>
        </w:rPr>
        <w:t> </w:t>
      </w:r>
      <w:r>
        <w:rPr>
          <w:b/>
          <w:i/>
          <w:sz w:val="24"/>
        </w:rPr>
        <w:t>building:</w:t>
      </w:r>
      <w:r>
        <w:rPr>
          <w:b/>
          <w:i/>
          <w:spacing w:val="80"/>
          <w:sz w:val="24"/>
        </w:rPr>
        <w:t> </w:t>
      </w:r>
      <w:r>
        <w:rPr>
          <w:sz w:val="24"/>
        </w:rPr>
        <w:t>All</w:t>
      </w:r>
      <w:r>
        <w:rPr>
          <w:spacing w:val="80"/>
          <w:sz w:val="24"/>
        </w:rPr>
        <w:t> </w:t>
      </w:r>
      <w:r>
        <w:rPr>
          <w:sz w:val="24"/>
        </w:rPr>
        <w:t>unsafe</w:t>
      </w:r>
      <w:r>
        <w:rPr>
          <w:spacing w:val="80"/>
          <w:sz w:val="24"/>
        </w:rPr>
        <w:t> </w:t>
      </w:r>
      <w:r>
        <w:rPr>
          <w:sz w:val="24"/>
        </w:rPr>
        <w:t>buildings</w:t>
      </w:r>
      <w:r>
        <w:rPr>
          <w:spacing w:val="80"/>
          <w:sz w:val="24"/>
        </w:rPr>
        <w:t> </w:t>
      </w:r>
      <w:r>
        <w:rPr>
          <w:sz w:val="24"/>
        </w:rPr>
        <w:t>shall</w:t>
      </w:r>
      <w:r>
        <w:rPr>
          <w:spacing w:val="80"/>
          <w:sz w:val="24"/>
        </w:rPr>
        <w:t> </w:t>
      </w:r>
      <w:r>
        <w:rPr>
          <w:sz w:val="24"/>
        </w:rPr>
        <w:t>be</w:t>
      </w:r>
      <w:r>
        <w:rPr>
          <w:spacing w:val="80"/>
          <w:sz w:val="24"/>
        </w:rPr>
        <w:t> </w:t>
      </w:r>
      <w:r>
        <w:rPr>
          <w:sz w:val="24"/>
        </w:rPr>
        <w:t>considered</w:t>
      </w:r>
      <w:r>
        <w:rPr>
          <w:spacing w:val="80"/>
          <w:sz w:val="24"/>
        </w:rPr>
        <w:t> </w:t>
      </w:r>
      <w:r>
        <w:rPr>
          <w:sz w:val="24"/>
        </w:rPr>
        <w:t>to constitute danger to public safety, hygiene and sanitation and shall be restored by repairs or demolished or as otherwise directed by the </w:t>
      </w:r>
      <w:r>
        <w:rPr>
          <w:spacing w:val="-2"/>
          <w:sz w:val="24"/>
        </w:rPr>
        <w:t>Commissioner.</w:t>
      </w:r>
    </w:p>
    <w:p>
      <w:pPr>
        <w:pStyle w:val="Heading6"/>
        <w:numPr>
          <w:ilvl w:val="1"/>
          <w:numId w:val="10"/>
        </w:numPr>
        <w:tabs>
          <w:tab w:pos="1625" w:val="left" w:leader="none"/>
        </w:tabs>
        <w:spacing w:line="240" w:lineRule="auto" w:before="241" w:after="0"/>
        <w:ind w:left="1625" w:right="0" w:hanging="401"/>
        <w:jc w:val="both"/>
        <w:rPr>
          <w:b w:val="0"/>
          <w:i w:val="0"/>
        </w:rPr>
      </w:pPr>
      <w:r>
        <w:rPr>
          <w:spacing w:val="2"/>
        </w:rPr>
        <w:t>Unauthorized</w:t>
      </w:r>
      <w:r>
        <w:rPr>
          <w:spacing w:val="55"/>
          <w:w w:val="150"/>
        </w:rPr>
        <w:t> </w:t>
      </w:r>
      <w:r>
        <w:rPr>
          <w:spacing w:val="-2"/>
        </w:rPr>
        <w:t>development:</w:t>
      </w:r>
    </w:p>
    <w:p>
      <w:pPr>
        <w:pStyle w:val="BodyText"/>
        <w:spacing w:before="240"/>
        <w:ind w:left="1625" w:right="771" w:hanging="425"/>
      </w:pPr>
      <w:r>
        <w:rPr>
          <w:b/>
          <w:i/>
        </w:rPr>
        <w:t>(a)</w:t>
      </w:r>
      <w:r>
        <w:rPr/>
        <w:t>In case of</w:t>
      </w:r>
      <w:r>
        <w:rPr>
          <w:spacing w:val="40"/>
        </w:rPr>
        <w:t> </w:t>
      </w:r>
      <w:r>
        <w:rPr/>
        <w:t>unauthorized</w:t>
      </w:r>
      <w:r>
        <w:rPr>
          <w:spacing w:val="40"/>
        </w:rPr>
        <w:t> </w:t>
      </w:r>
      <w:r>
        <w:rPr/>
        <w:t>development, the</w:t>
      </w:r>
      <w:r>
        <w:rPr>
          <w:spacing w:val="40"/>
        </w:rPr>
        <w:t> </w:t>
      </w:r>
      <w:r>
        <w:rPr/>
        <w:t>Commissioner </w:t>
      </w:r>
      <w:r>
        <w:rPr>
          <w:spacing w:val="9"/>
        </w:rPr>
        <w:t>shall</w:t>
      </w:r>
      <w:r>
        <w:rPr>
          <w:spacing w:val="9"/>
        </w:rPr>
        <w:t> </w:t>
      </w:r>
      <w:r>
        <w:rPr/>
        <w:t>take suitable</w:t>
      </w:r>
      <w:r>
        <w:rPr>
          <w:spacing w:val="80"/>
        </w:rPr>
        <w:t> </w:t>
      </w:r>
      <w:r>
        <w:rPr/>
        <w:t>action</w:t>
      </w:r>
      <w:r>
        <w:rPr>
          <w:spacing w:val="80"/>
        </w:rPr>
        <w:t> </w:t>
      </w:r>
      <w:r>
        <w:rPr/>
        <w:t>which</w:t>
      </w:r>
      <w:r>
        <w:rPr>
          <w:spacing w:val="80"/>
        </w:rPr>
        <w:t> </w:t>
      </w:r>
      <w:r>
        <w:rPr/>
        <w:t>may</w:t>
      </w:r>
      <w:r>
        <w:rPr>
          <w:spacing w:val="80"/>
        </w:rPr>
        <w:t> </w:t>
      </w:r>
      <w:r>
        <w:rPr/>
        <w:t>include</w:t>
      </w:r>
      <w:r>
        <w:rPr>
          <w:spacing w:val="80"/>
        </w:rPr>
        <w:t> </w:t>
      </w:r>
      <w:r>
        <w:rPr/>
        <w:t>demolition</w:t>
      </w:r>
      <w:r>
        <w:rPr>
          <w:spacing w:val="80"/>
        </w:rPr>
        <w:t> </w:t>
      </w:r>
      <w:r>
        <w:rPr/>
        <w:t>of</w:t>
      </w:r>
      <w:r>
        <w:rPr>
          <w:spacing w:val="80"/>
        </w:rPr>
        <w:t> </w:t>
      </w:r>
      <w:r>
        <w:rPr/>
        <w:t>unauthorized</w:t>
      </w:r>
      <w:r>
        <w:rPr>
          <w:spacing w:val="80"/>
        </w:rPr>
        <w:t> </w:t>
      </w:r>
      <w:r>
        <w:rPr/>
        <w:t>works as</w:t>
      </w:r>
      <w:r>
        <w:rPr>
          <w:spacing w:val="40"/>
        </w:rPr>
        <w:t> </w:t>
      </w:r>
      <w:r>
        <w:rPr/>
        <w:t>provided</w:t>
      </w:r>
      <w:r>
        <w:rPr>
          <w:spacing w:val="40"/>
        </w:rPr>
        <w:t> </w:t>
      </w:r>
      <w:r>
        <w:rPr/>
        <w:t>in</w:t>
      </w:r>
      <w:r>
        <w:rPr>
          <w:spacing w:val="40"/>
        </w:rPr>
        <w:t> </w:t>
      </w:r>
      <w:r>
        <w:rPr/>
        <w:t>section</w:t>
      </w:r>
      <w:r>
        <w:rPr>
          <w:spacing w:val="40"/>
        </w:rPr>
        <w:t> </w:t>
      </w:r>
      <w:r>
        <w:rPr/>
        <w:t>53</w:t>
      </w:r>
      <w:r>
        <w:rPr>
          <w:spacing w:val="40"/>
        </w:rPr>
        <w:t> </w:t>
      </w:r>
      <w:r>
        <w:rPr/>
        <w:t>of</w:t>
      </w:r>
      <w:r>
        <w:rPr>
          <w:spacing w:val="40"/>
        </w:rPr>
        <w:t> </w:t>
      </w:r>
      <w:r>
        <w:rPr/>
        <w:t>the</w:t>
      </w:r>
      <w:r>
        <w:rPr>
          <w:spacing w:val="40"/>
        </w:rPr>
        <w:t> </w:t>
      </w:r>
      <w:r>
        <w:rPr/>
        <w:t>Maharashtra</w:t>
      </w:r>
      <w:r>
        <w:rPr>
          <w:spacing w:val="40"/>
        </w:rPr>
        <w:t> </w:t>
      </w:r>
      <w:r>
        <w:rPr/>
        <w:t>Regional</w:t>
      </w:r>
      <w:r>
        <w:rPr>
          <w:spacing w:val="40"/>
        </w:rPr>
        <w:t> </w:t>
      </w:r>
      <w:r>
        <w:rPr/>
        <w:t>and</w:t>
      </w:r>
      <w:r>
        <w:rPr>
          <w:spacing w:val="40"/>
        </w:rPr>
        <w:t> </w:t>
      </w:r>
      <w:r>
        <w:rPr/>
        <w:t>Town Planning</w:t>
      </w:r>
      <w:r>
        <w:rPr>
          <w:spacing w:val="40"/>
        </w:rPr>
        <w:t> </w:t>
      </w:r>
      <w:r>
        <w:rPr/>
        <w:t>Act,</w:t>
      </w:r>
      <w:r>
        <w:rPr>
          <w:spacing w:val="40"/>
        </w:rPr>
        <w:t> </w:t>
      </w:r>
      <w:r>
        <w:rPr/>
        <w:t>1966</w:t>
      </w:r>
      <w:r>
        <w:rPr>
          <w:spacing w:val="40"/>
        </w:rPr>
        <w:t> </w:t>
      </w:r>
      <w:r>
        <w:rPr/>
        <w:t>and</w:t>
      </w:r>
      <w:r>
        <w:rPr>
          <w:spacing w:val="40"/>
        </w:rPr>
        <w:t> </w:t>
      </w:r>
      <w:r>
        <w:rPr/>
        <w:t>the</w:t>
      </w:r>
      <w:r>
        <w:rPr>
          <w:spacing w:val="40"/>
        </w:rPr>
        <w:t> </w:t>
      </w:r>
      <w:r>
        <w:rPr/>
        <w:t>relevant</w:t>
      </w:r>
      <w:r>
        <w:rPr>
          <w:spacing w:val="40"/>
        </w:rPr>
        <w:t> </w:t>
      </w:r>
      <w:r>
        <w:rPr/>
        <w:t>provisions</w:t>
      </w:r>
      <w:r>
        <w:rPr>
          <w:spacing w:val="40"/>
        </w:rPr>
        <w:t> </w:t>
      </w:r>
      <w:r>
        <w:rPr/>
        <w:t>of</w:t>
      </w:r>
      <w:r>
        <w:rPr>
          <w:spacing w:val="40"/>
        </w:rPr>
        <w:t> </w:t>
      </w:r>
      <w:r>
        <w:rPr/>
        <w:t>the</w:t>
      </w:r>
      <w:r>
        <w:rPr>
          <w:spacing w:val="40"/>
        </w:rPr>
        <w:t> </w:t>
      </w:r>
      <w:r>
        <w:rPr/>
        <w:t>Mumbai Municipal</w:t>
      </w:r>
      <w:r>
        <w:rPr>
          <w:spacing w:val="40"/>
        </w:rPr>
        <w:t> </w:t>
      </w:r>
      <w:r>
        <w:rPr/>
        <w:t>Corporation</w:t>
      </w:r>
      <w:r>
        <w:rPr>
          <w:spacing w:val="40"/>
        </w:rPr>
        <w:t> </w:t>
      </w:r>
      <w:r>
        <w:rPr/>
        <w:t>Act,</w:t>
      </w:r>
      <w:r>
        <w:rPr>
          <w:spacing w:val="40"/>
        </w:rPr>
        <w:t> </w:t>
      </w:r>
      <w:r>
        <w:rPr/>
        <w:t>1888.</w:t>
      </w:r>
    </w:p>
    <w:p>
      <w:pPr>
        <w:pStyle w:val="ListParagraph"/>
        <w:numPr>
          <w:ilvl w:val="1"/>
          <w:numId w:val="10"/>
        </w:numPr>
        <w:tabs>
          <w:tab w:pos="1581" w:val="left" w:leader="none"/>
        </w:tabs>
        <w:spacing w:line="240" w:lineRule="auto" w:before="243" w:after="0"/>
        <w:ind w:left="1178" w:right="776" w:firstLine="0"/>
        <w:jc w:val="both"/>
        <w:rPr>
          <w:sz w:val="24"/>
        </w:rPr>
      </w:pPr>
      <w:r>
        <w:rPr>
          <w:sz w:val="24"/>
        </w:rPr>
        <w:t>It</w:t>
      </w:r>
      <w:r>
        <w:rPr>
          <w:spacing w:val="40"/>
          <w:sz w:val="24"/>
        </w:rPr>
        <w:t> </w:t>
      </w:r>
      <w:r>
        <w:rPr>
          <w:sz w:val="24"/>
        </w:rPr>
        <w:t>will</w:t>
      </w:r>
      <w:r>
        <w:rPr>
          <w:spacing w:val="40"/>
          <w:sz w:val="24"/>
        </w:rPr>
        <w:t> </w:t>
      </w:r>
      <w:r>
        <w:rPr>
          <w:sz w:val="24"/>
        </w:rPr>
        <w:t>be</w:t>
      </w:r>
      <w:r>
        <w:rPr>
          <w:spacing w:val="40"/>
          <w:sz w:val="24"/>
        </w:rPr>
        <w:t> </w:t>
      </w:r>
      <w:r>
        <w:rPr>
          <w:sz w:val="24"/>
        </w:rPr>
        <w:t>the</w:t>
      </w:r>
      <w:r>
        <w:rPr>
          <w:spacing w:val="40"/>
          <w:sz w:val="24"/>
        </w:rPr>
        <w:t> </w:t>
      </w:r>
      <w:r>
        <w:rPr>
          <w:sz w:val="24"/>
        </w:rPr>
        <w:t>responsibility</w:t>
      </w:r>
      <w:r>
        <w:rPr>
          <w:spacing w:val="40"/>
          <w:sz w:val="24"/>
        </w:rPr>
        <w:t> </w:t>
      </w:r>
      <w:r>
        <w:rPr>
          <w:sz w:val="24"/>
        </w:rPr>
        <w:t>of</w:t>
      </w:r>
      <w:r>
        <w:rPr>
          <w:spacing w:val="40"/>
          <w:sz w:val="24"/>
        </w:rPr>
        <w:t> </w:t>
      </w:r>
      <w:r>
        <w:rPr>
          <w:sz w:val="24"/>
        </w:rPr>
        <w:t>the</w:t>
      </w:r>
      <w:r>
        <w:rPr>
          <w:spacing w:val="40"/>
          <w:sz w:val="24"/>
        </w:rPr>
        <w:t> </w:t>
      </w:r>
      <w:r>
        <w:rPr>
          <w:sz w:val="24"/>
        </w:rPr>
        <w:t>Architect/Licensed</w:t>
      </w:r>
      <w:r>
        <w:rPr>
          <w:spacing w:val="40"/>
          <w:sz w:val="24"/>
        </w:rPr>
        <w:t> </w:t>
      </w:r>
      <w:r>
        <w:rPr>
          <w:sz w:val="24"/>
        </w:rPr>
        <w:t>Surveyor</w:t>
      </w:r>
      <w:r>
        <w:rPr>
          <w:spacing w:val="40"/>
          <w:sz w:val="24"/>
        </w:rPr>
        <w:t> </w:t>
      </w:r>
      <w:r>
        <w:rPr>
          <w:sz w:val="24"/>
        </w:rPr>
        <w:t>on Record, to inform the Commissioner, immediately, regarding any</w:t>
      </w:r>
      <w:r>
        <w:rPr>
          <w:spacing w:val="40"/>
          <w:sz w:val="24"/>
        </w:rPr>
        <w:t> </w:t>
      </w:r>
      <w:r>
        <w:rPr>
          <w:sz w:val="24"/>
        </w:rPr>
        <w:t>unauthorized</w:t>
      </w:r>
      <w:r>
        <w:rPr>
          <w:spacing w:val="72"/>
          <w:sz w:val="24"/>
        </w:rPr>
        <w:t>   </w:t>
      </w:r>
      <w:r>
        <w:rPr>
          <w:sz w:val="24"/>
        </w:rPr>
        <w:t>work/</w:t>
      </w:r>
      <w:r>
        <w:rPr>
          <w:spacing w:val="71"/>
          <w:sz w:val="24"/>
        </w:rPr>
        <w:t>   </w:t>
      </w:r>
      <w:r>
        <w:rPr>
          <w:sz w:val="24"/>
        </w:rPr>
        <w:t>development</w:t>
      </w:r>
      <w:r>
        <w:rPr>
          <w:spacing w:val="72"/>
          <w:sz w:val="24"/>
        </w:rPr>
        <w:t>   </w:t>
      </w:r>
      <w:r>
        <w:rPr>
          <w:sz w:val="24"/>
        </w:rPr>
        <w:t>and</w:t>
      </w:r>
      <w:r>
        <w:rPr>
          <w:spacing w:val="72"/>
          <w:sz w:val="24"/>
        </w:rPr>
        <w:t>   </w:t>
      </w:r>
      <w:r>
        <w:rPr>
          <w:sz w:val="24"/>
        </w:rPr>
        <w:t>also</w:t>
      </w:r>
      <w:r>
        <w:rPr>
          <w:spacing w:val="72"/>
          <w:sz w:val="24"/>
        </w:rPr>
        <w:t>   </w:t>
      </w:r>
      <w:r>
        <w:rPr>
          <w:sz w:val="24"/>
        </w:rPr>
        <w:t>to</w:t>
      </w:r>
      <w:r>
        <w:rPr>
          <w:spacing w:val="72"/>
          <w:sz w:val="24"/>
        </w:rPr>
        <w:t>   </w:t>
      </w:r>
      <w:r>
        <w:rPr>
          <w:sz w:val="24"/>
        </w:rPr>
        <w:t>inform</w:t>
      </w:r>
      <w:r>
        <w:rPr>
          <w:spacing w:val="72"/>
          <w:sz w:val="24"/>
        </w:rPr>
        <w:t>   </w:t>
      </w:r>
      <w:r>
        <w:rPr>
          <w:sz w:val="24"/>
        </w:rPr>
        <w:t>the</w:t>
      </w:r>
    </w:p>
    <w:p>
      <w:pPr>
        <w:pStyle w:val="ListParagraph"/>
        <w:spacing w:after="0" w:line="240" w:lineRule="auto"/>
        <w:jc w:val="both"/>
        <w:rPr>
          <w:sz w:val="24"/>
        </w:rPr>
        <w:sectPr>
          <w:pgSz w:w="11910" w:h="16840"/>
          <w:pgMar w:header="1036" w:footer="974" w:top="1460" w:bottom="1160" w:left="360" w:right="360"/>
        </w:sectPr>
      </w:pPr>
    </w:p>
    <w:p>
      <w:pPr>
        <w:pStyle w:val="BodyText"/>
        <w:spacing w:before="278"/>
        <w:ind w:left="1178" w:right="782"/>
      </w:pPr>
      <w:r>
        <w:rPr/>
        <w:t>owner/developer,</w:t>
      </w:r>
      <w:r>
        <w:rPr>
          <w:spacing w:val="80"/>
        </w:rPr>
        <w:t> </w:t>
      </w:r>
      <w:r>
        <w:rPr/>
        <w:t>in</w:t>
      </w:r>
      <w:r>
        <w:rPr>
          <w:spacing w:val="80"/>
        </w:rPr>
        <w:t> </w:t>
      </w:r>
      <w:r>
        <w:rPr/>
        <w:t>writing,</w:t>
      </w:r>
      <w:r>
        <w:rPr>
          <w:spacing w:val="80"/>
        </w:rPr>
        <w:t> </w:t>
      </w:r>
      <w:r>
        <w:rPr/>
        <w:t>to</w:t>
      </w:r>
      <w:r>
        <w:rPr>
          <w:spacing w:val="80"/>
        </w:rPr>
        <w:t> </w:t>
      </w:r>
      <w:r>
        <w:rPr/>
        <w:t>stop</w:t>
      </w:r>
      <w:r>
        <w:rPr>
          <w:spacing w:val="80"/>
        </w:rPr>
        <w:t> </w:t>
      </w:r>
      <w:r>
        <w:rPr/>
        <w:t>the</w:t>
      </w:r>
      <w:r>
        <w:rPr>
          <w:spacing w:val="80"/>
        </w:rPr>
        <w:t> </w:t>
      </w:r>
      <w:r>
        <w:rPr/>
        <w:t>work,</w:t>
      </w:r>
      <w:r>
        <w:rPr>
          <w:spacing w:val="80"/>
        </w:rPr>
        <w:t> </w:t>
      </w:r>
      <w:r>
        <w:rPr/>
        <w:t>failing</w:t>
      </w:r>
      <w:r>
        <w:rPr>
          <w:spacing w:val="80"/>
        </w:rPr>
        <w:t> </w:t>
      </w:r>
      <w:r>
        <w:rPr/>
        <w:t>which</w:t>
      </w:r>
      <w:r>
        <w:rPr>
          <w:spacing w:val="80"/>
        </w:rPr>
        <w:t> </w:t>
      </w:r>
      <w:r>
        <w:rPr/>
        <w:t>suitable action</w:t>
      </w:r>
      <w:r>
        <w:rPr>
          <w:spacing w:val="80"/>
        </w:rPr>
        <w:t> </w:t>
      </w:r>
      <w:r>
        <w:rPr/>
        <w:t>against</w:t>
      </w:r>
      <w:r>
        <w:rPr>
          <w:spacing w:val="80"/>
        </w:rPr>
        <w:t> </w:t>
      </w:r>
      <w:r>
        <w:rPr/>
        <w:t>Architect/</w:t>
      </w:r>
      <w:r>
        <w:rPr>
          <w:spacing w:val="80"/>
        </w:rPr>
        <w:t> </w:t>
      </w:r>
      <w:r>
        <w:rPr/>
        <w:t>licensed</w:t>
      </w:r>
      <w:r>
        <w:rPr>
          <w:spacing w:val="80"/>
        </w:rPr>
        <w:t> </w:t>
      </w:r>
      <w:r>
        <w:rPr/>
        <w:t>surveyor</w:t>
      </w:r>
      <w:r>
        <w:rPr>
          <w:spacing w:val="80"/>
        </w:rPr>
        <w:t> </w:t>
      </w:r>
      <w:r>
        <w:rPr/>
        <w:t>will</w:t>
      </w:r>
      <w:r>
        <w:rPr>
          <w:spacing w:val="80"/>
        </w:rPr>
        <w:t> </w:t>
      </w:r>
      <w:r>
        <w:rPr/>
        <w:t>be</w:t>
      </w:r>
      <w:r>
        <w:rPr>
          <w:spacing w:val="80"/>
        </w:rPr>
        <w:t> </w:t>
      </w:r>
      <w:r>
        <w:rPr/>
        <w:t>taken.</w:t>
      </w:r>
    </w:p>
    <w:p>
      <w:pPr>
        <w:pStyle w:val="BodyText"/>
        <w:ind w:left="1178" w:right="781"/>
      </w:pPr>
      <w:r>
        <w:rPr>
          <w:b/>
          <w:i/>
        </w:rPr>
        <w:t>Safety</w:t>
      </w:r>
      <w:r>
        <w:rPr>
          <w:b/>
          <w:i/>
          <w:spacing w:val="80"/>
        </w:rPr>
        <w:t> </w:t>
      </w:r>
      <w:r>
        <w:rPr>
          <w:b/>
          <w:i/>
        </w:rPr>
        <w:t>Precautions:</w:t>
      </w:r>
      <w:r>
        <w:rPr>
          <w:b/>
          <w:i/>
          <w:spacing w:val="80"/>
        </w:rPr>
        <w:t> </w:t>
      </w:r>
      <w:r>
        <w:rPr/>
        <w:t>It</w:t>
      </w:r>
      <w:r>
        <w:rPr>
          <w:spacing w:val="80"/>
        </w:rPr>
        <w:t> </w:t>
      </w:r>
      <w:r>
        <w:rPr/>
        <w:t>shall</w:t>
      </w:r>
      <w:r>
        <w:rPr>
          <w:spacing w:val="80"/>
        </w:rPr>
        <w:t> </w:t>
      </w:r>
      <w:r>
        <w:rPr/>
        <w:t>be</w:t>
      </w:r>
      <w:r>
        <w:rPr>
          <w:spacing w:val="80"/>
        </w:rPr>
        <w:t> </w:t>
      </w:r>
      <w:r>
        <w:rPr/>
        <w:t>responsibility</w:t>
      </w:r>
      <w:r>
        <w:rPr>
          <w:spacing w:val="80"/>
        </w:rPr>
        <w:t> </w:t>
      </w:r>
      <w:r>
        <w:rPr/>
        <w:t>of</w:t>
      </w:r>
      <w:r>
        <w:rPr>
          <w:spacing w:val="80"/>
        </w:rPr>
        <w:t> </w:t>
      </w:r>
      <w:r>
        <w:rPr/>
        <w:t>the</w:t>
      </w:r>
      <w:r>
        <w:rPr>
          <w:spacing w:val="80"/>
        </w:rPr>
        <w:t> </w:t>
      </w:r>
      <w:r>
        <w:rPr/>
        <w:t>Owner/Developer and</w:t>
      </w:r>
      <w:r>
        <w:rPr>
          <w:spacing w:val="80"/>
        </w:rPr>
        <w:t> </w:t>
      </w:r>
      <w:r>
        <w:rPr/>
        <w:t>the</w:t>
      </w:r>
      <w:r>
        <w:rPr>
          <w:spacing w:val="80"/>
        </w:rPr>
        <w:t> </w:t>
      </w:r>
      <w:r>
        <w:rPr/>
        <w:t>respective</w:t>
      </w:r>
      <w:r>
        <w:rPr>
          <w:spacing w:val="80"/>
        </w:rPr>
        <w:t> </w:t>
      </w:r>
      <w:r>
        <w:rPr/>
        <w:t>professionals</w:t>
      </w:r>
      <w:r>
        <w:rPr>
          <w:spacing w:val="80"/>
        </w:rPr>
        <w:t> </w:t>
      </w:r>
      <w:r>
        <w:rPr/>
        <w:t>on</w:t>
      </w:r>
      <w:r>
        <w:rPr>
          <w:spacing w:val="80"/>
        </w:rPr>
        <w:t> </w:t>
      </w:r>
      <w:r>
        <w:rPr/>
        <w:t>record</w:t>
      </w:r>
      <w:r>
        <w:rPr>
          <w:spacing w:val="80"/>
        </w:rPr>
        <w:t> </w:t>
      </w:r>
      <w:r>
        <w:rPr/>
        <w:t>appointed</w:t>
      </w:r>
      <w:r>
        <w:rPr>
          <w:spacing w:val="80"/>
        </w:rPr>
        <w:t> </w:t>
      </w:r>
      <w:r>
        <w:rPr/>
        <w:t>by Owner/Developer,</w:t>
      </w:r>
      <w:r>
        <w:rPr>
          <w:spacing w:val="40"/>
        </w:rPr>
        <w:t> </w:t>
      </w:r>
      <w:r>
        <w:rPr/>
        <w:t>to</w:t>
      </w:r>
      <w:r>
        <w:rPr>
          <w:spacing w:val="40"/>
        </w:rPr>
        <w:t> </w:t>
      </w:r>
      <w:r>
        <w:rPr/>
        <w:t>ensure</w:t>
      </w:r>
      <w:r>
        <w:rPr>
          <w:spacing w:val="40"/>
        </w:rPr>
        <w:t> </w:t>
      </w:r>
      <w:r>
        <w:rPr/>
        <w:t>all</w:t>
      </w:r>
      <w:r>
        <w:rPr>
          <w:spacing w:val="40"/>
        </w:rPr>
        <w:t> </w:t>
      </w:r>
      <w:r>
        <w:rPr/>
        <w:t>the</w:t>
      </w:r>
      <w:r>
        <w:rPr>
          <w:spacing w:val="40"/>
        </w:rPr>
        <w:t> </w:t>
      </w:r>
      <w:r>
        <w:rPr/>
        <w:t>necessary</w:t>
      </w:r>
      <w:r>
        <w:rPr>
          <w:spacing w:val="40"/>
        </w:rPr>
        <w:t> </w:t>
      </w:r>
      <w:r>
        <w:rPr/>
        <w:t>safety</w:t>
      </w:r>
      <w:r>
        <w:rPr>
          <w:spacing w:val="40"/>
        </w:rPr>
        <w:t> </w:t>
      </w:r>
      <w:r>
        <w:rPr/>
        <w:t>measures</w:t>
      </w:r>
      <w:r>
        <w:rPr>
          <w:spacing w:val="40"/>
        </w:rPr>
        <w:t> </w:t>
      </w:r>
      <w:r>
        <w:rPr/>
        <w:t>are</w:t>
      </w:r>
      <w:r>
        <w:rPr>
          <w:spacing w:val="40"/>
        </w:rPr>
        <w:t> </w:t>
      </w:r>
      <w:r>
        <w:rPr/>
        <w:t>taken</w:t>
      </w:r>
      <w:r>
        <w:rPr>
          <w:spacing w:val="40"/>
        </w:rPr>
        <w:t> </w:t>
      </w:r>
      <w:r>
        <w:rPr/>
        <w:t>on site and its immediate surroundings, especially in regard to workmen engaged,</w:t>
      </w:r>
      <w:r>
        <w:rPr>
          <w:spacing w:val="80"/>
        </w:rPr>
        <w:t> </w:t>
      </w:r>
      <w:r>
        <w:rPr/>
        <w:t>as</w:t>
      </w:r>
      <w:r>
        <w:rPr>
          <w:spacing w:val="80"/>
        </w:rPr>
        <w:t> </w:t>
      </w:r>
      <w:r>
        <w:rPr/>
        <w:t>directed</w:t>
      </w:r>
      <w:r>
        <w:rPr>
          <w:spacing w:val="40"/>
        </w:rPr>
        <w:t> </w:t>
      </w:r>
      <w:r>
        <w:rPr/>
        <w:t>in</w:t>
      </w:r>
      <w:r>
        <w:rPr>
          <w:spacing w:val="80"/>
        </w:rPr>
        <w:t> </w:t>
      </w:r>
      <w:r>
        <w:rPr/>
        <w:t>part</w:t>
      </w:r>
      <w:r>
        <w:rPr>
          <w:spacing w:val="40"/>
        </w:rPr>
        <w:t> </w:t>
      </w:r>
      <w:r>
        <w:rPr>
          <w:spacing w:val="12"/>
        </w:rPr>
        <w:t>-</w:t>
      </w:r>
      <w:r>
        <w:rPr/>
        <w:t>7,</w:t>
      </w:r>
      <w:r>
        <w:rPr>
          <w:spacing w:val="40"/>
        </w:rPr>
        <w:t> </w:t>
      </w:r>
      <w:r>
        <w:rPr/>
        <w:t>Constructional</w:t>
      </w:r>
      <w:r>
        <w:rPr>
          <w:spacing w:val="80"/>
        </w:rPr>
        <w:t> </w:t>
      </w:r>
      <w:r>
        <w:rPr/>
        <w:t>Practices</w:t>
      </w:r>
      <w:r>
        <w:rPr>
          <w:spacing w:val="80"/>
        </w:rPr>
        <w:t> </w:t>
      </w:r>
      <w:r>
        <w:rPr/>
        <w:t>&amp;</w:t>
      </w:r>
      <w:r>
        <w:rPr>
          <w:spacing w:val="40"/>
        </w:rPr>
        <w:t> </w:t>
      </w:r>
      <w:r>
        <w:rPr/>
        <w:t>Safety, National</w:t>
      </w:r>
      <w:r>
        <w:rPr>
          <w:spacing w:val="40"/>
        </w:rPr>
        <w:t> </w:t>
      </w:r>
      <w:r>
        <w:rPr/>
        <w:t>Building</w:t>
      </w:r>
      <w:r>
        <w:rPr>
          <w:spacing w:val="40"/>
        </w:rPr>
        <w:t> </w:t>
      </w:r>
      <w:r>
        <w:rPr/>
        <w:t>Code</w:t>
      </w:r>
      <w:r>
        <w:rPr>
          <w:spacing w:val="40"/>
        </w:rPr>
        <w:t> </w:t>
      </w:r>
      <w:r>
        <w:rPr/>
        <w:t>of</w:t>
      </w:r>
      <w:r>
        <w:rPr>
          <w:spacing w:val="40"/>
        </w:rPr>
        <w:t> </w:t>
      </w:r>
      <w:r>
        <w:rPr/>
        <w:t>India,</w:t>
      </w:r>
      <w:r>
        <w:rPr>
          <w:spacing w:val="40"/>
        </w:rPr>
        <w:t> </w:t>
      </w:r>
      <w:r>
        <w:rPr/>
        <w:t>as</w:t>
      </w:r>
      <w:r>
        <w:rPr>
          <w:spacing w:val="40"/>
        </w:rPr>
        <w:t> </w:t>
      </w:r>
      <w:r>
        <w:rPr/>
        <w:t>amended</w:t>
      </w:r>
      <w:r>
        <w:rPr>
          <w:spacing w:val="40"/>
        </w:rPr>
        <w:t>  </w:t>
      </w:r>
      <w:r>
        <w:rPr>
          <w:b/>
        </w:rPr>
        <w:t>up</w:t>
      </w:r>
      <w:r>
        <w:rPr>
          <w:b/>
          <w:spacing w:val="40"/>
        </w:rPr>
        <w:t> </w:t>
      </w:r>
      <w:r>
        <w:rPr/>
        <w:t>to</w:t>
      </w:r>
      <w:r>
        <w:rPr>
          <w:spacing w:val="40"/>
        </w:rPr>
        <w:t> </w:t>
      </w:r>
      <w:r>
        <w:rPr/>
        <w:t>date.</w:t>
      </w:r>
    </w:p>
    <w:p>
      <w:pPr>
        <w:pStyle w:val="BodyText"/>
        <w:spacing w:before="2"/>
        <w:ind w:left="1224" w:right="781"/>
      </w:pPr>
      <w:r>
        <w:rPr/>
        <w:t>Grant of IOD/C.C/O.C. or issuance of any written instructions to ensure public safety or reduce </w:t>
      </w:r>
      <w:r>
        <w:rPr>
          <w:spacing w:val="9"/>
        </w:rPr>
        <w:t>nuisance/inconvenience </w:t>
      </w:r>
      <w:r>
        <w:rPr/>
        <w:t>does not render MCGM liable for any injury, damages or loss whatsoever that may be </w:t>
      </w:r>
      <w:r>
        <w:rPr>
          <w:spacing w:val="9"/>
        </w:rPr>
        <w:t>caused </w:t>
      </w:r>
      <w:r>
        <w:rPr/>
        <w:t>to anyone</w:t>
      </w:r>
      <w:r>
        <w:rPr>
          <w:spacing w:val="40"/>
        </w:rPr>
        <w:t> </w:t>
      </w:r>
      <w:r>
        <w:rPr/>
        <w:t>in</w:t>
      </w:r>
      <w:r>
        <w:rPr>
          <w:spacing w:val="40"/>
        </w:rPr>
        <w:t> </w:t>
      </w:r>
      <w:r>
        <w:rPr/>
        <w:t>and</w:t>
      </w:r>
      <w:r>
        <w:rPr>
          <w:spacing w:val="80"/>
        </w:rPr>
        <w:t> </w:t>
      </w:r>
      <w:r>
        <w:rPr/>
        <w:t>around</w:t>
      </w:r>
      <w:r>
        <w:rPr>
          <w:spacing w:val="80"/>
        </w:rPr>
        <w:t> </w:t>
      </w:r>
      <w:r>
        <w:rPr/>
        <w:t>the</w:t>
      </w:r>
      <w:r>
        <w:rPr>
          <w:spacing w:val="80"/>
        </w:rPr>
        <w:t> </w:t>
      </w:r>
      <w:r>
        <w:rPr/>
        <w:t>construction</w:t>
      </w:r>
      <w:r>
        <w:rPr>
          <w:spacing w:val="40"/>
        </w:rPr>
        <w:t> </w:t>
      </w:r>
      <w:r>
        <w:rPr/>
        <w:t>area/site.</w:t>
      </w:r>
    </w:p>
    <w:p>
      <w:pPr>
        <w:pStyle w:val="Heading6"/>
        <w:numPr>
          <w:ilvl w:val="1"/>
          <w:numId w:val="10"/>
        </w:numPr>
        <w:tabs>
          <w:tab w:pos="1625" w:val="left" w:leader="none"/>
        </w:tabs>
        <w:spacing w:line="240" w:lineRule="auto" w:before="278" w:after="0"/>
        <w:ind w:left="1625" w:right="0" w:hanging="401"/>
        <w:jc w:val="both"/>
      </w:pPr>
      <w:r>
        <w:rPr/>
        <w:t>Revocation</w:t>
      </w:r>
      <w:r>
        <w:rPr>
          <w:spacing w:val="64"/>
        </w:rPr>
        <w:t> </w:t>
      </w:r>
      <w:r>
        <w:rPr/>
        <w:t>of</w:t>
      </w:r>
      <w:r>
        <w:rPr>
          <w:spacing w:val="68"/>
        </w:rPr>
        <w:t> </w:t>
      </w:r>
      <w:r>
        <w:rPr>
          <w:spacing w:val="-2"/>
        </w:rPr>
        <w:t>permission:</w:t>
      </w:r>
    </w:p>
    <w:p>
      <w:pPr>
        <w:pStyle w:val="ListParagraph"/>
        <w:numPr>
          <w:ilvl w:val="0"/>
          <w:numId w:val="22"/>
        </w:numPr>
        <w:tabs>
          <w:tab w:pos="2301" w:val="left" w:leader="none"/>
          <w:tab w:pos="2304" w:val="left" w:leader="none"/>
        </w:tabs>
        <w:spacing w:line="240" w:lineRule="auto" w:before="4" w:after="0"/>
        <w:ind w:left="2304" w:right="774" w:hanging="399"/>
        <w:jc w:val="both"/>
        <w:rPr>
          <w:sz w:val="24"/>
        </w:rPr>
      </w:pPr>
      <w:r>
        <w:rPr>
          <w:sz w:val="24"/>
        </w:rPr>
        <w:t>Without</w:t>
      </w:r>
      <w:r>
        <w:rPr>
          <w:spacing w:val="40"/>
          <w:sz w:val="24"/>
        </w:rPr>
        <w:t> </w:t>
      </w:r>
      <w:r>
        <w:rPr>
          <w:sz w:val="24"/>
        </w:rPr>
        <w:t>prejudice</w:t>
      </w:r>
      <w:r>
        <w:rPr>
          <w:spacing w:val="40"/>
          <w:sz w:val="24"/>
        </w:rPr>
        <w:t> </w:t>
      </w:r>
      <w:r>
        <w:rPr>
          <w:sz w:val="24"/>
        </w:rPr>
        <w:t>to</w:t>
      </w:r>
      <w:r>
        <w:rPr>
          <w:spacing w:val="40"/>
          <w:sz w:val="24"/>
        </w:rPr>
        <w:t> </w:t>
      </w:r>
      <w:r>
        <w:rPr>
          <w:sz w:val="24"/>
        </w:rPr>
        <w:t>the</w:t>
      </w:r>
      <w:r>
        <w:rPr>
          <w:spacing w:val="40"/>
          <w:sz w:val="24"/>
        </w:rPr>
        <w:t> </w:t>
      </w:r>
      <w:r>
        <w:rPr>
          <w:sz w:val="24"/>
        </w:rPr>
        <w:t>powers</w:t>
      </w:r>
      <w:r>
        <w:rPr>
          <w:spacing w:val="40"/>
          <w:sz w:val="24"/>
        </w:rPr>
        <w:t> </w:t>
      </w:r>
      <w:r>
        <w:rPr>
          <w:sz w:val="24"/>
        </w:rPr>
        <w:t>of</w:t>
      </w:r>
      <w:r>
        <w:rPr>
          <w:spacing w:val="40"/>
          <w:sz w:val="24"/>
        </w:rPr>
        <w:t> </w:t>
      </w:r>
      <w:r>
        <w:rPr>
          <w:sz w:val="24"/>
        </w:rPr>
        <w:t>revocation</w:t>
      </w:r>
      <w:r>
        <w:rPr>
          <w:spacing w:val="40"/>
          <w:sz w:val="24"/>
        </w:rPr>
        <w:t> </w:t>
      </w:r>
      <w:r>
        <w:rPr>
          <w:sz w:val="24"/>
        </w:rPr>
        <w:t>conferred</w:t>
      </w:r>
      <w:r>
        <w:rPr>
          <w:spacing w:val="40"/>
          <w:sz w:val="24"/>
        </w:rPr>
        <w:t> </w:t>
      </w:r>
      <w:r>
        <w:rPr>
          <w:sz w:val="24"/>
        </w:rPr>
        <w:t>by</w:t>
      </w:r>
      <w:r>
        <w:rPr>
          <w:spacing w:val="40"/>
          <w:sz w:val="24"/>
        </w:rPr>
        <w:t> </w:t>
      </w:r>
      <w:r>
        <w:rPr>
          <w:sz w:val="24"/>
        </w:rPr>
        <w:t>Section 51 of the Maharashtra Regional and Town Planning Act, 1966,Municipal</w:t>
      </w:r>
      <w:r>
        <w:rPr>
          <w:spacing w:val="80"/>
          <w:sz w:val="24"/>
        </w:rPr>
        <w:t> </w:t>
      </w:r>
      <w:r>
        <w:rPr>
          <w:sz w:val="24"/>
        </w:rPr>
        <w:t>commissioner</w:t>
      </w:r>
      <w:r>
        <w:rPr>
          <w:spacing w:val="80"/>
          <w:sz w:val="24"/>
        </w:rPr>
        <w:t> </w:t>
      </w:r>
      <w:r>
        <w:rPr>
          <w:sz w:val="24"/>
        </w:rPr>
        <w:t>may,</w:t>
      </w:r>
      <w:r>
        <w:rPr>
          <w:spacing w:val="80"/>
          <w:sz w:val="24"/>
        </w:rPr>
        <w:t> </w:t>
      </w:r>
      <w:r>
        <w:rPr>
          <w:sz w:val="24"/>
        </w:rPr>
        <w:t>after</w:t>
      </w:r>
      <w:r>
        <w:rPr>
          <w:spacing w:val="80"/>
          <w:sz w:val="24"/>
        </w:rPr>
        <w:t> </w:t>
      </w:r>
      <w:r>
        <w:rPr>
          <w:sz w:val="24"/>
        </w:rPr>
        <w:t>giving</w:t>
      </w:r>
      <w:r>
        <w:rPr>
          <w:spacing w:val="80"/>
          <w:sz w:val="24"/>
        </w:rPr>
        <w:t> </w:t>
      </w:r>
      <w:r>
        <w:rPr>
          <w:sz w:val="24"/>
        </w:rPr>
        <w:t>the</w:t>
      </w:r>
      <w:r>
        <w:rPr>
          <w:spacing w:val="80"/>
          <w:sz w:val="24"/>
        </w:rPr>
        <w:t> </w:t>
      </w:r>
      <w:r>
        <w:rPr>
          <w:sz w:val="24"/>
        </w:rPr>
        <w:t>opportunity of being heard, revoke any development permission issued under these</w:t>
      </w:r>
      <w:r>
        <w:rPr>
          <w:spacing w:val="40"/>
          <w:sz w:val="24"/>
        </w:rPr>
        <w:t> </w:t>
      </w:r>
      <w:r>
        <w:rPr>
          <w:sz w:val="24"/>
        </w:rPr>
        <w:t>regulations</w:t>
      </w:r>
      <w:r>
        <w:rPr>
          <w:spacing w:val="40"/>
          <w:sz w:val="24"/>
        </w:rPr>
        <w:t> </w:t>
      </w:r>
      <w:r>
        <w:rPr>
          <w:sz w:val="24"/>
        </w:rPr>
        <w:t>where</w:t>
      </w:r>
      <w:r>
        <w:rPr>
          <w:spacing w:val="40"/>
          <w:sz w:val="24"/>
        </w:rPr>
        <w:t> </w:t>
      </w:r>
      <w:r>
        <w:rPr>
          <w:sz w:val="24"/>
        </w:rPr>
        <w:t>it</w:t>
      </w:r>
      <w:r>
        <w:rPr>
          <w:spacing w:val="40"/>
          <w:sz w:val="24"/>
        </w:rPr>
        <w:t> </w:t>
      </w:r>
      <w:r>
        <w:rPr>
          <w:sz w:val="24"/>
        </w:rPr>
        <w:t>is</w:t>
      </w:r>
      <w:r>
        <w:rPr>
          <w:spacing w:val="40"/>
          <w:sz w:val="24"/>
        </w:rPr>
        <w:t> </w:t>
      </w:r>
      <w:r>
        <w:rPr>
          <w:sz w:val="24"/>
        </w:rPr>
        <w:t>noticed</w:t>
      </w:r>
      <w:r>
        <w:rPr>
          <w:spacing w:val="40"/>
          <w:sz w:val="24"/>
        </w:rPr>
        <w:t> </w:t>
      </w:r>
      <w:r>
        <w:rPr>
          <w:sz w:val="24"/>
        </w:rPr>
        <w:t>by</w:t>
      </w:r>
      <w:r>
        <w:rPr>
          <w:spacing w:val="40"/>
          <w:sz w:val="24"/>
        </w:rPr>
        <w:t> </w:t>
      </w:r>
      <w:r>
        <w:rPr>
          <w:sz w:val="24"/>
        </w:rPr>
        <w:t>him</w:t>
      </w:r>
      <w:r>
        <w:rPr>
          <w:spacing w:val="40"/>
          <w:sz w:val="24"/>
        </w:rPr>
        <w:t> </w:t>
      </w:r>
      <w:r>
        <w:rPr>
          <w:sz w:val="24"/>
        </w:rPr>
        <w:t>that</w:t>
      </w:r>
      <w:r>
        <w:rPr>
          <w:spacing w:val="40"/>
          <w:sz w:val="24"/>
        </w:rPr>
        <w:t> </w:t>
      </w:r>
      <w:r>
        <w:rPr>
          <w:sz w:val="24"/>
        </w:rPr>
        <w:t>there</w:t>
      </w:r>
      <w:r>
        <w:rPr>
          <w:spacing w:val="40"/>
          <w:sz w:val="24"/>
        </w:rPr>
        <w:t> </w:t>
      </w:r>
      <w:r>
        <w:rPr>
          <w:sz w:val="24"/>
        </w:rPr>
        <w:t>had</w:t>
      </w:r>
      <w:r>
        <w:rPr>
          <w:spacing w:val="40"/>
          <w:sz w:val="24"/>
        </w:rPr>
        <w:t> </w:t>
      </w:r>
      <w:r>
        <w:rPr>
          <w:sz w:val="24"/>
        </w:rPr>
        <w:t>been any</w:t>
      </w:r>
      <w:r>
        <w:rPr>
          <w:spacing w:val="40"/>
          <w:sz w:val="24"/>
        </w:rPr>
        <w:t> </w:t>
      </w:r>
      <w:r>
        <w:rPr>
          <w:sz w:val="24"/>
        </w:rPr>
        <w:t>false</w:t>
      </w:r>
      <w:r>
        <w:rPr>
          <w:spacing w:val="40"/>
          <w:sz w:val="24"/>
        </w:rPr>
        <w:t> </w:t>
      </w:r>
      <w:r>
        <w:rPr>
          <w:sz w:val="24"/>
        </w:rPr>
        <w:t>statement</w:t>
      </w:r>
      <w:r>
        <w:rPr>
          <w:spacing w:val="40"/>
          <w:sz w:val="24"/>
        </w:rPr>
        <w:t> </w:t>
      </w:r>
      <w:r>
        <w:rPr>
          <w:sz w:val="24"/>
        </w:rPr>
        <w:t>or</w:t>
      </w:r>
      <w:r>
        <w:rPr>
          <w:spacing w:val="40"/>
          <w:sz w:val="24"/>
        </w:rPr>
        <w:t> </w:t>
      </w:r>
      <w:r>
        <w:rPr>
          <w:sz w:val="24"/>
        </w:rPr>
        <w:t>any</w:t>
      </w:r>
      <w:r>
        <w:rPr>
          <w:spacing w:val="40"/>
          <w:sz w:val="24"/>
        </w:rPr>
        <w:t> </w:t>
      </w:r>
      <w:r>
        <w:rPr>
          <w:sz w:val="24"/>
        </w:rPr>
        <w:t>misrepresentation</w:t>
      </w:r>
      <w:r>
        <w:rPr>
          <w:spacing w:val="40"/>
          <w:sz w:val="24"/>
        </w:rPr>
        <w:t> </w:t>
      </w:r>
      <w:r>
        <w:rPr>
          <w:sz w:val="24"/>
        </w:rPr>
        <w:t>of</w:t>
      </w:r>
      <w:r>
        <w:rPr>
          <w:spacing w:val="40"/>
          <w:sz w:val="24"/>
        </w:rPr>
        <w:t> </w:t>
      </w:r>
      <w:r>
        <w:rPr>
          <w:sz w:val="24"/>
        </w:rPr>
        <w:t>material</w:t>
      </w:r>
      <w:r>
        <w:rPr>
          <w:spacing w:val="40"/>
          <w:sz w:val="24"/>
        </w:rPr>
        <w:t> </w:t>
      </w:r>
      <w:r>
        <w:rPr>
          <w:sz w:val="24"/>
        </w:rPr>
        <w:t>fact</w:t>
      </w:r>
      <w:r>
        <w:rPr>
          <w:spacing w:val="40"/>
          <w:sz w:val="24"/>
        </w:rPr>
        <w:t> </w:t>
      </w:r>
      <w:r>
        <w:rPr>
          <w:sz w:val="24"/>
        </w:rPr>
        <w:t>in the</w:t>
      </w:r>
      <w:r>
        <w:rPr>
          <w:spacing w:val="80"/>
          <w:sz w:val="24"/>
        </w:rPr>
        <w:t> </w:t>
      </w:r>
      <w:r>
        <w:rPr>
          <w:sz w:val="24"/>
        </w:rPr>
        <w:t>application</w:t>
      </w:r>
      <w:r>
        <w:rPr>
          <w:spacing w:val="80"/>
          <w:sz w:val="24"/>
        </w:rPr>
        <w:t> </w:t>
      </w:r>
      <w:r>
        <w:rPr>
          <w:sz w:val="24"/>
        </w:rPr>
        <w:t>on</w:t>
      </w:r>
      <w:r>
        <w:rPr>
          <w:spacing w:val="80"/>
          <w:sz w:val="24"/>
        </w:rPr>
        <w:t> </w:t>
      </w:r>
      <w:r>
        <w:rPr>
          <w:sz w:val="24"/>
        </w:rPr>
        <w:t>the</w:t>
      </w:r>
      <w:r>
        <w:rPr>
          <w:spacing w:val="80"/>
          <w:sz w:val="24"/>
        </w:rPr>
        <w:t> </w:t>
      </w:r>
      <w:r>
        <w:rPr>
          <w:sz w:val="24"/>
        </w:rPr>
        <w:t>basis</w:t>
      </w:r>
      <w:r>
        <w:rPr>
          <w:spacing w:val="80"/>
          <w:sz w:val="24"/>
        </w:rPr>
        <w:t> </w:t>
      </w:r>
      <w:r>
        <w:rPr>
          <w:sz w:val="24"/>
        </w:rPr>
        <w:t>of</w:t>
      </w:r>
      <w:r>
        <w:rPr>
          <w:spacing w:val="80"/>
          <w:sz w:val="24"/>
        </w:rPr>
        <w:t> </w:t>
      </w:r>
      <w:r>
        <w:rPr>
          <w:sz w:val="24"/>
        </w:rPr>
        <w:t>which</w:t>
      </w:r>
      <w:r>
        <w:rPr>
          <w:spacing w:val="80"/>
          <w:sz w:val="24"/>
        </w:rPr>
        <w:t> </w:t>
      </w:r>
      <w:r>
        <w:rPr>
          <w:sz w:val="24"/>
        </w:rPr>
        <w:t>the</w:t>
      </w:r>
      <w:r>
        <w:rPr>
          <w:spacing w:val="80"/>
          <w:sz w:val="24"/>
        </w:rPr>
        <w:t> </w:t>
      </w:r>
      <w:r>
        <w:rPr>
          <w:sz w:val="24"/>
        </w:rPr>
        <w:t>development permission was issued and thereupon such work carried out in pursuance</w:t>
      </w:r>
      <w:r>
        <w:rPr>
          <w:spacing w:val="40"/>
          <w:sz w:val="24"/>
        </w:rPr>
        <w:t> </w:t>
      </w:r>
      <w:r>
        <w:rPr>
          <w:sz w:val="24"/>
        </w:rPr>
        <w:t>of</w:t>
      </w:r>
      <w:r>
        <w:rPr>
          <w:spacing w:val="40"/>
          <w:sz w:val="24"/>
        </w:rPr>
        <w:t> </w:t>
      </w:r>
      <w:r>
        <w:rPr>
          <w:sz w:val="24"/>
        </w:rPr>
        <w:t>such</w:t>
      </w:r>
      <w:r>
        <w:rPr>
          <w:spacing w:val="40"/>
          <w:sz w:val="24"/>
        </w:rPr>
        <w:t> </w:t>
      </w:r>
      <w:r>
        <w:rPr>
          <w:sz w:val="24"/>
        </w:rPr>
        <w:t>permission</w:t>
      </w:r>
      <w:r>
        <w:rPr>
          <w:spacing w:val="40"/>
          <w:sz w:val="24"/>
        </w:rPr>
        <w:t> </w:t>
      </w:r>
      <w:r>
        <w:rPr>
          <w:sz w:val="24"/>
        </w:rPr>
        <w:t>shall</w:t>
      </w:r>
      <w:r>
        <w:rPr>
          <w:spacing w:val="40"/>
          <w:sz w:val="24"/>
        </w:rPr>
        <w:t> </w:t>
      </w:r>
      <w:r>
        <w:rPr>
          <w:sz w:val="24"/>
        </w:rPr>
        <w:t>be</w:t>
      </w:r>
      <w:r>
        <w:rPr>
          <w:spacing w:val="40"/>
          <w:sz w:val="24"/>
        </w:rPr>
        <w:t> </w:t>
      </w:r>
      <w:r>
        <w:rPr>
          <w:sz w:val="24"/>
        </w:rPr>
        <w:t>treated</w:t>
      </w:r>
      <w:r>
        <w:rPr>
          <w:spacing w:val="40"/>
          <w:sz w:val="24"/>
        </w:rPr>
        <w:t> </w:t>
      </w:r>
      <w:r>
        <w:rPr>
          <w:sz w:val="24"/>
        </w:rPr>
        <w:t>as</w:t>
      </w:r>
      <w:r>
        <w:rPr>
          <w:spacing w:val="40"/>
          <w:sz w:val="24"/>
        </w:rPr>
        <w:t> </w:t>
      </w:r>
      <w:r>
        <w:rPr>
          <w:spacing w:val="9"/>
          <w:sz w:val="24"/>
        </w:rPr>
        <w:t>unauthorized.</w:t>
      </w:r>
    </w:p>
    <w:p>
      <w:pPr>
        <w:pStyle w:val="ListParagraph"/>
        <w:numPr>
          <w:ilvl w:val="0"/>
          <w:numId w:val="22"/>
        </w:numPr>
        <w:tabs>
          <w:tab w:pos="2300" w:val="left" w:leader="none"/>
          <w:tab w:pos="2304" w:val="left" w:leader="none"/>
        </w:tabs>
        <w:spacing w:line="240" w:lineRule="auto" w:before="0" w:after="0"/>
        <w:ind w:left="2304" w:right="786" w:hanging="399"/>
        <w:jc w:val="both"/>
        <w:rPr>
          <w:sz w:val="24"/>
        </w:rPr>
      </w:pPr>
      <w:r>
        <w:rPr>
          <w:sz w:val="24"/>
        </w:rPr>
        <w:t>In the case of revocation of permission under </w:t>
      </w:r>
      <w:r>
        <w:rPr>
          <w:spacing w:val="10"/>
          <w:sz w:val="24"/>
        </w:rPr>
        <w:t>sub-</w:t>
      </w:r>
      <w:r>
        <w:rPr>
          <w:sz w:val="24"/>
        </w:rPr>
        <w:t>regulation (i) above,</w:t>
      </w:r>
      <w:r>
        <w:rPr>
          <w:spacing w:val="40"/>
          <w:sz w:val="24"/>
        </w:rPr>
        <w:t> </w:t>
      </w:r>
      <w:r>
        <w:rPr>
          <w:sz w:val="24"/>
        </w:rPr>
        <w:t>no</w:t>
      </w:r>
      <w:r>
        <w:rPr>
          <w:spacing w:val="40"/>
          <w:sz w:val="24"/>
        </w:rPr>
        <w:t> </w:t>
      </w:r>
      <w:r>
        <w:rPr>
          <w:sz w:val="24"/>
        </w:rPr>
        <w:t>compensation</w:t>
      </w:r>
      <w:r>
        <w:rPr>
          <w:spacing w:val="40"/>
          <w:sz w:val="24"/>
        </w:rPr>
        <w:t> </w:t>
      </w:r>
      <w:r>
        <w:rPr>
          <w:sz w:val="24"/>
        </w:rPr>
        <w:t>shall</w:t>
      </w:r>
      <w:r>
        <w:rPr>
          <w:spacing w:val="40"/>
          <w:sz w:val="24"/>
        </w:rPr>
        <w:t> </w:t>
      </w:r>
      <w:r>
        <w:rPr>
          <w:sz w:val="24"/>
        </w:rPr>
        <w:t>be</w:t>
      </w:r>
      <w:r>
        <w:rPr>
          <w:spacing w:val="40"/>
          <w:sz w:val="24"/>
        </w:rPr>
        <w:t> </w:t>
      </w:r>
      <w:r>
        <w:rPr>
          <w:sz w:val="24"/>
        </w:rPr>
        <w:t>paid.</w:t>
      </w:r>
    </w:p>
    <w:p>
      <w:pPr>
        <w:pStyle w:val="ListParagraph"/>
        <w:spacing w:after="0" w:line="240" w:lineRule="auto"/>
        <w:jc w:val="both"/>
        <w:rPr>
          <w:sz w:val="24"/>
        </w:rPr>
        <w:sectPr>
          <w:pgSz w:w="11910" w:h="16840"/>
          <w:pgMar w:header="1036" w:footer="974" w:top="1460" w:bottom="1160" w:left="360" w:right="360"/>
        </w:sectPr>
      </w:pPr>
    </w:p>
    <w:p>
      <w:pPr>
        <w:pStyle w:val="BodyText"/>
        <w:jc w:val="left"/>
        <w:rPr>
          <w:sz w:val="32"/>
        </w:rPr>
      </w:pPr>
    </w:p>
    <w:p>
      <w:pPr>
        <w:pStyle w:val="BodyText"/>
        <w:spacing w:before="20"/>
        <w:jc w:val="left"/>
        <w:rPr>
          <w:sz w:val="32"/>
        </w:rPr>
      </w:pPr>
    </w:p>
    <w:p>
      <w:pPr>
        <w:pStyle w:val="Heading1"/>
        <w:spacing w:before="0"/>
        <w:ind w:left="4289" w:hanging="1916"/>
        <w:jc w:val="left"/>
      </w:pPr>
      <w:r>
        <w:rPr/>
        <w:t>PART</w:t>
      </w:r>
      <w:r>
        <w:rPr>
          <w:spacing w:val="-7"/>
        </w:rPr>
        <w:t> </w:t>
      </w:r>
      <w:r>
        <w:rPr/>
        <w:t>III</w:t>
      </w:r>
      <w:r>
        <w:rPr>
          <w:spacing w:val="-9"/>
        </w:rPr>
        <w:t> </w:t>
      </w:r>
      <w:r>
        <w:rPr/>
        <w:t>LAND</w:t>
      </w:r>
      <w:r>
        <w:rPr>
          <w:spacing w:val="-5"/>
        </w:rPr>
        <w:t> </w:t>
      </w:r>
      <w:r>
        <w:rPr/>
        <w:t>USES</w:t>
      </w:r>
      <w:r>
        <w:rPr>
          <w:spacing w:val="-8"/>
        </w:rPr>
        <w:t> </w:t>
      </w:r>
      <w:r>
        <w:rPr/>
        <w:t>AND</w:t>
      </w:r>
      <w:r>
        <w:rPr>
          <w:spacing w:val="-4"/>
        </w:rPr>
        <w:t> </w:t>
      </w:r>
      <w:r>
        <w:rPr/>
        <w:t>MANNER</w:t>
      </w:r>
      <w:r>
        <w:rPr>
          <w:spacing w:val="-5"/>
        </w:rPr>
        <w:t> </w:t>
      </w:r>
      <w:r>
        <w:rPr/>
        <w:t>OF </w:t>
      </w:r>
      <w:r>
        <w:rPr>
          <w:spacing w:val="-2"/>
        </w:rPr>
        <w:t>DEVELOPMENT</w:t>
      </w:r>
    </w:p>
    <w:p>
      <w:pPr>
        <w:pStyle w:val="Heading3"/>
        <w:numPr>
          <w:ilvl w:val="0"/>
          <w:numId w:val="10"/>
        </w:numPr>
        <w:tabs>
          <w:tab w:pos="1783" w:val="left" w:leader="none"/>
        </w:tabs>
        <w:spacing w:line="240" w:lineRule="auto" w:before="237" w:after="0"/>
        <w:ind w:left="1783" w:right="0" w:hanging="703"/>
        <w:jc w:val="left"/>
        <w:rPr>
          <w:i w:val="0"/>
        </w:rPr>
      </w:pPr>
      <w:r>
        <w:rPr/>
        <w:t>Development</w:t>
      </w:r>
      <w:r>
        <w:rPr>
          <w:spacing w:val="61"/>
          <w:w w:val="150"/>
        </w:rPr>
        <w:t> </w:t>
      </w:r>
      <w:r>
        <w:rPr>
          <w:spacing w:val="-2"/>
        </w:rPr>
        <w:t>Stipulations.</w:t>
      </w:r>
    </w:p>
    <w:p>
      <w:pPr>
        <w:pStyle w:val="ListParagraph"/>
        <w:numPr>
          <w:ilvl w:val="1"/>
          <w:numId w:val="10"/>
        </w:numPr>
        <w:tabs>
          <w:tab w:pos="1798" w:val="left" w:leader="none"/>
          <w:tab w:pos="1800" w:val="left" w:leader="none"/>
        </w:tabs>
        <w:spacing w:line="240" w:lineRule="auto" w:before="242" w:after="0"/>
        <w:ind w:left="1800" w:right="1095" w:hanging="540"/>
        <w:jc w:val="both"/>
        <w:rPr>
          <w:sz w:val="24"/>
        </w:rPr>
      </w:pPr>
      <w:r>
        <w:rPr>
          <w:b/>
          <w:i/>
          <w:sz w:val="24"/>
        </w:rPr>
        <w:t>General:</w:t>
      </w:r>
      <w:r>
        <w:rPr>
          <w:b/>
          <w:i/>
          <w:spacing w:val="40"/>
          <w:sz w:val="24"/>
        </w:rPr>
        <w:t> </w:t>
      </w:r>
      <w:r>
        <w:rPr>
          <w:sz w:val="24"/>
        </w:rPr>
        <w:t>In</w:t>
      </w:r>
      <w:r>
        <w:rPr>
          <w:spacing w:val="40"/>
          <w:sz w:val="24"/>
        </w:rPr>
        <w:t> </w:t>
      </w:r>
      <w:r>
        <w:rPr>
          <w:sz w:val="24"/>
        </w:rPr>
        <w:t>every</w:t>
      </w:r>
      <w:r>
        <w:rPr>
          <w:spacing w:val="40"/>
          <w:sz w:val="24"/>
        </w:rPr>
        <w:t> </w:t>
      </w:r>
      <w:r>
        <w:rPr>
          <w:sz w:val="24"/>
        </w:rPr>
        <w:t>case</w:t>
      </w:r>
      <w:r>
        <w:rPr>
          <w:spacing w:val="40"/>
          <w:sz w:val="24"/>
        </w:rPr>
        <w:t> </w:t>
      </w:r>
      <w:r>
        <w:rPr>
          <w:sz w:val="24"/>
        </w:rPr>
        <w:t>of</w:t>
      </w:r>
      <w:r>
        <w:rPr>
          <w:spacing w:val="40"/>
          <w:sz w:val="24"/>
        </w:rPr>
        <w:t> </w:t>
      </w:r>
      <w:r>
        <w:rPr>
          <w:spacing w:val="9"/>
          <w:sz w:val="24"/>
        </w:rPr>
        <w:t>development/re-</w:t>
      </w:r>
      <w:r>
        <w:rPr>
          <w:sz w:val="24"/>
        </w:rPr>
        <w:t>development</w:t>
      </w:r>
      <w:r>
        <w:rPr>
          <w:spacing w:val="40"/>
          <w:sz w:val="24"/>
        </w:rPr>
        <w:t> </w:t>
      </w:r>
      <w:r>
        <w:rPr>
          <w:sz w:val="24"/>
        </w:rPr>
        <w:t>of</w:t>
      </w:r>
      <w:r>
        <w:rPr>
          <w:spacing w:val="40"/>
          <w:sz w:val="24"/>
        </w:rPr>
        <w:t> </w:t>
      </w:r>
      <w:r>
        <w:rPr>
          <w:sz w:val="24"/>
        </w:rPr>
        <w:t>any land,</w:t>
      </w:r>
      <w:r>
        <w:rPr>
          <w:spacing w:val="40"/>
          <w:sz w:val="24"/>
        </w:rPr>
        <w:t> </w:t>
      </w:r>
      <w:r>
        <w:rPr>
          <w:sz w:val="24"/>
        </w:rPr>
        <w:t>building</w:t>
      </w:r>
      <w:r>
        <w:rPr>
          <w:spacing w:val="40"/>
          <w:sz w:val="24"/>
        </w:rPr>
        <w:t> </w:t>
      </w:r>
      <w:r>
        <w:rPr>
          <w:sz w:val="24"/>
        </w:rPr>
        <w:t>or</w:t>
      </w:r>
      <w:r>
        <w:rPr>
          <w:spacing w:val="40"/>
          <w:sz w:val="24"/>
        </w:rPr>
        <w:t> </w:t>
      </w:r>
      <w:r>
        <w:rPr>
          <w:sz w:val="24"/>
        </w:rPr>
        <w:t>premises,</w:t>
      </w:r>
      <w:r>
        <w:rPr>
          <w:spacing w:val="40"/>
          <w:sz w:val="24"/>
        </w:rPr>
        <w:t> </w:t>
      </w:r>
      <w:r>
        <w:rPr>
          <w:sz w:val="24"/>
        </w:rPr>
        <w:t>the</w:t>
      </w:r>
      <w:r>
        <w:rPr>
          <w:spacing w:val="40"/>
          <w:sz w:val="24"/>
        </w:rPr>
        <w:t> </w:t>
      </w:r>
      <w:r>
        <w:rPr>
          <w:sz w:val="24"/>
        </w:rPr>
        <w:t>intended</w:t>
      </w:r>
      <w:r>
        <w:rPr>
          <w:spacing w:val="40"/>
          <w:sz w:val="24"/>
        </w:rPr>
        <w:t> </w:t>
      </w:r>
      <w:r>
        <w:rPr>
          <w:sz w:val="24"/>
        </w:rPr>
        <w:t>use</w:t>
      </w:r>
      <w:r>
        <w:rPr>
          <w:spacing w:val="40"/>
          <w:sz w:val="24"/>
        </w:rPr>
        <w:t> </w:t>
      </w:r>
      <w:r>
        <w:rPr>
          <w:sz w:val="24"/>
        </w:rPr>
        <w:t>shall</w:t>
      </w:r>
      <w:r>
        <w:rPr>
          <w:spacing w:val="40"/>
          <w:sz w:val="24"/>
        </w:rPr>
        <w:t> </w:t>
      </w:r>
      <w:r>
        <w:rPr>
          <w:sz w:val="24"/>
        </w:rPr>
        <w:t>conform</w:t>
      </w:r>
      <w:r>
        <w:rPr>
          <w:spacing w:val="40"/>
          <w:sz w:val="24"/>
        </w:rPr>
        <w:t> </w:t>
      </w:r>
      <w:r>
        <w:rPr>
          <w:sz w:val="24"/>
        </w:rPr>
        <w:t>to</w:t>
      </w:r>
      <w:r>
        <w:rPr>
          <w:spacing w:val="40"/>
          <w:sz w:val="24"/>
        </w:rPr>
        <w:t> </w:t>
      </w:r>
      <w:r>
        <w:rPr>
          <w:sz w:val="24"/>
        </w:rPr>
        <w:t>the use zones, purpose of designation, allocation or reservation as the case</w:t>
      </w:r>
      <w:r>
        <w:rPr>
          <w:spacing w:val="40"/>
          <w:sz w:val="24"/>
        </w:rPr>
        <w:t> </w:t>
      </w:r>
      <w:r>
        <w:rPr>
          <w:sz w:val="24"/>
        </w:rPr>
        <w:t>may</w:t>
      </w:r>
      <w:r>
        <w:rPr>
          <w:spacing w:val="40"/>
          <w:sz w:val="24"/>
        </w:rPr>
        <w:t> </w:t>
      </w:r>
      <w:r>
        <w:rPr>
          <w:sz w:val="24"/>
        </w:rPr>
        <w:t>be,</w:t>
      </w:r>
      <w:r>
        <w:rPr>
          <w:spacing w:val="40"/>
          <w:sz w:val="24"/>
        </w:rPr>
        <w:t> </w:t>
      </w:r>
      <w:r>
        <w:rPr>
          <w:sz w:val="24"/>
        </w:rPr>
        <w:t>unless</w:t>
      </w:r>
      <w:r>
        <w:rPr>
          <w:spacing w:val="40"/>
          <w:sz w:val="24"/>
        </w:rPr>
        <w:t> </w:t>
      </w:r>
      <w:r>
        <w:rPr>
          <w:sz w:val="24"/>
        </w:rPr>
        <w:t>specified</w:t>
      </w:r>
      <w:r>
        <w:rPr>
          <w:spacing w:val="40"/>
          <w:sz w:val="24"/>
        </w:rPr>
        <w:t> </w:t>
      </w:r>
      <w:r>
        <w:rPr>
          <w:spacing w:val="9"/>
          <w:sz w:val="24"/>
        </w:rPr>
        <w:t>otherwise.</w:t>
      </w:r>
    </w:p>
    <w:p>
      <w:pPr>
        <w:pStyle w:val="Heading6"/>
        <w:numPr>
          <w:ilvl w:val="1"/>
          <w:numId w:val="10"/>
        </w:numPr>
        <w:tabs>
          <w:tab w:pos="1786" w:val="left" w:leader="none"/>
          <w:tab w:pos="1788" w:val="left" w:leader="none"/>
        </w:tabs>
        <w:spacing w:line="240" w:lineRule="auto" w:before="241" w:after="0"/>
        <w:ind w:left="1788" w:right="1091" w:hanging="528"/>
        <w:jc w:val="both"/>
        <w:rPr>
          <w:b w:val="0"/>
          <w:i w:val="0"/>
        </w:rPr>
      </w:pPr>
      <w:r>
        <w:rPr/>
        <w:t>Development of the existing </w:t>
      </w:r>
      <w:r>
        <w:rPr>
          <w:spacing w:val="9"/>
        </w:rPr>
        <w:t>amenity/reservation/partly </w:t>
      </w:r>
      <w:r>
        <w:rPr/>
        <w:t>existing</w:t>
      </w:r>
      <w:r>
        <w:rPr>
          <w:spacing w:val="40"/>
        </w:rPr>
        <w:t> </w:t>
      </w:r>
      <w:r>
        <w:rPr/>
        <w:t>amenity/partly</w:t>
      </w:r>
      <w:r>
        <w:rPr>
          <w:spacing w:val="40"/>
        </w:rPr>
        <w:t> </w:t>
      </w:r>
      <w:r>
        <w:rPr>
          <w:spacing w:val="9"/>
        </w:rPr>
        <w:t>reserved/amenity</w:t>
      </w:r>
      <w:r>
        <w:rPr>
          <w:spacing w:val="40"/>
        </w:rPr>
        <w:t> </w:t>
      </w:r>
      <w:r>
        <w:rPr/>
        <w:t>Plot:</w:t>
      </w:r>
    </w:p>
    <w:p>
      <w:pPr>
        <w:pStyle w:val="ListParagraph"/>
        <w:numPr>
          <w:ilvl w:val="0"/>
          <w:numId w:val="23"/>
        </w:numPr>
        <w:tabs>
          <w:tab w:pos="1798" w:val="left" w:leader="none"/>
          <w:tab w:pos="1800" w:val="left" w:leader="none"/>
        </w:tabs>
        <w:spacing w:line="240" w:lineRule="auto" w:before="241" w:after="0"/>
        <w:ind w:left="1800" w:right="1091" w:hanging="360"/>
        <w:jc w:val="both"/>
        <w:rPr>
          <w:i/>
          <w:sz w:val="24"/>
        </w:rPr>
      </w:pPr>
      <w:r>
        <w:rPr>
          <w:b/>
          <w:i/>
          <w:sz w:val="24"/>
        </w:rPr>
        <w:t>Development</w:t>
      </w:r>
      <w:r>
        <w:rPr>
          <w:b/>
          <w:i/>
          <w:spacing w:val="80"/>
          <w:sz w:val="24"/>
        </w:rPr>
        <w:t> </w:t>
      </w:r>
      <w:r>
        <w:rPr>
          <w:b/>
          <w:i/>
          <w:sz w:val="24"/>
        </w:rPr>
        <w:t>of</w:t>
      </w:r>
      <w:r>
        <w:rPr>
          <w:b/>
          <w:i/>
          <w:spacing w:val="80"/>
          <w:sz w:val="24"/>
        </w:rPr>
        <w:t> </w:t>
      </w:r>
      <w:r>
        <w:rPr>
          <w:b/>
          <w:i/>
          <w:sz w:val="24"/>
        </w:rPr>
        <w:t>the</w:t>
      </w:r>
      <w:r>
        <w:rPr>
          <w:b/>
          <w:i/>
          <w:spacing w:val="80"/>
          <w:sz w:val="24"/>
        </w:rPr>
        <w:t> </w:t>
      </w:r>
      <w:r>
        <w:rPr>
          <w:b/>
          <w:i/>
          <w:sz w:val="24"/>
        </w:rPr>
        <w:t>existing</w:t>
      </w:r>
      <w:r>
        <w:rPr>
          <w:b/>
          <w:i/>
          <w:spacing w:val="80"/>
          <w:sz w:val="24"/>
        </w:rPr>
        <w:t> </w:t>
      </w:r>
      <w:r>
        <w:rPr>
          <w:b/>
          <w:i/>
          <w:sz w:val="24"/>
        </w:rPr>
        <w:t>amenity:</w:t>
      </w:r>
      <w:r>
        <w:rPr>
          <w:b/>
          <w:i/>
          <w:spacing w:val="80"/>
          <w:sz w:val="24"/>
        </w:rPr>
        <w:t> </w:t>
      </w:r>
      <w:r>
        <w:rPr>
          <w:sz w:val="24"/>
        </w:rPr>
        <w:t>Where</w:t>
      </w:r>
      <w:r>
        <w:rPr>
          <w:spacing w:val="80"/>
          <w:sz w:val="24"/>
        </w:rPr>
        <w:t> </w:t>
      </w:r>
      <w:r>
        <w:rPr>
          <w:sz w:val="24"/>
        </w:rPr>
        <w:t>a</w:t>
      </w:r>
      <w:r>
        <w:rPr>
          <w:spacing w:val="80"/>
          <w:sz w:val="24"/>
        </w:rPr>
        <w:t> </w:t>
      </w:r>
      <w:r>
        <w:rPr>
          <w:sz w:val="24"/>
        </w:rPr>
        <w:t>building</w:t>
      </w:r>
      <w:r>
        <w:rPr>
          <w:spacing w:val="80"/>
          <w:sz w:val="24"/>
        </w:rPr>
        <w:t> </w:t>
      </w:r>
      <w:r>
        <w:rPr>
          <w:sz w:val="24"/>
        </w:rPr>
        <w:t>on</w:t>
      </w:r>
      <w:r>
        <w:rPr>
          <w:spacing w:val="80"/>
          <w:sz w:val="24"/>
        </w:rPr>
        <w:t> </w:t>
      </w:r>
      <w:r>
        <w:rPr>
          <w:sz w:val="24"/>
        </w:rPr>
        <w:t>a site comprises an existing amenity, the development of such land</w:t>
      </w:r>
      <w:r>
        <w:rPr>
          <w:spacing w:val="40"/>
          <w:sz w:val="24"/>
        </w:rPr>
        <w:t> </w:t>
      </w:r>
      <w:r>
        <w:rPr>
          <w:sz w:val="24"/>
        </w:rPr>
        <w:t>shall necessarily comprise minimum BUA equal to the existing amenity.</w:t>
      </w:r>
      <w:r>
        <w:rPr>
          <w:spacing w:val="40"/>
          <w:sz w:val="24"/>
        </w:rPr>
        <w:t> </w:t>
      </w:r>
      <w:r>
        <w:rPr>
          <w:sz w:val="24"/>
        </w:rPr>
        <w:t>Any</w:t>
      </w:r>
      <w:r>
        <w:rPr>
          <w:spacing w:val="40"/>
          <w:sz w:val="24"/>
        </w:rPr>
        <w:t> </w:t>
      </w:r>
      <w:r>
        <w:rPr>
          <w:sz w:val="24"/>
        </w:rPr>
        <w:t>balance</w:t>
      </w:r>
      <w:r>
        <w:rPr>
          <w:spacing w:val="40"/>
          <w:sz w:val="24"/>
        </w:rPr>
        <w:t> </w:t>
      </w:r>
      <w:r>
        <w:rPr>
          <w:sz w:val="24"/>
        </w:rPr>
        <w:t>permissible</w:t>
      </w:r>
      <w:r>
        <w:rPr>
          <w:spacing w:val="40"/>
          <w:sz w:val="24"/>
        </w:rPr>
        <w:t> </w:t>
      </w:r>
      <w:r>
        <w:rPr>
          <w:sz w:val="24"/>
        </w:rPr>
        <w:t>BUA,</w:t>
      </w:r>
      <w:r>
        <w:rPr>
          <w:spacing w:val="40"/>
          <w:sz w:val="24"/>
        </w:rPr>
        <w:t> </w:t>
      </w:r>
      <w:r>
        <w:rPr>
          <w:sz w:val="24"/>
        </w:rPr>
        <w:t>thereafter,</w:t>
      </w:r>
      <w:r>
        <w:rPr>
          <w:spacing w:val="40"/>
          <w:sz w:val="24"/>
        </w:rPr>
        <w:t> </w:t>
      </w:r>
      <w:r>
        <w:rPr>
          <w:sz w:val="24"/>
        </w:rPr>
        <w:t>may</w:t>
      </w:r>
      <w:r>
        <w:rPr>
          <w:spacing w:val="40"/>
          <w:sz w:val="24"/>
        </w:rPr>
        <w:t> </w:t>
      </w:r>
      <w:r>
        <w:rPr>
          <w:sz w:val="24"/>
        </w:rPr>
        <w:t>be</w:t>
      </w:r>
      <w:r>
        <w:rPr>
          <w:spacing w:val="40"/>
          <w:sz w:val="24"/>
        </w:rPr>
        <w:t> </w:t>
      </w:r>
      <w:r>
        <w:rPr>
          <w:sz w:val="24"/>
        </w:rPr>
        <w:t>put</w:t>
      </w:r>
      <w:r>
        <w:rPr>
          <w:spacing w:val="40"/>
          <w:sz w:val="24"/>
        </w:rPr>
        <w:t> </w:t>
      </w:r>
      <w:r>
        <w:rPr>
          <w:sz w:val="24"/>
        </w:rPr>
        <w:t>to use in conformity with development otherwise permissible in these </w:t>
      </w:r>
      <w:r>
        <w:rPr>
          <w:spacing w:val="-2"/>
          <w:sz w:val="24"/>
        </w:rPr>
        <w:t>Regulations.</w:t>
      </w:r>
    </w:p>
    <w:p>
      <w:pPr>
        <w:pStyle w:val="BodyText"/>
        <w:spacing w:before="241"/>
        <w:ind w:left="1800" w:right="1091"/>
      </w:pPr>
      <w:r>
        <w:rPr/>
        <w:t>In</w:t>
      </w:r>
      <w:r>
        <w:rPr>
          <w:spacing w:val="40"/>
        </w:rPr>
        <w:t> </w:t>
      </w:r>
      <w:r>
        <w:rPr/>
        <w:t>Development</w:t>
      </w:r>
      <w:r>
        <w:rPr>
          <w:spacing w:val="40"/>
        </w:rPr>
        <w:t> </w:t>
      </w:r>
      <w:r>
        <w:rPr/>
        <w:t>Plan</w:t>
      </w:r>
      <w:r>
        <w:rPr>
          <w:spacing w:val="40"/>
        </w:rPr>
        <w:t> </w:t>
      </w:r>
      <w:r>
        <w:rPr/>
        <w:t>if</w:t>
      </w:r>
      <w:r>
        <w:rPr>
          <w:spacing w:val="40"/>
        </w:rPr>
        <w:t> </w:t>
      </w:r>
      <w:r>
        <w:rPr/>
        <w:t>plot</w:t>
      </w:r>
      <w:r>
        <w:rPr>
          <w:spacing w:val="40"/>
        </w:rPr>
        <w:t> </w:t>
      </w:r>
      <w:r>
        <w:rPr/>
        <w:t>is</w:t>
      </w:r>
      <w:r>
        <w:rPr>
          <w:spacing w:val="40"/>
        </w:rPr>
        <w:t> </w:t>
      </w:r>
      <w:r>
        <w:rPr/>
        <w:t>shown</w:t>
      </w:r>
      <w:r>
        <w:rPr>
          <w:spacing w:val="40"/>
        </w:rPr>
        <w:t> </w:t>
      </w:r>
      <w:r>
        <w:rPr/>
        <w:t>as</w:t>
      </w:r>
      <w:r>
        <w:rPr>
          <w:spacing w:val="40"/>
        </w:rPr>
        <w:t> </w:t>
      </w:r>
      <w:r>
        <w:rPr/>
        <w:t>existing</w:t>
      </w:r>
      <w:r>
        <w:rPr>
          <w:spacing w:val="40"/>
        </w:rPr>
        <w:t> </w:t>
      </w:r>
      <w:r>
        <w:rPr/>
        <w:t>amenity</w:t>
      </w:r>
      <w:r>
        <w:rPr>
          <w:spacing w:val="40"/>
        </w:rPr>
        <w:t> </w:t>
      </w:r>
      <w:r>
        <w:rPr/>
        <w:t>for</w:t>
      </w:r>
      <w:r>
        <w:rPr>
          <w:spacing w:val="40"/>
        </w:rPr>
        <w:t> </w:t>
      </w:r>
      <w:r>
        <w:rPr/>
        <w:t>a public</w:t>
      </w:r>
      <w:r>
        <w:rPr>
          <w:spacing w:val="40"/>
        </w:rPr>
        <w:t> </w:t>
      </w:r>
      <w:r>
        <w:rPr/>
        <w:t>purpose</w:t>
      </w:r>
      <w:r>
        <w:rPr>
          <w:spacing w:val="40"/>
        </w:rPr>
        <w:t> </w:t>
      </w:r>
      <w:r>
        <w:rPr/>
        <w:t>with</w:t>
      </w:r>
      <w:r>
        <w:rPr>
          <w:spacing w:val="40"/>
        </w:rPr>
        <w:t> </w:t>
      </w:r>
      <w:r>
        <w:rPr/>
        <w:t>plus</w:t>
      </w:r>
      <w:r>
        <w:rPr>
          <w:spacing w:val="40"/>
        </w:rPr>
        <w:t> </w:t>
      </w:r>
      <w:r>
        <w:rPr/>
        <w:t>(+)</w:t>
      </w:r>
      <w:r>
        <w:rPr>
          <w:spacing w:val="40"/>
        </w:rPr>
        <w:t> </w:t>
      </w:r>
      <w:r>
        <w:rPr/>
        <w:t>sign,</w:t>
      </w:r>
      <w:r>
        <w:rPr>
          <w:spacing w:val="40"/>
        </w:rPr>
        <w:t> </w:t>
      </w:r>
      <w:r>
        <w:rPr/>
        <w:t>then</w:t>
      </w:r>
      <w:r>
        <w:rPr>
          <w:spacing w:val="40"/>
        </w:rPr>
        <w:t> </w:t>
      </w:r>
      <w:r>
        <w:rPr/>
        <w:t>existing</w:t>
      </w:r>
      <w:r>
        <w:rPr>
          <w:spacing w:val="40"/>
        </w:rPr>
        <w:t> </w:t>
      </w:r>
      <w:r>
        <w:rPr/>
        <w:t>authorized</w:t>
      </w:r>
      <w:r>
        <w:rPr>
          <w:spacing w:val="40"/>
        </w:rPr>
        <w:t> </w:t>
      </w:r>
      <w:r>
        <w:rPr/>
        <w:t>BUA which</w:t>
      </w:r>
      <w:r>
        <w:rPr>
          <w:spacing w:val="40"/>
        </w:rPr>
        <w:t> </w:t>
      </w:r>
      <w:r>
        <w:rPr/>
        <w:t>is</w:t>
      </w:r>
      <w:r>
        <w:rPr>
          <w:spacing w:val="40"/>
        </w:rPr>
        <w:t> </w:t>
      </w:r>
      <w:r>
        <w:rPr/>
        <w:t>being</w:t>
      </w:r>
      <w:r>
        <w:rPr>
          <w:spacing w:val="40"/>
        </w:rPr>
        <w:t> </w:t>
      </w:r>
      <w:r>
        <w:rPr/>
        <w:t>used</w:t>
      </w:r>
      <w:r>
        <w:rPr>
          <w:spacing w:val="40"/>
        </w:rPr>
        <w:t> </w:t>
      </w:r>
      <w:r>
        <w:rPr/>
        <w:t>for</w:t>
      </w:r>
      <w:r>
        <w:rPr>
          <w:spacing w:val="40"/>
        </w:rPr>
        <w:t> </w:t>
      </w:r>
      <w:r>
        <w:rPr/>
        <w:t>the</w:t>
      </w:r>
      <w:r>
        <w:rPr>
          <w:spacing w:val="40"/>
        </w:rPr>
        <w:t> </w:t>
      </w:r>
      <w:r>
        <w:rPr/>
        <w:t>said</w:t>
      </w:r>
      <w:r>
        <w:rPr>
          <w:spacing w:val="40"/>
        </w:rPr>
        <w:t> </w:t>
      </w:r>
      <w:r>
        <w:rPr/>
        <w:t>public</w:t>
      </w:r>
      <w:r>
        <w:rPr>
          <w:spacing w:val="40"/>
        </w:rPr>
        <w:t> </w:t>
      </w:r>
      <w:r>
        <w:rPr/>
        <w:t>purpose</w:t>
      </w:r>
      <w:r>
        <w:rPr>
          <w:spacing w:val="40"/>
        </w:rPr>
        <w:t> </w:t>
      </w:r>
      <w:r>
        <w:rPr/>
        <w:t>shall</w:t>
      </w:r>
      <w:r>
        <w:rPr>
          <w:spacing w:val="40"/>
        </w:rPr>
        <w:t> </w:t>
      </w:r>
      <w:r>
        <w:rPr/>
        <w:t>be maintained</w:t>
      </w:r>
      <w:r>
        <w:rPr>
          <w:spacing w:val="80"/>
        </w:rPr>
        <w:t> </w:t>
      </w:r>
      <w:r>
        <w:rPr/>
        <w:t>during</w:t>
      </w:r>
      <w:r>
        <w:rPr>
          <w:spacing w:val="80"/>
        </w:rPr>
        <w:t> </w:t>
      </w:r>
      <w:r>
        <w:rPr/>
        <w:t>reconstruction/redevelopment</w:t>
      </w:r>
      <w:r>
        <w:rPr>
          <w:spacing w:val="80"/>
        </w:rPr>
        <w:t> </w:t>
      </w:r>
      <w:r>
        <w:rPr/>
        <w:t>of</w:t>
      </w:r>
      <w:r>
        <w:rPr>
          <w:spacing w:val="80"/>
        </w:rPr>
        <w:t> </w:t>
      </w:r>
      <w:r>
        <w:rPr/>
        <w:t>said</w:t>
      </w:r>
      <w:r>
        <w:rPr>
          <w:spacing w:val="80"/>
        </w:rPr>
        <w:t> </w:t>
      </w:r>
      <w:r>
        <w:rPr/>
        <w:t>plot.</w:t>
      </w:r>
    </w:p>
    <w:p>
      <w:pPr>
        <w:pStyle w:val="BodyText"/>
        <w:spacing w:before="240"/>
        <w:ind w:left="1800" w:right="1090"/>
      </w:pPr>
      <w:r>
        <w:rPr/>
        <w:t>Provided that where the Commissioner with special written permission,</w:t>
      </w:r>
      <w:r>
        <w:rPr>
          <w:spacing w:val="40"/>
        </w:rPr>
        <w:t> </w:t>
      </w:r>
      <w:r>
        <w:rPr/>
        <w:t>decides</w:t>
      </w:r>
      <w:r>
        <w:rPr>
          <w:spacing w:val="40"/>
        </w:rPr>
        <w:t> </w:t>
      </w:r>
      <w:r>
        <w:rPr/>
        <w:t>that</w:t>
      </w:r>
      <w:r>
        <w:rPr>
          <w:spacing w:val="80"/>
        </w:rPr>
        <w:t> </w:t>
      </w:r>
      <w:r>
        <w:rPr/>
        <w:t>the</w:t>
      </w:r>
      <w:r>
        <w:rPr>
          <w:spacing w:val="80"/>
        </w:rPr>
        <w:t> </w:t>
      </w:r>
      <w:r>
        <w:rPr/>
        <w:t>buildable</w:t>
      </w:r>
      <w:r>
        <w:rPr>
          <w:spacing w:val="80"/>
        </w:rPr>
        <w:t> </w:t>
      </w:r>
      <w:r>
        <w:rPr/>
        <w:t>existing</w:t>
      </w:r>
      <w:r>
        <w:rPr>
          <w:spacing w:val="80"/>
        </w:rPr>
        <w:t> </w:t>
      </w:r>
      <w:r>
        <w:rPr/>
        <w:t>amenity</w:t>
      </w:r>
      <w:r>
        <w:rPr>
          <w:spacing w:val="80"/>
        </w:rPr>
        <w:t> </w:t>
      </w:r>
      <w:r>
        <w:rPr/>
        <w:t>is</w:t>
      </w:r>
      <w:r>
        <w:rPr>
          <w:spacing w:val="80"/>
        </w:rPr>
        <w:t> </w:t>
      </w:r>
      <w:r>
        <w:rPr/>
        <w:t>no longer</w:t>
      </w:r>
      <w:r>
        <w:rPr>
          <w:spacing w:val="40"/>
        </w:rPr>
        <w:t> </w:t>
      </w:r>
      <w:r>
        <w:rPr/>
        <w:t>required</w:t>
      </w:r>
      <w:r>
        <w:rPr>
          <w:spacing w:val="40"/>
        </w:rPr>
        <w:t> </w:t>
      </w:r>
      <w:r>
        <w:rPr/>
        <w:t>in</w:t>
      </w:r>
      <w:r>
        <w:rPr>
          <w:spacing w:val="40"/>
        </w:rPr>
        <w:t> </w:t>
      </w:r>
      <w:r>
        <w:rPr/>
        <w:t>view</w:t>
      </w:r>
      <w:r>
        <w:rPr>
          <w:spacing w:val="40"/>
        </w:rPr>
        <w:t> </w:t>
      </w:r>
      <w:r>
        <w:rPr/>
        <w:t>of</w:t>
      </w:r>
      <w:r>
        <w:rPr>
          <w:spacing w:val="40"/>
        </w:rPr>
        <w:t> </w:t>
      </w:r>
      <w:r>
        <w:rPr/>
        <w:t>the</w:t>
      </w:r>
      <w:r>
        <w:rPr>
          <w:spacing w:val="40"/>
        </w:rPr>
        <w:t> </w:t>
      </w:r>
      <w:r>
        <w:rPr/>
        <w:t>available</w:t>
      </w:r>
      <w:r>
        <w:rPr>
          <w:spacing w:val="40"/>
        </w:rPr>
        <w:t> </w:t>
      </w:r>
      <w:r>
        <w:rPr/>
        <w:t>amenity</w:t>
      </w:r>
      <w:r>
        <w:rPr>
          <w:spacing w:val="40"/>
        </w:rPr>
        <w:t> </w:t>
      </w:r>
      <w:r>
        <w:rPr/>
        <w:t>in</w:t>
      </w:r>
      <w:r>
        <w:rPr>
          <w:spacing w:val="40"/>
        </w:rPr>
        <w:t> </w:t>
      </w:r>
      <w:r>
        <w:rPr/>
        <w:t>the</w:t>
      </w:r>
      <w:r>
        <w:rPr>
          <w:spacing w:val="40"/>
        </w:rPr>
        <w:t> </w:t>
      </w:r>
      <w:r>
        <w:rPr/>
        <w:t>vicinity,</w:t>
      </w:r>
      <w:r>
        <w:rPr>
          <w:spacing w:val="40"/>
        </w:rPr>
        <w:t> </w:t>
      </w:r>
      <w:r>
        <w:rPr/>
        <w:t>then the amenity shall be developed for other public purpose considering</w:t>
      </w:r>
      <w:r>
        <w:rPr>
          <w:spacing w:val="80"/>
        </w:rPr>
        <w:t> </w:t>
      </w:r>
      <w:r>
        <w:rPr/>
        <w:t>the</w:t>
      </w:r>
      <w:r>
        <w:rPr>
          <w:spacing w:val="80"/>
        </w:rPr>
        <w:t> </w:t>
      </w:r>
      <w:r>
        <w:rPr/>
        <w:t>deficiency</w:t>
      </w:r>
      <w:r>
        <w:rPr>
          <w:spacing w:val="80"/>
        </w:rPr>
        <w:t> </w:t>
      </w:r>
      <w:r>
        <w:rPr/>
        <w:t>in</w:t>
      </w:r>
      <w:r>
        <w:rPr>
          <w:spacing w:val="80"/>
        </w:rPr>
        <w:t> </w:t>
      </w:r>
      <w:r>
        <w:rPr/>
        <w:t>the</w:t>
      </w:r>
      <w:r>
        <w:rPr>
          <w:spacing w:val="80"/>
        </w:rPr>
        <w:t> </w:t>
      </w:r>
      <w:r>
        <w:rPr/>
        <w:t>administrative</w:t>
      </w:r>
      <w:r>
        <w:rPr>
          <w:spacing w:val="80"/>
        </w:rPr>
        <w:t> </w:t>
      </w:r>
      <w:r>
        <w:rPr/>
        <w:t>ward.</w:t>
      </w:r>
    </w:p>
    <w:p>
      <w:pPr>
        <w:pStyle w:val="BodyText"/>
        <w:spacing w:before="240"/>
        <w:ind w:left="1800" w:right="1083" w:firstLine="720"/>
      </w:pPr>
      <w:r>
        <w:rPr/>
        <w:t>Provided further that if a land is shown as existing amenity pursuant</w:t>
      </w:r>
      <w:r>
        <w:rPr>
          <w:spacing w:val="40"/>
        </w:rPr>
        <w:t> </w:t>
      </w:r>
      <w:r>
        <w:rPr/>
        <w:t>to</w:t>
      </w:r>
      <w:r>
        <w:rPr>
          <w:spacing w:val="40"/>
        </w:rPr>
        <w:t> </w:t>
      </w:r>
      <w:r>
        <w:rPr/>
        <w:t>valid</w:t>
      </w:r>
      <w:r>
        <w:rPr>
          <w:spacing w:val="40"/>
        </w:rPr>
        <w:t> </w:t>
      </w:r>
      <w:r>
        <w:rPr/>
        <w:t>development</w:t>
      </w:r>
      <w:r>
        <w:rPr>
          <w:spacing w:val="40"/>
        </w:rPr>
        <w:t> </w:t>
      </w:r>
      <w:r>
        <w:rPr/>
        <w:t>permission</w:t>
      </w:r>
      <w:r>
        <w:rPr>
          <w:spacing w:val="40"/>
        </w:rPr>
        <w:t> </w:t>
      </w:r>
      <w:r>
        <w:rPr/>
        <w:t>(except</w:t>
      </w:r>
      <w:r>
        <w:rPr>
          <w:spacing w:val="40"/>
        </w:rPr>
        <w:t> </w:t>
      </w:r>
      <w:r>
        <w:rPr/>
        <w:t>in</w:t>
      </w:r>
      <w:r>
        <w:rPr>
          <w:spacing w:val="40"/>
        </w:rPr>
        <w:t> </w:t>
      </w:r>
      <w:r>
        <w:rPr/>
        <w:t>case</w:t>
      </w:r>
      <w:r>
        <w:rPr>
          <w:spacing w:val="40"/>
        </w:rPr>
        <w:t> </w:t>
      </w:r>
      <w:r>
        <w:rPr/>
        <w:t>of</w:t>
      </w:r>
      <w:r>
        <w:rPr>
          <w:spacing w:val="40"/>
        </w:rPr>
        <w:t> </w:t>
      </w:r>
      <w:r>
        <w:rPr/>
        <w:t>PPL), as</w:t>
      </w:r>
      <w:r>
        <w:rPr>
          <w:spacing w:val="40"/>
        </w:rPr>
        <w:t> </w:t>
      </w:r>
      <w:r>
        <w:rPr/>
        <w:t>per</w:t>
      </w:r>
      <w:r>
        <w:rPr>
          <w:spacing w:val="40"/>
        </w:rPr>
        <w:t> </w:t>
      </w:r>
      <w:r>
        <w:rPr/>
        <w:t>LOI</w:t>
      </w:r>
      <w:r>
        <w:rPr>
          <w:spacing w:val="40"/>
        </w:rPr>
        <w:t> </w:t>
      </w:r>
      <w:r>
        <w:rPr/>
        <w:t>issued/</w:t>
      </w:r>
      <w:r>
        <w:rPr>
          <w:spacing w:val="40"/>
        </w:rPr>
        <w:t> </w:t>
      </w:r>
      <w:r>
        <w:rPr/>
        <w:t>granted</w:t>
      </w:r>
      <w:r>
        <w:rPr>
          <w:spacing w:val="40"/>
        </w:rPr>
        <w:t> </w:t>
      </w:r>
      <w:r>
        <w:rPr/>
        <w:t>under</w:t>
      </w:r>
      <w:r>
        <w:rPr>
          <w:spacing w:val="40"/>
        </w:rPr>
        <w:t> </w:t>
      </w:r>
      <w:r>
        <w:rPr/>
        <w:t>the</w:t>
      </w:r>
      <w:r>
        <w:rPr>
          <w:spacing w:val="40"/>
        </w:rPr>
        <w:t> </w:t>
      </w:r>
      <w:r>
        <w:rPr/>
        <w:t>principle</w:t>
      </w:r>
      <w:r>
        <w:rPr>
          <w:spacing w:val="40"/>
        </w:rPr>
        <w:t> </w:t>
      </w:r>
      <w:r>
        <w:rPr/>
        <w:t>of</w:t>
      </w:r>
      <w:r>
        <w:rPr>
          <w:spacing w:val="40"/>
        </w:rPr>
        <w:t> </w:t>
      </w:r>
      <w:r>
        <w:rPr/>
        <w:t>AR/I</w:t>
      </w:r>
      <w:r>
        <w:rPr>
          <w:spacing w:val="40"/>
        </w:rPr>
        <w:t> </w:t>
      </w:r>
      <w:r>
        <w:rPr/>
        <w:t>to</w:t>
      </w:r>
      <w:r>
        <w:rPr>
          <w:spacing w:val="40"/>
        </w:rPr>
        <w:t> </w:t>
      </w:r>
      <w:r>
        <w:rPr/>
        <w:t>R</w:t>
      </w:r>
      <w:r>
        <w:rPr>
          <w:spacing w:val="40"/>
        </w:rPr>
        <w:t> </w:t>
      </w:r>
      <w:r>
        <w:rPr/>
        <w:t>&amp;C, prior to coming into force of these Regulations, and when such amenity is not developed/under development on site, then at the option of owner /developer, the land under reference shall be developed as per the development permission granted or may be developed</w:t>
      </w:r>
      <w:r>
        <w:rPr>
          <w:spacing w:val="40"/>
        </w:rPr>
        <w:t> </w:t>
      </w:r>
      <w:r>
        <w:rPr/>
        <w:t>under</w:t>
      </w:r>
      <w:r>
        <w:rPr>
          <w:spacing w:val="40"/>
        </w:rPr>
        <w:t> </w:t>
      </w:r>
      <w:r>
        <w:rPr/>
        <w:t>these</w:t>
      </w:r>
      <w:r>
        <w:rPr>
          <w:spacing w:val="40"/>
        </w:rPr>
        <w:t> </w:t>
      </w:r>
      <w:r>
        <w:rPr/>
        <w:t>regulations</w:t>
      </w:r>
      <w:r>
        <w:rPr>
          <w:spacing w:val="40"/>
        </w:rPr>
        <w:t> </w:t>
      </w:r>
      <w:r>
        <w:rPr/>
        <w:t>considering</w:t>
      </w:r>
      <w:r>
        <w:rPr>
          <w:spacing w:val="40"/>
        </w:rPr>
        <w:t> </w:t>
      </w:r>
      <w:r>
        <w:rPr/>
        <w:t>reservation</w:t>
      </w:r>
      <w:r>
        <w:rPr>
          <w:spacing w:val="40"/>
        </w:rPr>
        <w:t> </w:t>
      </w:r>
      <w:r>
        <w:rPr/>
        <w:t>area</w:t>
      </w:r>
      <w:r>
        <w:rPr>
          <w:spacing w:val="40"/>
        </w:rPr>
        <w:t> </w:t>
      </w:r>
      <w:r>
        <w:rPr/>
        <w:t>as per</w:t>
      </w:r>
      <w:r>
        <w:rPr>
          <w:spacing w:val="40"/>
        </w:rPr>
        <w:t> </w:t>
      </w:r>
      <w:r>
        <w:rPr/>
        <w:t>then</w:t>
      </w:r>
      <w:r>
        <w:rPr>
          <w:spacing w:val="40"/>
        </w:rPr>
        <w:t> </w:t>
      </w:r>
      <w:r>
        <w:rPr/>
        <w:t>DP.</w:t>
      </w:r>
      <w:r>
        <w:rPr>
          <w:spacing w:val="80"/>
        </w:rPr>
        <w:t> </w:t>
      </w:r>
      <w:r>
        <w:rPr/>
        <w:t>The</w:t>
      </w:r>
      <w:r>
        <w:rPr>
          <w:spacing w:val="40"/>
        </w:rPr>
        <w:t> </w:t>
      </w:r>
      <w:r>
        <w:rPr/>
        <w:t>Commissioner</w:t>
      </w:r>
      <w:r>
        <w:rPr>
          <w:spacing w:val="80"/>
        </w:rPr>
        <w:t> </w:t>
      </w:r>
      <w:r>
        <w:rPr/>
        <w:t>with</w:t>
      </w:r>
      <w:r>
        <w:rPr>
          <w:spacing w:val="40"/>
        </w:rPr>
        <w:t> </w:t>
      </w:r>
      <w:r>
        <w:rPr/>
        <w:t>the</w:t>
      </w:r>
      <w:r>
        <w:rPr>
          <w:spacing w:val="40"/>
        </w:rPr>
        <w:t> </w:t>
      </w:r>
      <w:r>
        <w:rPr/>
        <w:t>special</w:t>
      </w:r>
      <w:r>
        <w:rPr>
          <w:spacing w:val="40"/>
        </w:rPr>
        <w:t> </w:t>
      </w:r>
      <w:r>
        <w:rPr/>
        <w:t>written</w:t>
      </w:r>
      <w:r>
        <w:rPr>
          <w:spacing w:val="40"/>
        </w:rPr>
        <w:t> </w:t>
      </w:r>
      <w:r>
        <w:rPr/>
        <w:t>permission</w:t>
      </w:r>
      <w:r>
        <w:rPr>
          <w:spacing w:val="40"/>
        </w:rPr>
        <w:t> </w:t>
      </w:r>
      <w:r>
        <w:rPr/>
        <w:t>may</w:t>
      </w:r>
      <w:r>
        <w:rPr>
          <w:spacing w:val="40"/>
        </w:rPr>
        <w:t> </w:t>
      </w:r>
      <w:r>
        <w:rPr/>
        <w:t>decide</w:t>
      </w:r>
      <w:r>
        <w:rPr>
          <w:spacing w:val="40"/>
        </w:rPr>
        <w:t> </w:t>
      </w:r>
      <w:r>
        <w:rPr/>
        <w:t>that</w:t>
      </w:r>
      <w:r>
        <w:rPr>
          <w:spacing w:val="40"/>
        </w:rPr>
        <w:t> </w:t>
      </w:r>
      <w:r>
        <w:rPr/>
        <w:t>the</w:t>
      </w:r>
      <w:r>
        <w:rPr>
          <w:spacing w:val="40"/>
        </w:rPr>
        <w:t> </w:t>
      </w:r>
      <w:r>
        <w:rPr/>
        <w:t>said</w:t>
      </w:r>
      <w:r>
        <w:rPr>
          <w:spacing w:val="40"/>
        </w:rPr>
        <w:t> </w:t>
      </w:r>
      <w:r>
        <w:rPr/>
        <w:t>amenity</w:t>
      </w:r>
      <w:r>
        <w:rPr>
          <w:spacing w:val="40"/>
        </w:rPr>
        <w:t> </w:t>
      </w:r>
      <w:r>
        <w:rPr/>
        <w:t>if</w:t>
      </w:r>
      <w:r>
        <w:rPr>
          <w:spacing w:val="40"/>
        </w:rPr>
        <w:t> </w:t>
      </w:r>
      <w:r>
        <w:rPr/>
        <w:t>no</w:t>
      </w:r>
      <w:r>
        <w:rPr>
          <w:spacing w:val="40"/>
        </w:rPr>
        <w:t> </w:t>
      </w:r>
      <w:r>
        <w:rPr/>
        <w:t>longer</w:t>
      </w:r>
      <w:r>
        <w:rPr>
          <w:spacing w:val="40"/>
        </w:rPr>
        <w:t> </w:t>
      </w:r>
      <w:r>
        <w:rPr/>
        <w:t>required in</w:t>
      </w:r>
      <w:r>
        <w:rPr>
          <w:spacing w:val="40"/>
        </w:rPr>
        <w:t> </w:t>
      </w:r>
      <w:r>
        <w:rPr/>
        <w:t>view</w:t>
      </w:r>
      <w:r>
        <w:rPr>
          <w:spacing w:val="40"/>
        </w:rPr>
        <w:t> </w:t>
      </w:r>
      <w:r>
        <w:rPr/>
        <w:t>of</w:t>
      </w:r>
      <w:r>
        <w:rPr>
          <w:spacing w:val="40"/>
        </w:rPr>
        <w:t> </w:t>
      </w:r>
      <w:r>
        <w:rPr/>
        <w:t>the</w:t>
      </w:r>
      <w:r>
        <w:rPr>
          <w:spacing w:val="40"/>
        </w:rPr>
        <w:t> </w:t>
      </w:r>
      <w:r>
        <w:rPr/>
        <w:t>available</w:t>
      </w:r>
      <w:r>
        <w:rPr>
          <w:spacing w:val="40"/>
        </w:rPr>
        <w:t> </w:t>
      </w:r>
      <w:r>
        <w:rPr/>
        <w:t>amenity</w:t>
      </w:r>
      <w:r>
        <w:rPr>
          <w:spacing w:val="40"/>
        </w:rPr>
        <w:t> </w:t>
      </w:r>
      <w:r>
        <w:rPr/>
        <w:t>in</w:t>
      </w:r>
      <w:r>
        <w:rPr>
          <w:spacing w:val="40"/>
        </w:rPr>
        <w:t> </w:t>
      </w:r>
      <w:r>
        <w:rPr/>
        <w:t>the</w:t>
      </w:r>
      <w:r>
        <w:rPr>
          <w:spacing w:val="40"/>
        </w:rPr>
        <w:t> </w:t>
      </w:r>
      <w:r>
        <w:rPr/>
        <w:t>vicinity,</w:t>
      </w:r>
      <w:r>
        <w:rPr>
          <w:spacing w:val="40"/>
        </w:rPr>
        <w:t> </w:t>
      </w:r>
      <w:r>
        <w:rPr/>
        <w:t>then</w:t>
      </w:r>
      <w:r>
        <w:rPr>
          <w:spacing w:val="40"/>
        </w:rPr>
        <w:t> </w:t>
      </w:r>
      <w:r>
        <w:rPr/>
        <w:t>the</w:t>
      </w:r>
      <w:r>
        <w:rPr>
          <w:spacing w:val="40"/>
        </w:rPr>
        <w:t> </w:t>
      </w:r>
      <w:r>
        <w:rPr/>
        <w:t>amenity shall</w:t>
      </w:r>
      <w:r>
        <w:rPr>
          <w:spacing w:val="40"/>
        </w:rPr>
        <w:t> </w:t>
      </w:r>
      <w:r>
        <w:rPr/>
        <w:t>be</w:t>
      </w:r>
      <w:r>
        <w:rPr>
          <w:spacing w:val="40"/>
        </w:rPr>
        <w:t> </w:t>
      </w:r>
      <w:r>
        <w:rPr/>
        <w:t>developed</w:t>
      </w:r>
      <w:r>
        <w:rPr>
          <w:spacing w:val="40"/>
        </w:rPr>
        <w:t> </w:t>
      </w:r>
      <w:r>
        <w:rPr/>
        <w:t>for</w:t>
      </w:r>
      <w:r>
        <w:rPr>
          <w:spacing w:val="40"/>
        </w:rPr>
        <w:t> </w:t>
      </w:r>
      <w:r>
        <w:rPr/>
        <w:t>other</w:t>
      </w:r>
      <w:r>
        <w:rPr>
          <w:spacing w:val="40"/>
        </w:rPr>
        <w:t> </w:t>
      </w:r>
      <w:r>
        <w:rPr/>
        <w:t>public</w:t>
      </w:r>
      <w:r>
        <w:rPr>
          <w:spacing w:val="40"/>
        </w:rPr>
        <w:t> </w:t>
      </w:r>
      <w:r>
        <w:rPr/>
        <w:t>purpose</w:t>
      </w:r>
      <w:r>
        <w:rPr>
          <w:spacing w:val="40"/>
        </w:rPr>
        <w:t> </w:t>
      </w:r>
      <w:r>
        <w:rPr/>
        <w:t>considering</w:t>
      </w:r>
      <w:r>
        <w:rPr>
          <w:spacing w:val="40"/>
        </w:rPr>
        <w:t> </w:t>
      </w:r>
      <w:r>
        <w:rPr/>
        <w:t>the deficiency</w:t>
      </w:r>
      <w:r>
        <w:rPr>
          <w:spacing w:val="40"/>
        </w:rPr>
        <w:t> </w:t>
      </w:r>
      <w:r>
        <w:rPr/>
        <w:t>in</w:t>
      </w:r>
      <w:r>
        <w:rPr>
          <w:spacing w:val="40"/>
        </w:rPr>
        <w:t> </w:t>
      </w:r>
      <w:r>
        <w:rPr/>
        <w:t>the</w:t>
      </w:r>
      <w:r>
        <w:rPr>
          <w:spacing w:val="40"/>
        </w:rPr>
        <w:t> </w:t>
      </w:r>
      <w:r>
        <w:rPr/>
        <w:t>administrative</w:t>
      </w:r>
      <w:r>
        <w:rPr>
          <w:spacing w:val="40"/>
        </w:rPr>
        <w:t> </w:t>
      </w:r>
      <w:r>
        <w:rPr/>
        <w:t>ward.</w:t>
      </w:r>
    </w:p>
    <w:p>
      <w:pPr>
        <w:pStyle w:val="BodyText"/>
        <w:ind w:left="1800" w:right="1085"/>
      </w:pPr>
      <w:r>
        <w:rPr/>
        <w:t>Provided</w:t>
      </w:r>
      <w:r>
        <w:rPr>
          <w:spacing w:val="40"/>
        </w:rPr>
        <w:t> </w:t>
      </w:r>
      <w:r>
        <w:rPr/>
        <w:t>further</w:t>
      </w:r>
      <w:r>
        <w:rPr>
          <w:spacing w:val="40"/>
        </w:rPr>
        <w:t> </w:t>
      </w:r>
      <w:r>
        <w:rPr/>
        <w:t>that,</w:t>
      </w:r>
      <w:r>
        <w:rPr>
          <w:spacing w:val="40"/>
        </w:rPr>
        <w:t> </w:t>
      </w:r>
      <w:r>
        <w:rPr/>
        <w:t>on</w:t>
      </w:r>
      <w:r>
        <w:rPr>
          <w:spacing w:val="40"/>
        </w:rPr>
        <w:t> </w:t>
      </w:r>
      <w:r>
        <w:rPr/>
        <w:t>surrender</w:t>
      </w:r>
      <w:r>
        <w:rPr>
          <w:spacing w:val="40"/>
        </w:rPr>
        <w:t> </w:t>
      </w:r>
      <w:r>
        <w:rPr/>
        <w:t>of</w:t>
      </w:r>
      <w:r>
        <w:rPr>
          <w:spacing w:val="40"/>
        </w:rPr>
        <w:t> </w:t>
      </w:r>
      <w:r>
        <w:rPr/>
        <w:t>tenancy</w:t>
      </w:r>
      <w:r>
        <w:rPr>
          <w:spacing w:val="40"/>
        </w:rPr>
        <w:t> </w:t>
      </w:r>
      <w:r>
        <w:rPr/>
        <w:t>by MCGM/Appropriate</w:t>
      </w:r>
      <w:r>
        <w:rPr>
          <w:spacing w:val="40"/>
        </w:rPr>
        <w:t> </w:t>
      </w:r>
      <w:r>
        <w:rPr/>
        <w:t>Authority</w:t>
      </w:r>
      <w:r>
        <w:rPr>
          <w:spacing w:val="40"/>
        </w:rPr>
        <w:t> </w:t>
      </w:r>
      <w:r>
        <w:rPr/>
        <w:t>in</w:t>
      </w:r>
      <w:r>
        <w:rPr>
          <w:spacing w:val="80"/>
        </w:rPr>
        <w:t> </w:t>
      </w:r>
      <w:r>
        <w:rPr/>
        <w:t>a</w:t>
      </w:r>
      <w:r>
        <w:rPr>
          <w:spacing w:val="40"/>
        </w:rPr>
        <w:t> </w:t>
      </w:r>
      <w:r>
        <w:rPr/>
        <w:t>private</w:t>
      </w:r>
      <w:r>
        <w:rPr>
          <w:spacing w:val="40"/>
        </w:rPr>
        <w:t> </w:t>
      </w:r>
      <w:r>
        <w:rPr/>
        <w:t>existing</w:t>
      </w:r>
      <w:r>
        <w:rPr>
          <w:spacing w:val="80"/>
        </w:rPr>
        <w:t> </w:t>
      </w:r>
      <w:r>
        <w:rPr/>
        <w:t>amenity</w:t>
      </w:r>
      <w:r>
        <w:rPr>
          <w:spacing w:val="80"/>
        </w:rPr>
        <w:t> </w:t>
      </w:r>
      <w:r>
        <w:rPr/>
        <w:t>plot, the</w:t>
      </w:r>
      <w:r>
        <w:rPr>
          <w:spacing w:val="29"/>
        </w:rPr>
        <w:t> </w:t>
      </w:r>
      <w:r>
        <w:rPr/>
        <w:t>existing</w:t>
      </w:r>
      <w:r>
        <w:rPr>
          <w:spacing w:val="32"/>
        </w:rPr>
        <w:t> </w:t>
      </w:r>
      <w:r>
        <w:rPr/>
        <w:t>amenity</w:t>
      </w:r>
      <w:r>
        <w:rPr>
          <w:spacing w:val="38"/>
        </w:rPr>
        <w:t> </w:t>
      </w:r>
      <w:r>
        <w:rPr/>
        <w:t>on</w:t>
      </w:r>
      <w:r>
        <w:rPr>
          <w:spacing w:val="31"/>
        </w:rPr>
        <w:t> </w:t>
      </w:r>
      <w:r>
        <w:rPr/>
        <w:t>the</w:t>
      </w:r>
      <w:r>
        <w:rPr>
          <w:spacing w:val="32"/>
        </w:rPr>
        <w:t> </w:t>
      </w:r>
      <w:r>
        <w:rPr/>
        <w:t>said</w:t>
      </w:r>
      <w:r>
        <w:rPr>
          <w:spacing w:val="32"/>
        </w:rPr>
        <w:t> </w:t>
      </w:r>
      <w:r>
        <w:rPr/>
        <w:t>plot</w:t>
      </w:r>
      <w:r>
        <w:rPr>
          <w:spacing w:val="37"/>
        </w:rPr>
        <w:t> </w:t>
      </w:r>
      <w:r>
        <w:rPr/>
        <w:t>shall</w:t>
      </w:r>
      <w:r>
        <w:rPr>
          <w:spacing w:val="32"/>
        </w:rPr>
        <w:t> </w:t>
      </w:r>
      <w:r>
        <w:rPr/>
        <w:t>be</w:t>
      </w:r>
      <w:r>
        <w:rPr>
          <w:spacing w:val="35"/>
        </w:rPr>
        <w:t> </w:t>
      </w:r>
      <w:r>
        <w:rPr/>
        <w:t>deemed</w:t>
      </w:r>
      <w:r>
        <w:rPr>
          <w:spacing w:val="32"/>
        </w:rPr>
        <w:t> </w:t>
      </w:r>
      <w:r>
        <w:rPr/>
        <w:t>to</w:t>
      </w:r>
      <w:r>
        <w:rPr>
          <w:spacing w:val="32"/>
        </w:rPr>
        <w:t> </w:t>
      </w:r>
      <w:r>
        <w:rPr/>
        <w:t>be</w:t>
      </w:r>
      <w:r>
        <w:rPr>
          <w:spacing w:val="32"/>
        </w:rPr>
        <w:t> </w:t>
      </w:r>
      <w:r>
        <w:rPr>
          <w:spacing w:val="-2"/>
        </w:rPr>
        <w:t>lapsed.</w:t>
      </w:r>
    </w:p>
    <w:p>
      <w:pPr>
        <w:pStyle w:val="BodyText"/>
        <w:spacing w:after="0"/>
        <w:sectPr>
          <w:headerReference w:type="default" r:id="rId14"/>
          <w:footerReference w:type="default" r:id="rId15"/>
          <w:pgSz w:w="11910" w:h="16840"/>
          <w:pgMar w:header="746" w:footer="968" w:top="1180" w:bottom="1160" w:left="360" w:right="360"/>
        </w:sectPr>
      </w:pPr>
    </w:p>
    <w:p>
      <w:pPr>
        <w:pStyle w:val="BodyText"/>
        <w:spacing w:before="251"/>
        <w:ind w:left="1800" w:right="1082"/>
      </w:pPr>
      <w:r>
        <w:rPr/>
        <w:t>If</w:t>
      </w:r>
      <w:r>
        <w:rPr>
          <w:spacing w:val="40"/>
        </w:rPr>
        <w:t> </w:t>
      </w:r>
      <w:r>
        <w:rPr/>
        <w:t>the</w:t>
      </w:r>
      <w:r>
        <w:rPr>
          <w:spacing w:val="40"/>
        </w:rPr>
        <w:t> </w:t>
      </w:r>
      <w:r>
        <w:rPr/>
        <w:t>use</w:t>
      </w:r>
      <w:r>
        <w:rPr>
          <w:spacing w:val="40"/>
        </w:rPr>
        <w:t> </w:t>
      </w:r>
      <w:r>
        <w:rPr/>
        <w:t>of</w:t>
      </w:r>
      <w:r>
        <w:rPr>
          <w:spacing w:val="40"/>
        </w:rPr>
        <w:t> </w:t>
      </w:r>
      <w:r>
        <w:rPr/>
        <w:t>the</w:t>
      </w:r>
      <w:r>
        <w:rPr>
          <w:spacing w:val="40"/>
        </w:rPr>
        <w:t> </w:t>
      </w:r>
      <w:r>
        <w:rPr/>
        <w:t>existing</w:t>
      </w:r>
      <w:r>
        <w:rPr>
          <w:spacing w:val="40"/>
        </w:rPr>
        <w:t> </w:t>
      </w:r>
      <w:r>
        <w:rPr/>
        <w:t>amenity</w:t>
      </w:r>
      <w:r>
        <w:rPr>
          <w:spacing w:val="40"/>
        </w:rPr>
        <w:t> </w:t>
      </w:r>
      <w:r>
        <w:rPr/>
        <w:t>on</w:t>
      </w:r>
      <w:r>
        <w:rPr>
          <w:spacing w:val="40"/>
        </w:rPr>
        <w:t> </w:t>
      </w:r>
      <w:r>
        <w:rPr/>
        <w:t>the</w:t>
      </w:r>
      <w:r>
        <w:rPr>
          <w:spacing w:val="40"/>
        </w:rPr>
        <w:t> </w:t>
      </w:r>
      <w:r>
        <w:rPr/>
        <w:t>private</w:t>
      </w:r>
      <w:r>
        <w:rPr>
          <w:spacing w:val="40"/>
        </w:rPr>
        <w:t> </w:t>
      </w:r>
      <w:r>
        <w:rPr/>
        <w:t>land</w:t>
      </w:r>
      <w:r>
        <w:rPr>
          <w:spacing w:val="40"/>
        </w:rPr>
        <w:t> </w:t>
      </w:r>
      <w:r>
        <w:rPr/>
        <w:t>is</w:t>
      </w:r>
      <w:r>
        <w:rPr>
          <w:spacing w:val="40"/>
        </w:rPr>
        <w:t> </w:t>
      </w:r>
      <w:r>
        <w:rPr/>
        <w:t>stopped with</w:t>
      </w:r>
      <w:r>
        <w:rPr>
          <w:spacing w:val="40"/>
        </w:rPr>
        <w:t> </w:t>
      </w:r>
      <w:r>
        <w:rPr/>
        <w:t>due</w:t>
      </w:r>
      <w:r>
        <w:rPr>
          <w:spacing w:val="40"/>
        </w:rPr>
        <w:t> </w:t>
      </w:r>
      <w:r>
        <w:rPr/>
        <w:t>permission</w:t>
      </w:r>
      <w:r>
        <w:rPr>
          <w:spacing w:val="40"/>
        </w:rPr>
        <w:t> </w:t>
      </w:r>
      <w:r>
        <w:rPr/>
        <w:t>from</w:t>
      </w:r>
      <w:r>
        <w:rPr>
          <w:spacing w:val="40"/>
        </w:rPr>
        <w:t> </w:t>
      </w:r>
      <w:r>
        <w:rPr/>
        <w:t>competent</w:t>
      </w:r>
      <w:r>
        <w:rPr>
          <w:spacing w:val="40"/>
        </w:rPr>
        <w:t> </w:t>
      </w:r>
      <w:r>
        <w:rPr/>
        <w:t>authority</w:t>
      </w:r>
      <w:r>
        <w:rPr>
          <w:spacing w:val="40"/>
        </w:rPr>
        <w:t> </w:t>
      </w:r>
      <w:r>
        <w:rPr/>
        <w:t>then</w:t>
      </w:r>
      <w:r>
        <w:rPr>
          <w:spacing w:val="40"/>
        </w:rPr>
        <w:t> </w:t>
      </w:r>
      <w:r>
        <w:rPr/>
        <w:t>such</w:t>
      </w:r>
      <w:r>
        <w:rPr>
          <w:spacing w:val="40"/>
        </w:rPr>
        <w:t> </w:t>
      </w:r>
      <w:r>
        <w:rPr/>
        <w:t>private land can be developed with the special permission of the Commissioner</w:t>
      </w:r>
      <w:r>
        <w:rPr>
          <w:spacing w:val="40"/>
        </w:rPr>
        <w:t> </w:t>
      </w:r>
      <w:r>
        <w:rPr/>
        <w:t>for</w:t>
      </w:r>
      <w:r>
        <w:rPr>
          <w:spacing w:val="40"/>
        </w:rPr>
        <w:t> </w:t>
      </w:r>
      <w:r>
        <w:rPr/>
        <w:t>the</w:t>
      </w:r>
      <w:r>
        <w:rPr>
          <w:spacing w:val="40"/>
        </w:rPr>
        <w:t> </w:t>
      </w:r>
      <w:r>
        <w:rPr/>
        <w:t>permissible</w:t>
      </w:r>
      <w:r>
        <w:rPr>
          <w:spacing w:val="40"/>
        </w:rPr>
        <w:t> </w:t>
      </w:r>
      <w:r>
        <w:rPr/>
        <w:t>land</w:t>
      </w:r>
      <w:r>
        <w:rPr>
          <w:spacing w:val="40"/>
        </w:rPr>
        <w:t> </w:t>
      </w:r>
      <w:r>
        <w:rPr/>
        <w:t>uses</w:t>
      </w:r>
      <w:r>
        <w:rPr>
          <w:spacing w:val="40"/>
        </w:rPr>
        <w:t> </w:t>
      </w:r>
      <w:r>
        <w:rPr/>
        <w:t>in</w:t>
      </w:r>
      <w:r>
        <w:rPr>
          <w:spacing w:val="40"/>
        </w:rPr>
        <w:t> </w:t>
      </w:r>
      <w:r>
        <w:rPr/>
        <w:t>the</w:t>
      </w:r>
      <w:r>
        <w:rPr>
          <w:spacing w:val="40"/>
        </w:rPr>
        <w:t> </w:t>
      </w:r>
      <w:r>
        <w:rPr/>
        <w:t>said</w:t>
      </w:r>
      <w:r>
        <w:rPr>
          <w:spacing w:val="40"/>
        </w:rPr>
        <w:t> </w:t>
      </w:r>
      <w:r>
        <w:rPr>
          <w:spacing w:val="9"/>
        </w:rPr>
        <w:t>zone.</w:t>
      </w:r>
    </w:p>
    <w:p>
      <w:pPr>
        <w:pStyle w:val="BodyText"/>
        <w:spacing w:before="242"/>
        <w:ind w:left="1800" w:right="1085"/>
      </w:pPr>
      <w:r>
        <w:rPr/>
        <w:t>If schools which have been developed on unreserved </w:t>
      </w:r>
      <w:r>
        <w:rPr>
          <w:spacing w:val="9"/>
        </w:rPr>
        <w:t>plots </w:t>
      </w:r>
      <w:r>
        <w:rPr/>
        <w:t>and are now shown as</w:t>
      </w:r>
      <w:r>
        <w:rPr>
          <w:spacing w:val="80"/>
        </w:rPr>
        <w:t> </w:t>
      </w:r>
      <w:r>
        <w:rPr/>
        <w:t>existing amenity</w:t>
      </w:r>
      <w:r>
        <w:rPr>
          <w:spacing w:val="40"/>
        </w:rPr>
        <w:t> </w:t>
      </w:r>
      <w:r>
        <w:rPr/>
        <w:t>in DP</w:t>
      </w:r>
      <w:r>
        <w:rPr>
          <w:spacing w:val="40"/>
        </w:rPr>
        <w:t> </w:t>
      </w:r>
      <w:r>
        <w:rPr/>
        <w:t>2034 considering their land use</w:t>
      </w:r>
      <w:r>
        <w:rPr>
          <w:spacing w:val="40"/>
        </w:rPr>
        <w:t>  </w:t>
      </w:r>
      <w:r>
        <w:rPr/>
        <w:t>can</w:t>
      </w:r>
      <w:r>
        <w:rPr>
          <w:spacing w:val="40"/>
        </w:rPr>
        <w:t> </w:t>
      </w:r>
      <w:r>
        <w:rPr/>
        <w:t>be</w:t>
      </w:r>
      <w:r>
        <w:rPr>
          <w:spacing w:val="40"/>
        </w:rPr>
        <w:t> </w:t>
      </w:r>
      <w:r>
        <w:rPr/>
        <w:t>redeveloped</w:t>
      </w:r>
      <w:r>
        <w:rPr>
          <w:spacing w:val="40"/>
        </w:rPr>
        <w:t> </w:t>
      </w:r>
      <w:r>
        <w:rPr/>
        <w:t>in</w:t>
      </w:r>
      <w:r>
        <w:rPr>
          <w:spacing w:val="40"/>
        </w:rPr>
        <w:t> </w:t>
      </w:r>
      <w:r>
        <w:rPr/>
        <w:t>future</w:t>
      </w:r>
      <w:r>
        <w:rPr>
          <w:spacing w:val="40"/>
        </w:rPr>
        <w:t> </w:t>
      </w:r>
      <w:r>
        <w:rPr/>
        <w:t>with</w:t>
      </w:r>
      <w:r>
        <w:rPr>
          <w:spacing w:val="40"/>
        </w:rPr>
        <w:t> </w:t>
      </w:r>
      <w:r>
        <w:rPr/>
        <w:t>the</w:t>
      </w:r>
      <w:r>
        <w:rPr>
          <w:spacing w:val="40"/>
        </w:rPr>
        <w:t> </w:t>
      </w:r>
      <w:r>
        <w:rPr/>
        <w:t>additional</w:t>
      </w:r>
      <w:r>
        <w:rPr>
          <w:spacing w:val="40"/>
        </w:rPr>
        <w:t> </w:t>
      </w:r>
      <w:r>
        <w:rPr/>
        <w:t>benefits</w:t>
      </w:r>
      <w:r>
        <w:rPr>
          <w:spacing w:val="40"/>
        </w:rPr>
        <w:t> </w:t>
      </w:r>
      <w:r>
        <w:rPr/>
        <w:t>of FSI</w:t>
      </w:r>
      <w:r>
        <w:rPr>
          <w:spacing w:val="40"/>
        </w:rPr>
        <w:t> </w:t>
      </w:r>
      <w:r>
        <w:rPr/>
        <w:t>available</w:t>
      </w:r>
      <w:r>
        <w:rPr>
          <w:spacing w:val="40"/>
        </w:rPr>
        <w:t> </w:t>
      </w:r>
      <w:r>
        <w:rPr/>
        <w:t>in</w:t>
      </w:r>
      <w:r>
        <w:rPr>
          <w:spacing w:val="40"/>
        </w:rPr>
        <w:t> </w:t>
      </w:r>
      <w:r>
        <w:rPr/>
        <w:t>DCPR,</w:t>
      </w:r>
      <w:r>
        <w:rPr>
          <w:spacing w:val="80"/>
          <w:w w:val="150"/>
        </w:rPr>
        <w:t> </w:t>
      </w:r>
      <w:r>
        <w:rPr/>
        <w:t>provided</w:t>
      </w:r>
      <w:r>
        <w:rPr>
          <w:spacing w:val="40"/>
        </w:rPr>
        <w:t> </w:t>
      </w:r>
      <w:r>
        <w:rPr/>
        <w:t>that</w:t>
      </w:r>
      <w:r>
        <w:rPr>
          <w:spacing w:val="40"/>
        </w:rPr>
        <w:t> </w:t>
      </w:r>
      <w:r>
        <w:rPr/>
        <w:t>they</w:t>
      </w:r>
      <w:r>
        <w:rPr>
          <w:spacing w:val="40"/>
        </w:rPr>
        <w:t> </w:t>
      </w:r>
      <w:r>
        <w:rPr/>
        <w:t>shall</w:t>
      </w:r>
      <w:r>
        <w:rPr>
          <w:spacing w:val="40"/>
        </w:rPr>
        <w:t> </w:t>
      </w:r>
      <w:r>
        <w:rPr/>
        <w:t>comply</w:t>
      </w:r>
      <w:r>
        <w:rPr>
          <w:spacing w:val="40"/>
        </w:rPr>
        <w:t> </w:t>
      </w:r>
      <w:r>
        <w:rPr/>
        <w:t>with</w:t>
      </w:r>
      <w:r>
        <w:rPr>
          <w:spacing w:val="40"/>
        </w:rPr>
        <w:t> </w:t>
      </w:r>
      <w:r>
        <w:rPr/>
        <w:t>all other regulations of DCPR/ terms &amp; conditions / policy of Govt.</w:t>
      </w:r>
      <w:r>
        <w:rPr>
          <w:spacing w:val="40"/>
        </w:rPr>
        <w:t> </w:t>
      </w:r>
      <w:r>
        <w:rPr/>
        <w:t>Merely</w:t>
      </w:r>
      <w:r>
        <w:rPr>
          <w:spacing w:val="40"/>
        </w:rPr>
        <w:t> </w:t>
      </w:r>
      <w:r>
        <w:rPr/>
        <w:t>by</w:t>
      </w:r>
      <w:r>
        <w:rPr>
          <w:spacing w:val="40"/>
        </w:rPr>
        <w:t> </w:t>
      </w:r>
      <w:r>
        <w:rPr/>
        <w:t>virtue</w:t>
      </w:r>
      <w:r>
        <w:rPr>
          <w:spacing w:val="40"/>
        </w:rPr>
        <w:t> </w:t>
      </w:r>
      <w:r>
        <w:rPr/>
        <w:t>of</w:t>
      </w:r>
      <w:r>
        <w:rPr>
          <w:spacing w:val="40"/>
        </w:rPr>
        <w:t> </w:t>
      </w:r>
      <w:r>
        <w:rPr/>
        <w:t>showing</w:t>
      </w:r>
      <w:r>
        <w:rPr>
          <w:spacing w:val="40"/>
        </w:rPr>
        <w:t> </w:t>
      </w:r>
      <w:r>
        <w:rPr/>
        <w:t>the</w:t>
      </w:r>
      <w:r>
        <w:rPr>
          <w:spacing w:val="40"/>
        </w:rPr>
        <w:t> </w:t>
      </w:r>
      <w:r>
        <w:rPr/>
        <w:t>existing</w:t>
      </w:r>
      <w:r>
        <w:rPr>
          <w:spacing w:val="40"/>
        </w:rPr>
        <w:t> </w:t>
      </w:r>
      <w:r>
        <w:rPr/>
        <w:t>land</w:t>
      </w:r>
      <w:r>
        <w:rPr>
          <w:spacing w:val="40"/>
        </w:rPr>
        <w:t> </w:t>
      </w:r>
      <w:r>
        <w:rPr/>
        <w:t>use</w:t>
      </w:r>
      <w:r>
        <w:rPr>
          <w:spacing w:val="40"/>
        </w:rPr>
        <w:t> </w:t>
      </w:r>
      <w:r>
        <w:rPr/>
        <w:t>as</w:t>
      </w:r>
      <w:r>
        <w:rPr>
          <w:spacing w:val="40"/>
        </w:rPr>
        <w:t> </w:t>
      </w:r>
      <w:r>
        <w:rPr/>
        <w:t>existing amenity</w:t>
      </w:r>
      <w:r>
        <w:rPr>
          <w:spacing w:val="40"/>
        </w:rPr>
        <w:t> </w:t>
      </w:r>
      <w:r>
        <w:rPr/>
        <w:t>in</w:t>
      </w:r>
      <w:r>
        <w:rPr>
          <w:spacing w:val="40"/>
        </w:rPr>
        <w:t> </w:t>
      </w:r>
      <w:r>
        <w:rPr/>
        <w:t>respect</w:t>
      </w:r>
      <w:r>
        <w:rPr>
          <w:spacing w:val="40"/>
        </w:rPr>
        <w:t> </w:t>
      </w:r>
      <w:r>
        <w:rPr/>
        <w:t>of</w:t>
      </w:r>
      <w:r>
        <w:rPr>
          <w:spacing w:val="40"/>
        </w:rPr>
        <w:t> </w:t>
      </w:r>
      <w:r>
        <w:rPr/>
        <w:t>school</w:t>
      </w:r>
      <w:r>
        <w:rPr>
          <w:spacing w:val="40"/>
        </w:rPr>
        <w:t> </w:t>
      </w:r>
      <w:r>
        <w:rPr/>
        <w:t>will</w:t>
      </w:r>
      <w:r>
        <w:rPr>
          <w:spacing w:val="40"/>
        </w:rPr>
        <w:t> </w:t>
      </w:r>
      <w:r>
        <w:rPr/>
        <w:t>not</w:t>
      </w:r>
      <w:r>
        <w:rPr>
          <w:spacing w:val="40"/>
        </w:rPr>
        <w:t> </w:t>
      </w:r>
      <w:r>
        <w:rPr/>
        <w:t>give</w:t>
      </w:r>
      <w:r>
        <w:rPr>
          <w:spacing w:val="40"/>
        </w:rPr>
        <w:t> </w:t>
      </w:r>
      <w:r>
        <w:rPr/>
        <w:t>the</w:t>
      </w:r>
      <w:r>
        <w:rPr>
          <w:spacing w:val="40"/>
        </w:rPr>
        <w:t> </w:t>
      </w:r>
      <w:r>
        <w:rPr/>
        <w:t>status</w:t>
      </w:r>
      <w:r>
        <w:rPr>
          <w:spacing w:val="40"/>
        </w:rPr>
        <w:t> </w:t>
      </w:r>
      <w:r>
        <w:rPr/>
        <w:t>of authorization unless it is constructed authorisedly as per the prevailing</w:t>
      </w:r>
      <w:r>
        <w:rPr>
          <w:spacing w:val="40"/>
        </w:rPr>
        <w:t> </w:t>
      </w:r>
      <w:r>
        <w:rPr/>
        <w:t>DCR/</w:t>
      </w:r>
      <w:r>
        <w:rPr>
          <w:spacing w:val="40"/>
        </w:rPr>
        <w:t> </w:t>
      </w:r>
      <w:r>
        <w:rPr/>
        <w:t>terms</w:t>
      </w:r>
      <w:r>
        <w:rPr>
          <w:spacing w:val="40"/>
        </w:rPr>
        <w:t> </w:t>
      </w:r>
      <w:r>
        <w:rPr/>
        <w:t>&amp;</w:t>
      </w:r>
      <w:r>
        <w:rPr>
          <w:spacing w:val="40"/>
        </w:rPr>
        <w:t> </w:t>
      </w:r>
      <w:r>
        <w:rPr/>
        <w:t>conditions</w:t>
      </w:r>
      <w:r>
        <w:rPr>
          <w:spacing w:val="40"/>
        </w:rPr>
        <w:t> </w:t>
      </w:r>
      <w:r>
        <w:rPr/>
        <w:t>/</w:t>
      </w:r>
      <w:r>
        <w:rPr>
          <w:spacing w:val="40"/>
        </w:rPr>
        <w:t> </w:t>
      </w:r>
      <w:r>
        <w:rPr/>
        <w:t>policy</w:t>
      </w:r>
      <w:r>
        <w:rPr>
          <w:spacing w:val="40"/>
        </w:rPr>
        <w:t> </w:t>
      </w:r>
      <w:r>
        <w:rPr/>
        <w:t>of</w:t>
      </w:r>
      <w:r>
        <w:rPr>
          <w:spacing w:val="40"/>
        </w:rPr>
        <w:t> </w:t>
      </w:r>
      <w:r>
        <w:rPr/>
        <w:t>Govt.</w:t>
      </w:r>
    </w:p>
    <w:p>
      <w:pPr>
        <w:pStyle w:val="BodyText"/>
        <w:spacing w:before="239"/>
        <w:ind w:left="1800" w:right="1088"/>
      </w:pPr>
      <w:r>
        <w:rPr/>
        <w:t>Provided further that if a land is</w:t>
      </w:r>
      <w:r>
        <w:rPr>
          <w:spacing w:val="40"/>
        </w:rPr>
        <w:t>  </w:t>
      </w:r>
      <w:r>
        <w:rPr/>
        <w:t>shown as</w:t>
      </w:r>
      <w:r>
        <w:rPr>
          <w:spacing w:val="40"/>
        </w:rPr>
        <w:t> </w:t>
      </w:r>
      <w:r>
        <w:rPr/>
        <w:t>existing amenity</w:t>
      </w:r>
      <w:r>
        <w:rPr>
          <w:spacing w:val="40"/>
        </w:rPr>
        <w:t> </w:t>
      </w:r>
      <w:r>
        <w:rPr/>
        <w:t>and such</w:t>
      </w:r>
      <w:r>
        <w:rPr>
          <w:spacing w:val="40"/>
        </w:rPr>
        <w:t> </w:t>
      </w:r>
      <w:r>
        <w:rPr/>
        <w:t>existing</w:t>
      </w:r>
      <w:r>
        <w:rPr>
          <w:spacing w:val="40"/>
        </w:rPr>
        <w:t> </w:t>
      </w:r>
      <w:r>
        <w:rPr/>
        <w:t>amenity</w:t>
      </w:r>
      <w:r>
        <w:rPr>
          <w:spacing w:val="40"/>
        </w:rPr>
        <w:t> </w:t>
      </w:r>
      <w:r>
        <w:rPr/>
        <w:t>is</w:t>
      </w:r>
      <w:r>
        <w:rPr>
          <w:spacing w:val="40"/>
        </w:rPr>
        <w:t> </w:t>
      </w:r>
      <w:r>
        <w:rPr/>
        <w:t>spread</w:t>
      </w:r>
      <w:r>
        <w:rPr>
          <w:spacing w:val="40"/>
        </w:rPr>
        <w:t> </w:t>
      </w:r>
      <w:r>
        <w:rPr/>
        <w:t>over</w:t>
      </w:r>
      <w:r>
        <w:rPr>
          <w:spacing w:val="40"/>
        </w:rPr>
        <w:t> </w:t>
      </w:r>
      <w:r>
        <w:rPr/>
        <w:t>a</w:t>
      </w:r>
      <w:r>
        <w:rPr>
          <w:spacing w:val="40"/>
        </w:rPr>
        <w:t> </w:t>
      </w:r>
      <w:r>
        <w:rPr/>
        <w:t>number</w:t>
      </w:r>
      <w:r>
        <w:rPr>
          <w:spacing w:val="40"/>
        </w:rPr>
        <w:t> </w:t>
      </w:r>
      <w:r>
        <w:rPr/>
        <w:t>of</w:t>
      </w:r>
      <w:r>
        <w:rPr>
          <w:spacing w:val="40"/>
        </w:rPr>
        <w:t> </w:t>
      </w:r>
      <w:r>
        <w:rPr/>
        <w:t>adjoining</w:t>
      </w:r>
      <w:r>
        <w:rPr>
          <w:spacing w:val="40"/>
        </w:rPr>
        <w:t> </w:t>
      </w:r>
      <w:r>
        <w:rPr/>
        <w:t>plots</w:t>
      </w:r>
      <w:r>
        <w:rPr>
          <w:spacing w:val="40"/>
        </w:rPr>
        <w:t> </w:t>
      </w:r>
      <w:r>
        <w:rPr/>
        <w:t>as</w:t>
      </w:r>
      <w:r>
        <w:rPr>
          <w:spacing w:val="40"/>
        </w:rPr>
        <w:t> </w:t>
      </w:r>
      <w:r>
        <w:rPr/>
        <w:t>per</w:t>
      </w:r>
      <w:r>
        <w:rPr>
          <w:spacing w:val="40"/>
        </w:rPr>
        <w:t> </w:t>
      </w:r>
      <w:r>
        <w:rPr/>
        <w:t>DP</w:t>
      </w:r>
      <w:r>
        <w:rPr>
          <w:spacing w:val="40"/>
        </w:rPr>
        <w:t> </w:t>
      </w:r>
      <w:r>
        <w:rPr/>
        <w:t>2034</w:t>
      </w:r>
      <w:r>
        <w:rPr>
          <w:spacing w:val="40"/>
        </w:rPr>
        <w:t> </w:t>
      </w:r>
      <w:r>
        <w:rPr/>
        <w:t>and</w:t>
      </w:r>
      <w:r>
        <w:rPr>
          <w:spacing w:val="40"/>
        </w:rPr>
        <w:t> </w:t>
      </w:r>
      <w:r>
        <w:rPr/>
        <w:t>if</w:t>
      </w:r>
      <w:r>
        <w:rPr>
          <w:spacing w:val="40"/>
        </w:rPr>
        <w:t> </w:t>
      </w:r>
      <w:r>
        <w:rPr/>
        <w:t>any</w:t>
      </w:r>
      <w:r>
        <w:rPr>
          <w:spacing w:val="40"/>
        </w:rPr>
        <w:t> </w:t>
      </w:r>
      <w:r>
        <w:rPr/>
        <w:t>of</w:t>
      </w:r>
      <w:r>
        <w:rPr>
          <w:spacing w:val="40"/>
        </w:rPr>
        <w:t> </w:t>
      </w:r>
      <w:r>
        <w:rPr/>
        <w:t>such</w:t>
      </w:r>
      <w:r>
        <w:rPr>
          <w:spacing w:val="40"/>
        </w:rPr>
        <w:t> </w:t>
      </w:r>
      <w:r>
        <w:rPr/>
        <w:t>plot</w:t>
      </w:r>
      <w:r>
        <w:rPr>
          <w:spacing w:val="40"/>
        </w:rPr>
        <w:t> </w:t>
      </w:r>
      <w:r>
        <w:rPr/>
        <w:t>has</w:t>
      </w:r>
      <w:r>
        <w:rPr>
          <w:spacing w:val="40"/>
        </w:rPr>
        <w:t> </w:t>
      </w:r>
      <w:r>
        <w:rPr/>
        <w:t>not</w:t>
      </w:r>
      <w:r>
        <w:rPr>
          <w:spacing w:val="40"/>
        </w:rPr>
        <w:t> </w:t>
      </w:r>
      <w:r>
        <w:rPr/>
        <w:t>contributed towards</w:t>
      </w:r>
      <w:r>
        <w:rPr>
          <w:spacing w:val="40"/>
        </w:rPr>
        <w:t> </w:t>
      </w:r>
      <w:r>
        <w:rPr/>
        <w:t>its</w:t>
      </w:r>
      <w:r>
        <w:rPr>
          <w:spacing w:val="40"/>
        </w:rPr>
        <w:t> </w:t>
      </w:r>
      <w:r>
        <w:rPr/>
        <w:t>reservation</w:t>
      </w:r>
      <w:r>
        <w:rPr>
          <w:spacing w:val="40"/>
        </w:rPr>
        <w:t> </w:t>
      </w:r>
      <w:r>
        <w:rPr/>
        <w:t>as</w:t>
      </w:r>
      <w:r>
        <w:rPr>
          <w:spacing w:val="40"/>
        </w:rPr>
        <w:t> </w:t>
      </w:r>
      <w:r>
        <w:rPr/>
        <w:t>per</w:t>
      </w:r>
      <w:r>
        <w:rPr>
          <w:spacing w:val="40"/>
        </w:rPr>
        <w:t> </w:t>
      </w:r>
      <w:r>
        <w:rPr/>
        <w:t>DP</w:t>
      </w:r>
      <w:r>
        <w:rPr>
          <w:spacing w:val="40"/>
        </w:rPr>
        <w:t> </w:t>
      </w:r>
      <w:r>
        <w:rPr/>
        <w:t>1991</w:t>
      </w:r>
      <w:r>
        <w:rPr>
          <w:spacing w:val="40"/>
        </w:rPr>
        <w:t> </w:t>
      </w:r>
      <w:r>
        <w:rPr/>
        <w:t>now</w:t>
      </w:r>
      <w:r>
        <w:rPr>
          <w:spacing w:val="40"/>
        </w:rPr>
        <w:t> </w:t>
      </w:r>
      <w:r>
        <w:rPr/>
        <w:t>forming</w:t>
      </w:r>
      <w:r>
        <w:rPr>
          <w:spacing w:val="80"/>
        </w:rPr>
        <w:t>  </w:t>
      </w:r>
      <w:r>
        <w:rPr/>
        <w:t>part</w:t>
      </w:r>
      <w:r>
        <w:rPr>
          <w:spacing w:val="40"/>
        </w:rPr>
        <w:t> </w:t>
      </w:r>
      <w:r>
        <w:rPr/>
        <w:t>of existing amenity, then such plot will be deemed to be reserved for</w:t>
      </w:r>
      <w:r>
        <w:rPr>
          <w:spacing w:val="40"/>
        </w:rPr>
        <w:t> </w:t>
      </w:r>
      <w:r>
        <w:rPr/>
        <w:t>such</w:t>
      </w:r>
      <w:r>
        <w:rPr>
          <w:spacing w:val="40"/>
        </w:rPr>
        <w:t> </w:t>
      </w:r>
      <w:r>
        <w:rPr/>
        <w:t>purpose</w:t>
      </w:r>
      <w:r>
        <w:rPr>
          <w:spacing w:val="40"/>
        </w:rPr>
        <w:t> </w:t>
      </w:r>
      <w:r>
        <w:rPr/>
        <w:t>and</w:t>
      </w:r>
      <w:r>
        <w:rPr>
          <w:spacing w:val="40"/>
        </w:rPr>
        <w:t> </w:t>
      </w:r>
      <w:r>
        <w:rPr/>
        <w:t>shall</w:t>
      </w:r>
      <w:r>
        <w:rPr>
          <w:spacing w:val="40"/>
        </w:rPr>
        <w:t> </w:t>
      </w:r>
      <w:r>
        <w:rPr/>
        <w:t>be</w:t>
      </w:r>
      <w:r>
        <w:rPr>
          <w:spacing w:val="40"/>
        </w:rPr>
        <w:t> </w:t>
      </w:r>
      <w:r>
        <w:rPr/>
        <w:t>developed</w:t>
      </w:r>
      <w:r>
        <w:rPr>
          <w:spacing w:val="40"/>
        </w:rPr>
        <w:t> </w:t>
      </w:r>
      <w:r>
        <w:rPr/>
        <w:t>as</w:t>
      </w:r>
      <w:r>
        <w:rPr>
          <w:spacing w:val="40"/>
        </w:rPr>
        <w:t> </w:t>
      </w:r>
      <w:r>
        <w:rPr/>
        <w:t>per</w:t>
      </w:r>
      <w:r>
        <w:rPr>
          <w:spacing w:val="40"/>
        </w:rPr>
        <w:t> </w:t>
      </w:r>
      <w:r>
        <w:rPr/>
        <w:t>Regulation</w:t>
      </w:r>
      <w:r>
        <w:rPr>
          <w:spacing w:val="40"/>
        </w:rPr>
        <w:t> </w:t>
      </w:r>
      <w:r>
        <w:rPr/>
        <w:t>No</w:t>
      </w:r>
      <w:r>
        <w:rPr>
          <w:spacing w:val="40"/>
        </w:rPr>
        <w:t> </w:t>
      </w:r>
      <w:r>
        <w:rPr/>
        <w:t>17.</w:t>
      </w:r>
    </w:p>
    <w:p>
      <w:pPr>
        <w:pStyle w:val="BodyText"/>
        <w:spacing w:line="276" w:lineRule="auto" w:before="237"/>
        <w:ind w:left="1932" w:right="1092"/>
      </w:pPr>
      <w:r>
        <w:rPr/>
        <w:t>Exception: Traffic Islands constituting part of the road may be merged</w:t>
      </w:r>
      <w:r>
        <w:rPr>
          <w:spacing w:val="80"/>
        </w:rPr>
        <w:t> </w:t>
      </w:r>
      <w:r>
        <w:rPr/>
        <w:t>with</w:t>
      </w:r>
      <w:r>
        <w:rPr>
          <w:spacing w:val="80"/>
        </w:rPr>
        <w:t> </w:t>
      </w:r>
      <w:r>
        <w:rPr/>
        <w:t>carriageway</w:t>
      </w:r>
      <w:r>
        <w:rPr>
          <w:spacing w:val="80"/>
        </w:rPr>
        <w:t> </w:t>
      </w:r>
      <w:r>
        <w:rPr/>
        <w:t>in</w:t>
      </w:r>
      <w:r>
        <w:rPr>
          <w:spacing w:val="80"/>
        </w:rPr>
        <w:t> </w:t>
      </w:r>
      <w:r>
        <w:rPr/>
        <w:t>order</w:t>
      </w:r>
      <w:r>
        <w:rPr>
          <w:spacing w:val="80"/>
        </w:rPr>
        <w:t> </w:t>
      </w:r>
      <w:r>
        <w:rPr/>
        <w:t>to</w:t>
      </w:r>
      <w:r>
        <w:rPr>
          <w:spacing w:val="80"/>
        </w:rPr>
        <w:t> </w:t>
      </w:r>
      <w:r>
        <w:rPr/>
        <w:t>improve</w:t>
      </w:r>
      <w:r>
        <w:rPr>
          <w:spacing w:val="80"/>
        </w:rPr>
        <w:t> </w:t>
      </w:r>
      <w:r>
        <w:rPr/>
        <w:t>the</w:t>
      </w:r>
      <w:r>
        <w:rPr>
          <w:spacing w:val="80"/>
        </w:rPr>
        <w:t> </w:t>
      </w:r>
      <w:r>
        <w:rPr/>
        <w:t>traffic movement with the special written permission of </w:t>
      </w:r>
      <w:r>
        <w:rPr>
          <w:spacing w:val="9"/>
        </w:rPr>
        <w:t>Commissioner </w:t>
      </w:r>
      <w:r>
        <w:rPr/>
        <w:t>(Unless</w:t>
      </w:r>
      <w:r>
        <w:rPr>
          <w:spacing w:val="40"/>
        </w:rPr>
        <w:t> </w:t>
      </w:r>
      <w:r>
        <w:rPr/>
        <w:t>these</w:t>
      </w:r>
      <w:r>
        <w:rPr>
          <w:spacing w:val="80"/>
        </w:rPr>
        <w:t> </w:t>
      </w:r>
      <w:r>
        <w:rPr/>
        <w:t>are</w:t>
      </w:r>
      <w:r>
        <w:rPr>
          <w:spacing w:val="40"/>
        </w:rPr>
        <w:t> </w:t>
      </w:r>
      <w:r>
        <w:rPr/>
        <w:t>shown</w:t>
      </w:r>
      <w:r>
        <w:rPr>
          <w:spacing w:val="40"/>
        </w:rPr>
        <w:t> </w:t>
      </w:r>
      <w:r>
        <w:rPr/>
        <w:t>in</w:t>
      </w:r>
      <w:r>
        <w:rPr>
          <w:spacing w:val="80"/>
        </w:rPr>
        <w:t> </w:t>
      </w:r>
      <w:r>
        <w:rPr/>
        <w:t>open</w:t>
      </w:r>
      <w:r>
        <w:rPr>
          <w:spacing w:val="40"/>
        </w:rPr>
        <w:t> </w:t>
      </w:r>
      <w:r>
        <w:rPr/>
        <w:t>space</w:t>
      </w:r>
      <w:r>
        <w:rPr>
          <w:spacing w:val="40"/>
        </w:rPr>
        <w:t> </w:t>
      </w:r>
      <w:r>
        <w:rPr/>
        <w:t>calculation).</w:t>
      </w:r>
    </w:p>
    <w:p>
      <w:pPr>
        <w:pStyle w:val="ListParagraph"/>
        <w:numPr>
          <w:ilvl w:val="0"/>
          <w:numId w:val="23"/>
        </w:numPr>
        <w:tabs>
          <w:tab w:pos="1800" w:val="left" w:leader="none"/>
        </w:tabs>
        <w:spacing w:line="240" w:lineRule="auto" w:before="202" w:after="0"/>
        <w:ind w:left="1800" w:right="1090" w:hanging="360"/>
        <w:jc w:val="both"/>
        <w:rPr>
          <w:i/>
          <w:sz w:val="24"/>
        </w:rPr>
      </w:pPr>
      <w:r>
        <w:rPr>
          <w:b/>
          <w:i/>
          <w:sz w:val="24"/>
        </w:rPr>
        <w:t>Development of Reservations: </w:t>
      </w:r>
      <w:r>
        <w:rPr>
          <w:sz w:val="24"/>
        </w:rPr>
        <w:t>Land reserved in the DP shall be developed</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Regulation</w:t>
      </w:r>
      <w:r>
        <w:rPr>
          <w:spacing w:val="40"/>
          <w:sz w:val="24"/>
        </w:rPr>
        <w:t> </w:t>
      </w:r>
      <w:r>
        <w:rPr>
          <w:sz w:val="24"/>
        </w:rPr>
        <w:t>No.17,</w:t>
      </w:r>
      <w:r>
        <w:rPr>
          <w:spacing w:val="40"/>
          <w:sz w:val="24"/>
        </w:rPr>
        <w:t> </w:t>
      </w:r>
      <w:r>
        <w:rPr>
          <w:sz w:val="24"/>
        </w:rPr>
        <w:t>Table</w:t>
      </w:r>
      <w:r>
        <w:rPr>
          <w:spacing w:val="40"/>
          <w:sz w:val="24"/>
        </w:rPr>
        <w:t> </w:t>
      </w:r>
      <w:r>
        <w:rPr>
          <w:sz w:val="24"/>
        </w:rPr>
        <w:t>No.3</w:t>
      </w:r>
      <w:r>
        <w:rPr>
          <w:spacing w:val="-20"/>
          <w:sz w:val="24"/>
        </w:rPr>
        <w:t> </w:t>
      </w:r>
      <w:r>
        <w:rPr>
          <w:sz w:val="24"/>
        </w:rPr>
        <w:t>, 4&amp;</w:t>
      </w:r>
      <w:r>
        <w:rPr>
          <w:spacing w:val="40"/>
          <w:sz w:val="24"/>
        </w:rPr>
        <w:t> </w:t>
      </w:r>
      <w:r>
        <w:rPr>
          <w:sz w:val="24"/>
        </w:rPr>
        <w:t>5</w:t>
      </w:r>
      <w:r>
        <w:rPr>
          <w:spacing w:val="40"/>
          <w:sz w:val="24"/>
        </w:rPr>
        <w:t> </w:t>
      </w:r>
      <w:r>
        <w:rPr>
          <w:sz w:val="24"/>
        </w:rPr>
        <w:t>for</w:t>
      </w:r>
      <w:r>
        <w:rPr>
          <w:spacing w:val="40"/>
          <w:sz w:val="24"/>
        </w:rPr>
        <w:t> </w:t>
      </w:r>
      <w:r>
        <w:rPr>
          <w:sz w:val="24"/>
        </w:rPr>
        <w:t>land</w:t>
      </w:r>
      <w:r>
        <w:rPr>
          <w:spacing w:val="40"/>
          <w:sz w:val="24"/>
        </w:rPr>
        <w:t> </w:t>
      </w:r>
      <w:r>
        <w:rPr>
          <w:sz w:val="24"/>
        </w:rPr>
        <w:t>use</w:t>
      </w:r>
      <w:r>
        <w:rPr>
          <w:spacing w:val="40"/>
          <w:sz w:val="24"/>
        </w:rPr>
        <w:t> </w:t>
      </w:r>
      <w:r>
        <w:rPr>
          <w:sz w:val="24"/>
        </w:rPr>
        <w:t>and</w:t>
      </w:r>
      <w:r>
        <w:rPr>
          <w:spacing w:val="40"/>
          <w:sz w:val="24"/>
        </w:rPr>
        <w:t> </w:t>
      </w:r>
      <w:r>
        <w:rPr>
          <w:sz w:val="24"/>
        </w:rPr>
        <w:t>manner</w:t>
      </w:r>
      <w:r>
        <w:rPr>
          <w:spacing w:val="40"/>
          <w:sz w:val="24"/>
        </w:rPr>
        <w:t> </w:t>
      </w:r>
      <w:r>
        <w:rPr>
          <w:sz w:val="24"/>
        </w:rPr>
        <w:t>of</w:t>
      </w:r>
      <w:r>
        <w:rPr>
          <w:spacing w:val="40"/>
          <w:sz w:val="24"/>
        </w:rPr>
        <w:t> </w:t>
      </w:r>
      <w:r>
        <w:rPr>
          <w:sz w:val="24"/>
        </w:rPr>
        <w:t>development.</w:t>
      </w:r>
    </w:p>
    <w:p>
      <w:pPr>
        <w:pStyle w:val="ListParagraph"/>
        <w:numPr>
          <w:ilvl w:val="0"/>
          <w:numId w:val="23"/>
        </w:numPr>
        <w:tabs>
          <w:tab w:pos="1800" w:val="left" w:leader="none"/>
        </w:tabs>
        <w:spacing w:line="240" w:lineRule="auto" w:before="239" w:after="0"/>
        <w:ind w:left="1800" w:right="1078" w:hanging="360"/>
        <w:jc w:val="both"/>
        <w:rPr>
          <w:i/>
          <w:sz w:val="24"/>
        </w:rPr>
      </w:pPr>
      <w:r>
        <w:rPr>
          <w:b/>
          <w:i/>
          <w:sz w:val="24"/>
        </w:rPr>
        <w:t>Development</w:t>
      </w:r>
      <w:r>
        <w:rPr>
          <w:b/>
          <w:i/>
          <w:spacing w:val="40"/>
          <w:sz w:val="24"/>
        </w:rPr>
        <w:t> </w:t>
      </w:r>
      <w:r>
        <w:rPr>
          <w:b/>
          <w:i/>
          <w:sz w:val="24"/>
        </w:rPr>
        <w:t>of</w:t>
      </w:r>
      <w:r>
        <w:rPr>
          <w:b/>
          <w:i/>
          <w:spacing w:val="40"/>
          <w:sz w:val="24"/>
        </w:rPr>
        <w:t> </w:t>
      </w:r>
      <w:r>
        <w:rPr>
          <w:b/>
          <w:i/>
          <w:sz w:val="24"/>
        </w:rPr>
        <w:t>land</w:t>
      </w:r>
      <w:r>
        <w:rPr>
          <w:b/>
          <w:i/>
          <w:spacing w:val="40"/>
          <w:sz w:val="24"/>
        </w:rPr>
        <w:t> </w:t>
      </w:r>
      <w:r>
        <w:rPr>
          <w:b/>
          <w:i/>
          <w:sz w:val="24"/>
        </w:rPr>
        <w:t>partly</w:t>
      </w:r>
      <w:r>
        <w:rPr>
          <w:b/>
          <w:i/>
          <w:spacing w:val="40"/>
          <w:sz w:val="24"/>
        </w:rPr>
        <w:t> </w:t>
      </w:r>
      <w:r>
        <w:rPr>
          <w:b/>
          <w:i/>
          <w:sz w:val="24"/>
        </w:rPr>
        <w:t>shown</w:t>
      </w:r>
      <w:r>
        <w:rPr>
          <w:b/>
          <w:i/>
          <w:spacing w:val="40"/>
          <w:sz w:val="24"/>
        </w:rPr>
        <w:t> </w:t>
      </w:r>
      <w:r>
        <w:rPr>
          <w:b/>
          <w:i/>
          <w:sz w:val="24"/>
        </w:rPr>
        <w:t>as</w:t>
      </w:r>
      <w:r>
        <w:rPr>
          <w:b/>
          <w:i/>
          <w:spacing w:val="40"/>
          <w:sz w:val="24"/>
        </w:rPr>
        <w:t> </w:t>
      </w:r>
      <w:r>
        <w:rPr>
          <w:b/>
          <w:i/>
          <w:sz w:val="24"/>
        </w:rPr>
        <w:t>/</w:t>
      </w:r>
      <w:r>
        <w:rPr>
          <w:b/>
          <w:i/>
          <w:spacing w:val="40"/>
          <w:sz w:val="24"/>
        </w:rPr>
        <w:t> </w:t>
      </w:r>
      <w:r>
        <w:rPr>
          <w:b/>
          <w:i/>
          <w:sz w:val="24"/>
        </w:rPr>
        <w:t>existing</w:t>
      </w:r>
      <w:r>
        <w:rPr>
          <w:b/>
          <w:i/>
          <w:spacing w:val="40"/>
          <w:sz w:val="24"/>
        </w:rPr>
        <w:t> </w:t>
      </w:r>
      <w:r>
        <w:rPr>
          <w:b/>
          <w:i/>
          <w:sz w:val="24"/>
        </w:rPr>
        <w:t>amenity:</w:t>
      </w:r>
      <w:r>
        <w:rPr>
          <w:b/>
          <w:i/>
          <w:spacing w:val="40"/>
          <w:sz w:val="24"/>
        </w:rPr>
        <w:t> </w:t>
      </w:r>
      <w:r>
        <w:rPr>
          <w:sz w:val="24"/>
        </w:rPr>
        <w:t>Where</w:t>
      </w:r>
      <w:r>
        <w:rPr>
          <w:spacing w:val="40"/>
          <w:sz w:val="24"/>
        </w:rPr>
        <w:t> </w:t>
      </w:r>
      <w:r>
        <w:rPr>
          <w:sz w:val="24"/>
        </w:rPr>
        <w:t>a</w:t>
      </w:r>
      <w:r>
        <w:rPr>
          <w:spacing w:val="40"/>
          <w:sz w:val="24"/>
        </w:rPr>
        <w:t> </w:t>
      </w:r>
      <w:r>
        <w:rPr>
          <w:sz w:val="24"/>
        </w:rPr>
        <w:t>building</w:t>
      </w:r>
      <w:r>
        <w:rPr>
          <w:spacing w:val="40"/>
          <w:sz w:val="24"/>
        </w:rPr>
        <w:t> </w:t>
      </w:r>
      <w:r>
        <w:rPr>
          <w:sz w:val="24"/>
        </w:rPr>
        <w:t>exists</w:t>
      </w:r>
      <w:r>
        <w:rPr>
          <w:spacing w:val="40"/>
          <w:sz w:val="24"/>
        </w:rPr>
        <w:t> </w:t>
      </w:r>
      <w:r>
        <w:rPr>
          <w:sz w:val="24"/>
        </w:rPr>
        <w:t>on</w:t>
      </w:r>
      <w:r>
        <w:rPr>
          <w:spacing w:val="40"/>
          <w:sz w:val="24"/>
        </w:rPr>
        <w:t> </w:t>
      </w:r>
      <w:r>
        <w:rPr>
          <w:sz w:val="24"/>
        </w:rPr>
        <w:t>a</w:t>
      </w:r>
      <w:r>
        <w:rPr>
          <w:spacing w:val="40"/>
          <w:sz w:val="24"/>
        </w:rPr>
        <w:t> </w:t>
      </w:r>
      <w:r>
        <w:rPr>
          <w:sz w:val="24"/>
        </w:rPr>
        <w:t>site</w:t>
      </w:r>
      <w:r>
        <w:rPr>
          <w:spacing w:val="40"/>
          <w:sz w:val="24"/>
        </w:rPr>
        <w:t> </w:t>
      </w:r>
      <w:r>
        <w:rPr>
          <w:sz w:val="24"/>
        </w:rPr>
        <w:t>shown</w:t>
      </w:r>
      <w:r>
        <w:rPr>
          <w:spacing w:val="40"/>
          <w:sz w:val="24"/>
        </w:rPr>
        <w:t> </w:t>
      </w:r>
      <w:r>
        <w:rPr>
          <w:sz w:val="24"/>
        </w:rPr>
        <w:t>as</w:t>
      </w:r>
      <w:r>
        <w:rPr>
          <w:spacing w:val="80"/>
          <w:sz w:val="24"/>
        </w:rPr>
        <w:t> </w:t>
      </w:r>
      <w:r>
        <w:rPr>
          <w:sz w:val="24"/>
        </w:rPr>
        <w:t>existing</w:t>
      </w:r>
      <w:r>
        <w:rPr>
          <w:spacing w:val="40"/>
          <w:sz w:val="24"/>
        </w:rPr>
        <w:t> </w:t>
      </w:r>
      <w:r>
        <w:rPr>
          <w:sz w:val="24"/>
        </w:rPr>
        <w:t>amenity</w:t>
      </w:r>
      <w:r>
        <w:rPr>
          <w:spacing w:val="40"/>
          <w:sz w:val="24"/>
        </w:rPr>
        <w:t>  </w:t>
      </w:r>
      <w:r>
        <w:rPr>
          <w:spacing w:val="11"/>
          <w:sz w:val="24"/>
        </w:rPr>
        <w:t>in </w:t>
      </w:r>
      <w:r>
        <w:rPr>
          <w:sz w:val="24"/>
        </w:rPr>
        <w:t>the DP, only its appropriate part of land as used for such</w:t>
      </w:r>
      <w:r>
        <w:rPr>
          <w:spacing w:val="40"/>
          <w:sz w:val="24"/>
        </w:rPr>
        <w:t> </w:t>
      </w:r>
      <w:r>
        <w:rPr>
          <w:sz w:val="24"/>
        </w:rPr>
        <w:t>existing amenity</w:t>
      </w:r>
      <w:r>
        <w:rPr>
          <w:spacing w:val="40"/>
          <w:sz w:val="24"/>
        </w:rPr>
        <w:t> </w:t>
      </w:r>
      <w:r>
        <w:rPr>
          <w:sz w:val="24"/>
        </w:rPr>
        <w:t>,</w:t>
      </w:r>
      <w:r>
        <w:rPr>
          <w:spacing w:val="40"/>
          <w:sz w:val="24"/>
        </w:rPr>
        <w:t> </w:t>
      </w:r>
      <w:r>
        <w:rPr>
          <w:sz w:val="24"/>
        </w:rPr>
        <w:t>shall</w:t>
      </w:r>
      <w:r>
        <w:rPr>
          <w:spacing w:val="40"/>
          <w:sz w:val="24"/>
        </w:rPr>
        <w:t> </w:t>
      </w:r>
      <w:r>
        <w:rPr>
          <w:sz w:val="24"/>
        </w:rPr>
        <w:t>be</w:t>
      </w:r>
      <w:r>
        <w:rPr>
          <w:spacing w:val="40"/>
          <w:sz w:val="24"/>
        </w:rPr>
        <w:t> </w:t>
      </w:r>
      <w:r>
        <w:rPr>
          <w:sz w:val="24"/>
        </w:rPr>
        <w:t>used</w:t>
      </w:r>
      <w:r>
        <w:rPr>
          <w:spacing w:val="40"/>
          <w:sz w:val="24"/>
        </w:rPr>
        <w:t> </w:t>
      </w:r>
      <w:r>
        <w:rPr>
          <w:sz w:val="24"/>
        </w:rPr>
        <w:t>for</w:t>
      </w:r>
      <w:r>
        <w:rPr>
          <w:spacing w:val="40"/>
          <w:sz w:val="24"/>
        </w:rPr>
        <w:t> </w:t>
      </w:r>
      <w:r>
        <w:rPr>
          <w:sz w:val="24"/>
        </w:rPr>
        <w:t>the</w:t>
      </w:r>
      <w:r>
        <w:rPr>
          <w:spacing w:val="40"/>
          <w:sz w:val="24"/>
        </w:rPr>
        <w:t> </w:t>
      </w:r>
      <w:r>
        <w:rPr>
          <w:sz w:val="24"/>
        </w:rPr>
        <w:t>said</w:t>
      </w:r>
      <w:r>
        <w:rPr>
          <w:spacing w:val="40"/>
          <w:sz w:val="24"/>
        </w:rPr>
        <w:t> </w:t>
      </w:r>
      <w:r>
        <w:rPr>
          <w:sz w:val="24"/>
        </w:rPr>
        <w:t>purpose</w:t>
      </w:r>
      <w:r>
        <w:rPr>
          <w:spacing w:val="40"/>
          <w:sz w:val="24"/>
        </w:rPr>
        <w:t> </w:t>
      </w:r>
      <w:r>
        <w:rPr>
          <w:sz w:val="24"/>
        </w:rPr>
        <w:t>and</w:t>
      </w:r>
      <w:r>
        <w:rPr>
          <w:spacing w:val="40"/>
          <w:sz w:val="24"/>
        </w:rPr>
        <w:t> </w:t>
      </w:r>
      <w:r>
        <w:rPr>
          <w:sz w:val="24"/>
        </w:rPr>
        <w:t>the</w:t>
      </w:r>
      <w:r>
        <w:rPr>
          <w:spacing w:val="40"/>
          <w:sz w:val="24"/>
        </w:rPr>
        <w:t> </w:t>
      </w:r>
      <w:r>
        <w:rPr>
          <w:sz w:val="24"/>
        </w:rPr>
        <w:t>remaining part</w:t>
      </w:r>
      <w:r>
        <w:rPr>
          <w:spacing w:val="40"/>
          <w:sz w:val="24"/>
        </w:rPr>
        <w:t> </w:t>
      </w:r>
      <w:r>
        <w:rPr>
          <w:sz w:val="24"/>
        </w:rPr>
        <w:t>of</w:t>
      </w:r>
      <w:r>
        <w:rPr>
          <w:spacing w:val="40"/>
          <w:sz w:val="24"/>
        </w:rPr>
        <w:t> </w:t>
      </w:r>
      <w:r>
        <w:rPr>
          <w:sz w:val="24"/>
        </w:rPr>
        <w:t>the</w:t>
      </w:r>
      <w:r>
        <w:rPr>
          <w:spacing w:val="40"/>
          <w:sz w:val="24"/>
        </w:rPr>
        <w:t> </w:t>
      </w:r>
      <w:r>
        <w:rPr>
          <w:sz w:val="24"/>
        </w:rPr>
        <w:t>land/building</w:t>
      </w:r>
      <w:r>
        <w:rPr>
          <w:spacing w:val="40"/>
          <w:sz w:val="24"/>
        </w:rPr>
        <w:t> </w:t>
      </w:r>
      <w:r>
        <w:rPr>
          <w:sz w:val="24"/>
        </w:rPr>
        <w:t>of</w:t>
      </w:r>
      <w:r>
        <w:rPr>
          <w:spacing w:val="40"/>
          <w:sz w:val="24"/>
        </w:rPr>
        <w:t> </w:t>
      </w:r>
      <w:r>
        <w:rPr>
          <w:sz w:val="24"/>
        </w:rPr>
        <w:t>the</w:t>
      </w:r>
      <w:r>
        <w:rPr>
          <w:spacing w:val="40"/>
          <w:sz w:val="24"/>
        </w:rPr>
        <w:t> </w:t>
      </w:r>
      <w:r>
        <w:rPr>
          <w:sz w:val="24"/>
        </w:rPr>
        <w:t>developable</w:t>
      </w:r>
      <w:r>
        <w:rPr>
          <w:spacing w:val="40"/>
          <w:sz w:val="24"/>
        </w:rPr>
        <w:t> </w:t>
      </w:r>
      <w:r>
        <w:rPr>
          <w:sz w:val="24"/>
        </w:rPr>
        <w:t>land</w:t>
      </w:r>
      <w:r>
        <w:rPr>
          <w:spacing w:val="40"/>
          <w:sz w:val="24"/>
        </w:rPr>
        <w:t> </w:t>
      </w:r>
      <w:r>
        <w:rPr>
          <w:sz w:val="24"/>
        </w:rPr>
        <w:t>may</w:t>
      </w:r>
      <w:r>
        <w:rPr>
          <w:spacing w:val="40"/>
          <w:sz w:val="24"/>
        </w:rPr>
        <w:t> </w:t>
      </w:r>
      <w:r>
        <w:rPr>
          <w:sz w:val="24"/>
        </w:rPr>
        <w:t>be</w:t>
      </w:r>
      <w:r>
        <w:rPr>
          <w:spacing w:val="40"/>
          <w:sz w:val="24"/>
        </w:rPr>
        <w:t> </w:t>
      </w:r>
      <w:r>
        <w:rPr>
          <w:sz w:val="24"/>
        </w:rPr>
        <w:t>put</w:t>
      </w:r>
      <w:r>
        <w:rPr>
          <w:spacing w:val="40"/>
          <w:sz w:val="24"/>
        </w:rPr>
        <w:t> </w:t>
      </w:r>
      <w:r>
        <w:rPr>
          <w:sz w:val="24"/>
        </w:rPr>
        <w:t>to</w:t>
      </w:r>
      <w:r>
        <w:rPr>
          <w:spacing w:val="40"/>
          <w:sz w:val="24"/>
        </w:rPr>
        <w:t> </w:t>
      </w:r>
      <w:r>
        <w:rPr>
          <w:sz w:val="24"/>
        </w:rPr>
        <w:t>use in conformity with the purpose of development as otherwise permissible</w:t>
      </w:r>
      <w:r>
        <w:rPr>
          <w:spacing w:val="40"/>
          <w:sz w:val="24"/>
        </w:rPr>
        <w:t> </w:t>
      </w:r>
      <w:r>
        <w:rPr>
          <w:sz w:val="24"/>
        </w:rPr>
        <w:t>in</w:t>
      </w:r>
      <w:r>
        <w:rPr>
          <w:spacing w:val="40"/>
          <w:sz w:val="24"/>
        </w:rPr>
        <w:t> </w:t>
      </w:r>
      <w:r>
        <w:rPr>
          <w:sz w:val="24"/>
        </w:rPr>
        <w:t>these</w:t>
      </w:r>
      <w:r>
        <w:rPr>
          <w:spacing w:val="40"/>
          <w:sz w:val="24"/>
        </w:rPr>
        <w:t> </w:t>
      </w:r>
      <w:r>
        <w:rPr>
          <w:sz w:val="24"/>
        </w:rPr>
        <w:t>Regulations.</w:t>
      </w:r>
    </w:p>
    <w:p>
      <w:pPr>
        <w:pStyle w:val="ListParagraph"/>
        <w:numPr>
          <w:ilvl w:val="0"/>
          <w:numId w:val="23"/>
        </w:numPr>
        <w:tabs>
          <w:tab w:pos="1800" w:val="left" w:leader="none"/>
        </w:tabs>
        <w:spacing w:line="240" w:lineRule="auto" w:before="242" w:after="0"/>
        <w:ind w:left="1800" w:right="1078" w:hanging="449"/>
        <w:jc w:val="both"/>
        <w:rPr>
          <w:sz w:val="24"/>
        </w:rPr>
      </w:pPr>
      <w:r>
        <w:rPr>
          <w:b/>
          <w:i/>
          <w:sz w:val="24"/>
        </w:rPr>
        <w:t>Development of Amenity plot: </w:t>
      </w:r>
      <w:r>
        <w:rPr>
          <w:sz w:val="24"/>
        </w:rPr>
        <w:t>Wherever possession of lands </w:t>
      </w:r>
      <w:r>
        <w:rPr>
          <w:spacing w:val="12"/>
          <w:sz w:val="24"/>
        </w:rPr>
        <w:t>is </w:t>
      </w:r>
      <w:r>
        <w:rPr>
          <w:sz w:val="24"/>
        </w:rPr>
        <w:t>obtained</w:t>
      </w:r>
      <w:r>
        <w:rPr>
          <w:spacing w:val="40"/>
          <w:sz w:val="24"/>
        </w:rPr>
        <w:t> </w:t>
      </w:r>
      <w:r>
        <w:rPr>
          <w:sz w:val="24"/>
        </w:rPr>
        <w:t>by</w:t>
      </w:r>
      <w:r>
        <w:rPr>
          <w:spacing w:val="40"/>
          <w:sz w:val="24"/>
        </w:rPr>
        <w:t> </w:t>
      </w:r>
      <w:r>
        <w:rPr>
          <w:sz w:val="24"/>
        </w:rPr>
        <w:t>the</w:t>
      </w:r>
      <w:r>
        <w:rPr>
          <w:spacing w:val="40"/>
          <w:sz w:val="24"/>
        </w:rPr>
        <w:t> </w:t>
      </w:r>
      <w:r>
        <w:rPr>
          <w:sz w:val="24"/>
        </w:rPr>
        <w:t>Planning</w:t>
      </w:r>
      <w:r>
        <w:rPr>
          <w:spacing w:val="40"/>
          <w:sz w:val="24"/>
        </w:rPr>
        <w:t> </w:t>
      </w:r>
      <w:r>
        <w:rPr>
          <w:sz w:val="24"/>
        </w:rPr>
        <w:t>or</w:t>
      </w:r>
      <w:r>
        <w:rPr>
          <w:spacing w:val="40"/>
          <w:sz w:val="24"/>
        </w:rPr>
        <w:t> </w:t>
      </w:r>
      <w:r>
        <w:rPr>
          <w:sz w:val="24"/>
        </w:rPr>
        <w:t>Appropriate</w:t>
      </w:r>
      <w:r>
        <w:rPr>
          <w:spacing w:val="40"/>
          <w:sz w:val="24"/>
        </w:rPr>
        <w:t> </w:t>
      </w:r>
      <w:r>
        <w:rPr>
          <w:sz w:val="24"/>
        </w:rPr>
        <w:t>Authority</w:t>
      </w:r>
      <w:r>
        <w:rPr>
          <w:spacing w:val="40"/>
          <w:sz w:val="24"/>
        </w:rPr>
        <w:t> </w:t>
      </w:r>
      <w:r>
        <w:rPr>
          <w:sz w:val="24"/>
        </w:rPr>
        <w:t>as</w:t>
      </w:r>
      <w:r>
        <w:rPr>
          <w:spacing w:val="40"/>
          <w:sz w:val="24"/>
        </w:rPr>
        <w:t> </w:t>
      </w:r>
      <w:r>
        <w:rPr>
          <w:sz w:val="24"/>
        </w:rPr>
        <w:t>an</w:t>
      </w:r>
      <w:r>
        <w:rPr>
          <w:spacing w:val="40"/>
          <w:sz w:val="24"/>
        </w:rPr>
        <w:t> </w:t>
      </w:r>
      <w:r>
        <w:rPr>
          <w:sz w:val="24"/>
        </w:rPr>
        <w:t>amenity plot</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these</w:t>
      </w:r>
      <w:r>
        <w:rPr>
          <w:spacing w:val="40"/>
          <w:sz w:val="24"/>
        </w:rPr>
        <w:t> </w:t>
      </w:r>
      <w:r>
        <w:rPr>
          <w:sz w:val="24"/>
        </w:rPr>
        <w:t>Regulations,</w:t>
      </w:r>
      <w:r>
        <w:rPr>
          <w:spacing w:val="40"/>
          <w:sz w:val="24"/>
        </w:rPr>
        <w:t> </w:t>
      </w:r>
      <w:r>
        <w:rPr>
          <w:sz w:val="24"/>
        </w:rPr>
        <w:t>such</w:t>
      </w:r>
      <w:r>
        <w:rPr>
          <w:spacing w:val="40"/>
          <w:sz w:val="24"/>
        </w:rPr>
        <w:t> </w:t>
      </w:r>
      <w:r>
        <w:rPr>
          <w:sz w:val="24"/>
        </w:rPr>
        <w:t>entire</w:t>
      </w:r>
      <w:r>
        <w:rPr>
          <w:spacing w:val="40"/>
          <w:sz w:val="24"/>
        </w:rPr>
        <w:t> </w:t>
      </w:r>
      <w:r>
        <w:rPr>
          <w:sz w:val="24"/>
        </w:rPr>
        <w:t>plot shall be used exclusively for public purpose as decided by the Municipal Commissioner, without applying provisions of Accommodation</w:t>
      </w:r>
      <w:r>
        <w:rPr>
          <w:spacing w:val="80"/>
          <w:sz w:val="24"/>
        </w:rPr>
        <w:t> </w:t>
      </w:r>
      <w:r>
        <w:rPr>
          <w:sz w:val="24"/>
        </w:rPr>
        <w:t>Reservation</w:t>
      </w:r>
      <w:r>
        <w:rPr>
          <w:spacing w:val="80"/>
          <w:sz w:val="24"/>
        </w:rPr>
        <w:t> </w:t>
      </w:r>
      <w:r>
        <w:rPr>
          <w:sz w:val="24"/>
        </w:rPr>
        <w:t>(AR)</w:t>
      </w:r>
      <w:r>
        <w:rPr>
          <w:spacing w:val="80"/>
          <w:sz w:val="24"/>
        </w:rPr>
        <w:t> </w:t>
      </w:r>
      <w:r>
        <w:rPr>
          <w:sz w:val="24"/>
        </w:rPr>
        <w:t>under</w:t>
      </w:r>
      <w:r>
        <w:rPr>
          <w:spacing w:val="80"/>
          <w:sz w:val="24"/>
        </w:rPr>
        <w:t> </w:t>
      </w:r>
      <w:r>
        <w:rPr>
          <w:sz w:val="24"/>
        </w:rPr>
        <w:t>Regulation</w:t>
      </w:r>
      <w:r>
        <w:rPr>
          <w:spacing w:val="80"/>
          <w:sz w:val="24"/>
        </w:rPr>
        <w:t> </w:t>
      </w:r>
      <w:r>
        <w:rPr>
          <w:sz w:val="24"/>
        </w:rPr>
        <w:t>No.</w:t>
      </w:r>
      <w:r>
        <w:rPr>
          <w:spacing w:val="80"/>
          <w:sz w:val="24"/>
        </w:rPr>
        <w:t> </w:t>
      </w:r>
      <w:r>
        <w:rPr>
          <w:sz w:val="24"/>
        </w:rPr>
        <w:t>17.</w:t>
      </w:r>
    </w:p>
    <w:p>
      <w:pPr>
        <w:pStyle w:val="ListParagraph"/>
        <w:numPr>
          <w:ilvl w:val="1"/>
          <w:numId w:val="10"/>
        </w:numPr>
        <w:tabs>
          <w:tab w:pos="1438" w:val="left" w:leader="none"/>
          <w:tab w:pos="1440" w:val="left" w:leader="none"/>
        </w:tabs>
        <w:spacing w:line="240" w:lineRule="auto" w:before="239" w:after="0"/>
        <w:ind w:left="1440" w:right="1085" w:hanging="360"/>
        <w:jc w:val="both"/>
        <w:rPr>
          <w:sz w:val="24"/>
        </w:rPr>
      </w:pPr>
      <w:r>
        <w:rPr>
          <w:b/>
          <w:i/>
          <w:sz w:val="24"/>
        </w:rPr>
        <w:t>Combination of public purposes/uses in reserved sites</w:t>
      </w:r>
      <w:r>
        <w:rPr>
          <w:b/>
          <w:sz w:val="24"/>
        </w:rPr>
        <w:t>: </w:t>
      </w:r>
      <w:r>
        <w:rPr>
          <w:sz w:val="24"/>
        </w:rPr>
        <w:t>Where the Corporation or the Appropriate Authority proposes to use land/building/premises</w:t>
      </w:r>
      <w:r>
        <w:rPr>
          <w:spacing w:val="40"/>
          <w:sz w:val="24"/>
        </w:rPr>
        <w:t> </w:t>
      </w:r>
      <w:r>
        <w:rPr>
          <w:sz w:val="24"/>
        </w:rPr>
        <w:t>reserved</w:t>
      </w:r>
      <w:r>
        <w:rPr>
          <w:spacing w:val="40"/>
          <w:sz w:val="24"/>
        </w:rPr>
        <w:t> </w:t>
      </w:r>
      <w:r>
        <w:rPr>
          <w:sz w:val="24"/>
        </w:rPr>
        <w:t>for</w:t>
      </w:r>
      <w:r>
        <w:rPr>
          <w:spacing w:val="40"/>
          <w:sz w:val="24"/>
        </w:rPr>
        <w:t> </w:t>
      </w:r>
      <w:r>
        <w:rPr>
          <w:sz w:val="24"/>
        </w:rPr>
        <w:t>a</w:t>
      </w:r>
      <w:r>
        <w:rPr>
          <w:spacing w:val="40"/>
          <w:sz w:val="24"/>
        </w:rPr>
        <w:t> </w:t>
      </w:r>
      <w:r>
        <w:rPr>
          <w:sz w:val="24"/>
        </w:rPr>
        <w:t>specific</w:t>
      </w:r>
      <w:r>
        <w:rPr>
          <w:spacing w:val="40"/>
          <w:sz w:val="24"/>
        </w:rPr>
        <w:t> </w:t>
      </w:r>
      <w:r>
        <w:rPr>
          <w:sz w:val="24"/>
        </w:rPr>
        <w:t>public purpose/purposes,</w:t>
      </w:r>
      <w:r>
        <w:rPr>
          <w:spacing w:val="74"/>
          <w:w w:val="150"/>
          <w:sz w:val="24"/>
        </w:rPr>
        <w:t> </w:t>
      </w:r>
      <w:r>
        <w:rPr>
          <w:sz w:val="24"/>
        </w:rPr>
        <w:t>for</w:t>
      </w:r>
      <w:r>
        <w:rPr>
          <w:spacing w:val="72"/>
          <w:w w:val="150"/>
          <w:sz w:val="24"/>
        </w:rPr>
        <w:t> </w:t>
      </w:r>
      <w:r>
        <w:rPr>
          <w:sz w:val="24"/>
        </w:rPr>
        <w:t>a</w:t>
      </w:r>
      <w:r>
        <w:rPr>
          <w:spacing w:val="71"/>
          <w:w w:val="150"/>
          <w:sz w:val="24"/>
        </w:rPr>
        <w:t> </w:t>
      </w:r>
      <w:r>
        <w:rPr>
          <w:sz w:val="24"/>
        </w:rPr>
        <w:t>different</w:t>
      </w:r>
      <w:r>
        <w:rPr>
          <w:spacing w:val="71"/>
          <w:w w:val="150"/>
          <w:sz w:val="24"/>
        </w:rPr>
        <w:t> </w:t>
      </w:r>
      <w:r>
        <w:rPr>
          <w:sz w:val="24"/>
        </w:rPr>
        <w:t>public</w:t>
      </w:r>
      <w:r>
        <w:rPr>
          <w:spacing w:val="71"/>
          <w:w w:val="150"/>
          <w:sz w:val="24"/>
        </w:rPr>
        <w:t> </w:t>
      </w:r>
      <w:r>
        <w:rPr>
          <w:sz w:val="24"/>
        </w:rPr>
        <w:t>purpose/purposes,</w:t>
      </w:r>
      <w:r>
        <w:rPr>
          <w:spacing w:val="71"/>
          <w:w w:val="150"/>
          <w:sz w:val="24"/>
        </w:rPr>
        <w:t> </w:t>
      </w:r>
      <w:r>
        <w:rPr>
          <w:sz w:val="24"/>
        </w:rPr>
        <w:t>it</w:t>
      </w:r>
      <w:r>
        <w:rPr>
          <w:spacing w:val="71"/>
          <w:w w:val="150"/>
          <w:sz w:val="24"/>
        </w:rPr>
        <w:t> </w:t>
      </w:r>
      <w:r>
        <w:rPr>
          <w:sz w:val="24"/>
        </w:rPr>
        <w:t>may</w:t>
      </w:r>
    </w:p>
    <w:p>
      <w:pPr>
        <w:pStyle w:val="ListParagraph"/>
        <w:spacing w:after="0" w:line="240" w:lineRule="auto"/>
        <w:jc w:val="both"/>
        <w:rPr>
          <w:sz w:val="24"/>
        </w:rPr>
        <w:sectPr>
          <w:pgSz w:w="11910" w:h="16840"/>
          <w:pgMar w:header="746" w:footer="968" w:top="1180" w:bottom="1160" w:left="360" w:right="360"/>
        </w:sectPr>
      </w:pPr>
    </w:p>
    <w:p>
      <w:pPr>
        <w:pStyle w:val="BodyText"/>
        <w:spacing w:before="251"/>
        <w:ind w:left="1440" w:right="1093"/>
      </w:pPr>
      <w:r>
        <w:rPr/>
        <w:t>do</w:t>
      </w:r>
      <w:r>
        <w:rPr>
          <w:spacing w:val="40"/>
        </w:rPr>
        <w:t> </w:t>
      </w:r>
      <w:r>
        <w:rPr/>
        <w:t>so,</w:t>
      </w:r>
      <w:r>
        <w:rPr>
          <w:spacing w:val="40"/>
        </w:rPr>
        <w:t> </w:t>
      </w:r>
      <w:r>
        <w:rPr/>
        <w:t>with</w:t>
      </w:r>
      <w:r>
        <w:rPr>
          <w:spacing w:val="40"/>
        </w:rPr>
        <w:t> </w:t>
      </w:r>
      <w:r>
        <w:rPr/>
        <w:t>the</w:t>
      </w:r>
      <w:r>
        <w:rPr>
          <w:spacing w:val="40"/>
        </w:rPr>
        <w:t> </w:t>
      </w:r>
      <w:r>
        <w:rPr/>
        <w:t>previous</w:t>
      </w:r>
      <w:r>
        <w:rPr>
          <w:spacing w:val="40"/>
        </w:rPr>
        <w:t> </w:t>
      </w:r>
      <w:r>
        <w:rPr/>
        <w:t>approval</w:t>
      </w:r>
      <w:r>
        <w:rPr>
          <w:spacing w:val="40"/>
        </w:rPr>
        <w:t> </w:t>
      </w:r>
      <w:r>
        <w:rPr/>
        <w:t>of</w:t>
      </w:r>
      <w:r>
        <w:rPr>
          <w:spacing w:val="40"/>
        </w:rPr>
        <w:t> </w:t>
      </w:r>
      <w:r>
        <w:rPr/>
        <w:t>the</w:t>
      </w:r>
      <w:r>
        <w:rPr>
          <w:spacing w:val="40"/>
        </w:rPr>
        <w:t> </w:t>
      </w:r>
      <w:r>
        <w:rPr/>
        <w:t>Government,</w:t>
      </w:r>
      <w:r>
        <w:rPr>
          <w:spacing w:val="40"/>
        </w:rPr>
        <w:t> </w:t>
      </w:r>
      <w:r>
        <w:rPr/>
        <w:t>provided</w:t>
      </w:r>
      <w:r>
        <w:rPr>
          <w:spacing w:val="40"/>
        </w:rPr>
        <w:t> </w:t>
      </w:r>
      <w:r>
        <w:rPr/>
        <w:t>that the</w:t>
      </w:r>
      <w:r>
        <w:rPr>
          <w:spacing w:val="40"/>
        </w:rPr>
        <w:t> </w:t>
      </w:r>
      <w:r>
        <w:rPr/>
        <w:t>combination</w:t>
      </w:r>
      <w:r>
        <w:rPr>
          <w:spacing w:val="40"/>
        </w:rPr>
        <w:t> </w:t>
      </w:r>
      <w:r>
        <w:rPr/>
        <w:t>of</w:t>
      </w:r>
      <w:r>
        <w:rPr>
          <w:spacing w:val="40"/>
        </w:rPr>
        <w:t> </w:t>
      </w:r>
      <w:r>
        <w:rPr/>
        <w:t>such</w:t>
      </w:r>
      <w:r>
        <w:rPr>
          <w:spacing w:val="40"/>
        </w:rPr>
        <w:t> </w:t>
      </w:r>
      <w:r>
        <w:rPr/>
        <w:t>different</w:t>
      </w:r>
      <w:r>
        <w:rPr>
          <w:spacing w:val="40"/>
        </w:rPr>
        <w:t> </w:t>
      </w:r>
      <w:r>
        <w:rPr/>
        <w:t>uses</w:t>
      </w:r>
      <w:r>
        <w:rPr>
          <w:spacing w:val="40"/>
        </w:rPr>
        <w:t> </w:t>
      </w:r>
      <w:r>
        <w:rPr/>
        <w:t>conform</w:t>
      </w:r>
      <w:r>
        <w:rPr>
          <w:spacing w:val="40"/>
        </w:rPr>
        <w:t> </w:t>
      </w:r>
      <w:r>
        <w:rPr/>
        <w:t>to</w:t>
      </w:r>
      <w:r>
        <w:rPr>
          <w:spacing w:val="40"/>
        </w:rPr>
        <w:t> </w:t>
      </w:r>
      <w:r>
        <w:rPr/>
        <w:t>these</w:t>
      </w:r>
      <w:r>
        <w:rPr>
          <w:spacing w:val="40"/>
        </w:rPr>
        <w:t> </w:t>
      </w:r>
      <w:r>
        <w:rPr/>
        <w:t>Regulations and the permissible use in the zone in which the site falls.</w:t>
      </w:r>
      <w:r>
        <w:rPr>
          <w:spacing w:val="40"/>
        </w:rPr>
        <w:t> </w:t>
      </w:r>
      <w:r>
        <w:rPr/>
        <w:t>Provided further</w:t>
      </w:r>
      <w:r>
        <w:rPr>
          <w:spacing w:val="40"/>
        </w:rPr>
        <w:t> </w:t>
      </w:r>
      <w:r>
        <w:rPr/>
        <w:t>that</w:t>
      </w:r>
      <w:r>
        <w:rPr>
          <w:spacing w:val="40"/>
        </w:rPr>
        <w:t> </w:t>
      </w:r>
      <w:r>
        <w:rPr/>
        <w:t>this</w:t>
      </w:r>
      <w:r>
        <w:rPr>
          <w:spacing w:val="40"/>
        </w:rPr>
        <w:t> </w:t>
      </w:r>
      <w:r>
        <w:rPr/>
        <w:t>shall</w:t>
      </w:r>
      <w:r>
        <w:rPr>
          <w:spacing w:val="40"/>
        </w:rPr>
        <w:t> </w:t>
      </w:r>
      <w:r>
        <w:rPr/>
        <w:t>not</w:t>
      </w:r>
      <w:r>
        <w:rPr>
          <w:spacing w:val="40"/>
        </w:rPr>
        <w:t> </w:t>
      </w:r>
      <w:r>
        <w:rPr/>
        <w:t>apply</w:t>
      </w:r>
    </w:p>
    <w:p>
      <w:pPr>
        <w:pStyle w:val="ListParagraph"/>
        <w:numPr>
          <w:ilvl w:val="0"/>
          <w:numId w:val="24"/>
        </w:numPr>
        <w:tabs>
          <w:tab w:pos="2563" w:val="left" w:leader="none"/>
          <w:tab w:pos="2566" w:val="left" w:leader="none"/>
        </w:tabs>
        <w:spacing w:line="240" w:lineRule="auto" w:before="242" w:after="0"/>
        <w:ind w:left="2566" w:right="1089" w:hanging="766"/>
        <w:jc w:val="both"/>
        <w:rPr>
          <w:sz w:val="24"/>
        </w:rPr>
      </w:pPr>
      <w:r>
        <w:rPr>
          <w:sz w:val="24"/>
        </w:rPr>
        <w:t>to</w:t>
      </w:r>
      <w:r>
        <w:rPr>
          <w:spacing w:val="40"/>
          <w:sz w:val="24"/>
        </w:rPr>
        <w:t> </w:t>
      </w:r>
      <w:r>
        <w:rPr>
          <w:sz w:val="24"/>
        </w:rPr>
        <w:t>any</w:t>
      </w:r>
      <w:r>
        <w:rPr>
          <w:spacing w:val="40"/>
          <w:sz w:val="24"/>
        </w:rPr>
        <w:t> </w:t>
      </w:r>
      <w:r>
        <w:rPr>
          <w:sz w:val="24"/>
        </w:rPr>
        <w:t>site</w:t>
      </w:r>
      <w:r>
        <w:rPr>
          <w:spacing w:val="40"/>
          <w:sz w:val="24"/>
        </w:rPr>
        <w:t> </w:t>
      </w:r>
      <w:r>
        <w:rPr>
          <w:sz w:val="24"/>
        </w:rPr>
        <w:t>being</w:t>
      </w:r>
      <w:r>
        <w:rPr>
          <w:spacing w:val="40"/>
          <w:sz w:val="24"/>
        </w:rPr>
        <w:t> </w:t>
      </w:r>
      <w:r>
        <w:rPr>
          <w:sz w:val="24"/>
        </w:rPr>
        <w:t>developed</w:t>
      </w:r>
      <w:r>
        <w:rPr>
          <w:spacing w:val="40"/>
          <w:sz w:val="24"/>
        </w:rPr>
        <w:t> </w:t>
      </w:r>
      <w:r>
        <w:rPr>
          <w:sz w:val="24"/>
        </w:rPr>
        <w:t>for</w:t>
      </w:r>
      <w:r>
        <w:rPr>
          <w:spacing w:val="40"/>
          <w:sz w:val="24"/>
        </w:rPr>
        <w:t> </w:t>
      </w:r>
      <w:r>
        <w:rPr>
          <w:sz w:val="24"/>
        </w:rPr>
        <w:t>education,</w:t>
      </w:r>
      <w:r>
        <w:rPr>
          <w:spacing w:val="40"/>
          <w:sz w:val="24"/>
        </w:rPr>
        <w:t> </w:t>
      </w:r>
      <w:r>
        <w:rPr>
          <w:sz w:val="24"/>
        </w:rPr>
        <w:t>wherein</w:t>
      </w:r>
      <w:r>
        <w:rPr>
          <w:spacing w:val="40"/>
          <w:sz w:val="24"/>
        </w:rPr>
        <w:t> </w:t>
      </w:r>
      <w:r>
        <w:rPr>
          <w:sz w:val="24"/>
        </w:rPr>
        <w:t>a</w:t>
      </w:r>
      <w:r>
        <w:rPr>
          <w:spacing w:val="40"/>
          <w:sz w:val="24"/>
        </w:rPr>
        <w:t> </w:t>
      </w:r>
      <w:r>
        <w:rPr>
          <w:sz w:val="24"/>
        </w:rPr>
        <w:t>branch of</w:t>
      </w:r>
      <w:r>
        <w:rPr>
          <w:spacing w:val="40"/>
          <w:sz w:val="24"/>
        </w:rPr>
        <w:t> </w:t>
      </w:r>
      <w:r>
        <w:rPr>
          <w:sz w:val="24"/>
        </w:rPr>
        <w:t>a</w:t>
      </w:r>
      <w:r>
        <w:rPr>
          <w:spacing w:val="40"/>
          <w:sz w:val="24"/>
        </w:rPr>
        <w:t> </w:t>
      </w:r>
      <w:r>
        <w:rPr>
          <w:sz w:val="24"/>
        </w:rPr>
        <w:t>bank/ATM</w:t>
      </w:r>
      <w:r>
        <w:rPr>
          <w:spacing w:val="40"/>
          <w:sz w:val="24"/>
        </w:rPr>
        <w:t> </w:t>
      </w:r>
      <w:r>
        <w:rPr>
          <w:sz w:val="24"/>
        </w:rPr>
        <w:t>may</w:t>
      </w:r>
      <w:r>
        <w:rPr>
          <w:spacing w:val="40"/>
          <w:sz w:val="24"/>
        </w:rPr>
        <w:t> </w:t>
      </w:r>
      <w:r>
        <w:rPr>
          <w:sz w:val="24"/>
        </w:rPr>
        <w:t>be</w:t>
      </w:r>
      <w:r>
        <w:rPr>
          <w:spacing w:val="40"/>
          <w:sz w:val="24"/>
        </w:rPr>
        <w:t> </w:t>
      </w:r>
      <w:r>
        <w:rPr>
          <w:sz w:val="24"/>
        </w:rPr>
        <w:t>allowed,</w:t>
      </w:r>
    </w:p>
    <w:p>
      <w:pPr>
        <w:pStyle w:val="ListParagraph"/>
        <w:numPr>
          <w:ilvl w:val="0"/>
          <w:numId w:val="24"/>
        </w:numPr>
        <w:tabs>
          <w:tab w:pos="2564" w:val="left" w:leader="none"/>
          <w:tab w:pos="2566" w:val="left" w:leader="none"/>
        </w:tabs>
        <w:spacing w:line="240" w:lineRule="auto" w:before="238" w:after="0"/>
        <w:ind w:left="2566" w:right="1080" w:hanging="766"/>
        <w:jc w:val="both"/>
        <w:rPr>
          <w:sz w:val="24"/>
        </w:rPr>
      </w:pPr>
      <w:r>
        <w:rPr>
          <w:sz w:val="24"/>
        </w:rPr>
        <w:t>to any site being developed for health, wherein shops of pharmacists</w:t>
      </w:r>
      <w:r>
        <w:rPr>
          <w:spacing w:val="40"/>
          <w:sz w:val="24"/>
        </w:rPr>
        <w:t> </w:t>
      </w:r>
      <w:r>
        <w:rPr>
          <w:sz w:val="24"/>
        </w:rPr>
        <w:t>or</w:t>
      </w:r>
      <w:r>
        <w:rPr>
          <w:spacing w:val="40"/>
          <w:sz w:val="24"/>
        </w:rPr>
        <w:t> </w:t>
      </w:r>
      <w:r>
        <w:rPr>
          <w:sz w:val="24"/>
        </w:rPr>
        <w:t>chemists</w:t>
      </w:r>
      <w:r>
        <w:rPr>
          <w:spacing w:val="40"/>
          <w:sz w:val="24"/>
        </w:rPr>
        <w:t> </w:t>
      </w:r>
      <w:r>
        <w:rPr>
          <w:sz w:val="24"/>
        </w:rPr>
        <w:t>/</w:t>
      </w:r>
      <w:r>
        <w:rPr>
          <w:spacing w:val="40"/>
          <w:sz w:val="24"/>
        </w:rPr>
        <w:t> </w:t>
      </w:r>
      <w:r>
        <w:rPr>
          <w:sz w:val="24"/>
        </w:rPr>
        <w:t>ATM</w:t>
      </w:r>
      <w:r>
        <w:rPr>
          <w:spacing w:val="40"/>
          <w:sz w:val="24"/>
        </w:rPr>
        <w:t> </w:t>
      </w:r>
      <w:r>
        <w:rPr>
          <w:sz w:val="24"/>
        </w:rPr>
        <w:t>may</w:t>
      </w:r>
      <w:r>
        <w:rPr>
          <w:spacing w:val="40"/>
          <w:sz w:val="24"/>
        </w:rPr>
        <w:t> </w:t>
      </w:r>
      <w:r>
        <w:rPr>
          <w:sz w:val="24"/>
        </w:rPr>
        <w:t>be</w:t>
      </w:r>
      <w:r>
        <w:rPr>
          <w:spacing w:val="40"/>
          <w:sz w:val="24"/>
        </w:rPr>
        <w:t> </w:t>
      </w:r>
      <w:r>
        <w:rPr>
          <w:sz w:val="24"/>
        </w:rPr>
        <w:t>permitted,</w:t>
      </w:r>
    </w:p>
    <w:p>
      <w:pPr>
        <w:pStyle w:val="ListParagraph"/>
        <w:numPr>
          <w:ilvl w:val="0"/>
          <w:numId w:val="24"/>
        </w:numPr>
        <w:tabs>
          <w:tab w:pos="2564" w:val="left" w:leader="none"/>
          <w:tab w:pos="2566" w:val="left" w:leader="none"/>
        </w:tabs>
        <w:spacing w:line="240" w:lineRule="auto" w:before="240" w:after="0"/>
        <w:ind w:left="2566" w:right="1093" w:hanging="766"/>
        <w:jc w:val="both"/>
        <w:rPr>
          <w:sz w:val="24"/>
        </w:rPr>
      </w:pPr>
      <w:r>
        <w:rPr>
          <w:sz w:val="24"/>
        </w:rPr>
        <w:t>to</w:t>
      </w:r>
      <w:r>
        <w:rPr>
          <w:spacing w:val="40"/>
          <w:sz w:val="24"/>
        </w:rPr>
        <w:t> </w:t>
      </w:r>
      <w:r>
        <w:rPr>
          <w:sz w:val="24"/>
        </w:rPr>
        <w:t>any</w:t>
      </w:r>
      <w:r>
        <w:rPr>
          <w:spacing w:val="40"/>
          <w:sz w:val="24"/>
        </w:rPr>
        <w:t> </w:t>
      </w:r>
      <w:r>
        <w:rPr>
          <w:sz w:val="24"/>
        </w:rPr>
        <w:t>site</w:t>
      </w:r>
      <w:r>
        <w:rPr>
          <w:spacing w:val="40"/>
          <w:sz w:val="24"/>
        </w:rPr>
        <w:t> </w:t>
      </w:r>
      <w:r>
        <w:rPr>
          <w:sz w:val="24"/>
        </w:rPr>
        <w:t>encumbered</w:t>
      </w:r>
      <w:r>
        <w:rPr>
          <w:spacing w:val="40"/>
          <w:sz w:val="24"/>
        </w:rPr>
        <w:t> </w:t>
      </w:r>
      <w:r>
        <w:rPr>
          <w:sz w:val="24"/>
        </w:rPr>
        <w:t>by</w:t>
      </w:r>
      <w:r>
        <w:rPr>
          <w:spacing w:val="40"/>
          <w:sz w:val="24"/>
        </w:rPr>
        <w:t> </w:t>
      </w:r>
      <w:r>
        <w:rPr>
          <w:sz w:val="24"/>
        </w:rPr>
        <w:t>another</w:t>
      </w:r>
      <w:r>
        <w:rPr>
          <w:spacing w:val="40"/>
          <w:sz w:val="24"/>
        </w:rPr>
        <w:t> </w:t>
      </w:r>
      <w:r>
        <w:rPr>
          <w:spacing w:val="11"/>
          <w:sz w:val="24"/>
        </w:rPr>
        <w:t>non-</w:t>
      </w:r>
      <w:r>
        <w:rPr>
          <w:sz w:val="24"/>
        </w:rPr>
        <w:t>educational</w:t>
      </w:r>
      <w:r>
        <w:rPr>
          <w:spacing w:val="40"/>
          <w:sz w:val="24"/>
        </w:rPr>
        <w:t> </w:t>
      </w:r>
      <w:r>
        <w:rPr>
          <w:sz w:val="24"/>
        </w:rPr>
        <w:t>user</w:t>
      </w:r>
      <w:r>
        <w:rPr>
          <w:spacing w:val="80"/>
          <w:sz w:val="24"/>
        </w:rPr>
        <w:t> </w:t>
      </w:r>
      <w:r>
        <w:rPr>
          <w:sz w:val="24"/>
        </w:rPr>
        <w:t>and</w:t>
      </w:r>
      <w:r>
        <w:rPr>
          <w:spacing w:val="40"/>
          <w:sz w:val="24"/>
        </w:rPr>
        <w:t> </w:t>
      </w:r>
      <w:r>
        <w:rPr>
          <w:sz w:val="24"/>
        </w:rPr>
        <w:t>being</w:t>
      </w:r>
      <w:r>
        <w:rPr>
          <w:spacing w:val="40"/>
          <w:sz w:val="24"/>
        </w:rPr>
        <w:t> </w:t>
      </w:r>
      <w:r>
        <w:rPr>
          <w:sz w:val="24"/>
        </w:rPr>
        <w:t>redeveloped</w:t>
      </w:r>
      <w:r>
        <w:rPr>
          <w:spacing w:val="40"/>
          <w:sz w:val="24"/>
        </w:rPr>
        <w:t> </w:t>
      </w:r>
      <w:r>
        <w:rPr>
          <w:sz w:val="24"/>
        </w:rPr>
        <w:t>for</w:t>
      </w:r>
      <w:r>
        <w:rPr>
          <w:spacing w:val="40"/>
          <w:sz w:val="24"/>
        </w:rPr>
        <w:t> </w:t>
      </w:r>
      <w:r>
        <w:rPr>
          <w:sz w:val="24"/>
        </w:rPr>
        <w:t>educational</w:t>
      </w:r>
      <w:r>
        <w:rPr>
          <w:spacing w:val="40"/>
          <w:sz w:val="24"/>
        </w:rPr>
        <w:t> </w:t>
      </w:r>
      <w:r>
        <w:rPr>
          <w:sz w:val="24"/>
        </w:rPr>
        <w:t>purposes,</w:t>
      </w:r>
      <w:r>
        <w:rPr>
          <w:spacing w:val="40"/>
          <w:sz w:val="24"/>
        </w:rPr>
        <w:t> </w:t>
      </w:r>
      <w:r>
        <w:rPr>
          <w:sz w:val="24"/>
        </w:rPr>
        <w:t>in</w:t>
      </w:r>
      <w:r>
        <w:rPr>
          <w:spacing w:val="40"/>
          <w:sz w:val="24"/>
        </w:rPr>
        <w:t> </w:t>
      </w:r>
      <w:r>
        <w:rPr>
          <w:sz w:val="24"/>
        </w:rPr>
        <w:t>which case the existing </w:t>
      </w:r>
      <w:r>
        <w:rPr>
          <w:spacing w:val="9"/>
          <w:sz w:val="24"/>
        </w:rPr>
        <w:t>non-</w:t>
      </w:r>
      <w:r>
        <w:rPr>
          <w:sz w:val="24"/>
        </w:rPr>
        <w:t>educational uses may be allowed to continue</w:t>
      </w:r>
      <w:r>
        <w:rPr>
          <w:spacing w:val="40"/>
          <w:sz w:val="24"/>
        </w:rPr>
        <w:t> </w:t>
      </w:r>
      <w:r>
        <w:rPr>
          <w:sz w:val="24"/>
        </w:rPr>
        <w:t>without</w:t>
      </w:r>
      <w:r>
        <w:rPr>
          <w:spacing w:val="40"/>
          <w:sz w:val="24"/>
        </w:rPr>
        <w:t> </w:t>
      </w:r>
      <w:r>
        <w:rPr>
          <w:sz w:val="24"/>
        </w:rPr>
        <w:t>any</w:t>
      </w:r>
      <w:r>
        <w:rPr>
          <w:spacing w:val="40"/>
          <w:sz w:val="24"/>
        </w:rPr>
        <w:t> </w:t>
      </w:r>
      <w:r>
        <w:rPr>
          <w:sz w:val="24"/>
        </w:rPr>
        <w:t>increase</w:t>
      </w:r>
      <w:r>
        <w:rPr>
          <w:spacing w:val="40"/>
          <w:sz w:val="24"/>
        </w:rPr>
        <w:t> </w:t>
      </w:r>
      <w:r>
        <w:rPr>
          <w:sz w:val="24"/>
        </w:rPr>
        <w:t>in</w:t>
      </w:r>
      <w:r>
        <w:rPr>
          <w:spacing w:val="40"/>
          <w:sz w:val="24"/>
        </w:rPr>
        <w:t> </w:t>
      </w:r>
      <w:r>
        <w:rPr>
          <w:sz w:val="24"/>
        </w:rPr>
        <w:t>the</w:t>
      </w:r>
      <w:r>
        <w:rPr>
          <w:spacing w:val="40"/>
          <w:sz w:val="24"/>
        </w:rPr>
        <w:t> </w:t>
      </w:r>
      <w:r>
        <w:rPr>
          <w:sz w:val="24"/>
        </w:rPr>
        <w:t>net</w:t>
      </w:r>
      <w:r>
        <w:rPr>
          <w:spacing w:val="40"/>
          <w:sz w:val="24"/>
        </w:rPr>
        <w:t> </w:t>
      </w:r>
      <w:r>
        <w:rPr>
          <w:sz w:val="24"/>
        </w:rPr>
        <w:t>floor</w:t>
      </w:r>
      <w:r>
        <w:rPr>
          <w:spacing w:val="40"/>
          <w:sz w:val="24"/>
        </w:rPr>
        <w:t> </w:t>
      </w:r>
      <w:r>
        <w:rPr>
          <w:sz w:val="24"/>
        </w:rPr>
        <w:t>area</w:t>
      </w:r>
      <w:r>
        <w:rPr>
          <w:spacing w:val="40"/>
          <w:sz w:val="24"/>
        </w:rPr>
        <w:t> </w:t>
      </w:r>
      <w:r>
        <w:rPr>
          <w:sz w:val="24"/>
        </w:rPr>
        <w:t>covered by them, and</w:t>
      </w:r>
    </w:p>
    <w:p>
      <w:pPr>
        <w:pStyle w:val="ListParagraph"/>
        <w:numPr>
          <w:ilvl w:val="0"/>
          <w:numId w:val="24"/>
        </w:numPr>
        <w:tabs>
          <w:tab w:pos="2565" w:val="left" w:leader="none"/>
        </w:tabs>
        <w:spacing w:line="240" w:lineRule="auto" w:before="241" w:after="0"/>
        <w:ind w:left="2565" w:right="0" w:hanging="765"/>
        <w:jc w:val="left"/>
        <w:rPr>
          <w:sz w:val="24"/>
        </w:rPr>
      </w:pPr>
      <w:r>
        <w:rPr>
          <w:sz w:val="24"/>
        </w:rPr>
        <w:t>to</w:t>
      </w:r>
      <w:r>
        <w:rPr>
          <w:spacing w:val="44"/>
          <w:sz w:val="24"/>
        </w:rPr>
        <w:t> </w:t>
      </w:r>
      <w:r>
        <w:rPr>
          <w:sz w:val="24"/>
        </w:rPr>
        <w:t>any</w:t>
      </w:r>
      <w:r>
        <w:rPr>
          <w:spacing w:val="45"/>
          <w:sz w:val="24"/>
        </w:rPr>
        <w:t> </w:t>
      </w:r>
      <w:r>
        <w:rPr>
          <w:sz w:val="24"/>
        </w:rPr>
        <w:t>site</w:t>
      </w:r>
      <w:r>
        <w:rPr>
          <w:spacing w:val="46"/>
          <w:sz w:val="24"/>
        </w:rPr>
        <w:t> </w:t>
      </w:r>
      <w:r>
        <w:rPr>
          <w:sz w:val="24"/>
        </w:rPr>
        <w:t>Public</w:t>
      </w:r>
      <w:r>
        <w:rPr>
          <w:spacing w:val="48"/>
          <w:sz w:val="24"/>
        </w:rPr>
        <w:t> </w:t>
      </w:r>
      <w:r>
        <w:rPr>
          <w:sz w:val="24"/>
        </w:rPr>
        <w:t>Open</w:t>
      </w:r>
      <w:r>
        <w:rPr>
          <w:spacing w:val="44"/>
          <w:sz w:val="24"/>
        </w:rPr>
        <w:t> </w:t>
      </w:r>
      <w:r>
        <w:rPr>
          <w:spacing w:val="-2"/>
          <w:sz w:val="24"/>
        </w:rPr>
        <w:t>Space(POS)</w:t>
      </w:r>
    </w:p>
    <w:p>
      <w:pPr>
        <w:pStyle w:val="ListParagraph"/>
        <w:numPr>
          <w:ilvl w:val="1"/>
          <w:numId w:val="10"/>
        </w:numPr>
        <w:tabs>
          <w:tab w:pos="1438" w:val="left" w:leader="none"/>
          <w:tab w:pos="1440" w:val="left" w:leader="none"/>
        </w:tabs>
        <w:spacing w:line="242" w:lineRule="auto" w:before="237" w:after="0"/>
        <w:ind w:left="1440" w:right="1091" w:hanging="360"/>
        <w:jc w:val="both"/>
        <w:rPr>
          <w:sz w:val="24"/>
        </w:rPr>
      </w:pPr>
      <w:r>
        <w:rPr>
          <w:b/>
          <w:i/>
          <w:sz w:val="24"/>
        </w:rPr>
        <w:t>Reservation</w:t>
      </w:r>
      <w:r>
        <w:rPr>
          <w:b/>
          <w:i/>
          <w:spacing w:val="40"/>
          <w:sz w:val="24"/>
        </w:rPr>
        <w:t> </w:t>
      </w:r>
      <w:r>
        <w:rPr>
          <w:b/>
          <w:i/>
          <w:sz w:val="24"/>
        </w:rPr>
        <w:t>for</w:t>
      </w:r>
      <w:r>
        <w:rPr>
          <w:b/>
          <w:i/>
          <w:spacing w:val="40"/>
          <w:sz w:val="24"/>
        </w:rPr>
        <w:t> </w:t>
      </w:r>
      <w:r>
        <w:rPr>
          <w:b/>
          <w:i/>
          <w:sz w:val="24"/>
        </w:rPr>
        <w:t>Multiple</w:t>
      </w:r>
      <w:r>
        <w:rPr>
          <w:b/>
          <w:i/>
          <w:spacing w:val="40"/>
          <w:sz w:val="24"/>
        </w:rPr>
        <w:t> </w:t>
      </w:r>
      <w:r>
        <w:rPr>
          <w:b/>
          <w:i/>
          <w:sz w:val="24"/>
        </w:rPr>
        <w:t>Public</w:t>
      </w:r>
      <w:r>
        <w:rPr>
          <w:b/>
          <w:i/>
          <w:spacing w:val="40"/>
          <w:sz w:val="24"/>
        </w:rPr>
        <w:t> </w:t>
      </w:r>
      <w:r>
        <w:rPr>
          <w:b/>
          <w:i/>
          <w:sz w:val="24"/>
        </w:rPr>
        <w:t>Purposes:</w:t>
      </w:r>
      <w:r>
        <w:rPr>
          <w:b/>
          <w:i/>
          <w:spacing w:val="40"/>
          <w:sz w:val="24"/>
        </w:rPr>
        <w:t> </w:t>
      </w:r>
      <w:r>
        <w:rPr>
          <w:sz w:val="24"/>
        </w:rPr>
        <w:t>Where</w:t>
      </w:r>
      <w:r>
        <w:rPr>
          <w:spacing w:val="40"/>
          <w:sz w:val="24"/>
        </w:rPr>
        <w:t> </w:t>
      </w:r>
      <w:r>
        <w:rPr>
          <w:sz w:val="24"/>
        </w:rPr>
        <w:t>land</w:t>
      </w:r>
      <w:r>
        <w:rPr>
          <w:spacing w:val="40"/>
          <w:sz w:val="24"/>
        </w:rPr>
        <w:t> </w:t>
      </w:r>
      <w:r>
        <w:rPr>
          <w:sz w:val="24"/>
        </w:rPr>
        <w:t>is</w:t>
      </w:r>
      <w:r>
        <w:rPr>
          <w:spacing w:val="40"/>
          <w:sz w:val="24"/>
        </w:rPr>
        <w:t> </w:t>
      </w:r>
      <w:r>
        <w:rPr>
          <w:sz w:val="24"/>
        </w:rPr>
        <w:t>reserved</w:t>
      </w:r>
      <w:r>
        <w:rPr>
          <w:spacing w:val="40"/>
          <w:sz w:val="24"/>
        </w:rPr>
        <w:t> </w:t>
      </w:r>
      <w:r>
        <w:rPr>
          <w:sz w:val="24"/>
        </w:rPr>
        <w:t>for multiple public purposes in the DP, the distribution of land</w:t>
      </w:r>
      <w:r>
        <w:rPr>
          <w:spacing w:val="80"/>
          <w:sz w:val="24"/>
        </w:rPr>
        <w:t> </w:t>
      </w:r>
      <w:r>
        <w:rPr>
          <w:sz w:val="24"/>
        </w:rPr>
        <w:t>area/BUA</w:t>
      </w:r>
      <w:r>
        <w:rPr>
          <w:spacing w:val="40"/>
          <w:sz w:val="24"/>
        </w:rPr>
        <w:t> </w:t>
      </w:r>
      <w:r>
        <w:rPr>
          <w:sz w:val="24"/>
        </w:rPr>
        <w:t>under</w:t>
      </w:r>
      <w:r>
        <w:rPr>
          <w:spacing w:val="40"/>
          <w:sz w:val="24"/>
        </w:rPr>
        <w:t> </w:t>
      </w:r>
      <w:r>
        <w:rPr>
          <w:sz w:val="24"/>
        </w:rPr>
        <w:t>reservation</w:t>
      </w:r>
      <w:r>
        <w:rPr>
          <w:spacing w:val="40"/>
          <w:sz w:val="24"/>
        </w:rPr>
        <w:t> </w:t>
      </w:r>
      <w:r>
        <w:rPr>
          <w:sz w:val="24"/>
        </w:rPr>
        <w:t>for</w:t>
      </w:r>
      <w:r>
        <w:rPr>
          <w:spacing w:val="40"/>
          <w:sz w:val="24"/>
        </w:rPr>
        <w:t> </w:t>
      </w:r>
      <w:r>
        <w:rPr>
          <w:sz w:val="24"/>
        </w:rPr>
        <w:t>each</w:t>
      </w:r>
      <w:r>
        <w:rPr>
          <w:spacing w:val="40"/>
          <w:sz w:val="24"/>
        </w:rPr>
        <w:t> </w:t>
      </w:r>
      <w:r>
        <w:rPr>
          <w:sz w:val="24"/>
        </w:rPr>
        <w:t>public</w:t>
      </w:r>
      <w:r>
        <w:rPr>
          <w:spacing w:val="40"/>
          <w:sz w:val="24"/>
        </w:rPr>
        <w:t> </w:t>
      </w:r>
      <w:r>
        <w:rPr>
          <w:sz w:val="24"/>
        </w:rPr>
        <w:t>purpose</w:t>
      </w:r>
      <w:r>
        <w:rPr>
          <w:spacing w:val="40"/>
          <w:sz w:val="24"/>
        </w:rPr>
        <w:t> </w:t>
      </w:r>
      <w:r>
        <w:rPr>
          <w:sz w:val="24"/>
        </w:rPr>
        <w:t>shall</w:t>
      </w:r>
      <w:r>
        <w:rPr>
          <w:spacing w:val="40"/>
          <w:sz w:val="24"/>
        </w:rPr>
        <w:t> </w:t>
      </w:r>
      <w:r>
        <w:rPr>
          <w:sz w:val="24"/>
        </w:rPr>
        <w:t>be preferably equal.</w:t>
      </w:r>
    </w:p>
    <w:p>
      <w:pPr>
        <w:pStyle w:val="BodyText"/>
        <w:spacing w:before="232"/>
        <w:ind w:left="1440" w:right="1090"/>
      </w:pPr>
      <w:r>
        <w:rPr/>
        <w:t>Provided</w:t>
      </w:r>
      <w:r>
        <w:rPr>
          <w:spacing w:val="80"/>
          <w:w w:val="150"/>
        </w:rPr>
        <w:t> </w:t>
      </w:r>
      <w:r>
        <w:rPr/>
        <w:t>that,</w:t>
      </w:r>
      <w:r>
        <w:rPr>
          <w:spacing w:val="40"/>
        </w:rPr>
        <w:t> </w:t>
      </w:r>
      <w:r>
        <w:rPr/>
        <w:t>if</w:t>
      </w:r>
      <w:r>
        <w:rPr>
          <w:spacing w:val="40"/>
        </w:rPr>
        <w:t> </w:t>
      </w:r>
      <w:r>
        <w:rPr/>
        <w:t>the</w:t>
      </w:r>
      <w:r>
        <w:rPr>
          <w:spacing w:val="40"/>
        </w:rPr>
        <w:t> </w:t>
      </w:r>
      <w:r>
        <w:rPr/>
        <w:t>plot</w:t>
      </w:r>
      <w:r>
        <w:rPr>
          <w:spacing w:val="40"/>
        </w:rPr>
        <w:t> </w:t>
      </w:r>
      <w:r>
        <w:rPr/>
        <w:t>is</w:t>
      </w:r>
      <w:r>
        <w:rPr>
          <w:spacing w:val="40"/>
        </w:rPr>
        <w:t> </w:t>
      </w:r>
      <w:r>
        <w:rPr/>
        <w:t>reserved</w:t>
      </w:r>
      <w:r>
        <w:rPr>
          <w:spacing w:val="40"/>
        </w:rPr>
        <w:t> </w:t>
      </w:r>
      <w:r>
        <w:rPr/>
        <w:t>for</w:t>
      </w:r>
      <w:r>
        <w:rPr>
          <w:spacing w:val="40"/>
        </w:rPr>
        <w:t> </w:t>
      </w:r>
      <w:r>
        <w:rPr/>
        <w:t>some</w:t>
      </w:r>
      <w:r>
        <w:rPr>
          <w:spacing w:val="40"/>
        </w:rPr>
        <w:t> </w:t>
      </w:r>
      <w:r>
        <w:rPr/>
        <w:t>public</w:t>
      </w:r>
      <w:r>
        <w:rPr>
          <w:spacing w:val="40"/>
        </w:rPr>
        <w:t> </w:t>
      </w:r>
      <w:r>
        <w:rPr/>
        <w:t>purpose</w:t>
      </w:r>
      <w:r>
        <w:rPr>
          <w:spacing w:val="40"/>
        </w:rPr>
        <w:t> </w:t>
      </w:r>
      <w:r>
        <w:rPr/>
        <w:t>with plus</w:t>
      </w:r>
      <w:r>
        <w:rPr>
          <w:spacing w:val="40"/>
        </w:rPr>
        <w:t> </w:t>
      </w:r>
      <w:r>
        <w:rPr/>
        <w:t>(+)</w:t>
      </w:r>
      <w:r>
        <w:rPr>
          <w:spacing w:val="40"/>
        </w:rPr>
        <w:t> </w:t>
      </w:r>
      <w:r>
        <w:rPr/>
        <w:t>sign,</w:t>
      </w:r>
      <w:r>
        <w:rPr>
          <w:spacing w:val="40"/>
        </w:rPr>
        <w:t> </w:t>
      </w:r>
      <w:r>
        <w:rPr/>
        <w:t>then</w:t>
      </w:r>
      <w:r>
        <w:rPr>
          <w:spacing w:val="75"/>
        </w:rPr>
        <w:t> </w:t>
      </w:r>
      <w:r>
        <w:rPr/>
        <w:t>at</w:t>
      </w:r>
      <w:r>
        <w:rPr>
          <w:spacing w:val="40"/>
        </w:rPr>
        <w:t> </w:t>
      </w:r>
      <w:r>
        <w:rPr/>
        <w:t>least</w:t>
      </w:r>
      <w:r>
        <w:rPr>
          <w:spacing w:val="71"/>
        </w:rPr>
        <w:t> </w:t>
      </w:r>
      <w:r>
        <w:rPr/>
        <w:t>50%</w:t>
      </w:r>
      <w:r>
        <w:rPr>
          <w:spacing w:val="40"/>
        </w:rPr>
        <w:t> </w:t>
      </w:r>
      <w:r>
        <w:rPr/>
        <w:t>of</w:t>
      </w:r>
      <w:r>
        <w:rPr>
          <w:spacing w:val="40"/>
        </w:rPr>
        <w:t> </w:t>
      </w:r>
      <w:r>
        <w:rPr/>
        <w:t>the</w:t>
      </w:r>
      <w:r>
        <w:rPr>
          <w:spacing w:val="40"/>
        </w:rPr>
        <w:t> </w:t>
      </w:r>
      <w:r>
        <w:rPr/>
        <w:t>plot</w:t>
      </w:r>
      <w:r>
        <w:rPr>
          <w:spacing w:val="40"/>
        </w:rPr>
        <w:t> </w:t>
      </w:r>
      <w:r>
        <w:rPr/>
        <w:t>area</w:t>
      </w:r>
      <w:r>
        <w:rPr>
          <w:spacing w:val="40"/>
        </w:rPr>
        <w:t> </w:t>
      </w:r>
      <w:r>
        <w:rPr/>
        <w:t>shall</w:t>
      </w:r>
      <w:r>
        <w:rPr>
          <w:spacing w:val="40"/>
        </w:rPr>
        <w:t> </w:t>
      </w:r>
      <w:r>
        <w:rPr/>
        <w:t>be</w:t>
      </w:r>
      <w:r>
        <w:rPr>
          <w:spacing w:val="40"/>
        </w:rPr>
        <w:t> </w:t>
      </w:r>
      <w:r>
        <w:rPr/>
        <w:t>developed</w:t>
      </w:r>
      <w:r>
        <w:rPr>
          <w:spacing w:val="40"/>
        </w:rPr>
        <w:t> </w:t>
      </w:r>
      <w:r>
        <w:rPr/>
        <w:t>for</w:t>
      </w:r>
      <w:r>
        <w:rPr>
          <w:spacing w:val="34"/>
        </w:rPr>
        <w:t> </w:t>
      </w:r>
      <w:r>
        <w:rPr/>
        <w:t>the</w:t>
      </w:r>
      <w:r>
        <w:rPr>
          <w:spacing w:val="34"/>
        </w:rPr>
        <w:t> </w:t>
      </w:r>
      <w:r>
        <w:rPr/>
        <w:t>purpose</w:t>
      </w:r>
      <w:r>
        <w:rPr>
          <w:spacing w:val="34"/>
        </w:rPr>
        <w:t> </w:t>
      </w:r>
      <w:r>
        <w:rPr/>
        <w:t>for</w:t>
      </w:r>
      <w:r>
        <w:rPr>
          <w:spacing w:val="37"/>
        </w:rPr>
        <w:t> </w:t>
      </w:r>
      <w:r>
        <w:rPr/>
        <w:t>which</w:t>
      </w:r>
      <w:r>
        <w:rPr>
          <w:spacing w:val="34"/>
        </w:rPr>
        <w:t> </w:t>
      </w:r>
      <w:r>
        <w:rPr/>
        <w:t>it</w:t>
      </w:r>
      <w:r>
        <w:rPr>
          <w:spacing w:val="34"/>
        </w:rPr>
        <w:t> </w:t>
      </w:r>
      <w:r>
        <w:rPr/>
        <w:t>is</w:t>
      </w:r>
      <w:r>
        <w:rPr>
          <w:spacing w:val="34"/>
        </w:rPr>
        <w:t> </w:t>
      </w:r>
      <w:r>
        <w:rPr/>
        <w:t>reserved</w:t>
      </w:r>
      <w:r>
        <w:rPr>
          <w:spacing w:val="37"/>
        </w:rPr>
        <w:t> </w:t>
      </w:r>
      <w:r>
        <w:rPr/>
        <w:t>in</w:t>
      </w:r>
      <w:r>
        <w:rPr>
          <w:spacing w:val="34"/>
        </w:rPr>
        <w:t> </w:t>
      </w:r>
      <w:r>
        <w:rPr/>
        <w:t>DP</w:t>
      </w:r>
      <w:r>
        <w:rPr>
          <w:spacing w:val="34"/>
        </w:rPr>
        <w:t> </w:t>
      </w:r>
      <w:r>
        <w:rPr/>
        <w:t>and</w:t>
      </w:r>
      <w:r>
        <w:rPr>
          <w:spacing w:val="34"/>
        </w:rPr>
        <w:t> </w:t>
      </w:r>
      <w:r>
        <w:rPr/>
        <w:t>rest</w:t>
      </w:r>
      <w:r>
        <w:rPr>
          <w:spacing w:val="34"/>
        </w:rPr>
        <w:t> </w:t>
      </w:r>
      <w:r>
        <w:rPr/>
        <w:t>of</w:t>
      </w:r>
      <w:r>
        <w:rPr>
          <w:spacing w:val="40"/>
        </w:rPr>
        <w:t> </w:t>
      </w:r>
      <w:r>
        <w:rPr/>
        <w:t>the</w:t>
      </w:r>
      <w:r>
        <w:rPr>
          <w:spacing w:val="34"/>
        </w:rPr>
        <w:t> </w:t>
      </w:r>
      <w:r>
        <w:rPr/>
        <w:t>plot</w:t>
      </w:r>
      <w:r>
        <w:rPr>
          <w:spacing w:val="34"/>
        </w:rPr>
        <w:t> </w:t>
      </w:r>
      <w:r>
        <w:rPr/>
        <w:t>can be</w:t>
      </w:r>
      <w:r>
        <w:rPr>
          <w:spacing w:val="40"/>
        </w:rPr>
        <w:t> </w:t>
      </w:r>
      <w:r>
        <w:rPr/>
        <w:t>developed</w:t>
      </w:r>
      <w:r>
        <w:rPr>
          <w:spacing w:val="40"/>
        </w:rPr>
        <w:t> </w:t>
      </w:r>
      <w:r>
        <w:rPr/>
        <w:t>for</w:t>
      </w:r>
      <w:r>
        <w:rPr>
          <w:spacing w:val="40"/>
        </w:rPr>
        <w:t> </w:t>
      </w:r>
      <w:r>
        <w:rPr/>
        <w:t>other</w:t>
      </w:r>
      <w:r>
        <w:rPr>
          <w:spacing w:val="40"/>
        </w:rPr>
        <w:t> </w:t>
      </w:r>
      <w:r>
        <w:rPr/>
        <w:t>purposes</w:t>
      </w:r>
      <w:r>
        <w:rPr>
          <w:spacing w:val="40"/>
        </w:rPr>
        <w:t> </w:t>
      </w:r>
      <w:r>
        <w:rPr/>
        <w:t>related</w:t>
      </w:r>
      <w:r>
        <w:rPr>
          <w:spacing w:val="40"/>
        </w:rPr>
        <w:t> </w:t>
      </w:r>
      <w:r>
        <w:rPr/>
        <w:t>to</w:t>
      </w:r>
      <w:r>
        <w:rPr>
          <w:spacing w:val="40"/>
        </w:rPr>
        <w:t> </w:t>
      </w:r>
      <w:r>
        <w:rPr/>
        <w:t>plus</w:t>
      </w:r>
      <w:r>
        <w:rPr>
          <w:spacing w:val="40"/>
        </w:rPr>
        <w:t> </w:t>
      </w:r>
      <w:r>
        <w:rPr/>
        <w:t>(+)</w:t>
      </w:r>
      <w:r>
        <w:rPr>
          <w:spacing w:val="40"/>
        </w:rPr>
        <w:t> </w:t>
      </w:r>
      <w:r>
        <w:rPr/>
        <w:t>sign</w:t>
      </w:r>
      <w:r>
        <w:rPr>
          <w:spacing w:val="80"/>
        </w:rPr>
        <w:t>  </w:t>
      </w:r>
      <w:r>
        <w:rPr/>
        <w:t>considering the</w:t>
      </w:r>
      <w:r>
        <w:rPr>
          <w:spacing w:val="40"/>
        </w:rPr>
        <w:t> </w:t>
      </w:r>
      <w:r>
        <w:rPr/>
        <w:t>deficiency</w:t>
      </w:r>
      <w:r>
        <w:rPr>
          <w:spacing w:val="40"/>
        </w:rPr>
        <w:t> </w:t>
      </w:r>
      <w:r>
        <w:rPr/>
        <w:t>in</w:t>
      </w:r>
      <w:r>
        <w:rPr>
          <w:spacing w:val="40"/>
        </w:rPr>
        <w:t> </w:t>
      </w:r>
      <w:r>
        <w:rPr/>
        <w:t>that</w:t>
      </w:r>
      <w:r>
        <w:rPr>
          <w:spacing w:val="40"/>
        </w:rPr>
        <w:t> </w:t>
      </w:r>
      <w:r>
        <w:rPr/>
        <w:t>ward.</w:t>
      </w:r>
    </w:p>
    <w:p>
      <w:pPr>
        <w:pStyle w:val="BodyText"/>
        <w:spacing w:before="241"/>
        <w:ind w:left="1440" w:right="1080"/>
      </w:pPr>
      <w:r>
        <w:rPr/>
        <w:t>Provided further that where specific percentages of multiple </w:t>
      </w:r>
      <w:r>
        <w:rPr>
          <w:spacing w:val="9"/>
        </w:rPr>
        <w:t>public </w:t>
      </w:r>
      <w:r>
        <w:rPr/>
        <w:t>purposes</w:t>
      </w:r>
      <w:r>
        <w:rPr>
          <w:spacing w:val="80"/>
        </w:rPr>
        <w:t> </w:t>
      </w:r>
      <w:r>
        <w:rPr/>
        <w:t>are</w:t>
      </w:r>
      <w:r>
        <w:rPr>
          <w:spacing w:val="80"/>
        </w:rPr>
        <w:t> </w:t>
      </w:r>
      <w:r>
        <w:rPr/>
        <w:t>specified</w:t>
      </w:r>
      <w:r>
        <w:rPr>
          <w:spacing w:val="80"/>
        </w:rPr>
        <w:t> </w:t>
      </w:r>
      <w:r>
        <w:rPr/>
        <w:t>in</w:t>
      </w:r>
      <w:r>
        <w:rPr>
          <w:spacing w:val="80"/>
        </w:rPr>
        <w:t> </w:t>
      </w:r>
      <w:r>
        <w:rPr/>
        <w:t>DP,</w:t>
      </w:r>
      <w:r>
        <w:rPr>
          <w:spacing w:val="80"/>
        </w:rPr>
        <w:t> </w:t>
      </w:r>
      <w:r>
        <w:rPr/>
        <w:t>the</w:t>
      </w:r>
      <w:r>
        <w:rPr>
          <w:spacing w:val="80"/>
        </w:rPr>
        <w:t> </w:t>
      </w:r>
      <w:r>
        <w:rPr/>
        <w:t>said</w:t>
      </w:r>
      <w:r>
        <w:rPr>
          <w:spacing w:val="80"/>
        </w:rPr>
        <w:t> </w:t>
      </w:r>
      <w:r>
        <w:rPr/>
        <w:t>percentage</w:t>
      </w:r>
      <w:r>
        <w:rPr>
          <w:spacing w:val="80"/>
        </w:rPr>
        <w:t> </w:t>
      </w:r>
      <w:r>
        <w:rPr/>
        <w:t>shall</w:t>
      </w:r>
      <w:r>
        <w:rPr>
          <w:spacing w:val="80"/>
        </w:rPr>
        <w:t> </w:t>
      </w:r>
      <w:r>
        <w:rPr/>
        <w:t>prevail.</w:t>
      </w:r>
    </w:p>
    <w:p>
      <w:pPr>
        <w:pStyle w:val="BodyText"/>
        <w:spacing w:before="240"/>
        <w:ind w:left="1440" w:right="1095"/>
      </w:pPr>
      <w:r>
        <w:rPr/>
        <w:t>Provided further that where reservations for public amenities are proposed</w:t>
      </w:r>
      <w:r>
        <w:rPr>
          <w:spacing w:val="40"/>
        </w:rPr>
        <w:t> </w:t>
      </w:r>
      <w:r>
        <w:rPr/>
        <w:t>on</w:t>
      </w:r>
      <w:r>
        <w:rPr>
          <w:spacing w:val="40"/>
        </w:rPr>
        <w:t> </w:t>
      </w:r>
      <w:r>
        <w:rPr/>
        <w:t>plots</w:t>
      </w:r>
      <w:r>
        <w:rPr>
          <w:spacing w:val="40"/>
        </w:rPr>
        <w:t> </w:t>
      </w:r>
      <w:r>
        <w:rPr/>
        <w:t>already</w:t>
      </w:r>
      <w:r>
        <w:rPr>
          <w:spacing w:val="40"/>
        </w:rPr>
        <w:t> </w:t>
      </w:r>
      <w:r>
        <w:rPr/>
        <w:t>designated</w:t>
      </w:r>
      <w:r>
        <w:rPr>
          <w:spacing w:val="40"/>
        </w:rPr>
        <w:t> </w:t>
      </w:r>
      <w:r>
        <w:rPr/>
        <w:t>(with</w:t>
      </w:r>
      <w:r>
        <w:rPr>
          <w:spacing w:val="40"/>
        </w:rPr>
        <w:t> </w:t>
      </w:r>
      <w:r>
        <w:rPr/>
        <w:t>developed</w:t>
      </w:r>
      <w:r>
        <w:rPr>
          <w:spacing w:val="40"/>
        </w:rPr>
        <w:t> </w:t>
      </w:r>
      <w:r>
        <w:rPr/>
        <w:t>amenity,</w:t>
      </w:r>
      <w:r>
        <w:rPr>
          <w:spacing w:val="40"/>
        </w:rPr>
        <w:t> </w:t>
      </w:r>
      <w:r>
        <w:rPr/>
        <w:t>but with potential</w:t>
      </w:r>
      <w:r>
        <w:rPr>
          <w:spacing w:val="40"/>
        </w:rPr>
        <w:t> </w:t>
      </w:r>
      <w:r>
        <w:rPr/>
        <w:t>of the land not fully utilized), then</w:t>
      </w:r>
      <w:r>
        <w:rPr>
          <w:spacing w:val="40"/>
        </w:rPr>
        <w:t> </w:t>
      </w:r>
      <w:r>
        <w:rPr/>
        <w:t>in</w:t>
      </w:r>
      <w:r>
        <w:rPr>
          <w:spacing w:val="40"/>
        </w:rPr>
        <w:t> </w:t>
      </w:r>
      <w:r>
        <w:rPr/>
        <w:t>such cases,</w:t>
      </w:r>
      <w:r>
        <w:rPr>
          <w:spacing w:val="40"/>
        </w:rPr>
        <w:t> </w:t>
      </w:r>
      <w:r>
        <w:rPr/>
        <w:t>the areas of </w:t>
      </w:r>
      <w:r>
        <w:rPr>
          <w:spacing w:val="9"/>
        </w:rPr>
        <w:t>reservation/s</w:t>
      </w:r>
      <w:r>
        <w:rPr>
          <w:spacing w:val="9"/>
        </w:rPr>
        <w:t> </w:t>
      </w:r>
      <w:r>
        <w:rPr/>
        <w:t>will be as decided by the Municipal Commissioner,</w:t>
      </w:r>
      <w:r>
        <w:rPr>
          <w:spacing w:val="40"/>
        </w:rPr>
        <w:t> </w:t>
      </w:r>
      <w:r>
        <w:rPr/>
        <w:t>if</w:t>
      </w:r>
      <w:r>
        <w:rPr>
          <w:spacing w:val="40"/>
        </w:rPr>
        <w:t> </w:t>
      </w:r>
      <w:r>
        <w:rPr/>
        <w:t>not</w:t>
      </w:r>
      <w:r>
        <w:rPr>
          <w:spacing w:val="40"/>
        </w:rPr>
        <w:t> </w:t>
      </w:r>
      <w:r>
        <w:rPr/>
        <w:t>defined</w:t>
      </w:r>
      <w:r>
        <w:rPr>
          <w:spacing w:val="40"/>
        </w:rPr>
        <w:t> </w:t>
      </w:r>
      <w:r>
        <w:rPr/>
        <w:t>by</w:t>
      </w:r>
      <w:r>
        <w:rPr>
          <w:spacing w:val="40"/>
        </w:rPr>
        <w:t> </w:t>
      </w:r>
      <w:r>
        <w:rPr/>
        <w:t>DP.</w:t>
      </w:r>
    </w:p>
    <w:p>
      <w:pPr>
        <w:pStyle w:val="ListParagraph"/>
        <w:numPr>
          <w:ilvl w:val="1"/>
          <w:numId w:val="10"/>
        </w:numPr>
        <w:tabs>
          <w:tab w:pos="1438" w:val="left" w:leader="none"/>
          <w:tab w:pos="1440" w:val="left" w:leader="none"/>
        </w:tabs>
        <w:spacing w:line="242" w:lineRule="auto" w:before="236" w:after="0"/>
        <w:ind w:left="1440" w:right="1085" w:hanging="360"/>
        <w:jc w:val="both"/>
        <w:rPr>
          <w:sz w:val="24"/>
        </w:rPr>
      </w:pPr>
      <w:r>
        <w:rPr>
          <w:b/>
          <w:i/>
          <w:sz w:val="24"/>
        </w:rPr>
        <w:t>Area</w:t>
      </w:r>
      <w:r>
        <w:rPr>
          <w:b/>
          <w:i/>
          <w:spacing w:val="40"/>
          <w:sz w:val="24"/>
        </w:rPr>
        <w:t> </w:t>
      </w:r>
      <w:r>
        <w:rPr>
          <w:b/>
          <w:i/>
          <w:sz w:val="24"/>
        </w:rPr>
        <w:t>of</w:t>
      </w:r>
      <w:r>
        <w:rPr>
          <w:b/>
          <w:i/>
          <w:spacing w:val="40"/>
          <w:sz w:val="24"/>
        </w:rPr>
        <w:t> </w:t>
      </w:r>
      <w:r>
        <w:rPr>
          <w:b/>
          <w:i/>
          <w:sz w:val="24"/>
        </w:rPr>
        <w:t>reserved</w:t>
      </w:r>
      <w:r>
        <w:rPr>
          <w:b/>
          <w:i/>
          <w:spacing w:val="40"/>
          <w:sz w:val="24"/>
        </w:rPr>
        <w:t> </w:t>
      </w:r>
      <w:r>
        <w:rPr>
          <w:b/>
          <w:i/>
          <w:sz w:val="24"/>
        </w:rPr>
        <w:t>land:</w:t>
      </w:r>
      <w:r>
        <w:rPr>
          <w:b/>
          <w:i/>
          <w:spacing w:val="40"/>
          <w:sz w:val="24"/>
        </w:rPr>
        <w:t> </w:t>
      </w:r>
      <w:r>
        <w:rPr>
          <w:sz w:val="24"/>
        </w:rPr>
        <w:t>The</w:t>
      </w:r>
      <w:r>
        <w:rPr>
          <w:spacing w:val="40"/>
          <w:sz w:val="24"/>
        </w:rPr>
        <w:t> </w:t>
      </w:r>
      <w:r>
        <w:rPr>
          <w:sz w:val="24"/>
        </w:rPr>
        <w:t>area</w:t>
      </w:r>
      <w:r>
        <w:rPr>
          <w:spacing w:val="40"/>
          <w:sz w:val="24"/>
        </w:rPr>
        <w:t> </w:t>
      </w:r>
      <w:r>
        <w:rPr>
          <w:sz w:val="24"/>
        </w:rPr>
        <w:t>of</w:t>
      </w:r>
      <w:r>
        <w:rPr>
          <w:spacing w:val="40"/>
          <w:sz w:val="24"/>
        </w:rPr>
        <w:t> </w:t>
      </w:r>
      <w:r>
        <w:rPr>
          <w:sz w:val="24"/>
        </w:rPr>
        <w:t>the</w:t>
      </w:r>
      <w:r>
        <w:rPr>
          <w:spacing w:val="40"/>
          <w:sz w:val="24"/>
        </w:rPr>
        <w:t> </w:t>
      </w:r>
      <w:r>
        <w:rPr>
          <w:sz w:val="24"/>
        </w:rPr>
        <w:t>reservation</w:t>
      </w:r>
      <w:r>
        <w:rPr>
          <w:spacing w:val="40"/>
          <w:sz w:val="24"/>
        </w:rPr>
        <w:t> </w:t>
      </w:r>
      <w:r>
        <w:rPr>
          <w:sz w:val="24"/>
        </w:rPr>
        <w:t>shall</w:t>
      </w:r>
      <w:r>
        <w:rPr>
          <w:spacing w:val="40"/>
          <w:sz w:val="24"/>
        </w:rPr>
        <w:t> </w:t>
      </w:r>
      <w:r>
        <w:rPr>
          <w:sz w:val="24"/>
        </w:rPr>
        <w:t>be considered after deduction of area under proposed DP Road/PrescribedRegular line/Existing Municipal Road </w:t>
      </w:r>
      <w:r>
        <w:rPr>
          <w:spacing w:val="9"/>
          <w:sz w:val="24"/>
        </w:rPr>
        <w:t>affecting </w:t>
      </w:r>
      <w:r>
        <w:rPr>
          <w:sz w:val="24"/>
        </w:rPr>
        <w:t>the </w:t>
      </w:r>
      <w:r>
        <w:rPr>
          <w:spacing w:val="7"/>
          <w:sz w:val="24"/>
        </w:rPr>
        <w:t>reservation.</w:t>
      </w:r>
    </w:p>
    <w:p>
      <w:pPr>
        <w:pStyle w:val="ListParagraph"/>
        <w:numPr>
          <w:ilvl w:val="1"/>
          <w:numId w:val="10"/>
        </w:numPr>
        <w:tabs>
          <w:tab w:pos="1399" w:val="left" w:leader="none"/>
          <w:tab w:pos="1440" w:val="left" w:leader="none"/>
        </w:tabs>
        <w:spacing w:line="240" w:lineRule="auto" w:before="230" w:after="0"/>
        <w:ind w:left="1440" w:right="1088" w:hanging="360"/>
        <w:jc w:val="both"/>
        <w:rPr>
          <w:sz w:val="22"/>
        </w:rPr>
      </w:pPr>
      <w:r>
        <w:rPr>
          <w:b/>
          <w:i/>
          <w:sz w:val="24"/>
        </w:rPr>
        <w:t>Shifting and/or interchanging the purpose of</w:t>
      </w:r>
      <w:r>
        <w:rPr>
          <w:b/>
          <w:i/>
          <w:spacing w:val="40"/>
          <w:sz w:val="24"/>
        </w:rPr>
        <w:t> </w:t>
      </w:r>
      <w:r>
        <w:rPr>
          <w:b/>
          <w:i/>
          <w:sz w:val="24"/>
        </w:rPr>
        <w:t>existing </w:t>
      </w:r>
      <w:r>
        <w:rPr>
          <w:b/>
          <w:i/>
          <w:spacing w:val="9"/>
          <w:sz w:val="24"/>
        </w:rPr>
        <w:t>amenity/reservations:</w:t>
      </w:r>
      <w:r>
        <w:rPr>
          <w:b/>
          <w:i/>
          <w:spacing w:val="9"/>
          <w:sz w:val="24"/>
        </w:rPr>
        <w:t> </w:t>
      </w:r>
      <w:r>
        <w:rPr>
          <w:sz w:val="24"/>
        </w:rPr>
        <w:t>In the case of specific existing amenity/reservations</w:t>
      </w:r>
      <w:r>
        <w:rPr>
          <w:spacing w:val="40"/>
          <w:sz w:val="24"/>
        </w:rPr>
        <w:t> </w:t>
      </w:r>
      <w:r>
        <w:rPr>
          <w:sz w:val="24"/>
        </w:rPr>
        <w:t>in</w:t>
      </w:r>
      <w:r>
        <w:rPr>
          <w:spacing w:val="40"/>
          <w:sz w:val="24"/>
        </w:rPr>
        <w:t> </w:t>
      </w:r>
      <w:r>
        <w:rPr>
          <w:sz w:val="24"/>
        </w:rPr>
        <w:t>the</w:t>
      </w:r>
      <w:r>
        <w:rPr>
          <w:spacing w:val="40"/>
          <w:sz w:val="24"/>
        </w:rPr>
        <w:t> </w:t>
      </w:r>
      <w:r>
        <w:rPr>
          <w:sz w:val="24"/>
        </w:rPr>
        <w:t>DP,</w:t>
      </w:r>
      <w:r>
        <w:rPr>
          <w:spacing w:val="40"/>
          <w:sz w:val="24"/>
        </w:rPr>
        <w:t> </w:t>
      </w:r>
      <w:r>
        <w:rPr>
          <w:sz w:val="24"/>
        </w:rPr>
        <w:t>the</w:t>
      </w:r>
      <w:r>
        <w:rPr>
          <w:spacing w:val="40"/>
          <w:sz w:val="24"/>
        </w:rPr>
        <w:t> </w:t>
      </w:r>
      <w:r>
        <w:rPr>
          <w:sz w:val="24"/>
        </w:rPr>
        <w:t>Commissioner,</w:t>
      </w:r>
      <w:r>
        <w:rPr>
          <w:spacing w:val="40"/>
          <w:sz w:val="24"/>
        </w:rPr>
        <w:t> </w:t>
      </w:r>
      <w:r>
        <w:rPr>
          <w:sz w:val="24"/>
        </w:rPr>
        <w:t>with</w:t>
      </w:r>
      <w:r>
        <w:rPr>
          <w:spacing w:val="40"/>
          <w:sz w:val="24"/>
        </w:rPr>
        <w:t> </w:t>
      </w:r>
      <w:r>
        <w:rPr>
          <w:sz w:val="24"/>
        </w:rPr>
        <w:t>the</w:t>
      </w:r>
      <w:r>
        <w:rPr>
          <w:spacing w:val="40"/>
          <w:sz w:val="24"/>
        </w:rPr>
        <w:t> </w:t>
      </w:r>
      <w:r>
        <w:rPr>
          <w:sz w:val="24"/>
        </w:rPr>
        <w:t>consent</w:t>
      </w:r>
      <w:r>
        <w:rPr>
          <w:spacing w:val="40"/>
          <w:sz w:val="24"/>
        </w:rPr>
        <w:t> </w:t>
      </w:r>
      <w:r>
        <w:rPr>
          <w:sz w:val="24"/>
        </w:rPr>
        <w:t>of</w:t>
      </w:r>
      <w:r>
        <w:rPr>
          <w:spacing w:val="40"/>
          <w:sz w:val="24"/>
        </w:rPr>
        <w:t> </w:t>
      </w:r>
      <w:r>
        <w:rPr>
          <w:sz w:val="24"/>
        </w:rPr>
        <w:t>owners</w:t>
      </w:r>
      <w:r>
        <w:rPr>
          <w:spacing w:val="40"/>
          <w:sz w:val="24"/>
        </w:rPr>
        <w:t> </w:t>
      </w:r>
      <w:r>
        <w:rPr>
          <w:sz w:val="24"/>
        </w:rPr>
        <w:t>may</w:t>
      </w:r>
      <w:r>
        <w:rPr>
          <w:spacing w:val="40"/>
          <w:sz w:val="24"/>
        </w:rPr>
        <w:t> </w:t>
      </w:r>
      <w:r>
        <w:rPr>
          <w:sz w:val="24"/>
        </w:rPr>
        <w:t>shift,</w:t>
      </w:r>
      <w:r>
        <w:rPr>
          <w:spacing w:val="40"/>
          <w:sz w:val="24"/>
        </w:rPr>
        <w:t> </w:t>
      </w:r>
      <w:r>
        <w:rPr>
          <w:sz w:val="24"/>
        </w:rPr>
        <w:t>interchange</w:t>
      </w:r>
      <w:r>
        <w:rPr>
          <w:spacing w:val="40"/>
          <w:sz w:val="24"/>
        </w:rPr>
        <w:t> </w:t>
      </w:r>
      <w:r>
        <w:rPr>
          <w:sz w:val="24"/>
        </w:rPr>
        <w:t>the</w:t>
      </w:r>
      <w:r>
        <w:rPr>
          <w:spacing w:val="40"/>
          <w:sz w:val="24"/>
        </w:rPr>
        <w:t> </w:t>
      </w:r>
      <w:r>
        <w:rPr>
          <w:sz w:val="24"/>
        </w:rPr>
        <w:t>existing</w:t>
      </w:r>
      <w:r>
        <w:rPr>
          <w:spacing w:val="40"/>
          <w:sz w:val="24"/>
        </w:rPr>
        <w:t> </w:t>
      </w:r>
      <w:r>
        <w:rPr>
          <w:sz w:val="24"/>
        </w:rPr>
        <w:t>amenity/reservation</w:t>
      </w:r>
      <w:r>
        <w:rPr>
          <w:spacing w:val="40"/>
          <w:sz w:val="24"/>
        </w:rPr>
        <w:t> </w:t>
      </w:r>
      <w:r>
        <w:rPr>
          <w:sz w:val="24"/>
        </w:rPr>
        <w:t>in the same or on, adjoining lands in the same zone, provided that the relocated</w:t>
      </w:r>
      <w:r>
        <w:rPr>
          <w:spacing w:val="80"/>
          <w:sz w:val="24"/>
        </w:rPr>
        <w:t> </w:t>
      </w:r>
      <w:r>
        <w:rPr>
          <w:sz w:val="24"/>
        </w:rPr>
        <w:t>existing</w:t>
      </w:r>
      <w:r>
        <w:rPr>
          <w:spacing w:val="40"/>
          <w:sz w:val="24"/>
        </w:rPr>
        <w:t> </w:t>
      </w:r>
      <w:r>
        <w:rPr>
          <w:spacing w:val="9"/>
          <w:sz w:val="24"/>
        </w:rPr>
        <w:t>amenity/reservation </w:t>
      </w:r>
      <w:r>
        <w:rPr>
          <w:sz w:val="24"/>
        </w:rPr>
        <w:t>abuts</w:t>
      </w:r>
      <w:r>
        <w:rPr>
          <w:spacing w:val="40"/>
          <w:sz w:val="24"/>
        </w:rPr>
        <w:t> </w:t>
      </w:r>
      <w:r>
        <w:rPr>
          <w:sz w:val="24"/>
        </w:rPr>
        <w:t>a</w:t>
      </w:r>
      <w:r>
        <w:rPr>
          <w:spacing w:val="39"/>
          <w:sz w:val="24"/>
        </w:rPr>
        <w:t> </w:t>
      </w:r>
      <w:r>
        <w:rPr>
          <w:sz w:val="24"/>
        </w:rPr>
        <w:t>public</w:t>
      </w:r>
      <w:r>
        <w:rPr>
          <w:spacing w:val="40"/>
          <w:sz w:val="24"/>
        </w:rPr>
        <w:t> </w:t>
      </w:r>
      <w:r>
        <w:rPr>
          <w:sz w:val="24"/>
        </w:rPr>
        <w:t>street</w:t>
      </w:r>
      <w:r>
        <w:rPr>
          <w:spacing w:val="40"/>
          <w:sz w:val="24"/>
        </w:rPr>
        <w:t> </w:t>
      </w:r>
      <w:r>
        <w:rPr>
          <w:sz w:val="24"/>
        </w:rPr>
        <w:t>of</w:t>
      </w:r>
      <w:r>
        <w:rPr>
          <w:spacing w:val="40"/>
          <w:sz w:val="24"/>
        </w:rPr>
        <w:t> </w:t>
      </w:r>
      <w:r>
        <w:rPr>
          <w:sz w:val="24"/>
        </w:rPr>
        <w:t>same or</w:t>
      </w:r>
      <w:r>
        <w:rPr>
          <w:spacing w:val="22"/>
          <w:sz w:val="24"/>
        </w:rPr>
        <w:t> </w:t>
      </w:r>
      <w:r>
        <w:rPr>
          <w:sz w:val="24"/>
        </w:rPr>
        <w:t>more</w:t>
      </w:r>
      <w:r>
        <w:rPr>
          <w:spacing w:val="72"/>
          <w:w w:val="150"/>
          <w:sz w:val="24"/>
        </w:rPr>
        <w:t> </w:t>
      </w:r>
      <w:r>
        <w:rPr>
          <w:sz w:val="24"/>
        </w:rPr>
        <w:t>width</w:t>
      </w:r>
      <w:r>
        <w:rPr>
          <w:spacing w:val="79"/>
          <w:w w:val="150"/>
          <w:sz w:val="24"/>
        </w:rPr>
        <w:t> </w:t>
      </w:r>
      <w:r>
        <w:rPr>
          <w:sz w:val="24"/>
        </w:rPr>
        <w:t>as</w:t>
      </w:r>
      <w:r>
        <w:rPr>
          <w:spacing w:val="22"/>
          <w:sz w:val="24"/>
        </w:rPr>
        <w:t> </w:t>
      </w:r>
      <w:r>
        <w:rPr>
          <w:sz w:val="24"/>
        </w:rPr>
        <w:t>per</w:t>
      </w:r>
      <w:r>
        <w:rPr>
          <w:spacing w:val="22"/>
          <w:sz w:val="24"/>
        </w:rPr>
        <w:t> </w:t>
      </w:r>
      <w:r>
        <w:rPr>
          <w:sz w:val="24"/>
        </w:rPr>
        <w:t>DP</w:t>
      </w:r>
      <w:r>
        <w:rPr>
          <w:spacing w:val="29"/>
          <w:sz w:val="24"/>
        </w:rPr>
        <w:t> </w:t>
      </w:r>
      <w:r>
        <w:rPr>
          <w:sz w:val="24"/>
        </w:rPr>
        <w:t>and</w:t>
      </w:r>
      <w:r>
        <w:rPr>
          <w:spacing w:val="26"/>
          <w:sz w:val="24"/>
        </w:rPr>
        <w:t> </w:t>
      </w:r>
      <w:r>
        <w:rPr>
          <w:sz w:val="24"/>
        </w:rPr>
        <w:t>shall</w:t>
      </w:r>
      <w:r>
        <w:rPr>
          <w:spacing w:val="23"/>
          <w:sz w:val="24"/>
        </w:rPr>
        <w:t> </w:t>
      </w:r>
      <w:r>
        <w:rPr>
          <w:sz w:val="24"/>
        </w:rPr>
        <w:t>have</w:t>
      </w:r>
      <w:r>
        <w:rPr>
          <w:spacing w:val="22"/>
          <w:sz w:val="24"/>
        </w:rPr>
        <w:t> </w:t>
      </w:r>
      <w:r>
        <w:rPr>
          <w:sz w:val="24"/>
        </w:rPr>
        <w:t>the</w:t>
      </w:r>
      <w:r>
        <w:rPr>
          <w:spacing w:val="25"/>
          <w:sz w:val="24"/>
        </w:rPr>
        <w:t> </w:t>
      </w:r>
      <w:r>
        <w:rPr>
          <w:sz w:val="24"/>
        </w:rPr>
        <w:t>same</w:t>
      </w:r>
      <w:r>
        <w:rPr>
          <w:spacing w:val="25"/>
          <w:sz w:val="24"/>
        </w:rPr>
        <w:t> </w:t>
      </w:r>
      <w:r>
        <w:rPr>
          <w:sz w:val="24"/>
        </w:rPr>
        <w:t>amount</w:t>
      </w:r>
      <w:r>
        <w:rPr>
          <w:spacing w:val="25"/>
          <w:sz w:val="24"/>
        </w:rPr>
        <w:t> </w:t>
      </w:r>
      <w:r>
        <w:rPr>
          <w:sz w:val="24"/>
        </w:rPr>
        <w:t>of</w:t>
      </w:r>
      <w:r>
        <w:rPr>
          <w:spacing w:val="27"/>
          <w:sz w:val="24"/>
        </w:rPr>
        <w:t> </w:t>
      </w:r>
      <w:r>
        <w:rPr>
          <w:sz w:val="24"/>
        </w:rPr>
        <w:t>visibility</w:t>
      </w:r>
    </w:p>
    <w:p>
      <w:pPr>
        <w:pStyle w:val="ListParagraph"/>
        <w:spacing w:after="0" w:line="240" w:lineRule="auto"/>
        <w:jc w:val="both"/>
        <w:rPr>
          <w:sz w:val="22"/>
        </w:rPr>
        <w:sectPr>
          <w:headerReference w:type="default" r:id="rId16"/>
          <w:footerReference w:type="default" r:id="rId17"/>
          <w:pgSz w:w="11910" w:h="16840"/>
          <w:pgMar w:header="746" w:footer="968" w:top="1180" w:bottom="1160" w:left="360" w:right="360"/>
        </w:sectPr>
      </w:pPr>
    </w:p>
    <w:p>
      <w:pPr>
        <w:pStyle w:val="BodyText"/>
        <w:spacing w:before="251"/>
        <w:ind w:left="1440" w:right="1089"/>
      </w:pPr>
      <w:r>
        <w:rPr/>
        <w:t>from the road and it is not encumbered and the area of such</w:t>
      </w:r>
      <w:r>
        <w:rPr>
          <w:spacing w:val="40"/>
        </w:rPr>
        <w:t> </w:t>
      </w:r>
      <w:r>
        <w:rPr/>
        <w:t>existing amenity/reservation</w:t>
      </w:r>
      <w:r>
        <w:rPr>
          <w:spacing w:val="40"/>
        </w:rPr>
        <w:t> </w:t>
      </w:r>
      <w:r>
        <w:rPr/>
        <w:t>is</w:t>
      </w:r>
      <w:r>
        <w:rPr>
          <w:spacing w:val="40"/>
        </w:rPr>
        <w:t> </w:t>
      </w:r>
      <w:r>
        <w:rPr/>
        <w:t>not</w:t>
      </w:r>
      <w:r>
        <w:rPr>
          <w:spacing w:val="80"/>
        </w:rPr>
        <w:t> </w:t>
      </w:r>
      <w:r>
        <w:rPr/>
        <w:t>reduced.</w:t>
      </w:r>
    </w:p>
    <w:p>
      <w:pPr>
        <w:pStyle w:val="BodyText"/>
        <w:spacing w:before="241"/>
        <w:ind w:left="1440" w:right="1092"/>
      </w:pPr>
      <w:r>
        <w:rPr/>
        <w:t>The Municipal Commissioner shall pass the reasoned order for the aforesaid changes and intimate the same along with certified copy of</w:t>
      </w:r>
      <w:r>
        <w:rPr>
          <w:spacing w:val="80"/>
        </w:rPr>
        <w:t> </w:t>
      </w:r>
      <w:r>
        <w:rPr/>
        <w:t>plan</w:t>
      </w:r>
      <w:r>
        <w:rPr>
          <w:spacing w:val="40"/>
        </w:rPr>
        <w:t> </w:t>
      </w:r>
      <w:r>
        <w:rPr/>
        <w:t>to</w:t>
      </w:r>
      <w:r>
        <w:rPr>
          <w:spacing w:val="40"/>
        </w:rPr>
        <w:t> </w:t>
      </w:r>
      <w:r>
        <w:rPr/>
        <w:t>the</w:t>
      </w:r>
      <w:r>
        <w:rPr>
          <w:spacing w:val="40"/>
        </w:rPr>
        <w:t> </w:t>
      </w:r>
      <w:r>
        <w:rPr/>
        <w:t>Director</w:t>
      </w:r>
      <w:r>
        <w:rPr>
          <w:spacing w:val="40"/>
        </w:rPr>
        <w:t> </w:t>
      </w:r>
      <w:r>
        <w:rPr/>
        <w:t>of</w:t>
      </w:r>
      <w:r>
        <w:rPr>
          <w:spacing w:val="40"/>
        </w:rPr>
        <w:t> </w:t>
      </w:r>
      <w:r>
        <w:rPr/>
        <w:t>Town</w:t>
      </w:r>
      <w:r>
        <w:rPr>
          <w:spacing w:val="40"/>
        </w:rPr>
        <w:t> </w:t>
      </w:r>
      <w:r>
        <w:rPr/>
        <w:t>Planning,</w:t>
      </w:r>
      <w:r>
        <w:rPr>
          <w:spacing w:val="40"/>
        </w:rPr>
        <w:t> </w:t>
      </w:r>
      <w:r>
        <w:rPr/>
        <w:t>Pune</w:t>
      </w:r>
      <w:r>
        <w:rPr>
          <w:spacing w:val="79"/>
        </w:rPr>
        <w:t> </w:t>
      </w:r>
      <w:r>
        <w:rPr/>
        <w:t>&amp;</w:t>
      </w:r>
      <w:r>
        <w:rPr>
          <w:spacing w:val="40"/>
        </w:rPr>
        <w:t> </w:t>
      </w:r>
      <w:r>
        <w:rPr/>
        <w:t>State</w:t>
      </w:r>
      <w:r>
        <w:rPr>
          <w:spacing w:val="40"/>
        </w:rPr>
        <w:t> </w:t>
      </w:r>
      <w:r>
        <w:rPr/>
        <w:t>Govt.</w:t>
      </w:r>
    </w:p>
    <w:p>
      <w:pPr>
        <w:spacing w:before="240"/>
        <w:ind w:left="1440" w:right="1081" w:firstLine="91"/>
        <w:jc w:val="both"/>
        <w:rPr>
          <w:sz w:val="24"/>
        </w:rPr>
      </w:pPr>
      <w:r>
        <w:rPr>
          <w:sz w:val="24"/>
        </w:rPr>
        <w:t>Provided</w:t>
      </w:r>
      <w:r>
        <w:rPr>
          <w:spacing w:val="40"/>
          <w:sz w:val="24"/>
        </w:rPr>
        <w:t> </w:t>
      </w:r>
      <w:r>
        <w:rPr>
          <w:sz w:val="24"/>
        </w:rPr>
        <w:t>that</w:t>
      </w:r>
      <w:r>
        <w:rPr>
          <w:spacing w:val="40"/>
          <w:sz w:val="24"/>
        </w:rPr>
        <w:t> </w:t>
      </w:r>
      <w:r>
        <w:rPr>
          <w:sz w:val="24"/>
        </w:rPr>
        <w:t>no</w:t>
      </w:r>
      <w:r>
        <w:rPr>
          <w:spacing w:val="40"/>
          <w:sz w:val="24"/>
        </w:rPr>
        <w:t> </w:t>
      </w:r>
      <w:r>
        <w:rPr>
          <w:sz w:val="24"/>
        </w:rPr>
        <w:t>such</w:t>
      </w:r>
      <w:r>
        <w:rPr>
          <w:spacing w:val="40"/>
          <w:sz w:val="24"/>
        </w:rPr>
        <w:t> </w:t>
      </w:r>
      <w:r>
        <w:rPr>
          <w:sz w:val="24"/>
        </w:rPr>
        <w:t>shifting</w:t>
      </w:r>
      <w:r>
        <w:rPr>
          <w:spacing w:val="40"/>
          <w:sz w:val="24"/>
        </w:rPr>
        <w:t> </w:t>
      </w:r>
      <w:r>
        <w:rPr>
          <w:sz w:val="24"/>
        </w:rPr>
        <w:t>of</w:t>
      </w:r>
      <w:r>
        <w:rPr>
          <w:spacing w:val="40"/>
          <w:sz w:val="24"/>
        </w:rPr>
        <w:t> </w:t>
      </w:r>
      <w:r>
        <w:rPr>
          <w:b/>
          <w:sz w:val="24"/>
        </w:rPr>
        <w:t>existing</w:t>
      </w:r>
      <w:r>
        <w:rPr>
          <w:b/>
          <w:spacing w:val="40"/>
          <w:sz w:val="24"/>
        </w:rPr>
        <w:t> </w:t>
      </w:r>
      <w:r>
        <w:rPr>
          <w:b/>
          <w:sz w:val="24"/>
        </w:rPr>
        <w:t>amenity</w:t>
      </w:r>
      <w:r>
        <w:rPr>
          <w:b/>
          <w:spacing w:val="40"/>
          <w:sz w:val="24"/>
        </w:rPr>
        <w:t> </w:t>
      </w:r>
      <w:r>
        <w:rPr>
          <w:spacing w:val="9"/>
          <w:sz w:val="24"/>
        </w:rPr>
        <w:t>/reservation </w:t>
      </w:r>
      <w:r>
        <w:rPr>
          <w:sz w:val="24"/>
        </w:rPr>
        <w:t>shall be permissible</w:t>
      </w:r>
    </w:p>
    <w:p>
      <w:pPr>
        <w:spacing w:line="232" w:lineRule="auto" w:before="7"/>
        <w:ind w:left="2150" w:right="1083" w:hanging="360"/>
        <w:jc w:val="both"/>
        <w:rPr>
          <w:sz w:val="24"/>
        </w:rPr>
      </w:pPr>
      <w:r>
        <w:rPr>
          <w:rFonts w:ascii="Calibri"/>
          <w:sz w:val="24"/>
        </w:rPr>
        <w:t>(a)</w:t>
      </w:r>
      <w:r>
        <w:rPr>
          <w:rFonts w:ascii="Calibri"/>
          <w:spacing w:val="40"/>
          <w:sz w:val="24"/>
        </w:rPr>
        <w:t> </w:t>
      </w:r>
      <w:r>
        <w:rPr>
          <w:sz w:val="24"/>
        </w:rPr>
        <w:t>If</w:t>
      </w:r>
      <w:r>
        <w:rPr>
          <w:spacing w:val="40"/>
          <w:sz w:val="24"/>
        </w:rPr>
        <w:t> </w:t>
      </w:r>
      <w:r>
        <w:rPr>
          <w:sz w:val="24"/>
        </w:rPr>
        <w:t>the</w:t>
      </w:r>
      <w:r>
        <w:rPr>
          <w:spacing w:val="40"/>
          <w:sz w:val="24"/>
        </w:rPr>
        <w:t> </w:t>
      </w:r>
      <w:r>
        <w:rPr>
          <w:sz w:val="24"/>
        </w:rPr>
        <w:t>reservation/</w:t>
      </w:r>
      <w:r>
        <w:rPr>
          <w:spacing w:val="73"/>
          <w:sz w:val="24"/>
        </w:rPr>
        <w:t> </w:t>
      </w:r>
      <w:r>
        <w:rPr>
          <w:b/>
          <w:sz w:val="24"/>
        </w:rPr>
        <w:t>existing</w:t>
      </w:r>
      <w:r>
        <w:rPr>
          <w:b/>
          <w:spacing w:val="40"/>
          <w:sz w:val="24"/>
        </w:rPr>
        <w:t> </w:t>
      </w:r>
      <w:r>
        <w:rPr>
          <w:b/>
          <w:sz w:val="24"/>
        </w:rPr>
        <w:t>amenity</w:t>
      </w:r>
      <w:r>
        <w:rPr>
          <w:b/>
          <w:spacing w:val="73"/>
          <w:sz w:val="24"/>
        </w:rPr>
        <w:t> </w:t>
      </w:r>
      <w:r>
        <w:rPr>
          <w:sz w:val="24"/>
        </w:rPr>
        <w:t>proposed</w:t>
      </w:r>
      <w:r>
        <w:rPr>
          <w:spacing w:val="40"/>
          <w:sz w:val="24"/>
        </w:rPr>
        <w:t> </w:t>
      </w:r>
      <w:r>
        <w:rPr>
          <w:sz w:val="24"/>
        </w:rPr>
        <w:t>to</w:t>
      </w:r>
      <w:r>
        <w:rPr>
          <w:spacing w:val="40"/>
          <w:sz w:val="24"/>
        </w:rPr>
        <w:t> </w:t>
      </w:r>
      <w:r>
        <w:rPr>
          <w:sz w:val="24"/>
        </w:rPr>
        <w:t>be</w:t>
      </w:r>
      <w:r>
        <w:rPr>
          <w:spacing w:val="40"/>
          <w:sz w:val="24"/>
        </w:rPr>
        <w:t> </w:t>
      </w:r>
      <w:r>
        <w:rPr>
          <w:spacing w:val="9"/>
          <w:sz w:val="24"/>
        </w:rPr>
        <w:t>relocated </w:t>
      </w:r>
      <w:r>
        <w:rPr>
          <w:sz w:val="24"/>
        </w:rPr>
        <w:t>is in </w:t>
      </w:r>
      <w:r>
        <w:rPr>
          <w:spacing w:val="9"/>
          <w:sz w:val="24"/>
        </w:rPr>
        <w:t>parts;</w:t>
      </w:r>
    </w:p>
    <w:p>
      <w:pPr>
        <w:pStyle w:val="BodyText"/>
        <w:ind w:left="1790" w:right="1103"/>
      </w:pPr>
      <w:r>
        <w:rPr/>
        <w:t>(b)Beyond</w:t>
      </w:r>
      <w:r>
        <w:rPr>
          <w:spacing w:val="40"/>
        </w:rPr>
        <w:t> </w:t>
      </w:r>
      <w:r>
        <w:rPr/>
        <w:t>the</w:t>
      </w:r>
      <w:r>
        <w:rPr>
          <w:spacing w:val="40"/>
        </w:rPr>
        <w:t> </w:t>
      </w:r>
      <w:r>
        <w:rPr/>
        <w:t>same</w:t>
      </w:r>
      <w:r>
        <w:rPr>
          <w:spacing w:val="40"/>
        </w:rPr>
        <w:t> </w:t>
      </w:r>
      <w:r>
        <w:rPr/>
        <w:t>holding</w:t>
      </w:r>
      <w:r>
        <w:rPr>
          <w:spacing w:val="40"/>
        </w:rPr>
        <w:t> </w:t>
      </w:r>
      <w:r>
        <w:rPr/>
        <w:t>of</w:t>
      </w:r>
      <w:r>
        <w:rPr>
          <w:spacing w:val="40"/>
        </w:rPr>
        <w:t> </w:t>
      </w:r>
      <w:r>
        <w:rPr/>
        <w:t>the</w:t>
      </w:r>
      <w:r>
        <w:rPr>
          <w:spacing w:val="40"/>
        </w:rPr>
        <w:t> </w:t>
      </w:r>
      <w:r>
        <w:rPr/>
        <w:t>owner</w:t>
      </w:r>
      <w:r>
        <w:rPr>
          <w:spacing w:val="40"/>
        </w:rPr>
        <w:t> </w:t>
      </w:r>
      <w:r>
        <w:rPr/>
        <w:t>in</w:t>
      </w:r>
      <w:r>
        <w:rPr>
          <w:spacing w:val="40"/>
        </w:rPr>
        <w:t> </w:t>
      </w:r>
      <w:r>
        <w:rPr/>
        <w:t>which</w:t>
      </w:r>
      <w:r>
        <w:rPr>
          <w:spacing w:val="40"/>
        </w:rPr>
        <w:t> </w:t>
      </w:r>
      <w:r>
        <w:rPr/>
        <w:t>such reservation/</w:t>
      </w:r>
      <w:r>
        <w:rPr>
          <w:spacing w:val="80"/>
        </w:rPr>
        <w:t> </w:t>
      </w:r>
      <w:r>
        <w:rPr>
          <w:b/>
        </w:rPr>
        <w:t>existing</w:t>
      </w:r>
      <w:r>
        <w:rPr>
          <w:b/>
          <w:spacing w:val="80"/>
        </w:rPr>
        <w:t> </w:t>
      </w:r>
      <w:r>
        <w:rPr>
          <w:b/>
        </w:rPr>
        <w:t>amenity</w:t>
      </w:r>
      <w:r>
        <w:rPr>
          <w:b/>
          <w:spacing w:val="80"/>
        </w:rPr>
        <w:t> </w:t>
      </w:r>
      <w:r>
        <w:rPr/>
        <w:t>is</w:t>
      </w:r>
      <w:r>
        <w:rPr>
          <w:spacing w:val="80"/>
        </w:rPr>
        <w:t> </w:t>
      </w:r>
      <w:r>
        <w:rPr/>
        <w:t>located;</w:t>
      </w:r>
    </w:p>
    <w:p>
      <w:pPr>
        <w:pStyle w:val="BodyText"/>
        <w:spacing w:line="237" w:lineRule="auto" w:before="3"/>
        <w:ind w:left="2150" w:right="1089" w:hanging="360"/>
      </w:pPr>
      <w:r>
        <w:rPr>
          <w:rFonts w:ascii="Calibri"/>
        </w:rPr>
        <w:t>(b) </w:t>
      </w:r>
      <w:r>
        <w:rPr/>
        <w:t>Unless the alternative location and size is similar to the original location</w:t>
      </w:r>
      <w:r>
        <w:rPr>
          <w:spacing w:val="40"/>
        </w:rPr>
        <w:t> </w:t>
      </w:r>
      <w:r>
        <w:rPr/>
        <w:t>and</w:t>
      </w:r>
      <w:r>
        <w:rPr>
          <w:spacing w:val="40"/>
        </w:rPr>
        <w:t> </w:t>
      </w:r>
      <w:r>
        <w:rPr/>
        <w:t>size</w:t>
      </w:r>
      <w:r>
        <w:rPr>
          <w:spacing w:val="40"/>
        </w:rPr>
        <w:t> </w:t>
      </w:r>
      <w:r>
        <w:rPr/>
        <w:t>of</w:t>
      </w:r>
      <w:r>
        <w:rPr>
          <w:spacing w:val="40"/>
        </w:rPr>
        <w:t> </w:t>
      </w:r>
      <w:r>
        <w:rPr/>
        <w:t>the</w:t>
      </w:r>
      <w:r>
        <w:rPr>
          <w:spacing w:val="40"/>
        </w:rPr>
        <w:t> </w:t>
      </w:r>
      <w:r>
        <w:rPr/>
        <w:t>original</w:t>
      </w:r>
      <w:r>
        <w:rPr>
          <w:spacing w:val="40"/>
        </w:rPr>
        <w:t> </w:t>
      </w:r>
      <w:r>
        <w:rPr/>
        <w:t>DP</w:t>
      </w:r>
      <w:r>
        <w:rPr>
          <w:spacing w:val="40"/>
        </w:rPr>
        <w:t> </w:t>
      </w:r>
      <w:r>
        <w:rPr/>
        <w:t>reservation/</w:t>
      </w:r>
      <w:r>
        <w:rPr>
          <w:spacing w:val="40"/>
        </w:rPr>
        <w:t> </w:t>
      </w:r>
      <w:r>
        <w:rPr>
          <w:b/>
        </w:rPr>
        <w:t>existing </w:t>
      </w:r>
      <w:r>
        <w:rPr>
          <w:b/>
          <w:spacing w:val="-2"/>
        </w:rPr>
        <w:t>amenity</w:t>
      </w:r>
      <w:r>
        <w:rPr>
          <w:spacing w:val="-2"/>
        </w:rPr>
        <w:t>.</w:t>
      </w:r>
    </w:p>
    <w:p>
      <w:pPr>
        <w:pStyle w:val="ListParagraph"/>
        <w:numPr>
          <w:ilvl w:val="1"/>
          <w:numId w:val="10"/>
        </w:numPr>
        <w:tabs>
          <w:tab w:pos="1440" w:val="left" w:leader="none"/>
          <w:tab w:pos="1471" w:val="left" w:leader="none"/>
        </w:tabs>
        <w:spacing w:line="240" w:lineRule="auto" w:before="278" w:after="0"/>
        <w:ind w:left="1440" w:right="1092" w:hanging="279"/>
        <w:jc w:val="both"/>
        <w:rPr>
          <w:i/>
          <w:sz w:val="22"/>
        </w:rPr>
      </w:pPr>
      <w:r>
        <w:rPr>
          <w:b/>
          <w:i/>
          <w:sz w:val="24"/>
        </w:rPr>
        <w:t>Art</w:t>
      </w:r>
      <w:r>
        <w:rPr>
          <w:b/>
          <w:i/>
          <w:spacing w:val="40"/>
          <w:sz w:val="24"/>
        </w:rPr>
        <w:t> </w:t>
      </w:r>
      <w:r>
        <w:rPr>
          <w:b/>
          <w:i/>
          <w:sz w:val="24"/>
        </w:rPr>
        <w:t>and</w:t>
      </w:r>
      <w:r>
        <w:rPr>
          <w:b/>
          <w:i/>
          <w:spacing w:val="40"/>
          <w:sz w:val="24"/>
        </w:rPr>
        <w:t> </w:t>
      </w:r>
      <w:r>
        <w:rPr>
          <w:b/>
          <w:i/>
          <w:sz w:val="24"/>
        </w:rPr>
        <w:t>Culture:</w:t>
      </w:r>
      <w:r>
        <w:rPr>
          <w:b/>
          <w:i/>
          <w:spacing w:val="40"/>
          <w:sz w:val="24"/>
        </w:rPr>
        <w:t> </w:t>
      </w:r>
      <w:r>
        <w:rPr>
          <w:sz w:val="24"/>
        </w:rPr>
        <w:t>The</w:t>
      </w:r>
      <w:r>
        <w:rPr>
          <w:spacing w:val="40"/>
          <w:sz w:val="24"/>
        </w:rPr>
        <w:t> </w:t>
      </w:r>
      <w:r>
        <w:rPr>
          <w:sz w:val="24"/>
        </w:rPr>
        <w:t>Commissioner</w:t>
      </w:r>
      <w:r>
        <w:rPr>
          <w:spacing w:val="40"/>
          <w:sz w:val="24"/>
        </w:rPr>
        <w:t> </w:t>
      </w:r>
      <w:r>
        <w:rPr>
          <w:sz w:val="24"/>
        </w:rPr>
        <w:t>may</w:t>
      </w:r>
      <w:r>
        <w:rPr>
          <w:spacing w:val="40"/>
          <w:sz w:val="24"/>
        </w:rPr>
        <w:t> </w:t>
      </w:r>
      <w:r>
        <w:rPr>
          <w:sz w:val="24"/>
        </w:rPr>
        <w:t>permit</w:t>
      </w:r>
      <w:r>
        <w:rPr>
          <w:spacing w:val="40"/>
          <w:sz w:val="24"/>
        </w:rPr>
        <w:t> </w:t>
      </w:r>
      <w:r>
        <w:rPr>
          <w:sz w:val="24"/>
        </w:rPr>
        <w:t>temporary</w:t>
      </w:r>
      <w:r>
        <w:rPr>
          <w:spacing w:val="40"/>
          <w:sz w:val="24"/>
        </w:rPr>
        <w:t> </w:t>
      </w:r>
      <w:r>
        <w:rPr>
          <w:sz w:val="24"/>
        </w:rPr>
        <w:t>use</w:t>
      </w:r>
      <w:r>
        <w:rPr>
          <w:spacing w:val="40"/>
          <w:sz w:val="24"/>
        </w:rPr>
        <w:t> </w:t>
      </w:r>
      <w:r>
        <w:rPr>
          <w:sz w:val="24"/>
        </w:rPr>
        <w:t>of POS such as Gardens, Leisure Parks, </w:t>
      </w:r>
      <w:r>
        <w:rPr>
          <w:spacing w:val="11"/>
          <w:sz w:val="24"/>
        </w:rPr>
        <w:t>multi-</w:t>
      </w:r>
      <w:r>
        <w:rPr>
          <w:sz w:val="24"/>
        </w:rPr>
        <w:t>purpose</w:t>
      </w:r>
      <w:r>
        <w:rPr>
          <w:spacing w:val="40"/>
          <w:sz w:val="24"/>
        </w:rPr>
        <w:t> </w:t>
      </w:r>
      <w:r>
        <w:rPr>
          <w:sz w:val="24"/>
        </w:rPr>
        <w:t>community</w:t>
      </w:r>
      <w:r>
        <w:rPr>
          <w:spacing w:val="80"/>
          <w:sz w:val="24"/>
        </w:rPr>
        <w:t> </w:t>
      </w:r>
      <w:r>
        <w:rPr>
          <w:sz w:val="24"/>
        </w:rPr>
        <w:t>centers, libraries, reading rooms, public halls, Heritage area and</w:t>
      </w:r>
      <w:r>
        <w:rPr>
          <w:spacing w:val="80"/>
          <w:sz w:val="24"/>
        </w:rPr>
        <w:t> </w:t>
      </w:r>
      <w:r>
        <w:rPr>
          <w:sz w:val="24"/>
        </w:rPr>
        <w:t>Heritage Precincts, educational complexes, parking lots, institutional areas</w:t>
      </w:r>
      <w:r>
        <w:rPr>
          <w:spacing w:val="40"/>
          <w:sz w:val="24"/>
        </w:rPr>
        <w:t> </w:t>
      </w:r>
      <w:r>
        <w:rPr>
          <w:sz w:val="24"/>
        </w:rPr>
        <w:t>and</w:t>
      </w:r>
      <w:r>
        <w:rPr>
          <w:spacing w:val="40"/>
          <w:sz w:val="24"/>
        </w:rPr>
        <w:t> </w:t>
      </w:r>
      <w:r>
        <w:rPr>
          <w:sz w:val="24"/>
        </w:rPr>
        <w:t>the</w:t>
      </w:r>
      <w:r>
        <w:rPr>
          <w:spacing w:val="40"/>
          <w:sz w:val="24"/>
        </w:rPr>
        <w:t> </w:t>
      </w:r>
      <w:r>
        <w:rPr>
          <w:sz w:val="24"/>
        </w:rPr>
        <w:t>like</w:t>
      </w:r>
      <w:r>
        <w:rPr>
          <w:spacing w:val="40"/>
          <w:sz w:val="24"/>
        </w:rPr>
        <w:t> </w:t>
      </w:r>
      <w:r>
        <w:rPr>
          <w:sz w:val="24"/>
        </w:rPr>
        <w:t>for</w:t>
      </w:r>
      <w:r>
        <w:rPr>
          <w:spacing w:val="40"/>
          <w:sz w:val="24"/>
        </w:rPr>
        <w:t> </w:t>
      </w:r>
      <w:r>
        <w:rPr>
          <w:sz w:val="24"/>
        </w:rPr>
        <w:t>the</w:t>
      </w:r>
      <w:r>
        <w:rPr>
          <w:spacing w:val="40"/>
          <w:sz w:val="24"/>
        </w:rPr>
        <w:t> </w:t>
      </w:r>
      <w:r>
        <w:rPr>
          <w:sz w:val="24"/>
        </w:rPr>
        <w:t>purpose</w:t>
      </w:r>
      <w:r>
        <w:rPr>
          <w:spacing w:val="40"/>
          <w:sz w:val="24"/>
        </w:rPr>
        <w:t> </w:t>
      </w:r>
      <w:r>
        <w:rPr>
          <w:sz w:val="24"/>
        </w:rPr>
        <w:t>of</w:t>
      </w:r>
      <w:r>
        <w:rPr>
          <w:spacing w:val="40"/>
          <w:sz w:val="24"/>
        </w:rPr>
        <w:t> </w:t>
      </w:r>
      <w:r>
        <w:rPr>
          <w:sz w:val="24"/>
        </w:rPr>
        <w:t>Art</w:t>
      </w:r>
      <w:r>
        <w:rPr>
          <w:spacing w:val="40"/>
          <w:sz w:val="24"/>
        </w:rPr>
        <w:t> </w:t>
      </w:r>
      <w:r>
        <w:rPr>
          <w:sz w:val="24"/>
        </w:rPr>
        <w:t>and</w:t>
      </w:r>
      <w:r>
        <w:rPr>
          <w:spacing w:val="40"/>
          <w:sz w:val="24"/>
        </w:rPr>
        <w:t> </w:t>
      </w:r>
      <w:r>
        <w:rPr>
          <w:sz w:val="24"/>
        </w:rPr>
        <w:t>Culture</w:t>
      </w:r>
      <w:r>
        <w:rPr>
          <w:spacing w:val="80"/>
          <w:sz w:val="24"/>
        </w:rPr>
        <w:t> </w:t>
      </w:r>
      <w:r>
        <w:rPr>
          <w:sz w:val="24"/>
        </w:rPr>
        <w:t>including circus,</w:t>
      </w:r>
      <w:r>
        <w:rPr>
          <w:spacing w:val="40"/>
          <w:sz w:val="24"/>
        </w:rPr>
        <w:t> </w:t>
      </w:r>
      <w:r>
        <w:rPr>
          <w:sz w:val="24"/>
        </w:rPr>
        <w:t>jatra,</w:t>
      </w:r>
      <w:r>
        <w:rPr>
          <w:spacing w:val="40"/>
          <w:sz w:val="24"/>
        </w:rPr>
        <w:t> </w:t>
      </w:r>
      <w:r>
        <w:rPr>
          <w:sz w:val="24"/>
        </w:rPr>
        <w:t>folk</w:t>
      </w:r>
      <w:r>
        <w:rPr>
          <w:spacing w:val="40"/>
          <w:sz w:val="24"/>
        </w:rPr>
        <w:t> </w:t>
      </w:r>
      <w:r>
        <w:rPr>
          <w:sz w:val="24"/>
        </w:rPr>
        <w:t>dance,</w:t>
      </w:r>
      <w:r>
        <w:rPr>
          <w:spacing w:val="40"/>
          <w:sz w:val="24"/>
        </w:rPr>
        <w:t> </w:t>
      </w:r>
      <w:r>
        <w:rPr>
          <w:sz w:val="24"/>
        </w:rPr>
        <w:t>meditation</w:t>
      </w:r>
      <w:r>
        <w:rPr>
          <w:spacing w:val="40"/>
          <w:sz w:val="24"/>
        </w:rPr>
        <w:t> </w:t>
      </w:r>
      <w:r>
        <w:rPr>
          <w:sz w:val="24"/>
        </w:rPr>
        <w:t>and</w:t>
      </w:r>
      <w:r>
        <w:rPr>
          <w:spacing w:val="40"/>
          <w:sz w:val="24"/>
        </w:rPr>
        <w:t> </w:t>
      </w:r>
      <w:r>
        <w:rPr>
          <w:sz w:val="24"/>
        </w:rPr>
        <w:t>related</w:t>
      </w:r>
      <w:r>
        <w:rPr>
          <w:spacing w:val="40"/>
          <w:sz w:val="24"/>
        </w:rPr>
        <w:t> </w:t>
      </w:r>
      <w:r>
        <w:rPr>
          <w:sz w:val="24"/>
        </w:rPr>
        <w:t>activities</w:t>
      </w:r>
      <w:r>
        <w:rPr>
          <w:spacing w:val="40"/>
          <w:sz w:val="24"/>
        </w:rPr>
        <w:t> </w:t>
      </w:r>
      <w:r>
        <w:rPr>
          <w:sz w:val="24"/>
        </w:rPr>
        <w:t>in</w:t>
      </w:r>
      <w:r>
        <w:rPr>
          <w:spacing w:val="40"/>
          <w:sz w:val="24"/>
        </w:rPr>
        <w:t> </w:t>
      </w:r>
      <w:r>
        <w:rPr>
          <w:sz w:val="24"/>
        </w:rPr>
        <w:t>defined time</w:t>
      </w:r>
      <w:r>
        <w:rPr>
          <w:spacing w:val="40"/>
          <w:sz w:val="24"/>
        </w:rPr>
        <w:t> </w:t>
      </w:r>
      <w:r>
        <w:rPr>
          <w:sz w:val="24"/>
        </w:rPr>
        <w:t>slots,</w:t>
      </w:r>
      <w:r>
        <w:rPr>
          <w:spacing w:val="40"/>
          <w:sz w:val="24"/>
        </w:rPr>
        <w:t> </w:t>
      </w:r>
      <w:r>
        <w:rPr>
          <w:sz w:val="24"/>
        </w:rPr>
        <w:t>when</w:t>
      </w:r>
      <w:r>
        <w:rPr>
          <w:spacing w:val="40"/>
          <w:sz w:val="24"/>
        </w:rPr>
        <w:t> </w:t>
      </w:r>
      <w:r>
        <w:rPr>
          <w:sz w:val="24"/>
        </w:rPr>
        <w:t>the</w:t>
      </w:r>
      <w:r>
        <w:rPr>
          <w:spacing w:val="40"/>
          <w:sz w:val="24"/>
        </w:rPr>
        <w:t> </w:t>
      </w:r>
      <w:r>
        <w:rPr>
          <w:sz w:val="24"/>
        </w:rPr>
        <w:t>primary</w:t>
      </w:r>
      <w:r>
        <w:rPr>
          <w:spacing w:val="40"/>
          <w:sz w:val="24"/>
        </w:rPr>
        <w:t> </w:t>
      </w:r>
      <w:r>
        <w:rPr>
          <w:sz w:val="24"/>
        </w:rPr>
        <w:t>functions</w:t>
      </w:r>
      <w:r>
        <w:rPr>
          <w:spacing w:val="40"/>
          <w:sz w:val="24"/>
        </w:rPr>
        <w:t> </w:t>
      </w:r>
      <w:r>
        <w:rPr>
          <w:sz w:val="24"/>
        </w:rPr>
        <w:t>and</w:t>
      </w:r>
      <w:r>
        <w:rPr>
          <w:spacing w:val="40"/>
          <w:sz w:val="24"/>
        </w:rPr>
        <w:t> </w:t>
      </w:r>
      <w:r>
        <w:rPr>
          <w:sz w:val="24"/>
        </w:rPr>
        <w:t>uses</w:t>
      </w:r>
      <w:r>
        <w:rPr>
          <w:spacing w:val="40"/>
          <w:sz w:val="24"/>
        </w:rPr>
        <w:t> </w:t>
      </w:r>
      <w:r>
        <w:rPr>
          <w:sz w:val="24"/>
        </w:rPr>
        <w:t>of</w:t>
      </w:r>
      <w:r>
        <w:rPr>
          <w:spacing w:val="40"/>
          <w:sz w:val="24"/>
        </w:rPr>
        <w:t> </w:t>
      </w:r>
      <w:r>
        <w:rPr>
          <w:sz w:val="24"/>
        </w:rPr>
        <w:t>such</w:t>
      </w:r>
      <w:r>
        <w:rPr>
          <w:spacing w:val="40"/>
          <w:sz w:val="24"/>
        </w:rPr>
        <w:t> </w:t>
      </w:r>
      <w:r>
        <w:rPr>
          <w:sz w:val="24"/>
        </w:rPr>
        <w:t>spaces</w:t>
      </w:r>
      <w:r>
        <w:rPr>
          <w:spacing w:val="40"/>
          <w:sz w:val="24"/>
        </w:rPr>
        <w:t> </w:t>
      </w:r>
      <w:r>
        <w:rPr>
          <w:sz w:val="24"/>
        </w:rPr>
        <w:t>are not</w:t>
      </w:r>
      <w:r>
        <w:rPr>
          <w:spacing w:val="40"/>
          <w:sz w:val="24"/>
        </w:rPr>
        <w:t> </w:t>
      </w:r>
      <w:r>
        <w:rPr>
          <w:sz w:val="24"/>
        </w:rPr>
        <w:t>being</w:t>
      </w:r>
      <w:r>
        <w:rPr>
          <w:spacing w:val="40"/>
          <w:sz w:val="24"/>
        </w:rPr>
        <w:t> </w:t>
      </w:r>
      <w:r>
        <w:rPr>
          <w:sz w:val="24"/>
        </w:rPr>
        <w:t>performed.</w:t>
      </w:r>
      <w:r>
        <w:rPr>
          <w:spacing w:val="40"/>
          <w:sz w:val="24"/>
        </w:rPr>
        <w:t> </w:t>
      </w:r>
      <w:r>
        <w:rPr>
          <w:sz w:val="24"/>
        </w:rPr>
        <w:t>.</w:t>
      </w:r>
      <w:r>
        <w:rPr>
          <w:spacing w:val="40"/>
          <w:sz w:val="24"/>
        </w:rPr>
        <w:t> </w:t>
      </w:r>
      <w:r>
        <w:rPr>
          <w:sz w:val="24"/>
        </w:rPr>
        <w:t>In</w:t>
      </w:r>
      <w:r>
        <w:rPr>
          <w:spacing w:val="40"/>
          <w:sz w:val="24"/>
        </w:rPr>
        <w:t> </w:t>
      </w:r>
      <w:r>
        <w:rPr>
          <w:sz w:val="24"/>
        </w:rPr>
        <w:t>allowing</w:t>
      </w:r>
      <w:r>
        <w:rPr>
          <w:spacing w:val="40"/>
          <w:sz w:val="24"/>
        </w:rPr>
        <w:t> </w:t>
      </w:r>
      <w:r>
        <w:rPr>
          <w:sz w:val="24"/>
        </w:rPr>
        <w:t>such</w:t>
      </w:r>
      <w:r>
        <w:rPr>
          <w:spacing w:val="40"/>
          <w:sz w:val="24"/>
        </w:rPr>
        <w:t> </w:t>
      </w:r>
      <w:r>
        <w:rPr>
          <w:sz w:val="24"/>
        </w:rPr>
        <w:t>use,</w:t>
      </w:r>
      <w:r>
        <w:rPr>
          <w:spacing w:val="40"/>
          <w:sz w:val="24"/>
        </w:rPr>
        <w:t> </w:t>
      </w:r>
      <w:r>
        <w:rPr>
          <w:sz w:val="24"/>
        </w:rPr>
        <w:t>it</w:t>
      </w:r>
      <w:r>
        <w:rPr>
          <w:spacing w:val="40"/>
          <w:sz w:val="24"/>
        </w:rPr>
        <w:t> </w:t>
      </w:r>
      <w:r>
        <w:rPr>
          <w:sz w:val="24"/>
        </w:rPr>
        <w:t>should</w:t>
      </w:r>
      <w:r>
        <w:rPr>
          <w:spacing w:val="40"/>
          <w:sz w:val="24"/>
        </w:rPr>
        <w:t> </w:t>
      </w:r>
      <w:r>
        <w:rPr>
          <w:sz w:val="24"/>
        </w:rPr>
        <w:t>be</w:t>
      </w:r>
      <w:r>
        <w:rPr>
          <w:spacing w:val="40"/>
          <w:sz w:val="24"/>
        </w:rPr>
        <w:t> </w:t>
      </w:r>
      <w:r>
        <w:rPr>
          <w:sz w:val="24"/>
        </w:rPr>
        <w:t>ensured</w:t>
      </w:r>
      <w:r>
        <w:rPr>
          <w:spacing w:val="40"/>
          <w:sz w:val="24"/>
        </w:rPr>
        <w:t> </w:t>
      </w:r>
      <w:r>
        <w:rPr>
          <w:sz w:val="24"/>
        </w:rPr>
        <w:t>that</w:t>
      </w:r>
      <w:r>
        <w:rPr>
          <w:spacing w:val="40"/>
          <w:sz w:val="24"/>
        </w:rPr>
        <w:t> </w:t>
      </w:r>
      <w:r>
        <w:rPr>
          <w:sz w:val="24"/>
        </w:rPr>
        <w:t>the</w:t>
      </w:r>
      <w:r>
        <w:rPr>
          <w:spacing w:val="40"/>
          <w:sz w:val="24"/>
        </w:rPr>
        <w:t> </w:t>
      </w:r>
      <w:r>
        <w:rPr>
          <w:sz w:val="24"/>
        </w:rPr>
        <w:t>primary</w:t>
      </w:r>
      <w:r>
        <w:rPr>
          <w:spacing w:val="40"/>
          <w:sz w:val="24"/>
        </w:rPr>
        <w:t> </w:t>
      </w:r>
      <w:r>
        <w:rPr>
          <w:sz w:val="24"/>
        </w:rPr>
        <w:t>use</w:t>
      </w:r>
      <w:r>
        <w:rPr>
          <w:spacing w:val="40"/>
          <w:sz w:val="24"/>
        </w:rPr>
        <w:t> </w:t>
      </w:r>
      <w:r>
        <w:rPr>
          <w:sz w:val="24"/>
        </w:rPr>
        <w:t>is</w:t>
      </w:r>
      <w:r>
        <w:rPr>
          <w:spacing w:val="40"/>
          <w:sz w:val="24"/>
        </w:rPr>
        <w:t> </w:t>
      </w:r>
      <w:r>
        <w:rPr>
          <w:sz w:val="24"/>
        </w:rPr>
        <w:t>not</w:t>
      </w:r>
      <w:r>
        <w:rPr>
          <w:spacing w:val="40"/>
          <w:sz w:val="24"/>
        </w:rPr>
        <w:t> </w:t>
      </w:r>
      <w:r>
        <w:rPr>
          <w:sz w:val="24"/>
        </w:rPr>
        <w:t>compromised/</w:t>
      </w:r>
      <w:r>
        <w:rPr>
          <w:spacing w:val="40"/>
          <w:sz w:val="24"/>
        </w:rPr>
        <w:t> </w:t>
      </w:r>
      <w:r>
        <w:rPr>
          <w:sz w:val="24"/>
        </w:rPr>
        <w:t>impaired.</w:t>
      </w:r>
    </w:p>
    <w:p>
      <w:pPr>
        <w:pStyle w:val="ListParagraph"/>
        <w:numPr>
          <w:ilvl w:val="1"/>
          <w:numId w:val="10"/>
        </w:numPr>
        <w:tabs>
          <w:tab w:pos="1440" w:val="left" w:leader="none"/>
          <w:tab w:pos="1551" w:val="left" w:leader="none"/>
        </w:tabs>
        <w:spacing w:line="240" w:lineRule="auto" w:before="119" w:after="0"/>
        <w:ind w:left="1440" w:right="1078" w:hanging="360"/>
        <w:jc w:val="both"/>
        <w:rPr>
          <w:i/>
          <w:sz w:val="24"/>
        </w:rPr>
      </w:pPr>
      <w:r>
        <w:rPr>
          <w:i/>
          <w:sz w:val="24"/>
        </w:rPr>
        <w:tab/>
      </w:r>
      <w:r>
        <w:rPr>
          <w:b/>
          <w:i/>
          <w:sz w:val="24"/>
        </w:rPr>
        <w:t>Temporary Vending Zone: </w:t>
      </w:r>
      <w:r>
        <w:rPr>
          <w:sz w:val="24"/>
        </w:rPr>
        <w:t>The Commissioner may, by special permission, allow certain existing amenity lands or premises, as determined by the Commissioner, such as public parking lots, to be brought</w:t>
      </w:r>
      <w:r>
        <w:rPr>
          <w:spacing w:val="40"/>
          <w:sz w:val="24"/>
        </w:rPr>
        <w:t> </w:t>
      </w:r>
      <w:r>
        <w:rPr>
          <w:sz w:val="24"/>
        </w:rPr>
        <w:t>under</w:t>
      </w:r>
      <w:r>
        <w:rPr>
          <w:spacing w:val="40"/>
          <w:sz w:val="24"/>
        </w:rPr>
        <w:t> </w:t>
      </w:r>
      <w:r>
        <w:rPr>
          <w:sz w:val="24"/>
        </w:rPr>
        <w:t>vending</w:t>
      </w:r>
      <w:r>
        <w:rPr>
          <w:spacing w:val="40"/>
          <w:sz w:val="24"/>
        </w:rPr>
        <w:t> </w:t>
      </w:r>
      <w:r>
        <w:rPr>
          <w:sz w:val="24"/>
        </w:rPr>
        <w:t>zone.</w:t>
      </w:r>
      <w:r>
        <w:rPr>
          <w:spacing w:val="40"/>
          <w:sz w:val="24"/>
        </w:rPr>
        <w:t> </w:t>
      </w:r>
      <w:r>
        <w:rPr>
          <w:sz w:val="24"/>
        </w:rPr>
        <w:t>During</w:t>
      </w:r>
      <w:r>
        <w:rPr>
          <w:spacing w:val="40"/>
          <w:sz w:val="24"/>
        </w:rPr>
        <w:t> </w:t>
      </w:r>
      <w:r>
        <w:rPr>
          <w:sz w:val="24"/>
        </w:rPr>
        <w:t>such</w:t>
      </w:r>
      <w:r>
        <w:rPr>
          <w:spacing w:val="40"/>
          <w:sz w:val="24"/>
        </w:rPr>
        <w:t> </w:t>
      </w:r>
      <w:r>
        <w:rPr>
          <w:sz w:val="24"/>
        </w:rPr>
        <w:t>time</w:t>
      </w:r>
      <w:r>
        <w:rPr>
          <w:spacing w:val="40"/>
          <w:sz w:val="24"/>
        </w:rPr>
        <w:t> </w:t>
      </w:r>
      <w:r>
        <w:rPr>
          <w:sz w:val="24"/>
        </w:rPr>
        <w:t>slots</w:t>
      </w:r>
      <w:r>
        <w:rPr>
          <w:spacing w:val="40"/>
          <w:sz w:val="24"/>
        </w:rPr>
        <w:t> </w:t>
      </w:r>
      <w:r>
        <w:rPr>
          <w:sz w:val="24"/>
        </w:rPr>
        <w:t>(not</w:t>
      </w:r>
      <w:r>
        <w:rPr>
          <w:spacing w:val="40"/>
          <w:sz w:val="24"/>
        </w:rPr>
        <w:t> </w:t>
      </w:r>
      <w:r>
        <w:rPr>
          <w:sz w:val="24"/>
        </w:rPr>
        <w:t>more</w:t>
      </w:r>
      <w:r>
        <w:rPr>
          <w:spacing w:val="40"/>
          <w:sz w:val="24"/>
        </w:rPr>
        <w:t> </w:t>
      </w:r>
      <w:r>
        <w:rPr>
          <w:sz w:val="24"/>
        </w:rPr>
        <w:t>than one to four hours per week on </w:t>
      </w:r>
      <w:r>
        <w:rPr>
          <w:spacing w:val="9"/>
          <w:sz w:val="24"/>
        </w:rPr>
        <w:t>weekends),</w:t>
      </w:r>
      <w:r>
        <w:rPr>
          <w:spacing w:val="9"/>
          <w:sz w:val="24"/>
        </w:rPr>
        <w:t> </w:t>
      </w:r>
      <w:r>
        <w:rPr>
          <w:sz w:val="24"/>
        </w:rPr>
        <w:t>the primary user of the existing</w:t>
      </w:r>
      <w:r>
        <w:rPr>
          <w:spacing w:val="40"/>
          <w:sz w:val="24"/>
        </w:rPr>
        <w:t> </w:t>
      </w:r>
      <w:r>
        <w:rPr>
          <w:sz w:val="24"/>
        </w:rPr>
        <w:t>amenity</w:t>
      </w:r>
      <w:r>
        <w:rPr>
          <w:spacing w:val="40"/>
          <w:sz w:val="24"/>
        </w:rPr>
        <w:t> </w:t>
      </w:r>
      <w:r>
        <w:rPr>
          <w:sz w:val="24"/>
        </w:rPr>
        <w:t>land/premises</w:t>
      </w:r>
      <w:r>
        <w:rPr>
          <w:spacing w:val="40"/>
          <w:sz w:val="24"/>
        </w:rPr>
        <w:t> </w:t>
      </w:r>
      <w:r>
        <w:rPr>
          <w:sz w:val="24"/>
        </w:rPr>
        <w:t>shall</w:t>
      </w:r>
      <w:r>
        <w:rPr>
          <w:spacing w:val="40"/>
          <w:sz w:val="24"/>
        </w:rPr>
        <w:t> </w:t>
      </w:r>
      <w:r>
        <w:rPr>
          <w:sz w:val="24"/>
        </w:rPr>
        <w:t>remain</w:t>
      </w:r>
      <w:r>
        <w:rPr>
          <w:spacing w:val="40"/>
          <w:sz w:val="24"/>
        </w:rPr>
        <w:t> </w:t>
      </w:r>
      <w:r>
        <w:rPr>
          <w:sz w:val="24"/>
        </w:rPr>
        <w:t>temporarily</w:t>
      </w:r>
      <w:r>
        <w:rPr>
          <w:spacing w:val="40"/>
          <w:sz w:val="24"/>
        </w:rPr>
        <w:t> </w:t>
      </w:r>
      <w:r>
        <w:rPr>
          <w:sz w:val="24"/>
        </w:rPr>
        <w:t>suspended.</w:t>
      </w:r>
      <w:r>
        <w:rPr>
          <w:spacing w:val="80"/>
          <w:sz w:val="24"/>
        </w:rPr>
        <w:t> </w:t>
      </w:r>
      <w:r>
        <w:rPr>
          <w:sz w:val="24"/>
        </w:rPr>
        <w:t>In</w:t>
      </w:r>
      <w:r>
        <w:rPr>
          <w:spacing w:val="40"/>
          <w:sz w:val="24"/>
        </w:rPr>
        <w:t> </w:t>
      </w:r>
      <w:r>
        <w:rPr>
          <w:sz w:val="24"/>
        </w:rPr>
        <w:t>allowing</w:t>
      </w:r>
      <w:r>
        <w:rPr>
          <w:spacing w:val="40"/>
          <w:sz w:val="24"/>
        </w:rPr>
        <w:t> </w:t>
      </w:r>
      <w:r>
        <w:rPr>
          <w:sz w:val="24"/>
        </w:rPr>
        <w:t>such</w:t>
      </w:r>
      <w:r>
        <w:rPr>
          <w:spacing w:val="40"/>
          <w:sz w:val="24"/>
        </w:rPr>
        <w:t> </w:t>
      </w:r>
      <w:r>
        <w:rPr>
          <w:sz w:val="24"/>
        </w:rPr>
        <w:t>use,</w:t>
      </w:r>
      <w:r>
        <w:rPr>
          <w:spacing w:val="40"/>
          <w:sz w:val="24"/>
        </w:rPr>
        <w:t> </w:t>
      </w:r>
      <w:r>
        <w:rPr>
          <w:sz w:val="24"/>
        </w:rPr>
        <w:t>it</w:t>
      </w:r>
      <w:r>
        <w:rPr>
          <w:spacing w:val="40"/>
          <w:sz w:val="24"/>
        </w:rPr>
        <w:t> </w:t>
      </w:r>
      <w:r>
        <w:rPr>
          <w:sz w:val="24"/>
        </w:rPr>
        <w:t>should</w:t>
      </w:r>
      <w:r>
        <w:rPr>
          <w:spacing w:val="40"/>
          <w:sz w:val="24"/>
        </w:rPr>
        <w:t> </w:t>
      </w:r>
      <w:r>
        <w:rPr>
          <w:sz w:val="24"/>
        </w:rPr>
        <w:t>be</w:t>
      </w:r>
      <w:r>
        <w:rPr>
          <w:spacing w:val="40"/>
          <w:sz w:val="24"/>
        </w:rPr>
        <w:t> </w:t>
      </w:r>
      <w:r>
        <w:rPr>
          <w:sz w:val="24"/>
        </w:rPr>
        <w:t>ensured</w:t>
      </w:r>
      <w:r>
        <w:rPr>
          <w:spacing w:val="40"/>
          <w:sz w:val="24"/>
        </w:rPr>
        <w:t> </w:t>
      </w:r>
      <w:r>
        <w:rPr>
          <w:sz w:val="24"/>
        </w:rPr>
        <w:t>that</w:t>
      </w:r>
      <w:r>
        <w:rPr>
          <w:spacing w:val="40"/>
          <w:sz w:val="24"/>
        </w:rPr>
        <w:t> </w:t>
      </w:r>
      <w:r>
        <w:rPr>
          <w:sz w:val="24"/>
        </w:rPr>
        <w:t>the</w:t>
      </w:r>
      <w:r>
        <w:rPr>
          <w:spacing w:val="40"/>
          <w:sz w:val="24"/>
        </w:rPr>
        <w:t> </w:t>
      </w:r>
      <w:r>
        <w:rPr>
          <w:sz w:val="24"/>
        </w:rPr>
        <w:t>primary</w:t>
      </w:r>
      <w:r>
        <w:rPr>
          <w:spacing w:val="40"/>
          <w:sz w:val="24"/>
        </w:rPr>
        <w:t> </w:t>
      </w:r>
      <w:r>
        <w:rPr>
          <w:sz w:val="24"/>
        </w:rPr>
        <w:t>use</w:t>
      </w:r>
      <w:r>
        <w:rPr>
          <w:spacing w:val="40"/>
          <w:sz w:val="24"/>
        </w:rPr>
        <w:t> </w:t>
      </w:r>
      <w:r>
        <w:rPr>
          <w:sz w:val="24"/>
        </w:rPr>
        <w:t>is</w:t>
      </w:r>
      <w:r>
        <w:rPr>
          <w:spacing w:val="40"/>
          <w:sz w:val="24"/>
        </w:rPr>
        <w:t> </w:t>
      </w:r>
      <w:r>
        <w:rPr>
          <w:sz w:val="24"/>
        </w:rPr>
        <w:t>not</w:t>
      </w:r>
      <w:r>
        <w:rPr>
          <w:spacing w:val="40"/>
          <w:sz w:val="24"/>
        </w:rPr>
        <w:t> </w:t>
      </w:r>
      <w:r>
        <w:rPr>
          <w:sz w:val="24"/>
        </w:rPr>
        <w:t>compromised/</w:t>
      </w:r>
      <w:r>
        <w:rPr>
          <w:spacing w:val="40"/>
          <w:sz w:val="24"/>
        </w:rPr>
        <w:t> </w:t>
      </w:r>
      <w:r>
        <w:rPr>
          <w:sz w:val="24"/>
        </w:rPr>
        <w:t>impaired.</w:t>
      </w:r>
    </w:p>
    <w:p>
      <w:pPr>
        <w:pStyle w:val="ListParagraph"/>
        <w:numPr>
          <w:ilvl w:val="1"/>
          <w:numId w:val="10"/>
        </w:numPr>
        <w:tabs>
          <w:tab w:pos="1329" w:val="left" w:leader="none"/>
          <w:tab w:pos="1440" w:val="left" w:leader="none"/>
        </w:tabs>
        <w:spacing w:line="240" w:lineRule="auto" w:before="120" w:after="0"/>
        <w:ind w:left="1440" w:right="1091" w:hanging="644"/>
        <w:jc w:val="both"/>
        <w:rPr>
          <w:b/>
          <w:i/>
          <w:sz w:val="24"/>
        </w:rPr>
      </w:pPr>
      <w:r>
        <w:rPr>
          <w:b/>
          <w:sz w:val="24"/>
        </w:rPr>
        <w:t>Art &amp; Culture, Temporary Vending </w:t>
      </w:r>
      <w:r>
        <w:rPr>
          <w:b/>
          <w:spacing w:val="10"/>
          <w:sz w:val="24"/>
        </w:rPr>
        <w:t>Zone/Bajar-</w:t>
      </w:r>
      <w:r>
        <w:rPr>
          <w:b/>
          <w:sz w:val="24"/>
        </w:rPr>
        <w:t>hat/Athawadi Bazar/Equal Street: </w:t>
      </w:r>
      <w:r>
        <w:rPr>
          <w:sz w:val="24"/>
        </w:rPr>
        <w:t>The Municipal Commissioner shall identify and provide space for Art &amp; Culture, Recreational/Play area/Temporary Vending Zone or </w:t>
      </w:r>
      <w:r>
        <w:rPr>
          <w:spacing w:val="10"/>
          <w:sz w:val="24"/>
        </w:rPr>
        <w:t>Bazar-</w:t>
      </w:r>
      <w:r>
        <w:rPr>
          <w:sz w:val="24"/>
        </w:rPr>
        <w:t>hat/Athawadi Bazar/Equal Street, on street/road,</w:t>
      </w:r>
      <w:r>
        <w:rPr>
          <w:spacing w:val="40"/>
          <w:sz w:val="24"/>
        </w:rPr>
        <w:t> </w:t>
      </w:r>
      <w:r>
        <w:rPr>
          <w:sz w:val="24"/>
        </w:rPr>
        <w:t>on</w:t>
      </w:r>
      <w:r>
        <w:rPr>
          <w:spacing w:val="40"/>
          <w:sz w:val="24"/>
        </w:rPr>
        <w:t> </w:t>
      </w:r>
      <w:r>
        <w:rPr>
          <w:sz w:val="24"/>
        </w:rPr>
        <w:t>weekend/holidays</w:t>
      </w:r>
      <w:r>
        <w:rPr>
          <w:spacing w:val="40"/>
          <w:sz w:val="24"/>
        </w:rPr>
        <w:t> </w:t>
      </w:r>
      <w:r>
        <w:rPr>
          <w:sz w:val="24"/>
        </w:rPr>
        <w:t>etc.</w:t>
      </w:r>
      <w:r>
        <w:rPr>
          <w:spacing w:val="40"/>
          <w:sz w:val="24"/>
        </w:rPr>
        <w:t> </w:t>
      </w:r>
      <w:r>
        <w:rPr>
          <w:sz w:val="24"/>
        </w:rPr>
        <w:t>On</w:t>
      </w:r>
      <w:r>
        <w:rPr>
          <w:spacing w:val="40"/>
          <w:sz w:val="24"/>
        </w:rPr>
        <w:t> </w:t>
      </w:r>
      <w:r>
        <w:rPr>
          <w:sz w:val="24"/>
        </w:rPr>
        <w:t>such</w:t>
      </w:r>
      <w:r>
        <w:rPr>
          <w:spacing w:val="40"/>
          <w:sz w:val="24"/>
        </w:rPr>
        <w:t> </w:t>
      </w:r>
      <w:r>
        <w:rPr>
          <w:sz w:val="24"/>
        </w:rPr>
        <w:t>days,</w:t>
      </w:r>
      <w:r>
        <w:rPr>
          <w:spacing w:val="40"/>
          <w:sz w:val="24"/>
        </w:rPr>
        <w:t> </w:t>
      </w:r>
      <w:r>
        <w:rPr>
          <w:sz w:val="24"/>
        </w:rPr>
        <w:t>as</w:t>
      </w:r>
      <w:r>
        <w:rPr>
          <w:spacing w:val="40"/>
          <w:sz w:val="24"/>
        </w:rPr>
        <w:t> </w:t>
      </w:r>
      <w:r>
        <w:rPr>
          <w:sz w:val="24"/>
        </w:rPr>
        <w:t>specified</w:t>
      </w:r>
      <w:r>
        <w:rPr>
          <w:spacing w:val="40"/>
          <w:sz w:val="24"/>
        </w:rPr>
        <w:t> </w:t>
      </w:r>
      <w:r>
        <w:rPr>
          <w:sz w:val="24"/>
        </w:rPr>
        <w:t>by the Municipal Commissioner, such streets/roads or stretch of streets/roads,</w:t>
      </w:r>
      <w:r>
        <w:rPr>
          <w:spacing w:val="40"/>
          <w:sz w:val="24"/>
        </w:rPr>
        <w:t> </w:t>
      </w:r>
      <w:r>
        <w:rPr>
          <w:sz w:val="24"/>
        </w:rPr>
        <w:t>can</w:t>
      </w:r>
      <w:r>
        <w:rPr>
          <w:spacing w:val="40"/>
          <w:sz w:val="24"/>
        </w:rPr>
        <w:t> </w:t>
      </w:r>
      <w:r>
        <w:rPr>
          <w:sz w:val="24"/>
        </w:rPr>
        <w:t>be</w:t>
      </w:r>
      <w:r>
        <w:rPr>
          <w:spacing w:val="40"/>
          <w:sz w:val="24"/>
        </w:rPr>
        <w:t> </w:t>
      </w:r>
      <w:r>
        <w:rPr>
          <w:sz w:val="24"/>
        </w:rPr>
        <w:t>used</w:t>
      </w:r>
      <w:r>
        <w:rPr>
          <w:spacing w:val="40"/>
          <w:sz w:val="24"/>
        </w:rPr>
        <w:t> </w:t>
      </w:r>
      <w:r>
        <w:rPr>
          <w:sz w:val="24"/>
        </w:rPr>
        <w:t>as</w:t>
      </w:r>
      <w:r>
        <w:rPr>
          <w:spacing w:val="40"/>
          <w:sz w:val="24"/>
        </w:rPr>
        <w:t> </w:t>
      </w:r>
      <w:r>
        <w:rPr>
          <w:sz w:val="24"/>
        </w:rPr>
        <w:t>recreational/play</w:t>
      </w:r>
      <w:r>
        <w:rPr>
          <w:spacing w:val="40"/>
          <w:sz w:val="24"/>
        </w:rPr>
        <w:t> </w:t>
      </w:r>
      <w:r>
        <w:rPr>
          <w:sz w:val="24"/>
        </w:rPr>
        <w:t>area</w:t>
      </w:r>
      <w:r>
        <w:rPr>
          <w:spacing w:val="40"/>
          <w:sz w:val="24"/>
        </w:rPr>
        <w:t> </w:t>
      </w:r>
      <w:r>
        <w:rPr>
          <w:sz w:val="24"/>
        </w:rPr>
        <w:t>&amp;</w:t>
      </w:r>
      <w:r>
        <w:rPr>
          <w:spacing w:val="40"/>
          <w:sz w:val="24"/>
        </w:rPr>
        <w:t> </w:t>
      </w:r>
      <w:r>
        <w:rPr>
          <w:sz w:val="24"/>
        </w:rPr>
        <w:t>space</w:t>
      </w:r>
      <w:r>
        <w:rPr>
          <w:spacing w:val="40"/>
          <w:sz w:val="24"/>
        </w:rPr>
        <w:t> </w:t>
      </w:r>
      <w:r>
        <w:rPr>
          <w:sz w:val="24"/>
        </w:rPr>
        <w:t>for activity</w:t>
      </w:r>
      <w:r>
        <w:rPr>
          <w:spacing w:val="40"/>
          <w:sz w:val="24"/>
        </w:rPr>
        <w:t> </w:t>
      </w:r>
      <w:r>
        <w:rPr>
          <w:sz w:val="24"/>
        </w:rPr>
        <w:t>as</w:t>
      </w:r>
      <w:r>
        <w:rPr>
          <w:spacing w:val="40"/>
          <w:sz w:val="24"/>
        </w:rPr>
        <w:t> </w:t>
      </w:r>
      <w:r>
        <w:rPr>
          <w:sz w:val="24"/>
        </w:rPr>
        <w:t>stated</w:t>
      </w:r>
      <w:r>
        <w:rPr>
          <w:spacing w:val="40"/>
          <w:sz w:val="24"/>
        </w:rPr>
        <w:t> </w:t>
      </w:r>
      <w:r>
        <w:rPr>
          <w:sz w:val="24"/>
        </w:rPr>
        <w:t>herein</w:t>
      </w:r>
      <w:r>
        <w:rPr>
          <w:spacing w:val="40"/>
          <w:sz w:val="24"/>
        </w:rPr>
        <w:t> </w:t>
      </w:r>
      <w:r>
        <w:rPr>
          <w:sz w:val="24"/>
        </w:rPr>
        <w:t>above.</w:t>
      </w:r>
      <w:r>
        <w:rPr>
          <w:spacing w:val="40"/>
          <w:sz w:val="24"/>
        </w:rPr>
        <w:t> </w:t>
      </w:r>
      <w:r>
        <w:rPr>
          <w:sz w:val="24"/>
        </w:rPr>
        <w:t>The</w:t>
      </w:r>
      <w:r>
        <w:rPr>
          <w:spacing w:val="40"/>
          <w:sz w:val="24"/>
        </w:rPr>
        <w:t> </w:t>
      </w:r>
      <w:r>
        <w:rPr>
          <w:sz w:val="24"/>
        </w:rPr>
        <w:t>Municipal</w:t>
      </w:r>
      <w:r>
        <w:rPr>
          <w:spacing w:val="40"/>
          <w:sz w:val="24"/>
        </w:rPr>
        <w:t> </w:t>
      </w:r>
      <w:r>
        <w:rPr>
          <w:sz w:val="24"/>
        </w:rPr>
        <w:t>Commissioner</w:t>
      </w:r>
      <w:r>
        <w:rPr>
          <w:spacing w:val="40"/>
          <w:sz w:val="24"/>
        </w:rPr>
        <w:t> </w:t>
      </w:r>
      <w:r>
        <w:rPr>
          <w:sz w:val="24"/>
        </w:rPr>
        <w:t>shall</w:t>
      </w:r>
      <w:r>
        <w:rPr>
          <w:spacing w:val="80"/>
          <w:sz w:val="24"/>
        </w:rPr>
        <w:t> </w:t>
      </w:r>
      <w:r>
        <w:rPr>
          <w:sz w:val="24"/>
        </w:rPr>
        <w:t>also identify public spaces, including roads for night bazar to be conducted. The powers of identification of such spaces shall not be </w:t>
      </w:r>
      <w:r>
        <w:rPr>
          <w:spacing w:val="7"/>
          <w:sz w:val="24"/>
        </w:rPr>
        <w:t>delegated.</w:t>
      </w:r>
    </w:p>
    <w:p>
      <w:pPr>
        <w:pStyle w:val="ListParagraph"/>
        <w:spacing w:after="0" w:line="240" w:lineRule="auto"/>
        <w:jc w:val="both"/>
        <w:rPr>
          <w:b/>
          <w:i/>
          <w:sz w:val="24"/>
        </w:rPr>
        <w:sectPr>
          <w:pgSz w:w="11910" w:h="16840"/>
          <w:pgMar w:header="746" w:footer="968" w:top="1180" w:bottom="1160" w:left="360" w:right="360"/>
        </w:sectPr>
      </w:pPr>
    </w:p>
    <w:p>
      <w:pPr>
        <w:spacing w:before="247"/>
        <w:ind w:left="1080" w:right="0" w:firstLine="0"/>
        <w:jc w:val="left"/>
        <w:rPr>
          <w:b/>
          <w:i/>
          <w:sz w:val="28"/>
        </w:rPr>
      </w:pPr>
      <w:r>
        <w:rPr>
          <w:b/>
          <w:sz w:val="28"/>
        </w:rPr>
        <w:t>14</w:t>
      </w:r>
      <w:r>
        <w:rPr>
          <w:b/>
          <w:spacing w:val="28"/>
          <w:sz w:val="28"/>
        </w:rPr>
        <w:t> </w:t>
      </w:r>
      <w:r>
        <w:rPr>
          <w:b/>
          <w:i/>
          <w:spacing w:val="-2"/>
          <w:sz w:val="28"/>
        </w:rPr>
        <w:t>Amenities</w:t>
      </w:r>
    </w:p>
    <w:p>
      <w:pPr>
        <w:pStyle w:val="Heading6"/>
        <w:numPr>
          <w:ilvl w:val="0"/>
          <w:numId w:val="25"/>
        </w:numPr>
        <w:tabs>
          <w:tab w:pos="1798" w:val="left" w:leader="none"/>
        </w:tabs>
        <w:spacing w:line="240" w:lineRule="auto" w:before="242" w:after="0"/>
        <w:ind w:left="1798" w:right="0" w:hanging="358"/>
        <w:jc w:val="both"/>
        <w:rPr>
          <w:i w:val="0"/>
          <w:sz w:val="22"/>
        </w:rPr>
      </w:pPr>
      <w:r>
        <w:rPr/>
        <w:t>In</w:t>
      </w:r>
      <w:r>
        <w:rPr>
          <w:spacing w:val="24"/>
        </w:rPr>
        <w:t> </w:t>
      </w:r>
      <w:r>
        <w:rPr>
          <w:spacing w:val="9"/>
        </w:rPr>
        <w:t>Plots/lay-</w:t>
      </w:r>
      <w:r>
        <w:rPr/>
        <w:t>outs</w:t>
      </w:r>
      <w:r>
        <w:rPr>
          <w:spacing w:val="31"/>
        </w:rPr>
        <w:t> </w:t>
      </w:r>
      <w:r>
        <w:rPr/>
        <w:t>of</w:t>
      </w:r>
      <w:r>
        <w:rPr>
          <w:spacing w:val="7"/>
        </w:rPr>
        <w:t> </w:t>
      </w:r>
      <w:r>
        <w:rPr/>
        <w:t>the</w:t>
      </w:r>
      <w:r>
        <w:rPr>
          <w:spacing w:val="8"/>
        </w:rPr>
        <w:t> </w:t>
      </w:r>
      <w:r>
        <w:rPr/>
        <w:t>land</w:t>
      </w:r>
      <w:r>
        <w:rPr>
          <w:spacing w:val="7"/>
        </w:rPr>
        <w:t> </w:t>
      </w:r>
      <w:r>
        <w:rPr/>
        <w:t>admeasuring</w:t>
      </w:r>
      <w:r>
        <w:rPr>
          <w:spacing w:val="7"/>
        </w:rPr>
        <w:t> </w:t>
      </w:r>
      <w:r>
        <w:rPr/>
        <w:t>4000</w:t>
      </w:r>
      <w:r>
        <w:rPr>
          <w:spacing w:val="28"/>
        </w:rPr>
        <w:t> </w:t>
      </w:r>
      <w:r>
        <w:rPr/>
        <w:t>sq.</w:t>
      </w:r>
      <w:r>
        <w:rPr>
          <w:spacing w:val="30"/>
        </w:rPr>
        <w:t> </w:t>
      </w:r>
      <w:r>
        <w:rPr/>
        <w:t>m</w:t>
      </w:r>
      <w:r>
        <w:rPr>
          <w:spacing w:val="31"/>
        </w:rPr>
        <w:t> </w:t>
      </w:r>
      <w:r>
        <w:rPr/>
        <w:t>or</w:t>
      </w:r>
      <w:r>
        <w:rPr>
          <w:spacing w:val="28"/>
        </w:rPr>
        <w:t> </w:t>
      </w:r>
      <w:r>
        <w:rPr>
          <w:spacing w:val="-2"/>
        </w:rPr>
        <w:t>more</w:t>
      </w:r>
      <w:r>
        <w:rPr>
          <w:i w:val="0"/>
          <w:spacing w:val="-2"/>
        </w:rPr>
        <w:t>:</w:t>
      </w:r>
    </w:p>
    <w:p>
      <w:pPr>
        <w:pStyle w:val="BodyText"/>
        <w:spacing w:before="122"/>
        <w:ind w:left="1440" w:right="1078"/>
      </w:pPr>
      <w:r>
        <w:rPr/>
        <w:t>In case of development of land admeasuring 4000 sq. m and more (excluding the area under Road set </w:t>
      </w:r>
      <w:r>
        <w:rPr>
          <w:spacing w:val="9"/>
        </w:rPr>
        <w:t>back/DP </w:t>
      </w:r>
      <w:r>
        <w:rPr/>
        <w:t>Road) in Residential and Commercial</w:t>
      </w:r>
      <w:r>
        <w:rPr>
          <w:spacing w:val="80"/>
        </w:rPr>
        <w:t> </w:t>
      </w:r>
      <w:r>
        <w:rPr/>
        <w:t>Zones,</w:t>
      </w:r>
      <w:r>
        <w:rPr>
          <w:spacing w:val="80"/>
        </w:rPr>
        <w:t> </w:t>
      </w:r>
      <w:r>
        <w:rPr/>
        <w:t>amenity</w:t>
      </w:r>
      <w:r>
        <w:rPr>
          <w:spacing w:val="80"/>
        </w:rPr>
        <w:t> </w:t>
      </w:r>
      <w:r>
        <w:rPr/>
        <w:t>areas</w:t>
      </w:r>
      <w:r>
        <w:rPr>
          <w:spacing w:val="80"/>
        </w:rPr>
        <w:t> </w:t>
      </w:r>
      <w:r>
        <w:rPr/>
        <w:t>as</w:t>
      </w:r>
      <w:r>
        <w:rPr>
          <w:spacing w:val="80"/>
        </w:rPr>
        <w:t> </w:t>
      </w:r>
      <w:r>
        <w:rPr/>
        <w:t>specified</w:t>
      </w:r>
      <w:r>
        <w:rPr>
          <w:spacing w:val="80"/>
        </w:rPr>
        <w:t> </w:t>
      </w:r>
      <w:r>
        <w:rPr>
          <w:spacing w:val="9"/>
        </w:rPr>
        <w:t>below</w:t>
      </w:r>
      <w:r>
        <w:rPr>
          <w:spacing w:val="80"/>
        </w:rPr>
        <w:t> </w:t>
      </w:r>
      <w:r>
        <w:rPr/>
        <w:t>shall</w:t>
      </w:r>
      <w:r>
        <w:rPr>
          <w:spacing w:val="80"/>
        </w:rPr>
        <w:t> </w:t>
      </w:r>
      <w:r>
        <w:rPr/>
        <w:t>be provided</w:t>
      </w:r>
      <w:r>
        <w:rPr>
          <w:spacing w:val="40"/>
        </w:rPr>
        <w:t> </w:t>
      </w:r>
      <w:r>
        <w:rPr/>
        <w:t>fronting</w:t>
      </w:r>
      <w:r>
        <w:rPr>
          <w:spacing w:val="40"/>
        </w:rPr>
        <w:t> </w:t>
      </w:r>
      <w:r>
        <w:rPr/>
        <w:t>on</w:t>
      </w:r>
      <w:r>
        <w:rPr>
          <w:spacing w:val="40"/>
        </w:rPr>
        <w:t> </w:t>
      </w:r>
      <w:r>
        <w:rPr/>
        <w:t>public</w:t>
      </w:r>
      <w:r>
        <w:rPr>
          <w:spacing w:val="40"/>
        </w:rPr>
        <w:t> </w:t>
      </w:r>
      <w:r>
        <w:rPr/>
        <w:t>road</w:t>
      </w:r>
      <w:r>
        <w:rPr>
          <w:spacing w:val="40"/>
        </w:rPr>
        <w:t>  </w:t>
      </w:r>
      <w:r>
        <w:rPr/>
        <w:t>or</w:t>
      </w:r>
      <w:r>
        <w:rPr>
          <w:spacing w:val="40"/>
        </w:rPr>
        <w:t> </w:t>
      </w:r>
      <w:r>
        <w:rPr/>
        <w:t>shall</w:t>
      </w:r>
      <w:r>
        <w:rPr>
          <w:spacing w:val="40"/>
        </w:rPr>
        <w:t> </w:t>
      </w:r>
      <w:r>
        <w:rPr/>
        <w:t>be</w:t>
      </w:r>
      <w:r>
        <w:rPr>
          <w:spacing w:val="40"/>
        </w:rPr>
        <w:t> </w:t>
      </w:r>
      <w:r>
        <w:rPr/>
        <w:t>provided</w:t>
      </w:r>
      <w:r>
        <w:rPr>
          <w:spacing w:val="40"/>
        </w:rPr>
        <w:t> </w:t>
      </w:r>
      <w:r>
        <w:rPr/>
        <w:t>with</w:t>
      </w:r>
      <w:r>
        <w:rPr>
          <w:spacing w:val="40"/>
        </w:rPr>
        <w:t> </w:t>
      </w:r>
      <w:r>
        <w:rPr/>
        <w:t>a</w:t>
      </w:r>
      <w:r>
        <w:rPr>
          <w:spacing w:val="40"/>
        </w:rPr>
        <w:t> </w:t>
      </w:r>
      <w:r>
        <w:rPr/>
        <w:t>perpetual</w:t>
      </w:r>
      <w:r>
        <w:rPr>
          <w:spacing w:val="40"/>
        </w:rPr>
        <w:t> </w:t>
      </w:r>
      <w:r>
        <w:rPr/>
        <w:t>independent</w:t>
      </w:r>
      <w:r>
        <w:rPr>
          <w:spacing w:val="40"/>
        </w:rPr>
        <w:t> </w:t>
      </w:r>
      <w:r>
        <w:rPr/>
        <w:t>right</w:t>
      </w:r>
      <w:r>
        <w:rPr>
          <w:spacing w:val="40"/>
        </w:rPr>
        <w:t> </w:t>
      </w:r>
      <w:r>
        <w:rPr/>
        <w:t>of</w:t>
      </w:r>
      <w:r>
        <w:rPr>
          <w:spacing w:val="40"/>
        </w:rPr>
        <w:t> </w:t>
      </w:r>
      <w:r>
        <w:rPr/>
        <w:t>way.</w:t>
      </w:r>
      <w:r>
        <w:rPr>
          <w:spacing w:val="40"/>
        </w:rPr>
        <w:t> </w:t>
      </w:r>
      <w:r>
        <w:rPr/>
        <w:t>Such</w:t>
      </w:r>
      <w:r>
        <w:rPr>
          <w:spacing w:val="40"/>
        </w:rPr>
        <w:t> </w:t>
      </w:r>
      <w:r>
        <w:rPr/>
        <w:t>amenity</w:t>
      </w:r>
      <w:r>
        <w:rPr>
          <w:spacing w:val="40"/>
        </w:rPr>
        <w:t> </w:t>
      </w:r>
      <w:r>
        <w:rPr/>
        <w:t>area</w:t>
      </w:r>
      <w:r>
        <w:rPr>
          <w:spacing w:val="40"/>
        </w:rPr>
        <w:t> </w:t>
      </w:r>
      <w:r>
        <w:rPr/>
        <w:t>shall</w:t>
      </w:r>
      <w:r>
        <w:rPr>
          <w:spacing w:val="40"/>
        </w:rPr>
        <w:t> </w:t>
      </w:r>
      <w:r>
        <w:rPr/>
        <w:t>be exclusive</w:t>
      </w:r>
      <w:r>
        <w:rPr>
          <w:spacing w:val="80"/>
        </w:rPr>
        <w:t> </w:t>
      </w:r>
      <w:r>
        <w:rPr/>
        <w:t>of</w:t>
      </w:r>
      <w:r>
        <w:rPr>
          <w:spacing w:val="80"/>
        </w:rPr>
        <w:t> </w:t>
      </w:r>
      <w:r>
        <w:rPr/>
        <w:t>area</w:t>
      </w:r>
      <w:r>
        <w:rPr>
          <w:spacing w:val="80"/>
        </w:rPr>
        <w:t> </w:t>
      </w:r>
      <w:r>
        <w:rPr/>
        <w:t>under</w:t>
      </w:r>
      <w:r>
        <w:rPr>
          <w:spacing w:val="80"/>
        </w:rPr>
        <w:t> </w:t>
      </w:r>
      <w:r>
        <w:rPr/>
        <w:t>perpetual</w:t>
      </w:r>
      <w:r>
        <w:rPr>
          <w:spacing w:val="80"/>
        </w:rPr>
        <w:t> </w:t>
      </w:r>
      <w:r>
        <w:rPr/>
        <w:t>independent</w:t>
      </w:r>
      <w:r>
        <w:rPr>
          <w:spacing w:val="80"/>
        </w:rPr>
        <w:t> </w:t>
      </w:r>
      <w:r>
        <w:rPr/>
        <w:t>right</w:t>
      </w:r>
      <w:r>
        <w:rPr>
          <w:spacing w:val="80"/>
        </w:rPr>
        <w:t> </w:t>
      </w:r>
      <w:r>
        <w:rPr/>
        <w:t>of</w:t>
      </w:r>
      <w:r>
        <w:rPr>
          <w:spacing w:val="80"/>
        </w:rPr>
        <w:t> </w:t>
      </w:r>
      <w:r>
        <w:rPr/>
        <w:t>way.</w:t>
      </w:r>
    </w:p>
    <w:p>
      <w:pPr>
        <w:pStyle w:val="ListParagraph"/>
        <w:numPr>
          <w:ilvl w:val="1"/>
          <w:numId w:val="25"/>
        </w:numPr>
        <w:tabs>
          <w:tab w:pos="1786" w:val="left" w:leader="none"/>
          <w:tab w:pos="1788" w:val="left" w:leader="none"/>
        </w:tabs>
        <w:spacing w:line="240" w:lineRule="auto" w:before="241" w:after="0"/>
        <w:ind w:left="1788" w:right="1091" w:hanging="425"/>
        <w:jc w:val="both"/>
        <w:rPr>
          <w:sz w:val="24"/>
        </w:rPr>
      </w:pPr>
      <w:r>
        <w:rPr>
          <w:sz w:val="24"/>
        </w:rPr>
        <w:t>Development of plots with area 4,000 sq. m and more and up to 10,000</w:t>
      </w:r>
      <w:r>
        <w:rPr>
          <w:spacing w:val="40"/>
          <w:sz w:val="24"/>
        </w:rPr>
        <w:t> </w:t>
      </w:r>
      <w:r>
        <w:rPr>
          <w:sz w:val="24"/>
        </w:rPr>
        <w:t>sq.</w:t>
      </w:r>
      <w:r>
        <w:rPr>
          <w:spacing w:val="40"/>
          <w:sz w:val="24"/>
        </w:rPr>
        <w:t> </w:t>
      </w:r>
      <w:r>
        <w:rPr>
          <w:sz w:val="24"/>
        </w:rPr>
        <w:t>m</w:t>
      </w:r>
      <w:r>
        <w:rPr>
          <w:spacing w:val="40"/>
          <w:sz w:val="24"/>
        </w:rPr>
        <w:t> </w:t>
      </w:r>
      <w:r>
        <w:rPr>
          <w:sz w:val="24"/>
        </w:rPr>
        <w:t>shall</w:t>
      </w:r>
      <w:r>
        <w:rPr>
          <w:spacing w:val="40"/>
          <w:sz w:val="24"/>
        </w:rPr>
        <w:t> </w:t>
      </w:r>
      <w:r>
        <w:rPr>
          <w:sz w:val="24"/>
        </w:rPr>
        <w:t>require</w:t>
      </w:r>
      <w:r>
        <w:rPr>
          <w:spacing w:val="40"/>
          <w:sz w:val="24"/>
        </w:rPr>
        <w:t> </w:t>
      </w:r>
      <w:r>
        <w:rPr>
          <w:sz w:val="24"/>
        </w:rPr>
        <w:t>handing</w:t>
      </w:r>
      <w:r>
        <w:rPr>
          <w:spacing w:val="40"/>
          <w:sz w:val="24"/>
        </w:rPr>
        <w:t> </w:t>
      </w:r>
      <w:r>
        <w:rPr>
          <w:sz w:val="24"/>
        </w:rPr>
        <w:t>over</w:t>
      </w:r>
      <w:r>
        <w:rPr>
          <w:spacing w:val="40"/>
          <w:sz w:val="24"/>
        </w:rPr>
        <w:t> </w:t>
      </w:r>
      <w:r>
        <w:rPr>
          <w:sz w:val="24"/>
        </w:rPr>
        <w:t>5%</w:t>
      </w:r>
      <w:r>
        <w:rPr>
          <w:spacing w:val="40"/>
          <w:sz w:val="24"/>
        </w:rPr>
        <w:t> </w:t>
      </w:r>
      <w:r>
        <w:rPr>
          <w:sz w:val="24"/>
        </w:rPr>
        <w:t>of</w:t>
      </w:r>
      <w:r>
        <w:rPr>
          <w:spacing w:val="40"/>
          <w:sz w:val="24"/>
        </w:rPr>
        <w:t> </w:t>
      </w:r>
      <w:r>
        <w:rPr>
          <w:sz w:val="24"/>
        </w:rPr>
        <w:t>plot</w:t>
      </w:r>
      <w:r>
        <w:rPr>
          <w:spacing w:val="40"/>
          <w:sz w:val="24"/>
        </w:rPr>
        <w:t> </w:t>
      </w:r>
      <w:r>
        <w:rPr>
          <w:sz w:val="24"/>
        </w:rPr>
        <w:t>area</w:t>
      </w:r>
      <w:r>
        <w:rPr>
          <w:spacing w:val="40"/>
          <w:sz w:val="24"/>
        </w:rPr>
        <w:t> </w:t>
      </w:r>
      <w:r>
        <w:rPr>
          <w:sz w:val="24"/>
        </w:rPr>
        <w:t>to</w:t>
      </w:r>
      <w:r>
        <w:rPr>
          <w:spacing w:val="40"/>
          <w:sz w:val="24"/>
        </w:rPr>
        <w:t> </w:t>
      </w:r>
      <w:r>
        <w:rPr>
          <w:sz w:val="24"/>
        </w:rPr>
        <w:t>MCGM as POS.</w:t>
      </w:r>
    </w:p>
    <w:p>
      <w:pPr>
        <w:pStyle w:val="ListParagraph"/>
        <w:numPr>
          <w:ilvl w:val="1"/>
          <w:numId w:val="25"/>
        </w:numPr>
        <w:tabs>
          <w:tab w:pos="1785" w:val="left" w:leader="none"/>
          <w:tab w:pos="1788" w:val="left" w:leader="none"/>
        </w:tabs>
        <w:spacing w:line="240" w:lineRule="auto" w:before="121" w:after="0"/>
        <w:ind w:left="1788" w:right="1090" w:hanging="425"/>
        <w:jc w:val="both"/>
        <w:rPr>
          <w:sz w:val="24"/>
        </w:rPr>
      </w:pPr>
      <w:r>
        <w:rPr>
          <w:sz w:val="24"/>
        </w:rPr>
        <w:t>Developments</w:t>
      </w:r>
      <w:r>
        <w:rPr>
          <w:spacing w:val="40"/>
          <w:sz w:val="24"/>
        </w:rPr>
        <w:t> </w:t>
      </w:r>
      <w:r>
        <w:rPr>
          <w:sz w:val="24"/>
        </w:rPr>
        <w:t>of</w:t>
      </w:r>
      <w:r>
        <w:rPr>
          <w:spacing w:val="40"/>
          <w:sz w:val="24"/>
        </w:rPr>
        <w:t> </w:t>
      </w:r>
      <w:r>
        <w:rPr>
          <w:sz w:val="24"/>
        </w:rPr>
        <w:t>plot</w:t>
      </w:r>
      <w:r>
        <w:rPr>
          <w:spacing w:val="40"/>
          <w:sz w:val="24"/>
        </w:rPr>
        <w:t> </w:t>
      </w:r>
      <w:r>
        <w:rPr>
          <w:sz w:val="24"/>
        </w:rPr>
        <w:t>with</w:t>
      </w:r>
      <w:r>
        <w:rPr>
          <w:spacing w:val="40"/>
          <w:sz w:val="24"/>
        </w:rPr>
        <w:t> </w:t>
      </w:r>
      <w:r>
        <w:rPr>
          <w:sz w:val="24"/>
        </w:rPr>
        <w:t>area</w:t>
      </w:r>
      <w:r>
        <w:rPr>
          <w:spacing w:val="40"/>
          <w:sz w:val="24"/>
        </w:rPr>
        <w:t> </w:t>
      </w:r>
      <w:r>
        <w:rPr>
          <w:sz w:val="24"/>
        </w:rPr>
        <w:t>exceeding</w:t>
      </w:r>
      <w:r>
        <w:rPr>
          <w:spacing w:val="40"/>
          <w:sz w:val="24"/>
        </w:rPr>
        <w:t> </w:t>
      </w:r>
      <w:r>
        <w:rPr>
          <w:sz w:val="24"/>
        </w:rPr>
        <w:t>10,000</w:t>
      </w:r>
      <w:r>
        <w:rPr>
          <w:spacing w:val="40"/>
          <w:sz w:val="24"/>
        </w:rPr>
        <w:t> </w:t>
      </w:r>
      <w:r>
        <w:rPr>
          <w:sz w:val="24"/>
        </w:rPr>
        <w:t>sq.</w:t>
      </w:r>
      <w:r>
        <w:rPr>
          <w:spacing w:val="40"/>
          <w:sz w:val="24"/>
        </w:rPr>
        <w:t> </w:t>
      </w:r>
      <w:r>
        <w:rPr>
          <w:sz w:val="24"/>
        </w:rPr>
        <w:t>m</w:t>
      </w:r>
      <w:r>
        <w:rPr>
          <w:spacing w:val="40"/>
          <w:sz w:val="24"/>
        </w:rPr>
        <w:t> </w:t>
      </w:r>
      <w:r>
        <w:rPr>
          <w:sz w:val="24"/>
        </w:rPr>
        <w:t>shall require</w:t>
      </w:r>
      <w:r>
        <w:rPr>
          <w:spacing w:val="40"/>
          <w:sz w:val="24"/>
        </w:rPr>
        <w:t> </w:t>
      </w:r>
      <w:r>
        <w:rPr>
          <w:sz w:val="24"/>
        </w:rPr>
        <w:t>handing</w:t>
      </w:r>
      <w:r>
        <w:rPr>
          <w:spacing w:val="40"/>
          <w:sz w:val="24"/>
        </w:rPr>
        <w:t> </w:t>
      </w:r>
      <w:r>
        <w:rPr>
          <w:sz w:val="24"/>
        </w:rPr>
        <w:t>over</w:t>
      </w:r>
      <w:r>
        <w:rPr>
          <w:spacing w:val="40"/>
          <w:sz w:val="24"/>
        </w:rPr>
        <w:t> </w:t>
      </w:r>
      <w:r>
        <w:rPr>
          <w:sz w:val="24"/>
        </w:rPr>
        <w:t>of</w:t>
      </w:r>
      <w:r>
        <w:rPr>
          <w:spacing w:val="40"/>
          <w:sz w:val="24"/>
        </w:rPr>
        <w:t> </w:t>
      </w:r>
      <w:r>
        <w:rPr>
          <w:sz w:val="24"/>
        </w:rPr>
        <w:t>500</w:t>
      </w:r>
      <w:r>
        <w:rPr>
          <w:spacing w:val="40"/>
          <w:sz w:val="24"/>
        </w:rPr>
        <w:t> </w:t>
      </w:r>
      <w:r>
        <w:rPr>
          <w:sz w:val="24"/>
        </w:rPr>
        <w:t>sq.</w:t>
      </w:r>
      <w:r>
        <w:rPr>
          <w:spacing w:val="40"/>
          <w:sz w:val="24"/>
        </w:rPr>
        <w:t> </w:t>
      </w:r>
      <w:r>
        <w:rPr>
          <w:sz w:val="24"/>
        </w:rPr>
        <w:t>m</w:t>
      </w:r>
      <w:r>
        <w:rPr>
          <w:spacing w:val="40"/>
          <w:sz w:val="24"/>
        </w:rPr>
        <w:t> </w:t>
      </w:r>
      <w:r>
        <w:rPr>
          <w:sz w:val="24"/>
        </w:rPr>
        <w:t>plus10%</w:t>
      </w:r>
      <w:r>
        <w:rPr>
          <w:spacing w:val="40"/>
          <w:sz w:val="24"/>
        </w:rPr>
        <w:t> </w:t>
      </w:r>
      <w:r>
        <w:rPr>
          <w:sz w:val="24"/>
        </w:rPr>
        <w:t>of</w:t>
      </w:r>
      <w:r>
        <w:rPr>
          <w:spacing w:val="40"/>
          <w:sz w:val="24"/>
        </w:rPr>
        <w:t> </w:t>
      </w:r>
      <w:r>
        <w:rPr>
          <w:sz w:val="24"/>
        </w:rPr>
        <w:t>plot</w:t>
      </w:r>
      <w:r>
        <w:rPr>
          <w:spacing w:val="40"/>
          <w:sz w:val="24"/>
        </w:rPr>
        <w:t> </w:t>
      </w:r>
      <w:r>
        <w:rPr>
          <w:sz w:val="24"/>
        </w:rPr>
        <w:t>area</w:t>
      </w:r>
      <w:r>
        <w:rPr>
          <w:spacing w:val="40"/>
          <w:sz w:val="24"/>
        </w:rPr>
        <w:t> </w:t>
      </w:r>
      <w:r>
        <w:rPr>
          <w:sz w:val="24"/>
        </w:rPr>
        <w:t>in</w:t>
      </w:r>
      <w:r>
        <w:rPr>
          <w:spacing w:val="40"/>
          <w:sz w:val="24"/>
        </w:rPr>
        <w:t> </w:t>
      </w:r>
      <w:r>
        <w:rPr>
          <w:sz w:val="24"/>
        </w:rPr>
        <w:t>excess of</w:t>
      </w:r>
      <w:r>
        <w:rPr>
          <w:spacing w:val="40"/>
          <w:sz w:val="24"/>
        </w:rPr>
        <w:t> </w:t>
      </w:r>
      <w:r>
        <w:rPr>
          <w:sz w:val="24"/>
        </w:rPr>
        <w:t>10000</w:t>
      </w:r>
      <w:r>
        <w:rPr>
          <w:spacing w:val="40"/>
          <w:sz w:val="24"/>
        </w:rPr>
        <w:t> </w:t>
      </w:r>
      <w:r>
        <w:rPr>
          <w:sz w:val="24"/>
        </w:rPr>
        <w:t>sq.</w:t>
      </w:r>
      <w:r>
        <w:rPr>
          <w:spacing w:val="40"/>
          <w:sz w:val="24"/>
        </w:rPr>
        <w:t> </w:t>
      </w:r>
      <w:r>
        <w:rPr>
          <w:sz w:val="24"/>
        </w:rPr>
        <w:t>m</w:t>
      </w:r>
      <w:r>
        <w:rPr>
          <w:spacing w:val="40"/>
          <w:sz w:val="24"/>
        </w:rPr>
        <w:t> </w:t>
      </w:r>
      <w:r>
        <w:rPr>
          <w:sz w:val="24"/>
        </w:rPr>
        <w:t>to</w:t>
      </w:r>
      <w:r>
        <w:rPr>
          <w:spacing w:val="40"/>
          <w:sz w:val="24"/>
        </w:rPr>
        <w:t> </w:t>
      </w:r>
      <w:r>
        <w:rPr>
          <w:sz w:val="24"/>
        </w:rPr>
        <w:t>MCGM</w:t>
      </w:r>
      <w:r>
        <w:rPr>
          <w:spacing w:val="40"/>
          <w:sz w:val="24"/>
        </w:rPr>
        <w:t> </w:t>
      </w:r>
      <w:r>
        <w:rPr>
          <w:sz w:val="24"/>
        </w:rPr>
        <w:t>as</w:t>
      </w:r>
      <w:r>
        <w:rPr>
          <w:spacing w:val="40"/>
          <w:sz w:val="24"/>
        </w:rPr>
        <w:t> </w:t>
      </w:r>
      <w:r>
        <w:rPr>
          <w:sz w:val="24"/>
        </w:rPr>
        <w:t>amenitye.50%</w:t>
      </w:r>
      <w:r>
        <w:rPr>
          <w:spacing w:val="40"/>
          <w:sz w:val="24"/>
        </w:rPr>
        <w:t> </w:t>
      </w:r>
      <w:r>
        <w:rPr>
          <w:sz w:val="24"/>
        </w:rPr>
        <w:t>of</w:t>
      </w:r>
      <w:r>
        <w:rPr>
          <w:spacing w:val="40"/>
          <w:sz w:val="24"/>
        </w:rPr>
        <w:t> </w:t>
      </w:r>
      <w:r>
        <w:rPr>
          <w:sz w:val="24"/>
        </w:rPr>
        <w:t>such</w:t>
      </w:r>
      <w:r>
        <w:rPr>
          <w:spacing w:val="40"/>
          <w:sz w:val="24"/>
        </w:rPr>
        <w:t> </w:t>
      </w:r>
      <w:r>
        <w:rPr>
          <w:sz w:val="24"/>
        </w:rPr>
        <w:t>amenity</w:t>
      </w:r>
      <w:r>
        <w:rPr>
          <w:spacing w:val="80"/>
          <w:w w:val="150"/>
          <w:sz w:val="24"/>
        </w:rPr>
        <w:t> </w:t>
      </w:r>
      <w:r>
        <w:rPr>
          <w:sz w:val="24"/>
        </w:rPr>
        <w:t>shall be used exclusively for POS and the balance 50% shall be used for provision of such amenities as education, health, social and other amenities as approved with the special permission of the Commissioner.</w:t>
      </w:r>
      <w:r>
        <w:rPr>
          <w:spacing w:val="80"/>
          <w:sz w:val="24"/>
        </w:rPr>
        <w:t> </w:t>
      </w:r>
      <w:r>
        <w:rPr>
          <w:sz w:val="24"/>
        </w:rPr>
        <w:t>In</w:t>
      </w:r>
      <w:r>
        <w:rPr>
          <w:spacing w:val="80"/>
          <w:sz w:val="24"/>
        </w:rPr>
        <w:t> </w:t>
      </w:r>
      <w:r>
        <w:rPr>
          <w:sz w:val="24"/>
        </w:rPr>
        <w:t>determining</w:t>
      </w:r>
      <w:r>
        <w:rPr>
          <w:spacing w:val="80"/>
          <w:sz w:val="24"/>
        </w:rPr>
        <w:t> </w:t>
      </w:r>
      <w:r>
        <w:rPr>
          <w:sz w:val="24"/>
        </w:rPr>
        <w:t>the</w:t>
      </w:r>
      <w:r>
        <w:rPr>
          <w:spacing w:val="80"/>
          <w:sz w:val="24"/>
        </w:rPr>
        <w:t> </w:t>
      </w:r>
      <w:r>
        <w:rPr>
          <w:sz w:val="24"/>
        </w:rPr>
        <w:t>amenity,</w:t>
      </w:r>
      <w:r>
        <w:rPr>
          <w:spacing w:val="80"/>
          <w:sz w:val="24"/>
        </w:rPr>
        <w:t> </w:t>
      </w:r>
      <w:r>
        <w:rPr>
          <w:sz w:val="24"/>
        </w:rPr>
        <w:t>the</w:t>
      </w:r>
      <w:r>
        <w:rPr>
          <w:spacing w:val="80"/>
          <w:sz w:val="24"/>
        </w:rPr>
        <w:t> </w:t>
      </w:r>
      <w:r>
        <w:rPr>
          <w:sz w:val="24"/>
        </w:rPr>
        <w:t>Commissioner shall</w:t>
      </w:r>
      <w:r>
        <w:rPr>
          <w:spacing w:val="40"/>
          <w:sz w:val="24"/>
        </w:rPr>
        <w:t> </w:t>
      </w:r>
      <w:r>
        <w:rPr>
          <w:sz w:val="24"/>
        </w:rPr>
        <w:t>give</w:t>
      </w:r>
      <w:r>
        <w:rPr>
          <w:spacing w:val="40"/>
          <w:sz w:val="24"/>
        </w:rPr>
        <w:t> </w:t>
      </w:r>
      <w:r>
        <w:rPr>
          <w:sz w:val="24"/>
        </w:rPr>
        <w:t>due</w:t>
      </w:r>
      <w:r>
        <w:rPr>
          <w:spacing w:val="40"/>
          <w:sz w:val="24"/>
        </w:rPr>
        <w:t> </w:t>
      </w:r>
      <w:r>
        <w:rPr>
          <w:sz w:val="24"/>
        </w:rPr>
        <w:t>regard</w:t>
      </w:r>
      <w:r>
        <w:rPr>
          <w:spacing w:val="40"/>
          <w:sz w:val="24"/>
        </w:rPr>
        <w:t> </w:t>
      </w:r>
      <w:r>
        <w:rPr>
          <w:sz w:val="24"/>
        </w:rPr>
        <w:t>to</w:t>
      </w:r>
      <w:r>
        <w:rPr>
          <w:spacing w:val="40"/>
          <w:sz w:val="24"/>
        </w:rPr>
        <w:t> </w:t>
      </w:r>
      <w:r>
        <w:rPr>
          <w:sz w:val="24"/>
        </w:rPr>
        <w:t>amenity</w:t>
      </w:r>
      <w:r>
        <w:rPr>
          <w:spacing w:val="40"/>
          <w:sz w:val="24"/>
        </w:rPr>
        <w:t> </w:t>
      </w:r>
      <w:r>
        <w:rPr>
          <w:sz w:val="24"/>
        </w:rPr>
        <w:t>deficits</w:t>
      </w:r>
      <w:r>
        <w:rPr>
          <w:spacing w:val="40"/>
          <w:sz w:val="24"/>
        </w:rPr>
        <w:t> </w:t>
      </w:r>
      <w:r>
        <w:rPr>
          <w:sz w:val="24"/>
        </w:rPr>
        <w:t>in</w:t>
      </w:r>
      <w:r>
        <w:rPr>
          <w:spacing w:val="40"/>
          <w:sz w:val="24"/>
        </w:rPr>
        <w:t> </w:t>
      </w:r>
      <w:r>
        <w:rPr>
          <w:sz w:val="24"/>
        </w:rPr>
        <w:t>the</w:t>
      </w:r>
      <w:r>
        <w:rPr>
          <w:spacing w:val="40"/>
          <w:sz w:val="24"/>
        </w:rPr>
        <w:t> </w:t>
      </w:r>
      <w:r>
        <w:rPr>
          <w:sz w:val="24"/>
        </w:rPr>
        <w:t>ward.</w:t>
      </w:r>
    </w:p>
    <w:p>
      <w:pPr>
        <w:pStyle w:val="ListParagraph"/>
        <w:numPr>
          <w:ilvl w:val="1"/>
          <w:numId w:val="25"/>
        </w:numPr>
        <w:tabs>
          <w:tab w:pos="1784" w:val="left" w:leader="none"/>
          <w:tab w:pos="1788" w:val="left" w:leader="none"/>
        </w:tabs>
        <w:spacing w:line="240" w:lineRule="auto" w:before="239" w:after="0"/>
        <w:ind w:left="1788" w:right="1104" w:hanging="425"/>
        <w:jc w:val="left"/>
        <w:rPr>
          <w:b/>
          <w:sz w:val="24"/>
        </w:rPr>
      </w:pPr>
      <w:r>
        <w:rPr>
          <w:sz w:val="24"/>
        </w:rPr>
        <w:t>Such</w:t>
      </w:r>
      <w:r>
        <w:rPr>
          <w:spacing w:val="40"/>
          <w:sz w:val="24"/>
        </w:rPr>
        <w:t> </w:t>
      </w:r>
      <w:r>
        <w:rPr>
          <w:sz w:val="24"/>
        </w:rPr>
        <w:t>amenities</w:t>
      </w:r>
      <w:r>
        <w:rPr>
          <w:spacing w:val="40"/>
          <w:sz w:val="24"/>
        </w:rPr>
        <w:t> </w:t>
      </w:r>
      <w:r>
        <w:rPr>
          <w:sz w:val="24"/>
        </w:rPr>
        <w:t>or</w:t>
      </w:r>
      <w:r>
        <w:rPr>
          <w:spacing w:val="40"/>
          <w:sz w:val="24"/>
        </w:rPr>
        <w:t> </w:t>
      </w:r>
      <w:r>
        <w:rPr>
          <w:sz w:val="24"/>
        </w:rPr>
        <w:t>facilities</w:t>
      </w:r>
      <w:r>
        <w:rPr>
          <w:spacing w:val="40"/>
          <w:sz w:val="24"/>
        </w:rPr>
        <w:t> </w:t>
      </w:r>
      <w:r>
        <w:rPr>
          <w:sz w:val="24"/>
        </w:rPr>
        <w:t>(i)</w:t>
      </w:r>
      <w:r>
        <w:rPr>
          <w:spacing w:val="40"/>
          <w:sz w:val="24"/>
        </w:rPr>
        <w:t> </w:t>
      </w:r>
      <w:r>
        <w:rPr>
          <w:sz w:val="24"/>
        </w:rPr>
        <w:t>and</w:t>
      </w:r>
      <w:r>
        <w:rPr>
          <w:spacing w:val="40"/>
          <w:sz w:val="24"/>
        </w:rPr>
        <w:t> </w:t>
      </w:r>
      <w:r>
        <w:rPr>
          <w:sz w:val="24"/>
        </w:rPr>
        <w:t>(ii)</w:t>
      </w:r>
      <w:r>
        <w:rPr>
          <w:spacing w:val="40"/>
          <w:sz w:val="24"/>
        </w:rPr>
        <w:t> </w:t>
      </w:r>
      <w:r>
        <w:rPr>
          <w:sz w:val="24"/>
        </w:rPr>
        <w:t>above</w:t>
      </w:r>
      <w:r>
        <w:rPr>
          <w:spacing w:val="40"/>
          <w:sz w:val="24"/>
        </w:rPr>
        <w:t> </w:t>
      </w:r>
      <w:r>
        <w:rPr>
          <w:sz w:val="24"/>
        </w:rPr>
        <w:t>shall</w:t>
      </w:r>
      <w:r>
        <w:rPr>
          <w:spacing w:val="40"/>
          <w:sz w:val="24"/>
        </w:rPr>
        <w:t> </w:t>
      </w:r>
      <w:r>
        <w:rPr>
          <w:sz w:val="24"/>
        </w:rPr>
        <w:t>be</w:t>
      </w:r>
      <w:r>
        <w:rPr>
          <w:spacing w:val="40"/>
          <w:sz w:val="24"/>
        </w:rPr>
        <w:t> </w:t>
      </w:r>
      <w:r>
        <w:rPr>
          <w:sz w:val="24"/>
        </w:rPr>
        <w:t>deemed</w:t>
      </w:r>
      <w:r>
        <w:rPr>
          <w:spacing w:val="40"/>
          <w:sz w:val="24"/>
        </w:rPr>
        <w:t> </w:t>
      </w:r>
      <w:r>
        <w:rPr>
          <w:sz w:val="24"/>
        </w:rPr>
        <w:t>to</w:t>
      </w:r>
      <w:r>
        <w:rPr>
          <w:spacing w:val="40"/>
          <w:sz w:val="24"/>
        </w:rPr>
        <w:t> </w:t>
      </w:r>
      <w:r>
        <w:rPr>
          <w:sz w:val="24"/>
        </w:rPr>
        <w:t>be designations</w:t>
      </w:r>
      <w:r>
        <w:rPr>
          <w:spacing w:val="80"/>
          <w:sz w:val="24"/>
        </w:rPr>
        <w:t> </w:t>
      </w:r>
      <w:r>
        <w:rPr>
          <w:sz w:val="24"/>
        </w:rPr>
        <w:t>or</w:t>
      </w:r>
      <w:r>
        <w:rPr>
          <w:spacing w:val="80"/>
          <w:sz w:val="24"/>
        </w:rPr>
        <w:t> </w:t>
      </w:r>
      <w:r>
        <w:rPr>
          <w:sz w:val="24"/>
        </w:rPr>
        <w:t>reservations</w:t>
      </w:r>
      <w:r>
        <w:rPr>
          <w:spacing w:val="80"/>
          <w:sz w:val="24"/>
        </w:rPr>
        <w:t> </w:t>
      </w:r>
      <w:r>
        <w:rPr>
          <w:sz w:val="24"/>
        </w:rPr>
        <w:t>in</w:t>
      </w:r>
      <w:r>
        <w:rPr>
          <w:spacing w:val="80"/>
          <w:sz w:val="24"/>
        </w:rPr>
        <w:t> </w:t>
      </w:r>
      <w:r>
        <w:rPr>
          <w:sz w:val="24"/>
        </w:rPr>
        <w:t>the</w:t>
      </w:r>
      <w:r>
        <w:rPr>
          <w:spacing w:val="80"/>
          <w:sz w:val="24"/>
        </w:rPr>
        <w:t> </w:t>
      </w:r>
      <w:r>
        <w:rPr>
          <w:sz w:val="24"/>
        </w:rPr>
        <w:t>DP</w:t>
      </w:r>
      <w:r>
        <w:rPr>
          <w:spacing w:val="80"/>
          <w:sz w:val="24"/>
        </w:rPr>
        <w:t> </w:t>
      </w:r>
      <w:r>
        <w:rPr>
          <w:sz w:val="24"/>
        </w:rPr>
        <w:t>thereafter</w:t>
      </w:r>
      <w:r>
        <w:rPr>
          <w:b/>
          <w:sz w:val="24"/>
        </w:rPr>
        <w:t>.</w:t>
      </w:r>
    </w:p>
    <w:p>
      <w:pPr>
        <w:pStyle w:val="BodyText"/>
        <w:tabs>
          <w:tab w:pos="2934" w:val="left" w:leader="none"/>
          <w:tab w:pos="4033" w:val="left" w:leader="none"/>
          <w:tab w:pos="4841" w:val="left" w:leader="none"/>
          <w:tab w:pos="5294" w:val="left" w:leader="none"/>
          <w:tab w:pos="6186" w:val="left" w:leader="none"/>
          <w:tab w:pos="7137" w:val="left" w:leader="none"/>
          <w:tab w:pos="7700" w:val="left" w:leader="none"/>
          <w:tab w:pos="8352" w:val="left" w:leader="none"/>
          <w:tab w:pos="9641" w:val="left" w:leader="none"/>
        </w:tabs>
        <w:spacing w:before="121"/>
        <w:ind w:left="1646" w:right="1094"/>
        <w:jc w:val="left"/>
      </w:pPr>
      <w:r>
        <w:rPr>
          <w:spacing w:val="-2"/>
        </w:rPr>
        <w:t>Provided</w:t>
      </w:r>
      <w:r>
        <w:rPr/>
        <w:tab/>
      </w:r>
      <w:r>
        <w:rPr>
          <w:spacing w:val="-2"/>
        </w:rPr>
        <w:t>further</w:t>
      </w:r>
      <w:r>
        <w:rPr/>
        <w:tab/>
      </w:r>
      <w:r>
        <w:rPr>
          <w:spacing w:val="-4"/>
        </w:rPr>
        <w:t>that,</w:t>
      </w:r>
      <w:r>
        <w:rPr/>
        <w:tab/>
      </w:r>
      <w:r>
        <w:rPr>
          <w:spacing w:val="-6"/>
        </w:rPr>
        <w:t>in</w:t>
      </w:r>
      <w:r>
        <w:rPr/>
        <w:tab/>
      </w:r>
      <w:r>
        <w:rPr>
          <w:spacing w:val="-2"/>
        </w:rPr>
        <w:t>cases</w:t>
      </w:r>
      <w:r>
        <w:rPr/>
        <w:tab/>
      </w:r>
      <w:r>
        <w:rPr>
          <w:spacing w:val="-2"/>
        </w:rPr>
        <w:t>where</w:t>
      </w:r>
      <w:r>
        <w:rPr/>
        <w:tab/>
      </w:r>
      <w:r>
        <w:rPr>
          <w:spacing w:val="-6"/>
        </w:rPr>
        <w:t>DP</w:t>
      </w:r>
      <w:r>
        <w:rPr/>
        <w:tab/>
      </w:r>
      <w:r>
        <w:rPr>
          <w:spacing w:val="-4"/>
        </w:rPr>
        <w:t>has</w:t>
      </w:r>
      <w:r>
        <w:rPr/>
        <w:tab/>
      </w:r>
      <w:r>
        <w:rPr>
          <w:spacing w:val="-2"/>
        </w:rPr>
        <w:t>provided</w:t>
      </w:r>
      <w:r>
        <w:rPr/>
        <w:tab/>
      </w:r>
      <w:r>
        <w:rPr>
          <w:spacing w:val="-4"/>
        </w:rPr>
        <w:t>any </w:t>
      </w:r>
      <w:r>
        <w:rPr/>
        <w:t>reservation</w:t>
      </w:r>
      <w:r>
        <w:rPr>
          <w:spacing w:val="58"/>
        </w:rPr>
        <w:t> </w:t>
      </w:r>
      <w:r>
        <w:rPr/>
        <w:t>on</w:t>
      </w:r>
      <w:r>
        <w:rPr>
          <w:spacing w:val="58"/>
        </w:rPr>
        <w:t> </w:t>
      </w:r>
      <w:r>
        <w:rPr/>
        <w:t>the</w:t>
      </w:r>
      <w:r>
        <w:rPr>
          <w:spacing w:val="61"/>
        </w:rPr>
        <w:t> </w:t>
      </w:r>
      <w:r>
        <w:rPr/>
        <w:t>plot</w:t>
      </w:r>
      <w:r>
        <w:rPr>
          <w:spacing w:val="56"/>
        </w:rPr>
        <w:t> </w:t>
      </w:r>
      <w:r>
        <w:rPr/>
        <w:t>under</w:t>
      </w:r>
      <w:r>
        <w:rPr>
          <w:spacing w:val="58"/>
        </w:rPr>
        <w:t> </w:t>
      </w:r>
      <w:r>
        <w:rPr/>
        <w:t>development</w:t>
      </w:r>
      <w:r>
        <w:rPr>
          <w:spacing w:val="60"/>
        </w:rPr>
        <w:t> </w:t>
      </w:r>
      <w:r>
        <w:rPr/>
        <w:t>excluding</w:t>
      </w:r>
      <w:r>
        <w:rPr>
          <w:spacing w:val="58"/>
        </w:rPr>
        <w:t> </w:t>
      </w:r>
      <w:r>
        <w:rPr/>
        <w:t>the</w:t>
      </w:r>
      <w:r>
        <w:rPr>
          <w:spacing w:val="58"/>
        </w:rPr>
        <w:t> </w:t>
      </w:r>
      <w:r>
        <w:rPr/>
        <w:t>D</w:t>
      </w:r>
      <w:r>
        <w:rPr>
          <w:spacing w:val="58"/>
        </w:rPr>
        <w:t> </w:t>
      </w:r>
      <w:r>
        <w:rPr/>
        <w:t>P</w:t>
      </w:r>
      <w:r>
        <w:rPr>
          <w:spacing w:val="55"/>
        </w:rPr>
        <w:t> </w:t>
      </w:r>
      <w:r>
        <w:rPr>
          <w:spacing w:val="-4"/>
        </w:rPr>
        <w:t>Road</w:t>
      </w:r>
    </w:p>
    <w:p>
      <w:pPr>
        <w:pStyle w:val="BodyText"/>
        <w:spacing w:line="280" w:lineRule="exact"/>
        <w:ind w:left="1646"/>
        <w:jc w:val="left"/>
      </w:pPr>
      <w:r>
        <w:rPr/>
        <w:t>/Road</w:t>
      </w:r>
      <w:r>
        <w:rPr>
          <w:spacing w:val="56"/>
        </w:rPr>
        <w:t> </w:t>
      </w:r>
      <w:r>
        <w:rPr/>
        <w:t>set</w:t>
      </w:r>
      <w:r>
        <w:rPr>
          <w:spacing w:val="56"/>
        </w:rPr>
        <w:t> </w:t>
      </w:r>
      <w:r>
        <w:rPr/>
        <w:t>back,</w:t>
      </w:r>
      <w:r>
        <w:rPr>
          <w:spacing w:val="57"/>
        </w:rPr>
        <w:t> </w:t>
      </w:r>
      <w:r>
        <w:rPr/>
        <w:t>the</w:t>
      </w:r>
      <w:r>
        <w:rPr>
          <w:spacing w:val="55"/>
        </w:rPr>
        <w:t> </w:t>
      </w:r>
      <w:r>
        <w:rPr/>
        <w:t>following</w:t>
      </w:r>
      <w:r>
        <w:rPr>
          <w:spacing w:val="55"/>
        </w:rPr>
        <w:t> </w:t>
      </w:r>
      <w:r>
        <w:rPr/>
        <w:t>criteria</w:t>
      </w:r>
      <w:r>
        <w:rPr>
          <w:spacing w:val="59"/>
        </w:rPr>
        <w:t> </w:t>
      </w:r>
      <w:r>
        <w:rPr/>
        <w:t>would</w:t>
      </w:r>
      <w:r>
        <w:rPr>
          <w:spacing w:val="55"/>
        </w:rPr>
        <w:t> </w:t>
      </w:r>
      <w:r>
        <w:rPr/>
        <w:t>be</w:t>
      </w:r>
      <w:r>
        <w:rPr>
          <w:spacing w:val="59"/>
        </w:rPr>
        <w:t> </w:t>
      </w:r>
      <w:r>
        <w:rPr>
          <w:spacing w:val="-2"/>
        </w:rPr>
        <w:t>applicable:</w:t>
      </w:r>
    </w:p>
    <w:p>
      <w:pPr>
        <w:pStyle w:val="ListParagraph"/>
        <w:numPr>
          <w:ilvl w:val="2"/>
          <w:numId w:val="25"/>
        </w:numPr>
        <w:tabs>
          <w:tab w:pos="1711" w:val="left" w:leader="none"/>
        </w:tabs>
        <w:spacing w:line="240" w:lineRule="auto" w:before="241" w:after="0"/>
        <w:ind w:left="1711" w:right="1078" w:hanging="360"/>
        <w:jc w:val="both"/>
        <w:rPr>
          <w:sz w:val="24"/>
        </w:rPr>
      </w:pPr>
      <w:r>
        <w:rPr>
          <w:sz w:val="24"/>
        </w:rPr>
        <w:t>If the area under DP reservation to be handed over to MCGM</w:t>
      </w:r>
      <w:r>
        <w:rPr>
          <w:spacing w:val="40"/>
          <w:sz w:val="24"/>
        </w:rPr>
        <w:t> </w:t>
      </w:r>
      <w:r>
        <w:rPr>
          <w:sz w:val="24"/>
        </w:rPr>
        <w:t>(excluding</w:t>
      </w:r>
      <w:r>
        <w:rPr>
          <w:spacing w:val="40"/>
          <w:sz w:val="24"/>
        </w:rPr>
        <w:t> </w:t>
      </w:r>
      <w:r>
        <w:rPr>
          <w:sz w:val="24"/>
        </w:rPr>
        <w:t>the</w:t>
      </w:r>
      <w:r>
        <w:rPr>
          <w:spacing w:val="40"/>
          <w:sz w:val="24"/>
        </w:rPr>
        <w:t> </w:t>
      </w:r>
      <w:r>
        <w:rPr>
          <w:sz w:val="24"/>
        </w:rPr>
        <w:t>DP</w:t>
      </w:r>
      <w:r>
        <w:rPr>
          <w:spacing w:val="40"/>
          <w:sz w:val="24"/>
        </w:rPr>
        <w:t> </w:t>
      </w:r>
      <w:r>
        <w:rPr>
          <w:sz w:val="24"/>
        </w:rPr>
        <w:t>Road/Road</w:t>
      </w:r>
      <w:r>
        <w:rPr>
          <w:spacing w:val="40"/>
          <w:sz w:val="24"/>
        </w:rPr>
        <w:t> </w:t>
      </w:r>
      <w:r>
        <w:rPr>
          <w:sz w:val="24"/>
        </w:rPr>
        <w:t>set</w:t>
      </w:r>
      <w:r>
        <w:rPr>
          <w:spacing w:val="40"/>
          <w:sz w:val="24"/>
        </w:rPr>
        <w:t> </w:t>
      </w:r>
      <w:r>
        <w:rPr>
          <w:sz w:val="24"/>
        </w:rPr>
        <w:t>back)</w:t>
      </w:r>
      <w:r>
        <w:rPr>
          <w:spacing w:val="40"/>
          <w:sz w:val="24"/>
        </w:rPr>
        <w:t> </w:t>
      </w:r>
      <w:r>
        <w:rPr>
          <w:sz w:val="24"/>
        </w:rPr>
        <w:t>is</w:t>
      </w:r>
      <w:r>
        <w:rPr>
          <w:spacing w:val="40"/>
          <w:sz w:val="24"/>
        </w:rPr>
        <w:t> </w:t>
      </w:r>
      <w:r>
        <w:rPr>
          <w:sz w:val="24"/>
        </w:rPr>
        <w:t>less</w:t>
      </w:r>
      <w:r>
        <w:rPr>
          <w:spacing w:val="40"/>
          <w:sz w:val="24"/>
        </w:rPr>
        <w:t> </w:t>
      </w:r>
      <w:r>
        <w:rPr>
          <w:sz w:val="24"/>
        </w:rPr>
        <w:t>than</w:t>
      </w:r>
      <w:r>
        <w:rPr>
          <w:spacing w:val="40"/>
          <w:sz w:val="24"/>
        </w:rPr>
        <w:t> </w:t>
      </w:r>
      <w:r>
        <w:rPr>
          <w:sz w:val="24"/>
        </w:rPr>
        <w:t>the</w:t>
      </w:r>
      <w:r>
        <w:rPr>
          <w:spacing w:val="40"/>
          <w:sz w:val="24"/>
        </w:rPr>
        <w:t> </w:t>
      </w:r>
      <w:r>
        <w:rPr>
          <w:sz w:val="24"/>
        </w:rPr>
        <w:t>required area</w:t>
      </w:r>
      <w:r>
        <w:rPr>
          <w:spacing w:val="40"/>
          <w:sz w:val="24"/>
        </w:rPr>
        <w:t> </w:t>
      </w:r>
      <w:r>
        <w:rPr>
          <w:sz w:val="24"/>
        </w:rPr>
        <w:t>of</w:t>
      </w:r>
      <w:r>
        <w:rPr>
          <w:spacing w:val="80"/>
          <w:w w:val="150"/>
          <w:sz w:val="24"/>
        </w:rPr>
        <w:t> </w:t>
      </w:r>
      <w:r>
        <w:rPr>
          <w:sz w:val="24"/>
        </w:rPr>
        <w:t>amenity</w:t>
      </w:r>
      <w:r>
        <w:rPr>
          <w:spacing w:val="40"/>
          <w:sz w:val="24"/>
        </w:rPr>
        <w:t> </w:t>
      </w:r>
      <w:r>
        <w:rPr>
          <w:sz w:val="24"/>
        </w:rPr>
        <w:t>as</w:t>
      </w:r>
      <w:r>
        <w:rPr>
          <w:spacing w:val="40"/>
          <w:sz w:val="24"/>
        </w:rPr>
        <w:t> </w:t>
      </w:r>
      <w:r>
        <w:rPr>
          <w:sz w:val="24"/>
        </w:rPr>
        <w:t>per</w:t>
      </w:r>
      <w:r>
        <w:rPr>
          <w:spacing w:val="40"/>
          <w:sz w:val="24"/>
        </w:rPr>
        <w:t> </w:t>
      </w:r>
      <w:r>
        <w:rPr>
          <w:sz w:val="24"/>
        </w:rPr>
        <w:t>this</w:t>
      </w:r>
      <w:r>
        <w:rPr>
          <w:spacing w:val="40"/>
          <w:sz w:val="24"/>
        </w:rPr>
        <w:t> </w:t>
      </w:r>
      <w:r>
        <w:rPr>
          <w:sz w:val="24"/>
        </w:rPr>
        <w:t>Regulation,</w:t>
      </w:r>
      <w:r>
        <w:rPr>
          <w:spacing w:val="40"/>
          <w:sz w:val="24"/>
        </w:rPr>
        <w:t> </w:t>
      </w:r>
      <w:r>
        <w:rPr>
          <w:sz w:val="24"/>
        </w:rPr>
        <w:t>then</w:t>
      </w:r>
      <w:r>
        <w:rPr>
          <w:spacing w:val="40"/>
          <w:sz w:val="24"/>
        </w:rPr>
        <w:t> </w:t>
      </w:r>
      <w:r>
        <w:rPr>
          <w:sz w:val="24"/>
        </w:rPr>
        <w:t>only</w:t>
      </w:r>
      <w:r>
        <w:rPr>
          <w:spacing w:val="40"/>
          <w:sz w:val="24"/>
        </w:rPr>
        <w:t> </w:t>
      </w:r>
      <w:r>
        <w:rPr>
          <w:sz w:val="24"/>
        </w:rPr>
        <w:t>the</w:t>
      </w:r>
      <w:r>
        <w:rPr>
          <w:spacing w:val="40"/>
          <w:sz w:val="24"/>
        </w:rPr>
        <w:t> </w:t>
      </w:r>
      <w:r>
        <w:rPr>
          <w:spacing w:val="9"/>
          <w:sz w:val="24"/>
        </w:rPr>
        <w:t>additional </w:t>
      </w:r>
      <w:r>
        <w:rPr>
          <w:sz w:val="24"/>
        </w:rPr>
        <w:t>area</w:t>
      </w:r>
      <w:r>
        <w:rPr>
          <w:spacing w:val="40"/>
          <w:sz w:val="24"/>
        </w:rPr>
        <w:t> </w:t>
      </w:r>
      <w:r>
        <w:rPr>
          <w:sz w:val="24"/>
        </w:rPr>
        <w:t>required</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for</w:t>
      </w:r>
      <w:r>
        <w:rPr>
          <w:spacing w:val="40"/>
          <w:sz w:val="24"/>
        </w:rPr>
        <w:t>  </w:t>
      </w:r>
      <w:r>
        <w:rPr>
          <w:sz w:val="24"/>
        </w:rPr>
        <w:t>amenity</w:t>
      </w:r>
    </w:p>
    <w:p>
      <w:pPr>
        <w:pStyle w:val="ListParagraph"/>
        <w:numPr>
          <w:ilvl w:val="2"/>
          <w:numId w:val="25"/>
        </w:numPr>
        <w:tabs>
          <w:tab w:pos="1709" w:val="left" w:leader="none"/>
          <w:tab w:pos="1711" w:val="left" w:leader="none"/>
        </w:tabs>
        <w:spacing w:line="240" w:lineRule="auto" w:before="239" w:after="0"/>
        <w:ind w:left="1711" w:right="1087" w:hanging="360"/>
        <w:jc w:val="both"/>
        <w:rPr>
          <w:sz w:val="24"/>
        </w:rPr>
      </w:pPr>
      <w:r>
        <w:rPr>
          <w:sz w:val="24"/>
        </w:rPr>
        <w:t>If the area under DP reservation to be handed over to MCGM</w:t>
      </w:r>
      <w:r>
        <w:rPr>
          <w:spacing w:val="40"/>
          <w:sz w:val="24"/>
        </w:rPr>
        <w:t> </w:t>
      </w:r>
      <w:r>
        <w:rPr>
          <w:sz w:val="24"/>
        </w:rPr>
        <w:t>(excluding</w:t>
      </w:r>
      <w:r>
        <w:rPr>
          <w:spacing w:val="40"/>
          <w:sz w:val="24"/>
        </w:rPr>
        <w:t> </w:t>
      </w:r>
      <w:r>
        <w:rPr>
          <w:sz w:val="24"/>
        </w:rPr>
        <w:t>the</w:t>
      </w:r>
      <w:r>
        <w:rPr>
          <w:spacing w:val="40"/>
          <w:sz w:val="24"/>
        </w:rPr>
        <w:t> </w:t>
      </w:r>
      <w:r>
        <w:rPr>
          <w:sz w:val="24"/>
        </w:rPr>
        <w:t>DP</w:t>
      </w:r>
      <w:r>
        <w:rPr>
          <w:spacing w:val="40"/>
          <w:sz w:val="24"/>
        </w:rPr>
        <w:t> </w:t>
      </w:r>
      <w:r>
        <w:rPr>
          <w:sz w:val="24"/>
        </w:rPr>
        <w:t>Road/Road</w:t>
      </w:r>
      <w:r>
        <w:rPr>
          <w:spacing w:val="40"/>
          <w:sz w:val="24"/>
        </w:rPr>
        <w:t> </w:t>
      </w:r>
      <w:r>
        <w:rPr>
          <w:sz w:val="24"/>
        </w:rPr>
        <w:t>set</w:t>
      </w:r>
      <w:r>
        <w:rPr>
          <w:spacing w:val="40"/>
          <w:sz w:val="24"/>
        </w:rPr>
        <w:t> </w:t>
      </w:r>
      <w:r>
        <w:rPr>
          <w:sz w:val="24"/>
        </w:rPr>
        <w:t>back)</w:t>
      </w:r>
      <w:r>
        <w:rPr>
          <w:spacing w:val="40"/>
          <w:sz w:val="24"/>
        </w:rPr>
        <w:t> </w:t>
      </w:r>
      <w:r>
        <w:rPr>
          <w:sz w:val="24"/>
        </w:rPr>
        <w:t>is</w:t>
      </w:r>
      <w:r>
        <w:rPr>
          <w:spacing w:val="40"/>
          <w:sz w:val="24"/>
        </w:rPr>
        <w:t> </w:t>
      </w:r>
      <w:r>
        <w:rPr>
          <w:sz w:val="24"/>
        </w:rPr>
        <w:t>more</w:t>
      </w:r>
      <w:r>
        <w:rPr>
          <w:spacing w:val="40"/>
          <w:sz w:val="24"/>
        </w:rPr>
        <w:t> </w:t>
      </w:r>
      <w:r>
        <w:rPr>
          <w:sz w:val="24"/>
        </w:rPr>
        <w:t>than</w:t>
      </w:r>
      <w:r>
        <w:rPr>
          <w:spacing w:val="40"/>
          <w:sz w:val="24"/>
        </w:rPr>
        <w:t> </w:t>
      </w:r>
      <w:r>
        <w:rPr>
          <w:sz w:val="24"/>
        </w:rPr>
        <w:t>the</w:t>
      </w:r>
      <w:r>
        <w:rPr>
          <w:spacing w:val="40"/>
          <w:sz w:val="24"/>
        </w:rPr>
        <w:t> </w:t>
      </w:r>
      <w:r>
        <w:rPr>
          <w:sz w:val="24"/>
        </w:rPr>
        <w:t>required area</w:t>
      </w:r>
      <w:r>
        <w:rPr>
          <w:spacing w:val="40"/>
          <w:sz w:val="24"/>
        </w:rPr>
        <w:t> </w:t>
      </w:r>
      <w:r>
        <w:rPr>
          <w:sz w:val="24"/>
        </w:rPr>
        <w:t>of</w:t>
      </w:r>
      <w:r>
        <w:rPr>
          <w:spacing w:val="40"/>
          <w:sz w:val="24"/>
        </w:rPr>
        <w:t> </w:t>
      </w:r>
      <w:r>
        <w:rPr>
          <w:sz w:val="24"/>
        </w:rPr>
        <w:t>amenity</w:t>
      </w:r>
      <w:r>
        <w:rPr>
          <w:spacing w:val="40"/>
          <w:sz w:val="24"/>
        </w:rPr>
        <w:t> </w:t>
      </w:r>
      <w:r>
        <w:rPr>
          <w:sz w:val="24"/>
        </w:rPr>
        <w:t>as</w:t>
      </w:r>
      <w:r>
        <w:rPr>
          <w:spacing w:val="40"/>
          <w:sz w:val="24"/>
        </w:rPr>
        <w:t> </w:t>
      </w:r>
      <w:r>
        <w:rPr>
          <w:sz w:val="24"/>
        </w:rPr>
        <w:t>per</w:t>
      </w:r>
      <w:r>
        <w:rPr>
          <w:spacing w:val="40"/>
          <w:sz w:val="24"/>
        </w:rPr>
        <w:t> </w:t>
      </w:r>
      <w:r>
        <w:rPr>
          <w:sz w:val="24"/>
        </w:rPr>
        <w:t>this</w:t>
      </w:r>
      <w:r>
        <w:rPr>
          <w:spacing w:val="40"/>
          <w:sz w:val="24"/>
        </w:rPr>
        <w:t> </w:t>
      </w:r>
      <w:r>
        <w:rPr>
          <w:sz w:val="24"/>
        </w:rPr>
        <w:t>Regulation,</w:t>
      </w:r>
      <w:r>
        <w:rPr>
          <w:spacing w:val="40"/>
          <w:sz w:val="24"/>
        </w:rPr>
        <w:t> </w:t>
      </w:r>
      <w:r>
        <w:rPr>
          <w:sz w:val="24"/>
        </w:rPr>
        <w:t>then</w:t>
      </w:r>
      <w:r>
        <w:rPr>
          <w:spacing w:val="40"/>
          <w:sz w:val="24"/>
        </w:rPr>
        <w:t> </w:t>
      </w:r>
      <w:r>
        <w:rPr>
          <w:sz w:val="24"/>
        </w:rPr>
        <w:t>the</w:t>
      </w:r>
      <w:r>
        <w:rPr>
          <w:spacing w:val="40"/>
          <w:sz w:val="24"/>
        </w:rPr>
        <w:t> </w:t>
      </w:r>
      <w:r>
        <w:rPr>
          <w:spacing w:val="9"/>
          <w:sz w:val="24"/>
        </w:rPr>
        <w:t>provision</w:t>
      </w:r>
      <w:r>
        <w:rPr>
          <w:spacing w:val="40"/>
          <w:sz w:val="24"/>
        </w:rPr>
        <w:t> </w:t>
      </w:r>
      <w:r>
        <w:rPr>
          <w:sz w:val="24"/>
        </w:rPr>
        <w:t>for amenity</w:t>
      </w:r>
      <w:r>
        <w:rPr>
          <w:spacing w:val="80"/>
          <w:w w:val="15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necessary.</w:t>
      </w:r>
    </w:p>
    <w:p>
      <w:pPr>
        <w:pStyle w:val="ListParagraph"/>
        <w:numPr>
          <w:ilvl w:val="2"/>
          <w:numId w:val="25"/>
        </w:numPr>
        <w:tabs>
          <w:tab w:pos="1711" w:val="left" w:leader="none"/>
        </w:tabs>
        <w:spacing w:line="240" w:lineRule="auto" w:before="242" w:after="0"/>
        <w:ind w:left="1711" w:right="1099" w:hanging="360"/>
        <w:jc w:val="both"/>
        <w:rPr>
          <w:sz w:val="24"/>
        </w:rPr>
      </w:pPr>
      <w:r>
        <w:rPr>
          <w:sz w:val="24"/>
        </w:rPr>
        <w:t>Such</w:t>
      </w:r>
      <w:r>
        <w:rPr>
          <w:spacing w:val="77"/>
          <w:sz w:val="24"/>
        </w:rPr>
        <w:t> </w:t>
      </w:r>
      <w:r>
        <w:rPr>
          <w:sz w:val="24"/>
        </w:rPr>
        <w:t>amenity</w:t>
      </w:r>
      <w:r>
        <w:rPr>
          <w:spacing w:val="74"/>
          <w:sz w:val="24"/>
        </w:rPr>
        <w:t> </w:t>
      </w:r>
      <w:r>
        <w:rPr>
          <w:sz w:val="24"/>
        </w:rPr>
        <w:t>shall</w:t>
      </w:r>
      <w:r>
        <w:rPr>
          <w:spacing w:val="78"/>
          <w:sz w:val="24"/>
        </w:rPr>
        <w:t> </w:t>
      </w:r>
      <w:r>
        <w:rPr>
          <w:sz w:val="24"/>
        </w:rPr>
        <w:t>be</w:t>
      </w:r>
      <w:r>
        <w:rPr>
          <w:spacing w:val="77"/>
          <w:sz w:val="24"/>
        </w:rPr>
        <w:t> </w:t>
      </w:r>
      <w:r>
        <w:rPr>
          <w:sz w:val="24"/>
        </w:rPr>
        <w:t>deducted</w:t>
      </w:r>
      <w:r>
        <w:rPr>
          <w:spacing w:val="77"/>
          <w:sz w:val="24"/>
        </w:rPr>
        <w:t> </w:t>
      </w:r>
      <w:r>
        <w:rPr>
          <w:sz w:val="24"/>
        </w:rPr>
        <w:t>from</w:t>
      </w:r>
      <w:r>
        <w:rPr>
          <w:spacing w:val="77"/>
          <w:sz w:val="24"/>
        </w:rPr>
        <w:t> </w:t>
      </w:r>
      <w:r>
        <w:rPr>
          <w:sz w:val="24"/>
        </w:rPr>
        <w:t>the</w:t>
      </w:r>
      <w:r>
        <w:rPr>
          <w:spacing w:val="77"/>
          <w:sz w:val="24"/>
        </w:rPr>
        <w:t> </w:t>
      </w:r>
      <w:r>
        <w:rPr>
          <w:sz w:val="24"/>
        </w:rPr>
        <w:t>plot</w:t>
      </w:r>
      <w:r>
        <w:rPr>
          <w:spacing w:val="78"/>
          <w:sz w:val="24"/>
        </w:rPr>
        <w:t> </w:t>
      </w:r>
      <w:r>
        <w:rPr>
          <w:sz w:val="24"/>
        </w:rPr>
        <w:t>for</w:t>
      </w:r>
      <w:r>
        <w:rPr>
          <w:spacing w:val="74"/>
          <w:sz w:val="24"/>
        </w:rPr>
        <w:t> </w:t>
      </w:r>
      <w:r>
        <w:rPr>
          <w:sz w:val="24"/>
        </w:rPr>
        <w:t>the</w:t>
      </w:r>
      <w:r>
        <w:rPr>
          <w:spacing w:val="74"/>
          <w:sz w:val="24"/>
        </w:rPr>
        <w:t> </w:t>
      </w:r>
      <w:r>
        <w:rPr>
          <w:sz w:val="24"/>
        </w:rPr>
        <w:t>calculation of</w:t>
      </w:r>
      <w:r>
        <w:rPr>
          <w:spacing w:val="40"/>
          <w:sz w:val="24"/>
        </w:rPr>
        <w:t> </w:t>
      </w:r>
      <w:r>
        <w:rPr>
          <w:sz w:val="24"/>
        </w:rPr>
        <w:t>FSI</w:t>
      </w:r>
      <w:r>
        <w:rPr>
          <w:spacing w:val="40"/>
          <w:sz w:val="24"/>
        </w:rPr>
        <w:t> </w:t>
      </w:r>
      <w:r>
        <w:rPr>
          <w:sz w:val="24"/>
        </w:rPr>
        <w:t>permissible</w:t>
      </w:r>
      <w:r>
        <w:rPr>
          <w:spacing w:val="40"/>
          <w:sz w:val="24"/>
        </w:rPr>
        <w:t> </w:t>
      </w:r>
      <w:r>
        <w:rPr>
          <w:sz w:val="24"/>
        </w:rPr>
        <w:t>on</w:t>
      </w:r>
      <w:r>
        <w:rPr>
          <w:spacing w:val="40"/>
          <w:sz w:val="24"/>
        </w:rPr>
        <w:t> </w:t>
      </w:r>
      <w:r>
        <w:rPr>
          <w:sz w:val="24"/>
        </w:rPr>
        <w:t>the</w:t>
      </w:r>
      <w:r>
        <w:rPr>
          <w:spacing w:val="40"/>
          <w:sz w:val="24"/>
        </w:rPr>
        <w:t> </w:t>
      </w:r>
      <w:r>
        <w:rPr>
          <w:sz w:val="24"/>
        </w:rPr>
        <w:t>balance</w:t>
      </w:r>
      <w:r>
        <w:rPr>
          <w:spacing w:val="40"/>
          <w:sz w:val="24"/>
        </w:rPr>
        <w:t> </w:t>
      </w:r>
      <w:r>
        <w:rPr>
          <w:sz w:val="24"/>
        </w:rPr>
        <w:t>plot.</w:t>
      </w:r>
    </w:p>
    <w:p>
      <w:pPr>
        <w:pStyle w:val="ListParagraph"/>
        <w:numPr>
          <w:ilvl w:val="2"/>
          <w:numId w:val="25"/>
        </w:numPr>
        <w:tabs>
          <w:tab w:pos="1620" w:val="left" w:leader="none"/>
          <w:tab w:pos="1709" w:val="left" w:leader="none"/>
        </w:tabs>
        <w:spacing w:line="240" w:lineRule="auto" w:before="0" w:after="0"/>
        <w:ind w:left="1620" w:right="1078" w:hanging="269"/>
        <w:jc w:val="both"/>
        <w:rPr>
          <w:sz w:val="24"/>
        </w:rPr>
      </w:pPr>
      <w:r>
        <w:rPr>
          <w:sz w:val="24"/>
        </w:rPr>
        <w:tab/>
        <w:t>These</w:t>
      </w:r>
      <w:r>
        <w:rPr>
          <w:spacing w:val="40"/>
          <w:sz w:val="24"/>
        </w:rPr>
        <w:t> </w:t>
      </w:r>
      <w:r>
        <w:rPr>
          <w:sz w:val="24"/>
        </w:rPr>
        <w:t>areas</w:t>
      </w:r>
      <w:r>
        <w:rPr>
          <w:spacing w:val="40"/>
          <w:sz w:val="24"/>
        </w:rPr>
        <w:t> </w:t>
      </w:r>
      <w:r>
        <w:rPr>
          <w:sz w:val="24"/>
        </w:rPr>
        <w:t>will</w:t>
      </w:r>
      <w:r>
        <w:rPr>
          <w:spacing w:val="40"/>
          <w:sz w:val="24"/>
        </w:rPr>
        <w:t> </w:t>
      </w:r>
      <w:r>
        <w:rPr>
          <w:sz w:val="24"/>
        </w:rPr>
        <w:t>be</w:t>
      </w:r>
      <w:r>
        <w:rPr>
          <w:spacing w:val="40"/>
          <w:sz w:val="24"/>
        </w:rPr>
        <w:t> </w:t>
      </w:r>
      <w:r>
        <w:rPr>
          <w:sz w:val="24"/>
        </w:rPr>
        <w:t>in</w:t>
      </w:r>
      <w:r>
        <w:rPr>
          <w:spacing w:val="40"/>
          <w:sz w:val="24"/>
        </w:rPr>
        <w:t> </w:t>
      </w:r>
      <w:r>
        <w:rPr>
          <w:sz w:val="24"/>
        </w:rPr>
        <w:t>addition</w:t>
      </w:r>
      <w:r>
        <w:rPr>
          <w:spacing w:val="40"/>
          <w:sz w:val="24"/>
        </w:rPr>
        <w:t> </w:t>
      </w:r>
      <w:r>
        <w:rPr>
          <w:sz w:val="24"/>
        </w:rPr>
        <w:t>to</w:t>
      </w:r>
      <w:r>
        <w:rPr>
          <w:spacing w:val="40"/>
          <w:sz w:val="24"/>
        </w:rPr>
        <w:t> </w:t>
      </w:r>
      <w:r>
        <w:rPr>
          <w:sz w:val="24"/>
        </w:rPr>
        <w:t>the</w:t>
      </w:r>
      <w:r>
        <w:rPr>
          <w:spacing w:val="40"/>
          <w:sz w:val="24"/>
        </w:rPr>
        <w:t> </w:t>
      </w:r>
      <w:r>
        <w:rPr>
          <w:sz w:val="24"/>
        </w:rPr>
        <w:t>Layout</w:t>
      </w:r>
      <w:r>
        <w:rPr>
          <w:spacing w:val="40"/>
          <w:sz w:val="24"/>
        </w:rPr>
        <w:t> </w:t>
      </w:r>
      <w:r>
        <w:rPr>
          <w:sz w:val="24"/>
        </w:rPr>
        <w:t>Recreational</w:t>
      </w:r>
      <w:r>
        <w:rPr>
          <w:spacing w:val="40"/>
          <w:sz w:val="24"/>
        </w:rPr>
        <w:t> </w:t>
      </w:r>
      <w:r>
        <w:rPr>
          <w:spacing w:val="10"/>
          <w:sz w:val="24"/>
        </w:rPr>
        <w:t>Open </w:t>
      </w:r>
      <w:r>
        <w:rPr>
          <w:sz w:val="24"/>
        </w:rPr>
        <w:t>Space</w:t>
      </w:r>
      <w:r>
        <w:rPr>
          <w:spacing w:val="40"/>
          <w:sz w:val="24"/>
        </w:rPr>
        <w:t> </w:t>
      </w:r>
      <w:r>
        <w:rPr>
          <w:sz w:val="24"/>
        </w:rPr>
        <w:t>(LOS)</w:t>
      </w:r>
      <w:r>
        <w:rPr>
          <w:spacing w:val="40"/>
          <w:sz w:val="24"/>
        </w:rPr>
        <w:t> </w:t>
      </w:r>
      <w:r>
        <w:rPr>
          <w:sz w:val="24"/>
        </w:rPr>
        <w:t>as</w:t>
      </w:r>
      <w:r>
        <w:rPr>
          <w:spacing w:val="40"/>
          <w:sz w:val="24"/>
        </w:rPr>
        <w:t> </w:t>
      </w:r>
      <w:r>
        <w:rPr>
          <w:sz w:val="24"/>
        </w:rPr>
        <w:t>required</w:t>
      </w:r>
      <w:r>
        <w:rPr>
          <w:spacing w:val="40"/>
          <w:sz w:val="24"/>
        </w:rPr>
        <w:t> </w:t>
      </w:r>
      <w:r>
        <w:rPr>
          <w:sz w:val="24"/>
        </w:rPr>
        <w:t>under</w:t>
      </w:r>
      <w:r>
        <w:rPr>
          <w:spacing w:val="40"/>
          <w:sz w:val="24"/>
        </w:rPr>
        <w:t> </w:t>
      </w:r>
      <w:r>
        <w:rPr>
          <w:sz w:val="24"/>
        </w:rPr>
        <w:t>Regulation</w:t>
      </w:r>
      <w:r>
        <w:rPr>
          <w:spacing w:val="40"/>
          <w:sz w:val="24"/>
        </w:rPr>
        <w:t> </w:t>
      </w:r>
      <w:r>
        <w:rPr>
          <w:sz w:val="24"/>
        </w:rPr>
        <w:t>No.</w:t>
      </w:r>
      <w:r>
        <w:rPr>
          <w:spacing w:val="40"/>
          <w:sz w:val="24"/>
        </w:rPr>
        <w:t> </w:t>
      </w:r>
      <w:r>
        <w:rPr>
          <w:sz w:val="24"/>
        </w:rPr>
        <w:t>27.</w:t>
      </w:r>
    </w:p>
    <w:p>
      <w:pPr>
        <w:pStyle w:val="ListParagraph"/>
        <w:numPr>
          <w:ilvl w:val="2"/>
          <w:numId w:val="25"/>
        </w:numPr>
        <w:tabs>
          <w:tab w:pos="1646" w:val="left" w:leader="none"/>
          <w:tab w:pos="1675" w:val="left" w:leader="none"/>
        </w:tabs>
        <w:spacing w:line="240" w:lineRule="auto" w:before="0" w:after="0"/>
        <w:ind w:left="1646" w:right="1095" w:hanging="284"/>
        <w:jc w:val="both"/>
        <w:rPr>
          <w:sz w:val="24"/>
        </w:rPr>
      </w:pPr>
      <w:r>
        <w:rPr>
          <w:sz w:val="24"/>
        </w:rPr>
        <w:t>The</w:t>
      </w:r>
      <w:r>
        <w:rPr>
          <w:spacing w:val="40"/>
          <w:sz w:val="24"/>
        </w:rPr>
        <w:t> </w:t>
      </w:r>
      <w:r>
        <w:rPr>
          <w:sz w:val="24"/>
        </w:rPr>
        <w:t>minimum</w:t>
      </w:r>
      <w:r>
        <w:rPr>
          <w:spacing w:val="40"/>
          <w:sz w:val="24"/>
        </w:rPr>
        <w:t> </w:t>
      </w:r>
      <w:r>
        <w:rPr>
          <w:sz w:val="24"/>
        </w:rPr>
        <w:t>dimension</w:t>
      </w:r>
      <w:r>
        <w:rPr>
          <w:spacing w:val="40"/>
          <w:sz w:val="24"/>
        </w:rPr>
        <w:t> </w:t>
      </w:r>
      <w:r>
        <w:rPr>
          <w:sz w:val="24"/>
        </w:rPr>
        <w:t>of</w:t>
      </w:r>
      <w:r>
        <w:rPr>
          <w:spacing w:val="40"/>
          <w:sz w:val="24"/>
        </w:rPr>
        <w:t> </w:t>
      </w:r>
      <w:r>
        <w:rPr>
          <w:sz w:val="24"/>
        </w:rPr>
        <w:t>any</w:t>
      </w:r>
      <w:r>
        <w:rPr>
          <w:spacing w:val="40"/>
          <w:sz w:val="24"/>
        </w:rPr>
        <w:t> </w:t>
      </w:r>
      <w:r>
        <w:rPr>
          <w:sz w:val="24"/>
        </w:rPr>
        <w:t>side</w:t>
      </w:r>
      <w:r>
        <w:rPr>
          <w:spacing w:val="40"/>
          <w:sz w:val="24"/>
        </w:rPr>
        <w:t> </w:t>
      </w:r>
      <w:r>
        <w:rPr>
          <w:sz w:val="24"/>
        </w:rPr>
        <w:t>of</w:t>
      </w:r>
      <w:r>
        <w:rPr>
          <w:spacing w:val="40"/>
          <w:sz w:val="24"/>
        </w:rPr>
        <w:t> </w:t>
      </w:r>
      <w:r>
        <w:rPr>
          <w:sz w:val="24"/>
        </w:rPr>
        <w:t>such</w:t>
      </w:r>
      <w:r>
        <w:rPr>
          <w:spacing w:val="40"/>
          <w:sz w:val="24"/>
        </w:rPr>
        <w:t> </w:t>
      </w:r>
      <w:r>
        <w:rPr>
          <w:sz w:val="24"/>
        </w:rPr>
        <w:t>amenity</w:t>
      </w:r>
      <w:r>
        <w:rPr>
          <w:spacing w:val="40"/>
          <w:sz w:val="24"/>
        </w:rPr>
        <w:t> </w:t>
      </w:r>
      <w:r>
        <w:rPr>
          <w:sz w:val="24"/>
        </w:rPr>
        <w:t>shall</w:t>
      </w:r>
      <w:r>
        <w:rPr>
          <w:spacing w:val="40"/>
          <w:sz w:val="24"/>
        </w:rPr>
        <w:t> </w:t>
      </w:r>
      <w:r>
        <w:rPr>
          <w:sz w:val="24"/>
        </w:rPr>
        <w:t>not</w:t>
      </w:r>
      <w:r>
        <w:rPr>
          <w:spacing w:val="40"/>
          <w:sz w:val="24"/>
        </w:rPr>
        <w:t> </w:t>
      </w:r>
      <w:r>
        <w:rPr>
          <w:sz w:val="24"/>
        </w:rPr>
        <w:t>be less</w:t>
      </w:r>
      <w:r>
        <w:rPr>
          <w:spacing w:val="40"/>
          <w:sz w:val="24"/>
        </w:rPr>
        <w:t> </w:t>
      </w:r>
      <w:r>
        <w:rPr>
          <w:sz w:val="24"/>
        </w:rPr>
        <w:t>than</w:t>
      </w:r>
      <w:r>
        <w:rPr>
          <w:spacing w:val="40"/>
          <w:sz w:val="24"/>
        </w:rPr>
        <w:t> </w:t>
      </w:r>
      <w:r>
        <w:rPr>
          <w:sz w:val="24"/>
        </w:rPr>
        <w:t>7.5</w:t>
      </w:r>
      <w:r>
        <w:rPr>
          <w:spacing w:val="40"/>
          <w:sz w:val="24"/>
        </w:rPr>
        <w:t> </w:t>
      </w:r>
      <w:r>
        <w:rPr>
          <w:sz w:val="24"/>
        </w:rPr>
        <w:t>m</w:t>
      </w:r>
      <w:r>
        <w:rPr>
          <w:spacing w:val="40"/>
          <w:sz w:val="24"/>
        </w:rPr>
        <w:t> </w:t>
      </w:r>
      <w:r>
        <w:rPr>
          <w:sz w:val="24"/>
        </w:rPr>
        <w:t>and</w:t>
      </w:r>
      <w:r>
        <w:rPr>
          <w:spacing w:val="40"/>
          <w:sz w:val="24"/>
        </w:rPr>
        <w:t> </w:t>
      </w:r>
      <w:r>
        <w:rPr>
          <w:sz w:val="24"/>
        </w:rPr>
        <w:t>if</w:t>
      </w:r>
      <w:r>
        <w:rPr>
          <w:spacing w:val="40"/>
          <w:sz w:val="24"/>
        </w:rPr>
        <w:t> </w:t>
      </w:r>
      <w:r>
        <w:rPr>
          <w:sz w:val="24"/>
        </w:rPr>
        <w:t>the</w:t>
      </w:r>
      <w:r>
        <w:rPr>
          <w:spacing w:val="40"/>
          <w:sz w:val="24"/>
        </w:rPr>
        <w:t> </w:t>
      </w:r>
      <w:r>
        <w:rPr>
          <w:sz w:val="24"/>
        </w:rPr>
        <w:t>average</w:t>
      </w:r>
      <w:r>
        <w:rPr>
          <w:spacing w:val="40"/>
          <w:sz w:val="24"/>
        </w:rPr>
        <w:t> </w:t>
      </w:r>
      <w:r>
        <w:rPr>
          <w:sz w:val="24"/>
        </w:rPr>
        <w:t>width</w:t>
      </w:r>
      <w:r>
        <w:rPr>
          <w:spacing w:val="40"/>
          <w:sz w:val="24"/>
        </w:rPr>
        <w:t> </w:t>
      </w:r>
      <w:r>
        <w:rPr>
          <w:sz w:val="24"/>
        </w:rPr>
        <w:t>of</w:t>
      </w:r>
      <w:r>
        <w:rPr>
          <w:spacing w:val="40"/>
          <w:sz w:val="24"/>
        </w:rPr>
        <w:t> </w:t>
      </w:r>
      <w:r>
        <w:rPr>
          <w:sz w:val="24"/>
        </w:rPr>
        <w:t>such</w:t>
      </w:r>
      <w:r>
        <w:rPr>
          <w:spacing w:val="40"/>
          <w:sz w:val="24"/>
        </w:rPr>
        <w:t> </w:t>
      </w:r>
      <w:r>
        <w:rPr>
          <w:sz w:val="24"/>
        </w:rPr>
        <w:t>amenity</w:t>
      </w:r>
      <w:r>
        <w:rPr>
          <w:spacing w:val="80"/>
          <w:w w:val="150"/>
          <w:sz w:val="24"/>
        </w:rPr>
        <w:t> </w:t>
      </w:r>
      <w:r>
        <w:rPr>
          <w:sz w:val="24"/>
        </w:rPr>
        <w:t>is</w:t>
      </w:r>
      <w:r>
        <w:rPr>
          <w:spacing w:val="40"/>
          <w:sz w:val="24"/>
        </w:rPr>
        <w:t> </w:t>
      </w:r>
      <w:r>
        <w:rPr>
          <w:sz w:val="24"/>
        </w:rPr>
        <w:t>less than 16.6 m, the length thereof shall not exceed 2 1/2 times the average width.</w:t>
      </w:r>
    </w:p>
    <w:p>
      <w:pPr>
        <w:pStyle w:val="ListParagraph"/>
        <w:spacing w:after="0" w:line="240" w:lineRule="auto"/>
        <w:jc w:val="both"/>
        <w:rPr>
          <w:sz w:val="24"/>
        </w:rPr>
        <w:sectPr>
          <w:pgSz w:w="11910" w:h="16840"/>
          <w:pgMar w:header="746" w:footer="968" w:top="1180" w:bottom="1160" w:left="360" w:right="360"/>
        </w:sectPr>
      </w:pPr>
    </w:p>
    <w:p>
      <w:pPr>
        <w:pStyle w:val="BodyText"/>
        <w:spacing w:before="251"/>
        <w:ind w:left="1646" w:right="1093"/>
      </w:pPr>
      <w:r>
        <w:rPr/>
        <w:t>Note:</w:t>
      </w:r>
      <w:r>
        <w:rPr>
          <w:spacing w:val="40"/>
        </w:rPr>
        <w:t> </w:t>
      </w:r>
      <w:r>
        <w:rPr/>
        <w:t>i)</w:t>
      </w:r>
      <w:r>
        <w:rPr>
          <w:spacing w:val="40"/>
        </w:rPr>
        <w:t> </w:t>
      </w:r>
      <w:r>
        <w:rPr/>
        <w:t>No</w:t>
      </w:r>
      <w:r>
        <w:rPr>
          <w:spacing w:val="40"/>
        </w:rPr>
        <w:t> </w:t>
      </w:r>
      <w:r>
        <w:rPr/>
        <w:t>amenity</w:t>
      </w:r>
      <w:r>
        <w:rPr>
          <w:spacing w:val="40"/>
        </w:rPr>
        <w:t> </w:t>
      </w:r>
      <w:r>
        <w:rPr/>
        <w:t>plot</w:t>
      </w:r>
      <w:r>
        <w:rPr>
          <w:spacing w:val="40"/>
        </w:rPr>
        <w:t> </w:t>
      </w:r>
      <w:r>
        <w:rPr/>
        <w:t>will</w:t>
      </w:r>
      <w:r>
        <w:rPr>
          <w:spacing w:val="40"/>
        </w:rPr>
        <w:t> </w:t>
      </w:r>
      <w:r>
        <w:rPr/>
        <w:t>be</w:t>
      </w:r>
      <w:r>
        <w:rPr>
          <w:spacing w:val="40"/>
        </w:rPr>
        <w:t> </w:t>
      </w:r>
      <w:r>
        <w:rPr/>
        <w:t>carved</w:t>
      </w:r>
      <w:r>
        <w:rPr>
          <w:spacing w:val="40"/>
        </w:rPr>
        <w:t> </w:t>
      </w:r>
      <w:r>
        <w:rPr/>
        <w:t>out</w:t>
      </w:r>
      <w:r>
        <w:rPr>
          <w:spacing w:val="40"/>
        </w:rPr>
        <w:t> </w:t>
      </w:r>
      <w:r>
        <w:rPr/>
        <w:t>of</w:t>
      </w:r>
      <w:r>
        <w:rPr>
          <w:spacing w:val="40"/>
        </w:rPr>
        <w:t> </w:t>
      </w:r>
      <w:r>
        <w:rPr/>
        <w:t>any</w:t>
      </w:r>
      <w:r>
        <w:rPr>
          <w:spacing w:val="40"/>
        </w:rPr>
        <w:t> </w:t>
      </w:r>
      <w:r>
        <w:rPr/>
        <w:t>land</w:t>
      </w:r>
      <w:r>
        <w:rPr>
          <w:spacing w:val="40"/>
        </w:rPr>
        <w:t> </w:t>
      </w:r>
      <w:r>
        <w:rPr/>
        <w:t>entirely reserved</w:t>
      </w:r>
      <w:r>
        <w:rPr>
          <w:spacing w:val="40"/>
        </w:rPr>
        <w:t> </w:t>
      </w:r>
      <w:r>
        <w:rPr/>
        <w:t>for</w:t>
      </w:r>
      <w:r>
        <w:rPr>
          <w:spacing w:val="40"/>
        </w:rPr>
        <w:t> </w:t>
      </w:r>
      <w:r>
        <w:rPr/>
        <w:t>public</w:t>
      </w:r>
      <w:r>
        <w:rPr>
          <w:spacing w:val="40"/>
        </w:rPr>
        <w:t> </w:t>
      </w:r>
      <w:r>
        <w:rPr/>
        <w:t>purpose.</w:t>
      </w:r>
    </w:p>
    <w:p>
      <w:pPr>
        <w:pStyle w:val="BodyText"/>
        <w:spacing w:before="1"/>
        <w:ind w:left="1646" w:right="1099" w:hanging="63"/>
      </w:pPr>
      <w:r>
        <w:rPr>
          <w:sz w:val="22"/>
        </w:rPr>
        <w:t>(</w:t>
      </w:r>
      <w:r>
        <w:rPr/>
        <w:t>ii)In</w:t>
      </w:r>
      <w:r>
        <w:rPr>
          <w:spacing w:val="40"/>
        </w:rPr>
        <w:t> </w:t>
      </w:r>
      <w:r>
        <w:rPr/>
        <w:t>case</w:t>
      </w:r>
      <w:r>
        <w:rPr>
          <w:spacing w:val="40"/>
        </w:rPr>
        <w:t> </w:t>
      </w:r>
      <w:r>
        <w:rPr/>
        <w:t>of</w:t>
      </w:r>
      <w:r>
        <w:rPr>
          <w:spacing w:val="40"/>
        </w:rPr>
        <w:t> </w:t>
      </w:r>
      <w:r>
        <w:rPr/>
        <w:t>redevelopment</w:t>
      </w:r>
      <w:r>
        <w:rPr>
          <w:spacing w:val="40"/>
        </w:rPr>
        <w:t> </w:t>
      </w:r>
      <w:r>
        <w:rPr/>
        <w:t>under</w:t>
      </w:r>
      <w:r>
        <w:rPr>
          <w:spacing w:val="40"/>
        </w:rPr>
        <w:t> </w:t>
      </w:r>
      <w:r>
        <w:rPr/>
        <w:t>33(7),</w:t>
      </w:r>
      <w:r>
        <w:rPr>
          <w:spacing w:val="40"/>
        </w:rPr>
        <w:t> </w:t>
      </w:r>
      <w:r>
        <w:rPr/>
        <w:t>33(7)(A),</w:t>
      </w:r>
      <w:r>
        <w:rPr>
          <w:spacing w:val="40"/>
        </w:rPr>
        <w:t> </w:t>
      </w:r>
      <w:r>
        <w:rPr/>
        <w:t>33(10)</w:t>
      </w:r>
      <w:r>
        <w:rPr>
          <w:spacing w:val="40"/>
        </w:rPr>
        <w:t> </w:t>
      </w:r>
      <w:r>
        <w:rPr/>
        <w:t>amenity</w:t>
      </w:r>
      <w:r>
        <w:rPr>
          <w:spacing w:val="40"/>
        </w:rPr>
        <w:t> </w:t>
      </w:r>
      <w:r>
        <w:rPr/>
        <w:t>as per</w:t>
      </w:r>
      <w:r>
        <w:rPr>
          <w:spacing w:val="40"/>
        </w:rPr>
        <w:t> </w:t>
      </w:r>
      <w:r>
        <w:rPr/>
        <w:t>this</w:t>
      </w:r>
      <w:r>
        <w:rPr>
          <w:spacing w:val="40"/>
        </w:rPr>
        <w:t> </w:t>
      </w:r>
      <w:r>
        <w:rPr/>
        <w:t>Regulation</w:t>
      </w:r>
      <w:r>
        <w:rPr>
          <w:spacing w:val="40"/>
        </w:rPr>
        <w:t> </w:t>
      </w:r>
      <w:r>
        <w:rPr/>
        <w:t>shall</w:t>
      </w:r>
      <w:r>
        <w:rPr>
          <w:spacing w:val="40"/>
        </w:rPr>
        <w:t> </w:t>
      </w:r>
      <w:r>
        <w:rPr/>
        <w:t>be</w:t>
      </w:r>
      <w:r>
        <w:rPr>
          <w:spacing w:val="40"/>
        </w:rPr>
        <w:t> </w:t>
      </w:r>
      <w:r>
        <w:rPr/>
        <w:t>reduced</w:t>
      </w:r>
      <w:r>
        <w:rPr>
          <w:spacing w:val="40"/>
        </w:rPr>
        <w:t> </w:t>
      </w:r>
      <w:r>
        <w:rPr/>
        <w:t>to</w:t>
      </w:r>
      <w:r>
        <w:rPr>
          <w:spacing w:val="40"/>
        </w:rPr>
        <w:t> </w:t>
      </w:r>
      <w:r>
        <w:rPr/>
        <w:t>35%.</w:t>
      </w:r>
    </w:p>
    <w:p>
      <w:pPr>
        <w:pStyle w:val="ListParagraph"/>
        <w:numPr>
          <w:ilvl w:val="0"/>
          <w:numId w:val="21"/>
        </w:numPr>
        <w:tabs>
          <w:tab w:pos="1646" w:val="left" w:leader="none"/>
          <w:tab w:pos="1908" w:val="left" w:leader="none"/>
        </w:tabs>
        <w:spacing w:line="240" w:lineRule="auto" w:before="121" w:after="0"/>
        <w:ind w:left="1646" w:right="1097" w:hanging="142"/>
        <w:jc w:val="both"/>
        <w:rPr>
          <w:sz w:val="24"/>
        </w:rPr>
      </w:pPr>
      <w:r>
        <w:rPr>
          <w:sz w:val="24"/>
        </w:rPr>
        <w:t>In</w:t>
      </w:r>
      <w:r>
        <w:rPr>
          <w:spacing w:val="80"/>
          <w:sz w:val="24"/>
        </w:rPr>
        <w:t> </w:t>
      </w:r>
      <w:r>
        <w:rPr>
          <w:sz w:val="24"/>
        </w:rPr>
        <w:t>case</w:t>
      </w:r>
      <w:r>
        <w:rPr>
          <w:spacing w:val="80"/>
          <w:sz w:val="24"/>
        </w:rPr>
        <w:t> </w:t>
      </w:r>
      <w:r>
        <w:rPr>
          <w:sz w:val="24"/>
        </w:rPr>
        <w:t>of</w:t>
      </w:r>
      <w:r>
        <w:rPr>
          <w:spacing w:val="80"/>
          <w:sz w:val="24"/>
        </w:rPr>
        <w:t> </w:t>
      </w:r>
      <w:r>
        <w:rPr>
          <w:sz w:val="24"/>
        </w:rPr>
        <w:t>amalgamation</w:t>
      </w:r>
      <w:r>
        <w:rPr>
          <w:spacing w:val="80"/>
          <w:sz w:val="24"/>
        </w:rPr>
        <w:t> </w:t>
      </w:r>
      <w:r>
        <w:rPr>
          <w:sz w:val="24"/>
        </w:rPr>
        <w:t>of</w:t>
      </w:r>
      <w:r>
        <w:rPr>
          <w:spacing w:val="80"/>
          <w:sz w:val="24"/>
        </w:rPr>
        <w:t> </w:t>
      </w:r>
      <w:r>
        <w:rPr>
          <w:sz w:val="24"/>
        </w:rPr>
        <w:t>plots,</w:t>
      </w:r>
      <w:r>
        <w:rPr>
          <w:spacing w:val="80"/>
          <w:sz w:val="24"/>
        </w:rPr>
        <w:t> </w:t>
      </w:r>
      <w:r>
        <w:rPr>
          <w:sz w:val="24"/>
        </w:rPr>
        <w:t>no</w:t>
      </w:r>
      <w:r>
        <w:rPr>
          <w:spacing w:val="80"/>
          <w:sz w:val="24"/>
        </w:rPr>
        <w:t> </w:t>
      </w:r>
      <w:r>
        <w:rPr>
          <w:sz w:val="24"/>
        </w:rPr>
        <w:t>amenity</w:t>
      </w:r>
      <w:r>
        <w:rPr>
          <w:spacing w:val="80"/>
          <w:sz w:val="24"/>
        </w:rPr>
        <w:t> </w:t>
      </w:r>
      <w:r>
        <w:rPr>
          <w:sz w:val="24"/>
        </w:rPr>
        <w:t>shall</w:t>
      </w:r>
      <w:r>
        <w:rPr>
          <w:spacing w:val="80"/>
          <w:sz w:val="24"/>
        </w:rPr>
        <w:t> </w:t>
      </w:r>
      <w:r>
        <w:rPr>
          <w:sz w:val="24"/>
        </w:rPr>
        <w:t>be</w:t>
      </w:r>
      <w:r>
        <w:rPr>
          <w:spacing w:val="80"/>
          <w:sz w:val="24"/>
        </w:rPr>
        <w:t> </w:t>
      </w:r>
      <w:r>
        <w:rPr>
          <w:sz w:val="24"/>
        </w:rPr>
        <w:t>required for</w:t>
      </w:r>
      <w:r>
        <w:rPr>
          <w:spacing w:val="40"/>
          <w:sz w:val="24"/>
        </w:rPr>
        <w:t> </w:t>
      </w:r>
      <w:r>
        <w:rPr>
          <w:sz w:val="24"/>
        </w:rPr>
        <w:t>the</w:t>
      </w:r>
      <w:r>
        <w:rPr>
          <w:spacing w:val="40"/>
          <w:sz w:val="24"/>
        </w:rPr>
        <w:t> </w:t>
      </w:r>
      <w:r>
        <w:rPr>
          <w:sz w:val="24"/>
        </w:rPr>
        <w:t>original</w:t>
      </w:r>
      <w:r>
        <w:rPr>
          <w:spacing w:val="40"/>
          <w:sz w:val="24"/>
        </w:rPr>
        <w:t> </w:t>
      </w:r>
      <w:r>
        <w:rPr>
          <w:sz w:val="24"/>
        </w:rPr>
        <w:t>plot</w:t>
      </w:r>
      <w:r>
        <w:rPr>
          <w:spacing w:val="40"/>
          <w:sz w:val="24"/>
        </w:rPr>
        <w:t> </w:t>
      </w:r>
      <w:r>
        <w:rPr>
          <w:sz w:val="24"/>
        </w:rPr>
        <w:t>having</w:t>
      </w:r>
      <w:r>
        <w:rPr>
          <w:spacing w:val="40"/>
          <w:sz w:val="24"/>
        </w:rPr>
        <w:t> </w:t>
      </w:r>
      <w:r>
        <w:rPr>
          <w:sz w:val="24"/>
        </w:rPr>
        <w:t>area</w:t>
      </w:r>
      <w:r>
        <w:rPr>
          <w:spacing w:val="40"/>
          <w:sz w:val="24"/>
        </w:rPr>
        <w:t> </w:t>
      </w:r>
      <w:r>
        <w:rPr>
          <w:sz w:val="24"/>
        </w:rPr>
        <w:t>less</w:t>
      </w:r>
      <w:r>
        <w:rPr>
          <w:spacing w:val="40"/>
          <w:sz w:val="24"/>
        </w:rPr>
        <w:t> </w:t>
      </w:r>
      <w:r>
        <w:rPr>
          <w:sz w:val="24"/>
        </w:rPr>
        <w:t>than</w:t>
      </w:r>
      <w:r>
        <w:rPr>
          <w:spacing w:val="40"/>
          <w:sz w:val="24"/>
        </w:rPr>
        <w:t> </w:t>
      </w:r>
      <w:r>
        <w:rPr>
          <w:sz w:val="24"/>
        </w:rPr>
        <w:t>4000</w:t>
      </w:r>
      <w:r>
        <w:rPr>
          <w:spacing w:val="40"/>
          <w:sz w:val="24"/>
        </w:rPr>
        <w:t> </w:t>
      </w:r>
      <w:r>
        <w:rPr>
          <w:sz w:val="24"/>
        </w:rPr>
        <w:t>sq.mt.</w:t>
      </w:r>
      <w:r>
        <w:rPr>
          <w:spacing w:val="40"/>
          <w:sz w:val="24"/>
        </w:rPr>
        <w:t> </w:t>
      </w:r>
      <w:r>
        <w:rPr>
          <w:sz w:val="24"/>
        </w:rPr>
        <w:t>However,</w:t>
      </w:r>
      <w:r>
        <w:rPr>
          <w:spacing w:val="40"/>
          <w:sz w:val="24"/>
        </w:rPr>
        <w:t> </w:t>
      </w:r>
      <w:r>
        <w:rPr>
          <w:sz w:val="24"/>
        </w:rPr>
        <w:t>if area of such amalgamated plots is more than 20000sq.mt.then the amenity</w:t>
      </w:r>
      <w:r>
        <w:rPr>
          <w:spacing w:val="40"/>
          <w:sz w:val="24"/>
        </w:rPr>
        <w:t> </w:t>
      </w:r>
      <w:r>
        <w:rPr>
          <w:sz w:val="24"/>
        </w:rPr>
        <w:t>as</w:t>
      </w:r>
      <w:r>
        <w:rPr>
          <w:spacing w:val="40"/>
          <w:sz w:val="24"/>
        </w:rPr>
        <w:t> </w:t>
      </w:r>
      <w:r>
        <w:rPr>
          <w:sz w:val="24"/>
        </w:rPr>
        <w:t>per</w:t>
      </w:r>
      <w:r>
        <w:rPr>
          <w:spacing w:val="40"/>
          <w:sz w:val="24"/>
        </w:rPr>
        <w:t> </w:t>
      </w:r>
      <w:r>
        <w:rPr>
          <w:sz w:val="24"/>
        </w:rPr>
        <w:t>this</w:t>
      </w:r>
      <w:r>
        <w:rPr>
          <w:spacing w:val="40"/>
          <w:sz w:val="24"/>
        </w:rPr>
        <w:t> </w:t>
      </w:r>
      <w:r>
        <w:rPr>
          <w:sz w:val="24"/>
        </w:rPr>
        <w:t>Regulation</w:t>
      </w:r>
      <w:r>
        <w:rPr>
          <w:spacing w:val="40"/>
          <w:sz w:val="24"/>
        </w:rPr>
        <w:t> </w:t>
      </w:r>
      <w:r>
        <w:rPr>
          <w:sz w:val="24"/>
        </w:rPr>
        <w:t>shall</w:t>
      </w:r>
      <w:r>
        <w:rPr>
          <w:spacing w:val="40"/>
          <w:sz w:val="24"/>
        </w:rPr>
        <w:t> </w:t>
      </w:r>
      <w:r>
        <w:rPr>
          <w:spacing w:val="9"/>
          <w:sz w:val="24"/>
        </w:rPr>
        <w:t>apply.</w:t>
      </w:r>
    </w:p>
    <w:p>
      <w:pPr>
        <w:pStyle w:val="BodyText"/>
        <w:spacing w:before="115"/>
        <w:jc w:val="left"/>
      </w:pPr>
    </w:p>
    <w:p>
      <w:pPr>
        <w:pStyle w:val="Heading6"/>
        <w:numPr>
          <w:ilvl w:val="0"/>
          <w:numId w:val="25"/>
        </w:numPr>
        <w:tabs>
          <w:tab w:pos="1798" w:val="left" w:leader="none"/>
          <w:tab w:pos="1800" w:val="left" w:leader="none"/>
        </w:tabs>
        <w:spacing w:line="240" w:lineRule="auto" w:before="0" w:after="0"/>
        <w:ind w:left="1800" w:right="1096" w:hanging="720"/>
        <w:jc w:val="both"/>
      </w:pPr>
      <w:r>
        <w:rPr/>
        <w:t>Conversion</w:t>
      </w:r>
      <w:r>
        <w:rPr>
          <w:spacing w:val="40"/>
        </w:rPr>
        <w:t> </w:t>
      </w:r>
      <w:r>
        <w:rPr/>
        <w:t>of</w:t>
      </w:r>
      <w:r>
        <w:rPr>
          <w:spacing w:val="40"/>
        </w:rPr>
        <w:t> </w:t>
      </w:r>
      <w:r>
        <w:rPr/>
        <w:t>Industrial</w:t>
      </w:r>
      <w:r>
        <w:rPr>
          <w:spacing w:val="40"/>
        </w:rPr>
        <w:t> </w:t>
      </w:r>
      <w:r>
        <w:rPr/>
        <w:t>Zone</w:t>
      </w:r>
      <w:r>
        <w:rPr>
          <w:spacing w:val="40"/>
        </w:rPr>
        <w:t> </w:t>
      </w:r>
      <w:r>
        <w:rPr/>
        <w:t>to</w:t>
      </w:r>
      <w:r>
        <w:rPr>
          <w:spacing w:val="40"/>
        </w:rPr>
        <w:t> </w:t>
      </w:r>
      <w:r>
        <w:rPr/>
        <w:t>Residential</w:t>
      </w:r>
      <w:r>
        <w:rPr>
          <w:spacing w:val="40"/>
        </w:rPr>
        <w:t> </w:t>
      </w:r>
      <w:r>
        <w:rPr/>
        <w:t>or</w:t>
      </w:r>
      <w:r>
        <w:rPr>
          <w:spacing w:val="40"/>
        </w:rPr>
        <w:t> </w:t>
      </w:r>
      <w:r>
        <w:rPr/>
        <w:t>Commercial Zone</w:t>
      </w:r>
      <w:r>
        <w:rPr>
          <w:spacing w:val="40"/>
        </w:rPr>
        <w:t> </w:t>
      </w:r>
      <w:r>
        <w:rPr/>
        <w:t>for</w:t>
      </w:r>
      <w:r>
        <w:rPr>
          <w:spacing w:val="40"/>
        </w:rPr>
        <w:t> </w:t>
      </w:r>
      <w:r>
        <w:rPr/>
        <w:t>the</w:t>
      </w:r>
      <w:r>
        <w:rPr>
          <w:spacing w:val="40"/>
        </w:rPr>
        <w:t> </w:t>
      </w:r>
      <w:r>
        <w:rPr/>
        <w:t>Uses</w:t>
      </w:r>
      <w:r>
        <w:rPr>
          <w:spacing w:val="40"/>
        </w:rPr>
        <w:t> </w:t>
      </w:r>
      <w:r>
        <w:rPr/>
        <w:t>permissible</w:t>
      </w:r>
      <w:r>
        <w:rPr>
          <w:spacing w:val="40"/>
        </w:rPr>
        <w:t> </w:t>
      </w:r>
      <w:r>
        <w:rPr/>
        <w:t>in</w:t>
      </w:r>
      <w:r>
        <w:rPr>
          <w:spacing w:val="40"/>
        </w:rPr>
        <w:t> </w:t>
      </w:r>
      <w:r>
        <w:rPr/>
        <w:t>Residential</w:t>
      </w:r>
      <w:r>
        <w:rPr>
          <w:spacing w:val="40"/>
        </w:rPr>
        <w:t> </w:t>
      </w:r>
      <w:r>
        <w:rPr/>
        <w:t>or</w:t>
      </w:r>
      <w:r>
        <w:rPr>
          <w:spacing w:val="40"/>
        </w:rPr>
        <w:t> </w:t>
      </w:r>
      <w:r>
        <w:rPr/>
        <w:t>Commercial </w:t>
      </w:r>
      <w:r>
        <w:rPr>
          <w:spacing w:val="-4"/>
        </w:rPr>
        <w:t>Zone</w:t>
      </w:r>
    </w:p>
    <w:p>
      <w:pPr>
        <w:pStyle w:val="BodyText"/>
        <w:spacing w:before="4"/>
        <w:ind w:left="1800" w:right="1078"/>
      </w:pPr>
      <w:r>
        <w:rPr/>
        <w:t>With</w:t>
      </w:r>
      <w:r>
        <w:rPr>
          <w:spacing w:val="40"/>
        </w:rPr>
        <w:t> </w:t>
      </w:r>
      <w:r>
        <w:rPr/>
        <w:t>the</w:t>
      </w:r>
      <w:r>
        <w:rPr>
          <w:spacing w:val="40"/>
        </w:rPr>
        <w:t> </w:t>
      </w:r>
      <w:r>
        <w:rPr/>
        <w:t>previous</w:t>
      </w:r>
      <w:r>
        <w:rPr>
          <w:spacing w:val="76"/>
        </w:rPr>
        <w:t> </w:t>
      </w:r>
      <w:r>
        <w:rPr/>
        <w:t>approval</w:t>
      </w:r>
      <w:r>
        <w:rPr>
          <w:spacing w:val="40"/>
        </w:rPr>
        <w:t> </w:t>
      </w:r>
      <w:r>
        <w:rPr/>
        <w:t>of</w:t>
      </w:r>
      <w:r>
        <w:rPr>
          <w:spacing w:val="40"/>
        </w:rPr>
        <w:t> </w:t>
      </w:r>
      <w:r>
        <w:rPr/>
        <w:t>the</w:t>
      </w:r>
      <w:r>
        <w:rPr>
          <w:spacing w:val="40"/>
        </w:rPr>
        <w:t> </w:t>
      </w:r>
      <w:r>
        <w:rPr>
          <w:spacing w:val="9"/>
        </w:rPr>
        <w:t>Commissioner,</w:t>
      </w:r>
      <w:r>
        <w:rPr>
          <w:spacing w:val="40"/>
        </w:rPr>
        <w:t> </w:t>
      </w:r>
      <w:r>
        <w:rPr/>
        <w:t>any</w:t>
      </w:r>
      <w:r>
        <w:rPr>
          <w:spacing w:val="78"/>
        </w:rPr>
        <w:t> </w:t>
      </w:r>
      <w:r>
        <w:rPr/>
        <w:t>open</w:t>
      </w:r>
      <w:r>
        <w:rPr>
          <w:spacing w:val="40"/>
        </w:rPr>
        <w:t> </w:t>
      </w:r>
      <w:r>
        <w:rPr/>
        <w:t>land</w:t>
      </w:r>
      <w:r>
        <w:rPr>
          <w:spacing w:val="40"/>
        </w:rPr>
        <w:t> </w:t>
      </w:r>
      <w:r>
        <w:rPr/>
        <w:t>in the Industrial Zone, (I Zone) (including industrial estates),</w:t>
      </w:r>
      <w:r>
        <w:rPr>
          <w:spacing w:val="40"/>
        </w:rPr>
        <w:t> </w:t>
      </w:r>
      <w:r>
        <w:rPr/>
        <w:t>excluding lands of cotton textile mills, may be permitted to </w:t>
      </w:r>
      <w:r>
        <w:rPr>
          <w:spacing w:val="12"/>
        </w:rPr>
        <w:t>be </w:t>
      </w:r>
      <w:r>
        <w:rPr/>
        <w:t>converted</w:t>
      </w:r>
      <w:r>
        <w:rPr>
          <w:spacing w:val="80"/>
        </w:rPr>
        <w:t> </w:t>
      </w:r>
      <w:r>
        <w:rPr/>
        <w:t>into</w:t>
      </w:r>
      <w:r>
        <w:rPr>
          <w:spacing w:val="80"/>
        </w:rPr>
        <w:t> </w:t>
      </w:r>
      <w:r>
        <w:rPr/>
        <w:t>Commercial</w:t>
      </w:r>
      <w:r>
        <w:rPr>
          <w:spacing w:val="80"/>
        </w:rPr>
        <w:t> </w:t>
      </w:r>
      <w:r>
        <w:rPr/>
        <w:t>or</w:t>
      </w:r>
      <w:r>
        <w:rPr>
          <w:spacing w:val="80"/>
        </w:rPr>
        <w:t> </w:t>
      </w:r>
      <w:r>
        <w:rPr/>
        <w:t>Residential</w:t>
      </w:r>
      <w:r>
        <w:rPr>
          <w:spacing w:val="80"/>
        </w:rPr>
        <w:t> </w:t>
      </w:r>
      <w:r>
        <w:rPr/>
        <w:t>zone</w:t>
      </w:r>
      <w:r>
        <w:rPr>
          <w:spacing w:val="80"/>
        </w:rPr>
        <w:t> </w:t>
      </w:r>
      <w:r>
        <w:rPr/>
        <w:t>for</w:t>
      </w:r>
      <w:r>
        <w:rPr>
          <w:spacing w:val="80"/>
        </w:rPr>
        <w:t> </w:t>
      </w:r>
      <w:r>
        <w:rPr/>
        <w:t>permissible uses in the Residential Zone (R Zone) or Commercial Zone (C Zone) The area for conversion shall be considered after deduction of area under</w:t>
      </w:r>
      <w:r>
        <w:rPr>
          <w:spacing w:val="40"/>
        </w:rPr>
        <w:t> </w:t>
      </w:r>
      <w:r>
        <w:rPr/>
        <w:t>proposed</w:t>
      </w:r>
      <w:r>
        <w:rPr>
          <w:spacing w:val="40"/>
        </w:rPr>
        <w:t> </w:t>
      </w:r>
      <w:r>
        <w:rPr/>
        <w:t>DP</w:t>
      </w:r>
      <w:r>
        <w:rPr>
          <w:spacing w:val="40"/>
        </w:rPr>
        <w:t> </w:t>
      </w:r>
      <w:r>
        <w:rPr/>
        <w:t>Road/</w:t>
      </w:r>
      <w:r>
        <w:rPr>
          <w:spacing w:val="40"/>
        </w:rPr>
        <w:t> </w:t>
      </w:r>
      <w:r>
        <w:rPr/>
        <w:t>Prescribed</w:t>
      </w:r>
      <w:r>
        <w:rPr>
          <w:spacing w:val="40"/>
        </w:rPr>
        <w:t> </w:t>
      </w:r>
      <w:r>
        <w:rPr/>
        <w:t>Regular</w:t>
      </w:r>
      <w:r>
        <w:rPr>
          <w:spacing w:val="40"/>
        </w:rPr>
        <w:t> </w:t>
      </w:r>
      <w:r>
        <w:rPr/>
        <w:t>line/Existing Municipal</w:t>
      </w:r>
      <w:r>
        <w:rPr>
          <w:spacing w:val="40"/>
        </w:rPr>
        <w:t> </w:t>
      </w:r>
      <w:r>
        <w:rPr/>
        <w:t>Road</w:t>
      </w:r>
      <w:r>
        <w:rPr>
          <w:spacing w:val="40"/>
        </w:rPr>
        <w:t> </w:t>
      </w:r>
      <w:r>
        <w:rPr/>
        <w:t>affecting</w:t>
      </w:r>
      <w:r>
        <w:rPr>
          <w:spacing w:val="40"/>
        </w:rPr>
        <w:t> </w:t>
      </w:r>
      <w:r>
        <w:rPr/>
        <w:t>the</w:t>
      </w:r>
      <w:r>
        <w:rPr>
          <w:spacing w:val="40"/>
        </w:rPr>
        <w:t> </w:t>
      </w:r>
      <w:r>
        <w:rPr/>
        <w:t>plot/s.</w:t>
      </w:r>
    </w:p>
    <w:p>
      <w:pPr>
        <w:pStyle w:val="BodyText"/>
        <w:spacing w:before="121"/>
        <w:ind w:left="1800" w:right="1096"/>
      </w:pPr>
      <w:r>
        <w:rPr/>
        <w:t>Such</w:t>
      </w:r>
      <w:r>
        <w:rPr>
          <w:spacing w:val="40"/>
        </w:rPr>
        <w:t> </w:t>
      </w:r>
      <w:r>
        <w:rPr/>
        <w:t>conversion</w:t>
      </w:r>
      <w:r>
        <w:rPr>
          <w:spacing w:val="40"/>
        </w:rPr>
        <w:t> </w:t>
      </w:r>
      <w:r>
        <w:rPr/>
        <w:t>shall</w:t>
      </w:r>
      <w:r>
        <w:rPr>
          <w:spacing w:val="40"/>
        </w:rPr>
        <w:t> </w:t>
      </w:r>
      <w:r>
        <w:rPr/>
        <w:t>be</w:t>
      </w:r>
      <w:r>
        <w:rPr>
          <w:spacing w:val="40"/>
        </w:rPr>
        <w:t> </w:t>
      </w:r>
      <w:r>
        <w:rPr/>
        <w:t>subject</w:t>
      </w:r>
      <w:r>
        <w:rPr>
          <w:spacing w:val="40"/>
        </w:rPr>
        <w:t> </w:t>
      </w:r>
      <w:r>
        <w:rPr/>
        <w:t>payment</w:t>
      </w:r>
      <w:r>
        <w:rPr>
          <w:spacing w:val="40"/>
        </w:rPr>
        <w:t> </w:t>
      </w:r>
      <w:r>
        <w:rPr/>
        <w:t>of</w:t>
      </w:r>
      <w:r>
        <w:rPr>
          <w:spacing w:val="40"/>
        </w:rPr>
        <w:t> </w:t>
      </w:r>
      <w:r>
        <w:rPr/>
        <w:t>the</w:t>
      </w:r>
      <w:r>
        <w:rPr>
          <w:spacing w:val="40"/>
        </w:rPr>
        <w:t> </w:t>
      </w:r>
      <w:r>
        <w:rPr/>
        <w:t>premium</w:t>
      </w:r>
      <w:r>
        <w:rPr>
          <w:spacing w:val="40"/>
        </w:rPr>
        <w:t> </w:t>
      </w:r>
      <w:r>
        <w:rPr/>
        <w:t>at</w:t>
      </w:r>
      <w:r>
        <w:rPr>
          <w:spacing w:val="40"/>
        </w:rPr>
        <w:t> </w:t>
      </w:r>
      <w:r>
        <w:rPr/>
        <w:t>the rate of 20% of Annual</w:t>
      </w:r>
      <w:r>
        <w:rPr>
          <w:spacing w:val="-2"/>
        </w:rPr>
        <w:t> </w:t>
      </w:r>
      <w:r>
        <w:rPr/>
        <w:t>Schedule</w:t>
      </w:r>
      <w:r>
        <w:rPr>
          <w:spacing w:val="-2"/>
        </w:rPr>
        <w:t> </w:t>
      </w:r>
      <w:r>
        <w:rPr/>
        <w:t>of</w:t>
      </w:r>
      <w:r>
        <w:rPr>
          <w:spacing w:val="-2"/>
        </w:rPr>
        <w:t> </w:t>
      </w:r>
      <w:r>
        <w:rPr/>
        <w:t>Rates</w:t>
      </w:r>
      <w:r>
        <w:rPr>
          <w:spacing w:val="-2"/>
        </w:rPr>
        <w:t> </w:t>
      </w:r>
      <w:r>
        <w:rPr/>
        <w:t>(ASR rate) of developed land or</w:t>
      </w:r>
      <w:r>
        <w:rPr>
          <w:spacing w:val="40"/>
        </w:rPr>
        <w:t> </w:t>
      </w:r>
      <w:r>
        <w:rPr/>
        <w:t>as</w:t>
      </w:r>
      <w:r>
        <w:rPr>
          <w:spacing w:val="40"/>
        </w:rPr>
        <w:t> </w:t>
      </w:r>
      <w:r>
        <w:rPr/>
        <w:t>may</w:t>
      </w:r>
      <w:r>
        <w:rPr>
          <w:spacing w:val="40"/>
        </w:rPr>
        <w:t> </w:t>
      </w:r>
      <w:r>
        <w:rPr/>
        <w:t>be</w:t>
      </w:r>
      <w:r>
        <w:rPr>
          <w:spacing w:val="40"/>
        </w:rPr>
        <w:t> </w:t>
      </w:r>
      <w:r>
        <w:rPr/>
        <w:t>decided</w:t>
      </w:r>
      <w:r>
        <w:rPr>
          <w:spacing w:val="40"/>
        </w:rPr>
        <w:t> </w:t>
      </w:r>
      <w:r>
        <w:rPr/>
        <w:t>by</w:t>
      </w:r>
      <w:r>
        <w:rPr>
          <w:spacing w:val="40"/>
        </w:rPr>
        <w:t> </w:t>
      </w:r>
      <w:r>
        <w:rPr/>
        <w:t>Government</w:t>
      </w:r>
      <w:r>
        <w:rPr>
          <w:spacing w:val="40"/>
        </w:rPr>
        <w:t> </w:t>
      </w:r>
      <w:r>
        <w:rPr/>
        <w:t>from</w:t>
      </w:r>
      <w:r>
        <w:rPr>
          <w:spacing w:val="40"/>
        </w:rPr>
        <w:t> </w:t>
      </w:r>
      <w:r>
        <w:rPr/>
        <w:t>time</w:t>
      </w:r>
      <w:r>
        <w:rPr>
          <w:spacing w:val="40"/>
        </w:rPr>
        <w:t> </w:t>
      </w:r>
      <w:r>
        <w:rPr/>
        <w:t>to</w:t>
      </w:r>
      <w:r>
        <w:rPr>
          <w:spacing w:val="40"/>
        </w:rPr>
        <w:t> </w:t>
      </w:r>
      <w:r>
        <w:rPr/>
        <w:t>time</w:t>
      </w:r>
      <w:r>
        <w:rPr>
          <w:spacing w:val="40"/>
        </w:rPr>
        <w:t> </w:t>
      </w:r>
      <w:r>
        <w:rPr/>
        <w:t>out</w:t>
      </w:r>
      <w:r>
        <w:rPr>
          <w:spacing w:val="40"/>
        </w:rPr>
        <w:t> </w:t>
      </w:r>
      <w:r>
        <w:rPr/>
        <w:t>of which</w:t>
      </w:r>
      <w:r>
        <w:rPr>
          <w:spacing w:val="40"/>
        </w:rPr>
        <w:t> </w:t>
      </w:r>
      <w:r>
        <w:rPr/>
        <w:t>50%</w:t>
      </w:r>
      <w:r>
        <w:rPr>
          <w:spacing w:val="40"/>
        </w:rPr>
        <w:t> </w:t>
      </w:r>
      <w:r>
        <w:rPr/>
        <w:t>amount</w:t>
      </w:r>
      <w:r>
        <w:rPr>
          <w:spacing w:val="40"/>
        </w:rPr>
        <w:t> </w:t>
      </w:r>
      <w:r>
        <w:rPr/>
        <w:t>towards</w:t>
      </w:r>
      <w:r>
        <w:rPr>
          <w:spacing w:val="40"/>
        </w:rPr>
        <w:t> </w:t>
      </w:r>
      <w:r>
        <w:rPr/>
        <w:t>Government</w:t>
      </w:r>
      <w:r>
        <w:rPr>
          <w:spacing w:val="40"/>
        </w:rPr>
        <w:t> </w:t>
      </w:r>
      <w:r>
        <w:rPr/>
        <w:t>share</w:t>
      </w:r>
      <w:r>
        <w:rPr>
          <w:spacing w:val="40"/>
        </w:rPr>
        <w:t> </w:t>
      </w:r>
      <w:r>
        <w:rPr/>
        <w:t>shall</w:t>
      </w:r>
      <w:r>
        <w:rPr>
          <w:spacing w:val="40"/>
        </w:rPr>
        <w:t> </w:t>
      </w:r>
      <w:r>
        <w:rPr/>
        <w:t>be</w:t>
      </w:r>
      <w:r>
        <w:rPr>
          <w:spacing w:val="40"/>
        </w:rPr>
        <w:t> </w:t>
      </w:r>
      <w:r>
        <w:rPr/>
        <w:t>deposited in the office of</w:t>
      </w:r>
      <w:r>
        <w:rPr>
          <w:spacing w:val="40"/>
        </w:rPr>
        <w:t> </w:t>
      </w:r>
      <w:r>
        <w:rPr/>
        <w:t>the Deputy</w:t>
      </w:r>
      <w:r>
        <w:rPr>
          <w:spacing w:val="40"/>
        </w:rPr>
        <w:t> </w:t>
      </w:r>
      <w:r>
        <w:rPr/>
        <w:t>Director</w:t>
      </w:r>
      <w:r>
        <w:rPr>
          <w:spacing w:val="40"/>
        </w:rPr>
        <w:t> </w:t>
      </w:r>
      <w:r>
        <w:rPr/>
        <w:t>of</w:t>
      </w:r>
      <w:r>
        <w:rPr>
          <w:spacing w:val="40"/>
        </w:rPr>
        <w:t> </w:t>
      </w:r>
      <w:r>
        <w:rPr/>
        <w:t>Town</w:t>
      </w:r>
      <w:r>
        <w:rPr>
          <w:spacing w:val="40"/>
        </w:rPr>
        <w:t> </w:t>
      </w:r>
      <w:r>
        <w:rPr/>
        <w:t>Planning, Greater Mumbai</w:t>
      </w:r>
      <w:r>
        <w:rPr>
          <w:spacing w:val="40"/>
        </w:rPr>
        <w:t> </w:t>
      </w:r>
      <w:r>
        <w:rPr/>
        <w:t>and</w:t>
      </w:r>
      <w:r>
        <w:rPr>
          <w:spacing w:val="40"/>
        </w:rPr>
        <w:t> </w:t>
      </w:r>
      <w:r>
        <w:rPr/>
        <w:t>subject</w:t>
      </w:r>
      <w:r>
        <w:rPr>
          <w:spacing w:val="40"/>
        </w:rPr>
        <w:t> </w:t>
      </w:r>
      <w:r>
        <w:rPr/>
        <w:t>to</w:t>
      </w:r>
      <w:r>
        <w:rPr>
          <w:spacing w:val="40"/>
        </w:rPr>
        <w:t> </w:t>
      </w:r>
      <w:r>
        <w:rPr/>
        <w:t>the</w:t>
      </w:r>
      <w:r>
        <w:rPr>
          <w:spacing w:val="40"/>
        </w:rPr>
        <w:t> </w:t>
      </w:r>
      <w:r>
        <w:rPr/>
        <w:t>following:</w:t>
      </w:r>
    </w:p>
    <w:p>
      <w:pPr>
        <w:pStyle w:val="ListParagraph"/>
        <w:numPr>
          <w:ilvl w:val="0"/>
          <w:numId w:val="26"/>
        </w:numPr>
        <w:tabs>
          <w:tab w:pos="1797" w:val="left" w:leader="none"/>
          <w:tab w:pos="1800" w:val="left" w:leader="none"/>
        </w:tabs>
        <w:spacing w:line="240" w:lineRule="auto" w:before="120" w:after="0"/>
        <w:ind w:left="1800" w:right="1090" w:hanging="360"/>
        <w:jc w:val="both"/>
        <w:rPr>
          <w:sz w:val="24"/>
        </w:rPr>
      </w:pPr>
      <w:r>
        <w:rPr>
          <w:sz w:val="24"/>
        </w:rPr>
        <w:t>Conversion of Industrial Zone to </w:t>
      </w:r>
      <w:r>
        <w:rPr>
          <w:spacing w:val="9"/>
          <w:sz w:val="24"/>
        </w:rPr>
        <w:t>Residential/Commercial </w:t>
      </w:r>
      <w:r>
        <w:rPr>
          <w:sz w:val="24"/>
        </w:rPr>
        <w:t>Zone in respect</w:t>
      </w:r>
      <w:r>
        <w:rPr>
          <w:spacing w:val="80"/>
          <w:sz w:val="24"/>
        </w:rPr>
        <w:t> </w:t>
      </w:r>
      <w:r>
        <w:rPr>
          <w:sz w:val="24"/>
        </w:rPr>
        <w:t>of</w:t>
      </w:r>
      <w:r>
        <w:rPr>
          <w:spacing w:val="80"/>
          <w:sz w:val="24"/>
        </w:rPr>
        <w:t> </w:t>
      </w:r>
      <w:r>
        <w:rPr>
          <w:sz w:val="24"/>
        </w:rPr>
        <w:t>closed</w:t>
      </w:r>
      <w:r>
        <w:rPr>
          <w:spacing w:val="80"/>
          <w:sz w:val="24"/>
        </w:rPr>
        <w:t> </w:t>
      </w:r>
      <w:r>
        <w:rPr>
          <w:sz w:val="24"/>
        </w:rPr>
        <w:t>industries</w:t>
      </w:r>
      <w:r>
        <w:rPr>
          <w:spacing w:val="80"/>
          <w:sz w:val="24"/>
        </w:rPr>
        <w:t> </w:t>
      </w:r>
      <w:r>
        <w:rPr>
          <w:sz w:val="24"/>
        </w:rPr>
        <w:t>shall</w:t>
      </w:r>
      <w:r>
        <w:rPr>
          <w:spacing w:val="80"/>
          <w:sz w:val="24"/>
        </w:rPr>
        <w:t> </w:t>
      </w:r>
      <w:r>
        <w:rPr>
          <w:sz w:val="24"/>
        </w:rPr>
        <w:t>be</w:t>
      </w:r>
      <w:r>
        <w:rPr>
          <w:spacing w:val="80"/>
          <w:sz w:val="24"/>
        </w:rPr>
        <w:t> </w:t>
      </w:r>
      <w:r>
        <w:rPr>
          <w:sz w:val="24"/>
        </w:rPr>
        <w:t>permitted</w:t>
      </w:r>
      <w:r>
        <w:rPr>
          <w:spacing w:val="80"/>
          <w:sz w:val="24"/>
        </w:rPr>
        <w:t> </w:t>
      </w:r>
      <w:r>
        <w:rPr>
          <w:sz w:val="24"/>
        </w:rPr>
        <w:t>subject</w:t>
      </w:r>
      <w:r>
        <w:rPr>
          <w:spacing w:val="80"/>
          <w:sz w:val="24"/>
        </w:rPr>
        <w:t> </w:t>
      </w:r>
      <w:r>
        <w:rPr>
          <w:sz w:val="24"/>
        </w:rPr>
        <w:t>to</w:t>
      </w:r>
      <w:r>
        <w:rPr>
          <w:spacing w:val="80"/>
          <w:sz w:val="24"/>
        </w:rPr>
        <w:t> </w:t>
      </w:r>
      <w:r>
        <w:rPr>
          <w:sz w:val="24"/>
        </w:rPr>
        <w:t>NOC from Labour </w:t>
      </w:r>
      <w:r>
        <w:rPr>
          <w:spacing w:val="9"/>
          <w:sz w:val="24"/>
        </w:rPr>
        <w:t>Commissioner, </w:t>
      </w:r>
      <w:r>
        <w:rPr>
          <w:sz w:val="24"/>
        </w:rPr>
        <w:t>GoM. Provided that where conversion has been permitted on the basis of this certificate, Occupation Certificate</w:t>
      </w:r>
      <w:r>
        <w:rPr>
          <w:spacing w:val="40"/>
          <w:sz w:val="24"/>
        </w:rPr>
        <w:t> </w:t>
      </w:r>
      <w:r>
        <w:rPr>
          <w:sz w:val="24"/>
        </w:rPr>
        <w:t>will</w:t>
      </w:r>
      <w:r>
        <w:rPr>
          <w:spacing w:val="40"/>
          <w:sz w:val="24"/>
        </w:rPr>
        <w:t> </w:t>
      </w:r>
      <w:r>
        <w:rPr>
          <w:sz w:val="24"/>
        </w:rPr>
        <w:t>not</w:t>
      </w:r>
      <w:r>
        <w:rPr>
          <w:spacing w:val="40"/>
          <w:sz w:val="24"/>
        </w:rPr>
        <w:t> </w:t>
      </w:r>
      <w:r>
        <w:rPr>
          <w:sz w:val="24"/>
        </w:rPr>
        <w:t>be</w:t>
      </w:r>
      <w:r>
        <w:rPr>
          <w:spacing w:val="40"/>
          <w:sz w:val="24"/>
        </w:rPr>
        <w:t> </w:t>
      </w:r>
      <w:r>
        <w:rPr>
          <w:sz w:val="24"/>
        </w:rPr>
        <w:t>given</w:t>
      </w:r>
      <w:r>
        <w:rPr>
          <w:spacing w:val="40"/>
          <w:sz w:val="24"/>
        </w:rPr>
        <w:t> </w:t>
      </w:r>
      <w:r>
        <w:rPr>
          <w:sz w:val="24"/>
        </w:rPr>
        <w:t>unless</w:t>
      </w:r>
      <w:r>
        <w:rPr>
          <w:spacing w:val="40"/>
          <w:sz w:val="24"/>
        </w:rPr>
        <w:t> </w:t>
      </w:r>
      <w:r>
        <w:rPr>
          <w:sz w:val="24"/>
        </w:rPr>
        <w:t>a</w:t>
      </w:r>
      <w:r>
        <w:rPr>
          <w:spacing w:val="40"/>
          <w:sz w:val="24"/>
        </w:rPr>
        <w:t> </w:t>
      </w:r>
      <w:r>
        <w:rPr>
          <w:sz w:val="24"/>
        </w:rPr>
        <w:t>no</w:t>
      </w:r>
      <w:r>
        <w:rPr>
          <w:spacing w:val="40"/>
          <w:sz w:val="24"/>
        </w:rPr>
        <w:t> </w:t>
      </w:r>
      <w:r>
        <w:rPr>
          <w:sz w:val="24"/>
        </w:rPr>
        <w:t>dues</w:t>
      </w:r>
      <w:r>
        <w:rPr>
          <w:spacing w:val="40"/>
          <w:sz w:val="24"/>
        </w:rPr>
        <w:t> </w:t>
      </w:r>
      <w:r>
        <w:rPr>
          <w:sz w:val="24"/>
        </w:rPr>
        <w:t>certificate</w:t>
      </w:r>
      <w:r>
        <w:rPr>
          <w:spacing w:val="40"/>
          <w:sz w:val="24"/>
        </w:rPr>
        <w:t> </w:t>
      </w:r>
      <w:r>
        <w:rPr>
          <w:sz w:val="24"/>
        </w:rPr>
        <w:t>is</w:t>
      </w:r>
      <w:r>
        <w:rPr>
          <w:spacing w:val="40"/>
          <w:sz w:val="24"/>
        </w:rPr>
        <w:t> </w:t>
      </w:r>
      <w:r>
        <w:rPr>
          <w:sz w:val="24"/>
        </w:rPr>
        <w:t>granted by</w:t>
      </w:r>
      <w:r>
        <w:rPr>
          <w:spacing w:val="40"/>
          <w:sz w:val="24"/>
        </w:rPr>
        <w:t> </w:t>
      </w:r>
      <w:r>
        <w:rPr>
          <w:sz w:val="24"/>
        </w:rPr>
        <w:t>the</w:t>
      </w:r>
      <w:r>
        <w:rPr>
          <w:spacing w:val="40"/>
          <w:sz w:val="24"/>
        </w:rPr>
        <w:t> </w:t>
      </w:r>
      <w:r>
        <w:rPr>
          <w:sz w:val="24"/>
        </w:rPr>
        <w:t>Labour</w:t>
      </w:r>
      <w:r>
        <w:rPr>
          <w:spacing w:val="40"/>
          <w:sz w:val="24"/>
        </w:rPr>
        <w:t> </w:t>
      </w:r>
      <w:r>
        <w:rPr>
          <w:sz w:val="24"/>
        </w:rPr>
        <w:t>Commissioner.</w:t>
      </w:r>
    </w:p>
    <w:p>
      <w:pPr>
        <w:pStyle w:val="ListParagraph"/>
        <w:numPr>
          <w:ilvl w:val="0"/>
          <w:numId w:val="26"/>
        </w:numPr>
        <w:tabs>
          <w:tab w:pos="1800" w:val="left" w:leader="none"/>
        </w:tabs>
        <w:spacing w:line="240" w:lineRule="auto" w:before="0" w:after="0"/>
        <w:ind w:left="1800" w:right="1089" w:hanging="360"/>
        <w:jc w:val="both"/>
        <w:rPr>
          <w:sz w:val="24"/>
        </w:rPr>
      </w:pPr>
      <w:r>
        <w:rPr>
          <w:sz w:val="24"/>
        </w:rPr>
        <w:t>However, in respect of any open land in the Industrial Zone where industry</w:t>
      </w:r>
      <w:r>
        <w:rPr>
          <w:spacing w:val="80"/>
          <w:sz w:val="24"/>
        </w:rPr>
        <w:t> </w:t>
      </w:r>
      <w:r>
        <w:rPr>
          <w:sz w:val="24"/>
        </w:rPr>
        <w:t>never</w:t>
      </w:r>
      <w:r>
        <w:rPr>
          <w:spacing w:val="80"/>
          <w:sz w:val="24"/>
        </w:rPr>
        <w:t> </w:t>
      </w:r>
      <w:r>
        <w:rPr>
          <w:sz w:val="24"/>
        </w:rPr>
        <w:t>existed,</w:t>
      </w:r>
      <w:r>
        <w:rPr>
          <w:spacing w:val="80"/>
          <w:sz w:val="24"/>
        </w:rPr>
        <w:t> </w:t>
      </w:r>
      <w:r>
        <w:rPr>
          <w:sz w:val="24"/>
        </w:rPr>
        <w:t>NOC</w:t>
      </w:r>
      <w:r>
        <w:rPr>
          <w:spacing w:val="80"/>
          <w:sz w:val="24"/>
        </w:rPr>
        <w:t> </w:t>
      </w:r>
      <w:r>
        <w:rPr>
          <w:sz w:val="24"/>
        </w:rPr>
        <w:t>from</w:t>
      </w:r>
      <w:r>
        <w:rPr>
          <w:spacing w:val="80"/>
          <w:sz w:val="24"/>
        </w:rPr>
        <w:t> </w:t>
      </w:r>
      <w:r>
        <w:rPr>
          <w:sz w:val="24"/>
        </w:rPr>
        <w:t>Labour</w:t>
      </w:r>
      <w:r>
        <w:rPr>
          <w:spacing w:val="80"/>
          <w:sz w:val="24"/>
        </w:rPr>
        <w:t> </w:t>
      </w:r>
      <w:r>
        <w:rPr>
          <w:sz w:val="24"/>
        </w:rPr>
        <w:t>Commissioner</w:t>
      </w:r>
      <w:r>
        <w:rPr>
          <w:spacing w:val="80"/>
          <w:sz w:val="24"/>
        </w:rPr>
        <w:t> </w:t>
      </w:r>
      <w:r>
        <w:rPr>
          <w:sz w:val="24"/>
        </w:rPr>
        <w:t>will</w:t>
      </w:r>
      <w:r>
        <w:rPr>
          <w:spacing w:val="80"/>
          <w:sz w:val="24"/>
        </w:rPr>
        <w:t> </w:t>
      </w:r>
      <w:r>
        <w:rPr>
          <w:sz w:val="24"/>
        </w:rPr>
        <w:t>not be required.</w:t>
      </w:r>
    </w:p>
    <w:p>
      <w:pPr>
        <w:pStyle w:val="ListParagraph"/>
        <w:numPr>
          <w:ilvl w:val="0"/>
          <w:numId w:val="26"/>
        </w:numPr>
        <w:tabs>
          <w:tab w:pos="1798" w:val="left" w:leader="none"/>
        </w:tabs>
        <w:spacing w:line="281" w:lineRule="exact" w:before="0" w:after="0"/>
        <w:ind w:left="1798" w:right="0" w:hanging="358"/>
        <w:jc w:val="both"/>
        <w:rPr>
          <w:sz w:val="24"/>
        </w:rPr>
      </w:pPr>
      <w:r>
        <w:rPr>
          <w:sz w:val="24"/>
        </w:rPr>
        <w:t>If</w:t>
      </w:r>
      <w:r>
        <w:rPr>
          <w:spacing w:val="52"/>
          <w:sz w:val="24"/>
        </w:rPr>
        <w:t> </w:t>
      </w:r>
      <w:r>
        <w:rPr>
          <w:sz w:val="24"/>
        </w:rPr>
        <w:t>the</w:t>
      </w:r>
      <w:r>
        <w:rPr>
          <w:spacing w:val="52"/>
          <w:sz w:val="24"/>
        </w:rPr>
        <w:t> </w:t>
      </w:r>
      <w:r>
        <w:rPr>
          <w:sz w:val="24"/>
        </w:rPr>
        <w:t>land</w:t>
      </w:r>
      <w:r>
        <w:rPr>
          <w:spacing w:val="52"/>
          <w:sz w:val="24"/>
        </w:rPr>
        <w:t> </w:t>
      </w:r>
      <w:r>
        <w:rPr>
          <w:sz w:val="24"/>
        </w:rPr>
        <w:t>under</w:t>
      </w:r>
      <w:r>
        <w:rPr>
          <w:spacing w:val="52"/>
          <w:sz w:val="24"/>
        </w:rPr>
        <w:t> </w:t>
      </w:r>
      <w:r>
        <w:rPr>
          <w:sz w:val="24"/>
        </w:rPr>
        <w:t>such</w:t>
      </w:r>
      <w:r>
        <w:rPr>
          <w:spacing w:val="52"/>
          <w:sz w:val="24"/>
        </w:rPr>
        <w:t> </w:t>
      </w:r>
      <w:r>
        <w:rPr>
          <w:sz w:val="24"/>
        </w:rPr>
        <w:t>conversion</w:t>
      </w:r>
      <w:r>
        <w:rPr>
          <w:spacing w:val="57"/>
          <w:sz w:val="24"/>
        </w:rPr>
        <w:t> </w:t>
      </w:r>
      <w:r>
        <w:rPr>
          <w:spacing w:val="-2"/>
          <w:sz w:val="24"/>
        </w:rPr>
        <w:t>admeasures</w:t>
      </w:r>
    </w:p>
    <w:p>
      <w:pPr>
        <w:pStyle w:val="ListParagraph"/>
        <w:numPr>
          <w:ilvl w:val="1"/>
          <w:numId w:val="26"/>
        </w:numPr>
        <w:tabs>
          <w:tab w:pos="2520" w:val="left" w:leader="none"/>
        </w:tabs>
        <w:spacing w:line="240" w:lineRule="auto" w:before="0" w:after="0"/>
        <w:ind w:left="2520" w:right="1078" w:hanging="720"/>
        <w:jc w:val="both"/>
        <w:rPr>
          <w:sz w:val="24"/>
        </w:rPr>
      </w:pPr>
      <w:r>
        <w:rPr>
          <w:sz w:val="24"/>
        </w:rPr>
        <w:t>less than 2000 sq. m, either 10% amenity in the form of open land or</w:t>
      </w:r>
      <w:r>
        <w:rPr>
          <w:spacing w:val="80"/>
          <w:sz w:val="24"/>
        </w:rPr>
        <w:t> </w:t>
      </w:r>
      <w:r>
        <w:rPr>
          <w:sz w:val="24"/>
        </w:rPr>
        <w:t>5% of built up area worked out at Zonal (basic) FSI</w:t>
      </w:r>
      <w:r>
        <w:rPr>
          <w:spacing w:val="80"/>
          <w:sz w:val="24"/>
        </w:rPr>
        <w:t> </w:t>
      </w:r>
      <w:r>
        <w:rPr>
          <w:sz w:val="24"/>
        </w:rPr>
        <w:t>in the proposed construction and</w:t>
      </w:r>
      <w:r>
        <w:rPr>
          <w:spacing w:val="40"/>
          <w:sz w:val="24"/>
        </w:rPr>
        <w:t> </w:t>
      </w:r>
      <w:r>
        <w:rPr>
          <w:sz w:val="24"/>
        </w:rPr>
        <w:t>appropriate location</w:t>
      </w:r>
      <w:r>
        <w:rPr>
          <w:spacing w:val="40"/>
          <w:sz w:val="24"/>
        </w:rPr>
        <w:t> </w:t>
      </w:r>
      <w:r>
        <w:rPr>
          <w:sz w:val="24"/>
        </w:rPr>
        <w:t>preferably on</w:t>
      </w:r>
      <w:r>
        <w:rPr>
          <w:spacing w:val="-6"/>
          <w:sz w:val="24"/>
        </w:rPr>
        <w:t> </w:t>
      </w:r>
      <w:r>
        <w:rPr>
          <w:sz w:val="24"/>
        </w:rPr>
        <w:t>ground</w:t>
      </w:r>
      <w:r>
        <w:rPr>
          <w:spacing w:val="-6"/>
          <w:sz w:val="24"/>
        </w:rPr>
        <w:t> </w:t>
      </w:r>
      <w:r>
        <w:rPr>
          <w:sz w:val="24"/>
        </w:rPr>
        <w:t>floor</w:t>
      </w:r>
      <w:r>
        <w:rPr>
          <w:spacing w:val="-5"/>
          <w:sz w:val="24"/>
        </w:rPr>
        <w:t> </w:t>
      </w:r>
      <w:r>
        <w:rPr>
          <w:sz w:val="24"/>
        </w:rPr>
        <w:t>shall</w:t>
      </w:r>
      <w:r>
        <w:rPr>
          <w:spacing w:val="-7"/>
          <w:sz w:val="24"/>
        </w:rPr>
        <w:t> </w:t>
      </w:r>
      <w:r>
        <w:rPr>
          <w:sz w:val="24"/>
        </w:rPr>
        <w:t>be</w:t>
      </w:r>
      <w:r>
        <w:rPr>
          <w:spacing w:val="-6"/>
          <w:sz w:val="24"/>
        </w:rPr>
        <w:t> </w:t>
      </w:r>
      <w:r>
        <w:rPr>
          <w:sz w:val="24"/>
        </w:rPr>
        <w:t>handed</w:t>
      </w:r>
      <w:r>
        <w:rPr>
          <w:spacing w:val="-6"/>
          <w:sz w:val="24"/>
        </w:rPr>
        <w:t> </w:t>
      </w:r>
      <w:r>
        <w:rPr>
          <w:sz w:val="24"/>
        </w:rPr>
        <w:t>over</w:t>
      </w:r>
      <w:r>
        <w:rPr>
          <w:spacing w:val="-6"/>
          <w:sz w:val="24"/>
        </w:rPr>
        <w:t> </w:t>
      </w:r>
      <w:r>
        <w:rPr>
          <w:sz w:val="24"/>
        </w:rPr>
        <w:t>to</w:t>
      </w:r>
      <w:r>
        <w:rPr>
          <w:spacing w:val="-7"/>
          <w:sz w:val="24"/>
        </w:rPr>
        <w:t> </w:t>
      </w:r>
      <w:r>
        <w:rPr>
          <w:sz w:val="24"/>
        </w:rPr>
        <w:t>MCGM</w:t>
      </w:r>
      <w:r>
        <w:rPr>
          <w:spacing w:val="-6"/>
          <w:sz w:val="24"/>
        </w:rPr>
        <w:t> </w:t>
      </w:r>
      <w:r>
        <w:rPr>
          <w:sz w:val="24"/>
        </w:rPr>
        <w:t>free</w:t>
      </w:r>
      <w:r>
        <w:rPr>
          <w:spacing w:val="-6"/>
          <w:sz w:val="24"/>
        </w:rPr>
        <w:t> </w:t>
      </w:r>
      <w:r>
        <w:rPr>
          <w:sz w:val="24"/>
        </w:rPr>
        <w:t>of</w:t>
      </w:r>
      <w:r>
        <w:rPr>
          <w:spacing w:val="-6"/>
          <w:sz w:val="24"/>
        </w:rPr>
        <w:t> </w:t>
      </w:r>
      <w:r>
        <w:rPr>
          <w:sz w:val="24"/>
        </w:rPr>
        <w:t>cost</w:t>
      </w:r>
      <w:r>
        <w:rPr>
          <w:spacing w:val="-6"/>
          <w:sz w:val="24"/>
        </w:rPr>
        <w:t> </w:t>
      </w:r>
      <w:r>
        <w:rPr>
          <w:sz w:val="24"/>
        </w:rPr>
        <w:t>in</w:t>
      </w:r>
      <w:r>
        <w:rPr>
          <w:spacing w:val="-7"/>
          <w:sz w:val="24"/>
        </w:rPr>
        <w:t> </w:t>
      </w:r>
      <w:r>
        <w:rPr>
          <w:sz w:val="24"/>
        </w:rPr>
        <w:t>the form of residential or commercial premises. Such areas shall be over and above the FSI permissible on the plot. BUA in lieu of cost of construction of built up amenity to be handed over shall be as per the provisions of Regulation number 17(1) note 1(d).</w:t>
      </w:r>
    </w:p>
    <w:p>
      <w:pPr>
        <w:pStyle w:val="ListParagraph"/>
        <w:numPr>
          <w:ilvl w:val="1"/>
          <w:numId w:val="26"/>
        </w:numPr>
        <w:tabs>
          <w:tab w:pos="2520" w:val="left" w:leader="none"/>
        </w:tabs>
        <w:spacing w:line="240" w:lineRule="auto" w:before="1" w:after="0"/>
        <w:ind w:left="2520" w:right="1079" w:hanging="720"/>
        <w:jc w:val="both"/>
        <w:rPr>
          <w:sz w:val="24"/>
        </w:rPr>
      </w:pPr>
      <w:r>
        <w:rPr>
          <w:sz w:val="24"/>
        </w:rPr>
        <w:t>Equal</w:t>
      </w:r>
      <w:r>
        <w:rPr>
          <w:spacing w:val="-8"/>
          <w:sz w:val="24"/>
        </w:rPr>
        <w:t> </w:t>
      </w:r>
      <w:r>
        <w:rPr>
          <w:sz w:val="24"/>
        </w:rPr>
        <w:t>to</w:t>
      </w:r>
      <w:r>
        <w:rPr>
          <w:spacing w:val="-8"/>
          <w:sz w:val="24"/>
        </w:rPr>
        <w:t> </w:t>
      </w:r>
      <w:r>
        <w:rPr>
          <w:sz w:val="24"/>
        </w:rPr>
        <w:t>2000</w:t>
      </w:r>
      <w:r>
        <w:rPr>
          <w:spacing w:val="-8"/>
          <w:sz w:val="24"/>
        </w:rPr>
        <w:t> </w:t>
      </w:r>
      <w:r>
        <w:rPr>
          <w:sz w:val="24"/>
        </w:rPr>
        <w:t>sq.</w:t>
      </w:r>
      <w:r>
        <w:rPr>
          <w:spacing w:val="-8"/>
          <w:sz w:val="24"/>
        </w:rPr>
        <w:t> </w:t>
      </w:r>
      <w:r>
        <w:rPr>
          <w:sz w:val="24"/>
        </w:rPr>
        <w:t>m</w:t>
      </w:r>
      <w:r>
        <w:rPr>
          <w:spacing w:val="-6"/>
          <w:sz w:val="24"/>
        </w:rPr>
        <w:t> </w:t>
      </w:r>
      <w:r>
        <w:rPr>
          <w:sz w:val="24"/>
        </w:rPr>
        <w:t>or</w:t>
      </w:r>
      <w:r>
        <w:rPr>
          <w:spacing w:val="-8"/>
          <w:sz w:val="24"/>
        </w:rPr>
        <w:t> </w:t>
      </w:r>
      <w:r>
        <w:rPr>
          <w:sz w:val="24"/>
        </w:rPr>
        <w:t>more</w:t>
      </w:r>
      <w:r>
        <w:rPr>
          <w:spacing w:val="-8"/>
          <w:sz w:val="24"/>
        </w:rPr>
        <w:t> </w:t>
      </w:r>
      <w:r>
        <w:rPr>
          <w:sz w:val="24"/>
        </w:rPr>
        <w:t>amenity</w:t>
      </w:r>
      <w:r>
        <w:rPr>
          <w:spacing w:val="-8"/>
          <w:sz w:val="24"/>
        </w:rPr>
        <w:t> </w:t>
      </w:r>
      <w:r>
        <w:rPr>
          <w:sz w:val="24"/>
        </w:rPr>
        <w:t>e</w:t>
      </w:r>
      <w:r>
        <w:rPr>
          <w:spacing w:val="-8"/>
          <w:sz w:val="24"/>
        </w:rPr>
        <w:t> </w:t>
      </w:r>
      <w:r>
        <w:rPr>
          <w:sz w:val="24"/>
        </w:rPr>
        <w:t>area</w:t>
      </w:r>
      <w:r>
        <w:rPr>
          <w:spacing w:val="-8"/>
          <w:sz w:val="24"/>
        </w:rPr>
        <w:t> </w:t>
      </w:r>
      <w:r>
        <w:rPr>
          <w:sz w:val="24"/>
        </w:rPr>
        <w:t>to</w:t>
      </w:r>
      <w:r>
        <w:rPr>
          <w:spacing w:val="-8"/>
          <w:sz w:val="24"/>
        </w:rPr>
        <w:t> </w:t>
      </w:r>
      <w:r>
        <w:rPr>
          <w:sz w:val="24"/>
        </w:rPr>
        <w:t>be</w:t>
      </w:r>
      <w:r>
        <w:rPr>
          <w:spacing w:val="-8"/>
          <w:sz w:val="24"/>
        </w:rPr>
        <w:t> </w:t>
      </w:r>
      <w:r>
        <w:rPr>
          <w:sz w:val="24"/>
        </w:rPr>
        <w:t>handed</w:t>
      </w:r>
      <w:r>
        <w:rPr>
          <w:spacing w:val="-8"/>
          <w:sz w:val="24"/>
        </w:rPr>
        <w:t> </w:t>
      </w:r>
      <w:r>
        <w:rPr>
          <w:sz w:val="24"/>
        </w:rPr>
        <w:t>over</w:t>
      </w:r>
      <w:r>
        <w:rPr>
          <w:spacing w:val="-6"/>
          <w:sz w:val="24"/>
        </w:rPr>
        <w:t> </w:t>
      </w:r>
      <w:r>
        <w:rPr>
          <w:sz w:val="24"/>
        </w:rPr>
        <w:t>to MCGM shall be as detailed below-</w:t>
      </w:r>
    </w:p>
    <w:p>
      <w:pPr>
        <w:pStyle w:val="ListParagraph"/>
        <w:spacing w:after="0" w:line="240" w:lineRule="auto"/>
        <w:jc w:val="both"/>
        <w:rPr>
          <w:sz w:val="24"/>
        </w:rPr>
        <w:sectPr>
          <w:pgSz w:w="11910" w:h="16840"/>
          <w:pgMar w:header="746" w:footer="968" w:top="1180" w:bottom="1160" w:left="360" w:right="360"/>
        </w:sectPr>
      </w:pPr>
    </w:p>
    <w:p>
      <w:pPr>
        <w:pStyle w:val="BodyText"/>
        <w:spacing w:before="17"/>
        <w:jc w:val="left"/>
        <w:rPr>
          <w:sz w:val="20"/>
        </w:rPr>
      </w:pPr>
    </w:p>
    <w:tbl>
      <w:tblPr>
        <w:tblW w:w="0" w:type="auto"/>
        <w:jc w:val="left"/>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664"/>
        <w:gridCol w:w="3024"/>
        <w:gridCol w:w="2551"/>
      </w:tblGrid>
      <w:tr>
        <w:trPr>
          <w:trHeight w:val="945" w:hRule="atLeast"/>
        </w:trPr>
        <w:tc>
          <w:tcPr>
            <w:tcW w:w="571" w:type="dxa"/>
            <w:shd w:val="clear" w:color="auto" w:fill="EDEBE0"/>
          </w:tcPr>
          <w:p>
            <w:pPr>
              <w:pStyle w:val="TableParagraph"/>
              <w:spacing w:before="116"/>
              <w:ind w:left="148" w:right="123" w:hanging="10"/>
              <w:rPr>
                <w:b/>
                <w:sz w:val="20"/>
              </w:rPr>
            </w:pPr>
            <w:r>
              <w:rPr>
                <w:b/>
                <w:spacing w:val="-4"/>
                <w:sz w:val="20"/>
              </w:rPr>
              <w:t>Sr. </w:t>
            </w:r>
            <w:r>
              <w:rPr>
                <w:b/>
                <w:spacing w:val="-5"/>
                <w:sz w:val="20"/>
              </w:rPr>
              <w:t>No</w:t>
            </w:r>
          </w:p>
        </w:tc>
        <w:tc>
          <w:tcPr>
            <w:tcW w:w="2664" w:type="dxa"/>
            <w:shd w:val="clear" w:color="auto" w:fill="EDEBE0"/>
          </w:tcPr>
          <w:p>
            <w:pPr>
              <w:pStyle w:val="TableParagraph"/>
              <w:spacing w:before="116"/>
              <w:ind w:left="760" w:right="50" w:hanging="84"/>
              <w:rPr>
                <w:b/>
                <w:sz w:val="20"/>
              </w:rPr>
            </w:pPr>
            <w:r>
              <w:rPr>
                <w:b/>
                <w:sz w:val="20"/>
              </w:rPr>
              <w:t>Plot</w:t>
            </w:r>
            <w:r>
              <w:rPr>
                <w:b/>
                <w:spacing w:val="-17"/>
                <w:sz w:val="20"/>
              </w:rPr>
              <w:t> </w:t>
            </w:r>
            <w:r>
              <w:rPr>
                <w:b/>
                <w:sz w:val="20"/>
              </w:rPr>
              <w:t>Area</w:t>
            </w:r>
            <w:r>
              <w:rPr>
                <w:b/>
                <w:spacing w:val="-17"/>
                <w:sz w:val="20"/>
              </w:rPr>
              <w:t> </w:t>
            </w:r>
            <w:r>
              <w:rPr>
                <w:b/>
                <w:sz w:val="20"/>
              </w:rPr>
              <w:t>for </w:t>
            </w:r>
            <w:r>
              <w:rPr>
                <w:b/>
                <w:spacing w:val="-2"/>
                <w:sz w:val="20"/>
              </w:rPr>
              <w:t>conversion</w:t>
            </w:r>
          </w:p>
        </w:tc>
        <w:tc>
          <w:tcPr>
            <w:tcW w:w="3024" w:type="dxa"/>
            <w:shd w:val="clear" w:color="auto" w:fill="EDEBE0"/>
          </w:tcPr>
          <w:p>
            <w:pPr>
              <w:pStyle w:val="TableParagraph"/>
              <w:ind w:left="125" w:right="112"/>
              <w:jc w:val="center"/>
              <w:rPr>
                <w:b/>
                <w:sz w:val="20"/>
              </w:rPr>
            </w:pPr>
            <w:r>
              <w:rPr>
                <w:b/>
                <w:sz w:val="20"/>
              </w:rPr>
              <w:t>%</w:t>
            </w:r>
            <w:r>
              <w:rPr>
                <w:b/>
                <w:spacing w:val="-9"/>
                <w:sz w:val="20"/>
              </w:rPr>
              <w:t> </w:t>
            </w:r>
            <w:r>
              <w:rPr>
                <w:b/>
                <w:sz w:val="20"/>
              </w:rPr>
              <w:t>of</w:t>
            </w:r>
            <w:r>
              <w:rPr>
                <w:b/>
                <w:spacing w:val="-7"/>
                <w:sz w:val="20"/>
              </w:rPr>
              <w:t> </w:t>
            </w:r>
            <w:r>
              <w:rPr>
                <w:b/>
                <w:sz w:val="20"/>
              </w:rPr>
              <w:t>land</w:t>
            </w:r>
            <w:r>
              <w:rPr>
                <w:b/>
                <w:spacing w:val="-7"/>
                <w:sz w:val="20"/>
              </w:rPr>
              <w:t> </w:t>
            </w:r>
            <w:r>
              <w:rPr>
                <w:b/>
                <w:sz w:val="20"/>
              </w:rPr>
              <w:t>area</w:t>
            </w:r>
            <w:r>
              <w:rPr>
                <w:b/>
                <w:spacing w:val="-10"/>
                <w:sz w:val="20"/>
              </w:rPr>
              <w:t> </w:t>
            </w:r>
            <w:r>
              <w:rPr>
                <w:b/>
                <w:sz w:val="20"/>
              </w:rPr>
              <w:t>as</w:t>
            </w:r>
            <w:r>
              <w:rPr>
                <w:b/>
                <w:spacing w:val="-10"/>
                <w:sz w:val="20"/>
              </w:rPr>
              <w:t> </w:t>
            </w:r>
            <w:r>
              <w:rPr>
                <w:b/>
                <w:sz w:val="20"/>
              </w:rPr>
              <w:t>Amenity to be handed over to </w:t>
            </w:r>
            <w:r>
              <w:rPr>
                <w:b/>
                <w:spacing w:val="-4"/>
                <w:sz w:val="20"/>
              </w:rPr>
              <w:t>MCGM</w:t>
            </w:r>
          </w:p>
        </w:tc>
        <w:tc>
          <w:tcPr>
            <w:tcW w:w="2551" w:type="dxa"/>
            <w:shd w:val="clear" w:color="auto" w:fill="EDEBE0"/>
          </w:tcPr>
          <w:p>
            <w:pPr>
              <w:pStyle w:val="TableParagraph"/>
              <w:spacing w:before="234"/>
              <w:ind w:left="759"/>
              <w:rPr>
                <w:b/>
                <w:sz w:val="20"/>
              </w:rPr>
            </w:pPr>
            <w:r>
              <w:rPr>
                <w:b/>
                <w:spacing w:val="-2"/>
                <w:sz w:val="20"/>
              </w:rPr>
              <w:t>Condition</w:t>
            </w:r>
          </w:p>
        </w:tc>
      </w:tr>
      <w:tr>
        <w:trPr>
          <w:trHeight w:val="662" w:hRule="atLeast"/>
        </w:trPr>
        <w:tc>
          <w:tcPr>
            <w:tcW w:w="571" w:type="dxa"/>
          </w:tcPr>
          <w:p>
            <w:pPr>
              <w:pStyle w:val="TableParagraph"/>
              <w:spacing w:line="209" w:lineRule="exact"/>
              <w:ind w:left="107"/>
              <w:rPr>
                <w:sz w:val="18"/>
              </w:rPr>
            </w:pPr>
            <w:r>
              <w:rPr>
                <w:spacing w:val="-10"/>
                <w:sz w:val="18"/>
              </w:rPr>
              <w:t>1</w:t>
            </w:r>
          </w:p>
        </w:tc>
        <w:tc>
          <w:tcPr>
            <w:tcW w:w="2664" w:type="dxa"/>
          </w:tcPr>
          <w:p>
            <w:pPr>
              <w:pStyle w:val="TableParagraph"/>
              <w:ind w:left="107" w:right="50"/>
              <w:rPr>
                <w:sz w:val="18"/>
              </w:rPr>
            </w:pPr>
            <w:r>
              <w:rPr>
                <w:sz w:val="18"/>
              </w:rPr>
              <w:t>2000</w:t>
            </w:r>
            <w:r>
              <w:rPr>
                <w:spacing w:val="80"/>
                <w:sz w:val="18"/>
              </w:rPr>
              <w:t> </w:t>
            </w:r>
            <w:r>
              <w:rPr>
                <w:sz w:val="18"/>
              </w:rPr>
              <w:t>sq.</w:t>
            </w:r>
            <w:r>
              <w:rPr>
                <w:spacing w:val="35"/>
                <w:sz w:val="18"/>
              </w:rPr>
              <w:t> </w:t>
            </w:r>
            <w:r>
              <w:rPr>
                <w:sz w:val="18"/>
              </w:rPr>
              <w:t>m</w:t>
            </w:r>
            <w:r>
              <w:rPr>
                <w:spacing w:val="36"/>
                <w:sz w:val="18"/>
              </w:rPr>
              <w:t> </w:t>
            </w:r>
            <w:r>
              <w:rPr>
                <w:sz w:val="18"/>
              </w:rPr>
              <w:t>or</w:t>
            </w:r>
            <w:r>
              <w:rPr>
                <w:spacing w:val="35"/>
                <w:sz w:val="18"/>
              </w:rPr>
              <w:t> </w:t>
            </w:r>
            <w:r>
              <w:rPr>
                <w:sz w:val="18"/>
              </w:rPr>
              <w:t>more,</w:t>
            </w:r>
            <w:r>
              <w:rPr>
                <w:spacing w:val="35"/>
                <w:sz w:val="18"/>
              </w:rPr>
              <w:t> </w:t>
            </w:r>
            <w:r>
              <w:rPr>
                <w:sz w:val="18"/>
              </w:rPr>
              <w:t>but less than 2 ha</w:t>
            </w:r>
          </w:p>
        </w:tc>
        <w:tc>
          <w:tcPr>
            <w:tcW w:w="3024" w:type="dxa"/>
          </w:tcPr>
          <w:p>
            <w:pPr>
              <w:pStyle w:val="TableParagraph"/>
              <w:spacing w:line="209" w:lineRule="exact"/>
              <w:ind w:left="125" w:right="114"/>
              <w:jc w:val="center"/>
              <w:rPr>
                <w:sz w:val="18"/>
              </w:rPr>
            </w:pPr>
            <w:r>
              <w:rPr>
                <w:spacing w:val="-5"/>
                <w:sz w:val="18"/>
              </w:rPr>
              <w:t>10</w:t>
            </w:r>
          </w:p>
        </w:tc>
        <w:tc>
          <w:tcPr>
            <w:tcW w:w="2551" w:type="dxa"/>
          </w:tcPr>
          <w:p>
            <w:pPr>
              <w:pStyle w:val="TableParagraph"/>
              <w:ind w:left="108"/>
              <w:rPr>
                <w:sz w:val="18"/>
              </w:rPr>
            </w:pPr>
            <w:r>
              <w:rPr>
                <w:sz w:val="18"/>
              </w:rPr>
              <w:t>Entire</w:t>
            </w:r>
            <w:r>
              <w:rPr>
                <w:spacing w:val="-9"/>
                <w:sz w:val="18"/>
              </w:rPr>
              <w:t> </w:t>
            </w:r>
            <w:r>
              <w:rPr>
                <w:sz w:val="18"/>
              </w:rPr>
              <w:t>amenity</w:t>
            </w:r>
            <w:r>
              <w:rPr>
                <w:spacing w:val="40"/>
                <w:sz w:val="18"/>
              </w:rPr>
              <w:t> </w:t>
            </w:r>
            <w:r>
              <w:rPr>
                <w:sz w:val="18"/>
              </w:rPr>
              <w:t>shall</w:t>
            </w:r>
            <w:r>
              <w:rPr>
                <w:spacing w:val="-11"/>
                <w:sz w:val="18"/>
              </w:rPr>
              <w:t> </w:t>
            </w:r>
            <w:r>
              <w:rPr>
                <w:sz w:val="18"/>
              </w:rPr>
              <w:t>be designated as POS</w:t>
            </w:r>
          </w:p>
        </w:tc>
      </w:tr>
      <w:tr>
        <w:trPr>
          <w:trHeight w:val="661" w:hRule="atLeast"/>
        </w:trPr>
        <w:tc>
          <w:tcPr>
            <w:tcW w:w="571" w:type="dxa"/>
          </w:tcPr>
          <w:p>
            <w:pPr>
              <w:pStyle w:val="TableParagraph"/>
              <w:spacing w:line="209" w:lineRule="exact"/>
              <w:ind w:left="107"/>
              <w:rPr>
                <w:sz w:val="18"/>
              </w:rPr>
            </w:pPr>
            <w:r>
              <w:rPr>
                <w:spacing w:val="-10"/>
                <w:sz w:val="18"/>
              </w:rPr>
              <w:t>2</w:t>
            </w:r>
          </w:p>
        </w:tc>
        <w:tc>
          <w:tcPr>
            <w:tcW w:w="2664" w:type="dxa"/>
          </w:tcPr>
          <w:p>
            <w:pPr>
              <w:pStyle w:val="TableParagraph"/>
              <w:ind w:left="107" w:right="50"/>
              <w:rPr>
                <w:sz w:val="18"/>
              </w:rPr>
            </w:pPr>
            <w:r>
              <w:rPr>
                <w:sz w:val="18"/>
              </w:rPr>
              <w:t>2 ha or</w:t>
            </w:r>
            <w:r>
              <w:rPr>
                <w:spacing w:val="-2"/>
                <w:sz w:val="18"/>
              </w:rPr>
              <w:t> </w:t>
            </w:r>
            <w:r>
              <w:rPr>
                <w:sz w:val="18"/>
              </w:rPr>
              <w:t>more, but</w:t>
            </w:r>
            <w:r>
              <w:rPr>
                <w:spacing w:val="-1"/>
                <w:sz w:val="18"/>
              </w:rPr>
              <w:t> </w:t>
            </w:r>
            <w:r>
              <w:rPr>
                <w:sz w:val="18"/>
              </w:rPr>
              <w:t>less </w:t>
            </w:r>
            <w:r>
              <w:rPr>
                <w:sz w:val="18"/>
              </w:rPr>
              <w:t>tha</w:t>
            </w:r>
            <w:r>
              <w:rPr>
                <w:sz w:val="18"/>
              </w:rPr>
              <w:t>n 5 ha</w:t>
            </w:r>
          </w:p>
        </w:tc>
        <w:tc>
          <w:tcPr>
            <w:tcW w:w="3024" w:type="dxa"/>
          </w:tcPr>
          <w:p>
            <w:pPr>
              <w:pStyle w:val="TableParagraph"/>
              <w:ind w:left="108" w:firstLine="57"/>
              <w:rPr>
                <w:sz w:val="18"/>
              </w:rPr>
            </w:pPr>
            <w:r>
              <w:rPr>
                <w:sz w:val="18"/>
              </w:rPr>
              <w:t>2000 plus 20% of plot area in excess of 2 ha</w:t>
            </w:r>
          </w:p>
        </w:tc>
        <w:tc>
          <w:tcPr>
            <w:tcW w:w="2551" w:type="dxa"/>
            <w:vMerge w:val="restart"/>
          </w:tcPr>
          <w:p>
            <w:pPr>
              <w:pStyle w:val="TableParagraph"/>
              <w:ind w:left="108" w:right="126"/>
              <w:rPr>
                <w:sz w:val="18"/>
              </w:rPr>
            </w:pPr>
            <w:r>
              <w:rPr>
                <w:sz w:val="18"/>
              </w:rPr>
              <w:t>At</w:t>
            </w:r>
            <w:r>
              <w:rPr>
                <w:spacing w:val="-11"/>
                <w:sz w:val="18"/>
              </w:rPr>
              <w:t> </w:t>
            </w:r>
            <w:r>
              <w:rPr>
                <w:sz w:val="18"/>
              </w:rPr>
              <w:t>least</w:t>
            </w:r>
            <w:r>
              <w:rPr>
                <w:spacing w:val="-11"/>
                <w:sz w:val="18"/>
              </w:rPr>
              <w:t> </w:t>
            </w:r>
            <w:r>
              <w:rPr>
                <w:sz w:val="18"/>
              </w:rPr>
              <w:t>50%</w:t>
            </w:r>
            <w:r>
              <w:rPr>
                <w:spacing w:val="-8"/>
                <w:sz w:val="18"/>
              </w:rPr>
              <w:t> </w:t>
            </w:r>
            <w:r>
              <w:rPr>
                <w:sz w:val="18"/>
              </w:rPr>
              <w:t>of</w:t>
            </w:r>
            <w:r>
              <w:rPr>
                <w:spacing w:val="-9"/>
                <w:sz w:val="18"/>
              </w:rPr>
              <w:t> </w:t>
            </w:r>
            <w:r>
              <w:rPr>
                <w:sz w:val="18"/>
              </w:rPr>
              <w:t>the amenity shall be designated</w:t>
            </w:r>
            <w:r>
              <w:rPr>
                <w:spacing w:val="-7"/>
                <w:sz w:val="18"/>
              </w:rPr>
              <w:t> </w:t>
            </w:r>
            <w:r>
              <w:rPr>
                <w:sz w:val="18"/>
              </w:rPr>
              <w:t>as</w:t>
            </w:r>
            <w:r>
              <w:rPr>
                <w:spacing w:val="-5"/>
                <w:sz w:val="18"/>
              </w:rPr>
              <w:t> </w:t>
            </w:r>
            <w:r>
              <w:rPr>
                <w:sz w:val="18"/>
              </w:rPr>
              <w:t>POS </w:t>
            </w:r>
            <w:r>
              <w:rPr>
                <w:spacing w:val="-2"/>
                <w:sz w:val="18"/>
              </w:rPr>
              <w:t>reservation.</w:t>
            </w:r>
          </w:p>
        </w:tc>
      </w:tr>
      <w:tr>
        <w:trPr>
          <w:trHeight w:val="674" w:hRule="atLeast"/>
        </w:trPr>
        <w:tc>
          <w:tcPr>
            <w:tcW w:w="571" w:type="dxa"/>
          </w:tcPr>
          <w:p>
            <w:pPr>
              <w:pStyle w:val="TableParagraph"/>
              <w:spacing w:line="281" w:lineRule="exact"/>
              <w:ind w:left="107"/>
              <w:rPr>
                <w:sz w:val="24"/>
              </w:rPr>
            </w:pPr>
            <w:r>
              <w:rPr>
                <w:spacing w:val="-10"/>
                <w:sz w:val="24"/>
              </w:rPr>
              <w:t>3</w:t>
            </w:r>
          </w:p>
        </w:tc>
        <w:tc>
          <w:tcPr>
            <w:tcW w:w="2664" w:type="dxa"/>
          </w:tcPr>
          <w:p>
            <w:pPr>
              <w:pStyle w:val="TableParagraph"/>
              <w:spacing w:line="209" w:lineRule="exact"/>
              <w:ind w:left="107"/>
              <w:rPr>
                <w:sz w:val="18"/>
              </w:rPr>
            </w:pPr>
            <w:r>
              <w:rPr>
                <w:sz w:val="18"/>
              </w:rPr>
              <w:t>5</w:t>
            </w:r>
            <w:r>
              <w:rPr>
                <w:spacing w:val="-1"/>
                <w:sz w:val="18"/>
              </w:rPr>
              <w:t> </w:t>
            </w:r>
            <w:r>
              <w:rPr>
                <w:sz w:val="18"/>
              </w:rPr>
              <w:t>ha</w:t>
            </w:r>
            <w:r>
              <w:rPr>
                <w:spacing w:val="1"/>
                <w:sz w:val="18"/>
              </w:rPr>
              <w:t> </w:t>
            </w:r>
            <w:r>
              <w:rPr>
                <w:sz w:val="18"/>
              </w:rPr>
              <w:t>or</w:t>
            </w:r>
            <w:r>
              <w:rPr>
                <w:spacing w:val="-2"/>
                <w:sz w:val="18"/>
              </w:rPr>
              <w:t> </w:t>
            </w:r>
            <w:r>
              <w:rPr>
                <w:spacing w:val="-4"/>
                <w:sz w:val="18"/>
              </w:rPr>
              <w:t>more</w:t>
            </w:r>
          </w:p>
        </w:tc>
        <w:tc>
          <w:tcPr>
            <w:tcW w:w="3024" w:type="dxa"/>
          </w:tcPr>
          <w:p>
            <w:pPr>
              <w:pStyle w:val="TableParagraph"/>
              <w:ind w:left="108" w:firstLine="57"/>
              <w:rPr>
                <w:sz w:val="18"/>
              </w:rPr>
            </w:pPr>
            <w:r>
              <w:rPr>
                <w:sz w:val="18"/>
              </w:rPr>
              <w:t>8000</w:t>
            </w:r>
            <w:r>
              <w:rPr>
                <w:spacing w:val="-5"/>
                <w:sz w:val="18"/>
              </w:rPr>
              <w:t> </w:t>
            </w:r>
            <w:r>
              <w:rPr>
                <w:sz w:val="18"/>
              </w:rPr>
              <w:t>plus</w:t>
            </w:r>
            <w:r>
              <w:rPr>
                <w:spacing w:val="-6"/>
                <w:sz w:val="18"/>
              </w:rPr>
              <w:t> </w:t>
            </w:r>
            <w:r>
              <w:rPr>
                <w:sz w:val="18"/>
              </w:rPr>
              <w:t>25%</w:t>
            </w:r>
            <w:r>
              <w:rPr>
                <w:spacing w:val="-5"/>
                <w:sz w:val="18"/>
              </w:rPr>
              <w:t> </w:t>
            </w:r>
            <w:r>
              <w:rPr>
                <w:sz w:val="18"/>
              </w:rPr>
              <w:t>of</w:t>
            </w:r>
            <w:r>
              <w:rPr>
                <w:spacing w:val="-9"/>
                <w:sz w:val="18"/>
              </w:rPr>
              <w:t> </w:t>
            </w:r>
            <w:r>
              <w:rPr>
                <w:sz w:val="18"/>
              </w:rPr>
              <w:t>plot</w:t>
            </w:r>
            <w:r>
              <w:rPr>
                <w:spacing w:val="-8"/>
                <w:sz w:val="18"/>
              </w:rPr>
              <w:t> </w:t>
            </w:r>
            <w:r>
              <w:rPr>
                <w:sz w:val="18"/>
              </w:rPr>
              <w:t>area</w:t>
            </w:r>
            <w:r>
              <w:rPr>
                <w:spacing w:val="-8"/>
                <w:sz w:val="18"/>
              </w:rPr>
              <w:t> </w:t>
            </w:r>
            <w:r>
              <w:rPr>
                <w:sz w:val="18"/>
              </w:rPr>
              <w:t>in excess of 5 ha</w:t>
            </w:r>
          </w:p>
        </w:tc>
        <w:tc>
          <w:tcPr>
            <w:tcW w:w="2551" w:type="dxa"/>
            <w:vMerge/>
            <w:tcBorders>
              <w:top w:val="nil"/>
            </w:tcBorders>
          </w:tcPr>
          <w:p>
            <w:pPr>
              <w:rPr>
                <w:sz w:val="2"/>
                <w:szCs w:val="2"/>
              </w:rPr>
            </w:pPr>
          </w:p>
        </w:tc>
      </w:tr>
    </w:tbl>
    <w:p>
      <w:pPr>
        <w:pStyle w:val="BodyText"/>
        <w:ind w:left="1351" w:right="1079" w:firstLine="76"/>
      </w:pPr>
      <w:r>
        <w:rPr/>
        <w:t>However,</w:t>
      </w:r>
      <w:r>
        <w:rPr>
          <w:spacing w:val="-8"/>
        </w:rPr>
        <w:t> </w:t>
      </w:r>
      <w:r>
        <w:rPr/>
        <w:t>if</w:t>
      </w:r>
      <w:r>
        <w:rPr>
          <w:spacing w:val="-8"/>
        </w:rPr>
        <w:t> </w:t>
      </w:r>
      <w:r>
        <w:rPr/>
        <w:t>the</w:t>
      </w:r>
      <w:r>
        <w:rPr>
          <w:spacing w:val="-8"/>
        </w:rPr>
        <w:t> </w:t>
      </w:r>
      <w:r>
        <w:rPr/>
        <w:t>Developer</w:t>
      </w:r>
      <w:r>
        <w:rPr>
          <w:spacing w:val="-8"/>
        </w:rPr>
        <w:t> </w:t>
      </w:r>
      <w:r>
        <w:rPr/>
        <w:t>provide</w:t>
      </w:r>
      <w:r>
        <w:rPr>
          <w:spacing w:val="-8"/>
        </w:rPr>
        <w:t> </w:t>
      </w:r>
      <w:r>
        <w:rPr/>
        <w:t>constructed</w:t>
      </w:r>
      <w:r>
        <w:rPr>
          <w:spacing w:val="-8"/>
        </w:rPr>
        <w:t> </w:t>
      </w:r>
      <w:r>
        <w:rPr/>
        <w:t>amenity</w:t>
      </w:r>
      <w:r>
        <w:rPr>
          <w:spacing w:val="80"/>
          <w:w w:val="150"/>
        </w:rPr>
        <w:t> </w:t>
      </w:r>
      <w:r>
        <w:rPr/>
        <w:t>as</w:t>
      </w:r>
      <w:r>
        <w:rPr>
          <w:spacing w:val="-11"/>
        </w:rPr>
        <w:t> </w:t>
      </w:r>
      <w:r>
        <w:rPr/>
        <w:t>decided</w:t>
      </w:r>
      <w:r>
        <w:rPr>
          <w:spacing w:val="-8"/>
        </w:rPr>
        <w:t> </w:t>
      </w:r>
      <w:r>
        <w:rPr/>
        <w:t>by</w:t>
      </w:r>
      <w:r>
        <w:rPr>
          <w:spacing w:val="-8"/>
        </w:rPr>
        <w:t> </w:t>
      </w:r>
      <w:r>
        <w:rPr/>
        <w:t>the Commissioner on the plot to be handed over and Commissioner shall give due regard to amenity deficits in the ward. In such cases, TDR in lieu of cost of construction of built up amenity to be handed over shall be as per the provisions of Regulation number 17(1) note 1(d).</w:t>
      </w:r>
    </w:p>
    <w:p>
      <w:pPr>
        <w:pStyle w:val="BodyText"/>
        <w:spacing w:before="242"/>
        <w:jc w:val="left"/>
      </w:pPr>
    </w:p>
    <w:p>
      <w:pPr>
        <w:pStyle w:val="ListParagraph"/>
        <w:numPr>
          <w:ilvl w:val="0"/>
          <w:numId w:val="26"/>
        </w:numPr>
        <w:tabs>
          <w:tab w:pos="1815" w:val="left" w:leader="none"/>
        </w:tabs>
        <w:spacing w:line="240" w:lineRule="auto" w:before="0" w:after="0"/>
        <w:ind w:left="1351" w:right="1082" w:firstLine="76"/>
        <w:jc w:val="left"/>
        <w:rPr>
          <w:sz w:val="24"/>
        </w:rPr>
      </w:pPr>
      <w:r>
        <w:rPr>
          <w:sz w:val="24"/>
        </w:rPr>
        <w:t>These areas will be in addition to the LOS as required to be provided under Regulation No. 27.</w:t>
      </w:r>
    </w:p>
    <w:p>
      <w:pPr>
        <w:pStyle w:val="ListParagraph"/>
        <w:numPr>
          <w:ilvl w:val="0"/>
          <w:numId w:val="26"/>
        </w:numPr>
        <w:tabs>
          <w:tab w:pos="1531" w:val="left" w:leader="none"/>
          <w:tab w:pos="1799" w:val="left" w:leader="none"/>
        </w:tabs>
        <w:spacing w:line="240" w:lineRule="auto" w:before="239" w:after="0"/>
        <w:ind w:left="1531" w:right="1079" w:hanging="180"/>
        <w:jc w:val="both"/>
        <w:rPr>
          <w:sz w:val="24"/>
        </w:rPr>
      </w:pPr>
      <w:r>
        <w:rPr>
          <w:sz w:val="24"/>
        </w:rPr>
        <w:t>The required segregating distance as prescribed under these Regulations shall be provided within such land intended to be used for residential or commercial purposes.</w:t>
      </w:r>
    </w:p>
    <w:p>
      <w:pPr>
        <w:pStyle w:val="ListParagraph"/>
        <w:numPr>
          <w:ilvl w:val="0"/>
          <w:numId w:val="26"/>
        </w:numPr>
        <w:tabs>
          <w:tab w:pos="1531" w:val="left" w:leader="none"/>
          <w:tab w:pos="1571" w:val="left" w:leader="none"/>
        </w:tabs>
        <w:spacing w:line="240" w:lineRule="auto" w:before="239" w:after="0"/>
        <w:ind w:left="1531" w:right="1078" w:hanging="180"/>
        <w:jc w:val="left"/>
        <w:rPr>
          <w:sz w:val="24"/>
        </w:rPr>
      </w:pPr>
      <w:r>
        <w:rPr>
          <w:sz w:val="24"/>
        </w:rPr>
        <w:t>Such residential or commercial development shall be allowed within the permissible FSI of the adjoining Residential or Commercial Zone.</w:t>
      </w:r>
    </w:p>
    <w:p>
      <w:pPr>
        <w:pStyle w:val="ListParagraph"/>
        <w:numPr>
          <w:ilvl w:val="0"/>
          <w:numId w:val="26"/>
        </w:numPr>
        <w:tabs>
          <w:tab w:pos="1440" w:val="left" w:leader="none"/>
          <w:tab w:pos="1624" w:val="left" w:leader="none"/>
        </w:tabs>
        <w:spacing w:line="240" w:lineRule="auto" w:before="241" w:after="0"/>
        <w:ind w:left="1440" w:right="1076" w:hanging="89"/>
        <w:jc w:val="left"/>
        <w:rPr>
          <w:sz w:val="24"/>
        </w:rPr>
      </w:pPr>
      <w:r>
        <w:rPr>
          <w:sz w:val="24"/>
        </w:rPr>
        <w:t>Such provisions for public utilities, amenities shall be considered to be reservations in the DP.</w:t>
      </w:r>
    </w:p>
    <w:p>
      <w:pPr>
        <w:pStyle w:val="ListParagraph"/>
        <w:numPr>
          <w:ilvl w:val="0"/>
          <w:numId w:val="26"/>
        </w:numPr>
        <w:tabs>
          <w:tab w:pos="1531" w:val="left" w:leader="none"/>
          <w:tab w:pos="1783" w:val="left" w:leader="none"/>
        </w:tabs>
        <w:spacing w:line="240" w:lineRule="auto" w:before="241" w:after="0"/>
        <w:ind w:left="1531" w:right="1078" w:hanging="180"/>
        <w:jc w:val="both"/>
        <w:rPr>
          <w:sz w:val="24"/>
        </w:rPr>
      </w:pPr>
      <w:r>
        <w:rPr>
          <w:sz w:val="24"/>
        </w:rPr>
        <w:t>Public utility and amenity shall not be developed under AR as per Regulation No.17. The entire plot of amenity shall be developed entirely for the purpose of public amenity/POS as per sub regulation No 14(B)(c) ii above of this regulation.</w:t>
      </w:r>
    </w:p>
    <w:p>
      <w:pPr>
        <w:pStyle w:val="BodyText"/>
        <w:spacing w:before="241"/>
        <w:ind w:left="1080"/>
        <w:jc w:val="left"/>
      </w:pPr>
      <w:r>
        <w:rPr>
          <w:spacing w:val="-2"/>
        </w:rPr>
        <w:t>Note:</w:t>
      </w:r>
    </w:p>
    <w:p>
      <w:pPr>
        <w:pStyle w:val="ListParagraph"/>
        <w:numPr>
          <w:ilvl w:val="0"/>
          <w:numId w:val="27"/>
        </w:numPr>
        <w:tabs>
          <w:tab w:pos="1798" w:val="left" w:leader="none"/>
          <w:tab w:pos="1800" w:val="left" w:leader="none"/>
        </w:tabs>
        <w:spacing w:line="240" w:lineRule="auto" w:before="239" w:after="0"/>
        <w:ind w:left="1800" w:right="1076" w:hanging="437"/>
        <w:jc w:val="both"/>
        <w:rPr>
          <w:sz w:val="24"/>
        </w:rPr>
      </w:pPr>
      <w:r>
        <w:rPr>
          <w:sz w:val="24"/>
        </w:rPr>
        <w:t>Conversion from industrial zone to residential/commercial zone shall be applicable to the part area of land holding subject to the condition that</w:t>
      </w:r>
      <w:r>
        <w:rPr>
          <w:spacing w:val="-19"/>
          <w:sz w:val="24"/>
        </w:rPr>
        <w:t> </w:t>
      </w:r>
      <w:r>
        <w:rPr>
          <w:sz w:val="24"/>
        </w:rPr>
        <w:t>total</w:t>
      </w:r>
      <w:r>
        <w:rPr>
          <w:spacing w:val="-19"/>
          <w:sz w:val="24"/>
        </w:rPr>
        <w:t> </w:t>
      </w:r>
      <w:r>
        <w:rPr>
          <w:sz w:val="24"/>
        </w:rPr>
        <w:t>area</w:t>
      </w:r>
      <w:r>
        <w:rPr>
          <w:spacing w:val="-19"/>
          <w:sz w:val="24"/>
        </w:rPr>
        <w:t> </w:t>
      </w:r>
      <w:r>
        <w:rPr>
          <w:sz w:val="24"/>
        </w:rPr>
        <w:t>of</w:t>
      </w:r>
      <w:r>
        <w:rPr>
          <w:spacing w:val="-19"/>
          <w:sz w:val="24"/>
        </w:rPr>
        <w:t> </w:t>
      </w:r>
      <w:r>
        <w:rPr>
          <w:sz w:val="24"/>
        </w:rPr>
        <w:t>the</w:t>
      </w:r>
      <w:r>
        <w:rPr>
          <w:spacing w:val="-15"/>
          <w:sz w:val="24"/>
        </w:rPr>
        <w:t> </w:t>
      </w:r>
      <w:r>
        <w:rPr>
          <w:sz w:val="24"/>
        </w:rPr>
        <w:t>entire</w:t>
      </w:r>
      <w:r>
        <w:rPr>
          <w:spacing w:val="-19"/>
          <w:sz w:val="24"/>
        </w:rPr>
        <w:t> </w:t>
      </w:r>
      <w:r>
        <w:rPr>
          <w:sz w:val="24"/>
        </w:rPr>
        <w:t>land</w:t>
      </w:r>
      <w:r>
        <w:rPr>
          <w:spacing w:val="-19"/>
          <w:sz w:val="24"/>
        </w:rPr>
        <w:t> </w:t>
      </w:r>
      <w:r>
        <w:rPr>
          <w:sz w:val="24"/>
        </w:rPr>
        <w:t>holding</w:t>
      </w:r>
      <w:r>
        <w:rPr>
          <w:spacing w:val="-19"/>
          <w:sz w:val="24"/>
        </w:rPr>
        <w:t> </w:t>
      </w:r>
      <w:r>
        <w:rPr>
          <w:sz w:val="24"/>
        </w:rPr>
        <w:t>shall</w:t>
      </w:r>
      <w:r>
        <w:rPr>
          <w:spacing w:val="-19"/>
          <w:sz w:val="24"/>
        </w:rPr>
        <w:t> </w:t>
      </w:r>
      <w:r>
        <w:rPr>
          <w:sz w:val="24"/>
        </w:rPr>
        <w:t>be</w:t>
      </w:r>
      <w:r>
        <w:rPr>
          <w:spacing w:val="-19"/>
          <w:sz w:val="24"/>
        </w:rPr>
        <w:t> </w:t>
      </w:r>
      <w:r>
        <w:rPr>
          <w:sz w:val="24"/>
        </w:rPr>
        <w:t>considered</w:t>
      </w:r>
      <w:r>
        <w:rPr>
          <w:spacing w:val="-19"/>
          <w:sz w:val="24"/>
        </w:rPr>
        <w:t> </w:t>
      </w:r>
      <w:r>
        <w:rPr>
          <w:sz w:val="24"/>
        </w:rPr>
        <w:t>for</w:t>
      </w:r>
      <w:r>
        <w:rPr>
          <w:spacing w:val="-19"/>
          <w:sz w:val="24"/>
        </w:rPr>
        <w:t> </w:t>
      </w:r>
      <w:r>
        <w:rPr>
          <w:sz w:val="24"/>
        </w:rPr>
        <w:t>deciding the payment of premium and percentage of land to be reserved for amenity</w:t>
      </w:r>
      <w:r>
        <w:rPr>
          <w:spacing w:val="-2"/>
          <w:sz w:val="24"/>
        </w:rPr>
        <w:t> </w:t>
      </w:r>
      <w:r>
        <w:rPr>
          <w:sz w:val="24"/>
        </w:rPr>
        <w:t>,</w:t>
      </w:r>
      <w:r>
        <w:rPr>
          <w:spacing w:val="-2"/>
          <w:sz w:val="24"/>
        </w:rPr>
        <w:t> </w:t>
      </w:r>
      <w:r>
        <w:rPr>
          <w:sz w:val="24"/>
        </w:rPr>
        <w:t>as</w:t>
      </w:r>
      <w:r>
        <w:rPr>
          <w:spacing w:val="-2"/>
          <w:sz w:val="24"/>
        </w:rPr>
        <w:t> </w:t>
      </w:r>
      <w:r>
        <w:rPr>
          <w:sz w:val="24"/>
        </w:rPr>
        <w:t>per</w:t>
      </w:r>
      <w:r>
        <w:rPr>
          <w:spacing w:val="-2"/>
          <w:sz w:val="24"/>
        </w:rPr>
        <w:t> </w:t>
      </w:r>
      <w:r>
        <w:rPr>
          <w:sz w:val="24"/>
        </w:rPr>
        <w:t>this</w:t>
      </w:r>
      <w:r>
        <w:rPr>
          <w:spacing w:val="-2"/>
          <w:sz w:val="24"/>
        </w:rPr>
        <w:t> </w:t>
      </w:r>
      <w:r>
        <w:rPr>
          <w:sz w:val="24"/>
        </w:rPr>
        <w:t>Regulation.</w:t>
      </w:r>
      <w:r>
        <w:rPr>
          <w:spacing w:val="-3"/>
          <w:sz w:val="24"/>
        </w:rPr>
        <w:t> </w:t>
      </w:r>
      <w:r>
        <w:rPr>
          <w:sz w:val="24"/>
        </w:rPr>
        <w:t>II.</w:t>
      </w:r>
      <w:r>
        <w:rPr>
          <w:spacing w:val="80"/>
          <w:sz w:val="24"/>
        </w:rPr>
        <w:t> </w:t>
      </w:r>
      <w:r>
        <w:rPr>
          <w:sz w:val="24"/>
        </w:rPr>
        <w:t>In</w:t>
      </w:r>
      <w:r>
        <w:rPr>
          <w:spacing w:val="-12"/>
          <w:sz w:val="24"/>
        </w:rPr>
        <w:t> </w:t>
      </w:r>
      <w:r>
        <w:rPr>
          <w:sz w:val="24"/>
        </w:rPr>
        <w:t>the</w:t>
      </w:r>
      <w:r>
        <w:rPr>
          <w:spacing w:val="-12"/>
          <w:sz w:val="24"/>
        </w:rPr>
        <w:t> </w:t>
      </w:r>
      <w:r>
        <w:rPr>
          <w:sz w:val="24"/>
        </w:rPr>
        <w:t>event</w:t>
      </w:r>
      <w:r>
        <w:rPr>
          <w:spacing w:val="-12"/>
          <w:sz w:val="24"/>
        </w:rPr>
        <w:t> </w:t>
      </w:r>
      <w:r>
        <w:rPr>
          <w:sz w:val="24"/>
        </w:rPr>
        <w:t>of</w:t>
      </w:r>
      <w:r>
        <w:rPr>
          <w:spacing w:val="-12"/>
          <w:sz w:val="24"/>
        </w:rPr>
        <w:t> </w:t>
      </w:r>
      <w:r>
        <w:rPr>
          <w:sz w:val="24"/>
        </w:rPr>
        <w:t>DP</w:t>
      </w:r>
      <w:r>
        <w:rPr>
          <w:spacing w:val="-12"/>
          <w:sz w:val="24"/>
        </w:rPr>
        <w:t> </w:t>
      </w:r>
      <w:r>
        <w:rPr>
          <w:sz w:val="24"/>
        </w:rPr>
        <w:t>having</w:t>
      </w:r>
      <w:r>
        <w:rPr>
          <w:spacing w:val="-12"/>
          <w:sz w:val="24"/>
        </w:rPr>
        <w:t> </w:t>
      </w:r>
      <w:r>
        <w:rPr>
          <w:sz w:val="24"/>
        </w:rPr>
        <w:t>provided a</w:t>
      </w:r>
      <w:r>
        <w:rPr>
          <w:spacing w:val="-18"/>
          <w:sz w:val="24"/>
        </w:rPr>
        <w:t> </w:t>
      </w:r>
      <w:r>
        <w:rPr>
          <w:sz w:val="24"/>
        </w:rPr>
        <w:t>reservation/reservations</w:t>
      </w:r>
      <w:r>
        <w:rPr>
          <w:spacing w:val="-18"/>
          <w:sz w:val="24"/>
        </w:rPr>
        <w:t> </w:t>
      </w:r>
      <w:r>
        <w:rPr>
          <w:sz w:val="24"/>
        </w:rPr>
        <w:t>on</w:t>
      </w:r>
      <w:r>
        <w:rPr>
          <w:spacing w:val="-18"/>
          <w:sz w:val="24"/>
        </w:rPr>
        <w:t> </w:t>
      </w:r>
      <w:r>
        <w:rPr>
          <w:sz w:val="24"/>
        </w:rPr>
        <w:t>a</w:t>
      </w:r>
      <w:r>
        <w:rPr>
          <w:spacing w:val="-18"/>
          <w:sz w:val="24"/>
        </w:rPr>
        <w:t> </w:t>
      </w:r>
      <w:r>
        <w:rPr>
          <w:sz w:val="24"/>
        </w:rPr>
        <w:t>plot</w:t>
      </w:r>
      <w:r>
        <w:rPr>
          <w:spacing w:val="-15"/>
          <w:sz w:val="24"/>
        </w:rPr>
        <w:t> </w:t>
      </w:r>
      <w:r>
        <w:rPr>
          <w:sz w:val="24"/>
        </w:rPr>
        <w:t>desiring</w:t>
      </w:r>
      <w:r>
        <w:rPr>
          <w:spacing w:val="-18"/>
          <w:sz w:val="24"/>
        </w:rPr>
        <w:t> </w:t>
      </w:r>
      <w:r>
        <w:rPr>
          <w:sz w:val="24"/>
        </w:rPr>
        <w:t>conversion</w:t>
      </w:r>
      <w:r>
        <w:rPr>
          <w:spacing w:val="-18"/>
          <w:sz w:val="24"/>
        </w:rPr>
        <w:t> </w:t>
      </w:r>
      <w:r>
        <w:rPr>
          <w:sz w:val="24"/>
        </w:rPr>
        <w:t>from</w:t>
      </w:r>
      <w:r>
        <w:rPr>
          <w:spacing w:val="-18"/>
          <w:sz w:val="24"/>
        </w:rPr>
        <w:t> </w:t>
      </w:r>
      <w:r>
        <w:rPr>
          <w:sz w:val="24"/>
        </w:rPr>
        <w:t>Industrial Zone to Residential/Commercial Zone, the following shall apply:</w:t>
      </w:r>
    </w:p>
    <w:p>
      <w:pPr>
        <w:pStyle w:val="ListParagraph"/>
        <w:numPr>
          <w:ilvl w:val="1"/>
          <w:numId w:val="27"/>
        </w:numPr>
        <w:tabs>
          <w:tab w:pos="1798" w:val="left" w:leader="none"/>
          <w:tab w:pos="1800" w:val="left" w:leader="none"/>
        </w:tabs>
        <w:spacing w:line="240" w:lineRule="auto" w:before="241" w:after="0"/>
        <w:ind w:left="1800" w:right="1077" w:hanging="437"/>
        <w:jc w:val="both"/>
        <w:rPr>
          <w:sz w:val="24"/>
        </w:rPr>
      </w:pPr>
      <w:r>
        <w:rPr>
          <w:sz w:val="24"/>
        </w:rPr>
        <w:t>If</w:t>
      </w:r>
      <w:r>
        <w:rPr>
          <w:spacing w:val="-6"/>
          <w:sz w:val="24"/>
        </w:rPr>
        <w:t> </w:t>
      </w:r>
      <w:r>
        <w:rPr>
          <w:sz w:val="24"/>
        </w:rPr>
        <w:t>the</w:t>
      </w:r>
      <w:r>
        <w:rPr>
          <w:spacing w:val="-8"/>
          <w:sz w:val="24"/>
        </w:rPr>
        <w:t> </w:t>
      </w:r>
      <w:r>
        <w:rPr>
          <w:sz w:val="24"/>
        </w:rPr>
        <w:t>area</w:t>
      </w:r>
      <w:r>
        <w:rPr>
          <w:spacing w:val="-6"/>
          <w:sz w:val="24"/>
        </w:rPr>
        <w:t> </w:t>
      </w:r>
      <w:r>
        <w:rPr>
          <w:sz w:val="24"/>
        </w:rPr>
        <w:t>under</w:t>
      </w:r>
      <w:r>
        <w:rPr>
          <w:spacing w:val="-6"/>
          <w:sz w:val="24"/>
        </w:rPr>
        <w:t> </w:t>
      </w:r>
      <w:r>
        <w:rPr>
          <w:sz w:val="24"/>
        </w:rPr>
        <w:t>DP</w:t>
      </w:r>
      <w:r>
        <w:rPr>
          <w:spacing w:val="-8"/>
          <w:sz w:val="24"/>
        </w:rPr>
        <w:t> </w:t>
      </w:r>
      <w:r>
        <w:rPr>
          <w:sz w:val="24"/>
        </w:rPr>
        <w:t>reservation</w:t>
      </w:r>
      <w:r>
        <w:rPr>
          <w:spacing w:val="-5"/>
          <w:sz w:val="24"/>
        </w:rPr>
        <w:t> </w:t>
      </w:r>
      <w:r>
        <w:rPr>
          <w:sz w:val="24"/>
        </w:rPr>
        <w:t>to</w:t>
      </w:r>
      <w:r>
        <w:rPr>
          <w:spacing w:val="-6"/>
          <w:sz w:val="24"/>
        </w:rPr>
        <w:t> </w:t>
      </w:r>
      <w:r>
        <w:rPr>
          <w:sz w:val="24"/>
        </w:rPr>
        <w:t>be</w:t>
      </w:r>
      <w:r>
        <w:rPr>
          <w:spacing w:val="-6"/>
          <w:sz w:val="24"/>
        </w:rPr>
        <w:t> </w:t>
      </w:r>
      <w:r>
        <w:rPr>
          <w:sz w:val="24"/>
        </w:rPr>
        <w:t>handed</w:t>
      </w:r>
      <w:r>
        <w:rPr>
          <w:spacing w:val="-6"/>
          <w:sz w:val="24"/>
        </w:rPr>
        <w:t> </w:t>
      </w:r>
      <w:r>
        <w:rPr>
          <w:sz w:val="24"/>
        </w:rPr>
        <w:t>over</w:t>
      </w:r>
      <w:r>
        <w:rPr>
          <w:spacing w:val="-6"/>
          <w:sz w:val="24"/>
        </w:rPr>
        <w:t> </w:t>
      </w:r>
      <w:r>
        <w:rPr>
          <w:sz w:val="24"/>
        </w:rPr>
        <w:t>to</w:t>
      </w:r>
      <w:r>
        <w:rPr>
          <w:spacing w:val="-6"/>
          <w:sz w:val="24"/>
        </w:rPr>
        <w:t> </w:t>
      </w:r>
      <w:r>
        <w:rPr>
          <w:sz w:val="24"/>
        </w:rPr>
        <w:t>MCGM(excluding the</w:t>
      </w:r>
      <w:r>
        <w:rPr>
          <w:spacing w:val="-5"/>
          <w:sz w:val="24"/>
        </w:rPr>
        <w:t> </w:t>
      </w:r>
      <w:r>
        <w:rPr>
          <w:sz w:val="24"/>
        </w:rPr>
        <w:t>areas</w:t>
      </w:r>
      <w:r>
        <w:rPr>
          <w:spacing w:val="-5"/>
          <w:sz w:val="24"/>
        </w:rPr>
        <w:t> </w:t>
      </w:r>
      <w:r>
        <w:rPr>
          <w:sz w:val="24"/>
        </w:rPr>
        <w:t>under</w:t>
      </w:r>
      <w:r>
        <w:rPr>
          <w:spacing w:val="-5"/>
          <w:sz w:val="24"/>
        </w:rPr>
        <w:t> </w:t>
      </w:r>
      <w:r>
        <w:rPr>
          <w:sz w:val="24"/>
        </w:rPr>
        <w:t>DP</w:t>
      </w:r>
      <w:r>
        <w:rPr>
          <w:spacing w:val="-4"/>
          <w:sz w:val="24"/>
        </w:rPr>
        <w:t> </w:t>
      </w:r>
      <w:r>
        <w:rPr>
          <w:sz w:val="24"/>
        </w:rPr>
        <w:t>roads/</w:t>
      </w:r>
      <w:r>
        <w:rPr>
          <w:spacing w:val="-5"/>
          <w:sz w:val="24"/>
        </w:rPr>
        <w:t> </w:t>
      </w:r>
      <w:r>
        <w:rPr>
          <w:sz w:val="24"/>
        </w:rPr>
        <w:t>road</w:t>
      </w:r>
      <w:r>
        <w:rPr>
          <w:spacing w:val="-5"/>
          <w:sz w:val="24"/>
        </w:rPr>
        <w:t> </w:t>
      </w:r>
      <w:r>
        <w:rPr>
          <w:sz w:val="24"/>
        </w:rPr>
        <w:t>setback)</w:t>
      </w:r>
      <w:r>
        <w:rPr>
          <w:spacing w:val="-2"/>
          <w:sz w:val="24"/>
        </w:rPr>
        <w:t> </w:t>
      </w:r>
      <w:r>
        <w:rPr>
          <w:sz w:val="24"/>
        </w:rPr>
        <w:t>is</w:t>
      </w:r>
      <w:r>
        <w:rPr>
          <w:spacing w:val="-5"/>
          <w:sz w:val="24"/>
        </w:rPr>
        <w:t> </w:t>
      </w:r>
      <w:r>
        <w:rPr>
          <w:sz w:val="24"/>
        </w:rPr>
        <w:t>less</w:t>
      </w:r>
      <w:r>
        <w:rPr>
          <w:spacing w:val="-5"/>
          <w:sz w:val="24"/>
        </w:rPr>
        <w:t> </w:t>
      </w:r>
      <w:r>
        <w:rPr>
          <w:sz w:val="24"/>
        </w:rPr>
        <w:t>than</w:t>
      </w:r>
      <w:r>
        <w:rPr>
          <w:spacing w:val="-5"/>
          <w:sz w:val="24"/>
        </w:rPr>
        <w:t> </w:t>
      </w:r>
      <w:r>
        <w:rPr>
          <w:sz w:val="24"/>
        </w:rPr>
        <w:t>the</w:t>
      </w:r>
      <w:r>
        <w:rPr>
          <w:spacing w:val="-5"/>
          <w:sz w:val="24"/>
        </w:rPr>
        <w:t> </w:t>
      </w:r>
      <w:r>
        <w:rPr>
          <w:sz w:val="24"/>
        </w:rPr>
        <w:t>required</w:t>
      </w:r>
      <w:r>
        <w:rPr>
          <w:spacing w:val="-5"/>
          <w:sz w:val="24"/>
        </w:rPr>
        <w:t> </w:t>
      </w:r>
      <w:r>
        <w:rPr>
          <w:sz w:val="24"/>
        </w:rPr>
        <w:t>area of</w:t>
      </w:r>
      <w:r>
        <w:rPr>
          <w:spacing w:val="80"/>
          <w:sz w:val="24"/>
        </w:rPr>
        <w:t> </w:t>
      </w:r>
      <w:r>
        <w:rPr>
          <w:sz w:val="24"/>
        </w:rPr>
        <w:t>amenity as per this Regulation, only the additional land area shall be provided for amenity .</w:t>
      </w:r>
    </w:p>
    <w:p>
      <w:pPr>
        <w:pStyle w:val="ListParagraph"/>
        <w:spacing w:after="0" w:line="240" w:lineRule="auto"/>
        <w:jc w:val="both"/>
        <w:rPr>
          <w:sz w:val="24"/>
        </w:rPr>
        <w:sectPr>
          <w:pgSz w:w="11910" w:h="16840"/>
          <w:pgMar w:header="746" w:footer="968" w:top="1180" w:bottom="1160" w:left="360" w:right="360"/>
        </w:sectPr>
      </w:pPr>
    </w:p>
    <w:p>
      <w:pPr>
        <w:pStyle w:val="ListParagraph"/>
        <w:numPr>
          <w:ilvl w:val="1"/>
          <w:numId w:val="27"/>
        </w:numPr>
        <w:tabs>
          <w:tab w:pos="1797" w:val="left" w:leader="none"/>
          <w:tab w:pos="1800" w:val="left" w:leader="none"/>
        </w:tabs>
        <w:spacing w:line="240" w:lineRule="auto" w:before="251" w:after="0"/>
        <w:ind w:left="1800" w:right="1077" w:hanging="437"/>
        <w:jc w:val="both"/>
        <w:rPr>
          <w:sz w:val="24"/>
        </w:rPr>
      </w:pPr>
      <w:r>
        <w:rPr>
          <w:sz w:val="24"/>
        </w:rPr>
        <w:t>If</w:t>
      </w:r>
      <w:r>
        <w:rPr>
          <w:spacing w:val="-19"/>
          <w:sz w:val="24"/>
        </w:rPr>
        <w:t> </w:t>
      </w:r>
      <w:r>
        <w:rPr>
          <w:sz w:val="24"/>
        </w:rPr>
        <w:t>the</w:t>
      </w:r>
      <w:r>
        <w:rPr>
          <w:spacing w:val="-19"/>
          <w:sz w:val="24"/>
        </w:rPr>
        <w:t> </w:t>
      </w:r>
      <w:r>
        <w:rPr>
          <w:sz w:val="24"/>
        </w:rPr>
        <w:t>area</w:t>
      </w:r>
      <w:r>
        <w:rPr>
          <w:spacing w:val="-19"/>
          <w:sz w:val="24"/>
        </w:rPr>
        <w:t> </w:t>
      </w:r>
      <w:r>
        <w:rPr>
          <w:sz w:val="24"/>
        </w:rPr>
        <w:t>under</w:t>
      </w:r>
      <w:r>
        <w:rPr>
          <w:spacing w:val="-19"/>
          <w:sz w:val="24"/>
        </w:rPr>
        <w:t> </w:t>
      </w:r>
      <w:r>
        <w:rPr>
          <w:sz w:val="24"/>
        </w:rPr>
        <w:t>DP</w:t>
      </w:r>
      <w:r>
        <w:rPr>
          <w:spacing w:val="-16"/>
          <w:sz w:val="24"/>
        </w:rPr>
        <w:t> </w:t>
      </w:r>
      <w:r>
        <w:rPr>
          <w:sz w:val="24"/>
        </w:rPr>
        <w:t>reservation</w:t>
      </w:r>
      <w:r>
        <w:rPr>
          <w:spacing w:val="-19"/>
          <w:sz w:val="24"/>
        </w:rPr>
        <w:t> </w:t>
      </w:r>
      <w:r>
        <w:rPr>
          <w:sz w:val="24"/>
        </w:rPr>
        <w:t>to</w:t>
      </w:r>
      <w:r>
        <w:rPr>
          <w:spacing w:val="-19"/>
          <w:sz w:val="24"/>
        </w:rPr>
        <w:t> </w:t>
      </w:r>
      <w:r>
        <w:rPr>
          <w:sz w:val="24"/>
        </w:rPr>
        <w:t>be</w:t>
      </w:r>
      <w:r>
        <w:rPr>
          <w:spacing w:val="-19"/>
          <w:sz w:val="24"/>
        </w:rPr>
        <w:t> </w:t>
      </w:r>
      <w:r>
        <w:rPr>
          <w:sz w:val="24"/>
        </w:rPr>
        <w:t>handed</w:t>
      </w:r>
      <w:r>
        <w:rPr>
          <w:spacing w:val="-19"/>
          <w:sz w:val="24"/>
        </w:rPr>
        <w:t> </w:t>
      </w:r>
      <w:r>
        <w:rPr>
          <w:sz w:val="24"/>
        </w:rPr>
        <w:t>over</w:t>
      </w:r>
      <w:r>
        <w:rPr>
          <w:spacing w:val="-19"/>
          <w:sz w:val="24"/>
        </w:rPr>
        <w:t> </w:t>
      </w:r>
      <w:r>
        <w:rPr>
          <w:sz w:val="24"/>
        </w:rPr>
        <w:t>to</w:t>
      </w:r>
      <w:r>
        <w:rPr>
          <w:spacing w:val="-19"/>
          <w:sz w:val="24"/>
        </w:rPr>
        <w:t> </w:t>
      </w:r>
      <w:r>
        <w:rPr>
          <w:sz w:val="24"/>
        </w:rPr>
        <w:t>MCGM,</w:t>
      </w:r>
      <w:r>
        <w:rPr>
          <w:spacing w:val="-17"/>
          <w:sz w:val="24"/>
        </w:rPr>
        <w:t> </w:t>
      </w:r>
      <w:r>
        <w:rPr>
          <w:sz w:val="24"/>
        </w:rPr>
        <w:t>(excluding the areas under DP roads/ road setback), is more than the required area</w:t>
      </w:r>
      <w:r>
        <w:rPr>
          <w:spacing w:val="-10"/>
          <w:sz w:val="24"/>
        </w:rPr>
        <w:t> </w:t>
      </w:r>
      <w:r>
        <w:rPr>
          <w:sz w:val="24"/>
        </w:rPr>
        <w:t>of</w:t>
      </w:r>
      <w:r>
        <w:rPr>
          <w:spacing w:val="40"/>
          <w:sz w:val="24"/>
        </w:rPr>
        <w:t> </w:t>
      </w:r>
      <w:r>
        <w:rPr>
          <w:sz w:val="24"/>
        </w:rPr>
        <w:t>amenity</w:t>
      </w:r>
      <w:r>
        <w:rPr>
          <w:spacing w:val="40"/>
          <w:sz w:val="24"/>
        </w:rPr>
        <w:t> </w:t>
      </w:r>
      <w:r>
        <w:rPr>
          <w:sz w:val="24"/>
        </w:rPr>
        <w:t>as</w:t>
      </w:r>
      <w:r>
        <w:rPr>
          <w:spacing w:val="-7"/>
          <w:sz w:val="24"/>
        </w:rPr>
        <w:t> </w:t>
      </w:r>
      <w:r>
        <w:rPr>
          <w:sz w:val="24"/>
        </w:rPr>
        <w:t>per</w:t>
      </w:r>
      <w:r>
        <w:rPr>
          <w:spacing w:val="-10"/>
          <w:sz w:val="24"/>
        </w:rPr>
        <w:t> </w:t>
      </w:r>
      <w:r>
        <w:rPr>
          <w:sz w:val="24"/>
        </w:rPr>
        <w:t>this</w:t>
      </w:r>
      <w:r>
        <w:rPr>
          <w:spacing w:val="-10"/>
          <w:sz w:val="24"/>
        </w:rPr>
        <w:t> </w:t>
      </w:r>
      <w:r>
        <w:rPr>
          <w:sz w:val="24"/>
        </w:rPr>
        <w:t>Regulation,</w:t>
      </w:r>
      <w:r>
        <w:rPr>
          <w:spacing w:val="-10"/>
          <w:sz w:val="24"/>
        </w:rPr>
        <w:t> </w:t>
      </w:r>
      <w:r>
        <w:rPr>
          <w:sz w:val="24"/>
        </w:rPr>
        <w:t>then</w:t>
      </w:r>
      <w:r>
        <w:rPr>
          <w:spacing w:val="-10"/>
          <w:sz w:val="24"/>
        </w:rPr>
        <w:t> </w:t>
      </w:r>
      <w:r>
        <w:rPr>
          <w:sz w:val="24"/>
        </w:rPr>
        <w:t>the</w:t>
      </w:r>
      <w:r>
        <w:rPr>
          <w:spacing w:val="-10"/>
          <w:sz w:val="24"/>
        </w:rPr>
        <w:t> </w:t>
      </w:r>
      <w:r>
        <w:rPr>
          <w:sz w:val="24"/>
        </w:rPr>
        <w:t>provision</w:t>
      </w:r>
      <w:r>
        <w:rPr>
          <w:spacing w:val="-10"/>
          <w:sz w:val="24"/>
        </w:rPr>
        <w:t> </w:t>
      </w:r>
      <w:r>
        <w:rPr>
          <w:sz w:val="24"/>
        </w:rPr>
        <w:t>for</w:t>
      </w:r>
      <w:r>
        <w:rPr>
          <w:spacing w:val="40"/>
          <w:sz w:val="24"/>
        </w:rPr>
        <w:t> </w:t>
      </w:r>
      <w:r>
        <w:rPr>
          <w:sz w:val="24"/>
        </w:rPr>
        <w:t>amenity is not necessary.</w:t>
      </w:r>
    </w:p>
    <w:p>
      <w:pPr>
        <w:pStyle w:val="ListParagraph"/>
        <w:numPr>
          <w:ilvl w:val="1"/>
          <w:numId w:val="27"/>
        </w:numPr>
        <w:tabs>
          <w:tab w:pos="1798" w:val="left" w:leader="none"/>
          <w:tab w:pos="1800" w:val="left" w:leader="none"/>
        </w:tabs>
        <w:spacing w:line="240" w:lineRule="auto" w:before="242" w:after="0"/>
        <w:ind w:left="1800" w:right="1078" w:hanging="437"/>
        <w:jc w:val="both"/>
        <w:rPr>
          <w:sz w:val="24"/>
        </w:rPr>
      </w:pPr>
      <w:r>
        <w:rPr>
          <w:sz w:val="24"/>
        </w:rPr>
        <w:t>In case plot area under conversion is less than 2000</w:t>
      </w:r>
      <w:r>
        <w:rPr>
          <w:spacing w:val="40"/>
          <w:sz w:val="24"/>
        </w:rPr>
        <w:t> </w:t>
      </w:r>
      <w:r>
        <w:rPr>
          <w:sz w:val="24"/>
        </w:rPr>
        <w:t>sq. m, land component either 10% amenity in the form of open land or 5% of built up amenity shall be considered</w:t>
      </w:r>
      <w:r>
        <w:rPr>
          <w:spacing w:val="40"/>
          <w:sz w:val="24"/>
        </w:rPr>
        <w:t> </w:t>
      </w:r>
      <w:r>
        <w:rPr>
          <w:sz w:val="24"/>
        </w:rPr>
        <w:t>for the purpose of calculation of amenity</w:t>
      </w:r>
      <w:r>
        <w:rPr>
          <w:spacing w:val="40"/>
          <w:sz w:val="24"/>
        </w:rPr>
        <w:t> </w:t>
      </w:r>
      <w:r>
        <w:rPr>
          <w:sz w:val="24"/>
        </w:rPr>
        <w:t>as per note (a) and (b) above.</w:t>
      </w:r>
    </w:p>
    <w:p>
      <w:pPr>
        <w:pStyle w:val="ListParagraph"/>
        <w:numPr>
          <w:ilvl w:val="0"/>
          <w:numId w:val="28"/>
        </w:numPr>
        <w:tabs>
          <w:tab w:pos="1800" w:val="left" w:leader="none"/>
        </w:tabs>
        <w:spacing w:line="240" w:lineRule="auto" w:before="238" w:after="0"/>
        <w:ind w:left="1800" w:right="1078" w:hanging="437"/>
        <w:jc w:val="both"/>
        <w:rPr>
          <w:sz w:val="24"/>
        </w:rPr>
      </w:pPr>
      <w:r>
        <w:rPr>
          <w:sz w:val="24"/>
        </w:rPr>
        <w:t>Out of the total floor area proposed to be utilized for residential development,</w:t>
      </w:r>
      <w:r>
        <w:rPr>
          <w:spacing w:val="-1"/>
          <w:sz w:val="24"/>
        </w:rPr>
        <w:t> </w:t>
      </w:r>
      <w:r>
        <w:rPr>
          <w:sz w:val="24"/>
        </w:rPr>
        <w:t>20%</w:t>
      </w:r>
      <w:r>
        <w:rPr>
          <w:spacing w:val="-1"/>
          <w:sz w:val="24"/>
        </w:rPr>
        <w:t> </w:t>
      </w:r>
      <w:r>
        <w:rPr>
          <w:sz w:val="24"/>
        </w:rPr>
        <w:t>of</w:t>
      </w:r>
      <w:r>
        <w:rPr>
          <w:spacing w:val="-1"/>
          <w:sz w:val="24"/>
        </w:rPr>
        <w:t> </w:t>
      </w:r>
      <w:r>
        <w:rPr>
          <w:sz w:val="24"/>
        </w:rPr>
        <w:t>the</w:t>
      </w:r>
      <w:r>
        <w:rPr>
          <w:spacing w:val="-1"/>
          <w:sz w:val="24"/>
        </w:rPr>
        <w:t> </w:t>
      </w:r>
      <w:r>
        <w:rPr>
          <w:sz w:val="24"/>
        </w:rPr>
        <w:t>same</w:t>
      </w:r>
      <w:r>
        <w:rPr>
          <w:spacing w:val="-1"/>
          <w:sz w:val="24"/>
        </w:rPr>
        <w:t> </w:t>
      </w:r>
      <w:r>
        <w:rPr>
          <w:sz w:val="24"/>
        </w:rPr>
        <w:t>shall</w:t>
      </w:r>
      <w:r>
        <w:rPr>
          <w:spacing w:val="-1"/>
          <w:sz w:val="24"/>
        </w:rPr>
        <w:t> </w:t>
      </w:r>
      <w:r>
        <w:rPr>
          <w:sz w:val="24"/>
        </w:rPr>
        <w:t>be</w:t>
      </w:r>
      <w:r>
        <w:rPr>
          <w:spacing w:val="-1"/>
          <w:sz w:val="24"/>
        </w:rPr>
        <w:t> </w:t>
      </w:r>
      <w:r>
        <w:rPr>
          <w:sz w:val="24"/>
        </w:rPr>
        <w:t>built</w:t>
      </w:r>
      <w:r>
        <w:rPr>
          <w:spacing w:val="-1"/>
          <w:sz w:val="24"/>
        </w:rPr>
        <w:t> </w:t>
      </w:r>
      <w:r>
        <w:rPr>
          <w:sz w:val="24"/>
        </w:rPr>
        <w:t>for</w:t>
      </w:r>
      <w:r>
        <w:rPr>
          <w:spacing w:val="-1"/>
          <w:sz w:val="24"/>
        </w:rPr>
        <w:t> </w:t>
      </w:r>
      <w:r>
        <w:rPr>
          <w:sz w:val="24"/>
        </w:rPr>
        <w:t>residential</w:t>
      </w:r>
      <w:r>
        <w:rPr>
          <w:spacing w:val="-1"/>
          <w:sz w:val="24"/>
        </w:rPr>
        <w:t> </w:t>
      </w:r>
      <w:r>
        <w:rPr>
          <w:sz w:val="24"/>
        </w:rPr>
        <w:t>tenements, each having BUA up to 50sq. m.</w:t>
      </w:r>
    </w:p>
    <w:p>
      <w:pPr>
        <w:pStyle w:val="ListParagraph"/>
        <w:numPr>
          <w:ilvl w:val="0"/>
          <w:numId w:val="28"/>
        </w:numPr>
        <w:tabs>
          <w:tab w:pos="1798" w:val="left" w:leader="none"/>
          <w:tab w:pos="1800" w:val="left" w:leader="none"/>
        </w:tabs>
        <w:spacing w:line="240" w:lineRule="auto" w:before="241" w:after="0"/>
        <w:ind w:left="1800" w:right="1078" w:hanging="435"/>
        <w:jc w:val="both"/>
        <w:rPr>
          <w:sz w:val="24"/>
        </w:rPr>
      </w:pPr>
      <w:r>
        <w:rPr>
          <w:sz w:val="24"/>
        </w:rPr>
        <w:t>If the development is already in progress and if full Occupation Certificate has not been granted to any of the buildings in the layout, then</w:t>
      </w:r>
      <w:r>
        <w:rPr>
          <w:spacing w:val="-12"/>
          <w:sz w:val="24"/>
        </w:rPr>
        <w:t> </w:t>
      </w:r>
      <w:r>
        <w:rPr>
          <w:sz w:val="24"/>
        </w:rPr>
        <w:t>the</w:t>
      </w:r>
      <w:r>
        <w:rPr>
          <w:spacing w:val="-12"/>
          <w:sz w:val="24"/>
        </w:rPr>
        <w:t> </w:t>
      </w:r>
      <w:r>
        <w:rPr>
          <w:sz w:val="24"/>
        </w:rPr>
        <w:t>land</w:t>
      </w:r>
      <w:r>
        <w:rPr>
          <w:spacing w:val="-12"/>
          <w:sz w:val="24"/>
        </w:rPr>
        <w:t> </w:t>
      </w:r>
      <w:r>
        <w:rPr>
          <w:sz w:val="24"/>
        </w:rPr>
        <w:t>owner/developer</w:t>
      </w:r>
      <w:r>
        <w:rPr>
          <w:spacing w:val="-12"/>
          <w:sz w:val="24"/>
        </w:rPr>
        <w:t> </w:t>
      </w:r>
      <w:r>
        <w:rPr>
          <w:sz w:val="24"/>
        </w:rPr>
        <w:t>may</w:t>
      </w:r>
      <w:r>
        <w:rPr>
          <w:spacing w:val="-12"/>
          <w:sz w:val="24"/>
        </w:rPr>
        <w:t> </w:t>
      </w:r>
      <w:r>
        <w:rPr>
          <w:sz w:val="24"/>
        </w:rPr>
        <w:t>convert</w:t>
      </w:r>
      <w:r>
        <w:rPr>
          <w:spacing w:val="-12"/>
          <w:sz w:val="24"/>
        </w:rPr>
        <w:t> </w:t>
      </w:r>
      <w:r>
        <w:rPr>
          <w:sz w:val="24"/>
        </w:rPr>
        <w:t>the</w:t>
      </w:r>
      <w:r>
        <w:rPr>
          <w:spacing w:val="-12"/>
          <w:sz w:val="24"/>
        </w:rPr>
        <w:t> </w:t>
      </w:r>
      <w:r>
        <w:rPr>
          <w:sz w:val="24"/>
        </w:rPr>
        <w:t>proposal</w:t>
      </w:r>
      <w:r>
        <w:rPr>
          <w:spacing w:val="-12"/>
          <w:sz w:val="24"/>
        </w:rPr>
        <w:t> </w:t>
      </w:r>
      <w:r>
        <w:rPr>
          <w:sz w:val="24"/>
        </w:rPr>
        <w:t>in</w:t>
      </w:r>
      <w:r>
        <w:rPr>
          <w:spacing w:val="-14"/>
          <w:sz w:val="24"/>
        </w:rPr>
        <w:t> </w:t>
      </w:r>
      <w:r>
        <w:rPr>
          <w:sz w:val="24"/>
        </w:rPr>
        <w:t>accordance with the provisions of this Regulation subject to the following </w:t>
      </w:r>
      <w:r>
        <w:rPr>
          <w:spacing w:val="-2"/>
          <w:sz w:val="24"/>
        </w:rPr>
        <w:t>conditions:</w:t>
      </w:r>
    </w:p>
    <w:p>
      <w:pPr>
        <w:pStyle w:val="BodyText"/>
        <w:spacing w:before="240"/>
        <w:ind w:left="1080"/>
        <w:jc w:val="left"/>
      </w:pPr>
      <w:r>
        <w:rPr>
          <w:spacing w:val="-2"/>
          <w:u w:val="single"/>
        </w:rPr>
        <w:t>Conditions:</w:t>
      </w:r>
    </w:p>
    <w:p>
      <w:pPr>
        <w:pStyle w:val="ListParagraph"/>
        <w:numPr>
          <w:ilvl w:val="1"/>
          <w:numId w:val="28"/>
        </w:numPr>
        <w:tabs>
          <w:tab w:pos="1800" w:val="left" w:leader="none"/>
          <w:tab w:pos="2518" w:val="left" w:leader="none"/>
        </w:tabs>
        <w:spacing w:line="240" w:lineRule="auto" w:before="241" w:after="0"/>
        <w:ind w:left="1800" w:right="1078" w:hanging="154"/>
        <w:jc w:val="both"/>
        <w:rPr>
          <w:sz w:val="24"/>
        </w:rPr>
      </w:pPr>
      <w:r>
        <w:rPr>
          <w:sz w:val="24"/>
        </w:rPr>
        <w:t>The</w:t>
      </w:r>
      <w:r>
        <w:rPr>
          <w:spacing w:val="-11"/>
          <w:sz w:val="24"/>
        </w:rPr>
        <w:t> </w:t>
      </w:r>
      <w:r>
        <w:rPr>
          <w:sz w:val="24"/>
        </w:rPr>
        <w:t>revised</w:t>
      </w:r>
      <w:r>
        <w:rPr>
          <w:spacing w:val="-11"/>
          <w:sz w:val="24"/>
        </w:rPr>
        <w:t> </w:t>
      </w:r>
      <w:r>
        <w:rPr>
          <w:sz w:val="24"/>
        </w:rPr>
        <w:t>provisions</w:t>
      </w:r>
      <w:r>
        <w:rPr>
          <w:spacing w:val="-11"/>
          <w:sz w:val="24"/>
        </w:rPr>
        <w:t> </w:t>
      </w:r>
      <w:r>
        <w:rPr>
          <w:sz w:val="24"/>
        </w:rPr>
        <w:t>will</w:t>
      </w:r>
      <w:r>
        <w:rPr>
          <w:spacing w:val="-11"/>
          <w:sz w:val="24"/>
        </w:rPr>
        <w:t> </w:t>
      </w:r>
      <w:r>
        <w:rPr>
          <w:sz w:val="24"/>
        </w:rPr>
        <w:t>be</w:t>
      </w:r>
      <w:r>
        <w:rPr>
          <w:spacing w:val="-11"/>
          <w:sz w:val="24"/>
        </w:rPr>
        <w:t> </w:t>
      </w:r>
      <w:r>
        <w:rPr>
          <w:sz w:val="24"/>
        </w:rPr>
        <w:t>applicable</w:t>
      </w:r>
      <w:r>
        <w:rPr>
          <w:spacing w:val="-13"/>
          <w:sz w:val="24"/>
        </w:rPr>
        <w:t> </w:t>
      </w:r>
      <w:r>
        <w:rPr>
          <w:sz w:val="24"/>
        </w:rPr>
        <w:t>in</w:t>
      </w:r>
      <w:r>
        <w:rPr>
          <w:spacing w:val="-11"/>
          <w:sz w:val="24"/>
        </w:rPr>
        <w:t> </w:t>
      </w:r>
      <w:r>
        <w:rPr>
          <w:sz w:val="24"/>
        </w:rPr>
        <w:t>totality.</w:t>
      </w:r>
      <w:r>
        <w:rPr>
          <w:spacing w:val="-11"/>
          <w:sz w:val="24"/>
        </w:rPr>
        <w:t> </w:t>
      </w:r>
      <w:r>
        <w:rPr>
          <w:sz w:val="24"/>
        </w:rPr>
        <w:t>The</w:t>
      </w:r>
      <w:r>
        <w:rPr>
          <w:spacing w:val="-11"/>
          <w:sz w:val="24"/>
        </w:rPr>
        <w:t> </w:t>
      </w:r>
      <w:r>
        <w:rPr>
          <w:sz w:val="24"/>
        </w:rPr>
        <w:t>benefit</w:t>
      </w:r>
      <w:r>
        <w:rPr>
          <w:spacing w:val="-11"/>
          <w:sz w:val="24"/>
        </w:rPr>
        <w:t> </w:t>
      </w:r>
      <w:r>
        <w:rPr>
          <w:sz w:val="24"/>
        </w:rPr>
        <w:t>of both old and revised Regulations shall not be allowed.</w:t>
      </w:r>
    </w:p>
    <w:p>
      <w:pPr>
        <w:pStyle w:val="ListParagraph"/>
        <w:numPr>
          <w:ilvl w:val="1"/>
          <w:numId w:val="28"/>
        </w:numPr>
        <w:tabs>
          <w:tab w:pos="1800" w:val="left" w:leader="none"/>
          <w:tab w:pos="2518" w:val="left" w:leader="none"/>
        </w:tabs>
        <w:spacing w:line="240" w:lineRule="auto" w:before="238" w:after="0"/>
        <w:ind w:left="1800" w:right="1078" w:hanging="154"/>
        <w:jc w:val="both"/>
        <w:rPr>
          <w:sz w:val="24"/>
        </w:rPr>
      </w:pPr>
      <w:r>
        <w:rPr>
          <w:sz w:val="24"/>
        </w:rPr>
        <w:t>The</w:t>
      </w:r>
      <w:r>
        <w:rPr>
          <w:spacing w:val="-11"/>
          <w:sz w:val="24"/>
        </w:rPr>
        <w:t> </w:t>
      </w:r>
      <w:r>
        <w:rPr>
          <w:sz w:val="24"/>
        </w:rPr>
        <w:t>benefit</w:t>
      </w:r>
      <w:r>
        <w:rPr>
          <w:spacing w:val="-8"/>
          <w:sz w:val="24"/>
        </w:rPr>
        <w:t> </w:t>
      </w:r>
      <w:r>
        <w:rPr>
          <w:sz w:val="24"/>
        </w:rPr>
        <w:t>of</w:t>
      </w:r>
      <w:r>
        <w:rPr>
          <w:spacing w:val="-11"/>
          <w:sz w:val="24"/>
        </w:rPr>
        <w:t> </w:t>
      </w:r>
      <w:r>
        <w:rPr>
          <w:sz w:val="24"/>
        </w:rPr>
        <w:t>revised</w:t>
      </w:r>
      <w:r>
        <w:rPr>
          <w:spacing w:val="-11"/>
          <w:sz w:val="24"/>
        </w:rPr>
        <w:t> </w:t>
      </w:r>
      <w:r>
        <w:rPr>
          <w:sz w:val="24"/>
        </w:rPr>
        <w:t>Regulations</w:t>
      </w:r>
      <w:r>
        <w:rPr>
          <w:spacing w:val="-11"/>
          <w:sz w:val="24"/>
        </w:rPr>
        <w:t> </w:t>
      </w:r>
      <w:r>
        <w:rPr>
          <w:sz w:val="24"/>
        </w:rPr>
        <w:t>will</w:t>
      </w:r>
      <w:r>
        <w:rPr>
          <w:spacing w:val="-11"/>
          <w:sz w:val="24"/>
        </w:rPr>
        <w:t> </w:t>
      </w:r>
      <w:r>
        <w:rPr>
          <w:sz w:val="24"/>
        </w:rPr>
        <w:t>be</w:t>
      </w:r>
      <w:r>
        <w:rPr>
          <w:spacing w:val="-8"/>
          <w:sz w:val="24"/>
        </w:rPr>
        <w:t> </w:t>
      </w:r>
      <w:r>
        <w:rPr>
          <w:sz w:val="24"/>
        </w:rPr>
        <w:t>applicable</w:t>
      </w:r>
      <w:r>
        <w:rPr>
          <w:spacing w:val="-11"/>
          <w:sz w:val="24"/>
        </w:rPr>
        <w:t> </w:t>
      </w:r>
      <w:r>
        <w:rPr>
          <w:sz w:val="24"/>
        </w:rPr>
        <w:t>only</w:t>
      </w:r>
      <w:r>
        <w:rPr>
          <w:spacing w:val="-11"/>
          <w:sz w:val="24"/>
        </w:rPr>
        <w:t> </w:t>
      </w:r>
      <w:r>
        <w:rPr>
          <w:sz w:val="24"/>
        </w:rPr>
        <w:t>in</w:t>
      </w:r>
      <w:r>
        <w:rPr>
          <w:spacing w:val="-8"/>
          <w:sz w:val="24"/>
        </w:rPr>
        <w:t> </w:t>
      </w:r>
      <w:r>
        <w:rPr>
          <w:sz w:val="24"/>
        </w:rPr>
        <w:t>cases where</w:t>
      </w:r>
      <w:r>
        <w:rPr>
          <w:spacing w:val="-6"/>
          <w:sz w:val="24"/>
        </w:rPr>
        <w:t> </w:t>
      </w:r>
      <w:r>
        <w:rPr>
          <w:sz w:val="24"/>
        </w:rPr>
        <w:t>(a)</w:t>
      </w:r>
      <w:r>
        <w:rPr>
          <w:spacing w:val="-6"/>
          <w:sz w:val="24"/>
        </w:rPr>
        <w:t> </w:t>
      </w:r>
      <w:r>
        <w:rPr>
          <w:sz w:val="24"/>
        </w:rPr>
        <w:t>full</w:t>
      </w:r>
      <w:r>
        <w:rPr>
          <w:spacing w:val="-6"/>
          <w:sz w:val="24"/>
        </w:rPr>
        <w:t> </w:t>
      </w:r>
      <w:r>
        <w:rPr>
          <w:sz w:val="24"/>
        </w:rPr>
        <w:t>Occupation</w:t>
      </w:r>
      <w:r>
        <w:rPr>
          <w:spacing w:val="-6"/>
          <w:sz w:val="24"/>
        </w:rPr>
        <w:t> </w:t>
      </w:r>
      <w:r>
        <w:rPr>
          <w:sz w:val="24"/>
        </w:rPr>
        <w:t>Certificate</w:t>
      </w:r>
      <w:r>
        <w:rPr>
          <w:spacing w:val="-6"/>
          <w:sz w:val="24"/>
        </w:rPr>
        <w:t> </w:t>
      </w:r>
      <w:r>
        <w:rPr>
          <w:sz w:val="24"/>
        </w:rPr>
        <w:t>has</w:t>
      </w:r>
      <w:r>
        <w:rPr>
          <w:spacing w:val="-8"/>
          <w:sz w:val="24"/>
        </w:rPr>
        <w:t> </w:t>
      </w:r>
      <w:r>
        <w:rPr>
          <w:sz w:val="24"/>
        </w:rPr>
        <w:t>not</w:t>
      </w:r>
      <w:r>
        <w:rPr>
          <w:spacing w:val="-6"/>
          <w:sz w:val="24"/>
        </w:rPr>
        <w:t> </w:t>
      </w:r>
      <w:r>
        <w:rPr>
          <w:sz w:val="24"/>
        </w:rPr>
        <w:t>been</w:t>
      </w:r>
      <w:r>
        <w:rPr>
          <w:spacing w:val="-6"/>
          <w:sz w:val="24"/>
        </w:rPr>
        <w:t> </w:t>
      </w:r>
      <w:r>
        <w:rPr>
          <w:sz w:val="24"/>
        </w:rPr>
        <w:t>granted</w:t>
      </w:r>
      <w:r>
        <w:rPr>
          <w:spacing w:val="-5"/>
          <w:sz w:val="24"/>
        </w:rPr>
        <w:t> </w:t>
      </w:r>
      <w:r>
        <w:rPr>
          <w:sz w:val="24"/>
        </w:rPr>
        <w:t>to</w:t>
      </w:r>
      <w:r>
        <w:rPr>
          <w:spacing w:val="-8"/>
          <w:sz w:val="24"/>
        </w:rPr>
        <w:t> </w:t>
      </w:r>
      <w:r>
        <w:rPr>
          <w:sz w:val="24"/>
        </w:rPr>
        <w:t>any</w:t>
      </w:r>
      <w:r>
        <w:rPr>
          <w:spacing w:val="-6"/>
          <w:sz w:val="24"/>
        </w:rPr>
        <w:t> </w:t>
      </w:r>
      <w:r>
        <w:rPr>
          <w:sz w:val="24"/>
        </w:rPr>
        <w:t>of</w:t>
      </w:r>
      <w:r>
        <w:rPr>
          <w:spacing w:val="-6"/>
          <w:sz w:val="24"/>
        </w:rPr>
        <w:t> </w:t>
      </w:r>
      <w:r>
        <w:rPr>
          <w:sz w:val="24"/>
        </w:rPr>
        <w:t>the buildings in the layout and (b) required amenity or DP reservation, if any, has not been handed over to the Corporation.</w:t>
      </w:r>
    </w:p>
    <w:p>
      <w:pPr>
        <w:pStyle w:val="ListParagraph"/>
        <w:numPr>
          <w:ilvl w:val="0"/>
          <w:numId w:val="28"/>
        </w:numPr>
        <w:tabs>
          <w:tab w:pos="1695" w:val="left" w:leader="none"/>
        </w:tabs>
        <w:spacing w:line="240" w:lineRule="auto" w:before="242" w:after="0"/>
        <w:ind w:left="1363" w:right="1080" w:firstLine="0"/>
        <w:jc w:val="both"/>
        <w:rPr>
          <w:sz w:val="24"/>
        </w:rPr>
      </w:pPr>
      <w:r>
        <w:rPr>
          <w:sz w:val="24"/>
        </w:rPr>
        <w:t>Out of the built up area proposed to be utilized for residential purpose as per zonal basic FSI, minimum 20%</w:t>
      </w:r>
      <w:r>
        <w:rPr>
          <w:spacing w:val="40"/>
          <w:sz w:val="24"/>
        </w:rPr>
        <w:t> </w:t>
      </w:r>
      <w:r>
        <w:rPr>
          <w:sz w:val="24"/>
        </w:rPr>
        <w:t>built up area shall be used for commercial purpose as permissible in these regulations.</w:t>
      </w:r>
    </w:p>
    <w:p>
      <w:pPr>
        <w:pStyle w:val="ListParagraph"/>
        <w:numPr>
          <w:ilvl w:val="0"/>
          <w:numId w:val="28"/>
        </w:numPr>
        <w:tabs>
          <w:tab w:pos="1787" w:val="left" w:leader="none"/>
        </w:tabs>
        <w:spacing w:line="240" w:lineRule="auto" w:before="240" w:after="0"/>
        <w:ind w:left="1363" w:right="1081" w:firstLine="0"/>
        <w:jc w:val="both"/>
        <w:rPr>
          <w:sz w:val="24"/>
        </w:rPr>
      </w:pPr>
      <w:r>
        <w:rPr>
          <w:sz w:val="24"/>
        </w:rPr>
        <w:t>If the lands for industrial units are acquired</w:t>
      </w:r>
      <w:r>
        <w:rPr>
          <w:spacing w:val="40"/>
          <w:sz w:val="24"/>
        </w:rPr>
        <w:t> </w:t>
      </w:r>
      <w:r>
        <w:rPr>
          <w:sz w:val="24"/>
        </w:rPr>
        <w:t>under the provisions of part VII of the</w:t>
      </w:r>
      <w:r>
        <w:rPr>
          <w:spacing w:val="40"/>
          <w:sz w:val="24"/>
        </w:rPr>
        <w:t> </w:t>
      </w:r>
      <w:r>
        <w:rPr>
          <w:sz w:val="24"/>
        </w:rPr>
        <w:t>land acquisition Act 1894, then</w:t>
      </w:r>
      <w:r>
        <w:rPr>
          <w:spacing w:val="40"/>
          <w:sz w:val="24"/>
        </w:rPr>
        <w:t> </w:t>
      </w:r>
      <w:r>
        <w:rPr>
          <w:sz w:val="24"/>
        </w:rPr>
        <w:t>prior permission of the Government</w:t>
      </w:r>
      <w:r>
        <w:rPr>
          <w:spacing w:val="80"/>
          <w:sz w:val="24"/>
        </w:rPr>
        <w:t> </w:t>
      </w:r>
      <w:r>
        <w:rPr>
          <w:sz w:val="24"/>
        </w:rPr>
        <w:t>is necessary before permitting residential / commercial </w:t>
      </w:r>
      <w:r>
        <w:rPr>
          <w:sz w:val="24"/>
        </w:rPr>
        <w:t>use in</w:t>
      </w:r>
      <w:r>
        <w:rPr>
          <w:spacing w:val="-7"/>
          <w:sz w:val="24"/>
        </w:rPr>
        <w:t> </w:t>
      </w:r>
      <w:r>
        <w:rPr>
          <w:sz w:val="24"/>
        </w:rPr>
        <w:t>such</w:t>
      </w:r>
      <w:r>
        <w:rPr>
          <w:spacing w:val="-7"/>
          <w:sz w:val="24"/>
        </w:rPr>
        <w:t> </w:t>
      </w:r>
      <w:r>
        <w:rPr>
          <w:sz w:val="24"/>
        </w:rPr>
        <w:t>lands</w:t>
      </w:r>
      <w:r>
        <w:rPr>
          <w:spacing w:val="-7"/>
          <w:sz w:val="24"/>
        </w:rPr>
        <w:t> </w:t>
      </w:r>
      <w:r>
        <w:rPr>
          <w:sz w:val="24"/>
        </w:rPr>
        <w:t>and</w:t>
      </w:r>
      <w:r>
        <w:rPr>
          <w:spacing w:val="-7"/>
          <w:sz w:val="24"/>
        </w:rPr>
        <w:t> </w:t>
      </w:r>
      <w:r>
        <w:rPr>
          <w:sz w:val="24"/>
        </w:rPr>
        <w:t>additional</w:t>
      </w:r>
      <w:r>
        <w:rPr>
          <w:spacing w:val="-7"/>
          <w:sz w:val="24"/>
        </w:rPr>
        <w:t> </w:t>
      </w:r>
      <w:r>
        <w:rPr>
          <w:sz w:val="24"/>
        </w:rPr>
        <w:t>terms</w:t>
      </w:r>
      <w:r>
        <w:rPr>
          <w:spacing w:val="-7"/>
          <w:sz w:val="24"/>
        </w:rPr>
        <w:t> </w:t>
      </w:r>
      <w:r>
        <w:rPr>
          <w:sz w:val="24"/>
        </w:rPr>
        <w:t>and</w:t>
      </w:r>
      <w:r>
        <w:rPr>
          <w:spacing w:val="-5"/>
          <w:sz w:val="24"/>
        </w:rPr>
        <w:t> </w:t>
      </w:r>
      <w:r>
        <w:rPr>
          <w:sz w:val="24"/>
        </w:rPr>
        <w:t>conditions</w:t>
      </w:r>
      <w:r>
        <w:rPr>
          <w:spacing w:val="-7"/>
          <w:sz w:val="24"/>
        </w:rPr>
        <w:t> </w:t>
      </w:r>
      <w:r>
        <w:rPr>
          <w:sz w:val="24"/>
        </w:rPr>
        <w:t>mentioned</w:t>
      </w:r>
      <w:r>
        <w:rPr>
          <w:spacing w:val="40"/>
          <w:sz w:val="24"/>
        </w:rPr>
        <w:t> </w:t>
      </w:r>
      <w:r>
        <w:rPr>
          <w:sz w:val="24"/>
        </w:rPr>
        <w:t>in</w:t>
      </w:r>
      <w:r>
        <w:rPr>
          <w:spacing w:val="40"/>
          <w:sz w:val="24"/>
        </w:rPr>
        <w:t> </w:t>
      </w:r>
      <w:r>
        <w:rPr>
          <w:sz w:val="24"/>
        </w:rPr>
        <w:t>Revenue Department, G.R. No. MISC-01/2017/C.R.11/A-2, Dated. 11/01/2018 shall be applicable.</w:t>
      </w:r>
    </w:p>
    <w:p>
      <w:pPr>
        <w:pStyle w:val="Heading3"/>
        <w:numPr>
          <w:ilvl w:val="0"/>
          <w:numId w:val="29"/>
        </w:numPr>
        <w:tabs>
          <w:tab w:pos="1800" w:val="left" w:leader="none"/>
        </w:tabs>
        <w:spacing w:line="240" w:lineRule="auto" w:before="235" w:after="0"/>
        <w:ind w:left="1800" w:right="0" w:hanging="720"/>
        <w:jc w:val="left"/>
      </w:pPr>
      <w:r>
        <w:rPr/>
        <w:t>Inclusive</w:t>
      </w:r>
      <w:r>
        <w:rPr>
          <w:spacing w:val="-11"/>
        </w:rPr>
        <w:t> </w:t>
      </w:r>
      <w:r>
        <w:rPr/>
        <w:t>Housing</w:t>
      </w:r>
      <w:r>
        <w:rPr>
          <w:spacing w:val="-4"/>
        </w:rPr>
        <w:t> (IH)</w:t>
      </w:r>
    </w:p>
    <w:p>
      <w:pPr>
        <w:pStyle w:val="BodyText"/>
        <w:spacing w:before="245"/>
        <w:ind w:left="1800" w:right="1078"/>
      </w:pPr>
      <w:r>
        <w:rPr/>
        <w:t>In case of any residential development partially or fully consisting of sub-division/amalgamation/layout or single plot of land having gross plot area admeasuring 4000 sq.m. or more (excluding the area under Road set back/DP Road/ existing </w:t>
      </w:r>
      <w:r>
        <w:rPr>
          <w:spacing w:val="9"/>
        </w:rPr>
        <w:t>amenity/reservation) </w:t>
      </w:r>
      <w:r>
        <w:rPr/>
        <w:t>shall have the provision of IH as described below:</w:t>
      </w:r>
    </w:p>
    <w:p>
      <w:pPr>
        <w:pStyle w:val="BodyText"/>
        <w:tabs>
          <w:tab w:pos="1646" w:val="left" w:leader="none"/>
          <w:tab w:pos="2496" w:val="left" w:leader="none"/>
          <w:tab w:pos="4143" w:val="left" w:leader="none"/>
          <w:tab w:pos="4900" w:val="left" w:leader="none"/>
          <w:tab w:pos="5804" w:val="left" w:leader="none"/>
          <w:tab w:pos="6909" w:val="left" w:leader="none"/>
          <w:tab w:pos="7899" w:val="left" w:leader="none"/>
          <w:tab w:pos="8625" w:val="left" w:leader="none"/>
          <w:tab w:pos="9936" w:val="left" w:leader="none"/>
        </w:tabs>
        <w:spacing w:before="240"/>
        <w:ind w:left="1646" w:right="1075" w:hanging="360"/>
        <w:jc w:val="left"/>
      </w:pPr>
      <w:r>
        <w:rPr>
          <w:spacing w:val="-10"/>
        </w:rPr>
        <w:t>1</w:t>
      </w:r>
      <w:r>
        <w:rPr/>
        <w:tab/>
        <w:t>a)</w:t>
      </w:r>
      <w:r>
        <w:rPr>
          <w:spacing w:val="80"/>
        </w:rPr>
        <w:t> </w:t>
      </w:r>
      <w:r>
        <w:rPr/>
        <w:t>For construction of EWS/LIG tenements, minimum 20% of the plot </w:t>
      </w:r>
      <w:r>
        <w:rPr>
          <w:spacing w:val="-4"/>
        </w:rPr>
        <w:t>area</w:t>
      </w:r>
      <w:r>
        <w:rPr/>
        <w:tab/>
      </w:r>
      <w:r>
        <w:rPr>
          <w:spacing w:val="-2"/>
        </w:rPr>
        <w:t>(excluding</w:t>
      </w:r>
      <w:r>
        <w:rPr/>
        <w:tab/>
      </w:r>
      <w:r>
        <w:rPr>
          <w:spacing w:val="-5"/>
        </w:rPr>
        <w:t>the</w:t>
      </w:r>
      <w:r>
        <w:rPr/>
        <w:tab/>
      </w:r>
      <w:r>
        <w:rPr>
          <w:spacing w:val="-4"/>
        </w:rPr>
        <w:t>area</w:t>
      </w:r>
      <w:r>
        <w:rPr/>
        <w:tab/>
      </w:r>
      <w:r>
        <w:rPr>
          <w:spacing w:val="-2"/>
        </w:rPr>
        <w:t>under</w:t>
      </w:r>
      <w:r>
        <w:rPr/>
        <w:tab/>
      </w:r>
      <w:r>
        <w:rPr>
          <w:spacing w:val="-4"/>
        </w:rPr>
        <w:t>Road</w:t>
      </w:r>
      <w:r>
        <w:rPr/>
        <w:tab/>
      </w:r>
      <w:r>
        <w:rPr>
          <w:spacing w:val="-5"/>
        </w:rPr>
        <w:t>set</w:t>
      </w:r>
      <w:r>
        <w:rPr/>
        <w:tab/>
      </w:r>
      <w:r>
        <w:rPr>
          <w:spacing w:val="-2"/>
        </w:rPr>
        <w:t>back/D</w:t>
      </w:r>
      <w:r>
        <w:rPr/>
        <w:tab/>
      </w:r>
      <w:r>
        <w:rPr>
          <w:spacing w:val="-10"/>
        </w:rPr>
        <w:t>P</w:t>
      </w:r>
    </w:p>
    <w:p>
      <w:pPr>
        <w:pStyle w:val="BodyText"/>
        <w:spacing w:after="0"/>
        <w:jc w:val="left"/>
        <w:sectPr>
          <w:pgSz w:w="11910" w:h="16840"/>
          <w:pgMar w:header="746" w:footer="968" w:top="1180" w:bottom="1160" w:left="360" w:right="360"/>
        </w:sectPr>
      </w:pPr>
    </w:p>
    <w:p>
      <w:pPr>
        <w:pStyle w:val="BodyText"/>
        <w:spacing w:before="251"/>
        <w:ind w:left="1646" w:right="1082"/>
      </w:pPr>
      <w:r>
        <w:rPr/>
        <w:t>Road/designationexisting</w:t>
      </w:r>
      <w:r>
        <w:rPr>
          <w:spacing w:val="80"/>
        </w:rPr>
        <w:t> </w:t>
      </w:r>
      <w:r>
        <w:rPr/>
        <w:t>amenity/reservation)shall</w:t>
      </w:r>
      <w:r>
        <w:rPr>
          <w:spacing w:val="40"/>
        </w:rPr>
        <w:t> </w:t>
      </w:r>
      <w:r>
        <w:rPr/>
        <w:t>be</w:t>
      </w:r>
      <w:r>
        <w:rPr>
          <w:spacing w:val="40"/>
        </w:rPr>
        <w:t> </w:t>
      </w:r>
      <w:r>
        <w:rPr/>
        <w:t>handed</w:t>
      </w:r>
      <w:r>
        <w:rPr>
          <w:spacing w:val="40"/>
        </w:rPr>
        <w:t> </w:t>
      </w:r>
      <w:r>
        <w:rPr/>
        <w:t>over</w:t>
      </w:r>
      <w:r>
        <w:rPr>
          <w:spacing w:val="40"/>
        </w:rPr>
        <w:t> </w:t>
      </w:r>
      <w:r>
        <w:rPr/>
        <w:t>to MCGM free of cost.The FSI of the plot handed over to MCGM shall be allowed to be utilized on the remaining plot.</w:t>
      </w:r>
    </w:p>
    <w:p>
      <w:pPr>
        <w:pStyle w:val="ListParagraph"/>
        <w:numPr>
          <w:ilvl w:val="1"/>
          <w:numId w:val="29"/>
        </w:numPr>
        <w:tabs>
          <w:tab w:pos="1974" w:val="left" w:leader="none"/>
        </w:tabs>
        <w:spacing w:line="240" w:lineRule="auto" w:before="240" w:after="0"/>
        <w:ind w:left="1646" w:right="1076" w:firstLine="0"/>
        <w:jc w:val="both"/>
        <w:rPr>
          <w:sz w:val="24"/>
        </w:rPr>
      </w:pPr>
      <w:r>
        <w:rPr>
          <w:sz w:val="24"/>
        </w:rPr>
        <w:t>The aforesaid plot shall be handed over to MCGM within twelve 24 months from the date of approval /approval of the layout. The FSI of such plot can be utilized on remainder plot only after handing over of such</w:t>
      </w:r>
      <w:r>
        <w:rPr>
          <w:spacing w:val="-20"/>
          <w:sz w:val="24"/>
        </w:rPr>
        <w:t> </w:t>
      </w:r>
      <w:r>
        <w:rPr>
          <w:sz w:val="24"/>
        </w:rPr>
        <w:t>plot</w:t>
      </w:r>
      <w:r>
        <w:rPr>
          <w:spacing w:val="-19"/>
          <w:sz w:val="24"/>
        </w:rPr>
        <w:t> </w:t>
      </w:r>
      <w:r>
        <w:rPr>
          <w:sz w:val="24"/>
        </w:rPr>
        <w:t>to</w:t>
      </w:r>
      <w:r>
        <w:rPr>
          <w:spacing w:val="-19"/>
          <w:sz w:val="24"/>
        </w:rPr>
        <w:t> </w:t>
      </w:r>
      <w:r>
        <w:rPr>
          <w:sz w:val="24"/>
        </w:rPr>
        <w:t>MCGM</w:t>
      </w:r>
      <w:r>
        <w:rPr>
          <w:spacing w:val="-19"/>
          <w:sz w:val="24"/>
        </w:rPr>
        <w:t> </w:t>
      </w:r>
      <w:r>
        <w:rPr>
          <w:sz w:val="24"/>
        </w:rPr>
        <w:t>or</w:t>
      </w:r>
      <w:r>
        <w:rPr>
          <w:spacing w:val="-19"/>
          <w:sz w:val="24"/>
        </w:rPr>
        <w:t> </w:t>
      </w:r>
      <w:r>
        <w:rPr>
          <w:sz w:val="24"/>
        </w:rPr>
        <w:t>before</w:t>
      </w:r>
      <w:r>
        <w:rPr>
          <w:spacing w:val="-20"/>
          <w:sz w:val="24"/>
        </w:rPr>
        <w:t> </w:t>
      </w:r>
      <w:r>
        <w:rPr>
          <w:sz w:val="24"/>
        </w:rPr>
        <w:t>availing</w:t>
      </w:r>
      <w:r>
        <w:rPr>
          <w:spacing w:val="-19"/>
          <w:sz w:val="24"/>
        </w:rPr>
        <w:t> </w:t>
      </w:r>
      <w:r>
        <w:rPr>
          <w:sz w:val="24"/>
        </w:rPr>
        <w:t>Zonal</w:t>
      </w:r>
      <w:r>
        <w:rPr>
          <w:spacing w:val="-19"/>
          <w:sz w:val="24"/>
        </w:rPr>
        <w:t> </w:t>
      </w:r>
      <w:r>
        <w:rPr>
          <w:sz w:val="24"/>
        </w:rPr>
        <w:t>(basic)</w:t>
      </w:r>
      <w:r>
        <w:rPr>
          <w:spacing w:val="-19"/>
          <w:sz w:val="24"/>
        </w:rPr>
        <w:t> </w:t>
      </w:r>
      <w:r>
        <w:rPr>
          <w:sz w:val="24"/>
        </w:rPr>
        <w:t>FSI</w:t>
      </w:r>
      <w:r>
        <w:rPr>
          <w:spacing w:val="-19"/>
          <w:sz w:val="24"/>
        </w:rPr>
        <w:t> </w:t>
      </w:r>
      <w:r>
        <w:rPr>
          <w:sz w:val="24"/>
        </w:rPr>
        <w:t>beyond</w:t>
      </w:r>
      <w:r>
        <w:rPr>
          <w:spacing w:val="-20"/>
          <w:sz w:val="24"/>
        </w:rPr>
        <w:t> </w:t>
      </w:r>
      <w:r>
        <w:rPr>
          <w:sz w:val="24"/>
        </w:rPr>
        <w:t>50%75%of gross plot area or granting Occupation Certificate to last 25% of Zonal(basic) FSI in to any of the building, whichever is earlier. The ownership of such plot shall be transferred in the name of MCGM in Revenue</w:t>
      </w:r>
      <w:r>
        <w:rPr>
          <w:spacing w:val="-12"/>
          <w:sz w:val="24"/>
        </w:rPr>
        <w:t> </w:t>
      </w:r>
      <w:r>
        <w:rPr>
          <w:sz w:val="24"/>
        </w:rPr>
        <w:t>records</w:t>
      </w:r>
      <w:r>
        <w:rPr>
          <w:spacing w:val="-12"/>
          <w:sz w:val="24"/>
        </w:rPr>
        <w:t> </w:t>
      </w:r>
      <w:r>
        <w:rPr>
          <w:sz w:val="24"/>
        </w:rPr>
        <w:t>before</w:t>
      </w:r>
      <w:r>
        <w:rPr>
          <w:spacing w:val="-12"/>
          <w:sz w:val="24"/>
        </w:rPr>
        <w:t> </w:t>
      </w:r>
      <w:r>
        <w:rPr>
          <w:sz w:val="24"/>
        </w:rPr>
        <w:t>seeking</w:t>
      </w:r>
      <w:r>
        <w:rPr>
          <w:spacing w:val="-12"/>
          <w:sz w:val="24"/>
        </w:rPr>
        <w:t> </w:t>
      </w:r>
      <w:r>
        <w:rPr>
          <w:sz w:val="24"/>
        </w:rPr>
        <w:t>occupation</w:t>
      </w:r>
      <w:r>
        <w:rPr>
          <w:spacing w:val="-12"/>
          <w:sz w:val="24"/>
        </w:rPr>
        <w:t> </w:t>
      </w:r>
      <w:r>
        <w:rPr>
          <w:sz w:val="24"/>
        </w:rPr>
        <w:t>to</w:t>
      </w:r>
      <w:r>
        <w:rPr>
          <w:spacing w:val="-12"/>
          <w:sz w:val="24"/>
        </w:rPr>
        <w:t> </w:t>
      </w:r>
      <w:r>
        <w:rPr>
          <w:sz w:val="24"/>
        </w:rPr>
        <w:t>last</w:t>
      </w:r>
      <w:r>
        <w:rPr>
          <w:spacing w:val="-12"/>
          <w:sz w:val="24"/>
        </w:rPr>
        <w:t> </w:t>
      </w:r>
      <w:r>
        <w:rPr>
          <w:sz w:val="24"/>
        </w:rPr>
        <w:t>25%</w:t>
      </w:r>
      <w:r>
        <w:rPr>
          <w:spacing w:val="-12"/>
          <w:sz w:val="24"/>
        </w:rPr>
        <w:t> </w:t>
      </w:r>
      <w:r>
        <w:rPr>
          <w:sz w:val="24"/>
        </w:rPr>
        <w:t>of</w:t>
      </w:r>
      <w:r>
        <w:rPr>
          <w:spacing w:val="-11"/>
          <w:sz w:val="24"/>
        </w:rPr>
        <w:t> </w:t>
      </w:r>
      <w:r>
        <w:rPr>
          <w:sz w:val="24"/>
        </w:rPr>
        <w:t>admissible</w:t>
      </w:r>
      <w:r>
        <w:rPr>
          <w:spacing w:val="-12"/>
          <w:sz w:val="24"/>
        </w:rPr>
        <w:t> </w:t>
      </w:r>
      <w:r>
        <w:rPr>
          <w:sz w:val="24"/>
        </w:rPr>
        <w:t>FSI in any of the buildings in the layout other than IH.</w:t>
      </w:r>
    </w:p>
    <w:p>
      <w:pPr>
        <w:pStyle w:val="ListParagraph"/>
        <w:numPr>
          <w:ilvl w:val="1"/>
          <w:numId w:val="29"/>
        </w:numPr>
        <w:tabs>
          <w:tab w:pos="1909" w:val="left" w:leader="none"/>
        </w:tabs>
        <w:spacing w:line="240" w:lineRule="auto" w:before="242" w:after="0"/>
        <w:ind w:left="1646" w:right="1078" w:firstLine="0"/>
        <w:jc w:val="both"/>
        <w:rPr>
          <w:sz w:val="24"/>
        </w:rPr>
      </w:pPr>
      <w:r>
        <w:rPr>
          <w:sz w:val="24"/>
        </w:rPr>
        <w:t>MCGM</w:t>
      </w:r>
      <w:r>
        <w:rPr>
          <w:spacing w:val="-13"/>
          <w:sz w:val="24"/>
        </w:rPr>
        <w:t> </w:t>
      </w:r>
      <w:r>
        <w:rPr>
          <w:sz w:val="24"/>
        </w:rPr>
        <w:t>after</w:t>
      </w:r>
      <w:r>
        <w:rPr>
          <w:spacing w:val="-13"/>
          <w:sz w:val="24"/>
        </w:rPr>
        <w:t> </w:t>
      </w:r>
      <w:r>
        <w:rPr>
          <w:sz w:val="24"/>
        </w:rPr>
        <w:t>receipt</w:t>
      </w:r>
      <w:r>
        <w:rPr>
          <w:spacing w:val="-13"/>
          <w:sz w:val="24"/>
        </w:rPr>
        <w:t> </w:t>
      </w:r>
      <w:r>
        <w:rPr>
          <w:sz w:val="24"/>
        </w:rPr>
        <w:t>of</w:t>
      </w:r>
      <w:r>
        <w:rPr>
          <w:spacing w:val="-13"/>
          <w:sz w:val="24"/>
        </w:rPr>
        <w:t> </w:t>
      </w:r>
      <w:r>
        <w:rPr>
          <w:sz w:val="24"/>
        </w:rPr>
        <w:t>such</w:t>
      </w:r>
      <w:r>
        <w:rPr>
          <w:spacing w:val="-13"/>
          <w:sz w:val="24"/>
        </w:rPr>
        <w:t> </w:t>
      </w:r>
      <w:r>
        <w:rPr>
          <w:sz w:val="24"/>
        </w:rPr>
        <w:t>plot</w:t>
      </w:r>
      <w:r>
        <w:rPr>
          <w:spacing w:val="-13"/>
          <w:sz w:val="24"/>
        </w:rPr>
        <w:t> </w:t>
      </w:r>
      <w:r>
        <w:rPr>
          <w:sz w:val="24"/>
        </w:rPr>
        <w:t>shall</w:t>
      </w:r>
      <w:r>
        <w:rPr>
          <w:spacing w:val="-13"/>
          <w:sz w:val="24"/>
        </w:rPr>
        <w:t> </w:t>
      </w:r>
      <w:r>
        <w:rPr>
          <w:sz w:val="24"/>
        </w:rPr>
        <w:t>immediately</w:t>
      </w:r>
      <w:r>
        <w:rPr>
          <w:spacing w:val="-13"/>
          <w:sz w:val="24"/>
        </w:rPr>
        <w:t> </w:t>
      </w:r>
      <w:r>
        <w:rPr>
          <w:sz w:val="24"/>
        </w:rPr>
        <w:t>formulate</w:t>
      </w:r>
      <w:r>
        <w:rPr>
          <w:spacing w:val="-13"/>
          <w:sz w:val="24"/>
        </w:rPr>
        <w:t> </w:t>
      </w:r>
      <w:r>
        <w:rPr>
          <w:sz w:val="24"/>
        </w:rPr>
        <w:t>a</w:t>
      </w:r>
      <w:r>
        <w:rPr>
          <w:spacing w:val="-12"/>
          <w:sz w:val="24"/>
        </w:rPr>
        <w:t> </w:t>
      </w:r>
      <w:r>
        <w:rPr>
          <w:sz w:val="24"/>
        </w:rPr>
        <w:t>scheme of</w:t>
      </w:r>
      <w:r>
        <w:rPr>
          <w:spacing w:val="-15"/>
          <w:sz w:val="24"/>
        </w:rPr>
        <w:t> </w:t>
      </w:r>
      <w:r>
        <w:rPr>
          <w:sz w:val="24"/>
        </w:rPr>
        <w:t>development</w:t>
      </w:r>
      <w:r>
        <w:rPr>
          <w:spacing w:val="-15"/>
          <w:sz w:val="24"/>
        </w:rPr>
        <w:t> </w:t>
      </w:r>
      <w:r>
        <w:rPr>
          <w:sz w:val="24"/>
        </w:rPr>
        <w:t>for</w:t>
      </w:r>
      <w:r>
        <w:rPr>
          <w:spacing w:val="-18"/>
          <w:sz w:val="24"/>
        </w:rPr>
        <w:t> </w:t>
      </w:r>
      <w:r>
        <w:rPr>
          <w:sz w:val="24"/>
        </w:rPr>
        <w:t>IH</w:t>
      </w:r>
      <w:r>
        <w:rPr>
          <w:spacing w:val="-15"/>
          <w:sz w:val="24"/>
        </w:rPr>
        <w:t> </w:t>
      </w:r>
      <w:r>
        <w:rPr>
          <w:sz w:val="24"/>
        </w:rPr>
        <w:t>wherein</w:t>
      </w:r>
      <w:r>
        <w:rPr>
          <w:spacing w:val="-15"/>
          <w:sz w:val="24"/>
        </w:rPr>
        <w:t> </w:t>
      </w:r>
      <w:r>
        <w:rPr>
          <w:sz w:val="24"/>
        </w:rPr>
        <w:t>the</w:t>
      </w:r>
      <w:r>
        <w:rPr>
          <w:spacing w:val="-15"/>
          <w:sz w:val="24"/>
        </w:rPr>
        <w:t> </w:t>
      </w:r>
      <w:r>
        <w:rPr>
          <w:sz w:val="24"/>
        </w:rPr>
        <w:t>size</w:t>
      </w:r>
      <w:r>
        <w:rPr>
          <w:spacing w:val="-18"/>
          <w:sz w:val="24"/>
        </w:rPr>
        <w:t> </w:t>
      </w:r>
      <w:r>
        <w:rPr>
          <w:sz w:val="24"/>
        </w:rPr>
        <w:t>of</w:t>
      </w:r>
      <w:r>
        <w:rPr>
          <w:spacing w:val="-18"/>
          <w:sz w:val="24"/>
        </w:rPr>
        <w:t> </w:t>
      </w:r>
      <w:r>
        <w:rPr>
          <w:sz w:val="24"/>
        </w:rPr>
        <w:t>tenement</w:t>
      </w:r>
      <w:r>
        <w:rPr>
          <w:spacing w:val="-15"/>
          <w:sz w:val="24"/>
        </w:rPr>
        <w:t> </w:t>
      </w:r>
      <w:r>
        <w:rPr>
          <w:sz w:val="24"/>
        </w:rPr>
        <w:t>shall</w:t>
      </w:r>
      <w:r>
        <w:rPr>
          <w:spacing w:val="-15"/>
          <w:sz w:val="24"/>
        </w:rPr>
        <w:t> </w:t>
      </w:r>
      <w:r>
        <w:rPr>
          <w:sz w:val="24"/>
        </w:rPr>
        <w:t>have</w:t>
      </w:r>
      <w:r>
        <w:rPr>
          <w:spacing w:val="-18"/>
          <w:sz w:val="24"/>
        </w:rPr>
        <w:t> </w:t>
      </w:r>
      <w:r>
        <w:rPr>
          <w:sz w:val="24"/>
        </w:rPr>
        <w:t>carpet</w:t>
      </w:r>
      <w:r>
        <w:rPr>
          <w:spacing w:val="-15"/>
          <w:sz w:val="24"/>
        </w:rPr>
        <w:t> </w:t>
      </w:r>
      <w:r>
        <w:rPr>
          <w:sz w:val="24"/>
        </w:rPr>
        <w:t>area for EWS/LIG Housing as decided by the Housing Department, Government of Maharashtra, from time to time. Between 25sq. m. and</w:t>
      </w:r>
    </w:p>
    <w:p>
      <w:pPr>
        <w:pStyle w:val="BodyText"/>
        <w:spacing w:line="280" w:lineRule="exact"/>
        <w:ind w:left="1646"/>
      </w:pPr>
      <w:r>
        <w:rPr/>
        <w:t>27.88</w:t>
      </w:r>
      <w:r>
        <w:rPr>
          <w:spacing w:val="-13"/>
        </w:rPr>
        <w:t> </w:t>
      </w:r>
      <w:r>
        <w:rPr/>
        <w:t>sq.</w:t>
      </w:r>
      <w:r>
        <w:rPr>
          <w:spacing w:val="-13"/>
        </w:rPr>
        <w:t> </w:t>
      </w:r>
      <w:r>
        <w:rPr/>
        <w:t>m.</w:t>
      </w:r>
      <w:r>
        <w:rPr>
          <w:spacing w:val="-12"/>
        </w:rPr>
        <w:t> </w:t>
      </w:r>
      <w:r>
        <w:rPr/>
        <w:t>Further,</w:t>
      </w:r>
      <w:r>
        <w:rPr>
          <w:spacing w:val="-13"/>
        </w:rPr>
        <w:t> </w:t>
      </w:r>
      <w:r>
        <w:rPr/>
        <w:t>such</w:t>
      </w:r>
      <w:r>
        <w:rPr>
          <w:spacing w:val="-12"/>
        </w:rPr>
        <w:t> </w:t>
      </w:r>
      <w:r>
        <w:rPr/>
        <w:t>plots</w:t>
      </w:r>
      <w:r>
        <w:rPr>
          <w:spacing w:val="-13"/>
        </w:rPr>
        <w:t> </w:t>
      </w:r>
      <w:r>
        <w:rPr/>
        <w:t>shall</w:t>
      </w:r>
      <w:r>
        <w:rPr>
          <w:spacing w:val="-12"/>
        </w:rPr>
        <w:t> </w:t>
      </w:r>
      <w:r>
        <w:rPr/>
        <w:t>not</w:t>
      </w:r>
      <w:r>
        <w:rPr>
          <w:spacing w:val="-11"/>
        </w:rPr>
        <w:t> </w:t>
      </w:r>
      <w:r>
        <w:rPr/>
        <w:t>be</w:t>
      </w:r>
      <w:r>
        <w:rPr>
          <w:spacing w:val="-12"/>
        </w:rPr>
        <w:t> </w:t>
      </w:r>
      <w:r>
        <w:rPr/>
        <w:t>used</w:t>
      </w:r>
      <w:r>
        <w:rPr>
          <w:spacing w:val="-13"/>
        </w:rPr>
        <w:t> </w:t>
      </w:r>
      <w:r>
        <w:rPr/>
        <w:t>for</w:t>
      </w:r>
      <w:r>
        <w:rPr>
          <w:spacing w:val="-12"/>
        </w:rPr>
        <w:t> </w:t>
      </w:r>
      <w:r>
        <w:rPr/>
        <w:t>any</w:t>
      </w:r>
      <w:r>
        <w:rPr>
          <w:spacing w:val="-13"/>
        </w:rPr>
        <w:t> </w:t>
      </w:r>
      <w:r>
        <w:rPr/>
        <w:t>other</w:t>
      </w:r>
      <w:r>
        <w:rPr>
          <w:spacing w:val="-12"/>
        </w:rPr>
        <w:t> </w:t>
      </w:r>
      <w:r>
        <w:rPr>
          <w:spacing w:val="-2"/>
        </w:rPr>
        <w:t>purpose.</w:t>
      </w:r>
    </w:p>
    <w:p>
      <w:pPr>
        <w:pStyle w:val="BodyText"/>
        <w:spacing w:before="241"/>
        <w:ind w:left="1646" w:right="1079"/>
      </w:pPr>
      <w:r>
        <w:rPr/>
        <w:t>Provided that in case the Landowner</w:t>
      </w:r>
      <w:r>
        <w:rPr>
          <w:i/>
        </w:rPr>
        <w:t>/</w:t>
      </w:r>
      <w:r>
        <w:rPr/>
        <w:t>Developer desires not to utilize such FSI in the same land, fully or partly, then he shall be eligible for TDR in lieu of such unutilized FSI. The utilization of this TDR shall be subject to the prevailing provisions of DCR and as per the following </w:t>
      </w:r>
      <w:r>
        <w:rPr>
          <w:spacing w:val="-2"/>
        </w:rPr>
        <w:t>formula.</w:t>
      </w:r>
    </w:p>
    <w:p>
      <w:pPr>
        <w:pStyle w:val="BodyText"/>
        <w:spacing w:before="240"/>
        <w:ind w:left="1646"/>
        <w:jc w:val="left"/>
      </w:pPr>
      <w:r>
        <w:rPr>
          <w:spacing w:val="-2"/>
        </w:rPr>
        <w:t>Formula:</w:t>
      </w:r>
    </w:p>
    <w:p>
      <w:pPr>
        <w:pStyle w:val="BodyText"/>
        <w:spacing w:before="240"/>
        <w:ind w:left="1800"/>
        <w:jc w:val="left"/>
      </w:pPr>
      <w:r>
        <w:rPr/>
        <w:t>X=</w:t>
      </w:r>
      <w:r>
        <w:rPr>
          <w:spacing w:val="-2"/>
        </w:rPr>
        <w:t> </w:t>
      </w:r>
      <w:r>
        <w:rPr/>
        <w:t>(Rg/Rr)</w:t>
      </w:r>
      <w:r>
        <w:rPr>
          <w:spacing w:val="-1"/>
        </w:rPr>
        <w:t> </w:t>
      </w:r>
      <w:r>
        <w:rPr>
          <w:spacing w:val="-5"/>
        </w:rPr>
        <w:t>*Y</w:t>
      </w:r>
    </w:p>
    <w:p>
      <w:pPr>
        <w:pStyle w:val="BodyText"/>
        <w:spacing w:before="239"/>
        <w:ind w:left="1646"/>
        <w:jc w:val="left"/>
      </w:pPr>
      <w:r>
        <w:rPr/>
        <w:t>Where,</w:t>
      </w:r>
      <w:r>
        <w:rPr>
          <w:spacing w:val="-1"/>
        </w:rPr>
        <w:t> </w:t>
      </w:r>
      <w:r>
        <w:rPr/>
        <w:t>X</w:t>
      </w:r>
      <w:r>
        <w:rPr>
          <w:spacing w:val="-1"/>
        </w:rPr>
        <w:t> </w:t>
      </w:r>
      <w:r>
        <w:rPr/>
        <w:t>=</w:t>
      </w:r>
      <w:r>
        <w:rPr>
          <w:spacing w:val="-1"/>
        </w:rPr>
        <w:t> </w:t>
      </w:r>
      <w:r>
        <w:rPr/>
        <w:t>Utilization</w:t>
      </w:r>
      <w:r>
        <w:rPr>
          <w:spacing w:val="-1"/>
        </w:rPr>
        <w:t> </w:t>
      </w:r>
      <w:r>
        <w:rPr/>
        <w:t>of</w:t>
      </w:r>
      <w:r>
        <w:rPr>
          <w:spacing w:val="-1"/>
        </w:rPr>
        <w:t> </w:t>
      </w:r>
      <w:r>
        <w:rPr/>
        <w:t>Development</w:t>
      </w:r>
      <w:r>
        <w:rPr>
          <w:spacing w:val="-1"/>
        </w:rPr>
        <w:t> </w:t>
      </w:r>
      <w:r>
        <w:rPr/>
        <w:t>Right</w:t>
      </w:r>
      <w:r>
        <w:rPr>
          <w:spacing w:val="-1"/>
        </w:rPr>
        <w:t> </w:t>
      </w:r>
      <w:r>
        <w:rPr/>
        <w:t>(DR)</w:t>
      </w:r>
      <w:r>
        <w:rPr>
          <w:spacing w:val="-1"/>
        </w:rPr>
        <w:t> </w:t>
      </w:r>
      <w:r>
        <w:rPr/>
        <w:t>on</w:t>
      </w:r>
      <w:r>
        <w:rPr>
          <w:spacing w:val="-1"/>
        </w:rPr>
        <w:t> </w:t>
      </w:r>
      <w:r>
        <w:rPr/>
        <w:t>the</w:t>
      </w:r>
      <w:r>
        <w:rPr>
          <w:spacing w:val="-1"/>
        </w:rPr>
        <w:t> </w:t>
      </w:r>
      <w:r>
        <w:rPr/>
        <w:t>receiving</w:t>
      </w:r>
      <w:r>
        <w:rPr>
          <w:spacing w:val="-1"/>
        </w:rPr>
        <w:t> </w:t>
      </w:r>
      <w:r>
        <w:rPr>
          <w:spacing w:val="-2"/>
        </w:rPr>
        <w:t>plot.</w:t>
      </w:r>
    </w:p>
    <w:p>
      <w:pPr>
        <w:pStyle w:val="BodyText"/>
        <w:spacing w:before="241"/>
        <w:ind w:left="1646" w:right="1080"/>
      </w:pPr>
      <w:r>
        <w:rPr/>
        <w:t>Rg = Land Rate in Rs. per sq. m as per the Annual Schedule of Rates (herein after referred to as “ASR") of generating plot in the year when project is sanctioned IOD/IOA is issued.</w:t>
      </w:r>
    </w:p>
    <w:p>
      <w:pPr>
        <w:pStyle w:val="BodyText"/>
        <w:spacing w:before="240"/>
        <w:ind w:left="1646" w:right="838"/>
        <w:jc w:val="left"/>
      </w:pPr>
      <w:r>
        <w:rPr/>
        <w:t>Rr = Land Rate in Rs. per sq. m as per ASR of the receiving plot of the</w:t>
      </w:r>
      <w:r>
        <w:rPr>
          <w:spacing w:val="40"/>
        </w:rPr>
        <w:t> </w:t>
      </w:r>
      <w:r>
        <w:rPr/>
        <w:t>same year of generating plot.</w:t>
      </w:r>
    </w:p>
    <w:p>
      <w:pPr>
        <w:pStyle w:val="BodyText"/>
        <w:spacing w:before="241"/>
        <w:ind w:left="1646"/>
        <w:jc w:val="left"/>
      </w:pPr>
      <w:r>
        <w:rPr/>
        <w:t>Y</w:t>
      </w:r>
      <w:r>
        <w:rPr>
          <w:spacing w:val="-3"/>
        </w:rPr>
        <w:t> </w:t>
      </w:r>
      <w:r>
        <w:rPr/>
        <w:t>=</w:t>
      </w:r>
      <w:r>
        <w:rPr>
          <w:spacing w:val="-3"/>
        </w:rPr>
        <w:t> </w:t>
      </w:r>
      <w:r>
        <w:rPr/>
        <w:t>Unutilized</w:t>
      </w:r>
      <w:r>
        <w:rPr>
          <w:spacing w:val="-3"/>
        </w:rPr>
        <w:t> </w:t>
      </w:r>
      <w:r>
        <w:rPr>
          <w:spacing w:val="-4"/>
        </w:rPr>
        <w:t>FSI.</w:t>
      </w:r>
    </w:p>
    <w:p>
      <w:pPr>
        <w:pStyle w:val="ListParagraph"/>
        <w:numPr>
          <w:ilvl w:val="1"/>
          <w:numId w:val="29"/>
        </w:numPr>
        <w:tabs>
          <w:tab w:pos="2070" w:val="left" w:leader="none"/>
        </w:tabs>
        <w:spacing w:line="240" w:lineRule="auto" w:before="239" w:after="0"/>
        <w:ind w:left="1646" w:right="1079" w:firstLine="0"/>
        <w:jc w:val="both"/>
        <w:rPr>
          <w:sz w:val="24"/>
        </w:rPr>
      </w:pPr>
      <w:r>
        <w:rPr>
          <w:sz w:val="24"/>
        </w:rPr>
        <w:t>In</w:t>
      </w:r>
      <w:r>
        <w:rPr>
          <w:spacing w:val="-1"/>
          <w:sz w:val="24"/>
        </w:rPr>
        <w:t> </w:t>
      </w:r>
      <w:r>
        <w:rPr>
          <w:sz w:val="24"/>
        </w:rPr>
        <w:t>case</w:t>
      </w:r>
      <w:r>
        <w:rPr>
          <w:spacing w:val="-1"/>
          <w:sz w:val="24"/>
        </w:rPr>
        <w:t> </w:t>
      </w:r>
      <w:r>
        <w:rPr>
          <w:sz w:val="24"/>
        </w:rPr>
        <w:t>the</w:t>
      </w:r>
      <w:r>
        <w:rPr>
          <w:spacing w:val="-1"/>
          <w:sz w:val="24"/>
        </w:rPr>
        <w:t> </w:t>
      </w:r>
      <w:r>
        <w:rPr>
          <w:sz w:val="24"/>
        </w:rPr>
        <w:t>owner/developer</w:t>
      </w:r>
      <w:r>
        <w:rPr>
          <w:spacing w:val="-1"/>
          <w:sz w:val="24"/>
        </w:rPr>
        <w:t> </w:t>
      </w:r>
      <w:r>
        <w:rPr>
          <w:sz w:val="24"/>
        </w:rPr>
        <w:t>opts to</w:t>
      </w:r>
      <w:r>
        <w:rPr>
          <w:spacing w:val="-1"/>
          <w:sz w:val="24"/>
        </w:rPr>
        <w:t> </w:t>
      </w:r>
      <w:r>
        <w:rPr>
          <w:sz w:val="24"/>
        </w:rPr>
        <w:t>utilize</w:t>
      </w:r>
      <w:r>
        <w:rPr>
          <w:spacing w:val="-1"/>
          <w:sz w:val="24"/>
        </w:rPr>
        <w:t> </w:t>
      </w:r>
      <w:r>
        <w:rPr>
          <w:sz w:val="24"/>
        </w:rPr>
        <w:t>the</w:t>
      </w:r>
      <w:r>
        <w:rPr>
          <w:spacing w:val="-1"/>
          <w:sz w:val="24"/>
        </w:rPr>
        <w:t> </w:t>
      </w:r>
      <w:r>
        <w:rPr>
          <w:sz w:val="24"/>
        </w:rPr>
        <w:t>FSI on</w:t>
      </w:r>
      <w:r>
        <w:rPr>
          <w:spacing w:val="-4"/>
          <w:sz w:val="24"/>
        </w:rPr>
        <w:t> </w:t>
      </w:r>
      <w:r>
        <w:rPr>
          <w:sz w:val="24"/>
        </w:rPr>
        <w:t>the</w:t>
      </w:r>
      <w:r>
        <w:rPr>
          <w:spacing w:val="-1"/>
          <w:sz w:val="24"/>
        </w:rPr>
        <w:t> </w:t>
      </w:r>
      <w:r>
        <w:rPr>
          <w:sz w:val="24"/>
        </w:rPr>
        <w:t>remainder plot/within layout, the permissibility of the FSI for the purpose of development on balance plot shall be considered on the gross plot area including excluding the area to be handed over to MCGM for IH.</w:t>
      </w:r>
    </w:p>
    <w:p>
      <w:pPr>
        <w:pStyle w:val="BodyText"/>
        <w:spacing w:before="239"/>
        <w:ind w:left="2457"/>
        <w:jc w:val="center"/>
      </w:pPr>
      <w:r>
        <w:rPr>
          <w:spacing w:val="-5"/>
        </w:rPr>
        <w:t>OR</w:t>
      </w:r>
    </w:p>
    <w:p>
      <w:pPr>
        <w:pStyle w:val="BodyText"/>
        <w:spacing w:before="242"/>
        <w:ind w:left="1646" w:right="1081" w:hanging="269"/>
      </w:pPr>
      <w:r>
        <w:rPr/>
        <w:t>2) EWS/LIG Housing in the form of tenements of size ranging between carpet area of size</w:t>
      </w:r>
      <w:r>
        <w:rPr>
          <w:spacing w:val="40"/>
        </w:rPr>
        <w:t> </w:t>
      </w:r>
      <w:r>
        <w:rPr/>
        <w:t>25</w:t>
      </w:r>
      <w:r>
        <w:rPr>
          <w:spacing w:val="40"/>
        </w:rPr>
        <w:t> </w:t>
      </w:r>
      <w:r>
        <w:rPr/>
        <w:t>to 27.88 sq. m or as decided by the Housing Department,</w:t>
      </w:r>
      <w:r>
        <w:rPr>
          <w:spacing w:val="51"/>
        </w:rPr>
        <w:t> </w:t>
      </w:r>
      <w:r>
        <w:rPr/>
        <w:t>Government</w:t>
      </w:r>
      <w:r>
        <w:rPr>
          <w:spacing w:val="51"/>
        </w:rPr>
        <w:t> </w:t>
      </w:r>
      <w:r>
        <w:rPr/>
        <w:t>of</w:t>
      </w:r>
      <w:r>
        <w:rPr>
          <w:spacing w:val="51"/>
        </w:rPr>
        <w:t> </w:t>
      </w:r>
      <w:r>
        <w:rPr/>
        <w:t>Maharashtra,</w:t>
      </w:r>
      <w:r>
        <w:rPr>
          <w:spacing w:val="51"/>
        </w:rPr>
        <w:t> </w:t>
      </w:r>
      <w:r>
        <w:rPr/>
        <w:t>from</w:t>
      </w:r>
      <w:r>
        <w:rPr>
          <w:spacing w:val="51"/>
        </w:rPr>
        <w:t> </w:t>
      </w:r>
      <w:r>
        <w:rPr/>
        <w:t>time</w:t>
      </w:r>
      <w:r>
        <w:rPr>
          <w:spacing w:val="51"/>
        </w:rPr>
        <w:t> </w:t>
      </w:r>
      <w:r>
        <w:rPr/>
        <w:t>to</w:t>
      </w:r>
      <w:r>
        <w:rPr>
          <w:spacing w:val="51"/>
        </w:rPr>
        <w:t> </w:t>
      </w:r>
      <w:r>
        <w:rPr/>
        <w:t>time.</w:t>
      </w:r>
      <w:r>
        <w:rPr>
          <w:spacing w:val="55"/>
        </w:rPr>
        <w:t> </w:t>
      </w:r>
      <w:r>
        <w:rPr>
          <w:spacing w:val="-2"/>
        </w:rPr>
        <w:t>(herein</w:t>
      </w:r>
    </w:p>
    <w:p>
      <w:pPr>
        <w:pStyle w:val="BodyText"/>
        <w:spacing w:after="0"/>
        <w:sectPr>
          <w:headerReference w:type="default" r:id="rId18"/>
          <w:footerReference w:type="default" r:id="rId19"/>
          <w:pgSz w:w="11910" w:h="16840"/>
          <w:pgMar w:header="746" w:footer="968" w:top="1180" w:bottom="1160" w:left="360" w:right="360"/>
        </w:sectPr>
      </w:pPr>
    </w:p>
    <w:p>
      <w:pPr>
        <w:pStyle w:val="BodyText"/>
        <w:spacing w:before="251"/>
        <w:ind w:left="1646" w:right="1078"/>
      </w:pPr>
      <w:r>
        <w:rPr/>
        <w:t>after referred to as 'IH tenements') and shall be constructed at least to the</w:t>
      </w:r>
      <w:r>
        <w:rPr>
          <w:spacing w:val="-1"/>
        </w:rPr>
        <w:t> </w:t>
      </w:r>
      <w:r>
        <w:rPr/>
        <w:t>extent</w:t>
      </w:r>
      <w:r>
        <w:rPr>
          <w:spacing w:val="-1"/>
        </w:rPr>
        <w:t> </w:t>
      </w:r>
      <w:r>
        <w:rPr/>
        <w:t>of</w:t>
      </w:r>
      <w:r>
        <w:rPr>
          <w:spacing w:val="-1"/>
        </w:rPr>
        <w:t> </w:t>
      </w:r>
      <w:r>
        <w:rPr/>
        <w:t>20%</w:t>
      </w:r>
      <w:r>
        <w:rPr>
          <w:spacing w:val="-1"/>
        </w:rPr>
        <w:t> </w:t>
      </w:r>
      <w:r>
        <w:rPr/>
        <w:t>of the</w:t>
      </w:r>
      <w:r>
        <w:rPr>
          <w:spacing w:val="-1"/>
        </w:rPr>
        <w:t> </w:t>
      </w:r>
      <w:r>
        <w:rPr/>
        <w:t>Zonal(basic) FSI.</w:t>
      </w:r>
      <w:r>
        <w:rPr>
          <w:spacing w:val="-4"/>
        </w:rPr>
        <w:t> </w:t>
      </w:r>
      <w:r>
        <w:rPr/>
        <w:t>Such</w:t>
      </w:r>
      <w:r>
        <w:rPr>
          <w:spacing w:val="-1"/>
        </w:rPr>
        <w:t> </w:t>
      </w:r>
      <w:r>
        <w:rPr/>
        <w:t>housing</w:t>
      </w:r>
      <w:r>
        <w:rPr>
          <w:spacing w:val="-1"/>
        </w:rPr>
        <w:t> </w:t>
      </w:r>
      <w:r>
        <w:rPr/>
        <w:t>shall preferably be</w:t>
      </w:r>
      <w:r>
        <w:rPr>
          <w:spacing w:val="-11"/>
        </w:rPr>
        <w:t> </w:t>
      </w:r>
      <w:r>
        <w:rPr/>
        <w:t>in</w:t>
      </w:r>
      <w:r>
        <w:rPr>
          <w:spacing w:val="-11"/>
        </w:rPr>
        <w:t> </w:t>
      </w:r>
      <w:r>
        <w:rPr/>
        <w:t>separate</w:t>
      </w:r>
      <w:r>
        <w:rPr>
          <w:spacing w:val="-11"/>
        </w:rPr>
        <w:t> </w:t>
      </w:r>
      <w:r>
        <w:rPr/>
        <w:t>wing/building</w:t>
      </w:r>
      <w:r>
        <w:rPr>
          <w:spacing w:val="-10"/>
        </w:rPr>
        <w:t> </w:t>
      </w:r>
      <w:r>
        <w:rPr/>
        <w:t>and</w:t>
      </w:r>
      <w:r>
        <w:rPr>
          <w:spacing w:val="-11"/>
        </w:rPr>
        <w:t> </w:t>
      </w:r>
      <w:r>
        <w:rPr/>
        <w:t>shall</w:t>
      </w:r>
      <w:r>
        <w:rPr>
          <w:spacing w:val="-11"/>
        </w:rPr>
        <w:t> </w:t>
      </w:r>
      <w:r>
        <w:rPr/>
        <w:t>be</w:t>
      </w:r>
      <w:r>
        <w:rPr>
          <w:spacing w:val="-11"/>
        </w:rPr>
        <w:t> </w:t>
      </w:r>
      <w:r>
        <w:rPr/>
        <w:t>handed</w:t>
      </w:r>
      <w:r>
        <w:rPr>
          <w:spacing w:val="-11"/>
        </w:rPr>
        <w:t> </w:t>
      </w:r>
      <w:r>
        <w:rPr/>
        <w:t>over</w:t>
      </w:r>
      <w:r>
        <w:rPr>
          <w:spacing w:val="-11"/>
        </w:rPr>
        <w:t> </w:t>
      </w:r>
      <w:r>
        <w:rPr/>
        <w:t>to</w:t>
      </w:r>
      <w:r>
        <w:rPr>
          <w:spacing w:val="-11"/>
        </w:rPr>
        <w:t> </w:t>
      </w:r>
      <w:r>
        <w:rPr/>
        <w:t>MCGM</w:t>
      </w:r>
      <w:r>
        <w:rPr>
          <w:spacing w:val="-17"/>
        </w:rPr>
        <w:t> </w:t>
      </w:r>
      <w:r>
        <w:rPr/>
        <w:t>subject to the following conditions: -</w:t>
      </w:r>
    </w:p>
    <w:p>
      <w:pPr>
        <w:pStyle w:val="ListParagraph"/>
        <w:numPr>
          <w:ilvl w:val="0"/>
          <w:numId w:val="30"/>
        </w:numPr>
        <w:tabs>
          <w:tab w:pos="1997" w:val="left" w:leader="none"/>
        </w:tabs>
        <w:spacing w:line="240" w:lineRule="auto" w:before="242" w:after="0"/>
        <w:ind w:left="1646" w:right="1078" w:firstLine="0"/>
        <w:jc w:val="both"/>
        <w:rPr>
          <w:sz w:val="24"/>
        </w:rPr>
      </w:pPr>
      <w:r>
        <w:rPr>
          <w:sz w:val="24"/>
        </w:rPr>
        <w:t>The</w:t>
      </w:r>
      <w:r>
        <w:rPr>
          <w:spacing w:val="-11"/>
          <w:sz w:val="24"/>
        </w:rPr>
        <w:t> </w:t>
      </w:r>
      <w:r>
        <w:rPr>
          <w:sz w:val="24"/>
        </w:rPr>
        <w:t>BUA</w:t>
      </w:r>
      <w:r>
        <w:rPr>
          <w:spacing w:val="-11"/>
          <w:sz w:val="24"/>
        </w:rPr>
        <w:t> </w:t>
      </w:r>
      <w:r>
        <w:rPr>
          <w:sz w:val="24"/>
        </w:rPr>
        <w:t>of</w:t>
      </w:r>
      <w:r>
        <w:rPr>
          <w:spacing w:val="-11"/>
          <w:sz w:val="24"/>
        </w:rPr>
        <w:t> </w:t>
      </w:r>
      <w:r>
        <w:rPr>
          <w:sz w:val="24"/>
        </w:rPr>
        <w:t>the</w:t>
      </w:r>
      <w:r>
        <w:rPr>
          <w:spacing w:val="-10"/>
          <w:sz w:val="24"/>
        </w:rPr>
        <w:t> </w:t>
      </w:r>
      <w:r>
        <w:rPr>
          <w:sz w:val="24"/>
        </w:rPr>
        <w:t>IH</w:t>
      </w:r>
      <w:r>
        <w:rPr>
          <w:spacing w:val="-13"/>
          <w:sz w:val="24"/>
        </w:rPr>
        <w:t> </w:t>
      </w:r>
      <w:r>
        <w:rPr>
          <w:sz w:val="24"/>
        </w:rPr>
        <w:t>tenements</w:t>
      </w:r>
      <w:r>
        <w:rPr>
          <w:spacing w:val="-11"/>
          <w:sz w:val="24"/>
        </w:rPr>
        <w:t> </w:t>
      </w:r>
      <w:r>
        <w:rPr>
          <w:sz w:val="24"/>
        </w:rPr>
        <w:t>constructed</w:t>
      </w:r>
      <w:r>
        <w:rPr>
          <w:spacing w:val="-11"/>
          <w:sz w:val="24"/>
        </w:rPr>
        <w:t> </w:t>
      </w:r>
      <w:r>
        <w:rPr>
          <w:sz w:val="24"/>
        </w:rPr>
        <w:t>under</w:t>
      </w:r>
      <w:r>
        <w:rPr>
          <w:spacing w:val="-10"/>
          <w:sz w:val="24"/>
        </w:rPr>
        <w:t> </w:t>
      </w:r>
      <w:r>
        <w:rPr>
          <w:sz w:val="24"/>
        </w:rPr>
        <w:t>the</w:t>
      </w:r>
      <w:r>
        <w:rPr>
          <w:spacing w:val="-11"/>
          <w:sz w:val="24"/>
        </w:rPr>
        <w:t> </w:t>
      </w:r>
      <w:r>
        <w:rPr>
          <w:sz w:val="24"/>
        </w:rPr>
        <w:t>scheme</w:t>
      </w:r>
      <w:r>
        <w:rPr>
          <w:spacing w:val="-11"/>
          <w:sz w:val="24"/>
        </w:rPr>
        <w:t> </w:t>
      </w:r>
      <w:r>
        <w:rPr>
          <w:sz w:val="24"/>
        </w:rPr>
        <w:t>shall</w:t>
      </w:r>
      <w:r>
        <w:rPr>
          <w:spacing w:val="-11"/>
          <w:sz w:val="24"/>
        </w:rPr>
        <w:t> </w:t>
      </w:r>
      <w:r>
        <w:rPr>
          <w:sz w:val="24"/>
        </w:rPr>
        <w:t>not be counted towards FSI and such built up area shall be allowed over &amp; above the permissible BUA under these regulations.</w:t>
      </w:r>
    </w:p>
    <w:p>
      <w:pPr>
        <w:pStyle w:val="ListParagraph"/>
        <w:numPr>
          <w:ilvl w:val="0"/>
          <w:numId w:val="30"/>
        </w:numPr>
        <w:tabs>
          <w:tab w:pos="2019" w:val="left" w:leader="none"/>
        </w:tabs>
        <w:spacing w:line="240" w:lineRule="auto" w:before="239" w:after="0"/>
        <w:ind w:left="1646" w:right="1078" w:firstLine="0"/>
        <w:jc w:val="both"/>
        <w:rPr>
          <w:sz w:val="24"/>
        </w:rPr>
      </w:pPr>
      <w:r>
        <w:rPr>
          <w:sz w:val="24"/>
        </w:rPr>
        <w:t>The Landowner/Developer shall construct the stock of IH tenements in the same plot and the Planning Authority shall ensure that the Occupation Certificate for the rest of the development under the said Scheme is not issued till the Occupation Certificate is issued for IH tenements under the said Scheme and handed over to MCGM.</w:t>
      </w:r>
    </w:p>
    <w:p>
      <w:pPr>
        <w:pStyle w:val="BodyText"/>
        <w:spacing w:before="241"/>
        <w:ind w:left="1646" w:right="1078"/>
      </w:pPr>
      <w:r>
        <w:rPr/>
        <w:t>“Provided that the BUA of IH i.e. 20% of the Zonal (basic) FSI of the plot can also be provided at some other location (s) within the same Administrative</w:t>
      </w:r>
      <w:r>
        <w:rPr>
          <w:spacing w:val="-18"/>
        </w:rPr>
        <w:t> </w:t>
      </w:r>
      <w:r>
        <w:rPr/>
        <w:t>Ward</w:t>
      </w:r>
      <w:r>
        <w:rPr>
          <w:spacing w:val="-18"/>
        </w:rPr>
        <w:t> </w:t>
      </w:r>
      <w:r>
        <w:rPr/>
        <w:t>of</w:t>
      </w:r>
      <w:r>
        <w:rPr>
          <w:spacing w:val="-18"/>
        </w:rPr>
        <w:t> </w:t>
      </w:r>
      <w:r>
        <w:rPr/>
        <w:t>the</w:t>
      </w:r>
      <w:r>
        <w:rPr>
          <w:spacing w:val="-18"/>
        </w:rPr>
        <w:t> </w:t>
      </w:r>
      <w:r>
        <w:rPr/>
        <w:t>Municipal</w:t>
      </w:r>
      <w:r>
        <w:rPr>
          <w:spacing w:val="-16"/>
        </w:rPr>
        <w:t> </w:t>
      </w:r>
      <w:r>
        <w:rPr/>
        <w:t>Corporation</w:t>
      </w:r>
      <w:r>
        <w:rPr>
          <w:spacing w:val="-17"/>
        </w:rPr>
        <w:t> </w:t>
      </w:r>
      <w:r>
        <w:rPr/>
        <w:t>provided</w:t>
      </w:r>
      <w:r>
        <w:rPr>
          <w:spacing w:val="-18"/>
        </w:rPr>
        <w:t> </w:t>
      </w:r>
      <w:r>
        <w:rPr/>
        <w:t>that</w:t>
      </w:r>
      <w:r>
        <w:rPr>
          <w:spacing w:val="-18"/>
        </w:rPr>
        <w:t> </w:t>
      </w:r>
      <w:r>
        <w:rPr/>
        <w:t>the</w:t>
      </w:r>
      <w:r>
        <w:rPr>
          <w:spacing w:val="-18"/>
        </w:rPr>
        <w:t> </w:t>
      </w:r>
      <w:r>
        <w:rPr/>
        <w:t>BUA to be handed over to</w:t>
      </w:r>
      <w:r>
        <w:rPr>
          <w:spacing w:val="40"/>
        </w:rPr>
        <w:t> </w:t>
      </w:r>
      <w:r>
        <w:rPr/>
        <w:t>MCGM shall be of equivalent value as per ASR of that</w:t>
      </w:r>
      <w:r>
        <w:rPr>
          <w:spacing w:val="-5"/>
        </w:rPr>
        <w:t> </w:t>
      </w:r>
      <w:r>
        <w:rPr/>
        <w:t>year.</w:t>
      </w:r>
      <w:r>
        <w:rPr>
          <w:spacing w:val="40"/>
        </w:rPr>
        <w:t> </w:t>
      </w:r>
      <w:r>
        <w:rPr/>
        <w:t>Such</w:t>
      </w:r>
      <w:r>
        <w:rPr>
          <w:spacing w:val="-5"/>
        </w:rPr>
        <w:t> </w:t>
      </w:r>
      <w:r>
        <w:rPr/>
        <w:t>construction</w:t>
      </w:r>
      <w:r>
        <w:rPr>
          <w:spacing w:val="-5"/>
        </w:rPr>
        <w:t> </w:t>
      </w:r>
      <w:r>
        <w:rPr/>
        <w:t>shall</w:t>
      </w:r>
      <w:r>
        <w:rPr>
          <w:spacing w:val="-5"/>
        </w:rPr>
        <w:t> </w:t>
      </w:r>
      <w:r>
        <w:rPr/>
        <w:t>be</w:t>
      </w:r>
      <w:r>
        <w:rPr>
          <w:spacing w:val="-5"/>
        </w:rPr>
        <w:t> </w:t>
      </w:r>
      <w:r>
        <w:rPr/>
        <w:t>free</w:t>
      </w:r>
      <w:r>
        <w:rPr>
          <w:spacing w:val="-5"/>
        </w:rPr>
        <w:t> </w:t>
      </w:r>
      <w:r>
        <w:rPr/>
        <w:t>of'</w:t>
      </w:r>
      <w:r>
        <w:rPr>
          <w:spacing w:val="-5"/>
        </w:rPr>
        <w:t> </w:t>
      </w:r>
      <w:r>
        <w:rPr/>
        <w:t>FSI</w:t>
      </w:r>
      <w:r>
        <w:rPr>
          <w:spacing w:val="-2"/>
        </w:rPr>
        <w:t> </w:t>
      </w:r>
      <w:r>
        <w:rPr/>
        <w:t>to</w:t>
      </w:r>
      <w:r>
        <w:rPr>
          <w:spacing w:val="-5"/>
        </w:rPr>
        <w:t> </w:t>
      </w:r>
      <w:r>
        <w:rPr/>
        <w:t>the</w:t>
      </w:r>
      <w:r>
        <w:rPr>
          <w:spacing w:val="-5"/>
        </w:rPr>
        <w:t> </w:t>
      </w:r>
      <w:r>
        <w:rPr/>
        <w:t>extent</w:t>
      </w:r>
      <w:r>
        <w:rPr>
          <w:spacing w:val="-5"/>
        </w:rPr>
        <w:t> </w:t>
      </w:r>
      <w:r>
        <w:rPr/>
        <w:t>of</w:t>
      </w:r>
      <w:r>
        <w:rPr>
          <w:spacing w:val="-4"/>
        </w:rPr>
        <w:t> </w:t>
      </w:r>
      <w:r>
        <w:rPr/>
        <w:t>40%</w:t>
      </w:r>
      <w:r>
        <w:rPr>
          <w:spacing w:val="-5"/>
        </w:rPr>
        <w:t> </w:t>
      </w:r>
      <w:r>
        <w:rPr/>
        <w:t>of Zonal (basic) FSI over &amp; above of the permissible BUA of' such plot/alternative plot.</w:t>
      </w:r>
    </w:p>
    <w:p>
      <w:pPr>
        <w:pStyle w:val="BodyText"/>
        <w:spacing w:line="343" w:lineRule="auto" w:before="238"/>
        <w:ind w:left="1646" w:right="3646"/>
        <w:jc w:val="left"/>
      </w:pPr>
      <w:r>
        <w:rPr/>
        <w:t>Built</w:t>
      </w:r>
      <w:r>
        <w:rPr>
          <w:spacing w:val="-3"/>
        </w:rPr>
        <w:t> </w:t>
      </w:r>
      <w:r>
        <w:rPr/>
        <w:t>up</w:t>
      </w:r>
      <w:r>
        <w:rPr>
          <w:spacing w:val="-3"/>
        </w:rPr>
        <w:t> </w:t>
      </w:r>
      <w:r>
        <w:rPr/>
        <w:t>Area</w:t>
      </w:r>
      <w:r>
        <w:rPr>
          <w:spacing w:val="-3"/>
        </w:rPr>
        <w:t> </w:t>
      </w:r>
      <w:r>
        <w:rPr/>
        <w:t>B=</w:t>
      </w:r>
      <w:r>
        <w:rPr>
          <w:spacing w:val="-3"/>
        </w:rPr>
        <w:t> </w:t>
      </w:r>
      <w:r>
        <w:rPr/>
        <w:t>Built</w:t>
      </w:r>
      <w:r>
        <w:rPr>
          <w:spacing w:val="-3"/>
        </w:rPr>
        <w:t> </w:t>
      </w:r>
      <w:r>
        <w:rPr/>
        <w:t>up</w:t>
      </w:r>
      <w:r>
        <w:rPr>
          <w:spacing w:val="-3"/>
        </w:rPr>
        <w:t> </w:t>
      </w:r>
      <w:r>
        <w:rPr/>
        <w:t>Area</w:t>
      </w:r>
      <w:r>
        <w:rPr>
          <w:spacing w:val="-3"/>
        </w:rPr>
        <w:t> </w:t>
      </w:r>
      <w:r>
        <w:rPr/>
        <w:t>A</w:t>
      </w:r>
      <w:r>
        <w:rPr>
          <w:spacing w:val="-3"/>
        </w:rPr>
        <w:t> </w:t>
      </w:r>
      <w:r>
        <w:rPr/>
        <w:t>X</w:t>
      </w:r>
      <w:r>
        <w:rPr>
          <w:spacing w:val="-3"/>
        </w:rPr>
        <w:t> </w:t>
      </w:r>
      <w:r>
        <w:rPr/>
        <w:t>(RR-A</w:t>
      </w:r>
      <w:r>
        <w:rPr>
          <w:spacing w:val="-3"/>
        </w:rPr>
        <w:t> </w:t>
      </w:r>
      <w:r>
        <w:rPr/>
        <w:t>/</w:t>
      </w:r>
      <w:r>
        <w:rPr>
          <w:spacing w:val="-3"/>
        </w:rPr>
        <w:t> </w:t>
      </w:r>
      <w:r>
        <w:rPr/>
        <w:t>RR-B) </w:t>
      </w:r>
      <w:r>
        <w:rPr>
          <w:spacing w:val="-2"/>
        </w:rPr>
        <w:t>Where:</w:t>
      </w:r>
    </w:p>
    <w:p>
      <w:pPr>
        <w:pStyle w:val="BodyText"/>
        <w:spacing w:line="280" w:lineRule="exact"/>
        <w:ind w:left="1646"/>
        <w:jc w:val="left"/>
      </w:pPr>
      <w:r>
        <w:rPr/>
        <w:t>Built</w:t>
      </w:r>
      <w:r>
        <w:rPr>
          <w:spacing w:val="-2"/>
        </w:rPr>
        <w:t> </w:t>
      </w:r>
      <w:r>
        <w:rPr/>
        <w:t>up</w:t>
      </w:r>
      <w:r>
        <w:rPr>
          <w:spacing w:val="-1"/>
        </w:rPr>
        <w:t> </w:t>
      </w:r>
      <w:r>
        <w:rPr/>
        <w:t>Area</w:t>
      </w:r>
      <w:r>
        <w:rPr>
          <w:spacing w:val="-2"/>
        </w:rPr>
        <w:t> </w:t>
      </w:r>
      <w:r>
        <w:rPr/>
        <w:t>A=</w:t>
      </w:r>
      <w:r>
        <w:rPr>
          <w:spacing w:val="-1"/>
        </w:rPr>
        <w:t> </w:t>
      </w:r>
      <w:r>
        <w:rPr/>
        <w:t>BUA</w:t>
      </w:r>
      <w:r>
        <w:rPr>
          <w:spacing w:val="-1"/>
        </w:rPr>
        <w:t> </w:t>
      </w:r>
      <w:r>
        <w:rPr/>
        <w:t>of</w:t>
      </w:r>
      <w:r>
        <w:rPr>
          <w:spacing w:val="-2"/>
        </w:rPr>
        <w:t> </w:t>
      </w:r>
      <w:r>
        <w:rPr/>
        <w:t>IH</w:t>
      </w:r>
      <w:r>
        <w:rPr>
          <w:spacing w:val="-1"/>
        </w:rPr>
        <w:t> </w:t>
      </w:r>
      <w:r>
        <w:rPr/>
        <w:t>units</w:t>
      </w:r>
      <w:r>
        <w:rPr>
          <w:spacing w:val="-1"/>
        </w:rPr>
        <w:t> </w:t>
      </w:r>
      <w:r>
        <w:rPr/>
        <w:t>proposed</w:t>
      </w:r>
      <w:r>
        <w:rPr>
          <w:spacing w:val="-2"/>
        </w:rPr>
        <w:t> </w:t>
      </w:r>
      <w:r>
        <w:rPr/>
        <w:t>to</w:t>
      </w:r>
      <w:r>
        <w:rPr>
          <w:spacing w:val="-1"/>
        </w:rPr>
        <w:t> </w:t>
      </w:r>
      <w:r>
        <w:rPr/>
        <w:t>be</w:t>
      </w:r>
      <w:r>
        <w:rPr>
          <w:spacing w:val="-1"/>
        </w:rPr>
        <w:t> </w:t>
      </w:r>
      <w:r>
        <w:rPr/>
        <w:t>transferred</w:t>
      </w:r>
      <w:r>
        <w:rPr>
          <w:spacing w:val="-2"/>
        </w:rPr>
        <w:t> </w:t>
      </w:r>
      <w:r>
        <w:rPr/>
        <w:t>from</w:t>
      </w:r>
      <w:r>
        <w:rPr>
          <w:spacing w:val="-1"/>
        </w:rPr>
        <w:t> </w:t>
      </w:r>
      <w:r>
        <w:rPr/>
        <w:t>plot</w:t>
      </w:r>
      <w:r>
        <w:rPr>
          <w:spacing w:val="-1"/>
        </w:rPr>
        <w:t> </w:t>
      </w:r>
      <w:r>
        <w:rPr>
          <w:spacing w:val="-10"/>
        </w:rPr>
        <w:t>A</w:t>
      </w:r>
    </w:p>
    <w:p>
      <w:pPr>
        <w:pStyle w:val="BodyText"/>
        <w:spacing w:before="120"/>
        <w:ind w:left="1646" w:right="1094"/>
        <w:jc w:val="left"/>
      </w:pPr>
      <w:r>
        <w:rPr/>
        <w:t>Built up Area B= BUA of IH units to be handed over to MCGM at plot B in lieu of BUA of plot A</w:t>
      </w:r>
    </w:p>
    <w:p>
      <w:pPr>
        <w:pStyle w:val="BodyText"/>
        <w:spacing w:line="343" w:lineRule="auto" w:before="120"/>
        <w:ind w:left="1646" w:right="1697" w:firstLine="153"/>
        <w:jc w:val="left"/>
      </w:pPr>
      <w:r>
        <w:rPr/>
        <w:t>Where</w:t>
      </w:r>
      <w:r>
        <w:rPr>
          <w:spacing w:val="-3"/>
        </w:rPr>
        <w:t> </w:t>
      </w:r>
      <w:r>
        <w:rPr/>
        <w:t>plot</w:t>
      </w:r>
      <w:r>
        <w:rPr>
          <w:spacing w:val="-3"/>
        </w:rPr>
        <w:t> </w:t>
      </w:r>
      <w:r>
        <w:rPr/>
        <w:t>A</w:t>
      </w:r>
      <w:r>
        <w:rPr>
          <w:spacing w:val="-3"/>
        </w:rPr>
        <w:t> </w:t>
      </w:r>
      <w:r>
        <w:rPr/>
        <w:t>and</w:t>
      </w:r>
      <w:r>
        <w:rPr>
          <w:spacing w:val="-3"/>
        </w:rPr>
        <w:t> </w:t>
      </w:r>
      <w:r>
        <w:rPr/>
        <w:t>plot</w:t>
      </w:r>
      <w:r>
        <w:rPr>
          <w:spacing w:val="-3"/>
        </w:rPr>
        <w:t> </w:t>
      </w:r>
      <w:r>
        <w:rPr/>
        <w:t>B</w:t>
      </w:r>
      <w:r>
        <w:rPr>
          <w:spacing w:val="-3"/>
        </w:rPr>
        <w:t> </w:t>
      </w:r>
      <w:r>
        <w:rPr/>
        <w:t>are</w:t>
      </w:r>
      <w:r>
        <w:rPr>
          <w:spacing w:val="-3"/>
        </w:rPr>
        <w:t> </w:t>
      </w:r>
      <w:r>
        <w:rPr/>
        <w:t>situated</w:t>
      </w:r>
      <w:r>
        <w:rPr>
          <w:spacing w:val="-3"/>
        </w:rPr>
        <w:t> </w:t>
      </w:r>
      <w:r>
        <w:rPr/>
        <w:t>in</w:t>
      </w:r>
      <w:r>
        <w:rPr>
          <w:spacing w:val="-3"/>
        </w:rPr>
        <w:t> </w:t>
      </w:r>
      <w:r>
        <w:rPr/>
        <w:t>the</w:t>
      </w:r>
      <w:r>
        <w:rPr>
          <w:spacing w:val="-3"/>
        </w:rPr>
        <w:t> </w:t>
      </w:r>
      <w:r>
        <w:rPr/>
        <w:t>same</w:t>
      </w:r>
      <w:r>
        <w:rPr>
          <w:spacing w:val="-3"/>
        </w:rPr>
        <w:t> </w:t>
      </w:r>
      <w:r>
        <w:rPr/>
        <w:t>Municipal</w:t>
      </w:r>
      <w:r>
        <w:rPr>
          <w:spacing w:val="-3"/>
        </w:rPr>
        <w:t> </w:t>
      </w:r>
      <w:r>
        <w:rPr/>
        <w:t>Ward RR-A= Ready Reckoner Rate for BUA at Plot A</w:t>
      </w:r>
    </w:p>
    <w:p>
      <w:pPr>
        <w:pStyle w:val="BodyText"/>
        <w:spacing w:before="119"/>
        <w:ind w:left="1646"/>
        <w:jc w:val="left"/>
      </w:pPr>
      <w:r>
        <w:rPr/>
        <w:t>RR-B</w:t>
      </w:r>
      <w:r>
        <w:rPr>
          <w:spacing w:val="-1"/>
        </w:rPr>
        <w:t> </w:t>
      </w:r>
      <w:r>
        <w:rPr/>
        <w:t>= Ready</w:t>
      </w:r>
      <w:r>
        <w:rPr>
          <w:spacing w:val="-1"/>
        </w:rPr>
        <w:t> </w:t>
      </w:r>
      <w:r>
        <w:rPr/>
        <w:t>Reckoner Rate</w:t>
      </w:r>
      <w:r>
        <w:rPr>
          <w:spacing w:val="-1"/>
        </w:rPr>
        <w:t> </w:t>
      </w:r>
      <w:r>
        <w:rPr/>
        <w:t>for BUA</w:t>
      </w:r>
      <w:r>
        <w:rPr>
          <w:spacing w:val="-1"/>
        </w:rPr>
        <w:t> </w:t>
      </w:r>
      <w:r>
        <w:rPr/>
        <w:t>at Plot </w:t>
      </w:r>
      <w:r>
        <w:rPr>
          <w:spacing w:val="-10"/>
        </w:rPr>
        <w:t>B</w:t>
      </w:r>
    </w:p>
    <w:p>
      <w:pPr>
        <w:pStyle w:val="ListParagraph"/>
        <w:numPr>
          <w:ilvl w:val="0"/>
          <w:numId w:val="31"/>
        </w:numPr>
        <w:tabs>
          <w:tab w:pos="1945" w:val="left" w:leader="none"/>
        </w:tabs>
        <w:spacing w:line="240" w:lineRule="auto" w:before="239" w:after="0"/>
        <w:ind w:left="1646" w:right="1078" w:firstLine="0"/>
        <w:jc w:val="both"/>
        <w:rPr>
          <w:sz w:val="24"/>
        </w:rPr>
      </w:pPr>
      <w:r>
        <w:rPr>
          <w:sz w:val="24"/>
        </w:rPr>
        <w:t>The completion of IH tenements under the said Scheme, along with necessary particulars, including a copy of the Occupation Certificate granted by the Planning Authority in respect thereof, shall be immediately intimated by the Landowner/Developer to concerned department of MCGM. The disbursement of such 20 % IH tenements shall be as under:</w:t>
      </w:r>
    </w:p>
    <w:p>
      <w:pPr>
        <w:pStyle w:val="ListParagraph"/>
        <w:numPr>
          <w:ilvl w:val="1"/>
          <w:numId w:val="31"/>
        </w:numPr>
        <w:tabs>
          <w:tab w:pos="1866" w:val="left" w:leader="none"/>
          <w:tab w:pos="2074" w:val="left" w:leader="none"/>
        </w:tabs>
        <w:spacing w:line="240" w:lineRule="auto" w:before="242" w:after="0"/>
        <w:ind w:left="2074" w:right="1079" w:hanging="428"/>
        <w:jc w:val="both"/>
        <w:rPr>
          <w:sz w:val="24"/>
        </w:rPr>
      </w:pPr>
      <w:r>
        <w:rPr>
          <w:sz w:val="24"/>
        </w:rPr>
        <w:t>20%</w:t>
      </w:r>
      <w:r>
        <w:rPr>
          <w:spacing w:val="-4"/>
          <w:sz w:val="24"/>
        </w:rPr>
        <w:t> </w:t>
      </w:r>
      <w:r>
        <w:rPr>
          <w:sz w:val="24"/>
        </w:rPr>
        <w:t>of</w:t>
      </w:r>
      <w:r>
        <w:rPr>
          <w:spacing w:val="-4"/>
          <w:sz w:val="24"/>
        </w:rPr>
        <w:t> </w:t>
      </w:r>
      <w:r>
        <w:rPr>
          <w:sz w:val="24"/>
        </w:rPr>
        <w:t>such</w:t>
      </w:r>
      <w:r>
        <w:rPr>
          <w:spacing w:val="-4"/>
          <w:sz w:val="24"/>
        </w:rPr>
        <w:t> </w:t>
      </w:r>
      <w:r>
        <w:rPr>
          <w:sz w:val="24"/>
        </w:rPr>
        <w:t>tenements</w:t>
      </w:r>
      <w:r>
        <w:rPr>
          <w:spacing w:val="-4"/>
          <w:sz w:val="24"/>
        </w:rPr>
        <w:t> </w:t>
      </w:r>
      <w:r>
        <w:rPr>
          <w:sz w:val="24"/>
        </w:rPr>
        <w:t>shall</w:t>
      </w:r>
      <w:r>
        <w:rPr>
          <w:spacing w:val="-4"/>
          <w:sz w:val="24"/>
        </w:rPr>
        <w:t> </w:t>
      </w:r>
      <w:r>
        <w:rPr>
          <w:sz w:val="24"/>
        </w:rPr>
        <w:t>be</w:t>
      </w:r>
      <w:r>
        <w:rPr>
          <w:spacing w:val="-4"/>
          <w:sz w:val="24"/>
        </w:rPr>
        <w:t> </w:t>
      </w:r>
      <w:r>
        <w:rPr>
          <w:sz w:val="24"/>
        </w:rPr>
        <w:t>allotted</w:t>
      </w:r>
      <w:r>
        <w:rPr>
          <w:spacing w:val="-4"/>
          <w:sz w:val="24"/>
        </w:rPr>
        <w:t> </w:t>
      </w:r>
      <w:r>
        <w:rPr>
          <w:sz w:val="24"/>
        </w:rPr>
        <w:t>to</w:t>
      </w:r>
      <w:r>
        <w:rPr>
          <w:spacing w:val="-4"/>
          <w:sz w:val="24"/>
        </w:rPr>
        <w:t> </w:t>
      </w:r>
      <w:r>
        <w:rPr>
          <w:sz w:val="24"/>
        </w:rPr>
        <w:t>PAPs</w:t>
      </w:r>
      <w:r>
        <w:rPr>
          <w:spacing w:val="-4"/>
          <w:sz w:val="24"/>
        </w:rPr>
        <w:t> </w:t>
      </w:r>
      <w:r>
        <w:rPr>
          <w:sz w:val="24"/>
        </w:rPr>
        <w:t>of</w:t>
      </w:r>
      <w:r>
        <w:rPr>
          <w:spacing w:val="-4"/>
          <w:sz w:val="24"/>
        </w:rPr>
        <w:t> </w:t>
      </w:r>
      <w:r>
        <w:rPr>
          <w:sz w:val="24"/>
        </w:rPr>
        <w:t>vital</w:t>
      </w:r>
      <w:r>
        <w:rPr>
          <w:spacing w:val="-7"/>
          <w:sz w:val="24"/>
        </w:rPr>
        <w:t> </w:t>
      </w:r>
      <w:r>
        <w:rPr>
          <w:sz w:val="24"/>
        </w:rPr>
        <w:t>infrastructure projects, preferably from the same ward.</w:t>
      </w:r>
    </w:p>
    <w:p>
      <w:pPr>
        <w:pStyle w:val="ListParagraph"/>
        <w:numPr>
          <w:ilvl w:val="1"/>
          <w:numId w:val="31"/>
        </w:numPr>
        <w:tabs>
          <w:tab w:pos="2034" w:val="left" w:leader="none"/>
          <w:tab w:pos="2074" w:val="left" w:leader="none"/>
        </w:tabs>
        <w:spacing w:line="240" w:lineRule="auto" w:before="238" w:after="0"/>
        <w:ind w:left="2074" w:right="1077" w:hanging="428"/>
        <w:jc w:val="both"/>
        <w:rPr>
          <w:sz w:val="24"/>
        </w:rPr>
      </w:pPr>
      <w:r>
        <w:rPr>
          <w:sz w:val="24"/>
        </w:rPr>
        <w:t>Balance 80% of such tenements shall be allotted to EWS/LIG households on outright sale. The allotment of tenements shall be as per</w:t>
      </w:r>
      <w:r>
        <w:rPr>
          <w:spacing w:val="-3"/>
          <w:sz w:val="24"/>
        </w:rPr>
        <w:t> </w:t>
      </w:r>
      <w:r>
        <w:rPr>
          <w:sz w:val="24"/>
        </w:rPr>
        <w:t>the</w:t>
      </w:r>
      <w:r>
        <w:rPr>
          <w:spacing w:val="-3"/>
          <w:sz w:val="24"/>
        </w:rPr>
        <w:t> </w:t>
      </w:r>
      <w:r>
        <w:rPr>
          <w:sz w:val="24"/>
        </w:rPr>
        <w:t>lottery</w:t>
      </w:r>
      <w:r>
        <w:rPr>
          <w:spacing w:val="-4"/>
          <w:sz w:val="24"/>
        </w:rPr>
        <w:t> </w:t>
      </w:r>
      <w:r>
        <w:rPr>
          <w:sz w:val="24"/>
        </w:rPr>
        <w:t>system</w:t>
      </w:r>
      <w:r>
        <w:rPr>
          <w:spacing w:val="-3"/>
          <w:sz w:val="24"/>
        </w:rPr>
        <w:t> </w:t>
      </w:r>
      <w:r>
        <w:rPr>
          <w:sz w:val="24"/>
        </w:rPr>
        <w:t>adopted</w:t>
      </w:r>
      <w:r>
        <w:rPr>
          <w:spacing w:val="-3"/>
          <w:sz w:val="24"/>
        </w:rPr>
        <w:t> </w:t>
      </w:r>
      <w:r>
        <w:rPr>
          <w:sz w:val="24"/>
        </w:rPr>
        <w:t>by</w:t>
      </w:r>
      <w:r>
        <w:rPr>
          <w:spacing w:val="-4"/>
          <w:sz w:val="24"/>
        </w:rPr>
        <w:t> </w:t>
      </w:r>
      <w:r>
        <w:rPr>
          <w:sz w:val="24"/>
        </w:rPr>
        <w:t>MHADA.If</w:t>
      </w:r>
      <w:r>
        <w:rPr>
          <w:spacing w:val="-3"/>
          <w:sz w:val="24"/>
        </w:rPr>
        <w:t> </w:t>
      </w:r>
      <w:r>
        <w:rPr>
          <w:sz w:val="24"/>
        </w:rPr>
        <w:t>MCGM</w:t>
      </w:r>
      <w:r>
        <w:rPr>
          <w:spacing w:val="-3"/>
          <w:sz w:val="24"/>
        </w:rPr>
        <w:t> </w:t>
      </w:r>
      <w:r>
        <w:rPr>
          <w:sz w:val="24"/>
        </w:rPr>
        <w:t>does</w:t>
      </w:r>
      <w:r>
        <w:rPr>
          <w:spacing w:val="-6"/>
          <w:sz w:val="24"/>
        </w:rPr>
        <w:t> </w:t>
      </w:r>
      <w:r>
        <w:rPr>
          <w:sz w:val="24"/>
        </w:rPr>
        <w:t>not</w:t>
      </w:r>
      <w:r>
        <w:rPr>
          <w:spacing w:val="-6"/>
          <w:sz w:val="24"/>
        </w:rPr>
        <w:t> </w:t>
      </w:r>
      <w:r>
        <w:rPr>
          <w:sz w:val="24"/>
        </w:rPr>
        <w:t>require tenements as per sr. no (i) above within six months from the date of</w:t>
      </w:r>
    </w:p>
    <w:p>
      <w:pPr>
        <w:pStyle w:val="ListParagraph"/>
        <w:spacing w:after="0" w:line="240" w:lineRule="auto"/>
        <w:jc w:val="both"/>
        <w:rPr>
          <w:sz w:val="24"/>
        </w:rPr>
        <w:sectPr>
          <w:pgSz w:w="11910" w:h="16840"/>
          <w:pgMar w:header="746" w:footer="968" w:top="1180" w:bottom="1160" w:left="360" w:right="360"/>
        </w:sectPr>
      </w:pPr>
    </w:p>
    <w:p>
      <w:pPr>
        <w:pStyle w:val="BodyText"/>
        <w:spacing w:line="281" w:lineRule="exact" w:before="251"/>
        <w:ind w:left="2074"/>
      </w:pPr>
      <w:r>
        <w:rPr/>
        <w:t>receipt</w:t>
      </w:r>
      <w:r>
        <w:rPr>
          <w:spacing w:val="9"/>
        </w:rPr>
        <w:t> </w:t>
      </w:r>
      <w:r>
        <w:rPr/>
        <w:t>of</w:t>
      </w:r>
      <w:r>
        <w:rPr>
          <w:spacing w:val="10"/>
        </w:rPr>
        <w:t> </w:t>
      </w:r>
      <w:r>
        <w:rPr/>
        <w:t>such</w:t>
      </w:r>
      <w:r>
        <w:rPr>
          <w:spacing w:val="10"/>
        </w:rPr>
        <w:t> </w:t>
      </w:r>
      <w:r>
        <w:rPr/>
        <w:t>intimation,</w:t>
      </w:r>
      <w:r>
        <w:rPr>
          <w:spacing w:val="11"/>
        </w:rPr>
        <w:t> </w:t>
      </w:r>
      <w:r>
        <w:rPr/>
        <w:t>then</w:t>
      </w:r>
      <w:r>
        <w:rPr>
          <w:spacing w:val="10"/>
        </w:rPr>
        <w:t> </w:t>
      </w:r>
      <w:r>
        <w:rPr/>
        <w:t>the</w:t>
      </w:r>
      <w:r>
        <w:rPr>
          <w:spacing w:val="10"/>
        </w:rPr>
        <w:t> </w:t>
      </w:r>
      <w:r>
        <w:rPr/>
        <w:t>same</w:t>
      </w:r>
      <w:r>
        <w:rPr>
          <w:spacing w:val="10"/>
        </w:rPr>
        <w:t> </w:t>
      </w:r>
      <w:r>
        <w:rPr/>
        <w:t>may</w:t>
      </w:r>
      <w:r>
        <w:rPr>
          <w:spacing w:val="10"/>
        </w:rPr>
        <w:t> </w:t>
      </w:r>
      <w:r>
        <w:rPr/>
        <w:t>be</w:t>
      </w:r>
      <w:r>
        <w:rPr>
          <w:spacing w:val="10"/>
        </w:rPr>
        <w:t> </w:t>
      </w:r>
      <w:r>
        <w:rPr/>
        <w:t>sold</w:t>
      </w:r>
      <w:r>
        <w:rPr>
          <w:spacing w:val="10"/>
        </w:rPr>
        <w:t> </w:t>
      </w:r>
      <w:r>
        <w:rPr/>
        <w:t>as</w:t>
      </w:r>
      <w:r>
        <w:rPr>
          <w:spacing w:val="10"/>
        </w:rPr>
        <w:t> </w:t>
      </w:r>
      <w:r>
        <w:rPr/>
        <w:t>per</w:t>
      </w:r>
      <w:r>
        <w:rPr>
          <w:spacing w:val="10"/>
        </w:rPr>
        <w:t> </w:t>
      </w:r>
      <w:r>
        <w:rPr/>
        <w:t>sr.</w:t>
      </w:r>
      <w:r>
        <w:rPr>
          <w:spacing w:val="11"/>
        </w:rPr>
        <w:t> </w:t>
      </w:r>
      <w:r>
        <w:rPr>
          <w:spacing w:val="-5"/>
        </w:rPr>
        <w:t>no</w:t>
      </w:r>
    </w:p>
    <w:p>
      <w:pPr>
        <w:pStyle w:val="BodyText"/>
        <w:spacing w:line="281" w:lineRule="exact"/>
        <w:ind w:left="2074"/>
        <w:jc w:val="left"/>
      </w:pPr>
      <w:r>
        <w:rPr/>
        <w:t>ii) </w:t>
      </w:r>
      <w:r>
        <w:rPr>
          <w:spacing w:val="-2"/>
        </w:rPr>
        <w:t>above.</w:t>
      </w:r>
    </w:p>
    <w:p>
      <w:pPr>
        <w:pStyle w:val="ListParagraph"/>
        <w:numPr>
          <w:ilvl w:val="1"/>
          <w:numId w:val="31"/>
        </w:numPr>
        <w:tabs>
          <w:tab w:pos="2072" w:val="left" w:leader="none"/>
          <w:tab w:pos="2074" w:val="left" w:leader="none"/>
        </w:tabs>
        <w:spacing w:line="240" w:lineRule="auto" w:before="241" w:after="0"/>
        <w:ind w:left="2074" w:right="1075" w:hanging="428"/>
        <w:jc w:val="left"/>
        <w:rPr>
          <w:sz w:val="24"/>
        </w:rPr>
      </w:pPr>
      <w:r>
        <w:rPr>
          <w:sz w:val="24"/>
        </w:rPr>
        <w:t>Money</w:t>
      </w:r>
      <w:r>
        <w:rPr>
          <w:spacing w:val="40"/>
          <w:sz w:val="24"/>
        </w:rPr>
        <w:t> </w:t>
      </w:r>
      <w:r>
        <w:rPr>
          <w:sz w:val="24"/>
        </w:rPr>
        <w:t>so</w:t>
      </w:r>
      <w:r>
        <w:rPr>
          <w:spacing w:val="40"/>
          <w:sz w:val="24"/>
        </w:rPr>
        <w:t> </w:t>
      </w:r>
      <w:r>
        <w:rPr>
          <w:sz w:val="24"/>
        </w:rPr>
        <w:t>received</w:t>
      </w:r>
      <w:r>
        <w:rPr>
          <w:spacing w:val="40"/>
          <w:sz w:val="24"/>
        </w:rPr>
        <w:t> </w:t>
      </w:r>
      <w:r>
        <w:rPr>
          <w:sz w:val="24"/>
        </w:rPr>
        <w:t>from</w:t>
      </w:r>
      <w:r>
        <w:rPr>
          <w:spacing w:val="40"/>
          <w:sz w:val="24"/>
        </w:rPr>
        <w:t> </w:t>
      </w:r>
      <w:r>
        <w:rPr>
          <w:sz w:val="24"/>
        </w:rPr>
        <w:t>proceeds</w:t>
      </w:r>
      <w:r>
        <w:rPr>
          <w:spacing w:val="40"/>
          <w:sz w:val="24"/>
        </w:rPr>
        <w:t> </w:t>
      </w:r>
      <w:r>
        <w:rPr>
          <w:sz w:val="24"/>
        </w:rPr>
        <w:t>of</w:t>
      </w:r>
      <w:r>
        <w:rPr>
          <w:spacing w:val="40"/>
          <w:sz w:val="24"/>
        </w:rPr>
        <w:t> </w:t>
      </w:r>
      <w:r>
        <w:rPr>
          <w:sz w:val="24"/>
        </w:rPr>
        <w:t>the</w:t>
      </w:r>
      <w:r>
        <w:rPr>
          <w:spacing w:val="40"/>
          <w:sz w:val="24"/>
        </w:rPr>
        <w:t> </w:t>
      </w:r>
      <w:r>
        <w:rPr>
          <w:sz w:val="24"/>
        </w:rPr>
        <w:t>sale</w:t>
      </w:r>
      <w:r>
        <w:rPr>
          <w:spacing w:val="40"/>
          <w:sz w:val="24"/>
        </w:rPr>
        <w:t> </w:t>
      </w:r>
      <w:r>
        <w:rPr>
          <w:sz w:val="24"/>
        </w:rPr>
        <w:t>shall</w:t>
      </w:r>
      <w:r>
        <w:rPr>
          <w:spacing w:val="40"/>
          <w:sz w:val="24"/>
        </w:rPr>
        <w:t> </w:t>
      </w:r>
      <w:r>
        <w:rPr>
          <w:sz w:val="24"/>
        </w:rPr>
        <w:t>be</w:t>
      </w:r>
      <w:r>
        <w:rPr>
          <w:spacing w:val="40"/>
          <w:sz w:val="24"/>
        </w:rPr>
        <w:t> </w:t>
      </w:r>
      <w:r>
        <w:rPr>
          <w:sz w:val="24"/>
        </w:rPr>
        <w:t>utilized</w:t>
      </w:r>
      <w:r>
        <w:rPr>
          <w:spacing w:val="40"/>
          <w:sz w:val="24"/>
        </w:rPr>
        <w:t> </w:t>
      </w:r>
      <w:r>
        <w:rPr>
          <w:sz w:val="24"/>
        </w:rPr>
        <w:t>by MCGM for implementation of DP.</w:t>
      </w:r>
    </w:p>
    <w:p>
      <w:pPr>
        <w:pStyle w:val="ListParagraph"/>
        <w:numPr>
          <w:ilvl w:val="1"/>
          <w:numId w:val="31"/>
        </w:numPr>
        <w:tabs>
          <w:tab w:pos="2072" w:val="left" w:leader="none"/>
          <w:tab w:pos="2074" w:val="left" w:leader="none"/>
        </w:tabs>
        <w:spacing w:line="240" w:lineRule="auto" w:before="241" w:after="0"/>
        <w:ind w:left="2074" w:right="1080" w:hanging="428"/>
        <w:jc w:val="left"/>
        <w:rPr>
          <w:sz w:val="24"/>
        </w:rPr>
      </w:pPr>
      <w:r>
        <w:rPr>
          <w:sz w:val="24"/>
        </w:rPr>
        <w:t>The developer/owner shall be entitled for the BUA in lieu of cost of construction of tenements as stated below:</w:t>
      </w:r>
    </w:p>
    <w:p>
      <w:pPr>
        <w:pStyle w:val="BodyText"/>
        <w:spacing w:before="238"/>
        <w:ind w:left="2074" w:right="1078"/>
      </w:pPr>
      <w:r>
        <w:rPr/>
        <w:t>BUA</w:t>
      </w:r>
      <w:r>
        <w:rPr>
          <w:spacing w:val="-2"/>
        </w:rPr>
        <w:t> </w:t>
      </w:r>
      <w:r>
        <w:rPr/>
        <w:t>in</w:t>
      </w:r>
      <w:r>
        <w:rPr>
          <w:spacing w:val="-2"/>
        </w:rPr>
        <w:t> </w:t>
      </w:r>
      <w:r>
        <w:rPr/>
        <w:t>lieu</w:t>
      </w:r>
      <w:r>
        <w:rPr>
          <w:spacing w:val="-2"/>
        </w:rPr>
        <w:t> </w:t>
      </w:r>
      <w:r>
        <w:rPr/>
        <w:t>of cost</w:t>
      </w:r>
      <w:r>
        <w:rPr>
          <w:spacing w:val="-2"/>
        </w:rPr>
        <w:t> </w:t>
      </w:r>
      <w:r>
        <w:rPr/>
        <w:t>of</w:t>
      </w:r>
      <w:r>
        <w:rPr>
          <w:spacing w:val="-2"/>
        </w:rPr>
        <w:t> </w:t>
      </w:r>
      <w:r>
        <w:rPr/>
        <w:t>construction</w:t>
      </w:r>
      <w:r>
        <w:rPr>
          <w:spacing w:val="-2"/>
        </w:rPr>
        <w:t> </w:t>
      </w:r>
      <w:r>
        <w:rPr/>
        <w:t>of</w:t>
      </w:r>
      <w:r>
        <w:rPr>
          <w:spacing w:val="-2"/>
        </w:rPr>
        <w:t> </w:t>
      </w:r>
      <w:r>
        <w:rPr/>
        <w:t>IH =</w:t>
      </w:r>
      <w:r>
        <w:rPr>
          <w:spacing w:val="-2"/>
        </w:rPr>
        <w:t> </w:t>
      </w:r>
      <w:r>
        <w:rPr/>
        <w:t>1.50</w:t>
      </w:r>
      <w:r>
        <w:rPr>
          <w:spacing w:val="-2"/>
        </w:rPr>
        <w:t> </w:t>
      </w:r>
      <w:r>
        <w:rPr/>
        <w:t>[Rate</w:t>
      </w:r>
      <w:r>
        <w:rPr>
          <w:spacing w:val="-2"/>
        </w:rPr>
        <w:t> </w:t>
      </w:r>
      <w:r>
        <w:rPr/>
        <w:t>of construction per sq. m as per ASR rate/Rate of developed land per sq. m as per ASR (for FSI 1)]* BUA of IH</w:t>
      </w:r>
    </w:p>
    <w:p>
      <w:pPr>
        <w:pStyle w:val="BodyText"/>
        <w:spacing w:before="240"/>
        <w:ind w:left="1646"/>
        <w:jc w:val="left"/>
      </w:pPr>
      <w:r>
        <w:rPr>
          <w:spacing w:val="-2"/>
        </w:rPr>
        <w:t>Note:</w:t>
      </w:r>
    </w:p>
    <w:p>
      <w:pPr>
        <w:pStyle w:val="ListParagraph"/>
        <w:numPr>
          <w:ilvl w:val="2"/>
          <w:numId w:val="31"/>
        </w:numPr>
        <w:tabs>
          <w:tab w:pos="1950" w:val="left" w:leader="none"/>
        </w:tabs>
        <w:spacing w:line="240" w:lineRule="auto" w:before="242" w:after="0"/>
        <w:ind w:left="1646" w:right="1082" w:firstLine="0"/>
        <w:jc w:val="both"/>
        <w:rPr>
          <w:sz w:val="24"/>
        </w:rPr>
      </w:pPr>
      <w:r>
        <w:rPr>
          <w:sz w:val="24"/>
        </w:rPr>
        <w:t>BUA in lieu of cost of construction of IH shall be allowed as specified in Regulation No.30, table 12 or can be adjusted against permissible TDR/Additional FSI on payment of premium.</w:t>
      </w:r>
    </w:p>
    <w:p>
      <w:pPr>
        <w:pStyle w:val="ListParagraph"/>
        <w:numPr>
          <w:ilvl w:val="2"/>
          <w:numId w:val="31"/>
        </w:numPr>
        <w:tabs>
          <w:tab w:pos="1962" w:val="left" w:leader="none"/>
        </w:tabs>
        <w:spacing w:line="240" w:lineRule="auto" w:before="240" w:after="0"/>
        <w:ind w:left="1646" w:right="1080" w:firstLine="0"/>
        <w:jc w:val="both"/>
        <w:rPr>
          <w:sz w:val="24"/>
        </w:rPr>
      </w:pPr>
      <w:r>
        <w:rPr>
          <w:sz w:val="24"/>
        </w:rPr>
        <w:t>Commencement Certificate in lieu of BUA of IH can be granted only after</w:t>
      </w:r>
      <w:r>
        <w:rPr>
          <w:spacing w:val="-10"/>
          <w:sz w:val="24"/>
        </w:rPr>
        <w:t> </w:t>
      </w:r>
      <w:r>
        <w:rPr>
          <w:sz w:val="24"/>
        </w:rPr>
        <w:t>handing</w:t>
      </w:r>
      <w:r>
        <w:rPr>
          <w:spacing w:val="-10"/>
          <w:sz w:val="24"/>
        </w:rPr>
        <w:t> </w:t>
      </w:r>
      <w:r>
        <w:rPr>
          <w:sz w:val="24"/>
        </w:rPr>
        <w:t>over</w:t>
      </w:r>
      <w:r>
        <w:rPr>
          <w:spacing w:val="-10"/>
          <w:sz w:val="24"/>
        </w:rPr>
        <w:t> </w:t>
      </w:r>
      <w:r>
        <w:rPr>
          <w:sz w:val="24"/>
        </w:rPr>
        <w:t>of</w:t>
      </w:r>
      <w:r>
        <w:rPr>
          <w:spacing w:val="-7"/>
          <w:sz w:val="24"/>
        </w:rPr>
        <w:t> </w:t>
      </w:r>
      <w:r>
        <w:rPr>
          <w:sz w:val="24"/>
        </w:rPr>
        <w:t>such</w:t>
      </w:r>
      <w:r>
        <w:rPr>
          <w:spacing w:val="-9"/>
          <w:sz w:val="24"/>
        </w:rPr>
        <w:t> </w:t>
      </w:r>
      <w:r>
        <w:rPr>
          <w:sz w:val="24"/>
        </w:rPr>
        <w:t>BUA</w:t>
      </w:r>
      <w:r>
        <w:rPr>
          <w:spacing w:val="-10"/>
          <w:sz w:val="24"/>
        </w:rPr>
        <w:t> </w:t>
      </w:r>
      <w:r>
        <w:rPr>
          <w:sz w:val="24"/>
        </w:rPr>
        <w:t>to</w:t>
      </w:r>
      <w:r>
        <w:rPr>
          <w:spacing w:val="-9"/>
          <w:sz w:val="24"/>
        </w:rPr>
        <w:t> </w:t>
      </w:r>
      <w:r>
        <w:rPr>
          <w:sz w:val="24"/>
        </w:rPr>
        <w:t>MCGM</w:t>
      </w:r>
      <w:r>
        <w:rPr>
          <w:spacing w:val="-7"/>
          <w:sz w:val="24"/>
        </w:rPr>
        <w:t> </w:t>
      </w:r>
      <w:r>
        <w:rPr>
          <w:sz w:val="24"/>
        </w:rPr>
        <w:t>or</w:t>
      </w:r>
      <w:r>
        <w:rPr>
          <w:spacing w:val="-10"/>
          <w:sz w:val="24"/>
        </w:rPr>
        <w:t> </w:t>
      </w:r>
      <w:r>
        <w:rPr>
          <w:sz w:val="24"/>
        </w:rPr>
        <w:t>before</w:t>
      </w:r>
      <w:r>
        <w:rPr>
          <w:spacing w:val="-10"/>
          <w:sz w:val="24"/>
        </w:rPr>
        <w:t> </w:t>
      </w:r>
      <w:r>
        <w:rPr>
          <w:sz w:val="24"/>
        </w:rPr>
        <w:t>availing</w:t>
      </w:r>
      <w:r>
        <w:rPr>
          <w:spacing w:val="-10"/>
          <w:sz w:val="24"/>
        </w:rPr>
        <w:t> </w:t>
      </w:r>
      <w:r>
        <w:rPr>
          <w:sz w:val="24"/>
        </w:rPr>
        <w:t>Zonal</w:t>
      </w:r>
      <w:r>
        <w:rPr>
          <w:spacing w:val="-10"/>
          <w:sz w:val="24"/>
        </w:rPr>
        <w:t> </w:t>
      </w:r>
      <w:r>
        <w:rPr>
          <w:sz w:val="24"/>
        </w:rPr>
        <w:t>(basic) FSI beyond 75%of plot area or granting Occupation Certificate to last 25%</w:t>
      </w:r>
      <w:r>
        <w:rPr>
          <w:spacing w:val="-10"/>
          <w:sz w:val="24"/>
        </w:rPr>
        <w:t> </w:t>
      </w:r>
      <w:r>
        <w:rPr>
          <w:sz w:val="24"/>
        </w:rPr>
        <w:t>of</w:t>
      </w:r>
      <w:r>
        <w:rPr>
          <w:spacing w:val="-10"/>
          <w:sz w:val="24"/>
        </w:rPr>
        <w:t> </w:t>
      </w:r>
      <w:r>
        <w:rPr>
          <w:sz w:val="24"/>
        </w:rPr>
        <w:t>admissible</w:t>
      </w:r>
      <w:r>
        <w:rPr>
          <w:spacing w:val="-9"/>
          <w:sz w:val="24"/>
        </w:rPr>
        <w:t> </w:t>
      </w:r>
      <w:r>
        <w:rPr>
          <w:sz w:val="24"/>
        </w:rPr>
        <w:t>FSI</w:t>
      </w:r>
      <w:r>
        <w:rPr>
          <w:spacing w:val="-7"/>
          <w:sz w:val="24"/>
        </w:rPr>
        <w:t> </w:t>
      </w:r>
      <w:r>
        <w:rPr>
          <w:sz w:val="24"/>
        </w:rPr>
        <w:t>in</w:t>
      </w:r>
      <w:r>
        <w:rPr>
          <w:spacing w:val="40"/>
          <w:sz w:val="24"/>
        </w:rPr>
        <w:t> </w:t>
      </w:r>
      <w:r>
        <w:rPr>
          <w:sz w:val="24"/>
        </w:rPr>
        <w:t>any</w:t>
      </w:r>
      <w:r>
        <w:rPr>
          <w:spacing w:val="-10"/>
          <w:sz w:val="24"/>
        </w:rPr>
        <w:t> </w:t>
      </w:r>
      <w:r>
        <w:rPr>
          <w:sz w:val="24"/>
        </w:rPr>
        <w:t>of</w:t>
      </w:r>
      <w:r>
        <w:rPr>
          <w:spacing w:val="-10"/>
          <w:sz w:val="24"/>
        </w:rPr>
        <w:t> </w:t>
      </w:r>
      <w:r>
        <w:rPr>
          <w:sz w:val="24"/>
        </w:rPr>
        <w:t>the</w:t>
      </w:r>
      <w:r>
        <w:rPr>
          <w:spacing w:val="-10"/>
          <w:sz w:val="24"/>
        </w:rPr>
        <w:t> </w:t>
      </w:r>
      <w:r>
        <w:rPr>
          <w:sz w:val="24"/>
        </w:rPr>
        <w:t>building</w:t>
      </w:r>
      <w:r>
        <w:rPr>
          <w:spacing w:val="-9"/>
          <w:sz w:val="24"/>
        </w:rPr>
        <w:t> </w:t>
      </w:r>
      <w:r>
        <w:rPr>
          <w:sz w:val="24"/>
        </w:rPr>
        <w:t>other</w:t>
      </w:r>
      <w:r>
        <w:rPr>
          <w:spacing w:val="-10"/>
          <w:sz w:val="24"/>
        </w:rPr>
        <w:t> </w:t>
      </w:r>
      <w:r>
        <w:rPr>
          <w:sz w:val="24"/>
        </w:rPr>
        <w:t>than</w:t>
      </w:r>
      <w:r>
        <w:rPr>
          <w:spacing w:val="-10"/>
          <w:sz w:val="24"/>
        </w:rPr>
        <w:t> </w:t>
      </w:r>
      <w:r>
        <w:rPr>
          <w:sz w:val="24"/>
        </w:rPr>
        <w:t>IH,</w:t>
      </w:r>
      <w:r>
        <w:rPr>
          <w:spacing w:val="-7"/>
          <w:sz w:val="24"/>
        </w:rPr>
        <w:t> </w:t>
      </w:r>
      <w:r>
        <w:rPr>
          <w:sz w:val="24"/>
        </w:rPr>
        <w:t>whichever</w:t>
      </w:r>
      <w:r>
        <w:rPr>
          <w:spacing w:val="-10"/>
          <w:sz w:val="24"/>
        </w:rPr>
        <w:t> </w:t>
      </w:r>
      <w:r>
        <w:rPr>
          <w:sz w:val="24"/>
        </w:rPr>
        <w:t>is </w:t>
      </w:r>
      <w:r>
        <w:rPr>
          <w:spacing w:val="-2"/>
          <w:sz w:val="24"/>
        </w:rPr>
        <w:t>earlier.</w:t>
      </w:r>
    </w:p>
    <w:p>
      <w:pPr>
        <w:pStyle w:val="ListParagraph"/>
        <w:numPr>
          <w:ilvl w:val="2"/>
          <w:numId w:val="31"/>
        </w:numPr>
        <w:tabs>
          <w:tab w:pos="1938" w:val="left" w:leader="none"/>
        </w:tabs>
        <w:spacing w:line="240" w:lineRule="auto" w:before="240" w:after="0"/>
        <w:ind w:left="1646" w:right="1078" w:firstLine="0"/>
        <w:jc w:val="both"/>
        <w:rPr>
          <w:sz w:val="24"/>
        </w:rPr>
      </w:pPr>
      <w:r>
        <w:rPr>
          <w:sz w:val="24"/>
        </w:rPr>
        <w:t>For</w:t>
      </w:r>
      <w:r>
        <w:rPr>
          <w:spacing w:val="-7"/>
          <w:sz w:val="24"/>
        </w:rPr>
        <w:t> </w:t>
      </w:r>
      <w:r>
        <w:rPr>
          <w:sz w:val="24"/>
        </w:rPr>
        <w:t>arriving</w:t>
      </w:r>
      <w:r>
        <w:rPr>
          <w:spacing w:val="-7"/>
          <w:sz w:val="24"/>
        </w:rPr>
        <w:t> </w:t>
      </w:r>
      <w:r>
        <w:rPr>
          <w:sz w:val="24"/>
        </w:rPr>
        <w:t>at</w:t>
      </w:r>
      <w:r>
        <w:rPr>
          <w:spacing w:val="-5"/>
          <w:sz w:val="24"/>
        </w:rPr>
        <w:t> </w:t>
      </w:r>
      <w:r>
        <w:rPr>
          <w:sz w:val="24"/>
        </w:rPr>
        <w:t>number</w:t>
      </w:r>
      <w:r>
        <w:rPr>
          <w:spacing w:val="-7"/>
          <w:sz w:val="24"/>
        </w:rPr>
        <w:t> </w:t>
      </w:r>
      <w:r>
        <w:rPr>
          <w:sz w:val="24"/>
        </w:rPr>
        <w:t>of</w:t>
      </w:r>
      <w:r>
        <w:rPr>
          <w:spacing w:val="-7"/>
          <w:sz w:val="24"/>
        </w:rPr>
        <w:t> </w:t>
      </w:r>
      <w:r>
        <w:rPr>
          <w:sz w:val="24"/>
        </w:rPr>
        <w:t>tenements,</w:t>
      </w:r>
      <w:r>
        <w:rPr>
          <w:spacing w:val="-7"/>
          <w:sz w:val="24"/>
        </w:rPr>
        <w:t> </w:t>
      </w:r>
      <w:r>
        <w:rPr>
          <w:sz w:val="24"/>
        </w:rPr>
        <w:t>ratio</w:t>
      </w:r>
      <w:r>
        <w:rPr>
          <w:spacing w:val="-7"/>
          <w:sz w:val="24"/>
        </w:rPr>
        <w:t> </w:t>
      </w:r>
      <w:r>
        <w:rPr>
          <w:sz w:val="24"/>
        </w:rPr>
        <w:t>of</w:t>
      </w:r>
      <w:r>
        <w:rPr>
          <w:spacing w:val="-7"/>
          <w:sz w:val="24"/>
        </w:rPr>
        <w:t> </w:t>
      </w:r>
      <w:r>
        <w:rPr>
          <w:sz w:val="24"/>
        </w:rPr>
        <w:t>BUA</w:t>
      </w:r>
      <w:r>
        <w:rPr>
          <w:spacing w:val="-7"/>
          <w:sz w:val="24"/>
        </w:rPr>
        <w:t> </w:t>
      </w:r>
      <w:r>
        <w:rPr>
          <w:sz w:val="24"/>
        </w:rPr>
        <w:t>to</w:t>
      </w:r>
      <w:r>
        <w:rPr>
          <w:spacing w:val="-5"/>
          <w:sz w:val="24"/>
        </w:rPr>
        <w:t> </w:t>
      </w:r>
      <w:r>
        <w:rPr>
          <w:sz w:val="24"/>
        </w:rPr>
        <w:t>carpet</w:t>
      </w:r>
      <w:r>
        <w:rPr>
          <w:spacing w:val="-4"/>
          <w:sz w:val="24"/>
        </w:rPr>
        <w:t> </w:t>
      </w:r>
      <w:r>
        <w:rPr>
          <w:sz w:val="24"/>
        </w:rPr>
        <w:t>area</w:t>
      </w:r>
      <w:r>
        <w:rPr>
          <w:spacing w:val="-7"/>
          <w:sz w:val="24"/>
        </w:rPr>
        <w:t> </w:t>
      </w:r>
      <w:r>
        <w:rPr>
          <w:sz w:val="24"/>
        </w:rPr>
        <w:t>shall be considered as 1.2 (including requirements as per provision of these Regulations). No separate compensation shall be given for areas under Regulation No.31 (1). BUA for the construction of staircase/lift/staircase</w:t>
      </w:r>
      <w:r>
        <w:rPr>
          <w:spacing w:val="-6"/>
          <w:sz w:val="24"/>
        </w:rPr>
        <w:t> </w:t>
      </w:r>
      <w:r>
        <w:rPr>
          <w:sz w:val="24"/>
        </w:rPr>
        <w:t>and</w:t>
      </w:r>
      <w:r>
        <w:rPr>
          <w:spacing w:val="-5"/>
          <w:sz w:val="24"/>
        </w:rPr>
        <w:t> </w:t>
      </w:r>
      <w:r>
        <w:rPr>
          <w:sz w:val="24"/>
        </w:rPr>
        <w:t>lift</w:t>
      </w:r>
      <w:r>
        <w:rPr>
          <w:spacing w:val="-6"/>
          <w:sz w:val="24"/>
        </w:rPr>
        <w:t> </w:t>
      </w:r>
      <w:r>
        <w:rPr>
          <w:sz w:val="24"/>
        </w:rPr>
        <w:t>lobby&amp;</w:t>
      </w:r>
      <w:r>
        <w:rPr>
          <w:spacing w:val="-6"/>
          <w:sz w:val="24"/>
        </w:rPr>
        <w:t> </w:t>
      </w:r>
      <w:r>
        <w:rPr>
          <w:sz w:val="24"/>
        </w:rPr>
        <w:t>other</w:t>
      </w:r>
      <w:r>
        <w:rPr>
          <w:spacing w:val="-6"/>
          <w:sz w:val="24"/>
        </w:rPr>
        <w:t> </w:t>
      </w:r>
      <w:r>
        <w:rPr>
          <w:sz w:val="24"/>
        </w:rPr>
        <w:t>areas</w:t>
      </w:r>
      <w:r>
        <w:rPr>
          <w:spacing w:val="-6"/>
          <w:sz w:val="24"/>
        </w:rPr>
        <w:t> </w:t>
      </w:r>
      <w:r>
        <w:rPr>
          <w:sz w:val="24"/>
        </w:rPr>
        <w:t>as</w:t>
      </w:r>
      <w:r>
        <w:rPr>
          <w:spacing w:val="-6"/>
          <w:sz w:val="24"/>
        </w:rPr>
        <w:t> </w:t>
      </w:r>
      <w:r>
        <w:rPr>
          <w:sz w:val="24"/>
        </w:rPr>
        <w:t>per</w:t>
      </w:r>
      <w:r>
        <w:rPr>
          <w:spacing w:val="-6"/>
          <w:sz w:val="24"/>
        </w:rPr>
        <w:t> </w:t>
      </w:r>
      <w:r>
        <w:rPr>
          <w:sz w:val="24"/>
        </w:rPr>
        <w:t>31(1)</w:t>
      </w:r>
      <w:r>
        <w:rPr>
          <w:spacing w:val="-5"/>
          <w:sz w:val="24"/>
        </w:rPr>
        <w:t> </w:t>
      </w:r>
      <w:r>
        <w:rPr>
          <w:sz w:val="24"/>
        </w:rPr>
        <w:t>shall</w:t>
      </w:r>
      <w:r>
        <w:rPr>
          <w:spacing w:val="-6"/>
          <w:sz w:val="24"/>
        </w:rPr>
        <w:t> </w:t>
      </w:r>
      <w:r>
        <w:rPr>
          <w:sz w:val="24"/>
        </w:rPr>
        <w:t>not be counted in BUA to be handed over and shall be without charging premium for the provision of IH tenements.</w:t>
      </w:r>
    </w:p>
    <w:p>
      <w:pPr>
        <w:pStyle w:val="BodyText"/>
        <w:spacing w:before="241"/>
        <w:ind w:left="1646" w:right="1076"/>
      </w:pPr>
      <w:r>
        <w:rPr/>
        <w:t>“Provided that there shall be no obligation to construct IH tenements in the redevelopment project of any Co-operative </w:t>
      </w:r>
      <w:r>
        <w:rPr/>
        <w:t>Housing Society/federation of societies/association/condominium/apartment owner’s association in which the carpet area of all existing individual residential tenements does not exceed 80 sq. m.</w:t>
      </w:r>
    </w:p>
    <w:p>
      <w:pPr>
        <w:spacing w:line="276" w:lineRule="auto" w:before="237"/>
        <w:ind w:left="1080" w:right="1075" w:firstLine="0"/>
        <w:jc w:val="both"/>
        <w:rPr>
          <w:b/>
          <w:sz w:val="22"/>
        </w:rPr>
      </w:pPr>
      <w:r>
        <w:rPr>
          <w:b/>
          <w:sz w:val="22"/>
        </w:rPr>
        <mc:AlternateContent>
          <mc:Choice Requires="wps">
            <w:drawing>
              <wp:anchor distT="0" distB="0" distL="0" distR="0" allowOverlap="1" layoutInCell="1" locked="0" behindDoc="0" simplePos="0" relativeHeight="15735808">
                <wp:simplePos x="0" y="0"/>
                <wp:positionH relativeFrom="page">
                  <wp:posOffset>914704</wp:posOffset>
                </wp:positionH>
                <wp:positionV relativeFrom="paragraph">
                  <wp:posOffset>490318</wp:posOffset>
                </wp:positionV>
                <wp:extent cx="5731510" cy="9525"/>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5731510" cy="9525"/>
                        </a:xfrm>
                        <a:custGeom>
                          <a:avLst/>
                          <a:gdLst/>
                          <a:ahLst/>
                          <a:cxnLst/>
                          <a:rect l="l" t="t" r="r" b="b"/>
                          <a:pathLst>
                            <a:path w="5731510" h="9525">
                              <a:moveTo>
                                <a:pt x="5731129" y="0"/>
                              </a:moveTo>
                              <a:lnTo>
                                <a:pt x="0" y="0"/>
                              </a:lnTo>
                              <a:lnTo>
                                <a:pt x="0" y="9144"/>
                              </a:lnTo>
                              <a:lnTo>
                                <a:pt x="5731129" y="9144"/>
                              </a:lnTo>
                              <a:lnTo>
                                <a:pt x="57311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38.607784pt;width:451.27pt;height:.72003pt;mso-position-horizontal-relative:page;mso-position-vertical-relative:paragraph;z-index:15735808" id="docshape97" filled="true" fillcolor="#000000" stroked="false">
                <v:fill type="solid"/>
                <w10:wrap type="none"/>
              </v:rect>
            </w:pict>
          </mc:Fallback>
        </mc:AlternateContent>
      </w:r>
      <w:r>
        <w:rPr>
          <w:b/>
          <w:sz w:val="22"/>
          <w:u w:val="single"/>
        </w:rPr>
        <w:t>Provided further that, if existing carpet area of some of the residential</w:t>
      </w:r>
      <w:r>
        <w:rPr>
          <w:b/>
          <w:sz w:val="22"/>
        </w:rPr>
        <w:t> tenements, in Co-operative Housing Society/federation of </w:t>
      </w:r>
      <w:r>
        <w:rPr>
          <w:b/>
          <w:sz w:val="22"/>
          <w:u w:val="single"/>
        </w:rPr>
        <w:t>societies/association/condominium/ /apartment owners association is more</w:t>
      </w:r>
      <w:r>
        <w:rPr>
          <w:b/>
          <w:sz w:val="22"/>
        </w:rPr>
        <w:t> </w:t>
      </w:r>
      <w:r>
        <w:rPr>
          <w:b/>
          <w:sz w:val="22"/>
          <w:u w:val="single"/>
        </w:rPr>
        <w:t>than 80 sq. m, then the obligation to hand over the BUA in the form of IH</w:t>
      </w:r>
      <w:r>
        <w:rPr>
          <w:b/>
          <w:sz w:val="22"/>
        </w:rPr>
        <w:t> </w:t>
      </w:r>
      <w:r>
        <w:rPr>
          <w:b/>
          <w:sz w:val="22"/>
          <w:u w:val="single"/>
        </w:rPr>
        <w:t>tenements/plot area would be proportionate to the ratio of BUA of such</w:t>
      </w:r>
      <w:r>
        <w:rPr>
          <w:b/>
          <w:sz w:val="22"/>
        </w:rPr>
        <w:t> </w:t>
      </w:r>
      <w:r>
        <w:rPr>
          <w:b/>
          <w:sz w:val="22"/>
          <w:u w:val="single"/>
        </w:rPr>
        <w:t>tenement having carpet area more than 80 sq. m and existing BUA, otherwise</w:t>
      </w:r>
      <w:r>
        <w:rPr>
          <w:b/>
          <w:sz w:val="22"/>
        </w:rPr>
        <w:t> </w:t>
      </w:r>
      <w:r>
        <w:rPr>
          <w:b/>
          <w:sz w:val="22"/>
          <w:u w:val="single"/>
        </w:rPr>
        <w:t>required as per this Regulation considering plot area.</w:t>
      </w:r>
      <w:r>
        <w:rPr>
          <w:b/>
          <w:spacing w:val="80"/>
          <w:sz w:val="22"/>
          <w:u w:val="single"/>
        </w:rPr>
        <w:t>  </w:t>
      </w:r>
    </w:p>
    <w:p>
      <w:pPr>
        <w:pStyle w:val="BodyText"/>
        <w:spacing w:before="203"/>
        <w:ind w:left="1646" w:right="1080"/>
      </w:pPr>
      <w:r>
        <w:rPr/>
        <w:t>This</w:t>
      </w:r>
      <w:r>
        <w:rPr>
          <w:spacing w:val="-2"/>
        </w:rPr>
        <w:t> </w:t>
      </w:r>
      <w:r>
        <w:rPr/>
        <w:t>provision</w:t>
      </w:r>
      <w:r>
        <w:rPr>
          <w:spacing w:val="-1"/>
        </w:rPr>
        <w:t> </w:t>
      </w:r>
      <w:r>
        <w:rPr/>
        <w:t>shall not</w:t>
      </w:r>
      <w:r>
        <w:rPr>
          <w:spacing w:val="-2"/>
        </w:rPr>
        <w:t> </w:t>
      </w:r>
      <w:r>
        <w:rPr/>
        <w:t>apply</w:t>
      </w:r>
      <w:r>
        <w:rPr>
          <w:spacing w:val="-1"/>
        </w:rPr>
        <w:t> </w:t>
      </w:r>
      <w:r>
        <w:rPr/>
        <w:t>to</w:t>
      </w:r>
      <w:r>
        <w:rPr>
          <w:spacing w:val="-2"/>
        </w:rPr>
        <w:t> </w:t>
      </w:r>
      <w:r>
        <w:rPr/>
        <w:t>redevelopment</w:t>
      </w:r>
      <w:r>
        <w:rPr>
          <w:spacing w:val="-2"/>
        </w:rPr>
        <w:t> </w:t>
      </w:r>
      <w:r>
        <w:rPr/>
        <w:t>of</w:t>
      </w:r>
      <w:r>
        <w:rPr>
          <w:spacing w:val="-2"/>
        </w:rPr>
        <w:t> </w:t>
      </w:r>
      <w:r>
        <w:rPr/>
        <w:t>individual</w:t>
      </w:r>
      <w:r>
        <w:rPr>
          <w:spacing w:val="-2"/>
        </w:rPr>
        <w:t> </w:t>
      </w:r>
      <w:r>
        <w:rPr/>
        <w:t>bungalows in</w:t>
      </w:r>
      <w:r>
        <w:rPr>
          <w:spacing w:val="65"/>
        </w:rPr>
        <w:t> </w:t>
      </w:r>
      <w:r>
        <w:rPr/>
        <w:t>Bungalow</w:t>
      </w:r>
      <w:r>
        <w:rPr>
          <w:spacing w:val="65"/>
        </w:rPr>
        <w:t> </w:t>
      </w:r>
      <w:r>
        <w:rPr/>
        <w:t>Scheme.</w:t>
      </w:r>
      <w:r>
        <w:rPr>
          <w:spacing w:val="65"/>
        </w:rPr>
        <w:t> </w:t>
      </w:r>
      <w:r>
        <w:rPr/>
        <w:t>However,</w:t>
      </w:r>
      <w:r>
        <w:rPr>
          <w:spacing w:val="65"/>
        </w:rPr>
        <w:t> </w:t>
      </w:r>
      <w:r>
        <w:rPr/>
        <w:t>this</w:t>
      </w:r>
      <w:r>
        <w:rPr>
          <w:spacing w:val="65"/>
        </w:rPr>
        <w:t> </w:t>
      </w:r>
      <w:r>
        <w:rPr/>
        <w:t>provision</w:t>
      </w:r>
      <w:r>
        <w:rPr>
          <w:spacing w:val="65"/>
        </w:rPr>
        <w:t> </w:t>
      </w:r>
      <w:r>
        <w:rPr/>
        <w:t>shall</w:t>
      </w:r>
      <w:r>
        <w:rPr>
          <w:spacing w:val="65"/>
        </w:rPr>
        <w:t> </w:t>
      </w:r>
      <w:r>
        <w:rPr/>
        <w:t>be</w:t>
      </w:r>
      <w:r>
        <w:rPr>
          <w:spacing w:val="67"/>
        </w:rPr>
        <w:t> </w:t>
      </w:r>
      <w:r>
        <w:rPr/>
        <w:t>applicable</w:t>
      </w:r>
      <w:r>
        <w:rPr>
          <w:spacing w:val="67"/>
        </w:rPr>
        <w:t> </w:t>
      </w:r>
      <w:r>
        <w:rPr>
          <w:spacing w:val="-5"/>
        </w:rPr>
        <w:t>if</w:t>
      </w:r>
    </w:p>
    <w:p>
      <w:pPr>
        <w:pStyle w:val="BodyText"/>
        <w:spacing w:after="0"/>
        <w:sectPr>
          <w:pgSz w:w="11910" w:h="16840"/>
          <w:pgMar w:header="746" w:footer="968" w:top="1180" w:bottom="1160" w:left="360" w:right="360"/>
        </w:sectPr>
      </w:pPr>
    </w:p>
    <w:p>
      <w:pPr>
        <w:pStyle w:val="BodyText"/>
        <w:spacing w:before="251"/>
        <w:ind w:left="1646" w:right="1081"/>
      </w:pPr>
      <w:r>
        <w:rPr/>
        <w:t>redevelopment</w:t>
      </w:r>
      <w:r>
        <w:rPr>
          <w:spacing w:val="-8"/>
        </w:rPr>
        <w:t> </w:t>
      </w:r>
      <w:r>
        <w:rPr/>
        <w:t>in</w:t>
      </w:r>
      <w:r>
        <w:rPr>
          <w:spacing w:val="-8"/>
        </w:rPr>
        <w:t> </w:t>
      </w:r>
      <w:r>
        <w:rPr/>
        <w:t>Bungalow</w:t>
      </w:r>
      <w:r>
        <w:rPr>
          <w:spacing w:val="-8"/>
        </w:rPr>
        <w:t> </w:t>
      </w:r>
      <w:r>
        <w:rPr/>
        <w:t>Scheme</w:t>
      </w:r>
      <w:r>
        <w:rPr>
          <w:spacing w:val="-8"/>
        </w:rPr>
        <w:t> </w:t>
      </w:r>
      <w:r>
        <w:rPr/>
        <w:t>or</w:t>
      </w:r>
      <w:r>
        <w:rPr>
          <w:spacing w:val="-8"/>
        </w:rPr>
        <w:t> </w:t>
      </w:r>
      <w:r>
        <w:rPr/>
        <w:t>plot</w:t>
      </w:r>
      <w:r>
        <w:rPr>
          <w:spacing w:val="-8"/>
        </w:rPr>
        <w:t> </w:t>
      </w:r>
      <w:r>
        <w:rPr/>
        <w:t>having</w:t>
      </w:r>
      <w:r>
        <w:rPr>
          <w:spacing w:val="-8"/>
        </w:rPr>
        <w:t> </w:t>
      </w:r>
      <w:r>
        <w:rPr/>
        <w:t>area</w:t>
      </w:r>
      <w:r>
        <w:rPr>
          <w:spacing w:val="-8"/>
        </w:rPr>
        <w:t> </w:t>
      </w:r>
      <w:r>
        <w:rPr/>
        <w:t>more</w:t>
      </w:r>
      <w:r>
        <w:rPr>
          <w:spacing w:val="-6"/>
        </w:rPr>
        <w:t> </w:t>
      </w:r>
      <w:r>
        <w:rPr/>
        <w:t>than</w:t>
      </w:r>
      <w:r>
        <w:rPr>
          <w:spacing w:val="-8"/>
        </w:rPr>
        <w:t> </w:t>
      </w:r>
      <w:r>
        <w:rPr/>
        <w:t>4000 sq. m. under layout is proposed,</w:t>
      </w:r>
    </w:p>
    <w:p>
      <w:pPr>
        <w:pStyle w:val="BodyText"/>
        <w:spacing w:before="241"/>
        <w:ind w:left="1646" w:right="1078"/>
      </w:pPr>
      <w:r>
        <w:rPr/>
        <w:t>There shall be no obligation to construct IH tenements in accordance with</w:t>
      </w:r>
      <w:r>
        <w:rPr>
          <w:spacing w:val="-13"/>
        </w:rPr>
        <w:t> </w:t>
      </w:r>
      <w:r>
        <w:rPr/>
        <w:t>these</w:t>
      </w:r>
      <w:r>
        <w:rPr>
          <w:spacing w:val="-13"/>
        </w:rPr>
        <w:t> </w:t>
      </w:r>
      <w:r>
        <w:rPr/>
        <w:t>provisions</w:t>
      </w:r>
      <w:r>
        <w:rPr>
          <w:spacing w:val="-13"/>
        </w:rPr>
        <w:t> </w:t>
      </w:r>
      <w:r>
        <w:rPr/>
        <w:t>in</w:t>
      </w:r>
      <w:r>
        <w:rPr>
          <w:spacing w:val="-13"/>
        </w:rPr>
        <w:t> </w:t>
      </w:r>
      <w:r>
        <w:rPr/>
        <w:t>any</w:t>
      </w:r>
      <w:r>
        <w:rPr>
          <w:spacing w:val="-13"/>
        </w:rPr>
        <w:t> </w:t>
      </w:r>
      <w:r>
        <w:rPr/>
        <w:t>redevelopment</w:t>
      </w:r>
      <w:r>
        <w:rPr>
          <w:spacing w:val="-13"/>
        </w:rPr>
        <w:t> </w:t>
      </w:r>
      <w:r>
        <w:rPr/>
        <w:t>project</w:t>
      </w:r>
      <w:r>
        <w:rPr>
          <w:spacing w:val="-13"/>
        </w:rPr>
        <w:t> </w:t>
      </w:r>
      <w:r>
        <w:rPr/>
        <w:t>under</w:t>
      </w:r>
      <w:r>
        <w:rPr>
          <w:spacing w:val="-13"/>
        </w:rPr>
        <w:t> </w:t>
      </w:r>
      <w:r>
        <w:rPr/>
        <w:t>Regulation</w:t>
      </w:r>
      <w:r>
        <w:rPr>
          <w:spacing w:val="-12"/>
        </w:rPr>
        <w:t> </w:t>
      </w:r>
      <w:r>
        <w:rPr/>
        <w:t>No. 33(2),33(3)(A),</w:t>
      </w:r>
      <w:r>
        <w:rPr>
          <w:spacing w:val="41"/>
        </w:rPr>
        <w:t> </w:t>
      </w:r>
      <w:r>
        <w:rPr/>
        <w:t>33(3)(B)</w:t>
      </w:r>
      <w:r>
        <w:rPr>
          <w:spacing w:val="41"/>
        </w:rPr>
        <w:t> </w:t>
      </w:r>
      <w:r>
        <w:rPr/>
        <w:t>33(5),33(6),33(7),33(8),</w:t>
      </w:r>
      <w:r>
        <w:rPr>
          <w:spacing w:val="41"/>
        </w:rPr>
        <w:t> </w:t>
      </w:r>
      <w:r>
        <w:rPr/>
        <w:t>33(9),</w:t>
      </w:r>
      <w:r>
        <w:rPr>
          <w:spacing w:val="41"/>
        </w:rPr>
        <w:t> </w:t>
      </w:r>
      <w:r>
        <w:rPr/>
        <w:t>33(9)(A),</w:t>
      </w:r>
      <w:r>
        <w:rPr>
          <w:spacing w:val="41"/>
        </w:rPr>
        <w:t> </w:t>
      </w:r>
      <w:r>
        <w:rPr>
          <w:spacing w:val="-2"/>
        </w:rPr>
        <w:t>33(9)(B),</w:t>
      </w:r>
    </w:p>
    <w:p>
      <w:pPr>
        <w:pStyle w:val="BodyText"/>
        <w:ind w:left="1646" w:right="1075"/>
      </w:pPr>
      <w:r>
        <w:rPr/>
        <w:t>33(10), 33(10)(A), 33(11), 33(20),development under Regulation No 35 and</w:t>
      </w:r>
      <w:r>
        <w:rPr>
          <w:spacing w:val="40"/>
        </w:rPr>
        <w:t> </w:t>
      </w:r>
      <w:r>
        <w:rPr/>
        <w:t>specified</w:t>
      </w:r>
      <w:r>
        <w:rPr>
          <w:spacing w:val="-17"/>
        </w:rPr>
        <w:t> </w:t>
      </w:r>
      <w:r>
        <w:rPr/>
        <w:t>under</w:t>
      </w:r>
      <w:r>
        <w:rPr>
          <w:spacing w:val="-14"/>
        </w:rPr>
        <w:t> </w:t>
      </w:r>
      <w:r>
        <w:rPr/>
        <w:t>Regulation</w:t>
      </w:r>
      <w:r>
        <w:rPr>
          <w:spacing w:val="-17"/>
        </w:rPr>
        <w:t> </w:t>
      </w:r>
      <w:r>
        <w:rPr/>
        <w:t>No.</w:t>
      </w:r>
      <w:r>
        <w:rPr>
          <w:spacing w:val="-16"/>
        </w:rPr>
        <w:t> </w:t>
      </w:r>
      <w:r>
        <w:rPr/>
        <w:t>14(B)</w:t>
      </w:r>
      <w:r>
        <w:rPr>
          <w:spacing w:val="-14"/>
        </w:rPr>
        <w:t> </w:t>
      </w:r>
      <w:r>
        <w:rPr/>
        <w:t>as</w:t>
      </w:r>
      <w:r>
        <w:rPr>
          <w:spacing w:val="-17"/>
        </w:rPr>
        <w:t> </w:t>
      </w:r>
      <w:r>
        <w:rPr/>
        <w:t>well</w:t>
      </w:r>
      <w:r>
        <w:rPr>
          <w:spacing w:val="-17"/>
        </w:rPr>
        <w:t> </w:t>
      </w:r>
      <w:r>
        <w:rPr/>
        <w:t>as</w:t>
      </w:r>
      <w:r>
        <w:rPr>
          <w:spacing w:val="-17"/>
        </w:rPr>
        <w:t> </w:t>
      </w:r>
      <w:r>
        <w:rPr/>
        <w:t>any</w:t>
      </w:r>
      <w:r>
        <w:rPr>
          <w:spacing w:val="-17"/>
        </w:rPr>
        <w:t> </w:t>
      </w:r>
      <w:r>
        <w:rPr/>
        <w:t>Housing</w:t>
      </w:r>
      <w:r>
        <w:rPr>
          <w:spacing w:val="-17"/>
        </w:rPr>
        <w:t> </w:t>
      </w:r>
      <w:r>
        <w:rPr/>
        <w:t>scheme or residential development project wherein owing to the relevant provisions of the DCRs, more than 20% of the Zonal (basic) FSI is required to be utilized towards construction of residential EWS/LIG tenements</w:t>
      </w:r>
      <w:r>
        <w:rPr>
          <w:spacing w:val="-18"/>
        </w:rPr>
        <w:t> </w:t>
      </w:r>
      <w:r>
        <w:rPr/>
        <w:t>and</w:t>
      </w:r>
      <w:r>
        <w:rPr>
          <w:spacing w:val="-17"/>
        </w:rPr>
        <w:t> </w:t>
      </w:r>
      <w:r>
        <w:rPr/>
        <w:t>development</w:t>
      </w:r>
      <w:r>
        <w:rPr>
          <w:spacing w:val="-18"/>
        </w:rPr>
        <w:t> </w:t>
      </w:r>
      <w:r>
        <w:rPr/>
        <w:t>of</w:t>
      </w:r>
      <w:r>
        <w:rPr>
          <w:spacing w:val="-18"/>
        </w:rPr>
        <w:t> </w:t>
      </w:r>
      <w:r>
        <w:rPr/>
        <w:t>land</w:t>
      </w:r>
      <w:r>
        <w:rPr>
          <w:spacing w:val="-18"/>
        </w:rPr>
        <w:t> </w:t>
      </w:r>
      <w:r>
        <w:rPr/>
        <w:t>situated</w:t>
      </w:r>
      <w:r>
        <w:rPr>
          <w:spacing w:val="-18"/>
        </w:rPr>
        <w:t> </w:t>
      </w:r>
      <w:r>
        <w:rPr/>
        <w:t>in</w:t>
      </w:r>
      <w:r>
        <w:rPr>
          <w:spacing w:val="-18"/>
        </w:rPr>
        <w:t> </w:t>
      </w:r>
      <w:r>
        <w:rPr/>
        <w:t>SDZ</w:t>
      </w:r>
      <w:r>
        <w:rPr>
          <w:spacing w:val="-18"/>
        </w:rPr>
        <w:t> </w:t>
      </w:r>
      <w:r>
        <w:rPr/>
        <w:t>as</w:t>
      </w:r>
      <w:r>
        <w:rPr>
          <w:spacing w:val="-18"/>
        </w:rPr>
        <w:t> </w:t>
      </w:r>
      <w:r>
        <w:rPr/>
        <w:t>per</w:t>
      </w:r>
      <w:r>
        <w:rPr>
          <w:spacing w:val="-18"/>
        </w:rPr>
        <w:t> </w:t>
      </w:r>
      <w:r>
        <w:rPr/>
        <w:t>the</w:t>
      </w:r>
      <w:r>
        <w:rPr>
          <w:spacing w:val="-20"/>
        </w:rPr>
        <w:t> </w:t>
      </w:r>
      <w:r>
        <w:rPr/>
        <w:t>regulation no</w:t>
      </w:r>
      <w:r>
        <w:rPr>
          <w:spacing w:val="40"/>
        </w:rPr>
        <w:t> </w:t>
      </w:r>
      <w:r>
        <w:rPr/>
        <w:t>33(8)</w:t>
      </w:r>
      <w:r>
        <w:rPr>
          <w:spacing w:val="-14"/>
        </w:rPr>
        <w:t> </w:t>
      </w:r>
      <w:r>
        <w:rPr/>
        <w:t>and</w:t>
      </w:r>
      <w:r>
        <w:rPr>
          <w:spacing w:val="-12"/>
        </w:rPr>
        <w:t> </w:t>
      </w:r>
      <w:r>
        <w:rPr/>
        <w:t>also</w:t>
      </w:r>
      <w:r>
        <w:rPr>
          <w:spacing w:val="-14"/>
        </w:rPr>
        <w:t> </w:t>
      </w:r>
      <w:r>
        <w:rPr/>
        <w:t>for</w:t>
      </w:r>
      <w:r>
        <w:rPr>
          <w:spacing w:val="-12"/>
        </w:rPr>
        <w:t> </w:t>
      </w:r>
      <w:r>
        <w:rPr/>
        <w:t>the</w:t>
      </w:r>
      <w:r>
        <w:rPr>
          <w:spacing w:val="-14"/>
        </w:rPr>
        <w:t> </w:t>
      </w:r>
      <w:r>
        <w:rPr/>
        <w:t>development/redevelopment</w:t>
      </w:r>
      <w:r>
        <w:rPr>
          <w:spacing w:val="-14"/>
        </w:rPr>
        <w:t> </w:t>
      </w:r>
      <w:r>
        <w:rPr/>
        <w:t>of</w:t>
      </w:r>
      <w:r>
        <w:rPr>
          <w:spacing w:val="-14"/>
        </w:rPr>
        <w:t> </w:t>
      </w:r>
      <w:r>
        <w:rPr/>
        <w:t>any</w:t>
      </w:r>
      <w:r>
        <w:rPr>
          <w:spacing w:val="-14"/>
        </w:rPr>
        <w:t> </w:t>
      </w:r>
      <w:r>
        <w:rPr/>
        <w:t>land</w:t>
      </w:r>
      <w:r>
        <w:rPr>
          <w:spacing w:val="-14"/>
        </w:rPr>
        <w:t> </w:t>
      </w:r>
      <w:r>
        <w:rPr/>
        <w:t>owned by</w:t>
      </w:r>
      <w:r>
        <w:rPr>
          <w:spacing w:val="-16"/>
        </w:rPr>
        <w:t> </w:t>
      </w:r>
      <w:r>
        <w:rPr/>
        <w:t>the</w:t>
      </w:r>
      <w:r>
        <w:rPr>
          <w:spacing w:val="-16"/>
        </w:rPr>
        <w:t> </w:t>
      </w:r>
      <w:r>
        <w:rPr/>
        <w:t>Govt.</w:t>
      </w:r>
      <w:r>
        <w:rPr>
          <w:spacing w:val="-16"/>
        </w:rPr>
        <w:t> </w:t>
      </w:r>
      <w:r>
        <w:rPr/>
        <w:t>or</w:t>
      </w:r>
      <w:r>
        <w:rPr>
          <w:spacing w:val="-16"/>
        </w:rPr>
        <w:t> </w:t>
      </w:r>
      <w:r>
        <w:rPr/>
        <w:t>any</w:t>
      </w:r>
      <w:r>
        <w:rPr>
          <w:spacing w:val="-16"/>
        </w:rPr>
        <w:t> </w:t>
      </w:r>
      <w:r>
        <w:rPr/>
        <w:t>Semi-Govt.</w:t>
      </w:r>
      <w:r>
        <w:rPr>
          <w:spacing w:val="-16"/>
        </w:rPr>
        <w:t> </w:t>
      </w:r>
      <w:r>
        <w:rPr/>
        <w:t>Organization,</w:t>
      </w:r>
      <w:r>
        <w:rPr>
          <w:spacing w:val="-16"/>
        </w:rPr>
        <w:t> </w:t>
      </w:r>
      <w:r>
        <w:rPr/>
        <w:t>provided</w:t>
      </w:r>
      <w:r>
        <w:rPr>
          <w:spacing w:val="-16"/>
        </w:rPr>
        <w:t> </w:t>
      </w:r>
      <w:r>
        <w:rPr/>
        <w:t>such</w:t>
      </w:r>
      <w:r>
        <w:rPr>
          <w:spacing w:val="-16"/>
        </w:rPr>
        <w:t> </w:t>
      </w:r>
      <w:r>
        <w:rPr/>
        <w:t>development I</w:t>
      </w:r>
      <w:r>
        <w:rPr>
          <w:spacing w:val="-3"/>
        </w:rPr>
        <w:t> </w:t>
      </w:r>
      <w:r>
        <w:rPr/>
        <w:t>redevelopment</w:t>
      </w:r>
      <w:r>
        <w:rPr>
          <w:spacing w:val="-7"/>
        </w:rPr>
        <w:t> </w:t>
      </w:r>
      <w:r>
        <w:rPr/>
        <w:t>is</w:t>
      </w:r>
      <w:r>
        <w:rPr>
          <w:spacing w:val="-6"/>
        </w:rPr>
        <w:t> </w:t>
      </w:r>
      <w:r>
        <w:rPr/>
        <w:t>undertaken</w:t>
      </w:r>
      <w:r>
        <w:rPr>
          <w:spacing w:val="-4"/>
        </w:rPr>
        <w:t> </w:t>
      </w:r>
      <w:r>
        <w:rPr/>
        <w:t>by</w:t>
      </w:r>
      <w:r>
        <w:rPr>
          <w:spacing w:val="-6"/>
        </w:rPr>
        <w:t> </w:t>
      </w:r>
      <w:r>
        <w:rPr/>
        <w:t>Govt.</w:t>
      </w:r>
      <w:r>
        <w:rPr>
          <w:spacing w:val="-5"/>
        </w:rPr>
        <w:t> </w:t>
      </w:r>
      <w:r>
        <w:rPr/>
        <w:t>or</w:t>
      </w:r>
      <w:r>
        <w:rPr>
          <w:spacing w:val="-6"/>
        </w:rPr>
        <w:t> </w:t>
      </w:r>
      <w:r>
        <w:rPr/>
        <w:t>Semi-Govt.</w:t>
      </w:r>
      <w:r>
        <w:rPr>
          <w:spacing w:val="-5"/>
        </w:rPr>
        <w:t> </w:t>
      </w:r>
      <w:r>
        <w:rPr/>
        <w:t>organization</w:t>
      </w:r>
      <w:r>
        <w:rPr>
          <w:spacing w:val="-5"/>
        </w:rPr>
        <w:t> </w:t>
      </w:r>
      <w:r>
        <w:rPr>
          <w:spacing w:val="-2"/>
        </w:rPr>
        <w:t>itself</w:t>
      </w:r>
    </w:p>
    <w:p>
      <w:pPr>
        <w:pStyle w:val="ListParagraph"/>
        <w:numPr>
          <w:ilvl w:val="0"/>
          <w:numId w:val="32"/>
        </w:numPr>
        <w:tabs>
          <w:tab w:pos="2015" w:val="left" w:leader="none"/>
        </w:tabs>
        <w:spacing w:line="281" w:lineRule="exact" w:before="0" w:after="0"/>
        <w:ind w:left="2015" w:right="0" w:hanging="369"/>
        <w:jc w:val="both"/>
        <w:rPr>
          <w:sz w:val="24"/>
        </w:rPr>
      </w:pPr>
      <w:r>
        <w:rPr>
          <w:sz w:val="24"/>
        </w:rPr>
        <w:t>Amalgamation</w:t>
      </w:r>
      <w:r>
        <w:rPr>
          <w:spacing w:val="-3"/>
          <w:sz w:val="24"/>
        </w:rPr>
        <w:t> </w:t>
      </w:r>
      <w:r>
        <w:rPr>
          <w:sz w:val="24"/>
        </w:rPr>
        <w:t>of</w:t>
      </w:r>
      <w:r>
        <w:rPr>
          <w:spacing w:val="-3"/>
          <w:sz w:val="24"/>
        </w:rPr>
        <w:t> </w:t>
      </w:r>
      <w:r>
        <w:rPr>
          <w:sz w:val="24"/>
        </w:rPr>
        <w:t>IH</w:t>
      </w:r>
      <w:r>
        <w:rPr>
          <w:spacing w:val="-3"/>
          <w:sz w:val="24"/>
        </w:rPr>
        <w:t> </w:t>
      </w:r>
      <w:r>
        <w:rPr>
          <w:sz w:val="24"/>
        </w:rPr>
        <w:t>plots/IH</w:t>
      </w:r>
      <w:r>
        <w:rPr>
          <w:spacing w:val="-3"/>
          <w:sz w:val="24"/>
        </w:rPr>
        <w:t> </w:t>
      </w:r>
      <w:r>
        <w:rPr>
          <w:sz w:val="24"/>
        </w:rPr>
        <w:t>tenements</w:t>
      </w:r>
      <w:r>
        <w:rPr>
          <w:spacing w:val="-3"/>
          <w:sz w:val="24"/>
        </w:rPr>
        <w:t> </w:t>
      </w:r>
      <w:r>
        <w:rPr>
          <w:sz w:val="24"/>
        </w:rPr>
        <w:t>shall</w:t>
      </w:r>
      <w:r>
        <w:rPr>
          <w:spacing w:val="-2"/>
          <w:sz w:val="24"/>
        </w:rPr>
        <w:t> </w:t>
      </w:r>
      <w:r>
        <w:rPr>
          <w:sz w:val="24"/>
        </w:rPr>
        <w:t>not</w:t>
      </w:r>
      <w:r>
        <w:rPr>
          <w:spacing w:val="-3"/>
          <w:sz w:val="24"/>
        </w:rPr>
        <w:t> </w:t>
      </w:r>
      <w:r>
        <w:rPr>
          <w:sz w:val="24"/>
        </w:rPr>
        <w:t>be</w:t>
      </w:r>
      <w:r>
        <w:rPr>
          <w:spacing w:val="-3"/>
          <w:sz w:val="24"/>
        </w:rPr>
        <w:t> </w:t>
      </w:r>
      <w:r>
        <w:rPr>
          <w:spacing w:val="-2"/>
          <w:sz w:val="24"/>
        </w:rPr>
        <w:t>allowed.</w:t>
      </w:r>
    </w:p>
    <w:p>
      <w:pPr>
        <w:pStyle w:val="ListParagraph"/>
        <w:numPr>
          <w:ilvl w:val="0"/>
          <w:numId w:val="32"/>
        </w:numPr>
        <w:tabs>
          <w:tab w:pos="2003" w:val="left" w:leader="none"/>
          <w:tab w:pos="4110" w:val="left" w:leader="none"/>
        </w:tabs>
        <w:spacing w:line="240" w:lineRule="auto" w:before="241" w:after="0"/>
        <w:ind w:left="1646" w:right="1078" w:firstLine="0"/>
        <w:jc w:val="both"/>
        <w:rPr>
          <w:sz w:val="24"/>
        </w:rPr>
      </w:pPr>
      <w:r>
        <w:rPr>
          <w:sz w:val="24"/>
        </w:rPr>
        <w:t>After</w:t>
      </w:r>
      <w:r>
        <w:rPr>
          <w:spacing w:val="-15"/>
          <w:sz w:val="24"/>
        </w:rPr>
        <w:t> </w:t>
      </w:r>
      <w:r>
        <w:rPr>
          <w:sz w:val="24"/>
        </w:rPr>
        <w:t>layout</w:t>
      </w:r>
      <w:r>
        <w:rPr>
          <w:spacing w:val="-15"/>
          <w:sz w:val="24"/>
        </w:rPr>
        <w:t> </w:t>
      </w:r>
      <w:r>
        <w:rPr>
          <w:sz w:val="24"/>
        </w:rPr>
        <w:t>approval,</w:t>
      </w:r>
      <w:r>
        <w:rPr>
          <w:spacing w:val="-15"/>
          <w:sz w:val="24"/>
        </w:rPr>
        <w:t> </w:t>
      </w:r>
      <w:r>
        <w:rPr>
          <w:sz w:val="24"/>
        </w:rPr>
        <w:t>the</w:t>
      </w:r>
      <w:r>
        <w:rPr>
          <w:spacing w:val="-15"/>
          <w:sz w:val="24"/>
        </w:rPr>
        <w:t> </w:t>
      </w:r>
      <w:r>
        <w:rPr>
          <w:sz w:val="24"/>
        </w:rPr>
        <w:t>area</w:t>
      </w:r>
      <w:r>
        <w:rPr>
          <w:spacing w:val="-15"/>
          <w:sz w:val="24"/>
        </w:rPr>
        <w:t> </w:t>
      </w:r>
      <w:r>
        <w:rPr>
          <w:sz w:val="24"/>
        </w:rPr>
        <w:t>may</w:t>
      </w:r>
      <w:r>
        <w:rPr>
          <w:spacing w:val="-13"/>
          <w:sz w:val="24"/>
        </w:rPr>
        <w:t> </w:t>
      </w:r>
      <w:r>
        <w:rPr>
          <w:sz w:val="24"/>
        </w:rPr>
        <w:t>be</w:t>
      </w:r>
      <w:r>
        <w:rPr>
          <w:spacing w:val="-15"/>
          <w:sz w:val="24"/>
        </w:rPr>
        <w:t> </w:t>
      </w:r>
      <w:r>
        <w:rPr>
          <w:sz w:val="24"/>
        </w:rPr>
        <w:t>further</w:t>
      </w:r>
      <w:r>
        <w:rPr>
          <w:spacing w:val="-15"/>
          <w:sz w:val="24"/>
        </w:rPr>
        <w:t> </w:t>
      </w:r>
      <w:r>
        <w:rPr>
          <w:sz w:val="24"/>
        </w:rPr>
        <w:t>subdivided</w:t>
      </w:r>
      <w:r>
        <w:rPr>
          <w:spacing w:val="-13"/>
          <w:sz w:val="24"/>
        </w:rPr>
        <w:t> </w:t>
      </w:r>
      <w:r>
        <w:rPr>
          <w:sz w:val="24"/>
        </w:rPr>
        <w:t>if</w:t>
      </w:r>
      <w:r>
        <w:rPr>
          <w:spacing w:val="-15"/>
          <w:sz w:val="24"/>
        </w:rPr>
        <w:t> </w:t>
      </w:r>
      <w:r>
        <w:rPr>
          <w:sz w:val="24"/>
        </w:rPr>
        <w:t>necessary to earmark</w:t>
        <w:tab/>
        <w:t>separate plots for the IH component and the other component.</w:t>
      </w:r>
      <w:r>
        <w:rPr>
          <w:spacing w:val="-5"/>
          <w:sz w:val="24"/>
        </w:rPr>
        <w:t> </w:t>
      </w:r>
      <w:r>
        <w:rPr>
          <w:sz w:val="24"/>
        </w:rPr>
        <w:t>The</w:t>
      </w:r>
      <w:r>
        <w:rPr>
          <w:spacing w:val="-5"/>
          <w:sz w:val="24"/>
        </w:rPr>
        <w:t> </w:t>
      </w:r>
      <w:r>
        <w:rPr>
          <w:sz w:val="24"/>
        </w:rPr>
        <w:t>Plot</w:t>
      </w:r>
      <w:r>
        <w:rPr>
          <w:spacing w:val="-3"/>
          <w:sz w:val="24"/>
        </w:rPr>
        <w:t> </w:t>
      </w:r>
      <w:r>
        <w:rPr>
          <w:sz w:val="24"/>
        </w:rPr>
        <w:t>area</w:t>
      </w:r>
      <w:r>
        <w:rPr>
          <w:spacing w:val="-5"/>
          <w:sz w:val="24"/>
        </w:rPr>
        <w:t> </w:t>
      </w:r>
      <w:r>
        <w:rPr>
          <w:sz w:val="24"/>
        </w:rPr>
        <w:t>and</w:t>
      </w:r>
      <w:r>
        <w:rPr>
          <w:spacing w:val="-5"/>
          <w:sz w:val="24"/>
        </w:rPr>
        <w:t> </w:t>
      </w:r>
      <w:r>
        <w:rPr>
          <w:sz w:val="24"/>
        </w:rPr>
        <w:t>the</w:t>
      </w:r>
      <w:r>
        <w:rPr>
          <w:spacing w:val="-5"/>
          <w:sz w:val="24"/>
        </w:rPr>
        <w:t> </w:t>
      </w:r>
      <w:r>
        <w:rPr>
          <w:sz w:val="24"/>
        </w:rPr>
        <w:t>BUA</w:t>
      </w:r>
      <w:r>
        <w:rPr>
          <w:spacing w:val="-5"/>
          <w:sz w:val="24"/>
        </w:rPr>
        <w:t> </w:t>
      </w:r>
      <w:r>
        <w:rPr>
          <w:sz w:val="24"/>
        </w:rPr>
        <w:t>in</w:t>
      </w:r>
      <w:r>
        <w:rPr>
          <w:spacing w:val="-5"/>
          <w:sz w:val="24"/>
        </w:rPr>
        <w:t> </w:t>
      </w:r>
      <w:r>
        <w:rPr>
          <w:sz w:val="24"/>
        </w:rPr>
        <w:t>terms</w:t>
      </w:r>
      <w:r>
        <w:rPr>
          <w:spacing w:val="-5"/>
          <w:sz w:val="24"/>
        </w:rPr>
        <w:t> </w:t>
      </w:r>
      <w:r>
        <w:rPr>
          <w:sz w:val="24"/>
        </w:rPr>
        <w:t>of</w:t>
      </w:r>
      <w:r>
        <w:rPr>
          <w:spacing w:val="-5"/>
          <w:sz w:val="24"/>
        </w:rPr>
        <w:t> </w:t>
      </w:r>
      <w:r>
        <w:rPr>
          <w:sz w:val="24"/>
        </w:rPr>
        <w:t>square</w:t>
      </w:r>
      <w:r>
        <w:rPr>
          <w:spacing w:val="-5"/>
          <w:sz w:val="24"/>
        </w:rPr>
        <w:t> </w:t>
      </w:r>
      <w:r>
        <w:rPr>
          <w:sz w:val="24"/>
        </w:rPr>
        <w:t>meters</w:t>
      </w:r>
      <w:r>
        <w:rPr>
          <w:spacing w:val="-5"/>
          <w:sz w:val="24"/>
        </w:rPr>
        <w:t> </w:t>
      </w:r>
      <w:r>
        <w:rPr>
          <w:sz w:val="24"/>
        </w:rPr>
        <w:t>on</w:t>
      </w:r>
      <w:r>
        <w:rPr>
          <w:spacing w:val="-5"/>
          <w:sz w:val="24"/>
        </w:rPr>
        <w:t> </w:t>
      </w:r>
      <w:r>
        <w:rPr>
          <w:sz w:val="24"/>
        </w:rPr>
        <w:t>the said plot shall be separately mentioned in the lease agreements and Record</w:t>
      </w:r>
      <w:r>
        <w:rPr>
          <w:spacing w:val="-10"/>
          <w:sz w:val="24"/>
        </w:rPr>
        <w:t> </w:t>
      </w:r>
      <w:r>
        <w:rPr>
          <w:sz w:val="24"/>
        </w:rPr>
        <w:t>of</w:t>
      </w:r>
      <w:r>
        <w:rPr>
          <w:spacing w:val="-10"/>
          <w:sz w:val="24"/>
        </w:rPr>
        <w:t> </w:t>
      </w:r>
      <w:r>
        <w:rPr>
          <w:sz w:val="24"/>
        </w:rPr>
        <w:t>Rights.</w:t>
      </w:r>
      <w:r>
        <w:rPr>
          <w:spacing w:val="-8"/>
          <w:sz w:val="24"/>
        </w:rPr>
        <w:t> </w:t>
      </w:r>
      <w:r>
        <w:rPr>
          <w:sz w:val="24"/>
        </w:rPr>
        <w:t>The</w:t>
      </w:r>
      <w:r>
        <w:rPr>
          <w:spacing w:val="-10"/>
          <w:sz w:val="24"/>
        </w:rPr>
        <w:t> </w:t>
      </w:r>
      <w:r>
        <w:rPr>
          <w:sz w:val="24"/>
        </w:rPr>
        <w:t>CTSO/SLR,</w:t>
      </w:r>
      <w:r>
        <w:rPr>
          <w:spacing w:val="-8"/>
          <w:sz w:val="24"/>
        </w:rPr>
        <w:t> </w:t>
      </w:r>
      <w:r>
        <w:rPr>
          <w:sz w:val="24"/>
        </w:rPr>
        <w:t>of</w:t>
      </w:r>
      <w:r>
        <w:rPr>
          <w:spacing w:val="-10"/>
          <w:sz w:val="24"/>
        </w:rPr>
        <w:t> </w:t>
      </w:r>
      <w:r>
        <w:rPr>
          <w:sz w:val="24"/>
        </w:rPr>
        <w:t>the</w:t>
      </w:r>
      <w:r>
        <w:rPr>
          <w:spacing w:val="-8"/>
          <w:sz w:val="24"/>
        </w:rPr>
        <w:t> </w:t>
      </w:r>
      <w:r>
        <w:rPr>
          <w:sz w:val="24"/>
        </w:rPr>
        <w:t>district</w:t>
      </w:r>
      <w:r>
        <w:rPr>
          <w:spacing w:val="-10"/>
          <w:sz w:val="24"/>
        </w:rPr>
        <w:t> </w:t>
      </w:r>
      <w:r>
        <w:rPr>
          <w:sz w:val="24"/>
        </w:rPr>
        <w:t>on</w:t>
      </w:r>
      <w:r>
        <w:rPr>
          <w:spacing w:val="-10"/>
          <w:sz w:val="24"/>
        </w:rPr>
        <w:t> </w:t>
      </w:r>
      <w:r>
        <w:rPr>
          <w:sz w:val="24"/>
        </w:rPr>
        <w:t>payment</w:t>
      </w:r>
      <w:r>
        <w:rPr>
          <w:spacing w:val="-8"/>
          <w:sz w:val="24"/>
        </w:rPr>
        <w:t> </w:t>
      </w:r>
      <w:r>
        <w:rPr>
          <w:sz w:val="24"/>
        </w:rPr>
        <w:t>of</w:t>
      </w:r>
      <w:r>
        <w:rPr>
          <w:spacing w:val="-10"/>
          <w:sz w:val="24"/>
        </w:rPr>
        <w:t> </w:t>
      </w:r>
      <w:r>
        <w:rPr>
          <w:sz w:val="24"/>
        </w:rPr>
        <w:t>such</w:t>
      </w:r>
      <w:r>
        <w:rPr>
          <w:spacing w:val="-10"/>
          <w:sz w:val="24"/>
        </w:rPr>
        <w:t> </w:t>
      </w:r>
      <w:r>
        <w:rPr>
          <w:sz w:val="24"/>
        </w:rPr>
        <w:t>fees as may be decided by the Govt. ensure that the City Survey sheet and property cards are corrected accordingly and fresh property cards are opened</w:t>
      </w:r>
      <w:r>
        <w:rPr>
          <w:spacing w:val="-3"/>
          <w:sz w:val="24"/>
        </w:rPr>
        <w:t> </w:t>
      </w:r>
      <w:r>
        <w:rPr>
          <w:sz w:val="24"/>
        </w:rPr>
        <w:t>for</w:t>
      </w:r>
      <w:r>
        <w:rPr>
          <w:spacing w:val="-3"/>
          <w:sz w:val="24"/>
        </w:rPr>
        <w:t> </w:t>
      </w:r>
      <w:r>
        <w:rPr>
          <w:sz w:val="24"/>
        </w:rPr>
        <w:t>each</w:t>
      </w:r>
      <w:r>
        <w:rPr>
          <w:spacing w:val="-3"/>
          <w:sz w:val="24"/>
        </w:rPr>
        <w:t> </w:t>
      </w:r>
      <w:r>
        <w:rPr>
          <w:sz w:val="24"/>
        </w:rPr>
        <w:t>of</w:t>
      </w:r>
      <w:r>
        <w:rPr>
          <w:spacing w:val="-6"/>
          <w:sz w:val="24"/>
        </w:rPr>
        <w:t> </w:t>
      </w:r>
      <w:r>
        <w:rPr>
          <w:sz w:val="24"/>
        </w:rPr>
        <w:t>the</w:t>
      </w:r>
      <w:r>
        <w:rPr>
          <w:spacing w:val="-3"/>
          <w:sz w:val="24"/>
        </w:rPr>
        <w:t> </w:t>
      </w:r>
      <w:r>
        <w:rPr>
          <w:sz w:val="24"/>
        </w:rPr>
        <w:t>plots</w:t>
      </w:r>
      <w:r>
        <w:rPr>
          <w:spacing w:val="-3"/>
          <w:sz w:val="24"/>
        </w:rPr>
        <w:t> </w:t>
      </w:r>
      <w:r>
        <w:rPr>
          <w:sz w:val="24"/>
        </w:rPr>
        <w:t>giving</w:t>
      </w:r>
      <w:r>
        <w:rPr>
          <w:spacing w:val="-3"/>
          <w:sz w:val="24"/>
        </w:rPr>
        <w:t> </w:t>
      </w:r>
      <w:r>
        <w:rPr>
          <w:sz w:val="24"/>
        </w:rPr>
        <w:t>details</w:t>
      </w:r>
      <w:r>
        <w:rPr>
          <w:spacing w:val="-3"/>
          <w:sz w:val="24"/>
        </w:rPr>
        <w:t> </w:t>
      </w:r>
      <w:r>
        <w:rPr>
          <w:sz w:val="24"/>
        </w:rPr>
        <w:t>regarding</w:t>
      </w:r>
      <w:r>
        <w:rPr>
          <w:spacing w:val="-3"/>
          <w:sz w:val="24"/>
        </w:rPr>
        <w:t> </w:t>
      </w:r>
      <w:r>
        <w:rPr>
          <w:sz w:val="24"/>
        </w:rPr>
        <w:t>the</w:t>
      </w:r>
      <w:r>
        <w:rPr>
          <w:spacing w:val="-3"/>
          <w:sz w:val="24"/>
        </w:rPr>
        <w:t> </w:t>
      </w:r>
      <w:r>
        <w:rPr>
          <w:sz w:val="24"/>
        </w:rPr>
        <w:t>area</w:t>
      </w:r>
      <w:r>
        <w:rPr>
          <w:spacing w:val="-8"/>
          <w:sz w:val="24"/>
        </w:rPr>
        <w:t> </w:t>
      </w:r>
      <w:r>
        <w:rPr>
          <w:sz w:val="24"/>
        </w:rPr>
        <w:t>of</w:t>
      </w:r>
      <w:r>
        <w:rPr>
          <w:spacing w:val="-3"/>
          <w:sz w:val="24"/>
        </w:rPr>
        <w:t> </w:t>
      </w:r>
      <w:r>
        <w:rPr>
          <w:sz w:val="24"/>
        </w:rPr>
        <w:t>the</w:t>
      </w:r>
      <w:r>
        <w:rPr>
          <w:spacing w:val="-3"/>
          <w:sz w:val="24"/>
        </w:rPr>
        <w:t> </w:t>
      </w:r>
      <w:r>
        <w:rPr>
          <w:sz w:val="24"/>
        </w:rPr>
        <w:t>plots and the total area of the floors of the built-up property and TDR given that is, the FSI used on that plot.</w:t>
      </w:r>
    </w:p>
    <w:p>
      <w:pPr>
        <w:pStyle w:val="Heading3"/>
        <w:numPr>
          <w:ilvl w:val="0"/>
          <w:numId w:val="29"/>
        </w:numPr>
        <w:tabs>
          <w:tab w:pos="2102" w:val="left" w:leader="none"/>
        </w:tabs>
        <w:spacing w:line="240" w:lineRule="auto" w:before="237" w:after="0"/>
        <w:ind w:left="2102" w:right="0" w:hanging="1022"/>
        <w:jc w:val="left"/>
      </w:pPr>
      <w:r>
        <w:rPr/>
        <w:t>Road</w:t>
      </w:r>
      <w:r>
        <w:rPr>
          <w:spacing w:val="50"/>
        </w:rPr>
        <w:t> </w:t>
      </w:r>
      <w:r>
        <w:rPr/>
        <w:t>/Road</w:t>
      </w:r>
      <w:r>
        <w:rPr>
          <w:spacing w:val="50"/>
        </w:rPr>
        <w:t> </w:t>
      </w:r>
      <w:r>
        <w:rPr>
          <w:spacing w:val="-2"/>
        </w:rPr>
        <w:t>Widening</w:t>
      </w:r>
    </w:p>
    <w:p>
      <w:pPr>
        <w:pStyle w:val="BodyText"/>
        <w:spacing w:before="244"/>
        <w:ind w:left="1800" w:right="1077" w:firstLine="153"/>
      </w:pPr>
      <w:r>
        <w:rPr/>
        <w:t>The Owner shall hand over the area required for road widening or roads</w:t>
      </w:r>
      <w:r>
        <w:rPr>
          <w:spacing w:val="37"/>
        </w:rPr>
        <w:t> </w:t>
      </w:r>
      <w:r>
        <w:rPr/>
        <w:t>proposed</w:t>
      </w:r>
      <w:r>
        <w:rPr>
          <w:spacing w:val="37"/>
        </w:rPr>
        <w:t> </w:t>
      </w:r>
      <w:r>
        <w:rPr/>
        <w:t>under</w:t>
      </w:r>
      <w:r>
        <w:rPr>
          <w:spacing w:val="37"/>
        </w:rPr>
        <w:t> </w:t>
      </w:r>
      <w:r>
        <w:rPr/>
        <w:t>the</w:t>
      </w:r>
      <w:r>
        <w:rPr>
          <w:spacing w:val="37"/>
        </w:rPr>
        <w:t> </w:t>
      </w:r>
      <w:r>
        <w:rPr/>
        <w:t>DP</w:t>
      </w:r>
      <w:r>
        <w:rPr>
          <w:spacing w:val="37"/>
        </w:rPr>
        <w:t> </w:t>
      </w:r>
      <w:r>
        <w:rPr/>
        <w:t>or</w:t>
      </w:r>
      <w:r>
        <w:rPr>
          <w:spacing w:val="37"/>
        </w:rPr>
        <w:t> </w:t>
      </w:r>
      <w:r>
        <w:rPr/>
        <w:t>the</w:t>
      </w:r>
      <w:r>
        <w:rPr>
          <w:spacing w:val="37"/>
        </w:rPr>
        <w:t> </w:t>
      </w:r>
      <w:r>
        <w:rPr/>
        <w:t>MMC</w:t>
      </w:r>
      <w:r>
        <w:rPr>
          <w:spacing w:val="37"/>
        </w:rPr>
        <w:t> </w:t>
      </w:r>
      <w:r>
        <w:rPr/>
        <w:t>Act,</w:t>
      </w:r>
      <w:r>
        <w:rPr>
          <w:spacing w:val="37"/>
        </w:rPr>
        <w:t> </w:t>
      </w:r>
      <w:r>
        <w:rPr/>
        <w:t>1888</w:t>
      </w:r>
      <w:r>
        <w:rPr>
          <w:spacing w:val="40"/>
        </w:rPr>
        <w:t> </w:t>
      </w:r>
      <w:r>
        <w:rPr/>
        <w:t>to</w:t>
      </w:r>
      <w:r>
        <w:rPr>
          <w:spacing w:val="38"/>
        </w:rPr>
        <w:t> </w:t>
      </w:r>
      <w:r>
        <w:rPr/>
        <w:t>MCGM</w:t>
      </w:r>
      <w:r>
        <w:rPr>
          <w:spacing w:val="37"/>
        </w:rPr>
        <w:t> </w:t>
      </w:r>
      <w:r>
        <w:rPr/>
        <w:t>free of cost and free of encumbrances by leveling the land to the surrounding</w:t>
      </w:r>
      <w:r>
        <w:rPr>
          <w:spacing w:val="-16"/>
        </w:rPr>
        <w:t> </w:t>
      </w:r>
      <w:r>
        <w:rPr/>
        <w:t>ground</w:t>
      </w:r>
      <w:r>
        <w:rPr>
          <w:spacing w:val="-16"/>
        </w:rPr>
        <w:t> </w:t>
      </w:r>
      <w:r>
        <w:rPr/>
        <w:t>level</w:t>
      </w:r>
      <w:r>
        <w:rPr>
          <w:spacing w:val="-16"/>
        </w:rPr>
        <w:t> </w:t>
      </w:r>
      <w:r>
        <w:rPr/>
        <w:t>and</w:t>
      </w:r>
      <w:r>
        <w:rPr>
          <w:spacing w:val="-16"/>
        </w:rPr>
        <w:t> </w:t>
      </w:r>
      <w:r>
        <w:rPr/>
        <w:t>after</w:t>
      </w:r>
      <w:r>
        <w:rPr>
          <w:spacing w:val="-16"/>
        </w:rPr>
        <w:t> </w:t>
      </w:r>
      <w:r>
        <w:rPr/>
        <w:t>constructing</w:t>
      </w:r>
      <w:r>
        <w:rPr>
          <w:spacing w:val="-16"/>
        </w:rPr>
        <w:t> </w:t>
      </w:r>
      <w:r>
        <w:rPr/>
        <w:t>1.5</w:t>
      </w:r>
      <w:r>
        <w:rPr>
          <w:spacing w:val="-16"/>
        </w:rPr>
        <w:t> </w:t>
      </w:r>
      <w:r>
        <w:rPr/>
        <w:t>m.</w:t>
      </w:r>
      <w:r>
        <w:rPr>
          <w:spacing w:val="-16"/>
        </w:rPr>
        <w:t> </w:t>
      </w:r>
      <w:r>
        <w:rPr/>
        <w:t>high</w:t>
      </w:r>
      <w:r>
        <w:rPr>
          <w:spacing w:val="-16"/>
        </w:rPr>
        <w:t> </w:t>
      </w:r>
      <w:r>
        <w:rPr/>
        <w:t>compound wall leaving the setback area as directed by the Commissioner.</w:t>
      </w:r>
    </w:p>
    <w:p>
      <w:pPr>
        <w:pStyle w:val="BodyText"/>
        <w:spacing w:before="238"/>
        <w:ind w:left="1800" w:right="1078"/>
      </w:pPr>
      <w:r>
        <w:rPr/>
        <w:t>Thereafter,</w:t>
      </w:r>
      <w:r>
        <w:rPr>
          <w:spacing w:val="40"/>
        </w:rPr>
        <w:t> </w:t>
      </w:r>
      <w:r>
        <w:rPr/>
        <w:t>the</w:t>
      </w:r>
      <w:r>
        <w:rPr>
          <w:spacing w:val="40"/>
        </w:rPr>
        <w:t> </w:t>
      </w:r>
      <w:r>
        <w:rPr/>
        <w:t>road</w:t>
      </w:r>
      <w:r>
        <w:rPr>
          <w:spacing w:val="40"/>
        </w:rPr>
        <w:t> </w:t>
      </w:r>
      <w:r>
        <w:rPr/>
        <w:t>land</w:t>
      </w:r>
      <w:r>
        <w:rPr>
          <w:spacing w:val="40"/>
        </w:rPr>
        <w:t> </w:t>
      </w:r>
      <w:r>
        <w:rPr/>
        <w:t>shall</w:t>
      </w:r>
      <w:r>
        <w:rPr>
          <w:spacing w:val="40"/>
        </w:rPr>
        <w:t> </w:t>
      </w:r>
      <w:r>
        <w:rPr/>
        <w:t>be</w:t>
      </w:r>
      <w:r>
        <w:rPr>
          <w:spacing w:val="40"/>
        </w:rPr>
        <w:t> </w:t>
      </w:r>
      <w:r>
        <w:rPr/>
        <w:t>transferred</w:t>
      </w:r>
      <w:r>
        <w:rPr>
          <w:spacing w:val="40"/>
        </w:rPr>
        <w:t> </w:t>
      </w:r>
      <w:r>
        <w:rPr/>
        <w:t>in</w:t>
      </w:r>
      <w:r>
        <w:rPr>
          <w:spacing w:val="40"/>
        </w:rPr>
        <w:t> </w:t>
      </w:r>
      <w:r>
        <w:rPr/>
        <w:t>the</w:t>
      </w:r>
      <w:r>
        <w:rPr>
          <w:spacing w:val="40"/>
        </w:rPr>
        <w:t> </w:t>
      </w:r>
      <w:r>
        <w:rPr/>
        <w:t>Revenue records</w:t>
      </w:r>
      <w:r>
        <w:rPr>
          <w:spacing w:val="40"/>
        </w:rPr>
        <w:t> </w:t>
      </w:r>
      <w:r>
        <w:rPr/>
        <w:t>in</w:t>
      </w:r>
      <w:r>
        <w:rPr>
          <w:spacing w:val="40"/>
        </w:rPr>
        <w:t> </w:t>
      </w:r>
      <w:r>
        <w:rPr/>
        <w:t>the</w:t>
      </w:r>
      <w:r>
        <w:rPr>
          <w:spacing w:val="40"/>
        </w:rPr>
        <w:t> </w:t>
      </w:r>
      <w:r>
        <w:rPr/>
        <w:t>name</w:t>
      </w:r>
      <w:r>
        <w:rPr>
          <w:spacing w:val="40"/>
        </w:rPr>
        <w:t> </w:t>
      </w:r>
      <w:r>
        <w:rPr/>
        <w:t>of</w:t>
      </w:r>
      <w:r>
        <w:rPr>
          <w:spacing w:val="40"/>
        </w:rPr>
        <w:t> </w:t>
      </w:r>
      <w:r>
        <w:rPr/>
        <w:t>the</w:t>
      </w:r>
      <w:r>
        <w:rPr>
          <w:spacing w:val="40"/>
        </w:rPr>
        <w:t> </w:t>
      </w:r>
      <w:r>
        <w:rPr/>
        <w:t>Corporation</w:t>
      </w:r>
      <w:r>
        <w:rPr>
          <w:spacing w:val="40"/>
        </w:rPr>
        <w:t> </w:t>
      </w:r>
      <w:r>
        <w:rPr/>
        <w:t>and</w:t>
      </w:r>
      <w:r>
        <w:rPr>
          <w:spacing w:val="40"/>
        </w:rPr>
        <w:t> </w:t>
      </w:r>
      <w:r>
        <w:rPr/>
        <w:t>shall</w:t>
      </w:r>
      <w:r>
        <w:rPr>
          <w:spacing w:val="40"/>
        </w:rPr>
        <w:t> </w:t>
      </w:r>
      <w:r>
        <w:rPr/>
        <w:t>vest</w:t>
      </w:r>
      <w:r>
        <w:rPr>
          <w:spacing w:val="40"/>
        </w:rPr>
        <w:t> </w:t>
      </w:r>
      <w:r>
        <w:rPr/>
        <w:t>in</w:t>
      </w:r>
      <w:r>
        <w:rPr>
          <w:spacing w:val="40"/>
        </w:rPr>
        <w:t> </w:t>
      </w:r>
      <w:r>
        <w:rPr/>
        <w:t>it becoming part of a public street as defined in </w:t>
      </w:r>
      <w:r>
        <w:rPr>
          <w:spacing w:val="10"/>
        </w:rPr>
        <w:t>sub-</w:t>
      </w:r>
      <w:r>
        <w:rPr/>
        <w:t>section (3) of section 288 of the MMC Act, 1888. The l TDR/FSI of plot so surrendered</w:t>
      </w:r>
      <w:r>
        <w:rPr>
          <w:spacing w:val="40"/>
        </w:rPr>
        <w:t> </w:t>
      </w:r>
      <w:r>
        <w:rPr/>
        <w:t>to</w:t>
      </w:r>
      <w:r>
        <w:rPr>
          <w:spacing w:val="40"/>
        </w:rPr>
        <w:t> </w:t>
      </w:r>
      <w:r>
        <w:rPr/>
        <w:t>MCGM</w:t>
      </w:r>
      <w:r>
        <w:rPr>
          <w:spacing w:val="40"/>
        </w:rPr>
        <w:t> </w:t>
      </w:r>
      <w:r>
        <w:rPr/>
        <w:t>free</w:t>
      </w:r>
      <w:r>
        <w:rPr>
          <w:spacing w:val="40"/>
        </w:rPr>
        <w:t> </w:t>
      </w:r>
      <w:r>
        <w:rPr/>
        <w:t>of</w:t>
      </w:r>
      <w:r>
        <w:rPr>
          <w:spacing w:val="40"/>
        </w:rPr>
        <w:t> </w:t>
      </w:r>
      <w:r>
        <w:rPr/>
        <w:t>cost</w:t>
      </w:r>
      <w:r>
        <w:rPr>
          <w:spacing w:val="40"/>
        </w:rPr>
        <w:t> </w:t>
      </w:r>
      <w:r>
        <w:rPr/>
        <w:t>and</w:t>
      </w:r>
      <w:r>
        <w:rPr>
          <w:spacing w:val="40"/>
        </w:rPr>
        <w:t> </w:t>
      </w:r>
      <w:r>
        <w:rPr/>
        <w:t>free</w:t>
      </w:r>
      <w:r>
        <w:rPr>
          <w:spacing w:val="40"/>
        </w:rPr>
        <w:t> </w:t>
      </w:r>
      <w:r>
        <w:rPr/>
        <w:t>of</w:t>
      </w:r>
      <w:r>
        <w:rPr>
          <w:spacing w:val="40"/>
        </w:rPr>
        <w:t> </w:t>
      </w:r>
      <w:r>
        <w:rPr/>
        <w:t>encumbrances</w:t>
      </w:r>
      <w:r>
        <w:rPr>
          <w:spacing w:val="40"/>
        </w:rPr>
        <w:t> </w:t>
      </w:r>
      <w:r>
        <w:rPr>
          <w:spacing w:val="9"/>
        </w:rPr>
        <w:t>shall </w:t>
      </w:r>
      <w:r>
        <w:rPr/>
        <w:t>be permissible</w:t>
      </w:r>
      <w:r>
        <w:rPr>
          <w:spacing w:val="80"/>
        </w:rPr>
        <w:t> </w:t>
      </w:r>
      <w:r>
        <w:rPr/>
        <w:t>as specified in Regulation No.) 30 &amp; 32</w:t>
      </w:r>
      <w:r>
        <w:rPr>
          <w:spacing w:val="40"/>
        </w:rPr>
        <w:t> </w:t>
      </w:r>
      <w:r>
        <w:rPr/>
        <w:t>except in respect of proposal processed under Regulation No </w:t>
      </w:r>
      <w:r>
        <w:rPr>
          <w:spacing w:val="7"/>
        </w:rPr>
        <w:t>33(5),33(7),33(7)(A),,33(9),33(9)(A),33(9)(B),33(10),33(10)(A),33(20</w:t>
      </w:r>
    </w:p>
    <w:p>
      <w:pPr>
        <w:pStyle w:val="BodyText"/>
        <w:ind w:left="1800" w:right="1087"/>
      </w:pPr>
      <w:r>
        <w:rPr/>
        <w:t>)(A),33(21).In case where the development of </w:t>
      </w:r>
      <w:r>
        <w:rPr>
          <w:spacing w:val="9"/>
        </w:rPr>
        <w:t>plot/layout </w:t>
      </w:r>
      <w:r>
        <w:rPr/>
        <w:t>is already completed in all respects and the road is proposed to be widened subsequently</w:t>
      </w:r>
      <w:r>
        <w:rPr>
          <w:spacing w:val="40"/>
        </w:rPr>
        <w:t> </w:t>
      </w:r>
      <w:r>
        <w:rPr/>
        <w:t>as</w:t>
      </w:r>
      <w:r>
        <w:rPr>
          <w:spacing w:val="40"/>
        </w:rPr>
        <w:t> </w:t>
      </w:r>
      <w:r>
        <w:rPr/>
        <w:t>per</w:t>
      </w:r>
      <w:r>
        <w:rPr>
          <w:spacing w:val="40"/>
        </w:rPr>
        <w:t> </w:t>
      </w:r>
      <w:r>
        <w:rPr/>
        <w:t>the</w:t>
      </w:r>
      <w:r>
        <w:rPr>
          <w:spacing w:val="40"/>
        </w:rPr>
        <w:t> </w:t>
      </w:r>
      <w:r>
        <w:rPr/>
        <w:t>sanctioned</w:t>
      </w:r>
      <w:r>
        <w:rPr>
          <w:spacing w:val="40"/>
        </w:rPr>
        <w:t> </w:t>
      </w:r>
      <w:r>
        <w:rPr/>
        <w:t>road</w:t>
      </w:r>
      <w:r>
        <w:rPr>
          <w:spacing w:val="40"/>
        </w:rPr>
        <w:t> </w:t>
      </w:r>
      <w:r>
        <w:rPr/>
        <w:t>line</w:t>
      </w:r>
      <w:r>
        <w:rPr>
          <w:spacing w:val="40"/>
        </w:rPr>
        <w:t> </w:t>
      </w:r>
      <w:r>
        <w:rPr/>
        <w:t>prescribed</w:t>
      </w:r>
      <w:r>
        <w:rPr>
          <w:spacing w:val="40"/>
        </w:rPr>
        <w:t> </w:t>
      </w:r>
      <w:r>
        <w:rPr>
          <w:spacing w:val="9"/>
        </w:rPr>
        <w:t>under </w:t>
      </w:r>
      <w:r>
        <w:rPr/>
        <w:t>MMC</w:t>
      </w:r>
      <w:r>
        <w:rPr>
          <w:spacing w:val="40"/>
        </w:rPr>
        <w:t> </w:t>
      </w:r>
      <w:r>
        <w:rPr/>
        <w:t>Act</w:t>
      </w:r>
      <w:r>
        <w:rPr>
          <w:spacing w:val="40"/>
        </w:rPr>
        <w:t> </w:t>
      </w:r>
      <w:r>
        <w:rPr/>
        <w:t>1888,</w:t>
      </w:r>
      <w:r>
        <w:rPr>
          <w:spacing w:val="40"/>
        </w:rPr>
        <w:t> </w:t>
      </w:r>
      <w:r>
        <w:rPr/>
        <w:t>plot</w:t>
      </w:r>
      <w:r>
        <w:rPr>
          <w:spacing w:val="40"/>
        </w:rPr>
        <w:t> </w:t>
      </w:r>
      <w:r>
        <w:rPr/>
        <w:t>owner</w:t>
      </w:r>
      <w:r>
        <w:rPr>
          <w:spacing w:val="40"/>
        </w:rPr>
        <w:t> </w:t>
      </w:r>
      <w:r>
        <w:rPr/>
        <w:t>shall</w:t>
      </w:r>
      <w:r>
        <w:rPr>
          <w:spacing w:val="40"/>
        </w:rPr>
        <w:t> </w:t>
      </w:r>
      <w:r>
        <w:rPr/>
        <w:t>be</w:t>
      </w:r>
      <w:r>
        <w:rPr>
          <w:spacing w:val="40"/>
        </w:rPr>
        <w:t> </w:t>
      </w:r>
      <w:r>
        <w:rPr>
          <w:spacing w:val="9"/>
        </w:rPr>
        <w:t>entitled</w:t>
      </w:r>
      <w:r>
        <w:rPr>
          <w:spacing w:val="40"/>
        </w:rPr>
        <w:t> </w:t>
      </w:r>
      <w:r>
        <w:rPr/>
        <w:t>for</w:t>
      </w:r>
      <w:r>
        <w:rPr>
          <w:spacing w:val="40"/>
        </w:rPr>
        <w:t> </w:t>
      </w:r>
      <w:r>
        <w:rPr/>
        <w:t>BUA</w:t>
      </w:r>
      <w:r>
        <w:rPr>
          <w:spacing w:val="40"/>
        </w:rPr>
        <w:t> </w:t>
      </w:r>
      <w:r>
        <w:rPr/>
        <w:t>as</w:t>
      </w:r>
      <w:r>
        <w:rPr>
          <w:spacing w:val="40"/>
        </w:rPr>
        <w:t> </w:t>
      </w:r>
      <w:r>
        <w:rPr/>
        <w:t>per</w:t>
      </w:r>
      <w:r>
        <w:rPr>
          <w:spacing w:val="40"/>
        </w:rPr>
        <w:t> </w:t>
      </w:r>
      <w:r>
        <w:rPr/>
        <w:t>the Zonal</w:t>
      </w:r>
      <w:r>
        <w:rPr>
          <w:spacing w:val="61"/>
        </w:rPr>
        <w:t>  </w:t>
      </w:r>
      <w:r>
        <w:rPr/>
        <w:t>(basic)</w:t>
      </w:r>
      <w:r>
        <w:rPr>
          <w:spacing w:val="65"/>
        </w:rPr>
        <w:t>  </w:t>
      </w:r>
      <w:r>
        <w:rPr/>
        <w:t>FSI/TDR</w:t>
      </w:r>
      <w:r>
        <w:rPr>
          <w:spacing w:val="62"/>
        </w:rPr>
        <w:t>  </w:t>
      </w:r>
      <w:r>
        <w:rPr/>
        <w:t>of</w:t>
      </w:r>
      <w:r>
        <w:rPr>
          <w:spacing w:val="62"/>
        </w:rPr>
        <w:t>  </w:t>
      </w:r>
      <w:r>
        <w:rPr/>
        <w:t>plot</w:t>
      </w:r>
      <w:r>
        <w:rPr>
          <w:spacing w:val="62"/>
        </w:rPr>
        <w:t>  </w:t>
      </w:r>
      <w:r>
        <w:rPr/>
        <w:t>so</w:t>
      </w:r>
      <w:r>
        <w:rPr>
          <w:spacing w:val="63"/>
        </w:rPr>
        <w:t>  </w:t>
      </w:r>
      <w:r>
        <w:rPr/>
        <w:t>surrendered</w:t>
      </w:r>
      <w:r>
        <w:rPr>
          <w:spacing w:val="62"/>
        </w:rPr>
        <w:t>  </w:t>
      </w:r>
      <w:r>
        <w:rPr/>
        <w:t>to</w:t>
      </w:r>
      <w:r>
        <w:rPr>
          <w:spacing w:val="64"/>
        </w:rPr>
        <w:t>  </w:t>
      </w:r>
      <w:r>
        <w:rPr>
          <w:spacing w:val="-2"/>
        </w:rPr>
        <w:t>MCGM/</w:t>
      </w:r>
    </w:p>
    <w:p>
      <w:pPr>
        <w:pStyle w:val="BodyText"/>
        <w:spacing w:after="0"/>
        <w:sectPr>
          <w:pgSz w:w="11910" w:h="16840"/>
          <w:pgMar w:header="746" w:footer="968" w:top="1180" w:bottom="1160" w:left="360" w:right="360"/>
        </w:sectPr>
      </w:pPr>
    </w:p>
    <w:p>
      <w:pPr>
        <w:pStyle w:val="BodyText"/>
        <w:spacing w:before="251"/>
        <w:ind w:left="1800" w:right="1090"/>
      </w:pPr>
      <w:r>
        <w:rPr/>
        <w:t>Appropriate Authority free of cost and free of encumbrances or monetary</w:t>
      </w:r>
      <w:r>
        <w:rPr>
          <w:spacing w:val="80"/>
        </w:rPr>
        <w:t> </w:t>
      </w:r>
      <w:r>
        <w:rPr/>
        <w:t>compensation</w:t>
      </w:r>
      <w:r>
        <w:rPr>
          <w:spacing w:val="80"/>
        </w:rPr>
        <w:t> </w:t>
      </w:r>
      <w:r>
        <w:rPr/>
        <w:t>as</w:t>
      </w:r>
      <w:r>
        <w:rPr>
          <w:spacing w:val="80"/>
        </w:rPr>
        <w:t> </w:t>
      </w:r>
      <w:r>
        <w:rPr/>
        <w:t>decided</w:t>
      </w:r>
      <w:r>
        <w:rPr>
          <w:spacing w:val="40"/>
        </w:rPr>
        <w:t> </w:t>
      </w:r>
      <w:r>
        <w:rPr/>
        <w:t>by</w:t>
      </w:r>
      <w:r>
        <w:rPr>
          <w:spacing w:val="80"/>
        </w:rPr>
        <w:t> </w:t>
      </w:r>
      <w:r>
        <w:rPr/>
        <w:t>the</w:t>
      </w:r>
      <w:r>
        <w:rPr>
          <w:spacing w:val="40"/>
        </w:rPr>
        <w:t> </w:t>
      </w:r>
      <w:r>
        <w:rPr/>
        <w:t>Competent</w:t>
      </w:r>
      <w:r>
        <w:rPr>
          <w:spacing w:val="80"/>
        </w:rPr>
        <w:t> </w:t>
      </w:r>
      <w:r>
        <w:rPr>
          <w:spacing w:val="9"/>
        </w:rPr>
        <w:t>Authority.</w:t>
      </w:r>
    </w:p>
    <w:p>
      <w:pPr>
        <w:pStyle w:val="BodyText"/>
        <w:spacing w:before="241"/>
        <w:ind w:left="1800" w:right="1085"/>
      </w:pPr>
      <w:r>
        <w:rPr/>
        <w:t>Herein after, wherever bridges are constructed by Govt./MCGM/Appropriate</w:t>
      </w:r>
      <w:r>
        <w:rPr>
          <w:spacing w:val="40"/>
        </w:rPr>
        <w:t> </w:t>
      </w:r>
      <w:r>
        <w:rPr/>
        <w:t>Authority,</w:t>
      </w:r>
      <w:r>
        <w:rPr>
          <w:spacing w:val="40"/>
        </w:rPr>
        <w:t> </w:t>
      </w:r>
      <w:r>
        <w:rPr/>
        <w:t>the</w:t>
      </w:r>
      <w:r>
        <w:rPr>
          <w:spacing w:val="40"/>
        </w:rPr>
        <w:t> </w:t>
      </w:r>
      <w:r>
        <w:rPr/>
        <w:t>same</w:t>
      </w:r>
      <w:r>
        <w:rPr>
          <w:spacing w:val="40"/>
        </w:rPr>
        <w:t> </w:t>
      </w:r>
      <w:r>
        <w:rPr/>
        <w:t>shall</w:t>
      </w:r>
      <w:r>
        <w:rPr>
          <w:spacing w:val="40"/>
        </w:rPr>
        <w:t> </w:t>
      </w:r>
      <w:r>
        <w:rPr/>
        <w:t>be</w:t>
      </w:r>
      <w:r>
        <w:rPr>
          <w:spacing w:val="40"/>
        </w:rPr>
        <w:t> </w:t>
      </w:r>
      <w:r>
        <w:rPr/>
        <w:t>provided with</w:t>
      </w:r>
      <w:r>
        <w:rPr>
          <w:spacing w:val="40"/>
        </w:rPr>
        <w:t> </w:t>
      </w:r>
      <w:r>
        <w:rPr/>
        <w:t>noise</w:t>
      </w:r>
      <w:r>
        <w:rPr>
          <w:spacing w:val="40"/>
        </w:rPr>
        <w:t> </w:t>
      </w:r>
      <w:r>
        <w:rPr/>
        <w:t>barriers</w:t>
      </w:r>
      <w:r>
        <w:rPr>
          <w:spacing w:val="40"/>
        </w:rPr>
        <w:t> </w:t>
      </w:r>
      <w:r>
        <w:rPr/>
        <w:t>as</w:t>
      </w:r>
      <w:r>
        <w:rPr>
          <w:spacing w:val="40"/>
        </w:rPr>
        <w:t> </w:t>
      </w:r>
      <w:r>
        <w:rPr/>
        <w:t>explained</w:t>
      </w:r>
      <w:r>
        <w:rPr>
          <w:spacing w:val="40"/>
        </w:rPr>
        <w:t> </w:t>
      </w:r>
      <w:r>
        <w:rPr/>
        <w:t>in</w:t>
      </w:r>
      <w:r>
        <w:rPr>
          <w:spacing w:val="40"/>
        </w:rPr>
        <w:t> </w:t>
      </w:r>
      <w:r>
        <w:rPr/>
        <w:t>Regulation</w:t>
      </w:r>
      <w:r>
        <w:rPr>
          <w:spacing w:val="40"/>
        </w:rPr>
        <w:t> </w:t>
      </w:r>
      <w:r>
        <w:rPr/>
        <w:t>No.</w:t>
      </w:r>
      <w:r>
        <w:rPr>
          <w:spacing w:val="40"/>
        </w:rPr>
        <w:t> </w:t>
      </w:r>
      <w:r>
        <w:rPr>
          <w:spacing w:val="9"/>
        </w:rPr>
        <w:t>2(IV)(87) </w:t>
      </w:r>
      <w:r>
        <w:rPr/>
        <w:t>wherever necessary.</w:t>
      </w:r>
    </w:p>
    <w:p>
      <w:pPr>
        <w:spacing w:before="235"/>
        <w:ind w:left="1080" w:right="0" w:firstLine="0"/>
        <w:jc w:val="left"/>
        <w:rPr>
          <w:b/>
          <w:i/>
          <w:sz w:val="28"/>
        </w:rPr>
      </w:pPr>
      <w:r>
        <w:rPr>
          <w:b/>
          <w:sz w:val="28"/>
        </w:rPr>
        <w:t>17</w:t>
      </w:r>
      <w:r>
        <w:rPr>
          <w:b/>
          <w:spacing w:val="-7"/>
          <w:sz w:val="28"/>
        </w:rPr>
        <w:t> </w:t>
      </w:r>
      <w:r>
        <w:rPr>
          <w:b/>
          <w:sz w:val="28"/>
        </w:rPr>
        <w:t>(1)</w:t>
      </w:r>
      <w:r>
        <w:rPr>
          <w:b/>
          <w:spacing w:val="-5"/>
          <w:sz w:val="28"/>
        </w:rPr>
        <w:t> </w:t>
      </w:r>
      <w:r>
        <w:rPr>
          <w:b/>
          <w:sz w:val="28"/>
        </w:rPr>
        <w:t>Development</w:t>
      </w:r>
      <w:r>
        <w:rPr>
          <w:b/>
          <w:spacing w:val="-5"/>
          <w:sz w:val="28"/>
        </w:rPr>
        <w:t> </w:t>
      </w:r>
      <w:r>
        <w:rPr>
          <w:b/>
          <w:i/>
          <w:sz w:val="28"/>
        </w:rPr>
        <w:t>of</w:t>
      </w:r>
      <w:r>
        <w:rPr>
          <w:b/>
          <w:i/>
          <w:spacing w:val="-7"/>
          <w:sz w:val="28"/>
        </w:rPr>
        <w:t> </w:t>
      </w:r>
      <w:r>
        <w:rPr>
          <w:b/>
          <w:i/>
          <w:sz w:val="28"/>
        </w:rPr>
        <w:t>Reserved</w:t>
      </w:r>
      <w:r>
        <w:rPr>
          <w:b/>
          <w:i/>
          <w:spacing w:val="-5"/>
          <w:sz w:val="28"/>
        </w:rPr>
        <w:t> </w:t>
      </w:r>
      <w:r>
        <w:rPr>
          <w:b/>
          <w:i/>
          <w:sz w:val="28"/>
        </w:rPr>
        <w:t>land</w:t>
      </w:r>
      <w:r>
        <w:rPr>
          <w:b/>
          <w:i/>
          <w:spacing w:val="-3"/>
          <w:sz w:val="28"/>
        </w:rPr>
        <w:t> </w:t>
      </w:r>
      <w:r>
        <w:rPr>
          <w:b/>
          <w:i/>
          <w:sz w:val="28"/>
        </w:rPr>
        <w:t>for</w:t>
      </w:r>
      <w:r>
        <w:rPr>
          <w:b/>
          <w:i/>
          <w:spacing w:val="-3"/>
          <w:sz w:val="28"/>
        </w:rPr>
        <w:t> </w:t>
      </w:r>
      <w:r>
        <w:rPr>
          <w:b/>
          <w:i/>
          <w:sz w:val="28"/>
        </w:rPr>
        <w:t>Public</w:t>
      </w:r>
      <w:r>
        <w:rPr>
          <w:b/>
          <w:i/>
          <w:spacing w:val="-4"/>
          <w:sz w:val="28"/>
        </w:rPr>
        <w:t> </w:t>
      </w:r>
      <w:r>
        <w:rPr>
          <w:b/>
          <w:i/>
          <w:spacing w:val="-2"/>
          <w:sz w:val="28"/>
        </w:rPr>
        <w:t>Purposes</w:t>
      </w:r>
    </w:p>
    <w:p>
      <w:pPr>
        <w:pStyle w:val="BodyText"/>
        <w:spacing w:before="244"/>
        <w:ind w:left="1800" w:right="1080"/>
      </w:pPr>
      <w:r>
        <w:rPr/>
        <w:t>Reservations which shall be exclusively developed by the MCGM or</w:t>
      </w:r>
      <w:r>
        <w:rPr>
          <w:spacing w:val="80"/>
        </w:rPr>
        <w:t> </w:t>
      </w:r>
      <w:r>
        <w:rPr/>
        <w:t>the</w:t>
      </w:r>
      <w:r>
        <w:rPr>
          <w:spacing w:val="40"/>
        </w:rPr>
        <w:t> </w:t>
      </w:r>
      <w:r>
        <w:rPr/>
        <w:t>Appropriate</w:t>
      </w:r>
      <w:r>
        <w:rPr>
          <w:spacing w:val="40"/>
        </w:rPr>
        <w:t> </w:t>
      </w:r>
      <w:r>
        <w:rPr/>
        <w:t>Authority</w:t>
      </w:r>
      <w:r>
        <w:rPr>
          <w:spacing w:val="40"/>
        </w:rPr>
        <w:t> </w:t>
      </w:r>
      <w:r>
        <w:rPr/>
        <w:t>(acquired</w:t>
      </w:r>
      <w:r>
        <w:rPr>
          <w:spacing w:val="40"/>
        </w:rPr>
        <w:t> </w:t>
      </w:r>
      <w:r>
        <w:rPr/>
        <w:t>by</w:t>
      </w:r>
      <w:r>
        <w:rPr>
          <w:spacing w:val="40"/>
        </w:rPr>
        <w:t> </w:t>
      </w:r>
      <w:r>
        <w:rPr/>
        <w:t>way</w:t>
      </w:r>
      <w:r>
        <w:rPr>
          <w:spacing w:val="40"/>
        </w:rPr>
        <w:t> </w:t>
      </w:r>
      <w:r>
        <w:rPr/>
        <w:t>of</w:t>
      </w:r>
      <w:r>
        <w:rPr>
          <w:spacing w:val="40"/>
        </w:rPr>
        <w:t> </w:t>
      </w:r>
      <w:r>
        <w:rPr/>
        <w:t>monetary compensation or TDR or any other means), or by owner, wherever permissible,</w:t>
      </w:r>
      <w:r>
        <w:rPr>
          <w:spacing w:val="11"/>
        </w:rPr>
        <w:t> entirely</w:t>
      </w:r>
      <w:r>
        <w:rPr>
          <w:spacing w:val="11"/>
        </w:rPr>
        <w:t> </w:t>
      </w:r>
      <w:r>
        <w:rPr/>
        <w:t>for</w:t>
      </w:r>
      <w:r>
        <w:rPr>
          <w:spacing w:val="40"/>
        </w:rPr>
        <w:t> </w:t>
      </w:r>
      <w:r>
        <w:rPr/>
        <w:t>the</w:t>
      </w:r>
      <w:r>
        <w:rPr>
          <w:spacing w:val="11"/>
        </w:rPr>
        <w:t> intended</w:t>
      </w:r>
      <w:r>
        <w:rPr>
          <w:spacing w:val="11"/>
        </w:rPr>
        <w:t> </w:t>
      </w:r>
      <w:r>
        <w:rPr>
          <w:spacing w:val="9"/>
        </w:rPr>
        <w:t>purpose</w:t>
      </w:r>
      <w:r>
        <w:rPr>
          <w:spacing w:val="9"/>
        </w:rPr>
        <w:t> </w:t>
      </w:r>
      <w:r>
        <w:rPr/>
        <w:t>are described in</w:t>
      </w:r>
      <w:r>
        <w:rPr>
          <w:spacing w:val="40"/>
        </w:rPr>
        <w:t> </w:t>
      </w:r>
      <w:r>
        <w:rPr/>
        <w:t>Table Nos. 4 &amp; 5 with appropriate conditions</w:t>
      </w:r>
      <w:r>
        <w:rPr>
          <w:spacing w:val="40"/>
        </w:rPr>
        <w:t> </w:t>
      </w:r>
      <w:r>
        <w:rPr/>
        <w:t>or</w:t>
      </w:r>
      <w:r>
        <w:rPr>
          <w:spacing w:val="40"/>
        </w:rPr>
        <w:t> </w:t>
      </w:r>
      <w:r>
        <w:rPr/>
        <w:t>allow</w:t>
      </w:r>
      <w:r>
        <w:rPr>
          <w:spacing w:val="40"/>
        </w:rPr>
        <w:t> </w:t>
      </w:r>
      <w:r>
        <w:rPr/>
        <w:t>owner</w:t>
      </w:r>
      <w:r>
        <w:rPr>
          <w:spacing w:val="40"/>
        </w:rPr>
        <w:t> </w:t>
      </w:r>
      <w:r>
        <w:rPr/>
        <w:t>to develop under </w:t>
      </w:r>
      <w:r>
        <w:rPr>
          <w:spacing w:val="9"/>
        </w:rPr>
        <w:t>Accommodation</w:t>
      </w:r>
      <w:r>
        <w:rPr>
          <w:spacing w:val="9"/>
        </w:rPr>
        <w:t> Reservation</w:t>
      </w:r>
      <w:r>
        <w:rPr>
          <w:spacing w:val="9"/>
        </w:rPr>
        <w:t> </w:t>
      </w:r>
      <w:r>
        <w:rPr/>
        <w:t>(AR) subject to conditions mentioned below &amp; further as described in Table No.5</w:t>
      </w:r>
    </w:p>
    <w:p>
      <w:pPr>
        <w:pStyle w:val="Heading6"/>
        <w:spacing w:before="239"/>
        <w:ind w:left="1080" w:firstLine="427"/>
      </w:pPr>
      <w:r>
        <w:rPr/>
        <w:t>Conditions</w:t>
      </w:r>
      <w:r>
        <w:rPr>
          <w:spacing w:val="-1"/>
        </w:rPr>
        <w:t> </w:t>
      </w:r>
      <w:r>
        <w:rPr/>
        <w:t>for</w:t>
      </w:r>
      <w:r>
        <w:rPr>
          <w:spacing w:val="-1"/>
        </w:rPr>
        <w:t> </w:t>
      </w:r>
      <w:r>
        <w:rPr/>
        <w:t>Development</w:t>
      </w:r>
      <w:r>
        <w:rPr>
          <w:spacing w:val="-1"/>
        </w:rPr>
        <w:t> </w:t>
      </w:r>
      <w:r>
        <w:rPr/>
        <w:t>of</w:t>
      </w:r>
      <w:r>
        <w:rPr>
          <w:spacing w:val="-1"/>
        </w:rPr>
        <w:t> </w:t>
      </w:r>
      <w:r>
        <w:rPr/>
        <w:t>reserved</w:t>
      </w:r>
      <w:r>
        <w:rPr>
          <w:spacing w:val="-1"/>
        </w:rPr>
        <w:t> </w:t>
      </w:r>
      <w:r>
        <w:rPr/>
        <w:t>land</w:t>
      </w:r>
      <w:r>
        <w:rPr>
          <w:spacing w:val="-1"/>
        </w:rPr>
        <w:t> </w:t>
      </w:r>
      <w:r>
        <w:rPr/>
        <w:t>under</w:t>
      </w:r>
      <w:r>
        <w:rPr>
          <w:spacing w:val="-1"/>
        </w:rPr>
        <w:t> </w:t>
      </w:r>
      <w:r>
        <w:rPr/>
        <w:t>Accommodation Reservation (AR)</w:t>
      </w:r>
    </w:p>
    <w:p>
      <w:pPr>
        <w:pStyle w:val="ListParagraph"/>
        <w:numPr>
          <w:ilvl w:val="0"/>
          <w:numId w:val="33"/>
        </w:numPr>
        <w:tabs>
          <w:tab w:pos="1799" w:val="left" w:leader="none"/>
        </w:tabs>
        <w:spacing w:line="240" w:lineRule="auto" w:before="240" w:after="0"/>
        <w:ind w:left="1799" w:right="0" w:hanging="292"/>
        <w:jc w:val="both"/>
        <w:rPr>
          <w:b/>
          <w:i/>
          <w:sz w:val="24"/>
        </w:rPr>
      </w:pPr>
      <w:r>
        <w:rPr>
          <w:b/>
          <w:i/>
          <w:sz w:val="24"/>
        </w:rPr>
        <w:t>For</w:t>
      </w:r>
      <w:r>
        <w:rPr>
          <w:b/>
          <w:i/>
          <w:spacing w:val="-3"/>
          <w:sz w:val="24"/>
        </w:rPr>
        <w:t> </w:t>
      </w:r>
      <w:r>
        <w:rPr>
          <w:b/>
          <w:i/>
          <w:sz w:val="24"/>
        </w:rPr>
        <w:t>plot</w:t>
      </w:r>
      <w:r>
        <w:rPr>
          <w:b/>
          <w:i/>
          <w:spacing w:val="-2"/>
          <w:sz w:val="24"/>
        </w:rPr>
        <w:t> </w:t>
      </w:r>
      <w:r>
        <w:rPr>
          <w:b/>
          <w:i/>
          <w:sz w:val="24"/>
        </w:rPr>
        <w:t>having</w:t>
      </w:r>
      <w:r>
        <w:rPr>
          <w:b/>
          <w:i/>
          <w:spacing w:val="-3"/>
          <w:sz w:val="24"/>
        </w:rPr>
        <w:t> </w:t>
      </w:r>
      <w:r>
        <w:rPr>
          <w:b/>
          <w:i/>
          <w:sz w:val="24"/>
        </w:rPr>
        <w:t>reservation</w:t>
      </w:r>
      <w:r>
        <w:rPr>
          <w:b/>
          <w:i/>
          <w:spacing w:val="-2"/>
          <w:sz w:val="24"/>
        </w:rPr>
        <w:t> </w:t>
      </w:r>
      <w:r>
        <w:rPr>
          <w:b/>
          <w:i/>
          <w:sz w:val="24"/>
        </w:rPr>
        <w:t>area</w:t>
      </w:r>
      <w:r>
        <w:rPr>
          <w:b/>
          <w:i/>
          <w:spacing w:val="-2"/>
          <w:sz w:val="24"/>
        </w:rPr>
        <w:t> </w:t>
      </w:r>
      <w:r>
        <w:rPr>
          <w:b/>
          <w:i/>
          <w:sz w:val="24"/>
        </w:rPr>
        <w:t>1000</w:t>
      </w:r>
      <w:r>
        <w:rPr>
          <w:b/>
          <w:i/>
          <w:spacing w:val="-2"/>
          <w:sz w:val="24"/>
        </w:rPr>
        <w:t> </w:t>
      </w:r>
      <w:r>
        <w:rPr>
          <w:b/>
          <w:i/>
          <w:sz w:val="24"/>
        </w:rPr>
        <w:t>sq.</w:t>
      </w:r>
      <w:r>
        <w:rPr>
          <w:b/>
          <w:i/>
          <w:spacing w:val="-3"/>
          <w:sz w:val="24"/>
        </w:rPr>
        <w:t> </w:t>
      </w:r>
      <w:r>
        <w:rPr>
          <w:b/>
          <w:i/>
          <w:sz w:val="24"/>
        </w:rPr>
        <w:t>m.</w:t>
      </w:r>
      <w:r>
        <w:rPr>
          <w:b/>
          <w:i/>
          <w:spacing w:val="-2"/>
          <w:sz w:val="24"/>
        </w:rPr>
        <w:t> </w:t>
      </w:r>
      <w:r>
        <w:rPr>
          <w:b/>
          <w:i/>
          <w:sz w:val="24"/>
        </w:rPr>
        <w:t>or</w:t>
      </w:r>
      <w:r>
        <w:rPr>
          <w:b/>
          <w:i/>
          <w:spacing w:val="-2"/>
          <w:sz w:val="24"/>
        </w:rPr>
        <w:t> </w:t>
      </w:r>
      <w:r>
        <w:rPr>
          <w:b/>
          <w:i/>
          <w:spacing w:val="-4"/>
          <w:sz w:val="24"/>
        </w:rPr>
        <w:t>more</w:t>
      </w:r>
    </w:p>
    <w:p>
      <w:pPr>
        <w:pStyle w:val="ListParagraph"/>
        <w:numPr>
          <w:ilvl w:val="1"/>
          <w:numId w:val="33"/>
        </w:numPr>
        <w:tabs>
          <w:tab w:pos="1786" w:val="left" w:leader="none"/>
        </w:tabs>
        <w:spacing w:line="240" w:lineRule="auto" w:before="242" w:after="0"/>
        <w:ind w:left="1507" w:right="1080" w:firstLine="0"/>
        <w:jc w:val="both"/>
        <w:rPr>
          <w:sz w:val="24"/>
        </w:rPr>
      </w:pPr>
      <w:r>
        <w:rPr>
          <w:sz w:val="24"/>
        </w:rPr>
        <w:t>The owner will be allowed to develop the land if he agrees to construct BUA</w:t>
      </w:r>
      <w:r>
        <w:rPr>
          <w:spacing w:val="-5"/>
          <w:sz w:val="24"/>
        </w:rPr>
        <w:t> </w:t>
      </w:r>
      <w:r>
        <w:rPr>
          <w:sz w:val="24"/>
        </w:rPr>
        <w:t>equivalent to ‘X’% of Basic</w:t>
      </w:r>
      <w:r>
        <w:rPr>
          <w:spacing w:val="40"/>
          <w:sz w:val="24"/>
        </w:rPr>
        <w:t> </w:t>
      </w:r>
      <w:r>
        <w:rPr>
          <w:sz w:val="24"/>
        </w:rPr>
        <w:t>(</w:t>
      </w:r>
      <w:r>
        <w:rPr>
          <w:spacing w:val="-20"/>
          <w:sz w:val="24"/>
        </w:rPr>
        <w:t> </w:t>
      </w:r>
      <w:r>
        <w:rPr>
          <w:spacing w:val="18"/>
          <w:sz w:val="24"/>
        </w:rPr>
        <w:t>zonal) </w:t>
      </w:r>
      <w:r>
        <w:rPr>
          <w:sz w:val="24"/>
        </w:rPr>
        <w:t>FSI and agrees to hand it over to MCGM/Appropriate Authority in lieu of FSI/TDR, as specified in this regulation along with ‘Y’% of area of reserved plot, free of cost as per the designs, specifications, terms and conditions duly approved by the </w:t>
      </w:r>
      <w:r>
        <w:rPr>
          <w:spacing w:val="-2"/>
          <w:sz w:val="24"/>
        </w:rPr>
        <w:t>Commissioner.</w:t>
      </w:r>
    </w:p>
    <w:p>
      <w:pPr>
        <w:pStyle w:val="ListParagraph"/>
        <w:numPr>
          <w:ilvl w:val="1"/>
          <w:numId w:val="33"/>
        </w:numPr>
        <w:tabs>
          <w:tab w:pos="1785" w:val="left" w:leader="none"/>
        </w:tabs>
        <w:spacing w:line="240" w:lineRule="auto" w:before="240" w:after="0"/>
        <w:ind w:left="1507" w:right="1083" w:firstLine="0"/>
        <w:jc w:val="both"/>
        <w:rPr>
          <w:sz w:val="24"/>
        </w:rPr>
      </w:pPr>
      <w:r>
        <w:rPr>
          <w:sz w:val="24"/>
        </w:rPr>
        <w:t>The owner will be entitled to avail the permissible BUA</w:t>
      </w:r>
      <w:r>
        <w:rPr>
          <w:spacing w:val="40"/>
          <w:sz w:val="24"/>
        </w:rPr>
        <w:t> </w:t>
      </w:r>
      <w:r>
        <w:rPr>
          <w:sz w:val="24"/>
        </w:rPr>
        <w:t>of</w:t>
      </w:r>
      <w:r>
        <w:rPr>
          <w:spacing w:val="80"/>
          <w:sz w:val="24"/>
        </w:rPr>
        <w:t> </w:t>
      </w:r>
      <w:r>
        <w:rPr>
          <w:sz w:val="24"/>
        </w:rPr>
        <w:t>Y % of reserved plot for other permissible uses in the zone under these Regulations</w:t>
      </w:r>
      <w:r>
        <w:rPr>
          <w:spacing w:val="40"/>
          <w:sz w:val="24"/>
        </w:rPr>
        <w:t> </w:t>
      </w:r>
      <w:r>
        <w:rPr>
          <w:sz w:val="24"/>
        </w:rPr>
        <w:t>on</w:t>
      </w:r>
      <w:r>
        <w:rPr>
          <w:spacing w:val="40"/>
          <w:sz w:val="24"/>
        </w:rPr>
        <w:t> </w:t>
      </w:r>
      <w:r>
        <w:rPr>
          <w:sz w:val="24"/>
        </w:rPr>
        <w:t>the</w:t>
      </w:r>
      <w:r>
        <w:rPr>
          <w:spacing w:val="40"/>
          <w:sz w:val="24"/>
        </w:rPr>
        <w:t> </w:t>
      </w:r>
      <w:r>
        <w:rPr>
          <w:sz w:val="24"/>
        </w:rPr>
        <w:t>remaining</w:t>
      </w:r>
      <w:r>
        <w:rPr>
          <w:spacing w:val="40"/>
          <w:sz w:val="24"/>
        </w:rPr>
        <w:t> </w:t>
      </w:r>
      <w:r>
        <w:rPr>
          <w:sz w:val="24"/>
        </w:rPr>
        <w:t>land</w:t>
      </w:r>
      <w:r>
        <w:rPr>
          <w:spacing w:val="40"/>
          <w:sz w:val="24"/>
        </w:rPr>
        <w:t> </w:t>
      </w:r>
      <w:r>
        <w:rPr>
          <w:sz w:val="24"/>
        </w:rPr>
        <w:t>[(100-</w:t>
      </w:r>
      <w:r>
        <w:rPr>
          <w:spacing w:val="40"/>
          <w:sz w:val="24"/>
        </w:rPr>
        <w:t> </w:t>
      </w:r>
      <w:r>
        <w:rPr>
          <w:sz w:val="24"/>
        </w:rPr>
        <w:t>‘Y’)</w:t>
      </w:r>
      <w:r>
        <w:rPr>
          <w:spacing w:val="40"/>
          <w:sz w:val="24"/>
        </w:rPr>
        <w:t> </w:t>
      </w:r>
      <w:r>
        <w:rPr>
          <w:sz w:val="24"/>
        </w:rPr>
        <w:t>%</w:t>
      </w:r>
      <w:r>
        <w:rPr>
          <w:spacing w:val="40"/>
          <w:sz w:val="24"/>
        </w:rPr>
        <w:t> </w:t>
      </w:r>
      <w:r>
        <w:rPr>
          <w:sz w:val="24"/>
        </w:rPr>
        <w:t>of</w:t>
      </w:r>
      <w:r>
        <w:rPr>
          <w:spacing w:val="40"/>
          <w:sz w:val="24"/>
        </w:rPr>
        <w:t> </w:t>
      </w:r>
      <w:r>
        <w:rPr>
          <w:sz w:val="24"/>
        </w:rPr>
        <w:t>the</w:t>
      </w:r>
      <w:r>
        <w:rPr>
          <w:spacing w:val="40"/>
          <w:sz w:val="24"/>
        </w:rPr>
        <w:t> </w:t>
      </w:r>
      <w:r>
        <w:rPr>
          <w:sz w:val="24"/>
        </w:rPr>
        <w:t>land]</w:t>
      </w:r>
      <w:r>
        <w:rPr>
          <w:spacing w:val="40"/>
          <w:sz w:val="24"/>
        </w:rPr>
        <w:t> </w:t>
      </w:r>
      <w:r>
        <w:rPr>
          <w:sz w:val="24"/>
        </w:rPr>
        <w:t>as permitted under this regulations.</w:t>
      </w:r>
    </w:p>
    <w:p>
      <w:pPr>
        <w:pStyle w:val="ListParagraph"/>
        <w:numPr>
          <w:ilvl w:val="1"/>
          <w:numId w:val="33"/>
        </w:numPr>
        <w:tabs>
          <w:tab w:pos="1784" w:val="left" w:leader="none"/>
        </w:tabs>
        <w:spacing w:line="240" w:lineRule="auto" w:before="241" w:after="0"/>
        <w:ind w:left="1507" w:right="1104" w:firstLine="0"/>
        <w:jc w:val="both"/>
        <w:rPr>
          <w:sz w:val="24"/>
        </w:rPr>
      </w:pPr>
      <w:r>
        <w:rPr>
          <w:sz w:val="24"/>
        </w:rPr>
        <w:t>The values of ‘X’ and ‘Y’ for the respective reservations as mentioned</w:t>
      </w:r>
      <w:r>
        <w:rPr>
          <w:spacing w:val="40"/>
          <w:sz w:val="24"/>
        </w:rPr>
        <w:t> </w:t>
      </w:r>
      <w:r>
        <w:rPr>
          <w:sz w:val="24"/>
        </w:rPr>
        <w:t>in Sr. No. I and ii above are given in Table No.5 below.</w:t>
      </w:r>
    </w:p>
    <w:p>
      <w:pPr>
        <w:pStyle w:val="ListParagraph"/>
        <w:numPr>
          <w:ilvl w:val="1"/>
          <w:numId w:val="33"/>
        </w:numPr>
        <w:tabs>
          <w:tab w:pos="1786" w:val="left" w:leader="none"/>
        </w:tabs>
        <w:spacing w:line="240" w:lineRule="auto" w:before="240" w:after="0"/>
        <w:ind w:left="1507" w:right="1080" w:firstLine="0"/>
        <w:jc w:val="both"/>
        <w:rPr>
          <w:sz w:val="24"/>
        </w:rPr>
      </w:pPr>
      <w:r>
        <w:rPr>
          <w:sz w:val="24"/>
        </w:rPr>
        <w:t>The construction of built up amenity (with all requirements as per the provisions of these Regulations) to be handed over to MCGM along with the land as stated above under AR may be allowed to be developed </w:t>
      </w:r>
      <w:r>
        <w:rPr>
          <w:spacing w:val="16"/>
          <w:sz w:val="24"/>
        </w:rPr>
        <w:t>in </w:t>
      </w:r>
      <w:r>
        <w:rPr>
          <w:spacing w:val="14"/>
          <w:sz w:val="24"/>
        </w:rPr>
        <w:t>independent</w:t>
      </w:r>
      <w:r>
        <w:rPr>
          <w:spacing w:val="14"/>
          <w:sz w:val="24"/>
        </w:rPr>
        <w:t> </w:t>
      </w:r>
      <w:r>
        <w:rPr>
          <w:spacing w:val="12"/>
          <w:sz w:val="24"/>
        </w:rPr>
        <w:t>building/semi-</w:t>
      </w:r>
      <w:r>
        <w:rPr>
          <w:sz w:val="24"/>
        </w:rPr>
        <w:t>detached to the structures of other permissible development on the same plot or layout proposed by the owner/developer</w:t>
      </w:r>
      <w:r>
        <w:rPr>
          <w:spacing w:val="-14"/>
          <w:sz w:val="24"/>
        </w:rPr>
        <w:t> </w:t>
      </w:r>
      <w:r>
        <w:rPr>
          <w:sz w:val="24"/>
        </w:rPr>
        <w:t>on</w:t>
      </w:r>
      <w:r>
        <w:rPr>
          <w:spacing w:val="-14"/>
          <w:sz w:val="24"/>
        </w:rPr>
        <w:t> </w:t>
      </w:r>
      <w:r>
        <w:rPr>
          <w:sz w:val="24"/>
        </w:rPr>
        <w:t>the</w:t>
      </w:r>
      <w:r>
        <w:rPr>
          <w:spacing w:val="-14"/>
          <w:sz w:val="24"/>
        </w:rPr>
        <w:t> </w:t>
      </w:r>
      <w:r>
        <w:rPr>
          <w:sz w:val="24"/>
        </w:rPr>
        <w:t>remaining</w:t>
      </w:r>
      <w:r>
        <w:rPr>
          <w:spacing w:val="-16"/>
          <w:sz w:val="24"/>
        </w:rPr>
        <w:t> </w:t>
      </w:r>
      <w:r>
        <w:rPr>
          <w:sz w:val="24"/>
        </w:rPr>
        <w:t>land.</w:t>
      </w:r>
      <w:r>
        <w:rPr>
          <w:spacing w:val="-11"/>
          <w:sz w:val="24"/>
        </w:rPr>
        <w:t> </w:t>
      </w:r>
      <w:r>
        <w:rPr>
          <w:sz w:val="24"/>
        </w:rPr>
        <w:t>The</w:t>
      </w:r>
      <w:r>
        <w:rPr>
          <w:spacing w:val="-14"/>
          <w:sz w:val="24"/>
        </w:rPr>
        <w:t> </w:t>
      </w:r>
      <w:r>
        <w:rPr>
          <w:sz w:val="24"/>
        </w:rPr>
        <w:t>ownership</w:t>
      </w:r>
      <w:r>
        <w:rPr>
          <w:spacing w:val="-16"/>
          <w:sz w:val="24"/>
        </w:rPr>
        <w:t> </w:t>
      </w:r>
      <w:r>
        <w:rPr>
          <w:sz w:val="24"/>
        </w:rPr>
        <w:t>of</w:t>
      </w:r>
      <w:r>
        <w:rPr>
          <w:spacing w:val="-14"/>
          <w:sz w:val="24"/>
        </w:rPr>
        <w:t> </w:t>
      </w:r>
      <w:r>
        <w:rPr>
          <w:sz w:val="24"/>
        </w:rPr>
        <w:t>such</w:t>
      </w:r>
      <w:r>
        <w:rPr>
          <w:spacing w:val="-6"/>
          <w:sz w:val="24"/>
        </w:rPr>
        <w:t> </w:t>
      </w:r>
      <w:r>
        <w:rPr>
          <w:sz w:val="24"/>
        </w:rPr>
        <w:t>plot</w:t>
      </w:r>
      <w:r>
        <w:rPr>
          <w:spacing w:val="-14"/>
          <w:sz w:val="24"/>
        </w:rPr>
        <w:t> </w:t>
      </w:r>
      <w:r>
        <w:rPr>
          <w:sz w:val="24"/>
        </w:rPr>
        <w:t>along with</w:t>
      </w:r>
      <w:r>
        <w:rPr>
          <w:spacing w:val="-16"/>
          <w:sz w:val="24"/>
        </w:rPr>
        <w:t> </w:t>
      </w:r>
      <w:r>
        <w:rPr>
          <w:sz w:val="24"/>
        </w:rPr>
        <w:t>BUA</w:t>
      </w:r>
      <w:r>
        <w:rPr>
          <w:spacing w:val="-14"/>
          <w:sz w:val="24"/>
        </w:rPr>
        <w:t> </w:t>
      </w:r>
      <w:r>
        <w:rPr>
          <w:sz w:val="24"/>
        </w:rPr>
        <w:t>to</w:t>
      </w:r>
      <w:r>
        <w:rPr>
          <w:spacing w:val="-16"/>
          <w:sz w:val="24"/>
        </w:rPr>
        <w:t> </w:t>
      </w:r>
      <w:r>
        <w:rPr>
          <w:sz w:val="24"/>
        </w:rPr>
        <w:t>be</w:t>
      </w:r>
      <w:r>
        <w:rPr>
          <w:spacing w:val="-14"/>
          <w:sz w:val="24"/>
        </w:rPr>
        <w:t> </w:t>
      </w:r>
      <w:r>
        <w:rPr>
          <w:sz w:val="24"/>
        </w:rPr>
        <w:t>handed</w:t>
      </w:r>
      <w:r>
        <w:rPr>
          <w:spacing w:val="-14"/>
          <w:sz w:val="24"/>
        </w:rPr>
        <w:t> </w:t>
      </w:r>
      <w:r>
        <w:rPr>
          <w:sz w:val="24"/>
        </w:rPr>
        <w:t>over</w:t>
      </w:r>
      <w:r>
        <w:rPr>
          <w:spacing w:val="-14"/>
          <w:sz w:val="24"/>
        </w:rPr>
        <w:t> </w:t>
      </w:r>
      <w:r>
        <w:rPr>
          <w:sz w:val="24"/>
        </w:rPr>
        <w:t>to</w:t>
      </w:r>
      <w:r>
        <w:rPr>
          <w:spacing w:val="-14"/>
          <w:sz w:val="24"/>
        </w:rPr>
        <w:t> </w:t>
      </w:r>
      <w:r>
        <w:rPr>
          <w:sz w:val="24"/>
        </w:rPr>
        <w:t>MCGM</w:t>
      </w:r>
      <w:r>
        <w:rPr>
          <w:spacing w:val="-13"/>
          <w:sz w:val="24"/>
        </w:rPr>
        <w:t> </w:t>
      </w:r>
      <w:r>
        <w:rPr>
          <w:sz w:val="24"/>
        </w:rPr>
        <w:t>shall</w:t>
      </w:r>
      <w:r>
        <w:rPr>
          <w:spacing w:val="-14"/>
          <w:sz w:val="24"/>
        </w:rPr>
        <w:t> </w:t>
      </w:r>
      <w:r>
        <w:rPr>
          <w:sz w:val="24"/>
        </w:rPr>
        <w:t>vest</w:t>
      </w:r>
      <w:r>
        <w:rPr>
          <w:spacing w:val="-14"/>
          <w:sz w:val="24"/>
        </w:rPr>
        <w:t> </w:t>
      </w:r>
      <w:r>
        <w:rPr>
          <w:sz w:val="24"/>
        </w:rPr>
        <w:t>with</w:t>
      </w:r>
      <w:r>
        <w:rPr>
          <w:spacing w:val="-14"/>
          <w:sz w:val="24"/>
        </w:rPr>
        <w:t> </w:t>
      </w:r>
      <w:r>
        <w:rPr>
          <w:sz w:val="24"/>
        </w:rPr>
        <w:t>MCGM.</w:t>
      </w:r>
      <w:r>
        <w:rPr>
          <w:spacing w:val="-14"/>
          <w:sz w:val="24"/>
        </w:rPr>
        <w:t> </w:t>
      </w:r>
      <w:r>
        <w:rPr>
          <w:sz w:val="24"/>
        </w:rPr>
        <w:t>Immediately an</w:t>
      </w:r>
      <w:r>
        <w:rPr>
          <w:spacing w:val="-7"/>
          <w:sz w:val="24"/>
        </w:rPr>
        <w:t> </w:t>
      </w:r>
      <w:r>
        <w:rPr>
          <w:sz w:val="24"/>
        </w:rPr>
        <w:t>application</w:t>
      </w:r>
      <w:r>
        <w:rPr>
          <w:spacing w:val="-6"/>
          <w:sz w:val="24"/>
        </w:rPr>
        <w:t> </w:t>
      </w:r>
      <w:r>
        <w:rPr>
          <w:sz w:val="24"/>
        </w:rPr>
        <w:t>to</w:t>
      </w:r>
      <w:r>
        <w:rPr>
          <w:spacing w:val="-6"/>
          <w:sz w:val="24"/>
        </w:rPr>
        <w:t> </w:t>
      </w:r>
      <w:r>
        <w:rPr>
          <w:sz w:val="24"/>
        </w:rPr>
        <w:t>Revenue</w:t>
      </w:r>
      <w:r>
        <w:rPr>
          <w:spacing w:val="-6"/>
          <w:sz w:val="24"/>
        </w:rPr>
        <w:t> </w:t>
      </w:r>
      <w:r>
        <w:rPr>
          <w:sz w:val="24"/>
        </w:rPr>
        <w:t>Authority</w:t>
      </w:r>
      <w:r>
        <w:rPr>
          <w:spacing w:val="-6"/>
          <w:sz w:val="24"/>
        </w:rPr>
        <w:t> </w:t>
      </w:r>
      <w:r>
        <w:rPr>
          <w:sz w:val="24"/>
        </w:rPr>
        <w:t>for</w:t>
      </w:r>
      <w:r>
        <w:rPr>
          <w:spacing w:val="-4"/>
          <w:sz w:val="24"/>
        </w:rPr>
        <w:t> </w:t>
      </w:r>
      <w:r>
        <w:rPr>
          <w:sz w:val="24"/>
        </w:rPr>
        <w:t>making</w:t>
      </w:r>
      <w:r>
        <w:rPr>
          <w:spacing w:val="-9"/>
          <w:sz w:val="24"/>
        </w:rPr>
        <w:t> </w:t>
      </w:r>
      <w:r>
        <w:rPr>
          <w:sz w:val="24"/>
        </w:rPr>
        <w:t>a</w:t>
      </w:r>
      <w:r>
        <w:rPr>
          <w:spacing w:val="-5"/>
          <w:sz w:val="24"/>
        </w:rPr>
        <w:t> </w:t>
      </w:r>
      <w:r>
        <w:rPr>
          <w:sz w:val="24"/>
        </w:rPr>
        <w:t>mutation</w:t>
      </w:r>
      <w:r>
        <w:rPr>
          <w:spacing w:val="-7"/>
          <w:sz w:val="24"/>
        </w:rPr>
        <w:t> </w:t>
      </w:r>
      <w:r>
        <w:rPr>
          <w:sz w:val="24"/>
        </w:rPr>
        <w:t>entry</w:t>
      </w:r>
      <w:r>
        <w:rPr>
          <w:spacing w:val="-7"/>
          <w:sz w:val="24"/>
        </w:rPr>
        <w:t> </w:t>
      </w:r>
      <w:r>
        <w:rPr>
          <w:sz w:val="24"/>
        </w:rPr>
        <w:t>shall</w:t>
      </w:r>
      <w:r>
        <w:rPr>
          <w:spacing w:val="-7"/>
          <w:sz w:val="24"/>
        </w:rPr>
        <w:t> </w:t>
      </w:r>
      <w:r>
        <w:rPr>
          <w:sz w:val="24"/>
        </w:rPr>
        <w:t>be submitted by</w:t>
      </w:r>
      <w:r>
        <w:rPr>
          <w:spacing w:val="-1"/>
          <w:sz w:val="24"/>
        </w:rPr>
        <w:t> </w:t>
      </w:r>
      <w:r>
        <w:rPr>
          <w:sz w:val="24"/>
        </w:rPr>
        <w:t>owner/developer. Thereafter, Commissioner shall also take up</w:t>
      </w:r>
      <w:r>
        <w:rPr>
          <w:spacing w:val="-16"/>
          <w:sz w:val="24"/>
        </w:rPr>
        <w:t> </w:t>
      </w:r>
      <w:r>
        <w:rPr>
          <w:sz w:val="24"/>
        </w:rPr>
        <w:t>the</w:t>
      </w:r>
      <w:r>
        <w:rPr>
          <w:spacing w:val="-15"/>
          <w:sz w:val="24"/>
        </w:rPr>
        <w:t> </w:t>
      </w:r>
      <w:r>
        <w:rPr>
          <w:sz w:val="24"/>
        </w:rPr>
        <w:t>matter</w:t>
      </w:r>
      <w:r>
        <w:rPr>
          <w:spacing w:val="-13"/>
          <w:sz w:val="24"/>
        </w:rPr>
        <w:t> </w:t>
      </w:r>
      <w:r>
        <w:rPr>
          <w:sz w:val="24"/>
        </w:rPr>
        <w:t>with</w:t>
      </w:r>
      <w:r>
        <w:rPr>
          <w:spacing w:val="-13"/>
          <w:sz w:val="24"/>
        </w:rPr>
        <w:t> </w:t>
      </w:r>
      <w:r>
        <w:rPr>
          <w:sz w:val="24"/>
        </w:rPr>
        <w:t>Revenue</w:t>
      </w:r>
      <w:r>
        <w:rPr>
          <w:spacing w:val="-15"/>
          <w:sz w:val="24"/>
        </w:rPr>
        <w:t> </w:t>
      </w:r>
      <w:r>
        <w:rPr>
          <w:sz w:val="24"/>
        </w:rPr>
        <w:t>department</w:t>
      </w:r>
      <w:r>
        <w:rPr>
          <w:spacing w:val="-13"/>
          <w:sz w:val="24"/>
        </w:rPr>
        <w:t> </w:t>
      </w:r>
      <w:r>
        <w:rPr>
          <w:sz w:val="24"/>
        </w:rPr>
        <w:t>for</w:t>
      </w:r>
      <w:r>
        <w:rPr>
          <w:spacing w:val="-15"/>
          <w:sz w:val="24"/>
        </w:rPr>
        <w:t> </w:t>
      </w:r>
      <w:r>
        <w:rPr>
          <w:sz w:val="24"/>
        </w:rPr>
        <w:t>the</w:t>
      </w:r>
      <w:r>
        <w:rPr>
          <w:spacing w:val="-15"/>
          <w:sz w:val="24"/>
        </w:rPr>
        <w:t> </w:t>
      </w:r>
      <w:r>
        <w:rPr>
          <w:sz w:val="24"/>
        </w:rPr>
        <w:t>necessary</w:t>
      </w:r>
      <w:r>
        <w:rPr>
          <w:spacing w:val="-15"/>
          <w:sz w:val="24"/>
        </w:rPr>
        <w:t> </w:t>
      </w:r>
      <w:r>
        <w:rPr>
          <w:sz w:val="24"/>
        </w:rPr>
        <w:t>mutation</w:t>
      </w:r>
      <w:r>
        <w:rPr>
          <w:spacing w:val="-16"/>
          <w:sz w:val="24"/>
        </w:rPr>
        <w:t> </w:t>
      </w:r>
      <w:r>
        <w:rPr>
          <w:sz w:val="24"/>
        </w:rPr>
        <w:t>entry. Revenue department shall enter in other rights column a mutation entry of</w:t>
      </w:r>
      <w:r>
        <w:rPr>
          <w:spacing w:val="28"/>
          <w:sz w:val="24"/>
        </w:rPr>
        <w:t> </w:t>
      </w:r>
      <w:r>
        <w:rPr>
          <w:sz w:val="24"/>
        </w:rPr>
        <w:t>plot</w:t>
      </w:r>
      <w:r>
        <w:rPr>
          <w:spacing w:val="29"/>
          <w:sz w:val="24"/>
        </w:rPr>
        <w:t> </w:t>
      </w:r>
      <w:r>
        <w:rPr>
          <w:sz w:val="24"/>
        </w:rPr>
        <w:t>along</w:t>
      </w:r>
      <w:r>
        <w:rPr>
          <w:spacing w:val="28"/>
          <w:sz w:val="24"/>
        </w:rPr>
        <w:t> </w:t>
      </w:r>
      <w:r>
        <w:rPr>
          <w:sz w:val="24"/>
        </w:rPr>
        <w:t>with</w:t>
      </w:r>
      <w:r>
        <w:rPr>
          <w:spacing w:val="30"/>
          <w:sz w:val="24"/>
        </w:rPr>
        <w:t> </w:t>
      </w:r>
      <w:r>
        <w:rPr>
          <w:sz w:val="24"/>
        </w:rPr>
        <w:t>BUA</w:t>
      </w:r>
      <w:r>
        <w:rPr>
          <w:spacing w:val="28"/>
          <w:sz w:val="24"/>
        </w:rPr>
        <w:t> </w:t>
      </w:r>
      <w:r>
        <w:rPr>
          <w:sz w:val="24"/>
        </w:rPr>
        <w:t>handed</w:t>
      </w:r>
      <w:r>
        <w:rPr>
          <w:spacing w:val="28"/>
          <w:sz w:val="24"/>
        </w:rPr>
        <w:t> </w:t>
      </w:r>
      <w:r>
        <w:rPr>
          <w:sz w:val="24"/>
        </w:rPr>
        <w:t>over</w:t>
      </w:r>
      <w:r>
        <w:rPr>
          <w:spacing w:val="28"/>
          <w:sz w:val="24"/>
        </w:rPr>
        <w:t> </w:t>
      </w:r>
      <w:r>
        <w:rPr>
          <w:sz w:val="24"/>
        </w:rPr>
        <w:t>to</w:t>
      </w:r>
      <w:r>
        <w:rPr>
          <w:spacing w:val="28"/>
          <w:sz w:val="24"/>
        </w:rPr>
        <w:t> </w:t>
      </w:r>
      <w:r>
        <w:rPr>
          <w:sz w:val="24"/>
        </w:rPr>
        <w:t>MCGM</w:t>
      </w:r>
      <w:r>
        <w:rPr>
          <w:spacing w:val="29"/>
          <w:sz w:val="24"/>
        </w:rPr>
        <w:t> </w:t>
      </w:r>
      <w:r>
        <w:rPr>
          <w:sz w:val="24"/>
        </w:rPr>
        <w:t>and</w:t>
      </w:r>
      <w:r>
        <w:rPr>
          <w:spacing w:val="29"/>
          <w:sz w:val="24"/>
        </w:rPr>
        <w:t> </w:t>
      </w:r>
      <w:r>
        <w:rPr>
          <w:sz w:val="24"/>
        </w:rPr>
        <w:t>correct</w:t>
      </w:r>
      <w:r>
        <w:rPr>
          <w:spacing w:val="30"/>
          <w:sz w:val="24"/>
        </w:rPr>
        <w:t> </w:t>
      </w:r>
      <w:r>
        <w:rPr>
          <w:sz w:val="24"/>
        </w:rPr>
        <w:t>the</w:t>
      </w:r>
      <w:r>
        <w:rPr>
          <w:spacing w:val="28"/>
          <w:sz w:val="24"/>
        </w:rPr>
        <w:t> </w:t>
      </w:r>
      <w:r>
        <w:rPr>
          <w:sz w:val="24"/>
        </w:rPr>
        <w:t>revenue</w:t>
      </w:r>
    </w:p>
    <w:p>
      <w:pPr>
        <w:pStyle w:val="ListParagraph"/>
        <w:spacing w:after="0" w:line="240" w:lineRule="auto"/>
        <w:jc w:val="both"/>
        <w:rPr>
          <w:sz w:val="24"/>
        </w:rPr>
        <w:sectPr>
          <w:pgSz w:w="11910" w:h="16840"/>
          <w:pgMar w:header="746" w:footer="968" w:top="1180" w:bottom="1160" w:left="360" w:right="360"/>
        </w:sectPr>
      </w:pPr>
    </w:p>
    <w:p>
      <w:pPr>
        <w:pStyle w:val="BodyText"/>
        <w:spacing w:before="251"/>
        <w:ind w:left="1507" w:right="1080"/>
      </w:pPr>
      <w:r>
        <w:rPr/>
        <w:t>records</w:t>
      </w:r>
      <w:r>
        <w:rPr>
          <w:spacing w:val="-11"/>
        </w:rPr>
        <w:t> </w:t>
      </w:r>
      <w:r>
        <w:rPr/>
        <w:t>accordingly</w:t>
      </w:r>
      <w:r>
        <w:rPr>
          <w:spacing w:val="-8"/>
        </w:rPr>
        <w:t> </w:t>
      </w:r>
      <w:r>
        <w:rPr/>
        <w:t>on</w:t>
      </w:r>
      <w:r>
        <w:rPr>
          <w:spacing w:val="-10"/>
        </w:rPr>
        <w:t> </w:t>
      </w:r>
      <w:r>
        <w:rPr/>
        <w:t>receipt</w:t>
      </w:r>
      <w:r>
        <w:rPr>
          <w:spacing w:val="-11"/>
        </w:rPr>
        <w:t> </w:t>
      </w:r>
      <w:r>
        <w:rPr/>
        <w:t>of</w:t>
      </w:r>
      <w:r>
        <w:rPr>
          <w:spacing w:val="-10"/>
        </w:rPr>
        <w:t> </w:t>
      </w:r>
      <w:r>
        <w:rPr/>
        <w:t>such</w:t>
      </w:r>
      <w:r>
        <w:rPr>
          <w:spacing w:val="-11"/>
        </w:rPr>
        <w:t> </w:t>
      </w:r>
      <w:r>
        <w:rPr/>
        <w:t>intimation</w:t>
      </w:r>
      <w:r>
        <w:rPr>
          <w:spacing w:val="-11"/>
        </w:rPr>
        <w:t> </w:t>
      </w:r>
      <w:r>
        <w:rPr/>
        <w:t>and</w:t>
      </w:r>
      <w:r>
        <w:rPr>
          <w:spacing w:val="-11"/>
        </w:rPr>
        <w:t> </w:t>
      </w:r>
      <w:r>
        <w:rPr/>
        <w:t>on</w:t>
      </w:r>
      <w:r>
        <w:rPr>
          <w:spacing w:val="-10"/>
        </w:rPr>
        <w:t> </w:t>
      </w:r>
      <w:r>
        <w:rPr/>
        <w:t>payment</w:t>
      </w:r>
      <w:r>
        <w:rPr>
          <w:spacing w:val="-10"/>
        </w:rPr>
        <w:t> </w:t>
      </w:r>
      <w:r>
        <w:rPr/>
        <w:t>of</w:t>
      </w:r>
      <w:r>
        <w:rPr>
          <w:spacing w:val="-11"/>
        </w:rPr>
        <w:t> </w:t>
      </w:r>
      <w:r>
        <w:rPr/>
        <w:t>such fees</w:t>
      </w:r>
      <w:r>
        <w:rPr>
          <w:spacing w:val="-6"/>
        </w:rPr>
        <w:t> </w:t>
      </w:r>
      <w:r>
        <w:rPr/>
        <w:t>by</w:t>
      </w:r>
      <w:r>
        <w:rPr>
          <w:spacing w:val="-6"/>
        </w:rPr>
        <w:t> </w:t>
      </w:r>
      <w:r>
        <w:rPr/>
        <w:t>owner</w:t>
      </w:r>
      <w:r>
        <w:rPr>
          <w:spacing w:val="-4"/>
        </w:rPr>
        <w:t> </w:t>
      </w:r>
      <w:r>
        <w:rPr/>
        <w:t>as</w:t>
      </w:r>
      <w:r>
        <w:rPr>
          <w:spacing w:val="-4"/>
        </w:rPr>
        <w:t> </w:t>
      </w:r>
      <w:r>
        <w:rPr/>
        <w:t>may</w:t>
      </w:r>
      <w:r>
        <w:rPr>
          <w:spacing w:val="-6"/>
        </w:rPr>
        <w:t> </w:t>
      </w:r>
      <w:r>
        <w:rPr/>
        <w:t>be</w:t>
      </w:r>
      <w:r>
        <w:rPr>
          <w:spacing w:val="-4"/>
        </w:rPr>
        <w:t> </w:t>
      </w:r>
      <w:r>
        <w:rPr/>
        <w:t>decided</w:t>
      </w:r>
      <w:r>
        <w:rPr>
          <w:spacing w:val="-6"/>
        </w:rPr>
        <w:t> </w:t>
      </w:r>
      <w:r>
        <w:rPr/>
        <w:t>by</w:t>
      </w:r>
      <w:r>
        <w:rPr>
          <w:spacing w:val="-6"/>
        </w:rPr>
        <w:t> </w:t>
      </w:r>
      <w:r>
        <w:rPr/>
        <w:t>the</w:t>
      </w:r>
      <w:r>
        <w:rPr>
          <w:spacing w:val="-4"/>
        </w:rPr>
        <w:t> </w:t>
      </w:r>
      <w:r>
        <w:rPr/>
        <w:t>Government.</w:t>
      </w:r>
      <w:r>
        <w:rPr>
          <w:spacing w:val="-6"/>
        </w:rPr>
        <w:t> </w:t>
      </w:r>
      <w:r>
        <w:rPr/>
        <w:t>A</w:t>
      </w:r>
      <w:r>
        <w:rPr>
          <w:spacing w:val="-4"/>
        </w:rPr>
        <w:t> </w:t>
      </w:r>
      <w:r>
        <w:rPr/>
        <w:t>separate property register card</w:t>
      </w:r>
      <w:r>
        <w:rPr>
          <w:spacing w:val="40"/>
        </w:rPr>
        <w:t> </w:t>
      </w:r>
      <w:r>
        <w:rPr/>
        <w:t>thereof in the name of MCGM shall</w:t>
      </w:r>
      <w:r>
        <w:rPr>
          <w:spacing w:val="-1"/>
        </w:rPr>
        <w:t> </w:t>
      </w:r>
      <w:r>
        <w:rPr/>
        <w:t>be</w:t>
      </w:r>
      <w:r>
        <w:rPr>
          <w:spacing w:val="-1"/>
        </w:rPr>
        <w:t> </w:t>
      </w:r>
      <w:r>
        <w:rPr/>
        <w:t>submitted</w:t>
      </w:r>
      <w:r>
        <w:rPr>
          <w:spacing w:val="-1"/>
        </w:rPr>
        <w:t> </w:t>
      </w:r>
      <w:r>
        <w:rPr/>
        <w:t>by</w:t>
      </w:r>
      <w:r>
        <w:rPr>
          <w:spacing w:val="-1"/>
        </w:rPr>
        <w:t> </w:t>
      </w:r>
      <w:r>
        <w:rPr/>
        <w:t>owner before seeking Occupation Certificate for any part of building/buildings beyond 75%of permissible BUA as per Zonal (basic) FSI, or granting Occupation Certificate to any of the building other than amenity, whichever is earlier.</w:t>
      </w:r>
    </w:p>
    <w:p>
      <w:pPr>
        <w:pStyle w:val="Heading6"/>
        <w:numPr>
          <w:ilvl w:val="0"/>
          <w:numId w:val="33"/>
        </w:numPr>
        <w:tabs>
          <w:tab w:pos="1817" w:val="left" w:leader="none"/>
        </w:tabs>
        <w:spacing w:line="240" w:lineRule="auto" w:before="239" w:after="0"/>
        <w:ind w:left="1817" w:right="0" w:hanging="310"/>
        <w:jc w:val="both"/>
      </w:pPr>
      <w:r>
        <w:rPr/>
        <w:t>For plot having reservation</w:t>
      </w:r>
      <w:r>
        <w:rPr>
          <w:spacing w:val="1"/>
        </w:rPr>
        <w:t> </w:t>
      </w:r>
      <w:r>
        <w:rPr/>
        <w:t>area</w:t>
      </w:r>
      <w:r>
        <w:rPr>
          <w:spacing w:val="6"/>
        </w:rPr>
        <w:t> </w:t>
      </w:r>
      <w:r>
        <w:rPr/>
        <w:t>less</w:t>
      </w:r>
      <w:r>
        <w:rPr>
          <w:spacing w:val="9"/>
        </w:rPr>
        <w:t> </w:t>
      </w:r>
      <w:r>
        <w:rPr/>
        <w:t>than</w:t>
      </w:r>
      <w:r>
        <w:rPr>
          <w:spacing w:val="10"/>
        </w:rPr>
        <w:t> </w:t>
      </w:r>
      <w:r>
        <w:rPr/>
        <w:t>1000 sq.</w:t>
      </w:r>
      <w:r>
        <w:rPr>
          <w:spacing w:val="8"/>
        </w:rPr>
        <w:t> </w:t>
      </w:r>
      <w:r>
        <w:rPr>
          <w:spacing w:val="-10"/>
        </w:rPr>
        <w:t>m</w:t>
      </w:r>
    </w:p>
    <w:p>
      <w:pPr>
        <w:pStyle w:val="ListParagraph"/>
        <w:numPr>
          <w:ilvl w:val="0"/>
          <w:numId w:val="34"/>
        </w:numPr>
        <w:tabs>
          <w:tab w:pos="1735" w:val="left" w:leader="none"/>
        </w:tabs>
        <w:spacing w:line="240" w:lineRule="auto" w:before="241" w:after="0"/>
        <w:ind w:left="1507" w:right="1080" w:firstLine="0"/>
        <w:jc w:val="both"/>
        <w:rPr>
          <w:sz w:val="24"/>
        </w:rPr>
      </w:pPr>
      <w:r>
        <w:rPr>
          <w:sz w:val="24"/>
        </w:rPr>
        <w:t>(a) The owner may exercise the option to construct BUA equivalent to ‘X’% of Basic (</w:t>
      </w:r>
      <w:r>
        <w:rPr>
          <w:spacing w:val="-20"/>
          <w:sz w:val="24"/>
        </w:rPr>
        <w:t> </w:t>
      </w:r>
      <w:r>
        <w:rPr>
          <w:spacing w:val="18"/>
          <w:sz w:val="24"/>
        </w:rPr>
        <w:t>zonal)</w:t>
      </w:r>
      <w:r>
        <w:rPr>
          <w:spacing w:val="18"/>
          <w:sz w:val="24"/>
        </w:rPr>
        <w:t> </w:t>
      </w:r>
      <w:r>
        <w:rPr>
          <w:sz w:val="24"/>
        </w:rPr>
        <w:t>FSI and agrees to hand it over to MCGM/Appropriate Authority in lieu of FSI/TDR, as specified in this regulation along with ‘Y’% of area of reserved plot, free of cost as per the designs, specifications, terms and conditions duly approved by the Commissioner as per 1) above.</w:t>
      </w:r>
    </w:p>
    <w:p>
      <w:pPr>
        <w:pStyle w:val="BodyText"/>
        <w:spacing w:before="240"/>
        <w:ind w:left="1507"/>
        <w:jc w:val="left"/>
      </w:pPr>
      <w:r>
        <w:rPr>
          <w:spacing w:val="-5"/>
        </w:rPr>
        <w:t>or</w:t>
      </w:r>
    </w:p>
    <w:p>
      <w:pPr>
        <w:pStyle w:val="BodyText"/>
        <w:spacing w:before="242"/>
        <w:ind w:left="1507" w:right="1083"/>
      </w:pPr>
      <w:r>
        <w:rPr/>
        <w:t>(b) (i) The owner will be allowed to develop the land if he agrees to construct</w:t>
      </w:r>
      <w:r>
        <w:rPr>
          <w:spacing w:val="-4"/>
        </w:rPr>
        <w:t> </w:t>
      </w:r>
      <w:r>
        <w:rPr/>
        <w:t>BUA</w:t>
      </w:r>
      <w:r>
        <w:rPr>
          <w:spacing w:val="-4"/>
        </w:rPr>
        <w:t> </w:t>
      </w:r>
      <w:r>
        <w:rPr/>
        <w:t>equivalent</w:t>
      </w:r>
      <w:r>
        <w:rPr>
          <w:spacing w:val="-4"/>
        </w:rPr>
        <w:t> </w:t>
      </w:r>
      <w:r>
        <w:rPr/>
        <w:t>to</w:t>
      </w:r>
      <w:r>
        <w:rPr>
          <w:spacing w:val="-4"/>
        </w:rPr>
        <w:t> </w:t>
      </w:r>
      <w:r>
        <w:rPr/>
        <w:t>‘X’%</w:t>
      </w:r>
      <w:r>
        <w:rPr>
          <w:spacing w:val="-4"/>
        </w:rPr>
        <w:t> </w:t>
      </w:r>
      <w:r>
        <w:rPr/>
        <w:t>of</w:t>
      </w:r>
      <w:r>
        <w:rPr>
          <w:spacing w:val="-4"/>
        </w:rPr>
        <w:t> </w:t>
      </w:r>
      <w:r>
        <w:rPr/>
        <w:t>Zonal (basic)</w:t>
      </w:r>
      <w:r>
        <w:rPr>
          <w:spacing w:val="40"/>
        </w:rPr>
        <w:t> </w:t>
      </w:r>
      <w:r>
        <w:rPr/>
        <w:t>FSI</w:t>
      </w:r>
      <w:r>
        <w:rPr>
          <w:spacing w:val="-2"/>
        </w:rPr>
        <w:t> </w:t>
      </w:r>
      <w:r>
        <w:rPr/>
        <w:t>and</w:t>
      </w:r>
      <w:r>
        <w:rPr>
          <w:spacing w:val="-4"/>
        </w:rPr>
        <w:t> </w:t>
      </w:r>
      <w:r>
        <w:rPr/>
        <w:t>agrees</w:t>
      </w:r>
      <w:r>
        <w:rPr>
          <w:spacing w:val="-4"/>
        </w:rPr>
        <w:t> </w:t>
      </w:r>
      <w:r>
        <w:rPr/>
        <w:t>to</w:t>
      </w:r>
      <w:r>
        <w:rPr>
          <w:spacing w:val="-4"/>
        </w:rPr>
        <w:t> </w:t>
      </w:r>
      <w:r>
        <w:rPr/>
        <w:t>hand it</w:t>
      </w:r>
      <w:r>
        <w:rPr>
          <w:spacing w:val="40"/>
        </w:rPr>
        <w:t> </w:t>
      </w:r>
      <w:r>
        <w:rPr/>
        <w:t>over</w:t>
      </w:r>
      <w:r>
        <w:rPr>
          <w:spacing w:val="40"/>
        </w:rPr>
        <w:t> </w:t>
      </w:r>
      <w:r>
        <w:rPr/>
        <w:t>to</w:t>
      </w:r>
      <w:r>
        <w:rPr>
          <w:spacing w:val="40"/>
        </w:rPr>
        <w:t> </w:t>
      </w:r>
      <w:r>
        <w:rPr/>
        <w:t>MCGM</w:t>
      </w:r>
      <w:r>
        <w:rPr>
          <w:spacing w:val="40"/>
        </w:rPr>
        <w:t> </w:t>
      </w:r>
      <w:r>
        <w:rPr/>
        <w:t>without</w:t>
      </w:r>
      <w:r>
        <w:rPr>
          <w:spacing w:val="40"/>
        </w:rPr>
        <w:t> </w:t>
      </w:r>
      <w:r>
        <w:rPr/>
        <w:t>insistence</w:t>
      </w:r>
      <w:r>
        <w:rPr>
          <w:spacing w:val="40"/>
        </w:rPr>
        <w:t> </w:t>
      </w:r>
      <w:r>
        <w:rPr/>
        <w:t>of</w:t>
      </w:r>
      <w:r>
        <w:rPr>
          <w:spacing w:val="40"/>
        </w:rPr>
        <w:t> </w:t>
      </w:r>
      <w:r>
        <w:rPr/>
        <w:t>separate</w:t>
      </w:r>
      <w:r>
        <w:rPr>
          <w:spacing w:val="40"/>
        </w:rPr>
        <w:t> </w:t>
      </w:r>
      <w:r>
        <w:rPr/>
        <w:t>plot</w:t>
      </w:r>
      <w:r>
        <w:rPr>
          <w:spacing w:val="40"/>
        </w:rPr>
        <w:t> </w:t>
      </w:r>
      <w:r>
        <w:rPr/>
        <w:t>as</w:t>
      </w:r>
      <w:r>
        <w:rPr>
          <w:spacing w:val="40"/>
        </w:rPr>
        <w:t> </w:t>
      </w:r>
      <w:r>
        <w:rPr/>
        <w:t>mentioned</w:t>
      </w:r>
      <w:r>
        <w:rPr>
          <w:spacing w:val="40"/>
        </w:rPr>
        <w:t> </w:t>
      </w:r>
      <w:r>
        <w:rPr/>
        <w:t>in the</w:t>
      </w:r>
      <w:r>
        <w:rPr>
          <w:spacing w:val="34"/>
        </w:rPr>
        <w:t> </w:t>
      </w:r>
      <w:r>
        <w:rPr/>
        <w:t>table</w:t>
      </w:r>
      <w:r>
        <w:rPr>
          <w:spacing w:val="34"/>
        </w:rPr>
        <w:t> </w:t>
      </w:r>
      <w:r>
        <w:rPr/>
        <w:t>no</w:t>
      </w:r>
      <w:r>
        <w:rPr>
          <w:spacing w:val="37"/>
        </w:rPr>
        <w:t> </w:t>
      </w:r>
      <w:r>
        <w:rPr/>
        <w:t>5</w:t>
      </w:r>
      <w:r>
        <w:rPr>
          <w:spacing w:val="34"/>
        </w:rPr>
        <w:t> </w:t>
      </w:r>
      <w:r>
        <w:rPr/>
        <w:t>subject</w:t>
      </w:r>
      <w:r>
        <w:rPr>
          <w:spacing w:val="34"/>
        </w:rPr>
        <w:t> </w:t>
      </w:r>
      <w:r>
        <w:rPr/>
        <w:t>to</w:t>
      </w:r>
      <w:r>
        <w:rPr>
          <w:spacing w:val="35"/>
        </w:rPr>
        <w:t> </w:t>
      </w:r>
      <w:r>
        <w:rPr/>
        <w:t>payment</w:t>
      </w:r>
      <w:r>
        <w:rPr>
          <w:spacing w:val="34"/>
        </w:rPr>
        <w:t> </w:t>
      </w:r>
      <w:r>
        <w:rPr/>
        <w:t>of</w:t>
      </w:r>
      <w:r>
        <w:rPr>
          <w:spacing w:val="34"/>
        </w:rPr>
        <w:t> </w:t>
      </w:r>
      <w:r>
        <w:rPr/>
        <w:t>premium</w:t>
      </w:r>
      <w:r>
        <w:rPr>
          <w:spacing w:val="35"/>
        </w:rPr>
        <w:t> </w:t>
      </w:r>
      <w:r>
        <w:rPr/>
        <w:t>at</w:t>
      </w:r>
      <w:r>
        <w:rPr>
          <w:spacing w:val="34"/>
        </w:rPr>
        <w:t> </w:t>
      </w:r>
      <w:r>
        <w:rPr/>
        <w:t>the</w:t>
      </w:r>
      <w:r>
        <w:rPr>
          <w:spacing w:val="34"/>
        </w:rPr>
        <w:t> </w:t>
      </w:r>
      <w:r>
        <w:rPr/>
        <w:t>rate</w:t>
      </w:r>
      <w:r>
        <w:rPr>
          <w:spacing w:val="37"/>
        </w:rPr>
        <w:t> </w:t>
      </w:r>
      <w:r>
        <w:rPr/>
        <w:t>as</w:t>
      </w:r>
      <w:r>
        <w:rPr>
          <w:spacing w:val="34"/>
        </w:rPr>
        <w:t> </w:t>
      </w:r>
      <w:r>
        <w:rPr/>
        <w:t>specified in this regulation note no. 20 (i) below table 5 or at the rate as may be decided by Government and amended time to time, for the optional non handing</w:t>
      </w:r>
      <w:r>
        <w:rPr>
          <w:spacing w:val="40"/>
        </w:rPr>
        <w:t> </w:t>
      </w:r>
      <w:r>
        <w:rPr/>
        <w:t>over</w:t>
      </w:r>
      <w:r>
        <w:rPr>
          <w:spacing w:val="40"/>
        </w:rPr>
        <w:t> </w:t>
      </w:r>
      <w:r>
        <w:rPr/>
        <w:t>Y%</w:t>
      </w:r>
      <w:r>
        <w:rPr>
          <w:spacing w:val="40"/>
        </w:rPr>
        <w:t> </w:t>
      </w:r>
      <w:r>
        <w:rPr/>
        <w:t>of</w:t>
      </w:r>
      <w:r>
        <w:rPr>
          <w:spacing w:val="40"/>
        </w:rPr>
        <w:t> </w:t>
      </w:r>
      <w:r>
        <w:rPr/>
        <w:t>area</w:t>
      </w:r>
      <w:r>
        <w:rPr>
          <w:spacing w:val="40"/>
        </w:rPr>
        <w:t> </w:t>
      </w:r>
      <w:r>
        <w:rPr/>
        <w:t>of</w:t>
      </w:r>
      <w:r>
        <w:rPr>
          <w:spacing w:val="40"/>
        </w:rPr>
        <w:t> </w:t>
      </w:r>
      <w:r>
        <w:rPr/>
        <w:t>reserved</w:t>
      </w:r>
      <w:r>
        <w:rPr>
          <w:spacing w:val="40"/>
        </w:rPr>
        <w:t> </w:t>
      </w:r>
      <w:r>
        <w:rPr/>
        <w:t>plot</w:t>
      </w:r>
      <w:r>
        <w:rPr>
          <w:spacing w:val="40"/>
        </w:rPr>
        <w:t> </w:t>
      </w:r>
      <w:r>
        <w:rPr/>
        <w:t>and</w:t>
      </w:r>
      <w:r>
        <w:rPr>
          <w:spacing w:val="40"/>
        </w:rPr>
        <w:t> </w:t>
      </w:r>
      <w:r>
        <w:rPr/>
        <w:t>following</w:t>
      </w:r>
      <w:r>
        <w:rPr>
          <w:spacing w:val="40"/>
        </w:rPr>
        <w:t> </w:t>
      </w:r>
      <w:r>
        <w:rPr/>
        <w:t>conditions</w:t>
      </w:r>
      <w:r>
        <w:rPr>
          <w:spacing w:val="40"/>
        </w:rPr>
        <w:t> </w:t>
      </w:r>
      <w:r>
        <w:rPr/>
        <w:t>ii) and iii).</w:t>
      </w:r>
    </w:p>
    <w:p>
      <w:pPr>
        <w:pStyle w:val="ListParagraph"/>
        <w:numPr>
          <w:ilvl w:val="0"/>
          <w:numId w:val="34"/>
        </w:numPr>
        <w:tabs>
          <w:tab w:pos="1811" w:val="left" w:leader="none"/>
        </w:tabs>
        <w:spacing w:line="240" w:lineRule="auto" w:before="240" w:after="0"/>
        <w:ind w:left="1507" w:right="1080" w:firstLine="0"/>
        <w:jc w:val="both"/>
        <w:rPr>
          <w:sz w:val="24"/>
        </w:rPr>
      </w:pPr>
      <w:r>
        <w:rPr>
          <w:sz w:val="24"/>
        </w:rPr>
        <w:t>The construction of built up amenity (with all requirements as per the provisions of these regulations) to be handed over to MCGM as stated above</w:t>
      </w:r>
      <w:r>
        <w:rPr>
          <w:spacing w:val="40"/>
          <w:sz w:val="24"/>
        </w:rPr>
        <w:t> </w:t>
      </w:r>
      <w:r>
        <w:rPr>
          <w:sz w:val="24"/>
        </w:rPr>
        <w:t>under</w:t>
      </w:r>
      <w:r>
        <w:rPr>
          <w:spacing w:val="40"/>
          <w:sz w:val="24"/>
        </w:rPr>
        <w:t> </w:t>
      </w:r>
      <w:r>
        <w:rPr>
          <w:sz w:val="24"/>
        </w:rPr>
        <w:t>accommodation</w:t>
      </w:r>
      <w:r>
        <w:rPr>
          <w:spacing w:val="40"/>
          <w:sz w:val="24"/>
        </w:rPr>
        <w:t> </w:t>
      </w:r>
      <w:r>
        <w:rPr>
          <w:sz w:val="24"/>
        </w:rPr>
        <w:t>reservation</w:t>
      </w:r>
      <w:r>
        <w:rPr>
          <w:spacing w:val="40"/>
          <w:sz w:val="24"/>
        </w:rPr>
        <w:t> </w:t>
      </w:r>
      <w:r>
        <w:rPr>
          <w:sz w:val="24"/>
        </w:rPr>
        <w:t>may</w:t>
      </w:r>
      <w:r>
        <w:rPr>
          <w:spacing w:val="40"/>
          <w:sz w:val="24"/>
        </w:rPr>
        <w:t> </w:t>
      </w:r>
      <w:r>
        <w:rPr>
          <w:sz w:val="24"/>
        </w:rPr>
        <w:t>be</w:t>
      </w:r>
      <w:r>
        <w:rPr>
          <w:spacing w:val="40"/>
          <w:sz w:val="24"/>
        </w:rPr>
        <w:t> </w:t>
      </w:r>
      <w:r>
        <w:rPr>
          <w:sz w:val="24"/>
        </w:rPr>
        <w:t>allowed</w:t>
      </w:r>
      <w:r>
        <w:rPr>
          <w:spacing w:val="40"/>
          <w:sz w:val="24"/>
        </w:rPr>
        <w:t> </w:t>
      </w:r>
      <w:r>
        <w:rPr>
          <w:sz w:val="24"/>
        </w:rPr>
        <w:t>to</w:t>
      </w:r>
      <w:r>
        <w:rPr>
          <w:spacing w:val="40"/>
          <w:sz w:val="24"/>
        </w:rPr>
        <w:t> </w:t>
      </w:r>
      <w:r>
        <w:rPr>
          <w:sz w:val="24"/>
        </w:rPr>
        <w:t>be developed in </w:t>
      </w:r>
      <w:r>
        <w:rPr>
          <w:spacing w:val="14"/>
          <w:sz w:val="24"/>
        </w:rPr>
        <w:t>independent</w:t>
      </w:r>
      <w:r>
        <w:rPr>
          <w:spacing w:val="14"/>
          <w:sz w:val="24"/>
        </w:rPr>
        <w:t> </w:t>
      </w:r>
      <w:r>
        <w:rPr>
          <w:spacing w:val="15"/>
          <w:sz w:val="24"/>
        </w:rPr>
        <w:t>building/wing/</w:t>
      </w:r>
      <w:r>
        <w:rPr>
          <w:spacing w:val="-20"/>
          <w:sz w:val="24"/>
        </w:rPr>
        <w:t> </w:t>
      </w:r>
      <w:r>
        <w:rPr>
          <w:sz w:val="24"/>
        </w:rPr>
        <w:t>semi-detached to the structures/in the building premises of other permissible development proposed by the owner/developer,</w:t>
      </w:r>
      <w:r>
        <w:rPr>
          <w:spacing w:val="40"/>
          <w:sz w:val="24"/>
        </w:rPr>
        <w:t> </w:t>
      </w:r>
      <w:r>
        <w:rPr>
          <w:sz w:val="24"/>
        </w:rPr>
        <w:t>preferably with independent access.</w:t>
      </w:r>
    </w:p>
    <w:p>
      <w:pPr>
        <w:pStyle w:val="ListParagraph"/>
        <w:numPr>
          <w:ilvl w:val="0"/>
          <w:numId w:val="34"/>
        </w:numPr>
        <w:tabs>
          <w:tab w:pos="1899" w:val="left" w:leader="none"/>
        </w:tabs>
        <w:spacing w:line="240" w:lineRule="auto" w:before="239" w:after="0"/>
        <w:ind w:left="1507" w:right="1083" w:firstLine="0"/>
        <w:jc w:val="both"/>
        <w:rPr>
          <w:sz w:val="24"/>
        </w:rPr>
      </w:pPr>
      <w:r>
        <w:rPr>
          <w:sz w:val="24"/>
        </w:rPr>
        <w:t>The ownership of such BUA to be handed over to MCGM shall vest with MCGM/Appropriate Authority.</w:t>
      </w:r>
      <w:r>
        <w:rPr>
          <w:spacing w:val="40"/>
          <w:sz w:val="24"/>
        </w:rPr>
        <w:t> </w:t>
      </w:r>
      <w:r>
        <w:rPr>
          <w:sz w:val="24"/>
        </w:rPr>
        <w:t>Immediately an application to Revenue Authority for making a mutation entry shall be submitted by owner/developer. Thereafter, Commissioner shall also take up the</w:t>
      </w:r>
      <w:r>
        <w:rPr>
          <w:spacing w:val="40"/>
          <w:sz w:val="24"/>
        </w:rPr>
        <w:t> </w:t>
      </w:r>
      <w:r>
        <w:rPr>
          <w:sz w:val="24"/>
        </w:rPr>
        <w:t>matter with Revenue department for the necessary mutation entry. Revenue</w:t>
      </w:r>
      <w:r>
        <w:rPr>
          <w:spacing w:val="40"/>
          <w:sz w:val="24"/>
        </w:rPr>
        <w:t> </w:t>
      </w:r>
      <w:r>
        <w:rPr>
          <w:sz w:val="24"/>
        </w:rPr>
        <w:t>department</w:t>
      </w:r>
      <w:r>
        <w:rPr>
          <w:spacing w:val="40"/>
          <w:sz w:val="24"/>
        </w:rPr>
        <w:t> </w:t>
      </w:r>
      <w:r>
        <w:rPr>
          <w:sz w:val="24"/>
        </w:rPr>
        <w:t>shall</w:t>
      </w:r>
      <w:r>
        <w:rPr>
          <w:spacing w:val="40"/>
          <w:sz w:val="24"/>
        </w:rPr>
        <w:t> </w:t>
      </w:r>
      <w:r>
        <w:rPr>
          <w:sz w:val="24"/>
        </w:rPr>
        <w:t>enter</w:t>
      </w:r>
      <w:r>
        <w:rPr>
          <w:spacing w:val="40"/>
          <w:sz w:val="24"/>
        </w:rPr>
        <w:t> </w:t>
      </w:r>
      <w:r>
        <w:rPr>
          <w:sz w:val="24"/>
        </w:rPr>
        <w:t>in</w:t>
      </w:r>
      <w:r>
        <w:rPr>
          <w:spacing w:val="40"/>
          <w:sz w:val="24"/>
        </w:rPr>
        <w:t> </w:t>
      </w:r>
      <w:r>
        <w:rPr>
          <w:sz w:val="24"/>
        </w:rPr>
        <w:t>other</w:t>
      </w:r>
      <w:r>
        <w:rPr>
          <w:spacing w:val="40"/>
          <w:sz w:val="24"/>
        </w:rPr>
        <w:t> </w:t>
      </w:r>
      <w:r>
        <w:rPr>
          <w:sz w:val="24"/>
        </w:rPr>
        <w:t>rights</w:t>
      </w:r>
      <w:r>
        <w:rPr>
          <w:spacing w:val="40"/>
          <w:sz w:val="24"/>
        </w:rPr>
        <w:t> </w:t>
      </w:r>
      <w:r>
        <w:rPr>
          <w:sz w:val="24"/>
        </w:rPr>
        <w:t>column</w:t>
      </w:r>
      <w:r>
        <w:rPr>
          <w:spacing w:val="40"/>
          <w:sz w:val="24"/>
        </w:rPr>
        <w:t> </w:t>
      </w:r>
      <w:r>
        <w:rPr>
          <w:sz w:val="24"/>
        </w:rPr>
        <w:t>a</w:t>
      </w:r>
      <w:r>
        <w:rPr>
          <w:spacing w:val="40"/>
          <w:sz w:val="24"/>
        </w:rPr>
        <w:t> </w:t>
      </w:r>
      <w:r>
        <w:rPr>
          <w:sz w:val="24"/>
        </w:rPr>
        <w:t>mutation entry of BUA handed over to MCGM in property register card/Revenue records. On receipt of such intimation and on payment of such fees by owner</w:t>
      </w:r>
      <w:r>
        <w:rPr>
          <w:spacing w:val="40"/>
          <w:sz w:val="24"/>
        </w:rPr>
        <w:t> </w:t>
      </w:r>
      <w:r>
        <w:rPr>
          <w:sz w:val="24"/>
        </w:rPr>
        <w:t>as</w:t>
      </w:r>
      <w:r>
        <w:rPr>
          <w:spacing w:val="40"/>
          <w:sz w:val="24"/>
        </w:rPr>
        <w:t> </w:t>
      </w:r>
      <w:r>
        <w:rPr>
          <w:sz w:val="24"/>
        </w:rPr>
        <w:t>may</w:t>
      </w:r>
      <w:r>
        <w:rPr>
          <w:spacing w:val="40"/>
          <w:sz w:val="24"/>
        </w:rPr>
        <w:t> </w:t>
      </w:r>
      <w:r>
        <w:rPr>
          <w:sz w:val="24"/>
        </w:rPr>
        <w:t>be</w:t>
      </w:r>
      <w:r>
        <w:rPr>
          <w:spacing w:val="40"/>
          <w:sz w:val="24"/>
        </w:rPr>
        <w:t> </w:t>
      </w:r>
      <w:r>
        <w:rPr>
          <w:sz w:val="24"/>
        </w:rPr>
        <w:t>decided</w:t>
      </w:r>
      <w:r>
        <w:rPr>
          <w:spacing w:val="40"/>
          <w:sz w:val="24"/>
        </w:rPr>
        <w:t> </w:t>
      </w:r>
      <w:r>
        <w:rPr>
          <w:sz w:val="24"/>
        </w:rPr>
        <w:t>by</w:t>
      </w:r>
      <w:r>
        <w:rPr>
          <w:spacing w:val="40"/>
          <w:sz w:val="24"/>
        </w:rPr>
        <w:t> </w:t>
      </w:r>
      <w:r>
        <w:rPr>
          <w:sz w:val="24"/>
        </w:rPr>
        <w:t>the</w:t>
      </w:r>
      <w:r>
        <w:rPr>
          <w:spacing w:val="40"/>
          <w:sz w:val="24"/>
        </w:rPr>
        <w:t> </w:t>
      </w:r>
      <w:r>
        <w:rPr>
          <w:sz w:val="24"/>
        </w:rPr>
        <w:t>Government,</w:t>
      </w:r>
      <w:r>
        <w:rPr>
          <w:spacing w:val="40"/>
          <w:sz w:val="24"/>
        </w:rPr>
        <w:t> </w:t>
      </w:r>
      <w:r>
        <w:rPr>
          <w:sz w:val="24"/>
        </w:rPr>
        <w:t>Revenue</w:t>
      </w:r>
      <w:r>
        <w:rPr>
          <w:spacing w:val="40"/>
          <w:sz w:val="24"/>
        </w:rPr>
        <w:t> </w:t>
      </w:r>
      <w:r>
        <w:rPr>
          <w:sz w:val="24"/>
        </w:rPr>
        <w:t>department shall correct the revenue records accordingly. The owner shall submit property register card with the mutation entry before seeking</w:t>
      </w:r>
      <w:r>
        <w:rPr>
          <w:spacing w:val="80"/>
          <w:sz w:val="24"/>
        </w:rPr>
        <w:t> </w:t>
      </w:r>
      <w:r>
        <w:rPr>
          <w:sz w:val="24"/>
        </w:rPr>
        <w:t>Occupation Certificate for any part of building/buildings beyond 75%of permissible BUA as per Zonal (basic) FSI, or granting Occupation Certificate</w:t>
      </w:r>
      <w:r>
        <w:rPr>
          <w:spacing w:val="40"/>
          <w:sz w:val="24"/>
        </w:rPr>
        <w:t> </w:t>
      </w:r>
      <w:r>
        <w:rPr>
          <w:sz w:val="24"/>
        </w:rPr>
        <w:t>to</w:t>
      </w:r>
      <w:r>
        <w:rPr>
          <w:spacing w:val="40"/>
          <w:sz w:val="24"/>
        </w:rPr>
        <w:t> </w:t>
      </w:r>
      <w:r>
        <w:rPr>
          <w:sz w:val="24"/>
        </w:rPr>
        <w:t>any</w:t>
      </w:r>
      <w:r>
        <w:rPr>
          <w:spacing w:val="40"/>
          <w:sz w:val="24"/>
        </w:rPr>
        <w:t> </w:t>
      </w:r>
      <w:r>
        <w:rPr>
          <w:sz w:val="24"/>
        </w:rPr>
        <w:t>of</w:t>
      </w:r>
      <w:r>
        <w:rPr>
          <w:spacing w:val="40"/>
          <w:sz w:val="24"/>
        </w:rPr>
        <w:t> </w:t>
      </w:r>
      <w:r>
        <w:rPr>
          <w:sz w:val="24"/>
        </w:rPr>
        <w:t>the</w:t>
      </w:r>
      <w:r>
        <w:rPr>
          <w:spacing w:val="40"/>
          <w:sz w:val="24"/>
        </w:rPr>
        <w:t> </w:t>
      </w:r>
      <w:r>
        <w:rPr>
          <w:sz w:val="24"/>
        </w:rPr>
        <w:t>building,</w:t>
      </w:r>
      <w:r>
        <w:rPr>
          <w:spacing w:val="40"/>
          <w:sz w:val="24"/>
        </w:rPr>
        <w:t> </w:t>
      </w:r>
      <w:r>
        <w:rPr>
          <w:sz w:val="24"/>
        </w:rPr>
        <w:t>other</w:t>
      </w:r>
      <w:r>
        <w:rPr>
          <w:spacing w:val="40"/>
          <w:sz w:val="24"/>
        </w:rPr>
        <w:t> </w:t>
      </w:r>
      <w:r>
        <w:rPr>
          <w:sz w:val="24"/>
        </w:rPr>
        <w:t>than</w:t>
      </w:r>
      <w:r>
        <w:rPr>
          <w:spacing w:val="40"/>
          <w:sz w:val="24"/>
        </w:rPr>
        <w:t> </w:t>
      </w:r>
      <w:r>
        <w:rPr>
          <w:sz w:val="24"/>
        </w:rPr>
        <w:t>built</w:t>
      </w:r>
      <w:r>
        <w:rPr>
          <w:spacing w:val="40"/>
          <w:sz w:val="24"/>
        </w:rPr>
        <w:t> </w:t>
      </w:r>
      <w:r>
        <w:rPr>
          <w:sz w:val="24"/>
        </w:rPr>
        <w:t>up</w:t>
      </w:r>
      <w:r>
        <w:rPr>
          <w:spacing w:val="40"/>
          <w:sz w:val="24"/>
        </w:rPr>
        <w:t> </w:t>
      </w:r>
      <w:r>
        <w:rPr>
          <w:sz w:val="24"/>
        </w:rPr>
        <w:t>amenity whichever is earlier.</w:t>
      </w:r>
    </w:p>
    <w:p>
      <w:pPr>
        <w:pStyle w:val="ListParagraph"/>
        <w:spacing w:after="0" w:line="240" w:lineRule="auto"/>
        <w:jc w:val="both"/>
        <w:rPr>
          <w:sz w:val="24"/>
        </w:rPr>
        <w:sectPr>
          <w:headerReference w:type="default" r:id="rId20"/>
          <w:footerReference w:type="default" r:id="rId21"/>
          <w:pgSz w:w="11910" w:h="16840"/>
          <w:pgMar w:header="746" w:footer="968" w:top="1180" w:bottom="1160" w:left="360" w:right="360"/>
        </w:sectPr>
      </w:pPr>
    </w:p>
    <w:p>
      <w:pPr>
        <w:pStyle w:val="ListParagraph"/>
        <w:numPr>
          <w:ilvl w:val="0"/>
          <w:numId w:val="33"/>
        </w:numPr>
        <w:tabs>
          <w:tab w:pos="1843" w:val="left" w:leader="none"/>
        </w:tabs>
        <w:spacing w:line="240" w:lineRule="auto" w:before="251" w:after="0"/>
        <w:ind w:left="1507" w:right="1085" w:firstLine="0"/>
        <w:jc w:val="both"/>
        <w:rPr>
          <w:sz w:val="24"/>
        </w:rPr>
      </w:pPr>
      <w:r>
        <w:rPr>
          <w:sz w:val="24"/>
        </w:rPr>
        <w:t>The Commissioner may entrust the operation and maintenance of such developed amenity to an appropriate agency as per the prescribed guidelines.4)In cases, where proposals are already approved as per the provisions of Regulations in force prior to these Regulations, the lands/BUA which are required to be handed over to MCGM or the Appropriate Authority, as the case may be, for public purpose, as per</w:t>
      </w:r>
      <w:r>
        <w:rPr>
          <w:spacing w:val="80"/>
          <w:sz w:val="24"/>
        </w:rPr>
        <w:t> </w:t>
      </w:r>
      <w:r>
        <w:rPr>
          <w:sz w:val="24"/>
        </w:rPr>
        <w:t>the provisions of regulations in force prior to these Regulations, such lands/BUA shall be deemed to be reservations/ existing amenity of DP and shall be developed for the intended purposes, even if such reservations/</w:t>
      </w:r>
      <w:r>
        <w:rPr>
          <w:spacing w:val="40"/>
          <w:sz w:val="24"/>
        </w:rPr>
        <w:t> </w:t>
      </w:r>
      <w:r>
        <w:rPr>
          <w:sz w:val="24"/>
        </w:rPr>
        <w:t>existing</w:t>
      </w:r>
      <w:r>
        <w:rPr>
          <w:spacing w:val="40"/>
          <w:sz w:val="24"/>
        </w:rPr>
        <w:t> </w:t>
      </w:r>
      <w:r>
        <w:rPr>
          <w:sz w:val="24"/>
        </w:rPr>
        <w:t>amenity/amenities</w:t>
      </w:r>
      <w:r>
        <w:rPr>
          <w:spacing w:val="40"/>
          <w:sz w:val="24"/>
        </w:rPr>
        <w:t> </w:t>
      </w:r>
      <w:r>
        <w:rPr>
          <w:sz w:val="24"/>
        </w:rPr>
        <w:t>are</w:t>
      </w:r>
      <w:r>
        <w:rPr>
          <w:spacing w:val="40"/>
          <w:sz w:val="24"/>
        </w:rPr>
        <w:t> </w:t>
      </w:r>
      <w:r>
        <w:rPr>
          <w:sz w:val="24"/>
        </w:rPr>
        <w:t>not</w:t>
      </w:r>
      <w:r>
        <w:rPr>
          <w:spacing w:val="40"/>
          <w:sz w:val="24"/>
        </w:rPr>
        <w:t> </w:t>
      </w:r>
      <w:r>
        <w:rPr>
          <w:sz w:val="24"/>
        </w:rPr>
        <w:t>reflected</w:t>
      </w:r>
      <w:r>
        <w:rPr>
          <w:spacing w:val="40"/>
          <w:sz w:val="24"/>
        </w:rPr>
        <w:t> </w:t>
      </w:r>
      <w:r>
        <w:rPr>
          <w:sz w:val="24"/>
        </w:rPr>
        <w:t>on</w:t>
      </w:r>
      <w:r>
        <w:rPr>
          <w:spacing w:val="40"/>
          <w:sz w:val="24"/>
        </w:rPr>
        <w:t> </w:t>
      </w:r>
      <w:r>
        <w:rPr>
          <w:sz w:val="24"/>
        </w:rPr>
        <w:t>the</w:t>
      </w:r>
      <w:r>
        <w:rPr>
          <w:spacing w:val="40"/>
          <w:sz w:val="24"/>
        </w:rPr>
        <w:t> </w:t>
      </w:r>
      <w:r>
        <w:rPr>
          <w:sz w:val="24"/>
        </w:rPr>
        <w:t>DP.</w:t>
      </w:r>
    </w:p>
    <w:p>
      <w:pPr>
        <w:pStyle w:val="BodyText"/>
        <w:spacing w:before="241"/>
        <w:ind w:left="1507" w:right="1080"/>
      </w:pPr>
      <w:r>
        <w:rPr/>
        <w:t>5) Constructions required for ingress and egress of passengers using Public Mass Transit Facilities shall be permitted on any land reserved/existing amenity for any public purpose irrespective of its permissibility given in any land use classification.</w:t>
      </w:r>
    </w:p>
    <w:p>
      <w:pPr>
        <w:pStyle w:val="Heading5"/>
        <w:spacing w:before="239"/>
        <w:ind w:left="1080"/>
      </w:pPr>
      <w:r>
        <w:rPr/>
        <w:t>Table</w:t>
      </w:r>
      <w:r>
        <w:rPr>
          <w:spacing w:val="-2"/>
        </w:rPr>
        <w:t> </w:t>
      </w:r>
      <w:r>
        <w:rPr/>
        <w:t>No:</w:t>
      </w:r>
      <w:r>
        <w:rPr>
          <w:spacing w:val="-2"/>
        </w:rPr>
        <w:t> </w:t>
      </w:r>
      <w:r>
        <w:rPr>
          <w:spacing w:val="-10"/>
        </w:rPr>
        <w:t>3</w:t>
      </w:r>
    </w:p>
    <w:p>
      <w:pPr>
        <w:spacing w:before="239"/>
        <w:ind w:left="1080" w:right="838" w:firstLine="0"/>
        <w:jc w:val="left"/>
        <w:rPr>
          <w:b/>
          <w:i/>
          <w:sz w:val="24"/>
        </w:rPr>
      </w:pPr>
      <w:r>
        <w:rPr>
          <w:b/>
          <w:i/>
          <w:sz w:val="24"/>
        </w:rPr>
        <w:t>Common</w:t>
      </w:r>
      <w:r>
        <w:rPr>
          <w:b/>
          <w:i/>
          <w:spacing w:val="-5"/>
          <w:sz w:val="24"/>
        </w:rPr>
        <w:t> </w:t>
      </w:r>
      <w:r>
        <w:rPr>
          <w:b/>
          <w:i/>
          <w:sz w:val="24"/>
        </w:rPr>
        <w:t>set</w:t>
      </w:r>
      <w:r>
        <w:rPr>
          <w:b/>
          <w:i/>
          <w:spacing w:val="-5"/>
          <w:sz w:val="24"/>
        </w:rPr>
        <w:t> </w:t>
      </w:r>
      <w:r>
        <w:rPr>
          <w:b/>
          <w:i/>
          <w:sz w:val="24"/>
        </w:rPr>
        <w:t>of</w:t>
      </w:r>
      <w:r>
        <w:rPr>
          <w:b/>
          <w:i/>
          <w:spacing w:val="-5"/>
          <w:sz w:val="24"/>
        </w:rPr>
        <w:t> </w:t>
      </w:r>
      <w:r>
        <w:rPr>
          <w:b/>
          <w:i/>
          <w:sz w:val="24"/>
        </w:rPr>
        <w:t>conditions</w:t>
      </w:r>
      <w:r>
        <w:rPr>
          <w:b/>
          <w:i/>
          <w:spacing w:val="-5"/>
          <w:sz w:val="24"/>
        </w:rPr>
        <w:t> </w:t>
      </w:r>
      <w:r>
        <w:rPr>
          <w:b/>
          <w:i/>
          <w:sz w:val="24"/>
        </w:rPr>
        <w:t>for</w:t>
      </w:r>
      <w:r>
        <w:rPr>
          <w:b/>
          <w:i/>
          <w:spacing w:val="-5"/>
          <w:sz w:val="24"/>
        </w:rPr>
        <w:t> </w:t>
      </w:r>
      <w:r>
        <w:rPr>
          <w:b/>
          <w:i/>
          <w:sz w:val="24"/>
        </w:rPr>
        <w:t>development</w:t>
      </w:r>
      <w:r>
        <w:rPr>
          <w:b/>
          <w:i/>
          <w:spacing w:val="-5"/>
          <w:sz w:val="24"/>
        </w:rPr>
        <w:t> </w:t>
      </w:r>
      <w:r>
        <w:rPr>
          <w:b/>
          <w:i/>
          <w:sz w:val="24"/>
        </w:rPr>
        <w:t>of</w:t>
      </w:r>
      <w:r>
        <w:rPr>
          <w:b/>
          <w:i/>
          <w:spacing w:val="-5"/>
          <w:sz w:val="24"/>
        </w:rPr>
        <w:t> </w:t>
      </w:r>
      <w:r>
        <w:rPr>
          <w:b/>
          <w:i/>
          <w:sz w:val="24"/>
        </w:rPr>
        <w:t>Reservations</w:t>
      </w:r>
      <w:r>
        <w:rPr>
          <w:b/>
          <w:i/>
          <w:spacing w:val="-5"/>
          <w:sz w:val="24"/>
        </w:rPr>
        <w:t> </w:t>
      </w:r>
      <w:r>
        <w:rPr>
          <w:b/>
          <w:i/>
          <w:sz w:val="24"/>
        </w:rPr>
        <w:t>and Authority/Person who may develop Reservation</w:t>
      </w:r>
    </w:p>
    <w:p>
      <w:pPr>
        <w:pStyle w:val="BodyText"/>
        <w:spacing w:before="9"/>
        <w:jc w:val="left"/>
        <w:rPr>
          <w:b/>
          <w:i/>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5"/>
        <w:gridCol w:w="7931"/>
      </w:tblGrid>
      <w:tr>
        <w:trPr>
          <w:trHeight w:val="441" w:hRule="atLeast"/>
        </w:trPr>
        <w:tc>
          <w:tcPr>
            <w:tcW w:w="1085" w:type="dxa"/>
            <w:shd w:val="clear" w:color="auto" w:fill="EDEBE0"/>
          </w:tcPr>
          <w:p>
            <w:pPr>
              <w:pStyle w:val="TableParagraph"/>
              <w:spacing w:line="281" w:lineRule="exact"/>
              <w:ind w:left="9"/>
              <w:jc w:val="center"/>
              <w:rPr>
                <w:sz w:val="24"/>
              </w:rPr>
            </w:pPr>
            <w:r>
              <w:rPr>
                <w:spacing w:val="-2"/>
                <w:sz w:val="24"/>
              </w:rPr>
              <w:t>Symbol</w:t>
            </w:r>
          </w:p>
        </w:tc>
        <w:tc>
          <w:tcPr>
            <w:tcW w:w="7931" w:type="dxa"/>
            <w:shd w:val="clear" w:color="auto" w:fill="EDEBE0"/>
          </w:tcPr>
          <w:p>
            <w:pPr>
              <w:pStyle w:val="TableParagraph"/>
              <w:spacing w:line="281" w:lineRule="exact"/>
              <w:ind w:left="107"/>
              <w:rPr>
                <w:sz w:val="24"/>
              </w:rPr>
            </w:pPr>
            <w:r>
              <w:rPr>
                <w:sz w:val="24"/>
              </w:rPr>
              <w:t>Applicable Conditions for </w:t>
            </w:r>
            <w:r>
              <w:rPr>
                <w:spacing w:val="-2"/>
                <w:sz w:val="24"/>
              </w:rPr>
              <w:t>Development</w:t>
            </w:r>
          </w:p>
        </w:tc>
      </w:tr>
      <w:tr>
        <w:trPr>
          <w:trHeight w:val="1005" w:hRule="atLeast"/>
        </w:trPr>
        <w:tc>
          <w:tcPr>
            <w:tcW w:w="1085" w:type="dxa"/>
          </w:tcPr>
          <w:p>
            <w:pPr>
              <w:pStyle w:val="TableParagraph"/>
              <w:spacing w:line="281" w:lineRule="exact"/>
              <w:ind w:left="9"/>
              <w:jc w:val="center"/>
              <w:rPr>
                <w:sz w:val="24"/>
              </w:rPr>
            </w:pPr>
            <w:r>
              <w:rPr>
                <w:spacing w:val="-10"/>
                <w:sz w:val="24"/>
              </w:rPr>
              <w:t>1</w:t>
            </w:r>
          </w:p>
        </w:tc>
        <w:tc>
          <w:tcPr>
            <w:tcW w:w="7931" w:type="dxa"/>
          </w:tcPr>
          <w:p>
            <w:pPr>
              <w:pStyle w:val="TableParagraph"/>
              <w:ind w:left="107" w:right="96"/>
              <w:jc w:val="both"/>
              <w:rPr>
                <w:sz w:val="24"/>
              </w:rPr>
            </w:pPr>
            <w:r>
              <w:rPr>
                <w:sz w:val="24"/>
              </w:rPr>
              <w:t>The Corporation or Appropriate Authorities may entrust the development,</w:t>
            </w:r>
            <w:r>
              <w:rPr>
                <w:spacing w:val="-9"/>
                <w:sz w:val="24"/>
              </w:rPr>
              <w:t> </w:t>
            </w:r>
            <w:r>
              <w:rPr>
                <w:sz w:val="24"/>
              </w:rPr>
              <w:t>operation</w:t>
            </w:r>
            <w:r>
              <w:rPr>
                <w:spacing w:val="-9"/>
                <w:sz w:val="24"/>
              </w:rPr>
              <w:t> </w:t>
            </w:r>
            <w:r>
              <w:rPr>
                <w:sz w:val="24"/>
              </w:rPr>
              <w:t>and</w:t>
            </w:r>
            <w:r>
              <w:rPr>
                <w:spacing w:val="-9"/>
                <w:sz w:val="24"/>
              </w:rPr>
              <w:t> </w:t>
            </w:r>
            <w:r>
              <w:rPr>
                <w:sz w:val="24"/>
              </w:rPr>
              <w:t>maintenance</w:t>
            </w:r>
            <w:r>
              <w:rPr>
                <w:spacing w:val="-9"/>
                <w:sz w:val="24"/>
              </w:rPr>
              <w:t> </w:t>
            </w:r>
            <w:r>
              <w:rPr>
                <w:sz w:val="24"/>
              </w:rPr>
              <w:t>of</w:t>
            </w:r>
            <w:r>
              <w:rPr>
                <w:spacing w:val="-9"/>
                <w:sz w:val="24"/>
              </w:rPr>
              <w:t> </w:t>
            </w:r>
            <w:r>
              <w:rPr>
                <w:sz w:val="24"/>
              </w:rPr>
              <w:t>the</w:t>
            </w:r>
            <w:r>
              <w:rPr>
                <w:spacing w:val="-9"/>
                <w:sz w:val="24"/>
              </w:rPr>
              <w:t> </w:t>
            </w:r>
            <w:r>
              <w:rPr>
                <w:sz w:val="24"/>
              </w:rPr>
              <w:t>entire</w:t>
            </w:r>
            <w:r>
              <w:rPr>
                <w:spacing w:val="-7"/>
                <w:sz w:val="24"/>
              </w:rPr>
              <w:t> </w:t>
            </w:r>
            <w:r>
              <w:rPr>
                <w:sz w:val="24"/>
              </w:rPr>
              <w:t>reservation to an appropriate agency</w:t>
            </w:r>
          </w:p>
        </w:tc>
      </w:tr>
      <w:tr>
        <w:trPr>
          <w:trHeight w:val="722" w:hRule="atLeast"/>
        </w:trPr>
        <w:tc>
          <w:tcPr>
            <w:tcW w:w="1085" w:type="dxa"/>
          </w:tcPr>
          <w:p>
            <w:pPr>
              <w:pStyle w:val="TableParagraph"/>
              <w:spacing w:line="281" w:lineRule="exact"/>
              <w:ind w:left="9"/>
              <w:jc w:val="center"/>
              <w:rPr>
                <w:sz w:val="24"/>
              </w:rPr>
            </w:pPr>
            <w:r>
              <w:rPr>
                <w:spacing w:val="-10"/>
                <w:sz w:val="24"/>
              </w:rPr>
              <w:t>2</w:t>
            </w:r>
          </w:p>
        </w:tc>
        <w:tc>
          <w:tcPr>
            <w:tcW w:w="7931" w:type="dxa"/>
          </w:tcPr>
          <w:p>
            <w:pPr>
              <w:pStyle w:val="TableParagraph"/>
              <w:ind w:left="107"/>
              <w:rPr>
                <w:sz w:val="24"/>
              </w:rPr>
            </w:pPr>
            <w:r>
              <w:rPr>
                <w:sz w:val="24"/>
              </w:rPr>
              <w:t>The Owner will be allowed to develop the reservation only for its intended purpose</w:t>
            </w:r>
          </w:p>
        </w:tc>
      </w:tr>
      <w:tr>
        <w:trPr>
          <w:trHeight w:val="724" w:hRule="atLeast"/>
        </w:trPr>
        <w:tc>
          <w:tcPr>
            <w:tcW w:w="1085" w:type="dxa"/>
          </w:tcPr>
          <w:p>
            <w:pPr>
              <w:pStyle w:val="TableParagraph"/>
              <w:spacing w:line="281" w:lineRule="exact"/>
              <w:ind w:left="9"/>
              <w:jc w:val="center"/>
              <w:rPr>
                <w:sz w:val="24"/>
              </w:rPr>
            </w:pPr>
            <w:r>
              <w:rPr>
                <w:spacing w:val="-10"/>
                <w:sz w:val="24"/>
              </w:rPr>
              <w:t>3</w:t>
            </w:r>
          </w:p>
        </w:tc>
        <w:tc>
          <w:tcPr>
            <w:tcW w:w="7931" w:type="dxa"/>
          </w:tcPr>
          <w:p>
            <w:pPr>
              <w:pStyle w:val="TableParagraph"/>
              <w:tabs>
                <w:tab w:pos="745" w:val="left" w:leader="none"/>
                <w:tab w:pos="1722" w:val="left" w:leader="none"/>
                <w:tab w:pos="2333" w:val="left" w:leader="none"/>
                <w:tab w:pos="2818" w:val="left" w:leader="none"/>
                <w:tab w:pos="3904" w:val="left" w:leader="none"/>
                <w:tab w:pos="4339" w:val="left" w:leader="none"/>
                <w:tab w:pos="5425" w:val="left" w:leader="none"/>
                <w:tab w:pos="6008" w:val="left" w:leader="none"/>
                <w:tab w:pos="7522" w:val="left" w:leader="none"/>
              </w:tabs>
              <w:ind w:left="107" w:right="103"/>
              <w:rPr>
                <w:sz w:val="24"/>
              </w:rPr>
            </w:pPr>
            <w:r>
              <w:rPr>
                <w:spacing w:val="-4"/>
                <w:sz w:val="24"/>
              </w:rPr>
              <w:t>The</w:t>
            </w:r>
            <w:r>
              <w:rPr>
                <w:sz w:val="24"/>
              </w:rPr>
              <w:tab/>
            </w:r>
            <w:r>
              <w:rPr>
                <w:spacing w:val="-2"/>
                <w:sz w:val="24"/>
              </w:rPr>
              <w:t>Owner</w:t>
            </w:r>
            <w:r>
              <w:rPr>
                <w:sz w:val="24"/>
              </w:rPr>
              <w:tab/>
            </w:r>
            <w:r>
              <w:rPr>
                <w:spacing w:val="-4"/>
                <w:sz w:val="24"/>
              </w:rPr>
              <w:t>will</w:t>
            </w:r>
            <w:r>
              <w:rPr>
                <w:sz w:val="24"/>
              </w:rPr>
              <w:tab/>
            </w:r>
            <w:r>
              <w:rPr>
                <w:spacing w:val="-6"/>
                <w:sz w:val="24"/>
              </w:rPr>
              <w:t>be</w:t>
            </w:r>
            <w:r>
              <w:rPr>
                <w:sz w:val="24"/>
              </w:rPr>
              <w:tab/>
            </w:r>
            <w:r>
              <w:rPr>
                <w:spacing w:val="-2"/>
                <w:sz w:val="24"/>
              </w:rPr>
              <w:t>allowed</w:t>
            </w:r>
            <w:r>
              <w:rPr>
                <w:sz w:val="24"/>
              </w:rPr>
              <w:tab/>
            </w:r>
            <w:r>
              <w:rPr>
                <w:spacing w:val="-6"/>
                <w:sz w:val="24"/>
              </w:rPr>
              <w:t>to</w:t>
            </w:r>
            <w:r>
              <w:rPr>
                <w:sz w:val="24"/>
              </w:rPr>
              <w:tab/>
            </w:r>
            <w:r>
              <w:rPr>
                <w:spacing w:val="-2"/>
                <w:sz w:val="24"/>
              </w:rPr>
              <w:t>develop</w:t>
            </w:r>
            <w:r>
              <w:rPr>
                <w:sz w:val="24"/>
              </w:rPr>
              <w:tab/>
            </w:r>
            <w:r>
              <w:rPr>
                <w:spacing w:val="-4"/>
                <w:sz w:val="24"/>
              </w:rPr>
              <w:t>the</w:t>
            </w:r>
            <w:r>
              <w:rPr>
                <w:sz w:val="24"/>
              </w:rPr>
              <w:tab/>
            </w:r>
            <w:r>
              <w:rPr>
                <w:spacing w:val="-2"/>
                <w:sz w:val="24"/>
              </w:rPr>
              <w:t>reservation</w:t>
            </w:r>
            <w:r>
              <w:rPr>
                <w:sz w:val="24"/>
              </w:rPr>
              <w:tab/>
            </w:r>
            <w:r>
              <w:rPr>
                <w:spacing w:val="-6"/>
                <w:sz w:val="24"/>
              </w:rPr>
              <w:t>on </w:t>
            </w:r>
            <w:r>
              <w:rPr>
                <w:sz w:val="24"/>
              </w:rPr>
              <w:t>Accommodation Reservation basis.</w:t>
            </w:r>
          </w:p>
        </w:tc>
      </w:tr>
      <w:tr>
        <w:trPr>
          <w:trHeight w:val="441" w:hRule="atLeast"/>
        </w:trPr>
        <w:tc>
          <w:tcPr>
            <w:tcW w:w="1085" w:type="dxa"/>
          </w:tcPr>
          <w:p>
            <w:pPr>
              <w:pStyle w:val="TableParagraph"/>
              <w:spacing w:line="281" w:lineRule="exact"/>
              <w:ind w:left="9"/>
              <w:jc w:val="center"/>
              <w:rPr>
                <w:sz w:val="24"/>
              </w:rPr>
            </w:pPr>
            <w:r>
              <w:rPr>
                <w:spacing w:val="-5"/>
                <w:sz w:val="24"/>
              </w:rPr>
              <w:t>Za</w:t>
            </w:r>
          </w:p>
        </w:tc>
        <w:tc>
          <w:tcPr>
            <w:tcW w:w="7931" w:type="dxa"/>
          </w:tcPr>
          <w:p>
            <w:pPr>
              <w:pStyle w:val="TableParagraph"/>
              <w:spacing w:line="281" w:lineRule="exact"/>
              <w:ind w:left="107"/>
              <w:rPr>
                <w:sz w:val="24"/>
              </w:rPr>
            </w:pPr>
            <w:r>
              <w:rPr>
                <w:sz w:val="24"/>
              </w:rPr>
              <w:t>Maximum</w:t>
            </w:r>
            <w:r>
              <w:rPr>
                <w:spacing w:val="-1"/>
                <w:sz w:val="24"/>
              </w:rPr>
              <w:t> </w:t>
            </w:r>
            <w:r>
              <w:rPr>
                <w:sz w:val="24"/>
              </w:rPr>
              <w:t>%</w:t>
            </w:r>
            <w:r>
              <w:rPr>
                <w:spacing w:val="-1"/>
                <w:sz w:val="24"/>
              </w:rPr>
              <w:t> </w:t>
            </w:r>
            <w:r>
              <w:rPr>
                <w:sz w:val="24"/>
              </w:rPr>
              <w:t>of</w:t>
            </w:r>
            <w:r>
              <w:rPr>
                <w:spacing w:val="-1"/>
                <w:sz w:val="24"/>
              </w:rPr>
              <w:t> </w:t>
            </w:r>
            <w:r>
              <w:rPr>
                <w:sz w:val="24"/>
              </w:rPr>
              <w:t>plot</w:t>
            </w:r>
            <w:r>
              <w:rPr>
                <w:spacing w:val="-1"/>
                <w:sz w:val="24"/>
              </w:rPr>
              <w:t> </w:t>
            </w:r>
            <w:r>
              <w:rPr>
                <w:sz w:val="24"/>
              </w:rPr>
              <w:t>area</w:t>
            </w:r>
            <w:r>
              <w:rPr>
                <w:spacing w:val="-1"/>
                <w:sz w:val="24"/>
              </w:rPr>
              <w:t> </w:t>
            </w:r>
            <w:r>
              <w:rPr>
                <w:sz w:val="24"/>
              </w:rPr>
              <w:t>that can</w:t>
            </w:r>
            <w:r>
              <w:rPr>
                <w:spacing w:val="-1"/>
                <w:sz w:val="24"/>
              </w:rPr>
              <w:t> </w:t>
            </w:r>
            <w:r>
              <w:rPr>
                <w:sz w:val="24"/>
              </w:rPr>
              <w:t>be</w:t>
            </w:r>
            <w:r>
              <w:rPr>
                <w:spacing w:val="-1"/>
                <w:sz w:val="24"/>
              </w:rPr>
              <w:t> </w:t>
            </w:r>
            <w:r>
              <w:rPr>
                <w:sz w:val="24"/>
              </w:rPr>
              <w:t>used</w:t>
            </w:r>
            <w:r>
              <w:rPr>
                <w:spacing w:val="-1"/>
                <w:sz w:val="24"/>
              </w:rPr>
              <w:t> </w:t>
            </w:r>
            <w:r>
              <w:rPr>
                <w:sz w:val="24"/>
              </w:rPr>
              <w:t>for</w:t>
            </w:r>
            <w:r>
              <w:rPr>
                <w:spacing w:val="-1"/>
                <w:sz w:val="24"/>
              </w:rPr>
              <w:t> </w:t>
            </w:r>
            <w:r>
              <w:rPr>
                <w:sz w:val="24"/>
              </w:rPr>
              <w:t>ancillary </w:t>
            </w:r>
            <w:r>
              <w:rPr>
                <w:spacing w:val="-2"/>
                <w:sz w:val="24"/>
              </w:rPr>
              <w:t>uses.</w:t>
            </w:r>
          </w:p>
        </w:tc>
      </w:tr>
      <w:tr>
        <w:trPr>
          <w:trHeight w:val="724" w:hRule="atLeast"/>
        </w:trPr>
        <w:tc>
          <w:tcPr>
            <w:tcW w:w="1085" w:type="dxa"/>
          </w:tcPr>
          <w:p>
            <w:pPr>
              <w:pStyle w:val="TableParagraph"/>
              <w:spacing w:line="281" w:lineRule="exact"/>
              <w:ind w:left="9"/>
              <w:jc w:val="center"/>
              <w:rPr>
                <w:sz w:val="24"/>
              </w:rPr>
            </w:pPr>
            <w:r>
              <w:rPr>
                <w:spacing w:val="-5"/>
                <w:sz w:val="24"/>
              </w:rPr>
              <w:t>Zb</w:t>
            </w:r>
          </w:p>
        </w:tc>
        <w:tc>
          <w:tcPr>
            <w:tcW w:w="7931" w:type="dxa"/>
          </w:tcPr>
          <w:p>
            <w:pPr>
              <w:pStyle w:val="TableParagraph"/>
              <w:ind w:left="107" w:right="103"/>
              <w:rPr>
                <w:sz w:val="24"/>
              </w:rPr>
            </w:pPr>
            <w:r>
              <w:rPr>
                <w:sz w:val="24"/>
              </w:rPr>
              <w:t>Maximum % of permissible built up area as per Zonal (basic) FSI of the reservation area that can be used for ancillary users.</w:t>
            </w:r>
          </w:p>
        </w:tc>
      </w:tr>
      <w:tr>
        <w:trPr>
          <w:trHeight w:val="1005" w:hRule="atLeast"/>
        </w:trPr>
        <w:tc>
          <w:tcPr>
            <w:tcW w:w="1085" w:type="dxa"/>
          </w:tcPr>
          <w:p>
            <w:pPr>
              <w:pStyle w:val="TableParagraph"/>
              <w:spacing w:line="281" w:lineRule="exact"/>
              <w:ind w:left="9"/>
              <w:jc w:val="center"/>
              <w:rPr>
                <w:sz w:val="24"/>
              </w:rPr>
            </w:pPr>
            <w:r>
              <w:rPr>
                <w:spacing w:val="-10"/>
                <w:sz w:val="24"/>
              </w:rPr>
              <w:t>X</w:t>
            </w:r>
          </w:p>
        </w:tc>
        <w:tc>
          <w:tcPr>
            <w:tcW w:w="7931" w:type="dxa"/>
          </w:tcPr>
          <w:p>
            <w:pPr>
              <w:pStyle w:val="TableParagraph"/>
              <w:ind w:left="107" w:right="95"/>
              <w:jc w:val="both"/>
              <w:rPr>
                <w:sz w:val="24"/>
              </w:rPr>
            </w:pPr>
            <w:r>
              <w:rPr>
                <w:sz w:val="24"/>
              </w:rPr>
              <w:t>Maximum % of development rights, permissible at Zonal </w:t>
            </w:r>
            <w:r>
              <w:rPr>
                <w:sz w:val="24"/>
              </w:rPr>
              <w:t>(basic) FSI,</w:t>
            </w:r>
            <w:r>
              <w:rPr>
                <w:spacing w:val="-8"/>
                <w:sz w:val="24"/>
              </w:rPr>
              <w:t> </w:t>
            </w:r>
            <w:r>
              <w:rPr>
                <w:sz w:val="24"/>
              </w:rPr>
              <w:t>of</w:t>
            </w:r>
            <w:r>
              <w:rPr>
                <w:spacing w:val="-8"/>
                <w:sz w:val="24"/>
              </w:rPr>
              <w:t> </w:t>
            </w:r>
            <w:r>
              <w:rPr>
                <w:sz w:val="24"/>
              </w:rPr>
              <w:t>the</w:t>
            </w:r>
            <w:r>
              <w:rPr>
                <w:spacing w:val="-8"/>
                <w:sz w:val="24"/>
              </w:rPr>
              <w:t> </w:t>
            </w:r>
            <w:r>
              <w:rPr>
                <w:sz w:val="24"/>
              </w:rPr>
              <w:t>reservation</w:t>
            </w:r>
            <w:r>
              <w:rPr>
                <w:spacing w:val="-8"/>
                <w:sz w:val="24"/>
              </w:rPr>
              <w:t> </w:t>
            </w:r>
            <w:r>
              <w:rPr>
                <w:sz w:val="24"/>
              </w:rPr>
              <w:t>area</w:t>
            </w:r>
            <w:r>
              <w:rPr>
                <w:spacing w:val="-8"/>
                <w:sz w:val="24"/>
              </w:rPr>
              <w:t> </w:t>
            </w:r>
            <w:r>
              <w:rPr>
                <w:sz w:val="24"/>
              </w:rPr>
              <w:t>affecting</w:t>
            </w:r>
            <w:r>
              <w:rPr>
                <w:spacing w:val="-8"/>
                <w:sz w:val="24"/>
              </w:rPr>
              <w:t> </w:t>
            </w:r>
            <w:r>
              <w:rPr>
                <w:sz w:val="24"/>
              </w:rPr>
              <w:t>the</w:t>
            </w:r>
            <w:r>
              <w:rPr>
                <w:spacing w:val="-6"/>
                <w:sz w:val="24"/>
              </w:rPr>
              <w:t> </w:t>
            </w:r>
            <w:r>
              <w:rPr>
                <w:sz w:val="24"/>
              </w:rPr>
              <w:t>plot,</w:t>
            </w:r>
            <w:r>
              <w:rPr>
                <w:spacing w:val="-8"/>
                <w:sz w:val="24"/>
              </w:rPr>
              <w:t> </w:t>
            </w:r>
            <w:r>
              <w:rPr>
                <w:sz w:val="24"/>
              </w:rPr>
              <w:t>to</w:t>
            </w:r>
            <w:r>
              <w:rPr>
                <w:spacing w:val="-8"/>
                <w:sz w:val="24"/>
              </w:rPr>
              <w:t> </w:t>
            </w:r>
            <w:r>
              <w:rPr>
                <w:sz w:val="24"/>
              </w:rPr>
              <w:t>be</w:t>
            </w:r>
            <w:r>
              <w:rPr>
                <w:spacing w:val="-8"/>
                <w:sz w:val="24"/>
              </w:rPr>
              <w:t> </w:t>
            </w:r>
            <w:r>
              <w:rPr>
                <w:sz w:val="24"/>
              </w:rPr>
              <w:t>constructed</w:t>
            </w:r>
            <w:r>
              <w:rPr>
                <w:spacing w:val="-8"/>
                <w:sz w:val="24"/>
              </w:rPr>
              <w:t> </w:t>
            </w:r>
            <w:r>
              <w:rPr>
                <w:sz w:val="24"/>
              </w:rPr>
              <w:t>as built-up amenity/amenity for reservation under AR.</w:t>
            </w:r>
          </w:p>
        </w:tc>
      </w:tr>
      <w:tr>
        <w:trPr>
          <w:trHeight w:val="1005" w:hRule="atLeast"/>
        </w:trPr>
        <w:tc>
          <w:tcPr>
            <w:tcW w:w="1085" w:type="dxa"/>
          </w:tcPr>
          <w:p>
            <w:pPr>
              <w:pStyle w:val="TableParagraph"/>
              <w:spacing w:line="281" w:lineRule="exact"/>
              <w:ind w:left="9"/>
              <w:jc w:val="center"/>
              <w:rPr>
                <w:sz w:val="24"/>
              </w:rPr>
            </w:pPr>
            <w:r>
              <w:rPr>
                <w:spacing w:val="-10"/>
                <w:sz w:val="24"/>
              </w:rPr>
              <w:t>Y</w:t>
            </w:r>
          </w:p>
        </w:tc>
        <w:tc>
          <w:tcPr>
            <w:tcW w:w="7931" w:type="dxa"/>
          </w:tcPr>
          <w:p>
            <w:pPr>
              <w:pStyle w:val="TableParagraph"/>
              <w:ind w:left="107" w:right="96"/>
              <w:jc w:val="both"/>
              <w:rPr>
                <w:sz w:val="24"/>
              </w:rPr>
            </w:pPr>
            <w:r>
              <w:rPr>
                <w:sz w:val="24"/>
              </w:rPr>
              <w:t>Maximum % of reserved plot to be set aside for built-up amenity developed under AR and to be handed over to MCGM, along with the built-up amenity.</w:t>
            </w:r>
          </w:p>
        </w:tc>
      </w:tr>
    </w:tbl>
    <w:p>
      <w:pPr>
        <w:pStyle w:val="BodyText"/>
        <w:spacing w:before="240"/>
        <w:jc w:val="left"/>
        <w:rPr>
          <w:b/>
          <w:i/>
        </w:rPr>
      </w:pPr>
    </w:p>
    <w:p>
      <w:pPr>
        <w:pStyle w:val="Heading5"/>
        <w:ind w:left="1080"/>
      </w:pPr>
      <w:r>
        <w:rPr/>
        <w:t>Table</w:t>
      </w:r>
      <w:r>
        <w:rPr>
          <w:spacing w:val="-2"/>
        </w:rPr>
        <w:t> </w:t>
      </w:r>
      <w:r>
        <w:rPr/>
        <w:t>No:</w:t>
      </w:r>
      <w:r>
        <w:rPr>
          <w:spacing w:val="-2"/>
        </w:rPr>
        <w:t> </w:t>
      </w:r>
      <w:r>
        <w:rPr>
          <w:spacing w:val="-10"/>
        </w:rPr>
        <w:t>4</w:t>
      </w:r>
    </w:p>
    <w:p>
      <w:pPr>
        <w:spacing w:before="240"/>
        <w:ind w:left="1080" w:right="838" w:firstLine="0"/>
        <w:jc w:val="left"/>
        <w:rPr>
          <w:b/>
          <w:i/>
          <w:sz w:val="24"/>
        </w:rPr>
      </w:pPr>
      <w:r>
        <w:rPr>
          <w:b/>
          <w:i/>
          <w:sz w:val="24"/>
        </w:rPr>
        <w:t>Reservations to be developed for the intended purposes along with</w:t>
      </w:r>
      <w:r>
        <w:rPr>
          <w:b/>
          <w:i/>
          <w:spacing w:val="40"/>
          <w:sz w:val="24"/>
        </w:rPr>
        <w:t> </w:t>
      </w:r>
      <w:r>
        <w:rPr>
          <w:b/>
          <w:i/>
          <w:sz w:val="24"/>
        </w:rPr>
        <w:t>permissible uses &amp; ancillary activities.</w:t>
      </w:r>
    </w:p>
    <w:p>
      <w:pPr>
        <w:spacing w:after="0"/>
        <w:jc w:val="left"/>
        <w:rPr>
          <w:b/>
          <w:i/>
          <w:sz w:val="24"/>
        </w:rPr>
        <w:sectPr>
          <w:pgSz w:w="11910" w:h="16840"/>
          <w:pgMar w:header="746" w:footer="968" w:top="1180" w:bottom="1160" w:left="360" w:right="360"/>
        </w:sectPr>
      </w:pPr>
    </w:p>
    <w:p>
      <w:pPr>
        <w:pStyle w:val="BodyText"/>
        <w:spacing w:before="17"/>
        <w:jc w:val="left"/>
        <w:rPr>
          <w:b/>
          <w:i/>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875"/>
        <w:gridCol w:w="976"/>
        <w:gridCol w:w="1454"/>
        <w:gridCol w:w="2608"/>
        <w:gridCol w:w="2071"/>
        <w:gridCol w:w="1348"/>
      </w:tblGrid>
      <w:tr>
        <w:trPr>
          <w:trHeight w:val="804" w:hRule="atLeast"/>
        </w:trPr>
        <w:tc>
          <w:tcPr>
            <w:tcW w:w="900" w:type="dxa"/>
            <w:vMerge w:val="restart"/>
          </w:tcPr>
          <w:p>
            <w:pPr>
              <w:pStyle w:val="TableParagraph"/>
              <w:spacing w:before="94"/>
              <w:ind w:left="107"/>
              <w:rPr>
                <w:b/>
                <w:sz w:val="22"/>
              </w:rPr>
            </w:pPr>
            <w:r>
              <w:rPr>
                <w:b/>
                <w:sz w:val="22"/>
              </w:rPr>
              <w:t>Sr.</w:t>
            </w:r>
            <w:r>
              <w:rPr>
                <w:b/>
                <w:spacing w:val="-14"/>
                <w:sz w:val="22"/>
              </w:rPr>
              <w:t> </w:t>
            </w:r>
            <w:r>
              <w:rPr>
                <w:b/>
                <w:spacing w:val="-5"/>
                <w:sz w:val="22"/>
              </w:rPr>
              <w:t>No</w:t>
            </w:r>
          </w:p>
        </w:tc>
        <w:tc>
          <w:tcPr>
            <w:tcW w:w="875" w:type="dxa"/>
            <w:vMerge w:val="restart"/>
          </w:tcPr>
          <w:p>
            <w:pPr>
              <w:pStyle w:val="TableParagraph"/>
              <w:spacing w:before="94"/>
              <w:ind w:left="108" w:right="22"/>
              <w:rPr>
                <w:b/>
                <w:sz w:val="22"/>
              </w:rPr>
            </w:pPr>
            <w:r>
              <w:rPr>
                <w:b/>
                <w:spacing w:val="-2"/>
                <w:sz w:val="22"/>
              </w:rPr>
              <w:t>Reser vation </w:t>
            </w:r>
            <w:r>
              <w:rPr>
                <w:b/>
                <w:spacing w:val="-4"/>
                <w:sz w:val="22"/>
              </w:rPr>
              <w:t>main </w:t>
            </w:r>
            <w:r>
              <w:rPr>
                <w:b/>
                <w:spacing w:val="-2"/>
                <w:sz w:val="22"/>
              </w:rPr>
              <w:t>Categ </w:t>
            </w:r>
            <w:r>
              <w:rPr>
                <w:b/>
                <w:spacing w:val="-4"/>
                <w:sz w:val="22"/>
              </w:rPr>
              <w:t>ory</w:t>
            </w:r>
          </w:p>
        </w:tc>
        <w:tc>
          <w:tcPr>
            <w:tcW w:w="2430" w:type="dxa"/>
            <w:gridSpan w:val="2"/>
          </w:tcPr>
          <w:p>
            <w:pPr>
              <w:pStyle w:val="TableParagraph"/>
              <w:tabs>
                <w:tab w:pos="1901" w:val="left" w:leader="none"/>
              </w:tabs>
              <w:spacing w:before="94"/>
              <w:ind w:left="109" w:right="93"/>
              <w:rPr>
                <w:b/>
                <w:sz w:val="22"/>
              </w:rPr>
            </w:pPr>
            <w:r>
              <w:rPr>
                <w:b/>
                <w:spacing w:val="-2"/>
                <w:sz w:val="22"/>
              </w:rPr>
              <w:t>Reservation</w:t>
            </w:r>
            <w:r>
              <w:rPr>
                <w:b/>
                <w:sz w:val="22"/>
              </w:rPr>
              <w:tab/>
            </w:r>
            <w:r>
              <w:rPr>
                <w:b/>
                <w:spacing w:val="-4"/>
                <w:sz w:val="22"/>
              </w:rPr>
              <w:t>Sub </w:t>
            </w:r>
            <w:r>
              <w:rPr>
                <w:b/>
                <w:spacing w:val="-2"/>
                <w:sz w:val="22"/>
              </w:rPr>
              <w:t>Category</w:t>
            </w:r>
          </w:p>
        </w:tc>
        <w:tc>
          <w:tcPr>
            <w:tcW w:w="4679" w:type="dxa"/>
            <w:gridSpan w:val="2"/>
          </w:tcPr>
          <w:p>
            <w:pPr>
              <w:pStyle w:val="TableParagraph"/>
              <w:spacing w:before="94"/>
              <w:ind w:left="1424"/>
              <w:rPr>
                <w:b/>
                <w:sz w:val="22"/>
              </w:rPr>
            </w:pPr>
            <w:r>
              <w:rPr>
                <w:b/>
                <w:sz w:val="22"/>
              </w:rPr>
              <w:t>Users</w:t>
            </w:r>
            <w:r>
              <w:rPr>
                <w:b/>
                <w:spacing w:val="-4"/>
                <w:sz w:val="22"/>
              </w:rPr>
              <w:t> </w:t>
            </w:r>
            <w:r>
              <w:rPr>
                <w:b/>
                <w:spacing w:val="-2"/>
                <w:sz w:val="22"/>
              </w:rPr>
              <w:t>Permitted</w:t>
            </w:r>
          </w:p>
        </w:tc>
        <w:tc>
          <w:tcPr>
            <w:tcW w:w="1348" w:type="dxa"/>
            <w:vMerge w:val="restart"/>
          </w:tcPr>
          <w:p>
            <w:pPr>
              <w:pStyle w:val="TableParagraph"/>
              <w:spacing w:before="94"/>
              <w:ind w:left="96"/>
              <w:rPr>
                <w:b/>
                <w:sz w:val="22"/>
              </w:rPr>
            </w:pPr>
            <w:r>
              <w:rPr>
                <w:b/>
                <w:spacing w:val="-2"/>
                <w:sz w:val="22"/>
              </w:rPr>
              <w:t>Applicable conditions </w:t>
            </w:r>
            <w:r>
              <w:rPr>
                <w:b/>
                <w:spacing w:val="-4"/>
                <w:sz w:val="22"/>
              </w:rPr>
              <w:t>for </w:t>
            </w:r>
            <w:r>
              <w:rPr>
                <w:b/>
                <w:spacing w:val="-2"/>
                <w:sz w:val="22"/>
              </w:rPr>
              <w:t>developme </w:t>
            </w:r>
            <w:r>
              <w:rPr>
                <w:b/>
                <w:spacing w:val="-6"/>
                <w:sz w:val="22"/>
              </w:rPr>
              <w:t>nt</w:t>
            </w:r>
          </w:p>
        </w:tc>
      </w:tr>
      <w:tr>
        <w:trPr>
          <w:trHeight w:val="709" w:hRule="atLeast"/>
        </w:trPr>
        <w:tc>
          <w:tcPr>
            <w:tcW w:w="900" w:type="dxa"/>
            <w:vMerge/>
            <w:tcBorders>
              <w:top w:val="nil"/>
            </w:tcBorders>
          </w:tcPr>
          <w:p>
            <w:pPr>
              <w:rPr>
                <w:sz w:val="2"/>
                <w:szCs w:val="2"/>
              </w:rPr>
            </w:pPr>
          </w:p>
        </w:tc>
        <w:tc>
          <w:tcPr>
            <w:tcW w:w="875" w:type="dxa"/>
            <w:vMerge/>
            <w:tcBorders>
              <w:top w:val="nil"/>
            </w:tcBorders>
          </w:tcPr>
          <w:p>
            <w:pPr>
              <w:rPr>
                <w:sz w:val="2"/>
                <w:szCs w:val="2"/>
              </w:rPr>
            </w:pPr>
          </w:p>
        </w:tc>
        <w:tc>
          <w:tcPr>
            <w:tcW w:w="976" w:type="dxa"/>
          </w:tcPr>
          <w:p>
            <w:pPr>
              <w:pStyle w:val="TableParagraph"/>
              <w:spacing w:before="97"/>
              <w:ind w:left="109"/>
              <w:rPr>
                <w:b/>
                <w:sz w:val="22"/>
              </w:rPr>
            </w:pPr>
            <w:r>
              <w:rPr>
                <w:b/>
                <w:spacing w:val="-4"/>
                <w:sz w:val="22"/>
              </w:rPr>
              <w:t>Code</w:t>
            </w:r>
          </w:p>
        </w:tc>
        <w:tc>
          <w:tcPr>
            <w:tcW w:w="1454" w:type="dxa"/>
          </w:tcPr>
          <w:p>
            <w:pPr>
              <w:pStyle w:val="TableParagraph"/>
              <w:spacing w:before="97"/>
              <w:ind w:left="110"/>
              <w:rPr>
                <w:b/>
                <w:sz w:val="22"/>
              </w:rPr>
            </w:pPr>
            <w:r>
              <w:rPr>
                <w:b/>
                <w:spacing w:val="-4"/>
                <w:sz w:val="22"/>
              </w:rPr>
              <w:t>Name</w:t>
            </w:r>
          </w:p>
        </w:tc>
        <w:tc>
          <w:tcPr>
            <w:tcW w:w="2608" w:type="dxa"/>
          </w:tcPr>
          <w:p>
            <w:pPr>
              <w:pStyle w:val="TableParagraph"/>
              <w:spacing w:before="97"/>
              <w:ind w:left="111"/>
              <w:rPr>
                <w:b/>
                <w:sz w:val="22"/>
              </w:rPr>
            </w:pPr>
            <w:r>
              <w:rPr>
                <w:b/>
                <w:sz w:val="22"/>
              </w:rPr>
              <w:t>Permissible</w:t>
            </w:r>
            <w:r>
              <w:rPr>
                <w:b/>
                <w:spacing w:val="-7"/>
                <w:sz w:val="22"/>
              </w:rPr>
              <w:t> </w:t>
            </w:r>
            <w:r>
              <w:rPr>
                <w:b/>
                <w:spacing w:val="-4"/>
                <w:sz w:val="22"/>
              </w:rPr>
              <w:t>uses</w:t>
            </w:r>
          </w:p>
        </w:tc>
        <w:tc>
          <w:tcPr>
            <w:tcW w:w="2071" w:type="dxa"/>
          </w:tcPr>
          <w:p>
            <w:pPr>
              <w:pStyle w:val="TableParagraph"/>
              <w:spacing w:before="97"/>
              <w:ind w:left="112"/>
              <w:rPr>
                <w:b/>
                <w:sz w:val="22"/>
              </w:rPr>
            </w:pPr>
            <w:r>
              <w:rPr>
                <w:b/>
                <w:spacing w:val="-2"/>
                <w:sz w:val="22"/>
              </w:rPr>
              <w:t>Ancillary Activities</w:t>
            </w:r>
          </w:p>
        </w:tc>
        <w:tc>
          <w:tcPr>
            <w:tcW w:w="1348" w:type="dxa"/>
            <w:vMerge/>
            <w:tcBorders>
              <w:top w:val="nil"/>
            </w:tcBorders>
          </w:tcPr>
          <w:p>
            <w:pPr>
              <w:rPr>
                <w:sz w:val="2"/>
                <w:szCs w:val="2"/>
              </w:rPr>
            </w:pPr>
          </w:p>
        </w:tc>
      </w:tr>
      <w:tr>
        <w:trPr>
          <w:trHeight w:val="348" w:hRule="atLeast"/>
        </w:trPr>
        <w:tc>
          <w:tcPr>
            <w:tcW w:w="900" w:type="dxa"/>
            <w:tcBorders>
              <w:bottom w:val="nil"/>
            </w:tcBorders>
          </w:tcPr>
          <w:p>
            <w:pPr>
              <w:pStyle w:val="TableParagraph"/>
              <w:rPr>
                <w:rFonts w:ascii="Times New Roman"/>
                <w:sz w:val="20"/>
              </w:rPr>
            </w:pPr>
          </w:p>
        </w:tc>
        <w:tc>
          <w:tcPr>
            <w:tcW w:w="875" w:type="dxa"/>
            <w:vMerge w:val="restart"/>
            <w:textDirection w:val="btLr"/>
          </w:tcPr>
          <w:p>
            <w:pPr>
              <w:pStyle w:val="TableParagraph"/>
              <w:spacing w:before="205"/>
              <w:ind w:left="-1"/>
              <w:rPr>
                <w:sz w:val="22"/>
              </w:rPr>
            </w:pPr>
            <w:r>
              <w:rPr>
                <w:sz w:val="22"/>
              </w:rPr>
              <w:t>Public</w:t>
            </w:r>
            <w:r>
              <w:rPr>
                <w:spacing w:val="-6"/>
                <w:sz w:val="22"/>
              </w:rPr>
              <w:t> </w:t>
            </w:r>
            <w:r>
              <w:rPr>
                <w:sz w:val="22"/>
              </w:rPr>
              <w:t>Open</w:t>
            </w:r>
            <w:r>
              <w:rPr>
                <w:spacing w:val="-4"/>
                <w:sz w:val="22"/>
              </w:rPr>
              <w:t> </w:t>
            </w:r>
            <w:r>
              <w:rPr>
                <w:spacing w:val="-2"/>
                <w:sz w:val="22"/>
              </w:rPr>
              <w:t>Spaces</w:t>
            </w:r>
          </w:p>
        </w:tc>
        <w:tc>
          <w:tcPr>
            <w:tcW w:w="976" w:type="dxa"/>
            <w:tcBorders>
              <w:bottom w:val="nil"/>
            </w:tcBorders>
          </w:tcPr>
          <w:p>
            <w:pPr>
              <w:pStyle w:val="TableParagraph"/>
              <w:spacing w:line="234" w:lineRule="exact" w:before="94"/>
              <w:ind w:left="109"/>
              <w:rPr>
                <w:sz w:val="22"/>
              </w:rPr>
            </w:pPr>
            <w:r>
              <w:rPr>
                <w:spacing w:val="-2"/>
                <w:sz w:val="22"/>
              </w:rPr>
              <w:t>ROS1.</w:t>
            </w:r>
          </w:p>
        </w:tc>
        <w:tc>
          <w:tcPr>
            <w:tcW w:w="1454" w:type="dxa"/>
            <w:tcBorders>
              <w:bottom w:val="nil"/>
            </w:tcBorders>
          </w:tcPr>
          <w:p>
            <w:pPr>
              <w:pStyle w:val="TableParagraph"/>
              <w:spacing w:line="234" w:lineRule="exact" w:before="94"/>
              <w:ind w:left="26"/>
              <w:rPr>
                <w:sz w:val="22"/>
              </w:rPr>
            </w:pPr>
            <w:r>
              <w:rPr>
                <w:spacing w:val="-2"/>
                <w:sz w:val="22"/>
              </w:rPr>
              <w:t>Promenades</w:t>
            </w:r>
          </w:p>
        </w:tc>
        <w:tc>
          <w:tcPr>
            <w:tcW w:w="2608" w:type="dxa"/>
            <w:tcBorders>
              <w:bottom w:val="nil"/>
            </w:tcBorders>
          </w:tcPr>
          <w:p>
            <w:pPr>
              <w:pStyle w:val="TableParagraph"/>
              <w:tabs>
                <w:tab w:pos="1908" w:val="left" w:leader="none"/>
              </w:tabs>
              <w:spacing w:line="234" w:lineRule="exact" w:before="94"/>
              <w:ind w:left="3"/>
              <w:rPr>
                <w:sz w:val="22"/>
              </w:rPr>
            </w:pPr>
            <w:r>
              <w:rPr>
                <w:spacing w:val="-2"/>
                <w:sz w:val="22"/>
              </w:rPr>
              <w:t>Coastal</w:t>
            </w:r>
            <w:r>
              <w:rPr>
                <w:sz w:val="22"/>
              </w:rPr>
              <w:tab/>
            </w:r>
            <w:r>
              <w:rPr>
                <w:spacing w:val="-4"/>
                <w:sz w:val="22"/>
              </w:rPr>
              <w:t>Road,</w:t>
            </w:r>
          </w:p>
        </w:tc>
        <w:tc>
          <w:tcPr>
            <w:tcW w:w="2071" w:type="dxa"/>
            <w:tcBorders>
              <w:bottom w:val="nil"/>
            </w:tcBorders>
          </w:tcPr>
          <w:p>
            <w:pPr>
              <w:pStyle w:val="TableParagraph"/>
              <w:spacing w:line="234" w:lineRule="exact" w:before="94"/>
              <w:ind w:left="112"/>
              <w:rPr>
                <w:sz w:val="22"/>
              </w:rPr>
            </w:pPr>
            <w:r>
              <w:rPr>
                <w:spacing w:val="-2"/>
                <w:sz w:val="22"/>
              </w:rPr>
              <w:t>Watchman</w:t>
            </w:r>
          </w:p>
        </w:tc>
        <w:tc>
          <w:tcPr>
            <w:tcW w:w="1348" w:type="dxa"/>
            <w:tcBorders>
              <w:bottom w:val="nil"/>
            </w:tcBorders>
          </w:tcPr>
          <w:p>
            <w:pPr>
              <w:pStyle w:val="TableParagraph"/>
              <w:rPr>
                <w:rFonts w:ascii="Times New Roman"/>
                <w:sz w:val="20"/>
              </w:rPr>
            </w:pPr>
          </w:p>
        </w:tc>
      </w:tr>
      <w:tr>
        <w:trPr>
          <w:trHeight w:val="1117" w:hRule="atLeast"/>
        </w:trPr>
        <w:tc>
          <w:tcPr>
            <w:tcW w:w="900" w:type="dxa"/>
            <w:tcBorders>
              <w:top w:val="nil"/>
              <w:bottom w:val="nil"/>
            </w:tcBorders>
          </w:tcPr>
          <w:p>
            <w:pPr>
              <w:pStyle w:val="TableParagraph"/>
              <w:spacing w:before="186"/>
              <w:rPr>
                <w:b/>
                <w:i/>
                <w:sz w:val="22"/>
              </w:rPr>
            </w:pPr>
          </w:p>
          <w:p>
            <w:pPr>
              <w:pStyle w:val="TableParagraph"/>
              <w:ind w:left="10"/>
              <w:jc w:val="center"/>
              <w:rPr>
                <w:sz w:val="22"/>
              </w:rPr>
            </w:pPr>
            <w:r>
              <w:rPr>
                <w:spacing w:val="-10"/>
                <w:sz w:val="22"/>
              </w:rPr>
              <w:t>1</w:t>
            </w: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spacing w:line="254" w:lineRule="exact"/>
              <w:ind w:left="109"/>
              <w:rPr>
                <w:sz w:val="22"/>
              </w:rPr>
            </w:pPr>
            <w:r>
              <w:rPr>
                <w:spacing w:val="-10"/>
                <w:sz w:val="22"/>
              </w:rPr>
              <w:t>2</w:t>
            </w:r>
          </w:p>
        </w:tc>
        <w:tc>
          <w:tcPr>
            <w:tcW w:w="1454" w:type="dxa"/>
            <w:tcBorders>
              <w:top w:val="nil"/>
              <w:bottom w:val="nil"/>
            </w:tcBorders>
          </w:tcPr>
          <w:p>
            <w:pPr>
              <w:pStyle w:val="TableParagraph"/>
              <w:rPr>
                <w:rFonts w:ascii="Times New Roman"/>
                <w:sz w:val="20"/>
              </w:rPr>
            </w:pPr>
          </w:p>
        </w:tc>
        <w:tc>
          <w:tcPr>
            <w:tcW w:w="2608" w:type="dxa"/>
            <w:tcBorders>
              <w:top w:val="nil"/>
              <w:bottom w:val="nil"/>
            </w:tcBorders>
          </w:tcPr>
          <w:p>
            <w:pPr>
              <w:pStyle w:val="TableParagraph"/>
              <w:ind w:left="3" w:right="127"/>
              <w:rPr>
                <w:sz w:val="22"/>
              </w:rPr>
            </w:pPr>
            <w:r>
              <w:rPr>
                <w:spacing w:val="-2"/>
                <w:sz w:val="22"/>
              </w:rPr>
              <w:t>Promenade/Promenad </w:t>
            </w:r>
            <w:r>
              <w:rPr>
                <w:sz w:val="22"/>
              </w:rPr>
              <w:t>es</w:t>
            </w:r>
            <w:r>
              <w:rPr>
                <w:spacing w:val="40"/>
                <w:sz w:val="22"/>
              </w:rPr>
              <w:t> </w:t>
            </w:r>
            <w:r>
              <w:rPr>
                <w:sz w:val="22"/>
              </w:rPr>
              <w:t>along</w:t>
            </w:r>
            <w:r>
              <w:rPr>
                <w:spacing w:val="40"/>
                <w:sz w:val="22"/>
              </w:rPr>
              <w:t> </w:t>
            </w:r>
            <w:r>
              <w:rPr>
                <w:sz w:val="22"/>
              </w:rPr>
              <w:t>periphery</w:t>
            </w:r>
            <w:r>
              <w:rPr>
                <w:spacing w:val="40"/>
                <w:sz w:val="22"/>
              </w:rPr>
              <w:t> </w:t>
            </w:r>
            <w:r>
              <w:rPr>
                <w:sz w:val="22"/>
              </w:rPr>
              <w:t>of </w:t>
            </w:r>
            <w:r>
              <w:rPr>
                <w:spacing w:val="-2"/>
                <w:sz w:val="22"/>
              </w:rPr>
              <w:t>waterbody/river/sea/ pipeline</w:t>
            </w:r>
          </w:p>
        </w:tc>
        <w:tc>
          <w:tcPr>
            <w:tcW w:w="2071" w:type="dxa"/>
            <w:tcBorders>
              <w:top w:val="nil"/>
              <w:bottom w:val="nil"/>
            </w:tcBorders>
          </w:tcPr>
          <w:p>
            <w:pPr>
              <w:pStyle w:val="TableParagraph"/>
              <w:spacing w:line="237" w:lineRule="auto"/>
              <w:ind w:left="112"/>
              <w:rPr>
                <w:sz w:val="22"/>
              </w:rPr>
            </w:pPr>
            <w:r>
              <w:rPr>
                <w:sz w:val="22"/>
              </w:rPr>
              <w:t>cabin,</w:t>
            </w:r>
            <w:r>
              <w:rPr>
                <w:spacing w:val="79"/>
                <w:sz w:val="22"/>
              </w:rPr>
              <w:t> </w:t>
            </w:r>
            <w:r>
              <w:rPr>
                <w:sz w:val="22"/>
              </w:rPr>
              <w:t>Gardener </w:t>
            </w:r>
            <w:r>
              <w:rPr>
                <w:spacing w:val="-2"/>
                <w:sz w:val="22"/>
              </w:rPr>
              <w:t>chowky,</w:t>
            </w:r>
          </w:p>
          <w:p>
            <w:pPr>
              <w:pStyle w:val="TableParagraph"/>
              <w:tabs>
                <w:tab w:pos="1191" w:val="left" w:leader="none"/>
              </w:tabs>
              <w:spacing w:line="256" w:lineRule="exact" w:before="74"/>
              <w:ind w:left="112" w:right="91"/>
              <w:rPr>
                <w:sz w:val="22"/>
              </w:rPr>
            </w:pPr>
            <w:r>
              <w:rPr>
                <w:sz w:val="22"/>
              </w:rPr>
              <w:t>toilet</w:t>
            </w:r>
            <w:r>
              <w:rPr>
                <w:spacing w:val="40"/>
                <w:sz w:val="22"/>
              </w:rPr>
              <w:t> </w:t>
            </w:r>
            <w:r>
              <w:rPr>
                <w:sz w:val="22"/>
              </w:rPr>
              <w:t>block,</w:t>
            </w:r>
            <w:r>
              <w:rPr>
                <w:spacing w:val="40"/>
                <w:sz w:val="22"/>
              </w:rPr>
              <w:t> </w:t>
            </w:r>
            <w:r>
              <w:rPr>
                <w:sz w:val="22"/>
              </w:rPr>
              <w:t>Art </w:t>
            </w:r>
            <w:r>
              <w:rPr>
                <w:spacing w:val="-5"/>
                <w:sz w:val="22"/>
              </w:rPr>
              <w:t>and</w:t>
            </w:r>
            <w:r>
              <w:rPr>
                <w:sz w:val="22"/>
              </w:rPr>
              <w:tab/>
            </w:r>
            <w:r>
              <w:rPr>
                <w:spacing w:val="-2"/>
                <w:sz w:val="22"/>
              </w:rPr>
              <w:t>culture</w:t>
            </w:r>
          </w:p>
        </w:tc>
        <w:tc>
          <w:tcPr>
            <w:tcW w:w="1348" w:type="dxa"/>
            <w:tcBorders>
              <w:top w:val="nil"/>
              <w:bottom w:val="nil"/>
            </w:tcBorders>
          </w:tcPr>
          <w:p>
            <w:pPr>
              <w:pStyle w:val="TableParagraph"/>
              <w:spacing w:before="91"/>
              <w:ind w:left="151" w:right="133"/>
              <w:jc w:val="center"/>
              <w:rPr>
                <w:sz w:val="22"/>
              </w:rPr>
            </w:pPr>
            <w:r>
              <w:rPr>
                <w:spacing w:val="-10"/>
                <w:sz w:val="22"/>
              </w:rPr>
              <w:t>1</w:t>
            </w:r>
          </w:p>
        </w:tc>
      </w:tr>
      <w:tr>
        <w:trPr>
          <w:trHeight w:val="249"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rPr>
                <w:rFonts w:ascii="Times New Roman"/>
                <w:sz w:val="18"/>
              </w:rPr>
            </w:pPr>
          </w:p>
        </w:tc>
        <w:tc>
          <w:tcPr>
            <w:tcW w:w="2071" w:type="dxa"/>
            <w:tcBorders>
              <w:top w:val="nil"/>
              <w:bottom w:val="nil"/>
            </w:tcBorders>
          </w:tcPr>
          <w:p>
            <w:pPr>
              <w:pStyle w:val="TableParagraph"/>
              <w:tabs>
                <w:tab w:pos="1403" w:val="left" w:leader="none"/>
              </w:tabs>
              <w:spacing w:line="229" w:lineRule="exact"/>
              <w:ind w:left="112"/>
              <w:rPr>
                <w:sz w:val="22"/>
              </w:rPr>
            </w:pPr>
            <w:r>
              <w:rPr>
                <w:spacing w:val="-2"/>
                <w:sz w:val="22"/>
              </w:rPr>
              <w:t>related</w:t>
            </w:r>
            <w:r>
              <w:rPr>
                <w:sz w:val="22"/>
              </w:rPr>
              <w:tab/>
            </w:r>
            <w:r>
              <w:rPr>
                <w:spacing w:val="-4"/>
                <w:sz w:val="22"/>
              </w:rPr>
              <w:t>uses,</w:t>
            </w:r>
          </w:p>
        </w:tc>
        <w:tc>
          <w:tcPr>
            <w:tcW w:w="1348" w:type="dxa"/>
            <w:tcBorders>
              <w:top w:val="nil"/>
              <w:bottom w:val="nil"/>
            </w:tcBorders>
          </w:tcPr>
          <w:p>
            <w:pPr>
              <w:pStyle w:val="TableParagraph"/>
              <w:rPr>
                <w:rFonts w:ascii="Times New Roman"/>
                <w:sz w:val="18"/>
              </w:rPr>
            </w:pPr>
          </w:p>
        </w:tc>
      </w:tr>
      <w:tr>
        <w:trPr>
          <w:trHeight w:val="248"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rPr>
                <w:rFonts w:ascii="Times New Roman"/>
                <w:sz w:val="18"/>
              </w:rPr>
            </w:pPr>
          </w:p>
        </w:tc>
        <w:tc>
          <w:tcPr>
            <w:tcW w:w="2071" w:type="dxa"/>
            <w:tcBorders>
              <w:top w:val="nil"/>
              <w:bottom w:val="nil"/>
            </w:tcBorders>
          </w:tcPr>
          <w:p>
            <w:pPr>
              <w:pStyle w:val="TableParagraph"/>
              <w:tabs>
                <w:tab w:pos="1378" w:val="left" w:leader="none"/>
              </w:tabs>
              <w:spacing w:line="228" w:lineRule="exact"/>
              <w:ind w:left="112"/>
              <w:rPr>
                <w:sz w:val="22"/>
              </w:rPr>
            </w:pPr>
            <w:r>
              <w:rPr>
                <w:spacing w:val="-2"/>
                <w:sz w:val="22"/>
              </w:rPr>
              <w:t>Public</w:t>
            </w:r>
            <w:r>
              <w:rPr>
                <w:sz w:val="22"/>
              </w:rPr>
              <w:tab/>
            </w:r>
            <w:r>
              <w:rPr>
                <w:spacing w:val="-2"/>
                <w:sz w:val="22"/>
              </w:rPr>
              <w:t>Toilet</w:t>
            </w:r>
          </w:p>
        </w:tc>
        <w:tc>
          <w:tcPr>
            <w:tcW w:w="1348" w:type="dxa"/>
            <w:tcBorders>
              <w:top w:val="nil"/>
              <w:bottom w:val="nil"/>
            </w:tcBorders>
          </w:tcPr>
          <w:p>
            <w:pPr>
              <w:pStyle w:val="TableParagraph"/>
              <w:rPr>
                <w:rFonts w:ascii="Times New Roman"/>
                <w:sz w:val="18"/>
              </w:rPr>
            </w:pPr>
          </w:p>
        </w:tc>
      </w:tr>
      <w:tr>
        <w:trPr>
          <w:trHeight w:val="350" w:hRule="atLeast"/>
        </w:trPr>
        <w:tc>
          <w:tcPr>
            <w:tcW w:w="900" w:type="dxa"/>
            <w:tcBorders>
              <w:top w:val="nil"/>
            </w:tcBorders>
          </w:tcPr>
          <w:p>
            <w:pPr>
              <w:pStyle w:val="TableParagraph"/>
              <w:rPr>
                <w:rFonts w:ascii="Times New Roman"/>
                <w:sz w:val="20"/>
              </w:rPr>
            </w:pPr>
          </w:p>
        </w:tc>
        <w:tc>
          <w:tcPr>
            <w:tcW w:w="875" w:type="dxa"/>
            <w:vMerge/>
            <w:tcBorders>
              <w:top w:val="nil"/>
            </w:tcBorders>
            <w:textDirection w:val="btLr"/>
          </w:tcPr>
          <w:p>
            <w:pPr>
              <w:rPr>
                <w:sz w:val="2"/>
                <w:szCs w:val="2"/>
              </w:rPr>
            </w:pPr>
          </w:p>
        </w:tc>
        <w:tc>
          <w:tcPr>
            <w:tcW w:w="976" w:type="dxa"/>
            <w:tcBorders>
              <w:top w:val="nil"/>
            </w:tcBorders>
          </w:tcPr>
          <w:p>
            <w:pPr>
              <w:pStyle w:val="TableParagraph"/>
              <w:rPr>
                <w:rFonts w:ascii="Times New Roman"/>
                <w:sz w:val="20"/>
              </w:rPr>
            </w:pPr>
          </w:p>
        </w:tc>
        <w:tc>
          <w:tcPr>
            <w:tcW w:w="1454" w:type="dxa"/>
            <w:tcBorders>
              <w:top w:val="nil"/>
            </w:tcBorders>
          </w:tcPr>
          <w:p>
            <w:pPr>
              <w:pStyle w:val="TableParagraph"/>
              <w:rPr>
                <w:rFonts w:ascii="Times New Roman"/>
                <w:sz w:val="20"/>
              </w:rPr>
            </w:pPr>
          </w:p>
        </w:tc>
        <w:tc>
          <w:tcPr>
            <w:tcW w:w="2608" w:type="dxa"/>
            <w:tcBorders>
              <w:top w:val="nil"/>
            </w:tcBorders>
          </w:tcPr>
          <w:p>
            <w:pPr>
              <w:pStyle w:val="TableParagraph"/>
              <w:rPr>
                <w:rFonts w:ascii="Times New Roman"/>
                <w:sz w:val="20"/>
              </w:rPr>
            </w:pPr>
          </w:p>
        </w:tc>
        <w:tc>
          <w:tcPr>
            <w:tcW w:w="2071" w:type="dxa"/>
            <w:tcBorders>
              <w:top w:val="nil"/>
            </w:tcBorders>
          </w:tcPr>
          <w:p>
            <w:pPr>
              <w:pStyle w:val="TableParagraph"/>
              <w:spacing w:line="253" w:lineRule="exact"/>
              <w:ind w:left="112"/>
              <w:rPr>
                <w:sz w:val="22"/>
              </w:rPr>
            </w:pPr>
            <w:r>
              <w:rPr>
                <w:spacing w:val="-2"/>
                <w:sz w:val="22"/>
              </w:rPr>
              <w:t>facilities</w:t>
            </w:r>
          </w:p>
        </w:tc>
        <w:tc>
          <w:tcPr>
            <w:tcW w:w="1348" w:type="dxa"/>
            <w:tcBorders>
              <w:top w:val="nil"/>
            </w:tcBorders>
          </w:tcPr>
          <w:p>
            <w:pPr>
              <w:pStyle w:val="TableParagraph"/>
              <w:rPr>
                <w:rFonts w:ascii="Times New Roman"/>
                <w:sz w:val="20"/>
              </w:rPr>
            </w:pPr>
          </w:p>
        </w:tc>
      </w:tr>
      <w:tr>
        <w:trPr>
          <w:trHeight w:val="701" w:hRule="atLeast"/>
        </w:trPr>
        <w:tc>
          <w:tcPr>
            <w:tcW w:w="900" w:type="dxa"/>
            <w:tcBorders>
              <w:bottom w:val="nil"/>
            </w:tcBorders>
          </w:tcPr>
          <w:p>
            <w:pPr>
              <w:pStyle w:val="TableParagraph"/>
              <w:spacing w:before="189"/>
              <w:rPr>
                <w:b/>
                <w:i/>
                <w:sz w:val="22"/>
              </w:rPr>
            </w:pPr>
          </w:p>
          <w:p>
            <w:pPr>
              <w:pStyle w:val="TableParagraph"/>
              <w:spacing w:line="234" w:lineRule="exact"/>
              <w:ind w:left="10"/>
              <w:jc w:val="center"/>
              <w:rPr>
                <w:sz w:val="22"/>
              </w:rPr>
            </w:pPr>
            <w:r>
              <w:rPr>
                <w:spacing w:val="-10"/>
                <w:sz w:val="22"/>
              </w:rPr>
              <w:t>2</w:t>
            </w:r>
          </w:p>
        </w:tc>
        <w:tc>
          <w:tcPr>
            <w:tcW w:w="875" w:type="dxa"/>
            <w:vMerge/>
            <w:tcBorders>
              <w:top w:val="nil"/>
            </w:tcBorders>
            <w:textDirection w:val="btLr"/>
          </w:tcPr>
          <w:p>
            <w:pPr>
              <w:rPr>
                <w:sz w:val="2"/>
                <w:szCs w:val="2"/>
              </w:rPr>
            </w:pPr>
          </w:p>
        </w:tc>
        <w:tc>
          <w:tcPr>
            <w:tcW w:w="976" w:type="dxa"/>
            <w:tcBorders>
              <w:bottom w:val="nil"/>
            </w:tcBorders>
          </w:tcPr>
          <w:p>
            <w:pPr>
              <w:pStyle w:val="TableParagraph"/>
              <w:spacing w:before="189"/>
              <w:rPr>
                <w:b/>
                <w:i/>
                <w:sz w:val="22"/>
              </w:rPr>
            </w:pPr>
          </w:p>
          <w:p>
            <w:pPr>
              <w:pStyle w:val="TableParagraph"/>
              <w:spacing w:line="234" w:lineRule="exact"/>
              <w:ind w:left="109"/>
              <w:rPr>
                <w:sz w:val="22"/>
              </w:rPr>
            </w:pPr>
            <w:r>
              <w:rPr>
                <w:spacing w:val="-2"/>
                <w:sz w:val="22"/>
              </w:rPr>
              <w:t>ROS2.</w:t>
            </w:r>
          </w:p>
        </w:tc>
        <w:tc>
          <w:tcPr>
            <w:tcW w:w="1454" w:type="dxa"/>
            <w:tcBorders>
              <w:bottom w:val="nil"/>
            </w:tcBorders>
          </w:tcPr>
          <w:p>
            <w:pPr>
              <w:pStyle w:val="TableParagraph"/>
              <w:spacing w:before="189"/>
              <w:rPr>
                <w:b/>
                <w:i/>
                <w:sz w:val="22"/>
              </w:rPr>
            </w:pPr>
          </w:p>
          <w:p>
            <w:pPr>
              <w:pStyle w:val="TableParagraph"/>
              <w:spacing w:line="234" w:lineRule="exact"/>
              <w:ind w:left="461"/>
              <w:rPr>
                <w:sz w:val="22"/>
              </w:rPr>
            </w:pPr>
            <w:r>
              <w:rPr>
                <w:spacing w:val="-5"/>
                <w:sz w:val="22"/>
              </w:rPr>
              <w:t>Zoo</w:t>
            </w:r>
          </w:p>
        </w:tc>
        <w:tc>
          <w:tcPr>
            <w:tcW w:w="2608" w:type="dxa"/>
            <w:tcBorders>
              <w:bottom w:val="nil"/>
            </w:tcBorders>
          </w:tcPr>
          <w:p>
            <w:pPr>
              <w:pStyle w:val="TableParagraph"/>
              <w:spacing w:before="189"/>
              <w:rPr>
                <w:b/>
                <w:i/>
                <w:sz w:val="22"/>
              </w:rPr>
            </w:pPr>
          </w:p>
          <w:p>
            <w:pPr>
              <w:pStyle w:val="TableParagraph"/>
              <w:spacing w:line="234" w:lineRule="exact"/>
              <w:ind w:left="3"/>
              <w:rPr>
                <w:sz w:val="22"/>
              </w:rPr>
            </w:pPr>
            <w:r>
              <w:rPr>
                <w:sz w:val="22"/>
              </w:rPr>
              <w:t>Zoo,</w:t>
            </w:r>
            <w:r>
              <w:rPr>
                <w:spacing w:val="-8"/>
                <w:sz w:val="22"/>
              </w:rPr>
              <w:t> </w:t>
            </w:r>
            <w:r>
              <w:rPr>
                <w:sz w:val="22"/>
              </w:rPr>
              <w:t>Aquarium</w:t>
            </w:r>
            <w:r>
              <w:rPr>
                <w:spacing w:val="-4"/>
                <w:sz w:val="22"/>
              </w:rPr>
              <w:t> with</w:t>
            </w:r>
          </w:p>
        </w:tc>
        <w:tc>
          <w:tcPr>
            <w:tcW w:w="2071" w:type="dxa"/>
            <w:vMerge w:val="restart"/>
          </w:tcPr>
          <w:p>
            <w:pPr>
              <w:pStyle w:val="TableParagraph"/>
              <w:rPr>
                <w:rFonts w:ascii="Times New Roman"/>
                <w:sz w:val="20"/>
              </w:rPr>
            </w:pPr>
          </w:p>
        </w:tc>
        <w:tc>
          <w:tcPr>
            <w:tcW w:w="1348" w:type="dxa"/>
            <w:tcBorders>
              <w:bottom w:val="nil"/>
            </w:tcBorders>
          </w:tcPr>
          <w:p>
            <w:pPr>
              <w:pStyle w:val="TableParagraph"/>
              <w:rPr>
                <w:rFonts w:ascii="Times New Roman"/>
                <w:sz w:val="20"/>
              </w:rPr>
            </w:pPr>
          </w:p>
        </w:tc>
      </w:tr>
      <w:tr>
        <w:trPr>
          <w:trHeight w:val="608" w:hRule="atLeast"/>
        </w:trPr>
        <w:tc>
          <w:tcPr>
            <w:tcW w:w="900" w:type="dxa"/>
            <w:tcBorders>
              <w:top w:val="nil"/>
            </w:tcBorders>
          </w:tcPr>
          <w:p>
            <w:pPr>
              <w:pStyle w:val="TableParagraph"/>
              <w:rPr>
                <w:rFonts w:ascii="Times New Roman"/>
                <w:sz w:val="20"/>
              </w:rPr>
            </w:pPr>
          </w:p>
        </w:tc>
        <w:tc>
          <w:tcPr>
            <w:tcW w:w="875" w:type="dxa"/>
            <w:vMerge/>
            <w:tcBorders>
              <w:top w:val="nil"/>
            </w:tcBorders>
            <w:textDirection w:val="btLr"/>
          </w:tcPr>
          <w:p>
            <w:pPr>
              <w:rPr>
                <w:sz w:val="2"/>
                <w:szCs w:val="2"/>
              </w:rPr>
            </w:pPr>
          </w:p>
        </w:tc>
        <w:tc>
          <w:tcPr>
            <w:tcW w:w="976" w:type="dxa"/>
            <w:tcBorders>
              <w:top w:val="nil"/>
            </w:tcBorders>
          </w:tcPr>
          <w:p>
            <w:pPr>
              <w:pStyle w:val="TableParagraph"/>
              <w:spacing w:line="254" w:lineRule="exact"/>
              <w:ind w:left="109"/>
              <w:rPr>
                <w:sz w:val="22"/>
              </w:rPr>
            </w:pPr>
            <w:r>
              <w:rPr>
                <w:spacing w:val="-10"/>
                <w:sz w:val="22"/>
              </w:rPr>
              <w:t>3</w:t>
            </w:r>
          </w:p>
        </w:tc>
        <w:tc>
          <w:tcPr>
            <w:tcW w:w="1454" w:type="dxa"/>
            <w:tcBorders>
              <w:top w:val="nil"/>
            </w:tcBorders>
          </w:tcPr>
          <w:p>
            <w:pPr>
              <w:pStyle w:val="TableParagraph"/>
              <w:rPr>
                <w:rFonts w:ascii="Times New Roman"/>
                <w:sz w:val="20"/>
              </w:rPr>
            </w:pPr>
          </w:p>
        </w:tc>
        <w:tc>
          <w:tcPr>
            <w:tcW w:w="2608" w:type="dxa"/>
            <w:tcBorders>
              <w:top w:val="nil"/>
            </w:tcBorders>
          </w:tcPr>
          <w:p>
            <w:pPr>
              <w:pStyle w:val="TableParagraph"/>
              <w:ind w:left="3" w:right="127"/>
              <w:rPr>
                <w:sz w:val="22"/>
              </w:rPr>
            </w:pPr>
            <w:r>
              <w:rPr>
                <w:sz w:val="22"/>
              </w:rPr>
              <w:t>permissible</w:t>
            </w:r>
            <w:r>
              <w:rPr>
                <w:spacing w:val="-18"/>
                <w:sz w:val="22"/>
              </w:rPr>
              <w:t> </w:t>
            </w:r>
            <w:r>
              <w:rPr>
                <w:sz w:val="22"/>
              </w:rPr>
              <w:t>FSI</w:t>
            </w:r>
            <w:r>
              <w:rPr>
                <w:spacing w:val="-18"/>
                <w:sz w:val="22"/>
              </w:rPr>
              <w:t> </w:t>
            </w:r>
            <w:r>
              <w:rPr>
                <w:sz w:val="22"/>
              </w:rPr>
              <w:t>of </w:t>
            </w:r>
            <w:r>
              <w:rPr>
                <w:spacing w:val="-4"/>
                <w:sz w:val="22"/>
              </w:rPr>
              <w:t>0.025</w:t>
            </w:r>
          </w:p>
        </w:tc>
        <w:tc>
          <w:tcPr>
            <w:tcW w:w="2071" w:type="dxa"/>
            <w:vMerge/>
            <w:tcBorders>
              <w:top w:val="nil"/>
            </w:tcBorders>
          </w:tcPr>
          <w:p>
            <w:pPr>
              <w:rPr>
                <w:sz w:val="2"/>
                <w:szCs w:val="2"/>
              </w:rPr>
            </w:pPr>
          </w:p>
        </w:tc>
        <w:tc>
          <w:tcPr>
            <w:tcW w:w="1348" w:type="dxa"/>
            <w:tcBorders>
              <w:top w:val="nil"/>
            </w:tcBorders>
          </w:tcPr>
          <w:p>
            <w:pPr>
              <w:pStyle w:val="TableParagraph"/>
              <w:spacing w:before="91"/>
              <w:ind w:left="151" w:right="133"/>
              <w:jc w:val="center"/>
              <w:rPr>
                <w:sz w:val="22"/>
              </w:rPr>
            </w:pPr>
            <w:r>
              <w:rPr>
                <w:spacing w:val="-10"/>
                <w:sz w:val="22"/>
              </w:rPr>
              <w:t>1</w:t>
            </w:r>
          </w:p>
        </w:tc>
      </w:tr>
      <w:tr>
        <w:trPr>
          <w:trHeight w:val="348" w:hRule="atLeast"/>
        </w:trPr>
        <w:tc>
          <w:tcPr>
            <w:tcW w:w="900" w:type="dxa"/>
            <w:tcBorders>
              <w:bottom w:val="nil"/>
            </w:tcBorders>
          </w:tcPr>
          <w:p>
            <w:pPr>
              <w:pStyle w:val="TableParagraph"/>
              <w:rPr>
                <w:rFonts w:ascii="Times New Roman"/>
                <w:sz w:val="20"/>
              </w:rPr>
            </w:pPr>
          </w:p>
        </w:tc>
        <w:tc>
          <w:tcPr>
            <w:tcW w:w="875" w:type="dxa"/>
            <w:vMerge/>
            <w:tcBorders>
              <w:top w:val="nil"/>
            </w:tcBorders>
            <w:textDirection w:val="btLr"/>
          </w:tcPr>
          <w:p>
            <w:pPr>
              <w:rPr>
                <w:sz w:val="2"/>
                <w:szCs w:val="2"/>
              </w:rPr>
            </w:pPr>
          </w:p>
        </w:tc>
        <w:tc>
          <w:tcPr>
            <w:tcW w:w="976" w:type="dxa"/>
            <w:tcBorders>
              <w:bottom w:val="nil"/>
            </w:tcBorders>
          </w:tcPr>
          <w:p>
            <w:pPr>
              <w:pStyle w:val="TableParagraph"/>
              <w:rPr>
                <w:rFonts w:ascii="Times New Roman"/>
                <w:sz w:val="20"/>
              </w:rPr>
            </w:pPr>
          </w:p>
        </w:tc>
        <w:tc>
          <w:tcPr>
            <w:tcW w:w="1454" w:type="dxa"/>
            <w:tcBorders>
              <w:bottom w:val="nil"/>
            </w:tcBorders>
          </w:tcPr>
          <w:p>
            <w:pPr>
              <w:pStyle w:val="TableParagraph"/>
              <w:rPr>
                <w:rFonts w:ascii="Times New Roman"/>
                <w:sz w:val="20"/>
              </w:rPr>
            </w:pPr>
          </w:p>
        </w:tc>
        <w:tc>
          <w:tcPr>
            <w:tcW w:w="2608" w:type="dxa"/>
            <w:tcBorders>
              <w:bottom w:val="nil"/>
            </w:tcBorders>
          </w:tcPr>
          <w:p>
            <w:pPr>
              <w:pStyle w:val="TableParagraph"/>
              <w:tabs>
                <w:tab w:pos="1003" w:val="left" w:leader="none"/>
                <w:tab w:pos="2233" w:val="left" w:leader="none"/>
              </w:tabs>
              <w:spacing w:line="234" w:lineRule="exact" w:before="94"/>
              <w:ind w:left="3"/>
              <w:rPr>
                <w:sz w:val="22"/>
              </w:rPr>
            </w:pPr>
            <w:r>
              <w:rPr>
                <w:spacing w:val="-2"/>
                <w:sz w:val="22"/>
              </w:rPr>
              <w:t>Sports</w:t>
            </w:r>
            <w:r>
              <w:rPr>
                <w:sz w:val="22"/>
              </w:rPr>
              <w:tab/>
            </w:r>
            <w:r>
              <w:rPr>
                <w:spacing w:val="-2"/>
                <w:sz w:val="22"/>
              </w:rPr>
              <w:t>Complex</w:t>
            </w:r>
            <w:r>
              <w:rPr>
                <w:sz w:val="22"/>
              </w:rPr>
              <w:tab/>
            </w:r>
            <w:r>
              <w:rPr>
                <w:spacing w:val="-5"/>
                <w:sz w:val="22"/>
              </w:rPr>
              <w:t>for</w:t>
            </w:r>
          </w:p>
        </w:tc>
        <w:tc>
          <w:tcPr>
            <w:tcW w:w="2071" w:type="dxa"/>
            <w:tcBorders>
              <w:bottom w:val="nil"/>
            </w:tcBorders>
          </w:tcPr>
          <w:p>
            <w:pPr>
              <w:pStyle w:val="TableParagraph"/>
              <w:spacing w:line="234" w:lineRule="exact" w:before="94"/>
              <w:ind w:left="112"/>
              <w:rPr>
                <w:sz w:val="22"/>
              </w:rPr>
            </w:pPr>
            <w:r>
              <w:rPr>
                <w:sz w:val="22"/>
              </w:rPr>
              <w:t>Open</w:t>
            </w:r>
            <w:r>
              <w:rPr>
                <w:spacing w:val="71"/>
                <w:w w:val="150"/>
                <w:sz w:val="22"/>
              </w:rPr>
              <w:t> </w:t>
            </w:r>
            <w:r>
              <w:rPr>
                <w:sz w:val="22"/>
              </w:rPr>
              <w:t>air</w:t>
            </w:r>
            <w:r>
              <w:rPr>
                <w:spacing w:val="69"/>
                <w:w w:val="150"/>
                <w:sz w:val="22"/>
              </w:rPr>
              <w:t> </w:t>
            </w:r>
            <w:r>
              <w:rPr>
                <w:spacing w:val="-2"/>
                <w:sz w:val="22"/>
              </w:rPr>
              <w:t>stage,</w:t>
            </w:r>
          </w:p>
        </w:tc>
        <w:tc>
          <w:tcPr>
            <w:tcW w:w="1348" w:type="dxa"/>
            <w:tcBorders>
              <w:bottom w:val="nil"/>
            </w:tcBorders>
          </w:tcPr>
          <w:p>
            <w:pPr>
              <w:pStyle w:val="TableParagraph"/>
              <w:rPr>
                <w:rFonts w:ascii="Times New Roman"/>
                <w:sz w:val="20"/>
              </w:rPr>
            </w:pPr>
          </w:p>
        </w:tc>
      </w:tr>
      <w:tr>
        <w:trPr>
          <w:trHeight w:val="249"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tabs>
                <w:tab w:pos="1012" w:val="left" w:leader="none"/>
                <w:tab w:pos="1448" w:val="left" w:leader="none"/>
              </w:tabs>
              <w:spacing w:line="229" w:lineRule="exact"/>
              <w:ind w:left="3"/>
              <w:rPr>
                <w:sz w:val="22"/>
              </w:rPr>
            </w:pPr>
            <w:r>
              <w:rPr>
                <w:spacing w:val="-2"/>
                <w:sz w:val="22"/>
              </w:rPr>
              <w:t>various</w:t>
            </w:r>
            <w:r>
              <w:rPr>
                <w:sz w:val="22"/>
              </w:rPr>
              <w:tab/>
            </w:r>
            <w:r>
              <w:rPr>
                <w:spacing w:val="-5"/>
                <w:sz w:val="22"/>
              </w:rPr>
              <w:t>or</w:t>
            </w:r>
            <w:r>
              <w:rPr>
                <w:sz w:val="22"/>
              </w:rPr>
              <w:tab/>
            </w:r>
            <w:r>
              <w:rPr>
                <w:spacing w:val="-2"/>
                <w:sz w:val="22"/>
              </w:rPr>
              <w:t>individual</w:t>
            </w:r>
          </w:p>
        </w:tc>
        <w:tc>
          <w:tcPr>
            <w:tcW w:w="2071" w:type="dxa"/>
            <w:tcBorders>
              <w:top w:val="nil"/>
              <w:bottom w:val="nil"/>
            </w:tcBorders>
          </w:tcPr>
          <w:p>
            <w:pPr>
              <w:pStyle w:val="TableParagraph"/>
              <w:spacing w:line="229" w:lineRule="exact"/>
              <w:ind w:left="112"/>
              <w:rPr>
                <w:sz w:val="22"/>
              </w:rPr>
            </w:pPr>
            <w:r>
              <w:rPr>
                <w:spacing w:val="-2"/>
                <w:sz w:val="22"/>
              </w:rPr>
              <w:t>cafeteria,</w:t>
            </w:r>
          </w:p>
        </w:tc>
        <w:tc>
          <w:tcPr>
            <w:tcW w:w="1348" w:type="dxa"/>
            <w:tcBorders>
              <w:top w:val="nil"/>
              <w:bottom w:val="nil"/>
            </w:tcBorders>
          </w:tcPr>
          <w:p>
            <w:pPr>
              <w:pStyle w:val="TableParagraph"/>
              <w:rPr>
                <w:rFonts w:ascii="Times New Roman"/>
                <w:sz w:val="18"/>
              </w:rPr>
            </w:pPr>
          </w:p>
        </w:tc>
      </w:tr>
      <w:tr>
        <w:trPr>
          <w:trHeight w:val="248"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tabs>
                <w:tab w:pos="1680" w:val="left" w:leader="none"/>
              </w:tabs>
              <w:spacing w:line="228" w:lineRule="exact"/>
              <w:ind w:left="3"/>
              <w:rPr>
                <w:sz w:val="22"/>
              </w:rPr>
            </w:pPr>
            <w:r>
              <w:rPr>
                <w:spacing w:val="-2"/>
                <w:sz w:val="22"/>
              </w:rPr>
              <w:t>sports</w:t>
            </w:r>
            <w:r>
              <w:rPr>
                <w:sz w:val="22"/>
              </w:rPr>
              <w:tab/>
            </w:r>
            <w:r>
              <w:rPr>
                <w:spacing w:val="-2"/>
                <w:sz w:val="22"/>
              </w:rPr>
              <w:t>activity,</w:t>
            </w:r>
          </w:p>
        </w:tc>
        <w:tc>
          <w:tcPr>
            <w:tcW w:w="2071" w:type="dxa"/>
            <w:tcBorders>
              <w:top w:val="nil"/>
              <w:bottom w:val="nil"/>
            </w:tcBorders>
          </w:tcPr>
          <w:p>
            <w:pPr>
              <w:pStyle w:val="TableParagraph"/>
              <w:tabs>
                <w:tab w:pos="1558" w:val="left" w:leader="none"/>
              </w:tabs>
              <w:spacing w:line="228" w:lineRule="exact"/>
              <w:ind w:left="112"/>
              <w:rPr>
                <w:sz w:val="22"/>
              </w:rPr>
            </w:pPr>
            <w:r>
              <w:rPr>
                <w:spacing w:val="-2"/>
                <w:sz w:val="22"/>
              </w:rPr>
              <w:t>restaurant,</w:t>
            </w:r>
            <w:r>
              <w:rPr>
                <w:sz w:val="22"/>
              </w:rPr>
              <w:tab/>
            </w:r>
            <w:r>
              <w:rPr>
                <w:spacing w:val="-4"/>
                <w:sz w:val="22"/>
              </w:rPr>
              <w:t>rest</w:t>
            </w:r>
          </w:p>
        </w:tc>
        <w:tc>
          <w:tcPr>
            <w:tcW w:w="1348" w:type="dxa"/>
            <w:tcBorders>
              <w:top w:val="nil"/>
              <w:bottom w:val="nil"/>
            </w:tcBorders>
          </w:tcPr>
          <w:p>
            <w:pPr>
              <w:pStyle w:val="TableParagraph"/>
              <w:rPr>
                <w:rFonts w:ascii="Times New Roman"/>
                <w:sz w:val="18"/>
              </w:rPr>
            </w:pPr>
          </w:p>
        </w:tc>
      </w:tr>
      <w:tr>
        <w:trPr>
          <w:trHeight w:val="247"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tabs>
                <w:tab w:pos="1824" w:val="left" w:leader="none"/>
              </w:tabs>
              <w:spacing w:line="228" w:lineRule="exact"/>
              <w:ind w:left="3"/>
              <w:rPr>
                <w:sz w:val="22"/>
              </w:rPr>
            </w:pPr>
            <w:r>
              <w:rPr>
                <w:spacing w:val="-2"/>
                <w:sz w:val="22"/>
              </w:rPr>
              <w:t>Enclosed</w:t>
            </w:r>
            <w:r>
              <w:rPr>
                <w:sz w:val="22"/>
              </w:rPr>
              <w:tab/>
            </w:r>
            <w:r>
              <w:rPr>
                <w:spacing w:val="-2"/>
                <w:sz w:val="22"/>
              </w:rPr>
              <w:t>Sports</w:t>
            </w:r>
          </w:p>
        </w:tc>
        <w:tc>
          <w:tcPr>
            <w:tcW w:w="2071" w:type="dxa"/>
            <w:tcBorders>
              <w:top w:val="nil"/>
              <w:bottom w:val="nil"/>
            </w:tcBorders>
          </w:tcPr>
          <w:p>
            <w:pPr>
              <w:pStyle w:val="TableParagraph"/>
              <w:spacing w:line="228" w:lineRule="exact"/>
              <w:ind w:left="112"/>
              <w:rPr>
                <w:sz w:val="22"/>
              </w:rPr>
            </w:pPr>
            <w:r>
              <w:rPr>
                <w:sz w:val="22"/>
              </w:rPr>
              <mc:AlternateContent>
                <mc:Choice Requires="wps">
                  <w:drawing>
                    <wp:anchor distT="0" distB="0" distL="0" distR="0" allowOverlap="1" layoutInCell="1" locked="0" behindDoc="1" simplePos="0" relativeHeight="471346688">
                      <wp:simplePos x="0" y="0"/>
                      <wp:positionH relativeFrom="column">
                        <wp:posOffset>627887</wp:posOffset>
                      </wp:positionH>
                      <wp:positionV relativeFrom="paragraph">
                        <wp:posOffset>-2933</wp:posOffset>
                      </wp:positionV>
                      <wp:extent cx="44450" cy="163195"/>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44450" cy="163195"/>
                                <a:chExt cx="44450" cy="163195"/>
                              </a:xfrm>
                            </wpg:grpSpPr>
                            <wps:wsp>
                              <wps:cNvPr id="134" name="Graphic 134"/>
                              <wps:cNvSpPr/>
                              <wps:spPr>
                                <a:xfrm>
                                  <a:off x="0" y="0"/>
                                  <a:ext cx="44450" cy="163195"/>
                                </a:xfrm>
                                <a:custGeom>
                                  <a:avLst/>
                                  <a:gdLst/>
                                  <a:ahLst/>
                                  <a:cxnLst/>
                                  <a:rect l="l" t="t" r="r" b="b"/>
                                  <a:pathLst>
                                    <a:path w="44450" h="163195">
                                      <a:moveTo>
                                        <a:pt x="44196" y="0"/>
                                      </a:moveTo>
                                      <a:lnTo>
                                        <a:pt x="0" y="0"/>
                                      </a:lnTo>
                                      <a:lnTo>
                                        <a:pt x="0" y="163067"/>
                                      </a:lnTo>
                                      <a:lnTo>
                                        <a:pt x="44196" y="163067"/>
                                      </a:lnTo>
                                      <a:lnTo>
                                        <a:pt x="44196" y="0"/>
                                      </a:lnTo>
                                      <a:close/>
                                    </a:path>
                                  </a:pathLst>
                                </a:custGeom>
                                <a:solidFill>
                                  <a:srgbClr val="FFCCFF"/>
                                </a:solidFill>
                              </wps:spPr>
                              <wps:bodyPr wrap="square" lIns="0" tIns="0" rIns="0" bIns="0" rtlCol="0">
                                <a:prstTxWarp prst="textNoShape">
                                  <a:avLst/>
                                </a:prstTxWarp>
                                <a:noAutofit/>
                              </wps:bodyPr>
                            </wps:wsp>
                          </wpg:wgp>
                        </a:graphicData>
                      </a:graphic>
                    </wp:anchor>
                  </w:drawing>
                </mc:Choice>
                <mc:Fallback>
                  <w:pict>
                    <v:group style="position:absolute;margin-left:49.439995pt;margin-top:-.231016pt;width:3.5pt;height:12.85pt;mso-position-horizontal-relative:column;mso-position-vertical-relative:paragraph;z-index:-31969792" id="docshapegroup111" coordorigin="989,-5" coordsize="70,257">
                      <v:rect style="position:absolute;left:988;top:-5;width:70;height:257" id="docshape112" filled="true" fillcolor="#ffccff" stroked="false">
                        <v:fill type="solid"/>
                      </v:rect>
                      <w10:wrap type="none"/>
                    </v:group>
                  </w:pict>
                </mc:Fallback>
              </mc:AlternateContent>
            </w:r>
            <w:r>
              <w:rPr>
                <w:sz w:val="22"/>
              </w:rPr>
              <w:t>rooms,</w:t>
            </w:r>
            <w:r>
              <w:rPr>
                <w:spacing w:val="71"/>
                <w:sz w:val="22"/>
              </w:rPr>
              <w:t> </w:t>
            </w:r>
            <w:r>
              <w:rPr>
                <w:sz w:val="22"/>
              </w:rPr>
              <w:t>,</w:t>
            </w:r>
            <w:r>
              <w:rPr>
                <w:spacing w:val="70"/>
                <w:sz w:val="22"/>
              </w:rPr>
              <w:t> </w:t>
            </w:r>
            <w:r>
              <w:rPr>
                <w:spacing w:val="-2"/>
                <w:sz w:val="22"/>
              </w:rPr>
              <w:t>welfare</w:t>
            </w:r>
          </w:p>
        </w:tc>
        <w:tc>
          <w:tcPr>
            <w:tcW w:w="1348" w:type="dxa"/>
            <w:tcBorders>
              <w:top w:val="nil"/>
              <w:bottom w:val="nil"/>
            </w:tcBorders>
          </w:tcPr>
          <w:p>
            <w:pPr>
              <w:pStyle w:val="TableParagraph"/>
              <w:rPr>
                <w:rFonts w:ascii="Times New Roman"/>
                <w:sz w:val="18"/>
              </w:rPr>
            </w:pPr>
          </w:p>
        </w:tc>
      </w:tr>
      <w:tr>
        <w:trPr>
          <w:trHeight w:val="1023" w:hRule="atLeast"/>
        </w:trPr>
        <w:tc>
          <w:tcPr>
            <w:tcW w:w="900" w:type="dxa"/>
            <w:tcBorders>
              <w:top w:val="nil"/>
              <w:bottom w:val="nil"/>
            </w:tcBorders>
          </w:tcPr>
          <w:p>
            <w:pPr>
              <w:pStyle w:val="TableParagraph"/>
              <w:spacing w:before="24"/>
              <w:ind w:left="10"/>
              <w:jc w:val="center"/>
              <w:rPr>
                <w:sz w:val="22"/>
              </w:rPr>
            </w:pPr>
            <w:r>
              <w:rPr>
                <w:spacing w:val="-10"/>
                <w:sz w:val="22"/>
              </w:rPr>
              <w:t>3</w:t>
            </w: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spacing w:before="24"/>
              <w:ind w:left="109" w:right="160"/>
              <w:rPr>
                <w:sz w:val="22"/>
              </w:rPr>
            </w:pPr>
            <w:r>
              <w:rPr>
                <w:spacing w:val="-2"/>
                <w:sz w:val="22"/>
              </w:rPr>
              <w:t>ROS2. </w:t>
            </w:r>
            <w:r>
              <w:rPr>
                <w:spacing w:val="-10"/>
                <w:sz w:val="22"/>
              </w:rPr>
              <w:t>4</w:t>
            </w:r>
          </w:p>
        </w:tc>
        <w:tc>
          <w:tcPr>
            <w:tcW w:w="1454" w:type="dxa"/>
            <w:tcBorders>
              <w:top w:val="nil"/>
              <w:bottom w:val="nil"/>
            </w:tcBorders>
          </w:tcPr>
          <w:p>
            <w:pPr>
              <w:pStyle w:val="TableParagraph"/>
              <w:spacing w:before="24"/>
              <w:ind w:left="221"/>
              <w:rPr>
                <w:sz w:val="22"/>
              </w:rPr>
            </w:pPr>
            <w:r>
              <w:rPr>
                <w:spacing w:val="-2"/>
                <w:sz w:val="22"/>
              </w:rPr>
              <w:t>Municipal Sports Complex</w:t>
            </w:r>
          </w:p>
        </w:tc>
        <w:tc>
          <w:tcPr>
            <w:tcW w:w="2608" w:type="dxa"/>
            <w:tcBorders>
              <w:top w:val="nil"/>
              <w:bottom w:val="nil"/>
            </w:tcBorders>
          </w:tcPr>
          <w:p>
            <w:pPr>
              <w:pStyle w:val="TableParagraph"/>
              <w:tabs>
                <w:tab w:pos="1785" w:val="left" w:leader="none"/>
              </w:tabs>
              <w:ind w:left="3" w:right="73"/>
              <w:jc w:val="both"/>
              <w:rPr>
                <w:sz w:val="22"/>
              </w:rPr>
            </w:pPr>
            <w:r>
              <w:rPr>
                <w:sz w:val="22"/>
              </w:rPr>
              <w:t>Facility for indoor games, Facility </w:t>
            </w:r>
            <w:r>
              <w:rPr>
                <w:sz w:val="22"/>
              </w:rPr>
              <w:t>for </w:t>
            </w:r>
            <w:r>
              <w:rPr>
                <w:spacing w:val="-2"/>
                <w:sz w:val="22"/>
              </w:rPr>
              <w:t>Indian</w:t>
            </w:r>
            <w:r>
              <w:rPr>
                <w:sz w:val="22"/>
              </w:rPr>
              <w:tab/>
            </w:r>
            <w:r>
              <w:rPr>
                <w:spacing w:val="-2"/>
                <w:sz w:val="22"/>
              </w:rPr>
              <w:t>sports,</w:t>
            </w:r>
          </w:p>
          <w:p>
            <w:pPr>
              <w:pStyle w:val="TableParagraph"/>
              <w:spacing w:line="233" w:lineRule="exact"/>
              <w:ind w:left="3"/>
              <w:rPr>
                <w:sz w:val="22"/>
              </w:rPr>
            </w:pPr>
            <w:r>
              <w:rPr>
                <w:spacing w:val="-2"/>
                <w:sz w:val="22"/>
              </w:rPr>
              <w:t>Gymnasium,</w:t>
            </w:r>
          </w:p>
        </w:tc>
        <w:tc>
          <w:tcPr>
            <w:tcW w:w="2071" w:type="dxa"/>
            <w:tcBorders>
              <w:top w:val="nil"/>
              <w:bottom w:val="nil"/>
            </w:tcBorders>
          </w:tcPr>
          <w:p>
            <w:pPr>
              <w:pStyle w:val="TableParagraph"/>
              <w:ind w:left="112" w:right="93"/>
              <w:jc w:val="both"/>
              <w:rPr>
                <w:sz w:val="22"/>
              </w:rPr>
            </w:pPr>
            <w:r>
              <w:rPr>
                <w:sz w:val="22"/>
              </w:rPr>
              <w:t>activities, </w:t>
            </w:r>
            <w:r>
              <w:rPr>
                <w:sz w:val="22"/>
              </w:rPr>
              <w:t>social and cultural </w:t>
            </w:r>
            <w:r>
              <w:rPr>
                <w:spacing w:val="-2"/>
                <w:sz w:val="22"/>
              </w:rPr>
              <w:t>activity\amenitie</w:t>
            </w:r>
          </w:p>
          <w:p>
            <w:pPr>
              <w:pStyle w:val="TableParagraph"/>
              <w:spacing w:line="233" w:lineRule="exact"/>
              <w:ind w:left="112"/>
              <w:jc w:val="both"/>
              <w:rPr>
                <w:sz w:val="22"/>
              </w:rPr>
            </w:pPr>
            <w:r>
              <w:rPr>
                <w:sz w:val="22"/>
              </w:rPr>
              <w:t>s,</w:t>
            </w:r>
            <w:r>
              <w:rPr>
                <w:spacing w:val="48"/>
                <w:w w:val="150"/>
                <w:sz w:val="22"/>
              </w:rPr>
              <w:t>   </w:t>
            </w:r>
            <w:r>
              <w:rPr>
                <w:sz w:val="22"/>
              </w:rPr>
              <w:t>Art</w:t>
            </w:r>
            <w:r>
              <w:rPr>
                <w:spacing w:val="48"/>
                <w:w w:val="150"/>
                <w:sz w:val="22"/>
              </w:rPr>
              <w:t>   </w:t>
            </w:r>
            <w:r>
              <w:rPr>
                <w:spacing w:val="-5"/>
                <w:sz w:val="22"/>
              </w:rPr>
              <w:t>and</w:t>
            </w:r>
          </w:p>
        </w:tc>
        <w:tc>
          <w:tcPr>
            <w:tcW w:w="1348" w:type="dxa"/>
            <w:tcBorders>
              <w:top w:val="nil"/>
              <w:bottom w:val="nil"/>
            </w:tcBorders>
          </w:tcPr>
          <w:p>
            <w:pPr>
              <w:pStyle w:val="TableParagraph"/>
              <w:spacing w:before="121"/>
              <w:rPr>
                <w:b/>
                <w:i/>
                <w:sz w:val="22"/>
              </w:rPr>
            </w:pPr>
          </w:p>
          <w:p>
            <w:pPr>
              <w:pStyle w:val="TableParagraph"/>
              <w:ind w:left="223" w:right="422"/>
              <w:rPr>
                <w:sz w:val="22"/>
              </w:rPr>
            </w:pPr>
            <w:r>
              <w:rPr>
                <w:spacing w:val="-6"/>
                <w:sz w:val="22"/>
              </w:rPr>
              <w:t>1, </w:t>
            </w:r>
            <w:r>
              <w:rPr>
                <w:spacing w:val="-2"/>
                <w:sz w:val="22"/>
              </w:rPr>
              <w:t>Zb=15</w:t>
            </w:r>
          </w:p>
        </w:tc>
      </w:tr>
      <w:tr>
        <w:trPr>
          <w:trHeight w:val="248"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spacing w:line="228" w:lineRule="exact"/>
              <w:ind w:left="3"/>
              <w:rPr>
                <w:sz w:val="22"/>
              </w:rPr>
            </w:pPr>
            <w:r>
              <w:rPr>
                <w:sz w:val="22"/>
              </w:rPr>
              <w:t>Swimming</w:t>
            </w:r>
            <w:r>
              <w:rPr>
                <w:spacing w:val="-8"/>
                <w:sz w:val="22"/>
              </w:rPr>
              <w:t> </w:t>
            </w:r>
            <w:r>
              <w:rPr>
                <w:sz w:val="22"/>
              </w:rPr>
              <w:t>Pool,</w:t>
            </w:r>
            <w:r>
              <w:rPr>
                <w:spacing w:val="-8"/>
                <w:sz w:val="22"/>
              </w:rPr>
              <w:t> </w:t>
            </w:r>
            <w:r>
              <w:rPr>
                <w:spacing w:val="-4"/>
                <w:sz w:val="22"/>
              </w:rPr>
              <w:t>Drama</w:t>
            </w:r>
          </w:p>
        </w:tc>
        <w:tc>
          <w:tcPr>
            <w:tcW w:w="2071" w:type="dxa"/>
            <w:tcBorders>
              <w:top w:val="nil"/>
              <w:bottom w:val="nil"/>
            </w:tcBorders>
          </w:tcPr>
          <w:p>
            <w:pPr>
              <w:pStyle w:val="TableParagraph"/>
              <w:tabs>
                <w:tab w:pos="1229" w:val="left" w:leader="none"/>
              </w:tabs>
              <w:spacing w:line="228" w:lineRule="exact"/>
              <w:ind w:left="112"/>
              <w:rPr>
                <w:sz w:val="22"/>
              </w:rPr>
            </w:pPr>
            <w:r>
              <w:rPr>
                <w:spacing w:val="-2"/>
                <w:sz w:val="22"/>
              </w:rPr>
              <w:t>culture</w:t>
            </w:r>
            <w:r>
              <w:rPr>
                <w:sz w:val="22"/>
              </w:rPr>
              <w:tab/>
            </w:r>
            <w:r>
              <w:rPr>
                <w:spacing w:val="-2"/>
                <w:sz w:val="22"/>
              </w:rPr>
              <w:t>related</w:t>
            </w:r>
          </w:p>
        </w:tc>
        <w:tc>
          <w:tcPr>
            <w:tcW w:w="1348" w:type="dxa"/>
            <w:tcBorders>
              <w:top w:val="nil"/>
              <w:bottom w:val="nil"/>
            </w:tcBorders>
          </w:tcPr>
          <w:p>
            <w:pPr>
              <w:pStyle w:val="TableParagraph"/>
              <w:rPr>
                <w:rFonts w:ascii="Times New Roman"/>
                <w:sz w:val="18"/>
              </w:rPr>
            </w:pPr>
          </w:p>
        </w:tc>
      </w:tr>
      <w:tr>
        <w:trPr>
          <w:trHeight w:val="248"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spacing w:line="228" w:lineRule="exact"/>
              <w:ind w:left="3"/>
              <w:rPr>
                <w:sz w:val="22"/>
              </w:rPr>
            </w:pPr>
            <w:r>
              <w:rPr>
                <w:sz w:val="22"/>
              </w:rPr>
              <w:t>Theater,</w:t>
            </w:r>
            <w:r>
              <w:rPr>
                <w:spacing w:val="73"/>
                <w:w w:val="150"/>
                <w:sz w:val="22"/>
              </w:rPr>
              <w:t> </w:t>
            </w:r>
            <w:r>
              <w:rPr>
                <w:sz w:val="22"/>
              </w:rPr>
              <w:t>Public</w:t>
            </w:r>
            <w:r>
              <w:rPr>
                <w:spacing w:val="74"/>
                <w:w w:val="150"/>
                <w:sz w:val="22"/>
              </w:rPr>
              <w:t> </w:t>
            </w:r>
            <w:r>
              <w:rPr>
                <w:spacing w:val="-2"/>
                <w:sz w:val="22"/>
              </w:rPr>
              <w:t>Toilet</w:t>
            </w:r>
          </w:p>
        </w:tc>
        <w:tc>
          <w:tcPr>
            <w:tcW w:w="2071" w:type="dxa"/>
            <w:tcBorders>
              <w:top w:val="nil"/>
              <w:bottom w:val="nil"/>
            </w:tcBorders>
          </w:tcPr>
          <w:p>
            <w:pPr>
              <w:pStyle w:val="TableParagraph"/>
              <w:tabs>
                <w:tab w:pos="1319" w:val="left" w:leader="none"/>
              </w:tabs>
              <w:spacing w:line="228" w:lineRule="exact"/>
              <w:ind w:left="112"/>
              <w:rPr>
                <w:sz w:val="22"/>
              </w:rPr>
            </w:pPr>
            <w:r>
              <w:rPr>
                <w:spacing w:val="-2"/>
                <w:sz w:val="22"/>
              </w:rPr>
              <w:t>uses,</w:t>
            </w:r>
            <w:r>
              <w:rPr>
                <w:sz w:val="22"/>
              </w:rPr>
              <w:tab/>
            </w:r>
            <w:r>
              <w:rPr>
                <w:spacing w:val="-2"/>
                <w:sz w:val="22"/>
              </w:rPr>
              <w:t>hostel</w:t>
            </w:r>
          </w:p>
        </w:tc>
        <w:tc>
          <w:tcPr>
            <w:tcW w:w="1348" w:type="dxa"/>
            <w:tcBorders>
              <w:top w:val="nil"/>
              <w:bottom w:val="nil"/>
            </w:tcBorders>
          </w:tcPr>
          <w:p>
            <w:pPr>
              <w:pStyle w:val="TableParagraph"/>
              <w:rPr>
                <w:rFonts w:ascii="Times New Roman"/>
                <w:sz w:val="18"/>
              </w:rPr>
            </w:pPr>
          </w:p>
        </w:tc>
      </w:tr>
      <w:tr>
        <w:trPr>
          <w:trHeight w:val="247"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tabs>
                <w:tab w:pos="1493" w:val="left" w:leader="none"/>
              </w:tabs>
              <w:spacing w:line="228" w:lineRule="exact"/>
              <w:ind w:left="3"/>
              <w:rPr>
                <w:sz w:val="22"/>
              </w:rPr>
            </w:pPr>
            <w:r>
              <w:rPr>
                <w:spacing w:val="-2"/>
                <w:sz w:val="22"/>
              </w:rPr>
              <w:t>facilities,</w:t>
            </w:r>
            <w:r>
              <w:rPr>
                <w:sz w:val="22"/>
              </w:rPr>
              <w:tab/>
            </w:r>
            <w:r>
              <w:rPr>
                <w:spacing w:val="-2"/>
                <w:sz w:val="22"/>
              </w:rPr>
              <w:t>Changing</w:t>
            </w:r>
          </w:p>
        </w:tc>
        <w:tc>
          <w:tcPr>
            <w:tcW w:w="2071" w:type="dxa"/>
            <w:tcBorders>
              <w:top w:val="nil"/>
              <w:bottom w:val="nil"/>
            </w:tcBorders>
          </w:tcPr>
          <w:p>
            <w:pPr>
              <w:pStyle w:val="TableParagraph"/>
              <w:spacing w:line="228" w:lineRule="exact"/>
              <w:ind w:left="112"/>
              <w:rPr>
                <w:sz w:val="22"/>
              </w:rPr>
            </w:pPr>
            <w:r>
              <w:rPr>
                <w:sz w:val="22"/>
              </w:rPr>
              <w:t>rooms</w:t>
            </w:r>
            <w:r>
              <w:rPr>
                <w:spacing w:val="32"/>
                <w:sz w:val="22"/>
              </w:rPr>
              <w:t> </w:t>
            </w:r>
            <w:r>
              <w:rPr>
                <w:sz w:val="22"/>
              </w:rPr>
              <w:t>and</w:t>
            </w:r>
            <w:r>
              <w:rPr>
                <w:spacing w:val="32"/>
                <w:sz w:val="22"/>
              </w:rPr>
              <w:t> </w:t>
            </w:r>
            <w:r>
              <w:rPr>
                <w:spacing w:val="-4"/>
                <w:sz w:val="22"/>
              </w:rPr>
              <w:t>other</w:t>
            </w:r>
          </w:p>
        </w:tc>
        <w:tc>
          <w:tcPr>
            <w:tcW w:w="1348" w:type="dxa"/>
            <w:tcBorders>
              <w:top w:val="nil"/>
              <w:bottom w:val="nil"/>
            </w:tcBorders>
          </w:tcPr>
          <w:p>
            <w:pPr>
              <w:pStyle w:val="TableParagraph"/>
              <w:rPr>
                <w:rFonts w:ascii="Times New Roman"/>
                <w:sz w:val="18"/>
              </w:rPr>
            </w:pPr>
          </w:p>
        </w:tc>
      </w:tr>
      <w:tr>
        <w:trPr>
          <w:trHeight w:val="249"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spacing w:line="229" w:lineRule="exact"/>
              <w:ind w:left="3"/>
              <w:rPr>
                <w:sz w:val="22"/>
              </w:rPr>
            </w:pPr>
            <w:r>
              <w:rPr>
                <w:sz w:val="22"/>
              </w:rPr>
              <w:t>Rooms,</w:t>
            </w:r>
            <w:r>
              <w:rPr>
                <w:spacing w:val="-8"/>
                <w:sz w:val="22"/>
              </w:rPr>
              <w:t> </w:t>
            </w:r>
            <w:r>
              <w:rPr>
                <w:sz w:val="22"/>
              </w:rPr>
              <w:t>Locker</w:t>
            </w:r>
            <w:r>
              <w:rPr>
                <w:spacing w:val="-6"/>
                <w:sz w:val="22"/>
              </w:rPr>
              <w:t> </w:t>
            </w:r>
            <w:r>
              <w:rPr>
                <w:spacing w:val="-4"/>
                <w:sz w:val="22"/>
              </w:rPr>
              <w:t>Room</w:t>
            </w:r>
          </w:p>
        </w:tc>
        <w:tc>
          <w:tcPr>
            <w:tcW w:w="2071" w:type="dxa"/>
            <w:tcBorders>
              <w:top w:val="nil"/>
              <w:bottom w:val="nil"/>
            </w:tcBorders>
          </w:tcPr>
          <w:p>
            <w:pPr>
              <w:pStyle w:val="TableParagraph"/>
              <w:spacing w:line="229" w:lineRule="exact"/>
              <w:ind w:left="112"/>
              <w:rPr>
                <w:sz w:val="22"/>
              </w:rPr>
            </w:pPr>
            <w:r>
              <w:rPr>
                <w:spacing w:val="-2"/>
                <w:sz w:val="22"/>
              </w:rPr>
              <w:t>ancillary</w:t>
            </w:r>
          </w:p>
        </w:tc>
        <w:tc>
          <w:tcPr>
            <w:tcW w:w="1348" w:type="dxa"/>
            <w:tcBorders>
              <w:top w:val="nil"/>
              <w:bottom w:val="nil"/>
            </w:tcBorders>
          </w:tcPr>
          <w:p>
            <w:pPr>
              <w:pStyle w:val="TableParagraph"/>
              <w:rPr>
                <w:rFonts w:ascii="Times New Roman"/>
                <w:sz w:val="18"/>
              </w:rPr>
            </w:pPr>
          </w:p>
        </w:tc>
      </w:tr>
      <w:tr>
        <w:trPr>
          <w:trHeight w:val="248"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rPr>
                <w:rFonts w:ascii="Times New Roman"/>
                <w:sz w:val="18"/>
              </w:rPr>
            </w:pPr>
          </w:p>
        </w:tc>
        <w:tc>
          <w:tcPr>
            <w:tcW w:w="2071" w:type="dxa"/>
            <w:tcBorders>
              <w:top w:val="nil"/>
              <w:bottom w:val="nil"/>
            </w:tcBorders>
          </w:tcPr>
          <w:p>
            <w:pPr>
              <w:pStyle w:val="TableParagraph"/>
              <w:spacing w:line="228" w:lineRule="exact"/>
              <w:ind w:left="112"/>
              <w:rPr>
                <w:sz w:val="22"/>
              </w:rPr>
            </w:pPr>
            <w:r>
              <w:rPr>
                <w:spacing w:val="-2"/>
                <w:sz w:val="22"/>
              </w:rPr>
              <w:t>facilities</w:t>
            </w:r>
          </w:p>
        </w:tc>
        <w:tc>
          <w:tcPr>
            <w:tcW w:w="1348" w:type="dxa"/>
            <w:tcBorders>
              <w:top w:val="nil"/>
              <w:bottom w:val="nil"/>
            </w:tcBorders>
          </w:tcPr>
          <w:p>
            <w:pPr>
              <w:pStyle w:val="TableParagraph"/>
              <w:rPr>
                <w:rFonts w:ascii="Times New Roman"/>
                <w:sz w:val="18"/>
              </w:rPr>
            </w:pPr>
          </w:p>
        </w:tc>
      </w:tr>
      <w:tr>
        <w:trPr>
          <w:trHeight w:val="247"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rPr>
                <w:rFonts w:ascii="Times New Roman"/>
                <w:sz w:val="18"/>
              </w:rPr>
            </w:pPr>
          </w:p>
        </w:tc>
        <w:tc>
          <w:tcPr>
            <w:tcW w:w="2071" w:type="dxa"/>
            <w:tcBorders>
              <w:top w:val="nil"/>
              <w:bottom w:val="nil"/>
            </w:tcBorders>
          </w:tcPr>
          <w:p>
            <w:pPr>
              <w:pStyle w:val="TableParagraph"/>
              <w:spacing w:line="228" w:lineRule="exact"/>
              <w:ind w:left="112"/>
              <w:rPr>
                <w:sz w:val="22"/>
              </w:rPr>
            </w:pPr>
            <w:r>
              <w:rPr>
                <w:spacing w:val="-2"/>
                <w:sz w:val="22"/>
              </w:rPr>
              <w:t>watchman’s</w:t>
            </w:r>
          </w:p>
        </w:tc>
        <w:tc>
          <w:tcPr>
            <w:tcW w:w="1348" w:type="dxa"/>
            <w:tcBorders>
              <w:top w:val="nil"/>
              <w:bottom w:val="nil"/>
            </w:tcBorders>
          </w:tcPr>
          <w:p>
            <w:pPr>
              <w:pStyle w:val="TableParagraph"/>
              <w:rPr>
                <w:rFonts w:ascii="Times New Roman"/>
                <w:sz w:val="18"/>
              </w:rPr>
            </w:pPr>
          </w:p>
        </w:tc>
      </w:tr>
      <w:tr>
        <w:trPr>
          <w:trHeight w:val="247"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rPr>
                <w:rFonts w:ascii="Times New Roman"/>
                <w:sz w:val="18"/>
              </w:rPr>
            </w:pPr>
          </w:p>
        </w:tc>
        <w:tc>
          <w:tcPr>
            <w:tcW w:w="2071" w:type="dxa"/>
            <w:tcBorders>
              <w:top w:val="nil"/>
              <w:bottom w:val="nil"/>
            </w:tcBorders>
          </w:tcPr>
          <w:p>
            <w:pPr>
              <w:pStyle w:val="TableParagraph"/>
              <w:spacing w:line="228" w:lineRule="exact"/>
              <w:ind w:left="112"/>
              <w:rPr>
                <w:sz w:val="22"/>
              </w:rPr>
            </w:pPr>
            <w:r>
              <w:rPr>
                <w:sz w:val="22"/>
              </w:rPr>
              <w:t>cabin,</w:t>
            </w:r>
            <w:r>
              <w:rPr>
                <w:spacing w:val="3"/>
                <w:sz w:val="22"/>
              </w:rPr>
              <w:t> </w:t>
            </w:r>
            <w:r>
              <w:rPr>
                <w:spacing w:val="-2"/>
                <w:sz w:val="22"/>
              </w:rPr>
              <w:t>gardener’s</w:t>
            </w:r>
          </w:p>
        </w:tc>
        <w:tc>
          <w:tcPr>
            <w:tcW w:w="1348" w:type="dxa"/>
            <w:tcBorders>
              <w:top w:val="nil"/>
              <w:bottom w:val="nil"/>
            </w:tcBorders>
          </w:tcPr>
          <w:p>
            <w:pPr>
              <w:pStyle w:val="TableParagraph"/>
              <w:rPr>
                <w:rFonts w:ascii="Times New Roman"/>
                <w:sz w:val="18"/>
              </w:rPr>
            </w:pPr>
          </w:p>
        </w:tc>
      </w:tr>
      <w:tr>
        <w:trPr>
          <w:trHeight w:val="248"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rPr>
                <w:rFonts w:ascii="Times New Roman"/>
                <w:sz w:val="18"/>
              </w:rPr>
            </w:pPr>
          </w:p>
        </w:tc>
        <w:tc>
          <w:tcPr>
            <w:tcW w:w="2071" w:type="dxa"/>
            <w:tcBorders>
              <w:top w:val="nil"/>
              <w:bottom w:val="nil"/>
            </w:tcBorders>
          </w:tcPr>
          <w:p>
            <w:pPr>
              <w:pStyle w:val="TableParagraph"/>
              <w:spacing w:line="228" w:lineRule="exact"/>
              <w:ind w:left="112"/>
              <w:rPr>
                <w:sz w:val="22"/>
              </w:rPr>
            </w:pPr>
            <w:r>
              <w:rPr>
                <w:spacing w:val="-2"/>
                <w:sz w:val="22"/>
              </w:rPr>
              <w:t>chowky,</w:t>
            </w:r>
          </w:p>
        </w:tc>
        <w:tc>
          <w:tcPr>
            <w:tcW w:w="1348" w:type="dxa"/>
            <w:tcBorders>
              <w:top w:val="nil"/>
              <w:bottom w:val="nil"/>
            </w:tcBorders>
          </w:tcPr>
          <w:p>
            <w:pPr>
              <w:pStyle w:val="TableParagraph"/>
              <w:rPr>
                <w:rFonts w:ascii="Times New Roman"/>
                <w:sz w:val="18"/>
              </w:rPr>
            </w:pPr>
          </w:p>
        </w:tc>
      </w:tr>
      <w:tr>
        <w:trPr>
          <w:trHeight w:val="249"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rPr>
                <w:rFonts w:ascii="Times New Roman"/>
                <w:sz w:val="18"/>
              </w:rPr>
            </w:pPr>
          </w:p>
        </w:tc>
        <w:tc>
          <w:tcPr>
            <w:tcW w:w="2071" w:type="dxa"/>
            <w:tcBorders>
              <w:top w:val="nil"/>
              <w:bottom w:val="nil"/>
            </w:tcBorders>
          </w:tcPr>
          <w:p>
            <w:pPr>
              <w:pStyle w:val="TableParagraph"/>
              <w:spacing w:line="229" w:lineRule="exact"/>
              <w:ind w:left="112"/>
              <w:rPr>
                <w:sz w:val="22"/>
              </w:rPr>
            </w:pPr>
            <w:r>
              <w:rPr>
                <w:spacing w:val="-2"/>
                <w:sz w:val="22"/>
              </w:rPr>
              <w:t>instrument</w:t>
            </w:r>
          </w:p>
        </w:tc>
        <w:tc>
          <w:tcPr>
            <w:tcW w:w="1348" w:type="dxa"/>
            <w:tcBorders>
              <w:top w:val="nil"/>
              <w:bottom w:val="nil"/>
            </w:tcBorders>
          </w:tcPr>
          <w:p>
            <w:pPr>
              <w:pStyle w:val="TableParagraph"/>
              <w:rPr>
                <w:rFonts w:ascii="Times New Roman"/>
                <w:sz w:val="18"/>
              </w:rPr>
            </w:pPr>
          </w:p>
        </w:tc>
      </w:tr>
      <w:tr>
        <w:trPr>
          <w:trHeight w:val="247"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rPr>
                <w:rFonts w:ascii="Times New Roman"/>
                <w:sz w:val="18"/>
              </w:rPr>
            </w:pPr>
          </w:p>
        </w:tc>
        <w:tc>
          <w:tcPr>
            <w:tcW w:w="2071" w:type="dxa"/>
            <w:tcBorders>
              <w:top w:val="nil"/>
              <w:bottom w:val="nil"/>
            </w:tcBorders>
          </w:tcPr>
          <w:p>
            <w:pPr>
              <w:pStyle w:val="TableParagraph"/>
              <w:tabs>
                <w:tab w:pos="1381" w:val="left" w:leader="none"/>
              </w:tabs>
              <w:spacing w:line="228" w:lineRule="exact"/>
              <w:ind w:left="112"/>
              <w:rPr>
                <w:sz w:val="22"/>
              </w:rPr>
            </w:pPr>
            <w:r>
              <w:rPr>
                <w:spacing w:val="-2"/>
                <w:sz w:val="22"/>
              </w:rPr>
              <w:t>room,</w:t>
            </w:r>
            <w:r>
              <w:rPr>
                <w:sz w:val="22"/>
              </w:rPr>
              <w:tab/>
            </w:r>
            <w:r>
              <w:rPr>
                <w:spacing w:val="-4"/>
                <w:sz w:val="22"/>
              </w:rPr>
              <w:t>Sport</w:t>
            </w:r>
          </w:p>
        </w:tc>
        <w:tc>
          <w:tcPr>
            <w:tcW w:w="1348" w:type="dxa"/>
            <w:tcBorders>
              <w:top w:val="nil"/>
              <w:bottom w:val="nil"/>
            </w:tcBorders>
          </w:tcPr>
          <w:p>
            <w:pPr>
              <w:pStyle w:val="TableParagraph"/>
              <w:rPr>
                <w:rFonts w:ascii="Times New Roman"/>
                <w:sz w:val="18"/>
              </w:rPr>
            </w:pPr>
          </w:p>
        </w:tc>
      </w:tr>
      <w:tr>
        <w:trPr>
          <w:trHeight w:val="350" w:hRule="atLeast"/>
        </w:trPr>
        <w:tc>
          <w:tcPr>
            <w:tcW w:w="900" w:type="dxa"/>
            <w:tcBorders>
              <w:top w:val="nil"/>
            </w:tcBorders>
          </w:tcPr>
          <w:p>
            <w:pPr>
              <w:pStyle w:val="TableParagraph"/>
              <w:rPr>
                <w:rFonts w:ascii="Times New Roman"/>
                <w:sz w:val="20"/>
              </w:rPr>
            </w:pPr>
          </w:p>
        </w:tc>
        <w:tc>
          <w:tcPr>
            <w:tcW w:w="875" w:type="dxa"/>
            <w:vMerge/>
            <w:tcBorders>
              <w:top w:val="nil"/>
            </w:tcBorders>
            <w:textDirection w:val="btLr"/>
          </w:tcPr>
          <w:p>
            <w:pPr>
              <w:rPr>
                <w:sz w:val="2"/>
                <w:szCs w:val="2"/>
              </w:rPr>
            </w:pPr>
          </w:p>
        </w:tc>
        <w:tc>
          <w:tcPr>
            <w:tcW w:w="976" w:type="dxa"/>
            <w:tcBorders>
              <w:top w:val="nil"/>
            </w:tcBorders>
          </w:tcPr>
          <w:p>
            <w:pPr>
              <w:pStyle w:val="TableParagraph"/>
              <w:rPr>
                <w:rFonts w:ascii="Times New Roman"/>
                <w:sz w:val="20"/>
              </w:rPr>
            </w:pPr>
          </w:p>
        </w:tc>
        <w:tc>
          <w:tcPr>
            <w:tcW w:w="1454" w:type="dxa"/>
            <w:tcBorders>
              <w:top w:val="nil"/>
            </w:tcBorders>
          </w:tcPr>
          <w:p>
            <w:pPr>
              <w:pStyle w:val="TableParagraph"/>
              <w:rPr>
                <w:rFonts w:ascii="Times New Roman"/>
                <w:sz w:val="20"/>
              </w:rPr>
            </w:pPr>
          </w:p>
        </w:tc>
        <w:tc>
          <w:tcPr>
            <w:tcW w:w="2608" w:type="dxa"/>
            <w:tcBorders>
              <w:top w:val="nil"/>
            </w:tcBorders>
          </w:tcPr>
          <w:p>
            <w:pPr>
              <w:pStyle w:val="TableParagraph"/>
              <w:rPr>
                <w:rFonts w:ascii="Times New Roman"/>
                <w:sz w:val="20"/>
              </w:rPr>
            </w:pPr>
          </w:p>
        </w:tc>
        <w:tc>
          <w:tcPr>
            <w:tcW w:w="2071" w:type="dxa"/>
            <w:tcBorders>
              <w:top w:val="nil"/>
            </w:tcBorders>
          </w:tcPr>
          <w:p>
            <w:pPr>
              <w:pStyle w:val="TableParagraph"/>
              <w:spacing w:line="253" w:lineRule="exact"/>
              <w:ind w:left="112"/>
              <w:rPr>
                <w:sz w:val="22"/>
              </w:rPr>
            </w:pPr>
            <w:r>
              <w:rPr>
                <w:sz w:val="22"/>
              </w:rPr>
              <w:t>Store/Shop</w:t>
            </w:r>
            <w:r>
              <w:rPr>
                <w:spacing w:val="-13"/>
                <w:sz w:val="22"/>
              </w:rPr>
              <w:t> </w:t>
            </w:r>
            <w:r>
              <w:rPr>
                <w:spacing w:val="-4"/>
                <w:sz w:val="22"/>
              </w:rPr>
              <w:t>etc.</w:t>
            </w:r>
          </w:p>
        </w:tc>
        <w:tc>
          <w:tcPr>
            <w:tcW w:w="1348" w:type="dxa"/>
            <w:tcBorders>
              <w:top w:val="nil"/>
            </w:tcBorders>
          </w:tcPr>
          <w:p>
            <w:pPr>
              <w:pStyle w:val="TableParagraph"/>
              <w:rPr>
                <w:rFonts w:ascii="Times New Roman"/>
                <w:sz w:val="20"/>
              </w:rPr>
            </w:pPr>
          </w:p>
        </w:tc>
      </w:tr>
      <w:tr>
        <w:trPr>
          <w:trHeight w:val="1512" w:hRule="atLeast"/>
        </w:trPr>
        <w:tc>
          <w:tcPr>
            <w:tcW w:w="900" w:type="dxa"/>
          </w:tcPr>
          <w:p>
            <w:pPr>
              <w:pStyle w:val="TableParagraph"/>
              <w:rPr>
                <w:rFonts w:ascii="Times New Roman"/>
                <w:sz w:val="20"/>
              </w:rPr>
            </w:pPr>
          </w:p>
        </w:tc>
        <w:tc>
          <w:tcPr>
            <w:tcW w:w="875" w:type="dxa"/>
            <w:vMerge/>
            <w:tcBorders>
              <w:top w:val="nil"/>
            </w:tcBorders>
            <w:textDirection w:val="btLr"/>
          </w:tcPr>
          <w:p>
            <w:pPr>
              <w:rPr>
                <w:sz w:val="2"/>
                <w:szCs w:val="2"/>
              </w:rPr>
            </w:pPr>
          </w:p>
        </w:tc>
        <w:tc>
          <w:tcPr>
            <w:tcW w:w="976" w:type="dxa"/>
          </w:tcPr>
          <w:p>
            <w:pPr>
              <w:pStyle w:val="TableParagraph"/>
              <w:rPr>
                <w:rFonts w:ascii="Times New Roman"/>
                <w:sz w:val="20"/>
              </w:rPr>
            </w:pPr>
          </w:p>
        </w:tc>
        <w:tc>
          <w:tcPr>
            <w:tcW w:w="1454" w:type="dxa"/>
          </w:tcPr>
          <w:p>
            <w:pPr>
              <w:pStyle w:val="TableParagraph"/>
              <w:rPr>
                <w:rFonts w:ascii="Times New Roman"/>
                <w:sz w:val="20"/>
              </w:rPr>
            </w:pPr>
          </w:p>
        </w:tc>
        <w:tc>
          <w:tcPr>
            <w:tcW w:w="2608" w:type="dxa"/>
          </w:tcPr>
          <w:p>
            <w:pPr>
              <w:pStyle w:val="TableParagraph"/>
              <w:rPr>
                <w:rFonts w:ascii="Times New Roman"/>
                <w:sz w:val="20"/>
              </w:rPr>
            </w:pPr>
          </w:p>
        </w:tc>
        <w:tc>
          <w:tcPr>
            <w:tcW w:w="2071" w:type="dxa"/>
          </w:tcPr>
          <w:p>
            <w:pPr>
              <w:pStyle w:val="TableParagraph"/>
              <w:rPr>
                <w:rFonts w:ascii="Times New Roman"/>
                <w:sz w:val="20"/>
              </w:rPr>
            </w:pPr>
          </w:p>
        </w:tc>
        <w:tc>
          <w:tcPr>
            <w:tcW w:w="1348" w:type="dxa"/>
          </w:tcPr>
          <w:p>
            <w:pPr>
              <w:pStyle w:val="TableParagraph"/>
              <w:rPr>
                <w:rFonts w:ascii="Times New Roman"/>
                <w:sz w:val="20"/>
              </w:rPr>
            </w:pPr>
          </w:p>
        </w:tc>
      </w:tr>
      <w:tr>
        <w:trPr>
          <w:trHeight w:val="349" w:hRule="atLeast"/>
        </w:trPr>
        <w:tc>
          <w:tcPr>
            <w:tcW w:w="900" w:type="dxa"/>
            <w:tcBorders>
              <w:bottom w:val="nil"/>
            </w:tcBorders>
          </w:tcPr>
          <w:p>
            <w:pPr>
              <w:pStyle w:val="TableParagraph"/>
              <w:rPr>
                <w:rFonts w:ascii="Times New Roman"/>
                <w:sz w:val="20"/>
              </w:rPr>
            </w:pPr>
          </w:p>
        </w:tc>
        <w:tc>
          <w:tcPr>
            <w:tcW w:w="875" w:type="dxa"/>
            <w:vMerge/>
            <w:tcBorders>
              <w:top w:val="nil"/>
            </w:tcBorders>
            <w:textDirection w:val="btLr"/>
          </w:tcPr>
          <w:p>
            <w:pPr>
              <w:rPr>
                <w:sz w:val="2"/>
                <w:szCs w:val="2"/>
              </w:rPr>
            </w:pPr>
          </w:p>
        </w:tc>
        <w:tc>
          <w:tcPr>
            <w:tcW w:w="976" w:type="dxa"/>
            <w:tcBorders>
              <w:bottom w:val="nil"/>
            </w:tcBorders>
          </w:tcPr>
          <w:p>
            <w:pPr>
              <w:pStyle w:val="TableParagraph"/>
              <w:rPr>
                <w:rFonts w:ascii="Times New Roman"/>
                <w:sz w:val="20"/>
              </w:rPr>
            </w:pPr>
          </w:p>
        </w:tc>
        <w:tc>
          <w:tcPr>
            <w:tcW w:w="1454" w:type="dxa"/>
            <w:tcBorders>
              <w:bottom w:val="nil"/>
            </w:tcBorders>
          </w:tcPr>
          <w:p>
            <w:pPr>
              <w:pStyle w:val="TableParagraph"/>
              <w:rPr>
                <w:rFonts w:ascii="Times New Roman"/>
                <w:sz w:val="20"/>
              </w:rPr>
            </w:pPr>
          </w:p>
        </w:tc>
        <w:tc>
          <w:tcPr>
            <w:tcW w:w="2608" w:type="dxa"/>
            <w:tcBorders>
              <w:bottom w:val="nil"/>
            </w:tcBorders>
          </w:tcPr>
          <w:p>
            <w:pPr>
              <w:pStyle w:val="TableParagraph"/>
              <w:tabs>
                <w:tab w:pos="1372" w:val="left" w:leader="none"/>
                <w:tab w:pos="2384" w:val="left" w:leader="none"/>
              </w:tabs>
              <w:spacing w:line="232" w:lineRule="exact" w:before="97"/>
              <w:ind w:left="111"/>
              <w:rPr>
                <w:sz w:val="22"/>
              </w:rPr>
            </w:pPr>
            <w:r>
              <w:rPr>
                <w:spacing w:val="-2"/>
                <w:sz w:val="22"/>
              </w:rPr>
              <w:t>Green</w:t>
            </w:r>
            <w:r>
              <w:rPr>
                <w:sz w:val="22"/>
              </w:rPr>
              <w:tab/>
            </w:r>
            <w:r>
              <w:rPr>
                <w:spacing w:val="-4"/>
                <w:sz w:val="22"/>
              </w:rPr>
              <w:t>belt</w:t>
            </w:r>
            <w:r>
              <w:rPr>
                <w:sz w:val="22"/>
              </w:rPr>
              <w:tab/>
            </w:r>
            <w:r>
              <w:rPr>
                <w:spacing w:val="-10"/>
                <w:sz w:val="22"/>
              </w:rPr>
              <w:t>/</w:t>
            </w:r>
          </w:p>
        </w:tc>
        <w:tc>
          <w:tcPr>
            <w:tcW w:w="2071" w:type="dxa"/>
            <w:tcBorders>
              <w:bottom w:val="nil"/>
            </w:tcBorders>
          </w:tcPr>
          <w:p>
            <w:pPr>
              <w:pStyle w:val="TableParagraph"/>
              <w:spacing w:line="232" w:lineRule="exact" w:before="97"/>
              <w:ind w:left="112"/>
              <w:rPr>
                <w:sz w:val="22"/>
              </w:rPr>
            </w:pPr>
            <w:r>
              <w:rPr>
                <w:spacing w:val="-2"/>
                <w:sz w:val="22"/>
              </w:rPr>
              <w:t>Watchman</w:t>
            </w:r>
          </w:p>
        </w:tc>
        <w:tc>
          <w:tcPr>
            <w:tcW w:w="1348" w:type="dxa"/>
            <w:vMerge w:val="restart"/>
          </w:tcPr>
          <w:p>
            <w:pPr>
              <w:pStyle w:val="TableParagraph"/>
              <w:rPr>
                <w:rFonts w:ascii="Times New Roman"/>
                <w:sz w:val="20"/>
              </w:rPr>
            </w:pPr>
          </w:p>
        </w:tc>
      </w:tr>
      <w:tr>
        <w:trPr>
          <w:trHeight w:val="505" w:hRule="atLeast"/>
        </w:trPr>
        <w:tc>
          <w:tcPr>
            <w:tcW w:w="900" w:type="dxa"/>
            <w:tcBorders>
              <w:top w:val="nil"/>
              <w:bottom w:val="nil"/>
            </w:tcBorders>
          </w:tcPr>
          <w:p>
            <w:pPr>
              <w:pStyle w:val="TableParagraph"/>
              <w:spacing w:before="90"/>
              <w:ind w:left="10"/>
              <w:jc w:val="center"/>
              <w:rPr>
                <w:sz w:val="22"/>
              </w:rPr>
            </w:pPr>
            <w:r>
              <w:rPr>
                <w:spacing w:val="-10"/>
                <w:sz w:val="22"/>
              </w:rPr>
              <w:t>4</w:t>
            </w: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spacing w:before="90"/>
              <w:ind w:left="25"/>
              <w:rPr>
                <w:sz w:val="22"/>
              </w:rPr>
            </w:pPr>
            <w:r>
              <w:rPr>
                <w:spacing w:val="-2"/>
                <w:sz w:val="22"/>
              </w:rPr>
              <w:t>ROS2.7</w:t>
            </w:r>
          </w:p>
        </w:tc>
        <w:tc>
          <w:tcPr>
            <w:tcW w:w="1454" w:type="dxa"/>
            <w:tcBorders>
              <w:top w:val="nil"/>
              <w:bottom w:val="nil"/>
            </w:tcBorders>
          </w:tcPr>
          <w:p>
            <w:pPr>
              <w:pStyle w:val="TableParagraph"/>
              <w:spacing w:before="90"/>
              <w:ind w:left="110"/>
              <w:rPr>
                <w:sz w:val="22"/>
              </w:rPr>
            </w:pPr>
            <w:r>
              <w:rPr>
                <w:sz w:val="22"/>
              </w:rPr>
              <w:t>Green</w:t>
            </w:r>
            <w:r>
              <w:rPr>
                <w:spacing w:val="-5"/>
                <w:sz w:val="22"/>
              </w:rPr>
              <w:t> </w:t>
            </w:r>
            <w:r>
              <w:rPr>
                <w:spacing w:val="-4"/>
                <w:sz w:val="22"/>
              </w:rPr>
              <w:t>Belt</w:t>
            </w:r>
          </w:p>
        </w:tc>
        <w:tc>
          <w:tcPr>
            <w:tcW w:w="2608" w:type="dxa"/>
            <w:tcBorders>
              <w:top w:val="nil"/>
              <w:bottom w:val="nil"/>
            </w:tcBorders>
          </w:tcPr>
          <w:p>
            <w:pPr>
              <w:pStyle w:val="TableParagraph"/>
              <w:tabs>
                <w:tab w:pos="2106" w:val="left" w:leader="none"/>
              </w:tabs>
              <w:spacing w:line="253" w:lineRule="exact"/>
              <w:ind w:left="111"/>
              <w:rPr>
                <w:sz w:val="22"/>
              </w:rPr>
            </w:pPr>
            <w:r>
              <w:rPr>
                <w:spacing w:val="-2"/>
                <w:sz w:val="22"/>
              </w:rPr>
              <w:t>Promenades</w:t>
            </w:r>
            <w:r>
              <w:rPr>
                <w:sz w:val="22"/>
              </w:rPr>
              <w:tab/>
            </w:r>
            <w:r>
              <w:rPr>
                <w:spacing w:val="-5"/>
                <w:sz w:val="22"/>
              </w:rPr>
              <w:t>and</w:t>
            </w:r>
          </w:p>
          <w:p>
            <w:pPr>
              <w:pStyle w:val="TableParagraph"/>
              <w:spacing w:line="232" w:lineRule="exact" w:before="1"/>
              <w:ind w:left="111"/>
              <w:rPr>
                <w:sz w:val="22"/>
              </w:rPr>
            </w:pPr>
            <w:r>
              <w:rPr>
                <w:spacing w:val="-2"/>
                <w:sz w:val="22"/>
              </w:rPr>
              <w:t>Substation,</w:t>
            </w:r>
          </w:p>
        </w:tc>
        <w:tc>
          <w:tcPr>
            <w:tcW w:w="2071" w:type="dxa"/>
            <w:tcBorders>
              <w:top w:val="nil"/>
              <w:bottom w:val="nil"/>
            </w:tcBorders>
          </w:tcPr>
          <w:p>
            <w:pPr>
              <w:pStyle w:val="TableParagraph"/>
              <w:spacing w:line="253" w:lineRule="exact"/>
              <w:ind w:left="112"/>
              <w:rPr>
                <w:sz w:val="22"/>
              </w:rPr>
            </w:pPr>
            <w:r>
              <w:rPr>
                <w:sz w:val="22"/>
              </w:rPr>
              <w:t>cabin,</w:t>
            </w:r>
            <w:r>
              <w:rPr>
                <w:spacing w:val="23"/>
                <w:sz w:val="22"/>
              </w:rPr>
              <w:t>  </w:t>
            </w:r>
            <w:r>
              <w:rPr>
                <w:spacing w:val="-2"/>
                <w:sz w:val="22"/>
              </w:rPr>
              <w:t>Gardener</w:t>
            </w:r>
          </w:p>
          <w:p>
            <w:pPr>
              <w:pStyle w:val="TableParagraph"/>
              <w:tabs>
                <w:tab w:pos="1438" w:val="left" w:leader="none"/>
              </w:tabs>
              <w:spacing w:line="232" w:lineRule="exact" w:before="1"/>
              <w:ind w:left="112"/>
              <w:rPr>
                <w:sz w:val="22"/>
              </w:rPr>
            </w:pPr>
            <w:r>
              <w:rPr>
                <w:spacing w:val="-2"/>
                <w:sz w:val="22"/>
              </w:rPr>
              <w:t>chowky,</w:t>
            </w:r>
            <w:r>
              <w:rPr>
                <w:sz w:val="22"/>
              </w:rPr>
              <w:tab/>
            </w:r>
            <w:r>
              <w:rPr>
                <w:spacing w:val="-2"/>
                <w:sz w:val="22"/>
              </w:rPr>
              <w:t>toilet</w:t>
            </w:r>
          </w:p>
        </w:tc>
        <w:tc>
          <w:tcPr>
            <w:tcW w:w="1348" w:type="dxa"/>
            <w:vMerge/>
            <w:tcBorders>
              <w:top w:val="nil"/>
            </w:tcBorders>
          </w:tcPr>
          <w:p>
            <w:pPr>
              <w:rPr>
                <w:sz w:val="2"/>
                <w:szCs w:val="2"/>
              </w:rPr>
            </w:pPr>
          </w:p>
        </w:tc>
      </w:tr>
      <w:tr>
        <w:trPr>
          <w:trHeight w:val="248"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spacing w:line="228" w:lineRule="exact"/>
              <w:ind w:left="111"/>
              <w:rPr>
                <w:sz w:val="22"/>
              </w:rPr>
            </w:pPr>
            <w:r>
              <w:rPr>
                <w:sz w:val="22"/>
              </w:rPr>
              <w:t>Distribution</w:t>
            </w:r>
            <w:r>
              <w:rPr>
                <w:spacing w:val="-9"/>
                <w:sz w:val="22"/>
              </w:rPr>
              <w:t> </w:t>
            </w:r>
            <w:r>
              <w:rPr>
                <w:spacing w:val="-2"/>
                <w:sz w:val="22"/>
              </w:rPr>
              <w:t>Facility</w:t>
            </w:r>
          </w:p>
        </w:tc>
        <w:tc>
          <w:tcPr>
            <w:tcW w:w="2071" w:type="dxa"/>
            <w:tcBorders>
              <w:top w:val="nil"/>
              <w:bottom w:val="nil"/>
            </w:tcBorders>
          </w:tcPr>
          <w:p>
            <w:pPr>
              <w:pStyle w:val="TableParagraph"/>
              <w:tabs>
                <w:tab w:pos="1698" w:val="left" w:leader="none"/>
              </w:tabs>
              <w:spacing w:line="228" w:lineRule="exact"/>
              <w:ind w:left="112"/>
              <w:rPr>
                <w:sz w:val="22"/>
              </w:rPr>
            </w:pPr>
            <w:r>
              <w:rPr>
                <w:spacing w:val="-2"/>
                <w:sz w:val="22"/>
              </w:rPr>
              <w:t>block.</w:t>
            </w:r>
            <w:r>
              <w:rPr>
                <w:sz w:val="22"/>
              </w:rPr>
              <w:tab/>
            </w:r>
            <w:r>
              <w:rPr>
                <w:spacing w:val="-5"/>
                <w:sz w:val="22"/>
              </w:rPr>
              <w:t>(at</w:t>
            </w:r>
          </w:p>
        </w:tc>
        <w:tc>
          <w:tcPr>
            <w:tcW w:w="1348" w:type="dxa"/>
            <w:vMerge/>
            <w:tcBorders>
              <w:top w:val="nil"/>
            </w:tcBorders>
          </w:tcPr>
          <w:p>
            <w:pPr>
              <w:rPr>
                <w:sz w:val="2"/>
                <w:szCs w:val="2"/>
              </w:rPr>
            </w:pPr>
          </w:p>
        </w:tc>
      </w:tr>
      <w:tr>
        <w:trPr>
          <w:trHeight w:val="351" w:hRule="atLeast"/>
        </w:trPr>
        <w:tc>
          <w:tcPr>
            <w:tcW w:w="900" w:type="dxa"/>
            <w:tcBorders>
              <w:top w:val="nil"/>
            </w:tcBorders>
          </w:tcPr>
          <w:p>
            <w:pPr>
              <w:pStyle w:val="TableParagraph"/>
              <w:rPr>
                <w:rFonts w:ascii="Times New Roman"/>
                <w:sz w:val="20"/>
              </w:rPr>
            </w:pPr>
          </w:p>
        </w:tc>
        <w:tc>
          <w:tcPr>
            <w:tcW w:w="875" w:type="dxa"/>
            <w:vMerge/>
            <w:tcBorders>
              <w:top w:val="nil"/>
            </w:tcBorders>
            <w:textDirection w:val="btLr"/>
          </w:tcPr>
          <w:p>
            <w:pPr>
              <w:rPr>
                <w:sz w:val="2"/>
                <w:szCs w:val="2"/>
              </w:rPr>
            </w:pPr>
          </w:p>
        </w:tc>
        <w:tc>
          <w:tcPr>
            <w:tcW w:w="976" w:type="dxa"/>
            <w:tcBorders>
              <w:top w:val="nil"/>
            </w:tcBorders>
          </w:tcPr>
          <w:p>
            <w:pPr>
              <w:pStyle w:val="TableParagraph"/>
              <w:rPr>
                <w:rFonts w:ascii="Times New Roman"/>
                <w:sz w:val="20"/>
              </w:rPr>
            </w:pPr>
          </w:p>
        </w:tc>
        <w:tc>
          <w:tcPr>
            <w:tcW w:w="1454" w:type="dxa"/>
            <w:tcBorders>
              <w:top w:val="nil"/>
            </w:tcBorders>
          </w:tcPr>
          <w:p>
            <w:pPr>
              <w:pStyle w:val="TableParagraph"/>
              <w:rPr>
                <w:rFonts w:ascii="Times New Roman"/>
                <w:sz w:val="20"/>
              </w:rPr>
            </w:pPr>
          </w:p>
        </w:tc>
        <w:tc>
          <w:tcPr>
            <w:tcW w:w="2608" w:type="dxa"/>
            <w:tcBorders>
              <w:top w:val="nil"/>
            </w:tcBorders>
          </w:tcPr>
          <w:p>
            <w:pPr>
              <w:pStyle w:val="TableParagraph"/>
              <w:rPr>
                <w:rFonts w:ascii="Times New Roman"/>
                <w:sz w:val="20"/>
              </w:rPr>
            </w:pPr>
          </w:p>
        </w:tc>
        <w:tc>
          <w:tcPr>
            <w:tcW w:w="2071" w:type="dxa"/>
            <w:tcBorders>
              <w:top w:val="nil"/>
            </w:tcBorders>
          </w:tcPr>
          <w:p>
            <w:pPr>
              <w:pStyle w:val="TableParagraph"/>
              <w:spacing w:line="254" w:lineRule="exact"/>
              <w:ind w:left="112"/>
              <w:rPr>
                <w:sz w:val="22"/>
              </w:rPr>
            </w:pPr>
            <w:r>
              <w:rPr>
                <w:sz w:val="22"/>
              </w:rPr>
              <w:t>suitable</w:t>
            </w:r>
            <w:r>
              <w:rPr>
                <w:spacing w:val="-7"/>
                <w:sz w:val="22"/>
              </w:rPr>
              <w:t> </w:t>
            </w:r>
            <w:r>
              <w:rPr>
                <w:spacing w:val="-2"/>
                <w:sz w:val="22"/>
              </w:rPr>
              <w:t>location)</w:t>
            </w:r>
          </w:p>
        </w:tc>
        <w:tc>
          <w:tcPr>
            <w:tcW w:w="1348" w:type="dxa"/>
            <w:vMerge/>
            <w:tcBorders>
              <w:top w:val="nil"/>
            </w:tcBorders>
          </w:tcPr>
          <w:p>
            <w:pPr>
              <w:rPr>
                <w:sz w:val="2"/>
                <w:szCs w:val="2"/>
              </w:rPr>
            </w:pPr>
          </w:p>
        </w:tc>
      </w:tr>
    </w:tbl>
    <w:p>
      <w:pPr>
        <w:spacing w:after="0"/>
        <w:rPr>
          <w:sz w:val="2"/>
          <w:szCs w:val="2"/>
        </w:rPr>
        <w:sectPr>
          <w:pgSz w:w="11910" w:h="16840"/>
          <w:pgMar w:header="746" w:footer="968" w:top="1180" w:bottom="1160" w:left="360" w:right="360"/>
        </w:sectPr>
      </w:pPr>
    </w:p>
    <w:p>
      <w:pPr>
        <w:pStyle w:val="BodyText"/>
        <w:spacing w:before="17"/>
        <w:jc w:val="left"/>
        <w:rPr>
          <w:b/>
          <w:i/>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875"/>
        <w:gridCol w:w="976"/>
        <w:gridCol w:w="1454"/>
        <w:gridCol w:w="2608"/>
        <w:gridCol w:w="2071"/>
        <w:gridCol w:w="1348"/>
      </w:tblGrid>
      <w:tr>
        <w:trPr>
          <w:trHeight w:val="804" w:hRule="atLeast"/>
        </w:trPr>
        <w:tc>
          <w:tcPr>
            <w:tcW w:w="900" w:type="dxa"/>
            <w:vMerge w:val="restart"/>
          </w:tcPr>
          <w:p>
            <w:pPr>
              <w:pStyle w:val="TableParagraph"/>
              <w:spacing w:before="94"/>
              <w:ind w:left="107"/>
              <w:rPr>
                <w:b/>
                <w:sz w:val="22"/>
              </w:rPr>
            </w:pPr>
            <w:r>
              <w:rPr>
                <w:b/>
                <w:sz w:val="22"/>
              </w:rPr>
              <w:t>Sr.</w:t>
            </w:r>
            <w:r>
              <w:rPr>
                <w:b/>
                <w:spacing w:val="-14"/>
                <w:sz w:val="22"/>
              </w:rPr>
              <w:t> </w:t>
            </w:r>
            <w:r>
              <w:rPr>
                <w:b/>
                <w:spacing w:val="-5"/>
                <w:sz w:val="22"/>
              </w:rPr>
              <w:t>No</w:t>
            </w:r>
          </w:p>
        </w:tc>
        <w:tc>
          <w:tcPr>
            <w:tcW w:w="875" w:type="dxa"/>
            <w:vMerge w:val="restart"/>
          </w:tcPr>
          <w:p>
            <w:pPr>
              <w:pStyle w:val="TableParagraph"/>
              <w:spacing w:before="94"/>
              <w:ind w:left="108" w:right="22"/>
              <w:rPr>
                <w:b/>
                <w:sz w:val="22"/>
              </w:rPr>
            </w:pPr>
            <w:r>
              <w:rPr>
                <w:b/>
                <w:spacing w:val="-2"/>
                <w:sz w:val="22"/>
              </w:rPr>
              <w:t>Reser vation </w:t>
            </w:r>
            <w:r>
              <w:rPr>
                <w:b/>
                <w:spacing w:val="-4"/>
                <w:sz w:val="22"/>
              </w:rPr>
              <w:t>main </w:t>
            </w:r>
            <w:r>
              <w:rPr>
                <w:b/>
                <w:spacing w:val="-2"/>
                <w:sz w:val="22"/>
              </w:rPr>
              <w:t>Categ </w:t>
            </w:r>
            <w:r>
              <w:rPr>
                <w:b/>
                <w:spacing w:val="-4"/>
                <w:sz w:val="22"/>
              </w:rPr>
              <w:t>ory</w:t>
            </w:r>
          </w:p>
        </w:tc>
        <w:tc>
          <w:tcPr>
            <w:tcW w:w="2430" w:type="dxa"/>
            <w:gridSpan w:val="2"/>
          </w:tcPr>
          <w:p>
            <w:pPr>
              <w:pStyle w:val="TableParagraph"/>
              <w:tabs>
                <w:tab w:pos="1901" w:val="left" w:leader="none"/>
              </w:tabs>
              <w:spacing w:before="94"/>
              <w:ind w:left="109" w:right="93"/>
              <w:rPr>
                <w:b/>
                <w:sz w:val="22"/>
              </w:rPr>
            </w:pPr>
            <w:r>
              <w:rPr>
                <w:b/>
                <w:spacing w:val="-2"/>
                <w:sz w:val="22"/>
              </w:rPr>
              <w:t>Reservation</w:t>
            </w:r>
            <w:r>
              <w:rPr>
                <w:b/>
                <w:sz w:val="22"/>
              </w:rPr>
              <w:tab/>
            </w:r>
            <w:r>
              <w:rPr>
                <w:b/>
                <w:spacing w:val="-4"/>
                <w:sz w:val="22"/>
              </w:rPr>
              <w:t>Sub </w:t>
            </w:r>
            <w:r>
              <w:rPr>
                <w:b/>
                <w:spacing w:val="-2"/>
                <w:sz w:val="22"/>
              </w:rPr>
              <w:t>Category</w:t>
            </w:r>
          </w:p>
        </w:tc>
        <w:tc>
          <w:tcPr>
            <w:tcW w:w="4679" w:type="dxa"/>
            <w:gridSpan w:val="2"/>
          </w:tcPr>
          <w:p>
            <w:pPr>
              <w:pStyle w:val="TableParagraph"/>
              <w:spacing w:before="94"/>
              <w:ind w:left="1424"/>
              <w:rPr>
                <w:b/>
                <w:sz w:val="22"/>
              </w:rPr>
            </w:pPr>
            <w:r>
              <w:rPr>
                <w:b/>
                <w:sz w:val="22"/>
              </w:rPr>
              <w:t>Users</w:t>
            </w:r>
            <w:r>
              <w:rPr>
                <w:b/>
                <w:spacing w:val="-4"/>
                <w:sz w:val="22"/>
              </w:rPr>
              <w:t> </w:t>
            </w:r>
            <w:r>
              <w:rPr>
                <w:b/>
                <w:spacing w:val="-2"/>
                <w:sz w:val="22"/>
              </w:rPr>
              <w:t>Permitted</w:t>
            </w:r>
          </w:p>
        </w:tc>
        <w:tc>
          <w:tcPr>
            <w:tcW w:w="1348" w:type="dxa"/>
            <w:vMerge w:val="restart"/>
          </w:tcPr>
          <w:p>
            <w:pPr>
              <w:pStyle w:val="TableParagraph"/>
              <w:spacing w:before="94"/>
              <w:ind w:left="96"/>
              <w:rPr>
                <w:b/>
                <w:sz w:val="22"/>
              </w:rPr>
            </w:pPr>
            <w:r>
              <w:rPr>
                <w:b/>
                <w:spacing w:val="-2"/>
                <w:sz w:val="22"/>
              </w:rPr>
              <w:t>Applicable conditions </w:t>
            </w:r>
            <w:r>
              <w:rPr>
                <w:b/>
                <w:spacing w:val="-4"/>
                <w:sz w:val="22"/>
              </w:rPr>
              <w:t>for </w:t>
            </w:r>
            <w:r>
              <w:rPr>
                <w:b/>
                <w:spacing w:val="-2"/>
                <w:sz w:val="22"/>
              </w:rPr>
              <w:t>developme </w:t>
            </w:r>
            <w:r>
              <w:rPr>
                <w:b/>
                <w:spacing w:val="-6"/>
                <w:sz w:val="22"/>
              </w:rPr>
              <w:t>nt</w:t>
            </w:r>
          </w:p>
        </w:tc>
      </w:tr>
      <w:tr>
        <w:trPr>
          <w:trHeight w:val="709" w:hRule="atLeast"/>
        </w:trPr>
        <w:tc>
          <w:tcPr>
            <w:tcW w:w="900" w:type="dxa"/>
            <w:vMerge/>
            <w:tcBorders>
              <w:top w:val="nil"/>
            </w:tcBorders>
          </w:tcPr>
          <w:p>
            <w:pPr>
              <w:rPr>
                <w:sz w:val="2"/>
                <w:szCs w:val="2"/>
              </w:rPr>
            </w:pPr>
          </w:p>
        </w:tc>
        <w:tc>
          <w:tcPr>
            <w:tcW w:w="875" w:type="dxa"/>
            <w:vMerge/>
            <w:tcBorders>
              <w:top w:val="nil"/>
            </w:tcBorders>
          </w:tcPr>
          <w:p>
            <w:pPr>
              <w:rPr>
                <w:sz w:val="2"/>
                <w:szCs w:val="2"/>
              </w:rPr>
            </w:pPr>
          </w:p>
        </w:tc>
        <w:tc>
          <w:tcPr>
            <w:tcW w:w="976" w:type="dxa"/>
          </w:tcPr>
          <w:p>
            <w:pPr>
              <w:pStyle w:val="TableParagraph"/>
              <w:spacing w:before="97"/>
              <w:ind w:right="175"/>
              <w:jc w:val="center"/>
              <w:rPr>
                <w:b/>
                <w:sz w:val="22"/>
              </w:rPr>
            </w:pPr>
            <w:r>
              <w:rPr>
                <w:b/>
                <w:spacing w:val="-4"/>
                <w:sz w:val="22"/>
              </w:rPr>
              <w:t>Code</w:t>
            </w:r>
          </w:p>
        </w:tc>
        <w:tc>
          <w:tcPr>
            <w:tcW w:w="1454" w:type="dxa"/>
          </w:tcPr>
          <w:p>
            <w:pPr>
              <w:pStyle w:val="TableParagraph"/>
              <w:spacing w:before="97"/>
              <w:ind w:left="110"/>
              <w:rPr>
                <w:b/>
                <w:sz w:val="22"/>
              </w:rPr>
            </w:pPr>
            <w:r>
              <w:rPr>
                <w:b/>
                <w:spacing w:val="-4"/>
                <w:sz w:val="22"/>
              </w:rPr>
              <w:t>Name</w:t>
            </w:r>
          </w:p>
        </w:tc>
        <w:tc>
          <w:tcPr>
            <w:tcW w:w="2608" w:type="dxa"/>
          </w:tcPr>
          <w:p>
            <w:pPr>
              <w:pStyle w:val="TableParagraph"/>
              <w:spacing w:before="97"/>
              <w:ind w:left="111"/>
              <w:rPr>
                <w:b/>
                <w:sz w:val="22"/>
              </w:rPr>
            </w:pPr>
            <w:r>
              <w:rPr>
                <w:b/>
                <w:sz w:val="22"/>
              </w:rPr>
              <w:t>Permissible</w:t>
            </w:r>
            <w:r>
              <w:rPr>
                <w:b/>
                <w:spacing w:val="-7"/>
                <w:sz w:val="22"/>
              </w:rPr>
              <w:t> </w:t>
            </w:r>
            <w:r>
              <w:rPr>
                <w:b/>
                <w:spacing w:val="-4"/>
                <w:sz w:val="22"/>
              </w:rPr>
              <w:t>uses</w:t>
            </w:r>
          </w:p>
        </w:tc>
        <w:tc>
          <w:tcPr>
            <w:tcW w:w="2071" w:type="dxa"/>
          </w:tcPr>
          <w:p>
            <w:pPr>
              <w:pStyle w:val="TableParagraph"/>
              <w:spacing w:before="97"/>
              <w:ind w:left="112"/>
              <w:rPr>
                <w:b/>
                <w:sz w:val="22"/>
              </w:rPr>
            </w:pPr>
            <w:r>
              <w:rPr>
                <w:b/>
                <w:spacing w:val="-2"/>
                <w:sz w:val="22"/>
              </w:rPr>
              <w:t>Ancillary Activities</w:t>
            </w:r>
          </w:p>
        </w:tc>
        <w:tc>
          <w:tcPr>
            <w:tcW w:w="1348" w:type="dxa"/>
            <w:vMerge/>
            <w:tcBorders>
              <w:top w:val="nil"/>
            </w:tcBorders>
          </w:tcPr>
          <w:p>
            <w:pPr>
              <w:rPr>
                <w:sz w:val="2"/>
                <w:szCs w:val="2"/>
              </w:rPr>
            </w:pPr>
          </w:p>
        </w:tc>
      </w:tr>
      <w:tr>
        <w:trPr>
          <w:trHeight w:val="1482" w:hRule="atLeast"/>
        </w:trPr>
        <w:tc>
          <w:tcPr>
            <w:tcW w:w="900" w:type="dxa"/>
          </w:tcPr>
          <w:p>
            <w:pPr>
              <w:pStyle w:val="TableParagraph"/>
              <w:spacing w:before="94"/>
              <w:ind w:left="10"/>
              <w:jc w:val="center"/>
              <w:rPr>
                <w:sz w:val="22"/>
              </w:rPr>
            </w:pPr>
            <w:r>
              <w:rPr>
                <w:spacing w:val="-10"/>
                <w:sz w:val="22"/>
              </w:rPr>
              <w:t>5</w:t>
            </w:r>
          </w:p>
        </w:tc>
        <w:tc>
          <w:tcPr>
            <w:tcW w:w="875" w:type="dxa"/>
          </w:tcPr>
          <w:p>
            <w:pPr>
              <w:pStyle w:val="TableParagraph"/>
              <w:rPr>
                <w:rFonts w:ascii="Times New Roman"/>
                <w:sz w:val="20"/>
              </w:rPr>
            </w:pPr>
          </w:p>
        </w:tc>
        <w:tc>
          <w:tcPr>
            <w:tcW w:w="976" w:type="dxa"/>
          </w:tcPr>
          <w:p>
            <w:pPr>
              <w:pStyle w:val="TableParagraph"/>
              <w:spacing w:before="94"/>
              <w:ind w:left="94" w:right="175"/>
              <w:rPr>
                <w:sz w:val="22"/>
              </w:rPr>
            </w:pPr>
            <w:r>
              <w:rPr>
                <w:spacing w:val="-2"/>
                <w:sz w:val="22"/>
              </w:rPr>
              <w:t>ROS2. </w:t>
            </w:r>
            <w:r>
              <w:rPr>
                <w:spacing w:val="-10"/>
                <w:sz w:val="22"/>
              </w:rPr>
              <w:t>8</w:t>
            </w:r>
          </w:p>
        </w:tc>
        <w:tc>
          <w:tcPr>
            <w:tcW w:w="1454" w:type="dxa"/>
          </w:tcPr>
          <w:p>
            <w:pPr>
              <w:pStyle w:val="TableParagraph"/>
              <w:spacing w:before="94"/>
              <w:ind w:left="110" w:right="399" w:hanging="84"/>
              <w:rPr>
                <w:sz w:val="22"/>
              </w:rPr>
            </w:pPr>
            <w:r>
              <w:rPr>
                <w:spacing w:val="-2"/>
                <w:sz w:val="22"/>
              </w:rPr>
              <w:t>Botanical Garden</w:t>
            </w:r>
          </w:p>
        </w:tc>
        <w:tc>
          <w:tcPr>
            <w:tcW w:w="2608" w:type="dxa"/>
          </w:tcPr>
          <w:p>
            <w:pPr>
              <w:pStyle w:val="TableParagraph"/>
              <w:spacing w:before="94"/>
              <w:ind w:left="70"/>
              <w:rPr>
                <w:sz w:val="22"/>
              </w:rPr>
            </w:pPr>
            <w:r>
              <w:rPr>
                <w:sz w:val="22"/>
              </w:rPr>
              <w:t>Botanical</w:t>
            </w:r>
            <w:r>
              <w:rPr>
                <w:spacing w:val="-10"/>
                <w:sz w:val="22"/>
              </w:rPr>
              <w:t> </w:t>
            </w:r>
            <w:r>
              <w:rPr>
                <w:spacing w:val="-2"/>
                <w:sz w:val="22"/>
              </w:rPr>
              <w:t>Garden</w:t>
            </w:r>
          </w:p>
        </w:tc>
        <w:tc>
          <w:tcPr>
            <w:tcW w:w="2071" w:type="dxa"/>
          </w:tcPr>
          <w:p>
            <w:pPr>
              <w:pStyle w:val="TableParagraph"/>
              <w:tabs>
                <w:tab w:pos="1469" w:val="left" w:leader="none"/>
              </w:tabs>
              <w:spacing w:before="94"/>
              <w:ind w:left="95" w:right="48"/>
              <w:rPr>
                <w:sz w:val="22"/>
              </w:rPr>
            </w:pPr>
            <w:r>
              <w:rPr>
                <w:sz w:val="22"/>
              </w:rPr>
              <w:t>Watchman</w:t>
            </w:r>
            <w:r>
              <w:rPr>
                <w:spacing w:val="-11"/>
                <w:sz w:val="22"/>
              </w:rPr>
              <w:t> </w:t>
            </w:r>
            <w:r>
              <w:rPr>
                <w:sz w:val="22"/>
              </w:rPr>
              <w:t>cabin, </w:t>
            </w:r>
            <w:r>
              <w:rPr>
                <w:spacing w:val="-2"/>
                <w:sz w:val="22"/>
              </w:rPr>
              <w:t>Gardener</w:t>
            </w:r>
            <w:r>
              <w:rPr>
                <w:spacing w:val="40"/>
                <w:sz w:val="22"/>
              </w:rPr>
              <w:t> </w:t>
            </w:r>
            <w:r>
              <w:rPr>
                <w:spacing w:val="-2"/>
                <w:sz w:val="22"/>
              </w:rPr>
              <w:t>chowky,</w:t>
            </w:r>
            <w:r>
              <w:rPr>
                <w:sz w:val="22"/>
              </w:rPr>
              <w:tab/>
            </w:r>
            <w:r>
              <w:rPr>
                <w:spacing w:val="-2"/>
                <w:sz w:val="22"/>
              </w:rPr>
              <w:t>toilet </w:t>
            </w:r>
            <w:r>
              <w:rPr>
                <w:sz w:val="22"/>
              </w:rPr>
              <w:t>block.</w:t>
            </w:r>
            <w:r>
              <w:rPr>
                <w:spacing w:val="-18"/>
                <w:sz w:val="22"/>
              </w:rPr>
              <w:t> </w:t>
            </w:r>
            <w:r>
              <w:rPr>
                <w:sz w:val="22"/>
              </w:rPr>
              <w:t>(at</w:t>
            </w:r>
            <w:r>
              <w:rPr>
                <w:spacing w:val="-18"/>
                <w:sz w:val="22"/>
              </w:rPr>
              <w:t> </w:t>
            </w:r>
            <w:r>
              <w:rPr>
                <w:sz w:val="22"/>
              </w:rPr>
              <w:t>suitable </w:t>
            </w:r>
            <w:r>
              <w:rPr>
                <w:spacing w:val="-2"/>
                <w:sz w:val="22"/>
              </w:rPr>
              <w:t>location</w:t>
            </w:r>
          </w:p>
        </w:tc>
        <w:tc>
          <w:tcPr>
            <w:tcW w:w="1348" w:type="dxa"/>
          </w:tcPr>
          <w:p>
            <w:pPr>
              <w:pStyle w:val="TableParagraph"/>
              <w:spacing w:before="94"/>
              <w:ind w:left="150" w:right="133"/>
              <w:jc w:val="center"/>
              <w:rPr>
                <w:sz w:val="22"/>
              </w:rPr>
            </w:pPr>
            <w:r>
              <w:rPr>
                <w:spacing w:val="-5"/>
                <w:sz w:val="22"/>
              </w:rPr>
              <w:t>1,</w:t>
            </w:r>
          </w:p>
        </w:tc>
      </w:tr>
      <w:tr>
        <w:trPr>
          <w:trHeight w:val="450" w:hRule="atLeast"/>
        </w:trPr>
        <w:tc>
          <w:tcPr>
            <w:tcW w:w="900" w:type="dxa"/>
          </w:tcPr>
          <w:p>
            <w:pPr>
              <w:pStyle w:val="TableParagraph"/>
              <w:rPr>
                <w:rFonts w:ascii="Times New Roman"/>
                <w:sz w:val="20"/>
              </w:rPr>
            </w:pPr>
          </w:p>
        </w:tc>
        <w:tc>
          <w:tcPr>
            <w:tcW w:w="875" w:type="dxa"/>
            <w:vMerge w:val="restart"/>
          </w:tcPr>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spacing w:before="155"/>
              <w:rPr>
                <w:b/>
                <w:i/>
                <w:sz w:val="22"/>
              </w:rPr>
            </w:pPr>
          </w:p>
          <w:p>
            <w:pPr>
              <w:pStyle w:val="TableParagraph"/>
              <w:spacing w:before="1"/>
              <w:ind w:left="108" w:right="117"/>
              <w:rPr>
                <w:sz w:val="22"/>
              </w:rPr>
            </w:pPr>
            <w:r>
              <w:rPr>
                <w:spacing w:val="-2"/>
                <w:sz w:val="22"/>
              </w:rPr>
              <w:t>Housi </w:t>
            </w:r>
            <w:r>
              <w:rPr>
                <w:spacing w:val="-6"/>
                <w:sz w:val="22"/>
              </w:rPr>
              <w:t>ng</w:t>
            </w:r>
          </w:p>
        </w:tc>
        <w:tc>
          <w:tcPr>
            <w:tcW w:w="976" w:type="dxa"/>
          </w:tcPr>
          <w:p>
            <w:pPr>
              <w:pStyle w:val="TableParagraph"/>
              <w:rPr>
                <w:rFonts w:ascii="Times New Roman"/>
                <w:sz w:val="20"/>
              </w:rPr>
            </w:pPr>
          </w:p>
        </w:tc>
        <w:tc>
          <w:tcPr>
            <w:tcW w:w="1454" w:type="dxa"/>
          </w:tcPr>
          <w:p>
            <w:pPr>
              <w:pStyle w:val="TableParagraph"/>
              <w:rPr>
                <w:rFonts w:ascii="Times New Roman"/>
                <w:sz w:val="20"/>
              </w:rPr>
            </w:pPr>
          </w:p>
        </w:tc>
        <w:tc>
          <w:tcPr>
            <w:tcW w:w="2608" w:type="dxa"/>
          </w:tcPr>
          <w:p>
            <w:pPr>
              <w:pStyle w:val="TableParagraph"/>
              <w:rPr>
                <w:rFonts w:ascii="Times New Roman"/>
                <w:sz w:val="20"/>
              </w:rPr>
            </w:pPr>
          </w:p>
        </w:tc>
        <w:tc>
          <w:tcPr>
            <w:tcW w:w="2071" w:type="dxa"/>
          </w:tcPr>
          <w:p>
            <w:pPr>
              <w:pStyle w:val="TableParagraph"/>
              <w:rPr>
                <w:rFonts w:ascii="Times New Roman"/>
                <w:sz w:val="20"/>
              </w:rPr>
            </w:pPr>
          </w:p>
        </w:tc>
        <w:tc>
          <w:tcPr>
            <w:tcW w:w="1348" w:type="dxa"/>
          </w:tcPr>
          <w:p>
            <w:pPr>
              <w:pStyle w:val="TableParagraph"/>
              <w:rPr>
                <w:rFonts w:ascii="Times New Roman"/>
                <w:sz w:val="20"/>
              </w:rPr>
            </w:pPr>
          </w:p>
        </w:tc>
      </w:tr>
      <w:tr>
        <w:trPr>
          <w:trHeight w:val="511" w:hRule="atLeast"/>
        </w:trPr>
        <w:tc>
          <w:tcPr>
            <w:tcW w:w="900" w:type="dxa"/>
          </w:tcPr>
          <w:p>
            <w:pPr>
              <w:pStyle w:val="TableParagraph"/>
              <w:rPr>
                <w:rFonts w:ascii="Times New Roman"/>
                <w:sz w:val="20"/>
              </w:rPr>
            </w:pPr>
          </w:p>
        </w:tc>
        <w:tc>
          <w:tcPr>
            <w:tcW w:w="875" w:type="dxa"/>
            <w:vMerge/>
            <w:tcBorders>
              <w:top w:val="nil"/>
            </w:tcBorders>
          </w:tcPr>
          <w:p>
            <w:pPr>
              <w:rPr>
                <w:sz w:val="2"/>
                <w:szCs w:val="2"/>
              </w:rPr>
            </w:pPr>
          </w:p>
        </w:tc>
        <w:tc>
          <w:tcPr>
            <w:tcW w:w="976" w:type="dxa"/>
          </w:tcPr>
          <w:p>
            <w:pPr>
              <w:pStyle w:val="TableParagraph"/>
              <w:rPr>
                <w:rFonts w:ascii="Times New Roman"/>
                <w:sz w:val="20"/>
              </w:rPr>
            </w:pPr>
          </w:p>
        </w:tc>
        <w:tc>
          <w:tcPr>
            <w:tcW w:w="1454" w:type="dxa"/>
          </w:tcPr>
          <w:p>
            <w:pPr>
              <w:pStyle w:val="TableParagraph"/>
              <w:rPr>
                <w:rFonts w:ascii="Times New Roman"/>
                <w:sz w:val="20"/>
              </w:rPr>
            </w:pPr>
          </w:p>
        </w:tc>
        <w:tc>
          <w:tcPr>
            <w:tcW w:w="2608" w:type="dxa"/>
          </w:tcPr>
          <w:p>
            <w:pPr>
              <w:pStyle w:val="TableParagraph"/>
              <w:rPr>
                <w:rFonts w:ascii="Times New Roman"/>
                <w:sz w:val="20"/>
              </w:rPr>
            </w:pPr>
          </w:p>
        </w:tc>
        <w:tc>
          <w:tcPr>
            <w:tcW w:w="2071" w:type="dxa"/>
          </w:tcPr>
          <w:p>
            <w:pPr>
              <w:pStyle w:val="TableParagraph"/>
              <w:rPr>
                <w:rFonts w:ascii="Times New Roman"/>
                <w:sz w:val="20"/>
              </w:rPr>
            </w:pPr>
          </w:p>
        </w:tc>
        <w:tc>
          <w:tcPr>
            <w:tcW w:w="1348" w:type="dxa"/>
          </w:tcPr>
          <w:p>
            <w:pPr>
              <w:pStyle w:val="TableParagraph"/>
              <w:rPr>
                <w:rFonts w:ascii="Times New Roman"/>
                <w:sz w:val="20"/>
              </w:rPr>
            </w:pPr>
          </w:p>
        </w:tc>
      </w:tr>
      <w:tr>
        <w:trPr>
          <w:trHeight w:val="513" w:hRule="atLeast"/>
        </w:trPr>
        <w:tc>
          <w:tcPr>
            <w:tcW w:w="900" w:type="dxa"/>
          </w:tcPr>
          <w:p>
            <w:pPr>
              <w:pStyle w:val="TableParagraph"/>
              <w:rPr>
                <w:rFonts w:ascii="Times New Roman"/>
                <w:sz w:val="20"/>
              </w:rPr>
            </w:pPr>
          </w:p>
        </w:tc>
        <w:tc>
          <w:tcPr>
            <w:tcW w:w="875" w:type="dxa"/>
            <w:vMerge/>
            <w:tcBorders>
              <w:top w:val="nil"/>
            </w:tcBorders>
          </w:tcPr>
          <w:p>
            <w:pPr>
              <w:rPr>
                <w:sz w:val="2"/>
                <w:szCs w:val="2"/>
              </w:rPr>
            </w:pPr>
          </w:p>
        </w:tc>
        <w:tc>
          <w:tcPr>
            <w:tcW w:w="976" w:type="dxa"/>
          </w:tcPr>
          <w:p>
            <w:pPr>
              <w:pStyle w:val="TableParagraph"/>
              <w:rPr>
                <w:rFonts w:ascii="Times New Roman"/>
                <w:sz w:val="20"/>
              </w:rPr>
            </w:pPr>
          </w:p>
        </w:tc>
        <w:tc>
          <w:tcPr>
            <w:tcW w:w="1454" w:type="dxa"/>
          </w:tcPr>
          <w:p>
            <w:pPr>
              <w:pStyle w:val="TableParagraph"/>
              <w:rPr>
                <w:rFonts w:ascii="Times New Roman"/>
                <w:sz w:val="20"/>
              </w:rPr>
            </w:pPr>
          </w:p>
        </w:tc>
        <w:tc>
          <w:tcPr>
            <w:tcW w:w="2608" w:type="dxa"/>
          </w:tcPr>
          <w:p>
            <w:pPr>
              <w:pStyle w:val="TableParagraph"/>
              <w:rPr>
                <w:rFonts w:ascii="Times New Roman"/>
                <w:sz w:val="20"/>
              </w:rPr>
            </w:pPr>
          </w:p>
        </w:tc>
        <w:tc>
          <w:tcPr>
            <w:tcW w:w="2071" w:type="dxa"/>
          </w:tcPr>
          <w:p>
            <w:pPr>
              <w:pStyle w:val="TableParagraph"/>
              <w:rPr>
                <w:rFonts w:ascii="Times New Roman"/>
                <w:sz w:val="20"/>
              </w:rPr>
            </w:pPr>
          </w:p>
        </w:tc>
        <w:tc>
          <w:tcPr>
            <w:tcW w:w="1348" w:type="dxa"/>
          </w:tcPr>
          <w:p>
            <w:pPr>
              <w:pStyle w:val="TableParagraph"/>
              <w:rPr>
                <w:rFonts w:ascii="Times New Roman"/>
                <w:sz w:val="20"/>
              </w:rPr>
            </w:pPr>
          </w:p>
        </w:tc>
      </w:tr>
      <w:tr>
        <w:trPr>
          <w:trHeight w:val="510" w:hRule="atLeast"/>
        </w:trPr>
        <w:tc>
          <w:tcPr>
            <w:tcW w:w="900" w:type="dxa"/>
          </w:tcPr>
          <w:p>
            <w:pPr>
              <w:pStyle w:val="TableParagraph"/>
              <w:rPr>
                <w:rFonts w:ascii="Times New Roman"/>
                <w:sz w:val="20"/>
              </w:rPr>
            </w:pPr>
          </w:p>
        </w:tc>
        <w:tc>
          <w:tcPr>
            <w:tcW w:w="875" w:type="dxa"/>
            <w:vMerge/>
            <w:tcBorders>
              <w:top w:val="nil"/>
            </w:tcBorders>
          </w:tcPr>
          <w:p>
            <w:pPr>
              <w:rPr>
                <w:sz w:val="2"/>
                <w:szCs w:val="2"/>
              </w:rPr>
            </w:pPr>
          </w:p>
        </w:tc>
        <w:tc>
          <w:tcPr>
            <w:tcW w:w="976" w:type="dxa"/>
          </w:tcPr>
          <w:p>
            <w:pPr>
              <w:pStyle w:val="TableParagraph"/>
              <w:rPr>
                <w:rFonts w:ascii="Times New Roman"/>
                <w:sz w:val="20"/>
              </w:rPr>
            </w:pPr>
          </w:p>
        </w:tc>
        <w:tc>
          <w:tcPr>
            <w:tcW w:w="1454" w:type="dxa"/>
          </w:tcPr>
          <w:p>
            <w:pPr>
              <w:pStyle w:val="TableParagraph"/>
              <w:rPr>
                <w:rFonts w:ascii="Times New Roman"/>
                <w:sz w:val="20"/>
              </w:rPr>
            </w:pPr>
          </w:p>
        </w:tc>
        <w:tc>
          <w:tcPr>
            <w:tcW w:w="2608" w:type="dxa"/>
          </w:tcPr>
          <w:p>
            <w:pPr>
              <w:pStyle w:val="TableParagraph"/>
              <w:rPr>
                <w:rFonts w:ascii="Times New Roman"/>
                <w:sz w:val="20"/>
              </w:rPr>
            </w:pPr>
          </w:p>
        </w:tc>
        <w:tc>
          <w:tcPr>
            <w:tcW w:w="2071" w:type="dxa"/>
          </w:tcPr>
          <w:p>
            <w:pPr>
              <w:pStyle w:val="TableParagraph"/>
              <w:rPr>
                <w:rFonts w:ascii="Times New Roman"/>
                <w:sz w:val="20"/>
              </w:rPr>
            </w:pPr>
          </w:p>
        </w:tc>
        <w:tc>
          <w:tcPr>
            <w:tcW w:w="1348" w:type="dxa"/>
          </w:tcPr>
          <w:p>
            <w:pPr>
              <w:pStyle w:val="TableParagraph"/>
              <w:rPr>
                <w:rFonts w:ascii="Times New Roman"/>
                <w:sz w:val="20"/>
              </w:rPr>
            </w:pPr>
          </w:p>
        </w:tc>
      </w:tr>
      <w:tr>
        <w:trPr>
          <w:trHeight w:val="808" w:hRule="atLeast"/>
        </w:trPr>
        <w:tc>
          <w:tcPr>
            <w:tcW w:w="900" w:type="dxa"/>
          </w:tcPr>
          <w:p>
            <w:pPr>
              <w:pStyle w:val="TableParagraph"/>
              <w:rPr>
                <w:rFonts w:ascii="Times New Roman"/>
                <w:sz w:val="20"/>
              </w:rPr>
            </w:pPr>
          </w:p>
        </w:tc>
        <w:tc>
          <w:tcPr>
            <w:tcW w:w="875" w:type="dxa"/>
            <w:vMerge/>
            <w:tcBorders>
              <w:top w:val="nil"/>
            </w:tcBorders>
          </w:tcPr>
          <w:p>
            <w:pPr>
              <w:rPr>
                <w:sz w:val="2"/>
                <w:szCs w:val="2"/>
              </w:rPr>
            </w:pPr>
          </w:p>
        </w:tc>
        <w:tc>
          <w:tcPr>
            <w:tcW w:w="976" w:type="dxa"/>
          </w:tcPr>
          <w:p>
            <w:pPr>
              <w:pStyle w:val="TableParagraph"/>
              <w:rPr>
                <w:rFonts w:ascii="Times New Roman"/>
                <w:sz w:val="20"/>
              </w:rPr>
            </w:pPr>
          </w:p>
        </w:tc>
        <w:tc>
          <w:tcPr>
            <w:tcW w:w="1454" w:type="dxa"/>
          </w:tcPr>
          <w:p>
            <w:pPr>
              <w:pStyle w:val="TableParagraph"/>
              <w:rPr>
                <w:rFonts w:ascii="Times New Roman"/>
                <w:sz w:val="20"/>
              </w:rPr>
            </w:pPr>
          </w:p>
        </w:tc>
        <w:tc>
          <w:tcPr>
            <w:tcW w:w="2608" w:type="dxa"/>
          </w:tcPr>
          <w:p>
            <w:pPr>
              <w:pStyle w:val="TableParagraph"/>
              <w:rPr>
                <w:rFonts w:ascii="Times New Roman"/>
                <w:sz w:val="20"/>
              </w:rPr>
            </w:pPr>
          </w:p>
        </w:tc>
        <w:tc>
          <w:tcPr>
            <w:tcW w:w="2071" w:type="dxa"/>
          </w:tcPr>
          <w:p>
            <w:pPr>
              <w:pStyle w:val="TableParagraph"/>
              <w:rPr>
                <w:rFonts w:ascii="Times New Roman"/>
                <w:sz w:val="20"/>
              </w:rPr>
            </w:pPr>
          </w:p>
        </w:tc>
        <w:tc>
          <w:tcPr>
            <w:tcW w:w="1348" w:type="dxa"/>
          </w:tcPr>
          <w:p>
            <w:pPr>
              <w:pStyle w:val="TableParagraph"/>
              <w:rPr>
                <w:rFonts w:ascii="Times New Roman"/>
                <w:sz w:val="20"/>
              </w:rPr>
            </w:pPr>
          </w:p>
        </w:tc>
      </w:tr>
      <w:tr>
        <w:trPr>
          <w:trHeight w:val="3866" w:hRule="atLeast"/>
        </w:trPr>
        <w:tc>
          <w:tcPr>
            <w:tcW w:w="900" w:type="dxa"/>
          </w:tcPr>
          <w:p>
            <w:pPr>
              <w:pStyle w:val="TableParagraph"/>
              <w:spacing w:before="191"/>
              <w:rPr>
                <w:b/>
                <w:i/>
                <w:sz w:val="22"/>
              </w:rPr>
            </w:pPr>
          </w:p>
          <w:p>
            <w:pPr>
              <w:pStyle w:val="TableParagraph"/>
              <w:ind w:left="10"/>
              <w:jc w:val="center"/>
              <w:rPr>
                <w:sz w:val="22"/>
              </w:rPr>
            </w:pPr>
            <w:r>
              <w:rPr>
                <w:spacing w:val="-10"/>
                <w:sz w:val="22"/>
              </w:rPr>
              <w:t>6</w:t>
            </w:r>
          </w:p>
        </w:tc>
        <w:tc>
          <w:tcPr>
            <w:tcW w:w="875" w:type="dxa"/>
          </w:tcPr>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spacing w:before="155"/>
              <w:rPr>
                <w:b/>
                <w:i/>
                <w:sz w:val="22"/>
              </w:rPr>
            </w:pPr>
          </w:p>
          <w:p>
            <w:pPr>
              <w:pStyle w:val="TableParagraph"/>
              <w:ind w:left="108" w:right="98"/>
              <w:rPr>
                <w:sz w:val="22"/>
              </w:rPr>
            </w:pPr>
            <w:r>
              <w:rPr>
                <w:spacing w:val="-2"/>
                <w:sz w:val="22"/>
              </w:rPr>
              <w:t>Publi </w:t>
            </w:r>
            <w:r>
              <w:rPr>
                <w:spacing w:val="-10"/>
                <w:sz w:val="22"/>
              </w:rPr>
              <w:t>c </w:t>
            </w:r>
            <w:r>
              <w:rPr>
                <w:spacing w:val="-2"/>
                <w:sz w:val="22"/>
              </w:rPr>
              <w:t>Utility </w:t>
            </w:r>
            <w:r>
              <w:rPr>
                <w:spacing w:val="-4"/>
                <w:sz w:val="22"/>
              </w:rPr>
              <w:t>and </w:t>
            </w:r>
            <w:r>
              <w:rPr>
                <w:spacing w:val="-2"/>
                <w:sz w:val="22"/>
              </w:rPr>
              <w:t>Facili </w:t>
            </w:r>
            <w:r>
              <w:rPr>
                <w:spacing w:val="-4"/>
                <w:sz w:val="22"/>
              </w:rPr>
              <w:t>ties</w:t>
            </w:r>
          </w:p>
        </w:tc>
        <w:tc>
          <w:tcPr>
            <w:tcW w:w="976" w:type="dxa"/>
          </w:tcPr>
          <w:p>
            <w:pPr>
              <w:pStyle w:val="TableParagraph"/>
              <w:rPr>
                <w:b/>
                <w:i/>
                <w:sz w:val="22"/>
              </w:rPr>
            </w:pPr>
          </w:p>
          <w:p>
            <w:pPr>
              <w:pStyle w:val="TableParagraph"/>
              <w:rPr>
                <w:b/>
                <w:i/>
                <w:sz w:val="22"/>
              </w:rPr>
            </w:pPr>
          </w:p>
          <w:p>
            <w:pPr>
              <w:pStyle w:val="TableParagraph"/>
              <w:spacing w:before="28"/>
              <w:rPr>
                <w:b/>
                <w:i/>
                <w:sz w:val="22"/>
              </w:rPr>
            </w:pPr>
          </w:p>
          <w:p>
            <w:pPr>
              <w:pStyle w:val="TableParagraph"/>
              <w:ind w:right="101"/>
              <w:jc w:val="center"/>
              <w:rPr>
                <w:sz w:val="22"/>
              </w:rPr>
            </w:pPr>
            <w:r>
              <w:rPr>
                <w:spacing w:val="-2"/>
                <w:sz w:val="22"/>
              </w:rPr>
              <w:t>RPU2.1</w:t>
            </w:r>
          </w:p>
        </w:tc>
        <w:tc>
          <w:tcPr>
            <w:tcW w:w="1454" w:type="dxa"/>
          </w:tcPr>
          <w:p>
            <w:pPr>
              <w:pStyle w:val="TableParagraph"/>
              <w:spacing w:before="191"/>
              <w:rPr>
                <w:b/>
                <w:i/>
                <w:sz w:val="22"/>
              </w:rPr>
            </w:pPr>
          </w:p>
          <w:p>
            <w:pPr>
              <w:pStyle w:val="TableParagraph"/>
              <w:ind w:left="110" w:right="553"/>
              <w:rPr>
                <w:sz w:val="22"/>
              </w:rPr>
            </w:pPr>
            <w:r>
              <w:rPr>
                <w:spacing w:val="-4"/>
                <w:sz w:val="22"/>
              </w:rPr>
              <w:t>Fuel </w:t>
            </w:r>
            <w:r>
              <w:rPr>
                <w:spacing w:val="-2"/>
                <w:sz w:val="22"/>
              </w:rPr>
              <w:t>Station</w:t>
            </w:r>
          </w:p>
        </w:tc>
        <w:tc>
          <w:tcPr>
            <w:tcW w:w="2608" w:type="dxa"/>
          </w:tcPr>
          <w:p>
            <w:pPr>
              <w:pStyle w:val="TableParagraph"/>
              <w:spacing w:before="94"/>
              <w:ind w:left="111" w:right="127"/>
              <w:rPr>
                <w:sz w:val="22"/>
              </w:rPr>
            </w:pPr>
            <w:r>
              <w:rPr>
                <w:sz w:val="22"/>
              </w:rPr>
              <w:t>Fuel filling station with</w:t>
            </w:r>
            <w:r>
              <w:rPr>
                <w:spacing w:val="-10"/>
                <w:sz w:val="22"/>
              </w:rPr>
              <w:t> </w:t>
            </w:r>
            <w:r>
              <w:rPr>
                <w:sz w:val="22"/>
              </w:rPr>
              <w:t>vehicle</w:t>
            </w:r>
            <w:r>
              <w:rPr>
                <w:spacing w:val="-9"/>
                <w:sz w:val="22"/>
              </w:rPr>
              <w:t> </w:t>
            </w:r>
            <w:r>
              <w:rPr>
                <w:sz w:val="22"/>
              </w:rPr>
              <w:t>washing, City</w:t>
            </w:r>
            <w:r>
              <w:rPr>
                <w:spacing w:val="-14"/>
                <w:sz w:val="22"/>
              </w:rPr>
              <w:t> </w:t>
            </w:r>
            <w:r>
              <w:rPr>
                <w:sz w:val="22"/>
              </w:rPr>
              <w:t>gate</w:t>
            </w:r>
            <w:r>
              <w:rPr>
                <w:spacing w:val="-10"/>
                <w:sz w:val="22"/>
              </w:rPr>
              <w:t> </w:t>
            </w:r>
            <w:r>
              <w:rPr>
                <w:sz w:val="22"/>
              </w:rPr>
              <w:t>station,</w:t>
            </w:r>
            <w:r>
              <w:rPr>
                <w:spacing w:val="-13"/>
                <w:sz w:val="22"/>
              </w:rPr>
              <w:t> </w:t>
            </w:r>
            <w:r>
              <w:rPr>
                <w:sz w:val="22"/>
              </w:rPr>
              <w:t>Gas distribution station and battery charging </w:t>
            </w:r>
            <w:r>
              <w:rPr>
                <w:spacing w:val="-2"/>
                <w:sz w:val="22"/>
              </w:rPr>
              <w:t>facility.</w:t>
            </w:r>
          </w:p>
        </w:tc>
        <w:tc>
          <w:tcPr>
            <w:tcW w:w="2071" w:type="dxa"/>
          </w:tcPr>
          <w:p>
            <w:pPr>
              <w:pStyle w:val="TableParagraph"/>
              <w:tabs>
                <w:tab w:pos="929" w:val="left" w:leader="none"/>
                <w:tab w:pos="1057" w:val="left" w:leader="none"/>
                <w:tab w:pos="1417" w:val="left" w:leader="none"/>
                <w:tab w:pos="1447" w:val="left" w:leader="none"/>
                <w:tab w:pos="1784" w:val="left" w:leader="none"/>
              </w:tabs>
              <w:spacing w:before="94"/>
              <w:ind w:left="112" w:right="48"/>
              <w:rPr>
                <w:sz w:val="24"/>
              </w:rPr>
            </w:pPr>
            <w:r>
              <w:rPr>
                <w:spacing w:val="-2"/>
                <w:sz w:val="22"/>
              </w:rPr>
              <w:t>Administrative area,</w:t>
            </w:r>
            <w:r>
              <w:rPr>
                <w:sz w:val="22"/>
              </w:rPr>
              <w:tab/>
              <w:tab/>
            </w:r>
            <w:r>
              <w:rPr>
                <w:spacing w:val="-2"/>
                <w:sz w:val="22"/>
              </w:rPr>
              <w:t>Ancillary </w:t>
            </w:r>
            <w:r>
              <w:rPr>
                <w:spacing w:val="-4"/>
                <w:sz w:val="22"/>
              </w:rPr>
              <w:t>uses</w:t>
            </w:r>
            <w:r>
              <w:rPr>
                <w:sz w:val="22"/>
              </w:rPr>
              <w:tab/>
            </w:r>
            <w:r>
              <w:rPr>
                <w:spacing w:val="-6"/>
                <w:sz w:val="22"/>
              </w:rPr>
              <w:t>of</w:t>
            </w:r>
            <w:r>
              <w:rPr>
                <w:sz w:val="22"/>
              </w:rPr>
              <w:tab/>
              <w:tab/>
            </w:r>
            <w:r>
              <w:rPr>
                <w:spacing w:val="-4"/>
                <w:sz w:val="22"/>
              </w:rPr>
              <w:t>ATM, book</w:t>
            </w:r>
            <w:r>
              <w:rPr>
                <w:sz w:val="22"/>
              </w:rPr>
              <w:tab/>
              <w:tab/>
              <w:tab/>
            </w:r>
            <w:r>
              <w:rPr>
                <w:spacing w:val="-4"/>
                <w:sz w:val="22"/>
              </w:rPr>
              <w:t>shop, </w:t>
            </w:r>
            <w:r>
              <w:rPr>
                <w:sz w:val="22"/>
              </w:rPr>
              <w:t>cafeteria,</w:t>
            </w:r>
            <w:r>
              <w:rPr>
                <w:spacing w:val="-18"/>
                <w:sz w:val="22"/>
              </w:rPr>
              <w:t> </w:t>
            </w:r>
            <w:r>
              <w:rPr>
                <w:sz w:val="22"/>
              </w:rPr>
              <w:t>canteen (without</w:t>
            </w:r>
            <w:r>
              <w:rPr>
                <w:spacing w:val="74"/>
                <w:sz w:val="22"/>
              </w:rPr>
              <w:t> </w:t>
            </w:r>
            <w:r>
              <w:rPr>
                <w:sz w:val="22"/>
              </w:rPr>
              <w:t>cooking with</w:t>
            </w:r>
            <w:r>
              <w:rPr>
                <w:spacing w:val="40"/>
                <w:sz w:val="22"/>
              </w:rPr>
              <w:t> </w:t>
            </w:r>
            <w:r>
              <w:rPr>
                <w:sz w:val="22"/>
              </w:rPr>
              <w:t>open</w:t>
            </w:r>
            <w:r>
              <w:rPr>
                <w:spacing w:val="40"/>
                <w:sz w:val="22"/>
              </w:rPr>
              <w:t> </w:t>
            </w:r>
            <w:r>
              <w:rPr>
                <w:sz w:val="22"/>
              </w:rPr>
              <w:t>flame) </w:t>
            </w:r>
            <w:r>
              <w:rPr>
                <w:sz w:val="24"/>
              </w:rPr>
              <w:t>with</w:t>
            </w:r>
            <w:r>
              <w:rPr>
                <w:spacing w:val="40"/>
                <w:sz w:val="24"/>
              </w:rPr>
              <w:t> </w:t>
            </w:r>
            <w:r>
              <w:rPr>
                <w:sz w:val="24"/>
              </w:rPr>
              <w:t>subject</w:t>
            </w:r>
            <w:r>
              <w:rPr>
                <w:spacing w:val="40"/>
                <w:sz w:val="24"/>
              </w:rPr>
              <w:t> </w:t>
            </w:r>
            <w:r>
              <w:rPr>
                <w:sz w:val="24"/>
              </w:rPr>
              <w:t>to NOC</w:t>
            </w:r>
            <w:r>
              <w:rPr>
                <w:spacing w:val="40"/>
                <w:sz w:val="24"/>
              </w:rPr>
              <w:t> </w:t>
            </w:r>
            <w:r>
              <w:rPr>
                <w:sz w:val="24"/>
              </w:rPr>
              <w:t>from</w:t>
            </w:r>
            <w:r>
              <w:rPr>
                <w:spacing w:val="40"/>
                <w:sz w:val="24"/>
              </w:rPr>
              <w:t> </w:t>
            </w:r>
            <w:r>
              <w:rPr>
                <w:sz w:val="24"/>
              </w:rPr>
              <w:t>CFO and</w:t>
            </w:r>
            <w:r>
              <w:rPr>
                <w:spacing w:val="40"/>
                <w:sz w:val="24"/>
              </w:rPr>
              <w:t> </w:t>
            </w:r>
            <w:r>
              <w:rPr>
                <w:sz w:val="24"/>
              </w:rPr>
              <w:t>NOC</w:t>
            </w:r>
            <w:r>
              <w:rPr>
                <w:spacing w:val="40"/>
                <w:sz w:val="24"/>
              </w:rPr>
              <w:t> </w:t>
            </w:r>
            <w:r>
              <w:rPr>
                <w:sz w:val="24"/>
              </w:rPr>
              <w:t>from </w:t>
            </w:r>
            <w:r>
              <w:rPr>
                <w:spacing w:val="-2"/>
                <w:sz w:val="24"/>
              </w:rPr>
              <w:t>controller</w:t>
            </w:r>
            <w:r>
              <w:rPr>
                <w:sz w:val="24"/>
              </w:rPr>
              <w:tab/>
              <w:tab/>
              <w:tab/>
            </w:r>
            <w:r>
              <w:rPr>
                <w:spacing w:val="-6"/>
                <w:sz w:val="24"/>
              </w:rPr>
              <w:t>of </w:t>
            </w:r>
            <w:r>
              <w:rPr>
                <w:spacing w:val="-2"/>
                <w:sz w:val="24"/>
              </w:rPr>
              <w:t>Explosive.</w:t>
            </w:r>
          </w:p>
        </w:tc>
        <w:tc>
          <w:tcPr>
            <w:tcW w:w="1348" w:type="dxa"/>
          </w:tcPr>
          <w:p>
            <w:pPr>
              <w:pStyle w:val="TableParagraph"/>
              <w:spacing w:before="94"/>
              <w:ind w:left="321"/>
              <w:rPr>
                <w:sz w:val="22"/>
              </w:rPr>
            </w:pPr>
            <w:r>
              <w:rPr>
                <w:sz w:val="22"/>
              </w:rPr>
              <w:t>1</w:t>
            </w:r>
            <w:r>
              <w:rPr>
                <w:spacing w:val="-1"/>
                <w:sz w:val="22"/>
              </w:rPr>
              <w:t> </w:t>
            </w:r>
            <w:r>
              <w:rPr>
                <w:sz w:val="22"/>
              </w:rPr>
              <w:t>or</w:t>
            </w:r>
            <w:r>
              <w:rPr>
                <w:spacing w:val="-2"/>
                <w:sz w:val="22"/>
              </w:rPr>
              <w:t> </w:t>
            </w:r>
            <w:r>
              <w:rPr>
                <w:spacing w:val="-10"/>
                <w:sz w:val="22"/>
              </w:rPr>
              <w:t>2</w:t>
            </w:r>
          </w:p>
          <w:p>
            <w:pPr>
              <w:pStyle w:val="TableParagraph"/>
              <w:spacing w:before="192"/>
              <w:rPr>
                <w:b/>
                <w:i/>
                <w:sz w:val="22"/>
              </w:rPr>
            </w:pPr>
          </w:p>
          <w:p>
            <w:pPr>
              <w:pStyle w:val="TableParagraph"/>
              <w:spacing w:line="331" w:lineRule="auto"/>
              <w:ind w:left="187" w:right="458" w:hanging="75"/>
              <w:rPr>
                <w:sz w:val="22"/>
              </w:rPr>
            </w:pPr>
            <w:r>
              <w:rPr>
                <w:spacing w:val="-2"/>
                <w:sz w:val="22"/>
              </w:rPr>
              <w:t>Za=10 Zb=10</w:t>
            </w:r>
          </w:p>
        </w:tc>
      </w:tr>
      <w:tr>
        <w:trPr>
          <w:trHeight w:val="3972" w:hRule="atLeast"/>
        </w:trPr>
        <w:tc>
          <w:tcPr>
            <w:tcW w:w="900" w:type="dxa"/>
          </w:tcPr>
          <w:p>
            <w:pPr>
              <w:pStyle w:val="TableParagraph"/>
              <w:rPr>
                <w:b/>
                <w:i/>
                <w:sz w:val="22"/>
              </w:rPr>
            </w:pPr>
          </w:p>
          <w:p>
            <w:pPr>
              <w:pStyle w:val="TableParagraph"/>
              <w:rPr>
                <w:b/>
                <w:i/>
                <w:sz w:val="22"/>
              </w:rPr>
            </w:pPr>
          </w:p>
          <w:p>
            <w:pPr>
              <w:pStyle w:val="TableParagraph"/>
              <w:spacing w:before="30"/>
              <w:rPr>
                <w:b/>
                <w:i/>
                <w:sz w:val="22"/>
              </w:rPr>
            </w:pPr>
          </w:p>
          <w:p>
            <w:pPr>
              <w:pStyle w:val="TableParagraph"/>
              <w:ind w:left="10"/>
              <w:jc w:val="center"/>
              <w:rPr>
                <w:sz w:val="22"/>
              </w:rPr>
            </w:pPr>
            <w:r>
              <w:rPr>
                <w:spacing w:val="-10"/>
                <w:sz w:val="22"/>
              </w:rPr>
              <w:t>7</w:t>
            </w:r>
          </w:p>
        </w:tc>
        <w:tc>
          <w:tcPr>
            <w:tcW w:w="875" w:type="dxa"/>
          </w:tcPr>
          <w:p>
            <w:pPr>
              <w:pStyle w:val="TableParagraph"/>
              <w:rPr>
                <w:rFonts w:ascii="Times New Roman"/>
                <w:sz w:val="20"/>
              </w:rPr>
            </w:pPr>
          </w:p>
        </w:tc>
        <w:tc>
          <w:tcPr>
            <w:tcW w:w="976" w:type="dxa"/>
          </w:tcPr>
          <w:p>
            <w:pPr>
              <w:pStyle w:val="TableParagraph"/>
              <w:rPr>
                <w:b/>
                <w:i/>
                <w:sz w:val="22"/>
              </w:rPr>
            </w:pPr>
          </w:p>
          <w:p>
            <w:pPr>
              <w:pStyle w:val="TableParagraph"/>
              <w:rPr>
                <w:b/>
                <w:i/>
                <w:sz w:val="22"/>
              </w:rPr>
            </w:pPr>
          </w:p>
          <w:p>
            <w:pPr>
              <w:pStyle w:val="TableParagraph"/>
              <w:spacing w:before="30"/>
              <w:rPr>
                <w:b/>
                <w:i/>
                <w:sz w:val="22"/>
              </w:rPr>
            </w:pPr>
          </w:p>
          <w:p>
            <w:pPr>
              <w:pStyle w:val="TableParagraph"/>
              <w:ind w:left="109" w:right="186"/>
              <w:rPr>
                <w:sz w:val="22"/>
              </w:rPr>
            </w:pPr>
            <w:r>
              <w:rPr>
                <w:spacing w:val="-2"/>
                <w:sz w:val="22"/>
              </w:rPr>
              <w:t>RSA5. </w:t>
            </w:r>
            <w:r>
              <w:rPr>
                <w:spacing w:val="-10"/>
                <w:sz w:val="22"/>
              </w:rPr>
              <w:t>1</w:t>
            </w:r>
          </w:p>
        </w:tc>
        <w:tc>
          <w:tcPr>
            <w:tcW w:w="1454" w:type="dxa"/>
          </w:tcPr>
          <w:p>
            <w:pPr>
              <w:pStyle w:val="TableParagraph"/>
              <w:rPr>
                <w:b/>
                <w:i/>
                <w:sz w:val="22"/>
              </w:rPr>
            </w:pPr>
          </w:p>
          <w:p>
            <w:pPr>
              <w:pStyle w:val="TableParagraph"/>
              <w:rPr>
                <w:b/>
                <w:i/>
                <w:sz w:val="22"/>
              </w:rPr>
            </w:pPr>
          </w:p>
          <w:p>
            <w:pPr>
              <w:pStyle w:val="TableParagraph"/>
              <w:spacing w:before="30"/>
              <w:rPr>
                <w:b/>
                <w:i/>
                <w:sz w:val="22"/>
              </w:rPr>
            </w:pPr>
          </w:p>
          <w:p>
            <w:pPr>
              <w:pStyle w:val="TableParagraph"/>
              <w:ind w:left="185"/>
              <w:rPr>
                <w:sz w:val="22"/>
              </w:rPr>
            </w:pPr>
            <w:r>
              <w:rPr>
                <w:spacing w:val="-2"/>
                <w:sz w:val="22"/>
              </w:rPr>
              <w:t>Exhibition Centre</w:t>
            </w:r>
          </w:p>
        </w:tc>
        <w:tc>
          <w:tcPr>
            <w:tcW w:w="2608" w:type="dxa"/>
          </w:tcPr>
          <w:p>
            <w:pPr>
              <w:pStyle w:val="TableParagraph"/>
              <w:spacing w:before="94"/>
              <w:ind w:left="111" w:right="89"/>
              <w:jc w:val="both"/>
              <w:rPr>
                <w:sz w:val="22"/>
              </w:rPr>
            </w:pPr>
            <w:r>
              <w:rPr>
                <w:sz w:val="22"/>
              </w:rPr>
              <w:t>Exhibition Center cum Convention Hall, along with other uses if any, such </w:t>
            </w:r>
            <w:r>
              <w:rPr>
                <w:sz w:val="22"/>
              </w:rPr>
              <w:t>as, Organizers office, Protocol Lounge, VIP </w:t>
            </w:r>
            <w:r>
              <w:rPr>
                <w:spacing w:val="-2"/>
                <w:sz w:val="22"/>
              </w:rPr>
              <w:t>Lounge,</w:t>
            </w:r>
            <w:r>
              <w:rPr>
                <w:spacing w:val="-16"/>
                <w:sz w:val="22"/>
              </w:rPr>
              <w:t> </w:t>
            </w:r>
            <w:r>
              <w:rPr>
                <w:spacing w:val="-2"/>
                <w:sz w:val="22"/>
              </w:rPr>
              <w:t>Press</w:t>
            </w:r>
            <w:r>
              <w:rPr>
                <w:spacing w:val="-13"/>
                <w:sz w:val="22"/>
              </w:rPr>
              <w:t> </w:t>
            </w:r>
            <w:r>
              <w:rPr>
                <w:spacing w:val="-2"/>
                <w:sz w:val="22"/>
              </w:rPr>
              <w:t>Lounge, </w:t>
            </w:r>
            <w:r>
              <w:rPr>
                <w:sz w:val="22"/>
              </w:rPr>
              <w:t>Registration</w:t>
            </w:r>
            <w:r>
              <w:rPr>
                <w:spacing w:val="70"/>
                <w:w w:val="150"/>
                <w:sz w:val="22"/>
              </w:rPr>
              <w:t>   </w:t>
            </w:r>
            <w:r>
              <w:rPr>
                <w:spacing w:val="-4"/>
                <w:sz w:val="22"/>
              </w:rPr>
              <w:t>Area,</w:t>
            </w:r>
          </w:p>
          <w:p>
            <w:pPr>
              <w:pStyle w:val="TableParagraph"/>
              <w:spacing w:before="2"/>
              <w:ind w:left="111"/>
              <w:jc w:val="both"/>
              <w:rPr>
                <w:sz w:val="22"/>
              </w:rPr>
            </w:pPr>
            <w:r>
              <w:rPr>
                <w:sz w:val="22"/>
              </w:rPr>
              <w:t>Pre-function</w:t>
            </w:r>
            <w:r>
              <w:rPr>
                <w:spacing w:val="58"/>
                <w:w w:val="150"/>
                <w:sz w:val="22"/>
              </w:rPr>
              <w:t>   </w:t>
            </w:r>
            <w:r>
              <w:rPr>
                <w:spacing w:val="-4"/>
                <w:sz w:val="22"/>
              </w:rPr>
              <w:t>Area,</w:t>
            </w:r>
          </w:p>
          <w:p>
            <w:pPr>
              <w:pStyle w:val="TableParagraph"/>
              <w:tabs>
                <w:tab w:pos="2034" w:val="left" w:leader="none"/>
              </w:tabs>
              <w:spacing w:line="258" w:lineRule="exact"/>
              <w:ind w:left="111"/>
              <w:jc w:val="both"/>
              <w:rPr>
                <w:sz w:val="22"/>
              </w:rPr>
            </w:pPr>
            <w:r>
              <w:rPr>
                <w:spacing w:val="-2"/>
                <w:sz w:val="22"/>
              </w:rPr>
              <w:t>Canteen</w:t>
            </w:r>
            <w:r>
              <w:rPr>
                <w:sz w:val="22"/>
              </w:rPr>
              <w:tab/>
            </w:r>
            <w:r>
              <w:rPr>
                <w:spacing w:val="-5"/>
                <w:sz w:val="22"/>
              </w:rPr>
              <w:t>cum</w:t>
            </w:r>
          </w:p>
          <w:p>
            <w:pPr>
              <w:pStyle w:val="TableParagraph"/>
              <w:spacing w:line="258" w:lineRule="exact"/>
              <w:ind w:left="111"/>
              <w:jc w:val="both"/>
              <w:rPr>
                <w:sz w:val="22"/>
              </w:rPr>
            </w:pPr>
            <w:r>
              <w:rPr>
                <w:sz w:val="22"/>
              </w:rPr>
              <w:t>refreshment</w:t>
            </w:r>
            <w:r>
              <w:rPr>
                <w:spacing w:val="75"/>
                <w:w w:val="150"/>
                <w:sz w:val="22"/>
              </w:rPr>
              <w:t>   </w:t>
            </w:r>
            <w:r>
              <w:rPr>
                <w:spacing w:val="-4"/>
                <w:sz w:val="22"/>
              </w:rPr>
              <w:t>area,</w:t>
            </w:r>
          </w:p>
          <w:p>
            <w:pPr>
              <w:pStyle w:val="TableParagraph"/>
              <w:spacing w:before="1"/>
              <w:ind w:left="111" w:right="90"/>
              <w:jc w:val="both"/>
              <w:rPr>
                <w:sz w:val="22"/>
              </w:rPr>
            </w:pPr>
            <w:r>
              <w:rPr>
                <w:sz w:val="22"/>
              </w:rPr>
              <w:t>surveillance </w:t>
            </w:r>
            <w:r>
              <w:rPr>
                <w:sz w:val="22"/>
              </w:rPr>
              <w:t>and security</w:t>
            </w:r>
            <w:r>
              <w:rPr>
                <w:spacing w:val="-18"/>
                <w:sz w:val="22"/>
              </w:rPr>
              <w:t> </w:t>
            </w:r>
            <w:r>
              <w:rPr>
                <w:sz w:val="22"/>
              </w:rPr>
              <w:t>rooms,</w:t>
            </w:r>
            <w:r>
              <w:rPr>
                <w:spacing w:val="-18"/>
                <w:sz w:val="22"/>
              </w:rPr>
              <w:t> </w:t>
            </w:r>
            <w:r>
              <w:rPr>
                <w:sz w:val="22"/>
              </w:rPr>
              <w:t>strong room,</w:t>
            </w:r>
            <w:r>
              <w:rPr>
                <w:spacing w:val="26"/>
                <w:sz w:val="22"/>
              </w:rPr>
              <w:t>  </w:t>
            </w:r>
            <w:r>
              <w:rPr>
                <w:sz w:val="22"/>
              </w:rPr>
              <w:t>first</w:t>
            </w:r>
            <w:r>
              <w:rPr>
                <w:spacing w:val="27"/>
                <w:sz w:val="22"/>
              </w:rPr>
              <w:t>  </w:t>
            </w:r>
            <w:r>
              <w:rPr>
                <w:sz w:val="22"/>
              </w:rPr>
              <w:t>aid</w:t>
            </w:r>
            <w:r>
              <w:rPr>
                <w:spacing w:val="27"/>
                <w:sz w:val="22"/>
              </w:rPr>
              <w:t>  </w:t>
            </w:r>
            <w:r>
              <w:rPr>
                <w:spacing w:val="-5"/>
                <w:sz w:val="22"/>
              </w:rPr>
              <w:t>and</w:t>
            </w:r>
          </w:p>
          <w:p>
            <w:pPr>
              <w:pStyle w:val="TableParagraph"/>
              <w:spacing w:line="240" w:lineRule="exact" w:before="1"/>
              <w:ind w:left="111"/>
              <w:jc w:val="both"/>
              <w:rPr>
                <w:sz w:val="22"/>
              </w:rPr>
            </w:pPr>
            <w:r>
              <w:rPr>
                <w:sz w:val="22"/>
              </w:rPr>
              <w:t>emergency</w:t>
            </w:r>
            <w:r>
              <w:rPr>
                <w:spacing w:val="71"/>
                <w:sz w:val="22"/>
              </w:rPr>
              <w:t>  </w:t>
            </w:r>
            <w:r>
              <w:rPr>
                <w:spacing w:val="-2"/>
                <w:sz w:val="22"/>
              </w:rPr>
              <w:t>response</w:t>
            </w:r>
          </w:p>
        </w:tc>
        <w:tc>
          <w:tcPr>
            <w:tcW w:w="2071" w:type="dxa"/>
          </w:tcPr>
          <w:p>
            <w:pPr>
              <w:pStyle w:val="TableParagraph"/>
              <w:spacing w:before="94"/>
              <w:ind w:left="112" w:right="91"/>
              <w:rPr>
                <w:sz w:val="22"/>
              </w:rPr>
            </w:pPr>
            <w:r>
              <w:rPr>
                <w:sz w:val="22"/>
              </w:rPr>
              <w:t>Branch of a Bank, ATM, </w:t>
            </w:r>
            <w:r>
              <w:rPr>
                <w:spacing w:val="-2"/>
                <w:sz w:val="22"/>
              </w:rPr>
              <w:t>Information </w:t>
            </w:r>
            <w:r>
              <w:rPr>
                <w:sz w:val="22"/>
              </w:rPr>
              <w:t>Kiosk, CFC, police</w:t>
            </w:r>
            <w:r>
              <w:rPr>
                <w:spacing w:val="-18"/>
                <w:sz w:val="22"/>
              </w:rPr>
              <w:t> </w:t>
            </w:r>
            <w:r>
              <w:rPr>
                <w:sz w:val="22"/>
              </w:rPr>
              <w:t>chowky, </w:t>
            </w:r>
            <w:r>
              <w:rPr>
                <w:spacing w:val="-4"/>
                <w:sz w:val="22"/>
              </w:rPr>
              <w:t>etc.</w:t>
            </w:r>
          </w:p>
        </w:tc>
        <w:tc>
          <w:tcPr>
            <w:tcW w:w="1348" w:type="dxa"/>
          </w:tcPr>
          <w:p>
            <w:pPr>
              <w:pStyle w:val="TableParagraph"/>
              <w:rPr>
                <w:b/>
                <w:i/>
                <w:sz w:val="22"/>
              </w:rPr>
            </w:pPr>
          </w:p>
          <w:p>
            <w:pPr>
              <w:pStyle w:val="TableParagraph"/>
              <w:rPr>
                <w:b/>
                <w:i/>
                <w:sz w:val="22"/>
              </w:rPr>
            </w:pPr>
          </w:p>
          <w:p>
            <w:pPr>
              <w:pStyle w:val="TableParagraph"/>
              <w:rPr>
                <w:b/>
                <w:i/>
                <w:sz w:val="22"/>
              </w:rPr>
            </w:pPr>
          </w:p>
          <w:p>
            <w:pPr>
              <w:pStyle w:val="TableParagraph"/>
              <w:spacing w:before="125"/>
              <w:rPr>
                <w:b/>
                <w:i/>
                <w:sz w:val="22"/>
              </w:rPr>
            </w:pPr>
          </w:p>
          <w:p>
            <w:pPr>
              <w:pStyle w:val="TableParagraph"/>
              <w:spacing w:line="331" w:lineRule="auto"/>
              <w:ind w:left="187" w:right="458"/>
              <w:rPr>
                <w:sz w:val="22"/>
              </w:rPr>
            </w:pPr>
            <w:r>
              <w:rPr>
                <w:sz w:val="22"/>
              </w:rPr>
              <w:t>1 or 2 </w:t>
            </w:r>
            <w:r>
              <w:rPr>
                <w:spacing w:val="-2"/>
                <w:sz w:val="22"/>
              </w:rPr>
              <w:t>Zb=10</w:t>
            </w:r>
          </w:p>
        </w:tc>
      </w:tr>
    </w:tbl>
    <w:p>
      <w:pPr>
        <w:pStyle w:val="TableParagraph"/>
        <w:spacing w:after="0" w:line="331" w:lineRule="auto"/>
        <w:rPr>
          <w:sz w:val="22"/>
        </w:rPr>
        <w:sectPr>
          <w:pgSz w:w="11910" w:h="16840"/>
          <w:pgMar w:header="746" w:footer="968" w:top="1180" w:bottom="1160" w:left="360" w:right="360"/>
        </w:sectPr>
      </w:pPr>
    </w:p>
    <w:p>
      <w:pPr>
        <w:pStyle w:val="BodyText"/>
        <w:spacing w:before="17"/>
        <w:jc w:val="left"/>
        <w:rPr>
          <w:b/>
          <w:i/>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875"/>
        <w:gridCol w:w="976"/>
        <w:gridCol w:w="1454"/>
        <w:gridCol w:w="2608"/>
        <w:gridCol w:w="2071"/>
        <w:gridCol w:w="1348"/>
      </w:tblGrid>
      <w:tr>
        <w:trPr>
          <w:trHeight w:val="804" w:hRule="atLeast"/>
        </w:trPr>
        <w:tc>
          <w:tcPr>
            <w:tcW w:w="900" w:type="dxa"/>
            <w:vMerge w:val="restart"/>
          </w:tcPr>
          <w:p>
            <w:pPr>
              <w:pStyle w:val="TableParagraph"/>
              <w:spacing w:before="94"/>
              <w:ind w:left="107"/>
              <w:rPr>
                <w:b/>
                <w:sz w:val="22"/>
              </w:rPr>
            </w:pPr>
            <w:r>
              <w:rPr>
                <w:b/>
                <w:sz w:val="22"/>
              </w:rPr>
              <w:t>Sr.</w:t>
            </w:r>
            <w:r>
              <w:rPr>
                <w:b/>
                <w:spacing w:val="-14"/>
                <w:sz w:val="22"/>
              </w:rPr>
              <w:t> </w:t>
            </w:r>
            <w:r>
              <w:rPr>
                <w:b/>
                <w:spacing w:val="-5"/>
                <w:sz w:val="22"/>
              </w:rPr>
              <w:t>No</w:t>
            </w:r>
          </w:p>
        </w:tc>
        <w:tc>
          <w:tcPr>
            <w:tcW w:w="875" w:type="dxa"/>
            <w:vMerge w:val="restart"/>
          </w:tcPr>
          <w:p>
            <w:pPr>
              <w:pStyle w:val="TableParagraph"/>
              <w:spacing w:before="94"/>
              <w:ind w:left="108" w:right="22"/>
              <w:rPr>
                <w:b/>
                <w:sz w:val="22"/>
              </w:rPr>
            </w:pPr>
            <w:r>
              <w:rPr>
                <w:b/>
                <w:spacing w:val="-2"/>
                <w:sz w:val="22"/>
              </w:rPr>
              <w:t>Reser vation </w:t>
            </w:r>
            <w:r>
              <w:rPr>
                <w:b/>
                <w:spacing w:val="-4"/>
                <w:sz w:val="22"/>
              </w:rPr>
              <w:t>main </w:t>
            </w:r>
            <w:r>
              <w:rPr>
                <w:b/>
                <w:spacing w:val="-2"/>
                <w:sz w:val="22"/>
              </w:rPr>
              <w:t>Categ </w:t>
            </w:r>
            <w:r>
              <w:rPr>
                <w:b/>
                <w:spacing w:val="-4"/>
                <w:sz w:val="22"/>
              </w:rPr>
              <w:t>ory</w:t>
            </w:r>
          </w:p>
        </w:tc>
        <w:tc>
          <w:tcPr>
            <w:tcW w:w="2430" w:type="dxa"/>
            <w:gridSpan w:val="2"/>
          </w:tcPr>
          <w:p>
            <w:pPr>
              <w:pStyle w:val="TableParagraph"/>
              <w:tabs>
                <w:tab w:pos="1901" w:val="left" w:leader="none"/>
              </w:tabs>
              <w:spacing w:before="94"/>
              <w:ind w:left="109" w:right="93"/>
              <w:rPr>
                <w:b/>
                <w:sz w:val="22"/>
              </w:rPr>
            </w:pPr>
            <w:r>
              <w:rPr>
                <w:b/>
                <w:spacing w:val="-2"/>
                <w:sz w:val="22"/>
              </w:rPr>
              <w:t>Reservation</w:t>
            </w:r>
            <w:r>
              <w:rPr>
                <w:b/>
                <w:sz w:val="22"/>
              </w:rPr>
              <w:tab/>
            </w:r>
            <w:r>
              <w:rPr>
                <w:b/>
                <w:spacing w:val="-4"/>
                <w:sz w:val="22"/>
              </w:rPr>
              <w:t>Sub </w:t>
            </w:r>
            <w:r>
              <w:rPr>
                <w:b/>
                <w:spacing w:val="-2"/>
                <w:sz w:val="22"/>
              </w:rPr>
              <w:t>Category</w:t>
            </w:r>
          </w:p>
        </w:tc>
        <w:tc>
          <w:tcPr>
            <w:tcW w:w="4679" w:type="dxa"/>
            <w:gridSpan w:val="2"/>
          </w:tcPr>
          <w:p>
            <w:pPr>
              <w:pStyle w:val="TableParagraph"/>
              <w:spacing w:before="94"/>
              <w:ind w:left="1424"/>
              <w:rPr>
                <w:b/>
                <w:sz w:val="22"/>
              </w:rPr>
            </w:pPr>
            <w:r>
              <w:rPr>
                <w:b/>
                <w:sz w:val="22"/>
              </w:rPr>
              <w:t>Users</w:t>
            </w:r>
            <w:r>
              <w:rPr>
                <w:b/>
                <w:spacing w:val="-4"/>
                <w:sz w:val="22"/>
              </w:rPr>
              <w:t> </w:t>
            </w:r>
            <w:r>
              <w:rPr>
                <w:b/>
                <w:spacing w:val="-2"/>
                <w:sz w:val="22"/>
              </w:rPr>
              <w:t>Permitted</w:t>
            </w:r>
          </w:p>
        </w:tc>
        <w:tc>
          <w:tcPr>
            <w:tcW w:w="1348" w:type="dxa"/>
            <w:vMerge w:val="restart"/>
          </w:tcPr>
          <w:p>
            <w:pPr>
              <w:pStyle w:val="TableParagraph"/>
              <w:spacing w:before="94"/>
              <w:ind w:left="96"/>
              <w:rPr>
                <w:b/>
                <w:sz w:val="22"/>
              </w:rPr>
            </w:pPr>
            <w:r>
              <w:rPr>
                <w:b/>
                <w:spacing w:val="-2"/>
                <w:sz w:val="22"/>
              </w:rPr>
              <w:t>Applicable conditions </w:t>
            </w:r>
            <w:r>
              <w:rPr>
                <w:b/>
                <w:spacing w:val="-4"/>
                <w:sz w:val="22"/>
              </w:rPr>
              <w:t>for </w:t>
            </w:r>
            <w:r>
              <w:rPr>
                <w:b/>
                <w:spacing w:val="-2"/>
                <w:sz w:val="22"/>
              </w:rPr>
              <w:t>developme </w:t>
            </w:r>
            <w:r>
              <w:rPr>
                <w:b/>
                <w:spacing w:val="-6"/>
                <w:sz w:val="22"/>
              </w:rPr>
              <w:t>nt</w:t>
            </w:r>
          </w:p>
        </w:tc>
      </w:tr>
      <w:tr>
        <w:trPr>
          <w:trHeight w:val="709" w:hRule="atLeast"/>
        </w:trPr>
        <w:tc>
          <w:tcPr>
            <w:tcW w:w="900" w:type="dxa"/>
            <w:vMerge/>
            <w:tcBorders>
              <w:top w:val="nil"/>
            </w:tcBorders>
          </w:tcPr>
          <w:p>
            <w:pPr>
              <w:rPr>
                <w:sz w:val="2"/>
                <w:szCs w:val="2"/>
              </w:rPr>
            </w:pPr>
          </w:p>
        </w:tc>
        <w:tc>
          <w:tcPr>
            <w:tcW w:w="875" w:type="dxa"/>
            <w:vMerge/>
            <w:tcBorders>
              <w:top w:val="nil"/>
            </w:tcBorders>
          </w:tcPr>
          <w:p>
            <w:pPr>
              <w:rPr>
                <w:sz w:val="2"/>
                <w:szCs w:val="2"/>
              </w:rPr>
            </w:pPr>
          </w:p>
        </w:tc>
        <w:tc>
          <w:tcPr>
            <w:tcW w:w="976" w:type="dxa"/>
          </w:tcPr>
          <w:p>
            <w:pPr>
              <w:pStyle w:val="TableParagraph"/>
              <w:spacing w:before="97"/>
              <w:ind w:left="109"/>
              <w:rPr>
                <w:b/>
                <w:sz w:val="22"/>
              </w:rPr>
            </w:pPr>
            <w:r>
              <w:rPr>
                <w:b/>
                <w:spacing w:val="-4"/>
                <w:sz w:val="22"/>
              </w:rPr>
              <w:t>Code</w:t>
            </w:r>
          </w:p>
        </w:tc>
        <w:tc>
          <w:tcPr>
            <w:tcW w:w="1454" w:type="dxa"/>
          </w:tcPr>
          <w:p>
            <w:pPr>
              <w:pStyle w:val="TableParagraph"/>
              <w:spacing w:before="97"/>
              <w:ind w:left="110"/>
              <w:rPr>
                <w:b/>
                <w:sz w:val="22"/>
              </w:rPr>
            </w:pPr>
            <w:r>
              <w:rPr>
                <w:b/>
                <w:spacing w:val="-4"/>
                <w:sz w:val="22"/>
              </w:rPr>
              <w:t>Name</w:t>
            </w:r>
          </w:p>
        </w:tc>
        <w:tc>
          <w:tcPr>
            <w:tcW w:w="2608" w:type="dxa"/>
          </w:tcPr>
          <w:p>
            <w:pPr>
              <w:pStyle w:val="TableParagraph"/>
              <w:spacing w:before="97"/>
              <w:ind w:left="111"/>
              <w:rPr>
                <w:b/>
                <w:sz w:val="22"/>
              </w:rPr>
            </w:pPr>
            <w:r>
              <w:rPr>
                <w:b/>
                <w:sz w:val="22"/>
              </w:rPr>
              <w:t>Permissible</w:t>
            </w:r>
            <w:r>
              <w:rPr>
                <w:b/>
                <w:spacing w:val="-7"/>
                <w:sz w:val="22"/>
              </w:rPr>
              <w:t> </w:t>
            </w:r>
            <w:r>
              <w:rPr>
                <w:b/>
                <w:spacing w:val="-4"/>
                <w:sz w:val="22"/>
              </w:rPr>
              <w:t>uses</w:t>
            </w:r>
          </w:p>
        </w:tc>
        <w:tc>
          <w:tcPr>
            <w:tcW w:w="2071" w:type="dxa"/>
          </w:tcPr>
          <w:p>
            <w:pPr>
              <w:pStyle w:val="TableParagraph"/>
              <w:spacing w:before="97"/>
              <w:ind w:left="112"/>
              <w:rPr>
                <w:b/>
                <w:sz w:val="22"/>
              </w:rPr>
            </w:pPr>
            <w:r>
              <w:rPr>
                <w:b/>
                <w:spacing w:val="-2"/>
                <w:sz w:val="22"/>
              </w:rPr>
              <w:t>Ancillary Activities</w:t>
            </w:r>
          </w:p>
        </w:tc>
        <w:tc>
          <w:tcPr>
            <w:tcW w:w="1348" w:type="dxa"/>
            <w:vMerge/>
            <w:tcBorders>
              <w:top w:val="nil"/>
            </w:tcBorders>
          </w:tcPr>
          <w:p>
            <w:pPr>
              <w:rPr>
                <w:sz w:val="2"/>
                <w:szCs w:val="2"/>
              </w:rPr>
            </w:pPr>
          </w:p>
        </w:tc>
      </w:tr>
      <w:tr>
        <w:trPr>
          <w:trHeight w:val="2937" w:hRule="atLeast"/>
        </w:trPr>
        <w:tc>
          <w:tcPr>
            <w:tcW w:w="900" w:type="dxa"/>
          </w:tcPr>
          <w:p>
            <w:pPr>
              <w:pStyle w:val="TableParagraph"/>
              <w:rPr>
                <w:rFonts w:ascii="Times New Roman"/>
                <w:sz w:val="20"/>
              </w:rPr>
            </w:pPr>
          </w:p>
        </w:tc>
        <w:tc>
          <w:tcPr>
            <w:tcW w:w="875" w:type="dxa"/>
            <w:vMerge w:val="restart"/>
          </w:tcPr>
          <w:p>
            <w:pPr>
              <w:pStyle w:val="TableParagraph"/>
              <w:rPr>
                <w:rFonts w:ascii="Times New Roman"/>
                <w:sz w:val="20"/>
              </w:rPr>
            </w:pPr>
          </w:p>
        </w:tc>
        <w:tc>
          <w:tcPr>
            <w:tcW w:w="976" w:type="dxa"/>
          </w:tcPr>
          <w:p>
            <w:pPr>
              <w:pStyle w:val="TableParagraph"/>
              <w:rPr>
                <w:rFonts w:ascii="Times New Roman"/>
                <w:sz w:val="20"/>
              </w:rPr>
            </w:pPr>
          </w:p>
        </w:tc>
        <w:tc>
          <w:tcPr>
            <w:tcW w:w="1454" w:type="dxa"/>
          </w:tcPr>
          <w:p>
            <w:pPr>
              <w:pStyle w:val="TableParagraph"/>
              <w:rPr>
                <w:rFonts w:ascii="Times New Roman"/>
                <w:sz w:val="20"/>
              </w:rPr>
            </w:pPr>
          </w:p>
        </w:tc>
        <w:tc>
          <w:tcPr>
            <w:tcW w:w="2608" w:type="dxa"/>
          </w:tcPr>
          <w:p>
            <w:pPr>
              <w:pStyle w:val="TableParagraph"/>
              <w:ind w:left="111" w:right="88"/>
              <w:jc w:val="both"/>
              <w:rPr>
                <w:sz w:val="22"/>
              </w:rPr>
            </w:pPr>
            <w:r>
              <w:rPr>
                <w:sz w:val="22"/>
              </w:rPr>
              <w:t>room with supporting activities</w:t>
            </w:r>
            <w:r>
              <w:rPr>
                <w:spacing w:val="-18"/>
                <w:sz w:val="22"/>
              </w:rPr>
              <w:t> </w:t>
            </w:r>
            <w:r>
              <w:rPr>
                <w:sz w:val="22"/>
              </w:rPr>
              <w:t>as</w:t>
            </w:r>
            <w:r>
              <w:rPr>
                <w:spacing w:val="-18"/>
                <w:sz w:val="22"/>
              </w:rPr>
              <w:t> </w:t>
            </w:r>
            <w:r>
              <w:rPr>
                <w:sz w:val="22"/>
              </w:rPr>
              <w:t>Hotels</w:t>
            </w:r>
            <w:r>
              <w:rPr>
                <w:spacing w:val="-17"/>
                <w:sz w:val="22"/>
              </w:rPr>
              <w:t> </w:t>
            </w:r>
            <w:r>
              <w:rPr>
                <w:sz w:val="22"/>
              </w:rPr>
              <w:t>not less than 3-</w:t>
            </w:r>
            <w:r>
              <w:rPr>
                <w:sz w:val="22"/>
              </w:rPr>
              <w:t>Star category, Food court, </w:t>
            </w:r>
            <w:r>
              <w:rPr>
                <w:spacing w:val="-2"/>
                <w:sz w:val="22"/>
              </w:rPr>
              <w:t>fine</w:t>
            </w:r>
            <w:r>
              <w:rPr>
                <w:spacing w:val="-10"/>
                <w:sz w:val="22"/>
              </w:rPr>
              <w:t> </w:t>
            </w:r>
            <w:r>
              <w:rPr>
                <w:spacing w:val="-2"/>
                <w:sz w:val="22"/>
              </w:rPr>
              <w:t>dining,</w:t>
            </w:r>
            <w:r>
              <w:rPr>
                <w:spacing w:val="-14"/>
                <w:sz w:val="22"/>
              </w:rPr>
              <w:t> </w:t>
            </w:r>
            <w:r>
              <w:rPr>
                <w:spacing w:val="-2"/>
                <w:sz w:val="22"/>
              </w:rPr>
              <w:t>restaurant </w:t>
            </w:r>
            <w:r>
              <w:rPr>
                <w:sz w:val="22"/>
              </w:rPr>
              <w:t>area, shopping, ATM, recreation area, Art and culture related uses, Indoor games area, fitness center, fire services</w:t>
            </w:r>
          </w:p>
        </w:tc>
        <w:tc>
          <w:tcPr>
            <w:tcW w:w="2071" w:type="dxa"/>
          </w:tcPr>
          <w:p>
            <w:pPr>
              <w:pStyle w:val="TableParagraph"/>
              <w:rPr>
                <w:rFonts w:ascii="Times New Roman"/>
                <w:sz w:val="20"/>
              </w:rPr>
            </w:pPr>
          </w:p>
        </w:tc>
        <w:tc>
          <w:tcPr>
            <w:tcW w:w="1348" w:type="dxa"/>
          </w:tcPr>
          <w:p>
            <w:pPr>
              <w:pStyle w:val="TableParagraph"/>
              <w:rPr>
                <w:rFonts w:ascii="Times New Roman"/>
                <w:sz w:val="20"/>
              </w:rPr>
            </w:pPr>
          </w:p>
        </w:tc>
      </w:tr>
      <w:tr>
        <w:trPr>
          <w:trHeight w:val="1998" w:hRule="atLeast"/>
        </w:trPr>
        <w:tc>
          <w:tcPr>
            <w:tcW w:w="900" w:type="dxa"/>
          </w:tcPr>
          <w:p>
            <w:pPr>
              <w:pStyle w:val="TableParagraph"/>
              <w:spacing w:before="189"/>
              <w:rPr>
                <w:b/>
                <w:i/>
                <w:sz w:val="22"/>
              </w:rPr>
            </w:pPr>
          </w:p>
          <w:p>
            <w:pPr>
              <w:pStyle w:val="TableParagraph"/>
              <w:ind w:left="10"/>
              <w:jc w:val="center"/>
              <w:rPr>
                <w:sz w:val="22"/>
              </w:rPr>
            </w:pPr>
            <w:r>
              <w:rPr>
                <w:spacing w:val="-10"/>
                <w:sz w:val="22"/>
              </w:rPr>
              <w:t>8</w:t>
            </w:r>
          </w:p>
        </w:tc>
        <w:tc>
          <w:tcPr>
            <w:tcW w:w="875" w:type="dxa"/>
            <w:vMerge/>
            <w:tcBorders>
              <w:top w:val="nil"/>
            </w:tcBorders>
          </w:tcPr>
          <w:p>
            <w:pPr>
              <w:rPr>
                <w:sz w:val="2"/>
                <w:szCs w:val="2"/>
              </w:rPr>
            </w:pPr>
          </w:p>
        </w:tc>
        <w:tc>
          <w:tcPr>
            <w:tcW w:w="976" w:type="dxa"/>
          </w:tcPr>
          <w:p>
            <w:pPr>
              <w:pStyle w:val="TableParagraph"/>
              <w:spacing w:before="94"/>
              <w:ind w:left="109" w:right="479" w:hanging="84"/>
              <w:rPr>
                <w:sz w:val="22"/>
              </w:rPr>
            </w:pPr>
            <w:r>
              <w:rPr>
                <w:spacing w:val="-4"/>
                <w:sz w:val="22"/>
              </w:rPr>
              <w:t>RSA </w:t>
            </w:r>
            <w:r>
              <w:rPr>
                <w:spacing w:val="-5"/>
                <w:sz w:val="22"/>
              </w:rPr>
              <w:t>7.1</w:t>
            </w:r>
          </w:p>
        </w:tc>
        <w:tc>
          <w:tcPr>
            <w:tcW w:w="1454" w:type="dxa"/>
          </w:tcPr>
          <w:p>
            <w:pPr>
              <w:pStyle w:val="TableParagraph"/>
              <w:spacing w:before="94"/>
              <w:ind w:left="185" w:right="166"/>
              <w:rPr>
                <w:sz w:val="22"/>
              </w:rPr>
            </w:pPr>
            <w:r>
              <w:rPr>
                <w:spacing w:val="-4"/>
                <w:sz w:val="22"/>
              </w:rPr>
              <w:t>Film </w:t>
            </w:r>
            <w:r>
              <w:rPr>
                <w:spacing w:val="-2"/>
                <w:sz w:val="22"/>
              </w:rPr>
              <w:t>Studio/ </w:t>
            </w:r>
            <w:r>
              <w:rPr>
                <w:sz w:val="22"/>
              </w:rPr>
              <w:t>TV</w:t>
            </w:r>
            <w:r>
              <w:rPr>
                <w:spacing w:val="-18"/>
                <w:sz w:val="22"/>
              </w:rPr>
              <w:t> </w:t>
            </w:r>
            <w:r>
              <w:rPr>
                <w:sz w:val="22"/>
              </w:rPr>
              <w:t>Studio</w:t>
            </w:r>
          </w:p>
        </w:tc>
        <w:tc>
          <w:tcPr>
            <w:tcW w:w="2608" w:type="dxa"/>
          </w:tcPr>
          <w:p>
            <w:pPr>
              <w:pStyle w:val="TableParagraph"/>
              <w:spacing w:before="94"/>
              <w:ind w:left="111" w:right="88"/>
              <w:jc w:val="both"/>
              <w:rPr>
                <w:sz w:val="22"/>
              </w:rPr>
            </w:pPr>
            <w:r>
              <w:rPr>
                <w:sz w:val="22"/>
              </w:rPr>
              <w:t>Film Studio/ TV Studio/Dubbing &amp; Recording Studio/ Preview Theater with administrative office, Art and culture related uses</w:t>
            </w:r>
          </w:p>
        </w:tc>
        <w:tc>
          <w:tcPr>
            <w:tcW w:w="2071" w:type="dxa"/>
          </w:tcPr>
          <w:p>
            <w:pPr>
              <w:pStyle w:val="TableParagraph"/>
              <w:tabs>
                <w:tab w:pos="1261" w:val="left" w:leader="none"/>
              </w:tabs>
              <w:spacing w:before="94"/>
              <w:ind w:left="112" w:right="91"/>
              <w:rPr>
                <w:sz w:val="22"/>
              </w:rPr>
            </w:pPr>
            <w:r>
              <w:rPr>
                <w:spacing w:val="-4"/>
                <w:sz w:val="22"/>
              </w:rPr>
              <w:t>ATM,</w:t>
            </w:r>
            <w:r>
              <w:rPr>
                <w:sz w:val="22"/>
              </w:rPr>
              <w:tab/>
            </w:r>
            <w:r>
              <w:rPr>
                <w:spacing w:val="-2"/>
                <w:sz w:val="22"/>
              </w:rPr>
              <w:t>shops, Dispensary, Canteen,</w:t>
            </w:r>
          </w:p>
        </w:tc>
        <w:tc>
          <w:tcPr>
            <w:tcW w:w="1348" w:type="dxa"/>
          </w:tcPr>
          <w:p>
            <w:pPr>
              <w:pStyle w:val="TableParagraph"/>
              <w:spacing w:line="328" w:lineRule="auto" w:before="94"/>
              <w:ind w:left="113" w:right="532"/>
              <w:rPr>
                <w:sz w:val="22"/>
              </w:rPr>
            </w:pPr>
            <w:r>
              <w:rPr>
                <w:sz w:val="22"/>
              </w:rPr>
              <w:t>1 or 2 </w:t>
            </w:r>
            <w:r>
              <w:rPr>
                <w:spacing w:val="-2"/>
                <w:sz w:val="22"/>
              </w:rPr>
              <w:t>Zb=10</w:t>
            </w:r>
          </w:p>
        </w:tc>
      </w:tr>
      <w:tr>
        <w:trPr>
          <w:trHeight w:val="1223" w:hRule="atLeast"/>
        </w:trPr>
        <w:tc>
          <w:tcPr>
            <w:tcW w:w="900" w:type="dxa"/>
          </w:tcPr>
          <w:p>
            <w:pPr>
              <w:pStyle w:val="TableParagraph"/>
              <w:spacing w:before="94"/>
              <w:ind w:left="10"/>
              <w:jc w:val="center"/>
              <w:rPr>
                <w:sz w:val="22"/>
              </w:rPr>
            </w:pPr>
            <w:r>
              <w:rPr>
                <w:spacing w:val="-10"/>
                <w:sz w:val="22"/>
              </w:rPr>
              <w:t>9</w:t>
            </w:r>
          </w:p>
        </w:tc>
        <w:tc>
          <w:tcPr>
            <w:tcW w:w="875" w:type="dxa"/>
            <w:vMerge/>
            <w:tcBorders>
              <w:top w:val="nil"/>
            </w:tcBorders>
          </w:tcPr>
          <w:p>
            <w:pPr>
              <w:rPr>
                <w:sz w:val="2"/>
                <w:szCs w:val="2"/>
              </w:rPr>
            </w:pPr>
          </w:p>
        </w:tc>
        <w:tc>
          <w:tcPr>
            <w:tcW w:w="976" w:type="dxa"/>
          </w:tcPr>
          <w:p>
            <w:pPr>
              <w:pStyle w:val="TableParagraph"/>
              <w:spacing w:before="94"/>
              <w:ind w:left="109" w:right="479" w:hanging="84"/>
              <w:rPr>
                <w:sz w:val="22"/>
              </w:rPr>
            </w:pPr>
            <w:r>
              <w:rPr>
                <w:spacing w:val="-4"/>
                <w:sz w:val="22"/>
              </w:rPr>
              <w:t>RSA </w:t>
            </w:r>
            <w:r>
              <w:rPr>
                <w:spacing w:val="-5"/>
                <w:sz w:val="22"/>
              </w:rPr>
              <w:t>8.1</w:t>
            </w:r>
          </w:p>
        </w:tc>
        <w:tc>
          <w:tcPr>
            <w:tcW w:w="1454" w:type="dxa"/>
          </w:tcPr>
          <w:p>
            <w:pPr>
              <w:pStyle w:val="TableParagraph"/>
              <w:spacing w:before="94"/>
              <w:ind w:left="110" w:right="564"/>
              <w:rPr>
                <w:sz w:val="22"/>
              </w:rPr>
            </w:pPr>
            <w:r>
              <w:rPr>
                <w:spacing w:val="-2"/>
                <w:sz w:val="22"/>
              </w:rPr>
              <w:t>Animal shelter</w:t>
            </w:r>
          </w:p>
        </w:tc>
        <w:tc>
          <w:tcPr>
            <w:tcW w:w="2608" w:type="dxa"/>
          </w:tcPr>
          <w:p>
            <w:pPr>
              <w:pStyle w:val="TableParagraph"/>
              <w:spacing w:before="94"/>
              <w:ind w:left="111" w:right="91" w:firstLine="69"/>
              <w:jc w:val="both"/>
              <w:rPr>
                <w:sz w:val="22"/>
              </w:rPr>
            </w:pPr>
            <w:r>
              <w:rPr>
                <w:sz w:val="22"/>
              </w:rPr>
              <w:t>Animal shelter, shed for animals with animal eating </w:t>
            </w:r>
            <w:r>
              <w:rPr>
                <w:sz w:val="22"/>
              </w:rPr>
              <w:t>&amp; drinking facilities</w:t>
            </w:r>
          </w:p>
        </w:tc>
        <w:tc>
          <w:tcPr>
            <w:tcW w:w="2071" w:type="dxa"/>
          </w:tcPr>
          <w:p>
            <w:pPr>
              <w:pStyle w:val="TableParagraph"/>
              <w:spacing w:before="94"/>
              <w:ind w:left="112"/>
              <w:rPr>
                <w:sz w:val="22"/>
              </w:rPr>
            </w:pPr>
            <w:r>
              <w:rPr>
                <w:sz w:val="22"/>
              </w:rPr>
              <w:t>Chowky</w:t>
            </w:r>
            <w:r>
              <w:rPr>
                <w:spacing w:val="-18"/>
                <w:sz w:val="22"/>
              </w:rPr>
              <w:t> </w:t>
            </w:r>
            <w:r>
              <w:rPr>
                <w:sz w:val="22"/>
              </w:rPr>
              <w:t>&amp;</w:t>
            </w:r>
            <w:r>
              <w:rPr>
                <w:spacing w:val="-18"/>
                <w:sz w:val="22"/>
              </w:rPr>
              <w:t> </w:t>
            </w:r>
            <w:r>
              <w:rPr>
                <w:sz w:val="22"/>
              </w:rPr>
              <w:t>toilet </w:t>
            </w:r>
            <w:r>
              <w:rPr>
                <w:spacing w:val="-2"/>
                <w:sz w:val="22"/>
              </w:rPr>
              <w:t>block</w:t>
            </w:r>
          </w:p>
        </w:tc>
        <w:tc>
          <w:tcPr>
            <w:tcW w:w="1348" w:type="dxa"/>
          </w:tcPr>
          <w:p>
            <w:pPr>
              <w:pStyle w:val="TableParagraph"/>
              <w:spacing w:line="331" w:lineRule="auto" w:before="94"/>
              <w:ind w:left="113" w:right="532"/>
              <w:rPr>
                <w:sz w:val="22"/>
              </w:rPr>
            </w:pPr>
            <w:r>
              <w:rPr>
                <w:sz w:val="22"/>
              </w:rPr>
              <w:t>1 or 2 </w:t>
            </w:r>
            <w:r>
              <w:rPr>
                <w:spacing w:val="-2"/>
                <w:sz w:val="22"/>
              </w:rPr>
              <w:t>Zb=10</w:t>
            </w:r>
          </w:p>
        </w:tc>
      </w:tr>
      <w:tr>
        <w:trPr>
          <w:trHeight w:val="1158" w:hRule="atLeast"/>
        </w:trPr>
        <w:tc>
          <w:tcPr>
            <w:tcW w:w="900" w:type="dxa"/>
          </w:tcPr>
          <w:p>
            <w:pPr>
              <w:pStyle w:val="TableParagraph"/>
              <w:spacing w:before="191"/>
              <w:rPr>
                <w:b/>
                <w:i/>
                <w:sz w:val="22"/>
              </w:rPr>
            </w:pPr>
          </w:p>
          <w:p>
            <w:pPr>
              <w:pStyle w:val="TableParagraph"/>
              <w:ind w:left="10" w:right="3"/>
              <w:jc w:val="center"/>
              <w:rPr>
                <w:sz w:val="22"/>
              </w:rPr>
            </w:pPr>
            <w:r>
              <w:rPr>
                <w:spacing w:val="-5"/>
                <w:sz w:val="22"/>
              </w:rPr>
              <w:t>10</w:t>
            </w:r>
          </w:p>
        </w:tc>
        <w:tc>
          <w:tcPr>
            <w:tcW w:w="875" w:type="dxa"/>
            <w:vMerge/>
            <w:tcBorders>
              <w:top w:val="nil"/>
            </w:tcBorders>
          </w:tcPr>
          <w:p>
            <w:pPr>
              <w:rPr>
                <w:sz w:val="2"/>
                <w:szCs w:val="2"/>
              </w:rPr>
            </w:pPr>
          </w:p>
        </w:tc>
        <w:tc>
          <w:tcPr>
            <w:tcW w:w="976" w:type="dxa"/>
          </w:tcPr>
          <w:p>
            <w:pPr>
              <w:pStyle w:val="TableParagraph"/>
              <w:spacing w:before="97"/>
              <w:ind w:left="109" w:right="218" w:hanging="84"/>
              <w:rPr>
                <w:sz w:val="22"/>
              </w:rPr>
            </w:pPr>
            <w:r>
              <w:rPr>
                <w:spacing w:val="-2"/>
                <w:sz w:val="22"/>
              </w:rPr>
              <w:t>RMS3. </w:t>
            </w:r>
            <w:r>
              <w:rPr>
                <w:spacing w:val="-10"/>
                <w:sz w:val="22"/>
              </w:rPr>
              <w:t>2</w:t>
            </w:r>
          </w:p>
        </w:tc>
        <w:tc>
          <w:tcPr>
            <w:tcW w:w="1454" w:type="dxa"/>
          </w:tcPr>
          <w:p>
            <w:pPr>
              <w:pStyle w:val="TableParagraph"/>
              <w:spacing w:before="97"/>
              <w:ind w:left="110" w:right="166"/>
              <w:rPr>
                <w:sz w:val="22"/>
              </w:rPr>
            </w:pPr>
            <w:r>
              <w:rPr>
                <w:sz w:val="22"/>
              </w:rPr>
              <w:t>Land</w:t>
            </w:r>
            <w:r>
              <w:rPr>
                <w:spacing w:val="-18"/>
                <w:sz w:val="22"/>
              </w:rPr>
              <w:t> </w:t>
            </w:r>
            <w:r>
              <w:rPr>
                <w:sz w:val="22"/>
              </w:rPr>
              <w:t>Fill </w:t>
            </w:r>
            <w:r>
              <w:rPr>
                <w:spacing w:val="-4"/>
                <w:sz w:val="22"/>
              </w:rPr>
              <w:t>Site</w:t>
            </w:r>
          </w:p>
        </w:tc>
        <w:tc>
          <w:tcPr>
            <w:tcW w:w="2608" w:type="dxa"/>
          </w:tcPr>
          <w:p>
            <w:pPr>
              <w:pStyle w:val="TableParagraph"/>
              <w:spacing w:before="97"/>
              <w:ind w:left="111"/>
              <w:rPr>
                <w:sz w:val="22"/>
              </w:rPr>
            </w:pPr>
            <w:r>
              <w:rPr>
                <w:sz w:val="22"/>
              </w:rPr>
              <w:t>Solid</w:t>
            </w:r>
            <w:r>
              <w:rPr>
                <w:spacing w:val="-5"/>
                <w:sz w:val="22"/>
              </w:rPr>
              <w:t> </w:t>
            </w:r>
            <w:r>
              <w:rPr>
                <w:sz w:val="22"/>
              </w:rPr>
              <w:t>Waste</w:t>
            </w:r>
            <w:r>
              <w:rPr>
                <w:spacing w:val="-5"/>
                <w:sz w:val="22"/>
              </w:rPr>
              <w:t> </w:t>
            </w:r>
            <w:r>
              <w:rPr>
                <w:sz w:val="22"/>
              </w:rPr>
              <w:t>Disposal, Facility,</w:t>
            </w:r>
            <w:r>
              <w:rPr>
                <w:spacing w:val="-6"/>
                <w:sz w:val="22"/>
              </w:rPr>
              <w:t> </w:t>
            </w:r>
            <w:r>
              <w:rPr>
                <w:sz w:val="22"/>
              </w:rPr>
              <w:t>Land</w:t>
            </w:r>
            <w:r>
              <w:rPr>
                <w:spacing w:val="-4"/>
                <w:sz w:val="22"/>
              </w:rPr>
              <w:t> </w:t>
            </w:r>
            <w:r>
              <w:rPr>
                <w:sz w:val="22"/>
              </w:rPr>
              <w:t>Fill</w:t>
            </w:r>
            <w:r>
              <w:rPr>
                <w:spacing w:val="-4"/>
                <w:sz w:val="22"/>
              </w:rPr>
              <w:t> Site</w:t>
            </w:r>
          </w:p>
        </w:tc>
        <w:tc>
          <w:tcPr>
            <w:tcW w:w="2071" w:type="dxa"/>
          </w:tcPr>
          <w:p>
            <w:pPr>
              <w:pStyle w:val="TableParagraph"/>
              <w:rPr>
                <w:rFonts w:ascii="Times New Roman"/>
                <w:sz w:val="20"/>
              </w:rPr>
            </w:pPr>
          </w:p>
        </w:tc>
        <w:tc>
          <w:tcPr>
            <w:tcW w:w="1348" w:type="dxa"/>
          </w:tcPr>
          <w:p>
            <w:pPr>
              <w:pStyle w:val="TableParagraph"/>
              <w:spacing w:line="328" w:lineRule="auto" w:before="97"/>
              <w:ind w:left="113" w:right="551"/>
              <w:rPr>
                <w:sz w:val="22"/>
              </w:rPr>
            </w:pPr>
            <w:r>
              <w:rPr>
                <w:spacing w:val="-6"/>
                <w:sz w:val="22"/>
              </w:rPr>
              <w:t>1, </w:t>
            </w:r>
            <w:r>
              <w:rPr>
                <w:spacing w:val="-4"/>
                <w:sz w:val="22"/>
              </w:rPr>
              <w:t>Za=10</w:t>
            </w:r>
          </w:p>
          <w:p>
            <w:pPr>
              <w:pStyle w:val="TableParagraph"/>
              <w:ind w:left="113"/>
              <w:rPr>
                <w:sz w:val="22"/>
              </w:rPr>
            </w:pPr>
            <w:r>
              <w:rPr>
                <w:spacing w:val="-2"/>
                <w:sz w:val="22"/>
              </w:rPr>
              <w:t>Zb=10</w:t>
            </w:r>
          </w:p>
        </w:tc>
      </w:tr>
      <w:tr>
        <w:trPr>
          <w:trHeight w:val="2776" w:hRule="atLeast"/>
        </w:trPr>
        <w:tc>
          <w:tcPr>
            <w:tcW w:w="900" w:type="dxa"/>
          </w:tcPr>
          <w:p>
            <w:pPr>
              <w:pStyle w:val="TableParagraph"/>
              <w:spacing w:before="191"/>
              <w:rPr>
                <w:b/>
                <w:i/>
                <w:sz w:val="22"/>
              </w:rPr>
            </w:pPr>
          </w:p>
          <w:p>
            <w:pPr>
              <w:pStyle w:val="TableParagraph"/>
              <w:ind w:left="10" w:right="3"/>
              <w:jc w:val="center"/>
              <w:rPr>
                <w:sz w:val="22"/>
              </w:rPr>
            </w:pPr>
            <w:r>
              <w:rPr>
                <w:spacing w:val="-5"/>
                <w:sz w:val="22"/>
              </w:rPr>
              <w:t>11</w:t>
            </w:r>
          </w:p>
        </w:tc>
        <w:tc>
          <w:tcPr>
            <w:tcW w:w="875" w:type="dxa"/>
            <w:vMerge/>
            <w:tcBorders>
              <w:top w:val="nil"/>
            </w:tcBorders>
          </w:tcPr>
          <w:p>
            <w:pPr>
              <w:rPr>
                <w:sz w:val="2"/>
                <w:szCs w:val="2"/>
              </w:rPr>
            </w:pPr>
          </w:p>
        </w:tc>
        <w:tc>
          <w:tcPr>
            <w:tcW w:w="976" w:type="dxa"/>
          </w:tcPr>
          <w:p>
            <w:pPr>
              <w:pStyle w:val="TableParagraph"/>
              <w:spacing w:before="191"/>
              <w:rPr>
                <w:b/>
                <w:i/>
                <w:sz w:val="22"/>
              </w:rPr>
            </w:pPr>
          </w:p>
          <w:p>
            <w:pPr>
              <w:pStyle w:val="TableParagraph"/>
              <w:ind w:left="109" w:right="218" w:hanging="84"/>
              <w:rPr>
                <w:sz w:val="22"/>
              </w:rPr>
            </w:pPr>
            <w:r>
              <w:rPr>
                <w:spacing w:val="-2"/>
                <w:sz w:val="22"/>
              </w:rPr>
              <w:t>RMS4. </w:t>
            </w:r>
            <w:r>
              <w:rPr>
                <w:spacing w:val="-10"/>
                <w:sz w:val="22"/>
              </w:rPr>
              <w:t>1</w:t>
            </w:r>
          </w:p>
        </w:tc>
        <w:tc>
          <w:tcPr>
            <w:tcW w:w="1454" w:type="dxa"/>
          </w:tcPr>
          <w:p>
            <w:pPr>
              <w:pStyle w:val="TableParagraph"/>
              <w:spacing w:before="97"/>
              <w:ind w:left="110"/>
              <w:rPr>
                <w:sz w:val="22"/>
              </w:rPr>
            </w:pPr>
            <w:r>
              <w:rPr>
                <w:spacing w:val="-2"/>
                <w:sz w:val="22"/>
              </w:rPr>
              <w:t>Sewage Treatment Plant/Facili </w:t>
            </w:r>
            <w:r>
              <w:rPr>
                <w:spacing w:val="-4"/>
                <w:sz w:val="22"/>
              </w:rPr>
              <w:t>ties</w:t>
            </w:r>
          </w:p>
        </w:tc>
        <w:tc>
          <w:tcPr>
            <w:tcW w:w="2608" w:type="dxa"/>
          </w:tcPr>
          <w:p>
            <w:pPr>
              <w:pStyle w:val="TableParagraph"/>
              <w:tabs>
                <w:tab w:pos="1706" w:val="left" w:leader="none"/>
              </w:tabs>
              <w:spacing w:before="97"/>
              <w:ind w:left="111" w:right="64"/>
              <w:jc w:val="both"/>
              <w:rPr>
                <w:sz w:val="22"/>
              </w:rPr>
            </w:pPr>
            <w:r>
              <w:rPr>
                <w:sz w:val="22"/>
              </w:rPr>
              <w:t>Sewerage Treatment </w:t>
            </w:r>
            <w:r>
              <w:rPr>
                <w:spacing w:val="-2"/>
                <w:sz w:val="22"/>
              </w:rPr>
              <w:t>Plant,</w:t>
            </w:r>
            <w:r>
              <w:rPr>
                <w:sz w:val="22"/>
              </w:rPr>
              <w:tab/>
            </w:r>
            <w:r>
              <w:rPr>
                <w:spacing w:val="-2"/>
                <w:sz w:val="22"/>
              </w:rPr>
              <w:t>Aerated </w:t>
            </w:r>
            <w:r>
              <w:rPr>
                <w:sz w:val="22"/>
              </w:rPr>
              <w:t>Lagoons, ETP &amp; Allied Services along with other</w:t>
            </w:r>
            <w:r>
              <w:rPr>
                <w:spacing w:val="-18"/>
                <w:sz w:val="22"/>
              </w:rPr>
              <w:t> </w:t>
            </w:r>
            <w:r>
              <w:rPr>
                <w:sz w:val="22"/>
              </w:rPr>
              <w:t>uses</w:t>
            </w:r>
            <w:r>
              <w:rPr>
                <w:spacing w:val="-18"/>
                <w:sz w:val="22"/>
              </w:rPr>
              <w:t> </w:t>
            </w:r>
            <w:r>
              <w:rPr>
                <w:sz w:val="22"/>
              </w:rPr>
              <w:t>if</w:t>
            </w:r>
            <w:r>
              <w:rPr>
                <w:spacing w:val="-17"/>
                <w:sz w:val="22"/>
              </w:rPr>
              <w:t> </w:t>
            </w:r>
            <w:r>
              <w:rPr>
                <w:sz w:val="22"/>
              </w:rPr>
              <w:t>any,</w:t>
            </w:r>
            <w:r>
              <w:rPr>
                <w:spacing w:val="-18"/>
                <w:sz w:val="22"/>
              </w:rPr>
              <w:t> </w:t>
            </w:r>
            <w:r>
              <w:rPr>
                <w:sz w:val="22"/>
              </w:rPr>
              <w:t>such as</w:t>
            </w:r>
            <w:r>
              <w:rPr>
                <w:spacing w:val="-2"/>
                <w:sz w:val="22"/>
              </w:rPr>
              <w:t> </w:t>
            </w:r>
            <w:r>
              <w:rPr>
                <w:sz w:val="22"/>
              </w:rPr>
              <w:t>Municipal</w:t>
            </w:r>
            <w:r>
              <w:rPr>
                <w:spacing w:val="-1"/>
                <w:sz w:val="22"/>
              </w:rPr>
              <w:t> </w:t>
            </w:r>
            <w:r>
              <w:rPr>
                <w:sz w:val="22"/>
              </w:rPr>
              <w:t>Chowky, Municipal</w:t>
            </w:r>
            <w:r>
              <w:rPr>
                <w:spacing w:val="69"/>
                <w:w w:val="150"/>
                <w:sz w:val="22"/>
              </w:rPr>
              <w:t>    </w:t>
            </w:r>
            <w:r>
              <w:rPr>
                <w:spacing w:val="-2"/>
                <w:sz w:val="22"/>
              </w:rPr>
              <w:t>Store,</w:t>
            </w:r>
          </w:p>
          <w:p>
            <w:pPr>
              <w:pStyle w:val="TableParagraph"/>
              <w:ind w:left="111" w:right="66"/>
              <w:jc w:val="both"/>
              <w:rPr>
                <w:sz w:val="22"/>
              </w:rPr>
            </w:pPr>
            <w:r>
              <w:rPr>
                <w:sz w:val="22"/>
              </w:rPr>
              <w:t>Municipal Office, Workshop with Staff </w:t>
            </w:r>
            <w:r>
              <w:rPr>
                <w:spacing w:val="-2"/>
                <w:sz w:val="22"/>
              </w:rPr>
              <w:t>Quarters</w:t>
            </w:r>
          </w:p>
        </w:tc>
        <w:tc>
          <w:tcPr>
            <w:tcW w:w="2071" w:type="dxa"/>
          </w:tcPr>
          <w:p>
            <w:pPr>
              <w:pStyle w:val="TableParagraph"/>
              <w:tabs>
                <w:tab w:pos="1275" w:val="left" w:leader="none"/>
                <w:tab w:pos="1838" w:val="left" w:leader="none"/>
              </w:tabs>
              <w:spacing w:before="97"/>
              <w:ind w:left="112" w:right="91"/>
              <w:rPr>
                <w:sz w:val="22"/>
              </w:rPr>
            </w:pPr>
            <w:r>
              <w:rPr>
                <w:spacing w:val="-2"/>
                <w:sz w:val="22"/>
              </w:rPr>
              <w:t>Canteen, </w:t>
            </w:r>
            <w:r>
              <w:rPr>
                <w:sz w:val="22"/>
              </w:rPr>
              <w:t>Dispensary Unit, </w:t>
            </w:r>
            <w:r>
              <w:rPr>
                <w:spacing w:val="-2"/>
                <w:sz w:val="22"/>
              </w:rPr>
              <w:t>Branch</w:t>
            </w:r>
            <w:r>
              <w:rPr>
                <w:sz w:val="22"/>
              </w:rPr>
              <w:tab/>
            </w:r>
            <w:r>
              <w:rPr>
                <w:spacing w:val="-6"/>
                <w:sz w:val="22"/>
              </w:rPr>
              <w:t>of</w:t>
            </w:r>
            <w:r>
              <w:rPr>
                <w:sz w:val="22"/>
              </w:rPr>
              <w:tab/>
            </w:r>
            <w:r>
              <w:rPr>
                <w:spacing w:val="-10"/>
                <w:sz w:val="22"/>
              </w:rPr>
              <w:t>a </w:t>
            </w:r>
            <w:r>
              <w:rPr>
                <w:spacing w:val="-2"/>
                <w:sz w:val="22"/>
              </w:rPr>
              <w:t>Bank,</w:t>
            </w:r>
          </w:p>
        </w:tc>
        <w:tc>
          <w:tcPr>
            <w:tcW w:w="1348" w:type="dxa"/>
          </w:tcPr>
          <w:p>
            <w:pPr>
              <w:pStyle w:val="TableParagraph"/>
              <w:spacing w:before="97"/>
              <w:ind w:left="113"/>
              <w:rPr>
                <w:sz w:val="22"/>
              </w:rPr>
            </w:pPr>
            <w:r>
              <w:rPr>
                <w:spacing w:val="-5"/>
                <w:sz w:val="22"/>
              </w:rPr>
              <w:t>1,</w:t>
            </w:r>
          </w:p>
          <w:p>
            <w:pPr>
              <w:pStyle w:val="TableParagraph"/>
              <w:spacing w:before="94"/>
              <w:ind w:left="223"/>
              <w:rPr>
                <w:sz w:val="22"/>
              </w:rPr>
            </w:pPr>
            <w:r>
              <w:rPr>
                <w:sz w:val="22"/>
              </w:rPr>
              <w:t>Za</w:t>
            </w:r>
            <w:r>
              <w:rPr>
                <w:spacing w:val="-5"/>
                <w:sz w:val="22"/>
              </w:rPr>
              <w:t> </w:t>
            </w:r>
            <w:r>
              <w:rPr>
                <w:sz w:val="22"/>
              </w:rPr>
              <w:t>=</w:t>
            </w:r>
            <w:r>
              <w:rPr>
                <w:spacing w:val="-4"/>
                <w:sz w:val="22"/>
              </w:rPr>
              <w:t> </w:t>
            </w:r>
            <w:r>
              <w:rPr>
                <w:spacing w:val="-5"/>
                <w:sz w:val="22"/>
              </w:rPr>
              <w:t>10,</w:t>
            </w:r>
          </w:p>
          <w:p>
            <w:pPr>
              <w:pStyle w:val="TableParagraph"/>
              <w:spacing w:before="97"/>
              <w:ind w:left="223"/>
              <w:rPr>
                <w:sz w:val="22"/>
              </w:rPr>
            </w:pPr>
            <w:r>
              <w:rPr>
                <w:sz w:val="22"/>
              </w:rPr>
              <w:t>Zb</w:t>
            </w:r>
            <w:r>
              <w:rPr>
                <w:spacing w:val="-2"/>
                <w:sz w:val="22"/>
              </w:rPr>
              <w:t> </w:t>
            </w:r>
            <w:r>
              <w:rPr>
                <w:sz w:val="22"/>
              </w:rPr>
              <w:t>=</w:t>
            </w:r>
            <w:r>
              <w:rPr>
                <w:spacing w:val="-2"/>
                <w:sz w:val="22"/>
              </w:rPr>
              <w:t> </w:t>
            </w:r>
            <w:r>
              <w:rPr>
                <w:spacing w:val="-5"/>
                <w:sz w:val="22"/>
              </w:rPr>
              <w:t>10</w:t>
            </w:r>
          </w:p>
        </w:tc>
      </w:tr>
      <w:tr>
        <w:trPr>
          <w:trHeight w:val="2161" w:hRule="atLeast"/>
        </w:trPr>
        <w:tc>
          <w:tcPr>
            <w:tcW w:w="900" w:type="dxa"/>
          </w:tcPr>
          <w:p>
            <w:pPr>
              <w:pStyle w:val="TableParagraph"/>
              <w:spacing w:before="189"/>
              <w:rPr>
                <w:b/>
                <w:i/>
                <w:sz w:val="22"/>
              </w:rPr>
            </w:pPr>
          </w:p>
          <w:p>
            <w:pPr>
              <w:pStyle w:val="TableParagraph"/>
              <w:ind w:left="10" w:right="3"/>
              <w:jc w:val="center"/>
              <w:rPr>
                <w:sz w:val="22"/>
              </w:rPr>
            </w:pPr>
            <w:r>
              <w:rPr>
                <w:spacing w:val="-5"/>
                <w:sz w:val="22"/>
              </w:rPr>
              <w:t>12</w:t>
            </w:r>
          </w:p>
        </w:tc>
        <w:tc>
          <w:tcPr>
            <w:tcW w:w="875" w:type="dxa"/>
            <w:vMerge/>
            <w:tcBorders>
              <w:top w:val="nil"/>
            </w:tcBorders>
          </w:tcPr>
          <w:p>
            <w:pPr>
              <w:rPr>
                <w:sz w:val="2"/>
                <w:szCs w:val="2"/>
              </w:rPr>
            </w:pPr>
          </w:p>
        </w:tc>
        <w:tc>
          <w:tcPr>
            <w:tcW w:w="976" w:type="dxa"/>
          </w:tcPr>
          <w:p>
            <w:pPr>
              <w:pStyle w:val="TableParagraph"/>
              <w:rPr>
                <w:b/>
                <w:i/>
                <w:sz w:val="22"/>
              </w:rPr>
            </w:pPr>
          </w:p>
          <w:p>
            <w:pPr>
              <w:pStyle w:val="TableParagraph"/>
              <w:rPr>
                <w:b/>
                <w:i/>
                <w:sz w:val="22"/>
              </w:rPr>
            </w:pPr>
          </w:p>
          <w:p>
            <w:pPr>
              <w:pStyle w:val="TableParagraph"/>
              <w:spacing w:before="28"/>
              <w:rPr>
                <w:b/>
                <w:i/>
                <w:sz w:val="22"/>
              </w:rPr>
            </w:pPr>
          </w:p>
          <w:p>
            <w:pPr>
              <w:pStyle w:val="TableParagraph"/>
              <w:ind w:left="109" w:right="218" w:hanging="84"/>
              <w:rPr>
                <w:sz w:val="22"/>
              </w:rPr>
            </w:pPr>
            <w:r>
              <w:rPr>
                <w:spacing w:val="-2"/>
                <w:sz w:val="22"/>
              </w:rPr>
              <w:t>RMS4. </w:t>
            </w:r>
            <w:r>
              <w:rPr>
                <w:spacing w:val="-10"/>
                <w:sz w:val="22"/>
              </w:rPr>
              <w:t>3</w:t>
            </w:r>
          </w:p>
        </w:tc>
        <w:tc>
          <w:tcPr>
            <w:tcW w:w="1454" w:type="dxa"/>
          </w:tcPr>
          <w:p>
            <w:pPr>
              <w:pStyle w:val="TableParagraph"/>
              <w:spacing w:before="189"/>
              <w:rPr>
                <w:b/>
                <w:i/>
                <w:sz w:val="22"/>
              </w:rPr>
            </w:pPr>
          </w:p>
          <w:p>
            <w:pPr>
              <w:pStyle w:val="TableParagraph"/>
              <w:ind w:left="221" w:right="257"/>
              <w:rPr>
                <w:sz w:val="22"/>
              </w:rPr>
            </w:pPr>
            <w:r>
              <w:rPr>
                <w:spacing w:val="-2"/>
                <w:sz w:val="22"/>
              </w:rPr>
              <w:t>Sewage Pumping Station</w:t>
            </w:r>
          </w:p>
        </w:tc>
        <w:tc>
          <w:tcPr>
            <w:tcW w:w="2608" w:type="dxa"/>
          </w:tcPr>
          <w:p>
            <w:pPr>
              <w:pStyle w:val="TableParagraph"/>
              <w:tabs>
                <w:tab w:pos="1452" w:val="left" w:leader="none"/>
              </w:tabs>
              <w:spacing w:before="94"/>
              <w:ind w:left="111" w:right="67"/>
              <w:jc w:val="both"/>
              <w:rPr>
                <w:sz w:val="22"/>
              </w:rPr>
            </w:pPr>
            <w:r>
              <w:rPr>
                <w:sz w:val="22"/>
              </w:rPr>
              <w:t>Sewage </w:t>
            </w:r>
            <w:r>
              <w:rPr>
                <w:sz w:val="22"/>
              </w:rPr>
              <w:t>Pumping Station along with other</w:t>
            </w:r>
            <w:r>
              <w:rPr>
                <w:spacing w:val="-18"/>
                <w:sz w:val="22"/>
              </w:rPr>
              <w:t> </w:t>
            </w:r>
            <w:r>
              <w:rPr>
                <w:sz w:val="22"/>
              </w:rPr>
              <w:t>uses</w:t>
            </w:r>
            <w:r>
              <w:rPr>
                <w:spacing w:val="-18"/>
                <w:sz w:val="22"/>
              </w:rPr>
              <w:t> </w:t>
            </w:r>
            <w:r>
              <w:rPr>
                <w:sz w:val="22"/>
              </w:rPr>
              <w:t>if</w:t>
            </w:r>
            <w:r>
              <w:rPr>
                <w:spacing w:val="-17"/>
                <w:sz w:val="22"/>
              </w:rPr>
              <w:t> </w:t>
            </w:r>
            <w:r>
              <w:rPr>
                <w:sz w:val="22"/>
              </w:rPr>
              <w:t>any,</w:t>
            </w:r>
            <w:r>
              <w:rPr>
                <w:spacing w:val="-18"/>
                <w:sz w:val="22"/>
              </w:rPr>
              <w:t> </w:t>
            </w:r>
            <w:r>
              <w:rPr>
                <w:sz w:val="22"/>
              </w:rPr>
              <w:t>such </w:t>
            </w:r>
            <w:r>
              <w:rPr>
                <w:spacing w:val="-4"/>
                <w:sz w:val="22"/>
              </w:rPr>
              <w:t>as,</w:t>
            </w:r>
            <w:r>
              <w:rPr>
                <w:sz w:val="22"/>
              </w:rPr>
              <w:tab/>
            </w:r>
            <w:r>
              <w:rPr>
                <w:spacing w:val="-2"/>
                <w:sz w:val="22"/>
              </w:rPr>
              <w:t>Municipal </w:t>
            </w:r>
            <w:r>
              <w:rPr>
                <w:sz w:val="22"/>
              </w:rPr>
              <w:t>Chowky, Municipal Store,</w:t>
            </w:r>
            <w:r>
              <w:rPr>
                <w:spacing w:val="70"/>
                <w:w w:val="150"/>
                <w:sz w:val="22"/>
              </w:rPr>
              <w:t>    </w:t>
            </w:r>
            <w:r>
              <w:rPr>
                <w:spacing w:val="-2"/>
                <w:sz w:val="22"/>
              </w:rPr>
              <w:t>Municipal</w:t>
            </w:r>
          </w:p>
          <w:p>
            <w:pPr>
              <w:pStyle w:val="TableParagraph"/>
              <w:spacing w:line="257" w:lineRule="exact"/>
              <w:ind w:left="111"/>
              <w:jc w:val="both"/>
              <w:rPr>
                <w:sz w:val="22"/>
              </w:rPr>
            </w:pPr>
            <w:r>
              <w:rPr>
                <w:sz w:val="22"/>
              </w:rPr>
              <w:t>Office,</w:t>
            </w:r>
            <w:r>
              <w:rPr>
                <w:spacing w:val="57"/>
                <w:w w:val="150"/>
                <w:sz w:val="22"/>
              </w:rPr>
              <w:t>    </w:t>
            </w:r>
            <w:r>
              <w:rPr>
                <w:spacing w:val="-2"/>
                <w:sz w:val="22"/>
              </w:rPr>
              <w:t>Municipal</w:t>
            </w:r>
          </w:p>
          <w:p>
            <w:pPr>
              <w:pStyle w:val="TableParagraph"/>
              <w:tabs>
                <w:tab w:pos="2030" w:val="left" w:leader="none"/>
              </w:tabs>
              <w:spacing w:line="240" w:lineRule="exact" w:before="1"/>
              <w:ind w:left="111"/>
              <w:jc w:val="both"/>
              <w:rPr>
                <w:sz w:val="22"/>
              </w:rPr>
            </w:pPr>
            <w:r>
              <w:rPr>
                <w:spacing w:val="-2"/>
                <w:sz w:val="22"/>
              </w:rPr>
              <w:t>Workshop,</w:t>
            </w:r>
            <w:r>
              <w:rPr>
                <w:sz w:val="22"/>
              </w:rPr>
              <w:tab/>
            </w:r>
            <w:r>
              <w:rPr>
                <w:spacing w:val="-4"/>
                <w:sz w:val="22"/>
              </w:rPr>
              <w:t>Staff</w:t>
            </w:r>
          </w:p>
        </w:tc>
        <w:tc>
          <w:tcPr>
            <w:tcW w:w="2071" w:type="dxa"/>
          </w:tcPr>
          <w:p>
            <w:pPr>
              <w:pStyle w:val="TableParagraph"/>
              <w:tabs>
                <w:tab w:pos="1275" w:val="left" w:leader="none"/>
                <w:tab w:pos="1838" w:val="left" w:leader="none"/>
              </w:tabs>
              <w:spacing w:before="94"/>
              <w:ind w:left="112" w:right="91"/>
              <w:rPr>
                <w:sz w:val="22"/>
              </w:rPr>
            </w:pPr>
            <w:r>
              <w:rPr>
                <w:spacing w:val="-2"/>
                <w:sz w:val="22"/>
              </w:rPr>
              <w:t>Canteen, </w:t>
            </w:r>
            <w:r>
              <w:rPr>
                <w:sz w:val="22"/>
              </w:rPr>
              <w:t>Dispensary Unit, </w:t>
            </w:r>
            <w:r>
              <w:rPr>
                <w:spacing w:val="-2"/>
                <w:sz w:val="22"/>
              </w:rPr>
              <w:t>Branch</w:t>
            </w:r>
            <w:r>
              <w:rPr>
                <w:sz w:val="22"/>
              </w:rPr>
              <w:tab/>
            </w:r>
            <w:r>
              <w:rPr>
                <w:spacing w:val="-6"/>
                <w:sz w:val="22"/>
              </w:rPr>
              <w:t>of</w:t>
            </w:r>
            <w:r>
              <w:rPr>
                <w:sz w:val="22"/>
              </w:rPr>
              <w:tab/>
            </w:r>
            <w:r>
              <w:rPr>
                <w:spacing w:val="-10"/>
                <w:sz w:val="22"/>
              </w:rPr>
              <w:t>a </w:t>
            </w:r>
            <w:r>
              <w:rPr>
                <w:spacing w:val="-2"/>
                <w:sz w:val="22"/>
              </w:rPr>
              <w:t>Bank,</w:t>
            </w:r>
          </w:p>
        </w:tc>
        <w:tc>
          <w:tcPr>
            <w:tcW w:w="1348" w:type="dxa"/>
          </w:tcPr>
          <w:p>
            <w:pPr>
              <w:pStyle w:val="TableParagraph"/>
              <w:spacing w:line="328" w:lineRule="auto" w:before="94"/>
              <w:ind w:left="113" w:right="532"/>
              <w:rPr>
                <w:sz w:val="22"/>
              </w:rPr>
            </w:pPr>
            <w:r>
              <w:rPr>
                <w:spacing w:val="-6"/>
                <w:sz w:val="22"/>
              </w:rPr>
              <w:t>1, </w:t>
            </w:r>
            <w:r>
              <w:rPr>
                <w:spacing w:val="-2"/>
                <w:sz w:val="22"/>
              </w:rPr>
              <w:t>Zb=10</w:t>
            </w:r>
          </w:p>
        </w:tc>
      </w:tr>
    </w:tbl>
    <w:p>
      <w:pPr>
        <w:pStyle w:val="TableParagraph"/>
        <w:spacing w:after="0" w:line="328" w:lineRule="auto"/>
        <w:rPr>
          <w:sz w:val="22"/>
        </w:rPr>
        <w:sectPr>
          <w:pgSz w:w="11910" w:h="16840"/>
          <w:pgMar w:header="746" w:footer="968" w:top="1180" w:bottom="1160" w:left="360" w:right="360"/>
        </w:sectPr>
      </w:pPr>
    </w:p>
    <w:p>
      <w:pPr>
        <w:pStyle w:val="BodyText"/>
        <w:spacing w:before="17"/>
        <w:jc w:val="left"/>
        <w:rPr>
          <w:b/>
          <w:i/>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875"/>
        <w:gridCol w:w="976"/>
        <w:gridCol w:w="1454"/>
        <w:gridCol w:w="2608"/>
        <w:gridCol w:w="2071"/>
        <w:gridCol w:w="1348"/>
      </w:tblGrid>
      <w:tr>
        <w:trPr>
          <w:trHeight w:val="804" w:hRule="atLeast"/>
        </w:trPr>
        <w:tc>
          <w:tcPr>
            <w:tcW w:w="900" w:type="dxa"/>
            <w:vMerge w:val="restart"/>
          </w:tcPr>
          <w:p>
            <w:pPr>
              <w:pStyle w:val="TableParagraph"/>
              <w:spacing w:before="94"/>
              <w:ind w:left="107"/>
              <w:rPr>
                <w:b/>
                <w:sz w:val="22"/>
              </w:rPr>
            </w:pPr>
            <w:r>
              <w:rPr>
                <w:b/>
                <w:sz w:val="22"/>
              </w:rPr>
              <w:t>Sr.</w:t>
            </w:r>
            <w:r>
              <w:rPr>
                <w:b/>
                <w:spacing w:val="-14"/>
                <w:sz w:val="22"/>
              </w:rPr>
              <w:t> </w:t>
            </w:r>
            <w:r>
              <w:rPr>
                <w:b/>
                <w:spacing w:val="-5"/>
                <w:sz w:val="22"/>
              </w:rPr>
              <w:t>No</w:t>
            </w:r>
          </w:p>
        </w:tc>
        <w:tc>
          <w:tcPr>
            <w:tcW w:w="875" w:type="dxa"/>
            <w:vMerge w:val="restart"/>
          </w:tcPr>
          <w:p>
            <w:pPr>
              <w:pStyle w:val="TableParagraph"/>
              <w:spacing w:before="94"/>
              <w:ind w:left="108" w:right="22"/>
              <w:rPr>
                <w:b/>
                <w:sz w:val="22"/>
              </w:rPr>
            </w:pPr>
            <w:r>
              <w:rPr>
                <w:b/>
                <w:spacing w:val="-2"/>
                <w:sz w:val="22"/>
              </w:rPr>
              <w:t>Reser vation </w:t>
            </w:r>
            <w:r>
              <w:rPr>
                <w:b/>
                <w:spacing w:val="-4"/>
                <w:sz w:val="22"/>
              </w:rPr>
              <w:t>main </w:t>
            </w:r>
            <w:r>
              <w:rPr>
                <w:b/>
                <w:spacing w:val="-2"/>
                <w:sz w:val="22"/>
              </w:rPr>
              <w:t>Categ </w:t>
            </w:r>
            <w:r>
              <w:rPr>
                <w:b/>
                <w:spacing w:val="-4"/>
                <w:sz w:val="22"/>
              </w:rPr>
              <w:t>ory</w:t>
            </w:r>
          </w:p>
        </w:tc>
        <w:tc>
          <w:tcPr>
            <w:tcW w:w="2430" w:type="dxa"/>
            <w:gridSpan w:val="2"/>
          </w:tcPr>
          <w:p>
            <w:pPr>
              <w:pStyle w:val="TableParagraph"/>
              <w:tabs>
                <w:tab w:pos="1901" w:val="left" w:leader="none"/>
              </w:tabs>
              <w:spacing w:before="94"/>
              <w:ind w:left="109" w:right="93"/>
              <w:rPr>
                <w:b/>
                <w:sz w:val="22"/>
              </w:rPr>
            </w:pPr>
            <w:r>
              <w:rPr>
                <w:b/>
                <w:spacing w:val="-2"/>
                <w:sz w:val="22"/>
              </w:rPr>
              <w:t>Reservation</w:t>
            </w:r>
            <w:r>
              <w:rPr>
                <w:b/>
                <w:sz w:val="22"/>
              </w:rPr>
              <w:tab/>
            </w:r>
            <w:r>
              <w:rPr>
                <w:b/>
                <w:spacing w:val="-4"/>
                <w:sz w:val="22"/>
              </w:rPr>
              <w:t>Sub </w:t>
            </w:r>
            <w:r>
              <w:rPr>
                <w:b/>
                <w:spacing w:val="-2"/>
                <w:sz w:val="22"/>
              </w:rPr>
              <w:t>Category</w:t>
            </w:r>
          </w:p>
        </w:tc>
        <w:tc>
          <w:tcPr>
            <w:tcW w:w="4679" w:type="dxa"/>
            <w:gridSpan w:val="2"/>
          </w:tcPr>
          <w:p>
            <w:pPr>
              <w:pStyle w:val="TableParagraph"/>
              <w:spacing w:before="94"/>
              <w:ind w:left="1424"/>
              <w:rPr>
                <w:b/>
                <w:sz w:val="22"/>
              </w:rPr>
            </w:pPr>
            <w:r>
              <w:rPr>
                <w:b/>
                <w:sz w:val="22"/>
              </w:rPr>
              <w:t>Users</w:t>
            </w:r>
            <w:r>
              <w:rPr>
                <w:b/>
                <w:spacing w:val="-4"/>
                <w:sz w:val="22"/>
              </w:rPr>
              <w:t> </w:t>
            </w:r>
            <w:r>
              <w:rPr>
                <w:b/>
                <w:spacing w:val="-2"/>
                <w:sz w:val="22"/>
              </w:rPr>
              <w:t>Permitted</w:t>
            </w:r>
          </w:p>
        </w:tc>
        <w:tc>
          <w:tcPr>
            <w:tcW w:w="1348" w:type="dxa"/>
            <w:vMerge w:val="restart"/>
          </w:tcPr>
          <w:p>
            <w:pPr>
              <w:pStyle w:val="TableParagraph"/>
              <w:spacing w:before="94"/>
              <w:ind w:left="96"/>
              <w:rPr>
                <w:b/>
                <w:sz w:val="22"/>
              </w:rPr>
            </w:pPr>
            <w:r>
              <w:rPr>
                <w:b/>
                <w:spacing w:val="-2"/>
                <w:sz w:val="22"/>
              </w:rPr>
              <w:t>Applicable conditions </w:t>
            </w:r>
            <w:r>
              <w:rPr>
                <w:b/>
                <w:spacing w:val="-4"/>
                <w:sz w:val="22"/>
              </w:rPr>
              <w:t>for </w:t>
            </w:r>
            <w:r>
              <w:rPr>
                <w:b/>
                <w:spacing w:val="-2"/>
                <w:sz w:val="22"/>
              </w:rPr>
              <w:t>developme </w:t>
            </w:r>
            <w:r>
              <w:rPr>
                <w:b/>
                <w:spacing w:val="-6"/>
                <w:sz w:val="22"/>
              </w:rPr>
              <w:t>nt</w:t>
            </w:r>
          </w:p>
        </w:tc>
      </w:tr>
      <w:tr>
        <w:trPr>
          <w:trHeight w:val="709" w:hRule="atLeast"/>
        </w:trPr>
        <w:tc>
          <w:tcPr>
            <w:tcW w:w="900" w:type="dxa"/>
            <w:vMerge/>
            <w:tcBorders>
              <w:top w:val="nil"/>
            </w:tcBorders>
          </w:tcPr>
          <w:p>
            <w:pPr>
              <w:rPr>
                <w:sz w:val="2"/>
                <w:szCs w:val="2"/>
              </w:rPr>
            </w:pPr>
          </w:p>
        </w:tc>
        <w:tc>
          <w:tcPr>
            <w:tcW w:w="875" w:type="dxa"/>
            <w:vMerge/>
            <w:tcBorders>
              <w:top w:val="nil"/>
            </w:tcBorders>
          </w:tcPr>
          <w:p>
            <w:pPr>
              <w:rPr>
                <w:sz w:val="2"/>
                <w:szCs w:val="2"/>
              </w:rPr>
            </w:pPr>
          </w:p>
        </w:tc>
        <w:tc>
          <w:tcPr>
            <w:tcW w:w="976" w:type="dxa"/>
          </w:tcPr>
          <w:p>
            <w:pPr>
              <w:pStyle w:val="TableParagraph"/>
              <w:spacing w:before="97"/>
              <w:ind w:right="175"/>
              <w:jc w:val="center"/>
              <w:rPr>
                <w:b/>
                <w:sz w:val="22"/>
              </w:rPr>
            </w:pPr>
            <w:r>
              <w:rPr>
                <w:b/>
                <w:spacing w:val="-4"/>
                <w:sz w:val="22"/>
              </w:rPr>
              <w:t>Code</w:t>
            </w:r>
          </w:p>
        </w:tc>
        <w:tc>
          <w:tcPr>
            <w:tcW w:w="1454" w:type="dxa"/>
          </w:tcPr>
          <w:p>
            <w:pPr>
              <w:pStyle w:val="TableParagraph"/>
              <w:spacing w:before="97"/>
              <w:ind w:left="110"/>
              <w:rPr>
                <w:b/>
                <w:sz w:val="22"/>
              </w:rPr>
            </w:pPr>
            <w:r>
              <w:rPr>
                <w:b/>
                <w:spacing w:val="-4"/>
                <w:sz w:val="22"/>
              </w:rPr>
              <w:t>Name</w:t>
            </w:r>
          </w:p>
        </w:tc>
        <w:tc>
          <w:tcPr>
            <w:tcW w:w="2608" w:type="dxa"/>
          </w:tcPr>
          <w:p>
            <w:pPr>
              <w:pStyle w:val="TableParagraph"/>
              <w:spacing w:before="97"/>
              <w:ind w:left="111"/>
              <w:rPr>
                <w:b/>
                <w:sz w:val="22"/>
              </w:rPr>
            </w:pPr>
            <w:r>
              <w:rPr>
                <w:b/>
                <w:sz w:val="22"/>
              </w:rPr>
              <w:t>Permissible</w:t>
            </w:r>
            <w:r>
              <w:rPr>
                <w:b/>
                <w:spacing w:val="-7"/>
                <w:sz w:val="22"/>
              </w:rPr>
              <w:t> </w:t>
            </w:r>
            <w:r>
              <w:rPr>
                <w:b/>
                <w:spacing w:val="-4"/>
                <w:sz w:val="22"/>
              </w:rPr>
              <w:t>uses</w:t>
            </w:r>
          </w:p>
        </w:tc>
        <w:tc>
          <w:tcPr>
            <w:tcW w:w="2071" w:type="dxa"/>
          </w:tcPr>
          <w:p>
            <w:pPr>
              <w:pStyle w:val="TableParagraph"/>
              <w:spacing w:before="97"/>
              <w:ind w:left="112"/>
              <w:rPr>
                <w:b/>
                <w:sz w:val="22"/>
              </w:rPr>
            </w:pPr>
            <w:r>
              <w:rPr>
                <w:b/>
                <w:spacing w:val="-2"/>
                <w:sz w:val="22"/>
              </w:rPr>
              <w:t>Ancillary Activities</w:t>
            </w:r>
          </w:p>
        </w:tc>
        <w:tc>
          <w:tcPr>
            <w:tcW w:w="1348" w:type="dxa"/>
            <w:vMerge/>
            <w:tcBorders>
              <w:top w:val="nil"/>
            </w:tcBorders>
          </w:tcPr>
          <w:p>
            <w:pPr>
              <w:rPr>
                <w:sz w:val="2"/>
                <w:szCs w:val="2"/>
              </w:rPr>
            </w:pPr>
          </w:p>
        </w:tc>
      </w:tr>
      <w:tr>
        <w:trPr>
          <w:trHeight w:val="431" w:hRule="atLeast"/>
        </w:trPr>
        <w:tc>
          <w:tcPr>
            <w:tcW w:w="900" w:type="dxa"/>
          </w:tcPr>
          <w:p>
            <w:pPr>
              <w:pStyle w:val="TableParagraph"/>
              <w:rPr>
                <w:rFonts w:ascii="Times New Roman"/>
                <w:sz w:val="20"/>
              </w:rPr>
            </w:pPr>
          </w:p>
        </w:tc>
        <w:tc>
          <w:tcPr>
            <w:tcW w:w="875" w:type="dxa"/>
            <w:vMerge/>
            <w:tcBorders>
              <w:top w:val="nil"/>
            </w:tcBorders>
          </w:tcPr>
          <w:p>
            <w:pPr>
              <w:rPr>
                <w:sz w:val="2"/>
                <w:szCs w:val="2"/>
              </w:rPr>
            </w:pPr>
          </w:p>
        </w:tc>
        <w:tc>
          <w:tcPr>
            <w:tcW w:w="976" w:type="dxa"/>
          </w:tcPr>
          <w:p>
            <w:pPr>
              <w:pStyle w:val="TableParagraph"/>
              <w:rPr>
                <w:rFonts w:ascii="Times New Roman"/>
                <w:sz w:val="20"/>
              </w:rPr>
            </w:pPr>
          </w:p>
        </w:tc>
        <w:tc>
          <w:tcPr>
            <w:tcW w:w="1454" w:type="dxa"/>
          </w:tcPr>
          <w:p>
            <w:pPr>
              <w:pStyle w:val="TableParagraph"/>
              <w:rPr>
                <w:rFonts w:ascii="Times New Roman"/>
                <w:sz w:val="20"/>
              </w:rPr>
            </w:pPr>
          </w:p>
        </w:tc>
        <w:tc>
          <w:tcPr>
            <w:tcW w:w="2608" w:type="dxa"/>
          </w:tcPr>
          <w:p>
            <w:pPr>
              <w:pStyle w:val="TableParagraph"/>
              <w:spacing w:line="257" w:lineRule="exact"/>
              <w:ind w:left="111"/>
              <w:rPr>
                <w:sz w:val="22"/>
              </w:rPr>
            </w:pPr>
            <w:r>
              <w:rPr>
                <w:spacing w:val="-2"/>
                <w:sz w:val="22"/>
              </w:rPr>
              <w:t>Quarters</w:t>
            </w:r>
          </w:p>
        </w:tc>
        <w:tc>
          <w:tcPr>
            <w:tcW w:w="2071" w:type="dxa"/>
          </w:tcPr>
          <w:p>
            <w:pPr>
              <w:pStyle w:val="TableParagraph"/>
              <w:rPr>
                <w:rFonts w:ascii="Times New Roman"/>
                <w:sz w:val="20"/>
              </w:rPr>
            </w:pPr>
          </w:p>
        </w:tc>
        <w:tc>
          <w:tcPr>
            <w:tcW w:w="1348" w:type="dxa"/>
          </w:tcPr>
          <w:p>
            <w:pPr>
              <w:pStyle w:val="TableParagraph"/>
              <w:rPr>
                <w:rFonts w:ascii="Times New Roman"/>
                <w:sz w:val="20"/>
              </w:rPr>
            </w:pPr>
          </w:p>
        </w:tc>
      </w:tr>
      <w:tr>
        <w:trPr>
          <w:trHeight w:val="3033" w:hRule="atLeast"/>
        </w:trPr>
        <w:tc>
          <w:tcPr>
            <w:tcW w:w="900" w:type="dxa"/>
          </w:tcPr>
          <w:p>
            <w:pPr>
              <w:pStyle w:val="TableParagraph"/>
              <w:spacing w:before="191"/>
              <w:rPr>
                <w:b/>
                <w:i/>
                <w:sz w:val="22"/>
              </w:rPr>
            </w:pPr>
          </w:p>
          <w:p>
            <w:pPr>
              <w:pStyle w:val="TableParagraph"/>
              <w:ind w:left="10" w:right="3"/>
              <w:jc w:val="center"/>
              <w:rPr>
                <w:sz w:val="22"/>
              </w:rPr>
            </w:pPr>
            <w:r>
              <w:rPr>
                <w:spacing w:val="-5"/>
                <w:sz w:val="22"/>
              </w:rPr>
              <w:t>13</w:t>
            </w:r>
          </w:p>
        </w:tc>
        <w:tc>
          <w:tcPr>
            <w:tcW w:w="875" w:type="dxa"/>
            <w:vMerge/>
            <w:tcBorders>
              <w:top w:val="nil"/>
            </w:tcBorders>
          </w:tcPr>
          <w:p>
            <w:pPr>
              <w:rPr>
                <w:sz w:val="2"/>
                <w:szCs w:val="2"/>
              </w:rPr>
            </w:pPr>
          </w:p>
        </w:tc>
        <w:tc>
          <w:tcPr>
            <w:tcW w:w="976" w:type="dxa"/>
          </w:tcPr>
          <w:p>
            <w:pPr>
              <w:pStyle w:val="TableParagraph"/>
              <w:rPr>
                <w:b/>
                <w:i/>
                <w:sz w:val="22"/>
              </w:rPr>
            </w:pPr>
          </w:p>
          <w:p>
            <w:pPr>
              <w:pStyle w:val="TableParagraph"/>
              <w:rPr>
                <w:b/>
                <w:i/>
                <w:sz w:val="22"/>
              </w:rPr>
            </w:pPr>
          </w:p>
          <w:p>
            <w:pPr>
              <w:pStyle w:val="TableParagraph"/>
              <w:spacing w:before="28"/>
              <w:rPr>
                <w:b/>
                <w:i/>
                <w:sz w:val="22"/>
              </w:rPr>
            </w:pPr>
          </w:p>
          <w:p>
            <w:pPr>
              <w:pStyle w:val="TableParagraph"/>
              <w:ind w:left="109" w:right="218" w:hanging="84"/>
              <w:rPr>
                <w:sz w:val="22"/>
              </w:rPr>
            </w:pPr>
            <w:r>
              <w:rPr>
                <w:spacing w:val="-2"/>
                <w:sz w:val="22"/>
              </w:rPr>
              <w:t>RMS5. </w:t>
            </w:r>
            <w:r>
              <w:rPr>
                <w:spacing w:val="-10"/>
                <w:sz w:val="22"/>
              </w:rPr>
              <w:t>1</w:t>
            </w:r>
          </w:p>
        </w:tc>
        <w:tc>
          <w:tcPr>
            <w:tcW w:w="1454" w:type="dxa"/>
          </w:tcPr>
          <w:p>
            <w:pPr>
              <w:pStyle w:val="TableParagraph"/>
              <w:rPr>
                <w:b/>
                <w:i/>
                <w:sz w:val="22"/>
              </w:rPr>
            </w:pPr>
          </w:p>
          <w:p>
            <w:pPr>
              <w:pStyle w:val="TableParagraph"/>
              <w:rPr>
                <w:b/>
                <w:i/>
                <w:sz w:val="22"/>
              </w:rPr>
            </w:pPr>
          </w:p>
          <w:p>
            <w:pPr>
              <w:pStyle w:val="TableParagraph"/>
              <w:spacing w:before="28"/>
              <w:rPr>
                <w:b/>
                <w:i/>
                <w:sz w:val="22"/>
              </w:rPr>
            </w:pPr>
          </w:p>
          <w:p>
            <w:pPr>
              <w:pStyle w:val="TableParagraph"/>
              <w:ind w:left="221"/>
              <w:rPr>
                <w:sz w:val="22"/>
              </w:rPr>
            </w:pPr>
            <w:r>
              <w:rPr>
                <w:spacing w:val="-2"/>
                <w:sz w:val="22"/>
              </w:rPr>
              <w:t>Reservoir</w:t>
            </w:r>
          </w:p>
        </w:tc>
        <w:tc>
          <w:tcPr>
            <w:tcW w:w="2608" w:type="dxa"/>
          </w:tcPr>
          <w:p>
            <w:pPr>
              <w:pStyle w:val="TableParagraph"/>
              <w:spacing w:before="94"/>
              <w:ind w:left="111" w:right="65"/>
              <w:jc w:val="both"/>
              <w:rPr>
                <w:sz w:val="22"/>
              </w:rPr>
            </w:pPr>
            <w:r>
              <w:rPr>
                <w:sz w:val="22"/>
              </w:rPr>
              <w:t>Water </w:t>
            </w:r>
            <w:r>
              <w:rPr>
                <w:sz w:val="22"/>
              </w:rPr>
              <w:t>Reservoir, Overhead Service Reservoirs, Garden and Play Ground Pumping Station</w:t>
            </w:r>
            <w:r>
              <w:rPr>
                <w:spacing w:val="40"/>
                <w:sz w:val="22"/>
              </w:rPr>
              <w:t> </w:t>
            </w:r>
            <w:r>
              <w:rPr>
                <w:sz w:val="22"/>
              </w:rPr>
              <w:t>along with other uses if any, such as, Municipal Office, Municipal Chowky, Municipal Store, Staff </w:t>
            </w:r>
            <w:r>
              <w:rPr>
                <w:spacing w:val="-2"/>
                <w:sz w:val="22"/>
              </w:rPr>
              <w:t>Quarters</w:t>
            </w:r>
          </w:p>
        </w:tc>
        <w:tc>
          <w:tcPr>
            <w:tcW w:w="2071" w:type="dxa"/>
          </w:tcPr>
          <w:p>
            <w:pPr>
              <w:pStyle w:val="TableParagraph"/>
              <w:tabs>
                <w:tab w:pos="1275" w:val="left" w:leader="none"/>
                <w:tab w:pos="1838" w:val="left" w:leader="none"/>
              </w:tabs>
              <w:spacing w:before="94"/>
              <w:ind w:left="112" w:right="91"/>
              <w:rPr>
                <w:sz w:val="22"/>
              </w:rPr>
            </w:pPr>
            <w:r>
              <w:rPr>
                <w:spacing w:val="-2"/>
                <w:sz w:val="22"/>
              </w:rPr>
              <w:t>Canteen, </w:t>
            </w:r>
            <w:r>
              <w:rPr>
                <w:sz w:val="22"/>
              </w:rPr>
              <w:t>Dispensary Unit, </w:t>
            </w:r>
            <w:r>
              <w:rPr>
                <w:spacing w:val="-2"/>
                <w:sz w:val="22"/>
              </w:rPr>
              <w:t>Branch</w:t>
            </w:r>
            <w:r>
              <w:rPr>
                <w:sz w:val="22"/>
              </w:rPr>
              <w:tab/>
            </w:r>
            <w:r>
              <w:rPr>
                <w:spacing w:val="-6"/>
                <w:sz w:val="22"/>
              </w:rPr>
              <w:t>of</w:t>
            </w:r>
            <w:r>
              <w:rPr>
                <w:sz w:val="22"/>
              </w:rPr>
              <w:tab/>
            </w:r>
            <w:r>
              <w:rPr>
                <w:spacing w:val="-10"/>
                <w:sz w:val="22"/>
              </w:rPr>
              <w:t>a </w:t>
            </w:r>
            <w:r>
              <w:rPr>
                <w:spacing w:val="-2"/>
                <w:sz w:val="22"/>
              </w:rPr>
              <w:t>Bank,</w:t>
            </w:r>
          </w:p>
        </w:tc>
        <w:tc>
          <w:tcPr>
            <w:tcW w:w="1348" w:type="dxa"/>
          </w:tcPr>
          <w:p>
            <w:pPr>
              <w:pStyle w:val="TableParagraph"/>
              <w:rPr>
                <w:b/>
                <w:i/>
                <w:sz w:val="22"/>
              </w:rPr>
            </w:pPr>
          </w:p>
          <w:p>
            <w:pPr>
              <w:pStyle w:val="TableParagraph"/>
              <w:rPr>
                <w:b/>
                <w:i/>
                <w:sz w:val="22"/>
              </w:rPr>
            </w:pPr>
          </w:p>
          <w:p>
            <w:pPr>
              <w:pStyle w:val="TableParagraph"/>
              <w:spacing w:before="28"/>
              <w:rPr>
                <w:b/>
                <w:i/>
                <w:sz w:val="22"/>
              </w:rPr>
            </w:pPr>
          </w:p>
          <w:p>
            <w:pPr>
              <w:pStyle w:val="TableParagraph"/>
              <w:spacing w:line="331" w:lineRule="auto"/>
              <w:ind w:left="223" w:right="422"/>
              <w:rPr>
                <w:sz w:val="22"/>
              </w:rPr>
            </w:pPr>
            <w:r>
              <w:rPr>
                <w:spacing w:val="-6"/>
                <w:sz w:val="22"/>
              </w:rPr>
              <w:t>1, </w:t>
            </w:r>
            <w:r>
              <w:rPr>
                <w:spacing w:val="-2"/>
                <w:sz w:val="22"/>
              </w:rPr>
              <w:t>Zb=10</w:t>
            </w:r>
          </w:p>
        </w:tc>
      </w:tr>
      <w:tr>
        <w:trPr>
          <w:trHeight w:val="1998" w:hRule="atLeast"/>
        </w:trPr>
        <w:tc>
          <w:tcPr>
            <w:tcW w:w="900" w:type="dxa"/>
          </w:tcPr>
          <w:p>
            <w:pPr>
              <w:pStyle w:val="TableParagraph"/>
              <w:spacing w:before="94"/>
              <w:ind w:left="10" w:right="3"/>
              <w:jc w:val="center"/>
              <w:rPr>
                <w:sz w:val="22"/>
              </w:rPr>
            </w:pPr>
            <w:r>
              <w:rPr>
                <w:spacing w:val="-5"/>
                <w:sz w:val="22"/>
              </w:rPr>
              <w:t>14</w:t>
            </w:r>
          </w:p>
        </w:tc>
        <w:tc>
          <w:tcPr>
            <w:tcW w:w="875" w:type="dxa"/>
            <w:vMerge/>
            <w:tcBorders>
              <w:top w:val="nil"/>
            </w:tcBorders>
          </w:tcPr>
          <w:p>
            <w:pPr>
              <w:rPr>
                <w:sz w:val="2"/>
                <w:szCs w:val="2"/>
              </w:rPr>
            </w:pPr>
          </w:p>
        </w:tc>
        <w:tc>
          <w:tcPr>
            <w:tcW w:w="976" w:type="dxa"/>
          </w:tcPr>
          <w:p>
            <w:pPr>
              <w:pStyle w:val="TableParagraph"/>
              <w:rPr>
                <w:b/>
                <w:i/>
                <w:sz w:val="22"/>
              </w:rPr>
            </w:pPr>
          </w:p>
          <w:p>
            <w:pPr>
              <w:pStyle w:val="TableParagraph"/>
              <w:rPr>
                <w:b/>
                <w:i/>
                <w:sz w:val="22"/>
              </w:rPr>
            </w:pPr>
          </w:p>
          <w:p>
            <w:pPr>
              <w:pStyle w:val="TableParagraph"/>
              <w:spacing w:before="28"/>
              <w:rPr>
                <w:b/>
                <w:i/>
                <w:sz w:val="22"/>
              </w:rPr>
            </w:pPr>
          </w:p>
          <w:p>
            <w:pPr>
              <w:pStyle w:val="TableParagraph"/>
              <w:ind w:left="109" w:right="218" w:hanging="84"/>
              <w:rPr>
                <w:sz w:val="22"/>
              </w:rPr>
            </w:pPr>
            <w:r>
              <w:rPr>
                <w:spacing w:val="-2"/>
                <w:sz w:val="22"/>
              </w:rPr>
              <w:t>RMS5. </w:t>
            </w:r>
            <w:r>
              <w:rPr>
                <w:spacing w:val="-10"/>
                <w:sz w:val="22"/>
              </w:rPr>
              <w:t>2</w:t>
            </w:r>
          </w:p>
        </w:tc>
        <w:tc>
          <w:tcPr>
            <w:tcW w:w="1454" w:type="dxa"/>
          </w:tcPr>
          <w:p>
            <w:pPr>
              <w:pStyle w:val="TableParagraph"/>
              <w:spacing w:before="189"/>
              <w:rPr>
                <w:b/>
                <w:i/>
                <w:sz w:val="22"/>
              </w:rPr>
            </w:pPr>
          </w:p>
          <w:p>
            <w:pPr>
              <w:pStyle w:val="TableParagraph"/>
              <w:ind w:left="221" w:right="257"/>
              <w:rPr>
                <w:sz w:val="22"/>
              </w:rPr>
            </w:pPr>
            <w:r>
              <w:rPr>
                <w:spacing w:val="-2"/>
                <w:sz w:val="22"/>
              </w:rPr>
              <w:t>Water Pumping Stations</w:t>
            </w:r>
          </w:p>
        </w:tc>
        <w:tc>
          <w:tcPr>
            <w:tcW w:w="2608" w:type="dxa"/>
          </w:tcPr>
          <w:p>
            <w:pPr>
              <w:pStyle w:val="TableParagraph"/>
              <w:tabs>
                <w:tab w:pos="1588" w:val="left" w:leader="none"/>
              </w:tabs>
              <w:spacing w:before="94"/>
              <w:ind w:left="111" w:right="46"/>
              <w:jc w:val="both"/>
              <w:rPr>
                <w:sz w:val="22"/>
              </w:rPr>
            </w:pPr>
            <w:r>
              <w:rPr>
                <w:spacing w:val="-2"/>
                <w:sz w:val="22"/>
              </w:rPr>
              <w:t>Water</w:t>
            </w:r>
            <w:r>
              <w:rPr>
                <w:sz w:val="22"/>
              </w:rPr>
              <w:tab/>
            </w:r>
            <w:r>
              <w:rPr>
                <w:spacing w:val="-2"/>
                <w:sz w:val="22"/>
              </w:rPr>
              <w:t>Pumping </w:t>
            </w:r>
            <w:r>
              <w:rPr>
                <w:sz w:val="22"/>
              </w:rPr>
              <w:t>Stations along with other</w:t>
            </w:r>
            <w:r>
              <w:rPr>
                <w:spacing w:val="-16"/>
                <w:sz w:val="22"/>
              </w:rPr>
              <w:t> </w:t>
            </w:r>
            <w:r>
              <w:rPr>
                <w:sz w:val="22"/>
              </w:rPr>
              <w:t>uses</w:t>
            </w:r>
            <w:r>
              <w:rPr>
                <w:spacing w:val="-15"/>
                <w:sz w:val="22"/>
              </w:rPr>
              <w:t> </w:t>
            </w:r>
            <w:r>
              <w:rPr>
                <w:sz w:val="22"/>
              </w:rPr>
              <w:t>if</w:t>
            </w:r>
            <w:r>
              <w:rPr>
                <w:spacing w:val="-15"/>
                <w:sz w:val="22"/>
              </w:rPr>
              <w:t> </w:t>
            </w:r>
            <w:r>
              <w:rPr>
                <w:sz w:val="22"/>
              </w:rPr>
              <w:t>any,</w:t>
            </w:r>
            <w:r>
              <w:rPr>
                <w:spacing w:val="-16"/>
                <w:sz w:val="22"/>
              </w:rPr>
              <w:t> </w:t>
            </w:r>
            <w:r>
              <w:rPr>
                <w:sz w:val="22"/>
              </w:rPr>
              <w:t>such as, Municipal Office, Municipal Chowky, Municipal Store and Staff Quarters.</w:t>
            </w:r>
          </w:p>
        </w:tc>
        <w:tc>
          <w:tcPr>
            <w:tcW w:w="2071" w:type="dxa"/>
          </w:tcPr>
          <w:p>
            <w:pPr>
              <w:pStyle w:val="TableParagraph"/>
              <w:tabs>
                <w:tab w:pos="1275" w:val="left" w:leader="none"/>
                <w:tab w:pos="1838" w:val="left" w:leader="none"/>
              </w:tabs>
              <w:spacing w:before="94"/>
              <w:ind w:left="112" w:right="91"/>
              <w:rPr>
                <w:sz w:val="22"/>
              </w:rPr>
            </w:pPr>
            <w:r>
              <w:rPr>
                <w:spacing w:val="-2"/>
                <w:sz w:val="22"/>
              </w:rPr>
              <w:t>Canteen, </w:t>
            </w:r>
            <w:r>
              <w:rPr>
                <w:sz w:val="22"/>
              </w:rPr>
              <w:t>Dispensary Unit, </w:t>
            </w:r>
            <w:r>
              <w:rPr>
                <w:spacing w:val="-2"/>
                <w:sz w:val="22"/>
              </w:rPr>
              <w:t>Branch</w:t>
            </w:r>
            <w:r>
              <w:rPr>
                <w:sz w:val="22"/>
              </w:rPr>
              <w:tab/>
            </w:r>
            <w:r>
              <w:rPr>
                <w:spacing w:val="-6"/>
                <w:sz w:val="22"/>
              </w:rPr>
              <w:t>of</w:t>
            </w:r>
            <w:r>
              <w:rPr>
                <w:sz w:val="22"/>
              </w:rPr>
              <w:tab/>
            </w:r>
            <w:r>
              <w:rPr>
                <w:spacing w:val="-10"/>
                <w:sz w:val="22"/>
              </w:rPr>
              <w:t>a </w:t>
            </w:r>
            <w:r>
              <w:rPr>
                <w:spacing w:val="-2"/>
                <w:sz w:val="22"/>
              </w:rPr>
              <w:t>Bank,</w:t>
            </w:r>
          </w:p>
        </w:tc>
        <w:tc>
          <w:tcPr>
            <w:tcW w:w="1348" w:type="dxa"/>
          </w:tcPr>
          <w:p>
            <w:pPr>
              <w:pStyle w:val="TableParagraph"/>
              <w:spacing w:before="94"/>
              <w:ind w:left="113"/>
              <w:rPr>
                <w:sz w:val="22"/>
              </w:rPr>
            </w:pPr>
            <w:r>
              <w:rPr>
                <w:spacing w:val="-5"/>
                <w:sz w:val="22"/>
              </w:rPr>
              <w:t>1,</w:t>
            </w:r>
          </w:p>
          <w:p>
            <w:pPr>
              <w:pStyle w:val="TableParagraph"/>
              <w:spacing w:before="95"/>
              <w:ind w:left="223"/>
              <w:rPr>
                <w:sz w:val="22"/>
              </w:rPr>
            </w:pPr>
            <w:r>
              <w:rPr>
                <w:spacing w:val="-2"/>
                <w:sz w:val="22"/>
              </w:rPr>
              <w:t>Zb=10</w:t>
            </w:r>
          </w:p>
        </w:tc>
      </w:tr>
      <w:tr>
        <w:trPr>
          <w:trHeight w:val="1742" w:hRule="atLeast"/>
        </w:trPr>
        <w:tc>
          <w:tcPr>
            <w:tcW w:w="900" w:type="dxa"/>
          </w:tcPr>
          <w:p>
            <w:pPr>
              <w:pStyle w:val="TableParagraph"/>
              <w:spacing w:before="94"/>
              <w:ind w:left="10" w:right="3"/>
              <w:jc w:val="center"/>
              <w:rPr>
                <w:sz w:val="22"/>
              </w:rPr>
            </w:pPr>
            <w:r>
              <w:rPr>
                <w:spacing w:val="-5"/>
                <w:sz w:val="22"/>
              </w:rPr>
              <w:t>15</w:t>
            </w:r>
          </w:p>
        </w:tc>
        <w:tc>
          <w:tcPr>
            <w:tcW w:w="875" w:type="dxa"/>
            <w:vMerge/>
            <w:tcBorders>
              <w:top w:val="nil"/>
            </w:tcBorders>
          </w:tcPr>
          <w:p>
            <w:pPr>
              <w:rPr>
                <w:sz w:val="2"/>
                <w:szCs w:val="2"/>
              </w:rPr>
            </w:pPr>
          </w:p>
        </w:tc>
        <w:tc>
          <w:tcPr>
            <w:tcW w:w="976" w:type="dxa"/>
          </w:tcPr>
          <w:p>
            <w:pPr>
              <w:pStyle w:val="TableParagraph"/>
              <w:rPr>
                <w:b/>
                <w:i/>
                <w:sz w:val="22"/>
              </w:rPr>
            </w:pPr>
          </w:p>
          <w:p>
            <w:pPr>
              <w:pStyle w:val="TableParagraph"/>
              <w:rPr>
                <w:b/>
                <w:i/>
                <w:sz w:val="22"/>
              </w:rPr>
            </w:pPr>
          </w:p>
          <w:p>
            <w:pPr>
              <w:pStyle w:val="TableParagraph"/>
              <w:spacing w:before="28"/>
              <w:rPr>
                <w:b/>
                <w:i/>
                <w:sz w:val="22"/>
              </w:rPr>
            </w:pPr>
          </w:p>
          <w:p>
            <w:pPr>
              <w:pStyle w:val="TableParagraph"/>
              <w:ind w:left="109" w:right="218" w:hanging="84"/>
              <w:rPr>
                <w:sz w:val="22"/>
              </w:rPr>
            </w:pPr>
            <w:r>
              <w:rPr>
                <w:spacing w:val="-2"/>
                <w:sz w:val="22"/>
              </w:rPr>
              <w:t>RMS5. </w:t>
            </w:r>
            <w:r>
              <w:rPr>
                <w:spacing w:val="-10"/>
                <w:sz w:val="22"/>
              </w:rPr>
              <w:t>3</w:t>
            </w:r>
          </w:p>
        </w:tc>
        <w:tc>
          <w:tcPr>
            <w:tcW w:w="1454" w:type="dxa"/>
          </w:tcPr>
          <w:p>
            <w:pPr>
              <w:pStyle w:val="TableParagraph"/>
              <w:spacing w:before="192"/>
              <w:rPr>
                <w:b/>
                <w:i/>
                <w:sz w:val="22"/>
              </w:rPr>
            </w:pPr>
          </w:p>
          <w:p>
            <w:pPr>
              <w:pStyle w:val="TableParagraph"/>
              <w:ind w:left="110"/>
              <w:rPr>
                <w:sz w:val="22"/>
              </w:rPr>
            </w:pPr>
            <w:r>
              <w:rPr>
                <w:spacing w:val="-2"/>
                <w:sz w:val="22"/>
              </w:rPr>
              <w:t>Water Treatment </w:t>
            </w:r>
            <w:r>
              <w:rPr>
                <w:spacing w:val="-4"/>
                <w:sz w:val="22"/>
              </w:rPr>
              <w:t>Plant</w:t>
            </w:r>
          </w:p>
        </w:tc>
        <w:tc>
          <w:tcPr>
            <w:tcW w:w="2608" w:type="dxa"/>
          </w:tcPr>
          <w:p>
            <w:pPr>
              <w:pStyle w:val="TableParagraph"/>
              <w:spacing w:before="94"/>
              <w:ind w:left="111" w:right="66"/>
              <w:jc w:val="both"/>
              <w:rPr>
                <w:sz w:val="22"/>
              </w:rPr>
            </w:pPr>
            <w:r>
              <w:rPr>
                <w:sz w:val="22"/>
              </w:rPr>
              <w:t>Water </w:t>
            </w:r>
            <w:r>
              <w:rPr>
                <w:sz w:val="22"/>
              </w:rPr>
              <w:t>Treatment Facility and Allied Services, Municipal Chowky, Municipal Store, Municipal Office, Staff Quarters.</w:t>
            </w:r>
          </w:p>
        </w:tc>
        <w:tc>
          <w:tcPr>
            <w:tcW w:w="2071" w:type="dxa"/>
          </w:tcPr>
          <w:p>
            <w:pPr>
              <w:pStyle w:val="TableParagraph"/>
              <w:tabs>
                <w:tab w:pos="1275" w:val="left" w:leader="none"/>
                <w:tab w:pos="1838" w:val="left" w:leader="none"/>
              </w:tabs>
              <w:spacing w:before="94"/>
              <w:ind w:left="112" w:right="91"/>
              <w:rPr>
                <w:sz w:val="22"/>
              </w:rPr>
            </w:pPr>
            <w:r>
              <w:rPr>
                <w:spacing w:val="-2"/>
                <w:sz w:val="22"/>
              </w:rPr>
              <w:t>Canteen, </w:t>
            </w:r>
            <w:r>
              <w:rPr>
                <w:sz w:val="22"/>
              </w:rPr>
              <w:t>Dispensary Unit, </w:t>
            </w:r>
            <w:r>
              <w:rPr>
                <w:spacing w:val="-2"/>
                <w:sz w:val="22"/>
              </w:rPr>
              <w:t>Branch</w:t>
            </w:r>
            <w:r>
              <w:rPr>
                <w:sz w:val="22"/>
              </w:rPr>
              <w:tab/>
            </w:r>
            <w:r>
              <w:rPr>
                <w:spacing w:val="-6"/>
                <w:sz w:val="22"/>
              </w:rPr>
              <w:t>of</w:t>
            </w:r>
            <w:r>
              <w:rPr>
                <w:sz w:val="22"/>
              </w:rPr>
              <w:tab/>
            </w:r>
            <w:r>
              <w:rPr>
                <w:spacing w:val="-10"/>
                <w:sz w:val="22"/>
              </w:rPr>
              <w:t>a </w:t>
            </w:r>
            <w:r>
              <w:rPr>
                <w:spacing w:val="-2"/>
                <w:sz w:val="22"/>
              </w:rPr>
              <w:t>Bank,</w:t>
            </w:r>
          </w:p>
        </w:tc>
        <w:tc>
          <w:tcPr>
            <w:tcW w:w="1348" w:type="dxa"/>
          </w:tcPr>
          <w:p>
            <w:pPr>
              <w:pStyle w:val="TableParagraph"/>
              <w:spacing w:before="192"/>
              <w:rPr>
                <w:b/>
                <w:i/>
                <w:sz w:val="22"/>
              </w:rPr>
            </w:pPr>
          </w:p>
          <w:p>
            <w:pPr>
              <w:pStyle w:val="TableParagraph"/>
              <w:spacing w:line="328" w:lineRule="auto"/>
              <w:ind w:left="113" w:right="532"/>
              <w:rPr>
                <w:sz w:val="22"/>
              </w:rPr>
            </w:pPr>
            <w:r>
              <w:rPr>
                <w:spacing w:val="-6"/>
                <w:sz w:val="22"/>
              </w:rPr>
              <w:t>1, </w:t>
            </w:r>
            <w:r>
              <w:rPr>
                <w:spacing w:val="-2"/>
                <w:sz w:val="22"/>
              </w:rPr>
              <w:t>Zb=10</w:t>
            </w:r>
          </w:p>
        </w:tc>
      </w:tr>
      <w:tr>
        <w:trPr>
          <w:trHeight w:val="1223" w:hRule="atLeast"/>
        </w:trPr>
        <w:tc>
          <w:tcPr>
            <w:tcW w:w="900" w:type="dxa"/>
          </w:tcPr>
          <w:p>
            <w:pPr>
              <w:pStyle w:val="TableParagraph"/>
              <w:spacing w:before="191"/>
              <w:rPr>
                <w:b/>
                <w:i/>
                <w:sz w:val="22"/>
              </w:rPr>
            </w:pPr>
          </w:p>
          <w:p>
            <w:pPr>
              <w:pStyle w:val="TableParagraph"/>
              <w:ind w:left="10" w:right="3"/>
              <w:jc w:val="center"/>
              <w:rPr>
                <w:sz w:val="22"/>
              </w:rPr>
            </w:pPr>
            <w:r>
              <w:rPr>
                <w:spacing w:val="-5"/>
                <w:sz w:val="22"/>
              </w:rPr>
              <w:t>16</w:t>
            </w:r>
          </w:p>
        </w:tc>
        <w:tc>
          <w:tcPr>
            <w:tcW w:w="875" w:type="dxa"/>
            <w:vMerge/>
            <w:tcBorders>
              <w:top w:val="nil"/>
            </w:tcBorders>
          </w:tcPr>
          <w:p>
            <w:pPr>
              <w:rPr>
                <w:sz w:val="2"/>
                <w:szCs w:val="2"/>
              </w:rPr>
            </w:pPr>
          </w:p>
        </w:tc>
        <w:tc>
          <w:tcPr>
            <w:tcW w:w="976" w:type="dxa"/>
          </w:tcPr>
          <w:p>
            <w:pPr>
              <w:pStyle w:val="TableParagraph"/>
              <w:spacing w:before="94"/>
              <w:ind w:left="109" w:right="218" w:hanging="84"/>
              <w:rPr>
                <w:sz w:val="22"/>
              </w:rPr>
            </w:pPr>
            <w:r>
              <w:rPr>
                <w:spacing w:val="-2"/>
                <w:sz w:val="22"/>
              </w:rPr>
              <w:t>RMS6. </w:t>
            </w:r>
            <w:r>
              <w:rPr>
                <w:spacing w:val="-10"/>
                <w:sz w:val="22"/>
              </w:rPr>
              <w:t>1</w:t>
            </w:r>
          </w:p>
        </w:tc>
        <w:tc>
          <w:tcPr>
            <w:tcW w:w="1454" w:type="dxa"/>
          </w:tcPr>
          <w:p>
            <w:pPr>
              <w:pStyle w:val="TableParagraph"/>
              <w:spacing w:before="94"/>
              <w:ind w:left="110" w:right="368"/>
              <w:rPr>
                <w:sz w:val="22"/>
              </w:rPr>
            </w:pPr>
            <w:r>
              <w:rPr>
                <w:spacing w:val="-2"/>
                <w:sz w:val="22"/>
              </w:rPr>
              <w:t>Storm Water Pumping Station</w:t>
            </w:r>
          </w:p>
        </w:tc>
        <w:tc>
          <w:tcPr>
            <w:tcW w:w="2608" w:type="dxa"/>
          </w:tcPr>
          <w:p>
            <w:pPr>
              <w:pStyle w:val="TableParagraph"/>
              <w:spacing w:before="94"/>
              <w:ind w:left="111"/>
              <w:rPr>
                <w:sz w:val="22"/>
              </w:rPr>
            </w:pPr>
            <w:r>
              <w:rPr>
                <w:sz w:val="22"/>
              </w:rPr>
              <w:t>Storm</w:t>
            </w:r>
            <w:r>
              <w:rPr>
                <w:spacing w:val="-5"/>
                <w:sz w:val="22"/>
              </w:rPr>
              <w:t> </w:t>
            </w:r>
            <w:r>
              <w:rPr>
                <w:sz w:val="22"/>
              </w:rPr>
              <w:t>Water</w:t>
            </w:r>
            <w:r>
              <w:rPr>
                <w:spacing w:val="-5"/>
                <w:sz w:val="22"/>
              </w:rPr>
              <w:t> </w:t>
            </w:r>
            <w:r>
              <w:rPr>
                <w:sz w:val="22"/>
              </w:rPr>
              <w:t>Pumping </w:t>
            </w:r>
            <w:r>
              <w:rPr>
                <w:spacing w:val="-2"/>
                <w:sz w:val="22"/>
              </w:rPr>
              <w:t>Station</w:t>
            </w:r>
          </w:p>
        </w:tc>
        <w:tc>
          <w:tcPr>
            <w:tcW w:w="2071" w:type="dxa"/>
          </w:tcPr>
          <w:p>
            <w:pPr>
              <w:pStyle w:val="TableParagraph"/>
              <w:rPr>
                <w:rFonts w:ascii="Times New Roman"/>
                <w:sz w:val="20"/>
              </w:rPr>
            </w:pPr>
          </w:p>
        </w:tc>
        <w:tc>
          <w:tcPr>
            <w:tcW w:w="1348" w:type="dxa"/>
          </w:tcPr>
          <w:p>
            <w:pPr>
              <w:pStyle w:val="TableParagraph"/>
              <w:spacing w:before="94"/>
              <w:ind w:left="113"/>
              <w:rPr>
                <w:sz w:val="22"/>
              </w:rPr>
            </w:pPr>
            <w:r>
              <w:rPr>
                <w:spacing w:val="-5"/>
                <w:sz w:val="22"/>
              </w:rPr>
              <w:t>1,</w:t>
            </w:r>
          </w:p>
          <w:p>
            <w:pPr>
              <w:pStyle w:val="TableParagraph"/>
              <w:spacing w:before="97"/>
              <w:ind w:left="113"/>
              <w:rPr>
                <w:sz w:val="22"/>
              </w:rPr>
            </w:pPr>
            <w:r>
              <w:rPr>
                <w:sz w:val="22"/>
              </w:rPr>
              <w:t>Zb</w:t>
            </w:r>
            <w:r>
              <w:rPr>
                <w:spacing w:val="-2"/>
                <w:sz w:val="22"/>
              </w:rPr>
              <w:t> </w:t>
            </w:r>
            <w:r>
              <w:rPr>
                <w:sz w:val="22"/>
              </w:rPr>
              <w:t>=</w:t>
            </w:r>
            <w:r>
              <w:rPr>
                <w:spacing w:val="-2"/>
                <w:sz w:val="22"/>
              </w:rPr>
              <w:t> </w:t>
            </w:r>
            <w:r>
              <w:rPr>
                <w:spacing w:val="-5"/>
                <w:sz w:val="22"/>
              </w:rPr>
              <w:t>10</w:t>
            </w:r>
          </w:p>
        </w:tc>
      </w:tr>
      <w:tr>
        <w:trPr>
          <w:trHeight w:val="2001" w:hRule="atLeast"/>
        </w:trPr>
        <w:tc>
          <w:tcPr>
            <w:tcW w:w="900" w:type="dxa"/>
          </w:tcPr>
          <w:p>
            <w:pPr>
              <w:pStyle w:val="TableParagraph"/>
              <w:spacing w:before="191"/>
              <w:rPr>
                <w:b/>
                <w:i/>
                <w:sz w:val="22"/>
              </w:rPr>
            </w:pPr>
          </w:p>
          <w:p>
            <w:pPr>
              <w:pStyle w:val="TableParagraph"/>
              <w:ind w:left="10" w:right="3"/>
              <w:jc w:val="center"/>
              <w:rPr>
                <w:sz w:val="22"/>
              </w:rPr>
            </w:pPr>
            <w:r>
              <w:rPr>
                <w:spacing w:val="-5"/>
                <w:sz w:val="22"/>
              </w:rPr>
              <w:t>17</w:t>
            </w:r>
          </w:p>
        </w:tc>
        <w:tc>
          <w:tcPr>
            <w:tcW w:w="875" w:type="dxa"/>
            <w:vMerge w:val="restart"/>
          </w:tcPr>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spacing w:before="89"/>
              <w:rPr>
                <w:b/>
                <w:i/>
                <w:sz w:val="22"/>
              </w:rPr>
            </w:pPr>
          </w:p>
          <w:p>
            <w:pPr>
              <w:pStyle w:val="TableParagraph"/>
              <w:ind w:left="108" w:right="-8"/>
              <w:rPr>
                <w:sz w:val="22"/>
              </w:rPr>
            </w:pPr>
            <w:r>
              <w:rPr>
                <w:spacing w:val="-2"/>
                <w:sz w:val="22"/>
              </w:rPr>
              <w:t>Transp </w:t>
            </w:r>
            <w:r>
              <w:rPr>
                <w:spacing w:val="-4"/>
                <w:sz w:val="22"/>
              </w:rPr>
              <w:t>ort</w:t>
            </w:r>
          </w:p>
        </w:tc>
        <w:tc>
          <w:tcPr>
            <w:tcW w:w="976" w:type="dxa"/>
          </w:tcPr>
          <w:p>
            <w:pPr>
              <w:pStyle w:val="TableParagraph"/>
              <w:spacing w:before="97"/>
              <w:ind w:right="109"/>
              <w:jc w:val="center"/>
              <w:rPr>
                <w:sz w:val="22"/>
              </w:rPr>
            </w:pPr>
            <w:r>
              <w:rPr>
                <w:spacing w:val="-2"/>
                <w:sz w:val="22"/>
              </w:rPr>
              <w:t>RT1.2</w:t>
            </w:r>
          </w:p>
        </w:tc>
        <w:tc>
          <w:tcPr>
            <w:tcW w:w="1454" w:type="dxa"/>
          </w:tcPr>
          <w:p>
            <w:pPr>
              <w:pStyle w:val="TableParagraph"/>
              <w:spacing w:before="97"/>
              <w:ind w:left="185"/>
              <w:rPr>
                <w:sz w:val="22"/>
              </w:rPr>
            </w:pPr>
            <w:r>
              <w:rPr>
                <w:spacing w:val="-2"/>
                <w:sz w:val="22"/>
              </w:rPr>
              <w:t>State</w:t>
            </w:r>
          </w:p>
          <w:p>
            <w:pPr>
              <w:pStyle w:val="TableParagraph"/>
              <w:spacing w:before="94"/>
              <w:ind w:left="110"/>
              <w:rPr>
                <w:sz w:val="22"/>
              </w:rPr>
            </w:pPr>
            <w:r>
              <w:rPr>
                <w:spacing w:val="-2"/>
                <w:sz w:val="22"/>
              </w:rPr>
              <w:t>Transport </w:t>
            </w:r>
            <w:r>
              <w:rPr>
                <w:spacing w:val="-4"/>
                <w:sz w:val="22"/>
              </w:rPr>
              <w:t>Depot</w:t>
            </w:r>
          </w:p>
        </w:tc>
        <w:tc>
          <w:tcPr>
            <w:tcW w:w="2608" w:type="dxa"/>
          </w:tcPr>
          <w:p>
            <w:pPr>
              <w:pStyle w:val="TableParagraph"/>
              <w:spacing w:before="97"/>
              <w:ind w:left="70" w:right="71"/>
              <w:jc w:val="both"/>
              <w:rPr>
                <w:sz w:val="22"/>
              </w:rPr>
            </w:pPr>
            <w:r>
              <w:rPr>
                <w:sz w:val="22"/>
              </w:rPr>
              <w:t>State Transport Depot </w:t>
            </w:r>
            <w:r>
              <w:rPr>
                <w:spacing w:val="-2"/>
                <w:sz w:val="22"/>
              </w:rPr>
              <w:t>along</w:t>
            </w:r>
            <w:r>
              <w:rPr>
                <w:spacing w:val="-16"/>
                <w:sz w:val="22"/>
              </w:rPr>
              <w:t> </w:t>
            </w:r>
            <w:r>
              <w:rPr>
                <w:spacing w:val="-2"/>
                <w:sz w:val="22"/>
              </w:rPr>
              <w:t>with</w:t>
            </w:r>
            <w:r>
              <w:rPr>
                <w:spacing w:val="-16"/>
                <w:sz w:val="22"/>
              </w:rPr>
              <w:t> </w:t>
            </w:r>
            <w:r>
              <w:rPr>
                <w:spacing w:val="-2"/>
                <w:sz w:val="22"/>
              </w:rPr>
              <w:t>other</w:t>
            </w:r>
            <w:r>
              <w:rPr>
                <w:spacing w:val="-15"/>
                <w:sz w:val="22"/>
              </w:rPr>
              <w:t> </w:t>
            </w:r>
            <w:r>
              <w:rPr>
                <w:spacing w:val="-2"/>
                <w:sz w:val="22"/>
              </w:rPr>
              <w:t>uses</w:t>
            </w:r>
            <w:r>
              <w:rPr>
                <w:spacing w:val="-16"/>
                <w:sz w:val="22"/>
              </w:rPr>
              <w:t> </w:t>
            </w:r>
            <w:r>
              <w:rPr>
                <w:spacing w:val="-2"/>
                <w:sz w:val="22"/>
              </w:rPr>
              <w:t>if </w:t>
            </w:r>
            <w:r>
              <w:rPr>
                <w:sz w:val="22"/>
              </w:rPr>
              <w:t>any, such as Tracks for Vehicle Testing, Regional Transport Office, Staff Quarters, </w:t>
            </w:r>
            <w:r>
              <w:rPr>
                <w:spacing w:val="-2"/>
                <w:sz w:val="22"/>
              </w:rPr>
              <w:t>Canteen.</w:t>
            </w:r>
          </w:p>
        </w:tc>
        <w:tc>
          <w:tcPr>
            <w:tcW w:w="2071" w:type="dxa"/>
          </w:tcPr>
          <w:p>
            <w:pPr>
              <w:pStyle w:val="TableParagraph"/>
              <w:tabs>
                <w:tab w:pos="1210" w:val="left" w:leader="none"/>
                <w:tab w:pos="1711" w:val="left" w:leader="none"/>
              </w:tabs>
              <w:spacing w:before="97"/>
              <w:ind w:left="112" w:right="219"/>
              <w:rPr>
                <w:sz w:val="22"/>
              </w:rPr>
            </w:pPr>
            <w:r>
              <w:rPr>
                <w:spacing w:val="-2"/>
                <w:sz w:val="22"/>
              </w:rPr>
              <w:t>Branch</w:t>
            </w:r>
            <w:r>
              <w:rPr>
                <w:sz w:val="22"/>
              </w:rPr>
              <w:tab/>
            </w:r>
            <w:r>
              <w:rPr>
                <w:spacing w:val="-6"/>
                <w:sz w:val="22"/>
              </w:rPr>
              <w:t>of</w:t>
            </w:r>
            <w:r>
              <w:rPr>
                <w:sz w:val="22"/>
              </w:rPr>
              <w:tab/>
            </w:r>
            <w:r>
              <w:rPr>
                <w:spacing w:val="-10"/>
                <w:sz w:val="22"/>
              </w:rPr>
              <w:t>a </w:t>
            </w:r>
            <w:r>
              <w:rPr>
                <w:spacing w:val="-2"/>
                <w:sz w:val="22"/>
              </w:rPr>
              <w:t>bank,</w:t>
            </w:r>
          </w:p>
        </w:tc>
        <w:tc>
          <w:tcPr>
            <w:tcW w:w="1348" w:type="dxa"/>
          </w:tcPr>
          <w:p>
            <w:pPr>
              <w:pStyle w:val="TableParagraph"/>
              <w:spacing w:line="328" w:lineRule="auto" w:before="97"/>
              <w:ind w:left="187" w:right="458"/>
              <w:rPr>
                <w:sz w:val="22"/>
              </w:rPr>
            </w:pPr>
            <w:r>
              <w:rPr>
                <w:spacing w:val="-6"/>
                <w:sz w:val="22"/>
              </w:rPr>
              <w:t>1, </w:t>
            </w:r>
            <w:r>
              <w:rPr>
                <w:spacing w:val="-2"/>
                <w:sz w:val="22"/>
              </w:rPr>
              <w:t>Zb=10</w:t>
            </w:r>
          </w:p>
        </w:tc>
      </w:tr>
      <w:tr>
        <w:trPr>
          <w:trHeight w:val="1741" w:hRule="atLeast"/>
        </w:trPr>
        <w:tc>
          <w:tcPr>
            <w:tcW w:w="900" w:type="dxa"/>
          </w:tcPr>
          <w:p>
            <w:pPr>
              <w:pStyle w:val="TableParagraph"/>
              <w:spacing w:before="191"/>
              <w:rPr>
                <w:b/>
                <w:i/>
                <w:sz w:val="22"/>
              </w:rPr>
            </w:pPr>
          </w:p>
          <w:p>
            <w:pPr>
              <w:pStyle w:val="TableParagraph"/>
              <w:ind w:left="10" w:right="3"/>
              <w:jc w:val="center"/>
              <w:rPr>
                <w:sz w:val="22"/>
              </w:rPr>
            </w:pPr>
            <w:r>
              <w:rPr>
                <w:spacing w:val="-5"/>
                <w:sz w:val="22"/>
              </w:rPr>
              <w:t>18</w:t>
            </w:r>
          </w:p>
        </w:tc>
        <w:tc>
          <w:tcPr>
            <w:tcW w:w="875" w:type="dxa"/>
            <w:vMerge/>
            <w:tcBorders>
              <w:top w:val="nil"/>
            </w:tcBorders>
          </w:tcPr>
          <w:p>
            <w:pPr>
              <w:rPr>
                <w:sz w:val="2"/>
                <w:szCs w:val="2"/>
              </w:rPr>
            </w:pPr>
          </w:p>
        </w:tc>
        <w:tc>
          <w:tcPr>
            <w:tcW w:w="976" w:type="dxa"/>
          </w:tcPr>
          <w:p>
            <w:pPr>
              <w:pStyle w:val="TableParagraph"/>
              <w:spacing w:before="191"/>
              <w:rPr>
                <w:b/>
                <w:i/>
                <w:sz w:val="22"/>
              </w:rPr>
            </w:pPr>
          </w:p>
          <w:p>
            <w:pPr>
              <w:pStyle w:val="TableParagraph"/>
              <w:ind w:right="109"/>
              <w:jc w:val="center"/>
              <w:rPr>
                <w:sz w:val="22"/>
              </w:rPr>
            </w:pPr>
            <w:r>
              <w:rPr>
                <w:spacing w:val="-2"/>
                <w:sz w:val="22"/>
              </w:rPr>
              <w:t>RT2.1</w:t>
            </w:r>
          </w:p>
        </w:tc>
        <w:tc>
          <w:tcPr>
            <w:tcW w:w="1454" w:type="dxa"/>
          </w:tcPr>
          <w:p>
            <w:pPr>
              <w:pStyle w:val="TableParagraph"/>
              <w:rPr>
                <w:b/>
                <w:i/>
                <w:sz w:val="22"/>
              </w:rPr>
            </w:pPr>
          </w:p>
          <w:p>
            <w:pPr>
              <w:pStyle w:val="TableParagraph"/>
              <w:rPr>
                <w:b/>
                <w:i/>
                <w:sz w:val="22"/>
              </w:rPr>
            </w:pPr>
          </w:p>
          <w:p>
            <w:pPr>
              <w:pStyle w:val="TableParagraph"/>
              <w:rPr>
                <w:b/>
                <w:i/>
                <w:sz w:val="22"/>
              </w:rPr>
            </w:pPr>
          </w:p>
          <w:p>
            <w:pPr>
              <w:pStyle w:val="TableParagraph"/>
              <w:spacing w:before="124"/>
              <w:rPr>
                <w:b/>
                <w:i/>
                <w:sz w:val="22"/>
              </w:rPr>
            </w:pPr>
          </w:p>
          <w:p>
            <w:pPr>
              <w:pStyle w:val="TableParagraph"/>
              <w:spacing w:before="1"/>
              <w:ind w:left="110"/>
              <w:rPr>
                <w:sz w:val="22"/>
              </w:rPr>
            </w:pPr>
            <w:r>
              <w:rPr>
                <w:spacing w:val="-2"/>
                <w:sz w:val="22"/>
              </w:rPr>
              <w:t>Water Transport</w:t>
            </w:r>
          </w:p>
        </w:tc>
        <w:tc>
          <w:tcPr>
            <w:tcW w:w="2608" w:type="dxa"/>
          </w:tcPr>
          <w:p>
            <w:pPr>
              <w:pStyle w:val="TableParagraph"/>
              <w:spacing w:before="94"/>
              <w:ind w:left="111" w:right="65"/>
              <w:jc w:val="both"/>
              <w:rPr>
                <w:sz w:val="22"/>
              </w:rPr>
            </w:pPr>
            <w:r>
              <w:rPr>
                <w:sz w:val="22"/>
              </w:rPr>
              <w:t>Water Transport Station</w:t>
            </w:r>
            <w:r>
              <w:rPr>
                <w:spacing w:val="-18"/>
                <w:sz w:val="22"/>
              </w:rPr>
              <w:t> </w:t>
            </w:r>
            <w:r>
              <w:rPr>
                <w:sz w:val="22"/>
              </w:rPr>
              <w:t>Parking</w:t>
            </w:r>
            <w:r>
              <w:rPr>
                <w:spacing w:val="-18"/>
                <w:sz w:val="22"/>
              </w:rPr>
              <w:t> </w:t>
            </w:r>
            <w:r>
              <w:rPr>
                <w:sz w:val="22"/>
              </w:rPr>
              <w:t>Lot</w:t>
            </w:r>
            <w:r>
              <w:rPr>
                <w:spacing w:val="-17"/>
                <w:sz w:val="22"/>
              </w:rPr>
              <w:t> </w:t>
            </w:r>
            <w:r>
              <w:rPr>
                <w:sz w:val="22"/>
              </w:rPr>
              <w:t>for Public, Bus Stops, Sheds, </w:t>
            </w:r>
            <w:r>
              <w:rPr>
                <w:sz w:val="22"/>
              </w:rPr>
              <w:t>Helipads, Repairing Facilities, Rickshaw</w:t>
            </w:r>
            <w:r>
              <w:rPr>
                <w:spacing w:val="58"/>
                <w:sz w:val="22"/>
              </w:rPr>
              <w:t>  </w:t>
            </w:r>
            <w:r>
              <w:rPr>
                <w:sz w:val="22"/>
              </w:rPr>
              <w:t>and</w:t>
            </w:r>
            <w:r>
              <w:rPr>
                <w:spacing w:val="57"/>
                <w:sz w:val="22"/>
              </w:rPr>
              <w:t>  </w:t>
            </w:r>
            <w:r>
              <w:rPr>
                <w:spacing w:val="-4"/>
                <w:sz w:val="22"/>
              </w:rPr>
              <w:t>Taxi</w:t>
            </w:r>
          </w:p>
        </w:tc>
        <w:tc>
          <w:tcPr>
            <w:tcW w:w="2071" w:type="dxa"/>
          </w:tcPr>
          <w:p>
            <w:pPr>
              <w:pStyle w:val="TableParagraph"/>
              <w:spacing w:before="94"/>
              <w:ind w:left="112" w:right="216"/>
              <w:jc w:val="both"/>
              <w:rPr>
                <w:sz w:val="22"/>
              </w:rPr>
            </w:pPr>
            <w:r>
              <w:rPr>
                <w:sz w:val="22"/>
              </w:rPr>
              <w:t>Canteen, ATM of bank, </w:t>
            </w:r>
            <w:r>
              <w:rPr>
                <w:sz w:val="22"/>
              </w:rPr>
              <w:t>other ancillary uses with facilities for staff and </w:t>
            </w:r>
            <w:r>
              <w:rPr>
                <w:spacing w:val="-2"/>
                <w:sz w:val="22"/>
              </w:rPr>
              <w:t>visitors</w:t>
            </w:r>
          </w:p>
        </w:tc>
        <w:tc>
          <w:tcPr>
            <w:tcW w:w="1348" w:type="dxa"/>
          </w:tcPr>
          <w:p>
            <w:pPr>
              <w:pStyle w:val="TableParagraph"/>
              <w:spacing w:before="191"/>
              <w:rPr>
                <w:b/>
                <w:i/>
                <w:sz w:val="22"/>
              </w:rPr>
            </w:pPr>
          </w:p>
          <w:p>
            <w:pPr>
              <w:pStyle w:val="TableParagraph"/>
              <w:ind w:left="113"/>
              <w:rPr>
                <w:sz w:val="22"/>
              </w:rPr>
            </w:pPr>
            <w:r>
              <w:rPr>
                <w:spacing w:val="-5"/>
                <w:sz w:val="22"/>
              </w:rPr>
              <w:t>1,</w:t>
            </w:r>
          </w:p>
          <w:p>
            <w:pPr>
              <w:pStyle w:val="TableParagraph"/>
              <w:spacing w:before="95"/>
              <w:ind w:left="223"/>
              <w:rPr>
                <w:sz w:val="22"/>
              </w:rPr>
            </w:pPr>
            <w:r>
              <w:rPr>
                <w:spacing w:val="-2"/>
                <w:sz w:val="22"/>
              </w:rPr>
              <w:t>Zb=15</w:t>
            </w:r>
          </w:p>
        </w:tc>
      </w:tr>
    </w:tbl>
    <w:p>
      <w:pPr>
        <w:pStyle w:val="TableParagraph"/>
        <w:spacing w:after="0"/>
        <w:rPr>
          <w:sz w:val="22"/>
        </w:rPr>
        <w:sectPr>
          <w:pgSz w:w="11910" w:h="16840"/>
          <w:pgMar w:header="746" w:footer="968" w:top="1180" w:bottom="1160" w:left="360" w:right="360"/>
        </w:sectPr>
      </w:pPr>
    </w:p>
    <w:p>
      <w:pPr>
        <w:pStyle w:val="BodyText"/>
        <w:spacing w:before="17"/>
        <w:jc w:val="left"/>
        <w:rPr>
          <w:b/>
          <w:i/>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875"/>
        <w:gridCol w:w="976"/>
        <w:gridCol w:w="1454"/>
        <w:gridCol w:w="2608"/>
        <w:gridCol w:w="2071"/>
        <w:gridCol w:w="1348"/>
      </w:tblGrid>
      <w:tr>
        <w:trPr>
          <w:trHeight w:val="804" w:hRule="atLeast"/>
        </w:trPr>
        <w:tc>
          <w:tcPr>
            <w:tcW w:w="900" w:type="dxa"/>
            <w:vMerge w:val="restart"/>
          </w:tcPr>
          <w:p>
            <w:pPr>
              <w:pStyle w:val="TableParagraph"/>
              <w:spacing w:before="94"/>
              <w:ind w:left="107"/>
              <w:rPr>
                <w:b/>
                <w:sz w:val="22"/>
              </w:rPr>
            </w:pPr>
            <w:r>
              <w:rPr>
                <w:b/>
                <w:sz w:val="22"/>
              </w:rPr>
              <w:t>Sr.</w:t>
            </w:r>
            <w:r>
              <w:rPr>
                <w:b/>
                <w:spacing w:val="-14"/>
                <w:sz w:val="22"/>
              </w:rPr>
              <w:t> </w:t>
            </w:r>
            <w:r>
              <w:rPr>
                <w:b/>
                <w:spacing w:val="-5"/>
                <w:sz w:val="22"/>
              </w:rPr>
              <w:t>No</w:t>
            </w:r>
          </w:p>
        </w:tc>
        <w:tc>
          <w:tcPr>
            <w:tcW w:w="875" w:type="dxa"/>
            <w:vMerge w:val="restart"/>
          </w:tcPr>
          <w:p>
            <w:pPr>
              <w:pStyle w:val="TableParagraph"/>
              <w:spacing w:before="94"/>
              <w:ind w:left="108" w:right="22"/>
              <w:rPr>
                <w:b/>
                <w:sz w:val="22"/>
              </w:rPr>
            </w:pPr>
            <w:r>
              <w:rPr>
                <w:b/>
                <w:spacing w:val="-2"/>
                <w:sz w:val="22"/>
              </w:rPr>
              <w:t>Reser vation </w:t>
            </w:r>
            <w:r>
              <w:rPr>
                <w:b/>
                <w:spacing w:val="-4"/>
                <w:sz w:val="22"/>
              </w:rPr>
              <w:t>main </w:t>
            </w:r>
            <w:r>
              <w:rPr>
                <w:b/>
                <w:spacing w:val="-2"/>
                <w:sz w:val="22"/>
              </w:rPr>
              <w:t>Categ </w:t>
            </w:r>
            <w:r>
              <w:rPr>
                <w:b/>
                <w:spacing w:val="-4"/>
                <w:sz w:val="22"/>
              </w:rPr>
              <w:t>ory</w:t>
            </w:r>
          </w:p>
        </w:tc>
        <w:tc>
          <w:tcPr>
            <w:tcW w:w="2430" w:type="dxa"/>
            <w:gridSpan w:val="2"/>
          </w:tcPr>
          <w:p>
            <w:pPr>
              <w:pStyle w:val="TableParagraph"/>
              <w:tabs>
                <w:tab w:pos="1901" w:val="left" w:leader="none"/>
              </w:tabs>
              <w:spacing w:before="94"/>
              <w:ind w:left="109" w:right="93"/>
              <w:rPr>
                <w:b/>
                <w:sz w:val="22"/>
              </w:rPr>
            </w:pPr>
            <w:r>
              <w:rPr>
                <w:b/>
                <w:spacing w:val="-2"/>
                <w:sz w:val="22"/>
              </w:rPr>
              <w:t>Reservation</w:t>
            </w:r>
            <w:r>
              <w:rPr>
                <w:b/>
                <w:sz w:val="22"/>
              </w:rPr>
              <w:tab/>
            </w:r>
            <w:r>
              <w:rPr>
                <w:b/>
                <w:spacing w:val="-4"/>
                <w:sz w:val="22"/>
              </w:rPr>
              <w:t>Sub </w:t>
            </w:r>
            <w:r>
              <w:rPr>
                <w:b/>
                <w:spacing w:val="-2"/>
                <w:sz w:val="22"/>
              </w:rPr>
              <w:t>Category</w:t>
            </w:r>
          </w:p>
        </w:tc>
        <w:tc>
          <w:tcPr>
            <w:tcW w:w="4679" w:type="dxa"/>
            <w:gridSpan w:val="2"/>
          </w:tcPr>
          <w:p>
            <w:pPr>
              <w:pStyle w:val="TableParagraph"/>
              <w:spacing w:before="94"/>
              <w:ind w:left="1424"/>
              <w:rPr>
                <w:b/>
                <w:sz w:val="22"/>
              </w:rPr>
            </w:pPr>
            <w:r>
              <w:rPr>
                <w:b/>
                <w:sz w:val="22"/>
              </w:rPr>
              <w:t>Users</w:t>
            </w:r>
            <w:r>
              <w:rPr>
                <w:b/>
                <w:spacing w:val="-4"/>
                <w:sz w:val="22"/>
              </w:rPr>
              <w:t> </w:t>
            </w:r>
            <w:r>
              <w:rPr>
                <w:b/>
                <w:spacing w:val="-2"/>
                <w:sz w:val="22"/>
              </w:rPr>
              <w:t>Permitted</w:t>
            </w:r>
          </w:p>
        </w:tc>
        <w:tc>
          <w:tcPr>
            <w:tcW w:w="1348" w:type="dxa"/>
            <w:vMerge w:val="restart"/>
          </w:tcPr>
          <w:p>
            <w:pPr>
              <w:pStyle w:val="TableParagraph"/>
              <w:spacing w:before="94"/>
              <w:ind w:left="96"/>
              <w:rPr>
                <w:b/>
                <w:sz w:val="22"/>
              </w:rPr>
            </w:pPr>
            <w:r>
              <w:rPr>
                <w:b/>
                <w:spacing w:val="-2"/>
                <w:sz w:val="22"/>
              </w:rPr>
              <w:t>Applicable conditions </w:t>
            </w:r>
            <w:r>
              <w:rPr>
                <w:b/>
                <w:spacing w:val="-4"/>
                <w:sz w:val="22"/>
              </w:rPr>
              <w:t>for </w:t>
            </w:r>
            <w:r>
              <w:rPr>
                <w:b/>
                <w:spacing w:val="-2"/>
                <w:sz w:val="22"/>
              </w:rPr>
              <w:t>developme </w:t>
            </w:r>
            <w:r>
              <w:rPr>
                <w:b/>
                <w:spacing w:val="-6"/>
                <w:sz w:val="22"/>
              </w:rPr>
              <w:t>nt</w:t>
            </w:r>
          </w:p>
        </w:tc>
      </w:tr>
      <w:tr>
        <w:trPr>
          <w:trHeight w:val="709" w:hRule="atLeast"/>
        </w:trPr>
        <w:tc>
          <w:tcPr>
            <w:tcW w:w="900" w:type="dxa"/>
            <w:vMerge/>
            <w:tcBorders>
              <w:top w:val="nil"/>
            </w:tcBorders>
          </w:tcPr>
          <w:p>
            <w:pPr>
              <w:rPr>
                <w:sz w:val="2"/>
                <w:szCs w:val="2"/>
              </w:rPr>
            </w:pPr>
          </w:p>
        </w:tc>
        <w:tc>
          <w:tcPr>
            <w:tcW w:w="875" w:type="dxa"/>
            <w:vMerge/>
            <w:tcBorders>
              <w:top w:val="nil"/>
            </w:tcBorders>
          </w:tcPr>
          <w:p>
            <w:pPr>
              <w:rPr>
                <w:sz w:val="2"/>
                <w:szCs w:val="2"/>
              </w:rPr>
            </w:pPr>
          </w:p>
        </w:tc>
        <w:tc>
          <w:tcPr>
            <w:tcW w:w="976" w:type="dxa"/>
          </w:tcPr>
          <w:p>
            <w:pPr>
              <w:pStyle w:val="TableParagraph"/>
              <w:spacing w:before="97"/>
              <w:ind w:right="285"/>
              <w:jc w:val="right"/>
              <w:rPr>
                <w:b/>
                <w:sz w:val="22"/>
              </w:rPr>
            </w:pPr>
            <w:r>
              <w:rPr>
                <w:b/>
                <w:spacing w:val="-4"/>
                <w:sz w:val="22"/>
              </w:rPr>
              <w:t>Code</w:t>
            </w:r>
          </w:p>
        </w:tc>
        <w:tc>
          <w:tcPr>
            <w:tcW w:w="1454" w:type="dxa"/>
          </w:tcPr>
          <w:p>
            <w:pPr>
              <w:pStyle w:val="TableParagraph"/>
              <w:spacing w:before="97"/>
              <w:ind w:left="110"/>
              <w:rPr>
                <w:b/>
                <w:sz w:val="22"/>
              </w:rPr>
            </w:pPr>
            <w:r>
              <w:rPr>
                <w:b/>
                <w:spacing w:val="-4"/>
                <w:sz w:val="22"/>
              </w:rPr>
              <w:t>Name</w:t>
            </w:r>
          </w:p>
        </w:tc>
        <w:tc>
          <w:tcPr>
            <w:tcW w:w="2608" w:type="dxa"/>
          </w:tcPr>
          <w:p>
            <w:pPr>
              <w:pStyle w:val="TableParagraph"/>
              <w:spacing w:before="97"/>
              <w:ind w:left="111"/>
              <w:rPr>
                <w:b/>
                <w:sz w:val="22"/>
              </w:rPr>
            </w:pPr>
            <w:r>
              <w:rPr>
                <w:b/>
                <w:sz w:val="22"/>
              </w:rPr>
              <w:t>Permissible</w:t>
            </w:r>
            <w:r>
              <w:rPr>
                <w:b/>
                <w:spacing w:val="-7"/>
                <w:sz w:val="22"/>
              </w:rPr>
              <w:t> </w:t>
            </w:r>
            <w:r>
              <w:rPr>
                <w:b/>
                <w:spacing w:val="-4"/>
                <w:sz w:val="22"/>
              </w:rPr>
              <w:t>uses</w:t>
            </w:r>
          </w:p>
        </w:tc>
        <w:tc>
          <w:tcPr>
            <w:tcW w:w="2071" w:type="dxa"/>
          </w:tcPr>
          <w:p>
            <w:pPr>
              <w:pStyle w:val="TableParagraph"/>
              <w:spacing w:before="97"/>
              <w:ind w:left="112"/>
              <w:rPr>
                <w:b/>
                <w:sz w:val="22"/>
              </w:rPr>
            </w:pPr>
            <w:r>
              <w:rPr>
                <w:b/>
                <w:spacing w:val="-2"/>
                <w:sz w:val="22"/>
              </w:rPr>
              <w:t>Ancillary Activities</w:t>
            </w:r>
          </w:p>
        </w:tc>
        <w:tc>
          <w:tcPr>
            <w:tcW w:w="1348" w:type="dxa"/>
            <w:vMerge/>
            <w:tcBorders>
              <w:top w:val="nil"/>
            </w:tcBorders>
          </w:tcPr>
          <w:p>
            <w:pPr>
              <w:rPr>
                <w:sz w:val="2"/>
                <w:szCs w:val="2"/>
              </w:rPr>
            </w:pPr>
          </w:p>
        </w:tc>
      </w:tr>
      <w:tr>
        <w:trPr>
          <w:trHeight w:val="431" w:hRule="atLeast"/>
        </w:trPr>
        <w:tc>
          <w:tcPr>
            <w:tcW w:w="900" w:type="dxa"/>
          </w:tcPr>
          <w:p>
            <w:pPr>
              <w:pStyle w:val="TableParagraph"/>
              <w:rPr>
                <w:rFonts w:ascii="Times New Roman"/>
                <w:sz w:val="22"/>
              </w:rPr>
            </w:pPr>
          </w:p>
        </w:tc>
        <w:tc>
          <w:tcPr>
            <w:tcW w:w="875" w:type="dxa"/>
            <w:vMerge/>
            <w:tcBorders>
              <w:top w:val="nil"/>
            </w:tcBorders>
          </w:tcPr>
          <w:p>
            <w:pPr>
              <w:rPr>
                <w:sz w:val="2"/>
                <w:szCs w:val="2"/>
              </w:rPr>
            </w:pPr>
          </w:p>
        </w:tc>
        <w:tc>
          <w:tcPr>
            <w:tcW w:w="976" w:type="dxa"/>
          </w:tcPr>
          <w:p>
            <w:pPr>
              <w:pStyle w:val="TableParagraph"/>
              <w:rPr>
                <w:rFonts w:ascii="Times New Roman"/>
                <w:sz w:val="22"/>
              </w:rPr>
            </w:pPr>
          </w:p>
        </w:tc>
        <w:tc>
          <w:tcPr>
            <w:tcW w:w="1454" w:type="dxa"/>
          </w:tcPr>
          <w:p>
            <w:pPr>
              <w:pStyle w:val="TableParagraph"/>
              <w:spacing w:line="257" w:lineRule="exact"/>
              <w:ind w:left="110"/>
              <w:rPr>
                <w:sz w:val="22"/>
              </w:rPr>
            </w:pPr>
            <w:r>
              <w:rPr>
                <w:spacing w:val="-2"/>
                <w:sz w:val="22"/>
              </w:rPr>
              <w:t>Terminal</w:t>
            </w:r>
          </w:p>
        </w:tc>
        <w:tc>
          <w:tcPr>
            <w:tcW w:w="2608" w:type="dxa"/>
          </w:tcPr>
          <w:p>
            <w:pPr>
              <w:pStyle w:val="TableParagraph"/>
              <w:spacing w:line="257" w:lineRule="exact"/>
              <w:ind w:left="111"/>
              <w:rPr>
                <w:sz w:val="22"/>
              </w:rPr>
            </w:pPr>
            <w:r>
              <w:rPr>
                <w:spacing w:val="-2"/>
                <w:sz w:val="22"/>
              </w:rPr>
              <w:t>Parking</w:t>
            </w:r>
          </w:p>
        </w:tc>
        <w:tc>
          <w:tcPr>
            <w:tcW w:w="2071" w:type="dxa"/>
          </w:tcPr>
          <w:p>
            <w:pPr>
              <w:pStyle w:val="TableParagraph"/>
              <w:rPr>
                <w:rFonts w:ascii="Times New Roman"/>
                <w:sz w:val="22"/>
              </w:rPr>
            </w:pPr>
          </w:p>
        </w:tc>
        <w:tc>
          <w:tcPr>
            <w:tcW w:w="1348" w:type="dxa"/>
          </w:tcPr>
          <w:p>
            <w:pPr>
              <w:pStyle w:val="TableParagraph"/>
              <w:rPr>
                <w:rFonts w:ascii="Times New Roman"/>
                <w:sz w:val="22"/>
              </w:rPr>
            </w:pPr>
          </w:p>
        </w:tc>
      </w:tr>
      <w:tr>
        <w:trPr>
          <w:trHeight w:val="1482" w:hRule="atLeast"/>
        </w:trPr>
        <w:tc>
          <w:tcPr>
            <w:tcW w:w="900" w:type="dxa"/>
          </w:tcPr>
          <w:p>
            <w:pPr>
              <w:pStyle w:val="TableParagraph"/>
              <w:spacing w:before="191"/>
              <w:rPr>
                <w:b/>
                <w:i/>
                <w:sz w:val="22"/>
              </w:rPr>
            </w:pPr>
          </w:p>
          <w:p>
            <w:pPr>
              <w:pStyle w:val="TableParagraph"/>
              <w:ind w:left="10" w:right="3"/>
              <w:jc w:val="center"/>
              <w:rPr>
                <w:sz w:val="22"/>
              </w:rPr>
            </w:pPr>
            <w:r>
              <w:rPr>
                <w:spacing w:val="-5"/>
                <w:sz w:val="22"/>
              </w:rPr>
              <w:t>19</w:t>
            </w:r>
          </w:p>
        </w:tc>
        <w:tc>
          <w:tcPr>
            <w:tcW w:w="875" w:type="dxa"/>
            <w:vMerge/>
            <w:tcBorders>
              <w:top w:val="nil"/>
            </w:tcBorders>
          </w:tcPr>
          <w:p>
            <w:pPr>
              <w:rPr>
                <w:sz w:val="2"/>
                <w:szCs w:val="2"/>
              </w:rPr>
            </w:pPr>
          </w:p>
        </w:tc>
        <w:tc>
          <w:tcPr>
            <w:tcW w:w="976" w:type="dxa"/>
          </w:tcPr>
          <w:p>
            <w:pPr>
              <w:pStyle w:val="TableParagraph"/>
              <w:rPr>
                <w:b/>
                <w:i/>
                <w:sz w:val="22"/>
              </w:rPr>
            </w:pPr>
          </w:p>
          <w:p>
            <w:pPr>
              <w:pStyle w:val="TableParagraph"/>
              <w:rPr>
                <w:b/>
                <w:i/>
                <w:sz w:val="22"/>
              </w:rPr>
            </w:pPr>
          </w:p>
          <w:p>
            <w:pPr>
              <w:pStyle w:val="TableParagraph"/>
              <w:spacing w:before="28"/>
              <w:rPr>
                <w:b/>
                <w:i/>
                <w:sz w:val="22"/>
              </w:rPr>
            </w:pPr>
          </w:p>
          <w:p>
            <w:pPr>
              <w:pStyle w:val="TableParagraph"/>
              <w:ind w:right="218"/>
              <w:jc w:val="right"/>
              <w:rPr>
                <w:sz w:val="22"/>
              </w:rPr>
            </w:pPr>
            <w:r>
              <w:rPr>
                <w:spacing w:val="-2"/>
                <w:sz w:val="22"/>
              </w:rPr>
              <w:t>RT2.2</w:t>
            </w:r>
          </w:p>
        </w:tc>
        <w:tc>
          <w:tcPr>
            <w:tcW w:w="1454" w:type="dxa"/>
          </w:tcPr>
          <w:p>
            <w:pPr>
              <w:pStyle w:val="TableParagraph"/>
              <w:rPr>
                <w:b/>
                <w:i/>
                <w:sz w:val="22"/>
              </w:rPr>
            </w:pPr>
          </w:p>
          <w:p>
            <w:pPr>
              <w:pStyle w:val="TableParagraph"/>
              <w:rPr>
                <w:b/>
                <w:i/>
                <w:sz w:val="22"/>
              </w:rPr>
            </w:pPr>
          </w:p>
          <w:p>
            <w:pPr>
              <w:pStyle w:val="TableParagraph"/>
              <w:spacing w:before="28"/>
              <w:rPr>
                <w:b/>
                <w:i/>
                <w:sz w:val="22"/>
              </w:rPr>
            </w:pPr>
          </w:p>
          <w:p>
            <w:pPr>
              <w:pStyle w:val="TableParagraph"/>
              <w:ind w:left="221"/>
              <w:rPr>
                <w:sz w:val="22"/>
              </w:rPr>
            </w:pPr>
            <w:r>
              <w:rPr>
                <w:spacing w:val="-4"/>
                <w:sz w:val="22"/>
              </w:rPr>
              <w:t>Jetty</w:t>
            </w:r>
          </w:p>
        </w:tc>
        <w:tc>
          <w:tcPr>
            <w:tcW w:w="2608" w:type="dxa"/>
          </w:tcPr>
          <w:p>
            <w:pPr>
              <w:pStyle w:val="TableParagraph"/>
              <w:tabs>
                <w:tab w:pos="1631" w:val="left" w:leader="none"/>
              </w:tabs>
              <w:spacing w:before="94"/>
              <w:ind w:left="111" w:right="64"/>
              <w:jc w:val="both"/>
              <w:rPr>
                <w:sz w:val="22"/>
              </w:rPr>
            </w:pPr>
            <w:r>
              <w:rPr>
                <w:sz w:val="22"/>
              </w:rPr>
              <w:t>Jetty,</w:t>
            </w:r>
            <w:r>
              <w:rPr>
                <w:spacing w:val="-15"/>
                <w:sz w:val="22"/>
              </w:rPr>
              <w:t> </w:t>
            </w:r>
            <w:r>
              <w:rPr>
                <w:sz w:val="22"/>
              </w:rPr>
              <w:t>along</w:t>
            </w:r>
            <w:r>
              <w:rPr>
                <w:spacing w:val="-15"/>
                <w:sz w:val="22"/>
              </w:rPr>
              <w:t> </w:t>
            </w:r>
            <w:r>
              <w:rPr>
                <w:sz w:val="22"/>
              </w:rPr>
              <w:t>with</w:t>
            </w:r>
            <w:r>
              <w:rPr>
                <w:spacing w:val="-13"/>
                <w:sz w:val="22"/>
              </w:rPr>
              <w:t> </w:t>
            </w:r>
            <w:r>
              <w:rPr>
                <w:sz w:val="22"/>
              </w:rPr>
              <w:t>other uses if any, such as, </w:t>
            </w:r>
            <w:r>
              <w:rPr>
                <w:spacing w:val="-2"/>
                <w:sz w:val="22"/>
              </w:rPr>
              <w:t>Office,</w:t>
            </w:r>
            <w:r>
              <w:rPr>
                <w:sz w:val="22"/>
              </w:rPr>
              <w:tab/>
            </w:r>
            <w:r>
              <w:rPr>
                <w:spacing w:val="-2"/>
                <w:sz w:val="22"/>
              </w:rPr>
              <w:t>Parking, </w:t>
            </w:r>
            <w:r>
              <w:rPr>
                <w:sz w:val="22"/>
              </w:rPr>
              <w:t>Emergency Medical </w:t>
            </w:r>
            <w:r>
              <w:rPr>
                <w:spacing w:val="-2"/>
                <w:sz w:val="22"/>
              </w:rPr>
              <w:t>Centre</w:t>
            </w:r>
          </w:p>
        </w:tc>
        <w:tc>
          <w:tcPr>
            <w:tcW w:w="2071" w:type="dxa"/>
          </w:tcPr>
          <w:p>
            <w:pPr>
              <w:pStyle w:val="TableParagraph"/>
              <w:tabs>
                <w:tab w:pos="1541" w:val="left" w:leader="none"/>
              </w:tabs>
              <w:spacing w:before="94"/>
              <w:ind w:left="112" w:right="50"/>
              <w:jc w:val="both"/>
              <w:rPr>
                <w:sz w:val="22"/>
              </w:rPr>
            </w:pPr>
            <w:r>
              <w:rPr>
                <w:sz w:val="22"/>
              </w:rPr>
              <w:t>Other </w:t>
            </w:r>
            <w:r>
              <w:rPr>
                <w:sz w:val="22"/>
              </w:rPr>
              <w:t>ancillary </w:t>
            </w:r>
            <w:r>
              <w:rPr>
                <w:spacing w:val="-4"/>
                <w:sz w:val="22"/>
              </w:rPr>
              <w:t>uses</w:t>
            </w:r>
            <w:r>
              <w:rPr>
                <w:sz w:val="22"/>
              </w:rPr>
              <w:tab/>
            </w:r>
            <w:r>
              <w:rPr>
                <w:spacing w:val="-4"/>
                <w:sz w:val="22"/>
              </w:rPr>
              <w:t>with </w:t>
            </w:r>
            <w:r>
              <w:rPr>
                <w:sz w:val="22"/>
              </w:rPr>
              <w:t>facilities for staff and visitors</w:t>
            </w:r>
          </w:p>
        </w:tc>
        <w:tc>
          <w:tcPr>
            <w:tcW w:w="1348" w:type="dxa"/>
          </w:tcPr>
          <w:p>
            <w:pPr>
              <w:pStyle w:val="TableParagraph"/>
              <w:spacing w:before="191"/>
              <w:rPr>
                <w:b/>
                <w:i/>
                <w:sz w:val="22"/>
              </w:rPr>
            </w:pPr>
          </w:p>
          <w:p>
            <w:pPr>
              <w:pStyle w:val="TableParagraph"/>
              <w:spacing w:line="328" w:lineRule="auto"/>
              <w:ind w:left="113" w:right="532"/>
              <w:rPr>
                <w:sz w:val="22"/>
              </w:rPr>
            </w:pPr>
            <w:r>
              <w:rPr>
                <w:spacing w:val="-6"/>
                <w:sz w:val="22"/>
              </w:rPr>
              <w:t>1, </w:t>
            </w:r>
            <w:r>
              <w:rPr>
                <w:spacing w:val="-2"/>
                <w:sz w:val="22"/>
              </w:rPr>
              <w:t>Zb=15</w:t>
            </w:r>
          </w:p>
        </w:tc>
      </w:tr>
      <w:tr>
        <w:trPr>
          <w:trHeight w:val="2517" w:hRule="atLeast"/>
        </w:trPr>
        <w:tc>
          <w:tcPr>
            <w:tcW w:w="900" w:type="dxa"/>
          </w:tcPr>
          <w:p>
            <w:pPr>
              <w:pStyle w:val="TableParagraph"/>
              <w:rPr>
                <w:b/>
                <w:i/>
                <w:sz w:val="22"/>
              </w:rPr>
            </w:pPr>
          </w:p>
          <w:p>
            <w:pPr>
              <w:pStyle w:val="TableParagraph"/>
              <w:rPr>
                <w:b/>
                <w:i/>
                <w:sz w:val="22"/>
              </w:rPr>
            </w:pPr>
          </w:p>
          <w:p>
            <w:pPr>
              <w:pStyle w:val="TableParagraph"/>
              <w:spacing w:before="28"/>
              <w:rPr>
                <w:b/>
                <w:i/>
                <w:sz w:val="22"/>
              </w:rPr>
            </w:pPr>
          </w:p>
          <w:p>
            <w:pPr>
              <w:pStyle w:val="TableParagraph"/>
              <w:ind w:left="10" w:right="3"/>
              <w:jc w:val="center"/>
              <w:rPr>
                <w:sz w:val="22"/>
              </w:rPr>
            </w:pPr>
            <w:r>
              <w:rPr>
                <w:spacing w:val="-5"/>
                <w:sz w:val="22"/>
              </w:rPr>
              <w:t>21</w:t>
            </w:r>
          </w:p>
        </w:tc>
        <w:tc>
          <w:tcPr>
            <w:tcW w:w="875" w:type="dxa"/>
          </w:tcPr>
          <w:p>
            <w:pPr>
              <w:pStyle w:val="TableParagraph"/>
              <w:rPr>
                <w:rFonts w:ascii="Times New Roman"/>
                <w:sz w:val="22"/>
              </w:rPr>
            </w:pPr>
          </w:p>
        </w:tc>
        <w:tc>
          <w:tcPr>
            <w:tcW w:w="976" w:type="dxa"/>
          </w:tcPr>
          <w:p>
            <w:pPr>
              <w:pStyle w:val="TableParagraph"/>
              <w:spacing w:before="94"/>
              <w:ind w:right="268"/>
              <w:jc w:val="right"/>
              <w:rPr>
                <w:sz w:val="22"/>
              </w:rPr>
            </w:pPr>
            <w:r>
              <w:rPr>
                <w:spacing w:val="-5"/>
                <w:sz w:val="22"/>
              </w:rPr>
              <w:t>RAM</w:t>
            </w:r>
          </w:p>
        </w:tc>
        <w:tc>
          <w:tcPr>
            <w:tcW w:w="1454" w:type="dxa"/>
          </w:tcPr>
          <w:p>
            <w:pPr>
              <w:pStyle w:val="TableParagraph"/>
              <w:spacing w:before="94"/>
              <w:ind w:left="110" w:hanging="84"/>
              <w:rPr>
                <w:sz w:val="22"/>
              </w:rPr>
            </w:pPr>
            <w:r>
              <w:rPr>
                <w:spacing w:val="-2"/>
                <w:sz w:val="22"/>
              </w:rPr>
              <w:t>Reservation Amenity</w:t>
            </w:r>
          </w:p>
        </w:tc>
        <w:tc>
          <w:tcPr>
            <w:tcW w:w="2608" w:type="dxa"/>
          </w:tcPr>
          <w:p>
            <w:pPr>
              <w:pStyle w:val="TableParagraph"/>
              <w:tabs>
                <w:tab w:pos="962" w:val="left" w:leader="none"/>
                <w:tab w:pos="2279" w:val="left" w:leader="none"/>
              </w:tabs>
              <w:spacing w:before="94"/>
              <w:ind w:left="70" w:right="139"/>
              <w:rPr>
                <w:sz w:val="22"/>
              </w:rPr>
            </w:pPr>
            <w:r>
              <w:rPr>
                <w:spacing w:val="-2"/>
                <w:sz w:val="22"/>
              </w:rPr>
              <w:t>Social/Education/He </w:t>
            </w:r>
            <w:r>
              <w:rPr>
                <w:spacing w:val="-4"/>
                <w:sz w:val="22"/>
              </w:rPr>
              <w:t>alth</w:t>
            </w:r>
            <w:r>
              <w:rPr>
                <w:sz w:val="22"/>
              </w:rPr>
              <w:tab/>
            </w:r>
            <w:r>
              <w:rPr>
                <w:spacing w:val="-2"/>
                <w:sz w:val="22"/>
              </w:rPr>
              <w:t>services</w:t>
            </w:r>
            <w:r>
              <w:rPr>
                <w:sz w:val="22"/>
              </w:rPr>
              <w:tab/>
            </w:r>
            <w:r>
              <w:rPr>
                <w:spacing w:val="-10"/>
                <w:sz w:val="22"/>
              </w:rPr>
              <w:t>&amp; </w:t>
            </w:r>
            <w:r>
              <w:rPr>
                <w:sz w:val="22"/>
              </w:rPr>
              <w:t>facilities</w:t>
            </w:r>
            <w:r>
              <w:rPr>
                <w:spacing w:val="-18"/>
                <w:sz w:val="22"/>
              </w:rPr>
              <w:t> </w:t>
            </w:r>
            <w:r>
              <w:rPr>
                <w:sz w:val="22"/>
              </w:rPr>
              <w:t>as</w:t>
            </w:r>
            <w:r>
              <w:rPr>
                <w:spacing w:val="-18"/>
                <w:sz w:val="22"/>
              </w:rPr>
              <w:t> </w:t>
            </w:r>
            <w:r>
              <w:rPr>
                <w:sz w:val="22"/>
              </w:rPr>
              <w:t>decided</w:t>
            </w:r>
            <w:r>
              <w:rPr>
                <w:spacing w:val="-17"/>
                <w:sz w:val="22"/>
              </w:rPr>
              <w:t> </w:t>
            </w:r>
            <w:r>
              <w:rPr>
                <w:sz w:val="22"/>
              </w:rPr>
              <w:t>by </w:t>
            </w:r>
            <w:r>
              <w:rPr>
                <w:spacing w:val="-2"/>
                <w:sz w:val="22"/>
              </w:rPr>
              <w:t>Municipal Commissioner </w:t>
            </w:r>
            <w:r>
              <w:rPr>
                <w:sz w:val="22"/>
              </w:rPr>
              <w:t>considering</w:t>
            </w:r>
            <w:r>
              <w:rPr>
                <w:spacing w:val="-17"/>
                <w:sz w:val="22"/>
              </w:rPr>
              <w:t> </w:t>
            </w:r>
            <w:r>
              <w:rPr>
                <w:sz w:val="22"/>
              </w:rPr>
              <w:t>deficiency in</w:t>
            </w:r>
            <w:r>
              <w:rPr>
                <w:spacing w:val="40"/>
                <w:sz w:val="22"/>
              </w:rPr>
              <w:t> </w:t>
            </w:r>
            <w:r>
              <w:rPr>
                <w:sz w:val="22"/>
              </w:rPr>
              <w:t>Amenity</w:t>
            </w:r>
            <w:r>
              <w:rPr>
                <w:spacing w:val="40"/>
                <w:sz w:val="22"/>
              </w:rPr>
              <w:t> </w:t>
            </w:r>
            <w:r>
              <w:rPr>
                <w:sz w:val="22"/>
              </w:rPr>
              <w:t>in</w:t>
            </w:r>
            <w:r>
              <w:rPr>
                <w:spacing w:val="40"/>
                <w:sz w:val="22"/>
              </w:rPr>
              <w:t> </w:t>
            </w:r>
            <w:r>
              <w:rPr>
                <w:sz w:val="22"/>
              </w:rPr>
              <w:t>ward/ </w:t>
            </w:r>
            <w:r>
              <w:rPr>
                <w:spacing w:val="-2"/>
                <w:sz w:val="22"/>
              </w:rPr>
              <w:t>Appropriate Authorities</w:t>
            </w:r>
          </w:p>
        </w:tc>
        <w:tc>
          <w:tcPr>
            <w:tcW w:w="2071" w:type="dxa"/>
          </w:tcPr>
          <w:p>
            <w:pPr>
              <w:pStyle w:val="TableParagraph"/>
              <w:rPr>
                <w:rFonts w:ascii="Times New Roman"/>
                <w:sz w:val="22"/>
              </w:rPr>
            </w:pPr>
          </w:p>
        </w:tc>
        <w:tc>
          <w:tcPr>
            <w:tcW w:w="1348" w:type="dxa"/>
          </w:tcPr>
          <w:p>
            <w:pPr>
              <w:pStyle w:val="TableParagraph"/>
              <w:spacing w:before="94"/>
              <w:ind w:left="18" w:right="151"/>
              <w:jc w:val="center"/>
              <w:rPr>
                <w:sz w:val="22"/>
              </w:rPr>
            </w:pPr>
            <w:r>
              <w:rPr>
                <w:spacing w:val="-10"/>
                <w:sz w:val="22"/>
              </w:rPr>
              <w:t>1</w:t>
            </w:r>
          </w:p>
        </w:tc>
      </w:tr>
    </w:tbl>
    <w:p>
      <w:pPr>
        <w:pStyle w:val="BodyText"/>
        <w:spacing w:before="241"/>
        <w:jc w:val="left"/>
        <w:rPr>
          <w:b/>
          <w:i/>
        </w:rPr>
      </w:pPr>
    </w:p>
    <w:p>
      <w:pPr>
        <w:spacing w:before="0"/>
        <w:ind w:left="1080" w:right="0" w:firstLine="0"/>
        <w:jc w:val="left"/>
        <w:rPr>
          <w:b/>
          <w:sz w:val="24"/>
        </w:rPr>
      </w:pPr>
      <w:r>
        <w:rPr>
          <w:b/>
          <w:sz w:val="24"/>
        </w:rPr>
        <w:t>Table</w:t>
      </w:r>
      <w:r>
        <w:rPr>
          <w:b/>
          <w:spacing w:val="-3"/>
          <w:sz w:val="24"/>
        </w:rPr>
        <w:t> </w:t>
      </w:r>
      <w:r>
        <w:rPr>
          <w:b/>
          <w:sz w:val="24"/>
        </w:rPr>
        <w:t>No</w:t>
      </w:r>
      <w:r>
        <w:rPr>
          <w:b/>
          <w:spacing w:val="-2"/>
          <w:sz w:val="24"/>
        </w:rPr>
        <w:t> </w:t>
      </w:r>
      <w:r>
        <w:rPr>
          <w:b/>
          <w:spacing w:val="-10"/>
          <w:sz w:val="24"/>
        </w:rPr>
        <w:t>5</w:t>
      </w:r>
    </w:p>
    <w:p>
      <w:pPr>
        <w:spacing w:before="241"/>
        <w:ind w:left="1080" w:right="0" w:firstLine="0"/>
        <w:jc w:val="left"/>
        <w:rPr>
          <w:b/>
          <w:sz w:val="24"/>
        </w:rPr>
      </w:pPr>
      <w:r>
        <w:rPr>
          <w:b/>
          <w:sz w:val="24"/>
        </w:rPr>
        <w:t>Reservations</w:t>
      </w:r>
      <w:r>
        <w:rPr>
          <w:b/>
          <w:spacing w:val="80"/>
          <w:sz w:val="24"/>
        </w:rPr>
        <w:t> </w:t>
      </w:r>
      <w:r>
        <w:rPr>
          <w:b/>
          <w:sz w:val="24"/>
        </w:rPr>
        <w:t>to</w:t>
      </w:r>
      <w:r>
        <w:rPr>
          <w:b/>
          <w:spacing w:val="80"/>
          <w:sz w:val="24"/>
        </w:rPr>
        <w:t> </w:t>
      </w:r>
      <w:r>
        <w:rPr>
          <w:b/>
          <w:sz w:val="24"/>
        </w:rPr>
        <w:t>be</w:t>
      </w:r>
      <w:r>
        <w:rPr>
          <w:b/>
          <w:spacing w:val="80"/>
          <w:sz w:val="24"/>
        </w:rPr>
        <w:t> </w:t>
      </w:r>
      <w:r>
        <w:rPr>
          <w:b/>
          <w:sz w:val="24"/>
        </w:rPr>
        <w:t>developed</w:t>
      </w:r>
      <w:r>
        <w:rPr>
          <w:b/>
          <w:spacing w:val="80"/>
          <w:sz w:val="24"/>
        </w:rPr>
        <w:t> </w:t>
      </w:r>
      <w:r>
        <w:rPr>
          <w:b/>
          <w:sz w:val="24"/>
        </w:rPr>
        <w:t>for</w:t>
      </w:r>
      <w:r>
        <w:rPr>
          <w:b/>
          <w:spacing w:val="80"/>
          <w:sz w:val="24"/>
        </w:rPr>
        <w:t> </w:t>
      </w:r>
      <w:r>
        <w:rPr>
          <w:b/>
          <w:sz w:val="24"/>
        </w:rPr>
        <w:t>the</w:t>
      </w:r>
      <w:r>
        <w:rPr>
          <w:b/>
          <w:spacing w:val="80"/>
          <w:sz w:val="24"/>
        </w:rPr>
        <w:t> </w:t>
      </w:r>
      <w:r>
        <w:rPr>
          <w:b/>
          <w:sz w:val="24"/>
        </w:rPr>
        <w:t>intended</w:t>
      </w:r>
      <w:r>
        <w:rPr>
          <w:b/>
          <w:spacing w:val="80"/>
          <w:sz w:val="24"/>
        </w:rPr>
        <w:t> </w:t>
      </w:r>
      <w:r>
        <w:rPr>
          <w:b/>
          <w:sz w:val="24"/>
        </w:rPr>
        <w:t>purposes</w:t>
      </w:r>
      <w:r>
        <w:rPr>
          <w:b/>
          <w:spacing w:val="80"/>
          <w:sz w:val="24"/>
        </w:rPr>
        <w:t> </w:t>
      </w:r>
      <w:r>
        <w:rPr>
          <w:b/>
          <w:sz w:val="24"/>
        </w:rPr>
        <w:t>or</w:t>
      </w:r>
      <w:r>
        <w:rPr>
          <w:b/>
          <w:spacing w:val="80"/>
          <w:sz w:val="24"/>
        </w:rPr>
        <w:t> </w:t>
      </w:r>
      <w:r>
        <w:rPr>
          <w:b/>
          <w:sz w:val="24"/>
        </w:rPr>
        <w:t>as</w:t>
      </w:r>
      <w:r>
        <w:rPr>
          <w:b/>
          <w:spacing w:val="80"/>
          <w:sz w:val="24"/>
        </w:rPr>
        <w:t> </w:t>
      </w:r>
      <w:r>
        <w:rPr>
          <w:b/>
          <w:sz w:val="24"/>
        </w:rPr>
        <w:t>per Accommodation Reservation.</w:t>
      </w:r>
    </w:p>
    <w:p>
      <w:pPr>
        <w:pStyle w:val="BodyText"/>
        <w:spacing w:before="5"/>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3" w:hRule="atLeast"/>
        </w:trPr>
        <w:tc>
          <w:tcPr>
            <w:tcW w:w="560" w:type="dxa"/>
            <w:vMerge w:val="restart"/>
          </w:tcPr>
          <w:p>
            <w:pPr>
              <w:pStyle w:val="TableParagraph"/>
              <w:spacing w:before="1"/>
              <w:ind w:left="107" w:right="108"/>
              <w:rPr>
                <w:b/>
                <w:sz w:val="24"/>
              </w:rPr>
            </w:pPr>
            <w:r>
              <w:rPr>
                <w:b/>
                <w:spacing w:val="-6"/>
                <w:sz w:val="24"/>
              </w:rPr>
              <w:t>Sr No</w:t>
            </w:r>
          </w:p>
        </w:tc>
        <w:tc>
          <w:tcPr>
            <w:tcW w:w="1349" w:type="dxa"/>
            <w:vMerge w:val="restart"/>
          </w:tcPr>
          <w:p>
            <w:pPr>
              <w:pStyle w:val="TableParagraph"/>
              <w:spacing w:before="1"/>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spacing w:before="1"/>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before="1"/>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3664" w:hRule="atLeast"/>
        </w:trPr>
        <w:tc>
          <w:tcPr>
            <w:tcW w:w="56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15"/>
              <w:rPr>
                <w:b/>
                <w:sz w:val="24"/>
              </w:rPr>
            </w:pPr>
          </w:p>
          <w:p>
            <w:pPr>
              <w:pStyle w:val="TableParagraph"/>
              <w:ind w:left="107"/>
              <w:rPr>
                <w:sz w:val="24"/>
              </w:rPr>
            </w:pPr>
            <w:r>
              <w:rPr>
                <w:spacing w:val="-10"/>
                <w:sz w:val="24"/>
              </w:rPr>
              <w:t>1</w:t>
            </w:r>
          </w:p>
        </w:tc>
        <w:tc>
          <w:tcPr>
            <w:tcW w:w="1349" w:type="dxa"/>
          </w:tcPr>
          <w:p>
            <w:pPr>
              <w:pStyle w:val="TableParagraph"/>
              <w:rPr>
                <w:rFonts w:ascii="Times New Roman"/>
                <w:sz w:val="22"/>
              </w:rPr>
            </w:pPr>
          </w:p>
        </w:tc>
        <w:tc>
          <w:tcPr>
            <w:tcW w:w="1057" w:type="dxa"/>
          </w:tcPr>
          <w:p>
            <w:pPr>
              <w:pStyle w:val="TableParagraph"/>
              <w:spacing w:before="240"/>
              <w:rPr>
                <w:b/>
                <w:sz w:val="24"/>
              </w:rPr>
            </w:pPr>
          </w:p>
          <w:p>
            <w:pPr>
              <w:pStyle w:val="TableParagraph"/>
              <w:ind w:left="107"/>
              <w:rPr>
                <w:sz w:val="24"/>
              </w:rPr>
            </w:pPr>
            <w:r>
              <w:rPr>
                <w:spacing w:val="-2"/>
                <w:sz w:val="24"/>
              </w:rPr>
              <w:t>RE1.1</w:t>
            </w:r>
          </w:p>
        </w:tc>
        <w:tc>
          <w:tcPr>
            <w:tcW w:w="1260" w:type="dxa"/>
          </w:tcPr>
          <w:p>
            <w:pPr>
              <w:pStyle w:val="TableParagraph"/>
              <w:rPr>
                <w:b/>
                <w:sz w:val="24"/>
              </w:rPr>
            </w:pPr>
          </w:p>
          <w:p>
            <w:pPr>
              <w:pStyle w:val="TableParagraph"/>
              <w:rPr>
                <w:b/>
                <w:sz w:val="24"/>
              </w:rPr>
            </w:pPr>
          </w:p>
          <w:p>
            <w:pPr>
              <w:pStyle w:val="TableParagraph"/>
              <w:spacing w:before="198"/>
              <w:rPr>
                <w:b/>
                <w:sz w:val="24"/>
              </w:rPr>
            </w:pPr>
          </w:p>
          <w:p>
            <w:pPr>
              <w:pStyle w:val="TableParagraph"/>
              <w:ind w:left="106" w:right="178"/>
              <w:rPr>
                <w:sz w:val="24"/>
              </w:rPr>
            </w:pPr>
            <w:r>
              <w:rPr>
                <w:spacing w:val="-2"/>
                <w:sz w:val="24"/>
              </w:rPr>
              <w:t>Municip </w:t>
            </w:r>
            <w:r>
              <w:rPr>
                <w:spacing w:val="-6"/>
                <w:sz w:val="24"/>
              </w:rPr>
              <w:t>al </w:t>
            </w:r>
            <w:r>
              <w:rPr>
                <w:spacing w:val="-2"/>
                <w:sz w:val="24"/>
              </w:rPr>
              <w:t>School</w:t>
            </w:r>
          </w:p>
        </w:tc>
        <w:tc>
          <w:tcPr>
            <w:tcW w:w="2679" w:type="dxa"/>
          </w:tcPr>
          <w:p>
            <w:pPr>
              <w:pStyle w:val="TableParagraph"/>
              <w:tabs>
                <w:tab w:pos="1342" w:val="left" w:leader="none"/>
                <w:tab w:pos="1376" w:val="left" w:leader="none"/>
                <w:tab w:pos="1707" w:val="left" w:leader="none"/>
                <w:tab w:pos="1740" w:val="left" w:leader="none"/>
                <w:tab w:pos="1954" w:val="left" w:leader="none"/>
              </w:tabs>
              <w:ind w:left="106" w:right="97"/>
              <w:rPr>
                <w:sz w:val="24"/>
              </w:rPr>
            </w:pPr>
            <w:r>
              <w:rPr>
                <w:spacing w:val="-2"/>
                <w:sz w:val="24"/>
              </w:rPr>
              <w:t>Primary</w:t>
            </w:r>
            <w:r>
              <w:rPr>
                <w:sz w:val="24"/>
              </w:rPr>
              <w:tab/>
              <w:tab/>
              <w:tab/>
              <w:tab/>
            </w:r>
            <w:r>
              <w:rPr>
                <w:spacing w:val="-2"/>
                <w:sz w:val="24"/>
              </w:rPr>
              <w:t>school, Secondary</w:t>
            </w:r>
            <w:r>
              <w:rPr>
                <w:sz w:val="24"/>
              </w:rPr>
              <w:tab/>
              <w:tab/>
              <w:tab/>
            </w:r>
            <w:r>
              <w:rPr>
                <w:spacing w:val="-2"/>
                <w:sz w:val="24"/>
              </w:rPr>
              <w:t>School, Higher</w:t>
            </w:r>
            <w:r>
              <w:rPr>
                <w:sz w:val="24"/>
              </w:rPr>
              <w:tab/>
            </w:r>
            <w:r>
              <w:rPr>
                <w:spacing w:val="-2"/>
                <w:sz w:val="24"/>
              </w:rPr>
              <w:t>Secondary </w:t>
            </w:r>
            <w:r>
              <w:rPr>
                <w:sz w:val="24"/>
              </w:rPr>
              <w:t>School, High School, </w:t>
            </w:r>
            <w:r>
              <w:rPr>
                <w:spacing w:val="-2"/>
                <w:sz w:val="24"/>
              </w:rPr>
              <w:t>College,</w:t>
            </w:r>
            <w:r>
              <w:rPr>
                <w:sz w:val="24"/>
              </w:rPr>
              <w:tab/>
            </w:r>
            <w:r>
              <w:rPr>
                <w:spacing w:val="-49"/>
                <w:sz w:val="24"/>
              </w:rPr>
              <w:t> </w:t>
            </w:r>
            <w:r>
              <w:rPr>
                <w:spacing w:val="-2"/>
                <w:sz w:val="24"/>
              </w:rPr>
              <w:t>Integrated </w:t>
            </w:r>
            <w:r>
              <w:rPr>
                <w:sz w:val="24"/>
              </w:rPr>
              <w:t>School</w:t>
            </w:r>
            <w:r>
              <w:rPr>
                <w:spacing w:val="80"/>
                <w:sz w:val="24"/>
              </w:rPr>
              <w:t> </w:t>
            </w:r>
            <w:r>
              <w:rPr>
                <w:sz w:val="24"/>
              </w:rPr>
              <w:t>with</w:t>
            </w:r>
            <w:r>
              <w:rPr>
                <w:spacing w:val="80"/>
                <w:sz w:val="24"/>
              </w:rPr>
              <w:t> </w:t>
            </w:r>
            <w:r>
              <w:rPr>
                <w:sz w:val="24"/>
              </w:rPr>
              <w:t>hostel, </w:t>
            </w:r>
            <w:r>
              <w:rPr>
                <w:spacing w:val="-2"/>
                <w:sz w:val="24"/>
              </w:rPr>
              <w:t>Pre-School</w:t>
            </w:r>
            <w:r>
              <w:rPr>
                <w:sz w:val="24"/>
              </w:rPr>
              <w:tab/>
              <w:tab/>
            </w:r>
            <w:r>
              <w:rPr>
                <w:spacing w:val="-2"/>
                <w:sz w:val="24"/>
              </w:rPr>
              <w:t>Centre, Nursery</w:t>
            </w:r>
            <w:r>
              <w:rPr>
                <w:sz w:val="24"/>
              </w:rPr>
              <w:tab/>
              <w:tab/>
            </w:r>
            <w:r>
              <w:rPr>
                <w:spacing w:val="-6"/>
                <w:sz w:val="24"/>
              </w:rPr>
              <w:t>or</w:t>
            </w:r>
            <w:r>
              <w:rPr>
                <w:sz w:val="24"/>
              </w:rPr>
              <w:tab/>
              <w:tab/>
              <w:tab/>
            </w:r>
            <w:r>
              <w:rPr>
                <w:spacing w:val="-4"/>
                <w:sz w:val="24"/>
              </w:rPr>
              <w:t>other </w:t>
            </w:r>
            <w:r>
              <w:rPr>
                <w:spacing w:val="-2"/>
                <w:sz w:val="24"/>
              </w:rPr>
              <w:t>educational</w:t>
            </w:r>
            <w:r>
              <w:rPr>
                <w:spacing w:val="40"/>
                <w:sz w:val="24"/>
              </w:rPr>
              <w:t> </w:t>
            </w:r>
            <w:r>
              <w:rPr>
                <w:spacing w:val="-2"/>
                <w:sz w:val="24"/>
              </w:rPr>
              <w:t>purposes </w:t>
            </w:r>
            <w:r>
              <w:rPr>
                <w:sz w:val="24"/>
              </w:rPr>
              <w:t>Auditorium,</w:t>
            </w:r>
            <w:r>
              <w:rPr>
                <w:spacing w:val="54"/>
                <w:sz w:val="24"/>
              </w:rPr>
              <w:t> </w:t>
            </w:r>
            <w:r>
              <w:rPr>
                <w:sz w:val="24"/>
              </w:rPr>
              <w:t>art</w:t>
            </w:r>
            <w:r>
              <w:rPr>
                <w:spacing w:val="54"/>
                <w:sz w:val="24"/>
              </w:rPr>
              <w:t> </w:t>
            </w:r>
            <w:r>
              <w:rPr>
                <w:spacing w:val="-5"/>
                <w:sz w:val="24"/>
              </w:rPr>
              <w:t>and</w:t>
            </w:r>
          </w:p>
          <w:p>
            <w:pPr>
              <w:pStyle w:val="TableParagraph"/>
              <w:tabs>
                <w:tab w:pos="1169" w:val="left" w:leader="none"/>
                <w:tab w:pos="2357" w:val="left" w:leader="none"/>
              </w:tabs>
              <w:spacing w:line="280" w:lineRule="exact"/>
              <w:ind w:left="106" w:right="98"/>
              <w:rPr>
                <w:sz w:val="24"/>
              </w:rPr>
            </w:pPr>
            <w:r>
              <w:rPr>
                <w:sz w:val="24"/>
              </w:rPr>
              <w:t>culture</w:t>
            </w:r>
            <w:r>
              <w:rPr>
                <w:spacing w:val="-12"/>
                <w:sz w:val="24"/>
              </w:rPr>
              <w:t> </w:t>
            </w:r>
            <w:r>
              <w:rPr>
                <w:sz w:val="24"/>
              </w:rPr>
              <w:t>related</w:t>
            </w:r>
            <w:r>
              <w:rPr>
                <w:spacing w:val="-12"/>
                <w:sz w:val="24"/>
              </w:rPr>
              <w:t> </w:t>
            </w:r>
            <w:r>
              <w:rPr>
                <w:sz w:val="24"/>
              </w:rPr>
              <w:t>users </w:t>
            </w:r>
            <w:r>
              <w:rPr>
                <w:spacing w:val="-2"/>
                <w:sz w:val="24"/>
              </w:rPr>
              <w:t>After</w:t>
            </w:r>
            <w:r>
              <w:rPr>
                <w:sz w:val="24"/>
              </w:rPr>
              <w:tab/>
            </w:r>
            <w:r>
              <w:rPr>
                <w:spacing w:val="-2"/>
                <w:sz w:val="24"/>
              </w:rPr>
              <w:t>hours</w:t>
            </w:r>
            <w:r>
              <w:rPr>
                <w:sz w:val="24"/>
              </w:rPr>
              <w:tab/>
            </w:r>
            <w:r>
              <w:rPr>
                <w:spacing w:val="-5"/>
                <w:sz w:val="24"/>
              </w:rPr>
              <w:t>of</w:t>
            </w:r>
          </w:p>
        </w:tc>
        <w:tc>
          <w:tcPr>
            <w:tcW w:w="2094" w:type="dxa"/>
          </w:tcPr>
          <w:p>
            <w:pPr>
              <w:pStyle w:val="TableParagraph"/>
              <w:tabs>
                <w:tab w:pos="739" w:val="left" w:leader="none"/>
                <w:tab w:pos="1301" w:val="left" w:leader="none"/>
                <w:tab w:pos="1455" w:val="left" w:leader="none"/>
              </w:tabs>
              <w:ind w:left="106" w:right="78"/>
              <w:rPr>
                <w:sz w:val="24"/>
              </w:rPr>
            </w:pPr>
            <w:r>
              <w:rPr>
                <w:spacing w:val="-2"/>
                <w:sz w:val="24"/>
              </w:rPr>
              <w:t>Other</w:t>
            </w:r>
            <w:r>
              <w:rPr>
                <w:sz w:val="24"/>
              </w:rPr>
              <w:tab/>
              <w:tab/>
            </w:r>
            <w:r>
              <w:rPr>
                <w:spacing w:val="-4"/>
                <w:sz w:val="24"/>
              </w:rPr>
              <w:t>non- </w:t>
            </w:r>
            <w:r>
              <w:rPr>
                <w:spacing w:val="-2"/>
                <w:sz w:val="24"/>
              </w:rPr>
              <w:t>educational </w:t>
            </w:r>
            <w:r>
              <w:rPr>
                <w:sz w:val="24"/>
              </w:rPr>
              <w:t>compatible</w:t>
            </w:r>
            <w:r>
              <w:rPr>
                <w:spacing w:val="-20"/>
                <w:sz w:val="24"/>
              </w:rPr>
              <w:t> </w:t>
            </w:r>
            <w:r>
              <w:rPr>
                <w:sz w:val="24"/>
              </w:rPr>
              <w:t>uses such as branch </w:t>
            </w:r>
            <w:r>
              <w:rPr>
                <w:spacing w:val="-6"/>
                <w:sz w:val="24"/>
              </w:rPr>
              <w:t>of</w:t>
            </w:r>
            <w:r>
              <w:rPr>
                <w:sz w:val="24"/>
              </w:rPr>
              <w:tab/>
            </w:r>
            <w:r>
              <w:rPr>
                <w:spacing w:val="-10"/>
                <w:sz w:val="24"/>
              </w:rPr>
              <w:t>a</w:t>
            </w:r>
            <w:r>
              <w:rPr>
                <w:sz w:val="24"/>
              </w:rPr>
              <w:tab/>
            </w:r>
            <w:r>
              <w:rPr>
                <w:spacing w:val="-2"/>
                <w:sz w:val="24"/>
              </w:rPr>
              <w:t>Bank, Stationery</w:t>
            </w:r>
            <w:r>
              <w:rPr>
                <w:spacing w:val="40"/>
                <w:sz w:val="24"/>
              </w:rPr>
              <w:t> </w:t>
            </w:r>
            <w:r>
              <w:rPr>
                <w:spacing w:val="-2"/>
                <w:sz w:val="24"/>
              </w:rPr>
              <w:t>Shop, Dispensary, Canteen,</w:t>
            </w:r>
          </w:p>
        </w:tc>
        <w:tc>
          <w:tcPr>
            <w:tcW w:w="1306" w:type="dxa"/>
          </w:tcPr>
          <w:p>
            <w:pPr>
              <w:pStyle w:val="TableParagraph"/>
              <w:spacing w:line="281" w:lineRule="exact"/>
              <w:ind w:left="106"/>
              <w:rPr>
                <w:sz w:val="24"/>
              </w:rPr>
            </w:pPr>
            <w:r>
              <w:rPr>
                <w:sz w:val="24"/>
              </w:rPr>
              <w:t>1 or 2 </w:t>
            </w:r>
            <w:r>
              <w:rPr>
                <w:spacing w:val="-5"/>
                <w:sz w:val="24"/>
              </w:rPr>
              <w:t>or</w:t>
            </w:r>
          </w:p>
          <w:p>
            <w:pPr>
              <w:pStyle w:val="TableParagraph"/>
              <w:spacing w:line="281" w:lineRule="exact" w:before="1"/>
              <w:ind w:left="106"/>
              <w:rPr>
                <w:sz w:val="24"/>
              </w:rPr>
            </w:pPr>
            <w:r>
              <w:rPr>
                <w:spacing w:val="-10"/>
                <w:sz w:val="24"/>
              </w:rPr>
              <w:t>3</w:t>
            </w:r>
          </w:p>
          <w:p>
            <w:pPr>
              <w:pStyle w:val="TableParagraph"/>
              <w:spacing w:line="281" w:lineRule="exact"/>
              <w:ind w:left="180"/>
              <w:rPr>
                <w:sz w:val="24"/>
              </w:rPr>
            </w:pPr>
            <w:r>
              <w:rPr>
                <w:sz w:val="24"/>
              </w:rPr>
              <w:t>Zb</w:t>
            </w:r>
            <w:r>
              <w:rPr>
                <w:spacing w:val="-1"/>
                <w:sz w:val="24"/>
              </w:rPr>
              <w:t> </w:t>
            </w:r>
            <w:r>
              <w:rPr>
                <w:sz w:val="24"/>
              </w:rPr>
              <w:t>= </w:t>
            </w:r>
            <w:r>
              <w:rPr>
                <w:spacing w:val="-5"/>
                <w:sz w:val="24"/>
              </w:rPr>
              <w:t>10</w:t>
            </w:r>
          </w:p>
          <w:p>
            <w:pPr>
              <w:pStyle w:val="TableParagraph"/>
              <w:spacing w:before="2"/>
              <w:ind w:left="106" w:right="278"/>
              <w:rPr>
                <w:sz w:val="24"/>
              </w:rPr>
            </w:pPr>
            <w:r>
              <w:rPr>
                <w:sz w:val="24"/>
              </w:rPr>
              <w:t>In</w:t>
            </w:r>
            <w:r>
              <w:rPr>
                <w:spacing w:val="-20"/>
                <w:sz w:val="24"/>
              </w:rPr>
              <w:t> </w:t>
            </w:r>
            <w:r>
              <w:rPr>
                <w:sz w:val="24"/>
              </w:rPr>
              <w:t>case of 3</w:t>
            </w:r>
          </w:p>
          <w:p>
            <w:pPr>
              <w:pStyle w:val="TableParagraph"/>
              <w:numPr>
                <w:ilvl w:val="0"/>
                <w:numId w:val="35"/>
              </w:numPr>
              <w:tabs>
                <w:tab w:pos="393" w:val="left" w:leader="none"/>
              </w:tabs>
              <w:spacing w:line="280" w:lineRule="exact" w:before="0" w:after="0"/>
              <w:ind w:left="393" w:right="0" w:hanging="287"/>
              <w:jc w:val="left"/>
              <w:rPr>
                <w:sz w:val="24"/>
              </w:rPr>
            </w:pPr>
            <w:r>
              <w:rPr>
                <w:sz w:val="24"/>
              </w:rPr>
              <w:t>X=</w:t>
            </w:r>
            <w:r>
              <w:rPr>
                <w:spacing w:val="-1"/>
                <w:sz w:val="24"/>
              </w:rPr>
              <w:t> </w:t>
            </w:r>
            <w:r>
              <w:rPr>
                <w:spacing w:val="-5"/>
                <w:sz w:val="24"/>
              </w:rPr>
              <w:t>50</w:t>
            </w:r>
          </w:p>
          <w:p>
            <w:pPr>
              <w:pStyle w:val="TableParagraph"/>
              <w:numPr>
                <w:ilvl w:val="0"/>
                <w:numId w:val="35"/>
              </w:numPr>
              <w:tabs>
                <w:tab w:pos="403" w:val="left" w:leader="none"/>
              </w:tabs>
              <w:spacing w:line="240" w:lineRule="auto" w:before="2" w:after="0"/>
              <w:ind w:left="403" w:right="0" w:hanging="297"/>
              <w:jc w:val="left"/>
              <w:rPr>
                <w:sz w:val="24"/>
              </w:rPr>
            </w:pPr>
            <w:r>
              <w:rPr>
                <w:spacing w:val="-4"/>
                <w:sz w:val="24"/>
              </w:rPr>
              <w:t>Y=50</w:t>
            </w:r>
          </w:p>
        </w:tc>
      </w:tr>
    </w:tbl>
    <w:p>
      <w:pPr>
        <w:pStyle w:val="TableParagraph"/>
        <w:spacing w:after="0" w:line="240" w:lineRule="auto"/>
        <w:jc w:val="left"/>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2493" w:hRule="atLeast"/>
        </w:trPr>
        <w:tc>
          <w:tcPr>
            <w:tcW w:w="560" w:type="dxa"/>
          </w:tcPr>
          <w:p>
            <w:pPr>
              <w:pStyle w:val="TableParagraph"/>
              <w:rPr>
                <w:rFonts w:ascii="Times New Roman"/>
                <w:sz w:val="22"/>
              </w:rPr>
            </w:pPr>
          </w:p>
        </w:tc>
        <w:tc>
          <w:tcPr>
            <w:tcW w:w="1349"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77"/>
              <w:rPr>
                <w:b/>
                <w:sz w:val="24"/>
              </w:rPr>
            </w:pPr>
          </w:p>
          <w:p>
            <w:pPr>
              <w:pStyle w:val="TableParagraph"/>
              <w:spacing w:line="242" w:lineRule="auto"/>
              <w:ind w:left="105" w:right="183"/>
              <w:rPr>
                <w:sz w:val="24"/>
              </w:rPr>
            </w:pPr>
            <w:r>
              <w:rPr>
                <w:spacing w:val="-2"/>
                <w:sz w:val="24"/>
              </w:rPr>
              <w:t>Educatio </w:t>
            </w:r>
            <w:r>
              <w:rPr>
                <w:spacing w:val="-10"/>
                <w:sz w:val="24"/>
              </w:rPr>
              <w:t>n</w:t>
            </w: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tabs>
                <w:tab w:pos="2423" w:val="left" w:leader="none"/>
              </w:tabs>
              <w:ind w:left="106" w:right="99"/>
              <w:jc w:val="both"/>
              <w:rPr>
                <w:sz w:val="24"/>
              </w:rPr>
            </w:pPr>
            <w:r>
              <w:rPr>
                <w:sz w:val="24"/>
              </w:rPr>
              <w:t>principal</w:t>
            </w:r>
            <w:r>
              <w:rPr>
                <w:spacing w:val="-1"/>
                <w:sz w:val="24"/>
              </w:rPr>
              <w:t> </w:t>
            </w:r>
            <w:r>
              <w:rPr>
                <w:sz w:val="24"/>
              </w:rPr>
              <w:t>uses,</w:t>
            </w:r>
            <w:r>
              <w:rPr>
                <w:spacing w:val="-1"/>
                <w:sz w:val="24"/>
              </w:rPr>
              <w:t> </w:t>
            </w:r>
            <w:r>
              <w:rPr>
                <w:sz w:val="24"/>
              </w:rPr>
              <w:t>other </w:t>
            </w:r>
            <w:r>
              <w:rPr>
                <w:spacing w:val="-2"/>
                <w:sz w:val="24"/>
              </w:rPr>
              <w:t>educational</w:t>
            </w:r>
            <w:r>
              <w:rPr>
                <w:sz w:val="24"/>
              </w:rPr>
              <w:tab/>
            </w:r>
            <w:r>
              <w:rPr>
                <w:spacing w:val="-10"/>
                <w:sz w:val="24"/>
              </w:rPr>
              <w:t>/ </w:t>
            </w:r>
            <w:r>
              <w:rPr>
                <w:sz w:val="24"/>
              </w:rPr>
              <w:t>permitted</w:t>
            </w:r>
            <w:r>
              <w:rPr>
                <w:spacing w:val="79"/>
                <w:w w:val="150"/>
                <w:sz w:val="24"/>
              </w:rPr>
              <w:t>    </w:t>
            </w:r>
            <w:r>
              <w:rPr>
                <w:spacing w:val="-4"/>
                <w:sz w:val="24"/>
              </w:rPr>
              <w:t>uses</w:t>
            </w:r>
          </w:p>
          <w:p>
            <w:pPr>
              <w:pStyle w:val="TableParagraph"/>
              <w:ind w:left="106" w:right="97"/>
              <w:jc w:val="both"/>
              <w:rPr>
                <w:sz w:val="24"/>
              </w:rPr>
            </w:pPr>
            <w:r>
              <w:rPr>
                <w:sz w:val="24"/>
              </w:rPr>
              <w:t>including </w:t>
            </w:r>
            <w:r>
              <w:rPr>
                <w:sz w:val="24"/>
              </w:rPr>
              <w:t>Aadhar Kendra with skill development centre, Yogalaya, welfare </w:t>
            </w:r>
            <w:r>
              <w:rPr>
                <w:spacing w:val="-2"/>
                <w:sz w:val="24"/>
              </w:rPr>
              <w:t>centre</w:t>
            </w:r>
          </w:p>
        </w:tc>
        <w:tc>
          <w:tcPr>
            <w:tcW w:w="2094" w:type="dxa"/>
          </w:tcPr>
          <w:p>
            <w:pPr>
              <w:pStyle w:val="TableParagraph"/>
              <w:rPr>
                <w:rFonts w:ascii="Times New Roman"/>
                <w:sz w:val="22"/>
              </w:rPr>
            </w:pPr>
          </w:p>
        </w:tc>
        <w:tc>
          <w:tcPr>
            <w:tcW w:w="1306" w:type="dxa"/>
          </w:tcPr>
          <w:p>
            <w:pPr>
              <w:pStyle w:val="TableParagraph"/>
              <w:rPr>
                <w:rFonts w:ascii="Times New Roman"/>
                <w:sz w:val="22"/>
              </w:rPr>
            </w:pPr>
          </w:p>
        </w:tc>
      </w:tr>
      <w:tr>
        <w:trPr>
          <w:trHeight w:val="6156" w:hRule="atLeast"/>
        </w:trPr>
        <w:tc>
          <w:tcPr>
            <w:tcW w:w="560" w:type="dxa"/>
          </w:tcPr>
          <w:p>
            <w:pPr>
              <w:pStyle w:val="TableParagraph"/>
              <w:spacing w:before="240"/>
              <w:rPr>
                <w:b/>
                <w:sz w:val="24"/>
              </w:rPr>
            </w:pPr>
          </w:p>
          <w:p>
            <w:pPr>
              <w:pStyle w:val="TableParagraph"/>
              <w:ind w:left="40" w:right="34"/>
              <w:jc w:val="center"/>
              <w:rPr>
                <w:sz w:val="24"/>
              </w:rPr>
            </w:pPr>
            <w:r>
              <w:rPr>
                <w:spacing w:val="-10"/>
                <w:sz w:val="24"/>
              </w:rPr>
              <w:t>2</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rPr>
                <w:b/>
                <w:sz w:val="24"/>
              </w:rPr>
            </w:pPr>
          </w:p>
          <w:p>
            <w:pPr>
              <w:pStyle w:val="TableParagraph"/>
              <w:spacing w:before="197"/>
              <w:rPr>
                <w:b/>
                <w:sz w:val="24"/>
              </w:rPr>
            </w:pPr>
          </w:p>
          <w:p>
            <w:pPr>
              <w:pStyle w:val="TableParagraph"/>
              <w:spacing w:before="1"/>
              <w:ind w:left="107"/>
              <w:rPr>
                <w:sz w:val="24"/>
              </w:rPr>
            </w:pPr>
            <w:r>
              <w:rPr>
                <w:spacing w:val="-2"/>
                <w:sz w:val="24"/>
              </w:rPr>
              <w:t>RE1.2</w:t>
            </w:r>
          </w:p>
        </w:tc>
        <w:tc>
          <w:tcPr>
            <w:tcW w:w="1260" w:type="dxa"/>
          </w:tcPr>
          <w:p>
            <w:pPr>
              <w:pStyle w:val="TableParagraph"/>
              <w:ind w:left="106" w:right="45"/>
              <w:rPr>
                <w:sz w:val="24"/>
              </w:rPr>
            </w:pPr>
            <w:r>
              <w:rPr>
                <w:spacing w:val="-2"/>
                <w:sz w:val="24"/>
              </w:rPr>
              <w:t>Primary </w:t>
            </w:r>
            <w:r>
              <w:rPr>
                <w:spacing w:val="-4"/>
                <w:sz w:val="24"/>
              </w:rPr>
              <w:t>and </w:t>
            </w:r>
            <w:r>
              <w:rPr>
                <w:spacing w:val="-2"/>
                <w:sz w:val="24"/>
              </w:rPr>
              <w:t>Secondar </w:t>
            </w:r>
            <w:r>
              <w:rPr>
                <w:sz w:val="24"/>
              </w:rPr>
              <w:t>y School</w:t>
            </w:r>
          </w:p>
        </w:tc>
        <w:tc>
          <w:tcPr>
            <w:tcW w:w="2679" w:type="dxa"/>
          </w:tcPr>
          <w:p>
            <w:pPr>
              <w:pStyle w:val="TableParagraph"/>
              <w:tabs>
                <w:tab w:pos="1342" w:val="left" w:leader="none"/>
                <w:tab w:pos="1376" w:val="left" w:leader="none"/>
                <w:tab w:pos="1707" w:val="left" w:leader="none"/>
                <w:tab w:pos="1954" w:val="left" w:leader="none"/>
                <w:tab w:pos="2028" w:val="left" w:leader="none"/>
                <w:tab w:pos="2423" w:val="left" w:leader="none"/>
              </w:tabs>
              <w:ind w:left="106" w:right="97"/>
              <w:rPr>
                <w:sz w:val="24"/>
              </w:rPr>
            </w:pPr>
            <w:r>
              <w:rPr>
                <w:spacing w:val="-2"/>
                <w:sz w:val="24"/>
              </w:rPr>
              <w:t>Primary</w:t>
            </w:r>
            <w:r>
              <w:rPr>
                <w:sz w:val="24"/>
              </w:rPr>
              <w:tab/>
              <w:tab/>
              <w:tab/>
            </w:r>
            <w:r>
              <w:rPr>
                <w:spacing w:val="-2"/>
                <w:sz w:val="24"/>
              </w:rPr>
              <w:t>School, Secondary</w:t>
            </w:r>
            <w:r>
              <w:rPr>
                <w:sz w:val="24"/>
              </w:rPr>
              <w:tab/>
              <w:tab/>
              <w:tab/>
            </w:r>
            <w:r>
              <w:rPr>
                <w:spacing w:val="-2"/>
                <w:sz w:val="24"/>
              </w:rPr>
              <w:t>School, Higher</w:t>
            </w:r>
            <w:r>
              <w:rPr>
                <w:sz w:val="24"/>
              </w:rPr>
              <w:tab/>
            </w:r>
            <w:r>
              <w:rPr>
                <w:spacing w:val="-2"/>
                <w:sz w:val="24"/>
              </w:rPr>
              <w:t>Secondary </w:t>
            </w:r>
            <w:r>
              <w:rPr>
                <w:sz w:val="24"/>
              </w:rPr>
              <w:t>School, High School, </w:t>
            </w:r>
            <w:r>
              <w:rPr>
                <w:spacing w:val="-2"/>
                <w:sz w:val="24"/>
              </w:rPr>
              <w:t>College,</w:t>
            </w:r>
            <w:r>
              <w:rPr>
                <w:sz w:val="24"/>
              </w:rPr>
              <w:tab/>
            </w:r>
            <w:r>
              <w:rPr>
                <w:spacing w:val="-49"/>
                <w:sz w:val="24"/>
              </w:rPr>
              <w:t> </w:t>
            </w:r>
            <w:r>
              <w:rPr>
                <w:spacing w:val="-2"/>
                <w:sz w:val="24"/>
              </w:rPr>
              <w:t>Integrated </w:t>
            </w:r>
            <w:r>
              <w:rPr>
                <w:sz w:val="24"/>
              </w:rPr>
              <w:t>School</w:t>
            </w:r>
            <w:r>
              <w:rPr>
                <w:spacing w:val="80"/>
                <w:sz w:val="24"/>
              </w:rPr>
              <w:t> </w:t>
            </w:r>
            <w:r>
              <w:rPr>
                <w:sz w:val="24"/>
              </w:rPr>
              <w:t>with</w:t>
            </w:r>
            <w:r>
              <w:rPr>
                <w:spacing w:val="80"/>
                <w:sz w:val="24"/>
              </w:rPr>
              <w:t> </w:t>
            </w:r>
            <w:r>
              <w:rPr>
                <w:sz w:val="24"/>
              </w:rPr>
              <w:t>hostel, </w:t>
            </w:r>
            <w:r>
              <w:rPr>
                <w:spacing w:val="-2"/>
                <w:sz w:val="24"/>
              </w:rPr>
              <w:t>Pre-School</w:t>
            </w:r>
            <w:r>
              <w:rPr>
                <w:sz w:val="24"/>
              </w:rPr>
              <w:tab/>
              <w:tab/>
            </w:r>
            <w:r>
              <w:rPr>
                <w:spacing w:val="-2"/>
                <w:sz w:val="24"/>
              </w:rPr>
              <w:t>Centre, Nursery</w:t>
            </w:r>
            <w:r>
              <w:rPr>
                <w:sz w:val="24"/>
              </w:rPr>
              <w:tab/>
              <w:tab/>
            </w:r>
            <w:r>
              <w:rPr>
                <w:spacing w:val="-6"/>
                <w:sz w:val="24"/>
              </w:rPr>
              <w:t>or</w:t>
            </w:r>
            <w:r>
              <w:rPr>
                <w:sz w:val="24"/>
              </w:rPr>
              <w:tab/>
              <w:tab/>
            </w:r>
            <w:r>
              <w:rPr>
                <w:spacing w:val="-4"/>
                <w:sz w:val="24"/>
              </w:rPr>
              <w:t>other </w:t>
            </w:r>
            <w:r>
              <w:rPr>
                <w:spacing w:val="-2"/>
                <w:sz w:val="24"/>
              </w:rPr>
              <w:t>educational</w:t>
            </w:r>
            <w:r>
              <w:rPr>
                <w:spacing w:val="40"/>
                <w:sz w:val="24"/>
              </w:rPr>
              <w:t> </w:t>
            </w:r>
            <w:r>
              <w:rPr>
                <w:spacing w:val="-2"/>
                <w:sz w:val="24"/>
              </w:rPr>
              <w:t>purposes</w:t>
            </w:r>
            <w:r>
              <w:rPr>
                <w:spacing w:val="40"/>
                <w:sz w:val="24"/>
              </w:rPr>
              <w:t> </w:t>
            </w:r>
            <w:r>
              <w:rPr>
                <w:sz w:val="24"/>
              </w:rPr>
              <w:t>Auditorium</w:t>
            </w:r>
            <w:r>
              <w:rPr>
                <w:spacing w:val="40"/>
                <w:sz w:val="24"/>
              </w:rPr>
              <w:t> </w:t>
            </w:r>
            <w:r>
              <w:rPr>
                <w:sz w:val="24"/>
              </w:rPr>
              <w:t>and</w:t>
            </w:r>
            <w:r>
              <w:rPr>
                <w:spacing w:val="40"/>
                <w:sz w:val="24"/>
              </w:rPr>
              <w:t> </w:t>
            </w:r>
            <w:r>
              <w:rPr>
                <w:sz w:val="24"/>
              </w:rPr>
              <w:t>art and</w:t>
            </w:r>
            <w:r>
              <w:rPr>
                <w:spacing w:val="80"/>
                <w:sz w:val="24"/>
              </w:rPr>
              <w:t> </w:t>
            </w:r>
            <w:r>
              <w:rPr>
                <w:sz w:val="24"/>
              </w:rPr>
              <w:t>culture</w:t>
            </w:r>
            <w:r>
              <w:rPr>
                <w:spacing w:val="80"/>
                <w:sz w:val="24"/>
              </w:rPr>
              <w:t> </w:t>
            </w:r>
            <w:r>
              <w:rPr>
                <w:sz w:val="24"/>
              </w:rPr>
              <w:t>related users. After hours of principal uses, other </w:t>
            </w:r>
            <w:r>
              <w:rPr>
                <w:spacing w:val="-2"/>
                <w:sz w:val="24"/>
              </w:rPr>
              <w:t>educational</w:t>
            </w:r>
            <w:r>
              <w:rPr>
                <w:sz w:val="24"/>
              </w:rPr>
              <w:tab/>
              <w:tab/>
              <w:tab/>
              <w:tab/>
            </w:r>
            <w:r>
              <w:rPr>
                <w:spacing w:val="-10"/>
                <w:sz w:val="24"/>
              </w:rPr>
              <w:t>/ </w:t>
            </w:r>
            <w:r>
              <w:rPr>
                <w:spacing w:val="-2"/>
                <w:sz w:val="24"/>
              </w:rPr>
              <w:t>permitted</w:t>
            </w:r>
            <w:r>
              <w:rPr>
                <w:sz w:val="24"/>
              </w:rPr>
              <w:tab/>
              <w:tab/>
              <w:tab/>
              <w:tab/>
              <w:tab/>
            </w:r>
            <w:r>
              <w:rPr>
                <w:spacing w:val="-4"/>
                <w:sz w:val="24"/>
              </w:rPr>
              <w:t>uses</w:t>
            </w:r>
          </w:p>
          <w:p>
            <w:pPr>
              <w:pStyle w:val="TableParagraph"/>
              <w:ind w:left="106" w:right="97"/>
              <w:jc w:val="both"/>
              <w:rPr>
                <w:sz w:val="24"/>
              </w:rPr>
            </w:pPr>
            <w:r>
              <w:rPr>
                <w:sz w:val="24"/>
              </w:rPr>
              <w:t>including </w:t>
            </w:r>
            <w:r>
              <w:rPr>
                <w:sz w:val="24"/>
              </w:rPr>
              <w:t>Aadhar Kendra with skill development centre, Yogalaya, welfare </w:t>
            </w:r>
            <w:r>
              <w:rPr>
                <w:spacing w:val="-2"/>
                <w:sz w:val="24"/>
              </w:rPr>
              <w:t>centre</w:t>
            </w:r>
          </w:p>
        </w:tc>
        <w:tc>
          <w:tcPr>
            <w:tcW w:w="2094" w:type="dxa"/>
          </w:tcPr>
          <w:p>
            <w:pPr>
              <w:pStyle w:val="TableParagraph"/>
              <w:tabs>
                <w:tab w:pos="739" w:val="left" w:leader="none"/>
                <w:tab w:pos="1301" w:val="left" w:leader="none"/>
                <w:tab w:pos="1455" w:val="left" w:leader="none"/>
              </w:tabs>
              <w:ind w:left="106" w:right="78"/>
              <w:rPr>
                <w:sz w:val="24"/>
              </w:rPr>
            </w:pPr>
            <w:r>
              <w:rPr>
                <w:spacing w:val="-2"/>
                <w:sz w:val="24"/>
              </w:rPr>
              <w:t>Other</w:t>
            </w:r>
            <w:r>
              <w:rPr>
                <w:sz w:val="24"/>
              </w:rPr>
              <w:tab/>
              <w:tab/>
            </w:r>
            <w:r>
              <w:rPr>
                <w:spacing w:val="-4"/>
                <w:sz w:val="24"/>
              </w:rPr>
              <w:t>non- </w:t>
            </w:r>
            <w:r>
              <w:rPr>
                <w:spacing w:val="-2"/>
                <w:sz w:val="24"/>
              </w:rPr>
              <w:t>educational </w:t>
            </w:r>
            <w:r>
              <w:rPr>
                <w:sz w:val="24"/>
              </w:rPr>
              <w:t>compatible</w:t>
            </w:r>
            <w:r>
              <w:rPr>
                <w:spacing w:val="-20"/>
                <w:sz w:val="24"/>
              </w:rPr>
              <w:t> </w:t>
            </w:r>
            <w:r>
              <w:rPr>
                <w:sz w:val="24"/>
              </w:rPr>
              <w:t>uses such as branch </w:t>
            </w:r>
            <w:r>
              <w:rPr>
                <w:spacing w:val="-6"/>
                <w:sz w:val="24"/>
              </w:rPr>
              <w:t>of</w:t>
            </w:r>
            <w:r>
              <w:rPr>
                <w:sz w:val="24"/>
              </w:rPr>
              <w:tab/>
            </w:r>
            <w:r>
              <w:rPr>
                <w:spacing w:val="-10"/>
                <w:sz w:val="24"/>
              </w:rPr>
              <w:t>a</w:t>
            </w:r>
            <w:r>
              <w:rPr>
                <w:sz w:val="24"/>
              </w:rPr>
              <w:tab/>
            </w:r>
            <w:r>
              <w:rPr>
                <w:spacing w:val="-2"/>
                <w:sz w:val="24"/>
              </w:rPr>
              <w:t>Bank, Stationary Shop, Dispensary, Canteen,</w:t>
            </w:r>
          </w:p>
        </w:tc>
        <w:tc>
          <w:tcPr>
            <w:tcW w:w="1306" w:type="dxa"/>
          </w:tcPr>
          <w:p>
            <w:pPr>
              <w:pStyle w:val="TableParagraph"/>
              <w:spacing w:line="281" w:lineRule="exact"/>
              <w:ind w:left="106"/>
              <w:rPr>
                <w:sz w:val="24"/>
              </w:rPr>
            </w:pPr>
            <w:r>
              <w:rPr>
                <w:sz w:val="24"/>
              </w:rPr>
              <w:t>1 or 2 </w:t>
            </w:r>
            <w:r>
              <w:rPr>
                <w:spacing w:val="-5"/>
                <w:sz w:val="24"/>
              </w:rPr>
              <w:t>or</w:t>
            </w:r>
          </w:p>
          <w:p>
            <w:pPr>
              <w:pStyle w:val="TableParagraph"/>
              <w:spacing w:line="281" w:lineRule="exact" w:before="1"/>
              <w:ind w:left="106"/>
              <w:rPr>
                <w:sz w:val="24"/>
              </w:rPr>
            </w:pPr>
            <w:r>
              <w:rPr>
                <w:spacing w:val="-10"/>
                <w:sz w:val="24"/>
              </w:rPr>
              <w:t>3</w:t>
            </w:r>
          </w:p>
          <w:p>
            <w:pPr>
              <w:pStyle w:val="TableParagraph"/>
              <w:spacing w:line="281" w:lineRule="exact"/>
              <w:ind w:left="180"/>
              <w:rPr>
                <w:sz w:val="24"/>
              </w:rPr>
            </w:pPr>
            <w:r>
              <w:rPr>
                <w:sz w:val="24"/>
              </w:rPr>
              <w:t>Zb</w:t>
            </w:r>
            <w:r>
              <w:rPr>
                <w:spacing w:val="-1"/>
                <w:sz w:val="24"/>
              </w:rPr>
              <w:t> </w:t>
            </w:r>
            <w:r>
              <w:rPr>
                <w:sz w:val="24"/>
              </w:rPr>
              <w:t>= </w:t>
            </w:r>
            <w:r>
              <w:rPr>
                <w:spacing w:val="-5"/>
                <w:sz w:val="24"/>
              </w:rPr>
              <w:t>10</w:t>
            </w:r>
          </w:p>
          <w:p>
            <w:pPr>
              <w:pStyle w:val="TableParagraph"/>
              <w:spacing w:before="1"/>
              <w:rPr>
                <w:b/>
                <w:sz w:val="24"/>
              </w:rPr>
            </w:pPr>
          </w:p>
          <w:p>
            <w:pPr>
              <w:pStyle w:val="TableParagraph"/>
              <w:ind w:left="180" w:right="278"/>
              <w:rPr>
                <w:sz w:val="24"/>
              </w:rPr>
            </w:pPr>
            <w:r>
              <w:rPr>
                <w:sz w:val="24"/>
              </w:rPr>
              <w:t>In</w:t>
            </w:r>
            <w:r>
              <w:rPr>
                <w:spacing w:val="-20"/>
                <w:sz w:val="24"/>
              </w:rPr>
              <w:t> </w:t>
            </w:r>
            <w:r>
              <w:rPr>
                <w:sz w:val="24"/>
              </w:rPr>
              <w:t>case of 3</w:t>
            </w:r>
          </w:p>
          <w:p>
            <w:pPr>
              <w:pStyle w:val="TableParagraph"/>
              <w:ind w:left="106" w:right="98"/>
              <w:rPr>
                <w:sz w:val="24"/>
              </w:rPr>
            </w:pPr>
            <w:r>
              <w:rPr>
                <w:sz w:val="24"/>
              </w:rPr>
              <w:t>a)X=</w:t>
            </w:r>
            <w:r>
              <w:rPr>
                <w:spacing w:val="-20"/>
                <w:sz w:val="24"/>
              </w:rPr>
              <w:t> </w:t>
            </w:r>
            <w:r>
              <w:rPr>
                <w:sz w:val="24"/>
              </w:rPr>
              <w:t>5</w:t>
            </w:r>
            <w:r>
              <w:rPr>
                <w:sz w:val="24"/>
              </w:rPr>
              <w:t>0</w:t>
            </w:r>
            <w:r>
              <w:rPr>
                <w:sz w:val="24"/>
              </w:rPr>
              <w:t> </w:t>
            </w:r>
            <w:r>
              <w:rPr>
                <w:spacing w:val="-2"/>
                <w:sz w:val="24"/>
              </w:rPr>
              <w:t>b)Y=50</w:t>
            </w:r>
          </w:p>
        </w:tc>
      </w:tr>
      <w:tr>
        <w:trPr>
          <w:trHeight w:val="2817" w:hRule="atLeast"/>
        </w:trPr>
        <w:tc>
          <w:tcPr>
            <w:tcW w:w="56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15"/>
              <w:rPr>
                <w:b/>
                <w:sz w:val="24"/>
              </w:rPr>
            </w:pPr>
          </w:p>
          <w:p>
            <w:pPr>
              <w:pStyle w:val="TableParagraph"/>
              <w:ind w:left="40" w:right="34"/>
              <w:jc w:val="center"/>
              <w:rPr>
                <w:sz w:val="24"/>
              </w:rPr>
            </w:pPr>
            <w:r>
              <w:rPr>
                <w:spacing w:val="-10"/>
                <w:sz w:val="24"/>
              </w:rPr>
              <w:t>3</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8"/>
              <w:rPr>
                <w:b/>
                <w:sz w:val="24"/>
              </w:rPr>
            </w:pPr>
          </w:p>
          <w:p>
            <w:pPr>
              <w:pStyle w:val="TableParagraph"/>
              <w:ind w:left="107"/>
              <w:rPr>
                <w:sz w:val="24"/>
              </w:rPr>
            </w:pPr>
            <w:r>
              <w:rPr>
                <w:spacing w:val="-2"/>
                <w:sz w:val="24"/>
              </w:rPr>
              <w:t>RE1.3</w:t>
            </w:r>
          </w:p>
        </w:tc>
        <w:tc>
          <w:tcPr>
            <w:tcW w:w="1260" w:type="dxa"/>
          </w:tcPr>
          <w:p>
            <w:pPr>
              <w:pStyle w:val="TableParagraph"/>
              <w:rPr>
                <w:b/>
                <w:sz w:val="24"/>
              </w:rPr>
            </w:pPr>
          </w:p>
          <w:p>
            <w:pPr>
              <w:pStyle w:val="TableParagraph"/>
              <w:rPr>
                <w:b/>
                <w:sz w:val="24"/>
              </w:rPr>
            </w:pPr>
          </w:p>
          <w:p>
            <w:pPr>
              <w:pStyle w:val="TableParagraph"/>
              <w:spacing w:before="198"/>
              <w:rPr>
                <w:b/>
                <w:sz w:val="24"/>
              </w:rPr>
            </w:pPr>
          </w:p>
          <w:p>
            <w:pPr>
              <w:pStyle w:val="TableParagraph"/>
              <w:ind w:left="106" w:right="298"/>
              <w:rPr>
                <w:sz w:val="24"/>
              </w:rPr>
            </w:pPr>
            <w:r>
              <w:rPr>
                <w:spacing w:val="-2"/>
                <w:sz w:val="24"/>
              </w:rPr>
              <w:t>Special School</w:t>
            </w:r>
          </w:p>
        </w:tc>
        <w:tc>
          <w:tcPr>
            <w:tcW w:w="2679" w:type="dxa"/>
          </w:tcPr>
          <w:p>
            <w:pPr>
              <w:pStyle w:val="TableParagraph"/>
              <w:tabs>
                <w:tab w:pos="1263" w:val="left" w:leader="none"/>
                <w:tab w:pos="1895" w:val="left" w:leader="none"/>
                <w:tab w:pos="1954" w:val="left" w:leader="none"/>
                <w:tab w:pos="2007" w:val="left" w:leader="none"/>
                <w:tab w:pos="2251" w:val="left" w:leader="none"/>
              </w:tabs>
              <w:ind w:left="106" w:right="97"/>
              <w:rPr>
                <w:sz w:val="24"/>
              </w:rPr>
            </w:pPr>
            <w:r>
              <w:rPr>
                <w:spacing w:val="-2"/>
                <w:sz w:val="24"/>
              </w:rPr>
              <w:t>Institute</w:t>
            </w:r>
            <w:r>
              <w:rPr>
                <w:sz w:val="24"/>
              </w:rPr>
              <w:tab/>
              <w:tab/>
              <w:tab/>
              <w:tab/>
              <w:tab/>
            </w:r>
            <w:r>
              <w:rPr>
                <w:spacing w:val="-4"/>
                <w:sz w:val="24"/>
              </w:rPr>
              <w:t>for </w:t>
            </w:r>
            <w:r>
              <w:rPr>
                <w:spacing w:val="-2"/>
                <w:sz w:val="24"/>
              </w:rPr>
              <w:t>Differently</w:t>
            </w:r>
            <w:r>
              <w:rPr>
                <w:sz w:val="24"/>
              </w:rPr>
              <w:tab/>
              <w:tab/>
              <w:tab/>
            </w:r>
            <w:r>
              <w:rPr>
                <w:spacing w:val="-4"/>
                <w:sz w:val="24"/>
              </w:rPr>
              <w:t>able, </w:t>
            </w:r>
            <w:r>
              <w:rPr>
                <w:spacing w:val="-2"/>
                <w:sz w:val="24"/>
              </w:rPr>
              <w:t>hostel</w:t>
            </w:r>
            <w:r>
              <w:rPr>
                <w:sz w:val="24"/>
              </w:rPr>
              <w:tab/>
            </w:r>
            <w:r>
              <w:rPr>
                <w:spacing w:val="-6"/>
                <w:sz w:val="24"/>
              </w:rPr>
              <w:t>or</w:t>
            </w:r>
            <w:r>
              <w:rPr>
                <w:sz w:val="24"/>
              </w:rPr>
              <w:tab/>
              <w:tab/>
            </w:r>
            <w:r>
              <w:rPr>
                <w:spacing w:val="-4"/>
                <w:sz w:val="24"/>
              </w:rPr>
              <w:t>other </w:t>
            </w:r>
            <w:r>
              <w:rPr>
                <w:spacing w:val="-2"/>
                <w:sz w:val="24"/>
              </w:rPr>
              <w:t>educational purposes, Auditorium.</w:t>
            </w:r>
            <w:r>
              <w:rPr>
                <w:sz w:val="24"/>
              </w:rPr>
              <w:tab/>
            </w:r>
            <w:r>
              <w:rPr>
                <w:spacing w:val="-4"/>
                <w:sz w:val="24"/>
              </w:rPr>
              <w:t>Other </w:t>
            </w:r>
            <w:r>
              <w:rPr>
                <w:sz w:val="24"/>
              </w:rPr>
              <w:t>facilities for children with</w:t>
            </w:r>
            <w:r>
              <w:rPr>
                <w:spacing w:val="76"/>
                <w:w w:val="150"/>
                <w:sz w:val="24"/>
              </w:rPr>
              <w:t> </w:t>
            </w:r>
            <w:r>
              <w:rPr>
                <w:sz w:val="24"/>
              </w:rPr>
              <w:t>special</w:t>
            </w:r>
            <w:r>
              <w:rPr>
                <w:spacing w:val="76"/>
                <w:w w:val="150"/>
                <w:sz w:val="24"/>
              </w:rPr>
              <w:t> </w:t>
            </w:r>
            <w:r>
              <w:rPr>
                <w:spacing w:val="-2"/>
                <w:sz w:val="24"/>
              </w:rPr>
              <w:t>needs,</w:t>
            </w:r>
          </w:p>
          <w:p>
            <w:pPr>
              <w:pStyle w:val="TableParagraph"/>
              <w:tabs>
                <w:tab w:pos="912" w:val="left" w:leader="none"/>
                <w:tab w:pos="1411" w:val="left" w:leader="none"/>
                <w:tab w:pos="2074" w:val="left" w:leader="none"/>
              </w:tabs>
              <w:spacing w:line="280" w:lineRule="exact"/>
              <w:ind w:left="106" w:right="99"/>
              <w:rPr>
                <w:sz w:val="24"/>
              </w:rPr>
            </w:pPr>
            <w:r>
              <w:rPr>
                <w:spacing w:val="-4"/>
                <w:sz w:val="24"/>
              </w:rPr>
              <w:t>such</w:t>
            </w:r>
            <w:r>
              <w:rPr>
                <w:sz w:val="24"/>
              </w:rPr>
              <w:tab/>
            </w:r>
            <w:r>
              <w:rPr>
                <w:spacing w:val="-6"/>
                <w:sz w:val="24"/>
              </w:rPr>
              <w:t>as</w:t>
            </w:r>
            <w:r>
              <w:rPr>
                <w:sz w:val="24"/>
              </w:rPr>
              <w:tab/>
            </w:r>
            <w:r>
              <w:rPr>
                <w:spacing w:val="-4"/>
                <w:sz w:val="24"/>
              </w:rPr>
              <w:t>soft</w:t>
            </w:r>
            <w:r>
              <w:rPr>
                <w:sz w:val="24"/>
              </w:rPr>
              <w:tab/>
            </w:r>
            <w:r>
              <w:rPr>
                <w:spacing w:val="-4"/>
                <w:sz w:val="24"/>
              </w:rPr>
              <w:t>play </w:t>
            </w:r>
            <w:r>
              <w:rPr>
                <w:sz w:val="24"/>
              </w:rPr>
              <w:t>areas,</w:t>
            </w:r>
            <w:r>
              <w:rPr>
                <w:spacing w:val="-15"/>
                <w:sz w:val="24"/>
              </w:rPr>
              <w:t> </w:t>
            </w:r>
            <w:r>
              <w:rPr>
                <w:sz w:val="24"/>
              </w:rPr>
              <w:t>sensory</w:t>
            </w:r>
            <w:r>
              <w:rPr>
                <w:spacing w:val="-15"/>
                <w:sz w:val="24"/>
              </w:rPr>
              <w:t> </w:t>
            </w:r>
            <w:r>
              <w:rPr>
                <w:spacing w:val="-4"/>
                <w:sz w:val="24"/>
              </w:rPr>
              <w:t>rooms</w:t>
            </w:r>
          </w:p>
        </w:tc>
        <w:tc>
          <w:tcPr>
            <w:tcW w:w="2094" w:type="dxa"/>
          </w:tcPr>
          <w:p>
            <w:pPr>
              <w:pStyle w:val="TableParagraph"/>
              <w:tabs>
                <w:tab w:pos="751" w:val="left" w:leader="none"/>
                <w:tab w:pos="1325" w:val="left" w:leader="none"/>
                <w:tab w:pos="1476" w:val="left" w:leader="none"/>
              </w:tabs>
              <w:ind w:left="106" w:right="55"/>
              <w:rPr>
                <w:sz w:val="24"/>
              </w:rPr>
            </w:pPr>
            <w:r>
              <w:rPr>
                <w:spacing w:val="-2"/>
                <w:sz w:val="24"/>
              </w:rPr>
              <w:t>Other</w:t>
            </w:r>
            <w:r>
              <w:rPr>
                <w:sz w:val="24"/>
              </w:rPr>
              <w:tab/>
              <w:tab/>
            </w:r>
            <w:r>
              <w:rPr>
                <w:spacing w:val="-4"/>
                <w:sz w:val="24"/>
              </w:rPr>
              <w:t>non- </w:t>
            </w:r>
            <w:r>
              <w:rPr>
                <w:spacing w:val="-2"/>
                <w:sz w:val="24"/>
              </w:rPr>
              <w:t>educational </w:t>
            </w:r>
            <w:r>
              <w:rPr>
                <w:sz w:val="24"/>
              </w:rPr>
              <w:t>compatible</w:t>
            </w:r>
            <w:r>
              <w:rPr>
                <w:spacing w:val="-14"/>
                <w:sz w:val="24"/>
              </w:rPr>
              <w:t> </w:t>
            </w:r>
            <w:r>
              <w:rPr>
                <w:sz w:val="24"/>
              </w:rPr>
              <w:t>uses such</w:t>
            </w:r>
            <w:r>
              <w:rPr>
                <w:spacing w:val="29"/>
                <w:sz w:val="24"/>
              </w:rPr>
              <w:t> </w:t>
            </w:r>
            <w:r>
              <w:rPr>
                <w:sz w:val="24"/>
              </w:rPr>
              <w:t>as</w:t>
            </w:r>
            <w:r>
              <w:rPr>
                <w:spacing w:val="29"/>
                <w:sz w:val="24"/>
              </w:rPr>
              <w:t> </w:t>
            </w:r>
            <w:r>
              <w:rPr>
                <w:sz w:val="24"/>
              </w:rPr>
              <w:t>branch </w:t>
            </w:r>
            <w:r>
              <w:rPr>
                <w:spacing w:val="-6"/>
                <w:sz w:val="24"/>
              </w:rPr>
              <w:t>of</w:t>
            </w:r>
            <w:r>
              <w:rPr>
                <w:sz w:val="24"/>
              </w:rPr>
              <w:tab/>
            </w:r>
            <w:r>
              <w:rPr>
                <w:spacing w:val="-10"/>
                <w:sz w:val="24"/>
              </w:rPr>
              <w:t>a</w:t>
            </w:r>
            <w:r>
              <w:rPr>
                <w:sz w:val="24"/>
              </w:rPr>
              <w:tab/>
            </w:r>
            <w:r>
              <w:rPr>
                <w:spacing w:val="-4"/>
                <w:sz w:val="24"/>
              </w:rPr>
              <w:t>Bank, </w:t>
            </w:r>
            <w:r>
              <w:rPr>
                <w:spacing w:val="-2"/>
                <w:sz w:val="24"/>
              </w:rPr>
              <w:t>Stationary</w:t>
            </w:r>
            <w:r>
              <w:rPr>
                <w:spacing w:val="40"/>
                <w:sz w:val="24"/>
              </w:rPr>
              <w:t> </w:t>
            </w:r>
            <w:r>
              <w:rPr>
                <w:spacing w:val="-2"/>
                <w:sz w:val="24"/>
              </w:rPr>
              <w:t>Shop, Dispensary, Canteen.</w:t>
            </w:r>
          </w:p>
        </w:tc>
        <w:tc>
          <w:tcPr>
            <w:tcW w:w="1306" w:type="dxa"/>
          </w:tcPr>
          <w:p>
            <w:pPr>
              <w:pStyle w:val="TableParagraph"/>
              <w:spacing w:line="281" w:lineRule="exact"/>
              <w:ind w:left="106"/>
              <w:rPr>
                <w:sz w:val="24"/>
              </w:rPr>
            </w:pPr>
            <w:r>
              <w:rPr>
                <w:sz w:val="24"/>
              </w:rPr>
              <w:t>1 or 2 </w:t>
            </w:r>
            <w:r>
              <w:rPr>
                <w:spacing w:val="-5"/>
                <w:sz w:val="24"/>
              </w:rPr>
              <w:t>or</w:t>
            </w:r>
          </w:p>
          <w:p>
            <w:pPr>
              <w:pStyle w:val="TableParagraph"/>
              <w:spacing w:line="281" w:lineRule="exact" w:before="1"/>
              <w:ind w:left="106"/>
              <w:rPr>
                <w:sz w:val="24"/>
              </w:rPr>
            </w:pPr>
            <w:r>
              <w:rPr>
                <w:spacing w:val="-10"/>
                <w:sz w:val="24"/>
              </w:rPr>
              <w:t>3</w:t>
            </w:r>
          </w:p>
          <w:p>
            <w:pPr>
              <w:pStyle w:val="TableParagraph"/>
              <w:spacing w:line="281" w:lineRule="exact"/>
              <w:ind w:left="180"/>
              <w:rPr>
                <w:sz w:val="24"/>
              </w:rPr>
            </w:pPr>
            <w:r>
              <w:rPr>
                <w:sz w:val="24"/>
              </w:rPr>
              <w:t>Zb</w:t>
            </w:r>
            <w:r>
              <w:rPr>
                <w:spacing w:val="-1"/>
                <w:sz w:val="24"/>
              </w:rPr>
              <w:t> </w:t>
            </w:r>
            <w:r>
              <w:rPr>
                <w:sz w:val="24"/>
              </w:rPr>
              <w:t>= </w:t>
            </w:r>
            <w:r>
              <w:rPr>
                <w:spacing w:val="-5"/>
                <w:sz w:val="24"/>
              </w:rPr>
              <w:t>10</w:t>
            </w:r>
          </w:p>
          <w:p>
            <w:pPr>
              <w:pStyle w:val="TableParagraph"/>
              <w:spacing w:before="1"/>
              <w:rPr>
                <w:b/>
                <w:sz w:val="24"/>
              </w:rPr>
            </w:pPr>
          </w:p>
          <w:p>
            <w:pPr>
              <w:pStyle w:val="TableParagraph"/>
              <w:ind w:left="180" w:right="278"/>
              <w:rPr>
                <w:sz w:val="24"/>
              </w:rPr>
            </w:pPr>
            <w:r>
              <w:rPr>
                <w:sz w:val="24"/>
              </w:rPr>
              <w:t>In</w:t>
            </w:r>
            <w:r>
              <w:rPr>
                <w:spacing w:val="-20"/>
                <w:sz w:val="24"/>
              </w:rPr>
              <w:t> </w:t>
            </w:r>
            <w:r>
              <w:rPr>
                <w:sz w:val="24"/>
              </w:rPr>
              <w:t>case of 3</w:t>
            </w:r>
          </w:p>
          <w:p>
            <w:pPr>
              <w:pStyle w:val="TableParagraph"/>
              <w:ind w:left="106" w:right="98"/>
              <w:rPr>
                <w:sz w:val="24"/>
              </w:rPr>
            </w:pPr>
            <w:r>
              <w:rPr>
                <w:sz w:val="24"/>
              </w:rPr>
              <w:t>a)X=</w:t>
            </w:r>
            <w:r>
              <w:rPr>
                <w:spacing w:val="-20"/>
                <w:sz w:val="24"/>
              </w:rPr>
              <w:t> </w:t>
            </w:r>
            <w:r>
              <w:rPr>
                <w:sz w:val="24"/>
              </w:rPr>
              <w:t>5</w:t>
            </w:r>
            <w:r>
              <w:rPr>
                <w:sz w:val="24"/>
              </w:rPr>
              <w:t>0</w:t>
            </w:r>
            <w:r>
              <w:rPr>
                <w:sz w:val="24"/>
              </w:rPr>
              <w:t> </w:t>
            </w:r>
            <w:r>
              <w:rPr>
                <w:spacing w:val="-2"/>
                <w:sz w:val="24"/>
              </w:rPr>
              <w:t>b)Y=50</w:t>
            </w:r>
          </w:p>
        </w:tc>
      </w:tr>
    </w:tbl>
    <w:p>
      <w:pPr>
        <w:pStyle w:val="TableParagraph"/>
        <w:spacing w:after="0"/>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4183"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tabs>
                <w:tab w:pos="1752" w:val="left" w:leader="none"/>
                <w:tab w:pos="1952" w:val="left" w:leader="none"/>
              </w:tabs>
              <w:ind w:left="106" w:right="97"/>
              <w:jc w:val="both"/>
              <w:rPr>
                <w:sz w:val="24"/>
              </w:rPr>
            </w:pPr>
            <w:r>
              <w:rPr>
                <w:sz w:val="24"/>
              </w:rPr>
              <w:t>or swimming </w:t>
            </w:r>
            <w:r>
              <w:rPr>
                <w:sz w:val="24"/>
              </w:rPr>
              <w:t>pools which are necessary for treating students </w:t>
            </w:r>
            <w:r>
              <w:rPr>
                <w:spacing w:val="-4"/>
                <w:sz w:val="24"/>
              </w:rPr>
              <w:t>with</w:t>
            </w:r>
            <w:r>
              <w:rPr>
                <w:sz w:val="24"/>
              </w:rPr>
              <w:tab/>
            </w:r>
            <w:r>
              <w:rPr>
                <w:spacing w:val="-2"/>
                <w:sz w:val="24"/>
              </w:rPr>
              <w:t>certain </w:t>
            </w:r>
            <w:r>
              <w:rPr>
                <w:sz w:val="24"/>
              </w:rPr>
              <w:t>conditions. After hours of principal </w:t>
            </w:r>
            <w:r>
              <w:rPr>
                <w:spacing w:val="-4"/>
                <w:sz w:val="24"/>
              </w:rPr>
              <w:t>uses</w:t>
            </w:r>
            <w:r>
              <w:rPr>
                <w:sz w:val="24"/>
              </w:rPr>
              <w:tab/>
              <w:tab/>
            </w:r>
            <w:r>
              <w:rPr>
                <w:spacing w:val="-4"/>
                <w:sz w:val="24"/>
              </w:rPr>
              <w:t>other</w:t>
            </w:r>
          </w:p>
          <w:p>
            <w:pPr>
              <w:pStyle w:val="TableParagraph"/>
              <w:tabs>
                <w:tab w:pos="2423" w:val="left" w:leader="none"/>
              </w:tabs>
              <w:ind w:left="106" w:right="99"/>
              <w:jc w:val="both"/>
              <w:rPr>
                <w:sz w:val="24"/>
              </w:rPr>
            </w:pPr>
            <w:r>
              <w:rPr>
                <w:spacing w:val="-2"/>
                <w:sz w:val="24"/>
              </w:rPr>
              <w:t>educational</w:t>
            </w:r>
            <w:r>
              <w:rPr>
                <w:sz w:val="24"/>
              </w:rPr>
              <w:tab/>
            </w:r>
            <w:r>
              <w:rPr>
                <w:spacing w:val="-10"/>
                <w:sz w:val="24"/>
              </w:rPr>
              <w:t>/ </w:t>
            </w:r>
            <w:r>
              <w:rPr>
                <w:sz w:val="24"/>
              </w:rPr>
              <w:t>permitted</w:t>
            </w:r>
            <w:r>
              <w:rPr>
                <w:spacing w:val="42"/>
                <w:w w:val="150"/>
                <w:sz w:val="24"/>
              </w:rPr>
              <w:t>     </w:t>
            </w:r>
            <w:r>
              <w:rPr>
                <w:spacing w:val="-4"/>
                <w:sz w:val="24"/>
              </w:rPr>
              <w:t>uses</w:t>
            </w:r>
          </w:p>
          <w:p>
            <w:pPr>
              <w:pStyle w:val="TableParagraph"/>
              <w:ind w:left="106" w:right="97"/>
              <w:jc w:val="both"/>
              <w:rPr>
                <w:sz w:val="24"/>
              </w:rPr>
            </w:pPr>
            <w:r>
              <w:rPr>
                <w:sz w:val="24"/>
              </w:rPr>
              <w:t>including Aadhar Kendra with skill development </w:t>
            </w:r>
            <w:r>
              <w:rPr>
                <w:sz w:val="24"/>
              </w:rPr>
              <w:t>centre, Yogalaya, welfare </w:t>
            </w:r>
            <w:r>
              <w:rPr>
                <w:spacing w:val="-2"/>
                <w:sz w:val="24"/>
              </w:rPr>
              <w:t>centre.</w:t>
            </w:r>
          </w:p>
        </w:tc>
        <w:tc>
          <w:tcPr>
            <w:tcW w:w="2094" w:type="dxa"/>
          </w:tcPr>
          <w:p>
            <w:pPr>
              <w:pStyle w:val="TableParagraph"/>
              <w:rPr>
                <w:rFonts w:ascii="Times New Roman"/>
                <w:sz w:val="22"/>
              </w:rPr>
            </w:pPr>
          </w:p>
        </w:tc>
        <w:tc>
          <w:tcPr>
            <w:tcW w:w="1306" w:type="dxa"/>
          </w:tcPr>
          <w:p>
            <w:pPr>
              <w:pStyle w:val="TableParagraph"/>
              <w:rPr>
                <w:rFonts w:ascii="Times New Roman"/>
                <w:sz w:val="22"/>
              </w:rPr>
            </w:pPr>
          </w:p>
        </w:tc>
      </w:tr>
      <w:tr>
        <w:trPr>
          <w:trHeight w:val="6763" w:hRule="atLeast"/>
        </w:trPr>
        <w:tc>
          <w:tcPr>
            <w:tcW w:w="56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ind w:left="107"/>
              <w:rPr>
                <w:sz w:val="24"/>
              </w:rPr>
            </w:pPr>
            <w:r>
              <w:rPr>
                <w:spacing w:val="-10"/>
                <w:sz w:val="24"/>
              </w:rPr>
              <w:t>4</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107"/>
              <w:rPr>
                <w:sz w:val="24"/>
              </w:rPr>
            </w:pPr>
            <w:r>
              <w:rPr>
                <w:spacing w:val="-2"/>
                <w:sz w:val="24"/>
              </w:rPr>
              <w:t>RE2.1</w:t>
            </w:r>
          </w:p>
        </w:tc>
        <w:tc>
          <w:tcPr>
            <w:tcW w:w="1260"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106" w:right="225"/>
              <w:rPr>
                <w:sz w:val="24"/>
              </w:rPr>
            </w:pPr>
            <w:r>
              <w:rPr>
                <w:spacing w:val="-2"/>
                <w:sz w:val="24"/>
              </w:rPr>
              <w:t>Higher Educati </w:t>
            </w:r>
            <w:r>
              <w:rPr>
                <w:spacing w:val="-6"/>
                <w:sz w:val="24"/>
              </w:rPr>
              <w:t>on</w:t>
            </w:r>
          </w:p>
        </w:tc>
        <w:tc>
          <w:tcPr>
            <w:tcW w:w="2679" w:type="dxa"/>
          </w:tcPr>
          <w:p>
            <w:pPr>
              <w:pStyle w:val="TableParagraph"/>
              <w:tabs>
                <w:tab w:pos="807" w:val="left" w:leader="none"/>
                <w:tab w:pos="1054" w:val="left" w:leader="none"/>
                <w:tab w:pos="1249" w:val="left" w:leader="none"/>
                <w:tab w:pos="1362" w:val="left" w:leader="none"/>
                <w:tab w:pos="1405" w:val="left" w:leader="none"/>
                <w:tab w:pos="1467" w:val="left" w:leader="none"/>
                <w:tab w:pos="1527" w:val="left" w:leader="none"/>
                <w:tab w:pos="1587" w:val="left" w:leader="none"/>
                <w:tab w:pos="1810" w:val="left" w:leader="none"/>
                <w:tab w:pos="1952" w:val="left" w:leader="none"/>
                <w:tab w:pos="2002" w:val="left" w:leader="none"/>
              </w:tabs>
              <w:spacing w:before="1"/>
              <w:ind w:left="106" w:right="97"/>
              <w:rPr>
                <w:sz w:val="24"/>
              </w:rPr>
            </w:pPr>
            <w:r>
              <w:rPr>
                <w:sz w:val="24"/>
              </w:rPr>
              <w:t>Primary</w:t>
            </w:r>
            <w:r>
              <w:rPr>
                <w:spacing w:val="-20"/>
                <w:sz w:val="24"/>
              </w:rPr>
              <w:t> </w:t>
            </w:r>
            <w:r>
              <w:rPr>
                <w:sz w:val="24"/>
              </w:rPr>
              <w:t>School,</w:t>
            </w:r>
            <w:r>
              <w:rPr>
                <w:spacing w:val="-19"/>
                <w:sz w:val="24"/>
              </w:rPr>
              <w:t> </w:t>
            </w:r>
            <w:r>
              <w:rPr>
                <w:sz w:val="24"/>
              </w:rPr>
              <w:t>High </w:t>
            </w:r>
            <w:r>
              <w:rPr>
                <w:spacing w:val="-2"/>
                <w:sz w:val="24"/>
              </w:rPr>
              <w:t>School,</w:t>
            </w:r>
            <w:r>
              <w:rPr>
                <w:sz w:val="24"/>
              </w:rPr>
              <w:tab/>
              <w:tab/>
              <w:tab/>
              <w:tab/>
            </w:r>
            <w:r>
              <w:rPr>
                <w:spacing w:val="-2"/>
                <w:sz w:val="24"/>
              </w:rPr>
              <w:t>Bachelors </w:t>
            </w:r>
            <w:r>
              <w:rPr>
                <w:spacing w:val="-4"/>
                <w:sz w:val="24"/>
              </w:rPr>
              <w:t>and</w:t>
            </w:r>
            <w:r>
              <w:rPr>
                <w:sz w:val="24"/>
              </w:rPr>
              <w:tab/>
            </w:r>
            <w:r>
              <w:rPr>
                <w:spacing w:val="-2"/>
                <w:sz w:val="24"/>
              </w:rPr>
              <w:t>higher</w:t>
            </w:r>
            <w:r>
              <w:rPr>
                <w:sz w:val="24"/>
              </w:rPr>
              <w:tab/>
              <w:tab/>
            </w:r>
            <w:r>
              <w:rPr>
                <w:spacing w:val="-2"/>
                <w:sz w:val="24"/>
              </w:rPr>
              <w:t>degree colleges</w:t>
            </w:r>
            <w:r>
              <w:rPr>
                <w:sz w:val="24"/>
              </w:rPr>
              <w:tab/>
              <w:tab/>
              <w:tab/>
              <w:tab/>
              <w:tab/>
            </w:r>
            <w:r>
              <w:rPr>
                <w:spacing w:val="-2"/>
                <w:sz w:val="24"/>
              </w:rPr>
              <w:t>including Technical,</w:t>
            </w:r>
            <w:r>
              <w:rPr>
                <w:sz w:val="24"/>
              </w:rPr>
              <w:tab/>
              <w:tab/>
              <w:tab/>
              <w:tab/>
              <w:tab/>
            </w:r>
            <w:r>
              <w:rPr>
                <w:spacing w:val="-2"/>
                <w:sz w:val="24"/>
              </w:rPr>
              <w:t>Medical, Architecture, Management Institutions </w:t>
            </w:r>
            <w:r>
              <w:rPr>
                <w:sz w:val="24"/>
              </w:rPr>
              <w:t>with/without</w:t>
            </w:r>
            <w:r>
              <w:rPr>
                <w:spacing w:val="16"/>
                <w:sz w:val="24"/>
              </w:rPr>
              <w:t> </w:t>
            </w:r>
            <w:r>
              <w:rPr>
                <w:sz w:val="24"/>
              </w:rPr>
              <w:t>hostel, </w:t>
            </w:r>
            <w:r>
              <w:rPr>
                <w:spacing w:val="-2"/>
                <w:sz w:val="24"/>
              </w:rPr>
              <w:t>hostel</w:t>
            </w:r>
            <w:r>
              <w:rPr>
                <w:sz w:val="24"/>
              </w:rPr>
              <w:tab/>
              <w:tab/>
              <w:tab/>
            </w:r>
            <w:r>
              <w:rPr>
                <w:spacing w:val="-4"/>
                <w:sz w:val="24"/>
              </w:rPr>
              <w:t>for</w:t>
            </w:r>
            <w:r>
              <w:rPr>
                <w:sz w:val="24"/>
              </w:rPr>
              <w:tab/>
              <w:tab/>
              <w:tab/>
              <w:tab/>
            </w:r>
            <w:r>
              <w:rPr>
                <w:spacing w:val="-4"/>
                <w:sz w:val="24"/>
              </w:rPr>
              <w:t>Girls </w:t>
            </w:r>
            <w:r>
              <w:rPr>
                <w:spacing w:val="-2"/>
                <w:sz w:val="24"/>
              </w:rPr>
              <w:t>student</w:t>
            </w:r>
            <w:r>
              <w:rPr>
                <w:sz w:val="24"/>
              </w:rPr>
              <w:tab/>
              <w:tab/>
              <w:tab/>
            </w:r>
            <w:r>
              <w:rPr>
                <w:spacing w:val="-6"/>
                <w:sz w:val="24"/>
              </w:rPr>
              <w:t>or</w:t>
            </w:r>
            <w:r>
              <w:rPr>
                <w:sz w:val="24"/>
              </w:rPr>
              <w:tab/>
              <w:tab/>
            </w:r>
            <w:r>
              <w:rPr>
                <w:spacing w:val="-76"/>
                <w:sz w:val="24"/>
              </w:rPr>
              <w:t> </w:t>
            </w:r>
            <w:r>
              <w:rPr>
                <w:spacing w:val="-2"/>
                <w:sz w:val="24"/>
              </w:rPr>
              <w:t>other educational</w:t>
            </w:r>
            <w:r>
              <w:rPr>
                <w:spacing w:val="40"/>
                <w:sz w:val="24"/>
              </w:rPr>
              <w:t> </w:t>
            </w:r>
            <w:r>
              <w:rPr>
                <w:sz w:val="24"/>
              </w:rPr>
              <w:t>purposes</w:t>
            </w:r>
            <w:r>
              <w:rPr>
                <w:spacing w:val="-20"/>
                <w:sz w:val="24"/>
              </w:rPr>
              <w:t> </w:t>
            </w:r>
            <w:r>
              <w:rPr>
                <w:sz w:val="24"/>
              </w:rPr>
              <w:t>auditorium and art and cultural related</w:t>
            </w:r>
            <w:r>
              <w:rPr>
                <w:spacing w:val="80"/>
                <w:sz w:val="24"/>
              </w:rPr>
              <w:t> </w:t>
            </w:r>
            <w:r>
              <w:rPr>
                <w:sz w:val="24"/>
              </w:rPr>
              <w:t>users.</w:t>
            </w:r>
            <w:r>
              <w:rPr>
                <w:spacing w:val="80"/>
                <w:sz w:val="24"/>
              </w:rPr>
              <w:t> </w:t>
            </w:r>
            <w:r>
              <w:rPr>
                <w:sz w:val="24"/>
              </w:rPr>
              <w:t>After </w:t>
            </w:r>
            <w:r>
              <w:rPr>
                <w:spacing w:val="-2"/>
                <w:sz w:val="24"/>
              </w:rPr>
              <w:t>hours</w:t>
            </w:r>
            <w:r>
              <w:rPr>
                <w:sz w:val="24"/>
              </w:rPr>
              <w:tab/>
              <w:tab/>
            </w:r>
            <w:r>
              <w:rPr>
                <w:spacing w:val="-6"/>
                <w:sz w:val="24"/>
              </w:rPr>
              <w:t>of</w:t>
            </w:r>
            <w:r>
              <w:rPr>
                <w:sz w:val="24"/>
              </w:rPr>
              <w:tab/>
              <w:tab/>
              <w:tab/>
              <w:tab/>
            </w:r>
            <w:r>
              <w:rPr>
                <w:spacing w:val="-2"/>
                <w:sz w:val="24"/>
              </w:rPr>
              <w:t>principal uses,</w:t>
            </w:r>
            <w:r>
              <w:rPr>
                <w:sz w:val="24"/>
              </w:rPr>
              <w:tab/>
              <w:tab/>
              <w:tab/>
              <w:tab/>
              <w:tab/>
              <w:tab/>
              <w:tab/>
              <w:tab/>
              <w:tab/>
              <w:tab/>
            </w:r>
            <w:r>
              <w:rPr>
                <w:spacing w:val="-4"/>
                <w:sz w:val="24"/>
              </w:rPr>
              <w:t>other</w:t>
            </w:r>
          </w:p>
          <w:p>
            <w:pPr>
              <w:pStyle w:val="TableParagraph"/>
              <w:tabs>
                <w:tab w:pos="2423" w:val="left" w:leader="none"/>
              </w:tabs>
              <w:ind w:left="106" w:right="99"/>
              <w:jc w:val="both"/>
              <w:rPr>
                <w:sz w:val="24"/>
              </w:rPr>
            </w:pPr>
            <w:r>
              <w:rPr>
                <w:spacing w:val="-2"/>
                <w:sz w:val="24"/>
              </w:rPr>
              <w:t>educational</w:t>
            </w:r>
            <w:r>
              <w:rPr>
                <w:sz w:val="24"/>
              </w:rPr>
              <w:tab/>
            </w:r>
            <w:r>
              <w:rPr>
                <w:spacing w:val="-10"/>
                <w:sz w:val="24"/>
              </w:rPr>
              <w:t>/ </w:t>
            </w:r>
            <w:r>
              <w:rPr>
                <w:sz w:val="24"/>
              </w:rPr>
              <w:t>permitted</w:t>
            </w:r>
            <w:r>
              <w:rPr>
                <w:spacing w:val="78"/>
                <w:sz w:val="24"/>
              </w:rPr>
              <w:t>     </w:t>
            </w:r>
            <w:r>
              <w:rPr>
                <w:spacing w:val="-4"/>
                <w:sz w:val="24"/>
              </w:rPr>
              <w:t>uses</w:t>
            </w:r>
          </w:p>
          <w:p>
            <w:pPr>
              <w:pStyle w:val="TableParagraph"/>
              <w:spacing w:before="1"/>
              <w:ind w:left="106" w:right="97"/>
              <w:jc w:val="both"/>
              <w:rPr>
                <w:sz w:val="24"/>
              </w:rPr>
            </w:pPr>
            <w:r>
              <w:rPr>
                <w:sz w:val="24"/>
              </w:rPr>
              <w:t>including </w:t>
            </w:r>
            <w:r>
              <w:rPr>
                <w:sz w:val="24"/>
              </w:rPr>
              <w:t>Aadhar Kendra with skill development</w:t>
            </w:r>
            <w:r>
              <w:rPr>
                <w:spacing w:val="58"/>
                <w:w w:val="150"/>
                <w:sz w:val="24"/>
              </w:rPr>
              <w:t> </w:t>
            </w:r>
            <w:r>
              <w:rPr>
                <w:spacing w:val="-2"/>
                <w:sz w:val="24"/>
              </w:rPr>
              <w:t>centre,</w:t>
            </w:r>
          </w:p>
          <w:p>
            <w:pPr>
              <w:pStyle w:val="TableParagraph"/>
              <w:spacing w:line="280" w:lineRule="exact"/>
              <w:ind w:left="106" w:right="100"/>
              <w:jc w:val="both"/>
              <w:rPr>
                <w:sz w:val="24"/>
              </w:rPr>
            </w:pPr>
            <w:r>
              <w:rPr>
                <w:sz w:val="24"/>
              </w:rPr>
              <w:t>Yogalaya, </w:t>
            </w:r>
            <w:r>
              <w:rPr>
                <w:sz w:val="24"/>
              </w:rPr>
              <w:t>welfare </w:t>
            </w:r>
            <w:r>
              <w:rPr>
                <w:spacing w:val="-2"/>
                <w:sz w:val="24"/>
              </w:rPr>
              <w:t>centre.</w:t>
            </w:r>
          </w:p>
        </w:tc>
        <w:tc>
          <w:tcPr>
            <w:tcW w:w="2094" w:type="dxa"/>
          </w:tcPr>
          <w:p>
            <w:pPr>
              <w:pStyle w:val="TableParagraph"/>
              <w:tabs>
                <w:tab w:pos="1512" w:val="left" w:leader="none"/>
              </w:tabs>
              <w:spacing w:before="1"/>
              <w:ind w:left="94" w:right="57" w:firstLine="12"/>
              <w:rPr>
                <w:sz w:val="24"/>
              </w:rPr>
            </w:pPr>
            <w:r>
              <w:rPr>
                <w:sz w:val="24"/>
              </w:rPr>
              <w:t>Sports Center, </w:t>
            </w:r>
            <w:r>
              <w:rPr>
                <w:spacing w:val="-2"/>
                <w:sz w:val="24"/>
              </w:rPr>
              <w:t>Gymnasium, Canteen,</w:t>
            </w:r>
            <w:r>
              <w:rPr>
                <w:spacing w:val="80"/>
                <w:sz w:val="24"/>
              </w:rPr>
              <w:t> </w:t>
            </w:r>
            <w:r>
              <w:rPr>
                <w:spacing w:val="-2"/>
                <w:sz w:val="24"/>
              </w:rPr>
              <w:t>Banks,</w:t>
            </w:r>
            <w:r>
              <w:rPr>
                <w:sz w:val="24"/>
              </w:rPr>
              <w:tab/>
            </w:r>
            <w:r>
              <w:rPr>
                <w:spacing w:val="-4"/>
                <w:sz w:val="24"/>
              </w:rPr>
              <w:t>Post </w:t>
            </w:r>
            <w:r>
              <w:rPr>
                <w:spacing w:val="-2"/>
                <w:sz w:val="24"/>
              </w:rPr>
              <w:t>Office, Dispensary, Shops.</w:t>
            </w:r>
          </w:p>
        </w:tc>
        <w:tc>
          <w:tcPr>
            <w:tcW w:w="1306" w:type="dxa"/>
          </w:tcPr>
          <w:p>
            <w:pPr>
              <w:pStyle w:val="TableParagraph"/>
              <w:spacing w:line="281" w:lineRule="exact" w:before="1"/>
              <w:ind w:left="106"/>
              <w:rPr>
                <w:sz w:val="24"/>
              </w:rPr>
            </w:pPr>
            <w:r>
              <w:rPr>
                <w:sz w:val="24"/>
              </w:rPr>
              <w:t>1 or 2 </w:t>
            </w:r>
            <w:r>
              <w:rPr>
                <w:spacing w:val="-5"/>
                <w:sz w:val="24"/>
              </w:rPr>
              <w:t>or</w:t>
            </w:r>
          </w:p>
          <w:p>
            <w:pPr>
              <w:pStyle w:val="TableParagraph"/>
              <w:spacing w:line="281" w:lineRule="exact"/>
              <w:ind w:left="106"/>
              <w:rPr>
                <w:sz w:val="24"/>
              </w:rPr>
            </w:pPr>
            <w:r>
              <w:rPr>
                <w:spacing w:val="-10"/>
                <w:sz w:val="24"/>
              </w:rPr>
              <w:t>3</w:t>
            </w:r>
          </w:p>
          <w:p>
            <w:pPr>
              <w:pStyle w:val="TableParagraph"/>
              <w:spacing w:line="281" w:lineRule="exact"/>
              <w:ind w:left="106"/>
              <w:rPr>
                <w:sz w:val="24"/>
              </w:rPr>
            </w:pPr>
            <w:r>
              <w:rPr>
                <w:sz w:val="24"/>
              </w:rPr>
              <w:t>Zb</w:t>
            </w:r>
            <w:r>
              <w:rPr>
                <w:spacing w:val="-1"/>
                <w:sz w:val="24"/>
              </w:rPr>
              <w:t> </w:t>
            </w:r>
            <w:r>
              <w:rPr>
                <w:sz w:val="24"/>
              </w:rPr>
              <w:t>= </w:t>
            </w:r>
            <w:r>
              <w:rPr>
                <w:spacing w:val="-5"/>
                <w:sz w:val="24"/>
              </w:rPr>
              <w:t>20</w:t>
            </w:r>
          </w:p>
          <w:p>
            <w:pPr>
              <w:pStyle w:val="TableParagraph"/>
              <w:spacing w:before="1"/>
              <w:rPr>
                <w:b/>
                <w:sz w:val="24"/>
              </w:rPr>
            </w:pPr>
          </w:p>
          <w:p>
            <w:pPr>
              <w:pStyle w:val="TableParagraph"/>
              <w:ind w:left="106" w:right="278"/>
              <w:rPr>
                <w:sz w:val="24"/>
              </w:rPr>
            </w:pPr>
            <w:r>
              <w:rPr>
                <w:sz w:val="24"/>
              </w:rPr>
              <w:t>In</w:t>
            </w:r>
            <w:r>
              <w:rPr>
                <w:spacing w:val="-20"/>
                <w:sz w:val="24"/>
              </w:rPr>
              <w:t> </w:t>
            </w:r>
            <w:r>
              <w:rPr>
                <w:sz w:val="24"/>
              </w:rPr>
              <w:t>case </w:t>
            </w:r>
            <w:r>
              <w:rPr>
                <w:spacing w:val="-6"/>
                <w:sz w:val="24"/>
              </w:rPr>
              <w:t>of</w:t>
            </w:r>
          </w:p>
          <w:p>
            <w:pPr>
              <w:pStyle w:val="TableParagraph"/>
              <w:spacing w:line="281" w:lineRule="exact" w:before="1"/>
              <w:ind w:left="106"/>
              <w:rPr>
                <w:sz w:val="24"/>
              </w:rPr>
            </w:pPr>
            <w:r>
              <w:rPr>
                <w:spacing w:val="-10"/>
                <w:sz w:val="24"/>
              </w:rPr>
              <w:t>3</w:t>
            </w:r>
          </w:p>
          <w:p>
            <w:pPr>
              <w:pStyle w:val="TableParagraph"/>
              <w:numPr>
                <w:ilvl w:val="0"/>
                <w:numId w:val="36"/>
              </w:numPr>
              <w:tabs>
                <w:tab w:pos="464" w:val="left" w:leader="none"/>
              </w:tabs>
              <w:spacing w:line="281" w:lineRule="exact" w:before="0" w:after="0"/>
              <w:ind w:left="464" w:right="0" w:hanging="210"/>
              <w:jc w:val="left"/>
              <w:rPr>
                <w:sz w:val="24"/>
              </w:rPr>
            </w:pPr>
            <w:r>
              <w:rPr>
                <w:sz w:val="24"/>
              </w:rPr>
              <w:t>X=</w:t>
            </w:r>
            <w:r>
              <w:rPr>
                <w:spacing w:val="-5"/>
                <w:sz w:val="24"/>
              </w:rPr>
              <w:t> 50</w:t>
            </w:r>
          </w:p>
          <w:p>
            <w:pPr>
              <w:pStyle w:val="TableParagraph"/>
              <w:numPr>
                <w:ilvl w:val="0"/>
                <w:numId w:val="36"/>
              </w:numPr>
              <w:tabs>
                <w:tab w:pos="465" w:val="left" w:leader="none"/>
              </w:tabs>
              <w:spacing w:line="240" w:lineRule="auto" w:before="1" w:after="0"/>
              <w:ind w:left="465" w:right="0" w:hanging="220"/>
              <w:jc w:val="left"/>
              <w:rPr>
                <w:sz w:val="24"/>
              </w:rPr>
            </w:pPr>
            <w:r>
              <w:rPr>
                <w:spacing w:val="-4"/>
                <w:sz w:val="24"/>
              </w:rPr>
              <w:t>Y=50</w:t>
            </w:r>
          </w:p>
        </w:tc>
      </w:tr>
      <w:tr>
        <w:trPr>
          <w:trHeight w:val="563"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tabs>
                <w:tab w:pos="1778" w:val="left" w:leader="none"/>
              </w:tabs>
              <w:spacing w:line="256" w:lineRule="exact"/>
              <w:ind w:left="66"/>
              <w:rPr>
                <w:sz w:val="22"/>
              </w:rPr>
            </w:pPr>
            <w:r>
              <w:rPr>
                <w:spacing w:val="-2"/>
                <w:sz w:val="22"/>
              </w:rPr>
              <w:t>Primary</w:t>
            </w:r>
            <w:r>
              <w:rPr>
                <w:sz w:val="22"/>
              </w:rPr>
              <w:tab/>
            </w:r>
            <w:r>
              <w:rPr>
                <w:spacing w:val="-2"/>
                <w:sz w:val="22"/>
              </w:rPr>
              <w:t>School,</w:t>
            </w:r>
          </w:p>
          <w:p>
            <w:pPr>
              <w:pStyle w:val="TableParagraph"/>
              <w:tabs>
                <w:tab w:pos="1707" w:val="left" w:leader="none"/>
              </w:tabs>
              <w:spacing w:line="281" w:lineRule="exact"/>
              <w:ind w:left="66"/>
              <w:rPr>
                <w:sz w:val="24"/>
              </w:rPr>
            </w:pPr>
            <w:r>
              <w:rPr>
                <w:spacing w:val="-2"/>
                <w:sz w:val="24"/>
              </w:rPr>
              <w:t>Secondary</w:t>
            </w:r>
            <w:r>
              <w:rPr>
                <w:sz w:val="24"/>
              </w:rPr>
              <w:tab/>
            </w:r>
            <w:r>
              <w:rPr>
                <w:spacing w:val="-2"/>
                <w:sz w:val="24"/>
              </w:rPr>
              <w:t>School,</w:t>
            </w:r>
          </w:p>
        </w:tc>
        <w:tc>
          <w:tcPr>
            <w:tcW w:w="2094" w:type="dxa"/>
          </w:tcPr>
          <w:p>
            <w:pPr>
              <w:pStyle w:val="TableParagraph"/>
              <w:spacing w:line="280" w:lineRule="exact"/>
              <w:ind w:left="94" w:right="55" w:firstLine="12"/>
              <w:rPr>
                <w:sz w:val="24"/>
              </w:rPr>
            </w:pPr>
            <w:r>
              <w:rPr>
                <w:sz w:val="24"/>
              </w:rPr>
              <w:t>Sport</w:t>
            </w:r>
            <w:r>
              <w:rPr>
                <w:spacing w:val="-20"/>
                <w:sz w:val="24"/>
              </w:rPr>
              <w:t> </w:t>
            </w:r>
            <w:r>
              <w:rPr>
                <w:sz w:val="24"/>
              </w:rPr>
              <w:t>Center, </w:t>
            </w:r>
            <w:r>
              <w:rPr>
                <w:spacing w:val="-2"/>
                <w:sz w:val="24"/>
              </w:rPr>
              <w:t>Gymnasium,</w:t>
            </w:r>
          </w:p>
        </w:tc>
        <w:tc>
          <w:tcPr>
            <w:tcW w:w="1306" w:type="dxa"/>
          </w:tcPr>
          <w:p>
            <w:pPr>
              <w:pStyle w:val="TableParagraph"/>
              <w:spacing w:line="280" w:lineRule="exact"/>
              <w:ind w:left="106"/>
              <w:rPr>
                <w:sz w:val="24"/>
              </w:rPr>
            </w:pPr>
            <w:r>
              <w:rPr>
                <w:sz w:val="24"/>
              </w:rPr>
              <w:t>1 or 2 </w:t>
            </w:r>
            <w:r>
              <w:rPr>
                <w:spacing w:val="-5"/>
                <w:sz w:val="24"/>
              </w:rPr>
              <w:t>or</w:t>
            </w:r>
          </w:p>
          <w:p>
            <w:pPr>
              <w:pStyle w:val="TableParagraph"/>
              <w:spacing w:line="263" w:lineRule="exact"/>
              <w:ind w:left="106"/>
              <w:rPr>
                <w:sz w:val="24"/>
              </w:rPr>
            </w:pPr>
            <w:r>
              <w:rPr>
                <w:spacing w:val="-10"/>
                <w:sz w:val="24"/>
              </w:rPr>
              <w:t>3</w:t>
            </w:r>
          </w:p>
        </w:tc>
      </w:tr>
    </w:tbl>
    <w:p>
      <w:pPr>
        <w:pStyle w:val="TableParagraph"/>
        <w:spacing w:after="0" w:line="263" w:lineRule="exact"/>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7889" w:hRule="atLeast"/>
        </w:trPr>
        <w:tc>
          <w:tcPr>
            <w:tcW w:w="560" w:type="dxa"/>
          </w:tcPr>
          <w:p>
            <w:pPr>
              <w:pStyle w:val="TableParagraph"/>
              <w:spacing w:before="280"/>
              <w:ind w:left="40" w:right="34"/>
              <w:jc w:val="center"/>
              <w:rPr>
                <w:sz w:val="24"/>
              </w:rPr>
            </w:pPr>
            <w:r>
              <w:rPr>
                <w:spacing w:val="-10"/>
                <w:sz w:val="24"/>
              </w:rPr>
              <w:t>5</w:t>
            </w:r>
          </w:p>
        </w:tc>
        <w:tc>
          <w:tcPr>
            <w:tcW w:w="1349" w:type="dxa"/>
            <w:vMerge/>
            <w:tcBorders>
              <w:top w:val="nil"/>
            </w:tcBorders>
          </w:tcPr>
          <w:p>
            <w:pPr>
              <w:rPr>
                <w:sz w:val="2"/>
                <w:szCs w:val="2"/>
              </w:rPr>
            </w:pPr>
          </w:p>
        </w:tc>
        <w:tc>
          <w:tcPr>
            <w:tcW w:w="1057" w:type="dxa"/>
          </w:tcPr>
          <w:p>
            <w:pPr>
              <w:pStyle w:val="TableParagraph"/>
              <w:spacing w:before="280"/>
              <w:ind w:left="107"/>
              <w:rPr>
                <w:sz w:val="24"/>
              </w:rPr>
            </w:pPr>
            <w:r>
              <w:rPr>
                <w:spacing w:val="-2"/>
                <w:sz w:val="24"/>
              </w:rPr>
              <w:t>RE3.1</w:t>
            </w:r>
          </w:p>
        </w:tc>
        <w:tc>
          <w:tcPr>
            <w:tcW w:w="1260" w:type="dxa"/>
          </w:tcPr>
          <w:p>
            <w:pPr>
              <w:pStyle w:val="TableParagraph"/>
              <w:spacing w:before="280"/>
              <w:ind w:left="106" w:right="225"/>
              <w:rPr>
                <w:sz w:val="24"/>
              </w:rPr>
            </w:pPr>
            <w:r>
              <w:rPr>
                <w:spacing w:val="-2"/>
                <w:sz w:val="24"/>
              </w:rPr>
              <w:t>Other Educati </w:t>
            </w:r>
            <w:r>
              <w:rPr>
                <w:spacing w:val="-6"/>
                <w:sz w:val="24"/>
              </w:rPr>
              <w:t>on</w:t>
            </w:r>
          </w:p>
        </w:tc>
        <w:tc>
          <w:tcPr>
            <w:tcW w:w="2679" w:type="dxa"/>
          </w:tcPr>
          <w:p>
            <w:pPr>
              <w:pStyle w:val="TableParagraph"/>
              <w:tabs>
                <w:tab w:pos="2075" w:val="left" w:leader="none"/>
              </w:tabs>
              <w:ind w:left="66" w:right="99"/>
              <w:jc w:val="both"/>
              <w:rPr>
                <w:sz w:val="24"/>
              </w:rPr>
            </w:pPr>
            <w:r>
              <w:rPr>
                <w:sz w:val="24"/>
              </w:rPr>
              <w:t>Higher </w:t>
            </w:r>
            <w:r>
              <w:rPr>
                <w:sz w:val="24"/>
              </w:rPr>
              <w:t>Secondary School, </w:t>
            </w:r>
            <w:r>
              <w:rPr>
                <w:sz w:val="22"/>
              </w:rPr>
              <w:t>High School, College</w:t>
            </w:r>
            <w:r>
              <w:rPr>
                <w:sz w:val="24"/>
              </w:rPr>
              <w:t>, Integrated School General College Vocational Training Institutes Training Centre, Industrial Training </w:t>
            </w:r>
            <w:r>
              <w:rPr>
                <w:spacing w:val="-2"/>
                <w:sz w:val="24"/>
              </w:rPr>
              <w:t>Institute,</w:t>
            </w:r>
            <w:r>
              <w:rPr>
                <w:sz w:val="24"/>
              </w:rPr>
              <w:tab/>
            </w:r>
            <w:r>
              <w:rPr>
                <w:spacing w:val="-4"/>
                <w:sz w:val="24"/>
              </w:rPr>
              <w:t>etc.,</w:t>
            </w:r>
          </w:p>
          <w:p>
            <w:pPr>
              <w:pStyle w:val="TableParagraph"/>
              <w:tabs>
                <w:tab w:pos="713" w:val="left" w:leader="none"/>
                <w:tab w:pos="1297" w:val="left" w:leader="none"/>
                <w:tab w:pos="1651" w:val="left" w:leader="none"/>
                <w:tab w:pos="1731" w:val="left" w:leader="none"/>
                <w:tab w:pos="1803" w:val="left" w:leader="none"/>
                <w:tab w:pos="1952" w:val="left" w:leader="none"/>
                <w:tab w:pos="2029" w:val="left" w:leader="none"/>
                <w:tab w:pos="2423" w:val="left" w:leader="none"/>
              </w:tabs>
              <w:ind w:left="66" w:right="99"/>
              <w:rPr>
                <w:sz w:val="24"/>
              </w:rPr>
            </w:pPr>
            <w:r>
              <w:rPr>
                <w:spacing w:val="-2"/>
                <w:sz w:val="24"/>
              </w:rPr>
              <w:t>Medical</w:t>
            </w:r>
            <w:r>
              <w:rPr>
                <w:sz w:val="24"/>
              </w:rPr>
              <w:tab/>
              <w:tab/>
              <w:tab/>
            </w:r>
            <w:r>
              <w:rPr>
                <w:spacing w:val="-2"/>
                <w:sz w:val="24"/>
              </w:rPr>
              <w:t>College (Including</w:t>
            </w:r>
            <w:r>
              <w:rPr>
                <w:sz w:val="24"/>
              </w:rPr>
              <w:tab/>
              <w:tab/>
            </w:r>
            <w:r>
              <w:rPr>
                <w:spacing w:val="-2"/>
                <w:sz w:val="24"/>
              </w:rPr>
              <w:t>General Hospital),</w:t>
            </w:r>
            <w:r>
              <w:rPr>
                <w:sz w:val="24"/>
              </w:rPr>
              <w:tab/>
              <w:tab/>
              <w:tab/>
              <w:tab/>
            </w:r>
            <w:r>
              <w:rPr>
                <w:spacing w:val="-2"/>
                <w:sz w:val="24"/>
              </w:rPr>
              <w:t>Sports School,</w:t>
            </w:r>
            <w:r>
              <w:rPr>
                <w:sz w:val="24"/>
              </w:rPr>
              <w:tab/>
              <w:tab/>
              <w:tab/>
              <w:tab/>
              <w:tab/>
              <w:tab/>
            </w:r>
            <w:r>
              <w:rPr>
                <w:spacing w:val="-63"/>
                <w:sz w:val="24"/>
              </w:rPr>
              <w:t> </w:t>
            </w:r>
            <w:r>
              <w:rPr>
                <w:spacing w:val="-2"/>
                <w:sz w:val="24"/>
              </w:rPr>
              <w:t>Skill </w:t>
            </w:r>
            <w:r>
              <w:rPr>
                <w:sz w:val="24"/>
              </w:rPr>
              <w:t>Development</w:t>
            </w:r>
            <w:r>
              <w:rPr>
                <w:spacing w:val="6"/>
                <w:sz w:val="24"/>
              </w:rPr>
              <w:t> </w:t>
            </w:r>
            <w:r>
              <w:rPr>
                <w:sz w:val="24"/>
              </w:rPr>
              <w:t>Center, </w:t>
            </w:r>
            <w:r>
              <w:rPr>
                <w:spacing w:val="-2"/>
                <w:sz w:val="24"/>
              </w:rPr>
              <w:t>Hostel,</w:t>
            </w:r>
            <w:r>
              <w:rPr>
                <w:sz w:val="24"/>
              </w:rPr>
              <w:tab/>
            </w:r>
            <w:r>
              <w:rPr>
                <w:spacing w:val="-6"/>
                <w:sz w:val="24"/>
              </w:rPr>
              <w:t>or</w:t>
            </w:r>
            <w:r>
              <w:rPr>
                <w:sz w:val="24"/>
              </w:rPr>
              <w:tab/>
              <w:tab/>
              <w:tab/>
              <w:tab/>
            </w:r>
            <w:r>
              <w:rPr>
                <w:spacing w:val="-4"/>
                <w:sz w:val="24"/>
              </w:rPr>
              <w:t>other </w:t>
            </w:r>
            <w:r>
              <w:rPr>
                <w:spacing w:val="-2"/>
                <w:sz w:val="24"/>
              </w:rPr>
              <w:t>educational purposes, </w:t>
            </w:r>
            <w:r>
              <w:rPr>
                <w:sz w:val="24"/>
              </w:rPr>
              <w:t>Auditorium</w:t>
            </w:r>
            <w:r>
              <w:rPr>
                <w:spacing w:val="80"/>
                <w:sz w:val="24"/>
              </w:rPr>
              <w:t> </w:t>
            </w:r>
            <w:r>
              <w:rPr>
                <w:sz w:val="24"/>
              </w:rPr>
              <w:t>and</w:t>
            </w:r>
            <w:r>
              <w:rPr>
                <w:spacing w:val="80"/>
                <w:sz w:val="24"/>
              </w:rPr>
              <w:t> </w:t>
            </w:r>
            <w:r>
              <w:rPr>
                <w:sz w:val="24"/>
              </w:rPr>
              <w:t>art </w:t>
            </w:r>
            <w:r>
              <w:rPr>
                <w:spacing w:val="-4"/>
                <w:sz w:val="24"/>
              </w:rPr>
              <w:t>and</w:t>
            </w:r>
            <w:r>
              <w:rPr>
                <w:sz w:val="24"/>
              </w:rPr>
              <w:tab/>
            </w:r>
            <w:r>
              <w:rPr>
                <w:spacing w:val="-2"/>
                <w:sz w:val="24"/>
              </w:rPr>
              <w:t>culture</w:t>
            </w:r>
            <w:r>
              <w:rPr>
                <w:sz w:val="24"/>
              </w:rPr>
              <w:tab/>
              <w:tab/>
            </w:r>
            <w:r>
              <w:rPr>
                <w:spacing w:val="-49"/>
                <w:sz w:val="24"/>
              </w:rPr>
              <w:t> </w:t>
            </w:r>
            <w:r>
              <w:rPr>
                <w:spacing w:val="-2"/>
                <w:sz w:val="24"/>
              </w:rPr>
              <w:t>related </w:t>
            </w:r>
            <w:r>
              <w:rPr>
                <w:sz w:val="24"/>
              </w:rPr>
              <w:t>uses.</w:t>
            </w:r>
            <w:r>
              <w:rPr>
                <w:spacing w:val="40"/>
                <w:sz w:val="24"/>
              </w:rPr>
              <w:t> </w:t>
            </w:r>
            <w:r>
              <w:rPr>
                <w:sz w:val="24"/>
              </w:rPr>
              <w:t>After</w:t>
            </w:r>
            <w:r>
              <w:rPr>
                <w:spacing w:val="40"/>
                <w:sz w:val="24"/>
              </w:rPr>
              <w:t> </w:t>
            </w:r>
            <w:r>
              <w:rPr>
                <w:sz w:val="24"/>
              </w:rPr>
              <w:t>hours</w:t>
            </w:r>
            <w:r>
              <w:rPr>
                <w:spacing w:val="40"/>
                <w:sz w:val="24"/>
              </w:rPr>
              <w:t> </w:t>
            </w:r>
            <w:r>
              <w:rPr>
                <w:sz w:val="24"/>
              </w:rPr>
              <w:t>of principal</w:t>
            </w:r>
            <w:r>
              <w:rPr>
                <w:spacing w:val="40"/>
                <w:sz w:val="24"/>
              </w:rPr>
              <w:t> </w:t>
            </w:r>
            <w:r>
              <w:rPr>
                <w:sz w:val="24"/>
              </w:rPr>
              <w:t>uses</w:t>
            </w:r>
            <w:r>
              <w:rPr>
                <w:spacing w:val="40"/>
                <w:sz w:val="24"/>
              </w:rPr>
              <w:t> </w:t>
            </w:r>
            <w:r>
              <w:rPr>
                <w:sz w:val="24"/>
              </w:rPr>
              <w:t>other </w:t>
            </w:r>
            <w:r>
              <w:rPr>
                <w:spacing w:val="-2"/>
                <w:sz w:val="24"/>
              </w:rPr>
              <w:t>educational</w:t>
            </w:r>
            <w:r>
              <w:rPr>
                <w:sz w:val="24"/>
              </w:rPr>
              <w:tab/>
              <w:tab/>
              <w:tab/>
              <w:tab/>
              <w:tab/>
              <w:tab/>
            </w:r>
            <w:r>
              <w:rPr>
                <w:spacing w:val="-10"/>
                <w:sz w:val="24"/>
              </w:rPr>
              <w:t>/ </w:t>
            </w:r>
            <w:r>
              <w:rPr>
                <w:spacing w:val="-2"/>
                <w:sz w:val="24"/>
              </w:rPr>
              <w:t>permitted</w:t>
            </w:r>
            <w:r>
              <w:rPr>
                <w:sz w:val="24"/>
              </w:rPr>
              <w:tab/>
              <w:tab/>
              <w:tab/>
              <w:tab/>
              <w:tab/>
              <w:tab/>
            </w:r>
            <w:r>
              <w:rPr>
                <w:spacing w:val="-4"/>
                <w:sz w:val="24"/>
              </w:rPr>
              <w:t>uses</w:t>
            </w:r>
          </w:p>
          <w:p>
            <w:pPr>
              <w:pStyle w:val="TableParagraph"/>
              <w:ind w:left="66" w:right="99"/>
              <w:jc w:val="both"/>
              <w:rPr>
                <w:sz w:val="24"/>
              </w:rPr>
            </w:pPr>
            <w:r>
              <w:rPr>
                <w:sz w:val="24"/>
              </w:rPr>
              <w:t>including </w:t>
            </w:r>
            <w:r>
              <w:rPr>
                <w:sz w:val="24"/>
              </w:rPr>
              <w:t>Aadhar Kendra with skill development centre, Yogalaya,</w:t>
            </w:r>
            <w:r>
              <w:rPr>
                <w:spacing w:val="70"/>
                <w:w w:val="150"/>
                <w:sz w:val="24"/>
              </w:rPr>
              <w:t>   </w:t>
            </w:r>
            <w:r>
              <w:rPr>
                <w:spacing w:val="-2"/>
                <w:sz w:val="24"/>
              </w:rPr>
              <w:t>welfare</w:t>
            </w:r>
          </w:p>
          <w:p>
            <w:pPr>
              <w:pStyle w:val="TableParagraph"/>
              <w:spacing w:line="262" w:lineRule="exact"/>
              <w:ind w:left="66"/>
              <w:jc w:val="both"/>
              <w:rPr>
                <w:sz w:val="24"/>
              </w:rPr>
            </w:pPr>
            <w:r>
              <w:rPr>
                <w:sz w:val="24"/>
              </w:rPr>
              <w:t>centre </w:t>
            </w:r>
            <w:r>
              <w:rPr>
                <w:spacing w:val="-10"/>
                <w:sz w:val="24"/>
              </w:rPr>
              <w:t>.</w:t>
            </w:r>
          </w:p>
        </w:tc>
        <w:tc>
          <w:tcPr>
            <w:tcW w:w="2094" w:type="dxa"/>
          </w:tcPr>
          <w:p>
            <w:pPr>
              <w:pStyle w:val="TableParagraph"/>
              <w:tabs>
                <w:tab w:pos="1524" w:val="left" w:leader="none"/>
              </w:tabs>
              <w:ind w:left="106" w:right="57" w:hanging="12"/>
              <w:rPr>
                <w:sz w:val="24"/>
              </w:rPr>
            </w:pPr>
            <w:r>
              <w:rPr>
                <w:spacing w:val="-2"/>
                <w:sz w:val="24"/>
              </w:rPr>
              <w:t>Canteen,</w:t>
            </w:r>
            <w:r>
              <w:rPr>
                <w:spacing w:val="80"/>
                <w:sz w:val="24"/>
              </w:rPr>
              <w:t> </w:t>
            </w:r>
            <w:r>
              <w:rPr>
                <w:spacing w:val="-2"/>
                <w:sz w:val="24"/>
              </w:rPr>
              <w:t>Banks,</w:t>
            </w:r>
            <w:r>
              <w:rPr>
                <w:sz w:val="24"/>
              </w:rPr>
              <w:tab/>
            </w:r>
            <w:r>
              <w:rPr>
                <w:spacing w:val="-4"/>
                <w:sz w:val="24"/>
              </w:rPr>
              <w:t>Post </w:t>
            </w:r>
            <w:r>
              <w:rPr>
                <w:spacing w:val="-2"/>
                <w:sz w:val="24"/>
              </w:rPr>
              <w:t>Office, Dispensary, Shops.</w:t>
            </w:r>
          </w:p>
        </w:tc>
        <w:tc>
          <w:tcPr>
            <w:tcW w:w="1306" w:type="dxa"/>
          </w:tcPr>
          <w:p>
            <w:pPr>
              <w:pStyle w:val="TableParagraph"/>
              <w:spacing w:line="280" w:lineRule="exact"/>
              <w:ind w:left="106"/>
              <w:rPr>
                <w:sz w:val="24"/>
              </w:rPr>
            </w:pPr>
            <w:r>
              <w:rPr>
                <w:sz w:val="24"/>
              </w:rPr>
              <w:t>Zb</w:t>
            </w:r>
            <w:r>
              <w:rPr>
                <w:spacing w:val="-1"/>
                <w:sz w:val="24"/>
              </w:rPr>
              <w:t> </w:t>
            </w:r>
            <w:r>
              <w:rPr>
                <w:sz w:val="24"/>
              </w:rPr>
              <w:t>= </w:t>
            </w:r>
            <w:r>
              <w:rPr>
                <w:spacing w:val="-5"/>
                <w:sz w:val="24"/>
              </w:rPr>
              <w:t>20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37"/>
              </w:numPr>
              <w:tabs>
                <w:tab w:pos="464" w:val="left" w:leader="none"/>
              </w:tabs>
              <w:spacing w:line="240" w:lineRule="auto" w:before="0" w:after="0"/>
              <w:ind w:left="464" w:right="0" w:hanging="210"/>
              <w:jc w:val="left"/>
              <w:rPr>
                <w:sz w:val="24"/>
              </w:rPr>
            </w:pPr>
            <w:r>
              <w:rPr>
                <w:sz w:val="24"/>
              </w:rPr>
              <w:t>X=</w:t>
            </w:r>
            <w:r>
              <w:rPr>
                <w:spacing w:val="-5"/>
                <w:sz w:val="24"/>
              </w:rPr>
              <w:t> 50</w:t>
            </w:r>
          </w:p>
          <w:p>
            <w:pPr>
              <w:pStyle w:val="TableParagraph"/>
              <w:numPr>
                <w:ilvl w:val="0"/>
                <w:numId w:val="37"/>
              </w:numPr>
              <w:tabs>
                <w:tab w:pos="465" w:val="left" w:leader="none"/>
              </w:tabs>
              <w:spacing w:line="240" w:lineRule="auto" w:before="1" w:after="0"/>
              <w:ind w:left="465" w:right="0" w:hanging="220"/>
              <w:jc w:val="left"/>
              <w:rPr>
                <w:sz w:val="24"/>
              </w:rPr>
            </w:pPr>
            <w:r>
              <w:rPr>
                <w:spacing w:val="-4"/>
                <w:sz w:val="24"/>
              </w:rPr>
              <w:t>Y=50</w:t>
            </w:r>
          </w:p>
        </w:tc>
      </w:tr>
      <w:tr>
        <w:trPr>
          <w:trHeight w:val="3381" w:hRule="atLeast"/>
        </w:trPr>
        <w:tc>
          <w:tcPr>
            <w:tcW w:w="560" w:type="dxa"/>
          </w:tcPr>
          <w:p>
            <w:pPr>
              <w:pStyle w:val="TableParagraph"/>
              <w:spacing w:before="280"/>
              <w:ind w:left="40" w:right="34"/>
              <w:jc w:val="center"/>
              <w:rPr>
                <w:sz w:val="24"/>
              </w:rPr>
            </w:pPr>
            <w:r>
              <w:rPr>
                <w:spacing w:val="-10"/>
                <w:sz w:val="24"/>
              </w:rPr>
              <w:t>6</w:t>
            </w:r>
          </w:p>
        </w:tc>
        <w:tc>
          <w:tcPr>
            <w:tcW w:w="1349" w:type="dxa"/>
            <w:vMerge/>
            <w:tcBorders>
              <w:top w:val="nil"/>
            </w:tcBorders>
          </w:tcPr>
          <w:p>
            <w:pPr>
              <w:rPr>
                <w:sz w:val="2"/>
                <w:szCs w:val="2"/>
              </w:rPr>
            </w:pPr>
          </w:p>
        </w:tc>
        <w:tc>
          <w:tcPr>
            <w:tcW w:w="1057" w:type="dxa"/>
          </w:tcPr>
          <w:p>
            <w:pPr>
              <w:pStyle w:val="TableParagraph"/>
              <w:spacing w:line="281" w:lineRule="exact"/>
              <w:ind w:left="107"/>
              <w:rPr>
                <w:sz w:val="24"/>
              </w:rPr>
            </w:pPr>
            <w:r>
              <w:rPr>
                <w:sz w:val="24"/>
              </w:rPr>
              <w:t>RE</w:t>
            </w:r>
            <w:r>
              <w:rPr>
                <w:spacing w:val="-1"/>
                <w:sz w:val="24"/>
              </w:rPr>
              <w:t> </w:t>
            </w:r>
            <w:r>
              <w:rPr>
                <w:spacing w:val="-5"/>
                <w:sz w:val="24"/>
              </w:rPr>
              <w:t>4.1</w:t>
            </w:r>
          </w:p>
        </w:tc>
        <w:tc>
          <w:tcPr>
            <w:tcW w:w="1260" w:type="dxa"/>
          </w:tcPr>
          <w:p>
            <w:pPr>
              <w:pStyle w:val="TableParagraph"/>
              <w:rPr>
                <w:b/>
                <w:sz w:val="24"/>
              </w:rPr>
            </w:pPr>
          </w:p>
          <w:p>
            <w:pPr>
              <w:pStyle w:val="TableParagraph"/>
              <w:rPr>
                <w:b/>
                <w:sz w:val="24"/>
              </w:rPr>
            </w:pPr>
          </w:p>
          <w:p>
            <w:pPr>
              <w:pStyle w:val="TableParagraph"/>
              <w:rPr>
                <w:b/>
                <w:sz w:val="24"/>
              </w:rPr>
            </w:pPr>
          </w:p>
          <w:p>
            <w:pPr>
              <w:pStyle w:val="TableParagraph"/>
              <w:spacing w:before="140"/>
              <w:rPr>
                <w:b/>
                <w:sz w:val="24"/>
              </w:rPr>
            </w:pPr>
          </w:p>
          <w:p>
            <w:pPr>
              <w:pStyle w:val="TableParagraph"/>
              <w:ind w:left="106" w:right="103"/>
              <w:rPr>
                <w:sz w:val="24"/>
              </w:rPr>
            </w:pPr>
            <w:r>
              <w:rPr>
                <w:spacing w:val="-2"/>
                <w:sz w:val="24"/>
              </w:rPr>
              <w:t>Urban Planning Institute</w:t>
            </w:r>
          </w:p>
        </w:tc>
        <w:tc>
          <w:tcPr>
            <w:tcW w:w="2679" w:type="dxa"/>
          </w:tcPr>
          <w:p>
            <w:pPr>
              <w:pStyle w:val="TableParagraph"/>
              <w:tabs>
                <w:tab w:pos="1304" w:val="left" w:leader="none"/>
                <w:tab w:pos="1434" w:val="left" w:leader="none"/>
                <w:tab w:pos="1837" w:val="left" w:leader="none"/>
                <w:tab w:pos="1951" w:val="left" w:leader="none"/>
                <w:tab w:pos="2122" w:val="left" w:leader="none"/>
              </w:tabs>
              <w:ind w:left="66" w:right="99"/>
              <w:rPr>
                <w:sz w:val="24"/>
              </w:rPr>
            </w:pPr>
            <w:r>
              <w:rPr>
                <w:spacing w:val="-2"/>
                <w:sz w:val="24"/>
              </w:rPr>
              <w:t>Urban</w:t>
            </w:r>
            <w:r>
              <w:rPr>
                <w:sz w:val="24"/>
              </w:rPr>
              <w:tab/>
              <w:tab/>
            </w:r>
            <w:r>
              <w:rPr>
                <w:spacing w:val="-59"/>
                <w:sz w:val="24"/>
              </w:rPr>
              <w:t> </w:t>
            </w:r>
            <w:r>
              <w:rPr>
                <w:spacing w:val="-2"/>
                <w:sz w:val="24"/>
              </w:rPr>
              <w:t>Planning, Environmental Planning</w:t>
            </w:r>
            <w:r>
              <w:rPr>
                <w:sz w:val="24"/>
              </w:rPr>
              <w:tab/>
            </w:r>
            <w:r>
              <w:rPr>
                <w:spacing w:val="-4"/>
                <w:sz w:val="24"/>
              </w:rPr>
              <w:t>and</w:t>
            </w:r>
            <w:r>
              <w:rPr>
                <w:sz w:val="24"/>
              </w:rPr>
              <w:tab/>
              <w:tab/>
            </w:r>
            <w:r>
              <w:rPr>
                <w:spacing w:val="-2"/>
                <w:sz w:val="24"/>
              </w:rPr>
              <w:t>other </w:t>
            </w:r>
            <w:r>
              <w:rPr>
                <w:sz w:val="24"/>
              </w:rPr>
              <w:t>related</w:t>
            </w:r>
            <w:r>
              <w:rPr>
                <w:spacing w:val="-20"/>
                <w:sz w:val="24"/>
              </w:rPr>
              <w:t> </w:t>
            </w:r>
            <w:r>
              <w:rPr>
                <w:sz w:val="24"/>
              </w:rPr>
              <w:t>Institutes</w:t>
            </w:r>
            <w:r>
              <w:rPr>
                <w:spacing w:val="-19"/>
                <w:sz w:val="24"/>
              </w:rPr>
              <w:t> </w:t>
            </w:r>
            <w:r>
              <w:rPr>
                <w:sz w:val="24"/>
              </w:rPr>
              <w:t>Viz. </w:t>
            </w:r>
            <w:r>
              <w:rPr>
                <w:spacing w:val="-2"/>
                <w:sz w:val="24"/>
              </w:rPr>
              <w:t>Transportation, Housing,</w:t>
            </w:r>
            <w:r>
              <w:rPr>
                <w:sz w:val="24"/>
              </w:rPr>
              <w:tab/>
              <w:tab/>
              <w:tab/>
            </w:r>
            <w:r>
              <w:rPr>
                <w:spacing w:val="-2"/>
                <w:sz w:val="24"/>
              </w:rPr>
              <w:t>Public </w:t>
            </w:r>
            <w:r>
              <w:rPr>
                <w:sz w:val="24"/>
              </w:rPr>
              <w:t>Policy,</w:t>
            </w:r>
            <w:r>
              <w:rPr>
                <w:spacing w:val="-20"/>
                <w:sz w:val="24"/>
              </w:rPr>
              <w:t> </w:t>
            </w:r>
            <w:r>
              <w:rPr>
                <w:sz w:val="24"/>
              </w:rPr>
              <w:t>Infrastructure </w:t>
            </w:r>
            <w:r>
              <w:rPr>
                <w:spacing w:val="-2"/>
                <w:sz w:val="24"/>
              </w:rPr>
              <w:t>Planning,</w:t>
            </w:r>
            <w:r>
              <w:rPr>
                <w:sz w:val="24"/>
              </w:rPr>
              <w:tab/>
              <w:tab/>
            </w:r>
            <w:r>
              <w:rPr>
                <w:spacing w:val="-4"/>
                <w:sz w:val="24"/>
              </w:rPr>
              <w:t>GIS</w:t>
            </w:r>
            <w:r>
              <w:rPr>
                <w:sz w:val="24"/>
              </w:rPr>
              <w:tab/>
              <w:tab/>
            </w:r>
            <w:r>
              <w:rPr>
                <w:spacing w:val="-4"/>
                <w:sz w:val="24"/>
              </w:rPr>
              <w:t>and </w:t>
            </w:r>
            <w:r>
              <w:rPr>
                <w:spacing w:val="-2"/>
                <w:sz w:val="24"/>
              </w:rPr>
              <w:t>Geography with/without</w:t>
            </w:r>
            <w:r>
              <w:rPr>
                <w:sz w:val="24"/>
              </w:rPr>
              <w:tab/>
            </w:r>
            <w:r>
              <w:rPr>
                <w:spacing w:val="-53"/>
                <w:sz w:val="24"/>
              </w:rPr>
              <w:t> </w:t>
            </w:r>
            <w:r>
              <w:rPr>
                <w:spacing w:val="-2"/>
                <w:sz w:val="24"/>
              </w:rPr>
              <w:t>hostel</w:t>
            </w:r>
          </w:p>
          <w:p>
            <w:pPr>
              <w:pStyle w:val="TableParagraph"/>
              <w:spacing w:line="280" w:lineRule="exact"/>
              <w:ind w:left="66"/>
              <w:rPr>
                <w:sz w:val="24"/>
              </w:rPr>
            </w:pPr>
            <w:r>
              <w:rPr>
                <w:sz w:val="24"/>
              </w:rPr>
              <w:t>facilities and art </w:t>
            </w:r>
            <w:r>
              <w:rPr>
                <w:sz w:val="24"/>
              </w:rPr>
              <w:t>and culture related uses</w:t>
            </w:r>
          </w:p>
        </w:tc>
        <w:tc>
          <w:tcPr>
            <w:tcW w:w="2094" w:type="dxa"/>
          </w:tcPr>
          <w:p>
            <w:pPr>
              <w:pStyle w:val="TableParagraph"/>
              <w:tabs>
                <w:tab w:pos="1512" w:val="left" w:leader="none"/>
              </w:tabs>
              <w:ind w:left="94" w:right="57" w:firstLine="12"/>
              <w:rPr>
                <w:sz w:val="24"/>
              </w:rPr>
            </w:pPr>
            <w:r>
              <w:rPr>
                <w:sz w:val="24"/>
              </w:rPr>
              <w:t>Sports Center, </w:t>
            </w:r>
            <w:r>
              <w:rPr>
                <w:spacing w:val="-2"/>
                <w:sz w:val="24"/>
              </w:rPr>
              <w:t>Gymnasium, Canteen,</w:t>
            </w:r>
            <w:r>
              <w:rPr>
                <w:spacing w:val="80"/>
                <w:sz w:val="24"/>
              </w:rPr>
              <w:t> </w:t>
            </w:r>
            <w:r>
              <w:rPr>
                <w:spacing w:val="-2"/>
                <w:sz w:val="24"/>
              </w:rPr>
              <w:t>Banks,</w:t>
            </w:r>
            <w:r>
              <w:rPr>
                <w:sz w:val="24"/>
              </w:rPr>
              <w:tab/>
            </w:r>
            <w:r>
              <w:rPr>
                <w:spacing w:val="-4"/>
                <w:sz w:val="24"/>
              </w:rPr>
              <w:t>Post </w:t>
            </w:r>
            <w:r>
              <w:rPr>
                <w:spacing w:val="-2"/>
                <w:sz w:val="24"/>
              </w:rPr>
              <w:t>Office, Dispensary, Shops.</w:t>
            </w:r>
          </w:p>
        </w:tc>
        <w:tc>
          <w:tcPr>
            <w:tcW w:w="1306" w:type="dxa"/>
          </w:tcPr>
          <w:p>
            <w:pPr>
              <w:pStyle w:val="TableParagraph"/>
              <w:spacing w:line="280" w:lineRule="exact"/>
              <w:ind w:left="106"/>
              <w:rPr>
                <w:sz w:val="24"/>
              </w:rPr>
            </w:pPr>
            <w:r>
              <w:rPr>
                <w:sz w:val="24"/>
              </w:rPr>
              <w:t>1 or 2 </w:t>
            </w:r>
            <w:r>
              <w:rPr>
                <w:spacing w:val="-5"/>
                <w:sz w:val="24"/>
              </w:rPr>
              <w:t>or</w:t>
            </w:r>
          </w:p>
          <w:p>
            <w:pPr>
              <w:pStyle w:val="TableParagraph"/>
              <w:spacing w:line="281" w:lineRule="exact"/>
              <w:ind w:left="106"/>
              <w:rPr>
                <w:sz w:val="24"/>
              </w:rPr>
            </w:pPr>
            <w:r>
              <w:rPr>
                <w:spacing w:val="-10"/>
                <w:sz w:val="24"/>
              </w:rPr>
              <w:t>3</w:t>
            </w:r>
          </w:p>
          <w:p>
            <w:pPr>
              <w:pStyle w:val="TableParagraph"/>
              <w:spacing w:line="282" w:lineRule="exact" w:before="1"/>
              <w:ind w:left="106"/>
              <w:rPr>
                <w:sz w:val="24"/>
              </w:rPr>
            </w:pPr>
            <w:r>
              <w:rPr>
                <w:sz w:val="24"/>
              </w:rPr>
              <w:t>Zb</w:t>
            </w:r>
            <w:r>
              <w:rPr>
                <w:spacing w:val="-1"/>
                <w:sz w:val="24"/>
              </w:rPr>
              <w:t> </w:t>
            </w:r>
            <w:r>
              <w:rPr>
                <w:sz w:val="24"/>
              </w:rPr>
              <w:t>= </w:t>
            </w:r>
            <w:r>
              <w:rPr>
                <w:spacing w:val="-5"/>
                <w:sz w:val="24"/>
              </w:rPr>
              <w:t>20</w:t>
            </w:r>
          </w:p>
          <w:p>
            <w:pPr>
              <w:pStyle w:val="TableParagraph"/>
              <w:ind w:left="106" w:right="278"/>
              <w:rPr>
                <w:sz w:val="24"/>
              </w:rPr>
            </w:pPr>
            <w:r>
              <w:rPr>
                <w:sz w:val="24"/>
              </w:rPr>
              <w:t>In</w:t>
            </w:r>
            <w:r>
              <w:rPr>
                <w:spacing w:val="-20"/>
                <w:sz w:val="24"/>
              </w:rPr>
              <w:t> </w:t>
            </w:r>
            <w:r>
              <w:rPr>
                <w:sz w:val="24"/>
              </w:rPr>
              <w:t>case of 3</w:t>
            </w:r>
          </w:p>
          <w:p>
            <w:pPr>
              <w:pStyle w:val="TableParagraph"/>
              <w:spacing w:before="1"/>
              <w:ind w:left="290" w:right="172"/>
              <w:rPr>
                <w:sz w:val="24"/>
              </w:rPr>
            </w:pPr>
            <w:r>
              <w:rPr>
                <w:spacing w:val="-2"/>
                <w:sz w:val="24"/>
              </w:rPr>
              <w:t>a)X=50 b)Y=50</w:t>
            </w:r>
          </w:p>
        </w:tc>
      </w:tr>
    </w:tbl>
    <w:p>
      <w:pPr>
        <w:pStyle w:val="TableParagraph"/>
        <w:spacing w:after="0"/>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2253" w:hRule="atLeast"/>
        </w:trPr>
        <w:tc>
          <w:tcPr>
            <w:tcW w:w="560" w:type="dxa"/>
          </w:tcPr>
          <w:p>
            <w:pPr>
              <w:pStyle w:val="TableParagraph"/>
              <w:spacing w:before="280"/>
              <w:ind w:left="40" w:right="34"/>
              <w:jc w:val="center"/>
              <w:rPr>
                <w:sz w:val="24"/>
              </w:rPr>
            </w:pPr>
            <w:r>
              <w:rPr>
                <w:spacing w:val="-10"/>
                <w:sz w:val="24"/>
              </w:rPr>
              <w:t>7</w:t>
            </w:r>
          </w:p>
        </w:tc>
        <w:tc>
          <w:tcPr>
            <w:tcW w:w="1349" w:type="dxa"/>
            <w:vMerge/>
            <w:tcBorders>
              <w:top w:val="nil"/>
            </w:tcBorders>
          </w:tcPr>
          <w:p>
            <w:pPr>
              <w:rPr>
                <w:sz w:val="2"/>
                <w:szCs w:val="2"/>
              </w:rPr>
            </w:pPr>
          </w:p>
        </w:tc>
        <w:tc>
          <w:tcPr>
            <w:tcW w:w="1057" w:type="dxa"/>
          </w:tcPr>
          <w:p>
            <w:pPr>
              <w:pStyle w:val="TableParagraph"/>
              <w:spacing w:line="281" w:lineRule="exact"/>
              <w:ind w:left="107"/>
              <w:rPr>
                <w:sz w:val="24"/>
              </w:rPr>
            </w:pPr>
            <w:r>
              <w:rPr>
                <w:sz w:val="24"/>
              </w:rPr>
              <w:t>RE</w:t>
            </w:r>
            <w:r>
              <w:rPr>
                <w:spacing w:val="-1"/>
                <w:sz w:val="24"/>
              </w:rPr>
              <w:t> </w:t>
            </w:r>
            <w:r>
              <w:rPr>
                <w:spacing w:val="-5"/>
                <w:sz w:val="24"/>
              </w:rPr>
              <w:t>4.2</w:t>
            </w:r>
          </w:p>
        </w:tc>
        <w:tc>
          <w:tcPr>
            <w:tcW w:w="1260" w:type="dxa"/>
          </w:tcPr>
          <w:p>
            <w:pPr>
              <w:pStyle w:val="TableParagraph"/>
              <w:rPr>
                <w:b/>
                <w:sz w:val="24"/>
              </w:rPr>
            </w:pPr>
          </w:p>
          <w:p>
            <w:pPr>
              <w:pStyle w:val="TableParagraph"/>
              <w:spacing w:before="280"/>
              <w:rPr>
                <w:b/>
                <w:sz w:val="24"/>
              </w:rPr>
            </w:pPr>
          </w:p>
          <w:p>
            <w:pPr>
              <w:pStyle w:val="TableParagraph"/>
              <w:ind w:left="106"/>
              <w:rPr>
                <w:sz w:val="24"/>
              </w:rPr>
            </w:pPr>
            <w:r>
              <w:rPr>
                <w:spacing w:val="-2"/>
                <w:sz w:val="24"/>
              </w:rPr>
              <w:t>Medical Institute</w:t>
            </w:r>
          </w:p>
        </w:tc>
        <w:tc>
          <w:tcPr>
            <w:tcW w:w="2679" w:type="dxa"/>
          </w:tcPr>
          <w:p>
            <w:pPr>
              <w:pStyle w:val="TableParagraph"/>
              <w:tabs>
                <w:tab w:pos="795" w:val="left" w:leader="none"/>
                <w:tab w:pos="1018" w:val="left" w:leader="none"/>
                <w:tab w:pos="1635" w:val="left" w:leader="none"/>
              </w:tabs>
              <w:ind w:left="66" w:right="99"/>
              <w:rPr>
                <w:sz w:val="24"/>
              </w:rPr>
            </w:pPr>
            <w:r>
              <w:rPr>
                <w:sz w:val="24"/>
              </w:rPr>
              <w:t>Institutes</w:t>
            </w:r>
            <w:r>
              <w:rPr>
                <w:spacing w:val="-17"/>
                <w:sz w:val="24"/>
              </w:rPr>
              <w:t> </w:t>
            </w:r>
            <w:r>
              <w:rPr>
                <w:sz w:val="24"/>
              </w:rPr>
              <w:t>for</w:t>
            </w:r>
            <w:r>
              <w:rPr>
                <w:spacing w:val="-16"/>
                <w:sz w:val="24"/>
              </w:rPr>
              <w:t> </w:t>
            </w:r>
            <w:r>
              <w:rPr>
                <w:sz w:val="24"/>
              </w:rPr>
              <w:t>Medical </w:t>
            </w:r>
            <w:r>
              <w:rPr>
                <w:spacing w:val="-2"/>
                <w:sz w:val="24"/>
              </w:rPr>
              <w:t>Institutions </w:t>
            </w:r>
            <w:r>
              <w:rPr>
                <w:sz w:val="24"/>
              </w:rPr>
              <w:t>Education</w:t>
            </w:r>
            <w:r>
              <w:rPr>
                <w:spacing w:val="-7"/>
                <w:sz w:val="24"/>
              </w:rPr>
              <w:t> </w:t>
            </w:r>
            <w:r>
              <w:rPr>
                <w:sz w:val="24"/>
              </w:rPr>
              <w:t>as</w:t>
            </w:r>
            <w:r>
              <w:rPr>
                <w:spacing w:val="-7"/>
                <w:sz w:val="24"/>
              </w:rPr>
              <w:t> </w:t>
            </w:r>
            <w:r>
              <w:rPr>
                <w:sz w:val="24"/>
              </w:rPr>
              <w:t>defined by</w:t>
            </w:r>
            <w:r>
              <w:rPr>
                <w:spacing w:val="-20"/>
                <w:sz w:val="24"/>
              </w:rPr>
              <w:t> </w:t>
            </w:r>
            <w:r>
              <w:rPr>
                <w:sz w:val="24"/>
              </w:rPr>
              <w:t>Medical</w:t>
            </w:r>
            <w:r>
              <w:rPr>
                <w:spacing w:val="-19"/>
                <w:sz w:val="24"/>
              </w:rPr>
              <w:t> </w:t>
            </w:r>
            <w:r>
              <w:rPr>
                <w:sz w:val="24"/>
              </w:rPr>
              <w:t>Council</w:t>
            </w:r>
            <w:r>
              <w:rPr>
                <w:spacing w:val="-19"/>
                <w:sz w:val="24"/>
              </w:rPr>
              <w:t> </w:t>
            </w:r>
            <w:r>
              <w:rPr>
                <w:sz w:val="24"/>
              </w:rPr>
              <w:t>of </w:t>
            </w:r>
            <w:r>
              <w:rPr>
                <w:spacing w:val="-2"/>
                <w:sz w:val="24"/>
              </w:rPr>
              <w:t>India</w:t>
            </w:r>
            <w:r>
              <w:rPr>
                <w:sz w:val="24"/>
              </w:rPr>
              <w:tab/>
              <w:tab/>
            </w:r>
            <w:r>
              <w:rPr>
                <w:spacing w:val="-2"/>
                <w:sz w:val="24"/>
              </w:rPr>
              <w:t>with/without </w:t>
            </w:r>
            <w:r>
              <w:rPr>
                <w:sz w:val="24"/>
              </w:rPr>
              <w:t>hostel</w:t>
            </w:r>
            <w:r>
              <w:rPr>
                <w:spacing w:val="40"/>
                <w:sz w:val="24"/>
              </w:rPr>
              <w:t> </w:t>
            </w:r>
            <w:r>
              <w:rPr>
                <w:sz w:val="24"/>
              </w:rPr>
              <w:t>facilities,</w:t>
            </w:r>
            <w:r>
              <w:rPr>
                <w:spacing w:val="40"/>
                <w:sz w:val="24"/>
              </w:rPr>
              <w:t> </w:t>
            </w:r>
            <w:r>
              <w:rPr>
                <w:sz w:val="24"/>
              </w:rPr>
              <w:t>and </w:t>
            </w:r>
            <w:r>
              <w:rPr>
                <w:spacing w:val="-5"/>
                <w:sz w:val="24"/>
              </w:rPr>
              <w:t>art</w:t>
            </w:r>
            <w:r>
              <w:rPr>
                <w:sz w:val="24"/>
              </w:rPr>
              <w:tab/>
            </w:r>
            <w:r>
              <w:rPr>
                <w:spacing w:val="-5"/>
                <w:sz w:val="24"/>
              </w:rPr>
              <w:t>and</w:t>
            </w:r>
            <w:r>
              <w:rPr>
                <w:sz w:val="24"/>
              </w:rPr>
              <w:tab/>
            </w:r>
            <w:r>
              <w:rPr>
                <w:spacing w:val="-2"/>
                <w:sz w:val="24"/>
              </w:rPr>
              <w:t>cultural</w:t>
            </w:r>
          </w:p>
          <w:p>
            <w:pPr>
              <w:pStyle w:val="TableParagraph"/>
              <w:spacing w:line="261" w:lineRule="exact"/>
              <w:ind w:left="66"/>
              <w:rPr>
                <w:sz w:val="24"/>
              </w:rPr>
            </w:pPr>
            <w:r>
              <w:rPr>
                <w:sz w:val="24"/>
              </w:rPr>
              <w:t>related</w:t>
            </w:r>
            <w:r>
              <w:rPr>
                <w:spacing w:val="-6"/>
                <w:sz w:val="24"/>
              </w:rPr>
              <w:t> </w:t>
            </w:r>
            <w:r>
              <w:rPr>
                <w:spacing w:val="-4"/>
                <w:sz w:val="24"/>
              </w:rPr>
              <w:t>uses</w:t>
            </w:r>
          </w:p>
        </w:tc>
        <w:tc>
          <w:tcPr>
            <w:tcW w:w="2094" w:type="dxa"/>
          </w:tcPr>
          <w:p>
            <w:pPr>
              <w:pStyle w:val="TableParagraph"/>
              <w:tabs>
                <w:tab w:pos="1512" w:val="left" w:leader="none"/>
              </w:tabs>
              <w:ind w:left="94" w:right="57" w:firstLine="12"/>
              <w:rPr>
                <w:sz w:val="24"/>
              </w:rPr>
            </w:pPr>
            <w:r>
              <w:rPr>
                <w:sz w:val="24"/>
              </w:rPr>
              <w:t>Sports Center, </w:t>
            </w:r>
            <w:r>
              <w:rPr>
                <w:spacing w:val="-2"/>
                <w:sz w:val="24"/>
              </w:rPr>
              <w:t>Gymnasium, Canteen,</w:t>
            </w:r>
            <w:r>
              <w:rPr>
                <w:spacing w:val="80"/>
                <w:sz w:val="24"/>
              </w:rPr>
              <w:t> </w:t>
            </w:r>
            <w:r>
              <w:rPr>
                <w:spacing w:val="-2"/>
                <w:sz w:val="24"/>
              </w:rPr>
              <w:t>Banks,</w:t>
            </w:r>
            <w:r>
              <w:rPr>
                <w:sz w:val="24"/>
              </w:rPr>
              <w:tab/>
            </w:r>
            <w:r>
              <w:rPr>
                <w:spacing w:val="-4"/>
                <w:sz w:val="24"/>
              </w:rPr>
              <w:t>Post </w:t>
            </w:r>
            <w:r>
              <w:rPr>
                <w:spacing w:val="-2"/>
                <w:sz w:val="24"/>
              </w:rPr>
              <w:t>Office, Dispensary, Shops.</w:t>
            </w:r>
          </w:p>
        </w:tc>
        <w:tc>
          <w:tcPr>
            <w:tcW w:w="1306" w:type="dxa"/>
          </w:tcPr>
          <w:p>
            <w:pPr>
              <w:pStyle w:val="TableParagraph"/>
              <w:spacing w:line="280" w:lineRule="exact"/>
              <w:ind w:left="106"/>
              <w:rPr>
                <w:sz w:val="24"/>
              </w:rPr>
            </w:pPr>
            <w:r>
              <w:rPr>
                <w:sz w:val="24"/>
              </w:rPr>
              <w:t>1 or 2 </w:t>
            </w:r>
            <w:r>
              <w:rPr>
                <w:spacing w:val="-5"/>
                <w:sz w:val="24"/>
              </w:rPr>
              <w:t>or</w:t>
            </w:r>
          </w:p>
          <w:p>
            <w:pPr>
              <w:pStyle w:val="TableParagraph"/>
              <w:spacing w:line="281" w:lineRule="exact"/>
              <w:ind w:left="106"/>
              <w:rPr>
                <w:sz w:val="24"/>
              </w:rPr>
            </w:pPr>
            <w:r>
              <w:rPr>
                <w:spacing w:val="-10"/>
                <w:sz w:val="24"/>
              </w:rPr>
              <w:t>3</w:t>
            </w:r>
          </w:p>
          <w:p>
            <w:pPr>
              <w:pStyle w:val="TableParagraph"/>
              <w:spacing w:line="281" w:lineRule="exact" w:before="1"/>
              <w:ind w:left="106"/>
              <w:rPr>
                <w:sz w:val="24"/>
              </w:rPr>
            </w:pPr>
            <w:r>
              <w:rPr>
                <w:sz w:val="24"/>
              </w:rPr>
              <w:t>Zb</w:t>
            </w:r>
            <w:r>
              <w:rPr>
                <w:spacing w:val="-1"/>
                <w:sz w:val="24"/>
              </w:rPr>
              <w:t> </w:t>
            </w:r>
            <w:r>
              <w:rPr>
                <w:sz w:val="24"/>
              </w:rPr>
              <w:t>= </w:t>
            </w:r>
            <w:r>
              <w:rPr>
                <w:spacing w:val="-5"/>
                <w:sz w:val="24"/>
              </w:rPr>
              <w:t>20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38"/>
              </w:numPr>
              <w:tabs>
                <w:tab w:pos="464" w:val="left" w:leader="none"/>
              </w:tabs>
              <w:spacing w:line="282" w:lineRule="exact" w:before="0" w:after="0"/>
              <w:ind w:left="464" w:right="0" w:hanging="210"/>
              <w:jc w:val="left"/>
              <w:rPr>
                <w:sz w:val="24"/>
              </w:rPr>
            </w:pPr>
            <w:r>
              <w:rPr>
                <w:spacing w:val="-4"/>
                <w:sz w:val="24"/>
              </w:rPr>
              <w:t>X=50</w:t>
            </w:r>
          </w:p>
          <w:p>
            <w:pPr>
              <w:pStyle w:val="TableParagraph"/>
              <w:numPr>
                <w:ilvl w:val="0"/>
                <w:numId w:val="38"/>
              </w:numPr>
              <w:tabs>
                <w:tab w:pos="464" w:val="left" w:leader="none"/>
              </w:tabs>
              <w:spacing w:line="240" w:lineRule="auto" w:before="0" w:after="0"/>
              <w:ind w:left="464" w:right="0" w:hanging="210"/>
              <w:jc w:val="left"/>
              <w:rPr>
                <w:sz w:val="24"/>
              </w:rPr>
            </w:pPr>
            <w:r>
              <w:rPr>
                <w:spacing w:val="-4"/>
                <w:sz w:val="24"/>
              </w:rPr>
              <w:t>Y=50</w:t>
            </w:r>
          </w:p>
        </w:tc>
      </w:tr>
      <w:tr>
        <w:trPr>
          <w:trHeight w:val="1972" w:hRule="atLeast"/>
        </w:trPr>
        <w:tc>
          <w:tcPr>
            <w:tcW w:w="560" w:type="dxa"/>
          </w:tcPr>
          <w:p>
            <w:pPr>
              <w:pStyle w:val="TableParagraph"/>
              <w:rPr>
                <w:b/>
                <w:sz w:val="24"/>
              </w:rPr>
            </w:pPr>
          </w:p>
          <w:p>
            <w:pPr>
              <w:pStyle w:val="TableParagraph"/>
              <w:ind w:left="40" w:right="34"/>
              <w:jc w:val="center"/>
              <w:rPr>
                <w:sz w:val="24"/>
              </w:rPr>
            </w:pPr>
            <w:r>
              <w:rPr>
                <w:spacing w:val="-10"/>
                <w:sz w:val="24"/>
              </w:rPr>
              <w:t>8</w:t>
            </w:r>
          </w:p>
        </w:tc>
        <w:tc>
          <w:tcPr>
            <w:tcW w:w="1349" w:type="dxa"/>
            <w:vMerge w:val="restart"/>
          </w:tcPr>
          <w:p>
            <w:pPr>
              <w:pStyle w:val="TableParagraph"/>
              <w:rPr>
                <w:rFonts w:ascii="Times New Roman"/>
                <w:sz w:val="22"/>
              </w:rPr>
            </w:pPr>
          </w:p>
        </w:tc>
        <w:tc>
          <w:tcPr>
            <w:tcW w:w="1057" w:type="dxa"/>
          </w:tcPr>
          <w:p>
            <w:pPr>
              <w:pStyle w:val="TableParagraph"/>
              <w:rPr>
                <w:b/>
                <w:sz w:val="24"/>
              </w:rPr>
            </w:pPr>
          </w:p>
          <w:p>
            <w:pPr>
              <w:pStyle w:val="TableParagraph"/>
              <w:spacing w:before="280"/>
              <w:rPr>
                <w:b/>
                <w:sz w:val="24"/>
              </w:rPr>
            </w:pPr>
          </w:p>
          <w:p>
            <w:pPr>
              <w:pStyle w:val="TableParagraph"/>
              <w:ind w:left="107"/>
              <w:rPr>
                <w:sz w:val="24"/>
              </w:rPr>
            </w:pPr>
            <w:r>
              <w:rPr>
                <w:sz w:val="24"/>
              </w:rPr>
              <w:t>RE</w:t>
            </w:r>
            <w:r>
              <w:rPr>
                <w:spacing w:val="-1"/>
                <w:sz w:val="24"/>
              </w:rPr>
              <w:t> </w:t>
            </w:r>
            <w:r>
              <w:rPr>
                <w:spacing w:val="-5"/>
                <w:sz w:val="24"/>
              </w:rPr>
              <w:t>4.3</w:t>
            </w:r>
          </w:p>
        </w:tc>
        <w:tc>
          <w:tcPr>
            <w:tcW w:w="1260" w:type="dxa"/>
          </w:tcPr>
          <w:p>
            <w:pPr>
              <w:pStyle w:val="TableParagraph"/>
              <w:spacing w:before="281"/>
              <w:rPr>
                <w:b/>
                <w:sz w:val="24"/>
              </w:rPr>
            </w:pPr>
          </w:p>
          <w:p>
            <w:pPr>
              <w:pStyle w:val="TableParagraph"/>
              <w:ind w:left="106" w:right="122"/>
              <w:rPr>
                <w:sz w:val="24"/>
              </w:rPr>
            </w:pPr>
            <w:r>
              <w:rPr>
                <w:spacing w:val="-2"/>
                <w:sz w:val="24"/>
              </w:rPr>
              <w:t>Financia </w:t>
            </w:r>
            <w:r>
              <w:rPr>
                <w:spacing w:val="-10"/>
                <w:sz w:val="24"/>
              </w:rPr>
              <w:t>l </w:t>
            </w:r>
            <w:r>
              <w:rPr>
                <w:spacing w:val="-2"/>
                <w:sz w:val="24"/>
              </w:rPr>
              <w:t>Institute</w:t>
            </w:r>
          </w:p>
        </w:tc>
        <w:tc>
          <w:tcPr>
            <w:tcW w:w="2679" w:type="dxa"/>
          </w:tcPr>
          <w:p>
            <w:pPr>
              <w:pStyle w:val="TableParagraph"/>
              <w:ind w:left="66" w:right="99"/>
              <w:jc w:val="both"/>
              <w:rPr>
                <w:sz w:val="24"/>
              </w:rPr>
            </w:pPr>
            <w:r>
              <w:rPr>
                <w:sz w:val="24"/>
              </w:rPr>
              <w:t>Institutes devoted to the study </w:t>
            </w:r>
            <w:r>
              <w:rPr>
                <w:sz w:val="24"/>
              </w:rPr>
              <w:t>of </w:t>
            </w:r>
            <w:r>
              <w:rPr>
                <w:spacing w:val="-2"/>
                <w:sz w:val="24"/>
              </w:rPr>
              <w:t>Financial,</w:t>
            </w:r>
            <w:r>
              <w:rPr>
                <w:spacing w:val="-14"/>
                <w:sz w:val="24"/>
              </w:rPr>
              <w:t> </w:t>
            </w:r>
            <w:r>
              <w:rPr>
                <w:spacing w:val="-2"/>
                <w:sz w:val="24"/>
              </w:rPr>
              <w:t>Economics </w:t>
            </w:r>
            <w:r>
              <w:rPr>
                <w:sz w:val="24"/>
              </w:rPr>
              <w:t>and such other field with/without</w:t>
            </w:r>
            <w:r>
              <w:rPr>
                <w:spacing w:val="45"/>
                <w:sz w:val="24"/>
              </w:rPr>
              <w:t>  </w:t>
            </w:r>
            <w:r>
              <w:rPr>
                <w:spacing w:val="-2"/>
                <w:sz w:val="24"/>
              </w:rPr>
              <w:t>hostel</w:t>
            </w:r>
          </w:p>
          <w:p>
            <w:pPr>
              <w:pStyle w:val="TableParagraph"/>
              <w:spacing w:line="284" w:lineRule="exact"/>
              <w:ind w:left="66" w:right="100"/>
              <w:jc w:val="both"/>
              <w:rPr>
                <w:sz w:val="24"/>
              </w:rPr>
            </w:pPr>
            <w:r>
              <w:rPr>
                <w:sz w:val="24"/>
              </w:rPr>
              <w:t>facilities and art </w:t>
            </w:r>
            <w:r>
              <w:rPr>
                <w:sz w:val="24"/>
              </w:rPr>
              <w:t>and culture related uses</w:t>
            </w:r>
          </w:p>
        </w:tc>
        <w:tc>
          <w:tcPr>
            <w:tcW w:w="2094" w:type="dxa"/>
          </w:tcPr>
          <w:p>
            <w:pPr>
              <w:pStyle w:val="TableParagraph"/>
              <w:tabs>
                <w:tab w:pos="1512" w:val="left" w:leader="none"/>
              </w:tabs>
              <w:ind w:left="94" w:right="57" w:firstLine="12"/>
              <w:rPr>
                <w:sz w:val="24"/>
              </w:rPr>
            </w:pPr>
            <w:r>
              <w:rPr>
                <w:sz w:val="24"/>
              </w:rPr>
              <w:t>Sports Center, </w:t>
            </w:r>
            <w:r>
              <w:rPr>
                <w:spacing w:val="-2"/>
                <w:sz w:val="24"/>
              </w:rPr>
              <w:t>Gymnasium, Canteen,</w:t>
            </w:r>
            <w:r>
              <w:rPr>
                <w:spacing w:val="80"/>
                <w:sz w:val="24"/>
              </w:rPr>
              <w:t> </w:t>
            </w:r>
            <w:r>
              <w:rPr>
                <w:spacing w:val="-2"/>
                <w:sz w:val="24"/>
              </w:rPr>
              <w:t>Banks,</w:t>
            </w:r>
            <w:r>
              <w:rPr>
                <w:sz w:val="24"/>
              </w:rPr>
              <w:tab/>
            </w:r>
            <w:r>
              <w:rPr>
                <w:spacing w:val="-4"/>
                <w:sz w:val="24"/>
              </w:rPr>
              <w:t>Post </w:t>
            </w:r>
            <w:r>
              <w:rPr>
                <w:spacing w:val="-2"/>
                <w:sz w:val="24"/>
              </w:rPr>
              <w:t>Office,</w:t>
            </w:r>
          </w:p>
          <w:p>
            <w:pPr>
              <w:pStyle w:val="TableParagraph"/>
              <w:spacing w:line="284" w:lineRule="exact"/>
              <w:ind w:left="106" w:right="55"/>
              <w:rPr>
                <w:sz w:val="24"/>
              </w:rPr>
            </w:pPr>
            <w:r>
              <w:rPr>
                <w:spacing w:val="-2"/>
                <w:sz w:val="24"/>
              </w:rPr>
              <w:t>Dispensary, Shops.</w:t>
            </w:r>
          </w:p>
        </w:tc>
        <w:tc>
          <w:tcPr>
            <w:tcW w:w="1306" w:type="dxa"/>
          </w:tcPr>
          <w:p>
            <w:pPr>
              <w:pStyle w:val="TableParagraph"/>
              <w:spacing w:line="281" w:lineRule="exact"/>
              <w:ind w:left="106"/>
              <w:rPr>
                <w:sz w:val="24"/>
              </w:rPr>
            </w:pPr>
            <w:r>
              <w:rPr>
                <w:sz w:val="24"/>
              </w:rPr>
              <w:t>1 or 2 </w:t>
            </w:r>
            <w:r>
              <w:rPr>
                <w:spacing w:val="-5"/>
                <w:sz w:val="24"/>
              </w:rPr>
              <w:t>or</w:t>
            </w:r>
          </w:p>
          <w:p>
            <w:pPr>
              <w:pStyle w:val="TableParagraph"/>
              <w:spacing w:line="281" w:lineRule="exact" w:before="1"/>
              <w:ind w:left="106"/>
              <w:rPr>
                <w:sz w:val="24"/>
              </w:rPr>
            </w:pPr>
            <w:r>
              <w:rPr>
                <w:spacing w:val="-10"/>
                <w:sz w:val="24"/>
              </w:rPr>
              <w:t>3</w:t>
            </w:r>
          </w:p>
          <w:p>
            <w:pPr>
              <w:pStyle w:val="TableParagraph"/>
              <w:spacing w:line="281" w:lineRule="exact"/>
              <w:ind w:left="106"/>
              <w:rPr>
                <w:sz w:val="24"/>
              </w:rPr>
            </w:pPr>
            <w:r>
              <w:rPr>
                <w:sz w:val="24"/>
              </w:rPr>
              <w:t>Zb</w:t>
            </w:r>
            <w:r>
              <w:rPr>
                <w:spacing w:val="-1"/>
                <w:sz w:val="24"/>
              </w:rPr>
              <w:t> </w:t>
            </w:r>
            <w:r>
              <w:rPr>
                <w:sz w:val="24"/>
              </w:rPr>
              <w:t>= </w:t>
            </w:r>
            <w:r>
              <w:rPr>
                <w:spacing w:val="-5"/>
                <w:sz w:val="24"/>
              </w:rPr>
              <w:t>20</w:t>
            </w:r>
          </w:p>
          <w:p>
            <w:pPr>
              <w:pStyle w:val="TableParagraph"/>
              <w:ind w:left="180" w:right="278"/>
              <w:rPr>
                <w:sz w:val="24"/>
              </w:rPr>
            </w:pPr>
            <w:r>
              <w:rPr>
                <w:sz w:val="24"/>
              </w:rPr>
              <w:t>In</w:t>
            </w:r>
            <w:r>
              <w:rPr>
                <w:spacing w:val="-20"/>
                <w:sz w:val="24"/>
              </w:rPr>
              <w:t> </w:t>
            </w:r>
            <w:r>
              <w:rPr>
                <w:sz w:val="24"/>
              </w:rPr>
              <w:t>case of 3</w:t>
            </w:r>
          </w:p>
          <w:p>
            <w:pPr>
              <w:pStyle w:val="TableParagraph"/>
              <w:numPr>
                <w:ilvl w:val="0"/>
                <w:numId w:val="39"/>
              </w:numPr>
              <w:tabs>
                <w:tab w:pos="464" w:val="left" w:leader="none"/>
              </w:tabs>
              <w:spacing w:line="240" w:lineRule="auto" w:before="0" w:after="0"/>
              <w:ind w:left="464" w:right="0" w:hanging="210"/>
              <w:jc w:val="left"/>
              <w:rPr>
                <w:sz w:val="24"/>
              </w:rPr>
            </w:pPr>
            <w:r>
              <w:rPr>
                <w:spacing w:val="-4"/>
                <w:sz w:val="24"/>
              </w:rPr>
              <w:t>X=50</w:t>
            </w:r>
          </w:p>
          <w:p>
            <w:pPr>
              <w:pStyle w:val="TableParagraph"/>
              <w:numPr>
                <w:ilvl w:val="0"/>
                <w:numId w:val="39"/>
              </w:numPr>
              <w:tabs>
                <w:tab w:pos="464" w:val="left" w:leader="none"/>
              </w:tabs>
              <w:spacing w:line="261" w:lineRule="exact" w:before="2" w:after="0"/>
              <w:ind w:left="464" w:right="0" w:hanging="210"/>
              <w:jc w:val="left"/>
              <w:rPr>
                <w:sz w:val="24"/>
              </w:rPr>
            </w:pPr>
            <w:r>
              <w:rPr>
                <w:spacing w:val="-4"/>
                <w:sz w:val="24"/>
              </w:rPr>
              <w:t>Y=50</w:t>
            </w:r>
          </w:p>
        </w:tc>
      </w:tr>
      <w:tr>
        <w:trPr>
          <w:trHeight w:val="2249" w:hRule="atLeast"/>
        </w:trPr>
        <w:tc>
          <w:tcPr>
            <w:tcW w:w="560" w:type="dxa"/>
          </w:tcPr>
          <w:p>
            <w:pPr>
              <w:pStyle w:val="TableParagraph"/>
              <w:spacing w:before="275"/>
              <w:ind w:left="40" w:right="34"/>
              <w:jc w:val="center"/>
              <w:rPr>
                <w:sz w:val="24"/>
              </w:rPr>
            </w:pPr>
            <w:r>
              <w:rPr>
                <w:spacing w:val="-10"/>
                <w:sz w:val="24"/>
              </w:rPr>
              <w:t>9</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rPr>
                <w:b/>
                <w:sz w:val="24"/>
              </w:rPr>
            </w:pPr>
          </w:p>
          <w:p>
            <w:pPr>
              <w:pStyle w:val="TableParagraph"/>
              <w:spacing w:before="136"/>
              <w:rPr>
                <w:b/>
                <w:sz w:val="24"/>
              </w:rPr>
            </w:pPr>
          </w:p>
          <w:p>
            <w:pPr>
              <w:pStyle w:val="TableParagraph"/>
              <w:ind w:left="107"/>
              <w:rPr>
                <w:sz w:val="24"/>
              </w:rPr>
            </w:pPr>
            <w:r>
              <w:rPr>
                <w:sz w:val="24"/>
              </w:rPr>
              <w:t>RE</w:t>
            </w:r>
            <w:r>
              <w:rPr>
                <w:spacing w:val="-1"/>
                <w:sz w:val="24"/>
              </w:rPr>
              <w:t> </w:t>
            </w:r>
            <w:r>
              <w:rPr>
                <w:spacing w:val="-5"/>
                <w:sz w:val="24"/>
              </w:rPr>
              <w:t>4.4</w:t>
            </w:r>
          </w:p>
        </w:tc>
        <w:tc>
          <w:tcPr>
            <w:tcW w:w="1260" w:type="dxa"/>
          </w:tcPr>
          <w:p>
            <w:pPr>
              <w:pStyle w:val="TableParagraph"/>
              <w:rPr>
                <w:b/>
                <w:sz w:val="24"/>
              </w:rPr>
            </w:pPr>
          </w:p>
          <w:p>
            <w:pPr>
              <w:pStyle w:val="TableParagraph"/>
              <w:spacing w:before="137"/>
              <w:rPr>
                <w:b/>
                <w:sz w:val="24"/>
              </w:rPr>
            </w:pPr>
          </w:p>
          <w:p>
            <w:pPr>
              <w:pStyle w:val="TableParagraph"/>
              <w:ind w:left="106" w:right="103"/>
              <w:rPr>
                <w:sz w:val="24"/>
              </w:rPr>
            </w:pPr>
            <w:r>
              <w:rPr>
                <w:spacing w:val="-2"/>
                <w:sz w:val="24"/>
              </w:rPr>
              <w:t>Other Institute </w:t>
            </w:r>
            <w:r>
              <w:rPr>
                <w:spacing w:val="-10"/>
                <w:sz w:val="24"/>
              </w:rPr>
              <w:t>s</w:t>
            </w:r>
          </w:p>
        </w:tc>
        <w:tc>
          <w:tcPr>
            <w:tcW w:w="2679" w:type="dxa"/>
          </w:tcPr>
          <w:p>
            <w:pPr>
              <w:pStyle w:val="TableParagraph"/>
              <w:tabs>
                <w:tab w:pos="1289" w:val="left" w:leader="none"/>
                <w:tab w:pos="1410" w:val="left" w:leader="none"/>
                <w:tab w:pos="1524" w:val="left" w:leader="none"/>
                <w:tab w:pos="1861" w:val="left" w:leader="none"/>
                <w:tab w:pos="2007" w:val="left" w:leader="none"/>
                <w:tab w:pos="2133" w:val="left" w:leader="none"/>
              </w:tabs>
              <w:ind w:left="106" w:right="97"/>
              <w:rPr>
                <w:sz w:val="24"/>
              </w:rPr>
            </w:pPr>
            <w:r>
              <w:rPr>
                <w:spacing w:val="-2"/>
                <w:sz w:val="24"/>
              </w:rPr>
              <w:t>Institutes</w:t>
            </w:r>
            <w:r>
              <w:rPr>
                <w:sz w:val="24"/>
              </w:rPr>
              <w:tab/>
              <w:tab/>
              <w:tab/>
            </w:r>
            <w:r>
              <w:rPr>
                <w:spacing w:val="-4"/>
                <w:sz w:val="24"/>
              </w:rPr>
              <w:t>for</w:t>
            </w:r>
            <w:r>
              <w:rPr>
                <w:sz w:val="24"/>
              </w:rPr>
              <w:tab/>
              <w:tab/>
              <w:tab/>
            </w:r>
            <w:r>
              <w:rPr>
                <w:spacing w:val="-4"/>
                <w:sz w:val="24"/>
              </w:rPr>
              <w:t>Art, </w:t>
            </w:r>
            <w:r>
              <w:rPr>
                <w:spacing w:val="-2"/>
                <w:sz w:val="24"/>
              </w:rPr>
              <w:t>Culture,</w:t>
            </w:r>
            <w:r>
              <w:rPr>
                <w:sz w:val="24"/>
              </w:rPr>
              <w:tab/>
            </w:r>
            <w:r>
              <w:rPr>
                <w:spacing w:val="-4"/>
                <w:sz w:val="24"/>
              </w:rPr>
              <w:t>Fine</w:t>
            </w:r>
            <w:r>
              <w:rPr>
                <w:sz w:val="24"/>
              </w:rPr>
              <w:tab/>
              <w:tab/>
            </w:r>
            <w:r>
              <w:rPr>
                <w:spacing w:val="-4"/>
                <w:sz w:val="24"/>
              </w:rPr>
              <w:t>Arts, </w:t>
            </w:r>
            <w:r>
              <w:rPr>
                <w:spacing w:val="-2"/>
                <w:sz w:val="24"/>
              </w:rPr>
              <w:t>Social</w:t>
            </w:r>
            <w:r>
              <w:rPr>
                <w:sz w:val="24"/>
              </w:rPr>
              <w:tab/>
              <w:tab/>
            </w:r>
            <w:r>
              <w:rPr>
                <w:spacing w:val="-2"/>
                <w:sz w:val="24"/>
              </w:rPr>
              <w:t>education with/without</w:t>
            </w:r>
            <w:r>
              <w:rPr>
                <w:sz w:val="24"/>
              </w:rPr>
              <w:tab/>
            </w:r>
            <w:r>
              <w:rPr>
                <w:spacing w:val="-2"/>
                <w:sz w:val="24"/>
              </w:rPr>
              <w:t>hostel </w:t>
            </w:r>
            <w:r>
              <w:rPr>
                <w:sz w:val="24"/>
              </w:rPr>
              <w:t>facilities and</w:t>
            </w:r>
            <w:r>
              <w:rPr>
                <w:spacing w:val="-1"/>
                <w:sz w:val="24"/>
              </w:rPr>
              <w:t> </w:t>
            </w:r>
            <w:r>
              <w:rPr>
                <w:sz w:val="24"/>
              </w:rPr>
              <w:t>art</w:t>
            </w:r>
            <w:r>
              <w:rPr>
                <w:spacing w:val="-3"/>
                <w:sz w:val="24"/>
              </w:rPr>
              <w:t> </w:t>
            </w:r>
            <w:r>
              <w:rPr>
                <w:sz w:val="24"/>
              </w:rPr>
              <w:t>and culture related uses Research</w:t>
            </w:r>
            <w:r>
              <w:rPr>
                <w:spacing w:val="40"/>
                <w:sz w:val="24"/>
              </w:rPr>
              <w:t> </w:t>
            </w:r>
            <w:r>
              <w:rPr>
                <w:sz w:val="24"/>
              </w:rPr>
              <w:t>&amp;</w:t>
            </w:r>
            <w:r>
              <w:rPr>
                <w:spacing w:val="40"/>
                <w:sz w:val="24"/>
              </w:rPr>
              <w:t> </w:t>
            </w:r>
            <w:r>
              <w:rPr>
                <w:sz w:val="24"/>
              </w:rPr>
              <w:t>Testing</w:t>
            </w:r>
          </w:p>
          <w:p>
            <w:pPr>
              <w:pStyle w:val="TableParagraph"/>
              <w:spacing w:line="261" w:lineRule="exact"/>
              <w:ind w:left="106"/>
              <w:rPr>
                <w:sz w:val="24"/>
              </w:rPr>
            </w:pPr>
            <w:r>
              <w:rPr>
                <w:spacing w:val="-2"/>
                <w:sz w:val="24"/>
              </w:rPr>
              <w:t>laboratories.</w:t>
            </w:r>
          </w:p>
        </w:tc>
        <w:tc>
          <w:tcPr>
            <w:tcW w:w="2094" w:type="dxa"/>
          </w:tcPr>
          <w:p>
            <w:pPr>
              <w:pStyle w:val="TableParagraph"/>
              <w:tabs>
                <w:tab w:pos="1512" w:val="left" w:leader="none"/>
              </w:tabs>
              <w:ind w:left="94" w:right="57" w:firstLine="12"/>
              <w:rPr>
                <w:sz w:val="24"/>
              </w:rPr>
            </w:pPr>
            <w:r>
              <w:rPr>
                <w:sz w:val="24"/>
              </w:rPr>
              <w:t>Sports Center, </w:t>
            </w:r>
            <w:r>
              <w:rPr>
                <w:spacing w:val="-2"/>
                <w:sz w:val="24"/>
              </w:rPr>
              <w:t>Gymnasium, Canteen,</w:t>
            </w:r>
            <w:r>
              <w:rPr>
                <w:spacing w:val="80"/>
                <w:sz w:val="24"/>
              </w:rPr>
              <w:t> </w:t>
            </w:r>
            <w:r>
              <w:rPr>
                <w:spacing w:val="-2"/>
                <w:sz w:val="24"/>
              </w:rPr>
              <w:t>Banks,</w:t>
            </w:r>
            <w:r>
              <w:rPr>
                <w:sz w:val="24"/>
              </w:rPr>
              <w:tab/>
            </w:r>
            <w:r>
              <w:rPr>
                <w:spacing w:val="-4"/>
                <w:sz w:val="24"/>
              </w:rPr>
              <w:t>Post </w:t>
            </w:r>
            <w:r>
              <w:rPr>
                <w:spacing w:val="-2"/>
                <w:sz w:val="24"/>
              </w:rPr>
              <w:t>Office, Dispensary, Shops.</w:t>
            </w:r>
          </w:p>
        </w:tc>
        <w:tc>
          <w:tcPr>
            <w:tcW w:w="1306" w:type="dxa"/>
          </w:tcPr>
          <w:p>
            <w:pPr>
              <w:pStyle w:val="TableParagraph"/>
              <w:spacing w:line="276" w:lineRule="exact"/>
              <w:ind w:left="106"/>
              <w:rPr>
                <w:sz w:val="24"/>
              </w:rPr>
            </w:pPr>
            <w:r>
              <w:rPr>
                <w:sz w:val="24"/>
              </w:rPr>
              <w:t>1 or 2 </w:t>
            </w:r>
            <w:r>
              <w:rPr>
                <w:spacing w:val="-5"/>
                <w:sz w:val="24"/>
              </w:rPr>
              <w:t>or</w:t>
            </w:r>
          </w:p>
          <w:p>
            <w:pPr>
              <w:pStyle w:val="TableParagraph"/>
              <w:spacing w:line="281" w:lineRule="exact"/>
              <w:ind w:left="106"/>
              <w:rPr>
                <w:sz w:val="24"/>
              </w:rPr>
            </w:pPr>
            <w:r>
              <w:rPr>
                <w:spacing w:val="-10"/>
                <w:sz w:val="24"/>
              </w:rPr>
              <w:t>3</w:t>
            </w:r>
          </w:p>
          <w:p>
            <w:pPr>
              <w:pStyle w:val="TableParagraph"/>
              <w:spacing w:line="281" w:lineRule="exact" w:before="1"/>
              <w:ind w:left="106"/>
              <w:rPr>
                <w:sz w:val="24"/>
              </w:rPr>
            </w:pPr>
            <w:r>
              <w:rPr>
                <w:sz w:val="24"/>
              </w:rPr>
              <w:t>Zb</w:t>
            </w:r>
            <w:r>
              <w:rPr>
                <w:spacing w:val="-1"/>
                <w:sz w:val="24"/>
              </w:rPr>
              <w:t> </w:t>
            </w:r>
            <w:r>
              <w:rPr>
                <w:sz w:val="24"/>
              </w:rPr>
              <w:t>= </w:t>
            </w:r>
            <w:r>
              <w:rPr>
                <w:spacing w:val="-5"/>
                <w:sz w:val="24"/>
              </w:rPr>
              <w:t>20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40"/>
              </w:numPr>
              <w:tabs>
                <w:tab w:pos="464" w:val="left" w:leader="none"/>
              </w:tabs>
              <w:spacing w:line="281" w:lineRule="exact" w:before="0" w:after="0"/>
              <w:ind w:left="464" w:right="0" w:hanging="210"/>
              <w:jc w:val="left"/>
              <w:rPr>
                <w:sz w:val="24"/>
              </w:rPr>
            </w:pPr>
            <w:r>
              <w:rPr>
                <w:spacing w:val="-4"/>
                <w:sz w:val="24"/>
              </w:rPr>
              <w:t>X=50</w:t>
            </w:r>
          </w:p>
          <w:p>
            <w:pPr>
              <w:pStyle w:val="TableParagraph"/>
              <w:numPr>
                <w:ilvl w:val="0"/>
                <w:numId w:val="40"/>
              </w:numPr>
              <w:tabs>
                <w:tab w:pos="464" w:val="left" w:leader="none"/>
              </w:tabs>
              <w:spacing w:line="281" w:lineRule="exact" w:before="0" w:after="0"/>
              <w:ind w:left="464" w:right="0" w:hanging="210"/>
              <w:jc w:val="left"/>
              <w:rPr>
                <w:sz w:val="24"/>
              </w:rPr>
            </w:pPr>
            <w:r>
              <w:rPr>
                <w:spacing w:val="-4"/>
                <w:sz w:val="24"/>
              </w:rPr>
              <w:t>Y=50</w:t>
            </w:r>
          </w:p>
        </w:tc>
      </w:tr>
      <w:tr>
        <w:trPr>
          <w:trHeight w:val="3100"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10</w:t>
            </w:r>
          </w:p>
        </w:tc>
        <w:tc>
          <w:tcPr>
            <w:tcW w:w="1349" w:type="dxa"/>
            <w:vMerge w:val="restart"/>
          </w:tcPr>
          <w:p>
            <w:pPr>
              <w:pStyle w:val="TableParagraph"/>
              <w:rPr>
                <w:rFonts w:ascii="Times New Roman"/>
                <w:sz w:val="22"/>
              </w:rPr>
            </w:pPr>
          </w:p>
        </w:tc>
        <w:tc>
          <w:tcPr>
            <w:tcW w:w="1057" w:type="dxa"/>
          </w:tcPr>
          <w:p>
            <w:pPr>
              <w:pStyle w:val="TableParagraph"/>
              <w:spacing w:before="281"/>
              <w:rPr>
                <w:b/>
                <w:sz w:val="24"/>
              </w:rPr>
            </w:pPr>
          </w:p>
          <w:p>
            <w:pPr>
              <w:pStyle w:val="TableParagraph"/>
              <w:ind w:left="107"/>
              <w:rPr>
                <w:sz w:val="24"/>
              </w:rPr>
            </w:pPr>
            <w:r>
              <w:rPr>
                <w:spacing w:val="-2"/>
                <w:sz w:val="24"/>
              </w:rPr>
              <w:t>RH1.1</w:t>
            </w:r>
          </w:p>
        </w:tc>
        <w:tc>
          <w:tcPr>
            <w:tcW w:w="1260" w:type="dxa"/>
          </w:tcPr>
          <w:p>
            <w:pPr>
              <w:pStyle w:val="TableParagraph"/>
              <w:rPr>
                <w:b/>
                <w:sz w:val="24"/>
              </w:rPr>
            </w:pPr>
          </w:p>
          <w:p>
            <w:pPr>
              <w:pStyle w:val="TableParagraph"/>
              <w:ind w:left="106" w:right="40"/>
              <w:rPr>
                <w:sz w:val="24"/>
              </w:rPr>
            </w:pPr>
            <w:r>
              <w:rPr>
                <w:spacing w:val="-2"/>
                <w:sz w:val="24"/>
              </w:rPr>
              <w:t>Municipa </w:t>
            </w:r>
            <w:r>
              <w:rPr>
                <w:spacing w:val="-10"/>
                <w:sz w:val="24"/>
              </w:rPr>
              <w:t>l </w:t>
            </w:r>
            <w:r>
              <w:rPr>
                <w:spacing w:val="-2"/>
                <w:sz w:val="24"/>
              </w:rPr>
              <w:t>Dispensa </w:t>
            </w:r>
            <w:r>
              <w:rPr>
                <w:spacing w:val="-4"/>
                <w:sz w:val="24"/>
              </w:rPr>
              <w:t>ry/ </w:t>
            </w:r>
            <w:r>
              <w:rPr>
                <w:spacing w:val="-2"/>
                <w:sz w:val="24"/>
              </w:rPr>
              <w:t>Health </w:t>
            </w:r>
            <w:r>
              <w:rPr>
                <w:spacing w:val="-4"/>
                <w:sz w:val="24"/>
              </w:rPr>
              <w:t>Post</w:t>
            </w:r>
          </w:p>
        </w:tc>
        <w:tc>
          <w:tcPr>
            <w:tcW w:w="2679" w:type="dxa"/>
          </w:tcPr>
          <w:p>
            <w:pPr>
              <w:pStyle w:val="TableParagraph"/>
              <w:tabs>
                <w:tab w:pos="1709" w:val="left" w:leader="none"/>
                <w:tab w:pos="2057" w:val="left" w:leader="none"/>
              </w:tabs>
              <w:ind w:left="106" w:right="98"/>
              <w:jc w:val="both"/>
              <w:rPr>
                <w:sz w:val="24"/>
              </w:rPr>
            </w:pPr>
            <w:r>
              <w:rPr>
                <w:sz w:val="24"/>
              </w:rPr>
              <w:t>Dispensary, Health Post, Urban Primary </w:t>
            </w:r>
            <w:r>
              <w:rPr>
                <w:spacing w:val="-2"/>
                <w:sz w:val="24"/>
              </w:rPr>
              <w:t>Health</w:t>
            </w:r>
            <w:r>
              <w:rPr>
                <w:sz w:val="24"/>
              </w:rPr>
              <w:tab/>
            </w:r>
            <w:r>
              <w:rPr>
                <w:spacing w:val="-2"/>
                <w:sz w:val="24"/>
              </w:rPr>
              <w:t>Centre, </w:t>
            </w:r>
            <w:r>
              <w:rPr>
                <w:sz w:val="24"/>
              </w:rPr>
              <w:t>Urban Community </w:t>
            </w:r>
            <w:r>
              <w:rPr>
                <w:spacing w:val="-2"/>
                <w:sz w:val="24"/>
              </w:rPr>
              <w:t>Health</w:t>
            </w:r>
            <w:r>
              <w:rPr>
                <w:sz w:val="24"/>
              </w:rPr>
              <w:tab/>
            </w:r>
            <w:r>
              <w:rPr>
                <w:spacing w:val="-2"/>
                <w:sz w:val="24"/>
              </w:rPr>
              <w:t>Centre, Pathology</w:t>
            </w:r>
            <w:r>
              <w:rPr>
                <w:sz w:val="24"/>
              </w:rPr>
              <w:tab/>
              <w:tab/>
            </w:r>
            <w:r>
              <w:rPr>
                <w:spacing w:val="-4"/>
                <w:sz w:val="24"/>
              </w:rPr>
              <w:t>Lab, </w:t>
            </w:r>
            <w:r>
              <w:rPr>
                <w:sz w:val="24"/>
              </w:rPr>
              <w:t>Physiotherapy etc.</w:t>
            </w:r>
          </w:p>
        </w:tc>
        <w:tc>
          <w:tcPr>
            <w:tcW w:w="2094" w:type="dxa"/>
          </w:tcPr>
          <w:p>
            <w:pPr>
              <w:pStyle w:val="TableParagraph"/>
              <w:ind w:left="106" w:right="78"/>
              <w:rPr>
                <w:sz w:val="24"/>
              </w:rPr>
            </w:pPr>
            <w:r>
              <w:rPr>
                <w:sz w:val="24"/>
              </w:rPr>
              <w:t>Nurses</w:t>
            </w:r>
            <w:r>
              <w:rPr>
                <w:spacing w:val="40"/>
                <w:sz w:val="24"/>
              </w:rPr>
              <w:t> </w:t>
            </w:r>
            <w:r>
              <w:rPr>
                <w:sz w:val="24"/>
              </w:rPr>
              <w:t>Quarter </w:t>
            </w:r>
            <w:r>
              <w:rPr>
                <w:spacing w:val="-2"/>
                <w:sz w:val="24"/>
              </w:rPr>
              <w:t>Post-Partum center,</w:t>
            </w:r>
            <w:r>
              <w:rPr>
                <w:spacing w:val="80"/>
                <w:sz w:val="24"/>
              </w:rPr>
              <w:t> </w:t>
            </w:r>
            <w:r>
              <w:rPr>
                <w:spacing w:val="-2"/>
                <w:sz w:val="24"/>
              </w:rPr>
              <w:t>Recovery centers,</w:t>
            </w:r>
            <w:r>
              <w:rPr>
                <w:spacing w:val="-18"/>
                <w:sz w:val="24"/>
              </w:rPr>
              <w:t> </w:t>
            </w:r>
            <w:r>
              <w:rPr>
                <w:spacing w:val="-2"/>
                <w:sz w:val="24"/>
              </w:rPr>
              <w:t>Generic Medicine dispensing </w:t>
            </w:r>
            <w:r>
              <w:rPr>
                <w:sz w:val="24"/>
              </w:rPr>
              <w:t>facility.</w:t>
            </w:r>
            <w:r>
              <w:rPr>
                <w:spacing w:val="26"/>
                <w:sz w:val="24"/>
              </w:rPr>
              <w:t> </w:t>
            </w:r>
            <w:r>
              <w:rPr>
                <w:sz w:val="24"/>
              </w:rPr>
              <w:t>Medical </w:t>
            </w:r>
            <w:r>
              <w:rPr>
                <w:spacing w:val="-2"/>
                <w:sz w:val="24"/>
              </w:rPr>
              <w:t>Stores/Shops,</w:t>
            </w:r>
          </w:p>
          <w:p>
            <w:pPr>
              <w:pStyle w:val="TableParagraph"/>
              <w:tabs>
                <w:tab w:pos="1416" w:val="left" w:leader="none"/>
              </w:tabs>
              <w:spacing w:line="280" w:lineRule="exact"/>
              <w:ind w:left="106" w:right="79"/>
              <w:rPr>
                <w:sz w:val="24"/>
              </w:rPr>
            </w:pPr>
            <w:r>
              <w:rPr>
                <w:spacing w:val="-2"/>
                <w:sz w:val="24"/>
              </w:rPr>
              <w:t>Public</w:t>
            </w:r>
            <w:r>
              <w:rPr>
                <w:sz w:val="24"/>
              </w:rPr>
              <w:tab/>
            </w:r>
            <w:r>
              <w:rPr>
                <w:spacing w:val="-2"/>
                <w:sz w:val="24"/>
              </w:rPr>
              <w:t>toilet facilities</w:t>
            </w:r>
          </w:p>
        </w:tc>
        <w:tc>
          <w:tcPr>
            <w:tcW w:w="1306" w:type="dxa"/>
          </w:tcPr>
          <w:p>
            <w:pPr>
              <w:pStyle w:val="TableParagraph"/>
              <w:spacing w:line="281" w:lineRule="exact"/>
              <w:ind w:left="106"/>
              <w:rPr>
                <w:sz w:val="24"/>
              </w:rPr>
            </w:pPr>
            <w:r>
              <w:rPr>
                <w:sz w:val="24"/>
              </w:rPr>
              <w:t>1 or 2 </w:t>
            </w:r>
            <w:r>
              <w:rPr>
                <w:spacing w:val="-5"/>
                <w:sz w:val="24"/>
              </w:rPr>
              <w:t>or</w:t>
            </w:r>
          </w:p>
          <w:p>
            <w:pPr>
              <w:pStyle w:val="TableParagraph"/>
              <w:spacing w:line="281" w:lineRule="exact" w:before="1"/>
              <w:ind w:left="106"/>
              <w:rPr>
                <w:sz w:val="24"/>
              </w:rPr>
            </w:pPr>
            <w:r>
              <w:rPr>
                <w:spacing w:val="-10"/>
                <w:sz w:val="24"/>
              </w:rPr>
              <w:t>3</w:t>
            </w:r>
          </w:p>
          <w:p>
            <w:pPr>
              <w:pStyle w:val="TableParagraph"/>
              <w:spacing w:line="281" w:lineRule="exact"/>
              <w:ind w:left="180"/>
              <w:rPr>
                <w:sz w:val="24"/>
              </w:rPr>
            </w:pPr>
            <w:r>
              <w:rPr>
                <w:sz w:val="24"/>
              </w:rPr>
              <w:t>Zb</w:t>
            </w:r>
            <w:r>
              <w:rPr>
                <w:spacing w:val="-1"/>
                <w:sz w:val="24"/>
              </w:rPr>
              <w:t> </w:t>
            </w:r>
            <w:r>
              <w:rPr>
                <w:spacing w:val="-5"/>
                <w:sz w:val="24"/>
              </w:rPr>
              <w:t>=30</w:t>
            </w:r>
          </w:p>
          <w:p>
            <w:pPr>
              <w:pStyle w:val="TableParagraph"/>
              <w:ind w:left="180" w:right="278"/>
              <w:rPr>
                <w:sz w:val="24"/>
              </w:rPr>
            </w:pPr>
            <w:r>
              <w:rPr>
                <w:sz w:val="24"/>
              </w:rPr>
              <w:t>In</w:t>
            </w:r>
            <w:r>
              <w:rPr>
                <w:spacing w:val="-20"/>
                <w:sz w:val="24"/>
              </w:rPr>
              <w:t> </w:t>
            </w:r>
            <w:r>
              <w:rPr>
                <w:sz w:val="24"/>
              </w:rPr>
              <w:t>case of 3</w:t>
            </w:r>
          </w:p>
          <w:p>
            <w:pPr>
              <w:pStyle w:val="TableParagraph"/>
              <w:ind w:left="106" w:right="98"/>
              <w:rPr>
                <w:sz w:val="24"/>
              </w:rPr>
            </w:pPr>
            <w:r>
              <w:rPr>
                <w:sz w:val="24"/>
              </w:rPr>
              <w:t>a)</w:t>
            </w:r>
            <w:r>
              <w:rPr>
                <w:spacing w:val="-19"/>
                <w:sz w:val="24"/>
              </w:rPr>
              <w:t> </w:t>
            </w:r>
            <w:r>
              <w:rPr>
                <w:sz w:val="24"/>
              </w:rPr>
              <w:t>X=</w:t>
            </w:r>
            <w:r>
              <w:rPr>
                <w:spacing w:val="-19"/>
                <w:sz w:val="24"/>
              </w:rPr>
              <w:t> </w:t>
            </w:r>
            <w:r>
              <w:rPr>
                <w:sz w:val="24"/>
              </w:rPr>
              <w:t>5</w:t>
            </w:r>
            <w:r>
              <w:rPr>
                <w:sz w:val="24"/>
              </w:rPr>
              <w:t>0</w:t>
            </w:r>
            <w:r>
              <w:rPr>
                <w:sz w:val="24"/>
              </w:rPr>
              <w:t> </w:t>
            </w:r>
            <w:r>
              <w:rPr>
                <w:spacing w:val="-2"/>
                <w:sz w:val="24"/>
              </w:rPr>
              <w:t>b)Y=40</w:t>
            </w:r>
          </w:p>
        </w:tc>
      </w:tr>
      <w:tr>
        <w:trPr>
          <w:trHeight w:val="1972" w:hRule="atLeast"/>
        </w:trPr>
        <w:tc>
          <w:tcPr>
            <w:tcW w:w="560" w:type="dxa"/>
          </w:tcPr>
          <w:p>
            <w:pPr>
              <w:pStyle w:val="TableParagraph"/>
              <w:rPr>
                <w:b/>
                <w:sz w:val="24"/>
              </w:rPr>
            </w:pPr>
          </w:p>
          <w:p>
            <w:pPr>
              <w:pStyle w:val="TableParagraph"/>
              <w:rPr>
                <w:b/>
                <w:sz w:val="24"/>
              </w:rPr>
            </w:pPr>
          </w:p>
          <w:p>
            <w:pPr>
              <w:pStyle w:val="TableParagraph"/>
              <w:spacing w:before="279"/>
              <w:rPr>
                <w:b/>
                <w:sz w:val="24"/>
              </w:rPr>
            </w:pPr>
          </w:p>
          <w:p>
            <w:pPr>
              <w:pStyle w:val="TableParagraph"/>
              <w:ind w:left="6" w:right="40"/>
              <w:jc w:val="center"/>
              <w:rPr>
                <w:sz w:val="24"/>
              </w:rPr>
            </w:pPr>
            <w:r>
              <w:rPr>
                <w:spacing w:val="-5"/>
                <w:sz w:val="24"/>
              </w:rPr>
              <w:t>11</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spacing w:before="280"/>
              <w:rPr>
                <w:b/>
                <w:sz w:val="24"/>
              </w:rPr>
            </w:pPr>
          </w:p>
          <w:p>
            <w:pPr>
              <w:pStyle w:val="TableParagraph"/>
              <w:ind w:left="107"/>
              <w:rPr>
                <w:sz w:val="24"/>
              </w:rPr>
            </w:pPr>
            <w:r>
              <w:rPr>
                <w:spacing w:val="-2"/>
                <w:sz w:val="24"/>
              </w:rPr>
              <w:t>RH1.2</w:t>
            </w:r>
          </w:p>
        </w:tc>
        <w:tc>
          <w:tcPr>
            <w:tcW w:w="1260" w:type="dxa"/>
          </w:tcPr>
          <w:p>
            <w:pPr>
              <w:pStyle w:val="TableParagraph"/>
              <w:rPr>
                <w:b/>
                <w:sz w:val="24"/>
              </w:rPr>
            </w:pPr>
          </w:p>
          <w:p>
            <w:pPr>
              <w:pStyle w:val="TableParagraph"/>
              <w:spacing w:before="280"/>
              <w:rPr>
                <w:b/>
                <w:sz w:val="24"/>
              </w:rPr>
            </w:pPr>
          </w:p>
          <w:p>
            <w:pPr>
              <w:pStyle w:val="TableParagraph"/>
              <w:ind w:left="46"/>
              <w:rPr>
                <w:sz w:val="24"/>
              </w:rPr>
            </w:pPr>
            <w:r>
              <w:rPr>
                <w:spacing w:val="-2"/>
                <w:sz w:val="24"/>
              </w:rPr>
              <w:t>Hospital</w:t>
            </w:r>
          </w:p>
        </w:tc>
        <w:tc>
          <w:tcPr>
            <w:tcW w:w="2679" w:type="dxa"/>
          </w:tcPr>
          <w:p>
            <w:pPr>
              <w:pStyle w:val="TableParagraph"/>
              <w:tabs>
                <w:tab w:pos="1815" w:val="left" w:leader="none"/>
              </w:tabs>
              <w:ind w:left="106" w:right="98"/>
              <w:rPr>
                <w:sz w:val="24"/>
              </w:rPr>
            </w:pPr>
            <w:r>
              <w:rPr>
                <w:spacing w:val="-2"/>
                <w:sz w:val="24"/>
              </w:rPr>
              <w:t>Hospital,</w:t>
            </w:r>
            <w:r>
              <w:rPr>
                <w:spacing w:val="40"/>
                <w:sz w:val="24"/>
              </w:rPr>
              <w:t> </w:t>
            </w:r>
            <w:r>
              <w:rPr>
                <w:spacing w:val="-2"/>
                <w:sz w:val="24"/>
              </w:rPr>
              <w:t>Dispensary, Maternity</w:t>
            </w:r>
            <w:r>
              <w:rPr>
                <w:sz w:val="24"/>
              </w:rPr>
              <w:tab/>
            </w:r>
            <w:r>
              <w:rPr>
                <w:spacing w:val="-4"/>
                <w:sz w:val="24"/>
              </w:rPr>
              <w:t>Home,</w:t>
            </w:r>
          </w:p>
          <w:p>
            <w:pPr>
              <w:pStyle w:val="TableParagraph"/>
              <w:ind w:left="106" w:right="100"/>
              <w:jc w:val="both"/>
              <w:rPr>
                <w:sz w:val="24"/>
              </w:rPr>
            </w:pPr>
            <w:r>
              <w:rPr>
                <w:sz w:val="24"/>
              </w:rPr>
              <w:t>Municipal </w:t>
            </w:r>
            <w:r>
              <w:rPr>
                <w:sz w:val="24"/>
              </w:rPr>
              <w:t>Health Facility, Diagnostic </w:t>
            </w:r>
            <w:r>
              <w:rPr>
                <w:spacing w:val="-2"/>
                <w:sz w:val="24"/>
              </w:rPr>
              <w:t>centre,</w:t>
            </w:r>
          </w:p>
          <w:p>
            <w:pPr>
              <w:pStyle w:val="TableParagraph"/>
              <w:spacing w:line="263" w:lineRule="exact"/>
              <w:ind w:left="106"/>
              <w:rPr>
                <w:sz w:val="24"/>
              </w:rPr>
            </w:pPr>
            <w:r>
              <w:rPr>
                <w:spacing w:val="-2"/>
                <w:sz w:val="24"/>
              </w:rPr>
              <w:t>Rehabilitation</w:t>
            </w:r>
          </w:p>
        </w:tc>
        <w:tc>
          <w:tcPr>
            <w:tcW w:w="2094" w:type="dxa"/>
          </w:tcPr>
          <w:p>
            <w:pPr>
              <w:pStyle w:val="TableParagraph"/>
              <w:spacing w:line="280" w:lineRule="exact"/>
              <w:ind w:left="106"/>
              <w:jc w:val="both"/>
              <w:rPr>
                <w:sz w:val="24"/>
              </w:rPr>
            </w:pPr>
            <w:r>
              <w:rPr>
                <w:sz w:val="24"/>
              </w:rPr>
              <w:t>Nurses</w:t>
            </w:r>
            <w:r>
              <w:rPr>
                <w:spacing w:val="75"/>
                <w:sz w:val="24"/>
              </w:rPr>
              <w:t>    </w:t>
            </w:r>
            <w:r>
              <w:rPr>
                <w:spacing w:val="-5"/>
                <w:sz w:val="24"/>
              </w:rPr>
              <w:t>and</w:t>
            </w:r>
          </w:p>
          <w:p>
            <w:pPr>
              <w:pStyle w:val="TableParagraph"/>
              <w:ind w:left="106" w:right="98"/>
              <w:jc w:val="both"/>
              <w:rPr>
                <w:sz w:val="24"/>
              </w:rPr>
            </w:pPr>
            <w:r>
              <w:rPr>
                <w:sz w:val="24"/>
              </w:rPr>
              <w:t>other </w:t>
            </w:r>
            <w:r>
              <w:rPr>
                <w:sz w:val="24"/>
              </w:rPr>
              <w:t>staff Quarters, Care taker Shelters, </w:t>
            </w:r>
            <w:r>
              <w:rPr>
                <w:spacing w:val="-2"/>
                <w:sz w:val="24"/>
              </w:rPr>
              <w:t>Generic</w:t>
            </w:r>
          </w:p>
          <w:p>
            <w:pPr>
              <w:pStyle w:val="TableParagraph"/>
              <w:spacing w:line="280" w:lineRule="exact"/>
              <w:ind w:left="106" w:right="55"/>
              <w:rPr>
                <w:sz w:val="24"/>
              </w:rPr>
            </w:pPr>
            <w:r>
              <w:rPr>
                <w:spacing w:val="-2"/>
                <w:sz w:val="24"/>
              </w:rPr>
              <w:t>Medicine dispensing</w:t>
            </w:r>
          </w:p>
        </w:tc>
        <w:tc>
          <w:tcPr>
            <w:tcW w:w="1306" w:type="dxa"/>
          </w:tcPr>
          <w:p>
            <w:pPr>
              <w:pStyle w:val="TableParagraph"/>
              <w:spacing w:line="280" w:lineRule="exact"/>
              <w:ind w:left="106"/>
              <w:rPr>
                <w:sz w:val="24"/>
              </w:rPr>
            </w:pPr>
            <w:r>
              <w:rPr>
                <w:sz w:val="24"/>
              </w:rPr>
              <w:t>1 or 2 </w:t>
            </w:r>
            <w:r>
              <w:rPr>
                <w:spacing w:val="-5"/>
                <w:sz w:val="24"/>
              </w:rPr>
              <w:t>or</w:t>
            </w:r>
          </w:p>
          <w:p>
            <w:pPr>
              <w:pStyle w:val="TableParagraph"/>
              <w:spacing w:line="281" w:lineRule="exact"/>
              <w:ind w:left="106"/>
              <w:rPr>
                <w:sz w:val="24"/>
              </w:rPr>
            </w:pPr>
            <w:r>
              <w:rPr>
                <w:spacing w:val="-10"/>
                <w:sz w:val="24"/>
              </w:rPr>
              <w:t>3</w:t>
            </w:r>
          </w:p>
          <w:p>
            <w:pPr>
              <w:pStyle w:val="TableParagraph"/>
              <w:spacing w:line="281" w:lineRule="exact"/>
              <w:ind w:left="180"/>
              <w:rPr>
                <w:sz w:val="24"/>
              </w:rPr>
            </w:pPr>
            <w:r>
              <w:rPr>
                <w:sz w:val="24"/>
              </w:rPr>
              <w:t>Zb</w:t>
            </w:r>
            <w:r>
              <w:rPr>
                <w:spacing w:val="-1"/>
                <w:sz w:val="24"/>
              </w:rPr>
              <w:t> </w:t>
            </w:r>
            <w:r>
              <w:rPr>
                <w:spacing w:val="-5"/>
                <w:sz w:val="24"/>
              </w:rPr>
              <w:t>=30</w:t>
            </w:r>
          </w:p>
          <w:p>
            <w:pPr>
              <w:pStyle w:val="TableParagraph"/>
              <w:rPr>
                <w:b/>
                <w:sz w:val="24"/>
              </w:rPr>
            </w:pPr>
          </w:p>
          <w:p>
            <w:pPr>
              <w:pStyle w:val="TableParagraph"/>
              <w:ind w:left="180" w:right="278"/>
              <w:rPr>
                <w:sz w:val="24"/>
              </w:rPr>
            </w:pPr>
            <w:r>
              <w:rPr>
                <w:sz w:val="24"/>
              </w:rPr>
              <w:t>In</w:t>
            </w:r>
            <w:r>
              <w:rPr>
                <w:spacing w:val="-20"/>
                <w:sz w:val="24"/>
              </w:rPr>
              <w:t> </w:t>
            </w:r>
            <w:r>
              <w:rPr>
                <w:sz w:val="24"/>
              </w:rPr>
              <w:t>case of 3</w:t>
            </w:r>
          </w:p>
          <w:p>
            <w:pPr>
              <w:pStyle w:val="TableParagraph"/>
              <w:spacing w:line="264" w:lineRule="exact" w:before="1"/>
              <w:ind w:left="106"/>
              <w:rPr>
                <w:sz w:val="24"/>
              </w:rPr>
            </w:pPr>
            <w:r>
              <w:rPr>
                <w:sz w:val="24"/>
              </w:rPr>
              <w:t>a)</w:t>
            </w:r>
            <w:r>
              <w:rPr>
                <w:spacing w:val="-1"/>
                <w:sz w:val="24"/>
              </w:rPr>
              <w:t> </w:t>
            </w:r>
            <w:r>
              <w:rPr>
                <w:sz w:val="24"/>
              </w:rPr>
              <w:t>X= </w:t>
            </w:r>
            <w:r>
              <w:rPr>
                <w:spacing w:val="-5"/>
                <w:sz w:val="24"/>
              </w:rPr>
              <w:t>50</w:t>
            </w:r>
          </w:p>
        </w:tc>
      </w:tr>
    </w:tbl>
    <w:p>
      <w:pPr>
        <w:pStyle w:val="TableParagraph"/>
        <w:spacing w:after="0" w:line="264" w:lineRule="exact"/>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tcBorders>
              <w:bottom w:val="nil"/>
            </w:tcBorders>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tcBorders>
              <w:top w:val="nil"/>
              <w:bottom w:val="nil"/>
            </w:tcBorders>
          </w:tcPr>
          <w:p>
            <w:pPr>
              <w:pStyle w:val="TableParagraph"/>
              <w:rPr>
                <w:rFonts w:ascii="Times New Roman"/>
                <w:sz w:val="2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4507" w:hRule="atLeast"/>
        </w:trPr>
        <w:tc>
          <w:tcPr>
            <w:tcW w:w="560" w:type="dxa"/>
          </w:tcPr>
          <w:p>
            <w:pPr>
              <w:pStyle w:val="TableParagraph"/>
              <w:rPr>
                <w:rFonts w:ascii="Times New Roman"/>
                <w:sz w:val="22"/>
              </w:rPr>
            </w:pPr>
          </w:p>
        </w:tc>
        <w:tc>
          <w:tcPr>
            <w:tcW w:w="1349" w:type="dxa"/>
            <w:tcBorders>
              <w:top w:val="nil"/>
              <w:bottom w:val="nil"/>
            </w:tcBorders>
          </w:tcPr>
          <w:p>
            <w:pPr>
              <w:pStyle w:val="TableParagraph"/>
              <w:spacing w:before="281"/>
              <w:rPr>
                <w:b/>
                <w:sz w:val="24"/>
              </w:rPr>
            </w:pPr>
          </w:p>
          <w:p>
            <w:pPr>
              <w:pStyle w:val="TableParagraph"/>
              <w:ind w:left="105"/>
              <w:rPr>
                <w:sz w:val="24"/>
              </w:rPr>
            </w:pPr>
            <w:r>
              <w:rPr>
                <w:spacing w:val="-2"/>
                <w:sz w:val="24"/>
              </w:rPr>
              <w:t>Health</w:t>
            </w: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tabs>
                <w:tab w:pos="1515" w:val="left" w:leader="none"/>
                <w:tab w:pos="2422" w:val="left" w:leader="none"/>
              </w:tabs>
              <w:ind w:left="106" w:right="97"/>
              <w:rPr>
                <w:sz w:val="24"/>
              </w:rPr>
            </w:pPr>
            <w:r>
              <w:rPr>
                <w:sz w:val="24"/>
              </w:rPr>
              <w:t>Centre,</w:t>
            </w:r>
            <w:r>
              <w:rPr>
                <w:spacing w:val="35"/>
                <w:sz w:val="24"/>
              </w:rPr>
              <w:t> </w:t>
            </w:r>
            <w:r>
              <w:rPr>
                <w:sz w:val="24"/>
              </w:rPr>
              <w:t>Peripheral</w:t>
            </w:r>
            <w:r>
              <w:rPr>
                <w:spacing w:val="33"/>
                <w:sz w:val="24"/>
              </w:rPr>
              <w:t> </w:t>
            </w:r>
            <w:r>
              <w:rPr>
                <w:sz w:val="24"/>
              </w:rPr>
              <w:t>/ </w:t>
            </w:r>
            <w:r>
              <w:rPr>
                <w:spacing w:val="-2"/>
                <w:sz w:val="24"/>
              </w:rPr>
              <w:t>General</w:t>
            </w:r>
            <w:r>
              <w:rPr>
                <w:sz w:val="24"/>
              </w:rPr>
              <w:tab/>
            </w:r>
            <w:r>
              <w:rPr>
                <w:spacing w:val="-76"/>
                <w:sz w:val="24"/>
              </w:rPr>
              <w:t> </w:t>
            </w:r>
            <w:r>
              <w:rPr>
                <w:spacing w:val="-2"/>
                <w:sz w:val="24"/>
              </w:rPr>
              <w:t>Hospital, Specialty</w:t>
            </w:r>
            <w:r>
              <w:rPr>
                <w:sz w:val="24"/>
              </w:rPr>
              <w:tab/>
            </w:r>
            <w:r>
              <w:rPr>
                <w:spacing w:val="-76"/>
                <w:sz w:val="24"/>
              </w:rPr>
              <w:t> </w:t>
            </w:r>
            <w:r>
              <w:rPr>
                <w:spacing w:val="-2"/>
                <w:sz w:val="24"/>
              </w:rPr>
              <w:t>Hospital, Multi-specialty</w:t>
            </w:r>
            <w:r>
              <w:rPr>
                <w:sz w:val="24"/>
              </w:rPr>
              <w:tab/>
            </w:r>
            <w:r>
              <w:rPr>
                <w:spacing w:val="-10"/>
                <w:sz w:val="24"/>
              </w:rPr>
              <w:t>/ </w:t>
            </w:r>
            <w:r>
              <w:rPr>
                <w:spacing w:val="-2"/>
                <w:sz w:val="24"/>
              </w:rPr>
              <w:t>Tertiary</w:t>
            </w:r>
            <w:r>
              <w:rPr>
                <w:sz w:val="24"/>
              </w:rPr>
              <w:tab/>
            </w:r>
            <w:r>
              <w:rPr>
                <w:spacing w:val="-2"/>
                <w:sz w:val="24"/>
              </w:rPr>
              <w:t>Hospital, Peripheral</w:t>
            </w:r>
            <w:r>
              <w:rPr>
                <w:sz w:val="24"/>
              </w:rPr>
              <w:tab/>
              <w:tab/>
            </w:r>
            <w:r>
              <w:rPr>
                <w:spacing w:val="-10"/>
                <w:sz w:val="24"/>
              </w:rPr>
              <w:t>/ </w:t>
            </w:r>
            <w:r>
              <w:rPr>
                <w:spacing w:val="-2"/>
                <w:sz w:val="24"/>
              </w:rPr>
              <w:t>Intermediate Hospital, Dharmashala.</w:t>
            </w:r>
          </w:p>
        </w:tc>
        <w:tc>
          <w:tcPr>
            <w:tcW w:w="2094" w:type="dxa"/>
          </w:tcPr>
          <w:p>
            <w:pPr>
              <w:pStyle w:val="TableParagraph"/>
              <w:tabs>
                <w:tab w:pos="895" w:val="left" w:leader="none"/>
                <w:tab w:pos="1081" w:val="left" w:leader="none"/>
                <w:tab w:pos="1301" w:val="left" w:leader="none"/>
                <w:tab w:pos="1397" w:val="left" w:leader="none"/>
                <w:tab w:pos="1537" w:val="left" w:leader="none"/>
                <w:tab w:pos="1609" w:val="left" w:leader="none"/>
                <w:tab w:pos="1718" w:val="left" w:leader="none"/>
                <w:tab w:pos="1843" w:val="left" w:leader="none"/>
              </w:tabs>
              <w:ind w:left="106" w:right="97"/>
              <w:rPr>
                <w:sz w:val="24"/>
              </w:rPr>
            </w:pPr>
            <w:r>
              <w:rPr>
                <w:spacing w:val="-2"/>
                <w:sz w:val="24"/>
              </w:rPr>
              <w:t>facility</w:t>
            </w:r>
            <w:r>
              <w:rPr>
                <w:sz w:val="24"/>
              </w:rPr>
              <w:tab/>
              <w:tab/>
              <w:tab/>
              <w:tab/>
              <w:tab/>
            </w:r>
            <w:r>
              <w:rPr>
                <w:spacing w:val="-4"/>
                <w:sz w:val="24"/>
              </w:rPr>
              <w:t>and </w:t>
            </w:r>
            <w:r>
              <w:rPr>
                <w:sz w:val="24"/>
              </w:rPr>
              <w:t>built up area of </w:t>
            </w:r>
            <w:r>
              <w:rPr>
                <w:spacing w:val="-2"/>
                <w:sz w:val="24"/>
              </w:rPr>
              <w:t>commercial </w:t>
            </w:r>
            <w:r>
              <w:rPr>
                <w:spacing w:val="-4"/>
                <w:sz w:val="24"/>
              </w:rPr>
              <w:t>uses</w:t>
            </w:r>
            <w:r>
              <w:rPr>
                <w:sz w:val="24"/>
              </w:rPr>
              <w:tab/>
            </w:r>
            <w:r>
              <w:rPr>
                <w:spacing w:val="-4"/>
                <w:sz w:val="24"/>
              </w:rPr>
              <w:t>such</w:t>
            </w:r>
            <w:r>
              <w:rPr>
                <w:sz w:val="24"/>
              </w:rPr>
              <w:tab/>
              <w:tab/>
              <w:tab/>
            </w:r>
            <w:r>
              <w:rPr>
                <w:spacing w:val="-6"/>
                <w:sz w:val="24"/>
              </w:rPr>
              <w:t>as </w:t>
            </w:r>
            <w:r>
              <w:rPr>
                <w:spacing w:val="-2"/>
                <w:sz w:val="24"/>
              </w:rPr>
              <w:t>Branch</w:t>
            </w:r>
            <w:r>
              <w:rPr>
                <w:sz w:val="24"/>
              </w:rPr>
              <w:tab/>
              <w:tab/>
            </w:r>
            <w:r>
              <w:rPr>
                <w:spacing w:val="-6"/>
                <w:sz w:val="24"/>
              </w:rPr>
              <w:t>of</w:t>
            </w:r>
            <w:r>
              <w:rPr>
                <w:sz w:val="24"/>
              </w:rPr>
              <w:tab/>
              <w:tab/>
              <w:tab/>
              <w:tab/>
            </w:r>
            <w:r>
              <w:rPr>
                <w:spacing w:val="-10"/>
                <w:sz w:val="24"/>
              </w:rPr>
              <w:t>a </w:t>
            </w:r>
            <w:r>
              <w:rPr>
                <w:spacing w:val="-2"/>
                <w:sz w:val="24"/>
              </w:rPr>
              <w:t>bank,</w:t>
            </w:r>
            <w:r>
              <w:rPr>
                <w:sz w:val="24"/>
              </w:rPr>
              <w:tab/>
              <w:tab/>
            </w:r>
            <w:r>
              <w:rPr>
                <w:spacing w:val="-2"/>
                <w:sz w:val="24"/>
              </w:rPr>
              <w:t>Medical Stores/Shops, Public</w:t>
            </w:r>
            <w:r>
              <w:rPr>
                <w:sz w:val="24"/>
              </w:rPr>
              <w:tab/>
              <w:tab/>
              <w:tab/>
              <w:tab/>
            </w:r>
            <w:r>
              <w:rPr>
                <w:spacing w:val="-2"/>
                <w:sz w:val="24"/>
              </w:rPr>
              <w:t>toilet facilities</w:t>
            </w:r>
            <w:r>
              <w:rPr>
                <w:sz w:val="24"/>
              </w:rPr>
              <w:tab/>
              <w:tab/>
              <w:tab/>
            </w:r>
            <w:r>
              <w:rPr>
                <w:spacing w:val="-57"/>
                <w:sz w:val="24"/>
              </w:rPr>
              <w:t> </w:t>
            </w:r>
            <w:r>
              <w:rPr>
                <w:spacing w:val="-2"/>
                <w:sz w:val="24"/>
              </w:rPr>
              <w:t>shall </w:t>
            </w:r>
            <w:r>
              <w:rPr>
                <w:sz w:val="24"/>
              </w:rPr>
              <w:t>not</w:t>
            </w:r>
            <w:r>
              <w:rPr>
                <w:spacing w:val="80"/>
                <w:sz w:val="24"/>
              </w:rPr>
              <w:t> </w:t>
            </w:r>
            <w:r>
              <w:rPr>
                <w:sz w:val="24"/>
              </w:rPr>
              <w:t>exceed10% </w:t>
            </w:r>
            <w:r>
              <w:rPr>
                <w:spacing w:val="-5"/>
                <w:sz w:val="24"/>
              </w:rPr>
              <w:t>of</w:t>
            </w:r>
            <w:r>
              <w:rPr>
                <w:sz w:val="24"/>
              </w:rPr>
              <w:tab/>
              <w:tab/>
              <w:tab/>
              <w:tab/>
              <w:tab/>
              <w:tab/>
            </w:r>
            <w:r>
              <w:rPr>
                <w:spacing w:val="-5"/>
                <w:sz w:val="24"/>
              </w:rPr>
              <w:t>the</w:t>
            </w:r>
          </w:p>
          <w:p>
            <w:pPr>
              <w:pStyle w:val="TableParagraph"/>
              <w:tabs>
                <w:tab w:pos="1772" w:val="left" w:leader="none"/>
              </w:tabs>
              <w:ind w:left="106" w:right="98"/>
              <w:rPr>
                <w:sz w:val="24"/>
              </w:rPr>
            </w:pPr>
            <w:r>
              <w:rPr>
                <w:spacing w:val="-2"/>
                <w:sz w:val="24"/>
              </w:rPr>
              <w:t>Zonal(basic)or </w:t>
            </w:r>
            <w:r>
              <w:rPr>
                <w:spacing w:val="-5"/>
                <w:sz w:val="24"/>
              </w:rPr>
              <w:t>5%</w:t>
            </w:r>
            <w:r>
              <w:rPr>
                <w:sz w:val="24"/>
              </w:rPr>
              <w:tab/>
            </w:r>
            <w:r>
              <w:rPr>
                <w:spacing w:val="-5"/>
                <w:sz w:val="24"/>
              </w:rPr>
              <w:t>of</w:t>
            </w:r>
          </w:p>
          <w:p>
            <w:pPr>
              <w:pStyle w:val="TableParagraph"/>
              <w:tabs>
                <w:tab w:pos="1786" w:val="left" w:leader="none"/>
              </w:tabs>
              <w:ind w:left="106" w:right="97"/>
              <w:rPr>
                <w:sz w:val="24"/>
              </w:rPr>
            </w:pPr>
            <w:r>
              <w:rPr>
                <w:sz w:val="24"/>
              </w:rPr>
              <w:t>permissible</w:t>
            </w:r>
            <w:r>
              <w:rPr>
                <w:spacing w:val="26"/>
                <w:sz w:val="24"/>
              </w:rPr>
              <w:t> </w:t>
            </w:r>
            <w:r>
              <w:rPr>
                <w:sz w:val="24"/>
              </w:rPr>
              <w:t>FSI </w:t>
            </w:r>
            <w:r>
              <w:rPr>
                <w:spacing w:val="-2"/>
                <w:sz w:val="24"/>
              </w:rPr>
              <w:t>whichever</w:t>
            </w:r>
            <w:r>
              <w:rPr>
                <w:sz w:val="24"/>
              </w:rPr>
              <w:tab/>
            </w:r>
            <w:r>
              <w:rPr>
                <w:spacing w:val="-5"/>
                <w:sz w:val="24"/>
              </w:rPr>
              <w:t>is</w:t>
            </w:r>
          </w:p>
          <w:p>
            <w:pPr>
              <w:pStyle w:val="TableParagraph"/>
              <w:spacing w:line="261" w:lineRule="exact"/>
              <w:ind w:left="106"/>
              <w:rPr>
                <w:sz w:val="24"/>
              </w:rPr>
            </w:pPr>
            <w:r>
              <w:rPr>
                <w:spacing w:val="-4"/>
                <w:sz w:val="24"/>
              </w:rPr>
              <w:t>more</w:t>
            </w:r>
          </w:p>
        </w:tc>
        <w:tc>
          <w:tcPr>
            <w:tcW w:w="1306" w:type="dxa"/>
          </w:tcPr>
          <w:p>
            <w:pPr>
              <w:pStyle w:val="TableParagraph"/>
              <w:spacing w:line="281" w:lineRule="exact"/>
              <w:ind w:left="106"/>
              <w:rPr>
                <w:sz w:val="24"/>
              </w:rPr>
            </w:pPr>
            <w:r>
              <w:rPr>
                <w:spacing w:val="-2"/>
                <w:sz w:val="24"/>
              </w:rPr>
              <w:t>b)Y=40</w:t>
            </w:r>
          </w:p>
        </w:tc>
      </w:tr>
      <w:tr>
        <w:trPr>
          <w:trHeight w:val="5354" w:hRule="atLeast"/>
        </w:trPr>
        <w:tc>
          <w:tcPr>
            <w:tcW w:w="56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ind w:left="107"/>
              <w:rPr>
                <w:sz w:val="24"/>
              </w:rPr>
            </w:pPr>
            <w:r>
              <w:rPr>
                <w:spacing w:val="-5"/>
                <w:sz w:val="24"/>
              </w:rPr>
              <w:t>12</w:t>
            </w:r>
          </w:p>
        </w:tc>
        <w:tc>
          <w:tcPr>
            <w:tcW w:w="1349" w:type="dxa"/>
            <w:tcBorders>
              <w:top w:val="nil"/>
            </w:tcBorders>
          </w:tcPr>
          <w:p>
            <w:pPr>
              <w:pStyle w:val="TableParagraph"/>
              <w:rPr>
                <w:rFonts w:ascii="Times New Roman"/>
                <w:sz w:val="22"/>
              </w:rPr>
            </w:pPr>
          </w:p>
        </w:tc>
        <w:tc>
          <w:tcPr>
            <w:tcW w:w="105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ind w:left="107"/>
              <w:rPr>
                <w:sz w:val="24"/>
              </w:rPr>
            </w:pPr>
            <w:r>
              <w:rPr>
                <w:spacing w:val="-2"/>
                <w:sz w:val="24"/>
              </w:rPr>
              <w:t>RH1.3</w:t>
            </w:r>
          </w:p>
        </w:tc>
        <w:tc>
          <w:tcPr>
            <w:tcW w:w="1260" w:type="dxa"/>
          </w:tcPr>
          <w:p>
            <w:pPr>
              <w:pStyle w:val="TableParagraph"/>
              <w:rPr>
                <w:b/>
                <w:sz w:val="24"/>
              </w:rPr>
            </w:pPr>
          </w:p>
          <w:p>
            <w:pPr>
              <w:pStyle w:val="TableParagraph"/>
              <w:rPr>
                <w:b/>
                <w:sz w:val="24"/>
              </w:rPr>
            </w:pPr>
          </w:p>
          <w:p>
            <w:pPr>
              <w:pStyle w:val="TableParagraph"/>
              <w:ind w:left="106" w:right="136"/>
              <w:rPr>
                <w:sz w:val="24"/>
              </w:rPr>
            </w:pPr>
            <w:r>
              <w:rPr>
                <w:spacing w:val="-2"/>
                <w:sz w:val="24"/>
              </w:rPr>
              <w:t>Municip </w:t>
            </w:r>
            <w:r>
              <w:rPr>
                <w:spacing w:val="-6"/>
                <w:sz w:val="24"/>
              </w:rPr>
              <w:t>al </w:t>
            </w:r>
            <w:r>
              <w:rPr>
                <w:spacing w:val="-2"/>
                <w:sz w:val="24"/>
              </w:rPr>
              <w:t>Maternit </w:t>
            </w:r>
            <w:r>
              <w:rPr>
                <w:sz w:val="24"/>
              </w:rPr>
              <w:t>y Home</w:t>
            </w:r>
          </w:p>
        </w:tc>
        <w:tc>
          <w:tcPr>
            <w:tcW w:w="2679" w:type="dxa"/>
          </w:tcPr>
          <w:p>
            <w:pPr>
              <w:pStyle w:val="TableParagraph"/>
              <w:ind w:left="106" w:right="97"/>
              <w:jc w:val="both"/>
              <w:rPr>
                <w:sz w:val="24"/>
              </w:rPr>
            </w:pPr>
            <w:r>
              <w:rPr>
                <w:sz w:val="24"/>
              </w:rPr>
              <w:t>Maternity </w:t>
            </w:r>
            <w:r>
              <w:rPr>
                <w:sz w:val="24"/>
              </w:rPr>
              <w:t>Hospital, Dispensary, Post- Partum</w:t>
            </w:r>
            <w:r>
              <w:rPr>
                <w:spacing w:val="66"/>
                <w:w w:val="150"/>
                <w:sz w:val="24"/>
              </w:rPr>
              <w:t>    </w:t>
            </w:r>
            <w:r>
              <w:rPr>
                <w:spacing w:val="-2"/>
                <w:sz w:val="24"/>
              </w:rPr>
              <w:t>Centre,</w:t>
            </w:r>
          </w:p>
          <w:p>
            <w:pPr>
              <w:pStyle w:val="TableParagraph"/>
              <w:tabs>
                <w:tab w:pos="1707" w:val="left" w:leader="none"/>
              </w:tabs>
              <w:ind w:left="106" w:right="98"/>
              <w:rPr>
                <w:sz w:val="24"/>
              </w:rPr>
            </w:pPr>
            <w:r>
              <w:rPr>
                <w:spacing w:val="-2"/>
                <w:sz w:val="24"/>
              </w:rPr>
              <w:t>Recovery</w:t>
            </w:r>
            <w:r>
              <w:rPr>
                <w:sz w:val="24"/>
              </w:rPr>
              <w:tab/>
            </w:r>
            <w:r>
              <w:rPr>
                <w:spacing w:val="-2"/>
                <w:sz w:val="24"/>
              </w:rPr>
              <w:t>Centre, Rehabilitation Centre, Physiotherapy Centre.</w:t>
            </w:r>
          </w:p>
        </w:tc>
        <w:tc>
          <w:tcPr>
            <w:tcW w:w="2094" w:type="dxa"/>
          </w:tcPr>
          <w:p>
            <w:pPr>
              <w:pStyle w:val="TableParagraph"/>
              <w:spacing w:line="281" w:lineRule="exact"/>
              <w:ind w:left="106"/>
              <w:jc w:val="both"/>
              <w:rPr>
                <w:sz w:val="24"/>
              </w:rPr>
            </w:pPr>
            <w:r>
              <w:rPr>
                <w:sz w:val="24"/>
              </w:rPr>
              <w:t>Nurses</w:t>
            </w:r>
            <w:r>
              <w:rPr>
                <w:spacing w:val="75"/>
                <w:sz w:val="24"/>
              </w:rPr>
              <w:t>    </w:t>
            </w:r>
            <w:r>
              <w:rPr>
                <w:spacing w:val="-5"/>
                <w:sz w:val="24"/>
              </w:rPr>
              <w:t>and</w:t>
            </w:r>
          </w:p>
          <w:p>
            <w:pPr>
              <w:pStyle w:val="TableParagraph"/>
              <w:tabs>
                <w:tab w:pos="1397" w:val="left" w:leader="none"/>
              </w:tabs>
              <w:spacing w:before="1"/>
              <w:ind w:left="106" w:right="98"/>
              <w:jc w:val="both"/>
              <w:rPr>
                <w:sz w:val="24"/>
              </w:rPr>
            </w:pPr>
            <w:r>
              <w:rPr>
                <w:sz w:val="24"/>
              </w:rPr>
              <w:t>other </w:t>
            </w:r>
            <w:r>
              <w:rPr>
                <w:sz w:val="24"/>
              </w:rPr>
              <w:t>staff Quarters, Care taker Shelters </w:t>
            </w:r>
            <w:r>
              <w:rPr>
                <w:spacing w:val="-5"/>
                <w:sz w:val="24"/>
              </w:rPr>
              <w:t>for</w:t>
            </w:r>
            <w:r>
              <w:rPr>
                <w:sz w:val="24"/>
              </w:rPr>
              <w:tab/>
            </w:r>
            <w:r>
              <w:rPr>
                <w:spacing w:val="-2"/>
                <w:sz w:val="24"/>
              </w:rPr>
              <w:t>staff,</w:t>
            </w:r>
          </w:p>
          <w:p>
            <w:pPr>
              <w:pStyle w:val="TableParagraph"/>
              <w:tabs>
                <w:tab w:pos="895" w:val="left" w:leader="none"/>
                <w:tab w:pos="1397" w:val="left" w:leader="none"/>
                <w:tab w:pos="1537" w:val="left" w:leader="none"/>
                <w:tab w:pos="1609" w:val="left" w:leader="none"/>
                <w:tab w:pos="1718" w:val="left" w:leader="none"/>
              </w:tabs>
              <w:ind w:left="106" w:right="97"/>
              <w:rPr>
                <w:sz w:val="24"/>
              </w:rPr>
            </w:pPr>
            <w:r>
              <w:rPr>
                <w:spacing w:val="-2"/>
                <w:sz w:val="24"/>
              </w:rPr>
              <w:t>Generic Medicine dispensing facility</w:t>
            </w:r>
            <w:r>
              <w:rPr>
                <w:sz w:val="24"/>
              </w:rPr>
              <w:tab/>
              <w:tab/>
              <w:tab/>
            </w:r>
            <w:r>
              <w:rPr>
                <w:spacing w:val="-4"/>
                <w:sz w:val="24"/>
              </w:rPr>
              <w:t>and </w:t>
            </w:r>
            <w:r>
              <w:rPr>
                <w:sz w:val="24"/>
              </w:rPr>
              <w:t>built up area of </w:t>
            </w:r>
            <w:r>
              <w:rPr>
                <w:spacing w:val="-2"/>
                <w:sz w:val="24"/>
              </w:rPr>
              <w:t>commercial </w:t>
            </w:r>
            <w:r>
              <w:rPr>
                <w:spacing w:val="-4"/>
                <w:sz w:val="24"/>
              </w:rPr>
              <w:t>uses</w:t>
            </w:r>
            <w:r>
              <w:rPr>
                <w:sz w:val="24"/>
              </w:rPr>
              <w:tab/>
            </w:r>
            <w:r>
              <w:rPr>
                <w:spacing w:val="-4"/>
                <w:sz w:val="24"/>
              </w:rPr>
              <w:t>such</w:t>
            </w:r>
            <w:r>
              <w:rPr>
                <w:sz w:val="24"/>
              </w:rPr>
              <w:tab/>
              <w:tab/>
              <w:tab/>
            </w:r>
            <w:r>
              <w:rPr>
                <w:spacing w:val="-6"/>
                <w:sz w:val="24"/>
              </w:rPr>
              <w:t>as </w:t>
            </w:r>
            <w:r>
              <w:rPr>
                <w:spacing w:val="-2"/>
                <w:sz w:val="24"/>
              </w:rPr>
              <w:t>Medical Stores/Shops&amp;. Public</w:t>
            </w:r>
            <w:r>
              <w:rPr>
                <w:sz w:val="24"/>
              </w:rPr>
              <w:tab/>
              <w:tab/>
            </w:r>
            <w:r>
              <w:rPr>
                <w:spacing w:val="-2"/>
                <w:sz w:val="24"/>
              </w:rPr>
              <w:t>toilet facilities</w:t>
            </w:r>
            <w:r>
              <w:rPr>
                <w:sz w:val="24"/>
              </w:rPr>
              <w:tab/>
            </w:r>
            <w:r>
              <w:rPr>
                <w:spacing w:val="-59"/>
                <w:sz w:val="24"/>
              </w:rPr>
              <w:t> </w:t>
            </w:r>
            <w:r>
              <w:rPr>
                <w:spacing w:val="-2"/>
                <w:sz w:val="24"/>
              </w:rPr>
              <w:t>shall </w:t>
            </w:r>
            <w:r>
              <w:rPr>
                <w:sz w:val="24"/>
              </w:rPr>
              <w:t>not exceed 10% </w:t>
            </w:r>
            <w:r>
              <w:rPr>
                <w:spacing w:val="-5"/>
                <w:sz w:val="24"/>
              </w:rPr>
              <w:t>of</w:t>
            </w:r>
            <w:r>
              <w:rPr>
                <w:sz w:val="24"/>
              </w:rPr>
              <w:tab/>
              <w:tab/>
              <w:tab/>
              <w:tab/>
            </w:r>
            <w:r>
              <w:rPr>
                <w:spacing w:val="-5"/>
                <w:sz w:val="24"/>
              </w:rPr>
              <w:t>the</w:t>
            </w:r>
          </w:p>
          <w:p>
            <w:pPr>
              <w:pStyle w:val="TableParagraph"/>
              <w:spacing w:line="264" w:lineRule="exact"/>
              <w:ind w:left="106"/>
              <w:rPr>
                <w:sz w:val="24"/>
              </w:rPr>
            </w:pPr>
            <w:r>
              <w:rPr>
                <w:spacing w:val="-2"/>
                <w:sz w:val="24"/>
              </w:rPr>
              <w:t>Zonal(basic)FSI</w:t>
            </w:r>
          </w:p>
        </w:tc>
        <w:tc>
          <w:tcPr>
            <w:tcW w:w="1306" w:type="dxa"/>
          </w:tcPr>
          <w:p>
            <w:pPr>
              <w:pStyle w:val="TableParagraph"/>
              <w:spacing w:line="281" w:lineRule="exact"/>
              <w:ind w:left="106"/>
              <w:rPr>
                <w:sz w:val="24"/>
              </w:rPr>
            </w:pPr>
            <w:r>
              <w:rPr>
                <w:sz w:val="24"/>
              </w:rPr>
              <w:t>1 or 2 </w:t>
            </w:r>
            <w:r>
              <w:rPr>
                <w:spacing w:val="-5"/>
                <w:sz w:val="24"/>
              </w:rPr>
              <w:t>or</w:t>
            </w:r>
          </w:p>
          <w:p>
            <w:pPr>
              <w:pStyle w:val="TableParagraph"/>
              <w:spacing w:line="281" w:lineRule="exact" w:before="1"/>
              <w:ind w:left="106"/>
              <w:rPr>
                <w:sz w:val="24"/>
              </w:rPr>
            </w:pPr>
            <w:r>
              <w:rPr>
                <w:spacing w:val="-10"/>
                <w:sz w:val="24"/>
              </w:rPr>
              <w:t>3</w:t>
            </w:r>
          </w:p>
          <w:p>
            <w:pPr>
              <w:pStyle w:val="TableParagraph"/>
              <w:spacing w:line="281" w:lineRule="exact"/>
              <w:ind w:left="180"/>
              <w:rPr>
                <w:sz w:val="24"/>
              </w:rPr>
            </w:pPr>
            <w:r>
              <w:rPr>
                <w:sz w:val="24"/>
              </w:rPr>
              <w:t>Zb</w:t>
            </w:r>
            <w:r>
              <w:rPr>
                <w:spacing w:val="-1"/>
                <w:sz w:val="24"/>
              </w:rPr>
              <w:t> </w:t>
            </w:r>
            <w:r>
              <w:rPr>
                <w:spacing w:val="-5"/>
                <w:sz w:val="24"/>
              </w:rPr>
              <w:t>=30</w:t>
            </w:r>
          </w:p>
          <w:p>
            <w:pPr>
              <w:pStyle w:val="TableParagraph"/>
              <w:spacing w:before="1"/>
              <w:rPr>
                <w:b/>
                <w:sz w:val="24"/>
              </w:rPr>
            </w:pPr>
          </w:p>
          <w:p>
            <w:pPr>
              <w:pStyle w:val="TableParagraph"/>
              <w:ind w:left="180" w:right="278"/>
              <w:rPr>
                <w:sz w:val="24"/>
              </w:rPr>
            </w:pPr>
            <w:r>
              <w:rPr>
                <w:sz w:val="24"/>
              </w:rPr>
              <w:t>In</w:t>
            </w:r>
            <w:r>
              <w:rPr>
                <w:spacing w:val="-20"/>
                <w:sz w:val="24"/>
              </w:rPr>
              <w:t> </w:t>
            </w:r>
            <w:r>
              <w:rPr>
                <w:sz w:val="24"/>
              </w:rPr>
              <w:t>case of 3</w:t>
            </w:r>
          </w:p>
          <w:p>
            <w:pPr>
              <w:pStyle w:val="TableParagraph"/>
              <w:ind w:left="106" w:right="98"/>
              <w:rPr>
                <w:sz w:val="24"/>
              </w:rPr>
            </w:pPr>
            <w:r>
              <w:rPr>
                <w:sz w:val="24"/>
              </w:rPr>
              <w:t>a)</w:t>
            </w:r>
            <w:r>
              <w:rPr>
                <w:spacing w:val="-19"/>
                <w:sz w:val="24"/>
              </w:rPr>
              <w:t> </w:t>
            </w:r>
            <w:r>
              <w:rPr>
                <w:sz w:val="24"/>
              </w:rPr>
              <w:t>X=</w:t>
            </w:r>
            <w:r>
              <w:rPr>
                <w:spacing w:val="-19"/>
                <w:sz w:val="24"/>
              </w:rPr>
              <w:t> </w:t>
            </w:r>
            <w:r>
              <w:rPr>
                <w:sz w:val="24"/>
              </w:rPr>
              <w:t>5</w:t>
            </w:r>
            <w:r>
              <w:rPr>
                <w:sz w:val="24"/>
              </w:rPr>
              <w:t>0</w:t>
            </w:r>
            <w:r>
              <w:rPr>
                <w:sz w:val="24"/>
              </w:rPr>
              <w:t> </w:t>
            </w:r>
            <w:r>
              <w:rPr>
                <w:spacing w:val="-2"/>
                <w:sz w:val="24"/>
              </w:rPr>
              <w:t>b)Y=40</w:t>
            </w:r>
          </w:p>
        </w:tc>
      </w:tr>
      <w:tr>
        <w:trPr>
          <w:trHeight w:val="1689" w:hRule="atLeast"/>
        </w:trPr>
        <w:tc>
          <w:tcPr>
            <w:tcW w:w="560" w:type="dxa"/>
          </w:tcPr>
          <w:p>
            <w:pPr>
              <w:pStyle w:val="TableParagraph"/>
              <w:rPr>
                <w:rFonts w:ascii="Times New Roman"/>
                <w:sz w:val="22"/>
              </w:rPr>
            </w:pPr>
          </w:p>
        </w:tc>
        <w:tc>
          <w:tcPr>
            <w:tcW w:w="1349" w:type="dxa"/>
          </w:tcPr>
          <w:p>
            <w:pPr>
              <w:pStyle w:val="TableParagraph"/>
              <w:rPr>
                <w:rFonts w:ascii="Times New Roman"/>
                <w:sz w:val="22"/>
              </w:rPr>
            </w:pPr>
          </w:p>
        </w:tc>
        <w:tc>
          <w:tcPr>
            <w:tcW w:w="1057" w:type="dxa"/>
          </w:tcPr>
          <w:p>
            <w:pPr>
              <w:pStyle w:val="TableParagraph"/>
              <w:rPr>
                <w:b/>
                <w:sz w:val="24"/>
              </w:rPr>
            </w:pPr>
          </w:p>
          <w:p>
            <w:pPr>
              <w:pStyle w:val="TableParagraph"/>
              <w:rPr>
                <w:b/>
                <w:sz w:val="24"/>
              </w:rPr>
            </w:pPr>
          </w:p>
          <w:p>
            <w:pPr>
              <w:pStyle w:val="TableParagraph"/>
              <w:spacing w:before="197"/>
              <w:rPr>
                <w:b/>
                <w:sz w:val="24"/>
              </w:rPr>
            </w:pPr>
          </w:p>
          <w:p>
            <w:pPr>
              <w:pStyle w:val="TableParagraph"/>
              <w:spacing w:before="1"/>
              <w:ind w:left="181"/>
              <w:rPr>
                <w:sz w:val="24"/>
              </w:rPr>
            </w:pPr>
            <w:r>
              <w:rPr>
                <w:spacing w:val="-2"/>
                <w:sz w:val="24"/>
              </w:rPr>
              <w:t>RH3.1</w:t>
            </w:r>
          </w:p>
        </w:tc>
        <w:tc>
          <w:tcPr>
            <w:tcW w:w="1260" w:type="dxa"/>
          </w:tcPr>
          <w:p>
            <w:pPr>
              <w:pStyle w:val="TableParagraph"/>
              <w:spacing w:before="238"/>
              <w:rPr>
                <w:b/>
                <w:sz w:val="24"/>
              </w:rPr>
            </w:pPr>
          </w:p>
          <w:p>
            <w:pPr>
              <w:pStyle w:val="TableParagraph"/>
              <w:ind w:left="46"/>
              <w:rPr>
                <w:sz w:val="24"/>
              </w:rPr>
            </w:pPr>
            <w:r>
              <w:rPr>
                <w:spacing w:val="-2"/>
                <w:sz w:val="24"/>
              </w:rPr>
              <w:t>Rehabili tation Centre</w:t>
            </w:r>
          </w:p>
        </w:tc>
        <w:tc>
          <w:tcPr>
            <w:tcW w:w="2679" w:type="dxa"/>
          </w:tcPr>
          <w:p>
            <w:pPr>
              <w:pStyle w:val="TableParagraph"/>
              <w:ind w:left="106" w:right="-15"/>
              <w:jc w:val="both"/>
              <w:rPr>
                <w:sz w:val="24"/>
              </w:rPr>
            </w:pPr>
            <w:r>
              <w:rPr>
                <w:sz w:val="24"/>
              </w:rPr>
              <w:t>Rehabilitation</w:t>
            </w:r>
            <w:r>
              <w:rPr>
                <w:spacing w:val="-20"/>
                <w:sz w:val="24"/>
              </w:rPr>
              <w:t> </w:t>
            </w:r>
            <w:r>
              <w:rPr>
                <w:sz w:val="24"/>
              </w:rPr>
              <w:t>Centre, Dispensary, Health Post, Physiotherapy </w:t>
            </w:r>
            <w:r>
              <w:rPr>
                <w:spacing w:val="-2"/>
                <w:sz w:val="24"/>
              </w:rPr>
              <w:t>Centre</w:t>
            </w:r>
          </w:p>
          <w:p>
            <w:pPr>
              <w:pStyle w:val="TableParagraph"/>
              <w:spacing w:line="280" w:lineRule="exact"/>
              <w:ind w:left="106"/>
              <w:rPr>
                <w:sz w:val="24"/>
              </w:rPr>
            </w:pPr>
            <w:r>
              <w:rPr>
                <w:sz w:val="24"/>
              </w:rPr>
              <w:t>Sanitarium,</w:t>
            </w:r>
            <w:r>
              <w:rPr>
                <w:spacing w:val="59"/>
                <w:sz w:val="24"/>
              </w:rPr>
              <w:t> </w:t>
            </w:r>
            <w:r>
              <w:rPr>
                <w:spacing w:val="-2"/>
                <w:sz w:val="24"/>
              </w:rPr>
              <w:t>Hospice</w:t>
            </w:r>
          </w:p>
          <w:p>
            <w:pPr>
              <w:pStyle w:val="TableParagraph"/>
              <w:spacing w:line="261" w:lineRule="exact"/>
              <w:ind w:left="106"/>
              <w:rPr>
                <w:sz w:val="24"/>
              </w:rPr>
            </w:pPr>
            <w:r>
              <w:rPr>
                <w:spacing w:val="-4"/>
                <w:sz w:val="24"/>
              </w:rPr>
              <w:t>etc.</w:t>
            </w:r>
          </w:p>
        </w:tc>
        <w:tc>
          <w:tcPr>
            <w:tcW w:w="2094" w:type="dxa"/>
          </w:tcPr>
          <w:p>
            <w:pPr>
              <w:pStyle w:val="TableParagraph"/>
              <w:tabs>
                <w:tab w:pos="1536" w:val="left" w:leader="none"/>
              </w:tabs>
              <w:spacing w:line="280" w:lineRule="exact"/>
              <w:ind w:left="106"/>
              <w:rPr>
                <w:sz w:val="24"/>
              </w:rPr>
            </w:pPr>
            <w:r>
              <w:rPr>
                <w:spacing w:val="-2"/>
                <w:sz w:val="24"/>
              </w:rPr>
              <w:t>Nurses</w:t>
            </w:r>
            <w:r>
              <w:rPr>
                <w:sz w:val="24"/>
              </w:rPr>
              <w:tab/>
            </w:r>
            <w:r>
              <w:rPr>
                <w:spacing w:val="-5"/>
                <w:sz w:val="24"/>
              </w:rPr>
              <w:t>and</w:t>
            </w:r>
          </w:p>
          <w:p>
            <w:pPr>
              <w:pStyle w:val="TableParagraph"/>
              <w:tabs>
                <w:tab w:pos="1474" w:val="left" w:leader="none"/>
              </w:tabs>
              <w:ind w:left="106" w:right="98"/>
              <w:rPr>
                <w:sz w:val="24"/>
              </w:rPr>
            </w:pPr>
            <w:r>
              <w:rPr>
                <w:spacing w:val="-2"/>
                <w:sz w:val="24"/>
              </w:rPr>
              <w:t>other</w:t>
            </w:r>
            <w:r>
              <w:rPr>
                <w:sz w:val="24"/>
              </w:rPr>
              <w:tab/>
            </w:r>
            <w:r>
              <w:rPr>
                <w:spacing w:val="-2"/>
                <w:sz w:val="24"/>
              </w:rPr>
              <w:t>staff Quarters, Generic Medicine</w:t>
            </w:r>
          </w:p>
          <w:p>
            <w:pPr>
              <w:pStyle w:val="TableParagraph"/>
              <w:spacing w:line="261" w:lineRule="exact"/>
              <w:ind w:left="106"/>
              <w:rPr>
                <w:sz w:val="24"/>
              </w:rPr>
            </w:pPr>
            <w:r>
              <w:rPr>
                <w:spacing w:val="-2"/>
                <w:sz w:val="24"/>
              </w:rPr>
              <w:t>dispensing</w:t>
            </w:r>
          </w:p>
        </w:tc>
        <w:tc>
          <w:tcPr>
            <w:tcW w:w="1306" w:type="dxa"/>
          </w:tcPr>
          <w:p>
            <w:pPr>
              <w:pStyle w:val="TableParagraph"/>
              <w:ind w:left="65" w:right="-15"/>
              <w:rPr>
                <w:sz w:val="24"/>
              </w:rPr>
            </w:pPr>
            <w:r>
              <w:rPr>
                <w:sz w:val="24"/>
              </w:rPr>
              <w:t>1</w:t>
            </w:r>
            <w:r>
              <w:rPr>
                <w:spacing w:val="-7"/>
                <w:sz w:val="24"/>
              </w:rPr>
              <w:t> </w:t>
            </w:r>
            <w:r>
              <w:rPr>
                <w:sz w:val="24"/>
              </w:rPr>
              <w:t>or</w:t>
            </w:r>
            <w:r>
              <w:rPr>
                <w:spacing w:val="-7"/>
                <w:sz w:val="24"/>
              </w:rPr>
              <w:t> </w:t>
            </w:r>
            <w:r>
              <w:rPr>
                <w:sz w:val="24"/>
              </w:rPr>
              <w:t>2</w:t>
            </w:r>
            <w:r>
              <w:rPr>
                <w:spacing w:val="-7"/>
                <w:sz w:val="24"/>
              </w:rPr>
              <w:t> </w:t>
            </w:r>
            <w:r>
              <w:rPr>
                <w:sz w:val="24"/>
              </w:rPr>
              <w:t>or</w:t>
            </w:r>
            <w:r>
              <w:rPr>
                <w:spacing w:val="-7"/>
                <w:sz w:val="24"/>
              </w:rPr>
              <w:t> </w:t>
            </w:r>
            <w:r>
              <w:rPr>
                <w:sz w:val="24"/>
              </w:rPr>
              <w:t>3 </w:t>
            </w:r>
            <w:r>
              <w:rPr>
                <w:spacing w:val="-2"/>
                <w:sz w:val="24"/>
              </w:rPr>
              <w:t>Zb=20</w:t>
            </w:r>
          </w:p>
          <w:p>
            <w:pPr>
              <w:pStyle w:val="TableParagraph"/>
              <w:spacing w:before="239"/>
              <w:ind w:left="65" w:right="98"/>
              <w:rPr>
                <w:sz w:val="24"/>
              </w:rPr>
            </w:pPr>
            <w:r>
              <w:rPr>
                <w:sz w:val="24"/>
              </w:rPr>
              <w:t>In</w:t>
            </w:r>
            <w:r>
              <w:rPr>
                <w:spacing w:val="-18"/>
                <w:sz w:val="24"/>
              </w:rPr>
              <w:t> </w:t>
            </w:r>
            <w:r>
              <w:rPr>
                <w:sz w:val="24"/>
              </w:rPr>
              <w:t>case</w:t>
            </w:r>
            <w:r>
              <w:rPr>
                <w:spacing w:val="-18"/>
                <w:sz w:val="24"/>
              </w:rPr>
              <w:t> </w:t>
            </w:r>
            <w:r>
              <w:rPr>
                <w:sz w:val="24"/>
              </w:rPr>
              <w:t>of </w:t>
            </w:r>
            <w:r>
              <w:rPr>
                <w:spacing w:val="-10"/>
                <w:sz w:val="24"/>
              </w:rPr>
              <w:t>3</w:t>
            </w:r>
          </w:p>
        </w:tc>
      </w:tr>
    </w:tbl>
    <w:p>
      <w:pPr>
        <w:pStyle w:val="TableParagraph"/>
        <w:spacing w:after="0"/>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2212" w:hRule="atLeast"/>
        </w:trPr>
        <w:tc>
          <w:tcPr>
            <w:tcW w:w="560" w:type="dxa"/>
          </w:tcPr>
          <w:p>
            <w:pPr>
              <w:pStyle w:val="TableParagraph"/>
              <w:spacing w:before="280"/>
              <w:ind w:left="6" w:right="40"/>
              <w:jc w:val="center"/>
              <w:rPr>
                <w:sz w:val="24"/>
              </w:rPr>
            </w:pPr>
            <w:r>
              <w:rPr>
                <w:spacing w:val="-5"/>
                <w:sz w:val="24"/>
              </w:rPr>
              <w:t>13</w:t>
            </w:r>
          </w:p>
        </w:tc>
        <w:tc>
          <w:tcPr>
            <w:tcW w:w="1349" w:type="dxa"/>
            <w:vMerge w:val="restart"/>
          </w:tcPr>
          <w:p>
            <w:pPr>
              <w:pStyle w:val="TableParagraph"/>
              <w:rPr>
                <w:rFonts w:ascii="Times New Roman"/>
                <w:sz w:val="2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rPr>
                <w:rFonts w:ascii="Times New Roman"/>
                <w:sz w:val="22"/>
              </w:rPr>
            </w:pPr>
          </w:p>
        </w:tc>
        <w:tc>
          <w:tcPr>
            <w:tcW w:w="2094" w:type="dxa"/>
          </w:tcPr>
          <w:p>
            <w:pPr>
              <w:pStyle w:val="TableParagraph"/>
              <w:tabs>
                <w:tab w:pos="895" w:val="left" w:leader="none"/>
                <w:tab w:pos="1397" w:val="left" w:leader="none"/>
                <w:tab w:pos="1718" w:val="left" w:leader="none"/>
              </w:tabs>
              <w:ind w:left="106" w:right="98"/>
              <w:rPr>
                <w:sz w:val="24"/>
              </w:rPr>
            </w:pPr>
            <w:r>
              <w:rPr>
                <w:spacing w:val="-2"/>
                <w:sz w:val="24"/>
              </w:rPr>
              <w:t>facility, Commercial </w:t>
            </w:r>
            <w:r>
              <w:rPr>
                <w:spacing w:val="-4"/>
                <w:sz w:val="24"/>
              </w:rPr>
              <w:t>uses</w:t>
            </w:r>
            <w:r>
              <w:rPr>
                <w:sz w:val="24"/>
              </w:rPr>
              <w:tab/>
            </w:r>
            <w:r>
              <w:rPr>
                <w:spacing w:val="-4"/>
                <w:sz w:val="24"/>
              </w:rPr>
              <w:t>such</w:t>
            </w:r>
            <w:r>
              <w:rPr>
                <w:sz w:val="24"/>
              </w:rPr>
              <w:tab/>
            </w:r>
            <w:r>
              <w:rPr>
                <w:spacing w:val="-6"/>
                <w:sz w:val="24"/>
              </w:rPr>
              <w:t>as </w:t>
            </w:r>
            <w:r>
              <w:rPr>
                <w:spacing w:val="-2"/>
                <w:sz w:val="24"/>
              </w:rPr>
              <w:t>Medical Stores/Shops&amp; Public</w:t>
            </w:r>
            <w:r>
              <w:rPr>
                <w:sz w:val="24"/>
              </w:rPr>
              <w:tab/>
              <w:tab/>
            </w:r>
            <w:r>
              <w:rPr>
                <w:spacing w:val="-2"/>
                <w:sz w:val="24"/>
              </w:rPr>
              <w:t>toilet facilities.</w:t>
            </w:r>
          </w:p>
        </w:tc>
        <w:tc>
          <w:tcPr>
            <w:tcW w:w="1306" w:type="dxa"/>
          </w:tcPr>
          <w:p>
            <w:pPr>
              <w:pStyle w:val="TableParagraph"/>
              <w:spacing w:line="444" w:lineRule="auto"/>
              <w:ind w:left="65" w:right="397"/>
              <w:rPr>
                <w:sz w:val="24"/>
              </w:rPr>
            </w:pPr>
            <w:r>
              <w:rPr>
                <w:spacing w:val="-2"/>
                <w:sz w:val="24"/>
              </w:rPr>
              <w:t>a)X=50 b)Y=40</w:t>
            </w:r>
          </w:p>
        </w:tc>
      </w:tr>
      <w:tr>
        <w:trPr>
          <w:trHeight w:val="1689"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14</w:t>
            </w:r>
          </w:p>
        </w:tc>
        <w:tc>
          <w:tcPr>
            <w:tcW w:w="1349" w:type="dxa"/>
            <w:vMerge/>
            <w:tcBorders>
              <w:top w:val="nil"/>
            </w:tcBorders>
          </w:tcPr>
          <w:p>
            <w:pPr>
              <w:rPr>
                <w:sz w:val="2"/>
                <w:szCs w:val="2"/>
              </w:rPr>
            </w:pPr>
          </w:p>
        </w:tc>
        <w:tc>
          <w:tcPr>
            <w:tcW w:w="1057" w:type="dxa"/>
          </w:tcPr>
          <w:p>
            <w:pPr>
              <w:pStyle w:val="TableParagraph"/>
              <w:spacing w:before="280"/>
              <w:ind w:left="107"/>
              <w:rPr>
                <w:sz w:val="24"/>
              </w:rPr>
            </w:pPr>
            <w:r>
              <w:rPr>
                <w:spacing w:val="-2"/>
                <w:sz w:val="24"/>
              </w:rPr>
              <w:t>RH3.4</w:t>
            </w:r>
          </w:p>
        </w:tc>
        <w:tc>
          <w:tcPr>
            <w:tcW w:w="1260" w:type="dxa"/>
          </w:tcPr>
          <w:p>
            <w:pPr>
              <w:pStyle w:val="TableParagraph"/>
              <w:spacing w:before="280"/>
              <w:ind w:left="106" w:right="51"/>
              <w:rPr>
                <w:sz w:val="24"/>
              </w:rPr>
            </w:pPr>
            <w:r>
              <w:rPr>
                <w:spacing w:val="-2"/>
                <w:sz w:val="24"/>
              </w:rPr>
              <w:t>Veterinar </w:t>
            </w:r>
            <w:r>
              <w:rPr>
                <w:spacing w:val="-10"/>
                <w:sz w:val="24"/>
              </w:rPr>
              <w:t>y </w:t>
            </w:r>
            <w:r>
              <w:rPr>
                <w:spacing w:val="-2"/>
                <w:sz w:val="24"/>
              </w:rPr>
              <w:t>Hospital</w:t>
            </w:r>
          </w:p>
        </w:tc>
        <w:tc>
          <w:tcPr>
            <w:tcW w:w="2679" w:type="dxa"/>
          </w:tcPr>
          <w:p>
            <w:pPr>
              <w:pStyle w:val="TableParagraph"/>
              <w:spacing w:before="280"/>
              <w:ind w:left="66"/>
              <w:rPr>
                <w:sz w:val="24"/>
              </w:rPr>
            </w:pPr>
            <w:r>
              <w:rPr>
                <w:sz w:val="24"/>
              </w:rPr>
              <w:t>Veterinary </w:t>
            </w:r>
            <w:r>
              <w:rPr>
                <w:spacing w:val="-2"/>
                <w:sz w:val="24"/>
              </w:rPr>
              <w:t>hospital</w:t>
            </w:r>
          </w:p>
        </w:tc>
        <w:tc>
          <w:tcPr>
            <w:tcW w:w="2094" w:type="dxa"/>
          </w:tcPr>
          <w:p>
            <w:pPr>
              <w:pStyle w:val="TableParagraph"/>
              <w:ind w:left="65" w:right="43"/>
              <w:rPr>
                <w:sz w:val="24"/>
              </w:rPr>
            </w:pPr>
            <w:r>
              <w:rPr>
                <w:spacing w:val="-2"/>
                <w:sz w:val="24"/>
              </w:rPr>
              <w:t>Other </w:t>
            </w:r>
            <w:r>
              <w:rPr>
                <w:sz w:val="24"/>
              </w:rPr>
              <w:t>compatible</w:t>
            </w:r>
            <w:r>
              <w:rPr>
                <w:spacing w:val="-20"/>
                <w:sz w:val="24"/>
              </w:rPr>
              <w:t> </w:t>
            </w:r>
            <w:r>
              <w:rPr>
                <w:sz w:val="24"/>
              </w:rPr>
              <w:t>uses, </w:t>
            </w:r>
            <w:r>
              <w:rPr>
                <w:spacing w:val="-2"/>
                <w:sz w:val="24"/>
              </w:rPr>
              <w:t>Medical Stores/Shops</w:t>
            </w:r>
          </w:p>
        </w:tc>
        <w:tc>
          <w:tcPr>
            <w:tcW w:w="1306" w:type="dxa"/>
          </w:tcPr>
          <w:p>
            <w:pPr>
              <w:pStyle w:val="TableParagraph"/>
              <w:ind w:left="65" w:right="-15"/>
              <w:rPr>
                <w:sz w:val="24"/>
              </w:rPr>
            </w:pPr>
            <w:r>
              <w:rPr>
                <w:sz w:val="24"/>
              </w:rPr>
              <w:t>1</w:t>
            </w:r>
            <w:r>
              <w:rPr>
                <w:spacing w:val="-7"/>
                <w:sz w:val="24"/>
              </w:rPr>
              <w:t> </w:t>
            </w:r>
            <w:r>
              <w:rPr>
                <w:sz w:val="24"/>
              </w:rPr>
              <w:t>or</w:t>
            </w:r>
            <w:r>
              <w:rPr>
                <w:spacing w:val="-7"/>
                <w:sz w:val="24"/>
              </w:rPr>
              <w:t> </w:t>
            </w:r>
            <w:r>
              <w:rPr>
                <w:sz w:val="24"/>
              </w:rPr>
              <w:t>2</w:t>
            </w:r>
            <w:r>
              <w:rPr>
                <w:spacing w:val="-7"/>
                <w:sz w:val="24"/>
              </w:rPr>
              <w:t> </w:t>
            </w:r>
            <w:r>
              <w:rPr>
                <w:sz w:val="24"/>
              </w:rPr>
              <w:t>or</w:t>
            </w:r>
            <w:r>
              <w:rPr>
                <w:spacing w:val="-7"/>
                <w:sz w:val="24"/>
              </w:rPr>
              <w:t> </w:t>
            </w:r>
            <w:r>
              <w:rPr>
                <w:sz w:val="24"/>
              </w:rPr>
              <w:t>3 </w:t>
            </w:r>
            <w:r>
              <w:rPr>
                <w:spacing w:val="-2"/>
                <w:sz w:val="24"/>
              </w:rPr>
              <w:t>Zb=20</w:t>
            </w:r>
          </w:p>
          <w:p>
            <w:pPr>
              <w:pStyle w:val="TableParagraph"/>
              <w:ind w:left="65" w:right="98"/>
              <w:rPr>
                <w:sz w:val="24"/>
              </w:rPr>
            </w:pPr>
            <w:r>
              <w:rPr>
                <w:sz w:val="24"/>
              </w:rPr>
              <w:t>In</w:t>
            </w:r>
            <w:r>
              <w:rPr>
                <w:spacing w:val="-18"/>
                <w:sz w:val="24"/>
              </w:rPr>
              <w:t> </w:t>
            </w:r>
            <w:r>
              <w:rPr>
                <w:sz w:val="24"/>
              </w:rPr>
              <w:t>case</w:t>
            </w:r>
            <w:r>
              <w:rPr>
                <w:spacing w:val="-18"/>
                <w:sz w:val="24"/>
              </w:rPr>
              <w:t> </w:t>
            </w:r>
            <w:r>
              <w:rPr>
                <w:sz w:val="24"/>
              </w:rPr>
              <w:t>of </w:t>
            </w:r>
            <w:r>
              <w:rPr>
                <w:spacing w:val="-10"/>
                <w:sz w:val="24"/>
              </w:rPr>
              <w:t>3</w:t>
            </w:r>
          </w:p>
          <w:p>
            <w:pPr>
              <w:pStyle w:val="TableParagraph"/>
              <w:numPr>
                <w:ilvl w:val="0"/>
                <w:numId w:val="41"/>
              </w:numPr>
              <w:tabs>
                <w:tab w:pos="274" w:val="left" w:leader="none"/>
              </w:tabs>
              <w:spacing w:line="280" w:lineRule="exact" w:before="0" w:after="0"/>
              <w:ind w:left="274" w:right="0" w:hanging="209"/>
              <w:jc w:val="left"/>
              <w:rPr>
                <w:sz w:val="24"/>
              </w:rPr>
            </w:pPr>
            <w:r>
              <w:rPr>
                <w:spacing w:val="-4"/>
                <w:sz w:val="24"/>
              </w:rPr>
              <w:t>X=50</w:t>
            </w:r>
          </w:p>
          <w:p>
            <w:pPr>
              <w:pStyle w:val="TableParagraph"/>
              <w:numPr>
                <w:ilvl w:val="0"/>
                <w:numId w:val="41"/>
              </w:numPr>
              <w:tabs>
                <w:tab w:pos="283" w:val="left" w:leader="none"/>
              </w:tabs>
              <w:spacing w:line="261" w:lineRule="exact" w:before="1" w:after="0"/>
              <w:ind w:left="283" w:right="0" w:hanging="218"/>
              <w:jc w:val="left"/>
              <w:rPr>
                <w:sz w:val="24"/>
              </w:rPr>
            </w:pPr>
            <w:r>
              <w:rPr>
                <w:spacing w:val="-4"/>
                <w:sz w:val="24"/>
              </w:rPr>
              <w:t>Y=40</w:t>
            </w:r>
          </w:p>
        </w:tc>
      </w:tr>
      <w:tr>
        <w:trPr>
          <w:trHeight w:val="3292"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15</w:t>
            </w:r>
          </w:p>
        </w:tc>
        <w:tc>
          <w:tcPr>
            <w:tcW w:w="1349" w:type="dxa"/>
            <w:vMerge w:val="restart"/>
          </w:tcPr>
          <w:p>
            <w:pPr>
              <w:pStyle w:val="TableParagraph"/>
              <w:spacing w:before="281"/>
              <w:rPr>
                <w:b/>
                <w:sz w:val="24"/>
              </w:rPr>
            </w:pPr>
          </w:p>
          <w:p>
            <w:pPr>
              <w:pStyle w:val="TableParagraph"/>
              <w:ind w:left="105" w:right="405"/>
              <w:rPr>
                <w:sz w:val="24"/>
              </w:rPr>
            </w:pPr>
            <w:r>
              <w:rPr>
                <w:spacing w:val="-2"/>
                <w:sz w:val="24"/>
              </w:rPr>
              <w:t>Public </w:t>
            </w:r>
            <w:r>
              <w:rPr>
                <w:spacing w:val="-4"/>
                <w:sz w:val="24"/>
              </w:rPr>
              <w:t>Open </w:t>
            </w:r>
            <w:r>
              <w:rPr>
                <w:spacing w:val="-2"/>
                <w:sz w:val="24"/>
              </w:rPr>
              <w:t>Spaces</w:t>
            </w:r>
          </w:p>
        </w:tc>
        <w:tc>
          <w:tcPr>
            <w:tcW w:w="1057" w:type="dxa"/>
          </w:tcPr>
          <w:p>
            <w:pPr>
              <w:pStyle w:val="TableParagraph"/>
              <w:spacing w:before="281"/>
              <w:rPr>
                <w:b/>
                <w:sz w:val="24"/>
              </w:rPr>
            </w:pPr>
          </w:p>
          <w:p>
            <w:pPr>
              <w:pStyle w:val="TableParagraph"/>
              <w:ind w:right="124"/>
              <w:jc w:val="right"/>
              <w:rPr>
                <w:sz w:val="24"/>
              </w:rPr>
            </w:pPr>
            <w:r>
              <w:rPr>
                <w:spacing w:val="-2"/>
                <w:sz w:val="24"/>
              </w:rPr>
              <w:t>ROS1.4</w:t>
            </w:r>
          </w:p>
        </w:tc>
        <w:tc>
          <w:tcPr>
            <w:tcW w:w="1260" w:type="dxa"/>
          </w:tcPr>
          <w:p>
            <w:pPr>
              <w:pStyle w:val="TableParagraph"/>
              <w:rPr>
                <w:b/>
                <w:sz w:val="24"/>
              </w:rPr>
            </w:pPr>
          </w:p>
          <w:p>
            <w:pPr>
              <w:pStyle w:val="TableParagraph"/>
              <w:ind w:left="106" w:right="233"/>
              <w:rPr>
                <w:sz w:val="24"/>
              </w:rPr>
            </w:pPr>
            <w:r>
              <w:rPr>
                <w:spacing w:val="-4"/>
                <w:sz w:val="24"/>
              </w:rPr>
              <w:t>Play </w:t>
            </w:r>
            <w:r>
              <w:rPr>
                <w:spacing w:val="-2"/>
                <w:sz w:val="24"/>
              </w:rPr>
              <w:t>Ground</w:t>
            </w:r>
          </w:p>
        </w:tc>
        <w:tc>
          <w:tcPr>
            <w:tcW w:w="2679" w:type="dxa"/>
          </w:tcPr>
          <w:p>
            <w:pPr>
              <w:pStyle w:val="TableParagraph"/>
              <w:rPr>
                <w:b/>
                <w:sz w:val="24"/>
              </w:rPr>
            </w:pPr>
          </w:p>
          <w:p>
            <w:pPr>
              <w:pStyle w:val="TableParagraph"/>
              <w:ind w:left="66"/>
              <w:rPr>
                <w:sz w:val="24"/>
              </w:rPr>
            </w:pPr>
            <w:r>
              <w:rPr>
                <w:sz w:val="24"/>
              </w:rPr>
              <w:t>Play </w:t>
            </w:r>
            <w:r>
              <w:rPr>
                <w:spacing w:val="-2"/>
                <w:sz w:val="24"/>
              </w:rPr>
              <w:t>Ground</w:t>
            </w:r>
          </w:p>
        </w:tc>
        <w:tc>
          <w:tcPr>
            <w:tcW w:w="2094" w:type="dxa"/>
          </w:tcPr>
          <w:p>
            <w:pPr>
              <w:pStyle w:val="TableParagraph"/>
              <w:tabs>
                <w:tab w:pos="1320" w:val="left" w:leader="none"/>
              </w:tabs>
              <w:ind w:left="106" w:right="146"/>
              <w:rPr>
                <w:sz w:val="24"/>
              </w:rPr>
            </w:pPr>
            <w:r>
              <w:rPr>
                <w:sz w:val="24"/>
              </w:rPr>
              <w:t>Art</w:t>
            </w:r>
            <w:r>
              <w:rPr>
                <w:spacing w:val="-7"/>
                <w:sz w:val="24"/>
              </w:rPr>
              <w:t> </w:t>
            </w:r>
            <w:r>
              <w:rPr>
                <w:sz w:val="24"/>
              </w:rPr>
              <w:t>and</w:t>
            </w:r>
            <w:r>
              <w:rPr>
                <w:spacing w:val="-7"/>
                <w:sz w:val="24"/>
              </w:rPr>
              <w:t> </w:t>
            </w:r>
            <w:r>
              <w:rPr>
                <w:sz w:val="24"/>
              </w:rPr>
              <w:t>culture </w:t>
            </w:r>
            <w:r>
              <w:rPr>
                <w:spacing w:val="-2"/>
                <w:sz w:val="24"/>
              </w:rPr>
              <w:t>related</w:t>
            </w:r>
            <w:r>
              <w:rPr>
                <w:sz w:val="24"/>
              </w:rPr>
              <w:tab/>
            </w:r>
            <w:r>
              <w:rPr>
                <w:spacing w:val="-4"/>
                <w:sz w:val="24"/>
              </w:rPr>
              <w:t>uses, </w:t>
            </w:r>
            <w:r>
              <w:rPr>
                <w:spacing w:val="-2"/>
                <w:sz w:val="24"/>
              </w:rPr>
              <w:t>Vipassana/ </w:t>
            </w:r>
            <w:r>
              <w:rPr>
                <w:spacing w:val="-4"/>
                <w:sz w:val="24"/>
              </w:rPr>
              <w:t>yoga </w:t>
            </w:r>
            <w:r>
              <w:rPr>
                <w:spacing w:val="-2"/>
                <w:sz w:val="24"/>
              </w:rPr>
              <w:t>meditation, Watchman cabin,</w:t>
            </w:r>
            <w:r>
              <w:rPr>
                <w:spacing w:val="40"/>
                <w:sz w:val="24"/>
              </w:rPr>
              <w:t> </w:t>
            </w:r>
            <w:r>
              <w:rPr>
                <w:spacing w:val="-2"/>
                <w:sz w:val="24"/>
              </w:rPr>
              <w:t>Gardener chowky,</w:t>
            </w:r>
            <w:r>
              <w:rPr>
                <w:sz w:val="24"/>
              </w:rPr>
              <w:tab/>
            </w:r>
            <w:r>
              <w:rPr>
                <w:spacing w:val="-49"/>
                <w:sz w:val="24"/>
              </w:rPr>
              <w:t> </w:t>
            </w:r>
            <w:r>
              <w:rPr>
                <w:spacing w:val="-2"/>
                <w:sz w:val="24"/>
              </w:rPr>
              <w:t>toilet block.</w:t>
            </w:r>
          </w:p>
        </w:tc>
        <w:tc>
          <w:tcPr>
            <w:tcW w:w="1306" w:type="dxa"/>
          </w:tcPr>
          <w:p>
            <w:pPr>
              <w:pStyle w:val="TableParagraph"/>
              <w:spacing w:line="281" w:lineRule="exact"/>
              <w:ind w:left="106"/>
              <w:rPr>
                <w:sz w:val="24"/>
              </w:rPr>
            </w:pPr>
            <w:r>
              <w:rPr>
                <w:sz w:val="24"/>
              </w:rPr>
              <w:t>1 or </w:t>
            </w:r>
            <w:r>
              <w:rPr>
                <w:spacing w:val="-10"/>
                <w:sz w:val="24"/>
              </w:rPr>
              <w:t>3</w:t>
            </w:r>
          </w:p>
          <w:p>
            <w:pPr>
              <w:pStyle w:val="TableParagraph"/>
              <w:spacing w:before="97"/>
              <w:ind w:left="106" w:right="98"/>
              <w:rPr>
                <w:sz w:val="24"/>
              </w:rPr>
            </w:pPr>
            <w:r>
              <w:rPr>
                <w:sz w:val="24"/>
              </w:rPr>
              <w:t>In case</w:t>
            </w:r>
            <w:r>
              <w:rPr>
                <w:spacing w:val="40"/>
                <w:sz w:val="24"/>
              </w:rPr>
              <w:t> </w:t>
            </w:r>
            <w:r>
              <w:rPr>
                <w:sz w:val="24"/>
              </w:rPr>
              <w:t>of 3, </w:t>
            </w:r>
            <w:r>
              <w:rPr>
                <w:spacing w:val="-2"/>
                <w:sz w:val="24"/>
              </w:rPr>
              <w:t>Y=70and minimu </w:t>
            </w:r>
            <w:r>
              <w:rPr>
                <w:sz w:val="24"/>
              </w:rPr>
              <w:t>m area</w:t>
            </w:r>
            <w:r>
              <w:rPr>
                <w:spacing w:val="80"/>
                <w:sz w:val="24"/>
              </w:rPr>
              <w:t> </w:t>
            </w:r>
            <w:r>
              <w:rPr>
                <w:spacing w:val="-6"/>
                <w:sz w:val="24"/>
              </w:rPr>
              <w:t>of </w:t>
            </w:r>
            <w:r>
              <w:rPr>
                <w:spacing w:val="-2"/>
                <w:sz w:val="24"/>
              </w:rPr>
              <w:t>reserved </w:t>
            </w:r>
            <w:r>
              <w:rPr>
                <w:sz w:val="24"/>
              </w:rPr>
              <w:t>plot</w:t>
            </w:r>
            <w:r>
              <w:rPr>
                <w:spacing w:val="-20"/>
                <w:sz w:val="24"/>
              </w:rPr>
              <w:t> </w:t>
            </w:r>
            <w:r>
              <w:rPr>
                <w:sz w:val="24"/>
              </w:rPr>
              <w:t>shall be 1000 sq. m.</w:t>
            </w:r>
          </w:p>
        </w:tc>
      </w:tr>
      <w:tr>
        <w:trPr>
          <w:trHeight w:val="3290" w:hRule="atLeast"/>
        </w:trPr>
        <w:tc>
          <w:tcPr>
            <w:tcW w:w="560" w:type="dxa"/>
          </w:tcPr>
          <w:p>
            <w:pPr>
              <w:pStyle w:val="TableParagraph"/>
              <w:spacing w:before="280"/>
              <w:ind w:left="6" w:right="40"/>
              <w:jc w:val="center"/>
              <w:rPr>
                <w:sz w:val="24"/>
              </w:rPr>
            </w:pPr>
            <w:r>
              <w:rPr>
                <w:spacing w:val="-5"/>
                <w:sz w:val="24"/>
              </w:rPr>
              <w:t>16</w:t>
            </w:r>
          </w:p>
        </w:tc>
        <w:tc>
          <w:tcPr>
            <w:tcW w:w="1349" w:type="dxa"/>
            <w:vMerge/>
            <w:tcBorders>
              <w:top w:val="nil"/>
            </w:tcBorders>
          </w:tcPr>
          <w:p>
            <w:pPr>
              <w:rPr>
                <w:sz w:val="2"/>
                <w:szCs w:val="2"/>
              </w:rPr>
            </w:pPr>
          </w:p>
        </w:tc>
        <w:tc>
          <w:tcPr>
            <w:tcW w:w="1057" w:type="dxa"/>
          </w:tcPr>
          <w:p>
            <w:pPr>
              <w:pStyle w:val="TableParagraph"/>
              <w:ind w:left="66" w:right="493" w:hanging="44"/>
              <w:rPr>
                <w:sz w:val="24"/>
              </w:rPr>
            </w:pPr>
            <w:r>
              <w:rPr>
                <w:spacing w:val="-4"/>
                <w:sz w:val="24"/>
              </w:rPr>
              <w:t>ROS 1.5</w:t>
            </w:r>
          </w:p>
        </w:tc>
        <w:tc>
          <w:tcPr>
            <w:tcW w:w="1260" w:type="dxa"/>
          </w:tcPr>
          <w:p>
            <w:pPr>
              <w:pStyle w:val="TableParagraph"/>
              <w:ind w:left="66" w:right="165"/>
              <w:rPr>
                <w:sz w:val="24"/>
              </w:rPr>
            </w:pPr>
            <w:r>
              <w:rPr>
                <w:spacing w:val="-2"/>
                <w:sz w:val="24"/>
              </w:rPr>
              <w:t>Garden/ </w:t>
            </w:r>
            <w:r>
              <w:rPr>
                <w:spacing w:val="-4"/>
                <w:sz w:val="24"/>
              </w:rPr>
              <w:t>Park</w:t>
            </w:r>
          </w:p>
        </w:tc>
        <w:tc>
          <w:tcPr>
            <w:tcW w:w="2679" w:type="dxa"/>
          </w:tcPr>
          <w:p>
            <w:pPr>
              <w:pStyle w:val="TableParagraph"/>
              <w:tabs>
                <w:tab w:pos="1846" w:val="left" w:leader="none"/>
              </w:tabs>
              <w:ind w:left="66" w:right="75"/>
              <w:jc w:val="both"/>
              <w:rPr>
                <w:sz w:val="24"/>
              </w:rPr>
            </w:pPr>
            <w:r>
              <w:rPr>
                <w:spacing w:val="-2"/>
                <w:sz w:val="24"/>
              </w:rPr>
              <w:t>Garden,</w:t>
            </w:r>
            <w:r>
              <w:rPr>
                <w:sz w:val="24"/>
              </w:rPr>
              <w:tab/>
            </w:r>
            <w:r>
              <w:rPr>
                <w:spacing w:val="-2"/>
                <w:sz w:val="24"/>
              </w:rPr>
              <w:t>Parks, </w:t>
            </w:r>
            <w:r>
              <w:rPr>
                <w:sz w:val="24"/>
              </w:rPr>
              <w:t>Botanical Garden, Children Park with </w:t>
            </w:r>
            <w:r>
              <w:rPr>
                <w:spacing w:val="-2"/>
                <w:sz w:val="24"/>
              </w:rPr>
              <w:t>Waking</w:t>
            </w:r>
            <w:r>
              <w:rPr>
                <w:sz w:val="24"/>
              </w:rPr>
              <w:tab/>
            </w:r>
            <w:r>
              <w:rPr>
                <w:spacing w:val="-20"/>
                <w:sz w:val="24"/>
              </w:rPr>
              <w:t> </w:t>
            </w:r>
            <w:r>
              <w:rPr>
                <w:spacing w:val="-12"/>
                <w:sz w:val="24"/>
              </w:rPr>
              <w:t>Track, </w:t>
            </w:r>
            <w:r>
              <w:rPr>
                <w:sz w:val="24"/>
              </w:rPr>
              <w:t>Wooded Areas Water </w:t>
            </w:r>
            <w:r>
              <w:rPr>
                <w:spacing w:val="-4"/>
                <w:sz w:val="24"/>
              </w:rPr>
              <w:t>Body</w:t>
            </w:r>
          </w:p>
        </w:tc>
        <w:tc>
          <w:tcPr>
            <w:tcW w:w="2094" w:type="dxa"/>
          </w:tcPr>
          <w:p>
            <w:pPr>
              <w:pStyle w:val="TableParagraph"/>
              <w:tabs>
                <w:tab w:pos="1368" w:val="left" w:leader="none"/>
              </w:tabs>
              <w:ind w:left="106" w:right="98"/>
              <w:rPr>
                <w:sz w:val="24"/>
              </w:rPr>
            </w:pPr>
            <w:r>
              <w:rPr>
                <w:sz w:val="24"/>
              </w:rPr>
              <w:t>Art and </w:t>
            </w:r>
            <w:r>
              <w:rPr>
                <w:sz w:val="24"/>
              </w:rPr>
              <w:t>culture </w:t>
            </w:r>
            <w:r>
              <w:rPr>
                <w:spacing w:val="-2"/>
                <w:sz w:val="24"/>
              </w:rPr>
              <w:t>related</w:t>
            </w:r>
            <w:r>
              <w:rPr>
                <w:sz w:val="24"/>
              </w:rPr>
              <w:tab/>
            </w:r>
            <w:r>
              <w:rPr>
                <w:spacing w:val="-4"/>
                <w:sz w:val="24"/>
              </w:rPr>
              <w:t>uses, </w:t>
            </w:r>
            <w:r>
              <w:rPr>
                <w:spacing w:val="-2"/>
                <w:sz w:val="24"/>
              </w:rPr>
              <w:t>Vipassana/ </w:t>
            </w:r>
            <w:r>
              <w:rPr>
                <w:spacing w:val="-4"/>
                <w:sz w:val="24"/>
              </w:rPr>
              <w:t>yoga</w:t>
            </w:r>
            <w:r>
              <w:rPr>
                <w:spacing w:val="40"/>
                <w:sz w:val="24"/>
              </w:rPr>
              <w:t> </w:t>
            </w:r>
            <w:r>
              <w:rPr>
                <w:spacing w:val="-2"/>
                <w:sz w:val="24"/>
              </w:rPr>
              <w:t>meditation, Watchman cabin,</w:t>
            </w:r>
            <w:r>
              <w:rPr>
                <w:spacing w:val="-20"/>
                <w:sz w:val="24"/>
              </w:rPr>
              <w:t> </w:t>
            </w:r>
            <w:r>
              <w:rPr>
                <w:spacing w:val="-2"/>
                <w:sz w:val="24"/>
              </w:rPr>
              <w:t>Gardener chowky,</w:t>
            </w:r>
            <w:r>
              <w:rPr>
                <w:sz w:val="24"/>
              </w:rPr>
              <w:tab/>
            </w:r>
            <w:r>
              <w:rPr>
                <w:spacing w:val="-49"/>
                <w:sz w:val="24"/>
              </w:rPr>
              <w:t> </w:t>
            </w:r>
            <w:r>
              <w:rPr>
                <w:spacing w:val="-2"/>
                <w:sz w:val="24"/>
              </w:rPr>
              <w:t>toilet block.</w:t>
            </w:r>
          </w:p>
        </w:tc>
        <w:tc>
          <w:tcPr>
            <w:tcW w:w="1306" w:type="dxa"/>
          </w:tcPr>
          <w:p>
            <w:pPr>
              <w:pStyle w:val="TableParagraph"/>
              <w:spacing w:line="281" w:lineRule="exact"/>
              <w:ind w:left="106"/>
              <w:rPr>
                <w:sz w:val="24"/>
              </w:rPr>
            </w:pPr>
            <w:r>
              <w:rPr>
                <w:sz w:val="24"/>
              </w:rPr>
              <w:t>1 or </w:t>
            </w:r>
            <w:r>
              <w:rPr>
                <w:spacing w:val="-10"/>
                <w:sz w:val="24"/>
              </w:rPr>
              <w:t>3</w:t>
            </w:r>
          </w:p>
          <w:p>
            <w:pPr>
              <w:pStyle w:val="TableParagraph"/>
              <w:spacing w:before="95"/>
              <w:ind w:left="106" w:right="98"/>
              <w:rPr>
                <w:sz w:val="24"/>
              </w:rPr>
            </w:pPr>
            <w:r>
              <w:rPr>
                <w:sz w:val="24"/>
              </w:rPr>
              <w:t>In case</w:t>
            </w:r>
            <w:r>
              <w:rPr>
                <w:spacing w:val="40"/>
                <w:sz w:val="24"/>
              </w:rPr>
              <w:t> </w:t>
            </w:r>
            <w:r>
              <w:rPr>
                <w:sz w:val="24"/>
              </w:rPr>
              <w:t>of 3, </w:t>
            </w:r>
            <w:r>
              <w:rPr>
                <w:spacing w:val="-2"/>
                <w:sz w:val="24"/>
              </w:rPr>
              <w:t>Y=70and minimu </w:t>
            </w:r>
            <w:r>
              <w:rPr>
                <w:sz w:val="24"/>
              </w:rPr>
              <w:t>m area</w:t>
            </w:r>
            <w:r>
              <w:rPr>
                <w:spacing w:val="80"/>
                <w:sz w:val="24"/>
              </w:rPr>
              <w:t> </w:t>
            </w:r>
            <w:r>
              <w:rPr>
                <w:spacing w:val="-6"/>
                <w:sz w:val="24"/>
              </w:rPr>
              <w:t>of </w:t>
            </w:r>
            <w:r>
              <w:rPr>
                <w:spacing w:val="-2"/>
                <w:sz w:val="24"/>
              </w:rPr>
              <w:t>reserved </w:t>
            </w:r>
            <w:r>
              <w:rPr>
                <w:sz w:val="24"/>
              </w:rPr>
              <w:t>plot</w:t>
            </w:r>
            <w:r>
              <w:rPr>
                <w:spacing w:val="-20"/>
                <w:sz w:val="24"/>
              </w:rPr>
              <w:t> </w:t>
            </w:r>
            <w:r>
              <w:rPr>
                <w:sz w:val="24"/>
              </w:rPr>
              <w:t>shall be 1000 sq. m</w:t>
            </w:r>
          </w:p>
        </w:tc>
      </w:tr>
      <w:tr>
        <w:trPr>
          <w:trHeight w:val="1127" w:hRule="atLeast"/>
        </w:trPr>
        <w:tc>
          <w:tcPr>
            <w:tcW w:w="560" w:type="dxa"/>
          </w:tcPr>
          <w:p>
            <w:pPr>
              <w:pStyle w:val="TableParagraph"/>
              <w:spacing w:before="280"/>
              <w:ind w:left="6" w:right="40"/>
              <w:jc w:val="center"/>
              <w:rPr>
                <w:sz w:val="24"/>
              </w:rPr>
            </w:pPr>
            <w:r>
              <w:rPr>
                <w:spacing w:val="-5"/>
                <w:sz w:val="24"/>
              </w:rPr>
              <w:t>17</w:t>
            </w:r>
          </w:p>
        </w:tc>
        <w:tc>
          <w:tcPr>
            <w:tcW w:w="1349" w:type="dxa"/>
            <w:vMerge/>
            <w:tcBorders>
              <w:top w:val="nil"/>
            </w:tcBorders>
          </w:tcPr>
          <w:p>
            <w:pPr>
              <w:rPr>
                <w:sz w:val="2"/>
                <w:szCs w:val="2"/>
              </w:rPr>
            </w:pPr>
          </w:p>
        </w:tc>
        <w:tc>
          <w:tcPr>
            <w:tcW w:w="1057" w:type="dxa"/>
          </w:tcPr>
          <w:p>
            <w:pPr>
              <w:pStyle w:val="TableParagraph"/>
              <w:spacing w:line="281" w:lineRule="exact"/>
              <w:ind w:right="81"/>
              <w:jc w:val="right"/>
              <w:rPr>
                <w:sz w:val="24"/>
              </w:rPr>
            </w:pPr>
            <w:r>
              <w:rPr>
                <w:spacing w:val="-2"/>
                <w:sz w:val="24"/>
              </w:rPr>
              <w:t>ROS2.1</w:t>
            </w:r>
          </w:p>
        </w:tc>
        <w:tc>
          <w:tcPr>
            <w:tcW w:w="1260" w:type="dxa"/>
          </w:tcPr>
          <w:p>
            <w:pPr>
              <w:pStyle w:val="TableParagraph"/>
              <w:ind w:left="22" w:right="226"/>
              <w:rPr>
                <w:sz w:val="24"/>
              </w:rPr>
            </w:pPr>
            <w:r>
              <w:rPr>
                <w:spacing w:val="-2"/>
                <w:sz w:val="24"/>
              </w:rPr>
              <w:t>Club/ Gymkha </w:t>
            </w:r>
            <w:r>
              <w:rPr>
                <w:spacing w:val="-6"/>
                <w:sz w:val="24"/>
              </w:rPr>
              <w:t>na</w:t>
            </w:r>
          </w:p>
        </w:tc>
        <w:tc>
          <w:tcPr>
            <w:tcW w:w="2679" w:type="dxa"/>
          </w:tcPr>
          <w:p>
            <w:pPr>
              <w:pStyle w:val="TableParagraph"/>
              <w:ind w:left="66" w:right="167" w:firstLine="76"/>
              <w:jc w:val="both"/>
              <w:rPr>
                <w:sz w:val="24"/>
              </w:rPr>
            </w:pPr>
            <w:r>
              <w:rPr>
                <w:sz w:val="24"/>
              </w:rPr>
              <w:t>Club/</w:t>
            </w:r>
            <w:r>
              <w:rPr>
                <w:spacing w:val="-20"/>
                <w:sz w:val="24"/>
              </w:rPr>
              <w:t> </w:t>
            </w:r>
            <w:r>
              <w:rPr>
                <w:sz w:val="24"/>
              </w:rPr>
              <w:t>Gymnasium/ Yogalaya, swimming </w:t>
            </w:r>
            <w:r>
              <w:rPr>
                <w:spacing w:val="-4"/>
                <w:sz w:val="24"/>
              </w:rPr>
              <w:t>pool</w:t>
            </w:r>
          </w:p>
        </w:tc>
        <w:tc>
          <w:tcPr>
            <w:tcW w:w="2094" w:type="dxa"/>
          </w:tcPr>
          <w:p>
            <w:pPr>
              <w:pStyle w:val="TableParagraph"/>
              <w:ind w:left="106"/>
              <w:rPr>
                <w:sz w:val="24"/>
              </w:rPr>
            </w:pPr>
            <w:r>
              <w:rPr>
                <w:sz w:val="24"/>
              </w:rPr>
              <w:t>Art and culture related uses, Vipassana/</w:t>
            </w:r>
            <w:r>
              <w:rPr>
                <w:spacing w:val="-20"/>
                <w:sz w:val="24"/>
              </w:rPr>
              <w:t> </w:t>
            </w:r>
            <w:r>
              <w:rPr>
                <w:sz w:val="24"/>
              </w:rPr>
              <w:t>yoga</w:t>
            </w:r>
          </w:p>
          <w:p>
            <w:pPr>
              <w:pStyle w:val="TableParagraph"/>
              <w:spacing w:line="263" w:lineRule="exact"/>
              <w:ind w:left="106"/>
              <w:rPr>
                <w:sz w:val="24"/>
              </w:rPr>
            </w:pPr>
            <w:r>
              <w:rPr>
                <w:spacing w:val="-2"/>
                <w:sz w:val="24"/>
              </w:rPr>
              <w:t>meditation,</w:t>
            </w:r>
          </w:p>
        </w:tc>
        <w:tc>
          <w:tcPr>
            <w:tcW w:w="1306" w:type="dxa"/>
          </w:tcPr>
          <w:p>
            <w:pPr>
              <w:pStyle w:val="TableParagraph"/>
              <w:spacing w:line="280" w:lineRule="exact"/>
              <w:ind w:left="106"/>
              <w:rPr>
                <w:sz w:val="24"/>
              </w:rPr>
            </w:pPr>
            <w:r>
              <w:rPr>
                <w:sz w:val="24"/>
              </w:rPr>
              <w:t>1 or 2 </w:t>
            </w:r>
            <w:r>
              <w:rPr>
                <w:spacing w:val="-10"/>
                <w:sz w:val="24"/>
              </w:rPr>
              <w:t>o</w:t>
            </w:r>
          </w:p>
          <w:p>
            <w:pPr>
              <w:pStyle w:val="TableParagraph"/>
              <w:spacing w:line="281" w:lineRule="exact"/>
              <w:ind w:left="106"/>
              <w:rPr>
                <w:sz w:val="24"/>
              </w:rPr>
            </w:pPr>
            <w:r>
              <w:rPr>
                <w:spacing w:val="-10"/>
                <w:sz w:val="24"/>
              </w:rPr>
              <w:t>3</w:t>
            </w:r>
          </w:p>
          <w:p>
            <w:pPr>
              <w:pStyle w:val="TableParagraph"/>
              <w:spacing w:line="280" w:lineRule="exact"/>
              <w:ind w:left="106" w:right="278"/>
              <w:rPr>
                <w:sz w:val="24"/>
              </w:rPr>
            </w:pPr>
            <w:r>
              <w:rPr>
                <w:sz w:val="24"/>
              </w:rPr>
              <w:t>In</w:t>
            </w:r>
            <w:r>
              <w:rPr>
                <w:spacing w:val="-20"/>
                <w:sz w:val="24"/>
              </w:rPr>
              <w:t> </w:t>
            </w:r>
            <w:r>
              <w:rPr>
                <w:sz w:val="24"/>
              </w:rPr>
              <w:t>case of 3</w:t>
            </w:r>
          </w:p>
        </w:tc>
      </w:tr>
    </w:tbl>
    <w:p>
      <w:pPr>
        <w:pStyle w:val="TableParagraph"/>
        <w:spacing w:after="0" w:line="280" w:lineRule="exact"/>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1127"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rPr>
                <w:rFonts w:ascii="Times New Roman"/>
                <w:sz w:val="22"/>
              </w:rPr>
            </w:pPr>
          </w:p>
        </w:tc>
        <w:tc>
          <w:tcPr>
            <w:tcW w:w="2094" w:type="dxa"/>
          </w:tcPr>
          <w:p>
            <w:pPr>
              <w:pStyle w:val="TableParagraph"/>
              <w:ind w:left="106" w:right="55"/>
              <w:rPr>
                <w:sz w:val="24"/>
              </w:rPr>
            </w:pPr>
            <w:r>
              <w:rPr>
                <w:spacing w:val="-2"/>
                <w:sz w:val="24"/>
              </w:rPr>
              <w:t>Watchman </w:t>
            </w:r>
            <w:r>
              <w:rPr>
                <w:sz w:val="24"/>
              </w:rPr>
              <w:t>cabin,</w:t>
            </w:r>
            <w:r>
              <w:rPr>
                <w:spacing w:val="-20"/>
                <w:sz w:val="24"/>
              </w:rPr>
              <w:t> </w:t>
            </w:r>
            <w:r>
              <w:rPr>
                <w:sz w:val="24"/>
              </w:rPr>
              <w:t>Gardener</w:t>
            </w:r>
          </w:p>
          <w:p>
            <w:pPr>
              <w:pStyle w:val="TableParagraph"/>
              <w:spacing w:line="280" w:lineRule="exact"/>
              <w:ind w:left="106" w:right="352"/>
              <w:rPr>
                <w:sz w:val="24"/>
              </w:rPr>
            </w:pPr>
            <w:r>
              <w:rPr>
                <w:sz w:val="24"/>
              </w:rPr>
              <w:t>chowky,</w:t>
            </w:r>
            <w:r>
              <w:rPr>
                <w:spacing w:val="-20"/>
                <w:sz w:val="24"/>
              </w:rPr>
              <w:t> </w:t>
            </w:r>
            <w:r>
              <w:rPr>
                <w:sz w:val="24"/>
              </w:rPr>
              <w:t>toilet </w:t>
            </w:r>
            <w:r>
              <w:rPr>
                <w:spacing w:val="-2"/>
                <w:sz w:val="24"/>
              </w:rPr>
              <w:t>block.</w:t>
            </w:r>
          </w:p>
        </w:tc>
        <w:tc>
          <w:tcPr>
            <w:tcW w:w="1306" w:type="dxa"/>
          </w:tcPr>
          <w:p>
            <w:pPr>
              <w:pStyle w:val="TableParagraph"/>
              <w:ind w:left="106" w:right="365" w:hanging="41"/>
              <w:rPr>
                <w:sz w:val="24"/>
              </w:rPr>
            </w:pPr>
            <w:r>
              <w:rPr>
                <w:spacing w:val="-2"/>
                <w:sz w:val="24"/>
              </w:rPr>
              <w:t>a)X=50 b)Y=40</w:t>
            </w:r>
          </w:p>
        </w:tc>
      </w:tr>
      <w:tr>
        <w:trPr>
          <w:trHeight w:val="6768" w:hRule="atLeast"/>
        </w:trPr>
        <w:tc>
          <w:tcPr>
            <w:tcW w:w="560" w:type="dxa"/>
          </w:tcPr>
          <w:p>
            <w:pPr>
              <w:pStyle w:val="TableParagraph"/>
              <w:rPr>
                <w:b/>
                <w:sz w:val="24"/>
              </w:rPr>
            </w:pPr>
          </w:p>
          <w:p>
            <w:pPr>
              <w:pStyle w:val="TableParagraph"/>
              <w:rPr>
                <w:b/>
                <w:sz w:val="24"/>
              </w:rPr>
            </w:pPr>
          </w:p>
          <w:p>
            <w:pPr>
              <w:pStyle w:val="TableParagraph"/>
              <w:spacing w:before="280"/>
              <w:rPr>
                <w:b/>
                <w:sz w:val="24"/>
              </w:rPr>
            </w:pPr>
          </w:p>
          <w:p>
            <w:pPr>
              <w:pStyle w:val="TableParagraph"/>
              <w:ind w:left="6" w:right="40"/>
              <w:jc w:val="center"/>
              <w:rPr>
                <w:sz w:val="24"/>
              </w:rPr>
            </w:pPr>
            <w:r>
              <w:rPr>
                <w:spacing w:val="-5"/>
                <w:sz w:val="24"/>
              </w:rPr>
              <w:t>18</w:t>
            </w:r>
          </w:p>
        </w:tc>
        <w:tc>
          <w:tcPr>
            <w:tcW w:w="1349" w:type="dxa"/>
          </w:tcPr>
          <w:p>
            <w:pPr>
              <w:pStyle w:val="TableParagraph"/>
              <w:rPr>
                <w:rFonts w:ascii="Times New Roman"/>
                <w:sz w:val="22"/>
              </w:rPr>
            </w:pPr>
          </w:p>
        </w:tc>
        <w:tc>
          <w:tcPr>
            <w:tcW w:w="105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96"/>
              <w:rPr>
                <w:b/>
                <w:sz w:val="24"/>
              </w:rPr>
            </w:pPr>
          </w:p>
          <w:p>
            <w:pPr>
              <w:pStyle w:val="TableParagraph"/>
              <w:ind w:left="23"/>
              <w:rPr>
                <w:sz w:val="24"/>
              </w:rPr>
            </w:pPr>
            <w:r>
              <w:rPr>
                <w:spacing w:val="-2"/>
                <w:sz w:val="24"/>
              </w:rPr>
              <w:t>ROS2.5</w:t>
            </w:r>
          </w:p>
        </w:tc>
        <w:tc>
          <w:tcPr>
            <w:tcW w:w="1260" w:type="dxa"/>
          </w:tcPr>
          <w:p>
            <w:pPr>
              <w:pStyle w:val="TableParagraph"/>
              <w:rPr>
                <w:b/>
                <w:sz w:val="24"/>
              </w:rPr>
            </w:pPr>
          </w:p>
          <w:p>
            <w:pPr>
              <w:pStyle w:val="TableParagraph"/>
              <w:rPr>
                <w:b/>
                <w:sz w:val="24"/>
              </w:rPr>
            </w:pPr>
          </w:p>
          <w:p>
            <w:pPr>
              <w:pStyle w:val="TableParagraph"/>
              <w:spacing w:before="4"/>
              <w:rPr>
                <w:b/>
                <w:sz w:val="24"/>
              </w:rPr>
            </w:pPr>
          </w:p>
          <w:p>
            <w:pPr>
              <w:pStyle w:val="TableParagraph"/>
              <w:ind w:left="106" w:right="120"/>
              <w:rPr>
                <w:sz w:val="24"/>
              </w:rPr>
            </w:pPr>
            <w:r>
              <w:rPr>
                <w:spacing w:val="-2"/>
                <w:sz w:val="24"/>
              </w:rPr>
              <w:t>Sports Complex</w:t>
            </w:r>
          </w:p>
          <w:p>
            <w:pPr>
              <w:pStyle w:val="TableParagraph"/>
              <w:ind w:left="106"/>
              <w:rPr>
                <w:sz w:val="24"/>
              </w:rPr>
            </w:pPr>
            <w:r>
              <w:rPr>
                <w:spacing w:val="-2"/>
                <w:sz w:val="24"/>
              </w:rPr>
              <w:t>/Stadium</w:t>
            </w:r>
          </w:p>
        </w:tc>
        <w:tc>
          <w:tcPr>
            <w:tcW w:w="2679" w:type="dxa"/>
          </w:tcPr>
          <w:p>
            <w:pPr>
              <w:pStyle w:val="TableParagraph"/>
              <w:tabs>
                <w:tab w:pos="1659" w:val="left" w:leader="none"/>
              </w:tabs>
              <w:spacing w:before="95"/>
              <w:ind w:left="106" w:right="85"/>
              <w:jc w:val="both"/>
              <w:rPr>
                <w:sz w:val="24"/>
              </w:rPr>
            </w:pPr>
            <w:r>
              <w:rPr>
                <w:sz w:val="24"/>
              </w:rPr>
              <w:t>Sports Complex for various or individual </w:t>
            </w:r>
            <w:r>
              <w:rPr>
                <w:spacing w:val="-2"/>
                <w:sz w:val="24"/>
              </w:rPr>
              <w:t>sports</w:t>
            </w:r>
            <w:r>
              <w:rPr>
                <w:sz w:val="24"/>
              </w:rPr>
              <w:tab/>
            </w:r>
            <w:r>
              <w:rPr>
                <w:spacing w:val="-2"/>
                <w:sz w:val="24"/>
              </w:rPr>
              <w:t>activity,</w:t>
            </w:r>
          </w:p>
          <w:p>
            <w:pPr>
              <w:pStyle w:val="TableParagraph"/>
              <w:tabs>
                <w:tab w:pos="1167" w:val="left" w:leader="none"/>
                <w:tab w:pos="1709" w:val="left" w:leader="none"/>
                <w:tab w:pos="1774" w:val="left" w:leader="none"/>
                <w:tab w:pos="1815" w:val="left" w:leader="none"/>
                <w:tab w:pos="2014" w:val="left" w:leader="none"/>
                <w:tab w:pos="2261" w:val="left" w:leader="none"/>
              </w:tabs>
              <w:ind w:left="106" w:right="86"/>
              <w:rPr>
                <w:sz w:val="24"/>
              </w:rPr>
            </w:pPr>
            <w:r>
              <w:rPr>
                <w:spacing w:val="-2"/>
                <w:sz w:val="24"/>
              </w:rPr>
              <w:t>Enclosed</w:t>
            </w:r>
            <w:r>
              <w:rPr>
                <w:sz w:val="24"/>
              </w:rPr>
              <w:tab/>
              <w:tab/>
              <w:tab/>
            </w:r>
            <w:r>
              <w:rPr>
                <w:spacing w:val="-2"/>
                <w:sz w:val="24"/>
              </w:rPr>
              <w:t>Sports facility</w:t>
            </w:r>
            <w:r>
              <w:rPr>
                <w:sz w:val="24"/>
              </w:rPr>
              <w:tab/>
            </w:r>
            <w:r>
              <w:rPr>
                <w:spacing w:val="-50"/>
                <w:sz w:val="24"/>
              </w:rPr>
              <w:t> </w:t>
            </w:r>
            <w:r>
              <w:rPr>
                <w:sz w:val="24"/>
              </w:rPr>
              <w:t>for</w:t>
              <w:tab/>
              <w:tab/>
              <w:tab/>
            </w:r>
            <w:r>
              <w:rPr>
                <w:spacing w:val="-69"/>
                <w:sz w:val="24"/>
              </w:rPr>
              <w:t> </w:t>
            </w:r>
            <w:r>
              <w:rPr>
                <w:spacing w:val="-2"/>
                <w:sz w:val="24"/>
              </w:rPr>
              <w:t>indoor games,</w:t>
            </w:r>
            <w:r>
              <w:rPr>
                <w:sz w:val="24"/>
              </w:rPr>
              <w:tab/>
            </w:r>
            <w:r>
              <w:rPr>
                <w:spacing w:val="-2"/>
                <w:sz w:val="24"/>
              </w:rPr>
              <w:t>Facility</w:t>
            </w:r>
            <w:r>
              <w:rPr>
                <w:sz w:val="24"/>
              </w:rPr>
              <w:tab/>
              <w:tab/>
            </w:r>
            <w:r>
              <w:rPr>
                <w:spacing w:val="-4"/>
                <w:sz w:val="24"/>
              </w:rPr>
              <w:t>for </w:t>
            </w:r>
            <w:r>
              <w:rPr>
                <w:spacing w:val="-2"/>
                <w:sz w:val="24"/>
              </w:rPr>
              <w:t>Indian</w:t>
            </w:r>
            <w:r>
              <w:rPr>
                <w:sz w:val="24"/>
              </w:rPr>
              <w:tab/>
              <w:tab/>
              <w:tab/>
            </w:r>
            <w:r>
              <w:rPr>
                <w:spacing w:val="-2"/>
                <w:sz w:val="24"/>
              </w:rPr>
              <w:t>sports, Gymnasium, Swimming</w:t>
            </w:r>
            <w:r>
              <w:rPr>
                <w:sz w:val="24"/>
              </w:rPr>
              <w:tab/>
              <w:tab/>
              <w:tab/>
              <w:tab/>
            </w:r>
            <w:r>
              <w:rPr>
                <w:spacing w:val="-2"/>
                <w:sz w:val="24"/>
              </w:rPr>
              <w:t>Pool, Changing</w:t>
            </w:r>
            <w:r>
              <w:rPr>
                <w:sz w:val="24"/>
              </w:rPr>
              <w:tab/>
            </w:r>
            <w:r>
              <w:rPr>
                <w:spacing w:val="-2"/>
                <w:sz w:val="24"/>
              </w:rPr>
              <w:t>Rooms, </w:t>
            </w:r>
            <w:r>
              <w:rPr>
                <w:sz w:val="24"/>
              </w:rPr>
              <w:t>Locker Room</w:t>
            </w:r>
          </w:p>
        </w:tc>
        <w:tc>
          <w:tcPr>
            <w:tcW w:w="2094" w:type="dxa"/>
          </w:tcPr>
          <w:p>
            <w:pPr>
              <w:pStyle w:val="TableParagraph"/>
              <w:numPr>
                <w:ilvl w:val="0"/>
                <w:numId w:val="42"/>
              </w:numPr>
              <w:tabs>
                <w:tab w:pos="359" w:val="left" w:leader="none"/>
                <w:tab w:pos="1320" w:val="left" w:leader="none"/>
                <w:tab w:pos="1488" w:val="left" w:leader="none"/>
              </w:tabs>
              <w:spacing w:line="240" w:lineRule="auto" w:before="95" w:after="0"/>
              <w:ind w:left="106" w:right="146" w:firstLine="0"/>
              <w:jc w:val="left"/>
              <w:rPr>
                <w:sz w:val="24"/>
              </w:rPr>
            </w:pPr>
            <w:r>
              <w:rPr>
                <w:sz w:val="24"/>
              </w:rPr>
              <w:t>Hostel</w:t>
            </w:r>
            <w:r>
              <w:rPr>
                <w:spacing w:val="-2"/>
                <w:sz w:val="24"/>
              </w:rPr>
              <w:t> </w:t>
            </w:r>
            <w:r>
              <w:rPr>
                <w:sz w:val="24"/>
              </w:rPr>
              <w:t>rooms </w:t>
            </w:r>
            <w:r>
              <w:rPr>
                <w:spacing w:val="-4"/>
                <w:sz w:val="24"/>
              </w:rPr>
              <w:t>and</w:t>
            </w:r>
            <w:r>
              <w:rPr>
                <w:sz w:val="24"/>
              </w:rPr>
              <w:tab/>
            </w:r>
            <w:r>
              <w:rPr>
                <w:spacing w:val="-4"/>
                <w:sz w:val="24"/>
              </w:rPr>
              <w:t>other </w:t>
            </w:r>
            <w:r>
              <w:rPr>
                <w:spacing w:val="-2"/>
                <w:sz w:val="24"/>
              </w:rPr>
              <w:t>ancillary facilities, welfare activities,</w:t>
            </w:r>
            <w:r>
              <w:rPr>
                <w:spacing w:val="80"/>
                <w:sz w:val="24"/>
              </w:rPr>
              <w:t> </w:t>
            </w:r>
            <w:r>
              <w:rPr>
                <w:spacing w:val="-2"/>
                <w:sz w:val="24"/>
              </w:rPr>
              <w:t>social</w:t>
            </w:r>
            <w:r>
              <w:rPr>
                <w:sz w:val="24"/>
              </w:rPr>
              <w:tab/>
              <w:tab/>
            </w:r>
            <w:r>
              <w:rPr>
                <w:spacing w:val="-4"/>
                <w:sz w:val="24"/>
              </w:rPr>
              <w:t>and </w:t>
            </w:r>
            <w:r>
              <w:rPr>
                <w:spacing w:val="-2"/>
                <w:sz w:val="24"/>
              </w:rPr>
              <w:t>cultural activity\ amenities, watchman’s cabin, gardeners chowky, instrument </w:t>
            </w:r>
            <w:r>
              <w:rPr>
                <w:sz w:val="24"/>
              </w:rPr>
              <w:t>room.</w:t>
            </w:r>
            <w:r>
              <w:rPr>
                <w:spacing w:val="40"/>
                <w:sz w:val="24"/>
              </w:rPr>
              <w:t> </w:t>
            </w:r>
            <w:r>
              <w:rPr>
                <w:sz w:val="24"/>
              </w:rPr>
              <w:t>Art</w:t>
            </w:r>
            <w:r>
              <w:rPr>
                <w:spacing w:val="40"/>
                <w:sz w:val="24"/>
              </w:rPr>
              <w:t> </w:t>
            </w:r>
            <w:r>
              <w:rPr>
                <w:sz w:val="24"/>
              </w:rPr>
              <w:t>and culture</w:t>
            </w:r>
            <w:r>
              <w:rPr>
                <w:spacing w:val="40"/>
                <w:sz w:val="24"/>
              </w:rPr>
              <w:t> </w:t>
            </w:r>
            <w:r>
              <w:rPr>
                <w:sz w:val="24"/>
              </w:rPr>
              <w:t>related uses, etc.</w:t>
            </w:r>
          </w:p>
          <w:p>
            <w:pPr>
              <w:pStyle w:val="TableParagraph"/>
              <w:numPr>
                <w:ilvl w:val="0"/>
                <w:numId w:val="42"/>
              </w:numPr>
              <w:tabs>
                <w:tab w:pos="1109" w:val="left" w:leader="none"/>
              </w:tabs>
              <w:spacing w:line="240" w:lineRule="auto" w:before="97" w:after="0"/>
              <w:ind w:left="106" w:right="146" w:firstLine="0"/>
              <w:jc w:val="left"/>
              <w:rPr>
                <w:sz w:val="24"/>
              </w:rPr>
            </w:pPr>
            <w:r>
              <w:rPr>
                <w:spacing w:val="-2"/>
                <w:sz w:val="24"/>
              </w:rPr>
              <w:t>Banks, Restaurants </w:t>
            </w:r>
            <w:r>
              <w:rPr>
                <w:spacing w:val="-4"/>
                <w:sz w:val="24"/>
              </w:rPr>
              <w:t>rest</w:t>
            </w:r>
            <w:r>
              <w:rPr>
                <w:sz w:val="24"/>
              </w:rPr>
              <w:tab/>
            </w:r>
            <w:r>
              <w:rPr>
                <w:spacing w:val="-53"/>
                <w:sz w:val="24"/>
              </w:rPr>
              <w:t> </w:t>
            </w:r>
            <w:r>
              <w:rPr>
                <w:spacing w:val="-2"/>
                <w:sz w:val="24"/>
              </w:rPr>
              <w:t>rooms, Sport Store/Shop.</w:t>
            </w:r>
          </w:p>
        </w:tc>
        <w:tc>
          <w:tcPr>
            <w:tcW w:w="1306" w:type="dxa"/>
          </w:tcPr>
          <w:p>
            <w:pPr>
              <w:pStyle w:val="TableParagraph"/>
              <w:spacing w:line="282" w:lineRule="exact" w:before="95"/>
              <w:ind w:left="106"/>
              <w:rPr>
                <w:sz w:val="24"/>
              </w:rPr>
            </w:pPr>
            <w:r>
              <w:rPr>
                <w:sz w:val="24"/>
              </w:rPr>
              <w:t>1 or 2 </w:t>
            </w:r>
            <w:r>
              <w:rPr>
                <w:spacing w:val="-5"/>
                <w:sz w:val="24"/>
              </w:rPr>
              <w:t>or</w:t>
            </w:r>
          </w:p>
          <w:p>
            <w:pPr>
              <w:pStyle w:val="TableParagraph"/>
              <w:ind w:left="106"/>
              <w:rPr>
                <w:sz w:val="24"/>
              </w:rPr>
            </w:pPr>
            <w:r>
              <w:rPr>
                <w:spacing w:val="-10"/>
                <w:sz w:val="24"/>
              </w:rPr>
              <w:t>3</w:t>
            </w:r>
          </w:p>
          <w:p>
            <w:pPr>
              <w:pStyle w:val="TableParagraph"/>
              <w:numPr>
                <w:ilvl w:val="0"/>
                <w:numId w:val="43"/>
              </w:numPr>
              <w:tabs>
                <w:tab w:pos="378" w:val="left" w:leader="none"/>
              </w:tabs>
              <w:spacing w:line="240" w:lineRule="auto" w:before="95" w:after="0"/>
              <w:ind w:left="378" w:right="0" w:hanging="272"/>
              <w:jc w:val="left"/>
              <w:rPr>
                <w:sz w:val="24"/>
              </w:rPr>
            </w:pPr>
            <w:r>
              <w:rPr>
                <w:sz w:val="24"/>
              </w:rPr>
              <w:t>Za=</w:t>
            </w:r>
            <w:r>
              <w:rPr>
                <w:spacing w:val="-6"/>
                <w:sz w:val="24"/>
              </w:rPr>
              <w:t> </w:t>
            </w:r>
            <w:r>
              <w:rPr>
                <w:spacing w:val="-5"/>
                <w:sz w:val="24"/>
              </w:rPr>
              <w:t>25</w:t>
            </w:r>
          </w:p>
          <w:p>
            <w:pPr>
              <w:pStyle w:val="TableParagraph"/>
              <w:numPr>
                <w:ilvl w:val="0"/>
                <w:numId w:val="43"/>
              </w:numPr>
              <w:tabs>
                <w:tab w:pos="324" w:val="left" w:leader="none"/>
              </w:tabs>
              <w:spacing w:line="240" w:lineRule="auto" w:before="97" w:after="0"/>
              <w:ind w:left="324" w:right="0" w:hanging="218"/>
              <w:jc w:val="left"/>
              <w:rPr>
                <w:sz w:val="24"/>
              </w:rPr>
            </w:pPr>
            <w:r>
              <w:rPr>
                <w:sz w:val="24"/>
              </w:rPr>
              <w:t>Zb=</w:t>
            </w:r>
            <w:r>
              <w:rPr>
                <w:spacing w:val="-2"/>
                <w:sz w:val="24"/>
              </w:rPr>
              <w:t> </w:t>
            </w:r>
            <w:r>
              <w:rPr>
                <w:spacing w:val="-5"/>
                <w:sz w:val="24"/>
              </w:rPr>
              <w:t>50</w:t>
            </w:r>
          </w:p>
          <w:p>
            <w:pPr>
              <w:pStyle w:val="TableParagraph"/>
              <w:spacing w:before="95"/>
              <w:ind w:left="106" w:right="278"/>
              <w:rPr>
                <w:sz w:val="24"/>
              </w:rPr>
            </w:pPr>
            <w:r>
              <w:rPr>
                <w:sz w:val="24"/>
              </w:rPr>
              <w:t>In</w:t>
            </w:r>
            <w:r>
              <w:rPr>
                <w:spacing w:val="-20"/>
                <w:sz w:val="24"/>
              </w:rPr>
              <w:t> </w:t>
            </w:r>
            <w:r>
              <w:rPr>
                <w:sz w:val="24"/>
              </w:rPr>
              <w:t>case of 3</w:t>
            </w:r>
          </w:p>
          <w:p>
            <w:pPr>
              <w:pStyle w:val="TableParagraph"/>
              <w:spacing w:line="281" w:lineRule="exact" w:before="97"/>
              <w:ind w:left="106"/>
              <w:rPr>
                <w:sz w:val="24"/>
              </w:rPr>
            </w:pPr>
            <w:r>
              <w:rPr>
                <w:spacing w:val="-4"/>
                <w:sz w:val="24"/>
              </w:rPr>
              <w:t>Y=70</w:t>
            </w:r>
          </w:p>
          <w:p>
            <w:pPr>
              <w:pStyle w:val="TableParagraph"/>
              <w:ind w:left="106" w:right="98"/>
              <w:rPr>
                <w:sz w:val="24"/>
              </w:rPr>
            </w:pPr>
            <w:r>
              <w:rPr>
                <w:spacing w:val="-4"/>
                <w:sz w:val="24"/>
              </w:rPr>
              <w:t>and </w:t>
            </w:r>
            <w:r>
              <w:rPr>
                <w:spacing w:val="-2"/>
                <w:sz w:val="24"/>
              </w:rPr>
              <w:t>minimu </w:t>
            </w:r>
            <w:r>
              <w:rPr>
                <w:sz w:val="24"/>
              </w:rPr>
              <w:t>m area</w:t>
            </w:r>
            <w:r>
              <w:rPr>
                <w:spacing w:val="80"/>
                <w:sz w:val="24"/>
              </w:rPr>
              <w:t> </w:t>
            </w:r>
            <w:r>
              <w:rPr>
                <w:spacing w:val="-6"/>
                <w:sz w:val="24"/>
              </w:rPr>
              <w:t>of </w:t>
            </w:r>
            <w:r>
              <w:rPr>
                <w:spacing w:val="-2"/>
                <w:sz w:val="24"/>
              </w:rPr>
              <w:t>reserved </w:t>
            </w:r>
            <w:r>
              <w:rPr>
                <w:sz w:val="24"/>
              </w:rPr>
              <w:t>plot</w:t>
            </w:r>
            <w:r>
              <w:rPr>
                <w:spacing w:val="-20"/>
                <w:sz w:val="24"/>
              </w:rPr>
              <w:t> </w:t>
            </w:r>
            <w:r>
              <w:rPr>
                <w:sz w:val="24"/>
              </w:rPr>
              <w:t>shall </w:t>
            </w:r>
            <w:r>
              <w:rPr>
                <w:spacing w:val="-6"/>
                <w:sz w:val="24"/>
              </w:rPr>
              <w:t>be</w:t>
            </w:r>
            <w:r>
              <w:rPr>
                <w:spacing w:val="80"/>
                <w:sz w:val="24"/>
              </w:rPr>
              <w:t> </w:t>
            </w:r>
            <w:r>
              <w:rPr>
                <w:spacing w:val="-2"/>
                <w:sz w:val="24"/>
              </w:rPr>
              <w:t>50000</w:t>
            </w:r>
          </w:p>
          <w:p>
            <w:pPr>
              <w:pStyle w:val="TableParagraph"/>
              <w:ind w:left="106"/>
              <w:rPr>
                <w:sz w:val="24"/>
              </w:rPr>
            </w:pPr>
            <w:r>
              <w:rPr>
                <w:sz w:val="24"/>
              </w:rPr>
              <w:t>sq. </w:t>
            </w:r>
            <w:r>
              <w:rPr>
                <w:spacing w:val="-5"/>
                <w:sz w:val="24"/>
              </w:rPr>
              <w:t>m.</w:t>
            </w:r>
          </w:p>
        </w:tc>
      </w:tr>
      <w:tr>
        <w:trPr>
          <w:trHeight w:val="1970" w:hRule="atLeast"/>
        </w:trPr>
        <w:tc>
          <w:tcPr>
            <w:tcW w:w="560" w:type="dxa"/>
          </w:tcPr>
          <w:p>
            <w:pPr>
              <w:pStyle w:val="TableParagraph"/>
              <w:rPr>
                <w:b/>
                <w:sz w:val="24"/>
              </w:rPr>
            </w:pPr>
          </w:p>
          <w:p>
            <w:pPr>
              <w:pStyle w:val="TableParagraph"/>
              <w:spacing w:before="281"/>
              <w:rPr>
                <w:b/>
                <w:sz w:val="24"/>
              </w:rPr>
            </w:pPr>
          </w:p>
          <w:p>
            <w:pPr>
              <w:pStyle w:val="TableParagraph"/>
              <w:ind w:left="6" w:right="40"/>
              <w:jc w:val="center"/>
              <w:rPr>
                <w:sz w:val="24"/>
              </w:rPr>
            </w:pPr>
            <w:r>
              <w:rPr>
                <w:spacing w:val="-5"/>
                <w:sz w:val="24"/>
              </w:rPr>
              <w:t>19</w:t>
            </w:r>
          </w:p>
        </w:tc>
        <w:tc>
          <w:tcPr>
            <w:tcW w:w="1349" w:type="dxa"/>
            <w:vMerge w:val="restart"/>
          </w:tcPr>
          <w:p>
            <w:pPr>
              <w:pStyle w:val="TableParagraph"/>
              <w:spacing w:before="279"/>
              <w:rPr>
                <w:b/>
                <w:sz w:val="24"/>
              </w:rPr>
            </w:pPr>
          </w:p>
          <w:p>
            <w:pPr>
              <w:pStyle w:val="TableParagraph"/>
              <w:ind w:left="105"/>
              <w:rPr>
                <w:sz w:val="24"/>
              </w:rPr>
            </w:pPr>
            <w:r>
              <w:rPr>
                <w:spacing w:val="-2"/>
                <w:sz w:val="24"/>
              </w:rPr>
              <w:t>Housing</w:t>
            </w:r>
          </w:p>
        </w:tc>
        <w:tc>
          <w:tcPr>
            <w:tcW w:w="1057" w:type="dxa"/>
          </w:tcPr>
          <w:p>
            <w:pPr>
              <w:pStyle w:val="TableParagraph"/>
              <w:spacing w:line="281" w:lineRule="exact"/>
              <w:ind w:left="66"/>
              <w:rPr>
                <w:sz w:val="24"/>
              </w:rPr>
            </w:pPr>
            <w:r>
              <w:rPr>
                <w:spacing w:val="-2"/>
                <w:sz w:val="24"/>
              </w:rPr>
              <w:t>RR1.1</w:t>
            </w:r>
          </w:p>
        </w:tc>
        <w:tc>
          <w:tcPr>
            <w:tcW w:w="1260" w:type="dxa"/>
          </w:tcPr>
          <w:p>
            <w:pPr>
              <w:pStyle w:val="TableParagraph"/>
              <w:ind w:left="66" w:right="80"/>
              <w:rPr>
                <w:sz w:val="24"/>
              </w:rPr>
            </w:pPr>
            <w:r>
              <w:rPr>
                <w:spacing w:val="-2"/>
                <w:sz w:val="24"/>
              </w:rPr>
              <w:t>Municipa </w:t>
            </w:r>
            <w:r>
              <w:rPr>
                <w:sz w:val="24"/>
              </w:rPr>
              <w:t>l Staff </w:t>
            </w:r>
            <w:r>
              <w:rPr>
                <w:spacing w:val="-2"/>
                <w:sz w:val="24"/>
              </w:rPr>
              <w:t>Quarters</w:t>
            </w:r>
          </w:p>
        </w:tc>
        <w:tc>
          <w:tcPr>
            <w:tcW w:w="2679" w:type="dxa"/>
          </w:tcPr>
          <w:p>
            <w:pPr>
              <w:pStyle w:val="TableParagraph"/>
              <w:ind w:left="66"/>
              <w:rPr>
                <w:sz w:val="24"/>
              </w:rPr>
            </w:pPr>
            <w:r>
              <w:rPr>
                <w:sz w:val="24"/>
              </w:rPr>
              <w:t>Municipal Staff Quarters,</w:t>
            </w:r>
            <w:r>
              <w:rPr>
                <w:spacing w:val="-20"/>
                <w:sz w:val="24"/>
              </w:rPr>
              <w:t> </w:t>
            </w:r>
            <w:r>
              <w:rPr>
                <w:sz w:val="24"/>
              </w:rPr>
              <w:t>Municipal </w:t>
            </w:r>
            <w:r>
              <w:rPr>
                <w:spacing w:val="-2"/>
                <w:sz w:val="24"/>
              </w:rPr>
              <w:t>chowky, </w:t>
            </w:r>
            <w:r>
              <w:rPr>
                <w:sz w:val="24"/>
              </w:rPr>
              <w:t>Administrative area</w:t>
            </w:r>
          </w:p>
        </w:tc>
        <w:tc>
          <w:tcPr>
            <w:tcW w:w="2094" w:type="dxa"/>
          </w:tcPr>
          <w:p>
            <w:pPr>
              <w:pStyle w:val="TableParagraph"/>
              <w:rPr>
                <w:rFonts w:ascii="Times New Roman"/>
                <w:sz w:val="22"/>
              </w:rPr>
            </w:pPr>
          </w:p>
        </w:tc>
        <w:tc>
          <w:tcPr>
            <w:tcW w:w="1306" w:type="dxa"/>
          </w:tcPr>
          <w:p>
            <w:pPr>
              <w:pStyle w:val="TableParagraph"/>
              <w:ind w:left="180" w:right="98"/>
              <w:rPr>
                <w:sz w:val="24"/>
              </w:rPr>
            </w:pPr>
            <w:r>
              <w:rPr>
                <w:sz w:val="24"/>
              </w:rPr>
              <w:t>1</w:t>
            </w:r>
            <w:r>
              <w:rPr>
                <w:spacing w:val="-19"/>
                <w:sz w:val="24"/>
              </w:rPr>
              <w:t> </w:t>
            </w:r>
            <w:r>
              <w:rPr>
                <w:sz w:val="24"/>
              </w:rPr>
              <w:t>or</w:t>
            </w:r>
            <w:r>
              <w:rPr>
                <w:spacing w:val="-19"/>
                <w:sz w:val="24"/>
              </w:rPr>
              <w:t> </w:t>
            </w:r>
            <w:r>
              <w:rPr>
                <w:sz w:val="24"/>
              </w:rPr>
              <w:t>3, </w:t>
            </w:r>
            <w:r>
              <w:rPr>
                <w:spacing w:val="-2"/>
                <w:sz w:val="24"/>
              </w:rPr>
              <w:t>Zb=10</w:t>
            </w:r>
          </w:p>
          <w:p>
            <w:pPr>
              <w:pStyle w:val="TableParagraph"/>
              <w:spacing w:line="242" w:lineRule="auto"/>
              <w:ind w:left="180" w:right="278"/>
              <w:rPr>
                <w:sz w:val="24"/>
              </w:rPr>
            </w:pPr>
            <w:r>
              <w:rPr>
                <w:sz w:val="24"/>
              </w:rPr>
              <w:t>In</w:t>
            </w:r>
            <w:r>
              <w:rPr>
                <w:spacing w:val="-20"/>
                <w:sz w:val="24"/>
              </w:rPr>
              <w:t> </w:t>
            </w:r>
            <w:r>
              <w:rPr>
                <w:sz w:val="24"/>
              </w:rPr>
              <w:t>case of 3</w:t>
            </w:r>
          </w:p>
          <w:p>
            <w:pPr>
              <w:pStyle w:val="TableParagraph"/>
              <w:numPr>
                <w:ilvl w:val="0"/>
                <w:numId w:val="44"/>
              </w:numPr>
              <w:tabs>
                <w:tab w:pos="393" w:val="left" w:leader="none"/>
              </w:tabs>
              <w:spacing w:line="277" w:lineRule="exact" w:before="0" w:after="0"/>
              <w:ind w:left="393" w:right="0" w:hanging="287"/>
              <w:jc w:val="left"/>
              <w:rPr>
                <w:sz w:val="24"/>
              </w:rPr>
            </w:pPr>
            <w:r>
              <w:rPr>
                <w:spacing w:val="-4"/>
                <w:sz w:val="24"/>
              </w:rPr>
              <w:t>X=50</w:t>
            </w:r>
          </w:p>
          <w:p>
            <w:pPr>
              <w:pStyle w:val="TableParagraph"/>
              <w:numPr>
                <w:ilvl w:val="0"/>
                <w:numId w:val="44"/>
              </w:numPr>
              <w:tabs>
                <w:tab w:pos="403" w:val="left" w:leader="none"/>
              </w:tabs>
              <w:spacing w:line="240" w:lineRule="auto" w:before="0" w:after="0"/>
              <w:ind w:left="403" w:right="0" w:hanging="297"/>
              <w:jc w:val="left"/>
              <w:rPr>
                <w:sz w:val="24"/>
              </w:rPr>
            </w:pPr>
            <w:r>
              <w:rPr>
                <w:spacing w:val="-4"/>
                <w:sz w:val="24"/>
              </w:rPr>
              <w:t>Y=40</w:t>
            </w:r>
          </w:p>
        </w:tc>
      </w:tr>
      <w:tr>
        <w:trPr>
          <w:trHeight w:val="1698" w:hRule="atLeast"/>
        </w:trPr>
        <w:tc>
          <w:tcPr>
            <w:tcW w:w="560" w:type="dxa"/>
          </w:tcPr>
          <w:p>
            <w:pPr>
              <w:pStyle w:val="TableParagraph"/>
              <w:rPr>
                <w:b/>
                <w:sz w:val="24"/>
              </w:rPr>
            </w:pPr>
          </w:p>
          <w:p>
            <w:pPr>
              <w:pStyle w:val="TableParagraph"/>
              <w:ind w:left="6" w:right="40"/>
              <w:jc w:val="center"/>
              <w:rPr>
                <w:sz w:val="24"/>
              </w:rPr>
            </w:pPr>
            <w:r>
              <w:rPr>
                <w:spacing w:val="-5"/>
                <w:sz w:val="24"/>
              </w:rPr>
              <w:t>20</w:t>
            </w:r>
          </w:p>
        </w:tc>
        <w:tc>
          <w:tcPr>
            <w:tcW w:w="1349" w:type="dxa"/>
            <w:vMerge/>
            <w:tcBorders>
              <w:top w:val="nil"/>
            </w:tcBorders>
          </w:tcPr>
          <w:p>
            <w:pPr>
              <w:rPr>
                <w:sz w:val="2"/>
                <w:szCs w:val="2"/>
              </w:rPr>
            </w:pPr>
          </w:p>
        </w:tc>
        <w:tc>
          <w:tcPr>
            <w:tcW w:w="1057" w:type="dxa"/>
          </w:tcPr>
          <w:p>
            <w:pPr>
              <w:pStyle w:val="TableParagraph"/>
              <w:spacing w:before="97"/>
              <w:ind w:left="107"/>
              <w:rPr>
                <w:sz w:val="24"/>
              </w:rPr>
            </w:pPr>
            <w:r>
              <w:rPr>
                <w:spacing w:val="-2"/>
                <w:sz w:val="24"/>
              </w:rPr>
              <w:t>RR1.2</w:t>
            </w:r>
          </w:p>
        </w:tc>
        <w:tc>
          <w:tcPr>
            <w:tcW w:w="1260" w:type="dxa"/>
          </w:tcPr>
          <w:p>
            <w:pPr>
              <w:pStyle w:val="TableParagraph"/>
              <w:spacing w:before="97"/>
              <w:ind w:left="106" w:right="216" w:hanging="84"/>
              <w:rPr>
                <w:sz w:val="24"/>
              </w:rPr>
            </w:pPr>
            <w:r>
              <w:rPr>
                <w:spacing w:val="-2"/>
                <w:sz w:val="24"/>
              </w:rPr>
              <w:t>Police Staff Quarter </w:t>
            </w:r>
            <w:r>
              <w:rPr>
                <w:spacing w:val="-10"/>
                <w:sz w:val="24"/>
              </w:rPr>
              <w:t>s</w:t>
            </w:r>
          </w:p>
        </w:tc>
        <w:tc>
          <w:tcPr>
            <w:tcW w:w="2679" w:type="dxa"/>
          </w:tcPr>
          <w:p>
            <w:pPr>
              <w:pStyle w:val="TableParagraph"/>
              <w:spacing w:before="97"/>
              <w:ind w:left="106"/>
              <w:rPr>
                <w:sz w:val="24"/>
              </w:rPr>
            </w:pPr>
            <w:r>
              <w:rPr>
                <w:sz w:val="24"/>
              </w:rPr>
              <w:t>Police</w:t>
            </w:r>
            <w:r>
              <w:rPr>
                <w:spacing w:val="-19"/>
                <w:sz w:val="24"/>
              </w:rPr>
              <w:t> </w:t>
            </w:r>
            <w:r>
              <w:rPr>
                <w:sz w:val="24"/>
              </w:rPr>
              <w:t>Staff</w:t>
            </w:r>
            <w:r>
              <w:rPr>
                <w:spacing w:val="-19"/>
                <w:sz w:val="24"/>
              </w:rPr>
              <w:t> </w:t>
            </w:r>
            <w:r>
              <w:rPr>
                <w:sz w:val="24"/>
              </w:rPr>
              <w:t>Quarters with Police Station</w:t>
            </w:r>
          </w:p>
        </w:tc>
        <w:tc>
          <w:tcPr>
            <w:tcW w:w="2094" w:type="dxa"/>
          </w:tcPr>
          <w:p>
            <w:pPr>
              <w:pStyle w:val="TableParagraph"/>
              <w:rPr>
                <w:rFonts w:ascii="Times New Roman"/>
                <w:sz w:val="22"/>
              </w:rPr>
            </w:pPr>
          </w:p>
        </w:tc>
        <w:tc>
          <w:tcPr>
            <w:tcW w:w="1306" w:type="dxa"/>
          </w:tcPr>
          <w:p>
            <w:pPr>
              <w:pStyle w:val="TableParagraph"/>
              <w:spacing w:before="1"/>
              <w:ind w:left="180" w:right="98"/>
              <w:rPr>
                <w:sz w:val="24"/>
              </w:rPr>
            </w:pPr>
            <w:r>
              <w:rPr>
                <w:sz w:val="24"/>
              </w:rPr>
              <w:t>1</w:t>
            </w:r>
            <w:r>
              <w:rPr>
                <w:spacing w:val="-19"/>
                <w:sz w:val="24"/>
              </w:rPr>
              <w:t> </w:t>
            </w:r>
            <w:r>
              <w:rPr>
                <w:sz w:val="24"/>
              </w:rPr>
              <w:t>or</w:t>
            </w:r>
            <w:r>
              <w:rPr>
                <w:spacing w:val="-19"/>
                <w:sz w:val="24"/>
              </w:rPr>
              <w:t> </w:t>
            </w:r>
            <w:r>
              <w:rPr>
                <w:sz w:val="24"/>
              </w:rPr>
              <w:t>3, </w:t>
            </w:r>
            <w:r>
              <w:rPr>
                <w:spacing w:val="-2"/>
                <w:sz w:val="24"/>
              </w:rPr>
              <w:t>Zb=10</w:t>
            </w:r>
          </w:p>
          <w:p>
            <w:pPr>
              <w:pStyle w:val="TableParagraph"/>
              <w:ind w:left="180" w:right="278"/>
              <w:rPr>
                <w:sz w:val="24"/>
              </w:rPr>
            </w:pPr>
            <w:r>
              <w:rPr>
                <w:sz w:val="24"/>
              </w:rPr>
              <w:t>In</w:t>
            </w:r>
            <w:r>
              <w:rPr>
                <w:spacing w:val="-20"/>
                <w:sz w:val="24"/>
              </w:rPr>
              <w:t> </w:t>
            </w:r>
            <w:r>
              <w:rPr>
                <w:sz w:val="24"/>
              </w:rPr>
              <w:t>case of 3</w:t>
            </w:r>
          </w:p>
          <w:p>
            <w:pPr>
              <w:pStyle w:val="TableParagraph"/>
              <w:ind w:left="106"/>
              <w:rPr>
                <w:sz w:val="24"/>
              </w:rPr>
            </w:pPr>
            <w:r>
              <w:rPr>
                <w:sz w:val="24"/>
              </w:rPr>
              <w:t>a) </w:t>
            </w:r>
            <w:r>
              <w:rPr>
                <w:spacing w:val="-4"/>
                <w:sz w:val="24"/>
              </w:rPr>
              <w:t>X=50</w:t>
            </w:r>
          </w:p>
        </w:tc>
      </w:tr>
    </w:tbl>
    <w:p>
      <w:pPr>
        <w:pStyle w:val="TableParagraph"/>
        <w:spacing w:after="0"/>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472"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rPr>
                <w:rFonts w:ascii="Times New Roman"/>
                <w:sz w:val="22"/>
              </w:rPr>
            </w:pPr>
          </w:p>
        </w:tc>
        <w:tc>
          <w:tcPr>
            <w:tcW w:w="2094" w:type="dxa"/>
          </w:tcPr>
          <w:p>
            <w:pPr>
              <w:pStyle w:val="TableParagraph"/>
              <w:rPr>
                <w:rFonts w:ascii="Times New Roman"/>
                <w:sz w:val="22"/>
              </w:rPr>
            </w:pPr>
          </w:p>
        </w:tc>
        <w:tc>
          <w:tcPr>
            <w:tcW w:w="1306" w:type="dxa"/>
          </w:tcPr>
          <w:p>
            <w:pPr>
              <w:pStyle w:val="TableParagraph"/>
              <w:spacing w:before="95"/>
              <w:ind w:left="106"/>
              <w:rPr>
                <w:sz w:val="24"/>
              </w:rPr>
            </w:pPr>
            <w:r>
              <w:rPr>
                <w:sz w:val="24"/>
              </w:rPr>
              <w:t>b) </w:t>
            </w:r>
            <w:r>
              <w:rPr>
                <w:spacing w:val="-4"/>
                <w:sz w:val="24"/>
              </w:rPr>
              <w:t>Y=40</w:t>
            </w:r>
          </w:p>
        </w:tc>
      </w:tr>
      <w:tr>
        <w:trPr>
          <w:trHeight w:val="1884" w:hRule="atLeast"/>
        </w:trPr>
        <w:tc>
          <w:tcPr>
            <w:tcW w:w="560" w:type="dxa"/>
          </w:tcPr>
          <w:p>
            <w:pPr>
              <w:pStyle w:val="TableParagraph"/>
              <w:rPr>
                <w:b/>
                <w:sz w:val="24"/>
              </w:rPr>
            </w:pPr>
          </w:p>
          <w:p>
            <w:pPr>
              <w:pStyle w:val="TableParagraph"/>
              <w:ind w:left="6" w:right="40"/>
              <w:jc w:val="center"/>
              <w:rPr>
                <w:sz w:val="24"/>
              </w:rPr>
            </w:pPr>
            <w:r>
              <w:rPr>
                <w:spacing w:val="-5"/>
                <w:sz w:val="24"/>
              </w:rPr>
              <w:t>21</w:t>
            </w:r>
          </w:p>
        </w:tc>
        <w:tc>
          <w:tcPr>
            <w:tcW w:w="1349" w:type="dxa"/>
            <w:vMerge w:val="restart"/>
          </w:tcPr>
          <w:p>
            <w:pPr>
              <w:pStyle w:val="TableParagraph"/>
              <w:rPr>
                <w:rFonts w:ascii="Times New Roman"/>
                <w:sz w:val="22"/>
              </w:rPr>
            </w:pPr>
          </w:p>
        </w:tc>
        <w:tc>
          <w:tcPr>
            <w:tcW w:w="1057" w:type="dxa"/>
          </w:tcPr>
          <w:p>
            <w:pPr>
              <w:pStyle w:val="TableParagraph"/>
              <w:spacing w:before="97"/>
              <w:ind w:left="107" w:right="-274"/>
              <w:rPr>
                <w:sz w:val="24"/>
              </w:rPr>
            </w:pPr>
            <w:r>
              <w:rPr>
                <w:sz w:val="24"/>
              </w:rPr>
              <w:t>RR1.3</w:t>
            </w:r>
            <w:r>
              <w:rPr>
                <w:spacing w:val="43"/>
                <w:w w:val="150"/>
                <w:sz w:val="24"/>
              </w:rPr>
              <w:t> </w:t>
            </w:r>
            <w:r>
              <w:rPr>
                <w:spacing w:val="-7"/>
                <w:sz w:val="24"/>
              </w:rPr>
              <w:t>Go</w:t>
            </w:r>
          </w:p>
        </w:tc>
        <w:tc>
          <w:tcPr>
            <w:tcW w:w="1260" w:type="dxa"/>
          </w:tcPr>
          <w:p>
            <w:pPr>
              <w:pStyle w:val="TableParagraph"/>
              <w:spacing w:before="97"/>
              <w:ind w:left="18" w:right="117" w:firstLine="242"/>
              <w:rPr>
                <w:sz w:val="24"/>
              </w:rPr>
            </w:pPr>
            <w:r>
              <w:rPr>
                <w:spacing w:val="-2"/>
                <w:sz w:val="24"/>
              </w:rPr>
              <w:t>vernme </w:t>
            </w:r>
            <w:r>
              <w:rPr>
                <w:sz w:val="24"/>
              </w:rPr>
              <w:t>nt Staff </w:t>
            </w:r>
            <w:r>
              <w:rPr>
                <w:spacing w:val="-2"/>
                <w:sz w:val="24"/>
              </w:rPr>
              <w:t>Quarters</w:t>
            </w:r>
          </w:p>
        </w:tc>
        <w:tc>
          <w:tcPr>
            <w:tcW w:w="2679" w:type="dxa"/>
          </w:tcPr>
          <w:p>
            <w:pPr>
              <w:pStyle w:val="TableParagraph"/>
              <w:spacing w:before="97"/>
              <w:ind w:left="106"/>
              <w:rPr>
                <w:sz w:val="24"/>
              </w:rPr>
            </w:pPr>
            <w:r>
              <w:rPr>
                <w:sz w:val="24"/>
              </w:rPr>
              <w:t>Govt.</w:t>
            </w:r>
            <w:r>
              <w:rPr>
                <w:spacing w:val="-19"/>
                <w:sz w:val="24"/>
              </w:rPr>
              <w:t> </w:t>
            </w:r>
            <w:r>
              <w:rPr>
                <w:sz w:val="24"/>
              </w:rPr>
              <w:t>Staff</w:t>
            </w:r>
            <w:r>
              <w:rPr>
                <w:spacing w:val="-19"/>
                <w:sz w:val="24"/>
              </w:rPr>
              <w:t> </w:t>
            </w:r>
            <w:r>
              <w:rPr>
                <w:sz w:val="24"/>
              </w:rPr>
              <w:t>Quarters, Administrative Area</w:t>
            </w:r>
          </w:p>
        </w:tc>
        <w:tc>
          <w:tcPr>
            <w:tcW w:w="2094" w:type="dxa"/>
          </w:tcPr>
          <w:p>
            <w:pPr>
              <w:pStyle w:val="TableParagraph"/>
              <w:rPr>
                <w:rFonts w:ascii="Times New Roman"/>
                <w:sz w:val="22"/>
              </w:rPr>
            </w:pPr>
          </w:p>
        </w:tc>
        <w:tc>
          <w:tcPr>
            <w:tcW w:w="1306" w:type="dxa"/>
          </w:tcPr>
          <w:p>
            <w:pPr>
              <w:pStyle w:val="TableParagraph"/>
              <w:spacing w:before="1"/>
              <w:ind w:left="180" w:right="98"/>
              <w:rPr>
                <w:sz w:val="24"/>
              </w:rPr>
            </w:pPr>
            <w:r>
              <w:rPr>
                <w:sz w:val="24"/>
              </w:rPr>
              <w:t>1</w:t>
            </w:r>
            <w:r>
              <w:rPr>
                <w:spacing w:val="-19"/>
                <w:sz w:val="24"/>
              </w:rPr>
              <w:t> </w:t>
            </w:r>
            <w:r>
              <w:rPr>
                <w:sz w:val="24"/>
              </w:rPr>
              <w:t>or</w:t>
            </w:r>
            <w:r>
              <w:rPr>
                <w:spacing w:val="-19"/>
                <w:sz w:val="24"/>
              </w:rPr>
              <w:t> </w:t>
            </w:r>
            <w:r>
              <w:rPr>
                <w:sz w:val="24"/>
              </w:rPr>
              <w:t>3, </w:t>
            </w:r>
            <w:r>
              <w:rPr>
                <w:spacing w:val="-2"/>
                <w:sz w:val="24"/>
              </w:rPr>
              <w:t>Zb=10</w:t>
            </w:r>
          </w:p>
          <w:p>
            <w:pPr>
              <w:pStyle w:val="TableParagraph"/>
              <w:ind w:left="180" w:right="278"/>
              <w:rPr>
                <w:sz w:val="24"/>
              </w:rPr>
            </w:pPr>
            <w:r>
              <w:rPr>
                <w:sz w:val="24"/>
              </w:rPr>
              <w:t>In</w:t>
            </w:r>
            <w:r>
              <w:rPr>
                <w:spacing w:val="-20"/>
                <w:sz w:val="24"/>
              </w:rPr>
              <w:t> </w:t>
            </w:r>
            <w:r>
              <w:rPr>
                <w:sz w:val="24"/>
              </w:rPr>
              <w:t>case of 3</w:t>
            </w:r>
          </w:p>
          <w:p>
            <w:pPr>
              <w:pStyle w:val="TableParagraph"/>
              <w:numPr>
                <w:ilvl w:val="0"/>
                <w:numId w:val="45"/>
              </w:numPr>
              <w:tabs>
                <w:tab w:pos="393" w:val="left" w:leader="none"/>
              </w:tabs>
              <w:spacing w:line="240" w:lineRule="auto" w:before="0" w:after="0"/>
              <w:ind w:left="393" w:right="0" w:hanging="287"/>
              <w:jc w:val="left"/>
              <w:rPr>
                <w:sz w:val="24"/>
              </w:rPr>
            </w:pPr>
            <w:r>
              <w:rPr>
                <w:spacing w:val="-4"/>
                <w:sz w:val="24"/>
              </w:rPr>
              <w:t>X=50</w:t>
            </w:r>
          </w:p>
          <w:p>
            <w:pPr>
              <w:pStyle w:val="TableParagraph"/>
              <w:numPr>
                <w:ilvl w:val="0"/>
                <w:numId w:val="45"/>
              </w:numPr>
              <w:tabs>
                <w:tab w:pos="403" w:val="left" w:leader="none"/>
              </w:tabs>
              <w:spacing w:line="240" w:lineRule="auto" w:before="95" w:after="0"/>
              <w:ind w:left="403" w:right="0" w:hanging="297"/>
              <w:jc w:val="left"/>
              <w:rPr>
                <w:sz w:val="24"/>
              </w:rPr>
            </w:pPr>
            <w:r>
              <w:rPr>
                <w:spacing w:val="-4"/>
                <w:sz w:val="24"/>
              </w:rPr>
              <w:t>Y=40</w:t>
            </w:r>
          </w:p>
        </w:tc>
      </w:tr>
      <w:tr>
        <w:trPr>
          <w:trHeight w:val="1408"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22</w:t>
            </w:r>
          </w:p>
        </w:tc>
        <w:tc>
          <w:tcPr>
            <w:tcW w:w="1349" w:type="dxa"/>
            <w:vMerge/>
            <w:tcBorders>
              <w:top w:val="nil"/>
            </w:tcBorders>
          </w:tcPr>
          <w:p>
            <w:pPr>
              <w:rPr>
                <w:sz w:val="2"/>
                <w:szCs w:val="2"/>
              </w:rPr>
            </w:pPr>
          </w:p>
        </w:tc>
        <w:tc>
          <w:tcPr>
            <w:tcW w:w="1057" w:type="dxa"/>
          </w:tcPr>
          <w:p>
            <w:pPr>
              <w:pStyle w:val="TableParagraph"/>
              <w:spacing w:line="281" w:lineRule="exact"/>
              <w:ind w:left="66"/>
              <w:rPr>
                <w:sz w:val="24"/>
              </w:rPr>
            </w:pPr>
            <w:r>
              <w:rPr>
                <w:sz w:val="24"/>
              </w:rPr>
              <w:t>RR</w:t>
            </w:r>
            <w:r>
              <w:rPr>
                <w:spacing w:val="-1"/>
                <w:sz w:val="24"/>
              </w:rPr>
              <w:t> </w:t>
            </w:r>
            <w:r>
              <w:rPr>
                <w:spacing w:val="-5"/>
                <w:sz w:val="24"/>
              </w:rPr>
              <w:t>1.5</w:t>
            </w:r>
          </w:p>
        </w:tc>
        <w:tc>
          <w:tcPr>
            <w:tcW w:w="1260" w:type="dxa"/>
          </w:tcPr>
          <w:p>
            <w:pPr>
              <w:pStyle w:val="TableParagraph"/>
              <w:ind w:left="106" w:right="163"/>
              <w:rPr>
                <w:sz w:val="24"/>
              </w:rPr>
            </w:pPr>
            <w:r>
              <w:rPr>
                <w:spacing w:val="-2"/>
                <w:sz w:val="24"/>
              </w:rPr>
              <w:t>Municip </w:t>
            </w:r>
            <w:r>
              <w:rPr>
                <w:spacing w:val="-6"/>
                <w:sz w:val="24"/>
              </w:rPr>
              <w:t>al </w:t>
            </w:r>
            <w:r>
              <w:rPr>
                <w:spacing w:val="-2"/>
                <w:sz w:val="24"/>
              </w:rPr>
              <w:t>Housing</w:t>
            </w:r>
          </w:p>
        </w:tc>
        <w:tc>
          <w:tcPr>
            <w:tcW w:w="2679" w:type="dxa"/>
          </w:tcPr>
          <w:p>
            <w:pPr>
              <w:pStyle w:val="TableParagraph"/>
              <w:ind w:left="106" w:right="97" w:firstLine="76"/>
              <w:rPr>
                <w:sz w:val="24"/>
              </w:rPr>
            </w:pPr>
            <w:r>
              <w:rPr>
                <w:sz w:val="24"/>
              </w:rPr>
              <w:t>Municipal</w:t>
            </w:r>
            <w:r>
              <w:rPr>
                <w:spacing w:val="-20"/>
                <w:sz w:val="24"/>
              </w:rPr>
              <w:t> </w:t>
            </w:r>
            <w:r>
              <w:rPr>
                <w:sz w:val="24"/>
              </w:rPr>
              <w:t>Housing/ Municipal facilities, Rehabilitation of </w:t>
            </w:r>
            <w:r>
              <w:rPr>
                <w:spacing w:val="-4"/>
                <w:sz w:val="24"/>
              </w:rPr>
              <w:t>PAPS</w:t>
            </w:r>
          </w:p>
        </w:tc>
        <w:tc>
          <w:tcPr>
            <w:tcW w:w="2094" w:type="dxa"/>
          </w:tcPr>
          <w:p>
            <w:pPr>
              <w:pStyle w:val="TableParagraph"/>
              <w:rPr>
                <w:rFonts w:ascii="Times New Roman"/>
                <w:sz w:val="22"/>
              </w:rPr>
            </w:pPr>
          </w:p>
        </w:tc>
        <w:tc>
          <w:tcPr>
            <w:tcW w:w="1306" w:type="dxa"/>
          </w:tcPr>
          <w:p>
            <w:pPr>
              <w:pStyle w:val="TableParagraph"/>
              <w:ind w:left="180" w:right="281"/>
              <w:jc w:val="both"/>
              <w:rPr>
                <w:sz w:val="24"/>
              </w:rPr>
            </w:pPr>
            <w:r>
              <w:rPr>
                <w:sz w:val="24"/>
              </w:rPr>
              <w:t>1 or 3, In</w:t>
            </w:r>
            <w:r>
              <w:rPr>
                <w:spacing w:val="-20"/>
                <w:sz w:val="24"/>
              </w:rPr>
              <w:t> </w:t>
            </w:r>
            <w:r>
              <w:rPr>
                <w:sz w:val="24"/>
              </w:rPr>
              <w:t>case of 3</w:t>
            </w:r>
          </w:p>
          <w:p>
            <w:pPr>
              <w:pStyle w:val="TableParagraph"/>
              <w:numPr>
                <w:ilvl w:val="0"/>
                <w:numId w:val="46"/>
              </w:numPr>
              <w:tabs>
                <w:tab w:pos="393" w:val="left" w:leader="none"/>
              </w:tabs>
              <w:spacing w:line="281" w:lineRule="exact" w:before="0" w:after="0"/>
              <w:ind w:left="393" w:right="0" w:hanging="287"/>
              <w:jc w:val="both"/>
              <w:rPr>
                <w:sz w:val="24"/>
              </w:rPr>
            </w:pPr>
            <w:r>
              <w:rPr>
                <w:spacing w:val="-4"/>
                <w:sz w:val="24"/>
              </w:rPr>
              <w:t>X=50</w:t>
            </w:r>
          </w:p>
          <w:p>
            <w:pPr>
              <w:pStyle w:val="TableParagraph"/>
              <w:numPr>
                <w:ilvl w:val="0"/>
                <w:numId w:val="46"/>
              </w:numPr>
              <w:tabs>
                <w:tab w:pos="477" w:val="left" w:leader="none"/>
              </w:tabs>
              <w:spacing w:line="261" w:lineRule="exact" w:before="0" w:after="0"/>
              <w:ind w:left="477" w:right="0" w:hanging="297"/>
              <w:jc w:val="both"/>
              <w:rPr>
                <w:sz w:val="24"/>
              </w:rPr>
            </w:pPr>
            <w:r>
              <w:rPr>
                <w:spacing w:val="-4"/>
                <w:sz w:val="24"/>
              </w:rPr>
              <w:t>Y=40</w:t>
            </w:r>
          </w:p>
        </w:tc>
      </w:tr>
      <w:tr>
        <w:trPr>
          <w:trHeight w:val="1408" w:hRule="atLeast"/>
        </w:trPr>
        <w:tc>
          <w:tcPr>
            <w:tcW w:w="560" w:type="dxa"/>
          </w:tcPr>
          <w:p>
            <w:pPr>
              <w:pStyle w:val="TableParagraph"/>
              <w:spacing w:line="281" w:lineRule="exact"/>
              <w:ind w:left="6" w:right="40"/>
              <w:jc w:val="center"/>
              <w:rPr>
                <w:sz w:val="24"/>
              </w:rPr>
            </w:pPr>
            <w:r>
              <w:rPr>
                <w:spacing w:val="-5"/>
                <w:sz w:val="24"/>
              </w:rPr>
              <w:t>23</w:t>
            </w:r>
          </w:p>
        </w:tc>
        <w:tc>
          <w:tcPr>
            <w:tcW w:w="1349" w:type="dxa"/>
            <w:vMerge/>
            <w:tcBorders>
              <w:top w:val="nil"/>
            </w:tcBorders>
          </w:tcPr>
          <w:p>
            <w:pPr>
              <w:rPr>
                <w:sz w:val="2"/>
                <w:szCs w:val="2"/>
              </w:rPr>
            </w:pPr>
          </w:p>
        </w:tc>
        <w:tc>
          <w:tcPr>
            <w:tcW w:w="1057" w:type="dxa"/>
          </w:tcPr>
          <w:p>
            <w:pPr>
              <w:pStyle w:val="TableParagraph"/>
              <w:spacing w:before="95"/>
              <w:ind w:left="107"/>
              <w:rPr>
                <w:sz w:val="24"/>
              </w:rPr>
            </w:pPr>
            <w:r>
              <w:rPr>
                <w:spacing w:val="-2"/>
                <w:sz w:val="24"/>
              </w:rPr>
              <w:t>RR1.6</w:t>
            </w:r>
          </w:p>
        </w:tc>
        <w:tc>
          <w:tcPr>
            <w:tcW w:w="1260" w:type="dxa"/>
          </w:tcPr>
          <w:p>
            <w:pPr>
              <w:pStyle w:val="TableParagraph"/>
              <w:spacing w:before="95"/>
              <w:ind w:left="106" w:right="163"/>
              <w:rPr>
                <w:sz w:val="24"/>
              </w:rPr>
            </w:pPr>
            <w:r>
              <w:rPr>
                <w:spacing w:val="-2"/>
                <w:sz w:val="24"/>
              </w:rPr>
              <w:t>Police Housing</w:t>
            </w:r>
          </w:p>
        </w:tc>
        <w:tc>
          <w:tcPr>
            <w:tcW w:w="2679" w:type="dxa"/>
          </w:tcPr>
          <w:p>
            <w:pPr>
              <w:pStyle w:val="TableParagraph"/>
              <w:spacing w:before="95"/>
              <w:ind w:left="106"/>
              <w:rPr>
                <w:sz w:val="24"/>
              </w:rPr>
            </w:pPr>
            <w:r>
              <w:rPr>
                <w:sz w:val="24"/>
              </w:rPr>
              <w:t>Police </w:t>
            </w:r>
            <w:r>
              <w:rPr>
                <w:spacing w:val="-2"/>
                <w:sz w:val="24"/>
              </w:rPr>
              <w:t>Housing</w:t>
            </w:r>
          </w:p>
        </w:tc>
        <w:tc>
          <w:tcPr>
            <w:tcW w:w="2094" w:type="dxa"/>
          </w:tcPr>
          <w:p>
            <w:pPr>
              <w:pStyle w:val="TableParagraph"/>
              <w:rPr>
                <w:rFonts w:ascii="Times New Roman"/>
                <w:sz w:val="22"/>
              </w:rPr>
            </w:pPr>
          </w:p>
        </w:tc>
        <w:tc>
          <w:tcPr>
            <w:tcW w:w="1306" w:type="dxa"/>
          </w:tcPr>
          <w:p>
            <w:pPr>
              <w:pStyle w:val="TableParagraph"/>
              <w:ind w:left="180" w:right="281"/>
              <w:jc w:val="both"/>
              <w:rPr>
                <w:sz w:val="24"/>
              </w:rPr>
            </w:pPr>
            <w:r>
              <w:rPr>
                <w:sz w:val="24"/>
              </w:rPr>
              <w:t>1 or 3, In</w:t>
            </w:r>
            <w:r>
              <w:rPr>
                <w:spacing w:val="-20"/>
                <w:sz w:val="24"/>
              </w:rPr>
              <w:t> </w:t>
            </w:r>
            <w:r>
              <w:rPr>
                <w:sz w:val="24"/>
              </w:rPr>
              <w:t>case of 3</w:t>
            </w:r>
          </w:p>
          <w:p>
            <w:pPr>
              <w:pStyle w:val="TableParagraph"/>
              <w:numPr>
                <w:ilvl w:val="0"/>
                <w:numId w:val="47"/>
              </w:numPr>
              <w:tabs>
                <w:tab w:pos="393" w:val="left" w:leader="none"/>
              </w:tabs>
              <w:spacing w:line="281" w:lineRule="exact" w:before="0" w:after="0"/>
              <w:ind w:left="393" w:right="0" w:hanging="287"/>
              <w:jc w:val="both"/>
              <w:rPr>
                <w:sz w:val="24"/>
              </w:rPr>
            </w:pPr>
            <w:r>
              <w:rPr>
                <w:spacing w:val="-4"/>
                <w:sz w:val="24"/>
              </w:rPr>
              <w:t>X=50</w:t>
            </w:r>
          </w:p>
          <w:p>
            <w:pPr>
              <w:pStyle w:val="TableParagraph"/>
              <w:numPr>
                <w:ilvl w:val="0"/>
                <w:numId w:val="47"/>
              </w:numPr>
              <w:tabs>
                <w:tab w:pos="403" w:val="left" w:leader="none"/>
              </w:tabs>
              <w:spacing w:line="261" w:lineRule="exact" w:before="0" w:after="0"/>
              <w:ind w:left="403" w:right="0" w:hanging="297"/>
              <w:jc w:val="both"/>
              <w:rPr>
                <w:sz w:val="24"/>
              </w:rPr>
            </w:pPr>
            <w:r>
              <w:rPr>
                <w:spacing w:val="-4"/>
                <w:sz w:val="24"/>
              </w:rPr>
              <w:t>Y=40</w:t>
            </w:r>
          </w:p>
        </w:tc>
      </w:tr>
      <w:tr>
        <w:trPr>
          <w:trHeight w:val="1408" w:hRule="atLeast"/>
        </w:trPr>
        <w:tc>
          <w:tcPr>
            <w:tcW w:w="560" w:type="dxa"/>
          </w:tcPr>
          <w:p>
            <w:pPr>
              <w:pStyle w:val="TableParagraph"/>
              <w:spacing w:line="281" w:lineRule="exact"/>
              <w:ind w:left="6" w:right="40"/>
              <w:jc w:val="center"/>
              <w:rPr>
                <w:sz w:val="24"/>
              </w:rPr>
            </w:pPr>
            <w:r>
              <w:rPr>
                <w:spacing w:val="-5"/>
                <w:sz w:val="24"/>
              </w:rPr>
              <w:t>24</w:t>
            </w:r>
          </w:p>
        </w:tc>
        <w:tc>
          <w:tcPr>
            <w:tcW w:w="1349" w:type="dxa"/>
            <w:vMerge/>
            <w:tcBorders>
              <w:top w:val="nil"/>
            </w:tcBorders>
          </w:tcPr>
          <w:p>
            <w:pPr>
              <w:rPr>
                <w:sz w:val="2"/>
                <w:szCs w:val="2"/>
              </w:rPr>
            </w:pPr>
          </w:p>
        </w:tc>
        <w:tc>
          <w:tcPr>
            <w:tcW w:w="1057" w:type="dxa"/>
          </w:tcPr>
          <w:p>
            <w:pPr>
              <w:pStyle w:val="TableParagraph"/>
              <w:spacing w:before="95"/>
              <w:ind w:left="107" w:right="-274"/>
              <w:rPr>
                <w:sz w:val="24"/>
              </w:rPr>
            </w:pPr>
            <w:r>
              <w:rPr>
                <w:sz w:val="24"/>
              </w:rPr>
              <w:t>RR1.7</w:t>
            </w:r>
            <w:r>
              <w:rPr>
                <w:spacing w:val="43"/>
                <w:w w:val="150"/>
                <w:sz w:val="24"/>
              </w:rPr>
              <w:t> </w:t>
            </w:r>
            <w:r>
              <w:rPr>
                <w:spacing w:val="-7"/>
                <w:sz w:val="24"/>
              </w:rPr>
              <w:t>Go</w:t>
            </w:r>
          </w:p>
        </w:tc>
        <w:tc>
          <w:tcPr>
            <w:tcW w:w="1260" w:type="dxa"/>
          </w:tcPr>
          <w:p>
            <w:pPr>
              <w:pStyle w:val="TableParagraph"/>
              <w:spacing w:before="95"/>
              <w:ind w:left="18" w:right="117" w:firstLine="242"/>
              <w:rPr>
                <w:sz w:val="24"/>
              </w:rPr>
            </w:pPr>
            <w:r>
              <w:rPr>
                <w:spacing w:val="-2"/>
                <w:sz w:val="24"/>
              </w:rPr>
              <w:t>vernme </w:t>
            </w:r>
            <w:r>
              <w:rPr>
                <w:spacing w:val="-6"/>
                <w:sz w:val="24"/>
              </w:rPr>
              <w:t>nt </w:t>
            </w:r>
            <w:r>
              <w:rPr>
                <w:spacing w:val="-2"/>
                <w:sz w:val="24"/>
              </w:rPr>
              <w:t>Housing</w:t>
            </w:r>
          </w:p>
        </w:tc>
        <w:tc>
          <w:tcPr>
            <w:tcW w:w="2679" w:type="dxa"/>
          </w:tcPr>
          <w:p>
            <w:pPr>
              <w:pStyle w:val="TableParagraph"/>
              <w:spacing w:before="95"/>
              <w:ind w:left="106" w:right="148"/>
              <w:rPr>
                <w:sz w:val="24"/>
              </w:rPr>
            </w:pPr>
            <w:r>
              <w:rPr>
                <w:spacing w:val="-2"/>
                <w:sz w:val="24"/>
              </w:rPr>
              <w:t>Government </w:t>
            </w:r>
            <w:r>
              <w:rPr>
                <w:sz w:val="24"/>
              </w:rPr>
              <w:t>Housing, Staff Quarters,</w:t>
            </w:r>
            <w:r>
              <w:rPr>
                <w:spacing w:val="-20"/>
                <w:sz w:val="24"/>
              </w:rPr>
              <w:t> </w:t>
            </w:r>
            <w:r>
              <w:rPr>
                <w:sz w:val="24"/>
              </w:rPr>
              <w:t>Guest House/ Hostel</w:t>
            </w:r>
          </w:p>
        </w:tc>
        <w:tc>
          <w:tcPr>
            <w:tcW w:w="2094" w:type="dxa"/>
          </w:tcPr>
          <w:p>
            <w:pPr>
              <w:pStyle w:val="TableParagraph"/>
              <w:rPr>
                <w:rFonts w:ascii="Times New Roman"/>
                <w:sz w:val="22"/>
              </w:rPr>
            </w:pPr>
          </w:p>
        </w:tc>
        <w:tc>
          <w:tcPr>
            <w:tcW w:w="1306" w:type="dxa"/>
          </w:tcPr>
          <w:p>
            <w:pPr>
              <w:pStyle w:val="TableParagraph"/>
              <w:ind w:left="180" w:right="281"/>
              <w:jc w:val="both"/>
              <w:rPr>
                <w:sz w:val="24"/>
              </w:rPr>
            </w:pPr>
            <w:r>
              <w:rPr>
                <w:sz w:val="24"/>
              </w:rPr>
              <w:t>1 or 3, In</w:t>
            </w:r>
            <w:r>
              <w:rPr>
                <w:spacing w:val="-20"/>
                <w:sz w:val="24"/>
              </w:rPr>
              <w:t> </w:t>
            </w:r>
            <w:r>
              <w:rPr>
                <w:sz w:val="24"/>
              </w:rPr>
              <w:t>case of 3</w:t>
            </w:r>
          </w:p>
          <w:p>
            <w:pPr>
              <w:pStyle w:val="TableParagraph"/>
              <w:numPr>
                <w:ilvl w:val="0"/>
                <w:numId w:val="48"/>
              </w:numPr>
              <w:tabs>
                <w:tab w:pos="393" w:val="left" w:leader="none"/>
              </w:tabs>
              <w:spacing w:line="281" w:lineRule="exact" w:before="0" w:after="0"/>
              <w:ind w:left="393" w:right="0" w:hanging="287"/>
              <w:jc w:val="both"/>
              <w:rPr>
                <w:sz w:val="24"/>
              </w:rPr>
            </w:pPr>
            <w:r>
              <w:rPr>
                <w:spacing w:val="-4"/>
                <w:sz w:val="24"/>
              </w:rPr>
              <w:t>X=50</w:t>
            </w:r>
          </w:p>
          <w:p>
            <w:pPr>
              <w:pStyle w:val="TableParagraph"/>
              <w:numPr>
                <w:ilvl w:val="0"/>
                <w:numId w:val="48"/>
              </w:numPr>
              <w:tabs>
                <w:tab w:pos="403" w:val="left" w:leader="none"/>
              </w:tabs>
              <w:spacing w:line="261" w:lineRule="exact" w:before="1" w:after="0"/>
              <w:ind w:left="403" w:right="0" w:hanging="297"/>
              <w:jc w:val="both"/>
              <w:rPr>
                <w:sz w:val="24"/>
              </w:rPr>
            </w:pPr>
            <w:r>
              <w:rPr>
                <w:spacing w:val="-4"/>
                <w:sz w:val="24"/>
              </w:rPr>
              <w:t>Y=40</w:t>
            </w:r>
          </w:p>
        </w:tc>
      </w:tr>
      <w:tr>
        <w:trPr>
          <w:trHeight w:val="1408" w:hRule="atLeast"/>
        </w:trPr>
        <w:tc>
          <w:tcPr>
            <w:tcW w:w="560" w:type="dxa"/>
          </w:tcPr>
          <w:p>
            <w:pPr>
              <w:pStyle w:val="TableParagraph"/>
              <w:spacing w:line="281" w:lineRule="exact"/>
              <w:ind w:left="6" w:right="40"/>
              <w:jc w:val="center"/>
              <w:rPr>
                <w:sz w:val="24"/>
              </w:rPr>
            </w:pPr>
            <w:r>
              <w:rPr>
                <w:spacing w:val="-5"/>
                <w:sz w:val="24"/>
              </w:rPr>
              <w:t>25</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rPr>
                <w:b/>
                <w:sz w:val="24"/>
              </w:rPr>
            </w:pPr>
          </w:p>
          <w:p>
            <w:pPr>
              <w:pStyle w:val="TableParagraph"/>
              <w:spacing w:before="41"/>
              <w:rPr>
                <w:b/>
                <w:sz w:val="24"/>
              </w:rPr>
            </w:pPr>
          </w:p>
          <w:p>
            <w:pPr>
              <w:pStyle w:val="TableParagraph"/>
              <w:spacing w:before="1"/>
              <w:ind w:left="107"/>
              <w:rPr>
                <w:sz w:val="24"/>
              </w:rPr>
            </w:pPr>
            <w:r>
              <w:rPr>
                <w:spacing w:val="-2"/>
                <w:sz w:val="24"/>
              </w:rPr>
              <w:t>RR2.1</w:t>
            </w:r>
          </w:p>
        </w:tc>
        <w:tc>
          <w:tcPr>
            <w:tcW w:w="1260" w:type="dxa"/>
          </w:tcPr>
          <w:p>
            <w:pPr>
              <w:pStyle w:val="TableParagraph"/>
              <w:spacing w:before="42"/>
              <w:ind w:left="-2"/>
              <w:rPr>
                <w:sz w:val="24"/>
              </w:rPr>
            </w:pPr>
            <w:r>
              <w:rPr>
                <w:spacing w:val="-2"/>
                <w:sz w:val="24"/>
              </w:rPr>
              <w:t>Rehabilita </w:t>
            </w:r>
            <w:r>
              <w:rPr>
                <w:sz w:val="24"/>
              </w:rPr>
              <w:t>tion &amp; </w:t>
            </w:r>
            <w:r>
              <w:rPr>
                <w:spacing w:val="-2"/>
                <w:sz w:val="24"/>
              </w:rPr>
              <w:t>Resettlem </w:t>
            </w:r>
            <w:r>
              <w:rPr>
                <w:spacing w:val="-4"/>
                <w:sz w:val="24"/>
              </w:rPr>
              <w:t>ent</w:t>
            </w:r>
          </w:p>
        </w:tc>
        <w:tc>
          <w:tcPr>
            <w:tcW w:w="2679" w:type="dxa"/>
          </w:tcPr>
          <w:p>
            <w:pPr>
              <w:pStyle w:val="TableParagraph"/>
              <w:spacing w:before="19"/>
              <w:rPr>
                <w:b/>
                <w:sz w:val="24"/>
              </w:rPr>
            </w:pPr>
          </w:p>
          <w:p>
            <w:pPr>
              <w:pStyle w:val="TableParagraph"/>
              <w:ind w:left="106"/>
              <w:rPr>
                <w:sz w:val="24"/>
              </w:rPr>
            </w:pPr>
            <w:r>
              <w:rPr>
                <w:spacing w:val="-2"/>
                <w:sz w:val="24"/>
              </w:rPr>
              <w:t>Rehabilitation Tenements.</w:t>
            </w:r>
          </w:p>
        </w:tc>
        <w:tc>
          <w:tcPr>
            <w:tcW w:w="2094" w:type="dxa"/>
          </w:tcPr>
          <w:p>
            <w:pPr>
              <w:pStyle w:val="TableParagraph"/>
              <w:rPr>
                <w:rFonts w:ascii="Times New Roman"/>
                <w:sz w:val="22"/>
              </w:rPr>
            </w:pPr>
          </w:p>
        </w:tc>
        <w:tc>
          <w:tcPr>
            <w:tcW w:w="1306" w:type="dxa"/>
          </w:tcPr>
          <w:p>
            <w:pPr>
              <w:pStyle w:val="TableParagraph"/>
              <w:ind w:left="180" w:right="281"/>
              <w:jc w:val="both"/>
              <w:rPr>
                <w:sz w:val="24"/>
              </w:rPr>
            </w:pPr>
            <w:r>
              <w:rPr>
                <w:sz w:val="24"/>
              </w:rPr>
              <w:t>1 or 3, In</w:t>
            </w:r>
            <w:r>
              <w:rPr>
                <w:spacing w:val="-20"/>
                <w:sz w:val="24"/>
              </w:rPr>
              <w:t> </w:t>
            </w:r>
            <w:r>
              <w:rPr>
                <w:sz w:val="24"/>
              </w:rPr>
              <w:t>case of 3</w:t>
            </w:r>
          </w:p>
          <w:p>
            <w:pPr>
              <w:pStyle w:val="TableParagraph"/>
              <w:numPr>
                <w:ilvl w:val="0"/>
                <w:numId w:val="49"/>
              </w:numPr>
              <w:tabs>
                <w:tab w:pos="393" w:val="left" w:leader="none"/>
              </w:tabs>
              <w:spacing w:line="281" w:lineRule="exact" w:before="0" w:after="0"/>
              <w:ind w:left="393" w:right="0" w:hanging="287"/>
              <w:jc w:val="both"/>
              <w:rPr>
                <w:sz w:val="24"/>
              </w:rPr>
            </w:pPr>
            <w:r>
              <w:rPr>
                <w:spacing w:val="-4"/>
                <w:sz w:val="24"/>
              </w:rPr>
              <w:t>X=50</w:t>
            </w:r>
          </w:p>
          <w:p>
            <w:pPr>
              <w:pStyle w:val="TableParagraph"/>
              <w:numPr>
                <w:ilvl w:val="0"/>
                <w:numId w:val="49"/>
              </w:numPr>
              <w:tabs>
                <w:tab w:pos="403" w:val="left" w:leader="none"/>
              </w:tabs>
              <w:spacing w:line="261" w:lineRule="exact" w:before="0" w:after="0"/>
              <w:ind w:left="403" w:right="0" w:hanging="297"/>
              <w:jc w:val="both"/>
              <w:rPr>
                <w:sz w:val="24"/>
              </w:rPr>
            </w:pPr>
            <w:r>
              <w:rPr>
                <w:spacing w:val="-4"/>
                <w:sz w:val="24"/>
              </w:rPr>
              <w:t>Y=40</w:t>
            </w:r>
          </w:p>
        </w:tc>
      </w:tr>
      <w:tr>
        <w:trPr>
          <w:trHeight w:val="1409" w:hRule="atLeast"/>
        </w:trPr>
        <w:tc>
          <w:tcPr>
            <w:tcW w:w="560" w:type="dxa"/>
          </w:tcPr>
          <w:p>
            <w:pPr>
              <w:pStyle w:val="TableParagraph"/>
              <w:rPr>
                <w:b/>
                <w:sz w:val="24"/>
              </w:rPr>
            </w:pPr>
          </w:p>
          <w:p>
            <w:pPr>
              <w:pStyle w:val="TableParagraph"/>
              <w:rPr>
                <w:b/>
                <w:sz w:val="24"/>
              </w:rPr>
            </w:pPr>
          </w:p>
          <w:p>
            <w:pPr>
              <w:pStyle w:val="TableParagraph"/>
              <w:ind w:left="6" w:right="40"/>
              <w:jc w:val="center"/>
              <w:rPr>
                <w:sz w:val="24"/>
              </w:rPr>
            </w:pPr>
            <w:r>
              <w:rPr>
                <w:spacing w:val="-5"/>
                <w:sz w:val="24"/>
              </w:rPr>
              <w:t>26</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ind w:left="107"/>
              <w:rPr>
                <w:sz w:val="24"/>
              </w:rPr>
            </w:pPr>
            <w:r>
              <w:rPr>
                <w:spacing w:val="-2"/>
                <w:sz w:val="24"/>
              </w:rPr>
              <w:t>RR2.2</w:t>
            </w:r>
          </w:p>
        </w:tc>
        <w:tc>
          <w:tcPr>
            <w:tcW w:w="1260" w:type="dxa"/>
          </w:tcPr>
          <w:p>
            <w:pPr>
              <w:pStyle w:val="TableParagraph"/>
              <w:rPr>
                <w:b/>
                <w:sz w:val="24"/>
              </w:rPr>
            </w:pPr>
          </w:p>
          <w:p>
            <w:pPr>
              <w:pStyle w:val="TableParagraph"/>
              <w:ind w:left="106" w:right="88" w:hanging="84"/>
              <w:rPr>
                <w:sz w:val="24"/>
              </w:rPr>
            </w:pPr>
            <w:r>
              <w:rPr>
                <w:spacing w:val="-2"/>
                <w:sz w:val="24"/>
              </w:rPr>
              <w:t>Affordabl </w:t>
            </w:r>
            <w:r>
              <w:rPr>
                <w:spacing w:val="-10"/>
                <w:sz w:val="24"/>
              </w:rPr>
              <w:t>e </w:t>
            </w:r>
            <w:r>
              <w:rPr>
                <w:spacing w:val="-2"/>
                <w:sz w:val="24"/>
              </w:rPr>
              <w:t>Housing</w:t>
            </w:r>
          </w:p>
        </w:tc>
        <w:tc>
          <w:tcPr>
            <w:tcW w:w="2679" w:type="dxa"/>
          </w:tcPr>
          <w:p>
            <w:pPr>
              <w:pStyle w:val="TableParagraph"/>
              <w:rPr>
                <w:b/>
                <w:sz w:val="24"/>
              </w:rPr>
            </w:pPr>
          </w:p>
          <w:p>
            <w:pPr>
              <w:pStyle w:val="TableParagraph"/>
              <w:ind w:left="106"/>
              <w:rPr>
                <w:sz w:val="24"/>
              </w:rPr>
            </w:pPr>
            <w:r>
              <w:rPr>
                <w:sz w:val="24"/>
              </w:rPr>
              <w:t>Affordable </w:t>
            </w:r>
            <w:r>
              <w:rPr>
                <w:spacing w:val="-2"/>
                <w:sz w:val="24"/>
              </w:rPr>
              <w:t>Housing</w:t>
            </w:r>
          </w:p>
        </w:tc>
        <w:tc>
          <w:tcPr>
            <w:tcW w:w="2094" w:type="dxa"/>
          </w:tcPr>
          <w:p>
            <w:pPr>
              <w:pStyle w:val="TableParagraph"/>
              <w:rPr>
                <w:rFonts w:ascii="Times New Roman"/>
                <w:sz w:val="22"/>
              </w:rPr>
            </w:pPr>
          </w:p>
        </w:tc>
        <w:tc>
          <w:tcPr>
            <w:tcW w:w="1306" w:type="dxa"/>
          </w:tcPr>
          <w:p>
            <w:pPr>
              <w:pStyle w:val="TableParagraph"/>
              <w:ind w:left="180" w:right="281"/>
              <w:jc w:val="both"/>
              <w:rPr>
                <w:sz w:val="24"/>
              </w:rPr>
            </w:pPr>
            <w:r>
              <w:rPr>
                <w:sz w:val="24"/>
              </w:rPr>
              <w:t>1 or 3, In</w:t>
            </w:r>
            <w:r>
              <w:rPr>
                <w:spacing w:val="-20"/>
                <w:sz w:val="24"/>
              </w:rPr>
              <w:t> </w:t>
            </w:r>
            <w:r>
              <w:rPr>
                <w:sz w:val="24"/>
              </w:rPr>
              <w:t>case of 3</w:t>
            </w:r>
          </w:p>
          <w:p>
            <w:pPr>
              <w:pStyle w:val="TableParagraph"/>
              <w:numPr>
                <w:ilvl w:val="0"/>
                <w:numId w:val="50"/>
              </w:numPr>
              <w:tabs>
                <w:tab w:pos="393" w:val="left" w:leader="none"/>
              </w:tabs>
              <w:spacing w:line="240" w:lineRule="auto" w:before="0" w:after="0"/>
              <w:ind w:left="393" w:right="0" w:hanging="287"/>
              <w:jc w:val="both"/>
              <w:rPr>
                <w:sz w:val="24"/>
              </w:rPr>
            </w:pPr>
            <w:r>
              <w:rPr>
                <w:spacing w:val="-4"/>
                <w:sz w:val="24"/>
              </w:rPr>
              <w:t>X=50</w:t>
            </w:r>
          </w:p>
          <w:p>
            <w:pPr>
              <w:pStyle w:val="TableParagraph"/>
              <w:numPr>
                <w:ilvl w:val="0"/>
                <w:numId w:val="50"/>
              </w:numPr>
              <w:tabs>
                <w:tab w:pos="403" w:val="left" w:leader="none"/>
              </w:tabs>
              <w:spacing w:line="261" w:lineRule="exact" w:before="1" w:after="0"/>
              <w:ind w:left="403" w:right="0" w:hanging="297"/>
              <w:jc w:val="both"/>
              <w:rPr>
                <w:sz w:val="24"/>
              </w:rPr>
            </w:pPr>
            <w:r>
              <w:rPr>
                <w:spacing w:val="-4"/>
                <w:sz w:val="24"/>
              </w:rPr>
              <w:t>Y=40</w:t>
            </w:r>
          </w:p>
        </w:tc>
      </w:tr>
      <w:tr>
        <w:trPr>
          <w:trHeight w:val="1602"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27</w:t>
            </w:r>
          </w:p>
        </w:tc>
        <w:tc>
          <w:tcPr>
            <w:tcW w:w="1349" w:type="dxa"/>
          </w:tcPr>
          <w:p>
            <w:pPr>
              <w:pStyle w:val="TableParagraph"/>
              <w:rPr>
                <w:rFonts w:ascii="Times New Roman"/>
                <w:sz w:val="22"/>
              </w:rPr>
            </w:pPr>
          </w:p>
        </w:tc>
        <w:tc>
          <w:tcPr>
            <w:tcW w:w="1057" w:type="dxa"/>
          </w:tcPr>
          <w:p>
            <w:pPr>
              <w:pStyle w:val="TableParagraph"/>
              <w:rPr>
                <w:b/>
                <w:sz w:val="24"/>
              </w:rPr>
            </w:pPr>
          </w:p>
          <w:p>
            <w:pPr>
              <w:pStyle w:val="TableParagraph"/>
              <w:spacing w:before="95"/>
              <w:rPr>
                <w:b/>
                <w:sz w:val="24"/>
              </w:rPr>
            </w:pPr>
          </w:p>
          <w:p>
            <w:pPr>
              <w:pStyle w:val="TableParagraph"/>
              <w:ind w:left="107"/>
              <w:rPr>
                <w:sz w:val="24"/>
              </w:rPr>
            </w:pPr>
            <w:r>
              <w:rPr>
                <w:spacing w:val="-2"/>
                <w:sz w:val="24"/>
              </w:rPr>
              <w:t>RR3.1</w:t>
            </w:r>
          </w:p>
        </w:tc>
        <w:tc>
          <w:tcPr>
            <w:tcW w:w="1260" w:type="dxa"/>
          </w:tcPr>
          <w:p>
            <w:pPr>
              <w:pStyle w:val="TableParagraph"/>
              <w:spacing w:before="238"/>
              <w:rPr>
                <w:b/>
                <w:sz w:val="24"/>
              </w:rPr>
            </w:pPr>
          </w:p>
          <w:p>
            <w:pPr>
              <w:pStyle w:val="TableParagraph"/>
              <w:ind w:left="106" w:right="163"/>
              <w:rPr>
                <w:sz w:val="24"/>
              </w:rPr>
            </w:pPr>
            <w:r>
              <w:rPr>
                <w:spacing w:val="-4"/>
                <w:sz w:val="24"/>
              </w:rPr>
              <w:t>Koli </w:t>
            </w:r>
            <w:r>
              <w:rPr>
                <w:spacing w:val="-2"/>
                <w:sz w:val="24"/>
              </w:rPr>
              <w:t>Housing</w:t>
            </w:r>
          </w:p>
        </w:tc>
        <w:tc>
          <w:tcPr>
            <w:tcW w:w="2679" w:type="dxa"/>
          </w:tcPr>
          <w:p>
            <w:pPr>
              <w:pStyle w:val="TableParagraph"/>
              <w:rPr>
                <w:b/>
                <w:sz w:val="24"/>
              </w:rPr>
            </w:pPr>
          </w:p>
          <w:p>
            <w:pPr>
              <w:pStyle w:val="TableParagraph"/>
              <w:spacing w:before="95"/>
              <w:rPr>
                <w:b/>
                <w:sz w:val="24"/>
              </w:rPr>
            </w:pPr>
          </w:p>
          <w:p>
            <w:pPr>
              <w:pStyle w:val="TableParagraph"/>
              <w:ind w:left="106"/>
              <w:rPr>
                <w:sz w:val="24"/>
              </w:rPr>
            </w:pPr>
            <w:r>
              <w:rPr>
                <w:sz w:val="24"/>
              </w:rPr>
              <w:t>Koli </w:t>
            </w:r>
            <w:r>
              <w:rPr>
                <w:spacing w:val="-2"/>
                <w:sz w:val="24"/>
              </w:rPr>
              <w:t>Housing</w:t>
            </w:r>
          </w:p>
        </w:tc>
        <w:tc>
          <w:tcPr>
            <w:tcW w:w="2094" w:type="dxa"/>
          </w:tcPr>
          <w:p>
            <w:pPr>
              <w:pStyle w:val="TableParagraph"/>
              <w:spacing w:before="238"/>
              <w:rPr>
                <w:b/>
                <w:sz w:val="24"/>
              </w:rPr>
            </w:pPr>
          </w:p>
          <w:p>
            <w:pPr>
              <w:pStyle w:val="TableParagraph"/>
              <w:ind w:left="106" w:right="55"/>
              <w:rPr>
                <w:sz w:val="24"/>
              </w:rPr>
            </w:pPr>
            <w:r>
              <w:rPr>
                <w:sz w:val="24"/>
              </w:rPr>
              <w:t>Art</w:t>
            </w:r>
            <w:r>
              <w:rPr>
                <w:spacing w:val="-19"/>
                <w:sz w:val="24"/>
              </w:rPr>
              <w:t> </w:t>
            </w:r>
            <w:r>
              <w:rPr>
                <w:sz w:val="24"/>
              </w:rPr>
              <w:t>and</w:t>
            </w:r>
            <w:r>
              <w:rPr>
                <w:spacing w:val="-19"/>
                <w:sz w:val="24"/>
              </w:rPr>
              <w:t> </w:t>
            </w:r>
            <w:r>
              <w:rPr>
                <w:sz w:val="24"/>
              </w:rPr>
              <w:t>Culture related uses,</w:t>
            </w:r>
          </w:p>
        </w:tc>
        <w:tc>
          <w:tcPr>
            <w:tcW w:w="1306" w:type="dxa"/>
          </w:tcPr>
          <w:p>
            <w:pPr>
              <w:pStyle w:val="TableParagraph"/>
              <w:ind w:left="180" w:right="281"/>
              <w:jc w:val="both"/>
              <w:rPr>
                <w:sz w:val="24"/>
              </w:rPr>
            </w:pPr>
            <w:r>
              <w:rPr>
                <w:sz w:val="24"/>
              </w:rPr>
              <w:t>1 or 3, In</w:t>
            </w:r>
            <w:r>
              <w:rPr>
                <w:spacing w:val="-20"/>
                <w:sz w:val="24"/>
              </w:rPr>
              <w:t> </w:t>
            </w:r>
            <w:r>
              <w:rPr>
                <w:sz w:val="24"/>
              </w:rPr>
              <w:t>case of 3</w:t>
            </w:r>
          </w:p>
          <w:p>
            <w:pPr>
              <w:pStyle w:val="TableParagraph"/>
              <w:numPr>
                <w:ilvl w:val="0"/>
                <w:numId w:val="51"/>
              </w:numPr>
              <w:tabs>
                <w:tab w:pos="393" w:val="left" w:leader="none"/>
              </w:tabs>
              <w:spacing w:line="240" w:lineRule="auto" w:before="1" w:after="0"/>
              <w:ind w:left="393" w:right="0" w:hanging="287"/>
              <w:jc w:val="both"/>
              <w:rPr>
                <w:sz w:val="24"/>
              </w:rPr>
            </w:pPr>
            <w:r>
              <w:rPr>
                <w:spacing w:val="-4"/>
                <w:sz w:val="24"/>
              </w:rPr>
              <w:t>X=50</w:t>
            </w:r>
          </w:p>
          <w:p>
            <w:pPr>
              <w:pStyle w:val="TableParagraph"/>
              <w:numPr>
                <w:ilvl w:val="0"/>
                <w:numId w:val="51"/>
              </w:numPr>
              <w:tabs>
                <w:tab w:pos="477" w:val="left" w:leader="none"/>
              </w:tabs>
              <w:spacing w:line="240" w:lineRule="auto" w:before="95" w:after="0"/>
              <w:ind w:left="477" w:right="0" w:hanging="297"/>
              <w:jc w:val="both"/>
              <w:rPr>
                <w:sz w:val="24"/>
              </w:rPr>
            </w:pPr>
            <w:r>
              <w:rPr>
                <w:spacing w:val="-4"/>
                <w:sz w:val="24"/>
              </w:rPr>
              <w:t>Y=40</w:t>
            </w:r>
          </w:p>
        </w:tc>
      </w:tr>
    </w:tbl>
    <w:p>
      <w:pPr>
        <w:pStyle w:val="TableParagraph"/>
        <w:spacing w:after="0" w:line="240" w:lineRule="auto"/>
        <w:jc w:val="both"/>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1408" w:hRule="atLeast"/>
        </w:trPr>
        <w:tc>
          <w:tcPr>
            <w:tcW w:w="560" w:type="dxa"/>
          </w:tcPr>
          <w:p>
            <w:pPr>
              <w:pStyle w:val="TableParagraph"/>
              <w:spacing w:before="280"/>
              <w:ind w:left="6" w:right="40"/>
              <w:jc w:val="center"/>
              <w:rPr>
                <w:sz w:val="24"/>
              </w:rPr>
            </w:pPr>
            <w:r>
              <w:rPr>
                <w:spacing w:val="-5"/>
                <w:sz w:val="24"/>
              </w:rPr>
              <w:t>28</w:t>
            </w:r>
          </w:p>
        </w:tc>
        <w:tc>
          <w:tcPr>
            <w:tcW w:w="1349" w:type="dxa"/>
            <w:vMerge w:val="restart"/>
          </w:tcPr>
          <w:p>
            <w:pPr>
              <w:pStyle w:val="TableParagraph"/>
              <w:rPr>
                <w:b/>
                <w:sz w:val="24"/>
              </w:rPr>
            </w:pPr>
          </w:p>
          <w:p>
            <w:pPr>
              <w:pStyle w:val="TableParagraph"/>
              <w:spacing w:before="280"/>
              <w:rPr>
                <w:b/>
                <w:sz w:val="24"/>
              </w:rPr>
            </w:pPr>
          </w:p>
          <w:p>
            <w:pPr>
              <w:pStyle w:val="TableParagraph"/>
              <w:ind w:left="105"/>
              <w:rPr>
                <w:sz w:val="24"/>
              </w:rPr>
            </w:pPr>
            <w:r>
              <w:rPr>
                <w:spacing w:val="-2"/>
                <w:sz w:val="24"/>
              </w:rPr>
              <w:t>Public Utilities &amp;Facilitie </w:t>
            </w:r>
            <w:r>
              <w:rPr>
                <w:spacing w:val="-6"/>
                <w:sz w:val="24"/>
              </w:rPr>
              <w:t>s.</w:t>
            </w:r>
          </w:p>
        </w:tc>
        <w:tc>
          <w:tcPr>
            <w:tcW w:w="1057" w:type="dxa"/>
          </w:tcPr>
          <w:p>
            <w:pPr>
              <w:pStyle w:val="TableParagraph"/>
              <w:spacing w:before="280"/>
              <w:ind w:left="107" w:right="507" w:hanging="84"/>
              <w:rPr>
                <w:sz w:val="24"/>
              </w:rPr>
            </w:pPr>
            <w:r>
              <w:rPr>
                <w:spacing w:val="-4"/>
                <w:sz w:val="24"/>
              </w:rPr>
              <w:t>RPU 1.1</w:t>
            </w:r>
          </w:p>
        </w:tc>
        <w:tc>
          <w:tcPr>
            <w:tcW w:w="1260" w:type="dxa"/>
          </w:tcPr>
          <w:p>
            <w:pPr>
              <w:pStyle w:val="TableParagraph"/>
              <w:spacing w:before="280"/>
              <w:ind w:left="106" w:right="293"/>
              <w:rPr>
                <w:sz w:val="24"/>
              </w:rPr>
            </w:pPr>
            <w:r>
              <w:rPr>
                <w:spacing w:val="-4"/>
                <w:sz w:val="24"/>
              </w:rPr>
              <w:t>Fire </w:t>
            </w:r>
            <w:r>
              <w:rPr>
                <w:spacing w:val="-2"/>
                <w:sz w:val="24"/>
              </w:rPr>
              <w:t>Station</w:t>
            </w:r>
          </w:p>
        </w:tc>
        <w:tc>
          <w:tcPr>
            <w:tcW w:w="2679" w:type="dxa"/>
          </w:tcPr>
          <w:p>
            <w:pPr>
              <w:pStyle w:val="TableParagraph"/>
              <w:ind w:left="106" w:right="98"/>
              <w:jc w:val="both"/>
              <w:rPr>
                <w:sz w:val="24"/>
              </w:rPr>
            </w:pPr>
            <w:r>
              <w:rPr>
                <w:sz w:val="24"/>
              </w:rPr>
              <w:t>Fire</w:t>
            </w:r>
            <w:r>
              <w:rPr>
                <w:spacing w:val="-2"/>
                <w:sz w:val="24"/>
              </w:rPr>
              <w:t> </w:t>
            </w:r>
            <w:r>
              <w:rPr>
                <w:sz w:val="24"/>
              </w:rPr>
              <w:t>Brigade</w:t>
            </w:r>
            <w:r>
              <w:rPr>
                <w:spacing w:val="-2"/>
                <w:sz w:val="24"/>
              </w:rPr>
              <w:t> </w:t>
            </w:r>
            <w:r>
              <w:rPr>
                <w:sz w:val="24"/>
              </w:rPr>
              <w:t>Station, Training</w:t>
            </w:r>
            <w:r>
              <w:rPr>
                <w:spacing w:val="-14"/>
                <w:sz w:val="24"/>
              </w:rPr>
              <w:t> </w:t>
            </w:r>
            <w:r>
              <w:rPr>
                <w:sz w:val="24"/>
              </w:rPr>
              <w:t>center,</w:t>
            </w:r>
            <w:r>
              <w:rPr>
                <w:spacing w:val="-14"/>
                <w:sz w:val="24"/>
              </w:rPr>
              <w:t> </w:t>
            </w:r>
            <w:r>
              <w:rPr>
                <w:sz w:val="24"/>
              </w:rPr>
              <w:t>staff quarters, Municipal </w:t>
            </w:r>
            <w:r>
              <w:rPr>
                <w:spacing w:val="-2"/>
                <w:sz w:val="24"/>
              </w:rPr>
              <w:t>office.</w:t>
            </w:r>
          </w:p>
        </w:tc>
        <w:tc>
          <w:tcPr>
            <w:tcW w:w="2094" w:type="dxa"/>
          </w:tcPr>
          <w:p>
            <w:pPr>
              <w:pStyle w:val="TableParagraph"/>
              <w:rPr>
                <w:rFonts w:ascii="Times New Roman"/>
                <w:sz w:val="22"/>
              </w:rPr>
            </w:pPr>
          </w:p>
        </w:tc>
        <w:tc>
          <w:tcPr>
            <w:tcW w:w="1306" w:type="dxa"/>
          </w:tcPr>
          <w:p>
            <w:pPr>
              <w:pStyle w:val="TableParagraph"/>
              <w:ind w:left="180" w:right="281"/>
              <w:jc w:val="both"/>
              <w:rPr>
                <w:sz w:val="24"/>
              </w:rPr>
            </w:pPr>
            <w:r>
              <w:rPr>
                <w:sz w:val="24"/>
              </w:rPr>
              <w:t>1 or 3, In</w:t>
            </w:r>
            <w:r>
              <w:rPr>
                <w:spacing w:val="-20"/>
                <w:sz w:val="24"/>
              </w:rPr>
              <w:t> </w:t>
            </w:r>
            <w:r>
              <w:rPr>
                <w:sz w:val="24"/>
              </w:rPr>
              <w:t>case of 3</w:t>
            </w:r>
          </w:p>
          <w:p>
            <w:pPr>
              <w:pStyle w:val="TableParagraph"/>
              <w:numPr>
                <w:ilvl w:val="0"/>
                <w:numId w:val="52"/>
              </w:numPr>
              <w:tabs>
                <w:tab w:pos="393" w:val="left" w:leader="none"/>
              </w:tabs>
              <w:spacing w:line="281" w:lineRule="exact" w:before="0" w:after="0"/>
              <w:ind w:left="393" w:right="0" w:hanging="287"/>
              <w:jc w:val="both"/>
              <w:rPr>
                <w:sz w:val="24"/>
              </w:rPr>
            </w:pPr>
            <w:r>
              <w:rPr>
                <w:spacing w:val="-4"/>
                <w:sz w:val="24"/>
              </w:rPr>
              <w:t>X=50</w:t>
            </w:r>
          </w:p>
          <w:p>
            <w:pPr>
              <w:pStyle w:val="TableParagraph"/>
              <w:numPr>
                <w:ilvl w:val="0"/>
                <w:numId w:val="52"/>
              </w:numPr>
              <w:tabs>
                <w:tab w:pos="477" w:val="left" w:leader="none"/>
              </w:tabs>
              <w:spacing w:line="261" w:lineRule="exact" w:before="0" w:after="0"/>
              <w:ind w:left="477" w:right="0" w:hanging="297"/>
              <w:jc w:val="both"/>
              <w:rPr>
                <w:sz w:val="24"/>
              </w:rPr>
            </w:pPr>
            <w:r>
              <w:rPr>
                <w:spacing w:val="-4"/>
                <w:sz w:val="24"/>
              </w:rPr>
              <w:t>Y=50</w:t>
            </w:r>
          </w:p>
        </w:tc>
      </w:tr>
      <w:tr>
        <w:trPr>
          <w:trHeight w:val="2073" w:hRule="atLeast"/>
        </w:trPr>
        <w:tc>
          <w:tcPr>
            <w:tcW w:w="560" w:type="dxa"/>
          </w:tcPr>
          <w:p>
            <w:pPr>
              <w:pStyle w:val="TableParagraph"/>
              <w:spacing w:line="281" w:lineRule="exact"/>
              <w:ind w:left="6" w:right="40"/>
              <w:jc w:val="center"/>
              <w:rPr>
                <w:sz w:val="24"/>
              </w:rPr>
            </w:pPr>
            <w:r>
              <w:rPr>
                <w:spacing w:val="-5"/>
                <w:sz w:val="24"/>
              </w:rPr>
              <w:t>29</w:t>
            </w:r>
          </w:p>
        </w:tc>
        <w:tc>
          <w:tcPr>
            <w:tcW w:w="1349" w:type="dxa"/>
            <w:vMerge/>
            <w:tcBorders>
              <w:top w:val="nil"/>
            </w:tcBorders>
          </w:tcPr>
          <w:p>
            <w:pPr>
              <w:rPr>
                <w:sz w:val="2"/>
                <w:szCs w:val="2"/>
              </w:rPr>
            </w:pPr>
          </w:p>
        </w:tc>
        <w:tc>
          <w:tcPr>
            <w:tcW w:w="1057" w:type="dxa"/>
          </w:tcPr>
          <w:p>
            <w:pPr>
              <w:pStyle w:val="TableParagraph"/>
              <w:spacing w:before="190"/>
              <w:rPr>
                <w:b/>
                <w:sz w:val="24"/>
              </w:rPr>
            </w:pPr>
          </w:p>
          <w:p>
            <w:pPr>
              <w:pStyle w:val="TableParagraph"/>
              <w:ind w:left="107" w:right="507" w:hanging="84"/>
              <w:rPr>
                <w:sz w:val="24"/>
              </w:rPr>
            </w:pPr>
            <w:r>
              <w:rPr>
                <w:spacing w:val="-4"/>
                <w:sz w:val="24"/>
              </w:rPr>
              <w:t>RPU 3.1</w:t>
            </w:r>
          </w:p>
        </w:tc>
        <w:tc>
          <w:tcPr>
            <w:tcW w:w="1260" w:type="dxa"/>
          </w:tcPr>
          <w:p>
            <w:pPr>
              <w:pStyle w:val="TableParagraph"/>
              <w:spacing w:before="190"/>
              <w:rPr>
                <w:b/>
                <w:sz w:val="24"/>
              </w:rPr>
            </w:pPr>
          </w:p>
          <w:p>
            <w:pPr>
              <w:pStyle w:val="TableParagraph"/>
              <w:ind w:left="106" w:right="293"/>
              <w:rPr>
                <w:sz w:val="24"/>
              </w:rPr>
            </w:pPr>
            <w:r>
              <w:rPr>
                <w:spacing w:val="-2"/>
                <w:sz w:val="24"/>
              </w:rPr>
              <w:t>Police Station</w:t>
            </w:r>
          </w:p>
        </w:tc>
        <w:tc>
          <w:tcPr>
            <w:tcW w:w="2679" w:type="dxa"/>
          </w:tcPr>
          <w:p>
            <w:pPr>
              <w:pStyle w:val="TableParagraph"/>
              <w:spacing w:before="95"/>
              <w:ind w:left="106" w:right="97"/>
              <w:jc w:val="both"/>
              <w:rPr>
                <w:sz w:val="24"/>
              </w:rPr>
            </w:pPr>
            <w:r>
              <w:rPr>
                <w:sz w:val="24"/>
              </w:rPr>
              <w:t>Police station, </w:t>
            </w:r>
            <w:r>
              <w:rPr>
                <w:sz w:val="24"/>
              </w:rPr>
              <w:t>Police Chowky, lock up Facility, Canteen, Toilet Blocks, Rest Rooms, Residential </w:t>
            </w:r>
            <w:r>
              <w:rPr>
                <w:spacing w:val="-2"/>
                <w:sz w:val="24"/>
              </w:rPr>
              <w:t>Quarters</w:t>
            </w:r>
          </w:p>
        </w:tc>
        <w:tc>
          <w:tcPr>
            <w:tcW w:w="2094" w:type="dxa"/>
          </w:tcPr>
          <w:p>
            <w:pPr>
              <w:pStyle w:val="TableParagraph"/>
              <w:spacing w:before="95"/>
              <w:ind w:left="106"/>
              <w:rPr>
                <w:sz w:val="24"/>
              </w:rPr>
            </w:pPr>
            <w:r>
              <w:rPr>
                <w:sz w:val="24"/>
              </w:rPr>
              <w:t>Branch</w:t>
            </w:r>
            <w:r>
              <w:rPr>
                <w:spacing w:val="-19"/>
                <w:sz w:val="24"/>
              </w:rPr>
              <w:t> </w:t>
            </w:r>
            <w:r>
              <w:rPr>
                <w:sz w:val="24"/>
              </w:rPr>
              <w:t>of</w:t>
            </w:r>
            <w:r>
              <w:rPr>
                <w:spacing w:val="-19"/>
                <w:sz w:val="24"/>
              </w:rPr>
              <w:t> </w:t>
            </w:r>
            <w:r>
              <w:rPr>
                <w:sz w:val="24"/>
              </w:rPr>
              <w:t>Bank, Bill payment </w:t>
            </w:r>
            <w:r>
              <w:rPr>
                <w:spacing w:val="-2"/>
                <w:sz w:val="24"/>
              </w:rPr>
              <w:t>Kiosk</w:t>
            </w:r>
          </w:p>
        </w:tc>
        <w:tc>
          <w:tcPr>
            <w:tcW w:w="1306" w:type="dxa"/>
          </w:tcPr>
          <w:p>
            <w:pPr>
              <w:pStyle w:val="TableParagraph"/>
              <w:spacing w:before="95"/>
              <w:ind w:left="106" w:right="435"/>
              <w:rPr>
                <w:sz w:val="24"/>
              </w:rPr>
            </w:pPr>
            <w:r>
              <w:rPr>
                <w:sz w:val="24"/>
              </w:rPr>
              <w:t>1 or 3 </w:t>
            </w:r>
            <w:r>
              <w:rPr>
                <w:spacing w:val="-2"/>
                <w:sz w:val="24"/>
              </w:rPr>
              <w:t>Zb=10</w:t>
            </w:r>
          </w:p>
          <w:p>
            <w:pPr>
              <w:pStyle w:val="TableParagraph"/>
              <w:spacing w:before="97"/>
              <w:ind w:left="180" w:right="278"/>
              <w:rPr>
                <w:sz w:val="24"/>
              </w:rPr>
            </w:pPr>
            <w:r>
              <w:rPr>
                <w:sz w:val="24"/>
              </w:rPr>
              <w:t>In</w:t>
            </w:r>
            <w:r>
              <w:rPr>
                <w:spacing w:val="-20"/>
                <w:sz w:val="24"/>
              </w:rPr>
              <w:t> </w:t>
            </w:r>
            <w:r>
              <w:rPr>
                <w:sz w:val="24"/>
              </w:rPr>
              <w:t>case of 3</w:t>
            </w:r>
          </w:p>
          <w:p>
            <w:pPr>
              <w:pStyle w:val="TableParagraph"/>
              <w:numPr>
                <w:ilvl w:val="0"/>
                <w:numId w:val="53"/>
              </w:numPr>
              <w:tabs>
                <w:tab w:pos="393" w:val="left" w:leader="none"/>
              </w:tabs>
              <w:spacing w:line="240" w:lineRule="auto" w:before="1" w:after="0"/>
              <w:ind w:left="393" w:right="0" w:hanging="287"/>
              <w:jc w:val="left"/>
              <w:rPr>
                <w:sz w:val="24"/>
              </w:rPr>
            </w:pPr>
            <w:r>
              <w:rPr>
                <w:spacing w:val="-4"/>
                <w:sz w:val="24"/>
              </w:rPr>
              <w:t>X=50</w:t>
            </w:r>
          </w:p>
          <w:p>
            <w:pPr>
              <w:pStyle w:val="TableParagraph"/>
              <w:numPr>
                <w:ilvl w:val="0"/>
                <w:numId w:val="53"/>
              </w:numPr>
              <w:tabs>
                <w:tab w:pos="403" w:val="left" w:leader="none"/>
              </w:tabs>
              <w:spacing w:line="240" w:lineRule="auto" w:before="95" w:after="0"/>
              <w:ind w:left="403" w:right="0" w:hanging="297"/>
              <w:jc w:val="left"/>
              <w:rPr>
                <w:sz w:val="24"/>
              </w:rPr>
            </w:pPr>
            <w:r>
              <w:rPr>
                <w:spacing w:val="-4"/>
                <w:sz w:val="24"/>
              </w:rPr>
              <w:t>Y=40</w:t>
            </w:r>
          </w:p>
        </w:tc>
      </w:tr>
      <w:tr>
        <w:trPr>
          <w:trHeight w:val="1600" w:hRule="atLeast"/>
        </w:trPr>
        <w:tc>
          <w:tcPr>
            <w:tcW w:w="560" w:type="dxa"/>
          </w:tcPr>
          <w:p>
            <w:pPr>
              <w:pStyle w:val="TableParagraph"/>
              <w:spacing w:before="1"/>
              <w:ind w:left="6" w:right="40"/>
              <w:jc w:val="center"/>
              <w:rPr>
                <w:sz w:val="24"/>
              </w:rPr>
            </w:pPr>
            <w:r>
              <w:rPr>
                <w:spacing w:val="-5"/>
                <w:sz w:val="24"/>
              </w:rPr>
              <w:t>30</w:t>
            </w:r>
          </w:p>
        </w:tc>
        <w:tc>
          <w:tcPr>
            <w:tcW w:w="1349" w:type="dxa"/>
            <w:vMerge/>
            <w:tcBorders>
              <w:top w:val="nil"/>
            </w:tcBorders>
          </w:tcPr>
          <w:p>
            <w:pPr>
              <w:rPr>
                <w:sz w:val="2"/>
                <w:szCs w:val="2"/>
              </w:rPr>
            </w:pPr>
          </w:p>
        </w:tc>
        <w:tc>
          <w:tcPr>
            <w:tcW w:w="1057" w:type="dxa"/>
          </w:tcPr>
          <w:p>
            <w:pPr>
              <w:pStyle w:val="TableParagraph"/>
              <w:spacing w:before="192"/>
              <w:rPr>
                <w:b/>
                <w:sz w:val="24"/>
              </w:rPr>
            </w:pPr>
          </w:p>
          <w:p>
            <w:pPr>
              <w:pStyle w:val="TableParagraph"/>
              <w:ind w:left="107" w:right="507" w:hanging="84"/>
              <w:rPr>
                <w:sz w:val="24"/>
              </w:rPr>
            </w:pPr>
            <w:r>
              <w:rPr>
                <w:spacing w:val="-4"/>
                <w:sz w:val="24"/>
              </w:rPr>
              <w:t>RPU 3.2</w:t>
            </w:r>
          </w:p>
        </w:tc>
        <w:tc>
          <w:tcPr>
            <w:tcW w:w="1260" w:type="dxa"/>
          </w:tcPr>
          <w:p>
            <w:pPr>
              <w:pStyle w:val="TableParagraph"/>
              <w:spacing w:before="97"/>
              <w:ind w:left="106" w:right="200"/>
              <w:rPr>
                <w:sz w:val="24"/>
              </w:rPr>
            </w:pPr>
            <w:r>
              <w:rPr>
                <w:spacing w:val="-2"/>
                <w:sz w:val="24"/>
              </w:rPr>
              <w:t>Police Chowky</w:t>
            </w:r>
          </w:p>
        </w:tc>
        <w:tc>
          <w:tcPr>
            <w:tcW w:w="2679" w:type="dxa"/>
          </w:tcPr>
          <w:p>
            <w:pPr>
              <w:pStyle w:val="TableParagraph"/>
              <w:spacing w:before="97"/>
              <w:ind w:left="106"/>
              <w:rPr>
                <w:sz w:val="24"/>
              </w:rPr>
            </w:pPr>
            <w:r>
              <w:rPr>
                <w:sz w:val="24"/>
              </w:rPr>
              <w:t>Police</w:t>
            </w:r>
            <w:r>
              <w:rPr>
                <w:spacing w:val="-20"/>
                <w:sz w:val="24"/>
              </w:rPr>
              <w:t> </w:t>
            </w:r>
            <w:r>
              <w:rPr>
                <w:sz w:val="24"/>
              </w:rPr>
              <w:t>chowky,</w:t>
            </w:r>
            <w:r>
              <w:rPr>
                <w:spacing w:val="-19"/>
                <w:sz w:val="24"/>
              </w:rPr>
              <w:t> </w:t>
            </w:r>
            <w:r>
              <w:rPr>
                <w:sz w:val="24"/>
              </w:rPr>
              <w:t>Toilet Blocks, Rest Rooms</w:t>
            </w:r>
          </w:p>
        </w:tc>
        <w:tc>
          <w:tcPr>
            <w:tcW w:w="2094" w:type="dxa"/>
          </w:tcPr>
          <w:p>
            <w:pPr>
              <w:pStyle w:val="TableParagraph"/>
              <w:rPr>
                <w:rFonts w:ascii="Times New Roman"/>
                <w:sz w:val="22"/>
              </w:rPr>
            </w:pPr>
          </w:p>
        </w:tc>
        <w:tc>
          <w:tcPr>
            <w:tcW w:w="1306" w:type="dxa"/>
          </w:tcPr>
          <w:p>
            <w:pPr>
              <w:pStyle w:val="TableParagraph"/>
              <w:spacing w:before="1"/>
              <w:ind w:left="180" w:right="281"/>
              <w:jc w:val="both"/>
              <w:rPr>
                <w:sz w:val="24"/>
              </w:rPr>
            </w:pPr>
            <w:r>
              <w:rPr>
                <w:sz w:val="24"/>
              </w:rPr>
              <w:t>1 or 3, In</w:t>
            </w:r>
            <w:r>
              <w:rPr>
                <w:spacing w:val="-20"/>
                <w:sz w:val="24"/>
              </w:rPr>
              <w:t> </w:t>
            </w:r>
            <w:r>
              <w:rPr>
                <w:sz w:val="24"/>
              </w:rPr>
              <w:t>case of 3</w:t>
            </w:r>
          </w:p>
          <w:p>
            <w:pPr>
              <w:pStyle w:val="TableParagraph"/>
              <w:numPr>
                <w:ilvl w:val="0"/>
                <w:numId w:val="54"/>
              </w:numPr>
              <w:tabs>
                <w:tab w:pos="393" w:val="left" w:leader="none"/>
              </w:tabs>
              <w:spacing w:line="281" w:lineRule="exact" w:before="0" w:after="0"/>
              <w:ind w:left="393" w:right="0" w:hanging="287"/>
              <w:jc w:val="both"/>
              <w:rPr>
                <w:sz w:val="24"/>
              </w:rPr>
            </w:pPr>
            <w:r>
              <w:rPr>
                <w:spacing w:val="-4"/>
                <w:sz w:val="24"/>
              </w:rPr>
              <w:t>X=50</w:t>
            </w:r>
          </w:p>
          <w:p>
            <w:pPr>
              <w:pStyle w:val="TableParagraph"/>
              <w:numPr>
                <w:ilvl w:val="0"/>
                <w:numId w:val="54"/>
              </w:numPr>
              <w:tabs>
                <w:tab w:pos="477" w:val="left" w:leader="none"/>
              </w:tabs>
              <w:spacing w:line="240" w:lineRule="auto" w:before="95" w:after="0"/>
              <w:ind w:left="477" w:right="0" w:hanging="297"/>
              <w:jc w:val="both"/>
              <w:rPr>
                <w:sz w:val="24"/>
              </w:rPr>
            </w:pPr>
            <w:r>
              <w:rPr>
                <w:spacing w:val="-4"/>
                <w:sz w:val="24"/>
              </w:rPr>
              <w:t>Y=40</w:t>
            </w:r>
          </w:p>
        </w:tc>
      </w:tr>
      <w:tr>
        <w:trPr>
          <w:trHeight w:val="2548" w:hRule="atLeast"/>
        </w:trPr>
        <w:tc>
          <w:tcPr>
            <w:tcW w:w="560" w:type="dxa"/>
          </w:tcPr>
          <w:p>
            <w:pPr>
              <w:pStyle w:val="TableParagraph"/>
              <w:spacing w:before="2"/>
              <w:ind w:left="6" w:right="40"/>
              <w:jc w:val="center"/>
              <w:rPr>
                <w:sz w:val="24"/>
              </w:rPr>
            </w:pPr>
            <w:r>
              <w:rPr>
                <w:spacing w:val="-5"/>
                <w:sz w:val="24"/>
              </w:rPr>
              <w:t>31</w:t>
            </w:r>
          </w:p>
        </w:tc>
        <w:tc>
          <w:tcPr>
            <w:tcW w:w="1349" w:type="dxa"/>
            <w:vMerge/>
            <w:tcBorders>
              <w:top w:val="nil"/>
            </w:tcBorders>
          </w:tcPr>
          <w:p>
            <w:pPr>
              <w:rPr>
                <w:sz w:val="2"/>
                <w:szCs w:val="2"/>
              </w:rPr>
            </w:pPr>
          </w:p>
        </w:tc>
        <w:tc>
          <w:tcPr>
            <w:tcW w:w="1057" w:type="dxa"/>
          </w:tcPr>
          <w:p>
            <w:pPr>
              <w:pStyle w:val="TableParagraph"/>
              <w:spacing w:before="193"/>
              <w:rPr>
                <w:b/>
                <w:sz w:val="24"/>
              </w:rPr>
            </w:pPr>
          </w:p>
          <w:p>
            <w:pPr>
              <w:pStyle w:val="TableParagraph"/>
              <w:ind w:left="23"/>
              <w:rPr>
                <w:sz w:val="24"/>
              </w:rPr>
            </w:pPr>
            <w:r>
              <w:rPr>
                <w:spacing w:val="-2"/>
                <w:sz w:val="24"/>
              </w:rPr>
              <w:t>RPU3.3</w:t>
            </w:r>
          </w:p>
        </w:tc>
        <w:tc>
          <w:tcPr>
            <w:tcW w:w="1260" w:type="dxa"/>
          </w:tcPr>
          <w:p>
            <w:pPr>
              <w:pStyle w:val="TableParagraph"/>
              <w:spacing w:before="98"/>
              <w:ind w:left="18" w:right="103"/>
              <w:rPr>
                <w:sz w:val="24"/>
              </w:rPr>
            </w:pPr>
            <w:r>
              <w:rPr>
                <w:spacing w:val="-2"/>
                <w:sz w:val="24"/>
              </w:rPr>
              <w:t>Correctio </w:t>
            </w:r>
            <w:r>
              <w:rPr>
                <w:spacing w:val="-10"/>
                <w:sz w:val="24"/>
              </w:rPr>
              <w:t>n </w:t>
            </w:r>
            <w:r>
              <w:rPr>
                <w:spacing w:val="-2"/>
                <w:sz w:val="24"/>
              </w:rPr>
              <w:t>Facilities</w:t>
            </w:r>
          </w:p>
        </w:tc>
        <w:tc>
          <w:tcPr>
            <w:tcW w:w="2679" w:type="dxa"/>
          </w:tcPr>
          <w:p>
            <w:pPr>
              <w:pStyle w:val="TableParagraph"/>
              <w:spacing w:before="98"/>
              <w:ind w:left="181"/>
              <w:rPr>
                <w:sz w:val="24"/>
              </w:rPr>
            </w:pPr>
            <w:r>
              <w:rPr>
                <w:sz w:val="24"/>
              </w:rPr>
              <w:t>Jail,</w:t>
            </w:r>
            <w:r>
              <w:rPr>
                <w:spacing w:val="-20"/>
                <w:sz w:val="24"/>
              </w:rPr>
              <w:t> </w:t>
            </w:r>
            <w:r>
              <w:rPr>
                <w:sz w:val="24"/>
              </w:rPr>
              <w:t>Juvenile</w:t>
            </w:r>
            <w:r>
              <w:rPr>
                <w:spacing w:val="-19"/>
                <w:sz w:val="24"/>
              </w:rPr>
              <w:t> </w:t>
            </w:r>
            <w:r>
              <w:rPr>
                <w:sz w:val="24"/>
              </w:rPr>
              <w:t>Home, Police Station etc.</w:t>
            </w:r>
          </w:p>
        </w:tc>
        <w:tc>
          <w:tcPr>
            <w:tcW w:w="2094" w:type="dxa"/>
          </w:tcPr>
          <w:p>
            <w:pPr>
              <w:pStyle w:val="TableParagraph"/>
              <w:spacing w:before="98"/>
              <w:ind w:left="106"/>
              <w:rPr>
                <w:sz w:val="24"/>
              </w:rPr>
            </w:pPr>
            <w:r>
              <w:rPr>
                <w:sz w:val="24"/>
              </w:rPr>
              <w:t>Bank</w:t>
            </w:r>
            <w:r>
              <w:rPr>
                <w:spacing w:val="-5"/>
                <w:sz w:val="24"/>
              </w:rPr>
              <w:t> ATM</w:t>
            </w:r>
          </w:p>
        </w:tc>
        <w:tc>
          <w:tcPr>
            <w:tcW w:w="1306" w:type="dxa"/>
          </w:tcPr>
          <w:p>
            <w:pPr>
              <w:pStyle w:val="TableParagraph"/>
              <w:spacing w:before="98"/>
              <w:ind w:left="106"/>
              <w:rPr>
                <w:sz w:val="24"/>
              </w:rPr>
            </w:pPr>
            <w:r>
              <w:rPr>
                <w:sz w:val="24"/>
              </w:rPr>
              <w:t>1 or </w:t>
            </w:r>
            <w:r>
              <w:rPr>
                <w:spacing w:val="-10"/>
                <w:sz w:val="24"/>
              </w:rPr>
              <w:t>3</w:t>
            </w:r>
          </w:p>
          <w:p>
            <w:pPr>
              <w:pStyle w:val="TableParagraph"/>
              <w:spacing w:line="321" w:lineRule="auto" w:before="95"/>
              <w:ind w:left="106" w:right="378"/>
              <w:rPr>
                <w:sz w:val="24"/>
              </w:rPr>
            </w:pPr>
            <w:r>
              <w:rPr>
                <w:sz w:val="24"/>
              </w:rPr>
              <w:t>Za=</w:t>
            </w:r>
            <w:r>
              <w:rPr>
                <w:spacing w:val="-20"/>
                <w:sz w:val="24"/>
              </w:rPr>
              <w:t> </w:t>
            </w:r>
            <w:r>
              <w:rPr>
                <w:sz w:val="24"/>
              </w:rPr>
              <w:t>10 </w:t>
            </w:r>
            <w:r>
              <w:rPr>
                <w:spacing w:val="-2"/>
                <w:sz w:val="24"/>
              </w:rPr>
              <w:t>Zb=10</w:t>
            </w:r>
          </w:p>
          <w:p>
            <w:pPr>
              <w:pStyle w:val="TableParagraph"/>
              <w:spacing w:before="1"/>
              <w:ind w:left="106" w:right="278"/>
              <w:rPr>
                <w:sz w:val="24"/>
              </w:rPr>
            </w:pPr>
            <w:r>
              <w:rPr>
                <w:sz w:val="24"/>
              </w:rPr>
              <w:t>In</w:t>
            </w:r>
            <w:r>
              <w:rPr>
                <w:spacing w:val="-20"/>
                <w:sz w:val="24"/>
              </w:rPr>
              <w:t> </w:t>
            </w:r>
            <w:r>
              <w:rPr>
                <w:sz w:val="24"/>
              </w:rPr>
              <w:t>case of 3</w:t>
            </w:r>
          </w:p>
          <w:p>
            <w:pPr>
              <w:pStyle w:val="TableParagraph"/>
              <w:numPr>
                <w:ilvl w:val="0"/>
                <w:numId w:val="55"/>
              </w:numPr>
              <w:tabs>
                <w:tab w:pos="393" w:val="left" w:leader="none"/>
              </w:tabs>
              <w:spacing w:line="240" w:lineRule="auto" w:before="0" w:after="0"/>
              <w:ind w:left="393" w:right="0" w:hanging="287"/>
              <w:jc w:val="left"/>
              <w:rPr>
                <w:sz w:val="24"/>
              </w:rPr>
            </w:pPr>
            <w:r>
              <w:rPr>
                <w:spacing w:val="-4"/>
                <w:sz w:val="24"/>
              </w:rPr>
              <w:t>X=50</w:t>
            </w:r>
          </w:p>
          <w:p>
            <w:pPr>
              <w:pStyle w:val="TableParagraph"/>
              <w:numPr>
                <w:ilvl w:val="0"/>
                <w:numId w:val="55"/>
              </w:numPr>
              <w:tabs>
                <w:tab w:pos="403" w:val="left" w:leader="none"/>
              </w:tabs>
              <w:spacing w:line="240" w:lineRule="auto" w:before="95" w:after="0"/>
              <w:ind w:left="403" w:right="0" w:hanging="297"/>
              <w:jc w:val="left"/>
              <w:rPr>
                <w:sz w:val="24"/>
              </w:rPr>
            </w:pPr>
            <w:r>
              <w:rPr>
                <w:spacing w:val="-4"/>
                <w:sz w:val="24"/>
              </w:rPr>
              <w:t>Y=40</w:t>
            </w:r>
          </w:p>
        </w:tc>
      </w:tr>
      <w:tr>
        <w:trPr>
          <w:trHeight w:val="3009" w:hRule="atLeast"/>
        </w:trPr>
        <w:tc>
          <w:tcPr>
            <w:tcW w:w="560" w:type="dxa"/>
          </w:tcPr>
          <w:p>
            <w:pPr>
              <w:pStyle w:val="TableParagraph"/>
              <w:spacing w:line="281" w:lineRule="exact"/>
              <w:ind w:left="6" w:right="40"/>
              <w:jc w:val="center"/>
              <w:rPr>
                <w:sz w:val="24"/>
              </w:rPr>
            </w:pPr>
            <w:r>
              <w:rPr>
                <w:spacing w:val="-5"/>
                <w:sz w:val="24"/>
              </w:rPr>
              <w:t>32</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rPr>
                <w:b/>
                <w:sz w:val="24"/>
              </w:rPr>
            </w:pPr>
          </w:p>
          <w:p>
            <w:pPr>
              <w:pStyle w:val="TableParagraph"/>
              <w:rPr>
                <w:b/>
                <w:sz w:val="24"/>
              </w:rPr>
            </w:pPr>
          </w:p>
          <w:p>
            <w:pPr>
              <w:pStyle w:val="TableParagraph"/>
              <w:spacing w:before="104"/>
              <w:rPr>
                <w:b/>
                <w:sz w:val="24"/>
              </w:rPr>
            </w:pPr>
          </w:p>
          <w:p>
            <w:pPr>
              <w:pStyle w:val="TableParagraph"/>
              <w:ind w:left="23"/>
              <w:rPr>
                <w:sz w:val="24"/>
              </w:rPr>
            </w:pPr>
            <w:r>
              <w:rPr>
                <w:spacing w:val="-2"/>
                <w:sz w:val="24"/>
              </w:rPr>
              <w:t>RPU3.4</w:t>
            </w:r>
          </w:p>
        </w:tc>
        <w:tc>
          <w:tcPr>
            <w:tcW w:w="1260" w:type="dxa"/>
          </w:tcPr>
          <w:p>
            <w:pPr>
              <w:pStyle w:val="TableParagraph"/>
              <w:rPr>
                <w:b/>
                <w:sz w:val="24"/>
              </w:rPr>
            </w:pPr>
          </w:p>
          <w:p>
            <w:pPr>
              <w:pStyle w:val="TableParagraph"/>
              <w:rPr>
                <w:b/>
                <w:sz w:val="24"/>
              </w:rPr>
            </w:pPr>
          </w:p>
          <w:p>
            <w:pPr>
              <w:pStyle w:val="TableParagraph"/>
              <w:rPr>
                <w:b/>
                <w:sz w:val="24"/>
              </w:rPr>
            </w:pPr>
          </w:p>
          <w:p>
            <w:pPr>
              <w:pStyle w:val="TableParagraph"/>
              <w:spacing w:before="104"/>
              <w:rPr>
                <w:b/>
                <w:sz w:val="24"/>
              </w:rPr>
            </w:pPr>
          </w:p>
          <w:p>
            <w:pPr>
              <w:pStyle w:val="TableParagraph"/>
              <w:ind w:left="181" w:right="103"/>
              <w:rPr>
                <w:sz w:val="24"/>
              </w:rPr>
            </w:pPr>
            <w:r>
              <w:rPr>
                <w:spacing w:val="-2"/>
                <w:sz w:val="24"/>
              </w:rPr>
              <w:t>Police Facilitie </w:t>
            </w:r>
            <w:r>
              <w:rPr>
                <w:spacing w:val="-10"/>
                <w:sz w:val="24"/>
              </w:rPr>
              <w:t>s</w:t>
            </w:r>
          </w:p>
        </w:tc>
        <w:tc>
          <w:tcPr>
            <w:tcW w:w="2679" w:type="dxa"/>
          </w:tcPr>
          <w:p>
            <w:pPr>
              <w:pStyle w:val="TableParagraph"/>
              <w:tabs>
                <w:tab w:pos="1644" w:val="left" w:leader="none"/>
              </w:tabs>
              <w:spacing w:before="95"/>
              <w:ind w:left="181"/>
              <w:rPr>
                <w:sz w:val="24"/>
              </w:rPr>
            </w:pPr>
            <w:r>
              <w:rPr>
                <w:spacing w:val="-2"/>
                <w:sz w:val="24"/>
              </w:rPr>
              <w:t>Police</w:t>
            </w:r>
            <w:r>
              <w:rPr>
                <w:sz w:val="24"/>
              </w:rPr>
              <w:tab/>
            </w:r>
            <w:r>
              <w:rPr>
                <w:spacing w:val="-2"/>
                <w:sz w:val="24"/>
              </w:rPr>
              <w:t>Station,</w:t>
            </w:r>
          </w:p>
          <w:p>
            <w:pPr>
              <w:pStyle w:val="TableParagraph"/>
              <w:tabs>
                <w:tab w:pos="1606" w:val="left" w:leader="none"/>
              </w:tabs>
              <w:spacing w:line="281" w:lineRule="exact" w:before="1"/>
              <w:ind w:left="181"/>
              <w:rPr>
                <w:sz w:val="24"/>
              </w:rPr>
            </w:pPr>
            <w:r>
              <w:rPr>
                <w:spacing w:val="-2"/>
                <w:sz w:val="24"/>
              </w:rPr>
              <w:t>Police</w:t>
            </w:r>
            <w:r>
              <w:rPr>
                <w:sz w:val="24"/>
              </w:rPr>
              <w:tab/>
            </w:r>
            <w:r>
              <w:rPr>
                <w:spacing w:val="-2"/>
                <w:sz w:val="24"/>
              </w:rPr>
              <w:t>chowky,</w:t>
            </w:r>
          </w:p>
          <w:p>
            <w:pPr>
              <w:pStyle w:val="TableParagraph"/>
              <w:tabs>
                <w:tab w:pos="1635" w:val="left" w:leader="none"/>
              </w:tabs>
              <w:spacing w:line="281" w:lineRule="exact"/>
              <w:ind w:left="181"/>
              <w:rPr>
                <w:sz w:val="24"/>
              </w:rPr>
            </w:pPr>
            <w:r>
              <w:rPr>
                <w:spacing w:val="-2"/>
                <w:sz w:val="24"/>
              </w:rPr>
              <w:t>Lockup</w:t>
            </w:r>
            <w:r>
              <w:rPr>
                <w:sz w:val="24"/>
              </w:rPr>
              <w:tab/>
            </w:r>
            <w:r>
              <w:rPr>
                <w:spacing w:val="-2"/>
                <w:sz w:val="24"/>
              </w:rPr>
              <w:t>Facility,</w:t>
            </w:r>
          </w:p>
          <w:p>
            <w:pPr>
              <w:pStyle w:val="TableParagraph"/>
              <w:tabs>
                <w:tab w:pos="1299" w:val="left" w:leader="none"/>
                <w:tab w:pos="1889" w:val="left" w:leader="none"/>
                <w:tab w:pos="1923" w:val="left" w:leader="none"/>
              </w:tabs>
              <w:spacing w:before="2"/>
              <w:ind w:left="181" w:right="99"/>
              <w:rPr>
                <w:sz w:val="24"/>
              </w:rPr>
            </w:pPr>
            <w:r>
              <w:rPr>
                <w:spacing w:val="-2"/>
                <w:sz w:val="24"/>
              </w:rPr>
              <w:t>Canteen,</w:t>
            </w:r>
            <w:r>
              <w:rPr>
                <w:sz w:val="24"/>
              </w:rPr>
              <w:tab/>
              <w:tab/>
              <w:tab/>
            </w:r>
            <w:r>
              <w:rPr>
                <w:spacing w:val="-2"/>
                <w:sz w:val="24"/>
              </w:rPr>
              <w:t>Toilet </w:t>
            </w:r>
            <w:r>
              <w:rPr>
                <w:sz w:val="24"/>
              </w:rPr>
              <w:t>Blocks,</w:t>
            </w:r>
            <w:r>
              <w:rPr>
                <w:spacing w:val="-20"/>
                <w:sz w:val="24"/>
              </w:rPr>
              <w:t> </w:t>
            </w:r>
            <w:r>
              <w:rPr>
                <w:sz w:val="24"/>
              </w:rPr>
              <w:t>Rest</w:t>
            </w:r>
            <w:r>
              <w:rPr>
                <w:spacing w:val="-19"/>
                <w:sz w:val="24"/>
              </w:rPr>
              <w:t> </w:t>
            </w:r>
            <w:r>
              <w:rPr>
                <w:sz w:val="24"/>
              </w:rPr>
              <w:t>Rooms, </w:t>
            </w:r>
            <w:r>
              <w:rPr>
                <w:spacing w:val="-2"/>
                <w:sz w:val="24"/>
              </w:rPr>
              <w:t>Residential </w:t>
            </w:r>
            <w:r>
              <w:rPr>
                <w:sz w:val="24"/>
              </w:rPr>
              <w:t>Quarters,</w:t>
            </w:r>
            <w:r>
              <w:rPr>
                <w:spacing w:val="40"/>
                <w:sz w:val="24"/>
              </w:rPr>
              <w:t> </w:t>
            </w:r>
            <w:r>
              <w:rPr>
                <w:sz w:val="24"/>
              </w:rPr>
              <w:t>Marching ground,</w:t>
            </w:r>
            <w:r>
              <w:rPr>
                <w:spacing w:val="34"/>
                <w:sz w:val="24"/>
              </w:rPr>
              <w:t> </w:t>
            </w:r>
            <w:r>
              <w:rPr>
                <w:sz w:val="24"/>
              </w:rPr>
              <w:t>court,</w:t>
            </w:r>
            <w:r>
              <w:rPr>
                <w:spacing w:val="34"/>
                <w:sz w:val="24"/>
              </w:rPr>
              <w:t> </w:t>
            </w:r>
            <w:r>
              <w:rPr>
                <w:sz w:val="24"/>
              </w:rPr>
              <w:t>Fuel </w:t>
            </w:r>
            <w:r>
              <w:rPr>
                <w:spacing w:val="-2"/>
                <w:sz w:val="24"/>
              </w:rPr>
              <w:t>Station</w:t>
            </w:r>
            <w:r>
              <w:rPr>
                <w:sz w:val="24"/>
              </w:rPr>
              <w:tab/>
            </w:r>
            <w:r>
              <w:rPr>
                <w:spacing w:val="-4"/>
                <w:sz w:val="24"/>
              </w:rPr>
              <w:t>for</w:t>
            </w:r>
            <w:r>
              <w:rPr>
                <w:sz w:val="24"/>
              </w:rPr>
              <w:tab/>
            </w:r>
            <w:r>
              <w:rPr>
                <w:spacing w:val="-2"/>
                <w:sz w:val="24"/>
              </w:rPr>
              <w:t>Police Facilities</w:t>
            </w:r>
          </w:p>
        </w:tc>
        <w:tc>
          <w:tcPr>
            <w:tcW w:w="2094" w:type="dxa"/>
          </w:tcPr>
          <w:p>
            <w:pPr>
              <w:pStyle w:val="TableParagraph"/>
              <w:tabs>
                <w:tab w:pos="1056" w:val="left" w:leader="none"/>
                <w:tab w:pos="1286" w:val="left" w:leader="none"/>
                <w:tab w:pos="1316" w:val="left" w:leader="none"/>
                <w:tab w:pos="1666" w:val="left" w:leader="none"/>
                <w:tab w:pos="1843" w:val="left" w:leader="none"/>
              </w:tabs>
              <w:spacing w:before="95"/>
              <w:ind w:left="106" w:right="98"/>
              <w:rPr>
                <w:sz w:val="24"/>
              </w:rPr>
            </w:pPr>
            <w:r>
              <w:rPr>
                <w:spacing w:val="-2"/>
                <w:sz w:val="24"/>
              </w:rPr>
              <w:t>Canteen, branch</w:t>
            </w:r>
            <w:r>
              <w:rPr>
                <w:sz w:val="24"/>
              </w:rPr>
              <w:tab/>
              <w:tab/>
            </w:r>
            <w:r>
              <w:rPr>
                <w:spacing w:val="-6"/>
                <w:sz w:val="24"/>
              </w:rPr>
              <w:t>of</w:t>
            </w:r>
            <w:r>
              <w:rPr>
                <w:sz w:val="24"/>
              </w:rPr>
              <w:tab/>
              <w:tab/>
            </w:r>
            <w:r>
              <w:rPr>
                <w:spacing w:val="-10"/>
                <w:sz w:val="24"/>
              </w:rPr>
              <w:t>a </w:t>
            </w:r>
            <w:r>
              <w:rPr>
                <w:spacing w:val="-2"/>
                <w:sz w:val="24"/>
              </w:rPr>
              <w:t>bank,</w:t>
            </w:r>
            <w:r>
              <w:rPr>
                <w:spacing w:val="40"/>
                <w:sz w:val="24"/>
              </w:rPr>
              <w:t> </w:t>
            </w:r>
            <w:r>
              <w:rPr>
                <w:spacing w:val="-2"/>
                <w:sz w:val="24"/>
              </w:rPr>
              <w:t>stationary</w:t>
            </w:r>
            <w:r>
              <w:rPr>
                <w:spacing w:val="80"/>
                <w:sz w:val="24"/>
              </w:rPr>
              <w:t> </w:t>
            </w:r>
            <w:r>
              <w:rPr>
                <w:spacing w:val="-2"/>
                <w:sz w:val="24"/>
              </w:rPr>
              <w:t>shop,</w:t>
            </w:r>
            <w:r>
              <w:rPr>
                <w:sz w:val="24"/>
              </w:rPr>
              <w:tab/>
            </w:r>
            <w:r>
              <w:rPr>
                <w:spacing w:val="-2"/>
                <w:sz w:val="24"/>
              </w:rPr>
              <w:t>meeting rooms</w:t>
            </w:r>
            <w:r>
              <w:rPr>
                <w:sz w:val="24"/>
              </w:rPr>
              <w:tab/>
              <w:tab/>
              <w:tab/>
              <w:tab/>
            </w:r>
            <w:r>
              <w:rPr>
                <w:spacing w:val="-4"/>
                <w:sz w:val="24"/>
              </w:rPr>
              <w:t>for </w:t>
            </w:r>
            <w:r>
              <w:rPr>
                <w:spacing w:val="-2"/>
                <w:sz w:val="24"/>
              </w:rPr>
              <w:t>lawyers,</w:t>
            </w:r>
            <w:r>
              <w:rPr>
                <w:sz w:val="24"/>
              </w:rPr>
              <w:tab/>
              <w:tab/>
              <w:tab/>
            </w:r>
            <w:r>
              <w:rPr>
                <w:spacing w:val="-2"/>
                <w:sz w:val="24"/>
              </w:rPr>
              <w:t>photo </w:t>
            </w:r>
            <w:r>
              <w:rPr>
                <w:sz w:val="24"/>
              </w:rPr>
              <w:t>copying shop</w:t>
            </w:r>
          </w:p>
        </w:tc>
        <w:tc>
          <w:tcPr>
            <w:tcW w:w="1306" w:type="dxa"/>
          </w:tcPr>
          <w:p>
            <w:pPr>
              <w:pStyle w:val="TableParagraph"/>
              <w:spacing w:before="95"/>
              <w:ind w:left="106" w:right="435"/>
              <w:rPr>
                <w:sz w:val="24"/>
              </w:rPr>
            </w:pPr>
            <w:r>
              <w:rPr>
                <w:sz w:val="24"/>
              </w:rPr>
              <w:t>1 or 3 </w:t>
            </w:r>
            <w:r>
              <w:rPr>
                <w:spacing w:val="-2"/>
                <w:sz w:val="24"/>
              </w:rPr>
              <w:t>Zb=15</w:t>
            </w:r>
          </w:p>
          <w:p>
            <w:pPr>
              <w:pStyle w:val="TableParagraph"/>
              <w:spacing w:line="242" w:lineRule="auto" w:before="96"/>
              <w:ind w:left="180" w:right="278"/>
              <w:rPr>
                <w:sz w:val="24"/>
              </w:rPr>
            </w:pPr>
            <w:r>
              <w:rPr>
                <w:sz w:val="24"/>
              </w:rPr>
              <w:t>In</w:t>
            </w:r>
            <w:r>
              <w:rPr>
                <w:spacing w:val="-20"/>
                <w:sz w:val="24"/>
              </w:rPr>
              <w:t> </w:t>
            </w:r>
            <w:r>
              <w:rPr>
                <w:sz w:val="24"/>
              </w:rPr>
              <w:t>case of 3</w:t>
            </w:r>
          </w:p>
          <w:p>
            <w:pPr>
              <w:pStyle w:val="TableParagraph"/>
              <w:numPr>
                <w:ilvl w:val="0"/>
                <w:numId w:val="56"/>
              </w:numPr>
              <w:tabs>
                <w:tab w:pos="393" w:val="left" w:leader="none"/>
              </w:tabs>
              <w:spacing w:line="277" w:lineRule="exact" w:before="0" w:after="0"/>
              <w:ind w:left="393" w:right="0" w:hanging="287"/>
              <w:jc w:val="left"/>
              <w:rPr>
                <w:sz w:val="24"/>
              </w:rPr>
            </w:pPr>
            <w:r>
              <w:rPr>
                <w:spacing w:val="-4"/>
                <w:sz w:val="24"/>
              </w:rPr>
              <w:t>X=50</w:t>
            </w:r>
          </w:p>
          <w:p>
            <w:pPr>
              <w:pStyle w:val="TableParagraph"/>
              <w:numPr>
                <w:ilvl w:val="0"/>
                <w:numId w:val="56"/>
              </w:numPr>
              <w:tabs>
                <w:tab w:pos="475" w:val="left" w:leader="none"/>
              </w:tabs>
              <w:spacing w:line="240" w:lineRule="auto" w:before="95" w:after="0"/>
              <w:ind w:left="475" w:right="0" w:hanging="297"/>
              <w:jc w:val="left"/>
              <w:rPr>
                <w:sz w:val="24"/>
              </w:rPr>
            </w:pPr>
            <w:r>
              <w:rPr>
                <w:spacing w:val="-4"/>
                <w:sz w:val="24"/>
              </w:rPr>
              <w:t>Y=40</w:t>
            </w:r>
          </w:p>
        </w:tc>
      </w:tr>
      <w:tr>
        <w:trPr>
          <w:trHeight w:val="942" w:hRule="atLeast"/>
        </w:trPr>
        <w:tc>
          <w:tcPr>
            <w:tcW w:w="560" w:type="dxa"/>
          </w:tcPr>
          <w:p>
            <w:pPr>
              <w:pStyle w:val="TableParagraph"/>
              <w:spacing w:line="281" w:lineRule="exact"/>
              <w:ind w:left="6" w:right="40"/>
              <w:jc w:val="center"/>
              <w:rPr>
                <w:sz w:val="24"/>
              </w:rPr>
            </w:pPr>
            <w:r>
              <w:rPr>
                <w:spacing w:val="-5"/>
                <w:sz w:val="24"/>
              </w:rPr>
              <w:t>33</w:t>
            </w:r>
          </w:p>
        </w:tc>
        <w:tc>
          <w:tcPr>
            <w:tcW w:w="1349" w:type="dxa"/>
            <w:vMerge/>
            <w:tcBorders>
              <w:top w:val="nil"/>
            </w:tcBorders>
          </w:tcPr>
          <w:p>
            <w:pPr>
              <w:rPr>
                <w:sz w:val="2"/>
                <w:szCs w:val="2"/>
              </w:rPr>
            </w:pPr>
          </w:p>
        </w:tc>
        <w:tc>
          <w:tcPr>
            <w:tcW w:w="1057" w:type="dxa"/>
          </w:tcPr>
          <w:p>
            <w:pPr>
              <w:pStyle w:val="TableParagraph"/>
              <w:spacing w:before="192"/>
              <w:rPr>
                <w:b/>
                <w:sz w:val="24"/>
              </w:rPr>
            </w:pPr>
          </w:p>
          <w:p>
            <w:pPr>
              <w:pStyle w:val="TableParagraph"/>
              <w:ind w:left="23"/>
              <w:rPr>
                <w:sz w:val="24"/>
              </w:rPr>
            </w:pPr>
            <w:r>
              <w:rPr>
                <w:spacing w:val="-5"/>
                <w:sz w:val="24"/>
              </w:rPr>
              <w:t>RPU</w:t>
            </w:r>
          </w:p>
        </w:tc>
        <w:tc>
          <w:tcPr>
            <w:tcW w:w="1260" w:type="dxa"/>
          </w:tcPr>
          <w:p>
            <w:pPr>
              <w:pStyle w:val="TableParagraph"/>
              <w:rPr>
                <w:rFonts w:ascii="Times New Roman"/>
                <w:sz w:val="22"/>
              </w:rPr>
            </w:pPr>
          </w:p>
        </w:tc>
        <w:tc>
          <w:tcPr>
            <w:tcW w:w="2679" w:type="dxa"/>
          </w:tcPr>
          <w:p>
            <w:pPr>
              <w:pStyle w:val="TableParagraph"/>
              <w:spacing w:before="95"/>
              <w:ind w:left="111"/>
              <w:rPr>
                <w:sz w:val="24"/>
              </w:rPr>
            </w:pPr>
            <w:r>
              <w:rPr>
                <w:sz w:val="24"/>
              </w:rPr>
              <w:t>Court, along </w:t>
            </w:r>
            <w:r>
              <w:rPr>
                <w:spacing w:val="-4"/>
                <w:sz w:val="24"/>
              </w:rPr>
              <w:t>with</w:t>
            </w:r>
          </w:p>
          <w:p>
            <w:pPr>
              <w:pStyle w:val="TableParagraph"/>
              <w:spacing w:line="280" w:lineRule="exact"/>
              <w:ind w:left="111" w:right="97"/>
              <w:rPr>
                <w:sz w:val="24"/>
              </w:rPr>
            </w:pPr>
            <w:r>
              <w:rPr>
                <w:sz w:val="24"/>
              </w:rPr>
              <w:t>other</w:t>
            </w:r>
            <w:r>
              <w:rPr>
                <w:spacing w:val="-13"/>
                <w:sz w:val="24"/>
              </w:rPr>
              <w:t> </w:t>
            </w:r>
            <w:r>
              <w:rPr>
                <w:sz w:val="24"/>
              </w:rPr>
              <w:t>uses</w:t>
            </w:r>
            <w:r>
              <w:rPr>
                <w:spacing w:val="-13"/>
                <w:sz w:val="24"/>
              </w:rPr>
              <w:t> </w:t>
            </w:r>
            <w:r>
              <w:rPr>
                <w:sz w:val="24"/>
              </w:rPr>
              <w:t>if</w:t>
            </w:r>
            <w:r>
              <w:rPr>
                <w:spacing w:val="-13"/>
                <w:sz w:val="24"/>
              </w:rPr>
              <w:t> </w:t>
            </w:r>
            <w:r>
              <w:rPr>
                <w:sz w:val="24"/>
              </w:rPr>
              <w:t>any, such as Library,</w:t>
            </w:r>
          </w:p>
        </w:tc>
        <w:tc>
          <w:tcPr>
            <w:tcW w:w="2094" w:type="dxa"/>
          </w:tcPr>
          <w:p>
            <w:pPr>
              <w:pStyle w:val="TableParagraph"/>
              <w:tabs>
                <w:tab w:pos="1366" w:val="left" w:leader="none"/>
                <w:tab w:pos="1973" w:val="left" w:leader="none"/>
              </w:tabs>
              <w:spacing w:before="95"/>
              <w:ind w:left="106" w:right="-44"/>
              <w:rPr>
                <w:sz w:val="24"/>
              </w:rPr>
            </w:pPr>
            <w:r>
              <w:rPr>
                <w:spacing w:val="-2"/>
                <w:sz w:val="24"/>
              </w:rPr>
              <w:t>Branch</w:t>
            </w:r>
            <w:r>
              <w:rPr>
                <w:sz w:val="24"/>
              </w:rPr>
              <w:tab/>
            </w:r>
            <w:r>
              <w:rPr>
                <w:spacing w:val="-5"/>
                <w:sz w:val="24"/>
              </w:rPr>
              <w:t>of</w:t>
            </w:r>
            <w:r>
              <w:rPr>
                <w:sz w:val="24"/>
              </w:rPr>
              <w:tab/>
            </w:r>
            <w:r>
              <w:rPr>
                <w:spacing w:val="-10"/>
                <w:sz w:val="24"/>
              </w:rPr>
              <w:t>a</w:t>
            </w:r>
          </w:p>
          <w:p>
            <w:pPr>
              <w:pStyle w:val="TableParagraph"/>
              <w:tabs>
                <w:tab w:pos="1040" w:val="left" w:leader="none"/>
              </w:tabs>
              <w:spacing w:line="280" w:lineRule="exact"/>
              <w:ind w:left="106" w:right="-44"/>
              <w:rPr>
                <w:sz w:val="24"/>
              </w:rPr>
            </w:pPr>
            <w:r>
              <w:rPr>
                <w:sz w:val="24"/>
              </w:rPr>
              <w:t>bank,</w:t>
            </w:r>
            <w:r>
              <w:rPr>
                <w:spacing w:val="40"/>
                <w:sz w:val="24"/>
              </w:rPr>
              <w:t> </w:t>
            </w:r>
            <w:r>
              <w:rPr>
                <w:sz w:val="24"/>
              </w:rPr>
              <w:t>stationary </w:t>
            </w:r>
            <w:r>
              <w:rPr>
                <w:spacing w:val="-2"/>
                <w:sz w:val="24"/>
              </w:rPr>
              <w:t>shop,</w:t>
            </w:r>
            <w:r>
              <w:rPr>
                <w:sz w:val="24"/>
              </w:rPr>
              <w:tab/>
            </w:r>
            <w:r>
              <w:rPr>
                <w:spacing w:val="-2"/>
                <w:sz w:val="24"/>
              </w:rPr>
              <w:t>cafeteria,</w:t>
            </w:r>
          </w:p>
        </w:tc>
        <w:tc>
          <w:tcPr>
            <w:tcW w:w="1306" w:type="dxa"/>
          </w:tcPr>
          <w:p>
            <w:pPr>
              <w:pStyle w:val="TableParagraph"/>
              <w:spacing w:before="95"/>
              <w:ind w:left="180" w:right="140"/>
              <w:rPr>
                <w:sz w:val="24"/>
              </w:rPr>
            </w:pPr>
            <w:r>
              <w:rPr>
                <w:sz w:val="24"/>
              </w:rPr>
              <w:t>1 or </w:t>
            </w:r>
            <w:r>
              <w:rPr>
                <w:spacing w:val="-2"/>
                <w:sz w:val="24"/>
              </w:rPr>
              <w:t>3,Zb=10</w:t>
            </w:r>
          </w:p>
        </w:tc>
      </w:tr>
    </w:tbl>
    <w:p>
      <w:pPr>
        <w:pStyle w:val="TableParagraph"/>
        <w:spacing w:after="0"/>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3854"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spacing w:line="281" w:lineRule="exact"/>
              <w:ind w:left="107"/>
              <w:rPr>
                <w:sz w:val="24"/>
              </w:rPr>
            </w:pPr>
            <w:r>
              <w:rPr>
                <w:spacing w:val="-5"/>
                <w:sz w:val="24"/>
              </w:rPr>
              <w:t>3.5</w:t>
            </w:r>
          </w:p>
        </w:tc>
        <w:tc>
          <w:tcPr>
            <w:tcW w:w="1260" w:type="dxa"/>
          </w:tcPr>
          <w:p>
            <w:pPr>
              <w:pStyle w:val="TableParagraph"/>
              <w:spacing w:line="281" w:lineRule="exact"/>
              <w:ind w:left="181"/>
              <w:rPr>
                <w:sz w:val="24"/>
              </w:rPr>
            </w:pPr>
            <w:r>
              <w:rPr>
                <w:spacing w:val="-2"/>
                <w:sz w:val="24"/>
              </w:rPr>
              <w:t>Courts</w:t>
            </w:r>
          </w:p>
        </w:tc>
        <w:tc>
          <w:tcPr>
            <w:tcW w:w="2679" w:type="dxa"/>
          </w:tcPr>
          <w:p>
            <w:pPr>
              <w:pStyle w:val="TableParagraph"/>
              <w:ind w:left="111" w:right="148"/>
              <w:rPr>
                <w:sz w:val="24"/>
              </w:rPr>
            </w:pPr>
            <w:r>
              <w:rPr>
                <w:sz w:val="24"/>
              </w:rPr>
              <w:t>Canteen, Meeting Rooms</w:t>
            </w:r>
            <w:r>
              <w:rPr>
                <w:spacing w:val="-19"/>
                <w:sz w:val="24"/>
              </w:rPr>
              <w:t> </w:t>
            </w:r>
            <w:r>
              <w:rPr>
                <w:sz w:val="24"/>
              </w:rPr>
              <w:t>for</w:t>
            </w:r>
            <w:r>
              <w:rPr>
                <w:spacing w:val="-19"/>
                <w:sz w:val="24"/>
              </w:rPr>
              <w:t> </w:t>
            </w:r>
            <w:r>
              <w:rPr>
                <w:sz w:val="24"/>
              </w:rPr>
              <w:t>Lawyers, </w:t>
            </w:r>
            <w:r>
              <w:rPr>
                <w:spacing w:val="-2"/>
                <w:sz w:val="24"/>
              </w:rPr>
              <w:t>Administrative </w:t>
            </w:r>
            <w:r>
              <w:rPr>
                <w:sz w:val="24"/>
              </w:rPr>
              <w:t>Office, judicial </w:t>
            </w:r>
            <w:r>
              <w:rPr>
                <w:spacing w:val="-2"/>
                <w:sz w:val="24"/>
              </w:rPr>
              <w:t>quarters</w:t>
            </w:r>
          </w:p>
        </w:tc>
        <w:tc>
          <w:tcPr>
            <w:tcW w:w="2094" w:type="dxa"/>
          </w:tcPr>
          <w:p>
            <w:pPr>
              <w:pStyle w:val="TableParagraph"/>
              <w:ind w:left="106"/>
              <w:rPr>
                <w:sz w:val="24"/>
              </w:rPr>
            </w:pPr>
            <w:r>
              <w:rPr>
                <w:spacing w:val="-2"/>
                <w:sz w:val="24"/>
              </w:rPr>
              <w:t>Photocopying </w:t>
            </w:r>
            <w:r>
              <w:rPr>
                <w:sz w:val="24"/>
              </w:rPr>
              <w:t>shop,</w:t>
            </w:r>
            <w:r>
              <w:rPr>
                <w:spacing w:val="-19"/>
                <w:sz w:val="24"/>
              </w:rPr>
              <w:t> </w:t>
            </w:r>
            <w:r>
              <w:rPr>
                <w:sz w:val="24"/>
              </w:rPr>
              <w:t>book</w:t>
            </w:r>
            <w:r>
              <w:rPr>
                <w:spacing w:val="-19"/>
                <w:sz w:val="24"/>
              </w:rPr>
              <w:t> </w:t>
            </w:r>
            <w:r>
              <w:rPr>
                <w:sz w:val="24"/>
              </w:rPr>
              <w:t>store</w:t>
            </w:r>
          </w:p>
        </w:tc>
        <w:tc>
          <w:tcPr>
            <w:tcW w:w="1306" w:type="dxa"/>
          </w:tcPr>
          <w:p>
            <w:pPr>
              <w:pStyle w:val="TableParagraph"/>
              <w:spacing w:line="280" w:lineRule="exact"/>
              <w:ind w:left="180"/>
              <w:rPr>
                <w:sz w:val="24"/>
              </w:rPr>
            </w:pPr>
            <w:r>
              <w:rPr>
                <w:spacing w:val="-10"/>
                <w:sz w:val="24"/>
              </w:rPr>
              <w:t>3</w:t>
            </w:r>
          </w:p>
          <w:p>
            <w:pPr>
              <w:pStyle w:val="TableParagraph"/>
              <w:ind w:left="180" w:right="122"/>
              <w:rPr>
                <w:sz w:val="24"/>
              </w:rPr>
            </w:pPr>
            <w:r>
              <w:rPr>
                <w:spacing w:val="-2"/>
                <w:sz w:val="24"/>
              </w:rPr>
              <w:t>subject </w:t>
            </w:r>
            <w:r>
              <w:rPr>
                <w:sz w:val="24"/>
              </w:rPr>
              <w:t>to NOC </w:t>
            </w:r>
            <w:r>
              <w:rPr>
                <w:spacing w:val="-4"/>
                <w:sz w:val="24"/>
              </w:rPr>
              <w:t>from </w:t>
            </w:r>
            <w:r>
              <w:rPr>
                <w:sz w:val="24"/>
              </w:rPr>
              <w:t>Law</w:t>
            </w:r>
            <w:r>
              <w:rPr>
                <w:spacing w:val="-20"/>
                <w:sz w:val="24"/>
              </w:rPr>
              <w:t> </w:t>
            </w:r>
            <w:r>
              <w:rPr>
                <w:sz w:val="24"/>
              </w:rPr>
              <w:t>and </w:t>
            </w:r>
            <w:r>
              <w:rPr>
                <w:spacing w:val="-2"/>
                <w:sz w:val="24"/>
              </w:rPr>
              <w:t>Judiciar </w:t>
            </w:r>
            <w:r>
              <w:rPr>
                <w:spacing w:val="-10"/>
                <w:sz w:val="24"/>
              </w:rPr>
              <w:t>y</w:t>
            </w:r>
            <w:r>
              <w:rPr>
                <w:spacing w:val="80"/>
                <w:sz w:val="24"/>
              </w:rPr>
              <w:t> </w:t>
            </w:r>
            <w:r>
              <w:rPr>
                <w:spacing w:val="-2"/>
                <w:sz w:val="24"/>
              </w:rPr>
              <w:t>Depart ment.</w:t>
            </w:r>
          </w:p>
          <w:p>
            <w:pPr>
              <w:pStyle w:val="TableParagraph"/>
              <w:ind w:left="180" w:right="278"/>
              <w:rPr>
                <w:sz w:val="24"/>
              </w:rPr>
            </w:pPr>
            <w:r>
              <w:rPr>
                <w:sz w:val="24"/>
              </w:rPr>
              <w:t>In</w:t>
            </w:r>
            <w:r>
              <w:rPr>
                <w:spacing w:val="-20"/>
                <w:sz w:val="24"/>
              </w:rPr>
              <w:t> </w:t>
            </w:r>
            <w:r>
              <w:rPr>
                <w:sz w:val="24"/>
              </w:rPr>
              <w:t>case of 3</w:t>
            </w:r>
          </w:p>
          <w:p>
            <w:pPr>
              <w:pStyle w:val="TableParagraph"/>
              <w:numPr>
                <w:ilvl w:val="0"/>
                <w:numId w:val="57"/>
              </w:numPr>
              <w:tabs>
                <w:tab w:pos="393" w:val="left" w:leader="none"/>
              </w:tabs>
              <w:spacing w:line="240" w:lineRule="auto" w:before="0" w:after="0"/>
              <w:ind w:left="393" w:right="0" w:hanging="287"/>
              <w:jc w:val="left"/>
              <w:rPr>
                <w:sz w:val="24"/>
              </w:rPr>
            </w:pPr>
            <w:r>
              <w:rPr>
                <w:spacing w:val="-4"/>
                <w:sz w:val="24"/>
              </w:rPr>
              <w:t>X=50</w:t>
            </w:r>
          </w:p>
          <w:p>
            <w:pPr>
              <w:pStyle w:val="TableParagraph"/>
              <w:numPr>
                <w:ilvl w:val="0"/>
                <w:numId w:val="57"/>
              </w:numPr>
              <w:tabs>
                <w:tab w:pos="477" w:val="left" w:leader="none"/>
              </w:tabs>
              <w:spacing w:line="240" w:lineRule="auto" w:before="98" w:after="0"/>
              <w:ind w:left="477" w:right="0" w:hanging="297"/>
              <w:jc w:val="left"/>
              <w:rPr>
                <w:sz w:val="24"/>
              </w:rPr>
            </w:pPr>
            <w:r>
              <w:rPr>
                <w:spacing w:val="-4"/>
                <w:sz w:val="24"/>
              </w:rPr>
              <w:t>Y=40</w:t>
            </w:r>
          </w:p>
        </w:tc>
      </w:tr>
      <w:tr>
        <w:trPr>
          <w:trHeight w:val="2164" w:hRule="atLeast"/>
        </w:trPr>
        <w:tc>
          <w:tcPr>
            <w:tcW w:w="560" w:type="dxa"/>
          </w:tcPr>
          <w:p>
            <w:pPr>
              <w:pStyle w:val="TableParagraph"/>
              <w:spacing w:line="281" w:lineRule="exact"/>
              <w:ind w:left="6" w:right="40"/>
              <w:jc w:val="center"/>
              <w:rPr>
                <w:sz w:val="24"/>
              </w:rPr>
            </w:pPr>
            <w:r>
              <w:rPr>
                <w:spacing w:val="-5"/>
                <w:sz w:val="24"/>
              </w:rPr>
              <w:t>34</w:t>
            </w:r>
          </w:p>
        </w:tc>
        <w:tc>
          <w:tcPr>
            <w:tcW w:w="1349" w:type="dxa"/>
            <w:vMerge/>
            <w:tcBorders>
              <w:top w:val="nil"/>
            </w:tcBorders>
          </w:tcPr>
          <w:p>
            <w:pPr>
              <w:rPr>
                <w:sz w:val="2"/>
                <w:szCs w:val="2"/>
              </w:rPr>
            </w:pPr>
          </w:p>
        </w:tc>
        <w:tc>
          <w:tcPr>
            <w:tcW w:w="1057" w:type="dxa"/>
          </w:tcPr>
          <w:p>
            <w:pPr>
              <w:pStyle w:val="TableParagraph"/>
              <w:spacing w:before="95"/>
              <w:ind w:left="-37"/>
              <w:rPr>
                <w:sz w:val="24"/>
              </w:rPr>
            </w:pPr>
            <w:r>
              <w:rPr>
                <w:spacing w:val="-2"/>
                <w:sz w:val="24"/>
              </w:rPr>
              <w:t>RPU4.1</w:t>
            </w:r>
          </w:p>
        </w:tc>
        <w:tc>
          <w:tcPr>
            <w:tcW w:w="1260" w:type="dxa"/>
          </w:tcPr>
          <w:p>
            <w:pPr>
              <w:pStyle w:val="TableParagraph"/>
              <w:spacing w:before="95"/>
              <w:ind w:left="106" w:right="146"/>
              <w:rPr>
                <w:sz w:val="24"/>
              </w:rPr>
            </w:pPr>
            <w:r>
              <w:rPr>
                <w:sz w:val="24"/>
              </w:rPr>
              <w:t>Post &amp; </w:t>
            </w:r>
            <w:r>
              <w:rPr>
                <w:spacing w:val="-2"/>
                <w:sz w:val="24"/>
              </w:rPr>
              <w:t>Telegrap </w:t>
            </w:r>
            <w:r>
              <w:rPr>
                <w:spacing w:val="-4"/>
                <w:sz w:val="24"/>
              </w:rPr>
              <w:t>hic </w:t>
            </w:r>
            <w:r>
              <w:rPr>
                <w:spacing w:val="-2"/>
                <w:sz w:val="24"/>
              </w:rPr>
              <w:t>Office</w:t>
            </w:r>
          </w:p>
        </w:tc>
        <w:tc>
          <w:tcPr>
            <w:tcW w:w="2679" w:type="dxa"/>
          </w:tcPr>
          <w:p>
            <w:pPr>
              <w:pStyle w:val="TableParagraph"/>
              <w:spacing w:before="95"/>
              <w:ind w:left="111" w:right="97"/>
              <w:rPr>
                <w:sz w:val="24"/>
              </w:rPr>
            </w:pPr>
            <w:r>
              <w:rPr>
                <w:sz w:val="24"/>
              </w:rPr>
              <w:t>Post</w:t>
            </w:r>
            <w:r>
              <w:rPr>
                <w:spacing w:val="-20"/>
                <w:sz w:val="24"/>
              </w:rPr>
              <w:t> </w:t>
            </w:r>
            <w:r>
              <w:rPr>
                <w:sz w:val="24"/>
              </w:rPr>
              <w:t>&amp;</w:t>
            </w:r>
            <w:r>
              <w:rPr>
                <w:spacing w:val="-19"/>
                <w:sz w:val="24"/>
              </w:rPr>
              <w:t> </w:t>
            </w:r>
            <w:r>
              <w:rPr>
                <w:sz w:val="24"/>
              </w:rPr>
              <w:t>Telegraphic Office along with other uses if any, such as Staff </w:t>
            </w:r>
            <w:r>
              <w:rPr>
                <w:spacing w:val="-2"/>
                <w:sz w:val="24"/>
              </w:rPr>
              <w:t>Quarters</w:t>
            </w:r>
          </w:p>
        </w:tc>
        <w:tc>
          <w:tcPr>
            <w:tcW w:w="2094" w:type="dxa"/>
          </w:tcPr>
          <w:p>
            <w:pPr>
              <w:pStyle w:val="TableParagraph"/>
              <w:tabs>
                <w:tab w:pos="480" w:val="left" w:leader="none"/>
                <w:tab w:pos="1094" w:val="left" w:leader="none"/>
                <w:tab w:pos="1154" w:val="left" w:leader="none"/>
                <w:tab w:pos="1529" w:val="left" w:leader="none"/>
              </w:tabs>
              <w:spacing w:before="95"/>
              <w:ind w:left="106" w:right="-44"/>
              <w:rPr>
                <w:sz w:val="24"/>
              </w:rPr>
            </w:pPr>
            <w:r>
              <w:rPr>
                <w:sz w:val="24"/>
              </w:rPr>
              <w:t>ATM</w:t>
            </w:r>
            <w:r>
              <w:rPr>
                <w:spacing w:val="40"/>
                <w:sz w:val="24"/>
              </w:rPr>
              <w:t> </w:t>
            </w:r>
            <w:r>
              <w:rPr>
                <w:sz w:val="24"/>
              </w:rPr>
              <w:t>of</w:t>
            </w:r>
            <w:r>
              <w:rPr>
                <w:spacing w:val="40"/>
                <w:sz w:val="24"/>
              </w:rPr>
              <w:t> </w:t>
            </w:r>
            <w:r>
              <w:rPr>
                <w:sz w:val="24"/>
              </w:rPr>
              <w:t>a</w:t>
            </w:r>
            <w:r>
              <w:rPr>
                <w:spacing w:val="40"/>
                <w:sz w:val="24"/>
              </w:rPr>
              <w:t> </w:t>
            </w:r>
            <w:r>
              <w:rPr>
                <w:sz w:val="24"/>
              </w:rPr>
              <w:t>Bank, </w:t>
            </w:r>
            <w:r>
              <w:rPr>
                <w:spacing w:val="-2"/>
                <w:sz w:val="24"/>
              </w:rPr>
              <w:t>Information Kiosk,</w:t>
            </w:r>
            <w:r>
              <w:rPr>
                <w:sz w:val="24"/>
              </w:rPr>
              <w:tab/>
              <w:tab/>
              <w:tab/>
            </w:r>
            <w:r>
              <w:rPr>
                <w:spacing w:val="-4"/>
                <w:sz w:val="24"/>
              </w:rPr>
              <w:t>CFC, </w:t>
            </w:r>
            <w:r>
              <w:rPr>
                <w:spacing w:val="-2"/>
                <w:sz w:val="24"/>
              </w:rPr>
              <w:t>police</w:t>
            </w:r>
            <w:r>
              <w:rPr>
                <w:sz w:val="24"/>
              </w:rPr>
              <w:tab/>
              <w:tab/>
            </w:r>
            <w:r>
              <w:rPr>
                <w:spacing w:val="-2"/>
                <w:sz w:val="24"/>
              </w:rPr>
              <w:t>chowky, electric/telephon </w:t>
            </w:r>
            <w:r>
              <w:rPr>
                <w:spacing w:val="-10"/>
                <w:sz w:val="24"/>
              </w:rPr>
              <w:t>e</w:t>
            </w:r>
            <w:r>
              <w:rPr>
                <w:sz w:val="24"/>
              </w:rPr>
              <w:tab/>
            </w:r>
            <w:r>
              <w:rPr>
                <w:spacing w:val="-4"/>
                <w:sz w:val="24"/>
              </w:rPr>
              <w:t>bill</w:t>
            </w:r>
            <w:r>
              <w:rPr>
                <w:sz w:val="24"/>
              </w:rPr>
              <w:tab/>
            </w:r>
            <w:r>
              <w:rPr>
                <w:spacing w:val="-2"/>
                <w:sz w:val="24"/>
              </w:rPr>
              <w:t>payment </w:t>
            </w:r>
            <w:r>
              <w:rPr>
                <w:sz w:val="24"/>
              </w:rPr>
              <w:t>center etc.</w:t>
            </w:r>
          </w:p>
        </w:tc>
        <w:tc>
          <w:tcPr>
            <w:tcW w:w="1306" w:type="dxa"/>
          </w:tcPr>
          <w:p>
            <w:pPr>
              <w:pStyle w:val="TableParagraph"/>
              <w:spacing w:line="281" w:lineRule="exact"/>
              <w:ind w:left="106"/>
              <w:rPr>
                <w:sz w:val="24"/>
              </w:rPr>
            </w:pPr>
            <w:r>
              <w:rPr>
                <w:sz w:val="24"/>
              </w:rPr>
              <w:t>1 or </w:t>
            </w:r>
            <w:r>
              <w:rPr>
                <w:spacing w:val="-5"/>
                <w:sz w:val="24"/>
              </w:rPr>
              <w:t>3,</w:t>
            </w:r>
          </w:p>
          <w:p>
            <w:pPr>
              <w:pStyle w:val="TableParagraph"/>
              <w:spacing w:line="281" w:lineRule="exact" w:before="1"/>
              <w:ind w:left="180"/>
              <w:rPr>
                <w:sz w:val="24"/>
              </w:rPr>
            </w:pPr>
            <w:r>
              <w:rPr>
                <w:sz w:val="24"/>
              </w:rPr>
              <w:t>Zb</w:t>
            </w:r>
            <w:r>
              <w:rPr>
                <w:spacing w:val="-1"/>
                <w:sz w:val="24"/>
              </w:rPr>
              <w:t> </w:t>
            </w:r>
            <w:r>
              <w:rPr>
                <w:spacing w:val="-5"/>
                <w:sz w:val="24"/>
              </w:rPr>
              <w:t>=10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58"/>
              </w:numPr>
              <w:tabs>
                <w:tab w:pos="393" w:val="left" w:leader="none"/>
              </w:tabs>
              <w:spacing w:line="240" w:lineRule="auto" w:before="0" w:after="0"/>
              <w:ind w:left="393" w:right="0" w:hanging="287"/>
              <w:jc w:val="left"/>
              <w:rPr>
                <w:sz w:val="24"/>
              </w:rPr>
            </w:pPr>
            <w:r>
              <w:rPr>
                <w:spacing w:val="-4"/>
                <w:sz w:val="24"/>
              </w:rPr>
              <w:t>X=50</w:t>
            </w:r>
          </w:p>
          <w:p>
            <w:pPr>
              <w:pStyle w:val="TableParagraph"/>
              <w:numPr>
                <w:ilvl w:val="0"/>
                <w:numId w:val="58"/>
              </w:numPr>
              <w:tabs>
                <w:tab w:pos="477" w:val="left" w:leader="none"/>
              </w:tabs>
              <w:spacing w:line="240" w:lineRule="auto" w:before="96" w:after="0"/>
              <w:ind w:left="477" w:right="0" w:hanging="297"/>
              <w:jc w:val="left"/>
              <w:rPr>
                <w:sz w:val="24"/>
              </w:rPr>
            </w:pPr>
            <w:r>
              <w:rPr>
                <w:spacing w:val="-4"/>
                <w:sz w:val="24"/>
              </w:rPr>
              <w:t>Y=40</w:t>
            </w:r>
          </w:p>
        </w:tc>
      </w:tr>
      <w:tr>
        <w:trPr>
          <w:trHeight w:val="4423" w:hRule="atLeast"/>
        </w:trPr>
        <w:tc>
          <w:tcPr>
            <w:tcW w:w="560" w:type="dxa"/>
          </w:tcPr>
          <w:p>
            <w:pPr>
              <w:pStyle w:val="TableParagraph"/>
              <w:spacing w:line="281" w:lineRule="exact"/>
              <w:ind w:left="6" w:right="40"/>
              <w:jc w:val="center"/>
              <w:rPr>
                <w:sz w:val="24"/>
              </w:rPr>
            </w:pPr>
            <w:r>
              <w:rPr>
                <w:spacing w:val="-5"/>
                <w:sz w:val="24"/>
              </w:rPr>
              <w:t>35</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98"/>
              <w:rPr>
                <w:b/>
                <w:sz w:val="24"/>
              </w:rPr>
            </w:pPr>
          </w:p>
          <w:p>
            <w:pPr>
              <w:pStyle w:val="TableParagraph"/>
              <w:ind w:left="23"/>
              <w:rPr>
                <w:sz w:val="24"/>
              </w:rPr>
            </w:pPr>
            <w:r>
              <w:rPr>
                <w:spacing w:val="-2"/>
                <w:sz w:val="24"/>
              </w:rPr>
              <w:t>RPU5.2</w:t>
            </w:r>
          </w:p>
        </w:tc>
        <w:tc>
          <w:tcPr>
            <w:tcW w:w="1260" w:type="dxa"/>
          </w:tcPr>
          <w:p>
            <w:pPr>
              <w:pStyle w:val="TableParagraph"/>
              <w:rPr>
                <w:b/>
                <w:sz w:val="24"/>
              </w:rPr>
            </w:pPr>
          </w:p>
          <w:p>
            <w:pPr>
              <w:pStyle w:val="TableParagraph"/>
              <w:rPr>
                <w:b/>
                <w:sz w:val="24"/>
              </w:rPr>
            </w:pPr>
          </w:p>
          <w:p>
            <w:pPr>
              <w:pStyle w:val="TableParagraph"/>
              <w:rPr>
                <w:b/>
                <w:sz w:val="24"/>
              </w:rPr>
            </w:pPr>
          </w:p>
          <w:p>
            <w:pPr>
              <w:pStyle w:val="TableParagraph"/>
              <w:spacing w:before="240"/>
              <w:rPr>
                <w:b/>
                <w:sz w:val="24"/>
              </w:rPr>
            </w:pPr>
          </w:p>
          <w:p>
            <w:pPr>
              <w:pStyle w:val="TableParagraph"/>
              <w:ind w:left="18" w:right="-3" w:firstLine="76"/>
              <w:rPr>
                <w:sz w:val="24"/>
              </w:rPr>
            </w:pPr>
            <w:r>
              <w:rPr>
                <w:spacing w:val="-2"/>
                <w:sz w:val="24"/>
              </w:rPr>
              <w:t>Electricity Transmiss </w:t>
            </w:r>
            <w:r>
              <w:rPr>
                <w:spacing w:val="-4"/>
                <w:sz w:val="24"/>
              </w:rPr>
              <w:t>ion </w:t>
            </w:r>
            <w:r>
              <w:rPr>
                <w:spacing w:val="-2"/>
                <w:sz w:val="24"/>
              </w:rPr>
              <w:t>&amp;Distribut </w:t>
            </w:r>
            <w:r>
              <w:rPr>
                <w:spacing w:val="-4"/>
                <w:sz w:val="24"/>
              </w:rPr>
              <w:t>ion</w:t>
            </w:r>
            <w:r>
              <w:rPr>
                <w:spacing w:val="40"/>
                <w:sz w:val="24"/>
              </w:rPr>
              <w:t> </w:t>
            </w:r>
            <w:r>
              <w:rPr>
                <w:spacing w:val="-2"/>
                <w:sz w:val="24"/>
              </w:rPr>
              <w:t>Facility</w:t>
            </w:r>
          </w:p>
        </w:tc>
        <w:tc>
          <w:tcPr>
            <w:tcW w:w="2679"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97"/>
              <w:rPr>
                <w:b/>
                <w:sz w:val="24"/>
              </w:rPr>
            </w:pPr>
          </w:p>
          <w:p>
            <w:pPr>
              <w:pStyle w:val="TableParagraph"/>
              <w:ind w:left="106" w:right="102"/>
              <w:rPr>
                <w:sz w:val="24"/>
              </w:rPr>
            </w:pPr>
            <w:r>
              <w:rPr>
                <w:sz w:val="24"/>
              </w:rPr>
              <w:t>Sub Station, Receiving station, Bill Collection </w:t>
            </w:r>
            <w:r>
              <w:rPr>
                <w:spacing w:val="-2"/>
                <w:sz w:val="24"/>
              </w:rPr>
              <w:t>Centres, </w:t>
            </w:r>
            <w:r>
              <w:rPr>
                <w:sz w:val="24"/>
              </w:rPr>
              <w:t>Administrative</w:t>
            </w:r>
            <w:r>
              <w:rPr>
                <w:spacing w:val="-20"/>
                <w:sz w:val="24"/>
              </w:rPr>
              <w:t> </w:t>
            </w:r>
            <w:r>
              <w:rPr>
                <w:sz w:val="24"/>
              </w:rPr>
              <w:t>Office</w:t>
            </w:r>
          </w:p>
        </w:tc>
        <w:tc>
          <w:tcPr>
            <w:tcW w:w="2094" w:type="dxa"/>
          </w:tcPr>
          <w:p>
            <w:pPr>
              <w:pStyle w:val="TableParagraph"/>
              <w:spacing w:before="95"/>
              <w:ind w:left="94"/>
              <w:rPr>
                <w:sz w:val="24"/>
              </w:rPr>
            </w:pPr>
            <w:r>
              <w:rPr>
                <w:spacing w:val="-2"/>
                <w:sz w:val="24"/>
              </w:rPr>
              <w:t>Emergency/esse </w:t>
            </w:r>
            <w:r>
              <w:rPr>
                <w:sz w:val="24"/>
              </w:rPr>
              <w:t>ntial staff </w:t>
            </w:r>
            <w:r>
              <w:rPr>
                <w:spacing w:val="-2"/>
                <w:sz w:val="24"/>
              </w:rPr>
              <w:t>quarters</w:t>
            </w:r>
          </w:p>
        </w:tc>
        <w:tc>
          <w:tcPr>
            <w:tcW w:w="1306" w:type="dxa"/>
          </w:tcPr>
          <w:p>
            <w:pPr>
              <w:pStyle w:val="TableParagraph"/>
              <w:spacing w:line="321" w:lineRule="auto" w:before="95"/>
              <w:ind w:left="106" w:right="435"/>
              <w:rPr>
                <w:sz w:val="24"/>
              </w:rPr>
            </w:pPr>
            <w:r>
              <w:rPr>
                <w:sz w:val="24"/>
              </w:rPr>
              <w:t>1 or 3 </w:t>
            </w:r>
            <w:r>
              <w:rPr>
                <w:spacing w:val="-2"/>
                <w:sz w:val="24"/>
              </w:rPr>
              <w:t>Zb=20</w:t>
            </w:r>
          </w:p>
          <w:p>
            <w:pPr>
              <w:pStyle w:val="TableParagraph"/>
              <w:spacing w:before="1"/>
              <w:ind w:left="106" w:right="278"/>
              <w:rPr>
                <w:sz w:val="24"/>
              </w:rPr>
            </w:pPr>
            <w:r>
              <w:rPr>
                <w:sz w:val="24"/>
              </w:rPr>
              <w:t>In</w:t>
            </w:r>
            <w:r>
              <w:rPr>
                <w:spacing w:val="-20"/>
                <w:sz w:val="24"/>
              </w:rPr>
              <w:t> </w:t>
            </w:r>
            <w:r>
              <w:rPr>
                <w:sz w:val="24"/>
              </w:rPr>
              <w:t>case of 3 a) </w:t>
            </w:r>
            <w:r>
              <w:rPr>
                <w:spacing w:val="-4"/>
                <w:sz w:val="24"/>
              </w:rPr>
              <w:t>X=50</w:t>
            </w:r>
          </w:p>
          <w:p>
            <w:pPr>
              <w:pStyle w:val="TableParagraph"/>
              <w:spacing w:line="281" w:lineRule="exact" w:before="95"/>
              <w:ind w:left="106"/>
              <w:rPr>
                <w:sz w:val="24"/>
              </w:rPr>
            </w:pPr>
            <w:r>
              <w:rPr>
                <w:sz w:val="24"/>
              </w:rPr>
              <w:t>b) </w:t>
            </w:r>
            <w:r>
              <w:rPr>
                <w:spacing w:val="-4"/>
                <w:sz w:val="24"/>
              </w:rPr>
              <w:t>Y=40</w:t>
            </w:r>
          </w:p>
          <w:p>
            <w:pPr>
              <w:pStyle w:val="TableParagraph"/>
              <w:ind w:left="106" w:right="98"/>
              <w:rPr>
                <w:sz w:val="24"/>
              </w:rPr>
            </w:pPr>
            <w:r>
              <w:rPr>
                <w:spacing w:val="-4"/>
                <w:sz w:val="24"/>
              </w:rPr>
              <w:t>and </w:t>
            </w:r>
            <w:r>
              <w:rPr>
                <w:spacing w:val="-2"/>
                <w:sz w:val="24"/>
              </w:rPr>
              <w:t>minimu </w:t>
            </w:r>
            <w:r>
              <w:rPr>
                <w:sz w:val="24"/>
              </w:rPr>
              <w:t>m area</w:t>
            </w:r>
            <w:r>
              <w:rPr>
                <w:spacing w:val="80"/>
                <w:sz w:val="24"/>
              </w:rPr>
              <w:t> </w:t>
            </w:r>
            <w:r>
              <w:rPr>
                <w:spacing w:val="-6"/>
                <w:sz w:val="24"/>
              </w:rPr>
              <w:t>of </w:t>
            </w:r>
            <w:r>
              <w:rPr>
                <w:spacing w:val="-2"/>
                <w:sz w:val="24"/>
              </w:rPr>
              <w:t>reserved </w:t>
            </w:r>
            <w:r>
              <w:rPr>
                <w:sz w:val="24"/>
              </w:rPr>
              <w:t>plot</w:t>
            </w:r>
            <w:r>
              <w:rPr>
                <w:spacing w:val="-20"/>
                <w:sz w:val="24"/>
              </w:rPr>
              <w:t> </w:t>
            </w:r>
            <w:r>
              <w:rPr>
                <w:sz w:val="24"/>
              </w:rPr>
              <w:t>shall be 1000 sq. m</w:t>
            </w:r>
          </w:p>
        </w:tc>
      </w:tr>
      <w:tr>
        <w:trPr>
          <w:trHeight w:val="1127"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36</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ind w:left="18" w:right="512"/>
              <w:rPr>
                <w:sz w:val="24"/>
              </w:rPr>
            </w:pPr>
            <w:r>
              <w:rPr>
                <w:spacing w:val="-4"/>
                <w:sz w:val="24"/>
              </w:rPr>
              <w:t>RPU 6.1</w:t>
            </w:r>
          </w:p>
        </w:tc>
        <w:tc>
          <w:tcPr>
            <w:tcW w:w="1260" w:type="dxa"/>
          </w:tcPr>
          <w:p>
            <w:pPr>
              <w:pStyle w:val="TableParagraph"/>
              <w:spacing w:before="140"/>
              <w:ind w:left="111" w:right="99"/>
              <w:rPr>
                <w:sz w:val="24"/>
              </w:rPr>
            </w:pPr>
            <w:r>
              <w:rPr>
                <w:spacing w:val="-2"/>
                <w:sz w:val="24"/>
              </w:rPr>
              <w:t>Service Industri </w:t>
            </w:r>
            <w:r>
              <w:rPr>
                <w:sz w:val="24"/>
              </w:rPr>
              <w:t>al </w:t>
            </w:r>
            <w:r>
              <w:rPr>
                <w:spacing w:val="-2"/>
                <w:sz w:val="24"/>
              </w:rPr>
              <w:t>Estate</w:t>
            </w:r>
          </w:p>
        </w:tc>
        <w:tc>
          <w:tcPr>
            <w:tcW w:w="2679" w:type="dxa"/>
          </w:tcPr>
          <w:p>
            <w:pPr>
              <w:pStyle w:val="TableParagraph"/>
              <w:tabs>
                <w:tab w:pos="1419" w:val="left" w:leader="none"/>
              </w:tabs>
              <w:spacing w:before="1"/>
              <w:ind w:left="106" w:right="98" w:firstLine="76"/>
              <w:rPr>
                <w:sz w:val="24"/>
              </w:rPr>
            </w:pPr>
            <w:r>
              <w:rPr>
                <w:spacing w:val="-2"/>
                <w:sz w:val="24"/>
              </w:rPr>
              <w:t>Service</w:t>
            </w:r>
            <w:r>
              <w:rPr>
                <w:sz w:val="24"/>
              </w:rPr>
              <w:tab/>
            </w:r>
            <w:r>
              <w:rPr>
                <w:spacing w:val="-2"/>
                <w:sz w:val="24"/>
              </w:rPr>
              <w:t>industrial users, shop/commercial</w:t>
            </w:r>
          </w:p>
          <w:p>
            <w:pPr>
              <w:pStyle w:val="TableParagraph"/>
              <w:tabs>
                <w:tab w:pos="915" w:val="left" w:leader="none"/>
                <w:tab w:pos="2338" w:val="left" w:leader="none"/>
              </w:tabs>
              <w:spacing w:line="261" w:lineRule="exact"/>
              <w:ind w:left="106"/>
              <w:rPr>
                <w:sz w:val="24"/>
              </w:rPr>
            </w:pPr>
            <w:r>
              <w:rPr>
                <w:spacing w:val="-4"/>
                <w:sz w:val="24"/>
              </w:rPr>
              <w:t>user</w:t>
            </w:r>
            <w:r>
              <w:rPr>
                <w:sz w:val="24"/>
              </w:rPr>
              <w:tab/>
            </w:r>
            <w:r>
              <w:rPr>
                <w:spacing w:val="-2"/>
                <w:sz w:val="24"/>
              </w:rPr>
              <w:t>permitted</w:t>
            </w:r>
            <w:r>
              <w:rPr>
                <w:sz w:val="24"/>
              </w:rPr>
              <w:tab/>
            </w:r>
            <w:r>
              <w:rPr>
                <w:spacing w:val="-5"/>
                <w:sz w:val="24"/>
              </w:rPr>
              <w:t>in</w:t>
            </w:r>
          </w:p>
        </w:tc>
        <w:tc>
          <w:tcPr>
            <w:tcW w:w="2094" w:type="dxa"/>
          </w:tcPr>
          <w:p>
            <w:pPr>
              <w:pStyle w:val="TableParagraph"/>
              <w:rPr>
                <w:rFonts w:ascii="Times New Roman"/>
                <w:sz w:val="22"/>
              </w:rPr>
            </w:pPr>
          </w:p>
        </w:tc>
        <w:tc>
          <w:tcPr>
            <w:tcW w:w="1306" w:type="dxa"/>
          </w:tcPr>
          <w:p>
            <w:pPr>
              <w:pStyle w:val="TableParagraph"/>
              <w:spacing w:before="1"/>
              <w:ind w:left="106" w:right="345" w:firstLine="74"/>
              <w:jc w:val="both"/>
              <w:rPr>
                <w:sz w:val="24"/>
              </w:rPr>
            </w:pPr>
            <w:r>
              <w:rPr>
                <w:sz w:val="24"/>
              </w:rPr>
              <w:t>1</w:t>
            </w:r>
            <w:r>
              <w:rPr>
                <w:spacing w:val="-19"/>
                <w:sz w:val="24"/>
              </w:rPr>
              <w:t> </w:t>
            </w:r>
            <w:r>
              <w:rPr>
                <w:sz w:val="24"/>
              </w:rPr>
              <w:t>or</w:t>
            </w:r>
            <w:r>
              <w:rPr>
                <w:spacing w:val="-19"/>
                <w:sz w:val="24"/>
              </w:rPr>
              <w:t> </w:t>
            </w:r>
            <w:r>
              <w:rPr>
                <w:sz w:val="24"/>
              </w:rPr>
              <w:t>3, In</w:t>
            </w:r>
            <w:r>
              <w:rPr>
                <w:spacing w:val="-20"/>
                <w:sz w:val="24"/>
              </w:rPr>
              <w:t> </w:t>
            </w:r>
            <w:r>
              <w:rPr>
                <w:sz w:val="24"/>
              </w:rPr>
              <w:t>case of 3</w:t>
            </w:r>
          </w:p>
          <w:p>
            <w:pPr>
              <w:pStyle w:val="TableParagraph"/>
              <w:spacing w:line="261" w:lineRule="exact"/>
              <w:ind w:left="106"/>
              <w:jc w:val="both"/>
              <w:rPr>
                <w:sz w:val="24"/>
              </w:rPr>
            </w:pPr>
            <w:r>
              <w:rPr>
                <w:sz w:val="24"/>
              </w:rPr>
              <w:t>a) </w:t>
            </w:r>
            <w:r>
              <w:rPr>
                <w:spacing w:val="-4"/>
                <w:sz w:val="24"/>
              </w:rPr>
              <w:t>X=50</w:t>
            </w:r>
          </w:p>
        </w:tc>
      </w:tr>
    </w:tbl>
    <w:p>
      <w:pPr>
        <w:pStyle w:val="TableParagraph"/>
        <w:spacing w:after="0" w:line="261" w:lineRule="exact"/>
        <w:jc w:val="both"/>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899"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tabs>
                <w:tab w:pos="1419" w:val="left" w:leader="none"/>
              </w:tabs>
              <w:ind w:left="106" w:right="98"/>
              <w:rPr>
                <w:sz w:val="24"/>
              </w:rPr>
            </w:pPr>
            <w:r>
              <w:rPr>
                <w:spacing w:val="-2"/>
                <w:sz w:val="24"/>
              </w:rPr>
              <w:t>service</w:t>
            </w:r>
            <w:r>
              <w:rPr>
                <w:sz w:val="24"/>
              </w:rPr>
              <w:tab/>
            </w:r>
            <w:r>
              <w:rPr>
                <w:spacing w:val="-2"/>
                <w:sz w:val="24"/>
              </w:rPr>
              <w:t>industrial Estate</w:t>
            </w:r>
          </w:p>
        </w:tc>
        <w:tc>
          <w:tcPr>
            <w:tcW w:w="2094" w:type="dxa"/>
          </w:tcPr>
          <w:p>
            <w:pPr>
              <w:pStyle w:val="TableParagraph"/>
              <w:rPr>
                <w:rFonts w:ascii="Times New Roman"/>
                <w:sz w:val="22"/>
              </w:rPr>
            </w:pPr>
          </w:p>
        </w:tc>
        <w:tc>
          <w:tcPr>
            <w:tcW w:w="1306" w:type="dxa"/>
          </w:tcPr>
          <w:p>
            <w:pPr>
              <w:pStyle w:val="TableParagraph"/>
              <w:spacing w:line="281" w:lineRule="exact"/>
              <w:ind w:left="106"/>
              <w:rPr>
                <w:sz w:val="24"/>
              </w:rPr>
            </w:pPr>
            <w:r>
              <w:rPr>
                <w:sz w:val="24"/>
              </w:rPr>
              <w:t>b) </w:t>
            </w:r>
            <w:r>
              <w:rPr>
                <w:spacing w:val="-4"/>
                <w:sz w:val="24"/>
              </w:rPr>
              <w:t>Y=40</w:t>
            </w:r>
          </w:p>
        </w:tc>
      </w:tr>
      <w:tr>
        <w:trPr>
          <w:trHeight w:val="2534" w:hRule="atLeast"/>
        </w:trPr>
        <w:tc>
          <w:tcPr>
            <w:tcW w:w="560" w:type="dxa"/>
          </w:tcPr>
          <w:p>
            <w:pPr>
              <w:pStyle w:val="TableParagraph"/>
              <w:rPr>
                <w:b/>
                <w:sz w:val="24"/>
              </w:rPr>
            </w:pPr>
          </w:p>
          <w:p>
            <w:pPr>
              <w:pStyle w:val="TableParagraph"/>
              <w:rPr>
                <w:b/>
                <w:sz w:val="24"/>
              </w:rPr>
            </w:pPr>
          </w:p>
          <w:p>
            <w:pPr>
              <w:pStyle w:val="TableParagraph"/>
              <w:ind w:left="6" w:right="40"/>
              <w:jc w:val="center"/>
              <w:rPr>
                <w:sz w:val="24"/>
              </w:rPr>
            </w:pPr>
            <w:r>
              <w:rPr>
                <w:spacing w:val="-5"/>
                <w:sz w:val="24"/>
              </w:rPr>
              <w:t>37</w:t>
            </w:r>
          </w:p>
        </w:tc>
        <w:tc>
          <w:tcPr>
            <w:tcW w:w="1349" w:type="dxa"/>
          </w:tcPr>
          <w:p>
            <w:pPr>
              <w:pStyle w:val="TableParagraph"/>
              <w:rPr>
                <w:b/>
                <w:sz w:val="24"/>
              </w:rPr>
            </w:pPr>
          </w:p>
          <w:p>
            <w:pPr>
              <w:pStyle w:val="TableParagraph"/>
              <w:rPr>
                <w:b/>
                <w:sz w:val="24"/>
              </w:rPr>
            </w:pPr>
          </w:p>
          <w:p>
            <w:pPr>
              <w:pStyle w:val="TableParagraph"/>
              <w:ind w:left="105" w:right="436"/>
              <w:rPr>
                <w:sz w:val="24"/>
              </w:rPr>
            </w:pPr>
            <w:r>
              <w:rPr>
                <w:spacing w:val="-2"/>
                <w:sz w:val="24"/>
              </w:rPr>
              <w:t>Public Offices</w:t>
            </w:r>
          </w:p>
        </w:tc>
        <w:tc>
          <w:tcPr>
            <w:tcW w:w="1057" w:type="dxa"/>
          </w:tcPr>
          <w:p>
            <w:pPr>
              <w:pStyle w:val="TableParagraph"/>
              <w:spacing w:before="280"/>
              <w:ind w:right="124"/>
              <w:jc w:val="right"/>
              <w:rPr>
                <w:sz w:val="24"/>
              </w:rPr>
            </w:pPr>
            <w:r>
              <w:rPr>
                <w:spacing w:val="-2"/>
                <w:sz w:val="24"/>
              </w:rPr>
              <w:t>RO1.3</w:t>
            </w:r>
          </w:p>
        </w:tc>
        <w:tc>
          <w:tcPr>
            <w:tcW w:w="1260" w:type="dxa"/>
          </w:tcPr>
          <w:p>
            <w:pPr>
              <w:pStyle w:val="TableParagraph"/>
              <w:spacing w:line="242" w:lineRule="auto" w:before="280"/>
              <w:ind w:left="181" w:right="124" w:hanging="159"/>
              <w:rPr>
                <w:sz w:val="24"/>
              </w:rPr>
            </w:pPr>
            <w:r>
              <w:rPr>
                <w:spacing w:val="-2"/>
                <w:sz w:val="24"/>
              </w:rPr>
              <w:t>Municipa </w:t>
            </w:r>
            <w:r>
              <w:rPr>
                <w:sz w:val="24"/>
              </w:rPr>
              <w:t>l Office</w:t>
            </w:r>
          </w:p>
        </w:tc>
        <w:tc>
          <w:tcPr>
            <w:tcW w:w="2679" w:type="dxa"/>
          </w:tcPr>
          <w:p>
            <w:pPr>
              <w:pStyle w:val="TableParagraph"/>
              <w:ind w:left="106" w:right="80"/>
              <w:jc w:val="both"/>
              <w:rPr>
                <w:sz w:val="24"/>
              </w:rPr>
            </w:pPr>
            <w:r>
              <w:rPr>
                <w:sz w:val="24"/>
              </w:rPr>
              <w:t>Municipal </w:t>
            </w:r>
            <w:r>
              <w:rPr>
                <w:sz w:val="24"/>
              </w:rPr>
              <w:t>Office along</w:t>
            </w:r>
            <w:r>
              <w:rPr>
                <w:spacing w:val="-20"/>
                <w:sz w:val="24"/>
              </w:rPr>
              <w:t> </w:t>
            </w:r>
            <w:r>
              <w:rPr>
                <w:sz w:val="24"/>
              </w:rPr>
              <w:t>with</w:t>
            </w:r>
            <w:r>
              <w:rPr>
                <w:spacing w:val="-19"/>
                <w:sz w:val="24"/>
              </w:rPr>
              <w:t> </w:t>
            </w:r>
            <w:r>
              <w:rPr>
                <w:sz w:val="24"/>
              </w:rPr>
              <w:t>other</w:t>
            </w:r>
            <w:r>
              <w:rPr>
                <w:spacing w:val="-19"/>
                <w:sz w:val="24"/>
              </w:rPr>
              <w:t> </w:t>
            </w:r>
            <w:r>
              <w:rPr>
                <w:sz w:val="24"/>
              </w:rPr>
              <w:t>uses if any, such as Staff Quarters, Disaster Management </w:t>
            </w:r>
            <w:r>
              <w:rPr>
                <w:spacing w:val="-2"/>
                <w:sz w:val="24"/>
              </w:rPr>
              <w:t>Facility</w:t>
            </w:r>
          </w:p>
        </w:tc>
        <w:tc>
          <w:tcPr>
            <w:tcW w:w="2094" w:type="dxa"/>
          </w:tcPr>
          <w:p>
            <w:pPr>
              <w:pStyle w:val="TableParagraph"/>
              <w:tabs>
                <w:tab w:pos="1022" w:val="left" w:leader="none"/>
                <w:tab w:pos="1253" w:val="left" w:leader="none"/>
                <w:tab w:pos="1397" w:val="left" w:leader="none"/>
                <w:tab w:pos="1618" w:val="left" w:leader="none"/>
              </w:tabs>
              <w:ind w:left="106" w:right="98"/>
              <w:rPr>
                <w:sz w:val="24"/>
              </w:rPr>
            </w:pPr>
            <w:r>
              <w:rPr>
                <w:sz w:val="24"/>
              </w:rPr>
              <w:t>ATM of a </w:t>
            </w:r>
            <w:r>
              <w:rPr>
                <w:sz w:val="24"/>
              </w:rPr>
              <w:t>Bank, </w:t>
            </w:r>
            <w:r>
              <w:rPr>
                <w:spacing w:val="-2"/>
                <w:sz w:val="24"/>
              </w:rPr>
              <w:t>Information Kiosk,</w:t>
            </w:r>
            <w:r>
              <w:rPr>
                <w:sz w:val="24"/>
              </w:rPr>
              <w:tab/>
              <w:tab/>
              <w:tab/>
            </w:r>
            <w:r>
              <w:rPr>
                <w:spacing w:val="-4"/>
                <w:sz w:val="24"/>
              </w:rPr>
              <w:t>CFC, </w:t>
            </w:r>
            <w:r>
              <w:rPr>
                <w:spacing w:val="-2"/>
                <w:sz w:val="24"/>
              </w:rPr>
              <w:t>police</w:t>
            </w:r>
            <w:r>
              <w:rPr>
                <w:sz w:val="24"/>
              </w:rPr>
              <w:tab/>
            </w:r>
            <w:r>
              <w:rPr>
                <w:spacing w:val="-2"/>
                <w:sz w:val="24"/>
              </w:rPr>
              <w:t>chowky, electric/ telephone</w:t>
            </w:r>
            <w:r>
              <w:rPr>
                <w:sz w:val="24"/>
              </w:rPr>
              <w:tab/>
              <w:tab/>
              <w:tab/>
            </w:r>
            <w:r>
              <w:rPr>
                <w:spacing w:val="-4"/>
                <w:sz w:val="24"/>
              </w:rPr>
              <w:t>bill </w:t>
            </w:r>
            <w:r>
              <w:rPr>
                <w:spacing w:val="-2"/>
                <w:sz w:val="24"/>
              </w:rPr>
              <w:t>payment</w:t>
            </w:r>
            <w:r>
              <w:rPr>
                <w:spacing w:val="80"/>
                <w:sz w:val="24"/>
              </w:rPr>
              <w:t> </w:t>
            </w:r>
            <w:r>
              <w:rPr>
                <w:spacing w:val="-2"/>
                <w:sz w:val="24"/>
              </w:rPr>
              <w:t>center,</w:t>
            </w:r>
            <w:r>
              <w:rPr>
                <w:sz w:val="24"/>
              </w:rPr>
              <w:tab/>
              <w:tab/>
            </w:r>
            <w:r>
              <w:rPr>
                <w:spacing w:val="-2"/>
                <w:sz w:val="24"/>
              </w:rPr>
              <w:t>Public</w:t>
            </w:r>
          </w:p>
          <w:p>
            <w:pPr>
              <w:pStyle w:val="TableParagraph"/>
              <w:spacing w:line="261" w:lineRule="exact"/>
              <w:ind w:left="106"/>
              <w:rPr>
                <w:sz w:val="24"/>
              </w:rPr>
            </w:pPr>
            <w:r>
              <w:rPr>
                <w:sz w:val="24"/>
              </w:rPr>
              <w:t>toilet </w:t>
            </w:r>
            <w:r>
              <w:rPr>
                <w:spacing w:val="-2"/>
                <w:sz w:val="24"/>
              </w:rPr>
              <w:t>block.</w:t>
            </w:r>
          </w:p>
        </w:tc>
        <w:tc>
          <w:tcPr>
            <w:tcW w:w="1306" w:type="dxa"/>
          </w:tcPr>
          <w:p>
            <w:pPr>
              <w:pStyle w:val="TableParagraph"/>
              <w:spacing w:line="280" w:lineRule="exact"/>
              <w:ind w:left="180"/>
              <w:rPr>
                <w:sz w:val="24"/>
              </w:rPr>
            </w:pPr>
            <w:r>
              <w:rPr>
                <w:sz w:val="24"/>
              </w:rPr>
              <w:t>1 or </w:t>
            </w:r>
            <w:r>
              <w:rPr>
                <w:spacing w:val="-5"/>
                <w:sz w:val="24"/>
              </w:rPr>
              <w:t>3,</w:t>
            </w:r>
          </w:p>
          <w:p>
            <w:pPr>
              <w:pStyle w:val="TableParagraph"/>
              <w:spacing w:line="281" w:lineRule="exact"/>
              <w:ind w:left="180"/>
              <w:rPr>
                <w:sz w:val="24"/>
              </w:rPr>
            </w:pPr>
            <w:r>
              <w:rPr>
                <w:sz w:val="24"/>
              </w:rPr>
              <w:t>Zb</w:t>
            </w:r>
            <w:r>
              <w:rPr>
                <w:spacing w:val="-1"/>
                <w:sz w:val="24"/>
              </w:rPr>
              <w:t> </w:t>
            </w:r>
            <w:r>
              <w:rPr>
                <w:spacing w:val="-5"/>
                <w:sz w:val="24"/>
              </w:rPr>
              <w:t>=10</w:t>
            </w:r>
          </w:p>
          <w:p>
            <w:pPr>
              <w:pStyle w:val="TableParagraph"/>
              <w:spacing w:before="2"/>
              <w:ind w:left="106" w:right="278"/>
              <w:rPr>
                <w:sz w:val="24"/>
              </w:rPr>
            </w:pPr>
            <w:r>
              <w:rPr>
                <w:sz w:val="24"/>
              </w:rPr>
              <w:t>In</w:t>
            </w:r>
            <w:r>
              <w:rPr>
                <w:spacing w:val="-20"/>
                <w:sz w:val="24"/>
              </w:rPr>
              <w:t> </w:t>
            </w:r>
            <w:r>
              <w:rPr>
                <w:sz w:val="24"/>
              </w:rPr>
              <w:t>case of 3</w:t>
            </w:r>
          </w:p>
          <w:p>
            <w:pPr>
              <w:pStyle w:val="TableParagraph"/>
              <w:numPr>
                <w:ilvl w:val="0"/>
                <w:numId w:val="59"/>
              </w:numPr>
              <w:tabs>
                <w:tab w:pos="393" w:val="left" w:leader="none"/>
              </w:tabs>
              <w:spacing w:line="280" w:lineRule="exact" w:before="0" w:after="0"/>
              <w:ind w:left="393" w:right="0" w:hanging="287"/>
              <w:jc w:val="left"/>
              <w:rPr>
                <w:sz w:val="24"/>
              </w:rPr>
            </w:pPr>
            <w:r>
              <w:rPr>
                <w:spacing w:val="-4"/>
                <w:sz w:val="24"/>
              </w:rPr>
              <w:t>X=50</w:t>
            </w:r>
          </w:p>
          <w:p>
            <w:pPr>
              <w:pStyle w:val="TableParagraph"/>
              <w:numPr>
                <w:ilvl w:val="0"/>
                <w:numId w:val="59"/>
              </w:numPr>
              <w:tabs>
                <w:tab w:pos="403" w:val="left" w:leader="none"/>
              </w:tabs>
              <w:spacing w:line="240" w:lineRule="auto" w:before="1" w:after="0"/>
              <w:ind w:left="403" w:right="0" w:hanging="297"/>
              <w:jc w:val="left"/>
              <w:rPr>
                <w:sz w:val="24"/>
              </w:rPr>
            </w:pPr>
            <w:r>
              <w:rPr>
                <w:spacing w:val="-4"/>
                <w:sz w:val="24"/>
              </w:rPr>
              <w:t>Y=40</w:t>
            </w:r>
          </w:p>
        </w:tc>
      </w:tr>
      <w:tr>
        <w:trPr>
          <w:trHeight w:val="2445" w:hRule="atLeast"/>
        </w:trPr>
        <w:tc>
          <w:tcPr>
            <w:tcW w:w="560" w:type="dxa"/>
          </w:tcPr>
          <w:p>
            <w:pPr>
              <w:pStyle w:val="TableParagraph"/>
              <w:spacing w:line="281" w:lineRule="exact"/>
              <w:ind w:left="40" w:right="34"/>
              <w:jc w:val="center"/>
              <w:rPr>
                <w:sz w:val="24"/>
              </w:rPr>
            </w:pPr>
            <w:r>
              <w:rPr>
                <w:spacing w:val="-5"/>
                <w:sz w:val="24"/>
              </w:rPr>
              <w:t>38</w:t>
            </w:r>
          </w:p>
        </w:tc>
        <w:tc>
          <w:tcPr>
            <w:tcW w:w="1349" w:type="dxa"/>
          </w:tcPr>
          <w:p>
            <w:pPr>
              <w:pStyle w:val="TableParagraph"/>
              <w:rPr>
                <w:rFonts w:ascii="Times New Roman"/>
                <w:sz w:val="22"/>
              </w:rPr>
            </w:pPr>
          </w:p>
        </w:tc>
        <w:tc>
          <w:tcPr>
            <w:tcW w:w="1057" w:type="dxa"/>
          </w:tcPr>
          <w:p>
            <w:pPr>
              <w:pStyle w:val="TableParagraph"/>
              <w:spacing w:before="95"/>
              <w:ind w:left="990" w:right="-274"/>
              <w:rPr>
                <w:sz w:val="24"/>
              </w:rPr>
            </w:pPr>
            <w:r>
              <w:rPr>
                <w:spacing w:val="-5"/>
                <w:sz w:val="24"/>
              </w:rPr>
              <w:t>Go</w:t>
            </w:r>
          </w:p>
          <w:p>
            <w:pPr>
              <w:pStyle w:val="TableParagraph"/>
              <w:spacing w:before="97"/>
              <w:ind w:left="23"/>
              <w:rPr>
                <w:sz w:val="24"/>
              </w:rPr>
            </w:pPr>
            <w:r>
              <w:rPr>
                <w:spacing w:val="-2"/>
                <w:sz w:val="24"/>
              </w:rPr>
              <w:t>RO2.1</w:t>
            </w:r>
          </w:p>
        </w:tc>
        <w:tc>
          <w:tcPr>
            <w:tcW w:w="1260" w:type="dxa"/>
          </w:tcPr>
          <w:p>
            <w:pPr>
              <w:pStyle w:val="TableParagraph"/>
              <w:spacing w:before="95"/>
              <w:ind w:left="18" w:right="117" w:firstLine="242"/>
              <w:rPr>
                <w:sz w:val="24"/>
              </w:rPr>
            </w:pPr>
            <w:r>
              <w:rPr>
                <w:spacing w:val="-2"/>
                <w:sz w:val="24"/>
              </w:rPr>
              <w:t>vernme </w:t>
            </w:r>
            <w:r>
              <w:rPr>
                <w:sz w:val="24"/>
              </w:rPr>
              <w:t>nt Office</w:t>
            </w:r>
          </w:p>
        </w:tc>
        <w:tc>
          <w:tcPr>
            <w:tcW w:w="2679" w:type="dxa"/>
          </w:tcPr>
          <w:p>
            <w:pPr>
              <w:pStyle w:val="TableParagraph"/>
              <w:spacing w:before="95"/>
              <w:ind w:left="106" w:right="148"/>
              <w:rPr>
                <w:sz w:val="24"/>
              </w:rPr>
            </w:pPr>
            <w:r>
              <w:rPr>
                <w:sz w:val="24"/>
              </w:rPr>
              <w:t>Government Office along with other uses</w:t>
            </w:r>
            <w:r>
              <w:rPr>
                <w:spacing w:val="-10"/>
                <w:sz w:val="24"/>
              </w:rPr>
              <w:t> </w:t>
            </w:r>
            <w:r>
              <w:rPr>
                <w:sz w:val="24"/>
              </w:rPr>
              <w:t>if</w:t>
            </w:r>
            <w:r>
              <w:rPr>
                <w:spacing w:val="-10"/>
                <w:sz w:val="24"/>
              </w:rPr>
              <w:t> </w:t>
            </w:r>
            <w:r>
              <w:rPr>
                <w:sz w:val="24"/>
              </w:rPr>
              <w:t>any,</w:t>
            </w:r>
            <w:r>
              <w:rPr>
                <w:spacing w:val="-10"/>
                <w:sz w:val="24"/>
              </w:rPr>
              <w:t> </w:t>
            </w:r>
            <w:r>
              <w:rPr>
                <w:sz w:val="24"/>
              </w:rPr>
              <w:t>such</w:t>
            </w:r>
            <w:r>
              <w:rPr>
                <w:spacing w:val="-10"/>
                <w:sz w:val="24"/>
              </w:rPr>
              <w:t> </w:t>
            </w:r>
            <w:r>
              <w:rPr>
                <w:sz w:val="24"/>
              </w:rPr>
              <w:t>as Staff Quarters</w:t>
            </w:r>
          </w:p>
        </w:tc>
        <w:tc>
          <w:tcPr>
            <w:tcW w:w="2094" w:type="dxa"/>
          </w:tcPr>
          <w:p>
            <w:pPr>
              <w:pStyle w:val="TableParagraph"/>
              <w:spacing w:before="95"/>
              <w:ind w:left="94" w:right="55"/>
              <w:rPr>
                <w:sz w:val="24"/>
              </w:rPr>
            </w:pPr>
            <w:r>
              <w:rPr>
                <w:sz w:val="24"/>
              </w:rPr>
              <w:t>ATM</w:t>
            </w:r>
            <w:r>
              <w:rPr>
                <w:spacing w:val="-10"/>
                <w:sz w:val="24"/>
              </w:rPr>
              <w:t> </w:t>
            </w:r>
            <w:r>
              <w:rPr>
                <w:sz w:val="24"/>
              </w:rPr>
              <w:t>of</w:t>
            </w:r>
            <w:r>
              <w:rPr>
                <w:spacing w:val="-10"/>
                <w:sz w:val="24"/>
              </w:rPr>
              <w:t> </w:t>
            </w:r>
            <w:r>
              <w:rPr>
                <w:sz w:val="24"/>
              </w:rPr>
              <w:t>a</w:t>
            </w:r>
            <w:r>
              <w:rPr>
                <w:spacing w:val="-10"/>
                <w:sz w:val="24"/>
              </w:rPr>
              <w:t> </w:t>
            </w:r>
            <w:r>
              <w:rPr>
                <w:sz w:val="24"/>
              </w:rPr>
              <w:t>Bank, </w:t>
            </w:r>
            <w:r>
              <w:rPr>
                <w:spacing w:val="-2"/>
                <w:sz w:val="24"/>
              </w:rPr>
              <w:t>Information </w:t>
            </w:r>
            <w:r>
              <w:rPr>
                <w:sz w:val="24"/>
              </w:rPr>
              <w:t>Kiosk, CFC, police chowky, </w:t>
            </w:r>
            <w:r>
              <w:rPr>
                <w:spacing w:val="-2"/>
                <w:sz w:val="24"/>
              </w:rPr>
              <w:t>electric/ </w:t>
            </w:r>
            <w:r>
              <w:rPr>
                <w:sz w:val="24"/>
              </w:rPr>
              <w:t>telephone bill payment</w:t>
            </w:r>
            <w:r>
              <w:rPr>
                <w:spacing w:val="-20"/>
                <w:sz w:val="24"/>
              </w:rPr>
              <w:t> </w:t>
            </w:r>
            <w:r>
              <w:rPr>
                <w:sz w:val="24"/>
              </w:rPr>
              <w:t>center </w:t>
            </w:r>
            <w:r>
              <w:rPr>
                <w:spacing w:val="-4"/>
                <w:sz w:val="24"/>
              </w:rPr>
              <w:t>etc.</w:t>
            </w:r>
          </w:p>
        </w:tc>
        <w:tc>
          <w:tcPr>
            <w:tcW w:w="1306" w:type="dxa"/>
          </w:tcPr>
          <w:p>
            <w:pPr>
              <w:pStyle w:val="TableParagraph"/>
              <w:spacing w:line="281" w:lineRule="exact"/>
              <w:ind w:left="106"/>
              <w:rPr>
                <w:sz w:val="24"/>
              </w:rPr>
            </w:pPr>
            <w:r>
              <w:rPr>
                <w:sz w:val="24"/>
              </w:rPr>
              <w:t>1 or </w:t>
            </w:r>
            <w:r>
              <w:rPr>
                <w:spacing w:val="-5"/>
                <w:sz w:val="24"/>
              </w:rPr>
              <w:t>3,</w:t>
            </w:r>
          </w:p>
          <w:p>
            <w:pPr>
              <w:pStyle w:val="TableParagraph"/>
              <w:spacing w:line="281" w:lineRule="exact" w:before="1"/>
              <w:ind w:left="180"/>
              <w:rPr>
                <w:sz w:val="24"/>
              </w:rPr>
            </w:pPr>
            <w:r>
              <w:rPr>
                <w:sz w:val="24"/>
              </w:rPr>
              <w:t>Zb</w:t>
            </w:r>
            <w:r>
              <w:rPr>
                <w:spacing w:val="-1"/>
                <w:sz w:val="24"/>
              </w:rPr>
              <w:t> </w:t>
            </w:r>
            <w:r>
              <w:rPr>
                <w:spacing w:val="-5"/>
                <w:sz w:val="24"/>
              </w:rPr>
              <w:t>=10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60"/>
              </w:numPr>
              <w:tabs>
                <w:tab w:pos="393" w:val="left" w:leader="none"/>
              </w:tabs>
              <w:spacing w:line="281" w:lineRule="exact" w:before="0" w:after="0"/>
              <w:ind w:left="393" w:right="0" w:hanging="287"/>
              <w:jc w:val="left"/>
              <w:rPr>
                <w:sz w:val="24"/>
              </w:rPr>
            </w:pPr>
            <w:r>
              <w:rPr>
                <w:spacing w:val="-4"/>
                <w:sz w:val="24"/>
              </w:rPr>
              <w:t>X=50</w:t>
            </w:r>
          </w:p>
          <w:p>
            <w:pPr>
              <w:pStyle w:val="TableParagraph"/>
              <w:numPr>
                <w:ilvl w:val="0"/>
                <w:numId w:val="60"/>
              </w:numPr>
              <w:tabs>
                <w:tab w:pos="403" w:val="left" w:leader="none"/>
              </w:tabs>
              <w:spacing w:line="281" w:lineRule="exact" w:before="0" w:after="0"/>
              <w:ind w:left="403" w:right="0" w:hanging="297"/>
              <w:jc w:val="left"/>
              <w:rPr>
                <w:sz w:val="24"/>
              </w:rPr>
            </w:pPr>
            <w:r>
              <w:rPr>
                <w:spacing w:val="-4"/>
                <w:sz w:val="24"/>
              </w:rPr>
              <w:t>Y=40</w:t>
            </w:r>
          </w:p>
        </w:tc>
      </w:tr>
      <w:tr>
        <w:trPr>
          <w:trHeight w:val="3664"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39</w:t>
            </w:r>
          </w:p>
        </w:tc>
        <w:tc>
          <w:tcPr>
            <w:tcW w:w="1349" w:type="dxa"/>
          </w:tcPr>
          <w:p>
            <w:pPr>
              <w:pStyle w:val="TableParagraph"/>
              <w:rPr>
                <w:rFonts w:ascii="Times New Roman"/>
                <w:sz w:val="22"/>
              </w:rPr>
            </w:pPr>
          </w:p>
        </w:tc>
        <w:tc>
          <w:tcPr>
            <w:tcW w:w="1057" w:type="dxa"/>
          </w:tcPr>
          <w:p>
            <w:pPr>
              <w:pStyle w:val="TableParagraph"/>
              <w:spacing w:before="1"/>
              <w:ind w:right="124"/>
              <w:jc w:val="right"/>
              <w:rPr>
                <w:sz w:val="24"/>
              </w:rPr>
            </w:pPr>
            <w:r>
              <w:rPr>
                <w:spacing w:val="-2"/>
                <w:sz w:val="24"/>
              </w:rPr>
              <w:t>RO3.1</w:t>
            </w:r>
          </w:p>
        </w:tc>
        <w:tc>
          <w:tcPr>
            <w:tcW w:w="1260" w:type="dxa"/>
          </w:tcPr>
          <w:p>
            <w:pPr>
              <w:pStyle w:val="TableParagraph"/>
              <w:spacing w:before="1"/>
              <w:ind w:left="111" w:right="160"/>
              <w:rPr>
                <w:sz w:val="24"/>
              </w:rPr>
            </w:pPr>
            <w:r>
              <w:rPr>
                <w:spacing w:val="-2"/>
                <w:sz w:val="24"/>
              </w:rPr>
              <w:t>Disaster Manage </w:t>
            </w:r>
            <w:r>
              <w:rPr>
                <w:spacing w:val="-4"/>
                <w:sz w:val="24"/>
              </w:rPr>
              <w:t>ment </w:t>
            </w:r>
            <w:r>
              <w:rPr>
                <w:spacing w:val="-2"/>
                <w:sz w:val="24"/>
              </w:rPr>
              <w:t>Facility</w:t>
            </w:r>
          </w:p>
        </w:tc>
        <w:tc>
          <w:tcPr>
            <w:tcW w:w="2679" w:type="dxa"/>
          </w:tcPr>
          <w:p>
            <w:pPr>
              <w:pStyle w:val="TableParagraph"/>
              <w:tabs>
                <w:tab w:pos="1686" w:val="left" w:leader="none"/>
              </w:tabs>
              <w:spacing w:before="1"/>
              <w:ind w:left="106" w:right="99"/>
              <w:rPr>
                <w:sz w:val="24"/>
              </w:rPr>
            </w:pPr>
            <w:r>
              <w:rPr>
                <w:spacing w:val="-2"/>
                <w:sz w:val="24"/>
              </w:rPr>
              <w:t>Administrative</w:t>
            </w:r>
            <w:r>
              <w:rPr>
                <w:spacing w:val="40"/>
                <w:sz w:val="24"/>
              </w:rPr>
              <w:t> </w:t>
            </w:r>
            <w:r>
              <w:rPr>
                <w:spacing w:val="-2"/>
                <w:sz w:val="24"/>
              </w:rPr>
              <w:t>Office,</w:t>
            </w:r>
            <w:r>
              <w:rPr>
                <w:sz w:val="24"/>
              </w:rPr>
              <w:tab/>
            </w:r>
            <w:r>
              <w:rPr>
                <w:spacing w:val="-2"/>
                <w:sz w:val="24"/>
              </w:rPr>
              <w:t>Storage</w:t>
            </w:r>
          </w:p>
          <w:p>
            <w:pPr>
              <w:pStyle w:val="TableParagraph"/>
              <w:tabs>
                <w:tab w:pos="2252" w:val="left" w:leader="none"/>
              </w:tabs>
              <w:spacing w:line="280" w:lineRule="exact"/>
              <w:ind w:left="106"/>
              <w:rPr>
                <w:sz w:val="24"/>
              </w:rPr>
            </w:pPr>
            <w:r>
              <w:rPr>
                <w:spacing w:val="-2"/>
                <w:sz w:val="24"/>
              </w:rPr>
              <w:t>facility</w:t>
            </w:r>
            <w:r>
              <w:rPr>
                <w:sz w:val="24"/>
              </w:rPr>
              <w:tab/>
            </w:r>
            <w:r>
              <w:rPr>
                <w:spacing w:val="-5"/>
                <w:sz w:val="24"/>
              </w:rPr>
              <w:t>for</w:t>
            </w:r>
          </w:p>
          <w:p>
            <w:pPr>
              <w:pStyle w:val="TableParagraph"/>
              <w:tabs>
                <w:tab w:pos="764" w:val="left" w:leader="none"/>
                <w:tab w:pos="1162" w:val="left" w:leader="none"/>
                <w:tab w:pos="1411" w:val="left" w:leader="none"/>
                <w:tab w:pos="1598" w:val="left" w:leader="none"/>
                <w:tab w:pos="1880" w:val="left" w:leader="none"/>
              </w:tabs>
              <w:spacing w:before="2"/>
              <w:ind w:left="106" w:right="97"/>
              <w:rPr>
                <w:sz w:val="24"/>
              </w:rPr>
            </w:pPr>
            <w:r>
              <w:rPr>
                <w:spacing w:val="-2"/>
                <w:sz w:val="24"/>
              </w:rPr>
              <w:t>materials/goods,</w:t>
            </w:r>
            <w:r>
              <w:rPr>
                <w:spacing w:val="40"/>
                <w:sz w:val="24"/>
              </w:rPr>
              <w:t> </w:t>
            </w:r>
            <w:r>
              <w:rPr>
                <w:sz w:val="24"/>
              </w:rPr>
              <w:t>Fire</w:t>
            </w:r>
            <w:r>
              <w:rPr>
                <w:spacing w:val="-4"/>
                <w:sz w:val="24"/>
              </w:rPr>
              <w:t> </w:t>
            </w:r>
            <w:r>
              <w:rPr>
                <w:sz w:val="24"/>
              </w:rPr>
              <w:t>Station,</w:t>
            </w:r>
            <w:r>
              <w:rPr>
                <w:spacing w:val="-4"/>
                <w:sz w:val="24"/>
              </w:rPr>
              <w:t> </w:t>
            </w:r>
            <w:r>
              <w:rPr>
                <w:sz w:val="24"/>
              </w:rPr>
              <w:t>Medical </w:t>
            </w:r>
            <w:r>
              <w:rPr>
                <w:spacing w:val="-4"/>
                <w:sz w:val="24"/>
              </w:rPr>
              <w:t>aid,</w:t>
            </w:r>
            <w:r>
              <w:rPr>
                <w:sz w:val="24"/>
              </w:rPr>
              <w:tab/>
            </w:r>
            <w:r>
              <w:rPr>
                <w:spacing w:val="-4"/>
                <w:sz w:val="24"/>
              </w:rPr>
              <w:t>any</w:t>
            </w:r>
            <w:r>
              <w:rPr>
                <w:sz w:val="24"/>
              </w:rPr>
              <w:tab/>
            </w:r>
            <w:r>
              <w:rPr>
                <w:spacing w:val="-2"/>
                <w:sz w:val="24"/>
              </w:rPr>
              <w:t>ancillary/ </w:t>
            </w:r>
            <w:r>
              <w:rPr>
                <w:sz w:val="24"/>
              </w:rPr>
              <w:t>Training</w:t>
            </w:r>
            <w:r>
              <w:rPr>
                <w:spacing w:val="80"/>
                <w:sz w:val="24"/>
              </w:rPr>
              <w:t> </w:t>
            </w:r>
            <w:r>
              <w:rPr>
                <w:sz w:val="24"/>
              </w:rPr>
              <w:t>Centre</w:t>
            </w:r>
            <w:r>
              <w:rPr>
                <w:spacing w:val="80"/>
                <w:sz w:val="24"/>
              </w:rPr>
              <w:t> </w:t>
            </w:r>
            <w:r>
              <w:rPr>
                <w:sz w:val="24"/>
              </w:rPr>
              <w:t>for </w:t>
            </w:r>
            <w:r>
              <w:rPr>
                <w:spacing w:val="-2"/>
                <w:sz w:val="24"/>
              </w:rPr>
              <w:t>Disaster Management/Munic ipal/Govt. office/Home</w:t>
            </w:r>
            <w:r>
              <w:rPr>
                <w:sz w:val="24"/>
              </w:rPr>
              <w:tab/>
              <w:tab/>
            </w:r>
            <w:r>
              <w:rPr>
                <w:spacing w:val="-2"/>
                <w:sz w:val="24"/>
              </w:rPr>
              <w:t>guard station</w:t>
            </w:r>
            <w:r>
              <w:rPr>
                <w:sz w:val="24"/>
              </w:rPr>
              <w:tab/>
            </w:r>
            <w:r>
              <w:rPr>
                <w:spacing w:val="-10"/>
                <w:sz w:val="24"/>
              </w:rPr>
              <w:t>&amp;</w:t>
            </w:r>
            <w:r>
              <w:rPr>
                <w:sz w:val="24"/>
              </w:rPr>
              <w:tab/>
              <w:tab/>
            </w:r>
            <w:r>
              <w:rPr>
                <w:spacing w:val="-2"/>
                <w:sz w:val="24"/>
              </w:rPr>
              <w:t>facilities</w:t>
            </w:r>
          </w:p>
          <w:p>
            <w:pPr>
              <w:pStyle w:val="TableParagraph"/>
              <w:spacing w:line="263" w:lineRule="exact"/>
              <w:ind w:left="106"/>
              <w:rPr>
                <w:sz w:val="24"/>
              </w:rPr>
            </w:pPr>
            <w:r>
              <w:rPr>
                <w:spacing w:val="-2"/>
                <w:sz w:val="24"/>
              </w:rPr>
              <w:t>thereof</w:t>
            </w:r>
          </w:p>
        </w:tc>
        <w:tc>
          <w:tcPr>
            <w:tcW w:w="2094" w:type="dxa"/>
          </w:tcPr>
          <w:p>
            <w:pPr>
              <w:pStyle w:val="TableParagraph"/>
              <w:tabs>
                <w:tab w:pos="1251" w:val="left" w:leader="none"/>
              </w:tabs>
              <w:spacing w:before="1"/>
              <w:ind w:left="106" w:right="101"/>
              <w:rPr>
                <w:sz w:val="24"/>
              </w:rPr>
            </w:pPr>
            <w:r>
              <w:rPr>
                <w:spacing w:val="-2"/>
                <w:sz w:val="24"/>
              </w:rPr>
              <w:t>Canteen, dispensary, </w:t>
            </w:r>
            <w:r>
              <w:rPr>
                <w:spacing w:val="-4"/>
                <w:sz w:val="24"/>
              </w:rPr>
              <w:t>ATM,</w:t>
            </w:r>
            <w:r>
              <w:rPr>
                <w:sz w:val="24"/>
              </w:rPr>
              <w:tab/>
            </w:r>
            <w:r>
              <w:rPr>
                <w:spacing w:val="-2"/>
                <w:sz w:val="24"/>
              </w:rPr>
              <w:t>Public </w:t>
            </w:r>
            <w:r>
              <w:rPr>
                <w:sz w:val="24"/>
              </w:rPr>
              <w:t>toilet facilities.</w:t>
            </w:r>
          </w:p>
        </w:tc>
        <w:tc>
          <w:tcPr>
            <w:tcW w:w="1306" w:type="dxa"/>
          </w:tcPr>
          <w:p>
            <w:pPr>
              <w:pStyle w:val="TableParagraph"/>
              <w:spacing w:line="281" w:lineRule="exact" w:before="1"/>
              <w:ind w:left="180"/>
              <w:rPr>
                <w:sz w:val="24"/>
              </w:rPr>
            </w:pPr>
            <w:r>
              <w:rPr>
                <w:sz w:val="24"/>
              </w:rPr>
              <w:t>1 or </w:t>
            </w:r>
            <w:r>
              <w:rPr>
                <w:spacing w:val="-5"/>
                <w:sz w:val="24"/>
              </w:rPr>
              <w:t>3,</w:t>
            </w:r>
          </w:p>
          <w:p>
            <w:pPr>
              <w:pStyle w:val="TableParagraph"/>
              <w:spacing w:line="281" w:lineRule="exact"/>
              <w:ind w:left="180"/>
              <w:rPr>
                <w:sz w:val="24"/>
              </w:rPr>
            </w:pPr>
            <w:r>
              <w:rPr>
                <w:sz w:val="24"/>
              </w:rPr>
              <w:t>Zb</w:t>
            </w:r>
            <w:r>
              <w:rPr>
                <w:spacing w:val="-1"/>
                <w:sz w:val="24"/>
              </w:rPr>
              <w:t> </w:t>
            </w:r>
            <w:r>
              <w:rPr>
                <w:spacing w:val="-5"/>
                <w:sz w:val="24"/>
              </w:rPr>
              <w:t>=10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61"/>
              </w:numPr>
              <w:tabs>
                <w:tab w:pos="393" w:val="left" w:leader="none"/>
              </w:tabs>
              <w:spacing w:line="240" w:lineRule="auto" w:before="0" w:after="0"/>
              <w:ind w:left="393" w:right="0" w:hanging="287"/>
              <w:jc w:val="left"/>
              <w:rPr>
                <w:sz w:val="24"/>
              </w:rPr>
            </w:pPr>
            <w:r>
              <w:rPr>
                <w:spacing w:val="-4"/>
                <w:sz w:val="24"/>
              </w:rPr>
              <w:t>X=50</w:t>
            </w:r>
          </w:p>
          <w:p>
            <w:pPr>
              <w:pStyle w:val="TableParagraph"/>
              <w:numPr>
                <w:ilvl w:val="0"/>
                <w:numId w:val="61"/>
              </w:numPr>
              <w:tabs>
                <w:tab w:pos="403" w:val="left" w:leader="none"/>
              </w:tabs>
              <w:spacing w:line="240" w:lineRule="auto" w:before="2" w:after="0"/>
              <w:ind w:left="403" w:right="0" w:hanging="297"/>
              <w:jc w:val="left"/>
              <w:rPr>
                <w:sz w:val="24"/>
              </w:rPr>
            </w:pPr>
            <w:r>
              <w:rPr>
                <w:spacing w:val="-4"/>
                <w:sz w:val="24"/>
              </w:rPr>
              <w:t>Y=40</w:t>
            </w:r>
          </w:p>
        </w:tc>
      </w:tr>
      <w:tr>
        <w:trPr>
          <w:trHeight w:val="1972"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40</w:t>
            </w:r>
          </w:p>
        </w:tc>
        <w:tc>
          <w:tcPr>
            <w:tcW w:w="1349" w:type="dxa"/>
          </w:tcPr>
          <w:p>
            <w:pPr>
              <w:pStyle w:val="TableParagraph"/>
              <w:rPr>
                <w:rFonts w:ascii="Times New Roman"/>
                <w:sz w:val="22"/>
              </w:rPr>
            </w:pPr>
          </w:p>
        </w:tc>
        <w:tc>
          <w:tcPr>
            <w:tcW w:w="1057" w:type="dxa"/>
          </w:tcPr>
          <w:p>
            <w:pPr>
              <w:pStyle w:val="TableParagraph"/>
              <w:rPr>
                <w:b/>
                <w:sz w:val="24"/>
              </w:rPr>
            </w:pPr>
          </w:p>
          <w:p>
            <w:pPr>
              <w:pStyle w:val="TableParagraph"/>
              <w:spacing w:before="138"/>
              <w:rPr>
                <w:b/>
                <w:sz w:val="24"/>
              </w:rPr>
            </w:pPr>
          </w:p>
          <w:p>
            <w:pPr>
              <w:pStyle w:val="TableParagraph"/>
              <w:spacing w:before="1"/>
              <w:ind w:left="107" w:right="209"/>
              <w:rPr>
                <w:sz w:val="24"/>
              </w:rPr>
            </w:pPr>
            <w:r>
              <w:rPr>
                <w:spacing w:val="-2"/>
                <w:sz w:val="24"/>
              </w:rPr>
              <w:t>RSA1. </w:t>
            </w:r>
            <w:r>
              <w:rPr>
                <w:spacing w:val="-10"/>
                <w:sz w:val="24"/>
              </w:rPr>
              <w:t>1</w:t>
            </w:r>
          </w:p>
        </w:tc>
        <w:tc>
          <w:tcPr>
            <w:tcW w:w="1260" w:type="dxa"/>
          </w:tcPr>
          <w:p>
            <w:pPr>
              <w:pStyle w:val="TableParagraph"/>
              <w:spacing w:before="138"/>
              <w:ind w:left="106" w:right="177"/>
              <w:rPr>
                <w:sz w:val="24"/>
              </w:rPr>
            </w:pPr>
            <w:r>
              <w:rPr>
                <w:spacing w:val="-2"/>
                <w:sz w:val="24"/>
              </w:rPr>
              <w:t>Municip </w:t>
            </w:r>
            <w:r>
              <w:rPr>
                <w:spacing w:val="-6"/>
                <w:sz w:val="24"/>
              </w:rPr>
              <w:t>al </w:t>
            </w:r>
            <w:r>
              <w:rPr>
                <w:spacing w:val="-2"/>
                <w:sz w:val="24"/>
              </w:rPr>
              <w:t>Market </w:t>
            </w:r>
            <w:r>
              <w:rPr>
                <w:spacing w:val="-4"/>
                <w:sz w:val="24"/>
              </w:rPr>
              <w:t>with </w:t>
            </w:r>
            <w:r>
              <w:rPr>
                <w:spacing w:val="-2"/>
                <w:sz w:val="24"/>
              </w:rPr>
              <w:t>Vending </w:t>
            </w:r>
            <w:r>
              <w:rPr>
                <w:spacing w:val="-4"/>
                <w:sz w:val="24"/>
              </w:rPr>
              <w:t>Zone</w:t>
            </w:r>
          </w:p>
        </w:tc>
        <w:tc>
          <w:tcPr>
            <w:tcW w:w="2679" w:type="dxa"/>
          </w:tcPr>
          <w:p>
            <w:pPr>
              <w:pStyle w:val="TableParagraph"/>
              <w:tabs>
                <w:tab w:pos="2269" w:val="left" w:leader="none"/>
              </w:tabs>
              <w:ind w:left="66" w:right="80"/>
              <w:jc w:val="both"/>
              <w:rPr>
                <w:sz w:val="24"/>
              </w:rPr>
            </w:pPr>
            <w:r>
              <w:rPr>
                <w:sz w:val="24"/>
              </w:rPr>
              <w:t>Markets for </w:t>
            </w:r>
            <w:r>
              <w:rPr>
                <w:sz w:val="24"/>
              </w:rPr>
              <w:t>fruits and vegetables, Flower, Fish, weekly Markets, Organized informal Market and </w:t>
            </w:r>
            <w:r>
              <w:rPr>
                <w:spacing w:val="-2"/>
                <w:sz w:val="24"/>
              </w:rPr>
              <w:t>Shops</w:t>
            </w:r>
            <w:r>
              <w:rPr>
                <w:sz w:val="24"/>
              </w:rPr>
              <w:tab/>
            </w:r>
            <w:r>
              <w:rPr>
                <w:spacing w:val="-5"/>
                <w:sz w:val="24"/>
              </w:rPr>
              <w:t>for</w:t>
            </w:r>
          </w:p>
          <w:p>
            <w:pPr>
              <w:pStyle w:val="TableParagraph"/>
              <w:spacing w:line="263" w:lineRule="exact"/>
              <w:ind w:left="66"/>
              <w:jc w:val="both"/>
              <w:rPr>
                <w:sz w:val="24"/>
              </w:rPr>
            </w:pPr>
            <w:r>
              <w:rPr>
                <w:sz w:val="24"/>
              </w:rPr>
              <w:t>Rehabilitation</w:t>
            </w:r>
            <w:r>
              <w:rPr>
                <w:spacing w:val="47"/>
                <w:w w:val="150"/>
                <w:sz w:val="24"/>
              </w:rPr>
              <w:t>    </w:t>
            </w:r>
            <w:r>
              <w:rPr>
                <w:spacing w:val="-5"/>
                <w:sz w:val="24"/>
              </w:rPr>
              <w:t>of</w:t>
            </w:r>
          </w:p>
        </w:tc>
        <w:tc>
          <w:tcPr>
            <w:tcW w:w="2094" w:type="dxa"/>
          </w:tcPr>
          <w:p>
            <w:pPr>
              <w:pStyle w:val="TableParagraph"/>
              <w:tabs>
                <w:tab w:pos="1119" w:val="left" w:leader="none"/>
                <w:tab w:pos="1307" w:val="left" w:leader="none"/>
              </w:tabs>
              <w:ind w:left="106" w:right="97"/>
              <w:rPr>
                <w:sz w:val="24"/>
              </w:rPr>
            </w:pPr>
            <w:r>
              <w:rPr>
                <w:spacing w:val="-2"/>
                <w:sz w:val="24"/>
              </w:rPr>
              <w:t>Municipal</w:t>
            </w:r>
            <w:r>
              <w:rPr>
                <w:spacing w:val="40"/>
                <w:sz w:val="24"/>
              </w:rPr>
              <w:t> </w:t>
            </w:r>
            <w:r>
              <w:rPr>
                <w:spacing w:val="-2"/>
                <w:sz w:val="24"/>
              </w:rPr>
              <w:t>office,</w:t>
            </w:r>
            <w:r>
              <w:rPr>
                <w:sz w:val="24"/>
              </w:rPr>
              <w:tab/>
              <w:tab/>
            </w:r>
            <w:r>
              <w:rPr>
                <w:spacing w:val="-2"/>
                <w:sz w:val="24"/>
              </w:rPr>
              <w:t>Police </w:t>
            </w:r>
            <w:r>
              <w:rPr>
                <w:sz w:val="24"/>
              </w:rPr>
              <w:t>chowky, Drama theatre,</w:t>
            </w:r>
            <w:r>
              <w:rPr>
                <w:spacing w:val="-20"/>
                <w:sz w:val="24"/>
              </w:rPr>
              <w:t> </w:t>
            </w:r>
            <w:r>
              <w:rPr>
                <w:sz w:val="24"/>
              </w:rPr>
              <w:t>reading </w:t>
            </w:r>
            <w:r>
              <w:rPr>
                <w:spacing w:val="-2"/>
                <w:sz w:val="24"/>
              </w:rPr>
              <w:t>rooms,</w:t>
            </w:r>
            <w:r>
              <w:rPr>
                <w:sz w:val="24"/>
              </w:rPr>
              <w:tab/>
            </w:r>
            <w:r>
              <w:rPr>
                <w:spacing w:val="-2"/>
                <w:sz w:val="24"/>
              </w:rPr>
              <w:t>Branch </w:t>
            </w:r>
            <w:r>
              <w:rPr>
                <w:sz w:val="24"/>
              </w:rPr>
              <w:t>of</w:t>
            </w:r>
            <w:r>
              <w:rPr>
                <w:spacing w:val="9"/>
                <w:sz w:val="24"/>
              </w:rPr>
              <w:t> </w:t>
            </w:r>
            <w:r>
              <w:rPr>
                <w:sz w:val="24"/>
              </w:rPr>
              <w:t>Bank,</w:t>
            </w:r>
            <w:r>
              <w:rPr>
                <w:spacing w:val="11"/>
                <w:sz w:val="24"/>
              </w:rPr>
              <w:t> </w:t>
            </w:r>
            <w:r>
              <w:rPr>
                <w:spacing w:val="-2"/>
                <w:sz w:val="24"/>
              </w:rPr>
              <w:t>Refuse</w:t>
            </w:r>
          </w:p>
          <w:p>
            <w:pPr>
              <w:pStyle w:val="TableParagraph"/>
              <w:tabs>
                <w:tab w:pos="1254" w:val="left" w:leader="none"/>
              </w:tabs>
              <w:spacing w:line="263" w:lineRule="exact"/>
              <w:ind w:left="106"/>
              <w:rPr>
                <w:sz w:val="24"/>
              </w:rPr>
            </w:pPr>
            <w:r>
              <w:rPr>
                <w:spacing w:val="-4"/>
                <w:sz w:val="24"/>
              </w:rPr>
              <w:t>shed,</w:t>
            </w:r>
            <w:r>
              <w:rPr>
                <w:sz w:val="24"/>
              </w:rPr>
              <w:tab/>
            </w:r>
            <w:r>
              <w:rPr>
                <w:spacing w:val="-2"/>
                <w:sz w:val="24"/>
              </w:rPr>
              <w:t>Public</w:t>
            </w:r>
          </w:p>
        </w:tc>
        <w:tc>
          <w:tcPr>
            <w:tcW w:w="1306" w:type="dxa"/>
          </w:tcPr>
          <w:p>
            <w:pPr>
              <w:pStyle w:val="TableParagraph"/>
              <w:spacing w:line="280" w:lineRule="exact"/>
              <w:ind w:left="180"/>
              <w:rPr>
                <w:sz w:val="24"/>
              </w:rPr>
            </w:pPr>
            <w:r>
              <w:rPr>
                <w:sz w:val="24"/>
              </w:rPr>
              <w:t>1 or </w:t>
            </w:r>
            <w:r>
              <w:rPr>
                <w:spacing w:val="-5"/>
                <w:sz w:val="24"/>
              </w:rPr>
              <w:t>3.</w:t>
            </w:r>
          </w:p>
          <w:p>
            <w:pPr>
              <w:pStyle w:val="TableParagraph"/>
              <w:spacing w:line="281" w:lineRule="exact"/>
              <w:ind w:left="180"/>
              <w:rPr>
                <w:sz w:val="24"/>
              </w:rPr>
            </w:pPr>
            <w:r>
              <w:rPr>
                <w:sz w:val="24"/>
              </w:rPr>
              <w:t>Zb</w:t>
            </w:r>
            <w:r>
              <w:rPr>
                <w:spacing w:val="-1"/>
                <w:sz w:val="24"/>
              </w:rPr>
              <w:t> </w:t>
            </w:r>
            <w:r>
              <w:rPr>
                <w:spacing w:val="-4"/>
                <w:sz w:val="24"/>
              </w:rPr>
              <w:t>=30.</w:t>
            </w:r>
          </w:p>
          <w:p>
            <w:pPr>
              <w:pStyle w:val="TableParagraph"/>
              <w:spacing w:before="1"/>
              <w:ind w:left="106" w:right="278"/>
              <w:rPr>
                <w:sz w:val="24"/>
              </w:rPr>
            </w:pPr>
            <w:r>
              <w:rPr>
                <w:sz w:val="24"/>
              </w:rPr>
              <w:t>In</w:t>
            </w:r>
            <w:r>
              <w:rPr>
                <w:spacing w:val="-20"/>
                <w:sz w:val="24"/>
              </w:rPr>
              <w:t> </w:t>
            </w:r>
            <w:r>
              <w:rPr>
                <w:sz w:val="24"/>
              </w:rPr>
              <w:t>case of 3,</w:t>
            </w:r>
          </w:p>
          <w:p>
            <w:pPr>
              <w:pStyle w:val="TableParagraph"/>
              <w:numPr>
                <w:ilvl w:val="0"/>
                <w:numId w:val="62"/>
              </w:numPr>
              <w:tabs>
                <w:tab w:pos="543" w:val="left" w:leader="none"/>
              </w:tabs>
              <w:spacing w:line="240" w:lineRule="auto" w:before="0" w:after="0"/>
              <w:ind w:left="180" w:right="355" w:firstLine="76"/>
              <w:jc w:val="left"/>
              <w:rPr>
                <w:sz w:val="24"/>
              </w:rPr>
            </w:pPr>
            <w:r>
              <w:rPr>
                <w:sz w:val="24"/>
              </w:rPr>
              <w:t>X</w:t>
            </w:r>
            <w:r>
              <w:rPr>
                <w:spacing w:val="-20"/>
                <w:sz w:val="24"/>
              </w:rPr>
              <w:t> </w:t>
            </w:r>
            <w:r>
              <w:rPr>
                <w:sz w:val="24"/>
              </w:rPr>
              <w:t>= </w:t>
            </w:r>
            <w:r>
              <w:rPr>
                <w:spacing w:val="-6"/>
                <w:sz w:val="24"/>
              </w:rPr>
              <w:t>50</w:t>
            </w:r>
          </w:p>
          <w:p>
            <w:pPr>
              <w:pStyle w:val="TableParagraph"/>
              <w:numPr>
                <w:ilvl w:val="0"/>
                <w:numId w:val="62"/>
              </w:numPr>
              <w:tabs>
                <w:tab w:pos="556" w:val="left" w:leader="none"/>
              </w:tabs>
              <w:spacing w:line="264" w:lineRule="exact" w:before="0" w:after="0"/>
              <w:ind w:left="556" w:right="0" w:hanging="297"/>
              <w:jc w:val="left"/>
              <w:rPr>
                <w:sz w:val="24"/>
              </w:rPr>
            </w:pPr>
            <w:r>
              <w:rPr>
                <w:sz w:val="24"/>
              </w:rPr>
              <w:t>Y</w:t>
            </w:r>
            <w:r>
              <w:rPr>
                <w:spacing w:val="-3"/>
                <w:sz w:val="24"/>
              </w:rPr>
              <w:t> </w:t>
            </w:r>
            <w:r>
              <w:rPr>
                <w:spacing w:val="-12"/>
                <w:sz w:val="24"/>
              </w:rPr>
              <w:t>=</w:t>
            </w:r>
          </w:p>
        </w:tc>
      </w:tr>
    </w:tbl>
    <w:p>
      <w:pPr>
        <w:pStyle w:val="TableParagraph"/>
        <w:spacing w:after="0" w:line="264" w:lineRule="exact"/>
        <w:jc w:val="left"/>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1127" w:hRule="atLeast"/>
        </w:trPr>
        <w:tc>
          <w:tcPr>
            <w:tcW w:w="560" w:type="dxa"/>
          </w:tcPr>
          <w:p>
            <w:pPr>
              <w:pStyle w:val="TableParagraph"/>
              <w:rPr>
                <w:rFonts w:ascii="Times New Roman"/>
                <w:sz w:val="22"/>
              </w:rPr>
            </w:pPr>
          </w:p>
        </w:tc>
        <w:tc>
          <w:tcPr>
            <w:tcW w:w="1349"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81"/>
              <w:rPr>
                <w:b/>
                <w:sz w:val="24"/>
              </w:rPr>
            </w:pPr>
          </w:p>
          <w:p>
            <w:pPr>
              <w:pStyle w:val="TableParagraph"/>
              <w:ind w:left="105" w:right="198"/>
              <w:rPr>
                <w:sz w:val="24"/>
              </w:rPr>
            </w:pPr>
            <w:r>
              <w:rPr>
                <w:spacing w:val="-2"/>
                <w:sz w:val="24"/>
              </w:rPr>
              <w:t>Social Amenitie </w:t>
            </w:r>
            <w:r>
              <w:rPr>
                <w:spacing w:val="-10"/>
                <w:sz w:val="24"/>
              </w:rPr>
              <w:t>s</w:t>
            </w: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tabs>
                <w:tab w:pos="1078" w:val="left" w:leader="none"/>
                <w:tab w:pos="1602" w:val="left" w:leader="none"/>
              </w:tabs>
              <w:ind w:left="66" w:right="80"/>
              <w:rPr>
                <w:sz w:val="24"/>
              </w:rPr>
            </w:pPr>
            <w:r>
              <w:rPr>
                <w:spacing w:val="-2"/>
                <w:sz w:val="24"/>
              </w:rPr>
              <w:t>PAP's</w:t>
            </w:r>
            <w:r>
              <w:rPr>
                <w:sz w:val="24"/>
              </w:rPr>
              <w:tab/>
            </w:r>
            <w:r>
              <w:rPr>
                <w:spacing w:val="-6"/>
                <w:sz w:val="24"/>
              </w:rPr>
              <w:t>if</w:t>
            </w:r>
            <w:r>
              <w:rPr>
                <w:sz w:val="24"/>
              </w:rPr>
              <w:tab/>
            </w:r>
            <w:r>
              <w:rPr>
                <w:spacing w:val="-2"/>
                <w:sz w:val="24"/>
              </w:rPr>
              <w:t>required (Min.15%vendingare</w:t>
            </w:r>
          </w:p>
          <w:p>
            <w:pPr>
              <w:pStyle w:val="TableParagraph"/>
              <w:spacing w:line="280" w:lineRule="exact"/>
              <w:ind w:left="66"/>
              <w:rPr>
                <w:sz w:val="24"/>
              </w:rPr>
            </w:pPr>
            <w:r>
              <w:rPr>
                <w:sz w:val="24"/>
              </w:rPr>
              <w:t>a</w:t>
            </w:r>
            <w:r>
              <w:rPr>
                <w:spacing w:val="40"/>
                <w:sz w:val="24"/>
              </w:rPr>
              <w:t> </w:t>
            </w:r>
            <w:r>
              <w:rPr>
                <w:sz w:val="24"/>
              </w:rPr>
              <w:t>of</w:t>
            </w:r>
            <w:r>
              <w:rPr>
                <w:spacing w:val="40"/>
                <w:sz w:val="24"/>
              </w:rPr>
              <w:t> </w:t>
            </w:r>
            <w:r>
              <w:rPr>
                <w:sz w:val="24"/>
              </w:rPr>
              <w:t>which</w:t>
            </w:r>
            <w:r>
              <w:rPr>
                <w:spacing w:val="40"/>
                <w:sz w:val="24"/>
              </w:rPr>
              <w:t> </w:t>
            </w:r>
            <w:r>
              <w:rPr>
                <w:sz w:val="24"/>
              </w:rPr>
              <w:t>50%</w:t>
            </w:r>
            <w:r>
              <w:rPr>
                <w:spacing w:val="40"/>
                <w:sz w:val="24"/>
              </w:rPr>
              <w:t> </w:t>
            </w:r>
            <w:r>
              <w:rPr>
                <w:sz w:val="24"/>
              </w:rPr>
              <w:t>for </w:t>
            </w:r>
            <w:r>
              <w:rPr>
                <w:spacing w:val="-2"/>
                <w:sz w:val="24"/>
              </w:rPr>
              <w:t>women)</w:t>
            </w:r>
          </w:p>
        </w:tc>
        <w:tc>
          <w:tcPr>
            <w:tcW w:w="2094" w:type="dxa"/>
          </w:tcPr>
          <w:p>
            <w:pPr>
              <w:pStyle w:val="TableParagraph"/>
              <w:spacing w:line="281" w:lineRule="exact"/>
              <w:ind w:left="106"/>
              <w:rPr>
                <w:sz w:val="24"/>
              </w:rPr>
            </w:pPr>
            <w:r>
              <w:rPr>
                <w:sz w:val="24"/>
              </w:rPr>
              <w:t>toilet </w:t>
            </w:r>
            <w:r>
              <w:rPr>
                <w:spacing w:val="-2"/>
                <w:sz w:val="24"/>
              </w:rPr>
              <w:t>facilities.</w:t>
            </w:r>
          </w:p>
        </w:tc>
        <w:tc>
          <w:tcPr>
            <w:tcW w:w="1306" w:type="dxa"/>
          </w:tcPr>
          <w:p>
            <w:pPr>
              <w:pStyle w:val="TableParagraph"/>
              <w:spacing w:line="281" w:lineRule="exact"/>
              <w:ind w:left="106"/>
              <w:rPr>
                <w:sz w:val="24"/>
              </w:rPr>
            </w:pPr>
            <w:r>
              <w:rPr>
                <w:spacing w:val="-5"/>
                <w:sz w:val="24"/>
              </w:rPr>
              <w:t>50</w:t>
            </w:r>
          </w:p>
        </w:tc>
      </w:tr>
      <w:tr>
        <w:trPr>
          <w:trHeight w:val="2534" w:hRule="atLeast"/>
        </w:trPr>
        <w:tc>
          <w:tcPr>
            <w:tcW w:w="560" w:type="dxa"/>
          </w:tcPr>
          <w:p>
            <w:pPr>
              <w:pStyle w:val="TableParagraph"/>
              <w:spacing w:before="279"/>
              <w:rPr>
                <w:b/>
                <w:sz w:val="24"/>
              </w:rPr>
            </w:pPr>
          </w:p>
          <w:p>
            <w:pPr>
              <w:pStyle w:val="TableParagraph"/>
              <w:ind w:left="6" w:right="40"/>
              <w:jc w:val="center"/>
              <w:rPr>
                <w:sz w:val="24"/>
              </w:rPr>
            </w:pPr>
            <w:r>
              <w:rPr>
                <w:spacing w:val="-5"/>
                <w:sz w:val="24"/>
              </w:rPr>
              <w:t>41</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rPr>
                <w:b/>
                <w:sz w:val="24"/>
              </w:rPr>
            </w:pPr>
          </w:p>
          <w:p>
            <w:pPr>
              <w:pStyle w:val="TableParagraph"/>
              <w:spacing w:before="140"/>
              <w:rPr>
                <w:b/>
                <w:sz w:val="24"/>
              </w:rPr>
            </w:pPr>
          </w:p>
          <w:p>
            <w:pPr>
              <w:pStyle w:val="TableParagraph"/>
              <w:spacing w:before="1"/>
              <w:ind w:left="107" w:right="209"/>
              <w:rPr>
                <w:sz w:val="24"/>
              </w:rPr>
            </w:pPr>
            <w:r>
              <w:rPr>
                <w:spacing w:val="-2"/>
                <w:sz w:val="24"/>
              </w:rPr>
              <w:t>RSA1. </w:t>
            </w:r>
            <w:r>
              <w:rPr>
                <w:spacing w:val="-10"/>
                <w:sz w:val="24"/>
              </w:rPr>
              <w:t>2</w:t>
            </w:r>
          </w:p>
        </w:tc>
        <w:tc>
          <w:tcPr>
            <w:tcW w:w="1260" w:type="dxa"/>
          </w:tcPr>
          <w:p>
            <w:pPr>
              <w:pStyle w:val="TableParagraph"/>
              <w:spacing w:before="279"/>
              <w:rPr>
                <w:b/>
                <w:sz w:val="24"/>
              </w:rPr>
            </w:pPr>
          </w:p>
          <w:p>
            <w:pPr>
              <w:pStyle w:val="TableParagraph"/>
              <w:ind w:left="106" w:right="177"/>
              <w:rPr>
                <w:sz w:val="24"/>
              </w:rPr>
            </w:pPr>
            <w:r>
              <w:rPr>
                <w:spacing w:val="-2"/>
                <w:sz w:val="24"/>
              </w:rPr>
              <w:t>Retail Market </w:t>
            </w:r>
            <w:r>
              <w:rPr>
                <w:spacing w:val="-4"/>
                <w:sz w:val="24"/>
              </w:rPr>
              <w:t>with </w:t>
            </w:r>
            <w:r>
              <w:rPr>
                <w:spacing w:val="-2"/>
                <w:sz w:val="24"/>
              </w:rPr>
              <w:t>Vending </w:t>
            </w:r>
            <w:r>
              <w:rPr>
                <w:spacing w:val="-4"/>
                <w:sz w:val="24"/>
              </w:rPr>
              <w:t>Zone</w:t>
            </w:r>
          </w:p>
        </w:tc>
        <w:tc>
          <w:tcPr>
            <w:tcW w:w="2679" w:type="dxa"/>
          </w:tcPr>
          <w:p>
            <w:pPr>
              <w:pStyle w:val="TableParagraph"/>
              <w:tabs>
                <w:tab w:pos="2250" w:val="left" w:leader="none"/>
              </w:tabs>
              <w:ind w:left="106" w:right="98"/>
              <w:jc w:val="both"/>
              <w:rPr>
                <w:sz w:val="24"/>
              </w:rPr>
            </w:pPr>
            <w:r>
              <w:rPr>
                <w:sz w:val="24"/>
              </w:rPr>
              <w:t>Markets for </w:t>
            </w:r>
            <w:r>
              <w:rPr>
                <w:sz w:val="24"/>
              </w:rPr>
              <w:t>Fruits and vegetables, Flower, Fish and </w:t>
            </w:r>
            <w:r>
              <w:rPr>
                <w:spacing w:val="-2"/>
                <w:sz w:val="24"/>
              </w:rPr>
              <w:t>Shops</w:t>
            </w:r>
            <w:r>
              <w:rPr>
                <w:sz w:val="24"/>
              </w:rPr>
              <w:tab/>
            </w:r>
            <w:r>
              <w:rPr>
                <w:spacing w:val="-5"/>
                <w:sz w:val="24"/>
              </w:rPr>
              <w:t>for</w:t>
            </w:r>
          </w:p>
          <w:p>
            <w:pPr>
              <w:pStyle w:val="TableParagraph"/>
              <w:ind w:left="106" w:right="98"/>
              <w:jc w:val="both"/>
              <w:rPr>
                <w:sz w:val="24"/>
              </w:rPr>
            </w:pPr>
            <w:r>
              <w:rPr>
                <w:sz w:val="24"/>
              </w:rPr>
              <w:t>Rehabilitation of PAP's if </w:t>
            </w:r>
            <w:r>
              <w:rPr>
                <w:sz w:val="24"/>
              </w:rPr>
              <w:t>required (Min. 15% vending area</w:t>
            </w:r>
            <w:r>
              <w:rPr>
                <w:spacing w:val="56"/>
                <w:w w:val="150"/>
                <w:sz w:val="24"/>
              </w:rPr>
              <w:t> </w:t>
            </w:r>
            <w:r>
              <w:rPr>
                <w:sz w:val="24"/>
              </w:rPr>
              <w:t>of</w:t>
            </w:r>
            <w:r>
              <w:rPr>
                <w:spacing w:val="56"/>
                <w:w w:val="150"/>
                <w:sz w:val="24"/>
              </w:rPr>
              <w:t> </w:t>
            </w:r>
            <w:r>
              <w:rPr>
                <w:sz w:val="24"/>
              </w:rPr>
              <w:t>which</w:t>
            </w:r>
            <w:r>
              <w:rPr>
                <w:spacing w:val="56"/>
                <w:w w:val="150"/>
                <w:sz w:val="24"/>
              </w:rPr>
              <w:t> </w:t>
            </w:r>
            <w:r>
              <w:rPr>
                <w:spacing w:val="-5"/>
                <w:sz w:val="24"/>
              </w:rPr>
              <w:t>50%</w:t>
            </w:r>
          </w:p>
          <w:p>
            <w:pPr>
              <w:pStyle w:val="TableParagraph"/>
              <w:spacing w:line="261" w:lineRule="exact"/>
              <w:ind w:left="106"/>
              <w:jc w:val="both"/>
              <w:rPr>
                <w:sz w:val="24"/>
              </w:rPr>
            </w:pPr>
            <w:r>
              <w:rPr>
                <w:sz w:val="24"/>
              </w:rPr>
              <w:t>for </w:t>
            </w:r>
            <w:r>
              <w:rPr>
                <w:spacing w:val="-2"/>
                <w:sz w:val="24"/>
              </w:rPr>
              <w:t>women)</w:t>
            </w:r>
          </w:p>
        </w:tc>
        <w:tc>
          <w:tcPr>
            <w:tcW w:w="2094" w:type="dxa"/>
          </w:tcPr>
          <w:p>
            <w:pPr>
              <w:pStyle w:val="TableParagraph"/>
              <w:tabs>
                <w:tab w:pos="1119" w:val="left" w:leader="none"/>
              </w:tabs>
              <w:ind w:left="106" w:right="98" w:firstLine="76"/>
              <w:rPr>
                <w:sz w:val="24"/>
              </w:rPr>
            </w:pPr>
            <w:r>
              <w:rPr>
                <w:spacing w:val="-2"/>
                <w:sz w:val="24"/>
              </w:rPr>
              <w:t>Reading</w:t>
            </w:r>
            <w:r>
              <w:rPr>
                <w:spacing w:val="80"/>
                <w:sz w:val="24"/>
              </w:rPr>
              <w:t> </w:t>
            </w:r>
            <w:r>
              <w:rPr>
                <w:spacing w:val="-2"/>
                <w:sz w:val="24"/>
              </w:rPr>
              <w:t>rooms,</w:t>
            </w:r>
            <w:r>
              <w:rPr>
                <w:sz w:val="24"/>
              </w:rPr>
              <w:tab/>
            </w:r>
            <w:r>
              <w:rPr>
                <w:spacing w:val="-2"/>
                <w:sz w:val="24"/>
              </w:rPr>
              <w:t>Branch </w:t>
            </w:r>
            <w:r>
              <w:rPr>
                <w:sz w:val="24"/>
              </w:rPr>
              <w:t>of Bank, Public toilet facilities</w:t>
            </w:r>
          </w:p>
        </w:tc>
        <w:tc>
          <w:tcPr>
            <w:tcW w:w="1306" w:type="dxa"/>
          </w:tcPr>
          <w:p>
            <w:pPr>
              <w:pStyle w:val="TableParagraph"/>
              <w:spacing w:line="280" w:lineRule="exact"/>
              <w:ind w:left="180"/>
              <w:rPr>
                <w:sz w:val="24"/>
              </w:rPr>
            </w:pPr>
            <w:r>
              <w:rPr>
                <w:sz w:val="24"/>
              </w:rPr>
              <w:t>1 or 2 </w:t>
            </w:r>
            <w:r>
              <w:rPr>
                <w:spacing w:val="-5"/>
                <w:sz w:val="24"/>
              </w:rPr>
              <w:t>or</w:t>
            </w:r>
          </w:p>
          <w:p>
            <w:pPr>
              <w:pStyle w:val="TableParagraph"/>
              <w:spacing w:line="281" w:lineRule="exact"/>
              <w:ind w:left="180"/>
              <w:rPr>
                <w:sz w:val="24"/>
              </w:rPr>
            </w:pPr>
            <w:r>
              <w:rPr>
                <w:spacing w:val="-5"/>
                <w:sz w:val="24"/>
              </w:rPr>
              <w:t>3.</w:t>
            </w:r>
          </w:p>
          <w:p>
            <w:pPr>
              <w:pStyle w:val="TableParagraph"/>
              <w:ind w:left="180"/>
              <w:rPr>
                <w:sz w:val="24"/>
              </w:rPr>
            </w:pPr>
            <w:r>
              <w:rPr>
                <w:sz w:val="24"/>
              </w:rPr>
              <w:t>Zb</w:t>
            </w:r>
            <w:r>
              <w:rPr>
                <w:spacing w:val="-1"/>
                <w:sz w:val="24"/>
              </w:rPr>
              <w:t> </w:t>
            </w:r>
            <w:r>
              <w:rPr>
                <w:spacing w:val="-4"/>
                <w:sz w:val="24"/>
              </w:rPr>
              <w:t>=20.</w:t>
            </w:r>
          </w:p>
          <w:p>
            <w:pPr>
              <w:pStyle w:val="TableParagraph"/>
              <w:spacing w:before="1"/>
              <w:ind w:left="106" w:right="278"/>
              <w:rPr>
                <w:sz w:val="24"/>
              </w:rPr>
            </w:pPr>
            <w:r>
              <w:rPr>
                <w:sz w:val="24"/>
              </w:rPr>
              <w:t>In</w:t>
            </w:r>
            <w:r>
              <w:rPr>
                <w:spacing w:val="-20"/>
                <w:sz w:val="24"/>
              </w:rPr>
              <w:t> </w:t>
            </w:r>
            <w:r>
              <w:rPr>
                <w:sz w:val="24"/>
              </w:rPr>
              <w:t>case of 3,</w:t>
            </w:r>
          </w:p>
          <w:p>
            <w:pPr>
              <w:pStyle w:val="TableParagraph"/>
              <w:numPr>
                <w:ilvl w:val="0"/>
                <w:numId w:val="63"/>
              </w:numPr>
              <w:tabs>
                <w:tab w:pos="543" w:val="left" w:leader="none"/>
              </w:tabs>
              <w:spacing w:line="240" w:lineRule="auto" w:before="1" w:after="0"/>
              <w:ind w:left="180" w:right="355" w:firstLine="76"/>
              <w:jc w:val="left"/>
              <w:rPr>
                <w:sz w:val="24"/>
              </w:rPr>
            </w:pPr>
            <w:r>
              <w:rPr>
                <w:sz w:val="24"/>
              </w:rPr>
              <w:t>X</w:t>
            </w:r>
            <w:r>
              <w:rPr>
                <w:spacing w:val="-20"/>
                <w:sz w:val="24"/>
              </w:rPr>
              <w:t> </w:t>
            </w:r>
            <w:r>
              <w:rPr>
                <w:sz w:val="24"/>
              </w:rPr>
              <w:t>= </w:t>
            </w:r>
            <w:r>
              <w:rPr>
                <w:spacing w:val="-6"/>
                <w:sz w:val="24"/>
              </w:rPr>
              <w:t>50</w:t>
            </w:r>
          </w:p>
          <w:p>
            <w:pPr>
              <w:pStyle w:val="TableParagraph"/>
              <w:numPr>
                <w:ilvl w:val="0"/>
                <w:numId w:val="63"/>
              </w:numPr>
              <w:tabs>
                <w:tab w:pos="633" w:val="left" w:leader="none"/>
              </w:tabs>
              <w:spacing w:line="280" w:lineRule="exact" w:before="0" w:after="0"/>
              <w:ind w:left="633" w:right="0" w:hanging="297"/>
              <w:jc w:val="left"/>
              <w:rPr>
                <w:sz w:val="24"/>
              </w:rPr>
            </w:pPr>
            <w:r>
              <w:rPr>
                <w:sz w:val="24"/>
              </w:rPr>
              <w:t>Y</w:t>
            </w:r>
            <w:r>
              <w:rPr>
                <w:spacing w:val="-3"/>
                <w:sz w:val="24"/>
              </w:rPr>
              <w:t> </w:t>
            </w:r>
            <w:r>
              <w:rPr>
                <w:spacing w:val="-12"/>
                <w:sz w:val="24"/>
              </w:rPr>
              <w:t>=</w:t>
            </w:r>
          </w:p>
          <w:p>
            <w:pPr>
              <w:pStyle w:val="TableParagraph"/>
              <w:spacing w:line="261" w:lineRule="exact" w:before="1"/>
              <w:ind w:left="106"/>
              <w:rPr>
                <w:sz w:val="24"/>
              </w:rPr>
            </w:pPr>
            <w:r>
              <w:rPr>
                <w:spacing w:val="-5"/>
                <w:sz w:val="24"/>
              </w:rPr>
              <w:t>50</w:t>
            </w:r>
          </w:p>
        </w:tc>
      </w:tr>
      <w:tr>
        <w:trPr>
          <w:trHeight w:val="2253"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42</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spacing w:before="280"/>
              <w:rPr>
                <w:b/>
                <w:sz w:val="24"/>
              </w:rPr>
            </w:pPr>
          </w:p>
          <w:p>
            <w:pPr>
              <w:pStyle w:val="TableParagraph"/>
              <w:ind w:left="107" w:right="209"/>
              <w:rPr>
                <w:sz w:val="24"/>
              </w:rPr>
            </w:pPr>
            <w:r>
              <w:rPr>
                <w:spacing w:val="-2"/>
                <w:sz w:val="24"/>
              </w:rPr>
              <w:t>RSA2. </w:t>
            </w:r>
            <w:r>
              <w:rPr>
                <w:spacing w:val="-10"/>
                <w:sz w:val="24"/>
              </w:rPr>
              <w:t>1</w:t>
            </w:r>
          </w:p>
        </w:tc>
        <w:tc>
          <w:tcPr>
            <w:tcW w:w="1260" w:type="dxa"/>
          </w:tcPr>
          <w:p>
            <w:pPr>
              <w:pStyle w:val="TableParagraph"/>
              <w:spacing w:before="281"/>
              <w:rPr>
                <w:b/>
                <w:sz w:val="24"/>
              </w:rPr>
            </w:pPr>
          </w:p>
          <w:p>
            <w:pPr>
              <w:pStyle w:val="TableParagraph"/>
              <w:ind w:left="18" w:right="-29"/>
              <w:rPr>
                <w:sz w:val="24"/>
              </w:rPr>
            </w:pPr>
            <w:r>
              <w:rPr>
                <w:spacing w:val="-2"/>
                <w:sz w:val="24"/>
              </w:rPr>
              <w:t>Multi- Purpose Communit </w:t>
            </w:r>
            <w:r>
              <w:rPr>
                <w:sz w:val="24"/>
              </w:rPr>
              <w:t>y Centre</w:t>
            </w:r>
          </w:p>
        </w:tc>
        <w:tc>
          <w:tcPr>
            <w:tcW w:w="2679" w:type="dxa"/>
          </w:tcPr>
          <w:p>
            <w:pPr>
              <w:pStyle w:val="TableParagraph"/>
              <w:ind w:left="66" w:right="99"/>
              <w:jc w:val="both"/>
              <w:rPr>
                <w:sz w:val="24"/>
              </w:rPr>
            </w:pPr>
            <w:r>
              <w:rPr>
                <w:sz w:val="24"/>
              </w:rPr>
              <w:t>Community </w:t>
            </w:r>
            <w:r>
              <w:rPr>
                <w:sz w:val="24"/>
              </w:rPr>
              <w:t>Centre, Student Hostel, Dormitories, Library, reading Rooms, Study Rooms for Students,</w:t>
            </w:r>
            <w:r>
              <w:rPr>
                <w:spacing w:val="43"/>
                <w:w w:val="150"/>
                <w:sz w:val="24"/>
              </w:rPr>
              <w:t>    </w:t>
            </w:r>
            <w:r>
              <w:rPr>
                <w:spacing w:val="-2"/>
                <w:sz w:val="24"/>
              </w:rPr>
              <w:t>Public</w:t>
            </w:r>
          </w:p>
          <w:p>
            <w:pPr>
              <w:pStyle w:val="TableParagraph"/>
              <w:spacing w:line="280" w:lineRule="exact"/>
              <w:ind w:left="66" w:right="100"/>
              <w:jc w:val="both"/>
              <w:rPr>
                <w:sz w:val="24"/>
              </w:rPr>
            </w:pPr>
            <w:r>
              <w:rPr>
                <w:sz w:val="24"/>
              </w:rPr>
              <w:t>toilets, </w:t>
            </w:r>
            <w:r>
              <w:rPr>
                <w:sz w:val="24"/>
              </w:rPr>
              <w:t>Community hall, exhibition hall</w:t>
            </w:r>
          </w:p>
        </w:tc>
        <w:tc>
          <w:tcPr>
            <w:tcW w:w="2094" w:type="dxa"/>
          </w:tcPr>
          <w:p>
            <w:pPr>
              <w:pStyle w:val="TableParagraph"/>
              <w:tabs>
                <w:tab w:pos="1539" w:val="left" w:leader="none"/>
              </w:tabs>
              <w:spacing w:line="281" w:lineRule="exact"/>
              <w:ind w:left="166"/>
              <w:rPr>
                <w:sz w:val="24"/>
              </w:rPr>
            </w:pPr>
            <w:r>
              <w:rPr>
                <w:spacing w:val="-5"/>
                <w:sz w:val="24"/>
              </w:rPr>
              <w:t>Art</w:t>
            </w:r>
            <w:r>
              <w:rPr>
                <w:sz w:val="24"/>
              </w:rPr>
              <w:tab/>
            </w:r>
            <w:r>
              <w:rPr>
                <w:spacing w:val="-5"/>
                <w:sz w:val="24"/>
              </w:rPr>
              <w:t>and</w:t>
            </w:r>
          </w:p>
          <w:p>
            <w:pPr>
              <w:pStyle w:val="TableParagraph"/>
              <w:tabs>
                <w:tab w:pos="967" w:val="left" w:leader="none"/>
                <w:tab w:pos="1160" w:val="left" w:leader="none"/>
              </w:tabs>
              <w:spacing w:before="1"/>
              <w:ind w:left="89" w:right="95"/>
              <w:rPr>
                <w:sz w:val="24"/>
              </w:rPr>
            </w:pPr>
            <w:r>
              <w:rPr>
                <w:sz w:val="24"/>
              </w:rPr>
              <w:t>cultural</w:t>
            </w:r>
            <w:r>
              <w:rPr>
                <w:spacing w:val="40"/>
                <w:sz w:val="24"/>
              </w:rPr>
              <w:t> </w:t>
            </w:r>
            <w:r>
              <w:rPr>
                <w:sz w:val="24"/>
              </w:rPr>
              <w:t>related </w:t>
            </w:r>
            <w:r>
              <w:rPr>
                <w:spacing w:val="-2"/>
                <w:sz w:val="24"/>
              </w:rPr>
              <w:t>users,</w:t>
            </w:r>
            <w:r>
              <w:rPr>
                <w:sz w:val="24"/>
              </w:rPr>
              <w:tab/>
              <w:tab/>
            </w:r>
            <w:r>
              <w:rPr>
                <w:spacing w:val="-2"/>
                <w:sz w:val="24"/>
              </w:rPr>
              <w:t>Banks, Restaurants,</w:t>
            </w:r>
            <w:r>
              <w:rPr>
                <w:spacing w:val="40"/>
                <w:sz w:val="24"/>
              </w:rPr>
              <w:t> </w:t>
            </w:r>
            <w:r>
              <w:rPr>
                <w:spacing w:val="-4"/>
                <w:sz w:val="24"/>
              </w:rPr>
              <w:t>bill</w:t>
            </w:r>
            <w:r>
              <w:rPr>
                <w:sz w:val="24"/>
              </w:rPr>
              <w:tab/>
            </w:r>
            <w:r>
              <w:rPr>
                <w:spacing w:val="-2"/>
                <w:sz w:val="24"/>
              </w:rPr>
              <w:t>payment kiosk,</w:t>
            </w:r>
            <w:r>
              <w:rPr>
                <w:sz w:val="24"/>
              </w:rPr>
              <w:tab/>
              <w:tab/>
            </w:r>
            <w:r>
              <w:rPr>
                <w:spacing w:val="-63"/>
                <w:sz w:val="24"/>
              </w:rPr>
              <w:t> </w:t>
            </w:r>
            <w:r>
              <w:rPr>
                <w:spacing w:val="-2"/>
                <w:sz w:val="24"/>
              </w:rPr>
              <w:t>Citizen Facilitation</w:t>
            </w:r>
          </w:p>
          <w:p>
            <w:pPr>
              <w:pStyle w:val="TableParagraph"/>
              <w:spacing w:line="261" w:lineRule="exact"/>
              <w:ind w:left="89"/>
              <w:rPr>
                <w:sz w:val="24"/>
              </w:rPr>
            </w:pPr>
            <w:r>
              <w:rPr>
                <w:spacing w:val="-2"/>
                <w:sz w:val="24"/>
              </w:rPr>
              <w:t>Centre</w:t>
            </w:r>
          </w:p>
        </w:tc>
        <w:tc>
          <w:tcPr>
            <w:tcW w:w="1306" w:type="dxa"/>
          </w:tcPr>
          <w:p>
            <w:pPr>
              <w:pStyle w:val="TableParagraph"/>
              <w:spacing w:line="281" w:lineRule="exact"/>
              <w:ind w:left="180"/>
              <w:rPr>
                <w:sz w:val="24"/>
              </w:rPr>
            </w:pPr>
            <w:r>
              <w:rPr>
                <w:sz w:val="24"/>
              </w:rPr>
              <w:t>1 or 2 </w:t>
            </w:r>
            <w:r>
              <w:rPr>
                <w:spacing w:val="-5"/>
                <w:sz w:val="24"/>
              </w:rPr>
              <w:t>or</w:t>
            </w:r>
          </w:p>
          <w:p>
            <w:pPr>
              <w:pStyle w:val="TableParagraph"/>
              <w:tabs>
                <w:tab w:pos="789" w:val="left" w:leader="none"/>
              </w:tabs>
              <w:spacing w:line="281" w:lineRule="exact" w:before="1"/>
              <w:ind w:left="180"/>
              <w:rPr>
                <w:sz w:val="24"/>
              </w:rPr>
            </w:pPr>
            <w:r>
              <w:rPr>
                <w:spacing w:val="-10"/>
                <w:sz w:val="24"/>
              </w:rPr>
              <w:t>3</w:t>
            </w:r>
            <w:r>
              <w:rPr>
                <w:sz w:val="24"/>
              </w:rPr>
              <w:tab/>
            </w:r>
            <w:r>
              <w:rPr>
                <w:spacing w:val="-5"/>
                <w:sz w:val="24"/>
              </w:rPr>
              <w:t>Zb</w:t>
            </w:r>
          </w:p>
          <w:p>
            <w:pPr>
              <w:pStyle w:val="TableParagraph"/>
              <w:spacing w:line="281" w:lineRule="exact"/>
              <w:ind w:left="180"/>
              <w:rPr>
                <w:sz w:val="24"/>
              </w:rPr>
            </w:pPr>
            <w:r>
              <w:rPr>
                <w:spacing w:val="-5"/>
                <w:sz w:val="24"/>
              </w:rPr>
              <w:t>=30</w:t>
            </w:r>
          </w:p>
          <w:p>
            <w:pPr>
              <w:pStyle w:val="TableParagraph"/>
              <w:ind w:left="180" w:right="278"/>
              <w:rPr>
                <w:sz w:val="24"/>
              </w:rPr>
            </w:pPr>
            <w:r>
              <w:rPr>
                <w:sz w:val="24"/>
              </w:rPr>
              <w:t>In</w:t>
            </w:r>
            <w:r>
              <w:rPr>
                <w:spacing w:val="-20"/>
                <w:sz w:val="24"/>
              </w:rPr>
              <w:t> </w:t>
            </w:r>
            <w:r>
              <w:rPr>
                <w:sz w:val="24"/>
              </w:rPr>
              <w:t>case of 3</w:t>
            </w:r>
          </w:p>
          <w:p>
            <w:pPr>
              <w:pStyle w:val="TableParagraph"/>
              <w:numPr>
                <w:ilvl w:val="0"/>
                <w:numId w:val="64"/>
              </w:numPr>
              <w:tabs>
                <w:tab w:pos="467" w:val="left" w:leader="none"/>
              </w:tabs>
              <w:spacing w:line="240" w:lineRule="auto" w:before="1" w:after="0"/>
              <w:ind w:left="467" w:right="0" w:hanging="287"/>
              <w:jc w:val="left"/>
              <w:rPr>
                <w:sz w:val="24"/>
              </w:rPr>
            </w:pPr>
            <w:r>
              <w:rPr>
                <w:sz w:val="24"/>
              </w:rPr>
              <w:t>X=</w:t>
            </w:r>
            <w:r>
              <w:rPr>
                <w:spacing w:val="-1"/>
                <w:sz w:val="24"/>
              </w:rPr>
              <w:t> </w:t>
            </w:r>
            <w:r>
              <w:rPr>
                <w:spacing w:val="-5"/>
                <w:sz w:val="24"/>
              </w:rPr>
              <w:t>50</w:t>
            </w:r>
          </w:p>
          <w:p>
            <w:pPr>
              <w:pStyle w:val="TableParagraph"/>
              <w:numPr>
                <w:ilvl w:val="0"/>
                <w:numId w:val="64"/>
              </w:numPr>
              <w:tabs>
                <w:tab w:pos="553" w:val="left" w:leader="none"/>
              </w:tabs>
              <w:spacing w:line="280" w:lineRule="exact" w:before="0" w:after="0"/>
              <w:ind w:left="216" w:right="441" w:firstLine="40"/>
              <w:jc w:val="left"/>
              <w:rPr>
                <w:sz w:val="24"/>
              </w:rPr>
            </w:pPr>
            <w:r>
              <w:rPr>
                <w:spacing w:val="-6"/>
                <w:sz w:val="24"/>
              </w:rPr>
              <w:t>Y= 50</w:t>
            </w:r>
          </w:p>
        </w:tc>
      </w:tr>
      <w:tr>
        <w:trPr>
          <w:trHeight w:val="2536" w:hRule="atLeast"/>
        </w:trPr>
        <w:tc>
          <w:tcPr>
            <w:tcW w:w="560" w:type="dxa"/>
          </w:tcPr>
          <w:p>
            <w:pPr>
              <w:pStyle w:val="TableParagraph"/>
              <w:spacing w:before="281"/>
              <w:rPr>
                <w:b/>
                <w:sz w:val="24"/>
              </w:rPr>
            </w:pPr>
          </w:p>
          <w:p>
            <w:pPr>
              <w:pStyle w:val="TableParagraph"/>
              <w:ind w:left="40" w:right="34"/>
              <w:jc w:val="center"/>
              <w:rPr>
                <w:sz w:val="24"/>
              </w:rPr>
            </w:pPr>
            <w:r>
              <w:rPr>
                <w:spacing w:val="-5"/>
                <w:sz w:val="24"/>
              </w:rPr>
              <w:t>43</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ind w:left="107" w:right="209"/>
              <w:rPr>
                <w:sz w:val="24"/>
              </w:rPr>
            </w:pPr>
            <w:r>
              <w:rPr>
                <w:spacing w:val="-2"/>
                <w:sz w:val="24"/>
              </w:rPr>
              <w:t>RSA2. </w:t>
            </w:r>
            <w:r>
              <w:rPr>
                <w:spacing w:val="-10"/>
                <w:sz w:val="24"/>
              </w:rPr>
              <w:t>7</w:t>
            </w:r>
          </w:p>
        </w:tc>
        <w:tc>
          <w:tcPr>
            <w:tcW w:w="1260" w:type="dxa"/>
          </w:tcPr>
          <w:p>
            <w:pPr>
              <w:pStyle w:val="TableParagraph"/>
              <w:rPr>
                <w:b/>
                <w:sz w:val="24"/>
              </w:rPr>
            </w:pPr>
          </w:p>
          <w:p>
            <w:pPr>
              <w:pStyle w:val="TableParagraph"/>
              <w:ind w:left="181" w:right="120"/>
              <w:rPr>
                <w:sz w:val="24"/>
              </w:rPr>
            </w:pPr>
            <w:r>
              <w:rPr>
                <w:spacing w:val="-2"/>
                <w:sz w:val="24"/>
              </w:rPr>
              <w:t>Student </w:t>
            </w:r>
            <w:r>
              <w:rPr>
                <w:sz w:val="24"/>
              </w:rPr>
              <w:t>s </w:t>
            </w:r>
            <w:r>
              <w:rPr>
                <w:spacing w:val="-2"/>
                <w:sz w:val="24"/>
              </w:rPr>
              <w:t>Hostel</w:t>
            </w:r>
          </w:p>
        </w:tc>
        <w:tc>
          <w:tcPr>
            <w:tcW w:w="2679" w:type="dxa"/>
          </w:tcPr>
          <w:p>
            <w:pPr>
              <w:pStyle w:val="TableParagraph"/>
              <w:rPr>
                <w:b/>
                <w:sz w:val="24"/>
              </w:rPr>
            </w:pPr>
          </w:p>
          <w:p>
            <w:pPr>
              <w:pStyle w:val="TableParagraph"/>
              <w:spacing w:before="141"/>
              <w:rPr>
                <w:b/>
                <w:sz w:val="24"/>
              </w:rPr>
            </w:pPr>
          </w:p>
          <w:p>
            <w:pPr>
              <w:pStyle w:val="TableParagraph"/>
              <w:ind w:left="106" w:right="-15"/>
              <w:jc w:val="both"/>
              <w:rPr>
                <w:sz w:val="24"/>
              </w:rPr>
            </w:pPr>
            <w:r>
              <w:rPr>
                <w:sz w:val="24"/>
              </w:rPr>
              <w:t>Students </w:t>
            </w:r>
            <w:r>
              <w:rPr>
                <w:sz w:val="24"/>
              </w:rPr>
              <w:t>Hostel including</w:t>
            </w:r>
            <w:r>
              <w:rPr>
                <w:spacing w:val="-13"/>
                <w:sz w:val="24"/>
              </w:rPr>
              <w:t> </w:t>
            </w:r>
            <w:r>
              <w:rPr>
                <w:sz w:val="24"/>
              </w:rPr>
              <w:t>quarters</w:t>
            </w:r>
            <w:r>
              <w:rPr>
                <w:spacing w:val="-13"/>
                <w:sz w:val="24"/>
              </w:rPr>
              <w:t> </w:t>
            </w:r>
            <w:r>
              <w:rPr>
                <w:sz w:val="24"/>
              </w:rPr>
              <w:t>for faculty and staff</w:t>
            </w:r>
          </w:p>
        </w:tc>
        <w:tc>
          <w:tcPr>
            <w:tcW w:w="2094" w:type="dxa"/>
          </w:tcPr>
          <w:p>
            <w:pPr>
              <w:pStyle w:val="TableParagraph"/>
              <w:tabs>
                <w:tab w:pos="742" w:val="left" w:leader="none"/>
                <w:tab w:pos="1322" w:val="left" w:leader="none"/>
                <w:tab w:pos="1479" w:val="left" w:leader="none"/>
              </w:tabs>
              <w:spacing w:before="1"/>
              <w:ind w:left="89" w:right="54" w:firstLine="76"/>
              <w:rPr>
                <w:sz w:val="24"/>
              </w:rPr>
            </w:pPr>
            <w:r>
              <w:rPr>
                <w:spacing w:val="-2"/>
                <w:sz w:val="24"/>
              </w:rPr>
              <w:t>Other</w:t>
            </w:r>
            <w:r>
              <w:rPr>
                <w:sz w:val="24"/>
              </w:rPr>
              <w:tab/>
              <w:tab/>
            </w:r>
            <w:r>
              <w:rPr>
                <w:spacing w:val="-4"/>
                <w:sz w:val="24"/>
              </w:rPr>
              <w:t>non- </w:t>
            </w:r>
            <w:r>
              <w:rPr>
                <w:spacing w:val="-2"/>
                <w:sz w:val="24"/>
              </w:rPr>
              <w:t>educational </w:t>
            </w:r>
            <w:r>
              <w:rPr>
                <w:sz w:val="24"/>
              </w:rPr>
              <w:t>compatible uses such</w:t>
            </w:r>
            <w:r>
              <w:rPr>
                <w:spacing w:val="38"/>
                <w:sz w:val="24"/>
              </w:rPr>
              <w:t> </w:t>
            </w:r>
            <w:r>
              <w:rPr>
                <w:sz w:val="24"/>
              </w:rPr>
              <w:t>as</w:t>
            </w:r>
            <w:r>
              <w:rPr>
                <w:spacing w:val="38"/>
                <w:sz w:val="24"/>
              </w:rPr>
              <w:t> </w:t>
            </w:r>
            <w:r>
              <w:rPr>
                <w:sz w:val="24"/>
              </w:rPr>
              <w:t>branch </w:t>
            </w:r>
            <w:r>
              <w:rPr>
                <w:spacing w:val="-6"/>
                <w:sz w:val="24"/>
              </w:rPr>
              <w:t>of</w:t>
            </w:r>
            <w:r>
              <w:rPr>
                <w:sz w:val="24"/>
              </w:rPr>
              <w:tab/>
            </w:r>
            <w:r>
              <w:rPr>
                <w:spacing w:val="-10"/>
                <w:sz w:val="24"/>
              </w:rPr>
              <w:t>a</w:t>
            </w:r>
            <w:r>
              <w:rPr>
                <w:sz w:val="24"/>
              </w:rPr>
              <w:tab/>
            </w:r>
            <w:r>
              <w:rPr>
                <w:spacing w:val="-2"/>
                <w:sz w:val="24"/>
              </w:rPr>
              <w:t>Bank, Stationary</w:t>
            </w:r>
            <w:r>
              <w:rPr>
                <w:spacing w:val="40"/>
                <w:sz w:val="24"/>
              </w:rPr>
              <w:t> </w:t>
            </w:r>
            <w:r>
              <w:rPr>
                <w:spacing w:val="-2"/>
                <w:sz w:val="24"/>
              </w:rPr>
              <w:t>Shop, Dispensary,</w:t>
            </w:r>
          </w:p>
          <w:p>
            <w:pPr>
              <w:pStyle w:val="TableParagraph"/>
              <w:spacing w:line="261" w:lineRule="exact"/>
              <w:ind w:left="89"/>
              <w:rPr>
                <w:sz w:val="24"/>
              </w:rPr>
            </w:pPr>
            <w:r>
              <w:rPr>
                <w:spacing w:val="-2"/>
                <w:sz w:val="24"/>
              </w:rPr>
              <w:t>Canteen</w:t>
            </w:r>
          </w:p>
        </w:tc>
        <w:tc>
          <w:tcPr>
            <w:tcW w:w="1306" w:type="dxa"/>
          </w:tcPr>
          <w:p>
            <w:pPr>
              <w:pStyle w:val="TableParagraph"/>
              <w:spacing w:line="281" w:lineRule="exact" w:before="1"/>
              <w:ind w:left="180"/>
              <w:rPr>
                <w:sz w:val="24"/>
              </w:rPr>
            </w:pPr>
            <w:r>
              <w:rPr>
                <w:sz w:val="24"/>
              </w:rPr>
              <w:t>1 or 2 </w:t>
            </w:r>
            <w:r>
              <w:rPr>
                <w:spacing w:val="-5"/>
                <w:sz w:val="24"/>
              </w:rPr>
              <w:t>or</w:t>
            </w:r>
          </w:p>
          <w:p>
            <w:pPr>
              <w:pStyle w:val="TableParagraph"/>
              <w:tabs>
                <w:tab w:pos="866" w:val="left" w:leader="none"/>
              </w:tabs>
              <w:spacing w:line="281" w:lineRule="exact"/>
              <w:ind w:left="180"/>
              <w:rPr>
                <w:sz w:val="24"/>
              </w:rPr>
            </w:pPr>
            <w:r>
              <w:rPr>
                <w:spacing w:val="-10"/>
                <w:sz w:val="24"/>
              </w:rPr>
              <w:t>3</w:t>
            </w:r>
            <w:r>
              <w:rPr>
                <w:sz w:val="24"/>
              </w:rPr>
              <w:tab/>
            </w:r>
            <w:r>
              <w:rPr>
                <w:spacing w:val="-5"/>
                <w:sz w:val="24"/>
              </w:rPr>
              <w:t>Zb</w:t>
            </w:r>
          </w:p>
          <w:p>
            <w:pPr>
              <w:pStyle w:val="TableParagraph"/>
              <w:spacing w:line="281" w:lineRule="exact"/>
              <w:ind w:left="180"/>
              <w:rPr>
                <w:sz w:val="24"/>
              </w:rPr>
            </w:pPr>
            <w:r>
              <w:rPr>
                <w:spacing w:val="-5"/>
                <w:sz w:val="24"/>
              </w:rPr>
              <w:t>=30</w:t>
            </w:r>
          </w:p>
          <w:p>
            <w:pPr>
              <w:pStyle w:val="TableParagraph"/>
              <w:spacing w:before="2"/>
              <w:ind w:left="180" w:right="278"/>
              <w:rPr>
                <w:sz w:val="24"/>
              </w:rPr>
            </w:pPr>
            <w:r>
              <w:rPr>
                <w:sz w:val="24"/>
              </w:rPr>
              <w:t>In</w:t>
            </w:r>
            <w:r>
              <w:rPr>
                <w:spacing w:val="-20"/>
                <w:sz w:val="24"/>
              </w:rPr>
              <w:t> </w:t>
            </w:r>
            <w:r>
              <w:rPr>
                <w:sz w:val="24"/>
              </w:rPr>
              <w:t>case of 3</w:t>
            </w:r>
          </w:p>
          <w:p>
            <w:pPr>
              <w:pStyle w:val="TableParagraph"/>
              <w:numPr>
                <w:ilvl w:val="0"/>
                <w:numId w:val="65"/>
              </w:numPr>
              <w:tabs>
                <w:tab w:pos="467" w:val="left" w:leader="none"/>
              </w:tabs>
              <w:spacing w:line="240" w:lineRule="auto" w:before="0" w:after="0"/>
              <w:ind w:left="180" w:right="431" w:firstLine="0"/>
              <w:jc w:val="left"/>
              <w:rPr>
                <w:sz w:val="24"/>
              </w:rPr>
            </w:pPr>
            <w:r>
              <w:rPr>
                <w:sz w:val="24"/>
              </w:rPr>
              <w:t>X</w:t>
            </w:r>
            <w:r>
              <w:rPr>
                <w:spacing w:val="-20"/>
                <w:sz w:val="24"/>
              </w:rPr>
              <w:t> </w:t>
            </w:r>
            <w:r>
              <w:rPr>
                <w:sz w:val="24"/>
              </w:rPr>
              <w:t>= </w:t>
            </w:r>
            <w:r>
              <w:rPr>
                <w:spacing w:val="-6"/>
                <w:sz w:val="24"/>
              </w:rPr>
              <w:t>50</w:t>
            </w:r>
          </w:p>
          <w:p>
            <w:pPr>
              <w:pStyle w:val="TableParagraph"/>
              <w:numPr>
                <w:ilvl w:val="0"/>
                <w:numId w:val="65"/>
              </w:numPr>
              <w:tabs>
                <w:tab w:pos="707" w:val="left" w:leader="none"/>
              </w:tabs>
              <w:spacing w:line="284" w:lineRule="exact" w:before="0" w:after="0"/>
              <w:ind w:left="180" w:right="211" w:firstLine="230"/>
              <w:jc w:val="left"/>
              <w:rPr>
                <w:sz w:val="24"/>
              </w:rPr>
            </w:pPr>
            <w:r>
              <w:rPr>
                <w:sz w:val="24"/>
              </w:rPr>
              <w:t>Y</w:t>
            </w:r>
            <w:r>
              <w:rPr>
                <w:spacing w:val="-20"/>
                <w:sz w:val="24"/>
              </w:rPr>
              <w:t> </w:t>
            </w:r>
            <w:r>
              <w:rPr>
                <w:sz w:val="24"/>
              </w:rPr>
              <w:t>= </w:t>
            </w:r>
            <w:r>
              <w:rPr>
                <w:spacing w:val="-6"/>
                <w:sz w:val="24"/>
              </w:rPr>
              <w:t>50</w:t>
            </w:r>
          </w:p>
        </w:tc>
      </w:tr>
      <w:tr>
        <w:trPr>
          <w:trHeight w:val="2248" w:hRule="atLeast"/>
        </w:trPr>
        <w:tc>
          <w:tcPr>
            <w:tcW w:w="560" w:type="dxa"/>
          </w:tcPr>
          <w:p>
            <w:pPr>
              <w:pStyle w:val="TableParagraph"/>
              <w:spacing w:before="277"/>
              <w:rPr>
                <w:b/>
                <w:sz w:val="24"/>
              </w:rPr>
            </w:pPr>
          </w:p>
          <w:p>
            <w:pPr>
              <w:pStyle w:val="TableParagraph"/>
              <w:ind w:left="6" w:right="40"/>
              <w:jc w:val="center"/>
              <w:rPr>
                <w:sz w:val="24"/>
              </w:rPr>
            </w:pPr>
            <w:r>
              <w:rPr>
                <w:spacing w:val="-5"/>
                <w:sz w:val="24"/>
              </w:rPr>
              <w:t>44</w:t>
            </w:r>
          </w:p>
        </w:tc>
        <w:tc>
          <w:tcPr>
            <w:tcW w:w="1349" w:type="dxa"/>
            <w:vMerge/>
            <w:tcBorders>
              <w:top w:val="nil"/>
            </w:tcBorders>
          </w:tcPr>
          <w:p>
            <w:pPr>
              <w:rPr>
                <w:sz w:val="2"/>
                <w:szCs w:val="2"/>
              </w:rPr>
            </w:pPr>
          </w:p>
        </w:tc>
        <w:tc>
          <w:tcPr>
            <w:tcW w:w="1057" w:type="dxa"/>
          </w:tcPr>
          <w:p>
            <w:pPr>
              <w:pStyle w:val="TableParagraph"/>
              <w:spacing w:line="242" w:lineRule="auto"/>
              <w:ind w:left="107" w:right="209"/>
              <w:rPr>
                <w:sz w:val="24"/>
              </w:rPr>
            </w:pPr>
            <w:r>
              <w:rPr>
                <w:spacing w:val="-2"/>
                <w:sz w:val="24"/>
              </w:rPr>
              <w:t>RSA2. </w:t>
            </w:r>
            <w:r>
              <w:rPr>
                <w:spacing w:val="-10"/>
                <w:sz w:val="24"/>
              </w:rPr>
              <w:t>9</w:t>
            </w:r>
          </w:p>
        </w:tc>
        <w:tc>
          <w:tcPr>
            <w:tcW w:w="1260" w:type="dxa"/>
          </w:tcPr>
          <w:p>
            <w:pPr>
              <w:pStyle w:val="TableParagraph"/>
              <w:spacing w:line="242" w:lineRule="auto"/>
              <w:ind w:left="106" w:right="101"/>
              <w:rPr>
                <w:sz w:val="24"/>
              </w:rPr>
            </w:pPr>
            <w:r>
              <w:rPr>
                <w:spacing w:val="-2"/>
                <w:sz w:val="24"/>
              </w:rPr>
              <w:t>Homeles </w:t>
            </w:r>
            <w:r>
              <w:rPr>
                <w:sz w:val="24"/>
              </w:rPr>
              <w:t>s </w:t>
            </w:r>
            <w:r>
              <w:rPr>
                <w:spacing w:val="-2"/>
                <w:sz w:val="24"/>
              </w:rPr>
              <w:t>Shelter</w:t>
            </w:r>
          </w:p>
        </w:tc>
        <w:tc>
          <w:tcPr>
            <w:tcW w:w="2679" w:type="dxa"/>
          </w:tcPr>
          <w:p>
            <w:pPr>
              <w:pStyle w:val="TableParagraph"/>
              <w:tabs>
                <w:tab w:pos="1524" w:val="left" w:leader="none"/>
              </w:tabs>
              <w:ind w:left="106" w:right="-15"/>
              <w:jc w:val="both"/>
              <w:rPr>
                <w:sz w:val="24"/>
              </w:rPr>
            </w:pPr>
            <w:r>
              <w:rPr>
                <w:sz w:val="24"/>
              </w:rPr>
              <w:t>Night Shelter, Home </w:t>
            </w:r>
            <w:r>
              <w:rPr>
                <w:spacing w:val="-4"/>
                <w:sz w:val="24"/>
              </w:rPr>
              <w:t>for</w:t>
            </w:r>
            <w:r>
              <w:rPr>
                <w:sz w:val="24"/>
              </w:rPr>
              <w:tab/>
            </w:r>
            <w:r>
              <w:rPr>
                <w:spacing w:val="-2"/>
                <w:sz w:val="24"/>
              </w:rPr>
              <w:t>Destitute, </w:t>
            </w:r>
            <w:r>
              <w:rPr>
                <w:sz w:val="24"/>
              </w:rPr>
              <w:t>Dormitory with toilet facility &amp; other ancillary Facility</w:t>
            </w:r>
          </w:p>
        </w:tc>
        <w:tc>
          <w:tcPr>
            <w:tcW w:w="2094" w:type="dxa"/>
          </w:tcPr>
          <w:p>
            <w:pPr>
              <w:pStyle w:val="TableParagraph"/>
              <w:ind w:left="106" w:right="530"/>
              <w:jc w:val="both"/>
              <w:rPr>
                <w:sz w:val="24"/>
              </w:rPr>
            </w:pPr>
            <w:r>
              <w:rPr>
                <w:spacing w:val="-2"/>
                <w:sz w:val="24"/>
              </w:rPr>
              <w:t>Dispensary, Watchman's cabin</w:t>
            </w:r>
          </w:p>
        </w:tc>
        <w:tc>
          <w:tcPr>
            <w:tcW w:w="1306" w:type="dxa"/>
          </w:tcPr>
          <w:p>
            <w:pPr>
              <w:pStyle w:val="TableParagraph"/>
              <w:spacing w:line="276" w:lineRule="exact"/>
              <w:ind w:left="40" w:right="35"/>
              <w:jc w:val="center"/>
              <w:rPr>
                <w:sz w:val="24"/>
              </w:rPr>
            </w:pPr>
            <w:r>
              <w:rPr>
                <w:sz w:val="24"/>
              </w:rPr>
              <w:t>1 or 2</w:t>
            </w:r>
            <w:r>
              <w:rPr>
                <w:spacing w:val="-1"/>
                <w:sz w:val="24"/>
              </w:rPr>
              <w:t> </w:t>
            </w:r>
            <w:r>
              <w:rPr>
                <w:spacing w:val="-5"/>
                <w:sz w:val="24"/>
              </w:rPr>
              <w:t>or</w:t>
            </w:r>
          </w:p>
          <w:p>
            <w:pPr>
              <w:pStyle w:val="TableParagraph"/>
              <w:spacing w:line="281" w:lineRule="exact" w:before="2"/>
              <w:ind w:left="40" w:right="35"/>
              <w:jc w:val="center"/>
              <w:rPr>
                <w:sz w:val="24"/>
              </w:rPr>
            </w:pPr>
            <w:r>
              <w:rPr>
                <w:spacing w:val="-5"/>
                <w:sz w:val="24"/>
              </w:rPr>
              <w:t>3.</w:t>
            </w:r>
          </w:p>
          <w:p>
            <w:pPr>
              <w:pStyle w:val="TableParagraph"/>
              <w:spacing w:line="281" w:lineRule="exact"/>
              <w:ind w:left="5" w:right="40"/>
              <w:jc w:val="center"/>
              <w:rPr>
                <w:sz w:val="24"/>
              </w:rPr>
            </w:pPr>
            <w:r>
              <w:rPr>
                <w:sz w:val="24"/>
              </w:rPr>
              <w:t>Zb</w:t>
            </w:r>
            <w:r>
              <w:rPr>
                <w:spacing w:val="-1"/>
                <w:sz w:val="24"/>
              </w:rPr>
              <w:t> </w:t>
            </w:r>
            <w:r>
              <w:rPr>
                <w:sz w:val="24"/>
              </w:rPr>
              <w:t>= </w:t>
            </w:r>
            <w:r>
              <w:rPr>
                <w:spacing w:val="-5"/>
                <w:sz w:val="24"/>
              </w:rPr>
              <w:t>10</w:t>
            </w:r>
          </w:p>
          <w:p>
            <w:pPr>
              <w:pStyle w:val="TableParagraph"/>
              <w:ind w:left="180" w:right="278"/>
              <w:rPr>
                <w:sz w:val="24"/>
              </w:rPr>
            </w:pPr>
            <w:r>
              <w:rPr>
                <w:sz w:val="24"/>
              </w:rPr>
              <w:t>In</w:t>
            </w:r>
            <w:r>
              <w:rPr>
                <w:spacing w:val="-20"/>
                <w:sz w:val="24"/>
              </w:rPr>
              <w:t> </w:t>
            </w:r>
            <w:r>
              <w:rPr>
                <w:sz w:val="24"/>
              </w:rPr>
              <w:t>case of 3</w:t>
            </w:r>
          </w:p>
          <w:p>
            <w:pPr>
              <w:pStyle w:val="TableParagraph"/>
              <w:numPr>
                <w:ilvl w:val="0"/>
                <w:numId w:val="66"/>
              </w:numPr>
              <w:tabs>
                <w:tab w:pos="467" w:val="left" w:leader="none"/>
              </w:tabs>
              <w:spacing w:line="281" w:lineRule="exact" w:before="0" w:after="0"/>
              <w:ind w:left="467" w:right="0" w:hanging="287"/>
              <w:jc w:val="left"/>
              <w:rPr>
                <w:sz w:val="24"/>
              </w:rPr>
            </w:pPr>
            <w:r>
              <w:rPr>
                <w:sz w:val="24"/>
              </w:rPr>
              <w:t>X=</w:t>
            </w:r>
            <w:r>
              <w:rPr>
                <w:spacing w:val="-1"/>
                <w:sz w:val="24"/>
              </w:rPr>
              <w:t> </w:t>
            </w:r>
            <w:r>
              <w:rPr>
                <w:spacing w:val="-5"/>
                <w:sz w:val="24"/>
              </w:rPr>
              <w:t>50</w:t>
            </w:r>
          </w:p>
          <w:p>
            <w:pPr>
              <w:pStyle w:val="TableParagraph"/>
              <w:numPr>
                <w:ilvl w:val="0"/>
                <w:numId w:val="66"/>
              </w:numPr>
              <w:tabs>
                <w:tab w:pos="707" w:val="left" w:leader="none"/>
              </w:tabs>
              <w:spacing w:line="281" w:lineRule="exact" w:before="0" w:after="0"/>
              <w:ind w:left="707" w:right="0" w:hanging="297"/>
              <w:jc w:val="left"/>
              <w:rPr>
                <w:sz w:val="24"/>
              </w:rPr>
            </w:pPr>
            <w:r>
              <w:rPr>
                <w:spacing w:val="-5"/>
                <w:sz w:val="24"/>
              </w:rPr>
              <w:t>Y=</w:t>
            </w:r>
          </w:p>
          <w:p>
            <w:pPr>
              <w:pStyle w:val="TableParagraph"/>
              <w:spacing w:line="261" w:lineRule="exact" w:before="1"/>
              <w:ind w:left="180"/>
              <w:rPr>
                <w:sz w:val="24"/>
              </w:rPr>
            </w:pPr>
            <w:r>
              <w:rPr>
                <w:spacing w:val="-5"/>
                <w:sz w:val="24"/>
              </w:rPr>
              <w:t>50</w:t>
            </w:r>
          </w:p>
        </w:tc>
      </w:tr>
      <w:tr>
        <w:trPr>
          <w:trHeight w:val="846"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spacing w:line="280" w:lineRule="exact" w:before="266"/>
              <w:ind w:left="107" w:right="209"/>
              <w:rPr>
                <w:sz w:val="24"/>
              </w:rPr>
            </w:pPr>
            <w:r>
              <w:rPr>
                <w:spacing w:val="-2"/>
                <w:sz w:val="24"/>
              </w:rPr>
              <w:t>RSA3. </w:t>
            </w:r>
            <w:r>
              <w:rPr>
                <w:spacing w:val="-10"/>
                <w:sz w:val="24"/>
              </w:rPr>
              <w:t>3</w:t>
            </w:r>
          </w:p>
        </w:tc>
        <w:tc>
          <w:tcPr>
            <w:tcW w:w="1260" w:type="dxa"/>
          </w:tcPr>
          <w:p>
            <w:pPr>
              <w:pStyle w:val="TableParagraph"/>
              <w:spacing w:line="281" w:lineRule="exact"/>
              <w:ind w:left="106"/>
              <w:rPr>
                <w:sz w:val="24"/>
              </w:rPr>
            </w:pPr>
            <w:r>
              <w:rPr>
                <w:spacing w:val="-2"/>
                <w:sz w:val="24"/>
              </w:rPr>
              <w:t>Cultural</w:t>
            </w:r>
          </w:p>
          <w:p>
            <w:pPr>
              <w:pStyle w:val="TableParagraph"/>
              <w:spacing w:line="280" w:lineRule="exact"/>
              <w:ind w:left="106" w:right="211"/>
              <w:rPr>
                <w:sz w:val="24"/>
              </w:rPr>
            </w:pPr>
            <w:r>
              <w:rPr>
                <w:spacing w:val="-2"/>
                <w:sz w:val="24"/>
              </w:rPr>
              <w:t>Centre/ Drama</w:t>
            </w:r>
          </w:p>
        </w:tc>
        <w:tc>
          <w:tcPr>
            <w:tcW w:w="2679" w:type="dxa"/>
          </w:tcPr>
          <w:p>
            <w:pPr>
              <w:pStyle w:val="TableParagraph"/>
              <w:spacing w:line="281" w:lineRule="exact"/>
              <w:ind w:left="66"/>
              <w:rPr>
                <w:sz w:val="24"/>
              </w:rPr>
            </w:pPr>
            <w:r>
              <w:rPr>
                <w:spacing w:val="-2"/>
                <w:sz w:val="24"/>
              </w:rPr>
              <w:t>Cultural</w:t>
            </w:r>
          </w:p>
          <w:p>
            <w:pPr>
              <w:pStyle w:val="TableParagraph"/>
              <w:tabs>
                <w:tab w:pos="1277" w:val="left" w:leader="none"/>
                <w:tab w:pos="2222" w:val="left" w:leader="none"/>
              </w:tabs>
              <w:spacing w:line="280" w:lineRule="exact"/>
              <w:ind w:left="66" w:right="100"/>
              <w:rPr>
                <w:sz w:val="24"/>
              </w:rPr>
            </w:pPr>
            <w:r>
              <w:rPr>
                <w:spacing w:val="-2"/>
                <w:sz w:val="24"/>
              </w:rPr>
              <w:t>Centre/Drama Theatre</w:t>
            </w:r>
            <w:r>
              <w:rPr>
                <w:sz w:val="24"/>
              </w:rPr>
              <w:tab/>
            </w:r>
            <w:r>
              <w:rPr>
                <w:spacing w:val="-4"/>
                <w:sz w:val="24"/>
              </w:rPr>
              <w:t>Open</w:t>
            </w:r>
            <w:r>
              <w:rPr>
                <w:sz w:val="24"/>
              </w:rPr>
              <w:tab/>
            </w:r>
            <w:r>
              <w:rPr>
                <w:spacing w:val="-4"/>
                <w:sz w:val="24"/>
              </w:rPr>
              <w:t>Air</w:t>
            </w:r>
          </w:p>
        </w:tc>
        <w:tc>
          <w:tcPr>
            <w:tcW w:w="2094" w:type="dxa"/>
          </w:tcPr>
          <w:p>
            <w:pPr>
              <w:pStyle w:val="TableParagraph"/>
              <w:spacing w:line="281" w:lineRule="exact"/>
              <w:ind w:left="89"/>
              <w:rPr>
                <w:sz w:val="24"/>
              </w:rPr>
            </w:pPr>
            <w:r>
              <w:rPr>
                <w:spacing w:val="-2"/>
                <w:sz w:val="24"/>
              </w:rPr>
              <w:t>Recording</w:t>
            </w:r>
          </w:p>
          <w:p>
            <w:pPr>
              <w:pStyle w:val="TableParagraph"/>
              <w:spacing w:line="280" w:lineRule="exact"/>
              <w:ind w:left="89" w:right="55"/>
              <w:rPr>
                <w:sz w:val="24"/>
              </w:rPr>
            </w:pPr>
            <w:r>
              <w:rPr>
                <w:sz w:val="24"/>
              </w:rPr>
              <w:t>rooms,</w:t>
            </w:r>
            <w:r>
              <w:rPr>
                <w:spacing w:val="40"/>
                <w:sz w:val="24"/>
              </w:rPr>
              <w:t> </w:t>
            </w:r>
            <w:r>
              <w:rPr>
                <w:sz w:val="24"/>
              </w:rPr>
              <w:t>dubbing </w:t>
            </w:r>
            <w:r>
              <w:rPr>
                <w:spacing w:val="-2"/>
                <w:sz w:val="24"/>
              </w:rPr>
              <w:t>rooms,</w:t>
            </w:r>
          </w:p>
        </w:tc>
        <w:tc>
          <w:tcPr>
            <w:tcW w:w="1306" w:type="dxa"/>
          </w:tcPr>
          <w:p>
            <w:pPr>
              <w:pStyle w:val="TableParagraph"/>
              <w:spacing w:line="281" w:lineRule="exact"/>
              <w:ind w:left="180"/>
              <w:rPr>
                <w:sz w:val="24"/>
              </w:rPr>
            </w:pPr>
            <w:r>
              <w:rPr>
                <w:sz w:val="24"/>
              </w:rPr>
              <w:t>1 or 2 </w:t>
            </w:r>
            <w:r>
              <w:rPr>
                <w:spacing w:val="-5"/>
                <w:sz w:val="24"/>
              </w:rPr>
              <w:t>or</w:t>
            </w:r>
          </w:p>
          <w:p>
            <w:pPr>
              <w:pStyle w:val="TableParagraph"/>
              <w:spacing w:before="1"/>
              <w:ind w:left="180"/>
              <w:rPr>
                <w:sz w:val="24"/>
              </w:rPr>
            </w:pPr>
            <w:r>
              <w:rPr>
                <w:sz w:val="24"/>
              </w:rPr>
              <w:t>3 </w:t>
            </w:r>
            <w:r>
              <w:rPr>
                <w:spacing w:val="-2"/>
                <w:sz w:val="24"/>
              </w:rPr>
              <w:t>Zb=30</w:t>
            </w:r>
          </w:p>
        </w:tc>
      </w:tr>
    </w:tbl>
    <w:p>
      <w:pPr>
        <w:pStyle w:val="TableParagraph"/>
        <w:spacing w:after="0"/>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2817" w:hRule="atLeast"/>
        </w:trPr>
        <w:tc>
          <w:tcPr>
            <w:tcW w:w="560" w:type="dxa"/>
          </w:tcPr>
          <w:p>
            <w:pPr>
              <w:pStyle w:val="TableParagraph"/>
              <w:spacing w:line="281" w:lineRule="exact"/>
              <w:ind w:left="6" w:right="40"/>
              <w:jc w:val="center"/>
              <w:rPr>
                <w:sz w:val="24"/>
              </w:rPr>
            </w:pPr>
            <w:r>
              <w:rPr>
                <w:spacing w:val="-5"/>
                <w:sz w:val="24"/>
              </w:rPr>
              <w:t>45</w:t>
            </w: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ind w:left="106" w:right="103"/>
              <w:rPr>
                <w:sz w:val="24"/>
              </w:rPr>
            </w:pPr>
            <w:r>
              <w:rPr>
                <w:spacing w:val="-2"/>
                <w:sz w:val="24"/>
              </w:rPr>
              <w:t>Theatre/ Theater</w:t>
            </w:r>
          </w:p>
        </w:tc>
        <w:tc>
          <w:tcPr>
            <w:tcW w:w="2679" w:type="dxa"/>
          </w:tcPr>
          <w:p>
            <w:pPr>
              <w:pStyle w:val="TableParagraph"/>
              <w:tabs>
                <w:tab w:pos="804" w:val="left" w:leader="none"/>
                <w:tab w:pos="1520" w:val="left" w:leader="none"/>
                <w:tab w:pos="1616" w:val="left" w:leader="none"/>
                <w:tab w:pos="1649" w:val="left" w:leader="none"/>
                <w:tab w:pos="1736" w:val="left" w:leader="none"/>
                <w:tab w:pos="1933" w:val="left" w:leader="none"/>
                <w:tab w:pos="2118" w:val="left" w:leader="none"/>
                <w:tab w:pos="2417" w:val="left" w:leader="none"/>
              </w:tabs>
              <w:ind w:left="66" w:right="99"/>
              <w:rPr>
                <w:sz w:val="24"/>
              </w:rPr>
            </w:pPr>
            <w:r>
              <w:rPr>
                <w:sz w:val="24"/>
              </w:rPr>
              <w:t>Theatre,</w:t>
            </w:r>
            <w:r>
              <w:rPr>
                <w:spacing w:val="34"/>
                <w:sz w:val="24"/>
              </w:rPr>
              <w:t> </w:t>
            </w:r>
            <w:r>
              <w:rPr>
                <w:sz w:val="24"/>
              </w:rPr>
              <w:t>Art</w:t>
            </w:r>
            <w:r>
              <w:rPr>
                <w:spacing w:val="34"/>
                <w:sz w:val="24"/>
              </w:rPr>
              <w:t> </w:t>
            </w:r>
            <w:r>
              <w:rPr>
                <w:sz w:val="24"/>
              </w:rPr>
              <w:t>Gallery, </w:t>
            </w:r>
            <w:r>
              <w:rPr>
                <w:spacing w:val="-2"/>
                <w:sz w:val="24"/>
              </w:rPr>
              <w:t>Aquarium, Auditorium</w:t>
            </w:r>
            <w:r>
              <w:rPr>
                <w:sz w:val="24"/>
              </w:rPr>
              <w:tab/>
              <w:tab/>
              <w:tab/>
              <w:tab/>
              <w:tab/>
            </w:r>
            <w:r>
              <w:rPr>
                <w:spacing w:val="-4"/>
                <w:sz w:val="24"/>
              </w:rPr>
              <w:t>along with</w:t>
            </w:r>
            <w:r>
              <w:rPr>
                <w:sz w:val="24"/>
              </w:rPr>
              <w:tab/>
            </w:r>
            <w:r>
              <w:rPr>
                <w:spacing w:val="-2"/>
                <w:sz w:val="24"/>
              </w:rPr>
              <w:t>other</w:t>
            </w:r>
            <w:r>
              <w:rPr>
                <w:sz w:val="24"/>
              </w:rPr>
              <w:tab/>
              <w:tab/>
              <w:tab/>
            </w:r>
            <w:r>
              <w:rPr>
                <w:spacing w:val="-4"/>
                <w:sz w:val="24"/>
              </w:rPr>
              <w:t>uses</w:t>
            </w:r>
            <w:r>
              <w:rPr>
                <w:sz w:val="24"/>
              </w:rPr>
              <w:tab/>
            </w:r>
            <w:r>
              <w:rPr>
                <w:spacing w:val="-6"/>
                <w:sz w:val="24"/>
              </w:rPr>
              <w:t>if </w:t>
            </w:r>
            <w:r>
              <w:rPr>
                <w:spacing w:val="-4"/>
                <w:sz w:val="24"/>
              </w:rPr>
              <w:t>any,</w:t>
            </w:r>
            <w:r>
              <w:rPr>
                <w:sz w:val="24"/>
              </w:rPr>
              <w:tab/>
            </w:r>
            <w:r>
              <w:rPr>
                <w:spacing w:val="-75"/>
                <w:sz w:val="24"/>
              </w:rPr>
              <w:t> </w:t>
            </w:r>
            <w:r>
              <w:rPr>
                <w:spacing w:val="-2"/>
                <w:sz w:val="24"/>
              </w:rPr>
              <w:t>such</w:t>
            </w:r>
            <w:r>
              <w:rPr>
                <w:sz w:val="24"/>
              </w:rPr>
              <w:tab/>
              <w:tab/>
            </w:r>
            <w:r>
              <w:rPr>
                <w:spacing w:val="-6"/>
                <w:sz w:val="24"/>
              </w:rPr>
              <w:t>as</w:t>
            </w:r>
            <w:r>
              <w:rPr>
                <w:sz w:val="24"/>
              </w:rPr>
              <w:tab/>
              <w:tab/>
            </w:r>
            <w:r>
              <w:rPr>
                <w:spacing w:val="-4"/>
                <w:sz w:val="24"/>
              </w:rPr>
              <w:t>rest </w:t>
            </w:r>
            <w:r>
              <w:rPr>
                <w:spacing w:val="-2"/>
                <w:sz w:val="24"/>
              </w:rPr>
              <w:t>room,</w:t>
            </w:r>
            <w:r>
              <w:rPr>
                <w:sz w:val="24"/>
              </w:rPr>
              <w:tab/>
              <w:tab/>
            </w:r>
            <w:r>
              <w:rPr>
                <w:spacing w:val="-2"/>
                <w:sz w:val="24"/>
              </w:rPr>
              <w:t>make-up </w:t>
            </w:r>
            <w:r>
              <w:rPr>
                <w:sz w:val="24"/>
              </w:rPr>
              <w:t>room,</w:t>
            </w:r>
            <w:r>
              <w:rPr>
                <w:spacing w:val="-20"/>
                <w:sz w:val="24"/>
              </w:rPr>
              <w:t> </w:t>
            </w:r>
            <w:r>
              <w:rPr>
                <w:sz w:val="24"/>
              </w:rPr>
              <w:t>welfare</w:t>
            </w:r>
            <w:r>
              <w:rPr>
                <w:spacing w:val="-19"/>
                <w:sz w:val="24"/>
              </w:rPr>
              <w:t> </w:t>
            </w:r>
            <w:r>
              <w:rPr>
                <w:sz w:val="24"/>
              </w:rPr>
              <w:t>activity </w:t>
            </w:r>
            <w:r>
              <w:rPr>
                <w:spacing w:val="-2"/>
                <w:sz w:val="24"/>
              </w:rPr>
              <w:t>center,</w:t>
            </w:r>
            <w:r>
              <w:rPr>
                <w:sz w:val="24"/>
              </w:rPr>
              <w:tab/>
              <w:tab/>
              <w:tab/>
              <w:tab/>
            </w:r>
            <w:r>
              <w:rPr>
                <w:spacing w:val="-2"/>
                <w:sz w:val="24"/>
              </w:rPr>
              <w:t>welfare</w:t>
            </w:r>
          </w:p>
          <w:p>
            <w:pPr>
              <w:pStyle w:val="TableParagraph"/>
              <w:tabs>
                <w:tab w:pos="1759" w:val="left" w:leader="none"/>
              </w:tabs>
              <w:spacing w:line="280" w:lineRule="exact"/>
              <w:ind w:left="66" w:right="100"/>
              <w:rPr>
                <w:sz w:val="24"/>
              </w:rPr>
            </w:pPr>
            <w:r>
              <w:rPr>
                <w:spacing w:val="-2"/>
                <w:sz w:val="24"/>
              </w:rPr>
              <w:t>activity</w:t>
            </w:r>
            <w:r>
              <w:rPr>
                <w:sz w:val="24"/>
              </w:rPr>
              <w:tab/>
            </w:r>
            <w:r>
              <w:rPr>
                <w:spacing w:val="-2"/>
                <w:sz w:val="24"/>
              </w:rPr>
              <w:t>center, </w:t>
            </w:r>
            <w:r>
              <w:rPr>
                <w:sz w:val="24"/>
              </w:rPr>
              <w:t>Parking Lot</w:t>
            </w:r>
          </w:p>
        </w:tc>
        <w:tc>
          <w:tcPr>
            <w:tcW w:w="2094" w:type="dxa"/>
          </w:tcPr>
          <w:p>
            <w:pPr>
              <w:pStyle w:val="TableParagraph"/>
              <w:tabs>
                <w:tab w:pos="1260" w:val="left" w:leader="none"/>
                <w:tab w:pos="1649" w:val="left" w:leader="none"/>
              </w:tabs>
              <w:ind w:left="89" w:right="54"/>
              <w:rPr>
                <w:sz w:val="24"/>
              </w:rPr>
            </w:pPr>
            <w:r>
              <w:rPr>
                <w:sz w:val="24"/>
              </w:rPr>
              <w:t>restaurant,</w:t>
            </w:r>
            <w:r>
              <w:rPr>
                <w:spacing w:val="-20"/>
                <w:sz w:val="24"/>
              </w:rPr>
              <w:t> </w:t>
            </w:r>
            <w:r>
              <w:rPr>
                <w:sz w:val="24"/>
              </w:rPr>
              <w:t>café, Reading halls, </w:t>
            </w:r>
            <w:r>
              <w:rPr>
                <w:spacing w:val="-2"/>
                <w:sz w:val="24"/>
              </w:rPr>
              <w:t>Library,</w:t>
            </w:r>
            <w:r>
              <w:rPr>
                <w:sz w:val="24"/>
              </w:rPr>
              <w:tab/>
            </w:r>
            <w:r>
              <w:rPr>
                <w:spacing w:val="-2"/>
                <w:sz w:val="24"/>
              </w:rPr>
              <w:t>hostel rooms</w:t>
            </w:r>
            <w:r>
              <w:rPr>
                <w:sz w:val="24"/>
              </w:rPr>
              <w:tab/>
              <w:tab/>
            </w:r>
            <w:r>
              <w:rPr>
                <w:spacing w:val="-4"/>
                <w:sz w:val="24"/>
              </w:rPr>
              <w:t>for </w:t>
            </w:r>
            <w:r>
              <w:rPr>
                <w:spacing w:val="-2"/>
                <w:sz w:val="24"/>
              </w:rPr>
              <w:t>artists</w:t>
            </w:r>
          </w:p>
        </w:tc>
        <w:tc>
          <w:tcPr>
            <w:tcW w:w="1306" w:type="dxa"/>
          </w:tcPr>
          <w:p>
            <w:pPr>
              <w:pStyle w:val="TableParagraph"/>
              <w:ind w:left="180" w:right="278"/>
              <w:rPr>
                <w:sz w:val="24"/>
              </w:rPr>
            </w:pPr>
            <w:r>
              <w:rPr>
                <w:sz w:val="24"/>
              </w:rPr>
              <w:t>In</w:t>
            </w:r>
            <w:r>
              <w:rPr>
                <w:spacing w:val="-20"/>
                <w:sz w:val="24"/>
              </w:rPr>
              <w:t> </w:t>
            </w:r>
            <w:r>
              <w:rPr>
                <w:sz w:val="24"/>
              </w:rPr>
              <w:t>case of 3</w:t>
            </w:r>
          </w:p>
          <w:p>
            <w:pPr>
              <w:pStyle w:val="TableParagraph"/>
              <w:numPr>
                <w:ilvl w:val="0"/>
                <w:numId w:val="67"/>
              </w:numPr>
              <w:tabs>
                <w:tab w:pos="393" w:val="left" w:leader="none"/>
              </w:tabs>
              <w:spacing w:line="281" w:lineRule="exact" w:before="0" w:after="0"/>
              <w:ind w:left="393" w:right="0" w:hanging="287"/>
              <w:jc w:val="left"/>
              <w:rPr>
                <w:sz w:val="24"/>
              </w:rPr>
            </w:pPr>
            <w:r>
              <w:rPr>
                <w:spacing w:val="-4"/>
                <w:sz w:val="24"/>
              </w:rPr>
              <w:t>X=50</w:t>
            </w:r>
          </w:p>
          <w:p>
            <w:pPr>
              <w:pStyle w:val="TableParagraph"/>
              <w:numPr>
                <w:ilvl w:val="0"/>
                <w:numId w:val="67"/>
              </w:numPr>
              <w:tabs>
                <w:tab w:pos="403" w:val="left" w:leader="none"/>
              </w:tabs>
              <w:spacing w:line="281" w:lineRule="exact" w:before="0" w:after="0"/>
              <w:ind w:left="403" w:right="0" w:hanging="297"/>
              <w:jc w:val="left"/>
              <w:rPr>
                <w:sz w:val="24"/>
              </w:rPr>
            </w:pPr>
            <w:r>
              <w:rPr>
                <w:spacing w:val="-4"/>
                <w:sz w:val="24"/>
              </w:rPr>
              <w:t>Y=50</w:t>
            </w:r>
          </w:p>
        </w:tc>
      </w:tr>
      <w:tr>
        <w:trPr>
          <w:trHeight w:val="2733" w:hRule="atLeast"/>
        </w:trPr>
        <w:tc>
          <w:tcPr>
            <w:tcW w:w="560" w:type="dxa"/>
          </w:tcPr>
          <w:p>
            <w:pPr>
              <w:pStyle w:val="TableParagraph"/>
              <w:spacing w:line="281" w:lineRule="exact"/>
              <w:ind w:left="40" w:right="34"/>
              <w:jc w:val="center"/>
              <w:rPr>
                <w:sz w:val="24"/>
              </w:rPr>
            </w:pPr>
            <w:r>
              <w:rPr>
                <w:spacing w:val="-5"/>
                <w:sz w:val="24"/>
              </w:rPr>
              <w:t>46</w:t>
            </w:r>
          </w:p>
        </w:tc>
        <w:tc>
          <w:tcPr>
            <w:tcW w:w="1349" w:type="dxa"/>
            <w:vMerge/>
            <w:tcBorders>
              <w:top w:val="nil"/>
            </w:tcBorders>
          </w:tcPr>
          <w:p>
            <w:pPr>
              <w:rPr>
                <w:sz w:val="2"/>
                <w:szCs w:val="2"/>
              </w:rPr>
            </w:pPr>
          </w:p>
        </w:tc>
        <w:tc>
          <w:tcPr>
            <w:tcW w:w="1057" w:type="dxa"/>
          </w:tcPr>
          <w:p>
            <w:pPr>
              <w:pStyle w:val="TableParagraph"/>
              <w:spacing w:before="95"/>
              <w:ind w:left="107" w:right="209"/>
              <w:rPr>
                <w:sz w:val="24"/>
              </w:rPr>
            </w:pPr>
            <w:r>
              <w:rPr>
                <w:spacing w:val="-2"/>
                <w:sz w:val="24"/>
              </w:rPr>
              <w:t>RSA3. </w:t>
            </w:r>
            <w:r>
              <w:rPr>
                <w:spacing w:val="-10"/>
                <w:sz w:val="24"/>
              </w:rPr>
              <w:t>5</w:t>
            </w:r>
          </w:p>
        </w:tc>
        <w:tc>
          <w:tcPr>
            <w:tcW w:w="1260" w:type="dxa"/>
          </w:tcPr>
          <w:p>
            <w:pPr>
              <w:pStyle w:val="TableParagraph"/>
              <w:spacing w:before="95"/>
              <w:ind w:left="181" w:right="262"/>
              <w:rPr>
                <w:sz w:val="24"/>
              </w:rPr>
            </w:pPr>
            <w:r>
              <w:rPr>
                <w:spacing w:val="-2"/>
                <w:sz w:val="24"/>
              </w:rPr>
              <w:t>Museu </w:t>
            </w:r>
            <w:r>
              <w:rPr>
                <w:spacing w:val="-10"/>
                <w:sz w:val="24"/>
              </w:rPr>
              <w:t>m</w:t>
            </w:r>
          </w:p>
        </w:tc>
        <w:tc>
          <w:tcPr>
            <w:tcW w:w="2679" w:type="dxa"/>
          </w:tcPr>
          <w:p>
            <w:pPr>
              <w:pStyle w:val="TableParagraph"/>
              <w:spacing w:before="95"/>
              <w:ind w:left="106" w:right="148"/>
              <w:rPr>
                <w:sz w:val="24"/>
              </w:rPr>
            </w:pPr>
            <w:r>
              <w:rPr>
                <w:sz w:val="24"/>
              </w:rPr>
              <w:t>Museum, Art Gallery,</w:t>
            </w:r>
            <w:r>
              <w:rPr>
                <w:spacing w:val="-20"/>
                <w:sz w:val="24"/>
              </w:rPr>
              <w:t> </w:t>
            </w:r>
            <w:r>
              <w:rPr>
                <w:sz w:val="24"/>
              </w:rPr>
              <w:t>Exhibition Hall, Display Hall</w:t>
            </w:r>
          </w:p>
        </w:tc>
        <w:tc>
          <w:tcPr>
            <w:tcW w:w="2094" w:type="dxa"/>
          </w:tcPr>
          <w:p>
            <w:pPr>
              <w:pStyle w:val="TableParagraph"/>
              <w:spacing w:before="95"/>
              <w:ind w:left="94" w:right="55"/>
              <w:rPr>
                <w:sz w:val="24"/>
              </w:rPr>
            </w:pPr>
            <w:r>
              <w:rPr>
                <w:spacing w:val="-2"/>
                <w:sz w:val="24"/>
              </w:rPr>
              <w:t>Auditorium, </w:t>
            </w:r>
            <w:r>
              <w:rPr>
                <w:sz w:val="24"/>
              </w:rPr>
              <w:t>Drama</w:t>
            </w:r>
            <w:r>
              <w:rPr>
                <w:spacing w:val="-20"/>
                <w:sz w:val="24"/>
              </w:rPr>
              <w:t> </w:t>
            </w:r>
            <w:r>
              <w:rPr>
                <w:sz w:val="24"/>
              </w:rPr>
              <w:t>Theatre</w:t>
            </w:r>
          </w:p>
        </w:tc>
        <w:tc>
          <w:tcPr>
            <w:tcW w:w="1306" w:type="dxa"/>
          </w:tcPr>
          <w:p>
            <w:pPr>
              <w:pStyle w:val="TableParagraph"/>
              <w:spacing w:line="281" w:lineRule="exact" w:before="95"/>
              <w:ind w:left="106"/>
              <w:rPr>
                <w:sz w:val="24"/>
              </w:rPr>
            </w:pPr>
            <w:r>
              <w:rPr>
                <w:sz w:val="24"/>
              </w:rPr>
              <w:t>1 or 2</w:t>
            </w:r>
            <w:r>
              <w:rPr>
                <w:spacing w:val="-1"/>
                <w:sz w:val="24"/>
              </w:rPr>
              <w:t> </w:t>
            </w:r>
            <w:r>
              <w:rPr>
                <w:spacing w:val="-5"/>
                <w:sz w:val="24"/>
              </w:rPr>
              <w:t>or</w:t>
            </w:r>
          </w:p>
          <w:p>
            <w:pPr>
              <w:pStyle w:val="TableParagraph"/>
              <w:spacing w:line="281" w:lineRule="exact"/>
              <w:ind w:left="106"/>
              <w:rPr>
                <w:sz w:val="24"/>
              </w:rPr>
            </w:pPr>
            <w:r>
              <w:rPr>
                <w:spacing w:val="-10"/>
                <w:sz w:val="24"/>
              </w:rPr>
              <w:t>3</w:t>
            </w:r>
          </w:p>
          <w:p>
            <w:pPr>
              <w:pStyle w:val="TableParagraph"/>
              <w:spacing w:before="97"/>
              <w:ind w:left="106"/>
              <w:rPr>
                <w:sz w:val="24"/>
              </w:rPr>
            </w:pPr>
            <w:r>
              <w:rPr>
                <w:spacing w:val="-2"/>
                <w:sz w:val="24"/>
              </w:rPr>
              <w:t>Zb=30</w:t>
            </w:r>
          </w:p>
          <w:p>
            <w:pPr>
              <w:pStyle w:val="TableParagraph"/>
              <w:spacing w:before="95"/>
              <w:ind w:left="180" w:right="278"/>
              <w:rPr>
                <w:sz w:val="24"/>
              </w:rPr>
            </w:pPr>
            <w:r>
              <w:rPr>
                <w:sz w:val="24"/>
              </w:rPr>
              <w:t>In</w:t>
            </w:r>
            <w:r>
              <w:rPr>
                <w:spacing w:val="-20"/>
                <w:sz w:val="24"/>
              </w:rPr>
              <w:t> </w:t>
            </w:r>
            <w:r>
              <w:rPr>
                <w:sz w:val="24"/>
              </w:rPr>
              <w:t>case of 3</w:t>
            </w:r>
          </w:p>
          <w:p>
            <w:pPr>
              <w:pStyle w:val="TableParagraph"/>
              <w:numPr>
                <w:ilvl w:val="0"/>
                <w:numId w:val="68"/>
              </w:numPr>
              <w:tabs>
                <w:tab w:pos="467" w:val="left" w:leader="none"/>
              </w:tabs>
              <w:spacing w:line="240" w:lineRule="auto" w:before="1" w:after="0"/>
              <w:ind w:left="180" w:right="431" w:firstLine="0"/>
              <w:jc w:val="left"/>
              <w:rPr>
                <w:sz w:val="24"/>
              </w:rPr>
            </w:pPr>
            <w:r>
              <w:rPr>
                <w:sz w:val="24"/>
              </w:rPr>
              <w:t>X</w:t>
            </w:r>
            <w:r>
              <w:rPr>
                <w:spacing w:val="-20"/>
                <w:sz w:val="24"/>
              </w:rPr>
              <w:t> </w:t>
            </w:r>
            <w:r>
              <w:rPr>
                <w:sz w:val="24"/>
              </w:rPr>
              <w:t>= </w:t>
            </w:r>
            <w:r>
              <w:rPr>
                <w:spacing w:val="-6"/>
                <w:sz w:val="24"/>
              </w:rPr>
              <w:t>50</w:t>
            </w:r>
          </w:p>
          <w:p>
            <w:pPr>
              <w:pStyle w:val="TableParagraph"/>
              <w:numPr>
                <w:ilvl w:val="0"/>
                <w:numId w:val="68"/>
              </w:numPr>
              <w:tabs>
                <w:tab w:pos="479" w:val="left" w:leader="none"/>
              </w:tabs>
              <w:spacing w:line="240" w:lineRule="auto" w:before="97" w:after="0"/>
              <w:ind w:left="479" w:right="0" w:hanging="297"/>
              <w:jc w:val="left"/>
              <w:rPr>
                <w:sz w:val="24"/>
              </w:rPr>
            </w:pPr>
            <w:r>
              <w:rPr>
                <w:sz w:val="24"/>
              </w:rPr>
              <w:t>Y</w:t>
            </w:r>
            <w:r>
              <w:rPr>
                <w:spacing w:val="-1"/>
                <w:sz w:val="24"/>
              </w:rPr>
              <w:t> </w:t>
            </w:r>
            <w:r>
              <w:rPr>
                <w:sz w:val="24"/>
              </w:rPr>
              <w:t>= </w:t>
            </w:r>
            <w:r>
              <w:rPr>
                <w:spacing w:val="-5"/>
                <w:sz w:val="24"/>
              </w:rPr>
              <w:t>50</w:t>
            </w:r>
          </w:p>
        </w:tc>
      </w:tr>
      <w:tr>
        <w:trPr>
          <w:trHeight w:val="1972" w:hRule="atLeast"/>
        </w:trPr>
        <w:tc>
          <w:tcPr>
            <w:tcW w:w="560" w:type="dxa"/>
          </w:tcPr>
          <w:p>
            <w:pPr>
              <w:pStyle w:val="TableParagraph"/>
              <w:rPr>
                <w:b/>
                <w:sz w:val="24"/>
              </w:rPr>
            </w:pPr>
          </w:p>
          <w:p>
            <w:pPr>
              <w:pStyle w:val="TableParagraph"/>
              <w:ind w:left="40" w:right="34"/>
              <w:jc w:val="center"/>
              <w:rPr>
                <w:sz w:val="24"/>
              </w:rPr>
            </w:pPr>
            <w:r>
              <w:rPr>
                <w:spacing w:val="-5"/>
                <w:sz w:val="24"/>
              </w:rPr>
              <w:t>47</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ind w:left="107" w:right="209"/>
              <w:rPr>
                <w:sz w:val="24"/>
              </w:rPr>
            </w:pPr>
            <w:r>
              <w:rPr>
                <w:spacing w:val="-2"/>
                <w:sz w:val="24"/>
              </w:rPr>
              <w:t>RSA3. </w:t>
            </w:r>
            <w:r>
              <w:rPr>
                <w:spacing w:val="-10"/>
                <w:sz w:val="24"/>
              </w:rPr>
              <w:t>6</w:t>
            </w:r>
          </w:p>
        </w:tc>
        <w:tc>
          <w:tcPr>
            <w:tcW w:w="1260" w:type="dxa"/>
          </w:tcPr>
          <w:p>
            <w:pPr>
              <w:pStyle w:val="TableParagraph"/>
              <w:rPr>
                <w:b/>
                <w:sz w:val="24"/>
              </w:rPr>
            </w:pPr>
          </w:p>
          <w:p>
            <w:pPr>
              <w:pStyle w:val="TableParagraph"/>
              <w:ind w:left="106" w:right="302"/>
              <w:rPr>
                <w:sz w:val="24"/>
              </w:rPr>
            </w:pPr>
            <w:r>
              <w:rPr>
                <w:spacing w:val="-4"/>
                <w:sz w:val="24"/>
              </w:rPr>
              <w:t>Art </w:t>
            </w:r>
            <w:r>
              <w:rPr>
                <w:spacing w:val="-2"/>
                <w:sz w:val="24"/>
              </w:rPr>
              <w:t>Gallery</w:t>
            </w:r>
          </w:p>
        </w:tc>
        <w:tc>
          <w:tcPr>
            <w:tcW w:w="2679" w:type="dxa"/>
          </w:tcPr>
          <w:p>
            <w:pPr>
              <w:pStyle w:val="TableParagraph"/>
              <w:tabs>
                <w:tab w:pos="828" w:val="left" w:leader="none"/>
                <w:tab w:pos="1637" w:val="left" w:leader="none"/>
              </w:tabs>
              <w:ind w:left="106" w:right="97"/>
              <w:rPr>
                <w:sz w:val="24"/>
              </w:rPr>
            </w:pPr>
            <w:r>
              <w:rPr>
                <w:spacing w:val="-4"/>
                <w:sz w:val="24"/>
              </w:rPr>
              <w:t>Art</w:t>
            </w:r>
            <w:r>
              <w:rPr>
                <w:sz w:val="24"/>
              </w:rPr>
              <w:tab/>
            </w:r>
            <w:r>
              <w:rPr>
                <w:spacing w:val="-4"/>
                <w:sz w:val="24"/>
              </w:rPr>
              <w:t>and</w:t>
            </w:r>
            <w:r>
              <w:rPr>
                <w:sz w:val="24"/>
              </w:rPr>
              <w:tab/>
            </w:r>
            <w:r>
              <w:rPr>
                <w:spacing w:val="-2"/>
                <w:sz w:val="24"/>
              </w:rPr>
              <w:t>cultural facilities</w:t>
            </w:r>
          </w:p>
        </w:tc>
        <w:tc>
          <w:tcPr>
            <w:tcW w:w="2094" w:type="dxa"/>
          </w:tcPr>
          <w:p>
            <w:pPr>
              <w:pStyle w:val="TableParagraph"/>
              <w:tabs>
                <w:tab w:pos="1359" w:val="left" w:leader="none"/>
              </w:tabs>
              <w:ind w:left="106" w:right="81"/>
              <w:rPr>
                <w:sz w:val="24"/>
              </w:rPr>
            </w:pPr>
            <w:r>
              <w:rPr>
                <w:spacing w:val="-2"/>
                <w:sz w:val="24"/>
              </w:rPr>
              <w:t>Public</w:t>
            </w:r>
            <w:r>
              <w:rPr>
                <w:sz w:val="24"/>
              </w:rPr>
              <w:tab/>
            </w:r>
            <w:r>
              <w:rPr>
                <w:spacing w:val="-2"/>
                <w:sz w:val="24"/>
              </w:rPr>
              <w:t>Toilet facilities.ATM</w:t>
            </w:r>
          </w:p>
        </w:tc>
        <w:tc>
          <w:tcPr>
            <w:tcW w:w="1306" w:type="dxa"/>
          </w:tcPr>
          <w:p>
            <w:pPr>
              <w:pStyle w:val="TableParagraph"/>
              <w:spacing w:line="281" w:lineRule="exact"/>
              <w:ind w:left="182"/>
              <w:rPr>
                <w:sz w:val="24"/>
              </w:rPr>
            </w:pPr>
            <w:r>
              <w:rPr>
                <w:sz w:val="24"/>
              </w:rPr>
              <w:t>1 or 2 </w:t>
            </w:r>
            <w:r>
              <w:rPr>
                <w:spacing w:val="-5"/>
                <w:sz w:val="24"/>
              </w:rPr>
              <w:t>or</w:t>
            </w:r>
          </w:p>
          <w:p>
            <w:pPr>
              <w:pStyle w:val="TableParagraph"/>
              <w:spacing w:line="281" w:lineRule="exact" w:before="1"/>
              <w:ind w:left="106"/>
              <w:rPr>
                <w:sz w:val="24"/>
              </w:rPr>
            </w:pPr>
            <w:r>
              <w:rPr>
                <w:spacing w:val="-10"/>
                <w:sz w:val="24"/>
              </w:rPr>
              <w:t>3</w:t>
            </w:r>
          </w:p>
          <w:p>
            <w:pPr>
              <w:pStyle w:val="TableParagraph"/>
              <w:spacing w:line="281" w:lineRule="exact"/>
              <w:ind w:left="180"/>
              <w:rPr>
                <w:sz w:val="24"/>
              </w:rPr>
            </w:pPr>
            <w:r>
              <w:rPr>
                <w:spacing w:val="-2"/>
                <w:sz w:val="24"/>
              </w:rPr>
              <w:t>Zb=10</w:t>
            </w:r>
          </w:p>
          <w:p>
            <w:pPr>
              <w:pStyle w:val="TableParagraph"/>
              <w:ind w:left="180" w:right="278"/>
              <w:rPr>
                <w:sz w:val="24"/>
              </w:rPr>
            </w:pPr>
            <w:r>
              <w:rPr>
                <w:sz w:val="24"/>
              </w:rPr>
              <w:t>In</w:t>
            </w:r>
            <w:r>
              <w:rPr>
                <w:spacing w:val="-20"/>
                <w:sz w:val="24"/>
              </w:rPr>
              <w:t> </w:t>
            </w:r>
            <w:r>
              <w:rPr>
                <w:sz w:val="24"/>
              </w:rPr>
              <w:t>case of 3</w:t>
            </w:r>
          </w:p>
          <w:p>
            <w:pPr>
              <w:pStyle w:val="TableParagraph"/>
              <w:numPr>
                <w:ilvl w:val="0"/>
                <w:numId w:val="69"/>
              </w:numPr>
              <w:tabs>
                <w:tab w:pos="393" w:val="left" w:leader="none"/>
              </w:tabs>
              <w:spacing w:line="240" w:lineRule="auto" w:before="0" w:after="0"/>
              <w:ind w:left="393" w:right="0" w:hanging="287"/>
              <w:jc w:val="left"/>
              <w:rPr>
                <w:sz w:val="24"/>
              </w:rPr>
            </w:pPr>
            <w:r>
              <w:rPr>
                <w:spacing w:val="-4"/>
                <w:sz w:val="24"/>
              </w:rPr>
              <w:t>X=50</w:t>
            </w:r>
          </w:p>
          <w:p>
            <w:pPr>
              <w:pStyle w:val="TableParagraph"/>
              <w:numPr>
                <w:ilvl w:val="0"/>
                <w:numId w:val="69"/>
              </w:numPr>
              <w:tabs>
                <w:tab w:pos="403" w:val="left" w:leader="none"/>
              </w:tabs>
              <w:spacing w:line="261" w:lineRule="exact" w:before="2" w:after="0"/>
              <w:ind w:left="403" w:right="0" w:hanging="297"/>
              <w:jc w:val="left"/>
              <w:rPr>
                <w:sz w:val="24"/>
              </w:rPr>
            </w:pPr>
            <w:r>
              <w:rPr>
                <w:spacing w:val="-4"/>
                <w:sz w:val="24"/>
              </w:rPr>
              <w:t>Y=50</w:t>
            </w:r>
          </w:p>
        </w:tc>
      </w:tr>
      <w:tr>
        <w:trPr>
          <w:trHeight w:val="3662" w:hRule="atLeast"/>
        </w:trPr>
        <w:tc>
          <w:tcPr>
            <w:tcW w:w="560" w:type="dxa"/>
          </w:tcPr>
          <w:p>
            <w:pPr>
              <w:pStyle w:val="TableParagraph"/>
              <w:spacing w:before="281"/>
              <w:rPr>
                <w:b/>
                <w:sz w:val="24"/>
              </w:rPr>
            </w:pPr>
          </w:p>
          <w:p>
            <w:pPr>
              <w:pStyle w:val="TableParagraph"/>
              <w:ind w:left="40" w:right="34"/>
              <w:jc w:val="center"/>
              <w:rPr>
                <w:sz w:val="24"/>
              </w:rPr>
            </w:pPr>
            <w:r>
              <w:rPr>
                <w:spacing w:val="-5"/>
                <w:sz w:val="24"/>
              </w:rPr>
              <w:t>48</w:t>
            </w:r>
          </w:p>
        </w:tc>
        <w:tc>
          <w:tcPr>
            <w:tcW w:w="1349" w:type="dxa"/>
            <w:vMerge/>
            <w:tcBorders>
              <w:top w:val="nil"/>
            </w:tcBorders>
          </w:tcPr>
          <w:p>
            <w:pPr>
              <w:rPr>
                <w:sz w:val="2"/>
                <w:szCs w:val="2"/>
              </w:rPr>
            </w:pPr>
          </w:p>
        </w:tc>
        <w:tc>
          <w:tcPr>
            <w:tcW w:w="1057" w:type="dxa"/>
          </w:tcPr>
          <w:p>
            <w:pPr>
              <w:pStyle w:val="TableParagraph"/>
              <w:spacing w:before="280"/>
              <w:ind w:left="107" w:right="209"/>
              <w:rPr>
                <w:sz w:val="24"/>
              </w:rPr>
            </w:pPr>
            <w:r>
              <w:rPr>
                <w:spacing w:val="-2"/>
                <w:sz w:val="24"/>
              </w:rPr>
              <w:t>RSA3. </w:t>
            </w:r>
            <w:r>
              <w:rPr>
                <w:spacing w:val="-10"/>
                <w:sz w:val="24"/>
              </w:rPr>
              <w:t>7</w:t>
            </w:r>
          </w:p>
        </w:tc>
        <w:tc>
          <w:tcPr>
            <w:tcW w:w="1260" w:type="dxa"/>
          </w:tcPr>
          <w:p>
            <w:pPr>
              <w:pStyle w:val="TableParagraph"/>
              <w:spacing w:before="280"/>
              <w:ind w:left="106" w:right="278"/>
              <w:rPr>
                <w:sz w:val="24"/>
              </w:rPr>
            </w:pPr>
            <w:r>
              <w:rPr>
                <w:spacing w:val="-2"/>
                <w:sz w:val="24"/>
              </w:rPr>
              <w:t>Leisure </w:t>
            </w:r>
            <w:r>
              <w:rPr>
                <w:spacing w:val="-4"/>
                <w:sz w:val="24"/>
              </w:rPr>
              <w:t>Park</w:t>
            </w:r>
          </w:p>
        </w:tc>
        <w:tc>
          <w:tcPr>
            <w:tcW w:w="2679" w:type="dxa"/>
          </w:tcPr>
          <w:p>
            <w:pPr>
              <w:pStyle w:val="TableParagraph"/>
              <w:tabs>
                <w:tab w:pos="785" w:val="left" w:leader="none"/>
                <w:tab w:pos="1073" w:val="left" w:leader="none"/>
                <w:tab w:pos="1286" w:val="left" w:leader="none"/>
                <w:tab w:pos="1363" w:val="left" w:leader="none"/>
                <w:tab w:pos="1705" w:val="left" w:leader="none"/>
                <w:tab w:pos="1757" w:val="left" w:leader="none"/>
                <w:tab w:pos="1942" w:val="left" w:leader="none"/>
                <w:tab w:pos="1980" w:val="left" w:leader="none"/>
                <w:tab w:pos="2060" w:val="left" w:leader="none"/>
              </w:tabs>
              <w:ind w:left="66" w:right="97" w:firstLine="40"/>
              <w:rPr>
                <w:sz w:val="24"/>
              </w:rPr>
            </w:pPr>
            <w:r>
              <w:rPr>
                <w:sz w:val="24"/>
              </w:rPr>
              <w:t>Garden,</w:t>
            </w:r>
            <w:r>
              <w:rPr>
                <w:spacing w:val="40"/>
                <w:sz w:val="24"/>
              </w:rPr>
              <w:t> </w:t>
            </w:r>
            <w:r>
              <w:rPr>
                <w:sz w:val="24"/>
              </w:rPr>
              <w:t>Semi</w:t>
            </w:r>
            <w:r>
              <w:rPr>
                <w:spacing w:val="40"/>
                <w:sz w:val="24"/>
              </w:rPr>
              <w:t> </w:t>
            </w:r>
            <w:r>
              <w:rPr>
                <w:sz w:val="24"/>
              </w:rPr>
              <w:t>Open </w:t>
            </w:r>
            <w:r>
              <w:rPr>
                <w:spacing w:val="-2"/>
                <w:sz w:val="24"/>
              </w:rPr>
              <w:t>areas,</w:t>
            </w:r>
            <w:r>
              <w:rPr>
                <w:sz w:val="24"/>
              </w:rPr>
              <w:tab/>
              <w:tab/>
            </w:r>
            <w:r>
              <w:rPr>
                <w:spacing w:val="-4"/>
                <w:sz w:val="24"/>
              </w:rPr>
              <w:t>Food</w:t>
            </w:r>
            <w:r>
              <w:rPr>
                <w:sz w:val="24"/>
              </w:rPr>
              <w:tab/>
              <w:tab/>
              <w:tab/>
            </w:r>
            <w:r>
              <w:rPr>
                <w:spacing w:val="-2"/>
                <w:sz w:val="24"/>
              </w:rPr>
              <w:t>stalls </w:t>
            </w:r>
            <w:r>
              <w:rPr>
                <w:spacing w:val="-4"/>
                <w:sz w:val="24"/>
              </w:rPr>
              <w:t>with</w:t>
            </w:r>
            <w:r>
              <w:rPr>
                <w:sz w:val="24"/>
              </w:rPr>
              <w:tab/>
              <w:tab/>
              <w:tab/>
              <w:tab/>
            </w:r>
            <w:r>
              <w:rPr>
                <w:spacing w:val="-2"/>
                <w:sz w:val="24"/>
              </w:rPr>
              <w:t>temporary </w:t>
            </w:r>
            <w:r>
              <w:rPr>
                <w:sz w:val="24"/>
              </w:rPr>
              <w:t>roofing</w:t>
            </w:r>
            <w:r>
              <w:rPr>
                <w:spacing w:val="37"/>
                <w:sz w:val="24"/>
              </w:rPr>
              <w:t> </w:t>
            </w:r>
            <w:r>
              <w:rPr>
                <w:sz w:val="24"/>
              </w:rPr>
              <w:t>facility,</w:t>
            </w:r>
            <w:r>
              <w:rPr>
                <w:spacing w:val="37"/>
                <w:sz w:val="24"/>
              </w:rPr>
              <w:t> </w:t>
            </w:r>
            <w:r>
              <w:rPr>
                <w:sz w:val="24"/>
              </w:rPr>
              <w:t>Food </w:t>
            </w:r>
            <w:r>
              <w:rPr>
                <w:spacing w:val="-2"/>
                <w:sz w:val="24"/>
              </w:rPr>
              <w:t>courts</w:t>
            </w:r>
            <w:r>
              <w:rPr>
                <w:sz w:val="24"/>
              </w:rPr>
              <w:tab/>
              <w:tab/>
              <w:tab/>
              <w:tab/>
              <w:tab/>
              <w:tab/>
              <w:tab/>
              <w:tab/>
            </w:r>
            <w:r>
              <w:rPr>
                <w:spacing w:val="-4"/>
                <w:sz w:val="24"/>
              </w:rPr>
              <w:t>with </w:t>
            </w:r>
            <w:r>
              <w:rPr>
                <w:spacing w:val="-2"/>
                <w:sz w:val="24"/>
              </w:rPr>
              <w:t>temporary</w:t>
            </w:r>
            <w:r>
              <w:rPr>
                <w:sz w:val="24"/>
              </w:rPr>
              <w:tab/>
              <w:tab/>
              <w:tab/>
              <w:tab/>
            </w:r>
            <w:r>
              <w:rPr>
                <w:spacing w:val="-2"/>
                <w:sz w:val="24"/>
              </w:rPr>
              <w:t>roofing </w:t>
            </w:r>
            <w:r>
              <w:rPr>
                <w:sz w:val="24"/>
              </w:rPr>
              <w:t>facility,</w:t>
            </w:r>
            <w:r>
              <w:rPr>
                <w:spacing w:val="-15"/>
                <w:sz w:val="24"/>
              </w:rPr>
              <w:t> </w:t>
            </w:r>
            <w:r>
              <w:rPr>
                <w:sz w:val="24"/>
              </w:rPr>
              <w:t>Open</w:t>
            </w:r>
            <w:r>
              <w:rPr>
                <w:spacing w:val="-15"/>
                <w:sz w:val="24"/>
              </w:rPr>
              <w:t> </w:t>
            </w:r>
            <w:r>
              <w:rPr>
                <w:sz w:val="24"/>
              </w:rPr>
              <w:t>spaces, </w:t>
            </w:r>
            <w:r>
              <w:rPr>
                <w:spacing w:val="-2"/>
                <w:sz w:val="24"/>
              </w:rPr>
              <w:t>Children</w:t>
            </w:r>
            <w:r>
              <w:rPr>
                <w:sz w:val="24"/>
              </w:rPr>
              <w:tab/>
              <w:tab/>
            </w:r>
            <w:r>
              <w:rPr>
                <w:spacing w:val="-4"/>
                <w:sz w:val="24"/>
              </w:rPr>
              <w:t>play</w:t>
            </w:r>
            <w:r>
              <w:rPr>
                <w:sz w:val="24"/>
              </w:rPr>
              <w:tab/>
              <w:tab/>
            </w:r>
            <w:r>
              <w:rPr>
                <w:spacing w:val="-76"/>
                <w:sz w:val="24"/>
              </w:rPr>
              <w:t> </w:t>
            </w:r>
            <w:r>
              <w:rPr>
                <w:spacing w:val="-2"/>
                <w:sz w:val="24"/>
              </w:rPr>
              <w:t>area, </w:t>
            </w:r>
            <w:r>
              <w:rPr>
                <w:spacing w:val="-4"/>
                <w:sz w:val="24"/>
              </w:rPr>
              <w:t>Art</w:t>
            </w:r>
            <w:r>
              <w:rPr>
                <w:sz w:val="24"/>
              </w:rPr>
              <w:tab/>
            </w:r>
            <w:r>
              <w:rPr>
                <w:spacing w:val="-2"/>
                <w:sz w:val="24"/>
              </w:rPr>
              <w:t>display</w:t>
            </w:r>
            <w:r>
              <w:rPr>
                <w:sz w:val="24"/>
              </w:rPr>
              <w:tab/>
              <w:tab/>
              <w:tab/>
              <w:tab/>
            </w:r>
            <w:r>
              <w:rPr>
                <w:spacing w:val="-4"/>
                <w:sz w:val="24"/>
              </w:rPr>
              <w:t>area, </w:t>
            </w:r>
            <w:r>
              <w:rPr>
                <w:spacing w:val="-2"/>
                <w:sz w:val="24"/>
              </w:rPr>
              <w:t>Cultural</w:t>
            </w:r>
            <w:r>
              <w:rPr>
                <w:sz w:val="24"/>
              </w:rPr>
              <w:tab/>
              <w:tab/>
              <w:tab/>
              <w:tab/>
            </w:r>
            <w:r>
              <w:rPr>
                <w:spacing w:val="-2"/>
                <w:sz w:val="24"/>
              </w:rPr>
              <w:t>spaces, Amphitheaters,</w:t>
            </w:r>
            <w:r>
              <w:rPr>
                <w:spacing w:val="80"/>
                <w:sz w:val="24"/>
              </w:rPr>
              <w:t> </w:t>
            </w:r>
            <w:r>
              <w:rPr>
                <w:sz w:val="24"/>
              </w:rPr>
              <w:t>water</w:t>
            </w:r>
            <w:r>
              <w:rPr>
                <w:spacing w:val="40"/>
                <w:sz w:val="24"/>
              </w:rPr>
              <w:t> </w:t>
            </w:r>
            <w:r>
              <w:rPr>
                <w:sz w:val="24"/>
              </w:rPr>
              <w:t>sports</w:t>
            </w:r>
            <w:r>
              <w:rPr>
                <w:spacing w:val="40"/>
                <w:sz w:val="24"/>
              </w:rPr>
              <w:t> </w:t>
            </w:r>
            <w:r>
              <w:rPr>
                <w:sz w:val="24"/>
              </w:rPr>
              <w:t>facility</w:t>
            </w:r>
          </w:p>
          <w:p>
            <w:pPr>
              <w:pStyle w:val="TableParagraph"/>
              <w:spacing w:line="261" w:lineRule="exact"/>
              <w:ind w:left="66"/>
              <w:rPr>
                <w:sz w:val="24"/>
              </w:rPr>
            </w:pPr>
            <w:r>
              <w:rPr>
                <w:spacing w:val="-4"/>
                <w:sz w:val="24"/>
              </w:rPr>
              <w:t>etc.</w:t>
            </w:r>
          </w:p>
        </w:tc>
        <w:tc>
          <w:tcPr>
            <w:tcW w:w="2094" w:type="dxa"/>
          </w:tcPr>
          <w:p>
            <w:pPr>
              <w:pStyle w:val="TableParagraph"/>
              <w:spacing w:before="280"/>
              <w:ind w:left="106" w:right="55"/>
              <w:rPr>
                <w:sz w:val="24"/>
              </w:rPr>
            </w:pPr>
            <w:r>
              <w:rPr>
                <w:spacing w:val="-2"/>
                <w:sz w:val="24"/>
              </w:rPr>
              <w:t>Watchman cabin,</w:t>
            </w:r>
            <w:r>
              <w:rPr>
                <w:spacing w:val="-20"/>
                <w:sz w:val="24"/>
              </w:rPr>
              <w:t> </w:t>
            </w:r>
            <w:r>
              <w:rPr>
                <w:spacing w:val="-2"/>
                <w:sz w:val="24"/>
              </w:rPr>
              <w:t>Gardener </w:t>
            </w:r>
            <w:r>
              <w:rPr>
                <w:sz w:val="24"/>
              </w:rPr>
              <w:t>chowky,</w:t>
            </w:r>
            <w:r>
              <w:rPr>
                <w:spacing w:val="73"/>
                <w:sz w:val="24"/>
              </w:rPr>
              <w:t> </w:t>
            </w:r>
            <w:r>
              <w:rPr>
                <w:sz w:val="24"/>
              </w:rPr>
              <w:t>Public toilet facilities.</w:t>
            </w:r>
          </w:p>
        </w:tc>
        <w:tc>
          <w:tcPr>
            <w:tcW w:w="1306" w:type="dxa"/>
          </w:tcPr>
          <w:p>
            <w:pPr>
              <w:pStyle w:val="TableParagraph"/>
              <w:ind w:left="106" w:right="278"/>
              <w:rPr>
                <w:sz w:val="24"/>
              </w:rPr>
            </w:pPr>
            <w:r>
              <w:rPr>
                <w:sz w:val="24"/>
              </w:rPr>
              <w:t>1 or 3 In</w:t>
            </w:r>
            <w:r>
              <w:rPr>
                <w:spacing w:val="-20"/>
                <w:sz w:val="24"/>
              </w:rPr>
              <w:t> </w:t>
            </w:r>
            <w:r>
              <w:rPr>
                <w:sz w:val="24"/>
              </w:rPr>
              <w:t>case of 3</w:t>
            </w:r>
          </w:p>
          <w:p>
            <w:pPr>
              <w:pStyle w:val="TableParagraph"/>
              <w:spacing w:line="281" w:lineRule="exact"/>
              <w:ind w:left="259"/>
              <w:rPr>
                <w:sz w:val="24"/>
              </w:rPr>
            </w:pPr>
            <w:r>
              <w:rPr>
                <w:spacing w:val="-4"/>
                <w:sz w:val="24"/>
              </w:rPr>
              <w:t>Y=70</w:t>
            </w:r>
          </w:p>
        </w:tc>
      </w:tr>
      <w:tr>
        <w:trPr>
          <w:trHeight w:val="474"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spacing w:before="95"/>
              <w:ind w:left="106" w:right="-15"/>
              <w:rPr>
                <w:sz w:val="24"/>
              </w:rPr>
            </w:pPr>
            <w:r>
              <w:rPr>
                <w:sz w:val="24"/>
              </w:rPr>
              <w:t>Cemetery,</w:t>
            </w:r>
            <w:r>
              <w:rPr>
                <w:spacing w:val="78"/>
                <w:sz w:val="24"/>
              </w:rPr>
              <w:t> </w:t>
            </w:r>
            <w:r>
              <w:rPr>
                <w:spacing w:val="-2"/>
                <w:sz w:val="24"/>
              </w:rPr>
              <w:t>Cremation</w:t>
            </w:r>
          </w:p>
        </w:tc>
        <w:tc>
          <w:tcPr>
            <w:tcW w:w="2094" w:type="dxa"/>
          </w:tcPr>
          <w:p>
            <w:pPr>
              <w:pStyle w:val="TableParagraph"/>
              <w:tabs>
                <w:tab w:pos="1666" w:val="left" w:leader="none"/>
              </w:tabs>
              <w:spacing w:before="95"/>
              <w:ind w:left="106"/>
              <w:rPr>
                <w:sz w:val="24"/>
              </w:rPr>
            </w:pPr>
            <w:r>
              <w:rPr>
                <w:spacing w:val="-2"/>
                <w:sz w:val="24"/>
              </w:rPr>
              <w:t>Storage</w:t>
            </w:r>
            <w:r>
              <w:rPr>
                <w:sz w:val="24"/>
              </w:rPr>
              <w:tab/>
            </w:r>
            <w:r>
              <w:rPr>
                <w:spacing w:val="-5"/>
                <w:sz w:val="24"/>
              </w:rPr>
              <w:t>for</w:t>
            </w:r>
          </w:p>
        </w:tc>
        <w:tc>
          <w:tcPr>
            <w:tcW w:w="1306" w:type="dxa"/>
          </w:tcPr>
          <w:p>
            <w:pPr>
              <w:pStyle w:val="TableParagraph"/>
              <w:spacing w:before="95"/>
              <w:ind w:left="106"/>
              <w:rPr>
                <w:sz w:val="24"/>
              </w:rPr>
            </w:pPr>
            <w:r>
              <w:rPr>
                <w:sz w:val="24"/>
              </w:rPr>
              <w:t>1 or </w:t>
            </w:r>
            <w:r>
              <w:rPr>
                <w:spacing w:val="-10"/>
                <w:sz w:val="24"/>
              </w:rPr>
              <w:t>3</w:t>
            </w:r>
          </w:p>
        </w:tc>
      </w:tr>
    </w:tbl>
    <w:p>
      <w:pPr>
        <w:pStyle w:val="TableParagraph"/>
        <w:spacing w:after="0"/>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3009" w:hRule="atLeast"/>
        </w:trPr>
        <w:tc>
          <w:tcPr>
            <w:tcW w:w="560" w:type="dxa"/>
          </w:tcPr>
          <w:p>
            <w:pPr>
              <w:pStyle w:val="TableParagraph"/>
              <w:rPr>
                <w:b/>
                <w:sz w:val="24"/>
              </w:rPr>
            </w:pPr>
          </w:p>
          <w:p>
            <w:pPr>
              <w:pStyle w:val="TableParagraph"/>
              <w:spacing w:before="280"/>
              <w:rPr>
                <w:b/>
                <w:sz w:val="24"/>
              </w:rPr>
            </w:pPr>
          </w:p>
          <w:p>
            <w:pPr>
              <w:pStyle w:val="TableParagraph"/>
              <w:ind w:left="40" w:right="34"/>
              <w:jc w:val="center"/>
              <w:rPr>
                <w:sz w:val="24"/>
              </w:rPr>
            </w:pPr>
            <w:r>
              <w:rPr>
                <w:spacing w:val="-5"/>
                <w:sz w:val="24"/>
              </w:rPr>
              <w:t>49</w:t>
            </w:r>
          </w:p>
        </w:tc>
        <w:tc>
          <w:tcPr>
            <w:tcW w:w="1349" w:type="dxa"/>
            <w:vMerge/>
            <w:tcBorders>
              <w:top w:val="nil"/>
            </w:tcBorders>
          </w:tcPr>
          <w:p>
            <w:pPr>
              <w:rPr>
                <w:sz w:val="2"/>
                <w:szCs w:val="2"/>
              </w:rPr>
            </w:pPr>
          </w:p>
        </w:tc>
        <w:tc>
          <w:tcPr>
            <w:tcW w:w="1057" w:type="dxa"/>
          </w:tcPr>
          <w:p>
            <w:pPr>
              <w:pStyle w:val="TableParagraph"/>
              <w:spacing w:before="94"/>
              <w:rPr>
                <w:b/>
                <w:sz w:val="24"/>
              </w:rPr>
            </w:pPr>
          </w:p>
          <w:p>
            <w:pPr>
              <w:pStyle w:val="TableParagraph"/>
              <w:ind w:left="107" w:right="209"/>
              <w:rPr>
                <w:sz w:val="24"/>
              </w:rPr>
            </w:pPr>
            <w:r>
              <w:rPr>
                <w:spacing w:val="-2"/>
                <w:sz w:val="24"/>
              </w:rPr>
              <w:t>RSA4. </w:t>
            </w:r>
            <w:r>
              <w:rPr>
                <w:spacing w:val="-10"/>
                <w:sz w:val="24"/>
              </w:rPr>
              <w:t>8</w:t>
            </w:r>
          </w:p>
        </w:tc>
        <w:tc>
          <w:tcPr>
            <w:tcW w:w="1260" w:type="dxa"/>
          </w:tcPr>
          <w:p>
            <w:pPr>
              <w:pStyle w:val="TableParagraph"/>
              <w:spacing w:before="94"/>
              <w:rPr>
                <w:b/>
                <w:sz w:val="24"/>
              </w:rPr>
            </w:pPr>
          </w:p>
          <w:p>
            <w:pPr>
              <w:pStyle w:val="TableParagraph"/>
              <w:ind w:left="106" w:right="163"/>
              <w:rPr>
                <w:sz w:val="24"/>
              </w:rPr>
            </w:pPr>
            <w:r>
              <w:rPr>
                <w:spacing w:val="-2"/>
                <w:sz w:val="24"/>
              </w:rPr>
              <w:t>Cemeter </w:t>
            </w:r>
            <w:r>
              <w:rPr>
                <w:spacing w:val="-10"/>
                <w:sz w:val="24"/>
              </w:rPr>
              <w:t>y</w:t>
            </w:r>
          </w:p>
        </w:tc>
        <w:tc>
          <w:tcPr>
            <w:tcW w:w="2679" w:type="dxa"/>
          </w:tcPr>
          <w:p>
            <w:pPr>
              <w:pStyle w:val="TableParagraph"/>
              <w:tabs>
                <w:tab w:pos="1443" w:val="left" w:leader="none"/>
                <w:tab w:pos="1942" w:val="left" w:leader="none"/>
              </w:tabs>
              <w:ind w:left="106" w:right="-15"/>
              <w:rPr>
                <w:sz w:val="24"/>
              </w:rPr>
            </w:pPr>
            <w:r>
              <w:rPr>
                <w:spacing w:val="-2"/>
                <w:sz w:val="24"/>
              </w:rPr>
              <w:t>Ground,</w:t>
            </w:r>
            <w:r>
              <w:rPr>
                <w:sz w:val="24"/>
              </w:rPr>
              <w:tab/>
              <w:tab/>
            </w:r>
            <w:r>
              <w:rPr>
                <w:spacing w:val="-2"/>
                <w:sz w:val="24"/>
              </w:rPr>
              <w:t>Burial Ground, Electric/gas/Diesel/ Petrol</w:t>
            </w:r>
            <w:r>
              <w:rPr>
                <w:sz w:val="24"/>
              </w:rPr>
              <w:tab/>
            </w:r>
            <w:r>
              <w:rPr>
                <w:spacing w:val="-2"/>
                <w:sz w:val="24"/>
              </w:rPr>
              <w:t>Cremation </w:t>
            </w:r>
            <w:r>
              <w:rPr>
                <w:sz w:val="24"/>
              </w:rPr>
              <w:t>Unit, Pyre shed</w:t>
            </w:r>
          </w:p>
        </w:tc>
        <w:tc>
          <w:tcPr>
            <w:tcW w:w="2094" w:type="dxa"/>
          </w:tcPr>
          <w:p>
            <w:pPr>
              <w:pStyle w:val="TableParagraph"/>
              <w:ind w:left="106" w:right="98"/>
              <w:jc w:val="both"/>
              <w:rPr>
                <w:sz w:val="24"/>
              </w:rPr>
            </w:pPr>
            <w:r>
              <w:rPr>
                <w:sz w:val="24"/>
              </w:rPr>
              <w:t>Wood,</w:t>
            </w:r>
            <w:r>
              <w:rPr>
                <w:spacing w:val="-9"/>
                <w:sz w:val="24"/>
              </w:rPr>
              <w:t> </w:t>
            </w:r>
            <w:r>
              <w:rPr>
                <w:sz w:val="24"/>
              </w:rPr>
              <w:t>Facilities for Mourners, For Performing Rituals, Prayer Hall, Religious Facility, Water Body etc.</w:t>
            </w:r>
          </w:p>
        </w:tc>
        <w:tc>
          <w:tcPr>
            <w:tcW w:w="1306" w:type="dxa"/>
          </w:tcPr>
          <w:p>
            <w:pPr>
              <w:pStyle w:val="TableParagraph"/>
              <w:spacing w:line="281" w:lineRule="exact"/>
              <w:ind w:left="106"/>
              <w:rPr>
                <w:sz w:val="24"/>
              </w:rPr>
            </w:pPr>
            <w:r>
              <w:rPr>
                <w:spacing w:val="-2"/>
                <w:sz w:val="24"/>
              </w:rPr>
              <w:t>Zb=15</w:t>
            </w:r>
          </w:p>
          <w:p>
            <w:pPr>
              <w:pStyle w:val="TableParagraph"/>
              <w:spacing w:before="95"/>
              <w:ind w:left="106" w:right="90"/>
              <w:rPr>
                <w:sz w:val="24"/>
              </w:rPr>
            </w:pPr>
            <w:r>
              <w:rPr>
                <w:sz w:val="24"/>
              </w:rPr>
              <w:t>In</w:t>
            </w:r>
            <w:r>
              <w:rPr>
                <w:spacing w:val="-20"/>
                <w:sz w:val="24"/>
              </w:rPr>
              <w:t> </w:t>
            </w:r>
            <w:r>
              <w:rPr>
                <w:sz w:val="24"/>
              </w:rPr>
              <w:t>case</w:t>
            </w:r>
            <w:r>
              <w:rPr>
                <w:spacing w:val="-19"/>
                <w:sz w:val="24"/>
              </w:rPr>
              <w:t> </w:t>
            </w:r>
            <w:r>
              <w:rPr>
                <w:sz w:val="24"/>
              </w:rPr>
              <w:t>of </w:t>
            </w:r>
            <w:r>
              <w:rPr>
                <w:spacing w:val="-6"/>
                <w:sz w:val="24"/>
              </w:rPr>
              <w:t>3,</w:t>
            </w:r>
          </w:p>
          <w:p>
            <w:pPr>
              <w:pStyle w:val="TableParagraph"/>
              <w:tabs>
                <w:tab w:pos="600" w:val="left" w:leader="none"/>
              </w:tabs>
              <w:ind w:left="106" w:right="98"/>
              <w:rPr>
                <w:sz w:val="24"/>
              </w:rPr>
            </w:pPr>
            <w:r>
              <w:rPr>
                <w:spacing w:val="-2"/>
                <w:sz w:val="24"/>
              </w:rPr>
              <w:t>Y=70and minimu </w:t>
            </w:r>
            <w:r>
              <w:rPr>
                <w:sz w:val="24"/>
              </w:rPr>
              <w:t>m</w:t>
            </w:r>
            <w:r>
              <w:rPr>
                <w:spacing w:val="-20"/>
                <w:sz w:val="24"/>
              </w:rPr>
              <w:t> </w:t>
            </w:r>
            <w:r>
              <w:rPr>
                <w:sz w:val="24"/>
              </w:rPr>
              <w:t>area</w:t>
            </w:r>
            <w:r>
              <w:rPr>
                <w:spacing w:val="-19"/>
                <w:sz w:val="24"/>
              </w:rPr>
              <w:t> </w:t>
            </w:r>
            <w:r>
              <w:rPr>
                <w:sz w:val="24"/>
              </w:rPr>
              <w:t>of </w:t>
            </w:r>
            <w:r>
              <w:rPr>
                <w:spacing w:val="-2"/>
                <w:sz w:val="24"/>
              </w:rPr>
              <w:t>reserved </w:t>
            </w:r>
            <w:r>
              <w:rPr>
                <w:sz w:val="24"/>
              </w:rPr>
              <w:t>plot</w:t>
            </w:r>
            <w:r>
              <w:rPr>
                <w:spacing w:val="-20"/>
                <w:sz w:val="24"/>
              </w:rPr>
              <w:t> </w:t>
            </w:r>
            <w:r>
              <w:rPr>
                <w:sz w:val="24"/>
              </w:rPr>
              <w:t>shall </w:t>
            </w:r>
            <w:r>
              <w:rPr>
                <w:spacing w:val="-6"/>
                <w:sz w:val="24"/>
              </w:rPr>
              <w:t>be</w:t>
            </w:r>
            <w:r>
              <w:rPr>
                <w:sz w:val="24"/>
              </w:rPr>
              <w:tab/>
            </w:r>
            <w:r>
              <w:rPr>
                <w:spacing w:val="-4"/>
                <w:sz w:val="24"/>
              </w:rPr>
              <w:t>1000 </w:t>
            </w:r>
            <w:r>
              <w:rPr>
                <w:sz w:val="24"/>
              </w:rPr>
              <w:t>sq. m.</w:t>
            </w:r>
          </w:p>
        </w:tc>
      </w:tr>
      <w:tr>
        <w:trPr>
          <w:trHeight w:val="3098" w:hRule="atLeast"/>
        </w:trPr>
        <w:tc>
          <w:tcPr>
            <w:tcW w:w="560" w:type="dxa"/>
          </w:tcPr>
          <w:p>
            <w:pPr>
              <w:pStyle w:val="TableParagraph"/>
              <w:spacing w:before="280"/>
              <w:ind w:left="40" w:right="34"/>
              <w:jc w:val="center"/>
              <w:rPr>
                <w:sz w:val="24"/>
              </w:rPr>
            </w:pPr>
            <w:r>
              <w:rPr>
                <w:spacing w:val="-5"/>
                <w:sz w:val="24"/>
              </w:rPr>
              <w:t>50</w:t>
            </w:r>
          </w:p>
        </w:tc>
        <w:tc>
          <w:tcPr>
            <w:tcW w:w="1349" w:type="dxa"/>
            <w:vMerge/>
            <w:tcBorders>
              <w:top w:val="nil"/>
            </w:tcBorders>
          </w:tcPr>
          <w:p>
            <w:pPr>
              <w:rPr>
                <w:sz w:val="2"/>
                <w:szCs w:val="2"/>
              </w:rPr>
            </w:pPr>
          </w:p>
        </w:tc>
        <w:tc>
          <w:tcPr>
            <w:tcW w:w="1057" w:type="dxa"/>
          </w:tcPr>
          <w:p>
            <w:pPr>
              <w:pStyle w:val="TableParagraph"/>
              <w:ind w:left="107" w:right="209"/>
              <w:rPr>
                <w:sz w:val="24"/>
              </w:rPr>
            </w:pPr>
            <w:r>
              <w:rPr>
                <w:spacing w:val="-2"/>
                <w:sz w:val="24"/>
              </w:rPr>
              <w:t>RSA4. </w:t>
            </w:r>
            <w:r>
              <w:rPr>
                <w:spacing w:val="-10"/>
                <w:sz w:val="24"/>
              </w:rPr>
              <w:t>9</w:t>
            </w:r>
          </w:p>
        </w:tc>
        <w:tc>
          <w:tcPr>
            <w:tcW w:w="1260" w:type="dxa"/>
          </w:tcPr>
          <w:p>
            <w:pPr>
              <w:pStyle w:val="TableParagraph"/>
              <w:ind w:left="181" w:right="88"/>
              <w:rPr>
                <w:sz w:val="24"/>
              </w:rPr>
            </w:pPr>
            <w:r>
              <w:rPr>
                <w:sz w:val="24"/>
              </w:rPr>
              <w:t>Old</w:t>
            </w:r>
            <w:r>
              <w:rPr>
                <w:spacing w:val="24"/>
                <w:sz w:val="24"/>
              </w:rPr>
              <w:t> </w:t>
            </w:r>
            <w:r>
              <w:rPr>
                <w:sz w:val="24"/>
              </w:rPr>
              <w:t>Age </w:t>
            </w:r>
            <w:r>
              <w:rPr>
                <w:spacing w:val="-4"/>
                <w:sz w:val="24"/>
              </w:rPr>
              <w:t>Home</w:t>
            </w:r>
          </w:p>
        </w:tc>
        <w:tc>
          <w:tcPr>
            <w:tcW w:w="2679" w:type="dxa"/>
          </w:tcPr>
          <w:p>
            <w:pPr>
              <w:pStyle w:val="TableParagraph"/>
              <w:tabs>
                <w:tab w:pos="833" w:val="left" w:leader="none"/>
                <w:tab w:pos="1126" w:val="left" w:leader="none"/>
                <w:tab w:pos="1215" w:val="left" w:leader="none"/>
                <w:tab w:pos="1676" w:val="left" w:leader="none"/>
                <w:tab w:pos="1758" w:val="left" w:leader="none"/>
                <w:tab w:pos="1834" w:val="left" w:leader="none"/>
                <w:tab w:pos="1951" w:val="left" w:leader="none"/>
                <w:tab w:pos="2039" w:val="left" w:leader="none"/>
                <w:tab w:pos="2437" w:val="left" w:leader="none"/>
              </w:tabs>
              <w:ind w:left="106" w:right="80"/>
              <w:rPr>
                <w:sz w:val="24"/>
              </w:rPr>
            </w:pPr>
            <w:r>
              <w:rPr>
                <w:spacing w:val="-2"/>
                <w:sz w:val="24"/>
              </w:rPr>
              <w:t>Dormitories</w:t>
            </w:r>
            <w:r>
              <w:rPr>
                <w:sz w:val="24"/>
              </w:rPr>
              <w:tab/>
              <w:tab/>
              <w:tab/>
              <w:tab/>
            </w:r>
            <w:r>
              <w:rPr>
                <w:spacing w:val="-2"/>
                <w:sz w:val="24"/>
              </w:rPr>
              <w:t>along </w:t>
            </w:r>
            <w:r>
              <w:rPr>
                <w:spacing w:val="-4"/>
                <w:sz w:val="24"/>
              </w:rPr>
              <w:t>with</w:t>
            </w:r>
            <w:r>
              <w:rPr>
                <w:sz w:val="24"/>
              </w:rPr>
              <w:tab/>
            </w:r>
            <w:r>
              <w:rPr>
                <w:spacing w:val="-73"/>
                <w:sz w:val="24"/>
              </w:rPr>
              <w:t> </w:t>
            </w:r>
            <w:r>
              <w:rPr>
                <w:spacing w:val="-2"/>
                <w:sz w:val="24"/>
              </w:rPr>
              <w:t>other</w:t>
            </w:r>
            <w:r>
              <w:rPr>
                <w:sz w:val="24"/>
              </w:rPr>
              <w:tab/>
            </w:r>
            <w:r>
              <w:rPr>
                <w:spacing w:val="-4"/>
                <w:sz w:val="24"/>
              </w:rPr>
              <w:t>uses</w:t>
            </w:r>
            <w:r>
              <w:rPr>
                <w:sz w:val="24"/>
              </w:rPr>
              <w:tab/>
            </w:r>
            <w:r>
              <w:rPr>
                <w:spacing w:val="-6"/>
                <w:sz w:val="24"/>
              </w:rPr>
              <w:t>if </w:t>
            </w:r>
            <w:r>
              <w:rPr>
                <w:spacing w:val="-4"/>
                <w:sz w:val="24"/>
              </w:rPr>
              <w:t>any,</w:t>
            </w:r>
            <w:r>
              <w:rPr>
                <w:sz w:val="24"/>
              </w:rPr>
              <w:tab/>
            </w:r>
            <w:r>
              <w:rPr>
                <w:spacing w:val="-2"/>
                <w:sz w:val="24"/>
              </w:rPr>
              <w:t>Health</w:t>
            </w:r>
            <w:r>
              <w:rPr>
                <w:sz w:val="24"/>
              </w:rPr>
              <w:tab/>
              <w:tab/>
              <w:tab/>
            </w:r>
            <w:r>
              <w:rPr>
                <w:spacing w:val="-2"/>
                <w:sz w:val="24"/>
              </w:rPr>
              <w:t>Clinic, Canteen, Recreational</w:t>
            </w:r>
            <w:r>
              <w:rPr>
                <w:sz w:val="24"/>
              </w:rPr>
              <w:tab/>
              <w:tab/>
              <w:tab/>
              <w:tab/>
            </w:r>
            <w:r>
              <w:rPr>
                <w:spacing w:val="-53"/>
                <w:sz w:val="24"/>
              </w:rPr>
              <w:t> </w:t>
            </w:r>
            <w:r>
              <w:rPr>
                <w:spacing w:val="-2"/>
                <w:sz w:val="24"/>
              </w:rPr>
              <w:t>Area, Office,</w:t>
            </w:r>
            <w:r>
              <w:rPr>
                <w:sz w:val="24"/>
              </w:rPr>
              <w:tab/>
              <w:tab/>
            </w:r>
            <w:r>
              <w:rPr>
                <w:spacing w:val="-4"/>
                <w:sz w:val="24"/>
              </w:rPr>
              <w:t>Day</w:t>
            </w:r>
            <w:r>
              <w:rPr>
                <w:sz w:val="24"/>
              </w:rPr>
              <w:tab/>
              <w:tab/>
              <w:tab/>
              <w:tab/>
            </w:r>
            <w:r>
              <w:rPr>
                <w:spacing w:val="-76"/>
                <w:sz w:val="24"/>
              </w:rPr>
              <w:t> </w:t>
            </w:r>
            <w:r>
              <w:rPr>
                <w:spacing w:val="-4"/>
                <w:sz w:val="24"/>
              </w:rPr>
              <w:t>Care </w:t>
            </w:r>
            <w:r>
              <w:rPr>
                <w:spacing w:val="-2"/>
                <w:sz w:val="24"/>
              </w:rPr>
              <w:t>Centre</w:t>
            </w:r>
            <w:r>
              <w:rPr>
                <w:sz w:val="24"/>
              </w:rPr>
              <w:tab/>
            </w:r>
            <w:r>
              <w:rPr>
                <w:spacing w:val="-4"/>
                <w:sz w:val="24"/>
              </w:rPr>
              <w:t>For</w:t>
            </w:r>
            <w:r>
              <w:rPr>
                <w:sz w:val="24"/>
              </w:rPr>
              <w:tab/>
              <w:tab/>
            </w:r>
            <w:r>
              <w:rPr>
                <w:spacing w:val="-2"/>
                <w:sz w:val="24"/>
              </w:rPr>
              <w:t>Elders, Geriatric</w:t>
            </w:r>
            <w:r>
              <w:rPr>
                <w:sz w:val="24"/>
              </w:rPr>
              <w:tab/>
              <w:tab/>
              <w:tab/>
              <w:tab/>
              <w:tab/>
              <w:tab/>
              <w:tab/>
            </w:r>
            <w:r>
              <w:rPr>
                <w:spacing w:val="-4"/>
                <w:sz w:val="24"/>
              </w:rPr>
              <w:t>Care</w:t>
            </w:r>
          </w:p>
          <w:p>
            <w:pPr>
              <w:pStyle w:val="TableParagraph"/>
              <w:tabs>
                <w:tab w:pos="1717" w:val="left" w:leader="none"/>
              </w:tabs>
              <w:ind w:left="106" w:right="80"/>
              <w:rPr>
                <w:sz w:val="24"/>
              </w:rPr>
            </w:pPr>
            <w:r>
              <w:rPr>
                <w:spacing w:val="-2"/>
                <w:sz w:val="24"/>
              </w:rPr>
              <w:t>Centre,</w:t>
            </w:r>
            <w:r>
              <w:rPr>
                <w:sz w:val="24"/>
              </w:rPr>
              <w:tab/>
            </w:r>
            <w:r>
              <w:rPr>
                <w:spacing w:val="-2"/>
                <w:sz w:val="24"/>
              </w:rPr>
              <w:t>Activity </w:t>
            </w:r>
            <w:r>
              <w:rPr>
                <w:sz w:val="24"/>
              </w:rPr>
              <w:t>Room,</w:t>
            </w:r>
            <w:r>
              <w:rPr>
                <w:spacing w:val="59"/>
                <w:sz w:val="24"/>
              </w:rPr>
              <w:t> </w:t>
            </w:r>
            <w:r>
              <w:rPr>
                <w:sz w:val="24"/>
              </w:rPr>
              <w:t>Day</w:t>
            </w:r>
            <w:r>
              <w:rPr>
                <w:spacing w:val="59"/>
                <w:sz w:val="24"/>
              </w:rPr>
              <w:t> </w:t>
            </w:r>
            <w:r>
              <w:rPr>
                <w:sz w:val="24"/>
              </w:rPr>
              <w:t>Care</w:t>
            </w:r>
            <w:r>
              <w:rPr>
                <w:spacing w:val="60"/>
                <w:sz w:val="24"/>
              </w:rPr>
              <w:t> </w:t>
            </w:r>
            <w:r>
              <w:rPr>
                <w:spacing w:val="-5"/>
                <w:sz w:val="24"/>
              </w:rPr>
              <w:t>for</w:t>
            </w:r>
          </w:p>
          <w:p>
            <w:pPr>
              <w:pStyle w:val="TableParagraph"/>
              <w:spacing w:line="261" w:lineRule="exact"/>
              <w:ind w:left="106"/>
              <w:rPr>
                <w:sz w:val="24"/>
              </w:rPr>
            </w:pPr>
            <w:r>
              <w:rPr>
                <w:spacing w:val="-2"/>
                <w:sz w:val="24"/>
              </w:rPr>
              <w:t>Children</w:t>
            </w:r>
          </w:p>
        </w:tc>
        <w:tc>
          <w:tcPr>
            <w:tcW w:w="2094" w:type="dxa"/>
          </w:tcPr>
          <w:p>
            <w:pPr>
              <w:pStyle w:val="TableParagraph"/>
              <w:tabs>
                <w:tab w:pos="1313" w:val="left" w:leader="none"/>
                <w:tab w:pos="1416" w:val="left" w:leader="none"/>
                <w:tab w:pos="1884" w:val="left" w:leader="none"/>
              </w:tabs>
              <w:ind w:left="89" w:right="57"/>
              <w:rPr>
                <w:sz w:val="24"/>
              </w:rPr>
            </w:pPr>
            <w:r>
              <w:rPr>
                <w:spacing w:val="-2"/>
                <w:sz w:val="24"/>
              </w:rPr>
              <w:t>Branch</w:t>
            </w:r>
            <w:r>
              <w:rPr>
                <w:sz w:val="24"/>
              </w:rPr>
              <w:tab/>
            </w:r>
            <w:r>
              <w:rPr>
                <w:spacing w:val="-6"/>
                <w:sz w:val="24"/>
              </w:rPr>
              <w:t>of</w:t>
            </w:r>
            <w:r>
              <w:rPr>
                <w:sz w:val="24"/>
              </w:rPr>
              <w:tab/>
            </w:r>
            <w:r>
              <w:rPr>
                <w:spacing w:val="-10"/>
                <w:sz w:val="24"/>
              </w:rPr>
              <w:t>a </w:t>
            </w:r>
            <w:r>
              <w:rPr>
                <w:spacing w:val="-2"/>
                <w:sz w:val="24"/>
              </w:rPr>
              <w:t>bank,</w:t>
            </w:r>
            <w:r>
              <w:rPr>
                <w:sz w:val="24"/>
              </w:rPr>
              <w:tab/>
              <w:tab/>
            </w:r>
            <w:r>
              <w:rPr>
                <w:spacing w:val="-4"/>
                <w:sz w:val="24"/>
              </w:rPr>
              <w:t>ATM, </w:t>
            </w:r>
            <w:r>
              <w:rPr>
                <w:spacing w:val="-2"/>
                <w:sz w:val="24"/>
              </w:rPr>
              <w:t>shops, Dispensary,</w:t>
            </w:r>
          </w:p>
        </w:tc>
        <w:tc>
          <w:tcPr>
            <w:tcW w:w="1306" w:type="dxa"/>
          </w:tcPr>
          <w:p>
            <w:pPr>
              <w:pStyle w:val="TableParagraph"/>
              <w:spacing w:line="280" w:lineRule="exact"/>
              <w:ind w:left="106"/>
              <w:rPr>
                <w:sz w:val="24"/>
              </w:rPr>
            </w:pPr>
            <w:r>
              <w:rPr>
                <w:sz w:val="24"/>
              </w:rPr>
              <w:t>1 or 2 </w:t>
            </w:r>
            <w:r>
              <w:rPr>
                <w:spacing w:val="-5"/>
                <w:sz w:val="24"/>
              </w:rPr>
              <w:t>or</w:t>
            </w:r>
          </w:p>
          <w:p>
            <w:pPr>
              <w:pStyle w:val="TableParagraph"/>
              <w:spacing w:line="281" w:lineRule="exact"/>
              <w:ind w:left="106"/>
              <w:rPr>
                <w:sz w:val="24"/>
              </w:rPr>
            </w:pPr>
            <w:r>
              <w:rPr>
                <w:spacing w:val="-10"/>
                <w:sz w:val="24"/>
              </w:rPr>
              <w:t>3</w:t>
            </w:r>
          </w:p>
          <w:p>
            <w:pPr>
              <w:pStyle w:val="TableParagraph"/>
              <w:spacing w:line="281" w:lineRule="exact" w:before="1"/>
              <w:ind w:left="106"/>
              <w:rPr>
                <w:sz w:val="24"/>
              </w:rPr>
            </w:pPr>
            <w:r>
              <w:rPr>
                <w:spacing w:val="-2"/>
                <w:sz w:val="24"/>
              </w:rPr>
              <w:t>Zb=10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70"/>
              </w:numPr>
              <w:tabs>
                <w:tab w:pos="393" w:val="left" w:leader="none"/>
              </w:tabs>
              <w:spacing w:line="281" w:lineRule="exact" w:before="0" w:after="0"/>
              <w:ind w:left="393" w:right="0" w:hanging="287"/>
              <w:jc w:val="left"/>
              <w:rPr>
                <w:sz w:val="24"/>
              </w:rPr>
            </w:pPr>
            <w:r>
              <w:rPr>
                <w:spacing w:val="-4"/>
                <w:sz w:val="24"/>
              </w:rPr>
              <w:t>X=50</w:t>
            </w:r>
          </w:p>
          <w:p>
            <w:pPr>
              <w:pStyle w:val="TableParagraph"/>
              <w:numPr>
                <w:ilvl w:val="0"/>
                <w:numId w:val="70"/>
              </w:numPr>
              <w:tabs>
                <w:tab w:pos="403" w:val="left" w:leader="none"/>
              </w:tabs>
              <w:spacing w:line="281" w:lineRule="exact" w:before="0" w:after="0"/>
              <w:ind w:left="403" w:right="0" w:hanging="297"/>
              <w:jc w:val="left"/>
              <w:rPr>
                <w:sz w:val="24"/>
              </w:rPr>
            </w:pPr>
            <w:r>
              <w:rPr>
                <w:spacing w:val="-4"/>
                <w:sz w:val="24"/>
              </w:rPr>
              <w:t>Y=40</w:t>
            </w:r>
          </w:p>
        </w:tc>
      </w:tr>
      <w:tr>
        <w:trPr>
          <w:trHeight w:val="4509" w:hRule="atLeast"/>
        </w:trPr>
        <w:tc>
          <w:tcPr>
            <w:tcW w:w="560" w:type="dxa"/>
          </w:tcPr>
          <w:p>
            <w:pPr>
              <w:pStyle w:val="TableParagraph"/>
              <w:rPr>
                <w:b/>
                <w:sz w:val="24"/>
              </w:rPr>
            </w:pPr>
          </w:p>
          <w:p>
            <w:pPr>
              <w:pStyle w:val="TableParagraph"/>
              <w:ind w:left="6" w:right="40"/>
              <w:jc w:val="center"/>
              <w:rPr>
                <w:sz w:val="24"/>
              </w:rPr>
            </w:pPr>
            <w:r>
              <w:rPr>
                <w:spacing w:val="-5"/>
                <w:sz w:val="24"/>
              </w:rPr>
              <w:t>51</w:t>
            </w:r>
          </w:p>
        </w:tc>
        <w:tc>
          <w:tcPr>
            <w:tcW w:w="1349" w:type="dxa"/>
            <w:vMerge/>
            <w:tcBorders>
              <w:top w:val="nil"/>
            </w:tcBorders>
          </w:tcPr>
          <w:p>
            <w:pPr>
              <w:rPr>
                <w:sz w:val="2"/>
                <w:szCs w:val="2"/>
              </w:rPr>
            </w:pPr>
          </w:p>
        </w:tc>
        <w:tc>
          <w:tcPr>
            <w:tcW w:w="1057" w:type="dxa"/>
          </w:tcPr>
          <w:p>
            <w:pPr>
              <w:pStyle w:val="TableParagraph"/>
              <w:ind w:left="107" w:right="209"/>
              <w:rPr>
                <w:sz w:val="24"/>
              </w:rPr>
            </w:pPr>
            <w:r>
              <w:rPr>
                <w:spacing w:val="-2"/>
                <w:sz w:val="24"/>
              </w:rPr>
              <w:t>RSA5. </w:t>
            </w:r>
            <w:r>
              <w:rPr>
                <w:spacing w:val="-10"/>
                <w:sz w:val="24"/>
              </w:rPr>
              <w:t>2</w:t>
            </w:r>
          </w:p>
        </w:tc>
        <w:tc>
          <w:tcPr>
            <w:tcW w:w="1260" w:type="dxa"/>
          </w:tcPr>
          <w:p>
            <w:pPr>
              <w:pStyle w:val="TableParagraph"/>
              <w:ind w:left="106" w:right="187"/>
              <w:rPr>
                <w:sz w:val="24"/>
              </w:rPr>
            </w:pPr>
            <w:r>
              <w:rPr>
                <w:spacing w:val="-2"/>
                <w:sz w:val="24"/>
              </w:rPr>
              <w:t>Multi- Purpose housing </w:t>
            </w:r>
            <w:r>
              <w:rPr>
                <w:spacing w:val="-4"/>
                <w:sz w:val="24"/>
              </w:rPr>
              <w:t>for </w:t>
            </w:r>
            <w:r>
              <w:rPr>
                <w:spacing w:val="-2"/>
                <w:sz w:val="24"/>
              </w:rPr>
              <w:t>working Women</w:t>
            </w:r>
          </w:p>
        </w:tc>
        <w:tc>
          <w:tcPr>
            <w:tcW w:w="2679" w:type="dxa"/>
          </w:tcPr>
          <w:p>
            <w:pPr>
              <w:pStyle w:val="TableParagraph"/>
              <w:tabs>
                <w:tab w:pos="1128" w:val="left" w:leader="none"/>
                <w:tab w:pos="1203" w:val="left" w:leader="none"/>
                <w:tab w:pos="1591" w:val="left" w:leader="none"/>
                <w:tab w:pos="1741" w:val="left" w:leader="none"/>
                <w:tab w:pos="2268" w:val="left" w:leader="none"/>
              </w:tabs>
              <w:ind w:left="66" w:right="80"/>
              <w:rPr>
                <w:sz w:val="24"/>
              </w:rPr>
            </w:pPr>
            <w:r>
              <w:rPr>
                <w:spacing w:val="-2"/>
                <w:sz w:val="24"/>
              </w:rPr>
              <w:t>Hostel,</w:t>
            </w:r>
            <w:r>
              <w:rPr>
                <w:sz w:val="24"/>
              </w:rPr>
              <w:tab/>
              <w:tab/>
            </w:r>
            <w:r>
              <w:rPr>
                <w:spacing w:val="-2"/>
                <w:sz w:val="24"/>
              </w:rPr>
              <w:t>Dormitories </w:t>
            </w:r>
            <w:r>
              <w:rPr>
                <w:sz w:val="24"/>
              </w:rPr>
              <w:t>and</w:t>
            </w:r>
            <w:r>
              <w:rPr>
                <w:spacing w:val="40"/>
                <w:sz w:val="24"/>
              </w:rPr>
              <w:t> </w:t>
            </w:r>
            <w:r>
              <w:rPr>
                <w:sz w:val="24"/>
              </w:rPr>
              <w:t>guest</w:t>
            </w:r>
            <w:r>
              <w:rPr>
                <w:spacing w:val="40"/>
                <w:sz w:val="24"/>
              </w:rPr>
              <w:t> </w:t>
            </w:r>
            <w:r>
              <w:rPr>
                <w:sz w:val="24"/>
              </w:rPr>
              <w:t>rooms</w:t>
            </w:r>
            <w:r>
              <w:rPr>
                <w:spacing w:val="40"/>
                <w:sz w:val="24"/>
              </w:rPr>
              <w:t> </w:t>
            </w:r>
            <w:r>
              <w:rPr>
                <w:sz w:val="24"/>
              </w:rPr>
              <w:t>for working</w:t>
            </w:r>
            <w:r>
              <w:rPr>
                <w:spacing w:val="40"/>
                <w:sz w:val="24"/>
              </w:rPr>
              <w:t> </w:t>
            </w:r>
            <w:r>
              <w:rPr>
                <w:sz w:val="24"/>
              </w:rPr>
              <w:t>women,</w:t>
            </w:r>
            <w:r>
              <w:rPr>
                <w:spacing w:val="40"/>
                <w:sz w:val="24"/>
              </w:rPr>
              <w:t> </w:t>
            </w:r>
            <w:r>
              <w:rPr>
                <w:sz w:val="24"/>
              </w:rPr>
              <w:t>for </w:t>
            </w:r>
            <w:r>
              <w:rPr>
                <w:spacing w:val="-2"/>
                <w:sz w:val="24"/>
              </w:rPr>
              <w:t>women</w:t>
            </w:r>
            <w:r>
              <w:rPr>
                <w:sz w:val="24"/>
              </w:rPr>
              <w:tab/>
            </w:r>
            <w:r>
              <w:rPr>
                <w:spacing w:val="-6"/>
                <w:sz w:val="24"/>
              </w:rPr>
              <w:t>in</w:t>
            </w:r>
            <w:r>
              <w:rPr>
                <w:sz w:val="24"/>
              </w:rPr>
              <w:tab/>
            </w:r>
            <w:r>
              <w:rPr>
                <w:spacing w:val="-2"/>
                <w:sz w:val="24"/>
              </w:rPr>
              <w:t>distress, single Women/Student, dormitories</w:t>
            </w:r>
            <w:r>
              <w:rPr>
                <w:sz w:val="24"/>
              </w:rPr>
              <w:tab/>
              <w:tab/>
              <w:tab/>
            </w:r>
            <w:r>
              <w:rPr>
                <w:spacing w:val="-4"/>
                <w:sz w:val="24"/>
              </w:rPr>
              <w:t>for </w:t>
            </w:r>
            <w:r>
              <w:rPr>
                <w:spacing w:val="-2"/>
                <w:sz w:val="24"/>
              </w:rPr>
              <w:t>women,</w:t>
            </w:r>
            <w:r>
              <w:rPr>
                <w:sz w:val="24"/>
              </w:rPr>
              <w:tab/>
              <w:tab/>
              <w:tab/>
              <w:tab/>
            </w:r>
            <w:r>
              <w:rPr>
                <w:spacing w:val="-2"/>
                <w:sz w:val="24"/>
              </w:rPr>
              <w:t>activity room.</w:t>
            </w:r>
          </w:p>
          <w:p>
            <w:pPr>
              <w:pStyle w:val="TableParagraph"/>
              <w:spacing w:before="1"/>
              <w:ind w:left="66" w:right="80"/>
              <w:jc w:val="both"/>
              <w:rPr>
                <w:sz w:val="24"/>
              </w:rPr>
            </w:pPr>
            <w:r>
              <w:rPr>
                <w:sz w:val="24"/>
              </w:rPr>
              <w:t>Balwadi,</w:t>
            </w:r>
            <w:r>
              <w:rPr>
                <w:spacing w:val="-20"/>
                <w:sz w:val="24"/>
              </w:rPr>
              <w:t> </w:t>
            </w:r>
            <w:r>
              <w:rPr>
                <w:sz w:val="24"/>
              </w:rPr>
              <w:t>Day</w:t>
            </w:r>
            <w:r>
              <w:rPr>
                <w:spacing w:val="-19"/>
                <w:sz w:val="24"/>
              </w:rPr>
              <w:t> </w:t>
            </w:r>
            <w:r>
              <w:rPr>
                <w:sz w:val="24"/>
              </w:rPr>
              <w:t>Care</w:t>
            </w:r>
            <w:r>
              <w:rPr>
                <w:spacing w:val="-19"/>
                <w:sz w:val="24"/>
              </w:rPr>
              <w:t> </w:t>
            </w:r>
            <w:r>
              <w:rPr>
                <w:sz w:val="24"/>
              </w:rPr>
              <w:t>for children, Old Age people, Counseling Centre, Care centre shall not be more than</w:t>
            </w:r>
            <w:r>
              <w:rPr>
                <w:spacing w:val="-13"/>
                <w:sz w:val="24"/>
              </w:rPr>
              <w:t> </w:t>
            </w:r>
            <w:r>
              <w:rPr>
                <w:sz w:val="24"/>
              </w:rPr>
              <w:t>10%</w:t>
            </w:r>
            <w:r>
              <w:rPr>
                <w:spacing w:val="-13"/>
                <w:sz w:val="24"/>
              </w:rPr>
              <w:t> </w:t>
            </w:r>
            <w:r>
              <w:rPr>
                <w:sz w:val="24"/>
              </w:rPr>
              <w:t>of</w:t>
            </w:r>
            <w:r>
              <w:rPr>
                <w:spacing w:val="-13"/>
                <w:sz w:val="24"/>
              </w:rPr>
              <w:t> </w:t>
            </w:r>
            <w:r>
              <w:rPr>
                <w:sz w:val="24"/>
              </w:rPr>
              <w:t>the</w:t>
            </w:r>
            <w:r>
              <w:rPr>
                <w:spacing w:val="-15"/>
                <w:sz w:val="24"/>
              </w:rPr>
              <w:t> </w:t>
            </w:r>
            <w:r>
              <w:rPr>
                <w:spacing w:val="-4"/>
                <w:sz w:val="24"/>
              </w:rPr>
              <w:t>zonal</w:t>
            </w:r>
          </w:p>
          <w:p>
            <w:pPr>
              <w:pStyle w:val="TableParagraph"/>
              <w:spacing w:line="263" w:lineRule="exact"/>
              <w:ind w:left="66"/>
              <w:jc w:val="both"/>
              <w:rPr>
                <w:sz w:val="24"/>
              </w:rPr>
            </w:pPr>
            <w:r>
              <w:rPr>
                <w:sz w:val="24"/>
              </w:rPr>
              <w:t>basic</w:t>
            </w:r>
            <w:r>
              <w:rPr>
                <w:spacing w:val="-2"/>
                <w:sz w:val="24"/>
              </w:rPr>
              <w:t> </w:t>
            </w:r>
            <w:r>
              <w:rPr>
                <w:spacing w:val="-4"/>
                <w:sz w:val="24"/>
              </w:rPr>
              <w:t>FSI.</w:t>
            </w:r>
          </w:p>
        </w:tc>
        <w:tc>
          <w:tcPr>
            <w:tcW w:w="2094" w:type="dxa"/>
          </w:tcPr>
          <w:p>
            <w:pPr>
              <w:pStyle w:val="TableParagraph"/>
              <w:tabs>
                <w:tab w:pos="1212" w:val="left" w:leader="none"/>
              </w:tabs>
              <w:ind w:left="106" w:right="100" w:firstLine="76"/>
              <w:rPr>
                <w:sz w:val="24"/>
              </w:rPr>
            </w:pPr>
            <w:r>
              <w:rPr>
                <w:spacing w:val="-4"/>
                <w:sz w:val="24"/>
              </w:rPr>
              <w:t>ATM,</w:t>
            </w:r>
            <w:r>
              <w:rPr>
                <w:sz w:val="24"/>
              </w:rPr>
              <w:tab/>
            </w:r>
            <w:r>
              <w:rPr>
                <w:spacing w:val="-2"/>
                <w:sz w:val="24"/>
              </w:rPr>
              <w:t>shops, Dispensary,</w:t>
            </w:r>
          </w:p>
        </w:tc>
        <w:tc>
          <w:tcPr>
            <w:tcW w:w="1306" w:type="dxa"/>
          </w:tcPr>
          <w:p>
            <w:pPr>
              <w:pStyle w:val="TableParagraph"/>
              <w:spacing w:line="281" w:lineRule="exact"/>
              <w:ind w:left="106"/>
              <w:rPr>
                <w:sz w:val="24"/>
              </w:rPr>
            </w:pPr>
            <w:r>
              <w:rPr>
                <w:sz w:val="24"/>
              </w:rPr>
              <w:t>1 or 2 </w:t>
            </w:r>
            <w:r>
              <w:rPr>
                <w:spacing w:val="-5"/>
                <w:sz w:val="24"/>
              </w:rPr>
              <w:t>or</w:t>
            </w:r>
          </w:p>
          <w:p>
            <w:pPr>
              <w:pStyle w:val="TableParagraph"/>
              <w:spacing w:line="281" w:lineRule="exact" w:before="1"/>
              <w:ind w:left="106"/>
              <w:rPr>
                <w:sz w:val="24"/>
              </w:rPr>
            </w:pPr>
            <w:r>
              <w:rPr>
                <w:spacing w:val="-10"/>
                <w:sz w:val="24"/>
              </w:rPr>
              <w:t>3</w:t>
            </w:r>
          </w:p>
          <w:p>
            <w:pPr>
              <w:pStyle w:val="TableParagraph"/>
              <w:spacing w:line="281" w:lineRule="exact"/>
              <w:ind w:left="106"/>
              <w:rPr>
                <w:sz w:val="24"/>
              </w:rPr>
            </w:pPr>
            <w:r>
              <w:rPr>
                <w:spacing w:val="-2"/>
                <w:sz w:val="24"/>
              </w:rPr>
              <w:t>Zb=10</w:t>
            </w:r>
          </w:p>
          <w:p>
            <w:pPr>
              <w:pStyle w:val="TableParagraph"/>
              <w:spacing w:before="2"/>
              <w:ind w:left="106" w:right="278"/>
              <w:rPr>
                <w:sz w:val="24"/>
              </w:rPr>
            </w:pPr>
            <w:r>
              <w:rPr>
                <w:sz w:val="24"/>
              </w:rPr>
              <w:t>In</w:t>
            </w:r>
            <w:r>
              <w:rPr>
                <w:spacing w:val="-20"/>
                <w:sz w:val="24"/>
              </w:rPr>
              <w:t> </w:t>
            </w:r>
            <w:r>
              <w:rPr>
                <w:sz w:val="24"/>
              </w:rPr>
              <w:t>case of 3</w:t>
            </w:r>
          </w:p>
          <w:p>
            <w:pPr>
              <w:pStyle w:val="TableParagraph"/>
              <w:numPr>
                <w:ilvl w:val="0"/>
                <w:numId w:val="71"/>
              </w:numPr>
              <w:tabs>
                <w:tab w:pos="393" w:val="left" w:leader="none"/>
              </w:tabs>
              <w:spacing w:line="280" w:lineRule="exact" w:before="0" w:after="0"/>
              <w:ind w:left="393" w:right="0" w:hanging="287"/>
              <w:jc w:val="left"/>
              <w:rPr>
                <w:sz w:val="24"/>
              </w:rPr>
            </w:pPr>
            <w:r>
              <w:rPr>
                <w:spacing w:val="-4"/>
                <w:sz w:val="24"/>
              </w:rPr>
              <w:t>X=50</w:t>
            </w:r>
          </w:p>
          <w:p>
            <w:pPr>
              <w:pStyle w:val="TableParagraph"/>
              <w:numPr>
                <w:ilvl w:val="0"/>
                <w:numId w:val="71"/>
              </w:numPr>
              <w:tabs>
                <w:tab w:pos="403" w:val="left" w:leader="none"/>
              </w:tabs>
              <w:spacing w:line="240" w:lineRule="auto" w:before="1" w:after="0"/>
              <w:ind w:left="403" w:right="0" w:hanging="297"/>
              <w:jc w:val="left"/>
              <w:rPr>
                <w:sz w:val="24"/>
              </w:rPr>
            </w:pPr>
            <w:r>
              <w:rPr>
                <w:spacing w:val="-4"/>
                <w:sz w:val="24"/>
              </w:rPr>
              <w:t>Y=40</w:t>
            </w:r>
          </w:p>
        </w:tc>
      </w:tr>
      <w:tr>
        <w:trPr>
          <w:trHeight w:val="844" w:hRule="atLeast"/>
        </w:trPr>
        <w:tc>
          <w:tcPr>
            <w:tcW w:w="560" w:type="dxa"/>
          </w:tcPr>
          <w:p>
            <w:pPr>
              <w:pStyle w:val="TableParagraph"/>
              <w:spacing w:before="280"/>
              <w:ind w:left="6" w:right="40"/>
              <w:jc w:val="center"/>
              <w:rPr>
                <w:sz w:val="24"/>
              </w:rPr>
            </w:pPr>
            <w:r>
              <w:rPr>
                <w:spacing w:val="-5"/>
                <w:sz w:val="24"/>
              </w:rPr>
              <w:t>52</w:t>
            </w:r>
          </w:p>
        </w:tc>
        <w:tc>
          <w:tcPr>
            <w:tcW w:w="1349" w:type="dxa"/>
            <w:vMerge/>
            <w:tcBorders>
              <w:top w:val="nil"/>
            </w:tcBorders>
          </w:tcPr>
          <w:p>
            <w:pPr>
              <w:rPr>
                <w:sz w:val="2"/>
                <w:szCs w:val="2"/>
              </w:rPr>
            </w:pPr>
          </w:p>
        </w:tc>
        <w:tc>
          <w:tcPr>
            <w:tcW w:w="1057" w:type="dxa"/>
          </w:tcPr>
          <w:p>
            <w:pPr>
              <w:pStyle w:val="TableParagraph"/>
              <w:ind w:left="107" w:right="209"/>
              <w:rPr>
                <w:sz w:val="24"/>
              </w:rPr>
            </w:pPr>
            <w:r>
              <w:rPr>
                <w:spacing w:val="-2"/>
                <w:sz w:val="24"/>
              </w:rPr>
              <w:t>RSA6. </w:t>
            </w:r>
            <w:r>
              <w:rPr>
                <w:spacing w:val="-10"/>
                <w:sz w:val="24"/>
              </w:rPr>
              <w:t>1</w:t>
            </w:r>
          </w:p>
        </w:tc>
        <w:tc>
          <w:tcPr>
            <w:tcW w:w="1260" w:type="dxa"/>
          </w:tcPr>
          <w:p>
            <w:pPr>
              <w:pStyle w:val="TableParagraph"/>
              <w:ind w:left="181" w:right="278"/>
              <w:rPr>
                <w:sz w:val="24"/>
              </w:rPr>
            </w:pPr>
            <w:r>
              <w:rPr>
                <w:spacing w:val="-4"/>
                <w:sz w:val="24"/>
              </w:rPr>
              <w:t>Care </w:t>
            </w:r>
            <w:r>
              <w:rPr>
                <w:spacing w:val="-2"/>
                <w:sz w:val="24"/>
              </w:rPr>
              <w:t>Centre</w:t>
            </w:r>
          </w:p>
        </w:tc>
        <w:tc>
          <w:tcPr>
            <w:tcW w:w="2679" w:type="dxa"/>
          </w:tcPr>
          <w:p>
            <w:pPr>
              <w:pStyle w:val="TableParagraph"/>
              <w:tabs>
                <w:tab w:pos="1097" w:val="left" w:leader="none"/>
                <w:tab w:pos="2139" w:val="left" w:leader="none"/>
                <w:tab w:pos="2270" w:val="left" w:leader="none"/>
              </w:tabs>
              <w:ind w:left="106" w:right="80"/>
              <w:rPr>
                <w:sz w:val="24"/>
              </w:rPr>
            </w:pPr>
            <w:r>
              <w:rPr>
                <w:spacing w:val="-4"/>
                <w:sz w:val="24"/>
              </w:rPr>
              <w:t>Care</w:t>
            </w:r>
            <w:r>
              <w:rPr>
                <w:sz w:val="24"/>
              </w:rPr>
              <w:tab/>
            </w:r>
            <w:r>
              <w:rPr>
                <w:spacing w:val="-2"/>
                <w:sz w:val="24"/>
              </w:rPr>
              <w:t>centre</w:t>
            </w:r>
            <w:r>
              <w:rPr>
                <w:sz w:val="24"/>
              </w:rPr>
              <w:tab/>
              <w:tab/>
            </w:r>
            <w:r>
              <w:rPr>
                <w:spacing w:val="-4"/>
                <w:sz w:val="24"/>
              </w:rPr>
              <w:t>for </w:t>
            </w:r>
            <w:r>
              <w:rPr>
                <w:spacing w:val="-2"/>
                <w:sz w:val="24"/>
              </w:rPr>
              <w:t>Children</w:t>
            </w:r>
            <w:r>
              <w:rPr>
                <w:sz w:val="24"/>
              </w:rPr>
              <w:tab/>
            </w:r>
            <w:r>
              <w:rPr>
                <w:spacing w:val="-5"/>
                <w:sz w:val="24"/>
              </w:rPr>
              <w:t>and</w:t>
            </w:r>
          </w:p>
          <w:p>
            <w:pPr>
              <w:pStyle w:val="TableParagraph"/>
              <w:tabs>
                <w:tab w:pos="1568" w:val="left" w:leader="none"/>
              </w:tabs>
              <w:spacing w:line="262" w:lineRule="exact"/>
              <w:ind w:left="106"/>
              <w:rPr>
                <w:sz w:val="24"/>
              </w:rPr>
            </w:pPr>
            <w:r>
              <w:rPr>
                <w:spacing w:val="-2"/>
                <w:sz w:val="24"/>
              </w:rPr>
              <w:t>Women,</w:t>
            </w:r>
            <w:r>
              <w:rPr>
                <w:sz w:val="24"/>
              </w:rPr>
              <w:tab/>
            </w:r>
            <w:r>
              <w:rPr>
                <w:spacing w:val="-2"/>
                <w:sz w:val="24"/>
              </w:rPr>
              <w:t>Children</w:t>
            </w:r>
          </w:p>
        </w:tc>
        <w:tc>
          <w:tcPr>
            <w:tcW w:w="2094" w:type="dxa"/>
          </w:tcPr>
          <w:p>
            <w:pPr>
              <w:pStyle w:val="TableParagraph"/>
              <w:tabs>
                <w:tab w:pos="1212" w:val="left" w:leader="none"/>
              </w:tabs>
              <w:ind w:left="106" w:right="100"/>
              <w:rPr>
                <w:sz w:val="24"/>
              </w:rPr>
            </w:pPr>
            <w:r>
              <w:rPr>
                <w:spacing w:val="-4"/>
                <w:sz w:val="24"/>
              </w:rPr>
              <w:t>ATM,</w:t>
            </w:r>
            <w:r>
              <w:rPr>
                <w:sz w:val="24"/>
              </w:rPr>
              <w:tab/>
            </w:r>
            <w:r>
              <w:rPr>
                <w:spacing w:val="-2"/>
                <w:sz w:val="24"/>
              </w:rPr>
              <w:t>shops, Dispensary</w:t>
            </w:r>
          </w:p>
        </w:tc>
        <w:tc>
          <w:tcPr>
            <w:tcW w:w="1306" w:type="dxa"/>
          </w:tcPr>
          <w:p>
            <w:pPr>
              <w:pStyle w:val="TableParagraph"/>
              <w:spacing w:line="280" w:lineRule="exact"/>
              <w:ind w:left="106"/>
              <w:rPr>
                <w:sz w:val="24"/>
              </w:rPr>
            </w:pPr>
            <w:r>
              <w:rPr>
                <w:sz w:val="24"/>
              </w:rPr>
              <w:t>1 or 2 </w:t>
            </w:r>
            <w:r>
              <w:rPr>
                <w:spacing w:val="-5"/>
                <w:sz w:val="24"/>
              </w:rPr>
              <w:t>or</w:t>
            </w:r>
          </w:p>
          <w:p>
            <w:pPr>
              <w:pStyle w:val="TableParagraph"/>
              <w:spacing w:line="281" w:lineRule="exact"/>
              <w:ind w:left="106"/>
              <w:rPr>
                <w:sz w:val="24"/>
              </w:rPr>
            </w:pPr>
            <w:r>
              <w:rPr>
                <w:spacing w:val="-10"/>
                <w:sz w:val="24"/>
              </w:rPr>
              <w:t>3</w:t>
            </w:r>
          </w:p>
          <w:p>
            <w:pPr>
              <w:pStyle w:val="TableParagraph"/>
              <w:spacing w:line="263" w:lineRule="exact"/>
              <w:ind w:left="106"/>
              <w:rPr>
                <w:sz w:val="24"/>
              </w:rPr>
            </w:pPr>
            <w:r>
              <w:rPr>
                <w:spacing w:val="-2"/>
                <w:sz w:val="24"/>
              </w:rPr>
              <w:t>Zb=10</w:t>
            </w:r>
          </w:p>
        </w:tc>
      </w:tr>
    </w:tbl>
    <w:p>
      <w:pPr>
        <w:pStyle w:val="TableParagraph"/>
        <w:spacing w:after="0" w:line="263" w:lineRule="exact"/>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1127"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tabs>
                <w:tab w:pos="824" w:val="left" w:leader="none"/>
                <w:tab w:pos="1637" w:val="left" w:leader="none"/>
              </w:tabs>
              <w:ind w:left="106" w:right="81"/>
              <w:rPr>
                <w:sz w:val="24"/>
              </w:rPr>
            </w:pPr>
            <w:r>
              <w:rPr>
                <w:spacing w:val="-4"/>
                <w:sz w:val="24"/>
              </w:rPr>
              <w:t>Play</w:t>
            </w:r>
            <w:r>
              <w:rPr>
                <w:sz w:val="24"/>
              </w:rPr>
              <w:tab/>
            </w:r>
            <w:r>
              <w:rPr>
                <w:spacing w:val="-2"/>
                <w:sz w:val="24"/>
              </w:rPr>
              <w:t>area,</w:t>
            </w:r>
            <w:r>
              <w:rPr>
                <w:sz w:val="24"/>
              </w:rPr>
              <w:tab/>
            </w:r>
            <w:r>
              <w:rPr>
                <w:spacing w:val="-2"/>
                <w:sz w:val="24"/>
              </w:rPr>
              <w:t>Reading </w:t>
            </w:r>
            <w:r>
              <w:rPr>
                <w:sz w:val="24"/>
              </w:rPr>
              <w:t>area, activity area</w:t>
            </w:r>
          </w:p>
        </w:tc>
        <w:tc>
          <w:tcPr>
            <w:tcW w:w="2094" w:type="dxa"/>
          </w:tcPr>
          <w:p>
            <w:pPr>
              <w:pStyle w:val="TableParagraph"/>
              <w:rPr>
                <w:rFonts w:ascii="Times New Roman"/>
                <w:sz w:val="22"/>
              </w:rPr>
            </w:pPr>
          </w:p>
        </w:tc>
        <w:tc>
          <w:tcPr>
            <w:tcW w:w="1306" w:type="dxa"/>
          </w:tcPr>
          <w:p>
            <w:pPr>
              <w:pStyle w:val="TableParagraph"/>
              <w:ind w:left="106" w:right="278"/>
              <w:rPr>
                <w:sz w:val="24"/>
              </w:rPr>
            </w:pPr>
            <w:r>
              <w:rPr>
                <w:sz w:val="24"/>
              </w:rPr>
              <w:t>In</w:t>
            </w:r>
            <w:r>
              <w:rPr>
                <w:spacing w:val="-20"/>
                <w:sz w:val="24"/>
              </w:rPr>
              <w:t> </w:t>
            </w:r>
            <w:r>
              <w:rPr>
                <w:sz w:val="24"/>
              </w:rPr>
              <w:t>case of 3</w:t>
            </w:r>
          </w:p>
          <w:p>
            <w:pPr>
              <w:pStyle w:val="TableParagraph"/>
              <w:numPr>
                <w:ilvl w:val="0"/>
                <w:numId w:val="72"/>
              </w:numPr>
              <w:tabs>
                <w:tab w:pos="393" w:val="left" w:leader="none"/>
              </w:tabs>
              <w:spacing w:line="281" w:lineRule="exact" w:before="0" w:after="0"/>
              <w:ind w:left="393" w:right="0" w:hanging="287"/>
              <w:jc w:val="left"/>
              <w:rPr>
                <w:sz w:val="24"/>
              </w:rPr>
            </w:pPr>
            <w:r>
              <w:rPr>
                <w:spacing w:val="-4"/>
                <w:sz w:val="24"/>
              </w:rPr>
              <w:t>X=50</w:t>
            </w:r>
          </w:p>
          <w:p>
            <w:pPr>
              <w:pStyle w:val="TableParagraph"/>
              <w:numPr>
                <w:ilvl w:val="0"/>
                <w:numId w:val="72"/>
              </w:numPr>
              <w:tabs>
                <w:tab w:pos="403" w:val="left" w:leader="none"/>
              </w:tabs>
              <w:spacing w:line="263" w:lineRule="exact" w:before="0" w:after="0"/>
              <w:ind w:left="403" w:right="0" w:hanging="297"/>
              <w:jc w:val="left"/>
              <w:rPr>
                <w:sz w:val="24"/>
              </w:rPr>
            </w:pPr>
            <w:r>
              <w:rPr>
                <w:spacing w:val="-4"/>
                <w:sz w:val="24"/>
              </w:rPr>
              <w:t>Y=40</w:t>
            </w:r>
          </w:p>
        </w:tc>
      </w:tr>
      <w:tr>
        <w:trPr>
          <w:trHeight w:val="1970" w:hRule="atLeast"/>
        </w:trPr>
        <w:tc>
          <w:tcPr>
            <w:tcW w:w="560" w:type="dxa"/>
          </w:tcPr>
          <w:p>
            <w:pPr>
              <w:pStyle w:val="TableParagraph"/>
              <w:spacing w:before="280"/>
              <w:ind w:left="6" w:right="40"/>
              <w:jc w:val="center"/>
              <w:rPr>
                <w:sz w:val="24"/>
              </w:rPr>
            </w:pPr>
            <w:r>
              <w:rPr>
                <w:spacing w:val="-5"/>
                <w:sz w:val="24"/>
              </w:rPr>
              <w:t>53</w:t>
            </w:r>
          </w:p>
        </w:tc>
        <w:tc>
          <w:tcPr>
            <w:tcW w:w="1349" w:type="dxa"/>
            <w:vMerge/>
            <w:tcBorders>
              <w:top w:val="nil"/>
            </w:tcBorders>
          </w:tcPr>
          <w:p>
            <w:pPr>
              <w:rPr>
                <w:sz w:val="2"/>
                <w:szCs w:val="2"/>
              </w:rPr>
            </w:pPr>
          </w:p>
        </w:tc>
        <w:tc>
          <w:tcPr>
            <w:tcW w:w="1057" w:type="dxa"/>
          </w:tcPr>
          <w:p>
            <w:pPr>
              <w:pStyle w:val="TableParagraph"/>
              <w:ind w:left="107" w:right="209"/>
              <w:rPr>
                <w:sz w:val="24"/>
              </w:rPr>
            </w:pPr>
            <w:r>
              <w:rPr>
                <w:spacing w:val="-2"/>
                <w:sz w:val="24"/>
              </w:rPr>
              <w:t>RSA6. </w:t>
            </w:r>
            <w:r>
              <w:rPr>
                <w:spacing w:val="-10"/>
                <w:sz w:val="24"/>
              </w:rPr>
              <w:t>2</w:t>
            </w:r>
          </w:p>
        </w:tc>
        <w:tc>
          <w:tcPr>
            <w:tcW w:w="1260" w:type="dxa"/>
          </w:tcPr>
          <w:p>
            <w:pPr>
              <w:pStyle w:val="TableParagraph"/>
              <w:tabs>
                <w:tab w:pos="766" w:val="left" w:leader="none"/>
              </w:tabs>
              <w:ind w:left="-2" w:right="-15"/>
              <w:rPr>
                <w:sz w:val="24"/>
              </w:rPr>
            </w:pPr>
            <w:r>
              <w:rPr>
                <w:spacing w:val="-2"/>
                <w:sz w:val="24"/>
              </w:rPr>
              <w:t>Adhar Kendra </w:t>
            </w:r>
            <w:r>
              <w:rPr>
                <w:spacing w:val="-4"/>
                <w:sz w:val="24"/>
              </w:rPr>
              <w:t>with</w:t>
            </w:r>
            <w:r>
              <w:rPr>
                <w:sz w:val="24"/>
              </w:rPr>
              <w:tab/>
            </w:r>
            <w:r>
              <w:rPr>
                <w:spacing w:val="-2"/>
                <w:sz w:val="24"/>
              </w:rPr>
              <w:t>skill developme </w:t>
            </w:r>
            <w:r>
              <w:rPr>
                <w:sz w:val="24"/>
              </w:rPr>
              <w:t>nt centre</w:t>
            </w:r>
          </w:p>
        </w:tc>
        <w:tc>
          <w:tcPr>
            <w:tcW w:w="2679" w:type="dxa"/>
          </w:tcPr>
          <w:p>
            <w:pPr>
              <w:pStyle w:val="TableParagraph"/>
              <w:tabs>
                <w:tab w:pos="2062" w:val="left" w:leader="none"/>
              </w:tabs>
              <w:ind w:left="106" w:right="80"/>
              <w:jc w:val="both"/>
              <w:rPr>
                <w:sz w:val="24"/>
              </w:rPr>
            </w:pPr>
            <w:r>
              <w:rPr>
                <w:spacing w:val="-2"/>
                <w:sz w:val="24"/>
              </w:rPr>
              <w:t>Women</w:t>
            </w:r>
            <w:r>
              <w:rPr>
                <w:sz w:val="24"/>
              </w:rPr>
              <w:tab/>
            </w:r>
            <w:r>
              <w:rPr>
                <w:spacing w:val="-2"/>
                <w:sz w:val="24"/>
              </w:rPr>
              <w:t>Skill </w:t>
            </w:r>
            <w:r>
              <w:rPr>
                <w:sz w:val="24"/>
              </w:rPr>
              <w:t>Development Centre &amp; Livelihood Centre, Municipal Purpose</w:t>
            </w:r>
          </w:p>
        </w:tc>
        <w:tc>
          <w:tcPr>
            <w:tcW w:w="2094" w:type="dxa"/>
          </w:tcPr>
          <w:p>
            <w:pPr>
              <w:pStyle w:val="TableParagraph"/>
              <w:ind w:left="106" w:right="98"/>
              <w:jc w:val="both"/>
              <w:rPr>
                <w:sz w:val="24"/>
              </w:rPr>
            </w:pPr>
            <w:r>
              <w:rPr>
                <w:sz w:val="24"/>
              </w:rPr>
              <w:t>Art and </w:t>
            </w:r>
            <w:r>
              <w:rPr>
                <w:sz w:val="24"/>
              </w:rPr>
              <w:t>culture related uses, ATM, CFC</w:t>
            </w:r>
          </w:p>
        </w:tc>
        <w:tc>
          <w:tcPr>
            <w:tcW w:w="1306" w:type="dxa"/>
          </w:tcPr>
          <w:p>
            <w:pPr>
              <w:pStyle w:val="TableParagraph"/>
              <w:spacing w:line="280" w:lineRule="exact"/>
              <w:ind w:left="106"/>
              <w:rPr>
                <w:sz w:val="24"/>
              </w:rPr>
            </w:pPr>
            <w:r>
              <w:rPr>
                <w:sz w:val="24"/>
              </w:rPr>
              <w:t>1 or 2 </w:t>
            </w:r>
            <w:r>
              <w:rPr>
                <w:spacing w:val="-5"/>
                <w:sz w:val="24"/>
              </w:rPr>
              <w:t>or</w:t>
            </w:r>
          </w:p>
          <w:p>
            <w:pPr>
              <w:pStyle w:val="TableParagraph"/>
              <w:spacing w:line="281" w:lineRule="exact"/>
              <w:ind w:left="106"/>
              <w:rPr>
                <w:sz w:val="24"/>
              </w:rPr>
            </w:pPr>
            <w:r>
              <w:rPr>
                <w:spacing w:val="-10"/>
                <w:sz w:val="24"/>
              </w:rPr>
              <w:t>3</w:t>
            </w:r>
          </w:p>
          <w:p>
            <w:pPr>
              <w:pStyle w:val="TableParagraph"/>
              <w:ind w:left="106"/>
              <w:rPr>
                <w:sz w:val="24"/>
              </w:rPr>
            </w:pPr>
            <w:r>
              <w:rPr>
                <w:spacing w:val="-2"/>
                <w:sz w:val="24"/>
              </w:rPr>
              <w:t>Zb=10</w:t>
            </w:r>
          </w:p>
          <w:p>
            <w:pPr>
              <w:pStyle w:val="TableParagraph"/>
              <w:spacing w:before="1"/>
              <w:ind w:left="106" w:right="278"/>
              <w:rPr>
                <w:sz w:val="24"/>
              </w:rPr>
            </w:pPr>
            <w:r>
              <w:rPr>
                <w:sz w:val="24"/>
              </w:rPr>
              <w:t>In</w:t>
            </w:r>
            <w:r>
              <w:rPr>
                <w:spacing w:val="-20"/>
                <w:sz w:val="24"/>
              </w:rPr>
              <w:t> </w:t>
            </w:r>
            <w:r>
              <w:rPr>
                <w:sz w:val="24"/>
              </w:rPr>
              <w:t>case of 3</w:t>
            </w:r>
          </w:p>
          <w:p>
            <w:pPr>
              <w:pStyle w:val="TableParagraph"/>
              <w:numPr>
                <w:ilvl w:val="0"/>
                <w:numId w:val="73"/>
              </w:numPr>
              <w:tabs>
                <w:tab w:pos="393" w:val="left" w:leader="none"/>
              </w:tabs>
              <w:spacing w:line="281" w:lineRule="exact" w:before="1" w:after="0"/>
              <w:ind w:left="393" w:right="0" w:hanging="287"/>
              <w:jc w:val="left"/>
              <w:rPr>
                <w:sz w:val="24"/>
              </w:rPr>
            </w:pPr>
            <w:r>
              <w:rPr>
                <w:spacing w:val="-4"/>
                <w:sz w:val="24"/>
              </w:rPr>
              <w:t>X=50</w:t>
            </w:r>
          </w:p>
          <w:p>
            <w:pPr>
              <w:pStyle w:val="TableParagraph"/>
              <w:numPr>
                <w:ilvl w:val="0"/>
                <w:numId w:val="73"/>
              </w:numPr>
              <w:tabs>
                <w:tab w:pos="403" w:val="left" w:leader="none"/>
              </w:tabs>
              <w:spacing w:line="261" w:lineRule="exact" w:before="0" w:after="0"/>
              <w:ind w:left="403" w:right="0" w:hanging="297"/>
              <w:jc w:val="left"/>
              <w:rPr>
                <w:sz w:val="24"/>
              </w:rPr>
            </w:pPr>
            <w:r>
              <w:rPr>
                <w:spacing w:val="-4"/>
                <w:sz w:val="24"/>
              </w:rPr>
              <w:t>Y=40</w:t>
            </w:r>
          </w:p>
        </w:tc>
      </w:tr>
      <w:tr>
        <w:trPr>
          <w:trHeight w:val="1691"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54</w:t>
            </w:r>
          </w:p>
        </w:tc>
        <w:tc>
          <w:tcPr>
            <w:tcW w:w="1349" w:type="dxa"/>
            <w:vMerge/>
            <w:tcBorders>
              <w:top w:val="nil"/>
            </w:tcBorders>
          </w:tcPr>
          <w:p>
            <w:pPr>
              <w:rPr>
                <w:sz w:val="2"/>
                <w:szCs w:val="2"/>
              </w:rPr>
            </w:pPr>
          </w:p>
        </w:tc>
        <w:tc>
          <w:tcPr>
            <w:tcW w:w="1057" w:type="dxa"/>
          </w:tcPr>
          <w:p>
            <w:pPr>
              <w:pStyle w:val="TableParagraph"/>
              <w:spacing w:before="1"/>
              <w:ind w:left="107" w:right="209"/>
              <w:rPr>
                <w:sz w:val="24"/>
              </w:rPr>
            </w:pPr>
            <w:r>
              <w:rPr>
                <w:spacing w:val="-2"/>
                <w:sz w:val="24"/>
              </w:rPr>
              <w:t>RSA6. </w:t>
            </w:r>
            <w:r>
              <w:rPr>
                <w:spacing w:val="-10"/>
                <w:sz w:val="24"/>
              </w:rPr>
              <w:t>3</w:t>
            </w:r>
          </w:p>
        </w:tc>
        <w:tc>
          <w:tcPr>
            <w:tcW w:w="1260" w:type="dxa"/>
          </w:tcPr>
          <w:p>
            <w:pPr>
              <w:pStyle w:val="TableParagraph"/>
              <w:spacing w:before="1"/>
              <w:ind w:left="18" w:right="-29"/>
              <w:rPr>
                <w:sz w:val="24"/>
              </w:rPr>
            </w:pPr>
            <w:r>
              <w:rPr>
                <w:spacing w:val="-2"/>
                <w:sz w:val="24"/>
              </w:rPr>
              <w:t>Public Convenien </w:t>
            </w:r>
            <w:r>
              <w:rPr>
                <w:spacing w:val="-6"/>
                <w:sz w:val="24"/>
              </w:rPr>
              <w:t>ce</w:t>
            </w:r>
          </w:p>
        </w:tc>
        <w:tc>
          <w:tcPr>
            <w:tcW w:w="2679" w:type="dxa"/>
          </w:tcPr>
          <w:p>
            <w:pPr>
              <w:pStyle w:val="TableParagraph"/>
              <w:spacing w:before="1"/>
              <w:ind w:left="66" w:right="80"/>
              <w:jc w:val="both"/>
              <w:rPr>
                <w:sz w:val="24"/>
              </w:rPr>
            </w:pPr>
            <w:r>
              <w:rPr>
                <w:sz w:val="24"/>
              </w:rPr>
              <w:t>Public Toilet, </w:t>
            </w:r>
            <w:r>
              <w:rPr>
                <w:sz w:val="24"/>
              </w:rPr>
              <w:t>Toilet for Women, Rest Rooms, Drinking Water Hubs</w:t>
            </w:r>
          </w:p>
        </w:tc>
        <w:tc>
          <w:tcPr>
            <w:tcW w:w="2094" w:type="dxa"/>
          </w:tcPr>
          <w:p>
            <w:pPr>
              <w:pStyle w:val="TableParagraph"/>
              <w:rPr>
                <w:rFonts w:ascii="Times New Roman"/>
                <w:sz w:val="22"/>
              </w:rPr>
            </w:pPr>
          </w:p>
        </w:tc>
        <w:tc>
          <w:tcPr>
            <w:tcW w:w="1306" w:type="dxa"/>
          </w:tcPr>
          <w:p>
            <w:pPr>
              <w:pStyle w:val="TableParagraph"/>
              <w:spacing w:line="281" w:lineRule="exact" w:before="1"/>
              <w:ind w:left="106"/>
              <w:rPr>
                <w:sz w:val="24"/>
              </w:rPr>
            </w:pPr>
            <w:r>
              <w:rPr>
                <w:sz w:val="24"/>
              </w:rPr>
              <w:t>1 or 2 </w:t>
            </w:r>
            <w:r>
              <w:rPr>
                <w:spacing w:val="-5"/>
                <w:sz w:val="24"/>
              </w:rPr>
              <w:t>or</w:t>
            </w:r>
          </w:p>
          <w:p>
            <w:pPr>
              <w:pStyle w:val="TableParagraph"/>
              <w:spacing w:line="281" w:lineRule="exact"/>
              <w:ind w:left="106"/>
              <w:rPr>
                <w:sz w:val="24"/>
              </w:rPr>
            </w:pPr>
            <w:r>
              <w:rPr>
                <w:spacing w:val="-10"/>
                <w:sz w:val="24"/>
              </w:rPr>
              <w:t>3</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74"/>
              </w:numPr>
              <w:tabs>
                <w:tab w:pos="393" w:val="left" w:leader="none"/>
              </w:tabs>
              <w:spacing w:line="281" w:lineRule="exact" w:before="0" w:after="0"/>
              <w:ind w:left="393" w:right="0" w:hanging="287"/>
              <w:jc w:val="left"/>
              <w:rPr>
                <w:sz w:val="24"/>
              </w:rPr>
            </w:pPr>
            <w:r>
              <w:rPr>
                <w:sz w:val="24"/>
              </w:rPr>
              <w:t>X=</w:t>
            </w:r>
            <w:r>
              <w:rPr>
                <w:spacing w:val="-1"/>
                <w:sz w:val="24"/>
              </w:rPr>
              <w:t> </w:t>
            </w:r>
            <w:r>
              <w:rPr>
                <w:spacing w:val="-5"/>
                <w:sz w:val="24"/>
              </w:rPr>
              <w:t>50</w:t>
            </w:r>
          </w:p>
          <w:p>
            <w:pPr>
              <w:pStyle w:val="TableParagraph"/>
              <w:numPr>
                <w:ilvl w:val="0"/>
                <w:numId w:val="74"/>
              </w:numPr>
              <w:tabs>
                <w:tab w:pos="403" w:val="left" w:leader="none"/>
              </w:tabs>
              <w:spacing w:line="263" w:lineRule="exact" w:before="0" w:after="0"/>
              <w:ind w:left="403" w:right="0" w:hanging="297"/>
              <w:jc w:val="left"/>
              <w:rPr>
                <w:sz w:val="24"/>
              </w:rPr>
            </w:pPr>
            <w:r>
              <w:rPr>
                <w:sz w:val="24"/>
              </w:rPr>
              <w:t>Y = </w:t>
            </w:r>
            <w:r>
              <w:rPr>
                <w:spacing w:val="-5"/>
                <w:sz w:val="24"/>
              </w:rPr>
              <w:t>40</w:t>
            </w:r>
          </w:p>
        </w:tc>
      </w:tr>
      <w:tr>
        <w:trPr>
          <w:trHeight w:val="1408" w:hRule="atLeast"/>
        </w:trPr>
        <w:tc>
          <w:tcPr>
            <w:tcW w:w="560" w:type="dxa"/>
          </w:tcPr>
          <w:p>
            <w:pPr>
              <w:pStyle w:val="TableParagraph"/>
              <w:rPr>
                <w:b/>
                <w:sz w:val="24"/>
              </w:rPr>
            </w:pPr>
          </w:p>
          <w:p>
            <w:pPr>
              <w:pStyle w:val="TableParagraph"/>
              <w:rPr>
                <w:b/>
                <w:sz w:val="24"/>
              </w:rPr>
            </w:pPr>
          </w:p>
          <w:p>
            <w:pPr>
              <w:pStyle w:val="TableParagraph"/>
              <w:ind w:left="6" w:right="40"/>
              <w:jc w:val="center"/>
              <w:rPr>
                <w:sz w:val="24"/>
              </w:rPr>
            </w:pPr>
            <w:r>
              <w:rPr>
                <w:spacing w:val="-5"/>
                <w:sz w:val="24"/>
              </w:rPr>
              <w:t>55</w:t>
            </w:r>
          </w:p>
        </w:tc>
        <w:tc>
          <w:tcPr>
            <w:tcW w:w="1349"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80"/>
              <w:rPr>
                <w:b/>
                <w:sz w:val="24"/>
              </w:rPr>
            </w:pPr>
          </w:p>
          <w:p>
            <w:pPr>
              <w:pStyle w:val="TableParagraph"/>
              <w:ind w:left="105" w:right="121"/>
              <w:rPr>
                <w:sz w:val="24"/>
              </w:rPr>
            </w:pPr>
            <w:r>
              <w:rPr>
                <w:spacing w:val="-2"/>
                <w:sz w:val="24"/>
              </w:rPr>
              <w:t>Municipa </w:t>
            </w:r>
            <w:r>
              <w:rPr>
                <w:sz w:val="24"/>
              </w:rPr>
              <w:t>l </w:t>
            </w:r>
            <w:r>
              <w:rPr>
                <w:spacing w:val="-2"/>
                <w:sz w:val="24"/>
              </w:rPr>
              <w:t>Services</w:t>
            </w:r>
          </w:p>
        </w:tc>
        <w:tc>
          <w:tcPr>
            <w:tcW w:w="1057" w:type="dxa"/>
          </w:tcPr>
          <w:p>
            <w:pPr>
              <w:pStyle w:val="TableParagraph"/>
              <w:ind w:left="107" w:right="236" w:hanging="84"/>
              <w:rPr>
                <w:sz w:val="24"/>
              </w:rPr>
            </w:pPr>
            <w:r>
              <w:rPr>
                <w:spacing w:val="-2"/>
                <w:sz w:val="24"/>
              </w:rPr>
              <w:t>RMS1. </w:t>
            </w:r>
            <w:r>
              <w:rPr>
                <w:spacing w:val="-10"/>
                <w:sz w:val="24"/>
              </w:rPr>
              <w:t>1</w:t>
            </w:r>
          </w:p>
        </w:tc>
        <w:tc>
          <w:tcPr>
            <w:tcW w:w="1260" w:type="dxa"/>
          </w:tcPr>
          <w:p>
            <w:pPr>
              <w:pStyle w:val="TableParagraph"/>
              <w:ind w:left="181" w:right="367"/>
              <w:rPr>
                <w:sz w:val="24"/>
              </w:rPr>
            </w:pPr>
            <w:r>
              <w:rPr>
                <w:spacing w:val="-4"/>
                <w:sz w:val="24"/>
              </w:rPr>
              <w:t>Road </w:t>
            </w:r>
            <w:r>
              <w:rPr>
                <w:spacing w:val="-2"/>
                <w:sz w:val="24"/>
              </w:rPr>
              <w:t>Depot</w:t>
            </w:r>
          </w:p>
        </w:tc>
        <w:tc>
          <w:tcPr>
            <w:tcW w:w="2679" w:type="dxa"/>
          </w:tcPr>
          <w:p>
            <w:pPr>
              <w:pStyle w:val="TableParagraph"/>
              <w:tabs>
                <w:tab w:pos="1414" w:val="left" w:leader="none"/>
                <w:tab w:pos="1621" w:val="left" w:leader="none"/>
              </w:tabs>
              <w:ind w:left="66" w:right="80"/>
              <w:rPr>
                <w:sz w:val="24"/>
              </w:rPr>
            </w:pPr>
            <w:r>
              <w:rPr>
                <w:spacing w:val="-2"/>
                <w:sz w:val="24"/>
              </w:rPr>
              <w:t>Municipal</w:t>
            </w:r>
            <w:r>
              <w:rPr>
                <w:sz w:val="24"/>
              </w:rPr>
              <w:tab/>
              <w:tab/>
            </w:r>
            <w:r>
              <w:rPr>
                <w:spacing w:val="-2"/>
                <w:sz w:val="24"/>
              </w:rPr>
              <w:t>Material Depot,</w:t>
            </w:r>
            <w:r>
              <w:rPr>
                <w:sz w:val="24"/>
              </w:rPr>
              <w:tab/>
            </w:r>
            <w:r>
              <w:rPr>
                <w:spacing w:val="-2"/>
                <w:sz w:val="24"/>
              </w:rPr>
              <w:t>Municipal</w:t>
            </w:r>
          </w:p>
          <w:p>
            <w:pPr>
              <w:pStyle w:val="TableParagraph"/>
              <w:tabs>
                <w:tab w:pos="1573" w:val="left" w:leader="none"/>
              </w:tabs>
              <w:spacing w:line="281" w:lineRule="exact"/>
              <w:ind w:left="66"/>
              <w:rPr>
                <w:sz w:val="24"/>
              </w:rPr>
            </w:pPr>
            <w:r>
              <w:rPr>
                <w:spacing w:val="-2"/>
                <w:sz w:val="24"/>
              </w:rPr>
              <w:t>Labour</w:t>
            </w:r>
            <w:r>
              <w:rPr>
                <w:sz w:val="24"/>
              </w:rPr>
              <w:tab/>
            </w:r>
            <w:r>
              <w:rPr>
                <w:spacing w:val="-2"/>
                <w:sz w:val="24"/>
              </w:rPr>
              <w:t>Chowky,</w:t>
            </w:r>
          </w:p>
          <w:p>
            <w:pPr>
              <w:pStyle w:val="TableParagraph"/>
              <w:tabs>
                <w:tab w:pos="1323" w:val="left" w:leader="none"/>
              </w:tabs>
              <w:spacing w:line="281" w:lineRule="exact"/>
              <w:ind w:left="66"/>
              <w:rPr>
                <w:sz w:val="24"/>
              </w:rPr>
            </w:pPr>
            <w:r>
              <w:rPr>
                <w:spacing w:val="-2"/>
                <w:sz w:val="24"/>
              </w:rPr>
              <w:t>Store,</w:t>
            </w:r>
            <w:r>
              <w:rPr>
                <w:sz w:val="24"/>
              </w:rPr>
              <w:tab/>
            </w:r>
            <w:r>
              <w:rPr>
                <w:spacing w:val="-2"/>
                <w:sz w:val="24"/>
              </w:rPr>
              <w:t>Workshop,</w:t>
            </w:r>
          </w:p>
          <w:p>
            <w:pPr>
              <w:pStyle w:val="TableParagraph"/>
              <w:spacing w:line="261" w:lineRule="exact" w:before="1"/>
              <w:ind w:left="66"/>
              <w:rPr>
                <w:sz w:val="24"/>
              </w:rPr>
            </w:pPr>
            <w:r>
              <w:rPr>
                <w:sz w:val="24"/>
              </w:rPr>
              <w:t>Municipal </w:t>
            </w:r>
            <w:r>
              <w:rPr>
                <w:spacing w:val="-2"/>
                <w:sz w:val="24"/>
              </w:rPr>
              <w:t>Office</w:t>
            </w:r>
          </w:p>
        </w:tc>
        <w:tc>
          <w:tcPr>
            <w:tcW w:w="2094" w:type="dxa"/>
          </w:tcPr>
          <w:p>
            <w:pPr>
              <w:pStyle w:val="TableParagraph"/>
              <w:tabs>
                <w:tab w:pos="1339" w:val="left" w:leader="none"/>
              </w:tabs>
              <w:ind w:left="106" w:right="101"/>
              <w:rPr>
                <w:sz w:val="24"/>
              </w:rPr>
            </w:pPr>
            <w:r>
              <w:rPr>
                <w:spacing w:val="-2"/>
                <w:sz w:val="24"/>
              </w:rPr>
              <w:t>Public</w:t>
            </w:r>
            <w:r>
              <w:rPr>
                <w:sz w:val="24"/>
              </w:rPr>
              <w:tab/>
            </w:r>
            <w:r>
              <w:rPr>
                <w:spacing w:val="-2"/>
                <w:sz w:val="24"/>
              </w:rPr>
              <w:t>Toilet facilities</w:t>
            </w:r>
          </w:p>
        </w:tc>
        <w:tc>
          <w:tcPr>
            <w:tcW w:w="1306" w:type="dxa"/>
          </w:tcPr>
          <w:p>
            <w:pPr>
              <w:pStyle w:val="TableParagraph"/>
              <w:ind w:left="180" w:right="281"/>
              <w:jc w:val="both"/>
              <w:rPr>
                <w:sz w:val="24"/>
              </w:rPr>
            </w:pPr>
            <w:r>
              <w:rPr>
                <w:sz w:val="24"/>
              </w:rPr>
              <w:t>1 or 3, In</w:t>
            </w:r>
            <w:r>
              <w:rPr>
                <w:spacing w:val="-20"/>
                <w:sz w:val="24"/>
              </w:rPr>
              <w:t> </w:t>
            </w:r>
            <w:r>
              <w:rPr>
                <w:sz w:val="24"/>
              </w:rPr>
              <w:t>case of 3</w:t>
            </w:r>
          </w:p>
          <w:p>
            <w:pPr>
              <w:pStyle w:val="TableParagraph"/>
              <w:numPr>
                <w:ilvl w:val="0"/>
                <w:numId w:val="75"/>
              </w:numPr>
              <w:tabs>
                <w:tab w:pos="393" w:val="left" w:leader="none"/>
              </w:tabs>
              <w:spacing w:line="240" w:lineRule="auto" w:before="0" w:after="0"/>
              <w:ind w:left="393" w:right="0" w:hanging="287"/>
              <w:jc w:val="both"/>
              <w:rPr>
                <w:sz w:val="24"/>
              </w:rPr>
            </w:pPr>
            <w:r>
              <w:rPr>
                <w:spacing w:val="-4"/>
                <w:sz w:val="24"/>
              </w:rPr>
              <w:t>X=50</w:t>
            </w:r>
          </w:p>
          <w:p>
            <w:pPr>
              <w:pStyle w:val="TableParagraph"/>
              <w:numPr>
                <w:ilvl w:val="0"/>
                <w:numId w:val="75"/>
              </w:numPr>
              <w:tabs>
                <w:tab w:pos="403" w:val="left" w:leader="none"/>
              </w:tabs>
              <w:spacing w:line="261" w:lineRule="exact" w:before="0" w:after="0"/>
              <w:ind w:left="403" w:right="0" w:hanging="297"/>
              <w:jc w:val="both"/>
              <w:rPr>
                <w:sz w:val="24"/>
              </w:rPr>
            </w:pPr>
            <w:r>
              <w:rPr>
                <w:spacing w:val="-4"/>
                <w:sz w:val="24"/>
              </w:rPr>
              <w:t>Y=40</w:t>
            </w:r>
          </w:p>
        </w:tc>
      </w:tr>
      <w:tr>
        <w:trPr>
          <w:trHeight w:val="1408"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56</w:t>
            </w:r>
          </w:p>
        </w:tc>
        <w:tc>
          <w:tcPr>
            <w:tcW w:w="1349" w:type="dxa"/>
            <w:vMerge/>
            <w:tcBorders>
              <w:top w:val="nil"/>
            </w:tcBorders>
          </w:tcPr>
          <w:p>
            <w:pPr>
              <w:rPr>
                <w:sz w:val="2"/>
                <w:szCs w:val="2"/>
              </w:rPr>
            </w:pPr>
          </w:p>
        </w:tc>
        <w:tc>
          <w:tcPr>
            <w:tcW w:w="1057" w:type="dxa"/>
          </w:tcPr>
          <w:p>
            <w:pPr>
              <w:pStyle w:val="TableParagraph"/>
              <w:ind w:left="107" w:right="236" w:hanging="84"/>
              <w:rPr>
                <w:sz w:val="24"/>
              </w:rPr>
            </w:pPr>
            <w:r>
              <w:rPr>
                <w:spacing w:val="-2"/>
                <w:sz w:val="24"/>
              </w:rPr>
              <w:t>RMS1. </w:t>
            </w:r>
            <w:r>
              <w:rPr>
                <w:spacing w:val="-10"/>
                <w:sz w:val="24"/>
              </w:rPr>
              <w:t>2</w:t>
            </w:r>
          </w:p>
        </w:tc>
        <w:tc>
          <w:tcPr>
            <w:tcW w:w="1260" w:type="dxa"/>
          </w:tcPr>
          <w:p>
            <w:pPr>
              <w:pStyle w:val="TableParagraph"/>
              <w:ind w:left="22" w:right="135" w:hanging="12"/>
              <w:rPr>
                <w:sz w:val="24"/>
              </w:rPr>
            </w:pPr>
            <w:r>
              <w:rPr>
                <w:spacing w:val="-2"/>
                <w:sz w:val="24"/>
              </w:rPr>
              <w:t>Municipa </w:t>
            </w:r>
            <w:r>
              <w:rPr>
                <w:sz w:val="24"/>
              </w:rPr>
              <w:t>l </w:t>
            </w:r>
            <w:r>
              <w:rPr>
                <w:spacing w:val="-2"/>
                <w:sz w:val="24"/>
              </w:rPr>
              <w:t>Chowky</w:t>
            </w:r>
          </w:p>
        </w:tc>
        <w:tc>
          <w:tcPr>
            <w:tcW w:w="2679" w:type="dxa"/>
          </w:tcPr>
          <w:p>
            <w:pPr>
              <w:pStyle w:val="TableParagraph"/>
              <w:spacing w:line="280" w:lineRule="exact"/>
              <w:ind w:left="66"/>
              <w:jc w:val="both"/>
              <w:rPr>
                <w:sz w:val="24"/>
              </w:rPr>
            </w:pPr>
            <w:r>
              <w:rPr>
                <w:sz w:val="24"/>
              </w:rPr>
              <w:t>Municipal</w:t>
            </w:r>
            <w:r>
              <w:rPr>
                <w:spacing w:val="55"/>
                <w:w w:val="150"/>
                <w:sz w:val="24"/>
              </w:rPr>
              <w:t>   </w:t>
            </w:r>
            <w:r>
              <w:rPr>
                <w:spacing w:val="-2"/>
                <w:sz w:val="24"/>
              </w:rPr>
              <w:t>Labour</w:t>
            </w:r>
          </w:p>
          <w:p>
            <w:pPr>
              <w:pStyle w:val="TableParagraph"/>
              <w:tabs>
                <w:tab w:pos="1894" w:val="left" w:leader="none"/>
              </w:tabs>
              <w:ind w:left="66" w:right="80"/>
              <w:jc w:val="both"/>
              <w:rPr>
                <w:sz w:val="24"/>
              </w:rPr>
            </w:pPr>
            <w:r>
              <w:rPr>
                <w:sz w:val="24"/>
              </w:rPr>
              <w:t>Chowky, </w:t>
            </w:r>
            <w:r>
              <w:rPr>
                <w:sz w:val="24"/>
              </w:rPr>
              <w:t>Material </w:t>
            </w:r>
            <w:r>
              <w:rPr>
                <w:spacing w:val="-2"/>
                <w:sz w:val="24"/>
              </w:rPr>
              <w:t>Depot,</w:t>
            </w:r>
            <w:r>
              <w:rPr>
                <w:sz w:val="24"/>
              </w:rPr>
              <w:tab/>
            </w:r>
            <w:r>
              <w:rPr>
                <w:spacing w:val="-2"/>
                <w:sz w:val="24"/>
              </w:rPr>
              <w:t>Store, </w:t>
            </w:r>
            <w:r>
              <w:rPr>
                <w:sz w:val="24"/>
              </w:rPr>
              <w:t>Workshop,</w:t>
            </w:r>
            <w:r>
              <w:rPr>
                <w:spacing w:val="9"/>
                <w:sz w:val="24"/>
              </w:rPr>
              <w:t> </w:t>
            </w:r>
            <w:r>
              <w:rPr>
                <w:spacing w:val="-2"/>
                <w:sz w:val="24"/>
              </w:rPr>
              <w:t>Municipal</w:t>
            </w:r>
          </w:p>
          <w:p>
            <w:pPr>
              <w:pStyle w:val="TableParagraph"/>
              <w:spacing w:line="261" w:lineRule="exact" w:before="1"/>
              <w:ind w:left="66"/>
              <w:rPr>
                <w:sz w:val="24"/>
              </w:rPr>
            </w:pPr>
            <w:r>
              <w:rPr>
                <w:spacing w:val="-2"/>
                <w:sz w:val="24"/>
              </w:rPr>
              <w:t>Office</w:t>
            </w:r>
          </w:p>
        </w:tc>
        <w:tc>
          <w:tcPr>
            <w:tcW w:w="2094" w:type="dxa"/>
          </w:tcPr>
          <w:p>
            <w:pPr>
              <w:pStyle w:val="TableParagraph"/>
              <w:tabs>
                <w:tab w:pos="1356" w:val="left" w:leader="none"/>
              </w:tabs>
              <w:ind w:left="65" w:right="82"/>
              <w:rPr>
                <w:sz w:val="24"/>
              </w:rPr>
            </w:pPr>
            <w:r>
              <w:rPr>
                <w:spacing w:val="-2"/>
                <w:sz w:val="24"/>
              </w:rPr>
              <w:t>Public</w:t>
            </w:r>
            <w:r>
              <w:rPr>
                <w:sz w:val="24"/>
              </w:rPr>
              <w:tab/>
            </w:r>
            <w:r>
              <w:rPr>
                <w:spacing w:val="-2"/>
                <w:sz w:val="24"/>
              </w:rPr>
              <w:t>Toilet facilities</w:t>
            </w:r>
          </w:p>
        </w:tc>
        <w:tc>
          <w:tcPr>
            <w:tcW w:w="1306" w:type="dxa"/>
          </w:tcPr>
          <w:p>
            <w:pPr>
              <w:pStyle w:val="TableParagraph"/>
              <w:ind w:left="180" w:right="280"/>
              <w:jc w:val="both"/>
              <w:rPr>
                <w:sz w:val="24"/>
              </w:rPr>
            </w:pPr>
            <w:r>
              <w:rPr>
                <w:sz w:val="24"/>
              </w:rPr>
              <w:t>1 or 3, In</w:t>
            </w:r>
            <w:r>
              <w:rPr>
                <w:spacing w:val="-20"/>
                <w:sz w:val="24"/>
              </w:rPr>
              <w:t> </w:t>
            </w:r>
            <w:r>
              <w:rPr>
                <w:sz w:val="24"/>
              </w:rPr>
              <w:t>case of 3</w:t>
            </w:r>
          </w:p>
          <w:p>
            <w:pPr>
              <w:pStyle w:val="TableParagraph"/>
              <w:numPr>
                <w:ilvl w:val="0"/>
                <w:numId w:val="76"/>
              </w:numPr>
              <w:tabs>
                <w:tab w:pos="393" w:val="left" w:leader="none"/>
              </w:tabs>
              <w:spacing w:line="281" w:lineRule="exact" w:before="0" w:after="0"/>
              <w:ind w:left="393" w:right="0" w:hanging="287"/>
              <w:jc w:val="both"/>
              <w:rPr>
                <w:sz w:val="24"/>
              </w:rPr>
            </w:pPr>
            <w:r>
              <w:rPr>
                <w:spacing w:val="-4"/>
                <w:sz w:val="24"/>
              </w:rPr>
              <w:t>X=50</w:t>
            </w:r>
          </w:p>
          <w:p>
            <w:pPr>
              <w:pStyle w:val="TableParagraph"/>
              <w:numPr>
                <w:ilvl w:val="0"/>
                <w:numId w:val="76"/>
              </w:numPr>
              <w:tabs>
                <w:tab w:pos="403" w:val="left" w:leader="none"/>
              </w:tabs>
              <w:spacing w:line="261" w:lineRule="exact" w:before="0" w:after="0"/>
              <w:ind w:left="403" w:right="0" w:hanging="297"/>
              <w:jc w:val="both"/>
              <w:rPr>
                <w:sz w:val="24"/>
              </w:rPr>
            </w:pPr>
            <w:r>
              <w:rPr>
                <w:spacing w:val="-4"/>
                <w:sz w:val="24"/>
              </w:rPr>
              <w:t>Y=40</w:t>
            </w:r>
          </w:p>
        </w:tc>
      </w:tr>
      <w:tr>
        <w:trPr>
          <w:trHeight w:val="1972"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57</w:t>
            </w:r>
          </w:p>
        </w:tc>
        <w:tc>
          <w:tcPr>
            <w:tcW w:w="1349" w:type="dxa"/>
            <w:vMerge/>
            <w:tcBorders>
              <w:top w:val="nil"/>
            </w:tcBorders>
          </w:tcPr>
          <w:p>
            <w:pPr>
              <w:rPr>
                <w:sz w:val="2"/>
                <w:szCs w:val="2"/>
              </w:rPr>
            </w:pPr>
          </w:p>
        </w:tc>
        <w:tc>
          <w:tcPr>
            <w:tcW w:w="1057" w:type="dxa"/>
          </w:tcPr>
          <w:p>
            <w:pPr>
              <w:pStyle w:val="TableParagraph"/>
              <w:ind w:left="107" w:right="236" w:hanging="84"/>
              <w:rPr>
                <w:sz w:val="24"/>
              </w:rPr>
            </w:pPr>
            <w:r>
              <w:rPr>
                <w:spacing w:val="-2"/>
                <w:sz w:val="24"/>
              </w:rPr>
              <w:t>RMS1. </w:t>
            </w:r>
            <w:r>
              <w:rPr>
                <w:spacing w:val="-10"/>
                <w:sz w:val="24"/>
              </w:rPr>
              <w:t>3</w:t>
            </w:r>
          </w:p>
        </w:tc>
        <w:tc>
          <w:tcPr>
            <w:tcW w:w="1260" w:type="dxa"/>
          </w:tcPr>
          <w:p>
            <w:pPr>
              <w:pStyle w:val="TableParagraph"/>
              <w:ind w:left="111" w:right="45"/>
              <w:rPr>
                <w:sz w:val="24"/>
              </w:rPr>
            </w:pPr>
            <w:r>
              <w:rPr>
                <w:spacing w:val="-2"/>
                <w:sz w:val="24"/>
              </w:rPr>
              <w:t>Municip </w:t>
            </w:r>
            <w:r>
              <w:rPr>
                <w:spacing w:val="-6"/>
                <w:sz w:val="24"/>
              </w:rPr>
              <w:t>al </w:t>
            </w:r>
            <w:r>
              <w:rPr>
                <w:spacing w:val="-2"/>
                <w:sz w:val="24"/>
              </w:rPr>
              <w:t>Facilities</w:t>
            </w:r>
          </w:p>
        </w:tc>
        <w:tc>
          <w:tcPr>
            <w:tcW w:w="2679" w:type="dxa"/>
          </w:tcPr>
          <w:p>
            <w:pPr>
              <w:pStyle w:val="TableParagraph"/>
              <w:ind w:left="66" w:right="80"/>
              <w:jc w:val="both"/>
              <w:rPr>
                <w:sz w:val="24"/>
              </w:rPr>
            </w:pPr>
            <w:r>
              <w:rPr>
                <w:sz w:val="24"/>
              </w:rPr>
              <w:t>Municipal</w:t>
            </w:r>
            <w:r>
              <w:rPr>
                <w:spacing w:val="-20"/>
                <w:sz w:val="24"/>
              </w:rPr>
              <w:t> </w:t>
            </w:r>
            <w:r>
              <w:rPr>
                <w:sz w:val="24"/>
              </w:rPr>
              <w:t>Workshop, Municipal Central Store</w:t>
            </w:r>
            <w:r>
              <w:rPr>
                <w:spacing w:val="68"/>
                <w:w w:val="150"/>
                <w:sz w:val="24"/>
              </w:rPr>
              <w:t>    </w:t>
            </w:r>
            <w:r>
              <w:rPr>
                <w:spacing w:val="-2"/>
                <w:sz w:val="24"/>
              </w:rPr>
              <w:t>Municipal</w:t>
            </w:r>
          </w:p>
          <w:p>
            <w:pPr>
              <w:pStyle w:val="TableParagraph"/>
              <w:spacing w:line="281" w:lineRule="exact"/>
              <w:ind w:left="66"/>
              <w:jc w:val="both"/>
              <w:rPr>
                <w:sz w:val="24"/>
              </w:rPr>
            </w:pPr>
            <w:r>
              <w:rPr>
                <w:sz w:val="24"/>
              </w:rPr>
              <w:t>Labour</w:t>
            </w:r>
            <w:r>
              <w:rPr>
                <w:spacing w:val="52"/>
                <w:w w:val="150"/>
                <w:sz w:val="24"/>
              </w:rPr>
              <w:t>    </w:t>
            </w:r>
            <w:r>
              <w:rPr>
                <w:spacing w:val="-2"/>
                <w:sz w:val="24"/>
              </w:rPr>
              <w:t>Chowky,</w:t>
            </w:r>
          </w:p>
          <w:p>
            <w:pPr>
              <w:pStyle w:val="TableParagraph"/>
              <w:spacing w:line="280" w:lineRule="exact"/>
              <w:ind w:left="66" w:right="80"/>
              <w:jc w:val="both"/>
              <w:rPr>
                <w:sz w:val="24"/>
              </w:rPr>
            </w:pPr>
            <w:r>
              <w:rPr>
                <w:sz w:val="24"/>
              </w:rPr>
              <w:t>Material </w:t>
            </w:r>
            <w:r>
              <w:rPr>
                <w:sz w:val="24"/>
              </w:rPr>
              <w:t>Depot, Store, Municipal </w:t>
            </w:r>
            <w:r>
              <w:rPr>
                <w:spacing w:val="-2"/>
                <w:sz w:val="24"/>
              </w:rPr>
              <w:t>Office</w:t>
            </w:r>
          </w:p>
        </w:tc>
        <w:tc>
          <w:tcPr>
            <w:tcW w:w="2094" w:type="dxa"/>
          </w:tcPr>
          <w:p>
            <w:pPr>
              <w:pStyle w:val="TableParagraph"/>
              <w:tabs>
                <w:tab w:pos="1356" w:val="left" w:leader="none"/>
              </w:tabs>
              <w:ind w:left="65" w:right="82"/>
              <w:rPr>
                <w:sz w:val="24"/>
              </w:rPr>
            </w:pPr>
            <w:r>
              <w:rPr>
                <w:spacing w:val="-2"/>
                <w:sz w:val="24"/>
              </w:rPr>
              <w:t>Public</w:t>
            </w:r>
            <w:r>
              <w:rPr>
                <w:sz w:val="24"/>
              </w:rPr>
              <w:tab/>
            </w:r>
            <w:r>
              <w:rPr>
                <w:spacing w:val="-2"/>
                <w:sz w:val="24"/>
              </w:rPr>
              <w:t>Toilet facilities</w:t>
            </w:r>
          </w:p>
        </w:tc>
        <w:tc>
          <w:tcPr>
            <w:tcW w:w="1306" w:type="dxa"/>
          </w:tcPr>
          <w:p>
            <w:pPr>
              <w:pStyle w:val="TableParagraph"/>
              <w:ind w:left="180" w:right="281"/>
              <w:jc w:val="both"/>
              <w:rPr>
                <w:sz w:val="24"/>
              </w:rPr>
            </w:pPr>
            <w:r>
              <w:rPr>
                <w:sz w:val="24"/>
              </w:rPr>
              <w:t>1 or 3, In</w:t>
            </w:r>
            <w:r>
              <w:rPr>
                <w:spacing w:val="-20"/>
                <w:sz w:val="24"/>
              </w:rPr>
              <w:t> </w:t>
            </w:r>
            <w:r>
              <w:rPr>
                <w:sz w:val="24"/>
              </w:rPr>
              <w:t>case of 3</w:t>
            </w:r>
          </w:p>
          <w:p>
            <w:pPr>
              <w:pStyle w:val="TableParagraph"/>
              <w:numPr>
                <w:ilvl w:val="0"/>
                <w:numId w:val="77"/>
              </w:numPr>
              <w:tabs>
                <w:tab w:pos="393" w:val="left" w:leader="none"/>
              </w:tabs>
              <w:spacing w:line="281" w:lineRule="exact" w:before="0" w:after="0"/>
              <w:ind w:left="393" w:right="0" w:hanging="287"/>
              <w:jc w:val="both"/>
              <w:rPr>
                <w:sz w:val="24"/>
              </w:rPr>
            </w:pPr>
            <w:r>
              <w:rPr>
                <w:spacing w:val="-4"/>
                <w:sz w:val="24"/>
              </w:rPr>
              <w:t>X=50</w:t>
            </w:r>
          </w:p>
          <w:p>
            <w:pPr>
              <w:pStyle w:val="TableParagraph"/>
              <w:numPr>
                <w:ilvl w:val="0"/>
                <w:numId w:val="77"/>
              </w:numPr>
              <w:tabs>
                <w:tab w:pos="403" w:val="left" w:leader="none"/>
              </w:tabs>
              <w:spacing w:line="240" w:lineRule="auto" w:before="1" w:after="0"/>
              <w:ind w:left="403" w:right="0" w:hanging="297"/>
              <w:jc w:val="both"/>
              <w:rPr>
                <w:sz w:val="24"/>
              </w:rPr>
            </w:pPr>
            <w:r>
              <w:rPr>
                <w:spacing w:val="-4"/>
                <w:sz w:val="24"/>
              </w:rPr>
              <w:t>Y=40</w:t>
            </w:r>
          </w:p>
        </w:tc>
      </w:tr>
      <w:tr>
        <w:trPr>
          <w:trHeight w:val="1972"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58</w:t>
            </w:r>
          </w:p>
        </w:tc>
        <w:tc>
          <w:tcPr>
            <w:tcW w:w="1349" w:type="dxa"/>
            <w:vMerge/>
            <w:tcBorders>
              <w:top w:val="nil"/>
            </w:tcBorders>
          </w:tcPr>
          <w:p>
            <w:pPr>
              <w:rPr>
                <w:sz w:val="2"/>
                <w:szCs w:val="2"/>
              </w:rPr>
            </w:pPr>
          </w:p>
        </w:tc>
        <w:tc>
          <w:tcPr>
            <w:tcW w:w="1057" w:type="dxa"/>
          </w:tcPr>
          <w:p>
            <w:pPr>
              <w:pStyle w:val="TableParagraph"/>
              <w:ind w:left="107" w:right="236" w:hanging="84"/>
              <w:rPr>
                <w:sz w:val="24"/>
              </w:rPr>
            </w:pPr>
            <w:r>
              <w:rPr>
                <w:spacing w:val="-2"/>
                <w:sz w:val="24"/>
              </w:rPr>
              <w:t>RMS2. </w:t>
            </w:r>
            <w:r>
              <w:rPr>
                <w:spacing w:val="-10"/>
                <w:sz w:val="24"/>
              </w:rPr>
              <w:t>1</w:t>
            </w:r>
          </w:p>
        </w:tc>
        <w:tc>
          <w:tcPr>
            <w:tcW w:w="1260" w:type="dxa"/>
          </w:tcPr>
          <w:p>
            <w:pPr>
              <w:pStyle w:val="TableParagraph"/>
              <w:ind w:left="181" w:right="172" w:hanging="70"/>
              <w:rPr>
                <w:sz w:val="24"/>
              </w:rPr>
            </w:pPr>
            <w:r>
              <w:rPr>
                <w:spacing w:val="-2"/>
                <w:sz w:val="24"/>
              </w:rPr>
              <w:t>Transpo </w:t>
            </w:r>
            <w:r>
              <w:rPr>
                <w:spacing w:val="-6"/>
                <w:sz w:val="24"/>
              </w:rPr>
              <w:t>rt </w:t>
            </w:r>
            <w:r>
              <w:rPr>
                <w:spacing w:val="-2"/>
                <w:sz w:val="24"/>
              </w:rPr>
              <w:t>Garage</w:t>
            </w:r>
          </w:p>
        </w:tc>
        <w:tc>
          <w:tcPr>
            <w:tcW w:w="2679" w:type="dxa"/>
          </w:tcPr>
          <w:p>
            <w:pPr>
              <w:pStyle w:val="TableParagraph"/>
              <w:ind w:left="66" w:right="80"/>
              <w:jc w:val="both"/>
              <w:rPr>
                <w:sz w:val="24"/>
              </w:rPr>
            </w:pPr>
            <w:r>
              <w:rPr>
                <w:sz w:val="24"/>
              </w:rPr>
              <w:t>Transport </w:t>
            </w:r>
            <w:r>
              <w:rPr>
                <w:sz w:val="24"/>
              </w:rPr>
              <w:t>Garage, Repair</w:t>
            </w:r>
            <w:r>
              <w:rPr>
                <w:spacing w:val="-17"/>
                <w:sz w:val="24"/>
              </w:rPr>
              <w:t> </w:t>
            </w:r>
            <w:r>
              <w:rPr>
                <w:sz w:val="24"/>
              </w:rPr>
              <w:t>Garage,</w:t>
            </w:r>
            <w:r>
              <w:rPr>
                <w:spacing w:val="-17"/>
                <w:sz w:val="24"/>
              </w:rPr>
              <w:t> </w:t>
            </w:r>
            <w:r>
              <w:rPr>
                <w:sz w:val="24"/>
              </w:rPr>
              <w:t>Store, Related Municipal Office, Municipal Chowky, Municipal Office, Workshop</w:t>
            </w:r>
          </w:p>
        </w:tc>
        <w:tc>
          <w:tcPr>
            <w:tcW w:w="2094" w:type="dxa"/>
          </w:tcPr>
          <w:p>
            <w:pPr>
              <w:pStyle w:val="TableParagraph"/>
              <w:tabs>
                <w:tab w:pos="1006" w:val="left" w:leader="none"/>
                <w:tab w:pos="1383" w:val="left" w:leader="none"/>
                <w:tab w:pos="1812" w:val="left" w:leader="none"/>
              </w:tabs>
              <w:ind w:left="89" w:right="54"/>
              <w:rPr>
                <w:sz w:val="24"/>
              </w:rPr>
            </w:pPr>
            <w:r>
              <w:rPr>
                <w:spacing w:val="-2"/>
                <w:sz w:val="24"/>
              </w:rPr>
              <w:t>Auto-parts</w:t>
            </w:r>
            <w:r>
              <w:rPr>
                <w:spacing w:val="40"/>
                <w:sz w:val="24"/>
              </w:rPr>
              <w:t> </w:t>
            </w:r>
            <w:r>
              <w:rPr>
                <w:spacing w:val="-2"/>
                <w:sz w:val="24"/>
              </w:rPr>
              <w:t>shop,</w:t>
            </w:r>
            <w:r>
              <w:rPr>
                <w:sz w:val="24"/>
              </w:rPr>
              <w:tab/>
            </w:r>
            <w:r>
              <w:rPr>
                <w:spacing w:val="-4"/>
                <w:sz w:val="24"/>
              </w:rPr>
              <w:t>ATM</w:t>
            </w:r>
            <w:r>
              <w:rPr>
                <w:sz w:val="24"/>
              </w:rPr>
              <w:tab/>
            </w:r>
            <w:r>
              <w:rPr>
                <w:spacing w:val="-6"/>
                <w:sz w:val="24"/>
              </w:rPr>
              <w:t>of </w:t>
            </w:r>
            <w:r>
              <w:rPr>
                <w:spacing w:val="-2"/>
                <w:sz w:val="24"/>
              </w:rPr>
              <w:t>bank,</w:t>
            </w:r>
            <w:r>
              <w:rPr>
                <w:sz w:val="24"/>
              </w:rPr>
              <w:tab/>
            </w:r>
            <w:r>
              <w:rPr>
                <w:spacing w:val="-56"/>
                <w:sz w:val="24"/>
              </w:rPr>
              <w:t> </w:t>
            </w:r>
            <w:r>
              <w:rPr>
                <w:spacing w:val="-2"/>
                <w:sz w:val="24"/>
              </w:rPr>
              <w:t>canteen, </w:t>
            </w:r>
            <w:r>
              <w:rPr>
                <w:sz w:val="24"/>
              </w:rPr>
              <w:t>municipal</w:t>
            </w:r>
            <w:r>
              <w:rPr>
                <w:spacing w:val="-10"/>
                <w:sz w:val="24"/>
              </w:rPr>
              <w:t> </w:t>
            </w:r>
            <w:r>
              <w:rPr>
                <w:sz w:val="24"/>
              </w:rPr>
              <w:t>store, </w:t>
            </w:r>
            <w:r>
              <w:rPr>
                <w:spacing w:val="-2"/>
                <w:sz w:val="24"/>
              </w:rPr>
              <w:t>Public</w:t>
            </w:r>
            <w:r>
              <w:rPr>
                <w:sz w:val="24"/>
              </w:rPr>
              <w:tab/>
              <w:tab/>
            </w:r>
            <w:r>
              <w:rPr>
                <w:spacing w:val="-2"/>
                <w:sz w:val="24"/>
              </w:rPr>
              <w:t>Toilet facilities</w:t>
            </w:r>
          </w:p>
        </w:tc>
        <w:tc>
          <w:tcPr>
            <w:tcW w:w="1306" w:type="dxa"/>
          </w:tcPr>
          <w:p>
            <w:pPr>
              <w:pStyle w:val="TableParagraph"/>
              <w:spacing w:line="280" w:lineRule="exact"/>
              <w:ind w:left="106"/>
              <w:rPr>
                <w:sz w:val="24"/>
              </w:rPr>
            </w:pPr>
            <w:r>
              <w:rPr>
                <w:sz w:val="24"/>
              </w:rPr>
              <w:t>1 or </w:t>
            </w:r>
            <w:r>
              <w:rPr>
                <w:spacing w:val="-5"/>
                <w:sz w:val="24"/>
              </w:rPr>
              <w:t>3,</w:t>
            </w:r>
          </w:p>
          <w:p>
            <w:pPr>
              <w:pStyle w:val="TableParagraph"/>
              <w:ind w:left="180" w:right="361" w:hanging="75"/>
              <w:rPr>
                <w:sz w:val="24"/>
              </w:rPr>
            </w:pPr>
            <w:r>
              <w:rPr>
                <w:sz w:val="24"/>
              </w:rPr>
              <w:t>Za=</w:t>
            </w:r>
            <w:r>
              <w:rPr>
                <w:spacing w:val="-20"/>
                <w:sz w:val="24"/>
              </w:rPr>
              <w:t> </w:t>
            </w:r>
            <w:r>
              <w:rPr>
                <w:sz w:val="24"/>
              </w:rPr>
              <w:t>10 </w:t>
            </w:r>
            <w:r>
              <w:rPr>
                <w:spacing w:val="-2"/>
                <w:sz w:val="24"/>
              </w:rPr>
              <w:t>Zb=10</w:t>
            </w:r>
          </w:p>
          <w:p>
            <w:pPr>
              <w:pStyle w:val="TableParagraph"/>
              <w:ind w:left="180" w:right="278"/>
              <w:rPr>
                <w:sz w:val="24"/>
              </w:rPr>
            </w:pPr>
            <w:r>
              <w:rPr>
                <w:sz w:val="24"/>
              </w:rPr>
              <w:t>In</w:t>
            </w:r>
            <w:r>
              <w:rPr>
                <w:spacing w:val="-20"/>
                <w:sz w:val="24"/>
              </w:rPr>
              <w:t> </w:t>
            </w:r>
            <w:r>
              <w:rPr>
                <w:sz w:val="24"/>
              </w:rPr>
              <w:t>case of 3</w:t>
            </w:r>
          </w:p>
          <w:p>
            <w:pPr>
              <w:pStyle w:val="TableParagraph"/>
              <w:numPr>
                <w:ilvl w:val="0"/>
                <w:numId w:val="78"/>
              </w:numPr>
              <w:tabs>
                <w:tab w:pos="393" w:val="left" w:leader="none"/>
              </w:tabs>
              <w:spacing w:line="281" w:lineRule="exact" w:before="0" w:after="0"/>
              <w:ind w:left="393" w:right="0" w:hanging="287"/>
              <w:jc w:val="left"/>
              <w:rPr>
                <w:sz w:val="24"/>
              </w:rPr>
            </w:pPr>
            <w:r>
              <w:rPr>
                <w:spacing w:val="-4"/>
                <w:sz w:val="24"/>
              </w:rPr>
              <w:t>X=50</w:t>
            </w:r>
          </w:p>
          <w:p>
            <w:pPr>
              <w:pStyle w:val="TableParagraph"/>
              <w:numPr>
                <w:ilvl w:val="0"/>
                <w:numId w:val="78"/>
              </w:numPr>
              <w:tabs>
                <w:tab w:pos="403" w:val="left" w:leader="none"/>
              </w:tabs>
              <w:spacing w:line="263" w:lineRule="exact" w:before="0" w:after="0"/>
              <w:ind w:left="403" w:right="0" w:hanging="297"/>
              <w:jc w:val="left"/>
              <w:rPr>
                <w:sz w:val="24"/>
              </w:rPr>
            </w:pPr>
            <w:r>
              <w:rPr>
                <w:spacing w:val="-4"/>
                <w:sz w:val="24"/>
              </w:rPr>
              <w:t>Y=40</w:t>
            </w:r>
          </w:p>
        </w:tc>
      </w:tr>
    </w:tbl>
    <w:p>
      <w:pPr>
        <w:pStyle w:val="TableParagraph"/>
        <w:spacing w:after="0" w:line="263" w:lineRule="exact"/>
        <w:jc w:val="left"/>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right="328"/>
              <w:jc w:val="right"/>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1286"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rPr>
                <w:rFonts w:ascii="Times New Roman"/>
                <w:sz w:val="22"/>
              </w:rPr>
            </w:pPr>
          </w:p>
        </w:tc>
        <w:tc>
          <w:tcPr>
            <w:tcW w:w="2094" w:type="dxa"/>
          </w:tcPr>
          <w:p>
            <w:pPr>
              <w:pStyle w:val="TableParagraph"/>
              <w:rPr>
                <w:rFonts w:ascii="Times New Roman"/>
                <w:sz w:val="22"/>
              </w:rPr>
            </w:pPr>
          </w:p>
        </w:tc>
        <w:tc>
          <w:tcPr>
            <w:tcW w:w="1306" w:type="dxa"/>
          </w:tcPr>
          <w:p>
            <w:pPr>
              <w:pStyle w:val="TableParagraph"/>
              <w:rPr>
                <w:rFonts w:ascii="Times New Roman"/>
                <w:sz w:val="22"/>
              </w:rPr>
            </w:pPr>
          </w:p>
        </w:tc>
      </w:tr>
      <w:tr>
        <w:trPr>
          <w:trHeight w:val="3765" w:hRule="atLeast"/>
        </w:trPr>
        <w:tc>
          <w:tcPr>
            <w:tcW w:w="560" w:type="dxa"/>
          </w:tcPr>
          <w:p>
            <w:pPr>
              <w:pStyle w:val="TableParagraph"/>
              <w:spacing w:line="281" w:lineRule="exact"/>
              <w:ind w:left="6" w:right="40"/>
              <w:jc w:val="center"/>
              <w:rPr>
                <w:sz w:val="24"/>
              </w:rPr>
            </w:pPr>
            <w:r>
              <w:rPr>
                <w:spacing w:val="-5"/>
                <w:sz w:val="24"/>
              </w:rPr>
              <w:t>59</w:t>
            </w:r>
          </w:p>
        </w:tc>
        <w:tc>
          <w:tcPr>
            <w:tcW w:w="1349" w:type="dxa"/>
            <w:vMerge/>
            <w:tcBorders>
              <w:top w:val="nil"/>
            </w:tcBorders>
          </w:tcPr>
          <w:p>
            <w:pPr>
              <w:rPr>
                <w:sz w:val="2"/>
                <w:szCs w:val="2"/>
              </w:rPr>
            </w:pPr>
          </w:p>
        </w:tc>
        <w:tc>
          <w:tcPr>
            <w:tcW w:w="1057" w:type="dxa"/>
          </w:tcPr>
          <w:p>
            <w:pPr>
              <w:pStyle w:val="TableParagraph"/>
              <w:spacing w:before="190"/>
              <w:rPr>
                <w:b/>
                <w:sz w:val="24"/>
              </w:rPr>
            </w:pPr>
          </w:p>
          <w:p>
            <w:pPr>
              <w:pStyle w:val="TableParagraph"/>
              <w:ind w:left="107" w:right="236" w:hanging="84"/>
              <w:rPr>
                <w:sz w:val="24"/>
              </w:rPr>
            </w:pPr>
            <w:r>
              <w:rPr>
                <w:spacing w:val="-2"/>
                <w:sz w:val="24"/>
              </w:rPr>
              <w:t>RMS3. </w:t>
            </w:r>
            <w:r>
              <w:rPr>
                <w:spacing w:val="-10"/>
                <w:sz w:val="24"/>
              </w:rPr>
              <w:t>1</w:t>
            </w:r>
          </w:p>
        </w:tc>
        <w:tc>
          <w:tcPr>
            <w:tcW w:w="1260" w:type="dxa"/>
          </w:tcPr>
          <w:p>
            <w:pPr>
              <w:pStyle w:val="TableParagraph"/>
              <w:spacing w:before="95"/>
              <w:ind w:left="66" w:right="-29"/>
              <w:rPr>
                <w:sz w:val="24"/>
              </w:rPr>
            </w:pPr>
            <w:r>
              <w:rPr>
                <w:spacing w:val="-2"/>
                <w:sz w:val="24"/>
              </w:rPr>
              <w:t>Solid Waste Managem </w:t>
            </w:r>
            <w:r>
              <w:rPr>
                <w:spacing w:val="-4"/>
                <w:sz w:val="24"/>
              </w:rPr>
              <w:t>ent </w:t>
            </w:r>
            <w:r>
              <w:rPr>
                <w:spacing w:val="-2"/>
                <w:sz w:val="24"/>
              </w:rPr>
              <w:t>Facilities </w:t>
            </w:r>
            <w:r>
              <w:rPr>
                <w:sz w:val="24"/>
              </w:rPr>
              <w:t>and</w:t>
            </w:r>
            <w:r>
              <w:rPr>
                <w:spacing w:val="-18"/>
                <w:sz w:val="24"/>
              </w:rPr>
              <w:t> </w:t>
            </w:r>
            <w:r>
              <w:rPr>
                <w:sz w:val="24"/>
              </w:rPr>
              <w:t>Allied </w:t>
            </w:r>
            <w:r>
              <w:rPr>
                <w:spacing w:val="-2"/>
                <w:sz w:val="24"/>
              </w:rPr>
              <w:t>Activity</w:t>
            </w:r>
          </w:p>
        </w:tc>
        <w:tc>
          <w:tcPr>
            <w:tcW w:w="2679" w:type="dxa"/>
          </w:tcPr>
          <w:p>
            <w:pPr>
              <w:pStyle w:val="TableParagraph"/>
              <w:tabs>
                <w:tab w:pos="1736" w:val="left" w:leader="none"/>
              </w:tabs>
              <w:spacing w:before="95"/>
              <w:ind w:left="66" w:right="81"/>
              <w:jc w:val="both"/>
              <w:rPr>
                <w:sz w:val="24"/>
              </w:rPr>
            </w:pPr>
            <w:r>
              <w:rPr>
                <w:sz w:val="24"/>
              </w:rPr>
              <w:t>Refuse Shed, </w:t>
            </w:r>
            <w:r>
              <w:rPr>
                <w:sz w:val="24"/>
              </w:rPr>
              <w:t>Solid </w:t>
            </w:r>
            <w:r>
              <w:rPr>
                <w:spacing w:val="-2"/>
                <w:sz w:val="24"/>
              </w:rPr>
              <w:t>Waste</w:t>
            </w:r>
            <w:r>
              <w:rPr>
                <w:sz w:val="24"/>
              </w:rPr>
              <w:tab/>
            </w:r>
            <w:r>
              <w:rPr>
                <w:spacing w:val="-2"/>
                <w:sz w:val="24"/>
              </w:rPr>
              <w:t>Sorting</w:t>
            </w:r>
          </w:p>
          <w:p>
            <w:pPr>
              <w:pStyle w:val="TableParagraph"/>
              <w:tabs>
                <w:tab w:pos="1798" w:val="left" w:leader="none"/>
              </w:tabs>
              <w:spacing w:line="281" w:lineRule="exact" w:before="1"/>
              <w:ind w:left="66"/>
              <w:jc w:val="both"/>
              <w:rPr>
                <w:sz w:val="24"/>
              </w:rPr>
            </w:pPr>
            <w:r>
              <w:rPr>
                <w:spacing w:val="-2"/>
                <w:sz w:val="24"/>
              </w:rPr>
              <w:t>Center,</w:t>
            </w:r>
            <w:r>
              <w:rPr>
                <w:sz w:val="24"/>
              </w:rPr>
              <w:tab/>
            </w:r>
            <w:r>
              <w:rPr>
                <w:spacing w:val="-2"/>
                <w:sz w:val="24"/>
              </w:rPr>
              <w:t>Refuse</w:t>
            </w:r>
          </w:p>
          <w:p>
            <w:pPr>
              <w:pStyle w:val="TableParagraph"/>
              <w:ind w:left="66" w:right="80"/>
              <w:jc w:val="both"/>
              <w:rPr>
                <w:sz w:val="24"/>
              </w:rPr>
            </w:pPr>
            <w:r>
              <w:rPr>
                <w:sz w:val="24"/>
              </w:rPr>
              <w:t>Transfer Station, Municipal </w:t>
            </w:r>
            <w:r>
              <w:rPr>
                <w:sz w:val="24"/>
              </w:rPr>
              <w:t>Chowky, Municipal</w:t>
            </w:r>
            <w:r>
              <w:rPr>
                <w:spacing w:val="74"/>
                <w:sz w:val="24"/>
              </w:rPr>
              <w:t>    </w:t>
            </w:r>
            <w:r>
              <w:rPr>
                <w:spacing w:val="-2"/>
                <w:sz w:val="24"/>
              </w:rPr>
              <w:t>Office,</w:t>
            </w:r>
          </w:p>
          <w:p>
            <w:pPr>
              <w:pStyle w:val="TableParagraph"/>
              <w:ind w:left="66" w:right="80"/>
              <w:jc w:val="both"/>
              <w:rPr>
                <w:sz w:val="24"/>
              </w:rPr>
            </w:pPr>
            <w:r>
              <w:rPr>
                <w:sz w:val="24"/>
              </w:rPr>
              <w:t>Municipal </w:t>
            </w:r>
            <w:r>
              <w:rPr>
                <w:sz w:val="24"/>
              </w:rPr>
              <w:t>Store, Refuse Compactor, Rest</w:t>
            </w:r>
            <w:r>
              <w:rPr>
                <w:spacing w:val="-14"/>
                <w:sz w:val="24"/>
              </w:rPr>
              <w:t> </w:t>
            </w:r>
            <w:r>
              <w:rPr>
                <w:sz w:val="24"/>
              </w:rPr>
              <w:t>Rooms,</w:t>
            </w:r>
            <w:r>
              <w:rPr>
                <w:spacing w:val="-14"/>
                <w:sz w:val="24"/>
              </w:rPr>
              <w:t> </w:t>
            </w:r>
            <w:r>
              <w:rPr>
                <w:sz w:val="24"/>
              </w:rPr>
              <w:t>Workers or Rag Picker Shed and PSC Block</w:t>
            </w:r>
          </w:p>
        </w:tc>
        <w:tc>
          <w:tcPr>
            <w:tcW w:w="2094" w:type="dxa"/>
          </w:tcPr>
          <w:p>
            <w:pPr>
              <w:pStyle w:val="TableParagraph"/>
              <w:rPr>
                <w:rFonts w:ascii="Times New Roman"/>
                <w:sz w:val="22"/>
              </w:rPr>
            </w:pPr>
          </w:p>
        </w:tc>
        <w:tc>
          <w:tcPr>
            <w:tcW w:w="1306" w:type="dxa"/>
          </w:tcPr>
          <w:p>
            <w:pPr>
              <w:pStyle w:val="TableParagraph"/>
              <w:spacing w:before="95"/>
              <w:ind w:left="106"/>
              <w:rPr>
                <w:sz w:val="24"/>
              </w:rPr>
            </w:pPr>
            <w:r>
              <w:rPr>
                <w:sz w:val="24"/>
              </w:rPr>
              <w:t>1</w:t>
            </w:r>
            <w:r>
              <w:rPr>
                <w:spacing w:val="-13"/>
                <w:sz w:val="24"/>
              </w:rPr>
              <w:t> </w:t>
            </w:r>
            <w:r>
              <w:rPr>
                <w:sz w:val="24"/>
              </w:rPr>
              <w:t>or</w:t>
            </w:r>
            <w:r>
              <w:rPr>
                <w:spacing w:val="-12"/>
                <w:sz w:val="24"/>
              </w:rPr>
              <w:t> </w:t>
            </w:r>
            <w:r>
              <w:rPr>
                <w:spacing w:val="-10"/>
                <w:sz w:val="24"/>
              </w:rPr>
              <w:t>3</w:t>
            </w:r>
          </w:p>
          <w:p>
            <w:pPr>
              <w:pStyle w:val="TableParagraph"/>
              <w:spacing w:before="95"/>
              <w:ind w:left="106" w:right="278"/>
              <w:rPr>
                <w:sz w:val="24"/>
              </w:rPr>
            </w:pPr>
            <w:r>
              <w:rPr>
                <w:sz w:val="24"/>
              </w:rPr>
              <w:t>In</w:t>
            </w:r>
            <w:r>
              <w:rPr>
                <w:spacing w:val="-20"/>
                <w:sz w:val="24"/>
              </w:rPr>
              <w:t> </w:t>
            </w:r>
            <w:r>
              <w:rPr>
                <w:sz w:val="24"/>
              </w:rPr>
              <w:t>case of 3</w:t>
            </w:r>
          </w:p>
          <w:p>
            <w:pPr>
              <w:pStyle w:val="TableParagraph"/>
              <w:spacing w:before="97"/>
              <w:ind w:left="182"/>
              <w:rPr>
                <w:sz w:val="24"/>
              </w:rPr>
            </w:pPr>
            <w:r>
              <w:rPr>
                <w:spacing w:val="-4"/>
                <w:sz w:val="24"/>
              </w:rPr>
              <w:t>Y=60</w:t>
            </w:r>
          </w:p>
          <w:p>
            <w:pPr>
              <w:pStyle w:val="TableParagraph"/>
              <w:spacing w:before="2"/>
              <w:ind w:left="106" w:right="98"/>
              <w:rPr>
                <w:sz w:val="24"/>
              </w:rPr>
            </w:pPr>
            <w:r>
              <w:rPr>
                <w:spacing w:val="-4"/>
                <w:sz w:val="24"/>
              </w:rPr>
              <w:t>and </w:t>
            </w:r>
            <w:r>
              <w:rPr>
                <w:spacing w:val="-2"/>
                <w:sz w:val="24"/>
              </w:rPr>
              <w:t>minimu </w:t>
            </w:r>
            <w:r>
              <w:rPr>
                <w:sz w:val="24"/>
              </w:rPr>
              <w:t>m area</w:t>
            </w:r>
            <w:r>
              <w:rPr>
                <w:spacing w:val="80"/>
                <w:sz w:val="24"/>
              </w:rPr>
              <w:t> </w:t>
            </w:r>
            <w:r>
              <w:rPr>
                <w:spacing w:val="-6"/>
                <w:sz w:val="24"/>
              </w:rPr>
              <w:t>of </w:t>
            </w:r>
            <w:r>
              <w:rPr>
                <w:spacing w:val="-2"/>
                <w:sz w:val="24"/>
              </w:rPr>
              <w:t>reserved </w:t>
            </w:r>
            <w:r>
              <w:rPr>
                <w:sz w:val="24"/>
              </w:rPr>
              <w:t>plot</w:t>
            </w:r>
            <w:r>
              <w:rPr>
                <w:spacing w:val="-20"/>
                <w:sz w:val="24"/>
              </w:rPr>
              <w:t> </w:t>
            </w:r>
            <w:r>
              <w:rPr>
                <w:sz w:val="24"/>
              </w:rPr>
              <w:t>shall be 1000 sq. m.</w:t>
            </w:r>
          </w:p>
        </w:tc>
      </w:tr>
      <w:tr>
        <w:trPr>
          <w:trHeight w:val="1970" w:hRule="atLeast"/>
        </w:trPr>
        <w:tc>
          <w:tcPr>
            <w:tcW w:w="560" w:type="dxa"/>
          </w:tcPr>
          <w:p>
            <w:pPr>
              <w:pStyle w:val="TableParagraph"/>
              <w:rPr>
                <w:b/>
                <w:sz w:val="24"/>
              </w:rPr>
            </w:pPr>
          </w:p>
          <w:p>
            <w:pPr>
              <w:pStyle w:val="TableParagraph"/>
              <w:rPr>
                <w:b/>
                <w:sz w:val="24"/>
              </w:rPr>
            </w:pPr>
          </w:p>
          <w:p>
            <w:pPr>
              <w:pStyle w:val="TableParagraph"/>
              <w:ind w:left="6" w:right="40"/>
              <w:jc w:val="center"/>
              <w:rPr>
                <w:sz w:val="24"/>
              </w:rPr>
            </w:pPr>
            <w:r>
              <w:rPr>
                <w:spacing w:val="-5"/>
                <w:sz w:val="24"/>
              </w:rPr>
              <w:t>60</w:t>
            </w:r>
          </w:p>
        </w:tc>
        <w:tc>
          <w:tcPr>
            <w:tcW w:w="1349" w:type="dxa"/>
            <w:vMerge/>
            <w:tcBorders>
              <w:top w:val="nil"/>
            </w:tcBorders>
          </w:tcPr>
          <w:p>
            <w:pPr>
              <w:rPr>
                <w:sz w:val="2"/>
                <w:szCs w:val="2"/>
              </w:rPr>
            </w:pPr>
          </w:p>
        </w:tc>
        <w:tc>
          <w:tcPr>
            <w:tcW w:w="1057" w:type="dxa"/>
          </w:tcPr>
          <w:p>
            <w:pPr>
              <w:pStyle w:val="TableParagraph"/>
              <w:ind w:left="107" w:right="236" w:hanging="84"/>
              <w:rPr>
                <w:sz w:val="24"/>
              </w:rPr>
            </w:pPr>
            <w:r>
              <w:rPr>
                <w:spacing w:val="-2"/>
                <w:sz w:val="24"/>
              </w:rPr>
              <w:t>RMS3. </w:t>
            </w:r>
            <w:r>
              <w:rPr>
                <w:spacing w:val="-10"/>
                <w:sz w:val="24"/>
              </w:rPr>
              <w:t>3</w:t>
            </w:r>
          </w:p>
        </w:tc>
        <w:tc>
          <w:tcPr>
            <w:tcW w:w="1260" w:type="dxa"/>
          </w:tcPr>
          <w:p>
            <w:pPr>
              <w:pStyle w:val="TableParagraph"/>
              <w:ind w:left="181" w:right="382"/>
              <w:rPr>
                <w:sz w:val="24"/>
              </w:rPr>
            </w:pPr>
            <w:r>
              <w:rPr>
                <w:spacing w:val="-2"/>
                <w:sz w:val="24"/>
              </w:rPr>
              <w:t>Scrap </w:t>
            </w:r>
            <w:r>
              <w:rPr>
                <w:spacing w:val="-4"/>
                <w:sz w:val="24"/>
              </w:rPr>
              <w:t>Yard</w:t>
            </w:r>
          </w:p>
        </w:tc>
        <w:tc>
          <w:tcPr>
            <w:tcW w:w="2679" w:type="dxa"/>
          </w:tcPr>
          <w:p>
            <w:pPr>
              <w:pStyle w:val="TableParagraph"/>
              <w:spacing w:line="281" w:lineRule="exact"/>
              <w:ind w:left="66"/>
              <w:rPr>
                <w:sz w:val="24"/>
              </w:rPr>
            </w:pPr>
            <w:r>
              <w:rPr>
                <w:sz w:val="24"/>
              </w:rPr>
              <w:t>Scrap</w:t>
            </w:r>
            <w:r>
              <w:rPr>
                <w:spacing w:val="-4"/>
                <w:sz w:val="24"/>
              </w:rPr>
              <w:t> Yard</w:t>
            </w:r>
          </w:p>
        </w:tc>
        <w:tc>
          <w:tcPr>
            <w:tcW w:w="2094" w:type="dxa"/>
          </w:tcPr>
          <w:p>
            <w:pPr>
              <w:pStyle w:val="TableParagraph"/>
              <w:tabs>
                <w:tab w:pos="879" w:val="left" w:leader="none"/>
                <w:tab w:pos="1351" w:val="left" w:leader="none"/>
              </w:tabs>
              <w:ind w:left="89" w:right="58"/>
              <w:rPr>
                <w:sz w:val="24"/>
              </w:rPr>
            </w:pPr>
            <w:r>
              <w:rPr>
                <w:spacing w:val="-4"/>
                <w:sz w:val="24"/>
              </w:rPr>
              <w:t>ATM</w:t>
            </w:r>
            <w:r>
              <w:rPr>
                <w:sz w:val="24"/>
              </w:rPr>
              <w:tab/>
            </w:r>
            <w:r>
              <w:rPr>
                <w:spacing w:val="-6"/>
                <w:sz w:val="24"/>
              </w:rPr>
              <w:t>of</w:t>
            </w:r>
            <w:r>
              <w:rPr>
                <w:sz w:val="24"/>
              </w:rPr>
              <w:tab/>
            </w:r>
            <w:r>
              <w:rPr>
                <w:spacing w:val="-2"/>
                <w:sz w:val="24"/>
              </w:rPr>
              <w:t>bank, </w:t>
            </w:r>
            <w:r>
              <w:rPr>
                <w:sz w:val="24"/>
              </w:rPr>
              <w:t>canteen, store,</w:t>
            </w:r>
          </w:p>
        </w:tc>
        <w:tc>
          <w:tcPr>
            <w:tcW w:w="1306" w:type="dxa"/>
          </w:tcPr>
          <w:p>
            <w:pPr>
              <w:pStyle w:val="TableParagraph"/>
              <w:spacing w:line="281" w:lineRule="exact"/>
              <w:ind w:left="106"/>
              <w:rPr>
                <w:sz w:val="24"/>
              </w:rPr>
            </w:pPr>
            <w:r>
              <w:rPr>
                <w:sz w:val="24"/>
              </w:rPr>
              <w:t>1 or </w:t>
            </w:r>
            <w:r>
              <w:rPr>
                <w:spacing w:val="-5"/>
                <w:sz w:val="24"/>
              </w:rPr>
              <w:t>3,</w:t>
            </w:r>
          </w:p>
          <w:p>
            <w:pPr>
              <w:pStyle w:val="TableParagraph"/>
              <w:ind w:left="180" w:right="361" w:hanging="75"/>
              <w:rPr>
                <w:sz w:val="24"/>
              </w:rPr>
            </w:pPr>
            <w:r>
              <w:rPr>
                <w:sz w:val="24"/>
              </w:rPr>
              <w:t>Za=</w:t>
            </w:r>
            <w:r>
              <w:rPr>
                <w:spacing w:val="-20"/>
                <w:sz w:val="24"/>
              </w:rPr>
              <w:t> </w:t>
            </w:r>
            <w:r>
              <w:rPr>
                <w:sz w:val="24"/>
              </w:rPr>
              <w:t>10 </w:t>
            </w:r>
            <w:r>
              <w:rPr>
                <w:spacing w:val="-2"/>
                <w:sz w:val="24"/>
              </w:rPr>
              <w:t>Zb=10</w:t>
            </w:r>
          </w:p>
          <w:p>
            <w:pPr>
              <w:pStyle w:val="TableParagraph"/>
              <w:ind w:left="180" w:right="278"/>
              <w:rPr>
                <w:sz w:val="24"/>
              </w:rPr>
            </w:pPr>
            <w:r>
              <w:rPr>
                <w:sz w:val="24"/>
              </w:rPr>
              <w:t>In</w:t>
            </w:r>
            <w:r>
              <w:rPr>
                <w:spacing w:val="-20"/>
                <w:sz w:val="24"/>
              </w:rPr>
              <w:t> </w:t>
            </w:r>
            <w:r>
              <w:rPr>
                <w:sz w:val="24"/>
              </w:rPr>
              <w:t>case of 3</w:t>
            </w:r>
          </w:p>
          <w:p>
            <w:pPr>
              <w:pStyle w:val="TableParagraph"/>
              <w:numPr>
                <w:ilvl w:val="0"/>
                <w:numId w:val="79"/>
              </w:numPr>
              <w:tabs>
                <w:tab w:pos="393" w:val="left" w:leader="none"/>
              </w:tabs>
              <w:spacing w:line="281" w:lineRule="exact" w:before="0" w:after="0"/>
              <w:ind w:left="393" w:right="0" w:hanging="287"/>
              <w:jc w:val="left"/>
              <w:rPr>
                <w:sz w:val="24"/>
              </w:rPr>
            </w:pPr>
            <w:r>
              <w:rPr>
                <w:spacing w:val="-4"/>
                <w:sz w:val="24"/>
              </w:rPr>
              <w:t>X=50</w:t>
            </w:r>
          </w:p>
          <w:p>
            <w:pPr>
              <w:pStyle w:val="TableParagraph"/>
              <w:numPr>
                <w:ilvl w:val="0"/>
                <w:numId w:val="79"/>
              </w:numPr>
              <w:tabs>
                <w:tab w:pos="403" w:val="left" w:leader="none"/>
              </w:tabs>
              <w:spacing w:line="261" w:lineRule="exact" w:before="0" w:after="0"/>
              <w:ind w:left="403" w:right="0" w:hanging="297"/>
              <w:jc w:val="left"/>
              <w:rPr>
                <w:sz w:val="24"/>
              </w:rPr>
            </w:pPr>
            <w:r>
              <w:rPr>
                <w:spacing w:val="-4"/>
                <w:sz w:val="24"/>
              </w:rPr>
              <w:t>Y=40</w:t>
            </w:r>
          </w:p>
        </w:tc>
      </w:tr>
      <w:tr>
        <w:trPr>
          <w:trHeight w:val="1972"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61</w:t>
            </w:r>
          </w:p>
        </w:tc>
        <w:tc>
          <w:tcPr>
            <w:tcW w:w="1349" w:type="dxa"/>
            <w:vMerge/>
            <w:tcBorders>
              <w:top w:val="nil"/>
            </w:tcBorders>
          </w:tcPr>
          <w:p>
            <w:pPr>
              <w:rPr>
                <w:sz w:val="2"/>
                <w:szCs w:val="2"/>
              </w:rPr>
            </w:pPr>
          </w:p>
        </w:tc>
        <w:tc>
          <w:tcPr>
            <w:tcW w:w="1057" w:type="dxa"/>
          </w:tcPr>
          <w:p>
            <w:pPr>
              <w:pStyle w:val="TableParagraph"/>
              <w:spacing w:before="1"/>
              <w:ind w:left="107" w:right="236" w:hanging="84"/>
              <w:rPr>
                <w:sz w:val="24"/>
              </w:rPr>
            </w:pPr>
            <w:r>
              <w:rPr>
                <w:spacing w:val="-2"/>
                <w:sz w:val="24"/>
              </w:rPr>
              <w:t>RMS5. </w:t>
            </w:r>
            <w:r>
              <w:rPr>
                <w:spacing w:val="-10"/>
                <w:sz w:val="24"/>
              </w:rPr>
              <w:t>5</w:t>
            </w:r>
          </w:p>
        </w:tc>
        <w:tc>
          <w:tcPr>
            <w:tcW w:w="1260" w:type="dxa"/>
          </w:tcPr>
          <w:p>
            <w:pPr>
              <w:pStyle w:val="TableParagraph"/>
              <w:spacing w:before="1"/>
              <w:ind w:left="18" w:right="-39"/>
              <w:rPr>
                <w:sz w:val="24"/>
              </w:rPr>
            </w:pPr>
            <w:r>
              <w:rPr>
                <w:spacing w:val="-2"/>
                <w:sz w:val="24"/>
              </w:rPr>
              <w:t>Hydraulic Engineerin </w:t>
            </w:r>
            <w:r>
              <w:rPr>
                <w:spacing w:val="-10"/>
                <w:sz w:val="24"/>
              </w:rPr>
              <w:t>g </w:t>
            </w:r>
            <w:r>
              <w:rPr>
                <w:spacing w:val="-2"/>
                <w:sz w:val="24"/>
              </w:rPr>
              <w:t>Store/Offi </w:t>
            </w:r>
            <w:r>
              <w:rPr>
                <w:spacing w:val="-10"/>
                <w:sz w:val="24"/>
              </w:rPr>
              <w:t>e</w:t>
            </w:r>
          </w:p>
        </w:tc>
        <w:tc>
          <w:tcPr>
            <w:tcW w:w="2679" w:type="dxa"/>
          </w:tcPr>
          <w:p>
            <w:pPr>
              <w:pStyle w:val="TableParagraph"/>
              <w:spacing w:line="281" w:lineRule="exact" w:before="1"/>
              <w:ind w:left="66"/>
              <w:jc w:val="both"/>
              <w:rPr>
                <w:sz w:val="24"/>
              </w:rPr>
            </w:pPr>
            <w:r>
              <w:rPr>
                <w:sz w:val="24"/>
              </w:rPr>
              <w:t>Municipal</w:t>
            </w:r>
            <w:r>
              <w:rPr>
                <w:spacing w:val="49"/>
                <w:w w:val="150"/>
                <w:sz w:val="24"/>
              </w:rPr>
              <w:t>    </w:t>
            </w:r>
            <w:r>
              <w:rPr>
                <w:spacing w:val="-2"/>
                <w:sz w:val="24"/>
              </w:rPr>
              <w:t>Store,</w:t>
            </w:r>
          </w:p>
          <w:p>
            <w:pPr>
              <w:pStyle w:val="TableParagraph"/>
              <w:ind w:left="66" w:right="80"/>
              <w:jc w:val="both"/>
              <w:rPr>
                <w:sz w:val="24"/>
              </w:rPr>
            </w:pPr>
            <w:r>
              <w:rPr>
                <w:sz w:val="24"/>
              </w:rPr>
              <w:t>Municipal </w:t>
            </w:r>
            <w:r>
              <w:rPr>
                <w:sz w:val="24"/>
              </w:rPr>
              <w:t>Office, Municipal Chowky, Pumping station, Workshop with staff </w:t>
            </w:r>
            <w:r>
              <w:rPr>
                <w:spacing w:val="-2"/>
                <w:sz w:val="24"/>
              </w:rPr>
              <w:t>quarters</w:t>
            </w:r>
          </w:p>
        </w:tc>
        <w:tc>
          <w:tcPr>
            <w:tcW w:w="2094" w:type="dxa"/>
          </w:tcPr>
          <w:p>
            <w:pPr>
              <w:pStyle w:val="TableParagraph"/>
              <w:spacing w:line="281" w:lineRule="exact" w:before="1"/>
              <w:ind w:left="89"/>
              <w:rPr>
                <w:sz w:val="24"/>
              </w:rPr>
            </w:pPr>
            <w:r>
              <w:rPr>
                <w:spacing w:val="-4"/>
                <w:sz w:val="24"/>
              </w:rPr>
              <w:t>ATM,</w:t>
            </w:r>
          </w:p>
          <w:p>
            <w:pPr>
              <w:pStyle w:val="TableParagraph"/>
              <w:tabs>
                <w:tab w:pos="1440" w:val="left" w:leader="none"/>
              </w:tabs>
              <w:ind w:left="89" w:right="54"/>
              <w:rPr>
                <w:sz w:val="24"/>
              </w:rPr>
            </w:pPr>
            <w:r>
              <w:rPr>
                <w:spacing w:val="-2"/>
                <w:sz w:val="24"/>
              </w:rPr>
              <w:t>Information Kiosk,</w:t>
            </w:r>
            <w:r>
              <w:rPr>
                <w:sz w:val="24"/>
              </w:rPr>
              <w:tab/>
            </w:r>
            <w:r>
              <w:rPr>
                <w:spacing w:val="-4"/>
                <w:sz w:val="24"/>
              </w:rPr>
              <w:t>CFC,</w:t>
            </w:r>
          </w:p>
          <w:p>
            <w:pPr>
              <w:pStyle w:val="TableParagraph"/>
              <w:tabs>
                <w:tab w:pos="1383" w:val="left" w:leader="none"/>
              </w:tabs>
              <w:ind w:left="89" w:right="58"/>
              <w:rPr>
                <w:sz w:val="24"/>
              </w:rPr>
            </w:pPr>
            <w:r>
              <w:rPr>
                <w:spacing w:val="-2"/>
                <w:sz w:val="24"/>
              </w:rPr>
              <w:t>Public</w:t>
            </w:r>
            <w:r>
              <w:rPr>
                <w:sz w:val="24"/>
              </w:rPr>
              <w:tab/>
            </w:r>
            <w:r>
              <w:rPr>
                <w:spacing w:val="-2"/>
                <w:sz w:val="24"/>
              </w:rPr>
              <w:t>Toilet facilities</w:t>
            </w:r>
          </w:p>
        </w:tc>
        <w:tc>
          <w:tcPr>
            <w:tcW w:w="1306" w:type="dxa"/>
          </w:tcPr>
          <w:p>
            <w:pPr>
              <w:pStyle w:val="TableParagraph"/>
              <w:spacing w:line="281" w:lineRule="exact" w:before="1"/>
              <w:ind w:left="106"/>
              <w:rPr>
                <w:sz w:val="24"/>
              </w:rPr>
            </w:pPr>
            <w:r>
              <w:rPr>
                <w:sz w:val="24"/>
              </w:rPr>
              <w:t>1 or </w:t>
            </w:r>
            <w:r>
              <w:rPr>
                <w:spacing w:val="-10"/>
                <w:sz w:val="24"/>
              </w:rPr>
              <w:t>3</w:t>
            </w:r>
          </w:p>
          <w:p>
            <w:pPr>
              <w:pStyle w:val="TableParagraph"/>
              <w:ind w:left="106" w:right="98"/>
              <w:rPr>
                <w:sz w:val="24"/>
              </w:rPr>
            </w:pPr>
            <w:r>
              <w:rPr>
                <w:sz w:val="24"/>
              </w:rPr>
              <w:t>Za=</w:t>
            </w:r>
            <w:r>
              <w:rPr>
                <w:spacing w:val="-20"/>
                <w:sz w:val="24"/>
              </w:rPr>
              <w:t> </w:t>
            </w:r>
            <w:r>
              <w:rPr>
                <w:sz w:val="24"/>
              </w:rPr>
              <w:t>10, </w:t>
            </w:r>
            <w:r>
              <w:rPr>
                <w:spacing w:val="-2"/>
                <w:sz w:val="24"/>
              </w:rPr>
              <w:t>Zb=10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80"/>
              </w:numPr>
              <w:tabs>
                <w:tab w:pos="393" w:val="left" w:leader="none"/>
              </w:tabs>
              <w:spacing w:line="282" w:lineRule="exact" w:before="1" w:after="0"/>
              <w:ind w:left="393" w:right="0" w:hanging="287"/>
              <w:jc w:val="left"/>
              <w:rPr>
                <w:sz w:val="24"/>
              </w:rPr>
            </w:pPr>
            <w:r>
              <w:rPr>
                <w:spacing w:val="-4"/>
                <w:sz w:val="24"/>
              </w:rPr>
              <w:t>X=50</w:t>
            </w:r>
          </w:p>
          <w:p>
            <w:pPr>
              <w:pStyle w:val="TableParagraph"/>
              <w:numPr>
                <w:ilvl w:val="0"/>
                <w:numId w:val="80"/>
              </w:numPr>
              <w:tabs>
                <w:tab w:pos="403" w:val="left" w:leader="none"/>
              </w:tabs>
              <w:spacing w:line="261" w:lineRule="exact" w:before="0" w:after="0"/>
              <w:ind w:left="403" w:right="0" w:hanging="297"/>
              <w:jc w:val="left"/>
              <w:rPr>
                <w:sz w:val="24"/>
              </w:rPr>
            </w:pPr>
            <w:r>
              <w:rPr>
                <w:spacing w:val="-4"/>
                <w:sz w:val="24"/>
              </w:rPr>
              <w:t>Y=40</w:t>
            </w:r>
          </w:p>
        </w:tc>
      </w:tr>
      <w:tr>
        <w:trPr>
          <w:trHeight w:val="2639" w:hRule="atLeast"/>
        </w:trPr>
        <w:tc>
          <w:tcPr>
            <w:tcW w:w="560" w:type="dxa"/>
          </w:tcPr>
          <w:p>
            <w:pPr>
              <w:pStyle w:val="TableParagraph"/>
              <w:spacing w:line="281" w:lineRule="exact"/>
              <w:ind w:left="6" w:right="40"/>
              <w:jc w:val="center"/>
              <w:rPr>
                <w:sz w:val="24"/>
              </w:rPr>
            </w:pPr>
            <w:r>
              <w:rPr>
                <w:spacing w:val="-5"/>
                <w:sz w:val="24"/>
              </w:rPr>
              <w:t>62</w:t>
            </w:r>
          </w:p>
        </w:tc>
        <w:tc>
          <w:tcPr>
            <w:tcW w:w="1349" w:type="dxa"/>
          </w:tcPr>
          <w:p>
            <w:pPr>
              <w:pStyle w:val="TableParagraph"/>
              <w:rPr>
                <w:b/>
                <w:sz w:val="24"/>
              </w:rPr>
            </w:pPr>
          </w:p>
          <w:p>
            <w:pPr>
              <w:pStyle w:val="TableParagraph"/>
              <w:rPr>
                <w:b/>
                <w:sz w:val="24"/>
              </w:rPr>
            </w:pPr>
          </w:p>
          <w:p>
            <w:pPr>
              <w:pStyle w:val="TableParagraph"/>
              <w:rPr>
                <w:b/>
                <w:sz w:val="24"/>
              </w:rPr>
            </w:pPr>
          </w:p>
          <w:p>
            <w:pPr>
              <w:pStyle w:val="TableParagraph"/>
              <w:spacing w:before="281"/>
              <w:rPr>
                <w:b/>
                <w:sz w:val="24"/>
              </w:rPr>
            </w:pPr>
          </w:p>
          <w:p>
            <w:pPr>
              <w:pStyle w:val="TableParagraph"/>
              <w:ind w:left="105" w:right="301"/>
              <w:rPr>
                <w:sz w:val="24"/>
              </w:rPr>
            </w:pPr>
            <w:r>
              <w:rPr>
                <w:spacing w:val="-2"/>
                <w:sz w:val="24"/>
              </w:rPr>
              <w:t>Primary Activity</w:t>
            </w:r>
          </w:p>
        </w:tc>
        <w:tc>
          <w:tcPr>
            <w:tcW w:w="1057" w:type="dxa"/>
          </w:tcPr>
          <w:p>
            <w:pPr>
              <w:pStyle w:val="TableParagraph"/>
              <w:spacing w:before="95"/>
              <w:ind w:right="325"/>
              <w:jc w:val="right"/>
              <w:rPr>
                <w:sz w:val="24"/>
              </w:rPr>
            </w:pPr>
            <w:r>
              <w:rPr>
                <w:spacing w:val="-2"/>
                <w:sz w:val="24"/>
              </w:rPr>
              <w:t>RP1.1</w:t>
            </w:r>
          </w:p>
        </w:tc>
        <w:tc>
          <w:tcPr>
            <w:tcW w:w="1260" w:type="dxa"/>
          </w:tcPr>
          <w:p>
            <w:pPr>
              <w:pStyle w:val="TableParagraph"/>
              <w:spacing w:before="95"/>
              <w:ind w:left="106" w:right="348"/>
              <w:rPr>
                <w:sz w:val="24"/>
              </w:rPr>
            </w:pPr>
            <w:r>
              <w:rPr>
                <w:sz w:val="24"/>
              </w:rPr>
              <w:t>Fish</w:t>
            </w:r>
            <w:r>
              <w:rPr>
                <w:spacing w:val="-20"/>
                <w:sz w:val="24"/>
              </w:rPr>
              <w:t> </w:t>
            </w:r>
            <w:r>
              <w:rPr>
                <w:sz w:val="24"/>
              </w:rPr>
              <w:t>&amp; </w:t>
            </w:r>
            <w:r>
              <w:rPr>
                <w:spacing w:val="-4"/>
                <w:sz w:val="24"/>
              </w:rPr>
              <w:t>Net </w:t>
            </w:r>
            <w:r>
              <w:rPr>
                <w:spacing w:val="-2"/>
                <w:sz w:val="24"/>
              </w:rPr>
              <w:t>Drying yards</w:t>
            </w:r>
          </w:p>
        </w:tc>
        <w:tc>
          <w:tcPr>
            <w:tcW w:w="2679" w:type="dxa"/>
          </w:tcPr>
          <w:p>
            <w:pPr>
              <w:pStyle w:val="TableParagraph"/>
              <w:tabs>
                <w:tab w:pos="2081" w:val="left" w:leader="none"/>
              </w:tabs>
              <w:spacing w:before="95"/>
              <w:ind w:left="106" w:right="76"/>
              <w:jc w:val="both"/>
              <w:rPr>
                <w:sz w:val="24"/>
              </w:rPr>
            </w:pPr>
            <w:r>
              <w:rPr>
                <w:sz w:val="24"/>
              </w:rPr>
              <w:t>Fish &amp; Net Drying yards, fish drying related </w:t>
            </w:r>
            <w:r>
              <w:rPr>
                <w:sz w:val="24"/>
              </w:rPr>
              <w:t>industries along</w:t>
            </w:r>
            <w:r>
              <w:rPr>
                <w:spacing w:val="-20"/>
                <w:sz w:val="24"/>
              </w:rPr>
              <w:t> </w:t>
            </w:r>
            <w:r>
              <w:rPr>
                <w:sz w:val="24"/>
              </w:rPr>
              <w:t>with</w:t>
            </w:r>
            <w:r>
              <w:rPr>
                <w:spacing w:val="-19"/>
                <w:sz w:val="24"/>
              </w:rPr>
              <w:t> </w:t>
            </w:r>
            <w:r>
              <w:rPr>
                <w:sz w:val="24"/>
              </w:rPr>
              <w:t>other</w:t>
            </w:r>
            <w:r>
              <w:rPr>
                <w:spacing w:val="-19"/>
                <w:sz w:val="24"/>
              </w:rPr>
              <w:t> </w:t>
            </w:r>
            <w:r>
              <w:rPr>
                <w:sz w:val="24"/>
              </w:rPr>
              <w:t>uses if</w:t>
            </w:r>
            <w:r>
              <w:rPr>
                <w:spacing w:val="-20"/>
                <w:sz w:val="24"/>
              </w:rPr>
              <w:t> </w:t>
            </w:r>
            <w:r>
              <w:rPr>
                <w:sz w:val="24"/>
              </w:rPr>
              <w:t>any,</w:t>
            </w:r>
            <w:r>
              <w:rPr>
                <w:spacing w:val="-19"/>
                <w:sz w:val="24"/>
              </w:rPr>
              <w:t> </w:t>
            </w:r>
            <w:r>
              <w:rPr>
                <w:sz w:val="24"/>
              </w:rPr>
              <w:t>such</w:t>
            </w:r>
            <w:r>
              <w:rPr>
                <w:spacing w:val="-19"/>
                <w:sz w:val="24"/>
              </w:rPr>
              <w:t> </w:t>
            </w:r>
            <w:r>
              <w:rPr>
                <w:sz w:val="24"/>
              </w:rPr>
              <w:t>as,</w:t>
            </w:r>
            <w:r>
              <w:rPr>
                <w:spacing w:val="-19"/>
                <w:sz w:val="24"/>
              </w:rPr>
              <w:t> </w:t>
            </w:r>
            <w:r>
              <w:rPr>
                <w:sz w:val="24"/>
              </w:rPr>
              <w:t>diesel </w:t>
            </w:r>
            <w:r>
              <w:rPr>
                <w:spacing w:val="-2"/>
                <w:sz w:val="24"/>
              </w:rPr>
              <w:t>storage,</w:t>
            </w:r>
            <w:r>
              <w:rPr>
                <w:sz w:val="24"/>
              </w:rPr>
              <w:tab/>
            </w:r>
            <w:r>
              <w:rPr>
                <w:spacing w:val="-4"/>
                <w:sz w:val="24"/>
              </w:rPr>
              <w:t>Fish</w:t>
            </w:r>
          </w:p>
          <w:p>
            <w:pPr>
              <w:pStyle w:val="TableParagraph"/>
              <w:spacing w:before="1"/>
              <w:ind w:left="106" w:right="76"/>
              <w:jc w:val="both"/>
              <w:rPr>
                <w:sz w:val="24"/>
              </w:rPr>
            </w:pPr>
            <w:r>
              <w:rPr>
                <w:sz w:val="24"/>
              </w:rPr>
              <w:t>Godown, </w:t>
            </w:r>
            <w:r>
              <w:rPr>
                <w:sz w:val="24"/>
              </w:rPr>
              <w:t>Fishing Related Industry</w:t>
            </w:r>
          </w:p>
        </w:tc>
        <w:tc>
          <w:tcPr>
            <w:tcW w:w="2094" w:type="dxa"/>
          </w:tcPr>
          <w:p>
            <w:pPr>
              <w:pStyle w:val="TableParagraph"/>
              <w:tabs>
                <w:tab w:pos="1411" w:val="left" w:leader="none"/>
              </w:tabs>
              <w:spacing w:before="95"/>
              <w:ind w:left="106"/>
              <w:rPr>
                <w:sz w:val="24"/>
              </w:rPr>
            </w:pPr>
            <w:r>
              <w:rPr>
                <w:spacing w:val="-5"/>
                <w:sz w:val="24"/>
              </w:rPr>
              <w:t>Art</w:t>
            </w:r>
            <w:r>
              <w:rPr>
                <w:sz w:val="24"/>
              </w:rPr>
              <w:tab/>
            </w:r>
            <w:r>
              <w:rPr>
                <w:spacing w:val="-5"/>
                <w:sz w:val="24"/>
              </w:rPr>
              <w:t>and</w:t>
            </w:r>
          </w:p>
          <w:p>
            <w:pPr>
              <w:pStyle w:val="TableParagraph"/>
              <w:spacing w:before="1"/>
              <w:ind w:left="106" w:right="146"/>
              <w:rPr>
                <w:sz w:val="24"/>
              </w:rPr>
            </w:pPr>
            <w:r>
              <w:rPr>
                <w:sz w:val="24"/>
              </w:rPr>
              <w:t>culture</w:t>
            </w:r>
            <w:r>
              <w:rPr>
                <w:spacing w:val="-12"/>
                <w:sz w:val="24"/>
              </w:rPr>
              <w:t> </w:t>
            </w:r>
            <w:r>
              <w:rPr>
                <w:sz w:val="24"/>
              </w:rPr>
              <w:t>related </w:t>
            </w:r>
            <w:r>
              <w:rPr>
                <w:spacing w:val="-2"/>
                <w:sz w:val="24"/>
              </w:rPr>
              <w:t>uses, Footstalls/ Restaurant, </w:t>
            </w:r>
            <w:r>
              <w:rPr>
                <w:sz w:val="24"/>
              </w:rPr>
              <w:t>Bank Branch</w:t>
            </w:r>
          </w:p>
        </w:tc>
        <w:tc>
          <w:tcPr>
            <w:tcW w:w="1306" w:type="dxa"/>
          </w:tcPr>
          <w:p>
            <w:pPr>
              <w:pStyle w:val="TableParagraph"/>
              <w:spacing w:before="95"/>
              <w:ind w:left="106"/>
              <w:rPr>
                <w:sz w:val="24"/>
              </w:rPr>
            </w:pPr>
            <w:r>
              <w:rPr>
                <w:sz w:val="24"/>
              </w:rPr>
              <w:t>1 or 2</w:t>
            </w:r>
            <w:r>
              <w:rPr>
                <w:spacing w:val="-1"/>
                <w:sz w:val="24"/>
              </w:rPr>
              <w:t> </w:t>
            </w:r>
            <w:r>
              <w:rPr>
                <w:spacing w:val="-5"/>
                <w:sz w:val="24"/>
              </w:rPr>
              <w:t>or</w:t>
            </w:r>
          </w:p>
          <w:p>
            <w:pPr>
              <w:pStyle w:val="TableParagraph"/>
              <w:spacing w:before="1"/>
              <w:ind w:left="106"/>
              <w:rPr>
                <w:sz w:val="24"/>
              </w:rPr>
            </w:pPr>
            <w:r>
              <w:rPr>
                <w:spacing w:val="-10"/>
                <w:sz w:val="24"/>
              </w:rPr>
              <w:t>3</w:t>
            </w:r>
          </w:p>
          <w:p>
            <w:pPr>
              <w:pStyle w:val="TableParagraph"/>
              <w:numPr>
                <w:ilvl w:val="0"/>
                <w:numId w:val="81"/>
              </w:numPr>
              <w:tabs>
                <w:tab w:pos="378" w:val="left" w:leader="none"/>
              </w:tabs>
              <w:spacing w:line="240" w:lineRule="auto" w:before="95" w:after="0"/>
              <w:ind w:left="378" w:right="0" w:hanging="272"/>
              <w:jc w:val="left"/>
              <w:rPr>
                <w:sz w:val="24"/>
              </w:rPr>
            </w:pPr>
            <w:r>
              <w:rPr>
                <w:sz w:val="24"/>
              </w:rPr>
              <w:t>Za=</w:t>
            </w:r>
            <w:r>
              <w:rPr>
                <w:spacing w:val="-6"/>
                <w:sz w:val="24"/>
              </w:rPr>
              <w:t> </w:t>
            </w:r>
            <w:r>
              <w:rPr>
                <w:spacing w:val="-5"/>
                <w:sz w:val="24"/>
              </w:rPr>
              <w:t>15</w:t>
            </w:r>
          </w:p>
          <w:p>
            <w:pPr>
              <w:pStyle w:val="TableParagraph"/>
              <w:numPr>
                <w:ilvl w:val="0"/>
                <w:numId w:val="81"/>
              </w:numPr>
              <w:tabs>
                <w:tab w:pos="403" w:val="left" w:leader="none"/>
              </w:tabs>
              <w:spacing w:line="240" w:lineRule="auto" w:before="98" w:after="0"/>
              <w:ind w:left="403" w:right="0" w:hanging="297"/>
              <w:jc w:val="left"/>
              <w:rPr>
                <w:sz w:val="24"/>
              </w:rPr>
            </w:pPr>
            <w:r>
              <w:rPr>
                <w:spacing w:val="-2"/>
                <w:sz w:val="24"/>
              </w:rPr>
              <w:t>Zb=15</w:t>
            </w:r>
          </w:p>
          <w:p>
            <w:pPr>
              <w:pStyle w:val="TableParagraph"/>
              <w:spacing w:before="95"/>
              <w:ind w:left="106" w:right="278"/>
              <w:rPr>
                <w:sz w:val="24"/>
              </w:rPr>
            </w:pPr>
            <w:r>
              <w:rPr>
                <w:sz w:val="24"/>
              </w:rPr>
              <w:t>In case of 3,</w:t>
            </w:r>
          </w:p>
          <w:p>
            <w:pPr>
              <w:pStyle w:val="TableParagraph"/>
              <w:spacing w:line="280" w:lineRule="exact"/>
              <w:ind w:left="106" w:right="142"/>
              <w:rPr>
                <w:sz w:val="24"/>
              </w:rPr>
            </w:pPr>
            <w:r>
              <w:rPr>
                <w:spacing w:val="-2"/>
                <w:sz w:val="24"/>
              </w:rPr>
              <w:t>Y=70and minimu</w:t>
            </w:r>
          </w:p>
        </w:tc>
      </w:tr>
    </w:tbl>
    <w:p>
      <w:pPr>
        <w:pStyle w:val="TableParagraph"/>
        <w:spacing w:after="0" w:line="280" w:lineRule="exact"/>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1785" w:hRule="atLeast"/>
        </w:trPr>
        <w:tc>
          <w:tcPr>
            <w:tcW w:w="560" w:type="dxa"/>
          </w:tcPr>
          <w:p>
            <w:pPr>
              <w:pStyle w:val="TableParagraph"/>
              <w:rPr>
                <w:rFonts w:ascii="Times New Roman"/>
                <w:sz w:val="22"/>
              </w:rPr>
            </w:pPr>
          </w:p>
        </w:tc>
        <w:tc>
          <w:tcPr>
            <w:tcW w:w="1349" w:type="dxa"/>
            <w:vMerge w:val="restart"/>
          </w:tcPr>
          <w:p>
            <w:pPr>
              <w:pStyle w:val="TableParagraph"/>
              <w:rPr>
                <w:rFonts w:ascii="Times New Roman"/>
                <w:sz w:val="2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rPr>
                <w:rFonts w:ascii="Times New Roman"/>
                <w:sz w:val="22"/>
              </w:rPr>
            </w:pPr>
          </w:p>
        </w:tc>
        <w:tc>
          <w:tcPr>
            <w:tcW w:w="2094" w:type="dxa"/>
          </w:tcPr>
          <w:p>
            <w:pPr>
              <w:pStyle w:val="TableParagraph"/>
              <w:rPr>
                <w:rFonts w:ascii="Times New Roman"/>
                <w:sz w:val="22"/>
              </w:rPr>
            </w:pPr>
          </w:p>
        </w:tc>
        <w:tc>
          <w:tcPr>
            <w:tcW w:w="1306" w:type="dxa"/>
          </w:tcPr>
          <w:p>
            <w:pPr>
              <w:pStyle w:val="TableParagraph"/>
              <w:ind w:left="106" w:right="98"/>
              <w:rPr>
                <w:sz w:val="24"/>
              </w:rPr>
            </w:pPr>
            <w:r>
              <w:rPr>
                <w:sz w:val="24"/>
              </w:rPr>
              <w:t>m area</w:t>
            </w:r>
            <w:r>
              <w:rPr>
                <w:spacing w:val="80"/>
                <w:sz w:val="24"/>
              </w:rPr>
              <w:t> </w:t>
            </w:r>
            <w:r>
              <w:rPr>
                <w:spacing w:val="-6"/>
                <w:sz w:val="24"/>
              </w:rPr>
              <w:t>of </w:t>
            </w:r>
            <w:r>
              <w:rPr>
                <w:spacing w:val="-2"/>
                <w:sz w:val="24"/>
              </w:rPr>
              <w:t>reserved </w:t>
            </w:r>
            <w:r>
              <w:rPr>
                <w:sz w:val="24"/>
              </w:rPr>
              <w:t>plot</w:t>
            </w:r>
            <w:r>
              <w:rPr>
                <w:spacing w:val="-20"/>
                <w:sz w:val="24"/>
              </w:rPr>
              <w:t> </w:t>
            </w:r>
            <w:r>
              <w:rPr>
                <w:sz w:val="24"/>
              </w:rPr>
              <w:t>shall be 1000 sq. m.</w:t>
            </w:r>
          </w:p>
        </w:tc>
      </w:tr>
      <w:tr>
        <w:trPr>
          <w:trHeight w:val="2255" w:hRule="atLeast"/>
        </w:trPr>
        <w:tc>
          <w:tcPr>
            <w:tcW w:w="560" w:type="dxa"/>
          </w:tcPr>
          <w:p>
            <w:pPr>
              <w:pStyle w:val="TableParagraph"/>
              <w:spacing w:line="281" w:lineRule="exact"/>
              <w:ind w:left="6" w:right="40"/>
              <w:jc w:val="center"/>
              <w:rPr>
                <w:sz w:val="24"/>
              </w:rPr>
            </w:pPr>
            <w:r>
              <w:rPr>
                <w:spacing w:val="-5"/>
                <w:sz w:val="24"/>
              </w:rPr>
              <w:t>63</w:t>
            </w:r>
          </w:p>
        </w:tc>
        <w:tc>
          <w:tcPr>
            <w:tcW w:w="1349" w:type="dxa"/>
            <w:vMerge/>
            <w:tcBorders>
              <w:top w:val="nil"/>
            </w:tcBorders>
          </w:tcPr>
          <w:p>
            <w:pPr>
              <w:rPr>
                <w:sz w:val="2"/>
                <w:szCs w:val="2"/>
              </w:rPr>
            </w:pPr>
          </w:p>
        </w:tc>
        <w:tc>
          <w:tcPr>
            <w:tcW w:w="1057" w:type="dxa"/>
          </w:tcPr>
          <w:p>
            <w:pPr>
              <w:pStyle w:val="TableParagraph"/>
              <w:spacing w:line="281" w:lineRule="exact"/>
              <w:ind w:left="23"/>
              <w:rPr>
                <w:sz w:val="24"/>
              </w:rPr>
            </w:pPr>
            <w:r>
              <w:rPr>
                <w:spacing w:val="-2"/>
                <w:sz w:val="24"/>
              </w:rPr>
              <w:t>RP2.1</w:t>
            </w:r>
          </w:p>
        </w:tc>
        <w:tc>
          <w:tcPr>
            <w:tcW w:w="1260" w:type="dxa"/>
          </w:tcPr>
          <w:p>
            <w:pPr>
              <w:pStyle w:val="TableParagraph"/>
              <w:ind w:left="106" w:right="428"/>
              <w:rPr>
                <w:sz w:val="24"/>
              </w:rPr>
            </w:pPr>
            <w:r>
              <w:rPr>
                <w:spacing w:val="-2"/>
                <w:sz w:val="24"/>
              </w:rPr>
              <w:t>Dhobi </w:t>
            </w:r>
            <w:r>
              <w:rPr>
                <w:spacing w:val="-4"/>
                <w:sz w:val="24"/>
              </w:rPr>
              <w:t>Ghat</w:t>
            </w:r>
          </w:p>
        </w:tc>
        <w:tc>
          <w:tcPr>
            <w:tcW w:w="2679" w:type="dxa"/>
          </w:tcPr>
          <w:p>
            <w:pPr>
              <w:pStyle w:val="TableParagraph"/>
              <w:tabs>
                <w:tab w:pos="872" w:val="left" w:leader="none"/>
                <w:tab w:pos="1723" w:val="left" w:leader="none"/>
              </w:tabs>
              <w:ind w:left="106" w:right="100"/>
              <w:rPr>
                <w:sz w:val="24"/>
              </w:rPr>
            </w:pPr>
            <w:r>
              <w:rPr>
                <w:spacing w:val="-4"/>
                <w:sz w:val="24"/>
              </w:rPr>
              <w:t>Art</w:t>
            </w:r>
            <w:r>
              <w:rPr>
                <w:sz w:val="24"/>
              </w:rPr>
              <w:tab/>
            </w:r>
            <w:r>
              <w:rPr>
                <w:spacing w:val="-4"/>
                <w:sz w:val="24"/>
              </w:rPr>
              <w:t>and</w:t>
            </w:r>
            <w:r>
              <w:rPr>
                <w:sz w:val="24"/>
              </w:rPr>
              <w:tab/>
            </w:r>
            <w:r>
              <w:rPr>
                <w:spacing w:val="-2"/>
                <w:sz w:val="24"/>
              </w:rPr>
              <w:t>culture </w:t>
            </w:r>
            <w:r>
              <w:rPr>
                <w:sz w:val="24"/>
              </w:rPr>
              <w:t>related uses</w:t>
            </w:r>
          </w:p>
        </w:tc>
        <w:tc>
          <w:tcPr>
            <w:tcW w:w="2094" w:type="dxa"/>
          </w:tcPr>
          <w:p>
            <w:pPr>
              <w:pStyle w:val="TableParagraph"/>
              <w:tabs>
                <w:tab w:pos="1383" w:val="left" w:leader="none"/>
              </w:tabs>
              <w:ind w:left="89" w:right="58"/>
              <w:rPr>
                <w:sz w:val="24"/>
              </w:rPr>
            </w:pPr>
            <w:r>
              <w:rPr>
                <w:spacing w:val="-2"/>
                <w:sz w:val="24"/>
              </w:rPr>
              <w:t>Public</w:t>
            </w:r>
            <w:r>
              <w:rPr>
                <w:sz w:val="24"/>
              </w:rPr>
              <w:tab/>
            </w:r>
            <w:r>
              <w:rPr>
                <w:spacing w:val="-2"/>
                <w:sz w:val="24"/>
              </w:rPr>
              <w:t>Toilet facilities</w:t>
            </w:r>
          </w:p>
        </w:tc>
        <w:tc>
          <w:tcPr>
            <w:tcW w:w="1306" w:type="dxa"/>
          </w:tcPr>
          <w:p>
            <w:pPr>
              <w:pStyle w:val="TableParagraph"/>
              <w:spacing w:line="281" w:lineRule="exact"/>
              <w:ind w:left="106"/>
              <w:rPr>
                <w:sz w:val="24"/>
              </w:rPr>
            </w:pPr>
            <w:r>
              <w:rPr>
                <w:sz w:val="24"/>
              </w:rPr>
              <w:t>1 or 2 </w:t>
            </w:r>
            <w:r>
              <w:rPr>
                <w:spacing w:val="-5"/>
                <w:sz w:val="24"/>
              </w:rPr>
              <w:t>or</w:t>
            </w:r>
          </w:p>
          <w:p>
            <w:pPr>
              <w:pStyle w:val="TableParagraph"/>
              <w:spacing w:line="281" w:lineRule="exact" w:before="1"/>
              <w:ind w:left="106"/>
              <w:rPr>
                <w:sz w:val="24"/>
              </w:rPr>
            </w:pPr>
            <w:r>
              <w:rPr>
                <w:spacing w:val="-10"/>
                <w:sz w:val="24"/>
              </w:rPr>
              <w:t>3</w:t>
            </w:r>
          </w:p>
          <w:p>
            <w:pPr>
              <w:pStyle w:val="TableParagraph"/>
              <w:ind w:left="106" w:right="98"/>
              <w:rPr>
                <w:sz w:val="24"/>
              </w:rPr>
            </w:pPr>
            <w:r>
              <w:rPr>
                <w:sz w:val="24"/>
              </w:rPr>
              <w:t>Za=</w:t>
            </w:r>
            <w:r>
              <w:rPr>
                <w:spacing w:val="-20"/>
                <w:sz w:val="24"/>
              </w:rPr>
              <w:t> </w:t>
            </w:r>
            <w:r>
              <w:rPr>
                <w:sz w:val="24"/>
              </w:rPr>
              <w:t>10, </w:t>
            </w:r>
            <w:r>
              <w:rPr>
                <w:spacing w:val="-2"/>
                <w:sz w:val="24"/>
              </w:rPr>
              <w:t>Zb=10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82"/>
              </w:numPr>
              <w:tabs>
                <w:tab w:pos="393" w:val="left" w:leader="none"/>
              </w:tabs>
              <w:spacing w:line="281" w:lineRule="exact" w:before="1" w:after="0"/>
              <w:ind w:left="393" w:right="0" w:hanging="287"/>
              <w:jc w:val="left"/>
              <w:rPr>
                <w:sz w:val="24"/>
              </w:rPr>
            </w:pPr>
            <w:r>
              <w:rPr>
                <w:spacing w:val="-4"/>
                <w:sz w:val="24"/>
              </w:rPr>
              <w:t>X=50</w:t>
            </w:r>
          </w:p>
          <w:p>
            <w:pPr>
              <w:pStyle w:val="TableParagraph"/>
              <w:numPr>
                <w:ilvl w:val="0"/>
                <w:numId w:val="82"/>
              </w:numPr>
              <w:tabs>
                <w:tab w:pos="403" w:val="left" w:leader="none"/>
              </w:tabs>
              <w:spacing w:line="263" w:lineRule="exact" w:before="0" w:after="0"/>
              <w:ind w:left="403" w:right="0" w:hanging="297"/>
              <w:jc w:val="left"/>
              <w:rPr>
                <w:sz w:val="24"/>
              </w:rPr>
            </w:pPr>
            <w:r>
              <w:rPr>
                <w:spacing w:val="-4"/>
                <w:sz w:val="24"/>
              </w:rPr>
              <w:t>Y=40</w:t>
            </w:r>
          </w:p>
        </w:tc>
      </w:tr>
      <w:tr>
        <w:trPr>
          <w:trHeight w:val="431"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rPr>
                <w:rFonts w:ascii="Times New Roman"/>
                <w:sz w:val="22"/>
              </w:rPr>
            </w:pPr>
          </w:p>
        </w:tc>
        <w:tc>
          <w:tcPr>
            <w:tcW w:w="2094" w:type="dxa"/>
          </w:tcPr>
          <w:p>
            <w:pPr>
              <w:pStyle w:val="TableParagraph"/>
              <w:rPr>
                <w:rFonts w:ascii="Times New Roman"/>
                <w:sz w:val="22"/>
              </w:rPr>
            </w:pPr>
          </w:p>
        </w:tc>
        <w:tc>
          <w:tcPr>
            <w:tcW w:w="1306" w:type="dxa"/>
          </w:tcPr>
          <w:p>
            <w:pPr>
              <w:pStyle w:val="TableParagraph"/>
              <w:rPr>
                <w:rFonts w:ascii="Times New Roman"/>
                <w:sz w:val="22"/>
              </w:rPr>
            </w:pPr>
          </w:p>
        </w:tc>
      </w:tr>
      <w:tr>
        <w:trPr>
          <w:trHeight w:val="2253" w:hRule="atLeast"/>
        </w:trPr>
        <w:tc>
          <w:tcPr>
            <w:tcW w:w="560" w:type="dxa"/>
          </w:tcPr>
          <w:p>
            <w:pPr>
              <w:pStyle w:val="TableParagraph"/>
              <w:rPr>
                <w:b/>
                <w:sz w:val="24"/>
              </w:rPr>
            </w:pPr>
          </w:p>
          <w:p>
            <w:pPr>
              <w:pStyle w:val="TableParagraph"/>
              <w:spacing w:before="280"/>
              <w:rPr>
                <w:b/>
                <w:sz w:val="24"/>
              </w:rPr>
            </w:pPr>
          </w:p>
          <w:p>
            <w:pPr>
              <w:pStyle w:val="TableParagraph"/>
              <w:spacing w:before="1"/>
              <w:ind w:left="6" w:right="40"/>
              <w:jc w:val="center"/>
              <w:rPr>
                <w:sz w:val="24"/>
              </w:rPr>
            </w:pPr>
            <w:r>
              <w:rPr>
                <w:spacing w:val="-5"/>
                <w:sz w:val="24"/>
              </w:rPr>
              <w:t>64</w:t>
            </w:r>
          </w:p>
        </w:tc>
        <w:tc>
          <w:tcPr>
            <w:tcW w:w="1349"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80"/>
              <w:rPr>
                <w:b/>
                <w:sz w:val="24"/>
              </w:rPr>
            </w:pPr>
          </w:p>
          <w:p>
            <w:pPr>
              <w:pStyle w:val="TableParagraph"/>
              <w:ind w:left="105" w:right="164"/>
              <w:rPr>
                <w:sz w:val="24"/>
              </w:rPr>
            </w:pPr>
            <w:r>
              <w:rPr>
                <w:spacing w:val="-2"/>
                <w:sz w:val="24"/>
              </w:rPr>
              <w:t>Transpor </w:t>
            </w:r>
            <w:r>
              <w:rPr>
                <w:spacing w:val="-10"/>
                <w:sz w:val="24"/>
              </w:rPr>
              <w:t>t</w:t>
            </w:r>
          </w:p>
        </w:tc>
        <w:tc>
          <w:tcPr>
            <w:tcW w:w="1057" w:type="dxa"/>
          </w:tcPr>
          <w:p>
            <w:pPr>
              <w:pStyle w:val="TableParagraph"/>
              <w:spacing w:line="281" w:lineRule="exact"/>
              <w:ind w:right="169"/>
              <w:jc w:val="right"/>
              <w:rPr>
                <w:sz w:val="24"/>
              </w:rPr>
            </w:pPr>
            <w:r>
              <w:rPr>
                <w:spacing w:val="-2"/>
                <w:sz w:val="24"/>
              </w:rPr>
              <w:t>RT1.1</w:t>
            </w:r>
          </w:p>
        </w:tc>
        <w:tc>
          <w:tcPr>
            <w:tcW w:w="1260" w:type="dxa"/>
          </w:tcPr>
          <w:p>
            <w:pPr>
              <w:pStyle w:val="TableParagraph"/>
              <w:ind w:left="181" w:right="225"/>
              <w:rPr>
                <w:sz w:val="24"/>
              </w:rPr>
            </w:pPr>
            <w:r>
              <w:rPr>
                <w:spacing w:val="-2"/>
                <w:sz w:val="24"/>
              </w:rPr>
              <w:t>Truck Termin </w:t>
            </w:r>
            <w:r>
              <w:rPr>
                <w:spacing w:val="-6"/>
                <w:sz w:val="24"/>
              </w:rPr>
              <w:t>us</w:t>
            </w:r>
          </w:p>
        </w:tc>
        <w:tc>
          <w:tcPr>
            <w:tcW w:w="2679" w:type="dxa"/>
          </w:tcPr>
          <w:p>
            <w:pPr>
              <w:pStyle w:val="TableParagraph"/>
              <w:ind w:left="66" w:right="80"/>
              <w:jc w:val="both"/>
              <w:rPr>
                <w:sz w:val="24"/>
              </w:rPr>
            </w:pPr>
            <w:r>
              <w:rPr>
                <w:sz w:val="24"/>
              </w:rPr>
              <w:t>Truck </w:t>
            </w:r>
            <w:r>
              <w:rPr>
                <w:sz w:val="24"/>
              </w:rPr>
              <w:t>Terminus, along</w:t>
            </w:r>
            <w:r>
              <w:rPr>
                <w:spacing w:val="-14"/>
                <w:sz w:val="24"/>
              </w:rPr>
              <w:t> </w:t>
            </w:r>
            <w:r>
              <w:rPr>
                <w:sz w:val="24"/>
              </w:rPr>
              <w:t>with</w:t>
            </w:r>
            <w:r>
              <w:rPr>
                <w:spacing w:val="-14"/>
                <w:sz w:val="24"/>
              </w:rPr>
              <w:t> </w:t>
            </w:r>
            <w:r>
              <w:rPr>
                <w:sz w:val="24"/>
              </w:rPr>
              <w:t>other</w:t>
            </w:r>
            <w:r>
              <w:rPr>
                <w:spacing w:val="-14"/>
                <w:sz w:val="24"/>
              </w:rPr>
              <w:t> </w:t>
            </w:r>
            <w:r>
              <w:rPr>
                <w:sz w:val="24"/>
              </w:rPr>
              <w:t>uses if any, such as Workshop, Store, Garage, Dormitory with toilet and bath</w:t>
            </w:r>
          </w:p>
        </w:tc>
        <w:tc>
          <w:tcPr>
            <w:tcW w:w="2094" w:type="dxa"/>
          </w:tcPr>
          <w:p>
            <w:pPr>
              <w:pStyle w:val="TableParagraph"/>
              <w:ind w:left="89" w:right="55" w:firstLine="91"/>
              <w:rPr>
                <w:sz w:val="24"/>
              </w:rPr>
            </w:pPr>
            <w:r>
              <w:rPr>
                <w:spacing w:val="-2"/>
                <w:sz w:val="24"/>
              </w:rPr>
              <w:t>Restaurant, </w:t>
            </w:r>
            <w:r>
              <w:rPr>
                <w:sz w:val="24"/>
              </w:rPr>
              <w:t>Branch</w:t>
            </w:r>
            <w:r>
              <w:rPr>
                <w:spacing w:val="-17"/>
                <w:sz w:val="24"/>
              </w:rPr>
              <w:t> </w:t>
            </w:r>
            <w:r>
              <w:rPr>
                <w:sz w:val="24"/>
              </w:rPr>
              <w:t>of</w:t>
            </w:r>
            <w:r>
              <w:rPr>
                <w:spacing w:val="-17"/>
                <w:sz w:val="24"/>
              </w:rPr>
              <w:t> </w:t>
            </w:r>
            <w:r>
              <w:rPr>
                <w:sz w:val="24"/>
              </w:rPr>
              <w:t>Bank, </w:t>
            </w:r>
            <w:r>
              <w:rPr>
                <w:spacing w:val="-4"/>
                <w:sz w:val="24"/>
              </w:rPr>
              <w:t>ATM,</w:t>
            </w:r>
          </w:p>
          <w:p>
            <w:pPr>
              <w:pStyle w:val="TableParagraph"/>
              <w:tabs>
                <w:tab w:pos="1013" w:val="left" w:leader="none"/>
                <w:tab w:pos="1440" w:val="left" w:leader="none"/>
              </w:tabs>
              <w:ind w:left="89" w:right="55"/>
              <w:rPr>
                <w:sz w:val="24"/>
              </w:rPr>
            </w:pPr>
            <w:r>
              <w:rPr>
                <w:spacing w:val="-2"/>
                <w:sz w:val="24"/>
              </w:rPr>
              <w:t>Information Kiosk,</w:t>
            </w:r>
            <w:r>
              <w:rPr>
                <w:sz w:val="24"/>
              </w:rPr>
              <w:tab/>
              <w:tab/>
            </w:r>
            <w:r>
              <w:rPr>
                <w:spacing w:val="-4"/>
                <w:sz w:val="24"/>
              </w:rPr>
              <w:t>CFC, </w:t>
            </w:r>
            <w:r>
              <w:rPr>
                <w:spacing w:val="-2"/>
                <w:sz w:val="24"/>
              </w:rPr>
              <w:t>Police</w:t>
            </w:r>
            <w:r>
              <w:rPr>
                <w:sz w:val="24"/>
              </w:rPr>
              <w:tab/>
            </w:r>
            <w:r>
              <w:rPr>
                <w:spacing w:val="-2"/>
                <w:sz w:val="24"/>
              </w:rPr>
              <w:t>Chowky, </w:t>
            </w:r>
            <w:r>
              <w:rPr>
                <w:spacing w:val="-4"/>
                <w:sz w:val="24"/>
              </w:rPr>
              <w:t>PSC</w:t>
            </w:r>
          </w:p>
        </w:tc>
        <w:tc>
          <w:tcPr>
            <w:tcW w:w="1306" w:type="dxa"/>
          </w:tcPr>
          <w:p>
            <w:pPr>
              <w:pStyle w:val="TableParagraph"/>
              <w:spacing w:line="280" w:lineRule="exact"/>
              <w:ind w:left="106"/>
              <w:rPr>
                <w:sz w:val="24"/>
              </w:rPr>
            </w:pPr>
            <w:r>
              <w:rPr>
                <w:sz w:val="24"/>
              </w:rPr>
              <w:t>1 or 2 </w:t>
            </w:r>
            <w:r>
              <w:rPr>
                <w:spacing w:val="-5"/>
                <w:sz w:val="24"/>
              </w:rPr>
              <w:t>or</w:t>
            </w:r>
          </w:p>
          <w:p>
            <w:pPr>
              <w:pStyle w:val="TableParagraph"/>
              <w:spacing w:line="281" w:lineRule="exact"/>
              <w:ind w:left="106"/>
              <w:rPr>
                <w:sz w:val="24"/>
              </w:rPr>
            </w:pPr>
            <w:r>
              <w:rPr>
                <w:sz w:val="24"/>
              </w:rPr>
              <w:t>3, </w:t>
            </w:r>
            <w:r>
              <w:rPr>
                <w:spacing w:val="-5"/>
                <w:sz w:val="24"/>
              </w:rPr>
              <w:t>Za=</w:t>
            </w:r>
          </w:p>
          <w:p>
            <w:pPr>
              <w:pStyle w:val="TableParagraph"/>
              <w:spacing w:line="281" w:lineRule="exact" w:before="2"/>
              <w:ind w:left="106"/>
              <w:rPr>
                <w:sz w:val="24"/>
              </w:rPr>
            </w:pPr>
            <w:r>
              <w:rPr>
                <w:spacing w:val="-5"/>
                <w:sz w:val="24"/>
              </w:rPr>
              <w:t>10</w:t>
            </w:r>
          </w:p>
          <w:p>
            <w:pPr>
              <w:pStyle w:val="TableParagraph"/>
              <w:spacing w:line="281" w:lineRule="exact"/>
              <w:ind w:left="180"/>
              <w:rPr>
                <w:sz w:val="24"/>
              </w:rPr>
            </w:pPr>
            <w:r>
              <w:rPr>
                <w:spacing w:val="-2"/>
                <w:sz w:val="24"/>
              </w:rPr>
              <w:t>Zb=10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83"/>
              </w:numPr>
              <w:tabs>
                <w:tab w:pos="393" w:val="left" w:leader="none"/>
              </w:tabs>
              <w:spacing w:line="240" w:lineRule="auto" w:before="0" w:after="0"/>
              <w:ind w:left="393" w:right="0" w:hanging="287"/>
              <w:jc w:val="left"/>
              <w:rPr>
                <w:sz w:val="24"/>
              </w:rPr>
            </w:pPr>
            <w:r>
              <w:rPr>
                <w:spacing w:val="-4"/>
                <w:sz w:val="24"/>
              </w:rPr>
              <w:t>X=50</w:t>
            </w:r>
          </w:p>
          <w:p>
            <w:pPr>
              <w:pStyle w:val="TableParagraph"/>
              <w:numPr>
                <w:ilvl w:val="0"/>
                <w:numId w:val="83"/>
              </w:numPr>
              <w:tabs>
                <w:tab w:pos="403" w:val="left" w:leader="none"/>
              </w:tabs>
              <w:spacing w:line="261" w:lineRule="exact" w:before="1" w:after="0"/>
              <w:ind w:left="403" w:right="0" w:hanging="297"/>
              <w:jc w:val="left"/>
              <w:rPr>
                <w:sz w:val="24"/>
              </w:rPr>
            </w:pPr>
            <w:r>
              <w:rPr>
                <w:spacing w:val="-4"/>
                <w:sz w:val="24"/>
              </w:rPr>
              <w:t>Y=40</w:t>
            </w:r>
          </w:p>
        </w:tc>
      </w:tr>
      <w:tr>
        <w:trPr>
          <w:trHeight w:val="3662" w:hRule="atLeast"/>
        </w:trPr>
        <w:tc>
          <w:tcPr>
            <w:tcW w:w="560" w:type="dxa"/>
          </w:tcPr>
          <w:p>
            <w:pPr>
              <w:pStyle w:val="TableParagraph"/>
              <w:spacing w:before="280"/>
              <w:ind w:left="6" w:right="40"/>
              <w:jc w:val="center"/>
              <w:rPr>
                <w:sz w:val="24"/>
              </w:rPr>
            </w:pPr>
            <w:r>
              <w:rPr>
                <w:spacing w:val="-5"/>
                <w:sz w:val="24"/>
              </w:rPr>
              <w:t>65</w:t>
            </w:r>
          </w:p>
        </w:tc>
        <w:tc>
          <w:tcPr>
            <w:tcW w:w="1349" w:type="dxa"/>
            <w:vMerge/>
            <w:tcBorders>
              <w:top w:val="nil"/>
            </w:tcBorders>
          </w:tcPr>
          <w:p>
            <w:pPr>
              <w:rPr>
                <w:sz w:val="2"/>
                <w:szCs w:val="2"/>
              </w:rPr>
            </w:pPr>
          </w:p>
        </w:tc>
        <w:tc>
          <w:tcPr>
            <w:tcW w:w="1057" w:type="dxa"/>
          </w:tcPr>
          <w:p>
            <w:pPr>
              <w:pStyle w:val="TableParagraph"/>
              <w:spacing w:line="281" w:lineRule="exact"/>
              <w:ind w:right="169"/>
              <w:jc w:val="right"/>
              <w:rPr>
                <w:sz w:val="24"/>
              </w:rPr>
            </w:pPr>
            <w:r>
              <w:rPr>
                <w:spacing w:val="-2"/>
                <w:sz w:val="24"/>
              </w:rPr>
              <w:t>RT1.4</w:t>
            </w:r>
          </w:p>
        </w:tc>
        <w:tc>
          <w:tcPr>
            <w:tcW w:w="1260" w:type="dxa"/>
          </w:tcPr>
          <w:p>
            <w:pPr>
              <w:pStyle w:val="TableParagraph"/>
              <w:spacing w:line="280" w:lineRule="exact"/>
              <w:ind w:left="181"/>
              <w:rPr>
                <w:sz w:val="24"/>
              </w:rPr>
            </w:pPr>
            <w:r>
              <w:rPr>
                <w:spacing w:val="-4"/>
                <w:sz w:val="24"/>
              </w:rPr>
              <w:t>BEST</w:t>
            </w:r>
          </w:p>
          <w:p>
            <w:pPr>
              <w:pStyle w:val="TableParagraph"/>
              <w:ind w:left="181" w:right="103"/>
              <w:rPr>
                <w:sz w:val="24"/>
              </w:rPr>
            </w:pPr>
            <w:r>
              <w:rPr>
                <w:spacing w:val="-4"/>
                <w:sz w:val="24"/>
              </w:rPr>
              <w:t>Bus </w:t>
            </w:r>
            <w:r>
              <w:rPr>
                <w:spacing w:val="-2"/>
                <w:sz w:val="24"/>
              </w:rPr>
              <w:t>Facilitie </w:t>
            </w:r>
            <w:r>
              <w:rPr>
                <w:spacing w:val="-10"/>
                <w:sz w:val="24"/>
              </w:rPr>
              <w:t>s</w:t>
            </w:r>
          </w:p>
        </w:tc>
        <w:tc>
          <w:tcPr>
            <w:tcW w:w="2679" w:type="dxa"/>
          </w:tcPr>
          <w:p>
            <w:pPr>
              <w:pStyle w:val="TableParagraph"/>
              <w:ind w:left="66" w:right="148"/>
              <w:jc w:val="both"/>
              <w:rPr>
                <w:sz w:val="24"/>
              </w:rPr>
            </w:pPr>
            <w:r>
              <w:rPr>
                <w:sz w:val="24"/>
              </w:rPr>
              <w:t>BEST Bus </w:t>
            </w:r>
            <w:r>
              <w:rPr>
                <w:sz w:val="24"/>
              </w:rPr>
              <w:t>Depot, BEST Bus Station, Parking Lot for Public, Bus Stops, Sheds,</w:t>
            </w:r>
            <w:r>
              <w:rPr>
                <w:spacing w:val="44"/>
                <w:w w:val="150"/>
                <w:sz w:val="24"/>
              </w:rPr>
              <w:t>    </w:t>
            </w:r>
            <w:r>
              <w:rPr>
                <w:spacing w:val="-2"/>
                <w:sz w:val="24"/>
              </w:rPr>
              <w:t>Helipads</w:t>
            </w:r>
          </w:p>
          <w:p>
            <w:pPr>
              <w:pStyle w:val="TableParagraph"/>
              <w:spacing w:line="281" w:lineRule="exact"/>
              <w:ind w:left="66"/>
              <w:jc w:val="both"/>
              <w:rPr>
                <w:sz w:val="24"/>
              </w:rPr>
            </w:pPr>
            <w:r>
              <w:rPr>
                <w:sz w:val="24"/>
              </w:rPr>
              <w:t>without</w:t>
            </w:r>
            <w:r>
              <w:rPr>
                <w:spacing w:val="71"/>
                <w:w w:val="150"/>
                <w:sz w:val="24"/>
              </w:rPr>
              <w:t>   </w:t>
            </w:r>
            <w:r>
              <w:rPr>
                <w:spacing w:val="-2"/>
                <w:sz w:val="24"/>
              </w:rPr>
              <w:t>affecting</w:t>
            </w:r>
          </w:p>
          <w:p>
            <w:pPr>
              <w:pStyle w:val="TableParagraph"/>
              <w:tabs>
                <w:tab w:pos="2072" w:val="left" w:leader="none"/>
              </w:tabs>
              <w:ind w:left="66" w:right="147"/>
              <w:jc w:val="both"/>
              <w:rPr>
                <w:sz w:val="24"/>
              </w:rPr>
            </w:pPr>
            <w:r>
              <w:rPr>
                <w:sz w:val="24"/>
              </w:rPr>
              <w:t>traffic, </w:t>
            </w:r>
            <w:r>
              <w:rPr>
                <w:sz w:val="24"/>
              </w:rPr>
              <w:t>Essential staff quarters for operational uses Rickshaw and Taxi </w:t>
            </w:r>
            <w:r>
              <w:rPr>
                <w:spacing w:val="-2"/>
                <w:sz w:val="24"/>
              </w:rPr>
              <w:t>Parking</w:t>
            </w:r>
            <w:r>
              <w:rPr>
                <w:sz w:val="24"/>
              </w:rPr>
              <w:tab/>
            </w:r>
            <w:r>
              <w:rPr>
                <w:spacing w:val="-5"/>
                <w:sz w:val="24"/>
              </w:rPr>
              <w:t>and</w:t>
            </w:r>
          </w:p>
          <w:p>
            <w:pPr>
              <w:pStyle w:val="TableParagraph"/>
              <w:spacing w:line="284" w:lineRule="exact"/>
              <w:ind w:left="66" w:right="513"/>
              <w:jc w:val="both"/>
              <w:rPr>
                <w:sz w:val="24"/>
              </w:rPr>
            </w:pPr>
            <w:r>
              <w:rPr>
                <w:spacing w:val="-2"/>
                <w:sz w:val="24"/>
              </w:rPr>
              <w:t>Administrative </w:t>
            </w:r>
            <w:r>
              <w:rPr>
                <w:sz w:val="24"/>
              </w:rPr>
              <w:t>office,</w:t>
            </w:r>
            <w:r>
              <w:rPr>
                <w:spacing w:val="-19"/>
                <w:sz w:val="24"/>
              </w:rPr>
              <w:t> </w:t>
            </w:r>
            <w:r>
              <w:rPr>
                <w:sz w:val="24"/>
              </w:rPr>
              <w:t>fuel</w:t>
            </w:r>
            <w:r>
              <w:rPr>
                <w:spacing w:val="-19"/>
                <w:sz w:val="24"/>
              </w:rPr>
              <w:t> </w:t>
            </w:r>
            <w:r>
              <w:rPr>
                <w:sz w:val="24"/>
              </w:rPr>
              <w:t>station</w:t>
            </w:r>
          </w:p>
        </w:tc>
        <w:tc>
          <w:tcPr>
            <w:tcW w:w="2094" w:type="dxa"/>
          </w:tcPr>
          <w:p>
            <w:pPr>
              <w:pStyle w:val="TableParagraph"/>
              <w:tabs>
                <w:tab w:pos="1349" w:val="left" w:leader="none"/>
                <w:tab w:pos="1440" w:val="left" w:leader="none"/>
              </w:tabs>
              <w:ind w:left="89" w:right="55" w:firstLine="91"/>
              <w:rPr>
                <w:sz w:val="24"/>
              </w:rPr>
            </w:pPr>
            <w:r>
              <w:rPr>
                <w:spacing w:val="-2"/>
                <w:sz w:val="24"/>
              </w:rPr>
              <w:t>Cafeteria, Canteen,</w:t>
            </w:r>
            <w:r>
              <w:rPr>
                <w:sz w:val="24"/>
              </w:rPr>
              <w:tab/>
            </w:r>
            <w:r>
              <w:rPr>
                <w:spacing w:val="-2"/>
                <w:sz w:val="24"/>
              </w:rPr>
              <w:t>Police Chowky,</w:t>
            </w:r>
            <w:r>
              <w:rPr>
                <w:sz w:val="24"/>
              </w:rPr>
              <w:tab/>
              <w:tab/>
            </w:r>
            <w:r>
              <w:rPr>
                <w:spacing w:val="-4"/>
                <w:sz w:val="24"/>
              </w:rPr>
              <w:t>CFC, </w:t>
            </w:r>
            <w:r>
              <w:rPr>
                <w:sz w:val="24"/>
              </w:rPr>
              <w:t>ATM of a Bank,</w:t>
            </w:r>
          </w:p>
        </w:tc>
        <w:tc>
          <w:tcPr>
            <w:tcW w:w="1306" w:type="dxa"/>
          </w:tcPr>
          <w:p>
            <w:pPr>
              <w:pStyle w:val="TableParagraph"/>
              <w:ind w:left="180" w:right="98"/>
              <w:rPr>
                <w:sz w:val="24"/>
              </w:rPr>
            </w:pPr>
            <w:r>
              <w:rPr>
                <w:sz w:val="24"/>
              </w:rPr>
              <w:t>1</w:t>
            </w:r>
            <w:r>
              <w:rPr>
                <w:spacing w:val="-19"/>
                <w:sz w:val="24"/>
              </w:rPr>
              <w:t> </w:t>
            </w:r>
            <w:r>
              <w:rPr>
                <w:sz w:val="24"/>
              </w:rPr>
              <w:t>or</w:t>
            </w:r>
            <w:r>
              <w:rPr>
                <w:spacing w:val="-19"/>
                <w:sz w:val="24"/>
              </w:rPr>
              <w:t> </w:t>
            </w:r>
            <w:r>
              <w:rPr>
                <w:sz w:val="24"/>
              </w:rPr>
              <w:t>3, </w:t>
            </w:r>
            <w:r>
              <w:rPr>
                <w:spacing w:val="-2"/>
                <w:sz w:val="24"/>
              </w:rPr>
              <w:t>Zb=10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84"/>
              </w:numPr>
              <w:tabs>
                <w:tab w:pos="393" w:val="left" w:leader="none"/>
              </w:tabs>
              <w:spacing w:line="281" w:lineRule="exact" w:before="0" w:after="0"/>
              <w:ind w:left="393" w:right="0" w:hanging="287"/>
              <w:jc w:val="left"/>
              <w:rPr>
                <w:sz w:val="24"/>
              </w:rPr>
            </w:pPr>
            <w:r>
              <w:rPr>
                <w:spacing w:val="-4"/>
                <w:sz w:val="24"/>
              </w:rPr>
              <w:t>X=50</w:t>
            </w:r>
          </w:p>
          <w:p>
            <w:pPr>
              <w:pStyle w:val="TableParagraph"/>
              <w:numPr>
                <w:ilvl w:val="0"/>
                <w:numId w:val="84"/>
              </w:numPr>
              <w:tabs>
                <w:tab w:pos="403" w:val="left" w:leader="none"/>
              </w:tabs>
              <w:spacing w:line="281" w:lineRule="exact" w:before="0" w:after="0"/>
              <w:ind w:left="403" w:right="0" w:hanging="297"/>
              <w:jc w:val="left"/>
              <w:rPr>
                <w:sz w:val="24"/>
              </w:rPr>
            </w:pPr>
            <w:r>
              <w:rPr>
                <w:spacing w:val="-4"/>
                <w:sz w:val="24"/>
              </w:rPr>
              <w:t>Y=40</w:t>
            </w:r>
          </w:p>
        </w:tc>
      </w:tr>
      <w:tr>
        <w:trPr>
          <w:trHeight w:val="1123" w:hRule="atLeast"/>
        </w:trPr>
        <w:tc>
          <w:tcPr>
            <w:tcW w:w="560" w:type="dxa"/>
          </w:tcPr>
          <w:p>
            <w:pPr>
              <w:pStyle w:val="TableParagraph"/>
              <w:spacing w:before="277"/>
              <w:rPr>
                <w:b/>
                <w:sz w:val="24"/>
              </w:rPr>
            </w:pPr>
          </w:p>
          <w:p>
            <w:pPr>
              <w:pStyle w:val="TableParagraph"/>
              <w:ind w:left="6" w:right="40"/>
              <w:jc w:val="center"/>
              <w:rPr>
                <w:sz w:val="24"/>
              </w:rPr>
            </w:pPr>
            <w:r>
              <w:rPr>
                <w:spacing w:val="-5"/>
                <w:sz w:val="24"/>
              </w:rPr>
              <w:t>66</w:t>
            </w:r>
          </w:p>
        </w:tc>
        <w:tc>
          <w:tcPr>
            <w:tcW w:w="1349" w:type="dxa"/>
            <w:vMerge/>
            <w:tcBorders>
              <w:top w:val="nil"/>
            </w:tcBorders>
          </w:tcPr>
          <w:p>
            <w:pPr>
              <w:rPr>
                <w:sz w:val="2"/>
                <w:szCs w:val="2"/>
              </w:rPr>
            </w:pPr>
          </w:p>
        </w:tc>
        <w:tc>
          <w:tcPr>
            <w:tcW w:w="1057" w:type="dxa"/>
          </w:tcPr>
          <w:p>
            <w:pPr>
              <w:pStyle w:val="TableParagraph"/>
              <w:spacing w:line="277" w:lineRule="exact"/>
              <w:ind w:right="169"/>
              <w:jc w:val="right"/>
              <w:rPr>
                <w:sz w:val="24"/>
              </w:rPr>
            </w:pPr>
            <w:r>
              <w:rPr>
                <w:spacing w:val="-2"/>
                <w:sz w:val="24"/>
              </w:rPr>
              <w:t>RT1.6</w:t>
            </w:r>
          </w:p>
        </w:tc>
        <w:tc>
          <w:tcPr>
            <w:tcW w:w="1260" w:type="dxa"/>
          </w:tcPr>
          <w:p>
            <w:pPr>
              <w:pStyle w:val="TableParagraph"/>
              <w:spacing w:line="242" w:lineRule="auto"/>
              <w:ind w:left="181" w:right="160"/>
              <w:rPr>
                <w:sz w:val="24"/>
              </w:rPr>
            </w:pPr>
            <w:r>
              <w:rPr>
                <w:spacing w:val="-2"/>
                <w:sz w:val="24"/>
              </w:rPr>
              <w:t>Parking </w:t>
            </w:r>
            <w:r>
              <w:rPr>
                <w:spacing w:val="-4"/>
                <w:sz w:val="24"/>
              </w:rPr>
              <w:t>Lot</w:t>
            </w:r>
          </w:p>
        </w:tc>
        <w:tc>
          <w:tcPr>
            <w:tcW w:w="2679" w:type="dxa"/>
          </w:tcPr>
          <w:p>
            <w:pPr>
              <w:pStyle w:val="TableParagraph"/>
              <w:tabs>
                <w:tab w:pos="2072" w:val="left" w:leader="none"/>
              </w:tabs>
              <w:spacing w:line="242" w:lineRule="auto"/>
              <w:ind w:left="106" w:right="148"/>
              <w:rPr>
                <w:sz w:val="24"/>
              </w:rPr>
            </w:pPr>
            <w:r>
              <w:rPr>
                <w:spacing w:val="-2"/>
                <w:sz w:val="24"/>
              </w:rPr>
              <w:t>Parking</w:t>
            </w:r>
            <w:r>
              <w:rPr>
                <w:sz w:val="24"/>
              </w:rPr>
              <w:tab/>
            </w:r>
            <w:r>
              <w:rPr>
                <w:spacing w:val="-4"/>
                <w:sz w:val="24"/>
              </w:rPr>
              <w:t>Lot, </w:t>
            </w:r>
            <w:r>
              <w:rPr>
                <w:sz w:val="24"/>
              </w:rPr>
              <w:t>Municipal Chawky</w:t>
            </w:r>
          </w:p>
        </w:tc>
        <w:tc>
          <w:tcPr>
            <w:tcW w:w="2094" w:type="dxa"/>
          </w:tcPr>
          <w:p>
            <w:pPr>
              <w:pStyle w:val="TableParagraph"/>
              <w:tabs>
                <w:tab w:pos="1056" w:val="left" w:leader="none"/>
              </w:tabs>
              <w:spacing w:line="242" w:lineRule="auto"/>
              <w:ind w:left="89" w:right="55"/>
              <w:rPr>
                <w:sz w:val="24"/>
              </w:rPr>
            </w:pPr>
            <w:r>
              <w:rPr>
                <w:spacing w:val="-4"/>
                <w:sz w:val="24"/>
              </w:rPr>
              <w:t>PSC</w:t>
            </w:r>
            <w:r>
              <w:rPr>
                <w:sz w:val="24"/>
              </w:rPr>
              <w:tab/>
            </w:r>
            <w:r>
              <w:rPr>
                <w:spacing w:val="-2"/>
                <w:sz w:val="24"/>
              </w:rPr>
              <w:t>Security Chowky</w:t>
            </w:r>
          </w:p>
        </w:tc>
        <w:tc>
          <w:tcPr>
            <w:tcW w:w="1306" w:type="dxa"/>
          </w:tcPr>
          <w:p>
            <w:pPr>
              <w:pStyle w:val="TableParagraph"/>
              <w:spacing w:line="242" w:lineRule="auto"/>
              <w:ind w:left="202" w:right="339"/>
              <w:rPr>
                <w:sz w:val="24"/>
              </w:rPr>
            </w:pPr>
            <w:r>
              <w:rPr>
                <w:sz w:val="24"/>
              </w:rPr>
              <w:t>1 or 3 </w:t>
            </w:r>
            <w:r>
              <w:rPr>
                <w:spacing w:val="-2"/>
                <w:sz w:val="24"/>
              </w:rPr>
              <w:t>Zb=10</w:t>
            </w:r>
          </w:p>
          <w:p>
            <w:pPr>
              <w:pStyle w:val="TableParagraph"/>
              <w:spacing w:line="276" w:lineRule="exact"/>
              <w:ind w:left="106"/>
              <w:rPr>
                <w:sz w:val="24"/>
              </w:rPr>
            </w:pPr>
            <w:r>
              <w:rPr>
                <w:sz w:val="24"/>
              </w:rPr>
              <w:t>In</w:t>
            </w:r>
            <w:r>
              <w:rPr>
                <w:spacing w:val="2"/>
                <w:sz w:val="24"/>
              </w:rPr>
              <w:t> </w:t>
            </w:r>
            <w:r>
              <w:rPr>
                <w:spacing w:val="-4"/>
                <w:sz w:val="24"/>
              </w:rPr>
              <w:t>case</w:t>
            </w:r>
          </w:p>
          <w:p>
            <w:pPr>
              <w:pStyle w:val="TableParagraph"/>
              <w:spacing w:line="263" w:lineRule="exact"/>
              <w:ind w:left="106"/>
              <w:rPr>
                <w:sz w:val="24"/>
              </w:rPr>
            </w:pPr>
            <w:r>
              <w:rPr>
                <w:sz w:val="24"/>
              </w:rPr>
              <w:t>of </w:t>
            </w:r>
            <w:r>
              <w:rPr>
                <w:spacing w:val="-10"/>
                <w:sz w:val="24"/>
              </w:rPr>
              <w:t>3</w:t>
            </w:r>
          </w:p>
        </w:tc>
      </w:tr>
    </w:tbl>
    <w:p>
      <w:pPr>
        <w:pStyle w:val="TableParagraph"/>
        <w:spacing w:after="0" w:line="263" w:lineRule="exact"/>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431"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rPr>
                <w:rFonts w:ascii="Times New Roman"/>
                <w:sz w:val="22"/>
              </w:rPr>
            </w:pPr>
          </w:p>
        </w:tc>
        <w:tc>
          <w:tcPr>
            <w:tcW w:w="2094" w:type="dxa"/>
          </w:tcPr>
          <w:p>
            <w:pPr>
              <w:pStyle w:val="TableParagraph"/>
              <w:rPr>
                <w:rFonts w:ascii="Times New Roman"/>
                <w:sz w:val="22"/>
              </w:rPr>
            </w:pPr>
          </w:p>
        </w:tc>
        <w:tc>
          <w:tcPr>
            <w:tcW w:w="1306" w:type="dxa"/>
          </w:tcPr>
          <w:p>
            <w:pPr>
              <w:pStyle w:val="TableParagraph"/>
              <w:spacing w:line="281" w:lineRule="exact"/>
              <w:ind w:left="106"/>
              <w:rPr>
                <w:sz w:val="24"/>
              </w:rPr>
            </w:pPr>
            <w:r>
              <w:rPr>
                <w:spacing w:val="-2"/>
                <w:sz w:val="24"/>
              </w:rPr>
              <w:t>X=125</w:t>
            </w:r>
          </w:p>
        </w:tc>
      </w:tr>
      <w:tr>
        <w:trPr>
          <w:trHeight w:val="1867" w:hRule="atLeast"/>
        </w:trPr>
        <w:tc>
          <w:tcPr>
            <w:tcW w:w="560" w:type="dxa"/>
          </w:tcPr>
          <w:p>
            <w:pPr>
              <w:pStyle w:val="TableParagraph"/>
              <w:spacing w:before="95"/>
              <w:ind w:left="40" w:right="34"/>
              <w:jc w:val="center"/>
              <w:rPr>
                <w:sz w:val="24"/>
              </w:rPr>
            </w:pPr>
            <w:r>
              <w:rPr>
                <w:spacing w:val="-5"/>
                <w:sz w:val="24"/>
              </w:rPr>
              <w:t>66</w:t>
            </w:r>
          </w:p>
          <w:p>
            <w:pPr>
              <w:pStyle w:val="TableParagraph"/>
              <w:spacing w:before="1"/>
              <w:ind w:left="40" w:right="34"/>
              <w:jc w:val="center"/>
              <w:rPr>
                <w:sz w:val="24"/>
              </w:rPr>
            </w:pPr>
            <w:r>
              <w:rPr>
                <w:spacing w:val="-10"/>
                <w:sz w:val="24"/>
              </w:rPr>
              <w:t>A</w:t>
            </w:r>
          </w:p>
        </w:tc>
        <w:tc>
          <w:tcPr>
            <w:tcW w:w="1349" w:type="dxa"/>
          </w:tcPr>
          <w:p>
            <w:pPr>
              <w:pStyle w:val="TableParagraph"/>
              <w:rPr>
                <w:rFonts w:ascii="Times New Roman"/>
                <w:sz w:val="22"/>
              </w:rPr>
            </w:pPr>
          </w:p>
        </w:tc>
        <w:tc>
          <w:tcPr>
            <w:tcW w:w="1057" w:type="dxa"/>
          </w:tcPr>
          <w:p>
            <w:pPr>
              <w:pStyle w:val="TableParagraph"/>
              <w:spacing w:before="94"/>
              <w:ind w:left="111"/>
              <w:rPr>
                <w:sz w:val="22"/>
              </w:rPr>
            </w:pPr>
            <w:r>
              <w:rPr>
                <w:spacing w:val="-2"/>
                <w:sz w:val="22"/>
              </w:rPr>
              <w:t>RT3.1</w:t>
            </w:r>
          </w:p>
        </w:tc>
        <w:tc>
          <w:tcPr>
            <w:tcW w:w="1260" w:type="dxa"/>
          </w:tcPr>
          <w:p>
            <w:pPr>
              <w:pStyle w:val="TableParagraph"/>
              <w:spacing w:before="94"/>
              <w:ind w:left="18"/>
              <w:rPr>
                <w:sz w:val="22"/>
              </w:rPr>
            </w:pPr>
            <w:r>
              <w:rPr>
                <w:spacing w:val="-2"/>
                <w:sz w:val="22"/>
              </w:rPr>
              <w:t>Metro/Mon </w:t>
            </w:r>
            <w:r>
              <w:rPr>
                <w:sz w:val="22"/>
              </w:rPr>
              <w:t>o Rail</w:t>
            </w:r>
          </w:p>
          <w:p>
            <w:pPr>
              <w:pStyle w:val="TableParagraph"/>
              <w:spacing w:line="258" w:lineRule="exact"/>
              <w:ind w:left="18"/>
              <w:rPr>
                <w:sz w:val="22"/>
              </w:rPr>
            </w:pPr>
            <w:r>
              <w:rPr>
                <w:sz w:val="22"/>
              </w:rPr>
              <w:t>Car</w:t>
            </w:r>
            <w:r>
              <w:rPr>
                <w:spacing w:val="-5"/>
                <w:sz w:val="22"/>
              </w:rPr>
              <w:t> </w:t>
            </w:r>
            <w:r>
              <w:rPr>
                <w:spacing w:val="-4"/>
                <w:sz w:val="22"/>
              </w:rPr>
              <w:t>shed</w:t>
            </w:r>
          </w:p>
        </w:tc>
        <w:tc>
          <w:tcPr>
            <w:tcW w:w="2679" w:type="dxa"/>
          </w:tcPr>
          <w:p>
            <w:pPr>
              <w:pStyle w:val="TableParagraph"/>
              <w:tabs>
                <w:tab w:pos="1884" w:val="left" w:leader="none"/>
              </w:tabs>
              <w:spacing w:before="94"/>
              <w:ind w:left="66" w:right="146"/>
              <w:jc w:val="both"/>
              <w:rPr>
                <w:sz w:val="22"/>
              </w:rPr>
            </w:pPr>
            <w:r>
              <w:rPr>
                <w:spacing w:val="-2"/>
                <w:sz w:val="22"/>
              </w:rPr>
              <w:t>Metro/Mono</w:t>
            </w:r>
            <w:r>
              <w:rPr>
                <w:spacing w:val="-16"/>
                <w:sz w:val="22"/>
              </w:rPr>
              <w:t> </w:t>
            </w:r>
            <w:r>
              <w:rPr>
                <w:spacing w:val="-2"/>
                <w:sz w:val="22"/>
              </w:rPr>
              <w:t>Car</w:t>
            </w:r>
            <w:r>
              <w:rPr>
                <w:spacing w:val="-16"/>
                <w:sz w:val="22"/>
              </w:rPr>
              <w:t> </w:t>
            </w:r>
            <w:r>
              <w:rPr>
                <w:spacing w:val="-2"/>
                <w:sz w:val="22"/>
              </w:rPr>
              <w:t>Shed, along</w:t>
            </w:r>
            <w:r>
              <w:rPr>
                <w:spacing w:val="-16"/>
                <w:sz w:val="22"/>
              </w:rPr>
              <w:t> </w:t>
            </w:r>
            <w:r>
              <w:rPr>
                <w:spacing w:val="-2"/>
                <w:sz w:val="22"/>
              </w:rPr>
              <w:t>with</w:t>
            </w:r>
            <w:r>
              <w:rPr>
                <w:spacing w:val="-16"/>
                <w:sz w:val="22"/>
              </w:rPr>
              <w:t> </w:t>
            </w:r>
            <w:r>
              <w:rPr>
                <w:spacing w:val="-2"/>
                <w:sz w:val="22"/>
              </w:rPr>
              <w:t>other</w:t>
            </w:r>
            <w:r>
              <w:rPr>
                <w:spacing w:val="-15"/>
                <w:sz w:val="22"/>
              </w:rPr>
              <w:t> </w:t>
            </w:r>
            <w:r>
              <w:rPr>
                <w:spacing w:val="-2"/>
                <w:sz w:val="22"/>
              </w:rPr>
              <w:t>uses</w:t>
            </w:r>
            <w:r>
              <w:rPr>
                <w:spacing w:val="-16"/>
                <w:sz w:val="22"/>
              </w:rPr>
              <w:t> </w:t>
            </w:r>
            <w:r>
              <w:rPr>
                <w:spacing w:val="-2"/>
                <w:sz w:val="22"/>
              </w:rPr>
              <w:t>if </w:t>
            </w:r>
            <w:r>
              <w:rPr>
                <w:sz w:val="22"/>
              </w:rPr>
              <w:t>any, such as, material </w:t>
            </w:r>
            <w:r>
              <w:rPr>
                <w:spacing w:val="-4"/>
                <w:sz w:val="22"/>
              </w:rPr>
              <w:t>Depot</w:t>
            </w:r>
            <w:r>
              <w:rPr>
                <w:sz w:val="22"/>
              </w:rPr>
              <w:tab/>
            </w:r>
            <w:r>
              <w:rPr>
                <w:spacing w:val="-2"/>
                <w:sz w:val="22"/>
              </w:rPr>
              <w:t>Store, </w:t>
            </w:r>
            <w:r>
              <w:rPr>
                <w:sz w:val="22"/>
              </w:rPr>
              <w:t>Workshop, Office.</w:t>
            </w:r>
          </w:p>
        </w:tc>
        <w:tc>
          <w:tcPr>
            <w:tcW w:w="2094" w:type="dxa"/>
          </w:tcPr>
          <w:p>
            <w:pPr>
              <w:pStyle w:val="TableParagraph"/>
              <w:tabs>
                <w:tab w:pos="838" w:val="left" w:leader="none"/>
                <w:tab w:pos="1773" w:val="left" w:leader="none"/>
              </w:tabs>
              <w:spacing w:before="94"/>
              <w:ind w:left="89"/>
              <w:rPr>
                <w:sz w:val="22"/>
              </w:rPr>
            </w:pPr>
            <w:r>
              <w:rPr>
                <w:spacing w:val="-5"/>
                <w:sz w:val="22"/>
              </w:rPr>
              <w:t>As</w:t>
            </w:r>
            <w:r>
              <w:rPr>
                <w:sz w:val="22"/>
              </w:rPr>
              <w:tab/>
            </w:r>
            <w:r>
              <w:rPr>
                <w:spacing w:val="-5"/>
                <w:sz w:val="22"/>
              </w:rPr>
              <w:t>may</w:t>
            </w:r>
            <w:r>
              <w:rPr>
                <w:sz w:val="22"/>
              </w:rPr>
              <w:tab/>
            </w:r>
            <w:r>
              <w:rPr>
                <w:spacing w:val="-7"/>
                <w:sz w:val="22"/>
              </w:rPr>
              <w:t>be</w:t>
            </w:r>
          </w:p>
          <w:p>
            <w:pPr>
              <w:pStyle w:val="TableParagraph"/>
              <w:tabs>
                <w:tab w:pos="1771" w:val="left" w:leader="none"/>
              </w:tabs>
              <w:spacing w:line="258" w:lineRule="exact" w:before="1"/>
              <w:ind w:left="89"/>
              <w:rPr>
                <w:sz w:val="22"/>
              </w:rPr>
            </w:pPr>
            <w:r>
              <w:rPr>
                <w:spacing w:val="-2"/>
                <w:sz w:val="22"/>
              </w:rPr>
              <w:t>decided</w:t>
            </w:r>
            <w:r>
              <w:rPr>
                <w:sz w:val="22"/>
              </w:rPr>
              <w:tab/>
            </w:r>
            <w:r>
              <w:rPr>
                <w:spacing w:val="-5"/>
                <w:sz w:val="22"/>
              </w:rPr>
              <w:t>by</w:t>
            </w:r>
          </w:p>
          <w:p>
            <w:pPr>
              <w:pStyle w:val="TableParagraph"/>
              <w:tabs>
                <w:tab w:pos="1804" w:val="left" w:leader="none"/>
              </w:tabs>
              <w:spacing w:line="258" w:lineRule="exact"/>
              <w:ind w:left="89"/>
              <w:rPr>
                <w:sz w:val="22"/>
              </w:rPr>
            </w:pPr>
            <w:r>
              <w:rPr>
                <w:spacing w:val="-2"/>
                <w:sz w:val="22"/>
              </w:rPr>
              <w:t>MMRDA</w:t>
            </w:r>
            <w:r>
              <w:rPr>
                <w:sz w:val="22"/>
              </w:rPr>
              <w:tab/>
            </w:r>
            <w:r>
              <w:rPr>
                <w:spacing w:val="-5"/>
                <w:sz w:val="22"/>
              </w:rPr>
              <w:t>or</w:t>
            </w:r>
          </w:p>
          <w:p>
            <w:pPr>
              <w:pStyle w:val="TableParagraph"/>
              <w:spacing w:before="1"/>
              <w:ind w:left="89" w:right="55"/>
              <w:rPr>
                <w:sz w:val="22"/>
              </w:rPr>
            </w:pPr>
            <w:r>
              <w:rPr>
                <w:spacing w:val="-2"/>
                <w:sz w:val="22"/>
              </w:rPr>
              <w:t>Appropriate Authority</w:t>
            </w:r>
          </w:p>
        </w:tc>
        <w:tc>
          <w:tcPr>
            <w:tcW w:w="1306" w:type="dxa"/>
          </w:tcPr>
          <w:p>
            <w:pPr>
              <w:pStyle w:val="TableParagraph"/>
              <w:spacing w:before="191"/>
              <w:rPr>
                <w:b/>
                <w:sz w:val="22"/>
              </w:rPr>
            </w:pPr>
          </w:p>
          <w:p>
            <w:pPr>
              <w:pStyle w:val="TableParagraph"/>
              <w:spacing w:line="328" w:lineRule="auto"/>
              <w:ind w:left="106" w:right="98" w:firstLine="350"/>
              <w:rPr>
                <w:sz w:val="22"/>
              </w:rPr>
            </w:pPr>
            <w:r>
              <w:rPr>
                <w:sz w:val="22"/>
              </w:rPr>
              <w:t>1</w:t>
            </w:r>
            <w:r>
              <w:rPr>
                <w:spacing w:val="-18"/>
                <w:sz w:val="22"/>
              </w:rPr>
              <w:t> </w:t>
            </w:r>
            <w:r>
              <w:rPr>
                <w:sz w:val="22"/>
              </w:rPr>
              <w:t>or</w:t>
            </w:r>
            <w:r>
              <w:rPr>
                <w:spacing w:val="-18"/>
                <w:sz w:val="22"/>
              </w:rPr>
              <w:t> </w:t>
            </w:r>
            <w:r>
              <w:rPr>
                <w:sz w:val="22"/>
              </w:rPr>
              <w:t>3 (Y=50 )</w:t>
            </w:r>
          </w:p>
        </w:tc>
      </w:tr>
      <w:tr>
        <w:trPr>
          <w:trHeight w:val="2253" w:hRule="atLeast"/>
        </w:trPr>
        <w:tc>
          <w:tcPr>
            <w:tcW w:w="560" w:type="dxa"/>
          </w:tcPr>
          <w:p>
            <w:pPr>
              <w:pStyle w:val="TableParagraph"/>
              <w:spacing w:line="281" w:lineRule="exact"/>
              <w:ind w:left="6" w:right="40"/>
              <w:jc w:val="center"/>
              <w:rPr>
                <w:sz w:val="24"/>
              </w:rPr>
            </w:pPr>
            <w:r>
              <w:rPr>
                <w:spacing w:val="-5"/>
                <w:sz w:val="24"/>
              </w:rPr>
              <w:t>67</w:t>
            </w:r>
          </w:p>
        </w:tc>
        <w:tc>
          <w:tcPr>
            <w:tcW w:w="1349" w:type="dxa"/>
          </w:tcPr>
          <w:p>
            <w:pPr>
              <w:pStyle w:val="TableParagraph"/>
              <w:ind w:left="105" w:right="183"/>
              <w:rPr>
                <w:sz w:val="24"/>
              </w:rPr>
            </w:pPr>
            <w:r>
              <w:rPr>
                <w:spacing w:val="-2"/>
                <w:sz w:val="24"/>
              </w:rPr>
              <w:t>Other Educatio </w:t>
            </w:r>
            <w:r>
              <w:rPr>
                <w:spacing w:val="-10"/>
                <w:sz w:val="24"/>
              </w:rPr>
              <w:t>n</w:t>
            </w:r>
          </w:p>
        </w:tc>
        <w:tc>
          <w:tcPr>
            <w:tcW w:w="1057" w:type="dxa"/>
          </w:tcPr>
          <w:p>
            <w:pPr>
              <w:pStyle w:val="TableParagraph"/>
              <w:spacing w:line="281" w:lineRule="exact"/>
              <w:ind w:right="143"/>
              <w:jc w:val="right"/>
              <w:rPr>
                <w:sz w:val="24"/>
              </w:rPr>
            </w:pPr>
            <w:r>
              <w:rPr>
                <w:spacing w:val="-2"/>
                <w:sz w:val="24"/>
              </w:rPr>
              <w:t>RE3.1</w:t>
            </w:r>
          </w:p>
        </w:tc>
        <w:tc>
          <w:tcPr>
            <w:tcW w:w="1260" w:type="dxa"/>
          </w:tcPr>
          <w:p>
            <w:pPr>
              <w:pStyle w:val="TableParagraph"/>
              <w:ind w:left="106" w:right="45"/>
              <w:rPr>
                <w:sz w:val="24"/>
              </w:rPr>
            </w:pPr>
            <w:r>
              <w:rPr>
                <w:spacing w:val="-2"/>
                <w:sz w:val="24"/>
              </w:rPr>
              <w:t>Industri </w:t>
            </w:r>
            <w:r>
              <w:rPr>
                <w:spacing w:val="-6"/>
                <w:sz w:val="24"/>
              </w:rPr>
              <w:t>al </w:t>
            </w:r>
            <w:r>
              <w:rPr>
                <w:spacing w:val="-2"/>
                <w:sz w:val="24"/>
              </w:rPr>
              <w:t>Training Institute</w:t>
            </w:r>
          </w:p>
          <w:p>
            <w:pPr>
              <w:pStyle w:val="TableParagraph"/>
              <w:ind w:left="106"/>
              <w:rPr>
                <w:sz w:val="24"/>
              </w:rPr>
            </w:pPr>
            <w:r>
              <w:rPr>
                <w:spacing w:val="-2"/>
                <w:sz w:val="24"/>
              </w:rPr>
              <w:t>/Centre</w:t>
            </w:r>
          </w:p>
        </w:tc>
        <w:tc>
          <w:tcPr>
            <w:tcW w:w="2679" w:type="dxa"/>
          </w:tcPr>
          <w:p>
            <w:pPr>
              <w:pStyle w:val="TableParagraph"/>
              <w:ind w:left="106" w:right="145"/>
              <w:jc w:val="both"/>
              <w:rPr>
                <w:sz w:val="24"/>
              </w:rPr>
            </w:pPr>
            <w:r>
              <w:rPr>
                <w:sz w:val="24"/>
              </w:rPr>
              <w:t>ITI</w:t>
            </w:r>
            <w:r>
              <w:rPr>
                <w:spacing w:val="-5"/>
                <w:sz w:val="24"/>
              </w:rPr>
              <w:t> </w:t>
            </w:r>
            <w:r>
              <w:rPr>
                <w:sz w:val="24"/>
              </w:rPr>
              <w:t>as</w:t>
            </w:r>
            <w:r>
              <w:rPr>
                <w:spacing w:val="-7"/>
                <w:sz w:val="24"/>
              </w:rPr>
              <w:t> </w:t>
            </w:r>
            <w:r>
              <w:rPr>
                <w:sz w:val="24"/>
              </w:rPr>
              <w:t>per</w:t>
            </w:r>
            <w:r>
              <w:rPr>
                <w:spacing w:val="-10"/>
                <w:sz w:val="24"/>
              </w:rPr>
              <w:t> </w:t>
            </w:r>
            <w:r>
              <w:rPr>
                <w:sz w:val="24"/>
              </w:rPr>
              <w:t>the</w:t>
            </w:r>
            <w:r>
              <w:rPr>
                <w:spacing w:val="-7"/>
                <w:sz w:val="24"/>
              </w:rPr>
              <w:t> </w:t>
            </w:r>
            <w:r>
              <w:rPr>
                <w:sz w:val="24"/>
              </w:rPr>
              <w:t>Norms prescribed by the concerned</w:t>
            </w:r>
            <w:r>
              <w:rPr>
                <w:spacing w:val="-20"/>
                <w:sz w:val="24"/>
              </w:rPr>
              <w:t> </w:t>
            </w:r>
            <w:r>
              <w:rPr>
                <w:sz w:val="24"/>
              </w:rPr>
              <w:t>Technical Authority (Inclusive of provision for required</w:t>
            </w:r>
            <w:r>
              <w:rPr>
                <w:spacing w:val="57"/>
                <w:w w:val="150"/>
                <w:sz w:val="24"/>
              </w:rPr>
              <w:t>   </w:t>
            </w:r>
            <w:r>
              <w:rPr>
                <w:spacing w:val="-2"/>
                <w:sz w:val="24"/>
              </w:rPr>
              <w:t>parking</w:t>
            </w:r>
          </w:p>
          <w:p>
            <w:pPr>
              <w:pStyle w:val="TableParagraph"/>
              <w:spacing w:line="280" w:lineRule="exact"/>
              <w:ind w:left="106" w:right="145"/>
              <w:jc w:val="both"/>
              <w:rPr>
                <w:sz w:val="24"/>
              </w:rPr>
            </w:pPr>
            <w:r>
              <w:rPr>
                <w:sz w:val="24"/>
              </w:rPr>
              <w:t>space) for </w:t>
            </w:r>
            <w:r>
              <w:rPr>
                <w:sz w:val="24"/>
              </w:rPr>
              <w:t>the designated amenity.</w:t>
            </w:r>
          </w:p>
        </w:tc>
        <w:tc>
          <w:tcPr>
            <w:tcW w:w="2094" w:type="dxa"/>
          </w:tcPr>
          <w:p>
            <w:pPr>
              <w:pStyle w:val="TableParagraph"/>
              <w:tabs>
                <w:tab w:pos="1491" w:val="left" w:leader="none"/>
              </w:tabs>
              <w:ind w:left="89" w:right="57"/>
              <w:rPr>
                <w:sz w:val="24"/>
              </w:rPr>
            </w:pPr>
            <w:r>
              <w:rPr>
                <w:sz w:val="24"/>
              </w:rPr>
              <w:t>Art and </w:t>
            </w:r>
            <w:r>
              <w:rPr>
                <w:sz w:val="24"/>
              </w:rPr>
              <w:t>culture, </w:t>
            </w:r>
            <w:r>
              <w:rPr>
                <w:spacing w:val="-2"/>
                <w:sz w:val="24"/>
              </w:rPr>
              <w:t>Cafeteria, Canteen,</w:t>
            </w:r>
            <w:r>
              <w:rPr>
                <w:sz w:val="24"/>
              </w:rPr>
              <w:tab/>
            </w:r>
            <w:r>
              <w:rPr>
                <w:spacing w:val="-4"/>
                <w:sz w:val="24"/>
              </w:rPr>
              <w:t>ATM </w:t>
            </w:r>
            <w:r>
              <w:rPr>
                <w:sz w:val="24"/>
              </w:rPr>
              <w:t>of a Bank</w:t>
            </w:r>
          </w:p>
        </w:tc>
        <w:tc>
          <w:tcPr>
            <w:tcW w:w="1306" w:type="dxa"/>
          </w:tcPr>
          <w:p>
            <w:pPr>
              <w:pStyle w:val="TableParagraph"/>
              <w:ind w:left="106" w:right="435"/>
              <w:rPr>
                <w:sz w:val="24"/>
              </w:rPr>
            </w:pPr>
            <w:r>
              <w:rPr>
                <w:sz w:val="24"/>
              </w:rPr>
              <w:t>1 or 3 </w:t>
            </w:r>
            <w:r>
              <w:rPr>
                <w:spacing w:val="-2"/>
                <w:sz w:val="24"/>
              </w:rPr>
              <w:t>Zb=10</w:t>
            </w:r>
          </w:p>
          <w:p>
            <w:pPr>
              <w:pStyle w:val="TableParagraph"/>
              <w:ind w:left="106" w:right="90"/>
              <w:rPr>
                <w:sz w:val="24"/>
              </w:rPr>
            </w:pPr>
            <w:r>
              <w:rPr>
                <w:sz w:val="24"/>
              </w:rPr>
              <w:t>In</w:t>
            </w:r>
            <w:r>
              <w:rPr>
                <w:spacing w:val="-20"/>
                <w:sz w:val="24"/>
              </w:rPr>
              <w:t> </w:t>
            </w:r>
            <w:r>
              <w:rPr>
                <w:sz w:val="24"/>
              </w:rPr>
              <w:t>case</w:t>
            </w:r>
            <w:r>
              <w:rPr>
                <w:spacing w:val="-19"/>
                <w:sz w:val="24"/>
              </w:rPr>
              <w:t> </w:t>
            </w:r>
            <w:r>
              <w:rPr>
                <w:sz w:val="24"/>
              </w:rPr>
              <w:t>of </w:t>
            </w:r>
            <w:r>
              <w:rPr>
                <w:spacing w:val="-10"/>
                <w:sz w:val="24"/>
              </w:rPr>
              <w:t>3</w:t>
            </w:r>
          </w:p>
          <w:p>
            <w:pPr>
              <w:pStyle w:val="TableParagraph"/>
              <w:numPr>
                <w:ilvl w:val="0"/>
                <w:numId w:val="85"/>
              </w:numPr>
              <w:tabs>
                <w:tab w:pos="357" w:val="left" w:leader="none"/>
              </w:tabs>
              <w:spacing w:line="281" w:lineRule="exact" w:before="0" w:after="0"/>
              <w:ind w:left="357" w:right="0" w:hanging="251"/>
              <w:jc w:val="left"/>
              <w:rPr>
                <w:sz w:val="24"/>
              </w:rPr>
            </w:pPr>
            <w:r>
              <w:rPr>
                <w:spacing w:val="-5"/>
                <w:sz w:val="24"/>
              </w:rPr>
              <w:t>X=</w:t>
            </w:r>
          </w:p>
          <w:p>
            <w:pPr>
              <w:pStyle w:val="TableParagraph"/>
              <w:spacing w:line="281" w:lineRule="exact"/>
              <w:ind w:left="358"/>
              <w:rPr>
                <w:sz w:val="24"/>
              </w:rPr>
            </w:pPr>
            <w:r>
              <w:rPr>
                <w:spacing w:val="-4"/>
                <w:sz w:val="24"/>
              </w:rPr>
              <w:t>50=%</w:t>
            </w:r>
          </w:p>
          <w:p>
            <w:pPr>
              <w:pStyle w:val="TableParagraph"/>
              <w:numPr>
                <w:ilvl w:val="0"/>
                <w:numId w:val="85"/>
              </w:numPr>
              <w:tabs>
                <w:tab w:pos="357" w:val="left" w:leader="none"/>
              </w:tabs>
              <w:spacing w:line="240" w:lineRule="auto" w:before="1" w:after="0"/>
              <w:ind w:left="357" w:right="0" w:hanging="251"/>
              <w:jc w:val="left"/>
              <w:rPr>
                <w:sz w:val="24"/>
              </w:rPr>
            </w:pPr>
            <w:r>
              <w:rPr>
                <w:spacing w:val="-2"/>
                <w:sz w:val="24"/>
              </w:rPr>
              <w:t>Y=40%</w:t>
            </w:r>
          </w:p>
        </w:tc>
      </w:tr>
      <w:tr>
        <w:trPr>
          <w:trHeight w:val="1550" w:hRule="atLeast"/>
        </w:trPr>
        <w:tc>
          <w:tcPr>
            <w:tcW w:w="560" w:type="dxa"/>
          </w:tcPr>
          <w:p>
            <w:pPr>
              <w:pStyle w:val="TableParagraph"/>
              <w:spacing w:before="1"/>
              <w:ind w:left="6" w:right="40"/>
              <w:jc w:val="center"/>
              <w:rPr>
                <w:sz w:val="24"/>
              </w:rPr>
            </w:pPr>
            <w:r>
              <w:rPr>
                <w:spacing w:val="-5"/>
                <w:sz w:val="24"/>
              </w:rPr>
              <w:t>68</w:t>
            </w:r>
          </w:p>
        </w:tc>
        <w:tc>
          <w:tcPr>
            <w:tcW w:w="1349" w:type="dxa"/>
          </w:tcPr>
          <w:p>
            <w:pPr>
              <w:pStyle w:val="TableParagraph"/>
              <w:spacing w:before="1"/>
              <w:ind w:left="105" w:right="183" w:firstLine="76"/>
              <w:rPr>
                <w:sz w:val="24"/>
              </w:rPr>
            </w:pPr>
            <w:r>
              <w:rPr>
                <w:spacing w:val="-2"/>
                <w:sz w:val="24"/>
              </w:rPr>
              <w:t>Higher Educatio </w:t>
            </w:r>
            <w:r>
              <w:rPr>
                <w:spacing w:val="-10"/>
                <w:sz w:val="24"/>
              </w:rPr>
              <w:t>n</w:t>
            </w:r>
          </w:p>
        </w:tc>
        <w:tc>
          <w:tcPr>
            <w:tcW w:w="1057" w:type="dxa"/>
          </w:tcPr>
          <w:p>
            <w:pPr>
              <w:pStyle w:val="TableParagraph"/>
              <w:spacing w:before="1"/>
              <w:ind w:right="143"/>
              <w:jc w:val="right"/>
              <w:rPr>
                <w:sz w:val="24"/>
              </w:rPr>
            </w:pPr>
            <w:r>
              <w:rPr>
                <w:spacing w:val="-2"/>
                <w:sz w:val="24"/>
              </w:rPr>
              <w:t>RE2.1</w:t>
            </w:r>
          </w:p>
        </w:tc>
        <w:tc>
          <w:tcPr>
            <w:tcW w:w="1260" w:type="dxa"/>
          </w:tcPr>
          <w:p>
            <w:pPr>
              <w:pStyle w:val="TableParagraph"/>
              <w:tabs>
                <w:tab w:pos="955" w:val="left" w:leader="none"/>
              </w:tabs>
              <w:spacing w:before="1"/>
              <w:ind w:left="181" w:right="96"/>
              <w:rPr>
                <w:sz w:val="22"/>
              </w:rPr>
            </w:pPr>
            <w:r>
              <w:rPr>
                <w:spacing w:val="-2"/>
                <w:sz w:val="22"/>
              </w:rPr>
              <w:t>National </w:t>
            </w:r>
            <w:r>
              <w:rPr>
                <w:spacing w:val="-4"/>
                <w:sz w:val="22"/>
              </w:rPr>
              <w:t>Law </w:t>
            </w:r>
            <w:r>
              <w:rPr>
                <w:spacing w:val="-2"/>
                <w:sz w:val="22"/>
              </w:rPr>
              <w:t>Universi </w:t>
            </w:r>
            <w:r>
              <w:rPr>
                <w:spacing w:val="-5"/>
                <w:sz w:val="22"/>
              </w:rPr>
              <w:t>ty</w:t>
            </w:r>
            <w:r>
              <w:rPr>
                <w:sz w:val="22"/>
              </w:rPr>
              <w:tab/>
            </w:r>
            <w:r>
              <w:rPr>
                <w:spacing w:val="-5"/>
                <w:sz w:val="22"/>
              </w:rPr>
              <w:t>of</w:t>
            </w:r>
          </w:p>
          <w:p>
            <w:pPr>
              <w:pStyle w:val="TableParagraph"/>
              <w:spacing w:line="258" w:lineRule="exact"/>
              <w:ind w:left="181"/>
              <w:rPr>
                <w:sz w:val="22"/>
              </w:rPr>
            </w:pPr>
            <w:r>
              <w:rPr>
                <w:spacing w:val="-2"/>
                <w:sz w:val="22"/>
              </w:rPr>
              <w:t>Maharas</w:t>
            </w:r>
          </w:p>
          <w:p>
            <w:pPr>
              <w:pStyle w:val="TableParagraph"/>
              <w:spacing w:line="238" w:lineRule="exact" w:before="1"/>
              <w:ind w:left="181"/>
              <w:rPr>
                <w:sz w:val="22"/>
              </w:rPr>
            </w:pPr>
            <w:r>
              <w:rPr>
                <w:spacing w:val="-4"/>
                <w:sz w:val="22"/>
              </w:rPr>
              <w:t>htra</w:t>
            </w:r>
          </w:p>
        </w:tc>
        <w:tc>
          <w:tcPr>
            <w:tcW w:w="2679" w:type="dxa"/>
          </w:tcPr>
          <w:p>
            <w:pPr>
              <w:pStyle w:val="TableParagraph"/>
              <w:spacing w:before="1"/>
              <w:ind w:left="106"/>
              <w:rPr>
                <w:sz w:val="22"/>
              </w:rPr>
            </w:pPr>
            <w:r>
              <w:rPr>
                <w:sz w:val="22"/>
              </w:rPr>
              <w:t>Education</w:t>
            </w:r>
            <w:r>
              <w:rPr>
                <w:spacing w:val="-12"/>
                <w:sz w:val="22"/>
              </w:rPr>
              <w:t> </w:t>
            </w:r>
            <w:r>
              <w:rPr>
                <w:spacing w:val="-4"/>
                <w:sz w:val="22"/>
              </w:rPr>
              <w:t>etc.</w:t>
            </w:r>
          </w:p>
        </w:tc>
        <w:tc>
          <w:tcPr>
            <w:tcW w:w="2094" w:type="dxa"/>
          </w:tcPr>
          <w:p>
            <w:pPr>
              <w:pStyle w:val="TableParagraph"/>
              <w:tabs>
                <w:tab w:pos="1681" w:val="left" w:leader="none"/>
              </w:tabs>
              <w:spacing w:line="258" w:lineRule="exact" w:before="1"/>
              <w:ind w:left="89"/>
              <w:rPr>
                <w:sz w:val="22"/>
              </w:rPr>
            </w:pPr>
            <w:r>
              <w:rPr>
                <w:spacing w:val="-5"/>
                <w:sz w:val="22"/>
              </w:rPr>
              <w:t>As</w:t>
            </w:r>
            <w:r>
              <w:rPr>
                <w:sz w:val="22"/>
              </w:rPr>
              <w:tab/>
            </w:r>
            <w:r>
              <w:rPr>
                <w:spacing w:val="-5"/>
                <w:sz w:val="22"/>
              </w:rPr>
              <w:t>per</w:t>
            </w:r>
          </w:p>
          <w:p>
            <w:pPr>
              <w:pStyle w:val="TableParagraph"/>
              <w:tabs>
                <w:tab w:pos="1235" w:val="left" w:leader="none"/>
                <w:tab w:pos="1659" w:val="left" w:leader="none"/>
              </w:tabs>
              <w:ind w:left="89" w:right="58"/>
              <w:rPr>
                <w:sz w:val="22"/>
              </w:rPr>
            </w:pPr>
            <w:r>
              <w:rPr>
                <w:spacing w:val="-2"/>
                <w:sz w:val="22"/>
              </w:rPr>
              <w:t>requirement ancillary</w:t>
            </w:r>
            <w:r>
              <w:rPr>
                <w:sz w:val="22"/>
              </w:rPr>
              <w:tab/>
            </w:r>
            <w:r>
              <w:rPr>
                <w:spacing w:val="-6"/>
                <w:sz w:val="22"/>
              </w:rPr>
              <w:t>to</w:t>
            </w:r>
            <w:r>
              <w:rPr>
                <w:sz w:val="22"/>
              </w:rPr>
              <w:tab/>
            </w:r>
            <w:r>
              <w:rPr>
                <w:spacing w:val="-4"/>
                <w:sz w:val="22"/>
              </w:rPr>
              <w:t>law </w:t>
            </w:r>
            <w:r>
              <w:rPr>
                <w:spacing w:val="-2"/>
                <w:sz w:val="22"/>
              </w:rPr>
              <w:t>University</w:t>
            </w:r>
          </w:p>
        </w:tc>
        <w:tc>
          <w:tcPr>
            <w:tcW w:w="1306" w:type="dxa"/>
          </w:tcPr>
          <w:p>
            <w:pPr>
              <w:pStyle w:val="TableParagraph"/>
              <w:spacing w:line="258" w:lineRule="exact" w:before="1"/>
              <w:ind w:left="106"/>
              <w:rPr>
                <w:sz w:val="22"/>
              </w:rPr>
            </w:pPr>
            <w:r>
              <w:rPr>
                <w:sz w:val="22"/>
              </w:rPr>
              <w:t>1</w:t>
            </w:r>
            <w:r>
              <w:rPr>
                <w:spacing w:val="-1"/>
                <w:sz w:val="22"/>
              </w:rPr>
              <w:t> </w:t>
            </w:r>
            <w:r>
              <w:rPr>
                <w:sz w:val="22"/>
              </w:rPr>
              <w:t>or</w:t>
            </w:r>
            <w:r>
              <w:rPr>
                <w:spacing w:val="-2"/>
                <w:sz w:val="22"/>
              </w:rPr>
              <w:t> </w:t>
            </w:r>
            <w:r>
              <w:rPr>
                <w:spacing w:val="-10"/>
                <w:sz w:val="22"/>
              </w:rPr>
              <w:t>3</w:t>
            </w:r>
          </w:p>
          <w:p>
            <w:pPr>
              <w:pStyle w:val="TableParagraph"/>
              <w:spacing w:line="258" w:lineRule="exact"/>
              <w:ind w:left="106"/>
              <w:rPr>
                <w:sz w:val="22"/>
              </w:rPr>
            </w:pPr>
            <w:r>
              <w:rPr>
                <w:sz w:val="22"/>
              </w:rPr>
              <w:t>(Y=</w:t>
            </w:r>
            <w:r>
              <w:rPr>
                <w:spacing w:val="-5"/>
                <w:sz w:val="22"/>
              </w:rPr>
              <w:t> 50)</w:t>
            </w:r>
          </w:p>
        </w:tc>
      </w:tr>
    </w:tbl>
    <w:p>
      <w:pPr>
        <w:spacing w:before="1"/>
        <w:ind w:left="1080" w:right="0" w:firstLine="0"/>
        <w:jc w:val="left"/>
        <w:rPr>
          <w:b/>
          <w:sz w:val="24"/>
        </w:rPr>
      </w:pPr>
      <w:r>
        <w:rPr>
          <w:b/>
          <w:sz w:val="24"/>
        </w:rPr>
        <w:t>Note:</w:t>
      </w:r>
      <w:r>
        <w:rPr>
          <w:b/>
          <w:spacing w:val="-1"/>
          <w:sz w:val="24"/>
        </w:rPr>
        <w:t> </w:t>
      </w:r>
      <w:r>
        <w:rPr>
          <w:b/>
          <w:spacing w:val="-10"/>
          <w:sz w:val="24"/>
        </w:rPr>
        <w:t>-</w:t>
      </w:r>
    </w:p>
    <w:p>
      <w:pPr>
        <w:pStyle w:val="ListParagraph"/>
        <w:numPr>
          <w:ilvl w:val="0"/>
          <w:numId w:val="86"/>
        </w:numPr>
        <w:tabs>
          <w:tab w:pos="1799" w:val="left" w:leader="none"/>
        </w:tabs>
        <w:spacing w:line="240" w:lineRule="auto" w:before="201" w:after="0"/>
        <w:ind w:left="1260" w:right="1081" w:firstLine="0"/>
        <w:jc w:val="both"/>
        <w:rPr>
          <w:sz w:val="24"/>
        </w:rPr>
      </w:pPr>
      <w:r>
        <w:rPr>
          <w:sz w:val="24"/>
        </w:rPr>
        <w:t>a) The plot area to be handed over to MCGM/Appropriate Authority under AR shall</w:t>
      </w:r>
      <w:r>
        <w:rPr>
          <w:spacing w:val="40"/>
          <w:sz w:val="24"/>
        </w:rPr>
        <w:t> </w:t>
      </w:r>
      <w:r>
        <w:rPr>
          <w:sz w:val="24"/>
        </w:rPr>
        <w:t>be deducted from the</w:t>
      </w:r>
      <w:r>
        <w:rPr>
          <w:spacing w:val="40"/>
          <w:sz w:val="24"/>
        </w:rPr>
        <w:t> </w:t>
      </w:r>
      <w:r>
        <w:rPr>
          <w:sz w:val="24"/>
        </w:rPr>
        <w:t>plot area for the purpose of calculation of full permissible BUA under these regulations</w:t>
      </w:r>
      <w:r>
        <w:rPr>
          <w:spacing w:val="40"/>
          <w:sz w:val="24"/>
        </w:rPr>
        <w:t> </w:t>
      </w:r>
      <w:r>
        <w:rPr>
          <w:sz w:val="24"/>
        </w:rPr>
        <w:t>) except in respect of proposal processed under Regulation No </w:t>
      </w:r>
      <w:r>
        <w:rPr>
          <w:spacing w:val="7"/>
          <w:sz w:val="24"/>
        </w:rPr>
        <w:t>33(5),33(7),33(7)(A),33(8),33(9),33(9)(A),33(9)(B),33(10),33(10)(A),33(2</w:t>
      </w:r>
    </w:p>
    <w:p>
      <w:pPr>
        <w:pStyle w:val="BodyText"/>
        <w:ind w:left="1260" w:right="1094"/>
      </w:pPr>
      <w:r>
        <w:rPr/>
        <w:t>0)(A), 33(21).b) The BUA handed over to MCGM shall be free of FSI and balance plot</w:t>
      </w:r>
      <w:r>
        <w:rPr>
          <w:spacing w:val="80"/>
        </w:rPr>
        <w:t> </w:t>
      </w:r>
      <w:r>
        <w:rPr/>
        <w:t>will be allowed to be developed as per these Regulations, without</w:t>
      </w:r>
      <w:r>
        <w:rPr>
          <w:spacing w:val="40"/>
        </w:rPr>
        <w:t> </w:t>
      </w:r>
      <w:r>
        <w:rPr/>
        <w:t>taking</w:t>
      </w:r>
      <w:r>
        <w:rPr>
          <w:spacing w:val="40"/>
        </w:rPr>
        <w:t> </w:t>
      </w:r>
      <w:r>
        <w:rPr/>
        <w:t>into</w:t>
      </w:r>
      <w:r>
        <w:rPr>
          <w:spacing w:val="40"/>
        </w:rPr>
        <w:t> </w:t>
      </w:r>
      <w:r>
        <w:rPr/>
        <w:t>account</w:t>
      </w:r>
      <w:r>
        <w:rPr>
          <w:spacing w:val="40"/>
        </w:rPr>
        <w:t> </w:t>
      </w:r>
      <w:r>
        <w:rPr/>
        <w:t>said</w:t>
      </w:r>
      <w:r>
        <w:rPr>
          <w:spacing w:val="40"/>
        </w:rPr>
        <w:t> </w:t>
      </w:r>
      <w:r>
        <w:rPr/>
        <w:t>BUA</w:t>
      </w:r>
      <w:r>
        <w:rPr>
          <w:spacing w:val="40"/>
        </w:rPr>
        <w:t> </w:t>
      </w:r>
      <w:r>
        <w:rPr/>
        <w:t>so</w:t>
      </w:r>
      <w:r>
        <w:rPr>
          <w:spacing w:val="40"/>
        </w:rPr>
        <w:t> </w:t>
      </w:r>
      <w:r>
        <w:rPr/>
        <w:t>handed</w:t>
      </w:r>
      <w:r>
        <w:rPr>
          <w:spacing w:val="40"/>
        </w:rPr>
        <w:t> </w:t>
      </w:r>
      <w:r>
        <w:rPr/>
        <w:t>over</w:t>
      </w:r>
    </w:p>
    <w:p>
      <w:pPr>
        <w:pStyle w:val="ListParagraph"/>
        <w:numPr>
          <w:ilvl w:val="0"/>
          <w:numId w:val="87"/>
        </w:numPr>
        <w:tabs>
          <w:tab w:pos="1474" w:val="left" w:leader="none"/>
        </w:tabs>
        <w:spacing w:line="240" w:lineRule="auto" w:before="199" w:after="0"/>
        <w:ind w:left="1260" w:right="1092" w:firstLine="0"/>
        <w:jc w:val="both"/>
        <w:rPr>
          <w:sz w:val="24"/>
        </w:rPr>
      </w:pPr>
      <w:r>
        <w:rPr>
          <w:sz w:val="24"/>
        </w:rPr>
        <w:t>BUA</w:t>
      </w:r>
      <w:r>
        <w:rPr>
          <w:spacing w:val="40"/>
          <w:sz w:val="24"/>
        </w:rPr>
        <w:t> </w:t>
      </w:r>
      <w:r>
        <w:rPr>
          <w:sz w:val="24"/>
        </w:rPr>
        <w:t>of</w:t>
      </w:r>
      <w:r>
        <w:rPr>
          <w:spacing w:val="40"/>
          <w:sz w:val="24"/>
        </w:rPr>
        <w:t> </w:t>
      </w:r>
      <w:r>
        <w:rPr>
          <w:sz w:val="24"/>
        </w:rPr>
        <w:t>staircase,</w:t>
      </w:r>
      <w:r>
        <w:rPr>
          <w:spacing w:val="40"/>
          <w:sz w:val="24"/>
        </w:rPr>
        <w:t> </w:t>
      </w:r>
      <w:r>
        <w:rPr>
          <w:sz w:val="24"/>
        </w:rPr>
        <w:t>lift</w:t>
      </w:r>
      <w:r>
        <w:rPr>
          <w:spacing w:val="40"/>
          <w:sz w:val="24"/>
        </w:rPr>
        <w:t> </w:t>
      </w:r>
      <w:r>
        <w:rPr>
          <w:sz w:val="24"/>
        </w:rPr>
        <w:t>&amp;lift</w:t>
      </w:r>
      <w:r>
        <w:rPr>
          <w:spacing w:val="40"/>
          <w:sz w:val="24"/>
        </w:rPr>
        <w:t> </w:t>
      </w:r>
      <w:r>
        <w:rPr>
          <w:sz w:val="24"/>
        </w:rPr>
        <w:t>lobby</w:t>
      </w:r>
      <w:r>
        <w:rPr>
          <w:spacing w:val="40"/>
          <w:sz w:val="24"/>
        </w:rPr>
        <w:t> </w:t>
      </w:r>
      <w:r>
        <w:rPr>
          <w:sz w:val="24"/>
        </w:rPr>
        <w:t>and</w:t>
      </w:r>
      <w:r>
        <w:rPr>
          <w:spacing w:val="40"/>
          <w:sz w:val="24"/>
        </w:rPr>
        <w:t> </w:t>
      </w:r>
      <w:r>
        <w:rPr>
          <w:sz w:val="24"/>
        </w:rPr>
        <w:t>BUA</w:t>
      </w:r>
      <w:r>
        <w:rPr>
          <w:spacing w:val="40"/>
          <w:sz w:val="24"/>
        </w:rPr>
        <w:t> </w:t>
      </w:r>
      <w:r>
        <w:rPr>
          <w:sz w:val="24"/>
        </w:rPr>
        <w:t>permissible</w:t>
      </w:r>
      <w:r>
        <w:rPr>
          <w:spacing w:val="40"/>
          <w:sz w:val="24"/>
        </w:rPr>
        <w:t> </w:t>
      </w:r>
      <w:r>
        <w:rPr>
          <w:sz w:val="24"/>
        </w:rPr>
        <w:t>free</w:t>
      </w:r>
      <w:r>
        <w:rPr>
          <w:spacing w:val="40"/>
          <w:sz w:val="24"/>
        </w:rPr>
        <w:t> </w:t>
      </w:r>
      <w:r>
        <w:rPr>
          <w:sz w:val="24"/>
        </w:rPr>
        <w:t>of</w:t>
      </w:r>
      <w:r>
        <w:rPr>
          <w:spacing w:val="40"/>
          <w:sz w:val="24"/>
        </w:rPr>
        <w:t> </w:t>
      </w:r>
      <w:r>
        <w:rPr>
          <w:sz w:val="24"/>
        </w:rPr>
        <w:t>FSI</w:t>
      </w:r>
      <w:r>
        <w:rPr>
          <w:spacing w:val="40"/>
          <w:sz w:val="24"/>
        </w:rPr>
        <w:t> </w:t>
      </w:r>
      <w:r>
        <w:rPr>
          <w:sz w:val="24"/>
        </w:rPr>
        <w:t>as per</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Regulation</w:t>
      </w:r>
      <w:r>
        <w:rPr>
          <w:spacing w:val="40"/>
          <w:sz w:val="24"/>
        </w:rPr>
        <w:t> </w:t>
      </w:r>
      <w:r>
        <w:rPr>
          <w:sz w:val="24"/>
        </w:rPr>
        <w:t>no</w:t>
      </w:r>
      <w:r>
        <w:rPr>
          <w:spacing w:val="40"/>
          <w:sz w:val="24"/>
        </w:rPr>
        <w:t> </w:t>
      </w:r>
      <w:r>
        <w:rPr>
          <w:sz w:val="24"/>
        </w:rPr>
        <w:t>31(1)</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counted</w:t>
      </w:r>
      <w:r>
        <w:rPr>
          <w:spacing w:val="40"/>
          <w:sz w:val="24"/>
        </w:rPr>
        <w:t> </w:t>
      </w:r>
      <w:r>
        <w:rPr>
          <w:sz w:val="24"/>
        </w:rPr>
        <w:t>in</w:t>
      </w:r>
      <w:r>
        <w:rPr>
          <w:spacing w:val="40"/>
          <w:sz w:val="24"/>
        </w:rPr>
        <w:t> </w:t>
      </w:r>
      <w:r>
        <w:rPr>
          <w:sz w:val="24"/>
        </w:rPr>
        <w:t>BUA to be handed over to MCGM and the same shall be without charging premium</w:t>
      </w:r>
      <w:r>
        <w:rPr>
          <w:spacing w:val="40"/>
          <w:sz w:val="24"/>
        </w:rPr>
        <w:t> </w:t>
      </w:r>
      <w:r>
        <w:rPr>
          <w:sz w:val="24"/>
        </w:rPr>
        <w:t>for</w:t>
      </w:r>
      <w:r>
        <w:rPr>
          <w:spacing w:val="40"/>
          <w:sz w:val="24"/>
        </w:rPr>
        <w:t> </w:t>
      </w:r>
      <w:r>
        <w:rPr>
          <w:sz w:val="24"/>
        </w:rPr>
        <w:t>the</w:t>
      </w:r>
      <w:r>
        <w:rPr>
          <w:spacing w:val="40"/>
          <w:sz w:val="24"/>
        </w:rPr>
        <w:t> </w:t>
      </w:r>
      <w:r>
        <w:rPr>
          <w:sz w:val="24"/>
        </w:rPr>
        <w:t>provision</w:t>
      </w:r>
      <w:r>
        <w:rPr>
          <w:spacing w:val="40"/>
          <w:sz w:val="24"/>
        </w:rPr>
        <w:t> </w:t>
      </w:r>
      <w:r>
        <w:rPr>
          <w:sz w:val="24"/>
        </w:rPr>
        <w:t>of</w:t>
      </w:r>
      <w:r>
        <w:rPr>
          <w:spacing w:val="40"/>
          <w:sz w:val="24"/>
        </w:rPr>
        <w:t> </w:t>
      </w:r>
      <w:r>
        <w:rPr>
          <w:sz w:val="24"/>
        </w:rPr>
        <w:t>built</w:t>
      </w:r>
      <w:r>
        <w:rPr>
          <w:spacing w:val="40"/>
          <w:sz w:val="24"/>
        </w:rPr>
        <w:t> </w:t>
      </w:r>
      <w:r>
        <w:rPr>
          <w:sz w:val="24"/>
        </w:rPr>
        <w:t>up</w:t>
      </w:r>
      <w:r>
        <w:rPr>
          <w:spacing w:val="40"/>
          <w:sz w:val="24"/>
        </w:rPr>
        <w:t> </w:t>
      </w:r>
      <w:r>
        <w:rPr>
          <w:sz w:val="24"/>
        </w:rPr>
        <w:t>amenity</w:t>
      </w:r>
      <w:r>
        <w:rPr>
          <w:spacing w:val="40"/>
          <w:sz w:val="24"/>
        </w:rPr>
        <w:t> </w:t>
      </w:r>
      <w:r>
        <w:rPr>
          <w:sz w:val="24"/>
        </w:rPr>
        <w:t>under</w:t>
      </w:r>
      <w:r>
        <w:rPr>
          <w:spacing w:val="40"/>
          <w:sz w:val="24"/>
        </w:rPr>
        <w:t> </w:t>
      </w:r>
      <w:r>
        <w:rPr>
          <w:sz w:val="24"/>
        </w:rPr>
        <w:t>AR.</w:t>
      </w:r>
    </w:p>
    <w:p>
      <w:pPr>
        <w:pStyle w:val="ListParagraph"/>
        <w:numPr>
          <w:ilvl w:val="0"/>
          <w:numId w:val="87"/>
        </w:numPr>
        <w:tabs>
          <w:tab w:pos="1609" w:val="left" w:leader="none"/>
        </w:tabs>
        <w:spacing w:line="240" w:lineRule="auto" w:before="201" w:after="0"/>
        <w:ind w:left="1260" w:right="1092" w:firstLine="0"/>
        <w:jc w:val="both"/>
        <w:rPr>
          <w:sz w:val="24"/>
        </w:rPr>
      </w:pPr>
      <w:r>
        <w:rPr>
          <w:sz w:val="24"/>
        </w:rPr>
        <w:t>The</w:t>
      </w:r>
      <w:r>
        <w:rPr>
          <w:spacing w:val="40"/>
          <w:sz w:val="24"/>
        </w:rPr>
        <w:t> </w:t>
      </w:r>
      <w:r>
        <w:rPr>
          <w:sz w:val="24"/>
        </w:rPr>
        <w:t>developer/owner</w:t>
      </w:r>
      <w:r>
        <w:rPr>
          <w:spacing w:val="40"/>
          <w:sz w:val="24"/>
        </w:rPr>
        <w:t> </w:t>
      </w:r>
      <w:r>
        <w:rPr>
          <w:sz w:val="24"/>
        </w:rPr>
        <w:t>shall</w:t>
      </w:r>
      <w:r>
        <w:rPr>
          <w:spacing w:val="40"/>
          <w:sz w:val="24"/>
        </w:rPr>
        <w:t> </w:t>
      </w:r>
      <w:r>
        <w:rPr>
          <w:sz w:val="24"/>
        </w:rPr>
        <w:t>be</w:t>
      </w:r>
      <w:r>
        <w:rPr>
          <w:spacing w:val="40"/>
          <w:sz w:val="24"/>
        </w:rPr>
        <w:t> </w:t>
      </w:r>
      <w:r>
        <w:rPr>
          <w:spacing w:val="9"/>
          <w:sz w:val="24"/>
        </w:rPr>
        <w:t>entitled</w:t>
      </w:r>
      <w:r>
        <w:rPr>
          <w:spacing w:val="40"/>
          <w:sz w:val="24"/>
        </w:rPr>
        <w:t> </w:t>
      </w:r>
      <w:r>
        <w:rPr>
          <w:sz w:val="24"/>
        </w:rPr>
        <w:t>for</w:t>
      </w:r>
      <w:r>
        <w:rPr>
          <w:spacing w:val="40"/>
          <w:sz w:val="24"/>
        </w:rPr>
        <w:t> </w:t>
      </w:r>
      <w:r>
        <w:rPr>
          <w:sz w:val="24"/>
        </w:rPr>
        <w:t>the</w:t>
      </w:r>
      <w:r>
        <w:rPr>
          <w:spacing w:val="40"/>
          <w:sz w:val="24"/>
        </w:rPr>
        <w:t> </w:t>
      </w:r>
      <w:r>
        <w:rPr>
          <w:sz w:val="24"/>
        </w:rPr>
        <w:t>BUA/TDR</w:t>
      </w:r>
      <w:r>
        <w:rPr>
          <w:spacing w:val="40"/>
          <w:sz w:val="24"/>
        </w:rPr>
        <w:t> </w:t>
      </w:r>
      <w:r>
        <w:rPr>
          <w:sz w:val="24"/>
        </w:rPr>
        <w:t>in</w:t>
      </w:r>
      <w:r>
        <w:rPr>
          <w:spacing w:val="40"/>
          <w:sz w:val="24"/>
        </w:rPr>
        <w:t> </w:t>
      </w:r>
      <w:r>
        <w:rPr>
          <w:sz w:val="24"/>
        </w:rPr>
        <w:t>lieu</w:t>
      </w:r>
      <w:r>
        <w:rPr>
          <w:spacing w:val="40"/>
          <w:sz w:val="24"/>
        </w:rPr>
        <w:t> </w:t>
      </w:r>
      <w:r>
        <w:rPr>
          <w:sz w:val="24"/>
        </w:rPr>
        <w:t>of cost</w:t>
      </w:r>
      <w:r>
        <w:rPr>
          <w:spacing w:val="40"/>
          <w:sz w:val="24"/>
        </w:rPr>
        <w:t> </w:t>
      </w:r>
      <w:r>
        <w:rPr>
          <w:sz w:val="24"/>
        </w:rPr>
        <w:t>of</w:t>
      </w:r>
      <w:r>
        <w:rPr>
          <w:spacing w:val="40"/>
          <w:sz w:val="24"/>
        </w:rPr>
        <w:t> </w:t>
      </w:r>
      <w:r>
        <w:rPr>
          <w:sz w:val="24"/>
        </w:rPr>
        <w:t>construction</w:t>
      </w:r>
      <w:r>
        <w:rPr>
          <w:spacing w:val="40"/>
          <w:sz w:val="24"/>
        </w:rPr>
        <w:t> </w:t>
      </w:r>
      <w:r>
        <w:rPr>
          <w:sz w:val="24"/>
        </w:rPr>
        <w:t>of</w:t>
      </w:r>
      <w:r>
        <w:rPr>
          <w:spacing w:val="40"/>
          <w:sz w:val="24"/>
        </w:rPr>
        <w:t> </w:t>
      </w:r>
      <w:r>
        <w:rPr>
          <w:sz w:val="24"/>
        </w:rPr>
        <w:t>built</w:t>
      </w:r>
      <w:r>
        <w:rPr>
          <w:spacing w:val="40"/>
          <w:sz w:val="24"/>
        </w:rPr>
        <w:t> </w:t>
      </w:r>
      <w:r>
        <w:rPr>
          <w:sz w:val="24"/>
        </w:rPr>
        <w:t>up</w:t>
      </w:r>
      <w:r>
        <w:rPr>
          <w:spacing w:val="40"/>
          <w:sz w:val="24"/>
        </w:rPr>
        <w:t> </w:t>
      </w:r>
      <w:r>
        <w:rPr>
          <w:sz w:val="24"/>
        </w:rPr>
        <w:t>amenity</w:t>
      </w:r>
      <w:r>
        <w:rPr>
          <w:spacing w:val="77"/>
          <w:sz w:val="24"/>
        </w:rPr>
        <w:t> </w:t>
      </w:r>
      <w:r>
        <w:rPr>
          <w:sz w:val="24"/>
        </w:rPr>
        <w:t>under</w:t>
      </w:r>
      <w:r>
        <w:rPr>
          <w:spacing w:val="40"/>
          <w:sz w:val="24"/>
        </w:rPr>
        <w:t> </w:t>
      </w:r>
      <w:r>
        <w:rPr>
          <w:sz w:val="24"/>
        </w:rPr>
        <w:t>AR</w:t>
      </w:r>
      <w:r>
        <w:rPr>
          <w:spacing w:val="40"/>
          <w:sz w:val="24"/>
        </w:rPr>
        <w:t> </w:t>
      </w:r>
      <w:r>
        <w:rPr>
          <w:sz w:val="24"/>
        </w:rPr>
        <w:t>as</w:t>
      </w:r>
      <w:r>
        <w:rPr>
          <w:spacing w:val="40"/>
          <w:sz w:val="24"/>
        </w:rPr>
        <w:t> </w:t>
      </w:r>
      <w:r>
        <w:rPr>
          <w:sz w:val="24"/>
        </w:rPr>
        <w:t>follows:</w:t>
      </w:r>
    </w:p>
    <w:p>
      <w:pPr>
        <w:pStyle w:val="ListParagraph"/>
        <w:spacing w:after="0" w:line="240" w:lineRule="auto"/>
        <w:jc w:val="both"/>
        <w:rPr>
          <w:sz w:val="24"/>
        </w:rPr>
        <w:sectPr>
          <w:pgSz w:w="11910" w:h="16840"/>
          <w:pgMar w:header="746" w:footer="968" w:top="1180" w:bottom="1160" w:left="360" w:right="360"/>
        </w:sectPr>
      </w:pPr>
    </w:p>
    <w:p>
      <w:pPr>
        <w:pStyle w:val="BodyText"/>
        <w:spacing w:before="251"/>
        <w:ind w:left="1080" w:right="838" w:firstLine="180"/>
        <w:jc w:val="left"/>
      </w:pPr>
      <w:r>
        <w:rPr/>
        <w:t>BUA/TDR</w:t>
      </w:r>
      <w:r>
        <w:rPr>
          <w:spacing w:val="77"/>
        </w:rPr>
        <w:t> </w:t>
      </w:r>
      <w:r>
        <w:rPr/>
        <w:t>in</w:t>
      </w:r>
      <w:r>
        <w:rPr>
          <w:spacing w:val="75"/>
        </w:rPr>
        <w:t> </w:t>
      </w:r>
      <w:r>
        <w:rPr/>
        <w:t>lieu</w:t>
      </w:r>
      <w:r>
        <w:rPr>
          <w:spacing w:val="75"/>
        </w:rPr>
        <w:t> </w:t>
      </w:r>
      <w:r>
        <w:rPr/>
        <w:t>of</w:t>
      </w:r>
      <w:r>
        <w:rPr>
          <w:spacing w:val="77"/>
        </w:rPr>
        <w:t> </w:t>
      </w:r>
      <w:r>
        <w:rPr/>
        <w:t>cost</w:t>
      </w:r>
      <w:r>
        <w:rPr>
          <w:spacing w:val="75"/>
        </w:rPr>
        <w:t> </w:t>
      </w:r>
      <w:r>
        <w:rPr/>
        <w:t>of</w:t>
      </w:r>
      <w:r>
        <w:rPr>
          <w:spacing w:val="75"/>
        </w:rPr>
        <w:t> </w:t>
      </w:r>
      <w:r>
        <w:rPr/>
        <w:t>construction</w:t>
      </w:r>
      <w:r>
        <w:rPr>
          <w:spacing w:val="79"/>
        </w:rPr>
        <w:t> </w:t>
      </w:r>
      <w:r>
        <w:rPr/>
        <w:t>of</w:t>
      </w:r>
      <w:r>
        <w:rPr>
          <w:spacing w:val="75"/>
        </w:rPr>
        <w:t> </w:t>
      </w:r>
      <w:r>
        <w:rPr/>
        <w:t>built</w:t>
      </w:r>
      <w:r>
        <w:rPr>
          <w:spacing w:val="74"/>
        </w:rPr>
        <w:t> </w:t>
      </w:r>
      <w:r>
        <w:rPr/>
        <w:t>up</w:t>
      </w:r>
      <w:r>
        <w:rPr>
          <w:spacing w:val="75"/>
        </w:rPr>
        <w:t> </w:t>
      </w:r>
      <w:r>
        <w:rPr/>
        <w:t>amenity</w:t>
      </w:r>
      <w:r>
        <w:rPr>
          <w:spacing w:val="73"/>
        </w:rPr>
        <w:t> </w:t>
      </w:r>
      <w:r>
        <w:rPr/>
        <w:t>handed over under AR</w:t>
      </w:r>
    </w:p>
    <w:p>
      <w:pPr>
        <w:pStyle w:val="BodyText"/>
        <w:spacing w:before="200"/>
        <w:ind w:left="1260" w:right="1091"/>
      </w:pPr>
      <w:r>
        <w:rPr/>
        <w:t>=</w:t>
      </w:r>
      <w:r>
        <w:rPr>
          <w:spacing w:val="40"/>
        </w:rPr>
        <w:t> </w:t>
      </w:r>
      <w:r>
        <w:rPr/>
        <w:t>1.50</w:t>
      </w:r>
      <w:r>
        <w:rPr>
          <w:spacing w:val="40"/>
        </w:rPr>
        <w:t> </w:t>
      </w:r>
      <w:r>
        <w:rPr/>
        <w:t>(Rate</w:t>
      </w:r>
      <w:r>
        <w:rPr>
          <w:spacing w:val="40"/>
        </w:rPr>
        <w:t> </w:t>
      </w:r>
      <w:r>
        <w:rPr/>
        <w:t>of</w:t>
      </w:r>
      <w:r>
        <w:rPr>
          <w:spacing w:val="40"/>
        </w:rPr>
        <w:t> </w:t>
      </w:r>
      <w:r>
        <w:rPr/>
        <w:t>construction</w:t>
      </w:r>
      <w:r>
        <w:rPr>
          <w:spacing w:val="40"/>
        </w:rPr>
        <w:t> </w:t>
      </w:r>
      <w:r>
        <w:rPr/>
        <w:t>per</w:t>
      </w:r>
      <w:r>
        <w:rPr>
          <w:spacing w:val="40"/>
        </w:rPr>
        <w:t> </w:t>
      </w:r>
      <w:r>
        <w:rPr/>
        <w:t>sq.</w:t>
      </w:r>
      <w:r>
        <w:rPr>
          <w:spacing w:val="40"/>
        </w:rPr>
        <w:t> </w:t>
      </w:r>
      <w:r>
        <w:rPr/>
        <w:t>m</w:t>
      </w:r>
      <w:r>
        <w:rPr>
          <w:spacing w:val="40"/>
        </w:rPr>
        <w:t> </w:t>
      </w:r>
      <w:r>
        <w:rPr/>
        <w:t>as</w:t>
      </w:r>
      <w:r>
        <w:rPr>
          <w:spacing w:val="40"/>
        </w:rPr>
        <w:t> </w:t>
      </w:r>
      <w:r>
        <w:rPr/>
        <w:t>per</w:t>
      </w:r>
      <w:r>
        <w:rPr>
          <w:spacing w:val="40"/>
        </w:rPr>
        <w:t> </w:t>
      </w:r>
      <w:r>
        <w:rPr/>
        <w:t>ASR</w:t>
      </w:r>
      <w:r>
        <w:rPr>
          <w:spacing w:val="40"/>
        </w:rPr>
        <w:t> </w:t>
      </w:r>
      <w:r>
        <w:rPr/>
        <w:t>rate/Rate</w:t>
      </w:r>
      <w:r>
        <w:rPr>
          <w:spacing w:val="40"/>
        </w:rPr>
        <w:t> </w:t>
      </w:r>
      <w:r>
        <w:rPr/>
        <w:t>of developed land per sq. m as per ASR) * BUA of constructed built up amenity</w:t>
      </w:r>
      <w:r>
        <w:rPr>
          <w:spacing w:val="40"/>
        </w:rPr>
        <w:t> </w:t>
      </w:r>
      <w:r>
        <w:rPr/>
        <w:t>handed</w:t>
      </w:r>
      <w:r>
        <w:rPr>
          <w:spacing w:val="40"/>
        </w:rPr>
        <w:t> </w:t>
      </w:r>
      <w:r>
        <w:rPr/>
        <w:t>over</w:t>
      </w:r>
      <w:r>
        <w:rPr>
          <w:spacing w:val="40"/>
        </w:rPr>
        <w:t> </w:t>
      </w:r>
      <w:r>
        <w:rPr/>
        <w:t>under</w:t>
      </w:r>
      <w:r>
        <w:rPr>
          <w:spacing w:val="40"/>
        </w:rPr>
        <w:t> </w:t>
      </w:r>
      <w:r>
        <w:rPr/>
        <w:t>AR.</w:t>
      </w:r>
    </w:p>
    <w:p>
      <w:pPr>
        <w:pStyle w:val="ListParagraph"/>
        <w:numPr>
          <w:ilvl w:val="0"/>
          <w:numId w:val="87"/>
        </w:numPr>
        <w:tabs>
          <w:tab w:pos="1436" w:val="left" w:leader="none"/>
        </w:tabs>
        <w:spacing w:line="240" w:lineRule="auto" w:before="201" w:after="0"/>
        <w:ind w:left="1222" w:right="1092" w:firstLine="0"/>
        <w:jc w:val="both"/>
        <w:rPr>
          <w:sz w:val="24"/>
        </w:rPr>
      </w:pPr>
      <w:r>
        <w:rPr>
          <w:sz w:val="24"/>
        </w:rPr>
        <w:t>In case of Sr. No.66(PPL), the incentive BUA shall be 50% of the above cited</w:t>
      </w:r>
      <w:r>
        <w:rPr>
          <w:spacing w:val="40"/>
          <w:sz w:val="24"/>
        </w:rPr>
        <w:t> </w:t>
      </w:r>
      <w:r>
        <w:rPr>
          <w:sz w:val="24"/>
        </w:rPr>
        <w:t>BUA</w:t>
      </w:r>
      <w:r>
        <w:rPr>
          <w:spacing w:val="40"/>
          <w:sz w:val="24"/>
        </w:rPr>
        <w:t> </w:t>
      </w:r>
      <w:r>
        <w:rPr>
          <w:sz w:val="24"/>
        </w:rPr>
        <w:t>as</w:t>
      </w:r>
      <w:r>
        <w:rPr>
          <w:spacing w:val="40"/>
          <w:sz w:val="24"/>
        </w:rPr>
        <w:t> </w:t>
      </w:r>
      <w:r>
        <w:rPr>
          <w:sz w:val="24"/>
        </w:rPr>
        <w:t>calculated</w:t>
      </w:r>
      <w:r>
        <w:rPr>
          <w:spacing w:val="40"/>
          <w:sz w:val="24"/>
        </w:rPr>
        <w:t> </w:t>
      </w:r>
      <w:r>
        <w:rPr>
          <w:sz w:val="24"/>
        </w:rPr>
        <w:t>above.</w:t>
      </w:r>
    </w:p>
    <w:p>
      <w:pPr>
        <w:pStyle w:val="ListParagraph"/>
        <w:numPr>
          <w:ilvl w:val="0"/>
          <w:numId w:val="87"/>
        </w:numPr>
        <w:tabs>
          <w:tab w:pos="1222" w:val="left" w:leader="none"/>
          <w:tab w:pos="1345" w:val="left" w:leader="none"/>
        </w:tabs>
        <w:spacing w:line="240" w:lineRule="auto" w:before="200" w:after="0"/>
        <w:ind w:left="1222" w:right="1095" w:hanging="142"/>
        <w:jc w:val="both"/>
        <w:rPr>
          <w:sz w:val="24"/>
        </w:rPr>
      </w:pPr>
      <w:r>
        <w:rPr>
          <w:sz w:val="24"/>
        </w:rPr>
        <w:t>No separate compensation shall be given for</w:t>
      </w:r>
      <w:r>
        <w:rPr>
          <w:spacing w:val="40"/>
          <w:sz w:val="24"/>
        </w:rPr>
        <w:t> </w:t>
      </w:r>
      <w:r>
        <w:rPr>
          <w:sz w:val="24"/>
        </w:rPr>
        <w:t>areas under Regulation No.31 (1).</w:t>
      </w:r>
      <w:r>
        <w:rPr>
          <w:spacing w:val="40"/>
          <w:sz w:val="24"/>
        </w:rPr>
        <w:t> </w:t>
      </w:r>
      <w:r>
        <w:rPr>
          <w:sz w:val="24"/>
        </w:rPr>
        <w:t>BUA</w:t>
      </w:r>
      <w:r>
        <w:rPr>
          <w:spacing w:val="40"/>
          <w:sz w:val="24"/>
        </w:rPr>
        <w:t> </w:t>
      </w:r>
      <w:r>
        <w:rPr>
          <w:sz w:val="24"/>
        </w:rPr>
        <w:t>for</w:t>
      </w:r>
      <w:r>
        <w:rPr>
          <w:spacing w:val="40"/>
          <w:sz w:val="24"/>
        </w:rPr>
        <w:t> </w:t>
      </w:r>
      <w:r>
        <w:rPr>
          <w:sz w:val="24"/>
        </w:rPr>
        <w:t>the</w:t>
      </w:r>
      <w:r>
        <w:rPr>
          <w:spacing w:val="40"/>
          <w:sz w:val="24"/>
        </w:rPr>
        <w:t> </w:t>
      </w:r>
      <w:r>
        <w:rPr>
          <w:sz w:val="24"/>
        </w:rPr>
        <w:t>construction</w:t>
      </w:r>
      <w:r>
        <w:rPr>
          <w:spacing w:val="40"/>
          <w:sz w:val="24"/>
        </w:rPr>
        <w:t> </w:t>
      </w:r>
      <w:r>
        <w:rPr>
          <w:sz w:val="24"/>
        </w:rPr>
        <w:t>of</w:t>
      </w:r>
      <w:r>
        <w:rPr>
          <w:spacing w:val="40"/>
          <w:sz w:val="24"/>
        </w:rPr>
        <w:t> </w:t>
      </w:r>
      <w:r>
        <w:rPr>
          <w:sz w:val="24"/>
        </w:rPr>
        <w:t>staircase/lift/staircase</w:t>
      </w:r>
      <w:r>
        <w:rPr>
          <w:spacing w:val="40"/>
          <w:sz w:val="24"/>
        </w:rPr>
        <w:t> </w:t>
      </w:r>
      <w:r>
        <w:rPr>
          <w:sz w:val="24"/>
        </w:rPr>
        <w:t>and lift lobby</w:t>
      </w:r>
      <w:r>
        <w:rPr>
          <w:spacing w:val="40"/>
          <w:sz w:val="24"/>
        </w:rPr>
        <w:t> </w:t>
      </w:r>
      <w:r>
        <w:rPr>
          <w:sz w:val="24"/>
        </w:rPr>
        <w:t>&amp;</w:t>
      </w:r>
      <w:r>
        <w:rPr>
          <w:spacing w:val="40"/>
          <w:sz w:val="24"/>
        </w:rPr>
        <w:t> </w:t>
      </w:r>
      <w:r>
        <w:rPr>
          <w:sz w:val="24"/>
        </w:rPr>
        <w:t>other</w:t>
      </w:r>
      <w:r>
        <w:rPr>
          <w:spacing w:val="40"/>
          <w:sz w:val="24"/>
        </w:rPr>
        <w:t> </w:t>
      </w:r>
      <w:r>
        <w:rPr>
          <w:sz w:val="24"/>
        </w:rPr>
        <w:t>areas</w:t>
      </w:r>
      <w:r>
        <w:rPr>
          <w:spacing w:val="40"/>
          <w:sz w:val="24"/>
        </w:rPr>
        <w:t> </w:t>
      </w:r>
      <w:r>
        <w:rPr>
          <w:sz w:val="24"/>
        </w:rPr>
        <w:t>as</w:t>
      </w:r>
      <w:r>
        <w:rPr>
          <w:spacing w:val="40"/>
          <w:sz w:val="24"/>
        </w:rPr>
        <w:t> </w:t>
      </w:r>
      <w:r>
        <w:rPr>
          <w:sz w:val="24"/>
        </w:rPr>
        <w:t>per</w:t>
      </w:r>
      <w:r>
        <w:rPr>
          <w:spacing w:val="40"/>
          <w:sz w:val="24"/>
        </w:rPr>
        <w:t> </w:t>
      </w:r>
      <w:r>
        <w:rPr>
          <w:sz w:val="24"/>
        </w:rPr>
        <w:t>31(1)</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counted</w:t>
      </w:r>
      <w:r>
        <w:rPr>
          <w:spacing w:val="40"/>
          <w:sz w:val="24"/>
        </w:rPr>
        <w:t> </w:t>
      </w:r>
      <w:r>
        <w:rPr>
          <w:sz w:val="24"/>
        </w:rPr>
        <w:t>in</w:t>
      </w:r>
      <w:r>
        <w:rPr>
          <w:spacing w:val="40"/>
          <w:sz w:val="24"/>
        </w:rPr>
        <w:t> </w:t>
      </w:r>
      <w:r>
        <w:rPr>
          <w:sz w:val="24"/>
        </w:rPr>
        <w:t>BUA</w:t>
      </w:r>
      <w:r>
        <w:rPr>
          <w:spacing w:val="40"/>
          <w:sz w:val="24"/>
        </w:rPr>
        <w:t> </w:t>
      </w:r>
      <w:r>
        <w:rPr>
          <w:sz w:val="24"/>
        </w:rPr>
        <w:t>to</w:t>
      </w:r>
      <w:r>
        <w:rPr>
          <w:spacing w:val="40"/>
          <w:sz w:val="24"/>
        </w:rPr>
        <w:t> </w:t>
      </w:r>
      <w:r>
        <w:rPr>
          <w:sz w:val="24"/>
        </w:rPr>
        <w:t>be handed</w:t>
      </w:r>
      <w:r>
        <w:rPr>
          <w:spacing w:val="40"/>
          <w:sz w:val="24"/>
        </w:rPr>
        <w:t> </w:t>
      </w:r>
      <w:r>
        <w:rPr>
          <w:sz w:val="24"/>
        </w:rPr>
        <w:t>over</w:t>
      </w:r>
      <w:r>
        <w:rPr>
          <w:spacing w:val="40"/>
          <w:sz w:val="24"/>
        </w:rPr>
        <w:t> </w:t>
      </w:r>
      <w:r>
        <w:rPr>
          <w:sz w:val="24"/>
        </w:rPr>
        <w:t>and</w:t>
      </w:r>
      <w:r>
        <w:rPr>
          <w:spacing w:val="40"/>
          <w:sz w:val="24"/>
        </w:rPr>
        <w:t> </w:t>
      </w:r>
      <w:r>
        <w:rPr>
          <w:sz w:val="24"/>
        </w:rPr>
        <w:t>shall</w:t>
      </w:r>
      <w:r>
        <w:rPr>
          <w:spacing w:val="40"/>
          <w:sz w:val="24"/>
        </w:rPr>
        <w:t> </w:t>
      </w:r>
      <w:r>
        <w:rPr>
          <w:sz w:val="24"/>
        </w:rPr>
        <w:t>be</w:t>
      </w:r>
      <w:r>
        <w:rPr>
          <w:spacing w:val="40"/>
          <w:sz w:val="24"/>
        </w:rPr>
        <w:t> </w:t>
      </w:r>
      <w:r>
        <w:rPr>
          <w:sz w:val="24"/>
        </w:rPr>
        <w:t>without</w:t>
      </w:r>
      <w:r>
        <w:rPr>
          <w:spacing w:val="40"/>
          <w:sz w:val="24"/>
        </w:rPr>
        <w:t> </w:t>
      </w:r>
      <w:r>
        <w:rPr>
          <w:sz w:val="24"/>
        </w:rPr>
        <w:t>charging</w:t>
      </w:r>
      <w:r>
        <w:rPr>
          <w:spacing w:val="40"/>
          <w:sz w:val="24"/>
        </w:rPr>
        <w:t> </w:t>
      </w:r>
      <w:r>
        <w:rPr>
          <w:sz w:val="24"/>
        </w:rPr>
        <w:t>premium</w:t>
      </w:r>
      <w:r>
        <w:rPr>
          <w:spacing w:val="40"/>
          <w:sz w:val="24"/>
        </w:rPr>
        <w:t> </w:t>
      </w:r>
      <w:r>
        <w:rPr>
          <w:sz w:val="24"/>
        </w:rPr>
        <w:t>for</w:t>
      </w:r>
      <w:r>
        <w:rPr>
          <w:spacing w:val="40"/>
          <w:sz w:val="24"/>
        </w:rPr>
        <w:t> </w:t>
      </w:r>
      <w:r>
        <w:rPr>
          <w:sz w:val="24"/>
        </w:rPr>
        <w:t>built</w:t>
      </w:r>
      <w:r>
        <w:rPr>
          <w:spacing w:val="40"/>
          <w:sz w:val="24"/>
        </w:rPr>
        <w:t> </w:t>
      </w:r>
      <w:r>
        <w:rPr>
          <w:sz w:val="24"/>
        </w:rPr>
        <w:t>up amenity under AR.</w:t>
      </w:r>
    </w:p>
    <w:p>
      <w:pPr>
        <w:pStyle w:val="ListParagraph"/>
        <w:numPr>
          <w:ilvl w:val="0"/>
          <w:numId w:val="87"/>
        </w:numPr>
        <w:tabs>
          <w:tab w:pos="1222" w:val="left" w:leader="none"/>
          <w:tab w:pos="1408" w:val="left" w:leader="none"/>
        </w:tabs>
        <w:spacing w:line="240" w:lineRule="auto" w:before="200" w:after="0"/>
        <w:ind w:left="1222" w:right="1093" w:hanging="142"/>
        <w:jc w:val="both"/>
        <w:rPr>
          <w:sz w:val="24"/>
        </w:rPr>
      </w:pPr>
      <w:r>
        <w:rPr>
          <w:sz w:val="24"/>
        </w:rPr>
        <w:t>In</w:t>
      </w:r>
      <w:r>
        <w:rPr>
          <w:spacing w:val="40"/>
          <w:sz w:val="24"/>
        </w:rPr>
        <w:t> </w:t>
      </w:r>
      <w:r>
        <w:rPr>
          <w:sz w:val="24"/>
        </w:rPr>
        <w:t>case</w:t>
      </w:r>
      <w:r>
        <w:rPr>
          <w:spacing w:val="40"/>
          <w:sz w:val="24"/>
        </w:rPr>
        <w:t> </w:t>
      </w:r>
      <w:r>
        <w:rPr>
          <w:sz w:val="24"/>
        </w:rPr>
        <w:t>of</w:t>
      </w:r>
      <w:r>
        <w:rPr>
          <w:spacing w:val="40"/>
          <w:sz w:val="24"/>
        </w:rPr>
        <w:t> </w:t>
      </w:r>
      <w:r>
        <w:rPr>
          <w:sz w:val="24"/>
        </w:rPr>
        <w:t>residential</w:t>
      </w:r>
      <w:r>
        <w:rPr>
          <w:spacing w:val="40"/>
          <w:sz w:val="24"/>
        </w:rPr>
        <w:t> </w:t>
      </w:r>
      <w:r>
        <w:rPr>
          <w:sz w:val="24"/>
        </w:rPr>
        <w:t>amenity</w:t>
      </w:r>
      <w:r>
        <w:rPr>
          <w:spacing w:val="40"/>
          <w:sz w:val="24"/>
        </w:rPr>
        <w:t> </w:t>
      </w:r>
      <w:r>
        <w:rPr>
          <w:sz w:val="24"/>
        </w:rPr>
        <w:t>for</w:t>
      </w:r>
      <w:r>
        <w:rPr>
          <w:spacing w:val="40"/>
          <w:sz w:val="24"/>
        </w:rPr>
        <w:t> </w:t>
      </w:r>
      <w:r>
        <w:rPr>
          <w:sz w:val="24"/>
        </w:rPr>
        <w:t>arriving</w:t>
      </w:r>
      <w:r>
        <w:rPr>
          <w:spacing w:val="40"/>
          <w:sz w:val="24"/>
        </w:rPr>
        <w:t> </w:t>
      </w:r>
      <w:r>
        <w:rPr>
          <w:sz w:val="24"/>
        </w:rPr>
        <w:t>at</w:t>
      </w:r>
      <w:r>
        <w:rPr>
          <w:spacing w:val="40"/>
          <w:sz w:val="24"/>
        </w:rPr>
        <w:t> </w:t>
      </w:r>
      <w:r>
        <w:rPr>
          <w:spacing w:val="10"/>
          <w:sz w:val="24"/>
        </w:rPr>
        <w:t>number</w:t>
      </w:r>
      <w:r>
        <w:rPr>
          <w:spacing w:val="40"/>
          <w:sz w:val="24"/>
        </w:rPr>
        <w:t> </w:t>
      </w:r>
      <w:r>
        <w:rPr>
          <w:sz w:val="24"/>
        </w:rPr>
        <w:t>of</w:t>
      </w:r>
      <w:r>
        <w:rPr>
          <w:spacing w:val="40"/>
          <w:sz w:val="24"/>
        </w:rPr>
        <w:t> </w:t>
      </w:r>
      <w:r>
        <w:rPr>
          <w:sz w:val="24"/>
        </w:rPr>
        <w:t>tenements, ratio</w:t>
      </w:r>
      <w:r>
        <w:rPr>
          <w:spacing w:val="40"/>
          <w:sz w:val="24"/>
        </w:rPr>
        <w:t> </w:t>
      </w:r>
      <w:r>
        <w:rPr>
          <w:sz w:val="24"/>
        </w:rPr>
        <w:t>of</w:t>
      </w:r>
      <w:r>
        <w:rPr>
          <w:spacing w:val="40"/>
          <w:sz w:val="24"/>
        </w:rPr>
        <w:t> </w:t>
      </w:r>
      <w:r>
        <w:rPr>
          <w:sz w:val="24"/>
        </w:rPr>
        <w:t>BUA</w:t>
      </w:r>
      <w:r>
        <w:rPr>
          <w:spacing w:val="40"/>
          <w:sz w:val="24"/>
        </w:rPr>
        <w:t> </w:t>
      </w:r>
      <w:r>
        <w:rPr>
          <w:sz w:val="24"/>
        </w:rPr>
        <w:t>to</w:t>
      </w:r>
      <w:r>
        <w:rPr>
          <w:spacing w:val="40"/>
          <w:sz w:val="24"/>
        </w:rPr>
        <w:t> </w:t>
      </w:r>
      <w:r>
        <w:rPr>
          <w:sz w:val="24"/>
        </w:rPr>
        <w:t>carpet</w:t>
      </w:r>
      <w:r>
        <w:rPr>
          <w:spacing w:val="40"/>
          <w:sz w:val="24"/>
        </w:rPr>
        <w:t> </w:t>
      </w:r>
      <w:r>
        <w:rPr>
          <w:sz w:val="24"/>
        </w:rPr>
        <w:t>area</w:t>
      </w:r>
      <w:r>
        <w:rPr>
          <w:spacing w:val="40"/>
          <w:sz w:val="24"/>
        </w:rPr>
        <w:t> </w:t>
      </w:r>
      <w:r>
        <w:rPr>
          <w:sz w:val="24"/>
        </w:rPr>
        <w:t>shall</w:t>
      </w:r>
      <w:r>
        <w:rPr>
          <w:spacing w:val="40"/>
          <w:sz w:val="24"/>
        </w:rPr>
        <w:t> </w:t>
      </w:r>
      <w:r>
        <w:rPr>
          <w:sz w:val="24"/>
        </w:rPr>
        <w:t>be</w:t>
      </w:r>
      <w:r>
        <w:rPr>
          <w:spacing w:val="40"/>
          <w:sz w:val="24"/>
        </w:rPr>
        <w:t> </w:t>
      </w:r>
      <w:r>
        <w:rPr>
          <w:sz w:val="24"/>
        </w:rPr>
        <w:t>considered</w:t>
      </w:r>
      <w:r>
        <w:rPr>
          <w:spacing w:val="40"/>
          <w:sz w:val="24"/>
        </w:rPr>
        <w:t> </w:t>
      </w:r>
      <w:r>
        <w:rPr>
          <w:sz w:val="24"/>
        </w:rPr>
        <w:t>as</w:t>
      </w:r>
      <w:r>
        <w:rPr>
          <w:spacing w:val="79"/>
          <w:sz w:val="24"/>
        </w:rPr>
        <w:t> </w:t>
      </w:r>
      <w:r>
        <w:rPr>
          <w:sz w:val="24"/>
        </w:rPr>
        <w:t>1.2.</w:t>
      </w:r>
    </w:p>
    <w:p>
      <w:pPr>
        <w:pStyle w:val="ListParagraph"/>
        <w:numPr>
          <w:ilvl w:val="0"/>
          <w:numId w:val="87"/>
        </w:numPr>
        <w:tabs>
          <w:tab w:pos="1222" w:val="left" w:leader="none"/>
          <w:tab w:pos="1448" w:val="left" w:leader="none"/>
        </w:tabs>
        <w:spacing w:line="240" w:lineRule="auto" w:before="200" w:after="0"/>
        <w:ind w:left="1222" w:right="1099" w:hanging="142"/>
        <w:jc w:val="both"/>
        <w:rPr>
          <w:sz w:val="24"/>
        </w:rPr>
      </w:pPr>
      <w:r>
        <w:rPr>
          <w:sz w:val="24"/>
        </w:rPr>
        <w:t>The applicable rate of ASR shall be ASR rate of the year in which IOD/IOA is issued.</w:t>
      </w:r>
    </w:p>
    <w:p>
      <w:pPr>
        <w:pStyle w:val="ListParagraph"/>
        <w:numPr>
          <w:ilvl w:val="0"/>
          <w:numId w:val="87"/>
        </w:numPr>
        <w:tabs>
          <w:tab w:pos="1222" w:val="left" w:leader="none"/>
          <w:tab w:pos="1345" w:val="left" w:leader="none"/>
        </w:tabs>
        <w:spacing w:line="240" w:lineRule="auto" w:before="200" w:after="0"/>
        <w:ind w:left="1222" w:right="1090" w:hanging="142"/>
        <w:jc w:val="both"/>
        <w:rPr>
          <w:sz w:val="24"/>
        </w:rPr>
      </w:pPr>
      <w:r>
        <w:rPr>
          <w:sz w:val="24"/>
        </w:rPr>
        <w:t>The</w:t>
      </w:r>
      <w:r>
        <w:rPr>
          <w:spacing w:val="68"/>
          <w:sz w:val="24"/>
        </w:rPr>
        <w:t> </w:t>
      </w:r>
      <w:r>
        <w:rPr>
          <w:sz w:val="24"/>
        </w:rPr>
        <w:t>constructed</w:t>
      </w:r>
      <w:r>
        <w:rPr>
          <w:spacing w:val="73"/>
          <w:sz w:val="24"/>
        </w:rPr>
        <w:t> </w:t>
      </w:r>
      <w:r>
        <w:rPr>
          <w:sz w:val="24"/>
        </w:rPr>
        <w:t>built</w:t>
      </w:r>
      <w:r>
        <w:rPr>
          <w:spacing w:val="40"/>
          <w:sz w:val="24"/>
        </w:rPr>
        <w:t> </w:t>
      </w:r>
      <w:r>
        <w:rPr>
          <w:sz w:val="24"/>
        </w:rPr>
        <w:t>up</w:t>
      </w:r>
      <w:r>
        <w:rPr>
          <w:spacing w:val="40"/>
          <w:sz w:val="24"/>
        </w:rPr>
        <w:t> </w:t>
      </w:r>
      <w:r>
        <w:rPr>
          <w:sz w:val="24"/>
        </w:rPr>
        <w:t>amenity</w:t>
      </w:r>
      <w:r>
        <w:rPr>
          <w:spacing w:val="40"/>
          <w:sz w:val="24"/>
        </w:rPr>
        <w:t> </w:t>
      </w:r>
      <w:r>
        <w:rPr>
          <w:sz w:val="24"/>
        </w:rPr>
        <w:t>along</w:t>
      </w:r>
      <w:r>
        <w:rPr>
          <w:spacing w:val="40"/>
          <w:sz w:val="24"/>
        </w:rPr>
        <w:t> </w:t>
      </w:r>
      <w:r>
        <w:rPr>
          <w:sz w:val="24"/>
        </w:rPr>
        <w:t>with</w:t>
      </w:r>
      <w:r>
        <w:rPr>
          <w:spacing w:val="40"/>
          <w:sz w:val="24"/>
        </w:rPr>
        <w:t> </w:t>
      </w:r>
      <w:r>
        <w:rPr>
          <w:sz w:val="24"/>
        </w:rPr>
        <w:t>plot</w:t>
      </w:r>
      <w:r>
        <w:rPr>
          <w:spacing w:val="40"/>
          <w:sz w:val="24"/>
        </w:rPr>
        <w:t> </w:t>
      </w:r>
      <w:r>
        <w:rPr>
          <w:sz w:val="24"/>
        </w:rPr>
        <w:t>to</w:t>
      </w:r>
      <w:r>
        <w:rPr>
          <w:spacing w:val="40"/>
          <w:sz w:val="24"/>
        </w:rPr>
        <w:t> </w:t>
      </w:r>
      <w:r>
        <w:rPr>
          <w:sz w:val="24"/>
        </w:rPr>
        <w:t>be</w:t>
      </w:r>
      <w:r>
        <w:rPr>
          <w:spacing w:val="40"/>
          <w:sz w:val="24"/>
        </w:rPr>
        <w:t> </w:t>
      </w:r>
      <w:r>
        <w:rPr>
          <w:sz w:val="24"/>
        </w:rPr>
        <w:t>handed</w:t>
      </w:r>
      <w:r>
        <w:rPr>
          <w:spacing w:val="40"/>
          <w:sz w:val="24"/>
        </w:rPr>
        <w:t> </w:t>
      </w:r>
      <w:r>
        <w:rPr>
          <w:spacing w:val="10"/>
          <w:sz w:val="24"/>
        </w:rPr>
        <w:t>over</w:t>
      </w:r>
      <w:r>
        <w:rPr>
          <w:spacing w:val="40"/>
          <w:sz w:val="24"/>
        </w:rPr>
        <w:t> </w:t>
      </w:r>
      <w:r>
        <w:rPr>
          <w:sz w:val="24"/>
        </w:rPr>
        <w:t>to</w:t>
      </w:r>
      <w:r>
        <w:rPr>
          <w:spacing w:val="40"/>
          <w:sz w:val="24"/>
        </w:rPr>
        <w:t> </w:t>
      </w:r>
      <w:r>
        <w:rPr>
          <w:sz w:val="24"/>
        </w:rPr>
        <w:t>MCGM</w:t>
      </w:r>
      <w:r>
        <w:rPr>
          <w:spacing w:val="40"/>
          <w:sz w:val="24"/>
        </w:rPr>
        <w:t> </w:t>
      </w:r>
      <w:r>
        <w:rPr>
          <w:sz w:val="24"/>
        </w:rPr>
        <w:t>under</w:t>
      </w:r>
      <w:r>
        <w:rPr>
          <w:spacing w:val="40"/>
          <w:sz w:val="24"/>
        </w:rPr>
        <w:t> </w:t>
      </w:r>
      <w:r>
        <w:rPr>
          <w:sz w:val="24"/>
        </w:rPr>
        <w:t>AR</w:t>
      </w:r>
      <w:r>
        <w:rPr>
          <w:spacing w:val="40"/>
          <w:sz w:val="24"/>
        </w:rPr>
        <w:t> </w:t>
      </w:r>
      <w:r>
        <w:rPr>
          <w:sz w:val="24"/>
        </w:rPr>
        <w:t>shall</w:t>
      </w:r>
      <w:r>
        <w:rPr>
          <w:spacing w:val="40"/>
          <w:sz w:val="24"/>
        </w:rPr>
        <w:t> </w:t>
      </w:r>
      <w:r>
        <w:rPr>
          <w:sz w:val="24"/>
        </w:rPr>
        <w:t>have</w:t>
      </w:r>
      <w:r>
        <w:rPr>
          <w:spacing w:val="40"/>
          <w:sz w:val="24"/>
        </w:rPr>
        <w:t> </w:t>
      </w:r>
      <w:r>
        <w:rPr>
          <w:sz w:val="24"/>
        </w:rPr>
        <w:t>structural</w:t>
      </w:r>
      <w:r>
        <w:rPr>
          <w:spacing w:val="40"/>
          <w:sz w:val="24"/>
        </w:rPr>
        <w:t> </w:t>
      </w:r>
      <w:r>
        <w:rPr>
          <w:sz w:val="24"/>
        </w:rPr>
        <w:t>provisions</w:t>
      </w:r>
      <w:r>
        <w:rPr>
          <w:spacing w:val="40"/>
          <w:sz w:val="24"/>
        </w:rPr>
        <w:t> </w:t>
      </w:r>
      <w:r>
        <w:rPr>
          <w:sz w:val="24"/>
        </w:rPr>
        <w:t>for</w:t>
      </w:r>
      <w:r>
        <w:rPr>
          <w:spacing w:val="40"/>
          <w:sz w:val="24"/>
        </w:rPr>
        <w:t> </w:t>
      </w:r>
      <w:r>
        <w:rPr>
          <w:sz w:val="24"/>
        </w:rPr>
        <w:t>vertical extension</w:t>
      </w:r>
      <w:r>
        <w:rPr>
          <w:spacing w:val="40"/>
          <w:sz w:val="24"/>
        </w:rPr>
        <w:t> </w:t>
      </w:r>
      <w:r>
        <w:rPr>
          <w:sz w:val="24"/>
        </w:rPr>
        <w:t>in</w:t>
      </w:r>
      <w:r>
        <w:rPr>
          <w:spacing w:val="40"/>
          <w:sz w:val="24"/>
        </w:rPr>
        <w:t> </w:t>
      </w:r>
      <w:r>
        <w:rPr>
          <w:sz w:val="24"/>
        </w:rPr>
        <w:t>order</w:t>
      </w:r>
      <w:r>
        <w:rPr>
          <w:spacing w:val="40"/>
          <w:sz w:val="24"/>
        </w:rPr>
        <w:t> </w:t>
      </w:r>
      <w:r>
        <w:rPr>
          <w:sz w:val="24"/>
        </w:rPr>
        <w:t>to</w:t>
      </w:r>
      <w:r>
        <w:rPr>
          <w:spacing w:val="40"/>
          <w:sz w:val="24"/>
        </w:rPr>
        <w:t> </w:t>
      </w:r>
      <w:r>
        <w:rPr>
          <w:sz w:val="24"/>
        </w:rPr>
        <w:t>consume</w:t>
      </w:r>
      <w:r>
        <w:rPr>
          <w:spacing w:val="40"/>
          <w:sz w:val="24"/>
        </w:rPr>
        <w:t> </w:t>
      </w:r>
      <w:r>
        <w:rPr>
          <w:sz w:val="24"/>
        </w:rPr>
        <w:t>additional</w:t>
      </w:r>
      <w:r>
        <w:rPr>
          <w:spacing w:val="40"/>
          <w:sz w:val="24"/>
        </w:rPr>
        <w:t> </w:t>
      </w:r>
      <w:r>
        <w:rPr>
          <w:sz w:val="24"/>
        </w:rPr>
        <w:t>FSI</w:t>
      </w:r>
      <w:r>
        <w:rPr>
          <w:spacing w:val="40"/>
          <w:sz w:val="24"/>
        </w:rPr>
        <w:t> </w:t>
      </w:r>
      <w:r>
        <w:rPr>
          <w:sz w:val="24"/>
        </w:rPr>
        <w:t>permissible</w:t>
      </w:r>
      <w:r>
        <w:rPr>
          <w:spacing w:val="40"/>
          <w:sz w:val="24"/>
        </w:rPr>
        <w:t> </w:t>
      </w:r>
      <w:r>
        <w:rPr>
          <w:sz w:val="24"/>
        </w:rPr>
        <w:t>as</w:t>
      </w:r>
      <w:r>
        <w:rPr>
          <w:spacing w:val="40"/>
          <w:sz w:val="24"/>
        </w:rPr>
        <w:t> </w:t>
      </w:r>
      <w:r>
        <w:rPr>
          <w:sz w:val="24"/>
        </w:rPr>
        <w:t>per provisions</w:t>
      </w:r>
      <w:r>
        <w:rPr>
          <w:spacing w:val="40"/>
          <w:sz w:val="24"/>
        </w:rPr>
        <w:t> </w:t>
      </w:r>
      <w:r>
        <w:rPr>
          <w:sz w:val="24"/>
        </w:rPr>
        <w:t>of</w:t>
      </w:r>
      <w:r>
        <w:rPr>
          <w:spacing w:val="40"/>
          <w:sz w:val="24"/>
        </w:rPr>
        <w:t> </w:t>
      </w:r>
      <w:r>
        <w:rPr>
          <w:sz w:val="24"/>
        </w:rPr>
        <w:t>these</w:t>
      </w:r>
      <w:r>
        <w:rPr>
          <w:spacing w:val="40"/>
          <w:sz w:val="24"/>
        </w:rPr>
        <w:t> </w:t>
      </w:r>
      <w:r>
        <w:rPr>
          <w:sz w:val="24"/>
        </w:rPr>
        <w:t>Regulations</w:t>
      </w:r>
      <w:r>
        <w:rPr>
          <w:spacing w:val="40"/>
          <w:sz w:val="24"/>
        </w:rPr>
        <w:t> </w:t>
      </w:r>
      <w:r>
        <w:rPr>
          <w:sz w:val="24"/>
        </w:rPr>
        <w:t>in</w:t>
      </w:r>
      <w:r>
        <w:rPr>
          <w:spacing w:val="40"/>
          <w:sz w:val="24"/>
        </w:rPr>
        <w:t> </w:t>
      </w:r>
      <w:r>
        <w:rPr>
          <w:sz w:val="24"/>
        </w:rPr>
        <w:t>future.</w:t>
      </w:r>
    </w:p>
    <w:p>
      <w:pPr>
        <w:pStyle w:val="ListParagraph"/>
        <w:numPr>
          <w:ilvl w:val="0"/>
          <w:numId w:val="87"/>
        </w:numPr>
        <w:tabs>
          <w:tab w:pos="1222" w:val="left" w:leader="none"/>
          <w:tab w:pos="1258" w:val="left" w:leader="none"/>
        </w:tabs>
        <w:spacing w:line="240" w:lineRule="auto" w:before="200" w:after="0"/>
        <w:ind w:left="1222" w:right="1106" w:hanging="142"/>
        <w:jc w:val="both"/>
        <w:rPr>
          <w:sz w:val="24"/>
        </w:rPr>
      </w:pPr>
      <w:r>
        <w:rPr>
          <w:sz w:val="24"/>
        </w:rPr>
        <w:t>The</w:t>
      </w:r>
      <w:r>
        <w:rPr>
          <w:spacing w:val="40"/>
          <w:sz w:val="24"/>
        </w:rPr>
        <w:t> </w:t>
      </w:r>
      <w:r>
        <w:rPr>
          <w:sz w:val="24"/>
        </w:rPr>
        <w:t>Owner/Developer</w:t>
      </w:r>
      <w:r>
        <w:rPr>
          <w:spacing w:val="40"/>
          <w:sz w:val="24"/>
        </w:rPr>
        <w:t> </w:t>
      </w:r>
      <w:r>
        <w:rPr>
          <w:sz w:val="24"/>
        </w:rPr>
        <w:t>shall</w:t>
      </w:r>
      <w:r>
        <w:rPr>
          <w:spacing w:val="40"/>
          <w:sz w:val="24"/>
        </w:rPr>
        <w:t> </w:t>
      </w:r>
      <w:r>
        <w:rPr>
          <w:sz w:val="24"/>
        </w:rPr>
        <w:t>be</w:t>
      </w:r>
      <w:r>
        <w:rPr>
          <w:spacing w:val="40"/>
          <w:sz w:val="24"/>
        </w:rPr>
        <w:t> </w:t>
      </w:r>
      <w:r>
        <w:rPr>
          <w:sz w:val="24"/>
        </w:rPr>
        <w:t>eligible</w:t>
      </w:r>
      <w:r>
        <w:rPr>
          <w:spacing w:val="40"/>
          <w:sz w:val="24"/>
        </w:rPr>
        <w:t> </w:t>
      </w:r>
      <w:r>
        <w:rPr>
          <w:sz w:val="24"/>
        </w:rPr>
        <w:t>for</w:t>
      </w:r>
      <w:r>
        <w:rPr>
          <w:spacing w:val="40"/>
          <w:sz w:val="24"/>
        </w:rPr>
        <w:t> </w:t>
      </w:r>
      <w:r>
        <w:rPr>
          <w:sz w:val="24"/>
        </w:rPr>
        <w:t>grant</w:t>
      </w:r>
      <w:r>
        <w:rPr>
          <w:spacing w:val="40"/>
          <w:sz w:val="24"/>
        </w:rPr>
        <w:t> </w:t>
      </w:r>
      <w:r>
        <w:rPr>
          <w:sz w:val="24"/>
        </w:rPr>
        <w:t>of</w:t>
      </w:r>
      <w:r>
        <w:rPr>
          <w:spacing w:val="40"/>
          <w:sz w:val="24"/>
        </w:rPr>
        <w:t> </w:t>
      </w:r>
      <w:r>
        <w:rPr>
          <w:sz w:val="24"/>
        </w:rPr>
        <w:t>TDR</w:t>
      </w:r>
      <w:r>
        <w:rPr>
          <w:spacing w:val="40"/>
          <w:sz w:val="24"/>
        </w:rPr>
        <w:t> </w:t>
      </w:r>
      <w:r>
        <w:rPr>
          <w:sz w:val="24"/>
        </w:rPr>
        <w:t>against unutilized</w:t>
      </w:r>
      <w:r>
        <w:rPr>
          <w:spacing w:val="40"/>
          <w:sz w:val="24"/>
        </w:rPr>
        <w:t> </w:t>
      </w:r>
      <w:r>
        <w:rPr>
          <w:sz w:val="24"/>
        </w:rPr>
        <w:t>BUA</w:t>
      </w:r>
      <w:r>
        <w:rPr>
          <w:spacing w:val="80"/>
          <w:sz w:val="24"/>
        </w:rPr>
        <w:t> </w:t>
      </w:r>
      <w:r>
        <w:rPr>
          <w:sz w:val="24"/>
        </w:rPr>
        <w:t>including</w:t>
      </w:r>
      <w:r>
        <w:rPr>
          <w:spacing w:val="40"/>
          <w:sz w:val="24"/>
        </w:rPr>
        <w:t> </w:t>
      </w:r>
      <w:r>
        <w:rPr>
          <w:sz w:val="24"/>
        </w:rPr>
        <w:t>that</w:t>
      </w:r>
      <w:r>
        <w:rPr>
          <w:spacing w:val="40"/>
          <w:sz w:val="24"/>
        </w:rPr>
        <w:t> </w:t>
      </w:r>
      <w:r>
        <w:rPr>
          <w:sz w:val="24"/>
        </w:rPr>
        <w:t>of</w:t>
      </w:r>
      <w:r>
        <w:rPr>
          <w:spacing w:val="80"/>
          <w:sz w:val="24"/>
        </w:rPr>
        <w:t> </w:t>
      </w:r>
      <w:r>
        <w:rPr>
          <w:sz w:val="24"/>
        </w:rPr>
        <w:t>Zonal</w:t>
      </w:r>
      <w:r>
        <w:rPr>
          <w:spacing w:val="40"/>
          <w:sz w:val="24"/>
        </w:rPr>
        <w:t> </w:t>
      </w:r>
      <w:r>
        <w:rPr>
          <w:sz w:val="24"/>
        </w:rPr>
        <w:t>(basic)</w:t>
      </w:r>
      <w:r>
        <w:rPr>
          <w:spacing w:val="80"/>
          <w:sz w:val="24"/>
        </w:rPr>
        <w:t> </w:t>
      </w:r>
      <w:r>
        <w:rPr>
          <w:sz w:val="24"/>
        </w:rPr>
        <w:t>FSI.</w:t>
      </w:r>
    </w:p>
    <w:p>
      <w:pPr>
        <w:pStyle w:val="BodyText"/>
        <w:spacing w:before="221"/>
        <w:jc w:val="left"/>
      </w:pPr>
    </w:p>
    <w:p>
      <w:pPr>
        <w:pStyle w:val="BodyText"/>
        <w:ind w:left="1548" w:right="4320"/>
        <w:jc w:val="center"/>
      </w:pPr>
      <w:r>
        <w:rPr>
          <w:spacing w:val="-5"/>
        </w:rPr>
        <w:t>Or</w:t>
      </w:r>
    </w:p>
    <w:p>
      <w:pPr>
        <w:pStyle w:val="ListParagraph"/>
        <w:numPr>
          <w:ilvl w:val="1"/>
          <w:numId w:val="87"/>
        </w:numPr>
        <w:tabs>
          <w:tab w:pos="1704" w:val="left" w:leader="none"/>
        </w:tabs>
        <w:spacing w:line="240" w:lineRule="auto" w:before="220" w:after="0"/>
        <w:ind w:left="1351" w:right="1088" w:firstLine="0"/>
        <w:jc w:val="both"/>
        <w:rPr>
          <w:sz w:val="24"/>
        </w:rPr>
      </w:pPr>
      <w:r>
        <w:rPr>
          <w:sz w:val="24"/>
        </w:rPr>
        <w:t>If</w:t>
      </w:r>
      <w:r>
        <w:rPr>
          <w:spacing w:val="40"/>
          <w:sz w:val="24"/>
        </w:rPr>
        <w:t> </w:t>
      </w:r>
      <w:r>
        <w:rPr>
          <w:sz w:val="24"/>
        </w:rPr>
        <w:t>the</w:t>
      </w:r>
      <w:r>
        <w:rPr>
          <w:spacing w:val="40"/>
          <w:sz w:val="24"/>
        </w:rPr>
        <w:t> </w:t>
      </w:r>
      <w:r>
        <w:rPr>
          <w:sz w:val="24"/>
        </w:rPr>
        <w:t>land</w:t>
      </w:r>
      <w:r>
        <w:rPr>
          <w:spacing w:val="40"/>
          <w:sz w:val="24"/>
        </w:rPr>
        <w:t> </w:t>
      </w:r>
      <w:r>
        <w:rPr>
          <w:sz w:val="24"/>
        </w:rPr>
        <w:t>is</w:t>
      </w:r>
      <w:r>
        <w:rPr>
          <w:spacing w:val="40"/>
          <w:sz w:val="24"/>
        </w:rPr>
        <w:t> </w:t>
      </w:r>
      <w:r>
        <w:rPr>
          <w:sz w:val="24"/>
        </w:rPr>
        <w:t>reserved</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DP</w:t>
      </w:r>
      <w:r>
        <w:rPr>
          <w:spacing w:val="40"/>
          <w:sz w:val="24"/>
        </w:rPr>
        <w:t> </w:t>
      </w:r>
      <w:r>
        <w:rPr>
          <w:sz w:val="24"/>
        </w:rPr>
        <w:t>and</w:t>
      </w:r>
      <w:r>
        <w:rPr>
          <w:spacing w:val="40"/>
          <w:sz w:val="24"/>
        </w:rPr>
        <w:t> </w:t>
      </w:r>
      <w:r>
        <w:rPr>
          <w:sz w:val="24"/>
        </w:rPr>
        <w:t>owner</w:t>
      </w:r>
      <w:r>
        <w:rPr>
          <w:spacing w:val="40"/>
          <w:sz w:val="24"/>
        </w:rPr>
        <w:t> </w:t>
      </w:r>
      <w:r>
        <w:rPr>
          <w:sz w:val="24"/>
        </w:rPr>
        <w:t>desires</w:t>
      </w:r>
      <w:r>
        <w:rPr>
          <w:spacing w:val="40"/>
          <w:sz w:val="24"/>
        </w:rPr>
        <w:t> </w:t>
      </w:r>
      <w:r>
        <w:rPr>
          <w:sz w:val="24"/>
        </w:rPr>
        <w:t>to</w:t>
      </w:r>
      <w:r>
        <w:rPr>
          <w:spacing w:val="40"/>
          <w:sz w:val="24"/>
        </w:rPr>
        <w:t> </w:t>
      </w:r>
      <w:r>
        <w:rPr>
          <w:sz w:val="24"/>
        </w:rPr>
        <w:t>hand over the land without any encumbrances to MCGM/ Appropriate Authority,</w:t>
      </w:r>
      <w:r>
        <w:rPr>
          <w:spacing w:val="40"/>
          <w:sz w:val="24"/>
        </w:rPr>
        <w:t> </w:t>
      </w:r>
      <w:r>
        <w:rPr>
          <w:sz w:val="24"/>
        </w:rPr>
        <w:t>then</w:t>
      </w:r>
      <w:r>
        <w:rPr>
          <w:spacing w:val="40"/>
          <w:sz w:val="24"/>
        </w:rPr>
        <w:t> </w:t>
      </w:r>
      <w:r>
        <w:rPr>
          <w:sz w:val="24"/>
        </w:rPr>
        <w:t>he</w:t>
      </w:r>
      <w:r>
        <w:rPr>
          <w:spacing w:val="40"/>
          <w:sz w:val="24"/>
        </w:rPr>
        <w:t> </w:t>
      </w:r>
      <w:r>
        <w:rPr>
          <w:sz w:val="24"/>
        </w:rPr>
        <w:t>shall</w:t>
      </w:r>
      <w:r>
        <w:rPr>
          <w:spacing w:val="40"/>
          <w:sz w:val="24"/>
        </w:rPr>
        <w:t> </w:t>
      </w:r>
      <w:r>
        <w:rPr>
          <w:sz w:val="24"/>
        </w:rPr>
        <w:t>be</w:t>
      </w:r>
      <w:r>
        <w:rPr>
          <w:spacing w:val="40"/>
          <w:sz w:val="24"/>
        </w:rPr>
        <w:t> </w:t>
      </w:r>
      <w:r>
        <w:rPr>
          <w:sz w:val="24"/>
        </w:rPr>
        <w:t>entitled</w:t>
      </w:r>
      <w:r>
        <w:rPr>
          <w:spacing w:val="40"/>
          <w:sz w:val="24"/>
        </w:rPr>
        <w:t> </w:t>
      </w:r>
      <w:r>
        <w:rPr>
          <w:sz w:val="24"/>
        </w:rPr>
        <w:t>for</w:t>
      </w:r>
      <w:r>
        <w:rPr>
          <w:spacing w:val="40"/>
          <w:sz w:val="24"/>
        </w:rPr>
        <w:t> </w:t>
      </w:r>
      <w:r>
        <w:rPr>
          <w:sz w:val="24"/>
        </w:rPr>
        <w:t>the</w:t>
      </w:r>
      <w:r>
        <w:rPr>
          <w:spacing w:val="40"/>
          <w:sz w:val="24"/>
        </w:rPr>
        <w:t> </w:t>
      </w:r>
      <w:r>
        <w:rPr>
          <w:sz w:val="24"/>
        </w:rPr>
        <w:t>grant</w:t>
      </w:r>
      <w:r>
        <w:rPr>
          <w:spacing w:val="40"/>
          <w:sz w:val="24"/>
        </w:rPr>
        <w:t> </w:t>
      </w:r>
      <w:r>
        <w:rPr>
          <w:sz w:val="24"/>
        </w:rPr>
        <w:t>of</w:t>
      </w:r>
      <w:r>
        <w:rPr>
          <w:spacing w:val="40"/>
          <w:sz w:val="24"/>
        </w:rPr>
        <w:t> </w:t>
      </w:r>
      <w:r>
        <w:rPr>
          <w:sz w:val="24"/>
        </w:rPr>
        <w:t>TDR</w:t>
      </w:r>
      <w:r>
        <w:rPr>
          <w:spacing w:val="40"/>
          <w:sz w:val="24"/>
        </w:rPr>
        <w:t> </w:t>
      </w:r>
      <w:r>
        <w:rPr>
          <w:sz w:val="24"/>
        </w:rPr>
        <w:t>as</w:t>
      </w:r>
      <w:r>
        <w:rPr>
          <w:spacing w:val="40"/>
          <w:sz w:val="24"/>
        </w:rPr>
        <w:t> </w:t>
      </w:r>
      <w:r>
        <w:rPr>
          <w:sz w:val="24"/>
        </w:rPr>
        <w:t>per Regulation No 32.</w:t>
      </w:r>
    </w:p>
    <w:p>
      <w:pPr>
        <w:pStyle w:val="BodyText"/>
        <w:spacing w:before="219"/>
        <w:ind w:left="1552" w:right="4310"/>
        <w:jc w:val="center"/>
      </w:pPr>
      <w:r>
        <w:rPr>
          <w:spacing w:val="-5"/>
        </w:rPr>
        <w:t>Or</w:t>
      </w:r>
    </w:p>
    <w:p>
      <w:pPr>
        <w:pStyle w:val="ListParagraph"/>
        <w:numPr>
          <w:ilvl w:val="1"/>
          <w:numId w:val="87"/>
        </w:numPr>
        <w:tabs>
          <w:tab w:pos="1867" w:val="left" w:leader="none"/>
        </w:tabs>
        <w:spacing w:line="240" w:lineRule="auto" w:before="220" w:after="0"/>
        <w:ind w:left="1351" w:right="1271" w:firstLine="0"/>
        <w:jc w:val="both"/>
        <w:rPr>
          <w:sz w:val="24"/>
        </w:rPr>
      </w:pPr>
      <w:r>
        <w:rPr>
          <w:sz w:val="24"/>
        </w:rPr>
        <w:t>If the land reserved as per the DP is acquired by</w:t>
      </w:r>
      <w:r>
        <w:rPr>
          <w:spacing w:val="40"/>
          <w:sz w:val="24"/>
        </w:rPr>
        <w:t> </w:t>
      </w:r>
      <w:r>
        <w:rPr>
          <w:sz w:val="24"/>
        </w:rPr>
        <w:t>MCGM/Appropriate</w:t>
      </w:r>
      <w:r>
        <w:rPr>
          <w:spacing w:val="40"/>
          <w:sz w:val="24"/>
        </w:rPr>
        <w:t> </w:t>
      </w:r>
      <w:r>
        <w:rPr>
          <w:sz w:val="24"/>
        </w:rPr>
        <w:t>Authority,</w:t>
      </w:r>
      <w:r>
        <w:rPr>
          <w:spacing w:val="40"/>
          <w:sz w:val="24"/>
        </w:rPr>
        <w:t> </w:t>
      </w:r>
      <w:r>
        <w:rPr>
          <w:sz w:val="24"/>
        </w:rPr>
        <w:t>the</w:t>
      </w:r>
      <w:r>
        <w:rPr>
          <w:spacing w:val="40"/>
          <w:sz w:val="24"/>
        </w:rPr>
        <w:t> </w:t>
      </w:r>
      <w:r>
        <w:rPr>
          <w:sz w:val="24"/>
        </w:rPr>
        <w:t>Owner</w:t>
      </w:r>
      <w:r>
        <w:rPr>
          <w:spacing w:val="40"/>
          <w:sz w:val="24"/>
        </w:rPr>
        <w:t> </w:t>
      </w:r>
      <w:r>
        <w:rPr>
          <w:sz w:val="24"/>
        </w:rPr>
        <w:t>shall</w:t>
      </w:r>
      <w:r>
        <w:rPr>
          <w:spacing w:val="40"/>
          <w:sz w:val="24"/>
        </w:rPr>
        <w:t> </w:t>
      </w:r>
      <w:r>
        <w:rPr>
          <w:sz w:val="24"/>
        </w:rPr>
        <w:t>be</w:t>
      </w:r>
      <w:r>
        <w:rPr>
          <w:spacing w:val="40"/>
          <w:sz w:val="24"/>
        </w:rPr>
        <w:t> </w:t>
      </w:r>
      <w:r>
        <w:rPr>
          <w:sz w:val="24"/>
        </w:rPr>
        <w:t>entitled</w:t>
      </w:r>
      <w:r>
        <w:rPr>
          <w:spacing w:val="40"/>
          <w:sz w:val="24"/>
        </w:rPr>
        <w:t> </w:t>
      </w:r>
      <w:r>
        <w:rPr>
          <w:sz w:val="24"/>
        </w:rPr>
        <w:t>for</w:t>
      </w:r>
      <w:r>
        <w:rPr>
          <w:spacing w:val="40"/>
          <w:sz w:val="24"/>
        </w:rPr>
        <w:t> </w:t>
      </w:r>
      <w:r>
        <w:rPr>
          <w:sz w:val="24"/>
        </w:rPr>
        <w:t>the grant</w:t>
      </w:r>
      <w:r>
        <w:rPr>
          <w:spacing w:val="40"/>
          <w:sz w:val="24"/>
        </w:rPr>
        <w:t> </w:t>
      </w:r>
      <w:r>
        <w:rPr>
          <w:sz w:val="24"/>
        </w:rPr>
        <w:t>of</w:t>
      </w:r>
      <w:r>
        <w:rPr>
          <w:spacing w:val="40"/>
          <w:sz w:val="24"/>
        </w:rPr>
        <w:t> </w:t>
      </w:r>
      <w:r>
        <w:rPr>
          <w:sz w:val="24"/>
        </w:rPr>
        <w:t>TDR</w:t>
      </w:r>
      <w:r>
        <w:rPr>
          <w:spacing w:val="40"/>
          <w:sz w:val="24"/>
        </w:rPr>
        <w:t> </w:t>
      </w:r>
      <w:r>
        <w:rPr>
          <w:sz w:val="24"/>
        </w:rPr>
        <w:t>as</w:t>
      </w:r>
      <w:r>
        <w:rPr>
          <w:spacing w:val="40"/>
          <w:sz w:val="24"/>
        </w:rPr>
        <w:t> </w:t>
      </w:r>
      <w:r>
        <w:rPr>
          <w:sz w:val="24"/>
        </w:rPr>
        <w:t>per</w:t>
      </w:r>
      <w:r>
        <w:rPr>
          <w:spacing w:val="40"/>
          <w:sz w:val="24"/>
        </w:rPr>
        <w:t> </w:t>
      </w:r>
      <w:r>
        <w:rPr>
          <w:sz w:val="24"/>
        </w:rPr>
        <w:t>Regulation</w:t>
      </w:r>
      <w:r>
        <w:rPr>
          <w:spacing w:val="79"/>
          <w:sz w:val="24"/>
        </w:rPr>
        <w:t> </w:t>
      </w:r>
      <w:r>
        <w:rPr>
          <w:sz w:val="24"/>
        </w:rPr>
        <w:t>No</w:t>
      </w:r>
      <w:r>
        <w:rPr>
          <w:spacing w:val="40"/>
          <w:sz w:val="24"/>
        </w:rPr>
        <w:t> </w:t>
      </w:r>
      <w:r>
        <w:rPr>
          <w:sz w:val="24"/>
        </w:rPr>
        <w:t>32</w:t>
      </w:r>
      <w:r>
        <w:rPr>
          <w:spacing w:val="77"/>
          <w:sz w:val="24"/>
        </w:rPr>
        <w:t> </w:t>
      </w:r>
      <w:r>
        <w:rPr>
          <w:sz w:val="24"/>
        </w:rPr>
        <w:t>or</w:t>
      </w:r>
      <w:r>
        <w:rPr>
          <w:spacing w:val="40"/>
          <w:sz w:val="24"/>
        </w:rPr>
        <w:t> </w:t>
      </w:r>
      <w:r>
        <w:rPr>
          <w:sz w:val="24"/>
        </w:rPr>
        <w:t>monetary</w:t>
      </w:r>
      <w:r>
        <w:rPr>
          <w:spacing w:val="40"/>
          <w:sz w:val="24"/>
        </w:rPr>
        <w:t> </w:t>
      </w:r>
      <w:r>
        <w:rPr>
          <w:sz w:val="24"/>
        </w:rPr>
        <w:t>compensation.</w:t>
      </w:r>
    </w:p>
    <w:p>
      <w:pPr>
        <w:pStyle w:val="ListParagraph"/>
        <w:numPr>
          <w:ilvl w:val="1"/>
          <w:numId w:val="87"/>
        </w:numPr>
        <w:tabs>
          <w:tab w:pos="1702" w:val="left" w:leader="none"/>
        </w:tabs>
        <w:spacing w:line="240" w:lineRule="auto" w:before="221" w:after="0"/>
        <w:ind w:left="1351" w:right="1275" w:firstLine="0"/>
        <w:jc w:val="both"/>
        <w:rPr>
          <w:sz w:val="24"/>
        </w:rPr>
      </w:pPr>
      <w:r>
        <w:rPr>
          <w:sz w:val="24"/>
        </w:rPr>
        <w:t>The owner shall give advanced possession of the land wherever applicable</w:t>
      </w:r>
      <w:r>
        <w:rPr>
          <w:spacing w:val="80"/>
          <w:sz w:val="24"/>
        </w:rPr>
        <w:t> </w:t>
      </w:r>
      <w:r>
        <w:rPr>
          <w:sz w:val="24"/>
        </w:rPr>
        <w:t>(to</w:t>
      </w:r>
      <w:r>
        <w:rPr>
          <w:spacing w:val="80"/>
          <w:sz w:val="24"/>
        </w:rPr>
        <w:t> </w:t>
      </w:r>
      <w:r>
        <w:rPr>
          <w:sz w:val="24"/>
        </w:rPr>
        <w:t>be</w:t>
      </w:r>
      <w:r>
        <w:rPr>
          <w:spacing w:val="80"/>
          <w:sz w:val="24"/>
        </w:rPr>
        <w:t> </w:t>
      </w:r>
      <w:r>
        <w:rPr>
          <w:sz w:val="24"/>
        </w:rPr>
        <w:t>handed</w:t>
      </w:r>
      <w:r>
        <w:rPr>
          <w:spacing w:val="80"/>
          <w:sz w:val="24"/>
        </w:rPr>
        <w:t> </w:t>
      </w:r>
      <w:r>
        <w:rPr>
          <w:sz w:val="24"/>
        </w:rPr>
        <w:t>over)</w:t>
      </w:r>
      <w:r>
        <w:rPr>
          <w:spacing w:val="80"/>
          <w:sz w:val="24"/>
        </w:rPr>
        <w:t> </w:t>
      </w:r>
      <w:r>
        <w:rPr>
          <w:sz w:val="24"/>
        </w:rPr>
        <w:t>to</w:t>
      </w:r>
      <w:r>
        <w:rPr>
          <w:spacing w:val="80"/>
          <w:sz w:val="24"/>
        </w:rPr>
        <w:t> </w:t>
      </w:r>
      <w:r>
        <w:rPr>
          <w:sz w:val="24"/>
        </w:rPr>
        <w:t>MCGM/Appropriate</w:t>
      </w:r>
      <w:r>
        <w:rPr>
          <w:spacing w:val="80"/>
          <w:sz w:val="24"/>
        </w:rPr>
        <w:t> </w:t>
      </w:r>
      <w:r>
        <w:rPr>
          <w:sz w:val="24"/>
        </w:rPr>
        <w:t>Authority</w:t>
      </w:r>
      <w:r>
        <w:rPr>
          <w:spacing w:val="80"/>
          <w:sz w:val="24"/>
        </w:rPr>
        <w:t> </w:t>
      </w:r>
      <w:r>
        <w:rPr>
          <w:sz w:val="24"/>
        </w:rPr>
        <w:t>at the time of seeking Approval for Development of plot. It shall be responsibility of the land owner to clear all the encumbrances and complete</w:t>
      </w:r>
      <w:r>
        <w:rPr>
          <w:spacing w:val="79"/>
          <w:sz w:val="24"/>
        </w:rPr>
        <w:t> </w:t>
      </w:r>
      <w:r>
        <w:rPr>
          <w:sz w:val="24"/>
        </w:rPr>
        <w:t>the</w:t>
      </w:r>
      <w:r>
        <w:rPr>
          <w:spacing w:val="79"/>
          <w:sz w:val="24"/>
        </w:rPr>
        <w:t> </w:t>
      </w:r>
      <w:r>
        <w:rPr>
          <w:sz w:val="24"/>
        </w:rPr>
        <w:t>formalities</w:t>
      </w:r>
      <w:r>
        <w:rPr>
          <w:spacing w:val="79"/>
          <w:sz w:val="24"/>
        </w:rPr>
        <w:t> </w:t>
      </w:r>
      <w:r>
        <w:rPr>
          <w:sz w:val="24"/>
        </w:rPr>
        <w:t>towards</w:t>
      </w:r>
      <w:r>
        <w:rPr>
          <w:spacing w:val="79"/>
          <w:sz w:val="24"/>
        </w:rPr>
        <w:t> </w:t>
      </w:r>
      <w:r>
        <w:rPr>
          <w:sz w:val="24"/>
        </w:rPr>
        <w:t>transferring</w:t>
      </w:r>
      <w:r>
        <w:rPr>
          <w:spacing w:val="76"/>
          <w:sz w:val="24"/>
        </w:rPr>
        <w:t> </w:t>
      </w:r>
      <w:r>
        <w:rPr>
          <w:sz w:val="24"/>
        </w:rPr>
        <w:t>the</w:t>
      </w:r>
      <w:r>
        <w:rPr>
          <w:spacing w:val="76"/>
          <w:sz w:val="24"/>
        </w:rPr>
        <w:t> </w:t>
      </w:r>
      <w:r>
        <w:rPr>
          <w:sz w:val="24"/>
        </w:rPr>
        <w:t>land</w:t>
      </w:r>
      <w:r>
        <w:rPr>
          <w:spacing w:val="79"/>
          <w:sz w:val="24"/>
        </w:rPr>
        <w:t> </w:t>
      </w:r>
      <w:r>
        <w:rPr>
          <w:sz w:val="24"/>
        </w:rPr>
        <w:t>in</w:t>
      </w:r>
      <w:r>
        <w:rPr>
          <w:spacing w:val="76"/>
          <w:sz w:val="24"/>
        </w:rPr>
        <w:t> </w:t>
      </w:r>
      <w:r>
        <w:rPr>
          <w:sz w:val="24"/>
        </w:rPr>
        <w:t>the</w:t>
      </w:r>
      <w:r>
        <w:rPr>
          <w:spacing w:val="79"/>
          <w:sz w:val="24"/>
        </w:rPr>
        <w:t> </w:t>
      </w:r>
      <w:r>
        <w:rPr>
          <w:sz w:val="24"/>
        </w:rPr>
        <w:t>name of</w:t>
      </w:r>
      <w:r>
        <w:rPr>
          <w:spacing w:val="80"/>
          <w:sz w:val="24"/>
        </w:rPr>
        <w:t> </w:t>
      </w:r>
      <w:r>
        <w:rPr>
          <w:sz w:val="24"/>
        </w:rPr>
        <w:t>MCGM/Appropriate</w:t>
      </w:r>
      <w:r>
        <w:rPr>
          <w:spacing w:val="80"/>
          <w:sz w:val="24"/>
        </w:rPr>
        <w:t> </w:t>
      </w:r>
      <w:r>
        <w:rPr>
          <w:spacing w:val="9"/>
          <w:sz w:val="24"/>
        </w:rPr>
        <w:t>Authority.</w:t>
      </w:r>
      <w:r>
        <w:rPr>
          <w:spacing w:val="80"/>
          <w:sz w:val="24"/>
        </w:rPr>
        <w:t> </w:t>
      </w:r>
      <w:r>
        <w:rPr>
          <w:sz w:val="24"/>
        </w:rPr>
        <w:t>Proforma</w:t>
      </w:r>
      <w:r>
        <w:rPr>
          <w:spacing w:val="80"/>
          <w:sz w:val="24"/>
        </w:rPr>
        <w:t> </w:t>
      </w:r>
      <w:r>
        <w:rPr>
          <w:sz w:val="24"/>
        </w:rPr>
        <w:t>of</w:t>
      </w:r>
      <w:r>
        <w:rPr>
          <w:spacing w:val="80"/>
          <w:sz w:val="24"/>
        </w:rPr>
        <w:t> </w:t>
      </w:r>
      <w:r>
        <w:rPr>
          <w:sz w:val="24"/>
        </w:rPr>
        <w:t>possession</w:t>
      </w:r>
      <w:r>
        <w:rPr>
          <w:spacing w:val="80"/>
          <w:sz w:val="24"/>
        </w:rPr>
        <w:t> </w:t>
      </w:r>
      <w:r>
        <w:rPr>
          <w:sz w:val="24"/>
        </w:rPr>
        <w:t>receipt shall</w:t>
      </w:r>
      <w:r>
        <w:rPr>
          <w:spacing w:val="40"/>
          <w:sz w:val="24"/>
        </w:rPr>
        <w:t> </w:t>
      </w:r>
      <w:r>
        <w:rPr>
          <w:sz w:val="24"/>
        </w:rPr>
        <w:t>be</w:t>
      </w:r>
      <w:r>
        <w:rPr>
          <w:spacing w:val="40"/>
          <w:sz w:val="24"/>
        </w:rPr>
        <w:t> </w:t>
      </w:r>
      <w:r>
        <w:rPr>
          <w:sz w:val="24"/>
        </w:rPr>
        <w:t>as</w:t>
      </w:r>
      <w:r>
        <w:rPr>
          <w:spacing w:val="40"/>
          <w:sz w:val="24"/>
        </w:rPr>
        <w:t> </w:t>
      </w:r>
      <w:r>
        <w:rPr>
          <w:sz w:val="24"/>
        </w:rPr>
        <w:t>per</w:t>
      </w:r>
      <w:r>
        <w:rPr>
          <w:spacing w:val="40"/>
          <w:sz w:val="24"/>
        </w:rPr>
        <w:t> </w:t>
      </w:r>
      <w:r>
        <w:rPr>
          <w:sz w:val="24"/>
        </w:rPr>
        <w:t>Appendix</w:t>
      </w:r>
      <w:r>
        <w:rPr>
          <w:spacing w:val="40"/>
          <w:sz w:val="24"/>
        </w:rPr>
        <w:t> </w:t>
      </w:r>
      <w:r>
        <w:rPr>
          <w:sz w:val="24"/>
        </w:rPr>
        <w:t>V.</w:t>
      </w:r>
    </w:p>
    <w:p>
      <w:pPr>
        <w:pStyle w:val="ListParagraph"/>
        <w:spacing w:after="0" w:line="240" w:lineRule="auto"/>
        <w:jc w:val="both"/>
        <w:rPr>
          <w:sz w:val="24"/>
        </w:rPr>
        <w:sectPr>
          <w:pgSz w:w="11910" w:h="16840"/>
          <w:pgMar w:header="746" w:footer="968" w:top="1180" w:bottom="1160" w:left="360" w:right="360"/>
        </w:sectPr>
      </w:pPr>
    </w:p>
    <w:p>
      <w:pPr>
        <w:pStyle w:val="ListParagraph"/>
        <w:numPr>
          <w:ilvl w:val="1"/>
          <w:numId w:val="87"/>
        </w:numPr>
        <w:tabs>
          <w:tab w:pos="1675" w:val="left" w:leader="none"/>
        </w:tabs>
        <w:spacing w:line="240" w:lineRule="auto" w:before="251" w:after="0"/>
        <w:ind w:left="1351" w:right="1269" w:firstLine="0"/>
        <w:jc w:val="both"/>
        <w:rPr>
          <w:sz w:val="24"/>
        </w:rPr>
      </w:pPr>
      <w:r>
        <w:rPr>
          <w:sz w:val="24"/>
        </w:rPr>
        <w:t>The area of built up amenity shall be counted in FSI initially and</w:t>
      </w:r>
      <w:r>
        <w:rPr>
          <w:spacing w:val="80"/>
          <w:sz w:val="24"/>
        </w:rPr>
        <w:t> </w:t>
      </w:r>
      <w:r>
        <w:rPr>
          <w:sz w:val="24"/>
        </w:rPr>
        <w:t>after</w:t>
      </w:r>
      <w:r>
        <w:rPr>
          <w:spacing w:val="40"/>
          <w:sz w:val="24"/>
        </w:rPr>
        <w:t> </w:t>
      </w:r>
      <w:r>
        <w:rPr>
          <w:sz w:val="24"/>
        </w:rPr>
        <w:t>handing</w:t>
      </w:r>
      <w:r>
        <w:rPr>
          <w:spacing w:val="40"/>
          <w:sz w:val="24"/>
        </w:rPr>
        <w:t> </w:t>
      </w:r>
      <w:r>
        <w:rPr>
          <w:sz w:val="24"/>
        </w:rPr>
        <w:t>over</w:t>
      </w:r>
      <w:r>
        <w:rPr>
          <w:spacing w:val="40"/>
          <w:sz w:val="24"/>
        </w:rPr>
        <w:t> </w:t>
      </w:r>
      <w:r>
        <w:rPr>
          <w:sz w:val="24"/>
        </w:rPr>
        <w:t>of</w:t>
      </w:r>
      <w:r>
        <w:rPr>
          <w:spacing w:val="40"/>
          <w:sz w:val="24"/>
        </w:rPr>
        <w:t> </w:t>
      </w:r>
      <w:r>
        <w:rPr>
          <w:sz w:val="24"/>
        </w:rPr>
        <w:t>said</w:t>
      </w:r>
      <w:r>
        <w:rPr>
          <w:spacing w:val="40"/>
          <w:sz w:val="24"/>
        </w:rPr>
        <w:t> </w:t>
      </w:r>
      <w:r>
        <w:rPr>
          <w:sz w:val="24"/>
        </w:rPr>
        <w:t>built</w:t>
      </w:r>
      <w:r>
        <w:rPr>
          <w:spacing w:val="40"/>
          <w:sz w:val="24"/>
        </w:rPr>
        <w:t> </w:t>
      </w:r>
      <w:r>
        <w:rPr>
          <w:sz w:val="24"/>
        </w:rPr>
        <w:t>up</w:t>
      </w:r>
      <w:r>
        <w:rPr>
          <w:spacing w:val="40"/>
          <w:sz w:val="24"/>
        </w:rPr>
        <w:t> </w:t>
      </w:r>
      <w:r>
        <w:rPr>
          <w:sz w:val="24"/>
        </w:rPr>
        <w:t>amenity</w:t>
      </w:r>
      <w:r>
        <w:rPr>
          <w:spacing w:val="40"/>
          <w:sz w:val="24"/>
        </w:rPr>
        <w:t> </w:t>
      </w:r>
      <w:r>
        <w:rPr>
          <w:sz w:val="24"/>
        </w:rPr>
        <w:t>the</w:t>
      </w:r>
      <w:r>
        <w:rPr>
          <w:spacing w:val="40"/>
          <w:sz w:val="24"/>
        </w:rPr>
        <w:t> </w:t>
      </w:r>
      <w:r>
        <w:rPr>
          <w:sz w:val="24"/>
        </w:rPr>
        <w:t>area</w:t>
      </w:r>
      <w:r>
        <w:rPr>
          <w:spacing w:val="40"/>
          <w:sz w:val="24"/>
        </w:rPr>
        <w:t> </w:t>
      </w:r>
      <w:r>
        <w:rPr>
          <w:sz w:val="24"/>
        </w:rPr>
        <w:t>of</w:t>
      </w:r>
      <w:r>
        <w:rPr>
          <w:spacing w:val="40"/>
          <w:sz w:val="24"/>
        </w:rPr>
        <w:t> </w:t>
      </w:r>
      <w:r>
        <w:rPr>
          <w:sz w:val="24"/>
        </w:rPr>
        <w:t>built</w:t>
      </w:r>
      <w:r>
        <w:rPr>
          <w:spacing w:val="40"/>
          <w:sz w:val="24"/>
        </w:rPr>
        <w:t> </w:t>
      </w:r>
      <w:r>
        <w:rPr>
          <w:sz w:val="24"/>
        </w:rPr>
        <w:t>up amenity shall be allowed free of FSI. Commencement Certificate in respect of BUA in lieu of the </w:t>
      </w:r>
      <w:r>
        <w:rPr>
          <w:spacing w:val="9"/>
          <w:sz w:val="24"/>
        </w:rPr>
        <w:t>built-</w:t>
      </w:r>
      <w:r>
        <w:rPr>
          <w:sz w:val="24"/>
        </w:rPr>
        <w:t>up amenity handed over to MCGM under AR can be granted only after handing over of such built up </w:t>
      </w:r>
      <w:r>
        <w:rPr>
          <w:spacing w:val="-2"/>
          <w:sz w:val="24"/>
        </w:rPr>
        <w:t>amenity.</w:t>
      </w:r>
    </w:p>
    <w:p>
      <w:pPr>
        <w:pStyle w:val="ListParagraph"/>
        <w:numPr>
          <w:ilvl w:val="1"/>
          <w:numId w:val="87"/>
        </w:numPr>
        <w:tabs>
          <w:tab w:pos="1697" w:val="left" w:leader="none"/>
        </w:tabs>
        <w:spacing w:line="240" w:lineRule="auto" w:before="220" w:after="0"/>
        <w:ind w:left="1351" w:right="1273" w:firstLine="0"/>
        <w:jc w:val="both"/>
        <w:rPr>
          <w:sz w:val="24"/>
        </w:rPr>
      </w:pPr>
      <w:r>
        <w:rPr>
          <w:sz w:val="24"/>
        </w:rPr>
        <w:t>In</w:t>
      </w:r>
      <w:r>
        <w:rPr>
          <w:spacing w:val="40"/>
          <w:sz w:val="24"/>
        </w:rPr>
        <w:t> </w:t>
      </w:r>
      <w:r>
        <w:rPr>
          <w:sz w:val="24"/>
        </w:rPr>
        <w:t>case</w:t>
      </w:r>
      <w:r>
        <w:rPr>
          <w:spacing w:val="40"/>
          <w:sz w:val="24"/>
        </w:rPr>
        <w:t> </w:t>
      </w:r>
      <w:r>
        <w:rPr>
          <w:sz w:val="24"/>
        </w:rPr>
        <w:t>where</w:t>
      </w:r>
      <w:r>
        <w:rPr>
          <w:spacing w:val="40"/>
          <w:sz w:val="24"/>
        </w:rPr>
        <w:t> </w:t>
      </w:r>
      <w:r>
        <w:rPr>
          <w:sz w:val="24"/>
        </w:rPr>
        <w:t>Principal</w:t>
      </w:r>
      <w:r>
        <w:rPr>
          <w:spacing w:val="40"/>
          <w:sz w:val="24"/>
        </w:rPr>
        <w:t> </w:t>
      </w:r>
      <w:r>
        <w:rPr>
          <w:sz w:val="24"/>
        </w:rPr>
        <w:t>and</w:t>
      </w:r>
      <w:r>
        <w:rPr>
          <w:spacing w:val="40"/>
          <w:sz w:val="24"/>
        </w:rPr>
        <w:t> </w:t>
      </w:r>
      <w:r>
        <w:rPr>
          <w:sz w:val="24"/>
        </w:rPr>
        <w:t>Ancillary</w:t>
      </w:r>
      <w:r>
        <w:rPr>
          <w:spacing w:val="40"/>
          <w:sz w:val="24"/>
        </w:rPr>
        <w:t> </w:t>
      </w:r>
      <w:r>
        <w:rPr>
          <w:sz w:val="24"/>
        </w:rPr>
        <w:t>users</w:t>
      </w:r>
      <w:r>
        <w:rPr>
          <w:spacing w:val="80"/>
          <w:sz w:val="24"/>
        </w:rPr>
        <w:t> </w:t>
      </w:r>
      <w:r>
        <w:rPr>
          <w:sz w:val="24"/>
        </w:rPr>
        <w:t>are</w:t>
      </w:r>
      <w:r>
        <w:rPr>
          <w:spacing w:val="40"/>
          <w:sz w:val="24"/>
        </w:rPr>
        <w:t> </w:t>
      </w:r>
      <w:r>
        <w:rPr>
          <w:sz w:val="24"/>
        </w:rPr>
        <w:t>not</w:t>
      </w:r>
      <w:r>
        <w:rPr>
          <w:spacing w:val="40"/>
          <w:sz w:val="24"/>
        </w:rPr>
        <w:t> </w:t>
      </w:r>
      <w:r>
        <w:rPr>
          <w:sz w:val="24"/>
        </w:rPr>
        <w:t>reflected</w:t>
      </w:r>
      <w:r>
        <w:rPr>
          <w:spacing w:val="40"/>
          <w:sz w:val="24"/>
        </w:rPr>
        <w:t> </w:t>
      </w:r>
      <w:r>
        <w:rPr>
          <w:sz w:val="24"/>
        </w:rPr>
        <w:t>in</w:t>
      </w:r>
      <w:r>
        <w:rPr>
          <w:spacing w:val="40"/>
          <w:sz w:val="24"/>
        </w:rPr>
        <w:t> </w:t>
      </w:r>
      <w:r>
        <w:rPr>
          <w:sz w:val="24"/>
        </w:rPr>
        <w:t>the above table but are compatible to the </w:t>
      </w:r>
      <w:r>
        <w:rPr>
          <w:spacing w:val="9"/>
          <w:sz w:val="24"/>
        </w:rPr>
        <w:t>reservation </w:t>
      </w:r>
      <w:r>
        <w:rPr>
          <w:sz w:val="24"/>
        </w:rPr>
        <w:t>development,</w:t>
      </w:r>
      <w:r>
        <w:rPr>
          <w:spacing w:val="40"/>
          <w:sz w:val="24"/>
        </w:rPr>
        <w:t> </w:t>
      </w:r>
      <w:r>
        <w:rPr>
          <w:sz w:val="24"/>
        </w:rPr>
        <w:t>such uses shall be permissible with the special permission of the </w:t>
      </w:r>
      <w:r>
        <w:rPr>
          <w:spacing w:val="7"/>
          <w:sz w:val="24"/>
        </w:rPr>
        <w:t>Commissioner.</w:t>
      </w:r>
    </w:p>
    <w:p>
      <w:pPr>
        <w:pStyle w:val="ListParagraph"/>
        <w:numPr>
          <w:ilvl w:val="1"/>
          <w:numId w:val="87"/>
        </w:numPr>
        <w:tabs>
          <w:tab w:pos="1659" w:val="left" w:leader="none"/>
        </w:tabs>
        <w:spacing w:line="240" w:lineRule="auto" w:before="220" w:after="0"/>
        <w:ind w:left="1351" w:right="1269" w:firstLine="0"/>
        <w:jc w:val="both"/>
        <w:rPr>
          <w:sz w:val="24"/>
        </w:rPr>
      </w:pPr>
      <w:r>
        <w:rPr>
          <w:sz w:val="24"/>
        </w:rPr>
        <w:t>In case of development of the plot reserved for Public Open Spaces under AR as per Serial No. 15, 16 &amp; 48 &amp; 49 of Table No 5, the provisions</w:t>
      </w:r>
      <w:r>
        <w:rPr>
          <w:spacing w:val="40"/>
          <w:sz w:val="24"/>
        </w:rPr>
        <w:t> </w:t>
      </w:r>
      <w:r>
        <w:rPr>
          <w:sz w:val="24"/>
        </w:rPr>
        <w:t>of</w:t>
      </w:r>
      <w:r>
        <w:rPr>
          <w:spacing w:val="80"/>
          <w:sz w:val="24"/>
        </w:rPr>
        <w:t> </w:t>
      </w:r>
      <w:r>
        <w:rPr>
          <w:sz w:val="24"/>
        </w:rPr>
        <w:t>Regulation</w:t>
      </w:r>
      <w:r>
        <w:rPr>
          <w:spacing w:val="40"/>
          <w:sz w:val="24"/>
        </w:rPr>
        <w:t> </w:t>
      </w:r>
      <w:r>
        <w:rPr>
          <w:sz w:val="24"/>
        </w:rPr>
        <w:t>No.27</w:t>
      </w:r>
      <w:r>
        <w:rPr>
          <w:spacing w:val="40"/>
          <w:sz w:val="24"/>
        </w:rPr>
        <w:t> </w:t>
      </w:r>
      <w:r>
        <w:rPr>
          <w:sz w:val="24"/>
        </w:rPr>
        <w:t>may</w:t>
      </w:r>
      <w:r>
        <w:rPr>
          <w:spacing w:val="40"/>
          <w:sz w:val="24"/>
        </w:rPr>
        <w:t> </w:t>
      </w:r>
      <w:r>
        <w:rPr>
          <w:sz w:val="24"/>
        </w:rPr>
        <w:t>not</w:t>
      </w:r>
      <w:r>
        <w:rPr>
          <w:spacing w:val="40"/>
          <w:sz w:val="24"/>
        </w:rPr>
        <w:t> </w:t>
      </w:r>
      <w:r>
        <w:rPr>
          <w:sz w:val="24"/>
        </w:rPr>
        <w:t>be</w:t>
      </w:r>
      <w:r>
        <w:rPr>
          <w:spacing w:val="80"/>
          <w:sz w:val="24"/>
        </w:rPr>
        <w:t> </w:t>
      </w:r>
      <w:r>
        <w:rPr>
          <w:sz w:val="24"/>
        </w:rPr>
        <w:t>insisted.</w:t>
      </w:r>
    </w:p>
    <w:p>
      <w:pPr>
        <w:pStyle w:val="ListParagraph"/>
        <w:numPr>
          <w:ilvl w:val="1"/>
          <w:numId w:val="87"/>
        </w:numPr>
        <w:tabs>
          <w:tab w:pos="1695" w:val="left" w:leader="none"/>
        </w:tabs>
        <w:spacing w:line="240" w:lineRule="auto" w:before="221" w:after="0"/>
        <w:ind w:left="1351" w:right="1268" w:firstLine="0"/>
        <w:jc w:val="both"/>
        <w:rPr>
          <w:sz w:val="24"/>
        </w:rPr>
      </w:pPr>
      <w:r>
        <w:rPr>
          <w:sz w:val="24"/>
        </w:rPr>
        <w:t>In case a reserved plot under Sr. No.1 of Table No 5 (Municipal School) is developed and run entirely by the private owner, then conditions, including admissions, stipulated by the Municipal Commissioner</w:t>
      </w:r>
      <w:r>
        <w:rPr>
          <w:spacing w:val="40"/>
          <w:sz w:val="24"/>
        </w:rPr>
        <w:t> </w:t>
      </w:r>
      <w:r>
        <w:rPr>
          <w:sz w:val="24"/>
        </w:rPr>
        <w:t>shall</w:t>
      </w:r>
      <w:r>
        <w:rPr>
          <w:spacing w:val="40"/>
          <w:sz w:val="24"/>
        </w:rPr>
        <w:t> </w:t>
      </w:r>
      <w:r>
        <w:rPr>
          <w:sz w:val="24"/>
        </w:rPr>
        <w:t>be</w:t>
      </w:r>
      <w:r>
        <w:rPr>
          <w:spacing w:val="40"/>
          <w:sz w:val="24"/>
        </w:rPr>
        <w:t> </w:t>
      </w:r>
      <w:r>
        <w:rPr>
          <w:sz w:val="24"/>
        </w:rPr>
        <w:t>applicable.</w:t>
      </w:r>
    </w:p>
    <w:p>
      <w:pPr>
        <w:pStyle w:val="ListParagraph"/>
        <w:numPr>
          <w:ilvl w:val="1"/>
          <w:numId w:val="87"/>
        </w:numPr>
        <w:tabs>
          <w:tab w:pos="1714" w:val="left" w:leader="none"/>
        </w:tabs>
        <w:spacing w:line="240" w:lineRule="auto" w:before="220" w:after="0"/>
        <w:ind w:left="1351" w:right="1265" w:firstLine="0"/>
        <w:jc w:val="both"/>
        <w:rPr>
          <w:sz w:val="24"/>
        </w:rPr>
      </w:pPr>
      <w:r>
        <w:rPr>
          <w:sz w:val="24"/>
        </w:rPr>
        <w:t>Where a private plot is notified by GOM or reserved in DP for infrastructure related facilities in respect of public </w:t>
      </w:r>
      <w:r>
        <w:rPr>
          <w:spacing w:val="9"/>
          <w:sz w:val="24"/>
        </w:rPr>
        <w:t>transportation </w:t>
      </w:r>
      <w:r>
        <w:rPr>
          <w:sz w:val="24"/>
        </w:rPr>
        <w:t>authorities (such as MRVC, MMRDA, BEST etc.) &amp; specialized public amenity</w:t>
      </w:r>
      <w:r>
        <w:rPr>
          <w:spacing w:val="40"/>
          <w:sz w:val="24"/>
        </w:rPr>
        <w:t> </w:t>
      </w:r>
      <w:r>
        <w:rPr>
          <w:sz w:val="24"/>
        </w:rPr>
        <w:t>such</w:t>
      </w:r>
      <w:r>
        <w:rPr>
          <w:spacing w:val="40"/>
          <w:sz w:val="24"/>
        </w:rPr>
        <w:t> </w:t>
      </w:r>
      <w:r>
        <w:rPr>
          <w:sz w:val="24"/>
        </w:rPr>
        <w:t>as</w:t>
      </w:r>
      <w:r>
        <w:rPr>
          <w:spacing w:val="40"/>
          <w:sz w:val="24"/>
        </w:rPr>
        <w:t> </w:t>
      </w:r>
      <w:r>
        <w:rPr>
          <w:sz w:val="24"/>
        </w:rPr>
        <w:t>National</w:t>
      </w:r>
      <w:r>
        <w:rPr>
          <w:spacing w:val="40"/>
          <w:sz w:val="24"/>
        </w:rPr>
        <w:t> </w:t>
      </w:r>
      <w:r>
        <w:rPr>
          <w:sz w:val="24"/>
        </w:rPr>
        <w:t>Law</w:t>
      </w:r>
      <w:r>
        <w:rPr>
          <w:spacing w:val="40"/>
          <w:sz w:val="24"/>
        </w:rPr>
        <w:t> </w:t>
      </w:r>
      <w:r>
        <w:rPr>
          <w:sz w:val="24"/>
        </w:rPr>
        <w:t>University,</w:t>
      </w:r>
      <w:r>
        <w:rPr>
          <w:spacing w:val="40"/>
          <w:sz w:val="24"/>
        </w:rPr>
        <w:t> </w:t>
      </w:r>
      <w:r>
        <w:rPr>
          <w:sz w:val="24"/>
        </w:rPr>
        <w:t>the</w:t>
      </w:r>
      <w:r>
        <w:rPr>
          <w:spacing w:val="40"/>
          <w:sz w:val="24"/>
        </w:rPr>
        <w:t> </w:t>
      </w:r>
      <w:r>
        <w:rPr>
          <w:sz w:val="24"/>
        </w:rPr>
        <w:t>said</w:t>
      </w:r>
      <w:r>
        <w:rPr>
          <w:spacing w:val="40"/>
          <w:sz w:val="24"/>
        </w:rPr>
        <w:t> </w:t>
      </w:r>
      <w:r>
        <w:rPr>
          <w:sz w:val="24"/>
        </w:rPr>
        <w:t>authority</w:t>
      </w:r>
      <w:r>
        <w:rPr>
          <w:spacing w:val="40"/>
          <w:sz w:val="24"/>
        </w:rPr>
        <w:t> </w:t>
      </w:r>
      <w:r>
        <w:rPr>
          <w:sz w:val="24"/>
        </w:rPr>
        <w:t>shall have</w:t>
      </w:r>
      <w:r>
        <w:rPr>
          <w:spacing w:val="40"/>
          <w:sz w:val="24"/>
        </w:rPr>
        <w:t> </w:t>
      </w:r>
      <w:r>
        <w:rPr>
          <w:sz w:val="24"/>
        </w:rPr>
        <w:t>the</w:t>
      </w:r>
      <w:r>
        <w:rPr>
          <w:spacing w:val="40"/>
          <w:sz w:val="24"/>
        </w:rPr>
        <w:t> </w:t>
      </w:r>
      <w:r>
        <w:rPr>
          <w:sz w:val="24"/>
        </w:rPr>
        <w:t>option</w:t>
      </w:r>
      <w:r>
        <w:rPr>
          <w:spacing w:val="40"/>
          <w:sz w:val="24"/>
        </w:rPr>
        <w:t> </w:t>
      </w:r>
      <w:r>
        <w:rPr>
          <w:sz w:val="24"/>
        </w:rPr>
        <w:t>of</w:t>
      </w:r>
      <w:r>
        <w:rPr>
          <w:spacing w:val="40"/>
          <w:sz w:val="24"/>
        </w:rPr>
        <w:t> </w:t>
      </w:r>
      <w:r>
        <w:rPr>
          <w:sz w:val="24"/>
        </w:rPr>
        <w:t>acquiring</w:t>
      </w:r>
      <w:r>
        <w:rPr>
          <w:spacing w:val="40"/>
          <w:sz w:val="24"/>
        </w:rPr>
        <w:t> </w:t>
      </w:r>
      <w:r>
        <w:rPr>
          <w:sz w:val="24"/>
        </w:rPr>
        <w:t>plot</w:t>
      </w:r>
      <w:r>
        <w:rPr>
          <w:spacing w:val="40"/>
          <w:sz w:val="24"/>
        </w:rPr>
        <w:t> </w:t>
      </w:r>
      <w:r>
        <w:rPr>
          <w:sz w:val="24"/>
        </w:rPr>
        <w:t>under</w:t>
      </w:r>
      <w:r>
        <w:rPr>
          <w:spacing w:val="40"/>
          <w:sz w:val="24"/>
        </w:rPr>
        <w:t> </w:t>
      </w:r>
      <w:r>
        <w:rPr>
          <w:sz w:val="24"/>
        </w:rPr>
        <w:t>AR</w:t>
      </w:r>
      <w:r>
        <w:rPr>
          <w:spacing w:val="40"/>
          <w:sz w:val="24"/>
        </w:rPr>
        <w:t> </w:t>
      </w:r>
      <w:r>
        <w:rPr>
          <w:sz w:val="24"/>
        </w:rPr>
        <w:t>where</w:t>
      </w:r>
      <w:r>
        <w:rPr>
          <w:spacing w:val="40"/>
          <w:sz w:val="24"/>
        </w:rPr>
        <w:t> </w:t>
      </w:r>
      <w:r>
        <w:rPr>
          <w:sz w:val="24"/>
        </w:rPr>
        <w:t>50%</w:t>
      </w:r>
      <w:r>
        <w:rPr>
          <w:spacing w:val="40"/>
          <w:sz w:val="24"/>
        </w:rPr>
        <w:t> </w:t>
      </w:r>
      <w:r>
        <w:rPr>
          <w:sz w:val="24"/>
        </w:rPr>
        <w:t>of</w:t>
      </w:r>
      <w:r>
        <w:rPr>
          <w:spacing w:val="40"/>
          <w:sz w:val="24"/>
        </w:rPr>
        <w:t> </w:t>
      </w:r>
      <w:r>
        <w:rPr>
          <w:sz w:val="24"/>
        </w:rPr>
        <w:t>plot</w:t>
      </w:r>
      <w:r>
        <w:rPr>
          <w:spacing w:val="40"/>
          <w:sz w:val="24"/>
        </w:rPr>
        <w:t> </w:t>
      </w:r>
      <w:r>
        <w:rPr>
          <w:sz w:val="24"/>
        </w:rPr>
        <w:t>shall be</w:t>
      </w:r>
      <w:r>
        <w:rPr>
          <w:spacing w:val="40"/>
          <w:sz w:val="24"/>
        </w:rPr>
        <w:t> </w:t>
      </w:r>
      <w:r>
        <w:rPr>
          <w:sz w:val="24"/>
        </w:rPr>
        <w:t>handed</w:t>
      </w:r>
      <w:r>
        <w:rPr>
          <w:spacing w:val="40"/>
          <w:sz w:val="24"/>
        </w:rPr>
        <w:t> </w:t>
      </w:r>
      <w:r>
        <w:rPr>
          <w:sz w:val="24"/>
        </w:rPr>
        <w:t>over</w:t>
      </w:r>
      <w:r>
        <w:rPr>
          <w:spacing w:val="40"/>
          <w:sz w:val="24"/>
        </w:rPr>
        <w:t> </w:t>
      </w:r>
      <w:r>
        <w:rPr>
          <w:sz w:val="24"/>
        </w:rPr>
        <w:t>to</w:t>
      </w:r>
      <w:r>
        <w:rPr>
          <w:spacing w:val="40"/>
          <w:sz w:val="24"/>
        </w:rPr>
        <w:t> </w:t>
      </w:r>
      <w:r>
        <w:rPr>
          <w:sz w:val="24"/>
        </w:rPr>
        <w:t>the</w:t>
      </w:r>
      <w:r>
        <w:rPr>
          <w:spacing w:val="40"/>
          <w:sz w:val="24"/>
        </w:rPr>
        <w:t> </w:t>
      </w:r>
      <w:r>
        <w:rPr>
          <w:sz w:val="24"/>
        </w:rPr>
        <w:t>authority.</w:t>
      </w:r>
      <w:r>
        <w:rPr>
          <w:spacing w:val="80"/>
          <w:sz w:val="24"/>
        </w:rPr>
        <w:t> </w:t>
      </w:r>
      <w:r>
        <w:rPr>
          <w:sz w:val="24"/>
        </w:rPr>
        <w:t>The</w:t>
      </w:r>
      <w:r>
        <w:rPr>
          <w:spacing w:val="40"/>
          <w:sz w:val="24"/>
        </w:rPr>
        <w:t> </w:t>
      </w:r>
      <w:r>
        <w:rPr>
          <w:sz w:val="24"/>
        </w:rPr>
        <w:t>balance</w:t>
      </w:r>
      <w:r>
        <w:rPr>
          <w:spacing w:val="40"/>
          <w:sz w:val="24"/>
        </w:rPr>
        <w:t> </w:t>
      </w:r>
      <w:r>
        <w:rPr>
          <w:sz w:val="24"/>
        </w:rPr>
        <w:t>plot</w:t>
      </w:r>
      <w:r>
        <w:rPr>
          <w:spacing w:val="40"/>
          <w:sz w:val="24"/>
        </w:rPr>
        <w:t> </w:t>
      </w:r>
      <w:r>
        <w:rPr>
          <w:sz w:val="24"/>
        </w:rPr>
        <w:t>will</w:t>
      </w:r>
      <w:r>
        <w:rPr>
          <w:spacing w:val="40"/>
          <w:sz w:val="24"/>
        </w:rPr>
        <w:t> </w:t>
      </w:r>
      <w:r>
        <w:rPr>
          <w:sz w:val="24"/>
        </w:rPr>
        <w:t>be</w:t>
      </w:r>
      <w:r>
        <w:rPr>
          <w:spacing w:val="40"/>
          <w:sz w:val="24"/>
        </w:rPr>
        <w:t> </w:t>
      </w:r>
      <w:r>
        <w:rPr>
          <w:sz w:val="24"/>
        </w:rPr>
        <w:t>available for</w:t>
      </w:r>
      <w:r>
        <w:rPr>
          <w:spacing w:val="40"/>
          <w:sz w:val="24"/>
        </w:rPr>
        <w:t> </w:t>
      </w:r>
      <w:r>
        <w:rPr>
          <w:sz w:val="24"/>
        </w:rPr>
        <w:t>development</w:t>
      </w:r>
      <w:r>
        <w:rPr>
          <w:spacing w:val="40"/>
          <w:sz w:val="24"/>
        </w:rPr>
        <w:t> </w:t>
      </w:r>
      <w:r>
        <w:rPr>
          <w:sz w:val="24"/>
        </w:rPr>
        <w:t>for</w:t>
      </w:r>
      <w:r>
        <w:rPr>
          <w:spacing w:val="40"/>
          <w:sz w:val="24"/>
        </w:rPr>
        <w:t> </w:t>
      </w:r>
      <w:r>
        <w:rPr>
          <w:sz w:val="24"/>
        </w:rPr>
        <w:t>the</w:t>
      </w:r>
      <w:r>
        <w:rPr>
          <w:spacing w:val="40"/>
          <w:sz w:val="24"/>
        </w:rPr>
        <w:t> </w:t>
      </w:r>
      <w:r>
        <w:rPr>
          <w:sz w:val="24"/>
        </w:rPr>
        <w:t>Owner</w:t>
      </w:r>
      <w:r>
        <w:rPr>
          <w:spacing w:val="40"/>
          <w:sz w:val="24"/>
        </w:rPr>
        <w:t> </w:t>
      </w:r>
      <w:r>
        <w:rPr>
          <w:sz w:val="24"/>
        </w:rPr>
        <w:t>as</w:t>
      </w:r>
      <w:r>
        <w:rPr>
          <w:spacing w:val="40"/>
          <w:sz w:val="24"/>
        </w:rPr>
        <w:t> </w:t>
      </w:r>
      <w:r>
        <w:rPr>
          <w:sz w:val="24"/>
        </w:rPr>
        <w:t>permissible</w:t>
      </w:r>
      <w:r>
        <w:rPr>
          <w:spacing w:val="40"/>
          <w:sz w:val="24"/>
        </w:rPr>
        <w:t> </w:t>
      </w:r>
      <w:r>
        <w:rPr>
          <w:sz w:val="24"/>
        </w:rPr>
        <w:t>under</w:t>
      </w:r>
      <w:r>
        <w:rPr>
          <w:spacing w:val="40"/>
          <w:sz w:val="24"/>
        </w:rPr>
        <w:t> </w:t>
      </w:r>
      <w:r>
        <w:rPr>
          <w:sz w:val="24"/>
        </w:rPr>
        <w:t>these</w:t>
      </w:r>
      <w:r>
        <w:rPr>
          <w:spacing w:val="80"/>
          <w:sz w:val="24"/>
        </w:rPr>
        <w:t> </w:t>
      </w:r>
      <w:r>
        <w:rPr>
          <w:spacing w:val="-2"/>
          <w:sz w:val="24"/>
        </w:rPr>
        <w:t>regulations.</w:t>
      </w:r>
    </w:p>
    <w:p>
      <w:pPr>
        <w:pStyle w:val="ListParagraph"/>
        <w:numPr>
          <w:ilvl w:val="1"/>
          <w:numId w:val="87"/>
        </w:numPr>
        <w:tabs>
          <w:tab w:pos="1747" w:val="left" w:leader="none"/>
        </w:tabs>
        <w:spacing w:line="240" w:lineRule="auto" w:before="221" w:after="0"/>
        <w:ind w:left="1351" w:right="1260" w:firstLine="0"/>
        <w:jc w:val="both"/>
        <w:rPr>
          <w:sz w:val="24"/>
        </w:rPr>
      </w:pPr>
      <w:r>
        <w:rPr>
          <w:sz w:val="24"/>
        </w:rPr>
        <w:t>In</w:t>
      </w:r>
      <w:r>
        <w:rPr>
          <w:spacing w:val="40"/>
          <w:sz w:val="24"/>
        </w:rPr>
        <w:t> </w:t>
      </w:r>
      <w:r>
        <w:rPr>
          <w:sz w:val="24"/>
        </w:rPr>
        <w:t>case</w:t>
      </w:r>
      <w:r>
        <w:rPr>
          <w:spacing w:val="40"/>
          <w:sz w:val="24"/>
        </w:rPr>
        <w:t> </w:t>
      </w:r>
      <w:r>
        <w:rPr>
          <w:sz w:val="24"/>
        </w:rPr>
        <w:t>of</w:t>
      </w:r>
      <w:r>
        <w:rPr>
          <w:spacing w:val="40"/>
          <w:sz w:val="24"/>
        </w:rPr>
        <w:t> </w:t>
      </w:r>
      <w:r>
        <w:rPr>
          <w:sz w:val="24"/>
        </w:rPr>
        <w:t>social</w:t>
      </w:r>
      <w:r>
        <w:rPr>
          <w:spacing w:val="40"/>
          <w:sz w:val="24"/>
        </w:rPr>
        <w:t> </w:t>
      </w:r>
      <w:r>
        <w:rPr>
          <w:sz w:val="24"/>
        </w:rPr>
        <w:t>amenities,</w:t>
      </w:r>
      <w:r>
        <w:rPr>
          <w:spacing w:val="40"/>
          <w:sz w:val="24"/>
        </w:rPr>
        <w:t> </w:t>
      </w:r>
      <w:r>
        <w:rPr>
          <w:sz w:val="24"/>
        </w:rPr>
        <w:t>the</w:t>
      </w:r>
      <w:r>
        <w:rPr>
          <w:spacing w:val="9"/>
          <w:sz w:val="24"/>
        </w:rPr>
        <w:t> built-</w:t>
      </w:r>
      <w:r>
        <w:rPr>
          <w:sz w:val="24"/>
        </w:rPr>
        <w:t>up</w:t>
      </w:r>
      <w:r>
        <w:rPr>
          <w:spacing w:val="40"/>
          <w:sz w:val="24"/>
        </w:rPr>
        <w:t> </w:t>
      </w:r>
      <w:r>
        <w:rPr>
          <w:sz w:val="24"/>
        </w:rPr>
        <w:t>amenities</w:t>
      </w:r>
      <w:r>
        <w:rPr>
          <w:spacing w:val="40"/>
          <w:sz w:val="24"/>
        </w:rPr>
        <w:t> </w:t>
      </w:r>
      <w:r>
        <w:rPr>
          <w:sz w:val="24"/>
        </w:rPr>
        <w:t>received</w:t>
      </w:r>
      <w:r>
        <w:rPr>
          <w:spacing w:val="40"/>
          <w:sz w:val="24"/>
        </w:rPr>
        <w:t> </w:t>
      </w:r>
      <w:r>
        <w:rPr>
          <w:sz w:val="24"/>
        </w:rPr>
        <w:t>under AR will be made available by the MCGM to GOM for operation, either through</w:t>
      </w:r>
      <w:r>
        <w:rPr>
          <w:spacing w:val="40"/>
          <w:sz w:val="24"/>
        </w:rPr>
        <w:t> </w:t>
      </w:r>
      <w:r>
        <w:rPr>
          <w:sz w:val="24"/>
        </w:rPr>
        <w:t>its</w:t>
      </w:r>
      <w:r>
        <w:rPr>
          <w:spacing w:val="40"/>
          <w:sz w:val="24"/>
        </w:rPr>
        <w:t> </w:t>
      </w:r>
      <w:r>
        <w:rPr>
          <w:sz w:val="24"/>
        </w:rPr>
        <w:t>own</w:t>
      </w:r>
      <w:r>
        <w:rPr>
          <w:spacing w:val="40"/>
          <w:sz w:val="24"/>
        </w:rPr>
        <w:t> </w:t>
      </w:r>
      <w:r>
        <w:rPr>
          <w:sz w:val="24"/>
        </w:rPr>
        <w:t>departments</w:t>
      </w:r>
      <w:r>
        <w:rPr>
          <w:spacing w:val="40"/>
          <w:sz w:val="24"/>
        </w:rPr>
        <w:t> </w:t>
      </w:r>
      <w:r>
        <w:rPr>
          <w:sz w:val="24"/>
        </w:rPr>
        <w:t>or</w:t>
      </w:r>
      <w:r>
        <w:rPr>
          <w:spacing w:val="40"/>
          <w:sz w:val="24"/>
        </w:rPr>
        <w:t> </w:t>
      </w:r>
      <w:r>
        <w:rPr>
          <w:sz w:val="24"/>
        </w:rPr>
        <w:t>through</w:t>
      </w:r>
      <w:r>
        <w:rPr>
          <w:spacing w:val="40"/>
          <w:sz w:val="24"/>
        </w:rPr>
        <w:t> </w:t>
      </w:r>
      <w:r>
        <w:rPr>
          <w:sz w:val="24"/>
        </w:rPr>
        <w:t>other</w:t>
      </w:r>
      <w:r>
        <w:rPr>
          <w:spacing w:val="9"/>
          <w:sz w:val="24"/>
        </w:rPr>
        <w:t> institutions, </w:t>
      </w:r>
      <w:r>
        <w:rPr>
          <w:sz w:val="24"/>
        </w:rPr>
        <w:t>only</w:t>
      </w:r>
      <w:r>
        <w:rPr>
          <w:spacing w:val="40"/>
          <w:sz w:val="24"/>
        </w:rPr>
        <w:t> </w:t>
      </w:r>
      <w:r>
        <w:rPr>
          <w:sz w:val="24"/>
        </w:rPr>
        <w:t>for the</w:t>
      </w:r>
      <w:r>
        <w:rPr>
          <w:spacing w:val="40"/>
          <w:sz w:val="24"/>
        </w:rPr>
        <w:t> </w:t>
      </w:r>
      <w:r>
        <w:rPr>
          <w:sz w:val="24"/>
        </w:rPr>
        <w:t>intended</w:t>
      </w:r>
      <w:r>
        <w:rPr>
          <w:spacing w:val="40"/>
          <w:sz w:val="24"/>
        </w:rPr>
        <w:t> </w:t>
      </w:r>
      <w:r>
        <w:rPr>
          <w:sz w:val="24"/>
        </w:rPr>
        <w:t>purpose</w:t>
      </w:r>
      <w:r>
        <w:rPr>
          <w:spacing w:val="40"/>
          <w:sz w:val="24"/>
        </w:rPr>
        <w:t> </w:t>
      </w:r>
      <w:r>
        <w:rPr>
          <w:sz w:val="24"/>
        </w:rPr>
        <w:t>on</w:t>
      </w:r>
      <w:r>
        <w:rPr>
          <w:spacing w:val="40"/>
          <w:sz w:val="24"/>
        </w:rPr>
        <w:t> </w:t>
      </w:r>
      <w:r>
        <w:rPr>
          <w:sz w:val="24"/>
        </w:rPr>
        <w:t>terms</w:t>
      </w:r>
      <w:r>
        <w:rPr>
          <w:spacing w:val="40"/>
          <w:sz w:val="24"/>
        </w:rPr>
        <w:t> </w:t>
      </w:r>
      <w:r>
        <w:rPr>
          <w:sz w:val="24"/>
        </w:rPr>
        <w:t>&amp;</w:t>
      </w:r>
      <w:r>
        <w:rPr>
          <w:spacing w:val="40"/>
          <w:sz w:val="24"/>
        </w:rPr>
        <w:t> </w:t>
      </w:r>
      <w:r>
        <w:rPr>
          <w:sz w:val="24"/>
        </w:rPr>
        <w:t>conditions</w:t>
      </w:r>
      <w:r>
        <w:rPr>
          <w:spacing w:val="40"/>
          <w:sz w:val="24"/>
        </w:rPr>
        <w:t> </w:t>
      </w:r>
      <w:r>
        <w:rPr>
          <w:sz w:val="24"/>
        </w:rPr>
        <w:t>as</w:t>
      </w:r>
      <w:r>
        <w:rPr>
          <w:spacing w:val="40"/>
          <w:sz w:val="24"/>
        </w:rPr>
        <w:t> </w:t>
      </w:r>
      <w:r>
        <w:rPr>
          <w:sz w:val="24"/>
        </w:rPr>
        <w:t>decided</w:t>
      </w:r>
      <w:r>
        <w:rPr>
          <w:spacing w:val="40"/>
          <w:sz w:val="24"/>
        </w:rPr>
        <w:t> </w:t>
      </w:r>
      <w:r>
        <w:rPr>
          <w:sz w:val="24"/>
        </w:rPr>
        <w:t>by</w:t>
      </w:r>
      <w:r>
        <w:rPr>
          <w:spacing w:val="40"/>
          <w:sz w:val="24"/>
        </w:rPr>
        <w:t> </w:t>
      </w:r>
      <w:r>
        <w:rPr>
          <w:sz w:val="24"/>
        </w:rPr>
        <w:t>GOM. MCGM</w:t>
      </w:r>
      <w:r>
        <w:rPr>
          <w:spacing w:val="40"/>
          <w:sz w:val="24"/>
        </w:rPr>
        <w:t> </w:t>
      </w:r>
      <w:r>
        <w:rPr>
          <w:sz w:val="24"/>
        </w:rPr>
        <w:t>shall</w:t>
      </w:r>
      <w:r>
        <w:rPr>
          <w:spacing w:val="40"/>
          <w:sz w:val="24"/>
        </w:rPr>
        <w:t> </w:t>
      </w:r>
      <w:r>
        <w:rPr>
          <w:sz w:val="24"/>
        </w:rPr>
        <w:t>have</w:t>
      </w:r>
      <w:r>
        <w:rPr>
          <w:spacing w:val="40"/>
          <w:sz w:val="24"/>
        </w:rPr>
        <w:t> </w:t>
      </w:r>
      <w:r>
        <w:rPr>
          <w:sz w:val="24"/>
        </w:rPr>
        <w:t>the</w:t>
      </w:r>
      <w:r>
        <w:rPr>
          <w:spacing w:val="40"/>
          <w:sz w:val="24"/>
        </w:rPr>
        <w:t> </w:t>
      </w:r>
      <w:r>
        <w:rPr>
          <w:sz w:val="24"/>
        </w:rPr>
        <w:t>option</w:t>
      </w:r>
      <w:r>
        <w:rPr>
          <w:spacing w:val="40"/>
          <w:sz w:val="24"/>
        </w:rPr>
        <w:t> </w:t>
      </w:r>
      <w:r>
        <w:rPr>
          <w:sz w:val="24"/>
        </w:rPr>
        <w:t>of</w:t>
      </w:r>
      <w:r>
        <w:rPr>
          <w:spacing w:val="40"/>
          <w:sz w:val="24"/>
        </w:rPr>
        <w:t> </w:t>
      </w:r>
      <w:r>
        <w:rPr>
          <w:sz w:val="24"/>
        </w:rPr>
        <w:t>running</w:t>
      </w:r>
      <w:r>
        <w:rPr>
          <w:spacing w:val="40"/>
          <w:sz w:val="24"/>
        </w:rPr>
        <w:t> </w:t>
      </w:r>
      <w:r>
        <w:rPr>
          <w:sz w:val="24"/>
        </w:rPr>
        <w:t>such</w:t>
      </w:r>
      <w:r>
        <w:rPr>
          <w:spacing w:val="40"/>
          <w:sz w:val="24"/>
        </w:rPr>
        <w:t> </w:t>
      </w:r>
      <w:r>
        <w:rPr>
          <w:sz w:val="24"/>
        </w:rPr>
        <w:t>facility</w:t>
      </w:r>
      <w:r>
        <w:rPr>
          <w:spacing w:val="40"/>
          <w:sz w:val="24"/>
        </w:rPr>
        <w:t> </w:t>
      </w:r>
      <w:r>
        <w:rPr>
          <w:sz w:val="24"/>
        </w:rPr>
        <w:t>wherever</w:t>
      </w:r>
      <w:r>
        <w:rPr>
          <w:spacing w:val="40"/>
          <w:sz w:val="24"/>
        </w:rPr>
        <w:t> </w:t>
      </w:r>
      <w:r>
        <w:rPr>
          <w:sz w:val="24"/>
        </w:rPr>
        <w:t>it decides</w:t>
      </w:r>
      <w:r>
        <w:rPr>
          <w:spacing w:val="40"/>
          <w:sz w:val="24"/>
        </w:rPr>
        <w:t> </w:t>
      </w:r>
      <w:r>
        <w:rPr>
          <w:sz w:val="24"/>
        </w:rPr>
        <w:t>to</w:t>
      </w:r>
      <w:r>
        <w:rPr>
          <w:spacing w:val="40"/>
          <w:sz w:val="24"/>
        </w:rPr>
        <w:t> </w:t>
      </w:r>
      <w:r>
        <w:rPr>
          <w:sz w:val="24"/>
        </w:rPr>
        <w:t>do</w:t>
      </w:r>
      <w:r>
        <w:rPr>
          <w:spacing w:val="40"/>
          <w:sz w:val="24"/>
        </w:rPr>
        <w:t> </w:t>
      </w:r>
      <w:r>
        <w:rPr>
          <w:sz w:val="24"/>
        </w:rPr>
        <w:t>so,</w:t>
      </w:r>
      <w:r>
        <w:rPr>
          <w:spacing w:val="40"/>
          <w:sz w:val="24"/>
        </w:rPr>
        <w:t> </w:t>
      </w:r>
      <w:r>
        <w:rPr>
          <w:sz w:val="24"/>
        </w:rPr>
        <w:t>by</w:t>
      </w:r>
      <w:r>
        <w:rPr>
          <w:spacing w:val="40"/>
          <w:sz w:val="24"/>
        </w:rPr>
        <w:t> </w:t>
      </w:r>
      <w:r>
        <w:rPr>
          <w:sz w:val="24"/>
        </w:rPr>
        <w:t>formulating</w:t>
      </w:r>
      <w:r>
        <w:rPr>
          <w:spacing w:val="40"/>
          <w:sz w:val="24"/>
        </w:rPr>
        <w:t> </w:t>
      </w:r>
      <w:r>
        <w:rPr>
          <w:sz w:val="24"/>
        </w:rPr>
        <w:t>the</w:t>
      </w:r>
      <w:r>
        <w:rPr>
          <w:spacing w:val="40"/>
          <w:sz w:val="24"/>
        </w:rPr>
        <w:t> </w:t>
      </w:r>
      <w:r>
        <w:rPr>
          <w:sz w:val="24"/>
        </w:rPr>
        <w:t>guidelines</w:t>
      </w:r>
      <w:r>
        <w:rPr>
          <w:spacing w:val="40"/>
          <w:sz w:val="24"/>
        </w:rPr>
        <w:t> </w:t>
      </w:r>
      <w:r>
        <w:rPr>
          <w:sz w:val="24"/>
        </w:rPr>
        <w:t>for</w:t>
      </w:r>
      <w:r>
        <w:rPr>
          <w:spacing w:val="40"/>
          <w:sz w:val="24"/>
        </w:rPr>
        <w:t> </w:t>
      </w:r>
      <w:r>
        <w:rPr>
          <w:sz w:val="24"/>
        </w:rPr>
        <w:t>the </w:t>
      </w:r>
      <w:r>
        <w:rPr>
          <w:spacing w:val="-2"/>
          <w:sz w:val="24"/>
        </w:rPr>
        <w:t>implementation.</w:t>
      </w:r>
    </w:p>
    <w:p>
      <w:pPr>
        <w:pStyle w:val="ListParagraph"/>
        <w:numPr>
          <w:ilvl w:val="1"/>
          <w:numId w:val="87"/>
        </w:numPr>
        <w:tabs>
          <w:tab w:pos="1882" w:val="left" w:leader="none"/>
        </w:tabs>
        <w:spacing w:line="240" w:lineRule="auto" w:before="240" w:after="0"/>
        <w:ind w:left="1351" w:right="1273" w:firstLine="0"/>
        <w:jc w:val="both"/>
        <w:rPr>
          <w:sz w:val="24"/>
        </w:rPr>
      </w:pPr>
      <w:r>
        <w:rPr>
          <w:sz w:val="24"/>
        </w:rPr>
        <w:t>In case of development, of unreserved plot, for the purposes mentioned</w:t>
      </w:r>
      <w:r>
        <w:rPr>
          <w:spacing w:val="40"/>
          <w:sz w:val="24"/>
        </w:rPr>
        <w:t> </w:t>
      </w:r>
      <w:r>
        <w:rPr>
          <w:sz w:val="24"/>
        </w:rPr>
        <w:t>in</w:t>
      </w:r>
      <w:r>
        <w:rPr>
          <w:spacing w:val="40"/>
          <w:sz w:val="24"/>
        </w:rPr>
        <w:t> </w:t>
      </w:r>
      <w:r>
        <w:rPr>
          <w:sz w:val="24"/>
        </w:rPr>
        <w:t>Table</w:t>
      </w:r>
      <w:r>
        <w:rPr>
          <w:spacing w:val="40"/>
          <w:sz w:val="24"/>
        </w:rPr>
        <w:t> </w:t>
      </w:r>
      <w:r>
        <w:rPr>
          <w:sz w:val="24"/>
        </w:rPr>
        <w:t>No</w:t>
      </w:r>
      <w:r>
        <w:rPr>
          <w:spacing w:val="40"/>
          <w:sz w:val="24"/>
        </w:rPr>
        <w:t> </w:t>
      </w:r>
      <w:r>
        <w:rPr>
          <w:sz w:val="24"/>
        </w:rPr>
        <w:t>4</w:t>
      </w:r>
      <w:r>
        <w:rPr>
          <w:spacing w:val="40"/>
          <w:sz w:val="24"/>
        </w:rPr>
        <w:t> </w:t>
      </w:r>
      <w:r>
        <w:rPr>
          <w:sz w:val="24"/>
        </w:rPr>
        <w:t>&amp;</w:t>
      </w:r>
      <w:r>
        <w:rPr>
          <w:spacing w:val="40"/>
          <w:sz w:val="24"/>
        </w:rPr>
        <w:t> </w:t>
      </w:r>
      <w:r>
        <w:rPr>
          <w:sz w:val="24"/>
        </w:rPr>
        <w:t>5,</w:t>
      </w:r>
      <w:r>
        <w:rPr>
          <w:spacing w:val="40"/>
          <w:sz w:val="24"/>
        </w:rPr>
        <w:t> </w:t>
      </w:r>
      <w:r>
        <w:rPr>
          <w:sz w:val="24"/>
        </w:rPr>
        <w:t>permissible</w:t>
      </w:r>
      <w:r>
        <w:rPr>
          <w:spacing w:val="40"/>
          <w:sz w:val="24"/>
        </w:rPr>
        <w:t> </w:t>
      </w:r>
      <w:r>
        <w:rPr>
          <w:sz w:val="24"/>
        </w:rPr>
        <w:t>uses</w:t>
      </w:r>
      <w:r>
        <w:rPr>
          <w:spacing w:val="40"/>
          <w:sz w:val="24"/>
        </w:rPr>
        <w:t> </w:t>
      </w:r>
      <w:r>
        <w:rPr>
          <w:sz w:val="24"/>
        </w:rPr>
        <w:t>and</w:t>
      </w:r>
      <w:r>
        <w:rPr>
          <w:spacing w:val="40"/>
          <w:sz w:val="24"/>
        </w:rPr>
        <w:t> </w:t>
      </w:r>
      <w:r>
        <w:rPr>
          <w:sz w:val="24"/>
        </w:rPr>
        <w:t>the</w:t>
      </w:r>
      <w:r>
        <w:rPr>
          <w:spacing w:val="40"/>
          <w:sz w:val="24"/>
        </w:rPr>
        <w:t> </w:t>
      </w:r>
      <w:r>
        <w:rPr>
          <w:sz w:val="24"/>
        </w:rPr>
        <w:t>ancillary activity</w:t>
      </w:r>
      <w:r>
        <w:rPr>
          <w:spacing w:val="40"/>
          <w:sz w:val="24"/>
        </w:rPr>
        <w:t> </w:t>
      </w:r>
      <w:r>
        <w:rPr>
          <w:sz w:val="24"/>
        </w:rPr>
        <w:t>as</w:t>
      </w:r>
      <w:r>
        <w:rPr>
          <w:spacing w:val="40"/>
          <w:sz w:val="24"/>
        </w:rPr>
        <w:t> </w:t>
      </w:r>
      <w:r>
        <w:rPr>
          <w:sz w:val="24"/>
        </w:rPr>
        <w:t>specified</w:t>
      </w:r>
      <w:r>
        <w:rPr>
          <w:spacing w:val="40"/>
          <w:sz w:val="24"/>
        </w:rPr>
        <w:t> </w:t>
      </w:r>
      <w:r>
        <w:rPr>
          <w:sz w:val="24"/>
        </w:rPr>
        <w:t>in</w:t>
      </w:r>
      <w:r>
        <w:rPr>
          <w:spacing w:val="40"/>
          <w:sz w:val="24"/>
        </w:rPr>
        <w:t> </w:t>
      </w:r>
      <w:r>
        <w:rPr>
          <w:sz w:val="24"/>
        </w:rPr>
        <w:t>Table</w:t>
      </w:r>
      <w:r>
        <w:rPr>
          <w:spacing w:val="40"/>
          <w:sz w:val="24"/>
        </w:rPr>
        <w:t> </w:t>
      </w:r>
      <w:r>
        <w:rPr>
          <w:sz w:val="24"/>
        </w:rPr>
        <w:t>No</w:t>
      </w:r>
      <w:r>
        <w:rPr>
          <w:spacing w:val="40"/>
          <w:sz w:val="24"/>
        </w:rPr>
        <w:t> </w:t>
      </w:r>
      <w:r>
        <w:rPr>
          <w:sz w:val="24"/>
        </w:rPr>
        <w:t>4</w:t>
      </w:r>
      <w:r>
        <w:rPr>
          <w:spacing w:val="40"/>
          <w:sz w:val="24"/>
        </w:rPr>
        <w:t> </w:t>
      </w:r>
      <w:r>
        <w:rPr>
          <w:sz w:val="24"/>
        </w:rPr>
        <w:t>&amp;</w:t>
      </w:r>
      <w:r>
        <w:rPr>
          <w:spacing w:val="40"/>
          <w:sz w:val="24"/>
        </w:rPr>
        <w:t> </w:t>
      </w:r>
      <w:r>
        <w:rPr>
          <w:sz w:val="24"/>
        </w:rPr>
        <w:t>5</w:t>
      </w:r>
      <w:r>
        <w:rPr>
          <w:spacing w:val="80"/>
          <w:sz w:val="24"/>
        </w:rPr>
        <w:t>  </w:t>
      </w:r>
      <w:r>
        <w:rPr>
          <w:sz w:val="24"/>
        </w:rPr>
        <w:t>will</w:t>
      </w:r>
      <w:r>
        <w:rPr>
          <w:spacing w:val="40"/>
          <w:sz w:val="24"/>
        </w:rPr>
        <w:t> </w:t>
      </w:r>
      <w:r>
        <w:rPr>
          <w:sz w:val="24"/>
        </w:rPr>
        <w:t>be</w:t>
      </w:r>
      <w:r>
        <w:rPr>
          <w:spacing w:val="40"/>
          <w:sz w:val="24"/>
        </w:rPr>
        <w:t> </w:t>
      </w:r>
      <w:r>
        <w:rPr>
          <w:sz w:val="24"/>
        </w:rPr>
        <w:t>permissible.</w:t>
      </w:r>
    </w:p>
    <w:p>
      <w:pPr>
        <w:pStyle w:val="ListParagraph"/>
        <w:numPr>
          <w:ilvl w:val="1"/>
          <w:numId w:val="87"/>
        </w:numPr>
        <w:tabs>
          <w:tab w:pos="1872" w:val="left" w:leader="none"/>
        </w:tabs>
        <w:spacing w:line="240" w:lineRule="auto" w:before="121" w:after="0"/>
        <w:ind w:left="1351" w:right="1267" w:firstLine="0"/>
        <w:jc w:val="both"/>
        <w:rPr>
          <w:sz w:val="24"/>
        </w:rPr>
      </w:pPr>
      <w:r>
        <w:rPr>
          <w:sz w:val="24"/>
        </w:rPr>
        <w:t>Structures constructed in existing POS, with due sanction of Competent Authority, before coming into force of these </w:t>
      </w:r>
      <w:r>
        <w:rPr>
          <w:spacing w:val="9"/>
          <w:sz w:val="24"/>
        </w:rPr>
        <w:t>regulations </w:t>
      </w:r>
      <w:r>
        <w:rPr>
          <w:sz w:val="24"/>
        </w:rPr>
        <w:t>stand </w:t>
      </w:r>
      <w:r>
        <w:rPr>
          <w:spacing w:val="9"/>
          <w:sz w:val="24"/>
        </w:rPr>
        <w:t>protected.</w:t>
      </w:r>
    </w:p>
    <w:p>
      <w:pPr>
        <w:pStyle w:val="ListParagraph"/>
        <w:numPr>
          <w:ilvl w:val="1"/>
          <w:numId w:val="87"/>
        </w:numPr>
        <w:tabs>
          <w:tab w:pos="2035" w:val="left" w:leader="none"/>
        </w:tabs>
        <w:spacing w:line="240" w:lineRule="auto" w:before="239" w:after="0"/>
        <w:ind w:left="1351" w:right="1275" w:firstLine="0"/>
        <w:jc w:val="both"/>
        <w:rPr>
          <w:sz w:val="24"/>
        </w:rPr>
      </w:pPr>
      <w:r>
        <w:rPr>
          <w:sz w:val="24"/>
        </w:rPr>
        <w:t>Existing</w:t>
      </w:r>
      <w:r>
        <w:rPr>
          <w:spacing w:val="40"/>
          <w:sz w:val="24"/>
        </w:rPr>
        <w:t> </w:t>
      </w:r>
      <w:r>
        <w:rPr>
          <w:sz w:val="24"/>
        </w:rPr>
        <w:t>POS,</w:t>
      </w:r>
      <w:r>
        <w:rPr>
          <w:spacing w:val="40"/>
          <w:sz w:val="24"/>
        </w:rPr>
        <w:t> </w:t>
      </w:r>
      <w:r>
        <w:rPr>
          <w:sz w:val="24"/>
        </w:rPr>
        <w:t>with</w:t>
      </w:r>
      <w:r>
        <w:rPr>
          <w:spacing w:val="40"/>
          <w:sz w:val="24"/>
        </w:rPr>
        <w:t> </w:t>
      </w:r>
      <w:r>
        <w:rPr>
          <w:sz w:val="24"/>
        </w:rPr>
        <w:t>encumbered</w:t>
      </w:r>
      <w:r>
        <w:rPr>
          <w:spacing w:val="40"/>
          <w:sz w:val="24"/>
        </w:rPr>
        <w:t> </w:t>
      </w:r>
      <w:r>
        <w:rPr>
          <w:sz w:val="24"/>
        </w:rPr>
        <w:t>structures</w:t>
      </w:r>
      <w:r>
        <w:rPr>
          <w:spacing w:val="40"/>
          <w:sz w:val="24"/>
        </w:rPr>
        <w:t> </w:t>
      </w:r>
      <w:r>
        <w:rPr>
          <w:sz w:val="24"/>
        </w:rPr>
        <w:t>shall</w:t>
      </w:r>
      <w:r>
        <w:rPr>
          <w:spacing w:val="40"/>
          <w:sz w:val="24"/>
        </w:rPr>
        <w:t> </w:t>
      </w:r>
      <w:r>
        <w:rPr>
          <w:sz w:val="24"/>
        </w:rPr>
        <w:t>be</w:t>
      </w:r>
      <w:r>
        <w:rPr>
          <w:spacing w:val="40"/>
          <w:sz w:val="24"/>
        </w:rPr>
        <w:t> </w:t>
      </w:r>
      <w:r>
        <w:rPr>
          <w:sz w:val="24"/>
        </w:rPr>
        <w:t>cleared</w:t>
      </w:r>
      <w:r>
        <w:rPr>
          <w:spacing w:val="40"/>
          <w:sz w:val="24"/>
        </w:rPr>
        <w:t> </w:t>
      </w:r>
      <w:r>
        <w:rPr>
          <w:sz w:val="24"/>
        </w:rPr>
        <w:t>of the encumbrances and shall be maintained entirely for the intended purpose only and cannot be developed under any redevelopment</w:t>
      </w:r>
      <w:r>
        <w:rPr>
          <w:spacing w:val="40"/>
          <w:sz w:val="24"/>
        </w:rPr>
        <w:t> </w:t>
      </w:r>
      <w:r>
        <w:rPr>
          <w:spacing w:val="-2"/>
          <w:sz w:val="24"/>
        </w:rPr>
        <w:t>scheme.</w:t>
      </w:r>
    </w:p>
    <w:p>
      <w:pPr>
        <w:pStyle w:val="ListParagraph"/>
        <w:numPr>
          <w:ilvl w:val="1"/>
          <w:numId w:val="87"/>
        </w:numPr>
        <w:tabs>
          <w:tab w:pos="1913" w:val="left" w:leader="none"/>
        </w:tabs>
        <w:spacing w:line="240" w:lineRule="auto" w:before="119" w:after="0"/>
        <w:ind w:left="1913" w:right="0" w:hanging="562"/>
        <w:jc w:val="both"/>
        <w:rPr>
          <w:sz w:val="24"/>
        </w:rPr>
      </w:pPr>
      <w:r>
        <w:rPr>
          <w:sz w:val="24"/>
        </w:rPr>
        <w:t>Existing</w:t>
      </w:r>
      <w:r>
        <w:rPr>
          <w:spacing w:val="33"/>
          <w:sz w:val="24"/>
        </w:rPr>
        <w:t>  </w:t>
      </w:r>
      <w:r>
        <w:rPr>
          <w:sz w:val="24"/>
        </w:rPr>
        <w:t>Play</w:t>
      </w:r>
      <w:r>
        <w:rPr>
          <w:spacing w:val="35"/>
          <w:sz w:val="24"/>
        </w:rPr>
        <w:t>  </w:t>
      </w:r>
      <w:r>
        <w:rPr>
          <w:sz w:val="24"/>
        </w:rPr>
        <w:t>Ground</w:t>
      </w:r>
      <w:r>
        <w:rPr>
          <w:spacing w:val="34"/>
          <w:sz w:val="24"/>
        </w:rPr>
        <w:t>  </w:t>
      </w:r>
      <w:r>
        <w:rPr>
          <w:sz w:val="24"/>
        </w:rPr>
        <w:t>attached</w:t>
      </w:r>
      <w:r>
        <w:rPr>
          <w:spacing w:val="35"/>
          <w:sz w:val="24"/>
        </w:rPr>
        <w:t>  </w:t>
      </w:r>
      <w:r>
        <w:rPr>
          <w:sz w:val="24"/>
        </w:rPr>
        <w:t>to</w:t>
      </w:r>
      <w:r>
        <w:rPr>
          <w:spacing w:val="33"/>
          <w:sz w:val="24"/>
        </w:rPr>
        <w:t>  </w:t>
      </w:r>
      <w:r>
        <w:rPr>
          <w:sz w:val="24"/>
        </w:rPr>
        <w:t>Educational</w:t>
      </w:r>
      <w:r>
        <w:rPr>
          <w:spacing w:val="33"/>
          <w:sz w:val="24"/>
        </w:rPr>
        <w:t>  </w:t>
      </w:r>
      <w:r>
        <w:rPr>
          <w:sz w:val="24"/>
        </w:rPr>
        <w:t>and</w:t>
      </w:r>
      <w:r>
        <w:rPr>
          <w:spacing w:val="34"/>
          <w:sz w:val="24"/>
        </w:rPr>
        <w:t>  </w:t>
      </w:r>
      <w:r>
        <w:rPr>
          <w:spacing w:val="-2"/>
          <w:sz w:val="24"/>
        </w:rPr>
        <w:t>Medical</w:t>
      </w:r>
    </w:p>
    <w:p>
      <w:pPr>
        <w:pStyle w:val="ListParagraph"/>
        <w:spacing w:after="0" w:line="240" w:lineRule="auto"/>
        <w:jc w:val="both"/>
        <w:rPr>
          <w:sz w:val="24"/>
        </w:rPr>
        <w:sectPr>
          <w:pgSz w:w="11910" w:h="16840"/>
          <w:pgMar w:header="746" w:footer="968" w:top="1180" w:bottom="1160" w:left="360" w:right="360"/>
        </w:sectPr>
      </w:pPr>
    </w:p>
    <w:p>
      <w:pPr>
        <w:pStyle w:val="BodyText"/>
        <w:spacing w:before="251"/>
        <w:ind w:left="1351" w:right="1281"/>
      </w:pPr>
      <w:r>
        <w:rPr/>
        <w:t>Institutions/Museum/Trust and under same ownership, shown as Existing playground in DP, shall not be subject to mechanical acquisition and shall be for the use of that Educational and Medical Institution/ </w:t>
      </w:r>
      <w:r>
        <w:rPr>
          <w:spacing w:val="9"/>
        </w:rPr>
        <w:t>Museum/Trust.</w:t>
      </w:r>
    </w:p>
    <w:p>
      <w:pPr>
        <w:pStyle w:val="ListParagraph"/>
        <w:numPr>
          <w:ilvl w:val="1"/>
          <w:numId w:val="87"/>
        </w:numPr>
        <w:tabs>
          <w:tab w:pos="1838" w:val="left" w:leader="none"/>
        </w:tabs>
        <w:spacing w:line="240" w:lineRule="auto" w:before="242" w:after="0"/>
        <w:ind w:left="1351" w:right="1265" w:firstLine="0"/>
        <w:jc w:val="both"/>
        <w:rPr>
          <w:sz w:val="24"/>
        </w:rPr>
      </w:pPr>
      <w:r>
        <w:rPr>
          <w:sz w:val="24"/>
        </w:rPr>
        <w:t>In</w:t>
      </w:r>
      <w:r>
        <w:rPr>
          <w:spacing w:val="40"/>
          <w:sz w:val="24"/>
        </w:rPr>
        <w:t> </w:t>
      </w:r>
      <w:r>
        <w:rPr>
          <w:sz w:val="24"/>
        </w:rPr>
        <w:t>case</w:t>
      </w:r>
      <w:r>
        <w:rPr>
          <w:spacing w:val="40"/>
          <w:sz w:val="24"/>
        </w:rPr>
        <w:t> </w:t>
      </w:r>
      <w:r>
        <w:rPr>
          <w:sz w:val="24"/>
        </w:rPr>
        <w:t>of</w:t>
      </w:r>
      <w:r>
        <w:rPr>
          <w:spacing w:val="40"/>
          <w:sz w:val="24"/>
        </w:rPr>
        <w:t> </w:t>
      </w:r>
      <w:r>
        <w:rPr>
          <w:sz w:val="24"/>
        </w:rPr>
        <w:t>development</w:t>
      </w:r>
      <w:r>
        <w:rPr>
          <w:spacing w:val="40"/>
          <w:sz w:val="24"/>
        </w:rPr>
        <w:t> </w:t>
      </w:r>
      <w:r>
        <w:rPr>
          <w:sz w:val="24"/>
        </w:rPr>
        <w:t>of</w:t>
      </w:r>
      <w:r>
        <w:rPr>
          <w:spacing w:val="40"/>
          <w:sz w:val="24"/>
        </w:rPr>
        <w:t> </w:t>
      </w:r>
      <w:r>
        <w:rPr>
          <w:sz w:val="24"/>
        </w:rPr>
        <w:t>plot</w:t>
      </w:r>
      <w:r>
        <w:rPr>
          <w:spacing w:val="40"/>
          <w:sz w:val="24"/>
        </w:rPr>
        <w:t> </w:t>
      </w:r>
      <w:r>
        <w:rPr>
          <w:sz w:val="24"/>
        </w:rPr>
        <w:t>affected</w:t>
      </w:r>
      <w:r>
        <w:rPr>
          <w:spacing w:val="40"/>
          <w:sz w:val="24"/>
        </w:rPr>
        <w:t> </w:t>
      </w:r>
      <w:r>
        <w:rPr>
          <w:sz w:val="24"/>
        </w:rPr>
        <w:t>by</w:t>
      </w:r>
      <w:r>
        <w:rPr>
          <w:spacing w:val="40"/>
          <w:sz w:val="24"/>
        </w:rPr>
        <w:t> </w:t>
      </w:r>
      <w:r>
        <w:rPr>
          <w:sz w:val="24"/>
        </w:rPr>
        <w:t>reservation</w:t>
      </w:r>
      <w:r>
        <w:rPr>
          <w:spacing w:val="40"/>
          <w:sz w:val="24"/>
        </w:rPr>
        <w:t> </w:t>
      </w:r>
      <w:r>
        <w:rPr>
          <w:sz w:val="24"/>
        </w:rPr>
        <w:t>under</w:t>
      </w:r>
      <w:r>
        <w:rPr>
          <w:spacing w:val="40"/>
          <w:sz w:val="24"/>
        </w:rPr>
        <w:t> </w:t>
      </w:r>
      <w:r>
        <w:rPr>
          <w:sz w:val="24"/>
        </w:rPr>
        <w:t>AR and where Appropriate Authority is other than MCGM, then NOC/remarks</w:t>
      </w:r>
      <w:r>
        <w:rPr>
          <w:spacing w:val="40"/>
          <w:sz w:val="24"/>
        </w:rPr>
        <w:t> </w:t>
      </w:r>
      <w:r>
        <w:rPr>
          <w:sz w:val="24"/>
        </w:rPr>
        <w:t>of</w:t>
      </w:r>
      <w:r>
        <w:rPr>
          <w:spacing w:val="40"/>
          <w:sz w:val="24"/>
        </w:rPr>
        <w:t> </w:t>
      </w:r>
      <w:r>
        <w:rPr>
          <w:sz w:val="24"/>
        </w:rPr>
        <w:t>the</w:t>
      </w:r>
      <w:r>
        <w:rPr>
          <w:spacing w:val="40"/>
          <w:sz w:val="24"/>
        </w:rPr>
        <w:t> </w:t>
      </w:r>
      <w:r>
        <w:rPr>
          <w:sz w:val="24"/>
        </w:rPr>
        <w:t>concerned</w:t>
      </w:r>
      <w:r>
        <w:rPr>
          <w:spacing w:val="40"/>
          <w:sz w:val="24"/>
        </w:rPr>
        <w:t> </w:t>
      </w:r>
      <w:r>
        <w:rPr>
          <w:sz w:val="24"/>
        </w:rPr>
        <w:t>Appropriate</w:t>
      </w:r>
      <w:r>
        <w:rPr>
          <w:spacing w:val="40"/>
          <w:sz w:val="24"/>
        </w:rPr>
        <w:t> </w:t>
      </w:r>
      <w:r>
        <w:rPr>
          <w:sz w:val="24"/>
        </w:rPr>
        <w:t>Authority</w:t>
      </w:r>
      <w:r>
        <w:rPr>
          <w:spacing w:val="40"/>
          <w:sz w:val="24"/>
        </w:rPr>
        <w:t> </w:t>
      </w:r>
      <w:r>
        <w:rPr>
          <w:sz w:val="24"/>
        </w:rPr>
        <w:t>shall</w:t>
      </w:r>
      <w:r>
        <w:rPr>
          <w:spacing w:val="40"/>
          <w:sz w:val="24"/>
        </w:rPr>
        <w:t> </w:t>
      </w:r>
      <w:r>
        <w:rPr>
          <w:sz w:val="24"/>
        </w:rPr>
        <w:t>be</w:t>
      </w:r>
      <w:r>
        <w:rPr>
          <w:spacing w:val="40"/>
          <w:sz w:val="24"/>
        </w:rPr>
        <w:t> </w:t>
      </w:r>
      <w:r>
        <w:rPr>
          <w:sz w:val="24"/>
        </w:rPr>
        <w:t>insisted before allowing development under AR. List of Appropriate Authorities</w:t>
      </w:r>
      <w:r>
        <w:rPr>
          <w:spacing w:val="40"/>
          <w:sz w:val="24"/>
        </w:rPr>
        <w:t> </w:t>
      </w:r>
      <w:r>
        <w:rPr>
          <w:sz w:val="24"/>
        </w:rPr>
        <w:t>is</w:t>
      </w:r>
      <w:r>
        <w:rPr>
          <w:spacing w:val="40"/>
          <w:sz w:val="24"/>
        </w:rPr>
        <w:t> </w:t>
      </w:r>
      <w:r>
        <w:rPr>
          <w:sz w:val="24"/>
        </w:rPr>
        <w:t>enclosed</w:t>
      </w:r>
      <w:r>
        <w:rPr>
          <w:spacing w:val="40"/>
          <w:sz w:val="24"/>
        </w:rPr>
        <w:t> </w:t>
      </w:r>
      <w:r>
        <w:rPr>
          <w:sz w:val="24"/>
        </w:rPr>
        <w:t>in</w:t>
      </w:r>
      <w:r>
        <w:rPr>
          <w:spacing w:val="40"/>
          <w:sz w:val="24"/>
        </w:rPr>
        <w:t> </w:t>
      </w:r>
      <w:r>
        <w:rPr>
          <w:sz w:val="24"/>
        </w:rPr>
        <w:t>Annexure</w:t>
      </w:r>
      <w:r>
        <w:rPr>
          <w:spacing w:val="40"/>
          <w:sz w:val="24"/>
        </w:rPr>
        <w:t> </w:t>
      </w:r>
      <w:r>
        <w:rPr>
          <w:spacing w:val="11"/>
          <w:sz w:val="24"/>
        </w:rPr>
        <w:t>24</w:t>
      </w:r>
    </w:p>
    <w:p>
      <w:pPr>
        <w:pStyle w:val="ListParagraph"/>
        <w:numPr>
          <w:ilvl w:val="1"/>
          <w:numId w:val="87"/>
        </w:numPr>
        <w:tabs>
          <w:tab w:pos="1791" w:val="left" w:leader="none"/>
        </w:tabs>
        <w:spacing w:line="240" w:lineRule="auto" w:before="237" w:after="0"/>
        <w:ind w:left="1791" w:right="0" w:hanging="483"/>
        <w:jc w:val="both"/>
        <w:rPr>
          <w:sz w:val="24"/>
        </w:rPr>
      </w:pPr>
      <w:r>
        <w:rPr>
          <w:sz w:val="24"/>
        </w:rPr>
        <w:t>Public</w:t>
      </w:r>
      <w:r>
        <w:rPr>
          <w:spacing w:val="45"/>
          <w:sz w:val="24"/>
        </w:rPr>
        <w:t> </w:t>
      </w:r>
      <w:r>
        <w:rPr>
          <w:sz w:val="24"/>
        </w:rPr>
        <w:t>Open</w:t>
      </w:r>
      <w:r>
        <w:rPr>
          <w:spacing w:val="48"/>
          <w:sz w:val="24"/>
        </w:rPr>
        <w:t> </w:t>
      </w:r>
      <w:r>
        <w:rPr>
          <w:sz w:val="24"/>
        </w:rPr>
        <w:t>Spaces</w:t>
      </w:r>
      <w:r>
        <w:rPr>
          <w:spacing w:val="48"/>
          <w:sz w:val="24"/>
        </w:rPr>
        <w:t> </w:t>
      </w:r>
      <w:r>
        <w:rPr>
          <w:sz w:val="24"/>
        </w:rPr>
        <w:t>in</w:t>
      </w:r>
      <w:r>
        <w:rPr>
          <w:spacing w:val="52"/>
          <w:sz w:val="24"/>
        </w:rPr>
        <w:t> </w:t>
      </w:r>
      <w:r>
        <w:rPr>
          <w:sz w:val="24"/>
        </w:rPr>
        <w:t>K/E</w:t>
      </w:r>
      <w:r>
        <w:rPr>
          <w:spacing w:val="48"/>
          <w:sz w:val="24"/>
        </w:rPr>
        <w:t> </w:t>
      </w:r>
      <w:r>
        <w:rPr>
          <w:spacing w:val="7"/>
          <w:sz w:val="24"/>
        </w:rPr>
        <w:t>Ward:</w:t>
      </w:r>
    </w:p>
    <w:p>
      <w:pPr>
        <w:pStyle w:val="BodyText"/>
        <w:spacing w:before="2"/>
        <w:ind w:left="1222" w:right="1091"/>
      </w:pPr>
      <w:r>
        <w:rPr/>
        <w:t>In accordance with, Govt. of Maharashtra, Urban Development</w:t>
      </w:r>
      <w:r>
        <w:rPr>
          <w:spacing w:val="80"/>
        </w:rPr>
        <w:t> </w:t>
      </w:r>
      <w:r>
        <w:rPr/>
        <w:t>Department notification no </w:t>
      </w:r>
      <w:r>
        <w:rPr>
          <w:spacing w:val="9"/>
        </w:rPr>
        <w:t>TPB4392/4716/CR-181/92/UD-</w:t>
      </w:r>
      <w:r>
        <w:rPr/>
        <w:t>11(RDP) dated 12.11.1992: -</w:t>
      </w:r>
    </w:p>
    <w:p>
      <w:pPr>
        <w:pStyle w:val="BodyText"/>
        <w:ind w:left="1222" w:right="1090"/>
      </w:pPr>
      <w:r>
        <w:rPr/>
        <w:t>50% of the lands of from CTS Nos </w:t>
      </w:r>
      <w:r>
        <w:rPr>
          <w:spacing w:val="9"/>
        </w:rPr>
        <w:t>1483,1491,1495,1496,1497,1500, </w:t>
      </w:r>
      <w:r>
        <w:rPr/>
        <w:t>1503,</w:t>
      </w:r>
      <w:r>
        <w:rPr>
          <w:spacing w:val="80"/>
        </w:rPr>
        <w:t> </w:t>
      </w:r>
      <w:r>
        <w:rPr/>
        <w:t>CTS</w:t>
      </w:r>
      <w:r>
        <w:rPr>
          <w:spacing w:val="80"/>
          <w:w w:val="150"/>
        </w:rPr>
        <w:t> </w:t>
      </w:r>
      <w:r>
        <w:rPr/>
        <w:t>Nos</w:t>
      </w:r>
      <w:r>
        <w:rPr>
          <w:spacing w:val="80"/>
          <w:w w:val="150"/>
        </w:rPr>
        <w:t> </w:t>
      </w:r>
      <w:r>
        <w:rPr>
          <w:spacing w:val="9"/>
        </w:rPr>
        <w:t>1420,1437,1445,1448,1439,1457,1443,1485</w:t>
      </w:r>
      <w:r>
        <w:rPr>
          <w:spacing w:val="80"/>
        </w:rPr>
        <w:t> </w:t>
      </w:r>
      <w:r>
        <w:rPr/>
        <w:t>and</w:t>
      </w:r>
      <w:r>
        <w:rPr>
          <w:spacing w:val="80"/>
        </w:rPr>
        <w:t> </w:t>
      </w:r>
      <w:r>
        <w:rPr/>
        <w:t>S</w:t>
      </w:r>
    </w:p>
    <w:p>
      <w:pPr>
        <w:pStyle w:val="BodyText"/>
        <w:spacing w:before="1"/>
        <w:ind w:left="1222" w:right="1086"/>
      </w:pPr>
      <w:r>
        <w:rPr>
          <w:spacing w:val="9"/>
        </w:rPr>
        <w:t>No.110(pt.),117(pt.),118(pt.),122(pt.),123(pt.)</w:t>
      </w:r>
      <w:r>
        <w:rPr>
          <w:spacing w:val="9"/>
        </w:rPr>
        <w:t> </w:t>
      </w:r>
      <w:r>
        <w:rPr/>
        <w:t>of Village Sahar be reserved</w:t>
      </w:r>
      <w:r>
        <w:rPr>
          <w:spacing w:val="40"/>
        </w:rPr>
        <w:t> </w:t>
      </w:r>
      <w:r>
        <w:rPr/>
        <w:t>for</w:t>
      </w:r>
      <w:r>
        <w:rPr>
          <w:spacing w:val="40"/>
        </w:rPr>
        <w:t> </w:t>
      </w:r>
      <w:r>
        <w:rPr/>
        <w:t>the</w:t>
      </w:r>
      <w:r>
        <w:rPr>
          <w:spacing w:val="40"/>
        </w:rPr>
        <w:t> </w:t>
      </w:r>
      <w:r>
        <w:rPr/>
        <w:t>Park</w:t>
      </w:r>
      <w:r>
        <w:rPr>
          <w:spacing w:val="40"/>
        </w:rPr>
        <w:t> </w:t>
      </w:r>
      <w:r>
        <w:rPr/>
        <w:t>not</w:t>
      </w:r>
      <w:r>
        <w:rPr>
          <w:spacing w:val="40"/>
        </w:rPr>
        <w:t> </w:t>
      </w:r>
      <w:r>
        <w:rPr/>
        <w:t>to</w:t>
      </w:r>
      <w:r>
        <w:rPr>
          <w:spacing w:val="40"/>
        </w:rPr>
        <w:t> </w:t>
      </w:r>
      <w:r>
        <w:rPr/>
        <w:t>be</w:t>
      </w:r>
      <w:r>
        <w:rPr>
          <w:spacing w:val="40"/>
        </w:rPr>
        <w:t> </w:t>
      </w:r>
      <w:r>
        <w:rPr/>
        <w:t>acquired,</w:t>
      </w:r>
      <w:r>
        <w:rPr>
          <w:spacing w:val="40"/>
        </w:rPr>
        <w:t> </w:t>
      </w:r>
      <w:r>
        <w:rPr/>
        <w:t>as</w:t>
      </w:r>
      <w:r>
        <w:rPr>
          <w:spacing w:val="40"/>
        </w:rPr>
        <w:t> </w:t>
      </w:r>
      <w:r>
        <w:rPr/>
        <w:t>shown</w:t>
      </w:r>
      <w:r>
        <w:rPr>
          <w:spacing w:val="40"/>
        </w:rPr>
        <w:t> </w:t>
      </w:r>
      <w:r>
        <w:rPr/>
        <w:t>on</w:t>
      </w:r>
      <w:r>
        <w:rPr>
          <w:spacing w:val="40"/>
        </w:rPr>
        <w:t> </w:t>
      </w:r>
      <w:r>
        <w:rPr/>
        <w:t>DP</w:t>
      </w:r>
      <w:r>
        <w:rPr>
          <w:spacing w:val="40"/>
        </w:rPr>
        <w:t> </w:t>
      </w:r>
      <w:r>
        <w:rPr/>
        <w:t>and remaining 50% of the land be deleted</w:t>
      </w:r>
      <w:r>
        <w:rPr>
          <w:spacing w:val="40"/>
        </w:rPr>
        <w:t> </w:t>
      </w:r>
      <w:r>
        <w:rPr/>
        <w:t>and included in C Zone only for</w:t>
      </w:r>
      <w:r>
        <w:rPr>
          <w:spacing w:val="40"/>
        </w:rPr>
        <w:t> </w:t>
      </w:r>
      <w:r>
        <w:rPr/>
        <w:t>Hotel</w:t>
      </w:r>
      <w:r>
        <w:rPr>
          <w:spacing w:val="40"/>
        </w:rPr>
        <w:t> </w:t>
      </w:r>
      <w:r>
        <w:rPr/>
        <w:t>plus</w:t>
      </w:r>
      <w:r>
        <w:rPr>
          <w:spacing w:val="40"/>
        </w:rPr>
        <w:t> </w:t>
      </w:r>
      <w:r>
        <w:rPr/>
        <w:t>commercial</w:t>
      </w:r>
      <w:r>
        <w:rPr>
          <w:spacing w:val="40"/>
        </w:rPr>
        <w:t> </w:t>
      </w:r>
      <w:r>
        <w:rPr/>
        <w:t>purpose</w:t>
      </w:r>
      <w:r>
        <w:rPr>
          <w:spacing w:val="40"/>
        </w:rPr>
        <w:t> </w:t>
      </w:r>
      <w:r>
        <w:rPr/>
        <w:t>subject</w:t>
      </w:r>
      <w:r>
        <w:rPr>
          <w:spacing w:val="40"/>
        </w:rPr>
        <w:t> </w:t>
      </w:r>
      <w:r>
        <w:rPr/>
        <w:t>to</w:t>
      </w:r>
      <w:r>
        <w:rPr>
          <w:spacing w:val="40"/>
        </w:rPr>
        <w:t> </w:t>
      </w:r>
      <w:r>
        <w:rPr/>
        <w:t>condition</w:t>
      </w:r>
      <w:r>
        <w:rPr>
          <w:spacing w:val="40"/>
        </w:rPr>
        <w:t> </w:t>
      </w:r>
      <w:r>
        <w:rPr/>
        <w:t>that</w:t>
      </w:r>
      <w:r>
        <w:rPr>
          <w:spacing w:val="40"/>
        </w:rPr>
        <w:t> </w:t>
      </w:r>
      <w:r>
        <w:rPr/>
        <w:t>the</w:t>
      </w:r>
      <w:r>
        <w:rPr>
          <w:spacing w:val="40"/>
        </w:rPr>
        <w:t> </w:t>
      </w:r>
      <w:r>
        <w:rPr/>
        <w:t>parties should</w:t>
      </w:r>
      <w:r>
        <w:rPr>
          <w:spacing w:val="40"/>
        </w:rPr>
        <w:t> </w:t>
      </w:r>
      <w:r>
        <w:rPr/>
        <w:t>develop</w:t>
      </w:r>
      <w:r>
        <w:rPr>
          <w:spacing w:val="40"/>
        </w:rPr>
        <w:t> </w:t>
      </w:r>
      <w:r>
        <w:rPr/>
        <w:t>and</w:t>
      </w:r>
      <w:r>
        <w:rPr>
          <w:spacing w:val="40"/>
        </w:rPr>
        <w:t> </w:t>
      </w:r>
      <w:r>
        <w:rPr/>
        <w:t>maintain</w:t>
      </w:r>
      <w:r>
        <w:rPr>
          <w:spacing w:val="40"/>
        </w:rPr>
        <w:t> </w:t>
      </w:r>
      <w:r>
        <w:rPr/>
        <w:t>the</w:t>
      </w:r>
      <w:r>
        <w:rPr>
          <w:spacing w:val="40"/>
        </w:rPr>
        <w:t> </w:t>
      </w:r>
      <w:r>
        <w:rPr/>
        <w:t>parks</w:t>
      </w:r>
      <w:r>
        <w:rPr>
          <w:spacing w:val="40"/>
        </w:rPr>
        <w:t> </w:t>
      </w:r>
      <w:r>
        <w:rPr/>
        <w:t>and</w:t>
      </w:r>
      <w:r>
        <w:rPr>
          <w:spacing w:val="40"/>
        </w:rPr>
        <w:t> </w:t>
      </w:r>
      <w:r>
        <w:rPr/>
        <w:t>shall</w:t>
      </w:r>
      <w:r>
        <w:rPr>
          <w:spacing w:val="40"/>
        </w:rPr>
        <w:t> </w:t>
      </w:r>
      <w:r>
        <w:rPr/>
        <w:t>keep</w:t>
      </w:r>
      <w:r>
        <w:rPr>
          <w:spacing w:val="40"/>
        </w:rPr>
        <w:t> </w:t>
      </w:r>
      <w:r>
        <w:rPr/>
        <w:t>it</w:t>
      </w:r>
      <w:r>
        <w:rPr>
          <w:spacing w:val="40"/>
        </w:rPr>
        <w:t> </w:t>
      </w:r>
      <w:r>
        <w:rPr/>
        <w:t>open</w:t>
      </w:r>
      <w:r>
        <w:rPr>
          <w:spacing w:val="40"/>
        </w:rPr>
        <w:t> </w:t>
      </w:r>
      <w:r>
        <w:rPr/>
        <w:t>for general public during restricted hours or the owner may at his option handover</w:t>
      </w:r>
      <w:r>
        <w:rPr>
          <w:spacing w:val="40"/>
        </w:rPr>
        <w:t> </w:t>
      </w:r>
      <w:r>
        <w:rPr/>
        <w:t>20%</w:t>
      </w:r>
      <w:r>
        <w:rPr>
          <w:spacing w:val="40"/>
        </w:rPr>
        <w:t> </w:t>
      </w:r>
      <w:r>
        <w:rPr/>
        <w:t>of</w:t>
      </w:r>
      <w:r>
        <w:rPr>
          <w:spacing w:val="40"/>
        </w:rPr>
        <w:t> </w:t>
      </w:r>
      <w:r>
        <w:rPr/>
        <w:t>this</w:t>
      </w:r>
      <w:r>
        <w:rPr>
          <w:spacing w:val="40"/>
        </w:rPr>
        <w:t> </w:t>
      </w:r>
      <w:r>
        <w:rPr/>
        <w:t>area</w:t>
      </w:r>
      <w:r>
        <w:rPr>
          <w:spacing w:val="40"/>
        </w:rPr>
        <w:t> </w:t>
      </w:r>
      <w:r>
        <w:rPr/>
        <w:t>to</w:t>
      </w:r>
      <w:r>
        <w:rPr>
          <w:spacing w:val="40"/>
        </w:rPr>
        <w:t> </w:t>
      </w:r>
      <w:r>
        <w:rPr/>
        <w:t>MCGM</w:t>
      </w:r>
      <w:r>
        <w:rPr>
          <w:spacing w:val="40"/>
        </w:rPr>
        <w:t> </w:t>
      </w:r>
      <w:r>
        <w:rPr/>
        <w:t>be</w:t>
      </w:r>
      <w:r>
        <w:rPr>
          <w:spacing w:val="40"/>
        </w:rPr>
        <w:t> </w:t>
      </w:r>
      <w:r>
        <w:rPr/>
        <w:t>kept</w:t>
      </w:r>
      <w:r>
        <w:rPr>
          <w:spacing w:val="40"/>
        </w:rPr>
        <w:t> </w:t>
      </w:r>
      <w:r>
        <w:rPr/>
        <w:t>permanently</w:t>
      </w:r>
      <w:r>
        <w:rPr>
          <w:spacing w:val="40"/>
        </w:rPr>
        <w:t> </w:t>
      </w:r>
      <w:r>
        <w:rPr/>
        <w:t>open</w:t>
      </w:r>
      <w:r>
        <w:rPr>
          <w:spacing w:val="80"/>
          <w:w w:val="150"/>
        </w:rPr>
        <w:t> </w:t>
      </w:r>
      <w:r>
        <w:rPr/>
        <w:t>as Park/</w:t>
      </w:r>
      <w:r>
        <w:rPr>
          <w:spacing w:val="40"/>
        </w:rPr>
        <w:t> </w:t>
      </w:r>
      <w:r>
        <w:rPr/>
        <w:t>Play</w:t>
      </w:r>
      <w:r>
        <w:rPr>
          <w:spacing w:val="40"/>
        </w:rPr>
        <w:t> </w:t>
      </w:r>
      <w:r>
        <w:rPr/>
        <w:t>Ground</w:t>
      </w:r>
      <w:r>
        <w:rPr>
          <w:spacing w:val="40"/>
        </w:rPr>
        <w:t> </w:t>
      </w:r>
      <w:r>
        <w:rPr/>
        <w:t>for</w:t>
      </w:r>
      <w:r>
        <w:rPr>
          <w:spacing w:val="40"/>
        </w:rPr>
        <w:t> </w:t>
      </w:r>
      <w:r>
        <w:rPr/>
        <w:t>General</w:t>
      </w:r>
      <w:r>
        <w:rPr>
          <w:spacing w:val="40"/>
        </w:rPr>
        <w:t> </w:t>
      </w:r>
      <w:r>
        <w:rPr/>
        <w:t>public</w:t>
      </w:r>
      <w:r>
        <w:rPr>
          <w:spacing w:val="40"/>
        </w:rPr>
        <w:t> </w:t>
      </w:r>
      <w:r>
        <w:rPr/>
        <w:t>without</w:t>
      </w:r>
      <w:r>
        <w:rPr>
          <w:spacing w:val="40"/>
        </w:rPr>
        <w:t> </w:t>
      </w:r>
      <w:r>
        <w:rPr/>
        <w:t>any</w:t>
      </w:r>
      <w:r>
        <w:rPr>
          <w:spacing w:val="40"/>
        </w:rPr>
        <w:t> </w:t>
      </w:r>
      <w:r>
        <w:rPr/>
        <w:t>compensation</w:t>
      </w:r>
      <w:r>
        <w:rPr>
          <w:spacing w:val="40"/>
        </w:rPr>
        <w:t>  </w:t>
      </w:r>
      <w:r>
        <w:rPr/>
        <w:t>in</w:t>
      </w:r>
      <w:r>
        <w:rPr>
          <w:spacing w:val="40"/>
        </w:rPr>
        <w:t> </w:t>
      </w:r>
      <w:r>
        <w:rPr/>
        <w:t>any form and maintain rest of the Park as Parks</w:t>
      </w:r>
      <w:r>
        <w:rPr>
          <w:spacing w:val="40"/>
        </w:rPr>
        <w:t> </w:t>
      </w:r>
      <w:r>
        <w:rPr/>
        <w:t>always.</w:t>
      </w:r>
      <w:r>
        <w:rPr>
          <w:spacing w:val="40"/>
        </w:rPr>
        <w:t> </w:t>
      </w:r>
      <w:r>
        <w:rPr/>
        <w:t>NO FSI/TDR/Compensation in any form shall be allowed for the area </w:t>
      </w:r>
      <w:r>
        <w:rPr>
          <w:spacing w:val="11"/>
        </w:rPr>
        <w:t>kept </w:t>
      </w:r>
      <w:r>
        <w:rPr/>
        <w:t>permanently</w:t>
      </w:r>
      <w:r>
        <w:rPr>
          <w:spacing w:val="40"/>
        </w:rPr>
        <w:t> </w:t>
      </w:r>
      <w:r>
        <w:rPr/>
        <w:t>open</w:t>
      </w:r>
      <w:r>
        <w:rPr>
          <w:spacing w:val="40"/>
        </w:rPr>
        <w:t> </w:t>
      </w:r>
      <w:r>
        <w:rPr/>
        <w:t>as</w:t>
      </w:r>
      <w:r>
        <w:rPr>
          <w:spacing w:val="40"/>
        </w:rPr>
        <w:t> </w:t>
      </w:r>
      <w:r>
        <w:rPr/>
        <w:t>park</w:t>
      </w:r>
      <w:r>
        <w:rPr>
          <w:spacing w:val="40"/>
        </w:rPr>
        <w:t> </w:t>
      </w:r>
      <w:r>
        <w:rPr/>
        <w:t>and</w:t>
      </w:r>
      <w:r>
        <w:rPr>
          <w:spacing w:val="40"/>
        </w:rPr>
        <w:t> </w:t>
      </w:r>
      <w:r>
        <w:rPr/>
        <w:t>even</w:t>
      </w:r>
      <w:r>
        <w:rPr>
          <w:spacing w:val="40"/>
        </w:rPr>
        <w:t> </w:t>
      </w:r>
      <w:r>
        <w:rPr/>
        <w:t>for</w:t>
      </w:r>
      <w:r>
        <w:rPr>
          <w:spacing w:val="40"/>
        </w:rPr>
        <w:t> </w:t>
      </w:r>
      <w:r>
        <w:rPr/>
        <w:t>area</w:t>
      </w:r>
      <w:r>
        <w:rPr>
          <w:spacing w:val="40"/>
        </w:rPr>
        <w:t> </w:t>
      </w:r>
      <w:r>
        <w:rPr/>
        <w:t>to</w:t>
      </w:r>
      <w:r>
        <w:rPr>
          <w:spacing w:val="40"/>
        </w:rPr>
        <w:t> </w:t>
      </w:r>
      <w:r>
        <w:rPr/>
        <w:t>be</w:t>
      </w:r>
      <w:r>
        <w:rPr>
          <w:spacing w:val="40"/>
        </w:rPr>
        <w:t> </w:t>
      </w:r>
      <w:r>
        <w:rPr/>
        <w:t>handed</w:t>
      </w:r>
      <w:r>
        <w:rPr>
          <w:spacing w:val="40"/>
        </w:rPr>
        <w:t> </w:t>
      </w:r>
      <w:r>
        <w:rPr/>
        <w:t>over</w:t>
      </w:r>
      <w:r>
        <w:rPr>
          <w:spacing w:val="40"/>
        </w:rPr>
        <w:t> </w:t>
      </w:r>
      <w:r>
        <w:rPr/>
        <w:t>to </w:t>
      </w:r>
      <w:r>
        <w:rPr>
          <w:spacing w:val="-4"/>
        </w:rPr>
        <w:t>MCGM</w:t>
      </w:r>
    </w:p>
    <w:p>
      <w:pPr>
        <w:pStyle w:val="BodyText"/>
        <w:spacing w:before="281"/>
        <w:jc w:val="left"/>
      </w:pPr>
    </w:p>
    <w:p>
      <w:pPr>
        <w:pStyle w:val="ListParagraph"/>
        <w:numPr>
          <w:ilvl w:val="0"/>
          <w:numId w:val="88"/>
        </w:numPr>
        <w:tabs>
          <w:tab w:pos="1751" w:val="left" w:leader="none"/>
        </w:tabs>
        <w:spacing w:line="240" w:lineRule="auto" w:before="0" w:after="0"/>
        <w:ind w:left="1171" w:right="1089" w:firstLine="0"/>
        <w:jc w:val="both"/>
        <w:rPr>
          <w:sz w:val="24"/>
        </w:rPr>
      </w:pPr>
      <w:r>
        <w:rPr>
          <w:sz w:val="24"/>
        </w:rPr>
        <w:t>Green</w:t>
      </w:r>
      <w:r>
        <w:rPr>
          <w:spacing w:val="40"/>
          <w:sz w:val="24"/>
        </w:rPr>
        <w:t> </w:t>
      </w:r>
      <w:r>
        <w:rPr>
          <w:sz w:val="24"/>
        </w:rPr>
        <w:t>belt</w:t>
      </w:r>
      <w:r>
        <w:rPr>
          <w:spacing w:val="40"/>
          <w:sz w:val="24"/>
        </w:rPr>
        <w:t> </w:t>
      </w:r>
      <w:r>
        <w:rPr>
          <w:sz w:val="24"/>
        </w:rPr>
        <w:t>(ROS</w:t>
      </w:r>
      <w:r>
        <w:rPr>
          <w:spacing w:val="40"/>
          <w:sz w:val="24"/>
        </w:rPr>
        <w:t> </w:t>
      </w:r>
      <w:r>
        <w:rPr>
          <w:sz w:val="24"/>
        </w:rPr>
        <w:t>2.7)</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treated</w:t>
      </w:r>
      <w:r>
        <w:rPr>
          <w:spacing w:val="40"/>
          <w:sz w:val="24"/>
        </w:rPr>
        <w:t> </w:t>
      </w:r>
      <w:r>
        <w:rPr>
          <w:sz w:val="24"/>
        </w:rPr>
        <w:t>as</w:t>
      </w:r>
      <w:r>
        <w:rPr>
          <w:spacing w:val="40"/>
          <w:sz w:val="24"/>
        </w:rPr>
        <w:t> </w:t>
      </w:r>
      <w:r>
        <w:rPr>
          <w:sz w:val="24"/>
        </w:rPr>
        <w:t>reservation</w:t>
      </w:r>
      <w:r>
        <w:rPr>
          <w:spacing w:val="40"/>
          <w:sz w:val="24"/>
        </w:rPr>
        <w:t> </w:t>
      </w:r>
      <w:r>
        <w:rPr>
          <w:sz w:val="24"/>
        </w:rPr>
        <w:t>but</w:t>
      </w:r>
      <w:r>
        <w:rPr>
          <w:spacing w:val="40"/>
          <w:sz w:val="24"/>
        </w:rPr>
        <w:t> </w:t>
      </w:r>
      <w:r>
        <w:rPr>
          <w:sz w:val="24"/>
        </w:rPr>
        <w:t>it</w:t>
      </w:r>
      <w:r>
        <w:rPr>
          <w:spacing w:val="40"/>
          <w:sz w:val="24"/>
        </w:rPr>
        <w:t> </w:t>
      </w:r>
      <w:r>
        <w:rPr>
          <w:spacing w:val="10"/>
          <w:sz w:val="24"/>
        </w:rPr>
        <w:t>is </w:t>
      </w:r>
      <w:r>
        <w:rPr>
          <w:sz w:val="24"/>
        </w:rPr>
        <w:t>the</w:t>
      </w:r>
      <w:r>
        <w:rPr>
          <w:spacing w:val="78"/>
          <w:sz w:val="24"/>
        </w:rPr>
        <w:t> </w:t>
      </w:r>
      <w:r>
        <w:rPr>
          <w:sz w:val="24"/>
        </w:rPr>
        <w:t>nature</w:t>
      </w:r>
      <w:r>
        <w:rPr>
          <w:spacing w:val="78"/>
          <w:sz w:val="24"/>
        </w:rPr>
        <w:t> </w:t>
      </w:r>
      <w:r>
        <w:rPr>
          <w:sz w:val="24"/>
        </w:rPr>
        <w:t>of</w:t>
      </w:r>
      <w:r>
        <w:rPr>
          <w:spacing w:val="80"/>
          <w:sz w:val="24"/>
        </w:rPr>
        <w:t> </w:t>
      </w:r>
      <w:r>
        <w:rPr>
          <w:sz w:val="24"/>
        </w:rPr>
        <w:t>restriction</w:t>
      </w:r>
      <w:r>
        <w:rPr>
          <w:spacing w:val="78"/>
          <w:sz w:val="24"/>
        </w:rPr>
        <w:t> </w:t>
      </w:r>
      <w:r>
        <w:rPr>
          <w:sz w:val="24"/>
        </w:rPr>
        <w:t>and</w:t>
      </w:r>
      <w:r>
        <w:rPr>
          <w:spacing w:val="78"/>
          <w:sz w:val="24"/>
        </w:rPr>
        <w:t> </w:t>
      </w:r>
      <w:r>
        <w:rPr>
          <w:sz w:val="24"/>
        </w:rPr>
        <w:t>shall</w:t>
      </w:r>
      <w:r>
        <w:rPr>
          <w:spacing w:val="80"/>
          <w:sz w:val="24"/>
        </w:rPr>
        <w:t> </w:t>
      </w:r>
      <w:r>
        <w:rPr>
          <w:sz w:val="24"/>
        </w:rPr>
        <w:t>not</w:t>
      </w:r>
      <w:r>
        <w:rPr>
          <w:spacing w:val="80"/>
          <w:sz w:val="24"/>
        </w:rPr>
        <w:t> </w:t>
      </w:r>
      <w:r>
        <w:rPr>
          <w:sz w:val="24"/>
        </w:rPr>
        <w:t>be</w:t>
      </w:r>
      <w:r>
        <w:rPr>
          <w:spacing w:val="76"/>
          <w:sz w:val="24"/>
        </w:rPr>
        <w:t> </w:t>
      </w:r>
      <w:r>
        <w:rPr>
          <w:sz w:val="24"/>
        </w:rPr>
        <w:t>subjected</w:t>
      </w:r>
      <w:r>
        <w:rPr>
          <w:spacing w:val="80"/>
          <w:sz w:val="24"/>
        </w:rPr>
        <w:t> </w:t>
      </w:r>
      <w:r>
        <w:rPr>
          <w:sz w:val="24"/>
        </w:rPr>
        <w:t>to</w:t>
      </w:r>
      <w:r>
        <w:rPr>
          <w:spacing w:val="76"/>
          <w:sz w:val="24"/>
        </w:rPr>
        <w:t> </w:t>
      </w:r>
      <w:r>
        <w:rPr>
          <w:sz w:val="24"/>
        </w:rPr>
        <w:t>acquisition.</w:t>
      </w:r>
    </w:p>
    <w:p>
      <w:pPr>
        <w:pStyle w:val="ListParagraph"/>
        <w:numPr>
          <w:ilvl w:val="0"/>
          <w:numId w:val="88"/>
        </w:numPr>
        <w:tabs>
          <w:tab w:pos="1624" w:val="left" w:leader="none"/>
        </w:tabs>
        <w:spacing w:line="276" w:lineRule="auto" w:before="238" w:after="0"/>
        <w:ind w:left="1080" w:right="1076" w:firstLine="0"/>
        <w:jc w:val="both"/>
        <w:rPr>
          <w:sz w:val="24"/>
        </w:rPr>
      </w:pPr>
      <w:r>
        <w:rPr>
          <w:sz w:val="24"/>
        </w:rPr>
        <w:t>Play Ground reservation/ existing playground attached to Educational Institutions shown as reservation in DP, and owned by such educational Institution, shall not be subject to acquisition and shall be used as 40 % playground required for the existing Educational Institutions. Provided it shall also be accessible to the general public as per the policy.</w:t>
      </w:r>
      <w:r>
        <w:rPr>
          <w:spacing w:val="40"/>
          <w:sz w:val="24"/>
        </w:rPr>
        <w:t> </w:t>
      </w:r>
      <w:r>
        <w:rPr>
          <w:sz w:val="24"/>
        </w:rPr>
        <w:t>(19) On development of the land as per accommodation reservation and on handing over and transferring the land along with the built up amenity to MCGM/Appropriate Authority the area of the plot along with the built up amenity shall be deemed to be existing</w:t>
      </w:r>
      <w:r>
        <w:rPr>
          <w:spacing w:val="-1"/>
          <w:sz w:val="24"/>
        </w:rPr>
        <w:t> </w:t>
      </w:r>
      <w:r>
        <w:rPr>
          <w:sz w:val="24"/>
        </w:rPr>
        <w:t>amenity in the DP</w:t>
      </w:r>
      <w:r>
        <w:rPr>
          <w:spacing w:val="-1"/>
          <w:sz w:val="24"/>
        </w:rPr>
        <w:t> </w:t>
      </w:r>
      <w:r>
        <w:rPr>
          <w:sz w:val="24"/>
        </w:rPr>
        <w:t>and the remaining land of the owner shall fall in the land use zone without any reservation/ existing amenity.</w:t>
      </w:r>
    </w:p>
    <w:p>
      <w:pPr>
        <w:pStyle w:val="ListParagraph"/>
        <w:spacing w:after="0" w:line="276" w:lineRule="auto"/>
        <w:jc w:val="both"/>
        <w:rPr>
          <w:sz w:val="24"/>
        </w:rPr>
        <w:sectPr>
          <w:pgSz w:w="11910" w:h="16840"/>
          <w:pgMar w:header="746" w:footer="968" w:top="1180" w:bottom="1160" w:left="360" w:right="360"/>
        </w:sectPr>
      </w:pPr>
    </w:p>
    <w:p>
      <w:pPr>
        <w:pStyle w:val="BodyText"/>
        <w:spacing w:line="278" w:lineRule="auto" w:before="249"/>
        <w:ind w:left="1080" w:right="1078"/>
      </w:pPr>
      <w:r>
        <w:rPr/>
        <w:t>Provided</w:t>
      </w:r>
      <w:r>
        <w:rPr>
          <w:spacing w:val="-20"/>
        </w:rPr>
        <w:t> </w:t>
      </w:r>
      <w:r>
        <w:rPr/>
        <w:t>that</w:t>
      </w:r>
      <w:r>
        <w:rPr>
          <w:spacing w:val="-19"/>
        </w:rPr>
        <w:t> </w:t>
      </w:r>
      <w:r>
        <w:rPr/>
        <w:t>when</w:t>
      </w:r>
      <w:r>
        <w:rPr>
          <w:spacing w:val="-19"/>
        </w:rPr>
        <w:t> </w:t>
      </w:r>
      <w:r>
        <w:rPr/>
        <w:t>the</w:t>
      </w:r>
      <w:r>
        <w:rPr>
          <w:spacing w:val="-19"/>
        </w:rPr>
        <w:t> </w:t>
      </w:r>
      <w:r>
        <w:rPr/>
        <w:t>development</w:t>
      </w:r>
      <w:r>
        <w:rPr>
          <w:spacing w:val="-19"/>
        </w:rPr>
        <w:t> </w:t>
      </w:r>
      <w:r>
        <w:rPr/>
        <w:t>is</w:t>
      </w:r>
      <w:r>
        <w:rPr>
          <w:spacing w:val="-20"/>
        </w:rPr>
        <w:t> </w:t>
      </w:r>
      <w:r>
        <w:rPr/>
        <w:t>composite</w:t>
      </w:r>
      <w:r>
        <w:rPr>
          <w:spacing w:val="-19"/>
        </w:rPr>
        <w:t> </w:t>
      </w:r>
      <w:r>
        <w:rPr/>
        <w:t>where</w:t>
      </w:r>
      <w:r>
        <w:rPr>
          <w:spacing w:val="-19"/>
        </w:rPr>
        <w:t> </w:t>
      </w:r>
      <w:r>
        <w:rPr/>
        <w:t>the</w:t>
      </w:r>
      <w:r>
        <w:rPr>
          <w:spacing w:val="-19"/>
        </w:rPr>
        <w:t> </w:t>
      </w:r>
      <w:r>
        <w:rPr/>
        <w:t>plot</w:t>
      </w:r>
      <w:r>
        <w:rPr>
          <w:spacing w:val="-19"/>
        </w:rPr>
        <w:t> </w:t>
      </w:r>
      <w:r>
        <w:rPr/>
        <w:t>is</w:t>
      </w:r>
      <w:r>
        <w:rPr>
          <w:spacing w:val="-20"/>
        </w:rPr>
        <w:t> </w:t>
      </w:r>
      <w:r>
        <w:rPr/>
        <w:t>not</w:t>
      </w:r>
      <w:r>
        <w:rPr>
          <w:spacing w:val="-19"/>
        </w:rPr>
        <w:t> </w:t>
      </w:r>
      <w:r>
        <w:rPr/>
        <w:t>handed over to MCGM in such cases entire area shall be deemed to be marked as existing amenity with the + sign indicating other uses on the said plot.</w:t>
      </w:r>
    </w:p>
    <w:p>
      <w:pPr>
        <w:pStyle w:val="Heading5"/>
        <w:numPr>
          <w:ilvl w:val="0"/>
          <w:numId w:val="89"/>
        </w:numPr>
        <w:tabs>
          <w:tab w:pos="1629" w:val="left" w:leader="none"/>
        </w:tabs>
        <w:spacing w:line="240" w:lineRule="auto" w:before="193" w:after="0"/>
        <w:ind w:left="1629" w:right="0" w:hanging="549"/>
        <w:jc w:val="both"/>
      </w:pPr>
      <w:r>
        <w:rPr/>
        <w:t>General</w:t>
      </w:r>
      <w:r>
        <w:rPr>
          <w:spacing w:val="-1"/>
        </w:rPr>
        <w:t> </w:t>
      </w:r>
      <w:r>
        <w:rPr/>
        <w:t>conditions</w:t>
      </w:r>
      <w:r>
        <w:rPr>
          <w:spacing w:val="-1"/>
        </w:rPr>
        <w:t> </w:t>
      </w:r>
      <w:r>
        <w:rPr/>
        <w:t>to</w:t>
      </w:r>
      <w:r>
        <w:rPr>
          <w:spacing w:val="-1"/>
        </w:rPr>
        <w:t> </w:t>
      </w:r>
      <w:r>
        <w:rPr/>
        <w:t>allow development</w:t>
      </w:r>
      <w:r>
        <w:rPr>
          <w:spacing w:val="-1"/>
        </w:rPr>
        <w:t> </w:t>
      </w:r>
      <w:r>
        <w:rPr/>
        <w:t>under</w:t>
      </w:r>
      <w:r>
        <w:rPr>
          <w:spacing w:val="-1"/>
        </w:rPr>
        <w:t> </w:t>
      </w:r>
      <w:r>
        <w:rPr/>
        <w:t>above </w:t>
      </w:r>
      <w:r>
        <w:rPr>
          <w:spacing w:val="-2"/>
        </w:rPr>
        <w:t>regulations:-</w:t>
      </w:r>
    </w:p>
    <w:p>
      <w:pPr>
        <w:pStyle w:val="BodyText"/>
        <w:spacing w:before="1"/>
        <w:jc w:val="left"/>
        <w:rPr>
          <w:b/>
        </w:rPr>
      </w:pPr>
    </w:p>
    <w:p>
      <w:pPr>
        <w:pStyle w:val="ListParagraph"/>
        <w:numPr>
          <w:ilvl w:val="1"/>
          <w:numId w:val="89"/>
        </w:numPr>
        <w:tabs>
          <w:tab w:pos="1297" w:val="left" w:leader="none"/>
        </w:tabs>
        <w:spacing w:line="240" w:lineRule="auto" w:before="0" w:after="0"/>
        <w:ind w:left="1080" w:right="1077" w:firstLine="0"/>
        <w:jc w:val="both"/>
        <w:rPr>
          <w:sz w:val="24"/>
        </w:rPr>
      </w:pPr>
      <w:r>
        <w:rPr>
          <w:sz w:val="24"/>
        </w:rPr>
        <w:t>If</w:t>
      </w:r>
      <w:r>
        <w:rPr>
          <w:spacing w:val="-5"/>
          <w:sz w:val="24"/>
        </w:rPr>
        <w:t> </w:t>
      </w:r>
      <w:r>
        <w:rPr>
          <w:sz w:val="24"/>
        </w:rPr>
        <w:t>the</w:t>
      </w:r>
      <w:r>
        <w:rPr>
          <w:spacing w:val="-5"/>
          <w:sz w:val="24"/>
        </w:rPr>
        <w:t> </w:t>
      </w:r>
      <w:r>
        <w:rPr>
          <w:sz w:val="24"/>
        </w:rPr>
        <w:t>area</w:t>
      </w:r>
      <w:r>
        <w:rPr>
          <w:spacing w:val="-5"/>
          <w:sz w:val="24"/>
        </w:rPr>
        <w:t> </w:t>
      </w:r>
      <w:r>
        <w:rPr>
          <w:sz w:val="24"/>
        </w:rPr>
        <w:t>of</w:t>
      </w:r>
      <w:r>
        <w:rPr>
          <w:spacing w:val="-5"/>
          <w:sz w:val="24"/>
        </w:rPr>
        <w:t> </w:t>
      </w:r>
      <w:r>
        <w:rPr>
          <w:sz w:val="24"/>
        </w:rPr>
        <w:t>reservation</w:t>
      </w:r>
      <w:r>
        <w:rPr>
          <w:spacing w:val="-5"/>
          <w:sz w:val="24"/>
        </w:rPr>
        <w:t> </w:t>
      </w:r>
      <w:r>
        <w:rPr>
          <w:sz w:val="24"/>
        </w:rPr>
        <w:t>is</w:t>
      </w:r>
      <w:r>
        <w:rPr>
          <w:spacing w:val="-5"/>
          <w:sz w:val="24"/>
        </w:rPr>
        <w:t> </w:t>
      </w:r>
      <w:r>
        <w:rPr>
          <w:sz w:val="24"/>
        </w:rPr>
        <w:t>not</w:t>
      </w:r>
      <w:r>
        <w:rPr>
          <w:spacing w:val="-5"/>
          <w:sz w:val="24"/>
        </w:rPr>
        <w:t> </w:t>
      </w:r>
      <w:r>
        <w:rPr>
          <w:sz w:val="24"/>
        </w:rPr>
        <w:t>adequate</w:t>
      </w:r>
      <w:r>
        <w:rPr>
          <w:spacing w:val="-5"/>
          <w:sz w:val="24"/>
        </w:rPr>
        <w:t> </w:t>
      </w:r>
      <w:r>
        <w:rPr>
          <w:sz w:val="24"/>
        </w:rPr>
        <w:t>to</w:t>
      </w:r>
      <w:r>
        <w:rPr>
          <w:spacing w:val="-5"/>
          <w:sz w:val="24"/>
        </w:rPr>
        <w:t> </w:t>
      </w:r>
      <w:r>
        <w:rPr>
          <w:sz w:val="24"/>
        </w:rPr>
        <w:t>construct</w:t>
      </w:r>
      <w:r>
        <w:rPr>
          <w:spacing w:val="-5"/>
          <w:sz w:val="24"/>
        </w:rPr>
        <w:t> </w:t>
      </w:r>
      <w:r>
        <w:rPr>
          <w:sz w:val="24"/>
        </w:rPr>
        <w:t>independent</w:t>
      </w:r>
      <w:r>
        <w:rPr>
          <w:spacing w:val="-5"/>
          <w:sz w:val="24"/>
        </w:rPr>
        <w:t> </w:t>
      </w:r>
      <w:r>
        <w:rPr>
          <w:sz w:val="24"/>
        </w:rPr>
        <w:t>building as mentioned above OR when it is not possible to handover individual plot along with public amenity, then in such cases Municipal Commissioner may allow composite building on said land subject to condition that the built up area mentioned as above may be allowed to be handed over to the Planning Authority</w:t>
      </w:r>
      <w:r>
        <w:rPr>
          <w:spacing w:val="-7"/>
          <w:sz w:val="24"/>
        </w:rPr>
        <w:t> </w:t>
      </w:r>
      <w:r>
        <w:rPr>
          <w:sz w:val="24"/>
        </w:rPr>
        <w:t>or</w:t>
      </w:r>
      <w:r>
        <w:rPr>
          <w:spacing w:val="-7"/>
          <w:sz w:val="24"/>
        </w:rPr>
        <w:t> </w:t>
      </w:r>
      <w:r>
        <w:rPr>
          <w:sz w:val="24"/>
        </w:rPr>
        <w:t>Appropriate</w:t>
      </w:r>
      <w:r>
        <w:rPr>
          <w:spacing w:val="-7"/>
          <w:sz w:val="24"/>
        </w:rPr>
        <w:t> </w:t>
      </w:r>
      <w:r>
        <w:rPr>
          <w:sz w:val="24"/>
        </w:rPr>
        <w:t>Authority,</w:t>
      </w:r>
      <w:r>
        <w:rPr>
          <w:spacing w:val="-7"/>
          <w:sz w:val="24"/>
        </w:rPr>
        <w:t> </w:t>
      </w:r>
      <w:r>
        <w:rPr>
          <w:sz w:val="24"/>
        </w:rPr>
        <w:t>as</w:t>
      </w:r>
      <w:r>
        <w:rPr>
          <w:spacing w:val="-7"/>
          <w:sz w:val="24"/>
        </w:rPr>
        <w:t> </w:t>
      </w:r>
      <w:r>
        <w:rPr>
          <w:sz w:val="24"/>
        </w:rPr>
        <w:t>the</w:t>
      </w:r>
      <w:r>
        <w:rPr>
          <w:spacing w:val="-7"/>
          <w:sz w:val="24"/>
        </w:rPr>
        <w:t> </w:t>
      </w:r>
      <w:r>
        <w:rPr>
          <w:sz w:val="24"/>
        </w:rPr>
        <w:t>case</w:t>
      </w:r>
      <w:r>
        <w:rPr>
          <w:spacing w:val="-7"/>
          <w:sz w:val="24"/>
        </w:rPr>
        <w:t> </w:t>
      </w:r>
      <w:r>
        <w:rPr>
          <w:sz w:val="24"/>
        </w:rPr>
        <w:t>may</w:t>
      </w:r>
      <w:r>
        <w:rPr>
          <w:spacing w:val="-7"/>
          <w:sz w:val="24"/>
        </w:rPr>
        <w:t> </w:t>
      </w:r>
      <w:r>
        <w:rPr>
          <w:sz w:val="24"/>
        </w:rPr>
        <w:t>be,</w:t>
      </w:r>
      <w:r>
        <w:rPr>
          <w:spacing w:val="-7"/>
          <w:sz w:val="24"/>
        </w:rPr>
        <w:t> </w:t>
      </w:r>
      <w:r>
        <w:rPr>
          <w:sz w:val="24"/>
        </w:rPr>
        <w:t>preferably</w:t>
      </w:r>
      <w:r>
        <w:rPr>
          <w:spacing w:val="-7"/>
          <w:sz w:val="24"/>
        </w:rPr>
        <w:t> </w:t>
      </w:r>
      <w:r>
        <w:rPr>
          <w:sz w:val="24"/>
        </w:rPr>
        <w:t>on</w:t>
      </w:r>
      <w:r>
        <w:rPr>
          <w:spacing w:val="-7"/>
          <w:sz w:val="24"/>
        </w:rPr>
        <w:t> </w:t>
      </w:r>
      <w:r>
        <w:rPr>
          <w:sz w:val="24"/>
        </w:rPr>
        <w:t>ground floor and subject to premium at the rate of 35% and 40% of ASR of the developed land for the zonal (basic) FSI (In case of suburbs where FSI is 1 it shall be as per ASR of the developed land and in case of City it shall be 1.33 times of ASR of the developed land) for AH/R&amp;R and for other reservations respectively</w:t>
      </w:r>
      <w:r>
        <w:rPr>
          <w:spacing w:val="-10"/>
          <w:sz w:val="24"/>
        </w:rPr>
        <w:t> </w:t>
      </w:r>
      <w:r>
        <w:rPr>
          <w:sz w:val="24"/>
        </w:rPr>
        <w:t>or</w:t>
      </w:r>
      <w:r>
        <w:rPr>
          <w:spacing w:val="-10"/>
          <w:sz w:val="24"/>
        </w:rPr>
        <w:t> </w:t>
      </w:r>
      <w:r>
        <w:rPr>
          <w:sz w:val="24"/>
        </w:rPr>
        <w:t>as</w:t>
      </w:r>
      <w:r>
        <w:rPr>
          <w:spacing w:val="-10"/>
          <w:sz w:val="24"/>
        </w:rPr>
        <w:t> </w:t>
      </w:r>
      <w:r>
        <w:rPr>
          <w:sz w:val="24"/>
        </w:rPr>
        <w:t>may</w:t>
      </w:r>
      <w:r>
        <w:rPr>
          <w:spacing w:val="-10"/>
          <w:sz w:val="24"/>
        </w:rPr>
        <w:t> </w:t>
      </w:r>
      <w:r>
        <w:rPr>
          <w:sz w:val="24"/>
        </w:rPr>
        <w:t>be</w:t>
      </w:r>
      <w:r>
        <w:rPr>
          <w:spacing w:val="-10"/>
          <w:sz w:val="24"/>
        </w:rPr>
        <w:t> </w:t>
      </w:r>
      <w:r>
        <w:rPr>
          <w:sz w:val="24"/>
        </w:rPr>
        <w:t>decided</w:t>
      </w:r>
      <w:r>
        <w:rPr>
          <w:spacing w:val="-10"/>
          <w:sz w:val="24"/>
        </w:rPr>
        <w:t> </w:t>
      </w:r>
      <w:r>
        <w:rPr>
          <w:sz w:val="24"/>
        </w:rPr>
        <w:t>by</w:t>
      </w:r>
      <w:r>
        <w:rPr>
          <w:spacing w:val="-10"/>
          <w:sz w:val="24"/>
        </w:rPr>
        <w:t> </w:t>
      </w:r>
      <w:r>
        <w:rPr>
          <w:sz w:val="24"/>
        </w:rPr>
        <w:t>Government</w:t>
      </w:r>
      <w:r>
        <w:rPr>
          <w:spacing w:val="-10"/>
          <w:sz w:val="24"/>
        </w:rPr>
        <w:t> </w:t>
      </w:r>
      <w:r>
        <w:rPr>
          <w:sz w:val="24"/>
        </w:rPr>
        <w:t>from</w:t>
      </w:r>
      <w:r>
        <w:rPr>
          <w:spacing w:val="-10"/>
          <w:sz w:val="24"/>
        </w:rPr>
        <w:t> </w:t>
      </w:r>
      <w:r>
        <w:rPr>
          <w:sz w:val="24"/>
        </w:rPr>
        <w:t>time</w:t>
      </w:r>
      <w:r>
        <w:rPr>
          <w:spacing w:val="-10"/>
          <w:sz w:val="24"/>
        </w:rPr>
        <w:t> </w:t>
      </w:r>
      <w:r>
        <w:rPr>
          <w:sz w:val="24"/>
        </w:rPr>
        <w:t>to</w:t>
      </w:r>
      <w:r>
        <w:rPr>
          <w:spacing w:val="-10"/>
          <w:sz w:val="24"/>
        </w:rPr>
        <w:t> </w:t>
      </w:r>
      <w:r>
        <w:rPr>
          <w:sz w:val="24"/>
        </w:rPr>
        <w:t>time.</w:t>
      </w:r>
      <w:r>
        <w:rPr>
          <w:spacing w:val="-10"/>
          <w:sz w:val="24"/>
        </w:rPr>
        <w:t> </w:t>
      </w:r>
      <w:r>
        <w:rPr>
          <w:sz w:val="24"/>
        </w:rPr>
        <w:t>If</w:t>
      </w:r>
      <w:r>
        <w:rPr>
          <w:spacing w:val="-10"/>
          <w:sz w:val="24"/>
        </w:rPr>
        <w:t> </w:t>
      </w:r>
      <w:r>
        <w:rPr>
          <w:sz w:val="24"/>
        </w:rPr>
        <w:t>ground floor</w:t>
      </w:r>
      <w:r>
        <w:rPr>
          <w:spacing w:val="-2"/>
          <w:sz w:val="24"/>
        </w:rPr>
        <w:t> </w:t>
      </w:r>
      <w:r>
        <w:rPr>
          <w:sz w:val="24"/>
        </w:rPr>
        <w:t>is</w:t>
      </w:r>
      <w:r>
        <w:rPr>
          <w:spacing w:val="-2"/>
          <w:sz w:val="24"/>
        </w:rPr>
        <w:t> </w:t>
      </w:r>
      <w:r>
        <w:rPr>
          <w:sz w:val="24"/>
        </w:rPr>
        <w:t>utilized</w:t>
      </w:r>
      <w:r>
        <w:rPr>
          <w:spacing w:val="-2"/>
          <w:sz w:val="24"/>
        </w:rPr>
        <w:t> </w:t>
      </w:r>
      <w:r>
        <w:rPr>
          <w:sz w:val="24"/>
        </w:rPr>
        <w:t>for</w:t>
      </w:r>
      <w:r>
        <w:rPr>
          <w:spacing w:val="-2"/>
          <w:sz w:val="24"/>
        </w:rPr>
        <w:t> </w:t>
      </w:r>
      <w:r>
        <w:rPr>
          <w:sz w:val="24"/>
        </w:rPr>
        <w:t>parking,</w:t>
      </w:r>
      <w:r>
        <w:rPr>
          <w:spacing w:val="-2"/>
          <w:sz w:val="24"/>
        </w:rPr>
        <w:t> </w:t>
      </w:r>
      <w:r>
        <w:rPr>
          <w:sz w:val="24"/>
        </w:rPr>
        <w:t>then</w:t>
      </w:r>
      <w:r>
        <w:rPr>
          <w:spacing w:val="-2"/>
          <w:sz w:val="24"/>
        </w:rPr>
        <w:t> </w:t>
      </w:r>
      <w:r>
        <w:rPr>
          <w:sz w:val="24"/>
        </w:rPr>
        <w:t>on</w:t>
      </w:r>
      <w:r>
        <w:rPr>
          <w:spacing w:val="-2"/>
          <w:sz w:val="24"/>
        </w:rPr>
        <w:t> </w:t>
      </w:r>
      <w:r>
        <w:rPr>
          <w:sz w:val="24"/>
        </w:rPr>
        <w:t>stilt/first</w:t>
      </w:r>
      <w:r>
        <w:rPr>
          <w:spacing w:val="-2"/>
          <w:sz w:val="24"/>
        </w:rPr>
        <w:t> </w:t>
      </w:r>
      <w:r>
        <w:rPr>
          <w:sz w:val="24"/>
        </w:rPr>
        <w:t>floor</w:t>
      </w:r>
      <w:r>
        <w:rPr>
          <w:spacing w:val="-2"/>
          <w:sz w:val="24"/>
        </w:rPr>
        <w:t> </w:t>
      </w:r>
      <w:r>
        <w:rPr>
          <w:sz w:val="24"/>
        </w:rPr>
        <w:t>with</w:t>
      </w:r>
      <w:r>
        <w:rPr>
          <w:spacing w:val="-2"/>
          <w:sz w:val="24"/>
        </w:rPr>
        <w:t> </w:t>
      </w:r>
      <w:r>
        <w:rPr>
          <w:sz w:val="24"/>
        </w:rPr>
        <w:t>separate</w:t>
      </w:r>
      <w:r>
        <w:rPr>
          <w:spacing w:val="-2"/>
          <w:sz w:val="24"/>
        </w:rPr>
        <w:t> </w:t>
      </w:r>
      <w:r>
        <w:rPr>
          <w:sz w:val="24"/>
        </w:rPr>
        <w:t>entry</w:t>
      </w:r>
      <w:r>
        <w:rPr>
          <w:spacing w:val="-2"/>
          <w:sz w:val="24"/>
        </w:rPr>
        <w:t> </w:t>
      </w:r>
      <w:r>
        <w:rPr>
          <w:sz w:val="24"/>
        </w:rPr>
        <w:t>&amp;</w:t>
      </w:r>
      <w:r>
        <w:rPr>
          <w:spacing w:val="-2"/>
          <w:sz w:val="24"/>
        </w:rPr>
        <w:t> </w:t>
      </w:r>
      <w:r>
        <w:rPr>
          <w:sz w:val="24"/>
        </w:rPr>
        <w:t>exit from Public Street. In such cases, built-up area along with proportionate undivided share of land shall be handed over to the Planning Authority or Appropriate</w:t>
      </w:r>
      <w:r>
        <w:rPr>
          <w:spacing w:val="-7"/>
          <w:sz w:val="24"/>
        </w:rPr>
        <w:t> </w:t>
      </w:r>
      <w:r>
        <w:rPr>
          <w:sz w:val="24"/>
        </w:rPr>
        <w:t>Authority,</w:t>
      </w:r>
      <w:r>
        <w:rPr>
          <w:spacing w:val="-7"/>
          <w:sz w:val="24"/>
        </w:rPr>
        <w:t> </w:t>
      </w:r>
      <w:r>
        <w:rPr>
          <w:sz w:val="24"/>
        </w:rPr>
        <w:t>as</w:t>
      </w:r>
      <w:r>
        <w:rPr>
          <w:spacing w:val="-7"/>
          <w:sz w:val="24"/>
        </w:rPr>
        <w:t> </w:t>
      </w:r>
      <w:r>
        <w:rPr>
          <w:sz w:val="24"/>
        </w:rPr>
        <w:t>the</w:t>
      </w:r>
      <w:r>
        <w:rPr>
          <w:spacing w:val="-7"/>
          <w:sz w:val="24"/>
        </w:rPr>
        <w:t> </w:t>
      </w:r>
      <w:r>
        <w:rPr>
          <w:sz w:val="24"/>
        </w:rPr>
        <w:t>case</w:t>
      </w:r>
      <w:r>
        <w:rPr>
          <w:spacing w:val="-7"/>
          <w:sz w:val="24"/>
        </w:rPr>
        <w:t> </w:t>
      </w:r>
      <w:r>
        <w:rPr>
          <w:sz w:val="24"/>
        </w:rPr>
        <w:t>may</w:t>
      </w:r>
      <w:r>
        <w:rPr>
          <w:spacing w:val="-7"/>
          <w:sz w:val="24"/>
        </w:rPr>
        <w:t> </w:t>
      </w:r>
      <w:r>
        <w:rPr>
          <w:sz w:val="24"/>
        </w:rPr>
        <w:t>be.</w:t>
      </w:r>
      <w:r>
        <w:rPr>
          <w:spacing w:val="-7"/>
          <w:sz w:val="24"/>
        </w:rPr>
        <w:t> </w:t>
      </w:r>
      <w:r>
        <w:rPr>
          <w:sz w:val="24"/>
        </w:rPr>
        <w:t>In</w:t>
      </w:r>
      <w:r>
        <w:rPr>
          <w:spacing w:val="-7"/>
          <w:sz w:val="24"/>
        </w:rPr>
        <w:t> </w:t>
      </w:r>
      <w:r>
        <w:rPr>
          <w:sz w:val="24"/>
        </w:rPr>
        <w:t>such</w:t>
      </w:r>
      <w:r>
        <w:rPr>
          <w:spacing w:val="-7"/>
          <w:sz w:val="24"/>
        </w:rPr>
        <w:t> </w:t>
      </w:r>
      <w:r>
        <w:rPr>
          <w:sz w:val="24"/>
        </w:rPr>
        <w:t>cases</w:t>
      </w:r>
      <w:r>
        <w:rPr>
          <w:spacing w:val="-7"/>
          <w:sz w:val="24"/>
        </w:rPr>
        <w:t> </w:t>
      </w:r>
      <w:r>
        <w:rPr>
          <w:sz w:val="24"/>
        </w:rPr>
        <w:t>no</w:t>
      </w:r>
      <w:r>
        <w:rPr>
          <w:spacing w:val="-7"/>
          <w:sz w:val="24"/>
        </w:rPr>
        <w:t> </w:t>
      </w:r>
      <w:r>
        <w:rPr>
          <w:sz w:val="24"/>
        </w:rPr>
        <w:t>compensation</w:t>
      </w:r>
      <w:r>
        <w:rPr>
          <w:spacing w:val="-7"/>
          <w:sz w:val="24"/>
        </w:rPr>
        <w:t> </w:t>
      </w:r>
      <w:r>
        <w:rPr>
          <w:sz w:val="24"/>
        </w:rPr>
        <w:t>of proportionate undivided land share shall be permissible to the land owner/ </w:t>
      </w:r>
      <w:r>
        <w:rPr>
          <w:spacing w:val="-2"/>
          <w:sz w:val="24"/>
        </w:rPr>
        <w:t>developer.</w:t>
      </w:r>
    </w:p>
    <w:p>
      <w:pPr>
        <w:pStyle w:val="ListParagraph"/>
        <w:numPr>
          <w:ilvl w:val="1"/>
          <w:numId w:val="89"/>
        </w:numPr>
        <w:tabs>
          <w:tab w:pos="1444" w:val="left" w:leader="none"/>
        </w:tabs>
        <w:spacing w:line="276" w:lineRule="auto" w:before="0" w:after="0"/>
        <w:ind w:left="1080" w:right="1078" w:firstLine="0"/>
        <w:jc w:val="both"/>
        <w:rPr>
          <w:sz w:val="24"/>
        </w:rPr>
      </w:pPr>
      <w:r>
        <w:rPr>
          <w:sz w:val="24"/>
        </w:rPr>
        <w:t>It shall be obligatory on Municipal Commissioner to make registered agreement</w:t>
      </w:r>
      <w:r>
        <w:rPr>
          <w:spacing w:val="-8"/>
          <w:sz w:val="24"/>
        </w:rPr>
        <w:t> </w:t>
      </w:r>
      <w:r>
        <w:rPr>
          <w:sz w:val="24"/>
        </w:rPr>
        <w:t>with</w:t>
      </w:r>
      <w:r>
        <w:rPr>
          <w:spacing w:val="-8"/>
          <w:sz w:val="24"/>
        </w:rPr>
        <w:t> </w:t>
      </w:r>
      <w:r>
        <w:rPr>
          <w:sz w:val="24"/>
        </w:rPr>
        <w:t>the</w:t>
      </w:r>
      <w:r>
        <w:rPr>
          <w:spacing w:val="-11"/>
          <w:sz w:val="24"/>
        </w:rPr>
        <w:t> </w:t>
      </w:r>
      <w:r>
        <w:rPr>
          <w:sz w:val="24"/>
        </w:rPr>
        <w:t>developer</w:t>
      </w:r>
      <w:r>
        <w:rPr>
          <w:spacing w:val="-8"/>
          <w:sz w:val="24"/>
        </w:rPr>
        <w:t> </w:t>
      </w:r>
      <w:r>
        <w:rPr>
          <w:sz w:val="24"/>
        </w:rPr>
        <w:t>/owner</w:t>
      </w:r>
      <w:r>
        <w:rPr>
          <w:spacing w:val="-8"/>
          <w:sz w:val="24"/>
        </w:rPr>
        <w:t> </w:t>
      </w:r>
      <w:r>
        <w:rPr>
          <w:sz w:val="24"/>
        </w:rPr>
        <w:t>at</w:t>
      </w:r>
      <w:r>
        <w:rPr>
          <w:spacing w:val="-11"/>
          <w:sz w:val="24"/>
        </w:rPr>
        <w:t> </w:t>
      </w:r>
      <w:r>
        <w:rPr>
          <w:sz w:val="24"/>
        </w:rPr>
        <w:t>the</w:t>
      </w:r>
      <w:r>
        <w:rPr>
          <w:spacing w:val="-8"/>
          <w:sz w:val="24"/>
        </w:rPr>
        <w:t> </w:t>
      </w:r>
      <w:r>
        <w:rPr>
          <w:sz w:val="24"/>
        </w:rPr>
        <w:t>time</w:t>
      </w:r>
      <w:r>
        <w:rPr>
          <w:spacing w:val="-8"/>
          <w:sz w:val="24"/>
        </w:rPr>
        <w:t> </w:t>
      </w:r>
      <w:r>
        <w:rPr>
          <w:sz w:val="24"/>
        </w:rPr>
        <w:t>of</w:t>
      </w:r>
      <w:r>
        <w:rPr>
          <w:spacing w:val="-8"/>
          <w:sz w:val="24"/>
        </w:rPr>
        <w:t> </w:t>
      </w:r>
      <w:r>
        <w:rPr>
          <w:sz w:val="24"/>
        </w:rPr>
        <w:t>granting</w:t>
      </w:r>
      <w:r>
        <w:rPr>
          <w:spacing w:val="-11"/>
          <w:sz w:val="24"/>
        </w:rPr>
        <w:t> </w:t>
      </w:r>
      <w:r>
        <w:rPr>
          <w:sz w:val="24"/>
        </w:rPr>
        <w:t>the</w:t>
      </w:r>
      <w:r>
        <w:rPr>
          <w:spacing w:val="-8"/>
          <w:sz w:val="24"/>
        </w:rPr>
        <w:t> </w:t>
      </w:r>
      <w:r>
        <w:rPr>
          <w:sz w:val="24"/>
        </w:rPr>
        <w:t>development permission subject to terms and conditions as it deem fit. Occupancy Certificate</w:t>
      </w:r>
      <w:r>
        <w:rPr>
          <w:spacing w:val="-10"/>
          <w:sz w:val="24"/>
        </w:rPr>
        <w:t> </w:t>
      </w:r>
      <w:r>
        <w:rPr>
          <w:sz w:val="24"/>
        </w:rPr>
        <w:t>shall</w:t>
      </w:r>
      <w:r>
        <w:rPr>
          <w:spacing w:val="-10"/>
          <w:sz w:val="24"/>
        </w:rPr>
        <w:t> </w:t>
      </w:r>
      <w:r>
        <w:rPr>
          <w:sz w:val="24"/>
        </w:rPr>
        <w:t>be</w:t>
      </w:r>
      <w:r>
        <w:rPr>
          <w:spacing w:val="-10"/>
          <w:sz w:val="24"/>
        </w:rPr>
        <w:t> </w:t>
      </w:r>
      <w:r>
        <w:rPr>
          <w:sz w:val="24"/>
        </w:rPr>
        <w:t>issued</w:t>
      </w:r>
      <w:r>
        <w:rPr>
          <w:spacing w:val="-10"/>
          <w:sz w:val="24"/>
        </w:rPr>
        <w:t> </w:t>
      </w:r>
      <w:r>
        <w:rPr>
          <w:sz w:val="24"/>
        </w:rPr>
        <w:t>only</w:t>
      </w:r>
      <w:r>
        <w:rPr>
          <w:spacing w:val="-10"/>
          <w:sz w:val="24"/>
        </w:rPr>
        <w:t> </w:t>
      </w:r>
      <w:r>
        <w:rPr>
          <w:sz w:val="24"/>
        </w:rPr>
        <w:t>after</w:t>
      </w:r>
      <w:r>
        <w:rPr>
          <w:spacing w:val="-10"/>
          <w:sz w:val="24"/>
        </w:rPr>
        <w:t> </w:t>
      </w:r>
      <w:r>
        <w:rPr>
          <w:sz w:val="24"/>
        </w:rPr>
        <w:t>compliance</w:t>
      </w:r>
      <w:r>
        <w:rPr>
          <w:spacing w:val="-10"/>
          <w:sz w:val="24"/>
        </w:rPr>
        <w:t> </w:t>
      </w:r>
      <w:r>
        <w:rPr>
          <w:sz w:val="24"/>
        </w:rPr>
        <w:t>of</w:t>
      </w:r>
      <w:r>
        <w:rPr>
          <w:spacing w:val="-10"/>
          <w:sz w:val="24"/>
        </w:rPr>
        <w:t> </w:t>
      </w:r>
      <w:r>
        <w:rPr>
          <w:sz w:val="24"/>
        </w:rPr>
        <w:t>all</w:t>
      </w:r>
      <w:r>
        <w:rPr>
          <w:spacing w:val="-10"/>
          <w:sz w:val="24"/>
        </w:rPr>
        <w:t> </w:t>
      </w:r>
      <w:r>
        <w:rPr>
          <w:sz w:val="24"/>
        </w:rPr>
        <w:t>terms</w:t>
      </w:r>
      <w:r>
        <w:rPr>
          <w:spacing w:val="-10"/>
          <w:sz w:val="24"/>
        </w:rPr>
        <w:t> </w:t>
      </w:r>
      <w:r>
        <w:rPr>
          <w:sz w:val="24"/>
        </w:rPr>
        <w:t>&amp;</w:t>
      </w:r>
      <w:r>
        <w:rPr>
          <w:spacing w:val="-5"/>
          <w:sz w:val="24"/>
        </w:rPr>
        <w:t> </w:t>
      </w:r>
      <w:r>
        <w:rPr>
          <w:sz w:val="24"/>
        </w:rPr>
        <w:t>conditions</w:t>
      </w:r>
      <w:r>
        <w:rPr>
          <w:spacing w:val="-10"/>
          <w:sz w:val="24"/>
        </w:rPr>
        <w:t> </w:t>
      </w:r>
      <w:r>
        <w:rPr>
          <w:sz w:val="24"/>
        </w:rPr>
        <w:t>and getting possession of the constructed amenity.</w:t>
      </w:r>
    </w:p>
    <w:p>
      <w:pPr>
        <w:pStyle w:val="ListParagraph"/>
        <w:numPr>
          <w:ilvl w:val="1"/>
          <w:numId w:val="89"/>
        </w:numPr>
        <w:tabs>
          <w:tab w:pos="1436" w:val="left" w:leader="none"/>
        </w:tabs>
        <w:spacing w:line="276" w:lineRule="auto" w:before="199" w:after="0"/>
        <w:ind w:left="1080" w:right="1077" w:firstLine="0"/>
        <w:jc w:val="both"/>
        <w:rPr>
          <w:sz w:val="24"/>
        </w:rPr>
      </w:pPr>
      <w:r>
        <w:rPr>
          <w:sz w:val="24"/>
        </w:rPr>
        <w:t>The</w:t>
      </w:r>
      <w:r>
        <w:rPr>
          <w:spacing w:val="-11"/>
          <w:sz w:val="24"/>
        </w:rPr>
        <w:t> </w:t>
      </w:r>
      <w:r>
        <w:rPr>
          <w:sz w:val="24"/>
        </w:rPr>
        <w:t>above</w:t>
      </w:r>
      <w:r>
        <w:rPr>
          <w:spacing w:val="-11"/>
          <w:sz w:val="24"/>
        </w:rPr>
        <w:t> </w:t>
      </w:r>
      <w:r>
        <w:rPr>
          <w:sz w:val="24"/>
        </w:rPr>
        <w:t>permissions</w:t>
      </w:r>
      <w:r>
        <w:rPr>
          <w:spacing w:val="-11"/>
          <w:sz w:val="24"/>
        </w:rPr>
        <w:t> </w:t>
      </w:r>
      <w:r>
        <w:rPr>
          <w:sz w:val="24"/>
        </w:rPr>
        <w:t>for</w:t>
      </w:r>
      <w:r>
        <w:rPr>
          <w:spacing w:val="-11"/>
          <w:sz w:val="24"/>
        </w:rPr>
        <w:t> </w:t>
      </w:r>
      <w:r>
        <w:rPr>
          <w:sz w:val="24"/>
        </w:rPr>
        <w:t>development</w:t>
      </w:r>
      <w:r>
        <w:rPr>
          <w:spacing w:val="-11"/>
          <w:sz w:val="24"/>
        </w:rPr>
        <w:t> </w:t>
      </w:r>
      <w:r>
        <w:rPr>
          <w:sz w:val="24"/>
        </w:rPr>
        <w:t>of</w:t>
      </w:r>
      <w:r>
        <w:rPr>
          <w:spacing w:val="-11"/>
          <w:sz w:val="24"/>
        </w:rPr>
        <w:t> </w:t>
      </w:r>
      <w:r>
        <w:rPr>
          <w:sz w:val="24"/>
        </w:rPr>
        <w:t>reservations</w:t>
      </w:r>
      <w:r>
        <w:rPr>
          <w:spacing w:val="-11"/>
          <w:sz w:val="24"/>
        </w:rPr>
        <w:t> </w:t>
      </w:r>
      <w:r>
        <w:rPr>
          <w:sz w:val="24"/>
        </w:rPr>
        <w:t>shall</w:t>
      </w:r>
      <w:r>
        <w:rPr>
          <w:spacing w:val="-11"/>
          <w:sz w:val="24"/>
        </w:rPr>
        <w:t> </w:t>
      </w:r>
      <w:r>
        <w:rPr>
          <w:sz w:val="24"/>
        </w:rPr>
        <w:t>be</w:t>
      </w:r>
      <w:r>
        <w:rPr>
          <w:spacing w:val="-11"/>
          <w:sz w:val="24"/>
        </w:rPr>
        <w:t> </w:t>
      </w:r>
      <w:r>
        <w:rPr>
          <w:sz w:val="24"/>
        </w:rPr>
        <w:t>granted</w:t>
      </w:r>
      <w:r>
        <w:rPr>
          <w:spacing w:val="-11"/>
          <w:sz w:val="24"/>
        </w:rPr>
        <w:t> </w:t>
      </w:r>
      <w:r>
        <w:rPr>
          <w:sz w:val="24"/>
        </w:rPr>
        <w:t>by the Municipal Commissioner as per the norms mentioned in these </w:t>
      </w:r>
      <w:r>
        <w:rPr>
          <w:spacing w:val="-2"/>
          <w:sz w:val="24"/>
        </w:rPr>
        <w:t>regulations.</w:t>
      </w:r>
    </w:p>
    <w:p>
      <w:pPr>
        <w:pStyle w:val="ListParagraph"/>
        <w:numPr>
          <w:ilvl w:val="1"/>
          <w:numId w:val="89"/>
        </w:numPr>
        <w:tabs>
          <w:tab w:pos="1413" w:val="left" w:leader="none"/>
        </w:tabs>
        <w:spacing w:line="276" w:lineRule="auto" w:before="199" w:after="0"/>
        <w:ind w:left="1080" w:right="1078" w:firstLine="0"/>
        <w:jc w:val="both"/>
        <w:rPr>
          <w:sz w:val="24"/>
        </w:rPr>
      </w:pPr>
      <w:r>
        <w:rPr>
          <w:sz w:val="24"/>
        </w:rPr>
        <w:t>The</w:t>
      </w:r>
      <w:r>
        <w:rPr>
          <w:spacing w:val="-17"/>
          <w:sz w:val="24"/>
        </w:rPr>
        <w:t> </w:t>
      </w:r>
      <w:r>
        <w:rPr>
          <w:sz w:val="24"/>
        </w:rPr>
        <w:t>area</w:t>
      </w:r>
      <w:r>
        <w:rPr>
          <w:spacing w:val="-15"/>
          <w:sz w:val="24"/>
        </w:rPr>
        <w:t> </w:t>
      </w:r>
      <w:r>
        <w:rPr>
          <w:sz w:val="24"/>
        </w:rPr>
        <w:t>/</w:t>
      </w:r>
      <w:r>
        <w:rPr>
          <w:spacing w:val="-15"/>
          <w:sz w:val="24"/>
        </w:rPr>
        <w:t> </w:t>
      </w:r>
      <w:r>
        <w:rPr>
          <w:sz w:val="24"/>
        </w:rPr>
        <w:t>built-up</w:t>
      </w:r>
      <w:r>
        <w:rPr>
          <w:spacing w:val="-15"/>
          <w:sz w:val="24"/>
        </w:rPr>
        <w:t> </w:t>
      </w:r>
      <w:r>
        <w:rPr>
          <w:sz w:val="24"/>
        </w:rPr>
        <w:t>area</w:t>
      </w:r>
      <w:r>
        <w:rPr>
          <w:spacing w:val="-15"/>
          <w:sz w:val="24"/>
        </w:rPr>
        <w:t> </w:t>
      </w:r>
      <w:r>
        <w:rPr>
          <w:sz w:val="24"/>
        </w:rPr>
        <w:t>to</w:t>
      </w:r>
      <w:r>
        <w:rPr>
          <w:spacing w:val="-15"/>
          <w:sz w:val="24"/>
        </w:rPr>
        <w:t> </w:t>
      </w:r>
      <w:r>
        <w:rPr>
          <w:sz w:val="24"/>
        </w:rPr>
        <w:t>be</w:t>
      </w:r>
      <w:r>
        <w:rPr>
          <w:spacing w:val="-18"/>
          <w:sz w:val="24"/>
        </w:rPr>
        <w:t> </w:t>
      </w:r>
      <w:r>
        <w:rPr>
          <w:sz w:val="24"/>
        </w:rPr>
        <w:t>handed</w:t>
      </w:r>
      <w:r>
        <w:rPr>
          <w:spacing w:val="-18"/>
          <w:sz w:val="24"/>
        </w:rPr>
        <w:t> </w:t>
      </w:r>
      <w:r>
        <w:rPr>
          <w:sz w:val="24"/>
        </w:rPr>
        <w:t>over</w:t>
      </w:r>
      <w:r>
        <w:rPr>
          <w:spacing w:val="-15"/>
          <w:sz w:val="24"/>
        </w:rPr>
        <w:t> </w:t>
      </w:r>
      <w:r>
        <w:rPr>
          <w:sz w:val="24"/>
        </w:rPr>
        <w:t>to</w:t>
      </w:r>
      <w:r>
        <w:rPr>
          <w:spacing w:val="-15"/>
          <w:sz w:val="24"/>
        </w:rPr>
        <w:t> </w:t>
      </w:r>
      <w:r>
        <w:rPr>
          <w:sz w:val="24"/>
        </w:rPr>
        <w:t>the</w:t>
      </w:r>
      <w:r>
        <w:rPr>
          <w:spacing w:val="-15"/>
          <w:sz w:val="24"/>
        </w:rPr>
        <w:t> </w:t>
      </w:r>
      <w:r>
        <w:rPr>
          <w:sz w:val="24"/>
        </w:rPr>
        <w:t>Planning</w:t>
      </w:r>
      <w:r>
        <w:rPr>
          <w:spacing w:val="-20"/>
          <w:sz w:val="24"/>
        </w:rPr>
        <w:t> </w:t>
      </w:r>
      <w:r>
        <w:rPr>
          <w:sz w:val="24"/>
        </w:rPr>
        <w:t>Authority</w:t>
      </w:r>
      <w:r>
        <w:rPr>
          <w:spacing w:val="-13"/>
          <w:sz w:val="24"/>
        </w:rPr>
        <w:t> </w:t>
      </w:r>
      <w:r>
        <w:rPr>
          <w:sz w:val="24"/>
        </w:rPr>
        <w:t>under these</w:t>
      </w:r>
      <w:r>
        <w:rPr>
          <w:spacing w:val="-8"/>
          <w:sz w:val="24"/>
        </w:rPr>
        <w:t> </w:t>
      </w:r>
      <w:r>
        <w:rPr>
          <w:sz w:val="24"/>
        </w:rPr>
        <w:t>Regulations</w:t>
      </w:r>
      <w:r>
        <w:rPr>
          <w:spacing w:val="-8"/>
          <w:sz w:val="24"/>
        </w:rPr>
        <w:t> </w:t>
      </w:r>
      <w:r>
        <w:rPr>
          <w:sz w:val="24"/>
        </w:rPr>
        <w:t>shall</w:t>
      </w:r>
      <w:r>
        <w:rPr>
          <w:spacing w:val="-9"/>
          <w:sz w:val="24"/>
        </w:rPr>
        <w:t> </w:t>
      </w:r>
      <w:r>
        <w:rPr>
          <w:sz w:val="24"/>
        </w:rPr>
        <w:t>be</w:t>
      </w:r>
      <w:r>
        <w:rPr>
          <w:spacing w:val="-8"/>
          <w:sz w:val="24"/>
        </w:rPr>
        <w:t> </w:t>
      </w:r>
      <w:r>
        <w:rPr>
          <w:sz w:val="24"/>
        </w:rPr>
        <w:t>earmarked</w:t>
      </w:r>
      <w:r>
        <w:rPr>
          <w:spacing w:val="-8"/>
          <w:sz w:val="24"/>
        </w:rPr>
        <w:t> </w:t>
      </w:r>
      <w:r>
        <w:rPr>
          <w:sz w:val="24"/>
        </w:rPr>
        <w:t>on</w:t>
      </w:r>
      <w:r>
        <w:rPr>
          <w:spacing w:val="-9"/>
          <w:sz w:val="24"/>
        </w:rPr>
        <w:t> </w:t>
      </w:r>
      <w:r>
        <w:rPr>
          <w:sz w:val="24"/>
        </w:rPr>
        <w:t>the</w:t>
      </w:r>
      <w:r>
        <w:rPr>
          <w:spacing w:val="-8"/>
          <w:sz w:val="24"/>
        </w:rPr>
        <w:t> </w:t>
      </w:r>
      <w:r>
        <w:rPr>
          <w:sz w:val="24"/>
        </w:rPr>
        <w:t>sanctioned</w:t>
      </w:r>
      <w:r>
        <w:rPr>
          <w:spacing w:val="-8"/>
          <w:sz w:val="24"/>
        </w:rPr>
        <w:t> </w:t>
      </w:r>
      <w:r>
        <w:rPr>
          <w:sz w:val="24"/>
        </w:rPr>
        <w:t>building</w:t>
      </w:r>
      <w:r>
        <w:rPr>
          <w:spacing w:val="-9"/>
          <w:sz w:val="24"/>
        </w:rPr>
        <w:t> </w:t>
      </w:r>
      <w:r>
        <w:rPr>
          <w:sz w:val="24"/>
        </w:rPr>
        <w:t>plan</w:t>
      </w:r>
      <w:r>
        <w:rPr>
          <w:spacing w:val="-8"/>
          <w:sz w:val="24"/>
        </w:rPr>
        <w:t> </w:t>
      </w:r>
      <w:r>
        <w:rPr>
          <w:sz w:val="24"/>
        </w:rPr>
        <w:t>clearly mentioning the same, and registered agreement to that effect shall be executed.</w:t>
      </w:r>
      <w:r>
        <w:rPr>
          <w:spacing w:val="-3"/>
          <w:sz w:val="24"/>
        </w:rPr>
        <w:t> </w:t>
      </w:r>
      <w:r>
        <w:rPr>
          <w:sz w:val="24"/>
        </w:rPr>
        <w:t>After</w:t>
      </w:r>
      <w:r>
        <w:rPr>
          <w:spacing w:val="-3"/>
          <w:sz w:val="24"/>
        </w:rPr>
        <w:t> </w:t>
      </w:r>
      <w:r>
        <w:rPr>
          <w:sz w:val="24"/>
        </w:rPr>
        <w:t>completion</w:t>
      </w:r>
      <w:r>
        <w:rPr>
          <w:spacing w:val="-3"/>
          <w:sz w:val="24"/>
        </w:rPr>
        <w:t> </w:t>
      </w:r>
      <w:r>
        <w:rPr>
          <w:sz w:val="24"/>
        </w:rPr>
        <w:t>of</w:t>
      </w:r>
      <w:r>
        <w:rPr>
          <w:spacing w:val="-3"/>
          <w:sz w:val="24"/>
        </w:rPr>
        <w:t> </w:t>
      </w:r>
      <w:r>
        <w:rPr>
          <w:sz w:val="24"/>
        </w:rPr>
        <w:t>construction,</w:t>
      </w:r>
      <w:r>
        <w:rPr>
          <w:spacing w:val="-3"/>
          <w:sz w:val="24"/>
        </w:rPr>
        <w:t> </w:t>
      </w:r>
      <w:r>
        <w:rPr>
          <w:sz w:val="24"/>
        </w:rPr>
        <w:t>the</w:t>
      </w:r>
      <w:r>
        <w:rPr>
          <w:spacing w:val="-3"/>
          <w:sz w:val="24"/>
        </w:rPr>
        <w:t> </w:t>
      </w:r>
      <w:r>
        <w:rPr>
          <w:sz w:val="24"/>
        </w:rPr>
        <w:t>said</w:t>
      </w:r>
      <w:r>
        <w:rPr>
          <w:spacing w:val="-3"/>
          <w:sz w:val="24"/>
        </w:rPr>
        <w:t> </w:t>
      </w:r>
      <w:r>
        <w:rPr>
          <w:sz w:val="24"/>
        </w:rPr>
        <w:t>amenity</w:t>
      </w:r>
      <w:r>
        <w:rPr>
          <w:spacing w:val="-1"/>
          <w:sz w:val="24"/>
        </w:rPr>
        <w:t> </w:t>
      </w:r>
      <w:r>
        <w:rPr>
          <w:sz w:val="24"/>
        </w:rPr>
        <w:t>shall</w:t>
      </w:r>
      <w:r>
        <w:rPr>
          <w:spacing w:val="-3"/>
          <w:sz w:val="24"/>
        </w:rPr>
        <w:t> </w:t>
      </w:r>
      <w:r>
        <w:rPr>
          <w:sz w:val="24"/>
        </w:rPr>
        <w:t>be</w:t>
      </w:r>
      <w:r>
        <w:rPr>
          <w:spacing w:val="-3"/>
          <w:sz w:val="24"/>
        </w:rPr>
        <w:t> </w:t>
      </w:r>
      <w:r>
        <w:rPr>
          <w:sz w:val="24"/>
        </w:rPr>
        <w:t>handed over by executing the deed of transfer in this respect and expenses thereon shall be borne by the owner. The occupation certificate to the construction belonging to owner shall be granted only after handing over said amenity to the Planning Authority. The constructed amenity shall be made available to the general public by the Municipal Commissioner within 6 month from possession</w:t>
      </w:r>
      <w:r>
        <w:rPr>
          <w:spacing w:val="-15"/>
          <w:sz w:val="24"/>
        </w:rPr>
        <w:t> </w:t>
      </w:r>
      <w:r>
        <w:rPr>
          <w:sz w:val="24"/>
        </w:rPr>
        <w:t>as</w:t>
      </w:r>
      <w:r>
        <w:rPr>
          <w:spacing w:val="-15"/>
          <w:sz w:val="24"/>
        </w:rPr>
        <w:t> </w:t>
      </w:r>
      <w:r>
        <w:rPr>
          <w:sz w:val="24"/>
        </w:rPr>
        <w:t>per</w:t>
      </w:r>
      <w:r>
        <w:rPr>
          <w:spacing w:val="-15"/>
          <w:sz w:val="24"/>
        </w:rPr>
        <w:t> </w:t>
      </w:r>
      <w:r>
        <w:rPr>
          <w:sz w:val="24"/>
        </w:rPr>
        <w:t>the</w:t>
      </w:r>
      <w:r>
        <w:rPr>
          <w:spacing w:val="-15"/>
          <w:sz w:val="24"/>
        </w:rPr>
        <w:t> </w:t>
      </w:r>
      <w:r>
        <w:rPr>
          <w:sz w:val="24"/>
        </w:rPr>
        <w:t>condition</w:t>
      </w:r>
      <w:r>
        <w:rPr>
          <w:spacing w:val="-15"/>
          <w:sz w:val="24"/>
        </w:rPr>
        <w:t> </w:t>
      </w:r>
      <w:r>
        <w:rPr>
          <w:sz w:val="24"/>
        </w:rPr>
        <w:t>as</w:t>
      </w:r>
      <w:r>
        <w:rPr>
          <w:spacing w:val="-15"/>
          <w:sz w:val="24"/>
        </w:rPr>
        <w:t> </w:t>
      </w:r>
      <w:r>
        <w:rPr>
          <w:sz w:val="24"/>
        </w:rPr>
        <w:t>the</w:t>
      </w:r>
      <w:r>
        <w:rPr>
          <w:spacing w:val="-15"/>
          <w:sz w:val="24"/>
        </w:rPr>
        <w:t> </w:t>
      </w:r>
      <w:r>
        <w:rPr>
          <w:sz w:val="24"/>
        </w:rPr>
        <w:t>Municipal</w:t>
      </w:r>
      <w:r>
        <w:rPr>
          <w:spacing w:val="-15"/>
          <w:sz w:val="24"/>
        </w:rPr>
        <w:t> </w:t>
      </w:r>
      <w:r>
        <w:rPr>
          <w:sz w:val="24"/>
        </w:rPr>
        <w:t>Commissioner</w:t>
      </w:r>
      <w:r>
        <w:rPr>
          <w:spacing w:val="-15"/>
          <w:sz w:val="24"/>
        </w:rPr>
        <w:t> </w:t>
      </w:r>
      <w:r>
        <w:rPr>
          <w:sz w:val="24"/>
        </w:rPr>
        <w:t>may</w:t>
      </w:r>
      <w:r>
        <w:rPr>
          <w:spacing w:val="-15"/>
          <w:sz w:val="24"/>
        </w:rPr>
        <w:t> </w:t>
      </w:r>
      <w:r>
        <w:rPr>
          <w:sz w:val="24"/>
        </w:rPr>
        <w:t>deem</w:t>
      </w:r>
      <w:r>
        <w:rPr>
          <w:spacing w:val="-15"/>
          <w:sz w:val="24"/>
        </w:rPr>
        <w:t> </w:t>
      </w:r>
      <w:r>
        <w:rPr>
          <w:sz w:val="24"/>
        </w:rPr>
        <w:t>fit.</w:t>
      </w:r>
    </w:p>
    <w:p>
      <w:pPr>
        <w:pStyle w:val="ListParagraph"/>
        <w:numPr>
          <w:ilvl w:val="1"/>
          <w:numId w:val="89"/>
        </w:numPr>
        <w:tabs>
          <w:tab w:pos="1468" w:val="left" w:leader="none"/>
        </w:tabs>
        <w:spacing w:line="276" w:lineRule="auto" w:before="200" w:after="0"/>
        <w:ind w:left="1080" w:right="1080" w:firstLine="0"/>
        <w:jc w:val="both"/>
        <w:rPr>
          <w:sz w:val="24"/>
        </w:rPr>
      </w:pPr>
      <w:r>
        <w:rPr>
          <w:sz w:val="24"/>
        </w:rPr>
        <w:t>In cases, where permission for development under accommodation reservation principle is already granted as per earlier regulations, the same shall</w:t>
      </w:r>
      <w:r>
        <w:rPr>
          <w:spacing w:val="71"/>
          <w:sz w:val="24"/>
        </w:rPr>
        <w:t> </w:t>
      </w:r>
      <w:r>
        <w:rPr>
          <w:sz w:val="24"/>
        </w:rPr>
        <w:t>continue</w:t>
      </w:r>
      <w:r>
        <w:rPr>
          <w:spacing w:val="71"/>
          <w:sz w:val="24"/>
        </w:rPr>
        <w:t> </w:t>
      </w:r>
      <w:r>
        <w:rPr>
          <w:sz w:val="24"/>
        </w:rPr>
        <w:t>to</w:t>
      </w:r>
      <w:r>
        <w:rPr>
          <w:spacing w:val="71"/>
          <w:sz w:val="24"/>
        </w:rPr>
        <w:t> </w:t>
      </w:r>
      <w:r>
        <w:rPr>
          <w:sz w:val="24"/>
        </w:rPr>
        <w:t>be</w:t>
      </w:r>
      <w:r>
        <w:rPr>
          <w:spacing w:val="71"/>
          <w:sz w:val="24"/>
        </w:rPr>
        <w:t> </w:t>
      </w:r>
      <w:r>
        <w:rPr>
          <w:sz w:val="24"/>
        </w:rPr>
        <w:t>valid</w:t>
      </w:r>
      <w:r>
        <w:rPr>
          <w:spacing w:val="74"/>
          <w:sz w:val="24"/>
        </w:rPr>
        <w:t>  </w:t>
      </w:r>
      <w:r>
        <w:rPr>
          <w:sz w:val="24"/>
        </w:rPr>
        <w:t>as</w:t>
      </w:r>
      <w:r>
        <w:rPr>
          <w:spacing w:val="71"/>
          <w:sz w:val="24"/>
        </w:rPr>
        <w:t> </w:t>
      </w:r>
      <w:r>
        <w:rPr>
          <w:sz w:val="24"/>
        </w:rPr>
        <w:t>per</w:t>
      </w:r>
      <w:r>
        <w:rPr>
          <w:spacing w:val="73"/>
          <w:sz w:val="24"/>
        </w:rPr>
        <w:t> </w:t>
      </w:r>
      <w:r>
        <w:rPr>
          <w:sz w:val="24"/>
        </w:rPr>
        <w:t>the</w:t>
      </w:r>
      <w:r>
        <w:rPr>
          <w:spacing w:val="71"/>
          <w:sz w:val="24"/>
        </w:rPr>
        <w:t> </w:t>
      </w:r>
      <w:r>
        <w:rPr>
          <w:sz w:val="24"/>
        </w:rPr>
        <w:t>provisions</w:t>
      </w:r>
      <w:r>
        <w:rPr>
          <w:spacing w:val="71"/>
          <w:sz w:val="24"/>
        </w:rPr>
        <w:t> </w:t>
      </w:r>
      <w:r>
        <w:rPr>
          <w:sz w:val="24"/>
        </w:rPr>
        <w:t>of</w:t>
      </w:r>
      <w:r>
        <w:rPr>
          <w:spacing w:val="71"/>
          <w:sz w:val="24"/>
        </w:rPr>
        <w:t> </w:t>
      </w:r>
      <w:r>
        <w:rPr>
          <w:sz w:val="24"/>
        </w:rPr>
        <w:t>Regulation</w:t>
      </w:r>
      <w:r>
        <w:rPr>
          <w:spacing w:val="71"/>
          <w:sz w:val="24"/>
        </w:rPr>
        <w:t> </w:t>
      </w:r>
      <w:r>
        <w:rPr>
          <w:sz w:val="24"/>
        </w:rPr>
        <w:t>9(5)</w:t>
      </w:r>
      <w:r>
        <w:rPr>
          <w:spacing w:val="75"/>
          <w:sz w:val="24"/>
        </w:rPr>
        <w:t> </w:t>
      </w:r>
      <w:r>
        <w:rPr>
          <w:sz w:val="24"/>
        </w:rPr>
        <w:t>vi)</w:t>
      </w:r>
    </w:p>
    <w:p>
      <w:pPr>
        <w:pStyle w:val="ListParagraph"/>
        <w:spacing w:after="0" w:line="276" w:lineRule="auto"/>
        <w:jc w:val="both"/>
        <w:rPr>
          <w:sz w:val="24"/>
        </w:rPr>
        <w:sectPr>
          <w:pgSz w:w="11910" w:h="16840"/>
          <w:pgMar w:header="746" w:footer="968" w:top="1180" w:bottom="1160" w:left="360" w:right="360"/>
        </w:sectPr>
      </w:pPr>
    </w:p>
    <w:p>
      <w:pPr>
        <w:pStyle w:val="BodyText"/>
        <w:spacing w:line="276" w:lineRule="auto" w:before="249"/>
        <w:ind w:left="1080" w:right="1078"/>
      </w:pPr>
      <w:r>
        <w:rPr/>
        <w:t>Provisions of Regulations of Inclusive Housing, Amenity Space if any, shall not be applicable for development of reservation under this Regulation. vii) Not withstanding anything contained in these regulations, for development under Accommodation Reservation (AR) there shall be no cap on remaining Plot</w:t>
      </w:r>
      <w:r>
        <w:rPr>
          <w:spacing w:val="-10"/>
        </w:rPr>
        <w:t> </w:t>
      </w:r>
      <w:r>
        <w:rPr/>
        <w:t>for</w:t>
      </w:r>
      <w:r>
        <w:rPr>
          <w:spacing w:val="-10"/>
        </w:rPr>
        <w:t> </w:t>
      </w:r>
      <w:r>
        <w:rPr/>
        <w:t>utilization</w:t>
      </w:r>
      <w:r>
        <w:rPr>
          <w:spacing w:val="-10"/>
        </w:rPr>
        <w:t> </w:t>
      </w:r>
      <w:r>
        <w:rPr/>
        <w:t>of</w:t>
      </w:r>
      <w:r>
        <w:rPr>
          <w:spacing w:val="-11"/>
        </w:rPr>
        <w:t> </w:t>
      </w:r>
      <w:r>
        <w:rPr>
          <w:sz w:val="22"/>
        </w:rPr>
        <w:t>permissible</w:t>
      </w:r>
      <w:r>
        <w:rPr>
          <w:spacing w:val="-10"/>
          <w:sz w:val="22"/>
        </w:rPr>
        <w:t> </w:t>
      </w:r>
      <w:r>
        <w:rPr>
          <w:sz w:val="22"/>
        </w:rPr>
        <w:t>FSI</w:t>
      </w:r>
      <w:r>
        <w:rPr>
          <w:spacing w:val="-11"/>
          <w:sz w:val="22"/>
        </w:rPr>
        <w:t> </w:t>
      </w:r>
      <w:r>
        <w:rPr>
          <w:sz w:val="22"/>
        </w:rPr>
        <w:t>as</w:t>
      </w:r>
      <w:r>
        <w:rPr>
          <w:spacing w:val="-10"/>
          <w:sz w:val="22"/>
        </w:rPr>
        <w:t> </w:t>
      </w:r>
      <w:r>
        <w:rPr>
          <w:sz w:val="22"/>
        </w:rPr>
        <w:t>per</w:t>
      </w:r>
      <w:r>
        <w:rPr>
          <w:spacing w:val="-11"/>
          <w:sz w:val="22"/>
        </w:rPr>
        <w:t> </w:t>
      </w:r>
      <w:r>
        <w:rPr>
          <w:sz w:val="22"/>
        </w:rPr>
        <w:t>column</w:t>
      </w:r>
      <w:r>
        <w:rPr>
          <w:spacing w:val="-8"/>
          <w:sz w:val="22"/>
        </w:rPr>
        <w:t> </w:t>
      </w:r>
      <w:r>
        <w:rPr>
          <w:sz w:val="22"/>
        </w:rPr>
        <w:t>7</w:t>
      </w:r>
      <w:r>
        <w:rPr>
          <w:spacing w:val="-11"/>
          <w:sz w:val="22"/>
        </w:rPr>
        <w:t> </w:t>
      </w:r>
      <w:r>
        <w:rPr>
          <w:sz w:val="22"/>
        </w:rPr>
        <w:t>of</w:t>
      </w:r>
      <w:r>
        <w:rPr>
          <w:spacing w:val="-11"/>
          <w:sz w:val="22"/>
        </w:rPr>
        <w:t> </w:t>
      </w:r>
      <w:r>
        <w:rPr>
          <w:sz w:val="22"/>
        </w:rPr>
        <w:t>Table</w:t>
      </w:r>
      <w:r>
        <w:rPr>
          <w:spacing w:val="-8"/>
          <w:sz w:val="22"/>
        </w:rPr>
        <w:t> </w:t>
      </w:r>
      <w:r>
        <w:rPr>
          <w:sz w:val="22"/>
        </w:rPr>
        <w:t>12,</w:t>
      </w:r>
      <w:r>
        <w:rPr>
          <w:spacing w:val="-12"/>
          <w:sz w:val="22"/>
        </w:rPr>
        <w:t> </w:t>
      </w:r>
      <w:r>
        <w:rPr>
          <w:sz w:val="22"/>
        </w:rPr>
        <w:t>regulation</w:t>
      </w:r>
      <w:r>
        <w:rPr>
          <w:spacing w:val="-10"/>
          <w:sz w:val="22"/>
        </w:rPr>
        <w:t> </w:t>
      </w:r>
      <w:r>
        <w:rPr>
          <w:sz w:val="22"/>
        </w:rPr>
        <w:t>30(A), </w:t>
      </w:r>
      <w:r>
        <w:rPr/>
        <w:t>of the plot to be handed over to MCGM/ Appropriate Authority</w:t>
      </w:r>
      <w:r>
        <w:rPr>
          <w:spacing w:val="80"/>
        </w:rPr>
        <w:t> </w:t>
      </w:r>
      <w:r>
        <w:rPr/>
        <w:t>.</w:t>
      </w:r>
    </w:p>
    <w:p>
      <w:pPr>
        <w:pStyle w:val="ListParagraph"/>
        <w:numPr>
          <w:ilvl w:val="0"/>
          <w:numId w:val="90"/>
        </w:numPr>
        <w:tabs>
          <w:tab w:pos="1549" w:val="left" w:leader="none"/>
        </w:tabs>
        <w:spacing w:line="240" w:lineRule="auto" w:before="202" w:after="0"/>
        <w:ind w:left="1080" w:right="1076" w:firstLine="0"/>
        <w:jc w:val="both"/>
        <w:rPr>
          <w:sz w:val="24"/>
        </w:rPr>
      </w:pPr>
      <w:r>
        <w:rPr>
          <w:sz w:val="24"/>
        </w:rPr>
        <w:t>Not</w:t>
      </w:r>
      <w:r>
        <w:rPr>
          <w:spacing w:val="-20"/>
          <w:sz w:val="24"/>
        </w:rPr>
        <w:t> </w:t>
      </w:r>
      <w:r>
        <w:rPr>
          <w:sz w:val="24"/>
        </w:rPr>
        <w:t>withstanding</w:t>
      </w:r>
      <w:r>
        <w:rPr>
          <w:spacing w:val="-19"/>
          <w:sz w:val="24"/>
        </w:rPr>
        <w:t> </w:t>
      </w:r>
      <w:r>
        <w:rPr>
          <w:sz w:val="24"/>
        </w:rPr>
        <w:t>anything</w:t>
      </w:r>
      <w:r>
        <w:rPr>
          <w:spacing w:val="-19"/>
          <w:sz w:val="24"/>
        </w:rPr>
        <w:t> </w:t>
      </w:r>
      <w:r>
        <w:rPr>
          <w:sz w:val="24"/>
        </w:rPr>
        <w:t>contained</w:t>
      </w:r>
      <w:r>
        <w:rPr>
          <w:spacing w:val="-19"/>
          <w:sz w:val="24"/>
        </w:rPr>
        <w:t> </w:t>
      </w:r>
      <w:r>
        <w:rPr>
          <w:sz w:val="24"/>
        </w:rPr>
        <w:t>in</w:t>
      </w:r>
      <w:r>
        <w:rPr>
          <w:spacing w:val="-19"/>
          <w:sz w:val="24"/>
        </w:rPr>
        <w:t> </w:t>
      </w:r>
      <w:r>
        <w:rPr>
          <w:sz w:val="24"/>
        </w:rPr>
        <w:t>these</w:t>
      </w:r>
      <w:r>
        <w:rPr>
          <w:spacing w:val="-20"/>
          <w:sz w:val="24"/>
        </w:rPr>
        <w:t> </w:t>
      </w:r>
      <w:r>
        <w:rPr>
          <w:sz w:val="24"/>
        </w:rPr>
        <w:t>regulations</w:t>
      </w:r>
      <w:r>
        <w:rPr>
          <w:spacing w:val="-19"/>
          <w:sz w:val="24"/>
        </w:rPr>
        <w:t> </w:t>
      </w:r>
      <w:r>
        <w:rPr>
          <w:sz w:val="24"/>
        </w:rPr>
        <w:t>for</w:t>
      </w:r>
      <w:r>
        <w:rPr>
          <w:spacing w:val="-19"/>
          <w:sz w:val="24"/>
        </w:rPr>
        <w:t> </w:t>
      </w:r>
      <w:r>
        <w:rPr>
          <w:sz w:val="24"/>
        </w:rPr>
        <w:t>development under</w:t>
      </w:r>
      <w:r>
        <w:rPr>
          <w:spacing w:val="-8"/>
          <w:sz w:val="24"/>
        </w:rPr>
        <w:t> </w:t>
      </w:r>
      <w:r>
        <w:rPr>
          <w:sz w:val="24"/>
        </w:rPr>
        <w:t>Accommodation</w:t>
      </w:r>
      <w:r>
        <w:rPr>
          <w:spacing w:val="-8"/>
          <w:sz w:val="24"/>
        </w:rPr>
        <w:t> </w:t>
      </w:r>
      <w:r>
        <w:rPr>
          <w:sz w:val="24"/>
        </w:rPr>
        <w:t>Reservation</w:t>
      </w:r>
      <w:r>
        <w:rPr>
          <w:spacing w:val="-8"/>
          <w:sz w:val="24"/>
        </w:rPr>
        <w:t> </w:t>
      </w:r>
      <w:r>
        <w:rPr>
          <w:sz w:val="24"/>
        </w:rPr>
        <w:t>(AR)</w:t>
      </w:r>
      <w:r>
        <w:rPr>
          <w:spacing w:val="-8"/>
          <w:sz w:val="24"/>
        </w:rPr>
        <w:t> </w:t>
      </w:r>
      <w:r>
        <w:rPr>
          <w:sz w:val="24"/>
        </w:rPr>
        <w:t>their</w:t>
      </w:r>
      <w:r>
        <w:rPr>
          <w:spacing w:val="-8"/>
          <w:sz w:val="24"/>
        </w:rPr>
        <w:t> </w:t>
      </w:r>
      <w:r>
        <w:rPr>
          <w:sz w:val="24"/>
        </w:rPr>
        <w:t>shall</w:t>
      </w:r>
      <w:r>
        <w:rPr>
          <w:spacing w:val="-8"/>
          <w:sz w:val="24"/>
        </w:rPr>
        <w:t> </w:t>
      </w:r>
      <w:r>
        <w:rPr>
          <w:sz w:val="24"/>
        </w:rPr>
        <w:t>be</w:t>
      </w:r>
      <w:r>
        <w:rPr>
          <w:spacing w:val="-8"/>
          <w:sz w:val="24"/>
        </w:rPr>
        <w:t> </w:t>
      </w:r>
      <w:r>
        <w:rPr>
          <w:sz w:val="24"/>
        </w:rPr>
        <w:t>no</w:t>
      </w:r>
      <w:r>
        <w:rPr>
          <w:spacing w:val="-8"/>
          <w:sz w:val="24"/>
        </w:rPr>
        <w:t> </w:t>
      </w:r>
      <w:r>
        <w:rPr>
          <w:sz w:val="24"/>
        </w:rPr>
        <w:t>cap</w:t>
      </w:r>
      <w:r>
        <w:rPr>
          <w:spacing w:val="-8"/>
          <w:sz w:val="24"/>
        </w:rPr>
        <w:t> </w:t>
      </w:r>
      <w:r>
        <w:rPr>
          <w:sz w:val="24"/>
        </w:rPr>
        <w:t>for</w:t>
      </w:r>
      <w:r>
        <w:rPr>
          <w:spacing w:val="-8"/>
          <w:sz w:val="24"/>
        </w:rPr>
        <w:t> </w:t>
      </w:r>
      <w:r>
        <w:rPr>
          <w:sz w:val="24"/>
        </w:rPr>
        <w:t>utilization</w:t>
      </w:r>
      <w:r>
        <w:rPr>
          <w:spacing w:val="-8"/>
          <w:sz w:val="24"/>
        </w:rPr>
        <w:t> </w:t>
      </w:r>
      <w:r>
        <w:rPr>
          <w:sz w:val="24"/>
        </w:rPr>
        <w:t>of in-situ</w:t>
      </w:r>
      <w:r>
        <w:rPr>
          <w:spacing w:val="-4"/>
          <w:sz w:val="24"/>
        </w:rPr>
        <w:t> </w:t>
      </w:r>
      <w:r>
        <w:rPr>
          <w:sz w:val="24"/>
        </w:rPr>
        <w:t>FSI/TDR</w:t>
      </w:r>
      <w:r>
        <w:rPr>
          <w:spacing w:val="-4"/>
          <w:sz w:val="24"/>
        </w:rPr>
        <w:t> </w:t>
      </w:r>
      <w:r>
        <w:rPr>
          <w:sz w:val="24"/>
        </w:rPr>
        <w:t>potential/</w:t>
      </w:r>
      <w:r>
        <w:rPr>
          <w:spacing w:val="-4"/>
          <w:sz w:val="24"/>
        </w:rPr>
        <w:t> </w:t>
      </w:r>
      <w:r>
        <w:rPr>
          <w:sz w:val="24"/>
        </w:rPr>
        <w:t>additional</w:t>
      </w:r>
      <w:r>
        <w:rPr>
          <w:spacing w:val="-4"/>
          <w:sz w:val="24"/>
        </w:rPr>
        <w:t> </w:t>
      </w:r>
      <w:r>
        <w:rPr>
          <w:sz w:val="24"/>
        </w:rPr>
        <w:t>FSI</w:t>
      </w:r>
      <w:r>
        <w:rPr>
          <w:spacing w:val="-2"/>
          <w:sz w:val="24"/>
        </w:rPr>
        <w:t> </w:t>
      </w:r>
      <w:r>
        <w:rPr>
          <w:sz w:val="24"/>
        </w:rPr>
        <w:t>on</w:t>
      </w:r>
      <w:r>
        <w:rPr>
          <w:spacing w:val="-7"/>
          <w:sz w:val="24"/>
        </w:rPr>
        <w:t> </w:t>
      </w:r>
      <w:r>
        <w:rPr>
          <w:sz w:val="24"/>
        </w:rPr>
        <w:t>payment</w:t>
      </w:r>
      <w:r>
        <w:rPr>
          <w:spacing w:val="-4"/>
          <w:sz w:val="24"/>
        </w:rPr>
        <w:t> </w:t>
      </w:r>
      <w:r>
        <w:rPr>
          <w:sz w:val="24"/>
        </w:rPr>
        <w:t>of</w:t>
      </w:r>
      <w:r>
        <w:rPr>
          <w:spacing w:val="-7"/>
          <w:sz w:val="24"/>
        </w:rPr>
        <w:t> </w:t>
      </w:r>
      <w:r>
        <w:rPr>
          <w:sz w:val="24"/>
        </w:rPr>
        <w:t>premium,</w:t>
      </w:r>
      <w:r>
        <w:rPr>
          <w:spacing w:val="-4"/>
          <w:sz w:val="24"/>
        </w:rPr>
        <w:t> </w:t>
      </w:r>
      <w:r>
        <w:rPr>
          <w:sz w:val="24"/>
        </w:rPr>
        <w:t>in</w:t>
      </w:r>
      <w:r>
        <w:rPr>
          <w:spacing w:val="-4"/>
          <w:sz w:val="24"/>
        </w:rPr>
        <w:t> </w:t>
      </w:r>
      <w:r>
        <w:rPr>
          <w:sz w:val="24"/>
        </w:rPr>
        <w:t>view</w:t>
      </w:r>
      <w:r>
        <w:rPr>
          <w:spacing w:val="-4"/>
          <w:sz w:val="24"/>
        </w:rPr>
        <w:t> </w:t>
      </w:r>
      <w:r>
        <w:rPr>
          <w:sz w:val="24"/>
        </w:rPr>
        <w:t>of plot</w:t>
      </w:r>
      <w:r>
        <w:rPr>
          <w:spacing w:val="-16"/>
          <w:sz w:val="24"/>
        </w:rPr>
        <w:t> </w:t>
      </w:r>
      <w:r>
        <w:rPr>
          <w:sz w:val="24"/>
        </w:rPr>
        <w:t>to</w:t>
      </w:r>
      <w:r>
        <w:rPr>
          <w:spacing w:val="-16"/>
          <w:sz w:val="24"/>
        </w:rPr>
        <w:t> </w:t>
      </w:r>
      <w:r>
        <w:rPr>
          <w:sz w:val="24"/>
        </w:rPr>
        <w:t>handed</w:t>
      </w:r>
      <w:r>
        <w:rPr>
          <w:spacing w:val="-16"/>
          <w:sz w:val="24"/>
        </w:rPr>
        <w:t> </w:t>
      </w:r>
      <w:r>
        <w:rPr>
          <w:sz w:val="24"/>
        </w:rPr>
        <w:t>over</w:t>
      </w:r>
      <w:r>
        <w:rPr>
          <w:spacing w:val="-16"/>
          <w:sz w:val="24"/>
        </w:rPr>
        <w:t> </w:t>
      </w:r>
      <w:r>
        <w:rPr>
          <w:sz w:val="24"/>
        </w:rPr>
        <w:t>to</w:t>
      </w:r>
      <w:r>
        <w:rPr>
          <w:spacing w:val="-16"/>
          <w:sz w:val="24"/>
        </w:rPr>
        <w:t> </w:t>
      </w:r>
      <w:r>
        <w:rPr>
          <w:sz w:val="24"/>
        </w:rPr>
        <w:t>MCGM/</w:t>
      </w:r>
      <w:r>
        <w:rPr>
          <w:spacing w:val="-16"/>
          <w:sz w:val="24"/>
        </w:rPr>
        <w:t> </w:t>
      </w:r>
      <w:r>
        <w:rPr>
          <w:sz w:val="24"/>
        </w:rPr>
        <w:t>appropriate</w:t>
      </w:r>
      <w:r>
        <w:rPr>
          <w:spacing w:val="-16"/>
          <w:sz w:val="24"/>
        </w:rPr>
        <w:t> </w:t>
      </w:r>
      <w:r>
        <w:rPr>
          <w:sz w:val="24"/>
        </w:rPr>
        <w:t>Authority.</w:t>
      </w:r>
      <w:r>
        <w:rPr>
          <w:spacing w:val="-16"/>
          <w:sz w:val="24"/>
        </w:rPr>
        <w:t> </w:t>
      </w:r>
      <w:r>
        <w:rPr>
          <w:sz w:val="24"/>
        </w:rPr>
        <w:t>If</w:t>
      </w:r>
      <w:r>
        <w:rPr>
          <w:spacing w:val="-19"/>
          <w:sz w:val="24"/>
        </w:rPr>
        <w:t> </w:t>
      </w:r>
      <w:r>
        <w:rPr>
          <w:sz w:val="24"/>
        </w:rPr>
        <w:t>developed</w:t>
      </w:r>
      <w:r>
        <w:rPr>
          <w:spacing w:val="-16"/>
          <w:sz w:val="24"/>
        </w:rPr>
        <w:t> </w:t>
      </w:r>
      <w:r>
        <w:rPr>
          <w:sz w:val="24"/>
        </w:rPr>
        <w:t>reservation is transferred in the name of MCGM within 5 years or such extended period as may be specified by Government, following (a) (b) (c) shall apply.</w:t>
      </w:r>
    </w:p>
    <w:p>
      <w:pPr>
        <w:pStyle w:val="ListParagraph"/>
        <w:numPr>
          <w:ilvl w:val="1"/>
          <w:numId w:val="90"/>
        </w:numPr>
        <w:tabs>
          <w:tab w:pos="1362" w:val="left" w:leader="none"/>
        </w:tabs>
        <w:spacing w:line="240" w:lineRule="auto" w:before="2" w:after="0"/>
        <w:ind w:left="1080" w:right="1076" w:firstLine="0"/>
        <w:jc w:val="both"/>
        <w:rPr>
          <w:sz w:val="24"/>
        </w:rPr>
      </w:pPr>
      <w:r>
        <w:rPr>
          <w:sz w:val="24"/>
        </w:rPr>
        <w:t>In</w:t>
      </w:r>
      <w:r>
        <w:rPr>
          <w:spacing w:val="-11"/>
          <w:sz w:val="24"/>
        </w:rPr>
        <w:t> </w:t>
      </w:r>
      <w:r>
        <w:rPr>
          <w:sz w:val="24"/>
        </w:rPr>
        <w:t>case</w:t>
      </w:r>
      <w:r>
        <w:rPr>
          <w:spacing w:val="-8"/>
          <w:sz w:val="24"/>
        </w:rPr>
        <w:t> </w:t>
      </w:r>
      <w:r>
        <w:rPr>
          <w:sz w:val="24"/>
        </w:rPr>
        <w:t>of</w:t>
      </w:r>
      <w:r>
        <w:rPr>
          <w:spacing w:val="-8"/>
          <w:sz w:val="24"/>
        </w:rPr>
        <w:t> </w:t>
      </w:r>
      <w:r>
        <w:rPr>
          <w:sz w:val="24"/>
        </w:rPr>
        <w:t>reservation</w:t>
      </w:r>
      <w:r>
        <w:rPr>
          <w:spacing w:val="-8"/>
          <w:sz w:val="24"/>
        </w:rPr>
        <w:t> </w:t>
      </w:r>
      <w:r>
        <w:rPr>
          <w:sz w:val="24"/>
        </w:rPr>
        <w:t>area</w:t>
      </w:r>
      <w:r>
        <w:rPr>
          <w:spacing w:val="-8"/>
          <w:sz w:val="24"/>
        </w:rPr>
        <w:t> </w:t>
      </w:r>
      <w:r>
        <w:rPr>
          <w:sz w:val="24"/>
        </w:rPr>
        <w:t>less</w:t>
      </w:r>
      <w:r>
        <w:rPr>
          <w:spacing w:val="-8"/>
          <w:sz w:val="24"/>
        </w:rPr>
        <w:t> </w:t>
      </w:r>
      <w:r>
        <w:rPr>
          <w:sz w:val="24"/>
        </w:rPr>
        <w:t>than</w:t>
      </w:r>
      <w:r>
        <w:rPr>
          <w:spacing w:val="-8"/>
          <w:sz w:val="24"/>
        </w:rPr>
        <w:t> </w:t>
      </w:r>
      <w:r>
        <w:rPr>
          <w:sz w:val="24"/>
        </w:rPr>
        <w:t>or</w:t>
      </w:r>
      <w:r>
        <w:rPr>
          <w:spacing w:val="-11"/>
          <w:sz w:val="24"/>
        </w:rPr>
        <w:t> </w:t>
      </w:r>
      <w:r>
        <w:rPr>
          <w:sz w:val="24"/>
        </w:rPr>
        <w:t>equal</w:t>
      </w:r>
      <w:r>
        <w:rPr>
          <w:spacing w:val="-8"/>
          <w:sz w:val="24"/>
        </w:rPr>
        <w:t> </w:t>
      </w:r>
      <w:r>
        <w:rPr>
          <w:sz w:val="24"/>
        </w:rPr>
        <w:t>to</w:t>
      </w:r>
      <w:r>
        <w:rPr>
          <w:spacing w:val="-8"/>
          <w:sz w:val="24"/>
        </w:rPr>
        <w:t> </w:t>
      </w:r>
      <w:r>
        <w:rPr>
          <w:sz w:val="24"/>
        </w:rPr>
        <w:t>5</w:t>
      </w:r>
      <w:r>
        <w:rPr>
          <w:spacing w:val="-8"/>
          <w:sz w:val="24"/>
        </w:rPr>
        <w:t> </w:t>
      </w:r>
      <w:r>
        <w:rPr>
          <w:sz w:val="24"/>
        </w:rPr>
        <w:t>ha,</w:t>
      </w:r>
      <w:r>
        <w:rPr>
          <w:spacing w:val="-8"/>
          <w:sz w:val="24"/>
        </w:rPr>
        <w:t> </w:t>
      </w:r>
      <w:r>
        <w:rPr>
          <w:sz w:val="24"/>
        </w:rPr>
        <w:t>additional</w:t>
      </w:r>
      <w:r>
        <w:rPr>
          <w:spacing w:val="-8"/>
          <w:sz w:val="24"/>
        </w:rPr>
        <w:t> </w:t>
      </w:r>
      <w:r>
        <w:rPr>
          <w:sz w:val="24"/>
        </w:rPr>
        <w:t>BUA</w:t>
      </w:r>
      <w:r>
        <w:rPr>
          <w:spacing w:val="-8"/>
          <w:sz w:val="24"/>
        </w:rPr>
        <w:t> </w:t>
      </w:r>
      <w:r>
        <w:rPr>
          <w:sz w:val="24"/>
        </w:rPr>
        <w:t>equal to</w:t>
      </w:r>
      <w:r>
        <w:rPr>
          <w:spacing w:val="-11"/>
          <w:sz w:val="24"/>
        </w:rPr>
        <w:t> </w:t>
      </w:r>
      <w:r>
        <w:rPr>
          <w:sz w:val="24"/>
        </w:rPr>
        <w:t>area</w:t>
      </w:r>
      <w:r>
        <w:rPr>
          <w:spacing w:val="-11"/>
          <w:sz w:val="24"/>
        </w:rPr>
        <w:t> </w:t>
      </w:r>
      <w:r>
        <w:rPr>
          <w:sz w:val="24"/>
        </w:rPr>
        <w:t>of</w:t>
      </w:r>
      <w:r>
        <w:rPr>
          <w:spacing w:val="-11"/>
          <w:sz w:val="24"/>
        </w:rPr>
        <w:t> </w:t>
      </w:r>
      <w:r>
        <w:rPr>
          <w:sz w:val="24"/>
        </w:rPr>
        <w:t>the</w:t>
      </w:r>
      <w:r>
        <w:rPr>
          <w:spacing w:val="-11"/>
          <w:sz w:val="24"/>
        </w:rPr>
        <w:t> </w:t>
      </w:r>
      <w:r>
        <w:rPr>
          <w:sz w:val="24"/>
        </w:rPr>
        <w:t>plot</w:t>
      </w:r>
      <w:r>
        <w:rPr>
          <w:spacing w:val="-13"/>
          <w:sz w:val="24"/>
        </w:rPr>
        <w:t> </w:t>
      </w:r>
      <w:r>
        <w:rPr>
          <w:sz w:val="24"/>
        </w:rPr>
        <w:t>so</w:t>
      </w:r>
      <w:r>
        <w:rPr>
          <w:spacing w:val="-13"/>
          <w:sz w:val="24"/>
        </w:rPr>
        <w:t> </w:t>
      </w:r>
      <w:r>
        <w:rPr>
          <w:sz w:val="24"/>
        </w:rPr>
        <w:t>transferred</w:t>
      </w:r>
      <w:r>
        <w:rPr>
          <w:spacing w:val="-11"/>
          <w:sz w:val="24"/>
        </w:rPr>
        <w:t> </w:t>
      </w:r>
      <w:r>
        <w:rPr>
          <w:sz w:val="24"/>
        </w:rPr>
        <w:t>to</w:t>
      </w:r>
      <w:r>
        <w:rPr>
          <w:spacing w:val="-11"/>
          <w:sz w:val="24"/>
        </w:rPr>
        <w:t> </w:t>
      </w:r>
      <w:r>
        <w:rPr>
          <w:sz w:val="24"/>
        </w:rPr>
        <w:t>MCGM/Appropriate</w:t>
      </w:r>
      <w:r>
        <w:rPr>
          <w:spacing w:val="-11"/>
          <w:sz w:val="24"/>
        </w:rPr>
        <w:t> </w:t>
      </w:r>
      <w:r>
        <w:rPr>
          <w:sz w:val="24"/>
        </w:rPr>
        <w:t>Authority,</w:t>
      </w:r>
      <w:r>
        <w:rPr>
          <w:spacing w:val="-11"/>
          <w:sz w:val="24"/>
        </w:rPr>
        <w:t> </w:t>
      </w:r>
      <w:r>
        <w:rPr>
          <w:sz w:val="24"/>
        </w:rPr>
        <w:t>free</w:t>
      </w:r>
      <w:r>
        <w:rPr>
          <w:spacing w:val="-11"/>
          <w:sz w:val="24"/>
        </w:rPr>
        <w:t> </w:t>
      </w:r>
      <w:r>
        <w:rPr>
          <w:sz w:val="24"/>
        </w:rPr>
        <w:t>of</w:t>
      </w:r>
      <w:r>
        <w:rPr>
          <w:spacing w:val="-11"/>
          <w:sz w:val="24"/>
        </w:rPr>
        <w:t> </w:t>
      </w:r>
      <w:r>
        <w:rPr>
          <w:sz w:val="24"/>
        </w:rPr>
        <w:t>cost and free of encumbrances, shall be permissible over and above the permissible</w:t>
      </w:r>
      <w:r>
        <w:rPr>
          <w:spacing w:val="-10"/>
          <w:sz w:val="24"/>
        </w:rPr>
        <w:t> </w:t>
      </w:r>
      <w:r>
        <w:rPr>
          <w:sz w:val="24"/>
        </w:rPr>
        <w:t>FSI</w:t>
      </w:r>
      <w:r>
        <w:rPr>
          <w:spacing w:val="80"/>
          <w:sz w:val="24"/>
        </w:rPr>
        <w:t> </w:t>
      </w:r>
      <w:r>
        <w:rPr>
          <w:sz w:val="24"/>
        </w:rPr>
        <w:t>as</w:t>
      </w:r>
      <w:r>
        <w:rPr>
          <w:spacing w:val="-12"/>
          <w:sz w:val="24"/>
        </w:rPr>
        <w:t> </w:t>
      </w:r>
      <w:r>
        <w:rPr>
          <w:sz w:val="24"/>
        </w:rPr>
        <w:t>per</w:t>
      </w:r>
      <w:r>
        <w:rPr>
          <w:spacing w:val="-9"/>
          <w:sz w:val="24"/>
        </w:rPr>
        <w:t> </w:t>
      </w:r>
      <w:r>
        <w:rPr>
          <w:sz w:val="24"/>
        </w:rPr>
        <w:t>regulation</w:t>
      </w:r>
      <w:r>
        <w:rPr>
          <w:spacing w:val="-10"/>
          <w:sz w:val="24"/>
        </w:rPr>
        <w:t> </w:t>
      </w:r>
      <w:r>
        <w:rPr>
          <w:sz w:val="24"/>
        </w:rPr>
        <w:t>30(A),</w:t>
      </w:r>
      <w:r>
        <w:rPr>
          <w:spacing w:val="-10"/>
          <w:sz w:val="24"/>
        </w:rPr>
        <w:t> </w:t>
      </w:r>
      <w:r>
        <w:rPr>
          <w:sz w:val="24"/>
        </w:rPr>
        <w:t>except</w:t>
      </w:r>
      <w:r>
        <w:rPr>
          <w:spacing w:val="-10"/>
          <w:sz w:val="24"/>
        </w:rPr>
        <w:t> </w:t>
      </w:r>
      <w:r>
        <w:rPr>
          <w:sz w:val="24"/>
        </w:rPr>
        <w:t>in</w:t>
      </w:r>
      <w:r>
        <w:rPr>
          <w:spacing w:val="-10"/>
          <w:sz w:val="24"/>
        </w:rPr>
        <w:t> </w:t>
      </w:r>
      <w:r>
        <w:rPr>
          <w:sz w:val="24"/>
        </w:rPr>
        <w:t>respect</w:t>
      </w:r>
      <w:r>
        <w:rPr>
          <w:spacing w:val="-10"/>
          <w:sz w:val="24"/>
        </w:rPr>
        <w:t> </w:t>
      </w:r>
      <w:r>
        <w:rPr>
          <w:sz w:val="24"/>
        </w:rPr>
        <w:t>of</w:t>
      </w:r>
      <w:r>
        <w:rPr>
          <w:spacing w:val="-10"/>
          <w:sz w:val="24"/>
        </w:rPr>
        <w:t> </w:t>
      </w:r>
      <w:r>
        <w:rPr>
          <w:sz w:val="24"/>
        </w:rPr>
        <w:t>proposals</w:t>
      </w:r>
      <w:r>
        <w:rPr>
          <w:spacing w:val="-10"/>
          <w:sz w:val="24"/>
        </w:rPr>
        <w:t> </w:t>
      </w:r>
      <w:r>
        <w:rPr>
          <w:sz w:val="24"/>
        </w:rPr>
        <w:t>under Regulation</w:t>
      </w:r>
      <w:r>
        <w:rPr>
          <w:spacing w:val="34"/>
          <w:sz w:val="24"/>
        </w:rPr>
        <w:t> </w:t>
      </w:r>
      <w:r>
        <w:rPr>
          <w:sz w:val="24"/>
        </w:rPr>
        <w:t>No</w:t>
      </w:r>
      <w:r>
        <w:rPr>
          <w:spacing w:val="34"/>
          <w:sz w:val="24"/>
        </w:rPr>
        <w:t> </w:t>
      </w:r>
      <w:r>
        <w:rPr>
          <w:sz w:val="24"/>
        </w:rPr>
        <w:t>33(5),</w:t>
      </w:r>
      <w:r>
        <w:rPr>
          <w:spacing w:val="34"/>
          <w:sz w:val="24"/>
        </w:rPr>
        <w:t> </w:t>
      </w:r>
      <w:r>
        <w:rPr>
          <w:sz w:val="24"/>
        </w:rPr>
        <w:t>33(7),</w:t>
      </w:r>
      <w:r>
        <w:rPr>
          <w:spacing w:val="34"/>
          <w:sz w:val="24"/>
        </w:rPr>
        <w:t> </w:t>
      </w:r>
      <w:r>
        <w:rPr>
          <w:sz w:val="24"/>
        </w:rPr>
        <w:t>33(7)(A),</w:t>
      </w:r>
      <w:r>
        <w:rPr>
          <w:spacing w:val="34"/>
          <w:sz w:val="24"/>
        </w:rPr>
        <w:t> </w:t>
      </w:r>
      <w:r>
        <w:rPr>
          <w:sz w:val="24"/>
        </w:rPr>
        <w:t>33(8),</w:t>
      </w:r>
      <w:r>
        <w:rPr>
          <w:spacing w:val="34"/>
          <w:sz w:val="24"/>
        </w:rPr>
        <w:t> </w:t>
      </w:r>
      <w:r>
        <w:rPr>
          <w:sz w:val="24"/>
        </w:rPr>
        <w:t>33(9),</w:t>
      </w:r>
      <w:r>
        <w:rPr>
          <w:spacing w:val="34"/>
          <w:sz w:val="24"/>
        </w:rPr>
        <w:t> </w:t>
      </w:r>
      <w:r>
        <w:rPr>
          <w:sz w:val="24"/>
        </w:rPr>
        <w:t>33(9)(A),</w:t>
      </w:r>
      <w:r>
        <w:rPr>
          <w:spacing w:val="34"/>
          <w:sz w:val="24"/>
        </w:rPr>
        <w:t> </w:t>
      </w:r>
      <w:r>
        <w:rPr>
          <w:sz w:val="24"/>
        </w:rPr>
        <w:t>33(9)(B),</w:t>
      </w:r>
      <w:r>
        <w:rPr>
          <w:spacing w:val="34"/>
          <w:sz w:val="24"/>
        </w:rPr>
        <w:t> </w:t>
      </w:r>
      <w:r>
        <w:rPr>
          <w:sz w:val="24"/>
        </w:rPr>
        <w:t>33(10),</w:t>
      </w:r>
    </w:p>
    <w:p>
      <w:pPr>
        <w:pStyle w:val="BodyText"/>
        <w:spacing w:line="280" w:lineRule="exact"/>
        <w:ind w:left="1080"/>
      </w:pPr>
      <w:r>
        <w:rPr/>
        <w:t>33(10)(A), 33(20) (A), </w:t>
      </w:r>
      <w:r>
        <w:rPr>
          <w:spacing w:val="-2"/>
        </w:rPr>
        <w:t>33(21).</w:t>
      </w:r>
    </w:p>
    <w:p>
      <w:pPr>
        <w:pStyle w:val="ListParagraph"/>
        <w:numPr>
          <w:ilvl w:val="1"/>
          <w:numId w:val="90"/>
        </w:numPr>
        <w:tabs>
          <w:tab w:pos="1300" w:val="left" w:leader="none"/>
        </w:tabs>
        <w:spacing w:line="240" w:lineRule="auto" w:before="2" w:after="0"/>
        <w:ind w:left="1080" w:right="1078" w:firstLine="0"/>
        <w:jc w:val="both"/>
        <w:rPr>
          <w:sz w:val="24"/>
        </w:rPr>
      </w:pPr>
      <w:r>
        <w:rPr>
          <w:sz w:val="24"/>
        </w:rPr>
        <w:t>In</w:t>
      </w:r>
      <w:r>
        <w:rPr>
          <w:spacing w:val="-3"/>
          <w:sz w:val="24"/>
        </w:rPr>
        <w:t> </w:t>
      </w:r>
      <w:r>
        <w:rPr>
          <w:sz w:val="24"/>
        </w:rPr>
        <w:t>case</w:t>
      </w:r>
      <w:r>
        <w:rPr>
          <w:spacing w:val="-3"/>
          <w:sz w:val="24"/>
        </w:rPr>
        <w:t> </w:t>
      </w:r>
      <w:r>
        <w:rPr>
          <w:sz w:val="24"/>
        </w:rPr>
        <w:t>of</w:t>
      </w:r>
      <w:r>
        <w:rPr>
          <w:spacing w:val="-3"/>
          <w:sz w:val="24"/>
        </w:rPr>
        <w:t> </w:t>
      </w:r>
      <w:r>
        <w:rPr>
          <w:sz w:val="24"/>
        </w:rPr>
        <w:t>reservation</w:t>
      </w:r>
      <w:r>
        <w:rPr>
          <w:spacing w:val="-3"/>
          <w:sz w:val="24"/>
        </w:rPr>
        <w:t> </w:t>
      </w:r>
      <w:r>
        <w:rPr>
          <w:sz w:val="24"/>
        </w:rPr>
        <w:t>area</w:t>
      </w:r>
      <w:r>
        <w:rPr>
          <w:spacing w:val="-3"/>
          <w:sz w:val="24"/>
        </w:rPr>
        <w:t> </w:t>
      </w:r>
      <w:r>
        <w:rPr>
          <w:sz w:val="24"/>
        </w:rPr>
        <w:t>more</w:t>
      </w:r>
      <w:r>
        <w:rPr>
          <w:spacing w:val="-3"/>
          <w:sz w:val="24"/>
        </w:rPr>
        <w:t> </w:t>
      </w:r>
      <w:r>
        <w:rPr>
          <w:sz w:val="24"/>
        </w:rPr>
        <w:t>than</w:t>
      </w:r>
      <w:r>
        <w:rPr>
          <w:spacing w:val="-3"/>
          <w:sz w:val="24"/>
        </w:rPr>
        <w:t> </w:t>
      </w:r>
      <w:r>
        <w:rPr>
          <w:sz w:val="24"/>
        </w:rPr>
        <w:t>5</w:t>
      </w:r>
      <w:r>
        <w:rPr>
          <w:spacing w:val="-6"/>
          <w:sz w:val="24"/>
        </w:rPr>
        <w:t> </w:t>
      </w:r>
      <w:r>
        <w:rPr>
          <w:sz w:val="24"/>
        </w:rPr>
        <w:t>ha,</w:t>
      </w:r>
      <w:r>
        <w:rPr>
          <w:spacing w:val="-3"/>
          <w:sz w:val="24"/>
        </w:rPr>
        <w:t> </w:t>
      </w:r>
      <w:r>
        <w:rPr>
          <w:sz w:val="24"/>
        </w:rPr>
        <w:t>additional</w:t>
      </w:r>
      <w:r>
        <w:rPr>
          <w:spacing w:val="-3"/>
          <w:sz w:val="24"/>
        </w:rPr>
        <w:t> </w:t>
      </w:r>
      <w:r>
        <w:rPr>
          <w:sz w:val="24"/>
        </w:rPr>
        <w:t>BUA</w:t>
      </w:r>
      <w:r>
        <w:rPr>
          <w:spacing w:val="-6"/>
          <w:sz w:val="24"/>
        </w:rPr>
        <w:t> </w:t>
      </w:r>
      <w:r>
        <w:rPr>
          <w:sz w:val="24"/>
        </w:rPr>
        <w:t>equal</w:t>
      </w:r>
      <w:r>
        <w:rPr>
          <w:spacing w:val="-3"/>
          <w:sz w:val="24"/>
        </w:rPr>
        <w:t> </w:t>
      </w:r>
      <w:r>
        <w:rPr>
          <w:sz w:val="24"/>
        </w:rPr>
        <w:t>to</w:t>
      </w:r>
      <w:r>
        <w:rPr>
          <w:spacing w:val="-3"/>
          <w:sz w:val="24"/>
        </w:rPr>
        <w:t> </w:t>
      </w:r>
      <w:r>
        <w:rPr>
          <w:sz w:val="24"/>
        </w:rPr>
        <w:t>50%</w:t>
      </w:r>
      <w:r>
        <w:rPr>
          <w:spacing w:val="-3"/>
          <w:sz w:val="24"/>
        </w:rPr>
        <w:t> </w:t>
      </w:r>
      <w:r>
        <w:rPr>
          <w:sz w:val="24"/>
        </w:rPr>
        <w:t>of area of the plot so transferred to MCGM/Appropriate Authority, free of cost and free of encumbrances, shall be permissible over and above the permissible FSI</w:t>
      </w:r>
      <w:r>
        <w:rPr>
          <w:spacing w:val="80"/>
          <w:sz w:val="24"/>
        </w:rPr>
        <w:t> </w:t>
      </w:r>
      <w:r>
        <w:rPr>
          <w:sz w:val="24"/>
        </w:rPr>
        <w:t>as per regulation 30(A) with prior approval of Government, except</w:t>
      </w:r>
      <w:r>
        <w:rPr>
          <w:spacing w:val="-18"/>
          <w:sz w:val="24"/>
        </w:rPr>
        <w:t> </w:t>
      </w:r>
      <w:r>
        <w:rPr>
          <w:sz w:val="24"/>
        </w:rPr>
        <w:t>in</w:t>
      </w:r>
      <w:r>
        <w:rPr>
          <w:spacing w:val="-18"/>
          <w:sz w:val="24"/>
        </w:rPr>
        <w:t> </w:t>
      </w:r>
      <w:r>
        <w:rPr>
          <w:sz w:val="24"/>
        </w:rPr>
        <w:t>respect</w:t>
      </w:r>
      <w:r>
        <w:rPr>
          <w:spacing w:val="-18"/>
          <w:sz w:val="24"/>
        </w:rPr>
        <w:t> </w:t>
      </w:r>
      <w:r>
        <w:rPr>
          <w:sz w:val="24"/>
        </w:rPr>
        <w:t>of</w:t>
      </w:r>
      <w:r>
        <w:rPr>
          <w:spacing w:val="-18"/>
          <w:sz w:val="24"/>
        </w:rPr>
        <w:t> </w:t>
      </w:r>
      <w:r>
        <w:rPr>
          <w:sz w:val="24"/>
        </w:rPr>
        <w:t>proposals</w:t>
      </w:r>
      <w:r>
        <w:rPr>
          <w:spacing w:val="-18"/>
          <w:sz w:val="24"/>
        </w:rPr>
        <w:t> </w:t>
      </w:r>
      <w:r>
        <w:rPr>
          <w:sz w:val="24"/>
        </w:rPr>
        <w:t>under</w:t>
      </w:r>
      <w:r>
        <w:rPr>
          <w:spacing w:val="-18"/>
          <w:sz w:val="24"/>
        </w:rPr>
        <w:t> </w:t>
      </w:r>
      <w:r>
        <w:rPr>
          <w:sz w:val="24"/>
        </w:rPr>
        <w:t>Regulation</w:t>
      </w:r>
      <w:r>
        <w:rPr>
          <w:spacing w:val="-17"/>
          <w:sz w:val="24"/>
        </w:rPr>
        <w:t> </w:t>
      </w:r>
      <w:r>
        <w:rPr>
          <w:sz w:val="24"/>
        </w:rPr>
        <w:t>No</w:t>
      </w:r>
      <w:r>
        <w:rPr>
          <w:spacing w:val="-18"/>
          <w:sz w:val="24"/>
        </w:rPr>
        <w:t> </w:t>
      </w:r>
      <w:r>
        <w:rPr>
          <w:sz w:val="24"/>
        </w:rPr>
        <w:t>33(5),</w:t>
      </w:r>
      <w:r>
        <w:rPr>
          <w:spacing w:val="-18"/>
          <w:sz w:val="24"/>
        </w:rPr>
        <w:t> </w:t>
      </w:r>
      <w:r>
        <w:rPr>
          <w:sz w:val="24"/>
        </w:rPr>
        <w:t>33(7),</w:t>
      </w:r>
      <w:r>
        <w:rPr>
          <w:spacing w:val="-18"/>
          <w:sz w:val="24"/>
        </w:rPr>
        <w:t> </w:t>
      </w:r>
      <w:r>
        <w:rPr>
          <w:sz w:val="24"/>
        </w:rPr>
        <w:t>33(7)(A)</w:t>
      </w:r>
      <w:r>
        <w:rPr>
          <w:spacing w:val="-18"/>
          <w:sz w:val="24"/>
        </w:rPr>
        <w:t> </w:t>
      </w:r>
      <w:r>
        <w:rPr>
          <w:sz w:val="24"/>
        </w:rPr>
        <w:t>33(8), 33(9), 33(9)(A), 33(9)(B), 33(10), 33(10)(A), 33(20) (A), 33(21).</w:t>
      </w:r>
    </w:p>
    <w:p>
      <w:pPr>
        <w:pStyle w:val="ListParagraph"/>
        <w:numPr>
          <w:ilvl w:val="1"/>
          <w:numId w:val="90"/>
        </w:numPr>
        <w:tabs>
          <w:tab w:pos="1274" w:val="left" w:leader="none"/>
        </w:tabs>
        <w:spacing w:line="278" w:lineRule="auto" w:before="0" w:after="0"/>
        <w:ind w:left="1080" w:right="1080" w:firstLine="0"/>
        <w:jc w:val="both"/>
        <w:rPr>
          <w:sz w:val="24"/>
        </w:rPr>
      </w:pPr>
      <w:r>
        <w:rPr>
          <w:sz w:val="24"/>
        </w:rPr>
        <w:t>The</w:t>
      </w:r>
      <w:r>
        <w:rPr>
          <w:spacing w:val="-5"/>
          <w:sz w:val="24"/>
        </w:rPr>
        <w:t> </w:t>
      </w:r>
      <w:r>
        <w:rPr>
          <w:sz w:val="24"/>
        </w:rPr>
        <w:t>open</w:t>
      </w:r>
      <w:r>
        <w:rPr>
          <w:spacing w:val="-5"/>
          <w:sz w:val="24"/>
        </w:rPr>
        <w:t> </w:t>
      </w:r>
      <w:r>
        <w:rPr>
          <w:sz w:val="24"/>
        </w:rPr>
        <w:t>space</w:t>
      </w:r>
      <w:r>
        <w:rPr>
          <w:spacing w:val="-2"/>
          <w:sz w:val="24"/>
        </w:rPr>
        <w:t> </w:t>
      </w:r>
      <w:r>
        <w:rPr>
          <w:sz w:val="24"/>
        </w:rPr>
        <w:t>deficiency</w:t>
      </w:r>
      <w:r>
        <w:rPr>
          <w:spacing w:val="-5"/>
          <w:sz w:val="24"/>
        </w:rPr>
        <w:t> </w:t>
      </w:r>
      <w:r>
        <w:rPr>
          <w:sz w:val="24"/>
        </w:rPr>
        <w:t>at</w:t>
      </w:r>
      <w:r>
        <w:rPr>
          <w:spacing w:val="-5"/>
          <w:sz w:val="24"/>
        </w:rPr>
        <w:t> </w:t>
      </w:r>
      <w:r>
        <w:rPr>
          <w:sz w:val="24"/>
        </w:rPr>
        <w:t>the</w:t>
      </w:r>
      <w:r>
        <w:rPr>
          <w:spacing w:val="-5"/>
          <w:sz w:val="24"/>
        </w:rPr>
        <w:t> </w:t>
      </w:r>
      <w:r>
        <w:rPr>
          <w:sz w:val="24"/>
        </w:rPr>
        <w:t>rate</w:t>
      </w:r>
      <w:r>
        <w:rPr>
          <w:spacing w:val="-5"/>
          <w:sz w:val="24"/>
        </w:rPr>
        <w:t> </w:t>
      </w:r>
      <w:r>
        <w:rPr>
          <w:sz w:val="24"/>
        </w:rPr>
        <w:t>of</w:t>
      </w:r>
      <w:r>
        <w:rPr>
          <w:spacing w:val="-3"/>
          <w:sz w:val="24"/>
        </w:rPr>
        <w:t> </w:t>
      </w:r>
      <w:r>
        <w:rPr>
          <w:sz w:val="24"/>
        </w:rPr>
        <w:t>10%</w:t>
      </w:r>
      <w:r>
        <w:rPr>
          <w:spacing w:val="-5"/>
          <w:sz w:val="24"/>
        </w:rPr>
        <w:t> </w:t>
      </w:r>
      <w:r>
        <w:rPr>
          <w:sz w:val="24"/>
        </w:rPr>
        <w:t>of</w:t>
      </w:r>
      <w:r>
        <w:rPr>
          <w:spacing w:val="-5"/>
          <w:sz w:val="24"/>
        </w:rPr>
        <w:t> </w:t>
      </w:r>
      <w:r>
        <w:rPr>
          <w:sz w:val="24"/>
        </w:rPr>
        <w:t>Normal</w:t>
      </w:r>
      <w:r>
        <w:rPr>
          <w:spacing w:val="-5"/>
          <w:sz w:val="24"/>
        </w:rPr>
        <w:t> </w:t>
      </w:r>
      <w:r>
        <w:rPr>
          <w:sz w:val="24"/>
        </w:rPr>
        <w:t>premium</w:t>
      </w:r>
      <w:r>
        <w:rPr>
          <w:spacing w:val="-5"/>
          <w:sz w:val="24"/>
        </w:rPr>
        <w:t> </w:t>
      </w:r>
      <w:r>
        <w:rPr>
          <w:sz w:val="24"/>
        </w:rPr>
        <w:t>or</w:t>
      </w:r>
      <w:r>
        <w:rPr>
          <w:spacing w:val="-5"/>
          <w:sz w:val="24"/>
        </w:rPr>
        <w:t> </w:t>
      </w:r>
      <w:r>
        <w:rPr>
          <w:sz w:val="24"/>
        </w:rPr>
        <w:t>2.5%</w:t>
      </w:r>
      <w:r>
        <w:rPr>
          <w:spacing w:val="-5"/>
          <w:sz w:val="24"/>
        </w:rPr>
        <w:t> </w:t>
      </w:r>
      <w:r>
        <w:rPr>
          <w:sz w:val="24"/>
        </w:rPr>
        <w:t>of the</w:t>
      </w:r>
      <w:r>
        <w:rPr>
          <w:spacing w:val="80"/>
          <w:sz w:val="24"/>
        </w:rPr>
        <w:t> </w:t>
      </w:r>
      <w:r>
        <w:rPr>
          <w:sz w:val="24"/>
        </w:rPr>
        <w:t>rate of land as per ASR (for FSI 1) whichever is higher shall be charged for the building on the remainder plot of reserved area.</w:t>
      </w:r>
    </w:p>
    <w:p>
      <w:pPr>
        <w:pStyle w:val="ListParagraph"/>
        <w:numPr>
          <w:ilvl w:val="0"/>
          <w:numId w:val="90"/>
        </w:numPr>
        <w:tabs>
          <w:tab w:pos="1494" w:val="left" w:leader="none"/>
        </w:tabs>
        <w:spacing w:line="276" w:lineRule="auto" w:before="188" w:after="0"/>
        <w:ind w:left="1080" w:right="1076" w:firstLine="76"/>
        <w:jc w:val="both"/>
        <w:rPr>
          <w:sz w:val="24"/>
        </w:rPr>
      </w:pPr>
      <w:r>
        <w:rPr>
          <w:sz w:val="24"/>
        </w:rPr>
        <w:t>Once</w:t>
      </w:r>
      <w:r>
        <w:rPr>
          <w:spacing w:val="-20"/>
          <w:sz w:val="24"/>
        </w:rPr>
        <w:t> </w:t>
      </w:r>
      <w:r>
        <w:rPr>
          <w:sz w:val="24"/>
        </w:rPr>
        <w:t>sanction</w:t>
      </w:r>
      <w:r>
        <w:rPr>
          <w:spacing w:val="-19"/>
          <w:sz w:val="24"/>
        </w:rPr>
        <w:t> </w:t>
      </w:r>
      <w:r>
        <w:rPr>
          <w:sz w:val="24"/>
        </w:rPr>
        <w:t>is</w:t>
      </w:r>
      <w:r>
        <w:rPr>
          <w:spacing w:val="-19"/>
          <w:sz w:val="24"/>
        </w:rPr>
        <w:t> </w:t>
      </w:r>
      <w:r>
        <w:rPr>
          <w:sz w:val="24"/>
        </w:rPr>
        <w:t>granted</w:t>
      </w:r>
      <w:r>
        <w:rPr>
          <w:spacing w:val="-19"/>
          <w:sz w:val="24"/>
        </w:rPr>
        <w:t> </w:t>
      </w:r>
      <w:r>
        <w:rPr>
          <w:sz w:val="24"/>
        </w:rPr>
        <w:t>under</w:t>
      </w:r>
      <w:r>
        <w:rPr>
          <w:spacing w:val="-19"/>
          <w:sz w:val="24"/>
        </w:rPr>
        <w:t> </w:t>
      </w:r>
      <w:r>
        <w:rPr>
          <w:sz w:val="24"/>
        </w:rPr>
        <w:t>this</w:t>
      </w:r>
      <w:r>
        <w:rPr>
          <w:spacing w:val="-20"/>
          <w:sz w:val="24"/>
        </w:rPr>
        <w:t> </w:t>
      </w:r>
      <w:r>
        <w:rPr>
          <w:sz w:val="24"/>
        </w:rPr>
        <w:t>regulation,</w:t>
      </w:r>
      <w:r>
        <w:rPr>
          <w:spacing w:val="-19"/>
          <w:sz w:val="24"/>
        </w:rPr>
        <w:t> </w:t>
      </w:r>
      <w:r>
        <w:rPr>
          <w:sz w:val="24"/>
        </w:rPr>
        <w:t>the</w:t>
      </w:r>
      <w:r>
        <w:rPr>
          <w:spacing w:val="-19"/>
          <w:sz w:val="24"/>
        </w:rPr>
        <w:t> </w:t>
      </w:r>
      <w:r>
        <w:rPr>
          <w:sz w:val="24"/>
        </w:rPr>
        <w:t>owner</w:t>
      </w:r>
      <w:r>
        <w:rPr>
          <w:spacing w:val="-19"/>
          <w:sz w:val="24"/>
        </w:rPr>
        <w:t> </w:t>
      </w:r>
      <w:r>
        <w:rPr>
          <w:sz w:val="24"/>
        </w:rPr>
        <w:t>/developer</w:t>
      </w:r>
      <w:r>
        <w:rPr>
          <w:spacing w:val="-19"/>
          <w:sz w:val="24"/>
        </w:rPr>
        <w:t> </w:t>
      </w:r>
      <w:r>
        <w:rPr>
          <w:sz w:val="24"/>
        </w:rPr>
        <w:t>shall have</w:t>
      </w:r>
      <w:r>
        <w:rPr>
          <w:spacing w:val="-11"/>
          <w:sz w:val="24"/>
        </w:rPr>
        <w:t> </w:t>
      </w:r>
      <w:r>
        <w:rPr>
          <w:sz w:val="24"/>
        </w:rPr>
        <w:t>to</w:t>
      </w:r>
      <w:r>
        <w:rPr>
          <w:spacing w:val="-11"/>
          <w:sz w:val="24"/>
        </w:rPr>
        <w:t> </w:t>
      </w:r>
      <w:r>
        <w:rPr>
          <w:sz w:val="24"/>
        </w:rPr>
        <w:t>complete</w:t>
      </w:r>
      <w:r>
        <w:rPr>
          <w:spacing w:val="-11"/>
          <w:sz w:val="24"/>
        </w:rPr>
        <w:t> </w:t>
      </w:r>
      <w:r>
        <w:rPr>
          <w:sz w:val="24"/>
        </w:rPr>
        <w:t>the</w:t>
      </w:r>
      <w:r>
        <w:rPr>
          <w:spacing w:val="-13"/>
          <w:sz w:val="24"/>
        </w:rPr>
        <w:t> </w:t>
      </w:r>
      <w:r>
        <w:rPr>
          <w:sz w:val="24"/>
        </w:rPr>
        <w:t>development</w:t>
      </w:r>
      <w:r>
        <w:rPr>
          <w:spacing w:val="-11"/>
          <w:sz w:val="24"/>
        </w:rPr>
        <w:t> </w:t>
      </w:r>
      <w:r>
        <w:rPr>
          <w:sz w:val="24"/>
        </w:rPr>
        <w:t>and</w:t>
      </w:r>
      <w:r>
        <w:rPr>
          <w:spacing w:val="-11"/>
          <w:sz w:val="24"/>
        </w:rPr>
        <w:t> </w:t>
      </w:r>
      <w:r>
        <w:rPr>
          <w:sz w:val="24"/>
        </w:rPr>
        <w:t>hand</w:t>
      </w:r>
      <w:r>
        <w:rPr>
          <w:spacing w:val="-11"/>
          <w:sz w:val="24"/>
        </w:rPr>
        <w:t> </w:t>
      </w:r>
      <w:r>
        <w:rPr>
          <w:sz w:val="24"/>
        </w:rPr>
        <w:t>over</w:t>
      </w:r>
      <w:r>
        <w:rPr>
          <w:spacing w:val="-11"/>
          <w:sz w:val="24"/>
        </w:rPr>
        <w:t> </w:t>
      </w:r>
      <w:r>
        <w:rPr>
          <w:sz w:val="24"/>
        </w:rPr>
        <w:t>the</w:t>
      </w:r>
      <w:r>
        <w:rPr>
          <w:spacing w:val="-11"/>
          <w:sz w:val="24"/>
        </w:rPr>
        <w:t> </w:t>
      </w:r>
      <w:r>
        <w:rPr>
          <w:sz w:val="24"/>
        </w:rPr>
        <w:t>developed</w:t>
      </w:r>
      <w:r>
        <w:rPr>
          <w:spacing w:val="-11"/>
          <w:sz w:val="24"/>
        </w:rPr>
        <w:t> </w:t>
      </w:r>
      <w:r>
        <w:rPr>
          <w:sz w:val="24"/>
        </w:rPr>
        <w:t>reservation</w:t>
      </w:r>
      <w:r>
        <w:rPr>
          <w:spacing w:val="-11"/>
          <w:sz w:val="24"/>
        </w:rPr>
        <w:t> </w:t>
      </w:r>
      <w:r>
        <w:rPr>
          <w:sz w:val="24"/>
        </w:rPr>
        <w:t>to Planning Authority within the period as specified by the Municipal Commissioner.</w:t>
      </w:r>
      <w:r>
        <w:rPr>
          <w:spacing w:val="40"/>
          <w:sz w:val="24"/>
        </w:rPr>
        <w:t> </w:t>
      </w:r>
      <w:r>
        <w:rPr>
          <w:sz w:val="24"/>
        </w:rPr>
        <w:t>The Municipal Commissioner may levy penalty for delay if </w:t>
      </w:r>
      <w:r>
        <w:rPr>
          <w:spacing w:val="-4"/>
          <w:sz w:val="24"/>
        </w:rPr>
        <w:t>any.</w:t>
      </w:r>
    </w:p>
    <w:p>
      <w:pPr>
        <w:pStyle w:val="BodyText"/>
        <w:spacing w:line="276" w:lineRule="auto" w:before="201"/>
        <w:ind w:left="1080" w:right="1077"/>
      </w:pPr>
      <w:r>
        <w:rPr/>
        <w:t>(ix)</w:t>
      </w:r>
      <w:r>
        <w:rPr>
          <w:spacing w:val="-15"/>
        </w:rPr>
        <w:t> </w:t>
      </w:r>
      <w:r>
        <w:rPr/>
        <w:t>in</w:t>
      </w:r>
      <w:r>
        <w:rPr>
          <w:spacing w:val="-15"/>
        </w:rPr>
        <w:t> </w:t>
      </w:r>
      <w:r>
        <w:rPr/>
        <w:t>case</w:t>
      </w:r>
      <w:r>
        <w:rPr>
          <w:spacing w:val="-15"/>
        </w:rPr>
        <w:t> </w:t>
      </w:r>
      <w:r>
        <w:rPr/>
        <w:t>of</w:t>
      </w:r>
      <w:r>
        <w:rPr>
          <w:spacing w:val="-15"/>
        </w:rPr>
        <w:t> </w:t>
      </w:r>
      <w:r>
        <w:rPr/>
        <w:t>composite</w:t>
      </w:r>
      <w:r>
        <w:rPr>
          <w:spacing w:val="-15"/>
        </w:rPr>
        <w:t> </w:t>
      </w:r>
      <w:r>
        <w:rPr/>
        <w:t>development</w:t>
      </w:r>
      <w:r>
        <w:rPr>
          <w:spacing w:val="-15"/>
        </w:rPr>
        <w:t> </w:t>
      </w:r>
      <w:r>
        <w:rPr/>
        <w:t>of</w:t>
      </w:r>
      <w:r>
        <w:rPr>
          <w:spacing w:val="-15"/>
        </w:rPr>
        <w:t> </w:t>
      </w:r>
      <w:r>
        <w:rPr/>
        <w:t>Constructed</w:t>
      </w:r>
      <w:r>
        <w:rPr>
          <w:spacing w:val="-15"/>
        </w:rPr>
        <w:t> </w:t>
      </w:r>
      <w:r>
        <w:rPr/>
        <w:t>amenity</w:t>
      </w:r>
      <w:r>
        <w:rPr>
          <w:spacing w:val="-15"/>
        </w:rPr>
        <w:t> </w:t>
      </w:r>
      <w:r>
        <w:rPr/>
        <w:t>under</w:t>
      </w:r>
      <w:r>
        <w:rPr>
          <w:spacing w:val="-15"/>
        </w:rPr>
        <w:t> </w:t>
      </w:r>
      <w:r>
        <w:rPr/>
        <w:t>AR</w:t>
      </w:r>
      <w:r>
        <w:rPr>
          <w:spacing w:val="-15"/>
        </w:rPr>
        <w:t> </w:t>
      </w:r>
      <w:r>
        <w:rPr/>
        <w:t>as</w:t>
      </w:r>
      <w:r>
        <w:rPr>
          <w:spacing w:val="-15"/>
        </w:rPr>
        <w:t> </w:t>
      </w:r>
      <w:r>
        <w:rPr/>
        <w:t>per Regulation</w:t>
      </w:r>
      <w:r>
        <w:rPr>
          <w:spacing w:val="-6"/>
        </w:rPr>
        <w:t> </w:t>
      </w:r>
      <w:r>
        <w:rPr/>
        <w:t>17(1),</w:t>
      </w:r>
      <w:r>
        <w:rPr>
          <w:spacing w:val="-6"/>
        </w:rPr>
        <w:t> </w:t>
      </w:r>
      <w:r>
        <w:rPr/>
        <w:t>the</w:t>
      </w:r>
      <w:r>
        <w:rPr>
          <w:spacing w:val="-8"/>
        </w:rPr>
        <w:t> </w:t>
      </w:r>
      <w:r>
        <w:rPr/>
        <w:t>opens</w:t>
      </w:r>
      <w:r>
        <w:rPr>
          <w:spacing w:val="-6"/>
        </w:rPr>
        <w:t> </w:t>
      </w:r>
      <w:r>
        <w:rPr/>
        <w:t>space</w:t>
      </w:r>
      <w:r>
        <w:rPr>
          <w:spacing w:val="-6"/>
        </w:rPr>
        <w:t> </w:t>
      </w:r>
      <w:r>
        <w:rPr/>
        <w:t>deficiency</w:t>
      </w:r>
      <w:r>
        <w:rPr>
          <w:spacing w:val="-6"/>
        </w:rPr>
        <w:t> </w:t>
      </w:r>
      <w:r>
        <w:rPr/>
        <w:t>for</w:t>
      </w:r>
      <w:r>
        <w:rPr>
          <w:spacing w:val="-6"/>
        </w:rPr>
        <w:t> </w:t>
      </w:r>
      <w:r>
        <w:rPr/>
        <w:t>the</w:t>
      </w:r>
      <w:r>
        <w:rPr>
          <w:spacing w:val="-6"/>
        </w:rPr>
        <w:t> </w:t>
      </w:r>
      <w:r>
        <w:rPr/>
        <w:t>building</w:t>
      </w:r>
      <w:r>
        <w:rPr>
          <w:spacing w:val="-11"/>
        </w:rPr>
        <w:t> </w:t>
      </w:r>
      <w:r>
        <w:rPr/>
        <w:t>of</w:t>
      </w:r>
      <w:r>
        <w:rPr>
          <w:spacing w:val="-6"/>
        </w:rPr>
        <w:t> </w:t>
      </w:r>
      <w:r>
        <w:rPr/>
        <w:t>owner’s</w:t>
      </w:r>
      <w:r>
        <w:rPr>
          <w:spacing w:val="-6"/>
        </w:rPr>
        <w:t> </w:t>
      </w:r>
      <w:r>
        <w:rPr/>
        <w:t>share to</w:t>
      </w:r>
      <w:r>
        <w:rPr>
          <w:spacing w:val="-1"/>
        </w:rPr>
        <w:t> </w:t>
      </w:r>
      <w:r>
        <w:rPr/>
        <w:t>the</w:t>
      </w:r>
      <w:r>
        <w:rPr>
          <w:spacing w:val="-1"/>
        </w:rPr>
        <w:t> </w:t>
      </w:r>
      <w:r>
        <w:rPr/>
        <w:t>extent</w:t>
      </w:r>
      <w:r>
        <w:rPr>
          <w:spacing w:val="-1"/>
        </w:rPr>
        <w:t> </w:t>
      </w:r>
      <w:r>
        <w:rPr/>
        <w:t>of</w:t>
      </w:r>
      <w:r>
        <w:rPr>
          <w:spacing w:val="-1"/>
        </w:rPr>
        <w:t> </w:t>
      </w:r>
      <w:r>
        <w:rPr/>
        <w:t>development</w:t>
      </w:r>
      <w:r>
        <w:rPr>
          <w:spacing w:val="-1"/>
        </w:rPr>
        <w:t> </w:t>
      </w:r>
      <w:r>
        <w:rPr/>
        <w:t>on</w:t>
      </w:r>
      <w:r>
        <w:rPr>
          <w:spacing w:val="-1"/>
        </w:rPr>
        <w:t> </w:t>
      </w:r>
      <w:r>
        <w:rPr/>
        <w:t>reserved</w:t>
      </w:r>
      <w:r>
        <w:rPr>
          <w:spacing w:val="-3"/>
        </w:rPr>
        <w:t> </w:t>
      </w:r>
      <w:r>
        <w:rPr/>
        <w:t>area,</w:t>
      </w:r>
      <w:r>
        <w:rPr>
          <w:spacing w:val="-1"/>
        </w:rPr>
        <w:t> </w:t>
      </w:r>
      <w:r>
        <w:rPr/>
        <w:t>shall</w:t>
      </w:r>
      <w:r>
        <w:rPr>
          <w:spacing w:val="-1"/>
        </w:rPr>
        <w:t> </w:t>
      </w:r>
      <w:r>
        <w:rPr/>
        <w:t>be</w:t>
      </w:r>
      <w:r>
        <w:rPr>
          <w:spacing w:val="-1"/>
        </w:rPr>
        <w:t> </w:t>
      </w:r>
      <w:r>
        <w:rPr/>
        <w:t>charged</w:t>
      </w:r>
      <w:r>
        <w:rPr>
          <w:spacing w:val="-1"/>
        </w:rPr>
        <w:t> </w:t>
      </w:r>
      <w:r>
        <w:rPr/>
        <w:t>at</w:t>
      </w:r>
      <w:r>
        <w:rPr>
          <w:spacing w:val="-1"/>
        </w:rPr>
        <w:t> </w:t>
      </w:r>
      <w:r>
        <w:rPr/>
        <w:t>the</w:t>
      </w:r>
      <w:r>
        <w:rPr>
          <w:spacing w:val="-1"/>
        </w:rPr>
        <w:t> </w:t>
      </w:r>
      <w:r>
        <w:rPr/>
        <w:t>rate</w:t>
      </w:r>
      <w:r>
        <w:rPr>
          <w:spacing w:val="-1"/>
        </w:rPr>
        <w:t> </w:t>
      </w:r>
      <w:r>
        <w:rPr/>
        <w:t>of 10% of normal premium or 2.5% of RR rate of land as per ASR (for FSI 1) whichever is higher</w:t>
      </w:r>
    </w:p>
    <w:p>
      <w:pPr>
        <w:pStyle w:val="ListParagraph"/>
        <w:numPr>
          <w:ilvl w:val="0"/>
          <w:numId w:val="89"/>
        </w:numPr>
        <w:tabs>
          <w:tab w:pos="1746" w:val="left" w:leader="none"/>
        </w:tabs>
        <w:spacing w:line="276" w:lineRule="auto" w:before="200" w:after="0"/>
        <w:ind w:left="1080" w:right="1076" w:firstLine="0"/>
        <w:jc w:val="both"/>
        <w:rPr>
          <w:sz w:val="22"/>
        </w:rPr>
      </w:pPr>
      <w:r>
        <w:rPr>
          <w:sz w:val="24"/>
        </w:rPr>
        <w:t>The</w:t>
      </w:r>
      <w:r>
        <w:rPr>
          <w:spacing w:val="-3"/>
          <w:sz w:val="24"/>
        </w:rPr>
        <w:t> </w:t>
      </w:r>
      <w:r>
        <w:rPr>
          <w:sz w:val="24"/>
        </w:rPr>
        <w:t>existing</w:t>
      </w:r>
      <w:r>
        <w:rPr>
          <w:spacing w:val="-3"/>
          <w:sz w:val="24"/>
        </w:rPr>
        <w:t> </w:t>
      </w:r>
      <w:r>
        <w:rPr>
          <w:sz w:val="24"/>
        </w:rPr>
        <w:t>amenity</w:t>
      </w:r>
      <w:r>
        <w:rPr>
          <w:spacing w:val="-3"/>
          <w:sz w:val="24"/>
        </w:rPr>
        <w:t> </w:t>
      </w:r>
      <w:r>
        <w:rPr>
          <w:sz w:val="24"/>
        </w:rPr>
        <w:t>can</w:t>
      </w:r>
      <w:r>
        <w:rPr>
          <w:spacing w:val="-3"/>
          <w:sz w:val="24"/>
        </w:rPr>
        <w:t> </w:t>
      </w:r>
      <w:r>
        <w:rPr>
          <w:sz w:val="24"/>
        </w:rPr>
        <w:t>be</w:t>
      </w:r>
      <w:r>
        <w:rPr>
          <w:spacing w:val="-3"/>
          <w:sz w:val="24"/>
        </w:rPr>
        <w:t> </w:t>
      </w:r>
      <w:r>
        <w:rPr>
          <w:sz w:val="24"/>
        </w:rPr>
        <w:t>allowed</w:t>
      </w:r>
      <w:r>
        <w:rPr>
          <w:spacing w:val="-3"/>
          <w:sz w:val="24"/>
        </w:rPr>
        <w:t> </w:t>
      </w:r>
      <w:r>
        <w:rPr>
          <w:sz w:val="24"/>
        </w:rPr>
        <w:t>by</w:t>
      </w:r>
      <w:r>
        <w:rPr>
          <w:spacing w:val="-3"/>
          <w:sz w:val="24"/>
        </w:rPr>
        <w:t> </w:t>
      </w:r>
      <w:r>
        <w:rPr>
          <w:sz w:val="24"/>
        </w:rPr>
        <w:t>the</w:t>
      </w:r>
      <w:r>
        <w:rPr>
          <w:spacing w:val="-3"/>
          <w:sz w:val="24"/>
        </w:rPr>
        <w:t> </w:t>
      </w:r>
      <w:r>
        <w:rPr>
          <w:sz w:val="24"/>
        </w:rPr>
        <w:t>Municipal</w:t>
      </w:r>
      <w:r>
        <w:rPr>
          <w:spacing w:val="-1"/>
          <w:sz w:val="24"/>
        </w:rPr>
        <w:t> </w:t>
      </w:r>
      <w:r>
        <w:rPr>
          <w:sz w:val="24"/>
        </w:rPr>
        <w:t>Commissioner</w:t>
      </w:r>
      <w:r>
        <w:rPr>
          <w:spacing w:val="-3"/>
          <w:sz w:val="24"/>
        </w:rPr>
        <w:t> </w:t>
      </w:r>
      <w:r>
        <w:rPr>
          <w:sz w:val="24"/>
        </w:rPr>
        <w:t>to be</w:t>
      </w:r>
      <w:r>
        <w:rPr>
          <w:spacing w:val="-10"/>
          <w:sz w:val="24"/>
        </w:rPr>
        <w:t> </w:t>
      </w:r>
      <w:r>
        <w:rPr>
          <w:sz w:val="24"/>
        </w:rPr>
        <w:t>retained</w:t>
      </w:r>
      <w:r>
        <w:rPr>
          <w:spacing w:val="-10"/>
          <w:sz w:val="24"/>
        </w:rPr>
        <w:t> </w:t>
      </w:r>
      <w:r>
        <w:rPr>
          <w:sz w:val="24"/>
        </w:rPr>
        <w:t>and</w:t>
      </w:r>
      <w:r>
        <w:rPr>
          <w:spacing w:val="-10"/>
          <w:sz w:val="24"/>
        </w:rPr>
        <w:t> </w:t>
      </w:r>
      <w:r>
        <w:rPr>
          <w:sz w:val="24"/>
        </w:rPr>
        <w:t>run</w:t>
      </w:r>
      <w:r>
        <w:rPr>
          <w:spacing w:val="-10"/>
          <w:sz w:val="24"/>
        </w:rPr>
        <w:t> </w:t>
      </w:r>
      <w:r>
        <w:rPr>
          <w:sz w:val="24"/>
        </w:rPr>
        <w:t>by</w:t>
      </w:r>
      <w:r>
        <w:rPr>
          <w:spacing w:val="-10"/>
          <w:sz w:val="24"/>
        </w:rPr>
        <w:t> </w:t>
      </w:r>
      <w:r>
        <w:rPr>
          <w:sz w:val="24"/>
        </w:rPr>
        <w:t>the</w:t>
      </w:r>
      <w:r>
        <w:rPr>
          <w:spacing w:val="-10"/>
          <w:sz w:val="24"/>
        </w:rPr>
        <w:t> </w:t>
      </w:r>
      <w:r>
        <w:rPr>
          <w:sz w:val="24"/>
        </w:rPr>
        <w:t>Owner,</w:t>
      </w:r>
      <w:r>
        <w:rPr>
          <w:spacing w:val="-10"/>
          <w:sz w:val="24"/>
        </w:rPr>
        <w:t> </w:t>
      </w:r>
      <w:r>
        <w:rPr>
          <w:sz w:val="24"/>
        </w:rPr>
        <w:t>then</w:t>
      </w:r>
      <w:r>
        <w:rPr>
          <w:spacing w:val="-10"/>
          <w:sz w:val="24"/>
        </w:rPr>
        <w:t> </w:t>
      </w:r>
      <w:r>
        <w:rPr>
          <w:sz w:val="24"/>
        </w:rPr>
        <w:t>the</w:t>
      </w:r>
      <w:r>
        <w:rPr>
          <w:spacing w:val="-10"/>
          <w:sz w:val="24"/>
        </w:rPr>
        <w:t> </w:t>
      </w:r>
      <w:r>
        <w:rPr>
          <w:sz w:val="24"/>
        </w:rPr>
        <w:t>owner</w:t>
      </w:r>
      <w:r>
        <w:rPr>
          <w:spacing w:val="-10"/>
          <w:sz w:val="24"/>
        </w:rPr>
        <w:t> </w:t>
      </w:r>
      <w:r>
        <w:rPr>
          <w:sz w:val="24"/>
        </w:rPr>
        <w:t>shall</w:t>
      </w:r>
      <w:r>
        <w:rPr>
          <w:spacing w:val="-10"/>
          <w:sz w:val="24"/>
        </w:rPr>
        <w:t> </w:t>
      </w:r>
      <w:r>
        <w:rPr>
          <w:sz w:val="24"/>
        </w:rPr>
        <w:t>be</w:t>
      </w:r>
      <w:r>
        <w:rPr>
          <w:spacing w:val="-10"/>
          <w:sz w:val="24"/>
        </w:rPr>
        <w:t> </w:t>
      </w:r>
      <w:r>
        <w:rPr>
          <w:sz w:val="24"/>
        </w:rPr>
        <w:t>allowed</w:t>
      </w:r>
      <w:r>
        <w:rPr>
          <w:spacing w:val="-10"/>
          <w:sz w:val="24"/>
        </w:rPr>
        <w:t> </w:t>
      </w:r>
      <w:r>
        <w:rPr>
          <w:sz w:val="24"/>
        </w:rPr>
        <w:t>to</w:t>
      </w:r>
      <w:r>
        <w:rPr>
          <w:spacing w:val="-8"/>
          <w:sz w:val="24"/>
        </w:rPr>
        <w:t> </w:t>
      </w:r>
      <w:r>
        <w:rPr>
          <w:sz w:val="24"/>
        </w:rPr>
        <w:t>develop the</w:t>
      </w:r>
      <w:r>
        <w:rPr>
          <w:spacing w:val="-11"/>
          <w:sz w:val="24"/>
        </w:rPr>
        <w:t> </w:t>
      </w:r>
      <w:r>
        <w:rPr>
          <w:sz w:val="24"/>
        </w:rPr>
        <w:t>remaining</w:t>
      </w:r>
      <w:r>
        <w:rPr>
          <w:spacing w:val="-11"/>
          <w:sz w:val="24"/>
        </w:rPr>
        <w:t> </w:t>
      </w:r>
      <w:r>
        <w:rPr>
          <w:sz w:val="24"/>
        </w:rPr>
        <w:t>site,</w:t>
      </w:r>
      <w:r>
        <w:rPr>
          <w:spacing w:val="-11"/>
          <w:sz w:val="24"/>
        </w:rPr>
        <w:t> </w:t>
      </w:r>
      <w:r>
        <w:rPr>
          <w:sz w:val="24"/>
        </w:rPr>
        <w:t>up</w:t>
      </w:r>
      <w:r>
        <w:rPr>
          <w:spacing w:val="-10"/>
          <w:sz w:val="24"/>
        </w:rPr>
        <w:t> </w:t>
      </w:r>
      <w:r>
        <w:rPr>
          <w:sz w:val="24"/>
        </w:rPr>
        <w:t>to</w:t>
      </w:r>
      <w:r>
        <w:rPr>
          <w:spacing w:val="-11"/>
          <w:sz w:val="24"/>
        </w:rPr>
        <w:t> </w:t>
      </w:r>
      <w:r>
        <w:rPr>
          <w:sz w:val="24"/>
        </w:rPr>
        <w:t>the</w:t>
      </w:r>
      <w:r>
        <w:rPr>
          <w:spacing w:val="-11"/>
          <w:sz w:val="24"/>
        </w:rPr>
        <w:t> </w:t>
      </w:r>
      <w:r>
        <w:rPr>
          <w:sz w:val="24"/>
        </w:rPr>
        <w:t>full</w:t>
      </w:r>
      <w:r>
        <w:rPr>
          <w:spacing w:val="-11"/>
          <w:sz w:val="24"/>
        </w:rPr>
        <w:t> </w:t>
      </w:r>
      <w:r>
        <w:rPr>
          <w:sz w:val="24"/>
        </w:rPr>
        <w:t>permissible</w:t>
      </w:r>
      <w:r>
        <w:rPr>
          <w:spacing w:val="-11"/>
          <w:sz w:val="24"/>
        </w:rPr>
        <w:t> </w:t>
      </w:r>
      <w:r>
        <w:rPr>
          <w:sz w:val="24"/>
        </w:rPr>
        <w:t>FSI</w:t>
      </w:r>
      <w:r>
        <w:rPr>
          <w:spacing w:val="-8"/>
          <w:sz w:val="24"/>
        </w:rPr>
        <w:t> </w:t>
      </w:r>
      <w:r>
        <w:rPr>
          <w:sz w:val="24"/>
        </w:rPr>
        <w:t>of</w:t>
      </w:r>
      <w:r>
        <w:rPr>
          <w:spacing w:val="-11"/>
          <w:sz w:val="24"/>
        </w:rPr>
        <w:t> </w:t>
      </w:r>
      <w:r>
        <w:rPr>
          <w:sz w:val="24"/>
        </w:rPr>
        <w:t>the</w:t>
      </w:r>
      <w:r>
        <w:rPr>
          <w:spacing w:val="-11"/>
          <w:sz w:val="24"/>
        </w:rPr>
        <w:t> </w:t>
      </w:r>
      <w:r>
        <w:rPr>
          <w:sz w:val="24"/>
        </w:rPr>
        <w:t>plot</w:t>
      </w:r>
      <w:r>
        <w:rPr>
          <w:spacing w:val="-11"/>
          <w:sz w:val="24"/>
        </w:rPr>
        <w:t> </w:t>
      </w:r>
      <w:r>
        <w:rPr>
          <w:sz w:val="24"/>
        </w:rPr>
        <w:t>under</w:t>
      </w:r>
      <w:r>
        <w:rPr>
          <w:spacing w:val="-10"/>
          <w:sz w:val="24"/>
        </w:rPr>
        <w:t> </w:t>
      </w:r>
      <w:r>
        <w:rPr>
          <w:sz w:val="24"/>
        </w:rPr>
        <w:t>reservation by taking into account the FSI utilised for the construction of the amenity </w:t>
      </w:r>
      <w:r>
        <w:rPr>
          <w:spacing w:val="-2"/>
          <w:sz w:val="24"/>
        </w:rPr>
        <w:t>building.</w:t>
      </w:r>
    </w:p>
    <w:p>
      <w:pPr>
        <w:pStyle w:val="ListParagraph"/>
        <w:spacing w:after="0" w:line="276" w:lineRule="auto"/>
        <w:jc w:val="both"/>
        <w:rPr>
          <w:sz w:val="22"/>
        </w:rPr>
        <w:sectPr>
          <w:pgSz w:w="11910" w:h="16840"/>
          <w:pgMar w:header="746" w:footer="968" w:top="1180" w:bottom="1160" w:left="360" w:right="360"/>
        </w:sectPr>
      </w:pPr>
    </w:p>
    <w:p>
      <w:pPr>
        <w:pStyle w:val="BodyText"/>
        <w:spacing w:line="276" w:lineRule="auto" w:before="249"/>
        <w:ind w:left="1222" w:right="1077" w:firstLine="1305"/>
      </w:pPr>
      <w:r>
        <w:rPr/>
        <w:t>Provided that in specific cases, where a clearly demonstrable hardship is caused and it is not possible to develop and /or</w:t>
      </w:r>
      <w:r>
        <w:rPr>
          <w:spacing w:val="40"/>
        </w:rPr>
        <w:t> </w:t>
      </w:r>
      <w:r>
        <w:rPr/>
        <w:t>handover individual plot</w:t>
      </w:r>
      <w:r>
        <w:rPr>
          <w:spacing w:val="40"/>
        </w:rPr>
        <w:t> </w:t>
      </w:r>
      <w:r>
        <w:rPr/>
        <w:t>along with</w:t>
      </w:r>
      <w:r>
        <w:rPr>
          <w:spacing w:val="40"/>
        </w:rPr>
        <w:t> </w:t>
      </w:r>
      <w:r>
        <w:rPr/>
        <w:t>built-up amenity, then in such cases Municipal Commissioner</w:t>
      </w:r>
      <w:r>
        <w:rPr>
          <w:spacing w:val="-11"/>
        </w:rPr>
        <w:t> </w:t>
      </w:r>
      <w:r>
        <w:rPr/>
        <w:t>may</w:t>
      </w:r>
      <w:r>
        <w:rPr>
          <w:spacing w:val="-11"/>
        </w:rPr>
        <w:t> </w:t>
      </w:r>
      <w:r>
        <w:rPr/>
        <w:t>allow</w:t>
      </w:r>
      <w:r>
        <w:rPr>
          <w:spacing w:val="-11"/>
        </w:rPr>
        <w:t> </w:t>
      </w:r>
      <w:r>
        <w:rPr/>
        <w:t>composite</w:t>
      </w:r>
      <w:r>
        <w:rPr>
          <w:spacing w:val="-11"/>
        </w:rPr>
        <w:t> </w:t>
      </w:r>
      <w:r>
        <w:rPr/>
        <w:t>development</w:t>
      </w:r>
      <w:r>
        <w:rPr>
          <w:spacing w:val="-11"/>
        </w:rPr>
        <w:t> </w:t>
      </w:r>
      <w:r>
        <w:rPr/>
        <w:t>on</w:t>
      </w:r>
      <w:r>
        <w:rPr>
          <w:spacing w:val="-11"/>
        </w:rPr>
        <w:t> </w:t>
      </w:r>
      <w:r>
        <w:rPr/>
        <w:t>the</w:t>
      </w:r>
      <w:r>
        <w:rPr>
          <w:spacing w:val="-11"/>
        </w:rPr>
        <w:t> </w:t>
      </w:r>
      <w:r>
        <w:rPr/>
        <w:t>said</w:t>
      </w:r>
      <w:r>
        <w:rPr>
          <w:spacing w:val="-11"/>
        </w:rPr>
        <w:t> </w:t>
      </w:r>
      <w:r>
        <w:rPr/>
        <w:t>land</w:t>
      </w:r>
      <w:r>
        <w:rPr>
          <w:spacing w:val="-11"/>
        </w:rPr>
        <w:t> </w:t>
      </w:r>
      <w:r>
        <w:rPr/>
        <w:t>subject</w:t>
      </w:r>
      <w:r>
        <w:rPr>
          <w:spacing w:val="-11"/>
        </w:rPr>
        <w:t> </w:t>
      </w:r>
      <w:r>
        <w:rPr/>
        <w:t>to condition that the built up</w:t>
      </w:r>
      <w:r>
        <w:rPr>
          <w:spacing w:val="40"/>
        </w:rPr>
        <w:t> </w:t>
      </w:r>
      <w:r>
        <w:rPr/>
        <w:t>area mentioned as above may be allowed to be develop and / or</w:t>
      </w:r>
      <w:r>
        <w:rPr>
          <w:spacing w:val="40"/>
        </w:rPr>
        <w:t> </w:t>
      </w:r>
      <w:r>
        <w:rPr/>
        <w:t>handed over to the Public Authority as the case may be preferably in separate structure / wing or on the ground floor or composite building. If ground floor is utilized for parking then on stilt / above floors with</w:t>
      </w:r>
      <w:r>
        <w:rPr>
          <w:spacing w:val="-8"/>
        </w:rPr>
        <w:t> </w:t>
      </w:r>
      <w:r>
        <w:rPr/>
        <w:t>separate</w:t>
      </w:r>
      <w:r>
        <w:rPr>
          <w:spacing w:val="-8"/>
        </w:rPr>
        <w:t> </w:t>
      </w:r>
      <w:r>
        <w:rPr/>
        <w:t>entry</w:t>
      </w:r>
      <w:r>
        <w:rPr>
          <w:spacing w:val="-11"/>
        </w:rPr>
        <w:t> </w:t>
      </w:r>
      <w:r>
        <w:rPr/>
        <w:t>and</w:t>
      </w:r>
      <w:r>
        <w:rPr>
          <w:spacing w:val="-8"/>
        </w:rPr>
        <w:t> </w:t>
      </w:r>
      <w:r>
        <w:rPr/>
        <w:t>exit</w:t>
      </w:r>
      <w:r>
        <w:rPr>
          <w:spacing w:val="-8"/>
        </w:rPr>
        <w:t> </w:t>
      </w:r>
      <w:r>
        <w:rPr/>
        <w:t>from</w:t>
      </w:r>
      <w:r>
        <w:rPr>
          <w:spacing w:val="-7"/>
        </w:rPr>
        <w:t> </w:t>
      </w:r>
      <w:r>
        <w:rPr/>
        <w:t>Public</w:t>
      </w:r>
      <w:r>
        <w:rPr>
          <w:spacing w:val="-11"/>
        </w:rPr>
        <w:t> </w:t>
      </w:r>
      <w:r>
        <w:rPr/>
        <w:t>Street.</w:t>
      </w:r>
      <w:r>
        <w:rPr>
          <w:spacing w:val="-8"/>
        </w:rPr>
        <w:t> </w:t>
      </w:r>
      <w:r>
        <w:rPr/>
        <w:t>In</w:t>
      </w:r>
      <w:r>
        <w:rPr>
          <w:spacing w:val="-10"/>
        </w:rPr>
        <w:t> </w:t>
      </w:r>
      <w:r>
        <w:rPr/>
        <w:t>such</w:t>
      </w:r>
      <w:r>
        <w:rPr>
          <w:spacing w:val="-8"/>
        </w:rPr>
        <w:t> </w:t>
      </w:r>
      <w:r>
        <w:rPr/>
        <w:t>cases</w:t>
      </w:r>
      <w:r>
        <w:rPr>
          <w:spacing w:val="-10"/>
        </w:rPr>
        <w:t> </w:t>
      </w:r>
      <w:r>
        <w:rPr/>
        <w:t>the</w:t>
      </w:r>
      <w:r>
        <w:rPr>
          <w:spacing w:val="-8"/>
        </w:rPr>
        <w:t> </w:t>
      </w:r>
      <w:r>
        <w:rPr/>
        <w:t>Municipal Commissioner</w:t>
      </w:r>
      <w:r>
        <w:rPr>
          <w:spacing w:val="-20"/>
        </w:rPr>
        <w:t> </w:t>
      </w:r>
      <w:r>
        <w:rPr/>
        <w:t>may</w:t>
      </w:r>
      <w:r>
        <w:rPr>
          <w:spacing w:val="-19"/>
        </w:rPr>
        <w:t> </w:t>
      </w:r>
      <w:r>
        <w:rPr/>
        <w:t>recover</w:t>
      </w:r>
      <w:r>
        <w:rPr>
          <w:spacing w:val="-19"/>
        </w:rPr>
        <w:t> </w:t>
      </w:r>
      <w:r>
        <w:rPr/>
        <w:t>the</w:t>
      </w:r>
      <w:r>
        <w:rPr>
          <w:spacing w:val="-19"/>
        </w:rPr>
        <w:t> </w:t>
      </w:r>
      <w:r>
        <w:rPr/>
        <w:t>cost</w:t>
      </w:r>
      <w:r>
        <w:rPr>
          <w:spacing w:val="-19"/>
        </w:rPr>
        <w:t> </w:t>
      </w:r>
      <w:r>
        <w:rPr/>
        <w:t>of</w:t>
      </w:r>
      <w:r>
        <w:rPr>
          <w:spacing w:val="-20"/>
        </w:rPr>
        <w:t> </w:t>
      </w:r>
      <w:r>
        <w:rPr/>
        <w:t>40</w:t>
      </w:r>
      <w:r>
        <w:rPr>
          <w:spacing w:val="-19"/>
        </w:rPr>
        <w:t> </w:t>
      </w:r>
      <w:r>
        <w:rPr/>
        <w:t>%</w:t>
      </w:r>
      <w:r>
        <w:rPr>
          <w:spacing w:val="-19"/>
        </w:rPr>
        <w:t> </w:t>
      </w:r>
      <w:r>
        <w:rPr/>
        <w:t>land</w:t>
      </w:r>
      <w:r>
        <w:rPr>
          <w:spacing w:val="-19"/>
        </w:rPr>
        <w:t> </w:t>
      </w:r>
      <w:r>
        <w:rPr/>
        <w:t>area</w:t>
      </w:r>
      <w:r>
        <w:rPr>
          <w:spacing w:val="-19"/>
        </w:rPr>
        <w:t> </w:t>
      </w:r>
      <w:r>
        <w:rPr/>
        <w:t>as</w:t>
      </w:r>
      <w:r>
        <w:rPr>
          <w:spacing w:val="-20"/>
        </w:rPr>
        <w:t> </w:t>
      </w:r>
      <w:r>
        <w:rPr/>
        <w:t>per</w:t>
      </w:r>
      <w:r>
        <w:rPr>
          <w:spacing w:val="-19"/>
        </w:rPr>
        <w:t> </w:t>
      </w:r>
      <w:r>
        <w:rPr/>
        <w:t>prevailing</w:t>
      </w:r>
      <w:r>
        <w:rPr>
          <w:spacing w:val="-19"/>
        </w:rPr>
        <w:t> </w:t>
      </w:r>
      <w:r>
        <w:rPr/>
        <w:t>Ready Reckoner</w:t>
      </w:r>
      <w:r>
        <w:rPr>
          <w:spacing w:val="40"/>
        </w:rPr>
        <w:t> </w:t>
      </w:r>
      <w:r>
        <w:rPr/>
        <w:t>Rate, as per policy of Municipal Corporation.</w:t>
      </w:r>
    </w:p>
    <w:p>
      <w:pPr>
        <w:pStyle w:val="BodyText"/>
        <w:spacing w:before="202"/>
        <w:ind w:left="1080" w:right="1079"/>
      </w:pPr>
      <w:r>
        <w:rPr>
          <w:b/>
          <w:sz w:val="22"/>
        </w:rPr>
        <w:t>22)</w:t>
      </w:r>
      <w:r>
        <w:rPr>
          <w:b/>
          <w:spacing w:val="-19"/>
          <w:sz w:val="22"/>
        </w:rPr>
        <w:t> </w:t>
      </w:r>
      <w:r>
        <w:rPr/>
        <w:t>The</w:t>
      </w:r>
      <w:r>
        <w:rPr>
          <w:spacing w:val="-19"/>
        </w:rPr>
        <w:t> </w:t>
      </w:r>
      <w:r>
        <w:rPr/>
        <w:t>land</w:t>
      </w:r>
      <w:r>
        <w:rPr>
          <w:spacing w:val="35"/>
        </w:rPr>
        <w:t> </w:t>
      </w:r>
      <w:r>
        <w:rPr/>
        <w:t>bearing</w:t>
      </w:r>
      <w:r>
        <w:rPr>
          <w:spacing w:val="-19"/>
        </w:rPr>
        <w:t> </w:t>
      </w:r>
      <w:r>
        <w:rPr/>
        <w:t>C.</w:t>
      </w:r>
      <w:r>
        <w:rPr>
          <w:spacing w:val="-19"/>
        </w:rPr>
        <w:t> </w:t>
      </w:r>
      <w:r>
        <w:rPr/>
        <w:t>S.</w:t>
      </w:r>
      <w:r>
        <w:rPr>
          <w:spacing w:val="-19"/>
        </w:rPr>
        <w:t> </w:t>
      </w:r>
      <w:r>
        <w:rPr/>
        <w:t>no</w:t>
      </w:r>
      <w:r>
        <w:rPr>
          <w:spacing w:val="-19"/>
        </w:rPr>
        <w:t> </w:t>
      </w:r>
      <w:r>
        <w:rPr/>
        <w:t>831</w:t>
      </w:r>
      <w:r>
        <w:rPr>
          <w:spacing w:val="-19"/>
        </w:rPr>
        <w:t> </w:t>
      </w:r>
      <w:r>
        <w:rPr/>
        <w:t>of</w:t>
      </w:r>
      <w:r>
        <w:rPr>
          <w:spacing w:val="-19"/>
        </w:rPr>
        <w:t> </w:t>
      </w:r>
      <w:r>
        <w:rPr/>
        <w:t>Mazgaon</w:t>
      </w:r>
      <w:r>
        <w:rPr>
          <w:spacing w:val="-19"/>
        </w:rPr>
        <w:t> </w:t>
      </w:r>
      <w:r>
        <w:rPr/>
        <w:t>Division,</w:t>
      </w:r>
      <w:r>
        <w:rPr>
          <w:spacing w:val="-19"/>
        </w:rPr>
        <w:t> </w:t>
      </w:r>
      <w:r>
        <w:rPr/>
        <w:t>known</w:t>
      </w:r>
      <w:r>
        <w:rPr>
          <w:spacing w:val="-19"/>
        </w:rPr>
        <w:t> </w:t>
      </w:r>
      <w:r>
        <w:rPr/>
        <w:t>as</w:t>
      </w:r>
      <w:r>
        <w:rPr>
          <w:spacing w:val="-19"/>
        </w:rPr>
        <w:t> </w:t>
      </w:r>
      <w:r>
        <w:rPr/>
        <w:t>India</w:t>
      </w:r>
      <w:r>
        <w:rPr>
          <w:spacing w:val="-19"/>
        </w:rPr>
        <w:t> </w:t>
      </w:r>
      <w:r>
        <w:rPr/>
        <w:t>United Mill</w:t>
      </w:r>
      <w:r>
        <w:rPr>
          <w:spacing w:val="-20"/>
        </w:rPr>
        <w:t> </w:t>
      </w:r>
      <w:r>
        <w:rPr/>
        <w:t>No</w:t>
      </w:r>
      <w:r>
        <w:rPr>
          <w:spacing w:val="-19"/>
        </w:rPr>
        <w:t> </w:t>
      </w:r>
      <w:r>
        <w:rPr/>
        <w:t>2</w:t>
      </w:r>
      <w:r>
        <w:rPr>
          <w:spacing w:val="-19"/>
        </w:rPr>
        <w:t> </w:t>
      </w:r>
      <w:r>
        <w:rPr/>
        <w:t>&amp;</w:t>
      </w:r>
      <w:r>
        <w:rPr>
          <w:spacing w:val="-19"/>
        </w:rPr>
        <w:t> </w:t>
      </w:r>
      <w:r>
        <w:rPr/>
        <w:t>3</w:t>
      </w:r>
      <w:r>
        <w:rPr>
          <w:spacing w:val="-19"/>
        </w:rPr>
        <w:t> </w:t>
      </w:r>
      <w:r>
        <w:rPr/>
        <w:t>notified</w:t>
      </w:r>
      <w:r>
        <w:rPr>
          <w:spacing w:val="10"/>
        </w:rPr>
        <w:t> </w:t>
      </w:r>
      <w:r>
        <w:rPr/>
        <w:t>&amp;</w:t>
      </w:r>
      <w:r>
        <w:rPr>
          <w:spacing w:val="-19"/>
        </w:rPr>
        <w:t> </w:t>
      </w:r>
      <w:r>
        <w:rPr/>
        <w:t>reserved</w:t>
      </w:r>
      <w:r>
        <w:rPr>
          <w:spacing w:val="-19"/>
        </w:rPr>
        <w:t> </w:t>
      </w:r>
      <w:r>
        <w:rPr/>
        <w:t>for</w:t>
      </w:r>
      <w:r>
        <w:rPr>
          <w:spacing w:val="-19"/>
        </w:rPr>
        <w:t> </w:t>
      </w:r>
      <w:r>
        <w:rPr/>
        <w:t>‘Recreation</w:t>
      </w:r>
      <w:r>
        <w:rPr>
          <w:spacing w:val="-20"/>
        </w:rPr>
        <w:t> </w:t>
      </w:r>
      <w:r>
        <w:rPr/>
        <w:t>Ground</w:t>
      </w:r>
      <w:r>
        <w:rPr>
          <w:spacing w:val="-19"/>
        </w:rPr>
        <w:t> </w:t>
      </w:r>
      <w:r>
        <w:rPr/>
        <w:t>cum</w:t>
      </w:r>
      <w:r>
        <w:rPr>
          <w:spacing w:val="-19"/>
        </w:rPr>
        <w:t> </w:t>
      </w:r>
      <w:r>
        <w:rPr/>
        <w:t>Textile</w:t>
      </w:r>
      <w:r>
        <w:rPr>
          <w:spacing w:val="-19"/>
        </w:rPr>
        <w:t> </w:t>
      </w:r>
      <w:r>
        <w:rPr/>
        <w:t>Museum” as per notification</w:t>
      </w:r>
      <w:r>
        <w:rPr>
          <w:spacing w:val="40"/>
        </w:rPr>
        <w:t> </w:t>
      </w:r>
      <w:r>
        <w:rPr/>
        <w:t>under NoTPB4312/789/CR-27/2013/UD-11 dated 29th December 2018, shall be developed in accordance with the said Notification</w:t>
      </w:r>
    </w:p>
    <w:p>
      <w:pPr>
        <w:pStyle w:val="BodyText"/>
        <w:spacing w:before="212"/>
        <w:jc w:val="left"/>
      </w:pPr>
    </w:p>
    <w:p>
      <w:pPr>
        <w:pStyle w:val="Heading3"/>
        <w:spacing w:before="1"/>
        <w:ind w:left="1080" w:firstLine="0"/>
        <w:jc w:val="both"/>
      </w:pPr>
      <w:r>
        <w:rPr>
          <w:i w:val="0"/>
        </w:rPr>
        <w:t>17</w:t>
      </w:r>
      <w:r>
        <w:rPr>
          <w:i w:val="0"/>
          <w:spacing w:val="75"/>
          <w:w w:val="150"/>
        </w:rPr>
        <w:t> </w:t>
      </w:r>
      <w:r>
        <w:rPr>
          <w:i w:val="0"/>
        </w:rPr>
        <w:t>(2)</w:t>
      </w:r>
      <w:r>
        <w:rPr>
          <w:i w:val="0"/>
          <w:spacing w:val="24"/>
        </w:rPr>
        <w:t> </w:t>
      </w:r>
      <w:r>
        <w:rPr/>
        <w:t>Redevelopment</w:t>
      </w:r>
      <w:r>
        <w:rPr>
          <w:spacing w:val="28"/>
        </w:rPr>
        <w:t> </w:t>
      </w:r>
      <w:r>
        <w:rPr/>
        <w:t>of</w:t>
      </w:r>
      <w:r>
        <w:rPr>
          <w:spacing w:val="26"/>
        </w:rPr>
        <w:t> </w:t>
      </w:r>
      <w:r>
        <w:rPr/>
        <w:t>existing</w:t>
      </w:r>
      <w:r>
        <w:rPr>
          <w:spacing w:val="28"/>
        </w:rPr>
        <w:t> </w:t>
      </w:r>
      <w:r>
        <w:rPr>
          <w:spacing w:val="-2"/>
        </w:rPr>
        <w:t>Cinema/Theater:</w:t>
      </w:r>
    </w:p>
    <w:p>
      <w:pPr>
        <w:pStyle w:val="BodyText"/>
        <w:spacing w:before="244"/>
        <w:ind w:left="1646"/>
        <w:jc w:val="left"/>
      </w:pPr>
      <w:r>
        <w:rPr/>
        <w:t>Notwithstanding</w:t>
      </w:r>
      <w:r>
        <w:rPr>
          <w:spacing w:val="80"/>
        </w:rPr>
        <w:t> </w:t>
      </w:r>
      <w:r>
        <w:rPr/>
        <w:t>anything</w:t>
      </w:r>
      <w:r>
        <w:rPr>
          <w:spacing w:val="80"/>
        </w:rPr>
        <w:t> </w:t>
      </w:r>
      <w:r>
        <w:rPr/>
        <w:t>contained</w:t>
      </w:r>
      <w:r>
        <w:rPr>
          <w:spacing w:val="80"/>
        </w:rPr>
        <w:t> </w:t>
      </w:r>
      <w:r>
        <w:rPr/>
        <w:t>in</w:t>
      </w:r>
      <w:r>
        <w:rPr>
          <w:spacing w:val="80"/>
        </w:rPr>
        <w:t> </w:t>
      </w:r>
      <w:r>
        <w:rPr/>
        <w:t>these</w:t>
      </w:r>
      <w:r>
        <w:rPr>
          <w:spacing w:val="80"/>
        </w:rPr>
        <w:t> </w:t>
      </w:r>
      <w:r>
        <w:rPr/>
        <w:t>Regulations,</w:t>
      </w:r>
      <w:r>
        <w:rPr>
          <w:spacing w:val="80"/>
        </w:rPr>
        <w:t> </w:t>
      </w:r>
      <w:r>
        <w:rPr/>
        <w:t>existing cinema/theater</w:t>
      </w:r>
      <w:r>
        <w:rPr>
          <w:spacing w:val="40"/>
        </w:rPr>
        <w:t> </w:t>
      </w:r>
      <w:r>
        <w:rPr/>
        <w:t>shall</w:t>
      </w:r>
      <w:r>
        <w:rPr>
          <w:spacing w:val="40"/>
        </w:rPr>
        <w:t> </w:t>
      </w:r>
      <w:r>
        <w:rPr/>
        <w:t>be</w:t>
      </w:r>
      <w:r>
        <w:rPr>
          <w:spacing w:val="40"/>
        </w:rPr>
        <w:t> </w:t>
      </w:r>
      <w:r>
        <w:rPr/>
        <w:t>redeveloped</w:t>
      </w:r>
      <w:r>
        <w:rPr>
          <w:spacing w:val="40"/>
        </w:rPr>
        <w:t> </w:t>
      </w:r>
      <w:r>
        <w:rPr/>
        <w:t>in</w:t>
      </w:r>
      <w:r>
        <w:rPr>
          <w:spacing w:val="40"/>
        </w:rPr>
        <w:t> </w:t>
      </w:r>
      <w:r>
        <w:rPr/>
        <w:t>the</w:t>
      </w:r>
      <w:r>
        <w:rPr>
          <w:spacing w:val="40"/>
        </w:rPr>
        <w:t> </w:t>
      </w:r>
      <w:r>
        <w:rPr/>
        <w:t>following</w:t>
      </w:r>
      <w:r>
        <w:rPr>
          <w:spacing w:val="40"/>
        </w:rPr>
        <w:t> </w:t>
      </w:r>
      <w:r>
        <w:rPr/>
        <w:t>manner:</w:t>
      </w:r>
    </w:p>
    <w:p>
      <w:pPr>
        <w:pStyle w:val="ListParagraph"/>
        <w:numPr>
          <w:ilvl w:val="0"/>
          <w:numId w:val="91"/>
        </w:numPr>
        <w:tabs>
          <w:tab w:pos="1798" w:val="left" w:leader="none"/>
          <w:tab w:pos="1800" w:val="left" w:leader="none"/>
        </w:tabs>
        <w:spacing w:line="240" w:lineRule="auto" w:before="240" w:after="0"/>
        <w:ind w:left="1800" w:right="1081" w:hanging="360"/>
        <w:jc w:val="both"/>
        <w:rPr>
          <w:sz w:val="24"/>
        </w:rPr>
      </w:pPr>
      <w:r>
        <w:rPr>
          <w:sz w:val="24"/>
        </w:rPr>
        <w:t>In case of redevelopment of an existing cinema/Theater on allocated plot, the user for the cinema/ theater may be permitted in combination with the permissible uses in Residential/Commercial zone excluding the uses of Bakery/confectionery, coal &amp; firewood shops,</w:t>
      </w:r>
      <w:r>
        <w:rPr>
          <w:spacing w:val="40"/>
          <w:sz w:val="24"/>
        </w:rPr>
        <w:t> </w:t>
      </w:r>
      <w:r>
        <w:rPr>
          <w:sz w:val="24"/>
        </w:rPr>
        <w:t>maternity</w:t>
      </w:r>
      <w:r>
        <w:rPr>
          <w:spacing w:val="40"/>
          <w:sz w:val="24"/>
        </w:rPr>
        <w:t> </w:t>
      </w:r>
      <w:r>
        <w:rPr>
          <w:sz w:val="24"/>
        </w:rPr>
        <w:t>home,</w:t>
      </w:r>
      <w:r>
        <w:rPr>
          <w:spacing w:val="40"/>
          <w:sz w:val="24"/>
        </w:rPr>
        <w:t> </w:t>
      </w:r>
      <w:r>
        <w:rPr>
          <w:sz w:val="24"/>
        </w:rPr>
        <w:t>hospitals,</w:t>
      </w:r>
      <w:r>
        <w:rPr>
          <w:spacing w:val="40"/>
          <w:sz w:val="24"/>
        </w:rPr>
        <w:t> </w:t>
      </w:r>
      <w:r>
        <w:rPr>
          <w:sz w:val="24"/>
        </w:rPr>
        <w:t>schools,</w:t>
      </w:r>
      <w:r>
        <w:rPr>
          <w:spacing w:val="40"/>
          <w:sz w:val="24"/>
        </w:rPr>
        <w:t> </w:t>
      </w:r>
      <w:r>
        <w:rPr>
          <w:sz w:val="24"/>
        </w:rPr>
        <w:t>trade</w:t>
      </w:r>
      <w:r>
        <w:rPr>
          <w:spacing w:val="40"/>
          <w:sz w:val="24"/>
        </w:rPr>
        <w:t> </w:t>
      </w:r>
      <w:r>
        <w:rPr>
          <w:sz w:val="24"/>
        </w:rPr>
        <w:t>school</w:t>
      </w:r>
      <w:r>
        <w:rPr>
          <w:spacing w:val="40"/>
          <w:sz w:val="24"/>
        </w:rPr>
        <w:t> </w:t>
      </w:r>
      <w:r>
        <w:rPr>
          <w:sz w:val="24"/>
        </w:rPr>
        <w:t>&amp;</w:t>
      </w:r>
      <w:r>
        <w:rPr>
          <w:spacing w:val="40"/>
          <w:sz w:val="24"/>
        </w:rPr>
        <w:t> </w:t>
      </w:r>
      <w:r>
        <w:rPr>
          <w:sz w:val="24"/>
        </w:rPr>
        <w:t>colleges.</w:t>
      </w:r>
    </w:p>
    <w:p>
      <w:pPr>
        <w:pStyle w:val="BodyText"/>
        <w:spacing w:before="159"/>
        <w:ind w:left="1800" w:right="1085"/>
      </w:pPr>
      <w:r>
        <w:rPr/>
        <w:t>In case of redevelopment of an existing cinema/theater on allocated plot in addition to other uses which are to be permitted, cinema/Theater having seating capacity to the extent of 33% of the last licensed number of seats in the old existing cinema/Theater and in any case not less than 150 seats</w:t>
      </w:r>
      <w:r>
        <w:rPr>
          <w:spacing w:val="40"/>
        </w:rPr>
        <w:t> </w:t>
      </w:r>
      <w:r>
        <w:rPr/>
        <w:t>or as may be decided by GOM from time to time shall be provided.</w:t>
      </w:r>
    </w:p>
    <w:p>
      <w:pPr>
        <w:pStyle w:val="BodyText"/>
        <w:spacing w:before="160"/>
        <w:ind w:left="1800" w:right="1087"/>
      </w:pPr>
      <w:r>
        <w:rPr/>
        <w:t>Further for Cinema/Theater having number of seats 600 or more mentioned in the last license, in the old existing cinema/Theater may be developed with at least</w:t>
      </w:r>
      <w:r>
        <w:rPr>
          <w:spacing w:val="80"/>
        </w:rPr>
        <w:t> </w:t>
      </w:r>
      <w:r>
        <w:rPr/>
        <w:t>200 seats without insisting provision of 33% of the number of seats mentioned in the last license, in the old existing cinema/Theater.</w:t>
      </w:r>
    </w:p>
    <w:p>
      <w:pPr>
        <w:pStyle w:val="BodyText"/>
        <w:spacing w:line="276" w:lineRule="auto" w:before="160"/>
        <w:ind w:left="1788" w:right="1082" w:firstLine="652"/>
      </w:pPr>
      <w:r>
        <w:rPr/>
        <w:t>BUA of such redeveloped theatre will be in addition to zonal (basic) FSI. However, it will be within the overall permissible FSI as mentioned in column 7 of table 12. No premium shall be charged for this BUA. Existing one screen cinema/Theater can be converted into multiple screens subject to observing above conditions and these </w:t>
      </w:r>
      <w:r>
        <w:rPr>
          <w:spacing w:val="-2"/>
        </w:rPr>
        <w:t>Regulations.</w:t>
      </w:r>
    </w:p>
    <w:p>
      <w:pPr>
        <w:pStyle w:val="BodyText"/>
        <w:spacing w:after="0" w:line="276" w:lineRule="auto"/>
        <w:sectPr>
          <w:pgSz w:w="11910" w:h="16840"/>
          <w:pgMar w:header="746" w:footer="968" w:top="1180" w:bottom="1160" w:left="360" w:right="360"/>
        </w:sectPr>
      </w:pPr>
    </w:p>
    <w:p>
      <w:pPr>
        <w:pStyle w:val="BodyText"/>
        <w:spacing w:before="251"/>
        <w:ind w:left="1800" w:right="1080"/>
      </w:pPr>
      <w:r>
        <w:rPr/>
        <w:t>Provided further that if development of cinema/theater along-with other uses except residential use is proposed in single building then the open space requirement shall be considered as required for the special building.</w:t>
      </w:r>
      <w:r>
        <w:rPr>
          <w:spacing w:val="40"/>
        </w:rPr>
        <w:t> </w:t>
      </w:r>
      <w:r>
        <w:rPr/>
        <w:t>The residential uses shall be permitted in separate building/separate wing with separate access.</w:t>
      </w:r>
    </w:p>
    <w:p>
      <w:pPr>
        <w:pStyle w:val="BodyText"/>
        <w:spacing w:before="161"/>
        <w:ind w:left="1800"/>
        <w:jc w:val="left"/>
      </w:pPr>
      <w:r>
        <w:rPr>
          <w:spacing w:val="-5"/>
        </w:rPr>
        <w:t>Or</w:t>
      </w:r>
    </w:p>
    <w:p>
      <w:pPr>
        <w:pStyle w:val="BodyText"/>
        <w:spacing w:line="276" w:lineRule="auto" w:before="158"/>
        <w:ind w:left="1788" w:right="1086"/>
      </w:pPr>
      <w:r>
        <w:rPr/>
        <w:t>The Owner/Developer may develop the entire</w:t>
      </w:r>
      <w:r>
        <w:rPr>
          <w:spacing w:val="40"/>
        </w:rPr>
        <w:t> </w:t>
      </w:r>
      <w:r>
        <w:rPr/>
        <w:t>plot for the purpose of entertainment of general public such as Drama Theater/Opera theater/Mini-theater/Multiplex/</w:t>
      </w:r>
      <w:r>
        <w:rPr>
          <w:spacing w:val="49"/>
          <w:w w:val="150"/>
        </w:rPr>
        <w:t>    </w:t>
      </w:r>
      <w:r>
        <w:rPr/>
        <w:t>Art</w:t>
      </w:r>
      <w:r>
        <w:rPr>
          <w:spacing w:val="50"/>
          <w:w w:val="150"/>
        </w:rPr>
        <w:t>    </w:t>
      </w:r>
      <w:r>
        <w:rPr/>
        <w:t>Gallery/Video</w:t>
      </w:r>
      <w:r>
        <w:rPr>
          <w:spacing w:val="50"/>
          <w:w w:val="150"/>
        </w:rPr>
        <w:t>    </w:t>
      </w:r>
      <w:r>
        <w:rPr>
          <w:spacing w:val="-4"/>
        </w:rPr>
        <w:t>Hall</w:t>
      </w:r>
    </w:p>
    <w:p>
      <w:pPr>
        <w:pStyle w:val="BodyText"/>
        <w:spacing w:line="276" w:lineRule="auto"/>
        <w:ind w:left="1788" w:right="1084"/>
      </w:pPr>
      <w:r>
        <w:rPr/>
        <w:t>/Library/Reading rooms/ Hall for Musical events or Experiment Theatre or children Theatre/Acting Schools/Preview Theatre etc.</w:t>
      </w:r>
      <w:r>
        <w:rPr>
          <w:spacing w:val="80"/>
        </w:rPr>
        <w:t> </w:t>
      </w:r>
      <w:r>
        <w:rPr/>
        <w:t>along </w:t>
      </w:r>
      <w:r>
        <w:rPr>
          <w:b/>
        </w:rPr>
        <w:t>with </w:t>
      </w:r>
      <w:r>
        <w:rPr/>
        <w:t>ancillary uses.</w:t>
      </w:r>
    </w:p>
    <w:p>
      <w:pPr>
        <w:pStyle w:val="BodyText"/>
        <w:spacing w:before="202"/>
        <w:ind w:left="1800"/>
        <w:jc w:val="left"/>
      </w:pPr>
      <w:r>
        <w:rPr>
          <w:spacing w:val="-5"/>
        </w:rPr>
        <w:t>Or</w:t>
      </w:r>
    </w:p>
    <w:p>
      <w:pPr>
        <w:pStyle w:val="ListParagraph"/>
        <w:numPr>
          <w:ilvl w:val="1"/>
          <w:numId w:val="91"/>
        </w:numPr>
        <w:tabs>
          <w:tab w:pos="2033" w:val="left" w:leader="none"/>
        </w:tabs>
        <w:spacing w:line="240" w:lineRule="auto" w:before="160" w:after="0"/>
        <w:ind w:left="1788" w:right="1084" w:firstLine="0"/>
        <w:jc w:val="both"/>
        <w:rPr>
          <w:sz w:val="24"/>
        </w:rPr>
      </w:pPr>
      <w:r>
        <w:rPr>
          <w:sz w:val="24"/>
        </w:rPr>
        <w:t>The</w:t>
      </w:r>
      <w:r>
        <w:rPr>
          <w:spacing w:val="80"/>
          <w:sz w:val="24"/>
        </w:rPr>
        <w:t> </w:t>
      </w:r>
      <w:r>
        <w:rPr>
          <w:sz w:val="24"/>
        </w:rPr>
        <w:t>plot of the cinema/theatre can be developed at par with AR.</w:t>
      </w:r>
      <w:r>
        <w:rPr>
          <w:spacing w:val="40"/>
          <w:sz w:val="24"/>
        </w:rPr>
        <w:t> </w:t>
      </w:r>
      <w:r>
        <w:rPr>
          <w:sz w:val="24"/>
        </w:rPr>
        <w:t>For the plot area, up to 2000 sq. m, 40 % of BUA as per Zonal (basic) FSI and incase of the plot area more than 2000 sq. m, 40 % plot area &amp; built up amenities to the extent of 50% of the Zonal (basic) FSI of the plot shall have to be handed over to MCGM free of cost &amp; free of </w:t>
      </w:r>
      <w:r>
        <w:rPr>
          <w:spacing w:val="-4"/>
          <w:sz w:val="24"/>
        </w:rPr>
        <w:t>FSI.</w:t>
      </w:r>
    </w:p>
    <w:p>
      <w:pPr>
        <w:pStyle w:val="ListParagraph"/>
        <w:numPr>
          <w:ilvl w:val="1"/>
          <w:numId w:val="91"/>
        </w:numPr>
        <w:tabs>
          <w:tab w:pos="2104" w:val="left" w:leader="none"/>
        </w:tabs>
        <w:spacing w:line="240" w:lineRule="auto" w:before="160" w:after="0"/>
        <w:ind w:left="1800" w:right="1078" w:firstLine="0"/>
        <w:jc w:val="both"/>
        <w:rPr>
          <w:sz w:val="24"/>
        </w:rPr>
      </w:pPr>
      <w:r>
        <w:rPr>
          <w:sz w:val="24"/>
        </w:rPr>
        <w:t>The Built-up amenity shall be in the form of the activity related to the public entertainment as decided by the Commissioner such as Opera theater/Mini-theater/Production studio for cinema &amp; or Tele- serial/Dubbing &amp; Recording studio/ Preview theater. In case of plots up to 2000 sq. m, such activity shall preferably be located in a separate wing and</w:t>
      </w:r>
      <w:r>
        <w:rPr>
          <w:spacing w:val="40"/>
          <w:sz w:val="24"/>
        </w:rPr>
        <w:t> </w:t>
      </w:r>
      <w:r>
        <w:rPr>
          <w:sz w:val="24"/>
        </w:rPr>
        <w:t>with the separate access.</w:t>
      </w:r>
    </w:p>
    <w:p>
      <w:pPr>
        <w:pStyle w:val="ListParagraph"/>
        <w:numPr>
          <w:ilvl w:val="1"/>
          <w:numId w:val="91"/>
        </w:numPr>
        <w:tabs>
          <w:tab w:pos="2214" w:val="left" w:leader="none"/>
        </w:tabs>
        <w:spacing w:line="240" w:lineRule="auto" w:before="161" w:after="0"/>
        <w:ind w:left="1800" w:right="1078" w:firstLine="0"/>
        <w:jc w:val="both"/>
        <w:rPr>
          <w:sz w:val="24"/>
        </w:rPr>
      </w:pPr>
      <w:r>
        <w:rPr>
          <w:sz w:val="24"/>
        </w:rPr>
        <w:t>The owner shall be entitled for the development of the balance potential as per the provision of Regulation No17 (1) and uses permissible in residential/commercial zones. Provided further that residential</w:t>
      </w:r>
      <w:r>
        <w:rPr>
          <w:spacing w:val="40"/>
          <w:sz w:val="24"/>
        </w:rPr>
        <w:t> </w:t>
      </w:r>
      <w:r>
        <w:rPr>
          <w:sz w:val="24"/>
        </w:rPr>
        <w:t>use</w:t>
      </w:r>
      <w:r>
        <w:rPr>
          <w:spacing w:val="40"/>
          <w:sz w:val="24"/>
        </w:rPr>
        <w:t> </w:t>
      </w:r>
      <w:r>
        <w:rPr>
          <w:sz w:val="24"/>
        </w:rPr>
        <w:t>shall</w:t>
      </w:r>
      <w:r>
        <w:rPr>
          <w:spacing w:val="40"/>
          <w:sz w:val="24"/>
        </w:rPr>
        <w:t> </w:t>
      </w:r>
      <w:r>
        <w:rPr>
          <w:sz w:val="24"/>
        </w:rPr>
        <w:t>be</w:t>
      </w:r>
      <w:r>
        <w:rPr>
          <w:spacing w:val="40"/>
          <w:sz w:val="24"/>
        </w:rPr>
        <w:t> </w:t>
      </w:r>
      <w:r>
        <w:rPr>
          <w:sz w:val="24"/>
        </w:rPr>
        <w:t>allowed</w:t>
      </w:r>
      <w:r>
        <w:rPr>
          <w:spacing w:val="40"/>
          <w:sz w:val="24"/>
        </w:rPr>
        <w:t> </w:t>
      </w:r>
      <w:r>
        <w:rPr>
          <w:sz w:val="24"/>
        </w:rPr>
        <w:t>in</w:t>
      </w:r>
      <w:r>
        <w:rPr>
          <w:spacing w:val="40"/>
          <w:sz w:val="24"/>
        </w:rPr>
        <w:t> </w:t>
      </w:r>
      <w:r>
        <w:rPr>
          <w:sz w:val="24"/>
        </w:rPr>
        <w:t>a</w:t>
      </w:r>
      <w:r>
        <w:rPr>
          <w:spacing w:val="40"/>
          <w:sz w:val="24"/>
        </w:rPr>
        <w:t> </w:t>
      </w:r>
      <w:r>
        <w:rPr>
          <w:sz w:val="24"/>
        </w:rPr>
        <w:t>separate</w:t>
      </w:r>
      <w:r>
        <w:rPr>
          <w:spacing w:val="40"/>
          <w:sz w:val="24"/>
        </w:rPr>
        <w:t> </w:t>
      </w:r>
      <w:r>
        <w:rPr>
          <w:sz w:val="24"/>
        </w:rPr>
        <w:t>building.</w:t>
      </w:r>
    </w:p>
    <w:p>
      <w:pPr>
        <w:pStyle w:val="ListParagraph"/>
        <w:numPr>
          <w:ilvl w:val="1"/>
          <w:numId w:val="91"/>
        </w:numPr>
        <w:tabs>
          <w:tab w:pos="2193" w:val="left" w:leader="none"/>
        </w:tabs>
        <w:spacing w:line="240" w:lineRule="auto" w:before="159" w:after="0"/>
        <w:ind w:left="1800" w:right="1102" w:firstLine="0"/>
        <w:jc w:val="both"/>
        <w:rPr>
          <w:sz w:val="24"/>
        </w:rPr>
      </w:pPr>
      <w:r>
        <w:rPr>
          <w:sz w:val="24"/>
        </w:rPr>
        <w:t>The</w:t>
      </w:r>
      <w:r>
        <w:rPr>
          <w:spacing w:val="40"/>
          <w:sz w:val="24"/>
        </w:rPr>
        <w:t> </w:t>
      </w:r>
      <w:r>
        <w:rPr>
          <w:sz w:val="24"/>
        </w:rPr>
        <w:t>owner</w:t>
      </w:r>
      <w:r>
        <w:rPr>
          <w:spacing w:val="40"/>
          <w:sz w:val="24"/>
        </w:rPr>
        <w:t> </w:t>
      </w:r>
      <w:r>
        <w:rPr>
          <w:sz w:val="24"/>
        </w:rPr>
        <w:t>shall</w:t>
      </w:r>
      <w:r>
        <w:rPr>
          <w:spacing w:val="40"/>
          <w:sz w:val="24"/>
        </w:rPr>
        <w:t> </w:t>
      </w:r>
      <w:r>
        <w:rPr>
          <w:sz w:val="24"/>
        </w:rPr>
        <w:t>be</w:t>
      </w:r>
      <w:r>
        <w:rPr>
          <w:spacing w:val="40"/>
          <w:sz w:val="24"/>
        </w:rPr>
        <w:t> </w:t>
      </w:r>
      <w:r>
        <w:rPr>
          <w:sz w:val="24"/>
        </w:rPr>
        <w:t>entitled</w:t>
      </w:r>
      <w:r>
        <w:rPr>
          <w:spacing w:val="40"/>
          <w:sz w:val="24"/>
        </w:rPr>
        <w:t> </w:t>
      </w:r>
      <w:r>
        <w:rPr>
          <w:sz w:val="24"/>
        </w:rPr>
        <w:t>for</w:t>
      </w:r>
      <w:r>
        <w:rPr>
          <w:spacing w:val="40"/>
          <w:sz w:val="24"/>
        </w:rPr>
        <w:t> </w:t>
      </w:r>
      <w:r>
        <w:rPr>
          <w:sz w:val="24"/>
        </w:rPr>
        <w:t>the</w:t>
      </w:r>
      <w:r>
        <w:rPr>
          <w:spacing w:val="40"/>
          <w:sz w:val="24"/>
        </w:rPr>
        <w:t> </w:t>
      </w:r>
      <w:r>
        <w:rPr>
          <w:sz w:val="24"/>
        </w:rPr>
        <w:t>development</w:t>
      </w:r>
      <w:r>
        <w:rPr>
          <w:spacing w:val="40"/>
          <w:sz w:val="24"/>
        </w:rPr>
        <w:t> </w:t>
      </w:r>
      <w:r>
        <w:rPr>
          <w:sz w:val="24"/>
        </w:rPr>
        <w:t>of</w:t>
      </w:r>
      <w:r>
        <w:rPr>
          <w:spacing w:val="40"/>
          <w:sz w:val="24"/>
        </w:rPr>
        <w:t> </w:t>
      </w:r>
      <w:r>
        <w:rPr>
          <w:sz w:val="24"/>
        </w:rPr>
        <w:t>the</w:t>
      </w:r>
      <w:r>
        <w:rPr>
          <w:spacing w:val="40"/>
          <w:sz w:val="24"/>
        </w:rPr>
        <w:t> </w:t>
      </w:r>
      <w:r>
        <w:rPr>
          <w:sz w:val="24"/>
        </w:rPr>
        <w:t>balance plot</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these</w:t>
      </w:r>
      <w:r>
        <w:rPr>
          <w:spacing w:val="40"/>
          <w:sz w:val="24"/>
        </w:rPr>
        <w:t> </w:t>
      </w:r>
      <w:r>
        <w:rPr>
          <w:sz w:val="24"/>
        </w:rPr>
        <w:t>Regulations.</w:t>
      </w:r>
    </w:p>
    <w:p>
      <w:pPr>
        <w:pStyle w:val="Heading6"/>
        <w:spacing w:line="276" w:lineRule="auto" w:before="237"/>
        <w:ind w:left="1080" w:right="1088"/>
        <w:jc w:val="both"/>
        <w:rPr>
          <w:sz w:val="28"/>
        </w:rPr>
      </w:pPr>
      <w:r>
        <w:rPr>
          <w:sz w:val="28"/>
        </w:rPr>
        <w:t>17(3) N</w:t>
      </w:r>
      <w:r>
        <w:rPr/>
        <w:t>ot withstanding anything contained in these Regulations Development of Reserved land falling under the various provisions of Regulation No. 33 shall be as under</w:t>
      </w:r>
      <w:r>
        <w:rPr>
          <w:sz w:val="28"/>
        </w:rPr>
        <w:t>:</w:t>
      </w:r>
    </w:p>
    <w:p>
      <w:pPr>
        <w:pStyle w:val="ListParagraph"/>
        <w:numPr>
          <w:ilvl w:val="0"/>
          <w:numId w:val="92"/>
        </w:numPr>
        <w:tabs>
          <w:tab w:pos="1374" w:val="left" w:leader="none"/>
        </w:tabs>
        <w:spacing w:line="276" w:lineRule="auto" w:before="199" w:after="0"/>
        <w:ind w:left="1080" w:right="1078" w:firstLine="0"/>
        <w:jc w:val="both"/>
        <w:rPr>
          <w:b/>
          <w:i/>
          <w:sz w:val="22"/>
        </w:rPr>
      </w:pPr>
      <w:r>
        <w:rPr>
          <w:b/>
          <w:i/>
          <w:sz w:val="24"/>
        </w:rPr>
        <w:t>Development of reservation in Development/Redevelopment of Housing Schemes of Maharashtra Housing &amp; Area Development Authority (MHADA) under Regulation No. 33(5)</w:t>
      </w:r>
    </w:p>
    <w:p>
      <w:pPr>
        <w:pStyle w:val="BodyText"/>
        <w:spacing w:before="204"/>
        <w:ind w:left="1080"/>
      </w:pPr>
      <w:r>
        <w:rPr/>
        <w:t>All</w:t>
      </w:r>
      <w:r>
        <w:rPr>
          <w:spacing w:val="-4"/>
        </w:rPr>
        <w:t> </w:t>
      </w:r>
      <w:r>
        <w:rPr/>
        <w:t>reservation</w:t>
      </w:r>
      <w:r>
        <w:rPr>
          <w:spacing w:val="-3"/>
        </w:rPr>
        <w:t> </w:t>
      </w:r>
      <w:r>
        <w:rPr/>
        <w:t>to</w:t>
      </w:r>
      <w:r>
        <w:rPr>
          <w:spacing w:val="-3"/>
        </w:rPr>
        <w:t> </w:t>
      </w:r>
      <w:r>
        <w:rPr/>
        <w:t>be</w:t>
      </w:r>
      <w:r>
        <w:rPr>
          <w:spacing w:val="-3"/>
        </w:rPr>
        <w:t> </w:t>
      </w:r>
      <w:r>
        <w:rPr/>
        <w:t>developed</w:t>
      </w:r>
      <w:r>
        <w:rPr>
          <w:spacing w:val="-4"/>
        </w:rPr>
        <w:t> </w:t>
      </w:r>
      <w:r>
        <w:rPr/>
        <w:t>entirely</w:t>
      </w:r>
      <w:r>
        <w:rPr>
          <w:spacing w:val="-3"/>
        </w:rPr>
        <w:t> </w:t>
      </w:r>
      <w:r>
        <w:rPr/>
        <w:t>for</w:t>
      </w:r>
      <w:r>
        <w:rPr>
          <w:spacing w:val="-3"/>
        </w:rPr>
        <w:t> </w:t>
      </w:r>
      <w:r>
        <w:rPr/>
        <w:t>intended</w:t>
      </w:r>
      <w:r>
        <w:rPr>
          <w:spacing w:val="-3"/>
        </w:rPr>
        <w:t> </w:t>
      </w:r>
      <w:r>
        <w:rPr>
          <w:spacing w:val="-2"/>
        </w:rPr>
        <w:t>purpose.</w:t>
      </w:r>
    </w:p>
    <w:p>
      <w:pPr>
        <w:pStyle w:val="BodyText"/>
        <w:spacing w:after="0"/>
        <w:sectPr>
          <w:pgSz w:w="11910" w:h="16840"/>
          <w:pgMar w:header="746" w:footer="968" w:top="1180" w:bottom="1160" w:left="360" w:right="360"/>
        </w:sectPr>
      </w:pPr>
    </w:p>
    <w:p>
      <w:pPr>
        <w:pStyle w:val="Heading6"/>
        <w:numPr>
          <w:ilvl w:val="0"/>
          <w:numId w:val="92"/>
        </w:numPr>
        <w:tabs>
          <w:tab w:pos="1458" w:val="left" w:leader="none"/>
        </w:tabs>
        <w:spacing w:line="278" w:lineRule="auto" w:before="246" w:after="0"/>
        <w:ind w:left="1080" w:right="1076" w:firstLine="81"/>
        <w:jc w:val="both"/>
        <w:rPr>
          <w:sz w:val="22"/>
        </w:rPr>
      </w:pPr>
      <w:r>
        <w:rPr/>
        <w:t>Development of reservation in Reconstruction or redevelopment of cessed</w:t>
      </w:r>
      <w:r>
        <w:rPr>
          <w:spacing w:val="-9"/>
        </w:rPr>
        <w:t> </w:t>
      </w:r>
      <w:r>
        <w:rPr/>
        <w:t>buildings</w:t>
      </w:r>
      <w:r>
        <w:rPr>
          <w:spacing w:val="-9"/>
        </w:rPr>
        <w:t> </w:t>
      </w:r>
      <w:r>
        <w:rPr/>
        <w:t>in</w:t>
      </w:r>
      <w:r>
        <w:rPr>
          <w:spacing w:val="-9"/>
        </w:rPr>
        <w:t> </w:t>
      </w:r>
      <w:r>
        <w:rPr/>
        <w:t>the</w:t>
      </w:r>
      <w:r>
        <w:rPr>
          <w:spacing w:val="-9"/>
        </w:rPr>
        <w:t> </w:t>
      </w:r>
      <w:r>
        <w:rPr/>
        <w:t>Island</w:t>
      </w:r>
      <w:r>
        <w:rPr>
          <w:spacing w:val="-9"/>
        </w:rPr>
        <w:t> </w:t>
      </w:r>
      <w:r>
        <w:rPr/>
        <w:t>City</w:t>
      </w:r>
      <w:r>
        <w:rPr>
          <w:spacing w:val="-9"/>
        </w:rPr>
        <w:t> </w:t>
      </w:r>
      <w:r>
        <w:rPr/>
        <w:t>by</w:t>
      </w:r>
      <w:r>
        <w:rPr>
          <w:spacing w:val="-11"/>
        </w:rPr>
        <w:t> </w:t>
      </w:r>
      <w:r>
        <w:rPr/>
        <w:t>Co-operative</w:t>
      </w:r>
      <w:r>
        <w:rPr>
          <w:spacing w:val="-9"/>
        </w:rPr>
        <w:t> </w:t>
      </w:r>
      <w:r>
        <w:rPr/>
        <w:t>Housing</w:t>
      </w:r>
      <w:r>
        <w:rPr>
          <w:spacing w:val="-9"/>
        </w:rPr>
        <w:t> </w:t>
      </w:r>
      <w:r>
        <w:rPr/>
        <w:t>Societies</w:t>
      </w:r>
      <w:r>
        <w:rPr>
          <w:spacing w:val="-9"/>
        </w:rPr>
        <w:t> </w:t>
      </w:r>
      <w:r>
        <w:rPr/>
        <w:t>or of</w:t>
      </w:r>
      <w:r>
        <w:rPr>
          <w:spacing w:val="-21"/>
        </w:rPr>
        <w:t> </w:t>
      </w:r>
      <w:r>
        <w:rPr/>
        <w:t>old</w:t>
      </w:r>
      <w:r>
        <w:rPr>
          <w:spacing w:val="-20"/>
        </w:rPr>
        <w:t> </w:t>
      </w:r>
      <w:r>
        <w:rPr/>
        <w:t>buildings</w:t>
      </w:r>
      <w:r>
        <w:rPr>
          <w:spacing w:val="-21"/>
        </w:rPr>
        <w:t> </w:t>
      </w:r>
      <w:r>
        <w:rPr/>
        <w:t>belonging</w:t>
      </w:r>
      <w:r>
        <w:rPr>
          <w:spacing w:val="-20"/>
        </w:rPr>
        <w:t> </w:t>
      </w:r>
      <w:r>
        <w:rPr/>
        <w:t>to</w:t>
      </w:r>
      <w:r>
        <w:rPr>
          <w:spacing w:val="-20"/>
        </w:rPr>
        <w:t> </w:t>
      </w:r>
      <w:r>
        <w:rPr/>
        <w:t>the</w:t>
      </w:r>
      <w:r>
        <w:rPr>
          <w:spacing w:val="-21"/>
        </w:rPr>
        <w:t> </w:t>
      </w:r>
      <w:r>
        <w:rPr/>
        <w:t>Corporation</w:t>
      </w:r>
      <w:r>
        <w:rPr>
          <w:spacing w:val="-20"/>
        </w:rPr>
        <w:t> </w:t>
      </w:r>
      <w:r>
        <w:rPr/>
        <w:t>under</w:t>
      </w:r>
      <w:r>
        <w:rPr>
          <w:spacing w:val="-21"/>
        </w:rPr>
        <w:t> </w:t>
      </w:r>
      <w:r>
        <w:rPr/>
        <w:t>Regulation</w:t>
      </w:r>
      <w:r>
        <w:rPr>
          <w:spacing w:val="-20"/>
        </w:rPr>
        <w:t> </w:t>
      </w:r>
      <w:r>
        <w:rPr/>
        <w:t>No.</w:t>
      </w:r>
      <w:r>
        <w:rPr>
          <w:spacing w:val="-20"/>
        </w:rPr>
        <w:t> </w:t>
      </w:r>
      <w:r>
        <w:rPr/>
        <w:t>33(7)</w:t>
      </w:r>
    </w:p>
    <w:p>
      <w:pPr>
        <w:pStyle w:val="ListParagraph"/>
        <w:numPr>
          <w:ilvl w:val="0"/>
          <w:numId w:val="93"/>
        </w:numPr>
        <w:tabs>
          <w:tab w:pos="1429" w:val="left" w:leader="none"/>
        </w:tabs>
        <w:spacing w:line="240" w:lineRule="auto" w:before="196" w:after="0"/>
        <w:ind w:left="1080" w:right="1078" w:firstLine="0"/>
        <w:jc w:val="both"/>
        <w:rPr>
          <w:sz w:val="24"/>
        </w:rPr>
      </w:pPr>
      <w:r>
        <w:rPr>
          <w:sz w:val="24"/>
        </w:rPr>
        <w:t>Redevelopment/reconstruction</w:t>
      </w:r>
      <w:r>
        <w:rPr>
          <w:spacing w:val="-20"/>
          <w:sz w:val="24"/>
        </w:rPr>
        <w:t> </w:t>
      </w:r>
      <w:r>
        <w:rPr>
          <w:sz w:val="24"/>
        </w:rPr>
        <w:t>in</w:t>
      </w:r>
      <w:r>
        <w:rPr>
          <w:spacing w:val="-19"/>
          <w:sz w:val="24"/>
        </w:rPr>
        <w:t> </w:t>
      </w:r>
      <w:r>
        <w:rPr>
          <w:sz w:val="24"/>
        </w:rPr>
        <w:t>any</w:t>
      </w:r>
      <w:r>
        <w:rPr>
          <w:spacing w:val="-19"/>
          <w:sz w:val="24"/>
        </w:rPr>
        <w:t> </w:t>
      </w:r>
      <w:r>
        <w:rPr>
          <w:sz w:val="24"/>
        </w:rPr>
        <w:t>zone</w:t>
      </w:r>
      <w:r>
        <w:rPr>
          <w:spacing w:val="-19"/>
          <w:sz w:val="24"/>
        </w:rPr>
        <w:t> </w:t>
      </w:r>
      <w:r>
        <w:rPr>
          <w:sz w:val="24"/>
        </w:rPr>
        <w:t>shall</w:t>
      </w:r>
      <w:r>
        <w:rPr>
          <w:spacing w:val="-19"/>
          <w:sz w:val="24"/>
        </w:rPr>
        <w:t> </w:t>
      </w:r>
      <w:r>
        <w:rPr>
          <w:sz w:val="24"/>
        </w:rPr>
        <w:t>be</w:t>
      </w:r>
      <w:r>
        <w:rPr>
          <w:spacing w:val="-20"/>
          <w:sz w:val="24"/>
        </w:rPr>
        <w:t> </w:t>
      </w:r>
      <w:r>
        <w:rPr>
          <w:sz w:val="24"/>
        </w:rPr>
        <w:t>allowed</w:t>
      </w:r>
      <w:r>
        <w:rPr>
          <w:spacing w:val="-19"/>
          <w:sz w:val="24"/>
        </w:rPr>
        <w:t> </w:t>
      </w:r>
      <w:r>
        <w:rPr>
          <w:sz w:val="24"/>
        </w:rPr>
        <w:t>on</w:t>
      </w:r>
      <w:r>
        <w:rPr>
          <w:spacing w:val="-19"/>
          <w:sz w:val="24"/>
        </w:rPr>
        <w:t> </w:t>
      </w:r>
      <w:r>
        <w:rPr>
          <w:sz w:val="24"/>
        </w:rPr>
        <w:t>site</w:t>
      </w:r>
      <w:r>
        <w:rPr>
          <w:spacing w:val="-19"/>
          <w:sz w:val="24"/>
        </w:rPr>
        <w:t> </w:t>
      </w:r>
      <w:r>
        <w:rPr>
          <w:sz w:val="24"/>
        </w:rPr>
        <w:t>without going through the process of change of zone. For the Industrial user, the existing</w:t>
      </w:r>
      <w:r>
        <w:rPr>
          <w:spacing w:val="-7"/>
          <w:sz w:val="24"/>
        </w:rPr>
        <w:t> </w:t>
      </w:r>
      <w:r>
        <w:rPr>
          <w:sz w:val="24"/>
        </w:rPr>
        <w:t>segregating</w:t>
      </w:r>
      <w:r>
        <w:rPr>
          <w:spacing w:val="-9"/>
          <w:sz w:val="24"/>
        </w:rPr>
        <w:t> </w:t>
      </w:r>
      <w:r>
        <w:rPr>
          <w:sz w:val="24"/>
        </w:rPr>
        <w:t>distance</w:t>
      </w:r>
      <w:r>
        <w:rPr>
          <w:spacing w:val="-7"/>
          <w:sz w:val="24"/>
        </w:rPr>
        <w:t> </w:t>
      </w:r>
      <w:r>
        <w:rPr>
          <w:sz w:val="24"/>
        </w:rPr>
        <w:t>shall</w:t>
      </w:r>
      <w:r>
        <w:rPr>
          <w:spacing w:val="-7"/>
          <w:sz w:val="24"/>
        </w:rPr>
        <w:t> </w:t>
      </w:r>
      <w:r>
        <w:rPr>
          <w:sz w:val="24"/>
        </w:rPr>
        <w:t>be</w:t>
      </w:r>
      <w:r>
        <w:rPr>
          <w:spacing w:val="-7"/>
          <w:sz w:val="24"/>
        </w:rPr>
        <w:t> </w:t>
      </w:r>
      <w:r>
        <w:rPr>
          <w:sz w:val="24"/>
        </w:rPr>
        <w:t>maintained</w:t>
      </w:r>
      <w:r>
        <w:rPr>
          <w:spacing w:val="-7"/>
          <w:sz w:val="24"/>
        </w:rPr>
        <w:t> </w:t>
      </w:r>
      <w:r>
        <w:rPr>
          <w:sz w:val="24"/>
        </w:rPr>
        <w:t>from</w:t>
      </w:r>
      <w:r>
        <w:rPr>
          <w:spacing w:val="-7"/>
          <w:sz w:val="24"/>
        </w:rPr>
        <w:t> </w:t>
      </w:r>
      <w:r>
        <w:rPr>
          <w:sz w:val="24"/>
        </w:rPr>
        <w:t>the</w:t>
      </w:r>
      <w:r>
        <w:rPr>
          <w:spacing w:val="-7"/>
          <w:sz w:val="24"/>
        </w:rPr>
        <w:t> </w:t>
      </w:r>
      <w:r>
        <w:rPr>
          <w:sz w:val="24"/>
        </w:rPr>
        <w:t>existing</w:t>
      </w:r>
      <w:r>
        <w:rPr>
          <w:spacing w:val="-7"/>
          <w:sz w:val="24"/>
        </w:rPr>
        <w:t> </w:t>
      </w:r>
      <w:r>
        <w:rPr>
          <w:sz w:val="24"/>
        </w:rPr>
        <w:t>industrial </w:t>
      </w:r>
      <w:r>
        <w:rPr>
          <w:spacing w:val="-2"/>
          <w:sz w:val="24"/>
        </w:rPr>
        <w:t>unit.</w:t>
      </w:r>
    </w:p>
    <w:p>
      <w:pPr>
        <w:pStyle w:val="ListParagraph"/>
        <w:numPr>
          <w:ilvl w:val="0"/>
          <w:numId w:val="93"/>
        </w:numPr>
        <w:tabs>
          <w:tab w:pos="1449" w:val="left" w:leader="none"/>
        </w:tabs>
        <w:spacing w:line="276" w:lineRule="auto" w:before="239" w:after="0"/>
        <w:ind w:left="1080" w:right="1132" w:firstLine="0"/>
        <w:jc w:val="left"/>
        <w:rPr>
          <w:sz w:val="24"/>
        </w:rPr>
      </w:pPr>
      <w:r>
        <w:rPr>
          <w:sz w:val="24"/>
        </w:rPr>
        <w:t>Notwithstanding anything contained in these regulations, in case of redevelopment</w:t>
      </w:r>
      <w:r>
        <w:rPr>
          <w:spacing w:val="-5"/>
          <w:sz w:val="24"/>
        </w:rPr>
        <w:t> </w:t>
      </w:r>
      <w:r>
        <w:rPr>
          <w:sz w:val="24"/>
        </w:rPr>
        <w:t>of</w:t>
      </w:r>
      <w:r>
        <w:rPr>
          <w:spacing w:val="-5"/>
          <w:sz w:val="24"/>
        </w:rPr>
        <w:t> </w:t>
      </w:r>
      <w:r>
        <w:rPr>
          <w:sz w:val="24"/>
        </w:rPr>
        <w:t>plot/(s)</w:t>
      </w:r>
      <w:r>
        <w:rPr>
          <w:spacing w:val="-5"/>
          <w:sz w:val="24"/>
        </w:rPr>
        <w:t> </w:t>
      </w:r>
      <w:r>
        <w:rPr>
          <w:sz w:val="24"/>
        </w:rPr>
        <w:t>having</w:t>
      </w:r>
      <w:r>
        <w:rPr>
          <w:spacing w:val="-5"/>
          <w:sz w:val="24"/>
        </w:rPr>
        <w:t> </w:t>
      </w:r>
      <w:r>
        <w:rPr>
          <w:sz w:val="24"/>
        </w:rPr>
        <w:t>cessed</w:t>
      </w:r>
      <w:r>
        <w:rPr>
          <w:spacing w:val="-5"/>
          <w:sz w:val="24"/>
        </w:rPr>
        <w:t> </w:t>
      </w:r>
      <w:r>
        <w:rPr>
          <w:sz w:val="24"/>
        </w:rPr>
        <w:t>structures/s</w:t>
      </w:r>
      <w:r>
        <w:rPr>
          <w:spacing w:val="-5"/>
          <w:sz w:val="24"/>
        </w:rPr>
        <w:t> </w:t>
      </w:r>
      <w:r>
        <w:rPr>
          <w:sz w:val="24"/>
        </w:rPr>
        <w:t>and</w:t>
      </w:r>
      <w:r>
        <w:rPr>
          <w:spacing w:val="-5"/>
          <w:sz w:val="24"/>
        </w:rPr>
        <w:t> </w:t>
      </w:r>
      <w:r>
        <w:rPr>
          <w:sz w:val="24"/>
        </w:rPr>
        <w:t>having</w:t>
      </w:r>
      <w:r>
        <w:rPr>
          <w:spacing w:val="-5"/>
          <w:sz w:val="24"/>
        </w:rPr>
        <w:t> </w:t>
      </w:r>
      <w:r>
        <w:rPr>
          <w:sz w:val="24"/>
        </w:rPr>
        <w:t>reservation in the DP, the land component of the said cessed structure as per Zonal (basic) FSI shall be deemed to have been</w:t>
      </w:r>
      <w:r>
        <w:rPr>
          <w:spacing w:val="40"/>
          <w:sz w:val="24"/>
        </w:rPr>
        <w:t> </w:t>
      </w:r>
      <w:r>
        <w:rPr>
          <w:sz w:val="24"/>
        </w:rPr>
        <w:t>automatically deleted from </w:t>
      </w:r>
      <w:r>
        <w:rPr>
          <w:spacing w:val="-2"/>
          <w:sz w:val="24"/>
        </w:rPr>
        <w:t>reservation.</w:t>
      </w:r>
    </w:p>
    <w:p>
      <w:pPr>
        <w:pStyle w:val="BodyText"/>
        <w:spacing w:line="276" w:lineRule="auto" w:before="200"/>
        <w:ind w:left="1080" w:right="1080" w:firstLine="614"/>
      </w:pPr>
      <w:r>
        <w:rPr/>
        <w:t>The</w:t>
      </w:r>
      <w:r>
        <w:rPr>
          <w:spacing w:val="-9"/>
        </w:rPr>
        <w:t> </w:t>
      </w:r>
      <w:r>
        <w:rPr/>
        <w:t>reservation</w:t>
      </w:r>
      <w:r>
        <w:rPr>
          <w:spacing w:val="-7"/>
        </w:rPr>
        <w:t> </w:t>
      </w:r>
      <w:r>
        <w:rPr/>
        <w:t>area</w:t>
      </w:r>
      <w:r>
        <w:rPr>
          <w:spacing w:val="-9"/>
        </w:rPr>
        <w:t> </w:t>
      </w:r>
      <w:r>
        <w:rPr/>
        <w:t>beyond</w:t>
      </w:r>
      <w:r>
        <w:rPr>
          <w:spacing w:val="-9"/>
        </w:rPr>
        <w:t> </w:t>
      </w:r>
      <w:r>
        <w:rPr/>
        <w:t>the</w:t>
      </w:r>
      <w:r>
        <w:rPr>
          <w:spacing w:val="-9"/>
        </w:rPr>
        <w:t> </w:t>
      </w:r>
      <w:r>
        <w:rPr/>
        <w:t>land</w:t>
      </w:r>
      <w:r>
        <w:rPr>
          <w:spacing w:val="-9"/>
        </w:rPr>
        <w:t> </w:t>
      </w:r>
      <w:r>
        <w:rPr/>
        <w:t>component</w:t>
      </w:r>
      <w:r>
        <w:rPr>
          <w:spacing w:val="-9"/>
        </w:rPr>
        <w:t> </w:t>
      </w:r>
      <w:r>
        <w:rPr/>
        <w:t>of</w:t>
      </w:r>
      <w:r>
        <w:rPr>
          <w:spacing w:val="-9"/>
        </w:rPr>
        <w:t> </w:t>
      </w:r>
      <w:r>
        <w:rPr/>
        <w:t>cessed</w:t>
      </w:r>
      <w:r>
        <w:rPr>
          <w:spacing w:val="-9"/>
        </w:rPr>
        <w:t> </w:t>
      </w:r>
      <w:r>
        <w:rPr/>
        <w:t>structures/s may be developed as per provision of Regulation 17(1) under the principle ‘Accommodation Reservation’ for the intended purposes. (3)In case of reconstruction/redevelopment</w:t>
      </w:r>
      <w:r>
        <w:rPr>
          <w:spacing w:val="80"/>
        </w:rPr>
        <w:t> </w:t>
      </w:r>
      <w:r>
        <w:rPr/>
        <w:t>of</w:t>
      </w:r>
      <w:r>
        <w:rPr>
          <w:spacing w:val="80"/>
        </w:rPr>
        <w:t> </w:t>
      </w:r>
      <w:r>
        <w:rPr/>
        <w:t>building</w:t>
      </w:r>
      <w:r>
        <w:rPr>
          <w:spacing w:val="80"/>
        </w:rPr>
        <w:t> </w:t>
      </w:r>
      <w:r>
        <w:rPr/>
        <w:t>of</w:t>
      </w:r>
      <w:r>
        <w:rPr>
          <w:spacing w:val="80"/>
        </w:rPr>
        <w:t> </w:t>
      </w:r>
      <w:r>
        <w:rPr/>
        <w:t>Corporation,</w:t>
      </w:r>
      <w:r>
        <w:rPr>
          <w:spacing w:val="80"/>
        </w:rPr>
        <w:t> </w:t>
      </w:r>
      <w:r>
        <w:rPr/>
        <w:t>for</w:t>
      </w:r>
      <w:r>
        <w:rPr>
          <w:spacing w:val="80"/>
        </w:rPr>
        <w:t> </w:t>
      </w:r>
      <w:r>
        <w:rPr/>
        <w:t>the</w:t>
      </w:r>
      <w:r>
        <w:rPr>
          <w:spacing w:val="80"/>
        </w:rPr>
        <w:t> </w:t>
      </w:r>
      <w:r>
        <w:rPr>
          <w:spacing w:val="9"/>
        </w:rPr>
        <w:t>area</w:t>
      </w:r>
      <w:r>
        <w:rPr>
          <w:spacing w:val="40"/>
        </w:rPr>
        <w:t> </w:t>
      </w:r>
      <w:r>
        <w:rPr/>
        <w:t>of</w:t>
      </w:r>
      <w:r>
        <w:rPr>
          <w:spacing w:val="40"/>
        </w:rPr>
        <w:t> </w:t>
      </w:r>
      <w:r>
        <w:rPr/>
        <w:t>plot</w:t>
      </w:r>
      <w:r>
        <w:rPr>
          <w:spacing w:val="40"/>
        </w:rPr>
        <w:t> </w:t>
      </w:r>
      <w:r>
        <w:rPr/>
        <w:t>having</w:t>
      </w:r>
      <w:r>
        <w:rPr>
          <w:spacing w:val="80"/>
        </w:rPr>
        <w:t> </w:t>
      </w:r>
      <w:r>
        <w:rPr/>
        <w:t>no</w:t>
      </w:r>
      <w:r>
        <w:rPr>
          <w:spacing w:val="80"/>
        </w:rPr>
        <w:t> </w:t>
      </w:r>
      <w:r>
        <w:rPr/>
        <w:t>reservation</w:t>
      </w:r>
      <w:r>
        <w:rPr>
          <w:spacing w:val="80"/>
        </w:rPr>
        <w:t> </w:t>
      </w:r>
      <w:r>
        <w:rPr/>
        <w:t>or</w:t>
      </w:r>
      <w:r>
        <w:rPr>
          <w:spacing w:val="80"/>
        </w:rPr>
        <w:t> </w:t>
      </w:r>
      <w:r>
        <w:rPr/>
        <w:t>having</w:t>
      </w:r>
      <w:r>
        <w:rPr>
          <w:spacing w:val="80"/>
        </w:rPr>
        <w:t> </w:t>
      </w:r>
      <w:r>
        <w:rPr/>
        <w:t>designation</w:t>
      </w:r>
      <w:r>
        <w:rPr>
          <w:spacing w:val="80"/>
        </w:rPr>
        <w:t> </w:t>
      </w:r>
      <w:r>
        <w:rPr/>
        <w:t>of</w:t>
      </w:r>
      <w:r>
        <w:rPr>
          <w:spacing w:val="80"/>
        </w:rPr>
        <w:t> </w:t>
      </w:r>
      <w:r>
        <w:rPr/>
        <w:t>Municipal Housing,</w:t>
      </w:r>
      <w:r>
        <w:rPr>
          <w:spacing w:val="40"/>
        </w:rPr>
        <w:t> </w:t>
      </w:r>
      <w:r>
        <w:rPr/>
        <w:t>the</w:t>
      </w:r>
      <w:r>
        <w:rPr>
          <w:spacing w:val="40"/>
        </w:rPr>
        <w:t> </w:t>
      </w:r>
      <w:r>
        <w:rPr/>
        <w:t>BUA</w:t>
      </w:r>
      <w:r>
        <w:rPr>
          <w:spacing w:val="40"/>
        </w:rPr>
        <w:t> </w:t>
      </w:r>
      <w:r>
        <w:rPr/>
        <w:t>equal</w:t>
      </w:r>
      <w:r>
        <w:rPr>
          <w:spacing w:val="40"/>
        </w:rPr>
        <w:t> </w:t>
      </w:r>
      <w:r>
        <w:rPr/>
        <w:t>to</w:t>
      </w:r>
      <w:r>
        <w:rPr>
          <w:spacing w:val="40"/>
        </w:rPr>
        <w:t> </w:t>
      </w:r>
      <w:r>
        <w:rPr/>
        <w:t>25%</w:t>
      </w:r>
      <w:r>
        <w:rPr>
          <w:spacing w:val="40"/>
        </w:rPr>
        <w:t> </w:t>
      </w:r>
      <w:r>
        <w:rPr/>
        <w:t>of</w:t>
      </w:r>
      <w:r>
        <w:rPr>
          <w:spacing w:val="40"/>
        </w:rPr>
        <w:t> </w:t>
      </w:r>
      <w:r>
        <w:rPr/>
        <w:t>such</w:t>
      </w:r>
      <w:r>
        <w:rPr>
          <w:spacing w:val="40"/>
        </w:rPr>
        <w:t> </w:t>
      </w:r>
      <w:r>
        <w:rPr/>
        <w:t>plot</w:t>
      </w:r>
      <w:r>
        <w:rPr>
          <w:spacing w:val="40"/>
        </w:rPr>
        <w:t> </w:t>
      </w:r>
      <w:r>
        <w:rPr/>
        <w:t>area</w:t>
      </w:r>
      <w:r>
        <w:rPr>
          <w:spacing w:val="40"/>
        </w:rPr>
        <w:t> </w:t>
      </w:r>
      <w:r>
        <w:rPr/>
        <w:t>as</w:t>
      </w:r>
      <w:r>
        <w:rPr>
          <w:spacing w:val="40"/>
        </w:rPr>
        <w:t> </w:t>
      </w:r>
      <w:r>
        <w:rPr/>
        <w:t>per</w:t>
      </w:r>
      <w:r>
        <w:rPr>
          <w:spacing w:val="40"/>
        </w:rPr>
        <w:t> </w:t>
      </w:r>
      <w:r>
        <w:rPr/>
        <w:t>Zonal</w:t>
      </w:r>
      <w:r>
        <w:rPr>
          <w:spacing w:val="40"/>
        </w:rPr>
        <w:t> </w:t>
      </w:r>
      <w:r>
        <w:rPr/>
        <w:t>(basic) FSI in the form of tenements</w:t>
      </w:r>
      <w:r>
        <w:rPr>
          <w:spacing w:val="40"/>
        </w:rPr>
        <w:t> </w:t>
      </w:r>
      <w:r>
        <w:rPr/>
        <w:t>or premium as decided by the Municipal Commissioner</w:t>
      </w:r>
      <w:r>
        <w:rPr>
          <w:spacing w:val="80"/>
          <w:w w:val="150"/>
        </w:rPr>
        <w:t> </w:t>
      </w:r>
      <w:r>
        <w:rPr/>
        <w:t>in</w:t>
      </w:r>
      <w:r>
        <w:rPr>
          <w:spacing w:val="40"/>
        </w:rPr>
        <w:t> </w:t>
      </w:r>
      <w:r>
        <w:rPr/>
        <w:t>lieu</w:t>
      </w:r>
      <w:r>
        <w:rPr>
          <w:spacing w:val="40"/>
        </w:rPr>
        <w:t> </w:t>
      </w:r>
      <w:r>
        <w:rPr/>
        <w:t>of</w:t>
      </w:r>
      <w:r>
        <w:rPr>
          <w:spacing w:val="40"/>
        </w:rPr>
        <w:t> </w:t>
      </w:r>
      <w:r>
        <w:rPr/>
        <w:t>said</w:t>
      </w:r>
      <w:r>
        <w:rPr>
          <w:spacing w:val="40"/>
        </w:rPr>
        <w:t> </w:t>
      </w:r>
      <w:r>
        <w:rPr/>
        <w:t>tenements</w:t>
      </w:r>
      <w:r>
        <w:rPr>
          <w:spacing w:val="40"/>
        </w:rPr>
        <w:t> </w:t>
      </w:r>
      <w:r>
        <w:rPr/>
        <w:t>shall</w:t>
      </w:r>
      <w:r>
        <w:rPr>
          <w:spacing w:val="40"/>
        </w:rPr>
        <w:t> </w:t>
      </w:r>
      <w:r>
        <w:rPr/>
        <w:t>be</w:t>
      </w:r>
      <w:r>
        <w:rPr>
          <w:spacing w:val="40"/>
        </w:rPr>
        <w:t> </w:t>
      </w:r>
      <w:r>
        <w:rPr/>
        <w:t>made</w:t>
      </w:r>
      <w:r>
        <w:rPr>
          <w:spacing w:val="40"/>
        </w:rPr>
        <w:t> </w:t>
      </w:r>
      <w:r>
        <w:rPr/>
        <w:t>available</w:t>
      </w:r>
      <w:r>
        <w:rPr>
          <w:spacing w:val="40"/>
        </w:rPr>
        <w:t> </w:t>
      </w:r>
      <w:r>
        <w:rPr/>
        <w:t>to MCGM and the developer shall be entitled to BUA in lieu of cost of construction against handing over of built up amenity as per Note (d) of Regulation 17(1) (4) Notwithstanding anything contained in any of these Regulations reconstruction/redevelopment of buildings of Corporation existing prior to 30.09.1969, falling under reservation in Development Plan shall be permitted as under</w:t>
      </w:r>
    </w:p>
    <w:p>
      <w:pPr>
        <w:pStyle w:val="ListParagraph"/>
        <w:numPr>
          <w:ilvl w:val="1"/>
          <w:numId w:val="93"/>
        </w:numPr>
        <w:tabs>
          <w:tab w:pos="1369" w:val="left" w:leader="none"/>
        </w:tabs>
        <w:spacing w:line="276" w:lineRule="auto" w:before="200" w:after="0"/>
        <w:ind w:left="1080" w:right="1081" w:firstLine="0"/>
        <w:jc w:val="both"/>
        <w:rPr>
          <w:sz w:val="24"/>
        </w:rPr>
      </w:pPr>
      <w:r>
        <w:rPr>
          <w:sz w:val="24"/>
        </w:rPr>
        <w:t>Any</w:t>
      </w:r>
      <w:r>
        <w:rPr>
          <w:spacing w:val="-6"/>
          <w:sz w:val="24"/>
        </w:rPr>
        <w:t> </w:t>
      </w:r>
      <w:r>
        <w:rPr>
          <w:sz w:val="24"/>
        </w:rPr>
        <w:t>plot/layout</w:t>
      </w:r>
      <w:r>
        <w:rPr>
          <w:spacing w:val="-6"/>
          <w:sz w:val="24"/>
        </w:rPr>
        <w:t> </w:t>
      </w:r>
      <w:r>
        <w:rPr>
          <w:sz w:val="24"/>
        </w:rPr>
        <w:t>having</w:t>
      </w:r>
      <w:r>
        <w:rPr>
          <w:spacing w:val="-6"/>
          <w:sz w:val="24"/>
        </w:rPr>
        <w:t> </w:t>
      </w:r>
      <w:r>
        <w:rPr>
          <w:sz w:val="24"/>
        </w:rPr>
        <w:t>area</w:t>
      </w:r>
      <w:r>
        <w:rPr>
          <w:spacing w:val="-6"/>
          <w:sz w:val="24"/>
        </w:rPr>
        <w:t> </w:t>
      </w:r>
      <w:r>
        <w:rPr>
          <w:sz w:val="24"/>
        </w:rPr>
        <w:t>under</w:t>
      </w:r>
      <w:r>
        <w:rPr>
          <w:spacing w:val="-6"/>
          <w:sz w:val="24"/>
        </w:rPr>
        <w:t> </w:t>
      </w:r>
      <w:r>
        <w:rPr>
          <w:sz w:val="24"/>
        </w:rPr>
        <w:t>non-buildable/open</w:t>
      </w:r>
      <w:r>
        <w:rPr>
          <w:spacing w:val="-6"/>
          <w:sz w:val="24"/>
        </w:rPr>
        <w:t> </w:t>
      </w:r>
      <w:r>
        <w:rPr>
          <w:sz w:val="24"/>
        </w:rPr>
        <w:t>space</w:t>
      </w:r>
      <w:r>
        <w:rPr>
          <w:spacing w:val="-6"/>
          <w:sz w:val="24"/>
        </w:rPr>
        <w:t> </w:t>
      </w:r>
      <w:r>
        <w:rPr>
          <w:sz w:val="24"/>
        </w:rPr>
        <w:t>reservations admeasuring</w:t>
      </w:r>
      <w:r>
        <w:rPr>
          <w:spacing w:val="-8"/>
          <w:sz w:val="24"/>
        </w:rPr>
        <w:t> </w:t>
      </w:r>
      <w:r>
        <w:rPr>
          <w:sz w:val="24"/>
        </w:rPr>
        <w:t>up</w:t>
      </w:r>
      <w:r>
        <w:rPr>
          <w:spacing w:val="-8"/>
          <w:sz w:val="24"/>
        </w:rPr>
        <w:t> </w:t>
      </w:r>
      <w:r>
        <w:rPr>
          <w:sz w:val="24"/>
        </w:rPr>
        <w:t>to</w:t>
      </w:r>
      <w:r>
        <w:rPr>
          <w:spacing w:val="-8"/>
          <w:sz w:val="24"/>
        </w:rPr>
        <w:t> </w:t>
      </w:r>
      <w:r>
        <w:rPr>
          <w:sz w:val="24"/>
        </w:rPr>
        <w:t>500</w:t>
      </w:r>
      <w:r>
        <w:rPr>
          <w:spacing w:val="-8"/>
          <w:sz w:val="24"/>
        </w:rPr>
        <w:t> </w:t>
      </w:r>
      <w:r>
        <w:rPr>
          <w:sz w:val="24"/>
        </w:rPr>
        <w:t>sq.</w:t>
      </w:r>
      <w:r>
        <w:rPr>
          <w:spacing w:val="-8"/>
          <w:sz w:val="24"/>
        </w:rPr>
        <w:t> </w:t>
      </w:r>
      <w:r>
        <w:rPr>
          <w:sz w:val="24"/>
        </w:rPr>
        <w:t>m</w:t>
      </w:r>
      <w:r>
        <w:rPr>
          <w:spacing w:val="-8"/>
          <w:sz w:val="24"/>
        </w:rPr>
        <w:t> </w:t>
      </w:r>
      <w:r>
        <w:rPr>
          <w:sz w:val="24"/>
        </w:rPr>
        <w:t>shall</w:t>
      </w:r>
      <w:r>
        <w:rPr>
          <w:spacing w:val="-8"/>
          <w:sz w:val="24"/>
        </w:rPr>
        <w:t> </w:t>
      </w:r>
      <w:r>
        <w:rPr>
          <w:sz w:val="24"/>
        </w:rPr>
        <w:t>be</w:t>
      </w:r>
      <w:r>
        <w:rPr>
          <w:spacing w:val="-8"/>
          <w:sz w:val="24"/>
        </w:rPr>
        <w:t> </w:t>
      </w:r>
      <w:r>
        <w:rPr>
          <w:sz w:val="24"/>
        </w:rPr>
        <w:t>cleared</w:t>
      </w:r>
      <w:r>
        <w:rPr>
          <w:spacing w:val="-8"/>
          <w:sz w:val="24"/>
        </w:rPr>
        <w:t> </w:t>
      </w:r>
      <w:r>
        <w:rPr>
          <w:sz w:val="24"/>
        </w:rPr>
        <w:t>by</w:t>
      </w:r>
      <w:r>
        <w:rPr>
          <w:spacing w:val="-8"/>
          <w:sz w:val="24"/>
        </w:rPr>
        <w:t> </w:t>
      </w:r>
      <w:r>
        <w:rPr>
          <w:sz w:val="24"/>
        </w:rPr>
        <w:t>shifting</w:t>
      </w:r>
      <w:r>
        <w:rPr>
          <w:spacing w:val="-8"/>
          <w:sz w:val="24"/>
        </w:rPr>
        <w:t> </w:t>
      </w:r>
      <w:r>
        <w:rPr>
          <w:sz w:val="24"/>
        </w:rPr>
        <w:t>the</w:t>
      </w:r>
      <w:r>
        <w:rPr>
          <w:spacing w:val="-11"/>
          <w:sz w:val="24"/>
        </w:rPr>
        <w:t> </w:t>
      </w:r>
      <w:r>
        <w:rPr>
          <w:sz w:val="24"/>
        </w:rPr>
        <w:t>existing</w:t>
      </w:r>
      <w:r>
        <w:rPr>
          <w:spacing w:val="-8"/>
          <w:sz w:val="24"/>
        </w:rPr>
        <w:t> </w:t>
      </w:r>
      <w:r>
        <w:rPr>
          <w:sz w:val="24"/>
        </w:rPr>
        <w:t>tenants from that site.</w:t>
      </w:r>
    </w:p>
    <w:p>
      <w:pPr>
        <w:pStyle w:val="ListParagraph"/>
        <w:numPr>
          <w:ilvl w:val="1"/>
          <w:numId w:val="93"/>
        </w:numPr>
        <w:tabs>
          <w:tab w:pos="1702" w:val="left" w:leader="none"/>
        </w:tabs>
        <w:spacing w:line="276" w:lineRule="auto" w:before="201" w:after="0"/>
        <w:ind w:left="1080" w:right="1078" w:firstLine="0"/>
        <w:jc w:val="both"/>
        <w:rPr>
          <w:sz w:val="24"/>
        </w:rPr>
      </w:pPr>
      <w:r>
        <w:rPr>
          <w:sz w:val="24"/>
        </w:rPr>
        <w:t>Where the area of site having non-buildable/open space reservation/Cemetery, is more than 500 sq. m &amp; if the land component of existing structures is more than or equal to</w:t>
      </w:r>
      <w:r>
        <w:rPr>
          <w:spacing w:val="40"/>
          <w:sz w:val="24"/>
        </w:rPr>
        <w:t> </w:t>
      </w:r>
      <w:r>
        <w:rPr>
          <w:sz w:val="24"/>
        </w:rPr>
        <w:t>65% such sites may be allowed for</w:t>
      </w:r>
      <w:r>
        <w:rPr>
          <w:spacing w:val="-12"/>
          <w:sz w:val="24"/>
        </w:rPr>
        <w:t> </w:t>
      </w:r>
      <w:r>
        <w:rPr>
          <w:sz w:val="24"/>
        </w:rPr>
        <w:t>the</w:t>
      </w:r>
      <w:r>
        <w:rPr>
          <w:spacing w:val="-12"/>
          <w:sz w:val="24"/>
        </w:rPr>
        <w:t> </w:t>
      </w:r>
      <w:r>
        <w:rPr>
          <w:sz w:val="24"/>
        </w:rPr>
        <w:t>redevelopment</w:t>
      </w:r>
      <w:r>
        <w:rPr>
          <w:spacing w:val="-12"/>
          <w:sz w:val="24"/>
        </w:rPr>
        <w:t> </w:t>
      </w:r>
      <w:r>
        <w:rPr>
          <w:sz w:val="24"/>
        </w:rPr>
        <w:t>subject</w:t>
      </w:r>
      <w:r>
        <w:rPr>
          <w:spacing w:val="-12"/>
          <w:sz w:val="24"/>
        </w:rPr>
        <w:t> </w:t>
      </w:r>
      <w:r>
        <w:rPr>
          <w:sz w:val="24"/>
        </w:rPr>
        <w:t>to</w:t>
      </w:r>
      <w:r>
        <w:rPr>
          <w:spacing w:val="-12"/>
          <w:sz w:val="24"/>
        </w:rPr>
        <w:t> </w:t>
      </w:r>
      <w:r>
        <w:rPr>
          <w:sz w:val="24"/>
        </w:rPr>
        <w:t>condition</w:t>
      </w:r>
      <w:r>
        <w:rPr>
          <w:spacing w:val="-12"/>
          <w:sz w:val="24"/>
        </w:rPr>
        <w:t> </w:t>
      </w:r>
      <w:r>
        <w:rPr>
          <w:sz w:val="24"/>
        </w:rPr>
        <w:t>that</w:t>
      </w:r>
      <w:r>
        <w:rPr>
          <w:spacing w:val="-10"/>
          <w:sz w:val="24"/>
        </w:rPr>
        <w:t> </w:t>
      </w:r>
      <w:r>
        <w:rPr>
          <w:sz w:val="24"/>
        </w:rPr>
        <w:t>the</w:t>
      </w:r>
      <w:r>
        <w:rPr>
          <w:spacing w:val="-12"/>
          <w:sz w:val="24"/>
        </w:rPr>
        <w:t> </w:t>
      </w:r>
      <w:r>
        <w:rPr>
          <w:sz w:val="24"/>
        </w:rPr>
        <w:t>ground</w:t>
      </w:r>
      <w:r>
        <w:rPr>
          <w:spacing w:val="-10"/>
          <w:sz w:val="24"/>
        </w:rPr>
        <w:t> </w:t>
      </w:r>
      <w:r>
        <w:rPr>
          <w:sz w:val="24"/>
        </w:rPr>
        <w:t>area</w:t>
      </w:r>
      <w:r>
        <w:rPr>
          <w:spacing w:val="-12"/>
          <w:sz w:val="24"/>
        </w:rPr>
        <w:t> </w:t>
      </w:r>
      <w:r>
        <w:rPr>
          <w:sz w:val="24"/>
        </w:rPr>
        <w:t>of</w:t>
      </w:r>
      <w:r>
        <w:rPr>
          <w:spacing w:val="-12"/>
          <w:sz w:val="24"/>
        </w:rPr>
        <w:t> </w:t>
      </w:r>
      <w:r>
        <w:rPr>
          <w:sz w:val="24"/>
        </w:rPr>
        <w:t>the</w:t>
      </w:r>
      <w:r>
        <w:rPr>
          <w:spacing w:val="-12"/>
          <w:sz w:val="24"/>
        </w:rPr>
        <w:t> </w:t>
      </w:r>
      <w:r>
        <w:rPr>
          <w:sz w:val="24"/>
        </w:rPr>
        <w:t>land</w:t>
      </w:r>
      <w:r>
        <w:rPr>
          <w:spacing w:val="-10"/>
          <w:sz w:val="24"/>
        </w:rPr>
        <w:t> </w:t>
      </w:r>
      <w:r>
        <w:rPr>
          <w:sz w:val="24"/>
        </w:rPr>
        <w:t>so used</w:t>
      </w:r>
      <w:r>
        <w:rPr>
          <w:spacing w:val="-20"/>
          <w:sz w:val="24"/>
        </w:rPr>
        <w:t> </w:t>
      </w:r>
      <w:r>
        <w:rPr>
          <w:sz w:val="24"/>
        </w:rPr>
        <w:t>shall</w:t>
      </w:r>
      <w:r>
        <w:rPr>
          <w:spacing w:val="-19"/>
          <w:sz w:val="24"/>
        </w:rPr>
        <w:t> </w:t>
      </w:r>
      <w:r>
        <w:rPr>
          <w:sz w:val="24"/>
        </w:rPr>
        <w:t>not</w:t>
      </w:r>
      <w:r>
        <w:rPr>
          <w:spacing w:val="-19"/>
          <w:sz w:val="24"/>
        </w:rPr>
        <w:t> </w:t>
      </w:r>
      <w:r>
        <w:rPr>
          <w:sz w:val="24"/>
        </w:rPr>
        <w:t>be</w:t>
      </w:r>
      <w:r>
        <w:rPr>
          <w:spacing w:val="-19"/>
          <w:sz w:val="24"/>
        </w:rPr>
        <w:t> </w:t>
      </w:r>
      <w:r>
        <w:rPr>
          <w:sz w:val="24"/>
        </w:rPr>
        <w:t>more</w:t>
      </w:r>
      <w:r>
        <w:rPr>
          <w:spacing w:val="-19"/>
          <w:sz w:val="24"/>
        </w:rPr>
        <w:t> </w:t>
      </w:r>
      <w:r>
        <w:rPr>
          <w:sz w:val="24"/>
        </w:rPr>
        <w:t>than</w:t>
      </w:r>
      <w:r>
        <w:rPr>
          <w:spacing w:val="17"/>
          <w:sz w:val="24"/>
        </w:rPr>
        <w:t> </w:t>
      </w:r>
      <w:r>
        <w:rPr>
          <w:sz w:val="24"/>
        </w:rPr>
        <w:t>65%</w:t>
      </w:r>
      <w:r>
        <w:rPr>
          <w:spacing w:val="-19"/>
          <w:sz w:val="24"/>
        </w:rPr>
        <w:t> </w:t>
      </w:r>
      <w:r>
        <w:rPr>
          <w:sz w:val="24"/>
        </w:rPr>
        <w:t>of</w:t>
      </w:r>
      <w:r>
        <w:rPr>
          <w:spacing w:val="-20"/>
          <w:sz w:val="24"/>
        </w:rPr>
        <w:t> </w:t>
      </w:r>
      <w:r>
        <w:rPr>
          <w:sz w:val="24"/>
        </w:rPr>
        <w:t>the</w:t>
      </w:r>
      <w:r>
        <w:rPr>
          <w:spacing w:val="-19"/>
          <w:sz w:val="24"/>
        </w:rPr>
        <w:t> </w:t>
      </w:r>
      <w:r>
        <w:rPr>
          <w:sz w:val="24"/>
        </w:rPr>
        <w:t>reservation</w:t>
      </w:r>
      <w:r>
        <w:rPr>
          <w:spacing w:val="-19"/>
          <w:sz w:val="24"/>
        </w:rPr>
        <w:t> </w:t>
      </w:r>
      <w:r>
        <w:rPr>
          <w:sz w:val="24"/>
        </w:rPr>
        <w:t>and</w:t>
      </w:r>
      <w:r>
        <w:rPr>
          <w:spacing w:val="-19"/>
          <w:sz w:val="24"/>
        </w:rPr>
        <w:t> </w:t>
      </w:r>
      <w:r>
        <w:rPr>
          <w:sz w:val="24"/>
        </w:rPr>
        <w:t>leaving</w:t>
      </w:r>
      <w:r>
        <w:rPr>
          <w:spacing w:val="37"/>
          <w:sz w:val="24"/>
        </w:rPr>
        <w:t> </w:t>
      </w:r>
      <w:r>
        <w:rPr>
          <w:sz w:val="24"/>
        </w:rPr>
        <w:t>35%</w:t>
      </w:r>
      <w:r>
        <w:rPr>
          <w:spacing w:val="-20"/>
          <w:sz w:val="24"/>
        </w:rPr>
        <w:t> </w:t>
      </w:r>
      <w:r>
        <w:rPr>
          <w:sz w:val="24"/>
        </w:rPr>
        <w:t>rendered clear thereafter for the reservation. If the land component of existing structures</w:t>
      </w:r>
      <w:r>
        <w:rPr>
          <w:spacing w:val="-12"/>
          <w:sz w:val="24"/>
        </w:rPr>
        <w:t> </w:t>
      </w:r>
      <w:r>
        <w:rPr>
          <w:sz w:val="24"/>
        </w:rPr>
        <w:t>is</w:t>
      </w:r>
      <w:r>
        <w:rPr>
          <w:spacing w:val="-12"/>
          <w:sz w:val="24"/>
        </w:rPr>
        <w:t> </w:t>
      </w:r>
      <w:r>
        <w:rPr>
          <w:sz w:val="24"/>
        </w:rPr>
        <w:t>less</w:t>
      </w:r>
      <w:r>
        <w:rPr>
          <w:spacing w:val="-12"/>
          <w:sz w:val="24"/>
        </w:rPr>
        <w:t> </w:t>
      </w:r>
      <w:r>
        <w:rPr>
          <w:sz w:val="24"/>
        </w:rPr>
        <w:t>than</w:t>
      </w:r>
      <w:r>
        <w:rPr>
          <w:spacing w:val="80"/>
          <w:sz w:val="24"/>
        </w:rPr>
        <w:t> </w:t>
      </w:r>
      <w:r>
        <w:rPr>
          <w:sz w:val="24"/>
        </w:rPr>
        <w:t>65%</w:t>
      </w:r>
      <w:r>
        <w:rPr>
          <w:spacing w:val="-12"/>
          <w:sz w:val="24"/>
        </w:rPr>
        <w:t> </w:t>
      </w:r>
      <w:r>
        <w:rPr>
          <w:sz w:val="24"/>
        </w:rPr>
        <w:t>such</w:t>
      </w:r>
      <w:r>
        <w:rPr>
          <w:spacing w:val="-12"/>
          <w:sz w:val="24"/>
        </w:rPr>
        <w:t> </w:t>
      </w:r>
      <w:r>
        <w:rPr>
          <w:sz w:val="24"/>
        </w:rPr>
        <w:t>sites</w:t>
      </w:r>
      <w:r>
        <w:rPr>
          <w:spacing w:val="-12"/>
          <w:sz w:val="24"/>
        </w:rPr>
        <w:t> </w:t>
      </w:r>
      <w:r>
        <w:rPr>
          <w:sz w:val="24"/>
        </w:rPr>
        <w:t>may</w:t>
      </w:r>
      <w:r>
        <w:rPr>
          <w:spacing w:val="-12"/>
          <w:sz w:val="24"/>
        </w:rPr>
        <w:t> </w:t>
      </w:r>
      <w:r>
        <w:rPr>
          <w:sz w:val="24"/>
        </w:rPr>
        <w:t>be</w:t>
      </w:r>
      <w:r>
        <w:rPr>
          <w:spacing w:val="-12"/>
          <w:sz w:val="24"/>
        </w:rPr>
        <w:t> </w:t>
      </w:r>
      <w:r>
        <w:rPr>
          <w:sz w:val="24"/>
        </w:rPr>
        <w:t>allowed</w:t>
      </w:r>
      <w:r>
        <w:rPr>
          <w:spacing w:val="-12"/>
          <w:sz w:val="24"/>
        </w:rPr>
        <w:t> </w:t>
      </w:r>
      <w:r>
        <w:rPr>
          <w:sz w:val="24"/>
        </w:rPr>
        <w:t>for</w:t>
      </w:r>
      <w:r>
        <w:rPr>
          <w:spacing w:val="-12"/>
          <w:sz w:val="24"/>
        </w:rPr>
        <w:t> </w:t>
      </w:r>
      <w:r>
        <w:rPr>
          <w:sz w:val="24"/>
        </w:rPr>
        <w:t>the</w:t>
      </w:r>
      <w:r>
        <w:rPr>
          <w:spacing w:val="-10"/>
          <w:sz w:val="24"/>
        </w:rPr>
        <w:t> </w:t>
      </w:r>
      <w:r>
        <w:rPr>
          <w:sz w:val="24"/>
        </w:rPr>
        <w:t>redevelopment subject to condition that the ground area of the land so used shall not be more than land component of existing structures and leaving balance reservation land rendered clear thereafter for the reservation.</w:t>
      </w:r>
    </w:p>
    <w:p>
      <w:pPr>
        <w:pStyle w:val="ListParagraph"/>
        <w:spacing w:after="0" w:line="276" w:lineRule="auto"/>
        <w:jc w:val="both"/>
        <w:rPr>
          <w:sz w:val="24"/>
        </w:rPr>
        <w:sectPr>
          <w:pgSz w:w="11910" w:h="16840"/>
          <w:pgMar w:header="746" w:footer="968" w:top="1180" w:bottom="1160" w:left="360" w:right="360"/>
        </w:sectPr>
      </w:pPr>
    </w:p>
    <w:p>
      <w:pPr>
        <w:pStyle w:val="ListParagraph"/>
        <w:numPr>
          <w:ilvl w:val="1"/>
          <w:numId w:val="93"/>
        </w:numPr>
        <w:tabs>
          <w:tab w:pos="1568" w:val="left" w:leader="none"/>
        </w:tabs>
        <w:spacing w:line="276" w:lineRule="auto" w:before="249" w:after="0"/>
        <w:ind w:left="1080" w:right="1076" w:firstLine="0"/>
        <w:jc w:val="both"/>
        <w:rPr>
          <w:sz w:val="24"/>
        </w:rPr>
      </w:pPr>
      <w:r>
        <w:rPr>
          <w:sz w:val="24"/>
        </w:rPr>
        <w:t>Existing structures on lands reserved for Municipal School (RE 1.1)/ Primary</w:t>
      </w:r>
      <w:r>
        <w:rPr>
          <w:spacing w:val="-9"/>
          <w:sz w:val="24"/>
        </w:rPr>
        <w:t> </w:t>
      </w:r>
      <w:r>
        <w:rPr>
          <w:sz w:val="24"/>
        </w:rPr>
        <w:t>and</w:t>
      </w:r>
      <w:r>
        <w:rPr>
          <w:spacing w:val="-9"/>
          <w:sz w:val="24"/>
        </w:rPr>
        <w:t> </w:t>
      </w:r>
      <w:r>
        <w:rPr>
          <w:sz w:val="24"/>
        </w:rPr>
        <w:t>Secondary</w:t>
      </w:r>
      <w:r>
        <w:rPr>
          <w:spacing w:val="-9"/>
          <w:sz w:val="24"/>
        </w:rPr>
        <w:t> </w:t>
      </w:r>
      <w:r>
        <w:rPr>
          <w:sz w:val="24"/>
        </w:rPr>
        <w:t>School</w:t>
      </w:r>
      <w:r>
        <w:rPr>
          <w:spacing w:val="-9"/>
          <w:sz w:val="24"/>
        </w:rPr>
        <w:t> </w:t>
      </w:r>
      <w:r>
        <w:rPr>
          <w:sz w:val="24"/>
        </w:rPr>
        <w:t>(RE1.2)</w:t>
      </w:r>
      <w:r>
        <w:rPr>
          <w:spacing w:val="-9"/>
          <w:sz w:val="24"/>
        </w:rPr>
        <w:t> </w:t>
      </w:r>
      <w:r>
        <w:rPr>
          <w:sz w:val="24"/>
        </w:rPr>
        <w:t>or</w:t>
      </w:r>
      <w:r>
        <w:rPr>
          <w:spacing w:val="-9"/>
          <w:sz w:val="24"/>
        </w:rPr>
        <w:t> </w:t>
      </w:r>
      <w:r>
        <w:rPr>
          <w:sz w:val="24"/>
        </w:rPr>
        <w:t>a</w:t>
      </w:r>
      <w:r>
        <w:rPr>
          <w:spacing w:val="-9"/>
          <w:sz w:val="24"/>
        </w:rPr>
        <w:t> </w:t>
      </w:r>
      <w:r>
        <w:rPr>
          <w:sz w:val="24"/>
        </w:rPr>
        <w:t>Higher</w:t>
      </w:r>
      <w:r>
        <w:rPr>
          <w:spacing w:val="-9"/>
          <w:sz w:val="24"/>
        </w:rPr>
        <w:t> </w:t>
      </w:r>
      <w:r>
        <w:rPr>
          <w:sz w:val="24"/>
        </w:rPr>
        <w:t>Education</w:t>
      </w:r>
      <w:r>
        <w:rPr>
          <w:spacing w:val="-12"/>
          <w:sz w:val="24"/>
        </w:rPr>
        <w:t> </w:t>
      </w:r>
      <w:r>
        <w:rPr>
          <w:sz w:val="24"/>
        </w:rPr>
        <w:t>(RE2.1)</w:t>
      </w:r>
      <w:r>
        <w:rPr>
          <w:spacing w:val="-9"/>
          <w:sz w:val="24"/>
        </w:rPr>
        <w:t> </w:t>
      </w:r>
      <w:r>
        <w:rPr>
          <w:sz w:val="24"/>
        </w:rPr>
        <w:t>may</w:t>
      </w:r>
      <w:r>
        <w:rPr>
          <w:spacing w:val="-9"/>
          <w:sz w:val="24"/>
        </w:rPr>
        <w:t> </w:t>
      </w:r>
      <w:r>
        <w:rPr>
          <w:sz w:val="24"/>
        </w:rPr>
        <w:t>be developed subject to the following:</w:t>
      </w:r>
    </w:p>
    <w:p>
      <w:pPr>
        <w:pStyle w:val="ListParagraph"/>
        <w:numPr>
          <w:ilvl w:val="2"/>
          <w:numId w:val="93"/>
        </w:numPr>
        <w:tabs>
          <w:tab w:pos="1503" w:val="left" w:leader="none"/>
        </w:tabs>
        <w:spacing w:line="276" w:lineRule="auto" w:before="0" w:after="0"/>
        <w:ind w:left="1080" w:right="1079" w:firstLine="0"/>
        <w:jc w:val="both"/>
        <w:rPr>
          <w:sz w:val="24"/>
        </w:rPr>
      </w:pPr>
      <w:r>
        <w:rPr>
          <w:sz w:val="24"/>
        </w:rPr>
        <w:t>In case of land reserved for Municipal School (RE 1.1), Primary and Secondary School (RE1.2) in the DP, a building for accommodating such number of students as may be decided by the Municipal Commissioner, but in any case, for not less than 500 students, shall be constructed. The BUA occupied</w:t>
      </w:r>
      <w:r>
        <w:rPr>
          <w:spacing w:val="-10"/>
          <w:sz w:val="24"/>
        </w:rPr>
        <w:t> </w:t>
      </w:r>
      <w:r>
        <w:rPr>
          <w:sz w:val="24"/>
        </w:rPr>
        <w:t>by</w:t>
      </w:r>
      <w:r>
        <w:rPr>
          <w:spacing w:val="-10"/>
          <w:sz w:val="24"/>
        </w:rPr>
        <w:t> </w:t>
      </w:r>
      <w:r>
        <w:rPr>
          <w:sz w:val="24"/>
        </w:rPr>
        <w:t>the</w:t>
      </w:r>
      <w:r>
        <w:rPr>
          <w:spacing w:val="-10"/>
          <w:sz w:val="24"/>
        </w:rPr>
        <w:t> </w:t>
      </w:r>
      <w:r>
        <w:rPr>
          <w:sz w:val="24"/>
        </w:rPr>
        <w:t>constructed</w:t>
      </w:r>
      <w:r>
        <w:rPr>
          <w:spacing w:val="-10"/>
          <w:sz w:val="24"/>
        </w:rPr>
        <w:t> </w:t>
      </w:r>
      <w:r>
        <w:rPr>
          <w:sz w:val="24"/>
        </w:rPr>
        <w:t>building</w:t>
      </w:r>
      <w:r>
        <w:rPr>
          <w:spacing w:val="-10"/>
          <w:sz w:val="24"/>
        </w:rPr>
        <w:t> </w:t>
      </w:r>
      <w:r>
        <w:rPr>
          <w:sz w:val="24"/>
        </w:rPr>
        <w:t>shall</w:t>
      </w:r>
      <w:r>
        <w:rPr>
          <w:spacing w:val="-10"/>
          <w:sz w:val="24"/>
        </w:rPr>
        <w:t> </w:t>
      </w:r>
      <w:r>
        <w:rPr>
          <w:sz w:val="24"/>
        </w:rPr>
        <w:t>be</w:t>
      </w:r>
      <w:r>
        <w:rPr>
          <w:spacing w:val="-10"/>
          <w:sz w:val="24"/>
        </w:rPr>
        <w:t> </w:t>
      </w:r>
      <w:r>
        <w:rPr>
          <w:sz w:val="24"/>
        </w:rPr>
        <w:t>excluded</w:t>
      </w:r>
      <w:r>
        <w:rPr>
          <w:spacing w:val="-10"/>
          <w:sz w:val="24"/>
        </w:rPr>
        <w:t> </w:t>
      </w:r>
      <w:r>
        <w:rPr>
          <w:sz w:val="24"/>
        </w:rPr>
        <w:t>for</w:t>
      </w:r>
      <w:r>
        <w:rPr>
          <w:spacing w:val="-10"/>
          <w:sz w:val="24"/>
        </w:rPr>
        <w:t> </w:t>
      </w:r>
      <w:r>
        <w:rPr>
          <w:sz w:val="24"/>
        </w:rPr>
        <w:t>the</w:t>
      </w:r>
      <w:r>
        <w:rPr>
          <w:spacing w:val="-5"/>
          <w:sz w:val="24"/>
        </w:rPr>
        <w:t> </w:t>
      </w:r>
      <w:r>
        <w:rPr>
          <w:sz w:val="24"/>
        </w:rPr>
        <w:t>purpose</w:t>
      </w:r>
      <w:r>
        <w:rPr>
          <w:spacing w:val="-10"/>
          <w:sz w:val="24"/>
        </w:rPr>
        <w:t> </w:t>
      </w:r>
      <w:r>
        <w:rPr>
          <w:sz w:val="24"/>
        </w:rPr>
        <w:t>of</w:t>
      </w:r>
      <w:r>
        <w:rPr>
          <w:spacing w:val="-10"/>
          <w:sz w:val="24"/>
        </w:rPr>
        <w:t> </w:t>
      </w:r>
      <w:r>
        <w:rPr>
          <w:sz w:val="24"/>
        </w:rPr>
        <w:t>FSI computation. Thereafter, the land may be allowed to be redeveloped with the full permissible FSI of the plot according to this Regulation.</w:t>
      </w:r>
    </w:p>
    <w:p>
      <w:pPr>
        <w:pStyle w:val="ListParagraph"/>
        <w:numPr>
          <w:ilvl w:val="2"/>
          <w:numId w:val="93"/>
        </w:numPr>
        <w:tabs>
          <w:tab w:pos="1372" w:val="left" w:leader="none"/>
        </w:tabs>
        <w:spacing w:line="276" w:lineRule="auto" w:before="0" w:after="0"/>
        <w:ind w:left="1080" w:right="1076" w:firstLine="0"/>
        <w:jc w:val="both"/>
        <w:rPr>
          <w:sz w:val="24"/>
        </w:rPr>
      </w:pPr>
      <w:r>
        <w:rPr>
          <w:sz w:val="24"/>
        </w:rPr>
        <w:t>In the case of lands affected by reservation of a Higher Education (RE2.1) in</w:t>
      </w:r>
      <w:r>
        <w:rPr>
          <w:spacing w:val="-5"/>
          <w:sz w:val="24"/>
        </w:rPr>
        <w:t> </w:t>
      </w:r>
      <w:r>
        <w:rPr>
          <w:sz w:val="24"/>
        </w:rPr>
        <w:t>the</w:t>
      </w:r>
      <w:r>
        <w:rPr>
          <w:spacing w:val="-5"/>
          <w:sz w:val="24"/>
        </w:rPr>
        <w:t> </w:t>
      </w:r>
      <w:r>
        <w:rPr>
          <w:sz w:val="24"/>
        </w:rPr>
        <w:t>DP,</w:t>
      </w:r>
      <w:r>
        <w:rPr>
          <w:spacing w:val="-5"/>
          <w:sz w:val="24"/>
        </w:rPr>
        <w:t> </w:t>
      </w:r>
      <w:r>
        <w:rPr>
          <w:sz w:val="24"/>
        </w:rPr>
        <w:t>a</w:t>
      </w:r>
      <w:r>
        <w:rPr>
          <w:spacing w:val="-5"/>
          <w:sz w:val="24"/>
        </w:rPr>
        <w:t> </w:t>
      </w:r>
      <w:r>
        <w:rPr>
          <w:sz w:val="24"/>
        </w:rPr>
        <w:t>building</w:t>
      </w:r>
      <w:r>
        <w:rPr>
          <w:spacing w:val="-5"/>
          <w:sz w:val="24"/>
        </w:rPr>
        <w:t> </w:t>
      </w:r>
      <w:r>
        <w:rPr>
          <w:sz w:val="24"/>
        </w:rPr>
        <w:t>for</w:t>
      </w:r>
      <w:r>
        <w:rPr>
          <w:spacing w:val="-5"/>
          <w:sz w:val="24"/>
        </w:rPr>
        <w:t> </w:t>
      </w:r>
      <w:r>
        <w:rPr>
          <w:sz w:val="24"/>
        </w:rPr>
        <w:t>accommodating</w:t>
      </w:r>
      <w:r>
        <w:rPr>
          <w:spacing w:val="-5"/>
          <w:sz w:val="24"/>
        </w:rPr>
        <w:t> </w:t>
      </w:r>
      <w:r>
        <w:rPr>
          <w:sz w:val="24"/>
        </w:rPr>
        <w:t>such</w:t>
      </w:r>
      <w:r>
        <w:rPr>
          <w:spacing w:val="-4"/>
          <w:sz w:val="24"/>
        </w:rPr>
        <w:t> </w:t>
      </w:r>
      <w:r>
        <w:rPr>
          <w:sz w:val="24"/>
        </w:rPr>
        <w:t>number</w:t>
      </w:r>
      <w:r>
        <w:rPr>
          <w:spacing w:val="-5"/>
          <w:sz w:val="24"/>
        </w:rPr>
        <w:t> </w:t>
      </w:r>
      <w:r>
        <w:rPr>
          <w:sz w:val="24"/>
        </w:rPr>
        <w:t>of</w:t>
      </w:r>
      <w:r>
        <w:rPr>
          <w:spacing w:val="-5"/>
          <w:sz w:val="24"/>
        </w:rPr>
        <w:t> </w:t>
      </w:r>
      <w:r>
        <w:rPr>
          <w:sz w:val="24"/>
        </w:rPr>
        <w:t>students</w:t>
      </w:r>
      <w:r>
        <w:rPr>
          <w:spacing w:val="-5"/>
          <w:sz w:val="24"/>
        </w:rPr>
        <w:t> </w:t>
      </w:r>
      <w:r>
        <w:rPr>
          <w:sz w:val="24"/>
        </w:rPr>
        <w:t>as</w:t>
      </w:r>
      <w:r>
        <w:rPr>
          <w:spacing w:val="-5"/>
          <w:sz w:val="24"/>
        </w:rPr>
        <w:t> </w:t>
      </w:r>
      <w:r>
        <w:rPr>
          <w:sz w:val="24"/>
        </w:rPr>
        <w:t>may</w:t>
      </w:r>
      <w:r>
        <w:rPr>
          <w:spacing w:val="-5"/>
          <w:sz w:val="24"/>
        </w:rPr>
        <w:t> </w:t>
      </w:r>
      <w:r>
        <w:rPr>
          <w:sz w:val="24"/>
        </w:rPr>
        <w:t>be decided</w:t>
      </w:r>
      <w:r>
        <w:rPr>
          <w:spacing w:val="-15"/>
          <w:sz w:val="24"/>
        </w:rPr>
        <w:t> </w:t>
      </w:r>
      <w:r>
        <w:rPr>
          <w:sz w:val="24"/>
        </w:rPr>
        <w:t>by</w:t>
      </w:r>
      <w:r>
        <w:rPr>
          <w:spacing w:val="-15"/>
          <w:sz w:val="24"/>
        </w:rPr>
        <w:t> </w:t>
      </w:r>
      <w:r>
        <w:rPr>
          <w:sz w:val="24"/>
        </w:rPr>
        <w:t>the</w:t>
      </w:r>
      <w:r>
        <w:rPr>
          <w:spacing w:val="-15"/>
          <w:sz w:val="24"/>
        </w:rPr>
        <w:t> </w:t>
      </w:r>
      <w:r>
        <w:rPr>
          <w:sz w:val="24"/>
        </w:rPr>
        <w:t>Municipal</w:t>
      </w:r>
      <w:r>
        <w:rPr>
          <w:spacing w:val="-15"/>
          <w:sz w:val="24"/>
        </w:rPr>
        <w:t> </w:t>
      </w:r>
      <w:r>
        <w:rPr>
          <w:sz w:val="24"/>
        </w:rPr>
        <w:t>Commissioner,</w:t>
      </w:r>
      <w:r>
        <w:rPr>
          <w:spacing w:val="-18"/>
          <w:sz w:val="24"/>
        </w:rPr>
        <w:t> </w:t>
      </w:r>
      <w:r>
        <w:rPr>
          <w:sz w:val="24"/>
        </w:rPr>
        <w:t>but</w:t>
      </w:r>
      <w:r>
        <w:rPr>
          <w:spacing w:val="-15"/>
          <w:sz w:val="24"/>
        </w:rPr>
        <w:t> </w:t>
      </w:r>
      <w:r>
        <w:rPr>
          <w:sz w:val="24"/>
        </w:rPr>
        <w:t>in</w:t>
      </w:r>
      <w:r>
        <w:rPr>
          <w:spacing w:val="-15"/>
          <w:sz w:val="24"/>
        </w:rPr>
        <w:t> </w:t>
      </w:r>
      <w:r>
        <w:rPr>
          <w:sz w:val="24"/>
        </w:rPr>
        <w:t>any</w:t>
      </w:r>
      <w:r>
        <w:rPr>
          <w:spacing w:val="-15"/>
          <w:sz w:val="24"/>
        </w:rPr>
        <w:t> </w:t>
      </w:r>
      <w:r>
        <w:rPr>
          <w:sz w:val="24"/>
        </w:rPr>
        <w:t>case</w:t>
      </w:r>
      <w:r>
        <w:rPr>
          <w:spacing w:val="-15"/>
          <w:sz w:val="24"/>
        </w:rPr>
        <w:t> </w:t>
      </w:r>
      <w:r>
        <w:rPr>
          <w:sz w:val="24"/>
        </w:rPr>
        <w:t>for</w:t>
      </w:r>
      <w:r>
        <w:rPr>
          <w:spacing w:val="-15"/>
          <w:sz w:val="24"/>
        </w:rPr>
        <w:t> </w:t>
      </w:r>
      <w:r>
        <w:rPr>
          <w:sz w:val="24"/>
        </w:rPr>
        <w:t>not</w:t>
      </w:r>
      <w:r>
        <w:rPr>
          <w:spacing w:val="-15"/>
          <w:sz w:val="24"/>
        </w:rPr>
        <w:t> </w:t>
      </w:r>
      <w:r>
        <w:rPr>
          <w:sz w:val="24"/>
        </w:rPr>
        <w:t>less</w:t>
      </w:r>
      <w:r>
        <w:rPr>
          <w:spacing w:val="-15"/>
          <w:sz w:val="24"/>
        </w:rPr>
        <w:t> </w:t>
      </w:r>
      <w:r>
        <w:rPr>
          <w:sz w:val="24"/>
        </w:rPr>
        <w:t>than</w:t>
      </w:r>
      <w:r>
        <w:rPr>
          <w:spacing w:val="-15"/>
          <w:sz w:val="24"/>
        </w:rPr>
        <w:t> </w:t>
      </w:r>
      <w:r>
        <w:rPr>
          <w:sz w:val="24"/>
        </w:rPr>
        <w:t>800 students,</w:t>
      </w:r>
      <w:r>
        <w:rPr>
          <w:spacing w:val="-20"/>
          <w:sz w:val="24"/>
        </w:rPr>
        <w:t> </w:t>
      </w:r>
      <w:r>
        <w:rPr>
          <w:sz w:val="24"/>
        </w:rPr>
        <w:t>shall</w:t>
      </w:r>
      <w:r>
        <w:rPr>
          <w:spacing w:val="-19"/>
          <w:sz w:val="24"/>
        </w:rPr>
        <w:t> </w:t>
      </w:r>
      <w:r>
        <w:rPr>
          <w:sz w:val="24"/>
        </w:rPr>
        <w:t>be</w:t>
      </w:r>
      <w:r>
        <w:rPr>
          <w:spacing w:val="-19"/>
          <w:sz w:val="24"/>
        </w:rPr>
        <w:t> </w:t>
      </w:r>
      <w:r>
        <w:rPr>
          <w:sz w:val="24"/>
        </w:rPr>
        <w:t>constructed.</w:t>
      </w:r>
      <w:r>
        <w:rPr>
          <w:spacing w:val="-19"/>
          <w:sz w:val="24"/>
        </w:rPr>
        <w:t> </w:t>
      </w:r>
      <w:r>
        <w:rPr>
          <w:sz w:val="24"/>
        </w:rPr>
        <w:t>The</w:t>
      </w:r>
      <w:r>
        <w:rPr>
          <w:spacing w:val="-19"/>
          <w:sz w:val="24"/>
        </w:rPr>
        <w:t> </w:t>
      </w:r>
      <w:r>
        <w:rPr>
          <w:sz w:val="24"/>
        </w:rPr>
        <w:t>BUA</w:t>
      </w:r>
      <w:r>
        <w:rPr>
          <w:spacing w:val="-20"/>
          <w:sz w:val="24"/>
        </w:rPr>
        <w:t> </w:t>
      </w:r>
      <w:r>
        <w:rPr>
          <w:sz w:val="24"/>
        </w:rPr>
        <w:t>occupied</w:t>
      </w:r>
      <w:r>
        <w:rPr>
          <w:spacing w:val="-19"/>
          <w:sz w:val="24"/>
        </w:rPr>
        <w:t> </w:t>
      </w:r>
      <w:r>
        <w:rPr>
          <w:sz w:val="24"/>
        </w:rPr>
        <w:t>by</w:t>
      </w:r>
      <w:r>
        <w:rPr>
          <w:spacing w:val="-19"/>
          <w:sz w:val="24"/>
        </w:rPr>
        <w:t> </w:t>
      </w:r>
      <w:r>
        <w:rPr>
          <w:sz w:val="24"/>
        </w:rPr>
        <w:t>the</w:t>
      </w:r>
      <w:r>
        <w:rPr>
          <w:spacing w:val="-19"/>
          <w:sz w:val="24"/>
        </w:rPr>
        <w:t> </w:t>
      </w:r>
      <w:r>
        <w:rPr>
          <w:sz w:val="24"/>
        </w:rPr>
        <w:t>constructed</w:t>
      </w:r>
      <w:r>
        <w:rPr>
          <w:spacing w:val="-19"/>
          <w:sz w:val="24"/>
        </w:rPr>
        <w:t> </w:t>
      </w:r>
      <w:r>
        <w:rPr>
          <w:sz w:val="24"/>
        </w:rPr>
        <w:t>building shall</w:t>
      </w:r>
      <w:r>
        <w:rPr>
          <w:spacing w:val="-18"/>
          <w:sz w:val="24"/>
        </w:rPr>
        <w:t> </w:t>
      </w:r>
      <w:r>
        <w:rPr>
          <w:sz w:val="24"/>
        </w:rPr>
        <w:t>be</w:t>
      </w:r>
      <w:r>
        <w:rPr>
          <w:spacing w:val="-18"/>
          <w:sz w:val="24"/>
        </w:rPr>
        <w:t> </w:t>
      </w:r>
      <w:r>
        <w:rPr>
          <w:sz w:val="24"/>
        </w:rPr>
        <w:t>excluded</w:t>
      </w:r>
      <w:r>
        <w:rPr>
          <w:spacing w:val="-18"/>
          <w:sz w:val="24"/>
        </w:rPr>
        <w:t> </w:t>
      </w:r>
      <w:r>
        <w:rPr>
          <w:sz w:val="24"/>
        </w:rPr>
        <w:t>for</w:t>
      </w:r>
      <w:r>
        <w:rPr>
          <w:spacing w:val="-18"/>
          <w:sz w:val="24"/>
        </w:rPr>
        <w:t> </w:t>
      </w:r>
      <w:r>
        <w:rPr>
          <w:sz w:val="24"/>
        </w:rPr>
        <w:t>the</w:t>
      </w:r>
      <w:r>
        <w:rPr>
          <w:spacing w:val="-18"/>
          <w:sz w:val="24"/>
        </w:rPr>
        <w:t> </w:t>
      </w:r>
      <w:r>
        <w:rPr>
          <w:sz w:val="24"/>
        </w:rPr>
        <w:t>purpose</w:t>
      </w:r>
      <w:r>
        <w:rPr>
          <w:spacing w:val="-18"/>
          <w:sz w:val="24"/>
        </w:rPr>
        <w:t> </w:t>
      </w:r>
      <w:r>
        <w:rPr>
          <w:sz w:val="24"/>
        </w:rPr>
        <w:t>of</w:t>
      </w:r>
      <w:r>
        <w:rPr>
          <w:spacing w:val="-18"/>
          <w:sz w:val="24"/>
        </w:rPr>
        <w:t> </w:t>
      </w:r>
      <w:r>
        <w:rPr>
          <w:sz w:val="24"/>
        </w:rPr>
        <w:t>FSI</w:t>
      </w:r>
      <w:r>
        <w:rPr>
          <w:spacing w:val="-16"/>
          <w:sz w:val="24"/>
        </w:rPr>
        <w:t> </w:t>
      </w:r>
      <w:r>
        <w:rPr>
          <w:sz w:val="24"/>
        </w:rPr>
        <w:t>computation.</w:t>
      </w:r>
      <w:r>
        <w:rPr>
          <w:spacing w:val="-18"/>
          <w:sz w:val="24"/>
        </w:rPr>
        <w:t> </w:t>
      </w:r>
      <w:r>
        <w:rPr>
          <w:sz w:val="24"/>
        </w:rPr>
        <w:t>Thereafter</w:t>
      </w:r>
      <w:r>
        <w:rPr>
          <w:spacing w:val="-18"/>
          <w:sz w:val="24"/>
        </w:rPr>
        <w:t> </w:t>
      </w:r>
      <w:r>
        <w:rPr>
          <w:sz w:val="24"/>
        </w:rPr>
        <w:t>the</w:t>
      </w:r>
      <w:r>
        <w:rPr>
          <w:spacing w:val="-18"/>
          <w:sz w:val="24"/>
        </w:rPr>
        <w:t> </w:t>
      </w:r>
      <w:r>
        <w:rPr>
          <w:sz w:val="24"/>
        </w:rPr>
        <w:t>land</w:t>
      </w:r>
      <w:r>
        <w:rPr>
          <w:spacing w:val="-17"/>
          <w:sz w:val="24"/>
        </w:rPr>
        <w:t> </w:t>
      </w:r>
      <w:r>
        <w:rPr>
          <w:sz w:val="24"/>
        </w:rPr>
        <w:t>may be</w:t>
      </w:r>
      <w:r>
        <w:rPr>
          <w:spacing w:val="-5"/>
          <w:sz w:val="24"/>
        </w:rPr>
        <w:t> </w:t>
      </w:r>
      <w:r>
        <w:rPr>
          <w:sz w:val="24"/>
        </w:rPr>
        <w:t>allowed</w:t>
      </w:r>
      <w:r>
        <w:rPr>
          <w:spacing w:val="-5"/>
          <w:sz w:val="24"/>
        </w:rPr>
        <w:t> </w:t>
      </w:r>
      <w:r>
        <w:rPr>
          <w:sz w:val="24"/>
        </w:rPr>
        <w:t>to</w:t>
      </w:r>
      <w:r>
        <w:rPr>
          <w:spacing w:val="-5"/>
          <w:sz w:val="24"/>
        </w:rPr>
        <w:t> </w:t>
      </w:r>
      <w:r>
        <w:rPr>
          <w:sz w:val="24"/>
        </w:rPr>
        <w:t>be</w:t>
      </w:r>
      <w:r>
        <w:rPr>
          <w:spacing w:val="-5"/>
          <w:sz w:val="24"/>
        </w:rPr>
        <w:t> </w:t>
      </w:r>
      <w:r>
        <w:rPr>
          <w:sz w:val="24"/>
        </w:rPr>
        <w:t>redeveloped</w:t>
      </w:r>
      <w:r>
        <w:rPr>
          <w:spacing w:val="-5"/>
          <w:sz w:val="24"/>
        </w:rPr>
        <w:t> </w:t>
      </w:r>
      <w:r>
        <w:rPr>
          <w:sz w:val="24"/>
        </w:rPr>
        <w:t>with</w:t>
      </w:r>
      <w:r>
        <w:rPr>
          <w:spacing w:val="-5"/>
          <w:sz w:val="24"/>
        </w:rPr>
        <w:t> </w:t>
      </w:r>
      <w:r>
        <w:rPr>
          <w:sz w:val="24"/>
        </w:rPr>
        <w:t>full</w:t>
      </w:r>
      <w:r>
        <w:rPr>
          <w:spacing w:val="-5"/>
          <w:sz w:val="24"/>
        </w:rPr>
        <w:t> </w:t>
      </w:r>
      <w:r>
        <w:rPr>
          <w:sz w:val="24"/>
        </w:rPr>
        <w:t>permissible</w:t>
      </w:r>
      <w:r>
        <w:rPr>
          <w:spacing w:val="-5"/>
          <w:sz w:val="24"/>
        </w:rPr>
        <w:t> </w:t>
      </w:r>
      <w:r>
        <w:rPr>
          <w:sz w:val="24"/>
        </w:rPr>
        <w:t>FSI</w:t>
      </w:r>
      <w:r>
        <w:rPr>
          <w:spacing w:val="-4"/>
          <w:sz w:val="24"/>
        </w:rPr>
        <w:t> </w:t>
      </w:r>
      <w:r>
        <w:rPr>
          <w:sz w:val="24"/>
        </w:rPr>
        <w:t>of</w:t>
      </w:r>
      <w:r>
        <w:rPr>
          <w:spacing w:val="-5"/>
          <w:sz w:val="24"/>
        </w:rPr>
        <w:t> </w:t>
      </w:r>
      <w:r>
        <w:rPr>
          <w:sz w:val="24"/>
        </w:rPr>
        <w:t>the</w:t>
      </w:r>
      <w:r>
        <w:rPr>
          <w:spacing w:val="-5"/>
          <w:sz w:val="24"/>
        </w:rPr>
        <w:t> </w:t>
      </w:r>
      <w:r>
        <w:rPr>
          <w:sz w:val="24"/>
        </w:rPr>
        <w:t>plot</w:t>
      </w:r>
      <w:r>
        <w:rPr>
          <w:spacing w:val="-5"/>
          <w:sz w:val="24"/>
        </w:rPr>
        <w:t> </w:t>
      </w:r>
      <w:r>
        <w:rPr>
          <w:sz w:val="24"/>
        </w:rPr>
        <w:t>according</w:t>
      </w:r>
      <w:r>
        <w:rPr>
          <w:spacing w:val="-5"/>
          <w:sz w:val="24"/>
        </w:rPr>
        <w:t> </w:t>
      </w:r>
      <w:r>
        <w:rPr>
          <w:sz w:val="24"/>
        </w:rPr>
        <w:t>to this Regulation.</w:t>
      </w:r>
    </w:p>
    <w:p>
      <w:pPr>
        <w:pStyle w:val="ListParagraph"/>
        <w:numPr>
          <w:ilvl w:val="1"/>
          <w:numId w:val="93"/>
        </w:numPr>
        <w:tabs>
          <w:tab w:pos="1518" w:val="left" w:leader="none"/>
        </w:tabs>
        <w:spacing w:line="278" w:lineRule="auto" w:before="1" w:after="0"/>
        <w:ind w:left="1080" w:right="1079" w:firstLine="0"/>
        <w:jc w:val="both"/>
        <w:rPr>
          <w:sz w:val="24"/>
        </w:rPr>
      </w:pPr>
      <w:r>
        <w:rPr>
          <w:sz w:val="24"/>
        </w:rPr>
        <w:t>In case of the plot reserved for the Parking Lot, 125%BUA as per Zonal (basic) FSI of such reserved area shall be constructed.</w:t>
      </w:r>
    </w:p>
    <w:p>
      <w:pPr>
        <w:pStyle w:val="ListParagraph"/>
        <w:numPr>
          <w:ilvl w:val="1"/>
          <w:numId w:val="93"/>
        </w:numPr>
        <w:tabs>
          <w:tab w:pos="1456" w:val="left" w:leader="none"/>
        </w:tabs>
        <w:spacing w:line="240" w:lineRule="auto" w:before="196" w:after="0"/>
        <w:ind w:left="1080" w:right="1080" w:firstLine="0"/>
        <w:jc w:val="both"/>
        <w:rPr>
          <w:sz w:val="24"/>
        </w:rPr>
      </w:pPr>
      <w:r>
        <w:rPr>
          <w:sz w:val="24"/>
        </w:rPr>
        <w:t>Existing structures on lands reserved for Rehabilitation &amp; Resettlement (RR</w:t>
      </w:r>
      <w:r>
        <w:rPr>
          <w:spacing w:val="-12"/>
          <w:sz w:val="24"/>
        </w:rPr>
        <w:t> </w:t>
      </w:r>
      <w:r>
        <w:rPr>
          <w:sz w:val="24"/>
        </w:rPr>
        <w:t>2.1)</w:t>
      </w:r>
      <w:r>
        <w:rPr>
          <w:spacing w:val="-12"/>
          <w:sz w:val="24"/>
        </w:rPr>
        <w:t> </w:t>
      </w:r>
      <w:r>
        <w:rPr>
          <w:sz w:val="24"/>
        </w:rPr>
        <w:t>shall</w:t>
      </w:r>
      <w:r>
        <w:rPr>
          <w:spacing w:val="-12"/>
          <w:sz w:val="24"/>
        </w:rPr>
        <w:t> </w:t>
      </w:r>
      <w:r>
        <w:rPr>
          <w:sz w:val="24"/>
        </w:rPr>
        <w:t>be</w:t>
      </w:r>
      <w:r>
        <w:rPr>
          <w:spacing w:val="-12"/>
          <w:sz w:val="24"/>
        </w:rPr>
        <w:t> </w:t>
      </w:r>
      <w:r>
        <w:rPr>
          <w:sz w:val="24"/>
        </w:rPr>
        <w:t>treated</w:t>
      </w:r>
      <w:r>
        <w:rPr>
          <w:spacing w:val="-12"/>
          <w:sz w:val="24"/>
        </w:rPr>
        <w:t> </w:t>
      </w:r>
      <w:r>
        <w:rPr>
          <w:sz w:val="24"/>
        </w:rPr>
        <w:t>as</w:t>
      </w:r>
      <w:r>
        <w:rPr>
          <w:spacing w:val="-12"/>
          <w:sz w:val="24"/>
        </w:rPr>
        <w:t> </w:t>
      </w:r>
      <w:r>
        <w:rPr>
          <w:sz w:val="24"/>
        </w:rPr>
        <w:t>sites</w:t>
      </w:r>
      <w:r>
        <w:rPr>
          <w:spacing w:val="-12"/>
          <w:sz w:val="24"/>
        </w:rPr>
        <w:t> </w:t>
      </w:r>
      <w:r>
        <w:rPr>
          <w:sz w:val="24"/>
        </w:rPr>
        <w:t>for</w:t>
      </w:r>
      <w:r>
        <w:rPr>
          <w:spacing w:val="-12"/>
          <w:sz w:val="24"/>
        </w:rPr>
        <w:t> </w:t>
      </w:r>
      <w:r>
        <w:rPr>
          <w:sz w:val="24"/>
        </w:rPr>
        <w:t>development</w:t>
      </w:r>
      <w:r>
        <w:rPr>
          <w:spacing w:val="-12"/>
          <w:sz w:val="24"/>
        </w:rPr>
        <w:t> </w:t>
      </w:r>
      <w:r>
        <w:rPr>
          <w:sz w:val="24"/>
        </w:rPr>
        <w:t>of</w:t>
      </w:r>
      <w:r>
        <w:rPr>
          <w:spacing w:val="-12"/>
          <w:sz w:val="24"/>
        </w:rPr>
        <w:t> </w:t>
      </w:r>
      <w:r>
        <w:rPr>
          <w:sz w:val="24"/>
        </w:rPr>
        <w:t>such</w:t>
      </w:r>
      <w:r>
        <w:rPr>
          <w:spacing w:val="-12"/>
          <w:sz w:val="24"/>
        </w:rPr>
        <w:t> </w:t>
      </w:r>
      <w:r>
        <w:rPr>
          <w:sz w:val="24"/>
        </w:rPr>
        <w:t>structures</w:t>
      </w:r>
      <w:r>
        <w:rPr>
          <w:spacing w:val="-12"/>
          <w:sz w:val="24"/>
        </w:rPr>
        <w:t> </w:t>
      </w:r>
      <w:r>
        <w:rPr>
          <w:sz w:val="24"/>
        </w:rPr>
        <w:t>and</w:t>
      </w:r>
      <w:r>
        <w:rPr>
          <w:spacing w:val="-12"/>
          <w:sz w:val="24"/>
        </w:rPr>
        <w:t> </w:t>
      </w:r>
      <w:r>
        <w:rPr>
          <w:sz w:val="24"/>
        </w:rPr>
        <w:t>shall be allowed for redevelopment according to this Regulation.(vi)</w:t>
      </w:r>
      <w:r>
        <w:rPr>
          <w:spacing w:val="40"/>
          <w:sz w:val="24"/>
        </w:rPr>
        <w:t> </w:t>
      </w:r>
      <w:r>
        <w:rPr>
          <w:sz w:val="24"/>
        </w:rPr>
        <w:t>For other buildable reservations excluding (ii),(iii), (iv) &amp; (v) above and reservations </w:t>
      </w:r>
      <w:r>
        <w:rPr>
          <w:sz w:val="24"/>
        </w:rPr>
        <w:t>as reflected in the table</w:t>
      </w:r>
      <w:r>
        <w:rPr>
          <w:spacing w:val="-3"/>
          <w:sz w:val="24"/>
        </w:rPr>
        <w:t> </w:t>
      </w:r>
      <w:r>
        <w:rPr>
          <w:sz w:val="24"/>
        </w:rPr>
        <w:t>no 4 of Regulation</w:t>
      </w:r>
      <w:r>
        <w:rPr>
          <w:spacing w:val="-2"/>
          <w:sz w:val="24"/>
        </w:rPr>
        <w:t> </w:t>
      </w:r>
      <w:r>
        <w:rPr>
          <w:sz w:val="24"/>
        </w:rPr>
        <w:t>No 17(1), BUA equal</w:t>
      </w:r>
      <w:r>
        <w:rPr>
          <w:spacing w:val="-3"/>
          <w:sz w:val="24"/>
        </w:rPr>
        <w:t> </w:t>
      </w:r>
      <w:r>
        <w:rPr>
          <w:sz w:val="24"/>
        </w:rPr>
        <w:t>to 25 percent of the area under that reservation in that plot, shall be constructed.</w:t>
      </w:r>
    </w:p>
    <w:p>
      <w:pPr>
        <w:pStyle w:val="Heading6"/>
        <w:numPr>
          <w:ilvl w:val="0"/>
          <w:numId w:val="92"/>
        </w:numPr>
        <w:tabs>
          <w:tab w:pos="1451" w:val="left" w:leader="none"/>
        </w:tabs>
        <w:spacing w:line="240" w:lineRule="auto" w:before="237" w:after="0"/>
        <w:ind w:left="1080" w:right="1077" w:firstLine="0"/>
        <w:jc w:val="both"/>
      </w:pPr>
      <w:r>
        <w:rPr/>
        <w:t>(I)</w:t>
      </w:r>
      <w:r>
        <w:rPr>
          <w:spacing w:val="-7"/>
        </w:rPr>
        <w:t> </w:t>
      </w:r>
      <w:r>
        <w:rPr/>
        <w:t>Development</w:t>
      </w:r>
      <w:r>
        <w:rPr>
          <w:spacing w:val="-7"/>
        </w:rPr>
        <w:t> </w:t>
      </w:r>
      <w:r>
        <w:rPr/>
        <w:t>of</w:t>
      </w:r>
      <w:r>
        <w:rPr>
          <w:spacing w:val="-7"/>
        </w:rPr>
        <w:t> </w:t>
      </w:r>
      <w:r>
        <w:rPr/>
        <w:t>reservation</w:t>
      </w:r>
      <w:r>
        <w:rPr>
          <w:spacing w:val="-7"/>
        </w:rPr>
        <w:t> </w:t>
      </w:r>
      <w:r>
        <w:rPr/>
        <w:t>in</w:t>
      </w:r>
      <w:r>
        <w:rPr>
          <w:spacing w:val="-6"/>
        </w:rPr>
        <w:t> </w:t>
      </w:r>
      <w:r>
        <w:rPr/>
        <w:t>Reconstruction</w:t>
      </w:r>
      <w:r>
        <w:rPr>
          <w:spacing w:val="-7"/>
        </w:rPr>
        <w:t> </w:t>
      </w:r>
      <w:r>
        <w:rPr/>
        <w:t>or</w:t>
      </w:r>
      <w:r>
        <w:rPr>
          <w:spacing w:val="-7"/>
        </w:rPr>
        <w:t> </w:t>
      </w:r>
      <w:r>
        <w:rPr/>
        <w:t>redevelopment</w:t>
      </w:r>
      <w:r>
        <w:rPr>
          <w:spacing w:val="-7"/>
        </w:rPr>
        <w:t> </w:t>
      </w:r>
      <w:r>
        <w:rPr/>
        <w:t>of Cluster(s) of Buildings under Cluster Development </w:t>
      </w:r>
      <w:r>
        <w:rPr/>
        <w:t>Scheme(s)under Regulation No. 33(9):</w:t>
      </w:r>
    </w:p>
    <w:p>
      <w:pPr>
        <w:pStyle w:val="ListParagraph"/>
        <w:numPr>
          <w:ilvl w:val="1"/>
          <w:numId w:val="92"/>
        </w:numPr>
        <w:tabs>
          <w:tab w:pos="1361" w:val="left" w:leader="none"/>
        </w:tabs>
        <w:spacing w:line="240" w:lineRule="auto" w:before="245" w:after="0"/>
        <w:ind w:left="1080" w:right="1095" w:firstLine="0"/>
        <w:jc w:val="both"/>
        <w:rPr>
          <w:sz w:val="24"/>
        </w:rPr>
      </w:pPr>
      <w:r>
        <w:rPr>
          <w:sz w:val="24"/>
        </w:rPr>
        <w:t>Redevelopment/reconstruction in any zone shall be allowed to be undertaken</w:t>
      </w:r>
      <w:r>
        <w:rPr>
          <w:spacing w:val="40"/>
          <w:sz w:val="24"/>
        </w:rPr>
        <w:t> </w:t>
      </w:r>
      <w:r>
        <w:rPr>
          <w:sz w:val="24"/>
        </w:rPr>
        <w:t>without</w:t>
      </w:r>
      <w:r>
        <w:rPr>
          <w:spacing w:val="40"/>
          <w:sz w:val="24"/>
        </w:rPr>
        <w:t> </w:t>
      </w:r>
      <w:r>
        <w:rPr>
          <w:sz w:val="24"/>
        </w:rPr>
        <w:t>going</w:t>
      </w:r>
      <w:r>
        <w:rPr>
          <w:spacing w:val="40"/>
          <w:sz w:val="24"/>
        </w:rPr>
        <w:t> </w:t>
      </w:r>
      <w:r>
        <w:rPr>
          <w:sz w:val="24"/>
        </w:rPr>
        <w:t>through</w:t>
      </w:r>
      <w:r>
        <w:rPr>
          <w:spacing w:val="40"/>
          <w:sz w:val="24"/>
        </w:rPr>
        <w:t> </w:t>
      </w:r>
      <w:r>
        <w:rPr>
          <w:sz w:val="24"/>
        </w:rPr>
        <w:t>the</w:t>
      </w:r>
      <w:r>
        <w:rPr>
          <w:spacing w:val="40"/>
          <w:sz w:val="24"/>
        </w:rPr>
        <w:t> </w:t>
      </w:r>
      <w:r>
        <w:rPr>
          <w:sz w:val="24"/>
        </w:rPr>
        <w:t>process</w:t>
      </w:r>
      <w:r>
        <w:rPr>
          <w:spacing w:val="40"/>
          <w:sz w:val="24"/>
        </w:rPr>
        <w:t> </w:t>
      </w:r>
      <w:r>
        <w:rPr>
          <w:sz w:val="24"/>
        </w:rPr>
        <w:t>of</w:t>
      </w:r>
      <w:r>
        <w:rPr>
          <w:spacing w:val="40"/>
          <w:sz w:val="24"/>
        </w:rPr>
        <w:t> </w:t>
      </w:r>
      <w:r>
        <w:rPr>
          <w:sz w:val="24"/>
        </w:rPr>
        <w:t>change</w:t>
      </w:r>
      <w:r>
        <w:rPr>
          <w:spacing w:val="40"/>
          <w:sz w:val="24"/>
        </w:rPr>
        <w:t> </w:t>
      </w:r>
      <w:r>
        <w:rPr>
          <w:sz w:val="24"/>
        </w:rPr>
        <w:t>of</w:t>
      </w:r>
      <w:r>
        <w:rPr>
          <w:spacing w:val="40"/>
          <w:sz w:val="24"/>
        </w:rPr>
        <w:t> </w:t>
      </w:r>
      <w:r>
        <w:rPr>
          <w:sz w:val="24"/>
        </w:rPr>
        <w:t>zone. However,</w:t>
      </w:r>
      <w:r>
        <w:rPr>
          <w:spacing w:val="40"/>
          <w:sz w:val="24"/>
        </w:rPr>
        <w:t> </w:t>
      </w:r>
      <w:r>
        <w:rPr>
          <w:sz w:val="24"/>
        </w:rPr>
        <w:t>for</w:t>
      </w:r>
      <w:r>
        <w:rPr>
          <w:spacing w:val="40"/>
          <w:sz w:val="24"/>
        </w:rPr>
        <w:t> </w:t>
      </w:r>
      <w:r>
        <w:rPr>
          <w:sz w:val="24"/>
        </w:rPr>
        <w:t>the</w:t>
      </w:r>
      <w:r>
        <w:rPr>
          <w:spacing w:val="40"/>
          <w:sz w:val="24"/>
        </w:rPr>
        <w:t> </w:t>
      </w:r>
      <w:r>
        <w:rPr>
          <w:sz w:val="24"/>
        </w:rPr>
        <w:t>industrial</w:t>
      </w:r>
      <w:r>
        <w:rPr>
          <w:spacing w:val="40"/>
          <w:sz w:val="24"/>
        </w:rPr>
        <w:t> </w:t>
      </w:r>
      <w:r>
        <w:rPr>
          <w:sz w:val="24"/>
        </w:rPr>
        <w:t>user,</w:t>
      </w:r>
      <w:r>
        <w:rPr>
          <w:spacing w:val="40"/>
          <w:sz w:val="24"/>
        </w:rPr>
        <w:t> </w:t>
      </w:r>
      <w:r>
        <w:rPr>
          <w:sz w:val="24"/>
        </w:rPr>
        <w:t>the</w:t>
      </w:r>
      <w:r>
        <w:rPr>
          <w:spacing w:val="40"/>
          <w:sz w:val="24"/>
        </w:rPr>
        <w:t> </w:t>
      </w:r>
      <w:r>
        <w:rPr>
          <w:sz w:val="24"/>
        </w:rPr>
        <w:t>existing</w:t>
      </w:r>
      <w:r>
        <w:rPr>
          <w:spacing w:val="40"/>
          <w:sz w:val="24"/>
        </w:rPr>
        <w:t> </w:t>
      </w:r>
      <w:r>
        <w:rPr>
          <w:sz w:val="24"/>
        </w:rPr>
        <w:t>segregating</w:t>
      </w:r>
      <w:r>
        <w:rPr>
          <w:spacing w:val="40"/>
          <w:sz w:val="24"/>
        </w:rPr>
        <w:t> </w:t>
      </w:r>
      <w:r>
        <w:rPr>
          <w:sz w:val="24"/>
        </w:rPr>
        <w:t>distance</w:t>
      </w:r>
      <w:r>
        <w:rPr>
          <w:spacing w:val="40"/>
          <w:sz w:val="24"/>
        </w:rPr>
        <w:t> </w:t>
      </w:r>
      <w:r>
        <w:rPr>
          <w:sz w:val="24"/>
        </w:rPr>
        <w:t>shall be</w:t>
      </w:r>
      <w:r>
        <w:rPr>
          <w:spacing w:val="80"/>
          <w:sz w:val="24"/>
        </w:rPr>
        <w:t> </w:t>
      </w:r>
      <w:r>
        <w:rPr>
          <w:sz w:val="24"/>
        </w:rPr>
        <w:t>maintained</w:t>
      </w:r>
      <w:r>
        <w:rPr>
          <w:spacing w:val="80"/>
          <w:sz w:val="24"/>
        </w:rPr>
        <w:t> </w:t>
      </w:r>
      <w:r>
        <w:rPr>
          <w:sz w:val="24"/>
        </w:rPr>
        <w:t>from</w:t>
      </w:r>
      <w:r>
        <w:rPr>
          <w:spacing w:val="80"/>
          <w:sz w:val="24"/>
        </w:rPr>
        <w:t> </w:t>
      </w:r>
      <w:r>
        <w:rPr>
          <w:sz w:val="24"/>
        </w:rPr>
        <w:t>the</w:t>
      </w:r>
      <w:r>
        <w:rPr>
          <w:spacing w:val="80"/>
          <w:sz w:val="24"/>
        </w:rPr>
        <w:t> </w:t>
      </w:r>
      <w:r>
        <w:rPr>
          <w:sz w:val="24"/>
        </w:rPr>
        <w:t>existing</w:t>
      </w:r>
      <w:r>
        <w:rPr>
          <w:spacing w:val="80"/>
          <w:sz w:val="24"/>
        </w:rPr>
        <w:t> </w:t>
      </w:r>
      <w:r>
        <w:rPr>
          <w:sz w:val="24"/>
        </w:rPr>
        <w:t>industrial</w:t>
      </w:r>
      <w:r>
        <w:rPr>
          <w:spacing w:val="80"/>
          <w:sz w:val="24"/>
        </w:rPr>
        <w:t> </w:t>
      </w:r>
      <w:r>
        <w:rPr>
          <w:sz w:val="24"/>
        </w:rPr>
        <w:t>unit.</w:t>
      </w:r>
    </w:p>
    <w:p>
      <w:pPr>
        <w:pStyle w:val="ListParagraph"/>
        <w:numPr>
          <w:ilvl w:val="1"/>
          <w:numId w:val="92"/>
        </w:numPr>
        <w:tabs>
          <w:tab w:pos="1799" w:val="left" w:leader="none"/>
        </w:tabs>
        <w:spacing w:line="240" w:lineRule="auto" w:before="238" w:after="0"/>
        <w:ind w:left="1080" w:right="1087" w:firstLine="0"/>
        <w:jc w:val="both"/>
        <w:rPr>
          <w:sz w:val="24"/>
        </w:rPr>
      </w:pPr>
      <w:r>
        <w:rPr>
          <w:sz w:val="24"/>
        </w:rPr>
        <w:t>Any</w:t>
      </w:r>
      <w:r>
        <w:rPr>
          <w:spacing w:val="40"/>
          <w:sz w:val="24"/>
        </w:rPr>
        <w:t> </w:t>
      </w:r>
      <w:r>
        <w:rPr>
          <w:sz w:val="24"/>
        </w:rPr>
        <w:t>land</w:t>
      </w:r>
      <w:r>
        <w:rPr>
          <w:spacing w:val="40"/>
          <w:sz w:val="24"/>
        </w:rPr>
        <w:t> </w:t>
      </w:r>
      <w:r>
        <w:rPr>
          <w:sz w:val="24"/>
        </w:rPr>
        <w:t>under</w:t>
      </w:r>
      <w:r>
        <w:rPr>
          <w:spacing w:val="10"/>
          <w:sz w:val="24"/>
        </w:rPr>
        <w:t> non-</w:t>
      </w:r>
      <w:r>
        <w:rPr>
          <w:sz w:val="24"/>
        </w:rPr>
        <w:t>buildable/open</w:t>
      </w:r>
      <w:r>
        <w:rPr>
          <w:spacing w:val="40"/>
          <w:sz w:val="24"/>
        </w:rPr>
        <w:t> </w:t>
      </w:r>
      <w:r>
        <w:rPr>
          <w:sz w:val="24"/>
        </w:rPr>
        <w:t>space</w:t>
      </w:r>
      <w:r>
        <w:rPr>
          <w:spacing w:val="40"/>
          <w:sz w:val="24"/>
        </w:rPr>
        <w:t> </w:t>
      </w:r>
      <w:r>
        <w:rPr>
          <w:sz w:val="24"/>
        </w:rPr>
        <w:t>reservations, admeasuring up to 500 sq. m may be cleared by shifting the </w:t>
      </w:r>
      <w:r>
        <w:rPr>
          <w:spacing w:val="9"/>
          <w:sz w:val="24"/>
        </w:rPr>
        <w:t>existing </w:t>
      </w:r>
      <w:r>
        <w:rPr>
          <w:sz w:val="24"/>
        </w:rPr>
        <w:t>tenants</w:t>
      </w:r>
      <w:r>
        <w:rPr>
          <w:spacing w:val="40"/>
          <w:sz w:val="24"/>
        </w:rPr>
        <w:t> </w:t>
      </w:r>
      <w:r>
        <w:rPr>
          <w:sz w:val="24"/>
        </w:rPr>
        <w:t>from</w:t>
      </w:r>
      <w:r>
        <w:rPr>
          <w:spacing w:val="40"/>
          <w:sz w:val="24"/>
        </w:rPr>
        <w:t> </w:t>
      </w:r>
      <w:r>
        <w:rPr>
          <w:sz w:val="24"/>
        </w:rPr>
        <w:t>that</w:t>
      </w:r>
      <w:r>
        <w:rPr>
          <w:spacing w:val="40"/>
          <w:sz w:val="24"/>
        </w:rPr>
        <w:t> </w:t>
      </w:r>
      <w:r>
        <w:rPr>
          <w:sz w:val="24"/>
        </w:rPr>
        <w:t>site.</w:t>
      </w:r>
    </w:p>
    <w:p>
      <w:pPr>
        <w:pStyle w:val="ListParagraph"/>
        <w:numPr>
          <w:ilvl w:val="1"/>
          <w:numId w:val="92"/>
        </w:numPr>
        <w:tabs>
          <w:tab w:pos="1798" w:val="left" w:leader="none"/>
        </w:tabs>
        <w:spacing w:line="240" w:lineRule="auto" w:before="241" w:after="0"/>
        <w:ind w:left="1080" w:right="1088" w:firstLine="0"/>
        <w:jc w:val="both"/>
        <w:rPr>
          <w:sz w:val="24"/>
        </w:rPr>
      </w:pPr>
      <w:r>
        <w:rPr>
          <w:sz w:val="24"/>
        </w:rPr>
        <w:t>If the area under a </w:t>
      </w:r>
      <w:r>
        <w:rPr>
          <w:spacing w:val="10"/>
          <w:sz w:val="24"/>
        </w:rPr>
        <w:t>non-</w:t>
      </w:r>
      <w:r>
        <w:rPr>
          <w:sz w:val="24"/>
        </w:rPr>
        <w:t>buildable/ open space reservation is more than 500 sq. m, minimum 50% of the area under reservation shall be developed</w:t>
      </w:r>
      <w:r>
        <w:rPr>
          <w:spacing w:val="65"/>
          <w:sz w:val="24"/>
        </w:rPr>
        <w:t> </w:t>
      </w:r>
      <w:r>
        <w:rPr>
          <w:sz w:val="24"/>
        </w:rPr>
        <w:t>for</w:t>
      </w:r>
      <w:r>
        <w:rPr>
          <w:spacing w:val="69"/>
          <w:sz w:val="24"/>
        </w:rPr>
        <w:t> </w:t>
      </w:r>
      <w:r>
        <w:rPr>
          <w:sz w:val="24"/>
        </w:rPr>
        <w:t>the</w:t>
      </w:r>
      <w:r>
        <w:rPr>
          <w:spacing w:val="65"/>
          <w:sz w:val="24"/>
        </w:rPr>
        <w:t> </w:t>
      </w:r>
      <w:r>
        <w:rPr>
          <w:sz w:val="24"/>
        </w:rPr>
        <w:t>same</w:t>
      </w:r>
      <w:r>
        <w:rPr>
          <w:spacing w:val="65"/>
          <w:sz w:val="24"/>
        </w:rPr>
        <w:t> </w:t>
      </w:r>
      <w:r>
        <w:rPr>
          <w:sz w:val="24"/>
        </w:rPr>
        <w:t>purpose</w:t>
      </w:r>
      <w:r>
        <w:rPr>
          <w:spacing w:val="65"/>
          <w:sz w:val="24"/>
        </w:rPr>
        <w:t> </w:t>
      </w:r>
      <w:r>
        <w:rPr>
          <w:sz w:val="24"/>
        </w:rPr>
        <w:t>and</w:t>
      </w:r>
      <w:r>
        <w:rPr>
          <w:spacing w:val="68"/>
          <w:sz w:val="24"/>
        </w:rPr>
        <w:t> </w:t>
      </w:r>
      <w:r>
        <w:rPr>
          <w:sz w:val="24"/>
        </w:rPr>
        <w:t>handed</w:t>
      </w:r>
      <w:r>
        <w:rPr>
          <w:spacing w:val="65"/>
          <w:sz w:val="24"/>
        </w:rPr>
        <w:t> </w:t>
      </w:r>
      <w:r>
        <w:rPr>
          <w:sz w:val="24"/>
        </w:rPr>
        <w:t>over</w:t>
      </w:r>
      <w:r>
        <w:rPr>
          <w:spacing w:val="65"/>
          <w:sz w:val="24"/>
        </w:rPr>
        <w:t> </w:t>
      </w:r>
      <w:r>
        <w:rPr>
          <w:sz w:val="24"/>
        </w:rPr>
        <w:t>to</w:t>
      </w:r>
      <w:r>
        <w:rPr>
          <w:spacing w:val="65"/>
          <w:sz w:val="24"/>
        </w:rPr>
        <w:t> </w:t>
      </w:r>
      <w:r>
        <w:rPr>
          <w:sz w:val="24"/>
        </w:rPr>
        <w:t>MCGM,</w:t>
      </w:r>
      <w:r>
        <w:rPr>
          <w:spacing w:val="65"/>
          <w:sz w:val="24"/>
        </w:rPr>
        <w:t> </w:t>
      </w:r>
      <w:r>
        <w:rPr>
          <w:sz w:val="24"/>
        </w:rPr>
        <w:t>subject</w:t>
      </w:r>
      <w:r>
        <w:rPr>
          <w:spacing w:val="65"/>
          <w:sz w:val="24"/>
        </w:rPr>
        <w:t> </w:t>
      </w:r>
      <w:r>
        <w:rPr>
          <w:sz w:val="24"/>
        </w:rPr>
        <w:t>to a minimum of 500 sq. m and the </w:t>
      </w:r>
      <w:r>
        <w:rPr>
          <w:spacing w:val="9"/>
          <w:sz w:val="24"/>
        </w:rPr>
        <w:t>remaining</w:t>
      </w:r>
      <w:r>
        <w:rPr>
          <w:spacing w:val="9"/>
          <w:sz w:val="24"/>
        </w:rPr>
        <w:t> </w:t>
      </w:r>
      <w:r>
        <w:rPr>
          <w:sz w:val="24"/>
        </w:rPr>
        <w:t>land shall be allowed for </w:t>
      </w:r>
      <w:r>
        <w:rPr>
          <w:spacing w:val="7"/>
          <w:sz w:val="24"/>
        </w:rPr>
        <w:t>development.</w:t>
      </w:r>
    </w:p>
    <w:p>
      <w:pPr>
        <w:pStyle w:val="ListParagraph"/>
        <w:spacing w:after="0" w:line="240" w:lineRule="auto"/>
        <w:jc w:val="both"/>
        <w:rPr>
          <w:sz w:val="24"/>
        </w:rPr>
        <w:sectPr>
          <w:pgSz w:w="11910" w:h="16840"/>
          <w:pgMar w:header="746" w:footer="968" w:top="1180" w:bottom="1160" w:left="360" w:right="360"/>
        </w:sectPr>
      </w:pPr>
    </w:p>
    <w:p>
      <w:pPr>
        <w:pStyle w:val="ListParagraph"/>
        <w:numPr>
          <w:ilvl w:val="1"/>
          <w:numId w:val="92"/>
        </w:numPr>
        <w:tabs>
          <w:tab w:pos="1448" w:val="left" w:leader="none"/>
        </w:tabs>
        <w:spacing w:line="240" w:lineRule="auto" w:before="251" w:after="0"/>
        <w:ind w:left="1080" w:right="1108" w:firstLine="0"/>
        <w:jc w:val="both"/>
        <w:rPr>
          <w:sz w:val="24"/>
        </w:rPr>
      </w:pPr>
      <w:r>
        <w:rPr>
          <w:sz w:val="24"/>
        </w:rPr>
        <w:t>All</w:t>
      </w:r>
      <w:r>
        <w:rPr>
          <w:spacing w:val="40"/>
          <w:sz w:val="24"/>
        </w:rPr>
        <w:t> </w:t>
      </w:r>
      <w:r>
        <w:rPr>
          <w:sz w:val="24"/>
        </w:rPr>
        <w:t>the</w:t>
      </w:r>
      <w:r>
        <w:rPr>
          <w:spacing w:val="40"/>
          <w:sz w:val="24"/>
        </w:rPr>
        <w:t> </w:t>
      </w:r>
      <w:r>
        <w:rPr>
          <w:sz w:val="24"/>
        </w:rPr>
        <w:t>reservations</w:t>
      </w:r>
      <w:r>
        <w:rPr>
          <w:spacing w:val="40"/>
          <w:sz w:val="24"/>
        </w:rPr>
        <w:t> </w:t>
      </w:r>
      <w:r>
        <w:rPr>
          <w:sz w:val="24"/>
        </w:rPr>
        <w:t>in</w:t>
      </w:r>
      <w:r>
        <w:rPr>
          <w:spacing w:val="40"/>
          <w:sz w:val="24"/>
        </w:rPr>
        <w:t> </w:t>
      </w:r>
      <w:r>
        <w:rPr>
          <w:sz w:val="24"/>
        </w:rPr>
        <w:t>the</w:t>
      </w:r>
      <w:r>
        <w:rPr>
          <w:spacing w:val="40"/>
          <w:sz w:val="24"/>
        </w:rPr>
        <w:t> </w:t>
      </w:r>
      <w:r>
        <w:rPr>
          <w:sz w:val="24"/>
        </w:rPr>
        <w:t>DP</w:t>
      </w:r>
      <w:r>
        <w:rPr>
          <w:spacing w:val="40"/>
          <w:sz w:val="24"/>
        </w:rPr>
        <w:t> </w:t>
      </w:r>
      <w:r>
        <w:rPr>
          <w:sz w:val="24"/>
        </w:rPr>
        <w:t>shall</w:t>
      </w:r>
      <w:r>
        <w:rPr>
          <w:spacing w:val="40"/>
          <w:sz w:val="24"/>
        </w:rPr>
        <w:t> </w:t>
      </w:r>
      <w:r>
        <w:rPr>
          <w:sz w:val="24"/>
        </w:rPr>
        <w:t>be</w:t>
      </w:r>
      <w:r>
        <w:rPr>
          <w:spacing w:val="40"/>
          <w:sz w:val="24"/>
        </w:rPr>
        <w:t> </w:t>
      </w:r>
      <w:r>
        <w:rPr>
          <w:sz w:val="24"/>
        </w:rPr>
        <w:t>rearranged,</w:t>
      </w:r>
      <w:r>
        <w:rPr>
          <w:spacing w:val="40"/>
          <w:sz w:val="24"/>
        </w:rPr>
        <w:t> </w:t>
      </w:r>
      <w:r>
        <w:rPr>
          <w:sz w:val="24"/>
        </w:rPr>
        <w:t>if</w:t>
      </w:r>
      <w:r>
        <w:rPr>
          <w:spacing w:val="40"/>
          <w:sz w:val="24"/>
        </w:rPr>
        <w:t> </w:t>
      </w:r>
      <w:r>
        <w:rPr>
          <w:sz w:val="24"/>
        </w:rPr>
        <w:t>necessary,</w:t>
      </w:r>
      <w:r>
        <w:rPr>
          <w:spacing w:val="40"/>
          <w:sz w:val="24"/>
        </w:rPr>
        <w:t> </w:t>
      </w:r>
      <w:r>
        <w:rPr>
          <w:sz w:val="24"/>
        </w:rPr>
        <w:t>with the same area and the same width of access road or as required under DCPR,</w:t>
      </w:r>
      <w:r>
        <w:rPr>
          <w:spacing w:val="40"/>
          <w:sz w:val="24"/>
        </w:rPr>
        <w:t> </w:t>
      </w:r>
      <w:r>
        <w:rPr>
          <w:sz w:val="24"/>
        </w:rPr>
        <w:t>whichever</w:t>
      </w:r>
      <w:r>
        <w:rPr>
          <w:spacing w:val="40"/>
          <w:sz w:val="24"/>
        </w:rPr>
        <w:t> </w:t>
      </w:r>
      <w:r>
        <w:rPr>
          <w:sz w:val="24"/>
        </w:rPr>
        <w:t>is</w:t>
      </w:r>
      <w:r>
        <w:rPr>
          <w:spacing w:val="40"/>
          <w:sz w:val="24"/>
        </w:rPr>
        <w:t> </w:t>
      </w:r>
      <w:r>
        <w:rPr>
          <w:sz w:val="24"/>
        </w:rPr>
        <w:t>more.</w:t>
      </w:r>
    </w:p>
    <w:p>
      <w:pPr>
        <w:pStyle w:val="ListParagraph"/>
        <w:numPr>
          <w:ilvl w:val="1"/>
          <w:numId w:val="92"/>
        </w:numPr>
        <w:tabs>
          <w:tab w:pos="1448" w:val="left" w:leader="none"/>
        </w:tabs>
        <w:spacing w:line="240" w:lineRule="auto" w:before="240" w:after="0"/>
        <w:ind w:left="1080" w:right="1091" w:firstLine="0"/>
        <w:jc w:val="both"/>
        <w:rPr>
          <w:sz w:val="24"/>
        </w:rPr>
      </w:pPr>
      <w:r>
        <w:rPr>
          <w:sz w:val="24"/>
        </w:rPr>
        <w:t>For</w:t>
      </w:r>
      <w:r>
        <w:rPr>
          <w:spacing w:val="40"/>
          <w:sz w:val="24"/>
        </w:rPr>
        <w:t> </w:t>
      </w:r>
      <w:r>
        <w:rPr>
          <w:sz w:val="24"/>
        </w:rPr>
        <w:t>the</w:t>
      </w:r>
      <w:r>
        <w:rPr>
          <w:spacing w:val="40"/>
          <w:sz w:val="24"/>
        </w:rPr>
        <w:t> </w:t>
      </w:r>
      <w:r>
        <w:rPr>
          <w:sz w:val="24"/>
        </w:rPr>
        <w:t>reservation</w:t>
      </w:r>
      <w:r>
        <w:rPr>
          <w:spacing w:val="40"/>
          <w:sz w:val="24"/>
        </w:rPr>
        <w:t> </w:t>
      </w:r>
      <w:r>
        <w:rPr>
          <w:sz w:val="24"/>
        </w:rPr>
        <w:t>of</w:t>
      </w:r>
      <w:r>
        <w:rPr>
          <w:spacing w:val="40"/>
          <w:sz w:val="24"/>
        </w:rPr>
        <w:t> </w:t>
      </w:r>
      <w:r>
        <w:rPr>
          <w:sz w:val="24"/>
        </w:rPr>
        <w:t>parking</w:t>
      </w:r>
      <w:r>
        <w:rPr>
          <w:spacing w:val="40"/>
          <w:sz w:val="24"/>
        </w:rPr>
        <w:t> </w:t>
      </w:r>
      <w:r>
        <w:rPr>
          <w:sz w:val="24"/>
        </w:rPr>
        <w:t>lot</w:t>
      </w:r>
      <w:r>
        <w:rPr>
          <w:spacing w:val="40"/>
          <w:sz w:val="24"/>
        </w:rPr>
        <w:t> </w:t>
      </w:r>
      <w:r>
        <w:rPr>
          <w:sz w:val="24"/>
        </w:rPr>
        <w:t>on</w:t>
      </w:r>
      <w:r>
        <w:rPr>
          <w:spacing w:val="40"/>
          <w:sz w:val="24"/>
        </w:rPr>
        <w:t> </w:t>
      </w:r>
      <w:r>
        <w:rPr>
          <w:sz w:val="24"/>
        </w:rPr>
        <w:t>a</w:t>
      </w:r>
      <w:r>
        <w:rPr>
          <w:spacing w:val="40"/>
          <w:sz w:val="24"/>
        </w:rPr>
        <w:t> </w:t>
      </w:r>
      <w:r>
        <w:rPr>
          <w:sz w:val="24"/>
        </w:rPr>
        <w:t>land</w:t>
      </w:r>
      <w:r>
        <w:rPr>
          <w:spacing w:val="40"/>
          <w:sz w:val="24"/>
        </w:rPr>
        <w:t> </w:t>
      </w:r>
      <w:r>
        <w:rPr>
          <w:sz w:val="24"/>
        </w:rPr>
        <w:t>included</w:t>
      </w:r>
      <w:r>
        <w:rPr>
          <w:spacing w:val="40"/>
          <w:sz w:val="24"/>
        </w:rPr>
        <w:t> </w:t>
      </w:r>
      <w:r>
        <w:rPr>
          <w:sz w:val="24"/>
        </w:rPr>
        <w:t>in</w:t>
      </w:r>
      <w:r>
        <w:rPr>
          <w:spacing w:val="40"/>
          <w:sz w:val="24"/>
        </w:rPr>
        <w:t> </w:t>
      </w:r>
      <w:r>
        <w:rPr>
          <w:sz w:val="24"/>
        </w:rPr>
        <w:t>CDS,</w:t>
      </w:r>
      <w:r>
        <w:rPr>
          <w:spacing w:val="40"/>
          <w:sz w:val="24"/>
        </w:rPr>
        <w:t> </w:t>
      </w:r>
      <w:r>
        <w:rPr>
          <w:sz w:val="24"/>
        </w:rPr>
        <w:t>125% BUA</w:t>
      </w:r>
      <w:r>
        <w:rPr>
          <w:spacing w:val="80"/>
          <w:w w:val="150"/>
          <w:sz w:val="24"/>
        </w:rPr>
        <w:t>  </w:t>
      </w:r>
      <w:r>
        <w:rPr>
          <w:sz w:val="24"/>
        </w:rPr>
        <w:t>as</w:t>
      </w:r>
      <w:r>
        <w:rPr>
          <w:spacing w:val="40"/>
          <w:sz w:val="24"/>
        </w:rPr>
        <w:t> </w:t>
      </w:r>
      <w:r>
        <w:rPr>
          <w:sz w:val="24"/>
        </w:rPr>
        <w:t>per</w:t>
      </w:r>
      <w:r>
        <w:rPr>
          <w:spacing w:val="40"/>
          <w:sz w:val="24"/>
        </w:rPr>
        <w:t> </w:t>
      </w:r>
      <w:r>
        <w:rPr>
          <w:sz w:val="24"/>
        </w:rPr>
        <w:t>Zonal</w:t>
      </w:r>
      <w:r>
        <w:rPr>
          <w:spacing w:val="40"/>
          <w:sz w:val="24"/>
        </w:rPr>
        <w:t> </w:t>
      </w:r>
      <w:r>
        <w:rPr>
          <w:sz w:val="24"/>
        </w:rPr>
        <w:t>(basic)</w:t>
      </w:r>
      <w:r>
        <w:rPr>
          <w:spacing w:val="40"/>
          <w:sz w:val="24"/>
        </w:rPr>
        <w:t> </w:t>
      </w:r>
      <w:r>
        <w:rPr>
          <w:sz w:val="24"/>
        </w:rPr>
        <w:t>FSI</w:t>
      </w:r>
      <w:r>
        <w:rPr>
          <w:spacing w:val="40"/>
          <w:sz w:val="24"/>
        </w:rPr>
        <w:t> </w:t>
      </w:r>
      <w:r>
        <w:rPr>
          <w:sz w:val="24"/>
        </w:rPr>
        <w:t>for</w:t>
      </w:r>
      <w:r>
        <w:rPr>
          <w:spacing w:val="40"/>
          <w:sz w:val="24"/>
        </w:rPr>
        <w:t> </w:t>
      </w:r>
      <w:r>
        <w:rPr>
          <w:sz w:val="24"/>
        </w:rPr>
        <w:t>the</w:t>
      </w:r>
      <w:r>
        <w:rPr>
          <w:spacing w:val="40"/>
          <w:sz w:val="24"/>
        </w:rPr>
        <w:t> </w:t>
      </w:r>
      <w:r>
        <w:rPr>
          <w:sz w:val="24"/>
        </w:rPr>
        <w:t>area</w:t>
      </w:r>
      <w:r>
        <w:rPr>
          <w:spacing w:val="40"/>
          <w:sz w:val="24"/>
        </w:rPr>
        <w:t> </w:t>
      </w:r>
      <w:r>
        <w:rPr>
          <w:sz w:val="24"/>
        </w:rPr>
        <w:t>under</w:t>
      </w:r>
      <w:r>
        <w:rPr>
          <w:spacing w:val="40"/>
          <w:sz w:val="24"/>
        </w:rPr>
        <w:t> </w:t>
      </w:r>
      <w:r>
        <w:rPr>
          <w:sz w:val="24"/>
        </w:rPr>
        <w:t>reservation</w:t>
      </w:r>
      <w:r>
        <w:rPr>
          <w:spacing w:val="40"/>
          <w:sz w:val="24"/>
        </w:rPr>
        <w:t> </w:t>
      </w:r>
      <w:r>
        <w:rPr>
          <w:sz w:val="24"/>
        </w:rPr>
        <w:t>in</w:t>
      </w:r>
      <w:r>
        <w:rPr>
          <w:spacing w:val="40"/>
          <w:sz w:val="24"/>
        </w:rPr>
        <w:t> </w:t>
      </w:r>
      <w:r>
        <w:rPr>
          <w:sz w:val="24"/>
        </w:rPr>
        <w:t>that plot shall be made available free of cost to the MCGM or to any other Appropriate</w:t>
      </w:r>
      <w:r>
        <w:rPr>
          <w:spacing w:val="40"/>
          <w:sz w:val="24"/>
        </w:rPr>
        <w:t> </w:t>
      </w:r>
      <w:r>
        <w:rPr>
          <w:sz w:val="24"/>
        </w:rPr>
        <w:t>Authority.</w:t>
      </w:r>
      <w:r>
        <w:rPr>
          <w:spacing w:val="40"/>
          <w:sz w:val="24"/>
        </w:rPr>
        <w:t> </w:t>
      </w:r>
      <w:r>
        <w:rPr>
          <w:sz w:val="24"/>
        </w:rPr>
        <w:t>Such</w:t>
      </w:r>
      <w:r>
        <w:rPr>
          <w:spacing w:val="40"/>
          <w:sz w:val="24"/>
        </w:rPr>
        <w:t> </w:t>
      </w:r>
      <w:r>
        <w:rPr>
          <w:sz w:val="24"/>
        </w:rPr>
        <w:t>BUA</w:t>
      </w:r>
      <w:r>
        <w:rPr>
          <w:spacing w:val="40"/>
          <w:sz w:val="24"/>
        </w:rPr>
        <w:t> </w:t>
      </w:r>
      <w:r>
        <w:rPr>
          <w:sz w:val="24"/>
        </w:rPr>
        <w:t>to</w:t>
      </w:r>
      <w:r>
        <w:rPr>
          <w:spacing w:val="40"/>
          <w:sz w:val="24"/>
        </w:rPr>
        <w:t> </w:t>
      </w:r>
      <w:r>
        <w:rPr>
          <w:sz w:val="24"/>
        </w:rPr>
        <w:t>be</w:t>
      </w:r>
      <w:r>
        <w:rPr>
          <w:spacing w:val="40"/>
          <w:sz w:val="24"/>
        </w:rPr>
        <w:t> </w:t>
      </w:r>
      <w:r>
        <w:rPr>
          <w:sz w:val="24"/>
        </w:rPr>
        <w:t>handed</w:t>
      </w:r>
      <w:r>
        <w:rPr>
          <w:spacing w:val="40"/>
          <w:sz w:val="24"/>
        </w:rPr>
        <w:t> </w:t>
      </w:r>
      <w:r>
        <w:rPr>
          <w:sz w:val="24"/>
        </w:rPr>
        <w:t>over</w:t>
      </w:r>
      <w:r>
        <w:rPr>
          <w:spacing w:val="40"/>
          <w:sz w:val="24"/>
        </w:rPr>
        <w:t> </w:t>
      </w:r>
      <w:r>
        <w:rPr>
          <w:sz w:val="24"/>
        </w:rPr>
        <w:t>shall</w:t>
      </w:r>
      <w:r>
        <w:rPr>
          <w:spacing w:val="40"/>
          <w:sz w:val="24"/>
        </w:rPr>
        <w:t> </w:t>
      </w:r>
      <w:r>
        <w:rPr>
          <w:sz w:val="24"/>
        </w:rPr>
        <w:t>be</w:t>
      </w:r>
      <w:r>
        <w:rPr>
          <w:spacing w:val="40"/>
          <w:sz w:val="24"/>
        </w:rPr>
        <w:t> </w:t>
      </w:r>
      <w:r>
        <w:rPr>
          <w:sz w:val="24"/>
        </w:rPr>
        <w:t>free</w:t>
      </w:r>
      <w:r>
        <w:rPr>
          <w:spacing w:val="40"/>
          <w:sz w:val="24"/>
        </w:rPr>
        <w:t> </w:t>
      </w:r>
      <w:r>
        <w:rPr>
          <w:sz w:val="24"/>
        </w:rPr>
        <w:t>of</w:t>
      </w:r>
      <w:r>
        <w:rPr>
          <w:spacing w:val="40"/>
          <w:sz w:val="24"/>
        </w:rPr>
        <w:t> </w:t>
      </w:r>
      <w:r>
        <w:rPr>
          <w:sz w:val="24"/>
        </w:rPr>
        <w:t>FSI.</w:t>
      </w:r>
    </w:p>
    <w:p>
      <w:pPr>
        <w:pStyle w:val="ListParagraph"/>
        <w:numPr>
          <w:ilvl w:val="1"/>
          <w:numId w:val="92"/>
        </w:numPr>
        <w:tabs>
          <w:tab w:pos="1369" w:val="left" w:leader="none"/>
        </w:tabs>
        <w:spacing w:line="240" w:lineRule="auto" w:before="241" w:after="0"/>
        <w:ind w:left="1080" w:right="1079" w:firstLine="0"/>
        <w:jc w:val="both"/>
        <w:rPr>
          <w:sz w:val="24"/>
        </w:rPr>
      </w:pPr>
      <w:r>
        <w:rPr>
          <w:sz w:val="24"/>
        </w:rPr>
        <w:t>For</w:t>
      </w:r>
      <w:r>
        <w:rPr>
          <w:spacing w:val="40"/>
          <w:sz w:val="24"/>
        </w:rPr>
        <w:t> </w:t>
      </w:r>
      <w:r>
        <w:rPr>
          <w:sz w:val="24"/>
        </w:rPr>
        <w:t>other</w:t>
      </w:r>
      <w:r>
        <w:rPr>
          <w:spacing w:val="40"/>
          <w:sz w:val="24"/>
        </w:rPr>
        <w:t> </w:t>
      </w:r>
      <w:r>
        <w:rPr>
          <w:sz w:val="24"/>
        </w:rPr>
        <w:t>buildable</w:t>
      </w:r>
      <w:r>
        <w:rPr>
          <w:spacing w:val="40"/>
          <w:sz w:val="24"/>
        </w:rPr>
        <w:t> </w:t>
      </w:r>
      <w:r>
        <w:rPr>
          <w:sz w:val="24"/>
        </w:rPr>
        <w:t>reservations</w:t>
      </w:r>
      <w:r>
        <w:rPr>
          <w:spacing w:val="40"/>
          <w:sz w:val="24"/>
        </w:rPr>
        <w:t> </w:t>
      </w:r>
      <w:r>
        <w:rPr>
          <w:sz w:val="24"/>
        </w:rPr>
        <w:t>on</w:t>
      </w:r>
      <w:r>
        <w:rPr>
          <w:spacing w:val="40"/>
          <w:sz w:val="24"/>
        </w:rPr>
        <w:t> </w:t>
      </w:r>
      <w:r>
        <w:rPr>
          <w:sz w:val="24"/>
        </w:rPr>
        <w:t>land,</w:t>
      </w:r>
      <w:r>
        <w:rPr>
          <w:spacing w:val="40"/>
          <w:sz w:val="24"/>
        </w:rPr>
        <w:t> </w:t>
      </w:r>
      <w:r>
        <w:rPr>
          <w:sz w:val="24"/>
        </w:rPr>
        <w:t>BUA</w:t>
      </w:r>
      <w:r>
        <w:rPr>
          <w:spacing w:val="40"/>
          <w:sz w:val="24"/>
        </w:rPr>
        <w:t> </w:t>
      </w:r>
      <w:r>
        <w:rPr>
          <w:sz w:val="24"/>
        </w:rPr>
        <w:t>equal</w:t>
      </w:r>
      <w:r>
        <w:rPr>
          <w:spacing w:val="40"/>
          <w:sz w:val="24"/>
        </w:rPr>
        <w:t> </w:t>
      </w:r>
      <w:r>
        <w:rPr>
          <w:sz w:val="24"/>
        </w:rPr>
        <w:t>to</w:t>
      </w:r>
      <w:r>
        <w:rPr>
          <w:spacing w:val="40"/>
          <w:sz w:val="24"/>
        </w:rPr>
        <w:t> </w:t>
      </w:r>
      <w:r>
        <w:rPr>
          <w:sz w:val="24"/>
        </w:rPr>
        <w:t>60%</w:t>
      </w:r>
      <w:r>
        <w:rPr>
          <w:spacing w:val="40"/>
          <w:sz w:val="24"/>
        </w:rPr>
        <w:t> </w:t>
      </w:r>
      <w:r>
        <w:rPr>
          <w:sz w:val="24"/>
        </w:rPr>
        <w:t>of</w:t>
      </w:r>
      <w:r>
        <w:rPr>
          <w:spacing w:val="40"/>
          <w:sz w:val="24"/>
        </w:rPr>
        <w:t> </w:t>
      </w:r>
      <w:r>
        <w:rPr>
          <w:sz w:val="24"/>
        </w:rPr>
        <w:t>the Zonal (basic) FSI under such reservations or existing BUA of the amenity(existing) whichever is more, on that plot shall be made available</w:t>
      </w:r>
      <w:r>
        <w:rPr>
          <w:spacing w:val="40"/>
          <w:sz w:val="24"/>
        </w:rPr>
        <w:t> </w:t>
      </w:r>
      <w:r>
        <w:rPr>
          <w:sz w:val="24"/>
        </w:rPr>
        <w:t>free</w:t>
      </w:r>
      <w:r>
        <w:rPr>
          <w:spacing w:val="40"/>
          <w:sz w:val="24"/>
        </w:rPr>
        <w:t> </w:t>
      </w:r>
      <w:r>
        <w:rPr>
          <w:sz w:val="24"/>
        </w:rPr>
        <w:t>of</w:t>
      </w:r>
      <w:r>
        <w:rPr>
          <w:spacing w:val="40"/>
          <w:sz w:val="24"/>
        </w:rPr>
        <w:t> </w:t>
      </w:r>
      <w:r>
        <w:rPr>
          <w:sz w:val="24"/>
        </w:rPr>
        <w:t>FSI</w:t>
      </w:r>
      <w:r>
        <w:rPr>
          <w:spacing w:val="40"/>
          <w:sz w:val="24"/>
        </w:rPr>
        <w:t> </w:t>
      </w:r>
      <w:r>
        <w:rPr>
          <w:sz w:val="24"/>
        </w:rPr>
        <w:t>and</w:t>
      </w:r>
      <w:r>
        <w:rPr>
          <w:spacing w:val="40"/>
          <w:sz w:val="24"/>
        </w:rPr>
        <w:t> </w:t>
      </w:r>
      <w:r>
        <w:rPr>
          <w:sz w:val="24"/>
        </w:rPr>
        <w:t>free</w:t>
      </w:r>
      <w:r>
        <w:rPr>
          <w:spacing w:val="40"/>
          <w:sz w:val="24"/>
        </w:rPr>
        <w:t> </w:t>
      </w:r>
      <w:r>
        <w:rPr>
          <w:sz w:val="24"/>
        </w:rPr>
        <w:t>of</w:t>
      </w:r>
      <w:r>
        <w:rPr>
          <w:spacing w:val="40"/>
          <w:sz w:val="24"/>
        </w:rPr>
        <w:t> </w:t>
      </w:r>
      <w:r>
        <w:rPr>
          <w:sz w:val="24"/>
        </w:rPr>
        <w:t>cost</w:t>
      </w:r>
      <w:r>
        <w:rPr>
          <w:spacing w:val="40"/>
          <w:sz w:val="24"/>
        </w:rPr>
        <w:t> </w:t>
      </w:r>
      <w:r>
        <w:rPr>
          <w:sz w:val="24"/>
        </w:rPr>
        <w:t>to</w:t>
      </w:r>
      <w:r>
        <w:rPr>
          <w:spacing w:val="40"/>
          <w:sz w:val="24"/>
        </w:rPr>
        <w:t> </w:t>
      </w:r>
      <w:r>
        <w:rPr>
          <w:sz w:val="24"/>
        </w:rPr>
        <w:t>the</w:t>
      </w:r>
      <w:r>
        <w:rPr>
          <w:spacing w:val="40"/>
          <w:sz w:val="24"/>
        </w:rPr>
        <w:t> </w:t>
      </w:r>
      <w:r>
        <w:rPr>
          <w:sz w:val="24"/>
        </w:rPr>
        <w:t>MCGM</w:t>
      </w:r>
      <w:r>
        <w:rPr>
          <w:spacing w:val="40"/>
          <w:sz w:val="24"/>
        </w:rPr>
        <w:t> </w:t>
      </w:r>
      <w:r>
        <w:rPr>
          <w:sz w:val="24"/>
        </w:rPr>
        <w:t>or</w:t>
      </w:r>
      <w:r>
        <w:rPr>
          <w:spacing w:val="40"/>
          <w:sz w:val="24"/>
        </w:rPr>
        <w:t> </w:t>
      </w:r>
      <w:r>
        <w:rPr>
          <w:sz w:val="24"/>
        </w:rPr>
        <w:t>the</w:t>
      </w:r>
      <w:r>
        <w:rPr>
          <w:spacing w:val="40"/>
          <w:sz w:val="24"/>
        </w:rPr>
        <w:t> </w:t>
      </w:r>
      <w:r>
        <w:rPr>
          <w:sz w:val="24"/>
        </w:rPr>
        <w:t>Appropriate</w:t>
      </w:r>
      <w:r>
        <w:rPr>
          <w:spacing w:val="40"/>
          <w:sz w:val="24"/>
        </w:rPr>
        <w:t> </w:t>
      </w:r>
      <w:r>
        <w:rPr>
          <w:sz w:val="24"/>
        </w:rPr>
        <w:t>Authority. The</w:t>
      </w:r>
      <w:r>
        <w:rPr>
          <w:spacing w:val="40"/>
          <w:sz w:val="24"/>
        </w:rPr>
        <w:t> </w:t>
      </w:r>
      <w:r>
        <w:rPr>
          <w:sz w:val="24"/>
        </w:rPr>
        <w:t>reservations</w:t>
      </w:r>
      <w:r>
        <w:rPr>
          <w:spacing w:val="40"/>
          <w:sz w:val="24"/>
        </w:rPr>
        <w:t> </w:t>
      </w:r>
      <w:r>
        <w:rPr>
          <w:sz w:val="24"/>
        </w:rPr>
        <w:t>of</w:t>
      </w:r>
      <w:r>
        <w:rPr>
          <w:spacing w:val="40"/>
          <w:sz w:val="24"/>
        </w:rPr>
        <w:t> </w:t>
      </w:r>
      <w:r>
        <w:rPr>
          <w:sz w:val="24"/>
        </w:rPr>
        <w:t>compatible</w:t>
      </w:r>
      <w:r>
        <w:rPr>
          <w:spacing w:val="40"/>
          <w:sz w:val="24"/>
        </w:rPr>
        <w:t> </w:t>
      </w:r>
      <w:r>
        <w:rPr>
          <w:sz w:val="24"/>
        </w:rPr>
        <w:t>nature</w:t>
      </w:r>
      <w:r>
        <w:rPr>
          <w:spacing w:val="40"/>
          <w:sz w:val="24"/>
        </w:rPr>
        <w:t> </w:t>
      </w:r>
      <w:r>
        <w:rPr>
          <w:sz w:val="24"/>
        </w:rPr>
        <w:t>can</w:t>
      </w:r>
      <w:r>
        <w:rPr>
          <w:spacing w:val="40"/>
          <w:sz w:val="24"/>
        </w:rPr>
        <w:t> </w:t>
      </w:r>
      <w:r>
        <w:rPr>
          <w:sz w:val="24"/>
        </w:rPr>
        <w:t>be</w:t>
      </w:r>
      <w:r>
        <w:rPr>
          <w:spacing w:val="40"/>
          <w:sz w:val="24"/>
        </w:rPr>
        <w:t> </w:t>
      </w:r>
      <w:r>
        <w:rPr>
          <w:sz w:val="24"/>
        </w:rPr>
        <w:t>preferably</w:t>
      </w:r>
      <w:r>
        <w:rPr>
          <w:spacing w:val="40"/>
          <w:sz w:val="24"/>
        </w:rPr>
        <w:t> </w:t>
      </w:r>
      <w:r>
        <w:rPr>
          <w:sz w:val="24"/>
        </w:rPr>
        <w:t>constructed</w:t>
      </w:r>
      <w:r>
        <w:rPr>
          <w:spacing w:val="40"/>
          <w:sz w:val="24"/>
        </w:rPr>
        <w:t> </w:t>
      </w:r>
      <w:r>
        <w:rPr>
          <w:sz w:val="24"/>
        </w:rPr>
        <w:t>in one or more separate blocks, depending on the area and nature of such reservations and Municipal Commissioner may permit </w:t>
      </w:r>
      <w:r>
        <w:rPr>
          <w:spacing w:val="9"/>
          <w:sz w:val="24"/>
        </w:rPr>
        <w:t>composite </w:t>
      </w:r>
      <w:r>
        <w:rPr>
          <w:sz w:val="24"/>
        </w:rPr>
        <w:t>development</w:t>
      </w:r>
      <w:r>
        <w:rPr>
          <w:spacing w:val="80"/>
          <w:sz w:val="24"/>
        </w:rPr>
        <w:t> </w:t>
      </w:r>
      <w:r>
        <w:rPr>
          <w:sz w:val="24"/>
        </w:rPr>
        <w:t>of</w:t>
      </w:r>
      <w:r>
        <w:rPr>
          <w:spacing w:val="80"/>
          <w:sz w:val="24"/>
        </w:rPr>
        <w:t> </w:t>
      </w:r>
      <w:r>
        <w:rPr>
          <w:sz w:val="24"/>
        </w:rPr>
        <w:t>reservations</w:t>
      </w:r>
      <w:r>
        <w:rPr>
          <w:spacing w:val="80"/>
          <w:sz w:val="24"/>
        </w:rPr>
        <w:t> </w:t>
      </w:r>
      <w:r>
        <w:rPr>
          <w:sz w:val="24"/>
        </w:rPr>
        <w:t>in</w:t>
      </w:r>
      <w:r>
        <w:rPr>
          <w:spacing w:val="80"/>
          <w:sz w:val="24"/>
        </w:rPr>
        <w:t> </w:t>
      </w:r>
      <w:r>
        <w:rPr>
          <w:sz w:val="24"/>
        </w:rPr>
        <w:t>case</w:t>
      </w:r>
      <w:r>
        <w:rPr>
          <w:spacing w:val="80"/>
          <w:sz w:val="24"/>
        </w:rPr>
        <w:t> </w:t>
      </w:r>
      <w:r>
        <w:rPr>
          <w:sz w:val="24"/>
        </w:rPr>
        <w:t>of</w:t>
      </w:r>
      <w:r>
        <w:rPr>
          <w:spacing w:val="80"/>
          <w:sz w:val="24"/>
        </w:rPr>
        <w:t> </w:t>
      </w:r>
      <w:r>
        <w:rPr>
          <w:sz w:val="24"/>
        </w:rPr>
        <w:t>such</w:t>
      </w:r>
      <w:r>
        <w:rPr>
          <w:spacing w:val="80"/>
          <w:sz w:val="24"/>
        </w:rPr>
        <w:t> </w:t>
      </w:r>
      <w:r>
        <w:rPr>
          <w:sz w:val="24"/>
        </w:rPr>
        <w:t>reservations.</w:t>
      </w:r>
      <w:r>
        <w:rPr>
          <w:spacing w:val="80"/>
          <w:sz w:val="24"/>
        </w:rPr>
        <w:t> </w:t>
      </w:r>
      <w:r>
        <w:rPr>
          <w:sz w:val="24"/>
        </w:rPr>
        <w:t>However,</w:t>
      </w:r>
      <w:r>
        <w:rPr>
          <w:spacing w:val="80"/>
          <w:sz w:val="24"/>
        </w:rPr>
        <w:t> </w:t>
      </w:r>
      <w:r>
        <w:rPr>
          <w:sz w:val="24"/>
        </w:rPr>
        <w:t>if the</w:t>
      </w:r>
      <w:r>
        <w:rPr>
          <w:spacing w:val="65"/>
          <w:sz w:val="24"/>
        </w:rPr>
        <w:t> </w:t>
      </w:r>
      <w:r>
        <w:rPr>
          <w:sz w:val="24"/>
        </w:rPr>
        <w:t>HPC/Planning</w:t>
      </w:r>
      <w:r>
        <w:rPr>
          <w:spacing w:val="72"/>
          <w:sz w:val="24"/>
        </w:rPr>
        <w:t> </w:t>
      </w:r>
      <w:r>
        <w:rPr>
          <w:sz w:val="24"/>
        </w:rPr>
        <w:t>Authority</w:t>
      </w:r>
      <w:r>
        <w:rPr>
          <w:spacing w:val="65"/>
          <w:sz w:val="24"/>
        </w:rPr>
        <w:t> </w:t>
      </w:r>
      <w:r>
        <w:rPr>
          <w:sz w:val="24"/>
        </w:rPr>
        <w:t>requires</w:t>
      </w:r>
      <w:r>
        <w:rPr>
          <w:spacing w:val="72"/>
          <w:sz w:val="24"/>
        </w:rPr>
        <w:t> </w:t>
      </w:r>
      <w:r>
        <w:rPr>
          <w:sz w:val="24"/>
        </w:rPr>
        <w:t>BUA</w:t>
      </w:r>
      <w:r>
        <w:rPr>
          <w:spacing w:val="65"/>
          <w:sz w:val="24"/>
        </w:rPr>
        <w:t> </w:t>
      </w:r>
      <w:r>
        <w:rPr>
          <w:sz w:val="24"/>
        </w:rPr>
        <w:t>under</w:t>
      </w:r>
      <w:r>
        <w:rPr>
          <w:spacing w:val="69"/>
          <w:sz w:val="24"/>
        </w:rPr>
        <w:t> </w:t>
      </w:r>
      <w:r>
        <w:rPr>
          <w:sz w:val="24"/>
        </w:rPr>
        <w:t>any</w:t>
      </w:r>
      <w:r>
        <w:rPr>
          <w:spacing w:val="64"/>
          <w:sz w:val="24"/>
        </w:rPr>
        <w:t>  </w:t>
      </w:r>
      <w:r>
        <w:rPr>
          <w:sz w:val="24"/>
        </w:rPr>
        <w:t>Existing</w:t>
      </w:r>
      <w:r>
        <w:rPr>
          <w:spacing w:val="40"/>
          <w:sz w:val="24"/>
        </w:rPr>
        <w:t> </w:t>
      </w:r>
      <w:r>
        <w:rPr>
          <w:sz w:val="24"/>
        </w:rPr>
        <w:t>Amenity</w:t>
      </w:r>
    </w:p>
    <w:p>
      <w:pPr>
        <w:pStyle w:val="BodyText"/>
        <w:ind w:left="1080" w:right="1096"/>
      </w:pPr>
      <w:r>
        <w:rPr/>
        <w:t>/reservation</w:t>
      </w:r>
      <w:r>
        <w:rPr>
          <w:spacing w:val="40"/>
        </w:rPr>
        <w:t> </w:t>
      </w:r>
      <w:r>
        <w:rPr/>
        <w:t>in</w:t>
      </w:r>
      <w:r>
        <w:rPr>
          <w:spacing w:val="40"/>
        </w:rPr>
        <w:t> </w:t>
      </w:r>
      <w:r>
        <w:rPr/>
        <w:t>excess</w:t>
      </w:r>
      <w:r>
        <w:rPr>
          <w:spacing w:val="40"/>
        </w:rPr>
        <w:t> </w:t>
      </w:r>
      <w:r>
        <w:rPr/>
        <w:t>of</w:t>
      </w:r>
      <w:r>
        <w:rPr>
          <w:spacing w:val="40"/>
        </w:rPr>
        <w:t> </w:t>
      </w:r>
      <w:r>
        <w:rPr/>
        <w:t>the</w:t>
      </w:r>
      <w:r>
        <w:rPr>
          <w:spacing w:val="40"/>
        </w:rPr>
        <w:t> </w:t>
      </w:r>
      <w:r>
        <w:rPr/>
        <w:t>Zonal</w:t>
      </w:r>
      <w:r>
        <w:rPr>
          <w:spacing w:val="40"/>
        </w:rPr>
        <w:t> </w:t>
      </w:r>
      <w:r>
        <w:rPr/>
        <w:t>(basic)</w:t>
      </w:r>
      <w:r>
        <w:rPr>
          <w:spacing w:val="40"/>
        </w:rPr>
        <w:t> </w:t>
      </w:r>
      <w:r>
        <w:rPr/>
        <w:t>FSI,</w:t>
      </w:r>
      <w:r>
        <w:rPr>
          <w:spacing w:val="40"/>
        </w:rPr>
        <w:t> </w:t>
      </w:r>
      <w:r>
        <w:rPr/>
        <w:t>then</w:t>
      </w:r>
      <w:r>
        <w:rPr>
          <w:spacing w:val="40"/>
        </w:rPr>
        <w:t> </w:t>
      </w:r>
      <w:r>
        <w:rPr/>
        <w:t>such</w:t>
      </w:r>
      <w:r>
        <w:rPr>
          <w:spacing w:val="40"/>
        </w:rPr>
        <w:t> </w:t>
      </w:r>
      <w:r>
        <w:rPr/>
        <w:t>excess</w:t>
      </w:r>
      <w:r>
        <w:rPr>
          <w:spacing w:val="40"/>
        </w:rPr>
        <w:t> </w:t>
      </w:r>
      <w:r>
        <w:rPr/>
        <w:t>area shall</w:t>
      </w:r>
      <w:r>
        <w:rPr>
          <w:spacing w:val="80"/>
        </w:rPr>
        <w:t> </w:t>
      </w:r>
      <w:r>
        <w:rPr/>
        <w:t>be</w:t>
      </w:r>
      <w:r>
        <w:rPr>
          <w:spacing w:val="80"/>
        </w:rPr>
        <w:t> </w:t>
      </w:r>
      <w:r>
        <w:rPr/>
        <w:t>considered</w:t>
      </w:r>
      <w:r>
        <w:rPr>
          <w:spacing w:val="80"/>
        </w:rPr>
        <w:t> </w:t>
      </w:r>
      <w:r>
        <w:rPr/>
        <w:t>as</w:t>
      </w:r>
      <w:r>
        <w:rPr>
          <w:spacing w:val="80"/>
        </w:rPr>
        <w:t> </w:t>
      </w:r>
      <w:r>
        <w:rPr/>
        <w:t>rehabilitation</w:t>
      </w:r>
      <w:r>
        <w:rPr>
          <w:spacing w:val="80"/>
        </w:rPr>
        <w:t> </w:t>
      </w:r>
      <w:r>
        <w:rPr/>
        <w:t>FSI,</w:t>
      </w:r>
      <w:r>
        <w:rPr>
          <w:spacing w:val="80"/>
        </w:rPr>
        <w:t> </w:t>
      </w:r>
      <w:r>
        <w:rPr/>
        <w:t>and</w:t>
      </w:r>
      <w:r>
        <w:rPr>
          <w:spacing w:val="80"/>
        </w:rPr>
        <w:t> </w:t>
      </w:r>
      <w:r>
        <w:rPr/>
        <w:t>incentive</w:t>
      </w:r>
      <w:r>
        <w:rPr>
          <w:spacing w:val="80"/>
        </w:rPr>
        <w:t> </w:t>
      </w:r>
      <w:r>
        <w:rPr/>
        <w:t>FSI</w:t>
      </w:r>
      <w:r>
        <w:rPr>
          <w:spacing w:val="80"/>
        </w:rPr>
        <w:t> </w:t>
      </w:r>
      <w:r>
        <w:rPr/>
        <w:t>as admissible</w:t>
      </w:r>
      <w:r>
        <w:rPr>
          <w:spacing w:val="80"/>
        </w:rPr>
        <w:t> </w:t>
      </w:r>
      <w:r>
        <w:rPr/>
        <w:t>under</w:t>
      </w:r>
      <w:r>
        <w:rPr>
          <w:spacing w:val="80"/>
        </w:rPr>
        <w:t> </w:t>
      </w:r>
      <w:r>
        <w:rPr/>
        <w:t>this</w:t>
      </w:r>
      <w:r>
        <w:rPr>
          <w:spacing w:val="80"/>
        </w:rPr>
        <w:t> </w:t>
      </w:r>
      <w:r>
        <w:rPr/>
        <w:t>Regulation</w:t>
      </w:r>
      <w:r>
        <w:rPr>
          <w:spacing w:val="80"/>
        </w:rPr>
        <w:t> </w:t>
      </w:r>
      <w:r>
        <w:rPr/>
        <w:t>shall</w:t>
      </w:r>
      <w:r>
        <w:rPr>
          <w:spacing w:val="80"/>
        </w:rPr>
        <w:t> </w:t>
      </w:r>
      <w:r>
        <w:rPr/>
        <w:t>be</w:t>
      </w:r>
      <w:r>
        <w:rPr>
          <w:spacing w:val="80"/>
        </w:rPr>
        <w:t> </w:t>
      </w:r>
      <w:r>
        <w:rPr/>
        <w:t>permissible.</w:t>
      </w:r>
    </w:p>
    <w:p>
      <w:pPr>
        <w:pStyle w:val="BodyText"/>
        <w:spacing w:before="239"/>
        <w:ind w:left="1080" w:right="1092"/>
      </w:pPr>
      <w:r>
        <w:rPr/>
        <w:t>Provided that in case of development of reservations of Rehabilitation &amp; Resettlement under the CDS, BUA equal to 30% of the Zonal (basic) FSI shall</w:t>
      </w:r>
      <w:r>
        <w:rPr>
          <w:spacing w:val="40"/>
        </w:rPr>
        <w:t> </w:t>
      </w:r>
      <w:r>
        <w:rPr/>
        <w:t>be</w:t>
      </w:r>
      <w:r>
        <w:rPr>
          <w:spacing w:val="40"/>
        </w:rPr>
        <w:t> </w:t>
      </w:r>
      <w:r>
        <w:rPr/>
        <w:t>handed</w:t>
      </w:r>
      <w:r>
        <w:rPr>
          <w:spacing w:val="40"/>
        </w:rPr>
        <w:t> </w:t>
      </w:r>
      <w:r>
        <w:rPr/>
        <w:t>over</w:t>
      </w:r>
      <w:r>
        <w:rPr>
          <w:spacing w:val="40"/>
        </w:rPr>
        <w:t> </w:t>
      </w:r>
      <w:r>
        <w:rPr/>
        <w:t>to</w:t>
      </w:r>
      <w:r>
        <w:rPr>
          <w:spacing w:val="40"/>
        </w:rPr>
        <w:t> </w:t>
      </w:r>
      <w:r>
        <w:rPr/>
        <w:t>the</w:t>
      </w:r>
      <w:r>
        <w:rPr>
          <w:spacing w:val="40"/>
        </w:rPr>
        <w:t> </w:t>
      </w:r>
      <w:r>
        <w:rPr/>
        <w:t>MCGM</w:t>
      </w:r>
      <w:r>
        <w:rPr>
          <w:spacing w:val="40"/>
        </w:rPr>
        <w:t> </w:t>
      </w:r>
      <w:r>
        <w:rPr/>
        <w:t>free</w:t>
      </w:r>
      <w:r>
        <w:rPr>
          <w:spacing w:val="40"/>
        </w:rPr>
        <w:t> </w:t>
      </w:r>
      <w:r>
        <w:rPr/>
        <w:t>of</w:t>
      </w:r>
      <w:r>
        <w:rPr>
          <w:spacing w:val="40"/>
        </w:rPr>
        <w:t> </w:t>
      </w:r>
      <w:r>
        <w:rPr/>
        <w:t>FSI</w:t>
      </w:r>
      <w:r>
        <w:rPr>
          <w:spacing w:val="40"/>
        </w:rPr>
        <w:t> </w:t>
      </w:r>
      <w:r>
        <w:rPr/>
        <w:t>and</w:t>
      </w:r>
      <w:r>
        <w:rPr>
          <w:spacing w:val="40"/>
        </w:rPr>
        <w:t> </w:t>
      </w:r>
      <w:r>
        <w:rPr/>
        <w:t>free</w:t>
      </w:r>
      <w:r>
        <w:rPr>
          <w:spacing w:val="40"/>
        </w:rPr>
        <w:t> </w:t>
      </w:r>
      <w:r>
        <w:rPr/>
        <w:t>of</w:t>
      </w:r>
      <w:r>
        <w:rPr>
          <w:spacing w:val="40"/>
        </w:rPr>
        <w:t> </w:t>
      </w:r>
      <w:r>
        <w:rPr/>
        <w:t>cost,</w:t>
      </w:r>
      <w:r>
        <w:rPr>
          <w:spacing w:val="40"/>
        </w:rPr>
        <w:t> </w:t>
      </w:r>
      <w:r>
        <w:rPr/>
        <w:t>in addition</w:t>
      </w:r>
      <w:r>
        <w:rPr>
          <w:spacing w:val="69"/>
        </w:rPr>
        <w:t> </w:t>
      </w:r>
      <w:r>
        <w:rPr/>
        <w:t>to</w:t>
      </w:r>
      <w:r>
        <w:rPr>
          <w:spacing w:val="65"/>
        </w:rPr>
        <w:t> </w:t>
      </w:r>
      <w:r>
        <w:rPr/>
        <w:t>the</w:t>
      </w:r>
      <w:r>
        <w:rPr>
          <w:spacing w:val="65"/>
        </w:rPr>
        <w:t> </w:t>
      </w:r>
      <w:r>
        <w:rPr/>
        <w:t>rehabilitation</w:t>
      </w:r>
      <w:r>
        <w:rPr>
          <w:spacing w:val="65"/>
        </w:rPr>
        <w:t> </w:t>
      </w:r>
      <w:r>
        <w:rPr/>
        <w:t>of</w:t>
      </w:r>
      <w:r>
        <w:rPr>
          <w:spacing w:val="69"/>
        </w:rPr>
        <w:t> </w:t>
      </w:r>
      <w:r>
        <w:rPr/>
        <w:t>the</w:t>
      </w:r>
      <w:r>
        <w:rPr>
          <w:spacing w:val="65"/>
        </w:rPr>
        <w:t> </w:t>
      </w:r>
      <w:r>
        <w:rPr/>
        <w:t>existing</w:t>
      </w:r>
      <w:r>
        <w:rPr>
          <w:spacing w:val="65"/>
        </w:rPr>
        <w:t> </w:t>
      </w:r>
      <w:r>
        <w:rPr/>
        <w:t>tenements</w:t>
      </w:r>
      <w:r>
        <w:rPr>
          <w:spacing w:val="69"/>
        </w:rPr>
        <w:t> </w:t>
      </w:r>
      <w:r>
        <w:rPr/>
        <w:t>or</w:t>
      </w:r>
      <w:r>
        <w:rPr>
          <w:spacing w:val="65"/>
        </w:rPr>
        <w:t> </w:t>
      </w:r>
      <w:r>
        <w:rPr/>
        <w:t>users</w:t>
      </w:r>
      <w:r>
        <w:rPr>
          <w:spacing w:val="69"/>
        </w:rPr>
        <w:t> </w:t>
      </w:r>
      <w:r>
        <w:rPr/>
        <w:t>if</w:t>
      </w:r>
      <w:r>
        <w:rPr>
          <w:spacing w:val="65"/>
        </w:rPr>
        <w:t> </w:t>
      </w:r>
      <w:r>
        <w:rPr/>
        <w:t>any.</w:t>
      </w:r>
    </w:p>
    <w:p>
      <w:pPr>
        <w:pStyle w:val="BodyText"/>
        <w:spacing w:line="259" w:lineRule="auto" w:before="242"/>
        <w:ind w:left="1080" w:right="1081"/>
      </w:pPr>
      <w:r>
        <w:rPr/>
        <w:t>In case of </w:t>
      </w:r>
      <w:r>
        <w:rPr>
          <w:spacing w:val="9"/>
        </w:rPr>
        <w:t>reconstruction/redevelopment </w:t>
      </w:r>
      <w:r>
        <w:rPr/>
        <w:t>of building of Corporation, for</w:t>
      </w:r>
      <w:r>
        <w:rPr>
          <w:spacing w:val="40"/>
        </w:rPr>
        <w:t> </w:t>
      </w:r>
      <w:r>
        <w:rPr/>
        <w:t>the area of plot having no reservation or having designation of Municipal Housing,</w:t>
      </w:r>
      <w:r>
        <w:rPr>
          <w:spacing w:val="40"/>
        </w:rPr>
        <w:t> </w:t>
      </w:r>
      <w:r>
        <w:rPr/>
        <w:t>then</w:t>
      </w:r>
      <w:r>
        <w:rPr>
          <w:spacing w:val="40"/>
        </w:rPr>
        <w:t> </w:t>
      </w:r>
      <w:r>
        <w:rPr/>
        <w:t>the</w:t>
      </w:r>
      <w:r>
        <w:rPr>
          <w:spacing w:val="40"/>
        </w:rPr>
        <w:t> </w:t>
      </w:r>
      <w:r>
        <w:rPr/>
        <w:t>BUA</w:t>
      </w:r>
      <w:r>
        <w:rPr>
          <w:spacing w:val="40"/>
        </w:rPr>
        <w:t> </w:t>
      </w:r>
      <w:r>
        <w:rPr/>
        <w:t>equal</w:t>
      </w:r>
      <w:r>
        <w:rPr>
          <w:spacing w:val="40"/>
        </w:rPr>
        <w:t> </w:t>
      </w:r>
      <w:r>
        <w:rPr/>
        <w:t>to</w:t>
      </w:r>
      <w:r>
        <w:rPr>
          <w:spacing w:val="40"/>
        </w:rPr>
        <w:t> </w:t>
      </w:r>
      <w:r>
        <w:rPr/>
        <w:t>30%</w:t>
      </w:r>
      <w:r>
        <w:rPr>
          <w:spacing w:val="40"/>
        </w:rPr>
        <w:t> </w:t>
      </w:r>
      <w:r>
        <w:rPr/>
        <w:t>of</w:t>
      </w:r>
      <w:r>
        <w:rPr>
          <w:spacing w:val="40"/>
        </w:rPr>
        <w:t> </w:t>
      </w:r>
      <w:r>
        <w:rPr/>
        <w:t>such</w:t>
      </w:r>
      <w:r>
        <w:rPr>
          <w:spacing w:val="40"/>
        </w:rPr>
        <w:t> </w:t>
      </w:r>
      <w:r>
        <w:rPr/>
        <w:t>plot</w:t>
      </w:r>
      <w:r>
        <w:rPr>
          <w:spacing w:val="40"/>
        </w:rPr>
        <w:t> </w:t>
      </w:r>
      <w:r>
        <w:rPr/>
        <w:t>area</w:t>
      </w:r>
      <w:r>
        <w:rPr>
          <w:spacing w:val="40"/>
        </w:rPr>
        <w:t> </w:t>
      </w:r>
      <w:r>
        <w:rPr/>
        <w:t>as</w:t>
      </w:r>
      <w:r>
        <w:rPr>
          <w:spacing w:val="40"/>
        </w:rPr>
        <w:t> </w:t>
      </w:r>
      <w:r>
        <w:rPr/>
        <w:t>per</w:t>
      </w:r>
      <w:r>
        <w:rPr>
          <w:spacing w:val="40"/>
        </w:rPr>
        <w:t> </w:t>
      </w:r>
      <w:r>
        <w:rPr/>
        <w:t>Zonal (basic)</w:t>
      </w:r>
      <w:r>
        <w:rPr>
          <w:spacing w:val="40"/>
        </w:rPr>
        <w:t> </w:t>
      </w:r>
      <w:r>
        <w:rPr/>
        <w:t>FSI</w:t>
      </w:r>
      <w:r>
        <w:rPr>
          <w:spacing w:val="40"/>
        </w:rPr>
        <w:t> </w:t>
      </w:r>
      <w:r>
        <w:rPr/>
        <w:t>in</w:t>
      </w:r>
      <w:r>
        <w:rPr>
          <w:spacing w:val="40"/>
        </w:rPr>
        <w:t> </w:t>
      </w:r>
      <w:r>
        <w:rPr/>
        <w:t>the</w:t>
      </w:r>
      <w:r>
        <w:rPr>
          <w:spacing w:val="40"/>
        </w:rPr>
        <w:t> </w:t>
      </w:r>
      <w:r>
        <w:rPr/>
        <w:t>form</w:t>
      </w:r>
      <w:r>
        <w:rPr>
          <w:spacing w:val="40"/>
        </w:rPr>
        <w:t> </w:t>
      </w:r>
      <w:r>
        <w:rPr/>
        <w:t>tenements</w:t>
      </w:r>
      <w:r>
        <w:rPr>
          <w:spacing w:val="40"/>
        </w:rPr>
        <w:t> </w:t>
      </w:r>
      <w:r>
        <w:rPr/>
        <w:t>of</w:t>
      </w:r>
      <w:r>
        <w:rPr>
          <w:spacing w:val="40"/>
        </w:rPr>
        <w:t> </w:t>
      </w:r>
      <w:r>
        <w:rPr/>
        <w:t>size</w:t>
      </w:r>
      <w:r>
        <w:rPr>
          <w:spacing w:val="40"/>
        </w:rPr>
        <w:t> </w:t>
      </w:r>
      <w:r>
        <w:rPr/>
        <w:t>as</w:t>
      </w:r>
      <w:r>
        <w:rPr>
          <w:spacing w:val="40"/>
        </w:rPr>
        <w:t> </w:t>
      </w:r>
      <w:r>
        <w:rPr/>
        <w:t>decided</w:t>
      </w:r>
      <w:r>
        <w:rPr>
          <w:spacing w:val="40"/>
        </w:rPr>
        <w:t> </w:t>
      </w:r>
      <w:r>
        <w:rPr/>
        <w:t>by</w:t>
      </w:r>
      <w:r>
        <w:rPr>
          <w:spacing w:val="40"/>
        </w:rPr>
        <w:t> </w:t>
      </w:r>
      <w:r>
        <w:rPr>
          <w:spacing w:val="9"/>
        </w:rPr>
        <w:t>Commissioner </w:t>
      </w:r>
      <w:r>
        <w:rPr/>
        <w:t>shall</w:t>
      </w:r>
      <w:r>
        <w:rPr>
          <w:spacing w:val="40"/>
        </w:rPr>
        <w:t> </w:t>
      </w:r>
      <w:r>
        <w:rPr/>
        <w:t>be</w:t>
      </w:r>
      <w:r>
        <w:rPr>
          <w:spacing w:val="40"/>
        </w:rPr>
        <w:t> </w:t>
      </w:r>
      <w:r>
        <w:rPr/>
        <w:t>made</w:t>
      </w:r>
      <w:r>
        <w:rPr>
          <w:spacing w:val="40"/>
        </w:rPr>
        <w:t> </w:t>
      </w:r>
      <w:r>
        <w:rPr/>
        <w:t>available</w:t>
      </w:r>
      <w:r>
        <w:rPr>
          <w:spacing w:val="40"/>
        </w:rPr>
        <w:t> </w:t>
      </w:r>
      <w:r>
        <w:rPr/>
        <w:t>to</w:t>
      </w:r>
      <w:r>
        <w:rPr>
          <w:spacing w:val="40"/>
        </w:rPr>
        <w:t> </w:t>
      </w:r>
      <w:r>
        <w:rPr/>
        <w:t>MCGM</w:t>
      </w:r>
      <w:r>
        <w:rPr>
          <w:spacing w:val="40"/>
        </w:rPr>
        <w:t> </w:t>
      </w:r>
      <w:r>
        <w:rPr/>
        <w:t>and</w:t>
      </w:r>
      <w:r>
        <w:rPr>
          <w:spacing w:val="40"/>
        </w:rPr>
        <w:t> </w:t>
      </w:r>
      <w:r>
        <w:rPr/>
        <w:t>the</w:t>
      </w:r>
      <w:r>
        <w:rPr>
          <w:spacing w:val="40"/>
        </w:rPr>
        <w:t> </w:t>
      </w:r>
      <w:r>
        <w:rPr/>
        <w:t>developer/owner</w:t>
      </w:r>
      <w:r>
        <w:rPr>
          <w:spacing w:val="40"/>
        </w:rPr>
        <w:t> </w:t>
      </w:r>
      <w:r>
        <w:rPr/>
        <w:t>shall</w:t>
      </w:r>
      <w:r>
        <w:rPr>
          <w:spacing w:val="40"/>
        </w:rPr>
        <w:t> </w:t>
      </w:r>
      <w:r>
        <w:rPr/>
        <w:t>be entitled</w:t>
      </w:r>
      <w:r>
        <w:rPr>
          <w:spacing w:val="40"/>
        </w:rPr>
        <w:t> </w:t>
      </w:r>
      <w:r>
        <w:rPr/>
        <w:t>to</w:t>
      </w:r>
      <w:r>
        <w:rPr>
          <w:spacing w:val="40"/>
        </w:rPr>
        <w:t> </w:t>
      </w:r>
      <w:r>
        <w:rPr/>
        <w:t>BUA</w:t>
      </w:r>
      <w:r>
        <w:rPr>
          <w:spacing w:val="40"/>
        </w:rPr>
        <w:t> </w:t>
      </w:r>
      <w:r>
        <w:rPr/>
        <w:t>in</w:t>
      </w:r>
      <w:r>
        <w:rPr>
          <w:spacing w:val="40"/>
        </w:rPr>
        <w:t> </w:t>
      </w:r>
      <w:r>
        <w:rPr/>
        <w:t>lieu</w:t>
      </w:r>
      <w:r>
        <w:rPr>
          <w:spacing w:val="40"/>
        </w:rPr>
        <w:t> </w:t>
      </w:r>
      <w:r>
        <w:rPr/>
        <w:t>of</w:t>
      </w:r>
      <w:r>
        <w:rPr>
          <w:spacing w:val="40"/>
        </w:rPr>
        <w:t> </w:t>
      </w:r>
      <w:r>
        <w:rPr/>
        <w:t>cost</w:t>
      </w:r>
      <w:r>
        <w:rPr>
          <w:spacing w:val="40"/>
        </w:rPr>
        <w:t> </w:t>
      </w:r>
      <w:r>
        <w:rPr/>
        <w:t>of</w:t>
      </w:r>
      <w:r>
        <w:rPr>
          <w:spacing w:val="40"/>
        </w:rPr>
        <w:t> </w:t>
      </w:r>
      <w:r>
        <w:rPr/>
        <w:t>construction</w:t>
      </w:r>
      <w:r>
        <w:rPr>
          <w:spacing w:val="40"/>
        </w:rPr>
        <w:t> </w:t>
      </w:r>
      <w:r>
        <w:rPr/>
        <w:t>against</w:t>
      </w:r>
      <w:r>
        <w:rPr>
          <w:spacing w:val="40"/>
        </w:rPr>
        <w:t> </w:t>
      </w:r>
      <w:r>
        <w:rPr/>
        <w:t>handing</w:t>
      </w:r>
      <w:r>
        <w:rPr>
          <w:spacing w:val="40"/>
        </w:rPr>
        <w:t> </w:t>
      </w:r>
      <w:r>
        <w:rPr/>
        <w:t>over</w:t>
      </w:r>
      <w:r>
        <w:rPr>
          <w:spacing w:val="40"/>
        </w:rPr>
        <w:t> </w:t>
      </w:r>
      <w:r>
        <w:rPr/>
        <w:t>of built</w:t>
      </w:r>
      <w:r>
        <w:rPr>
          <w:spacing w:val="40"/>
        </w:rPr>
        <w:t> </w:t>
      </w:r>
      <w:r>
        <w:rPr/>
        <w:t>up</w:t>
      </w:r>
      <w:r>
        <w:rPr>
          <w:spacing w:val="40"/>
        </w:rPr>
        <w:t> </w:t>
      </w:r>
      <w:r>
        <w:rPr/>
        <w:t>amenity</w:t>
      </w:r>
      <w:r>
        <w:rPr>
          <w:spacing w:val="40"/>
        </w:rPr>
        <w:t> </w:t>
      </w:r>
      <w:r>
        <w:rPr/>
        <w:t>as</w:t>
      </w:r>
      <w:r>
        <w:rPr>
          <w:spacing w:val="40"/>
        </w:rPr>
        <w:t> </w:t>
      </w:r>
      <w:r>
        <w:rPr/>
        <w:t>per</w:t>
      </w:r>
      <w:r>
        <w:rPr>
          <w:spacing w:val="40"/>
        </w:rPr>
        <w:t> </w:t>
      </w:r>
      <w:r>
        <w:rPr/>
        <w:t>Note</w:t>
      </w:r>
      <w:r>
        <w:rPr>
          <w:spacing w:val="40"/>
        </w:rPr>
        <w:t> </w:t>
      </w:r>
      <w:r>
        <w:rPr/>
        <w:t>(d)</w:t>
      </w:r>
      <w:r>
        <w:rPr>
          <w:spacing w:val="40"/>
        </w:rPr>
        <w:t> </w:t>
      </w:r>
      <w:r>
        <w:rPr/>
        <w:t>of</w:t>
      </w:r>
      <w:r>
        <w:rPr>
          <w:spacing w:val="40"/>
        </w:rPr>
        <w:t> </w:t>
      </w:r>
      <w:r>
        <w:rPr/>
        <w:t>Regulation</w:t>
      </w:r>
      <w:r>
        <w:rPr>
          <w:spacing w:val="40"/>
        </w:rPr>
        <w:t> </w:t>
      </w:r>
      <w:r>
        <w:rPr/>
        <w:t>No.</w:t>
      </w:r>
      <w:r>
        <w:rPr>
          <w:spacing w:val="40"/>
        </w:rPr>
        <w:t> </w:t>
      </w:r>
      <w:r>
        <w:rPr/>
        <w:t>17</w:t>
      </w:r>
      <w:r>
        <w:rPr>
          <w:spacing w:val="40"/>
        </w:rPr>
        <w:t> </w:t>
      </w:r>
      <w:r>
        <w:rPr/>
        <w:t>(1),</w:t>
      </w:r>
      <w:r>
        <w:rPr>
          <w:spacing w:val="40"/>
        </w:rPr>
        <w:t> </w:t>
      </w:r>
      <w:r>
        <w:rPr/>
        <w:t>in</w:t>
      </w:r>
      <w:r>
        <w:rPr>
          <w:spacing w:val="40"/>
        </w:rPr>
        <w:t> </w:t>
      </w:r>
      <w:r>
        <w:rPr/>
        <w:t>case</w:t>
      </w:r>
      <w:r>
        <w:rPr>
          <w:spacing w:val="40"/>
        </w:rPr>
        <w:t> </w:t>
      </w:r>
      <w:r>
        <w:rPr/>
        <w:t>of</w:t>
      </w:r>
      <w:r>
        <w:rPr>
          <w:spacing w:val="40"/>
        </w:rPr>
        <w:t>  </w:t>
      </w:r>
      <w:r>
        <w:rPr/>
        <w:t>(e) &amp; (f) </w:t>
      </w:r>
      <w:r>
        <w:rPr>
          <w:spacing w:val="9"/>
        </w:rPr>
        <w:t>above.</w:t>
      </w:r>
    </w:p>
    <w:p>
      <w:pPr>
        <w:pStyle w:val="ListParagraph"/>
        <w:numPr>
          <w:ilvl w:val="1"/>
          <w:numId w:val="92"/>
        </w:numPr>
        <w:tabs>
          <w:tab w:pos="1402" w:val="left" w:leader="none"/>
        </w:tabs>
        <w:spacing w:line="240" w:lineRule="auto" w:before="158" w:after="0"/>
        <w:ind w:left="1080" w:right="1097" w:firstLine="0"/>
        <w:jc w:val="both"/>
        <w:rPr>
          <w:sz w:val="24"/>
        </w:rPr>
      </w:pPr>
      <w:r>
        <w:rPr>
          <w:sz w:val="24"/>
        </w:rPr>
        <w:t>Where</w:t>
      </w:r>
      <w:r>
        <w:rPr>
          <w:spacing w:val="40"/>
          <w:sz w:val="24"/>
        </w:rPr>
        <w:t> </w:t>
      </w:r>
      <w:r>
        <w:rPr>
          <w:sz w:val="24"/>
        </w:rPr>
        <w:t>a</w:t>
      </w:r>
      <w:r>
        <w:rPr>
          <w:spacing w:val="40"/>
          <w:sz w:val="24"/>
        </w:rPr>
        <w:t> </w:t>
      </w:r>
      <w:r>
        <w:rPr>
          <w:sz w:val="24"/>
        </w:rPr>
        <w:t>proposed</w:t>
      </w:r>
      <w:r>
        <w:rPr>
          <w:spacing w:val="40"/>
          <w:sz w:val="24"/>
        </w:rPr>
        <w:t> </w:t>
      </w:r>
      <w:r>
        <w:rPr>
          <w:sz w:val="24"/>
        </w:rPr>
        <w:t>DP</w:t>
      </w:r>
      <w:r>
        <w:rPr>
          <w:spacing w:val="40"/>
          <w:sz w:val="24"/>
        </w:rPr>
        <w:t> </w:t>
      </w:r>
      <w:r>
        <w:rPr>
          <w:sz w:val="24"/>
        </w:rPr>
        <w:t>Road</w:t>
      </w:r>
      <w:r>
        <w:rPr>
          <w:spacing w:val="40"/>
          <w:sz w:val="24"/>
        </w:rPr>
        <w:t> </w:t>
      </w:r>
      <w:r>
        <w:rPr>
          <w:sz w:val="24"/>
        </w:rPr>
        <w:t>or</w:t>
      </w:r>
      <w:r>
        <w:rPr>
          <w:spacing w:val="40"/>
          <w:sz w:val="24"/>
        </w:rPr>
        <w:t> </w:t>
      </w:r>
      <w:r>
        <w:rPr>
          <w:sz w:val="24"/>
        </w:rPr>
        <w:t>Regular</w:t>
      </w:r>
      <w:r>
        <w:rPr>
          <w:spacing w:val="40"/>
          <w:sz w:val="24"/>
        </w:rPr>
        <w:t> </w:t>
      </w:r>
      <w:r>
        <w:rPr>
          <w:spacing w:val="10"/>
          <w:sz w:val="24"/>
        </w:rPr>
        <w:t>line</w:t>
      </w:r>
      <w:r>
        <w:rPr>
          <w:spacing w:val="40"/>
          <w:sz w:val="24"/>
        </w:rPr>
        <w:t> </w:t>
      </w:r>
      <w:r>
        <w:rPr>
          <w:sz w:val="24"/>
        </w:rPr>
        <w:t>of</w:t>
      </w:r>
      <w:r>
        <w:rPr>
          <w:spacing w:val="40"/>
          <w:sz w:val="24"/>
        </w:rPr>
        <w:t> </w:t>
      </w:r>
      <w:r>
        <w:rPr>
          <w:sz w:val="24"/>
        </w:rPr>
        <w:t>street</w:t>
      </w:r>
      <w:r>
        <w:rPr>
          <w:spacing w:val="40"/>
          <w:sz w:val="24"/>
        </w:rPr>
        <w:t> </w:t>
      </w:r>
      <w:r>
        <w:rPr>
          <w:sz w:val="24"/>
        </w:rPr>
        <w:t>passes</w:t>
      </w:r>
      <w:r>
        <w:rPr>
          <w:spacing w:val="40"/>
          <w:sz w:val="24"/>
        </w:rPr>
        <w:t> </w:t>
      </w:r>
      <w:r>
        <w:rPr>
          <w:sz w:val="24"/>
        </w:rPr>
        <w:t>through the</w:t>
      </w:r>
      <w:r>
        <w:rPr>
          <w:spacing w:val="40"/>
          <w:sz w:val="24"/>
        </w:rPr>
        <w:t> </w:t>
      </w:r>
      <w:r>
        <w:rPr>
          <w:sz w:val="24"/>
        </w:rPr>
        <w:t>UDS</w:t>
      </w:r>
      <w:r>
        <w:rPr>
          <w:spacing w:val="40"/>
          <w:sz w:val="24"/>
        </w:rPr>
        <w:t> </w:t>
      </w:r>
      <w:r>
        <w:rPr>
          <w:sz w:val="24"/>
        </w:rPr>
        <w:t>area,</w:t>
      </w:r>
      <w:r>
        <w:rPr>
          <w:spacing w:val="40"/>
          <w:sz w:val="24"/>
        </w:rPr>
        <w:t> </w:t>
      </w:r>
      <w:r>
        <w:rPr>
          <w:sz w:val="24"/>
        </w:rPr>
        <w:t>the</w:t>
      </w:r>
      <w:r>
        <w:rPr>
          <w:spacing w:val="40"/>
          <w:sz w:val="24"/>
        </w:rPr>
        <w:t> </w:t>
      </w:r>
      <w:r>
        <w:rPr>
          <w:sz w:val="24"/>
        </w:rPr>
        <w:t>entire</w:t>
      </w:r>
      <w:r>
        <w:rPr>
          <w:spacing w:val="40"/>
          <w:sz w:val="24"/>
        </w:rPr>
        <w:t> </w:t>
      </w:r>
      <w:r>
        <w:rPr>
          <w:sz w:val="24"/>
        </w:rPr>
        <w:t>FSI</w:t>
      </w:r>
      <w:r>
        <w:rPr>
          <w:spacing w:val="40"/>
          <w:sz w:val="24"/>
        </w:rPr>
        <w:t> </w:t>
      </w:r>
      <w:r>
        <w:rPr>
          <w:sz w:val="24"/>
        </w:rPr>
        <w:t>admissible</w:t>
      </w:r>
      <w:r>
        <w:rPr>
          <w:spacing w:val="40"/>
          <w:sz w:val="24"/>
        </w:rPr>
        <w:t> </w:t>
      </w:r>
      <w:r>
        <w:rPr>
          <w:sz w:val="24"/>
        </w:rPr>
        <w:t>under</w:t>
      </w:r>
      <w:r>
        <w:rPr>
          <w:spacing w:val="40"/>
          <w:sz w:val="24"/>
        </w:rPr>
        <w:t> </w:t>
      </w:r>
      <w:r>
        <w:rPr>
          <w:sz w:val="24"/>
        </w:rPr>
        <w:t>this</w:t>
      </w:r>
      <w:r>
        <w:rPr>
          <w:spacing w:val="40"/>
          <w:sz w:val="24"/>
        </w:rPr>
        <w:t> </w:t>
      </w:r>
      <w:r>
        <w:rPr>
          <w:sz w:val="24"/>
        </w:rPr>
        <w:t>Regulation</w:t>
      </w:r>
      <w:r>
        <w:rPr>
          <w:spacing w:val="40"/>
          <w:sz w:val="24"/>
        </w:rPr>
        <w:t> </w:t>
      </w:r>
      <w:r>
        <w:rPr>
          <w:sz w:val="24"/>
        </w:rPr>
        <w:t>for</w:t>
      </w:r>
      <w:r>
        <w:rPr>
          <w:spacing w:val="40"/>
          <w:sz w:val="24"/>
        </w:rPr>
        <w:t> </w:t>
      </w:r>
      <w:r>
        <w:rPr>
          <w:sz w:val="24"/>
        </w:rPr>
        <w:t>the area</w:t>
      </w:r>
      <w:r>
        <w:rPr>
          <w:spacing w:val="40"/>
          <w:sz w:val="24"/>
        </w:rPr>
        <w:t> </w:t>
      </w:r>
      <w:r>
        <w:rPr>
          <w:sz w:val="24"/>
        </w:rPr>
        <w:t>of</w:t>
      </w:r>
      <w:r>
        <w:rPr>
          <w:spacing w:val="40"/>
          <w:sz w:val="24"/>
        </w:rPr>
        <w:t> </w:t>
      </w:r>
      <w:r>
        <w:rPr>
          <w:sz w:val="24"/>
        </w:rPr>
        <w:t>the</w:t>
      </w:r>
      <w:r>
        <w:rPr>
          <w:spacing w:val="40"/>
          <w:sz w:val="24"/>
        </w:rPr>
        <w:t> </w:t>
      </w:r>
      <w:r>
        <w:rPr>
          <w:sz w:val="24"/>
        </w:rPr>
        <w:t>road</w:t>
      </w:r>
      <w:r>
        <w:rPr>
          <w:spacing w:val="40"/>
          <w:sz w:val="24"/>
        </w:rPr>
        <w:t> </w:t>
      </w:r>
      <w:r>
        <w:rPr>
          <w:sz w:val="24"/>
        </w:rPr>
        <w:t>may</w:t>
      </w:r>
      <w:r>
        <w:rPr>
          <w:spacing w:val="40"/>
          <w:sz w:val="24"/>
        </w:rPr>
        <w:t> </w:t>
      </w:r>
      <w:r>
        <w:rPr>
          <w:sz w:val="24"/>
        </w:rPr>
        <w:t>be</w:t>
      </w:r>
      <w:r>
        <w:rPr>
          <w:spacing w:val="40"/>
          <w:sz w:val="24"/>
        </w:rPr>
        <w:t> </w:t>
      </w:r>
      <w:r>
        <w:rPr>
          <w:sz w:val="24"/>
        </w:rPr>
        <w:t>given</w:t>
      </w:r>
      <w:r>
        <w:rPr>
          <w:spacing w:val="40"/>
          <w:sz w:val="24"/>
        </w:rPr>
        <w:t> </w:t>
      </w:r>
      <w:r>
        <w:rPr>
          <w:sz w:val="24"/>
        </w:rPr>
        <w:t>in</w:t>
      </w:r>
      <w:r>
        <w:rPr>
          <w:spacing w:val="40"/>
          <w:sz w:val="24"/>
        </w:rPr>
        <w:t> </w:t>
      </w:r>
      <w:r>
        <w:rPr>
          <w:sz w:val="24"/>
        </w:rPr>
        <w:t>the</w:t>
      </w:r>
      <w:r>
        <w:rPr>
          <w:spacing w:val="40"/>
          <w:sz w:val="24"/>
        </w:rPr>
        <w:t> </w:t>
      </w:r>
      <w:r>
        <w:rPr>
          <w:sz w:val="24"/>
        </w:rPr>
        <w:t>same</w:t>
      </w:r>
      <w:r>
        <w:rPr>
          <w:spacing w:val="40"/>
          <w:sz w:val="24"/>
        </w:rPr>
        <w:t> </w:t>
      </w:r>
      <w:r>
        <w:rPr>
          <w:spacing w:val="9"/>
          <w:sz w:val="24"/>
        </w:rPr>
        <w:t>Scheme.</w:t>
      </w:r>
    </w:p>
    <w:p>
      <w:pPr>
        <w:pStyle w:val="BodyText"/>
        <w:spacing w:before="240"/>
        <w:ind w:left="1080" w:right="1094"/>
      </w:pPr>
      <w:r>
        <w:rPr/>
        <w:t>The</w:t>
      </w:r>
      <w:r>
        <w:rPr>
          <w:spacing w:val="40"/>
        </w:rPr>
        <w:t> </w:t>
      </w:r>
      <w:r>
        <w:rPr/>
        <w:t>location</w:t>
      </w:r>
      <w:r>
        <w:rPr>
          <w:spacing w:val="40"/>
        </w:rPr>
        <w:t> </w:t>
      </w:r>
      <w:r>
        <w:rPr/>
        <w:t>of</w:t>
      </w:r>
      <w:r>
        <w:rPr>
          <w:spacing w:val="40"/>
        </w:rPr>
        <w:t> </w:t>
      </w:r>
      <w:r>
        <w:rPr/>
        <w:t>and</w:t>
      </w:r>
      <w:r>
        <w:rPr>
          <w:spacing w:val="40"/>
        </w:rPr>
        <w:t> </w:t>
      </w:r>
      <w:r>
        <w:rPr/>
        <w:t>the</w:t>
      </w:r>
      <w:r>
        <w:rPr>
          <w:spacing w:val="40"/>
        </w:rPr>
        <w:t> </w:t>
      </w:r>
      <w:r>
        <w:rPr/>
        <w:t>area</w:t>
      </w:r>
      <w:r>
        <w:rPr>
          <w:spacing w:val="40"/>
        </w:rPr>
        <w:t> </w:t>
      </w:r>
      <w:r>
        <w:rPr/>
        <w:t>under</w:t>
      </w:r>
      <w:r>
        <w:rPr>
          <w:spacing w:val="40"/>
        </w:rPr>
        <w:t> </w:t>
      </w:r>
      <w:r>
        <w:rPr/>
        <w:t>DP</w:t>
      </w:r>
      <w:r>
        <w:rPr>
          <w:spacing w:val="40"/>
        </w:rPr>
        <w:t> </w:t>
      </w:r>
      <w:r>
        <w:rPr>
          <w:spacing w:val="9"/>
        </w:rPr>
        <w:t>road/</w:t>
      </w:r>
      <w:r>
        <w:rPr>
          <w:spacing w:val="40"/>
        </w:rPr>
        <w:t> </w:t>
      </w:r>
      <w:r>
        <w:rPr/>
        <w:t>existing</w:t>
      </w:r>
      <w:r>
        <w:rPr>
          <w:spacing w:val="40"/>
        </w:rPr>
        <w:t> </w:t>
      </w:r>
      <w:r>
        <w:rPr/>
        <w:t>roads</w:t>
      </w:r>
      <w:r>
        <w:rPr>
          <w:spacing w:val="40"/>
        </w:rPr>
        <w:t> </w:t>
      </w:r>
      <w:r>
        <w:rPr/>
        <w:t>falling</w:t>
      </w:r>
      <w:r>
        <w:rPr>
          <w:spacing w:val="40"/>
        </w:rPr>
        <w:t> </w:t>
      </w:r>
      <w:r>
        <w:rPr/>
        <w:t>in</w:t>
      </w:r>
      <w:r>
        <w:rPr>
          <w:spacing w:val="40"/>
        </w:rPr>
        <w:t> </w:t>
      </w:r>
      <w:r>
        <w:rPr/>
        <w:t>the UDS may be allowed to be rearranged based on the comprehensive</w:t>
      </w:r>
      <w:r>
        <w:rPr>
          <w:spacing w:val="40"/>
        </w:rPr>
        <w:t> </w:t>
      </w:r>
      <w:r>
        <w:rPr/>
        <w:t>traffic</w:t>
      </w:r>
      <w:r>
        <w:rPr>
          <w:spacing w:val="40"/>
        </w:rPr>
        <w:t> </w:t>
      </w:r>
      <w:r>
        <w:rPr/>
        <w:t>study</w:t>
      </w:r>
      <w:r>
        <w:rPr>
          <w:spacing w:val="40"/>
        </w:rPr>
        <w:t> </w:t>
      </w:r>
      <w:r>
        <w:rPr/>
        <w:t>without</w:t>
      </w:r>
      <w:r>
        <w:rPr>
          <w:spacing w:val="40"/>
        </w:rPr>
        <w:t> </w:t>
      </w:r>
      <w:r>
        <w:rPr/>
        <w:t>affecting</w:t>
      </w:r>
      <w:r>
        <w:rPr>
          <w:spacing w:val="40"/>
        </w:rPr>
        <w:t> </w:t>
      </w:r>
      <w:r>
        <w:rPr/>
        <w:t>the</w:t>
      </w:r>
      <w:r>
        <w:rPr>
          <w:spacing w:val="40"/>
        </w:rPr>
        <w:t> </w:t>
      </w:r>
      <w:r>
        <w:rPr/>
        <w:t>continuity</w:t>
      </w:r>
      <w:r>
        <w:rPr>
          <w:spacing w:val="40"/>
        </w:rPr>
        <w:t> </w:t>
      </w:r>
      <w:r>
        <w:rPr/>
        <w:t>of</w:t>
      </w:r>
      <w:r>
        <w:rPr>
          <w:spacing w:val="40"/>
        </w:rPr>
        <w:t> </w:t>
      </w:r>
      <w:r>
        <w:rPr/>
        <w:t>the</w:t>
      </w:r>
      <w:r>
        <w:rPr>
          <w:spacing w:val="40"/>
        </w:rPr>
        <w:t> </w:t>
      </w:r>
      <w:r>
        <w:rPr/>
        <w:t>existing</w:t>
      </w:r>
      <w:r>
        <w:rPr>
          <w:spacing w:val="40"/>
        </w:rPr>
        <w:t> </w:t>
      </w:r>
      <w:r>
        <w:rPr/>
        <w:t>traffic movement and without reducing the total area of the existing road &amp; DP Road.</w:t>
      </w:r>
      <w:r>
        <w:rPr>
          <w:spacing w:val="40"/>
        </w:rPr>
        <w:t> </w:t>
      </w:r>
      <w:r>
        <w:rPr/>
        <w:t>The</w:t>
      </w:r>
      <w:r>
        <w:rPr>
          <w:spacing w:val="40"/>
        </w:rPr>
        <w:t> </w:t>
      </w:r>
      <w:r>
        <w:rPr/>
        <w:t>existing</w:t>
      </w:r>
      <w:r>
        <w:rPr>
          <w:spacing w:val="40"/>
        </w:rPr>
        <w:t> </w:t>
      </w:r>
      <w:r>
        <w:rPr/>
        <w:t>roads</w:t>
      </w:r>
      <w:r>
        <w:rPr>
          <w:spacing w:val="40"/>
        </w:rPr>
        <w:t> </w:t>
      </w:r>
      <w:r>
        <w:rPr/>
        <w:t>may</w:t>
      </w:r>
      <w:r>
        <w:rPr>
          <w:spacing w:val="40"/>
        </w:rPr>
        <w:t> </w:t>
      </w:r>
      <w:r>
        <w:rPr/>
        <w:t>be</w:t>
      </w:r>
      <w:r>
        <w:rPr>
          <w:spacing w:val="40"/>
        </w:rPr>
        <w:t> </w:t>
      </w:r>
      <w:r>
        <w:rPr/>
        <w:t>realigned</w:t>
      </w:r>
      <w:r>
        <w:rPr>
          <w:spacing w:val="40"/>
        </w:rPr>
        <w:t> </w:t>
      </w:r>
      <w:r>
        <w:rPr/>
        <w:t>or</w:t>
      </w:r>
      <w:r>
        <w:rPr>
          <w:spacing w:val="40"/>
        </w:rPr>
        <w:t> </w:t>
      </w:r>
      <w:r>
        <w:rPr/>
        <w:t>relocated</w:t>
      </w:r>
      <w:r>
        <w:rPr>
          <w:spacing w:val="40"/>
        </w:rPr>
        <w:t> </w:t>
      </w:r>
      <w:r>
        <w:rPr/>
        <w:t>as</w:t>
      </w:r>
      <w:r>
        <w:rPr>
          <w:spacing w:val="40"/>
        </w:rPr>
        <w:t> </w:t>
      </w:r>
      <w:r>
        <w:rPr/>
        <w:t>per</w:t>
      </w:r>
      <w:r>
        <w:rPr>
          <w:spacing w:val="40"/>
        </w:rPr>
        <w:t> </w:t>
      </w:r>
      <w:r>
        <w:rPr/>
        <w:t>provisions of MMC </w:t>
      </w:r>
      <w:r>
        <w:rPr>
          <w:spacing w:val="9"/>
        </w:rPr>
        <w:t>Act.</w:t>
      </w:r>
    </w:p>
    <w:p>
      <w:pPr>
        <w:pStyle w:val="ListParagraph"/>
        <w:numPr>
          <w:ilvl w:val="1"/>
          <w:numId w:val="92"/>
        </w:numPr>
        <w:tabs>
          <w:tab w:pos="1462" w:val="left" w:leader="none"/>
        </w:tabs>
        <w:spacing w:line="240" w:lineRule="auto" w:before="239" w:after="0"/>
        <w:ind w:left="1080" w:right="1097" w:firstLine="0"/>
        <w:jc w:val="both"/>
        <w:rPr>
          <w:sz w:val="24"/>
        </w:rPr>
      </w:pPr>
      <w:r>
        <w:rPr>
          <w:sz w:val="24"/>
        </w:rPr>
        <w:t>No premium shall be charged for the fungible compensatory area admissible</w:t>
      </w:r>
      <w:r>
        <w:rPr>
          <w:spacing w:val="40"/>
          <w:sz w:val="24"/>
        </w:rPr>
        <w:t> </w:t>
      </w:r>
      <w:r>
        <w:rPr>
          <w:sz w:val="24"/>
        </w:rPr>
        <w:t>as</w:t>
      </w:r>
      <w:r>
        <w:rPr>
          <w:spacing w:val="40"/>
          <w:sz w:val="24"/>
        </w:rPr>
        <w:t> </w:t>
      </w:r>
      <w:r>
        <w:rPr>
          <w:sz w:val="24"/>
        </w:rPr>
        <w:t>per</w:t>
      </w:r>
      <w:r>
        <w:rPr>
          <w:spacing w:val="40"/>
          <w:sz w:val="24"/>
        </w:rPr>
        <w:t> </w:t>
      </w:r>
      <w:r>
        <w:rPr>
          <w:sz w:val="24"/>
        </w:rPr>
        <w:t>Regulation</w:t>
      </w:r>
      <w:r>
        <w:rPr>
          <w:spacing w:val="40"/>
          <w:sz w:val="24"/>
        </w:rPr>
        <w:t> </w:t>
      </w:r>
      <w:r>
        <w:rPr>
          <w:sz w:val="24"/>
        </w:rPr>
        <w:t>31(3)</w:t>
      </w:r>
      <w:r>
        <w:rPr>
          <w:spacing w:val="40"/>
          <w:sz w:val="24"/>
        </w:rPr>
        <w:t> </w:t>
      </w:r>
      <w:r>
        <w:rPr>
          <w:sz w:val="24"/>
        </w:rPr>
        <w:t>for</w:t>
      </w:r>
      <w:r>
        <w:rPr>
          <w:spacing w:val="40"/>
          <w:sz w:val="24"/>
        </w:rPr>
        <w:t> </w:t>
      </w:r>
      <w:r>
        <w:rPr>
          <w:sz w:val="24"/>
        </w:rPr>
        <w:t>rehabilitation</w:t>
      </w:r>
      <w:r>
        <w:rPr>
          <w:spacing w:val="40"/>
          <w:sz w:val="24"/>
        </w:rPr>
        <w:t> </w:t>
      </w:r>
      <w:r>
        <w:rPr>
          <w:sz w:val="24"/>
        </w:rPr>
        <w:t>component</w:t>
      </w:r>
      <w:r>
        <w:rPr>
          <w:spacing w:val="40"/>
          <w:sz w:val="24"/>
        </w:rPr>
        <w:t> </w:t>
      </w:r>
      <w:r>
        <w:rPr>
          <w:sz w:val="24"/>
        </w:rPr>
        <w:t>of</w:t>
      </w:r>
      <w:r>
        <w:rPr>
          <w:spacing w:val="40"/>
          <w:sz w:val="24"/>
        </w:rPr>
        <w:t> </w:t>
      </w:r>
      <w:r>
        <w:rPr>
          <w:sz w:val="24"/>
        </w:rPr>
        <w:t>an CDS</w:t>
      </w:r>
      <w:r>
        <w:rPr>
          <w:spacing w:val="40"/>
          <w:sz w:val="24"/>
        </w:rPr>
        <w:t> </w:t>
      </w:r>
      <w:r>
        <w:rPr>
          <w:sz w:val="24"/>
        </w:rPr>
        <w:t>as</w:t>
      </w:r>
      <w:r>
        <w:rPr>
          <w:spacing w:val="40"/>
          <w:sz w:val="24"/>
        </w:rPr>
        <w:t> </w:t>
      </w:r>
      <w:r>
        <w:rPr>
          <w:sz w:val="24"/>
        </w:rPr>
        <w:t>sanctioned</w:t>
      </w:r>
      <w:r>
        <w:rPr>
          <w:spacing w:val="40"/>
          <w:sz w:val="24"/>
        </w:rPr>
        <w:t> </w:t>
      </w:r>
      <w:r>
        <w:rPr>
          <w:sz w:val="24"/>
        </w:rPr>
        <w:t>by</w:t>
      </w:r>
      <w:r>
        <w:rPr>
          <w:spacing w:val="40"/>
          <w:sz w:val="24"/>
        </w:rPr>
        <w:t> </w:t>
      </w:r>
      <w:r>
        <w:rPr>
          <w:sz w:val="24"/>
        </w:rPr>
        <w:t>HPC</w:t>
      </w:r>
      <w:r>
        <w:rPr>
          <w:spacing w:val="40"/>
          <w:sz w:val="24"/>
        </w:rPr>
        <w:t> </w:t>
      </w:r>
      <w:r>
        <w:rPr>
          <w:sz w:val="24"/>
        </w:rPr>
        <w:t>and</w:t>
      </w:r>
      <w:r>
        <w:rPr>
          <w:spacing w:val="40"/>
          <w:sz w:val="24"/>
        </w:rPr>
        <w:t> </w:t>
      </w:r>
      <w:r>
        <w:rPr>
          <w:sz w:val="24"/>
        </w:rPr>
        <w:t>for</w:t>
      </w:r>
      <w:r>
        <w:rPr>
          <w:spacing w:val="40"/>
          <w:sz w:val="24"/>
        </w:rPr>
        <w:t> </w:t>
      </w:r>
      <w:r>
        <w:rPr>
          <w:sz w:val="24"/>
        </w:rPr>
        <w:t>the</w:t>
      </w:r>
      <w:r>
        <w:rPr>
          <w:spacing w:val="40"/>
          <w:sz w:val="24"/>
        </w:rPr>
        <w:t> </w:t>
      </w:r>
      <w:r>
        <w:rPr>
          <w:sz w:val="24"/>
        </w:rPr>
        <w:t>tenements</w:t>
      </w:r>
      <w:r>
        <w:rPr>
          <w:spacing w:val="40"/>
          <w:sz w:val="24"/>
        </w:rPr>
        <w:t> </w:t>
      </w:r>
      <w:r>
        <w:rPr>
          <w:sz w:val="24"/>
        </w:rPr>
        <w:t>to</w:t>
      </w:r>
      <w:r>
        <w:rPr>
          <w:spacing w:val="40"/>
          <w:sz w:val="24"/>
        </w:rPr>
        <w:t> </w:t>
      </w:r>
      <w:r>
        <w:rPr>
          <w:sz w:val="24"/>
        </w:rPr>
        <w:t>be</w:t>
      </w:r>
      <w:r>
        <w:rPr>
          <w:spacing w:val="40"/>
          <w:sz w:val="24"/>
        </w:rPr>
        <w:t> </w:t>
      </w:r>
      <w:r>
        <w:rPr>
          <w:sz w:val="24"/>
        </w:rPr>
        <w:t>handed</w:t>
      </w:r>
      <w:r>
        <w:rPr>
          <w:spacing w:val="40"/>
          <w:sz w:val="24"/>
        </w:rPr>
        <w:t> </w:t>
      </w:r>
      <w:r>
        <w:rPr>
          <w:sz w:val="24"/>
        </w:rPr>
        <w:t>over</w:t>
      </w:r>
      <w:r>
        <w:rPr>
          <w:spacing w:val="40"/>
          <w:sz w:val="24"/>
        </w:rPr>
        <w:t> </w:t>
      </w:r>
      <w:r>
        <w:rPr>
          <w:sz w:val="24"/>
        </w:rPr>
        <w:t>to</w:t>
      </w:r>
    </w:p>
    <w:p>
      <w:pPr>
        <w:pStyle w:val="ListParagraph"/>
        <w:spacing w:after="0" w:line="240" w:lineRule="auto"/>
        <w:jc w:val="both"/>
        <w:rPr>
          <w:sz w:val="24"/>
        </w:rPr>
        <w:sectPr>
          <w:pgSz w:w="11910" w:h="16840"/>
          <w:pgMar w:header="746" w:footer="968" w:top="1180" w:bottom="1160" w:left="360" w:right="360"/>
        </w:sectPr>
      </w:pPr>
    </w:p>
    <w:p>
      <w:pPr>
        <w:pStyle w:val="BodyText"/>
        <w:spacing w:before="251"/>
        <w:ind w:left="1080" w:right="1089"/>
      </w:pPr>
      <w:r>
        <w:rPr/>
        <w:t>MHADA and for the areas of reservation to be handed over to MCGM/Appropriate</w:t>
      </w:r>
      <w:r>
        <w:rPr>
          <w:spacing w:val="40"/>
        </w:rPr>
        <w:t> </w:t>
      </w:r>
      <w:r>
        <w:rPr/>
        <w:t>Authority.</w:t>
      </w:r>
      <w:r>
        <w:rPr>
          <w:spacing w:val="40"/>
        </w:rPr>
        <w:t> </w:t>
      </w:r>
      <w:r>
        <w:rPr/>
        <w:t>This</w:t>
      </w:r>
      <w:r>
        <w:rPr>
          <w:spacing w:val="40"/>
        </w:rPr>
        <w:t> </w:t>
      </w:r>
      <w:r>
        <w:rPr/>
        <w:t>fungible</w:t>
      </w:r>
      <w:r>
        <w:rPr>
          <w:spacing w:val="40"/>
        </w:rPr>
        <w:t> </w:t>
      </w:r>
      <w:r>
        <w:rPr/>
        <w:t>compensatory</w:t>
      </w:r>
      <w:r>
        <w:rPr>
          <w:spacing w:val="40"/>
        </w:rPr>
        <w:t> </w:t>
      </w:r>
      <w:r>
        <w:rPr/>
        <w:t>area</w:t>
      </w:r>
      <w:r>
        <w:rPr>
          <w:spacing w:val="40"/>
        </w:rPr>
        <w:t> </w:t>
      </w:r>
      <w:r>
        <w:rPr/>
        <w:t>admissible</w:t>
      </w:r>
      <w:r>
        <w:rPr>
          <w:spacing w:val="40"/>
        </w:rPr>
        <w:t> </w:t>
      </w:r>
      <w:r>
        <w:rPr/>
        <w:t>to</w:t>
      </w:r>
      <w:r>
        <w:rPr>
          <w:spacing w:val="40"/>
        </w:rPr>
        <w:t> </w:t>
      </w:r>
      <w:r>
        <w:rPr/>
        <w:t>the</w:t>
      </w:r>
      <w:r>
        <w:rPr>
          <w:spacing w:val="40"/>
        </w:rPr>
        <w:t> </w:t>
      </w:r>
      <w:r>
        <w:rPr/>
        <w:t>rehabilitation</w:t>
      </w:r>
      <w:r>
        <w:rPr>
          <w:spacing w:val="40"/>
        </w:rPr>
        <w:t> </w:t>
      </w:r>
      <w:r>
        <w:rPr/>
        <w:t>tenements</w:t>
      </w:r>
      <w:r>
        <w:rPr>
          <w:spacing w:val="40"/>
        </w:rPr>
        <w:t> </w:t>
      </w:r>
      <w:r>
        <w:rPr/>
        <w:t>shall</w:t>
      </w:r>
      <w:r>
        <w:rPr>
          <w:spacing w:val="40"/>
        </w:rPr>
        <w:t> </w:t>
      </w:r>
      <w:r>
        <w:rPr/>
        <w:t>be</w:t>
      </w:r>
      <w:r>
        <w:rPr>
          <w:spacing w:val="40"/>
        </w:rPr>
        <w:t> </w:t>
      </w:r>
      <w:r>
        <w:rPr/>
        <w:t>utilized</w:t>
      </w:r>
      <w:r>
        <w:rPr>
          <w:spacing w:val="40"/>
        </w:rPr>
        <w:t> </w:t>
      </w:r>
      <w:r>
        <w:rPr/>
        <w:t>for rehabilitation</w:t>
      </w:r>
      <w:r>
        <w:rPr>
          <w:spacing w:val="40"/>
        </w:rPr>
        <w:t> </w:t>
      </w:r>
      <w:r>
        <w:rPr/>
        <w:t>component</w:t>
      </w:r>
      <w:r>
        <w:rPr>
          <w:spacing w:val="40"/>
        </w:rPr>
        <w:t> </w:t>
      </w:r>
      <w:r>
        <w:rPr/>
        <w:t>only.</w:t>
      </w:r>
      <w:r>
        <w:rPr>
          <w:spacing w:val="40"/>
        </w:rPr>
        <w:t> </w:t>
      </w:r>
      <w:r>
        <w:rPr/>
        <w:t>Its</w:t>
      </w:r>
      <w:r>
        <w:rPr>
          <w:spacing w:val="40"/>
        </w:rPr>
        <w:t> </w:t>
      </w:r>
      <w:r>
        <w:rPr/>
        <w:t>utilization</w:t>
      </w:r>
      <w:r>
        <w:rPr>
          <w:spacing w:val="40"/>
        </w:rPr>
        <w:t> </w:t>
      </w:r>
      <w:r>
        <w:rPr/>
        <w:t>for</w:t>
      </w:r>
      <w:r>
        <w:rPr>
          <w:spacing w:val="40"/>
        </w:rPr>
        <w:t> </w:t>
      </w:r>
      <w:r>
        <w:rPr/>
        <w:t>Sale</w:t>
      </w:r>
      <w:r>
        <w:rPr>
          <w:spacing w:val="40"/>
        </w:rPr>
        <w:t> </w:t>
      </w:r>
      <w:r>
        <w:rPr/>
        <w:t>Component</w:t>
      </w:r>
      <w:r>
        <w:rPr>
          <w:spacing w:val="40"/>
        </w:rPr>
        <w:t> </w:t>
      </w:r>
      <w:r>
        <w:rPr/>
        <w:t>under the</w:t>
      </w:r>
      <w:r>
        <w:rPr>
          <w:spacing w:val="80"/>
          <w:w w:val="150"/>
        </w:rPr>
        <w:t> </w:t>
      </w:r>
      <w:r>
        <w:rPr/>
        <w:t>CDS</w:t>
      </w:r>
      <w:r>
        <w:rPr>
          <w:spacing w:val="40"/>
        </w:rPr>
        <w:t> </w:t>
      </w:r>
      <w:r>
        <w:rPr/>
        <w:t>shall</w:t>
      </w:r>
      <w:r>
        <w:rPr>
          <w:spacing w:val="40"/>
        </w:rPr>
        <w:t> </w:t>
      </w:r>
      <w:r>
        <w:rPr/>
        <w:t>not</w:t>
      </w:r>
      <w:r>
        <w:rPr>
          <w:spacing w:val="40"/>
        </w:rPr>
        <w:t> </w:t>
      </w:r>
      <w:r>
        <w:rPr/>
        <w:t>be</w:t>
      </w:r>
      <w:r>
        <w:rPr>
          <w:spacing w:val="40"/>
        </w:rPr>
        <w:t> </w:t>
      </w:r>
      <w:r>
        <w:rPr/>
        <w:t>permissible.</w:t>
      </w:r>
    </w:p>
    <w:p>
      <w:pPr>
        <w:pStyle w:val="ListParagraph"/>
        <w:numPr>
          <w:ilvl w:val="1"/>
          <w:numId w:val="92"/>
        </w:numPr>
        <w:tabs>
          <w:tab w:pos="1323" w:val="left" w:leader="none"/>
        </w:tabs>
        <w:spacing w:line="276" w:lineRule="auto" w:before="238" w:after="0"/>
        <w:ind w:left="1080" w:right="1077" w:firstLine="0"/>
        <w:jc w:val="both"/>
        <w:rPr>
          <w:sz w:val="22"/>
        </w:rPr>
      </w:pPr>
      <w:r>
        <w:rPr>
          <w:sz w:val="24"/>
        </w:rPr>
        <w:t>Notwithstanding anything contained in these regulation in case of slum located</w:t>
      </w:r>
      <w:r>
        <w:rPr>
          <w:spacing w:val="-4"/>
          <w:sz w:val="24"/>
        </w:rPr>
        <w:t> </w:t>
      </w:r>
      <w:r>
        <w:rPr>
          <w:sz w:val="24"/>
        </w:rPr>
        <w:t>on</w:t>
      </w:r>
      <w:r>
        <w:rPr>
          <w:spacing w:val="-4"/>
          <w:sz w:val="24"/>
        </w:rPr>
        <w:t> </w:t>
      </w:r>
      <w:r>
        <w:rPr>
          <w:sz w:val="24"/>
        </w:rPr>
        <w:t>unbuildable</w:t>
      </w:r>
      <w:r>
        <w:rPr>
          <w:spacing w:val="-4"/>
          <w:sz w:val="24"/>
        </w:rPr>
        <w:t> </w:t>
      </w:r>
      <w:r>
        <w:rPr>
          <w:sz w:val="24"/>
        </w:rPr>
        <w:t>reservation</w:t>
      </w:r>
      <w:r>
        <w:rPr>
          <w:spacing w:val="-4"/>
          <w:sz w:val="24"/>
        </w:rPr>
        <w:t> </w:t>
      </w:r>
      <w:r>
        <w:rPr>
          <w:sz w:val="24"/>
        </w:rPr>
        <w:t>(fully</w:t>
      </w:r>
      <w:r>
        <w:rPr>
          <w:spacing w:val="-4"/>
          <w:sz w:val="24"/>
        </w:rPr>
        <w:t> </w:t>
      </w:r>
      <w:r>
        <w:rPr>
          <w:sz w:val="24"/>
        </w:rPr>
        <w:t>occupied)</w:t>
      </w:r>
      <w:r>
        <w:rPr>
          <w:spacing w:val="-4"/>
          <w:sz w:val="24"/>
        </w:rPr>
        <w:t> </w:t>
      </w:r>
      <w:r>
        <w:rPr>
          <w:sz w:val="24"/>
        </w:rPr>
        <w:t>at</w:t>
      </w:r>
      <w:r>
        <w:rPr>
          <w:spacing w:val="-4"/>
          <w:sz w:val="24"/>
        </w:rPr>
        <w:t> </w:t>
      </w:r>
      <w:r>
        <w:rPr>
          <w:sz w:val="24"/>
        </w:rPr>
        <w:t>the</w:t>
      </w:r>
      <w:r>
        <w:rPr>
          <w:spacing w:val="-4"/>
          <w:sz w:val="24"/>
        </w:rPr>
        <w:t> </w:t>
      </w:r>
      <w:r>
        <w:rPr>
          <w:sz w:val="24"/>
        </w:rPr>
        <w:t>option</w:t>
      </w:r>
      <w:r>
        <w:rPr>
          <w:spacing w:val="-4"/>
          <w:sz w:val="24"/>
        </w:rPr>
        <w:t> </w:t>
      </w:r>
      <w:r>
        <w:rPr>
          <w:sz w:val="24"/>
        </w:rPr>
        <w:t>of</w:t>
      </w:r>
      <w:r>
        <w:rPr>
          <w:spacing w:val="-4"/>
          <w:sz w:val="24"/>
        </w:rPr>
        <w:t> </w:t>
      </w:r>
      <w:r>
        <w:rPr>
          <w:sz w:val="24"/>
        </w:rPr>
        <w:t>the</w:t>
      </w:r>
      <w:r>
        <w:rPr>
          <w:spacing w:val="-4"/>
          <w:sz w:val="24"/>
        </w:rPr>
        <w:t> </w:t>
      </w:r>
      <w:r>
        <w:rPr>
          <w:sz w:val="24"/>
        </w:rPr>
        <w:t>owner</w:t>
      </w:r>
    </w:p>
    <w:p>
      <w:pPr>
        <w:pStyle w:val="BodyText"/>
        <w:spacing w:line="276" w:lineRule="auto"/>
        <w:ind w:left="1080" w:right="1079"/>
      </w:pPr>
      <w:r>
        <w:rPr/>
        <w:t>/</w:t>
      </w:r>
      <w:r>
        <w:rPr>
          <w:spacing w:val="-20"/>
        </w:rPr>
        <w:t> </w:t>
      </w:r>
      <w:r>
        <w:rPr/>
        <w:t>developer</w:t>
      </w:r>
      <w:r>
        <w:rPr>
          <w:spacing w:val="-19"/>
        </w:rPr>
        <w:t> </w:t>
      </w:r>
      <w:r>
        <w:rPr/>
        <w:t>and</w:t>
      </w:r>
      <w:r>
        <w:rPr>
          <w:spacing w:val="-19"/>
        </w:rPr>
        <w:t> </w:t>
      </w:r>
      <w:r>
        <w:rPr/>
        <w:t>subject</w:t>
      </w:r>
      <w:r>
        <w:rPr>
          <w:spacing w:val="-19"/>
        </w:rPr>
        <w:t> </w:t>
      </w:r>
      <w:r>
        <w:rPr/>
        <w:t>to</w:t>
      </w:r>
      <w:r>
        <w:rPr>
          <w:spacing w:val="-19"/>
        </w:rPr>
        <w:t> </w:t>
      </w:r>
      <w:r>
        <w:rPr/>
        <w:t>rehabilitation</w:t>
      </w:r>
      <w:r>
        <w:rPr>
          <w:spacing w:val="-20"/>
        </w:rPr>
        <w:t> </w:t>
      </w:r>
      <w:r>
        <w:rPr/>
        <w:t>of</w:t>
      </w:r>
      <w:r>
        <w:rPr>
          <w:spacing w:val="-19"/>
        </w:rPr>
        <w:t> </w:t>
      </w:r>
      <w:r>
        <w:rPr/>
        <w:t>existing</w:t>
      </w:r>
      <w:r>
        <w:rPr>
          <w:spacing w:val="-19"/>
        </w:rPr>
        <w:t> </w:t>
      </w:r>
      <w:r>
        <w:rPr/>
        <w:t>slum</w:t>
      </w:r>
      <w:r>
        <w:rPr>
          <w:spacing w:val="-19"/>
        </w:rPr>
        <w:t> </w:t>
      </w:r>
      <w:r>
        <w:rPr/>
        <w:t>dwellers</w:t>
      </w:r>
      <w:r>
        <w:rPr>
          <w:spacing w:val="-19"/>
        </w:rPr>
        <w:t> </w:t>
      </w:r>
      <w:r>
        <w:rPr/>
        <w:t>/</w:t>
      </w:r>
      <w:r>
        <w:rPr>
          <w:spacing w:val="-20"/>
        </w:rPr>
        <w:t> </w:t>
      </w:r>
      <w:r>
        <w:rPr/>
        <w:t>occupants within</w:t>
      </w:r>
      <w:r>
        <w:rPr>
          <w:spacing w:val="-16"/>
        </w:rPr>
        <w:t> </w:t>
      </w:r>
      <w:r>
        <w:rPr/>
        <w:t>the</w:t>
      </w:r>
      <w:r>
        <w:rPr>
          <w:spacing w:val="-16"/>
        </w:rPr>
        <w:t> </w:t>
      </w:r>
      <w:r>
        <w:rPr/>
        <w:t>same</w:t>
      </w:r>
      <w:r>
        <w:rPr>
          <w:spacing w:val="-15"/>
        </w:rPr>
        <w:t> </w:t>
      </w:r>
      <w:r>
        <w:rPr/>
        <w:t>/</w:t>
      </w:r>
      <w:r>
        <w:rPr>
          <w:spacing w:val="-16"/>
        </w:rPr>
        <w:t> </w:t>
      </w:r>
      <w:r>
        <w:rPr/>
        <w:t>adjoining</w:t>
      </w:r>
      <w:r>
        <w:rPr>
          <w:spacing w:val="-16"/>
        </w:rPr>
        <w:t> </w:t>
      </w:r>
      <w:r>
        <w:rPr/>
        <w:t>municipal</w:t>
      </w:r>
      <w:r>
        <w:rPr>
          <w:spacing w:val="-15"/>
        </w:rPr>
        <w:t> </w:t>
      </w:r>
      <w:r>
        <w:rPr/>
        <w:t>ward</w:t>
      </w:r>
      <w:r>
        <w:rPr>
          <w:spacing w:val="-16"/>
        </w:rPr>
        <w:t> </w:t>
      </w:r>
      <w:r>
        <w:rPr/>
        <w:t>with</w:t>
      </w:r>
      <w:r>
        <w:rPr>
          <w:spacing w:val="-16"/>
        </w:rPr>
        <w:t> </w:t>
      </w:r>
      <w:r>
        <w:rPr/>
        <w:t>the</w:t>
      </w:r>
      <w:r>
        <w:rPr>
          <w:spacing w:val="-15"/>
        </w:rPr>
        <w:t> </w:t>
      </w:r>
      <w:r>
        <w:rPr/>
        <w:t>consent</w:t>
      </w:r>
      <w:r>
        <w:rPr>
          <w:spacing w:val="-16"/>
        </w:rPr>
        <w:t> </w:t>
      </w:r>
      <w:r>
        <w:rPr/>
        <w:t>of</w:t>
      </w:r>
      <w:r>
        <w:rPr>
          <w:spacing w:val="-16"/>
        </w:rPr>
        <w:t> </w:t>
      </w:r>
      <w:r>
        <w:rPr/>
        <w:t>slum</w:t>
      </w:r>
      <w:r>
        <w:rPr>
          <w:spacing w:val="-15"/>
        </w:rPr>
        <w:t> </w:t>
      </w:r>
      <w:r>
        <w:rPr>
          <w:spacing w:val="-2"/>
        </w:rPr>
        <w:t>dwellers</w:t>
      </w:r>
    </w:p>
    <w:p>
      <w:pPr>
        <w:pStyle w:val="BodyText"/>
        <w:spacing w:line="276" w:lineRule="auto"/>
        <w:ind w:left="1080" w:right="1080"/>
      </w:pPr>
      <w:r>
        <w:rPr/>
        <w:t>/ occupiers as per the provision of these regulations at owners / developers cost without any compensation and handing over the said entire land under reservation</w:t>
      </w:r>
      <w:r>
        <w:rPr>
          <w:spacing w:val="-4"/>
        </w:rPr>
        <w:t> </w:t>
      </w:r>
      <w:r>
        <w:rPr/>
        <w:t>to</w:t>
      </w:r>
      <w:r>
        <w:rPr>
          <w:spacing w:val="-4"/>
        </w:rPr>
        <w:t> </w:t>
      </w:r>
      <w:r>
        <w:rPr/>
        <w:t>MCGM</w:t>
      </w:r>
      <w:r>
        <w:rPr>
          <w:spacing w:val="-4"/>
        </w:rPr>
        <w:t> </w:t>
      </w:r>
      <w:r>
        <w:rPr/>
        <w:t>without</w:t>
      </w:r>
      <w:r>
        <w:rPr>
          <w:spacing w:val="-4"/>
        </w:rPr>
        <w:t> </w:t>
      </w:r>
      <w:r>
        <w:rPr/>
        <w:t>any</w:t>
      </w:r>
      <w:r>
        <w:rPr>
          <w:spacing w:val="-4"/>
        </w:rPr>
        <w:t> </w:t>
      </w:r>
      <w:r>
        <w:rPr/>
        <w:t>compensation,</w:t>
      </w:r>
      <w:r>
        <w:rPr>
          <w:spacing w:val="-4"/>
        </w:rPr>
        <w:t> </w:t>
      </w:r>
      <w:r>
        <w:rPr/>
        <w:t>then</w:t>
      </w:r>
      <w:r>
        <w:rPr>
          <w:spacing w:val="-4"/>
        </w:rPr>
        <w:t> </w:t>
      </w:r>
      <w:r>
        <w:rPr/>
        <w:t>it</w:t>
      </w:r>
      <w:r>
        <w:rPr>
          <w:spacing w:val="-4"/>
        </w:rPr>
        <w:t> </w:t>
      </w:r>
      <w:r>
        <w:rPr/>
        <w:t>shall</w:t>
      </w:r>
      <w:r>
        <w:rPr>
          <w:spacing w:val="-4"/>
        </w:rPr>
        <w:t> </w:t>
      </w:r>
      <w:r>
        <w:rPr/>
        <w:t>be</w:t>
      </w:r>
      <w:r>
        <w:rPr>
          <w:spacing w:val="-4"/>
        </w:rPr>
        <w:t> </w:t>
      </w:r>
      <w:r>
        <w:rPr/>
        <w:t>permissible to utilize the permissible FSI of this land within the cluster area. No concession of whatsoever nature permissible under these regulation or regulation</w:t>
      </w:r>
      <w:r>
        <w:rPr>
          <w:spacing w:val="-19"/>
        </w:rPr>
        <w:t> </w:t>
      </w:r>
      <w:r>
        <w:rPr/>
        <w:t>no.</w:t>
      </w:r>
      <w:r>
        <w:rPr>
          <w:spacing w:val="-19"/>
        </w:rPr>
        <w:t> </w:t>
      </w:r>
      <w:r>
        <w:rPr/>
        <w:t>33</w:t>
      </w:r>
      <w:r>
        <w:rPr>
          <w:spacing w:val="-19"/>
        </w:rPr>
        <w:t> </w:t>
      </w:r>
      <w:r>
        <w:rPr/>
        <w:t>(10)</w:t>
      </w:r>
      <w:r>
        <w:rPr>
          <w:spacing w:val="-19"/>
        </w:rPr>
        <w:t> </w:t>
      </w:r>
      <w:r>
        <w:rPr/>
        <w:t>shall</w:t>
      </w:r>
      <w:r>
        <w:rPr>
          <w:spacing w:val="-19"/>
        </w:rPr>
        <w:t> </w:t>
      </w:r>
      <w:r>
        <w:rPr/>
        <w:t>be</w:t>
      </w:r>
      <w:r>
        <w:rPr>
          <w:spacing w:val="-19"/>
        </w:rPr>
        <w:t> </w:t>
      </w:r>
      <w:r>
        <w:rPr/>
        <w:t>permissible</w:t>
      </w:r>
      <w:r>
        <w:rPr>
          <w:spacing w:val="-18"/>
        </w:rPr>
        <w:t> </w:t>
      </w:r>
      <w:r>
        <w:rPr/>
        <w:t>to</w:t>
      </w:r>
      <w:r>
        <w:rPr>
          <w:spacing w:val="-19"/>
        </w:rPr>
        <w:t> </w:t>
      </w:r>
      <w:r>
        <w:rPr/>
        <w:t>the</w:t>
      </w:r>
      <w:r>
        <w:rPr>
          <w:spacing w:val="-19"/>
        </w:rPr>
        <w:t> </w:t>
      </w:r>
      <w:r>
        <w:rPr/>
        <w:t>building</w:t>
      </w:r>
      <w:r>
        <w:rPr>
          <w:spacing w:val="-19"/>
        </w:rPr>
        <w:t> </w:t>
      </w:r>
      <w:r>
        <w:rPr/>
        <w:t>where</w:t>
      </w:r>
      <w:r>
        <w:rPr>
          <w:spacing w:val="-19"/>
        </w:rPr>
        <w:t> </w:t>
      </w:r>
      <w:r>
        <w:rPr/>
        <w:t>slum</w:t>
      </w:r>
      <w:r>
        <w:rPr>
          <w:spacing w:val="-19"/>
        </w:rPr>
        <w:t> </w:t>
      </w:r>
      <w:r>
        <w:rPr/>
        <w:t>dwellers are rehabilitated.</w:t>
      </w:r>
    </w:p>
    <w:p>
      <w:pPr>
        <w:pStyle w:val="Heading6"/>
        <w:spacing w:before="200"/>
        <w:ind w:left="1080" w:right="1080"/>
        <w:jc w:val="both"/>
      </w:pPr>
      <w:r>
        <w:rPr/>
        <w:t>(C)(II)</w:t>
      </w:r>
      <w:r>
        <w:rPr>
          <w:spacing w:val="-9"/>
        </w:rPr>
        <w:t> </w:t>
      </w:r>
      <w:r>
        <w:rPr/>
        <w:t>Development</w:t>
      </w:r>
      <w:r>
        <w:rPr>
          <w:spacing w:val="-9"/>
        </w:rPr>
        <w:t> </w:t>
      </w:r>
      <w:r>
        <w:rPr/>
        <w:t>of</w:t>
      </w:r>
      <w:r>
        <w:rPr>
          <w:spacing w:val="-9"/>
        </w:rPr>
        <w:t> </w:t>
      </w:r>
      <w:r>
        <w:rPr/>
        <w:t>reservation</w:t>
      </w:r>
      <w:r>
        <w:rPr>
          <w:spacing w:val="-9"/>
        </w:rPr>
        <w:t> </w:t>
      </w:r>
      <w:r>
        <w:rPr/>
        <w:t>in</w:t>
      </w:r>
      <w:r>
        <w:rPr>
          <w:spacing w:val="-9"/>
        </w:rPr>
        <w:t> </w:t>
      </w:r>
      <w:r>
        <w:rPr/>
        <w:t>Reconstruction</w:t>
      </w:r>
      <w:r>
        <w:rPr>
          <w:spacing w:val="-9"/>
        </w:rPr>
        <w:t> </w:t>
      </w:r>
      <w:r>
        <w:rPr/>
        <w:t>or</w:t>
      </w:r>
      <w:r>
        <w:rPr>
          <w:spacing w:val="-9"/>
        </w:rPr>
        <w:t> </w:t>
      </w:r>
      <w:r>
        <w:rPr/>
        <w:t>redevelopment</w:t>
      </w:r>
      <w:r>
        <w:rPr>
          <w:spacing w:val="-9"/>
        </w:rPr>
        <w:t> </w:t>
      </w:r>
      <w:r>
        <w:rPr/>
        <w:t>of Cluster of BDD chawls at Naigaon, Worli, N.M.Joshi Marg and Shivdi under Urban Renewal Scheme(s) under Regulation No. 33(9)(B).</w:t>
      </w:r>
    </w:p>
    <w:p>
      <w:pPr>
        <w:pStyle w:val="BodyText"/>
        <w:spacing w:before="242"/>
        <w:ind w:left="1080" w:right="1080" w:firstLine="614"/>
      </w:pPr>
      <w:r>
        <w:rPr/>
        <w:t>Construction or reconstruction of slums/buildings falling under Reservations contemplated in the Development Plan shall be permissible as under –</w:t>
      </w:r>
    </w:p>
    <w:p>
      <w:pPr>
        <w:pStyle w:val="BodyText"/>
        <w:spacing w:before="2"/>
        <w:jc w:val="left"/>
      </w:pPr>
    </w:p>
    <w:p>
      <w:pPr>
        <w:pStyle w:val="ListParagraph"/>
        <w:numPr>
          <w:ilvl w:val="0"/>
          <w:numId w:val="94"/>
        </w:numPr>
        <w:tabs>
          <w:tab w:pos="1782" w:val="left" w:leader="none"/>
        </w:tabs>
        <w:spacing w:line="240" w:lineRule="auto" w:before="0" w:after="0"/>
        <w:ind w:left="1080" w:right="1079" w:firstLine="0"/>
        <w:jc w:val="both"/>
        <w:rPr>
          <w:b/>
          <w:i/>
          <w:sz w:val="22"/>
        </w:rPr>
      </w:pPr>
      <w:r>
        <w:rPr>
          <w:sz w:val="24"/>
        </w:rPr>
        <w:t>Redevelopment / reconstruction in any zone shall be allowed to be undertaken without going through the process of change of zone. However, for the industrial user, the existing segregating distance shall be maintained from the existing industrial unit.</w:t>
      </w:r>
    </w:p>
    <w:p>
      <w:pPr>
        <w:pStyle w:val="BodyText"/>
        <w:jc w:val="left"/>
      </w:pPr>
    </w:p>
    <w:p>
      <w:pPr>
        <w:pStyle w:val="ListParagraph"/>
        <w:numPr>
          <w:ilvl w:val="0"/>
          <w:numId w:val="94"/>
        </w:numPr>
        <w:tabs>
          <w:tab w:pos="1900" w:val="left" w:leader="none"/>
        </w:tabs>
        <w:spacing w:line="240" w:lineRule="auto" w:before="0" w:after="0"/>
        <w:ind w:left="1080" w:right="1080" w:firstLine="81"/>
        <w:jc w:val="both"/>
        <w:rPr>
          <w:sz w:val="24"/>
        </w:rPr>
      </w:pPr>
      <w:r>
        <w:rPr>
          <w:sz w:val="24"/>
        </w:rPr>
        <w:t>Any land under non-buildable reservations, admeasuring only up to 500 sq. m may be cleared by shifting the existing tenants from that site.</w:t>
      </w:r>
    </w:p>
    <w:p>
      <w:pPr>
        <w:pStyle w:val="ListParagraph"/>
        <w:numPr>
          <w:ilvl w:val="0"/>
          <w:numId w:val="94"/>
        </w:numPr>
        <w:tabs>
          <w:tab w:pos="1719" w:val="left" w:leader="none"/>
        </w:tabs>
        <w:spacing w:line="240" w:lineRule="auto" w:before="281" w:after="0"/>
        <w:ind w:left="1080" w:right="1076" w:firstLine="0"/>
        <w:jc w:val="both"/>
        <w:rPr>
          <w:sz w:val="24"/>
        </w:rPr>
      </w:pPr>
      <w:r>
        <w:rPr>
          <w:sz w:val="24"/>
        </w:rPr>
        <w:t>If the area under a non-buildable reservation is more than 500 sq. m., minimum 50% of the area under reservation shall be developed for the same purpose</w:t>
      </w:r>
      <w:r>
        <w:rPr>
          <w:spacing w:val="-13"/>
          <w:sz w:val="24"/>
        </w:rPr>
        <w:t> </w:t>
      </w:r>
      <w:r>
        <w:rPr>
          <w:sz w:val="24"/>
        </w:rPr>
        <w:t>and</w:t>
      </w:r>
      <w:r>
        <w:rPr>
          <w:spacing w:val="-13"/>
          <w:sz w:val="24"/>
        </w:rPr>
        <w:t> </w:t>
      </w:r>
      <w:r>
        <w:rPr>
          <w:sz w:val="24"/>
        </w:rPr>
        <w:t>handed</w:t>
      </w:r>
      <w:r>
        <w:rPr>
          <w:spacing w:val="-15"/>
          <w:sz w:val="24"/>
        </w:rPr>
        <w:t> </w:t>
      </w:r>
      <w:r>
        <w:rPr>
          <w:sz w:val="24"/>
        </w:rPr>
        <w:t>over</w:t>
      </w:r>
      <w:r>
        <w:rPr>
          <w:spacing w:val="-13"/>
          <w:sz w:val="24"/>
        </w:rPr>
        <w:t> </w:t>
      </w:r>
      <w:r>
        <w:rPr>
          <w:sz w:val="24"/>
        </w:rPr>
        <w:t>to</w:t>
      </w:r>
      <w:r>
        <w:rPr>
          <w:spacing w:val="-13"/>
          <w:sz w:val="24"/>
        </w:rPr>
        <w:t> </w:t>
      </w:r>
      <w:r>
        <w:rPr>
          <w:sz w:val="24"/>
        </w:rPr>
        <w:t>Planning</w:t>
      </w:r>
      <w:r>
        <w:rPr>
          <w:spacing w:val="-13"/>
          <w:sz w:val="24"/>
        </w:rPr>
        <w:t> </w:t>
      </w:r>
      <w:r>
        <w:rPr>
          <w:sz w:val="24"/>
        </w:rPr>
        <w:t>Authority,</w:t>
      </w:r>
      <w:r>
        <w:rPr>
          <w:spacing w:val="-13"/>
          <w:sz w:val="24"/>
        </w:rPr>
        <w:t> </w:t>
      </w:r>
      <w:r>
        <w:rPr>
          <w:sz w:val="24"/>
        </w:rPr>
        <w:t>subject</w:t>
      </w:r>
      <w:r>
        <w:rPr>
          <w:spacing w:val="-13"/>
          <w:sz w:val="24"/>
        </w:rPr>
        <w:t> </w:t>
      </w:r>
      <w:r>
        <w:rPr>
          <w:sz w:val="24"/>
        </w:rPr>
        <w:t>to</w:t>
      </w:r>
      <w:r>
        <w:rPr>
          <w:spacing w:val="-13"/>
          <w:sz w:val="24"/>
        </w:rPr>
        <w:t> </w:t>
      </w:r>
      <w:r>
        <w:rPr>
          <w:sz w:val="24"/>
        </w:rPr>
        <w:t>a</w:t>
      </w:r>
      <w:r>
        <w:rPr>
          <w:spacing w:val="-15"/>
          <w:sz w:val="24"/>
        </w:rPr>
        <w:t> </w:t>
      </w:r>
      <w:r>
        <w:rPr>
          <w:sz w:val="24"/>
        </w:rPr>
        <w:t>minimum</w:t>
      </w:r>
      <w:r>
        <w:rPr>
          <w:spacing w:val="-13"/>
          <w:sz w:val="24"/>
        </w:rPr>
        <w:t> </w:t>
      </w:r>
      <w:r>
        <w:rPr>
          <w:sz w:val="24"/>
        </w:rPr>
        <w:t>of</w:t>
      </w:r>
      <w:r>
        <w:rPr>
          <w:spacing w:val="-13"/>
          <w:sz w:val="24"/>
        </w:rPr>
        <w:t> </w:t>
      </w:r>
      <w:r>
        <w:rPr>
          <w:sz w:val="24"/>
        </w:rPr>
        <w:t>500 sq. m and the remaining land shall be allowed for development.</w:t>
      </w:r>
    </w:p>
    <w:p>
      <w:pPr>
        <w:pStyle w:val="ListParagraph"/>
        <w:numPr>
          <w:ilvl w:val="0"/>
          <w:numId w:val="94"/>
        </w:numPr>
        <w:tabs>
          <w:tab w:pos="2176" w:val="left" w:leader="none"/>
        </w:tabs>
        <w:spacing w:line="240" w:lineRule="auto" w:before="0" w:after="0"/>
        <w:ind w:left="1080" w:right="1076" w:firstLine="0"/>
        <w:jc w:val="both"/>
        <w:rPr>
          <w:sz w:val="24"/>
        </w:rPr>
      </w:pPr>
      <w:r>
        <w:rPr>
          <w:sz w:val="24"/>
        </w:rPr>
        <w:t>All the reservations in the Development Plan shall be rearranged/relocated,</w:t>
      </w:r>
      <w:r>
        <w:rPr>
          <w:spacing w:val="-11"/>
          <w:sz w:val="24"/>
        </w:rPr>
        <w:t> </w:t>
      </w:r>
      <w:r>
        <w:rPr>
          <w:sz w:val="24"/>
        </w:rPr>
        <w:t>if</w:t>
      </w:r>
      <w:r>
        <w:rPr>
          <w:spacing w:val="-11"/>
          <w:sz w:val="24"/>
        </w:rPr>
        <w:t> </w:t>
      </w:r>
      <w:r>
        <w:rPr>
          <w:sz w:val="24"/>
        </w:rPr>
        <w:t>necessary,</w:t>
      </w:r>
      <w:r>
        <w:rPr>
          <w:spacing w:val="-11"/>
          <w:sz w:val="24"/>
        </w:rPr>
        <w:t> </w:t>
      </w:r>
      <w:r>
        <w:rPr>
          <w:sz w:val="24"/>
        </w:rPr>
        <w:t>with</w:t>
      </w:r>
      <w:r>
        <w:rPr>
          <w:spacing w:val="-11"/>
          <w:sz w:val="24"/>
        </w:rPr>
        <w:t> </w:t>
      </w:r>
      <w:r>
        <w:rPr>
          <w:sz w:val="24"/>
        </w:rPr>
        <w:t>the</w:t>
      </w:r>
      <w:r>
        <w:rPr>
          <w:spacing w:val="-11"/>
          <w:sz w:val="24"/>
        </w:rPr>
        <w:t> </w:t>
      </w:r>
      <w:r>
        <w:rPr>
          <w:sz w:val="24"/>
        </w:rPr>
        <w:t>same</w:t>
      </w:r>
      <w:r>
        <w:rPr>
          <w:spacing w:val="-11"/>
          <w:sz w:val="24"/>
        </w:rPr>
        <w:t> </w:t>
      </w:r>
      <w:r>
        <w:rPr>
          <w:sz w:val="24"/>
        </w:rPr>
        <w:t>area</w:t>
      </w:r>
      <w:r>
        <w:rPr>
          <w:spacing w:val="-11"/>
          <w:sz w:val="24"/>
        </w:rPr>
        <w:t> </w:t>
      </w:r>
      <w:r>
        <w:rPr>
          <w:sz w:val="24"/>
        </w:rPr>
        <w:t>and</w:t>
      </w:r>
      <w:r>
        <w:rPr>
          <w:spacing w:val="-11"/>
          <w:sz w:val="24"/>
        </w:rPr>
        <w:t> </w:t>
      </w:r>
      <w:r>
        <w:rPr>
          <w:sz w:val="24"/>
        </w:rPr>
        <w:t>the</w:t>
      </w:r>
      <w:r>
        <w:rPr>
          <w:spacing w:val="-11"/>
          <w:sz w:val="24"/>
        </w:rPr>
        <w:t> </w:t>
      </w:r>
      <w:r>
        <w:rPr>
          <w:sz w:val="24"/>
        </w:rPr>
        <w:t>same</w:t>
      </w:r>
      <w:r>
        <w:rPr>
          <w:spacing w:val="-11"/>
          <w:sz w:val="24"/>
        </w:rPr>
        <w:t> </w:t>
      </w:r>
      <w:r>
        <w:rPr>
          <w:sz w:val="24"/>
        </w:rPr>
        <w:t>width</w:t>
      </w:r>
      <w:r>
        <w:rPr>
          <w:spacing w:val="-11"/>
          <w:sz w:val="24"/>
        </w:rPr>
        <w:t> </w:t>
      </w:r>
      <w:r>
        <w:rPr>
          <w:sz w:val="24"/>
        </w:rPr>
        <w:t>of access road or as required under DCPR, whichever is more.</w:t>
      </w:r>
    </w:p>
    <w:p>
      <w:pPr>
        <w:pStyle w:val="BodyText"/>
        <w:spacing w:before="1"/>
        <w:jc w:val="left"/>
      </w:pPr>
    </w:p>
    <w:p>
      <w:pPr>
        <w:pStyle w:val="ListParagraph"/>
        <w:numPr>
          <w:ilvl w:val="0"/>
          <w:numId w:val="94"/>
        </w:numPr>
        <w:tabs>
          <w:tab w:pos="1944" w:val="left" w:leader="none"/>
        </w:tabs>
        <w:spacing w:line="240" w:lineRule="auto" w:before="0" w:after="0"/>
        <w:ind w:left="1080" w:right="1082" w:firstLine="0"/>
        <w:jc w:val="both"/>
        <w:rPr>
          <w:sz w:val="24"/>
        </w:rPr>
      </w:pPr>
      <w:r>
        <w:rPr>
          <w:sz w:val="24"/>
        </w:rPr>
        <w:t>For the reservation of parking lot on a land included in URC, BUA equivalent</w:t>
      </w:r>
      <w:r>
        <w:rPr>
          <w:spacing w:val="-14"/>
          <w:sz w:val="24"/>
        </w:rPr>
        <w:t> </w:t>
      </w:r>
      <w:r>
        <w:rPr>
          <w:sz w:val="24"/>
        </w:rPr>
        <w:t>to</w:t>
      </w:r>
      <w:r>
        <w:rPr>
          <w:spacing w:val="-15"/>
          <w:sz w:val="24"/>
        </w:rPr>
        <w:t> </w:t>
      </w:r>
      <w:r>
        <w:rPr>
          <w:sz w:val="24"/>
        </w:rPr>
        <w:t>Zonal</w:t>
      </w:r>
      <w:r>
        <w:rPr>
          <w:spacing w:val="-14"/>
          <w:sz w:val="24"/>
        </w:rPr>
        <w:t> </w:t>
      </w:r>
      <w:r>
        <w:rPr>
          <w:sz w:val="24"/>
        </w:rPr>
        <w:t>(basic)</w:t>
      </w:r>
      <w:r>
        <w:rPr>
          <w:spacing w:val="-14"/>
          <w:sz w:val="24"/>
        </w:rPr>
        <w:t> </w:t>
      </w:r>
      <w:r>
        <w:rPr>
          <w:sz w:val="24"/>
        </w:rPr>
        <w:t>FSI</w:t>
      </w:r>
      <w:r>
        <w:rPr>
          <w:spacing w:val="-12"/>
          <w:sz w:val="24"/>
        </w:rPr>
        <w:t> </w:t>
      </w:r>
      <w:r>
        <w:rPr>
          <w:sz w:val="24"/>
        </w:rPr>
        <w:t>for</w:t>
      </w:r>
      <w:r>
        <w:rPr>
          <w:spacing w:val="-14"/>
          <w:sz w:val="24"/>
        </w:rPr>
        <w:t> </w:t>
      </w:r>
      <w:r>
        <w:rPr>
          <w:sz w:val="24"/>
        </w:rPr>
        <w:t>the</w:t>
      </w:r>
      <w:r>
        <w:rPr>
          <w:spacing w:val="-14"/>
          <w:sz w:val="24"/>
        </w:rPr>
        <w:t> </w:t>
      </w:r>
      <w:r>
        <w:rPr>
          <w:sz w:val="24"/>
        </w:rPr>
        <w:t>area</w:t>
      </w:r>
      <w:r>
        <w:rPr>
          <w:spacing w:val="-14"/>
          <w:sz w:val="24"/>
        </w:rPr>
        <w:t> </w:t>
      </w:r>
      <w:r>
        <w:rPr>
          <w:sz w:val="24"/>
        </w:rPr>
        <w:t>under</w:t>
      </w:r>
      <w:r>
        <w:rPr>
          <w:spacing w:val="-14"/>
          <w:sz w:val="24"/>
        </w:rPr>
        <w:t> </w:t>
      </w:r>
      <w:r>
        <w:rPr>
          <w:sz w:val="24"/>
        </w:rPr>
        <w:t>reservation</w:t>
      </w:r>
      <w:r>
        <w:rPr>
          <w:spacing w:val="-14"/>
          <w:sz w:val="24"/>
        </w:rPr>
        <w:t> </w:t>
      </w:r>
      <w:r>
        <w:rPr>
          <w:sz w:val="24"/>
        </w:rPr>
        <w:t>in</w:t>
      </w:r>
      <w:r>
        <w:rPr>
          <w:spacing w:val="-14"/>
          <w:sz w:val="24"/>
        </w:rPr>
        <w:t> </w:t>
      </w:r>
      <w:r>
        <w:rPr>
          <w:sz w:val="24"/>
        </w:rPr>
        <w:t>that</w:t>
      </w:r>
      <w:r>
        <w:rPr>
          <w:spacing w:val="-14"/>
          <w:sz w:val="24"/>
        </w:rPr>
        <w:t> </w:t>
      </w:r>
      <w:r>
        <w:rPr>
          <w:sz w:val="24"/>
        </w:rPr>
        <w:t>plot</w:t>
      </w:r>
      <w:r>
        <w:rPr>
          <w:spacing w:val="-14"/>
          <w:sz w:val="24"/>
        </w:rPr>
        <w:t> </w:t>
      </w:r>
      <w:r>
        <w:rPr>
          <w:sz w:val="24"/>
        </w:rPr>
        <w:t>shall be made available free of cost to the Officer appointed by the Planning Authority. Such BUA to be handed over shall be free of FSI.</w:t>
      </w:r>
    </w:p>
    <w:p>
      <w:pPr>
        <w:pStyle w:val="ListParagraph"/>
        <w:spacing w:after="0" w:line="240" w:lineRule="auto"/>
        <w:jc w:val="both"/>
        <w:rPr>
          <w:sz w:val="24"/>
        </w:rPr>
        <w:sectPr>
          <w:pgSz w:w="11910" w:h="16840"/>
          <w:pgMar w:header="746" w:footer="968" w:top="1180" w:bottom="1160" w:left="360" w:right="360"/>
        </w:sectPr>
      </w:pPr>
    </w:p>
    <w:p>
      <w:pPr>
        <w:pStyle w:val="ListParagraph"/>
        <w:numPr>
          <w:ilvl w:val="0"/>
          <w:numId w:val="94"/>
        </w:numPr>
        <w:tabs>
          <w:tab w:pos="1594" w:val="left" w:leader="none"/>
        </w:tabs>
        <w:spacing w:line="240" w:lineRule="auto" w:before="251" w:after="0"/>
        <w:ind w:left="1080" w:right="1076" w:firstLine="81"/>
        <w:jc w:val="both"/>
        <w:rPr>
          <w:sz w:val="24"/>
        </w:rPr>
      </w:pPr>
      <w:r>
        <w:rPr>
          <w:sz w:val="24"/>
        </w:rPr>
        <w:t>For other buildable reservations on land, built up area equal to 60% of the Zonal (basic) FSI under such reservations or existing built up area of the amenity whichever is more, on that plot shall be made available free of FSI and free of cost to the Planning Authority. The reservations of</w:t>
      </w:r>
      <w:r>
        <w:rPr>
          <w:spacing w:val="80"/>
          <w:sz w:val="24"/>
        </w:rPr>
        <w:t> </w:t>
      </w:r>
      <w:r>
        <w:rPr>
          <w:sz w:val="24"/>
        </w:rPr>
        <w:t>compatible nature can be preferably constructed in one or more separate blocks/plot depending</w:t>
      </w:r>
      <w:r>
        <w:rPr>
          <w:spacing w:val="-18"/>
          <w:sz w:val="24"/>
        </w:rPr>
        <w:t> </w:t>
      </w:r>
      <w:r>
        <w:rPr>
          <w:sz w:val="24"/>
        </w:rPr>
        <w:t>on</w:t>
      </w:r>
      <w:r>
        <w:rPr>
          <w:spacing w:val="-18"/>
          <w:sz w:val="24"/>
        </w:rPr>
        <w:t> </w:t>
      </w:r>
      <w:r>
        <w:rPr>
          <w:sz w:val="24"/>
        </w:rPr>
        <w:t>the</w:t>
      </w:r>
      <w:r>
        <w:rPr>
          <w:spacing w:val="-18"/>
          <w:sz w:val="24"/>
        </w:rPr>
        <w:t> </w:t>
      </w:r>
      <w:r>
        <w:rPr>
          <w:sz w:val="24"/>
        </w:rPr>
        <w:t>area</w:t>
      </w:r>
      <w:r>
        <w:rPr>
          <w:spacing w:val="-18"/>
          <w:sz w:val="24"/>
        </w:rPr>
        <w:t> </w:t>
      </w:r>
      <w:r>
        <w:rPr>
          <w:sz w:val="24"/>
        </w:rPr>
        <w:t>and</w:t>
      </w:r>
      <w:r>
        <w:rPr>
          <w:spacing w:val="-18"/>
          <w:sz w:val="24"/>
        </w:rPr>
        <w:t> </w:t>
      </w:r>
      <w:r>
        <w:rPr>
          <w:sz w:val="24"/>
        </w:rPr>
        <w:t>nature</w:t>
      </w:r>
      <w:r>
        <w:rPr>
          <w:spacing w:val="-18"/>
          <w:sz w:val="24"/>
        </w:rPr>
        <w:t> </w:t>
      </w:r>
      <w:r>
        <w:rPr>
          <w:sz w:val="24"/>
        </w:rPr>
        <w:t>of</w:t>
      </w:r>
      <w:r>
        <w:rPr>
          <w:spacing w:val="-18"/>
          <w:sz w:val="24"/>
        </w:rPr>
        <w:t> </w:t>
      </w:r>
      <w:r>
        <w:rPr>
          <w:sz w:val="24"/>
        </w:rPr>
        <w:t>such</w:t>
      </w:r>
      <w:r>
        <w:rPr>
          <w:spacing w:val="80"/>
          <w:sz w:val="24"/>
        </w:rPr>
        <w:t> </w:t>
      </w:r>
      <w:r>
        <w:rPr>
          <w:sz w:val="24"/>
        </w:rPr>
        <w:t>reservations</w:t>
      </w:r>
      <w:r>
        <w:rPr>
          <w:spacing w:val="-17"/>
          <w:sz w:val="24"/>
        </w:rPr>
        <w:t> </w:t>
      </w:r>
      <w:r>
        <w:rPr>
          <w:sz w:val="24"/>
        </w:rPr>
        <w:t>and</w:t>
      </w:r>
      <w:r>
        <w:rPr>
          <w:spacing w:val="-18"/>
          <w:sz w:val="24"/>
        </w:rPr>
        <w:t> </w:t>
      </w:r>
      <w:r>
        <w:rPr>
          <w:sz w:val="24"/>
        </w:rPr>
        <w:t>Officer</w:t>
      </w:r>
      <w:r>
        <w:rPr>
          <w:spacing w:val="-17"/>
          <w:sz w:val="24"/>
        </w:rPr>
        <w:t> </w:t>
      </w:r>
      <w:r>
        <w:rPr>
          <w:sz w:val="24"/>
        </w:rPr>
        <w:t>appointed by</w:t>
      </w:r>
      <w:r>
        <w:rPr>
          <w:spacing w:val="-7"/>
          <w:sz w:val="24"/>
        </w:rPr>
        <w:t> </w:t>
      </w:r>
      <w:r>
        <w:rPr>
          <w:sz w:val="24"/>
        </w:rPr>
        <w:t>the</w:t>
      </w:r>
      <w:r>
        <w:rPr>
          <w:spacing w:val="-7"/>
          <w:sz w:val="24"/>
        </w:rPr>
        <w:t> </w:t>
      </w:r>
      <w:r>
        <w:rPr>
          <w:sz w:val="24"/>
        </w:rPr>
        <w:t>Planning</w:t>
      </w:r>
      <w:r>
        <w:rPr>
          <w:spacing w:val="-7"/>
          <w:sz w:val="24"/>
        </w:rPr>
        <w:t> </w:t>
      </w:r>
      <w:r>
        <w:rPr>
          <w:sz w:val="24"/>
        </w:rPr>
        <w:t>Authority</w:t>
      </w:r>
      <w:r>
        <w:rPr>
          <w:spacing w:val="-7"/>
          <w:sz w:val="24"/>
        </w:rPr>
        <w:t> </w:t>
      </w:r>
      <w:r>
        <w:rPr>
          <w:sz w:val="24"/>
        </w:rPr>
        <w:t>may</w:t>
      </w:r>
      <w:r>
        <w:rPr>
          <w:spacing w:val="-6"/>
          <w:sz w:val="24"/>
        </w:rPr>
        <w:t> </w:t>
      </w:r>
      <w:r>
        <w:rPr>
          <w:sz w:val="24"/>
        </w:rPr>
        <w:t>permit</w:t>
      </w:r>
      <w:r>
        <w:rPr>
          <w:spacing w:val="-7"/>
          <w:sz w:val="24"/>
        </w:rPr>
        <w:t> </w:t>
      </w:r>
      <w:r>
        <w:rPr>
          <w:sz w:val="24"/>
        </w:rPr>
        <w:t>composite</w:t>
      </w:r>
      <w:r>
        <w:rPr>
          <w:spacing w:val="-7"/>
          <w:sz w:val="24"/>
        </w:rPr>
        <w:t> </w:t>
      </w:r>
      <w:r>
        <w:rPr>
          <w:sz w:val="24"/>
        </w:rPr>
        <w:t>development</w:t>
      </w:r>
      <w:r>
        <w:rPr>
          <w:spacing w:val="-7"/>
          <w:sz w:val="24"/>
        </w:rPr>
        <w:t> </w:t>
      </w:r>
      <w:r>
        <w:rPr>
          <w:sz w:val="24"/>
        </w:rPr>
        <w:t>of</w:t>
      </w:r>
      <w:r>
        <w:rPr>
          <w:spacing w:val="-7"/>
          <w:sz w:val="24"/>
        </w:rPr>
        <w:t> </w:t>
      </w:r>
      <w:r>
        <w:rPr>
          <w:sz w:val="24"/>
        </w:rPr>
        <w:t>reservations in</w:t>
      </w:r>
      <w:r>
        <w:rPr>
          <w:spacing w:val="-20"/>
          <w:sz w:val="24"/>
        </w:rPr>
        <w:t> </w:t>
      </w:r>
      <w:r>
        <w:rPr>
          <w:sz w:val="24"/>
        </w:rPr>
        <w:t>case</w:t>
      </w:r>
      <w:r>
        <w:rPr>
          <w:spacing w:val="-19"/>
          <w:sz w:val="24"/>
        </w:rPr>
        <w:t> </w:t>
      </w:r>
      <w:r>
        <w:rPr>
          <w:sz w:val="24"/>
        </w:rPr>
        <w:t>of</w:t>
      </w:r>
      <w:r>
        <w:rPr>
          <w:spacing w:val="-19"/>
          <w:sz w:val="24"/>
        </w:rPr>
        <w:t> </w:t>
      </w:r>
      <w:r>
        <w:rPr>
          <w:sz w:val="24"/>
        </w:rPr>
        <w:t>such</w:t>
      </w:r>
      <w:r>
        <w:rPr>
          <w:spacing w:val="-19"/>
          <w:sz w:val="24"/>
        </w:rPr>
        <w:t> </w:t>
      </w:r>
      <w:r>
        <w:rPr>
          <w:sz w:val="24"/>
        </w:rPr>
        <w:t>reservations.</w:t>
      </w:r>
      <w:r>
        <w:rPr>
          <w:spacing w:val="-19"/>
          <w:sz w:val="24"/>
        </w:rPr>
        <w:t> </w:t>
      </w:r>
      <w:r>
        <w:rPr>
          <w:sz w:val="24"/>
        </w:rPr>
        <w:t>The</w:t>
      </w:r>
      <w:r>
        <w:rPr>
          <w:spacing w:val="-20"/>
          <w:sz w:val="24"/>
        </w:rPr>
        <w:t> </w:t>
      </w:r>
      <w:r>
        <w:rPr>
          <w:sz w:val="24"/>
        </w:rPr>
        <w:t>vacant</w:t>
      </w:r>
      <w:r>
        <w:rPr>
          <w:spacing w:val="-19"/>
          <w:sz w:val="24"/>
        </w:rPr>
        <w:t> </w:t>
      </w:r>
      <w:r>
        <w:rPr>
          <w:sz w:val="24"/>
        </w:rPr>
        <w:t>plot</w:t>
      </w:r>
      <w:r>
        <w:rPr>
          <w:spacing w:val="-19"/>
          <w:sz w:val="24"/>
        </w:rPr>
        <w:t> </w:t>
      </w:r>
      <w:r>
        <w:rPr>
          <w:sz w:val="24"/>
        </w:rPr>
        <w:t>of</w:t>
      </w:r>
      <w:r>
        <w:rPr>
          <w:spacing w:val="-19"/>
          <w:sz w:val="24"/>
        </w:rPr>
        <w:t> </w:t>
      </w:r>
      <w:r>
        <w:rPr>
          <w:sz w:val="24"/>
        </w:rPr>
        <w:t>DP</w:t>
      </w:r>
      <w:r>
        <w:rPr>
          <w:spacing w:val="-19"/>
          <w:sz w:val="24"/>
        </w:rPr>
        <w:t> </w:t>
      </w:r>
      <w:r>
        <w:rPr>
          <w:sz w:val="24"/>
        </w:rPr>
        <w:t>reservation</w:t>
      </w:r>
      <w:r>
        <w:rPr>
          <w:spacing w:val="-20"/>
          <w:sz w:val="24"/>
        </w:rPr>
        <w:t> </w:t>
      </w:r>
      <w:r>
        <w:rPr>
          <w:sz w:val="24"/>
        </w:rPr>
        <w:t>shall</w:t>
      </w:r>
      <w:r>
        <w:rPr>
          <w:spacing w:val="-19"/>
          <w:sz w:val="24"/>
        </w:rPr>
        <w:t> </w:t>
      </w:r>
      <w:r>
        <w:rPr>
          <w:sz w:val="24"/>
        </w:rPr>
        <w:t>be</w:t>
      </w:r>
      <w:r>
        <w:rPr>
          <w:spacing w:val="-19"/>
          <w:sz w:val="24"/>
        </w:rPr>
        <w:t> </w:t>
      </w:r>
      <w:r>
        <w:rPr>
          <w:sz w:val="24"/>
        </w:rPr>
        <w:t>allowed for</w:t>
      </w:r>
      <w:r>
        <w:rPr>
          <w:spacing w:val="-19"/>
          <w:sz w:val="24"/>
        </w:rPr>
        <w:t> </w:t>
      </w:r>
      <w:r>
        <w:rPr>
          <w:sz w:val="24"/>
        </w:rPr>
        <w:t>residential</w:t>
      </w:r>
      <w:r>
        <w:rPr>
          <w:spacing w:val="-19"/>
          <w:sz w:val="24"/>
        </w:rPr>
        <w:t> </w:t>
      </w:r>
      <w:r>
        <w:rPr>
          <w:sz w:val="24"/>
        </w:rPr>
        <w:t>development,</w:t>
      </w:r>
      <w:r>
        <w:rPr>
          <w:spacing w:val="-19"/>
          <w:sz w:val="24"/>
        </w:rPr>
        <w:t> </w:t>
      </w:r>
      <w:r>
        <w:rPr>
          <w:sz w:val="24"/>
        </w:rPr>
        <w:t>if</w:t>
      </w:r>
      <w:r>
        <w:rPr>
          <w:spacing w:val="-19"/>
          <w:sz w:val="24"/>
        </w:rPr>
        <w:t> </w:t>
      </w:r>
      <w:r>
        <w:rPr>
          <w:sz w:val="24"/>
        </w:rPr>
        <w:t>the</w:t>
      </w:r>
      <w:r>
        <w:rPr>
          <w:spacing w:val="-19"/>
          <w:sz w:val="24"/>
        </w:rPr>
        <w:t> </w:t>
      </w:r>
      <w:r>
        <w:rPr>
          <w:sz w:val="24"/>
        </w:rPr>
        <w:t>BUA</w:t>
      </w:r>
      <w:r>
        <w:rPr>
          <w:spacing w:val="-19"/>
          <w:sz w:val="24"/>
        </w:rPr>
        <w:t> </w:t>
      </w:r>
      <w:r>
        <w:rPr>
          <w:sz w:val="24"/>
        </w:rPr>
        <w:t>of</w:t>
      </w:r>
      <w:r>
        <w:rPr>
          <w:spacing w:val="-15"/>
          <w:sz w:val="24"/>
        </w:rPr>
        <w:t> </w:t>
      </w:r>
      <w:r>
        <w:rPr>
          <w:sz w:val="24"/>
        </w:rPr>
        <w:t>DP</w:t>
      </w:r>
      <w:r>
        <w:rPr>
          <w:spacing w:val="-19"/>
          <w:sz w:val="24"/>
        </w:rPr>
        <w:t> </w:t>
      </w:r>
      <w:r>
        <w:rPr>
          <w:sz w:val="24"/>
        </w:rPr>
        <w:t>reservation</w:t>
      </w:r>
      <w:r>
        <w:rPr>
          <w:spacing w:val="-19"/>
          <w:sz w:val="24"/>
        </w:rPr>
        <w:t> </w:t>
      </w:r>
      <w:r>
        <w:rPr>
          <w:sz w:val="24"/>
        </w:rPr>
        <w:t>is</w:t>
      </w:r>
      <w:r>
        <w:rPr>
          <w:spacing w:val="-19"/>
          <w:sz w:val="24"/>
        </w:rPr>
        <w:t> </w:t>
      </w:r>
      <w:r>
        <w:rPr>
          <w:sz w:val="24"/>
        </w:rPr>
        <w:t>amalgamated</w:t>
      </w:r>
      <w:r>
        <w:rPr>
          <w:spacing w:val="80"/>
          <w:sz w:val="24"/>
        </w:rPr>
        <w:t> </w:t>
      </w:r>
      <w:r>
        <w:rPr>
          <w:sz w:val="24"/>
        </w:rPr>
        <w:t>and constructed on one or more block/plot. However, if the Empowered Committee</w:t>
      </w:r>
      <w:r>
        <w:rPr>
          <w:spacing w:val="80"/>
          <w:sz w:val="24"/>
        </w:rPr>
        <w:t> </w:t>
      </w:r>
      <w:r>
        <w:rPr>
          <w:sz w:val="24"/>
        </w:rPr>
        <w:t>requires BUA under any designation /reservation</w:t>
      </w:r>
      <w:r>
        <w:rPr>
          <w:spacing w:val="80"/>
          <w:sz w:val="24"/>
        </w:rPr>
        <w:t> </w:t>
      </w:r>
      <w:r>
        <w:rPr>
          <w:sz w:val="24"/>
        </w:rPr>
        <w:t>in excess of the Zonal(basic) FSI, then such excess area shall</w:t>
      </w:r>
      <w:r>
        <w:rPr>
          <w:spacing w:val="80"/>
          <w:sz w:val="24"/>
        </w:rPr>
        <w:t> </w:t>
      </w:r>
      <w:r>
        <w:rPr>
          <w:sz w:val="24"/>
        </w:rPr>
        <w:t>be considered as rehabilitation</w:t>
      </w:r>
      <w:r>
        <w:rPr>
          <w:spacing w:val="80"/>
          <w:sz w:val="24"/>
        </w:rPr>
        <w:t> </w:t>
      </w:r>
      <w:r>
        <w:rPr>
          <w:sz w:val="24"/>
        </w:rPr>
        <w:t>F.S.I,</w:t>
      </w:r>
      <w:r>
        <w:rPr>
          <w:spacing w:val="-2"/>
          <w:sz w:val="24"/>
        </w:rPr>
        <w:t> </w:t>
      </w:r>
      <w:r>
        <w:rPr>
          <w:sz w:val="24"/>
        </w:rPr>
        <w:t>and</w:t>
      </w:r>
      <w:r>
        <w:rPr>
          <w:spacing w:val="-2"/>
          <w:sz w:val="24"/>
        </w:rPr>
        <w:t> </w:t>
      </w:r>
      <w:r>
        <w:rPr>
          <w:sz w:val="24"/>
        </w:rPr>
        <w:t>Free</w:t>
      </w:r>
      <w:r>
        <w:rPr>
          <w:spacing w:val="-2"/>
          <w:sz w:val="24"/>
        </w:rPr>
        <w:t> </w:t>
      </w:r>
      <w:r>
        <w:rPr>
          <w:sz w:val="24"/>
        </w:rPr>
        <w:t>sale FSI</w:t>
      </w:r>
      <w:r>
        <w:rPr>
          <w:spacing w:val="80"/>
          <w:sz w:val="24"/>
        </w:rPr>
        <w:t> </w:t>
      </w:r>
      <w:r>
        <w:rPr>
          <w:sz w:val="24"/>
        </w:rPr>
        <w:t>as</w:t>
      </w:r>
      <w:r>
        <w:rPr>
          <w:spacing w:val="-2"/>
          <w:sz w:val="24"/>
        </w:rPr>
        <w:t> </w:t>
      </w:r>
      <w:r>
        <w:rPr>
          <w:sz w:val="24"/>
        </w:rPr>
        <w:t>admissible</w:t>
      </w:r>
      <w:r>
        <w:rPr>
          <w:spacing w:val="-2"/>
          <w:sz w:val="24"/>
        </w:rPr>
        <w:t> </w:t>
      </w:r>
      <w:r>
        <w:rPr>
          <w:sz w:val="24"/>
        </w:rPr>
        <w:t>under this</w:t>
      </w:r>
      <w:r>
        <w:rPr>
          <w:spacing w:val="-1"/>
          <w:sz w:val="24"/>
        </w:rPr>
        <w:t> </w:t>
      </w:r>
      <w:r>
        <w:rPr>
          <w:sz w:val="24"/>
        </w:rPr>
        <w:t>Regulation shall be permissible.</w:t>
      </w:r>
    </w:p>
    <w:p>
      <w:pPr>
        <w:pStyle w:val="BodyText"/>
        <w:spacing w:before="1"/>
        <w:jc w:val="left"/>
      </w:pPr>
    </w:p>
    <w:p>
      <w:pPr>
        <w:pStyle w:val="ListParagraph"/>
        <w:numPr>
          <w:ilvl w:val="0"/>
          <w:numId w:val="94"/>
        </w:numPr>
        <w:tabs>
          <w:tab w:pos="1501" w:val="left" w:leader="none"/>
        </w:tabs>
        <w:spacing w:line="240" w:lineRule="auto" w:before="1" w:after="0"/>
        <w:ind w:left="1080" w:right="1077" w:firstLine="0"/>
        <w:jc w:val="both"/>
        <w:rPr>
          <w:sz w:val="24"/>
        </w:rPr>
      </w:pPr>
      <w:r>
        <w:rPr>
          <w:sz w:val="24"/>
        </w:rPr>
        <w:t>Where</w:t>
      </w:r>
      <w:r>
        <w:rPr>
          <w:spacing w:val="-11"/>
          <w:sz w:val="24"/>
        </w:rPr>
        <w:t> </w:t>
      </w:r>
      <w:r>
        <w:rPr>
          <w:sz w:val="24"/>
        </w:rPr>
        <w:t>a</w:t>
      </w:r>
      <w:r>
        <w:rPr>
          <w:spacing w:val="-8"/>
          <w:sz w:val="24"/>
        </w:rPr>
        <w:t> </w:t>
      </w:r>
      <w:r>
        <w:rPr>
          <w:sz w:val="24"/>
        </w:rPr>
        <w:t>proposed</w:t>
      </w:r>
      <w:r>
        <w:rPr>
          <w:spacing w:val="-8"/>
          <w:sz w:val="24"/>
        </w:rPr>
        <w:t> </w:t>
      </w:r>
      <w:r>
        <w:rPr>
          <w:sz w:val="24"/>
        </w:rPr>
        <w:t>Development</w:t>
      </w:r>
      <w:r>
        <w:rPr>
          <w:spacing w:val="-8"/>
          <w:sz w:val="24"/>
        </w:rPr>
        <w:t> </w:t>
      </w:r>
      <w:r>
        <w:rPr>
          <w:sz w:val="24"/>
        </w:rPr>
        <w:t>Plan</w:t>
      </w:r>
      <w:r>
        <w:rPr>
          <w:spacing w:val="-11"/>
          <w:sz w:val="24"/>
        </w:rPr>
        <w:t> </w:t>
      </w:r>
      <w:r>
        <w:rPr>
          <w:sz w:val="24"/>
        </w:rPr>
        <w:t>Road</w:t>
      </w:r>
      <w:r>
        <w:rPr>
          <w:spacing w:val="-8"/>
          <w:sz w:val="24"/>
        </w:rPr>
        <w:t> </w:t>
      </w:r>
      <w:r>
        <w:rPr>
          <w:sz w:val="24"/>
        </w:rPr>
        <w:t>or</w:t>
      </w:r>
      <w:r>
        <w:rPr>
          <w:spacing w:val="-8"/>
          <w:sz w:val="24"/>
        </w:rPr>
        <w:t> </w:t>
      </w:r>
      <w:r>
        <w:rPr>
          <w:sz w:val="24"/>
        </w:rPr>
        <w:t>Regular</w:t>
      </w:r>
      <w:r>
        <w:rPr>
          <w:spacing w:val="-8"/>
          <w:sz w:val="24"/>
        </w:rPr>
        <w:t> </w:t>
      </w:r>
      <w:r>
        <w:rPr>
          <w:sz w:val="24"/>
        </w:rPr>
        <w:t>line</w:t>
      </w:r>
      <w:r>
        <w:rPr>
          <w:spacing w:val="-13"/>
          <w:sz w:val="24"/>
        </w:rPr>
        <w:t> </w:t>
      </w:r>
      <w:r>
        <w:rPr>
          <w:sz w:val="24"/>
        </w:rPr>
        <w:t>of</w:t>
      </w:r>
      <w:r>
        <w:rPr>
          <w:spacing w:val="-8"/>
          <w:sz w:val="24"/>
        </w:rPr>
        <w:t> </w:t>
      </w:r>
      <w:r>
        <w:rPr>
          <w:sz w:val="24"/>
        </w:rPr>
        <w:t>street</w:t>
      </w:r>
      <w:r>
        <w:rPr>
          <w:spacing w:val="-8"/>
          <w:sz w:val="24"/>
        </w:rPr>
        <w:t> </w:t>
      </w:r>
      <w:r>
        <w:rPr>
          <w:sz w:val="24"/>
        </w:rPr>
        <w:t>passes through the Urban Renewal Scheme area, the entire FSI admissible under these Regulations for the area of the road may be given in the same Scheme.</w:t>
      </w:r>
    </w:p>
    <w:p>
      <w:pPr>
        <w:pStyle w:val="BodyText"/>
        <w:spacing w:before="209"/>
        <w:jc w:val="left"/>
      </w:pPr>
    </w:p>
    <w:p>
      <w:pPr>
        <w:pStyle w:val="Heading6"/>
        <w:numPr>
          <w:ilvl w:val="0"/>
          <w:numId w:val="92"/>
        </w:numPr>
        <w:tabs>
          <w:tab w:pos="1390" w:val="left" w:leader="none"/>
        </w:tabs>
        <w:spacing w:line="278" w:lineRule="auto" w:before="1" w:after="0"/>
        <w:ind w:left="1080" w:right="1082" w:firstLine="0"/>
        <w:jc w:val="both"/>
        <w:rPr>
          <w:i w:val="0"/>
          <w:sz w:val="20"/>
        </w:rPr>
      </w:pPr>
      <w:r>
        <w:rPr/>
        <w:t>Development of reservation in Redevelopment for Rehabilitation of Slum Dwellers under Regulation No. 33(10)</w:t>
      </w:r>
    </w:p>
    <w:p>
      <w:pPr>
        <w:pStyle w:val="ListParagraph"/>
        <w:numPr>
          <w:ilvl w:val="0"/>
          <w:numId w:val="95"/>
        </w:numPr>
        <w:tabs>
          <w:tab w:pos="1366" w:val="left" w:leader="none"/>
        </w:tabs>
        <w:spacing w:line="240" w:lineRule="auto" w:before="196" w:after="0"/>
        <w:ind w:left="1366" w:right="0" w:hanging="286"/>
        <w:jc w:val="both"/>
        <w:rPr>
          <w:b/>
          <w:sz w:val="24"/>
        </w:rPr>
      </w:pPr>
      <w:r>
        <w:rPr>
          <w:b/>
          <w:sz w:val="24"/>
          <w:u w:val="single"/>
        </w:rPr>
        <w:t>Slums</w:t>
      </w:r>
      <w:r>
        <w:rPr>
          <w:b/>
          <w:spacing w:val="-1"/>
          <w:sz w:val="24"/>
          <w:u w:val="single"/>
        </w:rPr>
        <w:t> </w:t>
      </w:r>
      <w:r>
        <w:rPr>
          <w:b/>
          <w:sz w:val="24"/>
          <w:u w:val="single"/>
        </w:rPr>
        <w:t>in Residential/Commercial </w:t>
      </w:r>
      <w:r>
        <w:rPr>
          <w:b/>
          <w:spacing w:val="-4"/>
          <w:sz w:val="24"/>
          <w:u w:val="single"/>
        </w:rPr>
        <w:t>Zone</w:t>
      </w:r>
    </w:p>
    <w:p>
      <w:pPr>
        <w:pStyle w:val="ListParagraph"/>
        <w:numPr>
          <w:ilvl w:val="1"/>
          <w:numId w:val="95"/>
        </w:numPr>
        <w:tabs>
          <w:tab w:pos="1371" w:val="left" w:leader="none"/>
        </w:tabs>
        <w:spacing w:line="240" w:lineRule="auto" w:before="246" w:after="0"/>
        <w:ind w:left="1080" w:right="1079" w:firstLine="0"/>
        <w:jc w:val="both"/>
        <w:rPr>
          <w:sz w:val="24"/>
        </w:rPr>
      </w:pPr>
      <w:r>
        <w:rPr>
          <w:sz w:val="24"/>
        </w:rPr>
        <w:t>Slums situated in lands falling under Residential/Commercial Zone and affected by the reservation in the DP shall be developed in accordance with the following provisions.</w:t>
      </w:r>
    </w:p>
    <w:p>
      <w:pPr>
        <w:pStyle w:val="BodyText"/>
        <w:spacing w:before="240"/>
        <w:ind w:left="1080" w:right="1082"/>
      </w:pPr>
      <w:r>
        <w:rPr/>
        <w:t>(2)(i) Any plot/layout having area under non-buildable/open space reservations admeasuring up to 500 sq. m shall be cleared by shifting the slum-dwellers from that site.</w:t>
      </w:r>
    </w:p>
    <w:p>
      <w:pPr>
        <w:pStyle w:val="BodyText"/>
        <w:spacing w:before="240"/>
        <w:ind w:left="1080" w:right="1079"/>
      </w:pPr>
      <w:r>
        <w:rPr/>
        <w:t>(ii) Where the area of site having non-buildable/open space reservation, is more than 500 sq. m such sites may be allowed to be developed for slum redevelopment subject to condition that the ground area of the land so used shall</w:t>
      </w:r>
      <w:r>
        <w:rPr>
          <w:spacing w:val="-13"/>
        </w:rPr>
        <w:t> </w:t>
      </w:r>
      <w:r>
        <w:rPr/>
        <w:t>not</w:t>
      </w:r>
      <w:r>
        <w:rPr>
          <w:spacing w:val="-13"/>
        </w:rPr>
        <w:t> </w:t>
      </w:r>
      <w:r>
        <w:rPr/>
        <w:t>be</w:t>
      </w:r>
      <w:r>
        <w:rPr>
          <w:spacing w:val="-13"/>
        </w:rPr>
        <w:t> </w:t>
      </w:r>
      <w:r>
        <w:rPr/>
        <w:t>more</w:t>
      </w:r>
      <w:r>
        <w:rPr>
          <w:spacing w:val="-13"/>
        </w:rPr>
        <w:t> </w:t>
      </w:r>
      <w:r>
        <w:rPr/>
        <w:t>than</w:t>
      </w:r>
      <w:r>
        <w:rPr>
          <w:spacing w:val="-13"/>
        </w:rPr>
        <w:t> </w:t>
      </w:r>
      <w:r>
        <w:rPr/>
        <w:t>65%</w:t>
      </w:r>
      <w:r>
        <w:rPr>
          <w:spacing w:val="-13"/>
        </w:rPr>
        <w:t> </w:t>
      </w:r>
      <w:r>
        <w:rPr/>
        <w:t>of</w:t>
      </w:r>
      <w:r>
        <w:rPr>
          <w:spacing w:val="-13"/>
        </w:rPr>
        <w:t> </w:t>
      </w:r>
      <w:r>
        <w:rPr/>
        <w:t>the</w:t>
      </w:r>
      <w:r>
        <w:rPr>
          <w:spacing w:val="-13"/>
        </w:rPr>
        <w:t> </w:t>
      </w:r>
      <w:r>
        <w:rPr/>
        <w:t>reservation</w:t>
      </w:r>
      <w:r>
        <w:rPr>
          <w:spacing w:val="-13"/>
        </w:rPr>
        <w:t> </w:t>
      </w:r>
      <w:r>
        <w:rPr/>
        <w:t>and</w:t>
      </w:r>
      <w:r>
        <w:rPr>
          <w:spacing w:val="-13"/>
        </w:rPr>
        <w:t> </w:t>
      </w:r>
      <w:r>
        <w:rPr/>
        <w:t>leaving</w:t>
      </w:r>
      <w:r>
        <w:rPr>
          <w:spacing w:val="-12"/>
        </w:rPr>
        <w:t> </w:t>
      </w:r>
      <w:r>
        <w:rPr/>
        <w:t>35%</w:t>
      </w:r>
      <w:r>
        <w:rPr>
          <w:spacing w:val="-13"/>
        </w:rPr>
        <w:t> </w:t>
      </w:r>
      <w:r>
        <w:rPr/>
        <w:t>rendered</w:t>
      </w:r>
      <w:r>
        <w:rPr>
          <w:spacing w:val="-13"/>
        </w:rPr>
        <w:t> </w:t>
      </w:r>
      <w:r>
        <w:rPr/>
        <w:t>clear thereafter for the reservation.</w:t>
      </w:r>
    </w:p>
    <w:p>
      <w:pPr>
        <w:pStyle w:val="ListParagraph"/>
        <w:numPr>
          <w:ilvl w:val="0"/>
          <w:numId w:val="93"/>
        </w:numPr>
        <w:tabs>
          <w:tab w:pos="1399" w:val="left" w:leader="none"/>
        </w:tabs>
        <w:spacing w:line="240" w:lineRule="auto" w:before="240" w:after="0"/>
        <w:ind w:left="1080" w:right="1076" w:firstLine="0"/>
        <w:jc w:val="both"/>
        <w:rPr>
          <w:sz w:val="24"/>
        </w:rPr>
      </w:pPr>
      <w:r>
        <w:rPr>
          <w:sz w:val="24"/>
        </w:rPr>
        <w:t>Existing</w:t>
      </w:r>
      <w:r>
        <w:rPr>
          <w:spacing w:val="-6"/>
          <w:sz w:val="24"/>
        </w:rPr>
        <w:t> </w:t>
      </w:r>
      <w:r>
        <w:rPr>
          <w:sz w:val="24"/>
        </w:rPr>
        <w:t>slum</w:t>
      </w:r>
      <w:r>
        <w:rPr>
          <w:spacing w:val="-6"/>
          <w:sz w:val="24"/>
        </w:rPr>
        <w:t> </w:t>
      </w:r>
      <w:r>
        <w:rPr>
          <w:sz w:val="24"/>
        </w:rPr>
        <w:t>structures</w:t>
      </w:r>
      <w:r>
        <w:rPr>
          <w:spacing w:val="-6"/>
          <w:sz w:val="24"/>
        </w:rPr>
        <w:t> </w:t>
      </w:r>
      <w:r>
        <w:rPr>
          <w:sz w:val="24"/>
        </w:rPr>
        <w:t>on</w:t>
      </w:r>
      <w:r>
        <w:rPr>
          <w:spacing w:val="-6"/>
          <w:sz w:val="24"/>
        </w:rPr>
        <w:t> </w:t>
      </w:r>
      <w:r>
        <w:rPr>
          <w:sz w:val="24"/>
        </w:rPr>
        <w:t>lands</w:t>
      </w:r>
      <w:r>
        <w:rPr>
          <w:spacing w:val="-6"/>
          <w:sz w:val="24"/>
        </w:rPr>
        <w:t> </w:t>
      </w:r>
      <w:r>
        <w:rPr>
          <w:sz w:val="24"/>
        </w:rPr>
        <w:t>reserved</w:t>
      </w:r>
      <w:r>
        <w:rPr>
          <w:spacing w:val="-6"/>
          <w:sz w:val="24"/>
        </w:rPr>
        <w:t> </w:t>
      </w:r>
      <w:r>
        <w:rPr>
          <w:sz w:val="24"/>
        </w:rPr>
        <w:t>for</w:t>
      </w:r>
      <w:r>
        <w:rPr>
          <w:spacing w:val="-6"/>
          <w:sz w:val="24"/>
        </w:rPr>
        <w:t> </w:t>
      </w:r>
      <w:r>
        <w:rPr>
          <w:sz w:val="24"/>
        </w:rPr>
        <w:t>Municipal</w:t>
      </w:r>
      <w:r>
        <w:rPr>
          <w:spacing w:val="-6"/>
          <w:sz w:val="24"/>
        </w:rPr>
        <w:t> </w:t>
      </w:r>
      <w:r>
        <w:rPr>
          <w:sz w:val="24"/>
        </w:rPr>
        <w:t>School</w:t>
      </w:r>
      <w:r>
        <w:rPr>
          <w:spacing w:val="-6"/>
          <w:sz w:val="24"/>
        </w:rPr>
        <w:t> </w:t>
      </w:r>
      <w:r>
        <w:rPr>
          <w:sz w:val="24"/>
        </w:rPr>
        <w:t>(RE</w:t>
      </w:r>
      <w:r>
        <w:rPr>
          <w:spacing w:val="-6"/>
          <w:sz w:val="24"/>
        </w:rPr>
        <w:t> </w:t>
      </w:r>
      <w:r>
        <w:rPr>
          <w:sz w:val="24"/>
        </w:rPr>
        <w:t>1.1)/ Primary</w:t>
      </w:r>
      <w:r>
        <w:rPr>
          <w:spacing w:val="-9"/>
          <w:sz w:val="24"/>
        </w:rPr>
        <w:t> </w:t>
      </w:r>
      <w:r>
        <w:rPr>
          <w:sz w:val="24"/>
        </w:rPr>
        <w:t>and</w:t>
      </w:r>
      <w:r>
        <w:rPr>
          <w:spacing w:val="-9"/>
          <w:sz w:val="24"/>
        </w:rPr>
        <w:t> </w:t>
      </w:r>
      <w:r>
        <w:rPr>
          <w:sz w:val="24"/>
        </w:rPr>
        <w:t>Secondary</w:t>
      </w:r>
      <w:r>
        <w:rPr>
          <w:spacing w:val="-9"/>
          <w:sz w:val="24"/>
        </w:rPr>
        <w:t> </w:t>
      </w:r>
      <w:r>
        <w:rPr>
          <w:sz w:val="24"/>
        </w:rPr>
        <w:t>School</w:t>
      </w:r>
      <w:r>
        <w:rPr>
          <w:spacing w:val="-9"/>
          <w:sz w:val="24"/>
        </w:rPr>
        <w:t> </w:t>
      </w:r>
      <w:r>
        <w:rPr>
          <w:sz w:val="24"/>
        </w:rPr>
        <w:t>(RE1.2)</w:t>
      </w:r>
      <w:r>
        <w:rPr>
          <w:spacing w:val="-9"/>
          <w:sz w:val="24"/>
        </w:rPr>
        <w:t> </w:t>
      </w:r>
      <w:r>
        <w:rPr>
          <w:sz w:val="24"/>
        </w:rPr>
        <w:t>or</w:t>
      </w:r>
      <w:r>
        <w:rPr>
          <w:spacing w:val="-9"/>
          <w:sz w:val="24"/>
        </w:rPr>
        <w:t> </w:t>
      </w:r>
      <w:r>
        <w:rPr>
          <w:sz w:val="24"/>
        </w:rPr>
        <w:t>a</w:t>
      </w:r>
      <w:r>
        <w:rPr>
          <w:spacing w:val="-9"/>
          <w:sz w:val="24"/>
        </w:rPr>
        <w:t> </w:t>
      </w:r>
      <w:r>
        <w:rPr>
          <w:sz w:val="24"/>
        </w:rPr>
        <w:t>Higher</w:t>
      </w:r>
      <w:r>
        <w:rPr>
          <w:spacing w:val="-9"/>
          <w:sz w:val="24"/>
        </w:rPr>
        <w:t> </w:t>
      </w:r>
      <w:r>
        <w:rPr>
          <w:sz w:val="24"/>
        </w:rPr>
        <w:t>Education</w:t>
      </w:r>
      <w:r>
        <w:rPr>
          <w:spacing w:val="-12"/>
          <w:sz w:val="24"/>
        </w:rPr>
        <w:t> </w:t>
      </w:r>
      <w:r>
        <w:rPr>
          <w:sz w:val="24"/>
        </w:rPr>
        <w:t>(RE2.1)</w:t>
      </w:r>
      <w:r>
        <w:rPr>
          <w:spacing w:val="-9"/>
          <w:sz w:val="24"/>
        </w:rPr>
        <w:t> </w:t>
      </w:r>
      <w:r>
        <w:rPr>
          <w:sz w:val="24"/>
        </w:rPr>
        <w:t>may</w:t>
      </w:r>
      <w:r>
        <w:rPr>
          <w:spacing w:val="-9"/>
          <w:sz w:val="24"/>
        </w:rPr>
        <w:t> </w:t>
      </w:r>
      <w:r>
        <w:rPr>
          <w:sz w:val="24"/>
        </w:rPr>
        <w:t>be developed subject to the following:</w:t>
      </w:r>
    </w:p>
    <w:p>
      <w:pPr>
        <w:pStyle w:val="ListParagraph"/>
        <w:numPr>
          <w:ilvl w:val="1"/>
          <w:numId w:val="93"/>
        </w:numPr>
        <w:tabs>
          <w:tab w:pos="1481" w:val="left" w:leader="none"/>
        </w:tabs>
        <w:spacing w:line="240" w:lineRule="auto" w:before="0" w:after="0"/>
        <w:ind w:left="1080" w:right="1077" w:firstLine="0"/>
        <w:jc w:val="both"/>
        <w:rPr>
          <w:sz w:val="24"/>
        </w:rPr>
      </w:pPr>
      <w:r>
        <w:rPr>
          <w:sz w:val="24"/>
        </w:rPr>
        <w:t>In case of land reserved for Municipal School (RE 1.1), Primary and Secondary School (RE1.2) in the DP, a building for accommodating such number of students as may be decided by the Municipal Commissioner, but in</w:t>
      </w:r>
      <w:r>
        <w:rPr>
          <w:spacing w:val="-13"/>
          <w:sz w:val="24"/>
        </w:rPr>
        <w:t> </w:t>
      </w:r>
      <w:r>
        <w:rPr>
          <w:sz w:val="24"/>
        </w:rPr>
        <w:t>any</w:t>
      </w:r>
      <w:r>
        <w:rPr>
          <w:spacing w:val="-13"/>
          <w:sz w:val="24"/>
        </w:rPr>
        <w:t> </w:t>
      </w:r>
      <w:r>
        <w:rPr>
          <w:sz w:val="24"/>
        </w:rPr>
        <w:t>case,</w:t>
      </w:r>
      <w:r>
        <w:rPr>
          <w:spacing w:val="-13"/>
          <w:sz w:val="24"/>
        </w:rPr>
        <w:t> </w:t>
      </w:r>
      <w:r>
        <w:rPr>
          <w:sz w:val="24"/>
        </w:rPr>
        <w:t>for</w:t>
      </w:r>
      <w:r>
        <w:rPr>
          <w:spacing w:val="-13"/>
          <w:sz w:val="24"/>
        </w:rPr>
        <w:t> </w:t>
      </w:r>
      <w:r>
        <w:rPr>
          <w:sz w:val="24"/>
        </w:rPr>
        <w:t>not</w:t>
      </w:r>
      <w:r>
        <w:rPr>
          <w:spacing w:val="-13"/>
          <w:sz w:val="24"/>
        </w:rPr>
        <w:t> </w:t>
      </w:r>
      <w:r>
        <w:rPr>
          <w:sz w:val="24"/>
        </w:rPr>
        <w:t>less</w:t>
      </w:r>
      <w:r>
        <w:rPr>
          <w:spacing w:val="-13"/>
          <w:sz w:val="24"/>
        </w:rPr>
        <w:t> </w:t>
      </w:r>
      <w:r>
        <w:rPr>
          <w:sz w:val="24"/>
        </w:rPr>
        <w:t>than</w:t>
      </w:r>
      <w:r>
        <w:rPr>
          <w:spacing w:val="-13"/>
          <w:sz w:val="24"/>
        </w:rPr>
        <w:t> </w:t>
      </w:r>
      <w:r>
        <w:rPr>
          <w:sz w:val="24"/>
        </w:rPr>
        <w:t>500</w:t>
      </w:r>
      <w:r>
        <w:rPr>
          <w:spacing w:val="-13"/>
          <w:sz w:val="24"/>
        </w:rPr>
        <w:t> </w:t>
      </w:r>
      <w:r>
        <w:rPr>
          <w:sz w:val="24"/>
        </w:rPr>
        <w:t>students,</w:t>
      </w:r>
      <w:r>
        <w:rPr>
          <w:spacing w:val="-13"/>
          <w:sz w:val="24"/>
        </w:rPr>
        <w:t> </w:t>
      </w:r>
      <w:r>
        <w:rPr>
          <w:sz w:val="24"/>
        </w:rPr>
        <w:t>shall</w:t>
      </w:r>
      <w:r>
        <w:rPr>
          <w:spacing w:val="-13"/>
          <w:sz w:val="24"/>
        </w:rPr>
        <w:t> </w:t>
      </w:r>
      <w:r>
        <w:rPr>
          <w:sz w:val="24"/>
        </w:rPr>
        <w:t>be</w:t>
      </w:r>
      <w:r>
        <w:rPr>
          <w:spacing w:val="-13"/>
          <w:sz w:val="24"/>
        </w:rPr>
        <w:t> </w:t>
      </w:r>
      <w:r>
        <w:rPr>
          <w:sz w:val="24"/>
        </w:rPr>
        <w:t>constructed</w:t>
      </w:r>
      <w:r>
        <w:rPr>
          <w:spacing w:val="-13"/>
          <w:sz w:val="24"/>
        </w:rPr>
        <w:t> </w:t>
      </w:r>
      <w:r>
        <w:rPr>
          <w:sz w:val="24"/>
        </w:rPr>
        <w:t>by</w:t>
      </w:r>
      <w:r>
        <w:rPr>
          <w:spacing w:val="-13"/>
          <w:sz w:val="24"/>
        </w:rPr>
        <w:t> </w:t>
      </w:r>
      <w:r>
        <w:rPr>
          <w:sz w:val="24"/>
        </w:rPr>
        <w:t>the</w:t>
      </w:r>
      <w:r>
        <w:rPr>
          <w:spacing w:val="-13"/>
          <w:sz w:val="24"/>
        </w:rPr>
        <w:t> </w:t>
      </w:r>
      <w:r>
        <w:rPr>
          <w:sz w:val="24"/>
        </w:rPr>
        <w:t>owner or developer at his cost according to the size, design, specification and conditions</w:t>
      </w:r>
      <w:r>
        <w:rPr>
          <w:spacing w:val="-2"/>
          <w:sz w:val="24"/>
        </w:rPr>
        <w:t> </w:t>
      </w:r>
      <w:r>
        <w:rPr>
          <w:sz w:val="24"/>
        </w:rPr>
        <w:t>prescribed</w:t>
      </w:r>
      <w:r>
        <w:rPr>
          <w:spacing w:val="-2"/>
          <w:sz w:val="24"/>
        </w:rPr>
        <w:t> </w:t>
      </w:r>
      <w:r>
        <w:rPr>
          <w:sz w:val="24"/>
        </w:rPr>
        <w:t>by</w:t>
      </w:r>
      <w:r>
        <w:rPr>
          <w:spacing w:val="-2"/>
          <w:sz w:val="24"/>
        </w:rPr>
        <w:t> </w:t>
      </w:r>
      <w:r>
        <w:rPr>
          <w:sz w:val="24"/>
        </w:rPr>
        <w:t>the</w:t>
      </w:r>
      <w:r>
        <w:rPr>
          <w:spacing w:val="-2"/>
          <w:sz w:val="24"/>
        </w:rPr>
        <w:t> </w:t>
      </w:r>
      <w:r>
        <w:rPr>
          <w:sz w:val="24"/>
        </w:rPr>
        <w:t>Municipal</w:t>
      </w:r>
      <w:r>
        <w:rPr>
          <w:spacing w:val="-1"/>
          <w:sz w:val="24"/>
        </w:rPr>
        <w:t> </w:t>
      </w:r>
      <w:r>
        <w:rPr>
          <w:sz w:val="24"/>
        </w:rPr>
        <w:t>Commissioner.</w:t>
      </w:r>
      <w:r>
        <w:rPr>
          <w:spacing w:val="-2"/>
          <w:sz w:val="24"/>
        </w:rPr>
        <w:t> </w:t>
      </w:r>
      <w:r>
        <w:rPr>
          <w:sz w:val="24"/>
        </w:rPr>
        <w:t>The BUA</w:t>
      </w:r>
      <w:r>
        <w:rPr>
          <w:spacing w:val="-1"/>
          <w:sz w:val="24"/>
        </w:rPr>
        <w:t> </w:t>
      </w:r>
      <w:r>
        <w:rPr>
          <w:sz w:val="24"/>
        </w:rPr>
        <w:t>occupied</w:t>
      </w:r>
      <w:r>
        <w:rPr>
          <w:spacing w:val="-2"/>
          <w:sz w:val="24"/>
        </w:rPr>
        <w:t> </w:t>
      </w:r>
      <w:r>
        <w:rPr>
          <w:sz w:val="24"/>
        </w:rPr>
        <w:t>by the constructed building shall be excluded for the purpose of FSI computation,</w:t>
      </w:r>
      <w:r>
        <w:rPr>
          <w:spacing w:val="-19"/>
          <w:sz w:val="24"/>
        </w:rPr>
        <w:t> </w:t>
      </w:r>
      <w:r>
        <w:rPr>
          <w:sz w:val="24"/>
        </w:rPr>
        <w:t>and</w:t>
      </w:r>
      <w:r>
        <w:rPr>
          <w:spacing w:val="-19"/>
          <w:sz w:val="24"/>
        </w:rPr>
        <w:t> </w:t>
      </w:r>
      <w:r>
        <w:rPr>
          <w:sz w:val="24"/>
        </w:rPr>
        <w:t>where</w:t>
      </w:r>
      <w:r>
        <w:rPr>
          <w:spacing w:val="-19"/>
          <w:sz w:val="24"/>
        </w:rPr>
        <w:t> </w:t>
      </w:r>
      <w:r>
        <w:rPr>
          <w:sz w:val="24"/>
        </w:rPr>
        <w:t>it</w:t>
      </w:r>
      <w:r>
        <w:rPr>
          <w:spacing w:val="-19"/>
          <w:sz w:val="24"/>
        </w:rPr>
        <w:t> </w:t>
      </w:r>
      <w:r>
        <w:rPr>
          <w:sz w:val="24"/>
        </w:rPr>
        <w:t>is</w:t>
      </w:r>
      <w:r>
        <w:rPr>
          <w:spacing w:val="-19"/>
          <w:sz w:val="24"/>
        </w:rPr>
        <w:t> </w:t>
      </w:r>
      <w:r>
        <w:rPr>
          <w:sz w:val="24"/>
        </w:rPr>
        <w:t>intended</w:t>
      </w:r>
      <w:r>
        <w:rPr>
          <w:spacing w:val="-19"/>
          <w:sz w:val="24"/>
        </w:rPr>
        <w:t> </w:t>
      </w:r>
      <w:r>
        <w:rPr>
          <w:sz w:val="24"/>
        </w:rPr>
        <w:t>for</w:t>
      </w:r>
      <w:r>
        <w:rPr>
          <w:spacing w:val="-19"/>
          <w:sz w:val="24"/>
        </w:rPr>
        <w:t> </w:t>
      </w:r>
      <w:r>
        <w:rPr>
          <w:sz w:val="24"/>
        </w:rPr>
        <w:t>a</w:t>
      </w:r>
      <w:r>
        <w:rPr>
          <w:spacing w:val="-18"/>
          <w:sz w:val="24"/>
        </w:rPr>
        <w:t> </w:t>
      </w:r>
      <w:r>
        <w:rPr>
          <w:sz w:val="24"/>
        </w:rPr>
        <w:t>Municipal</w:t>
      </w:r>
      <w:r>
        <w:rPr>
          <w:spacing w:val="-19"/>
          <w:sz w:val="24"/>
        </w:rPr>
        <w:t> </w:t>
      </w:r>
      <w:r>
        <w:rPr>
          <w:sz w:val="24"/>
        </w:rPr>
        <w:t>School</w:t>
      </w:r>
      <w:r>
        <w:rPr>
          <w:spacing w:val="-17"/>
          <w:sz w:val="24"/>
        </w:rPr>
        <w:t> </w:t>
      </w:r>
      <w:r>
        <w:rPr>
          <w:sz w:val="24"/>
        </w:rPr>
        <w:t>(RE</w:t>
      </w:r>
      <w:r>
        <w:rPr>
          <w:spacing w:val="-19"/>
          <w:sz w:val="24"/>
        </w:rPr>
        <w:t> </w:t>
      </w:r>
      <w:r>
        <w:rPr>
          <w:sz w:val="24"/>
        </w:rPr>
        <w:t>1.1)</w:t>
      </w:r>
      <w:r>
        <w:rPr>
          <w:spacing w:val="-19"/>
          <w:sz w:val="24"/>
        </w:rPr>
        <w:t> </w:t>
      </w:r>
      <w:r>
        <w:rPr>
          <w:sz w:val="24"/>
        </w:rPr>
        <w:t>Primary</w:t>
      </w:r>
    </w:p>
    <w:p>
      <w:pPr>
        <w:pStyle w:val="ListParagraph"/>
        <w:spacing w:after="0" w:line="240" w:lineRule="auto"/>
        <w:jc w:val="both"/>
        <w:rPr>
          <w:sz w:val="24"/>
        </w:rPr>
        <w:sectPr>
          <w:pgSz w:w="11910" w:h="16840"/>
          <w:pgMar w:header="746" w:footer="968" w:top="1180" w:bottom="1160" w:left="360" w:right="360"/>
        </w:sectPr>
      </w:pPr>
    </w:p>
    <w:p>
      <w:pPr>
        <w:pStyle w:val="BodyText"/>
        <w:spacing w:before="251"/>
        <w:ind w:left="1080" w:right="1080"/>
      </w:pPr>
      <w:r>
        <w:rPr/>
        <w:t>and secondary school (RE1.2), the building or part thereof intended for the school use shall be handed over free of cost and charge to the Corporation. Thereafter,</w:t>
      </w:r>
      <w:r>
        <w:rPr>
          <w:spacing w:val="-20"/>
        </w:rPr>
        <w:t> </w:t>
      </w:r>
      <w:r>
        <w:rPr/>
        <w:t>the</w:t>
      </w:r>
      <w:r>
        <w:rPr>
          <w:spacing w:val="-19"/>
        </w:rPr>
        <w:t> </w:t>
      </w:r>
      <w:r>
        <w:rPr/>
        <w:t>land</w:t>
      </w:r>
      <w:r>
        <w:rPr>
          <w:spacing w:val="-19"/>
        </w:rPr>
        <w:t> </w:t>
      </w:r>
      <w:r>
        <w:rPr/>
        <w:t>may</w:t>
      </w:r>
      <w:r>
        <w:rPr>
          <w:spacing w:val="-19"/>
        </w:rPr>
        <w:t> </w:t>
      </w:r>
      <w:r>
        <w:rPr/>
        <w:t>be</w:t>
      </w:r>
      <w:r>
        <w:rPr>
          <w:spacing w:val="-19"/>
        </w:rPr>
        <w:t> </w:t>
      </w:r>
      <w:r>
        <w:rPr/>
        <w:t>allowed</w:t>
      </w:r>
      <w:r>
        <w:rPr>
          <w:spacing w:val="-20"/>
        </w:rPr>
        <w:t> </w:t>
      </w:r>
      <w:r>
        <w:rPr/>
        <w:t>to</w:t>
      </w:r>
      <w:r>
        <w:rPr>
          <w:spacing w:val="-19"/>
        </w:rPr>
        <w:t> </w:t>
      </w:r>
      <w:r>
        <w:rPr/>
        <w:t>be</w:t>
      </w:r>
      <w:r>
        <w:rPr>
          <w:spacing w:val="-19"/>
        </w:rPr>
        <w:t> </w:t>
      </w:r>
      <w:r>
        <w:rPr/>
        <w:t>redeveloped</w:t>
      </w:r>
      <w:r>
        <w:rPr>
          <w:spacing w:val="-19"/>
        </w:rPr>
        <w:t> </w:t>
      </w:r>
      <w:r>
        <w:rPr/>
        <w:t>with</w:t>
      </w:r>
      <w:r>
        <w:rPr>
          <w:spacing w:val="-19"/>
        </w:rPr>
        <w:t> </w:t>
      </w:r>
      <w:r>
        <w:rPr/>
        <w:t>the</w:t>
      </w:r>
      <w:r>
        <w:rPr>
          <w:spacing w:val="-20"/>
        </w:rPr>
        <w:t> </w:t>
      </w:r>
      <w:r>
        <w:rPr/>
        <w:t>full</w:t>
      </w:r>
      <w:r>
        <w:rPr>
          <w:spacing w:val="-19"/>
        </w:rPr>
        <w:t> </w:t>
      </w:r>
      <w:r>
        <w:rPr/>
        <w:t>permissible FSI of the plot according to this Regulation</w:t>
      </w:r>
    </w:p>
    <w:p>
      <w:pPr>
        <w:pStyle w:val="ListParagraph"/>
        <w:numPr>
          <w:ilvl w:val="1"/>
          <w:numId w:val="93"/>
        </w:numPr>
        <w:tabs>
          <w:tab w:pos="1403" w:val="left" w:leader="none"/>
        </w:tabs>
        <w:spacing w:line="240" w:lineRule="auto" w:before="242" w:after="0"/>
        <w:ind w:left="1080" w:right="1076" w:firstLine="0"/>
        <w:jc w:val="both"/>
        <w:rPr>
          <w:sz w:val="24"/>
        </w:rPr>
      </w:pPr>
      <w:r>
        <w:rPr>
          <w:sz w:val="24"/>
        </w:rPr>
        <w:t>In</w:t>
      </w:r>
      <w:r>
        <w:rPr>
          <w:spacing w:val="-14"/>
          <w:sz w:val="24"/>
        </w:rPr>
        <w:t> </w:t>
      </w:r>
      <w:r>
        <w:rPr>
          <w:sz w:val="24"/>
        </w:rPr>
        <w:t>the</w:t>
      </w:r>
      <w:r>
        <w:rPr>
          <w:spacing w:val="-14"/>
          <w:sz w:val="24"/>
        </w:rPr>
        <w:t> </w:t>
      </w:r>
      <w:r>
        <w:rPr>
          <w:sz w:val="24"/>
        </w:rPr>
        <w:t>case</w:t>
      </w:r>
      <w:r>
        <w:rPr>
          <w:spacing w:val="-14"/>
          <w:sz w:val="24"/>
        </w:rPr>
        <w:t> </w:t>
      </w:r>
      <w:r>
        <w:rPr>
          <w:sz w:val="24"/>
        </w:rPr>
        <w:t>of</w:t>
      </w:r>
      <w:r>
        <w:rPr>
          <w:spacing w:val="-14"/>
          <w:sz w:val="24"/>
        </w:rPr>
        <w:t> </w:t>
      </w:r>
      <w:r>
        <w:rPr>
          <w:sz w:val="24"/>
        </w:rPr>
        <w:t>lands</w:t>
      </w:r>
      <w:r>
        <w:rPr>
          <w:spacing w:val="-13"/>
          <w:sz w:val="24"/>
        </w:rPr>
        <w:t> </w:t>
      </w:r>
      <w:r>
        <w:rPr>
          <w:sz w:val="24"/>
        </w:rPr>
        <w:t>affected</w:t>
      </w:r>
      <w:r>
        <w:rPr>
          <w:spacing w:val="-14"/>
          <w:sz w:val="24"/>
        </w:rPr>
        <w:t> </w:t>
      </w:r>
      <w:r>
        <w:rPr>
          <w:sz w:val="24"/>
        </w:rPr>
        <w:t>by</w:t>
      </w:r>
      <w:r>
        <w:rPr>
          <w:spacing w:val="-14"/>
          <w:sz w:val="24"/>
        </w:rPr>
        <w:t> </w:t>
      </w:r>
      <w:r>
        <w:rPr>
          <w:sz w:val="24"/>
        </w:rPr>
        <w:t>reservation</w:t>
      </w:r>
      <w:r>
        <w:rPr>
          <w:spacing w:val="-14"/>
          <w:sz w:val="24"/>
        </w:rPr>
        <w:t> </w:t>
      </w:r>
      <w:r>
        <w:rPr>
          <w:sz w:val="24"/>
        </w:rPr>
        <w:t>of</w:t>
      </w:r>
      <w:r>
        <w:rPr>
          <w:spacing w:val="-14"/>
          <w:sz w:val="24"/>
        </w:rPr>
        <w:t> </w:t>
      </w:r>
      <w:r>
        <w:rPr>
          <w:sz w:val="24"/>
        </w:rPr>
        <w:t>a</w:t>
      </w:r>
      <w:r>
        <w:rPr>
          <w:spacing w:val="-14"/>
          <w:sz w:val="24"/>
        </w:rPr>
        <w:t> </w:t>
      </w:r>
      <w:r>
        <w:rPr>
          <w:sz w:val="24"/>
        </w:rPr>
        <w:t>Higher</w:t>
      </w:r>
      <w:r>
        <w:rPr>
          <w:spacing w:val="-12"/>
          <w:sz w:val="24"/>
        </w:rPr>
        <w:t> </w:t>
      </w:r>
      <w:r>
        <w:rPr>
          <w:sz w:val="24"/>
        </w:rPr>
        <w:t>Education</w:t>
      </w:r>
      <w:r>
        <w:rPr>
          <w:spacing w:val="-14"/>
          <w:sz w:val="24"/>
        </w:rPr>
        <w:t> </w:t>
      </w:r>
      <w:r>
        <w:rPr>
          <w:sz w:val="24"/>
        </w:rPr>
        <w:t>(RE2.1)in the DP, a building for accommodating such number of students as may be decided</w:t>
      </w:r>
      <w:r>
        <w:rPr>
          <w:spacing w:val="-15"/>
          <w:sz w:val="24"/>
        </w:rPr>
        <w:t> </w:t>
      </w:r>
      <w:r>
        <w:rPr>
          <w:sz w:val="24"/>
        </w:rPr>
        <w:t>by</w:t>
      </w:r>
      <w:r>
        <w:rPr>
          <w:spacing w:val="-15"/>
          <w:sz w:val="24"/>
        </w:rPr>
        <w:t> </w:t>
      </w:r>
      <w:r>
        <w:rPr>
          <w:sz w:val="24"/>
        </w:rPr>
        <w:t>the</w:t>
      </w:r>
      <w:r>
        <w:rPr>
          <w:spacing w:val="-15"/>
          <w:sz w:val="24"/>
        </w:rPr>
        <w:t> </w:t>
      </w:r>
      <w:r>
        <w:rPr>
          <w:sz w:val="24"/>
        </w:rPr>
        <w:t>Municipal</w:t>
      </w:r>
      <w:r>
        <w:rPr>
          <w:spacing w:val="-15"/>
          <w:sz w:val="24"/>
        </w:rPr>
        <w:t> </w:t>
      </w:r>
      <w:r>
        <w:rPr>
          <w:sz w:val="24"/>
        </w:rPr>
        <w:t>Commissioner,</w:t>
      </w:r>
      <w:r>
        <w:rPr>
          <w:spacing w:val="-18"/>
          <w:sz w:val="24"/>
        </w:rPr>
        <w:t> </w:t>
      </w:r>
      <w:r>
        <w:rPr>
          <w:sz w:val="24"/>
        </w:rPr>
        <w:t>but</w:t>
      </w:r>
      <w:r>
        <w:rPr>
          <w:spacing w:val="-15"/>
          <w:sz w:val="24"/>
        </w:rPr>
        <w:t> </w:t>
      </w:r>
      <w:r>
        <w:rPr>
          <w:sz w:val="24"/>
        </w:rPr>
        <w:t>in</w:t>
      </w:r>
      <w:r>
        <w:rPr>
          <w:spacing w:val="-15"/>
          <w:sz w:val="24"/>
        </w:rPr>
        <w:t> </w:t>
      </w:r>
      <w:r>
        <w:rPr>
          <w:sz w:val="24"/>
        </w:rPr>
        <w:t>any</w:t>
      </w:r>
      <w:r>
        <w:rPr>
          <w:spacing w:val="-15"/>
          <w:sz w:val="24"/>
        </w:rPr>
        <w:t> </w:t>
      </w:r>
      <w:r>
        <w:rPr>
          <w:sz w:val="24"/>
        </w:rPr>
        <w:t>case</w:t>
      </w:r>
      <w:r>
        <w:rPr>
          <w:spacing w:val="-15"/>
          <w:sz w:val="24"/>
        </w:rPr>
        <w:t> </w:t>
      </w:r>
      <w:r>
        <w:rPr>
          <w:sz w:val="24"/>
        </w:rPr>
        <w:t>for</w:t>
      </w:r>
      <w:r>
        <w:rPr>
          <w:spacing w:val="-15"/>
          <w:sz w:val="24"/>
        </w:rPr>
        <w:t> </w:t>
      </w:r>
      <w:r>
        <w:rPr>
          <w:sz w:val="24"/>
        </w:rPr>
        <w:t>not</w:t>
      </w:r>
      <w:r>
        <w:rPr>
          <w:spacing w:val="-15"/>
          <w:sz w:val="24"/>
        </w:rPr>
        <w:t> </w:t>
      </w:r>
      <w:r>
        <w:rPr>
          <w:sz w:val="24"/>
        </w:rPr>
        <w:t>less</w:t>
      </w:r>
      <w:r>
        <w:rPr>
          <w:spacing w:val="-15"/>
          <w:sz w:val="24"/>
        </w:rPr>
        <w:t> </w:t>
      </w:r>
      <w:r>
        <w:rPr>
          <w:sz w:val="24"/>
        </w:rPr>
        <w:t>than</w:t>
      </w:r>
      <w:r>
        <w:rPr>
          <w:spacing w:val="-15"/>
          <w:sz w:val="24"/>
        </w:rPr>
        <w:t> </w:t>
      </w:r>
      <w:r>
        <w:rPr>
          <w:sz w:val="24"/>
        </w:rPr>
        <w:t>800 students, shall be constructed by the owner</w:t>
      </w:r>
      <w:r>
        <w:rPr>
          <w:spacing w:val="40"/>
          <w:sz w:val="24"/>
        </w:rPr>
        <w:t> </w:t>
      </w:r>
      <w:r>
        <w:rPr>
          <w:sz w:val="24"/>
        </w:rPr>
        <w:t>or developer at his cost according to the size , design, specification and conditions prescribed by the Municipal</w:t>
      </w:r>
      <w:r>
        <w:rPr>
          <w:spacing w:val="-17"/>
          <w:sz w:val="24"/>
        </w:rPr>
        <w:t> </w:t>
      </w:r>
      <w:r>
        <w:rPr>
          <w:sz w:val="24"/>
        </w:rPr>
        <w:t>Commissioner,</w:t>
      </w:r>
      <w:r>
        <w:rPr>
          <w:spacing w:val="-16"/>
          <w:sz w:val="24"/>
        </w:rPr>
        <w:t> </w:t>
      </w:r>
      <w:r>
        <w:rPr>
          <w:sz w:val="24"/>
        </w:rPr>
        <w:t>the</w:t>
      </w:r>
      <w:r>
        <w:rPr>
          <w:spacing w:val="-16"/>
          <w:sz w:val="24"/>
        </w:rPr>
        <w:t> </w:t>
      </w:r>
      <w:r>
        <w:rPr>
          <w:sz w:val="24"/>
        </w:rPr>
        <w:t>BUA</w:t>
      </w:r>
      <w:r>
        <w:rPr>
          <w:spacing w:val="-16"/>
          <w:sz w:val="24"/>
        </w:rPr>
        <w:t> </w:t>
      </w:r>
      <w:r>
        <w:rPr>
          <w:sz w:val="24"/>
        </w:rPr>
        <w:t>occupied</w:t>
      </w:r>
      <w:r>
        <w:rPr>
          <w:spacing w:val="-16"/>
          <w:sz w:val="24"/>
        </w:rPr>
        <w:t> </w:t>
      </w:r>
      <w:r>
        <w:rPr>
          <w:sz w:val="24"/>
        </w:rPr>
        <w:t>by</w:t>
      </w:r>
      <w:r>
        <w:rPr>
          <w:spacing w:val="-16"/>
          <w:sz w:val="24"/>
        </w:rPr>
        <w:t> </w:t>
      </w:r>
      <w:r>
        <w:rPr>
          <w:sz w:val="24"/>
        </w:rPr>
        <w:t>the</w:t>
      </w:r>
      <w:r>
        <w:rPr>
          <w:spacing w:val="-16"/>
          <w:sz w:val="24"/>
        </w:rPr>
        <w:t> </w:t>
      </w:r>
      <w:r>
        <w:rPr>
          <w:sz w:val="24"/>
        </w:rPr>
        <w:t>constructed</w:t>
      </w:r>
      <w:r>
        <w:rPr>
          <w:spacing w:val="-16"/>
          <w:sz w:val="24"/>
        </w:rPr>
        <w:t> </w:t>
      </w:r>
      <w:r>
        <w:rPr>
          <w:sz w:val="24"/>
        </w:rPr>
        <w:t>building</w:t>
      </w:r>
      <w:r>
        <w:rPr>
          <w:spacing w:val="-17"/>
          <w:sz w:val="24"/>
        </w:rPr>
        <w:t> </w:t>
      </w:r>
      <w:r>
        <w:rPr>
          <w:sz w:val="24"/>
        </w:rPr>
        <w:t>shall be excluded for the purpose of FSI computation. The constructed building shall be handed over to the Corporation free of cost and charge and the Municipal</w:t>
      </w:r>
      <w:r>
        <w:rPr>
          <w:spacing w:val="-15"/>
          <w:sz w:val="24"/>
        </w:rPr>
        <w:t> </w:t>
      </w:r>
      <w:r>
        <w:rPr>
          <w:sz w:val="24"/>
        </w:rPr>
        <w:t>Commissioner</w:t>
      </w:r>
      <w:r>
        <w:rPr>
          <w:spacing w:val="-15"/>
          <w:sz w:val="24"/>
        </w:rPr>
        <w:t> </w:t>
      </w:r>
      <w:r>
        <w:rPr>
          <w:sz w:val="24"/>
        </w:rPr>
        <w:t>may</w:t>
      </w:r>
      <w:r>
        <w:rPr>
          <w:spacing w:val="-15"/>
          <w:sz w:val="24"/>
        </w:rPr>
        <w:t> </w:t>
      </w:r>
      <w:r>
        <w:rPr>
          <w:sz w:val="24"/>
        </w:rPr>
        <w:t>hand</w:t>
      </w:r>
      <w:r>
        <w:rPr>
          <w:spacing w:val="-15"/>
          <w:sz w:val="24"/>
        </w:rPr>
        <w:t> </w:t>
      </w:r>
      <w:r>
        <w:rPr>
          <w:sz w:val="24"/>
        </w:rPr>
        <w:t>over</w:t>
      </w:r>
      <w:r>
        <w:rPr>
          <w:spacing w:val="-15"/>
          <w:sz w:val="24"/>
        </w:rPr>
        <w:t> </w:t>
      </w:r>
      <w:r>
        <w:rPr>
          <w:sz w:val="24"/>
        </w:rPr>
        <w:t>the</w:t>
      </w:r>
      <w:r>
        <w:rPr>
          <w:spacing w:val="-15"/>
          <w:sz w:val="24"/>
        </w:rPr>
        <w:t> </w:t>
      </w:r>
      <w:r>
        <w:rPr>
          <w:sz w:val="24"/>
        </w:rPr>
        <w:t>same</w:t>
      </w:r>
      <w:r>
        <w:rPr>
          <w:spacing w:val="-15"/>
          <w:sz w:val="24"/>
        </w:rPr>
        <w:t> </w:t>
      </w:r>
      <w:r>
        <w:rPr>
          <w:sz w:val="24"/>
        </w:rPr>
        <w:t>or</w:t>
      </w:r>
      <w:r>
        <w:rPr>
          <w:spacing w:val="-15"/>
          <w:sz w:val="24"/>
        </w:rPr>
        <w:t> </w:t>
      </w:r>
      <w:r>
        <w:rPr>
          <w:sz w:val="24"/>
        </w:rPr>
        <w:t>part</w:t>
      </w:r>
      <w:r>
        <w:rPr>
          <w:spacing w:val="-15"/>
          <w:sz w:val="24"/>
        </w:rPr>
        <w:t> </w:t>
      </w:r>
      <w:r>
        <w:rPr>
          <w:sz w:val="24"/>
        </w:rPr>
        <w:t>thereof</w:t>
      </w:r>
      <w:r>
        <w:rPr>
          <w:spacing w:val="-15"/>
          <w:sz w:val="24"/>
        </w:rPr>
        <w:t> </w:t>
      </w:r>
      <w:r>
        <w:rPr>
          <w:sz w:val="24"/>
        </w:rPr>
        <w:t>intended</w:t>
      </w:r>
      <w:r>
        <w:rPr>
          <w:spacing w:val="-15"/>
          <w:sz w:val="24"/>
        </w:rPr>
        <w:t> </w:t>
      </w:r>
      <w:r>
        <w:rPr>
          <w:sz w:val="24"/>
        </w:rPr>
        <w:t>for the School use to a recognized and registered educational institution for operation</w:t>
      </w:r>
      <w:r>
        <w:rPr>
          <w:spacing w:val="-17"/>
          <w:sz w:val="24"/>
        </w:rPr>
        <w:t> </w:t>
      </w:r>
      <w:r>
        <w:rPr>
          <w:sz w:val="24"/>
        </w:rPr>
        <w:t>and</w:t>
      </w:r>
      <w:r>
        <w:rPr>
          <w:spacing w:val="-17"/>
          <w:sz w:val="24"/>
        </w:rPr>
        <w:t> </w:t>
      </w:r>
      <w:r>
        <w:rPr>
          <w:sz w:val="24"/>
        </w:rPr>
        <w:t>maintenance</w:t>
      </w:r>
      <w:r>
        <w:rPr>
          <w:spacing w:val="-17"/>
          <w:sz w:val="24"/>
        </w:rPr>
        <w:t> </w:t>
      </w:r>
      <w:r>
        <w:rPr>
          <w:sz w:val="24"/>
        </w:rPr>
        <w:t>on</w:t>
      </w:r>
      <w:r>
        <w:rPr>
          <w:spacing w:val="-17"/>
          <w:sz w:val="24"/>
        </w:rPr>
        <w:t> </w:t>
      </w:r>
      <w:r>
        <w:rPr>
          <w:sz w:val="24"/>
        </w:rPr>
        <w:t>terms</w:t>
      </w:r>
      <w:r>
        <w:rPr>
          <w:spacing w:val="-17"/>
          <w:sz w:val="24"/>
        </w:rPr>
        <w:t> </w:t>
      </w:r>
      <w:r>
        <w:rPr>
          <w:sz w:val="24"/>
        </w:rPr>
        <w:t>decided</w:t>
      </w:r>
      <w:r>
        <w:rPr>
          <w:spacing w:val="-17"/>
          <w:sz w:val="24"/>
        </w:rPr>
        <w:t> </w:t>
      </w:r>
      <w:r>
        <w:rPr>
          <w:sz w:val="24"/>
        </w:rPr>
        <w:t>by</w:t>
      </w:r>
      <w:r>
        <w:rPr>
          <w:spacing w:val="-17"/>
          <w:sz w:val="24"/>
        </w:rPr>
        <w:t> </w:t>
      </w:r>
      <w:r>
        <w:rPr>
          <w:sz w:val="24"/>
        </w:rPr>
        <w:t>him.</w:t>
      </w:r>
      <w:r>
        <w:rPr>
          <w:spacing w:val="-14"/>
          <w:sz w:val="24"/>
        </w:rPr>
        <w:t> </w:t>
      </w:r>
      <w:r>
        <w:rPr>
          <w:sz w:val="24"/>
        </w:rPr>
        <w:t>Thereafter</w:t>
      </w:r>
      <w:r>
        <w:rPr>
          <w:spacing w:val="-17"/>
          <w:sz w:val="24"/>
        </w:rPr>
        <w:t> </w:t>
      </w:r>
      <w:r>
        <w:rPr>
          <w:sz w:val="24"/>
        </w:rPr>
        <w:t>the</w:t>
      </w:r>
      <w:r>
        <w:rPr>
          <w:spacing w:val="-17"/>
          <w:sz w:val="24"/>
        </w:rPr>
        <w:t> </w:t>
      </w:r>
      <w:r>
        <w:rPr>
          <w:sz w:val="24"/>
        </w:rPr>
        <w:t>land</w:t>
      </w:r>
      <w:r>
        <w:rPr>
          <w:spacing w:val="-17"/>
          <w:sz w:val="24"/>
        </w:rPr>
        <w:t> </w:t>
      </w:r>
      <w:r>
        <w:rPr>
          <w:sz w:val="24"/>
        </w:rPr>
        <w:t>may be</w:t>
      </w:r>
      <w:r>
        <w:rPr>
          <w:spacing w:val="-5"/>
          <w:sz w:val="24"/>
        </w:rPr>
        <w:t> </w:t>
      </w:r>
      <w:r>
        <w:rPr>
          <w:sz w:val="24"/>
        </w:rPr>
        <w:t>allowed</w:t>
      </w:r>
      <w:r>
        <w:rPr>
          <w:spacing w:val="-5"/>
          <w:sz w:val="24"/>
        </w:rPr>
        <w:t> </w:t>
      </w:r>
      <w:r>
        <w:rPr>
          <w:sz w:val="24"/>
        </w:rPr>
        <w:t>to</w:t>
      </w:r>
      <w:r>
        <w:rPr>
          <w:spacing w:val="-5"/>
          <w:sz w:val="24"/>
        </w:rPr>
        <w:t> </w:t>
      </w:r>
      <w:r>
        <w:rPr>
          <w:sz w:val="24"/>
        </w:rPr>
        <w:t>be</w:t>
      </w:r>
      <w:r>
        <w:rPr>
          <w:spacing w:val="-5"/>
          <w:sz w:val="24"/>
        </w:rPr>
        <w:t> </w:t>
      </w:r>
      <w:r>
        <w:rPr>
          <w:sz w:val="24"/>
        </w:rPr>
        <w:t>redeveloped</w:t>
      </w:r>
      <w:r>
        <w:rPr>
          <w:spacing w:val="-5"/>
          <w:sz w:val="24"/>
        </w:rPr>
        <w:t> </w:t>
      </w:r>
      <w:r>
        <w:rPr>
          <w:sz w:val="24"/>
        </w:rPr>
        <w:t>with</w:t>
      </w:r>
      <w:r>
        <w:rPr>
          <w:spacing w:val="-5"/>
          <w:sz w:val="24"/>
        </w:rPr>
        <w:t> </w:t>
      </w:r>
      <w:r>
        <w:rPr>
          <w:sz w:val="24"/>
        </w:rPr>
        <w:t>full</w:t>
      </w:r>
      <w:r>
        <w:rPr>
          <w:spacing w:val="-5"/>
          <w:sz w:val="24"/>
        </w:rPr>
        <w:t> </w:t>
      </w:r>
      <w:r>
        <w:rPr>
          <w:sz w:val="24"/>
        </w:rPr>
        <w:t>permissible</w:t>
      </w:r>
      <w:r>
        <w:rPr>
          <w:spacing w:val="-5"/>
          <w:sz w:val="24"/>
        </w:rPr>
        <w:t> </w:t>
      </w:r>
      <w:r>
        <w:rPr>
          <w:sz w:val="24"/>
        </w:rPr>
        <w:t>FSI</w:t>
      </w:r>
      <w:r>
        <w:rPr>
          <w:spacing w:val="-4"/>
          <w:sz w:val="24"/>
        </w:rPr>
        <w:t> </w:t>
      </w:r>
      <w:r>
        <w:rPr>
          <w:sz w:val="24"/>
        </w:rPr>
        <w:t>of</w:t>
      </w:r>
      <w:r>
        <w:rPr>
          <w:spacing w:val="-5"/>
          <w:sz w:val="24"/>
        </w:rPr>
        <w:t> </w:t>
      </w:r>
      <w:r>
        <w:rPr>
          <w:sz w:val="24"/>
        </w:rPr>
        <w:t>the</w:t>
      </w:r>
      <w:r>
        <w:rPr>
          <w:spacing w:val="-5"/>
          <w:sz w:val="24"/>
        </w:rPr>
        <w:t> </w:t>
      </w:r>
      <w:r>
        <w:rPr>
          <w:sz w:val="24"/>
        </w:rPr>
        <w:t>plot</w:t>
      </w:r>
      <w:r>
        <w:rPr>
          <w:spacing w:val="-5"/>
          <w:sz w:val="24"/>
        </w:rPr>
        <w:t> </w:t>
      </w:r>
      <w:r>
        <w:rPr>
          <w:sz w:val="24"/>
        </w:rPr>
        <w:t>according</w:t>
      </w:r>
      <w:r>
        <w:rPr>
          <w:spacing w:val="-5"/>
          <w:sz w:val="24"/>
        </w:rPr>
        <w:t> </w:t>
      </w:r>
      <w:r>
        <w:rPr>
          <w:sz w:val="24"/>
        </w:rPr>
        <w:t>to this Regulation.</w:t>
      </w:r>
    </w:p>
    <w:p>
      <w:pPr>
        <w:pStyle w:val="ListParagraph"/>
        <w:numPr>
          <w:ilvl w:val="1"/>
          <w:numId w:val="93"/>
        </w:numPr>
        <w:tabs>
          <w:tab w:pos="1508" w:val="left" w:leader="none"/>
        </w:tabs>
        <w:spacing w:line="240" w:lineRule="auto" w:before="281" w:after="0"/>
        <w:ind w:left="1080" w:right="1075" w:firstLine="0"/>
        <w:jc w:val="both"/>
        <w:rPr>
          <w:sz w:val="24"/>
        </w:rPr>
      </w:pPr>
      <w:r>
        <w:rPr>
          <w:sz w:val="24"/>
        </w:rPr>
        <w:t>In</w:t>
      </w:r>
      <w:r>
        <w:rPr>
          <w:spacing w:val="-9"/>
          <w:sz w:val="24"/>
        </w:rPr>
        <w:t> </w:t>
      </w:r>
      <w:r>
        <w:rPr>
          <w:sz w:val="24"/>
        </w:rPr>
        <w:t>case</w:t>
      </w:r>
      <w:r>
        <w:rPr>
          <w:spacing w:val="-9"/>
          <w:sz w:val="24"/>
        </w:rPr>
        <w:t> </w:t>
      </w:r>
      <w:r>
        <w:rPr>
          <w:sz w:val="24"/>
        </w:rPr>
        <w:t>area</w:t>
      </w:r>
      <w:r>
        <w:rPr>
          <w:spacing w:val="-9"/>
          <w:sz w:val="24"/>
        </w:rPr>
        <w:t> </w:t>
      </w:r>
      <w:r>
        <w:rPr>
          <w:sz w:val="24"/>
        </w:rPr>
        <w:t>under</w:t>
      </w:r>
      <w:r>
        <w:rPr>
          <w:spacing w:val="-9"/>
          <w:sz w:val="24"/>
        </w:rPr>
        <w:t> </w:t>
      </w:r>
      <w:r>
        <w:rPr>
          <w:sz w:val="24"/>
        </w:rPr>
        <w:t>reservation</w:t>
      </w:r>
      <w:r>
        <w:rPr>
          <w:spacing w:val="-9"/>
          <w:sz w:val="24"/>
        </w:rPr>
        <w:t> </w:t>
      </w:r>
      <w:r>
        <w:rPr>
          <w:sz w:val="24"/>
        </w:rPr>
        <w:t>of</w:t>
      </w:r>
      <w:r>
        <w:rPr>
          <w:spacing w:val="-9"/>
          <w:sz w:val="24"/>
        </w:rPr>
        <w:t> </w:t>
      </w:r>
      <w:r>
        <w:rPr>
          <w:sz w:val="24"/>
        </w:rPr>
        <w:t>Municipal</w:t>
      </w:r>
      <w:r>
        <w:rPr>
          <w:spacing w:val="-9"/>
          <w:sz w:val="24"/>
        </w:rPr>
        <w:t> </w:t>
      </w:r>
      <w:r>
        <w:rPr>
          <w:sz w:val="24"/>
        </w:rPr>
        <w:t>School</w:t>
      </w:r>
      <w:r>
        <w:rPr>
          <w:spacing w:val="-9"/>
          <w:sz w:val="24"/>
        </w:rPr>
        <w:t> </w:t>
      </w:r>
      <w:r>
        <w:rPr>
          <w:sz w:val="24"/>
        </w:rPr>
        <w:t>(RE</w:t>
      </w:r>
      <w:r>
        <w:rPr>
          <w:spacing w:val="-6"/>
          <w:sz w:val="24"/>
        </w:rPr>
        <w:t> </w:t>
      </w:r>
      <w:r>
        <w:rPr>
          <w:sz w:val="24"/>
        </w:rPr>
        <w:t>1.1)/</w:t>
      </w:r>
      <w:r>
        <w:rPr>
          <w:spacing w:val="-9"/>
          <w:sz w:val="24"/>
        </w:rPr>
        <w:t> </w:t>
      </w:r>
      <w:r>
        <w:rPr>
          <w:sz w:val="24"/>
        </w:rPr>
        <w:t>Primary</w:t>
      </w:r>
      <w:r>
        <w:rPr>
          <w:spacing w:val="-9"/>
          <w:sz w:val="24"/>
        </w:rPr>
        <w:t> </w:t>
      </w:r>
      <w:r>
        <w:rPr>
          <w:sz w:val="24"/>
        </w:rPr>
        <w:t>and secondary school (RE1.2) or a Higher Education (RE2.1) is spread on adjoining plot and the plot under development, then in such cases Commissioner with special permission may insist upon construction of Municipal</w:t>
      </w:r>
      <w:r>
        <w:rPr>
          <w:spacing w:val="-20"/>
          <w:sz w:val="24"/>
        </w:rPr>
        <w:t> </w:t>
      </w:r>
      <w:r>
        <w:rPr>
          <w:sz w:val="24"/>
        </w:rPr>
        <w:t>School</w:t>
      </w:r>
      <w:r>
        <w:rPr>
          <w:spacing w:val="-19"/>
          <w:sz w:val="24"/>
        </w:rPr>
        <w:t> </w:t>
      </w:r>
      <w:r>
        <w:rPr>
          <w:sz w:val="24"/>
        </w:rPr>
        <w:t>(RE</w:t>
      </w:r>
      <w:r>
        <w:rPr>
          <w:spacing w:val="-19"/>
          <w:sz w:val="24"/>
        </w:rPr>
        <w:t> </w:t>
      </w:r>
      <w:r>
        <w:rPr>
          <w:sz w:val="24"/>
        </w:rPr>
        <w:t>1.1)/</w:t>
      </w:r>
      <w:r>
        <w:rPr>
          <w:spacing w:val="-19"/>
          <w:sz w:val="24"/>
        </w:rPr>
        <w:t> </w:t>
      </w:r>
      <w:r>
        <w:rPr>
          <w:sz w:val="24"/>
        </w:rPr>
        <w:t>Primary</w:t>
      </w:r>
      <w:r>
        <w:rPr>
          <w:spacing w:val="-19"/>
          <w:sz w:val="24"/>
        </w:rPr>
        <w:t> </w:t>
      </w:r>
      <w:r>
        <w:rPr>
          <w:sz w:val="24"/>
        </w:rPr>
        <w:t>and</w:t>
      </w:r>
      <w:r>
        <w:rPr>
          <w:spacing w:val="-20"/>
          <w:sz w:val="24"/>
        </w:rPr>
        <w:t> </w:t>
      </w:r>
      <w:r>
        <w:rPr>
          <w:sz w:val="24"/>
        </w:rPr>
        <w:t>Secondary</w:t>
      </w:r>
      <w:r>
        <w:rPr>
          <w:spacing w:val="-19"/>
          <w:sz w:val="24"/>
        </w:rPr>
        <w:t> </w:t>
      </w:r>
      <w:r>
        <w:rPr>
          <w:sz w:val="24"/>
        </w:rPr>
        <w:t>School</w:t>
      </w:r>
      <w:r>
        <w:rPr>
          <w:spacing w:val="-19"/>
          <w:sz w:val="24"/>
        </w:rPr>
        <w:t> </w:t>
      </w:r>
      <w:r>
        <w:rPr>
          <w:sz w:val="24"/>
        </w:rPr>
        <w:t>(RE1.2)</w:t>
      </w:r>
      <w:r>
        <w:rPr>
          <w:spacing w:val="-19"/>
          <w:sz w:val="24"/>
        </w:rPr>
        <w:t> </w:t>
      </w:r>
      <w:r>
        <w:rPr>
          <w:sz w:val="24"/>
        </w:rPr>
        <w:t>or</w:t>
      </w:r>
      <w:r>
        <w:rPr>
          <w:spacing w:val="-19"/>
          <w:sz w:val="24"/>
        </w:rPr>
        <w:t> </w:t>
      </w:r>
      <w:r>
        <w:rPr>
          <w:sz w:val="24"/>
        </w:rPr>
        <w:t>a</w:t>
      </w:r>
      <w:r>
        <w:rPr>
          <w:spacing w:val="-20"/>
          <w:sz w:val="24"/>
        </w:rPr>
        <w:t> </w:t>
      </w:r>
      <w:r>
        <w:rPr>
          <w:sz w:val="24"/>
        </w:rPr>
        <w:t>Higher Education (RE2.1) in proportion to the area under reservation affecting the plot under development. Requirements of Play Ground as per Regulation No 38 (I) (2) of these regulations may not be insisted for (i) above.</w:t>
      </w:r>
    </w:p>
    <w:p>
      <w:pPr>
        <w:pStyle w:val="ListParagraph"/>
        <w:numPr>
          <w:ilvl w:val="0"/>
          <w:numId w:val="93"/>
        </w:numPr>
        <w:tabs>
          <w:tab w:pos="1593" w:val="left" w:leader="none"/>
        </w:tabs>
        <w:spacing w:line="240" w:lineRule="auto" w:before="240" w:after="0"/>
        <w:ind w:left="1080" w:right="1077" w:firstLine="0"/>
        <w:jc w:val="both"/>
        <w:rPr>
          <w:sz w:val="24"/>
        </w:rPr>
      </w:pPr>
      <w:r>
        <w:rPr>
          <w:sz w:val="24"/>
        </w:rPr>
        <w:t>For other buildable reservations excluding Municipal School (RE 1.1)/ Primary</w:t>
      </w:r>
      <w:r>
        <w:rPr>
          <w:spacing w:val="-13"/>
          <w:sz w:val="24"/>
        </w:rPr>
        <w:t> </w:t>
      </w:r>
      <w:r>
        <w:rPr>
          <w:sz w:val="24"/>
        </w:rPr>
        <w:t>and</w:t>
      </w:r>
      <w:r>
        <w:rPr>
          <w:spacing w:val="-13"/>
          <w:sz w:val="24"/>
        </w:rPr>
        <w:t> </w:t>
      </w:r>
      <w:r>
        <w:rPr>
          <w:sz w:val="24"/>
        </w:rPr>
        <w:t>Secondary</w:t>
      </w:r>
      <w:r>
        <w:rPr>
          <w:spacing w:val="-13"/>
          <w:sz w:val="24"/>
        </w:rPr>
        <w:t> </w:t>
      </w:r>
      <w:r>
        <w:rPr>
          <w:sz w:val="24"/>
        </w:rPr>
        <w:t>School</w:t>
      </w:r>
      <w:r>
        <w:rPr>
          <w:spacing w:val="-13"/>
          <w:sz w:val="24"/>
        </w:rPr>
        <w:t> </w:t>
      </w:r>
      <w:r>
        <w:rPr>
          <w:sz w:val="24"/>
        </w:rPr>
        <w:t>(RE1.2)or</w:t>
      </w:r>
      <w:r>
        <w:rPr>
          <w:spacing w:val="-11"/>
          <w:sz w:val="24"/>
        </w:rPr>
        <w:t> </w:t>
      </w:r>
      <w:r>
        <w:rPr>
          <w:sz w:val="24"/>
        </w:rPr>
        <w:t>a</w:t>
      </w:r>
      <w:r>
        <w:rPr>
          <w:spacing w:val="-13"/>
          <w:sz w:val="24"/>
        </w:rPr>
        <w:t> </w:t>
      </w:r>
      <w:r>
        <w:rPr>
          <w:sz w:val="24"/>
        </w:rPr>
        <w:t>Higher</w:t>
      </w:r>
      <w:r>
        <w:rPr>
          <w:spacing w:val="-12"/>
          <w:sz w:val="24"/>
        </w:rPr>
        <w:t> </w:t>
      </w:r>
      <w:r>
        <w:rPr>
          <w:sz w:val="24"/>
        </w:rPr>
        <w:t>Education</w:t>
      </w:r>
      <w:r>
        <w:rPr>
          <w:spacing w:val="-9"/>
          <w:sz w:val="24"/>
        </w:rPr>
        <w:t> </w:t>
      </w:r>
      <w:r>
        <w:rPr>
          <w:sz w:val="24"/>
        </w:rPr>
        <w:t>(RE2.1)on</w:t>
      </w:r>
      <w:r>
        <w:rPr>
          <w:spacing w:val="-13"/>
          <w:sz w:val="24"/>
        </w:rPr>
        <w:t> </w:t>
      </w:r>
      <w:r>
        <w:rPr>
          <w:sz w:val="24"/>
        </w:rPr>
        <w:t>lands under</w:t>
      </w:r>
      <w:r>
        <w:rPr>
          <w:spacing w:val="-3"/>
          <w:sz w:val="24"/>
        </w:rPr>
        <w:t> </w:t>
      </w:r>
      <w:r>
        <w:rPr>
          <w:sz w:val="24"/>
        </w:rPr>
        <w:t>slum,</w:t>
      </w:r>
      <w:r>
        <w:rPr>
          <w:spacing w:val="-3"/>
          <w:sz w:val="24"/>
        </w:rPr>
        <w:t> </w:t>
      </w:r>
      <w:r>
        <w:rPr>
          <w:sz w:val="24"/>
        </w:rPr>
        <w:t>BUA</w:t>
      </w:r>
      <w:r>
        <w:rPr>
          <w:spacing w:val="-3"/>
          <w:sz w:val="24"/>
        </w:rPr>
        <w:t> </w:t>
      </w:r>
      <w:r>
        <w:rPr>
          <w:sz w:val="24"/>
        </w:rPr>
        <w:t>equal</w:t>
      </w:r>
      <w:r>
        <w:rPr>
          <w:spacing w:val="-3"/>
          <w:sz w:val="24"/>
        </w:rPr>
        <w:t> </w:t>
      </w:r>
      <w:r>
        <w:rPr>
          <w:sz w:val="24"/>
        </w:rPr>
        <w:t>to</w:t>
      </w:r>
      <w:r>
        <w:rPr>
          <w:spacing w:val="40"/>
          <w:sz w:val="24"/>
        </w:rPr>
        <w:t> </w:t>
      </w:r>
      <w:r>
        <w:rPr>
          <w:sz w:val="24"/>
        </w:rPr>
        <w:t>20%</w:t>
      </w:r>
      <w:r>
        <w:rPr>
          <w:spacing w:val="-4"/>
          <w:sz w:val="24"/>
        </w:rPr>
        <w:t> </w:t>
      </w:r>
      <w:r>
        <w:rPr>
          <w:sz w:val="24"/>
        </w:rPr>
        <w:t>percent</w:t>
      </w:r>
      <w:r>
        <w:rPr>
          <w:spacing w:val="-6"/>
          <w:sz w:val="24"/>
        </w:rPr>
        <w:t> </w:t>
      </w:r>
      <w:r>
        <w:rPr>
          <w:sz w:val="24"/>
        </w:rPr>
        <w:t>of</w:t>
      </w:r>
      <w:r>
        <w:rPr>
          <w:spacing w:val="-3"/>
          <w:sz w:val="24"/>
        </w:rPr>
        <w:t> </w:t>
      </w:r>
      <w:r>
        <w:rPr>
          <w:sz w:val="24"/>
        </w:rPr>
        <w:t>the</w:t>
      </w:r>
      <w:r>
        <w:rPr>
          <w:spacing w:val="-3"/>
          <w:sz w:val="24"/>
        </w:rPr>
        <w:t> </w:t>
      </w:r>
      <w:r>
        <w:rPr>
          <w:sz w:val="24"/>
        </w:rPr>
        <w:t>area</w:t>
      </w:r>
      <w:r>
        <w:rPr>
          <w:spacing w:val="-3"/>
          <w:sz w:val="24"/>
        </w:rPr>
        <w:t> </w:t>
      </w:r>
      <w:r>
        <w:rPr>
          <w:sz w:val="24"/>
        </w:rPr>
        <w:t>under</w:t>
      </w:r>
      <w:r>
        <w:rPr>
          <w:spacing w:val="-3"/>
          <w:sz w:val="24"/>
        </w:rPr>
        <w:t> </w:t>
      </w:r>
      <w:r>
        <w:rPr>
          <w:sz w:val="24"/>
        </w:rPr>
        <w:t>that</w:t>
      </w:r>
      <w:r>
        <w:rPr>
          <w:spacing w:val="-3"/>
          <w:sz w:val="24"/>
        </w:rPr>
        <w:t> </w:t>
      </w:r>
      <w:r>
        <w:rPr>
          <w:sz w:val="24"/>
        </w:rPr>
        <w:t>reservation</w:t>
      </w:r>
      <w:r>
        <w:rPr>
          <w:spacing w:val="-3"/>
          <w:sz w:val="24"/>
        </w:rPr>
        <w:t> </w:t>
      </w:r>
      <w:r>
        <w:rPr>
          <w:sz w:val="24"/>
        </w:rPr>
        <w:t>in that</w:t>
      </w:r>
      <w:r>
        <w:rPr>
          <w:spacing w:val="-12"/>
          <w:sz w:val="24"/>
        </w:rPr>
        <w:t> </w:t>
      </w:r>
      <w:r>
        <w:rPr>
          <w:sz w:val="24"/>
        </w:rPr>
        <w:t>plot,</w:t>
      </w:r>
      <w:r>
        <w:rPr>
          <w:spacing w:val="-12"/>
          <w:sz w:val="24"/>
        </w:rPr>
        <w:t> </w:t>
      </w:r>
      <w:r>
        <w:rPr>
          <w:sz w:val="24"/>
        </w:rPr>
        <w:t>shall</w:t>
      </w:r>
      <w:r>
        <w:rPr>
          <w:spacing w:val="-12"/>
          <w:sz w:val="24"/>
        </w:rPr>
        <w:t> </w:t>
      </w:r>
      <w:r>
        <w:rPr>
          <w:sz w:val="24"/>
        </w:rPr>
        <w:t>be</w:t>
      </w:r>
      <w:r>
        <w:rPr>
          <w:spacing w:val="-12"/>
          <w:sz w:val="24"/>
        </w:rPr>
        <w:t> </w:t>
      </w:r>
      <w:r>
        <w:rPr>
          <w:sz w:val="24"/>
        </w:rPr>
        <w:t>demanded</w:t>
      </w:r>
      <w:r>
        <w:rPr>
          <w:spacing w:val="-12"/>
          <w:sz w:val="24"/>
        </w:rPr>
        <w:t> </w:t>
      </w:r>
      <w:r>
        <w:rPr>
          <w:sz w:val="24"/>
        </w:rPr>
        <w:t>free</w:t>
      </w:r>
      <w:r>
        <w:rPr>
          <w:spacing w:val="-12"/>
          <w:sz w:val="24"/>
        </w:rPr>
        <w:t> </w:t>
      </w:r>
      <w:r>
        <w:rPr>
          <w:sz w:val="24"/>
        </w:rPr>
        <w:t>of</w:t>
      </w:r>
      <w:r>
        <w:rPr>
          <w:spacing w:val="-12"/>
          <w:sz w:val="24"/>
        </w:rPr>
        <w:t> </w:t>
      </w:r>
      <w:r>
        <w:rPr>
          <w:sz w:val="24"/>
        </w:rPr>
        <w:t>cost</w:t>
      </w:r>
      <w:r>
        <w:rPr>
          <w:spacing w:val="-10"/>
          <w:sz w:val="24"/>
        </w:rPr>
        <w:t> </w:t>
      </w:r>
      <w:r>
        <w:rPr>
          <w:sz w:val="24"/>
        </w:rPr>
        <w:t>by</w:t>
      </w:r>
      <w:r>
        <w:rPr>
          <w:spacing w:val="-12"/>
          <w:sz w:val="24"/>
        </w:rPr>
        <w:t> </w:t>
      </w:r>
      <w:r>
        <w:rPr>
          <w:sz w:val="24"/>
        </w:rPr>
        <w:t>the</w:t>
      </w:r>
      <w:r>
        <w:rPr>
          <w:spacing w:val="-12"/>
          <w:sz w:val="24"/>
        </w:rPr>
        <w:t> </w:t>
      </w:r>
      <w:r>
        <w:rPr>
          <w:sz w:val="24"/>
        </w:rPr>
        <w:t>Slum</w:t>
      </w:r>
      <w:r>
        <w:rPr>
          <w:spacing w:val="-12"/>
          <w:sz w:val="24"/>
        </w:rPr>
        <w:t> </w:t>
      </w:r>
      <w:r>
        <w:rPr>
          <w:sz w:val="24"/>
        </w:rPr>
        <w:t>Rehabilitation</w:t>
      </w:r>
      <w:r>
        <w:rPr>
          <w:spacing w:val="-12"/>
          <w:sz w:val="24"/>
        </w:rPr>
        <w:t> </w:t>
      </w:r>
      <w:r>
        <w:rPr>
          <w:sz w:val="24"/>
        </w:rPr>
        <w:t>Authority for the Municipal Corporation or for any other appropriate Authority.</w:t>
      </w:r>
    </w:p>
    <w:p>
      <w:pPr>
        <w:pStyle w:val="ListParagraph"/>
        <w:numPr>
          <w:ilvl w:val="0"/>
          <w:numId w:val="93"/>
        </w:numPr>
        <w:tabs>
          <w:tab w:pos="1498" w:val="left" w:leader="none"/>
        </w:tabs>
        <w:spacing w:line="240" w:lineRule="auto" w:before="240" w:after="0"/>
        <w:ind w:left="1080" w:right="1078" w:firstLine="0"/>
        <w:jc w:val="both"/>
        <w:rPr>
          <w:sz w:val="24"/>
        </w:rPr>
      </w:pPr>
      <w:r>
        <w:rPr>
          <w:sz w:val="24"/>
        </w:rPr>
        <w:t>In case of the plot reserved for the Parking Lot,</w:t>
      </w:r>
      <w:r>
        <w:rPr>
          <w:spacing w:val="40"/>
          <w:sz w:val="24"/>
        </w:rPr>
        <w:t> </w:t>
      </w:r>
      <w:r>
        <w:rPr>
          <w:sz w:val="24"/>
        </w:rPr>
        <w:t>125% BUA as per Zonal (basic) FSI of such reserved area shall be handed over to MCGM.</w:t>
      </w:r>
    </w:p>
    <w:p>
      <w:pPr>
        <w:pStyle w:val="BodyText"/>
        <w:spacing w:before="241"/>
        <w:ind w:left="1080" w:right="1080"/>
      </w:pPr>
      <w:r>
        <w:rPr/>
        <w:t>The developer/owner shall be entitled for the Built-Up Area (BUA) in lieu of cost of construction against handing over of built up amenity as per Note (d) of Regulation 17(1) in case of clause 3,4 &amp; 5 above.</w:t>
      </w:r>
    </w:p>
    <w:p>
      <w:pPr>
        <w:pStyle w:val="ListParagraph"/>
        <w:numPr>
          <w:ilvl w:val="0"/>
          <w:numId w:val="93"/>
        </w:numPr>
        <w:tabs>
          <w:tab w:pos="1465" w:val="left" w:leader="none"/>
        </w:tabs>
        <w:spacing w:line="276" w:lineRule="auto" w:before="279" w:after="0"/>
        <w:ind w:left="1080" w:right="1077" w:firstLine="0"/>
        <w:jc w:val="both"/>
        <w:rPr>
          <w:sz w:val="24"/>
        </w:rPr>
      </w:pPr>
      <w:r>
        <w:rPr>
          <w:sz w:val="24"/>
        </w:rPr>
        <w:t>Existing slum boundary excluding non slum area/ nallah as certified by Competent</w:t>
      </w:r>
      <w:r>
        <w:rPr>
          <w:spacing w:val="-12"/>
          <w:sz w:val="24"/>
        </w:rPr>
        <w:t> </w:t>
      </w:r>
      <w:r>
        <w:rPr>
          <w:sz w:val="24"/>
        </w:rPr>
        <w:t>Authority</w:t>
      </w:r>
      <w:r>
        <w:rPr>
          <w:spacing w:val="-11"/>
          <w:sz w:val="24"/>
        </w:rPr>
        <w:t> </w:t>
      </w:r>
      <w:r>
        <w:rPr>
          <w:sz w:val="24"/>
        </w:rPr>
        <w:t>on</w:t>
      </w:r>
      <w:r>
        <w:rPr>
          <w:spacing w:val="-12"/>
          <w:sz w:val="24"/>
        </w:rPr>
        <w:t> </w:t>
      </w:r>
      <w:r>
        <w:rPr>
          <w:sz w:val="24"/>
        </w:rPr>
        <w:t>lands</w:t>
      </w:r>
      <w:r>
        <w:rPr>
          <w:spacing w:val="-12"/>
          <w:sz w:val="24"/>
        </w:rPr>
        <w:t> </w:t>
      </w:r>
      <w:r>
        <w:rPr>
          <w:sz w:val="24"/>
        </w:rPr>
        <w:t>reserved</w:t>
      </w:r>
      <w:r>
        <w:rPr>
          <w:spacing w:val="-12"/>
          <w:sz w:val="24"/>
        </w:rPr>
        <w:t> </w:t>
      </w:r>
      <w:r>
        <w:rPr>
          <w:sz w:val="24"/>
        </w:rPr>
        <w:t>for</w:t>
      </w:r>
      <w:r>
        <w:rPr>
          <w:spacing w:val="-12"/>
          <w:sz w:val="24"/>
        </w:rPr>
        <w:t> </w:t>
      </w:r>
      <w:r>
        <w:rPr>
          <w:sz w:val="24"/>
        </w:rPr>
        <w:t>Rehabilitation</w:t>
      </w:r>
      <w:r>
        <w:rPr>
          <w:spacing w:val="-12"/>
          <w:sz w:val="24"/>
        </w:rPr>
        <w:t> </w:t>
      </w:r>
      <w:r>
        <w:rPr>
          <w:sz w:val="24"/>
        </w:rPr>
        <w:t>&amp;</w:t>
      </w:r>
      <w:r>
        <w:rPr>
          <w:spacing w:val="-12"/>
          <w:sz w:val="24"/>
        </w:rPr>
        <w:t> </w:t>
      </w:r>
      <w:r>
        <w:rPr>
          <w:sz w:val="24"/>
        </w:rPr>
        <w:t>Resettlement</w:t>
      </w:r>
      <w:r>
        <w:rPr>
          <w:spacing w:val="-12"/>
          <w:sz w:val="24"/>
        </w:rPr>
        <w:t> </w:t>
      </w:r>
      <w:r>
        <w:rPr>
          <w:sz w:val="24"/>
        </w:rPr>
        <w:t>(RR 2.1)</w:t>
      </w:r>
      <w:r>
        <w:rPr>
          <w:spacing w:val="-2"/>
          <w:sz w:val="24"/>
        </w:rPr>
        <w:t> </w:t>
      </w:r>
      <w:r>
        <w:rPr>
          <w:sz w:val="24"/>
        </w:rPr>
        <w:t>shall</w:t>
      </w:r>
      <w:r>
        <w:rPr>
          <w:spacing w:val="-3"/>
          <w:sz w:val="24"/>
        </w:rPr>
        <w:t> </w:t>
      </w:r>
      <w:r>
        <w:rPr>
          <w:sz w:val="24"/>
        </w:rPr>
        <w:t>be</w:t>
      </w:r>
      <w:r>
        <w:rPr>
          <w:spacing w:val="-2"/>
          <w:sz w:val="24"/>
        </w:rPr>
        <w:t> </w:t>
      </w:r>
      <w:r>
        <w:rPr>
          <w:sz w:val="24"/>
        </w:rPr>
        <w:t>treated as</w:t>
      </w:r>
      <w:r>
        <w:rPr>
          <w:spacing w:val="-2"/>
          <w:sz w:val="24"/>
        </w:rPr>
        <w:t> </w:t>
      </w:r>
      <w:r>
        <w:rPr>
          <w:sz w:val="24"/>
        </w:rPr>
        <w:t>sites</w:t>
      </w:r>
      <w:r>
        <w:rPr>
          <w:spacing w:val="-2"/>
          <w:sz w:val="24"/>
        </w:rPr>
        <w:t> </w:t>
      </w:r>
      <w:r>
        <w:rPr>
          <w:sz w:val="24"/>
        </w:rPr>
        <w:t>for</w:t>
      </w:r>
      <w:r>
        <w:rPr>
          <w:spacing w:val="-2"/>
          <w:sz w:val="24"/>
        </w:rPr>
        <w:t> </w:t>
      </w:r>
      <w:r>
        <w:rPr>
          <w:sz w:val="24"/>
        </w:rPr>
        <w:t>development</w:t>
      </w:r>
      <w:r>
        <w:rPr>
          <w:spacing w:val="-2"/>
          <w:sz w:val="24"/>
        </w:rPr>
        <w:t> </w:t>
      </w:r>
      <w:r>
        <w:rPr>
          <w:sz w:val="24"/>
        </w:rPr>
        <w:t>of</w:t>
      </w:r>
      <w:r>
        <w:rPr>
          <w:spacing w:val="-2"/>
          <w:sz w:val="24"/>
        </w:rPr>
        <w:t> </w:t>
      </w:r>
      <w:r>
        <w:rPr>
          <w:sz w:val="24"/>
        </w:rPr>
        <w:t>slum</w:t>
      </w:r>
      <w:r>
        <w:rPr>
          <w:spacing w:val="-2"/>
          <w:sz w:val="24"/>
        </w:rPr>
        <w:t> </w:t>
      </w:r>
      <w:r>
        <w:rPr>
          <w:sz w:val="24"/>
        </w:rPr>
        <w:t>structures</w:t>
      </w:r>
      <w:r>
        <w:rPr>
          <w:spacing w:val="-2"/>
          <w:sz w:val="24"/>
        </w:rPr>
        <w:t> </w:t>
      </w:r>
      <w:r>
        <w:rPr>
          <w:sz w:val="24"/>
        </w:rPr>
        <w:t>and</w:t>
      </w:r>
      <w:r>
        <w:rPr>
          <w:spacing w:val="-2"/>
          <w:sz w:val="24"/>
        </w:rPr>
        <w:t> </w:t>
      </w:r>
      <w:r>
        <w:rPr>
          <w:sz w:val="24"/>
        </w:rPr>
        <w:t>shall</w:t>
      </w:r>
      <w:r>
        <w:rPr>
          <w:spacing w:val="-2"/>
          <w:sz w:val="24"/>
        </w:rPr>
        <w:t> </w:t>
      </w:r>
      <w:r>
        <w:rPr>
          <w:sz w:val="24"/>
        </w:rPr>
        <w:t>be allowed for redevelopment according to this Regulation.</w:t>
      </w:r>
    </w:p>
    <w:p>
      <w:pPr>
        <w:pStyle w:val="ListParagraph"/>
        <w:numPr>
          <w:ilvl w:val="0"/>
          <w:numId w:val="93"/>
        </w:numPr>
        <w:tabs>
          <w:tab w:pos="1659" w:val="left" w:leader="none"/>
        </w:tabs>
        <w:spacing w:line="276" w:lineRule="auto" w:before="199" w:after="0"/>
        <w:ind w:left="1080" w:right="1081" w:firstLine="0"/>
        <w:jc w:val="both"/>
        <w:rPr>
          <w:sz w:val="24"/>
        </w:rPr>
      </w:pPr>
      <w:r>
        <w:rPr>
          <w:sz w:val="24"/>
        </w:rPr>
        <w:t>Reservation area beyond the slum boundary on open land / non slum area/</w:t>
      </w:r>
      <w:r>
        <w:rPr>
          <w:spacing w:val="-10"/>
          <w:sz w:val="24"/>
        </w:rPr>
        <w:t> </w:t>
      </w:r>
      <w:r>
        <w:rPr>
          <w:sz w:val="24"/>
        </w:rPr>
        <w:t>nalla</w:t>
      </w:r>
      <w:r>
        <w:rPr>
          <w:spacing w:val="40"/>
          <w:sz w:val="24"/>
        </w:rPr>
        <w:t> </w:t>
      </w:r>
      <w:r>
        <w:rPr>
          <w:sz w:val="24"/>
        </w:rPr>
        <w:t>shall</w:t>
      </w:r>
      <w:r>
        <w:rPr>
          <w:spacing w:val="-10"/>
          <w:sz w:val="24"/>
        </w:rPr>
        <w:t> </w:t>
      </w:r>
      <w:r>
        <w:rPr>
          <w:sz w:val="24"/>
        </w:rPr>
        <w:t>have</w:t>
      </w:r>
      <w:r>
        <w:rPr>
          <w:spacing w:val="-10"/>
          <w:sz w:val="24"/>
        </w:rPr>
        <w:t> </w:t>
      </w:r>
      <w:r>
        <w:rPr>
          <w:sz w:val="24"/>
        </w:rPr>
        <w:t>to</w:t>
      </w:r>
      <w:r>
        <w:rPr>
          <w:spacing w:val="-10"/>
          <w:sz w:val="24"/>
        </w:rPr>
        <w:t> </w:t>
      </w:r>
      <w:r>
        <w:rPr>
          <w:sz w:val="24"/>
        </w:rPr>
        <w:t>be</w:t>
      </w:r>
      <w:r>
        <w:rPr>
          <w:spacing w:val="-10"/>
          <w:sz w:val="24"/>
        </w:rPr>
        <w:t> </w:t>
      </w:r>
      <w:r>
        <w:rPr>
          <w:sz w:val="24"/>
        </w:rPr>
        <w:t>developed</w:t>
      </w:r>
      <w:r>
        <w:rPr>
          <w:spacing w:val="-10"/>
          <w:sz w:val="24"/>
        </w:rPr>
        <w:t> </w:t>
      </w:r>
      <w:r>
        <w:rPr>
          <w:sz w:val="24"/>
        </w:rPr>
        <w:t>entirely</w:t>
      </w:r>
      <w:r>
        <w:rPr>
          <w:spacing w:val="-10"/>
          <w:sz w:val="24"/>
        </w:rPr>
        <w:t> </w:t>
      </w:r>
      <w:r>
        <w:rPr>
          <w:sz w:val="24"/>
        </w:rPr>
        <w:t>for</w:t>
      </w:r>
      <w:r>
        <w:rPr>
          <w:spacing w:val="-10"/>
          <w:sz w:val="24"/>
        </w:rPr>
        <w:t> </w:t>
      </w:r>
      <w:r>
        <w:rPr>
          <w:sz w:val="24"/>
        </w:rPr>
        <w:t>the</w:t>
      </w:r>
      <w:r>
        <w:rPr>
          <w:spacing w:val="-10"/>
          <w:sz w:val="24"/>
        </w:rPr>
        <w:t> </w:t>
      </w:r>
      <w:r>
        <w:rPr>
          <w:sz w:val="24"/>
        </w:rPr>
        <w:t>intended</w:t>
      </w:r>
      <w:r>
        <w:rPr>
          <w:spacing w:val="-10"/>
          <w:sz w:val="24"/>
        </w:rPr>
        <w:t> </w:t>
      </w:r>
      <w:r>
        <w:rPr>
          <w:sz w:val="24"/>
        </w:rPr>
        <w:t>purpose</w:t>
      </w:r>
      <w:r>
        <w:rPr>
          <w:spacing w:val="-10"/>
          <w:sz w:val="24"/>
        </w:rPr>
        <w:t> </w:t>
      </w:r>
      <w:r>
        <w:rPr>
          <w:sz w:val="24"/>
        </w:rPr>
        <w:t>only.</w:t>
      </w:r>
    </w:p>
    <w:p>
      <w:pPr>
        <w:pStyle w:val="ListParagraph"/>
        <w:spacing w:after="0" w:line="276" w:lineRule="auto"/>
        <w:jc w:val="both"/>
        <w:rPr>
          <w:sz w:val="24"/>
        </w:rPr>
        <w:sectPr>
          <w:pgSz w:w="11910" w:h="16840"/>
          <w:pgMar w:header="746" w:footer="968" w:top="1180" w:bottom="1160" w:left="360" w:right="360"/>
        </w:sectPr>
      </w:pPr>
    </w:p>
    <w:p>
      <w:pPr>
        <w:pStyle w:val="ListParagraph"/>
        <w:numPr>
          <w:ilvl w:val="0"/>
          <w:numId w:val="93"/>
        </w:numPr>
        <w:tabs>
          <w:tab w:pos="1540" w:val="left" w:leader="none"/>
        </w:tabs>
        <w:spacing w:line="240" w:lineRule="auto" w:before="251" w:after="0"/>
        <w:ind w:left="1080" w:right="1076" w:firstLine="0"/>
        <w:jc w:val="both"/>
        <w:rPr>
          <w:sz w:val="24"/>
        </w:rPr>
      </w:pPr>
      <w:r>
        <w:rPr>
          <w:sz w:val="24"/>
        </w:rPr>
        <w:t>In case where LOI/IOA was issued by CEO (SRA) prior to sanction of DP 2034</w:t>
      </w:r>
      <w:r>
        <w:rPr>
          <w:spacing w:val="-8"/>
          <w:sz w:val="24"/>
        </w:rPr>
        <w:t> </w:t>
      </w:r>
      <w:r>
        <w:rPr>
          <w:sz w:val="24"/>
        </w:rPr>
        <w:t>in</w:t>
      </w:r>
      <w:r>
        <w:rPr>
          <w:spacing w:val="-8"/>
          <w:sz w:val="24"/>
        </w:rPr>
        <w:t> </w:t>
      </w:r>
      <w:r>
        <w:rPr>
          <w:sz w:val="24"/>
        </w:rPr>
        <w:t>respect</w:t>
      </w:r>
      <w:r>
        <w:rPr>
          <w:spacing w:val="-8"/>
          <w:sz w:val="24"/>
        </w:rPr>
        <w:t> </w:t>
      </w:r>
      <w:r>
        <w:rPr>
          <w:sz w:val="24"/>
        </w:rPr>
        <w:t>of</w:t>
      </w:r>
      <w:r>
        <w:rPr>
          <w:spacing w:val="-8"/>
          <w:sz w:val="24"/>
        </w:rPr>
        <w:t> </w:t>
      </w:r>
      <w:r>
        <w:rPr>
          <w:sz w:val="24"/>
        </w:rPr>
        <w:t>plot</w:t>
      </w:r>
      <w:r>
        <w:rPr>
          <w:spacing w:val="-8"/>
          <w:sz w:val="24"/>
        </w:rPr>
        <w:t> </w:t>
      </w:r>
      <w:r>
        <w:rPr>
          <w:sz w:val="24"/>
        </w:rPr>
        <w:t>affected</w:t>
      </w:r>
      <w:r>
        <w:rPr>
          <w:spacing w:val="-8"/>
          <w:sz w:val="24"/>
        </w:rPr>
        <w:t> </w:t>
      </w:r>
      <w:r>
        <w:rPr>
          <w:sz w:val="24"/>
        </w:rPr>
        <w:t>by</w:t>
      </w:r>
      <w:r>
        <w:rPr>
          <w:spacing w:val="-8"/>
          <w:sz w:val="24"/>
        </w:rPr>
        <w:t> </w:t>
      </w:r>
      <w:r>
        <w:rPr>
          <w:sz w:val="24"/>
        </w:rPr>
        <w:t>reservations</w:t>
      </w:r>
      <w:r>
        <w:rPr>
          <w:spacing w:val="-8"/>
          <w:sz w:val="24"/>
        </w:rPr>
        <w:t> </w:t>
      </w:r>
      <w:r>
        <w:rPr>
          <w:sz w:val="24"/>
        </w:rPr>
        <w:t>as</w:t>
      </w:r>
      <w:r>
        <w:rPr>
          <w:spacing w:val="-8"/>
          <w:sz w:val="24"/>
        </w:rPr>
        <w:t> </w:t>
      </w:r>
      <w:r>
        <w:rPr>
          <w:sz w:val="24"/>
        </w:rPr>
        <w:t>per</w:t>
      </w:r>
      <w:r>
        <w:rPr>
          <w:spacing w:val="-8"/>
          <w:sz w:val="24"/>
        </w:rPr>
        <w:t> </w:t>
      </w:r>
      <w:r>
        <w:rPr>
          <w:sz w:val="24"/>
        </w:rPr>
        <w:t>SRDP</w:t>
      </w:r>
      <w:r>
        <w:rPr>
          <w:spacing w:val="-11"/>
          <w:sz w:val="24"/>
        </w:rPr>
        <w:t> </w:t>
      </w:r>
      <w:r>
        <w:rPr>
          <w:sz w:val="24"/>
        </w:rPr>
        <w:t>1991,</w:t>
      </w:r>
      <w:r>
        <w:rPr>
          <w:spacing w:val="-8"/>
          <w:sz w:val="24"/>
        </w:rPr>
        <w:t> </w:t>
      </w:r>
      <w:r>
        <w:rPr>
          <w:sz w:val="24"/>
        </w:rPr>
        <w:t>then</w:t>
      </w:r>
      <w:r>
        <w:rPr>
          <w:spacing w:val="-8"/>
          <w:sz w:val="24"/>
        </w:rPr>
        <w:t> </w:t>
      </w:r>
      <w:r>
        <w:rPr>
          <w:sz w:val="24"/>
        </w:rPr>
        <w:t>those reservations</w:t>
      </w:r>
      <w:r>
        <w:rPr>
          <w:spacing w:val="-5"/>
          <w:sz w:val="24"/>
        </w:rPr>
        <w:t> </w:t>
      </w:r>
      <w:r>
        <w:rPr>
          <w:sz w:val="24"/>
        </w:rPr>
        <w:t>shall</w:t>
      </w:r>
      <w:r>
        <w:rPr>
          <w:spacing w:val="-5"/>
          <w:sz w:val="24"/>
        </w:rPr>
        <w:t> </w:t>
      </w:r>
      <w:r>
        <w:rPr>
          <w:sz w:val="24"/>
        </w:rPr>
        <w:t>remain</w:t>
      </w:r>
      <w:r>
        <w:rPr>
          <w:spacing w:val="-5"/>
          <w:sz w:val="24"/>
        </w:rPr>
        <w:t> </w:t>
      </w:r>
      <w:r>
        <w:rPr>
          <w:sz w:val="24"/>
        </w:rPr>
        <w:t>in</w:t>
      </w:r>
      <w:r>
        <w:rPr>
          <w:spacing w:val="-5"/>
          <w:sz w:val="24"/>
        </w:rPr>
        <w:t> </w:t>
      </w:r>
      <w:r>
        <w:rPr>
          <w:sz w:val="24"/>
        </w:rPr>
        <w:t>force</w:t>
      </w:r>
      <w:r>
        <w:rPr>
          <w:spacing w:val="-5"/>
          <w:sz w:val="24"/>
        </w:rPr>
        <w:t> </w:t>
      </w:r>
      <w:r>
        <w:rPr>
          <w:sz w:val="24"/>
        </w:rPr>
        <w:t>as</w:t>
      </w:r>
      <w:r>
        <w:rPr>
          <w:spacing w:val="-5"/>
          <w:sz w:val="24"/>
        </w:rPr>
        <w:t> </w:t>
      </w:r>
      <w:r>
        <w:rPr>
          <w:sz w:val="24"/>
        </w:rPr>
        <w:t>per</w:t>
      </w:r>
      <w:r>
        <w:rPr>
          <w:spacing w:val="-5"/>
          <w:sz w:val="24"/>
        </w:rPr>
        <w:t> </w:t>
      </w:r>
      <w:r>
        <w:rPr>
          <w:sz w:val="24"/>
        </w:rPr>
        <w:t>DCR</w:t>
      </w:r>
      <w:r>
        <w:rPr>
          <w:spacing w:val="-5"/>
          <w:sz w:val="24"/>
        </w:rPr>
        <w:t> </w:t>
      </w:r>
      <w:r>
        <w:rPr>
          <w:sz w:val="24"/>
        </w:rPr>
        <w:t>1991</w:t>
      </w:r>
      <w:r>
        <w:rPr>
          <w:spacing w:val="-4"/>
          <w:sz w:val="24"/>
        </w:rPr>
        <w:t> </w:t>
      </w:r>
      <w:r>
        <w:rPr>
          <w:sz w:val="24"/>
        </w:rPr>
        <w:t>even</w:t>
      </w:r>
      <w:r>
        <w:rPr>
          <w:spacing w:val="-5"/>
          <w:sz w:val="24"/>
        </w:rPr>
        <w:t> </w:t>
      </w:r>
      <w:r>
        <w:rPr>
          <w:sz w:val="24"/>
        </w:rPr>
        <w:t>after</w:t>
      </w:r>
      <w:r>
        <w:rPr>
          <w:spacing w:val="-5"/>
          <w:sz w:val="24"/>
        </w:rPr>
        <w:t> </w:t>
      </w:r>
      <w:r>
        <w:rPr>
          <w:sz w:val="24"/>
        </w:rPr>
        <w:t>the</w:t>
      </w:r>
      <w:r>
        <w:rPr>
          <w:spacing w:val="-5"/>
          <w:sz w:val="24"/>
        </w:rPr>
        <w:t> </w:t>
      </w:r>
      <w:r>
        <w:rPr>
          <w:sz w:val="24"/>
        </w:rPr>
        <w:t>sanction</w:t>
      </w:r>
      <w:r>
        <w:rPr>
          <w:spacing w:val="-5"/>
          <w:sz w:val="24"/>
        </w:rPr>
        <w:t> </w:t>
      </w:r>
      <w:r>
        <w:rPr>
          <w:sz w:val="24"/>
        </w:rPr>
        <w:t>of DP 2034 and shall be developed as per DCR 1991.</w:t>
      </w:r>
    </w:p>
    <w:p>
      <w:pPr>
        <w:pStyle w:val="ListParagraph"/>
        <w:numPr>
          <w:ilvl w:val="0"/>
          <w:numId w:val="93"/>
        </w:numPr>
        <w:tabs>
          <w:tab w:pos="1728" w:val="left" w:leader="none"/>
        </w:tabs>
        <w:spacing w:line="259" w:lineRule="auto" w:before="242" w:after="0"/>
        <w:ind w:left="1080" w:right="1077" w:firstLine="76"/>
        <w:jc w:val="both"/>
        <w:rPr>
          <w:sz w:val="24"/>
        </w:rPr>
      </w:pPr>
      <w:r>
        <w:rPr>
          <w:sz w:val="24"/>
        </w:rPr>
        <w:t>In case of conversion/revision of LOI as per this regulation and where plot is reserved for different/same public purpose for equal or more area of reservation in DP 2034 than DP 1991, then development shall be as per this regulation. The DP road shall be reckoned with as per DP 2034.</w:t>
      </w:r>
    </w:p>
    <w:p>
      <w:pPr>
        <w:pStyle w:val="BodyText"/>
        <w:jc w:val="left"/>
      </w:pPr>
    </w:p>
    <w:p>
      <w:pPr>
        <w:pStyle w:val="BodyText"/>
        <w:spacing w:before="55"/>
        <w:jc w:val="left"/>
      </w:pPr>
    </w:p>
    <w:p>
      <w:pPr>
        <w:pStyle w:val="ListParagraph"/>
        <w:numPr>
          <w:ilvl w:val="0"/>
          <w:numId w:val="95"/>
        </w:numPr>
        <w:tabs>
          <w:tab w:pos="1347" w:val="left" w:leader="none"/>
        </w:tabs>
        <w:spacing w:line="240" w:lineRule="auto" w:before="0" w:after="0"/>
        <w:ind w:left="1347" w:right="0" w:hanging="267"/>
        <w:jc w:val="both"/>
        <w:rPr>
          <w:b/>
          <w:sz w:val="24"/>
        </w:rPr>
      </w:pPr>
      <w:r>
        <w:rPr>
          <w:b/>
          <w:sz w:val="24"/>
          <w:u w:val="single"/>
        </w:rPr>
        <w:t>Slums</w:t>
      </w:r>
      <w:r>
        <w:rPr>
          <w:b/>
          <w:spacing w:val="-1"/>
          <w:sz w:val="24"/>
          <w:u w:val="single"/>
        </w:rPr>
        <w:t> </w:t>
      </w:r>
      <w:r>
        <w:rPr>
          <w:b/>
          <w:sz w:val="24"/>
          <w:u w:val="single"/>
        </w:rPr>
        <w:t>in</w:t>
      </w:r>
      <w:r>
        <w:rPr>
          <w:b/>
          <w:spacing w:val="-1"/>
          <w:sz w:val="24"/>
          <w:u w:val="single"/>
        </w:rPr>
        <w:t> </w:t>
      </w:r>
      <w:r>
        <w:rPr>
          <w:b/>
          <w:sz w:val="24"/>
          <w:u w:val="single"/>
        </w:rPr>
        <w:t>Industrial</w:t>
      </w:r>
      <w:r>
        <w:rPr>
          <w:b/>
          <w:spacing w:val="-1"/>
          <w:sz w:val="24"/>
          <w:u w:val="single"/>
        </w:rPr>
        <w:t> </w:t>
      </w:r>
      <w:r>
        <w:rPr>
          <w:b/>
          <w:sz w:val="24"/>
          <w:u w:val="single"/>
        </w:rPr>
        <w:t>Zone</w:t>
      </w:r>
      <w:r>
        <w:rPr>
          <w:b/>
          <w:spacing w:val="-1"/>
          <w:sz w:val="24"/>
          <w:u w:val="single"/>
        </w:rPr>
        <w:t> </w:t>
      </w:r>
      <w:r>
        <w:rPr>
          <w:b/>
          <w:spacing w:val="-5"/>
          <w:sz w:val="24"/>
          <w:u w:val="single"/>
        </w:rPr>
        <w:t>(I)</w:t>
      </w:r>
    </w:p>
    <w:p>
      <w:pPr>
        <w:pStyle w:val="ListParagraph"/>
        <w:numPr>
          <w:ilvl w:val="1"/>
          <w:numId w:val="95"/>
        </w:numPr>
        <w:tabs>
          <w:tab w:pos="1372" w:val="left" w:leader="none"/>
        </w:tabs>
        <w:spacing w:line="240" w:lineRule="auto" w:before="247" w:after="0"/>
        <w:ind w:left="1080" w:right="1078" w:firstLine="0"/>
        <w:jc w:val="both"/>
        <w:rPr>
          <w:sz w:val="24"/>
        </w:rPr>
      </w:pPr>
      <w:r>
        <w:rPr>
          <w:sz w:val="24"/>
        </w:rPr>
        <w:t>Slums in Industrial Zone (I) shall be allowed to be redeveloped in-situ without going through the process of change of zone. In the free-sale component</w:t>
      </w:r>
      <w:r>
        <w:rPr>
          <w:spacing w:val="-8"/>
          <w:sz w:val="24"/>
        </w:rPr>
        <w:t> </w:t>
      </w:r>
      <w:r>
        <w:rPr>
          <w:sz w:val="24"/>
        </w:rPr>
        <w:t>in</w:t>
      </w:r>
      <w:r>
        <w:rPr>
          <w:spacing w:val="-8"/>
          <w:sz w:val="24"/>
        </w:rPr>
        <w:t> </w:t>
      </w:r>
      <w:r>
        <w:rPr>
          <w:sz w:val="24"/>
        </w:rPr>
        <w:t>any</w:t>
      </w:r>
      <w:r>
        <w:rPr>
          <w:spacing w:val="-8"/>
          <w:sz w:val="24"/>
        </w:rPr>
        <w:t> </w:t>
      </w:r>
      <w:r>
        <w:rPr>
          <w:sz w:val="24"/>
        </w:rPr>
        <w:t>zone,</w:t>
      </w:r>
      <w:r>
        <w:rPr>
          <w:spacing w:val="-8"/>
          <w:sz w:val="24"/>
        </w:rPr>
        <w:t> </w:t>
      </w:r>
      <w:r>
        <w:rPr>
          <w:sz w:val="24"/>
        </w:rPr>
        <w:t>in</w:t>
      </w:r>
      <w:r>
        <w:rPr>
          <w:spacing w:val="-8"/>
          <w:sz w:val="24"/>
        </w:rPr>
        <w:t> </w:t>
      </w:r>
      <w:r>
        <w:rPr>
          <w:sz w:val="24"/>
        </w:rPr>
        <w:t>addition</w:t>
      </w:r>
      <w:r>
        <w:rPr>
          <w:spacing w:val="-8"/>
          <w:sz w:val="24"/>
        </w:rPr>
        <w:t> </w:t>
      </w:r>
      <w:r>
        <w:rPr>
          <w:sz w:val="24"/>
        </w:rPr>
        <w:t>to</w:t>
      </w:r>
      <w:r>
        <w:rPr>
          <w:spacing w:val="-8"/>
          <w:sz w:val="24"/>
        </w:rPr>
        <w:t> </w:t>
      </w:r>
      <w:r>
        <w:rPr>
          <w:sz w:val="24"/>
        </w:rPr>
        <w:t>residential</w:t>
      </w:r>
      <w:r>
        <w:rPr>
          <w:spacing w:val="-8"/>
          <w:sz w:val="24"/>
        </w:rPr>
        <w:t> </w:t>
      </w:r>
      <w:r>
        <w:rPr>
          <w:sz w:val="24"/>
        </w:rPr>
        <w:t>uses,</w:t>
      </w:r>
      <w:r>
        <w:rPr>
          <w:spacing w:val="-8"/>
          <w:sz w:val="24"/>
        </w:rPr>
        <w:t> </w:t>
      </w:r>
      <w:r>
        <w:rPr>
          <w:sz w:val="24"/>
        </w:rPr>
        <w:t>all</w:t>
      </w:r>
      <w:r>
        <w:rPr>
          <w:spacing w:val="-8"/>
          <w:sz w:val="24"/>
        </w:rPr>
        <w:t> </w:t>
      </w:r>
      <w:r>
        <w:rPr>
          <w:sz w:val="24"/>
        </w:rPr>
        <w:t>the</w:t>
      </w:r>
      <w:r>
        <w:rPr>
          <w:spacing w:val="-11"/>
          <w:sz w:val="24"/>
        </w:rPr>
        <w:t> </w:t>
      </w:r>
      <w:r>
        <w:rPr>
          <w:sz w:val="24"/>
        </w:rPr>
        <w:t>uses</w:t>
      </w:r>
      <w:r>
        <w:rPr>
          <w:spacing w:val="-8"/>
          <w:sz w:val="24"/>
        </w:rPr>
        <w:t> </w:t>
      </w:r>
      <w:r>
        <w:rPr>
          <w:sz w:val="24"/>
        </w:rPr>
        <w:t>permitted for the original zone shall be permitted. For industrial uses, the </w:t>
      </w:r>
      <w:r>
        <w:rPr>
          <w:sz w:val="24"/>
        </w:rPr>
        <w:t>segregating distance shall be maintained from the existing industrial unit</w:t>
      </w:r>
    </w:p>
    <w:p>
      <w:pPr>
        <w:pStyle w:val="ListParagraph"/>
        <w:numPr>
          <w:ilvl w:val="1"/>
          <w:numId w:val="95"/>
        </w:numPr>
        <w:tabs>
          <w:tab w:pos="1475" w:val="left" w:leader="none"/>
        </w:tabs>
        <w:spacing w:line="276" w:lineRule="auto" w:before="235" w:after="0"/>
        <w:ind w:left="1080" w:right="1080" w:firstLine="0"/>
        <w:jc w:val="both"/>
        <w:rPr>
          <w:sz w:val="22"/>
        </w:rPr>
      </w:pPr>
      <w:r>
        <w:rPr>
          <w:sz w:val="24"/>
        </w:rPr>
        <w:t>Any plot/layout having area excluding area under DP Road/ prescribed RL</w:t>
      </w:r>
      <w:r>
        <w:rPr>
          <w:spacing w:val="-7"/>
          <w:sz w:val="24"/>
        </w:rPr>
        <w:t> </w:t>
      </w:r>
      <w:r>
        <w:rPr>
          <w:sz w:val="24"/>
        </w:rPr>
        <w:t>as</w:t>
      </w:r>
      <w:r>
        <w:rPr>
          <w:spacing w:val="-7"/>
          <w:sz w:val="24"/>
        </w:rPr>
        <w:t> </w:t>
      </w:r>
      <w:r>
        <w:rPr>
          <w:sz w:val="24"/>
        </w:rPr>
        <w:t>per</w:t>
      </w:r>
      <w:r>
        <w:rPr>
          <w:spacing w:val="-7"/>
          <w:sz w:val="24"/>
        </w:rPr>
        <w:t> </w:t>
      </w:r>
      <w:r>
        <w:rPr>
          <w:sz w:val="24"/>
        </w:rPr>
        <w:t>MMC</w:t>
      </w:r>
      <w:r>
        <w:rPr>
          <w:spacing w:val="-7"/>
          <w:sz w:val="24"/>
        </w:rPr>
        <w:t> </w:t>
      </w:r>
      <w:r>
        <w:rPr>
          <w:sz w:val="24"/>
        </w:rPr>
        <w:t>Act</w:t>
      </w:r>
      <w:r>
        <w:rPr>
          <w:spacing w:val="40"/>
          <w:sz w:val="24"/>
        </w:rPr>
        <w:t> </w:t>
      </w:r>
      <w:r>
        <w:rPr>
          <w:sz w:val="24"/>
        </w:rPr>
        <w:t>may</w:t>
      </w:r>
      <w:r>
        <w:rPr>
          <w:spacing w:val="-7"/>
          <w:sz w:val="24"/>
        </w:rPr>
        <w:t> </w:t>
      </w:r>
      <w:r>
        <w:rPr>
          <w:sz w:val="24"/>
        </w:rPr>
        <w:t>be</w:t>
      </w:r>
      <w:r>
        <w:rPr>
          <w:spacing w:val="-7"/>
          <w:sz w:val="24"/>
        </w:rPr>
        <w:t> </w:t>
      </w:r>
      <w:r>
        <w:rPr>
          <w:sz w:val="24"/>
        </w:rPr>
        <w:t>allowed</w:t>
      </w:r>
      <w:r>
        <w:rPr>
          <w:spacing w:val="-7"/>
          <w:sz w:val="24"/>
        </w:rPr>
        <w:t> </w:t>
      </w:r>
      <w:r>
        <w:rPr>
          <w:sz w:val="24"/>
        </w:rPr>
        <w:t>to</w:t>
      </w:r>
      <w:r>
        <w:rPr>
          <w:spacing w:val="-7"/>
          <w:sz w:val="24"/>
        </w:rPr>
        <w:t> </w:t>
      </w:r>
      <w:r>
        <w:rPr>
          <w:sz w:val="24"/>
        </w:rPr>
        <w:t>be</w:t>
      </w:r>
      <w:r>
        <w:rPr>
          <w:spacing w:val="-7"/>
          <w:sz w:val="24"/>
        </w:rPr>
        <w:t> </w:t>
      </w:r>
      <w:r>
        <w:rPr>
          <w:sz w:val="24"/>
        </w:rPr>
        <w:t>developed</w:t>
      </w:r>
      <w:r>
        <w:rPr>
          <w:spacing w:val="-7"/>
          <w:sz w:val="24"/>
        </w:rPr>
        <w:t> </w:t>
      </w:r>
      <w:r>
        <w:rPr>
          <w:sz w:val="24"/>
        </w:rPr>
        <w:t>under</w:t>
      </w:r>
      <w:r>
        <w:rPr>
          <w:spacing w:val="-7"/>
          <w:sz w:val="24"/>
        </w:rPr>
        <w:t> </w:t>
      </w:r>
      <w:r>
        <w:rPr>
          <w:sz w:val="24"/>
        </w:rPr>
        <w:t>this</w:t>
      </w:r>
      <w:r>
        <w:rPr>
          <w:spacing w:val="-7"/>
          <w:sz w:val="24"/>
        </w:rPr>
        <w:t> </w:t>
      </w:r>
      <w:r>
        <w:rPr>
          <w:sz w:val="24"/>
        </w:rPr>
        <w:t>Regulation</w:t>
      </w:r>
      <w:r>
        <w:rPr>
          <w:spacing w:val="-6"/>
          <w:sz w:val="24"/>
        </w:rPr>
        <w:t> </w:t>
      </w:r>
      <w:r>
        <w:rPr>
          <w:sz w:val="24"/>
        </w:rPr>
        <w:t>by insisting handing over of 35 % amenity of the required under Regulation No. 14(B) (c)</w:t>
      </w:r>
      <w:r>
        <w:rPr>
          <w:sz w:val="22"/>
        </w:rPr>
        <w:t>.</w:t>
      </w:r>
    </w:p>
    <w:p>
      <w:pPr>
        <w:pStyle w:val="ListParagraph"/>
        <w:numPr>
          <w:ilvl w:val="1"/>
          <w:numId w:val="95"/>
        </w:numPr>
        <w:tabs>
          <w:tab w:pos="1526" w:val="left" w:leader="none"/>
        </w:tabs>
        <w:spacing w:line="276" w:lineRule="auto" w:before="240" w:after="0"/>
        <w:ind w:left="1080" w:right="1080" w:firstLine="0"/>
        <w:jc w:val="both"/>
        <w:rPr>
          <w:sz w:val="24"/>
        </w:rPr>
      </w:pPr>
      <w:r>
        <w:rPr>
          <w:sz w:val="24"/>
        </w:rPr>
        <w:t>Requirement</w:t>
      </w:r>
      <w:r>
        <w:rPr>
          <w:spacing w:val="-3"/>
          <w:sz w:val="24"/>
        </w:rPr>
        <w:t> </w:t>
      </w:r>
      <w:r>
        <w:rPr>
          <w:sz w:val="24"/>
        </w:rPr>
        <w:t>of</w:t>
      </w:r>
      <w:r>
        <w:rPr>
          <w:spacing w:val="-1"/>
          <w:sz w:val="24"/>
        </w:rPr>
        <w:t> </w:t>
      </w:r>
      <w:r>
        <w:rPr>
          <w:sz w:val="24"/>
        </w:rPr>
        <w:t>LOS</w:t>
      </w:r>
      <w:r>
        <w:rPr>
          <w:spacing w:val="-3"/>
          <w:sz w:val="24"/>
        </w:rPr>
        <w:t> </w:t>
      </w:r>
      <w:r>
        <w:rPr>
          <w:sz w:val="24"/>
        </w:rPr>
        <w:t>as</w:t>
      </w:r>
      <w:r>
        <w:rPr>
          <w:spacing w:val="-3"/>
          <w:sz w:val="24"/>
        </w:rPr>
        <w:t> </w:t>
      </w:r>
      <w:r>
        <w:rPr>
          <w:sz w:val="24"/>
        </w:rPr>
        <w:t>per</w:t>
      </w:r>
      <w:r>
        <w:rPr>
          <w:spacing w:val="-3"/>
          <w:sz w:val="24"/>
        </w:rPr>
        <w:t> </w:t>
      </w:r>
      <w:r>
        <w:rPr>
          <w:sz w:val="24"/>
        </w:rPr>
        <w:t>the</w:t>
      </w:r>
      <w:r>
        <w:rPr>
          <w:spacing w:val="-3"/>
          <w:sz w:val="24"/>
        </w:rPr>
        <w:t> </w:t>
      </w:r>
      <w:r>
        <w:rPr>
          <w:sz w:val="24"/>
        </w:rPr>
        <w:t>provisions</w:t>
      </w:r>
      <w:r>
        <w:rPr>
          <w:spacing w:val="-3"/>
          <w:sz w:val="24"/>
        </w:rPr>
        <w:t> </w:t>
      </w:r>
      <w:r>
        <w:rPr>
          <w:sz w:val="24"/>
        </w:rPr>
        <w:t>of</w:t>
      </w:r>
      <w:r>
        <w:rPr>
          <w:spacing w:val="-3"/>
          <w:sz w:val="24"/>
        </w:rPr>
        <w:t> </w:t>
      </w:r>
      <w:r>
        <w:rPr>
          <w:sz w:val="24"/>
        </w:rPr>
        <w:t>Regulation No.27</w:t>
      </w:r>
      <w:r>
        <w:rPr>
          <w:spacing w:val="-3"/>
          <w:sz w:val="24"/>
        </w:rPr>
        <w:t> </w:t>
      </w:r>
      <w:r>
        <w:rPr>
          <w:sz w:val="24"/>
        </w:rPr>
        <w:t>(1)(a)</w:t>
      </w:r>
      <w:r>
        <w:rPr>
          <w:spacing w:val="-3"/>
          <w:sz w:val="24"/>
        </w:rPr>
        <w:t> </w:t>
      </w:r>
      <w:r>
        <w:rPr>
          <w:sz w:val="24"/>
        </w:rPr>
        <w:t>shall be insisted.</w:t>
      </w:r>
    </w:p>
    <w:p>
      <w:pPr>
        <w:pStyle w:val="ListParagraph"/>
        <w:numPr>
          <w:ilvl w:val="1"/>
          <w:numId w:val="95"/>
        </w:numPr>
        <w:tabs>
          <w:tab w:pos="1372" w:val="left" w:leader="none"/>
        </w:tabs>
        <w:spacing w:line="240" w:lineRule="auto" w:before="243" w:after="0"/>
        <w:ind w:left="1080" w:right="1080" w:firstLine="0"/>
        <w:jc w:val="both"/>
        <w:rPr>
          <w:sz w:val="24"/>
        </w:rPr>
      </w:pPr>
      <w:r>
        <w:rPr>
          <w:sz w:val="24"/>
        </w:rPr>
        <w:t>In</w:t>
      </w:r>
      <w:r>
        <w:rPr>
          <w:spacing w:val="-18"/>
          <w:sz w:val="24"/>
        </w:rPr>
        <w:t> </w:t>
      </w:r>
      <w:r>
        <w:rPr>
          <w:sz w:val="24"/>
        </w:rPr>
        <w:t>the</w:t>
      </w:r>
      <w:r>
        <w:rPr>
          <w:spacing w:val="-18"/>
          <w:sz w:val="24"/>
        </w:rPr>
        <w:t> </w:t>
      </w:r>
      <w:r>
        <w:rPr>
          <w:sz w:val="24"/>
        </w:rPr>
        <w:t>event</w:t>
      </w:r>
      <w:r>
        <w:rPr>
          <w:spacing w:val="-18"/>
          <w:sz w:val="24"/>
        </w:rPr>
        <w:t> </w:t>
      </w:r>
      <w:r>
        <w:rPr>
          <w:sz w:val="24"/>
        </w:rPr>
        <w:t>of</w:t>
      </w:r>
      <w:r>
        <w:rPr>
          <w:spacing w:val="-18"/>
          <w:sz w:val="24"/>
        </w:rPr>
        <w:t> </w:t>
      </w:r>
      <w:r>
        <w:rPr>
          <w:sz w:val="24"/>
        </w:rPr>
        <w:t>DP</w:t>
      </w:r>
      <w:r>
        <w:rPr>
          <w:spacing w:val="-18"/>
          <w:sz w:val="24"/>
        </w:rPr>
        <w:t> </w:t>
      </w:r>
      <w:r>
        <w:rPr>
          <w:sz w:val="24"/>
        </w:rPr>
        <w:t>having</w:t>
      </w:r>
      <w:r>
        <w:rPr>
          <w:spacing w:val="-18"/>
          <w:sz w:val="24"/>
        </w:rPr>
        <w:t> </w:t>
      </w:r>
      <w:r>
        <w:rPr>
          <w:sz w:val="24"/>
        </w:rPr>
        <w:t>provided</w:t>
      </w:r>
      <w:r>
        <w:rPr>
          <w:spacing w:val="-17"/>
          <w:sz w:val="24"/>
        </w:rPr>
        <w:t> </w:t>
      </w:r>
      <w:r>
        <w:rPr>
          <w:sz w:val="24"/>
        </w:rPr>
        <w:t>reservation/reservations</w:t>
      </w:r>
      <w:r>
        <w:rPr>
          <w:spacing w:val="-17"/>
          <w:sz w:val="24"/>
        </w:rPr>
        <w:t> </w:t>
      </w:r>
      <w:r>
        <w:rPr>
          <w:sz w:val="24"/>
        </w:rPr>
        <w:t>on</w:t>
      </w:r>
      <w:r>
        <w:rPr>
          <w:spacing w:val="-18"/>
          <w:sz w:val="24"/>
        </w:rPr>
        <w:t> </w:t>
      </w:r>
      <w:r>
        <w:rPr>
          <w:sz w:val="24"/>
        </w:rPr>
        <w:t>a</w:t>
      </w:r>
      <w:r>
        <w:rPr>
          <w:spacing w:val="-18"/>
          <w:sz w:val="24"/>
        </w:rPr>
        <w:t> </w:t>
      </w:r>
      <w:r>
        <w:rPr>
          <w:sz w:val="24"/>
        </w:rPr>
        <w:t>plot</w:t>
      </w:r>
      <w:r>
        <w:rPr>
          <w:spacing w:val="-17"/>
          <w:sz w:val="24"/>
        </w:rPr>
        <w:t> </w:t>
      </w:r>
      <w:r>
        <w:rPr>
          <w:sz w:val="24"/>
        </w:rPr>
        <w:t>where development under Regulation No 33(10) is proposed, the following shall </w:t>
      </w:r>
      <w:r>
        <w:rPr>
          <w:spacing w:val="-2"/>
          <w:sz w:val="24"/>
        </w:rPr>
        <w:t>apply:</w:t>
      </w:r>
    </w:p>
    <w:p>
      <w:pPr>
        <w:pStyle w:val="ListParagraph"/>
        <w:numPr>
          <w:ilvl w:val="2"/>
          <w:numId w:val="95"/>
        </w:numPr>
        <w:tabs>
          <w:tab w:pos="1362" w:val="left" w:leader="none"/>
        </w:tabs>
        <w:spacing w:line="240" w:lineRule="auto" w:before="242" w:after="0"/>
        <w:ind w:left="1080" w:right="1079" w:firstLine="0"/>
        <w:jc w:val="both"/>
        <w:rPr>
          <w:sz w:val="24"/>
        </w:rPr>
      </w:pPr>
      <w:r>
        <w:rPr>
          <w:sz w:val="24"/>
        </w:rPr>
        <w:t>If</w:t>
      </w:r>
      <w:r>
        <w:rPr>
          <w:spacing w:val="-12"/>
          <w:sz w:val="24"/>
        </w:rPr>
        <w:t> </w:t>
      </w:r>
      <w:r>
        <w:rPr>
          <w:sz w:val="24"/>
        </w:rPr>
        <w:t>the</w:t>
      </w:r>
      <w:r>
        <w:rPr>
          <w:spacing w:val="-12"/>
          <w:sz w:val="24"/>
        </w:rPr>
        <w:t> </w:t>
      </w:r>
      <w:r>
        <w:rPr>
          <w:sz w:val="24"/>
        </w:rPr>
        <w:t>area</w:t>
      </w:r>
      <w:r>
        <w:rPr>
          <w:spacing w:val="-12"/>
          <w:sz w:val="24"/>
        </w:rPr>
        <w:t> </w:t>
      </w:r>
      <w:r>
        <w:rPr>
          <w:sz w:val="24"/>
        </w:rPr>
        <w:t>under</w:t>
      </w:r>
      <w:r>
        <w:rPr>
          <w:spacing w:val="-12"/>
          <w:sz w:val="24"/>
        </w:rPr>
        <w:t> </w:t>
      </w:r>
      <w:r>
        <w:rPr>
          <w:sz w:val="24"/>
        </w:rPr>
        <w:t>DP</w:t>
      </w:r>
      <w:r>
        <w:rPr>
          <w:spacing w:val="-14"/>
          <w:sz w:val="24"/>
        </w:rPr>
        <w:t> </w:t>
      </w:r>
      <w:r>
        <w:rPr>
          <w:sz w:val="24"/>
        </w:rPr>
        <w:t>reservation</w:t>
      </w:r>
      <w:r>
        <w:rPr>
          <w:spacing w:val="-12"/>
          <w:sz w:val="24"/>
        </w:rPr>
        <w:t> </w:t>
      </w:r>
      <w:r>
        <w:rPr>
          <w:sz w:val="24"/>
        </w:rPr>
        <w:t>to</w:t>
      </w:r>
      <w:r>
        <w:rPr>
          <w:spacing w:val="-12"/>
          <w:sz w:val="24"/>
        </w:rPr>
        <w:t> </w:t>
      </w:r>
      <w:r>
        <w:rPr>
          <w:sz w:val="24"/>
        </w:rPr>
        <w:t>be</w:t>
      </w:r>
      <w:r>
        <w:rPr>
          <w:spacing w:val="-12"/>
          <w:sz w:val="24"/>
        </w:rPr>
        <w:t> </w:t>
      </w:r>
      <w:r>
        <w:rPr>
          <w:sz w:val="24"/>
        </w:rPr>
        <w:t>handed</w:t>
      </w:r>
      <w:r>
        <w:rPr>
          <w:spacing w:val="-12"/>
          <w:sz w:val="24"/>
        </w:rPr>
        <w:t> </w:t>
      </w:r>
      <w:r>
        <w:rPr>
          <w:sz w:val="24"/>
        </w:rPr>
        <w:t>over</w:t>
      </w:r>
      <w:r>
        <w:rPr>
          <w:spacing w:val="-12"/>
          <w:sz w:val="24"/>
        </w:rPr>
        <w:t> </w:t>
      </w:r>
      <w:r>
        <w:rPr>
          <w:sz w:val="24"/>
        </w:rPr>
        <w:t>to</w:t>
      </w:r>
      <w:r>
        <w:rPr>
          <w:spacing w:val="-12"/>
          <w:sz w:val="24"/>
        </w:rPr>
        <w:t> </w:t>
      </w:r>
      <w:r>
        <w:rPr>
          <w:sz w:val="24"/>
        </w:rPr>
        <w:t>MCGM</w:t>
      </w:r>
      <w:r>
        <w:rPr>
          <w:spacing w:val="-12"/>
          <w:sz w:val="24"/>
        </w:rPr>
        <w:t> </w:t>
      </w:r>
      <w:r>
        <w:rPr>
          <w:sz w:val="24"/>
        </w:rPr>
        <w:t>(excluding</w:t>
      </w:r>
      <w:r>
        <w:rPr>
          <w:spacing w:val="-12"/>
          <w:sz w:val="24"/>
        </w:rPr>
        <w:t> </w:t>
      </w:r>
      <w:r>
        <w:rPr>
          <w:sz w:val="24"/>
        </w:rPr>
        <w:t>the areas</w:t>
      </w:r>
      <w:r>
        <w:rPr>
          <w:spacing w:val="-15"/>
          <w:sz w:val="24"/>
        </w:rPr>
        <w:t> </w:t>
      </w:r>
      <w:r>
        <w:rPr>
          <w:sz w:val="24"/>
        </w:rPr>
        <w:t>under</w:t>
      </w:r>
      <w:r>
        <w:rPr>
          <w:spacing w:val="-15"/>
          <w:sz w:val="24"/>
        </w:rPr>
        <w:t> </w:t>
      </w:r>
      <w:r>
        <w:rPr>
          <w:sz w:val="24"/>
        </w:rPr>
        <w:t>D</w:t>
      </w:r>
      <w:r>
        <w:rPr>
          <w:spacing w:val="-15"/>
          <w:sz w:val="24"/>
        </w:rPr>
        <w:t> </w:t>
      </w:r>
      <w:r>
        <w:rPr>
          <w:sz w:val="24"/>
        </w:rPr>
        <w:t>P</w:t>
      </w:r>
      <w:r>
        <w:rPr>
          <w:spacing w:val="-15"/>
          <w:sz w:val="24"/>
        </w:rPr>
        <w:t> </w:t>
      </w:r>
      <w:r>
        <w:rPr>
          <w:sz w:val="24"/>
        </w:rPr>
        <w:t>roads/</w:t>
      </w:r>
      <w:r>
        <w:rPr>
          <w:spacing w:val="-15"/>
          <w:sz w:val="24"/>
        </w:rPr>
        <w:t> </w:t>
      </w:r>
      <w:r>
        <w:rPr>
          <w:sz w:val="24"/>
        </w:rPr>
        <w:t>road</w:t>
      </w:r>
      <w:r>
        <w:rPr>
          <w:spacing w:val="-15"/>
          <w:sz w:val="24"/>
        </w:rPr>
        <w:t> </w:t>
      </w:r>
      <w:r>
        <w:rPr>
          <w:sz w:val="24"/>
        </w:rPr>
        <w:t>setback)</w:t>
      </w:r>
      <w:r>
        <w:rPr>
          <w:spacing w:val="-15"/>
          <w:sz w:val="24"/>
        </w:rPr>
        <w:t> </w:t>
      </w:r>
      <w:r>
        <w:rPr>
          <w:sz w:val="24"/>
        </w:rPr>
        <w:t>is</w:t>
      </w:r>
      <w:r>
        <w:rPr>
          <w:spacing w:val="-15"/>
          <w:sz w:val="24"/>
        </w:rPr>
        <w:t> </w:t>
      </w:r>
      <w:r>
        <w:rPr>
          <w:sz w:val="24"/>
        </w:rPr>
        <w:t>less</w:t>
      </w:r>
      <w:r>
        <w:rPr>
          <w:spacing w:val="-15"/>
          <w:sz w:val="24"/>
        </w:rPr>
        <w:t> </w:t>
      </w:r>
      <w:r>
        <w:rPr>
          <w:sz w:val="24"/>
        </w:rPr>
        <w:t>than</w:t>
      </w:r>
      <w:r>
        <w:rPr>
          <w:spacing w:val="-15"/>
          <w:sz w:val="24"/>
        </w:rPr>
        <w:t> </w:t>
      </w:r>
      <w:r>
        <w:rPr>
          <w:sz w:val="24"/>
        </w:rPr>
        <w:t>the</w:t>
      </w:r>
      <w:r>
        <w:rPr>
          <w:spacing w:val="-15"/>
          <w:sz w:val="24"/>
        </w:rPr>
        <w:t> </w:t>
      </w:r>
      <w:r>
        <w:rPr>
          <w:sz w:val="24"/>
        </w:rPr>
        <w:t>land</w:t>
      </w:r>
      <w:r>
        <w:rPr>
          <w:spacing w:val="-15"/>
          <w:sz w:val="24"/>
        </w:rPr>
        <w:t> </w:t>
      </w:r>
      <w:r>
        <w:rPr>
          <w:sz w:val="24"/>
        </w:rPr>
        <w:t>component</w:t>
      </w:r>
      <w:r>
        <w:rPr>
          <w:spacing w:val="-15"/>
          <w:sz w:val="24"/>
        </w:rPr>
        <w:t> </w:t>
      </w:r>
      <w:r>
        <w:rPr>
          <w:sz w:val="24"/>
        </w:rPr>
        <w:t>of</w:t>
      </w:r>
      <w:r>
        <w:rPr>
          <w:spacing w:val="-15"/>
          <w:sz w:val="24"/>
        </w:rPr>
        <w:t> </w:t>
      </w:r>
      <w:r>
        <w:rPr>
          <w:sz w:val="24"/>
        </w:rPr>
        <w:t>built up</w:t>
      </w:r>
      <w:r>
        <w:rPr>
          <w:spacing w:val="-20"/>
          <w:sz w:val="24"/>
        </w:rPr>
        <w:t> </w:t>
      </w:r>
      <w:r>
        <w:rPr>
          <w:sz w:val="24"/>
        </w:rPr>
        <w:t>amenity</w:t>
      </w:r>
      <w:r>
        <w:rPr>
          <w:spacing w:val="-19"/>
          <w:sz w:val="24"/>
        </w:rPr>
        <w:t> </w:t>
      </w:r>
      <w:r>
        <w:rPr>
          <w:sz w:val="24"/>
        </w:rPr>
        <w:t>required</w:t>
      </w:r>
      <w:r>
        <w:rPr>
          <w:spacing w:val="-19"/>
          <w:sz w:val="24"/>
        </w:rPr>
        <w:t> </w:t>
      </w:r>
      <w:r>
        <w:rPr>
          <w:sz w:val="24"/>
        </w:rPr>
        <w:t>as</w:t>
      </w:r>
      <w:r>
        <w:rPr>
          <w:spacing w:val="-19"/>
          <w:sz w:val="24"/>
        </w:rPr>
        <w:t> </w:t>
      </w:r>
      <w:r>
        <w:rPr>
          <w:sz w:val="24"/>
        </w:rPr>
        <w:t>per</w:t>
      </w:r>
      <w:r>
        <w:rPr>
          <w:spacing w:val="-19"/>
          <w:sz w:val="24"/>
        </w:rPr>
        <w:t> </w:t>
      </w:r>
      <w:r>
        <w:rPr>
          <w:sz w:val="24"/>
        </w:rPr>
        <w:t>this</w:t>
      </w:r>
      <w:r>
        <w:rPr>
          <w:spacing w:val="-20"/>
          <w:sz w:val="24"/>
        </w:rPr>
        <w:t> </w:t>
      </w:r>
      <w:r>
        <w:rPr>
          <w:sz w:val="24"/>
        </w:rPr>
        <w:t>Regulation,</w:t>
      </w:r>
      <w:r>
        <w:rPr>
          <w:spacing w:val="-19"/>
          <w:sz w:val="24"/>
        </w:rPr>
        <w:t> </w:t>
      </w:r>
      <w:r>
        <w:rPr>
          <w:sz w:val="24"/>
        </w:rPr>
        <w:t>only</w:t>
      </w:r>
      <w:r>
        <w:rPr>
          <w:spacing w:val="-19"/>
          <w:sz w:val="24"/>
        </w:rPr>
        <w:t> </w:t>
      </w:r>
      <w:r>
        <w:rPr>
          <w:sz w:val="24"/>
        </w:rPr>
        <w:t>the</w:t>
      </w:r>
      <w:r>
        <w:rPr>
          <w:spacing w:val="-19"/>
          <w:sz w:val="24"/>
        </w:rPr>
        <w:t> </w:t>
      </w:r>
      <w:r>
        <w:rPr>
          <w:sz w:val="24"/>
        </w:rPr>
        <w:t>additional</w:t>
      </w:r>
      <w:r>
        <w:rPr>
          <w:spacing w:val="-19"/>
          <w:sz w:val="24"/>
        </w:rPr>
        <w:t> </w:t>
      </w:r>
      <w:r>
        <w:rPr>
          <w:sz w:val="24"/>
        </w:rPr>
        <w:t>land</w:t>
      </w:r>
      <w:r>
        <w:rPr>
          <w:spacing w:val="-20"/>
          <w:sz w:val="24"/>
        </w:rPr>
        <w:t> </w:t>
      </w:r>
      <w:r>
        <w:rPr>
          <w:sz w:val="24"/>
        </w:rPr>
        <w:t>area</w:t>
      </w:r>
      <w:r>
        <w:rPr>
          <w:spacing w:val="-19"/>
          <w:sz w:val="24"/>
        </w:rPr>
        <w:t> </w:t>
      </w:r>
      <w:r>
        <w:rPr>
          <w:sz w:val="24"/>
        </w:rPr>
        <w:t>shall be provided for amenity.</w:t>
      </w:r>
    </w:p>
    <w:p>
      <w:pPr>
        <w:pStyle w:val="ListParagraph"/>
        <w:numPr>
          <w:ilvl w:val="2"/>
          <w:numId w:val="95"/>
        </w:numPr>
        <w:tabs>
          <w:tab w:pos="1362" w:val="left" w:leader="none"/>
        </w:tabs>
        <w:spacing w:line="240" w:lineRule="auto" w:before="239" w:after="0"/>
        <w:ind w:left="1080" w:right="1081" w:firstLine="0"/>
        <w:jc w:val="both"/>
        <w:rPr>
          <w:sz w:val="24"/>
        </w:rPr>
      </w:pPr>
      <w:r>
        <w:rPr>
          <w:sz w:val="24"/>
        </w:rPr>
        <w:t>If the area under DP reservation to be handed over to MCGM, (excluding the areas under DP roads/ road setback), is more than the land component of built up amenity required as per this Regulation, then the provision for amenity is not necessary.</w:t>
      </w:r>
    </w:p>
    <w:p>
      <w:pPr>
        <w:pStyle w:val="ListParagraph"/>
        <w:numPr>
          <w:ilvl w:val="0"/>
          <w:numId w:val="96"/>
        </w:numPr>
        <w:tabs>
          <w:tab w:pos="1367" w:val="left" w:leader="none"/>
        </w:tabs>
        <w:spacing w:line="240" w:lineRule="auto" w:before="242" w:after="0"/>
        <w:ind w:left="1080" w:right="1256" w:firstLine="0"/>
        <w:jc w:val="both"/>
        <w:rPr>
          <w:sz w:val="24"/>
        </w:rPr>
      </w:pPr>
      <w:r>
        <w:rPr>
          <w:sz w:val="24"/>
        </w:rPr>
        <w:t>The</w:t>
      </w:r>
      <w:r>
        <w:rPr>
          <w:spacing w:val="-14"/>
          <w:sz w:val="24"/>
        </w:rPr>
        <w:t> </w:t>
      </w:r>
      <w:r>
        <w:rPr>
          <w:sz w:val="24"/>
        </w:rPr>
        <w:t>owner</w:t>
      </w:r>
      <w:r>
        <w:rPr>
          <w:spacing w:val="-14"/>
          <w:sz w:val="24"/>
        </w:rPr>
        <w:t> </w:t>
      </w:r>
      <w:r>
        <w:rPr>
          <w:sz w:val="24"/>
        </w:rPr>
        <w:t>shall</w:t>
      </w:r>
      <w:r>
        <w:rPr>
          <w:spacing w:val="-14"/>
          <w:sz w:val="24"/>
        </w:rPr>
        <w:t> </w:t>
      </w:r>
      <w:r>
        <w:rPr>
          <w:sz w:val="24"/>
        </w:rPr>
        <w:t>give</w:t>
      </w:r>
      <w:r>
        <w:rPr>
          <w:spacing w:val="-14"/>
          <w:sz w:val="24"/>
        </w:rPr>
        <w:t> </w:t>
      </w:r>
      <w:r>
        <w:rPr>
          <w:sz w:val="24"/>
        </w:rPr>
        <w:t>advanced</w:t>
      </w:r>
      <w:r>
        <w:rPr>
          <w:spacing w:val="-14"/>
          <w:sz w:val="24"/>
        </w:rPr>
        <w:t> </w:t>
      </w:r>
      <w:r>
        <w:rPr>
          <w:sz w:val="24"/>
        </w:rPr>
        <w:t>possession</w:t>
      </w:r>
      <w:r>
        <w:rPr>
          <w:spacing w:val="-14"/>
          <w:sz w:val="24"/>
        </w:rPr>
        <w:t> </w:t>
      </w:r>
      <w:r>
        <w:rPr>
          <w:sz w:val="24"/>
        </w:rPr>
        <w:t>of</w:t>
      </w:r>
      <w:r>
        <w:rPr>
          <w:spacing w:val="-14"/>
          <w:sz w:val="24"/>
        </w:rPr>
        <w:t> </w:t>
      </w:r>
      <w:r>
        <w:rPr>
          <w:sz w:val="24"/>
        </w:rPr>
        <w:t>the</w:t>
      </w:r>
      <w:r>
        <w:rPr>
          <w:spacing w:val="-14"/>
          <w:sz w:val="24"/>
        </w:rPr>
        <w:t> </w:t>
      </w:r>
      <w:r>
        <w:rPr>
          <w:sz w:val="24"/>
        </w:rPr>
        <w:t>land</w:t>
      </w:r>
      <w:r>
        <w:rPr>
          <w:spacing w:val="-14"/>
          <w:sz w:val="24"/>
        </w:rPr>
        <w:t> </w:t>
      </w:r>
      <w:r>
        <w:rPr>
          <w:sz w:val="24"/>
        </w:rPr>
        <w:t>wherever</w:t>
      </w:r>
      <w:r>
        <w:rPr>
          <w:spacing w:val="-14"/>
          <w:sz w:val="24"/>
        </w:rPr>
        <w:t> </w:t>
      </w:r>
      <w:r>
        <w:rPr>
          <w:sz w:val="24"/>
        </w:rPr>
        <w:t>applicable (to be handed over) to MCGM/Appropriate Authority at the time of seeking Approval</w:t>
      </w:r>
      <w:r>
        <w:rPr>
          <w:spacing w:val="-10"/>
          <w:sz w:val="24"/>
        </w:rPr>
        <w:t> </w:t>
      </w:r>
      <w:r>
        <w:rPr>
          <w:sz w:val="24"/>
        </w:rPr>
        <w:t>for</w:t>
      </w:r>
      <w:r>
        <w:rPr>
          <w:spacing w:val="-10"/>
          <w:sz w:val="24"/>
        </w:rPr>
        <w:t> </w:t>
      </w:r>
      <w:r>
        <w:rPr>
          <w:sz w:val="24"/>
        </w:rPr>
        <w:t>Development</w:t>
      </w:r>
      <w:r>
        <w:rPr>
          <w:spacing w:val="-10"/>
          <w:sz w:val="24"/>
        </w:rPr>
        <w:t> </w:t>
      </w:r>
      <w:r>
        <w:rPr>
          <w:sz w:val="24"/>
        </w:rPr>
        <w:t>of</w:t>
      </w:r>
      <w:r>
        <w:rPr>
          <w:spacing w:val="-10"/>
          <w:sz w:val="24"/>
        </w:rPr>
        <w:t> </w:t>
      </w:r>
      <w:r>
        <w:rPr>
          <w:sz w:val="24"/>
        </w:rPr>
        <w:t>plot.</w:t>
      </w:r>
      <w:r>
        <w:rPr>
          <w:spacing w:val="-12"/>
          <w:sz w:val="24"/>
        </w:rPr>
        <w:t> </w:t>
      </w:r>
      <w:r>
        <w:rPr>
          <w:sz w:val="24"/>
        </w:rPr>
        <w:t>It</w:t>
      </w:r>
      <w:r>
        <w:rPr>
          <w:spacing w:val="-10"/>
          <w:sz w:val="24"/>
        </w:rPr>
        <w:t> </w:t>
      </w:r>
      <w:r>
        <w:rPr>
          <w:sz w:val="24"/>
        </w:rPr>
        <w:t>shall</w:t>
      </w:r>
      <w:r>
        <w:rPr>
          <w:spacing w:val="-12"/>
          <w:sz w:val="24"/>
        </w:rPr>
        <w:t> </w:t>
      </w:r>
      <w:r>
        <w:rPr>
          <w:sz w:val="24"/>
        </w:rPr>
        <w:t>be</w:t>
      </w:r>
      <w:r>
        <w:rPr>
          <w:spacing w:val="-10"/>
          <w:sz w:val="24"/>
        </w:rPr>
        <w:t> </w:t>
      </w:r>
      <w:r>
        <w:rPr>
          <w:sz w:val="24"/>
        </w:rPr>
        <w:t>responsibility</w:t>
      </w:r>
      <w:r>
        <w:rPr>
          <w:spacing w:val="-10"/>
          <w:sz w:val="24"/>
        </w:rPr>
        <w:t> </w:t>
      </w:r>
      <w:r>
        <w:rPr>
          <w:sz w:val="24"/>
        </w:rPr>
        <w:t>of</w:t>
      </w:r>
      <w:r>
        <w:rPr>
          <w:spacing w:val="-10"/>
          <w:sz w:val="24"/>
        </w:rPr>
        <w:t> </w:t>
      </w:r>
      <w:r>
        <w:rPr>
          <w:sz w:val="24"/>
        </w:rPr>
        <w:t>the</w:t>
      </w:r>
      <w:r>
        <w:rPr>
          <w:spacing w:val="-10"/>
          <w:sz w:val="24"/>
        </w:rPr>
        <w:t> </w:t>
      </w:r>
      <w:r>
        <w:rPr>
          <w:sz w:val="24"/>
        </w:rPr>
        <w:t>land</w:t>
      </w:r>
      <w:r>
        <w:rPr>
          <w:spacing w:val="-10"/>
          <w:sz w:val="24"/>
        </w:rPr>
        <w:t> </w:t>
      </w:r>
      <w:r>
        <w:rPr>
          <w:sz w:val="24"/>
        </w:rPr>
        <w:t>owner to clear all the encumbrances and complete the formalities towards transferring the land in the name of MCGM/Appropriate Authority. Proforma of possession receipt shall be as per Appendix V.</w:t>
      </w:r>
    </w:p>
    <w:p>
      <w:pPr>
        <w:pStyle w:val="ListParagraph"/>
        <w:numPr>
          <w:ilvl w:val="0"/>
          <w:numId w:val="96"/>
        </w:numPr>
        <w:tabs>
          <w:tab w:pos="1400" w:val="left" w:leader="none"/>
        </w:tabs>
        <w:spacing w:line="240" w:lineRule="auto" w:before="239" w:after="0"/>
        <w:ind w:left="1400" w:right="0" w:hanging="320"/>
        <w:jc w:val="both"/>
        <w:rPr>
          <w:sz w:val="24"/>
        </w:rPr>
      </w:pPr>
      <w:r>
        <w:rPr>
          <w:sz w:val="24"/>
        </w:rPr>
        <w:t>The</w:t>
      </w:r>
      <w:r>
        <w:rPr>
          <w:spacing w:val="19"/>
          <w:sz w:val="24"/>
        </w:rPr>
        <w:t> </w:t>
      </w:r>
      <w:r>
        <w:rPr>
          <w:sz w:val="24"/>
        </w:rPr>
        <w:t>area</w:t>
      </w:r>
      <w:r>
        <w:rPr>
          <w:spacing w:val="21"/>
          <w:sz w:val="24"/>
        </w:rPr>
        <w:t> </w:t>
      </w:r>
      <w:r>
        <w:rPr>
          <w:sz w:val="24"/>
        </w:rPr>
        <w:t>of</w:t>
      </w:r>
      <w:r>
        <w:rPr>
          <w:spacing w:val="21"/>
          <w:sz w:val="24"/>
        </w:rPr>
        <w:t> </w:t>
      </w:r>
      <w:r>
        <w:rPr>
          <w:sz w:val="24"/>
        </w:rPr>
        <w:t>built</w:t>
      </w:r>
      <w:r>
        <w:rPr>
          <w:spacing w:val="19"/>
          <w:sz w:val="24"/>
        </w:rPr>
        <w:t> </w:t>
      </w:r>
      <w:r>
        <w:rPr>
          <w:sz w:val="24"/>
        </w:rPr>
        <w:t>up</w:t>
      </w:r>
      <w:r>
        <w:rPr>
          <w:spacing w:val="22"/>
          <w:sz w:val="24"/>
        </w:rPr>
        <w:t> </w:t>
      </w:r>
      <w:r>
        <w:rPr>
          <w:sz w:val="24"/>
        </w:rPr>
        <w:t>amenity</w:t>
      </w:r>
      <w:r>
        <w:rPr>
          <w:spacing w:val="21"/>
          <w:sz w:val="24"/>
        </w:rPr>
        <w:t> </w:t>
      </w:r>
      <w:r>
        <w:rPr>
          <w:sz w:val="24"/>
        </w:rPr>
        <w:t>shall</w:t>
      </w:r>
      <w:r>
        <w:rPr>
          <w:spacing w:val="21"/>
          <w:sz w:val="24"/>
        </w:rPr>
        <w:t> </w:t>
      </w:r>
      <w:r>
        <w:rPr>
          <w:sz w:val="24"/>
        </w:rPr>
        <w:t>be</w:t>
      </w:r>
      <w:r>
        <w:rPr>
          <w:spacing w:val="19"/>
          <w:sz w:val="24"/>
        </w:rPr>
        <w:t> </w:t>
      </w:r>
      <w:r>
        <w:rPr>
          <w:sz w:val="24"/>
        </w:rPr>
        <w:t>counted</w:t>
      </w:r>
      <w:r>
        <w:rPr>
          <w:spacing w:val="22"/>
          <w:sz w:val="24"/>
        </w:rPr>
        <w:t> </w:t>
      </w:r>
      <w:r>
        <w:rPr>
          <w:sz w:val="24"/>
        </w:rPr>
        <w:t>in</w:t>
      </w:r>
      <w:r>
        <w:rPr>
          <w:spacing w:val="21"/>
          <w:sz w:val="24"/>
        </w:rPr>
        <w:t> </w:t>
      </w:r>
      <w:r>
        <w:rPr>
          <w:sz w:val="24"/>
        </w:rPr>
        <w:t>FSI</w:t>
      </w:r>
      <w:r>
        <w:rPr>
          <w:spacing w:val="24"/>
          <w:sz w:val="24"/>
        </w:rPr>
        <w:t> </w:t>
      </w:r>
      <w:r>
        <w:rPr>
          <w:sz w:val="24"/>
        </w:rPr>
        <w:t>initially</w:t>
      </w:r>
      <w:r>
        <w:rPr>
          <w:spacing w:val="21"/>
          <w:sz w:val="24"/>
        </w:rPr>
        <w:t> </w:t>
      </w:r>
      <w:r>
        <w:rPr>
          <w:sz w:val="24"/>
        </w:rPr>
        <w:t>and</w:t>
      </w:r>
      <w:r>
        <w:rPr>
          <w:spacing w:val="22"/>
          <w:sz w:val="24"/>
        </w:rPr>
        <w:t> </w:t>
      </w:r>
      <w:r>
        <w:rPr>
          <w:spacing w:val="-2"/>
          <w:sz w:val="24"/>
        </w:rPr>
        <w:t>after</w:t>
      </w:r>
    </w:p>
    <w:p>
      <w:pPr>
        <w:pStyle w:val="ListParagraph"/>
        <w:spacing w:after="0" w:line="240" w:lineRule="auto"/>
        <w:jc w:val="both"/>
        <w:rPr>
          <w:sz w:val="24"/>
        </w:rPr>
        <w:sectPr>
          <w:pgSz w:w="11910" w:h="16840"/>
          <w:pgMar w:header="746" w:footer="968" w:top="1180" w:bottom="1160" w:left="360" w:right="360"/>
        </w:sectPr>
      </w:pPr>
    </w:p>
    <w:p>
      <w:pPr>
        <w:pStyle w:val="BodyText"/>
        <w:spacing w:before="251"/>
        <w:ind w:left="1080" w:right="1262"/>
      </w:pPr>
      <w:r>
        <w:rPr/>
        <w:t>handing over of said built up amenity the area of built up amenity shall be allowed free of FSI. Commencement Certificate in respect of BUA in lieu of the built-up amenity handed over to MCGM can be granted only after handing over of such built up amenity or before availing zonal (basic) FSI beyond 75% of gross plot area or before seeking Occupation Certificate to any part of building/ buildings beyond 75% of admissible BUA, other than the built-up amenity.</w:t>
      </w:r>
    </w:p>
    <w:p>
      <w:pPr>
        <w:pStyle w:val="BodyText"/>
        <w:spacing w:line="276" w:lineRule="auto" w:before="239"/>
        <w:ind w:left="1363" w:right="838" w:hanging="435"/>
        <w:jc w:val="left"/>
      </w:pPr>
      <w:r>
        <w:rPr/>
        <w:t>(7)</w:t>
      </w:r>
      <w:r>
        <w:rPr>
          <w:spacing w:val="-8"/>
        </w:rPr>
        <w:t> </w:t>
      </w:r>
      <w:r>
        <w:rPr/>
        <w:t>The</w:t>
      </w:r>
      <w:r>
        <w:rPr>
          <w:spacing w:val="-6"/>
        </w:rPr>
        <w:t> </w:t>
      </w:r>
      <w:r>
        <w:rPr/>
        <w:t>developer</w:t>
      </w:r>
      <w:r>
        <w:rPr>
          <w:spacing w:val="-8"/>
        </w:rPr>
        <w:t> </w:t>
      </w:r>
      <w:r>
        <w:rPr/>
        <w:t>shall</w:t>
      </w:r>
      <w:r>
        <w:rPr>
          <w:spacing w:val="-8"/>
        </w:rPr>
        <w:t> </w:t>
      </w:r>
      <w:r>
        <w:rPr/>
        <w:t>be</w:t>
      </w:r>
      <w:r>
        <w:rPr>
          <w:spacing w:val="-8"/>
        </w:rPr>
        <w:t> </w:t>
      </w:r>
      <w:r>
        <w:rPr/>
        <w:t>entitled</w:t>
      </w:r>
      <w:r>
        <w:rPr>
          <w:spacing w:val="-8"/>
        </w:rPr>
        <w:t> </w:t>
      </w:r>
      <w:r>
        <w:rPr/>
        <w:t>to</w:t>
      </w:r>
      <w:r>
        <w:rPr>
          <w:spacing w:val="-6"/>
        </w:rPr>
        <w:t> </w:t>
      </w:r>
      <w:r>
        <w:rPr/>
        <w:t>the</w:t>
      </w:r>
      <w:r>
        <w:rPr>
          <w:spacing w:val="-6"/>
        </w:rPr>
        <w:t> </w:t>
      </w:r>
      <w:r>
        <w:rPr/>
        <w:t>cost</w:t>
      </w:r>
      <w:r>
        <w:rPr>
          <w:spacing w:val="-8"/>
        </w:rPr>
        <w:t> </w:t>
      </w:r>
      <w:r>
        <w:rPr/>
        <w:t>of</w:t>
      </w:r>
      <w:r>
        <w:rPr>
          <w:spacing w:val="-8"/>
        </w:rPr>
        <w:t> </w:t>
      </w:r>
      <w:r>
        <w:rPr/>
        <w:t>construction</w:t>
      </w:r>
      <w:r>
        <w:rPr>
          <w:spacing w:val="-6"/>
        </w:rPr>
        <w:t> </w:t>
      </w:r>
      <w:r>
        <w:rPr/>
        <w:t>of</w:t>
      </w:r>
      <w:r>
        <w:rPr>
          <w:spacing w:val="-8"/>
        </w:rPr>
        <w:t> </w:t>
      </w:r>
      <w:r>
        <w:rPr/>
        <w:t>development</w:t>
      </w:r>
      <w:r>
        <w:rPr>
          <w:spacing w:val="-8"/>
        </w:rPr>
        <w:t> </w:t>
      </w:r>
      <w:r>
        <w:rPr/>
        <w:t>of buildable amenity as per provision of regulation 17(1) Note (d).</w:t>
      </w:r>
    </w:p>
    <w:p>
      <w:pPr>
        <w:pStyle w:val="Heading6"/>
        <w:numPr>
          <w:ilvl w:val="0"/>
          <w:numId w:val="92"/>
        </w:numPr>
        <w:tabs>
          <w:tab w:pos="1458" w:val="left" w:leader="none"/>
        </w:tabs>
        <w:spacing w:line="240" w:lineRule="auto" w:before="240" w:after="0"/>
        <w:ind w:left="1458" w:right="0" w:hanging="296"/>
        <w:jc w:val="both"/>
        <w:rPr>
          <w:sz w:val="22"/>
        </w:rPr>
      </w:pPr>
      <w:r>
        <w:rPr/>
        <w:t>Metro</w:t>
      </w:r>
      <w:r>
        <w:rPr>
          <w:spacing w:val="-5"/>
        </w:rPr>
        <w:t> </w:t>
      </w:r>
      <w:r>
        <w:rPr/>
        <w:t>Station</w:t>
      </w:r>
      <w:r>
        <w:rPr>
          <w:spacing w:val="-5"/>
        </w:rPr>
        <w:t> </w:t>
      </w:r>
      <w:r>
        <w:rPr>
          <w:spacing w:val="-2"/>
        </w:rPr>
        <w:t>interchanges</w:t>
      </w:r>
      <w:r>
        <w:rPr>
          <w:b w:val="0"/>
          <w:i w:val="0"/>
          <w:spacing w:val="-2"/>
          <w:sz w:val="22"/>
        </w:rPr>
        <w:t>:</w:t>
      </w:r>
    </w:p>
    <w:p>
      <w:pPr>
        <w:pStyle w:val="BodyText"/>
        <w:spacing w:before="1"/>
        <w:ind w:left="1080" w:right="1077"/>
      </w:pPr>
      <w:r>
        <w:rPr/>
        <w:t>The buildable reservations if any, on plots abutting Metro Station interchanges shall cease to exist on identification of such Metro Station interchanges within 500 m from such interchange to that extent, subject to condition that minimum 20% of plot area shall be kept reserved for parking lot, which can be developed under accommodation reservation policy under regulation 17(1). However the non-buildable (open spaces) reservations shall be implemented to the full extent.</w:t>
      </w:r>
    </w:p>
    <w:p>
      <w:pPr>
        <w:pStyle w:val="BodyText"/>
        <w:spacing w:after="0"/>
        <w:sectPr>
          <w:pgSz w:w="11910" w:h="16840"/>
          <w:pgMar w:header="746" w:footer="968" w:top="1180" w:bottom="1160" w:left="360" w:right="360"/>
        </w:sectPr>
      </w:pPr>
    </w:p>
    <w:p>
      <w:pPr>
        <w:pStyle w:val="BodyText"/>
        <w:jc w:val="left"/>
        <w:rPr>
          <w:sz w:val="17"/>
        </w:rPr>
      </w:pPr>
    </w:p>
    <w:p>
      <w:pPr>
        <w:pStyle w:val="BodyText"/>
        <w:spacing w:after="0"/>
        <w:jc w:val="left"/>
        <w:rPr>
          <w:sz w:val="17"/>
        </w:rPr>
        <w:sectPr>
          <w:pgSz w:w="11910" w:h="16840"/>
          <w:pgMar w:header="746" w:footer="968" w:top="1180" w:bottom="1160" w:left="360" w:right="360"/>
        </w:sectPr>
      </w:pPr>
    </w:p>
    <w:p>
      <w:pPr>
        <w:pStyle w:val="Heading1"/>
        <w:ind w:right="4"/>
      </w:pPr>
      <w:r>
        <w:rPr/>
        <w:t>PART–IV</w:t>
      </w:r>
      <w:r>
        <w:rPr>
          <w:spacing w:val="-15"/>
        </w:rPr>
        <w:t> </w:t>
      </w:r>
      <w:r>
        <w:rPr/>
        <w:t>REQUIREMENT</w:t>
      </w:r>
      <w:r>
        <w:rPr>
          <w:spacing w:val="-12"/>
        </w:rPr>
        <w:t> </w:t>
      </w:r>
      <w:r>
        <w:rPr/>
        <w:t>OF</w:t>
      </w:r>
      <w:r>
        <w:rPr>
          <w:spacing w:val="-13"/>
        </w:rPr>
        <w:t> </w:t>
      </w:r>
      <w:r>
        <w:rPr/>
        <w:t>SITE</w:t>
      </w:r>
      <w:r>
        <w:rPr>
          <w:spacing w:val="-14"/>
        </w:rPr>
        <w:t> </w:t>
      </w:r>
      <w:r>
        <w:rPr/>
        <w:t>AND</w:t>
      </w:r>
      <w:r>
        <w:rPr>
          <w:spacing w:val="-11"/>
        </w:rPr>
        <w:t> </w:t>
      </w:r>
      <w:r>
        <w:rPr>
          <w:spacing w:val="-2"/>
        </w:rPr>
        <w:t>LAYOUT</w:t>
      </w:r>
    </w:p>
    <w:p>
      <w:pPr>
        <w:pStyle w:val="Heading3"/>
        <w:numPr>
          <w:ilvl w:val="0"/>
          <w:numId w:val="97"/>
        </w:numPr>
        <w:tabs>
          <w:tab w:pos="1332" w:val="left" w:leader="none"/>
        </w:tabs>
        <w:spacing w:line="240" w:lineRule="auto" w:before="238" w:after="0"/>
        <w:ind w:left="1332" w:right="0" w:hanging="560"/>
        <w:jc w:val="left"/>
      </w:pPr>
      <w:r>
        <w:rPr/>
        <w:t>Requirement</w:t>
      </w:r>
      <w:r>
        <w:rPr>
          <w:spacing w:val="-8"/>
        </w:rPr>
        <w:t> </w:t>
      </w:r>
      <w:r>
        <w:rPr/>
        <w:t>of</w:t>
      </w:r>
      <w:r>
        <w:rPr>
          <w:spacing w:val="-6"/>
        </w:rPr>
        <w:t> </w:t>
      </w:r>
      <w:r>
        <w:rPr>
          <w:spacing w:val="-4"/>
        </w:rPr>
        <w:t>Site</w:t>
      </w:r>
    </w:p>
    <w:p>
      <w:pPr>
        <w:pStyle w:val="BodyText"/>
        <w:spacing w:before="244"/>
        <w:ind w:left="1493"/>
      </w:pPr>
      <w:r>
        <w:rPr/>
        <w:t>No</w:t>
      </w:r>
      <w:r>
        <w:rPr>
          <w:spacing w:val="44"/>
        </w:rPr>
        <w:t> </w:t>
      </w:r>
      <w:r>
        <w:rPr/>
        <w:t>land</w:t>
      </w:r>
      <w:r>
        <w:rPr>
          <w:spacing w:val="49"/>
        </w:rPr>
        <w:t> </w:t>
      </w:r>
      <w:r>
        <w:rPr/>
        <w:t>shall</w:t>
      </w:r>
      <w:r>
        <w:rPr>
          <w:spacing w:val="49"/>
        </w:rPr>
        <w:t> </w:t>
      </w:r>
      <w:r>
        <w:rPr/>
        <w:t>be</w:t>
      </w:r>
      <w:r>
        <w:rPr>
          <w:spacing w:val="47"/>
        </w:rPr>
        <w:t> </w:t>
      </w:r>
      <w:r>
        <w:rPr/>
        <w:t>used</w:t>
      </w:r>
      <w:r>
        <w:rPr>
          <w:spacing w:val="46"/>
        </w:rPr>
        <w:t> </w:t>
      </w:r>
      <w:r>
        <w:rPr/>
        <w:t>as</w:t>
      </w:r>
      <w:r>
        <w:rPr>
          <w:spacing w:val="47"/>
        </w:rPr>
        <w:t> </w:t>
      </w:r>
      <w:r>
        <w:rPr/>
        <w:t>a</w:t>
      </w:r>
      <w:r>
        <w:rPr>
          <w:spacing w:val="49"/>
        </w:rPr>
        <w:t> </w:t>
      </w:r>
      <w:r>
        <w:rPr/>
        <w:t>site</w:t>
      </w:r>
      <w:r>
        <w:rPr>
          <w:spacing w:val="46"/>
        </w:rPr>
        <w:t> </w:t>
      </w:r>
      <w:r>
        <w:rPr/>
        <w:t>for</w:t>
      </w:r>
      <w:r>
        <w:rPr>
          <w:spacing w:val="47"/>
        </w:rPr>
        <w:t> </w:t>
      </w:r>
      <w:r>
        <w:rPr/>
        <w:t>the</w:t>
      </w:r>
      <w:r>
        <w:rPr>
          <w:spacing w:val="49"/>
        </w:rPr>
        <w:t> </w:t>
      </w:r>
      <w:r>
        <w:rPr/>
        <w:t>construction</w:t>
      </w:r>
      <w:r>
        <w:rPr>
          <w:spacing w:val="46"/>
        </w:rPr>
        <w:t> </w:t>
      </w:r>
      <w:r>
        <w:rPr/>
        <w:t>of</w:t>
      </w:r>
      <w:r>
        <w:rPr>
          <w:spacing w:val="47"/>
        </w:rPr>
        <w:t> </w:t>
      </w:r>
      <w:r>
        <w:rPr/>
        <w:t>building</w:t>
      </w:r>
      <w:r>
        <w:rPr>
          <w:spacing w:val="52"/>
        </w:rPr>
        <w:t> </w:t>
      </w:r>
      <w:r>
        <w:rPr>
          <w:spacing w:val="-10"/>
        </w:rPr>
        <w:t>–</w:t>
      </w:r>
    </w:p>
    <w:p>
      <w:pPr>
        <w:pStyle w:val="ListParagraph"/>
        <w:numPr>
          <w:ilvl w:val="1"/>
          <w:numId w:val="97"/>
        </w:numPr>
        <w:tabs>
          <w:tab w:pos="1584" w:val="left" w:leader="none"/>
          <w:tab w:pos="1921" w:val="left" w:leader="none"/>
        </w:tabs>
        <w:spacing w:line="240" w:lineRule="auto" w:before="239" w:after="0"/>
        <w:ind w:left="1584" w:right="786" w:hanging="92"/>
        <w:jc w:val="both"/>
        <w:rPr>
          <w:sz w:val="24"/>
        </w:rPr>
      </w:pPr>
      <w:r>
        <w:rPr>
          <w:sz w:val="24"/>
        </w:rPr>
        <w:t>if</w:t>
      </w:r>
      <w:r>
        <w:rPr>
          <w:spacing w:val="65"/>
          <w:sz w:val="24"/>
        </w:rPr>
        <w:t> </w:t>
      </w:r>
      <w:r>
        <w:rPr>
          <w:sz w:val="24"/>
        </w:rPr>
        <w:t>the</w:t>
      </w:r>
      <w:r>
        <w:rPr>
          <w:spacing w:val="65"/>
          <w:sz w:val="24"/>
        </w:rPr>
        <w:t> </w:t>
      </w:r>
      <w:r>
        <w:rPr>
          <w:sz w:val="24"/>
        </w:rPr>
        <w:t>Commissioner</w:t>
      </w:r>
      <w:r>
        <w:rPr>
          <w:spacing w:val="65"/>
          <w:sz w:val="24"/>
        </w:rPr>
        <w:t> </w:t>
      </w:r>
      <w:r>
        <w:rPr>
          <w:sz w:val="24"/>
        </w:rPr>
        <w:t>considers</w:t>
      </w:r>
      <w:r>
        <w:rPr>
          <w:spacing w:val="65"/>
          <w:sz w:val="24"/>
        </w:rPr>
        <w:t> </w:t>
      </w:r>
      <w:r>
        <w:rPr>
          <w:sz w:val="24"/>
        </w:rPr>
        <w:t>that</w:t>
      </w:r>
      <w:r>
        <w:rPr>
          <w:spacing w:val="65"/>
          <w:sz w:val="24"/>
        </w:rPr>
        <w:t> </w:t>
      </w:r>
      <w:r>
        <w:rPr>
          <w:sz w:val="24"/>
        </w:rPr>
        <w:t>the</w:t>
      </w:r>
      <w:r>
        <w:rPr>
          <w:spacing w:val="65"/>
          <w:sz w:val="24"/>
        </w:rPr>
        <w:t> </w:t>
      </w:r>
      <w:r>
        <w:rPr>
          <w:sz w:val="24"/>
        </w:rPr>
        <w:t>site</w:t>
      </w:r>
      <w:r>
        <w:rPr>
          <w:spacing w:val="65"/>
          <w:sz w:val="24"/>
        </w:rPr>
        <w:t> </w:t>
      </w:r>
      <w:r>
        <w:rPr>
          <w:sz w:val="24"/>
        </w:rPr>
        <w:t>is</w:t>
      </w:r>
      <w:r>
        <w:rPr>
          <w:spacing w:val="80"/>
          <w:sz w:val="24"/>
        </w:rPr>
        <w:t> </w:t>
      </w:r>
      <w:r>
        <w:rPr>
          <w:sz w:val="24"/>
        </w:rPr>
        <w:t>insanitary</w:t>
      </w:r>
      <w:r>
        <w:rPr>
          <w:spacing w:val="67"/>
          <w:sz w:val="24"/>
        </w:rPr>
        <w:t> </w:t>
      </w:r>
      <w:r>
        <w:rPr>
          <w:sz w:val="24"/>
        </w:rPr>
        <w:t>or</w:t>
      </w:r>
      <w:r>
        <w:rPr>
          <w:spacing w:val="65"/>
          <w:sz w:val="24"/>
        </w:rPr>
        <w:t> </w:t>
      </w:r>
      <w:r>
        <w:rPr>
          <w:sz w:val="24"/>
        </w:rPr>
        <w:t>that</w:t>
      </w:r>
      <w:r>
        <w:rPr>
          <w:spacing w:val="65"/>
          <w:sz w:val="24"/>
        </w:rPr>
        <w:t> </w:t>
      </w:r>
      <w:r>
        <w:rPr>
          <w:sz w:val="24"/>
        </w:rPr>
        <w:t>it is</w:t>
      </w:r>
      <w:r>
        <w:rPr>
          <w:spacing w:val="40"/>
          <w:sz w:val="24"/>
        </w:rPr>
        <w:t> </w:t>
      </w:r>
      <w:r>
        <w:rPr>
          <w:sz w:val="24"/>
        </w:rPr>
        <w:t>dangerous</w:t>
      </w:r>
      <w:r>
        <w:rPr>
          <w:spacing w:val="40"/>
          <w:sz w:val="24"/>
        </w:rPr>
        <w:t> </w:t>
      </w:r>
      <w:r>
        <w:rPr>
          <w:sz w:val="24"/>
        </w:rPr>
        <w:t>to</w:t>
      </w:r>
      <w:r>
        <w:rPr>
          <w:spacing w:val="40"/>
          <w:sz w:val="24"/>
        </w:rPr>
        <w:t> </w:t>
      </w:r>
      <w:r>
        <w:rPr>
          <w:sz w:val="24"/>
        </w:rPr>
        <w:t>construct</w:t>
      </w:r>
      <w:r>
        <w:rPr>
          <w:spacing w:val="40"/>
          <w:sz w:val="24"/>
        </w:rPr>
        <w:t> </w:t>
      </w:r>
      <w:r>
        <w:rPr>
          <w:sz w:val="24"/>
        </w:rPr>
        <w:t>a</w:t>
      </w:r>
      <w:r>
        <w:rPr>
          <w:spacing w:val="40"/>
          <w:sz w:val="24"/>
        </w:rPr>
        <w:t> </w:t>
      </w:r>
      <w:r>
        <w:rPr>
          <w:sz w:val="24"/>
        </w:rPr>
        <w:t>building</w:t>
      </w:r>
      <w:r>
        <w:rPr>
          <w:spacing w:val="40"/>
          <w:sz w:val="24"/>
        </w:rPr>
        <w:t> </w:t>
      </w:r>
      <w:r>
        <w:rPr>
          <w:sz w:val="24"/>
        </w:rPr>
        <w:t>on</w:t>
      </w:r>
      <w:r>
        <w:rPr>
          <w:spacing w:val="40"/>
          <w:sz w:val="24"/>
        </w:rPr>
        <w:t> </w:t>
      </w:r>
      <w:r>
        <w:rPr>
          <w:sz w:val="24"/>
        </w:rPr>
        <w:t>it</w:t>
      </w:r>
      <w:r>
        <w:rPr>
          <w:spacing w:val="40"/>
          <w:sz w:val="24"/>
        </w:rPr>
        <w:t> </w:t>
      </w:r>
      <w:r>
        <w:rPr>
          <w:sz w:val="24"/>
        </w:rPr>
        <w:t>or</w:t>
      </w:r>
      <w:r>
        <w:rPr>
          <w:spacing w:val="40"/>
          <w:sz w:val="24"/>
        </w:rPr>
        <w:t> </w:t>
      </w:r>
      <w:r>
        <w:rPr>
          <w:sz w:val="24"/>
        </w:rPr>
        <w:t>no</w:t>
      </w:r>
      <w:r>
        <w:rPr>
          <w:spacing w:val="40"/>
          <w:sz w:val="24"/>
        </w:rPr>
        <w:t> </w:t>
      </w:r>
      <w:r>
        <w:rPr>
          <w:sz w:val="24"/>
        </w:rPr>
        <w:t>water</w:t>
      </w:r>
      <w:r>
        <w:rPr>
          <w:spacing w:val="40"/>
          <w:sz w:val="24"/>
        </w:rPr>
        <w:t> </w:t>
      </w:r>
      <w:r>
        <w:rPr>
          <w:sz w:val="24"/>
        </w:rPr>
        <w:t>supply</w:t>
      </w:r>
      <w:r>
        <w:rPr>
          <w:spacing w:val="40"/>
          <w:sz w:val="24"/>
        </w:rPr>
        <w:t> </w:t>
      </w:r>
      <w:r>
        <w:rPr>
          <w:sz w:val="24"/>
        </w:rPr>
        <w:t>is</w:t>
      </w:r>
      <w:r>
        <w:rPr>
          <w:spacing w:val="40"/>
          <w:sz w:val="24"/>
        </w:rPr>
        <w:t> </w:t>
      </w:r>
      <w:r>
        <w:rPr>
          <w:sz w:val="24"/>
        </w:rPr>
        <w:t>likely to</w:t>
      </w:r>
      <w:r>
        <w:rPr>
          <w:spacing w:val="40"/>
          <w:sz w:val="24"/>
        </w:rPr>
        <w:t> </w:t>
      </w:r>
      <w:r>
        <w:rPr>
          <w:sz w:val="24"/>
        </w:rPr>
        <w:t>be</w:t>
      </w:r>
      <w:r>
        <w:rPr>
          <w:spacing w:val="40"/>
          <w:sz w:val="24"/>
        </w:rPr>
        <w:t> </w:t>
      </w:r>
      <w:r>
        <w:rPr>
          <w:sz w:val="24"/>
        </w:rPr>
        <w:t>available</w:t>
      </w:r>
      <w:r>
        <w:rPr>
          <w:spacing w:val="40"/>
          <w:sz w:val="24"/>
        </w:rPr>
        <w:t> </w:t>
      </w:r>
      <w:r>
        <w:rPr>
          <w:sz w:val="24"/>
        </w:rPr>
        <w:t>within</w:t>
      </w:r>
      <w:r>
        <w:rPr>
          <w:spacing w:val="40"/>
          <w:sz w:val="24"/>
        </w:rPr>
        <w:t> </w:t>
      </w:r>
      <w:r>
        <w:rPr>
          <w:sz w:val="24"/>
        </w:rPr>
        <w:t>a</w:t>
      </w:r>
      <w:r>
        <w:rPr>
          <w:spacing w:val="40"/>
          <w:sz w:val="24"/>
        </w:rPr>
        <w:t> </w:t>
      </w:r>
      <w:r>
        <w:rPr>
          <w:sz w:val="24"/>
        </w:rPr>
        <w:t>reasonable</w:t>
      </w:r>
      <w:r>
        <w:rPr>
          <w:spacing w:val="40"/>
          <w:sz w:val="24"/>
        </w:rPr>
        <w:t> </w:t>
      </w:r>
      <w:r>
        <w:rPr>
          <w:sz w:val="24"/>
        </w:rPr>
        <w:t>period</w:t>
      </w:r>
      <w:r>
        <w:rPr>
          <w:spacing w:val="40"/>
          <w:sz w:val="24"/>
        </w:rPr>
        <w:t> </w:t>
      </w:r>
      <w:r>
        <w:rPr>
          <w:sz w:val="24"/>
        </w:rPr>
        <w:t>of</w:t>
      </w:r>
      <w:r>
        <w:rPr>
          <w:spacing w:val="40"/>
          <w:sz w:val="24"/>
        </w:rPr>
        <w:t> </w:t>
      </w:r>
      <w:r>
        <w:rPr>
          <w:sz w:val="24"/>
        </w:rPr>
        <w:t>time;</w:t>
      </w:r>
    </w:p>
    <w:p>
      <w:pPr>
        <w:pStyle w:val="ListParagraph"/>
        <w:numPr>
          <w:ilvl w:val="1"/>
          <w:numId w:val="97"/>
        </w:numPr>
        <w:tabs>
          <w:tab w:pos="1851" w:val="left" w:leader="none"/>
          <w:tab w:pos="1853" w:val="left" w:leader="none"/>
        </w:tabs>
        <w:spacing w:line="240" w:lineRule="auto" w:before="240" w:after="0"/>
        <w:ind w:left="1853" w:right="784" w:hanging="360"/>
        <w:jc w:val="both"/>
        <w:rPr>
          <w:sz w:val="24"/>
        </w:rPr>
      </w:pPr>
      <w:r>
        <w:rPr>
          <w:sz w:val="24"/>
        </w:rPr>
        <w:t>if the site is within 6.0 m from the edge of the water mark of a minor water</w:t>
      </w:r>
      <w:r>
        <w:rPr>
          <w:spacing w:val="40"/>
          <w:sz w:val="24"/>
        </w:rPr>
        <w:t> </w:t>
      </w:r>
      <w:r>
        <w:rPr>
          <w:sz w:val="24"/>
        </w:rPr>
        <w:t>course,</w:t>
      </w:r>
      <w:r>
        <w:rPr>
          <w:spacing w:val="40"/>
          <w:sz w:val="24"/>
        </w:rPr>
        <w:t> </w:t>
      </w:r>
      <w:r>
        <w:rPr>
          <w:sz w:val="24"/>
        </w:rPr>
        <w:t>or</w:t>
      </w:r>
      <w:r>
        <w:rPr>
          <w:spacing w:val="40"/>
          <w:sz w:val="24"/>
        </w:rPr>
        <w:t> </w:t>
      </w:r>
      <w:r>
        <w:rPr>
          <w:sz w:val="24"/>
        </w:rPr>
        <w:t>15m</w:t>
      </w:r>
      <w:r>
        <w:rPr>
          <w:spacing w:val="40"/>
          <w:sz w:val="24"/>
        </w:rPr>
        <w:t> </w:t>
      </w:r>
      <w:r>
        <w:rPr>
          <w:sz w:val="24"/>
        </w:rPr>
        <w:t>from</w:t>
      </w:r>
      <w:r>
        <w:rPr>
          <w:spacing w:val="40"/>
          <w:sz w:val="24"/>
        </w:rPr>
        <w:t> </w:t>
      </w:r>
      <w:r>
        <w:rPr>
          <w:sz w:val="24"/>
        </w:rPr>
        <w:t>the</w:t>
      </w:r>
      <w:r>
        <w:rPr>
          <w:spacing w:val="40"/>
          <w:sz w:val="24"/>
        </w:rPr>
        <w:t> </w:t>
      </w:r>
      <w:r>
        <w:rPr>
          <w:sz w:val="24"/>
        </w:rPr>
        <w:t>edge</w:t>
      </w:r>
      <w:r>
        <w:rPr>
          <w:spacing w:val="40"/>
          <w:sz w:val="24"/>
        </w:rPr>
        <w:t> </w:t>
      </w:r>
      <w:r>
        <w:rPr>
          <w:sz w:val="24"/>
        </w:rPr>
        <w:t>of</w:t>
      </w:r>
      <w:r>
        <w:rPr>
          <w:spacing w:val="40"/>
          <w:sz w:val="24"/>
        </w:rPr>
        <w:t> </w:t>
      </w:r>
      <w:r>
        <w:rPr>
          <w:spacing w:val="9"/>
          <w:sz w:val="24"/>
        </w:rPr>
        <w:t>the</w:t>
      </w:r>
      <w:r>
        <w:rPr>
          <w:spacing w:val="40"/>
          <w:sz w:val="24"/>
        </w:rPr>
        <w:t> </w:t>
      </w:r>
      <w:r>
        <w:rPr>
          <w:sz w:val="24"/>
        </w:rPr>
        <w:t>water</w:t>
      </w:r>
      <w:r>
        <w:rPr>
          <w:spacing w:val="40"/>
          <w:sz w:val="24"/>
        </w:rPr>
        <w:t> </w:t>
      </w:r>
      <w:r>
        <w:rPr>
          <w:sz w:val="24"/>
        </w:rPr>
        <w:t>mark</w:t>
      </w:r>
      <w:r>
        <w:rPr>
          <w:spacing w:val="40"/>
          <w:sz w:val="24"/>
        </w:rPr>
        <w:t> </w:t>
      </w:r>
      <w:r>
        <w:rPr>
          <w:sz w:val="24"/>
        </w:rPr>
        <w:t>of</w:t>
      </w:r>
      <w:r>
        <w:rPr>
          <w:spacing w:val="40"/>
          <w:sz w:val="24"/>
        </w:rPr>
        <w:t> </w:t>
      </w:r>
      <w:r>
        <w:rPr>
          <w:sz w:val="24"/>
        </w:rPr>
        <w:t>a</w:t>
      </w:r>
      <w:r>
        <w:rPr>
          <w:spacing w:val="40"/>
          <w:sz w:val="24"/>
        </w:rPr>
        <w:t> </w:t>
      </w:r>
      <w:r>
        <w:rPr>
          <w:sz w:val="24"/>
        </w:rPr>
        <w:t>major water course, unless arrangements to the satisfaction of the Commissioner</w:t>
      </w:r>
      <w:r>
        <w:rPr>
          <w:spacing w:val="40"/>
          <w:sz w:val="24"/>
        </w:rPr>
        <w:t> </w:t>
      </w:r>
      <w:r>
        <w:rPr>
          <w:sz w:val="24"/>
        </w:rPr>
        <w:t>are</w:t>
      </w:r>
      <w:r>
        <w:rPr>
          <w:spacing w:val="40"/>
          <w:sz w:val="24"/>
        </w:rPr>
        <w:t> </w:t>
      </w:r>
      <w:r>
        <w:rPr>
          <w:sz w:val="24"/>
        </w:rPr>
        <w:t>made</w:t>
      </w:r>
      <w:r>
        <w:rPr>
          <w:spacing w:val="40"/>
          <w:sz w:val="24"/>
        </w:rPr>
        <w:t> </w:t>
      </w:r>
      <w:r>
        <w:rPr>
          <w:sz w:val="24"/>
        </w:rPr>
        <w:t>to</w:t>
      </w:r>
      <w:r>
        <w:rPr>
          <w:spacing w:val="40"/>
          <w:sz w:val="24"/>
        </w:rPr>
        <w:t> </w:t>
      </w:r>
      <w:r>
        <w:rPr>
          <w:sz w:val="24"/>
        </w:rPr>
        <w:t>drain</w:t>
      </w:r>
      <w:r>
        <w:rPr>
          <w:spacing w:val="40"/>
          <w:sz w:val="24"/>
        </w:rPr>
        <w:t> </w:t>
      </w:r>
      <w:r>
        <w:rPr>
          <w:sz w:val="24"/>
        </w:rPr>
        <w:t>the</w:t>
      </w:r>
      <w:r>
        <w:rPr>
          <w:spacing w:val="40"/>
          <w:sz w:val="24"/>
        </w:rPr>
        <w:t> </w:t>
      </w:r>
      <w:r>
        <w:rPr>
          <w:sz w:val="24"/>
        </w:rPr>
        <w:t>flow</w:t>
      </w:r>
      <w:r>
        <w:rPr>
          <w:spacing w:val="40"/>
          <w:sz w:val="24"/>
        </w:rPr>
        <w:t> </w:t>
      </w:r>
      <w:r>
        <w:rPr>
          <w:sz w:val="24"/>
        </w:rPr>
        <w:t>of</w:t>
      </w:r>
      <w:r>
        <w:rPr>
          <w:spacing w:val="40"/>
          <w:sz w:val="24"/>
        </w:rPr>
        <w:t> </w:t>
      </w:r>
      <w:r>
        <w:rPr>
          <w:sz w:val="24"/>
        </w:rPr>
        <w:t>the</w:t>
      </w:r>
      <w:r>
        <w:rPr>
          <w:spacing w:val="40"/>
          <w:sz w:val="24"/>
        </w:rPr>
        <w:t> </w:t>
      </w:r>
      <w:r>
        <w:rPr>
          <w:sz w:val="24"/>
        </w:rPr>
        <w:t>water</w:t>
      </w:r>
      <w:r>
        <w:rPr>
          <w:spacing w:val="40"/>
          <w:sz w:val="24"/>
        </w:rPr>
        <w:t> </w:t>
      </w:r>
      <w:r>
        <w:rPr>
          <w:spacing w:val="9"/>
          <w:sz w:val="24"/>
        </w:rPr>
        <w:t>course;</w:t>
      </w:r>
    </w:p>
    <w:p>
      <w:pPr>
        <w:pStyle w:val="BodyText"/>
        <w:spacing w:before="241"/>
        <w:ind w:left="1481" w:right="782"/>
      </w:pPr>
      <w:r>
        <w:rPr/>
        <w:t>Provided</w:t>
      </w:r>
      <w:r>
        <w:rPr>
          <w:spacing w:val="40"/>
        </w:rPr>
        <w:t> </w:t>
      </w:r>
      <w:r>
        <w:rPr/>
        <w:t>that</w:t>
      </w:r>
      <w:r>
        <w:rPr>
          <w:spacing w:val="40"/>
        </w:rPr>
        <w:t> </w:t>
      </w:r>
      <w:r>
        <w:rPr/>
        <w:t>where</w:t>
      </w:r>
      <w:r>
        <w:rPr>
          <w:spacing w:val="40"/>
        </w:rPr>
        <w:t> </w:t>
      </w:r>
      <w:r>
        <w:rPr/>
        <w:t>a</w:t>
      </w:r>
      <w:r>
        <w:rPr>
          <w:spacing w:val="40"/>
        </w:rPr>
        <w:t> </w:t>
      </w:r>
      <w:r>
        <w:rPr/>
        <w:t>water</w:t>
      </w:r>
      <w:r>
        <w:rPr>
          <w:spacing w:val="40"/>
        </w:rPr>
        <w:t> </w:t>
      </w:r>
      <w:r>
        <w:rPr/>
        <w:t>course</w:t>
      </w:r>
      <w:r>
        <w:rPr>
          <w:spacing w:val="40"/>
        </w:rPr>
        <w:t> </w:t>
      </w:r>
      <w:r>
        <w:rPr/>
        <w:t>passes</w:t>
      </w:r>
      <w:r>
        <w:rPr>
          <w:spacing w:val="40"/>
        </w:rPr>
        <w:t> </w:t>
      </w:r>
      <w:r>
        <w:rPr/>
        <w:t>through</w:t>
      </w:r>
      <w:r>
        <w:rPr>
          <w:spacing w:val="40"/>
        </w:rPr>
        <w:t> </w:t>
      </w:r>
      <w:r>
        <w:rPr>
          <w:spacing w:val="9"/>
        </w:rPr>
        <w:t>low-</w:t>
      </w:r>
      <w:r>
        <w:rPr/>
        <w:t>lying</w:t>
      </w:r>
      <w:r>
        <w:rPr>
          <w:spacing w:val="40"/>
        </w:rPr>
        <w:t> </w:t>
      </w:r>
      <w:r>
        <w:rPr/>
        <w:t>land without </w:t>
      </w:r>
      <w:r>
        <w:rPr>
          <w:spacing w:val="10"/>
        </w:rPr>
        <w:t>well-</w:t>
      </w:r>
      <w:r>
        <w:rPr/>
        <w:t>defined banks, the </w:t>
      </w:r>
      <w:r>
        <w:rPr>
          <w:spacing w:val="9"/>
        </w:rPr>
        <w:t>Commissioner </w:t>
      </w:r>
      <w:r>
        <w:rPr/>
        <w:t>may, as determined by him,</w:t>
      </w:r>
      <w:r>
        <w:rPr>
          <w:spacing w:val="40"/>
        </w:rPr>
        <w:t> </w:t>
      </w:r>
      <w:r>
        <w:rPr/>
        <w:t>permit</w:t>
      </w:r>
      <w:r>
        <w:rPr>
          <w:spacing w:val="40"/>
        </w:rPr>
        <w:t> </w:t>
      </w:r>
      <w:r>
        <w:rPr/>
        <w:t>the</w:t>
      </w:r>
      <w:r>
        <w:rPr>
          <w:spacing w:val="40"/>
        </w:rPr>
        <w:t> </w:t>
      </w:r>
      <w:r>
        <w:rPr/>
        <w:t>owner</w:t>
      </w:r>
      <w:r>
        <w:rPr>
          <w:spacing w:val="40"/>
        </w:rPr>
        <w:t> </w:t>
      </w:r>
      <w:r>
        <w:rPr/>
        <w:t>of</w:t>
      </w:r>
      <w:r>
        <w:rPr>
          <w:spacing w:val="40"/>
        </w:rPr>
        <w:t> </w:t>
      </w:r>
      <w:r>
        <w:rPr/>
        <w:t>the</w:t>
      </w:r>
      <w:r>
        <w:rPr>
          <w:spacing w:val="40"/>
        </w:rPr>
        <w:t> </w:t>
      </w:r>
      <w:r>
        <w:rPr/>
        <w:t>property</w:t>
      </w:r>
      <w:r>
        <w:rPr>
          <w:spacing w:val="40"/>
        </w:rPr>
        <w:t> </w:t>
      </w:r>
      <w:r>
        <w:rPr/>
        <w:t>to</w:t>
      </w:r>
      <w:r>
        <w:rPr>
          <w:spacing w:val="40"/>
        </w:rPr>
        <w:t> </w:t>
      </w:r>
      <w:r>
        <w:rPr/>
        <w:t>restrict</w:t>
      </w:r>
      <w:r>
        <w:rPr>
          <w:spacing w:val="40"/>
        </w:rPr>
        <w:t> </w:t>
      </w:r>
      <w:r>
        <w:rPr/>
        <w:t>or</w:t>
      </w:r>
      <w:r>
        <w:rPr>
          <w:spacing w:val="40"/>
        </w:rPr>
        <w:t> </w:t>
      </w:r>
      <w:r>
        <w:rPr/>
        <w:t>divert</w:t>
      </w:r>
      <w:r>
        <w:rPr>
          <w:spacing w:val="40"/>
        </w:rPr>
        <w:t> </w:t>
      </w:r>
      <w:r>
        <w:rPr/>
        <w:t>the</w:t>
      </w:r>
      <w:r>
        <w:rPr>
          <w:spacing w:val="40"/>
        </w:rPr>
        <w:t> </w:t>
      </w:r>
      <w:r>
        <w:rPr/>
        <w:t>water course</w:t>
      </w:r>
      <w:r>
        <w:rPr>
          <w:spacing w:val="40"/>
        </w:rPr>
        <w:t> </w:t>
      </w:r>
      <w:r>
        <w:rPr/>
        <w:t>to</w:t>
      </w:r>
      <w:r>
        <w:rPr>
          <w:spacing w:val="40"/>
        </w:rPr>
        <w:t> </w:t>
      </w:r>
      <w:r>
        <w:rPr/>
        <w:t>an</w:t>
      </w:r>
      <w:r>
        <w:rPr>
          <w:spacing w:val="40"/>
        </w:rPr>
        <w:t> </w:t>
      </w:r>
      <w:r>
        <w:rPr/>
        <w:t>alignment</w:t>
      </w:r>
      <w:r>
        <w:rPr>
          <w:spacing w:val="40"/>
        </w:rPr>
        <w:t> </w:t>
      </w:r>
      <w:r>
        <w:rPr/>
        <w:t>and</w:t>
      </w:r>
      <w:r>
        <w:rPr>
          <w:spacing w:val="40"/>
        </w:rPr>
        <w:t> </w:t>
      </w:r>
      <w:r>
        <w:rPr/>
        <w:t>cross</w:t>
      </w:r>
      <w:r>
        <w:rPr>
          <w:spacing w:val="40"/>
        </w:rPr>
        <w:t> </w:t>
      </w:r>
      <w:r>
        <w:rPr/>
        <w:t>section.</w:t>
      </w:r>
    </w:p>
    <w:p>
      <w:pPr>
        <w:pStyle w:val="BodyText"/>
        <w:spacing w:before="242"/>
        <w:ind w:left="1493" w:right="773"/>
      </w:pPr>
      <w:r>
        <w:rPr/>
        <w:t>Provided that, in case of trained nallah 6.0m marginal open space shall have to be </w:t>
      </w:r>
      <w:r>
        <w:rPr>
          <w:spacing w:val="9"/>
        </w:rPr>
        <w:t>maintained</w:t>
      </w:r>
    </w:p>
    <w:p>
      <w:pPr>
        <w:pStyle w:val="ListParagraph"/>
        <w:numPr>
          <w:ilvl w:val="1"/>
          <w:numId w:val="97"/>
        </w:numPr>
        <w:tabs>
          <w:tab w:pos="1851" w:val="left" w:leader="none"/>
          <w:tab w:pos="1853" w:val="left" w:leader="none"/>
        </w:tabs>
        <w:spacing w:line="240" w:lineRule="auto" w:before="238" w:after="0"/>
        <w:ind w:left="1853" w:right="783" w:hanging="360"/>
        <w:jc w:val="both"/>
        <w:rPr>
          <w:sz w:val="24"/>
        </w:rPr>
      </w:pPr>
      <w:r>
        <w:rPr>
          <w:sz w:val="24"/>
        </w:rPr>
        <w:t>if</w:t>
      </w:r>
      <w:r>
        <w:rPr>
          <w:spacing w:val="40"/>
          <w:sz w:val="24"/>
        </w:rPr>
        <w:t> </w:t>
      </w:r>
      <w:r>
        <w:rPr>
          <w:sz w:val="24"/>
        </w:rPr>
        <w:t>the</w:t>
      </w:r>
      <w:r>
        <w:rPr>
          <w:spacing w:val="40"/>
          <w:sz w:val="24"/>
        </w:rPr>
        <w:t> </w:t>
      </w:r>
      <w:r>
        <w:rPr>
          <w:sz w:val="24"/>
        </w:rPr>
        <w:t>building</w:t>
      </w:r>
      <w:r>
        <w:rPr>
          <w:spacing w:val="40"/>
          <w:sz w:val="24"/>
        </w:rPr>
        <w:t> </w:t>
      </w:r>
      <w:r>
        <w:rPr>
          <w:sz w:val="24"/>
        </w:rPr>
        <w:t>is</w:t>
      </w:r>
      <w:r>
        <w:rPr>
          <w:spacing w:val="40"/>
          <w:sz w:val="24"/>
        </w:rPr>
        <w:t> </w:t>
      </w:r>
      <w:r>
        <w:rPr>
          <w:sz w:val="24"/>
        </w:rPr>
        <w:t>proposed</w:t>
      </w:r>
      <w:r>
        <w:rPr>
          <w:spacing w:val="40"/>
          <w:sz w:val="24"/>
        </w:rPr>
        <w:t> </w:t>
      </w:r>
      <w:r>
        <w:rPr>
          <w:sz w:val="24"/>
        </w:rPr>
        <w:t>on</w:t>
      </w:r>
      <w:r>
        <w:rPr>
          <w:spacing w:val="40"/>
          <w:sz w:val="24"/>
        </w:rPr>
        <w:t> </w:t>
      </w:r>
      <w:r>
        <w:rPr>
          <w:sz w:val="24"/>
        </w:rPr>
        <w:t>any</w:t>
      </w:r>
      <w:r>
        <w:rPr>
          <w:spacing w:val="40"/>
          <w:sz w:val="24"/>
        </w:rPr>
        <w:t> </w:t>
      </w:r>
      <w:r>
        <w:rPr>
          <w:sz w:val="24"/>
        </w:rPr>
        <w:t>area</w:t>
      </w:r>
      <w:r>
        <w:rPr>
          <w:spacing w:val="40"/>
          <w:sz w:val="24"/>
        </w:rPr>
        <w:t> </w:t>
      </w:r>
      <w:r>
        <w:rPr>
          <w:sz w:val="24"/>
        </w:rPr>
        <w:t>filled</w:t>
      </w:r>
      <w:r>
        <w:rPr>
          <w:spacing w:val="40"/>
          <w:sz w:val="24"/>
        </w:rPr>
        <w:t> </w:t>
      </w:r>
      <w:r>
        <w:rPr>
          <w:sz w:val="24"/>
        </w:rPr>
        <w:t>up</w:t>
      </w:r>
      <w:r>
        <w:rPr>
          <w:spacing w:val="40"/>
          <w:sz w:val="24"/>
        </w:rPr>
        <w:t> </w:t>
      </w:r>
      <w:r>
        <w:rPr>
          <w:sz w:val="24"/>
        </w:rPr>
        <w:t>with</w:t>
      </w:r>
      <w:r>
        <w:rPr>
          <w:spacing w:val="40"/>
          <w:sz w:val="24"/>
        </w:rPr>
        <w:t> </w:t>
      </w:r>
      <w:r>
        <w:rPr>
          <w:sz w:val="24"/>
        </w:rPr>
        <w:t>carcasses, excreta, and filthy and offensive matter, till the production of a</w:t>
      </w:r>
      <w:r>
        <w:rPr>
          <w:spacing w:val="40"/>
          <w:sz w:val="24"/>
        </w:rPr>
        <w:t> </w:t>
      </w:r>
      <w:r>
        <w:rPr>
          <w:sz w:val="24"/>
        </w:rPr>
        <w:t>certificate</w:t>
      </w:r>
      <w:r>
        <w:rPr>
          <w:spacing w:val="40"/>
          <w:sz w:val="24"/>
        </w:rPr>
        <w:t> </w:t>
      </w:r>
      <w:r>
        <w:rPr>
          <w:sz w:val="24"/>
        </w:rPr>
        <w:t>from</w:t>
      </w:r>
      <w:r>
        <w:rPr>
          <w:spacing w:val="40"/>
          <w:sz w:val="24"/>
        </w:rPr>
        <w:t> </w:t>
      </w:r>
      <w:r>
        <w:rPr>
          <w:sz w:val="24"/>
        </w:rPr>
        <w:t>the</w:t>
      </w:r>
      <w:r>
        <w:rPr>
          <w:spacing w:val="40"/>
          <w:sz w:val="24"/>
        </w:rPr>
        <w:t> </w:t>
      </w:r>
      <w:r>
        <w:rPr>
          <w:sz w:val="24"/>
        </w:rPr>
        <w:t>Commissioner</w:t>
      </w:r>
      <w:r>
        <w:rPr>
          <w:spacing w:val="40"/>
          <w:sz w:val="24"/>
        </w:rPr>
        <w:t> </w:t>
      </w:r>
      <w:r>
        <w:rPr>
          <w:sz w:val="24"/>
        </w:rPr>
        <w:t>to</w:t>
      </w:r>
      <w:r>
        <w:rPr>
          <w:spacing w:val="40"/>
          <w:sz w:val="24"/>
        </w:rPr>
        <w:t> </w:t>
      </w:r>
      <w:r>
        <w:rPr>
          <w:sz w:val="24"/>
        </w:rPr>
        <w:t>the</w:t>
      </w:r>
      <w:r>
        <w:rPr>
          <w:spacing w:val="40"/>
          <w:sz w:val="24"/>
        </w:rPr>
        <w:t> </w:t>
      </w:r>
      <w:r>
        <w:rPr>
          <w:sz w:val="24"/>
        </w:rPr>
        <w:t>effect</w:t>
      </w:r>
      <w:r>
        <w:rPr>
          <w:spacing w:val="40"/>
          <w:sz w:val="24"/>
        </w:rPr>
        <w:t> </w:t>
      </w:r>
      <w:r>
        <w:rPr>
          <w:sz w:val="24"/>
        </w:rPr>
        <w:t>that</w:t>
      </w:r>
      <w:r>
        <w:rPr>
          <w:spacing w:val="40"/>
          <w:sz w:val="24"/>
        </w:rPr>
        <w:t> </w:t>
      </w:r>
      <w:r>
        <w:rPr>
          <w:sz w:val="24"/>
        </w:rPr>
        <w:t>it</w:t>
      </w:r>
      <w:r>
        <w:rPr>
          <w:spacing w:val="40"/>
          <w:sz w:val="24"/>
        </w:rPr>
        <w:t> </w:t>
      </w:r>
      <w:r>
        <w:rPr>
          <w:sz w:val="24"/>
        </w:rPr>
        <w:t>is</w:t>
      </w:r>
      <w:r>
        <w:rPr>
          <w:spacing w:val="40"/>
          <w:sz w:val="24"/>
        </w:rPr>
        <w:t> </w:t>
      </w:r>
      <w:r>
        <w:rPr>
          <w:sz w:val="24"/>
        </w:rPr>
        <w:t>hygienically fit to be built upon;</w:t>
      </w:r>
    </w:p>
    <w:p>
      <w:pPr>
        <w:pStyle w:val="ListParagraph"/>
        <w:numPr>
          <w:ilvl w:val="1"/>
          <w:numId w:val="97"/>
        </w:numPr>
        <w:tabs>
          <w:tab w:pos="1851" w:val="left" w:leader="none"/>
          <w:tab w:pos="1853" w:val="left" w:leader="none"/>
        </w:tabs>
        <w:spacing w:line="240" w:lineRule="auto" w:before="241" w:after="0"/>
        <w:ind w:left="1853" w:right="783" w:hanging="360"/>
        <w:jc w:val="both"/>
        <w:rPr>
          <w:sz w:val="24"/>
        </w:rPr>
      </w:pPr>
      <w:r>
        <w:rPr>
          <w:sz w:val="24"/>
        </w:rPr>
        <w:t>if</w:t>
      </w:r>
      <w:r>
        <w:rPr>
          <w:spacing w:val="40"/>
          <w:sz w:val="24"/>
        </w:rPr>
        <w:t> </w:t>
      </w:r>
      <w:r>
        <w:rPr>
          <w:sz w:val="24"/>
        </w:rPr>
        <w:t>the</w:t>
      </w:r>
      <w:r>
        <w:rPr>
          <w:spacing w:val="40"/>
          <w:sz w:val="24"/>
        </w:rPr>
        <w:t> </w:t>
      </w:r>
      <w:r>
        <w:rPr>
          <w:sz w:val="24"/>
        </w:rPr>
        <w:t>use</w:t>
      </w:r>
      <w:r>
        <w:rPr>
          <w:spacing w:val="40"/>
          <w:sz w:val="24"/>
        </w:rPr>
        <w:t> </w:t>
      </w:r>
      <w:r>
        <w:rPr>
          <w:sz w:val="24"/>
        </w:rPr>
        <w:t>of</w:t>
      </w:r>
      <w:r>
        <w:rPr>
          <w:spacing w:val="40"/>
          <w:sz w:val="24"/>
        </w:rPr>
        <w:t> </w:t>
      </w:r>
      <w:r>
        <w:rPr>
          <w:sz w:val="24"/>
        </w:rPr>
        <w:t>the</w:t>
      </w:r>
      <w:r>
        <w:rPr>
          <w:spacing w:val="40"/>
          <w:sz w:val="24"/>
        </w:rPr>
        <w:t> </w:t>
      </w:r>
      <w:r>
        <w:rPr>
          <w:sz w:val="24"/>
        </w:rPr>
        <w:t>said</w:t>
      </w:r>
      <w:r>
        <w:rPr>
          <w:spacing w:val="40"/>
          <w:sz w:val="24"/>
        </w:rPr>
        <w:t> </w:t>
      </w:r>
      <w:r>
        <w:rPr>
          <w:sz w:val="24"/>
        </w:rPr>
        <w:t>site</w:t>
      </w:r>
      <w:r>
        <w:rPr>
          <w:spacing w:val="40"/>
          <w:sz w:val="24"/>
        </w:rPr>
        <w:t> </w:t>
      </w:r>
      <w:r>
        <w:rPr>
          <w:sz w:val="24"/>
        </w:rPr>
        <w:t>is</w:t>
      </w:r>
      <w:r>
        <w:rPr>
          <w:spacing w:val="40"/>
          <w:sz w:val="24"/>
        </w:rPr>
        <w:t> </w:t>
      </w:r>
      <w:r>
        <w:rPr>
          <w:sz w:val="24"/>
        </w:rPr>
        <w:t>for</w:t>
      </w:r>
      <w:r>
        <w:rPr>
          <w:spacing w:val="40"/>
          <w:sz w:val="24"/>
        </w:rPr>
        <w:t> </w:t>
      </w:r>
      <w:r>
        <w:rPr>
          <w:sz w:val="24"/>
        </w:rPr>
        <w:t>a</w:t>
      </w:r>
      <w:r>
        <w:rPr>
          <w:spacing w:val="40"/>
          <w:sz w:val="24"/>
        </w:rPr>
        <w:t> </w:t>
      </w:r>
      <w:r>
        <w:rPr>
          <w:sz w:val="24"/>
        </w:rPr>
        <w:t>purpose</w:t>
      </w:r>
      <w:r>
        <w:rPr>
          <w:spacing w:val="10"/>
          <w:sz w:val="24"/>
        </w:rPr>
        <w:t> which,</w:t>
      </w:r>
      <w:r>
        <w:rPr>
          <w:spacing w:val="10"/>
          <w:sz w:val="24"/>
        </w:rPr>
        <w:t> </w:t>
      </w:r>
      <w:r>
        <w:rPr>
          <w:sz w:val="24"/>
        </w:rPr>
        <w:t>in</w:t>
      </w:r>
      <w:r>
        <w:rPr>
          <w:spacing w:val="40"/>
          <w:sz w:val="24"/>
        </w:rPr>
        <w:t> </w:t>
      </w:r>
      <w:r>
        <w:rPr>
          <w:sz w:val="24"/>
        </w:rPr>
        <w:t>the Commissioner's</w:t>
      </w:r>
      <w:r>
        <w:rPr>
          <w:spacing w:val="40"/>
          <w:sz w:val="24"/>
        </w:rPr>
        <w:t> </w:t>
      </w:r>
      <w:r>
        <w:rPr>
          <w:sz w:val="24"/>
        </w:rPr>
        <w:t>opinion,</w:t>
      </w:r>
      <w:r>
        <w:rPr>
          <w:spacing w:val="40"/>
          <w:sz w:val="24"/>
        </w:rPr>
        <w:t> </w:t>
      </w:r>
      <w:r>
        <w:rPr>
          <w:sz w:val="24"/>
        </w:rPr>
        <w:t>may</w:t>
      </w:r>
      <w:r>
        <w:rPr>
          <w:spacing w:val="40"/>
          <w:sz w:val="24"/>
        </w:rPr>
        <w:t> </w:t>
      </w:r>
      <w:r>
        <w:rPr>
          <w:sz w:val="24"/>
        </w:rPr>
        <w:t>be</w:t>
      </w:r>
      <w:r>
        <w:rPr>
          <w:spacing w:val="40"/>
          <w:sz w:val="24"/>
        </w:rPr>
        <w:t> </w:t>
      </w:r>
      <w:r>
        <w:rPr>
          <w:sz w:val="24"/>
        </w:rPr>
        <w:t>a</w:t>
      </w:r>
      <w:r>
        <w:rPr>
          <w:spacing w:val="40"/>
          <w:sz w:val="24"/>
        </w:rPr>
        <w:t> </w:t>
      </w:r>
      <w:r>
        <w:rPr>
          <w:sz w:val="24"/>
        </w:rPr>
        <w:t>source</w:t>
      </w:r>
      <w:r>
        <w:rPr>
          <w:spacing w:val="40"/>
          <w:sz w:val="24"/>
        </w:rPr>
        <w:t> </w:t>
      </w:r>
      <w:r>
        <w:rPr>
          <w:sz w:val="24"/>
        </w:rPr>
        <w:t>of</w:t>
      </w:r>
      <w:r>
        <w:rPr>
          <w:spacing w:val="40"/>
          <w:sz w:val="24"/>
        </w:rPr>
        <w:t> </w:t>
      </w:r>
      <w:r>
        <w:rPr>
          <w:sz w:val="24"/>
        </w:rPr>
        <w:t>danger</w:t>
      </w:r>
      <w:r>
        <w:rPr>
          <w:spacing w:val="40"/>
          <w:sz w:val="24"/>
        </w:rPr>
        <w:t> </w:t>
      </w:r>
      <w:r>
        <w:rPr>
          <w:sz w:val="24"/>
        </w:rPr>
        <w:t>to</w:t>
      </w:r>
      <w:r>
        <w:rPr>
          <w:spacing w:val="40"/>
          <w:sz w:val="24"/>
        </w:rPr>
        <w:t> </w:t>
      </w:r>
      <w:r>
        <w:rPr>
          <w:sz w:val="24"/>
        </w:rPr>
        <w:t>the</w:t>
      </w:r>
      <w:r>
        <w:rPr>
          <w:spacing w:val="40"/>
          <w:sz w:val="24"/>
        </w:rPr>
        <w:t> </w:t>
      </w:r>
      <w:r>
        <w:rPr>
          <w:sz w:val="24"/>
        </w:rPr>
        <w:t>health</w:t>
      </w:r>
      <w:r>
        <w:rPr>
          <w:spacing w:val="80"/>
          <w:sz w:val="24"/>
        </w:rPr>
        <w:t> </w:t>
      </w:r>
      <w:r>
        <w:rPr>
          <w:sz w:val="24"/>
        </w:rPr>
        <w:t>and</w:t>
      </w:r>
      <w:r>
        <w:rPr>
          <w:spacing w:val="40"/>
          <w:sz w:val="24"/>
        </w:rPr>
        <w:t> </w:t>
      </w:r>
      <w:r>
        <w:rPr>
          <w:sz w:val="24"/>
        </w:rPr>
        <w:t>safety</w:t>
      </w:r>
      <w:r>
        <w:rPr>
          <w:spacing w:val="40"/>
          <w:sz w:val="24"/>
        </w:rPr>
        <w:t> </w:t>
      </w:r>
      <w:r>
        <w:rPr>
          <w:sz w:val="24"/>
        </w:rPr>
        <w:t>of</w:t>
      </w:r>
      <w:r>
        <w:rPr>
          <w:spacing w:val="40"/>
          <w:sz w:val="24"/>
        </w:rPr>
        <w:t> </w:t>
      </w:r>
      <w:r>
        <w:rPr>
          <w:sz w:val="24"/>
        </w:rPr>
        <w:t>the</w:t>
      </w:r>
      <w:r>
        <w:rPr>
          <w:spacing w:val="40"/>
          <w:sz w:val="24"/>
        </w:rPr>
        <w:t> </w:t>
      </w:r>
      <w:r>
        <w:rPr>
          <w:sz w:val="24"/>
        </w:rPr>
        <w:t>inhabitants</w:t>
      </w:r>
      <w:r>
        <w:rPr>
          <w:spacing w:val="40"/>
          <w:sz w:val="24"/>
        </w:rPr>
        <w:t> </w:t>
      </w:r>
      <w:r>
        <w:rPr>
          <w:sz w:val="24"/>
        </w:rPr>
        <w:t>of</w:t>
      </w:r>
      <w:r>
        <w:rPr>
          <w:spacing w:val="40"/>
          <w:sz w:val="24"/>
        </w:rPr>
        <w:t> </w:t>
      </w:r>
      <w:r>
        <w:rPr>
          <w:sz w:val="24"/>
        </w:rPr>
        <w:t>the</w:t>
      </w:r>
      <w:r>
        <w:rPr>
          <w:spacing w:val="40"/>
          <w:sz w:val="24"/>
        </w:rPr>
        <w:t> </w:t>
      </w:r>
      <w:r>
        <w:rPr>
          <w:spacing w:val="9"/>
          <w:sz w:val="24"/>
        </w:rPr>
        <w:t>neighborhood;</w:t>
      </w:r>
    </w:p>
    <w:p>
      <w:pPr>
        <w:pStyle w:val="ListParagraph"/>
        <w:numPr>
          <w:ilvl w:val="1"/>
          <w:numId w:val="97"/>
        </w:numPr>
        <w:tabs>
          <w:tab w:pos="1851" w:val="left" w:leader="none"/>
          <w:tab w:pos="1853" w:val="left" w:leader="none"/>
        </w:tabs>
        <w:spacing w:line="240" w:lineRule="auto" w:before="240" w:after="0"/>
        <w:ind w:left="1853" w:right="786" w:hanging="360"/>
        <w:jc w:val="both"/>
        <w:rPr>
          <w:sz w:val="24"/>
        </w:rPr>
      </w:pPr>
      <w:r>
        <w:rPr>
          <w:sz w:val="24"/>
        </w:rPr>
        <w:t>if</w:t>
      </w:r>
      <w:r>
        <w:rPr>
          <w:spacing w:val="40"/>
          <w:sz w:val="24"/>
        </w:rPr>
        <w:t> </w:t>
      </w:r>
      <w:r>
        <w:rPr>
          <w:sz w:val="24"/>
        </w:rPr>
        <w:t>the</w:t>
      </w:r>
      <w:r>
        <w:rPr>
          <w:spacing w:val="40"/>
          <w:sz w:val="24"/>
        </w:rPr>
        <w:t> </w:t>
      </w:r>
      <w:r>
        <w:rPr>
          <w:sz w:val="24"/>
        </w:rPr>
        <w:t>level</w:t>
      </w:r>
      <w:r>
        <w:rPr>
          <w:spacing w:val="40"/>
          <w:sz w:val="24"/>
        </w:rPr>
        <w:t> </w:t>
      </w:r>
      <w:r>
        <w:rPr>
          <w:sz w:val="24"/>
        </w:rPr>
        <w:t>of</w:t>
      </w:r>
      <w:r>
        <w:rPr>
          <w:spacing w:val="40"/>
          <w:sz w:val="24"/>
        </w:rPr>
        <w:t> </w:t>
      </w:r>
      <w:r>
        <w:rPr>
          <w:sz w:val="24"/>
        </w:rPr>
        <w:t>the</w:t>
      </w:r>
      <w:r>
        <w:rPr>
          <w:spacing w:val="40"/>
          <w:sz w:val="24"/>
        </w:rPr>
        <w:t> </w:t>
      </w:r>
      <w:r>
        <w:rPr>
          <w:sz w:val="24"/>
        </w:rPr>
        <w:t>site</w:t>
      </w:r>
      <w:r>
        <w:rPr>
          <w:spacing w:val="40"/>
          <w:sz w:val="24"/>
        </w:rPr>
        <w:t> </w:t>
      </w:r>
      <w:r>
        <w:rPr>
          <w:sz w:val="24"/>
        </w:rPr>
        <w:t>is</w:t>
      </w:r>
      <w:r>
        <w:rPr>
          <w:spacing w:val="40"/>
          <w:sz w:val="24"/>
        </w:rPr>
        <w:t> </w:t>
      </w:r>
      <w:r>
        <w:rPr>
          <w:sz w:val="24"/>
        </w:rPr>
        <w:t>lower</w:t>
      </w:r>
      <w:r>
        <w:rPr>
          <w:spacing w:val="40"/>
          <w:sz w:val="24"/>
        </w:rPr>
        <w:t> </w:t>
      </w:r>
      <w:r>
        <w:rPr>
          <w:sz w:val="24"/>
        </w:rPr>
        <w:t>than</w:t>
      </w:r>
      <w:r>
        <w:rPr>
          <w:spacing w:val="40"/>
          <w:sz w:val="24"/>
        </w:rPr>
        <w:t> </w:t>
      </w:r>
      <w:r>
        <w:rPr>
          <w:sz w:val="24"/>
        </w:rPr>
        <w:t>the</w:t>
      </w:r>
      <w:r>
        <w:rPr>
          <w:spacing w:val="40"/>
          <w:sz w:val="24"/>
        </w:rPr>
        <w:t> </w:t>
      </w:r>
      <w:r>
        <w:rPr>
          <w:sz w:val="24"/>
        </w:rPr>
        <w:t>Datum</w:t>
      </w:r>
      <w:r>
        <w:rPr>
          <w:spacing w:val="40"/>
          <w:sz w:val="24"/>
        </w:rPr>
        <w:t> </w:t>
      </w:r>
      <w:r>
        <w:rPr>
          <w:sz w:val="24"/>
        </w:rPr>
        <w:t>Level</w:t>
      </w:r>
      <w:r>
        <w:rPr>
          <w:spacing w:val="40"/>
          <w:sz w:val="24"/>
        </w:rPr>
        <w:t> </w:t>
      </w:r>
      <w:r>
        <w:rPr>
          <w:sz w:val="24"/>
        </w:rPr>
        <w:t>prescribed</w:t>
      </w:r>
      <w:r>
        <w:rPr>
          <w:spacing w:val="40"/>
          <w:sz w:val="24"/>
        </w:rPr>
        <w:t> </w:t>
      </w:r>
      <w:r>
        <w:rPr>
          <w:sz w:val="24"/>
        </w:rPr>
        <w:t>by the</w:t>
      </w:r>
      <w:r>
        <w:rPr>
          <w:spacing w:val="40"/>
          <w:sz w:val="24"/>
        </w:rPr>
        <w:t> </w:t>
      </w:r>
      <w:r>
        <w:rPr>
          <w:sz w:val="24"/>
        </w:rPr>
        <w:t>Commissioner</w:t>
      </w:r>
      <w:r>
        <w:rPr>
          <w:spacing w:val="40"/>
          <w:sz w:val="24"/>
        </w:rPr>
        <w:t> </w:t>
      </w:r>
      <w:r>
        <w:rPr>
          <w:sz w:val="24"/>
        </w:rPr>
        <w:t>depending</w:t>
      </w:r>
      <w:r>
        <w:rPr>
          <w:spacing w:val="40"/>
          <w:sz w:val="24"/>
        </w:rPr>
        <w:t> </w:t>
      </w:r>
      <w:r>
        <w:rPr>
          <w:sz w:val="24"/>
        </w:rPr>
        <w:t>on</w:t>
      </w:r>
      <w:r>
        <w:rPr>
          <w:spacing w:val="40"/>
          <w:sz w:val="24"/>
        </w:rPr>
        <w:t> </w:t>
      </w:r>
      <w:r>
        <w:rPr>
          <w:sz w:val="24"/>
        </w:rPr>
        <w:t>topography</w:t>
      </w:r>
      <w:r>
        <w:rPr>
          <w:spacing w:val="40"/>
          <w:sz w:val="24"/>
        </w:rPr>
        <w:t> </w:t>
      </w:r>
      <w:r>
        <w:rPr>
          <w:sz w:val="24"/>
        </w:rPr>
        <w:t>and</w:t>
      </w:r>
      <w:r>
        <w:rPr>
          <w:spacing w:val="40"/>
          <w:sz w:val="24"/>
        </w:rPr>
        <w:t> </w:t>
      </w:r>
      <w:r>
        <w:rPr>
          <w:sz w:val="24"/>
        </w:rPr>
        <w:t>drainage</w:t>
      </w:r>
      <w:r>
        <w:rPr>
          <w:spacing w:val="40"/>
          <w:sz w:val="24"/>
        </w:rPr>
        <w:t> </w:t>
      </w:r>
      <w:r>
        <w:rPr>
          <w:sz w:val="24"/>
        </w:rPr>
        <w:t>aspects. This shall not be less than reduced level of 27.55m of the Town Hall </w:t>
      </w:r>
      <w:r>
        <w:rPr>
          <w:spacing w:val="-2"/>
          <w:sz w:val="24"/>
        </w:rPr>
        <w:t>Datum;</w:t>
      </w:r>
    </w:p>
    <w:p>
      <w:pPr>
        <w:pStyle w:val="ListParagraph"/>
        <w:numPr>
          <w:ilvl w:val="1"/>
          <w:numId w:val="97"/>
        </w:numPr>
        <w:tabs>
          <w:tab w:pos="1762" w:val="left" w:leader="none"/>
        </w:tabs>
        <w:spacing w:line="240" w:lineRule="auto" w:before="241" w:after="0"/>
        <w:ind w:left="1762" w:right="0" w:hanging="269"/>
        <w:jc w:val="both"/>
        <w:rPr>
          <w:sz w:val="24"/>
        </w:rPr>
      </w:pPr>
      <w:r>
        <w:rPr>
          <w:sz w:val="24"/>
        </w:rPr>
        <w:t>if</w:t>
      </w:r>
      <w:r>
        <w:rPr>
          <w:spacing w:val="39"/>
          <w:sz w:val="24"/>
        </w:rPr>
        <w:t> </w:t>
      </w:r>
      <w:r>
        <w:rPr>
          <w:sz w:val="24"/>
        </w:rPr>
        <w:t>situated</w:t>
      </w:r>
      <w:r>
        <w:rPr>
          <w:spacing w:val="46"/>
          <w:sz w:val="24"/>
        </w:rPr>
        <w:t> </w:t>
      </w:r>
      <w:r>
        <w:rPr>
          <w:sz w:val="24"/>
        </w:rPr>
        <w:t>within</w:t>
      </w:r>
      <w:r>
        <w:rPr>
          <w:spacing w:val="44"/>
          <w:sz w:val="24"/>
        </w:rPr>
        <w:t> </w:t>
      </w:r>
      <w:r>
        <w:rPr>
          <w:sz w:val="24"/>
        </w:rPr>
        <w:t>the</w:t>
      </w:r>
      <w:r>
        <w:rPr>
          <w:spacing w:val="43"/>
          <w:sz w:val="24"/>
        </w:rPr>
        <w:t> </w:t>
      </w:r>
      <w:r>
        <w:rPr>
          <w:sz w:val="24"/>
        </w:rPr>
        <w:t>funnel</w:t>
      </w:r>
      <w:r>
        <w:rPr>
          <w:spacing w:val="42"/>
          <w:sz w:val="24"/>
        </w:rPr>
        <w:t> </w:t>
      </w:r>
      <w:r>
        <w:rPr>
          <w:sz w:val="24"/>
        </w:rPr>
        <w:t>of</w:t>
      </w:r>
      <w:r>
        <w:rPr>
          <w:spacing w:val="42"/>
          <w:sz w:val="24"/>
        </w:rPr>
        <w:t> </w:t>
      </w:r>
      <w:r>
        <w:rPr>
          <w:sz w:val="24"/>
        </w:rPr>
        <w:t>vision</w:t>
      </w:r>
      <w:r>
        <w:rPr>
          <w:spacing w:val="41"/>
          <w:sz w:val="24"/>
        </w:rPr>
        <w:t> </w:t>
      </w:r>
      <w:r>
        <w:rPr>
          <w:sz w:val="24"/>
        </w:rPr>
        <w:t>marked</w:t>
      </w:r>
      <w:r>
        <w:rPr>
          <w:spacing w:val="50"/>
          <w:sz w:val="24"/>
        </w:rPr>
        <w:t> </w:t>
      </w:r>
      <w:r>
        <w:rPr>
          <w:sz w:val="24"/>
        </w:rPr>
        <w:t>on</w:t>
      </w:r>
      <w:r>
        <w:rPr>
          <w:spacing w:val="41"/>
          <w:sz w:val="24"/>
        </w:rPr>
        <w:t> </w:t>
      </w:r>
      <w:r>
        <w:rPr>
          <w:sz w:val="24"/>
        </w:rPr>
        <w:t>DP</w:t>
      </w:r>
      <w:r>
        <w:rPr>
          <w:spacing w:val="42"/>
          <w:sz w:val="24"/>
        </w:rPr>
        <w:t> </w:t>
      </w:r>
      <w:r>
        <w:rPr>
          <w:sz w:val="24"/>
        </w:rPr>
        <w:t>plan</w:t>
      </w:r>
      <w:r>
        <w:rPr>
          <w:spacing w:val="47"/>
          <w:sz w:val="24"/>
        </w:rPr>
        <w:t> </w:t>
      </w:r>
      <w:r>
        <w:rPr>
          <w:sz w:val="24"/>
        </w:rPr>
        <w:t>of</w:t>
      </w:r>
      <w:r>
        <w:rPr>
          <w:spacing w:val="42"/>
          <w:sz w:val="24"/>
        </w:rPr>
        <w:t> </w:t>
      </w:r>
      <w:r>
        <w:rPr>
          <w:sz w:val="24"/>
        </w:rPr>
        <w:t>D</w:t>
      </w:r>
      <w:r>
        <w:rPr>
          <w:spacing w:val="42"/>
          <w:sz w:val="24"/>
        </w:rPr>
        <w:t> </w:t>
      </w:r>
      <w:r>
        <w:rPr>
          <w:spacing w:val="-2"/>
          <w:sz w:val="24"/>
        </w:rPr>
        <w:t>Ward;</w:t>
      </w:r>
    </w:p>
    <w:p>
      <w:pPr>
        <w:pStyle w:val="ListParagraph"/>
        <w:numPr>
          <w:ilvl w:val="1"/>
          <w:numId w:val="97"/>
        </w:numPr>
        <w:tabs>
          <w:tab w:pos="1853" w:val="left" w:leader="none"/>
          <w:tab w:pos="1938" w:val="left" w:leader="none"/>
        </w:tabs>
        <w:spacing w:line="240" w:lineRule="auto" w:before="240" w:after="0"/>
        <w:ind w:left="1853" w:right="773" w:hanging="360"/>
        <w:jc w:val="both"/>
        <w:rPr>
          <w:sz w:val="24"/>
        </w:rPr>
      </w:pPr>
      <w:r>
        <w:rPr>
          <w:sz w:val="24"/>
        </w:rPr>
        <w:tab/>
        <w:t>if</w:t>
      </w:r>
      <w:r>
        <w:rPr>
          <w:spacing w:val="40"/>
          <w:sz w:val="24"/>
        </w:rPr>
        <w:t> </w:t>
      </w:r>
      <w:r>
        <w:rPr>
          <w:sz w:val="24"/>
        </w:rPr>
        <w:t>the</w:t>
      </w:r>
      <w:r>
        <w:rPr>
          <w:spacing w:val="40"/>
          <w:sz w:val="24"/>
        </w:rPr>
        <w:t> </w:t>
      </w:r>
      <w:r>
        <w:rPr>
          <w:sz w:val="24"/>
        </w:rPr>
        <w:t>building</w:t>
      </w:r>
      <w:r>
        <w:rPr>
          <w:spacing w:val="40"/>
          <w:sz w:val="24"/>
        </w:rPr>
        <w:t> </w:t>
      </w:r>
      <w:r>
        <w:rPr>
          <w:sz w:val="24"/>
        </w:rPr>
        <w:t>is</w:t>
      </w:r>
      <w:r>
        <w:rPr>
          <w:spacing w:val="40"/>
          <w:sz w:val="24"/>
        </w:rPr>
        <w:t> </w:t>
      </w:r>
      <w:r>
        <w:rPr>
          <w:sz w:val="24"/>
        </w:rPr>
        <w:t>nearer</w:t>
      </w:r>
      <w:r>
        <w:rPr>
          <w:spacing w:val="40"/>
          <w:sz w:val="24"/>
        </w:rPr>
        <w:t> </w:t>
      </w:r>
      <w:r>
        <w:rPr>
          <w:sz w:val="24"/>
        </w:rPr>
        <w:t>than</w:t>
      </w:r>
      <w:r>
        <w:rPr>
          <w:spacing w:val="40"/>
          <w:sz w:val="24"/>
        </w:rPr>
        <w:t> </w:t>
      </w:r>
      <w:r>
        <w:rPr>
          <w:sz w:val="24"/>
        </w:rPr>
        <w:t>24.5</w:t>
      </w:r>
      <w:r>
        <w:rPr>
          <w:spacing w:val="40"/>
          <w:sz w:val="24"/>
        </w:rPr>
        <w:t> </w:t>
      </w:r>
      <w:r>
        <w:rPr>
          <w:sz w:val="24"/>
        </w:rPr>
        <w:t>m</w:t>
      </w:r>
      <w:r>
        <w:rPr>
          <w:spacing w:val="40"/>
          <w:sz w:val="24"/>
        </w:rPr>
        <w:t> </w:t>
      </w:r>
      <w:r>
        <w:rPr>
          <w:sz w:val="24"/>
        </w:rPr>
        <w:t>in</w:t>
      </w:r>
      <w:r>
        <w:rPr>
          <w:spacing w:val="40"/>
          <w:sz w:val="24"/>
        </w:rPr>
        <w:t> </w:t>
      </w:r>
      <w:r>
        <w:rPr>
          <w:sz w:val="24"/>
        </w:rPr>
        <w:t>the</w:t>
      </w:r>
      <w:r>
        <w:rPr>
          <w:spacing w:val="40"/>
          <w:sz w:val="24"/>
        </w:rPr>
        <w:t> </w:t>
      </w:r>
      <w:r>
        <w:rPr>
          <w:sz w:val="24"/>
        </w:rPr>
        <w:t>case</w:t>
      </w:r>
      <w:r>
        <w:rPr>
          <w:spacing w:val="40"/>
          <w:sz w:val="24"/>
        </w:rPr>
        <w:t> </w:t>
      </w:r>
      <w:r>
        <w:rPr>
          <w:sz w:val="24"/>
        </w:rPr>
        <w:t>of</w:t>
      </w:r>
      <w:r>
        <w:rPr>
          <w:spacing w:val="40"/>
          <w:sz w:val="24"/>
        </w:rPr>
        <w:t> </w:t>
      </w:r>
      <w:r>
        <w:rPr>
          <w:sz w:val="24"/>
        </w:rPr>
        <w:t>residential buildings</w:t>
      </w:r>
      <w:r>
        <w:rPr>
          <w:spacing w:val="40"/>
          <w:sz w:val="24"/>
        </w:rPr>
        <w:t> </w:t>
      </w:r>
      <w:r>
        <w:rPr>
          <w:sz w:val="24"/>
        </w:rPr>
        <w:t>and</w:t>
      </w:r>
      <w:r>
        <w:rPr>
          <w:spacing w:val="40"/>
          <w:sz w:val="24"/>
        </w:rPr>
        <w:t> </w:t>
      </w:r>
      <w:r>
        <w:rPr>
          <w:sz w:val="24"/>
        </w:rPr>
        <w:t>36.5</w:t>
      </w:r>
      <w:r>
        <w:rPr>
          <w:spacing w:val="40"/>
          <w:sz w:val="24"/>
        </w:rPr>
        <w:t> </w:t>
      </w:r>
      <w:r>
        <w:rPr>
          <w:sz w:val="24"/>
        </w:rPr>
        <w:t>m</w:t>
      </w:r>
      <w:r>
        <w:rPr>
          <w:spacing w:val="40"/>
          <w:sz w:val="24"/>
        </w:rPr>
        <w:t> </w:t>
      </w:r>
      <w:r>
        <w:rPr>
          <w:sz w:val="24"/>
        </w:rPr>
        <w:t>in</w:t>
      </w:r>
      <w:r>
        <w:rPr>
          <w:spacing w:val="40"/>
          <w:sz w:val="24"/>
        </w:rPr>
        <w:t> </w:t>
      </w:r>
      <w:r>
        <w:rPr>
          <w:sz w:val="24"/>
        </w:rPr>
        <w:t>the</w:t>
      </w:r>
      <w:r>
        <w:rPr>
          <w:spacing w:val="40"/>
          <w:sz w:val="24"/>
        </w:rPr>
        <w:t> </w:t>
      </w:r>
      <w:r>
        <w:rPr>
          <w:sz w:val="24"/>
        </w:rPr>
        <w:t>case</w:t>
      </w:r>
      <w:r>
        <w:rPr>
          <w:spacing w:val="40"/>
          <w:sz w:val="24"/>
        </w:rPr>
        <w:t> </w:t>
      </w:r>
      <w:r>
        <w:rPr>
          <w:sz w:val="24"/>
        </w:rPr>
        <w:t>of</w:t>
      </w:r>
      <w:r>
        <w:rPr>
          <w:spacing w:val="40"/>
          <w:sz w:val="24"/>
        </w:rPr>
        <w:t> </w:t>
      </w:r>
      <w:r>
        <w:rPr>
          <w:sz w:val="24"/>
        </w:rPr>
        <w:t>other</w:t>
      </w:r>
      <w:r>
        <w:rPr>
          <w:spacing w:val="40"/>
          <w:sz w:val="24"/>
        </w:rPr>
        <w:t> </w:t>
      </w:r>
      <w:r>
        <w:rPr>
          <w:sz w:val="24"/>
        </w:rPr>
        <w:t>buildings</w:t>
      </w:r>
      <w:r>
        <w:rPr>
          <w:spacing w:val="40"/>
          <w:sz w:val="24"/>
        </w:rPr>
        <w:t> </w:t>
      </w:r>
      <w:r>
        <w:rPr>
          <w:sz w:val="24"/>
        </w:rPr>
        <w:t>from</w:t>
      </w:r>
      <w:r>
        <w:rPr>
          <w:spacing w:val="40"/>
          <w:sz w:val="24"/>
        </w:rPr>
        <w:t> </w:t>
      </w:r>
      <w:r>
        <w:rPr>
          <w:sz w:val="24"/>
        </w:rPr>
        <w:t>the</w:t>
      </w:r>
      <w:r>
        <w:rPr>
          <w:spacing w:val="9"/>
          <w:sz w:val="24"/>
        </w:rPr>
        <w:t> centre </w:t>
      </w:r>
      <w:r>
        <w:rPr>
          <w:sz w:val="24"/>
        </w:rPr>
        <w:t>line</w:t>
      </w:r>
      <w:r>
        <w:rPr>
          <w:spacing w:val="40"/>
          <w:sz w:val="24"/>
        </w:rPr>
        <w:t> </w:t>
      </w:r>
      <w:r>
        <w:rPr>
          <w:sz w:val="24"/>
        </w:rPr>
        <w:t>of</w:t>
      </w:r>
      <w:r>
        <w:rPr>
          <w:spacing w:val="40"/>
          <w:sz w:val="24"/>
        </w:rPr>
        <w:t> </w:t>
      </w:r>
      <w:r>
        <w:rPr>
          <w:sz w:val="24"/>
        </w:rPr>
        <w:t>a</w:t>
      </w:r>
      <w:r>
        <w:rPr>
          <w:spacing w:val="40"/>
          <w:sz w:val="24"/>
        </w:rPr>
        <w:t> </w:t>
      </w:r>
      <w:r>
        <w:rPr>
          <w:sz w:val="24"/>
        </w:rPr>
        <w:t>National</w:t>
      </w:r>
      <w:r>
        <w:rPr>
          <w:spacing w:val="40"/>
          <w:sz w:val="24"/>
        </w:rPr>
        <w:t> </w:t>
      </w:r>
      <w:r>
        <w:rPr>
          <w:sz w:val="24"/>
        </w:rPr>
        <w:t>Highway,</w:t>
      </w:r>
      <w:r>
        <w:rPr>
          <w:spacing w:val="40"/>
          <w:sz w:val="24"/>
        </w:rPr>
        <w:t> </w:t>
      </w:r>
      <w:r>
        <w:rPr>
          <w:sz w:val="24"/>
        </w:rPr>
        <w:t>State</w:t>
      </w:r>
      <w:r>
        <w:rPr>
          <w:spacing w:val="40"/>
          <w:sz w:val="24"/>
        </w:rPr>
        <w:t> </w:t>
      </w:r>
      <w:r>
        <w:rPr>
          <w:sz w:val="24"/>
        </w:rPr>
        <w:t>Highway</w:t>
      </w:r>
      <w:r>
        <w:rPr>
          <w:spacing w:val="40"/>
          <w:sz w:val="24"/>
        </w:rPr>
        <w:t> </w:t>
      </w:r>
      <w:r>
        <w:rPr>
          <w:sz w:val="24"/>
        </w:rPr>
        <w:t>or</w:t>
      </w:r>
      <w:r>
        <w:rPr>
          <w:spacing w:val="40"/>
          <w:sz w:val="24"/>
        </w:rPr>
        <w:t> </w:t>
      </w:r>
      <w:r>
        <w:rPr>
          <w:sz w:val="24"/>
        </w:rPr>
        <w:t>Major</w:t>
      </w:r>
      <w:r>
        <w:rPr>
          <w:spacing w:val="40"/>
          <w:sz w:val="24"/>
        </w:rPr>
        <w:t> </w:t>
      </w:r>
      <w:r>
        <w:rPr>
          <w:sz w:val="24"/>
        </w:rPr>
        <w:t>District</w:t>
      </w:r>
      <w:r>
        <w:rPr>
          <w:spacing w:val="40"/>
          <w:sz w:val="24"/>
        </w:rPr>
        <w:t> </w:t>
      </w:r>
      <w:r>
        <w:rPr>
          <w:spacing w:val="9"/>
          <w:sz w:val="24"/>
        </w:rPr>
        <w:t>Road;</w:t>
      </w:r>
    </w:p>
    <w:p>
      <w:pPr>
        <w:pStyle w:val="ListParagraph"/>
        <w:numPr>
          <w:ilvl w:val="1"/>
          <w:numId w:val="97"/>
        </w:numPr>
        <w:tabs>
          <w:tab w:pos="1904" w:val="left" w:leader="none"/>
        </w:tabs>
        <w:spacing w:line="240" w:lineRule="auto" w:before="239" w:after="0"/>
        <w:ind w:left="1904" w:right="0" w:hanging="339"/>
        <w:jc w:val="both"/>
        <w:rPr>
          <w:sz w:val="24"/>
        </w:rPr>
      </w:pPr>
      <w:r>
        <w:rPr>
          <w:sz w:val="24"/>
        </w:rPr>
        <w:t>if</w:t>
      </w:r>
      <w:r>
        <w:rPr>
          <w:spacing w:val="27"/>
          <w:sz w:val="24"/>
        </w:rPr>
        <w:t> </w:t>
      </w:r>
      <w:r>
        <w:rPr>
          <w:sz w:val="24"/>
        </w:rPr>
        <w:t>it</w:t>
      </w:r>
      <w:r>
        <w:rPr>
          <w:spacing w:val="28"/>
          <w:sz w:val="24"/>
        </w:rPr>
        <w:t> </w:t>
      </w:r>
      <w:r>
        <w:rPr>
          <w:sz w:val="24"/>
        </w:rPr>
        <w:t>is</w:t>
      </w:r>
      <w:r>
        <w:rPr>
          <w:spacing w:val="31"/>
          <w:sz w:val="24"/>
        </w:rPr>
        <w:t> </w:t>
      </w:r>
      <w:r>
        <w:rPr>
          <w:spacing w:val="-2"/>
          <w:sz w:val="24"/>
        </w:rPr>
        <w:t>situated-</w:t>
      </w:r>
    </w:p>
    <w:p>
      <w:pPr>
        <w:pStyle w:val="ListParagraph"/>
        <w:numPr>
          <w:ilvl w:val="1"/>
          <w:numId w:val="97"/>
        </w:numPr>
        <w:tabs>
          <w:tab w:pos="2486" w:val="left" w:leader="none"/>
        </w:tabs>
        <w:spacing w:line="240" w:lineRule="auto" w:before="239" w:after="0"/>
        <w:ind w:left="2124" w:right="793" w:firstLine="0"/>
        <w:jc w:val="both"/>
        <w:rPr>
          <w:sz w:val="24"/>
        </w:rPr>
      </w:pPr>
      <w:r>
        <w:rPr>
          <w:sz w:val="24"/>
        </w:rPr>
        <w:t>within 2438 m from an international civil airport unless the application for development permission is accompanied by a</w:t>
      </w:r>
      <w:r>
        <w:rPr>
          <w:spacing w:val="40"/>
          <w:sz w:val="24"/>
        </w:rPr>
        <w:t> </w:t>
      </w:r>
      <w:r>
        <w:rPr>
          <w:sz w:val="24"/>
        </w:rPr>
        <w:t>certificate</w:t>
      </w:r>
      <w:r>
        <w:rPr>
          <w:spacing w:val="40"/>
          <w:sz w:val="24"/>
        </w:rPr>
        <w:t> </w:t>
      </w:r>
      <w:r>
        <w:rPr>
          <w:sz w:val="24"/>
        </w:rPr>
        <w:t>of</w:t>
      </w:r>
      <w:r>
        <w:rPr>
          <w:spacing w:val="40"/>
          <w:sz w:val="24"/>
        </w:rPr>
        <w:t> </w:t>
      </w:r>
      <w:r>
        <w:rPr>
          <w:sz w:val="24"/>
        </w:rPr>
        <w:t>consent</w:t>
      </w:r>
      <w:r>
        <w:rPr>
          <w:spacing w:val="40"/>
          <w:sz w:val="24"/>
        </w:rPr>
        <w:t> </w:t>
      </w:r>
      <w:r>
        <w:rPr>
          <w:sz w:val="24"/>
        </w:rPr>
        <w:t>from</w:t>
      </w:r>
      <w:r>
        <w:rPr>
          <w:spacing w:val="40"/>
          <w:sz w:val="24"/>
        </w:rPr>
        <w:t> </w:t>
      </w:r>
      <w:r>
        <w:rPr>
          <w:sz w:val="24"/>
        </w:rPr>
        <w:t>the</w:t>
      </w:r>
      <w:r>
        <w:rPr>
          <w:spacing w:val="40"/>
          <w:sz w:val="24"/>
        </w:rPr>
        <w:t> </w:t>
      </w:r>
      <w:r>
        <w:rPr>
          <w:sz w:val="24"/>
        </w:rPr>
        <w:t>Civil</w:t>
      </w:r>
      <w:r>
        <w:rPr>
          <w:spacing w:val="40"/>
          <w:sz w:val="24"/>
        </w:rPr>
        <w:t> </w:t>
      </w:r>
      <w:r>
        <w:rPr>
          <w:sz w:val="24"/>
        </w:rPr>
        <w:t>Aviation</w:t>
      </w:r>
      <w:r>
        <w:rPr>
          <w:spacing w:val="40"/>
          <w:sz w:val="24"/>
        </w:rPr>
        <w:t> </w:t>
      </w:r>
      <w:r>
        <w:rPr>
          <w:spacing w:val="9"/>
          <w:sz w:val="24"/>
        </w:rPr>
        <w:t>Authorities,</w:t>
      </w:r>
    </w:p>
    <w:p>
      <w:pPr>
        <w:pStyle w:val="ListParagraph"/>
        <w:spacing w:after="0" w:line="240" w:lineRule="auto"/>
        <w:jc w:val="both"/>
        <w:rPr>
          <w:sz w:val="24"/>
        </w:rPr>
        <w:sectPr>
          <w:headerReference w:type="default" r:id="rId22"/>
          <w:footerReference w:type="default" r:id="rId23"/>
          <w:pgSz w:w="11910" w:h="16840"/>
          <w:pgMar w:header="1058" w:footer="1194" w:top="1500" w:bottom="1380" w:left="360" w:right="360"/>
        </w:sectPr>
      </w:pPr>
    </w:p>
    <w:p>
      <w:pPr>
        <w:pStyle w:val="BodyText"/>
        <w:spacing w:before="255"/>
        <w:ind w:left="2124" w:right="787"/>
      </w:pPr>
      <w:r>
        <w:rPr/>
        <w:t>(ii)</w:t>
      </w:r>
      <w:r>
        <w:rPr>
          <w:spacing w:val="40"/>
        </w:rPr>
        <w:t> </w:t>
      </w:r>
      <w:r>
        <w:rPr/>
        <w:t>within</w:t>
      </w:r>
      <w:r>
        <w:rPr>
          <w:spacing w:val="40"/>
        </w:rPr>
        <w:t> </w:t>
      </w:r>
      <w:r>
        <w:rPr/>
        <w:t>1829</w:t>
      </w:r>
      <w:r>
        <w:rPr>
          <w:spacing w:val="40"/>
        </w:rPr>
        <w:t> </w:t>
      </w:r>
      <w:r>
        <w:rPr/>
        <w:t>m</w:t>
      </w:r>
      <w:r>
        <w:rPr>
          <w:spacing w:val="40"/>
        </w:rPr>
        <w:t> </w:t>
      </w:r>
      <w:r>
        <w:rPr/>
        <w:t>from</w:t>
      </w:r>
      <w:r>
        <w:rPr>
          <w:spacing w:val="40"/>
        </w:rPr>
        <w:t> </w:t>
      </w:r>
      <w:r>
        <w:rPr/>
        <w:t>any</w:t>
      </w:r>
      <w:r>
        <w:rPr>
          <w:spacing w:val="40"/>
        </w:rPr>
        <w:t> </w:t>
      </w:r>
      <w:r>
        <w:rPr/>
        <w:t>other</w:t>
      </w:r>
      <w:r>
        <w:rPr>
          <w:spacing w:val="40"/>
        </w:rPr>
        <w:t> </w:t>
      </w:r>
      <w:r>
        <w:rPr/>
        <w:t>civil</w:t>
      </w:r>
      <w:r>
        <w:rPr>
          <w:spacing w:val="40"/>
        </w:rPr>
        <w:t> </w:t>
      </w:r>
      <w:r>
        <w:rPr/>
        <w:t>airport</w:t>
      </w:r>
      <w:r>
        <w:rPr>
          <w:spacing w:val="40"/>
        </w:rPr>
        <w:t> </w:t>
      </w:r>
      <w:r>
        <w:rPr/>
        <w:t>unless</w:t>
      </w:r>
      <w:r>
        <w:rPr>
          <w:spacing w:val="40"/>
        </w:rPr>
        <w:t> </w:t>
      </w:r>
      <w:r>
        <w:rPr/>
        <w:t>the application for development permission is accompanied by a</w:t>
      </w:r>
      <w:r>
        <w:rPr>
          <w:spacing w:val="40"/>
        </w:rPr>
        <w:t> </w:t>
      </w:r>
      <w:r>
        <w:rPr/>
        <w:t>certificate</w:t>
      </w:r>
      <w:r>
        <w:rPr>
          <w:spacing w:val="80"/>
        </w:rPr>
        <w:t> </w:t>
      </w:r>
      <w:r>
        <w:rPr/>
        <w:t>of</w:t>
      </w:r>
      <w:r>
        <w:rPr>
          <w:spacing w:val="80"/>
        </w:rPr>
        <w:t> </w:t>
      </w:r>
      <w:r>
        <w:rPr/>
        <w:t>consent</w:t>
      </w:r>
      <w:r>
        <w:rPr>
          <w:spacing w:val="80"/>
        </w:rPr>
        <w:t> </w:t>
      </w:r>
      <w:r>
        <w:rPr/>
        <w:t>from</w:t>
      </w:r>
      <w:r>
        <w:rPr>
          <w:spacing w:val="80"/>
        </w:rPr>
        <w:t> </w:t>
      </w:r>
      <w:r>
        <w:rPr/>
        <w:t>the</w:t>
      </w:r>
      <w:r>
        <w:rPr>
          <w:spacing w:val="80"/>
        </w:rPr>
        <w:t> </w:t>
      </w:r>
      <w:r>
        <w:rPr/>
        <w:t>Civil</w:t>
      </w:r>
      <w:r>
        <w:rPr>
          <w:spacing w:val="80"/>
        </w:rPr>
        <w:t> </w:t>
      </w:r>
      <w:r>
        <w:rPr/>
        <w:t>Aviation</w:t>
      </w:r>
      <w:r>
        <w:rPr>
          <w:spacing w:val="80"/>
        </w:rPr>
        <w:t> </w:t>
      </w:r>
      <w:r>
        <w:rPr/>
        <w:t>Authorities.</w:t>
      </w:r>
    </w:p>
    <w:p>
      <w:pPr>
        <w:pStyle w:val="ListParagraph"/>
        <w:numPr>
          <w:ilvl w:val="0"/>
          <w:numId w:val="98"/>
        </w:numPr>
        <w:tabs>
          <w:tab w:pos="2196" w:val="left" w:leader="none"/>
        </w:tabs>
        <w:spacing w:line="240" w:lineRule="auto" w:before="242" w:after="0"/>
        <w:ind w:left="1853" w:right="788" w:firstLine="0"/>
        <w:jc w:val="both"/>
        <w:rPr>
          <w:sz w:val="24"/>
        </w:rPr>
      </w:pPr>
      <w:r>
        <w:rPr>
          <w:sz w:val="24"/>
        </w:rPr>
        <w:t>for places of public worship </w:t>
      </w:r>
      <w:r>
        <w:rPr>
          <w:spacing w:val="9"/>
          <w:sz w:val="24"/>
        </w:rPr>
        <w:t>unless </w:t>
      </w:r>
      <w:r>
        <w:rPr>
          <w:sz w:val="24"/>
        </w:rPr>
        <w:t>the site has been previously approved</w:t>
      </w:r>
      <w:r>
        <w:rPr>
          <w:spacing w:val="80"/>
          <w:sz w:val="24"/>
        </w:rPr>
        <w:t> </w:t>
      </w:r>
      <w:r>
        <w:rPr>
          <w:sz w:val="24"/>
        </w:rPr>
        <w:t>by</w:t>
      </w:r>
      <w:r>
        <w:rPr>
          <w:spacing w:val="80"/>
          <w:sz w:val="24"/>
        </w:rPr>
        <w:t> </w:t>
      </w:r>
      <w:r>
        <w:rPr>
          <w:sz w:val="24"/>
        </w:rPr>
        <w:t>the</w:t>
      </w:r>
      <w:r>
        <w:rPr>
          <w:spacing w:val="80"/>
          <w:sz w:val="24"/>
        </w:rPr>
        <w:t> </w:t>
      </w:r>
      <w:r>
        <w:rPr>
          <w:sz w:val="24"/>
        </w:rPr>
        <w:t>Commissioner</w:t>
      </w:r>
      <w:r>
        <w:rPr>
          <w:spacing w:val="80"/>
          <w:sz w:val="24"/>
        </w:rPr>
        <w:t> </w:t>
      </w:r>
      <w:r>
        <w:rPr>
          <w:sz w:val="24"/>
        </w:rPr>
        <w:t>and</w:t>
      </w:r>
      <w:r>
        <w:rPr>
          <w:spacing w:val="80"/>
          <w:sz w:val="24"/>
        </w:rPr>
        <w:t> </w:t>
      </w:r>
      <w:r>
        <w:rPr>
          <w:sz w:val="24"/>
        </w:rPr>
        <w:t>the</w:t>
      </w:r>
      <w:r>
        <w:rPr>
          <w:spacing w:val="80"/>
          <w:sz w:val="24"/>
        </w:rPr>
        <w:t> </w:t>
      </w:r>
      <w:r>
        <w:rPr>
          <w:sz w:val="24"/>
        </w:rPr>
        <w:t>Commissioner</w:t>
      </w:r>
      <w:r>
        <w:rPr>
          <w:spacing w:val="80"/>
          <w:sz w:val="24"/>
        </w:rPr>
        <w:t> </w:t>
      </w:r>
      <w:r>
        <w:rPr>
          <w:sz w:val="24"/>
        </w:rPr>
        <w:t>of</w:t>
      </w:r>
      <w:r>
        <w:rPr>
          <w:spacing w:val="80"/>
          <w:sz w:val="24"/>
        </w:rPr>
        <w:t> </w:t>
      </w:r>
      <w:r>
        <w:rPr>
          <w:sz w:val="24"/>
        </w:rPr>
        <w:t>Police;</w:t>
      </w:r>
    </w:p>
    <w:p>
      <w:pPr>
        <w:pStyle w:val="ListParagraph"/>
        <w:numPr>
          <w:ilvl w:val="0"/>
          <w:numId w:val="98"/>
        </w:numPr>
        <w:tabs>
          <w:tab w:pos="2249" w:val="left" w:leader="none"/>
        </w:tabs>
        <w:spacing w:line="240" w:lineRule="auto" w:before="238" w:after="0"/>
        <w:ind w:left="1853" w:right="784" w:firstLine="0"/>
        <w:jc w:val="both"/>
        <w:rPr>
          <w:sz w:val="24"/>
        </w:rPr>
      </w:pPr>
      <w:r>
        <w:rPr>
          <w:sz w:val="24"/>
        </w:rPr>
        <w:t>Unless</w:t>
      </w:r>
      <w:r>
        <w:rPr>
          <w:spacing w:val="40"/>
          <w:sz w:val="24"/>
        </w:rPr>
        <w:t> </w:t>
      </w:r>
      <w:r>
        <w:rPr>
          <w:sz w:val="24"/>
        </w:rPr>
        <w:t>it</w:t>
      </w:r>
      <w:r>
        <w:rPr>
          <w:spacing w:val="40"/>
          <w:sz w:val="24"/>
        </w:rPr>
        <w:t> </w:t>
      </w:r>
      <w:r>
        <w:rPr>
          <w:sz w:val="24"/>
        </w:rPr>
        <w:t>derives</w:t>
      </w:r>
      <w:r>
        <w:rPr>
          <w:spacing w:val="40"/>
          <w:sz w:val="24"/>
        </w:rPr>
        <w:t> </w:t>
      </w:r>
      <w:r>
        <w:rPr>
          <w:sz w:val="24"/>
        </w:rPr>
        <w:t>access</w:t>
      </w:r>
      <w:r>
        <w:rPr>
          <w:spacing w:val="40"/>
          <w:sz w:val="24"/>
        </w:rPr>
        <w:t> </w:t>
      </w:r>
      <w:r>
        <w:rPr>
          <w:sz w:val="24"/>
        </w:rPr>
        <w:t>from</w:t>
      </w:r>
      <w:r>
        <w:rPr>
          <w:spacing w:val="40"/>
          <w:sz w:val="24"/>
        </w:rPr>
        <w:t> </w:t>
      </w:r>
      <w:r>
        <w:rPr>
          <w:sz w:val="24"/>
        </w:rPr>
        <w:t>an</w:t>
      </w:r>
      <w:r>
        <w:rPr>
          <w:spacing w:val="40"/>
          <w:sz w:val="24"/>
        </w:rPr>
        <w:t> </w:t>
      </w:r>
      <w:r>
        <w:rPr>
          <w:sz w:val="24"/>
        </w:rPr>
        <w:t>authorized</w:t>
      </w:r>
      <w:r>
        <w:rPr>
          <w:spacing w:val="40"/>
          <w:sz w:val="24"/>
        </w:rPr>
        <w:t> </w:t>
      </w:r>
      <w:r>
        <w:rPr>
          <w:sz w:val="24"/>
        </w:rPr>
        <w:t>street/means</w:t>
      </w:r>
      <w:r>
        <w:rPr>
          <w:spacing w:val="40"/>
          <w:sz w:val="24"/>
        </w:rPr>
        <w:t> </w:t>
      </w:r>
      <w:r>
        <w:rPr>
          <w:sz w:val="24"/>
        </w:rPr>
        <w:t>of access</w:t>
      </w:r>
      <w:r>
        <w:rPr>
          <w:spacing w:val="40"/>
          <w:sz w:val="24"/>
        </w:rPr>
        <w:t> </w:t>
      </w:r>
      <w:r>
        <w:rPr>
          <w:sz w:val="24"/>
        </w:rPr>
        <w:t>described</w:t>
      </w:r>
      <w:r>
        <w:rPr>
          <w:spacing w:val="40"/>
          <w:sz w:val="24"/>
        </w:rPr>
        <w:t> </w:t>
      </w:r>
      <w:r>
        <w:rPr>
          <w:sz w:val="24"/>
        </w:rPr>
        <w:t>in</w:t>
      </w:r>
      <w:r>
        <w:rPr>
          <w:spacing w:val="40"/>
          <w:sz w:val="24"/>
        </w:rPr>
        <w:t> </w:t>
      </w:r>
      <w:r>
        <w:rPr>
          <w:sz w:val="24"/>
        </w:rPr>
        <w:t>these</w:t>
      </w:r>
      <w:r>
        <w:rPr>
          <w:spacing w:val="40"/>
          <w:sz w:val="24"/>
        </w:rPr>
        <w:t> </w:t>
      </w:r>
      <w:r>
        <w:rPr>
          <w:spacing w:val="9"/>
          <w:sz w:val="24"/>
        </w:rPr>
        <w:t>Regulations;</w:t>
      </w:r>
    </w:p>
    <w:p>
      <w:pPr>
        <w:pStyle w:val="ListParagraph"/>
        <w:numPr>
          <w:ilvl w:val="0"/>
          <w:numId w:val="98"/>
        </w:numPr>
        <w:tabs>
          <w:tab w:pos="2326" w:val="left" w:leader="none"/>
        </w:tabs>
        <w:spacing w:line="240" w:lineRule="auto" w:before="240" w:after="0"/>
        <w:ind w:left="1853" w:right="787" w:firstLine="0"/>
        <w:jc w:val="both"/>
        <w:rPr>
          <w:sz w:val="24"/>
        </w:rPr>
      </w:pPr>
      <w:r>
        <w:rPr>
          <w:sz w:val="24"/>
        </w:rPr>
        <w:t>for industrial use, other than a service industry unless the application</w:t>
      </w:r>
      <w:r>
        <w:rPr>
          <w:spacing w:val="40"/>
          <w:sz w:val="24"/>
        </w:rPr>
        <w:t> </w:t>
      </w:r>
      <w:r>
        <w:rPr>
          <w:sz w:val="24"/>
        </w:rPr>
        <w:t>is</w:t>
      </w:r>
      <w:r>
        <w:rPr>
          <w:spacing w:val="40"/>
          <w:sz w:val="24"/>
        </w:rPr>
        <w:t> </w:t>
      </w:r>
      <w:r>
        <w:rPr>
          <w:sz w:val="24"/>
        </w:rPr>
        <w:t>accompanied</w:t>
      </w:r>
      <w:r>
        <w:rPr>
          <w:spacing w:val="40"/>
          <w:sz w:val="24"/>
        </w:rPr>
        <w:t> </w:t>
      </w:r>
      <w:r>
        <w:rPr>
          <w:sz w:val="24"/>
        </w:rPr>
        <w:t>by</w:t>
      </w:r>
      <w:r>
        <w:rPr>
          <w:spacing w:val="40"/>
          <w:sz w:val="24"/>
        </w:rPr>
        <w:t> </w:t>
      </w:r>
      <w:r>
        <w:rPr>
          <w:sz w:val="24"/>
        </w:rPr>
        <w:t>NOC</w:t>
      </w:r>
      <w:r>
        <w:rPr>
          <w:spacing w:val="40"/>
          <w:sz w:val="24"/>
        </w:rPr>
        <w:t> </w:t>
      </w:r>
      <w:r>
        <w:rPr>
          <w:sz w:val="24"/>
        </w:rPr>
        <w:t>from</w:t>
      </w:r>
      <w:r>
        <w:rPr>
          <w:spacing w:val="40"/>
          <w:sz w:val="24"/>
        </w:rPr>
        <w:t> </w:t>
      </w:r>
      <w:r>
        <w:rPr>
          <w:sz w:val="24"/>
        </w:rPr>
        <w:t>the</w:t>
      </w:r>
      <w:r>
        <w:rPr>
          <w:spacing w:val="40"/>
          <w:sz w:val="24"/>
        </w:rPr>
        <w:t> </w:t>
      </w:r>
      <w:r>
        <w:rPr>
          <w:sz w:val="24"/>
        </w:rPr>
        <w:t>appropriate</w:t>
      </w:r>
      <w:r>
        <w:rPr>
          <w:spacing w:val="40"/>
          <w:sz w:val="24"/>
        </w:rPr>
        <w:t> </w:t>
      </w:r>
      <w:r>
        <w:rPr>
          <w:sz w:val="24"/>
        </w:rPr>
        <w:t>officer</w:t>
      </w:r>
      <w:r>
        <w:rPr>
          <w:spacing w:val="40"/>
          <w:sz w:val="24"/>
        </w:rPr>
        <w:t> </w:t>
      </w:r>
      <w:r>
        <w:rPr>
          <w:sz w:val="24"/>
        </w:rPr>
        <w:t>of</w:t>
      </w:r>
      <w:r>
        <w:rPr>
          <w:spacing w:val="40"/>
          <w:sz w:val="24"/>
        </w:rPr>
        <w:t> </w:t>
      </w:r>
      <w:r>
        <w:rPr>
          <w:sz w:val="24"/>
        </w:rPr>
        <w:t>the Industries Department of the Govt. according to the prevailing Industrial</w:t>
      </w:r>
      <w:r>
        <w:rPr>
          <w:spacing w:val="40"/>
          <w:sz w:val="24"/>
        </w:rPr>
        <w:t> </w:t>
      </w:r>
      <w:r>
        <w:rPr>
          <w:sz w:val="24"/>
        </w:rPr>
        <w:t>Location</w:t>
      </w:r>
      <w:r>
        <w:rPr>
          <w:spacing w:val="40"/>
          <w:sz w:val="24"/>
        </w:rPr>
        <w:t> </w:t>
      </w:r>
      <w:r>
        <w:rPr>
          <w:sz w:val="24"/>
        </w:rPr>
        <w:t>policy;</w:t>
      </w:r>
    </w:p>
    <w:p>
      <w:pPr>
        <w:pStyle w:val="ListParagraph"/>
        <w:numPr>
          <w:ilvl w:val="0"/>
          <w:numId w:val="98"/>
        </w:numPr>
        <w:tabs>
          <w:tab w:pos="2172" w:val="left" w:leader="none"/>
        </w:tabs>
        <w:spacing w:line="240" w:lineRule="auto" w:before="242" w:after="0"/>
        <w:ind w:left="1853" w:right="774" w:firstLine="0"/>
        <w:jc w:val="both"/>
        <w:rPr>
          <w:sz w:val="24"/>
        </w:rPr>
      </w:pPr>
      <w:r>
        <w:rPr>
          <w:sz w:val="24"/>
        </w:rPr>
        <w:t>if the proposed development is likely to involve damage to or have deleterious</w:t>
      </w:r>
      <w:r>
        <w:rPr>
          <w:spacing w:val="40"/>
          <w:sz w:val="24"/>
        </w:rPr>
        <w:t> </w:t>
      </w:r>
      <w:r>
        <w:rPr>
          <w:sz w:val="24"/>
        </w:rPr>
        <w:t>impact</w:t>
      </w:r>
      <w:r>
        <w:rPr>
          <w:spacing w:val="40"/>
          <w:sz w:val="24"/>
        </w:rPr>
        <w:t> </w:t>
      </w:r>
      <w:r>
        <w:rPr>
          <w:sz w:val="24"/>
        </w:rPr>
        <w:t>on</w:t>
      </w:r>
      <w:r>
        <w:rPr>
          <w:spacing w:val="40"/>
          <w:sz w:val="24"/>
        </w:rPr>
        <w:t> </w:t>
      </w:r>
      <w:r>
        <w:rPr>
          <w:sz w:val="24"/>
        </w:rPr>
        <w:t>or</w:t>
      </w:r>
      <w:r>
        <w:rPr>
          <w:spacing w:val="40"/>
          <w:sz w:val="24"/>
        </w:rPr>
        <w:t> </w:t>
      </w:r>
      <w:r>
        <w:rPr>
          <w:sz w:val="24"/>
        </w:rPr>
        <w:t>is</w:t>
      </w:r>
      <w:r>
        <w:rPr>
          <w:spacing w:val="40"/>
          <w:sz w:val="24"/>
        </w:rPr>
        <w:t> </w:t>
      </w:r>
      <w:r>
        <w:rPr>
          <w:sz w:val="24"/>
        </w:rPr>
        <w:t>against</w:t>
      </w:r>
      <w:r>
        <w:rPr>
          <w:spacing w:val="40"/>
          <w:sz w:val="24"/>
        </w:rPr>
        <w:t> </w:t>
      </w:r>
      <w:r>
        <w:rPr>
          <w:sz w:val="24"/>
        </w:rPr>
        <w:t>urban</w:t>
      </w:r>
      <w:r>
        <w:rPr>
          <w:spacing w:val="40"/>
          <w:sz w:val="24"/>
        </w:rPr>
        <w:t> </w:t>
      </w:r>
      <w:r>
        <w:rPr>
          <w:sz w:val="24"/>
        </w:rPr>
        <w:t>aesthetics</w:t>
      </w:r>
      <w:r>
        <w:rPr>
          <w:spacing w:val="40"/>
          <w:sz w:val="24"/>
        </w:rPr>
        <w:t> </w:t>
      </w:r>
      <w:r>
        <w:rPr>
          <w:sz w:val="24"/>
        </w:rPr>
        <w:t>of</w:t>
      </w:r>
      <w:r>
        <w:rPr>
          <w:spacing w:val="40"/>
          <w:sz w:val="24"/>
        </w:rPr>
        <w:t> </w:t>
      </w:r>
      <w:r>
        <w:rPr>
          <w:spacing w:val="9"/>
          <w:sz w:val="24"/>
        </w:rPr>
        <w:t>environment </w:t>
      </w:r>
      <w:r>
        <w:rPr>
          <w:sz w:val="24"/>
        </w:rPr>
        <w:t>or ecology and/or on </w:t>
      </w:r>
      <w:r>
        <w:rPr>
          <w:spacing w:val="9"/>
          <w:sz w:val="24"/>
        </w:rPr>
        <w:t>historical/architectural/aesthetical </w:t>
      </w:r>
      <w:r>
        <w:rPr>
          <w:sz w:val="24"/>
        </w:rPr>
        <w:t>buildings and</w:t>
      </w:r>
      <w:r>
        <w:rPr>
          <w:spacing w:val="80"/>
          <w:sz w:val="24"/>
        </w:rPr>
        <w:t> </w:t>
      </w:r>
      <w:r>
        <w:rPr>
          <w:sz w:val="24"/>
        </w:rPr>
        <w:t>precincts</w:t>
      </w:r>
      <w:r>
        <w:rPr>
          <w:spacing w:val="80"/>
          <w:sz w:val="24"/>
        </w:rPr>
        <w:t> </w:t>
      </w:r>
      <w:r>
        <w:rPr>
          <w:sz w:val="24"/>
        </w:rPr>
        <w:t>unless</w:t>
      </w:r>
      <w:r>
        <w:rPr>
          <w:spacing w:val="80"/>
          <w:sz w:val="24"/>
        </w:rPr>
        <w:t> </w:t>
      </w:r>
      <w:r>
        <w:rPr>
          <w:sz w:val="24"/>
        </w:rPr>
        <w:t>and</w:t>
      </w:r>
      <w:r>
        <w:rPr>
          <w:spacing w:val="80"/>
          <w:sz w:val="24"/>
        </w:rPr>
        <w:t> </w:t>
      </w:r>
      <w:r>
        <w:rPr>
          <w:sz w:val="24"/>
        </w:rPr>
        <w:t>otherwise</w:t>
      </w:r>
      <w:r>
        <w:rPr>
          <w:spacing w:val="80"/>
          <w:sz w:val="24"/>
        </w:rPr>
        <w:t> </w:t>
      </w:r>
      <w:r>
        <w:rPr>
          <w:sz w:val="24"/>
        </w:rPr>
        <w:t>specified</w:t>
      </w:r>
      <w:r>
        <w:rPr>
          <w:spacing w:val="80"/>
          <w:sz w:val="24"/>
        </w:rPr>
        <w:t> </w:t>
      </w:r>
      <w:r>
        <w:rPr>
          <w:sz w:val="24"/>
        </w:rPr>
        <w:t>in</w:t>
      </w:r>
      <w:r>
        <w:rPr>
          <w:spacing w:val="80"/>
          <w:sz w:val="24"/>
        </w:rPr>
        <w:t> </w:t>
      </w:r>
      <w:r>
        <w:rPr>
          <w:sz w:val="24"/>
        </w:rPr>
        <w:t>these</w:t>
      </w:r>
      <w:r>
        <w:rPr>
          <w:spacing w:val="80"/>
          <w:sz w:val="24"/>
        </w:rPr>
        <w:t> </w:t>
      </w:r>
      <w:r>
        <w:rPr>
          <w:sz w:val="24"/>
        </w:rPr>
        <w:t>Regulations.</w:t>
      </w:r>
    </w:p>
    <w:p>
      <w:pPr>
        <w:pStyle w:val="Heading3"/>
        <w:numPr>
          <w:ilvl w:val="0"/>
          <w:numId w:val="97"/>
        </w:numPr>
        <w:tabs>
          <w:tab w:pos="1428" w:val="left" w:leader="none"/>
        </w:tabs>
        <w:spacing w:line="240" w:lineRule="auto" w:before="235" w:after="0"/>
        <w:ind w:left="1428" w:right="0" w:hanging="656"/>
        <w:jc w:val="left"/>
      </w:pPr>
      <w:r>
        <w:rPr/>
        <w:t>Public</w:t>
      </w:r>
      <w:r>
        <w:rPr>
          <w:spacing w:val="-5"/>
        </w:rPr>
        <w:t> </w:t>
      </w:r>
      <w:r>
        <w:rPr/>
        <w:t>Street</w:t>
      </w:r>
      <w:r>
        <w:rPr>
          <w:spacing w:val="-4"/>
        </w:rPr>
        <w:t> </w:t>
      </w:r>
      <w:r>
        <w:rPr/>
        <w:t>and</w:t>
      </w:r>
      <w:r>
        <w:rPr>
          <w:spacing w:val="-4"/>
        </w:rPr>
        <w:t> </w:t>
      </w:r>
      <w:r>
        <w:rPr/>
        <w:t>Means</w:t>
      </w:r>
      <w:r>
        <w:rPr>
          <w:spacing w:val="-3"/>
        </w:rPr>
        <w:t> </w:t>
      </w:r>
      <w:r>
        <w:rPr/>
        <w:t>of</w:t>
      </w:r>
      <w:r>
        <w:rPr>
          <w:spacing w:val="-7"/>
        </w:rPr>
        <w:t> </w:t>
      </w:r>
      <w:r>
        <w:rPr>
          <w:spacing w:val="-2"/>
        </w:rPr>
        <w:t>Access</w:t>
      </w:r>
    </w:p>
    <w:p>
      <w:pPr>
        <w:pStyle w:val="ListParagraph"/>
        <w:numPr>
          <w:ilvl w:val="0"/>
          <w:numId w:val="99"/>
        </w:numPr>
        <w:tabs>
          <w:tab w:pos="1133" w:val="left" w:leader="none"/>
          <w:tab w:pos="1193" w:val="left" w:leader="none"/>
        </w:tabs>
        <w:spacing w:line="240" w:lineRule="auto" w:before="242" w:after="0"/>
        <w:ind w:left="1133" w:right="783" w:hanging="361"/>
        <w:jc w:val="both"/>
        <w:rPr>
          <w:sz w:val="24"/>
        </w:rPr>
      </w:pPr>
      <w:r>
        <w:rPr>
          <w:b/>
          <w:i/>
          <w:sz w:val="24"/>
        </w:rPr>
        <w:t>Every</w:t>
      </w:r>
      <w:r>
        <w:rPr>
          <w:b/>
          <w:i/>
          <w:spacing w:val="80"/>
          <w:w w:val="150"/>
          <w:sz w:val="24"/>
        </w:rPr>
        <w:t> </w:t>
      </w:r>
      <w:r>
        <w:rPr>
          <w:b/>
          <w:i/>
          <w:sz w:val="24"/>
        </w:rPr>
        <w:t>site</w:t>
      </w:r>
      <w:r>
        <w:rPr>
          <w:b/>
          <w:i/>
          <w:spacing w:val="75"/>
          <w:sz w:val="24"/>
        </w:rPr>
        <w:t> </w:t>
      </w:r>
      <w:r>
        <w:rPr>
          <w:b/>
          <w:i/>
          <w:sz w:val="24"/>
        </w:rPr>
        <w:t>to</w:t>
      </w:r>
      <w:r>
        <w:rPr>
          <w:b/>
          <w:i/>
          <w:spacing w:val="75"/>
          <w:sz w:val="24"/>
        </w:rPr>
        <w:t> </w:t>
      </w:r>
      <w:r>
        <w:rPr>
          <w:b/>
          <w:i/>
          <w:sz w:val="24"/>
        </w:rPr>
        <w:t>have</w:t>
      </w:r>
      <w:r>
        <w:rPr>
          <w:b/>
          <w:i/>
          <w:spacing w:val="75"/>
          <w:sz w:val="24"/>
        </w:rPr>
        <w:t> </w:t>
      </w:r>
      <w:r>
        <w:rPr>
          <w:b/>
          <w:i/>
          <w:sz w:val="24"/>
        </w:rPr>
        <w:t>access</w:t>
      </w:r>
      <w:r>
        <w:rPr>
          <w:b/>
          <w:i/>
          <w:spacing w:val="75"/>
          <w:sz w:val="24"/>
        </w:rPr>
        <w:t> </w:t>
      </w:r>
      <w:r>
        <w:rPr>
          <w:b/>
          <w:i/>
          <w:sz w:val="24"/>
        </w:rPr>
        <w:t>free</w:t>
      </w:r>
      <w:r>
        <w:rPr>
          <w:b/>
          <w:i/>
          <w:spacing w:val="75"/>
          <w:sz w:val="24"/>
        </w:rPr>
        <w:t> </w:t>
      </w:r>
      <w:r>
        <w:rPr>
          <w:b/>
          <w:i/>
          <w:sz w:val="24"/>
        </w:rPr>
        <w:t>of</w:t>
      </w:r>
      <w:r>
        <w:rPr>
          <w:b/>
          <w:i/>
          <w:spacing w:val="80"/>
          <w:sz w:val="24"/>
        </w:rPr>
        <w:t> </w:t>
      </w:r>
      <w:r>
        <w:rPr>
          <w:b/>
          <w:i/>
          <w:sz w:val="24"/>
        </w:rPr>
        <w:t>encroachment:</w:t>
      </w:r>
      <w:r>
        <w:rPr>
          <w:b/>
          <w:i/>
          <w:spacing w:val="73"/>
          <w:sz w:val="24"/>
        </w:rPr>
        <w:t> </w:t>
      </w:r>
      <w:r>
        <w:rPr>
          <w:sz w:val="24"/>
        </w:rPr>
        <w:t>Every</w:t>
      </w:r>
      <w:r>
        <w:rPr>
          <w:spacing w:val="74"/>
          <w:sz w:val="24"/>
        </w:rPr>
        <w:t> </w:t>
      </w:r>
      <w:r>
        <w:rPr>
          <w:sz w:val="24"/>
        </w:rPr>
        <w:t>site</w:t>
      </w:r>
      <w:r>
        <w:rPr>
          <w:spacing w:val="74"/>
          <w:sz w:val="24"/>
        </w:rPr>
        <w:t> </w:t>
      </w:r>
      <w:r>
        <w:rPr>
          <w:sz w:val="24"/>
        </w:rPr>
        <w:t>proposed to</w:t>
      </w:r>
      <w:r>
        <w:rPr>
          <w:spacing w:val="40"/>
          <w:sz w:val="24"/>
        </w:rPr>
        <w:t> </w:t>
      </w:r>
      <w:r>
        <w:rPr>
          <w:sz w:val="24"/>
        </w:rPr>
        <w:t>be</w:t>
      </w:r>
      <w:r>
        <w:rPr>
          <w:spacing w:val="40"/>
          <w:sz w:val="24"/>
        </w:rPr>
        <w:t> </w:t>
      </w:r>
      <w:r>
        <w:rPr>
          <w:sz w:val="24"/>
        </w:rPr>
        <w:t>developed</w:t>
      </w:r>
      <w:r>
        <w:rPr>
          <w:spacing w:val="40"/>
          <w:sz w:val="24"/>
        </w:rPr>
        <w:t> </w:t>
      </w:r>
      <w:r>
        <w:rPr>
          <w:sz w:val="24"/>
        </w:rPr>
        <w:t>or</w:t>
      </w:r>
      <w:r>
        <w:rPr>
          <w:spacing w:val="40"/>
          <w:sz w:val="24"/>
        </w:rPr>
        <w:t> </w:t>
      </w:r>
      <w:r>
        <w:rPr>
          <w:sz w:val="24"/>
        </w:rPr>
        <w:t>redeveloped</w:t>
      </w:r>
      <w:r>
        <w:rPr>
          <w:spacing w:val="40"/>
          <w:sz w:val="24"/>
        </w:rPr>
        <w:t> </w:t>
      </w:r>
      <w:r>
        <w:rPr>
          <w:sz w:val="24"/>
        </w:rPr>
        <w:t>shall</w:t>
      </w:r>
      <w:r>
        <w:rPr>
          <w:spacing w:val="40"/>
          <w:sz w:val="24"/>
        </w:rPr>
        <w:t> </w:t>
      </w:r>
      <w:r>
        <w:rPr>
          <w:sz w:val="24"/>
        </w:rPr>
        <w:t>have</w:t>
      </w:r>
      <w:r>
        <w:rPr>
          <w:spacing w:val="40"/>
          <w:sz w:val="24"/>
        </w:rPr>
        <w:t> </w:t>
      </w:r>
      <w:r>
        <w:rPr>
          <w:sz w:val="24"/>
        </w:rPr>
        <w:t>access</w:t>
      </w:r>
      <w:r>
        <w:rPr>
          <w:spacing w:val="40"/>
          <w:sz w:val="24"/>
        </w:rPr>
        <w:t> </w:t>
      </w:r>
      <w:r>
        <w:rPr>
          <w:sz w:val="24"/>
        </w:rPr>
        <w:t>from</w:t>
      </w:r>
      <w:r>
        <w:rPr>
          <w:spacing w:val="40"/>
          <w:sz w:val="24"/>
        </w:rPr>
        <w:t> </w:t>
      </w:r>
      <w:r>
        <w:rPr>
          <w:sz w:val="24"/>
        </w:rPr>
        <w:t>a</w:t>
      </w:r>
      <w:r>
        <w:rPr>
          <w:spacing w:val="40"/>
          <w:sz w:val="24"/>
        </w:rPr>
        <w:t> </w:t>
      </w:r>
      <w:r>
        <w:rPr>
          <w:sz w:val="24"/>
        </w:rPr>
        <w:t>public</w:t>
      </w:r>
      <w:r>
        <w:rPr>
          <w:spacing w:val="40"/>
          <w:sz w:val="24"/>
        </w:rPr>
        <w:t> </w:t>
      </w:r>
      <w:r>
        <w:rPr>
          <w:sz w:val="24"/>
        </w:rPr>
        <w:t>street/road as required in these Regulations. Such access shall be kept free of </w:t>
      </w:r>
      <w:r>
        <w:rPr>
          <w:spacing w:val="7"/>
          <w:sz w:val="24"/>
        </w:rPr>
        <w:t>encroachment.</w:t>
      </w:r>
    </w:p>
    <w:p>
      <w:pPr>
        <w:pStyle w:val="ListParagraph"/>
        <w:numPr>
          <w:ilvl w:val="0"/>
          <w:numId w:val="99"/>
        </w:numPr>
        <w:tabs>
          <w:tab w:pos="1130" w:val="left" w:leader="none"/>
          <w:tab w:pos="1133" w:val="left" w:leader="none"/>
        </w:tabs>
        <w:spacing w:line="240" w:lineRule="auto" w:before="121" w:after="0"/>
        <w:ind w:left="1133" w:right="790" w:hanging="361"/>
        <w:jc w:val="both"/>
        <w:rPr>
          <w:sz w:val="24"/>
        </w:rPr>
      </w:pPr>
      <w:r>
        <w:rPr>
          <w:b/>
          <w:i/>
          <w:sz w:val="24"/>
        </w:rPr>
        <w:t>High</w:t>
      </w:r>
      <w:r>
        <w:rPr>
          <w:b/>
          <w:i/>
          <w:spacing w:val="40"/>
          <w:sz w:val="24"/>
        </w:rPr>
        <w:t> </w:t>
      </w:r>
      <w:r>
        <w:rPr>
          <w:b/>
          <w:i/>
          <w:sz w:val="24"/>
        </w:rPr>
        <w:t>Rise</w:t>
      </w:r>
      <w:r>
        <w:rPr>
          <w:b/>
          <w:i/>
          <w:spacing w:val="40"/>
          <w:sz w:val="24"/>
        </w:rPr>
        <w:t> </w:t>
      </w:r>
      <w:r>
        <w:rPr>
          <w:b/>
          <w:i/>
          <w:sz w:val="24"/>
        </w:rPr>
        <w:t>and</w:t>
      </w:r>
      <w:r>
        <w:rPr>
          <w:b/>
          <w:i/>
          <w:spacing w:val="40"/>
          <w:sz w:val="24"/>
        </w:rPr>
        <w:t> </w:t>
      </w:r>
      <w:r>
        <w:rPr>
          <w:b/>
          <w:i/>
          <w:sz w:val="24"/>
        </w:rPr>
        <w:t>Special</w:t>
      </w:r>
      <w:r>
        <w:rPr>
          <w:b/>
          <w:i/>
          <w:spacing w:val="40"/>
          <w:sz w:val="24"/>
        </w:rPr>
        <w:t> </w:t>
      </w:r>
      <w:r>
        <w:rPr>
          <w:b/>
          <w:i/>
          <w:sz w:val="24"/>
        </w:rPr>
        <w:t>Buildings:</w:t>
      </w:r>
      <w:r>
        <w:rPr>
          <w:b/>
          <w:i/>
          <w:spacing w:val="40"/>
          <w:sz w:val="24"/>
        </w:rPr>
        <w:t> </w:t>
      </w:r>
      <w:r>
        <w:rPr>
          <w:sz w:val="24"/>
        </w:rPr>
        <w:t>The</w:t>
      </w:r>
      <w:r>
        <w:rPr>
          <w:spacing w:val="40"/>
          <w:sz w:val="24"/>
        </w:rPr>
        <w:t> </w:t>
      </w:r>
      <w:r>
        <w:rPr>
          <w:sz w:val="24"/>
        </w:rPr>
        <w:t>Commissioner</w:t>
      </w:r>
      <w:r>
        <w:rPr>
          <w:spacing w:val="40"/>
          <w:sz w:val="24"/>
        </w:rPr>
        <w:t> </w:t>
      </w:r>
      <w:r>
        <w:rPr>
          <w:sz w:val="24"/>
        </w:rPr>
        <w:t>may</w:t>
      </w:r>
      <w:r>
        <w:rPr>
          <w:spacing w:val="40"/>
          <w:sz w:val="24"/>
        </w:rPr>
        <w:t> </w:t>
      </w:r>
      <w:r>
        <w:rPr>
          <w:sz w:val="24"/>
        </w:rPr>
        <w:t>permit</w:t>
      </w:r>
      <w:r>
        <w:rPr>
          <w:spacing w:val="40"/>
          <w:sz w:val="24"/>
        </w:rPr>
        <w:t> </w:t>
      </w:r>
      <w:r>
        <w:rPr>
          <w:sz w:val="24"/>
        </w:rPr>
        <w:t>access to</w:t>
      </w:r>
      <w:r>
        <w:rPr>
          <w:spacing w:val="40"/>
          <w:sz w:val="24"/>
        </w:rPr>
        <w:t> </w:t>
      </w:r>
      <w:r>
        <w:rPr>
          <w:sz w:val="24"/>
        </w:rPr>
        <w:t>such</w:t>
      </w:r>
      <w:r>
        <w:rPr>
          <w:spacing w:val="40"/>
          <w:sz w:val="24"/>
        </w:rPr>
        <w:t> </w:t>
      </w:r>
      <w:r>
        <w:rPr>
          <w:sz w:val="24"/>
        </w:rPr>
        <w:t>buildings</w:t>
      </w:r>
      <w:r>
        <w:rPr>
          <w:spacing w:val="40"/>
          <w:sz w:val="24"/>
        </w:rPr>
        <w:t> </w:t>
      </w:r>
      <w:r>
        <w:rPr>
          <w:sz w:val="24"/>
        </w:rPr>
        <w:t>from</w:t>
      </w:r>
      <w:r>
        <w:rPr>
          <w:spacing w:val="40"/>
          <w:sz w:val="24"/>
        </w:rPr>
        <w:t> </w:t>
      </w:r>
      <w:r>
        <w:rPr>
          <w:sz w:val="24"/>
        </w:rPr>
        <w:t>any</w:t>
      </w:r>
      <w:r>
        <w:rPr>
          <w:spacing w:val="40"/>
          <w:sz w:val="24"/>
        </w:rPr>
        <w:t> </w:t>
      </w:r>
      <w:r>
        <w:rPr>
          <w:sz w:val="24"/>
        </w:rPr>
        <w:t>street</w:t>
      </w:r>
      <w:r>
        <w:rPr>
          <w:spacing w:val="71"/>
          <w:sz w:val="24"/>
        </w:rPr>
        <w:t> </w:t>
      </w:r>
      <w:r>
        <w:rPr>
          <w:sz w:val="24"/>
        </w:rPr>
        <w:t>as</w:t>
      </w:r>
      <w:r>
        <w:rPr>
          <w:spacing w:val="40"/>
          <w:sz w:val="24"/>
        </w:rPr>
        <w:t> </w:t>
      </w:r>
      <w:r>
        <w:rPr>
          <w:sz w:val="24"/>
        </w:rPr>
        <w:t>stated</w:t>
      </w:r>
      <w:r>
        <w:rPr>
          <w:spacing w:val="40"/>
          <w:sz w:val="24"/>
        </w:rPr>
        <w:t> </w:t>
      </w:r>
      <w:r>
        <w:rPr>
          <w:sz w:val="24"/>
        </w:rPr>
        <w:t>below</w:t>
      </w:r>
      <w:r>
        <w:rPr>
          <w:spacing w:val="40"/>
          <w:sz w:val="24"/>
        </w:rPr>
        <w:t> </w:t>
      </w:r>
      <w:r>
        <w:rPr>
          <w:sz w:val="24"/>
        </w:rPr>
        <w:t>in</w:t>
      </w:r>
      <w:r>
        <w:rPr>
          <w:spacing w:val="40"/>
          <w:sz w:val="24"/>
        </w:rPr>
        <w:t> </w:t>
      </w:r>
      <w:r>
        <w:rPr>
          <w:sz w:val="24"/>
        </w:rPr>
        <w:t>the</w:t>
      </w:r>
      <w:r>
        <w:rPr>
          <w:spacing w:val="74"/>
          <w:sz w:val="24"/>
        </w:rPr>
        <w:t> </w:t>
      </w:r>
      <w:r>
        <w:rPr>
          <w:sz w:val="24"/>
        </w:rPr>
        <w:t>Table</w:t>
      </w:r>
      <w:r>
        <w:rPr>
          <w:spacing w:val="40"/>
          <w:sz w:val="24"/>
        </w:rPr>
        <w:t> </w:t>
      </w:r>
      <w:r>
        <w:rPr>
          <w:sz w:val="24"/>
        </w:rPr>
        <w:t>No6</w:t>
      </w:r>
    </w:p>
    <w:p>
      <w:pPr>
        <w:pStyle w:val="Heading5"/>
        <w:spacing w:before="121"/>
        <w:ind w:left="772"/>
        <w:jc w:val="both"/>
      </w:pPr>
      <w:r>
        <w:rPr/>
        <w:t>Table</w:t>
      </w:r>
      <w:r>
        <w:rPr>
          <w:spacing w:val="41"/>
        </w:rPr>
        <w:t> </w:t>
      </w:r>
      <w:r>
        <w:rPr/>
        <w:t>No</w:t>
      </w:r>
      <w:r>
        <w:rPr>
          <w:spacing w:val="45"/>
        </w:rPr>
        <w:t> </w:t>
      </w:r>
      <w:r>
        <w:rPr>
          <w:spacing w:val="-10"/>
        </w:rPr>
        <w:t>6</w:t>
      </w:r>
    </w:p>
    <w:p>
      <w:pPr>
        <w:pStyle w:val="BodyText"/>
        <w:spacing w:before="7"/>
        <w:jc w:val="left"/>
        <w:rPr>
          <w:b/>
          <w:sz w:val="20"/>
        </w:rPr>
      </w:pPr>
    </w:p>
    <w:tbl>
      <w:tblPr>
        <w:tblW w:w="0" w:type="auto"/>
        <w:jc w:val="left"/>
        <w:tblInd w:w="1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9"/>
        <w:gridCol w:w="3240"/>
        <w:gridCol w:w="3348"/>
      </w:tblGrid>
      <w:tr>
        <w:trPr>
          <w:trHeight w:val="642" w:hRule="atLeast"/>
        </w:trPr>
        <w:tc>
          <w:tcPr>
            <w:tcW w:w="2609" w:type="dxa"/>
            <w:shd w:val="clear" w:color="auto" w:fill="E7E6E6"/>
          </w:tcPr>
          <w:p>
            <w:pPr>
              <w:pStyle w:val="TableParagraph"/>
              <w:spacing w:before="37"/>
              <w:ind w:left="107"/>
              <w:rPr>
                <w:sz w:val="24"/>
              </w:rPr>
            </w:pPr>
            <w:r>
              <w:rPr>
                <w:sz w:val="24"/>
              </w:rPr>
              <w:t>Building</w:t>
            </w:r>
            <w:r>
              <w:rPr>
                <w:spacing w:val="45"/>
                <w:w w:val="150"/>
                <w:sz w:val="24"/>
              </w:rPr>
              <w:t> </w:t>
            </w:r>
            <w:r>
              <w:rPr>
                <w:spacing w:val="-4"/>
                <w:sz w:val="24"/>
              </w:rPr>
              <w:t>type</w:t>
            </w:r>
          </w:p>
        </w:tc>
        <w:tc>
          <w:tcPr>
            <w:tcW w:w="3240" w:type="dxa"/>
            <w:shd w:val="clear" w:color="auto" w:fill="E7E6E6"/>
          </w:tcPr>
          <w:p>
            <w:pPr>
              <w:pStyle w:val="TableParagraph"/>
              <w:spacing w:before="37"/>
              <w:ind w:left="196"/>
              <w:rPr>
                <w:sz w:val="24"/>
              </w:rPr>
            </w:pPr>
            <w:r>
              <w:rPr>
                <w:sz w:val="24"/>
              </w:rPr>
              <w:t>Height</w:t>
            </w:r>
            <w:r>
              <w:rPr>
                <w:spacing w:val="47"/>
                <w:sz w:val="24"/>
              </w:rPr>
              <w:t> </w:t>
            </w:r>
            <w:r>
              <w:rPr>
                <w:sz w:val="24"/>
              </w:rPr>
              <w:t>of</w:t>
            </w:r>
            <w:r>
              <w:rPr>
                <w:spacing w:val="47"/>
                <w:sz w:val="24"/>
              </w:rPr>
              <w:t> </w:t>
            </w:r>
            <w:r>
              <w:rPr>
                <w:spacing w:val="7"/>
                <w:sz w:val="24"/>
              </w:rPr>
              <w:t>Building</w:t>
            </w:r>
          </w:p>
        </w:tc>
        <w:tc>
          <w:tcPr>
            <w:tcW w:w="3348" w:type="dxa"/>
            <w:shd w:val="clear" w:color="auto" w:fill="E7E6E6"/>
          </w:tcPr>
          <w:p>
            <w:pPr>
              <w:pStyle w:val="TableParagraph"/>
              <w:tabs>
                <w:tab w:pos="1641" w:val="left" w:leader="none"/>
                <w:tab w:pos="2534" w:val="left" w:leader="none"/>
              </w:tabs>
              <w:spacing w:before="40"/>
              <w:ind w:left="110" w:right="96"/>
              <w:rPr>
                <w:sz w:val="24"/>
              </w:rPr>
            </w:pPr>
            <w:r>
              <w:rPr>
                <w:spacing w:val="-2"/>
                <w:sz w:val="24"/>
              </w:rPr>
              <w:t>Minimum</w:t>
            </w:r>
            <w:r>
              <w:rPr>
                <w:sz w:val="24"/>
              </w:rPr>
              <w:tab/>
            </w:r>
            <w:r>
              <w:rPr>
                <w:spacing w:val="-4"/>
                <w:sz w:val="24"/>
              </w:rPr>
              <w:t>road</w:t>
            </w:r>
            <w:r>
              <w:rPr>
                <w:sz w:val="24"/>
              </w:rPr>
              <w:tab/>
            </w:r>
            <w:r>
              <w:rPr>
                <w:spacing w:val="-2"/>
                <w:sz w:val="24"/>
              </w:rPr>
              <w:t>width </w:t>
            </w:r>
            <w:r>
              <w:rPr>
                <w:sz w:val="24"/>
              </w:rPr>
              <w:t>required</w:t>
            </w:r>
            <w:r>
              <w:rPr>
                <w:spacing w:val="40"/>
                <w:sz w:val="24"/>
              </w:rPr>
              <w:t> </w:t>
            </w:r>
            <w:r>
              <w:rPr>
                <w:sz w:val="24"/>
              </w:rPr>
              <w:t>in Metres</w:t>
            </w:r>
            <w:r>
              <w:rPr>
                <w:spacing w:val="40"/>
                <w:sz w:val="24"/>
              </w:rPr>
              <w:t> </w:t>
            </w:r>
            <w:r>
              <w:rPr>
                <w:sz w:val="24"/>
              </w:rPr>
              <w:t>(m)</w:t>
            </w:r>
          </w:p>
        </w:tc>
      </w:tr>
      <w:tr>
        <w:trPr>
          <w:trHeight w:val="362" w:hRule="atLeast"/>
        </w:trPr>
        <w:tc>
          <w:tcPr>
            <w:tcW w:w="2609" w:type="dxa"/>
          </w:tcPr>
          <w:p>
            <w:pPr>
              <w:pStyle w:val="TableParagraph"/>
              <w:spacing w:before="37"/>
              <w:ind w:left="107"/>
              <w:rPr>
                <w:sz w:val="24"/>
              </w:rPr>
            </w:pPr>
            <w:r>
              <w:rPr>
                <w:sz w:val="24"/>
              </w:rPr>
              <w:t>High</w:t>
            </w:r>
            <w:r>
              <w:rPr>
                <w:spacing w:val="-5"/>
                <w:sz w:val="24"/>
              </w:rPr>
              <w:t> </w:t>
            </w:r>
            <w:r>
              <w:rPr>
                <w:spacing w:val="-4"/>
                <w:sz w:val="24"/>
              </w:rPr>
              <w:t>Rise</w:t>
            </w:r>
          </w:p>
        </w:tc>
        <w:tc>
          <w:tcPr>
            <w:tcW w:w="3240" w:type="dxa"/>
          </w:tcPr>
          <w:p>
            <w:pPr>
              <w:pStyle w:val="TableParagraph"/>
              <w:spacing w:before="37"/>
              <w:ind w:left="110"/>
              <w:rPr>
                <w:sz w:val="24"/>
              </w:rPr>
            </w:pPr>
            <w:r>
              <w:rPr>
                <w:sz w:val="24"/>
              </w:rPr>
              <w:t>Above</w:t>
            </w:r>
            <w:r>
              <w:rPr>
                <w:spacing w:val="-3"/>
                <w:sz w:val="24"/>
              </w:rPr>
              <w:t> </w:t>
            </w:r>
            <w:r>
              <w:rPr>
                <w:sz w:val="24"/>
              </w:rPr>
              <w:t>32m</w:t>
            </w:r>
            <w:r>
              <w:rPr>
                <w:spacing w:val="-2"/>
                <w:sz w:val="24"/>
              </w:rPr>
              <w:t> </w:t>
            </w:r>
            <w:r>
              <w:rPr>
                <w:sz w:val="24"/>
              </w:rPr>
              <w:t>up</w:t>
            </w:r>
            <w:r>
              <w:rPr>
                <w:spacing w:val="-2"/>
                <w:sz w:val="24"/>
              </w:rPr>
              <w:t> </w:t>
            </w:r>
            <w:r>
              <w:rPr>
                <w:sz w:val="24"/>
              </w:rPr>
              <w:t>to70</w:t>
            </w:r>
            <w:r>
              <w:rPr>
                <w:spacing w:val="-2"/>
                <w:sz w:val="24"/>
              </w:rPr>
              <w:t> </w:t>
            </w:r>
            <w:r>
              <w:rPr>
                <w:spacing w:val="-10"/>
                <w:sz w:val="24"/>
              </w:rPr>
              <w:t>m</w:t>
            </w:r>
          </w:p>
        </w:tc>
        <w:tc>
          <w:tcPr>
            <w:tcW w:w="3348" w:type="dxa"/>
          </w:tcPr>
          <w:p>
            <w:pPr>
              <w:pStyle w:val="TableParagraph"/>
              <w:spacing w:before="37"/>
              <w:ind w:left="14"/>
              <w:jc w:val="center"/>
              <w:rPr>
                <w:sz w:val="24"/>
              </w:rPr>
            </w:pPr>
            <w:r>
              <w:rPr>
                <w:spacing w:val="-5"/>
                <w:sz w:val="24"/>
              </w:rPr>
              <w:t>9.0</w:t>
            </w:r>
          </w:p>
        </w:tc>
      </w:tr>
      <w:tr>
        <w:trPr>
          <w:trHeight w:val="361" w:hRule="atLeast"/>
        </w:trPr>
        <w:tc>
          <w:tcPr>
            <w:tcW w:w="2609" w:type="dxa"/>
          </w:tcPr>
          <w:p>
            <w:pPr>
              <w:pStyle w:val="TableParagraph"/>
              <w:spacing w:before="37"/>
              <w:ind w:left="107"/>
              <w:rPr>
                <w:sz w:val="24"/>
              </w:rPr>
            </w:pPr>
            <w:r>
              <w:rPr>
                <w:sz w:val="24"/>
              </w:rPr>
              <w:t>High</w:t>
            </w:r>
            <w:r>
              <w:rPr>
                <w:spacing w:val="-5"/>
                <w:sz w:val="24"/>
              </w:rPr>
              <w:t> </w:t>
            </w:r>
            <w:r>
              <w:rPr>
                <w:spacing w:val="-4"/>
                <w:sz w:val="24"/>
              </w:rPr>
              <w:t>Rise</w:t>
            </w:r>
          </w:p>
        </w:tc>
        <w:tc>
          <w:tcPr>
            <w:tcW w:w="3240" w:type="dxa"/>
          </w:tcPr>
          <w:p>
            <w:pPr>
              <w:pStyle w:val="TableParagraph"/>
              <w:spacing w:before="37"/>
              <w:ind w:left="110"/>
              <w:rPr>
                <w:sz w:val="24"/>
              </w:rPr>
            </w:pPr>
            <w:r>
              <w:rPr>
                <w:sz w:val="24"/>
              </w:rPr>
              <w:t>Above</w:t>
            </w:r>
            <w:r>
              <w:rPr>
                <w:spacing w:val="-3"/>
                <w:sz w:val="24"/>
              </w:rPr>
              <w:t> </w:t>
            </w:r>
            <w:r>
              <w:rPr>
                <w:sz w:val="24"/>
              </w:rPr>
              <w:t>70</w:t>
            </w:r>
            <w:r>
              <w:rPr>
                <w:spacing w:val="-1"/>
                <w:sz w:val="24"/>
              </w:rPr>
              <w:t> </w:t>
            </w:r>
            <w:r>
              <w:rPr>
                <w:sz w:val="24"/>
              </w:rPr>
              <w:t>m</w:t>
            </w:r>
            <w:r>
              <w:rPr>
                <w:spacing w:val="-1"/>
                <w:sz w:val="24"/>
              </w:rPr>
              <w:t> </w:t>
            </w:r>
            <w:r>
              <w:rPr>
                <w:sz w:val="24"/>
              </w:rPr>
              <w:t>up</w:t>
            </w:r>
            <w:r>
              <w:rPr>
                <w:spacing w:val="-1"/>
                <w:sz w:val="24"/>
              </w:rPr>
              <w:t> </w:t>
            </w:r>
            <w:r>
              <w:rPr>
                <w:sz w:val="24"/>
              </w:rPr>
              <w:t>to</w:t>
            </w:r>
            <w:r>
              <w:rPr>
                <w:spacing w:val="-1"/>
                <w:sz w:val="24"/>
              </w:rPr>
              <w:t> </w:t>
            </w:r>
            <w:r>
              <w:rPr>
                <w:sz w:val="24"/>
              </w:rPr>
              <w:t>120</w:t>
            </w:r>
            <w:r>
              <w:rPr>
                <w:spacing w:val="-1"/>
                <w:sz w:val="24"/>
              </w:rPr>
              <w:t> </w:t>
            </w:r>
            <w:r>
              <w:rPr>
                <w:spacing w:val="-10"/>
                <w:sz w:val="24"/>
              </w:rPr>
              <w:t>m</w:t>
            </w:r>
          </w:p>
        </w:tc>
        <w:tc>
          <w:tcPr>
            <w:tcW w:w="3348" w:type="dxa"/>
          </w:tcPr>
          <w:p>
            <w:pPr>
              <w:pStyle w:val="TableParagraph"/>
              <w:spacing w:before="37"/>
              <w:ind w:left="14" w:right="1"/>
              <w:jc w:val="center"/>
              <w:rPr>
                <w:sz w:val="24"/>
              </w:rPr>
            </w:pPr>
            <w:r>
              <w:rPr>
                <w:spacing w:val="-4"/>
                <w:sz w:val="24"/>
              </w:rPr>
              <w:t>12.0</w:t>
            </w:r>
          </w:p>
        </w:tc>
      </w:tr>
      <w:tr>
        <w:trPr>
          <w:trHeight w:val="362" w:hRule="atLeast"/>
        </w:trPr>
        <w:tc>
          <w:tcPr>
            <w:tcW w:w="2609" w:type="dxa"/>
          </w:tcPr>
          <w:p>
            <w:pPr>
              <w:pStyle w:val="TableParagraph"/>
              <w:spacing w:before="37"/>
              <w:ind w:left="107"/>
              <w:rPr>
                <w:sz w:val="24"/>
              </w:rPr>
            </w:pPr>
            <w:r>
              <w:rPr>
                <w:sz w:val="24"/>
              </w:rPr>
              <w:t>High</w:t>
            </w:r>
            <w:r>
              <w:rPr>
                <w:spacing w:val="-5"/>
                <w:sz w:val="24"/>
              </w:rPr>
              <w:t> </w:t>
            </w:r>
            <w:r>
              <w:rPr>
                <w:spacing w:val="-4"/>
                <w:sz w:val="24"/>
              </w:rPr>
              <w:t>Rise</w:t>
            </w:r>
          </w:p>
        </w:tc>
        <w:tc>
          <w:tcPr>
            <w:tcW w:w="3240" w:type="dxa"/>
          </w:tcPr>
          <w:p>
            <w:pPr>
              <w:pStyle w:val="TableParagraph"/>
              <w:spacing w:before="37"/>
              <w:ind w:left="180"/>
              <w:rPr>
                <w:sz w:val="24"/>
              </w:rPr>
            </w:pPr>
            <w:r>
              <w:rPr>
                <w:sz w:val="24"/>
              </w:rPr>
              <w:t>Above</w:t>
            </w:r>
            <w:r>
              <w:rPr>
                <w:spacing w:val="-2"/>
                <w:sz w:val="24"/>
              </w:rPr>
              <w:t> </w:t>
            </w:r>
            <w:r>
              <w:rPr>
                <w:sz w:val="24"/>
              </w:rPr>
              <w:t>120</w:t>
            </w:r>
            <w:r>
              <w:rPr>
                <w:spacing w:val="-1"/>
                <w:sz w:val="24"/>
              </w:rPr>
              <w:t> </w:t>
            </w:r>
            <w:r>
              <w:rPr>
                <w:spacing w:val="-10"/>
                <w:sz w:val="24"/>
              </w:rPr>
              <w:t>m</w:t>
            </w:r>
          </w:p>
        </w:tc>
        <w:tc>
          <w:tcPr>
            <w:tcW w:w="3348" w:type="dxa"/>
          </w:tcPr>
          <w:p>
            <w:pPr>
              <w:pStyle w:val="TableParagraph"/>
              <w:spacing w:before="37"/>
              <w:ind w:left="14" w:right="1"/>
              <w:jc w:val="center"/>
              <w:rPr>
                <w:sz w:val="24"/>
              </w:rPr>
            </w:pPr>
            <w:r>
              <w:rPr>
                <w:spacing w:val="-4"/>
                <w:sz w:val="24"/>
              </w:rPr>
              <w:t>18.0</w:t>
            </w:r>
          </w:p>
        </w:tc>
      </w:tr>
      <w:tr>
        <w:trPr>
          <w:trHeight w:val="643" w:hRule="atLeast"/>
        </w:trPr>
        <w:tc>
          <w:tcPr>
            <w:tcW w:w="2609" w:type="dxa"/>
          </w:tcPr>
          <w:p>
            <w:pPr>
              <w:pStyle w:val="TableParagraph"/>
              <w:spacing w:before="40"/>
              <w:ind w:left="107"/>
              <w:rPr>
                <w:sz w:val="24"/>
              </w:rPr>
            </w:pPr>
            <w:r>
              <w:rPr>
                <w:spacing w:val="-2"/>
                <w:sz w:val="24"/>
              </w:rPr>
              <w:t>Special/Assembly Building</w:t>
            </w:r>
          </w:p>
        </w:tc>
        <w:tc>
          <w:tcPr>
            <w:tcW w:w="3240" w:type="dxa"/>
          </w:tcPr>
          <w:p>
            <w:pPr>
              <w:pStyle w:val="TableParagraph"/>
              <w:spacing w:before="37"/>
              <w:ind w:left="180"/>
              <w:rPr>
                <w:sz w:val="24"/>
              </w:rPr>
            </w:pPr>
            <w:r>
              <w:rPr>
                <w:sz w:val="24"/>
              </w:rPr>
              <w:t>For</w:t>
            </w:r>
            <w:r>
              <w:rPr>
                <w:spacing w:val="-2"/>
                <w:sz w:val="24"/>
              </w:rPr>
              <w:t> </w:t>
            </w:r>
            <w:r>
              <w:rPr>
                <w:sz w:val="24"/>
              </w:rPr>
              <w:t>Height</w:t>
            </w:r>
            <w:r>
              <w:rPr>
                <w:spacing w:val="-3"/>
                <w:sz w:val="24"/>
              </w:rPr>
              <w:t> </w:t>
            </w:r>
            <w:r>
              <w:rPr>
                <w:sz w:val="24"/>
              </w:rPr>
              <w:t>up</w:t>
            </w:r>
            <w:r>
              <w:rPr>
                <w:spacing w:val="-1"/>
                <w:sz w:val="24"/>
              </w:rPr>
              <w:t> </w:t>
            </w:r>
            <w:r>
              <w:rPr>
                <w:sz w:val="24"/>
              </w:rPr>
              <w:t>to</w:t>
            </w:r>
            <w:r>
              <w:rPr>
                <w:spacing w:val="-2"/>
                <w:sz w:val="24"/>
              </w:rPr>
              <w:t> </w:t>
            </w:r>
            <w:r>
              <w:rPr>
                <w:sz w:val="24"/>
              </w:rPr>
              <w:t>32</w:t>
            </w:r>
            <w:r>
              <w:rPr>
                <w:spacing w:val="-1"/>
                <w:sz w:val="24"/>
              </w:rPr>
              <w:t> </w:t>
            </w:r>
            <w:r>
              <w:rPr>
                <w:spacing w:val="-10"/>
                <w:sz w:val="24"/>
              </w:rPr>
              <w:t>m</w:t>
            </w:r>
          </w:p>
        </w:tc>
        <w:tc>
          <w:tcPr>
            <w:tcW w:w="3348" w:type="dxa"/>
          </w:tcPr>
          <w:p>
            <w:pPr>
              <w:pStyle w:val="TableParagraph"/>
              <w:spacing w:before="37"/>
              <w:ind w:left="14" w:right="1"/>
              <w:jc w:val="center"/>
              <w:rPr>
                <w:sz w:val="24"/>
              </w:rPr>
            </w:pPr>
            <w:r>
              <w:rPr>
                <w:spacing w:val="-4"/>
                <w:sz w:val="24"/>
              </w:rPr>
              <w:t>12.0</w:t>
            </w:r>
          </w:p>
        </w:tc>
      </w:tr>
      <w:tr>
        <w:trPr>
          <w:trHeight w:val="642" w:hRule="atLeast"/>
        </w:trPr>
        <w:tc>
          <w:tcPr>
            <w:tcW w:w="2609" w:type="dxa"/>
          </w:tcPr>
          <w:p>
            <w:pPr>
              <w:pStyle w:val="TableParagraph"/>
              <w:spacing w:before="40"/>
              <w:ind w:left="107"/>
              <w:rPr>
                <w:sz w:val="24"/>
              </w:rPr>
            </w:pPr>
            <w:r>
              <w:rPr>
                <w:spacing w:val="-2"/>
                <w:sz w:val="24"/>
              </w:rPr>
              <w:t>Special/Assembly Building</w:t>
            </w:r>
          </w:p>
        </w:tc>
        <w:tc>
          <w:tcPr>
            <w:tcW w:w="3240" w:type="dxa"/>
          </w:tcPr>
          <w:p>
            <w:pPr>
              <w:pStyle w:val="TableParagraph"/>
              <w:spacing w:before="37"/>
              <w:ind w:left="180"/>
              <w:rPr>
                <w:sz w:val="24"/>
              </w:rPr>
            </w:pPr>
            <w:r>
              <w:rPr>
                <w:sz w:val="24"/>
              </w:rPr>
              <w:t>For</w:t>
            </w:r>
            <w:r>
              <w:rPr>
                <w:spacing w:val="-2"/>
                <w:sz w:val="24"/>
              </w:rPr>
              <w:t> </w:t>
            </w:r>
            <w:r>
              <w:rPr>
                <w:sz w:val="24"/>
              </w:rPr>
              <w:t>Height</w:t>
            </w:r>
            <w:r>
              <w:rPr>
                <w:spacing w:val="-2"/>
                <w:sz w:val="24"/>
              </w:rPr>
              <w:t> </w:t>
            </w:r>
            <w:r>
              <w:rPr>
                <w:sz w:val="24"/>
              </w:rPr>
              <w:t>above</w:t>
            </w:r>
            <w:r>
              <w:rPr>
                <w:spacing w:val="-2"/>
                <w:sz w:val="24"/>
              </w:rPr>
              <w:t> </w:t>
            </w:r>
            <w:r>
              <w:rPr>
                <w:sz w:val="24"/>
              </w:rPr>
              <w:t>32</w:t>
            </w:r>
            <w:r>
              <w:rPr>
                <w:spacing w:val="-1"/>
                <w:sz w:val="24"/>
              </w:rPr>
              <w:t> </w:t>
            </w:r>
            <w:r>
              <w:rPr>
                <w:spacing w:val="-10"/>
                <w:sz w:val="24"/>
              </w:rPr>
              <w:t>m</w:t>
            </w:r>
          </w:p>
        </w:tc>
        <w:tc>
          <w:tcPr>
            <w:tcW w:w="3348" w:type="dxa"/>
          </w:tcPr>
          <w:p>
            <w:pPr>
              <w:pStyle w:val="TableParagraph"/>
              <w:spacing w:before="37"/>
              <w:ind w:left="14" w:right="1"/>
              <w:jc w:val="center"/>
              <w:rPr>
                <w:sz w:val="24"/>
              </w:rPr>
            </w:pPr>
            <w:r>
              <w:rPr>
                <w:spacing w:val="-4"/>
                <w:sz w:val="24"/>
              </w:rPr>
              <w:t>18.0</w:t>
            </w:r>
          </w:p>
        </w:tc>
      </w:tr>
    </w:tbl>
    <w:p>
      <w:pPr>
        <w:pStyle w:val="BodyText"/>
        <w:spacing w:before="2"/>
        <w:ind w:left="1133" w:right="787"/>
      </w:pPr>
      <w:r>
        <w:rPr/>
        <w:t>And</w:t>
      </w:r>
      <w:r>
        <w:rPr>
          <w:spacing w:val="40"/>
        </w:rPr>
        <w:t> </w:t>
      </w:r>
      <w:r>
        <w:rPr/>
        <w:t>one</w:t>
      </w:r>
      <w:r>
        <w:rPr>
          <w:spacing w:val="40"/>
        </w:rPr>
        <w:t> </w:t>
      </w:r>
      <w:r>
        <w:rPr/>
        <w:t>end</w:t>
      </w:r>
      <w:r>
        <w:rPr>
          <w:spacing w:val="40"/>
        </w:rPr>
        <w:t> </w:t>
      </w:r>
      <w:r>
        <w:rPr/>
        <w:t>of</w:t>
      </w:r>
      <w:r>
        <w:rPr>
          <w:spacing w:val="40"/>
        </w:rPr>
        <w:t> </w:t>
      </w:r>
      <w:r>
        <w:rPr/>
        <w:t>street</w:t>
      </w:r>
      <w:r>
        <w:rPr>
          <w:spacing w:val="40"/>
        </w:rPr>
        <w:t> </w:t>
      </w:r>
      <w:r>
        <w:rPr/>
        <w:t>shall</w:t>
      </w:r>
      <w:r>
        <w:rPr>
          <w:spacing w:val="40"/>
        </w:rPr>
        <w:t> </w:t>
      </w:r>
      <w:r>
        <w:rPr/>
        <w:t>join</w:t>
      </w:r>
      <w:r>
        <w:rPr>
          <w:spacing w:val="40"/>
        </w:rPr>
        <w:t> </w:t>
      </w:r>
      <w:r>
        <w:rPr/>
        <w:t>another</w:t>
      </w:r>
      <w:r>
        <w:rPr>
          <w:spacing w:val="40"/>
        </w:rPr>
        <w:t> </w:t>
      </w:r>
      <w:r>
        <w:rPr/>
        <w:t>street</w:t>
      </w:r>
      <w:r>
        <w:rPr>
          <w:spacing w:val="40"/>
        </w:rPr>
        <w:t> </w:t>
      </w:r>
      <w:r>
        <w:rPr/>
        <w:t>of</w:t>
      </w:r>
      <w:r>
        <w:rPr>
          <w:spacing w:val="40"/>
        </w:rPr>
        <w:t> </w:t>
      </w:r>
      <w:r>
        <w:rPr/>
        <w:t>width</w:t>
      </w:r>
      <w:r>
        <w:rPr>
          <w:spacing w:val="40"/>
        </w:rPr>
        <w:t> </w:t>
      </w:r>
      <w:r>
        <w:rPr/>
        <w:t>as</w:t>
      </w:r>
      <w:r>
        <w:rPr>
          <w:spacing w:val="40"/>
        </w:rPr>
        <w:t> </w:t>
      </w:r>
      <w:r>
        <w:rPr/>
        <w:t>specified</w:t>
      </w:r>
      <w:r>
        <w:rPr>
          <w:spacing w:val="40"/>
        </w:rPr>
        <w:t> </w:t>
      </w:r>
      <w:r>
        <w:rPr/>
        <w:t>above or greater </w:t>
      </w:r>
      <w:r>
        <w:rPr>
          <w:spacing w:val="9"/>
        </w:rPr>
        <w:t>width.</w:t>
      </w:r>
    </w:p>
    <w:p>
      <w:pPr>
        <w:pStyle w:val="BodyText"/>
        <w:spacing w:before="240"/>
        <w:ind w:left="1133" w:right="781"/>
      </w:pPr>
      <w:r>
        <w:rPr/>
        <w:t>Provided further that the Commissioner may allow access to building with height up to 70 m through two numbers of existing roads each having minimum</w:t>
      </w:r>
      <w:r>
        <w:rPr>
          <w:spacing w:val="32"/>
        </w:rPr>
        <w:t> </w:t>
      </w:r>
      <w:r>
        <w:rPr/>
        <w:t>width</w:t>
      </w:r>
      <w:r>
        <w:rPr>
          <w:spacing w:val="28"/>
        </w:rPr>
        <w:t> </w:t>
      </w:r>
      <w:r>
        <w:rPr/>
        <w:t>of</w:t>
      </w:r>
      <w:r>
        <w:rPr>
          <w:spacing w:val="32"/>
        </w:rPr>
        <w:t> </w:t>
      </w:r>
      <w:r>
        <w:rPr/>
        <w:t>6.0</w:t>
      </w:r>
      <w:r>
        <w:rPr>
          <w:spacing w:val="28"/>
        </w:rPr>
        <w:t> </w:t>
      </w:r>
      <w:r>
        <w:rPr/>
        <w:t>m.</w:t>
      </w:r>
      <w:r>
        <w:rPr>
          <w:spacing w:val="80"/>
          <w:w w:val="150"/>
        </w:rPr>
        <w:t> </w:t>
      </w:r>
      <w:r>
        <w:rPr/>
        <w:t>In</w:t>
      </w:r>
      <w:r>
        <w:rPr>
          <w:spacing w:val="28"/>
        </w:rPr>
        <w:t> </w:t>
      </w:r>
      <w:r>
        <w:rPr/>
        <w:t>such</w:t>
      </w:r>
      <w:r>
        <w:rPr>
          <w:spacing w:val="32"/>
        </w:rPr>
        <w:t> </w:t>
      </w:r>
      <w:r>
        <w:rPr/>
        <w:t>cases</w:t>
      </w:r>
      <w:r>
        <w:rPr>
          <w:spacing w:val="28"/>
        </w:rPr>
        <w:t> </w:t>
      </w:r>
      <w:r>
        <w:rPr/>
        <w:t>no</w:t>
      </w:r>
      <w:r>
        <w:rPr>
          <w:spacing w:val="32"/>
        </w:rPr>
        <w:t> </w:t>
      </w:r>
      <w:r>
        <w:rPr/>
        <w:t>concession</w:t>
      </w:r>
      <w:r>
        <w:rPr>
          <w:spacing w:val="28"/>
        </w:rPr>
        <w:t> </w:t>
      </w:r>
      <w:r>
        <w:rPr/>
        <w:t>in</w:t>
      </w:r>
      <w:r>
        <w:rPr>
          <w:spacing w:val="32"/>
        </w:rPr>
        <w:t> </w:t>
      </w:r>
      <w:r>
        <w:rPr/>
        <w:t>front</w:t>
      </w:r>
      <w:r>
        <w:rPr>
          <w:spacing w:val="32"/>
        </w:rPr>
        <w:t> </w:t>
      </w:r>
      <w:r>
        <w:rPr/>
        <w:t>open</w:t>
      </w:r>
      <w:r>
        <w:rPr>
          <w:spacing w:val="32"/>
        </w:rPr>
        <w:t> </w:t>
      </w:r>
      <w:r>
        <w:rPr/>
        <w:t>space</w:t>
      </w:r>
    </w:p>
    <w:p>
      <w:pPr>
        <w:pStyle w:val="BodyText"/>
        <w:spacing w:after="0"/>
        <w:sectPr>
          <w:pgSz w:w="11910" w:h="16840"/>
          <w:pgMar w:header="1058" w:footer="1194" w:top="1500" w:bottom="1380" w:left="360" w:right="360"/>
        </w:sectPr>
      </w:pPr>
    </w:p>
    <w:p>
      <w:pPr>
        <w:pStyle w:val="BodyText"/>
        <w:spacing w:before="255"/>
        <w:ind w:left="1133" w:right="788"/>
      </w:pPr>
      <w:r>
        <w:rPr/>
        <w:t>shall</w:t>
      </w:r>
      <w:r>
        <w:rPr>
          <w:spacing w:val="40"/>
        </w:rPr>
        <w:t> </w:t>
      </w:r>
      <w:r>
        <w:rPr/>
        <w:t>be</w:t>
      </w:r>
      <w:r>
        <w:rPr>
          <w:spacing w:val="40"/>
        </w:rPr>
        <w:t> </w:t>
      </w:r>
      <w:r>
        <w:rPr/>
        <w:t>permissible</w:t>
      </w:r>
      <w:r>
        <w:rPr>
          <w:spacing w:val="40"/>
        </w:rPr>
        <w:t> </w:t>
      </w:r>
      <w:r>
        <w:rPr/>
        <w:t>and</w:t>
      </w:r>
      <w:r>
        <w:rPr>
          <w:spacing w:val="40"/>
        </w:rPr>
        <w:t> </w:t>
      </w:r>
      <w:r>
        <w:rPr/>
        <w:t>total</w:t>
      </w:r>
      <w:r>
        <w:rPr>
          <w:spacing w:val="40"/>
        </w:rPr>
        <w:t> </w:t>
      </w:r>
      <w:r>
        <w:rPr/>
        <w:t>front</w:t>
      </w:r>
      <w:r>
        <w:rPr>
          <w:spacing w:val="40"/>
        </w:rPr>
        <w:t> </w:t>
      </w:r>
      <w:r>
        <w:rPr/>
        <w:t>open</w:t>
      </w:r>
      <w:r>
        <w:rPr>
          <w:spacing w:val="40"/>
        </w:rPr>
        <w:t> </w:t>
      </w:r>
      <w:r>
        <w:rPr/>
        <w:t>space</w:t>
      </w:r>
      <w:r>
        <w:rPr>
          <w:spacing w:val="40"/>
        </w:rPr>
        <w:t> </w:t>
      </w:r>
      <w:r>
        <w:rPr/>
        <w:t>including</w:t>
      </w:r>
      <w:r>
        <w:rPr>
          <w:spacing w:val="40"/>
        </w:rPr>
        <w:t> </w:t>
      </w:r>
      <w:r>
        <w:rPr/>
        <w:t>width</w:t>
      </w:r>
      <w:r>
        <w:rPr>
          <w:spacing w:val="40"/>
        </w:rPr>
        <w:t> </w:t>
      </w:r>
      <w:r>
        <w:rPr/>
        <w:t>of</w:t>
      </w:r>
      <w:r>
        <w:rPr>
          <w:spacing w:val="40"/>
        </w:rPr>
        <w:t> </w:t>
      </w:r>
      <w:r>
        <w:rPr/>
        <w:t>road shall</w:t>
      </w:r>
      <w:r>
        <w:rPr>
          <w:spacing w:val="40"/>
        </w:rPr>
        <w:t> </w:t>
      </w:r>
      <w:r>
        <w:rPr/>
        <w:t>be</w:t>
      </w:r>
      <w:r>
        <w:rPr>
          <w:spacing w:val="40"/>
        </w:rPr>
        <w:t> </w:t>
      </w:r>
      <w:r>
        <w:rPr/>
        <w:t>minimum</w:t>
      </w:r>
      <w:r>
        <w:rPr>
          <w:spacing w:val="40"/>
        </w:rPr>
        <w:t> </w:t>
      </w:r>
      <w:r>
        <w:rPr/>
        <w:t>9m,</w:t>
      </w:r>
      <w:r>
        <w:rPr>
          <w:spacing w:val="40"/>
        </w:rPr>
        <w:t> </w:t>
      </w:r>
      <w:r>
        <w:rPr/>
        <w:t>and</w:t>
      </w:r>
      <w:r>
        <w:rPr>
          <w:spacing w:val="40"/>
        </w:rPr>
        <w:t> </w:t>
      </w:r>
      <w:r>
        <w:rPr/>
        <w:t>6m</w:t>
      </w:r>
      <w:r>
        <w:rPr>
          <w:spacing w:val="40"/>
        </w:rPr>
        <w:t> </w:t>
      </w:r>
      <w:r>
        <w:rPr/>
        <w:t>road</w:t>
      </w:r>
      <w:r>
        <w:rPr>
          <w:spacing w:val="40"/>
        </w:rPr>
        <w:t> </w:t>
      </w:r>
      <w:r>
        <w:rPr/>
        <w:t>shall</w:t>
      </w:r>
      <w:r>
        <w:rPr>
          <w:spacing w:val="40"/>
        </w:rPr>
        <w:t> </w:t>
      </w:r>
      <w:r>
        <w:rPr/>
        <w:t>be</w:t>
      </w:r>
      <w:r>
        <w:rPr>
          <w:spacing w:val="40"/>
        </w:rPr>
        <w:t> </w:t>
      </w:r>
      <w:r>
        <w:rPr/>
        <w:t>connected</w:t>
      </w:r>
      <w:r>
        <w:rPr>
          <w:spacing w:val="40"/>
        </w:rPr>
        <w:t> </w:t>
      </w:r>
      <w:r>
        <w:rPr/>
        <w:t>to</w:t>
      </w:r>
      <w:r>
        <w:rPr>
          <w:spacing w:val="40"/>
        </w:rPr>
        <w:t> </w:t>
      </w:r>
      <w:r>
        <w:rPr/>
        <w:t>the</w:t>
      </w:r>
      <w:r>
        <w:rPr>
          <w:spacing w:val="40"/>
        </w:rPr>
        <w:t> </w:t>
      </w:r>
      <w:r>
        <w:rPr/>
        <w:t>road</w:t>
      </w:r>
      <w:r>
        <w:rPr>
          <w:spacing w:val="40"/>
        </w:rPr>
        <w:t> </w:t>
      </w:r>
      <w:r>
        <w:rPr/>
        <w:t>of</w:t>
      </w:r>
      <w:r>
        <w:rPr>
          <w:spacing w:val="40"/>
        </w:rPr>
        <w:t> </w:t>
      </w:r>
      <w:r>
        <w:rPr/>
        <w:t>at least 9m.</w:t>
      </w:r>
    </w:p>
    <w:p>
      <w:pPr>
        <w:pStyle w:val="BodyText"/>
        <w:spacing w:before="1"/>
        <w:jc w:val="left"/>
      </w:pPr>
    </w:p>
    <w:p>
      <w:pPr>
        <w:pStyle w:val="BodyText"/>
        <w:ind w:left="1133" w:right="773"/>
      </w:pPr>
      <w:r>
        <w:rPr/>
        <w:t>Provided further that, in case of redevelopment schemes under </w:t>
      </w:r>
      <w:r>
        <w:rPr>
          <w:spacing w:val="9"/>
        </w:rPr>
        <w:t>Regulation </w:t>
      </w:r>
      <w:r>
        <w:rPr/>
        <w:t>33(7),</w:t>
      </w:r>
      <w:r>
        <w:rPr>
          <w:spacing w:val="40"/>
        </w:rPr>
        <w:t> </w:t>
      </w:r>
      <w:r>
        <w:rPr/>
        <w:t>33(7)(A),</w:t>
      </w:r>
      <w:r>
        <w:rPr>
          <w:spacing w:val="40"/>
        </w:rPr>
        <w:t> </w:t>
      </w:r>
      <w:r>
        <w:rPr/>
        <w:t>33(7)(B),</w:t>
      </w:r>
      <w:r>
        <w:rPr>
          <w:spacing w:val="40"/>
        </w:rPr>
        <w:t> </w:t>
      </w:r>
      <w:r>
        <w:rPr/>
        <w:t>33(10)</w:t>
      </w:r>
      <w:r>
        <w:rPr>
          <w:spacing w:val="40"/>
        </w:rPr>
        <w:t> </w:t>
      </w:r>
      <w:r>
        <w:rPr/>
        <w:t>and</w:t>
      </w:r>
      <w:r>
        <w:rPr>
          <w:spacing w:val="80"/>
        </w:rPr>
        <w:t> </w:t>
      </w:r>
      <w:r>
        <w:rPr/>
        <w:t>33(10)A,</w:t>
      </w:r>
      <w:r>
        <w:rPr>
          <w:spacing w:val="40"/>
        </w:rPr>
        <w:t> </w:t>
      </w:r>
      <w:r>
        <w:rPr/>
        <w:t>the</w:t>
      </w:r>
      <w:r>
        <w:rPr>
          <w:spacing w:val="40"/>
        </w:rPr>
        <w:t> </w:t>
      </w:r>
      <w:r>
        <w:rPr/>
        <w:t>road</w:t>
      </w:r>
      <w:r>
        <w:rPr>
          <w:spacing w:val="40"/>
        </w:rPr>
        <w:t> </w:t>
      </w:r>
      <w:r>
        <w:rPr/>
        <w:t>width</w:t>
      </w:r>
      <w:r>
        <w:rPr>
          <w:spacing w:val="40"/>
        </w:rPr>
        <w:t> </w:t>
      </w:r>
      <w:r>
        <w:rPr/>
        <w:t>of</w:t>
      </w:r>
      <w:r>
        <w:rPr>
          <w:spacing w:val="40"/>
        </w:rPr>
        <w:t> </w:t>
      </w:r>
      <w:r>
        <w:rPr/>
        <w:t>9m</w:t>
      </w:r>
      <w:r>
        <w:rPr>
          <w:spacing w:val="40"/>
        </w:rPr>
        <w:t> </w:t>
      </w:r>
      <w:r>
        <w:rPr/>
        <w:t>for building</w:t>
      </w:r>
      <w:r>
        <w:rPr>
          <w:spacing w:val="32"/>
        </w:rPr>
        <w:t> </w:t>
      </w:r>
      <w:r>
        <w:rPr/>
        <w:t>height</w:t>
      </w:r>
      <w:r>
        <w:rPr>
          <w:spacing w:val="32"/>
        </w:rPr>
        <w:t> </w:t>
      </w:r>
      <w:r>
        <w:rPr/>
        <w:t>up</w:t>
      </w:r>
      <w:r>
        <w:rPr>
          <w:spacing w:val="35"/>
        </w:rPr>
        <w:t> </w:t>
      </w:r>
      <w:r>
        <w:rPr/>
        <w:t>to</w:t>
      </w:r>
      <w:r>
        <w:rPr>
          <w:spacing w:val="32"/>
        </w:rPr>
        <w:t> </w:t>
      </w:r>
      <w:r>
        <w:rPr/>
        <w:t>120m</w:t>
      </w:r>
      <w:r>
        <w:rPr>
          <w:spacing w:val="32"/>
        </w:rPr>
        <w:t> </w:t>
      </w:r>
      <w:r>
        <w:rPr/>
        <w:t>and</w:t>
      </w:r>
      <w:r>
        <w:rPr>
          <w:spacing w:val="32"/>
        </w:rPr>
        <w:t> </w:t>
      </w:r>
      <w:r>
        <w:rPr/>
        <w:t>13m</w:t>
      </w:r>
      <w:r>
        <w:rPr>
          <w:spacing w:val="32"/>
        </w:rPr>
        <w:t> </w:t>
      </w:r>
      <w:r>
        <w:rPr/>
        <w:t>for</w:t>
      </w:r>
      <w:r>
        <w:rPr>
          <w:spacing w:val="32"/>
        </w:rPr>
        <w:t> </w:t>
      </w:r>
      <w:r>
        <w:rPr/>
        <w:t>building</w:t>
      </w:r>
      <w:r>
        <w:rPr>
          <w:spacing w:val="32"/>
        </w:rPr>
        <w:t> </w:t>
      </w:r>
      <w:r>
        <w:rPr/>
        <w:t>height</w:t>
      </w:r>
      <w:r>
        <w:rPr>
          <w:spacing w:val="32"/>
        </w:rPr>
        <w:t> </w:t>
      </w:r>
      <w:r>
        <w:rPr/>
        <w:t>above</w:t>
      </w:r>
      <w:r>
        <w:rPr>
          <w:spacing w:val="32"/>
        </w:rPr>
        <w:t> </w:t>
      </w:r>
      <w:r>
        <w:rPr/>
        <w:t>120m,</w:t>
      </w:r>
      <w:r>
        <w:rPr>
          <w:spacing w:val="9"/>
        </w:rPr>
        <w:t> shall </w:t>
      </w:r>
      <w:r>
        <w:rPr/>
        <w:t>be</w:t>
      </w:r>
      <w:r>
        <w:rPr>
          <w:spacing w:val="40"/>
        </w:rPr>
        <w:t> </w:t>
      </w:r>
      <w:r>
        <w:rPr/>
        <w:t>adequate.</w:t>
      </w:r>
      <w:r>
        <w:rPr>
          <w:spacing w:val="40"/>
        </w:rPr>
        <w:t> </w:t>
      </w:r>
      <w:r>
        <w:rPr/>
        <w:t>This</w:t>
      </w:r>
      <w:r>
        <w:rPr>
          <w:spacing w:val="40"/>
        </w:rPr>
        <w:t> </w:t>
      </w:r>
      <w:r>
        <w:rPr/>
        <w:t>shall</w:t>
      </w:r>
      <w:r>
        <w:rPr>
          <w:spacing w:val="40"/>
        </w:rPr>
        <w:t> </w:t>
      </w:r>
      <w:r>
        <w:rPr/>
        <w:t>be</w:t>
      </w:r>
      <w:r>
        <w:rPr>
          <w:spacing w:val="40"/>
        </w:rPr>
        <w:t> </w:t>
      </w:r>
      <w:r>
        <w:rPr/>
        <w:t>subject</w:t>
      </w:r>
      <w:r>
        <w:rPr>
          <w:spacing w:val="40"/>
        </w:rPr>
        <w:t> </w:t>
      </w:r>
      <w:r>
        <w:rPr/>
        <w:t>to</w:t>
      </w:r>
      <w:r>
        <w:rPr>
          <w:spacing w:val="40"/>
        </w:rPr>
        <w:t> </w:t>
      </w:r>
      <w:r>
        <w:rPr/>
        <w:t>CFO’s</w:t>
      </w:r>
      <w:r>
        <w:rPr>
          <w:spacing w:val="40"/>
        </w:rPr>
        <w:t> </w:t>
      </w:r>
      <w:r>
        <w:rPr/>
        <w:t>NOC.</w:t>
      </w:r>
    </w:p>
    <w:p>
      <w:pPr>
        <w:pStyle w:val="ListParagraph"/>
        <w:numPr>
          <w:ilvl w:val="0"/>
          <w:numId w:val="99"/>
        </w:numPr>
        <w:tabs>
          <w:tab w:pos="2301" w:val="left" w:leader="none"/>
        </w:tabs>
        <w:spacing w:line="276" w:lineRule="auto" w:before="239" w:after="0"/>
        <w:ind w:left="1056" w:right="770" w:firstLine="0"/>
        <w:jc w:val="both"/>
        <w:rPr>
          <w:sz w:val="24"/>
        </w:rPr>
      </w:pPr>
      <w:r>
        <w:rPr>
          <w:sz w:val="24"/>
        </w:rPr>
        <w:t>The</w:t>
      </w:r>
      <w:r>
        <w:rPr>
          <w:spacing w:val="-2"/>
          <w:sz w:val="24"/>
        </w:rPr>
        <w:t> </w:t>
      </w:r>
      <w:r>
        <w:rPr>
          <w:sz w:val="24"/>
        </w:rPr>
        <w:t>Municipal</w:t>
      </w:r>
      <w:r>
        <w:rPr>
          <w:spacing w:val="-2"/>
          <w:sz w:val="24"/>
        </w:rPr>
        <w:t> </w:t>
      </w:r>
      <w:r>
        <w:rPr>
          <w:sz w:val="24"/>
        </w:rPr>
        <w:t>Commissioner</w:t>
      </w:r>
      <w:r>
        <w:rPr>
          <w:spacing w:val="-2"/>
          <w:sz w:val="24"/>
        </w:rPr>
        <w:t> </w:t>
      </w:r>
      <w:r>
        <w:rPr>
          <w:sz w:val="24"/>
        </w:rPr>
        <w:t>shall</w:t>
      </w:r>
      <w:r>
        <w:rPr>
          <w:spacing w:val="-2"/>
          <w:sz w:val="24"/>
        </w:rPr>
        <w:t> </w:t>
      </w:r>
      <w:r>
        <w:rPr>
          <w:sz w:val="24"/>
        </w:rPr>
        <w:t>constitute</w:t>
      </w:r>
      <w:r>
        <w:rPr>
          <w:spacing w:val="-2"/>
          <w:sz w:val="24"/>
        </w:rPr>
        <w:t> </w:t>
      </w:r>
      <w:r>
        <w:rPr>
          <w:sz w:val="24"/>
        </w:rPr>
        <w:t>a</w:t>
      </w:r>
      <w:r>
        <w:rPr>
          <w:spacing w:val="-2"/>
          <w:sz w:val="24"/>
        </w:rPr>
        <w:t> </w:t>
      </w:r>
      <w:r>
        <w:rPr>
          <w:sz w:val="24"/>
        </w:rPr>
        <w:t>Technical</w:t>
      </w:r>
      <w:r>
        <w:rPr>
          <w:spacing w:val="-2"/>
          <w:sz w:val="24"/>
        </w:rPr>
        <w:t> </w:t>
      </w:r>
      <w:r>
        <w:rPr>
          <w:sz w:val="24"/>
        </w:rPr>
        <w:t>Committee for high rise buildings to advise on issues related to high-rise building having height more than 120 m. or any building having slenderness ratio 9 or more irrespective of height of building, in which following persons shall be included:</w:t>
      </w:r>
    </w:p>
    <w:p>
      <w:pPr>
        <w:pStyle w:val="ListParagraph"/>
        <w:numPr>
          <w:ilvl w:val="1"/>
          <w:numId w:val="99"/>
        </w:numPr>
        <w:tabs>
          <w:tab w:pos="1497" w:val="left" w:leader="none"/>
        </w:tabs>
        <w:spacing w:line="240" w:lineRule="auto" w:before="0" w:after="0"/>
        <w:ind w:left="1497" w:right="0" w:hanging="297"/>
        <w:jc w:val="both"/>
        <w:rPr>
          <w:sz w:val="24"/>
        </w:rPr>
      </w:pPr>
      <w:r>
        <w:rPr>
          <w:sz w:val="24"/>
        </w:rPr>
        <w:t>Retired</w:t>
      </w:r>
      <w:r>
        <w:rPr>
          <w:spacing w:val="-1"/>
          <w:sz w:val="24"/>
        </w:rPr>
        <w:t> </w:t>
      </w:r>
      <w:r>
        <w:rPr>
          <w:sz w:val="24"/>
        </w:rPr>
        <w:t>IAS</w:t>
      </w:r>
      <w:r>
        <w:rPr>
          <w:spacing w:val="-1"/>
          <w:sz w:val="24"/>
        </w:rPr>
        <w:t> </w:t>
      </w:r>
      <w:r>
        <w:rPr>
          <w:sz w:val="24"/>
        </w:rPr>
        <w:t>officer</w:t>
      </w:r>
      <w:r>
        <w:rPr>
          <w:spacing w:val="-4"/>
          <w:sz w:val="24"/>
        </w:rPr>
        <w:t> </w:t>
      </w:r>
      <w:r>
        <w:rPr>
          <w:sz w:val="24"/>
        </w:rPr>
        <w:t>not</w:t>
      </w:r>
      <w:r>
        <w:rPr>
          <w:spacing w:val="-1"/>
          <w:sz w:val="24"/>
        </w:rPr>
        <w:t> </w:t>
      </w:r>
      <w:r>
        <w:rPr>
          <w:sz w:val="24"/>
        </w:rPr>
        <w:t>below</w:t>
      </w:r>
      <w:r>
        <w:rPr>
          <w:spacing w:val="-1"/>
          <w:sz w:val="24"/>
        </w:rPr>
        <w:t> </w:t>
      </w:r>
      <w:r>
        <w:rPr>
          <w:sz w:val="24"/>
        </w:rPr>
        <w:t>rank</w:t>
      </w:r>
      <w:r>
        <w:rPr>
          <w:spacing w:val="-1"/>
          <w:sz w:val="24"/>
        </w:rPr>
        <w:t> </w:t>
      </w:r>
      <w:r>
        <w:rPr>
          <w:sz w:val="24"/>
        </w:rPr>
        <w:t>of</w:t>
      </w:r>
      <w:r>
        <w:rPr>
          <w:spacing w:val="-1"/>
          <w:sz w:val="24"/>
        </w:rPr>
        <w:t> </w:t>
      </w:r>
      <w:r>
        <w:rPr>
          <w:sz w:val="24"/>
        </w:rPr>
        <w:t>Principal</w:t>
      </w:r>
      <w:r>
        <w:rPr>
          <w:spacing w:val="-1"/>
          <w:sz w:val="24"/>
        </w:rPr>
        <w:t> </w:t>
      </w:r>
      <w:r>
        <w:rPr>
          <w:sz w:val="24"/>
        </w:rPr>
        <w:t>Secretary -</w:t>
      </w:r>
      <w:r>
        <w:rPr>
          <w:spacing w:val="-2"/>
          <w:sz w:val="24"/>
        </w:rPr>
        <w:t>Chairman</w:t>
      </w:r>
    </w:p>
    <w:p>
      <w:pPr>
        <w:pStyle w:val="ListParagraph"/>
        <w:numPr>
          <w:ilvl w:val="1"/>
          <w:numId w:val="99"/>
        </w:numPr>
        <w:tabs>
          <w:tab w:pos="1497" w:val="left" w:leader="none"/>
        </w:tabs>
        <w:spacing w:line="240" w:lineRule="auto" w:before="43" w:after="0"/>
        <w:ind w:left="1497" w:right="0" w:hanging="297"/>
        <w:jc w:val="both"/>
        <w:rPr>
          <w:sz w:val="24"/>
        </w:rPr>
      </w:pPr>
      <w:r>
        <w:rPr>
          <w:sz w:val="24"/>
        </w:rPr>
        <w:t>Structural</w:t>
      </w:r>
      <w:r>
        <w:rPr>
          <w:spacing w:val="-2"/>
          <w:sz w:val="24"/>
        </w:rPr>
        <w:t> </w:t>
      </w:r>
      <w:r>
        <w:rPr>
          <w:sz w:val="24"/>
        </w:rPr>
        <w:t>Engineering</w:t>
      </w:r>
      <w:r>
        <w:rPr>
          <w:spacing w:val="-2"/>
          <w:sz w:val="24"/>
        </w:rPr>
        <w:t> </w:t>
      </w:r>
      <w:r>
        <w:rPr>
          <w:sz w:val="24"/>
        </w:rPr>
        <w:t>faculty</w:t>
      </w:r>
      <w:r>
        <w:rPr>
          <w:spacing w:val="-1"/>
          <w:sz w:val="24"/>
        </w:rPr>
        <w:t> </w:t>
      </w:r>
      <w:r>
        <w:rPr>
          <w:sz w:val="24"/>
        </w:rPr>
        <w:t>from</w:t>
      </w:r>
      <w:r>
        <w:rPr>
          <w:spacing w:val="-2"/>
          <w:sz w:val="24"/>
        </w:rPr>
        <w:t> </w:t>
      </w:r>
      <w:r>
        <w:rPr>
          <w:sz w:val="24"/>
        </w:rPr>
        <w:t>IIT/VJTI/SPCE</w:t>
      </w:r>
      <w:r>
        <w:rPr>
          <w:spacing w:val="-1"/>
          <w:sz w:val="24"/>
        </w:rPr>
        <w:t> </w:t>
      </w:r>
      <w:r>
        <w:rPr>
          <w:sz w:val="24"/>
        </w:rPr>
        <w:t>-</w:t>
      </w:r>
      <w:r>
        <w:rPr>
          <w:spacing w:val="-1"/>
          <w:sz w:val="24"/>
        </w:rPr>
        <w:t> </w:t>
      </w:r>
      <w:r>
        <w:rPr>
          <w:spacing w:val="-2"/>
          <w:sz w:val="24"/>
        </w:rPr>
        <w:t>Member</w:t>
      </w:r>
    </w:p>
    <w:p>
      <w:pPr>
        <w:pStyle w:val="ListParagraph"/>
        <w:numPr>
          <w:ilvl w:val="1"/>
          <w:numId w:val="99"/>
        </w:numPr>
        <w:tabs>
          <w:tab w:pos="1497" w:val="left" w:leader="none"/>
        </w:tabs>
        <w:spacing w:line="240" w:lineRule="auto" w:before="39" w:after="0"/>
        <w:ind w:left="1497" w:right="0" w:hanging="297"/>
        <w:jc w:val="both"/>
        <w:rPr>
          <w:sz w:val="24"/>
        </w:rPr>
      </w:pPr>
      <w:r>
        <w:rPr>
          <w:sz w:val="24"/>
        </w:rPr>
        <w:t>Soil</w:t>
      </w:r>
      <w:r>
        <w:rPr>
          <w:spacing w:val="-2"/>
          <w:sz w:val="24"/>
        </w:rPr>
        <w:t> </w:t>
      </w:r>
      <w:r>
        <w:rPr>
          <w:sz w:val="24"/>
        </w:rPr>
        <w:t>Mechanics</w:t>
      </w:r>
      <w:r>
        <w:rPr>
          <w:spacing w:val="-2"/>
          <w:sz w:val="24"/>
        </w:rPr>
        <w:t> </w:t>
      </w:r>
      <w:r>
        <w:rPr>
          <w:sz w:val="24"/>
        </w:rPr>
        <w:t>faculty</w:t>
      </w:r>
      <w:r>
        <w:rPr>
          <w:spacing w:val="-1"/>
          <w:sz w:val="24"/>
        </w:rPr>
        <w:t> </w:t>
      </w:r>
      <w:r>
        <w:rPr>
          <w:sz w:val="24"/>
        </w:rPr>
        <w:t>from</w:t>
      </w:r>
      <w:r>
        <w:rPr>
          <w:spacing w:val="-1"/>
          <w:sz w:val="24"/>
        </w:rPr>
        <w:t> </w:t>
      </w:r>
      <w:r>
        <w:rPr>
          <w:sz w:val="24"/>
        </w:rPr>
        <w:t>IIT/</w:t>
      </w:r>
      <w:r>
        <w:rPr>
          <w:spacing w:val="-1"/>
          <w:sz w:val="24"/>
        </w:rPr>
        <w:t> </w:t>
      </w:r>
      <w:r>
        <w:rPr>
          <w:sz w:val="24"/>
        </w:rPr>
        <w:t>VJTI/SPCE-</w:t>
      </w:r>
      <w:r>
        <w:rPr>
          <w:spacing w:val="-1"/>
          <w:sz w:val="24"/>
        </w:rPr>
        <w:t> </w:t>
      </w:r>
      <w:r>
        <w:rPr>
          <w:spacing w:val="-2"/>
          <w:sz w:val="24"/>
        </w:rPr>
        <w:t>Member</w:t>
      </w:r>
    </w:p>
    <w:p>
      <w:pPr>
        <w:pStyle w:val="ListParagraph"/>
        <w:numPr>
          <w:ilvl w:val="1"/>
          <w:numId w:val="99"/>
        </w:numPr>
        <w:tabs>
          <w:tab w:pos="1520" w:val="left" w:leader="none"/>
          <w:tab w:pos="4143" w:val="left" w:leader="none"/>
        </w:tabs>
        <w:spacing w:line="276" w:lineRule="auto" w:before="43" w:after="0"/>
        <w:ind w:left="1200" w:right="771" w:firstLine="0"/>
        <w:jc w:val="left"/>
        <w:rPr>
          <w:sz w:val="24"/>
        </w:rPr>
      </w:pPr>
      <w:r>
        <w:rPr>
          <w:sz w:val="24"/>
        </w:rPr>
        <w:t>Practicing registered</w:t>
        <w:tab/>
        <w:t>structural Engineer having experience in the field of Structural Designing of</w:t>
      </w:r>
      <w:r>
        <w:rPr>
          <w:spacing w:val="40"/>
          <w:sz w:val="24"/>
        </w:rPr>
        <w:t> </w:t>
      </w:r>
      <w:r>
        <w:rPr>
          <w:sz w:val="24"/>
        </w:rPr>
        <w:t>10 years or more- Member</w:t>
      </w:r>
    </w:p>
    <w:p>
      <w:pPr>
        <w:pStyle w:val="ListParagraph"/>
        <w:numPr>
          <w:ilvl w:val="1"/>
          <w:numId w:val="99"/>
        </w:numPr>
        <w:tabs>
          <w:tab w:pos="1497" w:val="left" w:leader="none"/>
        </w:tabs>
        <w:spacing w:line="240" w:lineRule="auto" w:before="0" w:after="0"/>
        <w:ind w:left="1497" w:right="0" w:hanging="297"/>
        <w:jc w:val="left"/>
        <w:rPr>
          <w:sz w:val="24"/>
        </w:rPr>
      </w:pPr>
      <w:r>
        <w:rPr>
          <w:sz w:val="24"/>
        </w:rPr>
        <w:t>Chief Fire Officer, MCGM- </w:t>
      </w:r>
      <w:r>
        <w:rPr>
          <w:spacing w:val="-2"/>
          <w:sz w:val="24"/>
        </w:rPr>
        <w:t>Member</w:t>
      </w:r>
    </w:p>
    <w:p>
      <w:pPr>
        <w:pStyle w:val="ListParagraph"/>
        <w:numPr>
          <w:ilvl w:val="1"/>
          <w:numId w:val="99"/>
        </w:numPr>
        <w:tabs>
          <w:tab w:pos="1497" w:val="left" w:leader="none"/>
        </w:tabs>
        <w:spacing w:line="281" w:lineRule="exact" w:before="44" w:after="0"/>
        <w:ind w:left="1497" w:right="0" w:hanging="297"/>
        <w:jc w:val="left"/>
        <w:rPr>
          <w:sz w:val="24"/>
        </w:rPr>
      </w:pPr>
      <w:r>
        <w:rPr>
          <w:sz w:val="24"/>
        </w:rPr>
        <w:t>or</w:t>
      </w:r>
      <w:r>
        <w:rPr>
          <w:spacing w:val="-1"/>
          <w:sz w:val="24"/>
        </w:rPr>
        <w:t> </w:t>
      </w:r>
      <w:r>
        <w:rPr>
          <w:sz w:val="24"/>
        </w:rPr>
        <w:t>any</w:t>
      </w:r>
      <w:r>
        <w:rPr>
          <w:spacing w:val="-1"/>
          <w:sz w:val="24"/>
        </w:rPr>
        <w:t> </w:t>
      </w:r>
      <w:r>
        <w:rPr>
          <w:sz w:val="24"/>
        </w:rPr>
        <w:t>other</w:t>
      </w:r>
      <w:r>
        <w:rPr>
          <w:spacing w:val="-2"/>
          <w:sz w:val="24"/>
        </w:rPr>
        <w:t> </w:t>
      </w:r>
      <w:r>
        <w:rPr>
          <w:sz w:val="24"/>
        </w:rPr>
        <w:t>Technical </w:t>
      </w:r>
      <w:r>
        <w:rPr>
          <w:spacing w:val="-2"/>
          <w:sz w:val="24"/>
        </w:rPr>
        <w:t>member</w:t>
      </w:r>
    </w:p>
    <w:p>
      <w:pPr>
        <w:pStyle w:val="BodyText"/>
        <w:spacing w:line="278" w:lineRule="auto"/>
        <w:ind w:left="1200" w:right="838" w:firstLine="76"/>
        <w:jc w:val="left"/>
      </w:pPr>
      <w:r>
        <w:rPr/>
        <w:t>Terms of Reference (TOR) including duration for Committee shall be decided by the Municipal Commissioner.</w:t>
      </w:r>
    </w:p>
    <w:p>
      <w:pPr>
        <w:pStyle w:val="BodyText"/>
        <w:spacing w:line="244" w:lineRule="auto" w:before="194"/>
        <w:ind w:left="1133" w:right="794"/>
      </w:pPr>
      <w:r>
        <w:rPr>
          <w:b/>
        </w:rPr>
        <w:t>NOTE</w:t>
      </w:r>
      <w:r>
        <w:rPr>
          <w:b/>
          <w:i/>
        </w:rPr>
        <w:t>: </w:t>
      </w:r>
      <w:r>
        <w:rPr>
          <w:b/>
        </w:rPr>
        <w:t>-</w:t>
      </w:r>
      <w:r>
        <w:rPr/>
        <w:t>1. MCGM shall convert all roads of width less than 9 m to 9 m and above</w:t>
      </w:r>
      <w:r>
        <w:rPr>
          <w:spacing w:val="40"/>
        </w:rPr>
        <w:t> </w:t>
      </w:r>
      <w:r>
        <w:rPr/>
        <w:t>as</w:t>
      </w:r>
      <w:r>
        <w:rPr>
          <w:spacing w:val="40"/>
        </w:rPr>
        <w:t> </w:t>
      </w:r>
      <w:r>
        <w:rPr/>
        <w:t>per</w:t>
      </w:r>
      <w:r>
        <w:rPr>
          <w:spacing w:val="40"/>
        </w:rPr>
        <w:t> </w:t>
      </w:r>
      <w:r>
        <w:rPr/>
        <w:t>site</w:t>
      </w:r>
      <w:r>
        <w:rPr>
          <w:spacing w:val="40"/>
        </w:rPr>
        <w:t> </w:t>
      </w:r>
      <w:r>
        <w:rPr/>
        <w:t>condition</w:t>
      </w:r>
      <w:r>
        <w:rPr>
          <w:spacing w:val="40"/>
        </w:rPr>
        <w:t> </w:t>
      </w:r>
      <w:r>
        <w:rPr/>
        <w:t>through</w:t>
      </w:r>
      <w:r>
        <w:rPr>
          <w:spacing w:val="40"/>
        </w:rPr>
        <w:t> </w:t>
      </w:r>
      <w:r>
        <w:rPr/>
        <w:t>MR&amp;TP</w:t>
      </w:r>
      <w:r>
        <w:rPr>
          <w:spacing w:val="40"/>
        </w:rPr>
        <w:t> </w:t>
      </w:r>
      <w:r>
        <w:rPr/>
        <w:t>Act</w:t>
      </w:r>
      <w:r>
        <w:rPr>
          <w:spacing w:val="40"/>
        </w:rPr>
        <w:t> </w:t>
      </w:r>
      <w:r>
        <w:rPr/>
        <w:t>or</w:t>
      </w:r>
      <w:r>
        <w:rPr>
          <w:spacing w:val="40"/>
        </w:rPr>
        <w:t> </w:t>
      </w:r>
      <w:r>
        <w:rPr/>
        <w:t>MMC</w:t>
      </w:r>
      <w:r>
        <w:rPr>
          <w:spacing w:val="40"/>
        </w:rPr>
        <w:t> </w:t>
      </w:r>
      <w:r>
        <w:rPr/>
        <w:t>Act.</w:t>
      </w:r>
    </w:p>
    <w:p>
      <w:pPr>
        <w:pStyle w:val="ListParagraph"/>
        <w:numPr>
          <w:ilvl w:val="0"/>
          <w:numId w:val="91"/>
        </w:numPr>
        <w:tabs>
          <w:tab w:pos="1462" w:val="left" w:leader="none"/>
        </w:tabs>
        <w:spacing w:line="240" w:lineRule="auto" w:before="232" w:after="0"/>
        <w:ind w:left="1133" w:right="771" w:firstLine="0"/>
        <w:jc w:val="both"/>
        <w:rPr>
          <w:sz w:val="24"/>
        </w:rPr>
      </w:pPr>
      <w:r>
        <w:rPr>
          <w:sz w:val="24"/>
        </w:rPr>
        <w:t>Roads</w:t>
      </w:r>
      <w:r>
        <w:rPr>
          <w:spacing w:val="40"/>
          <w:sz w:val="24"/>
        </w:rPr>
        <w:t> </w:t>
      </w:r>
      <w:r>
        <w:rPr>
          <w:sz w:val="24"/>
        </w:rPr>
        <w:t>excluding</w:t>
      </w:r>
      <w:r>
        <w:rPr>
          <w:spacing w:val="40"/>
          <w:sz w:val="24"/>
        </w:rPr>
        <w:t> </w:t>
      </w:r>
      <w:r>
        <w:rPr>
          <w:sz w:val="24"/>
        </w:rPr>
        <w:t>existing</w:t>
      </w:r>
      <w:r>
        <w:rPr>
          <w:spacing w:val="40"/>
          <w:sz w:val="24"/>
        </w:rPr>
        <w:t> </w:t>
      </w:r>
      <w:r>
        <w:rPr>
          <w:sz w:val="24"/>
        </w:rPr>
        <w:t>public</w:t>
      </w:r>
      <w:r>
        <w:rPr>
          <w:spacing w:val="40"/>
          <w:sz w:val="24"/>
        </w:rPr>
        <w:t> </w:t>
      </w:r>
      <w:r>
        <w:rPr>
          <w:sz w:val="24"/>
        </w:rPr>
        <w:t>road/Municipal</w:t>
      </w:r>
      <w:r>
        <w:rPr>
          <w:spacing w:val="40"/>
          <w:sz w:val="24"/>
        </w:rPr>
        <w:t> </w:t>
      </w:r>
      <w:r>
        <w:rPr>
          <w:sz w:val="24"/>
        </w:rPr>
        <w:t>road,</w:t>
      </w:r>
      <w:r>
        <w:rPr>
          <w:spacing w:val="40"/>
          <w:sz w:val="24"/>
        </w:rPr>
        <w:t> </w:t>
      </w:r>
      <w:r>
        <w:rPr>
          <w:sz w:val="24"/>
        </w:rPr>
        <w:t>reflected</w:t>
      </w:r>
      <w:r>
        <w:rPr>
          <w:spacing w:val="40"/>
          <w:sz w:val="24"/>
        </w:rPr>
        <w:t> </w:t>
      </w:r>
      <w:r>
        <w:rPr>
          <w:sz w:val="24"/>
        </w:rPr>
        <w:t>in</w:t>
      </w:r>
      <w:r>
        <w:rPr>
          <w:spacing w:val="40"/>
          <w:sz w:val="24"/>
        </w:rPr>
        <w:t> </w:t>
      </w:r>
      <w:r>
        <w:rPr>
          <w:sz w:val="24"/>
        </w:rPr>
        <w:t>DP shall not be treated as public Road, unless and until declared </w:t>
      </w:r>
      <w:r>
        <w:rPr>
          <w:spacing w:val="10"/>
          <w:sz w:val="24"/>
        </w:rPr>
        <w:t>under </w:t>
      </w:r>
      <w:r>
        <w:rPr>
          <w:sz w:val="24"/>
        </w:rPr>
        <w:t>appropriate</w:t>
      </w:r>
      <w:r>
        <w:rPr>
          <w:spacing w:val="79"/>
          <w:sz w:val="24"/>
        </w:rPr>
        <w:t> </w:t>
      </w:r>
      <w:r>
        <w:rPr>
          <w:sz w:val="24"/>
        </w:rPr>
        <w:t>section</w:t>
      </w:r>
      <w:r>
        <w:rPr>
          <w:spacing w:val="80"/>
          <w:sz w:val="24"/>
        </w:rPr>
        <w:t> </w:t>
      </w:r>
      <w:r>
        <w:rPr>
          <w:sz w:val="24"/>
        </w:rPr>
        <w:t>of</w:t>
      </w:r>
      <w:r>
        <w:rPr>
          <w:spacing w:val="79"/>
          <w:sz w:val="24"/>
        </w:rPr>
        <w:t> </w:t>
      </w:r>
      <w:r>
        <w:rPr>
          <w:sz w:val="24"/>
        </w:rPr>
        <w:t>MMC</w:t>
      </w:r>
      <w:r>
        <w:rPr>
          <w:spacing w:val="79"/>
          <w:sz w:val="24"/>
        </w:rPr>
        <w:t> </w:t>
      </w:r>
      <w:r>
        <w:rPr>
          <w:sz w:val="24"/>
        </w:rPr>
        <w:t>Act&amp;</w:t>
      </w:r>
      <w:r>
        <w:rPr>
          <w:spacing w:val="78"/>
          <w:sz w:val="24"/>
        </w:rPr>
        <w:t> </w:t>
      </w:r>
      <w:r>
        <w:rPr>
          <w:sz w:val="24"/>
        </w:rPr>
        <w:t>shall</w:t>
      </w:r>
      <w:r>
        <w:rPr>
          <w:spacing w:val="80"/>
          <w:sz w:val="24"/>
        </w:rPr>
        <w:t> </w:t>
      </w:r>
      <w:r>
        <w:rPr>
          <w:sz w:val="24"/>
        </w:rPr>
        <w:t>not</w:t>
      </w:r>
      <w:r>
        <w:rPr>
          <w:spacing w:val="78"/>
          <w:sz w:val="24"/>
        </w:rPr>
        <w:t> </w:t>
      </w:r>
      <w:r>
        <w:rPr>
          <w:sz w:val="24"/>
        </w:rPr>
        <w:t>be</w:t>
      </w:r>
      <w:r>
        <w:rPr>
          <w:spacing w:val="80"/>
          <w:sz w:val="24"/>
        </w:rPr>
        <w:t> </w:t>
      </w:r>
      <w:r>
        <w:rPr>
          <w:sz w:val="24"/>
        </w:rPr>
        <w:t>subjected</w:t>
      </w:r>
      <w:r>
        <w:rPr>
          <w:spacing w:val="78"/>
          <w:sz w:val="24"/>
        </w:rPr>
        <w:t> </w:t>
      </w:r>
      <w:r>
        <w:rPr>
          <w:sz w:val="24"/>
        </w:rPr>
        <w:t>to</w:t>
      </w:r>
      <w:r>
        <w:rPr>
          <w:spacing w:val="80"/>
          <w:sz w:val="24"/>
        </w:rPr>
        <w:t> </w:t>
      </w:r>
      <w:r>
        <w:rPr>
          <w:sz w:val="24"/>
        </w:rPr>
        <w:t>acquisition.</w:t>
      </w:r>
    </w:p>
    <w:p>
      <w:pPr>
        <w:pStyle w:val="Heading6"/>
        <w:numPr>
          <w:ilvl w:val="0"/>
          <w:numId w:val="100"/>
        </w:numPr>
        <w:tabs>
          <w:tab w:pos="1539" w:val="left" w:leader="none"/>
        </w:tabs>
        <w:spacing w:line="240" w:lineRule="auto" w:before="237" w:after="0"/>
        <w:ind w:left="1539" w:right="0" w:hanging="406"/>
        <w:jc w:val="both"/>
        <w:rPr>
          <w:b w:val="0"/>
        </w:rPr>
      </w:pPr>
      <w:r>
        <w:rPr/>
        <w:t>Other</w:t>
      </w:r>
      <w:r>
        <w:rPr>
          <w:spacing w:val="57"/>
        </w:rPr>
        <w:t> </w:t>
      </w:r>
      <w:r>
        <w:rPr>
          <w:spacing w:val="-2"/>
        </w:rPr>
        <w:t>buildings</w:t>
      </w:r>
      <w:r>
        <w:rPr>
          <w:b w:val="0"/>
          <w:spacing w:val="-2"/>
        </w:rPr>
        <w:t>:</w:t>
      </w:r>
    </w:p>
    <w:p>
      <w:pPr>
        <w:pStyle w:val="ListParagraph"/>
        <w:numPr>
          <w:ilvl w:val="1"/>
          <w:numId w:val="100"/>
        </w:numPr>
        <w:tabs>
          <w:tab w:pos="1567" w:val="left" w:leader="none"/>
          <w:tab w:pos="1570" w:val="left" w:leader="none"/>
        </w:tabs>
        <w:spacing w:line="240" w:lineRule="auto" w:before="244" w:after="0"/>
        <w:ind w:left="1570" w:right="792" w:hanging="360"/>
        <w:jc w:val="both"/>
        <w:rPr>
          <w:sz w:val="24"/>
        </w:rPr>
      </w:pPr>
      <w:r>
        <w:rPr>
          <w:sz w:val="24"/>
        </w:rPr>
        <w:t>The</w:t>
      </w:r>
      <w:r>
        <w:rPr>
          <w:spacing w:val="80"/>
          <w:sz w:val="24"/>
        </w:rPr>
        <w:t> </w:t>
      </w:r>
      <w:r>
        <w:rPr>
          <w:sz w:val="24"/>
        </w:rPr>
        <w:t>Commissioner</w:t>
      </w:r>
      <w:r>
        <w:rPr>
          <w:spacing w:val="80"/>
          <w:sz w:val="24"/>
        </w:rPr>
        <w:t> </w:t>
      </w:r>
      <w:r>
        <w:rPr>
          <w:sz w:val="24"/>
        </w:rPr>
        <w:t>shall</w:t>
      </w:r>
      <w:r>
        <w:rPr>
          <w:spacing w:val="80"/>
          <w:sz w:val="24"/>
        </w:rPr>
        <w:t> </w:t>
      </w:r>
      <w:r>
        <w:rPr>
          <w:sz w:val="24"/>
        </w:rPr>
        <w:t>permit</w:t>
      </w:r>
      <w:r>
        <w:rPr>
          <w:spacing w:val="80"/>
          <w:sz w:val="24"/>
        </w:rPr>
        <w:t> </w:t>
      </w:r>
      <w:r>
        <w:rPr>
          <w:sz w:val="24"/>
        </w:rPr>
        <w:t>access</w:t>
      </w:r>
      <w:r>
        <w:rPr>
          <w:spacing w:val="80"/>
          <w:sz w:val="24"/>
        </w:rPr>
        <w:t> </w:t>
      </w:r>
      <w:r>
        <w:rPr>
          <w:sz w:val="24"/>
        </w:rPr>
        <w:t>from</w:t>
      </w:r>
      <w:r>
        <w:rPr>
          <w:spacing w:val="80"/>
          <w:sz w:val="24"/>
        </w:rPr>
        <w:t> </w:t>
      </w:r>
      <w:r>
        <w:rPr>
          <w:sz w:val="24"/>
        </w:rPr>
        <w:t>streets</w:t>
      </w:r>
      <w:r>
        <w:rPr>
          <w:spacing w:val="80"/>
          <w:sz w:val="24"/>
        </w:rPr>
        <w:t> </w:t>
      </w:r>
      <w:r>
        <w:rPr>
          <w:sz w:val="24"/>
        </w:rPr>
        <w:t>having</w:t>
      </w:r>
      <w:r>
        <w:rPr>
          <w:spacing w:val="80"/>
          <w:sz w:val="24"/>
        </w:rPr>
        <w:t> </w:t>
      </w:r>
      <w:r>
        <w:rPr>
          <w:sz w:val="24"/>
        </w:rPr>
        <w:t>width</w:t>
      </w:r>
      <w:r>
        <w:rPr>
          <w:spacing w:val="80"/>
          <w:sz w:val="24"/>
        </w:rPr>
        <w:t> </w:t>
      </w:r>
      <w:r>
        <w:rPr>
          <w:sz w:val="24"/>
        </w:rPr>
        <w:t>of not less than 6.0 m over which the public have a customary right of</w:t>
      </w:r>
      <w:r>
        <w:rPr>
          <w:spacing w:val="80"/>
          <w:sz w:val="24"/>
        </w:rPr>
        <w:t> </w:t>
      </w:r>
      <w:r>
        <w:rPr>
          <w:sz w:val="24"/>
        </w:rPr>
        <w:t>access</w:t>
      </w:r>
      <w:r>
        <w:rPr>
          <w:spacing w:val="69"/>
          <w:sz w:val="24"/>
        </w:rPr>
        <w:t> </w:t>
      </w:r>
      <w:r>
        <w:rPr>
          <w:sz w:val="24"/>
        </w:rPr>
        <w:t>or</w:t>
      </w:r>
      <w:r>
        <w:rPr>
          <w:spacing w:val="69"/>
          <w:sz w:val="24"/>
        </w:rPr>
        <w:t> </w:t>
      </w:r>
      <w:r>
        <w:rPr>
          <w:sz w:val="24"/>
        </w:rPr>
        <w:t>have</w:t>
      </w:r>
      <w:r>
        <w:rPr>
          <w:spacing w:val="69"/>
          <w:sz w:val="24"/>
        </w:rPr>
        <w:t> </w:t>
      </w:r>
      <w:r>
        <w:rPr>
          <w:sz w:val="24"/>
        </w:rPr>
        <w:t>used</w:t>
      </w:r>
      <w:r>
        <w:rPr>
          <w:spacing w:val="69"/>
          <w:sz w:val="24"/>
        </w:rPr>
        <w:t> </w:t>
      </w:r>
      <w:r>
        <w:rPr>
          <w:sz w:val="24"/>
        </w:rPr>
        <w:t>it</w:t>
      </w:r>
      <w:r>
        <w:rPr>
          <w:spacing w:val="69"/>
          <w:sz w:val="24"/>
        </w:rPr>
        <w:t> </w:t>
      </w:r>
      <w:r>
        <w:rPr>
          <w:sz w:val="24"/>
        </w:rPr>
        <w:t>or</w:t>
      </w:r>
      <w:r>
        <w:rPr>
          <w:spacing w:val="71"/>
          <w:sz w:val="24"/>
        </w:rPr>
        <w:t> </w:t>
      </w:r>
      <w:r>
        <w:rPr>
          <w:sz w:val="24"/>
        </w:rPr>
        <w:t>passed</w:t>
      </w:r>
      <w:r>
        <w:rPr>
          <w:spacing w:val="69"/>
          <w:sz w:val="24"/>
        </w:rPr>
        <w:t> </w:t>
      </w:r>
      <w:r>
        <w:rPr>
          <w:sz w:val="24"/>
        </w:rPr>
        <w:t>over</w:t>
      </w:r>
      <w:r>
        <w:rPr>
          <w:spacing w:val="71"/>
          <w:sz w:val="24"/>
        </w:rPr>
        <w:t> </w:t>
      </w:r>
      <w:r>
        <w:rPr>
          <w:sz w:val="24"/>
        </w:rPr>
        <w:t>it</w:t>
      </w:r>
      <w:r>
        <w:rPr>
          <w:spacing w:val="69"/>
          <w:sz w:val="24"/>
        </w:rPr>
        <w:t> </w:t>
      </w:r>
      <w:r>
        <w:rPr>
          <w:sz w:val="24"/>
        </w:rPr>
        <w:t>uninterruptedly</w:t>
      </w:r>
      <w:r>
        <w:rPr>
          <w:spacing w:val="71"/>
          <w:sz w:val="24"/>
        </w:rPr>
        <w:t> </w:t>
      </w:r>
      <w:r>
        <w:rPr>
          <w:sz w:val="24"/>
        </w:rPr>
        <w:t>for</w:t>
      </w:r>
      <w:r>
        <w:rPr>
          <w:spacing w:val="69"/>
          <w:sz w:val="24"/>
        </w:rPr>
        <w:t> </w:t>
      </w:r>
      <w:r>
        <w:rPr>
          <w:sz w:val="24"/>
        </w:rPr>
        <w:t>a</w:t>
      </w:r>
      <w:r>
        <w:rPr>
          <w:spacing w:val="71"/>
          <w:sz w:val="24"/>
        </w:rPr>
        <w:t> </w:t>
      </w:r>
      <w:r>
        <w:rPr>
          <w:sz w:val="24"/>
        </w:rPr>
        <w:t>period of 12 years.</w:t>
      </w:r>
    </w:p>
    <w:p>
      <w:pPr>
        <w:pStyle w:val="ListParagraph"/>
        <w:numPr>
          <w:ilvl w:val="1"/>
          <w:numId w:val="100"/>
        </w:numPr>
        <w:tabs>
          <w:tab w:pos="1568" w:val="left" w:leader="none"/>
        </w:tabs>
        <w:spacing w:line="240" w:lineRule="auto" w:before="239" w:after="0"/>
        <w:ind w:left="1568" w:right="0" w:hanging="358"/>
        <w:jc w:val="both"/>
        <w:rPr>
          <w:sz w:val="24"/>
        </w:rPr>
      </w:pPr>
      <w:r>
        <w:rPr>
          <w:sz w:val="24"/>
        </w:rPr>
        <w:t>The</w:t>
      </w:r>
      <w:r>
        <w:rPr>
          <w:spacing w:val="63"/>
          <w:sz w:val="24"/>
        </w:rPr>
        <w:t> </w:t>
      </w:r>
      <w:r>
        <w:rPr>
          <w:sz w:val="24"/>
        </w:rPr>
        <w:t>Commissioner</w:t>
      </w:r>
      <w:r>
        <w:rPr>
          <w:spacing w:val="69"/>
          <w:sz w:val="24"/>
        </w:rPr>
        <w:t> </w:t>
      </w:r>
      <w:r>
        <w:rPr>
          <w:sz w:val="24"/>
        </w:rPr>
        <w:t>may</w:t>
      </w:r>
      <w:r>
        <w:rPr>
          <w:spacing w:val="63"/>
          <w:sz w:val="24"/>
        </w:rPr>
        <w:t> </w:t>
      </w:r>
      <w:r>
        <w:rPr>
          <w:sz w:val="24"/>
        </w:rPr>
        <w:t>permit</w:t>
      </w:r>
      <w:r>
        <w:rPr>
          <w:spacing w:val="64"/>
          <w:sz w:val="24"/>
        </w:rPr>
        <w:t> </w:t>
      </w:r>
      <w:r>
        <w:rPr>
          <w:sz w:val="24"/>
        </w:rPr>
        <w:t>access</w:t>
      </w:r>
      <w:r>
        <w:rPr>
          <w:spacing w:val="69"/>
          <w:sz w:val="24"/>
        </w:rPr>
        <w:t> </w:t>
      </w:r>
      <w:r>
        <w:rPr>
          <w:spacing w:val="-4"/>
          <w:sz w:val="24"/>
        </w:rPr>
        <w:t>from</w:t>
      </w:r>
    </w:p>
    <w:p>
      <w:pPr>
        <w:pStyle w:val="ListParagraph"/>
        <w:numPr>
          <w:ilvl w:val="2"/>
          <w:numId w:val="100"/>
        </w:numPr>
        <w:tabs>
          <w:tab w:pos="1568" w:val="left" w:leader="none"/>
          <w:tab w:pos="1570" w:val="left" w:leader="none"/>
        </w:tabs>
        <w:spacing w:line="240" w:lineRule="auto" w:before="239" w:after="0"/>
        <w:ind w:left="1570" w:right="793" w:hanging="360"/>
        <w:jc w:val="both"/>
        <w:rPr>
          <w:sz w:val="24"/>
        </w:rPr>
      </w:pPr>
      <w:r>
        <w:rPr>
          <w:sz w:val="24"/>
        </w:rPr>
        <w:t>any</w:t>
      </w:r>
      <w:r>
        <w:rPr>
          <w:spacing w:val="40"/>
          <w:sz w:val="24"/>
        </w:rPr>
        <w:t> </w:t>
      </w:r>
      <w:r>
        <w:rPr>
          <w:sz w:val="24"/>
        </w:rPr>
        <w:t>street</w:t>
      </w:r>
      <w:r>
        <w:rPr>
          <w:spacing w:val="40"/>
          <w:sz w:val="24"/>
        </w:rPr>
        <w:t> </w:t>
      </w:r>
      <w:r>
        <w:rPr>
          <w:sz w:val="24"/>
        </w:rPr>
        <w:t>6.0</w:t>
      </w:r>
      <w:r>
        <w:rPr>
          <w:spacing w:val="40"/>
          <w:sz w:val="24"/>
        </w:rPr>
        <w:t> </w:t>
      </w:r>
      <w:r>
        <w:rPr>
          <w:sz w:val="24"/>
        </w:rPr>
        <w:t>m</w:t>
      </w:r>
      <w:r>
        <w:rPr>
          <w:spacing w:val="40"/>
          <w:sz w:val="24"/>
        </w:rPr>
        <w:t> </w:t>
      </w:r>
      <w:r>
        <w:rPr>
          <w:sz w:val="24"/>
        </w:rPr>
        <w:t>wide</w:t>
      </w:r>
      <w:r>
        <w:rPr>
          <w:spacing w:val="40"/>
          <w:sz w:val="24"/>
        </w:rPr>
        <w:t> </w:t>
      </w:r>
      <w:r>
        <w:rPr>
          <w:sz w:val="24"/>
        </w:rPr>
        <w:t>or</w:t>
      </w:r>
      <w:r>
        <w:rPr>
          <w:spacing w:val="40"/>
          <w:sz w:val="24"/>
        </w:rPr>
        <w:t> </w:t>
      </w:r>
      <w:r>
        <w:rPr>
          <w:sz w:val="24"/>
        </w:rPr>
        <w:t>more</w:t>
      </w:r>
      <w:r>
        <w:rPr>
          <w:spacing w:val="40"/>
          <w:sz w:val="24"/>
        </w:rPr>
        <w:t> </w:t>
      </w:r>
      <w:r>
        <w:rPr>
          <w:sz w:val="24"/>
        </w:rPr>
        <w:t>(including</w:t>
      </w:r>
      <w:r>
        <w:rPr>
          <w:spacing w:val="40"/>
          <w:sz w:val="24"/>
        </w:rPr>
        <w:t> </w:t>
      </w:r>
      <w:r>
        <w:rPr>
          <w:sz w:val="24"/>
        </w:rPr>
        <w:t>streets</w:t>
      </w:r>
      <w:r>
        <w:rPr>
          <w:spacing w:val="40"/>
          <w:sz w:val="24"/>
        </w:rPr>
        <w:t> </w:t>
      </w:r>
      <w:r>
        <w:rPr>
          <w:sz w:val="24"/>
        </w:rPr>
        <w:t>in</w:t>
      </w:r>
      <w:r>
        <w:rPr>
          <w:spacing w:val="40"/>
          <w:sz w:val="24"/>
        </w:rPr>
        <w:t> </w:t>
      </w:r>
      <w:r>
        <w:rPr>
          <w:sz w:val="24"/>
        </w:rPr>
        <w:t>a</w:t>
      </w:r>
      <w:r>
        <w:rPr>
          <w:spacing w:val="40"/>
          <w:sz w:val="24"/>
        </w:rPr>
        <w:t> </w:t>
      </w:r>
      <w:r>
        <w:rPr>
          <w:sz w:val="24"/>
        </w:rPr>
        <w:t>gaothan</w:t>
      </w:r>
      <w:r>
        <w:rPr>
          <w:spacing w:val="40"/>
          <w:sz w:val="24"/>
        </w:rPr>
        <w:t> </w:t>
      </w:r>
      <w:r>
        <w:rPr>
          <w:sz w:val="24"/>
        </w:rPr>
        <w:t>which give</w:t>
      </w:r>
      <w:r>
        <w:rPr>
          <w:spacing w:val="80"/>
          <w:sz w:val="24"/>
        </w:rPr>
        <w:t> </w:t>
      </w:r>
      <w:r>
        <w:rPr>
          <w:sz w:val="24"/>
        </w:rPr>
        <w:t>access</w:t>
      </w:r>
      <w:r>
        <w:rPr>
          <w:spacing w:val="80"/>
          <w:sz w:val="24"/>
        </w:rPr>
        <w:t> </w:t>
      </w:r>
      <w:r>
        <w:rPr>
          <w:sz w:val="24"/>
        </w:rPr>
        <w:t>to</w:t>
      </w:r>
      <w:r>
        <w:rPr>
          <w:spacing w:val="80"/>
          <w:sz w:val="24"/>
        </w:rPr>
        <w:t> </w:t>
      </w:r>
      <w:r>
        <w:rPr>
          <w:sz w:val="24"/>
        </w:rPr>
        <w:t>other</w:t>
      </w:r>
      <w:r>
        <w:rPr>
          <w:spacing w:val="80"/>
          <w:sz w:val="24"/>
        </w:rPr>
        <w:t> </w:t>
      </w:r>
      <w:r>
        <w:rPr>
          <w:sz w:val="24"/>
        </w:rPr>
        <w:t>properties</w:t>
      </w:r>
      <w:r>
        <w:rPr>
          <w:spacing w:val="80"/>
          <w:sz w:val="24"/>
        </w:rPr>
        <w:t> </w:t>
      </w:r>
      <w:r>
        <w:rPr>
          <w:sz w:val="24"/>
        </w:rPr>
        <w:t>outside</w:t>
      </w:r>
      <w:r>
        <w:rPr>
          <w:spacing w:val="80"/>
          <w:sz w:val="24"/>
        </w:rPr>
        <w:t> </w:t>
      </w:r>
      <w:r>
        <w:rPr>
          <w:sz w:val="24"/>
        </w:rPr>
        <w:t>the</w:t>
      </w:r>
      <w:r>
        <w:rPr>
          <w:spacing w:val="80"/>
          <w:sz w:val="24"/>
        </w:rPr>
        <w:t> </w:t>
      </w:r>
      <w:r>
        <w:rPr>
          <w:sz w:val="24"/>
        </w:rPr>
        <w:t>gaothan),</w:t>
      </w:r>
    </w:p>
    <w:p>
      <w:pPr>
        <w:pStyle w:val="ListParagraph"/>
        <w:numPr>
          <w:ilvl w:val="2"/>
          <w:numId w:val="100"/>
        </w:numPr>
        <w:tabs>
          <w:tab w:pos="1567" w:val="left" w:leader="none"/>
          <w:tab w:pos="1570" w:val="left" w:leader="none"/>
        </w:tabs>
        <w:spacing w:line="240" w:lineRule="auto" w:before="241" w:after="0"/>
        <w:ind w:left="1570" w:right="772" w:hanging="370"/>
        <w:jc w:val="both"/>
        <w:rPr>
          <w:sz w:val="24"/>
        </w:rPr>
      </w:pPr>
      <w:r>
        <w:rPr>
          <w:sz w:val="24"/>
        </w:rPr>
        <w:t>any existing street not less than 3.6 m wide which is proposed to be widened either in DP or by sanctioned regular line of street under the</w:t>
      </w:r>
      <w:r>
        <w:rPr>
          <w:spacing w:val="80"/>
          <w:sz w:val="24"/>
        </w:rPr>
        <w:t> </w:t>
      </w:r>
      <w:r>
        <w:rPr>
          <w:sz w:val="24"/>
        </w:rPr>
        <w:t>MMC Act, 1888,</w:t>
      </w:r>
    </w:p>
    <w:p>
      <w:pPr>
        <w:pStyle w:val="ListParagraph"/>
        <w:spacing w:after="0" w:line="240" w:lineRule="auto"/>
        <w:jc w:val="both"/>
        <w:rPr>
          <w:sz w:val="24"/>
        </w:rPr>
        <w:sectPr>
          <w:pgSz w:w="11910" w:h="16840"/>
          <w:pgMar w:header="1058" w:footer="1194" w:top="1500" w:bottom="1380" w:left="360" w:right="360"/>
        </w:sectPr>
      </w:pPr>
    </w:p>
    <w:p>
      <w:pPr>
        <w:pStyle w:val="ListParagraph"/>
        <w:numPr>
          <w:ilvl w:val="2"/>
          <w:numId w:val="100"/>
        </w:numPr>
        <w:tabs>
          <w:tab w:pos="1570" w:val="left" w:leader="none"/>
          <w:tab w:pos="1621" w:val="left" w:leader="none"/>
        </w:tabs>
        <w:spacing w:line="240" w:lineRule="auto" w:before="255" w:after="0"/>
        <w:ind w:left="1570" w:right="774" w:hanging="360"/>
        <w:jc w:val="both"/>
        <w:rPr>
          <w:sz w:val="24"/>
        </w:rPr>
      </w:pPr>
      <w:r>
        <w:rPr>
          <w:sz w:val="24"/>
        </w:rPr>
        <w:t>any</w:t>
      </w:r>
      <w:r>
        <w:rPr>
          <w:spacing w:val="80"/>
          <w:sz w:val="24"/>
        </w:rPr>
        <w:t> </w:t>
      </w:r>
      <w:r>
        <w:rPr>
          <w:sz w:val="24"/>
        </w:rPr>
        <w:t>street</w:t>
      </w:r>
      <w:r>
        <w:rPr>
          <w:spacing w:val="40"/>
          <w:sz w:val="24"/>
        </w:rPr>
        <w:t> </w:t>
      </w:r>
      <w:r>
        <w:rPr>
          <w:sz w:val="24"/>
        </w:rPr>
        <w:t>less</w:t>
      </w:r>
      <w:r>
        <w:rPr>
          <w:spacing w:val="40"/>
          <w:sz w:val="24"/>
        </w:rPr>
        <w:t> </w:t>
      </w:r>
      <w:r>
        <w:rPr>
          <w:sz w:val="24"/>
        </w:rPr>
        <w:t>than</w:t>
      </w:r>
      <w:r>
        <w:rPr>
          <w:spacing w:val="40"/>
          <w:sz w:val="24"/>
        </w:rPr>
        <w:t> </w:t>
      </w:r>
      <w:r>
        <w:rPr>
          <w:sz w:val="24"/>
        </w:rPr>
        <w:t>3.6</w:t>
      </w:r>
      <w:r>
        <w:rPr>
          <w:spacing w:val="40"/>
          <w:sz w:val="24"/>
        </w:rPr>
        <w:t> </w:t>
      </w:r>
      <w:r>
        <w:rPr>
          <w:sz w:val="24"/>
        </w:rPr>
        <w:t>m</w:t>
      </w:r>
      <w:r>
        <w:rPr>
          <w:spacing w:val="40"/>
          <w:sz w:val="24"/>
        </w:rPr>
        <w:t> </w:t>
      </w:r>
      <w:r>
        <w:rPr>
          <w:sz w:val="24"/>
        </w:rPr>
        <w:t>wide</w:t>
      </w:r>
      <w:r>
        <w:rPr>
          <w:spacing w:val="40"/>
          <w:sz w:val="24"/>
        </w:rPr>
        <w:t> </w:t>
      </w:r>
      <w:r>
        <w:rPr>
          <w:sz w:val="24"/>
        </w:rPr>
        <w:t>in</w:t>
      </w:r>
      <w:r>
        <w:rPr>
          <w:spacing w:val="40"/>
          <w:sz w:val="24"/>
        </w:rPr>
        <w:t> </w:t>
      </w:r>
      <w:r>
        <w:rPr>
          <w:sz w:val="24"/>
        </w:rPr>
        <w:t>a</w:t>
      </w:r>
      <w:r>
        <w:rPr>
          <w:spacing w:val="40"/>
          <w:sz w:val="24"/>
        </w:rPr>
        <w:t> </w:t>
      </w:r>
      <w:r>
        <w:rPr>
          <w:sz w:val="24"/>
        </w:rPr>
        <w:t>gaothan/Koliwada/Adivasipada if the plot boundary is shifted 2.25m from the central line of the street. Provided</w:t>
      </w:r>
      <w:r>
        <w:rPr>
          <w:spacing w:val="40"/>
          <w:sz w:val="24"/>
        </w:rPr>
        <w:t> </w:t>
      </w:r>
      <w:r>
        <w:rPr>
          <w:sz w:val="24"/>
        </w:rPr>
        <w:t>that</w:t>
      </w:r>
      <w:r>
        <w:rPr>
          <w:spacing w:val="40"/>
          <w:sz w:val="24"/>
        </w:rPr>
        <w:t> </w:t>
      </w:r>
      <w:r>
        <w:rPr>
          <w:sz w:val="24"/>
        </w:rPr>
        <w:t>shifting</w:t>
      </w:r>
      <w:r>
        <w:rPr>
          <w:spacing w:val="40"/>
          <w:sz w:val="24"/>
        </w:rPr>
        <w:t> </w:t>
      </w:r>
      <w:r>
        <w:rPr>
          <w:sz w:val="24"/>
        </w:rPr>
        <w:t>of</w:t>
      </w:r>
      <w:r>
        <w:rPr>
          <w:spacing w:val="40"/>
          <w:sz w:val="24"/>
        </w:rPr>
        <w:t> </w:t>
      </w:r>
      <w:r>
        <w:rPr>
          <w:sz w:val="24"/>
        </w:rPr>
        <w:t>plot</w:t>
      </w:r>
      <w:r>
        <w:rPr>
          <w:spacing w:val="40"/>
          <w:sz w:val="24"/>
        </w:rPr>
        <w:t> </w:t>
      </w:r>
      <w:r>
        <w:rPr>
          <w:sz w:val="24"/>
        </w:rPr>
        <w:t>boundary</w:t>
      </w:r>
      <w:r>
        <w:rPr>
          <w:spacing w:val="40"/>
          <w:sz w:val="24"/>
        </w:rPr>
        <w:t> </w:t>
      </w:r>
      <w:r>
        <w:rPr>
          <w:sz w:val="24"/>
        </w:rPr>
        <w:t>to</w:t>
      </w:r>
      <w:r>
        <w:rPr>
          <w:spacing w:val="40"/>
          <w:sz w:val="24"/>
        </w:rPr>
        <w:t> </w:t>
      </w:r>
      <w:r>
        <w:rPr>
          <w:sz w:val="24"/>
        </w:rPr>
        <w:t>2.25</w:t>
      </w:r>
      <w:r>
        <w:rPr>
          <w:spacing w:val="40"/>
          <w:sz w:val="24"/>
        </w:rPr>
        <w:t> </w:t>
      </w:r>
      <w:r>
        <w:rPr>
          <w:sz w:val="24"/>
        </w:rPr>
        <w:t>m</w:t>
      </w:r>
      <w:r>
        <w:rPr>
          <w:spacing w:val="40"/>
          <w:sz w:val="24"/>
        </w:rPr>
        <w:t> </w:t>
      </w:r>
      <w:r>
        <w:rPr>
          <w:sz w:val="24"/>
        </w:rPr>
        <w:t>from</w:t>
      </w:r>
      <w:r>
        <w:rPr>
          <w:spacing w:val="40"/>
          <w:sz w:val="24"/>
        </w:rPr>
        <w:t> </w:t>
      </w:r>
      <w:r>
        <w:rPr>
          <w:sz w:val="24"/>
        </w:rPr>
        <w:t>central</w:t>
      </w:r>
      <w:r>
        <w:rPr>
          <w:spacing w:val="40"/>
          <w:sz w:val="24"/>
        </w:rPr>
        <w:t> </w:t>
      </w:r>
      <w:r>
        <w:rPr>
          <w:sz w:val="24"/>
        </w:rPr>
        <w:t>line</w:t>
      </w:r>
      <w:r>
        <w:rPr>
          <w:spacing w:val="40"/>
          <w:sz w:val="24"/>
        </w:rPr>
        <w:t> </w:t>
      </w:r>
      <w:r>
        <w:rPr>
          <w:sz w:val="24"/>
        </w:rPr>
        <w:t>of the</w:t>
      </w:r>
      <w:r>
        <w:rPr>
          <w:spacing w:val="40"/>
          <w:sz w:val="24"/>
        </w:rPr>
        <w:t> </w:t>
      </w:r>
      <w:r>
        <w:rPr>
          <w:sz w:val="24"/>
        </w:rPr>
        <w:t>street</w:t>
      </w:r>
      <w:r>
        <w:rPr>
          <w:spacing w:val="40"/>
          <w:sz w:val="24"/>
        </w:rPr>
        <w:t> </w:t>
      </w:r>
      <w:r>
        <w:rPr>
          <w:sz w:val="24"/>
        </w:rPr>
        <w:t>will</w:t>
      </w:r>
      <w:r>
        <w:rPr>
          <w:spacing w:val="40"/>
          <w:sz w:val="24"/>
        </w:rPr>
        <w:t> </w:t>
      </w:r>
      <w:r>
        <w:rPr>
          <w:sz w:val="24"/>
        </w:rPr>
        <w:t>be</w:t>
      </w:r>
      <w:r>
        <w:rPr>
          <w:spacing w:val="40"/>
          <w:sz w:val="24"/>
        </w:rPr>
        <w:t> </w:t>
      </w:r>
      <w:r>
        <w:rPr>
          <w:sz w:val="24"/>
        </w:rPr>
        <w:t>insisted</w:t>
      </w:r>
      <w:r>
        <w:rPr>
          <w:spacing w:val="40"/>
          <w:sz w:val="24"/>
        </w:rPr>
        <w:t> </w:t>
      </w:r>
      <w:r>
        <w:rPr>
          <w:sz w:val="24"/>
        </w:rPr>
        <w:t>upon</w:t>
      </w:r>
      <w:r>
        <w:rPr>
          <w:spacing w:val="40"/>
          <w:sz w:val="24"/>
        </w:rPr>
        <w:t> </w:t>
      </w:r>
      <w:r>
        <w:rPr>
          <w:sz w:val="24"/>
        </w:rPr>
        <w:t>only</w:t>
      </w:r>
      <w:r>
        <w:rPr>
          <w:spacing w:val="40"/>
          <w:sz w:val="24"/>
        </w:rPr>
        <w:t> </w:t>
      </w:r>
      <w:r>
        <w:rPr>
          <w:sz w:val="24"/>
        </w:rPr>
        <w:t>in</w:t>
      </w:r>
      <w:r>
        <w:rPr>
          <w:spacing w:val="40"/>
          <w:sz w:val="24"/>
        </w:rPr>
        <w:t> </w:t>
      </w:r>
      <w:r>
        <w:rPr>
          <w:sz w:val="24"/>
        </w:rPr>
        <w:t>respect</w:t>
      </w:r>
      <w:r>
        <w:rPr>
          <w:spacing w:val="40"/>
          <w:sz w:val="24"/>
        </w:rPr>
        <w:t> </w:t>
      </w:r>
      <w:r>
        <w:rPr>
          <w:sz w:val="24"/>
        </w:rPr>
        <w:t>of</w:t>
      </w:r>
      <w:r>
        <w:rPr>
          <w:spacing w:val="40"/>
          <w:sz w:val="24"/>
        </w:rPr>
        <w:t> </w:t>
      </w:r>
      <w:r>
        <w:rPr>
          <w:sz w:val="24"/>
        </w:rPr>
        <w:t>identified</w:t>
      </w:r>
      <w:r>
        <w:rPr>
          <w:spacing w:val="40"/>
          <w:sz w:val="24"/>
        </w:rPr>
        <w:t> </w:t>
      </w:r>
      <w:r>
        <w:rPr>
          <w:sz w:val="24"/>
        </w:rPr>
        <w:t>streets forming part of Traffic Circulation System in gaothan/Koliwada/Adivasipada. Such streets will be identified with</w:t>
      </w:r>
      <w:r>
        <w:rPr>
          <w:spacing w:val="40"/>
          <w:sz w:val="24"/>
        </w:rPr>
        <w:t> </w:t>
      </w:r>
      <w:r>
        <w:rPr>
          <w:sz w:val="24"/>
        </w:rPr>
        <w:t>specific approval of the Municipal Commissioner. In all other cases, existing access will be considered as adequate in gaothan/Koliwada/Adivasipada</w:t>
      </w:r>
      <w:r>
        <w:rPr>
          <w:spacing w:val="40"/>
          <w:sz w:val="24"/>
        </w:rPr>
        <w:t> </w:t>
      </w:r>
      <w:r>
        <w:rPr>
          <w:sz w:val="24"/>
        </w:rPr>
        <w:t>areas,</w:t>
      </w:r>
      <w:r>
        <w:rPr>
          <w:spacing w:val="40"/>
          <w:sz w:val="24"/>
        </w:rPr>
        <w:t> </w:t>
      </w:r>
      <w:r>
        <w:rPr>
          <w:sz w:val="24"/>
        </w:rPr>
        <w:t>subject</w:t>
      </w:r>
      <w:r>
        <w:rPr>
          <w:spacing w:val="40"/>
          <w:sz w:val="24"/>
        </w:rPr>
        <w:t> </w:t>
      </w:r>
      <w:r>
        <w:rPr>
          <w:sz w:val="24"/>
        </w:rPr>
        <w:t>to</w:t>
      </w:r>
      <w:r>
        <w:rPr>
          <w:spacing w:val="40"/>
          <w:sz w:val="24"/>
        </w:rPr>
        <w:t> </w:t>
      </w:r>
      <w:r>
        <w:rPr>
          <w:sz w:val="24"/>
        </w:rPr>
        <w:t>the</w:t>
      </w:r>
      <w:r>
        <w:rPr>
          <w:spacing w:val="40"/>
          <w:sz w:val="24"/>
        </w:rPr>
        <w:t> </w:t>
      </w:r>
      <w:r>
        <w:rPr>
          <w:sz w:val="24"/>
        </w:rPr>
        <w:t>physical</w:t>
      </w:r>
      <w:r>
        <w:rPr>
          <w:spacing w:val="80"/>
          <w:sz w:val="24"/>
        </w:rPr>
        <w:t> </w:t>
      </w:r>
      <w:r>
        <w:rPr>
          <w:sz w:val="24"/>
        </w:rPr>
        <w:t>verification on site,</w:t>
      </w:r>
    </w:p>
    <w:p>
      <w:pPr>
        <w:pStyle w:val="ListParagraph"/>
        <w:numPr>
          <w:ilvl w:val="2"/>
          <w:numId w:val="100"/>
        </w:numPr>
        <w:tabs>
          <w:tab w:pos="1570" w:val="left" w:leader="none"/>
          <w:tab w:pos="1622" w:val="left" w:leader="none"/>
        </w:tabs>
        <w:spacing w:line="240" w:lineRule="auto" w:before="240" w:after="0"/>
        <w:ind w:left="1570" w:right="785" w:hanging="370"/>
        <w:jc w:val="both"/>
        <w:rPr>
          <w:sz w:val="24"/>
        </w:rPr>
      </w:pPr>
      <w:r>
        <w:rPr>
          <w:sz w:val="24"/>
        </w:rPr>
        <w:t>any</w:t>
      </w:r>
      <w:r>
        <w:rPr>
          <w:spacing w:val="80"/>
          <w:sz w:val="24"/>
        </w:rPr>
        <w:t> </w:t>
      </w:r>
      <w:r>
        <w:rPr>
          <w:sz w:val="24"/>
        </w:rPr>
        <w:t>street</w:t>
      </w:r>
      <w:r>
        <w:rPr>
          <w:spacing w:val="40"/>
          <w:sz w:val="24"/>
        </w:rPr>
        <w:t> </w:t>
      </w:r>
      <w:r>
        <w:rPr>
          <w:sz w:val="24"/>
        </w:rPr>
        <w:t>or</w:t>
      </w:r>
      <w:r>
        <w:rPr>
          <w:spacing w:val="40"/>
          <w:sz w:val="24"/>
        </w:rPr>
        <w:t> </w:t>
      </w:r>
      <w:r>
        <w:rPr>
          <w:sz w:val="24"/>
        </w:rPr>
        <w:t>road</w:t>
      </w:r>
      <w:r>
        <w:rPr>
          <w:spacing w:val="40"/>
          <w:sz w:val="24"/>
        </w:rPr>
        <w:t> </w:t>
      </w:r>
      <w:r>
        <w:rPr>
          <w:sz w:val="24"/>
        </w:rPr>
        <w:t>more</w:t>
      </w:r>
      <w:r>
        <w:rPr>
          <w:spacing w:val="40"/>
          <w:sz w:val="24"/>
        </w:rPr>
        <w:t> </w:t>
      </w:r>
      <w:r>
        <w:rPr>
          <w:sz w:val="24"/>
        </w:rPr>
        <w:t>than</w:t>
      </w:r>
      <w:r>
        <w:rPr>
          <w:spacing w:val="40"/>
          <w:sz w:val="24"/>
        </w:rPr>
        <w:t> </w:t>
      </w:r>
      <w:r>
        <w:rPr>
          <w:sz w:val="24"/>
        </w:rPr>
        <w:t>52.0</w:t>
      </w:r>
      <w:r>
        <w:rPr>
          <w:spacing w:val="40"/>
          <w:sz w:val="24"/>
        </w:rPr>
        <w:t> </w:t>
      </w:r>
      <w:r>
        <w:rPr>
          <w:sz w:val="24"/>
        </w:rPr>
        <w:t>m</w:t>
      </w:r>
      <w:r>
        <w:rPr>
          <w:spacing w:val="40"/>
          <w:sz w:val="24"/>
        </w:rPr>
        <w:t> </w:t>
      </w:r>
      <w:r>
        <w:rPr>
          <w:sz w:val="24"/>
        </w:rPr>
        <w:t>in</w:t>
      </w:r>
      <w:r>
        <w:rPr>
          <w:spacing w:val="40"/>
          <w:sz w:val="24"/>
        </w:rPr>
        <w:t> </w:t>
      </w:r>
      <w:r>
        <w:rPr>
          <w:sz w:val="24"/>
        </w:rPr>
        <w:t>width</w:t>
      </w:r>
      <w:r>
        <w:rPr>
          <w:spacing w:val="40"/>
          <w:sz w:val="24"/>
        </w:rPr>
        <w:t> </w:t>
      </w:r>
      <w:r>
        <w:rPr>
          <w:sz w:val="24"/>
        </w:rPr>
        <w:t>specifically</w:t>
      </w:r>
      <w:r>
        <w:rPr>
          <w:spacing w:val="40"/>
          <w:sz w:val="24"/>
        </w:rPr>
        <w:t> </w:t>
      </w:r>
      <w:r>
        <w:rPr>
          <w:sz w:val="24"/>
        </w:rPr>
        <w:t>identified</w:t>
      </w:r>
      <w:r>
        <w:rPr>
          <w:spacing w:val="40"/>
          <w:sz w:val="24"/>
        </w:rPr>
        <w:t> </w:t>
      </w:r>
      <w:r>
        <w:rPr>
          <w:sz w:val="24"/>
        </w:rPr>
        <w:t>in the</w:t>
      </w:r>
      <w:r>
        <w:rPr>
          <w:spacing w:val="40"/>
          <w:sz w:val="24"/>
        </w:rPr>
        <w:t> </w:t>
      </w:r>
      <w:r>
        <w:rPr>
          <w:sz w:val="24"/>
        </w:rPr>
        <w:t>DP</w:t>
      </w:r>
      <w:r>
        <w:rPr>
          <w:spacing w:val="40"/>
          <w:sz w:val="24"/>
        </w:rPr>
        <w:t> </w:t>
      </w:r>
      <w:r>
        <w:rPr>
          <w:sz w:val="24"/>
        </w:rPr>
        <w:t>for</w:t>
      </w:r>
      <w:r>
        <w:rPr>
          <w:spacing w:val="40"/>
          <w:sz w:val="24"/>
        </w:rPr>
        <w:t> </w:t>
      </w:r>
      <w:r>
        <w:rPr>
          <w:sz w:val="24"/>
        </w:rPr>
        <w:t>giving</w:t>
      </w:r>
      <w:r>
        <w:rPr>
          <w:spacing w:val="40"/>
          <w:sz w:val="24"/>
        </w:rPr>
        <w:t> </w:t>
      </w:r>
      <w:r>
        <w:rPr>
          <w:sz w:val="24"/>
        </w:rPr>
        <w:t>direct</w:t>
      </w:r>
      <w:r>
        <w:rPr>
          <w:spacing w:val="40"/>
          <w:sz w:val="24"/>
        </w:rPr>
        <w:t> </w:t>
      </w:r>
      <w:r>
        <w:rPr>
          <w:sz w:val="24"/>
        </w:rPr>
        <w:t>access</w:t>
      </w:r>
      <w:r>
        <w:rPr>
          <w:spacing w:val="40"/>
          <w:sz w:val="24"/>
        </w:rPr>
        <w:t> </w:t>
      </w:r>
      <w:r>
        <w:rPr>
          <w:sz w:val="24"/>
        </w:rPr>
        <w:t>except</w:t>
      </w:r>
      <w:r>
        <w:rPr>
          <w:spacing w:val="40"/>
          <w:sz w:val="24"/>
        </w:rPr>
        <w:t> </w:t>
      </w:r>
      <w:r>
        <w:rPr>
          <w:sz w:val="24"/>
        </w:rPr>
        <w:t>where</w:t>
      </w:r>
      <w:r>
        <w:rPr>
          <w:spacing w:val="40"/>
          <w:sz w:val="24"/>
        </w:rPr>
        <w:t> </w:t>
      </w:r>
      <w:r>
        <w:rPr>
          <w:sz w:val="24"/>
        </w:rPr>
        <w:t>NOC</w:t>
      </w:r>
      <w:r>
        <w:rPr>
          <w:spacing w:val="40"/>
          <w:sz w:val="24"/>
        </w:rPr>
        <w:t> </w:t>
      </w:r>
      <w:r>
        <w:rPr>
          <w:sz w:val="24"/>
        </w:rPr>
        <w:t>has</w:t>
      </w:r>
      <w:r>
        <w:rPr>
          <w:spacing w:val="40"/>
          <w:sz w:val="24"/>
        </w:rPr>
        <w:t> </w:t>
      </w:r>
      <w:r>
        <w:rPr>
          <w:sz w:val="24"/>
        </w:rPr>
        <w:t>been</w:t>
      </w:r>
      <w:r>
        <w:rPr>
          <w:spacing w:val="40"/>
          <w:sz w:val="24"/>
        </w:rPr>
        <w:t> </w:t>
      </w:r>
      <w:r>
        <w:rPr>
          <w:sz w:val="24"/>
        </w:rPr>
        <w:t>granted</w:t>
      </w:r>
      <w:r>
        <w:rPr>
          <w:spacing w:val="40"/>
          <w:sz w:val="24"/>
        </w:rPr>
        <w:t> </w:t>
      </w:r>
      <w:r>
        <w:rPr>
          <w:sz w:val="24"/>
        </w:rPr>
        <w:t>by the</w:t>
      </w:r>
      <w:r>
        <w:rPr>
          <w:spacing w:val="40"/>
          <w:sz w:val="24"/>
        </w:rPr>
        <w:t> </w:t>
      </w:r>
      <w:r>
        <w:rPr>
          <w:sz w:val="24"/>
        </w:rPr>
        <w:t>appropriate</w:t>
      </w:r>
      <w:r>
        <w:rPr>
          <w:spacing w:val="40"/>
          <w:sz w:val="24"/>
        </w:rPr>
        <w:t> </w:t>
      </w:r>
      <w:r>
        <w:rPr>
          <w:sz w:val="24"/>
        </w:rPr>
        <w:t>road</w:t>
      </w:r>
      <w:r>
        <w:rPr>
          <w:spacing w:val="40"/>
          <w:sz w:val="24"/>
        </w:rPr>
        <w:t> </w:t>
      </w:r>
      <w:r>
        <w:rPr>
          <w:sz w:val="24"/>
        </w:rPr>
        <w:t>authorities,</w:t>
      </w:r>
    </w:p>
    <w:p>
      <w:pPr>
        <w:pStyle w:val="Heading6"/>
        <w:numPr>
          <w:ilvl w:val="0"/>
          <w:numId w:val="100"/>
        </w:numPr>
        <w:tabs>
          <w:tab w:pos="1764" w:val="left" w:leader="none"/>
        </w:tabs>
        <w:spacing w:line="240" w:lineRule="auto" w:before="238" w:after="0"/>
        <w:ind w:left="1764" w:right="0" w:hanging="631"/>
        <w:jc w:val="left"/>
      </w:pPr>
      <w:r>
        <w:rPr/>
        <w:t>Plots/Buildings</w:t>
      </w:r>
      <w:r>
        <w:rPr>
          <w:spacing w:val="64"/>
        </w:rPr>
        <w:t> </w:t>
      </w:r>
      <w:r>
        <w:rPr/>
        <w:t>abutting</w:t>
      </w:r>
      <w:r>
        <w:rPr>
          <w:spacing w:val="67"/>
        </w:rPr>
        <w:t> </w:t>
      </w:r>
      <w:r>
        <w:rPr/>
        <w:t>or</w:t>
      </w:r>
      <w:r>
        <w:rPr>
          <w:spacing w:val="64"/>
        </w:rPr>
        <w:t> </w:t>
      </w:r>
      <w:r>
        <w:rPr/>
        <w:t>fronting</w:t>
      </w:r>
      <w:r>
        <w:rPr>
          <w:spacing w:val="65"/>
        </w:rPr>
        <w:t> </w:t>
      </w:r>
      <w:r>
        <w:rPr/>
        <w:t>a</w:t>
      </w:r>
      <w:r>
        <w:rPr>
          <w:spacing w:val="64"/>
        </w:rPr>
        <w:t> </w:t>
      </w:r>
      <w:r>
        <w:rPr/>
        <w:t>means</w:t>
      </w:r>
      <w:r>
        <w:rPr>
          <w:spacing w:val="64"/>
        </w:rPr>
        <w:t> </w:t>
      </w:r>
      <w:r>
        <w:rPr/>
        <w:t>of</w:t>
      </w:r>
      <w:r>
        <w:rPr>
          <w:spacing w:val="65"/>
        </w:rPr>
        <w:t> </w:t>
      </w:r>
      <w:r>
        <w:rPr>
          <w:spacing w:val="7"/>
        </w:rPr>
        <w:t>Access:</w:t>
      </w:r>
    </w:p>
    <w:p>
      <w:pPr>
        <w:pStyle w:val="BodyText"/>
        <w:spacing w:line="276" w:lineRule="auto" w:before="241"/>
        <w:ind w:left="1493" w:right="801"/>
      </w:pPr>
      <w:r>
        <w:rPr/>
        <w:t>Where</w:t>
      </w:r>
      <w:r>
        <w:rPr>
          <w:spacing w:val="40"/>
        </w:rPr>
        <w:t> </w:t>
      </w:r>
      <w:r>
        <w:rPr/>
        <w:t>a</w:t>
      </w:r>
      <w:r>
        <w:rPr>
          <w:spacing w:val="40"/>
        </w:rPr>
        <w:t> </w:t>
      </w:r>
      <w:r>
        <w:rPr/>
        <w:t>plot</w:t>
      </w:r>
      <w:r>
        <w:rPr>
          <w:spacing w:val="40"/>
        </w:rPr>
        <w:t> </w:t>
      </w:r>
      <w:r>
        <w:rPr/>
        <w:t>or</w:t>
      </w:r>
      <w:r>
        <w:rPr>
          <w:spacing w:val="40"/>
        </w:rPr>
        <w:t> </w:t>
      </w:r>
      <w:r>
        <w:rPr/>
        <w:t>building</w:t>
      </w:r>
      <w:r>
        <w:rPr>
          <w:spacing w:val="40"/>
        </w:rPr>
        <w:t> </w:t>
      </w:r>
      <w:r>
        <w:rPr/>
        <w:t>abuts/fronts</w:t>
      </w:r>
      <w:r>
        <w:rPr>
          <w:spacing w:val="40"/>
        </w:rPr>
        <w:t> </w:t>
      </w:r>
      <w:r>
        <w:rPr/>
        <w:t>a</w:t>
      </w:r>
      <w:r>
        <w:rPr>
          <w:spacing w:val="40"/>
        </w:rPr>
        <w:t> </w:t>
      </w:r>
      <w:r>
        <w:rPr/>
        <w:t>means</w:t>
      </w:r>
      <w:r>
        <w:rPr>
          <w:spacing w:val="40"/>
        </w:rPr>
        <w:t> </w:t>
      </w:r>
      <w:r>
        <w:rPr/>
        <w:t>of</w:t>
      </w:r>
      <w:r>
        <w:rPr>
          <w:spacing w:val="40"/>
        </w:rPr>
        <w:t> </w:t>
      </w:r>
      <w:r>
        <w:rPr/>
        <w:t>access;</w:t>
      </w:r>
      <w:r>
        <w:rPr>
          <w:spacing w:val="40"/>
        </w:rPr>
        <w:t> </w:t>
      </w:r>
      <w:r>
        <w:rPr/>
        <w:t>the</w:t>
      </w:r>
      <w:r>
        <w:rPr>
          <w:spacing w:val="40"/>
        </w:rPr>
        <w:t> </w:t>
      </w:r>
      <w:r>
        <w:rPr/>
        <w:t>width</w:t>
      </w:r>
      <w:r>
        <w:rPr>
          <w:spacing w:val="40"/>
        </w:rPr>
        <w:t> </w:t>
      </w:r>
      <w:r>
        <w:rPr/>
        <w:t>of the</w:t>
      </w:r>
      <w:r>
        <w:rPr>
          <w:spacing w:val="40"/>
        </w:rPr>
        <w:t> </w:t>
      </w:r>
      <w:r>
        <w:rPr/>
        <w:t>access</w:t>
      </w:r>
      <w:r>
        <w:rPr>
          <w:spacing w:val="40"/>
        </w:rPr>
        <w:t> </w:t>
      </w:r>
      <w:r>
        <w:rPr/>
        <w:t>shall</w:t>
      </w:r>
      <w:r>
        <w:rPr>
          <w:spacing w:val="40"/>
        </w:rPr>
        <w:t> </w:t>
      </w:r>
      <w:r>
        <w:rPr/>
        <w:t>be</w:t>
      </w:r>
      <w:r>
        <w:rPr>
          <w:spacing w:val="40"/>
        </w:rPr>
        <w:t> </w:t>
      </w:r>
      <w:r>
        <w:rPr/>
        <w:t>as</w:t>
      </w:r>
      <w:r>
        <w:rPr>
          <w:spacing w:val="40"/>
        </w:rPr>
        <w:t> </w:t>
      </w:r>
      <w:r>
        <w:rPr/>
        <w:t>specified</w:t>
      </w:r>
      <w:r>
        <w:rPr>
          <w:spacing w:val="40"/>
        </w:rPr>
        <w:t> </w:t>
      </w:r>
      <w:r>
        <w:rPr/>
        <w:t>in</w:t>
      </w:r>
      <w:r>
        <w:rPr>
          <w:spacing w:val="40"/>
        </w:rPr>
        <w:t> </w:t>
      </w:r>
      <w:r>
        <w:rPr/>
        <w:t>Regulation</w:t>
      </w:r>
      <w:r>
        <w:rPr>
          <w:spacing w:val="40"/>
        </w:rPr>
        <w:t> </w:t>
      </w:r>
      <w:r>
        <w:rPr/>
        <w:t>No</w:t>
      </w:r>
      <w:r>
        <w:rPr>
          <w:spacing w:val="40"/>
        </w:rPr>
        <w:t> </w:t>
      </w:r>
      <w:r>
        <w:rPr/>
        <w:t>23.</w:t>
      </w:r>
    </w:p>
    <w:p>
      <w:pPr>
        <w:pStyle w:val="Heading3"/>
        <w:numPr>
          <w:ilvl w:val="0"/>
          <w:numId w:val="97"/>
        </w:numPr>
        <w:tabs>
          <w:tab w:pos="1493" w:val="left" w:leader="none"/>
        </w:tabs>
        <w:spacing w:line="240" w:lineRule="auto" w:before="239" w:after="0"/>
        <w:ind w:left="1493" w:right="0" w:hanging="721"/>
        <w:jc w:val="left"/>
      </w:pPr>
      <w:r>
        <w:rPr/>
        <w:t>Alignment</w:t>
      </w:r>
      <w:r>
        <w:rPr>
          <w:spacing w:val="-9"/>
        </w:rPr>
        <w:t> </w:t>
      </w:r>
      <w:r>
        <w:rPr/>
        <w:t>&amp;</w:t>
      </w:r>
      <w:r>
        <w:rPr>
          <w:spacing w:val="-5"/>
        </w:rPr>
        <w:t> </w:t>
      </w:r>
      <w:r>
        <w:rPr/>
        <w:t>Intersection</w:t>
      </w:r>
      <w:r>
        <w:rPr>
          <w:spacing w:val="-3"/>
        </w:rPr>
        <w:t> </w:t>
      </w:r>
      <w:r>
        <w:rPr/>
        <w:t>of</w:t>
      </w:r>
      <w:r>
        <w:rPr>
          <w:spacing w:val="-8"/>
        </w:rPr>
        <w:t> </w:t>
      </w:r>
      <w:r>
        <w:rPr>
          <w:spacing w:val="-4"/>
        </w:rPr>
        <w:t>Roads</w:t>
      </w:r>
    </w:p>
    <w:p>
      <w:pPr>
        <w:pStyle w:val="ListParagraph"/>
        <w:numPr>
          <w:ilvl w:val="1"/>
          <w:numId w:val="97"/>
        </w:numPr>
        <w:tabs>
          <w:tab w:pos="1803" w:val="left" w:leader="none"/>
        </w:tabs>
        <w:spacing w:line="240" w:lineRule="auto" w:before="244" w:after="0"/>
        <w:ind w:left="1493" w:right="780" w:firstLine="0"/>
        <w:jc w:val="both"/>
        <w:rPr>
          <w:sz w:val="24"/>
        </w:rPr>
      </w:pPr>
      <w:r>
        <w:rPr>
          <w:sz w:val="24"/>
        </w:rPr>
        <w:t>Where</w:t>
      </w:r>
      <w:r>
        <w:rPr>
          <w:spacing w:val="40"/>
          <w:sz w:val="24"/>
        </w:rPr>
        <w:t> </w:t>
      </w:r>
      <w:r>
        <w:rPr>
          <w:sz w:val="24"/>
        </w:rPr>
        <w:t>there</w:t>
      </w:r>
      <w:r>
        <w:rPr>
          <w:spacing w:val="40"/>
          <w:sz w:val="24"/>
        </w:rPr>
        <w:t> </w:t>
      </w:r>
      <w:r>
        <w:rPr>
          <w:sz w:val="24"/>
        </w:rPr>
        <w:t>is</w:t>
      </w:r>
      <w:r>
        <w:rPr>
          <w:spacing w:val="80"/>
          <w:sz w:val="24"/>
        </w:rPr>
        <w:t> </w:t>
      </w:r>
      <w:r>
        <w:rPr>
          <w:sz w:val="24"/>
        </w:rPr>
        <w:t>any</w:t>
      </w:r>
      <w:r>
        <w:rPr>
          <w:spacing w:val="40"/>
          <w:sz w:val="24"/>
        </w:rPr>
        <w:t> </w:t>
      </w:r>
      <w:r>
        <w:rPr>
          <w:sz w:val="24"/>
        </w:rPr>
        <w:t>conflict</w:t>
      </w:r>
      <w:r>
        <w:rPr>
          <w:spacing w:val="40"/>
          <w:sz w:val="24"/>
        </w:rPr>
        <w:t> </w:t>
      </w:r>
      <w:r>
        <w:rPr>
          <w:sz w:val="24"/>
        </w:rPr>
        <w:t>between</w:t>
      </w:r>
      <w:r>
        <w:rPr>
          <w:spacing w:val="40"/>
          <w:sz w:val="24"/>
        </w:rPr>
        <w:t> </w:t>
      </w:r>
      <w:r>
        <w:rPr>
          <w:sz w:val="24"/>
        </w:rPr>
        <w:t>the</w:t>
      </w:r>
      <w:r>
        <w:rPr>
          <w:spacing w:val="40"/>
          <w:sz w:val="24"/>
        </w:rPr>
        <w:t> </w:t>
      </w:r>
      <w:r>
        <w:rPr>
          <w:sz w:val="24"/>
        </w:rPr>
        <w:t>width</w:t>
      </w:r>
      <w:r>
        <w:rPr>
          <w:spacing w:val="40"/>
          <w:sz w:val="24"/>
        </w:rPr>
        <w:t> </w:t>
      </w:r>
      <w:r>
        <w:rPr>
          <w:sz w:val="24"/>
        </w:rPr>
        <w:t>provided</w:t>
      </w:r>
      <w:r>
        <w:rPr>
          <w:spacing w:val="40"/>
          <w:sz w:val="24"/>
        </w:rPr>
        <w:t> </w:t>
      </w:r>
      <w:r>
        <w:rPr>
          <w:sz w:val="24"/>
        </w:rPr>
        <w:t>in</w:t>
      </w:r>
      <w:r>
        <w:rPr>
          <w:spacing w:val="40"/>
          <w:sz w:val="24"/>
        </w:rPr>
        <w:t> </w:t>
      </w:r>
      <w:r>
        <w:rPr>
          <w:sz w:val="24"/>
        </w:rPr>
        <w:t>the</w:t>
      </w:r>
      <w:r>
        <w:rPr>
          <w:spacing w:val="80"/>
          <w:sz w:val="24"/>
        </w:rPr>
        <w:t> </w:t>
      </w:r>
      <w:r>
        <w:rPr>
          <w:sz w:val="24"/>
        </w:rPr>
        <w:t>DP and</w:t>
      </w:r>
      <w:r>
        <w:rPr>
          <w:spacing w:val="40"/>
          <w:sz w:val="24"/>
        </w:rPr>
        <w:t> </w:t>
      </w:r>
      <w:r>
        <w:rPr>
          <w:sz w:val="24"/>
        </w:rPr>
        <w:t>the</w:t>
      </w:r>
      <w:r>
        <w:rPr>
          <w:spacing w:val="40"/>
          <w:sz w:val="24"/>
        </w:rPr>
        <w:t> </w:t>
      </w:r>
      <w:r>
        <w:rPr>
          <w:sz w:val="24"/>
        </w:rPr>
        <w:t>width</w:t>
      </w:r>
      <w:r>
        <w:rPr>
          <w:spacing w:val="40"/>
          <w:sz w:val="24"/>
        </w:rPr>
        <w:t> </w:t>
      </w:r>
      <w:r>
        <w:rPr>
          <w:sz w:val="24"/>
        </w:rPr>
        <w:t>resulting</w:t>
      </w:r>
      <w:r>
        <w:rPr>
          <w:spacing w:val="40"/>
          <w:sz w:val="24"/>
        </w:rPr>
        <w:t> </w:t>
      </w:r>
      <w:r>
        <w:rPr>
          <w:sz w:val="24"/>
        </w:rPr>
        <w:t>from</w:t>
      </w:r>
      <w:r>
        <w:rPr>
          <w:spacing w:val="40"/>
          <w:sz w:val="24"/>
        </w:rPr>
        <w:t> </w:t>
      </w:r>
      <w:r>
        <w:rPr>
          <w:sz w:val="24"/>
        </w:rPr>
        <w:t>the</w:t>
      </w:r>
      <w:r>
        <w:rPr>
          <w:spacing w:val="40"/>
          <w:sz w:val="24"/>
        </w:rPr>
        <w:t> </w:t>
      </w:r>
      <w:r>
        <w:rPr>
          <w:sz w:val="24"/>
        </w:rPr>
        <w:t>prescription</w:t>
      </w:r>
      <w:r>
        <w:rPr>
          <w:spacing w:val="40"/>
          <w:sz w:val="24"/>
        </w:rPr>
        <w:t> </w:t>
      </w:r>
      <w:r>
        <w:rPr>
          <w:sz w:val="24"/>
        </w:rPr>
        <w:t>of</w:t>
      </w:r>
      <w:r>
        <w:rPr>
          <w:spacing w:val="40"/>
          <w:sz w:val="24"/>
        </w:rPr>
        <w:t> </w:t>
      </w:r>
      <w:r>
        <w:rPr>
          <w:sz w:val="24"/>
        </w:rPr>
        <w:t>a</w:t>
      </w:r>
      <w:r>
        <w:rPr>
          <w:spacing w:val="40"/>
          <w:sz w:val="24"/>
        </w:rPr>
        <w:t> </w:t>
      </w:r>
      <w:r>
        <w:rPr>
          <w:sz w:val="24"/>
        </w:rPr>
        <w:t>Regular</w:t>
      </w:r>
      <w:r>
        <w:rPr>
          <w:spacing w:val="40"/>
          <w:sz w:val="24"/>
        </w:rPr>
        <w:t> </w:t>
      </w:r>
      <w:r>
        <w:rPr>
          <w:sz w:val="24"/>
        </w:rPr>
        <w:t>Line</w:t>
      </w:r>
      <w:r>
        <w:rPr>
          <w:spacing w:val="40"/>
          <w:sz w:val="24"/>
        </w:rPr>
        <w:t> </w:t>
      </w:r>
      <w:r>
        <w:rPr>
          <w:sz w:val="24"/>
        </w:rPr>
        <w:t>of</w:t>
      </w:r>
      <w:r>
        <w:rPr>
          <w:spacing w:val="40"/>
          <w:sz w:val="24"/>
        </w:rPr>
        <w:t> </w:t>
      </w:r>
      <w:r>
        <w:rPr>
          <w:sz w:val="24"/>
        </w:rPr>
        <w:t>a street under the MMC Act, 1888, the larger of the two shall </w:t>
      </w:r>
      <w:r>
        <w:rPr>
          <w:spacing w:val="9"/>
          <w:sz w:val="24"/>
        </w:rPr>
        <w:t>prevail. </w:t>
      </w:r>
      <w:r>
        <w:rPr>
          <w:sz w:val="24"/>
        </w:rPr>
        <w:t>Further,</w:t>
      </w:r>
      <w:r>
        <w:rPr>
          <w:spacing w:val="40"/>
          <w:sz w:val="24"/>
        </w:rPr>
        <w:t> </w:t>
      </w:r>
      <w:r>
        <w:rPr>
          <w:sz w:val="24"/>
        </w:rPr>
        <w:t>if</w:t>
      </w:r>
      <w:r>
        <w:rPr>
          <w:spacing w:val="40"/>
          <w:sz w:val="24"/>
        </w:rPr>
        <w:t> </w:t>
      </w:r>
      <w:r>
        <w:rPr>
          <w:sz w:val="24"/>
        </w:rPr>
        <w:t>there</w:t>
      </w:r>
      <w:r>
        <w:rPr>
          <w:spacing w:val="40"/>
          <w:sz w:val="24"/>
        </w:rPr>
        <w:t> </w:t>
      </w:r>
      <w:r>
        <w:rPr>
          <w:sz w:val="24"/>
        </w:rPr>
        <w:t>is</w:t>
      </w:r>
      <w:r>
        <w:rPr>
          <w:spacing w:val="40"/>
          <w:sz w:val="24"/>
        </w:rPr>
        <w:t> </w:t>
      </w:r>
      <w:r>
        <w:rPr>
          <w:sz w:val="24"/>
        </w:rPr>
        <w:t>variation</w:t>
      </w:r>
      <w:r>
        <w:rPr>
          <w:spacing w:val="40"/>
          <w:sz w:val="24"/>
        </w:rPr>
        <w:t> </w:t>
      </w:r>
      <w:r>
        <w:rPr>
          <w:sz w:val="24"/>
        </w:rPr>
        <w:t>in</w:t>
      </w:r>
      <w:r>
        <w:rPr>
          <w:spacing w:val="40"/>
          <w:sz w:val="24"/>
        </w:rPr>
        <w:t> </w:t>
      </w:r>
      <w:r>
        <w:rPr>
          <w:sz w:val="24"/>
        </w:rPr>
        <w:t>the</w:t>
      </w:r>
      <w:r>
        <w:rPr>
          <w:spacing w:val="40"/>
          <w:sz w:val="24"/>
        </w:rPr>
        <w:t> </w:t>
      </w:r>
      <w:r>
        <w:rPr>
          <w:sz w:val="24"/>
        </w:rPr>
        <w:t>alignment</w:t>
      </w:r>
      <w:r>
        <w:rPr>
          <w:spacing w:val="40"/>
          <w:sz w:val="24"/>
        </w:rPr>
        <w:t> </w:t>
      </w:r>
      <w:r>
        <w:rPr>
          <w:sz w:val="24"/>
        </w:rPr>
        <w:t>of</w:t>
      </w:r>
      <w:r>
        <w:rPr>
          <w:spacing w:val="40"/>
          <w:sz w:val="24"/>
        </w:rPr>
        <w:t> </w:t>
      </w:r>
      <w:r>
        <w:rPr>
          <w:sz w:val="24"/>
        </w:rPr>
        <w:t>DP</w:t>
      </w:r>
      <w:r>
        <w:rPr>
          <w:spacing w:val="40"/>
          <w:sz w:val="24"/>
        </w:rPr>
        <w:t> </w:t>
      </w:r>
      <w:r>
        <w:rPr>
          <w:sz w:val="24"/>
        </w:rPr>
        <w:t>Road</w:t>
      </w:r>
      <w:r>
        <w:rPr>
          <w:spacing w:val="40"/>
          <w:sz w:val="24"/>
        </w:rPr>
        <w:t> </w:t>
      </w:r>
      <w:r>
        <w:rPr>
          <w:sz w:val="24"/>
        </w:rPr>
        <w:t>and sanctioned Regular Line under the MMC Act, 1888of same width, the alignment</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Regular</w:t>
      </w:r>
      <w:r>
        <w:rPr>
          <w:spacing w:val="40"/>
          <w:sz w:val="24"/>
        </w:rPr>
        <w:t> </w:t>
      </w:r>
      <w:r>
        <w:rPr>
          <w:sz w:val="24"/>
        </w:rPr>
        <w:t>Line</w:t>
      </w:r>
      <w:r>
        <w:rPr>
          <w:spacing w:val="40"/>
          <w:sz w:val="24"/>
        </w:rPr>
        <w:t> </w:t>
      </w:r>
      <w:r>
        <w:rPr>
          <w:sz w:val="24"/>
        </w:rPr>
        <w:t>shall</w:t>
      </w:r>
      <w:r>
        <w:rPr>
          <w:spacing w:val="40"/>
          <w:sz w:val="24"/>
        </w:rPr>
        <w:t> </w:t>
      </w:r>
      <w:r>
        <w:rPr>
          <w:sz w:val="24"/>
        </w:rPr>
        <w:t>prevail.</w:t>
      </w:r>
    </w:p>
    <w:p>
      <w:pPr>
        <w:pStyle w:val="BodyText"/>
        <w:spacing w:before="240"/>
        <w:ind w:left="1493" w:right="776"/>
      </w:pPr>
      <w:r>
        <w:rPr/>
        <w:t>For intersection of roads, the rounding off, </w:t>
      </w:r>
      <w:r>
        <w:rPr>
          <w:spacing w:val="10"/>
        </w:rPr>
        <w:t>cut-</w:t>
      </w:r>
      <w:r>
        <w:rPr/>
        <w:t>off or splay or similar treatment</w:t>
      </w:r>
      <w:r>
        <w:rPr>
          <w:spacing w:val="40"/>
        </w:rPr>
        <w:t> </w:t>
      </w:r>
      <w:r>
        <w:rPr/>
        <w:t>shall</w:t>
      </w:r>
      <w:r>
        <w:rPr>
          <w:spacing w:val="40"/>
        </w:rPr>
        <w:t> </w:t>
      </w:r>
      <w:r>
        <w:rPr/>
        <w:t>be</w:t>
      </w:r>
      <w:r>
        <w:rPr>
          <w:spacing w:val="40"/>
        </w:rPr>
        <w:t> </w:t>
      </w:r>
      <w:r>
        <w:rPr/>
        <w:t>done</w:t>
      </w:r>
      <w:r>
        <w:rPr>
          <w:spacing w:val="40"/>
        </w:rPr>
        <w:t> </w:t>
      </w:r>
      <w:r>
        <w:rPr/>
        <w:t>to</w:t>
      </w:r>
      <w:r>
        <w:rPr>
          <w:spacing w:val="40"/>
        </w:rPr>
        <w:t> </w:t>
      </w:r>
      <w:r>
        <w:rPr/>
        <w:t>the</w:t>
      </w:r>
      <w:r>
        <w:rPr>
          <w:spacing w:val="40"/>
        </w:rPr>
        <w:t> </w:t>
      </w:r>
      <w:r>
        <w:rPr/>
        <w:t>satisfaction</w:t>
      </w:r>
      <w:r>
        <w:rPr>
          <w:spacing w:val="40"/>
        </w:rPr>
        <w:t> </w:t>
      </w:r>
      <w:r>
        <w:rPr/>
        <w:t>of</w:t>
      </w:r>
      <w:r>
        <w:rPr>
          <w:spacing w:val="40"/>
        </w:rPr>
        <w:t> </w:t>
      </w:r>
      <w:r>
        <w:rPr/>
        <w:t>the</w:t>
      </w:r>
      <w:r>
        <w:rPr>
          <w:spacing w:val="9"/>
        </w:rPr>
        <w:t> Commissioner </w:t>
      </w:r>
      <w:r>
        <w:rPr/>
        <w:t>depending</w:t>
      </w:r>
      <w:r>
        <w:rPr>
          <w:spacing w:val="40"/>
        </w:rPr>
        <w:t> </w:t>
      </w:r>
      <w:r>
        <w:rPr/>
        <w:t>upon</w:t>
      </w:r>
      <w:r>
        <w:rPr>
          <w:spacing w:val="40"/>
        </w:rPr>
        <w:t> </w:t>
      </w:r>
      <w:r>
        <w:rPr/>
        <w:t>the</w:t>
      </w:r>
      <w:r>
        <w:rPr>
          <w:spacing w:val="40"/>
        </w:rPr>
        <w:t> </w:t>
      </w:r>
      <w:r>
        <w:rPr/>
        <w:t>widths</w:t>
      </w:r>
      <w:r>
        <w:rPr>
          <w:spacing w:val="40"/>
        </w:rPr>
        <w:t> </w:t>
      </w:r>
      <w:r>
        <w:rPr/>
        <w:t>of</w:t>
      </w:r>
      <w:r>
        <w:rPr>
          <w:spacing w:val="40"/>
        </w:rPr>
        <w:t> </w:t>
      </w:r>
      <w:r>
        <w:rPr/>
        <w:t>the</w:t>
      </w:r>
      <w:r>
        <w:rPr>
          <w:spacing w:val="40"/>
        </w:rPr>
        <w:t> </w:t>
      </w:r>
      <w:r>
        <w:rPr/>
        <w:t>roads,</w:t>
      </w:r>
      <w:r>
        <w:rPr>
          <w:spacing w:val="40"/>
        </w:rPr>
        <w:t> </w:t>
      </w:r>
      <w:r>
        <w:rPr/>
        <w:t>the</w:t>
      </w:r>
      <w:r>
        <w:rPr>
          <w:spacing w:val="40"/>
        </w:rPr>
        <w:t> </w:t>
      </w:r>
      <w:r>
        <w:rPr/>
        <w:t>traffic</w:t>
      </w:r>
      <w:r>
        <w:rPr>
          <w:spacing w:val="40"/>
        </w:rPr>
        <w:t> </w:t>
      </w:r>
      <w:r>
        <w:rPr/>
        <w:t>generated,</w:t>
      </w:r>
      <w:r>
        <w:rPr>
          <w:spacing w:val="40"/>
        </w:rPr>
        <w:t> </w:t>
      </w:r>
      <w:r>
        <w:rPr/>
        <w:t>the sighting</w:t>
      </w:r>
      <w:r>
        <w:rPr>
          <w:spacing w:val="40"/>
        </w:rPr>
        <w:t> </w:t>
      </w:r>
      <w:r>
        <w:rPr/>
        <w:t>angle,</w:t>
      </w:r>
      <w:r>
        <w:rPr>
          <w:spacing w:val="40"/>
        </w:rPr>
        <w:t> </w:t>
      </w:r>
      <w:r>
        <w:rPr/>
        <w:t>etc.</w:t>
      </w:r>
      <w:r>
        <w:rPr>
          <w:spacing w:val="40"/>
        </w:rPr>
        <w:t> </w:t>
      </w:r>
      <w:r>
        <w:rPr/>
        <w:t>to</w:t>
      </w:r>
      <w:r>
        <w:rPr>
          <w:spacing w:val="40"/>
        </w:rPr>
        <w:t> </w:t>
      </w:r>
      <w:r>
        <w:rPr/>
        <w:t>provide</w:t>
      </w:r>
      <w:r>
        <w:rPr>
          <w:spacing w:val="40"/>
        </w:rPr>
        <w:t> </w:t>
      </w:r>
      <w:r>
        <w:rPr/>
        <w:t>clear</w:t>
      </w:r>
      <w:r>
        <w:rPr>
          <w:spacing w:val="40"/>
        </w:rPr>
        <w:t> </w:t>
      </w:r>
      <w:r>
        <w:rPr/>
        <w:t>side</w:t>
      </w:r>
      <w:r>
        <w:rPr>
          <w:spacing w:val="40"/>
        </w:rPr>
        <w:t> </w:t>
      </w:r>
      <w:r>
        <w:rPr>
          <w:spacing w:val="9"/>
        </w:rPr>
        <w:t>distance.</w:t>
      </w:r>
    </w:p>
    <w:p>
      <w:pPr>
        <w:pStyle w:val="BodyText"/>
        <w:spacing w:before="241"/>
        <w:ind w:left="1493" w:right="782"/>
      </w:pPr>
      <w:r>
        <w:rPr/>
        <w:t>The alignment of roads and their junctions shall be subject to actual demarcation</w:t>
      </w:r>
      <w:r>
        <w:rPr>
          <w:spacing w:val="40"/>
        </w:rPr>
        <w:t> </w:t>
      </w:r>
      <w:r>
        <w:rPr/>
        <w:t>on</w:t>
      </w:r>
      <w:r>
        <w:rPr>
          <w:spacing w:val="40"/>
        </w:rPr>
        <w:t> </w:t>
      </w:r>
      <w:r>
        <w:rPr/>
        <w:t>site</w:t>
      </w:r>
      <w:r>
        <w:rPr>
          <w:spacing w:val="40"/>
        </w:rPr>
        <w:t> </w:t>
      </w:r>
      <w:r>
        <w:rPr/>
        <w:t>by</w:t>
      </w:r>
      <w:r>
        <w:rPr>
          <w:spacing w:val="40"/>
        </w:rPr>
        <w:t> </w:t>
      </w:r>
      <w:r>
        <w:rPr/>
        <w:t>the</w:t>
      </w:r>
      <w:r>
        <w:rPr>
          <w:spacing w:val="40"/>
        </w:rPr>
        <w:t> </w:t>
      </w:r>
      <w:r>
        <w:rPr/>
        <w:t>Commissioner.</w:t>
      </w:r>
    </w:p>
    <w:p>
      <w:pPr>
        <w:pStyle w:val="ListParagraph"/>
        <w:numPr>
          <w:ilvl w:val="1"/>
          <w:numId w:val="97"/>
        </w:numPr>
        <w:tabs>
          <w:tab w:pos="1952" w:val="left" w:leader="none"/>
        </w:tabs>
        <w:spacing w:line="240" w:lineRule="auto" w:before="238" w:after="0"/>
        <w:ind w:left="1493" w:right="771" w:firstLine="0"/>
        <w:jc w:val="both"/>
        <w:rPr>
          <w:sz w:val="24"/>
        </w:rPr>
      </w:pPr>
      <w:r>
        <w:rPr>
          <w:sz w:val="24"/>
        </w:rPr>
        <w:t>Access to plot at the Carriage </w:t>
      </w:r>
      <w:r>
        <w:rPr>
          <w:spacing w:val="9"/>
          <w:sz w:val="24"/>
        </w:rPr>
        <w:t>Entrance-</w:t>
      </w:r>
      <w:r>
        <w:rPr>
          <w:sz w:val="24"/>
        </w:rPr>
        <w:t>The sloping portion for</w:t>
      </w:r>
      <w:r>
        <w:rPr>
          <w:spacing w:val="80"/>
          <w:sz w:val="24"/>
        </w:rPr>
        <w:t> </w:t>
      </w:r>
      <w:r>
        <w:rPr>
          <w:sz w:val="24"/>
        </w:rPr>
        <w:t>deriving vehicular access from the </w:t>
      </w:r>
      <w:r>
        <w:rPr>
          <w:spacing w:val="9"/>
          <w:sz w:val="24"/>
        </w:rPr>
        <w:t>carriage-</w:t>
      </w:r>
      <w:r>
        <w:rPr>
          <w:sz w:val="24"/>
        </w:rPr>
        <w:t>way to the plot shall be provided</w:t>
      </w:r>
      <w:r>
        <w:rPr>
          <w:spacing w:val="40"/>
          <w:sz w:val="24"/>
        </w:rPr>
        <w:t> </w:t>
      </w:r>
      <w:r>
        <w:rPr>
          <w:sz w:val="24"/>
        </w:rPr>
        <w:t>within</w:t>
      </w:r>
      <w:r>
        <w:rPr>
          <w:spacing w:val="40"/>
          <w:sz w:val="24"/>
        </w:rPr>
        <w:t> </w:t>
      </w:r>
      <w:r>
        <w:rPr>
          <w:sz w:val="24"/>
        </w:rPr>
        <w:t>the</w:t>
      </w:r>
      <w:r>
        <w:rPr>
          <w:spacing w:val="40"/>
          <w:sz w:val="24"/>
        </w:rPr>
        <w:t> </w:t>
      </w:r>
      <w:r>
        <w:rPr>
          <w:sz w:val="24"/>
        </w:rPr>
        <w:t>plot</w:t>
      </w:r>
      <w:r>
        <w:rPr>
          <w:spacing w:val="40"/>
          <w:sz w:val="24"/>
        </w:rPr>
        <w:t> </w:t>
      </w:r>
      <w:r>
        <w:rPr>
          <w:sz w:val="24"/>
        </w:rPr>
        <w:t>boundary.</w:t>
      </w:r>
    </w:p>
    <w:p>
      <w:pPr>
        <w:pStyle w:val="Heading3"/>
        <w:numPr>
          <w:ilvl w:val="0"/>
          <w:numId w:val="97"/>
        </w:numPr>
        <w:tabs>
          <w:tab w:pos="1493" w:val="left" w:leader="none"/>
        </w:tabs>
        <w:spacing w:line="240" w:lineRule="auto" w:before="239" w:after="0"/>
        <w:ind w:left="1493" w:right="0" w:hanging="721"/>
        <w:jc w:val="left"/>
      </w:pPr>
      <w:r>
        <w:rPr/>
        <w:t>Highway</w:t>
      </w:r>
      <w:r>
        <w:rPr>
          <w:spacing w:val="-7"/>
        </w:rPr>
        <w:t> </w:t>
      </w:r>
      <w:r>
        <w:rPr/>
        <w:t>and</w:t>
      </w:r>
      <w:r>
        <w:rPr>
          <w:spacing w:val="-6"/>
        </w:rPr>
        <w:t> </w:t>
      </w:r>
      <w:r>
        <w:rPr/>
        <w:t>wider</w:t>
      </w:r>
      <w:r>
        <w:rPr>
          <w:spacing w:val="-6"/>
        </w:rPr>
        <w:t> </w:t>
      </w:r>
      <w:r>
        <w:rPr>
          <w:spacing w:val="-2"/>
        </w:rPr>
        <w:t>Roads</w:t>
      </w:r>
    </w:p>
    <w:p>
      <w:pPr>
        <w:pStyle w:val="BodyText"/>
        <w:spacing w:before="241"/>
        <w:ind w:left="1493" w:right="787"/>
      </w:pPr>
      <w:r>
        <w:rPr/>
        <w:t>No</w:t>
      </w:r>
      <w:r>
        <w:rPr>
          <w:spacing w:val="40"/>
        </w:rPr>
        <w:t> </w:t>
      </w:r>
      <w:r>
        <w:rPr/>
        <w:t>site</w:t>
      </w:r>
      <w:r>
        <w:rPr>
          <w:spacing w:val="40"/>
        </w:rPr>
        <w:t> </w:t>
      </w:r>
      <w:r>
        <w:rPr/>
        <w:t>excepting</w:t>
      </w:r>
      <w:r>
        <w:rPr>
          <w:spacing w:val="40"/>
        </w:rPr>
        <w:t> </w:t>
      </w:r>
      <w:r>
        <w:rPr/>
        <w:t>one</w:t>
      </w:r>
      <w:r>
        <w:rPr>
          <w:spacing w:val="40"/>
        </w:rPr>
        <w:t> </w:t>
      </w:r>
      <w:r>
        <w:rPr/>
        <w:t>proposed</w:t>
      </w:r>
      <w:r>
        <w:rPr>
          <w:spacing w:val="40"/>
        </w:rPr>
        <w:t> </w:t>
      </w:r>
      <w:r>
        <w:rPr/>
        <w:t>to</w:t>
      </w:r>
      <w:r>
        <w:rPr>
          <w:spacing w:val="40"/>
        </w:rPr>
        <w:t> </w:t>
      </w:r>
      <w:r>
        <w:rPr/>
        <w:t>be</w:t>
      </w:r>
      <w:r>
        <w:rPr>
          <w:spacing w:val="40"/>
        </w:rPr>
        <w:t> </w:t>
      </w:r>
      <w:r>
        <w:rPr/>
        <w:t>used</w:t>
      </w:r>
      <w:r>
        <w:rPr>
          <w:spacing w:val="40"/>
        </w:rPr>
        <w:t> </w:t>
      </w:r>
      <w:r>
        <w:rPr/>
        <w:t>for</w:t>
      </w:r>
      <w:r>
        <w:rPr>
          <w:spacing w:val="40"/>
        </w:rPr>
        <w:t> </w:t>
      </w:r>
      <w:r>
        <w:rPr/>
        <w:t>highway</w:t>
      </w:r>
      <w:r>
        <w:rPr>
          <w:spacing w:val="40"/>
        </w:rPr>
        <w:t> </w:t>
      </w:r>
      <w:r>
        <w:rPr/>
        <w:t>amenities</w:t>
      </w:r>
      <w:r>
        <w:rPr>
          <w:spacing w:val="40"/>
        </w:rPr>
        <w:t> </w:t>
      </w:r>
      <w:r>
        <w:rPr/>
        <w:t>like petrol pumps or motels or hospitals shall have direct access from a</w:t>
      </w:r>
      <w:r>
        <w:rPr>
          <w:spacing w:val="40"/>
        </w:rPr>
        <w:t> </w:t>
      </w:r>
      <w:r>
        <w:rPr/>
        <w:t>highway or specified road 52m or more in width, unless the same is permitted</w:t>
      </w:r>
      <w:r>
        <w:rPr>
          <w:spacing w:val="40"/>
        </w:rPr>
        <w:t> </w:t>
      </w:r>
      <w:r>
        <w:rPr/>
        <w:t>by</w:t>
      </w:r>
      <w:r>
        <w:rPr>
          <w:spacing w:val="75"/>
        </w:rPr>
        <w:t> </w:t>
      </w:r>
      <w:r>
        <w:rPr/>
        <w:t>Appropriate</w:t>
      </w:r>
      <w:r>
        <w:rPr>
          <w:spacing w:val="75"/>
        </w:rPr>
        <w:t> </w:t>
      </w:r>
      <w:r>
        <w:rPr/>
        <w:t>Authority.</w:t>
      </w:r>
      <w:r>
        <w:rPr>
          <w:spacing w:val="80"/>
        </w:rPr>
        <w:t> </w:t>
      </w:r>
      <w:r>
        <w:rPr/>
        <w:t>Provided</w:t>
      </w:r>
      <w:r>
        <w:rPr>
          <w:spacing w:val="75"/>
        </w:rPr>
        <w:t> </w:t>
      </w:r>
      <w:r>
        <w:rPr/>
        <w:t>that</w:t>
      </w:r>
      <w:r>
        <w:rPr>
          <w:spacing w:val="75"/>
        </w:rPr>
        <w:t> </w:t>
      </w:r>
      <w:r>
        <w:rPr/>
        <w:t>this</w:t>
      </w:r>
      <w:r>
        <w:rPr>
          <w:spacing w:val="75"/>
        </w:rPr>
        <w:t> </w:t>
      </w:r>
      <w:r>
        <w:rPr/>
        <w:t>shall</w:t>
      </w:r>
      <w:r>
        <w:rPr>
          <w:spacing w:val="40"/>
        </w:rPr>
        <w:t> </w:t>
      </w:r>
      <w:r>
        <w:rPr/>
        <w:t>not</w:t>
      </w:r>
      <w:r>
        <w:rPr>
          <w:spacing w:val="40"/>
        </w:rPr>
        <w:t> </w:t>
      </w:r>
      <w:r>
        <w:rPr/>
        <w:t>apply to</w:t>
      </w:r>
      <w:r>
        <w:rPr>
          <w:spacing w:val="61"/>
        </w:rPr>
        <w:t> </w:t>
      </w:r>
      <w:r>
        <w:rPr/>
        <w:t>any</w:t>
      </w:r>
      <w:r>
        <w:rPr>
          <w:spacing w:val="65"/>
        </w:rPr>
        <w:t> </w:t>
      </w:r>
      <w:r>
        <w:rPr/>
        <w:t>lawful</w:t>
      </w:r>
      <w:r>
        <w:rPr>
          <w:spacing w:val="62"/>
        </w:rPr>
        <w:t> </w:t>
      </w:r>
      <w:r>
        <w:rPr/>
        <w:t>development</w:t>
      </w:r>
      <w:r>
        <w:rPr>
          <w:spacing w:val="75"/>
        </w:rPr>
        <w:t> </w:t>
      </w:r>
      <w:r>
        <w:rPr/>
        <w:t>which</w:t>
      </w:r>
      <w:r>
        <w:rPr>
          <w:spacing w:val="64"/>
        </w:rPr>
        <w:t> </w:t>
      </w:r>
      <w:r>
        <w:rPr/>
        <w:t>have</w:t>
      </w:r>
      <w:r>
        <w:rPr>
          <w:spacing w:val="62"/>
        </w:rPr>
        <w:t> </w:t>
      </w:r>
      <w:r>
        <w:rPr/>
        <w:t>been</w:t>
      </w:r>
      <w:r>
        <w:rPr>
          <w:spacing w:val="65"/>
        </w:rPr>
        <w:t> </w:t>
      </w:r>
      <w:r>
        <w:rPr/>
        <w:t>allowed</w:t>
      </w:r>
      <w:r>
        <w:rPr>
          <w:spacing w:val="62"/>
        </w:rPr>
        <w:t> </w:t>
      </w:r>
      <w:r>
        <w:rPr/>
        <w:t>earlier</w:t>
      </w:r>
      <w:r>
        <w:rPr>
          <w:spacing w:val="62"/>
        </w:rPr>
        <w:t> </w:t>
      </w:r>
      <w:r>
        <w:rPr>
          <w:spacing w:val="-2"/>
        </w:rPr>
        <w:t>authorized</w:t>
      </w:r>
    </w:p>
    <w:p>
      <w:pPr>
        <w:pStyle w:val="BodyText"/>
        <w:spacing w:after="0"/>
        <w:sectPr>
          <w:pgSz w:w="11910" w:h="16840"/>
          <w:pgMar w:header="1058" w:footer="1194" w:top="1500" w:bottom="1380" w:left="360" w:right="360"/>
        </w:sectPr>
      </w:pPr>
    </w:p>
    <w:p>
      <w:pPr>
        <w:pStyle w:val="BodyText"/>
        <w:spacing w:before="255"/>
        <w:ind w:left="1493" w:right="786"/>
      </w:pPr>
      <w:r>
        <w:rPr/>
        <w:t>access along the highways and other specified roads</w:t>
      </w:r>
      <w:r>
        <w:rPr>
          <w:spacing w:val="40"/>
        </w:rPr>
        <w:t>  </w:t>
      </w:r>
      <w:r>
        <w:rPr/>
        <w:t>&amp; existed before these Regulations have come into force and alternative measures are provided for their </w:t>
      </w:r>
      <w:r>
        <w:rPr>
          <w:spacing w:val="9"/>
        </w:rPr>
        <w:t>continuance.</w:t>
      </w:r>
    </w:p>
    <w:p>
      <w:pPr>
        <w:pStyle w:val="BodyText"/>
        <w:spacing w:before="76"/>
        <w:jc w:val="left"/>
      </w:pPr>
    </w:p>
    <w:p>
      <w:pPr>
        <w:pStyle w:val="Heading3"/>
        <w:numPr>
          <w:ilvl w:val="0"/>
          <w:numId w:val="97"/>
        </w:numPr>
        <w:tabs>
          <w:tab w:pos="1493" w:val="left" w:leader="none"/>
        </w:tabs>
        <w:spacing w:line="240" w:lineRule="auto" w:before="0" w:after="0"/>
        <w:ind w:left="1493" w:right="0" w:hanging="721"/>
        <w:jc w:val="left"/>
      </w:pPr>
      <w:r>
        <w:rPr/>
        <w:t>Access</w:t>
      </w:r>
      <w:r>
        <w:rPr>
          <w:spacing w:val="-7"/>
        </w:rPr>
        <w:t> </w:t>
      </w:r>
      <w:r>
        <w:rPr/>
        <w:t>to</w:t>
      </w:r>
      <w:r>
        <w:rPr>
          <w:spacing w:val="-7"/>
        </w:rPr>
        <w:t> </w:t>
      </w:r>
      <w:r>
        <w:rPr/>
        <w:t>land-locked</w:t>
      </w:r>
      <w:r>
        <w:rPr>
          <w:spacing w:val="-8"/>
        </w:rPr>
        <w:t> </w:t>
      </w:r>
      <w:r>
        <w:rPr>
          <w:spacing w:val="-4"/>
        </w:rPr>
        <w:t>plot.</w:t>
      </w:r>
    </w:p>
    <w:p>
      <w:pPr>
        <w:pStyle w:val="BodyText"/>
        <w:spacing w:before="35"/>
        <w:jc w:val="left"/>
        <w:rPr>
          <w:b/>
          <w:i/>
          <w:sz w:val="28"/>
        </w:rPr>
      </w:pPr>
    </w:p>
    <w:p>
      <w:pPr>
        <w:pStyle w:val="BodyText"/>
        <w:ind w:left="1493" w:right="771"/>
      </w:pPr>
      <w:r>
        <w:rPr/>
        <w:t>In the case of a plot, surrounded on all sides by other plots, i.e. a land- locked</w:t>
      </w:r>
      <w:r>
        <w:rPr>
          <w:spacing w:val="40"/>
        </w:rPr>
        <w:t> </w:t>
      </w:r>
      <w:r>
        <w:rPr/>
        <w:t>plot</w:t>
      </w:r>
      <w:r>
        <w:rPr>
          <w:spacing w:val="40"/>
        </w:rPr>
        <w:t> </w:t>
      </w:r>
      <w:r>
        <w:rPr/>
        <w:t>which</w:t>
      </w:r>
      <w:r>
        <w:rPr>
          <w:spacing w:val="40"/>
        </w:rPr>
        <w:t> </w:t>
      </w:r>
      <w:r>
        <w:rPr/>
        <w:t>has</w:t>
      </w:r>
      <w:r>
        <w:rPr>
          <w:spacing w:val="40"/>
        </w:rPr>
        <w:t> </w:t>
      </w:r>
      <w:r>
        <w:rPr/>
        <w:t>no</w:t>
      </w:r>
      <w:r>
        <w:rPr>
          <w:spacing w:val="40"/>
        </w:rPr>
        <w:t> </w:t>
      </w:r>
      <w:r>
        <w:rPr/>
        <w:t>access</w:t>
      </w:r>
      <w:r>
        <w:rPr>
          <w:spacing w:val="40"/>
        </w:rPr>
        <w:t> </w:t>
      </w:r>
      <w:r>
        <w:rPr/>
        <w:t>to</w:t>
      </w:r>
      <w:r>
        <w:rPr>
          <w:spacing w:val="40"/>
        </w:rPr>
        <w:t> </w:t>
      </w:r>
      <w:r>
        <w:rPr/>
        <w:t>any</w:t>
      </w:r>
      <w:r>
        <w:rPr>
          <w:spacing w:val="40"/>
        </w:rPr>
        <w:t> </w:t>
      </w:r>
      <w:r>
        <w:rPr/>
        <w:t>street</w:t>
      </w:r>
      <w:r>
        <w:rPr>
          <w:spacing w:val="40"/>
        </w:rPr>
        <w:t> </w:t>
      </w:r>
      <w:r>
        <w:rPr/>
        <w:t>or</w:t>
      </w:r>
      <w:r>
        <w:rPr>
          <w:spacing w:val="40"/>
        </w:rPr>
        <w:t> </w:t>
      </w:r>
      <w:r>
        <w:rPr/>
        <w:t>road,</w:t>
      </w:r>
      <w:r>
        <w:rPr>
          <w:spacing w:val="40"/>
        </w:rPr>
        <w:t> </w:t>
      </w:r>
      <w:r>
        <w:rPr/>
        <w:t>the</w:t>
      </w:r>
      <w:r>
        <w:rPr>
          <w:spacing w:val="40"/>
        </w:rPr>
        <w:t> </w:t>
      </w:r>
      <w:r>
        <w:rPr/>
        <w:t>Commissioner</w:t>
      </w:r>
      <w:r>
        <w:rPr>
          <w:spacing w:val="40"/>
        </w:rPr>
        <w:t> </w:t>
      </w:r>
      <w:r>
        <w:rPr/>
        <w:t>may</w:t>
      </w:r>
      <w:r>
        <w:rPr>
          <w:spacing w:val="40"/>
        </w:rPr>
        <w:t> </w:t>
      </w:r>
      <w:r>
        <w:rPr/>
        <w:t>require</w:t>
      </w:r>
      <w:r>
        <w:rPr>
          <w:spacing w:val="40"/>
        </w:rPr>
        <w:t> </w:t>
      </w:r>
      <w:r>
        <w:rPr/>
        <w:t>access</w:t>
      </w:r>
      <w:r>
        <w:rPr>
          <w:spacing w:val="40"/>
        </w:rPr>
        <w:t> </w:t>
      </w:r>
      <w:r>
        <w:rPr/>
        <w:t>through</w:t>
      </w:r>
      <w:r>
        <w:rPr>
          <w:spacing w:val="40"/>
        </w:rPr>
        <w:t> </w:t>
      </w:r>
      <w:r>
        <w:rPr/>
        <w:t>an</w:t>
      </w:r>
      <w:r>
        <w:rPr>
          <w:spacing w:val="40"/>
        </w:rPr>
        <w:t> </w:t>
      </w:r>
      <w:r>
        <w:rPr/>
        <w:t>adjoining</w:t>
      </w:r>
      <w:r>
        <w:rPr>
          <w:spacing w:val="40"/>
        </w:rPr>
        <w:t> </w:t>
      </w:r>
      <w:r>
        <w:rPr/>
        <w:t>plot</w:t>
      </w:r>
      <w:r>
        <w:rPr>
          <w:spacing w:val="40"/>
        </w:rPr>
        <w:t> </w:t>
      </w:r>
      <w:r>
        <w:rPr/>
        <w:t>or</w:t>
      </w:r>
      <w:r>
        <w:rPr>
          <w:spacing w:val="40"/>
        </w:rPr>
        <w:t> </w:t>
      </w:r>
      <w:r>
        <w:rPr/>
        <w:t>plots which</w:t>
      </w:r>
      <w:r>
        <w:rPr>
          <w:spacing w:val="40"/>
        </w:rPr>
        <w:t> </w:t>
      </w:r>
      <w:r>
        <w:rPr/>
        <w:t>shall,</w:t>
      </w:r>
      <w:r>
        <w:rPr>
          <w:spacing w:val="40"/>
        </w:rPr>
        <w:t> </w:t>
      </w:r>
      <w:r>
        <w:rPr/>
        <w:t>as</w:t>
      </w:r>
      <w:r>
        <w:rPr>
          <w:spacing w:val="40"/>
        </w:rPr>
        <w:t> </w:t>
      </w:r>
      <w:r>
        <w:rPr/>
        <w:t>far</w:t>
      </w:r>
      <w:r>
        <w:rPr>
          <w:spacing w:val="40"/>
        </w:rPr>
        <w:t> </w:t>
      </w:r>
      <w:r>
        <w:rPr/>
        <w:t>as</w:t>
      </w:r>
      <w:r>
        <w:rPr>
          <w:spacing w:val="40"/>
        </w:rPr>
        <w:t> </w:t>
      </w:r>
      <w:r>
        <w:rPr/>
        <w:t>possible,</w:t>
      </w:r>
      <w:r>
        <w:rPr>
          <w:spacing w:val="40"/>
        </w:rPr>
        <w:t> </w:t>
      </w:r>
      <w:r>
        <w:rPr/>
        <w:t>be</w:t>
      </w:r>
      <w:r>
        <w:rPr>
          <w:spacing w:val="40"/>
        </w:rPr>
        <w:t> </w:t>
      </w:r>
      <w:r>
        <w:rPr/>
        <w:t>nearest</w:t>
      </w:r>
      <w:r>
        <w:rPr>
          <w:spacing w:val="40"/>
        </w:rPr>
        <w:t> </w:t>
      </w:r>
      <w:r>
        <w:rPr/>
        <w:t>to</w:t>
      </w:r>
      <w:r>
        <w:rPr>
          <w:spacing w:val="40"/>
        </w:rPr>
        <w:t> </w:t>
      </w:r>
      <w:r>
        <w:rPr/>
        <w:t>the</w:t>
      </w:r>
      <w:r>
        <w:rPr>
          <w:spacing w:val="40"/>
        </w:rPr>
        <w:t> </w:t>
      </w:r>
      <w:r>
        <w:rPr/>
        <w:t>public</w:t>
      </w:r>
      <w:r>
        <w:rPr>
          <w:spacing w:val="40"/>
        </w:rPr>
        <w:t> </w:t>
      </w:r>
      <w:r>
        <w:rPr/>
        <w:t>street.</w:t>
      </w:r>
      <w:r>
        <w:rPr>
          <w:spacing w:val="40"/>
        </w:rPr>
        <w:t> </w:t>
      </w:r>
      <w:r>
        <w:rPr/>
        <w:t>The</w:t>
      </w:r>
      <w:r>
        <w:rPr>
          <w:spacing w:val="40"/>
        </w:rPr>
        <w:t> </w:t>
      </w:r>
      <w:r>
        <w:rPr/>
        <w:t>cost of</w:t>
      </w:r>
      <w:r>
        <w:rPr>
          <w:spacing w:val="40"/>
        </w:rPr>
        <w:t> </w:t>
      </w:r>
      <w:r>
        <w:rPr/>
        <w:t>land</w:t>
      </w:r>
      <w:r>
        <w:rPr>
          <w:spacing w:val="40"/>
        </w:rPr>
        <w:t> </w:t>
      </w:r>
      <w:r>
        <w:rPr/>
        <w:t>acquisition</w:t>
      </w:r>
      <w:r>
        <w:rPr>
          <w:spacing w:val="40"/>
        </w:rPr>
        <w:t> </w:t>
      </w:r>
      <w:r>
        <w:rPr/>
        <w:t>and</w:t>
      </w:r>
      <w:r>
        <w:rPr>
          <w:spacing w:val="40"/>
        </w:rPr>
        <w:t> </w:t>
      </w:r>
      <w:r>
        <w:rPr/>
        <w:t>development</w:t>
      </w:r>
      <w:r>
        <w:rPr>
          <w:spacing w:val="40"/>
        </w:rPr>
        <w:t> </w:t>
      </w:r>
      <w:r>
        <w:rPr/>
        <w:t>of</w:t>
      </w:r>
      <w:r>
        <w:rPr>
          <w:spacing w:val="40"/>
        </w:rPr>
        <w:t> </w:t>
      </w:r>
      <w:r>
        <w:rPr/>
        <w:t>such</w:t>
      </w:r>
      <w:r>
        <w:rPr>
          <w:spacing w:val="40"/>
        </w:rPr>
        <w:t> </w:t>
      </w:r>
      <w:r>
        <w:rPr/>
        <w:t>access</w:t>
      </w:r>
      <w:r>
        <w:rPr>
          <w:spacing w:val="40"/>
        </w:rPr>
        <w:t> </w:t>
      </w:r>
      <w:r>
        <w:rPr/>
        <w:t>shall</w:t>
      </w:r>
      <w:r>
        <w:rPr>
          <w:spacing w:val="40"/>
        </w:rPr>
        <w:t> </w:t>
      </w:r>
      <w:r>
        <w:rPr/>
        <w:t>be</w:t>
      </w:r>
      <w:r>
        <w:rPr>
          <w:spacing w:val="40"/>
        </w:rPr>
        <w:t> </w:t>
      </w:r>
      <w:r>
        <w:rPr/>
        <w:t>borne</w:t>
      </w:r>
      <w:r>
        <w:rPr>
          <w:spacing w:val="40"/>
        </w:rPr>
        <w:t> </w:t>
      </w:r>
      <w:r>
        <w:rPr/>
        <w:t>by the</w:t>
      </w:r>
      <w:r>
        <w:rPr>
          <w:spacing w:val="80"/>
        </w:rPr>
        <w:t> </w:t>
      </w:r>
      <w:r>
        <w:rPr/>
        <w:t>owner</w:t>
      </w:r>
      <w:r>
        <w:rPr>
          <w:spacing w:val="80"/>
        </w:rPr>
        <w:t> </w:t>
      </w:r>
      <w:r>
        <w:rPr/>
        <w:t>of</w:t>
      </w:r>
      <w:r>
        <w:rPr>
          <w:spacing w:val="80"/>
        </w:rPr>
        <w:t> </w:t>
      </w:r>
      <w:r>
        <w:rPr>
          <w:spacing w:val="10"/>
        </w:rPr>
        <w:t>land-</w:t>
      </w:r>
      <w:r>
        <w:rPr/>
        <w:t>locked</w:t>
      </w:r>
      <w:r>
        <w:rPr>
          <w:spacing w:val="80"/>
        </w:rPr>
        <w:t> </w:t>
      </w:r>
      <w:r>
        <w:rPr/>
        <w:t>plot</w:t>
      </w:r>
      <w:r>
        <w:rPr>
          <w:spacing w:val="80"/>
        </w:rPr>
        <w:t> </w:t>
      </w:r>
      <w:r>
        <w:rPr/>
        <w:t>and</w:t>
      </w:r>
      <w:r>
        <w:rPr>
          <w:spacing w:val="80"/>
        </w:rPr>
        <w:t> </w:t>
      </w:r>
      <w:r>
        <w:rPr/>
        <w:t>subject</w:t>
      </w:r>
      <w:r>
        <w:rPr>
          <w:spacing w:val="80"/>
        </w:rPr>
        <w:t> </w:t>
      </w:r>
      <w:r>
        <w:rPr/>
        <w:t>to</w:t>
      </w:r>
      <w:r>
        <w:rPr>
          <w:spacing w:val="80"/>
        </w:rPr>
        <w:t> </w:t>
      </w:r>
      <w:r>
        <w:rPr/>
        <w:t>other</w:t>
      </w:r>
      <w:r>
        <w:rPr>
          <w:spacing w:val="80"/>
        </w:rPr>
        <w:t> </w:t>
      </w:r>
      <w:r>
        <w:rPr/>
        <w:t>conditions prescribed</w:t>
      </w:r>
      <w:r>
        <w:rPr>
          <w:spacing w:val="40"/>
        </w:rPr>
        <w:t> </w:t>
      </w:r>
      <w:r>
        <w:rPr/>
        <w:t>by</w:t>
      </w:r>
      <w:r>
        <w:rPr>
          <w:spacing w:val="40"/>
        </w:rPr>
        <w:t> </w:t>
      </w:r>
      <w:r>
        <w:rPr/>
        <w:t>the</w:t>
      </w:r>
      <w:r>
        <w:rPr>
          <w:spacing w:val="40"/>
        </w:rPr>
        <w:t> </w:t>
      </w:r>
      <w:r>
        <w:rPr/>
        <w:t>Commissioner.</w:t>
      </w:r>
      <w:r>
        <w:rPr>
          <w:spacing w:val="40"/>
        </w:rPr>
        <w:t> </w:t>
      </w:r>
      <w:r>
        <w:rPr/>
        <w:t>Alternatively,</w:t>
      </w:r>
      <w:r>
        <w:rPr>
          <w:spacing w:val="40"/>
        </w:rPr>
        <w:t> </w:t>
      </w:r>
      <w:r>
        <w:rPr/>
        <w:t>if</w:t>
      </w:r>
      <w:r>
        <w:rPr>
          <w:spacing w:val="40"/>
        </w:rPr>
        <w:t> </w:t>
      </w:r>
      <w:r>
        <w:rPr/>
        <w:t>the</w:t>
      </w:r>
      <w:r>
        <w:rPr>
          <w:spacing w:val="40"/>
        </w:rPr>
        <w:t> </w:t>
      </w:r>
      <w:r>
        <w:rPr/>
        <w:t>owner</w:t>
      </w:r>
      <w:r>
        <w:rPr>
          <w:spacing w:val="40"/>
        </w:rPr>
        <w:t> </w:t>
      </w:r>
      <w:r>
        <w:rPr/>
        <w:t>of</w:t>
      </w:r>
      <w:r>
        <w:rPr>
          <w:spacing w:val="40"/>
        </w:rPr>
        <w:t> </w:t>
      </w:r>
      <w:r>
        <w:rPr/>
        <w:t>the adjoining</w:t>
      </w:r>
      <w:r>
        <w:rPr>
          <w:spacing w:val="40"/>
        </w:rPr>
        <w:t> </w:t>
      </w:r>
      <w:r>
        <w:rPr/>
        <w:t>plot,</w:t>
      </w:r>
      <w:r>
        <w:rPr>
          <w:spacing w:val="40"/>
        </w:rPr>
        <w:t> </w:t>
      </w:r>
      <w:r>
        <w:rPr/>
        <w:t>which</w:t>
      </w:r>
      <w:r>
        <w:rPr>
          <w:spacing w:val="40"/>
        </w:rPr>
        <w:t> </w:t>
      </w:r>
      <w:r>
        <w:rPr/>
        <w:t>is</w:t>
      </w:r>
      <w:r>
        <w:rPr>
          <w:spacing w:val="40"/>
        </w:rPr>
        <w:t> </w:t>
      </w:r>
      <w:r>
        <w:rPr/>
        <w:t>accessible</w:t>
      </w:r>
      <w:r>
        <w:rPr>
          <w:spacing w:val="40"/>
        </w:rPr>
        <w:t> </w:t>
      </w:r>
      <w:r>
        <w:rPr/>
        <w:t>from</w:t>
      </w:r>
      <w:r>
        <w:rPr>
          <w:spacing w:val="40"/>
        </w:rPr>
        <w:t> </w:t>
      </w:r>
      <w:r>
        <w:rPr/>
        <w:t>a</w:t>
      </w:r>
      <w:r>
        <w:rPr>
          <w:spacing w:val="40"/>
        </w:rPr>
        <w:t> </w:t>
      </w:r>
      <w:r>
        <w:rPr/>
        <w:t>public</w:t>
      </w:r>
      <w:r>
        <w:rPr>
          <w:spacing w:val="40"/>
        </w:rPr>
        <w:t> </w:t>
      </w:r>
      <w:r>
        <w:rPr/>
        <w:t>street,</w:t>
      </w:r>
      <w:r>
        <w:rPr>
          <w:spacing w:val="40"/>
        </w:rPr>
        <w:t> </w:t>
      </w:r>
      <w:r>
        <w:rPr/>
        <w:t>is</w:t>
      </w:r>
      <w:r>
        <w:rPr>
          <w:spacing w:val="40"/>
        </w:rPr>
        <w:t> </w:t>
      </w:r>
      <w:r>
        <w:rPr/>
        <w:t>willing</w:t>
      </w:r>
      <w:r>
        <w:rPr>
          <w:spacing w:val="40"/>
        </w:rPr>
        <w:t> </w:t>
      </w:r>
      <w:r>
        <w:rPr/>
        <w:t>to provide right o access to such </w:t>
      </w:r>
      <w:r>
        <w:rPr>
          <w:spacing w:val="9"/>
        </w:rPr>
        <w:t>land-</w:t>
      </w:r>
      <w:r>
        <w:rPr/>
        <w:t>locked plot then the same may be permitted</w:t>
      </w:r>
      <w:r>
        <w:rPr>
          <w:spacing w:val="76"/>
        </w:rPr>
        <w:t> </w:t>
      </w:r>
      <w:r>
        <w:rPr/>
        <w:t>from</w:t>
      </w:r>
      <w:r>
        <w:rPr>
          <w:spacing w:val="80"/>
        </w:rPr>
        <w:t> </w:t>
      </w:r>
      <w:r>
        <w:rPr/>
        <w:t>the</w:t>
      </w:r>
      <w:r>
        <w:rPr>
          <w:spacing w:val="80"/>
        </w:rPr>
        <w:t> </w:t>
      </w:r>
      <w:r>
        <w:rPr/>
        <w:t>required</w:t>
      </w:r>
      <w:r>
        <w:rPr>
          <w:spacing w:val="79"/>
        </w:rPr>
        <w:t> </w:t>
      </w:r>
      <w:r>
        <w:rPr/>
        <w:t>marginal</w:t>
      </w:r>
      <w:r>
        <w:rPr>
          <w:spacing w:val="80"/>
        </w:rPr>
        <w:t> </w:t>
      </w:r>
      <w:r>
        <w:rPr/>
        <w:t>side</w:t>
      </w:r>
      <w:r>
        <w:rPr>
          <w:spacing w:val="76"/>
        </w:rPr>
        <w:t> </w:t>
      </w:r>
      <w:r>
        <w:rPr/>
        <w:t>open</w:t>
      </w:r>
      <w:r>
        <w:rPr>
          <w:spacing w:val="78"/>
        </w:rPr>
        <w:t> </w:t>
      </w:r>
      <w:r>
        <w:rPr/>
        <w:t>space</w:t>
      </w:r>
      <w:r>
        <w:rPr>
          <w:spacing w:val="80"/>
        </w:rPr>
        <w:t> </w:t>
      </w:r>
      <w:r>
        <w:rPr/>
        <w:t>of</w:t>
      </w:r>
      <w:r>
        <w:rPr>
          <w:spacing w:val="76"/>
        </w:rPr>
        <w:t> </w:t>
      </w:r>
      <w:r>
        <w:rPr/>
        <w:t>the</w:t>
      </w:r>
      <w:r>
        <w:rPr>
          <w:spacing w:val="76"/>
        </w:rPr>
        <w:t> </w:t>
      </w:r>
      <w:r>
        <w:rPr/>
        <w:t>building on</w:t>
      </w:r>
      <w:r>
        <w:rPr>
          <w:spacing w:val="40"/>
        </w:rPr>
        <w:t> </w:t>
      </w:r>
      <w:r>
        <w:rPr/>
        <w:t>such</w:t>
      </w:r>
      <w:r>
        <w:rPr>
          <w:spacing w:val="40"/>
        </w:rPr>
        <w:t> </w:t>
      </w:r>
      <w:r>
        <w:rPr/>
        <w:t>adjoining</w:t>
      </w:r>
      <w:r>
        <w:rPr>
          <w:spacing w:val="40"/>
        </w:rPr>
        <w:t> </w:t>
      </w:r>
      <w:r>
        <w:rPr/>
        <w:t>plots.</w:t>
      </w:r>
    </w:p>
    <w:p>
      <w:pPr>
        <w:pStyle w:val="BodyText"/>
        <w:spacing w:before="75"/>
        <w:jc w:val="left"/>
      </w:pPr>
    </w:p>
    <w:p>
      <w:pPr>
        <w:pStyle w:val="Heading3"/>
        <w:numPr>
          <w:ilvl w:val="0"/>
          <w:numId w:val="97"/>
        </w:numPr>
        <w:tabs>
          <w:tab w:pos="1493" w:val="left" w:leader="none"/>
        </w:tabs>
        <w:spacing w:line="240" w:lineRule="auto" w:before="0" w:after="0"/>
        <w:ind w:left="1493" w:right="0" w:hanging="721"/>
        <w:jc w:val="left"/>
      </w:pPr>
      <w:r>
        <w:rPr/>
        <w:t>Internal</w:t>
      </w:r>
      <w:r>
        <w:rPr>
          <w:spacing w:val="-6"/>
        </w:rPr>
        <w:t> </w:t>
      </w:r>
      <w:r>
        <w:rPr/>
        <w:t>means</w:t>
      </w:r>
      <w:r>
        <w:rPr>
          <w:spacing w:val="-6"/>
        </w:rPr>
        <w:t> </w:t>
      </w:r>
      <w:r>
        <w:rPr/>
        <w:t>of</w:t>
      </w:r>
      <w:r>
        <w:rPr>
          <w:spacing w:val="-4"/>
        </w:rPr>
        <w:t> </w:t>
      </w:r>
      <w:r>
        <w:rPr>
          <w:spacing w:val="-2"/>
        </w:rPr>
        <w:t>access</w:t>
      </w:r>
    </w:p>
    <w:p>
      <w:pPr>
        <w:pStyle w:val="BodyText"/>
        <w:spacing w:before="33"/>
        <w:jc w:val="left"/>
        <w:rPr>
          <w:b/>
          <w:i/>
          <w:sz w:val="28"/>
        </w:rPr>
      </w:pPr>
    </w:p>
    <w:p>
      <w:pPr>
        <w:pStyle w:val="ListParagraph"/>
        <w:numPr>
          <w:ilvl w:val="0"/>
          <w:numId w:val="101"/>
        </w:numPr>
        <w:tabs>
          <w:tab w:pos="1803" w:val="left" w:leader="none"/>
        </w:tabs>
        <w:spacing w:line="240" w:lineRule="auto" w:before="0" w:after="0"/>
        <w:ind w:left="1493" w:right="780" w:firstLine="0"/>
        <w:jc w:val="both"/>
        <w:rPr>
          <w:sz w:val="24"/>
        </w:rPr>
      </w:pPr>
      <w:r>
        <w:rPr>
          <w:b/>
          <w:i/>
          <w:sz w:val="24"/>
        </w:rPr>
        <w:t>Minimum road width </w:t>
      </w:r>
      <w:r>
        <w:rPr>
          <w:b/>
          <w:i/>
          <w:spacing w:val="10"/>
          <w:sz w:val="24"/>
        </w:rPr>
        <w:t>vis-</w:t>
      </w:r>
      <w:r>
        <w:rPr>
          <w:b/>
          <w:i/>
          <w:sz w:val="24"/>
        </w:rPr>
        <w:t>à-vis the area served</w:t>
      </w:r>
      <w:r>
        <w:rPr>
          <w:sz w:val="24"/>
        </w:rPr>
        <w:t>- Plots which do not abut on a</w:t>
      </w:r>
      <w:r>
        <w:rPr>
          <w:spacing w:val="40"/>
          <w:sz w:val="24"/>
        </w:rPr>
        <w:t> </w:t>
      </w:r>
      <w:r>
        <w:rPr>
          <w:sz w:val="24"/>
        </w:rPr>
        <w:t>street shall abut/front on</w:t>
      </w:r>
      <w:r>
        <w:rPr>
          <w:spacing w:val="40"/>
          <w:sz w:val="24"/>
        </w:rPr>
        <w:t> </w:t>
      </w:r>
      <w:r>
        <w:rPr>
          <w:sz w:val="24"/>
        </w:rPr>
        <w:t>a</w:t>
      </w:r>
      <w:r>
        <w:rPr>
          <w:spacing w:val="40"/>
          <w:sz w:val="24"/>
        </w:rPr>
        <w:t> </w:t>
      </w:r>
      <w:r>
        <w:rPr>
          <w:sz w:val="24"/>
        </w:rPr>
        <w:t>means</w:t>
      </w:r>
      <w:r>
        <w:rPr>
          <w:spacing w:val="40"/>
          <w:sz w:val="24"/>
        </w:rPr>
        <w:t> </w:t>
      </w:r>
      <w:r>
        <w:rPr>
          <w:sz w:val="24"/>
        </w:rPr>
        <w:t>of</w:t>
      </w:r>
      <w:r>
        <w:rPr>
          <w:spacing w:val="40"/>
          <w:sz w:val="24"/>
        </w:rPr>
        <w:t> </w:t>
      </w:r>
      <w:r>
        <w:rPr>
          <w:sz w:val="24"/>
        </w:rPr>
        <w:t>access, the width and other</w:t>
      </w:r>
      <w:r>
        <w:rPr>
          <w:spacing w:val="40"/>
          <w:sz w:val="24"/>
        </w:rPr>
        <w:t> </w:t>
      </w:r>
      <w:r>
        <w:rPr>
          <w:sz w:val="24"/>
        </w:rPr>
        <w:t>requirements</w:t>
      </w:r>
      <w:r>
        <w:rPr>
          <w:spacing w:val="40"/>
          <w:sz w:val="24"/>
        </w:rPr>
        <w:t> </w:t>
      </w:r>
      <w:r>
        <w:rPr>
          <w:sz w:val="24"/>
        </w:rPr>
        <w:t>of</w:t>
      </w:r>
      <w:r>
        <w:rPr>
          <w:spacing w:val="40"/>
          <w:sz w:val="24"/>
        </w:rPr>
        <w:t> </w:t>
      </w:r>
      <w:r>
        <w:rPr>
          <w:sz w:val="24"/>
        </w:rPr>
        <w:t>which</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given</w:t>
      </w:r>
      <w:r>
        <w:rPr>
          <w:spacing w:val="40"/>
          <w:sz w:val="24"/>
        </w:rPr>
        <w:t> </w:t>
      </w:r>
      <w:r>
        <w:rPr>
          <w:sz w:val="24"/>
        </w:rPr>
        <w:t>in</w:t>
      </w:r>
      <w:r>
        <w:rPr>
          <w:spacing w:val="40"/>
          <w:sz w:val="24"/>
        </w:rPr>
        <w:t> </w:t>
      </w:r>
      <w:r>
        <w:rPr>
          <w:sz w:val="24"/>
        </w:rPr>
        <w:t>Table</w:t>
      </w:r>
      <w:r>
        <w:rPr>
          <w:spacing w:val="40"/>
          <w:sz w:val="24"/>
        </w:rPr>
        <w:t> </w:t>
      </w:r>
      <w:r>
        <w:rPr>
          <w:sz w:val="24"/>
        </w:rPr>
        <w:t>No</w:t>
      </w:r>
      <w:r>
        <w:rPr>
          <w:spacing w:val="40"/>
          <w:sz w:val="24"/>
        </w:rPr>
        <w:t> </w:t>
      </w:r>
      <w:r>
        <w:rPr>
          <w:sz w:val="24"/>
        </w:rPr>
        <w:t>7</w:t>
      </w:r>
      <w:r>
        <w:rPr>
          <w:spacing w:val="40"/>
          <w:sz w:val="24"/>
        </w:rPr>
        <w:t> </w:t>
      </w:r>
      <w:r>
        <w:rPr>
          <w:sz w:val="24"/>
        </w:rPr>
        <w:t>hereunder for</w:t>
      </w:r>
      <w:r>
        <w:rPr>
          <w:spacing w:val="40"/>
          <w:sz w:val="24"/>
        </w:rPr>
        <w:t> </w:t>
      </w:r>
      <w:r>
        <w:rPr>
          <w:sz w:val="24"/>
        </w:rPr>
        <w:t>residential</w:t>
      </w:r>
      <w:r>
        <w:rPr>
          <w:spacing w:val="40"/>
          <w:sz w:val="24"/>
        </w:rPr>
        <w:t> </w:t>
      </w:r>
      <w:r>
        <w:rPr>
          <w:sz w:val="24"/>
        </w:rPr>
        <w:t>and</w:t>
      </w:r>
      <w:r>
        <w:rPr>
          <w:spacing w:val="40"/>
          <w:sz w:val="24"/>
        </w:rPr>
        <w:t> </w:t>
      </w:r>
      <w:r>
        <w:rPr>
          <w:sz w:val="24"/>
        </w:rPr>
        <w:t>commercial</w:t>
      </w:r>
      <w:r>
        <w:rPr>
          <w:spacing w:val="40"/>
          <w:sz w:val="24"/>
        </w:rPr>
        <w:t> </w:t>
      </w:r>
      <w:r>
        <w:rPr>
          <w:sz w:val="24"/>
        </w:rPr>
        <w:t>zones</w:t>
      </w:r>
      <w:r>
        <w:rPr>
          <w:spacing w:val="40"/>
          <w:sz w:val="24"/>
        </w:rPr>
        <w:t> </w:t>
      </w:r>
      <w:r>
        <w:rPr>
          <w:sz w:val="24"/>
        </w:rPr>
        <w:t>and</w:t>
      </w:r>
      <w:r>
        <w:rPr>
          <w:spacing w:val="40"/>
          <w:sz w:val="24"/>
        </w:rPr>
        <w:t> </w:t>
      </w:r>
      <w:r>
        <w:rPr>
          <w:sz w:val="24"/>
        </w:rPr>
        <w:t>as</w:t>
      </w:r>
      <w:r>
        <w:rPr>
          <w:spacing w:val="40"/>
          <w:sz w:val="24"/>
        </w:rPr>
        <w:t> </w:t>
      </w:r>
      <w:r>
        <w:rPr>
          <w:sz w:val="24"/>
        </w:rPr>
        <w:t>given</w:t>
      </w:r>
      <w:r>
        <w:rPr>
          <w:spacing w:val="40"/>
          <w:sz w:val="24"/>
        </w:rPr>
        <w:t> </w:t>
      </w:r>
      <w:r>
        <w:rPr>
          <w:sz w:val="24"/>
        </w:rPr>
        <w:t>in</w:t>
      </w:r>
      <w:r>
        <w:rPr>
          <w:spacing w:val="40"/>
          <w:sz w:val="24"/>
        </w:rPr>
        <w:t> </w:t>
      </w:r>
      <w:r>
        <w:rPr>
          <w:sz w:val="24"/>
        </w:rPr>
        <w:t>Table</w:t>
      </w:r>
      <w:r>
        <w:rPr>
          <w:spacing w:val="40"/>
          <w:sz w:val="24"/>
        </w:rPr>
        <w:t> </w:t>
      </w:r>
      <w:r>
        <w:rPr>
          <w:sz w:val="24"/>
        </w:rPr>
        <w:t>No8 hereunder</w:t>
      </w:r>
      <w:r>
        <w:rPr>
          <w:spacing w:val="40"/>
          <w:sz w:val="24"/>
        </w:rPr>
        <w:t> </w:t>
      </w:r>
      <w:r>
        <w:rPr>
          <w:sz w:val="24"/>
        </w:rPr>
        <w:t>for</w:t>
      </w:r>
      <w:r>
        <w:rPr>
          <w:spacing w:val="40"/>
          <w:sz w:val="24"/>
        </w:rPr>
        <w:t> </w:t>
      </w:r>
      <w:r>
        <w:rPr>
          <w:sz w:val="24"/>
        </w:rPr>
        <w:t>an</w:t>
      </w:r>
      <w:r>
        <w:rPr>
          <w:spacing w:val="40"/>
          <w:sz w:val="24"/>
        </w:rPr>
        <w:t> </w:t>
      </w:r>
      <w:r>
        <w:rPr>
          <w:sz w:val="24"/>
        </w:rPr>
        <w:t>industrial</w:t>
      </w:r>
      <w:r>
        <w:rPr>
          <w:spacing w:val="40"/>
          <w:sz w:val="24"/>
        </w:rPr>
        <w:t> </w:t>
      </w:r>
      <w:r>
        <w:rPr>
          <w:sz w:val="24"/>
        </w:rPr>
        <w:t>zone.</w:t>
      </w:r>
    </w:p>
    <w:p>
      <w:pPr>
        <w:spacing w:before="243"/>
        <w:ind w:left="1022" w:right="0" w:firstLine="0"/>
        <w:jc w:val="left"/>
        <w:rPr>
          <w:b/>
          <w:sz w:val="22"/>
        </w:rPr>
      </w:pPr>
      <w:r>
        <w:rPr>
          <w:b/>
          <w:sz w:val="22"/>
        </w:rPr>
        <w:t>TABLE</w:t>
      </w:r>
      <w:r>
        <w:rPr>
          <w:b/>
          <w:spacing w:val="-4"/>
          <w:sz w:val="22"/>
        </w:rPr>
        <w:t> </w:t>
      </w:r>
      <w:r>
        <w:rPr>
          <w:b/>
          <w:sz w:val="22"/>
        </w:rPr>
        <w:t>No</w:t>
      </w:r>
      <w:r>
        <w:rPr>
          <w:b/>
          <w:spacing w:val="-4"/>
          <w:sz w:val="22"/>
        </w:rPr>
        <w:t> </w:t>
      </w:r>
      <w:r>
        <w:rPr>
          <w:b/>
          <w:spacing w:val="-10"/>
          <w:sz w:val="22"/>
        </w:rPr>
        <w:t>7</w:t>
      </w:r>
    </w:p>
    <w:p>
      <w:pPr>
        <w:pStyle w:val="BodyText"/>
        <w:spacing w:before="78"/>
        <w:jc w:val="left"/>
        <w:rPr>
          <w:b/>
          <w:sz w:val="22"/>
        </w:rPr>
      </w:pPr>
    </w:p>
    <w:p>
      <w:pPr>
        <w:spacing w:before="0"/>
        <w:ind w:left="1123" w:right="0" w:firstLine="0"/>
        <w:jc w:val="left"/>
        <w:rPr>
          <w:b/>
          <w:sz w:val="22"/>
        </w:rPr>
      </w:pPr>
      <w:r>
        <w:rPr>
          <w:b/>
          <w:sz w:val="22"/>
        </w:rPr>
        <w:t>Width</w:t>
      </w:r>
      <w:r>
        <w:rPr>
          <w:b/>
          <w:spacing w:val="-6"/>
          <w:sz w:val="22"/>
        </w:rPr>
        <w:t> </w:t>
      </w:r>
      <w:r>
        <w:rPr>
          <w:b/>
          <w:sz w:val="22"/>
        </w:rPr>
        <w:t>of</w:t>
      </w:r>
      <w:r>
        <w:rPr>
          <w:b/>
          <w:spacing w:val="-4"/>
          <w:sz w:val="22"/>
        </w:rPr>
        <w:t> </w:t>
      </w:r>
      <w:r>
        <w:rPr>
          <w:b/>
          <w:sz w:val="22"/>
        </w:rPr>
        <w:t>access</w:t>
      </w:r>
      <w:r>
        <w:rPr>
          <w:b/>
          <w:spacing w:val="-4"/>
          <w:sz w:val="22"/>
        </w:rPr>
        <w:t> </w:t>
      </w:r>
      <w:r>
        <w:rPr>
          <w:b/>
          <w:sz w:val="22"/>
        </w:rPr>
        <w:t>for</w:t>
      </w:r>
      <w:r>
        <w:rPr>
          <w:b/>
          <w:spacing w:val="-4"/>
          <w:sz w:val="22"/>
        </w:rPr>
        <w:t> </w:t>
      </w:r>
      <w:r>
        <w:rPr>
          <w:b/>
          <w:sz w:val="22"/>
        </w:rPr>
        <w:t>Residential</w:t>
      </w:r>
      <w:r>
        <w:rPr>
          <w:b/>
          <w:spacing w:val="-5"/>
          <w:sz w:val="22"/>
        </w:rPr>
        <w:t> </w:t>
      </w:r>
      <w:r>
        <w:rPr>
          <w:b/>
          <w:sz w:val="22"/>
        </w:rPr>
        <w:t>and</w:t>
      </w:r>
      <w:r>
        <w:rPr>
          <w:b/>
          <w:spacing w:val="-3"/>
          <w:sz w:val="22"/>
        </w:rPr>
        <w:t> </w:t>
      </w:r>
      <w:r>
        <w:rPr>
          <w:b/>
          <w:sz w:val="22"/>
        </w:rPr>
        <w:t>Commercial</w:t>
      </w:r>
      <w:r>
        <w:rPr>
          <w:b/>
          <w:spacing w:val="-5"/>
          <w:sz w:val="22"/>
        </w:rPr>
        <w:t> </w:t>
      </w:r>
      <w:r>
        <w:rPr>
          <w:b/>
          <w:sz w:val="22"/>
        </w:rPr>
        <w:t>Zones</w:t>
      </w:r>
      <w:r>
        <w:rPr>
          <w:b/>
          <w:spacing w:val="-2"/>
          <w:sz w:val="22"/>
        </w:rPr>
        <w:t> </w:t>
      </w:r>
      <w:r>
        <w:rPr>
          <w:b/>
          <w:sz w:val="22"/>
        </w:rPr>
        <w:t>for</w:t>
      </w:r>
      <w:r>
        <w:rPr>
          <w:b/>
          <w:spacing w:val="-6"/>
          <w:sz w:val="22"/>
        </w:rPr>
        <w:t> </w:t>
      </w:r>
      <w:r>
        <w:rPr>
          <w:b/>
          <w:sz w:val="22"/>
        </w:rPr>
        <w:t>plot</w:t>
      </w:r>
      <w:r>
        <w:rPr>
          <w:b/>
          <w:spacing w:val="-3"/>
          <w:sz w:val="22"/>
        </w:rPr>
        <w:t> </w:t>
      </w:r>
      <w:r>
        <w:rPr>
          <w:b/>
          <w:sz w:val="22"/>
        </w:rPr>
        <w:t>area</w:t>
      </w:r>
      <w:r>
        <w:rPr>
          <w:b/>
          <w:spacing w:val="-6"/>
          <w:sz w:val="22"/>
        </w:rPr>
        <w:t> </w:t>
      </w:r>
      <w:r>
        <w:rPr>
          <w:b/>
          <w:sz w:val="22"/>
        </w:rPr>
        <w:t>to</w:t>
      </w:r>
      <w:r>
        <w:rPr>
          <w:b/>
          <w:spacing w:val="-4"/>
          <w:sz w:val="22"/>
        </w:rPr>
        <w:t> </w:t>
      </w:r>
      <w:r>
        <w:rPr>
          <w:b/>
          <w:sz w:val="22"/>
        </w:rPr>
        <w:t>be</w:t>
      </w:r>
      <w:r>
        <w:rPr>
          <w:b/>
          <w:spacing w:val="-5"/>
          <w:sz w:val="22"/>
        </w:rPr>
        <w:t> </w:t>
      </w:r>
      <w:r>
        <w:rPr>
          <w:b/>
          <w:spacing w:val="-2"/>
          <w:sz w:val="22"/>
        </w:rPr>
        <w:t>served</w:t>
      </w:r>
    </w:p>
    <w:p>
      <w:pPr>
        <w:pStyle w:val="BodyText"/>
        <w:spacing w:before="58"/>
        <w:jc w:val="left"/>
        <w:rPr>
          <w:b/>
          <w:sz w:val="20"/>
        </w:rPr>
      </w:pPr>
    </w:p>
    <w:tbl>
      <w:tblPr>
        <w:tblW w:w="0" w:type="auto"/>
        <w:jc w:val="left"/>
        <w:tblInd w:w="14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48"/>
        <w:gridCol w:w="1594"/>
        <w:gridCol w:w="1807"/>
        <w:gridCol w:w="1701"/>
        <w:gridCol w:w="1721"/>
      </w:tblGrid>
      <w:tr>
        <w:trPr>
          <w:trHeight w:val="635" w:hRule="atLeast"/>
        </w:trPr>
        <w:tc>
          <w:tcPr>
            <w:tcW w:w="1548" w:type="dxa"/>
            <w:vMerge w:val="restart"/>
            <w:tcBorders>
              <w:right w:val="single" w:sz="4" w:space="0" w:color="000000"/>
            </w:tcBorders>
          </w:tcPr>
          <w:p>
            <w:pPr>
              <w:pStyle w:val="TableParagraph"/>
              <w:spacing w:before="56"/>
              <w:ind w:left="203" w:right="188" w:firstLine="331"/>
              <w:jc w:val="both"/>
              <w:rPr>
                <w:sz w:val="22"/>
              </w:rPr>
            </w:pPr>
            <w:r>
              <w:rPr>
                <w:spacing w:val="-2"/>
                <w:sz w:val="22"/>
              </w:rPr>
              <w:t>Access </w:t>
            </w:r>
            <w:r>
              <w:rPr>
                <w:sz w:val="22"/>
              </w:rPr>
              <w:t>length in meters</w:t>
            </w:r>
            <w:r>
              <w:rPr>
                <w:spacing w:val="-6"/>
                <w:sz w:val="22"/>
              </w:rPr>
              <w:t> </w:t>
            </w:r>
            <w:r>
              <w:rPr>
                <w:spacing w:val="-5"/>
                <w:sz w:val="22"/>
              </w:rPr>
              <w:t>(m)</w:t>
            </w:r>
          </w:p>
          <w:p>
            <w:pPr>
              <w:pStyle w:val="TableParagraph"/>
              <w:rPr>
                <w:b/>
                <w:sz w:val="22"/>
              </w:rPr>
            </w:pPr>
          </w:p>
          <w:p>
            <w:pPr>
              <w:pStyle w:val="TableParagraph"/>
              <w:rPr>
                <w:b/>
                <w:sz w:val="22"/>
              </w:rPr>
            </w:pPr>
          </w:p>
          <w:p>
            <w:pPr>
              <w:pStyle w:val="TableParagraph"/>
              <w:rPr>
                <w:b/>
                <w:sz w:val="22"/>
              </w:rPr>
            </w:pPr>
          </w:p>
          <w:p>
            <w:pPr>
              <w:pStyle w:val="TableParagraph"/>
              <w:spacing w:before="199"/>
              <w:rPr>
                <w:b/>
                <w:sz w:val="22"/>
              </w:rPr>
            </w:pPr>
          </w:p>
          <w:p>
            <w:pPr>
              <w:pStyle w:val="TableParagraph"/>
              <w:ind w:left="762"/>
              <w:rPr>
                <w:sz w:val="22"/>
              </w:rPr>
            </w:pPr>
            <w:r>
              <w:rPr>
                <w:spacing w:val="-5"/>
                <w:sz w:val="22"/>
              </w:rPr>
              <w:t>(1)</w:t>
            </w:r>
          </w:p>
        </w:tc>
        <w:tc>
          <w:tcPr>
            <w:tcW w:w="6823" w:type="dxa"/>
            <w:gridSpan w:val="4"/>
            <w:tcBorders>
              <w:left w:val="single" w:sz="4" w:space="0" w:color="000000"/>
              <w:bottom w:val="single" w:sz="4" w:space="0" w:color="000000"/>
            </w:tcBorders>
          </w:tcPr>
          <w:p>
            <w:pPr>
              <w:pStyle w:val="TableParagraph"/>
              <w:spacing w:before="37"/>
              <w:ind w:left="269" w:right="1"/>
              <w:jc w:val="center"/>
              <w:rPr>
                <w:sz w:val="22"/>
              </w:rPr>
            </w:pPr>
            <w:r>
              <w:rPr>
                <w:sz w:val="22"/>
              </w:rPr>
              <w:t>Area</w:t>
            </w:r>
            <w:r>
              <w:rPr>
                <w:spacing w:val="-4"/>
                <w:sz w:val="22"/>
              </w:rPr>
              <w:t> </w:t>
            </w:r>
            <w:r>
              <w:rPr>
                <w:sz w:val="22"/>
              </w:rPr>
              <w:t>served</w:t>
            </w:r>
            <w:r>
              <w:rPr>
                <w:spacing w:val="-3"/>
                <w:sz w:val="22"/>
              </w:rPr>
              <w:t> </w:t>
            </w:r>
            <w:r>
              <w:rPr>
                <w:spacing w:val="-2"/>
                <w:sz w:val="22"/>
              </w:rPr>
              <w:t>(sq.m)</w:t>
            </w:r>
          </w:p>
        </w:tc>
      </w:tr>
      <w:tr>
        <w:trPr>
          <w:trHeight w:val="894" w:hRule="atLeast"/>
        </w:trPr>
        <w:tc>
          <w:tcPr>
            <w:tcW w:w="1548" w:type="dxa"/>
            <w:vMerge/>
            <w:tcBorders>
              <w:top w:val="nil"/>
              <w:right w:val="single" w:sz="4" w:space="0" w:color="000000"/>
            </w:tcBorders>
          </w:tcPr>
          <w:p>
            <w:pPr>
              <w:rPr>
                <w:sz w:val="2"/>
                <w:szCs w:val="2"/>
              </w:rPr>
            </w:pPr>
          </w:p>
        </w:tc>
        <w:tc>
          <w:tcPr>
            <w:tcW w:w="1594" w:type="dxa"/>
            <w:tcBorders>
              <w:top w:val="single" w:sz="4" w:space="0" w:color="000000"/>
              <w:left w:val="single" w:sz="4" w:space="0" w:color="000000"/>
              <w:bottom w:val="single" w:sz="4" w:space="0" w:color="000000"/>
              <w:right w:val="single" w:sz="4" w:space="0" w:color="000000"/>
            </w:tcBorders>
          </w:tcPr>
          <w:p>
            <w:pPr>
              <w:pStyle w:val="TableParagraph"/>
              <w:spacing w:before="190"/>
              <w:ind w:left="525" w:hanging="128"/>
              <w:rPr>
                <w:sz w:val="22"/>
              </w:rPr>
            </w:pPr>
            <w:r>
              <w:rPr>
                <w:sz w:val="22"/>
              </w:rPr>
              <w:t>Less</w:t>
            </w:r>
            <w:r>
              <w:rPr>
                <w:spacing w:val="-18"/>
                <w:sz w:val="22"/>
              </w:rPr>
              <w:t> </w:t>
            </w:r>
            <w:r>
              <w:rPr>
                <w:sz w:val="22"/>
              </w:rPr>
              <w:t>than </w:t>
            </w:r>
            <w:r>
              <w:rPr>
                <w:spacing w:val="-4"/>
                <w:sz w:val="22"/>
              </w:rPr>
              <w:t>1500</w:t>
            </w:r>
          </w:p>
        </w:tc>
        <w:tc>
          <w:tcPr>
            <w:tcW w:w="1807" w:type="dxa"/>
            <w:tcBorders>
              <w:top w:val="single" w:sz="4" w:space="0" w:color="000000"/>
              <w:left w:val="single" w:sz="4" w:space="0" w:color="000000"/>
              <w:bottom w:val="single" w:sz="4" w:space="0" w:color="000000"/>
              <w:right w:val="single" w:sz="4" w:space="0" w:color="000000"/>
            </w:tcBorders>
          </w:tcPr>
          <w:p>
            <w:pPr>
              <w:pStyle w:val="TableParagraph"/>
              <w:spacing w:before="61"/>
              <w:ind w:left="256" w:firstLine="501"/>
              <w:rPr>
                <w:sz w:val="22"/>
              </w:rPr>
            </w:pPr>
            <w:r>
              <w:rPr>
                <w:spacing w:val="-4"/>
                <w:sz w:val="22"/>
              </w:rPr>
              <w:t>More </w:t>
            </w:r>
            <w:r>
              <w:rPr>
                <w:sz w:val="22"/>
              </w:rPr>
              <w:t>than1500</w:t>
            </w:r>
            <w:r>
              <w:rPr>
                <w:spacing w:val="-18"/>
                <w:sz w:val="22"/>
              </w:rPr>
              <w:t> </w:t>
            </w:r>
            <w:r>
              <w:rPr>
                <w:sz w:val="22"/>
              </w:rPr>
              <w:t>&amp; up</w:t>
            </w:r>
            <w:r>
              <w:rPr>
                <w:spacing w:val="-4"/>
                <w:sz w:val="22"/>
              </w:rPr>
              <w:t> </w:t>
            </w:r>
            <w:r>
              <w:rPr>
                <w:sz w:val="22"/>
              </w:rPr>
              <w:t>to </w:t>
            </w:r>
            <w:r>
              <w:rPr>
                <w:spacing w:val="-2"/>
                <w:sz w:val="22"/>
              </w:rPr>
              <w:t>4,000</w:t>
            </w:r>
          </w:p>
        </w:tc>
        <w:tc>
          <w:tcPr>
            <w:tcW w:w="1701" w:type="dxa"/>
            <w:tcBorders>
              <w:top w:val="single" w:sz="4" w:space="0" w:color="000000"/>
              <w:left w:val="single" w:sz="4" w:space="0" w:color="000000"/>
              <w:bottom w:val="single" w:sz="4" w:space="0" w:color="000000"/>
              <w:right w:val="single" w:sz="4" w:space="0" w:color="000000"/>
            </w:tcBorders>
          </w:tcPr>
          <w:p>
            <w:pPr>
              <w:pStyle w:val="TableParagraph"/>
              <w:spacing w:before="61"/>
              <w:ind w:left="276" w:firstLine="146"/>
              <w:rPr>
                <w:sz w:val="22"/>
              </w:rPr>
            </w:pPr>
            <w:r>
              <w:rPr>
                <w:sz w:val="22"/>
              </w:rPr>
              <w:t>More</w:t>
            </w:r>
            <w:r>
              <w:rPr>
                <w:spacing w:val="-18"/>
                <w:sz w:val="22"/>
              </w:rPr>
              <w:t> </w:t>
            </w:r>
            <w:r>
              <w:rPr>
                <w:sz w:val="22"/>
              </w:rPr>
              <w:t>than 4000 &amp; up </w:t>
            </w:r>
            <w:r>
              <w:rPr>
                <w:spacing w:val="-2"/>
                <w:sz w:val="22"/>
              </w:rPr>
              <w:t>to10,000</w:t>
            </w:r>
          </w:p>
        </w:tc>
        <w:tc>
          <w:tcPr>
            <w:tcW w:w="1721" w:type="dxa"/>
            <w:tcBorders>
              <w:top w:val="single" w:sz="4" w:space="0" w:color="000000"/>
              <w:left w:val="single" w:sz="4" w:space="0" w:color="000000"/>
              <w:bottom w:val="single" w:sz="4" w:space="0" w:color="000000"/>
            </w:tcBorders>
          </w:tcPr>
          <w:p>
            <w:pPr>
              <w:pStyle w:val="TableParagraph"/>
              <w:spacing w:before="42"/>
              <w:ind w:left="486" w:right="163" w:hanging="53"/>
              <w:rPr>
                <w:sz w:val="22"/>
              </w:rPr>
            </w:pPr>
            <w:r>
              <w:rPr>
                <w:sz w:val="22"/>
              </w:rPr>
              <w:t>More</w:t>
            </w:r>
            <w:r>
              <w:rPr>
                <w:spacing w:val="-18"/>
                <w:sz w:val="22"/>
              </w:rPr>
              <w:t> </w:t>
            </w:r>
            <w:r>
              <w:rPr>
                <w:sz w:val="22"/>
              </w:rPr>
              <w:t>than </w:t>
            </w:r>
            <w:r>
              <w:rPr>
                <w:spacing w:val="-2"/>
                <w:sz w:val="22"/>
              </w:rPr>
              <w:t>10,000</w:t>
            </w:r>
          </w:p>
        </w:tc>
      </w:tr>
      <w:tr>
        <w:trPr>
          <w:trHeight w:val="338" w:hRule="atLeast"/>
        </w:trPr>
        <w:tc>
          <w:tcPr>
            <w:tcW w:w="1548" w:type="dxa"/>
            <w:vMerge/>
            <w:tcBorders>
              <w:top w:val="nil"/>
              <w:right w:val="single" w:sz="4" w:space="0" w:color="000000"/>
            </w:tcBorders>
          </w:tcPr>
          <w:p>
            <w:pPr>
              <w:rPr>
                <w:sz w:val="2"/>
                <w:szCs w:val="2"/>
              </w:rPr>
            </w:pPr>
          </w:p>
        </w:tc>
        <w:tc>
          <w:tcPr>
            <w:tcW w:w="6823" w:type="dxa"/>
            <w:gridSpan w:val="4"/>
            <w:tcBorders>
              <w:top w:val="single" w:sz="4" w:space="0" w:color="000000"/>
              <w:left w:val="single" w:sz="4" w:space="0" w:color="000000"/>
              <w:bottom w:val="single" w:sz="4" w:space="0" w:color="000000"/>
            </w:tcBorders>
          </w:tcPr>
          <w:p>
            <w:pPr>
              <w:pStyle w:val="TableParagraph"/>
              <w:spacing w:before="39"/>
              <w:ind w:left="269"/>
              <w:jc w:val="center"/>
              <w:rPr>
                <w:sz w:val="22"/>
              </w:rPr>
            </w:pPr>
            <w:r>
              <w:rPr>
                <w:sz w:val="22"/>
              </w:rPr>
              <w:t>Width</w:t>
            </w:r>
            <w:r>
              <w:rPr>
                <w:spacing w:val="-8"/>
                <w:sz w:val="22"/>
              </w:rPr>
              <w:t> </w:t>
            </w:r>
            <w:r>
              <w:rPr>
                <w:sz w:val="22"/>
              </w:rPr>
              <w:t>in</w:t>
            </w:r>
            <w:r>
              <w:rPr>
                <w:spacing w:val="-4"/>
                <w:sz w:val="22"/>
              </w:rPr>
              <w:t> </w:t>
            </w:r>
            <w:r>
              <w:rPr>
                <w:sz w:val="22"/>
              </w:rPr>
              <w:t>meters</w:t>
            </w:r>
            <w:r>
              <w:rPr>
                <w:spacing w:val="-5"/>
                <w:sz w:val="22"/>
              </w:rPr>
              <w:t> (m)</w:t>
            </w:r>
          </w:p>
        </w:tc>
      </w:tr>
      <w:tr>
        <w:trPr>
          <w:trHeight w:val="465" w:hRule="atLeast"/>
        </w:trPr>
        <w:tc>
          <w:tcPr>
            <w:tcW w:w="1548" w:type="dxa"/>
            <w:vMerge/>
            <w:tcBorders>
              <w:top w:val="nil"/>
              <w:right w:val="single" w:sz="4" w:space="0" w:color="000000"/>
            </w:tcBorders>
          </w:tcPr>
          <w:p>
            <w:pPr>
              <w:rPr>
                <w:sz w:val="2"/>
                <w:szCs w:val="2"/>
              </w:rPr>
            </w:pPr>
          </w:p>
        </w:tc>
        <w:tc>
          <w:tcPr>
            <w:tcW w:w="1594" w:type="dxa"/>
            <w:tcBorders>
              <w:top w:val="single" w:sz="4" w:space="0" w:color="000000"/>
              <w:left w:val="single" w:sz="4" w:space="0" w:color="000000"/>
              <w:right w:val="single" w:sz="4" w:space="0" w:color="000000"/>
            </w:tcBorders>
          </w:tcPr>
          <w:p>
            <w:pPr>
              <w:pStyle w:val="TableParagraph"/>
              <w:spacing w:before="102"/>
              <w:ind w:right="521"/>
              <w:jc w:val="right"/>
              <w:rPr>
                <w:sz w:val="22"/>
              </w:rPr>
            </w:pPr>
            <w:r>
              <w:rPr>
                <w:spacing w:val="-5"/>
                <w:sz w:val="22"/>
              </w:rPr>
              <w:t>(2)</w:t>
            </w:r>
          </w:p>
        </w:tc>
        <w:tc>
          <w:tcPr>
            <w:tcW w:w="1807" w:type="dxa"/>
            <w:tcBorders>
              <w:top w:val="single" w:sz="4" w:space="0" w:color="000000"/>
              <w:left w:val="single" w:sz="4" w:space="0" w:color="000000"/>
              <w:right w:val="single" w:sz="4" w:space="0" w:color="000000"/>
            </w:tcBorders>
          </w:tcPr>
          <w:p>
            <w:pPr>
              <w:pStyle w:val="TableParagraph"/>
              <w:spacing w:before="102"/>
              <w:ind w:right="629"/>
              <w:jc w:val="right"/>
              <w:rPr>
                <w:sz w:val="22"/>
              </w:rPr>
            </w:pPr>
            <w:r>
              <w:rPr>
                <w:spacing w:val="-5"/>
                <w:sz w:val="22"/>
              </w:rPr>
              <w:t>(3)</w:t>
            </w:r>
          </w:p>
        </w:tc>
        <w:tc>
          <w:tcPr>
            <w:tcW w:w="1701" w:type="dxa"/>
            <w:tcBorders>
              <w:top w:val="single" w:sz="4" w:space="0" w:color="000000"/>
              <w:left w:val="single" w:sz="4" w:space="0" w:color="000000"/>
              <w:right w:val="single" w:sz="4" w:space="0" w:color="000000"/>
            </w:tcBorders>
          </w:tcPr>
          <w:p>
            <w:pPr>
              <w:pStyle w:val="TableParagraph"/>
              <w:spacing w:before="102"/>
              <w:ind w:right="575"/>
              <w:jc w:val="right"/>
              <w:rPr>
                <w:sz w:val="22"/>
              </w:rPr>
            </w:pPr>
            <w:r>
              <w:rPr>
                <w:spacing w:val="-5"/>
                <w:sz w:val="22"/>
              </w:rPr>
              <w:t>(4)</w:t>
            </w:r>
          </w:p>
        </w:tc>
        <w:tc>
          <w:tcPr>
            <w:tcW w:w="1721" w:type="dxa"/>
            <w:tcBorders>
              <w:top w:val="single" w:sz="4" w:space="0" w:color="000000"/>
              <w:left w:val="single" w:sz="4" w:space="0" w:color="000000"/>
            </w:tcBorders>
          </w:tcPr>
          <w:p>
            <w:pPr>
              <w:pStyle w:val="TableParagraph"/>
              <w:spacing w:before="102"/>
              <w:ind w:right="582"/>
              <w:jc w:val="right"/>
              <w:rPr>
                <w:sz w:val="22"/>
              </w:rPr>
            </w:pPr>
            <w:r>
              <w:rPr>
                <w:spacing w:val="-5"/>
                <w:sz w:val="22"/>
              </w:rPr>
              <w:t>(5)</w:t>
            </w:r>
          </w:p>
        </w:tc>
      </w:tr>
      <w:tr>
        <w:trPr>
          <w:trHeight w:val="894" w:hRule="atLeast"/>
        </w:trPr>
        <w:tc>
          <w:tcPr>
            <w:tcW w:w="1548" w:type="dxa"/>
          </w:tcPr>
          <w:p>
            <w:pPr>
              <w:pStyle w:val="TableParagraph"/>
              <w:spacing w:before="39"/>
              <w:ind w:left="635" w:hanging="262"/>
              <w:rPr>
                <w:sz w:val="22"/>
              </w:rPr>
            </w:pPr>
            <w:r>
              <w:rPr>
                <w:sz w:val="22"/>
              </w:rPr>
              <w:t>Less</w:t>
            </w:r>
            <w:r>
              <w:rPr>
                <w:spacing w:val="-18"/>
                <w:sz w:val="22"/>
              </w:rPr>
              <w:t> </w:t>
            </w:r>
            <w:r>
              <w:rPr>
                <w:sz w:val="22"/>
              </w:rPr>
              <w:t>than </w:t>
            </w:r>
            <w:r>
              <w:rPr>
                <w:spacing w:val="-6"/>
                <w:sz w:val="22"/>
              </w:rPr>
              <w:t>75</w:t>
            </w:r>
          </w:p>
        </w:tc>
        <w:tc>
          <w:tcPr>
            <w:tcW w:w="1594" w:type="dxa"/>
          </w:tcPr>
          <w:p>
            <w:pPr>
              <w:pStyle w:val="TableParagraph"/>
              <w:spacing w:before="57"/>
              <w:rPr>
                <w:b/>
                <w:sz w:val="22"/>
              </w:rPr>
            </w:pPr>
          </w:p>
          <w:p>
            <w:pPr>
              <w:pStyle w:val="TableParagraph"/>
              <w:ind w:right="587"/>
              <w:jc w:val="right"/>
              <w:rPr>
                <w:sz w:val="22"/>
              </w:rPr>
            </w:pPr>
            <w:r>
              <w:rPr>
                <w:spacing w:val="-10"/>
                <w:sz w:val="22"/>
              </w:rPr>
              <w:t>6</w:t>
            </w:r>
          </w:p>
        </w:tc>
        <w:tc>
          <w:tcPr>
            <w:tcW w:w="1807" w:type="dxa"/>
          </w:tcPr>
          <w:p>
            <w:pPr>
              <w:pStyle w:val="TableParagraph"/>
              <w:spacing w:before="57"/>
              <w:rPr>
                <w:b/>
                <w:sz w:val="22"/>
              </w:rPr>
            </w:pPr>
          </w:p>
          <w:p>
            <w:pPr>
              <w:pStyle w:val="TableParagraph"/>
              <w:ind w:right="592"/>
              <w:jc w:val="right"/>
              <w:rPr>
                <w:sz w:val="22"/>
              </w:rPr>
            </w:pPr>
            <w:r>
              <w:rPr>
                <w:spacing w:val="-5"/>
                <w:sz w:val="22"/>
              </w:rPr>
              <w:t>7.5</w:t>
            </w:r>
          </w:p>
        </w:tc>
        <w:tc>
          <w:tcPr>
            <w:tcW w:w="1701" w:type="dxa"/>
            <w:tcBorders>
              <w:right w:val="single" w:sz="4" w:space="0" w:color="000000"/>
            </w:tcBorders>
          </w:tcPr>
          <w:p>
            <w:pPr>
              <w:pStyle w:val="TableParagraph"/>
              <w:spacing w:before="57"/>
              <w:rPr>
                <w:b/>
                <w:sz w:val="22"/>
              </w:rPr>
            </w:pPr>
          </w:p>
          <w:p>
            <w:pPr>
              <w:pStyle w:val="TableParagraph"/>
              <w:ind w:right="641"/>
              <w:jc w:val="right"/>
              <w:rPr>
                <w:sz w:val="22"/>
              </w:rPr>
            </w:pPr>
            <w:r>
              <w:rPr>
                <w:spacing w:val="-10"/>
                <w:sz w:val="22"/>
              </w:rPr>
              <w:t>9</w:t>
            </w:r>
          </w:p>
        </w:tc>
        <w:tc>
          <w:tcPr>
            <w:tcW w:w="1721" w:type="dxa"/>
            <w:tcBorders>
              <w:left w:val="single" w:sz="4" w:space="0" w:color="000000"/>
            </w:tcBorders>
          </w:tcPr>
          <w:p>
            <w:pPr>
              <w:pStyle w:val="TableParagraph"/>
              <w:spacing w:before="57"/>
              <w:rPr>
                <w:b/>
                <w:sz w:val="22"/>
              </w:rPr>
            </w:pPr>
          </w:p>
          <w:p>
            <w:pPr>
              <w:pStyle w:val="TableParagraph"/>
              <w:ind w:right="581"/>
              <w:jc w:val="right"/>
              <w:rPr>
                <w:sz w:val="22"/>
              </w:rPr>
            </w:pPr>
            <w:r>
              <w:rPr>
                <w:spacing w:val="-5"/>
                <w:sz w:val="22"/>
              </w:rPr>
              <w:t>12</w:t>
            </w:r>
          </w:p>
        </w:tc>
      </w:tr>
      <w:tr>
        <w:trPr>
          <w:trHeight w:val="853" w:hRule="atLeast"/>
        </w:trPr>
        <w:tc>
          <w:tcPr>
            <w:tcW w:w="1548" w:type="dxa"/>
          </w:tcPr>
          <w:p>
            <w:pPr>
              <w:pStyle w:val="TableParagraph"/>
              <w:spacing w:before="39"/>
              <w:ind w:left="225" w:firstLine="403"/>
              <w:rPr>
                <w:sz w:val="22"/>
              </w:rPr>
            </w:pPr>
            <w:r>
              <w:rPr>
                <w:spacing w:val="-4"/>
                <w:sz w:val="22"/>
              </w:rPr>
              <w:t>More </w:t>
            </w:r>
            <w:r>
              <w:rPr>
                <w:sz w:val="22"/>
              </w:rPr>
              <w:t>than</w:t>
            </w:r>
            <w:r>
              <w:rPr>
                <w:spacing w:val="-18"/>
                <w:sz w:val="22"/>
              </w:rPr>
              <w:t> </w:t>
            </w:r>
            <w:r>
              <w:rPr>
                <w:sz w:val="22"/>
              </w:rPr>
              <w:t>75</w:t>
            </w:r>
            <w:r>
              <w:rPr>
                <w:spacing w:val="-18"/>
                <w:sz w:val="22"/>
              </w:rPr>
              <w:t> </w:t>
            </w:r>
            <w:r>
              <w:rPr>
                <w:sz w:val="22"/>
              </w:rPr>
              <w:t>&amp; </w:t>
            </w:r>
            <w:r>
              <w:rPr>
                <w:spacing w:val="-2"/>
                <w:sz w:val="22"/>
              </w:rPr>
              <w:t>upto150</w:t>
            </w:r>
          </w:p>
        </w:tc>
        <w:tc>
          <w:tcPr>
            <w:tcW w:w="1594" w:type="dxa"/>
          </w:tcPr>
          <w:p>
            <w:pPr>
              <w:pStyle w:val="TableParagraph"/>
              <w:spacing w:before="38"/>
              <w:rPr>
                <w:b/>
                <w:sz w:val="22"/>
              </w:rPr>
            </w:pPr>
          </w:p>
          <w:p>
            <w:pPr>
              <w:pStyle w:val="TableParagraph"/>
              <w:ind w:right="484"/>
              <w:jc w:val="right"/>
              <w:rPr>
                <w:sz w:val="22"/>
              </w:rPr>
            </w:pPr>
            <w:r>
              <w:rPr>
                <w:spacing w:val="-5"/>
                <w:sz w:val="22"/>
              </w:rPr>
              <w:t>7.5</w:t>
            </w:r>
          </w:p>
        </w:tc>
        <w:tc>
          <w:tcPr>
            <w:tcW w:w="1807" w:type="dxa"/>
          </w:tcPr>
          <w:p>
            <w:pPr>
              <w:pStyle w:val="TableParagraph"/>
              <w:spacing w:before="38"/>
              <w:rPr>
                <w:b/>
                <w:sz w:val="22"/>
              </w:rPr>
            </w:pPr>
          </w:p>
          <w:p>
            <w:pPr>
              <w:pStyle w:val="TableParagraph"/>
              <w:ind w:right="592"/>
              <w:jc w:val="right"/>
              <w:rPr>
                <w:sz w:val="22"/>
              </w:rPr>
            </w:pPr>
            <w:r>
              <w:rPr>
                <w:spacing w:val="-5"/>
                <w:sz w:val="22"/>
              </w:rPr>
              <w:t>7.5</w:t>
            </w:r>
          </w:p>
        </w:tc>
        <w:tc>
          <w:tcPr>
            <w:tcW w:w="1701" w:type="dxa"/>
            <w:tcBorders>
              <w:right w:val="single" w:sz="4" w:space="0" w:color="000000"/>
            </w:tcBorders>
          </w:tcPr>
          <w:p>
            <w:pPr>
              <w:pStyle w:val="TableParagraph"/>
              <w:spacing w:before="38"/>
              <w:rPr>
                <w:b/>
                <w:sz w:val="22"/>
              </w:rPr>
            </w:pPr>
          </w:p>
          <w:p>
            <w:pPr>
              <w:pStyle w:val="TableParagraph"/>
              <w:ind w:right="641"/>
              <w:jc w:val="right"/>
              <w:rPr>
                <w:sz w:val="22"/>
              </w:rPr>
            </w:pPr>
            <w:r>
              <w:rPr>
                <w:spacing w:val="-10"/>
                <w:sz w:val="22"/>
              </w:rPr>
              <w:t>9</w:t>
            </w:r>
          </w:p>
        </w:tc>
        <w:tc>
          <w:tcPr>
            <w:tcW w:w="1721" w:type="dxa"/>
            <w:tcBorders>
              <w:left w:val="single" w:sz="4" w:space="0" w:color="000000"/>
            </w:tcBorders>
          </w:tcPr>
          <w:p>
            <w:pPr>
              <w:pStyle w:val="TableParagraph"/>
              <w:spacing w:before="38"/>
              <w:rPr>
                <w:b/>
                <w:sz w:val="22"/>
              </w:rPr>
            </w:pPr>
          </w:p>
          <w:p>
            <w:pPr>
              <w:pStyle w:val="TableParagraph"/>
              <w:ind w:right="581"/>
              <w:jc w:val="right"/>
              <w:rPr>
                <w:sz w:val="22"/>
              </w:rPr>
            </w:pPr>
            <w:r>
              <w:rPr>
                <w:spacing w:val="-5"/>
                <w:sz w:val="22"/>
              </w:rPr>
              <w:t>12</w:t>
            </w:r>
          </w:p>
        </w:tc>
      </w:tr>
    </w:tbl>
    <w:p>
      <w:pPr>
        <w:pStyle w:val="TableParagraph"/>
        <w:spacing w:after="0"/>
        <w:jc w:val="right"/>
        <w:rPr>
          <w:sz w:val="22"/>
        </w:rPr>
        <w:sectPr>
          <w:pgSz w:w="11910" w:h="16840"/>
          <w:pgMar w:header="1058" w:footer="1194" w:top="1500" w:bottom="1380" w:left="360" w:right="360"/>
        </w:sectPr>
      </w:pPr>
    </w:p>
    <w:p>
      <w:pPr>
        <w:pStyle w:val="BodyText"/>
        <w:spacing w:before="20"/>
        <w:jc w:val="left"/>
        <w:rPr>
          <w:b/>
          <w:sz w:val="20"/>
        </w:rPr>
      </w:pPr>
    </w:p>
    <w:tbl>
      <w:tblPr>
        <w:tblW w:w="0" w:type="auto"/>
        <w:jc w:val="left"/>
        <w:tblInd w:w="14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48"/>
        <w:gridCol w:w="1594"/>
        <w:gridCol w:w="1807"/>
        <w:gridCol w:w="1701"/>
        <w:gridCol w:w="1721"/>
      </w:tblGrid>
      <w:tr>
        <w:trPr>
          <w:trHeight w:val="299" w:hRule="atLeast"/>
        </w:trPr>
        <w:tc>
          <w:tcPr>
            <w:tcW w:w="1548" w:type="dxa"/>
          </w:tcPr>
          <w:p>
            <w:pPr>
              <w:pStyle w:val="TableParagraph"/>
              <w:rPr>
                <w:rFonts w:ascii="Times New Roman"/>
                <w:sz w:val="22"/>
              </w:rPr>
            </w:pPr>
          </w:p>
        </w:tc>
        <w:tc>
          <w:tcPr>
            <w:tcW w:w="1594" w:type="dxa"/>
          </w:tcPr>
          <w:p>
            <w:pPr>
              <w:pStyle w:val="TableParagraph"/>
              <w:rPr>
                <w:rFonts w:ascii="Times New Roman"/>
                <w:sz w:val="22"/>
              </w:rPr>
            </w:pPr>
          </w:p>
        </w:tc>
        <w:tc>
          <w:tcPr>
            <w:tcW w:w="1807" w:type="dxa"/>
          </w:tcPr>
          <w:p>
            <w:pPr>
              <w:pStyle w:val="TableParagraph"/>
              <w:rPr>
                <w:rFonts w:ascii="Times New Roman"/>
                <w:sz w:val="22"/>
              </w:rPr>
            </w:pPr>
          </w:p>
        </w:tc>
        <w:tc>
          <w:tcPr>
            <w:tcW w:w="1701" w:type="dxa"/>
            <w:tcBorders>
              <w:right w:val="single" w:sz="4" w:space="0" w:color="000000"/>
            </w:tcBorders>
          </w:tcPr>
          <w:p>
            <w:pPr>
              <w:pStyle w:val="TableParagraph"/>
              <w:rPr>
                <w:rFonts w:ascii="Times New Roman"/>
                <w:sz w:val="22"/>
              </w:rPr>
            </w:pPr>
          </w:p>
        </w:tc>
        <w:tc>
          <w:tcPr>
            <w:tcW w:w="1721" w:type="dxa"/>
            <w:tcBorders>
              <w:left w:val="single" w:sz="4" w:space="0" w:color="000000"/>
            </w:tcBorders>
          </w:tcPr>
          <w:p>
            <w:pPr>
              <w:pStyle w:val="TableParagraph"/>
              <w:rPr>
                <w:rFonts w:ascii="Times New Roman"/>
                <w:sz w:val="22"/>
              </w:rPr>
            </w:pPr>
          </w:p>
        </w:tc>
      </w:tr>
      <w:tr>
        <w:trPr>
          <w:trHeight w:val="1153" w:hRule="atLeast"/>
        </w:trPr>
        <w:tc>
          <w:tcPr>
            <w:tcW w:w="1548" w:type="dxa"/>
          </w:tcPr>
          <w:p>
            <w:pPr>
              <w:pStyle w:val="TableParagraph"/>
              <w:spacing w:before="39"/>
              <w:ind w:left="158" w:firstLine="470"/>
              <w:rPr>
                <w:sz w:val="22"/>
              </w:rPr>
            </w:pPr>
            <w:r>
              <w:rPr>
                <w:spacing w:val="-4"/>
                <w:sz w:val="22"/>
              </w:rPr>
              <w:t>More </w:t>
            </w:r>
            <w:r>
              <w:rPr>
                <w:sz w:val="22"/>
              </w:rPr>
              <w:t>than</w:t>
            </w:r>
            <w:r>
              <w:rPr>
                <w:spacing w:val="-4"/>
                <w:sz w:val="22"/>
              </w:rPr>
              <w:t> </w:t>
            </w:r>
            <w:r>
              <w:rPr>
                <w:sz w:val="22"/>
              </w:rPr>
              <w:t>150</w:t>
            </w:r>
            <w:r>
              <w:rPr>
                <w:spacing w:val="-3"/>
                <w:sz w:val="22"/>
              </w:rPr>
              <w:t> </w:t>
            </w:r>
            <w:r>
              <w:rPr>
                <w:spacing w:val="-12"/>
                <w:sz w:val="22"/>
              </w:rPr>
              <w:t>&amp;</w:t>
            </w:r>
          </w:p>
          <w:p>
            <w:pPr>
              <w:pStyle w:val="TableParagraph"/>
              <w:spacing w:line="258" w:lineRule="exact"/>
              <w:ind w:left="251"/>
              <w:rPr>
                <w:sz w:val="22"/>
              </w:rPr>
            </w:pPr>
            <w:r>
              <w:rPr>
                <w:sz w:val="22"/>
              </w:rPr>
              <w:t>up</w:t>
            </w:r>
            <w:r>
              <w:rPr>
                <w:spacing w:val="-2"/>
                <w:sz w:val="22"/>
              </w:rPr>
              <w:t> </w:t>
            </w:r>
            <w:r>
              <w:rPr>
                <w:sz w:val="22"/>
              </w:rPr>
              <w:t>to </w:t>
            </w:r>
            <w:r>
              <w:rPr>
                <w:spacing w:val="-5"/>
                <w:sz w:val="22"/>
              </w:rPr>
              <w:t>300</w:t>
            </w:r>
          </w:p>
        </w:tc>
        <w:tc>
          <w:tcPr>
            <w:tcW w:w="1594" w:type="dxa"/>
          </w:tcPr>
          <w:p>
            <w:pPr>
              <w:pStyle w:val="TableParagraph"/>
              <w:spacing w:before="186"/>
              <w:rPr>
                <w:b/>
                <w:sz w:val="22"/>
              </w:rPr>
            </w:pPr>
          </w:p>
          <w:p>
            <w:pPr>
              <w:pStyle w:val="TableParagraph"/>
              <w:spacing w:before="1"/>
              <w:ind w:right="587"/>
              <w:jc w:val="right"/>
              <w:rPr>
                <w:sz w:val="22"/>
              </w:rPr>
            </w:pPr>
            <w:r>
              <w:rPr>
                <w:spacing w:val="-10"/>
                <w:sz w:val="22"/>
              </w:rPr>
              <w:t>9</w:t>
            </w:r>
          </w:p>
        </w:tc>
        <w:tc>
          <w:tcPr>
            <w:tcW w:w="1807" w:type="dxa"/>
          </w:tcPr>
          <w:p>
            <w:pPr>
              <w:pStyle w:val="TableParagraph"/>
              <w:spacing w:before="186"/>
              <w:rPr>
                <w:b/>
                <w:sz w:val="22"/>
              </w:rPr>
            </w:pPr>
          </w:p>
          <w:p>
            <w:pPr>
              <w:pStyle w:val="TableParagraph"/>
              <w:spacing w:before="1"/>
              <w:ind w:right="695"/>
              <w:jc w:val="right"/>
              <w:rPr>
                <w:sz w:val="22"/>
              </w:rPr>
            </w:pPr>
            <w:r>
              <w:rPr>
                <w:spacing w:val="-10"/>
                <w:sz w:val="22"/>
              </w:rPr>
              <w:t>9</w:t>
            </w:r>
          </w:p>
        </w:tc>
        <w:tc>
          <w:tcPr>
            <w:tcW w:w="1701" w:type="dxa"/>
            <w:tcBorders>
              <w:right w:val="single" w:sz="4" w:space="0" w:color="000000"/>
            </w:tcBorders>
          </w:tcPr>
          <w:p>
            <w:pPr>
              <w:pStyle w:val="TableParagraph"/>
              <w:spacing w:before="186"/>
              <w:rPr>
                <w:b/>
                <w:sz w:val="22"/>
              </w:rPr>
            </w:pPr>
          </w:p>
          <w:p>
            <w:pPr>
              <w:pStyle w:val="TableParagraph"/>
              <w:spacing w:before="1"/>
              <w:ind w:right="641"/>
              <w:jc w:val="right"/>
              <w:rPr>
                <w:sz w:val="22"/>
              </w:rPr>
            </w:pPr>
            <w:r>
              <w:rPr>
                <w:spacing w:val="-10"/>
                <w:sz w:val="22"/>
              </w:rPr>
              <w:t>9</w:t>
            </w:r>
          </w:p>
        </w:tc>
        <w:tc>
          <w:tcPr>
            <w:tcW w:w="1721" w:type="dxa"/>
            <w:tcBorders>
              <w:left w:val="single" w:sz="4" w:space="0" w:color="000000"/>
            </w:tcBorders>
          </w:tcPr>
          <w:p>
            <w:pPr>
              <w:pStyle w:val="TableParagraph"/>
              <w:spacing w:before="186"/>
              <w:rPr>
                <w:b/>
                <w:sz w:val="22"/>
              </w:rPr>
            </w:pPr>
          </w:p>
          <w:p>
            <w:pPr>
              <w:pStyle w:val="TableParagraph"/>
              <w:spacing w:before="1"/>
              <w:ind w:right="581"/>
              <w:jc w:val="right"/>
              <w:rPr>
                <w:sz w:val="22"/>
              </w:rPr>
            </w:pPr>
            <w:r>
              <w:rPr>
                <w:spacing w:val="-5"/>
                <w:sz w:val="22"/>
              </w:rPr>
              <w:t>12</w:t>
            </w:r>
          </w:p>
        </w:tc>
      </w:tr>
      <w:tr>
        <w:trPr>
          <w:trHeight w:val="635" w:hRule="atLeast"/>
        </w:trPr>
        <w:tc>
          <w:tcPr>
            <w:tcW w:w="1548" w:type="dxa"/>
          </w:tcPr>
          <w:p>
            <w:pPr>
              <w:pStyle w:val="TableParagraph"/>
              <w:spacing w:before="37"/>
              <w:ind w:left="407"/>
              <w:rPr>
                <w:sz w:val="22"/>
              </w:rPr>
            </w:pPr>
            <w:r>
              <w:rPr>
                <w:sz w:val="22"/>
              </w:rPr>
              <w:t>Over</w:t>
            </w:r>
            <w:r>
              <w:rPr>
                <w:spacing w:val="-2"/>
                <w:sz w:val="22"/>
              </w:rPr>
              <w:t> </w:t>
            </w:r>
            <w:r>
              <w:rPr>
                <w:spacing w:val="-5"/>
                <w:sz w:val="22"/>
              </w:rPr>
              <w:t>300</w:t>
            </w:r>
          </w:p>
        </w:tc>
        <w:tc>
          <w:tcPr>
            <w:tcW w:w="1594" w:type="dxa"/>
          </w:tcPr>
          <w:p>
            <w:pPr>
              <w:pStyle w:val="TableParagraph"/>
              <w:spacing w:before="186"/>
              <w:ind w:right="518"/>
              <w:jc w:val="right"/>
              <w:rPr>
                <w:sz w:val="22"/>
              </w:rPr>
            </w:pPr>
            <w:r>
              <w:rPr>
                <w:spacing w:val="-5"/>
                <w:sz w:val="22"/>
              </w:rPr>
              <w:t>12</w:t>
            </w:r>
          </w:p>
        </w:tc>
        <w:tc>
          <w:tcPr>
            <w:tcW w:w="1807" w:type="dxa"/>
          </w:tcPr>
          <w:p>
            <w:pPr>
              <w:pStyle w:val="TableParagraph"/>
              <w:spacing w:before="186"/>
              <w:ind w:right="626"/>
              <w:jc w:val="right"/>
              <w:rPr>
                <w:sz w:val="22"/>
              </w:rPr>
            </w:pPr>
            <w:r>
              <w:rPr>
                <w:spacing w:val="-5"/>
                <w:sz w:val="22"/>
              </w:rPr>
              <w:t>12</w:t>
            </w:r>
          </w:p>
        </w:tc>
        <w:tc>
          <w:tcPr>
            <w:tcW w:w="1701" w:type="dxa"/>
            <w:tcBorders>
              <w:right w:val="single" w:sz="4" w:space="0" w:color="000000"/>
            </w:tcBorders>
          </w:tcPr>
          <w:p>
            <w:pPr>
              <w:pStyle w:val="TableParagraph"/>
              <w:spacing w:before="186"/>
              <w:ind w:right="574"/>
              <w:jc w:val="right"/>
              <w:rPr>
                <w:sz w:val="22"/>
              </w:rPr>
            </w:pPr>
            <w:r>
              <w:rPr>
                <w:spacing w:val="-5"/>
                <w:sz w:val="22"/>
              </w:rPr>
              <w:t>12</w:t>
            </w:r>
          </w:p>
        </w:tc>
        <w:tc>
          <w:tcPr>
            <w:tcW w:w="1721" w:type="dxa"/>
            <w:tcBorders>
              <w:left w:val="single" w:sz="4" w:space="0" w:color="000000"/>
            </w:tcBorders>
          </w:tcPr>
          <w:p>
            <w:pPr>
              <w:pStyle w:val="TableParagraph"/>
              <w:spacing w:before="186"/>
              <w:ind w:right="581"/>
              <w:jc w:val="right"/>
              <w:rPr>
                <w:sz w:val="22"/>
              </w:rPr>
            </w:pPr>
            <w:r>
              <w:rPr>
                <w:spacing w:val="-5"/>
                <w:sz w:val="22"/>
              </w:rPr>
              <w:t>12</w:t>
            </w:r>
          </w:p>
        </w:tc>
      </w:tr>
    </w:tbl>
    <w:p>
      <w:pPr>
        <w:pStyle w:val="BodyText"/>
        <w:jc w:val="left"/>
        <w:rPr>
          <w:b/>
        </w:rPr>
      </w:pPr>
    </w:p>
    <w:p>
      <w:pPr>
        <w:pStyle w:val="BodyText"/>
        <w:spacing w:before="51"/>
        <w:jc w:val="left"/>
        <w:rPr>
          <w:b/>
        </w:rPr>
      </w:pPr>
    </w:p>
    <w:p>
      <w:pPr>
        <w:pStyle w:val="BodyText"/>
        <w:ind w:left="1654" w:right="768"/>
      </w:pPr>
      <w:r>
        <w:rPr/>
        <w:t>Provided</w:t>
      </w:r>
      <w:r>
        <w:rPr>
          <w:spacing w:val="-3"/>
        </w:rPr>
        <w:t> </w:t>
      </w:r>
      <w:r>
        <w:rPr/>
        <w:t>that</w:t>
      </w:r>
      <w:r>
        <w:rPr>
          <w:spacing w:val="-3"/>
        </w:rPr>
        <w:t> </w:t>
      </w:r>
      <w:r>
        <w:rPr/>
        <w:t>in</w:t>
      </w:r>
      <w:r>
        <w:rPr>
          <w:spacing w:val="-3"/>
        </w:rPr>
        <w:t> </w:t>
      </w:r>
      <w:r>
        <w:rPr/>
        <w:t>residential</w:t>
      </w:r>
      <w:r>
        <w:rPr>
          <w:spacing w:val="-3"/>
        </w:rPr>
        <w:t> </w:t>
      </w:r>
      <w:r>
        <w:rPr/>
        <w:t>layouts,</w:t>
      </w:r>
      <w:r>
        <w:rPr>
          <w:spacing w:val="-3"/>
        </w:rPr>
        <w:t> </w:t>
      </w:r>
      <w:r>
        <w:rPr/>
        <w:t>straight</w:t>
      </w:r>
      <w:r>
        <w:rPr>
          <w:spacing w:val="-3"/>
        </w:rPr>
        <w:t> </w:t>
      </w:r>
      <w:r>
        <w:rPr/>
        <w:t>cul-de-sacs</w:t>
      </w:r>
      <w:r>
        <w:rPr>
          <w:spacing w:val="-3"/>
        </w:rPr>
        <w:t> </w:t>
      </w:r>
      <w:r>
        <w:rPr/>
        <w:t>up</w:t>
      </w:r>
      <w:r>
        <w:rPr>
          <w:spacing w:val="-3"/>
        </w:rPr>
        <w:t> </w:t>
      </w:r>
      <w:r>
        <w:rPr/>
        <w:t>to</w:t>
      </w:r>
      <w:r>
        <w:rPr>
          <w:spacing w:val="-3"/>
        </w:rPr>
        <w:t> </w:t>
      </w:r>
      <w:r>
        <w:rPr/>
        <w:t>150</w:t>
      </w:r>
      <w:r>
        <w:rPr>
          <w:spacing w:val="-3"/>
        </w:rPr>
        <w:t> </w:t>
      </w:r>
      <w:r>
        <w:rPr/>
        <w:t>m.</w:t>
      </w:r>
      <w:r>
        <w:rPr>
          <w:spacing w:val="-3"/>
        </w:rPr>
        <w:t> </w:t>
      </w:r>
      <w:r>
        <w:rPr/>
        <w:t>long roads</w:t>
      </w:r>
      <w:r>
        <w:rPr>
          <w:spacing w:val="-20"/>
        </w:rPr>
        <w:t> </w:t>
      </w:r>
      <w:r>
        <w:rPr/>
        <w:t>are</w:t>
      </w:r>
      <w:r>
        <w:rPr>
          <w:spacing w:val="-19"/>
        </w:rPr>
        <w:t> </w:t>
      </w:r>
      <w:r>
        <w:rPr/>
        <w:t>permissible.</w:t>
      </w:r>
      <w:r>
        <w:rPr>
          <w:spacing w:val="36"/>
        </w:rPr>
        <w:t> </w:t>
      </w:r>
      <w:r>
        <w:rPr/>
        <w:t>An</w:t>
      </w:r>
      <w:r>
        <w:rPr>
          <w:spacing w:val="-20"/>
        </w:rPr>
        <w:t> </w:t>
      </w:r>
      <w:r>
        <w:rPr/>
        <w:t>additional</w:t>
      </w:r>
      <w:r>
        <w:rPr>
          <w:spacing w:val="-19"/>
        </w:rPr>
        <w:t> </w:t>
      </w:r>
      <w:r>
        <w:rPr/>
        <w:t>length</w:t>
      </w:r>
      <w:r>
        <w:rPr>
          <w:spacing w:val="-19"/>
        </w:rPr>
        <w:t> </w:t>
      </w:r>
      <w:r>
        <w:rPr/>
        <w:t>up</w:t>
      </w:r>
      <w:r>
        <w:rPr>
          <w:spacing w:val="-19"/>
        </w:rPr>
        <w:t> </w:t>
      </w:r>
      <w:r>
        <w:rPr/>
        <w:t>to</w:t>
      </w:r>
      <w:r>
        <w:rPr>
          <w:spacing w:val="-19"/>
        </w:rPr>
        <w:t> </w:t>
      </w:r>
      <w:r>
        <w:rPr/>
        <w:t>125</w:t>
      </w:r>
      <w:r>
        <w:rPr>
          <w:spacing w:val="-20"/>
        </w:rPr>
        <w:t> </w:t>
      </w:r>
      <w:r>
        <w:rPr/>
        <w:t>m</w:t>
      </w:r>
      <w:r>
        <w:rPr>
          <w:spacing w:val="-19"/>
        </w:rPr>
        <w:t> </w:t>
      </w:r>
      <w:r>
        <w:rPr/>
        <w:t>will</w:t>
      </w:r>
      <w:r>
        <w:rPr>
          <w:spacing w:val="-19"/>
        </w:rPr>
        <w:t> </w:t>
      </w:r>
      <w:r>
        <w:rPr/>
        <w:t>be</w:t>
      </w:r>
      <w:r>
        <w:rPr>
          <w:spacing w:val="-19"/>
        </w:rPr>
        <w:t> </w:t>
      </w:r>
      <w:r>
        <w:rPr/>
        <w:t>permissible, if</w:t>
      </w:r>
      <w:r>
        <w:rPr>
          <w:spacing w:val="-3"/>
        </w:rPr>
        <w:t> </w:t>
      </w:r>
      <w:r>
        <w:rPr/>
        <w:t>an</w:t>
      </w:r>
      <w:r>
        <w:rPr>
          <w:spacing w:val="-3"/>
        </w:rPr>
        <w:t> </w:t>
      </w:r>
      <w:r>
        <w:rPr/>
        <w:t>additional</w:t>
      </w:r>
      <w:r>
        <w:rPr>
          <w:spacing w:val="-3"/>
        </w:rPr>
        <w:t> </w:t>
      </w:r>
      <w:r>
        <w:rPr/>
        <w:t>turning</w:t>
      </w:r>
      <w:r>
        <w:rPr>
          <w:spacing w:val="-3"/>
        </w:rPr>
        <w:t> </w:t>
      </w:r>
      <w:r>
        <w:rPr/>
        <w:t>space</w:t>
      </w:r>
      <w:r>
        <w:rPr>
          <w:spacing w:val="-3"/>
        </w:rPr>
        <w:t> </w:t>
      </w:r>
      <w:r>
        <w:rPr/>
        <w:t>is</w:t>
      </w:r>
      <w:r>
        <w:rPr>
          <w:spacing w:val="-3"/>
        </w:rPr>
        <w:t> </w:t>
      </w:r>
      <w:r>
        <w:rPr/>
        <w:t>provided</w:t>
      </w:r>
      <w:r>
        <w:rPr>
          <w:spacing w:val="-3"/>
        </w:rPr>
        <w:t> </w:t>
      </w:r>
      <w:r>
        <w:rPr/>
        <w:t>at</w:t>
      </w:r>
      <w:r>
        <w:rPr>
          <w:spacing w:val="-3"/>
        </w:rPr>
        <w:t> </w:t>
      </w:r>
      <w:r>
        <w:rPr/>
        <w:t>150</w:t>
      </w:r>
      <w:r>
        <w:rPr>
          <w:spacing w:val="-3"/>
        </w:rPr>
        <w:t> </w:t>
      </w:r>
      <w:r>
        <w:rPr/>
        <w:t>m.</w:t>
      </w:r>
      <w:r>
        <w:rPr>
          <w:spacing w:val="40"/>
        </w:rPr>
        <w:t> </w:t>
      </w:r>
      <w:r>
        <w:rPr/>
        <w:t>The</w:t>
      </w:r>
      <w:r>
        <w:rPr>
          <w:spacing w:val="-3"/>
        </w:rPr>
        <w:t> </w:t>
      </w:r>
      <w:r>
        <w:rPr/>
        <w:t>dead</w:t>
      </w:r>
      <w:r>
        <w:rPr>
          <w:spacing w:val="-3"/>
        </w:rPr>
        <w:t> </w:t>
      </w:r>
      <w:r>
        <w:rPr/>
        <w:t>end</w:t>
      </w:r>
      <w:r>
        <w:rPr>
          <w:spacing w:val="-3"/>
        </w:rPr>
        <w:t> </w:t>
      </w:r>
      <w:r>
        <w:rPr/>
        <w:t>shall</w:t>
      </w:r>
      <w:r>
        <w:rPr>
          <w:spacing w:val="-3"/>
        </w:rPr>
        <w:t> </w:t>
      </w:r>
      <w:r>
        <w:rPr/>
        <w:t>be at a level higher than the main road from where the cul-de-sac road takes off.</w:t>
      </w:r>
      <w:r>
        <w:rPr>
          <w:spacing w:val="40"/>
        </w:rPr>
        <w:t> </w:t>
      </w:r>
      <w:r>
        <w:rPr/>
        <w:t>The turning space, in each case, should not be less than 81sq.m. in area, no dimension being less than 9 m.</w:t>
      </w:r>
    </w:p>
    <w:p>
      <w:pPr>
        <w:pStyle w:val="BodyText"/>
        <w:jc w:val="left"/>
      </w:pPr>
    </w:p>
    <w:p>
      <w:pPr>
        <w:pStyle w:val="BodyText"/>
        <w:spacing w:before="140"/>
        <w:jc w:val="left"/>
      </w:pPr>
    </w:p>
    <w:p>
      <w:pPr>
        <w:pStyle w:val="Heading5"/>
        <w:ind w:left="1022"/>
      </w:pPr>
      <w:r>
        <w:rPr/>
        <w:t>TABLE</w:t>
      </w:r>
      <w:r>
        <w:rPr>
          <w:spacing w:val="-4"/>
        </w:rPr>
        <w:t> </w:t>
      </w:r>
      <w:r>
        <w:rPr/>
        <w:t>No</w:t>
      </w:r>
      <w:r>
        <w:rPr>
          <w:spacing w:val="-2"/>
        </w:rPr>
        <w:t> </w:t>
      </w:r>
      <w:r>
        <w:rPr>
          <w:spacing w:val="-10"/>
        </w:rPr>
        <w:t>8</w:t>
      </w:r>
    </w:p>
    <w:p>
      <w:pPr>
        <w:spacing w:before="40"/>
        <w:ind w:left="1548" w:right="1299" w:firstLine="0"/>
        <w:jc w:val="center"/>
        <w:rPr>
          <w:b/>
          <w:sz w:val="24"/>
        </w:rPr>
      </w:pPr>
      <w:r>
        <w:rPr>
          <w:b/>
          <w:sz w:val="24"/>
        </w:rPr>
        <w:t>Width</w:t>
      </w:r>
      <w:r>
        <w:rPr>
          <w:b/>
          <w:spacing w:val="-2"/>
          <w:sz w:val="24"/>
        </w:rPr>
        <w:t> </w:t>
      </w:r>
      <w:r>
        <w:rPr>
          <w:b/>
          <w:sz w:val="24"/>
        </w:rPr>
        <w:t>of</w:t>
      </w:r>
      <w:r>
        <w:rPr>
          <w:b/>
          <w:spacing w:val="-1"/>
          <w:sz w:val="24"/>
        </w:rPr>
        <w:t> </w:t>
      </w:r>
      <w:r>
        <w:rPr>
          <w:b/>
          <w:sz w:val="24"/>
        </w:rPr>
        <w:t>access</w:t>
      </w:r>
      <w:r>
        <w:rPr>
          <w:b/>
          <w:spacing w:val="-1"/>
          <w:sz w:val="24"/>
        </w:rPr>
        <w:t> </w:t>
      </w:r>
      <w:r>
        <w:rPr>
          <w:b/>
          <w:sz w:val="24"/>
        </w:rPr>
        <w:t>for</w:t>
      </w:r>
      <w:r>
        <w:rPr>
          <w:b/>
          <w:spacing w:val="1"/>
          <w:sz w:val="24"/>
        </w:rPr>
        <w:t> </w:t>
      </w:r>
      <w:r>
        <w:rPr>
          <w:b/>
          <w:sz w:val="24"/>
        </w:rPr>
        <w:t>industrial</w:t>
      </w:r>
      <w:r>
        <w:rPr>
          <w:b/>
          <w:spacing w:val="-1"/>
          <w:sz w:val="24"/>
        </w:rPr>
        <w:t> </w:t>
      </w:r>
      <w:r>
        <w:rPr>
          <w:b/>
          <w:spacing w:val="-2"/>
          <w:sz w:val="24"/>
        </w:rPr>
        <w:t>zones</w:t>
      </w:r>
    </w:p>
    <w:p>
      <w:pPr>
        <w:pStyle w:val="BodyText"/>
        <w:spacing w:before="58"/>
        <w:jc w:val="left"/>
        <w:rPr>
          <w:b/>
          <w:sz w:val="20"/>
        </w:rPr>
      </w:pPr>
    </w:p>
    <w:tbl>
      <w:tblPr>
        <w:tblW w:w="0" w:type="auto"/>
        <w:jc w:val="left"/>
        <w:tblInd w:w="32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93"/>
        <w:gridCol w:w="3625"/>
      </w:tblGrid>
      <w:tr>
        <w:trPr>
          <w:trHeight w:val="541" w:hRule="atLeast"/>
        </w:trPr>
        <w:tc>
          <w:tcPr>
            <w:tcW w:w="3493" w:type="dxa"/>
            <w:tcBorders>
              <w:bottom w:val="single" w:sz="4" w:space="0" w:color="000000"/>
            </w:tcBorders>
            <w:shd w:val="clear" w:color="auto" w:fill="E7E6E6"/>
          </w:tcPr>
          <w:p>
            <w:pPr>
              <w:pStyle w:val="TableParagraph"/>
              <w:spacing w:line="250" w:lineRule="exact" w:before="6"/>
              <w:ind w:left="1733" w:right="357" w:hanging="905"/>
              <w:rPr>
                <w:sz w:val="18"/>
              </w:rPr>
            </w:pPr>
            <w:r>
              <w:rPr>
                <w:sz w:val="18"/>
              </w:rPr>
              <w:t>Access</w:t>
            </w:r>
            <w:r>
              <w:rPr>
                <w:spacing w:val="-13"/>
                <w:sz w:val="18"/>
              </w:rPr>
              <w:t> </w:t>
            </w:r>
            <w:r>
              <w:rPr>
                <w:sz w:val="18"/>
              </w:rPr>
              <w:t>length</w:t>
            </w:r>
            <w:r>
              <w:rPr>
                <w:spacing w:val="-12"/>
                <w:sz w:val="18"/>
              </w:rPr>
              <w:t> </w:t>
            </w:r>
            <w:r>
              <w:rPr>
                <w:sz w:val="18"/>
              </w:rPr>
              <w:t>in</w:t>
            </w:r>
            <w:r>
              <w:rPr>
                <w:spacing w:val="-12"/>
                <w:sz w:val="18"/>
              </w:rPr>
              <w:t> </w:t>
            </w:r>
            <w:r>
              <w:rPr>
                <w:sz w:val="18"/>
              </w:rPr>
              <w:t>meters </w:t>
            </w:r>
            <w:r>
              <w:rPr>
                <w:spacing w:val="-4"/>
                <w:sz w:val="18"/>
              </w:rPr>
              <w:t>(m)</w:t>
            </w:r>
          </w:p>
        </w:tc>
        <w:tc>
          <w:tcPr>
            <w:tcW w:w="3625" w:type="dxa"/>
            <w:tcBorders>
              <w:bottom w:val="single" w:sz="4" w:space="0" w:color="000000"/>
            </w:tcBorders>
            <w:shd w:val="clear" w:color="auto" w:fill="E7E6E6"/>
          </w:tcPr>
          <w:p>
            <w:pPr>
              <w:pStyle w:val="TableParagraph"/>
              <w:spacing w:line="250" w:lineRule="exact" w:before="6"/>
              <w:ind w:left="1086" w:right="326" w:firstLine="50"/>
              <w:rPr>
                <w:sz w:val="18"/>
              </w:rPr>
            </w:pPr>
            <w:r>
              <w:rPr>
                <w:sz w:val="18"/>
              </w:rPr>
              <w:t>Width of means of access</w:t>
            </w:r>
            <w:r>
              <w:rPr>
                <w:spacing w:val="-3"/>
                <w:sz w:val="18"/>
              </w:rPr>
              <w:t> </w:t>
            </w:r>
            <w:r>
              <w:rPr>
                <w:sz w:val="18"/>
              </w:rPr>
              <w:t>in meter </w:t>
            </w:r>
            <w:r>
              <w:rPr>
                <w:spacing w:val="-5"/>
                <w:sz w:val="18"/>
              </w:rPr>
              <w:t>(m)</w:t>
            </w:r>
          </w:p>
        </w:tc>
      </w:tr>
      <w:tr>
        <w:trPr>
          <w:trHeight w:val="289" w:hRule="atLeast"/>
        </w:trPr>
        <w:tc>
          <w:tcPr>
            <w:tcW w:w="3493" w:type="dxa"/>
            <w:tcBorders>
              <w:top w:val="single" w:sz="4" w:space="0" w:color="000000"/>
            </w:tcBorders>
          </w:tcPr>
          <w:p>
            <w:pPr>
              <w:pStyle w:val="TableParagraph"/>
              <w:spacing w:before="36"/>
              <w:ind w:left="265"/>
              <w:jc w:val="center"/>
              <w:rPr>
                <w:sz w:val="18"/>
              </w:rPr>
            </w:pPr>
            <w:r>
              <w:rPr>
                <w:spacing w:val="-5"/>
                <w:sz w:val="18"/>
              </w:rPr>
              <w:t>(1)</w:t>
            </w:r>
          </w:p>
        </w:tc>
        <w:tc>
          <w:tcPr>
            <w:tcW w:w="3625" w:type="dxa"/>
            <w:tcBorders>
              <w:top w:val="single" w:sz="4" w:space="0" w:color="000000"/>
            </w:tcBorders>
          </w:tcPr>
          <w:p>
            <w:pPr>
              <w:pStyle w:val="TableParagraph"/>
              <w:spacing w:before="36"/>
              <w:ind w:right="1561"/>
              <w:jc w:val="right"/>
              <w:rPr>
                <w:sz w:val="18"/>
              </w:rPr>
            </w:pPr>
            <w:r>
              <w:rPr>
                <w:spacing w:val="-5"/>
                <w:sz w:val="18"/>
              </w:rPr>
              <w:t>(2)</w:t>
            </w:r>
          </w:p>
        </w:tc>
      </w:tr>
      <w:tr>
        <w:trPr>
          <w:trHeight w:val="292" w:hRule="atLeast"/>
        </w:trPr>
        <w:tc>
          <w:tcPr>
            <w:tcW w:w="3493" w:type="dxa"/>
          </w:tcPr>
          <w:p>
            <w:pPr>
              <w:pStyle w:val="TableParagraph"/>
              <w:spacing w:before="38"/>
              <w:ind w:left="265" w:right="5"/>
              <w:jc w:val="center"/>
              <w:rPr>
                <w:sz w:val="18"/>
              </w:rPr>
            </w:pPr>
            <w:r>
              <w:rPr>
                <w:sz w:val="18"/>
              </w:rPr>
              <w:t>Upto</w:t>
            </w:r>
            <w:r>
              <w:rPr>
                <w:spacing w:val="-3"/>
                <w:sz w:val="18"/>
              </w:rPr>
              <w:t> </w:t>
            </w:r>
            <w:r>
              <w:rPr>
                <w:spacing w:val="-5"/>
                <w:sz w:val="18"/>
              </w:rPr>
              <w:t>100</w:t>
            </w:r>
          </w:p>
        </w:tc>
        <w:tc>
          <w:tcPr>
            <w:tcW w:w="3625" w:type="dxa"/>
          </w:tcPr>
          <w:p>
            <w:pPr>
              <w:pStyle w:val="TableParagraph"/>
              <w:spacing w:before="38"/>
              <w:ind w:right="1530"/>
              <w:jc w:val="right"/>
              <w:rPr>
                <w:sz w:val="18"/>
              </w:rPr>
            </w:pPr>
            <w:r>
              <w:rPr>
                <w:spacing w:val="-5"/>
                <w:sz w:val="18"/>
              </w:rPr>
              <w:t>9.0</w:t>
            </w:r>
          </w:p>
        </w:tc>
      </w:tr>
      <w:tr>
        <w:trPr>
          <w:trHeight w:val="292" w:hRule="atLeast"/>
        </w:trPr>
        <w:tc>
          <w:tcPr>
            <w:tcW w:w="3493" w:type="dxa"/>
          </w:tcPr>
          <w:p>
            <w:pPr>
              <w:pStyle w:val="TableParagraph"/>
              <w:spacing w:before="36"/>
              <w:ind w:left="265" w:right="1"/>
              <w:jc w:val="center"/>
              <w:rPr>
                <w:sz w:val="18"/>
              </w:rPr>
            </w:pPr>
            <w:r>
              <w:rPr>
                <w:sz w:val="18"/>
              </w:rPr>
              <w:t>Above</w:t>
            </w:r>
            <w:r>
              <w:rPr>
                <w:spacing w:val="-3"/>
                <w:sz w:val="18"/>
              </w:rPr>
              <w:t> </w:t>
            </w:r>
            <w:r>
              <w:rPr>
                <w:sz w:val="18"/>
              </w:rPr>
              <w:t>100 upto</w:t>
            </w:r>
            <w:r>
              <w:rPr>
                <w:spacing w:val="-1"/>
                <w:sz w:val="18"/>
              </w:rPr>
              <w:t> </w:t>
            </w:r>
            <w:r>
              <w:rPr>
                <w:spacing w:val="-5"/>
                <w:sz w:val="18"/>
              </w:rPr>
              <w:t>300</w:t>
            </w:r>
          </w:p>
        </w:tc>
        <w:tc>
          <w:tcPr>
            <w:tcW w:w="3625" w:type="dxa"/>
          </w:tcPr>
          <w:p>
            <w:pPr>
              <w:pStyle w:val="TableParagraph"/>
              <w:spacing w:before="36"/>
              <w:ind w:right="1473"/>
              <w:jc w:val="right"/>
              <w:rPr>
                <w:sz w:val="18"/>
              </w:rPr>
            </w:pPr>
            <w:r>
              <w:rPr>
                <w:spacing w:val="-4"/>
                <w:sz w:val="18"/>
              </w:rPr>
              <w:t>12.0</w:t>
            </w:r>
          </w:p>
        </w:tc>
      </w:tr>
      <w:tr>
        <w:trPr>
          <w:trHeight w:val="292" w:hRule="atLeast"/>
        </w:trPr>
        <w:tc>
          <w:tcPr>
            <w:tcW w:w="3493" w:type="dxa"/>
          </w:tcPr>
          <w:p>
            <w:pPr>
              <w:pStyle w:val="TableParagraph"/>
              <w:spacing w:before="36"/>
              <w:ind w:left="265" w:right="5"/>
              <w:jc w:val="center"/>
              <w:rPr>
                <w:sz w:val="18"/>
              </w:rPr>
            </w:pPr>
            <w:r>
              <w:rPr>
                <w:sz w:val="18"/>
              </w:rPr>
              <w:t>Above </w:t>
            </w:r>
            <w:r>
              <w:rPr>
                <w:spacing w:val="-5"/>
                <w:sz w:val="18"/>
              </w:rPr>
              <w:t>300</w:t>
            </w:r>
          </w:p>
        </w:tc>
        <w:tc>
          <w:tcPr>
            <w:tcW w:w="3625" w:type="dxa"/>
          </w:tcPr>
          <w:p>
            <w:pPr>
              <w:pStyle w:val="TableParagraph"/>
              <w:spacing w:before="36"/>
              <w:ind w:right="1473"/>
              <w:jc w:val="right"/>
              <w:rPr>
                <w:sz w:val="18"/>
              </w:rPr>
            </w:pPr>
            <w:r>
              <w:rPr>
                <w:spacing w:val="-4"/>
                <w:sz w:val="18"/>
              </w:rPr>
              <w:t>15.0</w:t>
            </w:r>
          </w:p>
        </w:tc>
      </w:tr>
    </w:tbl>
    <w:p>
      <w:pPr>
        <w:pStyle w:val="BodyText"/>
        <w:spacing w:before="238"/>
        <w:jc w:val="left"/>
        <w:rPr>
          <w:b/>
        </w:rPr>
      </w:pPr>
    </w:p>
    <w:p>
      <w:pPr>
        <w:pStyle w:val="ListParagraph"/>
        <w:numPr>
          <w:ilvl w:val="0"/>
          <w:numId w:val="101"/>
        </w:numPr>
        <w:tabs>
          <w:tab w:pos="2050" w:val="left" w:leader="none"/>
        </w:tabs>
        <w:spacing w:line="240" w:lineRule="auto" w:before="0" w:after="0"/>
        <w:ind w:left="2050" w:right="781" w:hanging="850"/>
        <w:jc w:val="left"/>
        <w:rPr>
          <w:sz w:val="24"/>
        </w:rPr>
      </w:pPr>
      <w:r>
        <w:rPr>
          <w:b/>
          <w:i/>
          <w:sz w:val="24"/>
        </w:rPr>
        <w:t>Access</w:t>
      </w:r>
      <w:r>
        <w:rPr>
          <w:b/>
          <w:i/>
          <w:spacing w:val="40"/>
          <w:sz w:val="24"/>
        </w:rPr>
        <w:t> </w:t>
      </w:r>
      <w:r>
        <w:rPr>
          <w:b/>
          <w:i/>
          <w:sz w:val="24"/>
        </w:rPr>
        <w:t>for</w:t>
      </w:r>
      <w:r>
        <w:rPr>
          <w:b/>
          <w:i/>
          <w:spacing w:val="40"/>
          <w:sz w:val="24"/>
        </w:rPr>
        <w:t> </w:t>
      </w:r>
      <w:r>
        <w:rPr>
          <w:b/>
          <w:i/>
          <w:sz w:val="24"/>
        </w:rPr>
        <w:t>residential,</w:t>
      </w:r>
      <w:r>
        <w:rPr>
          <w:b/>
          <w:i/>
          <w:spacing w:val="40"/>
          <w:sz w:val="24"/>
        </w:rPr>
        <w:t> </w:t>
      </w:r>
      <w:r>
        <w:rPr>
          <w:b/>
          <w:i/>
          <w:sz w:val="24"/>
        </w:rPr>
        <w:t>commercial</w:t>
      </w:r>
      <w:r>
        <w:rPr>
          <w:b/>
          <w:i/>
          <w:spacing w:val="40"/>
          <w:sz w:val="24"/>
        </w:rPr>
        <w:t> </w:t>
      </w:r>
      <w:r>
        <w:rPr>
          <w:b/>
          <w:i/>
          <w:sz w:val="24"/>
        </w:rPr>
        <w:t>and</w:t>
      </w:r>
      <w:r>
        <w:rPr>
          <w:b/>
          <w:i/>
          <w:spacing w:val="40"/>
          <w:sz w:val="24"/>
        </w:rPr>
        <w:t> </w:t>
      </w:r>
      <w:r>
        <w:rPr>
          <w:b/>
          <w:i/>
          <w:sz w:val="24"/>
        </w:rPr>
        <w:t>industrial</w:t>
      </w:r>
      <w:r>
        <w:rPr>
          <w:b/>
          <w:i/>
          <w:spacing w:val="40"/>
          <w:sz w:val="24"/>
        </w:rPr>
        <w:t> </w:t>
      </w:r>
      <w:r>
        <w:rPr>
          <w:b/>
          <w:i/>
          <w:sz w:val="24"/>
        </w:rPr>
        <w:t>zones</w:t>
      </w:r>
      <w:r>
        <w:rPr>
          <w:b/>
          <w:i/>
          <w:spacing w:val="-50"/>
          <w:sz w:val="24"/>
        </w:rPr>
        <w:t> </w:t>
      </w:r>
      <w:r>
        <w:rPr>
          <w:sz w:val="24"/>
        </w:rPr>
        <w:t>-</w:t>
      </w:r>
      <w:r>
        <w:rPr>
          <w:spacing w:val="40"/>
          <w:sz w:val="24"/>
        </w:rPr>
        <w:t> </w:t>
      </w:r>
      <w:r>
        <w:rPr>
          <w:sz w:val="24"/>
        </w:rPr>
        <w:t>as</w:t>
      </w:r>
      <w:r>
        <w:rPr>
          <w:spacing w:val="40"/>
          <w:sz w:val="24"/>
        </w:rPr>
        <w:t> </w:t>
      </w:r>
      <w:r>
        <w:rPr>
          <w:sz w:val="24"/>
        </w:rPr>
        <w:t>in table No</w:t>
      </w:r>
      <w:r>
        <w:rPr>
          <w:spacing w:val="40"/>
          <w:sz w:val="24"/>
        </w:rPr>
        <w:t> </w:t>
      </w:r>
      <w:r>
        <w:rPr>
          <w:sz w:val="24"/>
        </w:rPr>
        <w:t>7 and</w:t>
      </w:r>
      <w:r>
        <w:rPr>
          <w:spacing w:val="40"/>
          <w:sz w:val="24"/>
        </w:rPr>
        <w:t> </w:t>
      </w:r>
      <w:r>
        <w:rPr>
          <w:sz w:val="24"/>
        </w:rPr>
        <w:t>8above-</w:t>
      </w:r>
    </w:p>
    <w:p>
      <w:pPr>
        <w:pStyle w:val="ListParagraph"/>
        <w:numPr>
          <w:ilvl w:val="1"/>
          <w:numId w:val="101"/>
        </w:numPr>
        <w:tabs>
          <w:tab w:pos="2050" w:val="left" w:leader="none"/>
        </w:tabs>
        <w:spacing w:line="240" w:lineRule="auto" w:before="243" w:after="0"/>
        <w:ind w:left="2050" w:right="797" w:hanging="850"/>
        <w:jc w:val="left"/>
        <w:rPr>
          <w:sz w:val="24"/>
        </w:rPr>
      </w:pPr>
      <w:r>
        <w:rPr>
          <w:sz w:val="24"/>
        </w:rPr>
        <w:t>shall</w:t>
      </w:r>
      <w:r>
        <w:rPr>
          <w:spacing w:val="40"/>
          <w:sz w:val="24"/>
        </w:rPr>
        <w:t> </w:t>
      </w:r>
      <w:r>
        <w:rPr>
          <w:sz w:val="24"/>
        </w:rPr>
        <w:t>be</w:t>
      </w:r>
      <w:r>
        <w:rPr>
          <w:spacing w:val="40"/>
          <w:sz w:val="24"/>
        </w:rPr>
        <w:t> </w:t>
      </w:r>
      <w:r>
        <w:rPr>
          <w:sz w:val="24"/>
        </w:rPr>
        <w:t>clear</w:t>
      </w:r>
      <w:r>
        <w:rPr>
          <w:spacing w:val="40"/>
          <w:sz w:val="24"/>
        </w:rPr>
        <w:t> </w:t>
      </w:r>
      <w:r>
        <w:rPr>
          <w:sz w:val="24"/>
        </w:rPr>
        <w:t>of</w:t>
      </w:r>
      <w:r>
        <w:rPr>
          <w:spacing w:val="40"/>
          <w:sz w:val="24"/>
        </w:rPr>
        <w:t> </w:t>
      </w:r>
      <w:r>
        <w:rPr>
          <w:sz w:val="24"/>
        </w:rPr>
        <w:t>marginal</w:t>
      </w:r>
      <w:r>
        <w:rPr>
          <w:spacing w:val="40"/>
          <w:sz w:val="24"/>
        </w:rPr>
        <w:t> </w:t>
      </w:r>
      <w:r>
        <w:rPr>
          <w:sz w:val="24"/>
        </w:rPr>
        <w:t>open</w:t>
      </w:r>
      <w:r>
        <w:rPr>
          <w:spacing w:val="40"/>
          <w:sz w:val="24"/>
        </w:rPr>
        <w:t> </w:t>
      </w:r>
      <w:r>
        <w:rPr>
          <w:sz w:val="24"/>
        </w:rPr>
        <w:t>spaces</w:t>
      </w:r>
      <w:r>
        <w:rPr>
          <w:spacing w:val="40"/>
          <w:sz w:val="24"/>
        </w:rPr>
        <w:t> </w:t>
      </w:r>
      <w:r>
        <w:rPr>
          <w:sz w:val="24"/>
        </w:rPr>
        <w:t>but</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3m</w:t>
      </w:r>
      <w:r>
        <w:rPr>
          <w:spacing w:val="40"/>
          <w:sz w:val="24"/>
        </w:rPr>
        <w:t> </w:t>
      </w:r>
      <w:r>
        <w:rPr>
          <w:sz w:val="24"/>
        </w:rPr>
        <w:t>from the building </w:t>
      </w:r>
      <w:r>
        <w:rPr>
          <w:spacing w:val="9"/>
          <w:sz w:val="24"/>
        </w:rPr>
        <w:t>line;</w:t>
      </w:r>
    </w:p>
    <w:p>
      <w:pPr>
        <w:pStyle w:val="ListParagraph"/>
        <w:numPr>
          <w:ilvl w:val="1"/>
          <w:numId w:val="101"/>
        </w:numPr>
        <w:tabs>
          <w:tab w:pos="2050" w:val="left" w:leader="none"/>
        </w:tabs>
        <w:spacing w:line="240" w:lineRule="auto" w:before="0" w:after="0"/>
        <w:ind w:left="2050" w:right="789" w:hanging="850"/>
        <w:jc w:val="left"/>
        <w:rPr>
          <w:sz w:val="24"/>
        </w:rPr>
      </w:pPr>
      <w:r>
        <w:rPr>
          <w:sz w:val="24"/>
        </w:rPr>
        <w:t>may</w:t>
      </w:r>
      <w:r>
        <w:rPr>
          <w:spacing w:val="40"/>
          <w:sz w:val="24"/>
        </w:rPr>
        <w:t> </w:t>
      </w:r>
      <w:r>
        <w:rPr>
          <w:sz w:val="24"/>
        </w:rPr>
        <w:t>be</w:t>
      </w:r>
      <w:r>
        <w:rPr>
          <w:spacing w:val="40"/>
          <w:sz w:val="24"/>
        </w:rPr>
        <w:t> </w:t>
      </w:r>
      <w:r>
        <w:rPr>
          <w:sz w:val="24"/>
        </w:rPr>
        <w:t>reduced</w:t>
      </w:r>
      <w:r>
        <w:rPr>
          <w:spacing w:val="40"/>
          <w:sz w:val="24"/>
        </w:rPr>
        <w:t> </w:t>
      </w:r>
      <w:r>
        <w:rPr>
          <w:sz w:val="24"/>
        </w:rPr>
        <w:t>by</w:t>
      </w:r>
      <w:r>
        <w:rPr>
          <w:spacing w:val="40"/>
          <w:sz w:val="24"/>
        </w:rPr>
        <w:t> </w:t>
      </w:r>
      <w:r>
        <w:rPr>
          <w:sz w:val="24"/>
        </w:rPr>
        <w:t>1</w:t>
      </w:r>
      <w:r>
        <w:rPr>
          <w:spacing w:val="40"/>
          <w:sz w:val="24"/>
        </w:rPr>
        <w:t> </w:t>
      </w:r>
      <w:r>
        <w:rPr>
          <w:sz w:val="24"/>
        </w:rPr>
        <w:t>m</w:t>
      </w:r>
      <w:r>
        <w:rPr>
          <w:spacing w:val="40"/>
          <w:sz w:val="24"/>
        </w:rPr>
        <w:t> </w:t>
      </w:r>
      <w:r>
        <w:rPr>
          <w:sz w:val="24"/>
        </w:rPr>
        <w:t>from</w:t>
      </w:r>
      <w:r>
        <w:rPr>
          <w:spacing w:val="40"/>
          <w:sz w:val="24"/>
        </w:rPr>
        <w:t> </w:t>
      </w:r>
      <w:r>
        <w:rPr>
          <w:sz w:val="24"/>
        </w:rPr>
        <w:t>the</w:t>
      </w:r>
      <w:r>
        <w:rPr>
          <w:spacing w:val="40"/>
          <w:sz w:val="24"/>
        </w:rPr>
        <w:t> </w:t>
      </w:r>
      <w:r>
        <w:rPr>
          <w:sz w:val="24"/>
        </w:rPr>
        <w:t>prescribed</w:t>
      </w:r>
      <w:r>
        <w:rPr>
          <w:spacing w:val="40"/>
          <w:sz w:val="24"/>
        </w:rPr>
        <w:t> </w:t>
      </w:r>
      <w:r>
        <w:rPr>
          <w:sz w:val="24"/>
        </w:rPr>
        <w:t>widths</w:t>
      </w:r>
      <w:r>
        <w:rPr>
          <w:spacing w:val="40"/>
          <w:sz w:val="24"/>
        </w:rPr>
        <w:t> </w:t>
      </w:r>
      <w:r>
        <w:rPr>
          <w:sz w:val="24"/>
        </w:rPr>
        <w:t>if</w:t>
      </w:r>
      <w:r>
        <w:rPr>
          <w:spacing w:val="40"/>
          <w:sz w:val="24"/>
        </w:rPr>
        <w:t> </w:t>
      </w:r>
      <w:r>
        <w:rPr>
          <w:sz w:val="24"/>
        </w:rPr>
        <w:t>the</w:t>
      </w:r>
      <w:r>
        <w:rPr>
          <w:spacing w:val="40"/>
          <w:sz w:val="24"/>
        </w:rPr>
        <w:t> </w:t>
      </w:r>
      <w:r>
        <w:rPr>
          <w:sz w:val="24"/>
        </w:rPr>
        <w:t>plots</w:t>
      </w:r>
      <w:r>
        <w:rPr>
          <w:spacing w:val="40"/>
          <w:sz w:val="24"/>
        </w:rPr>
        <w:t> </w:t>
      </w:r>
      <w:r>
        <w:rPr>
          <w:sz w:val="24"/>
        </w:rPr>
        <w:t>are on</w:t>
      </w:r>
      <w:r>
        <w:rPr>
          <w:spacing w:val="40"/>
          <w:sz w:val="24"/>
        </w:rPr>
        <w:t> </w:t>
      </w:r>
      <w:r>
        <w:rPr>
          <w:sz w:val="24"/>
        </w:rPr>
        <w:t>only</w:t>
      </w:r>
      <w:r>
        <w:rPr>
          <w:spacing w:val="40"/>
          <w:sz w:val="24"/>
        </w:rPr>
        <w:t> </w:t>
      </w:r>
      <w:r>
        <w:rPr>
          <w:sz w:val="24"/>
        </w:rPr>
        <w:t>one</w:t>
      </w:r>
      <w:r>
        <w:rPr>
          <w:spacing w:val="40"/>
          <w:sz w:val="24"/>
        </w:rPr>
        <w:t> </w:t>
      </w:r>
      <w:r>
        <w:rPr>
          <w:sz w:val="24"/>
        </w:rPr>
        <w:t>side</w:t>
      </w:r>
      <w:r>
        <w:rPr>
          <w:spacing w:val="40"/>
          <w:sz w:val="24"/>
        </w:rPr>
        <w:t> </w:t>
      </w:r>
      <w:r>
        <w:rPr>
          <w:sz w:val="24"/>
        </w:rPr>
        <w:t>to</w:t>
      </w:r>
      <w:r>
        <w:rPr>
          <w:spacing w:val="40"/>
          <w:sz w:val="24"/>
        </w:rPr>
        <w:t> </w:t>
      </w:r>
      <w:r>
        <w:rPr>
          <w:sz w:val="24"/>
        </w:rPr>
        <w:t>the</w:t>
      </w:r>
      <w:r>
        <w:rPr>
          <w:spacing w:val="40"/>
          <w:sz w:val="24"/>
        </w:rPr>
        <w:t> </w:t>
      </w:r>
      <w:r>
        <w:rPr>
          <w:sz w:val="24"/>
        </w:rPr>
        <w:t>access;</w:t>
      </w:r>
    </w:p>
    <w:p>
      <w:pPr>
        <w:pStyle w:val="ListParagraph"/>
        <w:numPr>
          <w:ilvl w:val="1"/>
          <w:numId w:val="101"/>
        </w:numPr>
        <w:tabs>
          <w:tab w:pos="2050" w:val="left" w:leader="none"/>
        </w:tabs>
        <w:spacing w:line="242" w:lineRule="auto" w:before="0" w:after="0"/>
        <w:ind w:left="2050" w:right="798" w:hanging="850"/>
        <w:jc w:val="left"/>
        <w:rPr>
          <w:sz w:val="24"/>
        </w:rPr>
      </w:pPr>
      <w:r>
        <w:rPr>
          <w:sz w:val="24"/>
        </w:rPr>
        <w:t>shall</w:t>
      </w:r>
      <w:r>
        <w:rPr>
          <w:spacing w:val="40"/>
          <w:sz w:val="24"/>
        </w:rPr>
        <w:t> </w:t>
      </w:r>
      <w:r>
        <w:rPr>
          <w:sz w:val="24"/>
        </w:rPr>
        <w:t>be</w:t>
      </w:r>
      <w:r>
        <w:rPr>
          <w:spacing w:val="40"/>
          <w:sz w:val="24"/>
        </w:rPr>
        <w:t> </w:t>
      </w:r>
      <w:r>
        <w:rPr>
          <w:sz w:val="24"/>
        </w:rPr>
        <w:t>measured</w:t>
      </w:r>
      <w:r>
        <w:rPr>
          <w:spacing w:val="40"/>
          <w:sz w:val="24"/>
        </w:rPr>
        <w:t> </w:t>
      </w:r>
      <w:r>
        <w:rPr>
          <w:sz w:val="24"/>
        </w:rPr>
        <w:t>in</w:t>
      </w:r>
      <w:r>
        <w:rPr>
          <w:spacing w:val="40"/>
          <w:sz w:val="24"/>
        </w:rPr>
        <w:t> </w:t>
      </w:r>
      <w:r>
        <w:rPr>
          <w:sz w:val="24"/>
        </w:rPr>
        <w:t>length</w:t>
      </w:r>
      <w:r>
        <w:rPr>
          <w:spacing w:val="40"/>
          <w:sz w:val="24"/>
        </w:rPr>
        <w:t> </w:t>
      </w:r>
      <w:r>
        <w:rPr>
          <w:sz w:val="24"/>
        </w:rPr>
        <w:t>from</w:t>
      </w:r>
      <w:r>
        <w:rPr>
          <w:spacing w:val="40"/>
          <w:sz w:val="24"/>
        </w:rPr>
        <w:t> </w:t>
      </w:r>
      <w:r>
        <w:rPr>
          <w:sz w:val="24"/>
        </w:rPr>
        <w:t>the</w:t>
      </w:r>
      <w:r>
        <w:rPr>
          <w:spacing w:val="40"/>
          <w:sz w:val="24"/>
        </w:rPr>
        <w:t> </w:t>
      </w:r>
      <w:r>
        <w:rPr>
          <w:sz w:val="24"/>
        </w:rPr>
        <w:t>point</w:t>
      </w:r>
      <w:r>
        <w:rPr>
          <w:spacing w:val="40"/>
          <w:sz w:val="24"/>
        </w:rPr>
        <w:t> </w:t>
      </w:r>
      <w:r>
        <w:rPr>
          <w:sz w:val="24"/>
        </w:rPr>
        <w:t>of</w:t>
      </w:r>
      <w:r>
        <w:rPr>
          <w:spacing w:val="40"/>
          <w:sz w:val="24"/>
        </w:rPr>
        <w:t> </w:t>
      </w:r>
      <w:r>
        <w:rPr>
          <w:sz w:val="24"/>
        </w:rPr>
        <w:t>its</w:t>
      </w:r>
      <w:r>
        <w:rPr>
          <w:spacing w:val="40"/>
          <w:sz w:val="24"/>
        </w:rPr>
        <w:t> </w:t>
      </w:r>
      <w:r>
        <w:rPr>
          <w:sz w:val="24"/>
        </w:rPr>
        <w:t>origin</w:t>
      </w:r>
      <w:r>
        <w:rPr>
          <w:spacing w:val="38"/>
          <w:sz w:val="24"/>
        </w:rPr>
        <w:t> </w:t>
      </w:r>
      <w:r>
        <w:rPr>
          <w:sz w:val="24"/>
        </w:rPr>
        <w:t>to</w:t>
      </w:r>
      <w:r>
        <w:rPr>
          <w:spacing w:val="40"/>
          <w:sz w:val="24"/>
        </w:rPr>
        <w:t> </w:t>
      </w:r>
      <w:r>
        <w:rPr>
          <w:sz w:val="24"/>
        </w:rPr>
        <w:t>the</w:t>
      </w:r>
      <w:r>
        <w:rPr>
          <w:spacing w:val="38"/>
          <w:sz w:val="24"/>
        </w:rPr>
        <w:t> </w:t>
      </w:r>
      <w:r>
        <w:rPr>
          <w:sz w:val="24"/>
        </w:rPr>
        <w:t>next wider</w:t>
      </w:r>
      <w:r>
        <w:rPr>
          <w:spacing w:val="40"/>
          <w:sz w:val="24"/>
        </w:rPr>
        <w:t> </w:t>
      </w:r>
      <w:r>
        <w:rPr>
          <w:sz w:val="24"/>
        </w:rPr>
        <w:t>public</w:t>
      </w:r>
      <w:r>
        <w:rPr>
          <w:spacing w:val="40"/>
          <w:sz w:val="24"/>
        </w:rPr>
        <w:t> </w:t>
      </w:r>
      <w:r>
        <w:rPr>
          <w:sz w:val="24"/>
        </w:rPr>
        <w:t>street</w:t>
      </w:r>
      <w:r>
        <w:rPr>
          <w:spacing w:val="40"/>
          <w:sz w:val="24"/>
        </w:rPr>
        <w:t> </w:t>
      </w:r>
      <w:r>
        <w:rPr>
          <w:sz w:val="24"/>
        </w:rPr>
        <w:t>it</w:t>
      </w:r>
      <w:r>
        <w:rPr>
          <w:spacing w:val="40"/>
          <w:sz w:val="24"/>
        </w:rPr>
        <w:t> </w:t>
      </w:r>
      <w:r>
        <w:rPr>
          <w:sz w:val="24"/>
        </w:rPr>
        <w:t>meets.</w:t>
      </w:r>
    </w:p>
    <w:p>
      <w:pPr>
        <w:pStyle w:val="BodyText"/>
        <w:spacing w:before="274"/>
        <w:jc w:val="left"/>
      </w:pPr>
    </w:p>
    <w:p>
      <w:pPr>
        <w:pStyle w:val="Heading6"/>
        <w:numPr>
          <w:ilvl w:val="0"/>
          <w:numId w:val="101"/>
        </w:numPr>
        <w:tabs>
          <w:tab w:pos="2049" w:val="left" w:leader="none"/>
        </w:tabs>
        <w:spacing w:line="240" w:lineRule="auto" w:before="0" w:after="0"/>
        <w:ind w:left="2049" w:right="0" w:hanging="849"/>
        <w:jc w:val="left"/>
        <w:rPr>
          <w:b w:val="0"/>
          <w:i w:val="0"/>
        </w:rPr>
      </w:pPr>
      <w:r>
        <w:rPr/>
        <w:t>Larger</w:t>
      </w:r>
      <w:r>
        <w:rPr>
          <w:spacing w:val="47"/>
        </w:rPr>
        <w:t> </w:t>
      </w:r>
      <w:r>
        <w:rPr/>
        <w:t>width</w:t>
      </w:r>
      <w:r>
        <w:rPr>
          <w:spacing w:val="47"/>
        </w:rPr>
        <w:t> </w:t>
      </w:r>
      <w:r>
        <w:rPr/>
        <w:t>of</w:t>
      </w:r>
      <w:r>
        <w:rPr>
          <w:spacing w:val="47"/>
        </w:rPr>
        <w:t> </w:t>
      </w:r>
      <w:r>
        <w:rPr/>
        <w:t>Means</w:t>
      </w:r>
      <w:r>
        <w:rPr>
          <w:spacing w:val="47"/>
        </w:rPr>
        <w:t> </w:t>
      </w:r>
      <w:r>
        <w:rPr/>
        <w:t>of</w:t>
      </w:r>
      <w:r>
        <w:rPr>
          <w:spacing w:val="50"/>
        </w:rPr>
        <w:t> </w:t>
      </w:r>
      <w:r>
        <w:rPr>
          <w:spacing w:val="-2"/>
        </w:rPr>
        <w:t>Access</w:t>
      </w:r>
      <w:r>
        <w:rPr>
          <w:b w:val="0"/>
          <w:i w:val="0"/>
          <w:spacing w:val="-2"/>
        </w:rPr>
        <w:t>-</w:t>
      </w:r>
    </w:p>
    <w:p>
      <w:pPr>
        <w:pStyle w:val="BodyText"/>
        <w:spacing w:before="241"/>
        <w:ind w:left="2050" w:right="782"/>
      </w:pPr>
      <w:r>
        <w:rPr/>
        <w:t>In the interest of the general development of any area, the Commissioner</w:t>
      </w:r>
      <w:r>
        <w:rPr>
          <w:spacing w:val="40"/>
        </w:rPr>
        <w:t> </w:t>
      </w:r>
      <w:r>
        <w:rPr/>
        <w:t>may</w:t>
      </w:r>
      <w:r>
        <w:rPr>
          <w:spacing w:val="40"/>
        </w:rPr>
        <w:t> </w:t>
      </w:r>
      <w:r>
        <w:rPr/>
        <w:t>require</w:t>
      </w:r>
      <w:r>
        <w:rPr>
          <w:spacing w:val="40"/>
        </w:rPr>
        <w:t> </w:t>
      </w:r>
      <w:r>
        <w:rPr/>
        <w:t>the</w:t>
      </w:r>
      <w:r>
        <w:rPr>
          <w:spacing w:val="40"/>
        </w:rPr>
        <w:t> </w:t>
      </w:r>
      <w:r>
        <w:rPr/>
        <w:t>means</w:t>
      </w:r>
      <w:r>
        <w:rPr>
          <w:spacing w:val="40"/>
        </w:rPr>
        <w:t> </w:t>
      </w:r>
      <w:r>
        <w:rPr/>
        <w:t>of</w:t>
      </w:r>
      <w:r>
        <w:rPr>
          <w:spacing w:val="40"/>
        </w:rPr>
        <w:t> </w:t>
      </w:r>
      <w:r>
        <w:rPr/>
        <w:t>access</w:t>
      </w:r>
      <w:r>
        <w:rPr>
          <w:spacing w:val="40"/>
        </w:rPr>
        <w:t> </w:t>
      </w:r>
      <w:r>
        <w:rPr/>
        <w:t>to</w:t>
      </w:r>
      <w:r>
        <w:rPr>
          <w:spacing w:val="40"/>
        </w:rPr>
        <w:t> </w:t>
      </w:r>
      <w:r>
        <w:rPr/>
        <w:t>be</w:t>
      </w:r>
      <w:r>
        <w:rPr>
          <w:spacing w:val="40"/>
        </w:rPr>
        <w:t> </w:t>
      </w:r>
      <w:r>
        <w:rPr/>
        <w:t>of</w:t>
      </w:r>
      <w:r>
        <w:rPr>
          <w:spacing w:val="40"/>
        </w:rPr>
        <w:t> </w:t>
      </w:r>
      <w:r>
        <w:rPr/>
        <w:t>larger width</w:t>
      </w:r>
      <w:r>
        <w:rPr>
          <w:spacing w:val="80"/>
        </w:rPr>
        <w:t> </w:t>
      </w:r>
      <w:r>
        <w:rPr/>
        <w:t>than</w:t>
      </w:r>
      <w:r>
        <w:rPr>
          <w:spacing w:val="80"/>
        </w:rPr>
        <w:t> </w:t>
      </w:r>
      <w:r>
        <w:rPr/>
        <w:t>that</w:t>
      </w:r>
      <w:r>
        <w:rPr>
          <w:spacing w:val="80"/>
        </w:rPr>
        <w:t> </w:t>
      </w:r>
      <w:r>
        <w:rPr/>
        <w:t>required</w:t>
      </w:r>
      <w:r>
        <w:rPr>
          <w:spacing w:val="80"/>
        </w:rPr>
        <w:t> </w:t>
      </w:r>
      <w:r>
        <w:rPr/>
        <w:t>under</w:t>
      </w:r>
      <w:r>
        <w:rPr>
          <w:spacing w:val="80"/>
        </w:rPr>
        <w:t> </w:t>
      </w:r>
      <w:r>
        <w:rPr/>
        <w:t>these</w:t>
      </w:r>
      <w:r>
        <w:rPr>
          <w:spacing w:val="80"/>
        </w:rPr>
        <w:t> </w:t>
      </w:r>
      <w:r>
        <w:rPr/>
        <w:t>Regulations.</w:t>
      </w:r>
    </w:p>
    <w:p>
      <w:pPr>
        <w:pStyle w:val="BodyText"/>
        <w:spacing w:after="0"/>
        <w:sectPr>
          <w:pgSz w:w="11910" w:h="16840"/>
          <w:pgMar w:header="1058" w:footer="1194" w:top="1500" w:bottom="1380" w:left="360" w:right="360"/>
        </w:sectPr>
      </w:pPr>
    </w:p>
    <w:p>
      <w:pPr>
        <w:pStyle w:val="Heading6"/>
        <w:numPr>
          <w:ilvl w:val="0"/>
          <w:numId w:val="101"/>
        </w:numPr>
        <w:tabs>
          <w:tab w:pos="1543" w:val="left" w:leader="none"/>
        </w:tabs>
        <w:spacing w:line="240" w:lineRule="auto" w:before="252" w:after="0"/>
        <w:ind w:left="1543" w:right="0" w:hanging="319"/>
        <w:jc w:val="left"/>
      </w:pPr>
      <w:r>
        <w:rPr/>
        <w:t>Access</w:t>
      </w:r>
      <w:r>
        <w:rPr>
          <w:spacing w:val="51"/>
        </w:rPr>
        <w:t> </w:t>
      </w:r>
      <w:r>
        <w:rPr/>
        <w:t>in</w:t>
      </w:r>
      <w:r>
        <w:rPr>
          <w:spacing w:val="54"/>
        </w:rPr>
        <w:t> </w:t>
      </w:r>
      <w:r>
        <w:rPr/>
        <w:t>Partially</w:t>
      </w:r>
      <w:r>
        <w:rPr>
          <w:spacing w:val="53"/>
        </w:rPr>
        <w:t> </w:t>
      </w:r>
      <w:r>
        <w:rPr/>
        <w:t>Built</w:t>
      </w:r>
      <w:r>
        <w:rPr>
          <w:spacing w:val="54"/>
        </w:rPr>
        <w:t> </w:t>
      </w:r>
      <w:r>
        <w:rPr/>
        <w:t>up</w:t>
      </w:r>
      <w:r>
        <w:rPr>
          <w:spacing w:val="58"/>
        </w:rPr>
        <w:t> </w:t>
      </w:r>
      <w:r>
        <w:rPr>
          <w:spacing w:val="7"/>
        </w:rPr>
        <w:t>Plots:</w:t>
      </w:r>
    </w:p>
    <w:p>
      <w:pPr>
        <w:pStyle w:val="BodyText"/>
        <w:spacing w:before="244"/>
        <w:ind w:left="772" w:right="785" w:firstLine="1440"/>
      </w:pPr>
      <w:r>
        <w:rPr/>
        <w:t>Notwithstanding</w:t>
      </w:r>
      <w:r>
        <w:rPr>
          <w:spacing w:val="40"/>
        </w:rPr>
        <w:t> </w:t>
      </w:r>
      <w:r>
        <w:rPr/>
        <w:t>the</w:t>
      </w:r>
      <w:r>
        <w:rPr>
          <w:spacing w:val="40"/>
        </w:rPr>
        <w:t> </w:t>
      </w:r>
      <w:r>
        <w:rPr/>
        <w:t>above,</w:t>
      </w:r>
      <w:r>
        <w:rPr>
          <w:spacing w:val="40"/>
        </w:rPr>
        <w:t> </w:t>
      </w:r>
      <w:r>
        <w:rPr/>
        <w:t>in</w:t>
      </w:r>
      <w:r>
        <w:rPr>
          <w:spacing w:val="40"/>
        </w:rPr>
        <w:t> </w:t>
      </w:r>
      <w:r>
        <w:rPr/>
        <w:t>partially</w:t>
      </w:r>
      <w:r>
        <w:rPr>
          <w:spacing w:val="10"/>
        </w:rPr>
        <w:t> built-</w:t>
      </w:r>
      <w:r>
        <w:rPr/>
        <w:t>up</w:t>
      </w:r>
      <w:r>
        <w:rPr>
          <w:spacing w:val="40"/>
        </w:rPr>
        <w:t> </w:t>
      </w:r>
      <w:r>
        <w:rPr/>
        <w:t>plots</w:t>
      </w:r>
      <w:r>
        <w:rPr>
          <w:spacing w:val="40"/>
        </w:rPr>
        <w:t> </w:t>
      </w:r>
      <w:r>
        <w:rPr/>
        <w:t>where</w:t>
      </w:r>
      <w:r>
        <w:rPr>
          <w:spacing w:val="40"/>
        </w:rPr>
        <w:t> </w:t>
      </w:r>
      <w:r>
        <w:rPr/>
        <w:t>the area</w:t>
      </w:r>
      <w:r>
        <w:rPr>
          <w:spacing w:val="40"/>
        </w:rPr>
        <w:t> </w:t>
      </w:r>
      <w:r>
        <w:rPr/>
        <w:t>still</w:t>
      </w:r>
      <w:r>
        <w:rPr>
          <w:spacing w:val="40"/>
        </w:rPr>
        <w:t> </w:t>
      </w:r>
      <w:r>
        <w:rPr/>
        <w:t>to</w:t>
      </w:r>
      <w:r>
        <w:rPr>
          <w:spacing w:val="40"/>
        </w:rPr>
        <w:t> </w:t>
      </w:r>
      <w:r>
        <w:rPr/>
        <w:t>be</w:t>
      </w:r>
      <w:r>
        <w:rPr>
          <w:spacing w:val="40"/>
        </w:rPr>
        <w:t> </w:t>
      </w:r>
      <w:r>
        <w:rPr/>
        <w:t>built</w:t>
      </w:r>
      <w:r>
        <w:rPr>
          <w:spacing w:val="40"/>
        </w:rPr>
        <w:t> </w:t>
      </w:r>
      <w:r>
        <w:rPr/>
        <w:t>upon</w:t>
      </w:r>
      <w:r>
        <w:rPr>
          <w:spacing w:val="40"/>
        </w:rPr>
        <w:t> </w:t>
      </w:r>
      <w:r>
        <w:rPr/>
        <w:t>does</w:t>
      </w:r>
      <w:r>
        <w:rPr>
          <w:spacing w:val="40"/>
        </w:rPr>
        <w:t> </w:t>
      </w:r>
      <w:r>
        <w:rPr/>
        <w:t>not</w:t>
      </w:r>
      <w:r>
        <w:rPr>
          <w:spacing w:val="40"/>
        </w:rPr>
        <w:t> </w:t>
      </w:r>
      <w:r>
        <w:rPr/>
        <w:t>exceed</w:t>
      </w:r>
      <w:r>
        <w:rPr>
          <w:spacing w:val="40"/>
        </w:rPr>
        <w:t> </w:t>
      </w:r>
      <w:r>
        <w:rPr/>
        <w:t>5,000</w:t>
      </w:r>
      <w:r>
        <w:rPr>
          <w:spacing w:val="40"/>
        </w:rPr>
        <w:t> </w:t>
      </w:r>
      <w:r>
        <w:rPr/>
        <w:t>sq.</w:t>
      </w:r>
      <w:r>
        <w:rPr>
          <w:spacing w:val="40"/>
        </w:rPr>
        <w:t> </w:t>
      </w:r>
      <w:r>
        <w:rPr/>
        <w:t>m</w:t>
      </w:r>
      <w:r>
        <w:rPr>
          <w:spacing w:val="40"/>
        </w:rPr>
        <w:t> </w:t>
      </w:r>
      <w:r>
        <w:rPr/>
        <w:t>an</w:t>
      </w:r>
      <w:r>
        <w:rPr>
          <w:spacing w:val="40"/>
        </w:rPr>
        <w:t> </w:t>
      </w:r>
      <w:r>
        <w:rPr/>
        <w:t>access</w:t>
      </w:r>
      <w:r>
        <w:rPr>
          <w:spacing w:val="40"/>
        </w:rPr>
        <w:t> </w:t>
      </w:r>
      <w:r>
        <w:rPr/>
        <w:t>of</w:t>
      </w:r>
      <w:r>
        <w:rPr>
          <w:spacing w:val="40"/>
        </w:rPr>
        <w:t> </w:t>
      </w:r>
      <w:r>
        <w:rPr/>
        <w:t>3.6m width may be considered adequate.</w:t>
      </w:r>
      <w:r>
        <w:rPr>
          <w:spacing w:val="80"/>
        </w:rPr>
        <w:t> </w:t>
      </w:r>
      <w:r>
        <w:rPr/>
        <w:t>If such an access is through a built over arch,</w:t>
      </w:r>
      <w:r>
        <w:rPr>
          <w:spacing w:val="40"/>
        </w:rPr>
        <w:t> </w:t>
      </w:r>
      <w:r>
        <w:rPr/>
        <w:t>this</w:t>
      </w:r>
      <w:r>
        <w:rPr>
          <w:spacing w:val="40"/>
        </w:rPr>
        <w:t> </w:t>
      </w:r>
      <w:r>
        <w:rPr/>
        <w:t>access</w:t>
      </w:r>
      <w:r>
        <w:rPr>
          <w:spacing w:val="40"/>
        </w:rPr>
        <w:t> </w:t>
      </w:r>
      <w:r>
        <w:rPr/>
        <w:t>shall</w:t>
      </w:r>
      <w:r>
        <w:rPr>
          <w:spacing w:val="40"/>
        </w:rPr>
        <w:t> </w:t>
      </w:r>
      <w:r>
        <w:rPr/>
        <w:t>have</w:t>
      </w:r>
      <w:r>
        <w:rPr>
          <w:spacing w:val="40"/>
        </w:rPr>
        <w:t> </w:t>
      </w:r>
      <w:r>
        <w:rPr/>
        <w:t>a</w:t>
      </w:r>
      <w:r>
        <w:rPr>
          <w:spacing w:val="40"/>
        </w:rPr>
        <w:t> </w:t>
      </w:r>
      <w:r>
        <w:rPr/>
        <w:t>height</w:t>
      </w:r>
      <w:r>
        <w:rPr>
          <w:spacing w:val="40"/>
        </w:rPr>
        <w:t> </w:t>
      </w:r>
      <w:r>
        <w:rPr/>
        <w:t>of</w:t>
      </w:r>
      <w:r>
        <w:rPr>
          <w:spacing w:val="40"/>
        </w:rPr>
        <w:t> </w:t>
      </w:r>
      <w:r>
        <w:rPr/>
        <w:t>not</w:t>
      </w:r>
      <w:r>
        <w:rPr>
          <w:spacing w:val="40"/>
        </w:rPr>
        <w:t> </w:t>
      </w:r>
      <w:r>
        <w:rPr/>
        <w:t>less</w:t>
      </w:r>
      <w:r>
        <w:rPr>
          <w:spacing w:val="40"/>
        </w:rPr>
        <w:t> </w:t>
      </w:r>
      <w:r>
        <w:rPr/>
        <w:t>than</w:t>
      </w:r>
      <w:r>
        <w:rPr>
          <w:spacing w:val="40"/>
        </w:rPr>
        <w:t> </w:t>
      </w:r>
      <w:r>
        <w:rPr/>
        <w:t>4.5m.</w:t>
      </w:r>
    </w:p>
    <w:p>
      <w:pPr>
        <w:pStyle w:val="Heading3"/>
        <w:numPr>
          <w:ilvl w:val="0"/>
          <w:numId w:val="97"/>
        </w:numPr>
        <w:tabs>
          <w:tab w:pos="1493" w:val="left" w:leader="none"/>
        </w:tabs>
        <w:spacing w:line="240" w:lineRule="auto" w:before="235" w:after="0"/>
        <w:ind w:left="1493" w:right="0" w:hanging="721"/>
        <w:jc w:val="left"/>
      </w:pPr>
      <w:r>
        <w:rPr/>
        <w:t>Minimum</w:t>
      </w:r>
      <w:r>
        <w:rPr>
          <w:spacing w:val="-5"/>
        </w:rPr>
        <w:t> </w:t>
      </w:r>
      <w:r>
        <w:rPr/>
        <w:t>Width</w:t>
      </w:r>
      <w:r>
        <w:rPr>
          <w:spacing w:val="-5"/>
        </w:rPr>
        <w:t> </w:t>
      </w:r>
      <w:r>
        <w:rPr/>
        <w:t>of</w:t>
      </w:r>
      <w:r>
        <w:rPr>
          <w:spacing w:val="-2"/>
        </w:rPr>
        <w:t> Pathways</w:t>
      </w:r>
    </w:p>
    <w:p>
      <w:pPr>
        <w:pStyle w:val="BodyText"/>
        <w:spacing w:before="244"/>
        <w:ind w:left="1493" w:right="780"/>
      </w:pPr>
      <w:r>
        <w:rPr/>
        <w:t>The</w:t>
      </w:r>
      <w:r>
        <w:rPr>
          <w:spacing w:val="80"/>
        </w:rPr>
        <w:t> </w:t>
      </w:r>
      <w:r>
        <w:rPr/>
        <w:t>approach</w:t>
      </w:r>
      <w:r>
        <w:rPr>
          <w:spacing w:val="80"/>
        </w:rPr>
        <w:t> </w:t>
      </w:r>
      <w:r>
        <w:rPr/>
        <w:t>to</w:t>
      </w:r>
      <w:r>
        <w:rPr>
          <w:spacing w:val="80"/>
        </w:rPr>
        <w:t> </w:t>
      </w:r>
      <w:r>
        <w:rPr/>
        <w:t>a</w:t>
      </w:r>
      <w:r>
        <w:rPr>
          <w:spacing w:val="80"/>
        </w:rPr>
        <w:t> </w:t>
      </w:r>
      <w:r>
        <w:rPr/>
        <w:t>building</w:t>
      </w:r>
      <w:r>
        <w:rPr>
          <w:spacing w:val="80"/>
        </w:rPr>
        <w:t> </w:t>
      </w:r>
      <w:r>
        <w:rPr/>
        <w:t>from</w:t>
      </w:r>
      <w:r>
        <w:rPr>
          <w:spacing w:val="80"/>
        </w:rPr>
        <w:t> </w:t>
      </w:r>
      <w:r>
        <w:rPr/>
        <w:t>a</w:t>
      </w:r>
      <w:r>
        <w:rPr>
          <w:spacing w:val="80"/>
        </w:rPr>
        <w:t> </w:t>
      </w:r>
      <w:r>
        <w:rPr/>
        <w:t>road/street/internal</w:t>
      </w:r>
      <w:r>
        <w:rPr>
          <w:spacing w:val="80"/>
        </w:rPr>
        <w:t> </w:t>
      </w:r>
      <w:r>
        <w:rPr/>
        <w:t>means</w:t>
      </w:r>
      <w:r>
        <w:rPr>
          <w:spacing w:val="80"/>
        </w:rPr>
        <w:t> </w:t>
      </w:r>
      <w:r>
        <w:rPr/>
        <w:t>of access shall be through a paved pathway of width specified in Table</w:t>
      </w:r>
      <w:r>
        <w:rPr>
          <w:spacing w:val="40"/>
        </w:rPr>
        <w:t> </w:t>
      </w:r>
      <w:r>
        <w:rPr/>
        <w:t>9</w:t>
      </w:r>
      <w:r>
        <w:rPr>
          <w:spacing w:val="80"/>
        </w:rPr>
        <w:t> </w:t>
      </w:r>
      <w:r>
        <w:rPr/>
        <w:t>here-under,</w:t>
      </w:r>
      <w:r>
        <w:rPr>
          <w:spacing w:val="40"/>
        </w:rPr>
        <w:t> </w:t>
      </w:r>
      <w:r>
        <w:rPr/>
        <w:t>the</w:t>
      </w:r>
      <w:r>
        <w:rPr>
          <w:spacing w:val="40"/>
        </w:rPr>
        <w:t> </w:t>
      </w:r>
      <w:r>
        <w:rPr/>
        <w:t>length</w:t>
      </w:r>
      <w:r>
        <w:rPr>
          <w:spacing w:val="40"/>
        </w:rPr>
        <w:t> </w:t>
      </w:r>
      <w:r>
        <w:rPr/>
        <w:t>of</w:t>
      </w:r>
      <w:r>
        <w:rPr>
          <w:spacing w:val="40"/>
        </w:rPr>
        <w:t> </w:t>
      </w:r>
      <w:r>
        <w:rPr/>
        <w:t>pathway</w:t>
      </w:r>
      <w:r>
        <w:rPr>
          <w:spacing w:val="40"/>
        </w:rPr>
        <w:t> </w:t>
      </w:r>
      <w:r>
        <w:rPr/>
        <w:t>being</w:t>
      </w:r>
      <w:r>
        <w:rPr>
          <w:spacing w:val="40"/>
        </w:rPr>
        <w:t> </w:t>
      </w:r>
      <w:r>
        <w:rPr/>
        <w:t>determined</w:t>
      </w:r>
      <w:r>
        <w:rPr>
          <w:spacing w:val="40"/>
        </w:rPr>
        <w:t> </w:t>
      </w:r>
      <w:r>
        <w:rPr/>
        <w:t>by</w:t>
      </w:r>
      <w:r>
        <w:rPr>
          <w:spacing w:val="40"/>
        </w:rPr>
        <w:t> </w:t>
      </w:r>
      <w:r>
        <w:rPr/>
        <w:t>the</w:t>
      </w:r>
      <w:r>
        <w:rPr>
          <w:spacing w:val="40"/>
        </w:rPr>
        <w:t> </w:t>
      </w:r>
      <w:r>
        <w:rPr/>
        <w:t>distance from the farthest plot or building to the internal road proposed under Regulation</w:t>
      </w:r>
      <w:r>
        <w:rPr>
          <w:spacing w:val="40"/>
        </w:rPr>
        <w:t> </w:t>
      </w:r>
      <w:r>
        <w:rPr/>
        <w:t>No</w:t>
      </w:r>
      <w:r>
        <w:rPr>
          <w:spacing w:val="40"/>
        </w:rPr>
        <w:t> </w:t>
      </w:r>
      <w:r>
        <w:rPr/>
        <w:t>23</w:t>
      </w:r>
      <w:r>
        <w:rPr>
          <w:spacing w:val="40"/>
        </w:rPr>
        <w:t> </w:t>
      </w:r>
      <w:r>
        <w:rPr/>
        <w:t>or</w:t>
      </w:r>
      <w:r>
        <w:rPr>
          <w:spacing w:val="40"/>
        </w:rPr>
        <w:t> </w:t>
      </w:r>
      <w:r>
        <w:rPr/>
        <w:t>to</w:t>
      </w:r>
      <w:r>
        <w:rPr>
          <w:spacing w:val="40"/>
        </w:rPr>
        <w:t> </w:t>
      </w:r>
      <w:r>
        <w:rPr/>
        <w:t>an</w:t>
      </w:r>
      <w:r>
        <w:rPr>
          <w:spacing w:val="40"/>
        </w:rPr>
        <w:t> </w:t>
      </w:r>
      <w:r>
        <w:rPr/>
        <w:t>existing</w:t>
      </w:r>
      <w:r>
        <w:rPr>
          <w:spacing w:val="40"/>
        </w:rPr>
        <w:t> </w:t>
      </w:r>
      <w:r>
        <w:rPr/>
        <w:t>road</w:t>
      </w:r>
      <w:r>
        <w:rPr>
          <w:spacing w:val="40"/>
        </w:rPr>
        <w:t> </w:t>
      </w:r>
      <w:r>
        <w:rPr/>
        <w:t>from</w:t>
      </w:r>
      <w:r>
        <w:rPr>
          <w:spacing w:val="40"/>
        </w:rPr>
        <w:t> </w:t>
      </w:r>
      <w:r>
        <w:rPr/>
        <w:t>which</w:t>
      </w:r>
      <w:r>
        <w:rPr>
          <w:spacing w:val="40"/>
        </w:rPr>
        <w:t> </w:t>
      </w:r>
      <w:r>
        <w:rPr/>
        <w:t>it</w:t>
      </w:r>
      <w:r>
        <w:rPr>
          <w:spacing w:val="40"/>
        </w:rPr>
        <w:t> </w:t>
      </w:r>
      <w:r>
        <w:rPr/>
        <w:t>takes</w:t>
      </w:r>
      <w:r>
        <w:rPr>
          <w:spacing w:val="40"/>
        </w:rPr>
        <w:t> </w:t>
      </w:r>
      <w:r>
        <w:rPr/>
        <w:t>off.</w:t>
      </w:r>
    </w:p>
    <w:p>
      <w:pPr>
        <w:pStyle w:val="Heading5"/>
        <w:spacing w:before="241"/>
        <w:ind w:left="1493"/>
        <w:jc w:val="both"/>
      </w:pPr>
      <w:r>
        <w:rPr/>
        <w:t>TABLE</w:t>
      </w:r>
      <w:r>
        <w:rPr>
          <w:spacing w:val="41"/>
        </w:rPr>
        <w:t> </w:t>
      </w:r>
      <w:r>
        <w:rPr/>
        <w:t>No</w:t>
      </w:r>
      <w:r>
        <w:rPr>
          <w:spacing w:val="44"/>
        </w:rPr>
        <w:t> </w:t>
      </w:r>
      <w:r>
        <w:rPr>
          <w:spacing w:val="-10"/>
        </w:rPr>
        <w:t>9</w:t>
      </w:r>
    </w:p>
    <w:p>
      <w:pPr>
        <w:pStyle w:val="BodyText"/>
        <w:spacing w:before="257"/>
        <w:jc w:val="left"/>
        <w:rPr>
          <w:b/>
        </w:rPr>
      </w:pPr>
    </w:p>
    <w:p>
      <w:pPr>
        <w:spacing w:before="0" w:after="41"/>
        <w:ind w:left="1548" w:right="1364" w:firstLine="0"/>
        <w:jc w:val="center"/>
        <w:rPr>
          <w:sz w:val="22"/>
        </w:rPr>
      </w:pPr>
      <w:r>
        <w:rPr>
          <w:sz w:val="22"/>
        </w:rPr>
        <w:t>WIDTHS</w:t>
      </w:r>
      <w:r>
        <w:rPr>
          <w:spacing w:val="-5"/>
          <w:sz w:val="22"/>
        </w:rPr>
        <w:t> </w:t>
      </w:r>
      <w:r>
        <w:rPr>
          <w:sz w:val="22"/>
        </w:rPr>
        <w:t>OF</w:t>
      </w:r>
      <w:r>
        <w:rPr>
          <w:spacing w:val="-4"/>
          <w:sz w:val="22"/>
        </w:rPr>
        <w:t> </w:t>
      </w:r>
      <w:r>
        <w:rPr>
          <w:spacing w:val="-2"/>
          <w:sz w:val="22"/>
        </w:rPr>
        <w:t>PATHWAYS</w:t>
      </w:r>
    </w:p>
    <w:tbl>
      <w:tblPr>
        <w:tblW w:w="0" w:type="auto"/>
        <w:jc w:val="left"/>
        <w:tblInd w:w="1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829"/>
        <w:gridCol w:w="2552"/>
        <w:gridCol w:w="1844"/>
      </w:tblGrid>
      <w:tr>
        <w:trPr>
          <w:trHeight w:val="1194" w:hRule="atLeast"/>
        </w:trPr>
        <w:tc>
          <w:tcPr>
            <w:tcW w:w="3829" w:type="dxa"/>
            <w:shd w:val="clear" w:color="auto" w:fill="E7E6E6"/>
          </w:tcPr>
          <w:p>
            <w:pPr>
              <w:pStyle w:val="TableParagraph"/>
              <w:spacing w:line="278" w:lineRule="auto" w:before="37"/>
              <w:ind w:left="1905" w:right="399" w:hanging="1040"/>
              <w:rPr>
                <w:sz w:val="22"/>
              </w:rPr>
            </w:pPr>
            <w:r>
              <w:rPr>
                <w:sz w:val="22"/>
              </w:rPr>
              <w:t>Types</w:t>
            </w:r>
            <w:r>
              <w:rPr>
                <w:spacing w:val="-18"/>
                <w:sz w:val="22"/>
              </w:rPr>
              <w:t> </w:t>
            </w:r>
            <w:r>
              <w:rPr>
                <w:sz w:val="22"/>
              </w:rPr>
              <w:t>of</w:t>
            </w:r>
            <w:r>
              <w:rPr>
                <w:spacing w:val="-18"/>
                <w:sz w:val="22"/>
              </w:rPr>
              <w:t> </w:t>
            </w:r>
            <w:r>
              <w:rPr>
                <w:sz w:val="22"/>
              </w:rPr>
              <w:t>Development </w:t>
            </w:r>
            <w:r>
              <w:rPr>
                <w:spacing w:val="-4"/>
                <w:sz w:val="22"/>
              </w:rPr>
              <w:t>(1)</w:t>
            </w:r>
          </w:p>
        </w:tc>
        <w:tc>
          <w:tcPr>
            <w:tcW w:w="2552" w:type="dxa"/>
            <w:shd w:val="clear" w:color="auto" w:fill="E7E6E6"/>
          </w:tcPr>
          <w:p>
            <w:pPr>
              <w:pStyle w:val="TableParagraph"/>
              <w:spacing w:line="278" w:lineRule="auto" w:before="37"/>
              <w:ind w:left="341" w:right="74"/>
              <w:jc w:val="center"/>
              <w:rPr>
                <w:sz w:val="22"/>
              </w:rPr>
            </w:pPr>
            <w:r>
              <w:rPr>
                <w:sz w:val="22"/>
              </w:rPr>
              <w:t>Length</w:t>
            </w:r>
            <w:r>
              <w:rPr>
                <w:spacing w:val="-18"/>
                <w:sz w:val="22"/>
              </w:rPr>
              <w:t> </w:t>
            </w:r>
            <w:r>
              <w:rPr>
                <w:sz w:val="22"/>
              </w:rPr>
              <w:t>of</w:t>
            </w:r>
            <w:r>
              <w:rPr>
                <w:spacing w:val="-17"/>
                <w:sz w:val="22"/>
              </w:rPr>
              <w:t> </w:t>
            </w:r>
            <w:r>
              <w:rPr>
                <w:sz w:val="22"/>
              </w:rPr>
              <w:t>Pathway in meters (m)</w:t>
            </w:r>
          </w:p>
          <w:p>
            <w:pPr>
              <w:pStyle w:val="TableParagraph"/>
              <w:spacing w:before="1"/>
              <w:ind w:left="341" w:right="80"/>
              <w:jc w:val="center"/>
              <w:rPr>
                <w:sz w:val="22"/>
              </w:rPr>
            </w:pPr>
            <w:r>
              <w:rPr>
                <w:spacing w:val="-5"/>
                <w:sz w:val="22"/>
              </w:rPr>
              <w:t>(2)</w:t>
            </w:r>
          </w:p>
        </w:tc>
        <w:tc>
          <w:tcPr>
            <w:tcW w:w="1844" w:type="dxa"/>
            <w:shd w:val="clear" w:color="auto" w:fill="E7E6E6"/>
          </w:tcPr>
          <w:p>
            <w:pPr>
              <w:pStyle w:val="TableParagraph"/>
              <w:spacing w:line="278" w:lineRule="auto" w:before="37"/>
              <w:ind w:left="541" w:right="271" w:firstLine="187"/>
              <w:rPr>
                <w:sz w:val="22"/>
              </w:rPr>
            </w:pPr>
            <w:r>
              <w:rPr>
                <w:spacing w:val="-2"/>
                <w:sz w:val="22"/>
              </w:rPr>
              <w:t>Width </w:t>
            </w:r>
            <w:r>
              <w:rPr>
                <w:sz w:val="22"/>
              </w:rPr>
              <w:t>in</w:t>
            </w:r>
            <w:r>
              <w:rPr>
                <w:spacing w:val="-18"/>
                <w:sz w:val="22"/>
              </w:rPr>
              <w:t> </w:t>
            </w:r>
            <w:r>
              <w:rPr>
                <w:sz w:val="22"/>
              </w:rPr>
              <w:t>meters</w:t>
            </w:r>
          </w:p>
          <w:p>
            <w:pPr>
              <w:pStyle w:val="TableParagraph"/>
              <w:spacing w:line="218" w:lineRule="exact"/>
              <w:ind w:right="731"/>
              <w:jc w:val="right"/>
              <w:rPr>
                <w:sz w:val="22"/>
              </w:rPr>
            </w:pPr>
            <w:r>
              <w:rPr>
                <w:spacing w:val="-5"/>
                <w:sz w:val="22"/>
              </w:rPr>
              <w:t>(m)</w:t>
            </w:r>
          </w:p>
          <w:p>
            <w:pPr>
              <w:pStyle w:val="TableParagraph"/>
              <w:spacing w:before="39"/>
              <w:ind w:right="640"/>
              <w:jc w:val="right"/>
              <w:rPr>
                <w:sz w:val="22"/>
              </w:rPr>
            </w:pPr>
            <w:r>
              <w:rPr>
                <w:spacing w:val="-5"/>
                <w:sz w:val="22"/>
              </w:rPr>
              <w:t>(3)</w:t>
            </w:r>
          </w:p>
        </w:tc>
      </w:tr>
      <w:tr>
        <w:trPr>
          <w:trHeight w:val="1230" w:hRule="atLeast"/>
        </w:trPr>
        <w:tc>
          <w:tcPr>
            <w:tcW w:w="3829" w:type="dxa"/>
          </w:tcPr>
          <w:p>
            <w:pPr>
              <w:pStyle w:val="TableParagraph"/>
              <w:spacing w:before="78"/>
              <w:rPr>
                <w:sz w:val="22"/>
              </w:rPr>
            </w:pPr>
          </w:p>
          <w:p>
            <w:pPr>
              <w:pStyle w:val="TableParagraph"/>
              <w:spacing w:before="1"/>
              <w:ind w:left="264"/>
              <w:jc w:val="center"/>
              <w:rPr>
                <w:sz w:val="22"/>
              </w:rPr>
            </w:pPr>
            <w:r>
              <w:rPr>
                <w:sz w:val="22"/>
              </w:rPr>
              <w:t>(i)Residential</w:t>
            </w:r>
            <w:r>
              <w:rPr>
                <w:spacing w:val="-11"/>
                <w:sz w:val="22"/>
              </w:rPr>
              <w:t> </w:t>
            </w:r>
            <w:r>
              <w:rPr>
                <w:spacing w:val="-2"/>
                <w:sz w:val="22"/>
              </w:rPr>
              <w:t>building</w:t>
            </w:r>
          </w:p>
        </w:tc>
        <w:tc>
          <w:tcPr>
            <w:tcW w:w="2552" w:type="dxa"/>
          </w:tcPr>
          <w:p>
            <w:pPr>
              <w:pStyle w:val="TableParagraph"/>
              <w:spacing w:before="37"/>
              <w:ind w:left="969"/>
              <w:rPr>
                <w:sz w:val="22"/>
              </w:rPr>
            </w:pPr>
            <w:r>
              <w:rPr>
                <w:sz w:val="22"/>
              </w:rPr>
              <w:t>Upto</w:t>
            </w:r>
            <w:r>
              <w:rPr>
                <w:spacing w:val="-2"/>
                <w:sz w:val="22"/>
              </w:rPr>
              <w:t> </w:t>
            </w:r>
            <w:r>
              <w:rPr>
                <w:spacing w:val="-5"/>
                <w:sz w:val="22"/>
              </w:rPr>
              <w:t>50</w:t>
            </w:r>
          </w:p>
          <w:p>
            <w:pPr>
              <w:pStyle w:val="TableParagraph"/>
              <w:spacing w:before="42"/>
              <w:ind w:left="969"/>
              <w:rPr>
                <w:sz w:val="22"/>
              </w:rPr>
            </w:pPr>
            <w:r>
              <w:rPr>
                <w:sz w:val="22"/>
              </w:rPr>
              <w:t>Upto</w:t>
            </w:r>
            <w:r>
              <w:rPr>
                <w:spacing w:val="-2"/>
                <w:sz w:val="22"/>
              </w:rPr>
              <w:t> </w:t>
            </w:r>
            <w:r>
              <w:rPr>
                <w:spacing w:val="-5"/>
                <w:sz w:val="22"/>
              </w:rPr>
              <w:t>40</w:t>
            </w:r>
          </w:p>
          <w:p>
            <w:pPr>
              <w:pStyle w:val="TableParagraph"/>
              <w:spacing w:before="39"/>
              <w:ind w:left="969"/>
              <w:rPr>
                <w:sz w:val="22"/>
              </w:rPr>
            </w:pPr>
            <w:r>
              <w:rPr>
                <w:sz w:val="22"/>
              </w:rPr>
              <w:t>Upto</w:t>
            </w:r>
            <w:r>
              <w:rPr>
                <w:spacing w:val="-2"/>
                <w:sz w:val="22"/>
              </w:rPr>
              <w:t> </w:t>
            </w:r>
            <w:r>
              <w:rPr>
                <w:spacing w:val="-5"/>
                <w:sz w:val="22"/>
              </w:rPr>
              <w:t>30</w:t>
            </w:r>
          </w:p>
          <w:p>
            <w:pPr>
              <w:pStyle w:val="TableParagraph"/>
              <w:spacing w:before="40"/>
              <w:ind w:left="969"/>
              <w:rPr>
                <w:sz w:val="22"/>
              </w:rPr>
            </w:pPr>
            <w:r>
              <w:rPr>
                <w:sz w:val="22"/>
              </w:rPr>
              <w:t>Upto</w:t>
            </w:r>
            <w:r>
              <w:rPr>
                <w:spacing w:val="-2"/>
                <w:sz w:val="22"/>
              </w:rPr>
              <w:t> </w:t>
            </w:r>
            <w:r>
              <w:rPr>
                <w:spacing w:val="-5"/>
                <w:sz w:val="22"/>
              </w:rPr>
              <w:t>20</w:t>
            </w:r>
          </w:p>
        </w:tc>
        <w:tc>
          <w:tcPr>
            <w:tcW w:w="1844" w:type="dxa"/>
          </w:tcPr>
          <w:p>
            <w:pPr>
              <w:pStyle w:val="TableParagraph"/>
              <w:spacing w:before="37"/>
              <w:ind w:left="265"/>
              <w:jc w:val="center"/>
              <w:rPr>
                <w:sz w:val="22"/>
              </w:rPr>
            </w:pPr>
            <w:r>
              <w:rPr>
                <w:spacing w:val="-5"/>
                <w:sz w:val="22"/>
              </w:rPr>
              <w:t>3.0</w:t>
            </w:r>
          </w:p>
          <w:p>
            <w:pPr>
              <w:pStyle w:val="TableParagraph"/>
              <w:spacing w:before="42"/>
              <w:ind w:left="265"/>
              <w:jc w:val="center"/>
              <w:rPr>
                <w:sz w:val="22"/>
              </w:rPr>
            </w:pPr>
            <w:r>
              <w:rPr>
                <w:spacing w:val="-5"/>
                <w:sz w:val="22"/>
              </w:rPr>
              <w:t>2.5</w:t>
            </w:r>
          </w:p>
          <w:p>
            <w:pPr>
              <w:pStyle w:val="TableParagraph"/>
              <w:spacing w:before="39"/>
              <w:ind w:left="265"/>
              <w:jc w:val="center"/>
              <w:rPr>
                <w:sz w:val="22"/>
              </w:rPr>
            </w:pPr>
            <w:r>
              <w:rPr>
                <w:spacing w:val="-5"/>
                <w:sz w:val="22"/>
              </w:rPr>
              <w:t>2.0</w:t>
            </w:r>
          </w:p>
          <w:p>
            <w:pPr>
              <w:pStyle w:val="TableParagraph"/>
              <w:spacing w:before="40"/>
              <w:ind w:left="265"/>
              <w:jc w:val="center"/>
              <w:rPr>
                <w:sz w:val="22"/>
              </w:rPr>
            </w:pPr>
            <w:r>
              <w:rPr>
                <w:spacing w:val="-5"/>
                <w:sz w:val="22"/>
              </w:rPr>
              <w:t>1.5</w:t>
            </w:r>
          </w:p>
        </w:tc>
      </w:tr>
      <w:tr>
        <w:trPr>
          <w:trHeight w:val="1194" w:hRule="atLeast"/>
        </w:trPr>
        <w:tc>
          <w:tcPr>
            <w:tcW w:w="3829" w:type="dxa"/>
          </w:tcPr>
          <w:p>
            <w:pPr>
              <w:pStyle w:val="TableParagraph"/>
              <w:spacing w:before="39"/>
              <w:ind w:left="534"/>
              <w:rPr>
                <w:sz w:val="22"/>
              </w:rPr>
            </w:pPr>
            <w:r>
              <w:rPr>
                <w:sz w:val="22"/>
              </w:rPr>
              <w:t>(ii)</w:t>
            </w:r>
            <w:r>
              <w:rPr>
                <w:spacing w:val="59"/>
                <w:sz w:val="22"/>
              </w:rPr>
              <w:t> </w:t>
            </w:r>
            <w:r>
              <w:rPr>
                <w:sz w:val="22"/>
              </w:rPr>
              <w:t>Non-residential</w:t>
            </w:r>
            <w:r>
              <w:rPr>
                <w:spacing w:val="-5"/>
                <w:sz w:val="22"/>
              </w:rPr>
              <w:t> </w:t>
            </w:r>
            <w:r>
              <w:rPr>
                <w:spacing w:val="-2"/>
                <w:sz w:val="22"/>
              </w:rPr>
              <w:t>building</w:t>
            </w:r>
          </w:p>
        </w:tc>
        <w:tc>
          <w:tcPr>
            <w:tcW w:w="2552" w:type="dxa"/>
          </w:tcPr>
          <w:p>
            <w:pPr>
              <w:pStyle w:val="TableParagraph"/>
              <w:spacing w:line="278" w:lineRule="auto" w:before="39"/>
              <w:ind w:left="601" w:right="189" w:firstLine="367"/>
              <w:rPr>
                <w:sz w:val="22"/>
              </w:rPr>
            </w:pPr>
            <w:r>
              <w:rPr>
                <w:sz w:val="22"/>
              </w:rPr>
              <w:t>Upto 20 more</w:t>
            </w:r>
            <w:r>
              <w:rPr>
                <w:spacing w:val="-18"/>
                <w:sz w:val="22"/>
              </w:rPr>
              <w:t> </w:t>
            </w:r>
            <w:r>
              <w:rPr>
                <w:sz w:val="22"/>
              </w:rPr>
              <w:t>than</w:t>
            </w:r>
            <w:r>
              <w:rPr>
                <w:spacing w:val="-18"/>
                <w:sz w:val="22"/>
              </w:rPr>
              <w:t> </w:t>
            </w:r>
            <w:r>
              <w:rPr>
                <w:sz w:val="22"/>
              </w:rPr>
              <w:t>and</w:t>
            </w:r>
          </w:p>
          <w:p>
            <w:pPr>
              <w:pStyle w:val="TableParagraph"/>
              <w:spacing w:line="216" w:lineRule="exact"/>
              <w:ind w:left="856"/>
              <w:rPr>
                <w:sz w:val="22"/>
              </w:rPr>
            </w:pPr>
            <w:r>
              <w:rPr>
                <w:sz w:val="22"/>
              </w:rPr>
              <w:t>upto</w:t>
            </w:r>
            <w:r>
              <w:rPr>
                <w:spacing w:val="-2"/>
                <w:sz w:val="22"/>
              </w:rPr>
              <w:t> </w:t>
            </w:r>
            <w:r>
              <w:rPr>
                <w:spacing w:val="-5"/>
                <w:sz w:val="22"/>
              </w:rPr>
              <w:t>50</w:t>
            </w:r>
          </w:p>
        </w:tc>
        <w:tc>
          <w:tcPr>
            <w:tcW w:w="1844" w:type="dxa"/>
          </w:tcPr>
          <w:p>
            <w:pPr>
              <w:pStyle w:val="TableParagraph"/>
              <w:spacing w:before="39"/>
              <w:ind w:left="265"/>
              <w:jc w:val="center"/>
              <w:rPr>
                <w:sz w:val="22"/>
              </w:rPr>
            </w:pPr>
            <w:r>
              <w:rPr>
                <w:spacing w:val="-5"/>
                <w:sz w:val="22"/>
              </w:rPr>
              <w:t>1.5</w:t>
            </w:r>
          </w:p>
          <w:p>
            <w:pPr>
              <w:pStyle w:val="TableParagraph"/>
              <w:spacing w:before="42"/>
              <w:ind w:left="265"/>
              <w:jc w:val="center"/>
              <w:rPr>
                <w:sz w:val="22"/>
              </w:rPr>
            </w:pPr>
            <w:r>
              <w:rPr>
                <w:spacing w:val="-5"/>
                <w:sz w:val="22"/>
              </w:rPr>
              <w:t>3.0</w:t>
            </w:r>
          </w:p>
        </w:tc>
      </w:tr>
    </w:tbl>
    <w:p>
      <w:pPr>
        <w:pStyle w:val="BodyText"/>
        <w:jc w:val="left"/>
        <w:rPr>
          <w:sz w:val="22"/>
        </w:rPr>
      </w:pPr>
    </w:p>
    <w:p>
      <w:pPr>
        <w:pStyle w:val="BodyText"/>
        <w:spacing w:before="1"/>
        <w:jc w:val="left"/>
        <w:rPr>
          <w:sz w:val="22"/>
        </w:rPr>
      </w:pPr>
    </w:p>
    <w:p>
      <w:pPr>
        <w:pStyle w:val="Heading3"/>
        <w:numPr>
          <w:ilvl w:val="0"/>
          <w:numId w:val="97"/>
        </w:numPr>
        <w:tabs>
          <w:tab w:pos="1493" w:val="left" w:leader="none"/>
        </w:tabs>
        <w:spacing w:line="240" w:lineRule="auto" w:before="0" w:after="0"/>
        <w:ind w:left="1493" w:right="0" w:hanging="721"/>
        <w:jc w:val="left"/>
      </w:pPr>
      <w:r>
        <w:rPr/>
        <w:t>Means</w:t>
      </w:r>
      <w:r>
        <w:rPr>
          <w:spacing w:val="-6"/>
        </w:rPr>
        <w:t> </w:t>
      </w:r>
      <w:r>
        <w:rPr/>
        <w:t>of</w:t>
      </w:r>
      <w:r>
        <w:rPr>
          <w:spacing w:val="-3"/>
        </w:rPr>
        <w:t> </w:t>
      </w:r>
      <w:r>
        <w:rPr/>
        <w:t>Access</w:t>
      </w:r>
      <w:r>
        <w:rPr>
          <w:spacing w:val="-5"/>
        </w:rPr>
        <w:t> </w:t>
      </w:r>
      <w:r>
        <w:rPr/>
        <w:t>to</w:t>
      </w:r>
      <w:r>
        <w:rPr>
          <w:spacing w:val="-4"/>
        </w:rPr>
        <w:t> </w:t>
      </w:r>
      <w:r>
        <w:rPr/>
        <w:t>be</w:t>
      </w:r>
      <w:r>
        <w:rPr>
          <w:spacing w:val="-4"/>
        </w:rPr>
        <w:t> </w:t>
      </w:r>
      <w:r>
        <w:rPr/>
        <w:t>Constructed</w:t>
      </w:r>
      <w:r>
        <w:rPr>
          <w:spacing w:val="-5"/>
        </w:rPr>
        <w:t> </w:t>
      </w:r>
      <w:r>
        <w:rPr/>
        <w:t>&amp;</w:t>
      </w:r>
      <w:r>
        <w:rPr>
          <w:spacing w:val="-4"/>
        </w:rPr>
        <w:t> </w:t>
      </w:r>
      <w:r>
        <w:rPr>
          <w:spacing w:val="-2"/>
        </w:rPr>
        <w:t>Maintained</w:t>
      </w:r>
    </w:p>
    <w:p>
      <w:pPr>
        <w:pStyle w:val="ListParagraph"/>
        <w:numPr>
          <w:ilvl w:val="0"/>
          <w:numId w:val="102"/>
        </w:numPr>
        <w:tabs>
          <w:tab w:pos="1851" w:val="left" w:leader="none"/>
          <w:tab w:pos="1853" w:val="left" w:leader="none"/>
        </w:tabs>
        <w:spacing w:line="240" w:lineRule="auto" w:before="242" w:after="0"/>
        <w:ind w:left="1853" w:right="774" w:hanging="360"/>
        <w:jc w:val="both"/>
        <w:rPr>
          <w:sz w:val="24"/>
        </w:rPr>
      </w:pPr>
      <w:r>
        <w:rPr>
          <w:b/>
          <w:i/>
          <w:sz w:val="24"/>
        </w:rPr>
        <w:t>General</w:t>
      </w:r>
      <w:r>
        <w:rPr>
          <w:sz w:val="24"/>
        </w:rPr>
        <w:t>: Means of access shall be leveled, metalled, tarred, flagged, paved, sewered, drained, channeled, provided with lights and water supply line and with trees for shade to the satisfaction of the Commissioner.</w:t>
      </w:r>
      <w:r>
        <w:rPr>
          <w:spacing w:val="80"/>
          <w:w w:val="150"/>
          <w:sz w:val="24"/>
        </w:rPr>
        <w:t> </w:t>
      </w:r>
      <w:r>
        <w:rPr>
          <w:sz w:val="24"/>
        </w:rPr>
        <w:t>They</w:t>
      </w:r>
      <w:r>
        <w:rPr>
          <w:spacing w:val="39"/>
          <w:sz w:val="24"/>
        </w:rPr>
        <w:t> </w:t>
      </w:r>
      <w:r>
        <w:rPr>
          <w:sz w:val="24"/>
        </w:rPr>
        <w:t>shall</w:t>
      </w:r>
      <w:r>
        <w:rPr>
          <w:spacing w:val="40"/>
          <w:sz w:val="24"/>
        </w:rPr>
        <w:t> </w:t>
      </w:r>
      <w:r>
        <w:rPr>
          <w:sz w:val="24"/>
        </w:rPr>
        <w:t>be</w:t>
      </w:r>
      <w:r>
        <w:rPr>
          <w:spacing w:val="40"/>
          <w:sz w:val="24"/>
        </w:rPr>
        <w:t> </w:t>
      </w:r>
      <w:r>
        <w:rPr>
          <w:sz w:val="24"/>
        </w:rPr>
        <w:t>free</w:t>
      </w:r>
      <w:r>
        <w:rPr>
          <w:spacing w:val="40"/>
          <w:sz w:val="24"/>
        </w:rPr>
        <w:t> </w:t>
      </w:r>
      <w:r>
        <w:rPr>
          <w:sz w:val="24"/>
        </w:rPr>
        <w:t>of</w:t>
      </w:r>
      <w:r>
        <w:rPr>
          <w:spacing w:val="39"/>
          <w:sz w:val="24"/>
        </w:rPr>
        <w:t> </w:t>
      </w:r>
      <w:r>
        <w:rPr>
          <w:sz w:val="24"/>
        </w:rPr>
        <w:t>encroachment</w:t>
      </w:r>
      <w:r>
        <w:rPr>
          <w:spacing w:val="39"/>
          <w:sz w:val="24"/>
        </w:rPr>
        <w:t> </w:t>
      </w:r>
      <w:r>
        <w:rPr>
          <w:sz w:val="24"/>
        </w:rPr>
        <w:t>by</w:t>
      </w:r>
      <w:r>
        <w:rPr>
          <w:spacing w:val="39"/>
          <w:sz w:val="24"/>
        </w:rPr>
        <w:t> </w:t>
      </w:r>
      <w:r>
        <w:rPr>
          <w:sz w:val="24"/>
        </w:rPr>
        <w:t>any</w:t>
      </w:r>
      <w:r>
        <w:rPr>
          <w:spacing w:val="9"/>
          <w:sz w:val="24"/>
        </w:rPr>
        <w:t> structure </w:t>
      </w:r>
      <w:r>
        <w:rPr>
          <w:sz w:val="24"/>
        </w:rPr>
        <w:t>or</w:t>
      </w:r>
      <w:r>
        <w:rPr>
          <w:spacing w:val="40"/>
          <w:sz w:val="24"/>
        </w:rPr>
        <w:t> </w:t>
      </w:r>
      <w:r>
        <w:rPr>
          <w:sz w:val="24"/>
        </w:rPr>
        <w:t>fixture</w:t>
      </w:r>
      <w:r>
        <w:rPr>
          <w:spacing w:val="40"/>
          <w:sz w:val="24"/>
        </w:rPr>
        <w:t> </w:t>
      </w:r>
      <w:r>
        <w:rPr>
          <w:sz w:val="24"/>
        </w:rPr>
        <w:t>that</w:t>
      </w:r>
      <w:r>
        <w:rPr>
          <w:spacing w:val="40"/>
          <w:sz w:val="24"/>
        </w:rPr>
        <w:t> </w:t>
      </w:r>
      <w:r>
        <w:rPr>
          <w:sz w:val="24"/>
        </w:rPr>
        <w:t>may</w:t>
      </w:r>
      <w:r>
        <w:rPr>
          <w:spacing w:val="40"/>
          <w:sz w:val="24"/>
        </w:rPr>
        <w:t> </w:t>
      </w:r>
      <w:r>
        <w:rPr>
          <w:sz w:val="24"/>
        </w:rPr>
        <w:t>reduce</w:t>
      </w:r>
      <w:r>
        <w:rPr>
          <w:spacing w:val="40"/>
          <w:sz w:val="24"/>
        </w:rPr>
        <w:t> </w:t>
      </w:r>
      <w:r>
        <w:rPr>
          <w:sz w:val="24"/>
        </w:rPr>
        <w:t>their</w:t>
      </w:r>
      <w:r>
        <w:rPr>
          <w:spacing w:val="40"/>
          <w:sz w:val="24"/>
        </w:rPr>
        <w:t> </w:t>
      </w:r>
      <w:r>
        <w:rPr>
          <w:sz w:val="24"/>
        </w:rPr>
        <w:t>width</w:t>
      </w:r>
      <w:r>
        <w:rPr>
          <w:spacing w:val="40"/>
          <w:sz w:val="24"/>
        </w:rPr>
        <w:t> </w:t>
      </w:r>
      <w:r>
        <w:rPr>
          <w:sz w:val="24"/>
        </w:rPr>
        <w:t>below</w:t>
      </w:r>
      <w:r>
        <w:rPr>
          <w:spacing w:val="40"/>
          <w:sz w:val="24"/>
        </w:rPr>
        <w:t> </w:t>
      </w:r>
      <w:r>
        <w:rPr>
          <w:sz w:val="24"/>
        </w:rPr>
        <w:t>the</w:t>
      </w:r>
      <w:r>
        <w:rPr>
          <w:spacing w:val="40"/>
          <w:sz w:val="24"/>
        </w:rPr>
        <w:t> </w:t>
      </w:r>
      <w:r>
        <w:rPr>
          <w:sz w:val="24"/>
        </w:rPr>
        <w:t>minimum</w:t>
      </w:r>
      <w:r>
        <w:rPr>
          <w:spacing w:val="40"/>
          <w:sz w:val="24"/>
        </w:rPr>
        <w:t> </w:t>
      </w:r>
      <w:r>
        <w:rPr>
          <w:sz w:val="24"/>
        </w:rPr>
        <w:t>required by</w:t>
      </w:r>
      <w:r>
        <w:rPr>
          <w:spacing w:val="80"/>
          <w:sz w:val="24"/>
        </w:rPr>
        <w:t> </w:t>
      </w:r>
      <w:r>
        <w:rPr>
          <w:sz w:val="24"/>
        </w:rPr>
        <w:t>Regulation</w:t>
      </w:r>
      <w:r>
        <w:rPr>
          <w:spacing w:val="80"/>
          <w:sz w:val="24"/>
        </w:rPr>
        <w:t> </w:t>
      </w:r>
      <w:r>
        <w:rPr>
          <w:sz w:val="24"/>
        </w:rPr>
        <w:t>No</w:t>
      </w:r>
      <w:r>
        <w:rPr>
          <w:spacing w:val="80"/>
          <w:sz w:val="24"/>
        </w:rPr>
        <w:t> </w:t>
      </w:r>
      <w:r>
        <w:rPr>
          <w:sz w:val="24"/>
        </w:rPr>
        <w:t>23</w:t>
      </w:r>
      <w:r>
        <w:rPr>
          <w:spacing w:val="80"/>
          <w:sz w:val="24"/>
        </w:rPr>
        <w:t> </w:t>
      </w:r>
      <w:r>
        <w:rPr>
          <w:sz w:val="24"/>
        </w:rPr>
        <w:t>and</w:t>
      </w:r>
      <w:r>
        <w:rPr>
          <w:spacing w:val="80"/>
          <w:sz w:val="24"/>
        </w:rPr>
        <w:t> </w:t>
      </w:r>
      <w:r>
        <w:rPr>
          <w:sz w:val="24"/>
        </w:rPr>
        <w:t>shall</w:t>
      </w:r>
      <w:r>
        <w:rPr>
          <w:spacing w:val="80"/>
          <w:sz w:val="24"/>
        </w:rPr>
        <w:t> </w:t>
      </w:r>
      <w:r>
        <w:rPr>
          <w:sz w:val="24"/>
        </w:rPr>
        <w:t>be</w:t>
      </w:r>
      <w:r>
        <w:rPr>
          <w:spacing w:val="80"/>
          <w:sz w:val="24"/>
        </w:rPr>
        <w:t> </w:t>
      </w:r>
      <w:r>
        <w:rPr>
          <w:sz w:val="24"/>
        </w:rPr>
        <w:t>maintained</w:t>
      </w:r>
      <w:r>
        <w:rPr>
          <w:spacing w:val="80"/>
          <w:sz w:val="24"/>
        </w:rPr>
        <w:t> </w:t>
      </w:r>
      <w:r>
        <w:rPr>
          <w:sz w:val="24"/>
        </w:rPr>
        <w:t>in</w:t>
      </w:r>
      <w:r>
        <w:rPr>
          <w:spacing w:val="80"/>
          <w:sz w:val="24"/>
        </w:rPr>
        <w:t> </w:t>
      </w:r>
      <w:r>
        <w:rPr>
          <w:sz w:val="24"/>
        </w:rPr>
        <w:t>condition considered</w:t>
      </w:r>
      <w:r>
        <w:rPr>
          <w:spacing w:val="40"/>
          <w:sz w:val="24"/>
        </w:rPr>
        <w:t> </w:t>
      </w:r>
      <w:r>
        <w:rPr>
          <w:sz w:val="24"/>
        </w:rPr>
        <w:t>satisfactory</w:t>
      </w:r>
      <w:r>
        <w:rPr>
          <w:spacing w:val="40"/>
          <w:sz w:val="24"/>
        </w:rPr>
        <w:t> </w:t>
      </w:r>
      <w:r>
        <w:rPr>
          <w:sz w:val="24"/>
        </w:rPr>
        <w:t>by</w:t>
      </w:r>
      <w:r>
        <w:rPr>
          <w:spacing w:val="40"/>
          <w:sz w:val="24"/>
        </w:rPr>
        <w:t> </w:t>
      </w:r>
      <w:r>
        <w:rPr>
          <w:sz w:val="24"/>
        </w:rPr>
        <w:t>the</w:t>
      </w:r>
      <w:r>
        <w:rPr>
          <w:spacing w:val="40"/>
          <w:sz w:val="24"/>
        </w:rPr>
        <w:t> </w:t>
      </w:r>
      <w:r>
        <w:rPr>
          <w:spacing w:val="9"/>
          <w:sz w:val="24"/>
        </w:rPr>
        <w:t>Commissioner.</w:t>
      </w:r>
    </w:p>
    <w:p>
      <w:pPr>
        <w:pStyle w:val="ListParagraph"/>
        <w:numPr>
          <w:ilvl w:val="0"/>
          <w:numId w:val="102"/>
        </w:numPr>
        <w:tabs>
          <w:tab w:pos="1851" w:val="left" w:leader="none"/>
          <w:tab w:pos="1853" w:val="left" w:leader="none"/>
        </w:tabs>
        <w:spacing w:line="240" w:lineRule="auto" w:before="241" w:after="0"/>
        <w:ind w:left="1853" w:right="780" w:hanging="360"/>
        <w:jc w:val="both"/>
        <w:rPr>
          <w:sz w:val="24"/>
        </w:rPr>
      </w:pPr>
      <w:r>
        <w:rPr>
          <w:b/>
          <w:i/>
          <w:sz w:val="24"/>
        </w:rPr>
        <w:t>Private Street</w:t>
      </w:r>
      <w:r>
        <w:rPr>
          <w:b/>
          <w:sz w:val="24"/>
        </w:rPr>
        <w:t>: </w:t>
      </w:r>
      <w:r>
        <w:rPr>
          <w:sz w:val="24"/>
        </w:rPr>
        <w:t>If any private street or other means of access is not constructed</w:t>
      </w:r>
      <w:r>
        <w:rPr>
          <w:spacing w:val="40"/>
          <w:sz w:val="24"/>
        </w:rPr>
        <w:t> </w:t>
      </w:r>
      <w:r>
        <w:rPr>
          <w:sz w:val="24"/>
        </w:rPr>
        <w:t>or</w:t>
      </w:r>
      <w:r>
        <w:rPr>
          <w:spacing w:val="80"/>
          <w:sz w:val="24"/>
        </w:rPr>
        <w:t> </w:t>
      </w:r>
      <w:r>
        <w:rPr>
          <w:sz w:val="24"/>
        </w:rPr>
        <w:t>maintained</w:t>
      </w:r>
      <w:r>
        <w:rPr>
          <w:spacing w:val="40"/>
          <w:sz w:val="24"/>
        </w:rPr>
        <w:t> </w:t>
      </w:r>
      <w:r>
        <w:rPr>
          <w:sz w:val="24"/>
        </w:rPr>
        <w:t>as</w:t>
      </w:r>
      <w:r>
        <w:rPr>
          <w:spacing w:val="40"/>
          <w:sz w:val="24"/>
        </w:rPr>
        <w:t> </w:t>
      </w:r>
      <w:r>
        <w:rPr>
          <w:sz w:val="24"/>
        </w:rPr>
        <w:t>specified</w:t>
      </w:r>
      <w:r>
        <w:rPr>
          <w:spacing w:val="40"/>
          <w:sz w:val="24"/>
        </w:rPr>
        <w:t> </w:t>
      </w:r>
      <w:r>
        <w:rPr>
          <w:sz w:val="24"/>
        </w:rPr>
        <w:t>in</w:t>
      </w:r>
      <w:r>
        <w:rPr>
          <w:spacing w:val="40"/>
          <w:sz w:val="24"/>
        </w:rPr>
        <w:t> </w:t>
      </w:r>
      <w:r>
        <w:rPr>
          <w:spacing w:val="10"/>
          <w:sz w:val="24"/>
        </w:rPr>
        <w:t>sub-</w:t>
      </w:r>
      <w:r>
        <w:rPr>
          <w:sz w:val="24"/>
        </w:rPr>
        <w:t>regulation</w:t>
      </w:r>
      <w:r>
        <w:rPr>
          <w:spacing w:val="40"/>
          <w:sz w:val="24"/>
        </w:rPr>
        <w:t> </w:t>
      </w:r>
      <w:r>
        <w:rPr>
          <w:sz w:val="24"/>
        </w:rPr>
        <w:t>(1)</w:t>
      </w:r>
      <w:r>
        <w:rPr>
          <w:spacing w:val="40"/>
          <w:sz w:val="24"/>
        </w:rPr>
        <w:t> </w:t>
      </w:r>
      <w:r>
        <w:rPr>
          <w:sz w:val="24"/>
        </w:rPr>
        <w:t>above,</w:t>
      </w:r>
      <w:r>
        <w:rPr>
          <w:spacing w:val="40"/>
          <w:sz w:val="24"/>
        </w:rPr>
        <w:t> </w:t>
      </w:r>
      <w:r>
        <w:rPr>
          <w:sz w:val="24"/>
        </w:rPr>
        <w:t>or</w:t>
      </w:r>
      <w:r>
        <w:rPr>
          <w:spacing w:val="80"/>
          <w:sz w:val="24"/>
        </w:rPr>
        <w:t> </w:t>
      </w:r>
      <w:r>
        <w:rPr>
          <w:sz w:val="24"/>
        </w:rPr>
        <w:t>if</w:t>
      </w:r>
      <w:r>
        <w:rPr>
          <w:spacing w:val="80"/>
          <w:sz w:val="24"/>
        </w:rPr>
        <w:t> </w:t>
      </w:r>
      <w:r>
        <w:rPr>
          <w:sz w:val="24"/>
        </w:rPr>
        <w:t>structures</w:t>
      </w:r>
      <w:r>
        <w:rPr>
          <w:spacing w:val="80"/>
          <w:sz w:val="24"/>
        </w:rPr>
        <w:t> </w:t>
      </w:r>
      <w:r>
        <w:rPr>
          <w:sz w:val="24"/>
        </w:rPr>
        <w:t>or</w:t>
      </w:r>
      <w:r>
        <w:rPr>
          <w:spacing w:val="63"/>
          <w:w w:val="150"/>
          <w:sz w:val="24"/>
        </w:rPr>
        <w:t> </w:t>
      </w:r>
      <w:r>
        <w:rPr>
          <w:sz w:val="24"/>
        </w:rPr>
        <w:t>fixtures</w:t>
      </w:r>
      <w:r>
        <w:rPr>
          <w:spacing w:val="80"/>
          <w:sz w:val="24"/>
        </w:rPr>
        <w:t> </w:t>
      </w:r>
      <w:r>
        <w:rPr>
          <w:sz w:val="24"/>
        </w:rPr>
        <w:t>arise</w:t>
      </w:r>
      <w:r>
        <w:rPr>
          <w:spacing w:val="72"/>
          <w:w w:val="150"/>
          <w:sz w:val="24"/>
        </w:rPr>
        <w:t> </w:t>
      </w:r>
      <w:r>
        <w:rPr>
          <w:sz w:val="24"/>
        </w:rPr>
        <w:t>thereon</w:t>
      </w:r>
      <w:r>
        <w:rPr>
          <w:spacing w:val="80"/>
          <w:sz w:val="24"/>
        </w:rPr>
        <w:t> </w:t>
      </w:r>
      <w:r>
        <w:rPr>
          <w:sz w:val="24"/>
        </w:rPr>
        <w:t>in</w:t>
      </w:r>
      <w:r>
        <w:rPr>
          <w:spacing w:val="80"/>
          <w:sz w:val="24"/>
        </w:rPr>
        <w:t> </w:t>
      </w:r>
      <w:r>
        <w:rPr>
          <w:sz w:val="24"/>
        </w:rPr>
        <w:t>contravention</w:t>
      </w:r>
      <w:r>
        <w:rPr>
          <w:spacing w:val="80"/>
          <w:sz w:val="24"/>
        </w:rPr>
        <w:t> </w:t>
      </w:r>
      <w:r>
        <w:rPr>
          <w:sz w:val="24"/>
        </w:rPr>
        <w:t>of</w:t>
      </w:r>
      <w:r>
        <w:rPr>
          <w:spacing w:val="80"/>
          <w:sz w:val="24"/>
        </w:rPr>
        <w:t> </w:t>
      </w:r>
      <w:r>
        <w:rPr>
          <w:sz w:val="24"/>
        </w:rPr>
        <w:t>that</w:t>
      </w:r>
    </w:p>
    <w:p>
      <w:pPr>
        <w:pStyle w:val="ListParagraph"/>
        <w:spacing w:after="0" w:line="240" w:lineRule="auto"/>
        <w:jc w:val="both"/>
        <w:rPr>
          <w:sz w:val="24"/>
        </w:rPr>
        <w:sectPr>
          <w:pgSz w:w="11910" w:h="16840"/>
          <w:pgMar w:header="1058" w:footer="1194" w:top="1500" w:bottom="1380" w:left="360" w:right="360"/>
        </w:sectPr>
      </w:pPr>
    </w:p>
    <w:p>
      <w:pPr>
        <w:pStyle w:val="BodyText"/>
        <w:spacing w:before="255"/>
        <w:ind w:left="1853" w:right="778"/>
      </w:pPr>
      <w:r>
        <w:rPr/>
        <w:t>sub-rule,</w:t>
      </w:r>
      <w:r>
        <w:rPr>
          <w:spacing w:val="40"/>
        </w:rPr>
        <w:t> </w:t>
      </w:r>
      <w:r>
        <w:rPr/>
        <w:t>the</w:t>
      </w:r>
      <w:r>
        <w:rPr>
          <w:spacing w:val="40"/>
        </w:rPr>
        <w:t> </w:t>
      </w:r>
      <w:r>
        <w:rPr/>
        <w:t>Commissioner</w:t>
      </w:r>
      <w:r>
        <w:rPr>
          <w:spacing w:val="40"/>
        </w:rPr>
        <w:t> </w:t>
      </w:r>
      <w:r>
        <w:rPr/>
        <w:t>may,</w:t>
      </w:r>
      <w:r>
        <w:rPr>
          <w:spacing w:val="40"/>
        </w:rPr>
        <w:t> </w:t>
      </w:r>
      <w:r>
        <w:rPr/>
        <w:t>by</w:t>
      </w:r>
      <w:r>
        <w:rPr>
          <w:spacing w:val="40"/>
        </w:rPr>
        <w:t> </w:t>
      </w:r>
      <w:r>
        <w:rPr/>
        <w:t>written</w:t>
      </w:r>
      <w:r>
        <w:rPr>
          <w:spacing w:val="40"/>
        </w:rPr>
        <w:t> </w:t>
      </w:r>
      <w:r>
        <w:rPr/>
        <w:t>notice,</w:t>
      </w:r>
      <w:r>
        <w:rPr>
          <w:spacing w:val="40"/>
        </w:rPr>
        <w:t> </w:t>
      </w:r>
      <w:r>
        <w:rPr/>
        <w:t>direct</w:t>
      </w:r>
      <w:r>
        <w:rPr>
          <w:spacing w:val="40"/>
        </w:rPr>
        <w:t> </w:t>
      </w:r>
      <w:r>
        <w:rPr/>
        <w:t>the</w:t>
      </w:r>
      <w:r>
        <w:rPr>
          <w:spacing w:val="40"/>
        </w:rPr>
        <w:t> </w:t>
      </w:r>
      <w:r>
        <w:rPr/>
        <w:t>owner or</w:t>
      </w:r>
      <w:r>
        <w:rPr>
          <w:spacing w:val="40"/>
        </w:rPr>
        <w:t> </w:t>
      </w:r>
      <w:r>
        <w:rPr/>
        <w:t>owners</w:t>
      </w:r>
      <w:r>
        <w:rPr>
          <w:spacing w:val="40"/>
        </w:rPr>
        <w:t> </w:t>
      </w:r>
      <w:r>
        <w:rPr/>
        <w:t>of</w:t>
      </w:r>
      <w:r>
        <w:rPr>
          <w:spacing w:val="40"/>
        </w:rPr>
        <w:t> </w:t>
      </w:r>
      <w:r>
        <w:rPr/>
        <w:t>the</w:t>
      </w:r>
      <w:r>
        <w:rPr>
          <w:spacing w:val="40"/>
        </w:rPr>
        <w:t> </w:t>
      </w:r>
      <w:r>
        <w:rPr/>
        <w:t>several</w:t>
      </w:r>
      <w:r>
        <w:rPr>
          <w:spacing w:val="40"/>
        </w:rPr>
        <w:t> </w:t>
      </w:r>
      <w:r>
        <w:rPr/>
        <w:t>premises</w:t>
      </w:r>
      <w:r>
        <w:rPr>
          <w:spacing w:val="40"/>
        </w:rPr>
        <w:t> </w:t>
      </w:r>
      <w:r>
        <w:rPr/>
        <w:t>fronting</w:t>
      </w:r>
      <w:r>
        <w:rPr>
          <w:spacing w:val="40"/>
        </w:rPr>
        <w:t> </w:t>
      </w:r>
      <w:r>
        <w:rPr/>
        <w:t>or</w:t>
      </w:r>
      <w:r>
        <w:rPr>
          <w:spacing w:val="40"/>
        </w:rPr>
        <w:t> </w:t>
      </w:r>
      <w:r>
        <w:rPr/>
        <w:t>adjoining</w:t>
      </w:r>
      <w:r>
        <w:rPr>
          <w:spacing w:val="40"/>
        </w:rPr>
        <w:t> </w:t>
      </w:r>
      <w:r>
        <w:rPr/>
        <w:t>the</w:t>
      </w:r>
      <w:r>
        <w:rPr>
          <w:spacing w:val="40"/>
        </w:rPr>
        <w:t> </w:t>
      </w:r>
      <w:r>
        <w:rPr/>
        <w:t>said</w:t>
      </w:r>
      <w:r>
        <w:rPr>
          <w:spacing w:val="80"/>
        </w:rPr>
        <w:t> </w:t>
      </w:r>
      <w:r>
        <w:rPr/>
        <w:t>street</w:t>
      </w:r>
      <w:r>
        <w:rPr>
          <w:spacing w:val="40"/>
        </w:rPr>
        <w:t> </w:t>
      </w:r>
      <w:r>
        <w:rPr/>
        <w:t>or</w:t>
      </w:r>
      <w:r>
        <w:rPr>
          <w:spacing w:val="40"/>
        </w:rPr>
        <w:t> </w:t>
      </w:r>
      <w:r>
        <w:rPr/>
        <w:t>other</w:t>
      </w:r>
      <w:r>
        <w:rPr>
          <w:spacing w:val="40"/>
        </w:rPr>
        <w:t> </w:t>
      </w:r>
      <w:r>
        <w:rPr/>
        <w:t>means</w:t>
      </w:r>
      <w:r>
        <w:rPr>
          <w:spacing w:val="40"/>
        </w:rPr>
        <w:t> </w:t>
      </w:r>
      <w:r>
        <w:rPr/>
        <w:t>of</w:t>
      </w:r>
      <w:r>
        <w:rPr>
          <w:spacing w:val="40"/>
        </w:rPr>
        <w:t> </w:t>
      </w:r>
      <w:r>
        <w:rPr/>
        <w:t>access</w:t>
      </w:r>
      <w:r>
        <w:rPr>
          <w:spacing w:val="40"/>
        </w:rPr>
        <w:t> </w:t>
      </w:r>
      <w:r>
        <w:rPr/>
        <w:t>or</w:t>
      </w:r>
      <w:r>
        <w:rPr>
          <w:spacing w:val="40"/>
        </w:rPr>
        <w:t> </w:t>
      </w:r>
      <w:r>
        <w:rPr/>
        <w:t>abutting</w:t>
      </w:r>
      <w:r>
        <w:rPr>
          <w:spacing w:val="40"/>
        </w:rPr>
        <w:t> </w:t>
      </w:r>
      <w:r>
        <w:rPr/>
        <w:t>thereon</w:t>
      </w:r>
      <w:r>
        <w:rPr>
          <w:spacing w:val="40"/>
        </w:rPr>
        <w:t> </w:t>
      </w:r>
      <w:r>
        <w:rPr/>
        <w:t>or</w:t>
      </w:r>
      <w:r>
        <w:rPr>
          <w:spacing w:val="40"/>
        </w:rPr>
        <w:t> </w:t>
      </w:r>
      <w:r>
        <w:rPr/>
        <w:t>to</w:t>
      </w:r>
      <w:r>
        <w:rPr>
          <w:spacing w:val="40"/>
        </w:rPr>
        <w:t> </w:t>
      </w:r>
      <w:r>
        <w:rPr/>
        <w:t>which access is obtained through such street or other means of access or which shall benefit by works executed, to carry out any or all of the aforesaid requirements in such manner and within such time as he</w:t>
      </w:r>
      <w:r>
        <w:rPr>
          <w:spacing w:val="40"/>
        </w:rPr>
        <w:t> </w:t>
      </w:r>
      <w:r>
        <w:rPr/>
        <w:t>shall direct.</w:t>
      </w:r>
      <w:r>
        <w:rPr>
          <w:spacing w:val="80"/>
        </w:rPr>
        <w:t> </w:t>
      </w:r>
      <w:r>
        <w:rPr/>
        <w:t>If the owner</w:t>
      </w:r>
      <w:r>
        <w:rPr>
          <w:spacing w:val="39"/>
        </w:rPr>
        <w:t> </w:t>
      </w:r>
      <w:r>
        <w:rPr/>
        <w:t>or owners</w:t>
      </w:r>
      <w:r>
        <w:rPr>
          <w:spacing w:val="38"/>
        </w:rPr>
        <w:t> </w:t>
      </w:r>
      <w:r>
        <w:rPr/>
        <w:t>fail to comply with this direction, the Commissioner may arrange for its execution and recover the expenses</w:t>
      </w:r>
      <w:r>
        <w:rPr>
          <w:spacing w:val="40"/>
        </w:rPr>
        <w:t> </w:t>
      </w:r>
      <w:r>
        <w:rPr/>
        <w:t>incurred</w:t>
      </w:r>
      <w:r>
        <w:rPr>
          <w:spacing w:val="40"/>
        </w:rPr>
        <w:t> </w:t>
      </w:r>
      <w:r>
        <w:rPr/>
        <w:t>from</w:t>
      </w:r>
      <w:r>
        <w:rPr>
          <w:spacing w:val="40"/>
        </w:rPr>
        <w:t> </w:t>
      </w:r>
      <w:r>
        <w:rPr/>
        <w:t>the</w:t>
      </w:r>
      <w:r>
        <w:rPr>
          <w:spacing w:val="40"/>
        </w:rPr>
        <w:t> </w:t>
      </w:r>
      <w:r>
        <w:rPr/>
        <w:t>owner</w:t>
      </w:r>
      <w:r>
        <w:rPr>
          <w:spacing w:val="40"/>
        </w:rPr>
        <w:t> </w:t>
      </w:r>
      <w:r>
        <w:rPr/>
        <w:t>or</w:t>
      </w:r>
      <w:r>
        <w:rPr>
          <w:spacing w:val="40"/>
        </w:rPr>
        <w:t> </w:t>
      </w:r>
      <w:r>
        <w:rPr/>
        <w:t>owners.</w:t>
      </w:r>
    </w:p>
    <w:p>
      <w:pPr>
        <w:pStyle w:val="ListParagraph"/>
        <w:numPr>
          <w:ilvl w:val="0"/>
          <w:numId w:val="102"/>
        </w:numPr>
        <w:tabs>
          <w:tab w:pos="1851" w:val="left" w:leader="none"/>
          <w:tab w:pos="1853" w:val="left" w:leader="none"/>
        </w:tabs>
        <w:spacing w:line="240" w:lineRule="auto" w:before="241" w:after="0"/>
        <w:ind w:left="1853" w:right="784" w:hanging="360"/>
        <w:jc w:val="both"/>
        <w:rPr>
          <w:sz w:val="24"/>
        </w:rPr>
      </w:pPr>
      <w:r>
        <w:rPr>
          <w:i/>
          <w:sz w:val="24"/>
        </w:rPr>
        <w:t>How</w:t>
      </w:r>
      <w:r>
        <w:rPr>
          <w:i/>
          <w:spacing w:val="40"/>
          <w:sz w:val="24"/>
        </w:rPr>
        <w:t> </w:t>
      </w:r>
      <w:r>
        <w:rPr>
          <w:i/>
          <w:sz w:val="24"/>
        </w:rPr>
        <w:t>to</w:t>
      </w:r>
      <w:r>
        <w:rPr>
          <w:i/>
          <w:spacing w:val="40"/>
          <w:sz w:val="24"/>
        </w:rPr>
        <w:t> </w:t>
      </w:r>
      <w:r>
        <w:rPr>
          <w:i/>
          <w:sz w:val="24"/>
        </w:rPr>
        <w:t>measure</w:t>
      </w:r>
      <w:r>
        <w:rPr>
          <w:i/>
          <w:spacing w:val="40"/>
          <w:sz w:val="24"/>
        </w:rPr>
        <w:t> </w:t>
      </w:r>
      <w:r>
        <w:rPr>
          <w:i/>
          <w:sz w:val="24"/>
        </w:rPr>
        <w:t>the</w:t>
      </w:r>
      <w:r>
        <w:rPr>
          <w:i/>
          <w:spacing w:val="40"/>
          <w:sz w:val="24"/>
        </w:rPr>
        <w:t> </w:t>
      </w:r>
      <w:r>
        <w:rPr>
          <w:i/>
          <w:sz w:val="24"/>
        </w:rPr>
        <w:t>length</w:t>
      </w:r>
      <w:r>
        <w:rPr>
          <w:i/>
          <w:spacing w:val="40"/>
          <w:sz w:val="24"/>
        </w:rPr>
        <w:t> </w:t>
      </w:r>
      <w:r>
        <w:rPr>
          <w:i/>
          <w:sz w:val="24"/>
        </w:rPr>
        <w:t>of</w:t>
      </w:r>
      <w:r>
        <w:rPr>
          <w:i/>
          <w:spacing w:val="40"/>
          <w:sz w:val="24"/>
        </w:rPr>
        <w:t> </w:t>
      </w:r>
      <w:r>
        <w:rPr>
          <w:i/>
          <w:spacing w:val="10"/>
          <w:sz w:val="24"/>
        </w:rPr>
        <w:t>access-</w:t>
      </w:r>
      <w:r>
        <w:rPr>
          <w:i/>
          <w:sz w:val="24"/>
        </w:rPr>
        <w:t>ways</w:t>
      </w:r>
      <w:r>
        <w:rPr>
          <w:sz w:val="24"/>
        </w:rPr>
        <w:t>-</w:t>
      </w:r>
      <w:r>
        <w:rPr>
          <w:spacing w:val="40"/>
          <w:sz w:val="24"/>
        </w:rPr>
        <w:t> </w:t>
      </w:r>
      <w:r>
        <w:rPr>
          <w:sz w:val="24"/>
        </w:rPr>
        <w:t>The</w:t>
      </w:r>
      <w:r>
        <w:rPr>
          <w:spacing w:val="40"/>
          <w:sz w:val="24"/>
        </w:rPr>
        <w:t> </w:t>
      </w:r>
      <w:r>
        <w:rPr>
          <w:sz w:val="24"/>
        </w:rPr>
        <w:t>length</w:t>
      </w:r>
      <w:r>
        <w:rPr>
          <w:spacing w:val="40"/>
          <w:sz w:val="24"/>
        </w:rPr>
        <w:t> </w:t>
      </w:r>
      <w:r>
        <w:rPr>
          <w:sz w:val="24"/>
        </w:rPr>
        <w:t>of</w:t>
      </w:r>
      <w:r>
        <w:rPr>
          <w:spacing w:val="40"/>
          <w:sz w:val="24"/>
        </w:rPr>
        <w:t> </w:t>
      </w:r>
      <w:r>
        <w:rPr>
          <w:sz w:val="24"/>
        </w:rPr>
        <w:t>main means</w:t>
      </w:r>
      <w:r>
        <w:rPr>
          <w:spacing w:val="40"/>
          <w:sz w:val="24"/>
        </w:rPr>
        <w:t> </w:t>
      </w:r>
      <w:r>
        <w:rPr>
          <w:sz w:val="24"/>
        </w:rPr>
        <w:t>of</w:t>
      </w:r>
      <w:r>
        <w:rPr>
          <w:spacing w:val="40"/>
          <w:sz w:val="24"/>
        </w:rPr>
        <w:t> </w:t>
      </w:r>
      <w:r>
        <w:rPr>
          <w:sz w:val="24"/>
        </w:rPr>
        <w:t>access</w:t>
      </w:r>
      <w:r>
        <w:rPr>
          <w:spacing w:val="40"/>
          <w:sz w:val="24"/>
        </w:rPr>
        <w:t> </w:t>
      </w:r>
      <w:r>
        <w:rPr>
          <w:sz w:val="24"/>
        </w:rPr>
        <w:t>shall</w:t>
      </w:r>
      <w:r>
        <w:rPr>
          <w:spacing w:val="40"/>
          <w:sz w:val="24"/>
        </w:rPr>
        <w:t> </w:t>
      </w:r>
      <w:r>
        <w:rPr>
          <w:sz w:val="24"/>
        </w:rPr>
        <w:t>be</w:t>
      </w:r>
      <w:r>
        <w:rPr>
          <w:spacing w:val="40"/>
          <w:sz w:val="24"/>
        </w:rPr>
        <w:t> </w:t>
      </w:r>
      <w:r>
        <w:rPr>
          <w:sz w:val="24"/>
        </w:rPr>
        <w:t>determined</w:t>
      </w:r>
      <w:r>
        <w:rPr>
          <w:spacing w:val="40"/>
          <w:sz w:val="24"/>
        </w:rPr>
        <w:t> </w:t>
      </w:r>
      <w:r>
        <w:rPr>
          <w:sz w:val="24"/>
        </w:rPr>
        <w:t>by</w:t>
      </w:r>
      <w:r>
        <w:rPr>
          <w:spacing w:val="40"/>
          <w:sz w:val="24"/>
        </w:rPr>
        <w:t> </w:t>
      </w:r>
      <w:r>
        <w:rPr>
          <w:sz w:val="24"/>
        </w:rPr>
        <w:t>the</w:t>
      </w:r>
      <w:r>
        <w:rPr>
          <w:spacing w:val="40"/>
          <w:sz w:val="24"/>
        </w:rPr>
        <w:t> </w:t>
      </w:r>
      <w:r>
        <w:rPr>
          <w:sz w:val="24"/>
        </w:rPr>
        <w:t>distance</w:t>
      </w:r>
      <w:r>
        <w:rPr>
          <w:spacing w:val="40"/>
          <w:sz w:val="24"/>
        </w:rPr>
        <w:t> </w:t>
      </w:r>
      <w:r>
        <w:rPr>
          <w:sz w:val="24"/>
        </w:rPr>
        <w:t>from</w:t>
      </w:r>
      <w:r>
        <w:rPr>
          <w:spacing w:val="40"/>
          <w:sz w:val="24"/>
        </w:rPr>
        <w:t> </w:t>
      </w:r>
      <w:r>
        <w:rPr>
          <w:sz w:val="24"/>
        </w:rPr>
        <w:t>the farthest plot or building plot and the main street. The length of a subsidiary </w:t>
      </w:r>
      <w:r>
        <w:rPr>
          <w:spacing w:val="9"/>
          <w:sz w:val="24"/>
        </w:rPr>
        <w:t>access-</w:t>
      </w:r>
      <w:r>
        <w:rPr>
          <w:sz w:val="24"/>
        </w:rPr>
        <w:t>way shall be measured from the point of its origin</w:t>
      </w:r>
      <w:r>
        <w:rPr>
          <w:spacing w:val="40"/>
          <w:sz w:val="24"/>
        </w:rPr>
        <w:t> </w:t>
      </w:r>
      <w:r>
        <w:rPr>
          <w:sz w:val="24"/>
        </w:rPr>
        <w:t>and</w:t>
      </w:r>
      <w:r>
        <w:rPr>
          <w:spacing w:val="40"/>
          <w:sz w:val="24"/>
        </w:rPr>
        <w:t> </w:t>
      </w:r>
      <w:r>
        <w:rPr>
          <w:sz w:val="24"/>
        </w:rPr>
        <w:t>the</w:t>
      </w:r>
      <w:r>
        <w:rPr>
          <w:spacing w:val="40"/>
          <w:sz w:val="24"/>
        </w:rPr>
        <w:t> </w:t>
      </w:r>
      <w:r>
        <w:rPr>
          <w:sz w:val="24"/>
        </w:rPr>
        <w:t>next</w:t>
      </w:r>
      <w:r>
        <w:rPr>
          <w:spacing w:val="40"/>
          <w:sz w:val="24"/>
        </w:rPr>
        <w:t> </w:t>
      </w:r>
      <w:r>
        <w:rPr>
          <w:sz w:val="24"/>
        </w:rPr>
        <w:t>wider</w:t>
      </w:r>
      <w:r>
        <w:rPr>
          <w:spacing w:val="40"/>
          <w:sz w:val="24"/>
        </w:rPr>
        <w:t> </w:t>
      </w:r>
      <w:r>
        <w:rPr>
          <w:sz w:val="24"/>
        </w:rPr>
        <w:t>road</w:t>
      </w:r>
      <w:r>
        <w:rPr>
          <w:spacing w:val="40"/>
          <w:sz w:val="24"/>
        </w:rPr>
        <w:t> </w:t>
      </w:r>
      <w:r>
        <w:rPr>
          <w:sz w:val="24"/>
        </w:rPr>
        <w:t>it</w:t>
      </w:r>
      <w:r>
        <w:rPr>
          <w:spacing w:val="40"/>
          <w:sz w:val="24"/>
        </w:rPr>
        <w:t> </w:t>
      </w:r>
      <w:r>
        <w:rPr>
          <w:sz w:val="24"/>
        </w:rPr>
        <w:t>meets.</w:t>
      </w:r>
    </w:p>
    <w:p>
      <w:pPr>
        <w:pStyle w:val="Heading2"/>
        <w:numPr>
          <w:ilvl w:val="0"/>
          <w:numId w:val="97"/>
        </w:numPr>
        <w:tabs>
          <w:tab w:pos="2309" w:val="left" w:leader="none"/>
        </w:tabs>
        <w:spacing w:line="240" w:lineRule="auto" w:before="239" w:after="0"/>
        <w:ind w:left="2309" w:right="0" w:hanging="1176"/>
        <w:jc w:val="left"/>
      </w:pPr>
      <w:r>
        <w:rPr/>
        <w:t>Layout/amalgamation/subdivision</w:t>
      </w:r>
      <w:r>
        <w:rPr>
          <w:spacing w:val="-16"/>
        </w:rPr>
        <w:t> </w:t>
      </w:r>
      <w:r>
        <w:rPr/>
        <w:t>of</w:t>
      </w:r>
      <w:r>
        <w:rPr>
          <w:spacing w:val="-17"/>
        </w:rPr>
        <w:t> </w:t>
      </w:r>
      <w:r>
        <w:rPr>
          <w:spacing w:val="-4"/>
        </w:rPr>
        <w:t>plot</w:t>
      </w:r>
    </w:p>
    <w:p>
      <w:pPr>
        <w:pStyle w:val="Heading6"/>
        <w:numPr>
          <w:ilvl w:val="0"/>
          <w:numId w:val="103"/>
        </w:numPr>
        <w:tabs>
          <w:tab w:pos="1851" w:val="left" w:leader="none"/>
          <w:tab w:pos="1853" w:val="left" w:leader="none"/>
        </w:tabs>
        <w:spacing w:line="240" w:lineRule="auto" w:before="239" w:after="0"/>
        <w:ind w:left="1853" w:right="780" w:hanging="360"/>
        <w:jc w:val="both"/>
      </w:pPr>
      <w:r>
        <w:rPr/>
        <w:t>Circumstances warranting preparation of a layout or </w:t>
      </w:r>
      <w:r>
        <w:rPr>
          <w:spacing w:val="9"/>
        </w:rPr>
        <w:t>sub- division/amalgamation: </w:t>
      </w:r>
      <w:r>
        <w:rPr/>
        <w:t>A layout or </w:t>
      </w:r>
      <w:r>
        <w:rPr>
          <w:spacing w:val="9"/>
        </w:rPr>
        <w:t>subdivision/amalgamation </w:t>
      </w:r>
      <w:r>
        <w:rPr/>
        <w:t>shall</w:t>
      </w:r>
      <w:r>
        <w:rPr>
          <w:spacing w:val="40"/>
        </w:rPr>
        <w:t> </w:t>
      </w:r>
      <w:r>
        <w:rPr/>
        <w:t>be</w:t>
      </w:r>
      <w:r>
        <w:rPr>
          <w:spacing w:val="40"/>
        </w:rPr>
        <w:t> </w:t>
      </w:r>
      <w:r>
        <w:rPr/>
        <w:t>submitted</w:t>
      </w:r>
      <w:r>
        <w:rPr>
          <w:spacing w:val="40"/>
        </w:rPr>
        <w:t> </w:t>
      </w:r>
      <w:r>
        <w:rPr/>
        <w:t>for</w:t>
      </w:r>
      <w:r>
        <w:rPr>
          <w:spacing w:val="40"/>
        </w:rPr>
        <w:t> </w:t>
      </w:r>
      <w:r>
        <w:rPr/>
        <w:t>the</w:t>
      </w:r>
      <w:r>
        <w:rPr>
          <w:spacing w:val="40"/>
        </w:rPr>
        <w:t> </w:t>
      </w:r>
      <w:r>
        <w:rPr>
          <w:spacing w:val="9"/>
        </w:rPr>
        <w:t>following:</w:t>
      </w:r>
    </w:p>
    <w:p>
      <w:pPr>
        <w:pStyle w:val="ListParagraph"/>
        <w:numPr>
          <w:ilvl w:val="1"/>
          <w:numId w:val="103"/>
        </w:numPr>
        <w:tabs>
          <w:tab w:pos="1850" w:val="left" w:leader="none"/>
          <w:tab w:pos="1853" w:val="left" w:leader="none"/>
        </w:tabs>
        <w:spacing w:line="240" w:lineRule="auto" w:before="242" w:after="0"/>
        <w:ind w:left="1853" w:right="800" w:hanging="360"/>
        <w:jc w:val="both"/>
        <w:rPr>
          <w:sz w:val="24"/>
        </w:rPr>
      </w:pPr>
      <w:r>
        <w:rPr>
          <w:sz w:val="24"/>
        </w:rPr>
        <w:t>when</w:t>
      </w:r>
      <w:r>
        <w:rPr>
          <w:spacing w:val="40"/>
          <w:sz w:val="24"/>
        </w:rPr>
        <w:t> </w:t>
      </w:r>
      <w:r>
        <w:rPr>
          <w:sz w:val="24"/>
        </w:rPr>
        <w:t>more</w:t>
      </w:r>
      <w:r>
        <w:rPr>
          <w:spacing w:val="40"/>
          <w:sz w:val="24"/>
        </w:rPr>
        <w:t> </w:t>
      </w:r>
      <w:r>
        <w:rPr>
          <w:sz w:val="24"/>
        </w:rPr>
        <w:t>than</w:t>
      </w:r>
      <w:r>
        <w:rPr>
          <w:spacing w:val="40"/>
          <w:sz w:val="24"/>
        </w:rPr>
        <w:t> </w:t>
      </w:r>
      <w:r>
        <w:rPr>
          <w:sz w:val="24"/>
        </w:rPr>
        <w:t>one</w:t>
      </w:r>
      <w:r>
        <w:rPr>
          <w:spacing w:val="40"/>
          <w:sz w:val="24"/>
        </w:rPr>
        <w:t> </w:t>
      </w:r>
      <w:r>
        <w:rPr>
          <w:sz w:val="24"/>
        </w:rPr>
        <w:t>building</w:t>
      </w:r>
      <w:r>
        <w:rPr>
          <w:spacing w:val="40"/>
          <w:sz w:val="24"/>
        </w:rPr>
        <w:t> </w:t>
      </w:r>
      <w:r>
        <w:rPr>
          <w:sz w:val="24"/>
        </w:rPr>
        <w:t>(except</w:t>
      </w:r>
      <w:r>
        <w:rPr>
          <w:spacing w:val="40"/>
          <w:sz w:val="24"/>
        </w:rPr>
        <w:t> </w:t>
      </w:r>
      <w:r>
        <w:rPr>
          <w:sz w:val="24"/>
        </w:rPr>
        <w:t>for</w:t>
      </w:r>
      <w:r>
        <w:rPr>
          <w:spacing w:val="40"/>
          <w:sz w:val="24"/>
        </w:rPr>
        <w:t> </w:t>
      </w:r>
      <w:r>
        <w:rPr>
          <w:sz w:val="24"/>
        </w:rPr>
        <w:t>building</w:t>
      </w:r>
      <w:r>
        <w:rPr>
          <w:spacing w:val="40"/>
          <w:sz w:val="24"/>
        </w:rPr>
        <w:t> </w:t>
      </w:r>
      <w:r>
        <w:rPr>
          <w:sz w:val="24"/>
        </w:rPr>
        <w:t>accessory</w:t>
      </w:r>
      <w:r>
        <w:rPr>
          <w:spacing w:val="40"/>
          <w:sz w:val="24"/>
        </w:rPr>
        <w:t> </w:t>
      </w:r>
      <w:r>
        <w:rPr>
          <w:sz w:val="24"/>
        </w:rPr>
        <w:t>to</w:t>
      </w:r>
      <w:r>
        <w:rPr>
          <w:spacing w:val="40"/>
          <w:sz w:val="24"/>
        </w:rPr>
        <w:t> </w:t>
      </w:r>
      <w:r>
        <w:rPr>
          <w:sz w:val="24"/>
        </w:rPr>
        <w:t>the main</w:t>
      </w:r>
      <w:r>
        <w:rPr>
          <w:spacing w:val="40"/>
          <w:sz w:val="24"/>
        </w:rPr>
        <w:t> </w:t>
      </w:r>
      <w:r>
        <w:rPr>
          <w:sz w:val="24"/>
        </w:rPr>
        <w:t>building)</w:t>
      </w:r>
      <w:r>
        <w:rPr>
          <w:spacing w:val="40"/>
          <w:sz w:val="24"/>
        </w:rPr>
        <w:t> </w:t>
      </w:r>
      <w:r>
        <w:rPr>
          <w:sz w:val="24"/>
        </w:rPr>
        <w:t>is</w:t>
      </w:r>
      <w:r>
        <w:rPr>
          <w:spacing w:val="40"/>
          <w:sz w:val="24"/>
        </w:rPr>
        <w:t> </w:t>
      </w:r>
      <w:r>
        <w:rPr>
          <w:sz w:val="24"/>
        </w:rPr>
        <w:t>proposed</w:t>
      </w:r>
      <w:r>
        <w:rPr>
          <w:spacing w:val="40"/>
          <w:sz w:val="24"/>
        </w:rPr>
        <w:t> </w:t>
      </w:r>
      <w:r>
        <w:rPr>
          <w:sz w:val="24"/>
        </w:rPr>
        <w:t>on</w:t>
      </w:r>
      <w:r>
        <w:rPr>
          <w:spacing w:val="40"/>
          <w:sz w:val="24"/>
        </w:rPr>
        <w:t> </w:t>
      </w:r>
      <w:r>
        <w:rPr>
          <w:sz w:val="24"/>
        </w:rPr>
        <w:t>any</w:t>
      </w:r>
      <w:r>
        <w:rPr>
          <w:spacing w:val="40"/>
          <w:sz w:val="24"/>
        </w:rPr>
        <w:t> </w:t>
      </w:r>
      <w:r>
        <w:rPr>
          <w:spacing w:val="9"/>
          <w:sz w:val="24"/>
        </w:rPr>
        <w:t>land;</w:t>
      </w:r>
    </w:p>
    <w:p>
      <w:pPr>
        <w:pStyle w:val="ListParagraph"/>
        <w:numPr>
          <w:ilvl w:val="1"/>
          <w:numId w:val="103"/>
        </w:numPr>
        <w:tabs>
          <w:tab w:pos="1853" w:val="left" w:leader="none"/>
          <w:tab w:pos="1901" w:val="left" w:leader="none"/>
        </w:tabs>
        <w:spacing w:line="240" w:lineRule="auto" w:before="241" w:after="0"/>
        <w:ind w:left="1853" w:right="796" w:hanging="310"/>
        <w:jc w:val="both"/>
        <w:rPr>
          <w:sz w:val="24"/>
        </w:rPr>
      </w:pPr>
      <w:r>
        <w:rPr>
          <w:sz w:val="24"/>
        </w:rPr>
        <w:t>when</w:t>
      </w:r>
      <w:r>
        <w:rPr>
          <w:spacing w:val="80"/>
          <w:w w:val="150"/>
          <w:sz w:val="24"/>
        </w:rPr>
        <w:t> </w:t>
      </w:r>
      <w:r>
        <w:rPr>
          <w:sz w:val="24"/>
        </w:rPr>
        <w:t>development</w:t>
      </w:r>
      <w:r>
        <w:rPr>
          <w:spacing w:val="80"/>
          <w:sz w:val="24"/>
        </w:rPr>
        <w:t> </w:t>
      </w:r>
      <w:r>
        <w:rPr>
          <w:sz w:val="24"/>
        </w:rPr>
        <w:t>or</w:t>
      </w:r>
      <w:r>
        <w:rPr>
          <w:spacing w:val="80"/>
          <w:sz w:val="24"/>
        </w:rPr>
        <w:t> </w:t>
      </w:r>
      <w:r>
        <w:rPr>
          <w:sz w:val="24"/>
        </w:rPr>
        <w:t>redevelopment</w:t>
      </w:r>
      <w:r>
        <w:rPr>
          <w:spacing w:val="80"/>
          <w:sz w:val="24"/>
        </w:rPr>
        <w:t> </w:t>
      </w:r>
      <w:r>
        <w:rPr>
          <w:sz w:val="24"/>
        </w:rPr>
        <w:t>of</w:t>
      </w:r>
      <w:r>
        <w:rPr>
          <w:spacing w:val="80"/>
          <w:sz w:val="24"/>
        </w:rPr>
        <w:t> </w:t>
      </w:r>
      <w:r>
        <w:rPr>
          <w:sz w:val="24"/>
        </w:rPr>
        <w:t>any</w:t>
      </w:r>
      <w:r>
        <w:rPr>
          <w:spacing w:val="80"/>
          <w:sz w:val="24"/>
        </w:rPr>
        <w:t> </w:t>
      </w:r>
      <w:r>
        <w:rPr>
          <w:sz w:val="24"/>
        </w:rPr>
        <w:t>tract</w:t>
      </w:r>
      <w:r>
        <w:rPr>
          <w:spacing w:val="80"/>
          <w:sz w:val="24"/>
        </w:rPr>
        <w:t> </w:t>
      </w:r>
      <w:r>
        <w:rPr>
          <w:sz w:val="24"/>
        </w:rPr>
        <w:t>of</w:t>
      </w:r>
      <w:r>
        <w:rPr>
          <w:spacing w:val="80"/>
          <w:sz w:val="24"/>
        </w:rPr>
        <w:t> </w:t>
      </w:r>
      <w:r>
        <w:rPr>
          <w:sz w:val="24"/>
        </w:rPr>
        <w:t>land</w:t>
      </w:r>
      <w:r>
        <w:rPr>
          <w:spacing w:val="80"/>
          <w:sz w:val="24"/>
        </w:rPr>
        <w:t> </w:t>
      </w:r>
      <w:r>
        <w:rPr>
          <w:sz w:val="24"/>
        </w:rPr>
        <w:t>includes its</w:t>
      </w:r>
      <w:r>
        <w:rPr>
          <w:spacing w:val="80"/>
          <w:sz w:val="24"/>
        </w:rPr>
        <w:t> </w:t>
      </w:r>
      <w:r>
        <w:rPr>
          <w:sz w:val="24"/>
        </w:rPr>
        <w:t>division</w:t>
      </w:r>
      <w:r>
        <w:rPr>
          <w:spacing w:val="80"/>
          <w:sz w:val="24"/>
        </w:rPr>
        <w:t> </w:t>
      </w:r>
      <w:r>
        <w:rPr>
          <w:sz w:val="24"/>
        </w:rPr>
        <w:t>or</w:t>
      </w:r>
      <w:r>
        <w:rPr>
          <w:spacing w:val="80"/>
          <w:sz w:val="24"/>
        </w:rPr>
        <w:t> </w:t>
      </w:r>
      <w:r>
        <w:rPr>
          <w:spacing w:val="10"/>
          <w:sz w:val="24"/>
        </w:rPr>
        <w:t>sub-</w:t>
      </w:r>
      <w:r>
        <w:rPr>
          <w:sz w:val="24"/>
        </w:rPr>
        <w:t>division/</w:t>
      </w:r>
      <w:r>
        <w:rPr>
          <w:i/>
          <w:sz w:val="24"/>
        </w:rPr>
        <w:t>amalgamation</w:t>
      </w:r>
      <w:r>
        <w:rPr>
          <w:i/>
          <w:spacing w:val="80"/>
          <w:sz w:val="24"/>
        </w:rPr>
        <w:t> </w:t>
      </w:r>
      <w:r>
        <w:rPr>
          <w:sz w:val="24"/>
        </w:rPr>
        <w:t>of</w:t>
      </w:r>
      <w:r>
        <w:rPr>
          <w:spacing w:val="80"/>
          <w:sz w:val="24"/>
        </w:rPr>
        <w:t> </w:t>
      </w:r>
      <w:r>
        <w:rPr>
          <w:sz w:val="24"/>
        </w:rPr>
        <w:t>plots;</w:t>
      </w:r>
    </w:p>
    <w:p>
      <w:pPr>
        <w:pStyle w:val="ListParagraph"/>
        <w:numPr>
          <w:ilvl w:val="1"/>
          <w:numId w:val="103"/>
        </w:numPr>
        <w:tabs>
          <w:tab w:pos="1428" w:val="left" w:leader="none"/>
        </w:tabs>
        <w:spacing w:line="240" w:lineRule="auto" w:before="241" w:after="0"/>
        <w:ind w:left="1133" w:right="784" w:firstLine="0"/>
        <w:jc w:val="left"/>
        <w:rPr>
          <w:sz w:val="24"/>
        </w:rPr>
      </w:pPr>
      <w:r>
        <w:rPr>
          <w:sz w:val="24"/>
        </w:rPr>
        <w:t>when</w:t>
      </w:r>
      <w:r>
        <w:rPr>
          <w:spacing w:val="40"/>
          <w:sz w:val="24"/>
        </w:rPr>
        <w:t> </w:t>
      </w:r>
      <w:r>
        <w:rPr>
          <w:sz w:val="24"/>
        </w:rPr>
        <w:t>the</w:t>
      </w:r>
      <w:r>
        <w:rPr>
          <w:spacing w:val="40"/>
          <w:sz w:val="24"/>
        </w:rPr>
        <w:t> </w:t>
      </w:r>
      <w:r>
        <w:rPr>
          <w:sz w:val="24"/>
        </w:rPr>
        <w:t>land</w:t>
      </w:r>
      <w:r>
        <w:rPr>
          <w:spacing w:val="40"/>
          <w:sz w:val="24"/>
        </w:rPr>
        <w:t> </w:t>
      </w:r>
      <w:r>
        <w:rPr>
          <w:sz w:val="24"/>
        </w:rPr>
        <w:t>under</w:t>
      </w:r>
      <w:r>
        <w:rPr>
          <w:spacing w:val="40"/>
          <w:sz w:val="24"/>
        </w:rPr>
        <w:t> </w:t>
      </w:r>
      <w:r>
        <w:rPr>
          <w:sz w:val="24"/>
        </w:rPr>
        <w:t>development</w:t>
      </w:r>
      <w:r>
        <w:rPr>
          <w:spacing w:val="40"/>
          <w:sz w:val="24"/>
        </w:rPr>
        <w:t> </w:t>
      </w:r>
      <w:r>
        <w:rPr>
          <w:sz w:val="24"/>
        </w:rPr>
        <w:t>admeasures</w:t>
      </w:r>
      <w:r>
        <w:rPr>
          <w:spacing w:val="79"/>
          <w:sz w:val="24"/>
        </w:rPr>
        <w:t> </w:t>
      </w:r>
      <w:r>
        <w:rPr>
          <w:sz w:val="24"/>
        </w:rPr>
        <w:t>2000</w:t>
      </w:r>
      <w:r>
        <w:rPr>
          <w:spacing w:val="70"/>
          <w:sz w:val="24"/>
        </w:rPr>
        <w:t> </w:t>
      </w:r>
      <w:r>
        <w:rPr>
          <w:sz w:val="24"/>
        </w:rPr>
        <w:t>sq.</w:t>
      </w:r>
      <w:r>
        <w:rPr>
          <w:spacing w:val="40"/>
          <w:sz w:val="24"/>
        </w:rPr>
        <w:t> </w:t>
      </w:r>
      <w:r>
        <w:rPr>
          <w:sz w:val="24"/>
        </w:rPr>
        <w:t>m</w:t>
      </w:r>
      <w:r>
        <w:rPr>
          <w:spacing w:val="40"/>
          <w:sz w:val="24"/>
        </w:rPr>
        <w:t> </w:t>
      </w:r>
      <w:r>
        <w:rPr>
          <w:sz w:val="24"/>
        </w:rPr>
        <w:t>or</w:t>
      </w:r>
      <w:r>
        <w:rPr>
          <w:spacing w:val="40"/>
          <w:sz w:val="24"/>
        </w:rPr>
        <w:t> </w:t>
      </w:r>
      <w:r>
        <w:rPr>
          <w:sz w:val="24"/>
        </w:rPr>
        <w:t>more</w:t>
      </w:r>
      <w:r>
        <w:rPr>
          <w:spacing w:val="40"/>
          <w:sz w:val="24"/>
        </w:rPr>
        <w:t> </w:t>
      </w:r>
      <w:r>
        <w:rPr>
          <w:sz w:val="24"/>
        </w:rPr>
        <w:t>in</w:t>
      </w:r>
      <w:r>
        <w:rPr>
          <w:spacing w:val="40"/>
          <w:sz w:val="24"/>
        </w:rPr>
        <w:t> </w:t>
      </w:r>
      <w:r>
        <w:rPr>
          <w:sz w:val="24"/>
        </w:rPr>
        <w:t>any</w:t>
      </w:r>
      <w:r>
        <w:rPr>
          <w:spacing w:val="40"/>
          <w:sz w:val="24"/>
        </w:rPr>
        <w:t> </w:t>
      </w:r>
      <w:r>
        <w:rPr>
          <w:sz w:val="24"/>
        </w:rPr>
        <w:t>zone.’,</w:t>
      </w:r>
      <w:r>
        <w:rPr>
          <w:spacing w:val="40"/>
          <w:sz w:val="24"/>
        </w:rPr>
        <w:t> </w:t>
      </w:r>
      <w:r>
        <w:rPr>
          <w:sz w:val="24"/>
        </w:rPr>
        <w:t>where</w:t>
      </w:r>
      <w:r>
        <w:rPr>
          <w:spacing w:val="40"/>
          <w:sz w:val="24"/>
        </w:rPr>
        <w:t> </w:t>
      </w:r>
      <w:r>
        <w:rPr>
          <w:sz w:val="24"/>
        </w:rPr>
        <w:t>the</w:t>
      </w:r>
      <w:r>
        <w:rPr>
          <w:spacing w:val="40"/>
          <w:sz w:val="24"/>
        </w:rPr>
        <w:t> </w:t>
      </w:r>
      <w:r>
        <w:rPr>
          <w:sz w:val="24"/>
        </w:rPr>
        <w:t>development</w:t>
      </w:r>
      <w:r>
        <w:rPr>
          <w:spacing w:val="40"/>
          <w:sz w:val="24"/>
        </w:rPr>
        <w:t> </w:t>
      </w:r>
      <w:r>
        <w:rPr>
          <w:sz w:val="24"/>
        </w:rPr>
        <w:t>is</w:t>
      </w:r>
      <w:r>
        <w:rPr>
          <w:spacing w:val="40"/>
          <w:sz w:val="24"/>
        </w:rPr>
        <w:t> </w:t>
      </w:r>
      <w:r>
        <w:rPr>
          <w:spacing w:val="9"/>
          <w:sz w:val="24"/>
        </w:rPr>
        <w:t>permissible.</w:t>
      </w:r>
    </w:p>
    <w:p>
      <w:pPr>
        <w:pStyle w:val="ListParagraph"/>
        <w:numPr>
          <w:ilvl w:val="0"/>
          <w:numId w:val="103"/>
        </w:numPr>
        <w:tabs>
          <w:tab w:pos="2172" w:val="left" w:leader="none"/>
        </w:tabs>
        <w:spacing w:line="240" w:lineRule="auto" w:before="235" w:after="0"/>
        <w:ind w:left="1853" w:right="777" w:firstLine="0"/>
        <w:jc w:val="both"/>
        <w:rPr>
          <w:sz w:val="24"/>
        </w:rPr>
      </w:pPr>
      <w:r>
        <w:rPr>
          <w:b/>
          <w:i/>
          <w:sz w:val="24"/>
        </w:rPr>
        <w:t>Contents:</w:t>
      </w:r>
      <w:r>
        <w:rPr>
          <w:b/>
          <w:i/>
          <w:spacing w:val="80"/>
          <w:w w:val="150"/>
          <w:sz w:val="24"/>
        </w:rPr>
        <w:t> </w:t>
      </w:r>
      <w:r>
        <w:rPr>
          <w:sz w:val="24"/>
        </w:rPr>
        <w:t>Every</w:t>
      </w:r>
      <w:r>
        <w:rPr>
          <w:spacing w:val="80"/>
          <w:w w:val="150"/>
          <w:sz w:val="24"/>
        </w:rPr>
        <w:t> </w:t>
      </w:r>
      <w:r>
        <w:rPr>
          <w:spacing w:val="9"/>
          <w:sz w:val="24"/>
        </w:rPr>
        <w:t>sub-</w:t>
      </w:r>
      <w:r>
        <w:rPr>
          <w:sz w:val="24"/>
        </w:rPr>
        <w:t>division/</w:t>
      </w:r>
      <w:r>
        <w:rPr>
          <w:i/>
          <w:sz w:val="24"/>
        </w:rPr>
        <w:t>amalgamation/</w:t>
      </w:r>
      <w:r>
        <w:rPr>
          <w:i/>
          <w:spacing w:val="80"/>
          <w:w w:val="150"/>
          <w:sz w:val="24"/>
        </w:rPr>
        <w:t> </w:t>
      </w:r>
      <w:r>
        <w:rPr>
          <w:sz w:val="24"/>
        </w:rPr>
        <w:t>layout</w:t>
      </w:r>
      <w:r>
        <w:rPr>
          <w:spacing w:val="80"/>
          <w:w w:val="150"/>
          <w:sz w:val="24"/>
        </w:rPr>
        <w:t> </w:t>
      </w:r>
      <w:r>
        <w:rPr>
          <w:sz w:val="24"/>
        </w:rPr>
        <w:t>shall contain</w:t>
      </w:r>
      <w:r>
        <w:rPr>
          <w:spacing w:val="40"/>
          <w:sz w:val="24"/>
        </w:rPr>
        <w:t> </w:t>
      </w:r>
      <w:r>
        <w:rPr>
          <w:spacing w:val="9"/>
          <w:sz w:val="24"/>
        </w:rPr>
        <w:t>sub-</w:t>
      </w:r>
      <w:r>
        <w:rPr>
          <w:sz w:val="24"/>
        </w:rPr>
        <w:t>plots</w:t>
      </w:r>
      <w:r>
        <w:rPr>
          <w:spacing w:val="40"/>
          <w:sz w:val="24"/>
        </w:rPr>
        <w:t> </w:t>
      </w:r>
      <w:r>
        <w:rPr>
          <w:sz w:val="24"/>
        </w:rPr>
        <w:t>being</w:t>
      </w:r>
      <w:r>
        <w:rPr>
          <w:spacing w:val="40"/>
          <w:sz w:val="24"/>
        </w:rPr>
        <w:t> </w:t>
      </w:r>
      <w:r>
        <w:rPr>
          <w:sz w:val="24"/>
        </w:rPr>
        <w:t>formed</w:t>
      </w:r>
      <w:r>
        <w:rPr>
          <w:spacing w:val="40"/>
          <w:sz w:val="24"/>
        </w:rPr>
        <w:t> </w:t>
      </w:r>
      <w:r>
        <w:rPr>
          <w:sz w:val="24"/>
        </w:rPr>
        <w:t>after</w:t>
      </w:r>
      <w:r>
        <w:rPr>
          <w:spacing w:val="40"/>
          <w:sz w:val="24"/>
        </w:rPr>
        <w:t> </w:t>
      </w:r>
      <w:r>
        <w:rPr>
          <w:spacing w:val="10"/>
          <w:sz w:val="24"/>
        </w:rPr>
        <w:t>sub-</w:t>
      </w:r>
      <w:r>
        <w:rPr>
          <w:sz w:val="24"/>
        </w:rPr>
        <w:t>division,</w:t>
      </w:r>
      <w:r>
        <w:rPr>
          <w:spacing w:val="40"/>
          <w:sz w:val="24"/>
        </w:rPr>
        <w:t> </w:t>
      </w:r>
      <w:r>
        <w:rPr>
          <w:sz w:val="24"/>
        </w:rPr>
        <w:t>access</w:t>
      </w:r>
      <w:r>
        <w:rPr>
          <w:spacing w:val="40"/>
          <w:sz w:val="24"/>
        </w:rPr>
        <w:t> </w:t>
      </w:r>
      <w:r>
        <w:rPr>
          <w:sz w:val="24"/>
        </w:rPr>
        <w:t>thereto, LOS,</w:t>
      </w:r>
      <w:r>
        <w:rPr>
          <w:spacing w:val="40"/>
          <w:sz w:val="24"/>
        </w:rPr>
        <w:t> </w:t>
      </w:r>
      <w:r>
        <w:rPr>
          <w:sz w:val="24"/>
        </w:rPr>
        <w:t>if</w:t>
      </w:r>
      <w:r>
        <w:rPr>
          <w:spacing w:val="40"/>
          <w:sz w:val="24"/>
        </w:rPr>
        <w:t> </w:t>
      </w:r>
      <w:r>
        <w:rPr>
          <w:sz w:val="24"/>
        </w:rPr>
        <w:t>any,</w:t>
      </w:r>
      <w:r>
        <w:rPr>
          <w:spacing w:val="40"/>
          <w:sz w:val="24"/>
        </w:rPr>
        <w:t> </w:t>
      </w:r>
      <w:r>
        <w:rPr>
          <w:sz w:val="24"/>
        </w:rPr>
        <w:t>required</w:t>
      </w:r>
      <w:r>
        <w:rPr>
          <w:spacing w:val="40"/>
          <w:sz w:val="24"/>
        </w:rPr>
        <w:t> </w:t>
      </w:r>
      <w:r>
        <w:rPr>
          <w:sz w:val="24"/>
        </w:rPr>
        <w:t>under</w:t>
      </w:r>
      <w:r>
        <w:rPr>
          <w:spacing w:val="40"/>
          <w:sz w:val="24"/>
        </w:rPr>
        <w:t> </w:t>
      </w:r>
      <w:r>
        <w:rPr>
          <w:sz w:val="24"/>
        </w:rPr>
        <w:t>Regulation</w:t>
      </w:r>
      <w:r>
        <w:rPr>
          <w:spacing w:val="40"/>
          <w:sz w:val="24"/>
        </w:rPr>
        <w:t> </w:t>
      </w:r>
      <w:r>
        <w:rPr>
          <w:sz w:val="24"/>
        </w:rPr>
        <w:t>No</w:t>
      </w:r>
      <w:r>
        <w:rPr>
          <w:spacing w:val="40"/>
          <w:sz w:val="24"/>
        </w:rPr>
        <w:t> </w:t>
      </w:r>
      <w:r>
        <w:rPr>
          <w:sz w:val="24"/>
        </w:rPr>
        <w:t>23</w:t>
      </w:r>
      <w:r>
        <w:rPr>
          <w:spacing w:val="40"/>
          <w:sz w:val="24"/>
        </w:rPr>
        <w:t> </w:t>
      </w:r>
      <w:r>
        <w:rPr>
          <w:sz w:val="24"/>
        </w:rPr>
        <w:t>and</w:t>
      </w:r>
      <w:r>
        <w:rPr>
          <w:spacing w:val="40"/>
          <w:sz w:val="24"/>
        </w:rPr>
        <w:t> </w:t>
      </w:r>
      <w:r>
        <w:rPr>
          <w:sz w:val="24"/>
        </w:rPr>
        <w:t>27,</w:t>
      </w:r>
      <w:r>
        <w:rPr>
          <w:spacing w:val="40"/>
          <w:sz w:val="24"/>
        </w:rPr>
        <w:t> </w:t>
      </w:r>
      <w:r>
        <w:rPr>
          <w:sz w:val="24"/>
        </w:rPr>
        <w:t>spaces</w:t>
      </w:r>
      <w:r>
        <w:rPr>
          <w:spacing w:val="40"/>
          <w:sz w:val="24"/>
        </w:rPr>
        <w:t> </w:t>
      </w:r>
      <w:r>
        <w:rPr>
          <w:sz w:val="24"/>
        </w:rPr>
        <w:t>for other</w:t>
      </w:r>
      <w:r>
        <w:rPr>
          <w:spacing w:val="40"/>
          <w:sz w:val="24"/>
        </w:rPr>
        <w:t> </w:t>
      </w:r>
      <w:r>
        <w:rPr>
          <w:sz w:val="24"/>
        </w:rPr>
        <w:t>ancillary</w:t>
      </w:r>
      <w:r>
        <w:rPr>
          <w:spacing w:val="40"/>
          <w:sz w:val="24"/>
        </w:rPr>
        <w:t> </w:t>
      </w:r>
      <w:r>
        <w:rPr>
          <w:sz w:val="24"/>
        </w:rPr>
        <w:t>uses if</w:t>
      </w:r>
      <w:r>
        <w:rPr>
          <w:spacing w:val="40"/>
          <w:sz w:val="24"/>
        </w:rPr>
        <w:t> </w:t>
      </w:r>
      <w:r>
        <w:rPr>
          <w:sz w:val="24"/>
        </w:rPr>
        <w:t>any</w:t>
      </w:r>
      <w:r>
        <w:rPr>
          <w:spacing w:val="40"/>
          <w:sz w:val="24"/>
        </w:rPr>
        <w:t> </w:t>
      </w:r>
      <w:r>
        <w:rPr>
          <w:sz w:val="24"/>
        </w:rPr>
        <w:t>required</w:t>
      </w:r>
      <w:r>
        <w:rPr>
          <w:spacing w:val="40"/>
          <w:sz w:val="24"/>
        </w:rPr>
        <w:t> </w:t>
      </w:r>
      <w:r>
        <w:rPr>
          <w:sz w:val="24"/>
        </w:rPr>
        <w:t>under Regulation</w:t>
      </w:r>
      <w:r>
        <w:rPr>
          <w:spacing w:val="40"/>
          <w:sz w:val="24"/>
        </w:rPr>
        <w:t> </w:t>
      </w:r>
      <w:r>
        <w:rPr>
          <w:sz w:val="24"/>
        </w:rPr>
        <w:t>No. 24</w:t>
      </w:r>
      <w:r>
        <w:rPr>
          <w:spacing w:val="40"/>
          <w:sz w:val="24"/>
        </w:rPr>
        <w:t> </w:t>
      </w:r>
      <w:r>
        <w:rPr>
          <w:sz w:val="24"/>
        </w:rPr>
        <w:t>and</w:t>
      </w:r>
      <w:r>
        <w:rPr>
          <w:spacing w:val="40"/>
          <w:sz w:val="24"/>
        </w:rPr>
        <w:t> </w:t>
      </w:r>
      <w:r>
        <w:rPr>
          <w:sz w:val="24"/>
        </w:rPr>
        <w:t>28 also all the reservations, designations, allocations, road or road</w:t>
      </w:r>
      <w:r>
        <w:rPr>
          <w:spacing w:val="40"/>
          <w:sz w:val="24"/>
        </w:rPr>
        <w:t> </w:t>
      </w:r>
      <w:r>
        <w:rPr>
          <w:sz w:val="24"/>
        </w:rPr>
        <w:t>widening</w:t>
      </w:r>
      <w:r>
        <w:rPr>
          <w:spacing w:val="40"/>
          <w:sz w:val="24"/>
        </w:rPr>
        <w:t> </w:t>
      </w:r>
      <w:r>
        <w:rPr>
          <w:sz w:val="24"/>
        </w:rPr>
        <w:t>proposals</w:t>
      </w:r>
      <w:r>
        <w:rPr>
          <w:spacing w:val="40"/>
          <w:sz w:val="24"/>
        </w:rPr>
        <w:t> </w:t>
      </w:r>
      <w:r>
        <w:rPr>
          <w:sz w:val="24"/>
        </w:rPr>
        <w:t>of</w:t>
      </w:r>
      <w:r>
        <w:rPr>
          <w:spacing w:val="40"/>
          <w:sz w:val="24"/>
        </w:rPr>
        <w:t> </w:t>
      </w:r>
      <w:r>
        <w:rPr>
          <w:sz w:val="24"/>
        </w:rPr>
        <w:t>the</w:t>
      </w:r>
      <w:r>
        <w:rPr>
          <w:spacing w:val="40"/>
          <w:sz w:val="24"/>
        </w:rPr>
        <w:t> </w:t>
      </w:r>
      <w:r>
        <w:rPr>
          <w:sz w:val="24"/>
        </w:rPr>
        <w:t>DP</w:t>
      </w:r>
      <w:r>
        <w:rPr>
          <w:spacing w:val="40"/>
          <w:sz w:val="24"/>
        </w:rPr>
        <w:t> </w:t>
      </w:r>
      <w:r>
        <w:rPr>
          <w:sz w:val="24"/>
        </w:rPr>
        <w:t>and</w:t>
      </w:r>
      <w:r>
        <w:rPr>
          <w:spacing w:val="40"/>
          <w:sz w:val="24"/>
        </w:rPr>
        <w:t> </w:t>
      </w:r>
      <w:r>
        <w:rPr>
          <w:sz w:val="24"/>
        </w:rPr>
        <w:t>the</w:t>
      </w:r>
      <w:r>
        <w:rPr>
          <w:spacing w:val="40"/>
          <w:sz w:val="24"/>
        </w:rPr>
        <w:t> </w:t>
      </w:r>
      <w:r>
        <w:rPr>
          <w:sz w:val="24"/>
        </w:rPr>
        <w:t>regular</w:t>
      </w:r>
      <w:r>
        <w:rPr>
          <w:spacing w:val="40"/>
          <w:sz w:val="24"/>
        </w:rPr>
        <w:t> </w:t>
      </w:r>
      <w:r>
        <w:rPr>
          <w:sz w:val="24"/>
        </w:rPr>
        <w:t>lines</w:t>
      </w:r>
      <w:r>
        <w:rPr>
          <w:spacing w:val="40"/>
          <w:sz w:val="24"/>
        </w:rPr>
        <w:t> </w:t>
      </w:r>
      <w:r>
        <w:rPr>
          <w:sz w:val="24"/>
        </w:rPr>
        <w:t>of</w:t>
      </w:r>
      <w:r>
        <w:rPr>
          <w:spacing w:val="40"/>
          <w:sz w:val="24"/>
        </w:rPr>
        <w:t> </w:t>
      </w:r>
      <w:r>
        <w:rPr>
          <w:sz w:val="24"/>
        </w:rPr>
        <w:t>streets prescribed</w:t>
      </w:r>
      <w:r>
        <w:rPr>
          <w:spacing w:val="80"/>
          <w:sz w:val="24"/>
        </w:rPr>
        <w:t> </w:t>
      </w:r>
      <w:r>
        <w:rPr>
          <w:sz w:val="24"/>
        </w:rPr>
        <w:t>under</w:t>
      </w:r>
      <w:r>
        <w:rPr>
          <w:spacing w:val="80"/>
          <w:sz w:val="24"/>
        </w:rPr>
        <w:t> </w:t>
      </w:r>
      <w:r>
        <w:rPr>
          <w:sz w:val="24"/>
        </w:rPr>
        <w:t>the</w:t>
      </w:r>
      <w:r>
        <w:rPr>
          <w:spacing w:val="80"/>
          <w:sz w:val="24"/>
        </w:rPr>
        <w:t> </w:t>
      </w:r>
      <w:r>
        <w:rPr>
          <w:sz w:val="24"/>
        </w:rPr>
        <w:t>MMC</w:t>
      </w:r>
      <w:r>
        <w:rPr>
          <w:spacing w:val="80"/>
          <w:sz w:val="24"/>
        </w:rPr>
        <w:t> </w:t>
      </w:r>
      <w:r>
        <w:rPr>
          <w:sz w:val="24"/>
        </w:rPr>
        <w:t>Act,</w:t>
      </w:r>
      <w:r>
        <w:rPr>
          <w:spacing w:val="80"/>
          <w:sz w:val="24"/>
        </w:rPr>
        <w:t> </w:t>
      </w:r>
      <w:r>
        <w:rPr>
          <w:sz w:val="24"/>
        </w:rPr>
        <w:t>1888.Provided</w:t>
      </w:r>
      <w:r>
        <w:rPr>
          <w:spacing w:val="80"/>
          <w:sz w:val="24"/>
        </w:rPr>
        <w:t> </w:t>
      </w:r>
      <w:r>
        <w:rPr>
          <w:sz w:val="24"/>
        </w:rPr>
        <w:t>that</w:t>
      </w:r>
      <w:r>
        <w:rPr>
          <w:spacing w:val="80"/>
          <w:sz w:val="24"/>
        </w:rPr>
        <w:t> </w:t>
      </w:r>
      <w:r>
        <w:rPr>
          <w:sz w:val="24"/>
        </w:rPr>
        <w:t>the Commissioner</w:t>
      </w:r>
      <w:r>
        <w:rPr>
          <w:spacing w:val="40"/>
          <w:sz w:val="24"/>
        </w:rPr>
        <w:t> </w:t>
      </w:r>
      <w:r>
        <w:rPr>
          <w:sz w:val="24"/>
        </w:rPr>
        <w:t>may,</w:t>
      </w:r>
      <w:r>
        <w:rPr>
          <w:spacing w:val="40"/>
          <w:sz w:val="24"/>
        </w:rPr>
        <w:t> </w:t>
      </w:r>
      <w:r>
        <w:rPr>
          <w:sz w:val="24"/>
        </w:rPr>
        <w:t>without</w:t>
      </w:r>
      <w:r>
        <w:rPr>
          <w:spacing w:val="40"/>
          <w:sz w:val="24"/>
        </w:rPr>
        <w:t> </w:t>
      </w:r>
      <w:r>
        <w:rPr>
          <w:sz w:val="24"/>
        </w:rPr>
        <w:t>any</w:t>
      </w:r>
      <w:r>
        <w:rPr>
          <w:spacing w:val="40"/>
          <w:sz w:val="24"/>
        </w:rPr>
        <w:t> </w:t>
      </w:r>
      <w:r>
        <w:rPr>
          <w:sz w:val="24"/>
        </w:rPr>
        <w:t>reduction</w:t>
      </w:r>
      <w:r>
        <w:rPr>
          <w:spacing w:val="40"/>
          <w:sz w:val="24"/>
        </w:rPr>
        <w:t> </w:t>
      </w:r>
      <w:r>
        <w:rPr>
          <w:sz w:val="24"/>
        </w:rPr>
        <w:t>in</w:t>
      </w:r>
      <w:r>
        <w:rPr>
          <w:spacing w:val="40"/>
          <w:sz w:val="24"/>
        </w:rPr>
        <w:t> </w:t>
      </w:r>
      <w:r>
        <w:rPr>
          <w:sz w:val="24"/>
        </w:rPr>
        <w:t>area,</w:t>
      </w:r>
      <w:r>
        <w:rPr>
          <w:spacing w:val="40"/>
          <w:sz w:val="24"/>
        </w:rPr>
        <w:t> </w:t>
      </w:r>
      <w:r>
        <w:rPr>
          <w:sz w:val="24"/>
        </w:rPr>
        <w:t>allow</w:t>
      </w:r>
      <w:r>
        <w:rPr>
          <w:spacing w:val="40"/>
          <w:sz w:val="24"/>
        </w:rPr>
        <w:t> </w:t>
      </w:r>
      <w:r>
        <w:rPr>
          <w:sz w:val="24"/>
        </w:rPr>
        <w:t>adjustment in the boundaries of DP Roads/reserved /allocated sites within the</w:t>
      </w:r>
      <w:r>
        <w:rPr>
          <w:spacing w:val="80"/>
          <w:sz w:val="24"/>
        </w:rPr>
        <w:t> </w:t>
      </w:r>
      <w:r>
        <w:rPr>
          <w:sz w:val="24"/>
        </w:rPr>
        <w:t>same holding and conforming to the zoning provisions to suit the development. In doing so, he will ensure that the shapes of </w:t>
      </w:r>
      <w:r>
        <w:rPr>
          <w:spacing w:val="9"/>
          <w:sz w:val="24"/>
        </w:rPr>
        <w:t>altered, </w:t>
      </w:r>
      <w:r>
        <w:rPr>
          <w:sz w:val="24"/>
        </w:rPr>
        <w:t>allocated/reserved sites are such that they can be developed in conformity</w:t>
      </w:r>
      <w:r>
        <w:rPr>
          <w:spacing w:val="40"/>
          <w:sz w:val="24"/>
        </w:rPr>
        <w:t> </w:t>
      </w:r>
      <w:r>
        <w:rPr>
          <w:sz w:val="24"/>
        </w:rPr>
        <w:t>with</w:t>
      </w:r>
      <w:r>
        <w:rPr>
          <w:spacing w:val="40"/>
          <w:sz w:val="24"/>
        </w:rPr>
        <w:t> </w:t>
      </w:r>
      <w:r>
        <w:rPr>
          <w:sz w:val="24"/>
        </w:rPr>
        <w:t>these</w:t>
      </w:r>
      <w:r>
        <w:rPr>
          <w:spacing w:val="9"/>
          <w:sz w:val="24"/>
        </w:rPr>
        <w:t> Regulations.</w:t>
      </w:r>
    </w:p>
    <w:p>
      <w:pPr>
        <w:pStyle w:val="ListParagraph"/>
        <w:numPr>
          <w:ilvl w:val="0"/>
          <w:numId w:val="103"/>
        </w:numPr>
        <w:tabs>
          <w:tab w:pos="2191" w:val="left" w:leader="none"/>
        </w:tabs>
        <w:spacing w:line="240" w:lineRule="auto" w:before="243" w:after="0"/>
        <w:ind w:left="1872" w:right="777" w:firstLine="0"/>
        <w:jc w:val="both"/>
        <w:rPr>
          <w:sz w:val="24"/>
        </w:rPr>
      </w:pPr>
      <w:r>
        <w:rPr>
          <w:b/>
          <w:i/>
          <w:sz w:val="24"/>
        </w:rPr>
        <w:t>Minimum plot areas: </w:t>
      </w:r>
      <w:r>
        <w:rPr>
          <w:sz w:val="24"/>
        </w:rPr>
        <w:t>The minimum plot areas permissible for different categories of use types of development permissible and the minimum</w:t>
      </w:r>
      <w:r>
        <w:rPr>
          <w:spacing w:val="40"/>
          <w:sz w:val="24"/>
        </w:rPr>
        <w:t> </w:t>
      </w:r>
      <w:r>
        <w:rPr>
          <w:sz w:val="24"/>
        </w:rPr>
        <w:t>dimension</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in</w:t>
      </w:r>
      <w:r>
        <w:rPr>
          <w:spacing w:val="40"/>
          <w:sz w:val="24"/>
        </w:rPr>
        <w:t> </w:t>
      </w:r>
      <w:r>
        <w:rPr>
          <w:sz w:val="24"/>
        </w:rPr>
        <w:t>Tables</w:t>
      </w:r>
      <w:r>
        <w:rPr>
          <w:spacing w:val="40"/>
          <w:sz w:val="24"/>
        </w:rPr>
        <w:t> </w:t>
      </w:r>
      <w:r>
        <w:rPr>
          <w:sz w:val="24"/>
        </w:rPr>
        <w:t>No</w:t>
      </w:r>
      <w:r>
        <w:rPr>
          <w:spacing w:val="40"/>
          <w:sz w:val="24"/>
        </w:rPr>
        <w:t> </w:t>
      </w:r>
      <w:r>
        <w:rPr>
          <w:sz w:val="24"/>
        </w:rPr>
        <w:t>10</w:t>
      </w:r>
      <w:r>
        <w:rPr>
          <w:spacing w:val="40"/>
          <w:sz w:val="24"/>
        </w:rPr>
        <w:t> </w:t>
      </w:r>
      <w:r>
        <w:rPr>
          <w:sz w:val="24"/>
        </w:rPr>
        <w:t>here</w:t>
      </w:r>
      <w:r>
        <w:rPr>
          <w:spacing w:val="40"/>
          <w:sz w:val="24"/>
        </w:rPr>
        <w:t> </w:t>
      </w:r>
      <w:r>
        <w:rPr>
          <w:sz w:val="24"/>
        </w:rPr>
        <w:t>under:</w:t>
      </w:r>
    </w:p>
    <w:p>
      <w:pPr>
        <w:pStyle w:val="ListParagraph"/>
        <w:spacing w:after="0" w:line="240" w:lineRule="auto"/>
        <w:jc w:val="both"/>
        <w:rPr>
          <w:sz w:val="24"/>
        </w:rPr>
        <w:sectPr>
          <w:pgSz w:w="11910" w:h="16840"/>
          <w:pgMar w:header="1058" w:footer="1194" w:top="1500" w:bottom="1380" w:left="360" w:right="360"/>
        </w:sectPr>
      </w:pPr>
    </w:p>
    <w:p>
      <w:pPr>
        <w:pStyle w:val="BodyText"/>
        <w:spacing w:before="42"/>
        <w:jc w:val="left"/>
        <w:rPr>
          <w:sz w:val="18"/>
        </w:rPr>
      </w:pPr>
    </w:p>
    <w:p>
      <w:pPr>
        <w:spacing w:before="0"/>
        <w:ind w:left="1022" w:right="0" w:firstLine="0"/>
        <w:jc w:val="left"/>
        <w:rPr>
          <w:b/>
          <w:sz w:val="18"/>
        </w:rPr>
      </w:pPr>
      <w:r>
        <w:rPr>
          <w:b/>
          <w:sz w:val="18"/>
        </w:rPr>
        <w:t>TABLE</w:t>
      </w:r>
      <w:r>
        <w:rPr>
          <w:b/>
          <w:spacing w:val="-4"/>
          <w:sz w:val="18"/>
        </w:rPr>
        <w:t> </w:t>
      </w:r>
      <w:r>
        <w:rPr>
          <w:b/>
          <w:sz w:val="18"/>
        </w:rPr>
        <w:t>No</w:t>
      </w:r>
      <w:r>
        <w:rPr>
          <w:b/>
          <w:spacing w:val="-3"/>
          <w:sz w:val="18"/>
        </w:rPr>
        <w:t> </w:t>
      </w:r>
      <w:r>
        <w:rPr>
          <w:b/>
          <w:spacing w:val="-7"/>
          <w:sz w:val="18"/>
        </w:rPr>
        <w:t>10</w:t>
      </w:r>
    </w:p>
    <w:p>
      <w:pPr>
        <w:spacing w:before="39" w:after="45"/>
        <w:ind w:left="1548" w:right="1305" w:firstLine="0"/>
        <w:jc w:val="center"/>
        <w:rPr>
          <w:sz w:val="18"/>
        </w:rPr>
      </w:pPr>
      <w:r>
        <w:rPr>
          <w:sz w:val="18"/>
        </w:rPr>
        <w:t>Minimum</w:t>
      </w:r>
      <w:r>
        <w:rPr>
          <w:spacing w:val="-2"/>
          <w:sz w:val="18"/>
        </w:rPr>
        <w:t> </w:t>
      </w:r>
      <w:r>
        <w:rPr>
          <w:sz w:val="18"/>
        </w:rPr>
        <w:t>Plot</w:t>
      </w:r>
      <w:r>
        <w:rPr>
          <w:spacing w:val="-3"/>
          <w:sz w:val="18"/>
        </w:rPr>
        <w:t> </w:t>
      </w:r>
      <w:r>
        <w:rPr>
          <w:sz w:val="18"/>
        </w:rPr>
        <w:t>areas</w:t>
      </w:r>
      <w:r>
        <w:rPr>
          <w:spacing w:val="-2"/>
          <w:sz w:val="18"/>
        </w:rPr>
        <w:t> </w:t>
      </w:r>
      <w:r>
        <w:rPr>
          <w:sz w:val="18"/>
        </w:rPr>
        <w:t>for</w:t>
      </w:r>
      <w:r>
        <w:rPr>
          <w:spacing w:val="-2"/>
          <w:sz w:val="18"/>
        </w:rPr>
        <w:t> </w:t>
      </w:r>
      <w:r>
        <w:rPr>
          <w:sz w:val="18"/>
        </w:rPr>
        <w:t>various</w:t>
      </w:r>
      <w:r>
        <w:rPr>
          <w:spacing w:val="-2"/>
          <w:sz w:val="18"/>
        </w:rPr>
        <w:t> </w:t>
      </w:r>
      <w:r>
        <w:rPr>
          <w:spacing w:val="-4"/>
          <w:sz w:val="18"/>
        </w:rPr>
        <w:t>Uses</w:t>
      </w:r>
    </w:p>
    <w:tbl>
      <w:tblPr>
        <w:tblW w:w="0" w:type="auto"/>
        <w:jc w:val="left"/>
        <w:tblInd w:w="1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0"/>
        <w:gridCol w:w="3288"/>
        <w:gridCol w:w="3420"/>
        <w:gridCol w:w="1439"/>
      </w:tblGrid>
      <w:tr>
        <w:trPr>
          <w:trHeight w:val="1057" w:hRule="atLeast"/>
        </w:trPr>
        <w:tc>
          <w:tcPr>
            <w:tcW w:w="710" w:type="dxa"/>
          </w:tcPr>
          <w:p>
            <w:pPr>
              <w:pStyle w:val="TableParagraph"/>
              <w:spacing w:before="233"/>
              <w:ind w:left="107"/>
              <w:rPr>
                <w:sz w:val="20"/>
              </w:rPr>
            </w:pPr>
            <w:r>
              <w:rPr>
                <w:spacing w:val="-5"/>
                <w:sz w:val="20"/>
              </w:rPr>
              <w:t>Sr.</w:t>
            </w:r>
          </w:p>
          <w:p>
            <w:pPr>
              <w:pStyle w:val="TableParagraph"/>
              <w:spacing w:before="39"/>
              <w:ind w:left="107"/>
              <w:rPr>
                <w:sz w:val="20"/>
              </w:rPr>
            </w:pPr>
            <w:r>
              <w:rPr>
                <w:spacing w:val="-5"/>
                <w:sz w:val="20"/>
              </w:rPr>
              <w:t>No</w:t>
            </w:r>
          </w:p>
          <w:p>
            <w:pPr>
              <w:pStyle w:val="TableParagraph"/>
              <w:spacing w:before="41"/>
              <w:ind w:left="357"/>
              <w:rPr>
                <w:sz w:val="20"/>
              </w:rPr>
            </w:pPr>
            <w:r>
              <w:rPr>
                <w:spacing w:val="-5"/>
                <w:sz w:val="20"/>
              </w:rPr>
              <w:t>(1)</w:t>
            </w:r>
          </w:p>
        </w:tc>
        <w:tc>
          <w:tcPr>
            <w:tcW w:w="3288" w:type="dxa"/>
          </w:tcPr>
          <w:p>
            <w:pPr>
              <w:pStyle w:val="TableParagraph"/>
              <w:spacing w:before="39"/>
              <w:ind w:left="1317"/>
              <w:rPr>
                <w:sz w:val="20"/>
              </w:rPr>
            </w:pPr>
            <w:r>
              <w:rPr>
                <w:sz w:val="20"/>
              </w:rPr>
              <w:t>Land</w:t>
            </w:r>
            <w:r>
              <w:rPr>
                <w:spacing w:val="-8"/>
                <w:sz w:val="20"/>
              </w:rPr>
              <w:t> </w:t>
            </w:r>
            <w:r>
              <w:rPr>
                <w:spacing w:val="-5"/>
                <w:sz w:val="20"/>
              </w:rPr>
              <w:t>use</w:t>
            </w:r>
          </w:p>
          <w:p>
            <w:pPr>
              <w:pStyle w:val="TableParagraph"/>
              <w:spacing w:before="80"/>
              <w:rPr>
                <w:sz w:val="20"/>
              </w:rPr>
            </w:pPr>
          </w:p>
          <w:p>
            <w:pPr>
              <w:pStyle w:val="TableParagraph"/>
              <w:ind w:left="2095"/>
              <w:rPr>
                <w:sz w:val="20"/>
              </w:rPr>
            </w:pPr>
            <w:r>
              <w:rPr>
                <w:spacing w:val="-5"/>
                <w:sz w:val="20"/>
              </w:rPr>
              <w:t>(2)</w:t>
            </w:r>
          </w:p>
        </w:tc>
        <w:tc>
          <w:tcPr>
            <w:tcW w:w="3420" w:type="dxa"/>
          </w:tcPr>
          <w:p>
            <w:pPr>
              <w:pStyle w:val="TableParagraph"/>
              <w:spacing w:before="39"/>
              <w:ind w:left="265" w:right="5"/>
              <w:jc w:val="center"/>
              <w:rPr>
                <w:sz w:val="20"/>
              </w:rPr>
            </w:pPr>
            <w:r>
              <w:rPr>
                <w:sz w:val="20"/>
              </w:rPr>
              <w:t>Plot</w:t>
            </w:r>
            <w:r>
              <w:rPr>
                <w:spacing w:val="-6"/>
                <w:sz w:val="20"/>
              </w:rPr>
              <w:t> </w:t>
            </w:r>
            <w:r>
              <w:rPr>
                <w:sz w:val="20"/>
              </w:rPr>
              <w:t>area</w:t>
            </w:r>
            <w:r>
              <w:rPr>
                <w:spacing w:val="-7"/>
                <w:sz w:val="20"/>
              </w:rPr>
              <w:t> </w:t>
            </w:r>
            <w:r>
              <w:rPr>
                <w:spacing w:val="-2"/>
                <w:sz w:val="20"/>
              </w:rPr>
              <w:t>(sq.m)</w:t>
            </w:r>
          </w:p>
          <w:p>
            <w:pPr>
              <w:pStyle w:val="TableParagraph"/>
              <w:spacing w:before="80"/>
              <w:rPr>
                <w:sz w:val="20"/>
              </w:rPr>
            </w:pPr>
          </w:p>
          <w:p>
            <w:pPr>
              <w:pStyle w:val="TableParagraph"/>
              <w:ind w:left="265" w:right="4"/>
              <w:jc w:val="center"/>
              <w:rPr>
                <w:sz w:val="20"/>
              </w:rPr>
            </w:pPr>
            <w:r>
              <w:rPr>
                <w:spacing w:val="-5"/>
                <w:sz w:val="20"/>
              </w:rPr>
              <w:t>(3)</w:t>
            </w:r>
          </w:p>
        </w:tc>
        <w:tc>
          <w:tcPr>
            <w:tcW w:w="1439" w:type="dxa"/>
          </w:tcPr>
          <w:p>
            <w:pPr>
              <w:pStyle w:val="TableParagraph"/>
              <w:spacing w:before="39"/>
              <w:ind w:left="109" w:right="114" w:firstLine="249"/>
              <w:rPr>
                <w:sz w:val="20"/>
              </w:rPr>
            </w:pPr>
            <w:r>
              <w:rPr>
                <w:sz w:val="20"/>
              </w:rPr>
              <w:t>Type of </w:t>
            </w:r>
            <w:r>
              <w:rPr>
                <w:spacing w:val="-2"/>
                <w:sz w:val="20"/>
              </w:rPr>
              <w:t>Developmen </w:t>
            </w:r>
            <w:r>
              <w:rPr>
                <w:spacing w:val="-10"/>
                <w:sz w:val="20"/>
              </w:rPr>
              <w:t>t</w:t>
            </w:r>
          </w:p>
          <w:p>
            <w:pPr>
              <w:pStyle w:val="TableParagraph"/>
              <w:spacing w:before="40"/>
              <w:ind w:left="745"/>
              <w:rPr>
                <w:sz w:val="20"/>
              </w:rPr>
            </w:pPr>
            <w:r>
              <w:rPr>
                <w:spacing w:val="-5"/>
                <w:sz w:val="20"/>
              </w:rPr>
              <w:t>(4)</w:t>
            </w:r>
          </w:p>
        </w:tc>
      </w:tr>
      <w:tr>
        <w:trPr>
          <w:trHeight w:val="551" w:hRule="atLeast"/>
        </w:trPr>
        <w:tc>
          <w:tcPr>
            <w:tcW w:w="710" w:type="dxa"/>
            <w:vMerge w:val="restart"/>
          </w:tcPr>
          <w:p>
            <w:pPr>
              <w:pStyle w:val="TableParagraph"/>
              <w:spacing w:before="41"/>
              <w:ind w:left="417"/>
              <w:rPr>
                <w:sz w:val="20"/>
              </w:rPr>
            </w:pPr>
            <w:r>
              <w:rPr>
                <w:spacing w:val="-10"/>
                <w:sz w:val="20"/>
              </w:rPr>
              <w:t>1</w:t>
            </w:r>
          </w:p>
        </w:tc>
        <w:tc>
          <w:tcPr>
            <w:tcW w:w="3288" w:type="dxa"/>
            <w:vMerge w:val="restart"/>
          </w:tcPr>
          <w:p>
            <w:pPr>
              <w:pStyle w:val="TableParagraph"/>
              <w:spacing w:before="41"/>
              <w:ind w:left="379" w:firstLine="14"/>
              <w:rPr>
                <w:sz w:val="20"/>
              </w:rPr>
            </w:pPr>
            <w:r>
              <w:rPr>
                <w:sz w:val="20"/>
              </w:rPr>
              <w:t>Residential</w:t>
            </w:r>
            <w:r>
              <w:rPr>
                <w:spacing w:val="-16"/>
                <w:sz w:val="20"/>
              </w:rPr>
              <w:t> </w:t>
            </w:r>
            <w:r>
              <w:rPr>
                <w:sz w:val="20"/>
              </w:rPr>
              <w:t>and</w:t>
            </w:r>
            <w:r>
              <w:rPr>
                <w:spacing w:val="-16"/>
                <w:sz w:val="20"/>
              </w:rPr>
              <w:t> </w:t>
            </w:r>
            <w:r>
              <w:rPr>
                <w:sz w:val="20"/>
              </w:rPr>
              <w:t>Commercial (except those in 2,3 and 4</w:t>
            </w:r>
          </w:p>
          <w:p>
            <w:pPr>
              <w:pStyle w:val="TableParagraph"/>
              <w:spacing w:line="233" w:lineRule="exact"/>
              <w:ind w:left="1334"/>
              <w:rPr>
                <w:sz w:val="20"/>
              </w:rPr>
            </w:pPr>
            <w:r>
              <w:rPr>
                <w:spacing w:val="-2"/>
                <w:sz w:val="20"/>
              </w:rPr>
              <w:t>below)</w:t>
            </w:r>
          </w:p>
        </w:tc>
        <w:tc>
          <w:tcPr>
            <w:tcW w:w="3420" w:type="dxa"/>
          </w:tcPr>
          <w:p>
            <w:pPr>
              <w:pStyle w:val="TableParagraph"/>
              <w:spacing w:line="234" w:lineRule="exact" w:before="41"/>
              <w:ind w:left="265" w:right="3"/>
              <w:jc w:val="center"/>
              <w:rPr>
                <w:sz w:val="20"/>
              </w:rPr>
            </w:pPr>
            <w:r>
              <w:rPr>
                <w:sz w:val="20"/>
              </w:rPr>
              <w:t>(i)25</w:t>
            </w:r>
            <w:r>
              <w:rPr>
                <w:spacing w:val="-6"/>
                <w:sz w:val="20"/>
              </w:rPr>
              <w:t> </w:t>
            </w:r>
            <w:r>
              <w:rPr>
                <w:sz w:val="20"/>
              </w:rPr>
              <w:t>and</w:t>
            </w:r>
            <w:r>
              <w:rPr>
                <w:spacing w:val="-6"/>
                <w:sz w:val="20"/>
              </w:rPr>
              <w:t> </w:t>
            </w:r>
            <w:r>
              <w:rPr>
                <w:sz w:val="20"/>
              </w:rPr>
              <w:t>above</w:t>
            </w:r>
            <w:r>
              <w:rPr>
                <w:spacing w:val="-5"/>
                <w:sz w:val="20"/>
              </w:rPr>
              <w:t> </w:t>
            </w:r>
            <w:r>
              <w:rPr>
                <w:sz w:val="20"/>
              </w:rPr>
              <w:t>but</w:t>
            </w:r>
            <w:r>
              <w:rPr>
                <w:spacing w:val="-4"/>
                <w:sz w:val="20"/>
              </w:rPr>
              <w:t> </w:t>
            </w:r>
            <w:r>
              <w:rPr>
                <w:sz w:val="20"/>
              </w:rPr>
              <w:t>less</w:t>
            </w:r>
            <w:r>
              <w:rPr>
                <w:spacing w:val="-4"/>
                <w:sz w:val="20"/>
              </w:rPr>
              <w:t> than</w:t>
            </w:r>
          </w:p>
          <w:p>
            <w:pPr>
              <w:pStyle w:val="TableParagraph"/>
              <w:spacing w:line="234" w:lineRule="exact"/>
              <w:ind w:left="14"/>
              <w:jc w:val="center"/>
              <w:rPr>
                <w:sz w:val="20"/>
              </w:rPr>
            </w:pPr>
            <w:r>
              <w:rPr>
                <w:spacing w:val="-5"/>
                <w:sz w:val="20"/>
              </w:rPr>
              <w:t>40</w:t>
            </w:r>
          </w:p>
        </w:tc>
        <w:tc>
          <w:tcPr>
            <w:tcW w:w="1439" w:type="dxa"/>
          </w:tcPr>
          <w:p>
            <w:pPr>
              <w:pStyle w:val="TableParagraph"/>
              <w:spacing w:before="41"/>
              <w:ind w:left="267" w:right="1"/>
              <w:jc w:val="center"/>
              <w:rPr>
                <w:sz w:val="20"/>
              </w:rPr>
            </w:pPr>
            <w:r>
              <w:rPr>
                <w:spacing w:val="-5"/>
                <w:sz w:val="20"/>
              </w:rPr>
              <w:t>Row</w:t>
            </w:r>
          </w:p>
        </w:tc>
      </w:tr>
      <w:tr>
        <w:trPr>
          <w:trHeight w:val="548" w:hRule="atLeast"/>
        </w:trPr>
        <w:tc>
          <w:tcPr>
            <w:tcW w:w="710" w:type="dxa"/>
            <w:vMerge/>
            <w:tcBorders>
              <w:top w:val="nil"/>
            </w:tcBorders>
          </w:tcPr>
          <w:p>
            <w:pPr>
              <w:rPr>
                <w:sz w:val="2"/>
                <w:szCs w:val="2"/>
              </w:rPr>
            </w:pPr>
          </w:p>
        </w:tc>
        <w:tc>
          <w:tcPr>
            <w:tcW w:w="3288" w:type="dxa"/>
            <w:vMerge/>
            <w:tcBorders>
              <w:top w:val="nil"/>
            </w:tcBorders>
          </w:tcPr>
          <w:p>
            <w:pPr>
              <w:rPr>
                <w:sz w:val="2"/>
                <w:szCs w:val="2"/>
              </w:rPr>
            </w:pPr>
          </w:p>
        </w:tc>
        <w:tc>
          <w:tcPr>
            <w:tcW w:w="3420" w:type="dxa"/>
          </w:tcPr>
          <w:p>
            <w:pPr>
              <w:pStyle w:val="TableParagraph"/>
              <w:spacing w:line="234" w:lineRule="exact" w:before="39"/>
              <w:ind w:left="265" w:right="6"/>
              <w:jc w:val="center"/>
              <w:rPr>
                <w:sz w:val="20"/>
              </w:rPr>
            </w:pPr>
            <w:r>
              <w:rPr>
                <w:sz w:val="20"/>
              </w:rPr>
              <w:t>(ii)40</w:t>
            </w:r>
            <w:r>
              <w:rPr>
                <w:spacing w:val="-6"/>
                <w:sz w:val="20"/>
              </w:rPr>
              <w:t> </w:t>
            </w:r>
            <w:r>
              <w:rPr>
                <w:sz w:val="20"/>
              </w:rPr>
              <w:t>and</w:t>
            </w:r>
            <w:r>
              <w:rPr>
                <w:spacing w:val="-6"/>
                <w:sz w:val="20"/>
              </w:rPr>
              <w:t> </w:t>
            </w:r>
            <w:r>
              <w:rPr>
                <w:sz w:val="20"/>
              </w:rPr>
              <w:t>above</w:t>
            </w:r>
            <w:r>
              <w:rPr>
                <w:spacing w:val="-6"/>
                <w:sz w:val="20"/>
              </w:rPr>
              <w:t> </w:t>
            </w:r>
            <w:r>
              <w:rPr>
                <w:sz w:val="20"/>
              </w:rPr>
              <w:t>but</w:t>
            </w:r>
            <w:r>
              <w:rPr>
                <w:spacing w:val="-4"/>
                <w:sz w:val="20"/>
              </w:rPr>
              <w:t> </w:t>
            </w:r>
            <w:r>
              <w:rPr>
                <w:sz w:val="20"/>
              </w:rPr>
              <w:t>less</w:t>
            </w:r>
            <w:r>
              <w:rPr>
                <w:spacing w:val="-4"/>
                <w:sz w:val="20"/>
              </w:rPr>
              <w:t> than</w:t>
            </w:r>
          </w:p>
          <w:p>
            <w:pPr>
              <w:pStyle w:val="TableParagraph"/>
              <w:spacing w:line="234" w:lineRule="exact"/>
              <w:ind w:left="15"/>
              <w:jc w:val="center"/>
              <w:rPr>
                <w:sz w:val="20"/>
              </w:rPr>
            </w:pPr>
            <w:r>
              <w:rPr>
                <w:spacing w:val="-5"/>
                <w:sz w:val="20"/>
              </w:rPr>
              <w:t>125</w:t>
            </w:r>
          </w:p>
        </w:tc>
        <w:tc>
          <w:tcPr>
            <w:tcW w:w="1439" w:type="dxa"/>
          </w:tcPr>
          <w:p>
            <w:pPr>
              <w:pStyle w:val="TableParagraph"/>
              <w:spacing w:before="39"/>
              <w:ind w:left="176" w:right="114" w:firstLine="204"/>
              <w:rPr>
                <w:sz w:val="20"/>
              </w:rPr>
            </w:pPr>
            <w:r>
              <w:rPr>
                <w:spacing w:val="-2"/>
                <w:sz w:val="20"/>
              </w:rPr>
              <w:t>Row/sem i-detached.</w:t>
            </w:r>
          </w:p>
        </w:tc>
      </w:tr>
      <w:tr>
        <w:trPr>
          <w:trHeight w:val="825" w:hRule="atLeast"/>
        </w:trPr>
        <w:tc>
          <w:tcPr>
            <w:tcW w:w="710" w:type="dxa"/>
            <w:vMerge/>
            <w:tcBorders>
              <w:top w:val="nil"/>
            </w:tcBorders>
          </w:tcPr>
          <w:p>
            <w:pPr>
              <w:rPr>
                <w:sz w:val="2"/>
                <w:szCs w:val="2"/>
              </w:rPr>
            </w:pPr>
          </w:p>
        </w:tc>
        <w:tc>
          <w:tcPr>
            <w:tcW w:w="3288" w:type="dxa"/>
            <w:vMerge/>
            <w:tcBorders>
              <w:top w:val="nil"/>
            </w:tcBorders>
          </w:tcPr>
          <w:p>
            <w:pPr>
              <w:rPr>
                <w:sz w:val="2"/>
                <w:szCs w:val="2"/>
              </w:rPr>
            </w:pPr>
          </w:p>
        </w:tc>
        <w:tc>
          <w:tcPr>
            <w:tcW w:w="3420" w:type="dxa"/>
          </w:tcPr>
          <w:p>
            <w:pPr>
              <w:pStyle w:val="TableParagraph"/>
              <w:spacing w:before="39"/>
              <w:ind w:left="411" w:firstLine="160"/>
              <w:rPr>
                <w:sz w:val="20"/>
              </w:rPr>
            </w:pPr>
            <w:r>
              <w:rPr>
                <w:sz w:val="20"/>
              </w:rPr>
              <w:t>(iii)125</w:t>
            </w:r>
            <w:r>
              <w:rPr>
                <w:spacing w:val="-11"/>
                <w:sz w:val="20"/>
              </w:rPr>
              <w:t> </w:t>
            </w:r>
            <w:r>
              <w:rPr>
                <w:sz w:val="20"/>
              </w:rPr>
              <w:t>and</w:t>
            </w:r>
            <w:r>
              <w:rPr>
                <w:spacing w:val="-11"/>
                <w:sz w:val="20"/>
              </w:rPr>
              <w:t> </w:t>
            </w:r>
            <w:r>
              <w:rPr>
                <w:sz w:val="20"/>
              </w:rPr>
              <w:t>above</w:t>
            </w:r>
            <w:r>
              <w:rPr>
                <w:spacing w:val="-10"/>
                <w:sz w:val="20"/>
              </w:rPr>
              <w:t> </w:t>
            </w:r>
            <w:r>
              <w:rPr>
                <w:sz w:val="20"/>
              </w:rPr>
              <w:t>with</w:t>
            </w:r>
            <w:r>
              <w:rPr>
                <w:spacing w:val="-7"/>
                <w:sz w:val="20"/>
              </w:rPr>
              <w:t> </w:t>
            </w:r>
            <w:r>
              <w:rPr>
                <w:sz w:val="20"/>
              </w:rPr>
              <w:t>no dimension less than 9.0 m</w:t>
            </w:r>
          </w:p>
        </w:tc>
        <w:tc>
          <w:tcPr>
            <w:tcW w:w="1439" w:type="dxa"/>
          </w:tcPr>
          <w:p>
            <w:pPr>
              <w:pStyle w:val="TableParagraph"/>
              <w:spacing w:line="259" w:lineRule="auto" w:before="39"/>
              <w:ind w:left="148" w:right="106" w:firstLine="232"/>
              <w:jc w:val="right"/>
              <w:rPr>
                <w:sz w:val="20"/>
              </w:rPr>
            </w:pPr>
            <w:r>
              <w:rPr>
                <w:spacing w:val="-2"/>
                <w:sz w:val="20"/>
              </w:rPr>
              <w:t>Row/sem i-detached/ detached.</w:t>
            </w:r>
          </w:p>
        </w:tc>
      </w:tr>
      <w:tr>
        <w:trPr>
          <w:trHeight w:val="1017" w:hRule="atLeast"/>
        </w:trPr>
        <w:tc>
          <w:tcPr>
            <w:tcW w:w="710" w:type="dxa"/>
          </w:tcPr>
          <w:p>
            <w:pPr>
              <w:pStyle w:val="TableParagraph"/>
              <w:spacing w:before="39"/>
              <w:ind w:right="152"/>
              <w:jc w:val="right"/>
              <w:rPr>
                <w:sz w:val="20"/>
              </w:rPr>
            </w:pPr>
            <w:r>
              <w:rPr>
                <w:spacing w:val="-10"/>
                <w:sz w:val="20"/>
              </w:rPr>
              <w:t>2</w:t>
            </w:r>
          </w:p>
        </w:tc>
        <w:tc>
          <w:tcPr>
            <w:tcW w:w="3288" w:type="dxa"/>
          </w:tcPr>
          <w:p>
            <w:pPr>
              <w:pStyle w:val="TableParagraph"/>
              <w:spacing w:before="39"/>
              <w:ind w:left="374" w:firstLine="93"/>
              <w:rPr>
                <w:sz w:val="20"/>
              </w:rPr>
            </w:pPr>
            <w:r>
              <w:rPr>
                <w:sz w:val="20"/>
              </w:rPr>
              <w:t>Plots</w:t>
            </w:r>
            <w:r>
              <w:rPr>
                <w:spacing w:val="-15"/>
                <w:sz w:val="20"/>
              </w:rPr>
              <w:t> </w:t>
            </w:r>
            <w:r>
              <w:rPr>
                <w:sz w:val="20"/>
              </w:rPr>
              <w:t>in</w:t>
            </w:r>
            <w:r>
              <w:rPr>
                <w:spacing w:val="-13"/>
                <w:sz w:val="20"/>
              </w:rPr>
              <w:t> </w:t>
            </w:r>
            <w:r>
              <w:rPr>
                <w:sz w:val="20"/>
              </w:rPr>
              <w:t>Rehabilitation</w:t>
            </w:r>
            <w:r>
              <w:rPr>
                <w:spacing w:val="-14"/>
                <w:sz w:val="20"/>
              </w:rPr>
              <w:t> </w:t>
            </w:r>
            <w:r>
              <w:rPr>
                <w:sz w:val="20"/>
              </w:rPr>
              <w:t>and Resettlement/Slum up- </w:t>
            </w:r>
            <w:r>
              <w:rPr>
                <w:spacing w:val="-2"/>
                <w:sz w:val="20"/>
              </w:rPr>
              <w:t>gradation/Reconstruction</w:t>
            </w:r>
          </w:p>
          <w:p>
            <w:pPr>
              <w:pStyle w:val="TableParagraph"/>
              <w:spacing w:line="234" w:lineRule="exact"/>
              <w:ind w:left="1243"/>
              <w:rPr>
                <w:sz w:val="20"/>
              </w:rPr>
            </w:pPr>
            <w:r>
              <w:rPr>
                <w:spacing w:val="-2"/>
                <w:sz w:val="20"/>
              </w:rPr>
              <w:t>scheme.</w:t>
            </w:r>
          </w:p>
        </w:tc>
        <w:tc>
          <w:tcPr>
            <w:tcW w:w="3420" w:type="dxa"/>
          </w:tcPr>
          <w:p>
            <w:pPr>
              <w:pStyle w:val="TableParagraph"/>
              <w:spacing w:line="234" w:lineRule="exact" w:before="39"/>
              <w:ind w:left="533"/>
              <w:rPr>
                <w:sz w:val="20"/>
              </w:rPr>
            </w:pPr>
            <w:r>
              <w:rPr>
                <w:sz w:val="20"/>
              </w:rPr>
              <w:t>21</w:t>
            </w:r>
            <w:r>
              <w:rPr>
                <w:spacing w:val="-8"/>
                <w:sz w:val="20"/>
              </w:rPr>
              <w:t> </w:t>
            </w:r>
            <w:r>
              <w:rPr>
                <w:sz w:val="20"/>
              </w:rPr>
              <w:t>with</w:t>
            </w:r>
            <w:r>
              <w:rPr>
                <w:spacing w:val="-5"/>
                <w:sz w:val="20"/>
              </w:rPr>
              <w:t> </w:t>
            </w:r>
            <w:r>
              <w:rPr>
                <w:sz w:val="20"/>
              </w:rPr>
              <w:t>minimum</w:t>
            </w:r>
            <w:r>
              <w:rPr>
                <w:spacing w:val="-7"/>
                <w:sz w:val="20"/>
              </w:rPr>
              <w:t> </w:t>
            </w:r>
            <w:r>
              <w:rPr>
                <w:sz w:val="20"/>
              </w:rPr>
              <w:t>width</w:t>
            </w:r>
            <w:r>
              <w:rPr>
                <w:spacing w:val="-3"/>
                <w:sz w:val="20"/>
              </w:rPr>
              <w:t> </w:t>
            </w:r>
            <w:r>
              <w:rPr>
                <w:spacing w:val="-5"/>
                <w:sz w:val="20"/>
              </w:rPr>
              <w:t>of</w:t>
            </w:r>
          </w:p>
          <w:p>
            <w:pPr>
              <w:pStyle w:val="TableParagraph"/>
              <w:spacing w:line="234" w:lineRule="exact"/>
              <w:ind w:left="1429"/>
              <w:rPr>
                <w:sz w:val="20"/>
              </w:rPr>
            </w:pPr>
            <w:r>
              <w:rPr>
                <w:sz w:val="20"/>
              </w:rPr>
              <w:t>3.0</w:t>
            </w:r>
            <w:r>
              <w:rPr>
                <w:spacing w:val="-7"/>
                <w:sz w:val="20"/>
              </w:rPr>
              <w:t> </w:t>
            </w:r>
            <w:r>
              <w:rPr>
                <w:spacing w:val="-10"/>
                <w:sz w:val="20"/>
              </w:rPr>
              <w:t>m</w:t>
            </w:r>
          </w:p>
        </w:tc>
        <w:tc>
          <w:tcPr>
            <w:tcW w:w="1439" w:type="dxa"/>
          </w:tcPr>
          <w:p>
            <w:pPr>
              <w:pStyle w:val="TableParagraph"/>
              <w:spacing w:before="39"/>
              <w:ind w:left="267"/>
              <w:jc w:val="center"/>
              <w:rPr>
                <w:sz w:val="20"/>
              </w:rPr>
            </w:pPr>
            <w:r>
              <w:rPr>
                <w:spacing w:val="-4"/>
                <w:sz w:val="20"/>
              </w:rPr>
              <w:t>Row.</w:t>
            </w:r>
          </w:p>
        </w:tc>
      </w:tr>
      <w:tr>
        <w:trPr>
          <w:trHeight w:val="316" w:hRule="atLeast"/>
        </w:trPr>
        <w:tc>
          <w:tcPr>
            <w:tcW w:w="710" w:type="dxa"/>
            <w:vMerge w:val="restart"/>
          </w:tcPr>
          <w:p>
            <w:pPr>
              <w:pStyle w:val="TableParagraph"/>
              <w:spacing w:before="41"/>
              <w:ind w:left="386"/>
              <w:rPr>
                <w:sz w:val="20"/>
              </w:rPr>
            </w:pPr>
            <w:r>
              <w:rPr>
                <w:spacing w:val="-5"/>
                <w:sz w:val="20"/>
              </w:rPr>
              <w:t>3.</w:t>
            </w:r>
          </w:p>
        </w:tc>
        <w:tc>
          <w:tcPr>
            <w:tcW w:w="3288" w:type="dxa"/>
          </w:tcPr>
          <w:p>
            <w:pPr>
              <w:pStyle w:val="TableParagraph"/>
              <w:spacing w:before="41"/>
              <w:ind w:right="459"/>
              <w:jc w:val="right"/>
              <w:rPr>
                <w:sz w:val="20"/>
              </w:rPr>
            </w:pPr>
            <w:r>
              <w:rPr>
                <w:sz w:val="20"/>
              </w:rPr>
              <w:t>Petrol</w:t>
            </w:r>
            <w:r>
              <w:rPr>
                <w:spacing w:val="-7"/>
                <w:sz w:val="20"/>
              </w:rPr>
              <w:t> </w:t>
            </w:r>
            <w:r>
              <w:rPr>
                <w:sz w:val="20"/>
              </w:rPr>
              <w:t>filling</w:t>
            </w:r>
            <w:r>
              <w:rPr>
                <w:spacing w:val="-8"/>
                <w:sz w:val="20"/>
              </w:rPr>
              <w:t> </w:t>
            </w:r>
            <w:r>
              <w:rPr>
                <w:sz w:val="20"/>
              </w:rPr>
              <w:t>Station</w:t>
            </w:r>
            <w:r>
              <w:rPr>
                <w:spacing w:val="-5"/>
                <w:sz w:val="20"/>
              </w:rPr>
              <w:t> </w:t>
            </w:r>
            <w:r>
              <w:rPr>
                <w:spacing w:val="-10"/>
                <w:sz w:val="20"/>
              </w:rPr>
              <w:t>-</w:t>
            </w:r>
          </w:p>
        </w:tc>
        <w:tc>
          <w:tcPr>
            <w:tcW w:w="3420" w:type="dxa"/>
          </w:tcPr>
          <w:p>
            <w:pPr>
              <w:pStyle w:val="TableParagraph"/>
              <w:rPr>
                <w:rFonts w:ascii="Times New Roman"/>
                <w:sz w:val="20"/>
              </w:rPr>
            </w:pPr>
          </w:p>
        </w:tc>
        <w:tc>
          <w:tcPr>
            <w:tcW w:w="1439" w:type="dxa"/>
          </w:tcPr>
          <w:p>
            <w:pPr>
              <w:pStyle w:val="TableParagraph"/>
              <w:rPr>
                <w:rFonts w:ascii="Times New Roman"/>
                <w:sz w:val="20"/>
              </w:rPr>
            </w:pPr>
          </w:p>
        </w:tc>
      </w:tr>
      <w:tr>
        <w:trPr>
          <w:trHeight w:val="1254" w:hRule="atLeast"/>
        </w:trPr>
        <w:tc>
          <w:tcPr>
            <w:tcW w:w="710" w:type="dxa"/>
            <w:vMerge/>
            <w:tcBorders>
              <w:top w:val="nil"/>
            </w:tcBorders>
          </w:tcPr>
          <w:p>
            <w:pPr>
              <w:rPr>
                <w:sz w:val="2"/>
                <w:szCs w:val="2"/>
              </w:rPr>
            </w:pPr>
          </w:p>
        </w:tc>
        <w:tc>
          <w:tcPr>
            <w:tcW w:w="3288" w:type="dxa"/>
          </w:tcPr>
          <w:p>
            <w:pPr>
              <w:pStyle w:val="TableParagraph"/>
              <w:spacing w:before="39"/>
              <w:ind w:right="411"/>
              <w:jc w:val="right"/>
              <w:rPr>
                <w:sz w:val="20"/>
              </w:rPr>
            </w:pPr>
            <w:r>
              <w:rPr>
                <w:sz w:val="20"/>
              </w:rPr>
              <w:t>(a)</w:t>
            </w:r>
            <w:r>
              <w:rPr>
                <w:spacing w:val="-7"/>
                <w:sz w:val="20"/>
              </w:rPr>
              <w:t> </w:t>
            </w:r>
            <w:r>
              <w:rPr>
                <w:sz w:val="20"/>
              </w:rPr>
              <w:t>without</w:t>
            </w:r>
            <w:r>
              <w:rPr>
                <w:spacing w:val="-5"/>
                <w:sz w:val="20"/>
              </w:rPr>
              <w:t> </w:t>
            </w:r>
            <w:r>
              <w:rPr>
                <w:sz w:val="20"/>
              </w:rPr>
              <w:t>service</w:t>
            </w:r>
            <w:r>
              <w:rPr>
                <w:spacing w:val="-7"/>
                <w:sz w:val="20"/>
              </w:rPr>
              <w:t> </w:t>
            </w:r>
            <w:r>
              <w:rPr>
                <w:spacing w:val="-5"/>
                <w:sz w:val="20"/>
              </w:rPr>
              <w:t>bay</w:t>
            </w:r>
          </w:p>
        </w:tc>
        <w:tc>
          <w:tcPr>
            <w:tcW w:w="3420" w:type="dxa"/>
          </w:tcPr>
          <w:p>
            <w:pPr>
              <w:pStyle w:val="TableParagraph"/>
              <w:spacing w:before="39"/>
              <w:ind w:left="108" w:firstLine="328"/>
              <w:rPr>
                <w:sz w:val="20"/>
              </w:rPr>
            </w:pPr>
            <w:r>
              <w:rPr>
                <w:sz w:val="20"/>
              </w:rPr>
              <w:t>545 (with one dimension not less</w:t>
            </w:r>
            <w:r>
              <w:rPr>
                <w:spacing w:val="-9"/>
                <w:sz w:val="20"/>
              </w:rPr>
              <w:t> </w:t>
            </w:r>
            <w:r>
              <w:rPr>
                <w:sz w:val="20"/>
              </w:rPr>
              <w:t>than</w:t>
            </w:r>
            <w:r>
              <w:rPr>
                <w:spacing w:val="-7"/>
                <w:sz w:val="20"/>
              </w:rPr>
              <w:t> </w:t>
            </w:r>
            <w:r>
              <w:rPr>
                <w:sz w:val="20"/>
              </w:rPr>
              <w:t>16.75</w:t>
            </w:r>
            <w:r>
              <w:rPr>
                <w:spacing w:val="-9"/>
                <w:sz w:val="20"/>
              </w:rPr>
              <w:t> </w:t>
            </w:r>
            <w:r>
              <w:rPr>
                <w:sz w:val="20"/>
              </w:rPr>
              <w:t>m).and</w:t>
            </w:r>
            <w:r>
              <w:rPr>
                <w:spacing w:val="-9"/>
                <w:sz w:val="20"/>
              </w:rPr>
              <w:t> </w:t>
            </w:r>
            <w:r>
              <w:rPr>
                <w:sz w:val="20"/>
              </w:rPr>
              <w:t>for</w:t>
            </w:r>
            <w:r>
              <w:rPr>
                <w:spacing w:val="-7"/>
                <w:sz w:val="20"/>
              </w:rPr>
              <w:t> </w:t>
            </w:r>
            <w:r>
              <w:rPr>
                <w:sz w:val="20"/>
              </w:rPr>
              <w:t>filling</w:t>
            </w:r>
          </w:p>
          <w:p>
            <w:pPr>
              <w:pStyle w:val="TableParagraph"/>
              <w:ind w:left="245" w:right="233" w:firstLine="2"/>
              <w:jc w:val="center"/>
              <w:rPr>
                <w:sz w:val="20"/>
              </w:rPr>
            </w:pPr>
            <w:r>
              <w:rPr>
                <w:sz w:val="20"/>
              </w:rPr>
              <w:t>stations of only compressed Natural</w:t>
            </w:r>
            <w:r>
              <w:rPr>
                <w:spacing w:val="-8"/>
                <w:sz w:val="20"/>
              </w:rPr>
              <w:t> </w:t>
            </w:r>
            <w:r>
              <w:rPr>
                <w:sz w:val="20"/>
              </w:rPr>
              <w:t>Gas</w:t>
            </w:r>
            <w:r>
              <w:rPr>
                <w:spacing w:val="-12"/>
                <w:sz w:val="20"/>
              </w:rPr>
              <w:t> </w:t>
            </w:r>
            <w:r>
              <w:rPr>
                <w:sz w:val="20"/>
              </w:rPr>
              <w:t>minimum</w:t>
            </w:r>
            <w:r>
              <w:rPr>
                <w:spacing w:val="-11"/>
                <w:sz w:val="20"/>
              </w:rPr>
              <w:t> </w:t>
            </w:r>
            <w:r>
              <w:rPr>
                <w:sz w:val="20"/>
              </w:rPr>
              <w:t>area</w:t>
            </w:r>
            <w:r>
              <w:rPr>
                <w:spacing w:val="-12"/>
                <w:sz w:val="20"/>
              </w:rPr>
              <w:t> </w:t>
            </w:r>
            <w:r>
              <w:rPr>
                <w:sz w:val="20"/>
              </w:rPr>
              <w:t>of plot shall be 300 sq. m.</w:t>
            </w:r>
          </w:p>
        </w:tc>
        <w:tc>
          <w:tcPr>
            <w:tcW w:w="1439" w:type="dxa"/>
          </w:tcPr>
          <w:p>
            <w:pPr>
              <w:pStyle w:val="TableParagraph"/>
              <w:spacing w:before="39"/>
              <w:ind w:left="267" w:right="2"/>
              <w:jc w:val="center"/>
              <w:rPr>
                <w:sz w:val="20"/>
              </w:rPr>
            </w:pPr>
            <w:r>
              <w:rPr>
                <w:spacing w:val="-2"/>
                <w:sz w:val="20"/>
              </w:rPr>
              <w:t>Detached</w:t>
            </w:r>
          </w:p>
        </w:tc>
      </w:tr>
      <w:tr>
        <w:trPr>
          <w:trHeight w:val="548" w:hRule="atLeast"/>
        </w:trPr>
        <w:tc>
          <w:tcPr>
            <w:tcW w:w="710" w:type="dxa"/>
            <w:vMerge/>
            <w:tcBorders>
              <w:top w:val="nil"/>
            </w:tcBorders>
          </w:tcPr>
          <w:p>
            <w:pPr>
              <w:rPr>
                <w:sz w:val="2"/>
                <w:szCs w:val="2"/>
              </w:rPr>
            </w:pPr>
          </w:p>
        </w:tc>
        <w:tc>
          <w:tcPr>
            <w:tcW w:w="3288" w:type="dxa"/>
          </w:tcPr>
          <w:p>
            <w:pPr>
              <w:pStyle w:val="TableParagraph"/>
              <w:spacing w:before="39"/>
              <w:ind w:left="830"/>
              <w:rPr>
                <w:sz w:val="20"/>
              </w:rPr>
            </w:pPr>
            <w:r>
              <w:rPr>
                <w:sz w:val="20"/>
              </w:rPr>
              <w:t>(b)</w:t>
            </w:r>
            <w:r>
              <w:rPr>
                <w:spacing w:val="-4"/>
                <w:sz w:val="20"/>
              </w:rPr>
              <w:t> </w:t>
            </w:r>
            <w:r>
              <w:rPr>
                <w:sz w:val="20"/>
              </w:rPr>
              <w:t>with</w:t>
            </w:r>
            <w:r>
              <w:rPr>
                <w:spacing w:val="-3"/>
                <w:sz w:val="20"/>
              </w:rPr>
              <w:t> </w:t>
            </w:r>
            <w:r>
              <w:rPr>
                <w:sz w:val="20"/>
              </w:rPr>
              <w:t>service</w:t>
            </w:r>
            <w:r>
              <w:rPr>
                <w:spacing w:val="-6"/>
                <w:sz w:val="20"/>
              </w:rPr>
              <w:t> </w:t>
            </w:r>
            <w:r>
              <w:rPr>
                <w:spacing w:val="-5"/>
                <w:sz w:val="20"/>
              </w:rPr>
              <w:t>bay</w:t>
            </w:r>
          </w:p>
        </w:tc>
        <w:tc>
          <w:tcPr>
            <w:tcW w:w="3420" w:type="dxa"/>
          </w:tcPr>
          <w:p>
            <w:pPr>
              <w:pStyle w:val="TableParagraph"/>
              <w:spacing w:before="39"/>
              <w:ind w:left="826" w:hanging="452"/>
              <w:rPr>
                <w:sz w:val="20"/>
              </w:rPr>
            </w:pPr>
            <w:r>
              <w:rPr>
                <w:sz w:val="20"/>
              </w:rPr>
              <w:t>1100</w:t>
            </w:r>
            <w:r>
              <w:rPr>
                <w:spacing w:val="-11"/>
                <w:sz w:val="20"/>
              </w:rPr>
              <w:t> </w:t>
            </w:r>
            <w:r>
              <w:rPr>
                <w:sz w:val="20"/>
              </w:rPr>
              <w:t>(with</w:t>
            </w:r>
            <w:r>
              <w:rPr>
                <w:spacing w:val="-10"/>
                <w:sz w:val="20"/>
              </w:rPr>
              <w:t> </w:t>
            </w:r>
            <w:r>
              <w:rPr>
                <w:sz w:val="20"/>
              </w:rPr>
              <w:t>one</w:t>
            </w:r>
            <w:r>
              <w:rPr>
                <w:spacing w:val="-10"/>
                <w:sz w:val="20"/>
              </w:rPr>
              <w:t> </w:t>
            </w:r>
            <w:r>
              <w:rPr>
                <w:sz w:val="20"/>
              </w:rPr>
              <w:t>dimension</w:t>
            </w:r>
            <w:r>
              <w:rPr>
                <w:spacing w:val="-10"/>
                <w:sz w:val="20"/>
              </w:rPr>
              <w:t> </w:t>
            </w:r>
            <w:r>
              <w:rPr>
                <w:sz w:val="20"/>
              </w:rPr>
              <w:t>not less than 30.5 m).</w:t>
            </w:r>
          </w:p>
        </w:tc>
        <w:tc>
          <w:tcPr>
            <w:tcW w:w="1439" w:type="dxa"/>
          </w:tcPr>
          <w:p>
            <w:pPr>
              <w:pStyle w:val="TableParagraph"/>
              <w:spacing w:before="39"/>
              <w:ind w:left="267" w:right="2"/>
              <w:jc w:val="center"/>
              <w:rPr>
                <w:sz w:val="20"/>
              </w:rPr>
            </w:pPr>
            <w:r>
              <w:rPr>
                <w:spacing w:val="-2"/>
                <w:sz w:val="20"/>
              </w:rPr>
              <w:t>Detached</w:t>
            </w:r>
          </w:p>
        </w:tc>
      </w:tr>
      <w:tr>
        <w:trPr>
          <w:trHeight w:val="549" w:hRule="atLeast"/>
        </w:trPr>
        <w:tc>
          <w:tcPr>
            <w:tcW w:w="710" w:type="dxa"/>
          </w:tcPr>
          <w:p>
            <w:pPr>
              <w:pStyle w:val="TableParagraph"/>
              <w:spacing w:before="39"/>
              <w:ind w:right="152"/>
              <w:jc w:val="right"/>
              <w:rPr>
                <w:sz w:val="20"/>
              </w:rPr>
            </w:pPr>
            <w:r>
              <w:rPr>
                <w:spacing w:val="-10"/>
                <w:sz w:val="20"/>
              </w:rPr>
              <w:t>4</w:t>
            </w:r>
          </w:p>
        </w:tc>
        <w:tc>
          <w:tcPr>
            <w:tcW w:w="3288" w:type="dxa"/>
          </w:tcPr>
          <w:p>
            <w:pPr>
              <w:pStyle w:val="TableParagraph"/>
              <w:spacing w:line="234" w:lineRule="exact" w:before="39"/>
              <w:ind w:left="264" w:right="2"/>
              <w:jc w:val="center"/>
              <w:rPr>
                <w:sz w:val="20"/>
              </w:rPr>
            </w:pPr>
            <w:r>
              <w:rPr>
                <w:sz w:val="20"/>
              </w:rPr>
              <w:t>Cinema</w:t>
            </w:r>
            <w:r>
              <w:rPr>
                <w:spacing w:val="-7"/>
                <w:sz w:val="20"/>
              </w:rPr>
              <w:t> </w:t>
            </w:r>
            <w:r>
              <w:rPr>
                <w:sz w:val="20"/>
              </w:rPr>
              <w:t>theatre,</w:t>
            </w:r>
            <w:r>
              <w:rPr>
                <w:spacing w:val="-7"/>
                <w:sz w:val="20"/>
              </w:rPr>
              <w:t> </w:t>
            </w:r>
            <w:r>
              <w:rPr>
                <w:spacing w:val="-2"/>
                <w:sz w:val="20"/>
              </w:rPr>
              <w:t>assembly</w:t>
            </w:r>
          </w:p>
          <w:p>
            <w:pPr>
              <w:pStyle w:val="TableParagraph"/>
              <w:spacing w:line="234" w:lineRule="exact"/>
              <w:ind w:left="12"/>
              <w:jc w:val="center"/>
              <w:rPr>
                <w:sz w:val="20"/>
              </w:rPr>
            </w:pPr>
            <w:r>
              <w:rPr>
                <w:spacing w:val="-4"/>
                <w:sz w:val="20"/>
              </w:rPr>
              <w:t>hall</w:t>
            </w:r>
          </w:p>
        </w:tc>
        <w:tc>
          <w:tcPr>
            <w:tcW w:w="3420" w:type="dxa"/>
          </w:tcPr>
          <w:p>
            <w:pPr>
              <w:pStyle w:val="TableParagraph"/>
              <w:spacing w:before="39"/>
              <w:ind w:left="651" w:hanging="58"/>
              <w:rPr>
                <w:sz w:val="20"/>
              </w:rPr>
            </w:pPr>
            <w:r>
              <w:rPr>
                <w:sz w:val="20"/>
              </w:rPr>
              <w:t>3</w:t>
            </w:r>
            <w:r>
              <w:rPr>
                <w:spacing w:val="-11"/>
                <w:sz w:val="20"/>
              </w:rPr>
              <w:t> </w:t>
            </w:r>
            <w:r>
              <w:rPr>
                <w:sz w:val="20"/>
              </w:rPr>
              <w:t>sq.m</w:t>
            </w:r>
            <w:r>
              <w:rPr>
                <w:spacing w:val="-11"/>
                <w:sz w:val="20"/>
              </w:rPr>
              <w:t> </w:t>
            </w:r>
            <w:r>
              <w:rPr>
                <w:sz w:val="20"/>
              </w:rPr>
              <w:t>per</w:t>
            </w:r>
            <w:r>
              <w:rPr>
                <w:spacing w:val="-10"/>
                <w:sz w:val="20"/>
              </w:rPr>
              <w:t> </w:t>
            </w:r>
            <w:r>
              <w:rPr>
                <w:sz w:val="20"/>
              </w:rPr>
              <w:t>seat</w:t>
            </w:r>
            <w:r>
              <w:rPr>
                <w:spacing w:val="-10"/>
                <w:sz w:val="20"/>
              </w:rPr>
              <w:t> </w:t>
            </w:r>
            <w:r>
              <w:rPr>
                <w:sz w:val="20"/>
              </w:rPr>
              <w:t>including parking requirements</w:t>
            </w:r>
          </w:p>
        </w:tc>
        <w:tc>
          <w:tcPr>
            <w:tcW w:w="1439" w:type="dxa"/>
          </w:tcPr>
          <w:p>
            <w:pPr>
              <w:pStyle w:val="TableParagraph"/>
              <w:rPr>
                <w:rFonts w:ascii="Times New Roman"/>
                <w:sz w:val="20"/>
              </w:rPr>
            </w:pPr>
          </w:p>
        </w:tc>
      </w:tr>
      <w:tr>
        <w:trPr>
          <w:trHeight w:val="548" w:hRule="atLeast"/>
        </w:trPr>
        <w:tc>
          <w:tcPr>
            <w:tcW w:w="710" w:type="dxa"/>
          </w:tcPr>
          <w:p>
            <w:pPr>
              <w:pStyle w:val="TableParagraph"/>
              <w:spacing w:before="39"/>
              <w:ind w:right="152"/>
              <w:jc w:val="right"/>
              <w:rPr>
                <w:sz w:val="20"/>
              </w:rPr>
            </w:pPr>
            <w:r>
              <w:rPr>
                <w:spacing w:val="-10"/>
                <w:sz w:val="20"/>
              </w:rPr>
              <w:t>5</w:t>
            </w:r>
          </w:p>
        </w:tc>
        <w:tc>
          <w:tcPr>
            <w:tcW w:w="3288" w:type="dxa"/>
          </w:tcPr>
          <w:p>
            <w:pPr>
              <w:pStyle w:val="TableParagraph"/>
              <w:spacing w:before="39"/>
              <w:ind w:left="264"/>
              <w:jc w:val="center"/>
              <w:rPr>
                <w:sz w:val="20"/>
              </w:rPr>
            </w:pPr>
            <w:r>
              <w:rPr>
                <w:sz w:val="20"/>
              </w:rPr>
              <w:t>Mangal</w:t>
            </w:r>
            <w:r>
              <w:rPr>
                <w:spacing w:val="-9"/>
                <w:sz w:val="20"/>
              </w:rPr>
              <w:t> </w:t>
            </w:r>
            <w:r>
              <w:rPr>
                <w:sz w:val="20"/>
              </w:rPr>
              <w:t>Karyalaya/</w:t>
            </w:r>
            <w:r>
              <w:rPr>
                <w:spacing w:val="-9"/>
                <w:sz w:val="20"/>
              </w:rPr>
              <w:t> </w:t>
            </w:r>
            <w:r>
              <w:rPr>
                <w:spacing w:val="-2"/>
                <w:sz w:val="20"/>
              </w:rPr>
              <w:t>Public</w:t>
            </w:r>
          </w:p>
          <w:p>
            <w:pPr>
              <w:pStyle w:val="TableParagraph"/>
              <w:ind w:left="10"/>
              <w:jc w:val="center"/>
              <w:rPr>
                <w:sz w:val="20"/>
              </w:rPr>
            </w:pPr>
            <w:r>
              <w:rPr>
                <w:spacing w:val="-4"/>
                <w:sz w:val="20"/>
              </w:rPr>
              <w:t>Hall</w:t>
            </w:r>
          </w:p>
        </w:tc>
        <w:tc>
          <w:tcPr>
            <w:tcW w:w="3420" w:type="dxa"/>
          </w:tcPr>
          <w:p>
            <w:pPr>
              <w:pStyle w:val="TableParagraph"/>
              <w:spacing w:before="39"/>
              <w:ind w:left="265"/>
              <w:jc w:val="center"/>
              <w:rPr>
                <w:sz w:val="20"/>
              </w:rPr>
            </w:pPr>
            <w:r>
              <w:rPr>
                <w:spacing w:val="-4"/>
                <w:sz w:val="20"/>
              </w:rPr>
              <w:t>1000</w:t>
            </w:r>
          </w:p>
        </w:tc>
        <w:tc>
          <w:tcPr>
            <w:tcW w:w="1439" w:type="dxa"/>
          </w:tcPr>
          <w:p>
            <w:pPr>
              <w:pStyle w:val="TableParagraph"/>
              <w:rPr>
                <w:rFonts w:ascii="Times New Roman"/>
                <w:sz w:val="20"/>
              </w:rPr>
            </w:pPr>
          </w:p>
        </w:tc>
      </w:tr>
      <w:tr>
        <w:trPr>
          <w:trHeight w:val="551" w:hRule="atLeast"/>
        </w:trPr>
        <w:tc>
          <w:tcPr>
            <w:tcW w:w="710" w:type="dxa"/>
          </w:tcPr>
          <w:p>
            <w:pPr>
              <w:pStyle w:val="TableParagraph"/>
              <w:spacing w:before="39"/>
              <w:ind w:right="152"/>
              <w:jc w:val="right"/>
              <w:rPr>
                <w:sz w:val="20"/>
              </w:rPr>
            </w:pPr>
            <w:r>
              <w:rPr>
                <w:spacing w:val="-10"/>
                <w:sz w:val="20"/>
              </w:rPr>
              <w:t>6</w:t>
            </w:r>
          </w:p>
        </w:tc>
        <w:tc>
          <w:tcPr>
            <w:tcW w:w="3288" w:type="dxa"/>
          </w:tcPr>
          <w:p>
            <w:pPr>
              <w:pStyle w:val="TableParagraph"/>
              <w:spacing w:before="39"/>
              <w:ind w:left="1159"/>
              <w:rPr>
                <w:sz w:val="20"/>
              </w:rPr>
            </w:pPr>
            <w:r>
              <w:rPr>
                <w:sz w:val="20"/>
              </w:rPr>
              <w:t>Industrial</w:t>
            </w:r>
            <w:r>
              <w:rPr>
                <w:spacing w:val="-12"/>
                <w:sz w:val="20"/>
              </w:rPr>
              <w:t> </w:t>
            </w:r>
            <w:r>
              <w:rPr>
                <w:spacing w:val="-5"/>
                <w:sz w:val="20"/>
              </w:rPr>
              <w:t>(I)</w:t>
            </w:r>
          </w:p>
        </w:tc>
        <w:tc>
          <w:tcPr>
            <w:tcW w:w="3420" w:type="dxa"/>
          </w:tcPr>
          <w:p>
            <w:pPr>
              <w:pStyle w:val="TableParagraph"/>
              <w:spacing w:before="39"/>
              <w:ind w:left="265" w:right="3"/>
              <w:jc w:val="center"/>
              <w:rPr>
                <w:sz w:val="20"/>
              </w:rPr>
            </w:pPr>
            <w:r>
              <w:rPr>
                <w:sz w:val="20"/>
              </w:rPr>
              <w:t>300</w:t>
            </w:r>
            <w:r>
              <w:rPr>
                <w:spacing w:val="-6"/>
                <w:sz w:val="20"/>
              </w:rPr>
              <w:t> </w:t>
            </w:r>
            <w:r>
              <w:rPr>
                <w:sz w:val="20"/>
              </w:rPr>
              <w:t>(with</w:t>
            </w:r>
            <w:r>
              <w:rPr>
                <w:spacing w:val="-4"/>
                <w:sz w:val="20"/>
              </w:rPr>
              <w:t> </w:t>
            </w:r>
            <w:r>
              <w:rPr>
                <w:sz w:val="20"/>
              </w:rPr>
              <w:t>width</w:t>
            </w:r>
            <w:r>
              <w:rPr>
                <w:spacing w:val="-4"/>
                <w:sz w:val="20"/>
              </w:rPr>
              <w:t> </w:t>
            </w:r>
            <w:r>
              <w:rPr>
                <w:sz w:val="20"/>
              </w:rPr>
              <w:t>not</w:t>
            </w:r>
            <w:r>
              <w:rPr>
                <w:spacing w:val="-4"/>
                <w:sz w:val="20"/>
              </w:rPr>
              <w:t> </w:t>
            </w:r>
            <w:r>
              <w:rPr>
                <w:sz w:val="20"/>
              </w:rPr>
              <w:t>less</w:t>
            </w:r>
            <w:r>
              <w:rPr>
                <w:spacing w:val="-3"/>
                <w:sz w:val="20"/>
              </w:rPr>
              <w:t> </w:t>
            </w:r>
            <w:r>
              <w:rPr>
                <w:spacing w:val="-4"/>
                <w:sz w:val="20"/>
              </w:rPr>
              <w:t>than</w:t>
            </w:r>
          </w:p>
          <w:p>
            <w:pPr>
              <w:pStyle w:val="TableParagraph"/>
              <w:ind w:left="14"/>
              <w:jc w:val="center"/>
              <w:rPr>
                <w:sz w:val="20"/>
              </w:rPr>
            </w:pPr>
            <w:r>
              <w:rPr>
                <w:spacing w:val="-4"/>
                <w:sz w:val="20"/>
              </w:rPr>
              <w:t>15m)</w:t>
            </w:r>
          </w:p>
        </w:tc>
        <w:tc>
          <w:tcPr>
            <w:tcW w:w="1439" w:type="dxa"/>
          </w:tcPr>
          <w:p>
            <w:pPr>
              <w:pStyle w:val="TableParagraph"/>
              <w:spacing w:before="39"/>
              <w:ind w:left="267" w:right="2"/>
              <w:jc w:val="center"/>
              <w:rPr>
                <w:sz w:val="20"/>
              </w:rPr>
            </w:pPr>
            <w:r>
              <w:rPr>
                <w:spacing w:val="-2"/>
                <w:sz w:val="20"/>
              </w:rPr>
              <w:t>Detached</w:t>
            </w:r>
          </w:p>
        </w:tc>
      </w:tr>
    </w:tbl>
    <w:p>
      <w:pPr>
        <w:pStyle w:val="BodyText"/>
        <w:jc w:val="left"/>
      </w:pPr>
    </w:p>
    <w:p>
      <w:pPr>
        <w:pStyle w:val="BodyText"/>
        <w:spacing w:before="3"/>
        <w:jc w:val="left"/>
      </w:pPr>
    </w:p>
    <w:p>
      <w:pPr>
        <w:pStyle w:val="BodyText"/>
        <w:spacing w:line="276" w:lineRule="auto"/>
        <w:ind w:left="1493" w:right="775"/>
      </w:pPr>
      <w:r>
        <w:rPr/>
        <w:t>Note:</w:t>
      </w:r>
      <w:r>
        <w:rPr>
          <w:spacing w:val="40"/>
        </w:rPr>
        <w:t> </w:t>
      </w:r>
      <w:r>
        <w:rPr/>
        <w:t>-</w:t>
      </w:r>
      <w:r>
        <w:rPr>
          <w:spacing w:val="40"/>
        </w:rPr>
        <w:t> </w:t>
      </w:r>
      <w:r>
        <w:rPr/>
        <w:t>1)</w:t>
      </w:r>
      <w:r>
        <w:rPr>
          <w:spacing w:val="40"/>
        </w:rPr>
        <w:t> </w:t>
      </w:r>
      <w:r>
        <w:rPr/>
        <w:t>If</w:t>
      </w:r>
      <w:r>
        <w:rPr>
          <w:spacing w:val="40"/>
        </w:rPr>
        <w:t> </w:t>
      </w:r>
      <w:r>
        <w:rPr/>
        <w:t>new</w:t>
      </w:r>
      <w:r>
        <w:rPr>
          <w:spacing w:val="40"/>
        </w:rPr>
        <w:t> </w:t>
      </w:r>
      <w:r>
        <w:rPr/>
        <w:t>proposed</w:t>
      </w:r>
      <w:r>
        <w:rPr>
          <w:spacing w:val="40"/>
        </w:rPr>
        <w:t> </w:t>
      </w:r>
      <w:r>
        <w:rPr/>
        <w:t>DP</w:t>
      </w:r>
      <w:r>
        <w:rPr>
          <w:spacing w:val="40"/>
        </w:rPr>
        <w:t> </w:t>
      </w:r>
      <w:r>
        <w:rPr/>
        <w:t>Road/RL</w:t>
      </w:r>
      <w:r>
        <w:rPr>
          <w:spacing w:val="40"/>
        </w:rPr>
        <w:t> </w:t>
      </w:r>
      <w:r>
        <w:rPr/>
        <w:t>is</w:t>
      </w:r>
      <w:r>
        <w:rPr>
          <w:spacing w:val="40"/>
        </w:rPr>
        <w:t> </w:t>
      </w:r>
      <w:r>
        <w:rPr/>
        <w:t>prescribed</w:t>
      </w:r>
      <w:r>
        <w:rPr>
          <w:spacing w:val="40"/>
        </w:rPr>
        <w:t> </w:t>
      </w:r>
      <w:r>
        <w:rPr/>
        <w:t>in</w:t>
      </w:r>
      <w:r>
        <w:rPr>
          <w:spacing w:val="40"/>
        </w:rPr>
        <w:t> </w:t>
      </w:r>
      <w:r>
        <w:rPr/>
        <w:t>already approved</w:t>
      </w:r>
      <w:r>
        <w:rPr>
          <w:spacing w:val="40"/>
        </w:rPr>
        <w:t> </w:t>
      </w:r>
      <w:r>
        <w:rPr/>
        <w:t>layout,</w:t>
      </w:r>
      <w:r>
        <w:rPr>
          <w:spacing w:val="40"/>
        </w:rPr>
        <w:t> </w:t>
      </w:r>
      <w:r>
        <w:rPr/>
        <w:t>then</w:t>
      </w:r>
      <w:r>
        <w:rPr>
          <w:spacing w:val="40"/>
        </w:rPr>
        <w:t> </w:t>
      </w:r>
      <w:r>
        <w:rPr/>
        <w:t>imbalance</w:t>
      </w:r>
      <w:r>
        <w:rPr>
          <w:spacing w:val="40"/>
        </w:rPr>
        <w:t> </w:t>
      </w:r>
      <w:r>
        <w:rPr/>
        <w:t>of</w:t>
      </w:r>
      <w:r>
        <w:rPr>
          <w:spacing w:val="40"/>
        </w:rPr>
        <w:t> </w:t>
      </w:r>
      <w:r>
        <w:rPr/>
        <w:t>FSI</w:t>
      </w:r>
      <w:r>
        <w:rPr>
          <w:spacing w:val="40"/>
        </w:rPr>
        <w:t> </w:t>
      </w:r>
      <w:r>
        <w:rPr/>
        <w:t>in</w:t>
      </w:r>
      <w:r>
        <w:rPr>
          <w:spacing w:val="40"/>
        </w:rPr>
        <w:t> </w:t>
      </w:r>
      <w:r>
        <w:rPr/>
        <w:t>subdivided</w:t>
      </w:r>
      <w:r>
        <w:rPr>
          <w:spacing w:val="40"/>
        </w:rPr>
        <w:t> </w:t>
      </w:r>
      <w:r>
        <w:rPr/>
        <w:t>plots</w:t>
      </w:r>
      <w:r>
        <w:rPr>
          <w:spacing w:val="40"/>
        </w:rPr>
        <w:t> </w:t>
      </w:r>
      <w:r>
        <w:rPr/>
        <w:t>because</w:t>
      </w:r>
      <w:r>
        <w:rPr>
          <w:spacing w:val="40"/>
        </w:rPr>
        <w:t> </w:t>
      </w:r>
      <w:r>
        <w:rPr/>
        <w:t>of new</w:t>
      </w:r>
      <w:r>
        <w:rPr>
          <w:spacing w:val="40"/>
        </w:rPr>
        <w:t> </w:t>
      </w:r>
      <w:r>
        <w:rPr/>
        <w:t>proposed</w:t>
      </w:r>
      <w:r>
        <w:rPr>
          <w:spacing w:val="40"/>
        </w:rPr>
        <w:t> </w:t>
      </w:r>
      <w:r>
        <w:rPr/>
        <w:t>DP</w:t>
      </w:r>
      <w:r>
        <w:rPr>
          <w:spacing w:val="40"/>
        </w:rPr>
        <w:t> </w:t>
      </w:r>
      <w:r>
        <w:rPr/>
        <w:t>Road/RL</w:t>
      </w:r>
      <w:r>
        <w:rPr>
          <w:spacing w:val="40"/>
        </w:rPr>
        <w:t> </w:t>
      </w:r>
      <w:r>
        <w:rPr/>
        <w:t>shall</w:t>
      </w:r>
      <w:r>
        <w:rPr>
          <w:spacing w:val="40"/>
        </w:rPr>
        <w:t> </w:t>
      </w:r>
      <w:r>
        <w:rPr/>
        <w:t>be</w:t>
      </w:r>
      <w:r>
        <w:rPr>
          <w:spacing w:val="40"/>
        </w:rPr>
        <w:t> </w:t>
      </w:r>
      <w:r>
        <w:rPr/>
        <w:t>allowed.</w:t>
      </w:r>
    </w:p>
    <w:p>
      <w:pPr>
        <w:pStyle w:val="BodyText"/>
        <w:spacing w:line="276" w:lineRule="auto" w:before="240"/>
        <w:ind w:left="1481" w:right="783"/>
      </w:pPr>
      <w:r>
        <w:rPr/>
        <w:t>2)</w:t>
      </w:r>
      <w:r>
        <w:rPr>
          <w:spacing w:val="40"/>
        </w:rPr>
        <w:t> </w:t>
      </w:r>
      <w:r>
        <w:rPr/>
        <w:t>In</w:t>
      </w:r>
      <w:r>
        <w:rPr>
          <w:spacing w:val="40"/>
        </w:rPr>
        <w:t> </w:t>
      </w:r>
      <w:r>
        <w:rPr/>
        <w:t>cases</w:t>
      </w:r>
      <w:r>
        <w:rPr>
          <w:spacing w:val="40"/>
        </w:rPr>
        <w:t> </w:t>
      </w:r>
      <w:r>
        <w:rPr/>
        <w:t>of</w:t>
      </w:r>
      <w:r>
        <w:rPr>
          <w:spacing w:val="40"/>
        </w:rPr>
        <w:t> </w:t>
      </w:r>
      <w:r>
        <w:rPr/>
        <w:t>an</w:t>
      </w:r>
      <w:r>
        <w:rPr>
          <w:spacing w:val="40"/>
        </w:rPr>
        <w:t> </w:t>
      </w:r>
      <w:r>
        <w:rPr/>
        <w:t>erstwhile</w:t>
      </w:r>
      <w:r>
        <w:rPr>
          <w:spacing w:val="40"/>
        </w:rPr>
        <w:t> </w:t>
      </w:r>
      <w:r>
        <w:rPr/>
        <w:t>contiguous</w:t>
      </w:r>
      <w:r>
        <w:rPr>
          <w:spacing w:val="40"/>
        </w:rPr>
        <w:t> </w:t>
      </w:r>
      <w:r>
        <w:rPr/>
        <w:t>land</w:t>
      </w:r>
      <w:r>
        <w:rPr>
          <w:spacing w:val="40"/>
        </w:rPr>
        <w:t> </w:t>
      </w:r>
      <w:r>
        <w:rPr/>
        <w:t>under</w:t>
      </w:r>
      <w:r>
        <w:rPr>
          <w:spacing w:val="40"/>
        </w:rPr>
        <w:t> </w:t>
      </w:r>
      <w:r>
        <w:rPr/>
        <w:t>one</w:t>
      </w:r>
      <w:r>
        <w:rPr>
          <w:spacing w:val="40"/>
        </w:rPr>
        <w:t> </w:t>
      </w:r>
      <w:r>
        <w:rPr/>
        <w:t>ownership</w:t>
      </w:r>
      <w:r>
        <w:rPr>
          <w:spacing w:val="40"/>
        </w:rPr>
        <w:t> </w:t>
      </w:r>
      <w:r>
        <w:rPr/>
        <w:t>which got</w:t>
      </w:r>
      <w:r>
        <w:rPr>
          <w:spacing w:val="40"/>
        </w:rPr>
        <w:t> </w:t>
      </w:r>
      <w:r>
        <w:rPr/>
        <w:t>subdivided</w:t>
      </w:r>
      <w:r>
        <w:rPr>
          <w:spacing w:val="40"/>
        </w:rPr>
        <w:t> </w:t>
      </w:r>
      <w:r>
        <w:rPr/>
        <w:t>by</w:t>
      </w:r>
      <w:r>
        <w:rPr>
          <w:spacing w:val="40"/>
        </w:rPr>
        <w:t> </w:t>
      </w:r>
      <w:r>
        <w:rPr/>
        <w:t>existing</w:t>
      </w:r>
      <w:r>
        <w:rPr>
          <w:spacing w:val="40"/>
        </w:rPr>
        <w:t> </w:t>
      </w:r>
      <w:r>
        <w:rPr/>
        <w:t>public</w:t>
      </w:r>
      <w:r>
        <w:rPr>
          <w:spacing w:val="40"/>
        </w:rPr>
        <w:t> </w:t>
      </w:r>
      <w:r>
        <w:rPr/>
        <w:t>road,</w:t>
      </w:r>
      <w:r>
        <w:rPr>
          <w:spacing w:val="40"/>
        </w:rPr>
        <w:t> </w:t>
      </w:r>
      <w:r>
        <w:rPr/>
        <w:t>the</w:t>
      </w:r>
      <w:r>
        <w:rPr>
          <w:spacing w:val="40"/>
        </w:rPr>
        <w:t> </w:t>
      </w:r>
      <w:r>
        <w:rPr/>
        <w:t>Owner/Developer</w:t>
      </w:r>
      <w:r>
        <w:rPr>
          <w:spacing w:val="40"/>
        </w:rPr>
        <w:t> </w:t>
      </w:r>
      <w:r>
        <w:rPr/>
        <w:t>may</w:t>
      </w:r>
      <w:r>
        <w:rPr>
          <w:spacing w:val="40"/>
        </w:rPr>
        <w:t> </w:t>
      </w:r>
      <w:r>
        <w:rPr/>
        <w:t>opt</w:t>
      </w:r>
      <w:r>
        <w:rPr>
          <w:spacing w:val="80"/>
        </w:rPr>
        <w:t> </w:t>
      </w:r>
      <w:r>
        <w:rPr/>
        <w:t>for</w:t>
      </w:r>
      <w:r>
        <w:rPr>
          <w:spacing w:val="40"/>
        </w:rPr>
        <w:t> </w:t>
      </w:r>
      <w:r>
        <w:rPr/>
        <w:t>development</w:t>
      </w:r>
      <w:r>
        <w:rPr>
          <w:spacing w:val="40"/>
        </w:rPr>
        <w:t> </w:t>
      </w:r>
      <w:r>
        <w:rPr/>
        <w:t>by</w:t>
      </w:r>
      <w:r>
        <w:rPr>
          <w:spacing w:val="40"/>
        </w:rPr>
        <w:t> </w:t>
      </w:r>
      <w:r>
        <w:rPr/>
        <w:t>utilizing</w:t>
      </w:r>
      <w:r>
        <w:rPr>
          <w:spacing w:val="40"/>
        </w:rPr>
        <w:t> </w:t>
      </w:r>
      <w:r>
        <w:rPr/>
        <w:t>the</w:t>
      </w:r>
      <w:r>
        <w:rPr>
          <w:spacing w:val="40"/>
        </w:rPr>
        <w:t> </w:t>
      </w:r>
      <w:r>
        <w:rPr/>
        <w:t>entire</w:t>
      </w:r>
      <w:r>
        <w:rPr>
          <w:spacing w:val="40"/>
        </w:rPr>
        <w:t> </w:t>
      </w:r>
      <w:r>
        <w:rPr/>
        <w:t>potential</w:t>
      </w:r>
      <w:r>
        <w:rPr>
          <w:spacing w:val="40"/>
        </w:rPr>
        <w:t> </w:t>
      </w:r>
      <w:r>
        <w:rPr/>
        <w:t>of</w:t>
      </w:r>
      <w:r>
        <w:rPr>
          <w:spacing w:val="40"/>
        </w:rPr>
        <w:t> </w:t>
      </w:r>
      <w:r>
        <w:rPr/>
        <w:t>an</w:t>
      </w:r>
      <w:r>
        <w:rPr>
          <w:spacing w:val="40"/>
        </w:rPr>
        <w:t> </w:t>
      </w:r>
      <w:r>
        <w:rPr/>
        <w:t>erstwhile contiguous</w:t>
      </w:r>
      <w:r>
        <w:rPr>
          <w:spacing w:val="40"/>
        </w:rPr>
        <w:t> </w:t>
      </w:r>
      <w:r>
        <w:rPr/>
        <w:t>land</w:t>
      </w:r>
      <w:r>
        <w:rPr>
          <w:spacing w:val="40"/>
        </w:rPr>
        <w:t> </w:t>
      </w:r>
      <w:r>
        <w:rPr/>
        <w:t>excluding</w:t>
      </w:r>
      <w:r>
        <w:rPr>
          <w:spacing w:val="40"/>
        </w:rPr>
        <w:t> </w:t>
      </w:r>
      <w:r>
        <w:rPr/>
        <w:t>public</w:t>
      </w:r>
      <w:r>
        <w:rPr>
          <w:spacing w:val="40"/>
        </w:rPr>
        <w:t> </w:t>
      </w:r>
      <w:r>
        <w:rPr/>
        <w:t>road</w:t>
      </w:r>
      <w:r>
        <w:rPr>
          <w:spacing w:val="40"/>
        </w:rPr>
        <w:t> </w:t>
      </w:r>
      <w:r>
        <w:rPr/>
        <w:t>under</w:t>
      </w:r>
      <w:r>
        <w:rPr>
          <w:spacing w:val="40"/>
        </w:rPr>
        <w:t> </w:t>
      </w:r>
      <w:r>
        <w:rPr/>
        <w:t>these</w:t>
      </w:r>
      <w:r>
        <w:rPr>
          <w:spacing w:val="40"/>
        </w:rPr>
        <w:t> </w:t>
      </w:r>
      <w:r>
        <w:rPr/>
        <w:t>Regulations</w:t>
      </w:r>
      <w:r>
        <w:rPr>
          <w:spacing w:val="40"/>
        </w:rPr>
        <w:t> </w:t>
      </w:r>
      <w:r>
        <w:rPr/>
        <w:t>on</w:t>
      </w:r>
      <w:r>
        <w:rPr>
          <w:spacing w:val="40"/>
        </w:rPr>
        <w:t> </w:t>
      </w:r>
      <w:r>
        <w:rPr/>
        <w:t>one</w:t>
      </w:r>
      <w:r>
        <w:rPr>
          <w:spacing w:val="40"/>
        </w:rPr>
        <w:t> </w:t>
      </w:r>
      <w:r>
        <w:rPr/>
        <w:t>of the subdivided plot on any side of the existing road and where other subplot/plots</w:t>
      </w:r>
      <w:r>
        <w:rPr>
          <w:spacing w:val="80"/>
        </w:rPr>
        <w:t> </w:t>
      </w:r>
      <w:r>
        <w:rPr/>
        <w:t>on</w:t>
      </w:r>
      <w:r>
        <w:rPr>
          <w:spacing w:val="80"/>
        </w:rPr>
        <w:t> </w:t>
      </w:r>
      <w:r>
        <w:rPr/>
        <w:t>other</w:t>
      </w:r>
      <w:r>
        <w:rPr>
          <w:spacing w:val="80"/>
        </w:rPr>
        <w:t> </w:t>
      </w:r>
      <w:r>
        <w:rPr/>
        <w:t>side</w:t>
      </w:r>
      <w:r>
        <w:rPr>
          <w:spacing w:val="80"/>
        </w:rPr>
        <w:t> </w:t>
      </w:r>
      <w:r>
        <w:rPr/>
        <w:t>of</w:t>
      </w:r>
      <w:r>
        <w:rPr>
          <w:spacing w:val="80"/>
        </w:rPr>
        <w:t> </w:t>
      </w:r>
      <w:r>
        <w:rPr/>
        <w:t>road</w:t>
      </w:r>
      <w:r>
        <w:rPr>
          <w:spacing w:val="80"/>
        </w:rPr>
        <w:t> </w:t>
      </w:r>
      <w:r>
        <w:rPr/>
        <w:t>is</w:t>
      </w:r>
      <w:r>
        <w:rPr>
          <w:spacing w:val="80"/>
        </w:rPr>
        <w:t> </w:t>
      </w:r>
      <w:r>
        <w:rPr/>
        <w:t>required</w:t>
      </w:r>
      <w:r>
        <w:rPr>
          <w:spacing w:val="80"/>
        </w:rPr>
        <w:t> </w:t>
      </w:r>
      <w:r>
        <w:rPr/>
        <w:t>by</w:t>
      </w:r>
      <w:r>
        <w:rPr>
          <w:spacing w:val="80"/>
        </w:rPr>
        <w:t> </w:t>
      </w:r>
      <w:r>
        <w:rPr/>
        <w:t>MCGM,</w:t>
      </w:r>
      <w:r>
        <w:rPr>
          <w:spacing w:val="80"/>
        </w:rPr>
        <w:t> </w:t>
      </w:r>
      <w:r>
        <w:rPr/>
        <w:t>subject</w:t>
      </w:r>
      <w:r>
        <w:rPr>
          <w:spacing w:val="80"/>
        </w:rPr>
        <w:t> </w:t>
      </w:r>
      <w:r>
        <w:rPr/>
        <w:t>to the </w:t>
      </w:r>
      <w:r>
        <w:rPr>
          <w:spacing w:val="9"/>
        </w:rPr>
        <w:t>following.</w:t>
      </w:r>
    </w:p>
    <w:p>
      <w:pPr>
        <w:pStyle w:val="BodyText"/>
        <w:spacing w:after="0" w:line="276" w:lineRule="auto"/>
        <w:sectPr>
          <w:pgSz w:w="11910" w:h="16840"/>
          <w:pgMar w:header="1058" w:footer="1194" w:top="1500" w:bottom="1380" w:left="360" w:right="360"/>
        </w:sectPr>
      </w:pPr>
    </w:p>
    <w:p>
      <w:pPr>
        <w:pStyle w:val="ListParagraph"/>
        <w:numPr>
          <w:ilvl w:val="0"/>
          <w:numId w:val="104"/>
        </w:numPr>
        <w:tabs>
          <w:tab w:pos="1703" w:val="left" w:leader="none"/>
        </w:tabs>
        <w:spacing w:line="276" w:lineRule="auto" w:before="252" w:after="0"/>
        <w:ind w:left="1481" w:right="773" w:firstLine="0"/>
        <w:jc w:val="both"/>
        <w:rPr>
          <w:sz w:val="24"/>
        </w:rPr>
      </w:pPr>
      <w:r>
        <w:rPr>
          <w:sz w:val="24"/>
        </w:rPr>
        <w:t>The</w:t>
      </w:r>
      <w:r>
        <w:rPr>
          <w:spacing w:val="-1"/>
          <w:sz w:val="24"/>
        </w:rPr>
        <w:t> </w:t>
      </w:r>
      <w:r>
        <w:rPr>
          <w:sz w:val="24"/>
        </w:rPr>
        <w:t>subplot/plots of</w:t>
      </w:r>
      <w:r>
        <w:rPr>
          <w:spacing w:val="-1"/>
          <w:sz w:val="24"/>
        </w:rPr>
        <w:t> </w:t>
      </w:r>
      <w:r>
        <w:rPr>
          <w:sz w:val="24"/>
        </w:rPr>
        <w:t>an</w:t>
      </w:r>
      <w:r>
        <w:rPr>
          <w:spacing w:val="-1"/>
          <w:sz w:val="24"/>
        </w:rPr>
        <w:t> </w:t>
      </w:r>
      <w:r>
        <w:rPr>
          <w:sz w:val="24"/>
        </w:rPr>
        <w:t>erstwhile</w:t>
      </w:r>
      <w:r>
        <w:rPr>
          <w:spacing w:val="-1"/>
          <w:sz w:val="24"/>
        </w:rPr>
        <w:t> </w:t>
      </w:r>
      <w:r>
        <w:rPr>
          <w:sz w:val="24"/>
        </w:rPr>
        <w:t>contiguous</w:t>
      </w:r>
      <w:r>
        <w:rPr>
          <w:spacing w:val="-1"/>
          <w:sz w:val="24"/>
        </w:rPr>
        <w:t> </w:t>
      </w:r>
      <w:r>
        <w:rPr>
          <w:sz w:val="24"/>
        </w:rPr>
        <w:t>land</w:t>
      </w:r>
      <w:r>
        <w:rPr>
          <w:spacing w:val="-1"/>
          <w:sz w:val="24"/>
        </w:rPr>
        <w:t> </w:t>
      </w:r>
      <w:r>
        <w:rPr>
          <w:sz w:val="24"/>
        </w:rPr>
        <w:t>shall</w:t>
      </w:r>
      <w:r>
        <w:rPr>
          <w:spacing w:val="-1"/>
          <w:sz w:val="24"/>
        </w:rPr>
        <w:t> </w:t>
      </w:r>
      <w:r>
        <w:rPr>
          <w:sz w:val="24"/>
        </w:rPr>
        <w:t>not</w:t>
      </w:r>
      <w:r>
        <w:rPr>
          <w:spacing w:val="-1"/>
          <w:sz w:val="24"/>
        </w:rPr>
        <w:t> </w:t>
      </w:r>
      <w:r>
        <w:rPr>
          <w:sz w:val="24"/>
        </w:rPr>
        <w:t>be</w:t>
      </w:r>
      <w:r>
        <w:rPr>
          <w:spacing w:val="-1"/>
          <w:sz w:val="24"/>
        </w:rPr>
        <w:t> </w:t>
      </w:r>
      <w:r>
        <w:rPr>
          <w:sz w:val="24"/>
        </w:rPr>
        <w:t>part</w:t>
      </w:r>
      <w:r>
        <w:rPr>
          <w:spacing w:val="-1"/>
          <w:sz w:val="24"/>
        </w:rPr>
        <w:t> </w:t>
      </w:r>
      <w:r>
        <w:rPr>
          <w:sz w:val="24"/>
        </w:rPr>
        <w:t>of</w:t>
      </w:r>
      <w:r>
        <w:rPr>
          <w:spacing w:val="-1"/>
          <w:sz w:val="24"/>
        </w:rPr>
        <w:t> </w:t>
      </w:r>
      <w:r>
        <w:rPr>
          <w:sz w:val="24"/>
        </w:rPr>
        <w:t>any layout earlier approved prior to coming into force of these Regulations.</w:t>
      </w:r>
    </w:p>
    <w:p>
      <w:pPr>
        <w:pStyle w:val="ListParagraph"/>
        <w:numPr>
          <w:ilvl w:val="0"/>
          <w:numId w:val="104"/>
        </w:numPr>
        <w:tabs>
          <w:tab w:pos="1806" w:val="left" w:leader="none"/>
        </w:tabs>
        <w:spacing w:line="276" w:lineRule="auto" w:before="120" w:after="0"/>
        <w:ind w:left="1481" w:right="769" w:firstLine="0"/>
        <w:jc w:val="both"/>
        <w:rPr>
          <w:sz w:val="24"/>
        </w:rPr>
      </w:pPr>
      <w:r>
        <w:rPr>
          <w:sz w:val="24"/>
        </w:rPr>
        <w:t>The subplot/plots whose potential proposed to be utilized on the other subplot/plots</w:t>
      </w:r>
      <w:r>
        <w:rPr>
          <w:spacing w:val="-7"/>
          <w:sz w:val="24"/>
        </w:rPr>
        <w:t> </w:t>
      </w:r>
      <w:r>
        <w:rPr>
          <w:sz w:val="24"/>
        </w:rPr>
        <w:t>shall</w:t>
      </w:r>
      <w:r>
        <w:rPr>
          <w:spacing w:val="-5"/>
          <w:sz w:val="24"/>
        </w:rPr>
        <w:t> </w:t>
      </w:r>
      <w:r>
        <w:rPr>
          <w:sz w:val="24"/>
        </w:rPr>
        <w:t>become</w:t>
      </w:r>
      <w:r>
        <w:rPr>
          <w:spacing w:val="-7"/>
          <w:sz w:val="24"/>
        </w:rPr>
        <w:t> </w:t>
      </w:r>
      <w:r>
        <w:rPr>
          <w:sz w:val="24"/>
        </w:rPr>
        <w:t>devoid</w:t>
      </w:r>
      <w:r>
        <w:rPr>
          <w:spacing w:val="-7"/>
          <w:sz w:val="24"/>
        </w:rPr>
        <w:t> </w:t>
      </w:r>
      <w:r>
        <w:rPr>
          <w:sz w:val="24"/>
        </w:rPr>
        <w:t>of</w:t>
      </w:r>
      <w:r>
        <w:rPr>
          <w:spacing w:val="-7"/>
          <w:sz w:val="24"/>
        </w:rPr>
        <w:t> </w:t>
      </w:r>
      <w:r>
        <w:rPr>
          <w:sz w:val="24"/>
        </w:rPr>
        <w:t>any</w:t>
      </w:r>
      <w:r>
        <w:rPr>
          <w:spacing w:val="-7"/>
          <w:sz w:val="24"/>
        </w:rPr>
        <w:t> </w:t>
      </w:r>
      <w:r>
        <w:rPr>
          <w:sz w:val="24"/>
        </w:rPr>
        <w:t>potential</w:t>
      </w:r>
      <w:r>
        <w:rPr>
          <w:spacing w:val="-7"/>
          <w:sz w:val="24"/>
        </w:rPr>
        <w:t> </w:t>
      </w:r>
      <w:r>
        <w:rPr>
          <w:sz w:val="24"/>
        </w:rPr>
        <w:t>and</w:t>
      </w:r>
      <w:r>
        <w:rPr>
          <w:spacing w:val="-7"/>
          <w:sz w:val="24"/>
        </w:rPr>
        <w:t> </w:t>
      </w:r>
      <w:r>
        <w:rPr>
          <w:sz w:val="24"/>
        </w:rPr>
        <w:t>shall</w:t>
      </w:r>
      <w:r>
        <w:rPr>
          <w:spacing w:val="-5"/>
          <w:sz w:val="24"/>
        </w:rPr>
        <w:t> </w:t>
      </w:r>
      <w:r>
        <w:rPr>
          <w:sz w:val="24"/>
        </w:rPr>
        <w:t>be</w:t>
      </w:r>
      <w:r>
        <w:rPr>
          <w:spacing w:val="-7"/>
          <w:sz w:val="24"/>
        </w:rPr>
        <w:t> </w:t>
      </w:r>
      <w:r>
        <w:rPr>
          <w:sz w:val="24"/>
        </w:rPr>
        <w:t>handed</w:t>
      </w:r>
      <w:r>
        <w:rPr>
          <w:spacing w:val="-7"/>
          <w:sz w:val="24"/>
        </w:rPr>
        <w:t> </w:t>
      </w:r>
      <w:r>
        <w:rPr>
          <w:sz w:val="24"/>
        </w:rPr>
        <w:t>over to MCGM and ownership of the same shall be transferred in the name of MCGM</w:t>
      </w:r>
      <w:r>
        <w:rPr>
          <w:spacing w:val="-8"/>
          <w:sz w:val="24"/>
        </w:rPr>
        <w:t> </w:t>
      </w:r>
      <w:r>
        <w:rPr>
          <w:sz w:val="24"/>
        </w:rPr>
        <w:t>in</w:t>
      </w:r>
      <w:r>
        <w:rPr>
          <w:spacing w:val="-8"/>
          <w:sz w:val="24"/>
        </w:rPr>
        <w:t> </w:t>
      </w:r>
      <w:r>
        <w:rPr>
          <w:sz w:val="24"/>
        </w:rPr>
        <w:t>P.R.</w:t>
      </w:r>
      <w:r>
        <w:rPr>
          <w:spacing w:val="-11"/>
          <w:sz w:val="24"/>
        </w:rPr>
        <w:t> </w:t>
      </w:r>
      <w:r>
        <w:rPr>
          <w:sz w:val="24"/>
        </w:rPr>
        <w:t>Card,</w:t>
      </w:r>
      <w:r>
        <w:rPr>
          <w:spacing w:val="-11"/>
          <w:sz w:val="24"/>
        </w:rPr>
        <w:t> </w:t>
      </w:r>
      <w:r>
        <w:rPr>
          <w:sz w:val="24"/>
        </w:rPr>
        <w:t>free</w:t>
      </w:r>
      <w:r>
        <w:rPr>
          <w:spacing w:val="-8"/>
          <w:sz w:val="24"/>
        </w:rPr>
        <w:t> </w:t>
      </w:r>
      <w:r>
        <w:rPr>
          <w:sz w:val="24"/>
        </w:rPr>
        <w:t>of</w:t>
      </w:r>
      <w:r>
        <w:rPr>
          <w:spacing w:val="-8"/>
          <w:sz w:val="24"/>
        </w:rPr>
        <w:t> </w:t>
      </w:r>
      <w:r>
        <w:rPr>
          <w:sz w:val="24"/>
        </w:rPr>
        <w:t>cost,</w:t>
      </w:r>
      <w:r>
        <w:rPr>
          <w:spacing w:val="-11"/>
          <w:sz w:val="24"/>
        </w:rPr>
        <w:t> </w:t>
      </w:r>
      <w:r>
        <w:rPr>
          <w:sz w:val="24"/>
        </w:rPr>
        <w:t>free</w:t>
      </w:r>
      <w:r>
        <w:rPr>
          <w:spacing w:val="-8"/>
          <w:sz w:val="24"/>
        </w:rPr>
        <w:t> </w:t>
      </w:r>
      <w:r>
        <w:rPr>
          <w:sz w:val="24"/>
        </w:rPr>
        <w:t>of</w:t>
      </w:r>
      <w:r>
        <w:rPr>
          <w:spacing w:val="-11"/>
          <w:sz w:val="24"/>
        </w:rPr>
        <w:t> </w:t>
      </w:r>
      <w:r>
        <w:rPr>
          <w:sz w:val="24"/>
        </w:rPr>
        <w:t>encumbrances,</w:t>
      </w:r>
      <w:r>
        <w:rPr>
          <w:spacing w:val="-8"/>
          <w:sz w:val="24"/>
        </w:rPr>
        <w:t> </w:t>
      </w:r>
      <w:r>
        <w:rPr>
          <w:sz w:val="24"/>
        </w:rPr>
        <w:t>as</w:t>
      </w:r>
      <w:r>
        <w:rPr>
          <w:spacing w:val="-8"/>
          <w:sz w:val="24"/>
        </w:rPr>
        <w:t> </w:t>
      </w:r>
      <w:r>
        <w:rPr>
          <w:sz w:val="24"/>
        </w:rPr>
        <w:t>per</w:t>
      </w:r>
      <w:r>
        <w:rPr>
          <w:spacing w:val="-8"/>
          <w:sz w:val="24"/>
        </w:rPr>
        <w:t> </w:t>
      </w:r>
      <w:r>
        <w:rPr>
          <w:sz w:val="24"/>
        </w:rPr>
        <w:t>the</w:t>
      </w:r>
      <w:r>
        <w:rPr>
          <w:spacing w:val="-8"/>
          <w:sz w:val="24"/>
        </w:rPr>
        <w:t> </w:t>
      </w:r>
      <w:r>
        <w:rPr>
          <w:sz w:val="24"/>
        </w:rPr>
        <w:t>terms</w:t>
      </w:r>
      <w:r>
        <w:rPr>
          <w:spacing w:val="-8"/>
          <w:sz w:val="24"/>
        </w:rPr>
        <w:t> </w:t>
      </w:r>
      <w:r>
        <w:rPr>
          <w:sz w:val="24"/>
        </w:rPr>
        <w:t>and conditions specified by Municipal Commissioner.</w:t>
      </w:r>
    </w:p>
    <w:p>
      <w:pPr>
        <w:pStyle w:val="ListParagraph"/>
        <w:numPr>
          <w:ilvl w:val="0"/>
          <w:numId w:val="104"/>
        </w:numPr>
        <w:tabs>
          <w:tab w:pos="1880" w:val="left" w:leader="none"/>
        </w:tabs>
        <w:spacing w:line="276" w:lineRule="auto" w:before="120" w:after="0"/>
        <w:ind w:left="1481" w:right="772" w:firstLine="0"/>
        <w:jc w:val="both"/>
        <w:rPr>
          <w:sz w:val="24"/>
        </w:rPr>
      </w:pPr>
      <w:r>
        <w:rPr>
          <w:sz w:val="24"/>
        </w:rPr>
        <w:t>The area of subplot/plots where the entire potential is proposed to be utilized shall not be less than 50% of aggregate area of all sub plot/plots without taking into account the area of existing public road.</w:t>
      </w:r>
    </w:p>
    <w:p>
      <w:pPr>
        <w:pStyle w:val="ListParagraph"/>
        <w:numPr>
          <w:ilvl w:val="0"/>
          <w:numId w:val="104"/>
        </w:numPr>
        <w:tabs>
          <w:tab w:pos="1876" w:val="left" w:leader="none"/>
        </w:tabs>
        <w:spacing w:line="276" w:lineRule="auto" w:before="121" w:after="0"/>
        <w:ind w:left="1481" w:right="769" w:firstLine="0"/>
        <w:jc w:val="both"/>
        <w:rPr>
          <w:sz w:val="24"/>
        </w:rPr>
      </w:pPr>
      <w:r>
        <w:rPr>
          <w:sz w:val="24"/>
        </w:rPr>
        <w:t>The subplot/plots so handed over to MCGM shall be used for public purpose as may be decided by Municipal Commissioner, MCGM.</w:t>
      </w:r>
    </w:p>
    <w:p>
      <w:pPr>
        <w:pStyle w:val="ListParagraph"/>
        <w:numPr>
          <w:ilvl w:val="0"/>
          <w:numId w:val="104"/>
        </w:numPr>
        <w:tabs>
          <w:tab w:pos="1998" w:val="left" w:leader="none"/>
        </w:tabs>
        <w:spacing w:line="240" w:lineRule="auto" w:before="123" w:after="0"/>
        <w:ind w:left="1481" w:right="772" w:firstLine="76"/>
        <w:jc w:val="both"/>
        <w:rPr>
          <w:sz w:val="24"/>
        </w:rPr>
      </w:pPr>
      <w:r>
        <w:rPr>
          <w:sz w:val="24"/>
        </w:rPr>
        <w:t>The Owner/Developer shall not be entitled for any monetary compensation or TDR of the plot handed over to MCGM.</w:t>
      </w:r>
    </w:p>
    <w:p>
      <w:pPr>
        <w:pStyle w:val="BodyText"/>
        <w:spacing w:before="1"/>
        <w:jc w:val="left"/>
      </w:pPr>
    </w:p>
    <w:p>
      <w:pPr>
        <w:pStyle w:val="ListParagraph"/>
        <w:numPr>
          <w:ilvl w:val="0"/>
          <w:numId w:val="104"/>
        </w:numPr>
        <w:tabs>
          <w:tab w:pos="1872" w:val="left" w:leader="none"/>
        </w:tabs>
        <w:spacing w:line="240" w:lineRule="auto" w:before="1" w:after="0"/>
        <w:ind w:left="1481" w:right="800" w:firstLine="0"/>
        <w:jc w:val="both"/>
        <w:rPr>
          <w:sz w:val="24"/>
        </w:rPr>
      </w:pPr>
      <w:r>
        <w:rPr>
          <w:sz w:val="24"/>
        </w:rPr>
        <w:t>The minimum area of the subplot/plots of an erstwhile contiguous</w:t>
      </w:r>
      <w:r>
        <w:rPr>
          <w:spacing w:val="80"/>
          <w:sz w:val="24"/>
        </w:rPr>
        <w:t> </w:t>
      </w:r>
      <w:r>
        <w:rPr>
          <w:sz w:val="24"/>
        </w:rPr>
        <w:t>land,</w:t>
      </w:r>
      <w:r>
        <w:rPr>
          <w:spacing w:val="40"/>
          <w:sz w:val="24"/>
        </w:rPr>
        <w:t> </w:t>
      </w:r>
      <w:r>
        <w:rPr>
          <w:sz w:val="24"/>
        </w:rPr>
        <w:t>of</w:t>
      </w:r>
      <w:r>
        <w:rPr>
          <w:spacing w:val="40"/>
          <w:sz w:val="24"/>
        </w:rPr>
        <w:t> </w:t>
      </w:r>
      <w:r>
        <w:rPr>
          <w:sz w:val="24"/>
        </w:rPr>
        <w:t>which</w:t>
      </w:r>
      <w:r>
        <w:rPr>
          <w:spacing w:val="40"/>
          <w:sz w:val="24"/>
        </w:rPr>
        <w:t> </w:t>
      </w:r>
      <w:r>
        <w:rPr>
          <w:sz w:val="24"/>
        </w:rPr>
        <w:t>the</w:t>
      </w:r>
      <w:r>
        <w:rPr>
          <w:spacing w:val="40"/>
          <w:sz w:val="24"/>
        </w:rPr>
        <w:t> </w:t>
      </w:r>
      <w:r>
        <w:rPr>
          <w:sz w:val="24"/>
        </w:rPr>
        <w:t>entire</w:t>
      </w:r>
      <w:r>
        <w:rPr>
          <w:spacing w:val="40"/>
          <w:sz w:val="24"/>
        </w:rPr>
        <w:t> </w:t>
      </w:r>
      <w:r>
        <w:rPr>
          <w:sz w:val="24"/>
        </w:rPr>
        <w:t>potential</w:t>
      </w:r>
      <w:r>
        <w:rPr>
          <w:spacing w:val="40"/>
          <w:sz w:val="24"/>
        </w:rPr>
        <w:t> </w:t>
      </w:r>
      <w:r>
        <w:rPr>
          <w:sz w:val="24"/>
        </w:rPr>
        <w:t>is</w:t>
      </w:r>
      <w:r>
        <w:rPr>
          <w:spacing w:val="40"/>
          <w:sz w:val="24"/>
        </w:rPr>
        <w:t> </w:t>
      </w:r>
      <w:r>
        <w:rPr>
          <w:sz w:val="24"/>
        </w:rPr>
        <w:t>proposed</w:t>
      </w:r>
      <w:r>
        <w:rPr>
          <w:spacing w:val="40"/>
          <w:sz w:val="24"/>
        </w:rPr>
        <w:t> </w:t>
      </w:r>
      <w:r>
        <w:rPr>
          <w:sz w:val="24"/>
        </w:rPr>
        <w:t>to</w:t>
      </w:r>
      <w:r>
        <w:rPr>
          <w:spacing w:val="40"/>
          <w:sz w:val="24"/>
        </w:rPr>
        <w:t> </w:t>
      </w:r>
      <w:r>
        <w:rPr>
          <w:sz w:val="24"/>
        </w:rPr>
        <w:t>be</w:t>
      </w:r>
      <w:r>
        <w:rPr>
          <w:spacing w:val="40"/>
          <w:sz w:val="24"/>
        </w:rPr>
        <w:t> </w:t>
      </w:r>
      <w:r>
        <w:rPr>
          <w:sz w:val="24"/>
        </w:rPr>
        <w:t>utilized</w:t>
      </w:r>
      <w:r>
        <w:rPr>
          <w:spacing w:val="40"/>
          <w:sz w:val="24"/>
        </w:rPr>
        <w:t> </w:t>
      </w:r>
      <w:r>
        <w:rPr>
          <w:sz w:val="24"/>
        </w:rPr>
        <w:t>on</w:t>
      </w:r>
      <w:r>
        <w:rPr>
          <w:spacing w:val="40"/>
          <w:sz w:val="24"/>
        </w:rPr>
        <w:t> </w:t>
      </w:r>
      <w:r>
        <w:rPr>
          <w:sz w:val="24"/>
        </w:rPr>
        <w:t>the other</w:t>
      </w:r>
      <w:r>
        <w:rPr>
          <w:spacing w:val="40"/>
          <w:sz w:val="24"/>
        </w:rPr>
        <w:t> </w:t>
      </w:r>
      <w:r>
        <w:rPr>
          <w:sz w:val="24"/>
        </w:rPr>
        <w:t>subplot/plots</w:t>
      </w:r>
      <w:r>
        <w:rPr>
          <w:spacing w:val="40"/>
          <w:sz w:val="24"/>
        </w:rPr>
        <w:t> </w:t>
      </w:r>
      <w:r>
        <w:rPr>
          <w:sz w:val="24"/>
        </w:rPr>
        <w:t>of</w:t>
      </w:r>
      <w:r>
        <w:rPr>
          <w:spacing w:val="40"/>
          <w:sz w:val="24"/>
        </w:rPr>
        <w:t> </w:t>
      </w:r>
      <w:r>
        <w:rPr>
          <w:sz w:val="24"/>
        </w:rPr>
        <w:t>the</w:t>
      </w:r>
      <w:r>
        <w:rPr>
          <w:spacing w:val="40"/>
          <w:sz w:val="24"/>
        </w:rPr>
        <w:t> </w:t>
      </w:r>
      <w:r>
        <w:rPr>
          <w:sz w:val="24"/>
        </w:rPr>
        <w:t>same</w:t>
      </w:r>
      <w:r>
        <w:rPr>
          <w:spacing w:val="40"/>
          <w:sz w:val="24"/>
        </w:rPr>
        <w:t> </w:t>
      </w:r>
      <w:r>
        <w:rPr>
          <w:sz w:val="24"/>
        </w:rPr>
        <w:t>erstwhile</w:t>
      </w:r>
      <w:r>
        <w:rPr>
          <w:spacing w:val="40"/>
          <w:sz w:val="24"/>
        </w:rPr>
        <w:t> </w:t>
      </w:r>
      <w:r>
        <w:rPr>
          <w:sz w:val="24"/>
        </w:rPr>
        <w:t>contiguous</w:t>
      </w:r>
      <w:r>
        <w:rPr>
          <w:spacing w:val="40"/>
          <w:sz w:val="24"/>
        </w:rPr>
        <w:t> </w:t>
      </w:r>
      <w:r>
        <w:rPr>
          <w:sz w:val="24"/>
        </w:rPr>
        <w:t>land,</w:t>
      </w:r>
      <w:r>
        <w:rPr>
          <w:spacing w:val="40"/>
          <w:sz w:val="24"/>
        </w:rPr>
        <w:t> </w:t>
      </w:r>
      <w:r>
        <w:rPr>
          <w:sz w:val="24"/>
        </w:rPr>
        <w:t>shall</w:t>
      </w:r>
      <w:r>
        <w:rPr>
          <w:spacing w:val="40"/>
          <w:sz w:val="24"/>
        </w:rPr>
        <w:t> </w:t>
      </w:r>
      <w:r>
        <w:rPr>
          <w:sz w:val="24"/>
        </w:rPr>
        <w:t>be</w:t>
      </w:r>
      <w:r>
        <w:rPr>
          <w:spacing w:val="40"/>
          <w:sz w:val="24"/>
        </w:rPr>
        <w:t> </w:t>
      </w:r>
      <w:r>
        <w:rPr>
          <w:sz w:val="24"/>
        </w:rPr>
        <w:t>2000 </w:t>
      </w:r>
      <w:r>
        <w:rPr>
          <w:spacing w:val="9"/>
          <w:sz w:val="24"/>
        </w:rPr>
        <w:t>sq.mt.</w:t>
      </w:r>
    </w:p>
    <w:p>
      <w:pPr>
        <w:pStyle w:val="BodyText"/>
        <w:jc w:val="left"/>
      </w:pPr>
    </w:p>
    <w:p>
      <w:pPr>
        <w:pStyle w:val="BodyText"/>
        <w:jc w:val="left"/>
      </w:pPr>
    </w:p>
    <w:p>
      <w:pPr>
        <w:pStyle w:val="Heading3"/>
        <w:numPr>
          <w:ilvl w:val="0"/>
          <w:numId w:val="97"/>
        </w:numPr>
        <w:tabs>
          <w:tab w:pos="1493" w:val="left" w:leader="none"/>
          <w:tab w:pos="3521" w:val="left" w:leader="none"/>
          <w:tab w:pos="5748" w:val="left" w:leader="none"/>
          <w:tab w:pos="8016" w:val="left" w:leader="none"/>
          <w:tab w:pos="9388" w:val="left" w:leader="none"/>
        </w:tabs>
        <w:spacing w:line="240" w:lineRule="auto" w:before="0" w:after="0"/>
        <w:ind w:left="772" w:right="769" w:firstLine="0"/>
        <w:jc w:val="left"/>
      </w:pPr>
      <w:r>
        <w:rPr>
          <w:spacing w:val="-2"/>
        </w:rPr>
        <w:t>Layout/Plot</w:t>
      </w:r>
      <w:r>
        <w:rPr/>
        <w:tab/>
      </w:r>
      <w:r>
        <w:rPr>
          <w:spacing w:val="-2"/>
        </w:rPr>
        <w:t>Recreational</w:t>
      </w:r>
      <w:r>
        <w:rPr/>
        <w:tab/>
      </w:r>
      <w:r>
        <w:rPr>
          <w:spacing w:val="-2"/>
        </w:rPr>
        <w:t>Ground/Open</w:t>
      </w:r>
      <w:r>
        <w:rPr/>
        <w:tab/>
      </w:r>
      <w:r>
        <w:rPr>
          <w:spacing w:val="-2"/>
        </w:rPr>
        <w:t>Spaces</w:t>
      </w:r>
      <w:r>
        <w:rPr/>
        <w:tab/>
      </w:r>
      <w:r>
        <w:rPr>
          <w:spacing w:val="-2"/>
        </w:rPr>
        <w:t>(LOS)in Layout/Plot</w:t>
      </w:r>
    </w:p>
    <w:p>
      <w:pPr>
        <w:pStyle w:val="Heading6"/>
        <w:numPr>
          <w:ilvl w:val="0"/>
          <w:numId w:val="105"/>
        </w:numPr>
        <w:tabs>
          <w:tab w:pos="1870" w:val="left" w:leader="none"/>
        </w:tabs>
        <w:spacing w:line="240" w:lineRule="auto" w:before="242" w:after="0"/>
        <w:ind w:left="1870" w:right="0" w:hanging="437"/>
        <w:jc w:val="both"/>
        <w:rPr>
          <w:b w:val="0"/>
          <w:i w:val="0"/>
        </w:rPr>
      </w:pPr>
      <w:r>
        <w:rPr/>
        <w:t>LOS</w:t>
      </w:r>
      <w:r>
        <w:rPr>
          <w:spacing w:val="63"/>
        </w:rPr>
        <w:t> </w:t>
      </w:r>
      <w:r>
        <w:rPr/>
        <w:t>in</w:t>
      </w:r>
      <w:r>
        <w:rPr>
          <w:spacing w:val="63"/>
        </w:rPr>
        <w:t> </w:t>
      </w:r>
      <w:r>
        <w:rPr/>
        <w:t>residential</w:t>
      </w:r>
      <w:r>
        <w:rPr>
          <w:spacing w:val="62"/>
        </w:rPr>
        <w:t> </w:t>
      </w:r>
      <w:r>
        <w:rPr/>
        <w:t>and</w:t>
      </w:r>
      <w:r>
        <w:rPr>
          <w:spacing w:val="70"/>
        </w:rPr>
        <w:t> </w:t>
      </w:r>
      <w:r>
        <w:rPr/>
        <w:t>commercial</w:t>
      </w:r>
      <w:r>
        <w:rPr>
          <w:spacing w:val="67"/>
        </w:rPr>
        <w:t> </w:t>
      </w:r>
      <w:r>
        <w:rPr>
          <w:spacing w:val="-2"/>
        </w:rPr>
        <w:t>layouts:</w:t>
      </w:r>
    </w:p>
    <w:p>
      <w:pPr>
        <w:pStyle w:val="ListParagraph"/>
        <w:numPr>
          <w:ilvl w:val="1"/>
          <w:numId w:val="105"/>
        </w:numPr>
        <w:tabs>
          <w:tab w:pos="1869" w:val="left" w:leader="none"/>
          <w:tab w:pos="1872" w:val="left" w:leader="none"/>
        </w:tabs>
        <w:spacing w:line="242" w:lineRule="auto" w:before="239" w:after="0"/>
        <w:ind w:left="1872" w:right="776" w:hanging="440"/>
        <w:jc w:val="both"/>
        <w:rPr>
          <w:sz w:val="24"/>
        </w:rPr>
      </w:pPr>
      <w:r>
        <w:rPr>
          <w:b/>
          <w:i/>
          <w:sz w:val="24"/>
        </w:rPr>
        <w:t>Extent: </w:t>
      </w:r>
      <w:r>
        <w:rPr>
          <w:sz w:val="24"/>
        </w:rPr>
        <w:t>In any layout or </w:t>
      </w:r>
      <w:r>
        <w:rPr>
          <w:spacing w:val="11"/>
          <w:sz w:val="24"/>
        </w:rPr>
        <w:t>sub-</w:t>
      </w:r>
      <w:r>
        <w:rPr>
          <w:spacing w:val="9"/>
          <w:sz w:val="24"/>
        </w:rPr>
        <w:t>division/amalgamation/</w:t>
      </w:r>
      <w:r>
        <w:rPr>
          <w:spacing w:val="9"/>
          <w:sz w:val="24"/>
        </w:rPr>
        <w:t> </w:t>
      </w:r>
      <w:r>
        <w:rPr>
          <w:sz w:val="24"/>
        </w:rPr>
        <w:t>for the development of individual plots with single building in a </w:t>
      </w:r>
      <w:r>
        <w:rPr>
          <w:spacing w:val="9"/>
          <w:sz w:val="24"/>
        </w:rPr>
        <w:t>residential</w:t>
      </w:r>
      <w:r>
        <w:rPr>
          <w:spacing w:val="80"/>
          <w:sz w:val="24"/>
        </w:rPr>
        <w:t> </w:t>
      </w:r>
      <w:r>
        <w:rPr>
          <w:sz w:val="24"/>
        </w:rPr>
        <w:t>and</w:t>
      </w:r>
      <w:r>
        <w:rPr>
          <w:spacing w:val="40"/>
          <w:sz w:val="24"/>
        </w:rPr>
        <w:t> </w:t>
      </w:r>
      <w:r>
        <w:rPr>
          <w:sz w:val="24"/>
        </w:rPr>
        <w:t>commercial</w:t>
      </w:r>
      <w:r>
        <w:rPr>
          <w:spacing w:val="40"/>
          <w:sz w:val="24"/>
        </w:rPr>
        <w:t> </w:t>
      </w:r>
      <w:r>
        <w:rPr>
          <w:sz w:val="24"/>
        </w:rPr>
        <w:t>zone,</w:t>
      </w:r>
      <w:r>
        <w:rPr>
          <w:spacing w:val="40"/>
          <w:sz w:val="24"/>
        </w:rPr>
        <w:t> </w:t>
      </w:r>
      <w:r>
        <w:rPr>
          <w:sz w:val="24"/>
        </w:rPr>
        <w:t>LOS</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as</w:t>
      </w:r>
      <w:r>
        <w:rPr>
          <w:spacing w:val="40"/>
          <w:sz w:val="24"/>
        </w:rPr>
        <w:t> </w:t>
      </w:r>
      <w:r>
        <w:rPr>
          <w:sz w:val="24"/>
        </w:rPr>
        <w:t>under.</w:t>
      </w:r>
    </w:p>
    <w:p>
      <w:pPr>
        <w:pStyle w:val="BodyText"/>
        <w:spacing w:before="11"/>
        <w:jc w:val="left"/>
        <w:rPr>
          <w:sz w:val="19"/>
        </w:rPr>
      </w:pPr>
    </w:p>
    <w:tbl>
      <w:tblPr>
        <w:tblW w:w="0" w:type="auto"/>
        <w:jc w:val="left"/>
        <w:tblInd w:w="1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4657"/>
        <w:gridCol w:w="1897"/>
      </w:tblGrid>
      <w:tr>
        <w:trPr>
          <w:trHeight w:val="803" w:hRule="atLeast"/>
        </w:trPr>
        <w:tc>
          <w:tcPr>
            <w:tcW w:w="811" w:type="dxa"/>
          </w:tcPr>
          <w:p>
            <w:pPr>
              <w:pStyle w:val="TableParagraph"/>
              <w:spacing w:before="1"/>
              <w:ind w:left="107"/>
              <w:rPr>
                <w:sz w:val="24"/>
              </w:rPr>
            </w:pPr>
            <w:r>
              <w:rPr>
                <w:spacing w:val="-5"/>
                <w:sz w:val="24"/>
              </w:rPr>
              <w:t>(i)</w:t>
            </w:r>
          </w:p>
        </w:tc>
        <w:tc>
          <w:tcPr>
            <w:tcW w:w="4657" w:type="dxa"/>
          </w:tcPr>
          <w:p>
            <w:pPr>
              <w:pStyle w:val="TableParagraph"/>
              <w:spacing w:before="1"/>
              <w:ind w:left="1200" w:right="102" w:hanging="728"/>
              <w:rPr>
                <w:sz w:val="24"/>
              </w:rPr>
            </w:pPr>
            <w:r>
              <w:rPr>
                <w:sz w:val="24"/>
              </w:rPr>
              <w:t>Area</w:t>
            </w:r>
            <w:r>
              <w:rPr>
                <w:spacing w:val="40"/>
                <w:sz w:val="24"/>
              </w:rPr>
              <w:t> </w:t>
            </w:r>
            <w:r>
              <w:rPr>
                <w:sz w:val="24"/>
              </w:rPr>
              <w:t>from</w:t>
            </w:r>
            <w:r>
              <w:rPr>
                <w:spacing w:val="40"/>
                <w:sz w:val="24"/>
              </w:rPr>
              <w:t> </w:t>
            </w:r>
            <w:r>
              <w:rPr>
                <w:sz w:val="24"/>
              </w:rPr>
              <w:t>1001</w:t>
            </w:r>
            <w:r>
              <w:rPr>
                <w:spacing w:val="40"/>
                <w:sz w:val="24"/>
              </w:rPr>
              <w:t> </w:t>
            </w:r>
            <w:r>
              <w:rPr>
                <w:sz w:val="24"/>
              </w:rPr>
              <w:t>sq.</w:t>
            </w:r>
            <w:r>
              <w:rPr>
                <w:spacing w:val="40"/>
                <w:sz w:val="24"/>
              </w:rPr>
              <w:t> </w:t>
            </w:r>
            <w:r>
              <w:rPr>
                <w:sz w:val="24"/>
              </w:rPr>
              <w:t>m</w:t>
            </w:r>
            <w:r>
              <w:rPr>
                <w:spacing w:val="40"/>
                <w:sz w:val="24"/>
              </w:rPr>
              <w:t> </w:t>
            </w:r>
            <w:r>
              <w:rPr>
                <w:sz w:val="24"/>
              </w:rPr>
              <w:t>to</w:t>
            </w:r>
            <w:r>
              <w:rPr>
                <w:spacing w:val="40"/>
                <w:sz w:val="24"/>
              </w:rPr>
              <w:t> </w:t>
            </w:r>
            <w:r>
              <w:rPr>
                <w:sz w:val="24"/>
              </w:rPr>
              <w:t>2500</w:t>
            </w:r>
            <w:r>
              <w:rPr>
                <w:spacing w:val="80"/>
                <w:sz w:val="24"/>
              </w:rPr>
              <w:t> </w:t>
            </w:r>
            <w:r>
              <w:rPr>
                <w:sz w:val="24"/>
              </w:rPr>
              <w:t>sq. m.</w:t>
            </w:r>
          </w:p>
        </w:tc>
        <w:tc>
          <w:tcPr>
            <w:tcW w:w="1897" w:type="dxa"/>
          </w:tcPr>
          <w:p>
            <w:pPr>
              <w:pStyle w:val="TableParagraph"/>
              <w:spacing w:before="1"/>
              <w:ind w:left="16"/>
              <w:jc w:val="center"/>
              <w:rPr>
                <w:sz w:val="24"/>
              </w:rPr>
            </w:pPr>
            <w:r>
              <w:rPr>
                <w:sz w:val="24"/>
              </w:rPr>
              <w:t>15</w:t>
            </w:r>
            <w:r>
              <w:rPr>
                <w:spacing w:val="32"/>
                <w:sz w:val="24"/>
              </w:rPr>
              <w:t> </w:t>
            </w:r>
            <w:r>
              <w:rPr>
                <w:sz w:val="24"/>
              </w:rPr>
              <w:t>per</w:t>
            </w:r>
            <w:r>
              <w:rPr>
                <w:spacing w:val="33"/>
                <w:sz w:val="24"/>
              </w:rPr>
              <w:t> </w:t>
            </w:r>
            <w:r>
              <w:rPr>
                <w:spacing w:val="5"/>
                <w:sz w:val="24"/>
              </w:rPr>
              <w:t>cent</w:t>
            </w:r>
          </w:p>
        </w:tc>
      </w:tr>
      <w:tr>
        <w:trPr>
          <w:trHeight w:val="804" w:hRule="atLeast"/>
        </w:trPr>
        <w:tc>
          <w:tcPr>
            <w:tcW w:w="811" w:type="dxa"/>
          </w:tcPr>
          <w:p>
            <w:pPr>
              <w:pStyle w:val="TableParagraph"/>
              <w:spacing w:before="1"/>
              <w:ind w:left="107"/>
              <w:rPr>
                <w:sz w:val="24"/>
              </w:rPr>
            </w:pPr>
            <w:r>
              <w:rPr>
                <w:spacing w:val="-4"/>
                <w:sz w:val="24"/>
              </w:rPr>
              <w:t>(ii)</w:t>
            </w:r>
          </w:p>
        </w:tc>
        <w:tc>
          <w:tcPr>
            <w:tcW w:w="4657" w:type="dxa"/>
          </w:tcPr>
          <w:p>
            <w:pPr>
              <w:pStyle w:val="TableParagraph"/>
              <w:spacing w:before="1"/>
              <w:ind w:left="480" w:right="102"/>
              <w:rPr>
                <w:sz w:val="24"/>
              </w:rPr>
            </w:pPr>
            <w:r>
              <w:rPr>
                <w:sz w:val="24"/>
              </w:rPr>
              <w:t>Area from 2501 sq. m to 10,000</w:t>
            </w:r>
            <w:r>
              <w:rPr>
                <w:spacing w:val="80"/>
                <w:sz w:val="24"/>
              </w:rPr>
              <w:t> </w:t>
            </w:r>
            <w:r>
              <w:rPr>
                <w:sz w:val="24"/>
              </w:rPr>
              <w:t>sq. m</w:t>
            </w:r>
          </w:p>
        </w:tc>
        <w:tc>
          <w:tcPr>
            <w:tcW w:w="1897" w:type="dxa"/>
          </w:tcPr>
          <w:p>
            <w:pPr>
              <w:pStyle w:val="TableParagraph"/>
              <w:spacing w:before="1"/>
              <w:ind w:left="16"/>
              <w:jc w:val="center"/>
              <w:rPr>
                <w:sz w:val="24"/>
              </w:rPr>
            </w:pPr>
            <w:r>
              <w:rPr>
                <w:sz w:val="24"/>
              </w:rPr>
              <w:t>20</w:t>
            </w:r>
            <w:r>
              <w:rPr>
                <w:spacing w:val="32"/>
                <w:sz w:val="24"/>
              </w:rPr>
              <w:t> </w:t>
            </w:r>
            <w:r>
              <w:rPr>
                <w:sz w:val="24"/>
              </w:rPr>
              <w:t>per</w:t>
            </w:r>
            <w:r>
              <w:rPr>
                <w:spacing w:val="33"/>
                <w:sz w:val="24"/>
              </w:rPr>
              <w:t> </w:t>
            </w:r>
            <w:r>
              <w:rPr>
                <w:spacing w:val="5"/>
                <w:sz w:val="24"/>
              </w:rPr>
              <w:t>cent</w:t>
            </w:r>
          </w:p>
        </w:tc>
      </w:tr>
      <w:tr>
        <w:trPr>
          <w:trHeight w:val="522" w:hRule="atLeast"/>
        </w:trPr>
        <w:tc>
          <w:tcPr>
            <w:tcW w:w="811" w:type="dxa"/>
          </w:tcPr>
          <w:p>
            <w:pPr>
              <w:pStyle w:val="TableParagraph"/>
              <w:spacing w:line="281" w:lineRule="exact"/>
              <w:ind w:left="107"/>
              <w:rPr>
                <w:sz w:val="24"/>
              </w:rPr>
            </w:pPr>
            <w:r>
              <w:rPr>
                <w:spacing w:val="-2"/>
                <w:sz w:val="24"/>
              </w:rPr>
              <w:t>(iii)</w:t>
            </w:r>
          </w:p>
        </w:tc>
        <w:tc>
          <w:tcPr>
            <w:tcW w:w="4657" w:type="dxa"/>
          </w:tcPr>
          <w:p>
            <w:pPr>
              <w:pStyle w:val="TableParagraph"/>
              <w:spacing w:line="281" w:lineRule="exact"/>
              <w:ind w:left="561"/>
              <w:rPr>
                <w:sz w:val="24"/>
              </w:rPr>
            </w:pPr>
            <w:r>
              <w:rPr>
                <w:sz w:val="24"/>
              </w:rPr>
              <w:t>Area</w:t>
            </w:r>
            <w:r>
              <w:rPr>
                <w:spacing w:val="51"/>
                <w:sz w:val="24"/>
              </w:rPr>
              <w:t> </w:t>
            </w:r>
            <w:r>
              <w:rPr>
                <w:sz w:val="24"/>
              </w:rPr>
              <w:t>above</w:t>
            </w:r>
            <w:r>
              <w:rPr>
                <w:spacing w:val="51"/>
                <w:sz w:val="24"/>
              </w:rPr>
              <w:t> </w:t>
            </w:r>
            <w:r>
              <w:rPr>
                <w:sz w:val="24"/>
              </w:rPr>
              <w:t>10,000</w:t>
            </w:r>
            <w:r>
              <w:rPr>
                <w:spacing w:val="51"/>
                <w:sz w:val="24"/>
              </w:rPr>
              <w:t> </w:t>
            </w:r>
            <w:r>
              <w:rPr>
                <w:sz w:val="24"/>
              </w:rPr>
              <w:t>sq.</w:t>
            </w:r>
            <w:r>
              <w:rPr>
                <w:spacing w:val="51"/>
                <w:sz w:val="24"/>
              </w:rPr>
              <w:t> </w:t>
            </w:r>
            <w:r>
              <w:rPr>
                <w:spacing w:val="-10"/>
                <w:sz w:val="24"/>
              </w:rPr>
              <w:t>m</w:t>
            </w:r>
          </w:p>
        </w:tc>
        <w:tc>
          <w:tcPr>
            <w:tcW w:w="1897" w:type="dxa"/>
          </w:tcPr>
          <w:p>
            <w:pPr>
              <w:pStyle w:val="TableParagraph"/>
              <w:spacing w:line="281" w:lineRule="exact"/>
              <w:ind w:left="16"/>
              <w:jc w:val="center"/>
              <w:rPr>
                <w:sz w:val="24"/>
              </w:rPr>
            </w:pPr>
            <w:r>
              <w:rPr>
                <w:sz w:val="24"/>
              </w:rPr>
              <w:t>25</w:t>
            </w:r>
            <w:r>
              <w:rPr>
                <w:spacing w:val="32"/>
                <w:sz w:val="24"/>
              </w:rPr>
              <w:t> </w:t>
            </w:r>
            <w:r>
              <w:rPr>
                <w:sz w:val="24"/>
              </w:rPr>
              <w:t>per</w:t>
            </w:r>
            <w:r>
              <w:rPr>
                <w:spacing w:val="33"/>
                <w:sz w:val="24"/>
              </w:rPr>
              <w:t> </w:t>
            </w:r>
            <w:r>
              <w:rPr>
                <w:spacing w:val="5"/>
                <w:sz w:val="24"/>
              </w:rPr>
              <w:t>cent</w:t>
            </w:r>
          </w:p>
        </w:tc>
      </w:tr>
    </w:tbl>
    <w:p>
      <w:pPr>
        <w:pStyle w:val="BodyText"/>
        <w:spacing w:before="239"/>
        <w:jc w:val="left"/>
      </w:pPr>
    </w:p>
    <w:p>
      <w:pPr>
        <w:pStyle w:val="BodyText"/>
        <w:ind w:left="1872" w:right="777"/>
      </w:pPr>
      <w:r>
        <w:rPr/>
        <w:t>These LOS shall be exclusive of areas of accesses/internal roads/ existing</w:t>
      </w:r>
      <w:r>
        <w:rPr>
          <w:spacing w:val="40"/>
        </w:rPr>
        <w:t> </w:t>
      </w:r>
      <w:r>
        <w:rPr/>
        <w:t>amenity</w:t>
      </w:r>
      <w:r>
        <w:rPr>
          <w:spacing w:val="40"/>
        </w:rPr>
        <w:t> </w:t>
      </w:r>
      <w:r>
        <w:rPr/>
        <w:t>or</w:t>
      </w:r>
      <w:r>
        <w:rPr>
          <w:spacing w:val="40"/>
        </w:rPr>
        <w:t> </w:t>
      </w:r>
      <w:r>
        <w:rPr/>
        <w:t>reservations,</w:t>
      </w:r>
      <w:r>
        <w:rPr>
          <w:spacing w:val="40"/>
        </w:rPr>
        <w:t> </w:t>
      </w:r>
      <w:r>
        <w:rPr/>
        <w:t>DP</w:t>
      </w:r>
      <w:r>
        <w:rPr>
          <w:spacing w:val="40"/>
        </w:rPr>
        <w:t> </w:t>
      </w:r>
      <w:r>
        <w:rPr/>
        <w:t>roads</w:t>
      </w:r>
      <w:r>
        <w:rPr>
          <w:spacing w:val="40"/>
        </w:rPr>
        <w:t> </w:t>
      </w:r>
      <w:r>
        <w:rPr/>
        <w:t>and</w:t>
      </w:r>
      <w:r>
        <w:rPr>
          <w:spacing w:val="40"/>
        </w:rPr>
        <w:t> </w:t>
      </w:r>
      <w:r>
        <w:rPr/>
        <w:t>areas</w:t>
      </w:r>
      <w:r>
        <w:rPr>
          <w:spacing w:val="40"/>
        </w:rPr>
        <w:t> </w:t>
      </w:r>
      <w:r>
        <w:rPr/>
        <w:t>for</w:t>
      </w:r>
      <w:r>
        <w:rPr>
          <w:spacing w:val="40"/>
        </w:rPr>
        <w:t> </w:t>
      </w:r>
      <w:r>
        <w:rPr/>
        <w:t>road- widening</w:t>
      </w:r>
      <w:r>
        <w:rPr>
          <w:spacing w:val="40"/>
        </w:rPr>
        <w:t> </w:t>
      </w:r>
      <w:r>
        <w:rPr/>
        <w:t>and</w:t>
      </w:r>
      <w:r>
        <w:rPr>
          <w:spacing w:val="40"/>
        </w:rPr>
        <w:t> </w:t>
      </w:r>
      <w:r>
        <w:rPr/>
        <w:t>shall</w:t>
      </w:r>
      <w:r>
        <w:rPr>
          <w:spacing w:val="40"/>
        </w:rPr>
        <w:t> </w:t>
      </w:r>
      <w:r>
        <w:rPr/>
        <w:t>as</w:t>
      </w:r>
      <w:r>
        <w:rPr>
          <w:spacing w:val="40"/>
        </w:rPr>
        <w:t> </w:t>
      </w:r>
      <w:r>
        <w:rPr/>
        <w:t>far</w:t>
      </w:r>
      <w:r>
        <w:rPr>
          <w:spacing w:val="40"/>
        </w:rPr>
        <w:t> </w:t>
      </w:r>
      <w:r>
        <w:rPr/>
        <w:t>as</w:t>
      </w:r>
      <w:r>
        <w:rPr>
          <w:spacing w:val="40"/>
        </w:rPr>
        <w:t> </w:t>
      </w:r>
      <w:r>
        <w:rPr/>
        <w:t>possible</w:t>
      </w:r>
      <w:r>
        <w:rPr>
          <w:spacing w:val="40"/>
        </w:rPr>
        <w:t> </w:t>
      </w:r>
      <w:r>
        <w:rPr/>
        <w:t>be</w:t>
      </w:r>
      <w:r>
        <w:rPr>
          <w:spacing w:val="40"/>
        </w:rPr>
        <w:t> </w:t>
      </w:r>
      <w:r>
        <w:rPr/>
        <w:t>provided</w:t>
      </w:r>
      <w:r>
        <w:rPr>
          <w:spacing w:val="40"/>
        </w:rPr>
        <w:t> </w:t>
      </w:r>
      <w:r>
        <w:rPr/>
        <w:t>in</w:t>
      </w:r>
      <w:r>
        <w:rPr>
          <w:spacing w:val="40"/>
        </w:rPr>
        <w:t> </w:t>
      </w:r>
      <w:r>
        <w:rPr/>
        <w:t>one</w:t>
      </w:r>
      <w:r>
        <w:rPr>
          <w:spacing w:val="40"/>
        </w:rPr>
        <w:t> </w:t>
      </w:r>
      <w:r>
        <w:rPr>
          <w:spacing w:val="9"/>
        </w:rPr>
        <w:t>place. </w:t>
      </w:r>
      <w:r>
        <w:rPr/>
        <w:t>Where</w:t>
      </w:r>
      <w:r>
        <w:rPr>
          <w:spacing w:val="77"/>
        </w:rPr>
        <w:t>   </w:t>
      </w:r>
      <w:r>
        <w:rPr/>
        <w:t>however,</w:t>
      </w:r>
      <w:r>
        <w:rPr>
          <w:spacing w:val="79"/>
        </w:rPr>
        <w:t>   </w:t>
      </w:r>
      <w:r>
        <w:rPr/>
        <w:t>the</w:t>
      </w:r>
      <w:r>
        <w:rPr>
          <w:spacing w:val="78"/>
        </w:rPr>
        <w:t>   </w:t>
      </w:r>
      <w:r>
        <w:rPr/>
        <w:t>area</w:t>
      </w:r>
      <w:r>
        <w:rPr>
          <w:spacing w:val="78"/>
        </w:rPr>
        <w:t>   </w:t>
      </w:r>
      <w:r>
        <w:rPr/>
        <w:t>of</w:t>
      </w:r>
      <w:r>
        <w:rPr>
          <w:spacing w:val="77"/>
        </w:rPr>
        <w:t>   </w:t>
      </w:r>
      <w:r>
        <w:rPr/>
        <w:t>the</w:t>
      </w:r>
      <w:r>
        <w:rPr>
          <w:spacing w:val="78"/>
        </w:rPr>
        <w:t>   </w:t>
      </w:r>
      <w:r>
        <w:rPr/>
        <w:t>layout</w:t>
      </w:r>
      <w:r>
        <w:rPr>
          <w:spacing w:val="79"/>
        </w:rPr>
        <w:t>   </w:t>
      </w:r>
      <w:r>
        <w:rPr/>
        <w:t>or</w:t>
      </w:r>
      <w:r>
        <w:rPr>
          <w:spacing w:val="78"/>
        </w:rPr>
        <w:t>   </w:t>
      </w:r>
      <w:r>
        <w:rPr>
          <w:spacing w:val="5"/>
        </w:rPr>
        <w:t>sub-</w:t>
      </w:r>
    </w:p>
    <w:p>
      <w:pPr>
        <w:pStyle w:val="BodyText"/>
        <w:spacing w:after="0"/>
        <w:sectPr>
          <w:pgSz w:w="11910" w:h="16840"/>
          <w:pgMar w:header="1058" w:footer="1194" w:top="1500" w:bottom="1380" w:left="360" w:right="360"/>
        </w:sectPr>
      </w:pPr>
    </w:p>
    <w:p>
      <w:pPr>
        <w:pStyle w:val="BodyText"/>
        <w:spacing w:before="255"/>
        <w:ind w:left="1872" w:right="777"/>
      </w:pPr>
      <w:r>
        <w:rPr/>
        <w:t>division/amalgamated/plot</w:t>
      </w:r>
      <w:r>
        <w:rPr>
          <w:spacing w:val="40"/>
        </w:rPr>
        <w:t> </w:t>
      </w:r>
      <w:r>
        <w:rPr/>
        <w:t>area</w:t>
      </w:r>
      <w:r>
        <w:rPr>
          <w:spacing w:val="40"/>
        </w:rPr>
        <w:t> </w:t>
      </w:r>
      <w:r>
        <w:rPr/>
        <w:t>is</w:t>
      </w:r>
      <w:r>
        <w:rPr>
          <w:spacing w:val="40"/>
        </w:rPr>
        <w:t> </w:t>
      </w:r>
      <w:r>
        <w:rPr/>
        <w:t>more</w:t>
      </w:r>
      <w:r>
        <w:rPr>
          <w:spacing w:val="40"/>
        </w:rPr>
        <w:t> </w:t>
      </w:r>
      <w:r>
        <w:rPr/>
        <w:t>than</w:t>
      </w:r>
      <w:r>
        <w:rPr>
          <w:spacing w:val="40"/>
        </w:rPr>
        <w:t> </w:t>
      </w:r>
      <w:r>
        <w:rPr/>
        <w:t>5000</w:t>
      </w:r>
      <w:r>
        <w:rPr>
          <w:spacing w:val="40"/>
        </w:rPr>
        <w:t> </w:t>
      </w:r>
      <w:r>
        <w:rPr/>
        <w:t>sq.</w:t>
      </w:r>
      <w:r>
        <w:rPr>
          <w:spacing w:val="40"/>
        </w:rPr>
        <w:t> </w:t>
      </w:r>
      <w:r>
        <w:rPr/>
        <w:t>m,</w:t>
      </w:r>
      <w:r>
        <w:rPr>
          <w:spacing w:val="40"/>
        </w:rPr>
        <w:t> </w:t>
      </w:r>
      <w:r>
        <w:rPr/>
        <w:t>LOS</w:t>
      </w:r>
      <w:r>
        <w:rPr>
          <w:spacing w:val="40"/>
        </w:rPr>
        <w:t> </w:t>
      </w:r>
      <w:r>
        <w:rPr/>
        <w:t>may be provided in more than one place, but at least one of such places</w:t>
      </w:r>
      <w:r>
        <w:rPr>
          <w:spacing w:val="80"/>
        </w:rPr>
        <w:t> </w:t>
      </w:r>
      <w:r>
        <w:rPr/>
        <w:t>shall be not less than 1000 sq. m in size.</w:t>
      </w:r>
      <w:r>
        <w:rPr>
          <w:spacing w:val="80"/>
        </w:rPr>
        <w:t> </w:t>
      </w:r>
      <w:r>
        <w:rPr/>
        <w:t>Such LOS will not be necessary in the case of land used for educational institutions </w:t>
      </w:r>
      <w:r>
        <w:rPr>
          <w:spacing w:val="9"/>
        </w:rPr>
        <w:t>with </w:t>
      </w:r>
      <w:r>
        <w:rPr/>
        <w:t>attached</w:t>
      </w:r>
      <w:r>
        <w:rPr>
          <w:spacing w:val="40"/>
        </w:rPr>
        <w:t> </w:t>
      </w:r>
      <w:r>
        <w:rPr/>
        <w:t>independent </w:t>
      </w:r>
      <w:r>
        <w:rPr>
          <w:spacing w:val="9"/>
        </w:rPr>
        <w:t>playgrounds.</w:t>
      </w:r>
    </w:p>
    <w:p>
      <w:pPr>
        <w:pStyle w:val="BodyText"/>
        <w:spacing w:before="240"/>
        <w:ind w:left="1872" w:right="777"/>
      </w:pPr>
      <w:r>
        <w:rPr/>
        <w:t>In</w:t>
      </w:r>
      <w:r>
        <w:rPr>
          <w:spacing w:val="40"/>
        </w:rPr>
        <w:t> </w:t>
      </w:r>
      <w:r>
        <w:rPr/>
        <w:t>case</w:t>
      </w:r>
      <w:r>
        <w:rPr>
          <w:spacing w:val="40"/>
        </w:rPr>
        <w:t> </w:t>
      </w:r>
      <w:r>
        <w:rPr/>
        <w:t>of</w:t>
      </w:r>
      <w:r>
        <w:rPr>
          <w:spacing w:val="40"/>
        </w:rPr>
        <w:t> </w:t>
      </w:r>
      <w:r>
        <w:rPr/>
        <w:t>provisions</w:t>
      </w:r>
      <w:r>
        <w:rPr>
          <w:spacing w:val="40"/>
        </w:rPr>
        <w:t> </w:t>
      </w:r>
      <w:r>
        <w:rPr/>
        <w:t>of</w:t>
      </w:r>
      <w:r>
        <w:rPr>
          <w:spacing w:val="40"/>
        </w:rPr>
        <w:t> </w:t>
      </w:r>
      <w:r>
        <w:rPr/>
        <w:t>Regulation</w:t>
      </w:r>
      <w:r>
        <w:rPr>
          <w:spacing w:val="40"/>
        </w:rPr>
        <w:t> </w:t>
      </w:r>
      <w:r>
        <w:rPr/>
        <w:t>No</w:t>
      </w:r>
      <w:r>
        <w:rPr>
          <w:spacing w:val="40"/>
        </w:rPr>
        <w:t> </w:t>
      </w:r>
      <w:r>
        <w:rPr/>
        <w:t>33</w:t>
      </w:r>
      <w:r>
        <w:rPr>
          <w:spacing w:val="40"/>
        </w:rPr>
        <w:t> </w:t>
      </w:r>
      <w:r>
        <w:rPr/>
        <w:t>the</w:t>
      </w:r>
      <w:r>
        <w:rPr>
          <w:spacing w:val="40"/>
        </w:rPr>
        <w:t> </w:t>
      </w:r>
      <w:r>
        <w:rPr/>
        <w:t>LOS</w:t>
      </w:r>
      <w:r>
        <w:rPr>
          <w:spacing w:val="40"/>
        </w:rPr>
        <w:t> </w:t>
      </w:r>
      <w:r>
        <w:rPr/>
        <w:t>shall</w:t>
      </w:r>
      <w:r>
        <w:rPr>
          <w:spacing w:val="40"/>
        </w:rPr>
        <w:t> </w:t>
      </w:r>
      <w:r>
        <w:rPr/>
        <w:t>be</w:t>
      </w:r>
      <w:r>
        <w:rPr>
          <w:spacing w:val="40"/>
        </w:rPr>
        <w:t> </w:t>
      </w:r>
      <w:r>
        <w:rPr/>
        <w:t>as stipulated</w:t>
      </w:r>
      <w:r>
        <w:rPr>
          <w:spacing w:val="40"/>
        </w:rPr>
        <w:t> </w:t>
      </w:r>
      <w:r>
        <w:rPr/>
        <w:t>in</w:t>
      </w:r>
      <w:r>
        <w:rPr>
          <w:spacing w:val="40"/>
        </w:rPr>
        <w:t> </w:t>
      </w:r>
      <w:r>
        <w:rPr/>
        <w:t>the</w:t>
      </w:r>
      <w:r>
        <w:rPr>
          <w:spacing w:val="40"/>
        </w:rPr>
        <w:t> </w:t>
      </w:r>
      <w:r>
        <w:rPr/>
        <w:t>relevant</w:t>
      </w:r>
      <w:r>
        <w:rPr>
          <w:spacing w:val="40"/>
        </w:rPr>
        <w:t> </w:t>
      </w:r>
      <w:r>
        <w:rPr/>
        <w:t>regulations</w:t>
      </w:r>
      <w:r>
        <w:rPr>
          <w:spacing w:val="40"/>
        </w:rPr>
        <w:t> </w:t>
      </w:r>
      <w:r>
        <w:rPr/>
        <w:t>if</w:t>
      </w:r>
      <w:r>
        <w:rPr>
          <w:spacing w:val="40"/>
        </w:rPr>
        <w:t> </w:t>
      </w:r>
      <w:r>
        <w:rPr/>
        <w:t>specified</w:t>
      </w:r>
      <w:r>
        <w:rPr>
          <w:spacing w:val="40"/>
        </w:rPr>
        <w:t> </w:t>
      </w:r>
      <w:r>
        <w:rPr/>
        <w:t>separately,</w:t>
      </w:r>
      <w:r>
        <w:rPr>
          <w:spacing w:val="40"/>
        </w:rPr>
        <w:t> </w:t>
      </w:r>
      <w:r>
        <w:rPr/>
        <w:t>or</w:t>
      </w:r>
      <w:r>
        <w:rPr>
          <w:spacing w:val="40"/>
        </w:rPr>
        <w:t> </w:t>
      </w:r>
      <w:r>
        <w:rPr/>
        <w:t>else the</w:t>
      </w:r>
      <w:r>
        <w:rPr>
          <w:spacing w:val="40"/>
        </w:rPr>
        <w:t> </w:t>
      </w:r>
      <w:r>
        <w:rPr/>
        <w:t>LOS</w:t>
      </w:r>
      <w:r>
        <w:rPr>
          <w:spacing w:val="40"/>
        </w:rPr>
        <w:t> </w:t>
      </w:r>
      <w:r>
        <w:rPr/>
        <w:t>as</w:t>
      </w:r>
      <w:r>
        <w:rPr>
          <w:spacing w:val="40"/>
        </w:rPr>
        <w:t> </w:t>
      </w:r>
      <w:r>
        <w:rPr/>
        <w:t>specified</w:t>
      </w:r>
      <w:r>
        <w:rPr>
          <w:spacing w:val="40"/>
        </w:rPr>
        <w:t> </w:t>
      </w:r>
      <w:r>
        <w:rPr/>
        <w:t>above</w:t>
      </w:r>
      <w:r>
        <w:rPr>
          <w:spacing w:val="40"/>
        </w:rPr>
        <w:t> </w:t>
      </w:r>
      <w:r>
        <w:rPr/>
        <w:t>shall</w:t>
      </w:r>
      <w:r>
        <w:rPr>
          <w:spacing w:val="40"/>
        </w:rPr>
        <w:t> </w:t>
      </w:r>
      <w:r>
        <w:rPr/>
        <w:t>be</w:t>
      </w:r>
      <w:r>
        <w:rPr>
          <w:spacing w:val="40"/>
        </w:rPr>
        <w:t> </w:t>
      </w:r>
      <w:r>
        <w:rPr/>
        <w:t>provided.</w:t>
      </w:r>
    </w:p>
    <w:p>
      <w:pPr>
        <w:pStyle w:val="BodyText"/>
        <w:spacing w:before="242"/>
        <w:ind w:left="1872" w:right="780"/>
      </w:pPr>
      <w:r>
        <w:rPr/>
        <w:t>Provided</w:t>
      </w:r>
      <w:r>
        <w:rPr>
          <w:spacing w:val="40"/>
        </w:rPr>
        <w:t> </w:t>
      </w:r>
      <w:r>
        <w:rPr/>
        <w:t>further</w:t>
      </w:r>
      <w:r>
        <w:rPr>
          <w:spacing w:val="40"/>
        </w:rPr>
        <w:t> </w:t>
      </w:r>
      <w:r>
        <w:rPr/>
        <w:t>that</w:t>
      </w:r>
      <w:r>
        <w:rPr>
          <w:spacing w:val="40"/>
        </w:rPr>
        <w:t> </w:t>
      </w:r>
      <w:r>
        <w:rPr/>
        <w:t>the</w:t>
      </w:r>
      <w:r>
        <w:rPr>
          <w:spacing w:val="40"/>
        </w:rPr>
        <w:t> </w:t>
      </w:r>
      <w:r>
        <w:rPr/>
        <w:t>provisions</w:t>
      </w:r>
      <w:r>
        <w:rPr>
          <w:spacing w:val="40"/>
        </w:rPr>
        <w:t> </w:t>
      </w:r>
      <w:r>
        <w:rPr/>
        <w:t>of</w:t>
      </w:r>
      <w:r>
        <w:rPr>
          <w:spacing w:val="40"/>
        </w:rPr>
        <w:t> </w:t>
      </w:r>
      <w:r>
        <w:rPr/>
        <w:t>LOS</w:t>
      </w:r>
      <w:r>
        <w:rPr>
          <w:spacing w:val="40"/>
        </w:rPr>
        <w:t> </w:t>
      </w:r>
      <w:r>
        <w:rPr/>
        <w:t>in</w:t>
      </w:r>
      <w:r>
        <w:rPr>
          <w:spacing w:val="40"/>
        </w:rPr>
        <w:t> </w:t>
      </w:r>
      <w:r>
        <w:rPr/>
        <w:t>case</w:t>
      </w:r>
      <w:r>
        <w:rPr>
          <w:spacing w:val="40"/>
        </w:rPr>
        <w:t> </w:t>
      </w:r>
      <w:r>
        <w:rPr/>
        <w:t>of</w:t>
      </w:r>
      <w:r>
        <w:rPr>
          <w:spacing w:val="40"/>
        </w:rPr>
        <w:t> </w:t>
      </w:r>
      <w:r>
        <w:rPr/>
        <w:t>the redevelopment schemes under the regulation no</w:t>
      </w:r>
      <w:r>
        <w:rPr>
          <w:spacing w:val="40"/>
        </w:rPr>
        <w:t> </w:t>
      </w:r>
      <w:r>
        <w:rPr/>
        <w:t>33(5),33(7),33(8),,33(15)</w:t>
      </w:r>
      <w:r>
        <w:rPr>
          <w:spacing w:val="40"/>
        </w:rPr>
        <w:t> </w:t>
      </w:r>
      <w:r>
        <w:rPr/>
        <w:t>and</w:t>
      </w:r>
      <w:r>
        <w:rPr>
          <w:spacing w:val="40"/>
        </w:rPr>
        <w:t> </w:t>
      </w:r>
      <w:r>
        <w:rPr/>
        <w:t>33(20)</w:t>
      </w:r>
      <w:r>
        <w:rPr>
          <w:spacing w:val="40"/>
        </w:rPr>
        <w:t> </w:t>
      </w:r>
      <w:r>
        <w:rPr/>
        <w:t>(A)</w:t>
      </w:r>
      <w:r>
        <w:rPr>
          <w:spacing w:val="40"/>
        </w:rPr>
        <w:t> </w:t>
      </w:r>
      <w:r>
        <w:rPr/>
        <w:t>may</w:t>
      </w:r>
      <w:r>
        <w:rPr>
          <w:spacing w:val="40"/>
        </w:rPr>
        <w:t> </w:t>
      </w:r>
      <w:r>
        <w:rPr/>
        <w:t>be</w:t>
      </w:r>
      <w:r>
        <w:rPr>
          <w:spacing w:val="40"/>
        </w:rPr>
        <w:t> </w:t>
      </w:r>
      <w:r>
        <w:rPr/>
        <w:t>reduced</w:t>
      </w:r>
      <w:r>
        <w:rPr>
          <w:spacing w:val="40"/>
        </w:rPr>
        <w:t> </w:t>
      </w:r>
      <w:r>
        <w:rPr/>
        <w:t>due</w:t>
      </w:r>
      <w:r>
        <w:rPr>
          <w:spacing w:val="40"/>
        </w:rPr>
        <w:t> </w:t>
      </w:r>
      <w:r>
        <w:rPr/>
        <w:t>to planning constraints, minimum of at least 10%shall be maintained. Provided further that in case of redevelopment proposal under Regulation</w:t>
      </w:r>
      <w:r>
        <w:rPr>
          <w:spacing w:val="73"/>
        </w:rPr>
        <w:t> </w:t>
      </w:r>
      <w:r>
        <w:rPr/>
        <w:t>No</w:t>
      </w:r>
      <w:r>
        <w:rPr>
          <w:spacing w:val="73"/>
        </w:rPr>
        <w:t> </w:t>
      </w:r>
      <w:r>
        <w:rPr/>
        <w:t>33(5),</w:t>
      </w:r>
      <w:r>
        <w:rPr>
          <w:spacing w:val="76"/>
        </w:rPr>
        <w:t> </w:t>
      </w:r>
      <w:r>
        <w:rPr/>
        <w:t>the</w:t>
      </w:r>
      <w:r>
        <w:rPr>
          <w:spacing w:val="73"/>
        </w:rPr>
        <w:t> </w:t>
      </w:r>
      <w:r>
        <w:rPr/>
        <w:t>existing</w:t>
      </w:r>
      <w:r>
        <w:rPr>
          <w:spacing w:val="73"/>
        </w:rPr>
        <w:t> </w:t>
      </w:r>
      <w:r>
        <w:rPr/>
        <w:t>area</w:t>
      </w:r>
      <w:r>
        <w:rPr>
          <w:spacing w:val="76"/>
        </w:rPr>
        <w:t> </w:t>
      </w:r>
      <w:r>
        <w:rPr/>
        <w:t>of</w:t>
      </w:r>
      <w:r>
        <w:rPr>
          <w:spacing w:val="79"/>
        </w:rPr>
        <w:t> </w:t>
      </w:r>
      <w:r>
        <w:rPr/>
        <w:t>LOS</w:t>
      </w:r>
      <w:r>
        <w:rPr>
          <w:spacing w:val="73"/>
        </w:rPr>
        <w:t> </w:t>
      </w:r>
      <w:r>
        <w:rPr/>
        <w:t>shall</w:t>
      </w:r>
      <w:r>
        <w:rPr>
          <w:spacing w:val="75"/>
        </w:rPr>
        <w:t> </w:t>
      </w:r>
      <w:r>
        <w:rPr/>
        <w:t>be</w:t>
      </w:r>
      <w:r>
        <w:rPr>
          <w:spacing w:val="73"/>
        </w:rPr>
        <w:t> </w:t>
      </w:r>
      <w:r>
        <w:rPr/>
        <w:t>maintained, if</w:t>
      </w:r>
      <w:r>
        <w:rPr>
          <w:spacing w:val="40"/>
        </w:rPr>
        <w:t> </w:t>
      </w:r>
      <w:r>
        <w:rPr/>
        <w:t>it</w:t>
      </w:r>
      <w:r>
        <w:rPr>
          <w:spacing w:val="40"/>
        </w:rPr>
        <w:t> </w:t>
      </w:r>
      <w:r>
        <w:rPr/>
        <w:t>is</w:t>
      </w:r>
      <w:r>
        <w:rPr>
          <w:spacing w:val="40"/>
        </w:rPr>
        <w:t> </w:t>
      </w:r>
      <w:r>
        <w:rPr/>
        <w:t>more</w:t>
      </w:r>
      <w:r>
        <w:rPr>
          <w:spacing w:val="40"/>
        </w:rPr>
        <w:t> </w:t>
      </w:r>
      <w:r>
        <w:rPr/>
        <w:t>than</w:t>
      </w:r>
      <w:r>
        <w:rPr>
          <w:spacing w:val="40"/>
        </w:rPr>
        <w:t> </w:t>
      </w:r>
      <w:r>
        <w:rPr/>
        <w:t>10</w:t>
      </w:r>
      <w:r>
        <w:rPr>
          <w:spacing w:val="40"/>
        </w:rPr>
        <w:t> </w:t>
      </w:r>
      <w:r>
        <w:rPr/>
        <w:t>%</w:t>
      </w:r>
      <w:r>
        <w:rPr>
          <w:spacing w:val="40"/>
        </w:rPr>
        <w:t> </w:t>
      </w:r>
      <w:r>
        <w:rPr/>
        <w:t>of</w:t>
      </w:r>
      <w:r>
        <w:rPr>
          <w:spacing w:val="40"/>
        </w:rPr>
        <w:t> </w:t>
      </w:r>
      <w:r>
        <w:rPr/>
        <w:t>the</w:t>
      </w:r>
      <w:r>
        <w:rPr>
          <w:spacing w:val="40"/>
        </w:rPr>
        <w:t> </w:t>
      </w:r>
      <w:r>
        <w:rPr/>
        <w:t>layout.</w:t>
      </w:r>
    </w:p>
    <w:p>
      <w:pPr>
        <w:pStyle w:val="ListParagraph"/>
        <w:numPr>
          <w:ilvl w:val="1"/>
          <w:numId w:val="105"/>
        </w:numPr>
        <w:tabs>
          <w:tab w:pos="1870" w:val="left" w:leader="none"/>
        </w:tabs>
        <w:spacing w:line="240" w:lineRule="auto" w:before="237" w:after="0"/>
        <w:ind w:left="1870" w:right="0" w:hanging="437"/>
        <w:jc w:val="left"/>
        <w:rPr>
          <w:sz w:val="24"/>
        </w:rPr>
      </w:pPr>
      <w:r>
        <w:rPr>
          <w:b/>
          <w:i/>
          <w:sz w:val="24"/>
        </w:rPr>
        <w:t>Minimum</w:t>
      </w:r>
      <w:r>
        <w:rPr>
          <w:b/>
          <w:i/>
          <w:spacing w:val="50"/>
          <w:sz w:val="24"/>
        </w:rPr>
        <w:t> </w:t>
      </w:r>
      <w:r>
        <w:rPr>
          <w:b/>
          <w:i/>
          <w:sz w:val="24"/>
        </w:rPr>
        <w:t>area:</w:t>
      </w:r>
      <w:r>
        <w:rPr>
          <w:b/>
          <w:i/>
          <w:spacing w:val="47"/>
          <w:sz w:val="24"/>
        </w:rPr>
        <w:t> </w:t>
      </w:r>
      <w:r>
        <w:rPr>
          <w:sz w:val="24"/>
        </w:rPr>
        <w:t>No</w:t>
      </w:r>
      <w:r>
        <w:rPr>
          <w:spacing w:val="47"/>
          <w:sz w:val="24"/>
        </w:rPr>
        <w:t> </w:t>
      </w:r>
      <w:r>
        <w:rPr>
          <w:sz w:val="24"/>
        </w:rPr>
        <w:t>such</w:t>
      </w:r>
      <w:r>
        <w:rPr>
          <w:spacing w:val="51"/>
          <w:sz w:val="24"/>
        </w:rPr>
        <w:t> </w:t>
      </w:r>
      <w:r>
        <w:rPr>
          <w:sz w:val="24"/>
        </w:rPr>
        <w:t>LOS</w:t>
      </w:r>
      <w:r>
        <w:rPr>
          <w:spacing w:val="48"/>
          <w:sz w:val="24"/>
        </w:rPr>
        <w:t> </w:t>
      </w:r>
      <w:r>
        <w:rPr>
          <w:sz w:val="24"/>
        </w:rPr>
        <w:t>shall</w:t>
      </w:r>
      <w:r>
        <w:rPr>
          <w:spacing w:val="52"/>
          <w:sz w:val="24"/>
        </w:rPr>
        <w:t> </w:t>
      </w:r>
      <w:r>
        <w:rPr>
          <w:sz w:val="24"/>
        </w:rPr>
        <w:t>measure</w:t>
      </w:r>
      <w:r>
        <w:rPr>
          <w:spacing w:val="51"/>
          <w:sz w:val="24"/>
        </w:rPr>
        <w:t> </w:t>
      </w:r>
      <w:r>
        <w:rPr>
          <w:sz w:val="24"/>
        </w:rPr>
        <w:t>less</w:t>
      </w:r>
      <w:r>
        <w:rPr>
          <w:spacing w:val="48"/>
          <w:sz w:val="24"/>
        </w:rPr>
        <w:t> </w:t>
      </w:r>
      <w:r>
        <w:rPr>
          <w:sz w:val="24"/>
        </w:rPr>
        <w:t>than</w:t>
      </w:r>
      <w:r>
        <w:rPr>
          <w:spacing w:val="51"/>
          <w:sz w:val="24"/>
        </w:rPr>
        <w:t> </w:t>
      </w:r>
      <w:r>
        <w:rPr>
          <w:sz w:val="24"/>
        </w:rPr>
        <w:t>125</w:t>
      </w:r>
      <w:r>
        <w:rPr>
          <w:spacing w:val="48"/>
          <w:sz w:val="24"/>
        </w:rPr>
        <w:t> </w:t>
      </w:r>
      <w:r>
        <w:rPr>
          <w:sz w:val="24"/>
        </w:rPr>
        <w:t>sq.</w:t>
      </w:r>
      <w:r>
        <w:rPr>
          <w:spacing w:val="52"/>
          <w:sz w:val="24"/>
        </w:rPr>
        <w:t> </w:t>
      </w:r>
      <w:r>
        <w:rPr>
          <w:spacing w:val="-5"/>
          <w:sz w:val="24"/>
        </w:rPr>
        <w:t>m.</w:t>
      </w:r>
    </w:p>
    <w:p>
      <w:pPr>
        <w:pStyle w:val="ListParagraph"/>
        <w:numPr>
          <w:ilvl w:val="1"/>
          <w:numId w:val="105"/>
        </w:numPr>
        <w:tabs>
          <w:tab w:pos="1872" w:val="left" w:leader="none"/>
          <w:tab w:pos="2210" w:val="left" w:leader="none"/>
        </w:tabs>
        <w:spacing w:line="240" w:lineRule="auto" w:before="241" w:after="0"/>
        <w:ind w:left="1872" w:right="771" w:hanging="440"/>
        <w:jc w:val="both"/>
        <w:rPr>
          <w:sz w:val="24"/>
        </w:rPr>
      </w:pPr>
      <w:r>
        <w:rPr>
          <w:sz w:val="24"/>
        </w:rPr>
        <w:tab/>
      </w:r>
      <w:r>
        <w:rPr>
          <w:b/>
          <w:i/>
          <w:sz w:val="24"/>
        </w:rPr>
        <w:t>Minimum</w:t>
      </w:r>
      <w:r>
        <w:rPr>
          <w:b/>
          <w:i/>
          <w:spacing w:val="40"/>
          <w:sz w:val="24"/>
        </w:rPr>
        <w:t> </w:t>
      </w:r>
      <w:r>
        <w:rPr>
          <w:b/>
          <w:i/>
          <w:sz w:val="24"/>
        </w:rPr>
        <w:t>dimensions:</w:t>
      </w:r>
      <w:r>
        <w:rPr>
          <w:b/>
          <w:i/>
          <w:spacing w:val="40"/>
          <w:sz w:val="24"/>
        </w:rPr>
        <w:t> </w:t>
      </w:r>
      <w:r>
        <w:rPr>
          <w:sz w:val="24"/>
        </w:rPr>
        <w:t>The</w:t>
      </w:r>
      <w:r>
        <w:rPr>
          <w:spacing w:val="40"/>
          <w:sz w:val="24"/>
        </w:rPr>
        <w:t> </w:t>
      </w:r>
      <w:r>
        <w:rPr>
          <w:sz w:val="24"/>
        </w:rPr>
        <w:t>minimum</w:t>
      </w:r>
      <w:r>
        <w:rPr>
          <w:spacing w:val="40"/>
          <w:sz w:val="24"/>
        </w:rPr>
        <w:t> </w:t>
      </w:r>
      <w:r>
        <w:rPr>
          <w:sz w:val="24"/>
        </w:rPr>
        <w:t>dimension</w:t>
      </w:r>
      <w:r>
        <w:rPr>
          <w:spacing w:val="40"/>
          <w:sz w:val="24"/>
        </w:rPr>
        <w:t> </w:t>
      </w:r>
      <w:r>
        <w:rPr>
          <w:sz w:val="24"/>
        </w:rPr>
        <w:t>of</w:t>
      </w:r>
      <w:r>
        <w:rPr>
          <w:spacing w:val="40"/>
          <w:sz w:val="24"/>
        </w:rPr>
        <w:t> </w:t>
      </w:r>
      <w:r>
        <w:rPr>
          <w:sz w:val="24"/>
        </w:rPr>
        <w:t>such</w:t>
      </w:r>
      <w:r>
        <w:rPr>
          <w:spacing w:val="40"/>
          <w:sz w:val="24"/>
        </w:rPr>
        <w:t> </w:t>
      </w:r>
      <w:r>
        <w:rPr>
          <w:sz w:val="24"/>
        </w:rPr>
        <w:t>LOS</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7.5</w:t>
      </w:r>
      <w:r>
        <w:rPr>
          <w:spacing w:val="40"/>
          <w:sz w:val="24"/>
        </w:rPr>
        <w:t> </w:t>
      </w:r>
      <w:r>
        <w:rPr>
          <w:sz w:val="24"/>
        </w:rPr>
        <w:t>m,</w:t>
      </w:r>
      <w:r>
        <w:rPr>
          <w:spacing w:val="40"/>
          <w:sz w:val="24"/>
        </w:rPr>
        <w:t> </w:t>
      </w:r>
      <w:r>
        <w:rPr>
          <w:sz w:val="24"/>
        </w:rPr>
        <w:t>and</w:t>
      </w:r>
      <w:r>
        <w:rPr>
          <w:spacing w:val="40"/>
          <w:sz w:val="24"/>
        </w:rPr>
        <w:t> </w:t>
      </w:r>
      <w:r>
        <w:rPr>
          <w:sz w:val="24"/>
        </w:rPr>
        <w:t>if</w:t>
      </w:r>
      <w:r>
        <w:rPr>
          <w:spacing w:val="40"/>
          <w:sz w:val="24"/>
        </w:rPr>
        <w:t> </w:t>
      </w:r>
      <w:r>
        <w:rPr>
          <w:sz w:val="24"/>
        </w:rPr>
        <w:t>the</w:t>
      </w:r>
      <w:r>
        <w:rPr>
          <w:spacing w:val="40"/>
          <w:sz w:val="24"/>
        </w:rPr>
        <w:t> </w:t>
      </w:r>
      <w:r>
        <w:rPr>
          <w:sz w:val="24"/>
        </w:rPr>
        <w:t>average</w:t>
      </w:r>
      <w:r>
        <w:rPr>
          <w:spacing w:val="40"/>
          <w:sz w:val="24"/>
        </w:rPr>
        <w:t> </w:t>
      </w:r>
      <w:r>
        <w:rPr>
          <w:sz w:val="24"/>
        </w:rPr>
        <w:t>width</w:t>
      </w:r>
      <w:r>
        <w:rPr>
          <w:spacing w:val="40"/>
          <w:sz w:val="24"/>
        </w:rPr>
        <w:t> </w:t>
      </w:r>
      <w:r>
        <w:rPr>
          <w:sz w:val="24"/>
        </w:rPr>
        <w:t>of</w:t>
      </w:r>
      <w:r>
        <w:rPr>
          <w:spacing w:val="40"/>
          <w:sz w:val="24"/>
        </w:rPr>
        <w:t> </w:t>
      </w:r>
      <w:r>
        <w:rPr>
          <w:sz w:val="24"/>
        </w:rPr>
        <w:t>such</w:t>
      </w:r>
      <w:r>
        <w:rPr>
          <w:spacing w:val="71"/>
          <w:sz w:val="24"/>
        </w:rPr>
        <w:t> </w:t>
      </w:r>
      <w:r>
        <w:rPr>
          <w:sz w:val="24"/>
        </w:rPr>
        <w:t>LOS is</w:t>
      </w:r>
      <w:r>
        <w:rPr>
          <w:spacing w:val="40"/>
          <w:sz w:val="24"/>
        </w:rPr>
        <w:t> </w:t>
      </w:r>
      <w:r>
        <w:rPr>
          <w:sz w:val="24"/>
        </w:rPr>
        <w:t>less</w:t>
      </w:r>
      <w:r>
        <w:rPr>
          <w:spacing w:val="40"/>
          <w:sz w:val="24"/>
        </w:rPr>
        <w:t> </w:t>
      </w:r>
      <w:r>
        <w:rPr>
          <w:sz w:val="24"/>
        </w:rPr>
        <w:t>than</w:t>
      </w:r>
      <w:r>
        <w:rPr>
          <w:spacing w:val="40"/>
          <w:sz w:val="24"/>
        </w:rPr>
        <w:t> </w:t>
      </w:r>
      <w:r>
        <w:rPr>
          <w:sz w:val="24"/>
        </w:rPr>
        <w:t>16.6</w:t>
      </w:r>
      <w:r>
        <w:rPr>
          <w:spacing w:val="40"/>
          <w:sz w:val="24"/>
        </w:rPr>
        <w:t> </w:t>
      </w:r>
      <w:r>
        <w:rPr>
          <w:sz w:val="24"/>
        </w:rPr>
        <w:t>m,</w:t>
      </w:r>
      <w:r>
        <w:rPr>
          <w:spacing w:val="40"/>
          <w:sz w:val="24"/>
        </w:rPr>
        <w:t> </w:t>
      </w:r>
      <w:r>
        <w:rPr>
          <w:sz w:val="24"/>
        </w:rPr>
        <w:t>the</w:t>
      </w:r>
      <w:r>
        <w:rPr>
          <w:spacing w:val="40"/>
          <w:sz w:val="24"/>
        </w:rPr>
        <w:t> </w:t>
      </w:r>
      <w:r>
        <w:rPr>
          <w:sz w:val="24"/>
        </w:rPr>
        <w:t>length</w:t>
      </w:r>
      <w:r>
        <w:rPr>
          <w:spacing w:val="40"/>
          <w:sz w:val="24"/>
        </w:rPr>
        <w:t> </w:t>
      </w:r>
      <w:r>
        <w:rPr>
          <w:sz w:val="24"/>
        </w:rPr>
        <w:t>thereof</w:t>
      </w:r>
      <w:r>
        <w:rPr>
          <w:spacing w:val="40"/>
          <w:sz w:val="24"/>
        </w:rPr>
        <w:t> </w:t>
      </w:r>
      <w:r>
        <w:rPr>
          <w:sz w:val="24"/>
        </w:rPr>
        <w:t>shall</w:t>
      </w:r>
      <w:r>
        <w:rPr>
          <w:spacing w:val="40"/>
          <w:sz w:val="24"/>
        </w:rPr>
        <w:t> </w:t>
      </w:r>
      <w:r>
        <w:rPr>
          <w:sz w:val="24"/>
        </w:rPr>
        <w:t>not</w:t>
      </w:r>
      <w:r>
        <w:rPr>
          <w:spacing w:val="40"/>
          <w:sz w:val="24"/>
        </w:rPr>
        <w:t> </w:t>
      </w:r>
      <w:r>
        <w:rPr>
          <w:sz w:val="24"/>
        </w:rPr>
        <w:t>exceed</w:t>
      </w:r>
      <w:r>
        <w:rPr>
          <w:spacing w:val="40"/>
          <w:sz w:val="24"/>
        </w:rPr>
        <w:t> </w:t>
      </w:r>
      <w:r>
        <w:rPr>
          <w:sz w:val="24"/>
        </w:rPr>
        <w:t>2</w:t>
      </w:r>
      <w:r>
        <w:rPr>
          <w:spacing w:val="40"/>
          <w:sz w:val="24"/>
        </w:rPr>
        <w:t> </w:t>
      </w:r>
      <w:r>
        <w:rPr>
          <w:sz w:val="24"/>
        </w:rPr>
        <w:t>1/2</w:t>
      </w:r>
      <w:r>
        <w:rPr>
          <w:spacing w:val="40"/>
          <w:sz w:val="24"/>
        </w:rPr>
        <w:t> </w:t>
      </w:r>
      <w:r>
        <w:rPr>
          <w:sz w:val="24"/>
        </w:rPr>
        <w:t>times the average </w:t>
      </w:r>
      <w:r>
        <w:rPr>
          <w:spacing w:val="9"/>
          <w:sz w:val="24"/>
        </w:rPr>
        <w:t>width.</w:t>
      </w:r>
    </w:p>
    <w:p>
      <w:pPr>
        <w:pStyle w:val="ListParagraph"/>
        <w:numPr>
          <w:ilvl w:val="1"/>
          <w:numId w:val="105"/>
        </w:numPr>
        <w:tabs>
          <w:tab w:pos="1869" w:val="left" w:leader="none"/>
          <w:tab w:pos="1872" w:val="left" w:leader="none"/>
        </w:tabs>
        <w:spacing w:line="242" w:lineRule="auto" w:before="239" w:after="0"/>
        <w:ind w:left="1872" w:right="787" w:hanging="440"/>
        <w:jc w:val="both"/>
        <w:rPr>
          <w:sz w:val="24"/>
        </w:rPr>
      </w:pPr>
      <w:r>
        <w:rPr>
          <w:b/>
          <w:i/>
          <w:sz w:val="24"/>
        </w:rPr>
        <w:t>Access</w:t>
      </w:r>
      <w:r>
        <w:rPr>
          <w:i/>
          <w:sz w:val="24"/>
        </w:rPr>
        <w:t>:</w:t>
      </w:r>
      <w:r>
        <w:rPr>
          <w:i/>
          <w:spacing w:val="40"/>
          <w:sz w:val="24"/>
        </w:rPr>
        <w:t> </w:t>
      </w:r>
      <w:r>
        <w:rPr>
          <w:sz w:val="24"/>
        </w:rPr>
        <w:t>Every</w:t>
      </w:r>
      <w:r>
        <w:rPr>
          <w:spacing w:val="40"/>
          <w:sz w:val="24"/>
        </w:rPr>
        <w:t> </w:t>
      </w:r>
      <w:r>
        <w:rPr>
          <w:sz w:val="24"/>
        </w:rPr>
        <w:t>plot</w:t>
      </w:r>
      <w:r>
        <w:rPr>
          <w:spacing w:val="40"/>
          <w:sz w:val="24"/>
        </w:rPr>
        <w:t> </w:t>
      </w:r>
      <w:r>
        <w:rPr>
          <w:sz w:val="24"/>
        </w:rPr>
        <w:t>meant</w:t>
      </w:r>
      <w:r>
        <w:rPr>
          <w:spacing w:val="40"/>
          <w:sz w:val="24"/>
        </w:rPr>
        <w:t> </w:t>
      </w:r>
      <w:r>
        <w:rPr>
          <w:sz w:val="24"/>
        </w:rPr>
        <w:t>for</w:t>
      </w:r>
      <w:r>
        <w:rPr>
          <w:spacing w:val="40"/>
          <w:sz w:val="24"/>
        </w:rPr>
        <w:t> </w:t>
      </w:r>
      <w:r>
        <w:rPr>
          <w:sz w:val="24"/>
        </w:rPr>
        <w:t>a</w:t>
      </w:r>
      <w:r>
        <w:rPr>
          <w:spacing w:val="40"/>
          <w:sz w:val="24"/>
        </w:rPr>
        <w:t> </w:t>
      </w:r>
      <w:r>
        <w:rPr>
          <w:sz w:val="24"/>
        </w:rPr>
        <w:t>LOS</w:t>
      </w:r>
      <w:r>
        <w:rPr>
          <w:spacing w:val="40"/>
          <w:sz w:val="24"/>
        </w:rPr>
        <w:t> </w:t>
      </w:r>
      <w:r>
        <w:rPr>
          <w:sz w:val="24"/>
        </w:rPr>
        <w:t>shall</w:t>
      </w:r>
      <w:r>
        <w:rPr>
          <w:spacing w:val="40"/>
          <w:sz w:val="24"/>
        </w:rPr>
        <w:t> </w:t>
      </w:r>
      <w:r>
        <w:rPr>
          <w:sz w:val="24"/>
        </w:rPr>
        <w:t>have</w:t>
      </w:r>
      <w:r>
        <w:rPr>
          <w:spacing w:val="40"/>
          <w:sz w:val="24"/>
        </w:rPr>
        <w:t> </w:t>
      </w:r>
      <w:r>
        <w:rPr>
          <w:sz w:val="24"/>
        </w:rPr>
        <w:t>an</w:t>
      </w:r>
      <w:r>
        <w:rPr>
          <w:spacing w:val="40"/>
          <w:sz w:val="24"/>
        </w:rPr>
        <w:t> </w:t>
      </w:r>
      <w:r>
        <w:rPr>
          <w:sz w:val="24"/>
        </w:rPr>
        <w:t>independent means</w:t>
      </w:r>
      <w:r>
        <w:rPr>
          <w:spacing w:val="40"/>
          <w:sz w:val="24"/>
        </w:rPr>
        <w:t> </w:t>
      </w:r>
      <w:r>
        <w:rPr>
          <w:sz w:val="24"/>
        </w:rPr>
        <w:t>of</w:t>
      </w:r>
      <w:r>
        <w:rPr>
          <w:spacing w:val="40"/>
          <w:sz w:val="24"/>
        </w:rPr>
        <w:t> </w:t>
      </w:r>
      <w:r>
        <w:rPr>
          <w:sz w:val="24"/>
        </w:rPr>
        <w:t>access,</w:t>
      </w:r>
      <w:r>
        <w:rPr>
          <w:spacing w:val="40"/>
          <w:sz w:val="24"/>
        </w:rPr>
        <w:t> </w:t>
      </w:r>
      <w:r>
        <w:rPr>
          <w:sz w:val="24"/>
        </w:rPr>
        <w:t>unless</w:t>
      </w:r>
      <w:r>
        <w:rPr>
          <w:spacing w:val="40"/>
          <w:sz w:val="24"/>
        </w:rPr>
        <w:t> </w:t>
      </w:r>
      <w:r>
        <w:rPr>
          <w:sz w:val="24"/>
        </w:rPr>
        <w:t>it</w:t>
      </w:r>
      <w:r>
        <w:rPr>
          <w:spacing w:val="40"/>
          <w:sz w:val="24"/>
        </w:rPr>
        <w:t> </w:t>
      </w:r>
      <w:r>
        <w:rPr>
          <w:sz w:val="24"/>
        </w:rPr>
        <w:t>is</w:t>
      </w:r>
      <w:r>
        <w:rPr>
          <w:spacing w:val="40"/>
          <w:sz w:val="24"/>
        </w:rPr>
        <w:t> </w:t>
      </w:r>
      <w:r>
        <w:rPr>
          <w:sz w:val="24"/>
        </w:rPr>
        <w:t>approachable</w:t>
      </w:r>
      <w:r>
        <w:rPr>
          <w:spacing w:val="40"/>
          <w:sz w:val="24"/>
        </w:rPr>
        <w:t> </w:t>
      </w:r>
      <w:r>
        <w:rPr>
          <w:sz w:val="24"/>
        </w:rPr>
        <w:t>directly</w:t>
      </w:r>
      <w:r>
        <w:rPr>
          <w:spacing w:val="40"/>
          <w:sz w:val="24"/>
        </w:rPr>
        <w:t> </w:t>
      </w:r>
      <w:r>
        <w:rPr>
          <w:sz w:val="24"/>
        </w:rPr>
        <w:t>from</w:t>
      </w:r>
      <w:r>
        <w:rPr>
          <w:spacing w:val="40"/>
          <w:sz w:val="24"/>
        </w:rPr>
        <w:t> </w:t>
      </w:r>
      <w:r>
        <w:rPr>
          <w:sz w:val="24"/>
        </w:rPr>
        <w:t>every building in the </w:t>
      </w:r>
      <w:r>
        <w:rPr>
          <w:spacing w:val="9"/>
          <w:sz w:val="24"/>
        </w:rPr>
        <w:t>layout.</w:t>
      </w:r>
    </w:p>
    <w:p>
      <w:pPr>
        <w:pStyle w:val="ListParagraph"/>
        <w:numPr>
          <w:ilvl w:val="1"/>
          <w:numId w:val="105"/>
        </w:numPr>
        <w:tabs>
          <w:tab w:pos="1869" w:val="left" w:leader="none"/>
          <w:tab w:pos="1872" w:val="left" w:leader="none"/>
        </w:tabs>
        <w:spacing w:line="240" w:lineRule="auto" w:before="231" w:after="0"/>
        <w:ind w:left="1872" w:right="788" w:hanging="440"/>
        <w:jc w:val="both"/>
        <w:rPr>
          <w:sz w:val="24"/>
        </w:rPr>
      </w:pPr>
      <w:r>
        <w:rPr>
          <w:b/>
          <w:i/>
          <w:sz w:val="24"/>
        </w:rPr>
        <w:t>Ownership</w:t>
      </w:r>
      <w:r>
        <w:rPr>
          <w:i/>
          <w:sz w:val="24"/>
        </w:rPr>
        <w:t>:</w:t>
      </w:r>
      <w:r>
        <w:rPr>
          <w:i/>
          <w:spacing w:val="69"/>
          <w:sz w:val="24"/>
        </w:rPr>
        <w:t> </w:t>
      </w:r>
      <w:r>
        <w:rPr>
          <w:sz w:val="24"/>
        </w:rPr>
        <w:t>The</w:t>
      </w:r>
      <w:r>
        <w:rPr>
          <w:spacing w:val="66"/>
          <w:sz w:val="24"/>
        </w:rPr>
        <w:t> </w:t>
      </w:r>
      <w:r>
        <w:rPr>
          <w:sz w:val="24"/>
        </w:rPr>
        <w:t>ownership</w:t>
      </w:r>
      <w:r>
        <w:rPr>
          <w:spacing w:val="69"/>
          <w:sz w:val="24"/>
        </w:rPr>
        <w:t> </w:t>
      </w:r>
      <w:r>
        <w:rPr>
          <w:sz w:val="24"/>
        </w:rPr>
        <w:t>of</w:t>
      </w:r>
      <w:r>
        <w:rPr>
          <w:spacing w:val="72"/>
          <w:sz w:val="24"/>
        </w:rPr>
        <w:t> </w:t>
      </w:r>
      <w:r>
        <w:rPr>
          <w:sz w:val="24"/>
        </w:rPr>
        <w:t>such</w:t>
      </w:r>
      <w:r>
        <w:rPr>
          <w:spacing w:val="68"/>
          <w:sz w:val="24"/>
        </w:rPr>
        <w:t> </w:t>
      </w:r>
      <w:r>
        <w:rPr>
          <w:sz w:val="24"/>
        </w:rPr>
        <w:t>LOS</w:t>
      </w:r>
      <w:r>
        <w:rPr>
          <w:spacing w:val="68"/>
          <w:sz w:val="24"/>
        </w:rPr>
        <w:t> </w:t>
      </w:r>
      <w:r>
        <w:rPr>
          <w:sz w:val="24"/>
        </w:rPr>
        <w:t>shall</w:t>
      </w:r>
      <w:r>
        <w:rPr>
          <w:spacing w:val="70"/>
          <w:sz w:val="24"/>
        </w:rPr>
        <w:t> </w:t>
      </w:r>
      <w:r>
        <w:rPr>
          <w:sz w:val="24"/>
        </w:rPr>
        <w:t>vest</w:t>
      </w:r>
      <w:r>
        <w:rPr>
          <w:spacing w:val="66"/>
          <w:sz w:val="24"/>
        </w:rPr>
        <w:t> </w:t>
      </w:r>
      <w:r>
        <w:rPr>
          <w:sz w:val="24"/>
        </w:rPr>
        <w:t>by</w:t>
      </w:r>
      <w:r>
        <w:rPr>
          <w:spacing w:val="66"/>
          <w:sz w:val="24"/>
        </w:rPr>
        <w:t> </w:t>
      </w:r>
      <w:r>
        <w:rPr>
          <w:sz w:val="24"/>
        </w:rPr>
        <w:t>provision,</w:t>
      </w:r>
      <w:r>
        <w:rPr>
          <w:spacing w:val="69"/>
          <w:sz w:val="24"/>
        </w:rPr>
        <w:t> </w:t>
      </w:r>
      <w:r>
        <w:rPr>
          <w:sz w:val="24"/>
        </w:rPr>
        <w:t>in a</w:t>
      </w:r>
      <w:r>
        <w:rPr>
          <w:spacing w:val="40"/>
          <w:sz w:val="24"/>
        </w:rPr>
        <w:t> </w:t>
      </w:r>
      <w:r>
        <w:rPr>
          <w:sz w:val="24"/>
        </w:rPr>
        <w:t>deed</w:t>
      </w:r>
      <w:r>
        <w:rPr>
          <w:spacing w:val="40"/>
          <w:sz w:val="24"/>
        </w:rPr>
        <w:t> </w:t>
      </w:r>
      <w:r>
        <w:rPr>
          <w:sz w:val="24"/>
        </w:rPr>
        <w:t>of</w:t>
      </w:r>
      <w:r>
        <w:rPr>
          <w:spacing w:val="40"/>
          <w:sz w:val="24"/>
        </w:rPr>
        <w:t> </w:t>
      </w:r>
      <w:r>
        <w:rPr>
          <w:sz w:val="24"/>
        </w:rPr>
        <w:t>conveyance,</w:t>
      </w:r>
      <w:r>
        <w:rPr>
          <w:spacing w:val="40"/>
          <w:sz w:val="24"/>
        </w:rPr>
        <w:t> </w:t>
      </w:r>
      <w:r>
        <w:rPr>
          <w:sz w:val="24"/>
        </w:rPr>
        <w:t>in</w:t>
      </w:r>
      <w:r>
        <w:rPr>
          <w:spacing w:val="40"/>
          <w:sz w:val="24"/>
        </w:rPr>
        <w:t> </w:t>
      </w:r>
      <w:r>
        <w:rPr>
          <w:sz w:val="24"/>
        </w:rPr>
        <w:t>all</w:t>
      </w:r>
      <w:r>
        <w:rPr>
          <w:spacing w:val="40"/>
          <w:sz w:val="24"/>
        </w:rPr>
        <w:t> </w:t>
      </w:r>
      <w:r>
        <w:rPr>
          <w:sz w:val="24"/>
        </w:rPr>
        <w:t>the</w:t>
      </w:r>
      <w:r>
        <w:rPr>
          <w:spacing w:val="40"/>
          <w:sz w:val="24"/>
        </w:rPr>
        <w:t> </w:t>
      </w:r>
      <w:r>
        <w:rPr>
          <w:sz w:val="24"/>
        </w:rPr>
        <w:t>property</w:t>
      </w:r>
      <w:r>
        <w:rPr>
          <w:spacing w:val="40"/>
          <w:sz w:val="24"/>
        </w:rPr>
        <w:t> </w:t>
      </w:r>
      <w:r>
        <w:rPr>
          <w:sz w:val="24"/>
        </w:rPr>
        <w:t>owners</w:t>
      </w:r>
      <w:r>
        <w:rPr>
          <w:spacing w:val="40"/>
          <w:sz w:val="24"/>
        </w:rPr>
        <w:t> </w:t>
      </w:r>
      <w:r>
        <w:rPr>
          <w:sz w:val="24"/>
        </w:rPr>
        <w:t>on</w:t>
      </w:r>
      <w:r>
        <w:rPr>
          <w:spacing w:val="40"/>
          <w:sz w:val="24"/>
        </w:rPr>
        <w:t> </w:t>
      </w:r>
      <w:r>
        <w:rPr>
          <w:sz w:val="24"/>
        </w:rPr>
        <w:t>account</w:t>
      </w:r>
      <w:r>
        <w:rPr>
          <w:spacing w:val="40"/>
          <w:sz w:val="24"/>
        </w:rPr>
        <w:t> </w:t>
      </w:r>
      <w:r>
        <w:rPr>
          <w:sz w:val="24"/>
        </w:rPr>
        <w:t>of</w:t>
      </w:r>
      <w:r>
        <w:rPr>
          <w:spacing w:val="40"/>
          <w:sz w:val="24"/>
        </w:rPr>
        <w:t> </w:t>
      </w:r>
      <w:r>
        <w:rPr>
          <w:sz w:val="24"/>
        </w:rPr>
        <w:t>whose</w:t>
      </w:r>
      <w:r>
        <w:rPr>
          <w:spacing w:val="40"/>
          <w:sz w:val="24"/>
        </w:rPr>
        <w:t> </w:t>
      </w:r>
      <w:r>
        <w:rPr>
          <w:sz w:val="24"/>
        </w:rPr>
        <w:t>holdings</w:t>
      </w:r>
      <w:r>
        <w:rPr>
          <w:spacing w:val="40"/>
          <w:sz w:val="24"/>
        </w:rPr>
        <w:t> </w:t>
      </w:r>
      <w:r>
        <w:rPr>
          <w:sz w:val="24"/>
        </w:rPr>
        <w:t>the</w:t>
      </w:r>
      <w:r>
        <w:rPr>
          <w:spacing w:val="40"/>
          <w:sz w:val="24"/>
        </w:rPr>
        <w:t> </w:t>
      </w:r>
      <w:r>
        <w:rPr>
          <w:sz w:val="24"/>
        </w:rPr>
        <w:t>LOS</w:t>
      </w:r>
      <w:r>
        <w:rPr>
          <w:spacing w:val="40"/>
          <w:sz w:val="24"/>
        </w:rPr>
        <w:t> </w:t>
      </w:r>
      <w:r>
        <w:rPr>
          <w:sz w:val="24"/>
        </w:rPr>
        <w:t>is</w:t>
      </w:r>
      <w:r>
        <w:rPr>
          <w:spacing w:val="40"/>
          <w:sz w:val="24"/>
        </w:rPr>
        <w:t> </w:t>
      </w:r>
      <w:r>
        <w:rPr>
          <w:sz w:val="24"/>
        </w:rPr>
        <w:t>assigned.</w:t>
      </w:r>
    </w:p>
    <w:p>
      <w:pPr>
        <w:pStyle w:val="ListParagraph"/>
        <w:numPr>
          <w:ilvl w:val="1"/>
          <w:numId w:val="105"/>
        </w:numPr>
        <w:tabs>
          <w:tab w:pos="1868" w:val="left" w:leader="none"/>
          <w:tab w:pos="1872" w:val="left" w:leader="none"/>
        </w:tabs>
        <w:spacing w:line="240" w:lineRule="auto" w:before="242" w:after="0"/>
        <w:ind w:left="1872" w:right="780" w:hanging="440"/>
        <w:jc w:val="both"/>
        <w:rPr>
          <w:sz w:val="24"/>
        </w:rPr>
      </w:pPr>
      <w:r>
        <w:rPr>
          <w:b/>
          <w:i/>
          <w:sz w:val="24"/>
        </w:rPr>
        <w:t>Tree growth: </w:t>
      </w:r>
      <w:r>
        <w:rPr>
          <w:sz w:val="24"/>
        </w:rPr>
        <w:t>Excepting for the area covered by the permissible structures mentioned under (g) below, the LOS shall be kept permanently open to the sky and accessible to all owners and</w:t>
      </w:r>
      <w:r>
        <w:rPr>
          <w:spacing w:val="80"/>
          <w:sz w:val="24"/>
        </w:rPr>
        <w:t> </w:t>
      </w:r>
      <w:r>
        <w:rPr>
          <w:sz w:val="24"/>
        </w:rPr>
        <w:t>occupants</w:t>
      </w:r>
      <w:r>
        <w:rPr>
          <w:spacing w:val="40"/>
          <w:sz w:val="24"/>
        </w:rPr>
        <w:t> </w:t>
      </w:r>
      <w:r>
        <w:rPr>
          <w:sz w:val="24"/>
        </w:rPr>
        <w:t>as</w:t>
      </w:r>
      <w:r>
        <w:rPr>
          <w:spacing w:val="40"/>
          <w:sz w:val="24"/>
        </w:rPr>
        <w:t> </w:t>
      </w:r>
      <w:r>
        <w:rPr>
          <w:sz w:val="24"/>
        </w:rPr>
        <w:t>a</w:t>
      </w:r>
      <w:r>
        <w:rPr>
          <w:spacing w:val="40"/>
          <w:sz w:val="24"/>
        </w:rPr>
        <w:t> </w:t>
      </w:r>
      <w:r>
        <w:rPr>
          <w:sz w:val="24"/>
        </w:rPr>
        <w:t>.</w:t>
      </w:r>
      <w:r>
        <w:rPr>
          <w:spacing w:val="40"/>
          <w:sz w:val="24"/>
        </w:rPr>
        <w:t> </w:t>
      </w:r>
      <w:r>
        <w:rPr>
          <w:sz w:val="24"/>
        </w:rPr>
        <w:t>LOS</w:t>
      </w:r>
      <w:r>
        <w:rPr>
          <w:spacing w:val="40"/>
          <w:sz w:val="24"/>
        </w:rPr>
        <w:t> </w:t>
      </w:r>
      <w:r>
        <w:rPr>
          <w:sz w:val="24"/>
        </w:rPr>
        <w:t>and</w:t>
      </w:r>
      <w:r>
        <w:rPr>
          <w:spacing w:val="40"/>
          <w:sz w:val="24"/>
        </w:rPr>
        <w:t> </w:t>
      </w:r>
      <w:r>
        <w:rPr>
          <w:sz w:val="24"/>
        </w:rPr>
        <w:t>trees</w:t>
      </w:r>
      <w:r>
        <w:rPr>
          <w:spacing w:val="40"/>
          <w:sz w:val="24"/>
        </w:rPr>
        <w:t> </w:t>
      </w:r>
      <w:r>
        <w:rPr>
          <w:sz w:val="24"/>
        </w:rPr>
        <w:t>shall</w:t>
      </w:r>
      <w:r>
        <w:rPr>
          <w:spacing w:val="40"/>
          <w:sz w:val="24"/>
        </w:rPr>
        <w:t> </w:t>
      </w:r>
      <w:r>
        <w:rPr>
          <w:sz w:val="24"/>
        </w:rPr>
        <w:t>be</w:t>
      </w:r>
      <w:r>
        <w:rPr>
          <w:spacing w:val="40"/>
          <w:sz w:val="24"/>
        </w:rPr>
        <w:t> </w:t>
      </w:r>
      <w:r>
        <w:rPr>
          <w:sz w:val="24"/>
        </w:rPr>
        <w:t>grown</w:t>
      </w:r>
      <w:r>
        <w:rPr>
          <w:spacing w:val="40"/>
          <w:sz w:val="24"/>
        </w:rPr>
        <w:t> </w:t>
      </w:r>
      <w:r>
        <w:rPr>
          <w:sz w:val="24"/>
        </w:rPr>
        <w:t>as</w:t>
      </w:r>
      <w:r>
        <w:rPr>
          <w:spacing w:val="40"/>
          <w:sz w:val="24"/>
        </w:rPr>
        <w:t> </w:t>
      </w:r>
      <w:r>
        <w:rPr>
          <w:sz w:val="24"/>
        </w:rPr>
        <w:t>under:</w:t>
      </w:r>
      <w:r>
        <w:rPr>
          <w:spacing w:val="40"/>
          <w:sz w:val="24"/>
        </w:rPr>
        <w:t> </w:t>
      </w:r>
      <w:r>
        <w:rPr>
          <w:sz w:val="24"/>
        </w:rPr>
        <w:t>-</w:t>
      </w:r>
    </w:p>
    <w:p>
      <w:pPr>
        <w:pStyle w:val="BodyText"/>
        <w:spacing w:before="241"/>
        <w:ind w:left="1930" w:right="771" w:hanging="284"/>
      </w:pPr>
      <w:r>
        <w:rPr/>
        <w:t>(a)</w:t>
      </w:r>
      <w:r>
        <w:rPr>
          <w:spacing w:val="36"/>
        </w:rPr>
        <w:t> </w:t>
      </w:r>
      <w:r>
        <w:rPr/>
        <w:t>at</w:t>
      </w:r>
      <w:r>
        <w:rPr>
          <w:spacing w:val="36"/>
        </w:rPr>
        <w:t> </w:t>
      </w:r>
      <w:r>
        <w:rPr/>
        <w:t>the</w:t>
      </w:r>
      <w:r>
        <w:rPr>
          <w:spacing w:val="36"/>
        </w:rPr>
        <w:t> </w:t>
      </w:r>
      <w:r>
        <w:rPr/>
        <w:t>rate</w:t>
      </w:r>
      <w:r>
        <w:rPr>
          <w:spacing w:val="36"/>
        </w:rPr>
        <w:t> </w:t>
      </w:r>
      <w:r>
        <w:rPr/>
        <w:t>of</w:t>
      </w:r>
      <w:r>
        <w:rPr>
          <w:spacing w:val="38"/>
        </w:rPr>
        <w:t> </w:t>
      </w:r>
      <w:r>
        <w:rPr/>
        <w:t>5</w:t>
      </w:r>
      <w:r>
        <w:rPr>
          <w:spacing w:val="38"/>
        </w:rPr>
        <w:t> </w:t>
      </w:r>
      <w:r>
        <w:rPr/>
        <w:t>trees</w:t>
      </w:r>
      <w:r>
        <w:rPr>
          <w:spacing w:val="36"/>
        </w:rPr>
        <w:t> </w:t>
      </w:r>
      <w:r>
        <w:rPr/>
        <w:t>per</w:t>
      </w:r>
      <w:r>
        <w:rPr>
          <w:spacing w:val="36"/>
        </w:rPr>
        <w:t> </w:t>
      </w:r>
      <w:r>
        <w:rPr/>
        <w:t>100</w:t>
      </w:r>
      <w:r>
        <w:rPr>
          <w:spacing w:val="38"/>
        </w:rPr>
        <w:t> </w:t>
      </w:r>
      <w:r>
        <w:rPr/>
        <w:t>sq.</w:t>
      </w:r>
      <w:r>
        <w:rPr>
          <w:spacing w:val="38"/>
        </w:rPr>
        <w:t> </w:t>
      </w:r>
      <w:r>
        <w:rPr/>
        <w:t>m</w:t>
      </w:r>
      <w:r>
        <w:rPr>
          <w:spacing w:val="38"/>
        </w:rPr>
        <w:t> </w:t>
      </w:r>
      <w:r>
        <w:rPr/>
        <w:t>or</w:t>
      </w:r>
      <w:r>
        <w:rPr>
          <w:spacing w:val="36"/>
        </w:rPr>
        <w:t> </w:t>
      </w:r>
      <w:r>
        <w:rPr/>
        <w:t>part</w:t>
      </w:r>
      <w:r>
        <w:rPr>
          <w:spacing w:val="36"/>
        </w:rPr>
        <w:t> </w:t>
      </w:r>
      <w:r>
        <w:rPr/>
        <w:t>thereof</w:t>
      </w:r>
      <w:r>
        <w:rPr>
          <w:spacing w:val="36"/>
        </w:rPr>
        <w:t> </w:t>
      </w:r>
      <w:r>
        <w:rPr/>
        <w:t>of</w:t>
      </w:r>
      <w:r>
        <w:rPr>
          <w:spacing w:val="36"/>
        </w:rPr>
        <w:t> </w:t>
      </w:r>
      <w:r>
        <w:rPr/>
        <w:t>the</w:t>
      </w:r>
      <w:r>
        <w:rPr>
          <w:spacing w:val="36"/>
        </w:rPr>
        <w:t> </w:t>
      </w:r>
      <w:r>
        <w:rPr/>
        <w:t>said</w:t>
      </w:r>
      <w:r>
        <w:rPr>
          <w:spacing w:val="40"/>
        </w:rPr>
        <w:t> </w:t>
      </w:r>
      <w:r>
        <w:rPr/>
        <w:t>LOS to</w:t>
      </w:r>
      <w:r>
        <w:rPr>
          <w:spacing w:val="40"/>
        </w:rPr>
        <w:t> </w:t>
      </w:r>
      <w:r>
        <w:rPr/>
        <w:t>be</w:t>
      </w:r>
      <w:r>
        <w:rPr>
          <w:spacing w:val="40"/>
        </w:rPr>
        <w:t> </w:t>
      </w:r>
      <w:r>
        <w:rPr/>
        <w:t>grown</w:t>
      </w:r>
      <w:r>
        <w:rPr>
          <w:spacing w:val="40"/>
        </w:rPr>
        <w:t> </w:t>
      </w:r>
      <w:r>
        <w:rPr/>
        <w:t>within</w:t>
      </w:r>
      <w:r>
        <w:rPr>
          <w:spacing w:val="40"/>
        </w:rPr>
        <w:t> </w:t>
      </w:r>
      <w:r>
        <w:rPr/>
        <w:t>the</w:t>
      </w:r>
      <w:r>
        <w:rPr>
          <w:spacing w:val="40"/>
        </w:rPr>
        <w:t> </w:t>
      </w:r>
      <w:r>
        <w:rPr/>
        <w:t>entire</w:t>
      </w:r>
      <w:r>
        <w:rPr>
          <w:spacing w:val="75"/>
        </w:rPr>
        <w:t> </w:t>
      </w:r>
      <w:r>
        <w:rPr/>
        <w:t>plot(b)</w:t>
      </w:r>
      <w:r>
        <w:rPr>
          <w:spacing w:val="40"/>
        </w:rPr>
        <w:t> </w:t>
      </w:r>
      <w:r>
        <w:rPr/>
        <w:t>at</w:t>
      </w:r>
      <w:r>
        <w:rPr>
          <w:spacing w:val="40"/>
        </w:rPr>
        <w:t> </w:t>
      </w:r>
      <w:r>
        <w:rPr/>
        <w:t>the</w:t>
      </w:r>
      <w:r>
        <w:rPr>
          <w:spacing w:val="40"/>
        </w:rPr>
        <w:t> </w:t>
      </w:r>
      <w:r>
        <w:rPr/>
        <w:t>rate</w:t>
      </w:r>
      <w:r>
        <w:rPr>
          <w:spacing w:val="40"/>
        </w:rPr>
        <w:t> </w:t>
      </w:r>
      <w:r>
        <w:rPr/>
        <w:t>of</w:t>
      </w:r>
      <w:r>
        <w:rPr>
          <w:spacing w:val="40"/>
        </w:rPr>
        <w:t> </w:t>
      </w:r>
      <w:r>
        <w:rPr/>
        <w:t>1</w:t>
      </w:r>
      <w:r>
        <w:rPr>
          <w:spacing w:val="40"/>
        </w:rPr>
        <w:t> </w:t>
      </w:r>
      <w:r>
        <w:rPr/>
        <w:t>tree</w:t>
      </w:r>
      <w:r>
        <w:rPr>
          <w:spacing w:val="40"/>
        </w:rPr>
        <w:t> </w:t>
      </w:r>
      <w:r>
        <w:rPr/>
        <w:t>per</w:t>
      </w:r>
      <w:r>
        <w:rPr>
          <w:spacing w:val="40"/>
        </w:rPr>
        <w:t> </w:t>
      </w:r>
      <w:r>
        <w:rPr/>
        <w:t>100</w:t>
      </w:r>
      <w:r>
        <w:rPr>
          <w:spacing w:val="40"/>
        </w:rPr>
        <w:t> </w:t>
      </w:r>
      <w:r>
        <w:rPr/>
        <w:t>sq. m or part thereof to be grown in a plot for which LOS is not </w:t>
      </w:r>
      <w:r>
        <w:rPr>
          <w:spacing w:val="-2"/>
        </w:rPr>
        <w:t>necessary</w:t>
      </w:r>
    </w:p>
    <w:p>
      <w:pPr>
        <w:pStyle w:val="BodyText"/>
        <w:spacing w:before="242"/>
        <w:ind w:left="1930" w:right="774" w:hanging="284"/>
      </w:pPr>
      <w:r>
        <w:rPr/>
        <w:t>(c) In between the trees planted along the boundary of plot shrubs with grass shall be planted.</w:t>
      </w:r>
    </w:p>
    <w:p>
      <w:pPr>
        <w:pStyle w:val="BodyText"/>
        <w:spacing w:after="0"/>
        <w:sectPr>
          <w:pgSz w:w="11910" w:h="16840"/>
          <w:pgMar w:header="1058" w:footer="1194" w:top="1500" w:bottom="1380" w:left="360" w:right="360"/>
        </w:sectPr>
      </w:pPr>
    </w:p>
    <w:p>
      <w:pPr>
        <w:pStyle w:val="Heading6"/>
        <w:numPr>
          <w:ilvl w:val="1"/>
          <w:numId w:val="105"/>
        </w:numPr>
        <w:tabs>
          <w:tab w:pos="1927" w:val="left" w:leader="none"/>
        </w:tabs>
        <w:spacing w:line="240" w:lineRule="auto" w:before="252" w:after="0"/>
        <w:ind w:left="1927" w:right="0" w:hanging="494"/>
        <w:jc w:val="both"/>
      </w:pPr>
      <w:r>
        <w:rPr/>
        <w:t>Structures/uses</w:t>
      </w:r>
      <w:r>
        <w:rPr>
          <w:spacing w:val="48"/>
          <w:w w:val="150"/>
        </w:rPr>
        <w:t> </w:t>
      </w:r>
      <w:r>
        <w:rPr/>
        <w:t>permitted</w:t>
      </w:r>
      <w:r>
        <w:rPr>
          <w:spacing w:val="51"/>
          <w:w w:val="150"/>
        </w:rPr>
        <w:t> </w:t>
      </w:r>
      <w:r>
        <w:rPr/>
        <w:t>in</w:t>
      </w:r>
      <w:r>
        <w:rPr>
          <w:spacing w:val="52"/>
          <w:w w:val="150"/>
        </w:rPr>
        <w:t> </w:t>
      </w:r>
      <w:r>
        <w:rPr>
          <w:spacing w:val="-4"/>
        </w:rPr>
        <w:t>LOS:</w:t>
      </w:r>
    </w:p>
    <w:p>
      <w:pPr>
        <w:pStyle w:val="ListParagraph"/>
        <w:numPr>
          <w:ilvl w:val="2"/>
          <w:numId w:val="105"/>
        </w:numPr>
        <w:tabs>
          <w:tab w:pos="1930" w:val="left" w:leader="none"/>
          <w:tab w:pos="2128" w:val="left" w:leader="none"/>
        </w:tabs>
        <w:spacing w:line="240" w:lineRule="auto" w:before="124" w:after="0"/>
        <w:ind w:left="1930" w:right="771" w:hanging="284"/>
        <w:jc w:val="both"/>
        <w:rPr>
          <w:sz w:val="24"/>
        </w:rPr>
      </w:pPr>
      <w:r>
        <w:rPr>
          <w:sz w:val="24"/>
        </w:rPr>
        <w:tab/>
        <w:t>In a LOS exceeding 400 sq. m in area (in one piece), elevated/underground</w:t>
      </w:r>
      <w:r>
        <w:rPr>
          <w:spacing w:val="80"/>
          <w:w w:val="150"/>
          <w:sz w:val="24"/>
        </w:rPr>
        <w:t> </w:t>
      </w:r>
      <w:r>
        <w:rPr>
          <w:sz w:val="24"/>
        </w:rPr>
        <w:t>water</w:t>
      </w:r>
      <w:r>
        <w:rPr>
          <w:spacing w:val="80"/>
          <w:w w:val="150"/>
          <w:sz w:val="24"/>
        </w:rPr>
        <w:t> </w:t>
      </w:r>
      <w:r>
        <w:rPr>
          <w:sz w:val="24"/>
        </w:rPr>
        <w:t>reservoirs/tanks,</w:t>
      </w:r>
      <w:r>
        <w:rPr>
          <w:spacing w:val="80"/>
          <w:w w:val="150"/>
          <w:sz w:val="24"/>
        </w:rPr>
        <w:t> </w:t>
      </w:r>
      <w:r>
        <w:rPr>
          <w:sz w:val="24"/>
        </w:rPr>
        <w:t>electric</w:t>
      </w:r>
      <w:r>
        <w:rPr>
          <w:spacing w:val="80"/>
          <w:w w:val="150"/>
          <w:sz w:val="24"/>
        </w:rPr>
        <w:t> </w:t>
      </w:r>
      <w:r>
        <w:rPr>
          <w:sz w:val="24"/>
        </w:rPr>
        <w:t>sub- stations,</w:t>
      </w:r>
      <w:r>
        <w:rPr>
          <w:spacing w:val="40"/>
          <w:sz w:val="24"/>
        </w:rPr>
        <w:t> </w:t>
      </w:r>
      <w:r>
        <w:rPr>
          <w:sz w:val="24"/>
        </w:rPr>
        <w:t>pump</w:t>
      </w:r>
      <w:r>
        <w:rPr>
          <w:spacing w:val="40"/>
          <w:sz w:val="24"/>
        </w:rPr>
        <w:t> </w:t>
      </w:r>
      <w:r>
        <w:rPr>
          <w:sz w:val="24"/>
        </w:rPr>
        <w:t>houses,</w:t>
      </w:r>
      <w:r>
        <w:rPr>
          <w:spacing w:val="40"/>
          <w:sz w:val="24"/>
        </w:rPr>
        <w:t> </w:t>
      </w:r>
      <w:r>
        <w:rPr>
          <w:sz w:val="24"/>
        </w:rPr>
        <w:t>facility</w:t>
      </w:r>
      <w:r>
        <w:rPr>
          <w:spacing w:val="40"/>
          <w:sz w:val="24"/>
        </w:rPr>
        <w:t> </w:t>
      </w:r>
      <w:r>
        <w:rPr>
          <w:sz w:val="24"/>
        </w:rPr>
        <w:t>for</w:t>
      </w:r>
      <w:r>
        <w:rPr>
          <w:spacing w:val="40"/>
          <w:sz w:val="24"/>
        </w:rPr>
        <w:t> </w:t>
      </w:r>
      <w:r>
        <w:rPr>
          <w:sz w:val="24"/>
        </w:rPr>
        <w:t>treatment</w:t>
      </w:r>
      <w:r>
        <w:rPr>
          <w:spacing w:val="40"/>
          <w:sz w:val="24"/>
        </w:rPr>
        <w:t> </w:t>
      </w:r>
      <w:r>
        <w:rPr>
          <w:sz w:val="24"/>
        </w:rPr>
        <w:t>of</w:t>
      </w:r>
      <w:r>
        <w:rPr>
          <w:spacing w:val="40"/>
          <w:sz w:val="24"/>
        </w:rPr>
        <w:t> </w:t>
      </w:r>
      <w:r>
        <w:rPr>
          <w:sz w:val="24"/>
        </w:rPr>
        <w:t>wet</w:t>
      </w:r>
      <w:r>
        <w:rPr>
          <w:spacing w:val="40"/>
          <w:sz w:val="24"/>
        </w:rPr>
        <w:t> </w:t>
      </w:r>
      <w:r>
        <w:rPr>
          <w:sz w:val="24"/>
        </w:rPr>
        <w:t>waste</w:t>
      </w:r>
      <w:r>
        <w:rPr>
          <w:spacing w:val="40"/>
          <w:sz w:val="24"/>
        </w:rPr>
        <w:t> </w:t>
      </w:r>
      <w:r>
        <w:rPr>
          <w:sz w:val="24"/>
        </w:rPr>
        <w:t>in</w:t>
      </w:r>
      <w:r>
        <w:rPr>
          <w:spacing w:val="40"/>
          <w:sz w:val="24"/>
        </w:rPr>
        <w:t> </w:t>
      </w:r>
      <w:r>
        <w:rPr>
          <w:spacing w:val="9"/>
          <w:sz w:val="24"/>
        </w:rPr>
        <w:t>situ </w:t>
      </w:r>
      <w:r>
        <w:rPr>
          <w:sz w:val="24"/>
        </w:rPr>
        <w:t>may</w:t>
      </w:r>
      <w:r>
        <w:rPr>
          <w:spacing w:val="37"/>
          <w:sz w:val="24"/>
        </w:rPr>
        <w:t> </w:t>
      </w:r>
      <w:r>
        <w:rPr>
          <w:sz w:val="24"/>
        </w:rPr>
        <w:t>be</w:t>
      </w:r>
      <w:r>
        <w:rPr>
          <w:spacing w:val="37"/>
          <w:sz w:val="24"/>
        </w:rPr>
        <w:t> </w:t>
      </w:r>
      <w:r>
        <w:rPr>
          <w:sz w:val="24"/>
        </w:rPr>
        <w:t>built</w:t>
      </w:r>
      <w:r>
        <w:rPr>
          <w:spacing w:val="38"/>
          <w:sz w:val="24"/>
        </w:rPr>
        <w:t> </w:t>
      </w:r>
      <w:r>
        <w:rPr>
          <w:sz w:val="24"/>
        </w:rPr>
        <w:t>and</w:t>
      </w:r>
      <w:r>
        <w:rPr>
          <w:spacing w:val="37"/>
          <w:sz w:val="24"/>
        </w:rPr>
        <w:t> </w:t>
      </w:r>
      <w:r>
        <w:rPr>
          <w:sz w:val="24"/>
        </w:rPr>
        <w:t>shall</w:t>
      </w:r>
      <w:r>
        <w:rPr>
          <w:spacing w:val="38"/>
          <w:sz w:val="24"/>
        </w:rPr>
        <w:t> </w:t>
      </w:r>
      <w:r>
        <w:rPr>
          <w:sz w:val="24"/>
        </w:rPr>
        <w:t>not</w:t>
      </w:r>
      <w:r>
        <w:rPr>
          <w:spacing w:val="38"/>
          <w:sz w:val="24"/>
        </w:rPr>
        <w:t> </w:t>
      </w:r>
      <w:r>
        <w:rPr>
          <w:sz w:val="24"/>
        </w:rPr>
        <w:t>utilize</w:t>
      </w:r>
      <w:r>
        <w:rPr>
          <w:spacing w:val="37"/>
          <w:sz w:val="24"/>
        </w:rPr>
        <w:t> </w:t>
      </w:r>
      <w:r>
        <w:rPr>
          <w:sz w:val="24"/>
        </w:rPr>
        <w:t>more</w:t>
      </w:r>
      <w:r>
        <w:rPr>
          <w:spacing w:val="37"/>
          <w:sz w:val="24"/>
        </w:rPr>
        <w:t> </w:t>
      </w:r>
      <w:r>
        <w:rPr>
          <w:sz w:val="24"/>
        </w:rPr>
        <w:t>than</w:t>
      </w:r>
      <w:r>
        <w:rPr>
          <w:spacing w:val="37"/>
          <w:sz w:val="24"/>
        </w:rPr>
        <w:t> </w:t>
      </w:r>
      <w:r>
        <w:rPr>
          <w:sz w:val="24"/>
        </w:rPr>
        <w:t>10</w:t>
      </w:r>
      <w:r>
        <w:rPr>
          <w:spacing w:val="37"/>
          <w:sz w:val="24"/>
        </w:rPr>
        <w:t> </w:t>
      </w:r>
      <w:r>
        <w:rPr>
          <w:sz w:val="24"/>
        </w:rPr>
        <w:t>per</w:t>
      </w:r>
      <w:r>
        <w:rPr>
          <w:spacing w:val="37"/>
          <w:sz w:val="24"/>
        </w:rPr>
        <w:t> </w:t>
      </w:r>
      <w:r>
        <w:rPr>
          <w:sz w:val="24"/>
        </w:rPr>
        <w:t>cent</w:t>
      </w:r>
      <w:r>
        <w:rPr>
          <w:spacing w:val="40"/>
          <w:sz w:val="24"/>
        </w:rPr>
        <w:t> </w:t>
      </w:r>
      <w:r>
        <w:rPr>
          <w:sz w:val="24"/>
        </w:rPr>
        <w:t>of</w:t>
      </w:r>
      <w:r>
        <w:rPr>
          <w:spacing w:val="38"/>
          <w:sz w:val="24"/>
        </w:rPr>
        <w:t> </w:t>
      </w:r>
      <w:r>
        <w:rPr>
          <w:sz w:val="24"/>
        </w:rPr>
        <w:t>the</w:t>
      </w:r>
      <w:r>
        <w:rPr>
          <w:spacing w:val="40"/>
          <w:sz w:val="24"/>
        </w:rPr>
        <w:t> </w:t>
      </w:r>
      <w:r>
        <w:rPr>
          <w:sz w:val="24"/>
        </w:rPr>
        <w:t>LOS in</w:t>
      </w:r>
      <w:r>
        <w:rPr>
          <w:spacing w:val="40"/>
          <w:sz w:val="24"/>
        </w:rPr>
        <w:t> </w:t>
      </w:r>
      <w:r>
        <w:rPr>
          <w:sz w:val="24"/>
        </w:rPr>
        <w:t>which</w:t>
      </w:r>
      <w:r>
        <w:rPr>
          <w:spacing w:val="40"/>
          <w:sz w:val="24"/>
        </w:rPr>
        <w:t> </w:t>
      </w:r>
      <w:r>
        <w:rPr>
          <w:sz w:val="24"/>
        </w:rPr>
        <w:t>they</w:t>
      </w:r>
      <w:r>
        <w:rPr>
          <w:spacing w:val="40"/>
          <w:sz w:val="24"/>
        </w:rPr>
        <w:t> </w:t>
      </w:r>
      <w:r>
        <w:rPr>
          <w:sz w:val="24"/>
        </w:rPr>
        <w:t>are</w:t>
      </w:r>
      <w:r>
        <w:rPr>
          <w:spacing w:val="40"/>
          <w:sz w:val="24"/>
        </w:rPr>
        <w:t> </w:t>
      </w:r>
      <w:r>
        <w:rPr>
          <w:sz w:val="24"/>
        </w:rPr>
        <w:t>located.</w:t>
      </w:r>
    </w:p>
    <w:p>
      <w:pPr>
        <w:pStyle w:val="ListParagraph"/>
        <w:numPr>
          <w:ilvl w:val="2"/>
          <w:numId w:val="105"/>
        </w:numPr>
        <w:tabs>
          <w:tab w:pos="1930" w:val="left" w:leader="none"/>
          <w:tab w:pos="2077" w:val="left" w:leader="none"/>
        </w:tabs>
        <w:spacing w:line="240" w:lineRule="auto" w:before="120" w:after="0"/>
        <w:ind w:left="1930" w:right="776" w:hanging="284"/>
        <w:jc w:val="both"/>
        <w:rPr>
          <w:sz w:val="24"/>
        </w:rPr>
      </w:pPr>
      <w:r>
        <w:rPr>
          <w:sz w:val="24"/>
        </w:rPr>
        <w:t>In</w:t>
      </w:r>
      <w:r>
        <w:rPr>
          <w:spacing w:val="40"/>
          <w:sz w:val="24"/>
        </w:rPr>
        <w:t> </w:t>
      </w:r>
      <w:r>
        <w:rPr>
          <w:sz w:val="24"/>
        </w:rPr>
        <w:t>a</w:t>
      </w:r>
      <w:r>
        <w:rPr>
          <w:spacing w:val="40"/>
          <w:sz w:val="24"/>
        </w:rPr>
        <w:t> </w:t>
      </w:r>
      <w:r>
        <w:rPr>
          <w:sz w:val="24"/>
        </w:rPr>
        <w:t>LOSof</w:t>
      </w:r>
      <w:r>
        <w:rPr>
          <w:spacing w:val="40"/>
          <w:sz w:val="24"/>
        </w:rPr>
        <w:t> </w:t>
      </w:r>
      <w:r>
        <w:rPr>
          <w:sz w:val="24"/>
        </w:rPr>
        <w:t>1000</w:t>
      </w:r>
      <w:r>
        <w:rPr>
          <w:spacing w:val="40"/>
          <w:sz w:val="24"/>
        </w:rPr>
        <w:t> </w:t>
      </w:r>
      <w:r>
        <w:rPr>
          <w:sz w:val="24"/>
        </w:rPr>
        <w:t>sq.</w:t>
      </w:r>
      <w:r>
        <w:rPr>
          <w:spacing w:val="40"/>
          <w:sz w:val="24"/>
        </w:rPr>
        <w:t> </w:t>
      </w:r>
      <w:r>
        <w:rPr>
          <w:sz w:val="24"/>
        </w:rPr>
        <w:t>m</w:t>
      </w:r>
      <w:r>
        <w:rPr>
          <w:spacing w:val="40"/>
          <w:sz w:val="24"/>
        </w:rPr>
        <w:t> </w:t>
      </w:r>
      <w:r>
        <w:rPr>
          <w:sz w:val="24"/>
        </w:rPr>
        <w:t>or</w:t>
      </w:r>
      <w:r>
        <w:rPr>
          <w:spacing w:val="40"/>
          <w:sz w:val="24"/>
        </w:rPr>
        <w:t> </w:t>
      </w:r>
      <w:r>
        <w:rPr>
          <w:sz w:val="24"/>
        </w:rPr>
        <w:t>more</w:t>
      </w:r>
      <w:r>
        <w:rPr>
          <w:spacing w:val="40"/>
          <w:sz w:val="24"/>
        </w:rPr>
        <w:t> </w:t>
      </w:r>
      <w:r>
        <w:rPr>
          <w:sz w:val="24"/>
        </w:rPr>
        <w:t>in</w:t>
      </w:r>
      <w:r>
        <w:rPr>
          <w:spacing w:val="40"/>
          <w:sz w:val="24"/>
        </w:rPr>
        <w:t> </w:t>
      </w:r>
      <w:r>
        <w:rPr>
          <w:sz w:val="24"/>
        </w:rPr>
        <w:t>area</w:t>
      </w:r>
      <w:r>
        <w:rPr>
          <w:spacing w:val="40"/>
          <w:sz w:val="24"/>
        </w:rPr>
        <w:t> </w:t>
      </w:r>
      <w:r>
        <w:rPr>
          <w:sz w:val="24"/>
        </w:rPr>
        <w:t>(in</w:t>
      </w:r>
      <w:r>
        <w:rPr>
          <w:spacing w:val="40"/>
          <w:sz w:val="24"/>
        </w:rPr>
        <w:t> </w:t>
      </w:r>
      <w:r>
        <w:rPr>
          <w:sz w:val="24"/>
        </w:rPr>
        <w:t>one</w:t>
      </w:r>
      <w:r>
        <w:rPr>
          <w:spacing w:val="40"/>
          <w:sz w:val="24"/>
        </w:rPr>
        <w:t> </w:t>
      </w:r>
      <w:r>
        <w:rPr>
          <w:sz w:val="24"/>
        </w:rPr>
        <w:t>piece</w:t>
      </w:r>
      <w:r>
        <w:rPr>
          <w:spacing w:val="40"/>
          <w:sz w:val="24"/>
        </w:rPr>
        <w:t> </w:t>
      </w:r>
      <w:r>
        <w:rPr>
          <w:sz w:val="24"/>
        </w:rPr>
        <w:t>and</w:t>
      </w:r>
      <w:r>
        <w:rPr>
          <w:spacing w:val="40"/>
          <w:sz w:val="24"/>
        </w:rPr>
        <w:t> </w:t>
      </w:r>
      <w:r>
        <w:rPr>
          <w:sz w:val="24"/>
        </w:rPr>
        <w:t>in</w:t>
      </w:r>
      <w:r>
        <w:rPr>
          <w:spacing w:val="40"/>
          <w:sz w:val="24"/>
        </w:rPr>
        <w:t> </w:t>
      </w:r>
      <w:r>
        <w:rPr>
          <w:sz w:val="24"/>
        </w:rPr>
        <w:t>one place), structures for pavilions, gymnasia, club houses, swimming</w:t>
      </w:r>
      <w:r>
        <w:rPr>
          <w:spacing w:val="80"/>
          <w:sz w:val="24"/>
        </w:rPr>
        <w:t> </w:t>
      </w:r>
      <w:r>
        <w:rPr>
          <w:sz w:val="24"/>
        </w:rPr>
        <w:t>pools and other structures for the purpose of sports and recreation activities</w:t>
      </w:r>
      <w:r>
        <w:rPr>
          <w:spacing w:val="40"/>
          <w:sz w:val="24"/>
        </w:rPr>
        <w:t> </w:t>
      </w:r>
      <w:r>
        <w:rPr>
          <w:sz w:val="24"/>
        </w:rPr>
        <w:t>may</w:t>
      </w:r>
      <w:r>
        <w:rPr>
          <w:spacing w:val="40"/>
          <w:sz w:val="24"/>
        </w:rPr>
        <w:t> </w:t>
      </w:r>
      <w:r>
        <w:rPr>
          <w:sz w:val="24"/>
        </w:rPr>
        <w:t>be</w:t>
      </w:r>
      <w:r>
        <w:rPr>
          <w:spacing w:val="40"/>
          <w:sz w:val="24"/>
        </w:rPr>
        <w:t> </w:t>
      </w:r>
      <w:r>
        <w:rPr>
          <w:sz w:val="24"/>
        </w:rPr>
        <w:t>permitted</w:t>
      </w:r>
      <w:r>
        <w:rPr>
          <w:spacing w:val="40"/>
          <w:sz w:val="24"/>
        </w:rPr>
        <w:t> </w:t>
      </w:r>
      <w:r>
        <w:rPr>
          <w:sz w:val="24"/>
        </w:rPr>
        <w:t>with</w:t>
      </w:r>
      <w:r>
        <w:rPr>
          <w:spacing w:val="40"/>
          <w:sz w:val="24"/>
        </w:rPr>
        <w:t> </w:t>
      </w:r>
      <w:r>
        <w:rPr>
          <w:sz w:val="24"/>
        </w:rPr>
        <w:t>BUA</w:t>
      </w:r>
      <w:r>
        <w:rPr>
          <w:spacing w:val="40"/>
          <w:sz w:val="24"/>
        </w:rPr>
        <w:t> </w:t>
      </w:r>
      <w:r>
        <w:rPr>
          <w:sz w:val="24"/>
        </w:rPr>
        <w:t>not</w:t>
      </w:r>
      <w:r>
        <w:rPr>
          <w:spacing w:val="40"/>
          <w:sz w:val="24"/>
        </w:rPr>
        <w:t> </w:t>
      </w:r>
      <w:r>
        <w:rPr>
          <w:sz w:val="24"/>
        </w:rPr>
        <w:t>exceeding</w:t>
      </w:r>
      <w:r>
        <w:rPr>
          <w:spacing w:val="40"/>
          <w:sz w:val="24"/>
        </w:rPr>
        <w:t> </w:t>
      </w:r>
      <w:r>
        <w:rPr>
          <w:sz w:val="24"/>
        </w:rPr>
        <w:t>15</w:t>
      </w:r>
      <w:r>
        <w:rPr>
          <w:spacing w:val="40"/>
          <w:sz w:val="24"/>
        </w:rPr>
        <w:t> </w:t>
      </w:r>
      <w:r>
        <w:rPr>
          <w:sz w:val="24"/>
        </w:rPr>
        <w:t>per</w:t>
      </w:r>
      <w:r>
        <w:rPr>
          <w:spacing w:val="40"/>
          <w:sz w:val="24"/>
        </w:rPr>
        <w:t> </w:t>
      </w:r>
      <w:r>
        <w:rPr>
          <w:sz w:val="24"/>
        </w:rPr>
        <w:t>cent</w:t>
      </w:r>
      <w:r>
        <w:rPr>
          <w:spacing w:val="40"/>
          <w:sz w:val="24"/>
        </w:rPr>
        <w:t> </w:t>
      </w:r>
      <w:r>
        <w:rPr>
          <w:sz w:val="24"/>
        </w:rPr>
        <w:t>of the</w:t>
      </w:r>
      <w:r>
        <w:rPr>
          <w:spacing w:val="40"/>
          <w:sz w:val="24"/>
        </w:rPr>
        <w:t> </w:t>
      </w:r>
      <w:r>
        <w:rPr>
          <w:sz w:val="24"/>
        </w:rPr>
        <w:t>total</w:t>
      </w:r>
      <w:r>
        <w:rPr>
          <w:spacing w:val="40"/>
          <w:sz w:val="24"/>
        </w:rPr>
        <w:t> </w:t>
      </w:r>
      <w:r>
        <w:rPr>
          <w:sz w:val="24"/>
        </w:rPr>
        <w:t>required</w:t>
      </w:r>
      <w:r>
        <w:rPr>
          <w:spacing w:val="40"/>
          <w:sz w:val="24"/>
        </w:rPr>
        <w:t> </w:t>
      </w:r>
      <w:r>
        <w:rPr>
          <w:sz w:val="24"/>
        </w:rPr>
        <w:t>LOS,</w:t>
      </w:r>
      <w:r>
        <w:rPr>
          <w:spacing w:val="40"/>
          <w:sz w:val="24"/>
        </w:rPr>
        <w:t> </w:t>
      </w:r>
      <w:r>
        <w:rPr>
          <w:sz w:val="24"/>
        </w:rPr>
        <w:t>.</w:t>
      </w:r>
      <w:r>
        <w:rPr>
          <w:spacing w:val="40"/>
          <w:sz w:val="24"/>
        </w:rPr>
        <w:t> </w:t>
      </w:r>
      <w:r>
        <w:rPr>
          <w:sz w:val="24"/>
        </w:rPr>
        <w:t>The</w:t>
      </w:r>
      <w:r>
        <w:rPr>
          <w:spacing w:val="40"/>
          <w:sz w:val="24"/>
        </w:rPr>
        <w:t> </w:t>
      </w:r>
      <w:r>
        <w:rPr>
          <w:sz w:val="24"/>
        </w:rPr>
        <w:t>area</w:t>
      </w:r>
      <w:r>
        <w:rPr>
          <w:spacing w:val="40"/>
          <w:sz w:val="24"/>
        </w:rPr>
        <w:t> </w:t>
      </w:r>
      <w:r>
        <w:rPr>
          <w:sz w:val="24"/>
        </w:rPr>
        <w:t>of</w:t>
      </w:r>
      <w:r>
        <w:rPr>
          <w:spacing w:val="40"/>
          <w:sz w:val="24"/>
        </w:rPr>
        <w:t> </w:t>
      </w:r>
      <w:r>
        <w:rPr>
          <w:sz w:val="24"/>
        </w:rPr>
        <w:t>the</w:t>
      </w:r>
      <w:r>
        <w:rPr>
          <w:spacing w:val="40"/>
          <w:sz w:val="24"/>
        </w:rPr>
        <w:t> </w:t>
      </w:r>
      <w:r>
        <w:rPr>
          <w:sz w:val="24"/>
        </w:rPr>
        <w:t>plinth</w:t>
      </w:r>
      <w:r>
        <w:rPr>
          <w:spacing w:val="40"/>
          <w:sz w:val="24"/>
        </w:rPr>
        <w:t> </w:t>
      </w:r>
      <w:r>
        <w:rPr>
          <w:sz w:val="24"/>
        </w:rPr>
        <w:t>of</w:t>
      </w:r>
      <w:r>
        <w:rPr>
          <w:spacing w:val="40"/>
          <w:sz w:val="24"/>
        </w:rPr>
        <w:t> </w:t>
      </w:r>
      <w:r>
        <w:rPr>
          <w:sz w:val="24"/>
        </w:rPr>
        <w:t>such</w:t>
      </w:r>
      <w:r>
        <w:rPr>
          <w:spacing w:val="40"/>
          <w:sz w:val="24"/>
        </w:rPr>
        <w:t> </w:t>
      </w:r>
      <w:r>
        <w:rPr>
          <w:sz w:val="24"/>
        </w:rPr>
        <w:t>a</w:t>
      </w:r>
      <w:r>
        <w:rPr>
          <w:spacing w:val="40"/>
          <w:sz w:val="24"/>
        </w:rPr>
        <w:t> </w:t>
      </w:r>
      <w:r>
        <w:rPr>
          <w:sz w:val="24"/>
        </w:rPr>
        <w:t>structure shall</w:t>
      </w:r>
      <w:r>
        <w:rPr>
          <w:spacing w:val="40"/>
          <w:sz w:val="24"/>
        </w:rPr>
        <w:t> </w:t>
      </w:r>
      <w:r>
        <w:rPr>
          <w:sz w:val="24"/>
        </w:rPr>
        <w:t>be</w:t>
      </w:r>
      <w:r>
        <w:rPr>
          <w:spacing w:val="40"/>
          <w:sz w:val="24"/>
        </w:rPr>
        <w:t> </w:t>
      </w:r>
      <w:r>
        <w:rPr>
          <w:sz w:val="24"/>
        </w:rPr>
        <w:t>restricted</w:t>
      </w:r>
      <w:r>
        <w:rPr>
          <w:spacing w:val="40"/>
          <w:sz w:val="24"/>
        </w:rPr>
        <w:t> </w:t>
      </w:r>
      <w:r>
        <w:rPr>
          <w:sz w:val="24"/>
        </w:rPr>
        <w:t>to</w:t>
      </w:r>
      <w:r>
        <w:rPr>
          <w:spacing w:val="40"/>
          <w:sz w:val="24"/>
        </w:rPr>
        <w:t> </w:t>
      </w:r>
      <w:r>
        <w:rPr>
          <w:sz w:val="24"/>
        </w:rPr>
        <w:t>10</w:t>
      </w:r>
      <w:r>
        <w:rPr>
          <w:spacing w:val="40"/>
          <w:sz w:val="24"/>
        </w:rPr>
        <w:t> </w:t>
      </w:r>
      <w:r>
        <w:rPr>
          <w:sz w:val="24"/>
        </w:rPr>
        <w:t>per</w:t>
      </w:r>
      <w:r>
        <w:rPr>
          <w:spacing w:val="40"/>
          <w:sz w:val="24"/>
        </w:rPr>
        <w:t> </w:t>
      </w:r>
      <w:r>
        <w:rPr>
          <w:sz w:val="24"/>
        </w:rPr>
        <w:t>cent</w:t>
      </w:r>
      <w:r>
        <w:rPr>
          <w:spacing w:val="40"/>
          <w:sz w:val="24"/>
        </w:rPr>
        <w:t> </w:t>
      </w:r>
      <w:r>
        <w:rPr>
          <w:sz w:val="24"/>
        </w:rPr>
        <w:t>of</w:t>
      </w:r>
      <w:r>
        <w:rPr>
          <w:spacing w:val="40"/>
          <w:sz w:val="24"/>
        </w:rPr>
        <w:t> </w:t>
      </w:r>
      <w:r>
        <w:rPr>
          <w:sz w:val="24"/>
        </w:rPr>
        <w:t>the</w:t>
      </w:r>
      <w:r>
        <w:rPr>
          <w:spacing w:val="40"/>
          <w:sz w:val="24"/>
        </w:rPr>
        <w:t> </w:t>
      </w:r>
      <w:r>
        <w:rPr>
          <w:sz w:val="24"/>
        </w:rPr>
        <w:t>area</w:t>
      </w:r>
      <w:r>
        <w:rPr>
          <w:spacing w:val="40"/>
          <w:sz w:val="24"/>
        </w:rPr>
        <w:t> </w:t>
      </w:r>
      <w:r>
        <w:rPr>
          <w:sz w:val="24"/>
        </w:rPr>
        <w:t>of</w:t>
      </w:r>
      <w:r>
        <w:rPr>
          <w:spacing w:val="40"/>
          <w:sz w:val="24"/>
        </w:rPr>
        <w:t> </w:t>
      </w:r>
      <w:r>
        <w:rPr>
          <w:sz w:val="24"/>
        </w:rPr>
        <w:t>the</w:t>
      </w:r>
      <w:r>
        <w:rPr>
          <w:spacing w:val="40"/>
          <w:sz w:val="24"/>
        </w:rPr>
        <w:t> </w:t>
      </w:r>
      <w:r>
        <w:rPr>
          <w:sz w:val="24"/>
        </w:rPr>
        <w:t>total</w:t>
      </w:r>
      <w:r>
        <w:rPr>
          <w:spacing w:val="40"/>
          <w:sz w:val="24"/>
        </w:rPr>
        <w:t> </w:t>
      </w:r>
      <w:r>
        <w:rPr>
          <w:sz w:val="24"/>
        </w:rPr>
        <w:t>required LOS</w:t>
      </w:r>
      <w:r>
        <w:rPr>
          <w:spacing w:val="40"/>
          <w:sz w:val="24"/>
        </w:rPr>
        <w:t> </w:t>
      </w:r>
      <w:r>
        <w:rPr>
          <w:sz w:val="24"/>
        </w:rPr>
        <w:t>in</w:t>
      </w:r>
      <w:r>
        <w:rPr>
          <w:spacing w:val="40"/>
          <w:sz w:val="24"/>
        </w:rPr>
        <w:t> </w:t>
      </w:r>
      <w:r>
        <w:rPr>
          <w:sz w:val="24"/>
        </w:rPr>
        <w:t>these</w:t>
      </w:r>
      <w:r>
        <w:rPr>
          <w:spacing w:val="40"/>
          <w:sz w:val="24"/>
        </w:rPr>
        <w:t> </w:t>
      </w:r>
      <w:r>
        <w:rPr>
          <w:sz w:val="24"/>
        </w:rPr>
        <w:t>regulations.</w:t>
      </w:r>
      <w:r>
        <w:rPr>
          <w:spacing w:val="40"/>
          <w:sz w:val="24"/>
        </w:rPr>
        <w:t> </w:t>
      </w:r>
      <w:r>
        <w:rPr>
          <w:sz w:val="24"/>
        </w:rPr>
        <w:t>The</w:t>
      </w:r>
      <w:r>
        <w:rPr>
          <w:spacing w:val="40"/>
          <w:sz w:val="24"/>
        </w:rPr>
        <w:t> </w:t>
      </w:r>
      <w:r>
        <w:rPr>
          <w:sz w:val="24"/>
        </w:rPr>
        <w:t>total</w:t>
      </w:r>
      <w:r>
        <w:rPr>
          <w:spacing w:val="40"/>
          <w:sz w:val="24"/>
        </w:rPr>
        <w:t> </w:t>
      </w:r>
      <w:r>
        <w:rPr>
          <w:sz w:val="24"/>
        </w:rPr>
        <w:t>height</w:t>
      </w:r>
      <w:r>
        <w:rPr>
          <w:spacing w:val="40"/>
          <w:sz w:val="24"/>
        </w:rPr>
        <w:t> </w:t>
      </w:r>
      <w:r>
        <w:rPr>
          <w:sz w:val="24"/>
        </w:rPr>
        <w:t>of</w:t>
      </w:r>
      <w:r>
        <w:rPr>
          <w:spacing w:val="40"/>
          <w:sz w:val="24"/>
        </w:rPr>
        <w:t> </w:t>
      </w:r>
      <w:r>
        <w:rPr>
          <w:sz w:val="24"/>
        </w:rPr>
        <w:t>any</w:t>
      </w:r>
      <w:r>
        <w:rPr>
          <w:spacing w:val="40"/>
          <w:sz w:val="24"/>
        </w:rPr>
        <w:t> </w:t>
      </w:r>
      <w:r>
        <w:rPr>
          <w:sz w:val="24"/>
        </w:rPr>
        <w:t>such</w:t>
      </w:r>
      <w:r>
        <w:rPr>
          <w:spacing w:val="40"/>
          <w:sz w:val="24"/>
        </w:rPr>
        <w:t> </w:t>
      </w:r>
      <w:r>
        <w:rPr>
          <w:sz w:val="24"/>
        </w:rPr>
        <w:t>structure, which may be Ground + one storey shall not exceed 8 m. The height may</w:t>
      </w:r>
      <w:r>
        <w:rPr>
          <w:spacing w:val="80"/>
          <w:sz w:val="24"/>
        </w:rPr>
        <w:t> </w:t>
      </w:r>
      <w:r>
        <w:rPr>
          <w:sz w:val="24"/>
        </w:rPr>
        <w:t>be</w:t>
      </w:r>
      <w:r>
        <w:rPr>
          <w:spacing w:val="80"/>
          <w:sz w:val="24"/>
        </w:rPr>
        <w:t> </w:t>
      </w:r>
      <w:r>
        <w:rPr>
          <w:sz w:val="24"/>
        </w:rPr>
        <w:t>increased</w:t>
      </w:r>
      <w:r>
        <w:rPr>
          <w:spacing w:val="80"/>
          <w:sz w:val="24"/>
        </w:rPr>
        <w:t> </w:t>
      </w:r>
      <w:r>
        <w:rPr>
          <w:sz w:val="24"/>
        </w:rPr>
        <w:t>to</w:t>
      </w:r>
      <w:r>
        <w:rPr>
          <w:spacing w:val="80"/>
          <w:sz w:val="24"/>
        </w:rPr>
        <w:t> </w:t>
      </w:r>
      <w:r>
        <w:rPr>
          <w:sz w:val="24"/>
        </w:rPr>
        <w:t>13</w:t>
      </w:r>
      <w:r>
        <w:rPr>
          <w:spacing w:val="80"/>
          <w:sz w:val="24"/>
        </w:rPr>
        <w:t> </w:t>
      </w:r>
      <w:r>
        <w:rPr>
          <w:sz w:val="24"/>
        </w:rPr>
        <w:t>m</w:t>
      </w:r>
      <w:r>
        <w:rPr>
          <w:spacing w:val="80"/>
          <w:sz w:val="24"/>
        </w:rPr>
        <w:t> </w:t>
      </w:r>
      <w:r>
        <w:rPr>
          <w:sz w:val="24"/>
        </w:rPr>
        <w:t>to</w:t>
      </w:r>
      <w:r>
        <w:rPr>
          <w:spacing w:val="80"/>
          <w:sz w:val="24"/>
        </w:rPr>
        <w:t> </w:t>
      </w:r>
      <w:r>
        <w:rPr>
          <w:sz w:val="24"/>
        </w:rPr>
        <w:t>accommodate</w:t>
      </w:r>
      <w:r>
        <w:rPr>
          <w:spacing w:val="80"/>
          <w:sz w:val="24"/>
        </w:rPr>
        <w:t> </w:t>
      </w:r>
      <w:r>
        <w:rPr>
          <w:sz w:val="24"/>
        </w:rPr>
        <w:t>badminton court/squash court. Where club house is proposed in LOS, then provision</w:t>
      </w:r>
      <w:r>
        <w:rPr>
          <w:spacing w:val="80"/>
          <w:sz w:val="24"/>
        </w:rPr>
        <w:t> </w:t>
      </w:r>
      <w:r>
        <w:rPr>
          <w:sz w:val="24"/>
        </w:rPr>
        <w:t>for</w:t>
      </w:r>
      <w:r>
        <w:rPr>
          <w:spacing w:val="80"/>
          <w:sz w:val="24"/>
        </w:rPr>
        <w:t> </w:t>
      </w:r>
      <w:r>
        <w:rPr>
          <w:sz w:val="24"/>
        </w:rPr>
        <w:t>gymnasium/fitness</w:t>
      </w:r>
      <w:r>
        <w:rPr>
          <w:spacing w:val="80"/>
          <w:sz w:val="24"/>
        </w:rPr>
        <w:t> </w:t>
      </w:r>
      <w:r>
        <w:rPr>
          <w:sz w:val="24"/>
        </w:rPr>
        <w:t>centre/yogalaya</w:t>
      </w:r>
      <w:r>
        <w:rPr>
          <w:spacing w:val="80"/>
          <w:sz w:val="24"/>
        </w:rPr>
        <w:t> </w:t>
      </w:r>
      <w:r>
        <w:rPr>
          <w:sz w:val="24"/>
        </w:rPr>
        <w:t>in</w:t>
      </w:r>
      <w:r>
        <w:rPr>
          <w:spacing w:val="80"/>
          <w:sz w:val="24"/>
        </w:rPr>
        <w:t> </w:t>
      </w:r>
      <w:r>
        <w:rPr>
          <w:sz w:val="24"/>
        </w:rPr>
        <w:t>club</w:t>
      </w:r>
      <w:r>
        <w:rPr>
          <w:spacing w:val="80"/>
          <w:sz w:val="24"/>
        </w:rPr>
        <w:t> </w:t>
      </w:r>
      <w:r>
        <w:rPr>
          <w:spacing w:val="9"/>
          <w:sz w:val="24"/>
        </w:rPr>
        <w:t>house </w:t>
      </w:r>
      <w:r>
        <w:rPr>
          <w:sz w:val="24"/>
        </w:rPr>
        <w:t>shall be insisted upon. Structures for such sports and recreation activities</w:t>
      </w:r>
      <w:r>
        <w:rPr>
          <w:spacing w:val="80"/>
          <w:sz w:val="24"/>
        </w:rPr>
        <w:t> </w:t>
      </w:r>
      <w:r>
        <w:rPr>
          <w:sz w:val="24"/>
        </w:rPr>
        <w:t>shall</w:t>
      </w:r>
      <w:r>
        <w:rPr>
          <w:spacing w:val="80"/>
          <w:sz w:val="24"/>
        </w:rPr>
        <w:t> </w:t>
      </w:r>
      <w:r>
        <w:rPr>
          <w:sz w:val="24"/>
        </w:rPr>
        <w:t>conform</w:t>
      </w:r>
      <w:r>
        <w:rPr>
          <w:spacing w:val="80"/>
          <w:sz w:val="24"/>
        </w:rPr>
        <w:t> </w:t>
      </w:r>
      <w:r>
        <w:rPr>
          <w:sz w:val="24"/>
        </w:rPr>
        <w:t>to</w:t>
      </w:r>
      <w:r>
        <w:rPr>
          <w:spacing w:val="80"/>
          <w:sz w:val="24"/>
        </w:rPr>
        <w:t> </w:t>
      </w:r>
      <w:r>
        <w:rPr>
          <w:sz w:val="24"/>
        </w:rPr>
        <w:t>the</w:t>
      </w:r>
      <w:r>
        <w:rPr>
          <w:spacing w:val="80"/>
          <w:sz w:val="24"/>
        </w:rPr>
        <w:t> </w:t>
      </w:r>
      <w:r>
        <w:rPr>
          <w:sz w:val="24"/>
        </w:rPr>
        <w:t>following</w:t>
      </w:r>
      <w:r>
        <w:rPr>
          <w:spacing w:val="80"/>
          <w:sz w:val="24"/>
        </w:rPr>
        <w:t> </w:t>
      </w:r>
      <w:r>
        <w:rPr>
          <w:sz w:val="24"/>
        </w:rPr>
        <w:t>requirements:</w:t>
      </w:r>
      <w:r>
        <w:rPr>
          <w:spacing w:val="80"/>
          <w:sz w:val="24"/>
        </w:rPr>
        <w:t> </w:t>
      </w:r>
      <w:r>
        <w:rPr>
          <w:sz w:val="24"/>
        </w:rPr>
        <w:t>-</w:t>
      </w:r>
    </w:p>
    <w:p>
      <w:pPr>
        <w:pStyle w:val="ListParagraph"/>
        <w:numPr>
          <w:ilvl w:val="3"/>
          <w:numId w:val="105"/>
        </w:numPr>
        <w:tabs>
          <w:tab w:pos="1930" w:val="left" w:leader="none"/>
          <w:tab w:pos="2210" w:val="left" w:leader="none"/>
        </w:tabs>
        <w:spacing w:line="240" w:lineRule="auto" w:before="121" w:after="0"/>
        <w:ind w:left="1930" w:right="782" w:hanging="58"/>
        <w:jc w:val="both"/>
        <w:rPr>
          <w:sz w:val="24"/>
        </w:rPr>
      </w:pPr>
      <w:r>
        <w:rPr>
          <w:sz w:val="24"/>
        </w:rPr>
        <w:t>The</w:t>
      </w:r>
      <w:r>
        <w:rPr>
          <w:spacing w:val="40"/>
          <w:sz w:val="24"/>
        </w:rPr>
        <w:t> </w:t>
      </w:r>
      <w:r>
        <w:rPr>
          <w:sz w:val="24"/>
        </w:rPr>
        <w:t>ownership</w:t>
      </w:r>
      <w:r>
        <w:rPr>
          <w:spacing w:val="40"/>
          <w:sz w:val="24"/>
        </w:rPr>
        <w:t> </w:t>
      </w:r>
      <w:r>
        <w:rPr>
          <w:sz w:val="24"/>
        </w:rPr>
        <w:t>of</w:t>
      </w:r>
      <w:r>
        <w:rPr>
          <w:spacing w:val="40"/>
          <w:sz w:val="24"/>
        </w:rPr>
        <w:t> </w:t>
      </w:r>
      <w:r>
        <w:rPr>
          <w:sz w:val="24"/>
        </w:rPr>
        <w:t>such</w:t>
      </w:r>
      <w:r>
        <w:rPr>
          <w:spacing w:val="40"/>
          <w:sz w:val="24"/>
        </w:rPr>
        <w:t> </w:t>
      </w:r>
      <w:r>
        <w:rPr>
          <w:sz w:val="24"/>
        </w:rPr>
        <w:t>structures</w:t>
      </w:r>
      <w:r>
        <w:rPr>
          <w:spacing w:val="40"/>
          <w:sz w:val="24"/>
        </w:rPr>
        <w:t> </w:t>
      </w:r>
      <w:r>
        <w:rPr>
          <w:sz w:val="24"/>
        </w:rPr>
        <w:t>and</w:t>
      </w:r>
      <w:r>
        <w:rPr>
          <w:spacing w:val="40"/>
          <w:sz w:val="24"/>
        </w:rPr>
        <w:t> </w:t>
      </w:r>
      <w:r>
        <w:rPr>
          <w:sz w:val="24"/>
        </w:rPr>
        <w:t>other</w:t>
      </w:r>
      <w:r>
        <w:rPr>
          <w:spacing w:val="40"/>
          <w:sz w:val="24"/>
        </w:rPr>
        <w:t> </w:t>
      </w:r>
      <w:r>
        <w:rPr>
          <w:sz w:val="24"/>
        </w:rPr>
        <w:t>appurtenant</w:t>
      </w:r>
      <w:r>
        <w:rPr>
          <w:spacing w:val="40"/>
          <w:sz w:val="24"/>
        </w:rPr>
        <w:t> </w:t>
      </w:r>
      <w:r>
        <w:rPr>
          <w:sz w:val="24"/>
        </w:rPr>
        <w:t>users shall</w:t>
      </w:r>
      <w:r>
        <w:rPr>
          <w:spacing w:val="40"/>
          <w:sz w:val="24"/>
        </w:rPr>
        <w:t> </w:t>
      </w:r>
      <w:r>
        <w:rPr>
          <w:sz w:val="24"/>
        </w:rPr>
        <w:t>vest,</w:t>
      </w:r>
      <w:r>
        <w:rPr>
          <w:spacing w:val="40"/>
          <w:sz w:val="24"/>
        </w:rPr>
        <w:t> </w:t>
      </w:r>
      <w:r>
        <w:rPr>
          <w:sz w:val="24"/>
        </w:rPr>
        <w:t>by</w:t>
      </w:r>
      <w:r>
        <w:rPr>
          <w:spacing w:val="40"/>
          <w:sz w:val="24"/>
        </w:rPr>
        <w:t> </w:t>
      </w:r>
      <w:r>
        <w:rPr>
          <w:sz w:val="24"/>
        </w:rPr>
        <w:t>provision</w:t>
      </w:r>
      <w:r>
        <w:rPr>
          <w:spacing w:val="40"/>
          <w:sz w:val="24"/>
        </w:rPr>
        <w:t> </w:t>
      </w:r>
      <w:r>
        <w:rPr>
          <w:sz w:val="24"/>
        </w:rPr>
        <w:t>in</w:t>
      </w:r>
      <w:r>
        <w:rPr>
          <w:spacing w:val="40"/>
          <w:sz w:val="24"/>
        </w:rPr>
        <w:t> </w:t>
      </w:r>
      <w:r>
        <w:rPr>
          <w:sz w:val="24"/>
        </w:rPr>
        <w:t>a</w:t>
      </w:r>
      <w:r>
        <w:rPr>
          <w:spacing w:val="40"/>
          <w:sz w:val="24"/>
        </w:rPr>
        <w:t> </w:t>
      </w:r>
      <w:r>
        <w:rPr>
          <w:sz w:val="24"/>
        </w:rPr>
        <w:t>deed</w:t>
      </w:r>
      <w:r>
        <w:rPr>
          <w:spacing w:val="40"/>
          <w:sz w:val="24"/>
        </w:rPr>
        <w:t> </w:t>
      </w:r>
      <w:r>
        <w:rPr>
          <w:sz w:val="24"/>
        </w:rPr>
        <w:t>of</w:t>
      </w:r>
      <w:r>
        <w:rPr>
          <w:spacing w:val="40"/>
          <w:sz w:val="24"/>
        </w:rPr>
        <w:t> </w:t>
      </w:r>
      <w:r>
        <w:rPr>
          <w:sz w:val="24"/>
        </w:rPr>
        <w:t>conveyance,</w:t>
      </w:r>
      <w:r>
        <w:rPr>
          <w:spacing w:val="40"/>
          <w:sz w:val="24"/>
        </w:rPr>
        <w:t> </w:t>
      </w:r>
      <w:r>
        <w:rPr>
          <w:sz w:val="24"/>
        </w:rPr>
        <w:t>in</w:t>
      </w:r>
      <w:r>
        <w:rPr>
          <w:spacing w:val="40"/>
          <w:sz w:val="24"/>
        </w:rPr>
        <w:t> </w:t>
      </w:r>
      <w:r>
        <w:rPr>
          <w:sz w:val="24"/>
        </w:rPr>
        <w:t>all</w:t>
      </w:r>
      <w:r>
        <w:rPr>
          <w:spacing w:val="40"/>
          <w:sz w:val="24"/>
        </w:rPr>
        <w:t> </w:t>
      </w:r>
      <w:r>
        <w:rPr>
          <w:sz w:val="24"/>
        </w:rPr>
        <w:t>the</w:t>
      </w:r>
      <w:r>
        <w:rPr>
          <w:spacing w:val="40"/>
          <w:sz w:val="24"/>
        </w:rPr>
        <w:t> </w:t>
      </w:r>
      <w:r>
        <w:rPr>
          <w:sz w:val="24"/>
        </w:rPr>
        <w:t>owners</w:t>
      </w:r>
      <w:r>
        <w:rPr>
          <w:spacing w:val="40"/>
          <w:sz w:val="24"/>
        </w:rPr>
        <w:t> </w:t>
      </w:r>
      <w:r>
        <w:rPr>
          <w:sz w:val="24"/>
        </w:rPr>
        <w:t>on account of whose cumulative holdings </w:t>
      </w:r>
      <w:r>
        <w:rPr>
          <w:spacing w:val="9"/>
          <w:sz w:val="24"/>
        </w:rPr>
        <w:t>the </w:t>
      </w:r>
      <w:r>
        <w:rPr>
          <w:sz w:val="24"/>
        </w:rPr>
        <w:t>LOS is required to be</w:t>
      </w:r>
      <w:r>
        <w:rPr>
          <w:spacing w:val="40"/>
          <w:sz w:val="24"/>
        </w:rPr>
        <w:t> </w:t>
      </w:r>
      <w:r>
        <w:rPr>
          <w:sz w:val="24"/>
        </w:rPr>
        <w:t>kept</w:t>
      </w:r>
      <w:r>
        <w:rPr>
          <w:spacing w:val="80"/>
          <w:sz w:val="24"/>
        </w:rPr>
        <w:t> </w:t>
      </w:r>
      <w:r>
        <w:rPr>
          <w:sz w:val="24"/>
        </w:rPr>
        <w:t>as</w:t>
      </w:r>
      <w:r>
        <w:rPr>
          <w:spacing w:val="80"/>
          <w:sz w:val="24"/>
        </w:rPr>
        <w:t> </w:t>
      </w:r>
      <w:r>
        <w:rPr>
          <w:sz w:val="24"/>
        </w:rPr>
        <w:t>LOS,</w:t>
      </w:r>
      <w:r>
        <w:rPr>
          <w:spacing w:val="80"/>
          <w:sz w:val="24"/>
        </w:rPr>
        <w:t> </w:t>
      </w:r>
      <w:r>
        <w:rPr>
          <w:sz w:val="24"/>
        </w:rPr>
        <w:t>in</w:t>
      </w:r>
      <w:r>
        <w:rPr>
          <w:spacing w:val="80"/>
          <w:sz w:val="24"/>
        </w:rPr>
        <w:t> </w:t>
      </w:r>
      <w:r>
        <w:rPr>
          <w:sz w:val="24"/>
        </w:rPr>
        <w:t>the</w:t>
      </w:r>
      <w:r>
        <w:rPr>
          <w:spacing w:val="80"/>
          <w:sz w:val="24"/>
        </w:rPr>
        <w:t> </w:t>
      </w:r>
      <w:r>
        <w:rPr>
          <w:sz w:val="24"/>
        </w:rPr>
        <w:t>layout</w:t>
      </w:r>
      <w:r>
        <w:rPr>
          <w:spacing w:val="80"/>
          <w:sz w:val="24"/>
        </w:rPr>
        <w:t> </w:t>
      </w:r>
      <w:r>
        <w:rPr>
          <w:sz w:val="24"/>
        </w:rPr>
        <w:t>or</w:t>
      </w:r>
      <w:r>
        <w:rPr>
          <w:spacing w:val="80"/>
          <w:sz w:val="24"/>
        </w:rPr>
        <w:t> </w:t>
      </w:r>
      <w:r>
        <w:rPr>
          <w:spacing w:val="10"/>
          <w:sz w:val="24"/>
        </w:rPr>
        <w:t>sub-</w:t>
      </w:r>
      <w:r>
        <w:rPr>
          <w:sz w:val="24"/>
        </w:rPr>
        <w:t>division/amalgamation/plot</w:t>
      </w:r>
      <w:r>
        <w:rPr>
          <w:spacing w:val="80"/>
          <w:sz w:val="24"/>
        </w:rPr>
        <w:t> </w:t>
      </w:r>
      <w:r>
        <w:rPr>
          <w:sz w:val="24"/>
        </w:rPr>
        <w:t>of the land.</w:t>
      </w:r>
    </w:p>
    <w:p>
      <w:pPr>
        <w:pStyle w:val="ListParagraph"/>
        <w:numPr>
          <w:ilvl w:val="3"/>
          <w:numId w:val="105"/>
        </w:numPr>
        <w:tabs>
          <w:tab w:pos="1930" w:val="left" w:leader="none"/>
          <w:tab w:pos="2211" w:val="left" w:leader="none"/>
        </w:tabs>
        <w:spacing w:line="240" w:lineRule="auto" w:before="121" w:after="0"/>
        <w:ind w:left="1930" w:right="782" w:hanging="58"/>
        <w:jc w:val="both"/>
        <w:rPr>
          <w:sz w:val="24"/>
        </w:rPr>
      </w:pPr>
      <w:r>
        <w:rPr>
          <w:sz w:val="24"/>
        </w:rPr>
        <w:t>The</w:t>
      </w:r>
      <w:r>
        <w:rPr>
          <w:spacing w:val="73"/>
          <w:sz w:val="24"/>
        </w:rPr>
        <w:t> </w:t>
      </w:r>
      <w:r>
        <w:rPr>
          <w:sz w:val="24"/>
        </w:rPr>
        <w:t>proposal</w:t>
      </w:r>
      <w:r>
        <w:rPr>
          <w:spacing w:val="73"/>
          <w:sz w:val="24"/>
        </w:rPr>
        <w:t> </w:t>
      </w:r>
      <w:r>
        <w:rPr>
          <w:sz w:val="24"/>
        </w:rPr>
        <w:t>for</w:t>
      </w:r>
      <w:r>
        <w:rPr>
          <w:spacing w:val="73"/>
          <w:sz w:val="24"/>
        </w:rPr>
        <w:t> </w:t>
      </w:r>
      <w:r>
        <w:rPr>
          <w:sz w:val="24"/>
        </w:rPr>
        <w:t>construction</w:t>
      </w:r>
      <w:r>
        <w:rPr>
          <w:spacing w:val="76"/>
          <w:sz w:val="24"/>
        </w:rPr>
        <w:t> </w:t>
      </w:r>
      <w:r>
        <w:rPr>
          <w:sz w:val="24"/>
        </w:rPr>
        <w:t>of</w:t>
      </w:r>
      <w:r>
        <w:rPr>
          <w:spacing w:val="76"/>
          <w:sz w:val="24"/>
        </w:rPr>
        <w:t> </w:t>
      </w:r>
      <w:r>
        <w:rPr>
          <w:sz w:val="24"/>
        </w:rPr>
        <w:t>such</w:t>
      </w:r>
      <w:r>
        <w:rPr>
          <w:spacing w:val="73"/>
          <w:sz w:val="24"/>
        </w:rPr>
        <w:t> </w:t>
      </w:r>
      <w:r>
        <w:rPr>
          <w:sz w:val="24"/>
        </w:rPr>
        <w:t>structure</w:t>
      </w:r>
      <w:r>
        <w:rPr>
          <w:spacing w:val="76"/>
          <w:sz w:val="24"/>
        </w:rPr>
        <w:t> </w:t>
      </w:r>
      <w:r>
        <w:rPr>
          <w:sz w:val="24"/>
        </w:rPr>
        <w:t>should</w:t>
      </w:r>
      <w:r>
        <w:rPr>
          <w:spacing w:val="76"/>
          <w:sz w:val="24"/>
        </w:rPr>
        <w:t> </w:t>
      </w:r>
      <w:r>
        <w:rPr>
          <w:sz w:val="24"/>
        </w:rPr>
        <w:t>come</w:t>
      </w:r>
      <w:r>
        <w:rPr>
          <w:spacing w:val="76"/>
          <w:sz w:val="24"/>
        </w:rPr>
        <w:t> </w:t>
      </w:r>
      <w:r>
        <w:rPr>
          <w:sz w:val="24"/>
        </w:rPr>
        <w:t>as a</w:t>
      </w:r>
      <w:r>
        <w:rPr>
          <w:spacing w:val="40"/>
          <w:sz w:val="24"/>
        </w:rPr>
        <w:t> </w:t>
      </w:r>
      <w:r>
        <w:rPr>
          <w:sz w:val="24"/>
        </w:rPr>
        <w:t>proposal</w:t>
      </w:r>
      <w:r>
        <w:rPr>
          <w:spacing w:val="40"/>
          <w:sz w:val="24"/>
        </w:rPr>
        <w:t> </w:t>
      </w:r>
      <w:r>
        <w:rPr>
          <w:sz w:val="24"/>
        </w:rPr>
        <w:t>from</w:t>
      </w:r>
      <w:r>
        <w:rPr>
          <w:spacing w:val="40"/>
          <w:sz w:val="24"/>
        </w:rPr>
        <w:t> </w:t>
      </w:r>
      <w:r>
        <w:rPr>
          <w:sz w:val="24"/>
        </w:rPr>
        <w:t>the</w:t>
      </w:r>
      <w:r>
        <w:rPr>
          <w:spacing w:val="40"/>
          <w:sz w:val="24"/>
        </w:rPr>
        <w:t> </w:t>
      </w:r>
      <w:r>
        <w:rPr>
          <w:spacing w:val="9"/>
          <w:sz w:val="24"/>
        </w:rPr>
        <w:t>owner/owners/society/societies</w:t>
      </w:r>
      <w:r>
        <w:rPr>
          <w:spacing w:val="40"/>
          <w:sz w:val="24"/>
        </w:rPr>
        <w:t> </w:t>
      </w:r>
      <w:r>
        <w:rPr>
          <w:sz w:val="24"/>
        </w:rPr>
        <w:t>or</w:t>
      </w:r>
      <w:r>
        <w:rPr>
          <w:spacing w:val="40"/>
          <w:sz w:val="24"/>
        </w:rPr>
        <w:t> </w:t>
      </w:r>
      <w:r>
        <w:rPr>
          <w:sz w:val="24"/>
        </w:rPr>
        <w:t>federation</w:t>
      </w:r>
      <w:r>
        <w:rPr>
          <w:spacing w:val="40"/>
          <w:sz w:val="24"/>
        </w:rPr>
        <w:t> </w:t>
      </w:r>
      <w:r>
        <w:rPr>
          <w:sz w:val="24"/>
        </w:rPr>
        <w:t>of societies shall be meant for the beneficial use of the owner/owners/members of such society/societies/federation of </w:t>
      </w:r>
      <w:r>
        <w:rPr>
          <w:spacing w:val="7"/>
          <w:sz w:val="24"/>
        </w:rPr>
        <w:t>societies.</w:t>
      </w:r>
    </w:p>
    <w:p>
      <w:pPr>
        <w:pStyle w:val="ListParagraph"/>
        <w:numPr>
          <w:ilvl w:val="3"/>
          <w:numId w:val="105"/>
        </w:numPr>
        <w:tabs>
          <w:tab w:pos="1930" w:val="left" w:leader="none"/>
          <w:tab w:pos="2211" w:val="left" w:leader="none"/>
        </w:tabs>
        <w:spacing w:line="240" w:lineRule="auto" w:before="120" w:after="0"/>
        <w:ind w:left="1930" w:right="797" w:hanging="58"/>
        <w:jc w:val="both"/>
        <w:rPr>
          <w:sz w:val="24"/>
        </w:rPr>
      </w:pPr>
      <w:r>
        <w:rPr>
          <w:sz w:val="24"/>
        </w:rPr>
        <w:t>Such</w:t>
      </w:r>
      <w:r>
        <w:rPr>
          <w:spacing w:val="40"/>
          <w:sz w:val="24"/>
        </w:rPr>
        <w:t> </w:t>
      </w:r>
      <w:r>
        <w:rPr>
          <w:sz w:val="24"/>
        </w:rPr>
        <w:t>structures</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used</w:t>
      </w:r>
      <w:r>
        <w:rPr>
          <w:spacing w:val="40"/>
          <w:sz w:val="24"/>
        </w:rPr>
        <w:t> </w:t>
      </w:r>
      <w:r>
        <w:rPr>
          <w:sz w:val="24"/>
        </w:rPr>
        <w:t>for</w:t>
      </w:r>
      <w:r>
        <w:rPr>
          <w:spacing w:val="40"/>
          <w:sz w:val="24"/>
        </w:rPr>
        <w:t> </w:t>
      </w:r>
      <w:r>
        <w:rPr>
          <w:sz w:val="24"/>
        </w:rPr>
        <w:t>any</w:t>
      </w:r>
      <w:r>
        <w:rPr>
          <w:spacing w:val="40"/>
          <w:sz w:val="24"/>
        </w:rPr>
        <w:t> </w:t>
      </w:r>
      <w:r>
        <w:rPr>
          <w:sz w:val="24"/>
        </w:rPr>
        <w:t>other</w:t>
      </w:r>
      <w:r>
        <w:rPr>
          <w:spacing w:val="40"/>
          <w:sz w:val="24"/>
        </w:rPr>
        <w:t> </w:t>
      </w:r>
      <w:r>
        <w:rPr>
          <w:sz w:val="24"/>
        </w:rPr>
        <w:t>purpose,</w:t>
      </w:r>
      <w:r>
        <w:rPr>
          <w:spacing w:val="40"/>
          <w:sz w:val="24"/>
        </w:rPr>
        <w:t> </w:t>
      </w:r>
      <w:r>
        <w:rPr>
          <w:sz w:val="24"/>
        </w:rPr>
        <w:t>except for recreational </w:t>
      </w:r>
      <w:r>
        <w:rPr>
          <w:spacing w:val="9"/>
          <w:sz w:val="24"/>
        </w:rPr>
        <w:t>activities.</w:t>
      </w:r>
    </w:p>
    <w:p>
      <w:pPr>
        <w:pStyle w:val="ListParagraph"/>
        <w:numPr>
          <w:ilvl w:val="3"/>
          <w:numId w:val="105"/>
        </w:numPr>
        <w:tabs>
          <w:tab w:pos="1930" w:val="left" w:leader="none"/>
          <w:tab w:pos="2211" w:val="left" w:leader="none"/>
        </w:tabs>
        <w:spacing w:line="240" w:lineRule="auto" w:before="238" w:after="0"/>
        <w:ind w:left="1930" w:right="788" w:hanging="58"/>
        <w:jc w:val="both"/>
        <w:rPr>
          <w:sz w:val="24"/>
        </w:rPr>
      </w:pPr>
      <w:r>
        <w:rPr>
          <w:sz w:val="24"/>
        </w:rPr>
        <w:t>The remaining area of the LOS shall be kept open to sky and accessible</w:t>
      </w:r>
      <w:r>
        <w:rPr>
          <w:spacing w:val="40"/>
          <w:sz w:val="24"/>
        </w:rPr>
        <w:t> </w:t>
      </w:r>
      <w:r>
        <w:rPr>
          <w:sz w:val="24"/>
        </w:rPr>
        <w:t>to</w:t>
      </w:r>
      <w:r>
        <w:rPr>
          <w:spacing w:val="40"/>
          <w:sz w:val="24"/>
        </w:rPr>
        <w:t> </w:t>
      </w:r>
      <w:r>
        <w:rPr>
          <w:sz w:val="24"/>
        </w:rPr>
        <w:t>all</w:t>
      </w:r>
      <w:r>
        <w:rPr>
          <w:spacing w:val="40"/>
          <w:sz w:val="24"/>
        </w:rPr>
        <w:t> </w:t>
      </w:r>
      <w:r>
        <w:rPr>
          <w:sz w:val="24"/>
        </w:rPr>
        <w:t>members</w:t>
      </w:r>
      <w:r>
        <w:rPr>
          <w:spacing w:val="40"/>
          <w:sz w:val="24"/>
        </w:rPr>
        <w:t> </w:t>
      </w:r>
      <w:r>
        <w:rPr>
          <w:sz w:val="24"/>
        </w:rPr>
        <w:t>as</w:t>
      </w:r>
      <w:r>
        <w:rPr>
          <w:spacing w:val="40"/>
          <w:sz w:val="24"/>
        </w:rPr>
        <w:t> </w:t>
      </w:r>
      <w:r>
        <w:rPr>
          <w:sz w:val="24"/>
        </w:rPr>
        <w:t>a</w:t>
      </w:r>
      <w:r>
        <w:rPr>
          <w:spacing w:val="40"/>
          <w:sz w:val="24"/>
        </w:rPr>
        <w:t> </w:t>
      </w:r>
      <w:r>
        <w:rPr>
          <w:sz w:val="24"/>
        </w:rPr>
        <w:t>place</w:t>
      </w:r>
      <w:r>
        <w:rPr>
          <w:spacing w:val="40"/>
          <w:sz w:val="24"/>
        </w:rPr>
        <w:t> </w:t>
      </w:r>
      <w:r>
        <w:rPr>
          <w:sz w:val="24"/>
        </w:rPr>
        <w:t>of</w:t>
      </w:r>
      <w:r>
        <w:rPr>
          <w:spacing w:val="40"/>
          <w:sz w:val="24"/>
        </w:rPr>
        <w:t> </w:t>
      </w:r>
      <w:r>
        <w:rPr>
          <w:sz w:val="24"/>
        </w:rPr>
        <w:t>recreation.</w:t>
      </w:r>
    </w:p>
    <w:p>
      <w:pPr>
        <w:pStyle w:val="ListParagraph"/>
        <w:numPr>
          <w:ilvl w:val="3"/>
          <w:numId w:val="105"/>
        </w:numPr>
        <w:tabs>
          <w:tab w:pos="1930" w:val="left" w:leader="none"/>
          <w:tab w:pos="2211" w:val="left" w:leader="none"/>
        </w:tabs>
        <w:spacing w:line="240" w:lineRule="auto" w:before="241" w:after="0"/>
        <w:ind w:left="1930" w:right="785" w:hanging="58"/>
        <w:jc w:val="both"/>
        <w:rPr>
          <w:sz w:val="24"/>
        </w:rPr>
      </w:pPr>
      <w:r>
        <w:rPr>
          <w:sz w:val="24"/>
        </w:rPr>
        <w:t>The owner/owners/or society or societies or federation of the</w:t>
      </w:r>
      <w:r>
        <w:rPr>
          <w:spacing w:val="40"/>
          <w:sz w:val="24"/>
        </w:rPr>
        <w:t> </w:t>
      </w:r>
      <w:r>
        <w:rPr>
          <w:sz w:val="24"/>
        </w:rPr>
        <w:t>societies</w:t>
      </w:r>
      <w:r>
        <w:rPr>
          <w:spacing w:val="80"/>
          <w:sz w:val="24"/>
        </w:rPr>
        <w:t> </w:t>
      </w:r>
      <w:r>
        <w:rPr>
          <w:sz w:val="24"/>
        </w:rPr>
        <w:t>shall</w:t>
      </w:r>
      <w:r>
        <w:rPr>
          <w:spacing w:val="80"/>
          <w:sz w:val="24"/>
        </w:rPr>
        <w:t> </w:t>
      </w:r>
      <w:r>
        <w:rPr>
          <w:sz w:val="24"/>
        </w:rPr>
        <w:t>submit</w:t>
      </w:r>
      <w:r>
        <w:rPr>
          <w:spacing w:val="80"/>
          <w:sz w:val="24"/>
        </w:rPr>
        <w:t> </w:t>
      </w:r>
      <w:r>
        <w:rPr>
          <w:sz w:val="24"/>
        </w:rPr>
        <w:t>to</w:t>
      </w:r>
      <w:r>
        <w:rPr>
          <w:spacing w:val="80"/>
          <w:sz w:val="24"/>
        </w:rPr>
        <w:t> </w:t>
      </w:r>
      <w:r>
        <w:rPr>
          <w:sz w:val="24"/>
        </w:rPr>
        <w:t>the</w:t>
      </w:r>
      <w:r>
        <w:rPr>
          <w:spacing w:val="80"/>
          <w:sz w:val="24"/>
        </w:rPr>
        <w:t> </w:t>
      </w:r>
      <w:r>
        <w:rPr>
          <w:sz w:val="24"/>
        </w:rPr>
        <w:t>Commissioner</w:t>
      </w:r>
      <w:r>
        <w:rPr>
          <w:spacing w:val="80"/>
          <w:sz w:val="24"/>
        </w:rPr>
        <w:t> </w:t>
      </w:r>
      <w:r>
        <w:rPr>
          <w:sz w:val="24"/>
        </w:rPr>
        <w:t>a</w:t>
      </w:r>
      <w:r>
        <w:rPr>
          <w:spacing w:val="80"/>
          <w:sz w:val="24"/>
        </w:rPr>
        <w:t> </w:t>
      </w:r>
      <w:r>
        <w:rPr>
          <w:sz w:val="24"/>
        </w:rPr>
        <w:t>registered undertaking</w:t>
      </w:r>
      <w:r>
        <w:rPr>
          <w:spacing w:val="40"/>
          <w:sz w:val="24"/>
        </w:rPr>
        <w:t> </w:t>
      </w:r>
      <w:r>
        <w:rPr>
          <w:sz w:val="24"/>
        </w:rPr>
        <w:t>agreeing</w:t>
      </w:r>
      <w:r>
        <w:rPr>
          <w:spacing w:val="40"/>
          <w:sz w:val="24"/>
        </w:rPr>
        <w:t> </w:t>
      </w:r>
      <w:r>
        <w:rPr>
          <w:sz w:val="24"/>
        </w:rPr>
        <w:t>to</w:t>
      </w:r>
      <w:r>
        <w:rPr>
          <w:spacing w:val="40"/>
          <w:sz w:val="24"/>
        </w:rPr>
        <w:t> </w:t>
      </w:r>
      <w:r>
        <w:rPr>
          <w:sz w:val="24"/>
        </w:rPr>
        <w:t>the</w:t>
      </w:r>
      <w:r>
        <w:rPr>
          <w:spacing w:val="40"/>
          <w:sz w:val="24"/>
        </w:rPr>
        <w:t> </w:t>
      </w:r>
      <w:r>
        <w:rPr>
          <w:sz w:val="24"/>
        </w:rPr>
        <w:t>conditions</w:t>
      </w:r>
      <w:r>
        <w:rPr>
          <w:spacing w:val="40"/>
          <w:sz w:val="24"/>
        </w:rPr>
        <w:t> </w:t>
      </w:r>
      <w:r>
        <w:rPr>
          <w:sz w:val="24"/>
        </w:rPr>
        <w:t>in</w:t>
      </w:r>
      <w:r>
        <w:rPr>
          <w:spacing w:val="40"/>
          <w:sz w:val="24"/>
        </w:rPr>
        <w:t> </w:t>
      </w:r>
      <w:r>
        <w:rPr>
          <w:sz w:val="24"/>
        </w:rPr>
        <w:t>(a)</w:t>
      </w:r>
      <w:r>
        <w:rPr>
          <w:spacing w:val="80"/>
          <w:sz w:val="24"/>
        </w:rPr>
        <w:t> </w:t>
      </w:r>
      <w:r>
        <w:rPr>
          <w:sz w:val="24"/>
        </w:rPr>
        <w:t>to</w:t>
      </w:r>
      <w:r>
        <w:rPr>
          <w:spacing w:val="40"/>
          <w:sz w:val="24"/>
        </w:rPr>
        <w:t> </w:t>
      </w:r>
      <w:r>
        <w:rPr>
          <w:sz w:val="24"/>
        </w:rPr>
        <w:t>(d)</w:t>
      </w:r>
      <w:r>
        <w:rPr>
          <w:spacing w:val="80"/>
          <w:sz w:val="24"/>
        </w:rPr>
        <w:t> </w:t>
      </w:r>
      <w:r>
        <w:rPr>
          <w:sz w:val="24"/>
        </w:rPr>
        <w:t>above.</w:t>
      </w:r>
    </w:p>
    <w:p>
      <w:pPr>
        <w:pStyle w:val="ListParagraph"/>
        <w:numPr>
          <w:ilvl w:val="3"/>
          <w:numId w:val="105"/>
        </w:numPr>
        <w:tabs>
          <w:tab w:pos="1930" w:val="left" w:leader="none"/>
          <w:tab w:pos="2211" w:val="left" w:leader="none"/>
        </w:tabs>
        <w:spacing w:line="240" w:lineRule="auto" w:before="240" w:after="0"/>
        <w:ind w:left="1930" w:right="779" w:hanging="58"/>
        <w:jc w:val="both"/>
        <w:rPr>
          <w:sz w:val="24"/>
        </w:rPr>
      </w:pPr>
      <w:r>
        <w:rPr>
          <w:sz w:val="24"/>
        </w:rPr>
        <w:t>LOS</w:t>
      </w:r>
      <w:r>
        <w:rPr>
          <w:spacing w:val="40"/>
          <w:sz w:val="24"/>
        </w:rPr>
        <w:t> </w:t>
      </w:r>
      <w:r>
        <w:rPr>
          <w:sz w:val="24"/>
        </w:rPr>
        <w:t>in</w:t>
      </w:r>
      <w:r>
        <w:rPr>
          <w:spacing w:val="40"/>
          <w:sz w:val="24"/>
        </w:rPr>
        <w:t> </w:t>
      </w:r>
      <w:r>
        <w:rPr>
          <w:sz w:val="24"/>
        </w:rPr>
        <w:t>a</w:t>
      </w:r>
      <w:r>
        <w:rPr>
          <w:spacing w:val="40"/>
          <w:sz w:val="24"/>
        </w:rPr>
        <w:t> </w:t>
      </w:r>
      <w:r>
        <w:rPr>
          <w:sz w:val="24"/>
        </w:rPr>
        <w:t>private</w:t>
      </w:r>
      <w:r>
        <w:rPr>
          <w:spacing w:val="40"/>
          <w:sz w:val="24"/>
        </w:rPr>
        <w:t> </w:t>
      </w:r>
      <w:r>
        <w:rPr>
          <w:sz w:val="24"/>
        </w:rPr>
        <w:t>layout</w:t>
      </w:r>
      <w:r>
        <w:rPr>
          <w:spacing w:val="40"/>
          <w:sz w:val="24"/>
        </w:rPr>
        <w:t> </w:t>
      </w:r>
      <w:r>
        <w:rPr>
          <w:sz w:val="24"/>
        </w:rPr>
        <w:t>shall</w:t>
      </w:r>
      <w:r>
        <w:rPr>
          <w:spacing w:val="40"/>
          <w:sz w:val="24"/>
        </w:rPr>
        <w:t> </w:t>
      </w:r>
      <w:r>
        <w:rPr>
          <w:sz w:val="24"/>
        </w:rPr>
        <w:t>be</w:t>
      </w:r>
      <w:r>
        <w:rPr>
          <w:spacing w:val="40"/>
          <w:sz w:val="24"/>
        </w:rPr>
        <w:t> </w:t>
      </w:r>
      <w:r>
        <w:rPr>
          <w:sz w:val="24"/>
        </w:rPr>
        <w:t>for</w:t>
      </w:r>
      <w:r>
        <w:rPr>
          <w:spacing w:val="40"/>
          <w:sz w:val="24"/>
        </w:rPr>
        <w:t> </w:t>
      </w:r>
      <w:r>
        <w:rPr>
          <w:sz w:val="24"/>
        </w:rPr>
        <w:t>the</w:t>
      </w:r>
      <w:r>
        <w:rPr>
          <w:spacing w:val="40"/>
          <w:sz w:val="24"/>
        </w:rPr>
        <w:t> </w:t>
      </w:r>
      <w:r>
        <w:rPr>
          <w:sz w:val="24"/>
        </w:rPr>
        <w:t>exclusive</w:t>
      </w:r>
      <w:r>
        <w:rPr>
          <w:spacing w:val="40"/>
          <w:sz w:val="24"/>
        </w:rPr>
        <w:t> </w:t>
      </w:r>
      <w:r>
        <w:rPr>
          <w:sz w:val="24"/>
        </w:rPr>
        <w:t>use</w:t>
      </w:r>
      <w:r>
        <w:rPr>
          <w:spacing w:val="40"/>
          <w:sz w:val="24"/>
        </w:rPr>
        <w:t> </w:t>
      </w:r>
      <w:r>
        <w:rPr>
          <w:sz w:val="24"/>
        </w:rPr>
        <w:t>of</w:t>
      </w:r>
      <w:r>
        <w:rPr>
          <w:spacing w:val="40"/>
          <w:sz w:val="24"/>
        </w:rPr>
        <w:t> </w:t>
      </w:r>
      <w:r>
        <w:rPr>
          <w:sz w:val="24"/>
        </w:rPr>
        <w:t>the residents of such private layout only and shall not be subjected to acquisition by MCGM/Appropriate Authority. Further in such cases area</w:t>
      </w:r>
      <w:r>
        <w:rPr>
          <w:spacing w:val="40"/>
          <w:sz w:val="24"/>
        </w:rPr>
        <w:t> </w:t>
      </w:r>
      <w:r>
        <w:rPr>
          <w:sz w:val="24"/>
        </w:rPr>
        <w:t>of</w:t>
      </w:r>
      <w:r>
        <w:rPr>
          <w:spacing w:val="40"/>
          <w:sz w:val="24"/>
        </w:rPr>
        <w:t> </w:t>
      </w:r>
      <w:r>
        <w:rPr>
          <w:sz w:val="24"/>
        </w:rPr>
        <w:t>existing</w:t>
      </w:r>
      <w:r>
        <w:rPr>
          <w:spacing w:val="40"/>
          <w:sz w:val="24"/>
        </w:rPr>
        <w:t> </w:t>
      </w:r>
      <w:r>
        <w:rPr>
          <w:sz w:val="24"/>
        </w:rPr>
        <w:t>Recreational</w:t>
      </w:r>
      <w:r>
        <w:rPr>
          <w:spacing w:val="40"/>
          <w:sz w:val="24"/>
        </w:rPr>
        <w:t> </w:t>
      </w:r>
      <w:r>
        <w:rPr>
          <w:sz w:val="24"/>
        </w:rPr>
        <w:t>Open</w:t>
      </w:r>
      <w:r>
        <w:rPr>
          <w:spacing w:val="40"/>
          <w:sz w:val="24"/>
        </w:rPr>
        <w:t> </w:t>
      </w:r>
      <w:r>
        <w:rPr>
          <w:sz w:val="24"/>
        </w:rPr>
        <w:t>Space</w:t>
      </w:r>
      <w:r>
        <w:rPr>
          <w:spacing w:val="40"/>
          <w:sz w:val="24"/>
        </w:rPr>
        <w:t> </w:t>
      </w:r>
      <w:r>
        <w:rPr>
          <w:sz w:val="24"/>
        </w:rPr>
        <w:t>shall</w:t>
      </w:r>
      <w:r>
        <w:rPr>
          <w:spacing w:val="40"/>
          <w:sz w:val="24"/>
        </w:rPr>
        <w:t> </w:t>
      </w:r>
      <w:r>
        <w:rPr>
          <w:sz w:val="24"/>
        </w:rPr>
        <w:t>have</w:t>
      </w:r>
      <w:r>
        <w:rPr>
          <w:spacing w:val="40"/>
          <w:sz w:val="24"/>
        </w:rPr>
        <w:t> </w:t>
      </w:r>
      <w:r>
        <w:rPr>
          <w:sz w:val="24"/>
        </w:rPr>
        <w:t>to</w:t>
      </w:r>
      <w:r>
        <w:rPr>
          <w:spacing w:val="40"/>
          <w:sz w:val="24"/>
        </w:rPr>
        <w:t> </w:t>
      </w:r>
      <w:r>
        <w:rPr>
          <w:sz w:val="24"/>
        </w:rPr>
        <w:t>be</w:t>
      </w:r>
      <w:r>
        <w:rPr>
          <w:spacing w:val="80"/>
          <w:sz w:val="24"/>
        </w:rPr>
        <w:t> </w:t>
      </w:r>
      <w:r>
        <w:rPr>
          <w:sz w:val="24"/>
        </w:rPr>
        <w:t>maintained</w:t>
      </w:r>
      <w:r>
        <w:rPr>
          <w:spacing w:val="40"/>
          <w:sz w:val="24"/>
        </w:rPr>
        <w:t> </w:t>
      </w:r>
      <w:r>
        <w:rPr>
          <w:sz w:val="24"/>
        </w:rPr>
        <w:t>by</w:t>
      </w:r>
      <w:r>
        <w:rPr>
          <w:spacing w:val="80"/>
          <w:sz w:val="24"/>
        </w:rPr>
        <w:t> </w:t>
      </w:r>
      <w:r>
        <w:rPr>
          <w:sz w:val="24"/>
        </w:rPr>
        <w:t>residents</w:t>
      </w:r>
      <w:r>
        <w:rPr>
          <w:spacing w:val="40"/>
          <w:sz w:val="24"/>
        </w:rPr>
        <w:t> </w:t>
      </w:r>
      <w:r>
        <w:rPr>
          <w:sz w:val="24"/>
        </w:rPr>
        <w:t>of</w:t>
      </w:r>
      <w:r>
        <w:rPr>
          <w:spacing w:val="80"/>
          <w:sz w:val="24"/>
        </w:rPr>
        <w:t> </w:t>
      </w:r>
      <w:r>
        <w:rPr>
          <w:sz w:val="24"/>
        </w:rPr>
        <w:t>such</w:t>
      </w:r>
      <w:r>
        <w:rPr>
          <w:spacing w:val="80"/>
          <w:sz w:val="24"/>
        </w:rPr>
        <w:t> </w:t>
      </w:r>
      <w:r>
        <w:rPr>
          <w:sz w:val="24"/>
        </w:rPr>
        <w:t>private</w:t>
      </w:r>
      <w:r>
        <w:rPr>
          <w:spacing w:val="40"/>
          <w:sz w:val="24"/>
        </w:rPr>
        <w:t> </w:t>
      </w:r>
      <w:r>
        <w:rPr>
          <w:sz w:val="24"/>
        </w:rPr>
        <w:t>layout.</w:t>
      </w:r>
    </w:p>
    <w:p>
      <w:pPr>
        <w:pStyle w:val="ListParagraph"/>
        <w:spacing w:after="0" w:line="240" w:lineRule="auto"/>
        <w:jc w:val="both"/>
        <w:rPr>
          <w:sz w:val="24"/>
        </w:rPr>
        <w:sectPr>
          <w:pgSz w:w="11910" w:h="16840"/>
          <w:pgMar w:header="1058" w:footer="1194" w:top="1500" w:bottom="1380" w:left="360" w:right="360"/>
        </w:sectPr>
      </w:pPr>
    </w:p>
    <w:p>
      <w:pPr>
        <w:pStyle w:val="BodyText"/>
        <w:spacing w:before="10"/>
        <w:jc w:val="left"/>
        <w:rPr>
          <w:sz w:val="21"/>
        </w:rPr>
      </w:pPr>
    </w:p>
    <w:p>
      <w:pPr>
        <w:pStyle w:val="ListParagraph"/>
        <w:numPr>
          <w:ilvl w:val="1"/>
          <w:numId w:val="105"/>
        </w:numPr>
        <w:tabs>
          <w:tab w:pos="1887" w:val="left" w:leader="none"/>
        </w:tabs>
        <w:spacing w:line="360" w:lineRule="auto" w:before="0" w:after="0"/>
        <w:ind w:left="1493" w:right="769" w:firstLine="62"/>
        <w:jc w:val="both"/>
        <w:rPr>
          <w:i/>
          <w:sz w:val="21"/>
        </w:rPr>
      </w:pPr>
      <w:r>
        <w:rPr>
          <w:i/>
          <w:sz w:val="21"/>
        </w:rPr>
        <w:t>Structures/Uses permitted in recreational open spaces“Construction of Solid Waste Management</w:t>
      </w:r>
      <w:r>
        <w:rPr>
          <w:i/>
          <w:spacing w:val="-16"/>
          <w:sz w:val="21"/>
        </w:rPr>
        <w:t> </w:t>
      </w:r>
      <w:r>
        <w:rPr>
          <w:i/>
          <w:sz w:val="21"/>
        </w:rPr>
        <w:t>System</w:t>
      </w:r>
      <w:r>
        <w:rPr>
          <w:i/>
          <w:spacing w:val="-16"/>
          <w:sz w:val="21"/>
        </w:rPr>
        <w:t> </w:t>
      </w:r>
      <w:r>
        <w:rPr>
          <w:i/>
          <w:sz w:val="21"/>
        </w:rPr>
        <w:t>as</w:t>
      </w:r>
      <w:r>
        <w:rPr>
          <w:i/>
          <w:spacing w:val="-15"/>
          <w:sz w:val="21"/>
        </w:rPr>
        <w:t> </w:t>
      </w:r>
      <w:r>
        <w:rPr>
          <w:i/>
          <w:sz w:val="21"/>
        </w:rPr>
        <w:t>per</w:t>
      </w:r>
      <w:r>
        <w:rPr>
          <w:i/>
          <w:spacing w:val="-16"/>
          <w:sz w:val="21"/>
        </w:rPr>
        <w:t> </w:t>
      </w:r>
      <w:r>
        <w:rPr>
          <w:i/>
          <w:sz w:val="21"/>
        </w:rPr>
        <w:t>the</w:t>
      </w:r>
      <w:r>
        <w:rPr>
          <w:i/>
          <w:spacing w:val="-13"/>
          <w:sz w:val="21"/>
        </w:rPr>
        <w:t> </w:t>
      </w:r>
      <w:r>
        <w:rPr>
          <w:i/>
          <w:sz w:val="21"/>
        </w:rPr>
        <w:t>National</w:t>
      </w:r>
      <w:r>
        <w:rPr>
          <w:i/>
          <w:spacing w:val="-12"/>
          <w:sz w:val="21"/>
        </w:rPr>
        <w:t> </w:t>
      </w:r>
      <w:r>
        <w:rPr>
          <w:i/>
          <w:sz w:val="21"/>
        </w:rPr>
        <w:t>Building</w:t>
      </w:r>
      <w:r>
        <w:rPr>
          <w:i/>
          <w:spacing w:val="-16"/>
          <w:sz w:val="21"/>
        </w:rPr>
        <w:t> </w:t>
      </w:r>
      <w:r>
        <w:rPr>
          <w:i/>
          <w:sz w:val="21"/>
        </w:rPr>
        <w:t>Code</w:t>
      </w:r>
      <w:r>
        <w:rPr>
          <w:i/>
          <w:spacing w:val="-16"/>
          <w:sz w:val="21"/>
        </w:rPr>
        <w:t> </w:t>
      </w:r>
      <w:r>
        <w:rPr>
          <w:i/>
          <w:sz w:val="21"/>
        </w:rPr>
        <w:t>of</w:t>
      </w:r>
      <w:r>
        <w:rPr>
          <w:i/>
          <w:spacing w:val="-13"/>
          <w:sz w:val="21"/>
        </w:rPr>
        <w:t> </w:t>
      </w:r>
      <w:r>
        <w:rPr>
          <w:i/>
          <w:sz w:val="21"/>
        </w:rPr>
        <w:t>India,</w:t>
      </w:r>
      <w:r>
        <w:rPr>
          <w:i/>
          <w:spacing w:val="-16"/>
          <w:sz w:val="21"/>
        </w:rPr>
        <w:t> </w:t>
      </w:r>
      <w:r>
        <w:rPr>
          <w:i/>
          <w:sz w:val="21"/>
        </w:rPr>
        <w:t>Part</w:t>
      </w:r>
      <w:r>
        <w:rPr>
          <w:i/>
          <w:spacing w:val="-16"/>
          <w:sz w:val="21"/>
        </w:rPr>
        <w:t> </w:t>
      </w:r>
      <w:r>
        <w:rPr>
          <w:i/>
          <w:sz w:val="21"/>
        </w:rPr>
        <w:t>9</w:t>
      </w:r>
      <w:r>
        <w:rPr>
          <w:i/>
          <w:spacing w:val="-14"/>
          <w:sz w:val="21"/>
        </w:rPr>
        <w:t> </w:t>
      </w:r>
      <w:r>
        <w:rPr>
          <w:i/>
          <w:sz w:val="21"/>
        </w:rPr>
        <w:t>Plumbing</w:t>
      </w:r>
      <w:r>
        <w:rPr>
          <w:i/>
          <w:spacing w:val="-16"/>
          <w:sz w:val="21"/>
        </w:rPr>
        <w:t> </w:t>
      </w:r>
      <w:r>
        <w:rPr>
          <w:i/>
          <w:sz w:val="21"/>
        </w:rPr>
        <w:t>Services, Section 1-Water Supply, Drainage &amp; Sanitation (including Solid Waste Management) paragraph 6 /bio degradable waste treatment plant, in the layout LOS , having</w:t>
      </w:r>
      <w:r>
        <w:rPr>
          <w:i/>
          <w:spacing w:val="40"/>
          <w:sz w:val="21"/>
        </w:rPr>
        <w:t> </w:t>
      </w:r>
      <w:r>
        <w:rPr>
          <w:i/>
          <w:sz w:val="21"/>
        </w:rPr>
        <w:t>area 2000 Sq.mt. &amp; above within 10% of the</w:t>
      </w:r>
      <w:r>
        <w:rPr>
          <w:i/>
          <w:spacing w:val="40"/>
          <w:sz w:val="21"/>
        </w:rPr>
        <w:t> </w:t>
      </w:r>
      <w:r>
        <w:rPr>
          <w:i/>
          <w:sz w:val="21"/>
        </w:rPr>
        <w:t>LOS area.”</w:t>
      </w:r>
    </w:p>
    <w:p>
      <w:pPr>
        <w:pStyle w:val="BodyText"/>
        <w:spacing w:before="173"/>
        <w:jc w:val="left"/>
        <w:rPr>
          <w:i/>
          <w:sz w:val="21"/>
        </w:rPr>
      </w:pPr>
    </w:p>
    <w:p>
      <w:pPr>
        <w:pStyle w:val="Heading6"/>
        <w:numPr>
          <w:ilvl w:val="0"/>
          <w:numId w:val="105"/>
        </w:numPr>
        <w:tabs>
          <w:tab w:pos="1928" w:val="left" w:leader="none"/>
          <w:tab w:pos="1930" w:val="left" w:leader="none"/>
        </w:tabs>
        <w:spacing w:line="240" w:lineRule="auto" w:before="0" w:after="0"/>
        <w:ind w:left="1930" w:right="777" w:hanging="497"/>
        <w:jc w:val="both"/>
      </w:pPr>
      <w:r>
        <w:rPr/>
        <w:t>LOS in industrial plots/layout of industrial plots</w:t>
      </w:r>
      <w:r>
        <w:rPr>
          <w:spacing w:val="40"/>
        </w:rPr>
        <w:t> </w:t>
      </w:r>
      <w:r>
        <w:rPr/>
        <w:t>in any</w:t>
      </w:r>
      <w:r>
        <w:rPr>
          <w:spacing w:val="40"/>
        </w:rPr>
        <w:t> </w:t>
      </w:r>
      <w:r>
        <w:rPr/>
        <w:t>industrial</w:t>
      </w:r>
      <w:r>
        <w:rPr>
          <w:spacing w:val="40"/>
        </w:rPr>
        <w:t> </w:t>
      </w:r>
      <w:r>
        <w:rPr/>
        <w:t>plot</w:t>
      </w:r>
      <w:r>
        <w:rPr>
          <w:spacing w:val="40"/>
        </w:rPr>
        <w:t> </w:t>
      </w:r>
      <w:r>
        <w:rPr/>
        <w:t>admeasuring</w:t>
      </w:r>
      <w:r>
        <w:rPr>
          <w:spacing w:val="40"/>
        </w:rPr>
        <w:t> </w:t>
      </w:r>
      <w:r>
        <w:rPr/>
        <w:t>1000</w:t>
      </w:r>
      <w:r>
        <w:rPr>
          <w:spacing w:val="40"/>
        </w:rPr>
        <w:t> </w:t>
      </w:r>
      <w:r>
        <w:rPr/>
        <w:t>sq.</w:t>
      </w:r>
      <w:r>
        <w:rPr>
          <w:spacing w:val="40"/>
        </w:rPr>
        <w:t> </w:t>
      </w:r>
      <w:r>
        <w:rPr/>
        <w:t>m</w:t>
      </w:r>
      <w:r>
        <w:rPr>
          <w:spacing w:val="40"/>
        </w:rPr>
        <w:t> </w:t>
      </w:r>
      <w:r>
        <w:rPr/>
        <w:t>or</w:t>
      </w:r>
      <w:r>
        <w:rPr>
          <w:spacing w:val="40"/>
        </w:rPr>
        <w:t> </w:t>
      </w:r>
      <w:r>
        <w:rPr/>
        <w:t>more</w:t>
      </w:r>
      <w:r>
        <w:rPr>
          <w:spacing w:val="40"/>
        </w:rPr>
        <w:t> </w:t>
      </w:r>
      <w:r>
        <w:rPr/>
        <w:t>in</w:t>
      </w:r>
      <w:r>
        <w:rPr>
          <w:spacing w:val="40"/>
        </w:rPr>
        <w:t> </w:t>
      </w:r>
      <w:r>
        <w:rPr/>
        <w:t>area,</w:t>
      </w:r>
      <w:r>
        <w:rPr>
          <w:spacing w:val="40"/>
        </w:rPr>
        <w:t> </w:t>
      </w:r>
      <w:r>
        <w:rPr/>
        <w:t>15 per</w:t>
      </w:r>
      <w:r>
        <w:rPr>
          <w:spacing w:val="40"/>
        </w:rPr>
        <w:t> </w:t>
      </w:r>
      <w:r>
        <w:rPr/>
        <w:t>cent</w:t>
      </w:r>
      <w:r>
        <w:rPr>
          <w:spacing w:val="40"/>
        </w:rPr>
        <w:t> </w:t>
      </w:r>
      <w:r>
        <w:rPr/>
        <w:t>of</w:t>
      </w:r>
      <w:r>
        <w:rPr>
          <w:spacing w:val="40"/>
        </w:rPr>
        <w:t> </w:t>
      </w:r>
      <w:r>
        <w:rPr/>
        <w:t>the</w:t>
      </w:r>
      <w:r>
        <w:rPr>
          <w:spacing w:val="40"/>
        </w:rPr>
        <w:t> </w:t>
      </w:r>
      <w:r>
        <w:rPr/>
        <w:t>total</w:t>
      </w:r>
      <w:r>
        <w:rPr>
          <w:spacing w:val="40"/>
        </w:rPr>
        <w:t> </w:t>
      </w:r>
      <w:r>
        <w:rPr/>
        <w:t>area</w:t>
      </w:r>
      <w:r>
        <w:rPr>
          <w:spacing w:val="40"/>
        </w:rPr>
        <w:t> </w:t>
      </w:r>
      <w:r>
        <w:rPr/>
        <w:t>shall</w:t>
      </w:r>
      <w:r>
        <w:rPr>
          <w:spacing w:val="40"/>
        </w:rPr>
        <w:t> </w:t>
      </w:r>
      <w:r>
        <w:rPr/>
        <w:t>be</w:t>
      </w:r>
      <w:r>
        <w:rPr>
          <w:spacing w:val="40"/>
        </w:rPr>
        <w:t> </w:t>
      </w:r>
      <w:r>
        <w:rPr/>
        <w:t>provided</w:t>
      </w:r>
      <w:r>
        <w:rPr>
          <w:spacing w:val="40"/>
        </w:rPr>
        <w:t> </w:t>
      </w:r>
      <w:r>
        <w:rPr/>
        <w:t>as</w:t>
      </w:r>
      <w:r>
        <w:rPr>
          <w:spacing w:val="40"/>
        </w:rPr>
        <w:t> </w:t>
      </w:r>
      <w:r>
        <w:rPr/>
        <w:t>LOS</w:t>
      </w:r>
      <w:r>
        <w:rPr>
          <w:spacing w:val="40"/>
        </w:rPr>
        <w:t> </w:t>
      </w:r>
      <w:r>
        <w:rPr/>
        <w:t>subject</w:t>
      </w:r>
      <w:r>
        <w:rPr>
          <w:spacing w:val="40"/>
        </w:rPr>
        <w:t> </w:t>
      </w:r>
      <w:r>
        <w:rPr/>
        <w:t>to:</w:t>
      </w:r>
    </w:p>
    <w:p>
      <w:pPr>
        <w:pStyle w:val="BodyText"/>
        <w:spacing w:before="81"/>
        <w:jc w:val="left"/>
        <w:rPr>
          <w:b/>
          <w:i/>
        </w:rPr>
      </w:pPr>
    </w:p>
    <w:p>
      <w:pPr>
        <w:pStyle w:val="BodyText"/>
        <w:ind w:left="1930" w:right="785" w:hanging="497"/>
      </w:pPr>
      <w:r>
        <w:rPr/>
        <w:t>(i.)</w:t>
      </w:r>
      <w:r>
        <w:rPr>
          <w:spacing w:val="80"/>
        </w:rPr>
        <w:t> </w:t>
      </w:r>
      <w:r>
        <w:rPr/>
        <w:t>such LOS shall have proper means of access and shall be so located</w:t>
      </w:r>
      <w:r>
        <w:rPr>
          <w:spacing w:val="40"/>
        </w:rPr>
        <w:t> </w:t>
      </w:r>
      <w:r>
        <w:rPr/>
        <w:t>that it can be conveniently utilised by the persons working in the </w:t>
      </w:r>
      <w:r>
        <w:rPr>
          <w:spacing w:val="-2"/>
        </w:rPr>
        <w:t>industry;</w:t>
      </w:r>
    </w:p>
    <w:p>
      <w:pPr>
        <w:pStyle w:val="BodyText"/>
        <w:spacing w:before="78"/>
        <w:jc w:val="left"/>
      </w:pPr>
    </w:p>
    <w:p>
      <w:pPr>
        <w:pStyle w:val="BodyText"/>
        <w:ind w:left="1930" w:right="771"/>
      </w:pPr>
      <w:r>
        <w:rPr/>
        <w:t>such</w:t>
      </w:r>
      <w:r>
        <w:rPr>
          <w:spacing w:val="40"/>
        </w:rPr>
        <w:t> </w:t>
      </w:r>
      <w:r>
        <w:rPr/>
        <w:t>LOS</w:t>
      </w:r>
      <w:r>
        <w:rPr>
          <w:spacing w:val="40"/>
        </w:rPr>
        <w:t> </w:t>
      </w:r>
      <w:r>
        <w:rPr/>
        <w:t>shall</w:t>
      </w:r>
      <w:r>
        <w:rPr>
          <w:spacing w:val="40"/>
        </w:rPr>
        <w:t> </w:t>
      </w:r>
      <w:r>
        <w:rPr/>
        <w:t>be</w:t>
      </w:r>
      <w:r>
        <w:rPr>
          <w:spacing w:val="40"/>
        </w:rPr>
        <w:t> </w:t>
      </w:r>
      <w:r>
        <w:rPr/>
        <w:t>kept</w:t>
      </w:r>
      <w:r>
        <w:rPr>
          <w:spacing w:val="40"/>
        </w:rPr>
        <w:t> </w:t>
      </w:r>
      <w:r>
        <w:rPr/>
        <w:t>permanently</w:t>
      </w:r>
      <w:r>
        <w:rPr>
          <w:spacing w:val="40"/>
        </w:rPr>
        <w:t> </w:t>
      </w:r>
      <w:r>
        <w:rPr/>
        <w:t>open</w:t>
      </w:r>
      <w:r>
        <w:rPr>
          <w:spacing w:val="40"/>
        </w:rPr>
        <w:t> </w:t>
      </w:r>
      <w:r>
        <w:rPr/>
        <w:t>to</w:t>
      </w:r>
      <w:r>
        <w:rPr>
          <w:spacing w:val="40"/>
        </w:rPr>
        <w:t> </w:t>
      </w:r>
      <w:r>
        <w:rPr/>
        <w:t>sky</w:t>
      </w:r>
      <w:r>
        <w:rPr>
          <w:spacing w:val="40"/>
        </w:rPr>
        <w:t> </w:t>
      </w:r>
      <w:r>
        <w:rPr/>
        <w:t>and</w:t>
      </w:r>
      <w:r>
        <w:rPr>
          <w:spacing w:val="40"/>
        </w:rPr>
        <w:t> </w:t>
      </w:r>
      <w:r>
        <w:rPr/>
        <w:t>accessible</w:t>
      </w:r>
      <w:r>
        <w:rPr>
          <w:spacing w:val="40"/>
        </w:rPr>
        <w:t> </w:t>
      </w:r>
      <w:r>
        <w:rPr/>
        <w:t>to all</w:t>
      </w:r>
      <w:r>
        <w:rPr>
          <w:spacing w:val="40"/>
        </w:rPr>
        <w:t> </w:t>
      </w:r>
      <w:r>
        <w:rPr/>
        <w:t>the</w:t>
      </w:r>
      <w:r>
        <w:rPr>
          <w:spacing w:val="40"/>
        </w:rPr>
        <w:t> </w:t>
      </w:r>
      <w:r>
        <w:rPr/>
        <w:t>owners</w:t>
      </w:r>
      <w:r>
        <w:rPr>
          <w:spacing w:val="40"/>
        </w:rPr>
        <w:t> </w:t>
      </w:r>
      <w:r>
        <w:rPr/>
        <w:t>and</w:t>
      </w:r>
      <w:r>
        <w:rPr>
          <w:spacing w:val="40"/>
        </w:rPr>
        <w:t> </w:t>
      </w:r>
      <w:r>
        <w:rPr/>
        <w:t>occupants</w:t>
      </w:r>
      <w:r>
        <w:rPr>
          <w:spacing w:val="40"/>
        </w:rPr>
        <w:t> </w:t>
      </w:r>
      <w:r>
        <w:rPr/>
        <w:t>and</w:t>
      </w:r>
      <w:r>
        <w:rPr>
          <w:spacing w:val="40"/>
        </w:rPr>
        <w:t> </w:t>
      </w:r>
      <w:r>
        <w:rPr/>
        <w:t>trees</w:t>
      </w:r>
      <w:r>
        <w:rPr>
          <w:spacing w:val="40"/>
        </w:rPr>
        <w:t> </w:t>
      </w:r>
      <w:r>
        <w:rPr/>
        <w:t>shall</w:t>
      </w:r>
      <w:r>
        <w:rPr>
          <w:spacing w:val="80"/>
        </w:rPr>
        <w:t> </w:t>
      </w:r>
      <w:r>
        <w:rPr/>
        <w:t>be</w:t>
      </w:r>
      <w:r>
        <w:rPr>
          <w:spacing w:val="40"/>
        </w:rPr>
        <w:t> </w:t>
      </w:r>
      <w:r>
        <w:rPr/>
        <w:t>grown</w:t>
      </w:r>
      <w:r>
        <w:rPr>
          <w:spacing w:val="40"/>
        </w:rPr>
        <w:t> </w:t>
      </w:r>
      <w:r>
        <w:rPr/>
        <w:t>therein</w:t>
      </w:r>
      <w:r>
        <w:rPr>
          <w:spacing w:val="40"/>
        </w:rPr>
        <w:t> </w:t>
      </w:r>
      <w:r>
        <w:rPr/>
        <w:t>at the</w:t>
      </w:r>
      <w:r>
        <w:rPr>
          <w:spacing w:val="40"/>
        </w:rPr>
        <w:t> </w:t>
      </w:r>
      <w:r>
        <w:rPr/>
        <w:t>rate</w:t>
      </w:r>
      <w:r>
        <w:rPr>
          <w:spacing w:val="40"/>
        </w:rPr>
        <w:t> </w:t>
      </w:r>
      <w:r>
        <w:rPr/>
        <w:t>of</w:t>
      </w:r>
      <w:r>
        <w:rPr>
          <w:spacing w:val="40"/>
        </w:rPr>
        <w:t> </w:t>
      </w:r>
      <w:r>
        <w:rPr/>
        <w:t>5</w:t>
      </w:r>
      <w:r>
        <w:rPr>
          <w:spacing w:val="40"/>
        </w:rPr>
        <w:t> </w:t>
      </w:r>
      <w:r>
        <w:rPr/>
        <w:t>trees</w:t>
      </w:r>
      <w:r>
        <w:rPr>
          <w:spacing w:val="40"/>
        </w:rPr>
        <w:t> </w:t>
      </w:r>
      <w:r>
        <w:rPr/>
        <w:t>for</w:t>
      </w:r>
      <w:r>
        <w:rPr>
          <w:spacing w:val="40"/>
        </w:rPr>
        <w:t> </w:t>
      </w:r>
      <w:r>
        <w:rPr/>
        <w:t>every</w:t>
      </w:r>
      <w:r>
        <w:rPr>
          <w:spacing w:val="40"/>
        </w:rPr>
        <w:t> </w:t>
      </w:r>
      <w:r>
        <w:rPr/>
        <w:t>100</w:t>
      </w:r>
      <w:r>
        <w:rPr>
          <w:spacing w:val="40"/>
        </w:rPr>
        <w:t> </w:t>
      </w:r>
      <w:r>
        <w:rPr/>
        <w:t>sq.</w:t>
      </w:r>
      <w:r>
        <w:rPr>
          <w:spacing w:val="40"/>
        </w:rPr>
        <w:t> </w:t>
      </w:r>
      <w:r>
        <w:rPr/>
        <w:t>m</w:t>
      </w:r>
      <w:r>
        <w:rPr>
          <w:spacing w:val="40"/>
        </w:rPr>
        <w:t> </w:t>
      </w:r>
      <w:r>
        <w:rPr/>
        <w:t>of</w:t>
      </w:r>
      <w:r>
        <w:rPr>
          <w:spacing w:val="40"/>
        </w:rPr>
        <w:t> </w:t>
      </w:r>
      <w:r>
        <w:rPr/>
        <w:t>the</w:t>
      </w:r>
      <w:r>
        <w:rPr>
          <w:spacing w:val="40"/>
        </w:rPr>
        <w:t> </w:t>
      </w:r>
      <w:r>
        <w:rPr/>
        <w:t>said</w:t>
      </w:r>
      <w:r>
        <w:rPr>
          <w:spacing w:val="40"/>
        </w:rPr>
        <w:t> </w:t>
      </w:r>
      <w:r>
        <w:rPr/>
        <w:t>open</w:t>
      </w:r>
      <w:r>
        <w:rPr>
          <w:spacing w:val="40"/>
        </w:rPr>
        <w:t> </w:t>
      </w:r>
      <w:r>
        <w:rPr/>
        <w:t>space</w:t>
      </w:r>
      <w:r>
        <w:rPr>
          <w:spacing w:val="40"/>
        </w:rPr>
        <w:t> </w:t>
      </w:r>
      <w:r>
        <w:rPr/>
        <w:t>or</w:t>
      </w:r>
      <w:r>
        <w:rPr>
          <w:spacing w:val="40"/>
        </w:rPr>
        <w:t> </w:t>
      </w:r>
      <w:r>
        <w:rPr/>
        <w:t>at the rate of 1 tree for every 100 sq. m in other cases.</w:t>
      </w:r>
      <w:r>
        <w:rPr>
          <w:spacing w:val="40"/>
        </w:rPr>
        <w:t> </w:t>
      </w:r>
      <w:r>
        <w:rPr/>
        <w:t>In between the trees</w:t>
      </w:r>
      <w:r>
        <w:rPr>
          <w:spacing w:val="77"/>
        </w:rPr>
        <w:t> </w:t>
      </w:r>
      <w:r>
        <w:rPr/>
        <w:t>planted</w:t>
      </w:r>
      <w:r>
        <w:rPr>
          <w:spacing w:val="79"/>
        </w:rPr>
        <w:t> </w:t>
      </w:r>
      <w:r>
        <w:rPr/>
        <w:t>along</w:t>
      </w:r>
      <w:r>
        <w:rPr>
          <w:spacing w:val="77"/>
        </w:rPr>
        <w:t> </w:t>
      </w:r>
      <w:r>
        <w:rPr/>
        <w:t>the</w:t>
      </w:r>
      <w:r>
        <w:rPr>
          <w:spacing w:val="77"/>
        </w:rPr>
        <w:t> </w:t>
      </w:r>
      <w:r>
        <w:rPr/>
        <w:t>boundary</w:t>
      </w:r>
      <w:r>
        <w:rPr>
          <w:spacing w:val="80"/>
        </w:rPr>
        <w:t> </w:t>
      </w:r>
      <w:r>
        <w:rPr/>
        <w:t>of</w:t>
      </w:r>
      <w:r>
        <w:rPr>
          <w:spacing w:val="80"/>
        </w:rPr>
        <w:t> </w:t>
      </w:r>
      <w:r>
        <w:rPr>
          <w:spacing w:val="9"/>
        </w:rPr>
        <w:t>plot,</w:t>
      </w:r>
      <w:r>
        <w:rPr>
          <w:spacing w:val="78"/>
        </w:rPr>
        <w:t> </w:t>
      </w:r>
      <w:r>
        <w:rPr/>
        <w:t>shrubs</w:t>
      </w:r>
      <w:r>
        <w:rPr>
          <w:spacing w:val="77"/>
        </w:rPr>
        <w:t> </w:t>
      </w:r>
      <w:r>
        <w:rPr/>
        <w:t>with</w:t>
      </w:r>
      <w:r>
        <w:rPr>
          <w:spacing w:val="79"/>
        </w:rPr>
        <w:t> </w:t>
      </w:r>
      <w:r>
        <w:rPr/>
        <w:t>grass</w:t>
      </w:r>
      <w:r>
        <w:rPr>
          <w:spacing w:val="77"/>
        </w:rPr>
        <w:t> </w:t>
      </w:r>
      <w:r>
        <w:rPr/>
        <w:t>shall be planted.</w:t>
      </w:r>
    </w:p>
    <w:p>
      <w:pPr>
        <w:pStyle w:val="BodyText"/>
        <w:spacing w:line="281" w:lineRule="exact"/>
        <w:ind w:left="1930"/>
        <w:jc w:val="left"/>
      </w:pPr>
      <w:r>
        <w:rPr>
          <w:spacing w:val="-2"/>
        </w:rPr>
        <w:t>Note:</w:t>
      </w:r>
    </w:p>
    <w:p>
      <w:pPr>
        <w:pStyle w:val="ListParagraph"/>
        <w:numPr>
          <w:ilvl w:val="0"/>
          <w:numId w:val="106"/>
        </w:numPr>
        <w:tabs>
          <w:tab w:pos="2272" w:val="left" w:leader="none"/>
        </w:tabs>
        <w:spacing w:line="240" w:lineRule="auto" w:before="2" w:after="0"/>
        <w:ind w:left="1930" w:right="786" w:firstLine="0"/>
        <w:jc w:val="both"/>
        <w:rPr>
          <w:sz w:val="24"/>
        </w:rPr>
      </w:pPr>
      <w:r>
        <w:rPr>
          <w:sz w:val="24"/>
        </w:rPr>
        <w:t>The</w:t>
      </w:r>
      <w:r>
        <w:rPr>
          <w:spacing w:val="80"/>
          <w:sz w:val="24"/>
        </w:rPr>
        <w:t> </w:t>
      </w:r>
      <w:r>
        <w:rPr>
          <w:sz w:val="24"/>
        </w:rPr>
        <w:t>area</w:t>
      </w:r>
      <w:r>
        <w:rPr>
          <w:spacing w:val="40"/>
          <w:sz w:val="24"/>
        </w:rPr>
        <w:t> </w:t>
      </w:r>
      <w:r>
        <w:rPr>
          <w:sz w:val="24"/>
        </w:rPr>
        <w:t>of</w:t>
      </w:r>
      <w:r>
        <w:rPr>
          <w:spacing w:val="80"/>
          <w:sz w:val="24"/>
        </w:rPr>
        <w:t> </w:t>
      </w:r>
      <w:r>
        <w:rPr>
          <w:sz w:val="24"/>
        </w:rPr>
        <w:t>LOS</w:t>
      </w:r>
      <w:r>
        <w:rPr>
          <w:spacing w:val="40"/>
          <w:sz w:val="24"/>
        </w:rPr>
        <w:t> </w:t>
      </w:r>
      <w:r>
        <w:rPr>
          <w:sz w:val="24"/>
        </w:rPr>
        <w:t>shall</w:t>
      </w:r>
      <w:r>
        <w:rPr>
          <w:spacing w:val="40"/>
          <w:sz w:val="24"/>
        </w:rPr>
        <w:t> </w:t>
      </w:r>
      <w:r>
        <w:rPr>
          <w:sz w:val="24"/>
        </w:rPr>
        <w:t>be</w:t>
      </w:r>
      <w:r>
        <w:rPr>
          <w:spacing w:val="40"/>
          <w:sz w:val="24"/>
        </w:rPr>
        <w:t> </w:t>
      </w:r>
      <w:r>
        <w:rPr>
          <w:sz w:val="24"/>
        </w:rPr>
        <w:t>calculated</w:t>
      </w:r>
      <w:r>
        <w:rPr>
          <w:spacing w:val="40"/>
          <w:sz w:val="24"/>
        </w:rPr>
        <w:t> </w:t>
      </w:r>
      <w:r>
        <w:rPr>
          <w:sz w:val="24"/>
        </w:rPr>
        <w:t>on</w:t>
      </w:r>
      <w:r>
        <w:rPr>
          <w:spacing w:val="40"/>
          <w:sz w:val="24"/>
        </w:rPr>
        <w:t> </w:t>
      </w:r>
      <w:r>
        <w:rPr>
          <w:sz w:val="24"/>
        </w:rPr>
        <w:t>the</w:t>
      </w:r>
      <w:r>
        <w:rPr>
          <w:spacing w:val="40"/>
          <w:sz w:val="24"/>
        </w:rPr>
        <w:t> </w:t>
      </w:r>
      <w:r>
        <w:rPr>
          <w:sz w:val="24"/>
        </w:rPr>
        <w:t>area</w:t>
      </w:r>
      <w:r>
        <w:rPr>
          <w:spacing w:val="40"/>
          <w:sz w:val="24"/>
        </w:rPr>
        <w:t> </w:t>
      </w:r>
      <w:r>
        <w:rPr>
          <w:sz w:val="24"/>
        </w:rPr>
        <w:t>excluding</w:t>
      </w:r>
      <w:r>
        <w:rPr>
          <w:spacing w:val="40"/>
          <w:sz w:val="24"/>
        </w:rPr>
        <w:t> </w:t>
      </w:r>
      <w:r>
        <w:rPr>
          <w:sz w:val="24"/>
        </w:rPr>
        <w:t>the areas</w:t>
      </w:r>
      <w:r>
        <w:rPr>
          <w:spacing w:val="40"/>
          <w:sz w:val="24"/>
        </w:rPr>
        <w:t> </w:t>
      </w:r>
      <w:r>
        <w:rPr>
          <w:sz w:val="24"/>
        </w:rPr>
        <w:t>under</w:t>
      </w:r>
      <w:r>
        <w:rPr>
          <w:spacing w:val="40"/>
          <w:sz w:val="24"/>
        </w:rPr>
        <w:t> </w:t>
      </w:r>
      <w:r>
        <w:rPr>
          <w:sz w:val="24"/>
        </w:rPr>
        <w:t>DP</w:t>
      </w:r>
      <w:r>
        <w:rPr>
          <w:spacing w:val="40"/>
          <w:sz w:val="24"/>
        </w:rPr>
        <w:t> </w:t>
      </w:r>
      <w:r>
        <w:rPr>
          <w:sz w:val="24"/>
        </w:rPr>
        <w:t>road/</w:t>
      </w:r>
      <w:r>
        <w:rPr>
          <w:spacing w:val="40"/>
          <w:sz w:val="24"/>
        </w:rPr>
        <w:t> </w:t>
      </w:r>
      <w:r>
        <w:rPr>
          <w:sz w:val="24"/>
        </w:rPr>
        <w:t>setback/</w:t>
      </w:r>
      <w:r>
        <w:rPr>
          <w:spacing w:val="40"/>
          <w:sz w:val="24"/>
        </w:rPr>
        <w:t> </w:t>
      </w:r>
      <w:r>
        <w:rPr>
          <w:sz w:val="24"/>
        </w:rPr>
        <w:t>reservations</w:t>
      </w:r>
      <w:r>
        <w:rPr>
          <w:spacing w:val="40"/>
          <w:sz w:val="24"/>
        </w:rPr>
        <w:t> </w:t>
      </w:r>
      <w:r>
        <w:rPr>
          <w:sz w:val="24"/>
        </w:rPr>
        <w:t>area</w:t>
      </w:r>
      <w:r>
        <w:rPr>
          <w:spacing w:val="40"/>
          <w:sz w:val="24"/>
        </w:rPr>
        <w:t> </w:t>
      </w:r>
      <w:r>
        <w:rPr>
          <w:sz w:val="24"/>
        </w:rPr>
        <w:t>to</w:t>
      </w:r>
      <w:r>
        <w:rPr>
          <w:spacing w:val="40"/>
          <w:sz w:val="24"/>
        </w:rPr>
        <w:t> </w:t>
      </w:r>
      <w:r>
        <w:rPr>
          <w:sz w:val="24"/>
        </w:rPr>
        <w:t>be</w:t>
      </w:r>
      <w:r>
        <w:rPr>
          <w:spacing w:val="40"/>
          <w:sz w:val="24"/>
        </w:rPr>
        <w:t> </w:t>
      </w:r>
      <w:r>
        <w:rPr>
          <w:sz w:val="24"/>
        </w:rPr>
        <w:t>handed</w:t>
      </w:r>
      <w:r>
        <w:rPr>
          <w:spacing w:val="40"/>
          <w:sz w:val="24"/>
        </w:rPr>
        <w:t> </w:t>
      </w:r>
      <w:r>
        <w:rPr>
          <w:sz w:val="24"/>
        </w:rPr>
        <w:t>over to appropriate </w:t>
      </w:r>
      <w:r>
        <w:rPr>
          <w:spacing w:val="9"/>
          <w:sz w:val="24"/>
        </w:rPr>
        <w:t>authority</w:t>
      </w:r>
    </w:p>
    <w:p>
      <w:pPr>
        <w:pStyle w:val="ListParagraph"/>
        <w:numPr>
          <w:ilvl w:val="0"/>
          <w:numId w:val="106"/>
        </w:numPr>
        <w:tabs>
          <w:tab w:pos="2175" w:val="left" w:leader="none"/>
        </w:tabs>
        <w:spacing w:line="240" w:lineRule="auto" w:before="280" w:after="0"/>
        <w:ind w:left="1930" w:right="783" w:firstLine="0"/>
        <w:jc w:val="both"/>
        <w:rPr>
          <w:sz w:val="24"/>
        </w:rPr>
      </w:pPr>
      <w:r>
        <w:rPr>
          <w:sz w:val="24"/>
        </w:rPr>
        <w:t>The</w:t>
      </w:r>
      <w:r>
        <w:rPr>
          <w:spacing w:val="40"/>
          <w:sz w:val="24"/>
        </w:rPr>
        <w:t> </w:t>
      </w:r>
      <w:r>
        <w:rPr>
          <w:sz w:val="24"/>
        </w:rPr>
        <w:t>minimum</w:t>
      </w:r>
      <w:r>
        <w:rPr>
          <w:spacing w:val="40"/>
          <w:sz w:val="24"/>
        </w:rPr>
        <w:t> </w:t>
      </w:r>
      <w:r>
        <w:rPr>
          <w:sz w:val="24"/>
        </w:rPr>
        <w:t>60%</w:t>
      </w:r>
      <w:r>
        <w:rPr>
          <w:spacing w:val="40"/>
          <w:sz w:val="24"/>
        </w:rPr>
        <w:t> </w:t>
      </w:r>
      <w:r>
        <w:rPr>
          <w:sz w:val="24"/>
        </w:rPr>
        <w:t>of</w:t>
      </w:r>
      <w:r>
        <w:rPr>
          <w:spacing w:val="40"/>
          <w:sz w:val="24"/>
        </w:rPr>
        <w:t> </w:t>
      </w:r>
      <w:r>
        <w:rPr>
          <w:sz w:val="24"/>
        </w:rPr>
        <w:t>the</w:t>
      </w:r>
      <w:r>
        <w:rPr>
          <w:spacing w:val="40"/>
          <w:sz w:val="24"/>
        </w:rPr>
        <w:t> </w:t>
      </w:r>
      <w:r>
        <w:rPr>
          <w:sz w:val="24"/>
        </w:rPr>
        <w:t>required</w:t>
      </w:r>
      <w:r>
        <w:rPr>
          <w:spacing w:val="40"/>
          <w:sz w:val="24"/>
        </w:rPr>
        <w:t> </w:t>
      </w:r>
      <w:r>
        <w:rPr>
          <w:sz w:val="24"/>
        </w:rPr>
        <w:t>LOS</w:t>
      </w:r>
      <w:r>
        <w:rPr>
          <w:spacing w:val="40"/>
          <w:sz w:val="24"/>
        </w:rPr>
        <w:t> </w:t>
      </w:r>
      <w:r>
        <w:rPr>
          <w:sz w:val="24"/>
        </w:rPr>
        <w:t>shall</w:t>
      </w:r>
      <w:r>
        <w:rPr>
          <w:spacing w:val="40"/>
          <w:sz w:val="24"/>
        </w:rPr>
        <w:t> </w:t>
      </w:r>
      <w:r>
        <w:rPr>
          <w:sz w:val="24"/>
        </w:rPr>
        <w:t>be</w:t>
      </w:r>
      <w:r>
        <w:rPr>
          <w:spacing w:val="40"/>
          <w:sz w:val="24"/>
        </w:rPr>
        <w:t> </w:t>
      </w:r>
      <w:r>
        <w:rPr>
          <w:sz w:val="24"/>
        </w:rPr>
        <w:t>provided exclusively</w:t>
      </w:r>
      <w:r>
        <w:rPr>
          <w:spacing w:val="38"/>
          <w:sz w:val="24"/>
        </w:rPr>
        <w:t> </w:t>
      </w:r>
      <w:r>
        <w:rPr>
          <w:sz w:val="24"/>
        </w:rPr>
        <w:t>on</w:t>
      </w:r>
      <w:r>
        <w:rPr>
          <w:spacing w:val="40"/>
          <w:sz w:val="24"/>
        </w:rPr>
        <w:t> </w:t>
      </w:r>
      <w:r>
        <w:rPr>
          <w:sz w:val="24"/>
        </w:rPr>
        <w:t>the</w:t>
      </w:r>
      <w:r>
        <w:rPr>
          <w:spacing w:val="40"/>
          <w:sz w:val="24"/>
        </w:rPr>
        <w:t> </w:t>
      </w:r>
      <w:r>
        <w:rPr>
          <w:sz w:val="24"/>
        </w:rPr>
        <w:t>ground</w:t>
      </w:r>
      <w:r>
        <w:rPr>
          <w:spacing w:val="40"/>
          <w:sz w:val="24"/>
        </w:rPr>
        <w:t> </w:t>
      </w:r>
      <w:r>
        <w:rPr>
          <w:sz w:val="24"/>
        </w:rPr>
        <w:t>and</w:t>
      </w:r>
      <w:r>
        <w:rPr>
          <w:spacing w:val="37"/>
          <w:sz w:val="24"/>
        </w:rPr>
        <w:t> </w:t>
      </w:r>
      <w:r>
        <w:rPr>
          <w:sz w:val="24"/>
        </w:rPr>
        <w:t>at</w:t>
      </w:r>
      <w:r>
        <w:rPr>
          <w:spacing w:val="40"/>
          <w:sz w:val="24"/>
        </w:rPr>
        <w:t> </w:t>
      </w:r>
      <w:r>
        <w:rPr>
          <w:sz w:val="24"/>
        </w:rPr>
        <w:t>least</w:t>
      </w:r>
      <w:r>
        <w:rPr>
          <w:spacing w:val="40"/>
          <w:sz w:val="24"/>
        </w:rPr>
        <w:t> </w:t>
      </w:r>
      <w:r>
        <w:rPr>
          <w:sz w:val="24"/>
        </w:rPr>
        <w:t>50%</w:t>
      </w:r>
      <w:r>
        <w:rPr>
          <w:spacing w:val="38"/>
          <w:sz w:val="24"/>
        </w:rPr>
        <w:t> </w:t>
      </w:r>
      <w:r>
        <w:rPr>
          <w:sz w:val="24"/>
        </w:rPr>
        <w:t>of</w:t>
      </w:r>
      <w:r>
        <w:rPr>
          <w:spacing w:val="40"/>
          <w:sz w:val="24"/>
        </w:rPr>
        <w:t> </w:t>
      </w:r>
      <w:r>
        <w:rPr>
          <w:sz w:val="24"/>
        </w:rPr>
        <w:t>this</w:t>
      </w:r>
      <w:r>
        <w:rPr>
          <w:spacing w:val="40"/>
          <w:sz w:val="24"/>
        </w:rPr>
        <w:t> </w:t>
      </w:r>
      <w:r>
        <w:rPr>
          <w:sz w:val="24"/>
        </w:rPr>
        <w:t>shall</w:t>
      </w:r>
      <w:r>
        <w:rPr>
          <w:spacing w:val="40"/>
          <w:sz w:val="24"/>
        </w:rPr>
        <w:t> </w:t>
      </w:r>
      <w:r>
        <w:rPr>
          <w:sz w:val="24"/>
        </w:rPr>
        <w:t>be</w:t>
      </w:r>
      <w:r>
        <w:rPr>
          <w:spacing w:val="38"/>
          <w:sz w:val="24"/>
        </w:rPr>
        <w:t> </w:t>
      </w:r>
      <w:r>
        <w:rPr>
          <w:sz w:val="24"/>
        </w:rPr>
        <w:t>provided on</w:t>
      </w:r>
      <w:r>
        <w:rPr>
          <w:spacing w:val="40"/>
          <w:sz w:val="24"/>
        </w:rPr>
        <w:t> </w:t>
      </w:r>
      <w:r>
        <w:rPr>
          <w:sz w:val="24"/>
        </w:rPr>
        <w:t>mother</w:t>
      </w:r>
      <w:r>
        <w:rPr>
          <w:spacing w:val="40"/>
          <w:sz w:val="24"/>
        </w:rPr>
        <w:t> </w:t>
      </w:r>
      <w:r>
        <w:rPr>
          <w:sz w:val="24"/>
        </w:rPr>
        <w:t>earth</w:t>
      </w:r>
      <w:r>
        <w:rPr>
          <w:spacing w:val="40"/>
          <w:sz w:val="24"/>
        </w:rPr>
        <w:t> </w:t>
      </w:r>
      <w:r>
        <w:rPr>
          <w:sz w:val="24"/>
        </w:rPr>
        <w:t>to</w:t>
      </w:r>
      <w:r>
        <w:rPr>
          <w:spacing w:val="40"/>
          <w:sz w:val="24"/>
        </w:rPr>
        <w:t> </w:t>
      </w:r>
      <w:r>
        <w:rPr>
          <w:sz w:val="24"/>
        </w:rPr>
        <w:t>facilitate</w:t>
      </w:r>
      <w:r>
        <w:rPr>
          <w:spacing w:val="40"/>
          <w:sz w:val="24"/>
        </w:rPr>
        <w:t> </w:t>
      </w:r>
      <w:r>
        <w:rPr>
          <w:sz w:val="24"/>
        </w:rPr>
        <w:t>the</w:t>
      </w:r>
      <w:r>
        <w:rPr>
          <w:spacing w:val="40"/>
          <w:sz w:val="24"/>
        </w:rPr>
        <w:t> </w:t>
      </w:r>
      <w:r>
        <w:rPr>
          <w:sz w:val="24"/>
        </w:rPr>
        <w:t>percolation</w:t>
      </w:r>
      <w:r>
        <w:rPr>
          <w:spacing w:val="40"/>
          <w:sz w:val="24"/>
        </w:rPr>
        <w:t> </w:t>
      </w:r>
      <w:r>
        <w:rPr>
          <w:sz w:val="24"/>
        </w:rPr>
        <w:t>of</w:t>
      </w:r>
      <w:r>
        <w:rPr>
          <w:spacing w:val="40"/>
          <w:sz w:val="24"/>
        </w:rPr>
        <w:t> </w:t>
      </w:r>
      <w:r>
        <w:rPr>
          <w:spacing w:val="9"/>
          <w:sz w:val="24"/>
        </w:rPr>
        <w:t>water</w:t>
      </w:r>
      <w:r>
        <w:rPr>
          <w:spacing w:val="40"/>
          <w:sz w:val="24"/>
        </w:rPr>
        <w:t> </w:t>
      </w:r>
      <w:r>
        <w:rPr>
          <w:sz w:val="24"/>
        </w:rPr>
        <w:t>and</w:t>
      </w:r>
      <w:r>
        <w:rPr>
          <w:spacing w:val="40"/>
          <w:sz w:val="24"/>
        </w:rPr>
        <w:t> </w:t>
      </w:r>
      <w:r>
        <w:rPr>
          <w:sz w:val="24"/>
        </w:rPr>
        <w:t>balance 40% of required LOS may be provided on podium area extending</w:t>
      </w:r>
      <w:r>
        <w:rPr>
          <w:spacing w:val="40"/>
          <w:sz w:val="24"/>
        </w:rPr>
        <w:t> </w:t>
      </w:r>
      <w:r>
        <w:rPr>
          <w:sz w:val="24"/>
        </w:rPr>
        <w:t>beyond</w:t>
      </w:r>
      <w:r>
        <w:rPr>
          <w:spacing w:val="40"/>
          <w:sz w:val="24"/>
        </w:rPr>
        <w:t> </w:t>
      </w:r>
      <w:r>
        <w:rPr>
          <w:sz w:val="24"/>
        </w:rPr>
        <w:t>the</w:t>
      </w:r>
      <w:r>
        <w:rPr>
          <w:spacing w:val="40"/>
          <w:sz w:val="24"/>
        </w:rPr>
        <w:t> </w:t>
      </w:r>
      <w:r>
        <w:rPr>
          <w:sz w:val="24"/>
        </w:rPr>
        <w:t>building</w:t>
      </w:r>
      <w:r>
        <w:rPr>
          <w:spacing w:val="40"/>
          <w:sz w:val="24"/>
        </w:rPr>
        <w:t> </w:t>
      </w:r>
      <w:r>
        <w:rPr>
          <w:sz w:val="24"/>
        </w:rPr>
        <w:t>line.</w:t>
      </w:r>
      <w:r>
        <w:rPr>
          <w:spacing w:val="40"/>
          <w:sz w:val="24"/>
        </w:rPr>
        <w:t> </w:t>
      </w:r>
      <w:r>
        <w:rPr>
          <w:sz w:val="24"/>
        </w:rPr>
        <w:t>The</w:t>
      </w:r>
      <w:r>
        <w:rPr>
          <w:spacing w:val="40"/>
          <w:sz w:val="24"/>
        </w:rPr>
        <w:t> </w:t>
      </w:r>
      <w:r>
        <w:rPr>
          <w:sz w:val="24"/>
        </w:rPr>
        <w:t>LOS</w:t>
      </w:r>
      <w:r>
        <w:rPr>
          <w:spacing w:val="40"/>
          <w:sz w:val="24"/>
        </w:rPr>
        <w:t> </w:t>
      </w:r>
      <w:r>
        <w:rPr>
          <w:sz w:val="24"/>
        </w:rPr>
        <w:t>on</w:t>
      </w:r>
      <w:r>
        <w:rPr>
          <w:spacing w:val="40"/>
          <w:sz w:val="24"/>
        </w:rPr>
        <w:t> </w:t>
      </w:r>
      <w:r>
        <w:rPr>
          <w:sz w:val="24"/>
        </w:rPr>
        <w:t>mother</w:t>
      </w:r>
      <w:r>
        <w:rPr>
          <w:spacing w:val="40"/>
          <w:sz w:val="24"/>
        </w:rPr>
        <w:t> </w:t>
      </w:r>
      <w:r>
        <w:rPr>
          <w:sz w:val="24"/>
        </w:rPr>
        <w:t>earth</w:t>
      </w:r>
      <w:r>
        <w:rPr>
          <w:spacing w:val="40"/>
          <w:sz w:val="24"/>
        </w:rPr>
        <w:t> </w:t>
      </w:r>
      <w:r>
        <w:rPr>
          <w:sz w:val="24"/>
        </w:rPr>
        <w:t>shall</w:t>
      </w:r>
      <w:r>
        <w:rPr>
          <w:spacing w:val="40"/>
          <w:sz w:val="24"/>
        </w:rPr>
        <w:t> </w:t>
      </w:r>
      <w:r>
        <w:rPr>
          <w:sz w:val="24"/>
        </w:rPr>
        <w:t>not</w:t>
      </w:r>
      <w:r>
        <w:rPr>
          <w:spacing w:val="40"/>
          <w:sz w:val="24"/>
        </w:rPr>
        <w:t> </w:t>
      </w:r>
      <w:r>
        <w:rPr>
          <w:sz w:val="24"/>
        </w:rPr>
        <w:t>be paved and all LOS shall be accessible to all the occupants of the </w:t>
      </w:r>
      <w:r>
        <w:rPr>
          <w:spacing w:val="7"/>
          <w:sz w:val="24"/>
        </w:rPr>
        <w:t>plot/layout.</w:t>
      </w:r>
    </w:p>
    <w:p>
      <w:pPr>
        <w:pStyle w:val="BodyText"/>
        <w:spacing w:before="1"/>
        <w:ind w:left="1930" w:right="768" w:firstLine="283"/>
      </w:pPr>
      <w:r>
        <w:rPr/>
        <w:t>Rest</w:t>
      </w:r>
      <w:r>
        <w:rPr>
          <w:spacing w:val="-20"/>
        </w:rPr>
        <w:t> </w:t>
      </w:r>
      <w:r>
        <w:rPr/>
        <w:t>of</w:t>
      </w:r>
      <w:r>
        <w:rPr>
          <w:spacing w:val="-19"/>
        </w:rPr>
        <w:t> </w:t>
      </w:r>
      <w:r>
        <w:rPr/>
        <w:t>the</w:t>
      </w:r>
      <w:r>
        <w:rPr>
          <w:spacing w:val="-19"/>
        </w:rPr>
        <w:t> </w:t>
      </w:r>
      <w:r>
        <w:rPr/>
        <w:t>compound</w:t>
      </w:r>
      <w:r>
        <w:rPr>
          <w:spacing w:val="-19"/>
        </w:rPr>
        <w:t> </w:t>
      </w:r>
      <w:r>
        <w:rPr/>
        <w:t>pavement</w:t>
      </w:r>
      <w:r>
        <w:rPr>
          <w:spacing w:val="-19"/>
        </w:rPr>
        <w:t> </w:t>
      </w:r>
      <w:r>
        <w:rPr/>
        <w:t>other</w:t>
      </w:r>
      <w:r>
        <w:rPr>
          <w:spacing w:val="-20"/>
        </w:rPr>
        <w:t> </w:t>
      </w:r>
      <w:r>
        <w:rPr/>
        <w:t>than</w:t>
      </w:r>
      <w:r>
        <w:rPr>
          <w:spacing w:val="-19"/>
        </w:rPr>
        <w:t> </w:t>
      </w:r>
      <w:r>
        <w:rPr/>
        <w:t>stated</w:t>
      </w:r>
      <w:r>
        <w:rPr>
          <w:spacing w:val="-19"/>
        </w:rPr>
        <w:t> </w:t>
      </w:r>
      <w:r>
        <w:rPr/>
        <w:t>above</w:t>
      </w:r>
      <w:r>
        <w:rPr>
          <w:spacing w:val="-19"/>
        </w:rPr>
        <w:t> </w:t>
      </w:r>
      <w:r>
        <w:rPr/>
        <w:t>shall</w:t>
      </w:r>
      <w:r>
        <w:rPr>
          <w:spacing w:val="-19"/>
        </w:rPr>
        <w:t> </w:t>
      </w:r>
      <w:r>
        <w:rPr/>
        <w:t>be</w:t>
      </w:r>
      <w:r>
        <w:rPr>
          <w:spacing w:val="-20"/>
        </w:rPr>
        <w:t> </w:t>
      </w:r>
      <w:r>
        <w:rPr/>
        <w:t>paved with perforated paving having adequate strength, in order to facilitate percolation of rain water into the ground.</w:t>
      </w:r>
    </w:p>
    <w:p>
      <w:pPr>
        <w:pStyle w:val="BodyText"/>
        <w:spacing w:line="276" w:lineRule="auto"/>
        <w:ind w:left="1906" w:right="769" w:firstLine="24"/>
      </w:pPr>
      <w:r>
        <w:rPr/>
        <w:t>The</w:t>
      </w:r>
      <w:r>
        <w:rPr>
          <w:spacing w:val="-8"/>
        </w:rPr>
        <w:t> </w:t>
      </w:r>
      <w:r>
        <w:rPr/>
        <w:t>entire</w:t>
      </w:r>
      <w:r>
        <w:rPr>
          <w:spacing w:val="-8"/>
        </w:rPr>
        <w:t> </w:t>
      </w:r>
      <w:r>
        <w:rPr/>
        <w:t>LOS</w:t>
      </w:r>
      <w:r>
        <w:rPr>
          <w:spacing w:val="-8"/>
        </w:rPr>
        <w:t> </w:t>
      </w:r>
      <w:r>
        <w:rPr/>
        <w:t>may</w:t>
      </w:r>
      <w:r>
        <w:rPr>
          <w:spacing w:val="-10"/>
        </w:rPr>
        <w:t> </w:t>
      </w:r>
      <w:r>
        <w:rPr/>
        <w:t>be</w:t>
      </w:r>
      <w:r>
        <w:rPr>
          <w:spacing w:val="-8"/>
        </w:rPr>
        <w:t> </w:t>
      </w:r>
      <w:r>
        <w:rPr/>
        <w:t>provided</w:t>
      </w:r>
      <w:r>
        <w:rPr>
          <w:spacing w:val="-8"/>
        </w:rPr>
        <w:t> </w:t>
      </w:r>
      <w:r>
        <w:rPr/>
        <w:t>on</w:t>
      </w:r>
      <w:r>
        <w:rPr>
          <w:spacing w:val="-8"/>
        </w:rPr>
        <w:t> </w:t>
      </w:r>
      <w:r>
        <w:rPr/>
        <w:t>top</w:t>
      </w:r>
      <w:r>
        <w:rPr>
          <w:spacing w:val="-13"/>
        </w:rPr>
        <w:t> </w:t>
      </w:r>
      <w:r>
        <w:rPr/>
        <w:t>most</w:t>
      </w:r>
      <w:r>
        <w:rPr>
          <w:spacing w:val="-8"/>
        </w:rPr>
        <w:t> </w:t>
      </w:r>
      <w:r>
        <w:rPr/>
        <w:t>podium</w:t>
      </w:r>
      <w:r>
        <w:rPr>
          <w:spacing w:val="-8"/>
        </w:rPr>
        <w:t> </w:t>
      </w:r>
      <w:r>
        <w:rPr/>
        <w:t>open</w:t>
      </w:r>
      <w:r>
        <w:rPr>
          <w:spacing w:val="-8"/>
        </w:rPr>
        <w:t> </w:t>
      </w:r>
      <w:r>
        <w:rPr/>
        <w:t>to</w:t>
      </w:r>
      <w:r>
        <w:rPr>
          <w:spacing w:val="-8"/>
        </w:rPr>
        <w:t> </w:t>
      </w:r>
      <w:r>
        <w:rPr/>
        <w:t>sky</w:t>
      </w:r>
      <w:r>
        <w:rPr>
          <w:spacing w:val="-8"/>
        </w:rPr>
        <w:t> </w:t>
      </w:r>
      <w:r>
        <w:rPr/>
        <w:t>subject to condition that 1.5 m. unpaved distance shall be kept for planting of trees</w:t>
      </w:r>
      <w:r>
        <w:rPr>
          <w:spacing w:val="-20"/>
        </w:rPr>
        <w:t> </w:t>
      </w:r>
      <w:r>
        <w:rPr/>
        <w:t>and</w:t>
      </w:r>
      <w:r>
        <w:rPr>
          <w:spacing w:val="-19"/>
        </w:rPr>
        <w:t> </w:t>
      </w:r>
      <w:r>
        <w:rPr/>
        <w:t>thereafter</w:t>
      </w:r>
      <w:r>
        <w:rPr>
          <w:spacing w:val="-19"/>
        </w:rPr>
        <w:t> </w:t>
      </w:r>
      <w:r>
        <w:rPr/>
        <w:t>marginal</w:t>
      </w:r>
      <w:r>
        <w:rPr>
          <w:spacing w:val="-19"/>
        </w:rPr>
        <w:t> </w:t>
      </w:r>
      <w:r>
        <w:rPr/>
        <w:t>open</w:t>
      </w:r>
      <w:r>
        <w:rPr>
          <w:spacing w:val="-19"/>
        </w:rPr>
        <w:t> </w:t>
      </w:r>
      <w:r>
        <w:rPr/>
        <w:t>space</w:t>
      </w:r>
      <w:r>
        <w:rPr>
          <w:spacing w:val="-20"/>
        </w:rPr>
        <w:t> </w:t>
      </w:r>
      <w:r>
        <w:rPr/>
        <w:t>required</w:t>
      </w:r>
      <w:r>
        <w:rPr>
          <w:spacing w:val="-19"/>
        </w:rPr>
        <w:t> </w:t>
      </w:r>
      <w:r>
        <w:rPr/>
        <w:t>as</w:t>
      </w:r>
      <w:r>
        <w:rPr>
          <w:spacing w:val="-19"/>
        </w:rPr>
        <w:t> </w:t>
      </w:r>
      <w:r>
        <w:rPr/>
        <w:t>per</w:t>
      </w:r>
      <w:r>
        <w:rPr>
          <w:spacing w:val="-19"/>
        </w:rPr>
        <w:t> </w:t>
      </w:r>
      <w:r>
        <w:rPr/>
        <w:t>Regulation</w:t>
      </w:r>
      <w:r>
        <w:rPr>
          <w:spacing w:val="-19"/>
        </w:rPr>
        <w:t> </w:t>
      </w:r>
      <w:r>
        <w:rPr/>
        <w:t>47(1) for the maneuvering of fire fighting engine (&amp; other equipments) on site from where light &amp; ventilation is derived shall be provided on two sides. The area of said 1.5 m. wide strip shall not be counted in required LOS. If</w:t>
      </w:r>
      <w:r>
        <w:rPr>
          <w:spacing w:val="40"/>
        </w:rPr>
        <w:t> </w:t>
      </w:r>
      <w:r>
        <w:rPr/>
        <w:t>LOS is proposed on podium, then no parking shall be allowed on the same and rain water harvesting shall also</w:t>
      </w:r>
      <w:r>
        <w:rPr>
          <w:spacing w:val="80"/>
        </w:rPr>
        <w:t> </w:t>
      </w:r>
      <w:r>
        <w:rPr/>
        <w:t>be provided</w:t>
      </w:r>
      <w:r>
        <w:rPr>
          <w:spacing w:val="80"/>
        </w:rPr>
        <w:t> </w:t>
      </w:r>
      <w:r>
        <w:rPr/>
        <w:t>on</w:t>
      </w:r>
      <w:r>
        <w:rPr>
          <w:spacing w:val="80"/>
        </w:rPr>
        <w:t> </w:t>
      </w:r>
      <w:r>
        <w:rPr/>
        <w:t>podium .</w:t>
      </w:r>
    </w:p>
    <w:p>
      <w:pPr>
        <w:pStyle w:val="BodyText"/>
        <w:spacing w:after="0" w:line="276" w:lineRule="auto"/>
        <w:sectPr>
          <w:pgSz w:w="11910" w:h="16840"/>
          <w:pgMar w:header="1058" w:footer="1194" w:top="1500" w:bottom="1380" w:left="360" w:right="360"/>
        </w:sectPr>
      </w:pPr>
    </w:p>
    <w:p>
      <w:pPr>
        <w:pStyle w:val="BodyText"/>
        <w:spacing w:before="256"/>
        <w:jc w:val="left"/>
      </w:pPr>
    </w:p>
    <w:p>
      <w:pPr>
        <w:pStyle w:val="ListParagraph"/>
        <w:numPr>
          <w:ilvl w:val="0"/>
          <w:numId w:val="106"/>
        </w:numPr>
        <w:tabs>
          <w:tab w:pos="2255" w:val="left" w:leader="none"/>
        </w:tabs>
        <w:spacing w:line="259" w:lineRule="auto" w:before="0" w:after="0"/>
        <w:ind w:left="1906" w:right="781" w:firstLine="0"/>
        <w:jc w:val="both"/>
        <w:rPr>
          <w:sz w:val="24"/>
        </w:rPr>
      </w:pPr>
      <w:r>
        <w:rPr>
          <w:sz w:val="24"/>
        </w:rPr>
        <w:t>Recreational</w:t>
      </w:r>
      <w:r>
        <w:rPr>
          <w:spacing w:val="40"/>
          <w:sz w:val="24"/>
        </w:rPr>
        <w:t> </w:t>
      </w:r>
      <w:r>
        <w:rPr>
          <w:sz w:val="24"/>
        </w:rPr>
        <w:t>Open</w:t>
      </w:r>
      <w:r>
        <w:rPr>
          <w:spacing w:val="40"/>
          <w:sz w:val="24"/>
        </w:rPr>
        <w:t> </w:t>
      </w:r>
      <w:r>
        <w:rPr>
          <w:sz w:val="24"/>
        </w:rPr>
        <w:t>Space</w:t>
      </w:r>
      <w:r>
        <w:rPr>
          <w:spacing w:val="80"/>
          <w:sz w:val="24"/>
        </w:rPr>
        <w:t> </w:t>
      </w:r>
      <w:r>
        <w:rPr>
          <w:sz w:val="24"/>
        </w:rPr>
        <w:t>of</w:t>
      </w:r>
      <w:r>
        <w:rPr>
          <w:spacing w:val="40"/>
          <w:sz w:val="24"/>
        </w:rPr>
        <w:t> </w:t>
      </w:r>
      <w:r>
        <w:rPr>
          <w:sz w:val="24"/>
        </w:rPr>
        <w:t>private</w:t>
      </w:r>
      <w:r>
        <w:rPr>
          <w:spacing w:val="40"/>
          <w:sz w:val="24"/>
        </w:rPr>
        <w:t> </w:t>
      </w:r>
      <w:r>
        <w:rPr>
          <w:sz w:val="24"/>
        </w:rPr>
        <w:t>layout</w:t>
      </w:r>
      <w:r>
        <w:rPr>
          <w:spacing w:val="80"/>
          <w:sz w:val="24"/>
        </w:rPr>
        <w:t> </w:t>
      </w:r>
      <w:r>
        <w:rPr>
          <w:sz w:val="24"/>
        </w:rPr>
        <w:t>which</w:t>
      </w:r>
      <w:r>
        <w:rPr>
          <w:spacing w:val="80"/>
          <w:sz w:val="24"/>
        </w:rPr>
        <w:t> </w:t>
      </w:r>
      <w:r>
        <w:rPr>
          <w:sz w:val="24"/>
        </w:rPr>
        <w:t>is</w:t>
      </w:r>
      <w:r>
        <w:rPr>
          <w:spacing w:val="40"/>
          <w:sz w:val="24"/>
        </w:rPr>
        <w:t> </w:t>
      </w:r>
      <w:r>
        <w:rPr>
          <w:sz w:val="24"/>
        </w:rPr>
        <w:t>reflected</w:t>
      </w:r>
      <w:r>
        <w:rPr>
          <w:spacing w:val="80"/>
          <w:sz w:val="24"/>
        </w:rPr>
        <w:t> </w:t>
      </w:r>
      <w:r>
        <w:rPr>
          <w:sz w:val="24"/>
        </w:rPr>
        <w:t>in DP</w:t>
      </w:r>
      <w:r>
        <w:rPr>
          <w:spacing w:val="40"/>
          <w:sz w:val="24"/>
        </w:rPr>
        <w:t> </w:t>
      </w:r>
      <w:r>
        <w:rPr>
          <w:sz w:val="24"/>
        </w:rPr>
        <w:t>as</w:t>
      </w:r>
      <w:r>
        <w:rPr>
          <w:spacing w:val="40"/>
          <w:sz w:val="24"/>
        </w:rPr>
        <w:t> </w:t>
      </w:r>
      <w:r>
        <w:rPr>
          <w:sz w:val="24"/>
        </w:rPr>
        <w:t>reservation</w:t>
      </w:r>
      <w:r>
        <w:rPr>
          <w:spacing w:val="40"/>
          <w:sz w:val="24"/>
        </w:rPr>
        <w:t> </w:t>
      </w:r>
      <w:r>
        <w:rPr>
          <w:sz w:val="24"/>
        </w:rPr>
        <w:t>of</w:t>
      </w:r>
      <w:r>
        <w:rPr>
          <w:spacing w:val="40"/>
          <w:sz w:val="24"/>
        </w:rPr>
        <w:t> </w:t>
      </w:r>
      <w:r>
        <w:rPr>
          <w:sz w:val="24"/>
        </w:rPr>
        <w:t>POS</w:t>
      </w:r>
      <w:r>
        <w:rPr>
          <w:spacing w:val="40"/>
          <w:sz w:val="24"/>
        </w:rPr>
        <w:t> </w:t>
      </w:r>
      <w:r>
        <w:rPr>
          <w:sz w:val="24"/>
        </w:rPr>
        <w:t>or</w:t>
      </w:r>
      <w:r>
        <w:rPr>
          <w:spacing w:val="40"/>
          <w:sz w:val="24"/>
        </w:rPr>
        <w:t> </w:t>
      </w:r>
      <w:r>
        <w:rPr>
          <w:sz w:val="24"/>
        </w:rPr>
        <w:t>existing</w:t>
      </w:r>
      <w:r>
        <w:rPr>
          <w:spacing w:val="40"/>
          <w:sz w:val="24"/>
        </w:rPr>
        <w:t> </w:t>
      </w:r>
      <w:r>
        <w:rPr>
          <w:sz w:val="24"/>
        </w:rPr>
        <w:t>POS</w:t>
      </w:r>
      <w:r>
        <w:rPr>
          <w:spacing w:val="40"/>
          <w:sz w:val="24"/>
        </w:rPr>
        <w:t> </w:t>
      </w:r>
      <w:r>
        <w:rPr>
          <w:sz w:val="24"/>
        </w:rPr>
        <w:t>shall</w:t>
      </w:r>
      <w:r>
        <w:rPr>
          <w:spacing w:val="40"/>
          <w:sz w:val="24"/>
        </w:rPr>
        <w:t> </w:t>
      </w:r>
      <w:r>
        <w:rPr>
          <w:sz w:val="24"/>
        </w:rPr>
        <w:t>remain</w:t>
      </w:r>
      <w:r>
        <w:rPr>
          <w:spacing w:val="40"/>
          <w:sz w:val="24"/>
        </w:rPr>
        <w:t> </w:t>
      </w:r>
      <w:r>
        <w:rPr>
          <w:sz w:val="24"/>
        </w:rPr>
        <w:t>as</w:t>
      </w:r>
      <w:r>
        <w:rPr>
          <w:spacing w:val="40"/>
          <w:sz w:val="24"/>
        </w:rPr>
        <w:t> </w:t>
      </w:r>
      <w:r>
        <w:rPr>
          <w:sz w:val="24"/>
        </w:rPr>
        <w:t>layout open</w:t>
      </w:r>
      <w:r>
        <w:rPr>
          <w:spacing w:val="40"/>
          <w:sz w:val="24"/>
        </w:rPr>
        <w:t> </w:t>
      </w:r>
      <w:r>
        <w:rPr>
          <w:sz w:val="24"/>
        </w:rPr>
        <w:t>space</w:t>
      </w:r>
      <w:r>
        <w:rPr>
          <w:spacing w:val="40"/>
          <w:sz w:val="24"/>
        </w:rPr>
        <w:t> </w:t>
      </w:r>
      <w:r>
        <w:rPr>
          <w:sz w:val="24"/>
        </w:rPr>
        <w:t>only</w:t>
      </w:r>
      <w:r>
        <w:rPr>
          <w:spacing w:val="40"/>
          <w:sz w:val="24"/>
        </w:rPr>
        <w:t> </w:t>
      </w:r>
      <w:r>
        <w:rPr>
          <w:sz w:val="24"/>
        </w:rPr>
        <w:t>and</w:t>
      </w:r>
      <w:r>
        <w:rPr>
          <w:spacing w:val="74"/>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subjected</w:t>
      </w:r>
      <w:r>
        <w:rPr>
          <w:spacing w:val="40"/>
          <w:sz w:val="24"/>
        </w:rPr>
        <w:t> </w:t>
      </w:r>
      <w:r>
        <w:rPr>
          <w:sz w:val="24"/>
        </w:rPr>
        <w:t>to</w:t>
      </w:r>
      <w:r>
        <w:rPr>
          <w:spacing w:val="40"/>
          <w:sz w:val="24"/>
        </w:rPr>
        <w:t> </w:t>
      </w:r>
      <w:r>
        <w:rPr>
          <w:sz w:val="24"/>
        </w:rPr>
        <w:t>acquisition.</w:t>
      </w:r>
      <w:r>
        <w:rPr>
          <w:spacing w:val="40"/>
          <w:sz w:val="24"/>
        </w:rPr>
        <w:t> </w:t>
      </w:r>
      <w:r>
        <w:rPr>
          <w:sz w:val="24"/>
        </w:rPr>
        <w:t>Further</w:t>
      </w:r>
      <w:r>
        <w:rPr>
          <w:spacing w:val="40"/>
          <w:sz w:val="24"/>
        </w:rPr>
        <w:t> </w:t>
      </w:r>
      <w:r>
        <w:rPr>
          <w:sz w:val="24"/>
        </w:rPr>
        <w:t>in such cases area of existing Layout Recreational Open Space shall have</w:t>
      </w:r>
      <w:r>
        <w:rPr>
          <w:spacing w:val="40"/>
          <w:sz w:val="24"/>
        </w:rPr>
        <w:t> </w:t>
      </w:r>
      <w:r>
        <w:rPr>
          <w:sz w:val="24"/>
        </w:rPr>
        <w:t>to</w:t>
      </w:r>
      <w:r>
        <w:rPr>
          <w:spacing w:val="40"/>
          <w:sz w:val="24"/>
        </w:rPr>
        <w:t> </w:t>
      </w:r>
      <w:r>
        <w:rPr>
          <w:sz w:val="24"/>
        </w:rPr>
        <w:t>be</w:t>
      </w:r>
      <w:r>
        <w:rPr>
          <w:spacing w:val="40"/>
          <w:sz w:val="24"/>
        </w:rPr>
        <w:t> </w:t>
      </w:r>
      <w:r>
        <w:rPr>
          <w:sz w:val="24"/>
        </w:rPr>
        <w:t>maintained</w:t>
      </w:r>
      <w:r>
        <w:rPr>
          <w:spacing w:val="40"/>
          <w:sz w:val="24"/>
        </w:rPr>
        <w:t> </w:t>
      </w:r>
      <w:r>
        <w:rPr>
          <w:sz w:val="24"/>
        </w:rPr>
        <w:t>by</w:t>
      </w:r>
      <w:r>
        <w:rPr>
          <w:spacing w:val="40"/>
          <w:sz w:val="24"/>
        </w:rPr>
        <w:t> </w:t>
      </w:r>
      <w:r>
        <w:rPr>
          <w:sz w:val="24"/>
        </w:rPr>
        <w:t>the</w:t>
      </w:r>
      <w:r>
        <w:rPr>
          <w:spacing w:val="40"/>
          <w:sz w:val="24"/>
        </w:rPr>
        <w:t> </w:t>
      </w:r>
      <w:r>
        <w:rPr>
          <w:sz w:val="24"/>
        </w:rPr>
        <w:t>owner/Co</w:t>
      </w:r>
      <w:r>
        <w:rPr>
          <w:spacing w:val="40"/>
          <w:sz w:val="24"/>
        </w:rPr>
        <w:t> </w:t>
      </w:r>
      <w:r>
        <w:rPr>
          <w:sz w:val="24"/>
        </w:rPr>
        <w:t>Op</w:t>
      </w:r>
      <w:r>
        <w:rPr>
          <w:spacing w:val="40"/>
          <w:sz w:val="24"/>
        </w:rPr>
        <w:t> </w:t>
      </w:r>
      <w:r>
        <w:rPr>
          <w:sz w:val="24"/>
        </w:rPr>
        <w:t>Hsg.</w:t>
      </w:r>
      <w:r>
        <w:rPr>
          <w:spacing w:val="40"/>
          <w:sz w:val="24"/>
        </w:rPr>
        <w:t> </w:t>
      </w:r>
      <w:r>
        <w:rPr>
          <w:sz w:val="24"/>
        </w:rPr>
        <w:t>So/federation</w:t>
      </w:r>
      <w:r>
        <w:rPr>
          <w:spacing w:val="40"/>
          <w:sz w:val="24"/>
        </w:rPr>
        <w:t> </w:t>
      </w:r>
      <w:r>
        <w:rPr>
          <w:sz w:val="24"/>
        </w:rPr>
        <w:t>etc. as the case may be.</w:t>
      </w:r>
    </w:p>
    <w:p>
      <w:pPr>
        <w:pStyle w:val="BodyText"/>
        <w:spacing w:before="20"/>
        <w:jc w:val="left"/>
      </w:pPr>
    </w:p>
    <w:p>
      <w:pPr>
        <w:pStyle w:val="Heading2"/>
        <w:numPr>
          <w:ilvl w:val="0"/>
          <w:numId w:val="97"/>
        </w:numPr>
        <w:tabs>
          <w:tab w:pos="1493" w:val="left" w:leader="none"/>
        </w:tabs>
        <w:spacing w:line="240" w:lineRule="auto" w:before="0" w:after="0"/>
        <w:ind w:left="1493" w:right="0" w:hanging="721"/>
        <w:jc w:val="left"/>
      </w:pPr>
      <w:r>
        <w:rPr>
          <w:spacing w:val="-2"/>
        </w:rPr>
        <w:t>Substation</w:t>
      </w:r>
    </w:p>
    <w:p>
      <w:pPr>
        <w:pStyle w:val="BodyText"/>
        <w:spacing w:before="31"/>
        <w:jc w:val="left"/>
        <w:rPr>
          <w:b/>
          <w:sz w:val="28"/>
        </w:rPr>
      </w:pPr>
    </w:p>
    <w:p>
      <w:pPr>
        <w:pStyle w:val="Heading6"/>
        <w:numPr>
          <w:ilvl w:val="0"/>
          <w:numId w:val="107"/>
        </w:numPr>
        <w:tabs>
          <w:tab w:pos="1872" w:val="left" w:leader="none"/>
          <w:tab w:pos="1953" w:val="left" w:leader="none"/>
          <w:tab w:pos="8934" w:val="left" w:leader="none"/>
        </w:tabs>
        <w:spacing w:line="240" w:lineRule="auto" w:before="0" w:after="0"/>
        <w:ind w:left="1872" w:right="785" w:hanging="440"/>
        <w:jc w:val="left"/>
      </w:pPr>
      <w:r>
        <w:rPr/>
        <w:tab/>
        <w:t>Electrical</w:t>
      </w:r>
      <w:r>
        <w:rPr>
          <w:spacing w:val="40"/>
        </w:rPr>
        <w:t> </w:t>
      </w:r>
      <w:r>
        <w:rPr/>
        <w:t>Consumer</w:t>
      </w:r>
      <w:r>
        <w:rPr>
          <w:spacing w:val="40"/>
        </w:rPr>
        <w:t> </w:t>
      </w:r>
      <w:r>
        <w:rPr/>
        <w:t>Substation</w:t>
      </w:r>
      <w:r>
        <w:rPr>
          <w:spacing w:val="40"/>
        </w:rPr>
        <w:t> </w:t>
      </w:r>
      <w:r>
        <w:rPr/>
        <w:t>(CSS)/Distribution</w:t>
        <w:tab/>
      </w:r>
      <w:r>
        <w:rPr>
          <w:spacing w:val="-2"/>
        </w:rPr>
        <w:t>Substation (DSS):</w:t>
      </w:r>
    </w:p>
    <w:p>
      <w:pPr>
        <w:pStyle w:val="BodyText"/>
        <w:spacing w:before="241"/>
        <w:ind w:left="1872" w:right="775"/>
      </w:pPr>
      <w:r>
        <w:rPr/>
        <w:t>In case of </w:t>
      </w:r>
      <w:r>
        <w:rPr>
          <w:spacing w:val="9"/>
        </w:rPr>
        <w:t>development/redevelopment</w:t>
      </w:r>
      <w:r>
        <w:rPr>
          <w:spacing w:val="9"/>
        </w:rPr>
        <w:t> </w:t>
      </w:r>
      <w:r>
        <w:rPr/>
        <w:t>of any land, building or premises,</w:t>
      </w:r>
      <w:r>
        <w:rPr>
          <w:spacing w:val="40"/>
        </w:rPr>
        <w:t> </w:t>
      </w:r>
      <w:r>
        <w:rPr/>
        <w:t>provision</w:t>
      </w:r>
      <w:r>
        <w:rPr>
          <w:spacing w:val="40"/>
        </w:rPr>
        <w:t> </w:t>
      </w:r>
      <w:r>
        <w:rPr/>
        <w:t>for</w:t>
      </w:r>
      <w:r>
        <w:rPr>
          <w:spacing w:val="40"/>
        </w:rPr>
        <w:t> </w:t>
      </w:r>
      <w:r>
        <w:rPr/>
        <w:t>electric</w:t>
      </w:r>
      <w:r>
        <w:rPr>
          <w:spacing w:val="11"/>
        </w:rPr>
        <w:t> sub-</w:t>
      </w:r>
      <w:r>
        <w:rPr/>
        <w:t>stations</w:t>
      </w:r>
      <w:r>
        <w:rPr>
          <w:spacing w:val="40"/>
        </w:rPr>
        <w:t> </w:t>
      </w:r>
      <w:r>
        <w:rPr/>
        <w:t>may</w:t>
      </w:r>
      <w:r>
        <w:rPr>
          <w:spacing w:val="40"/>
        </w:rPr>
        <w:t> </w:t>
      </w:r>
      <w:r>
        <w:rPr/>
        <w:t>be</w:t>
      </w:r>
      <w:r>
        <w:rPr>
          <w:spacing w:val="40"/>
        </w:rPr>
        <w:t> </w:t>
      </w:r>
      <w:r>
        <w:rPr/>
        <w:t>permitted</w:t>
      </w:r>
      <w:r>
        <w:rPr>
          <w:spacing w:val="40"/>
        </w:rPr>
        <w:t> </w:t>
      </w:r>
      <w:r>
        <w:rPr/>
        <w:t>as </w:t>
      </w:r>
      <w:r>
        <w:rPr>
          <w:spacing w:val="-2"/>
        </w:rPr>
        <w:t>under</w:t>
      </w:r>
    </w:p>
    <w:p>
      <w:pPr>
        <w:pStyle w:val="Heading5"/>
        <w:spacing w:before="240"/>
        <w:ind w:left="1433"/>
      </w:pPr>
      <w:r>
        <w:rPr/>
        <w:t>Table</w:t>
      </w:r>
      <w:r>
        <w:rPr>
          <w:spacing w:val="2"/>
        </w:rPr>
        <w:t> </w:t>
      </w:r>
      <w:r>
        <w:rPr>
          <w:spacing w:val="-2"/>
        </w:rPr>
        <w:t>No.11.</w:t>
      </w:r>
    </w:p>
    <w:p>
      <w:pPr>
        <w:spacing w:before="241"/>
        <w:ind w:left="2124" w:right="0" w:firstLine="0"/>
        <w:jc w:val="left"/>
        <w:rPr>
          <w:b/>
          <w:sz w:val="24"/>
        </w:rPr>
      </w:pPr>
      <w:r>
        <w:rPr>
          <w:b/>
          <w:sz w:val="24"/>
        </w:rPr>
        <w:t>Requirements</w:t>
      </w:r>
      <w:r>
        <w:rPr>
          <w:b/>
          <w:spacing w:val="23"/>
          <w:sz w:val="24"/>
        </w:rPr>
        <w:t> </w:t>
      </w:r>
      <w:r>
        <w:rPr>
          <w:b/>
          <w:sz w:val="24"/>
        </w:rPr>
        <w:t>of</w:t>
      </w:r>
      <w:r>
        <w:rPr>
          <w:b/>
          <w:spacing w:val="30"/>
          <w:sz w:val="24"/>
        </w:rPr>
        <w:t> </w:t>
      </w:r>
      <w:r>
        <w:rPr>
          <w:b/>
          <w:sz w:val="24"/>
        </w:rPr>
        <w:t>plot</w:t>
      </w:r>
      <w:r>
        <w:rPr>
          <w:b/>
          <w:spacing w:val="30"/>
          <w:sz w:val="24"/>
        </w:rPr>
        <w:t> </w:t>
      </w:r>
      <w:r>
        <w:rPr>
          <w:b/>
          <w:sz w:val="24"/>
        </w:rPr>
        <w:t>area</w:t>
      </w:r>
      <w:r>
        <w:rPr>
          <w:b/>
          <w:spacing w:val="31"/>
          <w:sz w:val="24"/>
        </w:rPr>
        <w:t> </w:t>
      </w:r>
      <w:r>
        <w:rPr>
          <w:b/>
          <w:sz w:val="24"/>
        </w:rPr>
        <w:t>for</w:t>
      </w:r>
      <w:r>
        <w:rPr>
          <w:b/>
          <w:spacing w:val="35"/>
          <w:sz w:val="24"/>
        </w:rPr>
        <w:t> </w:t>
      </w:r>
      <w:r>
        <w:rPr>
          <w:b/>
          <w:sz w:val="24"/>
        </w:rPr>
        <w:t>Consumer</w:t>
      </w:r>
      <w:r>
        <w:rPr>
          <w:b/>
          <w:spacing w:val="50"/>
          <w:sz w:val="24"/>
        </w:rPr>
        <w:t> </w:t>
      </w:r>
      <w:r>
        <w:rPr>
          <w:b/>
          <w:sz w:val="24"/>
        </w:rPr>
        <w:t>Substation</w:t>
      </w:r>
      <w:r>
        <w:rPr>
          <w:b/>
          <w:spacing w:val="53"/>
          <w:sz w:val="24"/>
        </w:rPr>
        <w:t> </w:t>
      </w:r>
      <w:r>
        <w:rPr>
          <w:b/>
          <w:spacing w:val="-2"/>
          <w:sz w:val="24"/>
        </w:rPr>
        <w:t>(CSS).</w:t>
      </w:r>
    </w:p>
    <w:p>
      <w:pPr>
        <w:pStyle w:val="BodyText"/>
        <w:spacing w:before="5"/>
        <w:jc w:val="left"/>
        <w:rPr>
          <w:b/>
          <w:sz w:val="20"/>
        </w:rPr>
      </w:pPr>
    </w:p>
    <w:tbl>
      <w:tblPr>
        <w:tblW w:w="0" w:type="auto"/>
        <w:jc w:val="left"/>
        <w:tblInd w:w="1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3420"/>
        <w:gridCol w:w="4589"/>
      </w:tblGrid>
      <w:tr>
        <w:trPr>
          <w:trHeight w:val="966" w:hRule="atLeast"/>
        </w:trPr>
        <w:tc>
          <w:tcPr>
            <w:tcW w:w="811" w:type="dxa"/>
            <w:shd w:val="clear" w:color="auto" w:fill="E7E6E6"/>
          </w:tcPr>
          <w:p>
            <w:pPr>
              <w:pStyle w:val="TableParagraph"/>
              <w:spacing w:before="40"/>
              <w:ind w:left="107" w:right="345"/>
              <w:rPr>
                <w:sz w:val="24"/>
              </w:rPr>
            </w:pPr>
            <w:r>
              <w:rPr>
                <w:spacing w:val="-4"/>
                <w:sz w:val="24"/>
              </w:rPr>
              <w:t>Sr. </w:t>
            </w:r>
            <w:r>
              <w:rPr>
                <w:spacing w:val="-5"/>
                <w:sz w:val="24"/>
              </w:rPr>
              <w:t>No</w:t>
            </w:r>
          </w:p>
        </w:tc>
        <w:tc>
          <w:tcPr>
            <w:tcW w:w="3420" w:type="dxa"/>
            <w:shd w:val="clear" w:color="auto" w:fill="E7E6E6"/>
          </w:tcPr>
          <w:p>
            <w:pPr>
              <w:pStyle w:val="TableParagraph"/>
              <w:spacing w:before="37"/>
              <w:ind w:left="107"/>
              <w:rPr>
                <w:sz w:val="24"/>
              </w:rPr>
            </w:pPr>
            <w:r>
              <w:rPr>
                <w:sz w:val="24"/>
              </w:rPr>
              <w:t>Plot</w:t>
            </w:r>
            <w:r>
              <w:rPr>
                <w:spacing w:val="46"/>
                <w:sz w:val="24"/>
              </w:rPr>
              <w:t> </w:t>
            </w:r>
            <w:r>
              <w:rPr>
                <w:sz w:val="24"/>
              </w:rPr>
              <w:t>Area</w:t>
            </w:r>
            <w:r>
              <w:rPr>
                <w:spacing w:val="46"/>
                <w:sz w:val="24"/>
              </w:rPr>
              <w:t> </w:t>
            </w:r>
            <w:r>
              <w:rPr>
                <w:sz w:val="24"/>
              </w:rPr>
              <w:t>(Sq.</w:t>
            </w:r>
            <w:r>
              <w:rPr>
                <w:spacing w:val="50"/>
                <w:sz w:val="24"/>
              </w:rPr>
              <w:t> </w:t>
            </w:r>
            <w:r>
              <w:rPr>
                <w:spacing w:val="-5"/>
                <w:sz w:val="24"/>
              </w:rPr>
              <w:t>m)</w:t>
            </w:r>
          </w:p>
        </w:tc>
        <w:tc>
          <w:tcPr>
            <w:tcW w:w="4589" w:type="dxa"/>
            <w:shd w:val="clear" w:color="auto" w:fill="E7E6E6"/>
          </w:tcPr>
          <w:p>
            <w:pPr>
              <w:pStyle w:val="TableParagraph"/>
              <w:spacing w:before="40"/>
              <w:ind w:left="108" w:right="300"/>
              <w:rPr>
                <w:sz w:val="24"/>
              </w:rPr>
            </w:pPr>
            <w:r>
              <w:rPr>
                <w:sz w:val="24"/>
              </w:rPr>
              <w:t>Maximum area of land for CSS/DSS in sq. m</w:t>
            </w:r>
          </w:p>
        </w:tc>
      </w:tr>
      <w:tr>
        <w:trPr>
          <w:trHeight w:val="360" w:hRule="atLeast"/>
        </w:trPr>
        <w:tc>
          <w:tcPr>
            <w:tcW w:w="811" w:type="dxa"/>
          </w:tcPr>
          <w:p>
            <w:pPr>
              <w:pStyle w:val="TableParagraph"/>
              <w:spacing w:before="38"/>
              <w:ind w:left="107"/>
              <w:rPr>
                <w:sz w:val="24"/>
              </w:rPr>
            </w:pPr>
            <w:r>
              <w:rPr>
                <w:spacing w:val="-10"/>
                <w:sz w:val="24"/>
              </w:rPr>
              <w:t>1</w:t>
            </w:r>
          </w:p>
        </w:tc>
        <w:tc>
          <w:tcPr>
            <w:tcW w:w="3420" w:type="dxa"/>
          </w:tcPr>
          <w:p>
            <w:pPr>
              <w:pStyle w:val="TableParagraph"/>
              <w:spacing w:before="38"/>
              <w:ind w:left="107"/>
              <w:rPr>
                <w:sz w:val="24"/>
              </w:rPr>
            </w:pPr>
            <w:r>
              <w:rPr>
                <w:sz w:val="24"/>
              </w:rPr>
              <w:t>Upto</w:t>
            </w:r>
            <w:r>
              <w:rPr>
                <w:spacing w:val="-3"/>
                <w:sz w:val="24"/>
              </w:rPr>
              <w:t> </w:t>
            </w:r>
            <w:r>
              <w:rPr>
                <w:spacing w:val="-4"/>
                <w:sz w:val="24"/>
              </w:rPr>
              <w:t>1000</w:t>
            </w:r>
          </w:p>
        </w:tc>
        <w:tc>
          <w:tcPr>
            <w:tcW w:w="4589" w:type="dxa"/>
          </w:tcPr>
          <w:p>
            <w:pPr>
              <w:pStyle w:val="TableParagraph"/>
              <w:spacing w:before="38"/>
              <w:ind w:left="108"/>
              <w:rPr>
                <w:sz w:val="24"/>
              </w:rPr>
            </w:pPr>
            <w:r>
              <w:rPr>
                <w:spacing w:val="-5"/>
                <w:sz w:val="24"/>
              </w:rPr>
              <w:t>Nil</w:t>
            </w:r>
          </w:p>
        </w:tc>
      </w:tr>
      <w:tr>
        <w:trPr>
          <w:trHeight w:val="645" w:hRule="atLeast"/>
        </w:trPr>
        <w:tc>
          <w:tcPr>
            <w:tcW w:w="811" w:type="dxa"/>
          </w:tcPr>
          <w:p>
            <w:pPr>
              <w:pStyle w:val="TableParagraph"/>
              <w:spacing w:before="40"/>
              <w:ind w:left="107"/>
              <w:rPr>
                <w:sz w:val="24"/>
              </w:rPr>
            </w:pPr>
            <w:r>
              <w:rPr>
                <w:spacing w:val="-10"/>
                <w:sz w:val="24"/>
              </w:rPr>
              <w:t>2</w:t>
            </w:r>
          </w:p>
        </w:tc>
        <w:tc>
          <w:tcPr>
            <w:tcW w:w="3420" w:type="dxa"/>
          </w:tcPr>
          <w:p>
            <w:pPr>
              <w:pStyle w:val="TableParagraph"/>
              <w:spacing w:before="40"/>
              <w:ind w:left="107"/>
              <w:rPr>
                <w:sz w:val="24"/>
              </w:rPr>
            </w:pPr>
            <w:r>
              <w:rPr>
                <w:sz w:val="24"/>
              </w:rPr>
              <w:t>Above</w:t>
            </w:r>
            <w:r>
              <w:rPr>
                <w:spacing w:val="-2"/>
                <w:sz w:val="24"/>
              </w:rPr>
              <w:t> </w:t>
            </w:r>
            <w:r>
              <w:rPr>
                <w:sz w:val="24"/>
              </w:rPr>
              <w:t>1000</w:t>
            </w:r>
            <w:r>
              <w:rPr>
                <w:spacing w:val="-1"/>
                <w:sz w:val="24"/>
              </w:rPr>
              <w:t> </w:t>
            </w:r>
            <w:r>
              <w:rPr>
                <w:sz w:val="24"/>
              </w:rPr>
              <w:t>&amp;</w:t>
            </w:r>
            <w:r>
              <w:rPr>
                <w:spacing w:val="-1"/>
                <w:sz w:val="24"/>
              </w:rPr>
              <w:t> </w:t>
            </w:r>
            <w:r>
              <w:rPr>
                <w:sz w:val="24"/>
              </w:rPr>
              <w:t>up</w:t>
            </w:r>
            <w:r>
              <w:rPr>
                <w:spacing w:val="-1"/>
                <w:sz w:val="24"/>
              </w:rPr>
              <w:t> </w:t>
            </w:r>
            <w:r>
              <w:rPr>
                <w:sz w:val="24"/>
              </w:rPr>
              <w:t>to</w:t>
            </w:r>
            <w:r>
              <w:rPr>
                <w:spacing w:val="-1"/>
                <w:sz w:val="24"/>
              </w:rPr>
              <w:t> </w:t>
            </w:r>
            <w:r>
              <w:rPr>
                <w:spacing w:val="-4"/>
                <w:sz w:val="24"/>
              </w:rPr>
              <w:t>2000</w:t>
            </w:r>
          </w:p>
        </w:tc>
        <w:tc>
          <w:tcPr>
            <w:tcW w:w="4589" w:type="dxa"/>
          </w:tcPr>
          <w:p>
            <w:pPr>
              <w:pStyle w:val="TableParagraph"/>
              <w:spacing w:line="281" w:lineRule="exact" w:before="42"/>
              <w:ind w:left="108"/>
              <w:rPr>
                <w:sz w:val="24"/>
              </w:rPr>
            </w:pPr>
            <w:r>
              <w:rPr>
                <w:sz w:val="24"/>
              </w:rPr>
              <w:t>40.00</w:t>
            </w:r>
            <w:r>
              <w:rPr>
                <w:spacing w:val="69"/>
                <w:sz w:val="24"/>
              </w:rPr>
              <w:t> </w:t>
            </w:r>
            <w:r>
              <w:rPr>
                <w:sz w:val="24"/>
              </w:rPr>
              <w:t>(single</w:t>
            </w:r>
            <w:r>
              <w:rPr>
                <w:spacing w:val="69"/>
                <w:sz w:val="24"/>
              </w:rPr>
              <w:t> </w:t>
            </w:r>
            <w:r>
              <w:rPr>
                <w:sz w:val="24"/>
              </w:rPr>
              <w:t>Transformer</w:t>
            </w:r>
            <w:r>
              <w:rPr>
                <w:spacing w:val="69"/>
                <w:sz w:val="24"/>
              </w:rPr>
              <w:t> </w:t>
            </w:r>
            <w:r>
              <w:rPr>
                <w:sz w:val="24"/>
              </w:rPr>
              <w:t>of</w:t>
            </w:r>
            <w:r>
              <w:rPr>
                <w:spacing w:val="69"/>
                <w:sz w:val="24"/>
              </w:rPr>
              <w:t> </w:t>
            </w:r>
            <w:r>
              <w:rPr>
                <w:sz w:val="24"/>
              </w:rPr>
              <w:t>8.0</w:t>
            </w:r>
            <w:r>
              <w:rPr>
                <w:spacing w:val="70"/>
                <w:sz w:val="24"/>
              </w:rPr>
              <w:t> </w:t>
            </w:r>
            <w:r>
              <w:rPr>
                <w:spacing w:val="-10"/>
                <w:sz w:val="24"/>
              </w:rPr>
              <w:t>X</w:t>
            </w:r>
          </w:p>
          <w:p>
            <w:pPr>
              <w:pStyle w:val="TableParagraph"/>
              <w:spacing w:line="281" w:lineRule="exact"/>
              <w:ind w:left="108"/>
              <w:rPr>
                <w:sz w:val="24"/>
              </w:rPr>
            </w:pPr>
            <w:r>
              <w:rPr>
                <w:spacing w:val="-4"/>
                <w:sz w:val="24"/>
              </w:rPr>
              <w:t>5.0)</w:t>
            </w:r>
          </w:p>
        </w:tc>
      </w:tr>
      <w:tr>
        <w:trPr>
          <w:trHeight w:val="642" w:hRule="atLeast"/>
        </w:trPr>
        <w:tc>
          <w:tcPr>
            <w:tcW w:w="811" w:type="dxa"/>
          </w:tcPr>
          <w:p>
            <w:pPr>
              <w:pStyle w:val="TableParagraph"/>
              <w:spacing w:before="37"/>
              <w:ind w:left="107"/>
              <w:rPr>
                <w:sz w:val="24"/>
              </w:rPr>
            </w:pPr>
            <w:r>
              <w:rPr>
                <w:spacing w:val="-10"/>
                <w:sz w:val="24"/>
              </w:rPr>
              <w:t>3</w:t>
            </w:r>
          </w:p>
        </w:tc>
        <w:tc>
          <w:tcPr>
            <w:tcW w:w="3420" w:type="dxa"/>
          </w:tcPr>
          <w:p>
            <w:pPr>
              <w:pStyle w:val="TableParagraph"/>
              <w:spacing w:before="37"/>
              <w:ind w:left="107"/>
              <w:rPr>
                <w:sz w:val="24"/>
              </w:rPr>
            </w:pPr>
            <w:r>
              <w:rPr>
                <w:sz w:val="24"/>
              </w:rPr>
              <w:t>Above</w:t>
            </w:r>
            <w:r>
              <w:rPr>
                <w:spacing w:val="-1"/>
                <w:sz w:val="24"/>
              </w:rPr>
              <w:t> </w:t>
            </w:r>
            <w:r>
              <w:rPr>
                <w:sz w:val="24"/>
              </w:rPr>
              <w:t>2000&amp; up</w:t>
            </w:r>
            <w:r>
              <w:rPr>
                <w:spacing w:val="-1"/>
                <w:sz w:val="24"/>
              </w:rPr>
              <w:t> </w:t>
            </w:r>
            <w:r>
              <w:rPr>
                <w:sz w:val="24"/>
              </w:rPr>
              <w:t>to </w:t>
            </w:r>
            <w:r>
              <w:rPr>
                <w:spacing w:val="-4"/>
                <w:sz w:val="24"/>
              </w:rPr>
              <w:t>4000</w:t>
            </w:r>
          </w:p>
        </w:tc>
        <w:tc>
          <w:tcPr>
            <w:tcW w:w="4589" w:type="dxa"/>
          </w:tcPr>
          <w:p>
            <w:pPr>
              <w:pStyle w:val="TableParagraph"/>
              <w:spacing w:line="281" w:lineRule="exact" w:before="40"/>
              <w:ind w:left="108"/>
              <w:rPr>
                <w:sz w:val="24"/>
              </w:rPr>
            </w:pPr>
            <w:r>
              <w:rPr>
                <w:sz w:val="24"/>
              </w:rPr>
              <w:t>66.00</w:t>
            </w:r>
            <w:r>
              <w:rPr>
                <w:spacing w:val="35"/>
                <w:sz w:val="24"/>
              </w:rPr>
              <w:t> </w:t>
            </w:r>
            <w:r>
              <w:rPr>
                <w:sz w:val="24"/>
              </w:rPr>
              <w:t>(single</w:t>
            </w:r>
            <w:r>
              <w:rPr>
                <w:spacing w:val="40"/>
                <w:sz w:val="24"/>
              </w:rPr>
              <w:t> </w:t>
            </w:r>
            <w:r>
              <w:rPr>
                <w:sz w:val="24"/>
              </w:rPr>
              <w:t>Transformer</w:t>
            </w:r>
            <w:r>
              <w:rPr>
                <w:spacing w:val="38"/>
                <w:sz w:val="24"/>
              </w:rPr>
              <w:t> </w:t>
            </w:r>
            <w:r>
              <w:rPr>
                <w:sz w:val="24"/>
              </w:rPr>
              <w:t>of</w:t>
            </w:r>
            <w:r>
              <w:rPr>
                <w:spacing w:val="37"/>
                <w:sz w:val="24"/>
              </w:rPr>
              <w:t> </w:t>
            </w:r>
            <w:r>
              <w:rPr>
                <w:sz w:val="24"/>
              </w:rPr>
              <w:t>12.0</w:t>
            </w:r>
            <w:r>
              <w:rPr>
                <w:spacing w:val="38"/>
                <w:sz w:val="24"/>
              </w:rPr>
              <w:t> </w:t>
            </w:r>
            <w:r>
              <w:rPr>
                <w:spacing w:val="-10"/>
                <w:sz w:val="24"/>
              </w:rPr>
              <w:t>X</w:t>
            </w:r>
          </w:p>
          <w:p>
            <w:pPr>
              <w:pStyle w:val="TableParagraph"/>
              <w:spacing w:line="281" w:lineRule="exact"/>
              <w:ind w:left="108"/>
              <w:rPr>
                <w:sz w:val="24"/>
              </w:rPr>
            </w:pPr>
            <w:r>
              <w:rPr>
                <w:spacing w:val="-4"/>
                <w:sz w:val="24"/>
              </w:rPr>
              <w:t>5.5)</w:t>
            </w:r>
          </w:p>
        </w:tc>
      </w:tr>
      <w:tr>
        <w:trPr>
          <w:trHeight w:val="642" w:hRule="atLeast"/>
        </w:trPr>
        <w:tc>
          <w:tcPr>
            <w:tcW w:w="811" w:type="dxa"/>
          </w:tcPr>
          <w:p>
            <w:pPr>
              <w:pStyle w:val="TableParagraph"/>
              <w:spacing w:before="37"/>
              <w:ind w:left="107"/>
              <w:rPr>
                <w:sz w:val="24"/>
              </w:rPr>
            </w:pPr>
            <w:r>
              <w:rPr>
                <w:spacing w:val="-10"/>
                <w:sz w:val="24"/>
              </w:rPr>
              <w:t>4</w:t>
            </w:r>
          </w:p>
        </w:tc>
        <w:tc>
          <w:tcPr>
            <w:tcW w:w="3420" w:type="dxa"/>
          </w:tcPr>
          <w:p>
            <w:pPr>
              <w:pStyle w:val="TableParagraph"/>
              <w:spacing w:before="37"/>
              <w:ind w:left="107"/>
              <w:rPr>
                <w:sz w:val="24"/>
              </w:rPr>
            </w:pPr>
            <w:r>
              <w:rPr>
                <w:sz w:val="24"/>
              </w:rPr>
              <w:t>Above</w:t>
            </w:r>
            <w:r>
              <w:rPr>
                <w:spacing w:val="-1"/>
                <w:sz w:val="24"/>
              </w:rPr>
              <w:t> </w:t>
            </w:r>
            <w:r>
              <w:rPr>
                <w:sz w:val="24"/>
              </w:rPr>
              <w:t>4000</w:t>
            </w:r>
            <w:r>
              <w:rPr>
                <w:spacing w:val="-1"/>
                <w:sz w:val="24"/>
              </w:rPr>
              <w:t> </w:t>
            </w:r>
            <w:r>
              <w:rPr>
                <w:sz w:val="24"/>
              </w:rPr>
              <w:t>&amp;</w:t>
            </w:r>
            <w:r>
              <w:rPr>
                <w:spacing w:val="-1"/>
                <w:sz w:val="24"/>
              </w:rPr>
              <w:t> </w:t>
            </w:r>
            <w:r>
              <w:rPr>
                <w:sz w:val="24"/>
              </w:rPr>
              <w:t>up</w:t>
            </w:r>
            <w:r>
              <w:rPr>
                <w:spacing w:val="-1"/>
                <w:sz w:val="24"/>
              </w:rPr>
              <w:t> </w:t>
            </w:r>
            <w:r>
              <w:rPr>
                <w:sz w:val="24"/>
              </w:rPr>
              <w:t>to</w:t>
            </w:r>
            <w:r>
              <w:rPr>
                <w:spacing w:val="-1"/>
                <w:sz w:val="24"/>
              </w:rPr>
              <w:t> </w:t>
            </w:r>
            <w:r>
              <w:rPr>
                <w:spacing w:val="-2"/>
                <w:sz w:val="24"/>
              </w:rPr>
              <w:t>20000</w:t>
            </w:r>
          </w:p>
        </w:tc>
        <w:tc>
          <w:tcPr>
            <w:tcW w:w="4589" w:type="dxa"/>
          </w:tcPr>
          <w:p>
            <w:pPr>
              <w:pStyle w:val="TableParagraph"/>
              <w:spacing w:before="40"/>
              <w:ind w:left="108" w:right="88"/>
              <w:rPr>
                <w:sz w:val="24"/>
              </w:rPr>
            </w:pPr>
            <w:r>
              <w:rPr>
                <w:sz w:val="24"/>
              </w:rPr>
              <w:t>143.00</w:t>
            </w:r>
            <w:r>
              <w:rPr>
                <w:spacing w:val="-20"/>
                <w:sz w:val="24"/>
              </w:rPr>
              <w:t> </w:t>
            </w:r>
            <w:r>
              <w:rPr>
                <w:sz w:val="24"/>
              </w:rPr>
              <w:t>(Two</w:t>
            </w:r>
            <w:r>
              <w:rPr>
                <w:spacing w:val="-19"/>
                <w:sz w:val="24"/>
              </w:rPr>
              <w:t> </w:t>
            </w:r>
            <w:r>
              <w:rPr>
                <w:sz w:val="24"/>
              </w:rPr>
              <w:t>nos</w:t>
            </w:r>
            <w:r>
              <w:rPr>
                <w:spacing w:val="-19"/>
                <w:sz w:val="24"/>
              </w:rPr>
              <w:t> </w:t>
            </w:r>
            <w:r>
              <w:rPr>
                <w:sz w:val="24"/>
              </w:rPr>
              <w:t>of</w:t>
            </w:r>
            <w:r>
              <w:rPr>
                <w:spacing w:val="-19"/>
                <w:sz w:val="24"/>
              </w:rPr>
              <w:t> </w:t>
            </w:r>
            <w:r>
              <w:rPr>
                <w:sz w:val="24"/>
              </w:rPr>
              <w:t>Transformers</w:t>
            </w:r>
            <w:r>
              <w:rPr>
                <w:spacing w:val="-19"/>
                <w:sz w:val="24"/>
              </w:rPr>
              <w:t> </w:t>
            </w:r>
            <w:r>
              <w:rPr>
                <w:sz w:val="24"/>
              </w:rPr>
              <w:t>with each size 13.0 X 5.5)</w:t>
            </w:r>
          </w:p>
        </w:tc>
      </w:tr>
      <w:tr>
        <w:trPr>
          <w:trHeight w:val="362" w:hRule="atLeast"/>
        </w:trPr>
        <w:tc>
          <w:tcPr>
            <w:tcW w:w="811" w:type="dxa"/>
          </w:tcPr>
          <w:p>
            <w:pPr>
              <w:pStyle w:val="TableParagraph"/>
              <w:spacing w:before="37"/>
              <w:ind w:left="107"/>
              <w:rPr>
                <w:sz w:val="24"/>
              </w:rPr>
            </w:pPr>
            <w:r>
              <w:rPr>
                <w:spacing w:val="-10"/>
                <w:sz w:val="24"/>
              </w:rPr>
              <w:t>5</w:t>
            </w:r>
          </w:p>
        </w:tc>
        <w:tc>
          <w:tcPr>
            <w:tcW w:w="3420" w:type="dxa"/>
          </w:tcPr>
          <w:p>
            <w:pPr>
              <w:pStyle w:val="TableParagraph"/>
              <w:spacing w:before="37"/>
              <w:ind w:left="107"/>
              <w:rPr>
                <w:sz w:val="24"/>
              </w:rPr>
            </w:pPr>
            <w:r>
              <w:rPr>
                <w:spacing w:val="-2"/>
                <w:sz w:val="24"/>
              </w:rPr>
              <w:t>Above</w:t>
            </w:r>
            <w:r>
              <w:rPr>
                <w:spacing w:val="-16"/>
                <w:sz w:val="24"/>
              </w:rPr>
              <w:t> </w:t>
            </w:r>
            <w:r>
              <w:rPr>
                <w:spacing w:val="-2"/>
                <w:sz w:val="24"/>
              </w:rPr>
              <w:t>20000</w:t>
            </w:r>
            <w:r>
              <w:rPr>
                <w:spacing w:val="-15"/>
                <w:sz w:val="24"/>
              </w:rPr>
              <w:t> </w:t>
            </w:r>
            <w:r>
              <w:rPr>
                <w:spacing w:val="-2"/>
                <w:sz w:val="24"/>
              </w:rPr>
              <w:t>&amp;</w:t>
            </w:r>
            <w:r>
              <w:rPr>
                <w:spacing w:val="-15"/>
                <w:sz w:val="24"/>
              </w:rPr>
              <w:t> </w:t>
            </w:r>
            <w:r>
              <w:rPr>
                <w:spacing w:val="-2"/>
                <w:sz w:val="24"/>
              </w:rPr>
              <w:t>up</w:t>
            </w:r>
            <w:r>
              <w:rPr>
                <w:spacing w:val="-15"/>
                <w:sz w:val="24"/>
              </w:rPr>
              <w:t> </w:t>
            </w:r>
            <w:r>
              <w:rPr>
                <w:spacing w:val="-2"/>
                <w:sz w:val="24"/>
              </w:rPr>
              <w:t>to</w:t>
            </w:r>
            <w:r>
              <w:rPr>
                <w:spacing w:val="-13"/>
                <w:sz w:val="24"/>
              </w:rPr>
              <w:t> </w:t>
            </w:r>
            <w:r>
              <w:rPr>
                <w:spacing w:val="-2"/>
                <w:sz w:val="24"/>
              </w:rPr>
              <w:t>40000</w:t>
            </w:r>
          </w:p>
        </w:tc>
        <w:tc>
          <w:tcPr>
            <w:tcW w:w="4589" w:type="dxa"/>
          </w:tcPr>
          <w:p>
            <w:pPr>
              <w:pStyle w:val="TableParagraph"/>
              <w:spacing w:before="37"/>
              <w:ind w:left="108"/>
              <w:rPr>
                <w:sz w:val="24"/>
              </w:rPr>
            </w:pPr>
            <w:r>
              <w:rPr>
                <w:spacing w:val="-5"/>
                <w:sz w:val="24"/>
              </w:rPr>
              <w:t>720</w:t>
            </w:r>
          </w:p>
        </w:tc>
      </w:tr>
    </w:tbl>
    <w:p>
      <w:pPr>
        <w:pStyle w:val="BodyText"/>
        <w:spacing w:before="1"/>
        <w:ind w:left="1493"/>
        <w:jc w:val="left"/>
      </w:pPr>
      <w:r>
        <w:rPr>
          <w:spacing w:val="-4"/>
        </w:rPr>
        <w:t>Note:</w:t>
      </w:r>
    </w:p>
    <w:p>
      <w:pPr>
        <w:pStyle w:val="ListParagraph"/>
        <w:numPr>
          <w:ilvl w:val="1"/>
          <w:numId w:val="107"/>
        </w:numPr>
        <w:tabs>
          <w:tab w:pos="1834" w:val="left" w:leader="none"/>
        </w:tabs>
        <w:spacing w:line="240" w:lineRule="auto" w:before="242" w:after="0"/>
        <w:ind w:left="1404" w:right="771" w:firstLine="28"/>
        <w:jc w:val="both"/>
        <w:rPr>
          <w:sz w:val="24"/>
        </w:rPr>
      </w:pPr>
      <w:r>
        <w:rPr>
          <w:sz w:val="24"/>
        </w:rPr>
        <w:t>If the CSS is forming a part of a building, it shall comply with all the safety precautions insisted upon by the concerned Electricity Distribution Company and the requirements of Chief Fire Officer.</w:t>
      </w:r>
    </w:p>
    <w:p>
      <w:pPr>
        <w:pStyle w:val="ListParagraph"/>
        <w:numPr>
          <w:ilvl w:val="1"/>
          <w:numId w:val="107"/>
        </w:numPr>
        <w:tabs>
          <w:tab w:pos="1835" w:val="left" w:leader="none"/>
        </w:tabs>
        <w:spacing w:line="240" w:lineRule="auto" w:before="240" w:after="0"/>
        <w:ind w:left="1404" w:right="768" w:firstLine="28"/>
        <w:jc w:val="both"/>
        <w:rPr>
          <w:sz w:val="24"/>
        </w:rPr>
      </w:pPr>
      <w:r>
        <w:rPr>
          <w:sz w:val="24"/>
        </w:rPr>
        <w:t>Such allotted public spaces shall be developed and maintained by the concerned Electricity Distribution Company at its own cost, as directed by the Commissioner.</w:t>
      </w:r>
    </w:p>
    <w:p>
      <w:pPr>
        <w:pStyle w:val="ListParagraph"/>
        <w:numPr>
          <w:ilvl w:val="1"/>
          <w:numId w:val="107"/>
        </w:numPr>
        <w:tabs>
          <w:tab w:pos="1867" w:val="left" w:leader="none"/>
        </w:tabs>
        <w:spacing w:line="240" w:lineRule="auto" w:before="240" w:after="0"/>
        <w:ind w:left="1404" w:right="768" w:firstLine="28"/>
        <w:jc w:val="both"/>
        <w:rPr>
          <w:sz w:val="24"/>
        </w:rPr>
      </w:pPr>
      <w:r>
        <w:rPr>
          <w:sz w:val="24"/>
        </w:rPr>
        <w:t>For installation of above, the height as required by the technical requirements of such installations and the ancillary installations necessary for effective functioning of the system shall be permitted without taking into</w:t>
      </w:r>
    </w:p>
    <w:p>
      <w:pPr>
        <w:pStyle w:val="BodyText"/>
        <w:spacing w:before="150"/>
        <w:jc w:val="left"/>
        <w:rPr>
          <w:sz w:val="14"/>
        </w:rPr>
      </w:pPr>
    </w:p>
    <w:p>
      <w:pPr>
        <w:spacing w:before="1"/>
        <w:ind w:left="0" w:right="1052" w:firstLine="0"/>
        <w:jc w:val="right"/>
        <w:rPr>
          <w:rFonts w:ascii="Arial"/>
          <w:b/>
          <w:i/>
          <w:sz w:val="14"/>
        </w:rPr>
      </w:pPr>
      <w:r>
        <w:rPr>
          <w:rFonts w:ascii="Arial"/>
          <w:b/>
          <w:i/>
          <w:sz w:val="14"/>
        </w:rPr>
        <mc:AlternateContent>
          <mc:Choice Requires="wps">
            <w:drawing>
              <wp:anchor distT="0" distB="0" distL="0" distR="0" allowOverlap="1" layoutInCell="1" locked="0" behindDoc="1" simplePos="0" relativeHeight="471347200">
                <wp:simplePos x="0" y="0"/>
                <wp:positionH relativeFrom="page">
                  <wp:posOffset>719327</wp:posOffset>
                </wp:positionH>
                <wp:positionV relativeFrom="paragraph">
                  <wp:posOffset>27861</wp:posOffset>
                </wp:positionV>
                <wp:extent cx="2514600" cy="197485"/>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rect style="position:absolute;margin-left:56.639999pt;margin-top:2.193838pt;width:198pt;height:15.55pt;mso-position-horizontal-relative:page;mso-position-vertical-relative:paragraph;z-index:-31969280" id="docshape139" filled="false" stroked="true" strokeweight="1pt" strokecolor="#666666">
                <v:stroke dashstyle="solid"/>
                <w10:wrap type="none"/>
              </v:rect>
            </w:pict>
          </mc:Fallback>
        </mc:AlternateContent>
      </w:r>
      <w:r>
        <w:rPr>
          <w:rFonts w:ascii="Arial"/>
          <w:b/>
          <w:i/>
          <w:sz w:val="14"/>
        </w:rPr>
        <w:t>Development</w:t>
      </w:r>
      <w:r>
        <w:rPr>
          <w:rFonts w:ascii="Arial"/>
          <w:b/>
          <w:i/>
          <w:spacing w:val="-8"/>
          <w:sz w:val="14"/>
        </w:rPr>
        <w:t> </w:t>
      </w:r>
      <w:r>
        <w:rPr>
          <w:rFonts w:ascii="Arial"/>
          <w:b/>
          <w:i/>
          <w:sz w:val="14"/>
        </w:rPr>
        <w:t>Plan</w:t>
      </w:r>
      <w:r>
        <w:rPr>
          <w:rFonts w:ascii="Arial"/>
          <w:b/>
          <w:i/>
          <w:spacing w:val="-9"/>
          <w:sz w:val="14"/>
        </w:rPr>
        <w:t> </w:t>
      </w:r>
      <w:r>
        <w:rPr>
          <w:rFonts w:ascii="Arial"/>
          <w:b/>
          <w:i/>
          <w:spacing w:val="-4"/>
          <w:sz w:val="14"/>
        </w:rPr>
        <w:t>2034</w:t>
      </w:r>
    </w:p>
    <w:p>
      <w:pPr>
        <w:spacing w:after="0"/>
        <w:jc w:val="right"/>
        <w:rPr>
          <w:rFonts w:ascii="Arial"/>
          <w:b/>
          <w:i/>
          <w:sz w:val="14"/>
        </w:rPr>
        <w:sectPr>
          <w:headerReference w:type="default" r:id="rId24"/>
          <w:footerReference w:type="default" r:id="rId25"/>
          <w:pgSz w:w="11910" w:h="16840"/>
          <w:pgMar w:header="1058" w:footer="1066" w:top="1500" w:bottom="1260" w:left="360" w:right="360"/>
        </w:sectPr>
      </w:pPr>
    </w:p>
    <w:p>
      <w:pPr>
        <w:pStyle w:val="BodyText"/>
        <w:spacing w:before="255"/>
        <w:ind w:left="1404"/>
      </w:pPr>
      <w:r>
        <w:rPr/>
        <w:t>account</w:t>
      </w:r>
      <w:r>
        <w:rPr>
          <w:spacing w:val="12"/>
        </w:rPr>
        <w:t> </w:t>
      </w:r>
      <w:r>
        <w:rPr/>
        <w:t>the</w:t>
      </w:r>
      <w:r>
        <w:rPr>
          <w:spacing w:val="26"/>
        </w:rPr>
        <w:t> </w:t>
      </w:r>
      <w:r>
        <w:rPr/>
        <w:t>height</w:t>
      </w:r>
      <w:r>
        <w:rPr>
          <w:spacing w:val="15"/>
        </w:rPr>
        <w:t> </w:t>
      </w:r>
      <w:r>
        <w:rPr/>
        <w:t>parameter</w:t>
      </w:r>
      <w:r>
        <w:rPr>
          <w:spacing w:val="15"/>
        </w:rPr>
        <w:t> </w:t>
      </w:r>
      <w:r>
        <w:rPr/>
        <w:t>in</w:t>
      </w:r>
      <w:r>
        <w:rPr>
          <w:spacing w:val="13"/>
        </w:rPr>
        <w:t> </w:t>
      </w:r>
      <w:r>
        <w:rPr>
          <w:spacing w:val="-4"/>
        </w:rPr>
        <w:t>FSI.</w:t>
      </w:r>
    </w:p>
    <w:p>
      <w:pPr>
        <w:pStyle w:val="ListParagraph"/>
        <w:numPr>
          <w:ilvl w:val="1"/>
          <w:numId w:val="107"/>
        </w:numPr>
        <w:tabs>
          <w:tab w:pos="1736" w:val="left" w:leader="none"/>
        </w:tabs>
        <w:spacing w:line="240" w:lineRule="auto" w:before="241" w:after="0"/>
        <w:ind w:left="1404" w:right="768" w:firstLine="28"/>
        <w:jc w:val="both"/>
        <w:rPr>
          <w:sz w:val="24"/>
        </w:rPr>
      </w:pPr>
      <w:r>
        <w:rPr>
          <w:sz w:val="24"/>
        </w:rPr>
        <w:t>The provision for CSS shall not be made mandatory by the Electricity Distribution Company in each development. The experts in Electricity Distribution Company shall assess the requirement of CSS considering the existing facilities available</w:t>
      </w:r>
      <w:r>
        <w:rPr>
          <w:spacing w:val="40"/>
          <w:sz w:val="24"/>
        </w:rPr>
        <w:t> </w:t>
      </w:r>
      <w:r>
        <w:rPr>
          <w:sz w:val="24"/>
        </w:rPr>
        <w:t>in the neighborhood.</w:t>
      </w:r>
    </w:p>
    <w:p>
      <w:pPr>
        <w:pStyle w:val="ListParagraph"/>
        <w:numPr>
          <w:ilvl w:val="1"/>
          <w:numId w:val="107"/>
        </w:numPr>
        <w:tabs>
          <w:tab w:pos="1782" w:val="left" w:leader="none"/>
        </w:tabs>
        <w:spacing w:line="240" w:lineRule="auto" w:before="239" w:after="0"/>
        <w:ind w:left="1404" w:right="768" w:firstLine="28"/>
        <w:jc w:val="both"/>
        <w:rPr>
          <w:sz w:val="24"/>
        </w:rPr>
      </w:pPr>
      <w:r>
        <w:rPr>
          <w:sz w:val="24"/>
        </w:rPr>
        <w:t>CSS/DSS may be permitted to be constructed in LOS in such a way that area shall not exceed the limit prescribed in the Regulation No.27.</w:t>
      </w:r>
    </w:p>
    <w:p>
      <w:pPr>
        <w:pStyle w:val="ListParagraph"/>
        <w:numPr>
          <w:ilvl w:val="1"/>
          <w:numId w:val="107"/>
        </w:numPr>
        <w:tabs>
          <w:tab w:pos="1693" w:val="left" w:leader="none"/>
        </w:tabs>
        <w:spacing w:line="240" w:lineRule="auto" w:before="240" w:after="0"/>
        <w:ind w:left="1404" w:right="769" w:firstLine="0"/>
        <w:jc w:val="both"/>
        <w:rPr>
          <w:b/>
          <w:sz w:val="24"/>
        </w:rPr>
      </w:pPr>
      <w:r>
        <w:rPr>
          <w:sz w:val="24"/>
        </w:rPr>
        <w:t>Ownership</w:t>
      </w:r>
      <w:r>
        <w:rPr>
          <w:spacing w:val="-10"/>
          <w:sz w:val="24"/>
        </w:rPr>
        <w:t> </w:t>
      </w:r>
      <w:r>
        <w:rPr>
          <w:sz w:val="24"/>
        </w:rPr>
        <w:t>of</w:t>
      </w:r>
      <w:r>
        <w:rPr>
          <w:spacing w:val="-10"/>
          <w:sz w:val="24"/>
        </w:rPr>
        <w:t> </w:t>
      </w:r>
      <w:r>
        <w:rPr>
          <w:sz w:val="24"/>
        </w:rPr>
        <w:t>the</w:t>
      </w:r>
      <w:r>
        <w:rPr>
          <w:spacing w:val="-8"/>
          <w:sz w:val="24"/>
        </w:rPr>
        <w:t> </w:t>
      </w:r>
      <w:r>
        <w:rPr>
          <w:sz w:val="24"/>
        </w:rPr>
        <w:t>space/land,</w:t>
      </w:r>
      <w:r>
        <w:rPr>
          <w:spacing w:val="-10"/>
          <w:sz w:val="24"/>
        </w:rPr>
        <w:t> </w:t>
      </w:r>
      <w:r>
        <w:rPr>
          <w:sz w:val="24"/>
        </w:rPr>
        <w:t>where</w:t>
      </w:r>
      <w:r>
        <w:rPr>
          <w:spacing w:val="-10"/>
          <w:sz w:val="24"/>
        </w:rPr>
        <w:t> </w:t>
      </w:r>
      <w:r>
        <w:rPr>
          <w:sz w:val="24"/>
        </w:rPr>
        <w:t>substation</w:t>
      </w:r>
      <w:r>
        <w:rPr>
          <w:spacing w:val="-9"/>
          <w:sz w:val="24"/>
        </w:rPr>
        <w:t> </w:t>
      </w:r>
      <w:r>
        <w:rPr>
          <w:sz w:val="24"/>
        </w:rPr>
        <w:t>is</w:t>
      </w:r>
      <w:r>
        <w:rPr>
          <w:spacing w:val="-10"/>
          <w:sz w:val="24"/>
        </w:rPr>
        <w:t> </w:t>
      </w:r>
      <w:r>
        <w:rPr>
          <w:sz w:val="24"/>
        </w:rPr>
        <w:t>proposed</w:t>
      </w:r>
      <w:r>
        <w:rPr>
          <w:spacing w:val="-10"/>
          <w:sz w:val="24"/>
        </w:rPr>
        <w:t> </w:t>
      </w:r>
      <w:r>
        <w:rPr>
          <w:sz w:val="24"/>
        </w:rPr>
        <w:t>shall</w:t>
      </w:r>
      <w:r>
        <w:rPr>
          <w:spacing w:val="-10"/>
          <w:sz w:val="24"/>
        </w:rPr>
        <w:t> </w:t>
      </w:r>
      <w:r>
        <w:rPr>
          <w:sz w:val="24"/>
        </w:rPr>
        <w:t>vest</w:t>
      </w:r>
      <w:r>
        <w:rPr>
          <w:spacing w:val="-10"/>
          <w:sz w:val="24"/>
        </w:rPr>
        <w:t> </w:t>
      </w:r>
      <w:r>
        <w:rPr>
          <w:sz w:val="24"/>
        </w:rPr>
        <w:t>with concerned owner/society/association or the person deriving the title, and easement rights will vest with concerned Electric Authority till CSS/DSS remain</w:t>
      </w:r>
      <w:r>
        <w:rPr>
          <w:spacing w:val="40"/>
          <w:sz w:val="24"/>
        </w:rPr>
        <w:t> </w:t>
      </w:r>
      <w:r>
        <w:rPr>
          <w:sz w:val="24"/>
        </w:rPr>
        <w:t>inexistence</w:t>
      </w:r>
      <w:r>
        <w:rPr>
          <w:spacing w:val="40"/>
          <w:sz w:val="24"/>
        </w:rPr>
        <w:t> </w:t>
      </w:r>
      <w:r>
        <w:rPr>
          <w:sz w:val="24"/>
        </w:rPr>
        <w:t>and</w:t>
      </w:r>
      <w:r>
        <w:rPr>
          <w:spacing w:val="9"/>
          <w:sz w:val="24"/>
        </w:rPr>
        <w:t> functional</w:t>
      </w:r>
      <w:r>
        <w:rPr>
          <w:b/>
          <w:spacing w:val="9"/>
          <w:sz w:val="24"/>
        </w:rPr>
        <w:t>.</w:t>
      </w:r>
    </w:p>
    <w:p>
      <w:pPr>
        <w:pStyle w:val="ListParagraph"/>
        <w:numPr>
          <w:ilvl w:val="1"/>
          <w:numId w:val="107"/>
        </w:numPr>
        <w:tabs>
          <w:tab w:pos="1704" w:val="left" w:leader="none"/>
        </w:tabs>
        <w:spacing w:line="240" w:lineRule="auto" w:before="242" w:after="0"/>
        <w:ind w:left="1404" w:right="769" w:firstLine="28"/>
        <w:jc w:val="both"/>
        <w:rPr>
          <w:sz w:val="24"/>
        </w:rPr>
      </w:pPr>
      <w:r>
        <w:rPr>
          <w:sz w:val="24"/>
        </w:rPr>
        <w:t>The</w:t>
      </w:r>
      <w:r>
        <w:rPr>
          <w:spacing w:val="-8"/>
          <w:sz w:val="24"/>
        </w:rPr>
        <w:t> </w:t>
      </w:r>
      <w:r>
        <w:rPr>
          <w:sz w:val="24"/>
        </w:rPr>
        <w:t>sub-station</w:t>
      </w:r>
      <w:r>
        <w:rPr>
          <w:spacing w:val="-7"/>
          <w:sz w:val="24"/>
        </w:rPr>
        <w:t> </w:t>
      </w:r>
      <w:r>
        <w:rPr>
          <w:sz w:val="24"/>
        </w:rPr>
        <w:t>proposed</w:t>
      </w:r>
      <w:r>
        <w:rPr>
          <w:spacing w:val="-8"/>
          <w:sz w:val="24"/>
        </w:rPr>
        <w:t> </w:t>
      </w:r>
      <w:r>
        <w:rPr>
          <w:sz w:val="24"/>
        </w:rPr>
        <w:t>to</w:t>
      </w:r>
      <w:r>
        <w:rPr>
          <w:spacing w:val="-8"/>
          <w:sz w:val="24"/>
        </w:rPr>
        <w:t> </w:t>
      </w:r>
      <w:r>
        <w:rPr>
          <w:sz w:val="24"/>
        </w:rPr>
        <w:t>be</w:t>
      </w:r>
      <w:r>
        <w:rPr>
          <w:spacing w:val="-8"/>
          <w:sz w:val="24"/>
        </w:rPr>
        <w:t> </w:t>
      </w:r>
      <w:r>
        <w:rPr>
          <w:sz w:val="24"/>
        </w:rPr>
        <w:t>constructed</w:t>
      </w:r>
      <w:r>
        <w:rPr>
          <w:spacing w:val="-8"/>
          <w:sz w:val="24"/>
        </w:rPr>
        <w:t> </w:t>
      </w:r>
      <w:r>
        <w:rPr>
          <w:sz w:val="24"/>
        </w:rPr>
        <w:t>in</w:t>
      </w:r>
      <w:r>
        <w:rPr>
          <w:spacing w:val="-8"/>
          <w:sz w:val="24"/>
        </w:rPr>
        <w:t> </w:t>
      </w:r>
      <w:r>
        <w:rPr>
          <w:sz w:val="24"/>
        </w:rPr>
        <w:t>open</w:t>
      </w:r>
      <w:r>
        <w:rPr>
          <w:spacing w:val="-8"/>
          <w:sz w:val="24"/>
        </w:rPr>
        <w:t> </w:t>
      </w:r>
      <w:r>
        <w:rPr>
          <w:sz w:val="24"/>
        </w:rPr>
        <w:t>space</w:t>
      </w:r>
      <w:r>
        <w:rPr>
          <w:spacing w:val="-8"/>
          <w:sz w:val="24"/>
        </w:rPr>
        <w:t> </w:t>
      </w:r>
      <w:r>
        <w:rPr>
          <w:sz w:val="24"/>
        </w:rPr>
        <w:t>shall</w:t>
      </w:r>
      <w:r>
        <w:rPr>
          <w:spacing w:val="-8"/>
          <w:sz w:val="24"/>
        </w:rPr>
        <w:t> </w:t>
      </w:r>
      <w:r>
        <w:rPr>
          <w:sz w:val="24"/>
        </w:rPr>
        <w:t>be</w:t>
      </w:r>
      <w:r>
        <w:rPr>
          <w:spacing w:val="-8"/>
          <w:sz w:val="24"/>
        </w:rPr>
        <w:t> </w:t>
      </w:r>
      <w:r>
        <w:rPr>
          <w:sz w:val="24"/>
        </w:rPr>
        <w:t>in</w:t>
      </w:r>
      <w:r>
        <w:rPr>
          <w:spacing w:val="-8"/>
          <w:sz w:val="24"/>
        </w:rPr>
        <w:t> </w:t>
      </w:r>
      <w:r>
        <w:rPr>
          <w:sz w:val="24"/>
        </w:rPr>
        <w:t>such a</w:t>
      </w:r>
      <w:r>
        <w:rPr>
          <w:spacing w:val="-2"/>
          <w:sz w:val="24"/>
        </w:rPr>
        <w:t> </w:t>
      </w:r>
      <w:r>
        <w:rPr>
          <w:sz w:val="24"/>
        </w:rPr>
        <w:t>manner</w:t>
      </w:r>
      <w:r>
        <w:rPr>
          <w:spacing w:val="-2"/>
          <w:sz w:val="24"/>
        </w:rPr>
        <w:t> </w:t>
      </w:r>
      <w:r>
        <w:rPr>
          <w:sz w:val="24"/>
        </w:rPr>
        <w:t>that</w:t>
      </w:r>
      <w:r>
        <w:rPr>
          <w:spacing w:val="-2"/>
          <w:sz w:val="24"/>
        </w:rPr>
        <w:t> </w:t>
      </w:r>
      <w:r>
        <w:rPr>
          <w:sz w:val="24"/>
        </w:rPr>
        <w:t>it is</w:t>
      </w:r>
      <w:r>
        <w:rPr>
          <w:spacing w:val="-2"/>
          <w:sz w:val="24"/>
        </w:rPr>
        <w:t> </w:t>
      </w:r>
      <w:r>
        <w:rPr>
          <w:sz w:val="24"/>
        </w:rPr>
        <w:t>away</w:t>
      </w:r>
      <w:r>
        <w:rPr>
          <w:spacing w:val="-2"/>
          <w:sz w:val="24"/>
        </w:rPr>
        <w:t> </w:t>
      </w:r>
      <w:r>
        <w:rPr>
          <w:sz w:val="24"/>
        </w:rPr>
        <w:t>from</w:t>
      </w:r>
      <w:r>
        <w:rPr>
          <w:spacing w:val="-2"/>
          <w:sz w:val="24"/>
        </w:rPr>
        <w:t> </w:t>
      </w:r>
      <w:r>
        <w:rPr>
          <w:sz w:val="24"/>
        </w:rPr>
        <w:t>the</w:t>
      </w:r>
      <w:r>
        <w:rPr>
          <w:spacing w:val="-2"/>
          <w:sz w:val="24"/>
        </w:rPr>
        <w:t> </w:t>
      </w:r>
      <w:r>
        <w:rPr>
          <w:sz w:val="24"/>
        </w:rPr>
        <w:t>main building</w:t>
      </w:r>
      <w:r>
        <w:rPr>
          <w:spacing w:val="-2"/>
          <w:sz w:val="24"/>
        </w:rPr>
        <w:t> </w:t>
      </w:r>
      <w:r>
        <w:rPr>
          <w:sz w:val="24"/>
        </w:rPr>
        <w:t>at</w:t>
      </w:r>
      <w:r>
        <w:rPr>
          <w:spacing w:val="-2"/>
          <w:sz w:val="24"/>
        </w:rPr>
        <w:t> </w:t>
      </w:r>
      <w:r>
        <w:rPr>
          <w:sz w:val="24"/>
        </w:rPr>
        <w:t>a</w:t>
      </w:r>
      <w:r>
        <w:rPr>
          <w:spacing w:val="-2"/>
          <w:sz w:val="24"/>
        </w:rPr>
        <w:t> </w:t>
      </w:r>
      <w:r>
        <w:rPr>
          <w:sz w:val="24"/>
        </w:rPr>
        <w:t>distance of</w:t>
      </w:r>
      <w:r>
        <w:rPr>
          <w:spacing w:val="-2"/>
          <w:sz w:val="24"/>
        </w:rPr>
        <w:t> </w:t>
      </w:r>
      <w:r>
        <w:rPr>
          <w:sz w:val="24"/>
        </w:rPr>
        <w:t>at</w:t>
      </w:r>
      <w:r>
        <w:rPr>
          <w:spacing w:val="-2"/>
          <w:sz w:val="24"/>
        </w:rPr>
        <w:t> </w:t>
      </w:r>
      <w:r>
        <w:rPr>
          <w:sz w:val="24"/>
        </w:rPr>
        <w:t>least 3</w:t>
      </w:r>
      <w:r>
        <w:rPr>
          <w:spacing w:val="-2"/>
          <w:sz w:val="24"/>
        </w:rPr>
        <w:t> </w:t>
      </w:r>
      <w:r>
        <w:rPr>
          <w:sz w:val="24"/>
        </w:rPr>
        <w:t>m and in general does not affect the required side margin open spaces or prescribed</w:t>
      </w:r>
      <w:r>
        <w:rPr>
          <w:spacing w:val="-1"/>
          <w:sz w:val="24"/>
        </w:rPr>
        <w:t> </w:t>
      </w:r>
      <w:r>
        <w:rPr>
          <w:sz w:val="24"/>
        </w:rPr>
        <w:t>width</w:t>
      </w:r>
      <w:r>
        <w:rPr>
          <w:spacing w:val="-1"/>
          <w:sz w:val="24"/>
        </w:rPr>
        <w:t> </w:t>
      </w:r>
      <w:r>
        <w:rPr>
          <w:sz w:val="24"/>
        </w:rPr>
        <w:t>or</w:t>
      </w:r>
      <w:r>
        <w:rPr>
          <w:spacing w:val="-1"/>
          <w:sz w:val="24"/>
        </w:rPr>
        <w:t> </w:t>
      </w:r>
      <w:r>
        <w:rPr>
          <w:sz w:val="24"/>
        </w:rPr>
        <w:t>internal</w:t>
      </w:r>
      <w:r>
        <w:rPr>
          <w:spacing w:val="-1"/>
          <w:sz w:val="24"/>
        </w:rPr>
        <w:t> </w:t>
      </w:r>
      <w:r>
        <w:rPr>
          <w:sz w:val="24"/>
        </w:rPr>
        <w:t>access</w:t>
      </w:r>
      <w:r>
        <w:rPr>
          <w:spacing w:val="-1"/>
          <w:sz w:val="24"/>
        </w:rPr>
        <w:t> </w:t>
      </w:r>
      <w:r>
        <w:rPr>
          <w:sz w:val="24"/>
        </w:rPr>
        <w:t>or</w:t>
      </w:r>
      <w:r>
        <w:rPr>
          <w:spacing w:val="-1"/>
          <w:sz w:val="24"/>
        </w:rPr>
        <w:t> </w:t>
      </w:r>
      <w:r>
        <w:rPr>
          <w:sz w:val="24"/>
        </w:rPr>
        <w:t>larger</w:t>
      </w:r>
      <w:r>
        <w:rPr>
          <w:spacing w:val="-1"/>
          <w:sz w:val="24"/>
        </w:rPr>
        <w:t> </w:t>
      </w:r>
      <w:r>
        <w:rPr>
          <w:sz w:val="24"/>
        </w:rPr>
        <w:t>open</w:t>
      </w:r>
      <w:r>
        <w:rPr>
          <w:spacing w:val="-1"/>
          <w:sz w:val="24"/>
        </w:rPr>
        <w:t> </w:t>
      </w:r>
      <w:r>
        <w:rPr>
          <w:sz w:val="24"/>
        </w:rPr>
        <w:t>space. The substation</w:t>
      </w:r>
      <w:r>
        <w:rPr>
          <w:spacing w:val="-1"/>
          <w:sz w:val="24"/>
        </w:rPr>
        <w:t> </w:t>
      </w:r>
      <w:r>
        <w:rPr>
          <w:sz w:val="24"/>
        </w:rPr>
        <w:t>can be</w:t>
      </w:r>
      <w:r>
        <w:rPr>
          <w:spacing w:val="-6"/>
          <w:sz w:val="24"/>
        </w:rPr>
        <w:t> </w:t>
      </w:r>
      <w:r>
        <w:rPr>
          <w:sz w:val="24"/>
        </w:rPr>
        <w:t>provided</w:t>
      </w:r>
      <w:r>
        <w:rPr>
          <w:spacing w:val="-6"/>
          <w:sz w:val="24"/>
        </w:rPr>
        <w:t> </w:t>
      </w:r>
      <w:r>
        <w:rPr>
          <w:sz w:val="24"/>
        </w:rPr>
        <w:t>in</w:t>
      </w:r>
      <w:r>
        <w:rPr>
          <w:spacing w:val="-6"/>
          <w:sz w:val="24"/>
        </w:rPr>
        <w:t> </w:t>
      </w:r>
      <w:r>
        <w:rPr>
          <w:sz w:val="24"/>
        </w:rPr>
        <w:t>stilt/podium/within</w:t>
      </w:r>
      <w:r>
        <w:rPr>
          <w:spacing w:val="-6"/>
          <w:sz w:val="24"/>
        </w:rPr>
        <w:t> </w:t>
      </w:r>
      <w:r>
        <w:rPr>
          <w:sz w:val="24"/>
        </w:rPr>
        <w:t>building</w:t>
      </w:r>
      <w:r>
        <w:rPr>
          <w:spacing w:val="-6"/>
          <w:sz w:val="24"/>
        </w:rPr>
        <w:t> </w:t>
      </w:r>
      <w:r>
        <w:rPr>
          <w:sz w:val="24"/>
        </w:rPr>
        <w:t>line</w:t>
      </w:r>
      <w:r>
        <w:rPr>
          <w:spacing w:val="-6"/>
          <w:sz w:val="24"/>
        </w:rPr>
        <w:t> </w:t>
      </w:r>
      <w:r>
        <w:rPr>
          <w:sz w:val="24"/>
        </w:rPr>
        <w:t>subject</w:t>
      </w:r>
      <w:r>
        <w:rPr>
          <w:spacing w:val="-6"/>
          <w:sz w:val="24"/>
        </w:rPr>
        <w:t> </w:t>
      </w:r>
      <w:r>
        <w:rPr>
          <w:sz w:val="24"/>
        </w:rPr>
        <w:t>to</w:t>
      </w:r>
      <w:r>
        <w:rPr>
          <w:spacing w:val="-5"/>
          <w:sz w:val="24"/>
        </w:rPr>
        <w:t> </w:t>
      </w:r>
      <w:r>
        <w:rPr>
          <w:sz w:val="24"/>
        </w:rPr>
        <w:t>compliance</w:t>
      </w:r>
      <w:r>
        <w:rPr>
          <w:spacing w:val="-6"/>
          <w:sz w:val="24"/>
        </w:rPr>
        <w:t> </w:t>
      </w:r>
      <w:r>
        <w:rPr>
          <w:sz w:val="24"/>
        </w:rPr>
        <w:t>of</w:t>
      </w:r>
      <w:r>
        <w:rPr>
          <w:spacing w:val="-6"/>
          <w:sz w:val="24"/>
        </w:rPr>
        <w:t> </w:t>
      </w:r>
      <w:r>
        <w:rPr>
          <w:sz w:val="24"/>
        </w:rPr>
        <w:t>fire safety requirements, or as may be decided by the Commissioner.</w:t>
      </w:r>
    </w:p>
    <w:p>
      <w:pPr>
        <w:pStyle w:val="ListParagraph"/>
        <w:numPr>
          <w:ilvl w:val="0"/>
          <w:numId w:val="107"/>
        </w:numPr>
        <w:tabs>
          <w:tab w:pos="2211" w:val="left" w:leader="none"/>
          <w:tab w:pos="2213" w:val="left" w:leader="none"/>
        </w:tabs>
        <w:spacing w:line="240" w:lineRule="auto" w:before="237" w:after="0"/>
        <w:ind w:left="2213" w:right="772" w:hanging="720"/>
        <w:jc w:val="both"/>
        <w:rPr>
          <w:b/>
          <w:i/>
          <w:sz w:val="24"/>
        </w:rPr>
      </w:pPr>
      <w:r>
        <w:rPr>
          <w:b/>
          <w:i/>
          <w:sz w:val="24"/>
        </w:rPr>
        <w:t>Requirements</w:t>
      </w:r>
      <w:r>
        <w:rPr>
          <w:b/>
          <w:i/>
          <w:spacing w:val="40"/>
          <w:sz w:val="24"/>
        </w:rPr>
        <w:t> </w:t>
      </w:r>
      <w:r>
        <w:rPr>
          <w:b/>
          <w:i/>
          <w:sz w:val="24"/>
        </w:rPr>
        <w:t>of</w:t>
      </w:r>
      <w:r>
        <w:rPr>
          <w:b/>
          <w:i/>
          <w:spacing w:val="40"/>
          <w:sz w:val="24"/>
        </w:rPr>
        <w:t> </w:t>
      </w:r>
      <w:r>
        <w:rPr>
          <w:b/>
          <w:i/>
          <w:sz w:val="24"/>
        </w:rPr>
        <w:t>plot</w:t>
      </w:r>
      <w:r>
        <w:rPr>
          <w:b/>
          <w:i/>
          <w:spacing w:val="40"/>
          <w:sz w:val="24"/>
        </w:rPr>
        <w:t> </w:t>
      </w:r>
      <w:r>
        <w:rPr>
          <w:b/>
          <w:i/>
          <w:sz w:val="24"/>
        </w:rPr>
        <w:t>area</w:t>
      </w:r>
      <w:r>
        <w:rPr>
          <w:b/>
          <w:i/>
          <w:spacing w:val="40"/>
          <w:sz w:val="24"/>
        </w:rPr>
        <w:t> </w:t>
      </w:r>
      <w:r>
        <w:rPr>
          <w:b/>
          <w:i/>
          <w:sz w:val="24"/>
        </w:rPr>
        <w:t>for</w:t>
      </w:r>
      <w:r>
        <w:rPr>
          <w:b/>
          <w:i/>
          <w:spacing w:val="40"/>
          <w:sz w:val="24"/>
        </w:rPr>
        <w:t> </w:t>
      </w:r>
      <w:r>
        <w:rPr>
          <w:b/>
          <w:i/>
          <w:sz w:val="24"/>
        </w:rPr>
        <w:t>Distribution Substation/Receiving Substation</w:t>
      </w:r>
      <w:r>
        <w:rPr>
          <w:b/>
          <w:sz w:val="24"/>
        </w:rPr>
        <w:t>/Extra High Voltage Receiving Station </w:t>
      </w:r>
      <w:r>
        <w:rPr>
          <w:b/>
          <w:i/>
          <w:sz w:val="24"/>
        </w:rPr>
        <w:t>(DSS/RSS</w:t>
      </w:r>
      <w:r>
        <w:rPr>
          <w:b/>
          <w:sz w:val="24"/>
        </w:rPr>
        <w:t>/EHVRS)</w:t>
      </w:r>
      <w:r>
        <w:rPr>
          <w:b/>
          <w:i/>
          <w:sz w:val="24"/>
        </w:rPr>
        <w:t>.</w:t>
      </w:r>
    </w:p>
    <w:p>
      <w:pPr>
        <w:pStyle w:val="BodyText"/>
        <w:spacing w:before="8"/>
        <w:jc w:val="left"/>
        <w:rPr>
          <w:b/>
          <w:i/>
          <w:sz w:val="20"/>
        </w:rPr>
      </w:pPr>
    </w:p>
    <w:tbl>
      <w:tblPr>
        <w:tblW w:w="0" w:type="auto"/>
        <w:jc w:val="left"/>
        <w:tblInd w:w="1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6"/>
        <w:gridCol w:w="3111"/>
        <w:gridCol w:w="4590"/>
      </w:tblGrid>
      <w:tr>
        <w:trPr>
          <w:trHeight w:val="643" w:hRule="atLeast"/>
        </w:trPr>
        <w:tc>
          <w:tcPr>
            <w:tcW w:w="886" w:type="dxa"/>
            <w:shd w:val="clear" w:color="auto" w:fill="E7E6E6"/>
          </w:tcPr>
          <w:p>
            <w:pPr>
              <w:pStyle w:val="TableParagraph"/>
              <w:spacing w:before="38"/>
              <w:ind w:left="107"/>
              <w:rPr>
                <w:sz w:val="24"/>
              </w:rPr>
            </w:pPr>
            <w:r>
              <w:rPr>
                <w:sz w:val="24"/>
              </w:rPr>
              <w:t>Sr. </w:t>
            </w:r>
            <w:r>
              <w:rPr>
                <w:spacing w:val="-5"/>
                <w:sz w:val="24"/>
              </w:rPr>
              <w:t>No</w:t>
            </w:r>
          </w:p>
        </w:tc>
        <w:tc>
          <w:tcPr>
            <w:tcW w:w="3111" w:type="dxa"/>
            <w:shd w:val="clear" w:color="auto" w:fill="E7E6E6"/>
          </w:tcPr>
          <w:p>
            <w:pPr>
              <w:pStyle w:val="TableParagraph"/>
              <w:spacing w:before="38"/>
              <w:ind w:left="107"/>
              <w:rPr>
                <w:sz w:val="24"/>
              </w:rPr>
            </w:pPr>
            <w:r>
              <w:rPr>
                <w:sz w:val="24"/>
              </w:rPr>
              <w:t>Plot</w:t>
            </w:r>
            <w:r>
              <w:rPr>
                <w:spacing w:val="46"/>
                <w:sz w:val="24"/>
              </w:rPr>
              <w:t> </w:t>
            </w:r>
            <w:r>
              <w:rPr>
                <w:sz w:val="24"/>
              </w:rPr>
              <w:t>Area</w:t>
            </w:r>
            <w:r>
              <w:rPr>
                <w:spacing w:val="46"/>
                <w:sz w:val="24"/>
              </w:rPr>
              <w:t> </w:t>
            </w:r>
            <w:r>
              <w:rPr>
                <w:sz w:val="24"/>
              </w:rPr>
              <w:t>(sq.</w:t>
            </w:r>
            <w:r>
              <w:rPr>
                <w:spacing w:val="50"/>
                <w:sz w:val="24"/>
              </w:rPr>
              <w:t> </w:t>
            </w:r>
            <w:r>
              <w:rPr>
                <w:spacing w:val="-5"/>
                <w:sz w:val="24"/>
              </w:rPr>
              <w:t>m)</w:t>
            </w:r>
          </w:p>
        </w:tc>
        <w:tc>
          <w:tcPr>
            <w:tcW w:w="4590" w:type="dxa"/>
            <w:shd w:val="clear" w:color="auto" w:fill="E7E6E6"/>
          </w:tcPr>
          <w:p>
            <w:pPr>
              <w:pStyle w:val="TableParagraph"/>
              <w:tabs>
                <w:tab w:pos="1715" w:val="left" w:leader="none"/>
                <w:tab w:pos="2626" w:val="left" w:leader="none"/>
                <w:tab w:pos="3216" w:val="left" w:leader="none"/>
                <w:tab w:pos="4133" w:val="left" w:leader="none"/>
              </w:tabs>
              <w:spacing w:before="40"/>
              <w:ind w:left="107" w:right="99"/>
              <w:rPr>
                <w:sz w:val="24"/>
              </w:rPr>
            </w:pPr>
            <w:r>
              <w:rPr>
                <w:spacing w:val="-2"/>
                <w:sz w:val="24"/>
              </w:rPr>
              <w:t>Maximum</w:t>
            </w:r>
            <w:r>
              <w:rPr>
                <w:sz w:val="24"/>
              </w:rPr>
              <w:tab/>
            </w:r>
            <w:r>
              <w:rPr>
                <w:spacing w:val="-4"/>
                <w:sz w:val="24"/>
              </w:rPr>
              <w:t>area</w:t>
            </w:r>
            <w:r>
              <w:rPr>
                <w:sz w:val="24"/>
              </w:rPr>
              <w:tab/>
            </w:r>
            <w:r>
              <w:rPr>
                <w:spacing w:val="-6"/>
                <w:sz w:val="24"/>
              </w:rPr>
              <w:t>of</w:t>
            </w:r>
            <w:r>
              <w:rPr>
                <w:sz w:val="24"/>
              </w:rPr>
              <w:tab/>
            </w:r>
            <w:r>
              <w:rPr>
                <w:spacing w:val="-4"/>
                <w:sz w:val="24"/>
              </w:rPr>
              <w:t>land</w:t>
            </w:r>
            <w:r>
              <w:rPr>
                <w:sz w:val="24"/>
              </w:rPr>
              <w:tab/>
            </w:r>
            <w:r>
              <w:rPr>
                <w:spacing w:val="-4"/>
                <w:sz w:val="24"/>
              </w:rPr>
              <w:t>for </w:t>
            </w:r>
            <w:r>
              <w:rPr>
                <w:sz w:val="24"/>
              </w:rPr>
              <w:t>DSS/RSS/ EHVRS in sq. m</w:t>
            </w:r>
          </w:p>
        </w:tc>
      </w:tr>
      <w:tr>
        <w:trPr>
          <w:trHeight w:val="926" w:hRule="atLeast"/>
        </w:trPr>
        <w:tc>
          <w:tcPr>
            <w:tcW w:w="886" w:type="dxa"/>
          </w:tcPr>
          <w:p>
            <w:pPr>
              <w:pStyle w:val="TableParagraph"/>
              <w:spacing w:before="40"/>
              <w:ind w:left="107"/>
              <w:rPr>
                <w:sz w:val="24"/>
              </w:rPr>
            </w:pPr>
            <w:r>
              <w:rPr>
                <w:spacing w:val="-10"/>
                <w:sz w:val="24"/>
              </w:rPr>
              <w:t>1</w:t>
            </w:r>
          </w:p>
        </w:tc>
        <w:tc>
          <w:tcPr>
            <w:tcW w:w="3111" w:type="dxa"/>
          </w:tcPr>
          <w:p>
            <w:pPr>
              <w:pStyle w:val="TableParagraph"/>
              <w:spacing w:before="42"/>
              <w:ind w:left="107"/>
              <w:rPr>
                <w:sz w:val="24"/>
              </w:rPr>
            </w:pPr>
            <w:r>
              <w:rPr>
                <w:sz w:val="24"/>
              </w:rPr>
              <w:t>Above</w:t>
            </w:r>
            <w:r>
              <w:rPr>
                <w:spacing w:val="40"/>
                <w:sz w:val="24"/>
              </w:rPr>
              <w:t> </w:t>
            </w:r>
            <w:r>
              <w:rPr>
                <w:sz w:val="24"/>
              </w:rPr>
              <w:t>20,000</w:t>
            </w:r>
            <w:r>
              <w:rPr>
                <w:spacing w:val="40"/>
                <w:sz w:val="24"/>
              </w:rPr>
              <w:t> </w:t>
            </w:r>
            <w:r>
              <w:rPr>
                <w:sz w:val="24"/>
              </w:rPr>
              <w:t>&amp;</w:t>
            </w:r>
            <w:r>
              <w:rPr>
                <w:spacing w:val="40"/>
                <w:sz w:val="24"/>
              </w:rPr>
              <w:t> </w:t>
            </w:r>
            <w:r>
              <w:rPr>
                <w:sz w:val="24"/>
              </w:rPr>
              <w:t>up</w:t>
            </w:r>
            <w:r>
              <w:rPr>
                <w:spacing w:val="40"/>
                <w:sz w:val="24"/>
              </w:rPr>
              <w:t> </w:t>
            </w:r>
            <w:r>
              <w:rPr>
                <w:sz w:val="24"/>
              </w:rPr>
              <w:t>to </w:t>
            </w:r>
            <w:r>
              <w:rPr>
                <w:spacing w:val="-2"/>
                <w:sz w:val="24"/>
              </w:rPr>
              <w:t>40,000</w:t>
            </w:r>
          </w:p>
        </w:tc>
        <w:tc>
          <w:tcPr>
            <w:tcW w:w="4590" w:type="dxa"/>
          </w:tcPr>
          <w:p>
            <w:pPr>
              <w:pStyle w:val="TableParagraph"/>
              <w:spacing w:before="42"/>
              <w:ind w:left="107" w:right="96" w:firstLine="76"/>
              <w:jc w:val="both"/>
              <w:rPr>
                <w:sz w:val="24"/>
              </w:rPr>
            </w:pPr>
            <w:r>
              <w:rPr>
                <w:sz w:val="24"/>
              </w:rPr>
              <w:t>721 to 1200 (maximum) for DSS/RSS as per the requirements of concerned Electric Authority</w:t>
            </w:r>
          </w:p>
        </w:tc>
      </w:tr>
      <w:tr>
        <w:trPr>
          <w:trHeight w:val="925" w:hRule="atLeast"/>
        </w:trPr>
        <w:tc>
          <w:tcPr>
            <w:tcW w:w="886" w:type="dxa"/>
          </w:tcPr>
          <w:p>
            <w:pPr>
              <w:pStyle w:val="TableParagraph"/>
              <w:spacing w:before="37"/>
              <w:ind w:left="107"/>
              <w:rPr>
                <w:sz w:val="24"/>
              </w:rPr>
            </w:pPr>
            <w:r>
              <w:rPr>
                <w:spacing w:val="-10"/>
                <w:sz w:val="24"/>
              </w:rPr>
              <w:t>2</w:t>
            </w:r>
          </w:p>
        </w:tc>
        <w:tc>
          <w:tcPr>
            <w:tcW w:w="3111" w:type="dxa"/>
          </w:tcPr>
          <w:p>
            <w:pPr>
              <w:pStyle w:val="TableParagraph"/>
              <w:spacing w:before="37"/>
              <w:ind w:left="107"/>
              <w:rPr>
                <w:sz w:val="24"/>
              </w:rPr>
            </w:pPr>
            <w:r>
              <w:rPr>
                <w:sz w:val="24"/>
              </w:rPr>
              <w:t>Above </w:t>
            </w:r>
            <w:r>
              <w:rPr>
                <w:spacing w:val="-2"/>
                <w:sz w:val="24"/>
              </w:rPr>
              <w:t>40,000</w:t>
            </w:r>
          </w:p>
        </w:tc>
        <w:tc>
          <w:tcPr>
            <w:tcW w:w="4590" w:type="dxa"/>
          </w:tcPr>
          <w:p>
            <w:pPr>
              <w:pStyle w:val="TableParagraph"/>
              <w:spacing w:before="40"/>
              <w:ind w:left="107" w:right="97"/>
              <w:jc w:val="both"/>
              <w:rPr>
                <w:sz w:val="24"/>
              </w:rPr>
            </w:pPr>
            <w:r>
              <w:rPr>
                <w:sz w:val="24"/>
              </w:rPr>
              <w:t>3,500 (maximum) DSS/RSS as per the requirements of concerned Electric Authority</w:t>
            </w:r>
          </w:p>
        </w:tc>
      </w:tr>
      <w:tr>
        <w:trPr>
          <w:trHeight w:val="1207" w:hRule="atLeast"/>
        </w:trPr>
        <w:tc>
          <w:tcPr>
            <w:tcW w:w="886" w:type="dxa"/>
          </w:tcPr>
          <w:p>
            <w:pPr>
              <w:pStyle w:val="TableParagraph"/>
              <w:spacing w:before="37"/>
              <w:ind w:left="107"/>
              <w:rPr>
                <w:sz w:val="24"/>
              </w:rPr>
            </w:pPr>
            <w:r>
              <w:rPr>
                <w:spacing w:val="-10"/>
                <w:sz w:val="24"/>
              </w:rPr>
              <w:t>3</w:t>
            </w:r>
          </w:p>
        </w:tc>
        <w:tc>
          <w:tcPr>
            <w:tcW w:w="3111" w:type="dxa"/>
          </w:tcPr>
          <w:p>
            <w:pPr>
              <w:pStyle w:val="TableParagraph"/>
              <w:tabs>
                <w:tab w:pos="2156" w:val="left" w:leader="none"/>
              </w:tabs>
              <w:spacing w:before="40"/>
              <w:ind w:left="107" w:right="97"/>
              <w:jc w:val="both"/>
              <w:rPr>
                <w:sz w:val="24"/>
              </w:rPr>
            </w:pPr>
            <w:r>
              <w:rPr>
                <w:sz w:val="24"/>
              </w:rPr>
              <w:t>Extra High Voltage </w:t>
            </w:r>
            <w:r>
              <w:rPr>
                <w:spacing w:val="-2"/>
                <w:sz w:val="24"/>
              </w:rPr>
              <w:t>Receiving</w:t>
            </w:r>
            <w:r>
              <w:rPr>
                <w:sz w:val="24"/>
              </w:rPr>
              <w:tab/>
            </w:r>
            <w:r>
              <w:rPr>
                <w:spacing w:val="-2"/>
                <w:sz w:val="24"/>
              </w:rPr>
              <w:t>Station (EHVRS)</w:t>
            </w:r>
          </w:p>
        </w:tc>
        <w:tc>
          <w:tcPr>
            <w:tcW w:w="4590" w:type="dxa"/>
          </w:tcPr>
          <w:p>
            <w:pPr>
              <w:pStyle w:val="TableParagraph"/>
              <w:spacing w:before="40"/>
              <w:ind w:left="107" w:right="96"/>
              <w:jc w:val="both"/>
              <w:rPr>
                <w:sz w:val="24"/>
              </w:rPr>
            </w:pPr>
            <w:r>
              <w:rPr>
                <w:sz w:val="24"/>
              </w:rPr>
              <w:t>The</w:t>
            </w:r>
            <w:r>
              <w:rPr>
                <w:spacing w:val="-20"/>
                <w:sz w:val="24"/>
              </w:rPr>
              <w:t> </w:t>
            </w:r>
            <w:r>
              <w:rPr>
                <w:sz w:val="24"/>
              </w:rPr>
              <w:t>construction</w:t>
            </w:r>
            <w:r>
              <w:rPr>
                <w:spacing w:val="-19"/>
                <w:sz w:val="24"/>
              </w:rPr>
              <w:t> </w:t>
            </w:r>
            <w:r>
              <w:rPr>
                <w:sz w:val="24"/>
              </w:rPr>
              <w:t>of</w:t>
            </w:r>
            <w:r>
              <w:rPr>
                <w:spacing w:val="-19"/>
                <w:sz w:val="24"/>
              </w:rPr>
              <w:t> </w:t>
            </w:r>
            <w:r>
              <w:rPr>
                <w:sz w:val="24"/>
              </w:rPr>
              <w:t>EHVRS</w:t>
            </w:r>
            <w:r>
              <w:rPr>
                <w:spacing w:val="-19"/>
                <w:sz w:val="24"/>
              </w:rPr>
              <w:t> </w:t>
            </w:r>
            <w:r>
              <w:rPr>
                <w:sz w:val="24"/>
              </w:rPr>
              <w:t>as</w:t>
            </w:r>
            <w:r>
              <w:rPr>
                <w:spacing w:val="-19"/>
                <w:sz w:val="24"/>
              </w:rPr>
              <w:t> </w:t>
            </w:r>
            <w:r>
              <w:rPr>
                <w:sz w:val="24"/>
              </w:rPr>
              <w:t>per</w:t>
            </w:r>
            <w:r>
              <w:rPr>
                <w:spacing w:val="-20"/>
                <w:sz w:val="24"/>
              </w:rPr>
              <w:t> </w:t>
            </w:r>
            <w:r>
              <w:rPr>
                <w:sz w:val="24"/>
              </w:rPr>
              <w:t>the requirements of electric distribution company in their premises shall </w:t>
            </w:r>
            <w:r>
              <w:rPr>
                <w:sz w:val="24"/>
              </w:rPr>
              <w:t>be </w:t>
            </w:r>
            <w:r>
              <w:rPr>
                <w:spacing w:val="-2"/>
                <w:sz w:val="24"/>
              </w:rPr>
              <w:t>permissible.</w:t>
            </w:r>
          </w:p>
        </w:tc>
      </w:tr>
    </w:tbl>
    <w:p>
      <w:pPr>
        <w:pStyle w:val="BodyText"/>
        <w:ind w:left="1493"/>
        <w:jc w:val="left"/>
      </w:pPr>
      <w:r>
        <w:rPr>
          <w:spacing w:val="-2"/>
        </w:rPr>
        <w:t>Note-</w:t>
      </w:r>
    </w:p>
    <w:p>
      <w:pPr>
        <w:pStyle w:val="ListParagraph"/>
        <w:numPr>
          <w:ilvl w:val="0"/>
          <w:numId w:val="108"/>
        </w:numPr>
        <w:tabs>
          <w:tab w:pos="1905" w:val="left" w:leader="none"/>
        </w:tabs>
        <w:spacing w:line="240" w:lineRule="auto" w:before="239" w:after="0"/>
        <w:ind w:left="1493" w:right="771" w:firstLine="0"/>
        <w:jc w:val="both"/>
        <w:rPr>
          <w:sz w:val="24"/>
        </w:rPr>
      </w:pPr>
      <w:r>
        <w:rPr>
          <w:sz w:val="24"/>
        </w:rPr>
        <w:t>The height as required by the technical requirements of such installations and the ancillary installations necessary for effective functioning of the system shall be permitted without taking into account</w:t>
      </w:r>
      <w:r>
        <w:rPr>
          <w:spacing w:val="40"/>
          <w:sz w:val="24"/>
        </w:rPr>
        <w:t> </w:t>
      </w:r>
      <w:r>
        <w:rPr>
          <w:sz w:val="24"/>
        </w:rPr>
        <w:t>the height parameter in FSI.</w:t>
      </w:r>
    </w:p>
    <w:p>
      <w:pPr>
        <w:pStyle w:val="ListParagraph"/>
        <w:numPr>
          <w:ilvl w:val="0"/>
          <w:numId w:val="108"/>
        </w:numPr>
        <w:tabs>
          <w:tab w:pos="1788" w:val="left" w:leader="none"/>
        </w:tabs>
        <w:spacing w:line="240" w:lineRule="auto" w:before="241" w:after="0"/>
        <w:ind w:left="1493" w:right="773" w:firstLine="0"/>
        <w:jc w:val="both"/>
        <w:rPr>
          <w:sz w:val="24"/>
        </w:rPr>
      </w:pPr>
      <w:r>
        <w:rPr>
          <w:sz w:val="24"/>
        </w:rPr>
        <w:t>DSS/RSS/EHVRS may be permitted to be constructed below the POS in such</w:t>
      </w:r>
      <w:r>
        <w:rPr>
          <w:spacing w:val="37"/>
          <w:sz w:val="24"/>
        </w:rPr>
        <w:t> </w:t>
      </w:r>
      <w:r>
        <w:rPr>
          <w:sz w:val="24"/>
        </w:rPr>
        <w:t>way</w:t>
      </w:r>
      <w:r>
        <w:rPr>
          <w:spacing w:val="37"/>
          <w:sz w:val="24"/>
        </w:rPr>
        <w:t> </w:t>
      </w:r>
      <w:r>
        <w:rPr>
          <w:sz w:val="24"/>
        </w:rPr>
        <w:t>that</w:t>
      </w:r>
      <w:r>
        <w:rPr>
          <w:spacing w:val="34"/>
          <w:sz w:val="24"/>
        </w:rPr>
        <w:t> </w:t>
      </w:r>
      <w:r>
        <w:rPr>
          <w:sz w:val="24"/>
        </w:rPr>
        <w:t>the</w:t>
      </w:r>
      <w:r>
        <w:rPr>
          <w:spacing w:val="34"/>
          <w:sz w:val="24"/>
        </w:rPr>
        <w:t> </w:t>
      </w:r>
      <w:r>
        <w:rPr>
          <w:sz w:val="24"/>
        </w:rPr>
        <w:t>effective</w:t>
      </w:r>
      <w:r>
        <w:rPr>
          <w:spacing w:val="37"/>
          <w:sz w:val="24"/>
        </w:rPr>
        <w:t> </w:t>
      </w:r>
      <w:r>
        <w:rPr>
          <w:sz w:val="24"/>
        </w:rPr>
        <w:t>area</w:t>
      </w:r>
      <w:r>
        <w:rPr>
          <w:spacing w:val="37"/>
          <w:sz w:val="24"/>
        </w:rPr>
        <w:t> </w:t>
      </w:r>
      <w:r>
        <w:rPr>
          <w:sz w:val="24"/>
        </w:rPr>
        <w:t>occupied</w:t>
      </w:r>
      <w:r>
        <w:rPr>
          <w:spacing w:val="34"/>
          <w:sz w:val="24"/>
        </w:rPr>
        <w:t> </w:t>
      </w:r>
      <w:r>
        <w:rPr>
          <w:sz w:val="24"/>
        </w:rPr>
        <w:t>by</w:t>
      </w:r>
      <w:r>
        <w:rPr>
          <w:spacing w:val="37"/>
          <w:sz w:val="24"/>
        </w:rPr>
        <w:t> </w:t>
      </w:r>
      <w:r>
        <w:rPr>
          <w:sz w:val="24"/>
        </w:rPr>
        <w:t>DSS/RSS/EHVRS</w:t>
      </w:r>
      <w:r>
        <w:rPr>
          <w:spacing w:val="34"/>
          <w:sz w:val="24"/>
        </w:rPr>
        <w:t> </w:t>
      </w:r>
      <w:r>
        <w:rPr>
          <w:sz w:val="24"/>
        </w:rPr>
        <w:t>shall</w:t>
      </w:r>
      <w:r>
        <w:rPr>
          <w:spacing w:val="38"/>
          <w:sz w:val="24"/>
        </w:rPr>
        <w:t> </w:t>
      </w:r>
      <w:r>
        <w:rPr>
          <w:sz w:val="24"/>
        </w:rPr>
        <w:t>not</w:t>
      </w:r>
    </w:p>
    <w:p>
      <w:pPr>
        <w:pStyle w:val="BodyText"/>
        <w:spacing w:before="131"/>
        <w:jc w:val="left"/>
        <w:rPr>
          <w:sz w:val="14"/>
        </w:rPr>
      </w:pPr>
    </w:p>
    <w:p>
      <w:pPr>
        <w:spacing w:before="0"/>
        <w:ind w:left="0" w:right="1052" w:firstLine="0"/>
        <w:jc w:val="right"/>
        <w:rPr>
          <w:rFonts w:ascii="Arial"/>
          <w:b/>
          <w:i/>
          <w:sz w:val="14"/>
        </w:rPr>
      </w:pPr>
      <w:r>
        <w:rPr>
          <w:rFonts w:ascii="Arial"/>
          <w:b/>
          <w:i/>
          <w:sz w:val="14"/>
        </w:rPr>
        <mc:AlternateContent>
          <mc:Choice Requires="wps">
            <w:drawing>
              <wp:anchor distT="0" distB="0" distL="0" distR="0" allowOverlap="1" layoutInCell="1" locked="0" behindDoc="0" simplePos="0" relativeHeight="15737344">
                <wp:simplePos x="0" y="0"/>
                <wp:positionH relativeFrom="page">
                  <wp:posOffset>719327</wp:posOffset>
                </wp:positionH>
                <wp:positionV relativeFrom="paragraph">
                  <wp:posOffset>27325</wp:posOffset>
                </wp:positionV>
                <wp:extent cx="2514600" cy="197485"/>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rect style="position:absolute;margin-left:56.639999pt;margin-top:2.151621pt;width:198pt;height:15.55pt;mso-position-horizontal-relative:page;mso-position-vertical-relative:paragraph;z-index:15737344" id="docshape140" filled="false" stroked="true" strokeweight="1pt" strokecolor="#666666">
                <v:stroke dashstyle="solid"/>
                <w10:wrap type="none"/>
              </v:rect>
            </w:pict>
          </mc:Fallback>
        </mc:AlternateContent>
      </w:r>
      <w:r>
        <w:rPr>
          <w:rFonts w:ascii="Arial"/>
          <w:b/>
          <w:i/>
          <w:sz w:val="14"/>
        </w:rPr>
        <w:t>Development</w:t>
      </w:r>
      <w:r>
        <w:rPr>
          <w:rFonts w:ascii="Arial"/>
          <w:b/>
          <w:i/>
          <w:spacing w:val="-8"/>
          <w:sz w:val="14"/>
        </w:rPr>
        <w:t> </w:t>
      </w:r>
      <w:r>
        <w:rPr>
          <w:rFonts w:ascii="Arial"/>
          <w:b/>
          <w:i/>
          <w:sz w:val="14"/>
        </w:rPr>
        <w:t>Plan</w:t>
      </w:r>
      <w:r>
        <w:rPr>
          <w:rFonts w:ascii="Arial"/>
          <w:b/>
          <w:i/>
          <w:spacing w:val="-9"/>
          <w:sz w:val="14"/>
        </w:rPr>
        <w:t> </w:t>
      </w:r>
      <w:r>
        <w:rPr>
          <w:rFonts w:ascii="Arial"/>
          <w:b/>
          <w:i/>
          <w:spacing w:val="-4"/>
          <w:sz w:val="14"/>
        </w:rPr>
        <w:t>2034</w:t>
      </w:r>
    </w:p>
    <w:p>
      <w:pPr>
        <w:spacing w:after="0"/>
        <w:jc w:val="right"/>
        <w:rPr>
          <w:rFonts w:ascii="Arial"/>
          <w:b/>
          <w:i/>
          <w:sz w:val="14"/>
        </w:rPr>
        <w:sectPr>
          <w:pgSz w:w="11910" w:h="16840"/>
          <w:pgMar w:header="1058" w:footer="1066" w:top="1500" w:bottom="1260" w:left="360" w:right="360"/>
        </w:sectPr>
      </w:pPr>
    </w:p>
    <w:p>
      <w:pPr>
        <w:pStyle w:val="BodyText"/>
        <w:spacing w:before="255"/>
        <w:ind w:left="1493" w:right="776"/>
      </w:pPr>
      <w:r>
        <w:rPr/>
        <w:t>exceed the 20% of developed area of such POS. However, in exceptional cases the said limit may be allowed to be exceeded with special permission of</w:t>
      </w:r>
      <w:r>
        <w:rPr>
          <w:spacing w:val="40"/>
        </w:rPr>
        <w:t> </w:t>
      </w:r>
      <w:r>
        <w:rPr/>
        <w:t>the</w:t>
      </w:r>
      <w:r>
        <w:rPr>
          <w:spacing w:val="40"/>
        </w:rPr>
        <w:t> </w:t>
      </w:r>
      <w:r>
        <w:rPr/>
        <w:t>Commissioner.</w:t>
      </w:r>
      <w:r>
        <w:rPr>
          <w:spacing w:val="40"/>
        </w:rPr>
        <w:t> </w:t>
      </w:r>
      <w:r>
        <w:rPr/>
        <w:t>Specific</w:t>
      </w:r>
      <w:r>
        <w:rPr>
          <w:spacing w:val="40"/>
        </w:rPr>
        <w:t> </w:t>
      </w:r>
      <w:r>
        <w:rPr/>
        <w:t>permission</w:t>
      </w:r>
      <w:r>
        <w:rPr>
          <w:spacing w:val="40"/>
        </w:rPr>
        <w:t> </w:t>
      </w:r>
      <w:r>
        <w:rPr/>
        <w:t>of</w:t>
      </w:r>
      <w:r>
        <w:rPr>
          <w:spacing w:val="40"/>
        </w:rPr>
        <w:t> </w:t>
      </w:r>
      <w:r>
        <w:rPr/>
        <w:t>Municipal</w:t>
      </w:r>
      <w:r>
        <w:rPr>
          <w:spacing w:val="40"/>
        </w:rPr>
        <w:t> </w:t>
      </w:r>
      <w:r>
        <w:rPr/>
        <w:t>Corporation</w:t>
      </w:r>
      <w:r>
        <w:rPr>
          <w:spacing w:val="40"/>
        </w:rPr>
        <w:t> </w:t>
      </w:r>
      <w:r>
        <w:rPr/>
        <w:t>shall be obtained for constructing underground DSS/RSS/EHVRS and shall be subject</w:t>
      </w:r>
      <w:r>
        <w:rPr>
          <w:spacing w:val="-3"/>
        </w:rPr>
        <w:t> </w:t>
      </w:r>
      <w:r>
        <w:rPr/>
        <w:t>to</w:t>
      </w:r>
      <w:r>
        <w:rPr>
          <w:spacing w:val="-3"/>
        </w:rPr>
        <w:t> </w:t>
      </w:r>
      <w:r>
        <w:rPr/>
        <w:t>terms</w:t>
      </w:r>
      <w:r>
        <w:rPr>
          <w:spacing w:val="-1"/>
        </w:rPr>
        <w:t> </w:t>
      </w:r>
      <w:r>
        <w:rPr/>
        <w:t>and</w:t>
      </w:r>
      <w:r>
        <w:rPr>
          <w:spacing w:val="-1"/>
        </w:rPr>
        <w:t> </w:t>
      </w:r>
      <w:r>
        <w:rPr/>
        <w:t>conditions</w:t>
      </w:r>
      <w:r>
        <w:rPr>
          <w:spacing w:val="-3"/>
        </w:rPr>
        <w:t> </w:t>
      </w:r>
      <w:r>
        <w:rPr/>
        <w:t>and</w:t>
      </w:r>
      <w:r>
        <w:rPr>
          <w:spacing w:val="-1"/>
        </w:rPr>
        <w:t> </w:t>
      </w:r>
      <w:r>
        <w:rPr/>
        <w:t>applicable payment.</w:t>
      </w:r>
      <w:r>
        <w:rPr>
          <w:spacing w:val="-1"/>
        </w:rPr>
        <w:t> </w:t>
      </w:r>
      <w:r>
        <w:rPr/>
        <w:t>Such</w:t>
      </w:r>
      <w:r>
        <w:rPr>
          <w:spacing w:val="-3"/>
        </w:rPr>
        <w:t> </w:t>
      </w:r>
      <w:r>
        <w:rPr/>
        <w:t>allotted POS shall be developed and maintained by the concerned Electric Distribution Company</w:t>
      </w:r>
      <w:r>
        <w:rPr>
          <w:spacing w:val="-5"/>
        </w:rPr>
        <w:t> </w:t>
      </w:r>
      <w:r>
        <w:rPr/>
        <w:t>at</w:t>
      </w:r>
      <w:r>
        <w:rPr>
          <w:spacing w:val="-7"/>
        </w:rPr>
        <w:t> </w:t>
      </w:r>
      <w:r>
        <w:rPr/>
        <w:t>its</w:t>
      </w:r>
      <w:r>
        <w:rPr>
          <w:spacing w:val="-4"/>
        </w:rPr>
        <w:t> </w:t>
      </w:r>
      <w:r>
        <w:rPr/>
        <w:t>own</w:t>
      </w:r>
      <w:r>
        <w:rPr>
          <w:spacing w:val="-2"/>
        </w:rPr>
        <w:t> </w:t>
      </w:r>
      <w:r>
        <w:rPr/>
        <w:t>cost</w:t>
      </w:r>
      <w:r>
        <w:rPr>
          <w:spacing w:val="-7"/>
        </w:rPr>
        <w:t> </w:t>
      </w:r>
      <w:r>
        <w:rPr/>
        <w:t>and</w:t>
      </w:r>
      <w:r>
        <w:rPr>
          <w:spacing w:val="-7"/>
        </w:rPr>
        <w:t> </w:t>
      </w:r>
      <w:r>
        <w:rPr/>
        <w:t>will</w:t>
      </w:r>
      <w:r>
        <w:rPr>
          <w:spacing w:val="-4"/>
        </w:rPr>
        <w:t> </w:t>
      </w:r>
      <w:r>
        <w:rPr/>
        <w:t>have</w:t>
      </w:r>
      <w:r>
        <w:rPr>
          <w:spacing w:val="-4"/>
        </w:rPr>
        <w:t> </w:t>
      </w:r>
      <w:r>
        <w:rPr/>
        <w:t>to</w:t>
      </w:r>
      <w:r>
        <w:rPr>
          <w:spacing w:val="-4"/>
        </w:rPr>
        <w:t> </w:t>
      </w:r>
      <w:r>
        <w:rPr/>
        <w:t>be</w:t>
      </w:r>
      <w:r>
        <w:rPr>
          <w:spacing w:val="-7"/>
        </w:rPr>
        <w:t> </w:t>
      </w:r>
      <w:r>
        <w:rPr/>
        <w:t>kept</w:t>
      </w:r>
      <w:r>
        <w:rPr>
          <w:spacing w:val="-7"/>
        </w:rPr>
        <w:t> </w:t>
      </w:r>
      <w:r>
        <w:rPr/>
        <w:t>open</w:t>
      </w:r>
      <w:r>
        <w:rPr>
          <w:spacing w:val="-4"/>
        </w:rPr>
        <w:t> </w:t>
      </w:r>
      <w:r>
        <w:rPr/>
        <w:t>for</w:t>
      </w:r>
      <w:r>
        <w:rPr>
          <w:spacing w:val="-4"/>
        </w:rPr>
        <w:t> </w:t>
      </w:r>
      <w:r>
        <w:rPr/>
        <w:t>the</w:t>
      </w:r>
      <w:r>
        <w:rPr>
          <w:spacing w:val="-4"/>
        </w:rPr>
        <w:t> </w:t>
      </w:r>
      <w:r>
        <w:rPr/>
        <w:t>use</w:t>
      </w:r>
      <w:r>
        <w:rPr>
          <w:spacing w:val="-7"/>
        </w:rPr>
        <w:t> </w:t>
      </w:r>
      <w:r>
        <w:rPr/>
        <w:t>of</w:t>
      </w:r>
      <w:r>
        <w:rPr>
          <w:spacing w:val="-7"/>
        </w:rPr>
        <w:t> </w:t>
      </w:r>
      <w:r>
        <w:rPr/>
        <w:t>general public except minimum area required for ingress and egress as per Regulation 53.</w:t>
      </w:r>
    </w:p>
    <w:p>
      <w:pPr>
        <w:pStyle w:val="ListParagraph"/>
        <w:numPr>
          <w:ilvl w:val="0"/>
          <w:numId w:val="108"/>
        </w:numPr>
        <w:tabs>
          <w:tab w:pos="1861" w:val="left" w:leader="none"/>
        </w:tabs>
        <w:spacing w:line="240" w:lineRule="auto" w:before="241" w:after="0"/>
        <w:ind w:left="1493" w:right="776" w:firstLine="0"/>
        <w:jc w:val="both"/>
        <w:rPr>
          <w:sz w:val="24"/>
        </w:rPr>
      </w:pPr>
      <w:r>
        <w:rPr>
          <w:sz w:val="24"/>
        </w:rPr>
        <w:t>DSS/RSS/EHVRS can be provided on the land of electric supply company or the requirement of land as specified above will have to be acquired /obtained as per the policy of Govt. by concerned electric supply </w:t>
      </w:r>
      <w:r>
        <w:rPr>
          <w:spacing w:val="-2"/>
          <w:sz w:val="24"/>
        </w:rPr>
        <w:t>company.</w:t>
      </w:r>
    </w:p>
    <w:p>
      <w:pPr>
        <w:pStyle w:val="ListParagraph"/>
        <w:numPr>
          <w:ilvl w:val="0"/>
          <w:numId w:val="108"/>
        </w:numPr>
        <w:tabs>
          <w:tab w:pos="1844" w:val="left" w:leader="none"/>
        </w:tabs>
        <w:spacing w:line="240" w:lineRule="auto" w:before="239" w:after="0"/>
        <w:ind w:left="1493" w:right="773" w:firstLine="0"/>
        <w:jc w:val="both"/>
        <w:rPr>
          <w:sz w:val="24"/>
        </w:rPr>
      </w:pPr>
      <w:r>
        <w:rPr>
          <w:sz w:val="24"/>
        </w:rPr>
        <w:t>It shall comply with all the safety precautions insisted upon by the concerned Electricity Distribution Company and the requirements of Chief Fire Officer.</w:t>
      </w:r>
    </w:p>
    <w:p>
      <w:pPr>
        <w:pStyle w:val="Heading3"/>
        <w:numPr>
          <w:ilvl w:val="0"/>
          <w:numId w:val="97"/>
        </w:numPr>
        <w:tabs>
          <w:tab w:pos="1493" w:val="left" w:leader="none"/>
          <w:tab w:pos="3405" w:val="left" w:leader="none"/>
          <w:tab w:pos="5062" w:val="left" w:leader="none"/>
          <w:tab w:pos="5698" w:val="left" w:leader="none"/>
          <w:tab w:pos="6514" w:val="left" w:leader="none"/>
          <w:tab w:pos="8848" w:val="left" w:leader="none"/>
          <w:tab w:pos="9517" w:val="left" w:leader="none"/>
        </w:tabs>
        <w:spacing w:line="242" w:lineRule="auto" w:before="238" w:after="0"/>
        <w:ind w:left="772" w:right="786" w:firstLine="0"/>
        <w:jc w:val="left"/>
      </w:pPr>
      <w:r>
        <w:rPr>
          <w:spacing w:val="-2"/>
        </w:rPr>
        <w:t>Additional</w:t>
      </w:r>
      <w:r>
        <w:rPr/>
        <w:tab/>
      </w:r>
      <w:r>
        <w:rPr>
          <w:spacing w:val="-2"/>
        </w:rPr>
        <w:t>facilities</w:t>
      </w:r>
      <w:r>
        <w:rPr/>
        <w:tab/>
      </w:r>
      <w:r>
        <w:rPr>
          <w:spacing w:val="-6"/>
        </w:rPr>
        <w:t>in</w:t>
      </w:r>
      <w:r>
        <w:rPr/>
        <w:tab/>
      </w:r>
      <w:r>
        <w:rPr>
          <w:spacing w:val="-4"/>
        </w:rPr>
        <w:t>the</w:t>
      </w:r>
      <w:r>
        <w:rPr/>
        <w:tab/>
      </w:r>
      <w:r>
        <w:rPr>
          <w:spacing w:val="-2"/>
        </w:rPr>
        <w:t>Development</w:t>
      </w:r>
      <w:r>
        <w:rPr/>
        <w:tab/>
      </w:r>
      <w:r>
        <w:rPr>
          <w:spacing w:val="-6"/>
        </w:rPr>
        <w:t>in</w:t>
      </w:r>
      <w:r>
        <w:rPr/>
        <w:tab/>
      </w:r>
      <w:r>
        <w:rPr>
          <w:spacing w:val="-2"/>
        </w:rPr>
        <w:t>Large Holding</w:t>
      </w:r>
      <w:r>
        <w:rPr>
          <w:b w:val="0"/>
          <w:spacing w:val="-2"/>
        </w:rPr>
        <w:t>/</w:t>
      </w:r>
      <w:r>
        <w:rPr>
          <w:spacing w:val="-2"/>
        </w:rPr>
        <w:t>layout</w:t>
      </w:r>
    </w:p>
    <w:p>
      <w:pPr>
        <w:pStyle w:val="ListParagraph"/>
        <w:numPr>
          <w:ilvl w:val="0"/>
          <w:numId w:val="109"/>
        </w:numPr>
        <w:tabs>
          <w:tab w:pos="2211" w:val="left" w:leader="none"/>
        </w:tabs>
        <w:spacing w:line="240" w:lineRule="auto" w:before="238" w:after="0"/>
        <w:ind w:left="1625" w:right="779" w:firstLine="0"/>
        <w:jc w:val="both"/>
        <w:rPr>
          <w:sz w:val="24"/>
        </w:rPr>
      </w:pPr>
      <w:r>
        <w:rPr>
          <w:sz w:val="24"/>
        </w:rPr>
        <w:t>In</w:t>
      </w:r>
      <w:r>
        <w:rPr>
          <w:spacing w:val="31"/>
          <w:sz w:val="24"/>
        </w:rPr>
        <w:t> </w:t>
      </w:r>
      <w:r>
        <w:rPr>
          <w:sz w:val="24"/>
        </w:rPr>
        <w:t>layouts</w:t>
      </w:r>
      <w:r>
        <w:rPr>
          <w:spacing w:val="31"/>
          <w:sz w:val="24"/>
        </w:rPr>
        <w:t> </w:t>
      </w:r>
      <w:r>
        <w:rPr>
          <w:sz w:val="24"/>
        </w:rPr>
        <w:t>or</w:t>
      </w:r>
      <w:r>
        <w:rPr>
          <w:spacing w:val="33"/>
          <w:sz w:val="24"/>
        </w:rPr>
        <w:t> </w:t>
      </w:r>
      <w:r>
        <w:rPr>
          <w:sz w:val="24"/>
        </w:rPr>
        <w:t>sub-divisions/amalgamation</w:t>
      </w:r>
      <w:r>
        <w:rPr>
          <w:spacing w:val="31"/>
          <w:sz w:val="24"/>
        </w:rPr>
        <w:t> </w:t>
      </w:r>
      <w:r>
        <w:rPr>
          <w:sz w:val="24"/>
        </w:rPr>
        <w:t>of</w:t>
      </w:r>
      <w:r>
        <w:rPr>
          <w:spacing w:val="31"/>
          <w:sz w:val="24"/>
        </w:rPr>
        <w:t> </w:t>
      </w:r>
      <w:r>
        <w:rPr>
          <w:sz w:val="24"/>
        </w:rPr>
        <w:t>area</w:t>
      </w:r>
      <w:r>
        <w:rPr>
          <w:spacing w:val="31"/>
          <w:sz w:val="24"/>
        </w:rPr>
        <w:t> </w:t>
      </w:r>
      <w:r>
        <w:rPr>
          <w:sz w:val="24"/>
        </w:rPr>
        <w:t>in</w:t>
      </w:r>
      <w:r>
        <w:rPr>
          <w:spacing w:val="31"/>
          <w:sz w:val="24"/>
        </w:rPr>
        <w:t> </w:t>
      </w:r>
      <w:r>
        <w:rPr>
          <w:sz w:val="24"/>
        </w:rPr>
        <w:t>excess</w:t>
      </w:r>
      <w:r>
        <w:rPr>
          <w:spacing w:val="33"/>
          <w:sz w:val="24"/>
        </w:rPr>
        <w:t> </w:t>
      </w:r>
      <w:r>
        <w:rPr>
          <w:sz w:val="24"/>
        </w:rPr>
        <w:t>of</w:t>
      </w:r>
      <w:r>
        <w:rPr>
          <w:spacing w:val="31"/>
          <w:sz w:val="24"/>
        </w:rPr>
        <w:t> </w:t>
      </w:r>
      <w:r>
        <w:rPr>
          <w:sz w:val="24"/>
        </w:rPr>
        <w:t>2</w:t>
      </w:r>
      <w:r>
        <w:rPr>
          <w:spacing w:val="31"/>
          <w:sz w:val="24"/>
        </w:rPr>
        <w:t> </w:t>
      </w:r>
      <w:r>
        <w:rPr>
          <w:sz w:val="24"/>
        </w:rPr>
        <w:t>ha in residential and commercial zones, plots may be provided for shopping centers/departmental stores. Such centers/stores may have an aggregate BUA up to 5 per cent of the Zonal (basic) FSI of the plot. The conditions governing the layout of such a centre/store shall be as under:</w:t>
      </w:r>
    </w:p>
    <w:p>
      <w:pPr>
        <w:pStyle w:val="ListParagraph"/>
        <w:numPr>
          <w:ilvl w:val="1"/>
          <w:numId w:val="109"/>
        </w:numPr>
        <w:tabs>
          <w:tab w:pos="2091" w:val="left" w:leader="none"/>
          <w:tab w:pos="2093" w:val="left" w:leader="none"/>
        </w:tabs>
        <w:spacing w:line="240" w:lineRule="auto" w:before="240" w:after="0"/>
        <w:ind w:left="2093" w:right="777" w:hanging="440"/>
        <w:jc w:val="both"/>
        <w:rPr>
          <w:sz w:val="24"/>
        </w:rPr>
      </w:pPr>
      <w:r>
        <w:rPr>
          <w:sz w:val="24"/>
        </w:rPr>
        <w:t>The centre/store may</w:t>
      </w:r>
      <w:r>
        <w:rPr>
          <w:spacing w:val="-1"/>
          <w:sz w:val="24"/>
        </w:rPr>
        <w:t> </w:t>
      </w:r>
      <w:r>
        <w:rPr>
          <w:sz w:val="24"/>
        </w:rPr>
        <w:t>be at one place or may be distributed within the layout to make it accessible from the different parts of layout;</w:t>
      </w:r>
    </w:p>
    <w:p>
      <w:pPr>
        <w:pStyle w:val="ListParagraph"/>
        <w:numPr>
          <w:ilvl w:val="1"/>
          <w:numId w:val="109"/>
        </w:numPr>
        <w:tabs>
          <w:tab w:pos="2091" w:val="left" w:leader="none"/>
        </w:tabs>
        <w:spacing w:line="240" w:lineRule="auto" w:before="239" w:after="0"/>
        <w:ind w:left="2091" w:right="0" w:hanging="437"/>
        <w:jc w:val="left"/>
        <w:rPr>
          <w:sz w:val="24"/>
        </w:rPr>
      </w:pPr>
      <w:r>
        <w:rPr>
          <w:sz w:val="24"/>
        </w:rPr>
        <w:t>These</w:t>
      </w:r>
      <w:r>
        <w:rPr>
          <w:spacing w:val="17"/>
          <w:sz w:val="24"/>
        </w:rPr>
        <w:t> </w:t>
      </w:r>
      <w:r>
        <w:rPr>
          <w:sz w:val="24"/>
        </w:rPr>
        <w:t>centers/stores</w:t>
      </w:r>
      <w:r>
        <w:rPr>
          <w:spacing w:val="13"/>
          <w:sz w:val="24"/>
        </w:rPr>
        <w:t> </w:t>
      </w:r>
      <w:r>
        <w:rPr>
          <w:sz w:val="24"/>
        </w:rPr>
        <w:t>shall</w:t>
      </w:r>
      <w:r>
        <w:rPr>
          <w:spacing w:val="13"/>
          <w:sz w:val="24"/>
        </w:rPr>
        <w:t> </w:t>
      </w:r>
      <w:r>
        <w:rPr>
          <w:sz w:val="24"/>
        </w:rPr>
        <w:t>not</w:t>
      </w:r>
      <w:r>
        <w:rPr>
          <w:spacing w:val="13"/>
          <w:sz w:val="24"/>
        </w:rPr>
        <w:t> </w:t>
      </w:r>
      <w:r>
        <w:rPr>
          <w:sz w:val="24"/>
        </w:rPr>
        <w:t>abut</w:t>
      </w:r>
      <w:r>
        <w:rPr>
          <w:spacing w:val="15"/>
          <w:sz w:val="24"/>
        </w:rPr>
        <w:t> </w:t>
      </w:r>
      <w:r>
        <w:rPr>
          <w:sz w:val="24"/>
        </w:rPr>
        <w:t>any</w:t>
      </w:r>
      <w:r>
        <w:rPr>
          <w:spacing w:val="15"/>
          <w:sz w:val="24"/>
        </w:rPr>
        <w:t> </w:t>
      </w:r>
      <w:r>
        <w:rPr>
          <w:sz w:val="24"/>
        </w:rPr>
        <w:t>roads</w:t>
      </w:r>
      <w:r>
        <w:rPr>
          <w:spacing w:val="13"/>
          <w:sz w:val="24"/>
        </w:rPr>
        <w:t> </w:t>
      </w:r>
      <w:r>
        <w:rPr>
          <w:sz w:val="24"/>
        </w:rPr>
        <w:t>more</w:t>
      </w:r>
      <w:r>
        <w:rPr>
          <w:spacing w:val="13"/>
          <w:sz w:val="24"/>
        </w:rPr>
        <w:t> </w:t>
      </w:r>
      <w:r>
        <w:rPr>
          <w:sz w:val="24"/>
        </w:rPr>
        <w:t>than</w:t>
      </w:r>
      <w:r>
        <w:rPr>
          <w:spacing w:val="15"/>
          <w:sz w:val="24"/>
        </w:rPr>
        <w:t> </w:t>
      </w:r>
      <w:r>
        <w:rPr>
          <w:sz w:val="24"/>
        </w:rPr>
        <w:t>31</w:t>
      </w:r>
      <w:r>
        <w:rPr>
          <w:spacing w:val="16"/>
          <w:sz w:val="24"/>
        </w:rPr>
        <w:t> </w:t>
      </w:r>
      <w:r>
        <w:rPr>
          <w:sz w:val="24"/>
        </w:rPr>
        <w:t>m</w:t>
      </w:r>
      <w:r>
        <w:rPr>
          <w:spacing w:val="13"/>
          <w:sz w:val="24"/>
        </w:rPr>
        <w:t> </w:t>
      </w:r>
      <w:r>
        <w:rPr>
          <w:spacing w:val="-4"/>
          <w:sz w:val="24"/>
        </w:rPr>
        <w:t>wide</w:t>
      </w:r>
    </w:p>
    <w:p>
      <w:pPr>
        <w:pStyle w:val="ListParagraph"/>
        <w:numPr>
          <w:ilvl w:val="1"/>
          <w:numId w:val="109"/>
        </w:numPr>
        <w:tabs>
          <w:tab w:pos="2089" w:val="left" w:leader="none"/>
          <w:tab w:pos="2093" w:val="left" w:leader="none"/>
        </w:tabs>
        <w:spacing w:line="240" w:lineRule="auto" w:before="241" w:after="0"/>
        <w:ind w:left="2093" w:right="792" w:hanging="440"/>
        <w:jc w:val="both"/>
        <w:rPr>
          <w:sz w:val="24"/>
        </w:rPr>
      </w:pPr>
      <w:r>
        <w:rPr>
          <w:sz w:val="24"/>
        </w:rPr>
        <w:t>A shopping centre may be provided exclusively within the building towers with no access or frontage on any public road</w:t>
      </w:r>
    </w:p>
    <w:p>
      <w:pPr>
        <w:pStyle w:val="ListParagraph"/>
        <w:numPr>
          <w:ilvl w:val="1"/>
          <w:numId w:val="109"/>
        </w:numPr>
        <w:tabs>
          <w:tab w:pos="2090" w:val="left" w:leader="none"/>
          <w:tab w:pos="2093" w:val="left" w:leader="none"/>
        </w:tabs>
        <w:spacing w:line="240" w:lineRule="auto" w:before="238" w:after="0"/>
        <w:ind w:left="2093" w:right="785" w:hanging="440"/>
        <w:jc w:val="both"/>
        <w:rPr>
          <w:sz w:val="24"/>
        </w:rPr>
      </w:pPr>
      <w:r>
        <w:rPr>
          <w:sz w:val="24"/>
        </w:rPr>
        <w:t>Within a layout, the centers/stores may be provided on the ground and upper floors or on the ground floor and the upper floors may be used for residential purposes and conveniences like banks or places for medical or dental practitioners.</w:t>
      </w:r>
    </w:p>
    <w:p>
      <w:pPr>
        <w:pStyle w:val="ListParagraph"/>
        <w:numPr>
          <w:ilvl w:val="1"/>
          <w:numId w:val="109"/>
        </w:numPr>
        <w:tabs>
          <w:tab w:pos="1947" w:val="left" w:leader="none"/>
          <w:tab w:pos="2093" w:val="left" w:leader="none"/>
        </w:tabs>
        <w:spacing w:line="240" w:lineRule="auto" w:before="242" w:after="0"/>
        <w:ind w:left="2093" w:right="783" w:hanging="420"/>
        <w:jc w:val="both"/>
        <w:rPr>
          <w:sz w:val="24"/>
        </w:rPr>
      </w:pPr>
      <w:r>
        <w:rPr>
          <w:sz w:val="24"/>
        </w:rPr>
        <w:t>Uses shall be as defined in clause (31) of Regulation No.2, provided further that restaurant/eating house shall not be permissible in a residential building. Additional uses may include:</w:t>
      </w:r>
    </w:p>
    <w:p>
      <w:pPr>
        <w:pStyle w:val="BodyText"/>
        <w:spacing w:before="240"/>
        <w:ind w:left="2093" w:right="778"/>
      </w:pPr>
      <w:r>
        <w:rPr/>
        <w:t>Stores</w:t>
      </w:r>
      <w:r>
        <w:rPr>
          <w:spacing w:val="-1"/>
        </w:rPr>
        <w:t> </w:t>
      </w:r>
      <w:r>
        <w:rPr/>
        <w:t>or</w:t>
      </w:r>
      <w:r>
        <w:rPr>
          <w:spacing w:val="-1"/>
        </w:rPr>
        <w:t> </w:t>
      </w:r>
      <w:r>
        <w:rPr/>
        <w:t>shops</w:t>
      </w:r>
      <w:r>
        <w:rPr>
          <w:spacing w:val="-1"/>
        </w:rPr>
        <w:t> </w:t>
      </w:r>
      <w:r>
        <w:rPr/>
        <w:t>for the</w:t>
      </w:r>
      <w:r>
        <w:rPr>
          <w:spacing w:val="-1"/>
        </w:rPr>
        <w:t> </w:t>
      </w:r>
      <w:r>
        <w:rPr/>
        <w:t>conduct of</w:t>
      </w:r>
      <w:r>
        <w:rPr>
          <w:spacing w:val="-1"/>
        </w:rPr>
        <w:t> </w:t>
      </w:r>
      <w:r>
        <w:rPr/>
        <w:t>retail business. There</w:t>
      </w:r>
      <w:r>
        <w:rPr>
          <w:spacing w:val="-1"/>
        </w:rPr>
        <w:t> </w:t>
      </w:r>
      <w:r>
        <w:rPr/>
        <w:t>will, however, be no storage or sale of combustible material except with the Commissioner's permission.</w:t>
      </w:r>
    </w:p>
    <w:p>
      <w:pPr>
        <w:pStyle w:val="BodyText"/>
        <w:spacing w:after="0"/>
        <w:sectPr>
          <w:headerReference w:type="default" r:id="rId26"/>
          <w:footerReference w:type="default" r:id="rId27"/>
          <w:pgSz w:w="11910" w:h="16840"/>
          <w:pgMar w:header="1058" w:footer="1194" w:top="1500" w:bottom="1380" w:left="360" w:right="360"/>
        </w:sectPr>
      </w:pPr>
    </w:p>
    <w:p>
      <w:pPr>
        <w:pStyle w:val="BodyText"/>
        <w:spacing w:line="446" w:lineRule="auto" w:before="255"/>
        <w:ind w:left="1654" w:right="4463"/>
      </w:pPr>
      <w:r>
        <w:rPr/>
        <w:t>(a.) Personal services establishments only. (b.) Frozen food stores.</w:t>
      </w:r>
    </w:p>
    <w:p>
      <w:pPr>
        <w:pStyle w:val="BodyText"/>
        <w:ind w:left="2093" w:right="776" w:hanging="440"/>
      </w:pPr>
      <w:r>
        <w:rPr/>
        <w:t>(c.) Cleaning and pressing establishments for clothes, each occupying</w:t>
      </w:r>
      <w:r>
        <w:rPr>
          <w:spacing w:val="40"/>
        </w:rPr>
        <w:t> </w:t>
      </w:r>
      <w:r>
        <w:rPr/>
        <w:t>floor</w:t>
      </w:r>
      <w:r>
        <w:rPr>
          <w:spacing w:val="24"/>
        </w:rPr>
        <w:t> </w:t>
      </w:r>
      <w:r>
        <w:rPr/>
        <w:t>area</w:t>
      </w:r>
      <w:r>
        <w:rPr>
          <w:spacing w:val="24"/>
        </w:rPr>
        <w:t> </w:t>
      </w:r>
      <w:r>
        <w:rPr/>
        <w:t>not</w:t>
      </w:r>
      <w:r>
        <w:rPr>
          <w:spacing w:val="24"/>
        </w:rPr>
        <w:t> </w:t>
      </w:r>
      <w:r>
        <w:rPr/>
        <w:t>more</w:t>
      </w:r>
      <w:r>
        <w:rPr>
          <w:spacing w:val="24"/>
        </w:rPr>
        <w:t> </w:t>
      </w:r>
      <w:r>
        <w:rPr/>
        <w:t>than</w:t>
      </w:r>
      <w:r>
        <w:rPr>
          <w:spacing w:val="24"/>
        </w:rPr>
        <w:t> </w:t>
      </w:r>
      <w:r>
        <w:rPr/>
        <w:t>200</w:t>
      </w:r>
      <w:r>
        <w:rPr>
          <w:spacing w:val="24"/>
        </w:rPr>
        <w:t> </w:t>
      </w:r>
      <w:r>
        <w:rPr/>
        <w:t>sq.</w:t>
      </w:r>
      <w:r>
        <w:rPr>
          <w:spacing w:val="24"/>
        </w:rPr>
        <w:t> </w:t>
      </w:r>
      <w:r>
        <w:rPr/>
        <w:t>m</w:t>
      </w:r>
      <w:r>
        <w:rPr>
          <w:spacing w:val="22"/>
        </w:rPr>
        <w:t> </w:t>
      </w:r>
      <w:r>
        <w:rPr/>
        <w:t>and</w:t>
      </w:r>
      <w:r>
        <w:rPr>
          <w:spacing w:val="24"/>
        </w:rPr>
        <w:t> </w:t>
      </w:r>
      <w:r>
        <w:rPr/>
        <w:t>not</w:t>
      </w:r>
      <w:r>
        <w:rPr>
          <w:spacing w:val="22"/>
        </w:rPr>
        <w:t> </w:t>
      </w:r>
      <w:r>
        <w:rPr/>
        <w:t>employing</w:t>
      </w:r>
      <w:r>
        <w:rPr>
          <w:spacing w:val="37"/>
        </w:rPr>
        <w:t> </w:t>
      </w:r>
      <w:r>
        <w:rPr/>
        <w:t>solvents</w:t>
      </w:r>
      <w:r>
        <w:rPr>
          <w:spacing w:val="22"/>
        </w:rPr>
        <w:t> </w:t>
      </w:r>
      <w:r>
        <w:rPr/>
        <w:t>with a flash point lower than 590C, machines with dry load capacity exceeding 30 kg and employing not more than 9 persons, with a total power requirements of not more than 4 KW</w:t>
      </w:r>
    </w:p>
    <w:p>
      <w:pPr>
        <w:pStyle w:val="BodyText"/>
        <w:spacing w:before="236"/>
        <w:ind w:left="2093" w:right="774" w:hanging="440"/>
      </w:pPr>
      <w:r>
        <w:rPr/>
        <w:t>(d.)</w:t>
      </w:r>
      <w:r>
        <w:rPr>
          <w:spacing w:val="-7"/>
        </w:rPr>
        <w:t> </w:t>
      </w:r>
      <w:r>
        <w:rPr/>
        <w:t>Shops for goldsmiths, lock-smiths, watch and clock shops and their repairs, bicycle shops and their rental and repairs, optician’s shops and optical glass grinding and repairs shops, musical instruments shops and their repairs, picture framing, radio, television and household appliance shops and their repairs, umbrella shops and their repairs and upholstery work, each employing not more than 9 </w:t>
      </w:r>
      <w:r>
        <w:rPr>
          <w:spacing w:val="-2"/>
        </w:rPr>
        <w:t>persons.</w:t>
      </w:r>
    </w:p>
    <w:p>
      <w:pPr>
        <w:pStyle w:val="BodyText"/>
        <w:spacing w:before="241"/>
        <w:ind w:left="2093" w:right="780" w:hanging="440"/>
      </w:pPr>
      <w:r>
        <w:rPr/>
        <w:t>(e.) Coffee selling shops and grinding establishments, each with electric motive power not exceeding 0.75 KW (0.025 KW individual motor </w:t>
      </w:r>
      <w:r>
        <w:rPr>
          <w:spacing w:val="-2"/>
        </w:rPr>
        <w:t>each);</w:t>
      </w:r>
    </w:p>
    <w:p>
      <w:pPr>
        <w:pStyle w:val="BodyText"/>
        <w:spacing w:before="240"/>
        <w:ind w:left="2093" w:right="780" w:hanging="440"/>
      </w:pPr>
      <w:r>
        <w:rPr/>
        <w:t>(f.)</w:t>
      </w:r>
      <w:r>
        <w:rPr>
          <w:spacing w:val="40"/>
        </w:rPr>
        <w:t> </w:t>
      </w:r>
      <w:r>
        <w:rPr/>
        <w:t>Bakeries with no floor above, not occupying for production an area in excess</w:t>
      </w:r>
      <w:r>
        <w:rPr>
          <w:spacing w:val="-8"/>
        </w:rPr>
        <w:t> </w:t>
      </w:r>
      <w:r>
        <w:rPr/>
        <w:t>of</w:t>
      </w:r>
      <w:r>
        <w:rPr>
          <w:spacing w:val="-8"/>
        </w:rPr>
        <w:t> </w:t>
      </w:r>
      <w:r>
        <w:rPr/>
        <w:t>75</w:t>
      </w:r>
      <w:r>
        <w:rPr>
          <w:spacing w:val="-8"/>
        </w:rPr>
        <w:t> </w:t>
      </w:r>
      <w:r>
        <w:rPr/>
        <w:t>sq.m</w:t>
      </w:r>
      <w:r>
        <w:rPr>
          <w:spacing w:val="-8"/>
        </w:rPr>
        <w:t> </w:t>
      </w:r>
      <w:r>
        <w:rPr/>
        <w:t>and</w:t>
      </w:r>
      <w:r>
        <w:rPr>
          <w:spacing w:val="-8"/>
        </w:rPr>
        <w:t> </w:t>
      </w:r>
      <w:r>
        <w:rPr/>
        <w:t>not</w:t>
      </w:r>
      <w:r>
        <w:rPr>
          <w:spacing w:val="-8"/>
        </w:rPr>
        <w:t> </w:t>
      </w:r>
      <w:r>
        <w:rPr/>
        <w:t>employing</w:t>
      </w:r>
      <w:r>
        <w:rPr>
          <w:spacing w:val="-8"/>
        </w:rPr>
        <w:t> </w:t>
      </w:r>
      <w:r>
        <w:rPr/>
        <w:t>more</w:t>
      </w:r>
      <w:r>
        <w:rPr>
          <w:spacing w:val="-8"/>
        </w:rPr>
        <w:t> </w:t>
      </w:r>
      <w:r>
        <w:rPr/>
        <w:t>than</w:t>
      </w:r>
      <w:r>
        <w:rPr>
          <w:spacing w:val="-5"/>
        </w:rPr>
        <w:t> </w:t>
      </w:r>
      <w:r>
        <w:rPr/>
        <w:t>9</w:t>
      </w:r>
      <w:r>
        <w:rPr>
          <w:spacing w:val="-8"/>
        </w:rPr>
        <w:t> </w:t>
      </w:r>
      <w:r>
        <w:rPr/>
        <w:t>persons,</w:t>
      </w:r>
      <w:r>
        <w:rPr>
          <w:spacing w:val="-8"/>
        </w:rPr>
        <w:t> </w:t>
      </w:r>
      <w:r>
        <w:rPr/>
        <w:t>if</w:t>
      </w:r>
      <w:r>
        <w:rPr>
          <w:spacing w:val="-5"/>
        </w:rPr>
        <w:t> </w:t>
      </w:r>
      <w:r>
        <w:rPr/>
        <w:t>the</w:t>
      </w:r>
      <w:r>
        <w:rPr>
          <w:spacing w:val="-8"/>
        </w:rPr>
        <w:t> </w:t>
      </w:r>
      <w:r>
        <w:rPr/>
        <w:t>power requirement does not exceed 4 KW, where only electrical ovens are used and additional heating load upto 12 KW permitted</w:t>
      </w:r>
    </w:p>
    <w:p>
      <w:pPr>
        <w:pStyle w:val="BodyText"/>
        <w:spacing w:before="241"/>
        <w:ind w:left="2093" w:right="783" w:hanging="440"/>
      </w:pPr>
      <w:r>
        <w:rPr/>
        <w:t>(g.) Confectioneries and establishments for the preparation and sale of eatables not occupying for production, an area in excess of 75 sq. m per establishment and not employing more than 9 persons or motive power exceeding 1.12 KW, as well as sugarcane and fruit crushers, each not employing more than 6 persons with motive power not exceeding 1.12 KW, in an area not more than 25 sq. m.</w:t>
      </w:r>
    </w:p>
    <w:p>
      <w:pPr>
        <w:pStyle w:val="BodyText"/>
        <w:spacing w:before="240"/>
        <w:ind w:left="1654"/>
      </w:pPr>
      <w:r>
        <w:rPr/>
        <w:t>(h.)</w:t>
      </w:r>
      <w:r>
        <w:rPr>
          <w:spacing w:val="-15"/>
        </w:rPr>
        <w:t> </w:t>
      </w:r>
      <w:r>
        <w:rPr/>
        <w:t>Vegetable,</w:t>
      </w:r>
      <w:r>
        <w:rPr>
          <w:spacing w:val="18"/>
        </w:rPr>
        <w:t> </w:t>
      </w:r>
      <w:r>
        <w:rPr/>
        <w:t>fruit,</w:t>
      </w:r>
      <w:r>
        <w:rPr>
          <w:spacing w:val="20"/>
        </w:rPr>
        <w:t> </w:t>
      </w:r>
      <w:r>
        <w:rPr/>
        <w:t>flower</w:t>
      </w:r>
      <w:r>
        <w:rPr>
          <w:spacing w:val="19"/>
        </w:rPr>
        <w:t> </w:t>
      </w:r>
      <w:r>
        <w:rPr>
          <w:spacing w:val="-4"/>
        </w:rPr>
        <w:t>shops</w:t>
      </w:r>
    </w:p>
    <w:p>
      <w:pPr>
        <w:pStyle w:val="BodyText"/>
        <w:spacing w:before="239"/>
        <w:ind w:left="2093" w:right="775" w:hanging="440"/>
      </w:pPr>
      <w:r>
        <w:rPr/>
        <w:t>(i.) Photographic studios with laboratories, photocopying, video and videotaping establishments, etc. and their laboratories, each with an area not exceeding 50 sq. m, and not employing more than 9 persons and not using power more than 3.75 KW</w:t>
      </w:r>
    </w:p>
    <w:p>
      <w:pPr>
        <w:pStyle w:val="BodyText"/>
        <w:spacing w:line="444" w:lineRule="auto" w:before="242"/>
        <w:ind w:left="1654" w:right="3646"/>
        <w:jc w:val="left"/>
      </w:pPr>
      <w:r>
        <w:rPr/>
        <w:t>(j.)</w:t>
      </w:r>
      <w:r>
        <w:rPr>
          <w:spacing w:val="40"/>
        </w:rPr>
        <w:t> </w:t>
      </w:r>
      <w:r>
        <w:rPr/>
        <w:t>Data processing unit with use of computers (k.) Travel agencies</w:t>
      </w:r>
    </w:p>
    <w:p>
      <w:pPr>
        <w:pStyle w:val="BodyText"/>
        <w:spacing w:line="276" w:lineRule="auto"/>
        <w:ind w:left="1673" w:right="838"/>
        <w:jc w:val="left"/>
      </w:pPr>
      <w:r>
        <w:rPr/>
        <w:t>With</w:t>
      </w:r>
      <w:r>
        <w:rPr>
          <w:spacing w:val="40"/>
        </w:rPr>
        <w:t> </w:t>
      </w:r>
      <w:r>
        <w:rPr/>
        <w:t>the</w:t>
      </w:r>
      <w:r>
        <w:rPr>
          <w:spacing w:val="40"/>
        </w:rPr>
        <w:t> </w:t>
      </w:r>
      <w:r>
        <w:rPr/>
        <w:t>special</w:t>
      </w:r>
      <w:r>
        <w:rPr>
          <w:spacing w:val="40"/>
        </w:rPr>
        <w:t> </w:t>
      </w:r>
      <w:r>
        <w:rPr/>
        <w:t>permission,</w:t>
      </w:r>
      <w:r>
        <w:rPr>
          <w:spacing w:val="40"/>
        </w:rPr>
        <w:t> </w:t>
      </w:r>
      <w:r>
        <w:rPr/>
        <w:t>the</w:t>
      </w:r>
      <w:r>
        <w:rPr>
          <w:spacing w:val="40"/>
        </w:rPr>
        <w:t> </w:t>
      </w:r>
      <w:r>
        <w:rPr/>
        <w:t>Commissioner</w:t>
      </w:r>
      <w:r>
        <w:rPr>
          <w:spacing w:val="40"/>
        </w:rPr>
        <w:t> </w:t>
      </w:r>
      <w:r>
        <w:rPr/>
        <w:t>may</w:t>
      </w:r>
      <w:r>
        <w:rPr>
          <w:spacing w:val="40"/>
        </w:rPr>
        <w:t> </w:t>
      </w:r>
      <w:r>
        <w:rPr/>
        <w:t>from</w:t>
      </w:r>
      <w:r>
        <w:rPr>
          <w:spacing w:val="40"/>
        </w:rPr>
        <w:t> </w:t>
      </w:r>
      <w:r>
        <w:rPr/>
        <w:t>time</w:t>
      </w:r>
      <w:r>
        <w:rPr>
          <w:spacing w:val="40"/>
        </w:rPr>
        <w:t> </w:t>
      </w:r>
      <w:r>
        <w:rPr/>
        <w:t>to</w:t>
      </w:r>
      <w:r>
        <w:rPr>
          <w:spacing w:val="40"/>
        </w:rPr>
        <w:t> </w:t>
      </w:r>
      <w:r>
        <w:rPr/>
        <w:t>time add</w:t>
      </w:r>
      <w:r>
        <w:rPr>
          <w:spacing w:val="40"/>
        </w:rPr>
        <w:t> </w:t>
      </w:r>
      <w:r>
        <w:rPr/>
        <w:t>to,</w:t>
      </w:r>
      <w:r>
        <w:rPr>
          <w:spacing w:val="40"/>
        </w:rPr>
        <w:t> </w:t>
      </w:r>
      <w:r>
        <w:rPr/>
        <w:t>alter</w:t>
      </w:r>
      <w:r>
        <w:rPr>
          <w:spacing w:val="40"/>
        </w:rPr>
        <w:t> </w:t>
      </w:r>
      <w:r>
        <w:rPr/>
        <w:t>or</w:t>
      </w:r>
      <w:r>
        <w:rPr>
          <w:spacing w:val="40"/>
        </w:rPr>
        <w:t> </w:t>
      </w:r>
      <w:r>
        <w:rPr/>
        <w:t>amend</w:t>
      </w:r>
      <w:r>
        <w:rPr>
          <w:spacing w:val="40"/>
        </w:rPr>
        <w:t> </w:t>
      </w:r>
      <w:r>
        <w:rPr/>
        <w:t>the</w:t>
      </w:r>
      <w:r>
        <w:rPr>
          <w:spacing w:val="40"/>
        </w:rPr>
        <w:t> </w:t>
      </w:r>
      <w:r>
        <w:rPr/>
        <w:t>above</w:t>
      </w:r>
      <w:r>
        <w:rPr>
          <w:spacing w:val="40"/>
        </w:rPr>
        <w:t> </w:t>
      </w:r>
      <w:r>
        <w:rPr/>
        <w:t>list</w:t>
      </w:r>
    </w:p>
    <w:p>
      <w:pPr>
        <w:pStyle w:val="BodyText"/>
        <w:spacing w:after="0" w:line="276" w:lineRule="auto"/>
        <w:jc w:val="left"/>
        <w:sectPr>
          <w:pgSz w:w="11910" w:h="16840"/>
          <w:pgMar w:header="1058" w:footer="1194" w:top="1500" w:bottom="1380" w:left="360" w:right="360"/>
        </w:sectPr>
      </w:pPr>
    </w:p>
    <w:p>
      <w:pPr>
        <w:pStyle w:val="ListParagraph"/>
        <w:numPr>
          <w:ilvl w:val="0"/>
          <w:numId w:val="109"/>
        </w:numPr>
        <w:tabs>
          <w:tab w:pos="1623" w:val="left" w:leader="none"/>
          <w:tab w:pos="1625" w:val="left" w:leader="none"/>
        </w:tabs>
        <w:spacing w:line="240" w:lineRule="auto" w:before="255" w:after="0"/>
        <w:ind w:left="1625" w:right="776" w:hanging="360"/>
        <w:jc w:val="both"/>
        <w:rPr>
          <w:sz w:val="24"/>
        </w:rPr>
      </w:pPr>
      <w:r>
        <w:rPr>
          <w:sz w:val="24"/>
        </w:rPr>
        <w:t>If a public amenity of a kindergarten school, milk Centre, electric sub- station, bus</w:t>
      </w:r>
      <w:r>
        <w:rPr>
          <w:spacing w:val="80"/>
          <w:w w:val="150"/>
          <w:sz w:val="24"/>
        </w:rPr>
        <w:t> </w:t>
      </w:r>
      <w:r>
        <w:rPr>
          <w:sz w:val="24"/>
        </w:rPr>
        <w:t>shelter, is provided within the project, the area of such facility not exceeding 5 percent of the total plot area shall be allowed free of FSI.</w:t>
      </w:r>
    </w:p>
    <w:p>
      <w:pPr>
        <w:pStyle w:val="ListParagraph"/>
        <w:spacing w:after="0" w:line="240" w:lineRule="auto"/>
        <w:jc w:val="both"/>
        <w:rPr>
          <w:sz w:val="24"/>
        </w:rPr>
        <w:sectPr>
          <w:pgSz w:w="11910" w:h="16840"/>
          <w:pgMar w:header="1058" w:footer="1194" w:top="1500" w:bottom="1380" w:left="360" w:right="360"/>
        </w:sectPr>
      </w:pPr>
    </w:p>
    <w:p>
      <w:pPr>
        <w:pStyle w:val="Heading1"/>
        <w:spacing w:before="248"/>
        <w:ind w:right="1"/>
      </w:pPr>
      <w:r>
        <w:rPr/>
        <w:t>PART</w:t>
      </w:r>
      <w:r>
        <w:rPr>
          <w:spacing w:val="-11"/>
        </w:rPr>
        <w:t> </w:t>
      </w:r>
      <w:r>
        <w:rPr/>
        <w:t>V-</w:t>
      </w:r>
      <w:r>
        <w:rPr>
          <w:spacing w:val="-9"/>
        </w:rPr>
        <w:t> </w:t>
      </w:r>
      <w:r>
        <w:rPr/>
        <w:t>FLOOR</w:t>
      </w:r>
      <w:r>
        <w:rPr>
          <w:spacing w:val="-12"/>
        </w:rPr>
        <w:t> </w:t>
      </w:r>
      <w:r>
        <w:rPr/>
        <w:t>SPACE</w:t>
      </w:r>
      <w:r>
        <w:rPr>
          <w:spacing w:val="-9"/>
        </w:rPr>
        <w:t> </w:t>
      </w:r>
      <w:r>
        <w:rPr>
          <w:spacing w:val="-2"/>
        </w:rPr>
        <w:t>INDEX</w:t>
      </w:r>
    </w:p>
    <w:p>
      <w:pPr>
        <w:pStyle w:val="Heading2"/>
        <w:numPr>
          <w:ilvl w:val="0"/>
          <w:numId w:val="97"/>
        </w:numPr>
        <w:tabs>
          <w:tab w:pos="1493" w:val="left" w:leader="none"/>
        </w:tabs>
        <w:spacing w:line="240" w:lineRule="auto" w:before="240" w:after="0"/>
        <w:ind w:left="1493" w:right="1846" w:hanging="721"/>
        <w:jc w:val="left"/>
      </w:pPr>
      <w:r>
        <w:rPr/>
        <w:t>Floor Space Indices &amp; Floor space / Built-Up Area (BUA)computation, Tenement Density and Protected </w:t>
      </w:r>
      <w:r>
        <w:rPr>
          <w:spacing w:val="-2"/>
        </w:rPr>
        <w:t>Development</w:t>
      </w:r>
    </w:p>
    <w:p>
      <w:pPr>
        <w:pStyle w:val="Heading6"/>
        <w:numPr>
          <w:ilvl w:val="0"/>
          <w:numId w:val="110"/>
        </w:numPr>
        <w:tabs>
          <w:tab w:pos="1927" w:val="left" w:leader="none"/>
        </w:tabs>
        <w:spacing w:line="240" w:lineRule="auto" w:before="240" w:after="0"/>
        <w:ind w:left="1927" w:right="0" w:hanging="434"/>
        <w:jc w:val="left"/>
      </w:pPr>
      <w:r>
        <w:rPr/>
        <w:t>Floor</w:t>
      </w:r>
      <w:r>
        <w:rPr>
          <w:spacing w:val="1"/>
        </w:rPr>
        <w:t> </w:t>
      </w:r>
      <w:r>
        <w:rPr/>
        <w:t>Space</w:t>
      </w:r>
      <w:r>
        <w:rPr>
          <w:spacing w:val="2"/>
        </w:rPr>
        <w:t> </w:t>
      </w:r>
      <w:r>
        <w:rPr/>
        <w:t>Indices</w:t>
      </w:r>
      <w:r>
        <w:rPr>
          <w:spacing w:val="1"/>
        </w:rPr>
        <w:t> </w:t>
      </w:r>
      <w:r>
        <w:rPr/>
        <w:t>&amp;</w:t>
      </w:r>
      <w:r>
        <w:rPr>
          <w:spacing w:val="2"/>
        </w:rPr>
        <w:t> </w:t>
      </w:r>
      <w:r>
        <w:rPr/>
        <w:t>Floor</w:t>
      </w:r>
      <w:r>
        <w:rPr>
          <w:spacing w:val="1"/>
        </w:rPr>
        <w:t> </w:t>
      </w:r>
      <w:r>
        <w:rPr/>
        <w:t>space</w:t>
      </w:r>
      <w:r>
        <w:rPr>
          <w:spacing w:val="2"/>
        </w:rPr>
        <w:t> </w:t>
      </w:r>
      <w:r>
        <w:rPr/>
        <w:t>/BUA</w:t>
      </w:r>
      <w:r>
        <w:rPr>
          <w:spacing w:val="21"/>
        </w:rPr>
        <w:t> </w:t>
      </w:r>
      <w:r>
        <w:rPr>
          <w:spacing w:val="-2"/>
        </w:rPr>
        <w:t>computation</w:t>
      </w:r>
    </w:p>
    <w:p>
      <w:pPr>
        <w:pStyle w:val="ListParagraph"/>
        <w:numPr>
          <w:ilvl w:val="1"/>
          <w:numId w:val="110"/>
        </w:numPr>
        <w:tabs>
          <w:tab w:pos="1872" w:val="left" w:leader="none"/>
        </w:tabs>
        <w:spacing w:line="240" w:lineRule="auto" w:before="242" w:after="0"/>
        <w:ind w:left="1872" w:right="785" w:hanging="440"/>
        <w:jc w:val="left"/>
        <w:rPr>
          <w:sz w:val="24"/>
        </w:rPr>
      </w:pPr>
      <w:r>
        <w:rPr>
          <w:sz w:val="24"/>
        </w:rPr>
        <w:t>The</w:t>
      </w:r>
      <w:r>
        <w:rPr>
          <w:spacing w:val="80"/>
          <w:w w:val="150"/>
          <w:sz w:val="24"/>
        </w:rPr>
        <w:t> </w:t>
      </w:r>
      <w:r>
        <w:rPr>
          <w:sz w:val="24"/>
        </w:rPr>
        <w:t>area</w:t>
      </w:r>
      <w:r>
        <w:rPr>
          <w:spacing w:val="80"/>
          <w:w w:val="150"/>
          <w:sz w:val="24"/>
        </w:rPr>
        <w:t> </w:t>
      </w:r>
      <w:r>
        <w:rPr>
          <w:sz w:val="24"/>
        </w:rPr>
        <w:t>of</w:t>
      </w:r>
      <w:r>
        <w:rPr>
          <w:spacing w:val="80"/>
          <w:w w:val="150"/>
          <w:sz w:val="24"/>
        </w:rPr>
        <w:t> </w:t>
      </w:r>
      <w:r>
        <w:rPr>
          <w:sz w:val="24"/>
        </w:rPr>
        <w:t>a</w:t>
      </w:r>
      <w:r>
        <w:rPr>
          <w:spacing w:val="80"/>
          <w:w w:val="150"/>
          <w:sz w:val="24"/>
        </w:rPr>
        <w:t> </w:t>
      </w:r>
      <w:r>
        <w:rPr>
          <w:sz w:val="24"/>
        </w:rPr>
        <w:t>plot</w:t>
      </w:r>
      <w:r>
        <w:rPr>
          <w:spacing w:val="80"/>
          <w:w w:val="150"/>
          <w:sz w:val="24"/>
        </w:rPr>
        <w:t> </w:t>
      </w:r>
      <w:r>
        <w:rPr>
          <w:sz w:val="24"/>
        </w:rPr>
        <w:t>shall</w:t>
      </w:r>
      <w:r>
        <w:rPr>
          <w:spacing w:val="80"/>
          <w:w w:val="150"/>
          <w:sz w:val="24"/>
        </w:rPr>
        <w:t> </w:t>
      </w:r>
      <w:r>
        <w:rPr>
          <w:sz w:val="24"/>
        </w:rPr>
        <w:t>be</w:t>
      </w:r>
      <w:r>
        <w:rPr>
          <w:spacing w:val="80"/>
          <w:w w:val="150"/>
          <w:sz w:val="24"/>
        </w:rPr>
        <w:t> </w:t>
      </w:r>
      <w:r>
        <w:rPr>
          <w:spacing w:val="9"/>
          <w:sz w:val="24"/>
        </w:rPr>
        <w:t>reckoned</w:t>
      </w:r>
      <w:r>
        <w:rPr>
          <w:spacing w:val="80"/>
          <w:w w:val="150"/>
          <w:sz w:val="24"/>
        </w:rPr>
        <w:t> </w:t>
      </w:r>
      <w:r>
        <w:rPr>
          <w:sz w:val="24"/>
        </w:rPr>
        <w:t>in</w:t>
      </w:r>
      <w:r>
        <w:rPr>
          <w:spacing w:val="80"/>
          <w:w w:val="150"/>
          <w:sz w:val="24"/>
        </w:rPr>
        <w:t> </w:t>
      </w:r>
      <w:r>
        <w:rPr>
          <w:sz w:val="24"/>
        </w:rPr>
        <w:t>FSI/BUA</w:t>
      </w:r>
      <w:r>
        <w:rPr>
          <w:spacing w:val="80"/>
          <w:w w:val="150"/>
          <w:sz w:val="24"/>
        </w:rPr>
        <w:t> </w:t>
      </w:r>
      <w:r>
        <w:rPr>
          <w:sz w:val="24"/>
        </w:rPr>
        <w:t>calculations applicable</w:t>
      </w:r>
      <w:r>
        <w:rPr>
          <w:spacing w:val="40"/>
          <w:sz w:val="24"/>
        </w:rPr>
        <w:t> </w:t>
      </w:r>
      <w:r>
        <w:rPr>
          <w:sz w:val="24"/>
        </w:rPr>
        <w:t>to</w:t>
      </w:r>
      <w:r>
        <w:rPr>
          <w:spacing w:val="40"/>
          <w:sz w:val="24"/>
        </w:rPr>
        <w:t> </w:t>
      </w:r>
      <w:r>
        <w:rPr>
          <w:sz w:val="24"/>
        </w:rPr>
        <w:t>development</w:t>
      </w:r>
      <w:r>
        <w:rPr>
          <w:spacing w:val="40"/>
          <w:sz w:val="24"/>
        </w:rPr>
        <w:t> </w:t>
      </w:r>
      <w:r>
        <w:rPr>
          <w:sz w:val="24"/>
        </w:rPr>
        <w:t>to</w:t>
      </w:r>
      <w:r>
        <w:rPr>
          <w:spacing w:val="40"/>
          <w:sz w:val="24"/>
        </w:rPr>
        <w:t> </w:t>
      </w:r>
      <w:r>
        <w:rPr>
          <w:sz w:val="24"/>
        </w:rPr>
        <w:t>be</w:t>
      </w:r>
      <w:r>
        <w:rPr>
          <w:spacing w:val="40"/>
          <w:sz w:val="24"/>
        </w:rPr>
        <w:t> </w:t>
      </w:r>
      <w:r>
        <w:rPr>
          <w:sz w:val="24"/>
        </w:rPr>
        <w:t>undertaken</w:t>
      </w:r>
      <w:r>
        <w:rPr>
          <w:spacing w:val="40"/>
          <w:sz w:val="24"/>
        </w:rPr>
        <w:t>  </w:t>
      </w:r>
      <w:r>
        <w:rPr>
          <w:sz w:val="24"/>
        </w:rPr>
        <w:t>as</w:t>
      </w:r>
      <w:r>
        <w:rPr>
          <w:spacing w:val="80"/>
          <w:sz w:val="24"/>
        </w:rPr>
        <w:t> </w:t>
      </w:r>
      <w:r>
        <w:rPr>
          <w:sz w:val="24"/>
        </w:rPr>
        <w:t>under:</w:t>
      </w:r>
      <w:r>
        <w:rPr>
          <w:spacing w:val="40"/>
          <w:sz w:val="24"/>
        </w:rPr>
        <w:t> </w:t>
      </w:r>
      <w:r>
        <w:rPr>
          <w:sz w:val="24"/>
        </w:rPr>
        <w:t>-</w:t>
      </w:r>
    </w:p>
    <w:p>
      <w:pPr>
        <w:pStyle w:val="Heading4"/>
        <w:spacing w:before="240"/>
        <w:ind w:left="143"/>
        <w:jc w:val="left"/>
      </w:pPr>
      <w:r>
        <w:rPr/>
        <w:t>TABLE</w:t>
      </w:r>
      <w:r>
        <w:rPr>
          <w:spacing w:val="-5"/>
        </w:rPr>
        <w:t> 12</w:t>
      </w:r>
    </w:p>
    <w:p>
      <w:pPr>
        <w:pStyle w:val="Heading5"/>
        <w:spacing w:before="120"/>
        <w:ind w:left="979"/>
      </w:pPr>
      <w:r>
        <w:rPr/>
        <w:t>Floor</w:t>
      </w:r>
      <w:r>
        <w:rPr>
          <w:spacing w:val="-1"/>
        </w:rPr>
        <w:t> </w:t>
      </w:r>
      <w:r>
        <w:rPr/>
        <w:t>Space</w:t>
      </w:r>
      <w:r>
        <w:rPr>
          <w:spacing w:val="-1"/>
        </w:rPr>
        <w:t> </w:t>
      </w:r>
      <w:r>
        <w:rPr/>
        <w:t>Indices</w:t>
      </w:r>
      <w:r>
        <w:rPr>
          <w:spacing w:val="-1"/>
        </w:rPr>
        <w:t> </w:t>
      </w:r>
      <w:r>
        <w:rPr/>
        <w:t>in</w:t>
      </w:r>
      <w:r>
        <w:rPr>
          <w:spacing w:val="-1"/>
        </w:rPr>
        <w:t> </w:t>
      </w:r>
      <w:r>
        <w:rPr/>
        <w:t>Residential,</w:t>
      </w:r>
      <w:r>
        <w:rPr>
          <w:spacing w:val="-1"/>
        </w:rPr>
        <w:t> </w:t>
      </w:r>
      <w:r>
        <w:rPr/>
        <w:t>Commercial</w:t>
      </w:r>
      <w:r>
        <w:rPr>
          <w:spacing w:val="-1"/>
        </w:rPr>
        <w:t> </w:t>
      </w:r>
      <w:r>
        <w:rPr/>
        <w:t>and</w:t>
      </w:r>
      <w:r>
        <w:rPr>
          <w:spacing w:val="-1"/>
        </w:rPr>
        <w:t> </w:t>
      </w:r>
      <w:r>
        <w:rPr/>
        <w:t>Industrial </w:t>
      </w:r>
      <w:r>
        <w:rPr>
          <w:spacing w:val="-2"/>
        </w:rPr>
        <w:t>Zones</w:t>
      </w:r>
    </w:p>
    <w:p>
      <w:pPr>
        <w:pStyle w:val="BodyText"/>
        <w:spacing w:before="7"/>
        <w:jc w:val="left"/>
        <w:rPr>
          <w:b/>
          <w:sz w:val="20"/>
        </w:rPr>
      </w:pPr>
    </w:p>
    <w:tbl>
      <w:tblPr>
        <w:tblW w:w="0" w:type="auto"/>
        <w:jc w:val="left"/>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2"/>
        <w:gridCol w:w="393"/>
        <w:gridCol w:w="3060"/>
        <w:gridCol w:w="897"/>
        <w:gridCol w:w="1442"/>
        <w:gridCol w:w="988"/>
        <w:gridCol w:w="991"/>
        <w:gridCol w:w="719"/>
        <w:gridCol w:w="743"/>
      </w:tblGrid>
      <w:tr>
        <w:trPr>
          <w:trHeight w:val="2010" w:hRule="atLeast"/>
        </w:trPr>
        <w:tc>
          <w:tcPr>
            <w:tcW w:w="552" w:type="dxa"/>
            <w:shd w:val="clear" w:color="auto" w:fill="EDEBE0"/>
          </w:tcPr>
          <w:p>
            <w:pPr>
              <w:pStyle w:val="TableParagraph"/>
              <w:spacing w:before="18"/>
              <w:ind w:left="119" w:right="101" w:firstLine="24"/>
              <w:rPr>
                <w:sz w:val="24"/>
              </w:rPr>
            </w:pPr>
            <w:r>
              <w:rPr>
                <w:spacing w:val="-6"/>
                <w:sz w:val="24"/>
              </w:rPr>
              <w:t>Sr </w:t>
            </w:r>
            <w:r>
              <w:rPr>
                <w:spacing w:val="-5"/>
                <w:sz w:val="24"/>
              </w:rPr>
              <w:t>No</w:t>
            </w:r>
          </w:p>
        </w:tc>
        <w:tc>
          <w:tcPr>
            <w:tcW w:w="3453" w:type="dxa"/>
            <w:gridSpan w:val="2"/>
            <w:shd w:val="clear" w:color="auto" w:fill="EDEBE0"/>
          </w:tcPr>
          <w:p>
            <w:pPr>
              <w:pStyle w:val="TableParagraph"/>
              <w:spacing w:before="20"/>
              <w:ind w:left="8"/>
              <w:jc w:val="center"/>
              <w:rPr>
                <w:sz w:val="24"/>
              </w:rPr>
            </w:pPr>
            <w:r>
              <w:rPr>
                <w:spacing w:val="-2"/>
                <w:sz w:val="24"/>
              </w:rPr>
              <w:t>Areas</w:t>
            </w:r>
          </w:p>
        </w:tc>
        <w:tc>
          <w:tcPr>
            <w:tcW w:w="897" w:type="dxa"/>
            <w:shd w:val="clear" w:color="auto" w:fill="EDEBE0"/>
          </w:tcPr>
          <w:p>
            <w:pPr>
              <w:pStyle w:val="TableParagraph"/>
              <w:spacing w:before="20"/>
              <w:ind w:left="13"/>
              <w:jc w:val="center"/>
              <w:rPr>
                <w:sz w:val="24"/>
              </w:rPr>
            </w:pPr>
            <w:r>
              <w:rPr>
                <w:spacing w:val="-4"/>
                <w:sz w:val="24"/>
              </w:rPr>
              <w:t>Zone</w:t>
            </w:r>
          </w:p>
        </w:tc>
        <w:tc>
          <w:tcPr>
            <w:tcW w:w="1442" w:type="dxa"/>
            <w:shd w:val="clear" w:color="auto" w:fill="EDEBE0"/>
          </w:tcPr>
          <w:p>
            <w:pPr>
              <w:pStyle w:val="TableParagraph"/>
              <w:spacing w:before="18"/>
              <w:ind w:left="393" w:right="371" w:firstLine="31"/>
              <w:rPr>
                <w:sz w:val="24"/>
              </w:rPr>
            </w:pPr>
            <w:r>
              <w:rPr>
                <w:spacing w:val="-4"/>
                <w:sz w:val="24"/>
              </w:rPr>
              <w:t>Road </w:t>
            </w:r>
            <w:r>
              <w:rPr>
                <w:spacing w:val="-2"/>
                <w:sz w:val="24"/>
              </w:rPr>
              <w:t>width</w:t>
            </w:r>
          </w:p>
        </w:tc>
        <w:tc>
          <w:tcPr>
            <w:tcW w:w="988" w:type="dxa"/>
            <w:shd w:val="clear" w:color="auto" w:fill="EDEBE0"/>
          </w:tcPr>
          <w:p>
            <w:pPr>
              <w:pStyle w:val="TableParagraph"/>
              <w:spacing w:before="18"/>
              <w:ind w:left="19"/>
              <w:jc w:val="center"/>
              <w:rPr>
                <w:sz w:val="24"/>
              </w:rPr>
            </w:pPr>
            <w:r>
              <w:rPr>
                <w:spacing w:val="-2"/>
                <w:sz w:val="24"/>
              </w:rPr>
              <w:t>Zonal (Basic</w:t>
            </w:r>
          </w:p>
          <w:p>
            <w:pPr>
              <w:pStyle w:val="TableParagraph"/>
              <w:spacing w:before="1"/>
              <w:ind w:left="19" w:right="3"/>
              <w:jc w:val="center"/>
              <w:rPr>
                <w:sz w:val="24"/>
              </w:rPr>
            </w:pPr>
            <w:r>
              <w:rPr>
                <w:spacing w:val="-10"/>
                <w:sz w:val="24"/>
              </w:rPr>
              <w:t>)</w:t>
            </w:r>
          </w:p>
        </w:tc>
        <w:tc>
          <w:tcPr>
            <w:tcW w:w="991" w:type="dxa"/>
            <w:shd w:val="clear" w:color="auto" w:fill="EDEBE0"/>
          </w:tcPr>
          <w:p>
            <w:pPr>
              <w:pStyle w:val="TableParagraph"/>
              <w:spacing w:before="18"/>
              <w:ind w:left="63" w:right="75" w:hanging="1"/>
              <w:jc w:val="center"/>
              <w:rPr>
                <w:sz w:val="24"/>
              </w:rPr>
            </w:pPr>
            <w:r>
              <w:rPr>
                <w:spacing w:val="-2"/>
                <w:sz w:val="24"/>
              </w:rPr>
              <w:t>Additio </w:t>
            </w:r>
            <w:r>
              <w:rPr>
                <w:sz w:val="24"/>
              </w:rPr>
              <w:t>nal</w:t>
            </w:r>
            <w:r>
              <w:rPr>
                <w:spacing w:val="-20"/>
                <w:sz w:val="24"/>
              </w:rPr>
              <w:t> </w:t>
            </w:r>
            <w:r>
              <w:rPr>
                <w:sz w:val="24"/>
              </w:rPr>
              <w:t>FSI </w:t>
            </w:r>
            <w:r>
              <w:rPr>
                <w:spacing w:val="-6"/>
                <w:sz w:val="24"/>
              </w:rPr>
              <w:t>on </w:t>
            </w:r>
            <w:r>
              <w:rPr>
                <w:spacing w:val="-2"/>
                <w:sz w:val="24"/>
              </w:rPr>
              <w:t>payme </w:t>
            </w:r>
            <w:r>
              <w:rPr>
                <w:sz w:val="24"/>
              </w:rPr>
              <w:t>nt of </w:t>
            </w:r>
            <w:r>
              <w:rPr>
                <w:spacing w:val="-2"/>
                <w:sz w:val="24"/>
              </w:rPr>
              <w:t>Premiu </w:t>
            </w:r>
            <w:r>
              <w:rPr>
                <w:spacing w:val="-10"/>
                <w:sz w:val="24"/>
              </w:rPr>
              <w:t>m</w:t>
            </w:r>
          </w:p>
        </w:tc>
        <w:tc>
          <w:tcPr>
            <w:tcW w:w="719" w:type="dxa"/>
            <w:shd w:val="clear" w:color="auto" w:fill="EDEBE0"/>
          </w:tcPr>
          <w:p>
            <w:pPr>
              <w:pStyle w:val="TableParagraph"/>
              <w:spacing w:before="18"/>
              <w:ind w:left="50" w:right="107"/>
              <w:jc w:val="center"/>
              <w:rPr>
                <w:sz w:val="24"/>
              </w:rPr>
            </w:pPr>
            <w:r>
              <w:rPr>
                <w:spacing w:val="-4"/>
                <w:sz w:val="24"/>
              </w:rPr>
              <w:t>Adm </w:t>
            </w:r>
            <w:r>
              <w:rPr>
                <w:spacing w:val="-2"/>
                <w:sz w:val="24"/>
              </w:rPr>
              <w:t>issib </w:t>
            </w:r>
            <w:r>
              <w:rPr>
                <w:spacing w:val="-6"/>
                <w:sz w:val="24"/>
              </w:rPr>
              <w:t>le </w:t>
            </w:r>
            <w:r>
              <w:rPr>
                <w:spacing w:val="-4"/>
                <w:sz w:val="24"/>
              </w:rPr>
              <w:t>TDR</w:t>
            </w:r>
          </w:p>
        </w:tc>
        <w:tc>
          <w:tcPr>
            <w:tcW w:w="743" w:type="dxa"/>
            <w:shd w:val="clear" w:color="auto" w:fill="EDEBE0"/>
          </w:tcPr>
          <w:p>
            <w:pPr>
              <w:pStyle w:val="TableParagraph"/>
              <w:spacing w:before="18"/>
              <w:ind w:left="39" w:right="91" w:hanging="77"/>
              <w:jc w:val="both"/>
              <w:rPr>
                <w:sz w:val="24"/>
              </w:rPr>
            </w:pPr>
            <w:r>
              <w:rPr>
                <w:spacing w:val="-2"/>
                <w:sz w:val="24"/>
              </w:rPr>
              <w:t>Permi ssibl </w:t>
            </w:r>
            <w:r>
              <w:rPr>
                <w:sz w:val="24"/>
              </w:rPr>
              <w:t>e</w:t>
            </w:r>
            <w:r>
              <w:rPr>
                <w:spacing w:val="-20"/>
                <w:sz w:val="24"/>
              </w:rPr>
              <w:t> </w:t>
            </w:r>
            <w:r>
              <w:rPr>
                <w:sz w:val="24"/>
              </w:rPr>
              <w:t>FSI </w:t>
            </w:r>
            <w:r>
              <w:rPr>
                <w:spacing w:val="-4"/>
                <w:sz w:val="24"/>
              </w:rPr>
              <w:t>(4+5</w:t>
            </w:r>
          </w:p>
          <w:p>
            <w:pPr>
              <w:pStyle w:val="TableParagraph"/>
              <w:spacing w:before="1"/>
              <w:ind w:left="156"/>
              <w:rPr>
                <w:sz w:val="24"/>
              </w:rPr>
            </w:pPr>
            <w:r>
              <w:rPr>
                <w:spacing w:val="-5"/>
                <w:sz w:val="24"/>
              </w:rPr>
              <w:t>+6)</w:t>
            </w:r>
          </w:p>
        </w:tc>
      </w:tr>
      <w:tr>
        <w:trPr>
          <w:trHeight w:val="321" w:hRule="atLeast"/>
        </w:trPr>
        <w:tc>
          <w:tcPr>
            <w:tcW w:w="552" w:type="dxa"/>
          </w:tcPr>
          <w:p>
            <w:pPr>
              <w:pStyle w:val="TableParagraph"/>
              <w:rPr>
                <w:rFonts w:ascii="Times New Roman"/>
                <w:sz w:val="22"/>
              </w:rPr>
            </w:pPr>
          </w:p>
        </w:tc>
        <w:tc>
          <w:tcPr>
            <w:tcW w:w="3453" w:type="dxa"/>
            <w:gridSpan w:val="2"/>
          </w:tcPr>
          <w:p>
            <w:pPr>
              <w:pStyle w:val="TableParagraph"/>
              <w:spacing w:line="280" w:lineRule="exact" w:before="20"/>
              <w:ind w:left="8"/>
              <w:jc w:val="center"/>
              <w:rPr>
                <w:sz w:val="24"/>
              </w:rPr>
            </w:pPr>
            <w:r>
              <w:rPr>
                <w:spacing w:val="-10"/>
                <w:sz w:val="24"/>
              </w:rPr>
              <w:t>1</w:t>
            </w:r>
          </w:p>
        </w:tc>
        <w:tc>
          <w:tcPr>
            <w:tcW w:w="897" w:type="dxa"/>
          </w:tcPr>
          <w:p>
            <w:pPr>
              <w:pStyle w:val="TableParagraph"/>
              <w:spacing w:line="280" w:lineRule="exact" w:before="20"/>
              <w:ind w:left="13"/>
              <w:jc w:val="center"/>
              <w:rPr>
                <w:sz w:val="24"/>
              </w:rPr>
            </w:pPr>
            <w:r>
              <w:rPr>
                <w:spacing w:val="-10"/>
                <w:sz w:val="24"/>
              </w:rPr>
              <w:t>2</w:t>
            </w:r>
          </w:p>
        </w:tc>
        <w:tc>
          <w:tcPr>
            <w:tcW w:w="1442" w:type="dxa"/>
          </w:tcPr>
          <w:p>
            <w:pPr>
              <w:pStyle w:val="TableParagraph"/>
              <w:spacing w:line="280" w:lineRule="exact" w:before="20"/>
              <w:ind w:left="12"/>
              <w:jc w:val="center"/>
              <w:rPr>
                <w:sz w:val="24"/>
              </w:rPr>
            </w:pPr>
            <w:r>
              <w:rPr>
                <w:spacing w:val="-10"/>
                <w:sz w:val="24"/>
              </w:rPr>
              <w:t>3</w:t>
            </w:r>
          </w:p>
        </w:tc>
        <w:tc>
          <w:tcPr>
            <w:tcW w:w="988" w:type="dxa"/>
          </w:tcPr>
          <w:p>
            <w:pPr>
              <w:pStyle w:val="TableParagraph"/>
              <w:spacing w:line="280" w:lineRule="exact" w:before="20"/>
              <w:ind w:right="404"/>
              <w:jc w:val="right"/>
              <w:rPr>
                <w:sz w:val="24"/>
              </w:rPr>
            </w:pPr>
            <w:r>
              <w:rPr>
                <w:spacing w:val="-10"/>
                <w:sz w:val="24"/>
              </w:rPr>
              <w:t>4</w:t>
            </w:r>
          </w:p>
        </w:tc>
        <w:tc>
          <w:tcPr>
            <w:tcW w:w="991" w:type="dxa"/>
          </w:tcPr>
          <w:p>
            <w:pPr>
              <w:pStyle w:val="TableParagraph"/>
              <w:spacing w:line="280" w:lineRule="exact" w:before="20"/>
              <w:ind w:left="16" w:right="1"/>
              <w:jc w:val="center"/>
              <w:rPr>
                <w:sz w:val="24"/>
              </w:rPr>
            </w:pPr>
            <w:r>
              <w:rPr>
                <w:spacing w:val="-10"/>
                <w:sz w:val="24"/>
              </w:rPr>
              <w:t>5</w:t>
            </w:r>
          </w:p>
        </w:tc>
        <w:tc>
          <w:tcPr>
            <w:tcW w:w="719" w:type="dxa"/>
          </w:tcPr>
          <w:p>
            <w:pPr>
              <w:pStyle w:val="TableParagraph"/>
              <w:spacing w:line="280" w:lineRule="exact" w:before="20"/>
              <w:ind w:left="19"/>
              <w:jc w:val="center"/>
              <w:rPr>
                <w:sz w:val="24"/>
              </w:rPr>
            </w:pPr>
            <w:r>
              <w:rPr>
                <w:spacing w:val="-10"/>
                <w:sz w:val="24"/>
              </w:rPr>
              <w:t>6</w:t>
            </w:r>
          </w:p>
        </w:tc>
        <w:tc>
          <w:tcPr>
            <w:tcW w:w="743" w:type="dxa"/>
          </w:tcPr>
          <w:p>
            <w:pPr>
              <w:pStyle w:val="TableParagraph"/>
              <w:spacing w:line="280" w:lineRule="exact" w:before="20"/>
              <w:ind w:left="21"/>
              <w:jc w:val="center"/>
              <w:rPr>
                <w:sz w:val="24"/>
              </w:rPr>
            </w:pPr>
            <w:r>
              <w:rPr>
                <w:spacing w:val="-10"/>
                <w:sz w:val="24"/>
              </w:rPr>
              <w:t>7</w:t>
            </w:r>
          </w:p>
        </w:tc>
      </w:tr>
      <w:tr>
        <w:trPr>
          <w:trHeight w:val="604" w:hRule="atLeast"/>
        </w:trPr>
        <w:tc>
          <w:tcPr>
            <w:tcW w:w="552" w:type="dxa"/>
            <w:vMerge w:val="restart"/>
          </w:tcPr>
          <w:p>
            <w:pPr>
              <w:pStyle w:val="TableParagraph"/>
              <w:spacing w:before="23"/>
              <w:ind w:left="107"/>
              <w:rPr>
                <w:sz w:val="24"/>
              </w:rPr>
            </w:pPr>
            <w:r>
              <w:rPr>
                <w:spacing w:val="-10"/>
                <w:sz w:val="24"/>
              </w:rPr>
              <w:t>I</w:t>
            </w:r>
          </w:p>
        </w:tc>
        <w:tc>
          <w:tcPr>
            <w:tcW w:w="3453" w:type="dxa"/>
            <w:gridSpan w:val="2"/>
            <w:vMerge w:val="restart"/>
          </w:tcPr>
          <w:p>
            <w:pPr>
              <w:pStyle w:val="TableParagraph"/>
              <w:spacing w:before="23"/>
              <w:ind w:left="108"/>
              <w:rPr>
                <w:sz w:val="24"/>
              </w:rPr>
            </w:pPr>
            <w:r>
              <w:rPr>
                <w:sz w:val="24"/>
              </w:rPr>
              <w:t>Island</w:t>
            </w:r>
            <w:r>
              <w:rPr>
                <w:spacing w:val="-2"/>
                <w:sz w:val="24"/>
              </w:rPr>
              <w:t> </w:t>
            </w:r>
            <w:r>
              <w:rPr>
                <w:spacing w:val="-4"/>
                <w:sz w:val="24"/>
              </w:rPr>
              <w:t>City</w:t>
            </w:r>
          </w:p>
        </w:tc>
        <w:tc>
          <w:tcPr>
            <w:tcW w:w="897" w:type="dxa"/>
            <w:vMerge w:val="restart"/>
          </w:tcPr>
          <w:p>
            <w:pPr>
              <w:pStyle w:val="TableParagraph"/>
              <w:spacing w:before="20"/>
              <w:ind w:left="32" w:right="189"/>
              <w:rPr>
                <w:sz w:val="24"/>
              </w:rPr>
            </w:pPr>
            <w:r>
              <w:rPr>
                <w:spacing w:val="-2"/>
                <w:sz w:val="24"/>
              </w:rPr>
              <w:t>Resid ential</w:t>
            </w:r>
          </w:p>
          <w:p>
            <w:pPr>
              <w:pStyle w:val="TableParagraph"/>
              <w:spacing w:before="1"/>
              <w:ind w:left="32" w:right="170"/>
              <w:jc w:val="both"/>
              <w:rPr>
                <w:sz w:val="24"/>
              </w:rPr>
            </w:pPr>
            <w:r>
              <w:rPr>
                <w:spacing w:val="-4"/>
                <w:sz w:val="24"/>
              </w:rPr>
              <w:t>/Com </w:t>
            </w:r>
            <w:r>
              <w:rPr>
                <w:spacing w:val="-2"/>
                <w:sz w:val="24"/>
              </w:rPr>
              <w:t>merci </w:t>
            </w:r>
            <w:r>
              <w:rPr>
                <w:spacing w:val="-6"/>
                <w:sz w:val="24"/>
              </w:rPr>
              <w:t>al</w:t>
            </w:r>
          </w:p>
        </w:tc>
        <w:tc>
          <w:tcPr>
            <w:tcW w:w="1442" w:type="dxa"/>
          </w:tcPr>
          <w:p>
            <w:pPr>
              <w:pStyle w:val="TableParagraph"/>
              <w:spacing w:before="20"/>
              <w:ind w:left="110" w:right="392"/>
              <w:rPr>
                <w:sz w:val="24"/>
              </w:rPr>
            </w:pPr>
            <w:r>
              <w:rPr>
                <w:spacing w:val="-4"/>
                <w:sz w:val="24"/>
              </w:rPr>
              <w:t>Less </w:t>
            </w:r>
            <w:r>
              <w:rPr>
                <w:spacing w:val="-2"/>
                <w:sz w:val="24"/>
              </w:rPr>
              <w:t>than9m</w:t>
            </w:r>
          </w:p>
        </w:tc>
        <w:tc>
          <w:tcPr>
            <w:tcW w:w="988" w:type="dxa"/>
          </w:tcPr>
          <w:p>
            <w:pPr>
              <w:pStyle w:val="TableParagraph"/>
              <w:spacing w:before="23"/>
              <w:ind w:right="342"/>
              <w:jc w:val="right"/>
              <w:rPr>
                <w:sz w:val="24"/>
              </w:rPr>
            </w:pPr>
            <w:r>
              <w:rPr>
                <w:spacing w:val="-4"/>
                <w:sz w:val="24"/>
              </w:rPr>
              <w:t>1.33</w:t>
            </w:r>
          </w:p>
        </w:tc>
        <w:tc>
          <w:tcPr>
            <w:tcW w:w="991" w:type="dxa"/>
          </w:tcPr>
          <w:p>
            <w:pPr>
              <w:pStyle w:val="TableParagraph"/>
              <w:rPr>
                <w:rFonts w:ascii="Times New Roman"/>
                <w:sz w:val="22"/>
              </w:rPr>
            </w:pPr>
          </w:p>
        </w:tc>
        <w:tc>
          <w:tcPr>
            <w:tcW w:w="719" w:type="dxa"/>
          </w:tcPr>
          <w:p>
            <w:pPr>
              <w:pStyle w:val="TableParagraph"/>
              <w:rPr>
                <w:rFonts w:ascii="Times New Roman"/>
                <w:sz w:val="22"/>
              </w:rPr>
            </w:pPr>
          </w:p>
        </w:tc>
        <w:tc>
          <w:tcPr>
            <w:tcW w:w="743" w:type="dxa"/>
          </w:tcPr>
          <w:p>
            <w:pPr>
              <w:pStyle w:val="TableParagraph"/>
              <w:spacing w:before="23"/>
              <w:ind w:left="21" w:right="5"/>
              <w:jc w:val="center"/>
              <w:rPr>
                <w:sz w:val="24"/>
              </w:rPr>
            </w:pPr>
            <w:r>
              <w:rPr>
                <w:spacing w:val="-4"/>
                <w:sz w:val="24"/>
              </w:rPr>
              <w:t>1.33</w:t>
            </w:r>
          </w:p>
        </w:tc>
      </w:tr>
      <w:tr>
        <w:trPr>
          <w:trHeight w:val="1468" w:hRule="atLeast"/>
        </w:trPr>
        <w:tc>
          <w:tcPr>
            <w:tcW w:w="552" w:type="dxa"/>
            <w:vMerge/>
            <w:tcBorders>
              <w:top w:val="nil"/>
            </w:tcBorders>
          </w:tcPr>
          <w:p>
            <w:pPr>
              <w:rPr>
                <w:sz w:val="2"/>
                <w:szCs w:val="2"/>
              </w:rPr>
            </w:pPr>
          </w:p>
        </w:tc>
        <w:tc>
          <w:tcPr>
            <w:tcW w:w="3453" w:type="dxa"/>
            <w:gridSpan w:val="2"/>
            <w:vMerge/>
            <w:tcBorders>
              <w:top w:val="nil"/>
            </w:tcBorders>
          </w:tcPr>
          <w:p>
            <w:pPr>
              <w:rPr>
                <w:sz w:val="2"/>
                <w:szCs w:val="2"/>
              </w:rPr>
            </w:pPr>
          </w:p>
        </w:tc>
        <w:tc>
          <w:tcPr>
            <w:tcW w:w="897" w:type="dxa"/>
            <w:vMerge/>
            <w:tcBorders>
              <w:top w:val="nil"/>
            </w:tcBorders>
          </w:tcPr>
          <w:p>
            <w:pPr>
              <w:rPr>
                <w:sz w:val="2"/>
                <w:szCs w:val="2"/>
              </w:rPr>
            </w:pPr>
          </w:p>
        </w:tc>
        <w:tc>
          <w:tcPr>
            <w:tcW w:w="1442" w:type="dxa"/>
          </w:tcPr>
          <w:p>
            <w:pPr>
              <w:pStyle w:val="TableParagraph"/>
              <w:spacing w:before="39"/>
              <w:rPr>
                <w:b/>
                <w:sz w:val="24"/>
              </w:rPr>
            </w:pPr>
          </w:p>
          <w:p>
            <w:pPr>
              <w:pStyle w:val="TableParagraph"/>
              <w:ind w:left="110" w:right="90"/>
              <w:rPr>
                <w:sz w:val="24"/>
              </w:rPr>
            </w:pPr>
            <w:r>
              <w:rPr>
                <w:sz w:val="24"/>
              </w:rPr>
              <w:t>9m &amp; above</w:t>
            </w:r>
            <w:r>
              <w:rPr>
                <w:spacing w:val="-20"/>
                <w:sz w:val="24"/>
              </w:rPr>
              <w:t> </w:t>
            </w:r>
            <w:r>
              <w:rPr>
                <w:sz w:val="24"/>
              </w:rPr>
              <w:t>but less than </w:t>
            </w:r>
            <w:r>
              <w:rPr>
                <w:spacing w:val="-2"/>
                <w:sz w:val="24"/>
              </w:rPr>
              <w:t>12.00m</w:t>
            </w:r>
          </w:p>
        </w:tc>
        <w:tc>
          <w:tcPr>
            <w:tcW w:w="988" w:type="dxa"/>
          </w:tcPr>
          <w:p>
            <w:pPr>
              <w:pStyle w:val="TableParagraph"/>
              <w:spacing w:before="21"/>
              <w:ind w:right="342"/>
              <w:jc w:val="right"/>
              <w:rPr>
                <w:sz w:val="24"/>
              </w:rPr>
            </w:pPr>
            <w:r>
              <w:rPr>
                <w:spacing w:val="-4"/>
                <w:sz w:val="24"/>
              </w:rPr>
              <w:t>1.33</w:t>
            </w:r>
          </w:p>
        </w:tc>
        <w:tc>
          <w:tcPr>
            <w:tcW w:w="991" w:type="dxa"/>
          </w:tcPr>
          <w:p>
            <w:pPr>
              <w:pStyle w:val="TableParagraph"/>
              <w:spacing w:before="21"/>
              <w:ind w:left="111"/>
              <w:rPr>
                <w:sz w:val="24"/>
              </w:rPr>
            </w:pPr>
            <w:r>
              <w:rPr>
                <w:spacing w:val="-5"/>
                <w:sz w:val="24"/>
              </w:rPr>
              <w:t>0.5</w:t>
            </w:r>
          </w:p>
        </w:tc>
        <w:tc>
          <w:tcPr>
            <w:tcW w:w="719" w:type="dxa"/>
          </w:tcPr>
          <w:p>
            <w:pPr>
              <w:pStyle w:val="TableParagraph"/>
              <w:spacing w:before="18"/>
              <w:ind w:left="112"/>
              <w:rPr>
                <w:sz w:val="24"/>
              </w:rPr>
            </w:pPr>
            <w:r>
              <w:rPr>
                <w:spacing w:val="-5"/>
                <w:sz w:val="24"/>
              </w:rPr>
              <w:t>0.1</w:t>
            </w:r>
          </w:p>
          <w:p>
            <w:pPr>
              <w:pStyle w:val="TableParagraph"/>
              <w:spacing w:before="2"/>
              <w:ind w:left="112"/>
              <w:rPr>
                <w:sz w:val="24"/>
              </w:rPr>
            </w:pPr>
            <w:r>
              <w:rPr>
                <w:spacing w:val="-10"/>
                <w:sz w:val="24"/>
              </w:rPr>
              <w:t>7</w:t>
            </w:r>
          </w:p>
        </w:tc>
        <w:tc>
          <w:tcPr>
            <w:tcW w:w="743" w:type="dxa"/>
          </w:tcPr>
          <w:p>
            <w:pPr>
              <w:pStyle w:val="TableParagraph"/>
              <w:spacing w:before="21"/>
              <w:ind w:left="21" w:right="150"/>
              <w:jc w:val="center"/>
              <w:rPr>
                <w:sz w:val="24"/>
              </w:rPr>
            </w:pPr>
            <w:r>
              <w:rPr>
                <w:spacing w:val="-5"/>
                <w:sz w:val="24"/>
              </w:rPr>
              <w:t>2.0</w:t>
            </w:r>
          </w:p>
        </w:tc>
      </w:tr>
      <w:tr>
        <w:trPr>
          <w:trHeight w:val="1168" w:hRule="atLeast"/>
        </w:trPr>
        <w:tc>
          <w:tcPr>
            <w:tcW w:w="552" w:type="dxa"/>
            <w:vMerge/>
            <w:tcBorders>
              <w:top w:val="nil"/>
            </w:tcBorders>
          </w:tcPr>
          <w:p>
            <w:pPr>
              <w:rPr>
                <w:sz w:val="2"/>
                <w:szCs w:val="2"/>
              </w:rPr>
            </w:pPr>
          </w:p>
        </w:tc>
        <w:tc>
          <w:tcPr>
            <w:tcW w:w="3453" w:type="dxa"/>
            <w:gridSpan w:val="2"/>
            <w:vMerge/>
            <w:tcBorders>
              <w:top w:val="nil"/>
            </w:tcBorders>
          </w:tcPr>
          <w:p>
            <w:pPr>
              <w:rPr>
                <w:sz w:val="2"/>
                <w:szCs w:val="2"/>
              </w:rPr>
            </w:pPr>
          </w:p>
        </w:tc>
        <w:tc>
          <w:tcPr>
            <w:tcW w:w="897" w:type="dxa"/>
            <w:vMerge/>
            <w:tcBorders>
              <w:top w:val="nil"/>
            </w:tcBorders>
          </w:tcPr>
          <w:p>
            <w:pPr>
              <w:rPr>
                <w:sz w:val="2"/>
                <w:szCs w:val="2"/>
              </w:rPr>
            </w:pPr>
          </w:p>
        </w:tc>
        <w:tc>
          <w:tcPr>
            <w:tcW w:w="1442" w:type="dxa"/>
          </w:tcPr>
          <w:p>
            <w:pPr>
              <w:pStyle w:val="TableParagraph"/>
              <w:spacing w:before="18"/>
              <w:ind w:left="110"/>
              <w:rPr>
                <w:sz w:val="24"/>
              </w:rPr>
            </w:pPr>
            <w:r>
              <w:rPr>
                <w:sz w:val="24"/>
              </w:rPr>
              <w:t>12.00</w:t>
            </w:r>
            <w:r>
              <w:rPr>
                <w:spacing w:val="-4"/>
                <w:sz w:val="24"/>
              </w:rPr>
              <w:t> </w:t>
            </w:r>
            <w:r>
              <w:rPr>
                <w:spacing w:val="-5"/>
                <w:sz w:val="24"/>
              </w:rPr>
              <w:t>m&amp;</w:t>
            </w:r>
          </w:p>
          <w:p>
            <w:pPr>
              <w:pStyle w:val="TableParagraph"/>
              <w:spacing w:before="1"/>
              <w:ind w:left="110" w:right="90"/>
              <w:rPr>
                <w:sz w:val="24"/>
              </w:rPr>
            </w:pPr>
            <w:r>
              <w:rPr>
                <w:sz w:val="24"/>
              </w:rPr>
              <w:t>above</w:t>
            </w:r>
            <w:r>
              <w:rPr>
                <w:spacing w:val="-20"/>
                <w:sz w:val="24"/>
              </w:rPr>
              <w:t> </w:t>
            </w:r>
            <w:r>
              <w:rPr>
                <w:sz w:val="24"/>
              </w:rPr>
              <w:t>but less than </w:t>
            </w:r>
            <w:r>
              <w:rPr>
                <w:spacing w:val="-2"/>
                <w:sz w:val="24"/>
              </w:rPr>
              <w:t>18.00m</w:t>
            </w:r>
          </w:p>
        </w:tc>
        <w:tc>
          <w:tcPr>
            <w:tcW w:w="988" w:type="dxa"/>
          </w:tcPr>
          <w:p>
            <w:pPr>
              <w:pStyle w:val="TableParagraph"/>
              <w:spacing w:before="20"/>
              <w:ind w:right="342"/>
              <w:jc w:val="right"/>
              <w:rPr>
                <w:sz w:val="24"/>
              </w:rPr>
            </w:pPr>
            <w:r>
              <w:rPr>
                <w:spacing w:val="-4"/>
                <w:sz w:val="24"/>
              </w:rPr>
              <w:t>1.33</w:t>
            </w:r>
          </w:p>
        </w:tc>
        <w:tc>
          <w:tcPr>
            <w:tcW w:w="991" w:type="dxa"/>
          </w:tcPr>
          <w:p>
            <w:pPr>
              <w:pStyle w:val="TableParagraph"/>
              <w:spacing w:before="20"/>
              <w:ind w:left="111"/>
              <w:rPr>
                <w:sz w:val="24"/>
              </w:rPr>
            </w:pPr>
            <w:r>
              <w:rPr>
                <w:spacing w:val="-4"/>
                <w:sz w:val="24"/>
              </w:rPr>
              <w:t>0.62</w:t>
            </w:r>
          </w:p>
        </w:tc>
        <w:tc>
          <w:tcPr>
            <w:tcW w:w="719" w:type="dxa"/>
          </w:tcPr>
          <w:p>
            <w:pPr>
              <w:pStyle w:val="TableParagraph"/>
              <w:spacing w:before="18"/>
              <w:ind w:left="112"/>
              <w:rPr>
                <w:sz w:val="24"/>
              </w:rPr>
            </w:pPr>
            <w:r>
              <w:rPr>
                <w:spacing w:val="-5"/>
                <w:sz w:val="24"/>
              </w:rPr>
              <w:t>0.4</w:t>
            </w:r>
          </w:p>
          <w:p>
            <w:pPr>
              <w:pStyle w:val="TableParagraph"/>
              <w:spacing w:before="1"/>
              <w:ind w:left="112"/>
              <w:rPr>
                <w:sz w:val="24"/>
              </w:rPr>
            </w:pPr>
            <w:r>
              <w:rPr>
                <w:spacing w:val="-10"/>
                <w:sz w:val="24"/>
              </w:rPr>
              <w:t>5</w:t>
            </w:r>
          </w:p>
        </w:tc>
        <w:tc>
          <w:tcPr>
            <w:tcW w:w="743" w:type="dxa"/>
          </w:tcPr>
          <w:p>
            <w:pPr>
              <w:pStyle w:val="TableParagraph"/>
              <w:spacing w:before="20"/>
              <w:ind w:left="21" w:right="150"/>
              <w:jc w:val="center"/>
              <w:rPr>
                <w:sz w:val="24"/>
              </w:rPr>
            </w:pPr>
            <w:r>
              <w:rPr>
                <w:spacing w:val="-5"/>
                <w:sz w:val="24"/>
              </w:rPr>
              <w:t>2.4</w:t>
            </w:r>
          </w:p>
        </w:tc>
      </w:tr>
      <w:tr>
        <w:trPr>
          <w:trHeight w:val="1166" w:hRule="atLeast"/>
        </w:trPr>
        <w:tc>
          <w:tcPr>
            <w:tcW w:w="552" w:type="dxa"/>
            <w:vMerge/>
            <w:tcBorders>
              <w:top w:val="nil"/>
            </w:tcBorders>
          </w:tcPr>
          <w:p>
            <w:pPr>
              <w:rPr>
                <w:sz w:val="2"/>
                <w:szCs w:val="2"/>
              </w:rPr>
            </w:pPr>
          </w:p>
        </w:tc>
        <w:tc>
          <w:tcPr>
            <w:tcW w:w="3453" w:type="dxa"/>
            <w:gridSpan w:val="2"/>
            <w:vMerge/>
            <w:tcBorders>
              <w:top w:val="nil"/>
            </w:tcBorders>
          </w:tcPr>
          <w:p>
            <w:pPr>
              <w:rPr>
                <w:sz w:val="2"/>
                <w:szCs w:val="2"/>
              </w:rPr>
            </w:pPr>
          </w:p>
        </w:tc>
        <w:tc>
          <w:tcPr>
            <w:tcW w:w="897" w:type="dxa"/>
            <w:vMerge/>
            <w:tcBorders>
              <w:top w:val="nil"/>
            </w:tcBorders>
          </w:tcPr>
          <w:p>
            <w:pPr>
              <w:rPr>
                <w:sz w:val="2"/>
                <w:szCs w:val="2"/>
              </w:rPr>
            </w:pPr>
          </w:p>
        </w:tc>
        <w:tc>
          <w:tcPr>
            <w:tcW w:w="1442" w:type="dxa"/>
          </w:tcPr>
          <w:p>
            <w:pPr>
              <w:pStyle w:val="TableParagraph"/>
              <w:spacing w:line="281" w:lineRule="exact" w:before="18"/>
              <w:ind w:left="110"/>
              <w:rPr>
                <w:sz w:val="24"/>
              </w:rPr>
            </w:pPr>
            <w:r>
              <w:rPr>
                <w:sz w:val="24"/>
              </w:rPr>
              <w:t>18.00m </w:t>
            </w:r>
            <w:r>
              <w:rPr>
                <w:spacing w:val="-10"/>
                <w:sz w:val="24"/>
              </w:rPr>
              <w:t>&amp;</w:t>
            </w:r>
          </w:p>
          <w:p>
            <w:pPr>
              <w:pStyle w:val="TableParagraph"/>
              <w:ind w:left="110" w:right="90"/>
              <w:rPr>
                <w:sz w:val="24"/>
              </w:rPr>
            </w:pPr>
            <w:r>
              <w:rPr>
                <w:sz w:val="24"/>
              </w:rPr>
              <w:t>above</w:t>
            </w:r>
            <w:r>
              <w:rPr>
                <w:spacing w:val="-20"/>
                <w:sz w:val="24"/>
              </w:rPr>
              <w:t> </w:t>
            </w:r>
            <w:r>
              <w:rPr>
                <w:sz w:val="24"/>
              </w:rPr>
              <w:t>but less than </w:t>
            </w:r>
            <w:r>
              <w:rPr>
                <w:spacing w:val="-4"/>
                <w:sz w:val="24"/>
              </w:rPr>
              <w:t>27m</w:t>
            </w:r>
          </w:p>
        </w:tc>
        <w:tc>
          <w:tcPr>
            <w:tcW w:w="988" w:type="dxa"/>
          </w:tcPr>
          <w:p>
            <w:pPr>
              <w:pStyle w:val="TableParagraph"/>
              <w:spacing w:before="20"/>
              <w:ind w:right="342"/>
              <w:jc w:val="right"/>
              <w:rPr>
                <w:sz w:val="24"/>
              </w:rPr>
            </w:pPr>
            <w:r>
              <w:rPr>
                <w:spacing w:val="-4"/>
                <w:sz w:val="24"/>
              </w:rPr>
              <w:t>1.33</w:t>
            </w:r>
          </w:p>
        </w:tc>
        <w:tc>
          <w:tcPr>
            <w:tcW w:w="991" w:type="dxa"/>
          </w:tcPr>
          <w:p>
            <w:pPr>
              <w:pStyle w:val="TableParagraph"/>
              <w:spacing w:before="20"/>
              <w:ind w:left="111"/>
              <w:rPr>
                <w:sz w:val="24"/>
              </w:rPr>
            </w:pPr>
            <w:r>
              <w:rPr>
                <w:spacing w:val="-4"/>
                <w:sz w:val="24"/>
              </w:rPr>
              <w:t>0.73</w:t>
            </w:r>
          </w:p>
        </w:tc>
        <w:tc>
          <w:tcPr>
            <w:tcW w:w="719" w:type="dxa"/>
          </w:tcPr>
          <w:p>
            <w:pPr>
              <w:pStyle w:val="TableParagraph"/>
              <w:spacing w:line="281" w:lineRule="exact" w:before="18"/>
              <w:ind w:left="112"/>
              <w:rPr>
                <w:sz w:val="24"/>
              </w:rPr>
            </w:pPr>
            <w:r>
              <w:rPr>
                <w:spacing w:val="-5"/>
                <w:sz w:val="24"/>
              </w:rPr>
              <w:t>0.6</w:t>
            </w:r>
          </w:p>
          <w:p>
            <w:pPr>
              <w:pStyle w:val="TableParagraph"/>
              <w:spacing w:line="281" w:lineRule="exact"/>
              <w:ind w:left="112"/>
              <w:rPr>
                <w:sz w:val="24"/>
              </w:rPr>
            </w:pPr>
            <w:r>
              <w:rPr>
                <w:spacing w:val="-10"/>
                <w:sz w:val="24"/>
              </w:rPr>
              <w:t>4</w:t>
            </w:r>
          </w:p>
        </w:tc>
        <w:tc>
          <w:tcPr>
            <w:tcW w:w="743" w:type="dxa"/>
          </w:tcPr>
          <w:p>
            <w:pPr>
              <w:pStyle w:val="TableParagraph"/>
              <w:spacing w:before="20"/>
              <w:ind w:left="21" w:right="150"/>
              <w:jc w:val="center"/>
              <w:rPr>
                <w:sz w:val="24"/>
              </w:rPr>
            </w:pPr>
            <w:r>
              <w:rPr>
                <w:spacing w:val="-5"/>
                <w:sz w:val="24"/>
              </w:rPr>
              <w:t>2.7</w:t>
            </w:r>
          </w:p>
        </w:tc>
      </w:tr>
      <w:tr>
        <w:trPr>
          <w:trHeight w:val="604" w:hRule="atLeast"/>
        </w:trPr>
        <w:tc>
          <w:tcPr>
            <w:tcW w:w="552" w:type="dxa"/>
            <w:vMerge/>
            <w:tcBorders>
              <w:top w:val="nil"/>
            </w:tcBorders>
          </w:tcPr>
          <w:p>
            <w:pPr>
              <w:rPr>
                <w:sz w:val="2"/>
                <w:szCs w:val="2"/>
              </w:rPr>
            </w:pPr>
          </w:p>
        </w:tc>
        <w:tc>
          <w:tcPr>
            <w:tcW w:w="3453" w:type="dxa"/>
            <w:gridSpan w:val="2"/>
            <w:vMerge/>
            <w:tcBorders>
              <w:top w:val="nil"/>
            </w:tcBorders>
          </w:tcPr>
          <w:p>
            <w:pPr>
              <w:rPr>
                <w:sz w:val="2"/>
                <w:szCs w:val="2"/>
              </w:rPr>
            </w:pPr>
          </w:p>
        </w:tc>
        <w:tc>
          <w:tcPr>
            <w:tcW w:w="897" w:type="dxa"/>
            <w:vMerge/>
            <w:tcBorders>
              <w:top w:val="nil"/>
            </w:tcBorders>
          </w:tcPr>
          <w:p>
            <w:pPr>
              <w:rPr>
                <w:sz w:val="2"/>
                <w:szCs w:val="2"/>
              </w:rPr>
            </w:pPr>
          </w:p>
        </w:tc>
        <w:tc>
          <w:tcPr>
            <w:tcW w:w="1442" w:type="dxa"/>
          </w:tcPr>
          <w:p>
            <w:pPr>
              <w:pStyle w:val="TableParagraph"/>
              <w:spacing w:before="18"/>
              <w:ind w:left="110" w:right="90"/>
              <w:rPr>
                <w:sz w:val="24"/>
              </w:rPr>
            </w:pPr>
            <w:r>
              <w:rPr>
                <w:sz w:val="24"/>
              </w:rPr>
              <w:t>27</w:t>
            </w:r>
            <w:r>
              <w:rPr>
                <w:spacing w:val="-19"/>
                <w:sz w:val="24"/>
              </w:rPr>
              <w:t> </w:t>
            </w:r>
            <w:r>
              <w:rPr>
                <w:sz w:val="24"/>
              </w:rPr>
              <w:t>m</w:t>
            </w:r>
            <w:r>
              <w:rPr>
                <w:spacing w:val="-19"/>
                <w:sz w:val="24"/>
              </w:rPr>
              <w:t> </w:t>
            </w:r>
            <w:r>
              <w:rPr>
                <w:sz w:val="24"/>
              </w:rPr>
              <w:t>an</w:t>
            </w:r>
            <w:r>
              <w:rPr>
                <w:sz w:val="24"/>
              </w:rPr>
              <w:t>d</w:t>
            </w:r>
            <w:r>
              <w:rPr>
                <w:sz w:val="24"/>
              </w:rPr>
              <w:t> </w:t>
            </w:r>
            <w:r>
              <w:rPr>
                <w:spacing w:val="-2"/>
                <w:sz w:val="24"/>
              </w:rPr>
              <w:t>above</w:t>
            </w:r>
          </w:p>
        </w:tc>
        <w:tc>
          <w:tcPr>
            <w:tcW w:w="988" w:type="dxa"/>
          </w:tcPr>
          <w:p>
            <w:pPr>
              <w:pStyle w:val="TableParagraph"/>
              <w:spacing w:before="20"/>
              <w:ind w:right="342"/>
              <w:jc w:val="right"/>
              <w:rPr>
                <w:sz w:val="24"/>
              </w:rPr>
            </w:pPr>
            <w:r>
              <w:rPr>
                <w:spacing w:val="-4"/>
                <w:sz w:val="24"/>
              </w:rPr>
              <w:t>1.33</w:t>
            </w:r>
          </w:p>
        </w:tc>
        <w:tc>
          <w:tcPr>
            <w:tcW w:w="991" w:type="dxa"/>
          </w:tcPr>
          <w:p>
            <w:pPr>
              <w:pStyle w:val="TableParagraph"/>
              <w:spacing w:before="20"/>
              <w:ind w:left="188"/>
              <w:rPr>
                <w:b/>
                <w:sz w:val="24"/>
              </w:rPr>
            </w:pPr>
            <w:r>
              <w:rPr>
                <w:b/>
                <w:spacing w:val="-4"/>
                <w:sz w:val="24"/>
              </w:rPr>
              <w:t>0.84</w:t>
            </w:r>
          </w:p>
        </w:tc>
        <w:tc>
          <w:tcPr>
            <w:tcW w:w="719" w:type="dxa"/>
          </w:tcPr>
          <w:p>
            <w:pPr>
              <w:pStyle w:val="TableParagraph"/>
              <w:spacing w:before="18"/>
              <w:ind w:left="112"/>
              <w:rPr>
                <w:sz w:val="24"/>
              </w:rPr>
            </w:pPr>
            <w:r>
              <w:rPr>
                <w:spacing w:val="-5"/>
                <w:sz w:val="24"/>
              </w:rPr>
              <w:t>0.8</w:t>
            </w:r>
          </w:p>
          <w:p>
            <w:pPr>
              <w:pStyle w:val="TableParagraph"/>
              <w:spacing w:before="1"/>
              <w:ind w:left="112"/>
              <w:rPr>
                <w:sz w:val="24"/>
              </w:rPr>
            </w:pPr>
            <w:r>
              <w:rPr>
                <w:spacing w:val="-10"/>
                <w:sz w:val="24"/>
              </w:rPr>
              <w:t>3</w:t>
            </w:r>
          </w:p>
        </w:tc>
        <w:tc>
          <w:tcPr>
            <w:tcW w:w="743" w:type="dxa"/>
          </w:tcPr>
          <w:p>
            <w:pPr>
              <w:pStyle w:val="TableParagraph"/>
              <w:spacing w:before="20"/>
              <w:ind w:left="21" w:right="150"/>
              <w:jc w:val="center"/>
              <w:rPr>
                <w:sz w:val="24"/>
              </w:rPr>
            </w:pPr>
            <w:r>
              <w:rPr>
                <w:spacing w:val="-5"/>
                <w:sz w:val="24"/>
              </w:rPr>
              <w:t>3.0</w:t>
            </w:r>
          </w:p>
        </w:tc>
      </w:tr>
      <w:tr>
        <w:trPr>
          <w:trHeight w:val="601" w:hRule="atLeast"/>
        </w:trPr>
        <w:tc>
          <w:tcPr>
            <w:tcW w:w="552" w:type="dxa"/>
          </w:tcPr>
          <w:p>
            <w:pPr>
              <w:pStyle w:val="TableParagraph"/>
              <w:spacing w:before="20"/>
              <w:ind w:left="107"/>
              <w:rPr>
                <w:sz w:val="24"/>
              </w:rPr>
            </w:pPr>
            <w:r>
              <w:rPr>
                <w:spacing w:val="-5"/>
                <w:sz w:val="24"/>
              </w:rPr>
              <w:t>II</w:t>
            </w:r>
          </w:p>
        </w:tc>
        <w:tc>
          <w:tcPr>
            <w:tcW w:w="3453" w:type="dxa"/>
            <w:gridSpan w:val="2"/>
          </w:tcPr>
          <w:p>
            <w:pPr>
              <w:pStyle w:val="TableParagraph"/>
              <w:spacing w:before="18"/>
              <w:ind w:left="108"/>
              <w:rPr>
                <w:sz w:val="24"/>
              </w:rPr>
            </w:pPr>
            <w:r>
              <w:rPr>
                <w:sz w:val="24"/>
              </w:rPr>
              <w:t>Suburbs</w:t>
            </w:r>
            <w:r>
              <w:rPr>
                <w:spacing w:val="-19"/>
                <w:sz w:val="24"/>
              </w:rPr>
              <w:t> </w:t>
            </w:r>
            <w:r>
              <w:rPr>
                <w:sz w:val="24"/>
              </w:rPr>
              <w:t>and</w:t>
            </w:r>
            <w:r>
              <w:rPr>
                <w:spacing w:val="-19"/>
                <w:sz w:val="24"/>
              </w:rPr>
              <w:t> </w:t>
            </w:r>
            <w:r>
              <w:rPr>
                <w:sz w:val="24"/>
              </w:rPr>
              <w:t>Extended </w:t>
            </w:r>
            <w:r>
              <w:rPr>
                <w:spacing w:val="-2"/>
                <w:sz w:val="24"/>
              </w:rPr>
              <w:t>Suburbs</w:t>
            </w:r>
          </w:p>
        </w:tc>
        <w:tc>
          <w:tcPr>
            <w:tcW w:w="897" w:type="dxa"/>
          </w:tcPr>
          <w:p>
            <w:pPr>
              <w:pStyle w:val="TableParagraph"/>
              <w:rPr>
                <w:rFonts w:ascii="Times New Roman"/>
                <w:sz w:val="22"/>
              </w:rPr>
            </w:pPr>
          </w:p>
        </w:tc>
        <w:tc>
          <w:tcPr>
            <w:tcW w:w="1442" w:type="dxa"/>
          </w:tcPr>
          <w:p>
            <w:pPr>
              <w:pStyle w:val="TableParagraph"/>
              <w:rPr>
                <w:rFonts w:ascii="Times New Roman"/>
                <w:sz w:val="22"/>
              </w:rPr>
            </w:pPr>
          </w:p>
        </w:tc>
        <w:tc>
          <w:tcPr>
            <w:tcW w:w="988" w:type="dxa"/>
          </w:tcPr>
          <w:p>
            <w:pPr>
              <w:pStyle w:val="TableParagraph"/>
              <w:rPr>
                <w:rFonts w:ascii="Times New Roman"/>
                <w:sz w:val="22"/>
              </w:rPr>
            </w:pPr>
          </w:p>
        </w:tc>
        <w:tc>
          <w:tcPr>
            <w:tcW w:w="991" w:type="dxa"/>
          </w:tcPr>
          <w:p>
            <w:pPr>
              <w:pStyle w:val="TableParagraph"/>
              <w:rPr>
                <w:rFonts w:ascii="Times New Roman"/>
                <w:sz w:val="22"/>
              </w:rPr>
            </w:pPr>
          </w:p>
        </w:tc>
        <w:tc>
          <w:tcPr>
            <w:tcW w:w="719" w:type="dxa"/>
          </w:tcPr>
          <w:p>
            <w:pPr>
              <w:pStyle w:val="TableParagraph"/>
              <w:rPr>
                <w:rFonts w:ascii="Times New Roman"/>
                <w:sz w:val="22"/>
              </w:rPr>
            </w:pPr>
          </w:p>
        </w:tc>
        <w:tc>
          <w:tcPr>
            <w:tcW w:w="743" w:type="dxa"/>
          </w:tcPr>
          <w:p>
            <w:pPr>
              <w:pStyle w:val="TableParagraph"/>
              <w:rPr>
                <w:rFonts w:ascii="Times New Roman"/>
                <w:sz w:val="22"/>
              </w:rPr>
            </w:pPr>
          </w:p>
        </w:tc>
      </w:tr>
      <w:tr>
        <w:trPr>
          <w:trHeight w:val="866" w:hRule="atLeast"/>
        </w:trPr>
        <w:tc>
          <w:tcPr>
            <w:tcW w:w="552" w:type="dxa"/>
          </w:tcPr>
          <w:p>
            <w:pPr>
              <w:pStyle w:val="TableParagraph"/>
              <w:rPr>
                <w:rFonts w:ascii="Times New Roman"/>
                <w:sz w:val="22"/>
              </w:rPr>
            </w:pPr>
          </w:p>
        </w:tc>
        <w:tc>
          <w:tcPr>
            <w:tcW w:w="393" w:type="dxa"/>
          </w:tcPr>
          <w:p>
            <w:pPr>
              <w:pStyle w:val="TableParagraph"/>
              <w:spacing w:before="20"/>
              <w:ind w:left="127"/>
              <w:rPr>
                <w:sz w:val="24"/>
              </w:rPr>
            </w:pPr>
            <w:r>
              <w:rPr>
                <w:spacing w:val="-10"/>
                <w:sz w:val="24"/>
              </w:rPr>
              <w:t>i</w:t>
            </w:r>
          </w:p>
        </w:tc>
        <w:tc>
          <w:tcPr>
            <w:tcW w:w="3060" w:type="dxa"/>
          </w:tcPr>
          <w:p>
            <w:pPr>
              <w:pStyle w:val="TableParagraph"/>
              <w:spacing w:before="18"/>
              <w:ind w:left="108"/>
              <w:rPr>
                <w:sz w:val="24"/>
              </w:rPr>
            </w:pPr>
            <w:r>
              <w:rPr>
                <w:sz w:val="24"/>
              </w:rPr>
              <w:t>The area earmarked for BARC from M Ward</w:t>
            </w:r>
          </w:p>
        </w:tc>
        <w:tc>
          <w:tcPr>
            <w:tcW w:w="897" w:type="dxa"/>
          </w:tcPr>
          <w:p>
            <w:pPr>
              <w:pStyle w:val="TableParagraph"/>
              <w:spacing w:before="18"/>
              <w:ind w:left="32" w:right="189"/>
              <w:rPr>
                <w:sz w:val="24"/>
              </w:rPr>
            </w:pPr>
            <w:r>
              <w:rPr>
                <w:spacing w:val="-2"/>
                <w:sz w:val="24"/>
              </w:rPr>
              <w:t>Resid ential</w:t>
            </w:r>
          </w:p>
          <w:p>
            <w:pPr>
              <w:pStyle w:val="TableParagraph"/>
              <w:spacing w:line="264" w:lineRule="exact" w:before="1"/>
              <w:ind w:left="32"/>
              <w:rPr>
                <w:sz w:val="24"/>
              </w:rPr>
            </w:pPr>
            <w:r>
              <w:rPr>
                <w:spacing w:val="-4"/>
                <w:sz w:val="24"/>
              </w:rPr>
              <w:t>/Com</w:t>
            </w:r>
          </w:p>
        </w:tc>
        <w:tc>
          <w:tcPr>
            <w:tcW w:w="1442" w:type="dxa"/>
          </w:tcPr>
          <w:p>
            <w:pPr>
              <w:pStyle w:val="TableParagraph"/>
              <w:rPr>
                <w:rFonts w:ascii="Times New Roman"/>
                <w:sz w:val="22"/>
              </w:rPr>
            </w:pPr>
          </w:p>
        </w:tc>
        <w:tc>
          <w:tcPr>
            <w:tcW w:w="988" w:type="dxa"/>
          </w:tcPr>
          <w:p>
            <w:pPr>
              <w:pStyle w:val="TableParagraph"/>
              <w:spacing w:before="20"/>
              <w:ind w:right="342"/>
              <w:jc w:val="right"/>
              <w:rPr>
                <w:sz w:val="24"/>
              </w:rPr>
            </w:pPr>
            <w:r>
              <w:rPr>
                <w:spacing w:val="-4"/>
                <w:sz w:val="24"/>
              </w:rPr>
              <w:t>0.75</w:t>
            </w:r>
          </w:p>
        </w:tc>
        <w:tc>
          <w:tcPr>
            <w:tcW w:w="991" w:type="dxa"/>
          </w:tcPr>
          <w:p>
            <w:pPr>
              <w:pStyle w:val="TableParagraph"/>
              <w:rPr>
                <w:rFonts w:ascii="Times New Roman"/>
                <w:sz w:val="22"/>
              </w:rPr>
            </w:pPr>
          </w:p>
        </w:tc>
        <w:tc>
          <w:tcPr>
            <w:tcW w:w="719" w:type="dxa"/>
          </w:tcPr>
          <w:p>
            <w:pPr>
              <w:pStyle w:val="TableParagraph"/>
              <w:spacing w:before="20"/>
              <w:ind w:left="19"/>
              <w:jc w:val="center"/>
              <w:rPr>
                <w:sz w:val="24"/>
              </w:rPr>
            </w:pPr>
            <w:r>
              <w:rPr>
                <w:spacing w:val="-10"/>
                <w:sz w:val="24"/>
              </w:rPr>
              <w:t>-</w:t>
            </w:r>
          </w:p>
        </w:tc>
        <w:tc>
          <w:tcPr>
            <w:tcW w:w="743" w:type="dxa"/>
          </w:tcPr>
          <w:p>
            <w:pPr>
              <w:pStyle w:val="TableParagraph"/>
              <w:spacing w:before="20"/>
              <w:ind w:left="21" w:right="5"/>
              <w:jc w:val="center"/>
              <w:rPr>
                <w:sz w:val="24"/>
              </w:rPr>
            </w:pPr>
            <w:r>
              <w:rPr>
                <w:spacing w:val="-4"/>
                <w:sz w:val="24"/>
              </w:rPr>
              <w:t>0.75</w:t>
            </w:r>
          </w:p>
        </w:tc>
      </w:tr>
    </w:tbl>
    <w:p>
      <w:pPr>
        <w:pStyle w:val="TableParagraph"/>
        <w:spacing w:after="0"/>
        <w:jc w:val="center"/>
        <w:rPr>
          <w:sz w:val="24"/>
        </w:rPr>
        <w:sectPr>
          <w:headerReference w:type="default" r:id="rId28"/>
          <w:footerReference w:type="default" r:id="rId29"/>
          <w:pgSz w:w="11910" w:h="16840"/>
          <w:pgMar w:header="1065" w:footer="1237" w:top="1500" w:bottom="1420" w:left="360" w:right="360"/>
        </w:sectPr>
      </w:pPr>
    </w:p>
    <w:p>
      <w:pPr>
        <w:pStyle w:val="BodyText"/>
        <w:spacing w:before="14" w:after="1"/>
        <w:jc w:val="left"/>
        <w:rPr>
          <w:b/>
          <w:sz w:val="20"/>
        </w:rPr>
      </w:pPr>
    </w:p>
    <w:tbl>
      <w:tblPr>
        <w:tblW w:w="0" w:type="auto"/>
        <w:jc w:val="left"/>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2"/>
        <w:gridCol w:w="393"/>
        <w:gridCol w:w="3060"/>
        <w:gridCol w:w="897"/>
        <w:gridCol w:w="1442"/>
        <w:gridCol w:w="988"/>
        <w:gridCol w:w="991"/>
        <w:gridCol w:w="719"/>
        <w:gridCol w:w="743"/>
      </w:tblGrid>
      <w:tr>
        <w:trPr>
          <w:trHeight w:val="2013" w:hRule="atLeast"/>
        </w:trPr>
        <w:tc>
          <w:tcPr>
            <w:tcW w:w="552" w:type="dxa"/>
            <w:shd w:val="clear" w:color="auto" w:fill="EDEBE0"/>
          </w:tcPr>
          <w:p>
            <w:pPr>
              <w:pStyle w:val="TableParagraph"/>
              <w:spacing w:before="21"/>
              <w:ind w:left="119" w:right="101" w:firstLine="24"/>
              <w:rPr>
                <w:sz w:val="24"/>
              </w:rPr>
            </w:pPr>
            <w:r>
              <w:rPr>
                <w:spacing w:val="-6"/>
                <w:sz w:val="24"/>
              </w:rPr>
              <w:t>Sr </w:t>
            </w:r>
            <w:r>
              <w:rPr>
                <w:spacing w:val="-5"/>
                <w:sz w:val="24"/>
              </w:rPr>
              <w:t>No</w:t>
            </w:r>
          </w:p>
        </w:tc>
        <w:tc>
          <w:tcPr>
            <w:tcW w:w="3453" w:type="dxa"/>
            <w:gridSpan w:val="2"/>
            <w:shd w:val="clear" w:color="auto" w:fill="EDEBE0"/>
          </w:tcPr>
          <w:p>
            <w:pPr>
              <w:pStyle w:val="TableParagraph"/>
              <w:spacing w:before="23"/>
              <w:ind w:left="8"/>
              <w:jc w:val="center"/>
              <w:rPr>
                <w:sz w:val="24"/>
              </w:rPr>
            </w:pPr>
            <w:r>
              <w:rPr>
                <w:spacing w:val="-2"/>
                <w:sz w:val="24"/>
              </w:rPr>
              <w:t>Areas</w:t>
            </w:r>
          </w:p>
        </w:tc>
        <w:tc>
          <w:tcPr>
            <w:tcW w:w="897" w:type="dxa"/>
            <w:shd w:val="clear" w:color="auto" w:fill="EDEBE0"/>
          </w:tcPr>
          <w:p>
            <w:pPr>
              <w:pStyle w:val="TableParagraph"/>
              <w:spacing w:before="23"/>
              <w:ind w:left="164"/>
              <w:rPr>
                <w:sz w:val="24"/>
              </w:rPr>
            </w:pPr>
            <w:r>
              <w:rPr>
                <w:spacing w:val="-4"/>
                <w:sz w:val="24"/>
              </w:rPr>
              <w:t>Zone</w:t>
            </w:r>
          </w:p>
        </w:tc>
        <w:tc>
          <w:tcPr>
            <w:tcW w:w="1442" w:type="dxa"/>
            <w:shd w:val="clear" w:color="auto" w:fill="EDEBE0"/>
          </w:tcPr>
          <w:p>
            <w:pPr>
              <w:pStyle w:val="TableParagraph"/>
              <w:spacing w:before="21"/>
              <w:ind w:left="393" w:right="371" w:firstLine="31"/>
              <w:rPr>
                <w:sz w:val="24"/>
              </w:rPr>
            </w:pPr>
            <w:r>
              <w:rPr>
                <w:spacing w:val="-4"/>
                <w:sz w:val="24"/>
              </w:rPr>
              <w:t>Road </w:t>
            </w:r>
            <w:r>
              <w:rPr>
                <w:spacing w:val="-2"/>
                <w:sz w:val="24"/>
              </w:rPr>
              <w:t>width</w:t>
            </w:r>
          </w:p>
        </w:tc>
        <w:tc>
          <w:tcPr>
            <w:tcW w:w="988" w:type="dxa"/>
            <w:shd w:val="clear" w:color="auto" w:fill="EDEBE0"/>
          </w:tcPr>
          <w:p>
            <w:pPr>
              <w:pStyle w:val="TableParagraph"/>
              <w:spacing w:before="21"/>
              <w:ind w:left="19"/>
              <w:jc w:val="center"/>
              <w:rPr>
                <w:sz w:val="24"/>
              </w:rPr>
            </w:pPr>
            <w:r>
              <w:rPr>
                <w:spacing w:val="-2"/>
                <w:sz w:val="24"/>
              </w:rPr>
              <w:t>Zonal (Basic</w:t>
            </w:r>
          </w:p>
          <w:p>
            <w:pPr>
              <w:pStyle w:val="TableParagraph"/>
              <w:ind w:left="19" w:right="3"/>
              <w:jc w:val="center"/>
              <w:rPr>
                <w:sz w:val="24"/>
              </w:rPr>
            </w:pPr>
            <w:r>
              <w:rPr>
                <w:spacing w:val="-10"/>
                <w:sz w:val="24"/>
              </w:rPr>
              <w:t>)</w:t>
            </w:r>
          </w:p>
        </w:tc>
        <w:tc>
          <w:tcPr>
            <w:tcW w:w="991" w:type="dxa"/>
            <w:shd w:val="clear" w:color="auto" w:fill="EDEBE0"/>
          </w:tcPr>
          <w:p>
            <w:pPr>
              <w:pStyle w:val="TableParagraph"/>
              <w:spacing w:before="21"/>
              <w:ind w:left="63" w:right="75" w:hanging="1"/>
              <w:jc w:val="center"/>
              <w:rPr>
                <w:sz w:val="24"/>
              </w:rPr>
            </w:pPr>
            <w:r>
              <w:rPr>
                <w:spacing w:val="-2"/>
                <w:sz w:val="24"/>
              </w:rPr>
              <w:t>Additio </w:t>
            </w:r>
            <w:r>
              <w:rPr>
                <w:sz w:val="24"/>
              </w:rPr>
              <w:t>nal</w:t>
            </w:r>
            <w:r>
              <w:rPr>
                <w:spacing w:val="-20"/>
                <w:sz w:val="24"/>
              </w:rPr>
              <w:t> </w:t>
            </w:r>
            <w:r>
              <w:rPr>
                <w:sz w:val="24"/>
              </w:rPr>
              <w:t>FSI </w:t>
            </w:r>
            <w:r>
              <w:rPr>
                <w:spacing w:val="-6"/>
                <w:sz w:val="24"/>
              </w:rPr>
              <w:t>on </w:t>
            </w:r>
            <w:r>
              <w:rPr>
                <w:spacing w:val="-2"/>
                <w:sz w:val="24"/>
              </w:rPr>
              <w:t>payme </w:t>
            </w:r>
            <w:r>
              <w:rPr>
                <w:sz w:val="24"/>
              </w:rPr>
              <w:t>nt of </w:t>
            </w:r>
            <w:r>
              <w:rPr>
                <w:spacing w:val="-2"/>
                <w:sz w:val="24"/>
              </w:rPr>
              <w:t>Premiu </w:t>
            </w:r>
            <w:r>
              <w:rPr>
                <w:spacing w:val="-10"/>
                <w:sz w:val="24"/>
              </w:rPr>
              <w:t>m</w:t>
            </w:r>
          </w:p>
        </w:tc>
        <w:tc>
          <w:tcPr>
            <w:tcW w:w="719" w:type="dxa"/>
            <w:shd w:val="clear" w:color="auto" w:fill="EDEBE0"/>
          </w:tcPr>
          <w:p>
            <w:pPr>
              <w:pStyle w:val="TableParagraph"/>
              <w:spacing w:before="21"/>
              <w:ind w:left="50" w:right="107"/>
              <w:jc w:val="center"/>
              <w:rPr>
                <w:sz w:val="24"/>
              </w:rPr>
            </w:pPr>
            <w:r>
              <w:rPr>
                <w:spacing w:val="-4"/>
                <w:sz w:val="24"/>
              </w:rPr>
              <w:t>Adm </w:t>
            </w:r>
            <w:r>
              <w:rPr>
                <w:spacing w:val="-2"/>
                <w:sz w:val="24"/>
              </w:rPr>
              <w:t>issib </w:t>
            </w:r>
            <w:r>
              <w:rPr>
                <w:spacing w:val="-6"/>
                <w:sz w:val="24"/>
              </w:rPr>
              <w:t>le </w:t>
            </w:r>
            <w:r>
              <w:rPr>
                <w:spacing w:val="-4"/>
                <w:sz w:val="24"/>
              </w:rPr>
              <w:t>TDR</w:t>
            </w:r>
          </w:p>
        </w:tc>
        <w:tc>
          <w:tcPr>
            <w:tcW w:w="743" w:type="dxa"/>
            <w:shd w:val="clear" w:color="auto" w:fill="EDEBE0"/>
          </w:tcPr>
          <w:p>
            <w:pPr>
              <w:pStyle w:val="TableParagraph"/>
              <w:spacing w:before="21"/>
              <w:ind w:left="39" w:right="91" w:hanging="77"/>
              <w:jc w:val="both"/>
              <w:rPr>
                <w:sz w:val="24"/>
              </w:rPr>
            </w:pPr>
            <w:r>
              <w:rPr>
                <w:spacing w:val="-2"/>
                <w:sz w:val="24"/>
              </w:rPr>
              <w:t>Permi ssibl </w:t>
            </w:r>
            <w:r>
              <w:rPr>
                <w:sz w:val="24"/>
              </w:rPr>
              <w:t>e</w:t>
            </w:r>
            <w:r>
              <w:rPr>
                <w:spacing w:val="-20"/>
                <w:sz w:val="24"/>
              </w:rPr>
              <w:t> </w:t>
            </w:r>
            <w:r>
              <w:rPr>
                <w:sz w:val="24"/>
              </w:rPr>
              <w:t>FSI </w:t>
            </w:r>
            <w:r>
              <w:rPr>
                <w:spacing w:val="-4"/>
                <w:sz w:val="24"/>
              </w:rPr>
              <w:t>(4+5</w:t>
            </w:r>
          </w:p>
          <w:p>
            <w:pPr>
              <w:pStyle w:val="TableParagraph"/>
              <w:spacing w:before="1"/>
              <w:ind w:left="156"/>
              <w:rPr>
                <w:sz w:val="24"/>
              </w:rPr>
            </w:pPr>
            <w:r>
              <w:rPr>
                <w:spacing w:val="-5"/>
                <w:sz w:val="24"/>
              </w:rPr>
              <w:t>+6)</w:t>
            </w:r>
          </w:p>
        </w:tc>
      </w:tr>
      <w:tr>
        <w:trPr>
          <w:trHeight w:val="582" w:hRule="atLeast"/>
        </w:trPr>
        <w:tc>
          <w:tcPr>
            <w:tcW w:w="552" w:type="dxa"/>
          </w:tcPr>
          <w:p>
            <w:pPr>
              <w:pStyle w:val="TableParagraph"/>
              <w:rPr>
                <w:rFonts w:ascii="Times New Roman"/>
                <w:sz w:val="22"/>
              </w:rPr>
            </w:pPr>
          </w:p>
        </w:tc>
        <w:tc>
          <w:tcPr>
            <w:tcW w:w="393" w:type="dxa"/>
          </w:tcPr>
          <w:p>
            <w:pPr>
              <w:pStyle w:val="TableParagraph"/>
              <w:rPr>
                <w:rFonts w:ascii="Times New Roman"/>
                <w:sz w:val="22"/>
              </w:rPr>
            </w:pPr>
          </w:p>
        </w:tc>
        <w:tc>
          <w:tcPr>
            <w:tcW w:w="3060" w:type="dxa"/>
          </w:tcPr>
          <w:p>
            <w:pPr>
              <w:pStyle w:val="TableParagraph"/>
              <w:rPr>
                <w:rFonts w:ascii="Times New Roman"/>
                <w:sz w:val="22"/>
              </w:rPr>
            </w:pPr>
          </w:p>
        </w:tc>
        <w:tc>
          <w:tcPr>
            <w:tcW w:w="897" w:type="dxa"/>
          </w:tcPr>
          <w:p>
            <w:pPr>
              <w:pStyle w:val="TableParagraph"/>
              <w:spacing w:line="281" w:lineRule="exact"/>
              <w:ind w:left="32"/>
              <w:rPr>
                <w:sz w:val="24"/>
              </w:rPr>
            </w:pPr>
            <w:r>
              <w:rPr>
                <w:spacing w:val="-2"/>
                <w:sz w:val="24"/>
              </w:rPr>
              <w:t>merci</w:t>
            </w:r>
          </w:p>
          <w:p>
            <w:pPr>
              <w:pStyle w:val="TableParagraph"/>
              <w:spacing w:line="280" w:lineRule="exact" w:before="1"/>
              <w:ind w:left="32"/>
              <w:rPr>
                <w:sz w:val="24"/>
              </w:rPr>
            </w:pPr>
            <w:r>
              <w:rPr>
                <w:spacing w:val="-5"/>
                <w:sz w:val="24"/>
              </w:rPr>
              <w:t>al</w:t>
            </w:r>
          </w:p>
        </w:tc>
        <w:tc>
          <w:tcPr>
            <w:tcW w:w="1442" w:type="dxa"/>
          </w:tcPr>
          <w:p>
            <w:pPr>
              <w:pStyle w:val="TableParagraph"/>
              <w:rPr>
                <w:rFonts w:ascii="Times New Roman"/>
                <w:sz w:val="22"/>
              </w:rPr>
            </w:pPr>
          </w:p>
        </w:tc>
        <w:tc>
          <w:tcPr>
            <w:tcW w:w="988" w:type="dxa"/>
          </w:tcPr>
          <w:p>
            <w:pPr>
              <w:pStyle w:val="TableParagraph"/>
              <w:rPr>
                <w:rFonts w:ascii="Times New Roman"/>
                <w:sz w:val="22"/>
              </w:rPr>
            </w:pPr>
          </w:p>
        </w:tc>
        <w:tc>
          <w:tcPr>
            <w:tcW w:w="991" w:type="dxa"/>
          </w:tcPr>
          <w:p>
            <w:pPr>
              <w:pStyle w:val="TableParagraph"/>
              <w:rPr>
                <w:rFonts w:ascii="Times New Roman"/>
                <w:sz w:val="22"/>
              </w:rPr>
            </w:pPr>
          </w:p>
        </w:tc>
        <w:tc>
          <w:tcPr>
            <w:tcW w:w="719" w:type="dxa"/>
          </w:tcPr>
          <w:p>
            <w:pPr>
              <w:pStyle w:val="TableParagraph"/>
              <w:rPr>
                <w:rFonts w:ascii="Times New Roman"/>
                <w:sz w:val="22"/>
              </w:rPr>
            </w:pPr>
          </w:p>
        </w:tc>
        <w:tc>
          <w:tcPr>
            <w:tcW w:w="743" w:type="dxa"/>
          </w:tcPr>
          <w:p>
            <w:pPr>
              <w:pStyle w:val="TableParagraph"/>
              <w:rPr>
                <w:rFonts w:ascii="Times New Roman"/>
                <w:sz w:val="22"/>
              </w:rPr>
            </w:pPr>
          </w:p>
        </w:tc>
      </w:tr>
      <w:tr>
        <w:trPr>
          <w:trHeight w:val="1730" w:hRule="atLeast"/>
        </w:trPr>
        <w:tc>
          <w:tcPr>
            <w:tcW w:w="552" w:type="dxa"/>
          </w:tcPr>
          <w:p>
            <w:pPr>
              <w:pStyle w:val="TableParagraph"/>
              <w:rPr>
                <w:rFonts w:ascii="Times New Roman"/>
                <w:sz w:val="22"/>
              </w:rPr>
            </w:pPr>
          </w:p>
        </w:tc>
        <w:tc>
          <w:tcPr>
            <w:tcW w:w="393" w:type="dxa"/>
          </w:tcPr>
          <w:p>
            <w:pPr>
              <w:pStyle w:val="TableParagraph"/>
              <w:spacing w:before="20"/>
              <w:ind w:left="127"/>
              <w:rPr>
                <w:sz w:val="24"/>
              </w:rPr>
            </w:pPr>
            <w:r>
              <w:rPr>
                <w:spacing w:val="-5"/>
                <w:sz w:val="24"/>
              </w:rPr>
              <w:t>ii</w:t>
            </w:r>
          </w:p>
        </w:tc>
        <w:tc>
          <w:tcPr>
            <w:tcW w:w="3060" w:type="dxa"/>
          </w:tcPr>
          <w:p>
            <w:pPr>
              <w:pStyle w:val="TableParagraph"/>
              <w:spacing w:before="18"/>
              <w:ind w:left="108" w:right="94" w:firstLine="19"/>
              <w:jc w:val="both"/>
              <w:rPr>
                <w:sz w:val="24"/>
              </w:rPr>
            </w:pPr>
            <w:r>
              <w:rPr>
                <w:sz w:val="24"/>
              </w:rPr>
              <w:t>Areas of the village of Akse, Marve and CRZ </w:t>
            </w:r>
            <w:r>
              <w:rPr>
                <w:spacing w:val="-2"/>
                <w:sz w:val="24"/>
              </w:rPr>
              <w:t>affected</w:t>
            </w:r>
            <w:r>
              <w:rPr>
                <w:spacing w:val="-17"/>
                <w:sz w:val="24"/>
              </w:rPr>
              <w:t> </w:t>
            </w:r>
            <w:r>
              <w:rPr>
                <w:spacing w:val="-2"/>
                <w:sz w:val="24"/>
              </w:rPr>
              <w:t>areas</w:t>
            </w:r>
            <w:r>
              <w:rPr>
                <w:spacing w:val="-16"/>
                <w:sz w:val="24"/>
              </w:rPr>
              <w:t> </w:t>
            </w:r>
            <w:r>
              <w:rPr>
                <w:spacing w:val="-2"/>
                <w:sz w:val="24"/>
              </w:rPr>
              <w:t>of</w:t>
            </w:r>
            <w:r>
              <w:rPr>
                <w:spacing w:val="-17"/>
                <w:sz w:val="24"/>
              </w:rPr>
              <w:t> </w:t>
            </w:r>
            <w:r>
              <w:rPr>
                <w:spacing w:val="-2"/>
                <w:sz w:val="24"/>
              </w:rPr>
              <w:t>Erangal </w:t>
            </w:r>
            <w:r>
              <w:rPr>
                <w:sz w:val="24"/>
              </w:rPr>
              <w:t>in P/North Ward and excepting gaothan </w:t>
            </w:r>
            <w:r>
              <w:rPr>
                <w:spacing w:val="-2"/>
                <w:sz w:val="24"/>
              </w:rPr>
              <w:t>proper.</w:t>
            </w:r>
          </w:p>
        </w:tc>
        <w:tc>
          <w:tcPr>
            <w:tcW w:w="897" w:type="dxa"/>
          </w:tcPr>
          <w:p>
            <w:pPr>
              <w:pStyle w:val="TableParagraph"/>
              <w:spacing w:before="18"/>
              <w:ind w:left="32" w:right="189"/>
              <w:rPr>
                <w:sz w:val="24"/>
              </w:rPr>
            </w:pPr>
            <w:r>
              <w:rPr>
                <w:spacing w:val="-2"/>
                <w:sz w:val="24"/>
              </w:rPr>
              <w:t>Resid ential</w:t>
            </w:r>
          </w:p>
          <w:p>
            <w:pPr>
              <w:pStyle w:val="TableParagraph"/>
              <w:spacing w:before="3"/>
              <w:ind w:left="32" w:right="170"/>
              <w:jc w:val="both"/>
              <w:rPr>
                <w:sz w:val="24"/>
              </w:rPr>
            </w:pPr>
            <w:r>
              <w:rPr>
                <w:spacing w:val="-4"/>
                <w:sz w:val="24"/>
              </w:rPr>
              <w:t>/Com </w:t>
            </w:r>
            <w:r>
              <w:rPr>
                <w:spacing w:val="-2"/>
                <w:sz w:val="24"/>
              </w:rPr>
              <w:t>merci </w:t>
            </w:r>
            <w:r>
              <w:rPr>
                <w:spacing w:val="-6"/>
                <w:sz w:val="24"/>
              </w:rPr>
              <w:t>al</w:t>
            </w:r>
          </w:p>
        </w:tc>
        <w:tc>
          <w:tcPr>
            <w:tcW w:w="1442" w:type="dxa"/>
          </w:tcPr>
          <w:p>
            <w:pPr>
              <w:pStyle w:val="TableParagraph"/>
              <w:rPr>
                <w:rFonts w:ascii="Times New Roman"/>
                <w:sz w:val="22"/>
              </w:rPr>
            </w:pPr>
          </w:p>
        </w:tc>
        <w:tc>
          <w:tcPr>
            <w:tcW w:w="988" w:type="dxa"/>
          </w:tcPr>
          <w:p>
            <w:pPr>
              <w:pStyle w:val="TableParagraph"/>
              <w:spacing w:before="20"/>
              <w:ind w:left="110"/>
              <w:rPr>
                <w:sz w:val="24"/>
              </w:rPr>
            </w:pPr>
            <w:r>
              <w:rPr>
                <w:spacing w:val="-5"/>
                <w:sz w:val="24"/>
              </w:rPr>
              <w:t>0.5</w:t>
            </w:r>
          </w:p>
        </w:tc>
        <w:tc>
          <w:tcPr>
            <w:tcW w:w="991" w:type="dxa"/>
          </w:tcPr>
          <w:p>
            <w:pPr>
              <w:pStyle w:val="TableParagraph"/>
              <w:rPr>
                <w:rFonts w:ascii="Times New Roman"/>
                <w:sz w:val="22"/>
              </w:rPr>
            </w:pPr>
          </w:p>
        </w:tc>
        <w:tc>
          <w:tcPr>
            <w:tcW w:w="719" w:type="dxa"/>
          </w:tcPr>
          <w:p>
            <w:pPr>
              <w:pStyle w:val="TableParagraph"/>
              <w:spacing w:before="20"/>
              <w:ind w:left="19"/>
              <w:jc w:val="center"/>
              <w:rPr>
                <w:sz w:val="24"/>
              </w:rPr>
            </w:pPr>
            <w:r>
              <w:rPr>
                <w:spacing w:val="-10"/>
                <w:sz w:val="24"/>
              </w:rPr>
              <w:t>-</w:t>
            </w:r>
          </w:p>
        </w:tc>
        <w:tc>
          <w:tcPr>
            <w:tcW w:w="743" w:type="dxa"/>
          </w:tcPr>
          <w:p>
            <w:pPr>
              <w:pStyle w:val="TableParagraph"/>
              <w:spacing w:before="20"/>
              <w:ind w:left="21" w:right="5"/>
              <w:jc w:val="center"/>
              <w:rPr>
                <w:sz w:val="24"/>
              </w:rPr>
            </w:pPr>
            <w:r>
              <w:rPr>
                <w:spacing w:val="-4"/>
                <w:sz w:val="24"/>
              </w:rPr>
              <w:t>0.50</w:t>
            </w:r>
          </w:p>
        </w:tc>
      </w:tr>
      <w:tr>
        <w:trPr>
          <w:trHeight w:val="604" w:hRule="atLeast"/>
        </w:trPr>
        <w:tc>
          <w:tcPr>
            <w:tcW w:w="552" w:type="dxa"/>
          </w:tcPr>
          <w:p>
            <w:pPr>
              <w:pStyle w:val="TableParagraph"/>
              <w:rPr>
                <w:rFonts w:ascii="Times New Roman"/>
                <w:sz w:val="22"/>
              </w:rPr>
            </w:pPr>
          </w:p>
        </w:tc>
        <w:tc>
          <w:tcPr>
            <w:tcW w:w="393" w:type="dxa"/>
            <w:vMerge w:val="restart"/>
          </w:tcPr>
          <w:p>
            <w:pPr>
              <w:pStyle w:val="TableParagraph"/>
              <w:spacing w:before="20"/>
              <w:ind w:left="108" w:right="123"/>
              <w:rPr>
                <w:sz w:val="24"/>
              </w:rPr>
            </w:pPr>
            <w:r>
              <w:rPr>
                <w:spacing w:val="-6"/>
                <w:sz w:val="24"/>
              </w:rPr>
              <w:t>ii </w:t>
            </w:r>
            <w:r>
              <w:rPr>
                <w:spacing w:val="-10"/>
                <w:sz w:val="24"/>
              </w:rPr>
              <w:t>i</w:t>
            </w:r>
          </w:p>
        </w:tc>
        <w:tc>
          <w:tcPr>
            <w:tcW w:w="3060" w:type="dxa"/>
            <w:vMerge w:val="restart"/>
          </w:tcPr>
          <w:p>
            <w:pPr>
              <w:pStyle w:val="TableParagraph"/>
              <w:spacing w:before="20"/>
              <w:ind w:left="108" w:right="95"/>
              <w:jc w:val="both"/>
              <w:rPr>
                <w:sz w:val="24"/>
              </w:rPr>
            </w:pPr>
            <w:r>
              <w:rPr>
                <w:sz w:val="24"/>
              </w:rPr>
              <w:t>The remaining area in Suburbs and Extended </w:t>
            </w:r>
            <w:r>
              <w:rPr>
                <w:spacing w:val="-2"/>
                <w:sz w:val="24"/>
              </w:rPr>
              <w:t>Suburbs</w:t>
            </w:r>
          </w:p>
        </w:tc>
        <w:tc>
          <w:tcPr>
            <w:tcW w:w="897" w:type="dxa"/>
            <w:vMerge w:val="restart"/>
          </w:tcPr>
          <w:p>
            <w:pPr>
              <w:pStyle w:val="TableParagraph"/>
              <w:spacing w:before="20"/>
              <w:ind w:left="32" w:right="189"/>
              <w:rPr>
                <w:sz w:val="24"/>
              </w:rPr>
            </w:pPr>
            <w:r>
              <w:rPr>
                <w:spacing w:val="-2"/>
                <w:sz w:val="24"/>
              </w:rPr>
              <w:t>Resid ential</w:t>
            </w:r>
          </w:p>
          <w:p>
            <w:pPr>
              <w:pStyle w:val="TableParagraph"/>
              <w:spacing w:before="1"/>
              <w:ind w:left="32" w:right="170"/>
              <w:jc w:val="both"/>
              <w:rPr>
                <w:sz w:val="24"/>
              </w:rPr>
            </w:pPr>
            <w:r>
              <w:rPr>
                <w:spacing w:val="-4"/>
                <w:sz w:val="24"/>
              </w:rPr>
              <w:t>/Com </w:t>
            </w:r>
            <w:r>
              <w:rPr>
                <w:spacing w:val="-2"/>
                <w:sz w:val="24"/>
              </w:rPr>
              <w:t>merci </w:t>
            </w:r>
            <w:r>
              <w:rPr>
                <w:spacing w:val="-6"/>
                <w:sz w:val="24"/>
              </w:rPr>
              <w:t>al</w:t>
            </w:r>
          </w:p>
        </w:tc>
        <w:tc>
          <w:tcPr>
            <w:tcW w:w="1442" w:type="dxa"/>
          </w:tcPr>
          <w:p>
            <w:pPr>
              <w:pStyle w:val="TableParagraph"/>
              <w:spacing w:before="20"/>
              <w:ind w:left="110" w:right="392"/>
              <w:rPr>
                <w:sz w:val="24"/>
              </w:rPr>
            </w:pPr>
            <w:r>
              <w:rPr>
                <w:spacing w:val="-4"/>
                <w:sz w:val="24"/>
              </w:rPr>
              <w:t>Less </w:t>
            </w:r>
            <w:r>
              <w:rPr>
                <w:spacing w:val="-2"/>
                <w:sz w:val="24"/>
              </w:rPr>
              <w:t>than9m</w:t>
            </w:r>
          </w:p>
        </w:tc>
        <w:tc>
          <w:tcPr>
            <w:tcW w:w="988" w:type="dxa"/>
          </w:tcPr>
          <w:p>
            <w:pPr>
              <w:pStyle w:val="TableParagraph"/>
              <w:spacing w:before="23"/>
              <w:ind w:left="110"/>
              <w:rPr>
                <w:sz w:val="24"/>
              </w:rPr>
            </w:pPr>
            <w:r>
              <w:rPr>
                <w:spacing w:val="-5"/>
                <w:sz w:val="24"/>
              </w:rPr>
              <w:t>1.0</w:t>
            </w:r>
          </w:p>
        </w:tc>
        <w:tc>
          <w:tcPr>
            <w:tcW w:w="991" w:type="dxa"/>
          </w:tcPr>
          <w:p>
            <w:pPr>
              <w:pStyle w:val="TableParagraph"/>
              <w:rPr>
                <w:rFonts w:ascii="Times New Roman"/>
                <w:sz w:val="22"/>
              </w:rPr>
            </w:pPr>
          </w:p>
        </w:tc>
        <w:tc>
          <w:tcPr>
            <w:tcW w:w="719" w:type="dxa"/>
          </w:tcPr>
          <w:p>
            <w:pPr>
              <w:pStyle w:val="TableParagraph"/>
              <w:spacing w:before="23"/>
              <w:ind w:left="19"/>
              <w:jc w:val="center"/>
              <w:rPr>
                <w:sz w:val="24"/>
              </w:rPr>
            </w:pPr>
            <w:r>
              <w:rPr>
                <w:spacing w:val="-10"/>
                <w:sz w:val="24"/>
              </w:rPr>
              <w:t>-</w:t>
            </w:r>
          </w:p>
        </w:tc>
        <w:tc>
          <w:tcPr>
            <w:tcW w:w="743" w:type="dxa"/>
          </w:tcPr>
          <w:p>
            <w:pPr>
              <w:pStyle w:val="TableParagraph"/>
              <w:spacing w:before="23"/>
              <w:ind w:left="21" w:right="150"/>
              <w:jc w:val="center"/>
              <w:rPr>
                <w:sz w:val="24"/>
              </w:rPr>
            </w:pPr>
            <w:r>
              <w:rPr>
                <w:spacing w:val="-5"/>
                <w:sz w:val="24"/>
              </w:rPr>
              <w:t>1.0</w:t>
            </w:r>
          </w:p>
        </w:tc>
      </w:tr>
      <w:tr>
        <w:trPr>
          <w:trHeight w:val="1468" w:hRule="atLeast"/>
        </w:trPr>
        <w:tc>
          <w:tcPr>
            <w:tcW w:w="552" w:type="dxa"/>
          </w:tcPr>
          <w:p>
            <w:pPr>
              <w:pStyle w:val="TableParagraph"/>
              <w:rPr>
                <w:rFonts w:ascii="Times New Roman"/>
                <w:sz w:val="22"/>
              </w:rPr>
            </w:pPr>
          </w:p>
        </w:tc>
        <w:tc>
          <w:tcPr>
            <w:tcW w:w="393" w:type="dxa"/>
            <w:vMerge/>
            <w:tcBorders>
              <w:top w:val="nil"/>
            </w:tcBorders>
          </w:tcPr>
          <w:p>
            <w:pPr>
              <w:rPr>
                <w:sz w:val="2"/>
                <w:szCs w:val="2"/>
              </w:rPr>
            </w:pPr>
          </w:p>
        </w:tc>
        <w:tc>
          <w:tcPr>
            <w:tcW w:w="3060" w:type="dxa"/>
            <w:vMerge/>
            <w:tcBorders>
              <w:top w:val="nil"/>
            </w:tcBorders>
          </w:tcPr>
          <w:p>
            <w:pPr>
              <w:rPr>
                <w:sz w:val="2"/>
                <w:szCs w:val="2"/>
              </w:rPr>
            </w:pPr>
          </w:p>
        </w:tc>
        <w:tc>
          <w:tcPr>
            <w:tcW w:w="897" w:type="dxa"/>
            <w:vMerge/>
            <w:tcBorders>
              <w:top w:val="nil"/>
            </w:tcBorders>
          </w:tcPr>
          <w:p>
            <w:pPr>
              <w:rPr>
                <w:sz w:val="2"/>
                <w:szCs w:val="2"/>
              </w:rPr>
            </w:pPr>
          </w:p>
        </w:tc>
        <w:tc>
          <w:tcPr>
            <w:tcW w:w="1442" w:type="dxa"/>
          </w:tcPr>
          <w:p>
            <w:pPr>
              <w:pStyle w:val="TableParagraph"/>
              <w:spacing w:before="39"/>
              <w:rPr>
                <w:b/>
                <w:sz w:val="24"/>
              </w:rPr>
            </w:pPr>
          </w:p>
          <w:p>
            <w:pPr>
              <w:pStyle w:val="TableParagraph"/>
              <w:ind w:left="110" w:right="90"/>
              <w:rPr>
                <w:sz w:val="24"/>
              </w:rPr>
            </w:pPr>
            <w:r>
              <w:rPr>
                <w:sz w:val="24"/>
              </w:rPr>
              <w:t>9m &amp; above</w:t>
            </w:r>
            <w:r>
              <w:rPr>
                <w:spacing w:val="-20"/>
                <w:sz w:val="24"/>
              </w:rPr>
              <w:t> </w:t>
            </w:r>
            <w:r>
              <w:rPr>
                <w:sz w:val="24"/>
              </w:rPr>
              <w:t>but less than </w:t>
            </w:r>
            <w:r>
              <w:rPr>
                <w:spacing w:val="-2"/>
                <w:sz w:val="24"/>
              </w:rPr>
              <w:t>12.00m</w:t>
            </w:r>
          </w:p>
        </w:tc>
        <w:tc>
          <w:tcPr>
            <w:tcW w:w="988" w:type="dxa"/>
          </w:tcPr>
          <w:p>
            <w:pPr>
              <w:pStyle w:val="TableParagraph"/>
              <w:spacing w:before="20"/>
              <w:ind w:left="110"/>
              <w:rPr>
                <w:sz w:val="24"/>
              </w:rPr>
            </w:pPr>
            <w:r>
              <w:rPr>
                <w:spacing w:val="-5"/>
                <w:sz w:val="24"/>
              </w:rPr>
              <w:t>1.0</w:t>
            </w:r>
          </w:p>
        </w:tc>
        <w:tc>
          <w:tcPr>
            <w:tcW w:w="991" w:type="dxa"/>
          </w:tcPr>
          <w:p>
            <w:pPr>
              <w:pStyle w:val="TableParagraph"/>
              <w:spacing w:before="20"/>
              <w:ind w:left="310"/>
              <w:rPr>
                <w:sz w:val="24"/>
              </w:rPr>
            </w:pPr>
            <w:r>
              <w:rPr>
                <w:spacing w:val="-5"/>
                <w:sz w:val="24"/>
              </w:rPr>
              <w:t>0.5</w:t>
            </w:r>
          </w:p>
        </w:tc>
        <w:tc>
          <w:tcPr>
            <w:tcW w:w="719" w:type="dxa"/>
          </w:tcPr>
          <w:p>
            <w:pPr>
              <w:pStyle w:val="TableParagraph"/>
              <w:spacing w:before="20"/>
              <w:ind w:right="107"/>
              <w:jc w:val="center"/>
              <w:rPr>
                <w:sz w:val="24"/>
              </w:rPr>
            </w:pPr>
            <w:r>
              <w:rPr>
                <w:spacing w:val="-5"/>
                <w:sz w:val="24"/>
              </w:rPr>
              <w:t>0.5</w:t>
            </w:r>
          </w:p>
        </w:tc>
        <w:tc>
          <w:tcPr>
            <w:tcW w:w="743" w:type="dxa"/>
          </w:tcPr>
          <w:p>
            <w:pPr>
              <w:pStyle w:val="TableParagraph"/>
              <w:spacing w:before="20"/>
              <w:ind w:left="21" w:right="150"/>
              <w:jc w:val="center"/>
              <w:rPr>
                <w:sz w:val="24"/>
              </w:rPr>
            </w:pPr>
            <w:r>
              <w:rPr>
                <w:spacing w:val="-5"/>
                <w:sz w:val="24"/>
              </w:rPr>
              <w:t>2.0</w:t>
            </w:r>
          </w:p>
        </w:tc>
      </w:tr>
      <w:tr>
        <w:trPr>
          <w:trHeight w:val="1166" w:hRule="atLeast"/>
        </w:trPr>
        <w:tc>
          <w:tcPr>
            <w:tcW w:w="552" w:type="dxa"/>
          </w:tcPr>
          <w:p>
            <w:pPr>
              <w:pStyle w:val="TableParagraph"/>
              <w:rPr>
                <w:rFonts w:ascii="Times New Roman"/>
                <w:sz w:val="22"/>
              </w:rPr>
            </w:pPr>
          </w:p>
        </w:tc>
        <w:tc>
          <w:tcPr>
            <w:tcW w:w="393" w:type="dxa"/>
            <w:vMerge/>
            <w:tcBorders>
              <w:top w:val="nil"/>
            </w:tcBorders>
          </w:tcPr>
          <w:p>
            <w:pPr>
              <w:rPr>
                <w:sz w:val="2"/>
                <w:szCs w:val="2"/>
              </w:rPr>
            </w:pPr>
          </w:p>
        </w:tc>
        <w:tc>
          <w:tcPr>
            <w:tcW w:w="3060" w:type="dxa"/>
            <w:vMerge/>
            <w:tcBorders>
              <w:top w:val="nil"/>
            </w:tcBorders>
          </w:tcPr>
          <w:p>
            <w:pPr>
              <w:rPr>
                <w:sz w:val="2"/>
                <w:szCs w:val="2"/>
              </w:rPr>
            </w:pPr>
          </w:p>
        </w:tc>
        <w:tc>
          <w:tcPr>
            <w:tcW w:w="897" w:type="dxa"/>
            <w:vMerge/>
            <w:tcBorders>
              <w:top w:val="nil"/>
            </w:tcBorders>
          </w:tcPr>
          <w:p>
            <w:pPr>
              <w:rPr>
                <w:sz w:val="2"/>
                <w:szCs w:val="2"/>
              </w:rPr>
            </w:pPr>
          </w:p>
        </w:tc>
        <w:tc>
          <w:tcPr>
            <w:tcW w:w="1442" w:type="dxa"/>
          </w:tcPr>
          <w:p>
            <w:pPr>
              <w:pStyle w:val="TableParagraph"/>
              <w:spacing w:before="18"/>
              <w:ind w:left="110"/>
              <w:rPr>
                <w:sz w:val="24"/>
              </w:rPr>
            </w:pPr>
            <w:r>
              <w:rPr>
                <w:sz w:val="24"/>
              </w:rPr>
              <w:t>12.00</w:t>
            </w:r>
            <w:r>
              <w:rPr>
                <w:spacing w:val="-4"/>
                <w:sz w:val="24"/>
              </w:rPr>
              <w:t> </w:t>
            </w:r>
            <w:r>
              <w:rPr>
                <w:spacing w:val="-5"/>
                <w:sz w:val="24"/>
              </w:rPr>
              <w:t>m&amp;</w:t>
            </w:r>
          </w:p>
          <w:p>
            <w:pPr>
              <w:pStyle w:val="TableParagraph"/>
              <w:spacing w:before="1"/>
              <w:ind w:left="110" w:right="90"/>
              <w:rPr>
                <w:sz w:val="24"/>
              </w:rPr>
            </w:pPr>
            <w:r>
              <w:rPr>
                <w:sz w:val="24"/>
              </w:rPr>
              <w:t>above</w:t>
            </w:r>
            <w:r>
              <w:rPr>
                <w:spacing w:val="-20"/>
                <w:sz w:val="24"/>
              </w:rPr>
              <w:t> </w:t>
            </w:r>
            <w:r>
              <w:rPr>
                <w:sz w:val="24"/>
              </w:rPr>
              <w:t>but less than</w:t>
            </w:r>
          </w:p>
          <w:p>
            <w:pPr>
              <w:pStyle w:val="TableParagraph"/>
              <w:spacing w:line="280" w:lineRule="exact" w:before="1"/>
              <w:ind w:left="110"/>
              <w:rPr>
                <w:sz w:val="24"/>
              </w:rPr>
            </w:pPr>
            <w:r>
              <w:rPr>
                <w:spacing w:val="-2"/>
                <w:sz w:val="24"/>
              </w:rPr>
              <w:t>18.00m</w:t>
            </w:r>
          </w:p>
        </w:tc>
        <w:tc>
          <w:tcPr>
            <w:tcW w:w="988" w:type="dxa"/>
          </w:tcPr>
          <w:p>
            <w:pPr>
              <w:pStyle w:val="TableParagraph"/>
              <w:spacing w:before="20"/>
              <w:ind w:left="110"/>
              <w:rPr>
                <w:sz w:val="24"/>
              </w:rPr>
            </w:pPr>
            <w:r>
              <w:rPr>
                <w:spacing w:val="-5"/>
                <w:sz w:val="24"/>
              </w:rPr>
              <w:t>1.0</w:t>
            </w:r>
          </w:p>
        </w:tc>
        <w:tc>
          <w:tcPr>
            <w:tcW w:w="991" w:type="dxa"/>
          </w:tcPr>
          <w:p>
            <w:pPr>
              <w:pStyle w:val="TableParagraph"/>
              <w:spacing w:before="20"/>
              <w:ind w:left="111"/>
              <w:rPr>
                <w:sz w:val="24"/>
              </w:rPr>
            </w:pPr>
            <w:r>
              <w:rPr>
                <w:spacing w:val="-5"/>
                <w:sz w:val="24"/>
              </w:rPr>
              <w:t>0.5</w:t>
            </w:r>
          </w:p>
        </w:tc>
        <w:tc>
          <w:tcPr>
            <w:tcW w:w="719" w:type="dxa"/>
          </w:tcPr>
          <w:p>
            <w:pPr>
              <w:pStyle w:val="TableParagraph"/>
              <w:spacing w:before="20"/>
              <w:ind w:right="107"/>
              <w:jc w:val="center"/>
              <w:rPr>
                <w:sz w:val="24"/>
              </w:rPr>
            </w:pPr>
            <w:r>
              <w:rPr>
                <w:spacing w:val="-5"/>
                <w:sz w:val="24"/>
              </w:rPr>
              <w:t>0.7</w:t>
            </w:r>
          </w:p>
        </w:tc>
        <w:tc>
          <w:tcPr>
            <w:tcW w:w="743" w:type="dxa"/>
          </w:tcPr>
          <w:p>
            <w:pPr>
              <w:pStyle w:val="TableParagraph"/>
              <w:spacing w:before="20"/>
              <w:ind w:left="21" w:right="150"/>
              <w:jc w:val="center"/>
              <w:rPr>
                <w:sz w:val="24"/>
              </w:rPr>
            </w:pPr>
            <w:r>
              <w:rPr>
                <w:spacing w:val="-5"/>
                <w:sz w:val="24"/>
              </w:rPr>
              <w:t>2.2</w:t>
            </w:r>
          </w:p>
        </w:tc>
      </w:tr>
      <w:tr>
        <w:trPr>
          <w:trHeight w:val="1168" w:hRule="atLeast"/>
        </w:trPr>
        <w:tc>
          <w:tcPr>
            <w:tcW w:w="552" w:type="dxa"/>
          </w:tcPr>
          <w:p>
            <w:pPr>
              <w:pStyle w:val="TableParagraph"/>
              <w:rPr>
                <w:rFonts w:ascii="Times New Roman"/>
                <w:sz w:val="22"/>
              </w:rPr>
            </w:pPr>
          </w:p>
        </w:tc>
        <w:tc>
          <w:tcPr>
            <w:tcW w:w="393" w:type="dxa"/>
            <w:vMerge/>
            <w:tcBorders>
              <w:top w:val="nil"/>
            </w:tcBorders>
          </w:tcPr>
          <w:p>
            <w:pPr>
              <w:rPr>
                <w:sz w:val="2"/>
                <w:szCs w:val="2"/>
              </w:rPr>
            </w:pPr>
          </w:p>
        </w:tc>
        <w:tc>
          <w:tcPr>
            <w:tcW w:w="3060" w:type="dxa"/>
            <w:vMerge/>
            <w:tcBorders>
              <w:top w:val="nil"/>
            </w:tcBorders>
          </w:tcPr>
          <w:p>
            <w:pPr>
              <w:rPr>
                <w:sz w:val="2"/>
                <w:szCs w:val="2"/>
              </w:rPr>
            </w:pPr>
          </w:p>
        </w:tc>
        <w:tc>
          <w:tcPr>
            <w:tcW w:w="897" w:type="dxa"/>
            <w:vMerge/>
            <w:tcBorders>
              <w:top w:val="nil"/>
            </w:tcBorders>
          </w:tcPr>
          <w:p>
            <w:pPr>
              <w:rPr>
                <w:sz w:val="2"/>
                <w:szCs w:val="2"/>
              </w:rPr>
            </w:pPr>
          </w:p>
        </w:tc>
        <w:tc>
          <w:tcPr>
            <w:tcW w:w="1442" w:type="dxa"/>
          </w:tcPr>
          <w:p>
            <w:pPr>
              <w:pStyle w:val="TableParagraph"/>
              <w:spacing w:line="281" w:lineRule="exact" w:before="20"/>
              <w:ind w:left="110"/>
              <w:rPr>
                <w:sz w:val="24"/>
              </w:rPr>
            </w:pPr>
            <w:r>
              <w:rPr>
                <w:sz w:val="24"/>
              </w:rPr>
              <w:t>18.00m </w:t>
            </w:r>
            <w:r>
              <w:rPr>
                <w:spacing w:val="-10"/>
                <w:sz w:val="24"/>
              </w:rPr>
              <w:t>&amp;</w:t>
            </w:r>
          </w:p>
          <w:p>
            <w:pPr>
              <w:pStyle w:val="TableParagraph"/>
              <w:ind w:left="110" w:right="90"/>
              <w:rPr>
                <w:sz w:val="24"/>
              </w:rPr>
            </w:pPr>
            <w:r>
              <w:rPr>
                <w:sz w:val="24"/>
              </w:rPr>
              <w:t>above</w:t>
            </w:r>
            <w:r>
              <w:rPr>
                <w:spacing w:val="-20"/>
                <w:sz w:val="24"/>
              </w:rPr>
              <w:t> </w:t>
            </w:r>
            <w:r>
              <w:rPr>
                <w:sz w:val="24"/>
              </w:rPr>
              <w:t>but less than </w:t>
            </w:r>
            <w:r>
              <w:rPr>
                <w:spacing w:val="-4"/>
                <w:sz w:val="24"/>
              </w:rPr>
              <w:t>27m</w:t>
            </w:r>
          </w:p>
        </w:tc>
        <w:tc>
          <w:tcPr>
            <w:tcW w:w="988" w:type="dxa"/>
          </w:tcPr>
          <w:p>
            <w:pPr>
              <w:pStyle w:val="TableParagraph"/>
              <w:spacing w:before="23"/>
              <w:ind w:left="110"/>
              <w:rPr>
                <w:sz w:val="24"/>
              </w:rPr>
            </w:pPr>
            <w:r>
              <w:rPr>
                <w:spacing w:val="-5"/>
                <w:sz w:val="24"/>
              </w:rPr>
              <w:t>1.0</w:t>
            </w:r>
          </w:p>
        </w:tc>
        <w:tc>
          <w:tcPr>
            <w:tcW w:w="991" w:type="dxa"/>
          </w:tcPr>
          <w:p>
            <w:pPr>
              <w:pStyle w:val="TableParagraph"/>
              <w:spacing w:before="23"/>
              <w:ind w:left="111"/>
              <w:rPr>
                <w:sz w:val="24"/>
              </w:rPr>
            </w:pPr>
            <w:r>
              <w:rPr>
                <w:spacing w:val="-5"/>
                <w:sz w:val="24"/>
              </w:rPr>
              <w:t>0.5</w:t>
            </w:r>
          </w:p>
        </w:tc>
        <w:tc>
          <w:tcPr>
            <w:tcW w:w="719" w:type="dxa"/>
          </w:tcPr>
          <w:p>
            <w:pPr>
              <w:pStyle w:val="TableParagraph"/>
              <w:spacing w:before="23"/>
              <w:ind w:right="107"/>
              <w:jc w:val="center"/>
              <w:rPr>
                <w:sz w:val="24"/>
              </w:rPr>
            </w:pPr>
            <w:r>
              <w:rPr>
                <w:spacing w:val="-5"/>
                <w:sz w:val="24"/>
              </w:rPr>
              <w:t>0.9</w:t>
            </w:r>
          </w:p>
        </w:tc>
        <w:tc>
          <w:tcPr>
            <w:tcW w:w="743" w:type="dxa"/>
          </w:tcPr>
          <w:p>
            <w:pPr>
              <w:pStyle w:val="TableParagraph"/>
              <w:spacing w:before="23"/>
              <w:ind w:left="21" w:right="150"/>
              <w:jc w:val="center"/>
              <w:rPr>
                <w:sz w:val="24"/>
              </w:rPr>
            </w:pPr>
            <w:r>
              <w:rPr>
                <w:spacing w:val="-5"/>
                <w:sz w:val="24"/>
              </w:rPr>
              <w:t>2.4</w:t>
            </w:r>
          </w:p>
        </w:tc>
      </w:tr>
      <w:tr>
        <w:trPr>
          <w:trHeight w:val="602" w:hRule="atLeast"/>
        </w:trPr>
        <w:tc>
          <w:tcPr>
            <w:tcW w:w="552" w:type="dxa"/>
          </w:tcPr>
          <w:p>
            <w:pPr>
              <w:pStyle w:val="TableParagraph"/>
              <w:rPr>
                <w:rFonts w:ascii="Times New Roman"/>
                <w:sz w:val="22"/>
              </w:rPr>
            </w:pPr>
          </w:p>
        </w:tc>
        <w:tc>
          <w:tcPr>
            <w:tcW w:w="393" w:type="dxa"/>
            <w:vMerge/>
            <w:tcBorders>
              <w:top w:val="nil"/>
            </w:tcBorders>
          </w:tcPr>
          <w:p>
            <w:pPr>
              <w:rPr>
                <w:sz w:val="2"/>
                <w:szCs w:val="2"/>
              </w:rPr>
            </w:pPr>
          </w:p>
        </w:tc>
        <w:tc>
          <w:tcPr>
            <w:tcW w:w="3060" w:type="dxa"/>
            <w:vMerge/>
            <w:tcBorders>
              <w:top w:val="nil"/>
            </w:tcBorders>
          </w:tcPr>
          <w:p>
            <w:pPr>
              <w:rPr>
                <w:sz w:val="2"/>
                <w:szCs w:val="2"/>
              </w:rPr>
            </w:pPr>
          </w:p>
        </w:tc>
        <w:tc>
          <w:tcPr>
            <w:tcW w:w="897" w:type="dxa"/>
            <w:vMerge/>
            <w:tcBorders>
              <w:top w:val="nil"/>
            </w:tcBorders>
          </w:tcPr>
          <w:p>
            <w:pPr>
              <w:rPr>
                <w:sz w:val="2"/>
                <w:szCs w:val="2"/>
              </w:rPr>
            </w:pPr>
          </w:p>
        </w:tc>
        <w:tc>
          <w:tcPr>
            <w:tcW w:w="1442" w:type="dxa"/>
          </w:tcPr>
          <w:p>
            <w:pPr>
              <w:pStyle w:val="TableParagraph"/>
              <w:spacing w:line="280" w:lineRule="atLeast" w:before="18"/>
              <w:ind w:left="110" w:right="90"/>
              <w:rPr>
                <w:sz w:val="24"/>
              </w:rPr>
            </w:pPr>
            <w:r>
              <w:rPr>
                <w:sz w:val="24"/>
              </w:rPr>
              <w:t>27</w:t>
            </w:r>
            <w:r>
              <w:rPr>
                <w:spacing w:val="-19"/>
                <w:sz w:val="24"/>
              </w:rPr>
              <w:t> </w:t>
            </w:r>
            <w:r>
              <w:rPr>
                <w:sz w:val="24"/>
              </w:rPr>
              <w:t>m</w:t>
            </w:r>
            <w:r>
              <w:rPr>
                <w:spacing w:val="-19"/>
                <w:sz w:val="24"/>
              </w:rPr>
              <w:t> </w:t>
            </w:r>
            <w:r>
              <w:rPr>
                <w:sz w:val="24"/>
              </w:rPr>
              <w:t>an</w:t>
            </w:r>
            <w:r>
              <w:rPr>
                <w:sz w:val="24"/>
              </w:rPr>
              <w:t>d</w:t>
            </w:r>
            <w:r>
              <w:rPr>
                <w:sz w:val="24"/>
              </w:rPr>
              <w:t> </w:t>
            </w:r>
            <w:r>
              <w:rPr>
                <w:spacing w:val="-2"/>
                <w:sz w:val="24"/>
              </w:rPr>
              <w:t>above</w:t>
            </w:r>
          </w:p>
        </w:tc>
        <w:tc>
          <w:tcPr>
            <w:tcW w:w="988" w:type="dxa"/>
          </w:tcPr>
          <w:p>
            <w:pPr>
              <w:pStyle w:val="TableParagraph"/>
              <w:spacing w:before="20"/>
              <w:ind w:left="110"/>
              <w:rPr>
                <w:sz w:val="24"/>
              </w:rPr>
            </w:pPr>
            <w:r>
              <w:rPr>
                <w:spacing w:val="-5"/>
                <w:sz w:val="24"/>
              </w:rPr>
              <w:t>1.0</w:t>
            </w:r>
          </w:p>
        </w:tc>
        <w:tc>
          <w:tcPr>
            <w:tcW w:w="991" w:type="dxa"/>
          </w:tcPr>
          <w:p>
            <w:pPr>
              <w:pStyle w:val="TableParagraph"/>
              <w:spacing w:before="20"/>
              <w:ind w:left="111"/>
              <w:rPr>
                <w:sz w:val="24"/>
              </w:rPr>
            </w:pPr>
            <w:r>
              <w:rPr>
                <w:spacing w:val="-5"/>
                <w:sz w:val="24"/>
              </w:rPr>
              <w:t>0.5</w:t>
            </w:r>
          </w:p>
        </w:tc>
        <w:tc>
          <w:tcPr>
            <w:tcW w:w="719" w:type="dxa"/>
          </w:tcPr>
          <w:p>
            <w:pPr>
              <w:pStyle w:val="TableParagraph"/>
              <w:spacing w:before="20"/>
              <w:ind w:right="107"/>
              <w:jc w:val="center"/>
              <w:rPr>
                <w:sz w:val="24"/>
              </w:rPr>
            </w:pPr>
            <w:r>
              <w:rPr>
                <w:spacing w:val="-5"/>
                <w:sz w:val="24"/>
              </w:rPr>
              <w:t>1.0</w:t>
            </w:r>
          </w:p>
        </w:tc>
        <w:tc>
          <w:tcPr>
            <w:tcW w:w="743" w:type="dxa"/>
          </w:tcPr>
          <w:p>
            <w:pPr>
              <w:pStyle w:val="TableParagraph"/>
              <w:spacing w:before="20"/>
              <w:ind w:left="21" w:right="150"/>
              <w:jc w:val="center"/>
              <w:rPr>
                <w:sz w:val="24"/>
              </w:rPr>
            </w:pPr>
            <w:r>
              <w:rPr>
                <w:spacing w:val="-5"/>
                <w:sz w:val="24"/>
              </w:rPr>
              <w:t>2.5</w:t>
            </w:r>
          </w:p>
        </w:tc>
      </w:tr>
      <w:tr>
        <w:trPr>
          <w:trHeight w:val="604" w:hRule="atLeast"/>
        </w:trPr>
        <w:tc>
          <w:tcPr>
            <w:tcW w:w="552" w:type="dxa"/>
          </w:tcPr>
          <w:p>
            <w:pPr>
              <w:pStyle w:val="TableParagraph"/>
              <w:spacing w:before="23"/>
              <w:ind w:right="79"/>
              <w:jc w:val="center"/>
              <w:rPr>
                <w:sz w:val="24"/>
              </w:rPr>
            </w:pPr>
            <w:r>
              <w:rPr>
                <w:spacing w:val="-5"/>
                <w:sz w:val="24"/>
              </w:rPr>
              <w:t>III</w:t>
            </w:r>
          </w:p>
        </w:tc>
        <w:tc>
          <w:tcPr>
            <w:tcW w:w="393" w:type="dxa"/>
          </w:tcPr>
          <w:p>
            <w:pPr>
              <w:pStyle w:val="TableParagraph"/>
              <w:rPr>
                <w:rFonts w:ascii="Times New Roman"/>
                <w:sz w:val="22"/>
              </w:rPr>
            </w:pPr>
          </w:p>
        </w:tc>
        <w:tc>
          <w:tcPr>
            <w:tcW w:w="3060" w:type="dxa"/>
          </w:tcPr>
          <w:p>
            <w:pPr>
              <w:pStyle w:val="TableParagraph"/>
              <w:spacing w:before="23"/>
              <w:ind w:left="108"/>
              <w:rPr>
                <w:sz w:val="24"/>
              </w:rPr>
            </w:pPr>
            <w:r>
              <w:rPr>
                <w:sz w:val="24"/>
              </w:rPr>
              <w:t>Island</w:t>
            </w:r>
            <w:r>
              <w:rPr>
                <w:spacing w:val="-2"/>
                <w:sz w:val="24"/>
              </w:rPr>
              <w:t> </w:t>
            </w:r>
            <w:r>
              <w:rPr>
                <w:spacing w:val="-4"/>
                <w:sz w:val="24"/>
              </w:rPr>
              <w:t>City</w:t>
            </w:r>
          </w:p>
        </w:tc>
        <w:tc>
          <w:tcPr>
            <w:tcW w:w="897" w:type="dxa"/>
          </w:tcPr>
          <w:p>
            <w:pPr>
              <w:pStyle w:val="TableParagraph"/>
              <w:spacing w:before="20"/>
              <w:ind w:left="109" w:right="91"/>
              <w:rPr>
                <w:sz w:val="24"/>
              </w:rPr>
            </w:pPr>
            <w:r>
              <w:rPr>
                <w:spacing w:val="-2"/>
                <w:sz w:val="24"/>
              </w:rPr>
              <w:t>Indus trial</w:t>
            </w:r>
          </w:p>
        </w:tc>
        <w:tc>
          <w:tcPr>
            <w:tcW w:w="1442" w:type="dxa"/>
          </w:tcPr>
          <w:p>
            <w:pPr>
              <w:pStyle w:val="TableParagraph"/>
              <w:rPr>
                <w:rFonts w:ascii="Times New Roman"/>
                <w:sz w:val="22"/>
              </w:rPr>
            </w:pPr>
          </w:p>
        </w:tc>
        <w:tc>
          <w:tcPr>
            <w:tcW w:w="988" w:type="dxa"/>
          </w:tcPr>
          <w:p>
            <w:pPr>
              <w:pStyle w:val="TableParagraph"/>
              <w:spacing w:before="23"/>
              <w:ind w:left="110"/>
              <w:rPr>
                <w:sz w:val="24"/>
              </w:rPr>
            </w:pPr>
            <w:r>
              <w:rPr>
                <w:spacing w:val="-5"/>
                <w:sz w:val="24"/>
              </w:rPr>
              <w:t>1.0</w:t>
            </w:r>
          </w:p>
        </w:tc>
        <w:tc>
          <w:tcPr>
            <w:tcW w:w="991" w:type="dxa"/>
          </w:tcPr>
          <w:p>
            <w:pPr>
              <w:pStyle w:val="TableParagraph"/>
              <w:rPr>
                <w:rFonts w:ascii="Times New Roman"/>
                <w:sz w:val="22"/>
              </w:rPr>
            </w:pPr>
          </w:p>
        </w:tc>
        <w:tc>
          <w:tcPr>
            <w:tcW w:w="719" w:type="dxa"/>
          </w:tcPr>
          <w:p>
            <w:pPr>
              <w:pStyle w:val="TableParagraph"/>
              <w:rPr>
                <w:rFonts w:ascii="Times New Roman"/>
                <w:sz w:val="22"/>
              </w:rPr>
            </w:pPr>
          </w:p>
        </w:tc>
        <w:tc>
          <w:tcPr>
            <w:tcW w:w="743" w:type="dxa"/>
          </w:tcPr>
          <w:p>
            <w:pPr>
              <w:pStyle w:val="TableParagraph"/>
              <w:spacing w:before="23"/>
              <w:ind w:left="21" w:right="150"/>
              <w:jc w:val="center"/>
              <w:rPr>
                <w:sz w:val="24"/>
              </w:rPr>
            </w:pPr>
            <w:r>
              <w:rPr>
                <w:spacing w:val="-5"/>
                <w:sz w:val="24"/>
              </w:rPr>
              <w:t>1.0</w:t>
            </w:r>
          </w:p>
        </w:tc>
      </w:tr>
      <w:tr>
        <w:trPr>
          <w:trHeight w:val="623" w:hRule="atLeast"/>
        </w:trPr>
        <w:tc>
          <w:tcPr>
            <w:tcW w:w="552" w:type="dxa"/>
          </w:tcPr>
          <w:p>
            <w:pPr>
              <w:pStyle w:val="TableParagraph"/>
              <w:spacing w:before="20"/>
              <w:ind w:left="9" w:right="79"/>
              <w:jc w:val="center"/>
              <w:rPr>
                <w:sz w:val="24"/>
              </w:rPr>
            </w:pPr>
            <w:r>
              <w:rPr>
                <w:spacing w:val="-5"/>
                <w:sz w:val="24"/>
              </w:rPr>
              <w:t>IV</w:t>
            </w:r>
          </w:p>
        </w:tc>
        <w:tc>
          <w:tcPr>
            <w:tcW w:w="393" w:type="dxa"/>
          </w:tcPr>
          <w:p>
            <w:pPr>
              <w:pStyle w:val="TableParagraph"/>
              <w:rPr>
                <w:rFonts w:ascii="Times New Roman"/>
                <w:sz w:val="22"/>
              </w:rPr>
            </w:pPr>
          </w:p>
        </w:tc>
        <w:tc>
          <w:tcPr>
            <w:tcW w:w="3060" w:type="dxa"/>
          </w:tcPr>
          <w:p>
            <w:pPr>
              <w:pStyle w:val="TableParagraph"/>
              <w:spacing w:before="18"/>
              <w:ind w:left="108"/>
              <w:rPr>
                <w:sz w:val="24"/>
              </w:rPr>
            </w:pPr>
            <w:r>
              <w:rPr>
                <w:sz w:val="24"/>
              </w:rPr>
              <w:t>Suburbs</w:t>
            </w:r>
            <w:r>
              <w:rPr>
                <w:spacing w:val="-20"/>
                <w:sz w:val="24"/>
              </w:rPr>
              <w:t> </w:t>
            </w:r>
            <w:r>
              <w:rPr>
                <w:sz w:val="24"/>
              </w:rPr>
              <w:t>and</w:t>
            </w:r>
            <w:r>
              <w:rPr>
                <w:spacing w:val="-18"/>
                <w:sz w:val="24"/>
              </w:rPr>
              <w:t> </w:t>
            </w:r>
            <w:r>
              <w:rPr>
                <w:sz w:val="24"/>
              </w:rPr>
              <w:t>Extended </w:t>
            </w:r>
            <w:r>
              <w:rPr>
                <w:spacing w:val="-2"/>
                <w:sz w:val="24"/>
              </w:rPr>
              <w:t>Suburbs</w:t>
            </w:r>
          </w:p>
        </w:tc>
        <w:tc>
          <w:tcPr>
            <w:tcW w:w="897" w:type="dxa"/>
          </w:tcPr>
          <w:p>
            <w:pPr>
              <w:pStyle w:val="TableParagraph"/>
              <w:spacing w:before="18"/>
              <w:ind w:left="109" w:right="91"/>
              <w:rPr>
                <w:sz w:val="24"/>
              </w:rPr>
            </w:pPr>
            <w:r>
              <w:rPr>
                <w:spacing w:val="-2"/>
                <w:sz w:val="24"/>
              </w:rPr>
              <w:t>Indus trial</w:t>
            </w:r>
          </w:p>
        </w:tc>
        <w:tc>
          <w:tcPr>
            <w:tcW w:w="1442" w:type="dxa"/>
          </w:tcPr>
          <w:p>
            <w:pPr>
              <w:pStyle w:val="TableParagraph"/>
              <w:rPr>
                <w:rFonts w:ascii="Times New Roman"/>
                <w:sz w:val="22"/>
              </w:rPr>
            </w:pPr>
          </w:p>
        </w:tc>
        <w:tc>
          <w:tcPr>
            <w:tcW w:w="988" w:type="dxa"/>
          </w:tcPr>
          <w:p>
            <w:pPr>
              <w:pStyle w:val="TableParagraph"/>
              <w:spacing w:before="20"/>
              <w:ind w:left="110"/>
              <w:rPr>
                <w:sz w:val="24"/>
              </w:rPr>
            </w:pPr>
            <w:r>
              <w:rPr>
                <w:spacing w:val="-5"/>
                <w:sz w:val="24"/>
              </w:rPr>
              <w:t>1.0</w:t>
            </w:r>
          </w:p>
        </w:tc>
        <w:tc>
          <w:tcPr>
            <w:tcW w:w="991" w:type="dxa"/>
          </w:tcPr>
          <w:p>
            <w:pPr>
              <w:pStyle w:val="TableParagraph"/>
              <w:spacing w:before="20"/>
              <w:ind w:left="16" w:right="2"/>
              <w:jc w:val="center"/>
              <w:rPr>
                <w:sz w:val="24"/>
              </w:rPr>
            </w:pPr>
            <w:r>
              <w:rPr>
                <w:spacing w:val="-5"/>
                <w:sz w:val="24"/>
              </w:rPr>
              <w:t>0.5</w:t>
            </w:r>
          </w:p>
          <w:p>
            <w:pPr>
              <w:pStyle w:val="TableParagraph"/>
              <w:spacing w:before="19"/>
              <w:ind w:left="16"/>
              <w:jc w:val="center"/>
              <w:rPr>
                <w:sz w:val="24"/>
              </w:rPr>
            </w:pPr>
            <w:r>
              <w:rPr>
                <w:spacing w:val="-10"/>
                <w:sz w:val="24"/>
              </w:rPr>
              <w:t>-</w:t>
            </w:r>
          </w:p>
        </w:tc>
        <w:tc>
          <w:tcPr>
            <w:tcW w:w="719" w:type="dxa"/>
          </w:tcPr>
          <w:p>
            <w:pPr>
              <w:pStyle w:val="TableParagraph"/>
              <w:spacing w:before="20"/>
              <w:ind w:left="19"/>
              <w:jc w:val="center"/>
              <w:rPr>
                <w:sz w:val="24"/>
              </w:rPr>
            </w:pPr>
            <w:r>
              <w:rPr>
                <w:spacing w:val="-5"/>
                <w:sz w:val="24"/>
              </w:rPr>
              <w:t>0.5</w:t>
            </w:r>
          </w:p>
          <w:p>
            <w:pPr>
              <w:pStyle w:val="TableParagraph"/>
              <w:spacing w:before="19"/>
              <w:ind w:left="19"/>
              <w:jc w:val="center"/>
              <w:rPr>
                <w:sz w:val="24"/>
              </w:rPr>
            </w:pPr>
            <w:r>
              <w:rPr>
                <w:spacing w:val="-10"/>
                <w:sz w:val="24"/>
              </w:rPr>
              <w:t>-</w:t>
            </w:r>
          </w:p>
        </w:tc>
        <w:tc>
          <w:tcPr>
            <w:tcW w:w="743" w:type="dxa"/>
          </w:tcPr>
          <w:p>
            <w:pPr>
              <w:pStyle w:val="TableParagraph"/>
              <w:spacing w:before="20"/>
              <w:ind w:left="21" w:right="150"/>
              <w:jc w:val="center"/>
              <w:rPr>
                <w:sz w:val="24"/>
              </w:rPr>
            </w:pPr>
            <w:r>
              <w:rPr>
                <w:spacing w:val="-5"/>
                <w:sz w:val="24"/>
              </w:rPr>
              <w:t>1.0</w:t>
            </w:r>
          </w:p>
        </w:tc>
      </w:tr>
    </w:tbl>
    <w:p>
      <w:pPr>
        <w:pStyle w:val="BodyText"/>
        <w:spacing w:before="240"/>
        <w:jc w:val="left"/>
        <w:rPr>
          <w:b/>
        </w:rPr>
      </w:pPr>
    </w:p>
    <w:p>
      <w:pPr>
        <w:pStyle w:val="BodyText"/>
        <w:spacing w:line="276" w:lineRule="auto"/>
        <w:ind w:left="1481" w:right="838" w:firstLine="69"/>
        <w:jc w:val="left"/>
      </w:pPr>
      <w:r>
        <w:rPr/>
        <w:t>Note</w:t>
      </w:r>
      <w:r>
        <w:rPr>
          <w:spacing w:val="-4"/>
        </w:rPr>
        <w:t> </w:t>
      </w:r>
      <w:r>
        <w:rPr/>
        <w:t>–</w:t>
      </w:r>
      <w:r>
        <w:rPr>
          <w:spacing w:val="-4"/>
        </w:rPr>
        <w:t> </w:t>
      </w:r>
      <w:r>
        <w:rPr/>
        <w:t>1)The</w:t>
      </w:r>
      <w:r>
        <w:rPr>
          <w:spacing w:val="-4"/>
        </w:rPr>
        <w:t> </w:t>
      </w:r>
      <w:r>
        <w:rPr/>
        <w:t>plots</w:t>
      </w:r>
      <w:r>
        <w:rPr>
          <w:spacing w:val="-4"/>
        </w:rPr>
        <w:t> </w:t>
      </w:r>
      <w:r>
        <w:rPr/>
        <w:t>abutting</w:t>
      </w:r>
      <w:r>
        <w:rPr>
          <w:spacing w:val="-4"/>
        </w:rPr>
        <w:t> </w:t>
      </w:r>
      <w:r>
        <w:rPr/>
        <w:t>public</w:t>
      </w:r>
      <w:r>
        <w:rPr>
          <w:spacing w:val="-4"/>
        </w:rPr>
        <w:t> </w:t>
      </w:r>
      <w:r>
        <w:rPr/>
        <w:t>roads</w:t>
      </w:r>
      <w:r>
        <w:rPr>
          <w:spacing w:val="-4"/>
        </w:rPr>
        <w:t> </w:t>
      </w:r>
      <w:r>
        <w:rPr/>
        <w:t>having</w:t>
      </w:r>
      <w:r>
        <w:rPr>
          <w:spacing w:val="-4"/>
        </w:rPr>
        <w:t> </w:t>
      </w:r>
      <w:r>
        <w:rPr/>
        <w:t>existing</w:t>
      </w:r>
      <w:r>
        <w:rPr>
          <w:spacing w:val="-4"/>
        </w:rPr>
        <w:t> </w:t>
      </w:r>
      <w:r>
        <w:rPr/>
        <w:t>width</w:t>
      </w:r>
      <w:r>
        <w:rPr>
          <w:spacing w:val="-4"/>
        </w:rPr>
        <w:t> </w:t>
      </w:r>
      <w:r>
        <w:rPr/>
        <w:t>of</w:t>
      </w:r>
      <w:r>
        <w:rPr>
          <w:spacing w:val="-4"/>
        </w:rPr>
        <w:t> </w:t>
      </w:r>
      <w:r>
        <w:rPr/>
        <w:t>minimum 6m but less than 9m which are proposed to be widened to 9.0 m or more then permissible FSI shall be as admissible for 9m road width.</w:t>
      </w:r>
    </w:p>
    <w:p>
      <w:pPr>
        <w:pStyle w:val="BodyText"/>
        <w:spacing w:before="205"/>
        <w:ind w:left="1493" w:firstLine="76"/>
        <w:jc w:val="left"/>
      </w:pPr>
      <w:r>
        <w:rPr/>
        <w:t>2)TDR</w:t>
      </w:r>
      <w:r>
        <w:rPr>
          <w:spacing w:val="-3"/>
        </w:rPr>
        <w:t> </w:t>
      </w:r>
      <w:r>
        <w:rPr/>
        <w:t>&amp;</w:t>
      </w:r>
      <w:r>
        <w:rPr>
          <w:spacing w:val="-3"/>
        </w:rPr>
        <w:t> </w:t>
      </w:r>
      <w:r>
        <w:rPr/>
        <w:t>additional</w:t>
      </w:r>
      <w:r>
        <w:rPr>
          <w:spacing w:val="-1"/>
        </w:rPr>
        <w:t> </w:t>
      </w:r>
      <w:r>
        <w:rPr/>
        <w:t>FSI</w:t>
      </w:r>
      <w:r>
        <w:rPr>
          <w:spacing w:val="-1"/>
        </w:rPr>
        <w:t> </w:t>
      </w:r>
      <w:r>
        <w:rPr/>
        <w:t>on</w:t>
      </w:r>
      <w:r>
        <w:rPr>
          <w:spacing w:val="-3"/>
        </w:rPr>
        <w:t> </w:t>
      </w:r>
      <w:r>
        <w:rPr/>
        <w:t>payment</w:t>
      </w:r>
      <w:r>
        <w:rPr>
          <w:spacing w:val="-3"/>
        </w:rPr>
        <w:t> </w:t>
      </w:r>
      <w:r>
        <w:rPr/>
        <w:t>of</w:t>
      </w:r>
      <w:r>
        <w:rPr>
          <w:spacing w:val="-3"/>
        </w:rPr>
        <w:t> </w:t>
      </w:r>
      <w:r>
        <w:rPr/>
        <w:t>premium</w:t>
      </w:r>
      <w:r>
        <w:rPr>
          <w:spacing w:val="-3"/>
        </w:rPr>
        <w:t> </w:t>
      </w:r>
      <w:r>
        <w:rPr/>
        <w:t>Ratio</w:t>
      </w:r>
      <w:r>
        <w:rPr>
          <w:spacing w:val="-3"/>
        </w:rPr>
        <w:t> </w:t>
      </w:r>
      <w:r>
        <w:rPr/>
        <w:t>can</w:t>
      </w:r>
      <w:r>
        <w:rPr>
          <w:spacing w:val="-3"/>
        </w:rPr>
        <w:t> </w:t>
      </w:r>
      <w:r>
        <w:rPr/>
        <w:t>be</w:t>
      </w:r>
      <w:r>
        <w:rPr>
          <w:spacing w:val="-3"/>
        </w:rPr>
        <w:t> </w:t>
      </w:r>
      <w:r>
        <w:rPr/>
        <w:t>changed</w:t>
      </w:r>
      <w:r>
        <w:rPr>
          <w:spacing w:val="-3"/>
        </w:rPr>
        <w:t> </w:t>
      </w:r>
      <w:r>
        <w:rPr/>
        <w:t>by Government from time to time keeping the total Cap as it is.</w:t>
      </w:r>
    </w:p>
    <w:p>
      <w:pPr>
        <w:pStyle w:val="BodyText"/>
        <w:spacing w:after="0"/>
        <w:jc w:val="left"/>
        <w:sectPr>
          <w:pgSz w:w="11910" w:h="16840"/>
          <w:pgMar w:header="1065" w:footer="1237" w:top="1500" w:bottom="1420" w:left="360" w:right="360"/>
        </w:sectPr>
      </w:pPr>
    </w:p>
    <w:p>
      <w:pPr>
        <w:pStyle w:val="ListParagraph"/>
        <w:numPr>
          <w:ilvl w:val="1"/>
          <w:numId w:val="110"/>
        </w:numPr>
        <w:tabs>
          <w:tab w:pos="2213" w:val="left" w:leader="none"/>
        </w:tabs>
        <w:spacing w:line="240" w:lineRule="auto" w:before="249" w:after="0"/>
        <w:ind w:left="1493" w:right="1112" w:firstLine="0"/>
        <w:jc w:val="left"/>
        <w:rPr>
          <w:sz w:val="24"/>
        </w:rPr>
      </w:pPr>
      <w:r>
        <w:rPr>
          <w:sz w:val="24"/>
        </w:rPr>
        <w:t>The</w:t>
      </w:r>
      <w:r>
        <w:rPr>
          <w:spacing w:val="-3"/>
          <w:sz w:val="24"/>
        </w:rPr>
        <w:t> </w:t>
      </w:r>
      <w:r>
        <w:rPr>
          <w:sz w:val="24"/>
        </w:rPr>
        <w:t>permissible</w:t>
      </w:r>
      <w:r>
        <w:rPr>
          <w:spacing w:val="-3"/>
          <w:sz w:val="24"/>
        </w:rPr>
        <w:t> </w:t>
      </w:r>
      <w:r>
        <w:rPr>
          <w:sz w:val="24"/>
        </w:rPr>
        <w:t>FSI</w:t>
      </w:r>
      <w:r>
        <w:rPr>
          <w:spacing w:val="-2"/>
          <w:sz w:val="24"/>
        </w:rPr>
        <w:t> </w:t>
      </w:r>
      <w:r>
        <w:rPr>
          <w:sz w:val="24"/>
        </w:rPr>
        <w:t>shall</w:t>
      </w:r>
      <w:r>
        <w:rPr>
          <w:spacing w:val="-3"/>
          <w:sz w:val="24"/>
        </w:rPr>
        <w:t> </w:t>
      </w:r>
      <w:r>
        <w:rPr>
          <w:sz w:val="24"/>
        </w:rPr>
        <w:t>be</w:t>
      </w:r>
      <w:r>
        <w:rPr>
          <w:spacing w:val="-3"/>
          <w:sz w:val="24"/>
        </w:rPr>
        <w:t> </w:t>
      </w:r>
      <w:r>
        <w:rPr>
          <w:sz w:val="24"/>
        </w:rPr>
        <w:t>on</w:t>
      </w:r>
      <w:r>
        <w:rPr>
          <w:spacing w:val="40"/>
          <w:sz w:val="24"/>
        </w:rPr>
        <w:t> </w:t>
      </w:r>
      <w:r>
        <w:rPr>
          <w:sz w:val="24"/>
        </w:rPr>
        <w:t>plot</w:t>
      </w:r>
      <w:r>
        <w:rPr>
          <w:spacing w:val="-3"/>
          <w:sz w:val="24"/>
        </w:rPr>
        <w:t> </w:t>
      </w:r>
      <w:r>
        <w:rPr>
          <w:sz w:val="24"/>
        </w:rPr>
        <w:t>area</w:t>
      </w:r>
      <w:r>
        <w:rPr>
          <w:spacing w:val="-2"/>
          <w:sz w:val="24"/>
        </w:rPr>
        <w:t> </w:t>
      </w:r>
      <w:r>
        <w:rPr>
          <w:sz w:val="24"/>
        </w:rPr>
        <w:t>excluding</w:t>
      </w:r>
      <w:r>
        <w:rPr>
          <w:spacing w:val="-3"/>
          <w:sz w:val="24"/>
        </w:rPr>
        <w:t> </w:t>
      </w:r>
      <w:r>
        <w:rPr>
          <w:sz w:val="24"/>
        </w:rPr>
        <w:t>area</w:t>
      </w:r>
      <w:r>
        <w:rPr>
          <w:spacing w:val="-3"/>
          <w:sz w:val="24"/>
        </w:rPr>
        <w:t> </w:t>
      </w:r>
      <w:r>
        <w:rPr>
          <w:sz w:val="24"/>
        </w:rPr>
        <w:t>under</w:t>
      </w:r>
      <w:r>
        <w:rPr>
          <w:spacing w:val="-3"/>
          <w:sz w:val="24"/>
        </w:rPr>
        <w:t> </w:t>
      </w:r>
      <w:r>
        <w:rPr>
          <w:sz w:val="24"/>
        </w:rPr>
        <w:t>DP roads/roads for which sanctioned Regular line as per MMC Act is prescribed, as per regulation 16,14 (amenity plots),</w:t>
      </w:r>
      <w:r>
        <w:rPr>
          <w:spacing w:val="40"/>
          <w:sz w:val="24"/>
        </w:rPr>
        <w:t> </w:t>
      </w:r>
      <w:r>
        <w:rPr>
          <w:sz w:val="24"/>
        </w:rPr>
        <w:t>and</w:t>
      </w:r>
      <w:r>
        <w:rPr>
          <w:spacing w:val="40"/>
          <w:sz w:val="24"/>
        </w:rPr>
        <w:t> </w:t>
      </w:r>
      <w:r>
        <w:rPr>
          <w:sz w:val="24"/>
        </w:rPr>
        <w:t>area of DP Reservation</w:t>
      </w:r>
      <w:r>
        <w:rPr>
          <w:spacing w:val="40"/>
          <w:sz w:val="24"/>
        </w:rPr>
        <w:t> </w:t>
      </w:r>
      <w:r>
        <w:rPr>
          <w:sz w:val="24"/>
        </w:rPr>
        <w:t>to be surrendered to MCGM/Appropriate Authority under Regulation no 17</w:t>
      </w:r>
    </w:p>
    <w:p>
      <w:pPr>
        <w:pStyle w:val="ListParagraph"/>
        <w:numPr>
          <w:ilvl w:val="1"/>
          <w:numId w:val="110"/>
        </w:numPr>
        <w:tabs>
          <w:tab w:pos="1872" w:val="left" w:leader="none"/>
        </w:tabs>
        <w:spacing w:line="240" w:lineRule="auto" w:before="240" w:after="0"/>
        <w:ind w:left="1872" w:right="0" w:hanging="439"/>
        <w:jc w:val="left"/>
        <w:rPr>
          <w:sz w:val="24"/>
        </w:rPr>
      </w:pPr>
      <w:r>
        <w:rPr>
          <w:sz w:val="24"/>
        </w:rPr>
        <w:t>In case of</w:t>
      </w:r>
      <w:r>
        <w:rPr>
          <w:spacing w:val="1"/>
          <w:sz w:val="24"/>
        </w:rPr>
        <w:t> </w:t>
      </w:r>
      <w:r>
        <w:rPr>
          <w:sz w:val="24"/>
        </w:rPr>
        <w:t>Sr. No. 2</w:t>
      </w:r>
      <w:r>
        <w:rPr>
          <w:spacing w:val="1"/>
          <w:sz w:val="24"/>
        </w:rPr>
        <w:t> </w:t>
      </w:r>
      <w:r>
        <w:rPr>
          <w:spacing w:val="-2"/>
          <w:sz w:val="24"/>
        </w:rPr>
        <w:t>above;</w:t>
      </w:r>
    </w:p>
    <w:p>
      <w:pPr>
        <w:pStyle w:val="ListParagraph"/>
        <w:numPr>
          <w:ilvl w:val="2"/>
          <w:numId w:val="110"/>
        </w:numPr>
        <w:tabs>
          <w:tab w:pos="1872" w:val="left" w:leader="none"/>
          <w:tab w:pos="2100" w:val="left" w:leader="none"/>
        </w:tabs>
        <w:spacing w:line="240" w:lineRule="auto" w:before="242" w:after="0"/>
        <w:ind w:left="1872" w:right="768" w:hanging="440"/>
        <w:jc w:val="both"/>
        <w:rPr>
          <w:sz w:val="24"/>
        </w:rPr>
      </w:pPr>
      <w:r>
        <w:rPr>
          <w:sz w:val="24"/>
        </w:rPr>
        <w:tab/>
        <w:t>TDR</w:t>
      </w:r>
      <w:r>
        <w:rPr>
          <w:spacing w:val="80"/>
          <w:sz w:val="24"/>
        </w:rPr>
        <w:t> </w:t>
      </w:r>
      <w:r>
        <w:rPr>
          <w:sz w:val="24"/>
        </w:rPr>
        <w:t>as per regulation 32 Table 12(A) of land surrendered to MCGM/Appropriate</w:t>
      </w:r>
      <w:r>
        <w:rPr>
          <w:spacing w:val="-6"/>
          <w:sz w:val="24"/>
        </w:rPr>
        <w:t> </w:t>
      </w:r>
      <w:r>
        <w:rPr>
          <w:sz w:val="24"/>
        </w:rPr>
        <w:t>Authority</w:t>
      </w:r>
      <w:r>
        <w:rPr>
          <w:spacing w:val="40"/>
          <w:sz w:val="24"/>
        </w:rPr>
        <w:t> </w:t>
      </w:r>
      <w:r>
        <w:rPr>
          <w:sz w:val="24"/>
        </w:rPr>
        <w:t>as</w:t>
      </w:r>
      <w:r>
        <w:rPr>
          <w:spacing w:val="-6"/>
          <w:sz w:val="24"/>
        </w:rPr>
        <w:t> </w:t>
      </w:r>
      <w:r>
        <w:rPr>
          <w:sz w:val="24"/>
        </w:rPr>
        <w:t>per</w:t>
      </w:r>
      <w:r>
        <w:rPr>
          <w:spacing w:val="-8"/>
          <w:sz w:val="24"/>
        </w:rPr>
        <w:t> </w:t>
      </w:r>
      <w:r>
        <w:rPr>
          <w:sz w:val="24"/>
        </w:rPr>
        <w:t>Sr.</w:t>
      </w:r>
      <w:r>
        <w:rPr>
          <w:spacing w:val="-8"/>
          <w:sz w:val="24"/>
        </w:rPr>
        <w:t> </w:t>
      </w:r>
      <w:r>
        <w:rPr>
          <w:sz w:val="24"/>
        </w:rPr>
        <w:t>No.</w:t>
      </w:r>
      <w:r>
        <w:rPr>
          <w:spacing w:val="-6"/>
          <w:sz w:val="24"/>
        </w:rPr>
        <w:t> </w:t>
      </w:r>
      <w:r>
        <w:rPr>
          <w:sz w:val="24"/>
        </w:rPr>
        <w:t>2</w:t>
      </w:r>
      <w:r>
        <w:rPr>
          <w:spacing w:val="-6"/>
          <w:sz w:val="24"/>
        </w:rPr>
        <w:t> </w:t>
      </w:r>
      <w:r>
        <w:rPr>
          <w:sz w:val="24"/>
        </w:rPr>
        <w:t>above</w:t>
      </w:r>
      <w:r>
        <w:rPr>
          <w:spacing w:val="-8"/>
          <w:sz w:val="24"/>
        </w:rPr>
        <w:t> </w:t>
      </w:r>
      <w:r>
        <w:rPr>
          <w:sz w:val="24"/>
        </w:rPr>
        <w:t>may</w:t>
      </w:r>
      <w:r>
        <w:rPr>
          <w:spacing w:val="80"/>
          <w:sz w:val="24"/>
        </w:rPr>
        <w:t> </w:t>
      </w:r>
      <w:r>
        <w:rPr>
          <w:sz w:val="24"/>
        </w:rPr>
        <w:t>be</w:t>
      </w:r>
      <w:r>
        <w:rPr>
          <w:spacing w:val="-6"/>
          <w:sz w:val="24"/>
        </w:rPr>
        <w:t> </w:t>
      </w:r>
      <w:r>
        <w:rPr>
          <w:sz w:val="24"/>
        </w:rPr>
        <w:t>allowed</w:t>
      </w:r>
      <w:r>
        <w:rPr>
          <w:spacing w:val="-6"/>
          <w:sz w:val="24"/>
        </w:rPr>
        <w:t> </w:t>
      </w:r>
      <w:r>
        <w:rPr>
          <w:sz w:val="24"/>
        </w:rPr>
        <w:t>to be</w:t>
      </w:r>
      <w:r>
        <w:rPr>
          <w:spacing w:val="-12"/>
          <w:sz w:val="24"/>
        </w:rPr>
        <w:t> </w:t>
      </w:r>
      <w:r>
        <w:rPr>
          <w:sz w:val="24"/>
        </w:rPr>
        <w:t>consumed</w:t>
      </w:r>
      <w:r>
        <w:rPr>
          <w:spacing w:val="55"/>
          <w:sz w:val="24"/>
        </w:rPr>
        <w:t> </w:t>
      </w:r>
      <w:r>
        <w:rPr>
          <w:sz w:val="24"/>
        </w:rPr>
        <w:t>in</w:t>
      </w:r>
      <w:r>
        <w:rPr>
          <w:spacing w:val="-11"/>
          <w:sz w:val="24"/>
        </w:rPr>
        <w:t> </w:t>
      </w:r>
      <w:r>
        <w:rPr>
          <w:sz w:val="24"/>
        </w:rPr>
        <w:t>the</w:t>
      </w:r>
      <w:r>
        <w:rPr>
          <w:spacing w:val="-13"/>
          <w:sz w:val="24"/>
        </w:rPr>
        <w:t> </w:t>
      </w:r>
      <w:r>
        <w:rPr>
          <w:sz w:val="24"/>
        </w:rPr>
        <w:t>form</w:t>
      </w:r>
      <w:r>
        <w:rPr>
          <w:spacing w:val="-11"/>
          <w:sz w:val="24"/>
        </w:rPr>
        <w:t> </w:t>
      </w:r>
      <w:r>
        <w:rPr>
          <w:sz w:val="24"/>
        </w:rPr>
        <w:t>of</w:t>
      </w:r>
      <w:r>
        <w:rPr>
          <w:spacing w:val="-11"/>
          <w:sz w:val="24"/>
        </w:rPr>
        <w:t> </w:t>
      </w:r>
      <w:r>
        <w:rPr>
          <w:sz w:val="24"/>
        </w:rPr>
        <w:t>FSI</w:t>
      </w:r>
      <w:r>
        <w:rPr>
          <w:spacing w:val="-11"/>
          <w:sz w:val="24"/>
        </w:rPr>
        <w:t> </w:t>
      </w:r>
      <w:r>
        <w:rPr>
          <w:sz w:val="24"/>
        </w:rPr>
        <w:t>as</w:t>
      </w:r>
      <w:r>
        <w:rPr>
          <w:spacing w:val="-11"/>
          <w:sz w:val="24"/>
        </w:rPr>
        <w:t> </w:t>
      </w:r>
      <w:r>
        <w:rPr>
          <w:sz w:val="24"/>
        </w:rPr>
        <w:t>per</w:t>
      </w:r>
      <w:r>
        <w:rPr>
          <w:spacing w:val="-11"/>
          <w:sz w:val="24"/>
        </w:rPr>
        <w:t> </w:t>
      </w:r>
      <w:r>
        <w:rPr>
          <w:sz w:val="24"/>
        </w:rPr>
        <w:t>column</w:t>
      </w:r>
      <w:r>
        <w:rPr>
          <w:spacing w:val="-11"/>
          <w:sz w:val="24"/>
        </w:rPr>
        <w:t> </w:t>
      </w:r>
      <w:r>
        <w:rPr>
          <w:sz w:val="24"/>
        </w:rPr>
        <w:t>no</w:t>
      </w:r>
      <w:r>
        <w:rPr>
          <w:spacing w:val="-11"/>
          <w:sz w:val="24"/>
        </w:rPr>
        <w:t> </w:t>
      </w:r>
      <w:r>
        <w:rPr>
          <w:sz w:val="24"/>
        </w:rPr>
        <w:t>6</w:t>
      </w:r>
      <w:r>
        <w:rPr>
          <w:spacing w:val="-11"/>
          <w:sz w:val="24"/>
        </w:rPr>
        <w:t> </w:t>
      </w:r>
      <w:r>
        <w:rPr>
          <w:sz w:val="24"/>
        </w:rPr>
        <w:t>of</w:t>
      </w:r>
      <w:r>
        <w:rPr>
          <w:spacing w:val="-11"/>
          <w:sz w:val="24"/>
        </w:rPr>
        <w:t> </w:t>
      </w:r>
      <w:r>
        <w:rPr>
          <w:sz w:val="24"/>
        </w:rPr>
        <w:t>table</w:t>
      </w:r>
      <w:r>
        <w:rPr>
          <w:spacing w:val="-11"/>
          <w:sz w:val="24"/>
        </w:rPr>
        <w:t> </w:t>
      </w:r>
      <w:r>
        <w:rPr>
          <w:sz w:val="24"/>
        </w:rPr>
        <w:t>No.</w:t>
      </w:r>
      <w:r>
        <w:rPr>
          <w:spacing w:val="-11"/>
          <w:sz w:val="24"/>
        </w:rPr>
        <w:t> </w:t>
      </w:r>
      <w:r>
        <w:rPr>
          <w:sz w:val="24"/>
        </w:rPr>
        <w:t>12</w:t>
      </w:r>
      <w:r>
        <w:rPr>
          <w:spacing w:val="55"/>
          <w:sz w:val="24"/>
        </w:rPr>
        <w:t> </w:t>
      </w:r>
      <w:r>
        <w:rPr>
          <w:spacing w:val="-2"/>
          <w:sz w:val="24"/>
        </w:rPr>
        <w:t>above</w:t>
      </w:r>
    </w:p>
    <w:p>
      <w:pPr>
        <w:pStyle w:val="BodyText"/>
        <w:ind w:left="1872" w:right="771"/>
      </w:pPr>
      <w:r>
        <w:rPr/>
        <w:t>)</w:t>
      </w:r>
      <w:r>
        <w:rPr>
          <w:spacing w:val="-20"/>
        </w:rPr>
        <w:t> </w:t>
      </w:r>
      <w:r>
        <w:rPr/>
        <w:t>on</w:t>
      </w:r>
      <w:r>
        <w:rPr>
          <w:spacing w:val="-19"/>
        </w:rPr>
        <w:t> </w:t>
      </w:r>
      <w:r>
        <w:rPr/>
        <w:t>the</w:t>
      </w:r>
      <w:r>
        <w:rPr>
          <w:spacing w:val="-19"/>
        </w:rPr>
        <w:t> </w:t>
      </w:r>
      <w:r>
        <w:rPr/>
        <w:t>remainder/balance</w:t>
      </w:r>
      <w:r>
        <w:rPr>
          <w:spacing w:val="-19"/>
        </w:rPr>
        <w:t> </w:t>
      </w:r>
      <w:r>
        <w:rPr/>
        <w:t>plot</w:t>
      </w:r>
      <w:r>
        <w:rPr>
          <w:spacing w:val="-19"/>
        </w:rPr>
        <w:t> </w:t>
      </w:r>
      <w:r>
        <w:rPr/>
        <w:t>within</w:t>
      </w:r>
      <w:r>
        <w:rPr>
          <w:spacing w:val="-20"/>
        </w:rPr>
        <w:t> </w:t>
      </w:r>
      <w:r>
        <w:rPr/>
        <w:t>the</w:t>
      </w:r>
      <w:r>
        <w:rPr>
          <w:spacing w:val="37"/>
        </w:rPr>
        <w:t> </w:t>
      </w:r>
      <w:r>
        <w:rPr/>
        <w:t>admissible</w:t>
      </w:r>
      <w:r>
        <w:rPr>
          <w:spacing w:val="-20"/>
        </w:rPr>
        <w:t> </w:t>
      </w:r>
      <w:r>
        <w:rPr/>
        <w:t>limit</w:t>
      </w:r>
      <w:r>
        <w:rPr>
          <w:spacing w:val="-19"/>
        </w:rPr>
        <w:t> </w:t>
      </w:r>
      <w:r>
        <w:rPr/>
        <w:t>of</w:t>
      </w:r>
      <w:r>
        <w:rPr>
          <w:spacing w:val="-17"/>
        </w:rPr>
        <w:t> </w:t>
      </w:r>
      <w:r>
        <w:rPr/>
        <w:t>TDR</w:t>
      </w:r>
      <w:r>
        <w:rPr>
          <w:spacing w:val="-18"/>
        </w:rPr>
        <w:t> </w:t>
      </w:r>
      <w:r>
        <w:rPr/>
        <w:t>except in case of development of reserved area under the principle of Accommodation Reservation (AR) under regulation 17. In case of development of reserved area under AR the Note 20(vii) &amp; (viii) of regulation 17(1) shall be made applicable.</w:t>
      </w:r>
    </w:p>
    <w:p>
      <w:pPr>
        <w:pStyle w:val="BodyText"/>
        <w:spacing w:before="240"/>
        <w:ind w:left="1906" w:right="772"/>
      </w:pPr>
      <w:r>
        <w:rPr/>
        <w:t>Provided further that FSI equivalent to TDR as per Table 12 A of Regulation</w:t>
      </w:r>
      <w:r>
        <w:rPr>
          <w:spacing w:val="-6"/>
        </w:rPr>
        <w:t> </w:t>
      </w:r>
      <w:r>
        <w:rPr/>
        <w:t>32,</w:t>
      </w:r>
      <w:r>
        <w:rPr>
          <w:spacing w:val="-6"/>
        </w:rPr>
        <w:t> </w:t>
      </w:r>
      <w:r>
        <w:rPr/>
        <w:t>in</w:t>
      </w:r>
      <w:r>
        <w:rPr>
          <w:spacing w:val="-6"/>
        </w:rPr>
        <w:t> </w:t>
      </w:r>
      <w:r>
        <w:rPr/>
        <w:t>lieu</w:t>
      </w:r>
      <w:r>
        <w:rPr>
          <w:spacing w:val="-6"/>
        </w:rPr>
        <w:t> </w:t>
      </w:r>
      <w:r>
        <w:rPr/>
        <w:t>of</w:t>
      </w:r>
      <w:r>
        <w:rPr>
          <w:spacing w:val="-6"/>
        </w:rPr>
        <w:t> </w:t>
      </w:r>
      <w:r>
        <w:rPr/>
        <w:t>road</w:t>
      </w:r>
      <w:r>
        <w:rPr>
          <w:spacing w:val="-6"/>
        </w:rPr>
        <w:t> </w:t>
      </w:r>
      <w:r>
        <w:rPr/>
        <w:t>widening</w:t>
      </w:r>
      <w:r>
        <w:rPr>
          <w:spacing w:val="-6"/>
        </w:rPr>
        <w:t> </w:t>
      </w:r>
      <w:r>
        <w:rPr/>
        <w:t>or</w:t>
      </w:r>
      <w:r>
        <w:rPr>
          <w:spacing w:val="-6"/>
        </w:rPr>
        <w:t> </w:t>
      </w:r>
      <w:r>
        <w:rPr/>
        <w:t>roads</w:t>
      </w:r>
      <w:r>
        <w:rPr>
          <w:spacing w:val="-6"/>
        </w:rPr>
        <w:t> </w:t>
      </w:r>
      <w:r>
        <w:rPr/>
        <w:t>proposed</w:t>
      </w:r>
      <w:r>
        <w:rPr>
          <w:spacing w:val="-6"/>
        </w:rPr>
        <w:t> </w:t>
      </w:r>
      <w:r>
        <w:rPr/>
        <w:t>under</w:t>
      </w:r>
      <w:r>
        <w:rPr>
          <w:spacing w:val="-6"/>
        </w:rPr>
        <w:t> </w:t>
      </w:r>
      <w:r>
        <w:rPr/>
        <w:t>the</w:t>
      </w:r>
      <w:r>
        <w:rPr>
          <w:spacing w:val="-6"/>
        </w:rPr>
        <w:t> </w:t>
      </w:r>
      <w:r>
        <w:rPr/>
        <w:t>D.P. or</w:t>
      </w:r>
      <w:r>
        <w:rPr>
          <w:spacing w:val="-7"/>
        </w:rPr>
        <w:t> </w:t>
      </w:r>
      <w:r>
        <w:rPr/>
        <w:t>the</w:t>
      </w:r>
      <w:r>
        <w:rPr>
          <w:spacing w:val="-7"/>
        </w:rPr>
        <w:t> </w:t>
      </w:r>
      <w:r>
        <w:rPr/>
        <w:t>MMC</w:t>
      </w:r>
      <w:r>
        <w:rPr>
          <w:spacing w:val="-7"/>
        </w:rPr>
        <w:t> </w:t>
      </w:r>
      <w:r>
        <w:rPr/>
        <w:t>Act,</w:t>
      </w:r>
      <w:r>
        <w:rPr>
          <w:spacing w:val="-7"/>
        </w:rPr>
        <w:t> </w:t>
      </w:r>
      <w:r>
        <w:rPr/>
        <w:t>1888</w:t>
      </w:r>
      <w:r>
        <w:rPr>
          <w:spacing w:val="-7"/>
        </w:rPr>
        <w:t> </w:t>
      </w:r>
      <w:r>
        <w:rPr/>
        <w:t>as</w:t>
      </w:r>
      <w:r>
        <w:rPr>
          <w:spacing w:val="-7"/>
        </w:rPr>
        <w:t> </w:t>
      </w:r>
      <w:r>
        <w:rPr/>
        <w:t>per</w:t>
      </w:r>
      <w:r>
        <w:rPr>
          <w:spacing w:val="-7"/>
        </w:rPr>
        <w:t> </w:t>
      </w:r>
      <w:r>
        <w:rPr/>
        <w:t>Regulation</w:t>
      </w:r>
      <w:r>
        <w:rPr>
          <w:spacing w:val="-5"/>
        </w:rPr>
        <w:t> </w:t>
      </w:r>
      <w:r>
        <w:rPr/>
        <w:t>16</w:t>
      </w:r>
      <w:r>
        <w:rPr>
          <w:spacing w:val="-7"/>
        </w:rPr>
        <w:t> </w:t>
      </w:r>
      <w:r>
        <w:rPr/>
        <w:t>may</w:t>
      </w:r>
      <w:r>
        <w:rPr>
          <w:spacing w:val="-7"/>
        </w:rPr>
        <w:t> </w:t>
      </w:r>
      <w:r>
        <w:rPr/>
        <w:t>be</w:t>
      </w:r>
      <w:r>
        <w:rPr>
          <w:spacing w:val="-7"/>
        </w:rPr>
        <w:t> </w:t>
      </w:r>
      <w:r>
        <w:rPr/>
        <w:t>allowed</w:t>
      </w:r>
      <w:r>
        <w:rPr>
          <w:spacing w:val="-7"/>
        </w:rPr>
        <w:t> </w:t>
      </w:r>
      <w:r>
        <w:rPr/>
        <w:t>to</w:t>
      </w:r>
      <w:r>
        <w:rPr>
          <w:spacing w:val="-7"/>
        </w:rPr>
        <w:t> </w:t>
      </w:r>
      <w:r>
        <w:rPr/>
        <w:t>be</w:t>
      </w:r>
      <w:r>
        <w:rPr>
          <w:spacing w:val="-7"/>
        </w:rPr>
        <w:t> </w:t>
      </w:r>
      <w:r>
        <w:rPr/>
        <w:t>utilized over and above the permissible FSI as per column 7 of table 12, on remainder plot.</w:t>
      </w:r>
    </w:p>
    <w:p>
      <w:pPr>
        <w:pStyle w:val="BodyText"/>
        <w:jc w:val="left"/>
      </w:pPr>
    </w:p>
    <w:p>
      <w:pPr>
        <w:pStyle w:val="BodyText"/>
        <w:spacing w:before="54"/>
        <w:jc w:val="left"/>
      </w:pPr>
    </w:p>
    <w:p>
      <w:pPr>
        <w:pStyle w:val="ListParagraph"/>
        <w:numPr>
          <w:ilvl w:val="2"/>
          <w:numId w:val="110"/>
        </w:numPr>
        <w:tabs>
          <w:tab w:pos="1806" w:val="left" w:leader="none"/>
          <w:tab w:pos="1872" w:val="left" w:leader="none"/>
        </w:tabs>
        <w:spacing w:line="240" w:lineRule="auto" w:before="0" w:after="0"/>
        <w:ind w:left="1872" w:right="771" w:hanging="363"/>
        <w:jc w:val="both"/>
        <w:rPr>
          <w:sz w:val="24"/>
        </w:rPr>
      </w:pPr>
      <w:r>
        <w:rPr>
          <w:sz w:val="24"/>
        </w:rPr>
        <w:t>TDR</w:t>
      </w:r>
      <w:r>
        <w:rPr>
          <w:spacing w:val="40"/>
          <w:sz w:val="24"/>
        </w:rPr>
        <w:t> </w:t>
      </w:r>
      <w:r>
        <w:rPr>
          <w:sz w:val="24"/>
        </w:rPr>
        <w:t>in lieu</w:t>
      </w:r>
      <w:r>
        <w:rPr>
          <w:spacing w:val="-2"/>
          <w:sz w:val="24"/>
        </w:rPr>
        <w:t> </w:t>
      </w:r>
      <w:r>
        <w:rPr>
          <w:sz w:val="24"/>
        </w:rPr>
        <w:t>of cost</w:t>
      </w:r>
      <w:r>
        <w:rPr>
          <w:spacing w:val="-2"/>
          <w:sz w:val="24"/>
        </w:rPr>
        <w:t> </w:t>
      </w:r>
      <w:r>
        <w:rPr>
          <w:sz w:val="24"/>
        </w:rPr>
        <w:t>of</w:t>
      </w:r>
      <w:r>
        <w:rPr>
          <w:spacing w:val="-2"/>
          <w:sz w:val="24"/>
        </w:rPr>
        <w:t> </w:t>
      </w:r>
      <w:r>
        <w:rPr>
          <w:sz w:val="24"/>
        </w:rPr>
        <w:t>construction</w:t>
      </w:r>
      <w:r>
        <w:rPr>
          <w:spacing w:val="-2"/>
          <w:sz w:val="24"/>
        </w:rPr>
        <w:t> </w:t>
      </w:r>
      <w:r>
        <w:rPr>
          <w:sz w:val="24"/>
        </w:rPr>
        <w:t>of built</w:t>
      </w:r>
      <w:r>
        <w:rPr>
          <w:spacing w:val="-2"/>
          <w:sz w:val="24"/>
        </w:rPr>
        <w:t> </w:t>
      </w:r>
      <w:r>
        <w:rPr>
          <w:sz w:val="24"/>
        </w:rPr>
        <w:t>up</w:t>
      </w:r>
      <w:r>
        <w:rPr>
          <w:spacing w:val="-2"/>
          <w:sz w:val="24"/>
        </w:rPr>
        <w:t> </w:t>
      </w:r>
      <w:r>
        <w:rPr>
          <w:sz w:val="24"/>
        </w:rPr>
        <w:t>amenity</w:t>
      </w:r>
      <w:r>
        <w:rPr>
          <w:spacing w:val="-2"/>
          <w:sz w:val="24"/>
        </w:rPr>
        <w:t> </w:t>
      </w:r>
      <w:r>
        <w:rPr>
          <w:sz w:val="24"/>
        </w:rPr>
        <w:t>to be</w:t>
      </w:r>
      <w:r>
        <w:rPr>
          <w:spacing w:val="-2"/>
          <w:sz w:val="24"/>
        </w:rPr>
        <w:t> </w:t>
      </w:r>
      <w:r>
        <w:rPr>
          <w:sz w:val="24"/>
        </w:rPr>
        <w:t>handed</w:t>
      </w:r>
      <w:r>
        <w:rPr>
          <w:spacing w:val="-2"/>
          <w:sz w:val="24"/>
        </w:rPr>
        <w:t> </w:t>
      </w:r>
      <w:r>
        <w:rPr>
          <w:sz w:val="24"/>
        </w:rPr>
        <w:t>over as</w:t>
      </w:r>
      <w:r>
        <w:rPr>
          <w:spacing w:val="-18"/>
          <w:sz w:val="24"/>
        </w:rPr>
        <w:t> </w:t>
      </w:r>
      <w:r>
        <w:rPr>
          <w:sz w:val="24"/>
        </w:rPr>
        <w:t>per</w:t>
      </w:r>
      <w:r>
        <w:rPr>
          <w:spacing w:val="-18"/>
          <w:sz w:val="24"/>
        </w:rPr>
        <w:t> </w:t>
      </w:r>
      <w:r>
        <w:rPr>
          <w:sz w:val="24"/>
        </w:rPr>
        <w:t>the</w:t>
      </w:r>
      <w:r>
        <w:rPr>
          <w:spacing w:val="-18"/>
          <w:sz w:val="24"/>
        </w:rPr>
        <w:t> </w:t>
      </w:r>
      <w:r>
        <w:rPr>
          <w:sz w:val="24"/>
        </w:rPr>
        <w:t>provisions</w:t>
      </w:r>
      <w:r>
        <w:rPr>
          <w:spacing w:val="-18"/>
          <w:sz w:val="24"/>
        </w:rPr>
        <w:t> </w:t>
      </w:r>
      <w:r>
        <w:rPr>
          <w:sz w:val="24"/>
        </w:rPr>
        <w:t>of</w:t>
      </w:r>
      <w:r>
        <w:rPr>
          <w:spacing w:val="-17"/>
          <w:sz w:val="24"/>
        </w:rPr>
        <w:t> </w:t>
      </w:r>
      <w:r>
        <w:rPr>
          <w:sz w:val="24"/>
        </w:rPr>
        <w:t>Regulation</w:t>
      </w:r>
      <w:r>
        <w:rPr>
          <w:spacing w:val="-18"/>
          <w:sz w:val="24"/>
        </w:rPr>
        <w:t> </w:t>
      </w:r>
      <w:r>
        <w:rPr>
          <w:sz w:val="24"/>
        </w:rPr>
        <w:t>number</w:t>
      </w:r>
      <w:r>
        <w:rPr>
          <w:spacing w:val="-18"/>
          <w:sz w:val="24"/>
        </w:rPr>
        <w:t> </w:t>
      </w:r>
      <w:r>
        <w:rPr>
          <w:sz w:val="24"/>
        </w:rPr>
        <w:t>17(1)</w:t>
      </w:r>
      <w:r>
        <w:rPr>
          <w:spacing w:val="-18"/>
          <w:sz w:val="24"/>
        </w:rPr>
        <w:t> </w:t>
      </w:r>
      <w:r>
        <w:rPr>
          <w:sz w:val="24"/>
        </w:rPr>
        <w:t>note</w:t>
      </w:r>
      <w:r>
        <w:rPr>
          <w:spacing w:val="-18"/>
          <w:sz w:val="24"/>
        </w:rPr>
        <w:t> </w:t>
      </w:r>
      <w:r>
        <w:rPr>
          <w:sz w:val="24"/>
        </w:rPr>
        <w:t>1(d)</w:t>
      </w:r>
      <w:r>
        <w:rPr>
          <w:spacing w:val="80"/>
          <w:sz w:val="24"/>
        </w:rPr>
        <w:t> </w:t>
      </w:r>
      <w:r>
        <w:rPr>
          <w:sz w:val="24"/>
        </w:rPr>
        <w:t>for</w:t>
      </w:r>
      <w:r>
        <w:rPr>
          <w:spacing w:val="-18"/>
          <w:sz w:val="24"/>
        </w:rPr>
        <w:t> </w:t>
      </w:r>
      <w:r>
        <w:rPr>
          <w:sz w:val="24"/>
        </w:rPr>
        <w:t>Regulation 14, 15 &amp; 17 shall be permissible</w:t>
      </w:r>
      <w:r>
        <w:rPr>
          <w:spacing w:val="40"/>
          <w:sz w:val="24"/>
        </w:rPr>
        <w:t> </w:t>
      </w:r>
      <w:r>
        <w:rPr>
          <w:sz w:val="24"/>
        </w:rPr>
        <w:t>within permissible BUA or owner may avail</w:t>
      </w:r>
      <w:r>
        <w:rPr>
          <w:spacing w:val="-17"/>
          <w:sz w:val="24"/>
        </w:rPr>
        <w:t> </w:t>
      </w:r>
      <w:r>
        <w:rPr>
          <w:sz w:val="24"/>
        </w:rPr>
        <w:t>the</w:t>
      </w:r>
      <w:r>
        <w:rPr>
          <w:spacing w:val="-14"/>
          <w:sz w:val="24"/>
        </w:rPr>
        <w:t> </w:t>
      </w:r>
      <w:r>
        <w:rPr>
          <w:sz w:val="24"/>
        </w:rPr>
        <w:t>TDR</w:t>
      </w:r>
      <w:r>
        <w:rPr>
          <w:spacing w:val="-16"/>
          <w:sz w:val="24"/>
        </w:rPr>
        <w:t> </w:t>
      </w:r>
      <w:r>
        <w:rPr>
          <w:sz w:val="24"/>
        </w:rPr>
        <w:t>thereof</w:t>
      </w:r>
      <w:r>
        <w:rPr>
          <w:spacing w:val="-15"/>
          <w:sz w:val="24"/>
        </w:rPr>
        <w:t> </w:t>
      </w:r>
      <w:r>
        <w:rPr>
          <w:sz w:val="24"/>
        </w:rPr>
        <w:t>if</w:t>
      </w:r>
      <w:r>
        <w:rPr>
          <w:spacing w:val="-17"/>
          <w:sz w:val="24"/>
        </w:rPr>
        <w:t> </w:t>
      </w:r>
      <w:r>
        <w:rPr>
          <w:sz w:val="24"/>
        </w:rPr>
        <w:t>not</w:t>
      </w:r>
      <w:r>
        <w:rPr>
          <w:spacing w:val="-17"/>
          <w:sz w:val="24"/>
        </w:rPr>
        <w:t> </w:t>
      </w:r>
      <w:r>
        <w:rPr>
          <w:sz w:val="24"/>
        </w:rPr>
        <w:t>consumed</w:t>
      </w:r>
      <w:r>
        <w:rPr>
          <w:spacing w:val="-15"/>
          <w:sz w:val="24"/>
        </w:rPr>
        <w:t> </w:t>
      </w:r>
      <w:r>
        <w:rPr>
          <w:sz w:val="24"/>
        </w:rPr>
        <w:t>on</w:t>
      </w:r>
      <w:r>
        <w:rPr>
          <w:spacing w:val="-17"/>
          <w:sz w:val="24"/>
        </w:rPr>
        <w:t> </w:t>
      </w:r>
      <w:r>
        <w:rPr>
          <w:sz w:val="24"/>
        </w:rPr>
        <w:t>the</w:t>
      </w:r>
      <w:r>
        <w:rPr>
          <w:spacing w:val="-17"/>
          <w:sz w:val="24"/>
        </w:rPr>
        <w:t> </w:t>
      </w:r>
      <w:r>
        <w:rPr>
          <w:sz w:val="24"/>
        </w:rPr>
        <w:t>remainder</w:t>
      </w:r>
      <w:r>
        <w:rPr>
          <w:spacing w:val="-17"/>
          <w:sz w:val="24"/>
        </w:rPr>
        <w:t> </w:t>
      </w:r>
      <w:r>
        <w:rPr>
          <w:sz w:val="24"/>
        </w:rPr>
        <w:t>land</w:t>
      </w:r>
      <w:r>
        <w:rPr>
          <w:spacing w:val="40"/>
          <w:sz w:val="24"/>
        </w:rPr>
        <w:t> </w:t>
      </w:r>
      <w:r>
        <w:rPr>
          <w:sz w:val="24"/>
        </w:rPr>
        <w:t>as</w:t>
      </w:r>
      <w:r>
        <w:rPr>
          <w:spacing w:val="-12"/>
          <w:sz w:val="24"/>
        </w:rPr>
        <w:t> </w:t>
      </w:r>
      <w:r>
        <w:rPr>
          <w:sz w:val="24"/>
        </w:rPr>
        <w:t>per</w:t>
      </w:r>
      <w:r>
        <w:rPr>
          <w:spacing w:val="-17"/>
          <w:sz w:val="24"/>
        </w:rPr>
        <w:t> </w:t>
      </w:r>
      <w:r>
        <w:rPr>
          <w:sz w:val="24"/>
        </w:rPr>
        <w:t>these </w:t>
      </w:r>
      <w:r>
        <w:rPr>
          <w:spacing w:val="-2"/>
          <w:sz w:val="24"/>
        </w:rPr>
        <w:t>Regulations.</w:t>
      </w:r>
    </w:p>
    <w:p>
      <w:pPr>
        <w:pStyle w:val="ListParagraph"/>
        <w:numPr>
          <w:ilvl w:val="2"/>
          <w:numId w:val="110"/>
        </w:numPr>
        <w:tabs>
          <w:tab w:pos="1872" w:val="left" w:leader="none"/>
        </w:tabs>
        <w:spacing w:line="240" w:lineRule="auto" w:before="240" w:after="0"/>
        <w:ind w:left="1872" w:right="768" w:hanging="363"/>
        <w:jc w:val="both"/>
        <w:rPr>
          <w:sz w:val="24"/>
        </w:rPr>
      </w:pPr>
      <w:r>
        <w:rPr>
          <w:sz w:val="24"/>
        </w:rPr>
        <w:t>If owner/developer is unable to consume even Zonal (basic) FSI due to planning constraints, he shall be entitled for TDR for the unconsumed BUA thereof including a &amp; c above. (Kept in abeyance)</w:t>
      </w:r>
    </w:p>
    <w:p>
      <w:pPr>
        <w:pStyle w:val="BodyText"/>
        <w:spacing w:before="240"/>
        <w:ind w:left="1872" w:right="774"/>
      </w:pPr>
      <w:r>
        <w:rPr/>
        <w:t>In such cases, no additional FSI on payment of premium/TDR shall be allowed to be utilized on remainder /balance plot.</w:t>
      </w:r>
    </w:p>
    <w:p>
      <w:pPr>
        <w:pStyle w:val="BodyText"/>
        <w:spacing w:before="241"/>
        <w:ind w:left="1872" w:right="769"/>
      </w:pPr>
      <w:r>
        <w:rPr/>
        <w:t>The permissible FSI shall be on plot area including areas to be surrendered to MCGM/Appropriate Authority under Regulation no.35 (development of cotton textile mills)</w:t>
      </w:r>
      <w:r>
        <w:rPr>
          <w:b/>
        </w:rPr>
        <w:t>.(</w:t>
      </w:r>
      <w:r>
        <w:rPr/>
        <w:t>Kept in abeyance)</w:t>
      </w:r>
    </w:p>
    <w:p>
      <w:pPr>
        <w:pStyle w:val="ListParagraph"/>
        <w:numPr>
          <w:ilvl w:val="0"/>
          <w:numId w:val="111"/>
        </w:numPr>
        <w:tabs>
          <w:tab w:pos="1870" w:val="left" w:leader="none"/>
          <w:tab w:pos="1872" w:val="left" w:leader="none"/>
        </w:tabs>
        <w:spacing w:line="240" w:lineRule="auto" w:before="240" w:after="0"/>
        <w:ind w:left="1872" w:right="770" w:hanging="440"/>
        <w:jc w:val="both"/>
        <w:rPr>
          <w:sz w:val="24"/>
        </w:rPr>
      </w:pPr>
      <w:r>
        <w:rPr>
          <w:sz w:val="24"/>
        </w:rPr>
        <w:t>BUA</w:t>
      </w:r>
      <w:r>
        <w:rPr>
          <w:spacing w:val="-7"/>
          <w:sz w:val="24"/>
        </w:rPr>
        <w:t> </w:t>
      </w:r>
      <w:r>
        <w:rPr>
          <w:sz w:val="24"/>
        </w:rPr>
        <w:t>so</w:t>
      </w:r>
      <w:r>
        <w:rPr>
          <w:spacing w:val="-7"/>
          <w:sz w:val="24"/>
        </w:rPr>
        <w:t> </w:t>
      </w:r>
      <w:r>
        <w:rPr>
          <w:sz w:val="24"/>
        </w:rPr>
        <w:t>arrived</w:t>
      </w:r>
      <w:r>
        <w:rPr>
          <w:spacing w:val="-6"/>
          <w:sz w:val="24"/>
        </w:rPr>
        <w:t> </w:t>
      </w:r>
      <w:r>
        <w:rPr>
          <w:sz w:val="24"/>
        </w:rPr>
        <w:t>shall</w:t>
      </w:r>
      <w:r>
        <w:rPr>
          <w:spacing w:val="-5"/>
          <w:sz w:val="24"/>
        </w:rPr>
        <w:t> </w:t>
      </w:r>
      <w:r>
        <w:rPr>
          <w:sz w:val="24"/>
        </w:rPr>
        <w:t>be</w:t>
      </w:r>
      <w:r>
        <w:rPr>
          <w:spacing w:val="-7"/>
          <w:sz w:val="24"/>
        </w:rPr>
        <w:t> </w:t>
      </w:r>
      <w:r>
        <w:rPr>
          <w:sz w:val="24"/>
        </w:rPr>
        <w:t>allowed</w:t>
      </w:r>
      <w:r>
        <w:rPr>
          <w:spacing w:val="-7"/>
          <w:sz w:val="24"/>
        </w:rPr>
        <w:t> </w:t>
      </w:r>
      <w:r>
        <w:rPr>
          <w:sz w:val="24"/>
        </w:rPr>
        <w:t>to</w:t>
      </w:r>
      <w:r>
        <w:rPr>
          <w:spacing w:val="-5"/>
          <w:sz w:val="24"/>
        </w:rPr>
        <w:t> </w:t>
      </w:r>
      <w:r>
        <w:rPr>
          <w:sz w:val="24"/>
        </w:rPr>
        <w:t>be</w:t>
      </w:r>
      <w:r>
        <w:rPr>
          <w:spacing w:val="-7"/>
          <w:sz w:val="24"/>
        </w:rPr>
        <w:t> </w:t>
      </w:r>
      <w:r>
        <w:rPr>
          <w:sz w:val="24"/>
        </w:rPr>
        <w:t>consumed</w:t>
      </w:r>
      <w:r>
        <w:rPr>
          <w:spacing w:val="-7"/>
          <w:sz w:val="24"/>
        </w:rPr>
        <w:t> </w:t>
      </w:r>
      <w:r>
        <w:rPr>
          <w:sz w:val="24"/>
        </w:rPr>
        <w:t>on</w:t>
      </w:r>
      <w:r>
        <w:rPr>
          <w:spacing w:val="-7"/>
          <w:sz w:val="24"/>
        </w:rPr>
        <w:t> </w:t>
      </w:r>
      <w:r>
        <w:rPr>
          <w:sz w:val="24"/>
        </w:rPr>
        <w:t>the</w:t>
      </w:r>
      <w:r>
        <w:rPr>
          <w:spacing w:val="-7"/>
          <w:sz w:val="24"/>
        </w:rPr>
        <w:t> </w:t>
      </w:r>
      <w:r>
        <w:rPr>
          <w:sz w:val="24"/>
        </w:rPr>
        <w:t>balance</w:t>
      </w:r>
      <w:r>
        <w:rPr>
          <w:spacing w:val="-7"/>
          <w:sz w:val="24"/>
        </w:rPr>
        <w:t> </w:t>
      </w:r>
      <w:r>
        <w:rPr>
          <w:sz w:val="24"/>
        </w:rPr>
        <w:t>plot</w:t>
      </w:r>
      <w:r>
        <w:rPr>
          <w:spacing w:val="-7"/>
          <w:sz w:val="24"/>
        </w:rPr>
        <w:t> </w:t>
      </w:r>
      <w:r>
        <w:rPr>
          <w:sz w:val="24"/>
        </w:rPr>
        <w:t>after handing over of Reservation/Amenity/Plot/DP road/roads for which sanctioned Regular line is prescribed as per MMC Act to MCGM within admissible limit.</w:t>
      </w:r>
    </w:p>
    <w:p>
      <w:pPr>
        <w:pStyle w:val="ListParagraph"/>
        <w:numPr>
          <w:ilvl w:val="0"/>
          <w:numId w:val="111"/>
        </w:numPr>
        <w:tabs>
          <w:tab w:pos="1870" w:val="left" w:leader="none"/>
          <w:tab w:pos="1872" w:val="left" w:leader="none"/>
        </w:tabs>
        <w:spacing w:line="240" w:lineRule="auto" w:before="241" w:after="0"/>
        <w:ind w:left="1872" w:right="768" w:hanging="440"/>
        <w:jc w:val="both"/>
        <w:rPr>
          <w:sz w:val="24"/>
        </w:rPr>
      </w:pPr>
      <w:r>
        <w:rPr>
          <w:sz w:val="24"/>
        </w:rPr>
        <w:t>Premium</w:t>
      </w:r>
      <w:r>
        <w:rPr>
          <w:spacing w:val="-8"/>
          <w:sz w:val="24"/>
        </w:rPr>
        <w:t> </w:t>
      </w:r>
      <w:r>
        <w:rPr>
          <w:sz w:val="24"/>
        </w:rPr>
        <w:t>shall</w:t>
      </w:r>
      <w:r>
        <w:rPr>
          <w:spacing w:val="-8"/>
          <w:sz w:val="24"/>
        </w:rPr>
        <w:t> </w:t>
      </w:r>
      <w:r>
        <w:rPr>
          <w:sz w:val="24"/>
        </w:rPr>
        <w:t>be</w:t>
      </w:r>
      <w:r>
        <w:rPr>
          <w:spacing w:val="-8"/>
          <w:sz w:val="24"/>
        </w:rPr>
        <w:t> </w:t>
      </w:r>
      <w:r>
        <w:rPr>
          <w:sz w:val="24"/>
        </w:rPr>
        <w:t>charged</w:t>
      </w:r>
      <w:r>
        <w:rPr>
          <w:spacing w:val="-8"/>
          <w:sz w:val="24"/>
        </w:rPr>
        <w:t> </w:t>
      </w:r>
      <w:r>
        <w:rPr>
          <w:sz w:val="24"/>
        </w:rPr>
        <w:t>for</w:t>
      </w:r>
      <w:r>
        <w:rPr>
          <w:spacing w:val="-8"/>
          <w:sz w:val="24"/>
        </w:rPr>
        <w:t> </w:t>
      </w:r>
      <w:r>
        <w:rPr>
          <w:sz w:val="24"/>
        </w:rPr>
        <w:t>‘additional</w:t>
      </w:r>
      <w:r>
        <w:rPr>
          <w:spacing w:val="-8"/>
          <w:sz w:val="24"/>
        </w:rPr>
        <w:t> </w:t>
      </w:r>
      <w:r>
        <w:rPr>
          <w:sz w:val="24"/>
        </w:rPr>
        <w:t>FSI</w:t>
      </w:r>
      <w:r>
        <w:rPr>
          <w:spacing w:val="-6"/>
          <w:sz w:val="24"/>
        </w:rPr>
        <w:t> </w:t>
      </w:r>
      <w:r>
        <w:rPr>
          <w:sz w:val="24"/>
        </w:rPr>
        <w:t>on</w:t>
      </w:r>
      <w:r>
        <w:rPr>
          <w:spacing w:val="-8"/>
          <w:sz w:val="24"/>
        </w:rPr>
        <w:t> </w:t>
      </w:r>
      <w:r>
        <w:rPr>
          <w:sz w:val="24"/>
        </w:rPr>
        <w:t>payment</w:t>
      </w:r>
      <w:r>
        <w:rPr>
          <w:spacing w:val="-8"/>
          <w:sz w:val="24"/>
        </w:rPr>
        <w:t> </w:t>
      </w:r>
      <w:r>
        <w:rPr>
          <w:sz w:val="24"/>
        </w:rPr>
        <w:t>of</w:t>
      </w:r>
      <w:r>
        <w:rPr>
          <w:spacing w:val="-11"/>
          <w:sz w:val="24"/>
        </w:rPr>
        <w:t> </w:t>
      </w:r>
      <w:r>
        <w:rPr>
          <w:sz w:val="24"/>
        </w:rPr>
        <w:t>premium’</w:t>
      </w:r>
      <w:r>
        <w:rPr>
          <w:spacing w:val="-7"/>
          <w:sz w:val="24"/>
        </w:rPr>
        <w:t> </w:t>
      </w:r>
      <w:r>
        <w:rPr>
          <w:sz w:val="24"/>
        </w:rPr>
        <w:t>(as per</w:t>
      </w:r>
      <w:r>
        <w:rPr>
          <w:spacing w:val="18"/>
          <w:sz w:val="24"/>
        </w:rPr>
        <w:t> </w:t>
      </w:r>
      <w:r>
        <w:rPr>
          <w:sz w:val="24"/>
        </w:rPr>
        <w:t>column</w:t>
      </w:r>
      <w:r>
        <w:rPr>
          <w:spacing w:val="18"/>
          <w:sz w:val="24"/>
        </w:rPr>
        <w:t> </w:t>
      </w:r>
      <w:r>
        <w:rPr>
          <w:sz w:val="24"/>
        </w:rPr>
        <w:t>no</w:t>
      </w:r>
      <w:r>
        <w:rPr>
          <w:spacing w:val="19"/>
          <w:sz w:val="24"/>
        </w:rPr>
        <w:t> </w:t>
      </w:r>
      <w:r>
        <w:rPr>
          <w:sz w:val="24"/>
        </w:rPr>
        <w:t>5</w:t>
      </w:r>
      <w:r>
        <w:rPr>
          <w:spacing w:val="17"/>
          <w:sz w:val="24"/>
        </w:rPr>
        <w:t> </w:t>
      </w:r>
      <w:r>
        <w:rPr>
          <w:sz w:val="24"/>
        </w:rPr>
        <w:t>of</w:t>
      </w:r>
      <w:r>
        <w:rPr>
          <w:spacing w:val="19"/>
          <w:sz w:val="24"/>
        </w:rPr>
        <w:t> </w:t>
      </w:r>
      <w:r>
        <w:rPr>
          <w:sz w:val="24"/>
        </w:rPr>
        <w:t>table</w:t>
      </w:r>
      <w:r>
        <w:rPr>
          <w:spacing w:val="18"/>
          <w:sz w:val="24"/>
        </w:rPr>
        <w:t> </w:t>
      </w:r>
      <w:r>
        <w:rPr>
          <w:sz w:val="24"/>
        </w:rPr>
        <w:t>no</w:t>
      </w:r>
      <w:r>
        <w:rPr>
          <w:spacing w:val="17"/>
          <w:sz w:val="24"/>
        </w:rPr>
        <w:t> </w:t>
      </w:r>
      <w:r>
        <w:rPr>
          <w:sz w:val="24"/>
        </w:rPr>
        <w:t>12)</w:t>
      </w:r>
      <w:r>
        <w:rPr>
          <w:spacing w:val="18"/>
          <w:sz w:val="24"/>
        </w:rPr>
        <w:t> </w:t>
      </w:r>
      <w:r>
        <w:rPr>
          <w:sz w:val="24"/>
        </w:rPr>
        <w:t>for</w:t>
      </w:r>
      <w:r>
        <w:rPr>
          <w:spacing w:val="20"/>
          <w:sz w:val="24"/>
        </w:rPr>
        <w:t> </w:t>
      </w:r>
      <w:r>
        <w:rPr>
          <w:sz w:val="24"/>
        </w:rPr>
        <w:t>BUA</w:t>
      </w:r>
      <w:r>
        <w:rPr>
          <w:spacing w:val="18"/>
          <w:sz w:val="24"/>
        </w:rPr>
        <w:t> </w:t>
      </w:r>
      <w:r>
        <w:rPr>
          <w:sz w:val="24"/>
        </w:rPr>
        <w:t>at</w:t>
      </w:r>
      <w:r>
        <w:rPr>
          <w:spacing w:val="18"/>
          <w:sz w:val="24"/>
        </w:rPr>
        <w:t> </w:t>
      </w:r>
      <w:r>
        <w:rPr>
          <w:sz w:val="24"/>
        </w:rPr>
        <w:t>the</w:t>
      </w:r>
      <w:r>
        <w:rPr>
          <w:spacing w:val="18"/>
          <w:sz w:val="24"/>
        </w:rPr>
        <w:t> </w:t>
      </w:r>
      <w:r>
        <w:rPr>
          <w:sz w:val="24"/>
        </w:rPr>
        <w:t>rate</w:t>
      </w:r>
      <w:r>
        <w:rPr>
          <w:spacing w:val="19"/>
          <w:sz w:val="24"/>
        </w:rPr>
        <w:t> </w:t>
      </w:r>
      <w:r>
        <w:rPr>
          <w:sz w:val="24"/>
        </w:rPr>
        <w:t>of</w:t>
      </w:r>
      <w:r>
        <w:rPr>
          <w:spacing w:val="18"/>
          <w:sz w:val="24"/>
        </w:rPr>
        <w:t> </w:t>
      </w:r>
      <w:r>
        <w:rPr>
          <w:sz w:val="24"/>
        </w:rPr>
        <w:t>50%</w:t>
      </w:r>
      <w:r>
        <w:rPr>
          <w:spacing w:val="19"/>
          <w:sz w:val="24"/>
        </w:rPr>
        <w:t> </w:t>
      </w:r>
      <w:r>
        <w:rPr>
          <w:sz w:val="24"/>
        </w:rPr>
        <w:t>of</w:t>
      </w:r>
      <w:r>
        <w:rPr>
          <w:spacing w:val="18"/>
          <w:sz w:val="24"/>
        </w:rPr>
        <w:t> </w:t>
      </w:r>
      <w:r>
        <w:rPr>
          <w:sz w:val="24"/>
        </w:rPr>
        <w:t>the</w:t>
      </w:r>
      <w:r>
        <w:rPr>
          <w:spacing w:val="18"/>
          <w:sz w:val="24"/>
        </w:rPr>
        <w:t> </w:t>
      </w:r>
      <w:r>
        <w:rPr>
          <w:sz w:val="24"/>
        </w:rPr>
        <w:t>land</w:t>
      </w:r>
    </w:p>
    <w:p>
      <w:pPr>
        <w:pStyle w:val="ListParagraph"/>
        <w:spacing w:after="0" w:line="240" w:lineRule="auto"/>
        <w:jc w:val="both"/>
        <w:rPr>
          <w:sz w:val="24"/>
        </w:rPr>
        <w:sectPr>
          <w:pgSz w:w="11910" w:h="16840"/>
          <w:pgMar w:header="1065" w:footer="1237" w:top="1500" w:bottom="1420" w:left="360" w:right="360"/>
        </w:sectPr>
      </w:pPr>
    </w:p>
    <w:p>
      <w:pPr>
        <w:pStyle w:val="BodyText"/>
        <w:spacing w:before="249"/>
        <w:ind w:left="1872" w:right="768"/>
      </w:pPr>
      <w:r>
        <w:rPr/>
        <w:t>rates</w:t>
      </w:r>
      <w:r>
        <w:rPr>
          <w:spacing w:val="-7"/>
        </w:rPr>
        <w:t> </w:t>
      </w:r>
      <w:r>
        <w:rPr/>
        <w:t>as</w:t>
      </w:r>
      <w:r>
        <w:rPr>
          <w:spacing w:val="-7"/>
        </w:rPr>
        <w:t> </w:t>
      </w:r>
      <w:r>
        <w:rPr/>
        <w:t>per</w:t>
      </w:r>
      <w:r>
        <w:rPr>
          <w:spacing w:val="-7"/>
        </w:rPr>
        <w:t> </w:t>
      </w:r>
      <w:r>
        <w:rPr/>
        <w:t>ASR</w:t>
      </w:r>
      <w:r>
        <w:rPr>
          <w:spacing w:val="-7"/>
        </w:rPr>
        <w:t> </w:t>
      </w:r>
      <w:r>
        <w:rPr/>
        <w:t>(for</w:t>
      </w:r>
      <w:r>
        <w:rPr>
          <w:spacing w:val="-5"/>
        </w:rPr>
        <w:t> </w:t>
      </w:r>
      <w:r>
        <w:rPr/>
        <w:t>FSI</w:t>
      </w:r>
      <w:r>
        <w:rPr>
          <w:spacing w:val="-5"/>
        </w:rPr>
        <w:t> </w:t>
      </w:r>
      <w:r>
        <w:rPr/>
        <w:t>1)</w:t>
      </w:r>
      <w:r>
        <w:rPr>
          <w:spacing w:val="-7"/>
        </w:rPr>
        <w:t> </w:t>
      </w:r>
      <w:r>
        <w:rPr/>
        <w:t>of</w:t>
      </w:r>
      <w:r>
        <w:rPr>
          <w:spacing w:val="-7"/>
        </w:rPr>
        <w:t> </w:t>
      </w:r>
      <w:r>
        <w:rPr/>
        <w:t>the</w:t>
      </w:r>
      <w:r>
        <w:rPr>
          <w:spacing w:val="-7"/>
        </w:rPr>
        <w:t> </w:t>
      </w:r>
      <w:r>
        <w:rPr/>
        <w:t>year</w:t>
      </w:r>
      <w:r>
        <w:rPr>
          <w:spacing w:val="-7"/>
        </w:rPr>
        <w:t> </w:t>
      </w:r>
      <w:r>
        <w:rPr/>
        <w:t>in</w:t>
      </w:r>
      <w:r>
        <w:rPr>
          <w:spacing w:val="-5"/>
        </w:rPr>
        <w:t> </w:t>
      </w:r>
      <w:r>
        <w:rPr/>
        <w:t>which</w:t>
      </w:r>
      <w:r>
        <w:rPr>
          <w:spacing w:val="-7"/>
        </w:rPr>
        <w:t> </w:t>
      </w:r>
      <w:r>
        <w:rPr/>
        <w:t>such</w:t>
      </w:r>
      <w:r>
        <w:rPr>
          <w:spacing w:val="-7"/>
        </w:rPr>
        <w:t> </w:t>
      </w:r>
      <w:r>
        <w:rPr/>
        <w:t>FSI</w:t>
      </w:r>
      <w:r>
        <w:rPr>
          <w:spacing w:val="-4"/>
        </w:rPr>
        <w:t> </w:t>
      </w:r>
      <w:r>
        <w:rPr/>
        <w:t>is</w:t>
      </w:r>
      <w:r>
        <w:rPr>
          <w:spacing w:val="-7"/>
        </w:rPr>
        <w:t> </w:t>
      </w:r>
      <w:r>
        <w:rPr/>
        <w:t>granted</w:t>
      </w:r>
      <w:r>
        <w:rPr>
          <w:spacing w:val="-7"/>
        </w:rPr>
        <w:t> </w:t>
      </w:r>
      <w:r>
        <w:rPr/>
        <w:t>or</w:t>
      </w:r>
      <w:r>
        <w:rPr>
          <w:spacing w:val="-7"/>
        </w:rPr>
        <w:t> </w:t>
      </w:r>
      <w:r>
        <w:rPr/>
        <w:t>as may be decided by Govt. from time to time. Premium so recovered shall be shared between the State Govt., MCGM, MSRDC and Dharavi Authority</w:t>
      </w:r>
      <w:r>
        <w:rPr>
          <w:spacing w:val="-11"/>
        </w:rPr>
        <w:t> </w:t>
      </w:r>
      <w:r>
        <w:rPr/>
        <w:t>on</w:t>
      </w:r>
      <w:r>
        <w:rPr>
          <w:spacing w:val="40"/>
        </w:rPr>
        <w:t> </w:t>
      </w:r>
      <w:r>
        <w:rPr/>
        <w:t>25:25:25:25</w:t>
      </w:r>
      <w:r>
        <w:rPr>
          <w:spacing w:val="-11"/>
        </w:rPr>
        <w:t> </w:t>
      </w:r>
      <w:r>
        <w:rPr/>
        <w:t>basis.</w:t>
      </w:r>
      <w:r>
        <w:rPr>
          <w:spacing w:val="-11"/>
        </w:rPr>
        <w:t> </w:t>
      </w:r>
      <w:r>
        <w:rPr/>
        <w:t>The</w:t>
      </w:r>
      <w:r>
        <w:rPr>
          <w:spacing w:val="-11"/>
        </w:rPr>
        <w:t> </w:t>
      </w:r>
      <w:r>
        <w:rPr/>
        <w:t>MCGM</w:t>
      </w:r>
      <w:r>
        <w:rPr>
          <w:spacing w:val="-11"/>
        </w:rPr>
        <w:t> </w:t>
      </w:r>
      <w:r>
        <w:rPr/>
        <w:t>shall</w:t>
      </w:r>
      <w:r>
        <w:rPr>
          <w:spacing w:val="-11"/>
        </w:rPr>
        <w:t> </w:t>
      </w:r>
      <w:r>
        <w:rPr/>
        <w:t>utilize</w:t>
      </w:r>
      <w:r>
        <w:rPr>
          <w:spacing w:val="-11"/>
        </w:rPr>
        <w:t> </w:t>
      </w:r>
      <w:r>
        <w:rPr/>
        <w:t>the</w:t>
      </w:r>
      <w:r>
        <w:rPr>
          <w:spacing w:val="-15"/>
        </w:rPr>
        <w:t> </w:t>
      </w:r>
      <w:r>
        <w:rPr/>
        <w:t>premium</w:t>
      </w:r>
      <w:r>
        <w:rPr>
          <w:spacing w:val="-11"/>
        </w:rPr>
        <w:t> </w:t>
      </w:r>
      <w:r>
        <w:rPr/>
        <w:t>for implementation of D P.</w:t>
      </w:r>
    </w:p>
    <w:p>
      <w:pPr>
        <w:pStyle w:val="BodyText"/>
        <w:spacing w:before="240"/>
        <w:ind w:left="1872" w:right="768"/>
      </w:pPr>
      <w:r>
        <w:rPr/>
        <w:t>Provided further that utilization of ‘additional FSI on payment of Premium’</w:t>
      </w:r>
      <w:r>
        <w:rPr>
          <w:spacing w:val="40"/>
        </w:rPr>
        <w:t> </w:t>
      </w:r>
      <w:r>
        <w:rPr/>
        <w:t>and TDR is optional and can be utilized in any sequential manner</w:t>
      </w:r>
      <w:r>
        <w:rPr>
          <w:spacing w:val="80"/>
        </w:rPr>
        <w:t> </w:t>
      </w:r>
      <w:r>
        <w:rPr/>
        <w:t>subject to limit prescribed in column no 5 &amp; 6</w:t>
      </w:r>
      <w:r>
        <w:rPr>
          <w:spacing w:val="40"/>
        </w:rPr>
        <w:t> </w:t>
      </w:r>
      <w:r>
        <w:rPr/>
        <w:t>of Table No 12 above &amp;shall be non-transferable. ‘Additional FSI on payment of Premium’</w:t>
      </w:r>
      <w:r>
        <w:rPr>
          <w:spacing w:val="-13"/>
        </w:rPr>
        <w:t> </w:t>
      </w:r>
      <w:r>
        <w:rPr/>
        <w:t>is</w:t>
      </w:r>
      <w:r>
        <w:rPr>
          <w:spacing w:val="-13"/>
        </w:rPr>
        <w:t> </w:t>
      </w:r>
      <w:r>
        <w:rPr/>
        <w:t>to</w:t>
      </w:r>
      <w:r>
        <w:rPr>
          <w:spacing w:val="-13"/>
        </w:rPr>
        <w:t> </w:t>
      </w:r>
      <w:r>
        <w:rPr/>
        <w:t>be</w:t>
      </w:r>
      <w:r>
        <w:rPr>
          <w:spacing w:val="-13"/>
        </w:rPr>
        <w:t> </w:t>
      </w:r>
      <w:r>
        <w:rPr/>
        <w:t>granted</w:t>
      </w:r>
      <w:r>
        <w:rPr>
          <w:spacing w:val="-13"/>
        </w:rPr>
        <w:t> </w:t>
      </w:r>
      <w:r>
        <w:rPr/>
        <w:t>on</w:t>
      </w:r>
      <w:r>
        <w:rPr>
          <w:spacing w:val="-13"/>
        </w:rPr>
        <w:t> </w:t>
      </w:r>
      <w:r>
        <w:rPr/>
        <w:t>application</w:t>
      </w:r>
      <w:r>
        <w:rPr>
          <w:spacing w:val="-11"/>
        </w:rPr>
        <w:t> </w:t>
      </w:r>
      <w:r>
        <w:rPr/>
        <w:t>and</w:t>
      </w:r>
      <w:r>
        <w:rPr>
          <w:spacing w:val="-13"/>
        </w:rPr>
        <w:t> </w:t>
      </w:r>
      <w:r>
        <w:rPr/>
        <w:t>payment</w:t>
      </w:r>
      <w:r>
        <w:rPr>
          <w:spacing w:val="-13"/>
        </w:rPr>
        <w:t> </w:t>
      </w:r>
      <w:r>
        <w:rPr/>
        <w:t>of</w:t>
      </w:r>
      <w:r>
        <w:rPr>
          <w:spacing w:val="-13"/>
        </w:rPr>
        <w:t> </w:t>
      </w:r>
      <w:r>
        <w:rPr/>
        <w:t>premium</w:t>
      </w:r>
      <w:r>
        <w:rPr>
          <w:spacing w:val="-13"/>
        </w:rPr>
        <w:t> </w:t>
      </w:r>
      <w:r>
        <w:rPr/>
        <w:t>&amp;shall be used on the same plot only.</w:t>
      </w:r>
    </w:p>
    <w:p>
      <w:pPr>
        <w:pStyle w:val="ListParagraph"/>
        <w:numPr>
          <w:ilvl w:val="0"/>
          <w:numId w:val="111"/>
        </w:numPr>
        <w:tabs>
          <w:tab w:pos="1869" w:val="left" w:leader="none"/>
          <w:tab w:pos="1872" w:val="left" w:leader="none"/>
        </w:tabs>
        <w:spacing w:line="240" w:lineRule="auto" w:before="243" w:after="0"/>
        <w:ind w:left="1872" w:right="768" w:hanging="440"/>
        <w:jc w:val="both"/>
        <w:rPr>
          <w:sz w:val="24"/>
        </w:rPr>
      </w:pPr>
      <w:r>
        <w:rPr>
          <w:sz w:val="24"/>
        </w:rPr>
        <w:t>A</w:t>
      </w:r>
      <w:r>
        <w:rPr>
          <w:spacing w:val="-5"/>
          <w:sz w:val="24"/>
        </w:rPr>
        <w:t> </w:t>
      </w:r>
      <w:r>
        <w:rPr>
          <w:sz w:val="24"/>
        </w:rPr>
        <w:t>Development</w:t>
      </w:r>
      <w:r>
        <w:rPr>
          <w:spacing w:val="40"/>
          <w:sz w:val="24"/>
        </w:rPr>
        <w:t> </w:t>
      </w:r>
      <w:r>
        <w:rPr>
          <w:sz w:val="24"/>
        </w:rPr>
        <w:t>cess</w:t>
      </w:r>
      <w:r>
        <w:rPr>
          <w:spacing w:val="-2"/>
          <w:sz w:val="24"/>
        </w:rPr>
        <w:t> </w:t>
      </w:r>
      <w:r>
        <w:rPr>
          <w:sz w:val="24"/>
        </w:rPr>
        <w:t>at</w:t>
      </w:r>
      <w:r>
        <w:rPr>
          <w:spacing w:val="-5"/>
          <w:sz w:val="24"/>
        </w:rPr>
        <w:t> </w:t>
      </w:r>
      <w:r>
        <w:rPr>
          <w:sz w:val="24"/>
        </w:rPr>
        <w:t>the</w:t>
      </w:r>
      <w:r>
        <w:rPr>
          <w:spacing w:val="-5"/>
          <w:sz w:val="24"/>
        </w:rPr>
        <w:t> </w:t>
      </w:r>
      <w:r>
        <w:rPr>
          <w:sz w:val="24"/>
        </w:rPr>
        <w:t>rate</w:t>
      </w:r>
      <w:r>
        <w:rPr>
          <w:spacing w:val="-3"/>
          <w:sz w:val="24"/>
        </w:rPr>
        <w:t> </w:t>
      </w:r>
      <w:r>
        <w:rPr>
          <w:sz w:val="24"/>
        </w:rPr>
        <w:t>of</w:t>
      </w:r>
      <w:r>
        <w:rPr>
          <w:spacing w:val="-5"/>
          <w:sz w:val="24"/>
        </w:rPr>
        <w:t> </w:t>
      </w:r>
      <w:r>
        <w:rPr>
          <w:sz w:val="24"/>
        </w:rPr>
        <w:t>100%</w:t>
      </w:r>
      <w:r>
        <w:rPr>
          <w:spacing w:val="-2"/>
          <w:sz w:val="24"/>
        </w:rPr>
        <w:t> </w:t>
      </w:r>
      <w:r>
        <w:rPr>
          <w:sz w:val="24"/>
        </w:rPr>
        <w:t>of</w:t>
      </w:r>
      <w:r>
        <w:rPr>
          <w:spacing w:val="-5"/>
          <w:sz w:val="24"/>
        </w:rPr>
        <w:t> </w:t>
      </w:r>
      <w:r>
        <w:rPr>
          <w:sz w:val="24"/>
        </w:rPr>
        <w:t>Development</w:t>
      </w:r>
      <w:r>
        <w:rPr>
          <w:spacing w:val="-5"/>
          <w:sz w:val="24"/>
        </w:rPr>
        <w:t> </w:t>
      </w:r>
      <w:r>
        <w:rPr>
          <w:sz w:val="24"/>
        </w:rPr>
        <w:t>charge,</w:t>
      </w:r>
      <w:r>
        <w:rPr>
          <w:spacing w:val="-5"/>
          <w:sz w:val="24"/>
        </w:rPr>
        <w:t> </w:t>
      </w:r>
      <w:r>
        <w:rPr>
          <w:sz w:val="24"/>
        </w:rPr>
        <w:t>for</w:t>
      </w:r>
      <w:r>
        <w:rPr>
          <w:spacing w:val="-4"/>
          <w:sz w:val="24"/>
        </w:rPr>
        <w:t> </w:t>
      </w:r>
      <w:r>
        <w:rPr>
          <w:sz w:val="24"/>
        </w:rPr>
        <w:t>BUA over and above the Zonal (basic) FSI/protected BUA whichever is higher (excluding fungible compensatory area ) in accordance with the Time Schedule for such payment as may be laid down by the Commissioner, MCGM shall be paid.</w:t>
      </w:r>
      <w:r>
        <w:rPr>
          <w:spacing w:val="40"/>
          <w:sz w:val="24"/>
        </w:rPr>
        <w:t> </w:t>
      </w:r>
      <w:r>
        <w:rPr>
          <w:sz w:val="24"/>
        </w:rPr>
        <w:t>This development cess shall not be applicable to BUA</w:t>
      </w:r>
      <w:r>
        <w:rPr>
          <w:spacing w:val="-16"/>
          <w:sz w:val="24"/>
        </w:rPr>
        <w:t> </w:t>
      </w:r>
      <w:r>
        <w:rPr>
          <w:sz w:val="24"/>
        </w:rPr>
        <w:t>to</w:t>
      </w:r>
      <w:r>
        <w:rPr>
          <w:spacing w:val="-16"/>
          <w:sz w:val="24"/>
        </w:rPr>
        <w:t> </w:t>
      </w:r>
      <w:r>
        <w:rPr>
          <w:sz w:val="24"/>
        </w:rPr>
        <w:t>be</w:t>
      </w:r>
      <w:r>
        <w:rPr>
          <w:spacing w:val="-16"/>
          <w:sz w:val="24"/>
        </w:rPr>
        <w:t> </w:t>
      </w:r>
      <w:r>
        <w:rPr>
          <w:sz w:val="24"/>
        </w:rPr>
        <w:t>handed</w:t>
      </w:r>
      <w:r>
        <w:rPr>
          <w:spacing w:val="-16"/>
          <w:sz w:val="24"/>
        </w:rPr>
        <w:t> </w:t>
      </w:r>
      <w:r>
        <w:rPr>
          <w:sz w:val="24"/>
        </w:rPr>
        <w:t>over</w:t>
      </w:r>
      <w:r>
        <w:rPr>
          <w:spacing w:val="-16"/>
          <w:sz w:val="24"/>
        </w:rPr>
        <w:t> </w:t>
      </w:r>
      <w:r>
        <w:rPr>
          <w:sz w:val="24"/>
        </w:rPr>
        <w:t>to</w:t>
      </w:r>
      <w:r>
        <w:rPr>
          <w:spacing w:val="-16"/>
          <w:sz w:val="24"/>
        </w:rPr>
        <w:t> </w:t>
      </w:r>
      <w:r>
        <w:rPr>
          <w:sz w:val="24"/>
        </w:rPr>
        <w:t>MCGM/Appropriate</w:t>
      </w:r>
      <w:r>
        <w:rPr>
          <w:spacing w:val="-15"/>
          <w:sz w:val="24"/>
        </w:rPr>
        <w:t> </w:t>
      </w:r>
      <w:r>
        <w:rPr>
          <w:sz w:val="24"/>
        </w:rPr>
        <w:t>authority</w:t>
      </w:r>
      <w:r>
        <w:rPr>
          <w:spacing w:val="-16"/>
          <w:sz w:val="24"/>
        </w:rPr>
        <w:t> </w:t>
      </w:r>
      <w:r>
        <w:rPr>
          <w:sz w:val="24"/>
        </w:rPr>
        <w:t>&amp;</w:t>
      </w:r>
      <w:r>
        <w:rPr>
          <w:spacing w:val="-16"/>
          <w:sz w:val="24"/>
        </w:rPr>
        <w:t> </w:t>
      </w:r>
      <w:r>
        <w:rPr>
          <w:sz w:val="24"/>
        </w:rPr>
        <w:t>BUA</w:t>
      </w:r>
      <w:r>
        <w:rPr>
          <w:spacing w:val="-16"/>
          <w:sz w:val="24"/>
        </w:rPr>
        <w:t> </w:t>
      </w:r>
      <w:r>
        <w:rPr>
          <w:sz w:val="24"/>
        </w:rPr>
        <w:t>which</w:t>
      </w:r>
      <w:r>
        <w:rPr>
          <w:spacing w:val="-16"/>
          <w:sz w:val="24"/>
        </w:rPr>
        <w:t> </w:t>
      </w:r>
      <w:r>
        <w:rPr>
          <w:sz w:val="24"/>
        </w:rPr>
        <w:t>are excluded from FSI computation. This Development cess shall be in addition to development charges levied as per section 124 of MR&amp;TP Act 1966.</w:t>
      </w:r>
      <w:r>
        <w:rPr>
          <w:spacing w:val="-17"/>
          <w:sz w:val="24"/>
        </w:rPr>
        <w:t> </w:t>
      </w:r>
      <w:r>
        <w:rPr>
          <w:sz w:val="24"/>
        </w:rPr>
        <w:t>This</w:t>
      </w:r>
      <w:r>
        <w:rPr>
          <w:spacing w:val="-17"/>
          <w:sz w:val="24"/>
        </w:rPr>
        <w:t> </w:t>
      </w:r>
      <w:r>
        <w:rPr>
          <w:sz w:val="24"/>
        </w:rPr>
        <w:t>development</w:t>
      </w:r>
      <w:r>
        <w:rPr>
          <w:spacing w:val="-16"/>
          <w:sz w:val="24"/>
        </w:rPr>
        <w:t> </w:t>
      </w:r>
      <w:r>
        <w:rPr>
          <w:sz w:val="24"/>
        </w:rPr>
        <w:t>cess</w:t>
      </w:r>
      <w:r>
        <w:rPr>
          <w:spacing w:val="-17"/>
          <w:sz w:val="24"/>
        </w:rPr>
        <w:t> </w:t>
      </w:r>
      <w:r>
        <w:rPr>
          <w:sz w:val="24"/>
        </w:rPr>
        <w:t>shall</w:t>
      </w:r>
      <w:r>
        <w:rPr>
          <w:spacing w:val="-17"/>
          <w:sz w:val="24"/>
        </w:rPr>
        <w:t> </w:t>
      </w:r>
      <w:r>
        <w:rPr>
          <w:sz w:val="24"/>
        </w:rPr>
        <w:t>not</w:t>
      </w:r>
      <w:r>
        <w:rPr>
          <w:spacing w:val="-17"/>
          <w:sz w:val="24"/>
        </w:rPr>
        <w:t> </w:t>
      </w:r>
      <w:r>
        <w:rPr>
          <w:sz w:val="24"/>
        </w:rPr>
        <w:t>be</w:t>
      </w:r>
      <w:r>
        <w:rPr>
          <w:spacing w:val="-15"/>
          <w:sz w:val="24"/>
        </w:rPr>
        <w:t> </w:t>
      </w:r>
      <w:r>
        <w:rPr>
          <w:sz w:val="24"/>
        </w:rPr>
        <w:t>applicable</w:t>
      </w:r>
      <w:r>
        <w:rPr>
          <w:spacing w:val="-17"/>
          <w:sz w:val="24"/>
        </w:rPr>
        <w:t> </w:t>
      </w:r>
      <w:r>
        <w:rPr>
          <w:sz w:val="24"/>
        </w:rPr>
        <w:t>for</w:t>
      </w:r>
      <w:r>
        <w:rPr>
          <w:spacing w:val="-17"/>
          <w:sz w:val="24"/>
        </w:rPr>
        <w:t> </w:t>
      </w:r>
      <w:r>
        <w:rPr>
          <w:sz w:val="24"/>
        </w:rPr>
        <w:t>proposals</w:t>
      </w:r>
      <w:r>
        <w:rPr>
          <w:spacing w:val="-17"/>
          <w:sz w:val="24"/>
        </w:rPr>
        <w:t> </w:t>
      </w:r>
      <w:r>
        <w:rPr>
          <w:sz w:val="24"/>
        </w:rPr>
        <w:t>of</w:t>
      </w:r>
      <w:r>
        <w:rPr>
          <w:spacing w:val="-17"/>
          <w:sz w:val="24"/>
        </w:rPr>
        <w:t> </w:t>
      </w:r>
      <w:r>
        <w:rPr>
          <w:sz w:val="24"/>
        </w:rPr>
        <w:t>Govt.</w:t>
      </w:r>
    </w:p>
    <w:p>
      <w:pPr>
        <w:pStyle w:val="BodyText"/>
        <w:spacing w:line="281" w:lineRule="exact"/>
        <w:ind w:left="1872"/>
      </w:pPr>
      <w:r>
        <w:rPr/>
        <w:t>/MCGM</w:t>
      </w:r>
      <w:r>
        <w:rPr>
          <w:spacing w:val="-4"/>
        </w:rPr>
        <w:t> </w:t>
      </w:r>
      <w:r>
        <w:rPr/>
        <w:t>executed</w:t>
      </w:r>
      <w:r>
        <w:rPr>
          <w:spacing w:val="-4"/>
        </w:rPr>
        <w:t> </w:t>
      </w:r>
      <w:r>
        <w:rPr>
          <w:spacing w:val="-2"/>
        </w:rPr>
        <w:t>departmentally.</w:t>
      </w:r>
    </w:p>
    <w:p>
      <w:pPr>
        <w:pStyle w:val="BodyText"/>
        <w:spacing w:before="241"/>
        <w:ind w:left="1872" w:right="768"/>
      </w:pPr>
      <w:r>
        <w:rPr/>
        <w:t>The payment of Development</w:t>
      </w:r>
      <w:r>
        <w:rPr>
          <w:spacing w:val="80"/>
        </w:rPr>
        <w:t> </w:t>
      </w:r>
      <w:r>
        <w:rPr/>
        <w:t>cess as detailed above will not be payable in cases where development cess is proposed under Regulation no 33(3), 33(3(A),</w:t>
      </w:r>
      <w:r>
        <w:rPr>
          <w:spacing w:val="17"/>
        </w:rPr>
        <w:t> </w:t>
      </w:r>
      <w:r>
        <w:rPr/>
        <w:t>33(3(B),</w:t>
      </w:r>
      <w:r>
        <w:rPr>
          <w:spacing w:val="19"/>
        </w:rPr>
        <w:t> </w:t>
      </w:r>
      <w:r>
        <w:rPr/>
        <w:t>33(5),</w:t>
      </w:r>
      <w:r>
        <w:rPr>
          <w:spacing w:val="19"/>
        </w:rPr>
        <w:t> </w:t>
      </w:r>
      <w:r>
        <w:rPr/>
        <w:t>33(7),</w:t>
      </w:r>
      <w:r>
        <w:rPr>
          <w:spacing w:val="20"/>
        </w:rPr>
        <w:t> </w:t>
      </w:r>
      <w:r>
        <w:rPr/>
        <w:t>33(7)(A),</w:t>
      </w:r>
      <w:r>
        <w:rPr>
          <w:spacing w:val="19"/>
        </w:rPr>
        <w:t> </w:t>
      </w:r>
      <w:r>
        <w:rPr/>
        <w:t>,</w:t>
      </w:r>
      <w:r>
        <w:rPr>
          <w:spacing w:val="21"/>
        </w:rPr>
        <w:t> </w:t>
      </w:r>
      <w:r>
        <w:rPr/>
        <w:t>33(9),</w:t>
      </w:r>
      <w:r>
        <w:rPr>
          <w:spacing w:val="20"/>
        </w:rPr>
        <w:t> </w:t>
      </w:r>
      <w:r>
        <w:rPr>
          <w:spacing w:val="-2"/>
        </w:rPr>
        <w:t>33(9)(B),33(10),33(11)and</w:t>
      </w:r>
    </w:p>
    <w:p>
      <w:pPr>
        <w:pStyle w:val="BodyText"/>
        <w:ind w:left="1872" w:right="769"/>
      </w:pPr>
      <w:r>
        <w:rPr/>
        <w:t>for development where the payment of off-site </w:t>
      </w:r>
      <w:r>
        <w:rPr/>
        <w:t>infrastructure charges/development cess is applicable and for these Regulations development cess/off-site infrastructure charges shall be payable as described in the concerned Regulations.</w:t>
      </w:r>
    </w:p>
    <w:p>
      <w:pPr>
        <w:pStyle w:val="ListParagraph"/>
        <w:numPr>
          <w:ilvl w:val="0"/>
          <w:numId w:val="112"/>
        </w:numPr>
        <w:tabs>
          <w:tab w:pos="1870" w:val="left" w:leader="none"/>
          <w:tab w:pos="1872" w:val="left" w:leader="none"/>
        </w:tabs>
        <w:spacing w:line="240" w:lineRule="auto" w:before="239" w:after="0"/>
        <w:ind w:left="1872" w:right="769" w:hanging="440"/>
        <w:jc w:val="both"/>
        <w:rPr>
          <w:sz w:val="24"/>
        </w:rPr>
      </w:pPr>
      <w:r>
        <w:rPr>
          <w:sz w:val="24"/>
        </w:rPr>
        <w:t>The</w:t>
      </w:r>
      <w:r>
        <w:rPr>
          <w:spacing w:val="-5"/>
          <w:sz w:val="24"/>
        </w:rPr>
        <w:t> </w:t>
      </w:r>
      <w:r>
        <w:rPr>
          <w:sz w:val="24"/>
        </w:rPr>
        <w:t>owner</w:t>
      </w:r>
      <w:r>
        <w:rPr>
          <w:spacing w:val="-7"/>
          <w:sz w:val="24"/>
        </w:rPr>
        <w:t> </w:t>
      </w:r>
      <w:r>
        <w:rPr>
          <w:sz w:val="24"/>
        </w:rPr>
        <w:t>shall</w:t>
      </w:r>
      <w:r>
        <w:rPr>
          <w:spacing w:val="-7"/>
          <w:sz w:val="24"/>
        </w:rPr>
        <w:t> </w:t>
      </w:r>
      <w:r>
        <w:rPr>
          <w:sz w:val="24"/>
        </w:rPr>
        <w:t>give</w:t>
      </w:r>
      <w:r>
        <w:rPr>
          <w:spacing w:val="-3"/>
          <w:sz w:val="24"/>
        </w:rPr>
        <w:t> </w:t>
      </w:r>
      <w:r>
        <w:rPr>
          <w:sz w:val="24"/>
        </w:rPr>
        <w:t>advance</w:t>
      </w:r>
      <w:r>
        <w:rPr>
          <w:spacing w:val="-7"/>
          <w:sz w:val="24"/>
        </w:rPr>
        <w:t> </w:t>
      </w:r>
      <w:r>
        <w:rPr>
          <w:sz w:val="24"/>
        </w:rPr>
        <w:t>possession</w:t>
      </w:r>
      <w:r>
        <w:rPr>
          <w:spacing w:val="-5"/>
          <w:sz w:val="24"/>
        </w:rPr>
        <w:t> </w:t>
      </w:r>
      <w:r>
        <w:rPr>
          <w:sz w:val="24"/>
        </w:rPr>
        <w:t>of</w:t>
      </w:r>
      <w:r>
        <w:rPr>
          <w:spacing w:val="-7"/>
          <w:sz w:val="24"/>
        </w:rPr>
        <w:t> </w:t>
      </w:r>
      <w:r>
        <w:rPr>
          <w:sz w:val="24"/>
        </w:rPr>
        <w:t>the</w:t>
      </w:r>
      <w:r>
        <w:rPr>
          <w:spacing w:val="-7"/>
          <w:sz w:val="24"/>
        </w:rPr>
        <w:t> </w:t>
      </w:r>
      <w:r>
        <w:rPr>
          <w:sz w:val="24"/>
        </w:rPr>
        <w:t>land</w:t>
      </w:r>
      <w:r>
        <w:rPr>
          <w:spacing w:val="-7"/>
          <w:sz w:val="24"/>
        </w:rPr>
        <w:t> </w:t>
      </w:r>
      <w:r>
        <w:rPr>
          <w:sz w:val="24"/>
        </w:rPr>
        <w:t>to</w:t>
      </w:r>
      <w:r>
        <w:rPr>
          <w:spacing w:val="-5"/>
          <w:sz w:val="24"/>
        </w:rPr>
        <w:t> </w:t>
      </w:r>
      <w:r>
        <w:rPr>
          <w:sz w:val="24"/>
        </w:rPr>
        <w:t>be</w:t>
      </w:r>
      <w:r>
        <w:rPr>
          <w:spacing w:val="-7"/>
          <w:sz w:val="24"/>
        </w:rPr>
        <w:t> </w:t>
      </w:r>
      <w:r>
        <w:rPr>
          <w:sz w:val="24"/>
        </w:rPr>
        <w:t>handed</w:t>
      </w:r>
      <w:r>
        <w:rPr>
          <w:spacing w:val="-7"/>
          <w:sz w:val="24"/>
        </w:rPr>
        <w:t> </w:t>
      </w:r>
      <w:r>
        <w:rPr>
          <w:sz w:val="24"/>
        </w:rPr>
        <w:t>over</w:t>
      </w:r>
      <w:r>
        <w:rPr>
          <w:spacing w:val="-7"/>
          <w:sz w:val="24"/>
        </w:rPr>
        <w:t> </w:t>
      </w:r>
      <w:r>
        <w:rPr>
          <w:sz w:val="24"/>
        </w:rPr>
        <w:t>to MCGM/MHADA/Appropriate Authority,</w:t>
      </w:r>
      <w:r>
        <w:rPr>
          <w:spacing w:val="-1"/>
          <w:sz w:val="24"/>
        </w:rPr>
        <w:t> </w:t>
      </w:r>
      <w:r>
        <w:rPr>
          <w:sz w:val="24"/>
        </w:rPr>
        <w:t>wherever applicable, at the </w:t>
      </w:r>
      <w:r>
        <w:rPr>
          <w:sz w:val="24"/>
        </w:rPr>
        <w:t>time of</w:t>
      </w:r>
      <w:r>
        <w:rPr>
          <w:spacing w:val="-20"/>
          <w:sz w:val="24"/>
        </w:rPr>
        <w:t> </w:t>
      </w:r>
      <w:r>
        <w:rPr>
          <w:sz w:val="24"/>
        </w:rPr>
        <w:t>seeking</w:t>
      </w:r>
      <w:r>
        <w:rPr>
          <w:spacing w:val="-19"/>
          <w:sz w:val="24"/>
        </w:rPr>
        <w:t> </w:t>
      </w:r>
      <w:r>
        <w:rPr>
          <w:sz w:val="24"/>
        </w:rPr>
        <w:t>permission</w:t>
      </w:r>
      <w:r>
        <w:rPr>
          <w:spacing w:val="-19"/>
          <w:sz w:val="24"/>
        </w:rPr>
        <w:t> </w:t>
      </w:r>
      <w:r>
        <w:rPr>
          <w:sz w:val="24"/>
        </w:rPr>
        <w:t>for</w:t>
      </w:r>
      <w:r>
        <w:rPr>
          <w:spacing w:val="-19"/>
          <w:sz w:val="24"/>
        </w:rPr>
        <w:t> </w:t>
      </w:r>
      <w:r>
        <w:rPr>
          <w:sz w:val="24"/>
        </w:rPr>
        <w:t>development</w:t>
      </w:r>
      <w:r>
        <w:rPr>
          <w:spacing w:val="-19"/>
          <w:sz w:val="24"/>
        </w:rPr>
        <w:t> </w:t>
      </w:r>
      <w:r>
        <w:rPr>
          <w:sz w:val="24"/>
        </w:rPr>
        <w:t>of</w:t>
      </w:r>
      <w:r>
        <w:rPr>
          <w:spacing w:val="-20"/>
          <w:sz w:val="24"/>
        </w:rPr>
        <w:t> </w:t>
      </w:r>
      <w:r>
        <w:rPr>
          <w:sz w:val="24"/>
        </w:rPr>
        <w:t>plot.</w:t>
      </w:r>
      <w:r>
        <w:rPr>
          <w:spacing w:val="-19"/>
          <w:sz w:val="24"/>
        </w:rPr>
        <w:t> </w:t>
      </w:r>
      <w:r>
        <w:rPr>
          <w:sz w:val="24"/>
        </w:rPr>
        <w:t>It</w:t>
      </w:r>
      <w:r>
        <w:rPr>
          <w:spacing w:val="-19"/>
          <w:sz w:val="24"/>
        </w:rPr>
        <w:t> </w:t>
      </w:r>
      <w:r>
        <w:rPr>
          <w:sz w:val="24"/>
        </w:rPr>
        <w:t>shall</w:t>
      </w:r>
      <w:r>
        <w:rPr>
          <w:spacing w:val="-19"/>
          <w:sz w:val="24"/>
        </w:rPr>
        <w:t> </w:t>
      </w:r>
      <w:r>
        <w:rPr>
          <w:sz w:val="24"/>
        </w:rPr>
        <w:t>be</w:t>
      </w:r>
      <w:r>
        <w:rPr>
          <w:spacing w:val="-19"/>
          <w:sz w:val="24"/>
        </w:rPr>
        <w:t> </w:t>
      </w:r>
      <w:r>
        <w:rPr>
          <w:sz w:val="24"/>
        </w:rPr>
        <w:t>the</w:t>
      </w:r>
      <w:r>
        <w:rPr>
          <w:spacing w:val="-20"/>
          <w:sz w:val="24"/>
        </w:rPr>
        <w:t> </w:t>
      </w:r>
      <w:r>
        <w:rPr>
          <w:sz w:val="24"/>
        </w:rPr>
        <w:t>responsibility of the land owner to clear off all encumbrances and complete the formalities towards transferring the land in the name of MCGM/MHADA/Appropriate Authority in Land Revenue Record.</w:t>
      </w:r>
    </w:p>
    <w:p>
      <w:pPr>
        <w:pStyle w:val="ListParagraph"/>
        <w:numPr>
          <w:ilvl w:val="0"/>
          <w:numId w:val="112"/>
        </w:numPr>
        <w:tabs>
          <w:tab w:pos="1870" w:val="left" w:leader="none"/>
          <w:tab w:pos="1872" w:val="left" w:leader="none"/>
        </w:tabs>
        <w:spacing w:line="240" w:lineRule="auto" w:before="242" w:after="0"/>
        <w:ind w:left="1872" w:right="770" w:hanging="440"/>
        <w:jc w:val="both"/>
        <w:rPr>
          <w:sz w:val="24"/>
        </w:rPr>
      </w:pPr>
      <w:r>
        <w:rPr>
          <w:sz w:val="24"/>
        </w:rPr>
        <w:t>The aforesaid plot, free of encumbrances, shall be handed over to MCGM/MHADA/Appropriate Authority within twenty four</w:t>
      </w:r>
      <w:r>
        <w:rPr>
          <w:spacing w:val="40"/>
          <w:sz w:val="24"/>
        </w:rPr>
        <w:t> </w:t>
      </w:r>
      <w:r>
        <w:rPr>
          <w:sz w:val="24"/>
        </w:rPr>
        <w:t>months from the date of approval of building plans/approval of the layout. The FSI </w:t>
      </w:r>
      <w:r>
        <w:rPr>
          <w:sz w:val="24"/>
        </w:rPr>
        <w:t>of such plot can be utilized on remainder plot only after handing over of such plot to MCGM or before availing Zonal (basic) FSI beyond 75% of plot area or granting Occupation Certificate to any of the buildings, whichever is earlier. The ownership of such plot shall be transferred in the</w:t>
      </w:r>
      <w:r>
        <w:rPr>
          <w:spacing w:val="40"/>
          <w:sz w:val="24"/>
        </w:rPr>
        <w:t> </w:t>
      </w:r>
      <w:r>
        <w:rPr>
          <w:sz w:val="24"/>
        </w:rPr>
        <w:t>name</w:t>
      </w:r>
      <w:r>
        <w:rPr>
          <w:spacing w:val="40"/>
          <w:sz w:val="24"/>
        </w:rPr>
        <w:t> </w:t>
      </w:r>
      <w:r>
        <w:rPr>
          <w:sz w:val="24"/>
        </w:rPr>
        <w:t>of</w:t>
      </w:r>
      <w:r>
        <w:rPr>
          <w:spacing w:val="40"/>
          <w:sz w:val="24"/>
        </w:rPr>
        <w:t> </w:t>
      </w:r>
      <w:r>
        <w:rPr>
          <w:sz w:val="24"/>
        </w:rPr>
        <w:t>MCGM/</w:t>
      </w:r>
      <w:r>
        <w:rPr>
          <w:spacing w:val="40"/>
          <w:sz w:val="24"/>
        </w:rPr>
        <w:t> </w:t>
      </w:r>
      <w:r>
        <w:rPr>
          <w:sz w:val="24"/>
        </w:rPr>
        <w:t>MHADA/Appropriate</w:t>
      </w:r>
      <w:r>
        <w:rPr>
          <w:spacing w:val="40"/>
          <w:sz w:val="24"/>
        </w:rPr>
        <w:t> </w:t>
      </w:r>
      <w:r>
        <w:rPr>
          <w:sz w:val="24"/>
        </w:rPr>
        <w:t>Authority</w:t>
      </w:r>
      <w:r>
        <w:rPr>
          <w:spacing w:val="40"/>
          <w:sz w:val="24"/>
        </w:rPr>
        <w:t> </w:t>
      </w:r>
      <w:r>
        <w:rPr>
          <w:sz w:val="24"/>
        </w:rPr>
        <w:t>in</w:t>
      </w:r>
      <w:r>
        <w:rPr>
          <w:spacing w:val="40"/>
          <w:sz w:val="24"/>
        </w:rPr>
        <w:t> </w:t>
      </w:r>
      <w:r>
        <w:rPr>
          <w:sz w:val="24"/>
        </w:rPr>
        <w:t>Land</w:t>
      </w:r>
      <w:r>
        <w:rPr>
          <w:spacing w:val="40"/>
          <w:sz w:val="24"/>
        </w:rPr>
        <w:t> </w:t>
      </w:r>
      <w:r>
        <w:rPr>
          <w:sz w:val="24"/>
        </w:rPr>
        <w:t>Revenue</w:t>
      </w:r>
    </w:p>
    <w:p>
      <w:pPr>
        <w:pStyle w:val="ListParagraph"/>
        <w:spacing w:after="0" w:line="240" w:lineRule="auto"/>
        <w:jc w:val="both"/>
        <w:rPr>
          <w:sz w:val="24"/>
        </w:rPr>
        <w:sectPr>
          <w:pgSz w:w="11910" w:h="16840"/>
          <w:pgMar w:header="1065" w:footer="1237" w:top="1500" w:bottom="1420" w:left="360" w:right="360"/>
        </w:sectPr>
      </w:pPr>
    </w:p>
    <w:p>
      <w:pPr>
        <w:pStyle w:val="BodyText"/>
        <w:spacing w:before="249"/>
        <w:ind w:left="1872" w:right="838"/>
        <w:jc w:val="left"/>
      </w:pPr>
      <w:r>
        <w:rPr/>
        <w:t>Records before seeking occupation to any of the buildings in the layout other than amenity.</w:t>
      </w:r>
    </w:p>
    <w:p>
      <w:pPr>
        <w:pStyle w:val="ListParagraph"/>
        <w:numPr>
          <w:ilvl w:val="0"/>
          <w:numId w:val="112"/>
        </w:numPr>
        <w:tabs>
          <w:tab w:pos="1869" w:val="left" w:leader="none"/>
          <w:tab w:pos="1872" w:val="left" w:leader="none"/>
        </w:tabs>
        <w:spacing w:line="240" w:lineRule="auto" w:before="241" w:after="0"/>
        <w:ind w:left="1872" w:right="768" w:hanging="440"/>
        <w:jc w:val="both"/>
        <w:rPr>
          <w:sz w:val="24"/>
        </w:rPr>
      </w:pPr>
      <w:r>
        <w:rPr>
          <w:sz w:val="24"/>
        </w:rPr>
        <w:t>The area of built up amenity shall be counted in FSI initially and after handing over of said built up amenity, the area of built up amenity shall be allowed free of FSI. Commencement Certificate in respect of BUA in lieu</w:t>
      </w:r>
      <w:r>
        <w:rPr>
          <w:spacing w:val="-10"/>
          <w:sz w:val="24"/>
        </w:rPr>
        <w:t> </w:t>
      </w:r>
      <w:r>
        <w:rPr>
          <w:sz w:val="24"/>
        </w:rPr>
        <w:t>of</w:t>
      </w:r>
      <w:r>
        <w:rPr>
          <w:spacing w:val="-10"/>
          <w:sz w:val="24"/>
        </w:rPr>
        <w:t> </w:t>
      </w:r>
      <w:r>
        <w:rPr>
          <w:sz w:val="24"/>
        </w:rPr>
        <w:t>the</w:t>
      </w:r>
      <w:r>
        <w:rPr>
          <w:spacing w:val="-9"/>
          <w:sz w:val="24"/>
        </w:rPr>
        <w:t> </w:t>
      </w:r>
      <w:r>
        <w:rPr>
          <w:sz w:val="24"/>
        </w:rPr>
        <w:t>built-up</w:t>
      </w:r>
      <w:r>
        <w:rPr>
          <w:spacing w:val="-7"/>
          <w:sz w:val="24"/>
        </w:rPr>
        <w:t> </w:t>
      </w:r>
      <w:r>
        <w:rPr>
          <w:sz w:val="24"/>
        </w:rPr>
        <w:t>amenity</w:t>
      </w:r>
      <w:r>
        <w:rPr>
          <w:spacing w:val="-9"/>
          <w:sz w:val="24"/>
        </w:rPr>
        <w:t> </w:t>
      </w:r>
      <w:r>
        <w:rPr>
          <w:sz w:val="24"/>
        </w:rPr>
        <w:t>to</w:t>
      </w:r>
      <w:r>
        <w:rPr>
          <w:spacing w:val="-10"/>
          <w:sz w:val="24"/>
        </w:rPr>
        <w:t> </w:t>
      </w:r>
      <w:r>
        <w:rPr>
          <w:sz w:val="24"/>
        </w:rPr>
        <w:t>be</w:t>
      </w:r>
      <w:r>
        <w:rPr>
          <w:spacing w:val="-10"/>
          <w:sz w:val="24"/>
        </w:rPr>
        <w:t> </w:t>
      </w:r>
      <w:r>
        <w:rPr>
          <w:sz w:val="24"/>
        </w:rPr>
        <w:t>handed</w:t>
      </w:r>
      <w:r>
        <w:rPr>
          <w:spacing w:val="-8"/>
          <w:sz w:val="24"/>
        </w:rPr>
        <w:t> </w:t>
      </w:r>
      <w:r>
        <w:rPr>
          <w:sz w:val="24"/>
        </w:rPr>
        <w:t>over</w:t>
      </w:r>
      <w:r>
        <w:rPr>
          <w:spacing w:val="-10"/>
          <w:sz w:val="24"/>
        </w:rPr>
        <w:t> </w:t>
      </w:r>
      <w:r>
        <w:rPr>
          <w:sz w:val="24"/>
        </w:rPr>
        <w:t>to</w:t>
      </w:r>
      <w:r>
        <w:rPr>
          <w:spacing w:val="-10"/>
          <w:sz w:val="24"/>
        </w:rPr>
        <w:t> </w:t>
      </w:r>
      <w:r>
        <w:rPr>
          <w:sz w:val="24"/>
        </w:rPr>
        <w:t>MCGM</w:t>
      </w:r>
      <w:r>
        <w:rPr>
          <w:spacing w:val="-7"/>
          <w:sz w:val="24"/>
        </w:rPr>
        <w:t> </w:t>
      </w:r>
      <w:r>
        <w:rPr>
          <w:sz w:val="24"/>
        </w:rPr>
        <w:t>under</w:t>
      </w:r>
      <w:r>
        <w:rPr>
          <w:spacing w:val="-8"/>
          <w:sz w:val="24"/>
        </w:rPr>
        <w:t> </w:t>
      </w:r>
      <w:r>
        <w:rPr>
          <w:sz w:val="24"/>
        </w:rPr>
        <w:t>AR</w:t>
      </w:r>
      <w:r>
        <w:rPr>
          <w:spacing w:val="-10"/>
          <w:sz w:val="24"/>
        </w:rPr>
        <w:t> </w:t>
      </w:r>
      <w:r>
        <w:rPr>
          <w:sz w:val="24"/>
        </w:rPr>
        <w:t>can</w:t>
      </w:r>
      <w:r>
        <w:rPr>
          <w:spacing w:val="-10"/>
          <w:sz w:val="24"/>
        </w:rPr>
        <w:t> </w:t>
      </w:r>
      <w:r>
        <w:rPr>
          <w:sz w:val="24"/>
        </w:rPr>
        <w:t>be granted only after handing over of such built up amenity</w:t>
      </w:r>
    </w:p>
    <w:p>
      <w:pPr>
        <w:pStyle w:val="ListParagraph"/>
        <w:numPr>
          <w:ilvl w:val="0"/>
          <w:numId w:val="112"/>
        </w:numPr>
        <w:tabs>
          <w:tab w:pos="1869" w:val="left" w:leader="none"/>
          <w:tab w:pos="1872" w:val="left" w:leader="none"/>
        </w:tabs>
        <w:spacing w:line="240" w:lineRule="auto" w:before="240" w:after="0"/>
        <w:ind w:left="1872" w:right="769" w:hanging="440"/>
        <w:jc w:val="both"/>
        <w:rPr>
          <w:sz w:val="24"/>
        </w:rPr>
      </w:pPr>
      <w:r>
        <w:rPr>
          <w:sz w:val="24"/>
        </w:rPr>
        <w:t>Fungible Compensatory Area/BUA shall be permissible over and above permissible FSI as per column no 7 of Table No.12 above and as per the provisions of Regulation no 31(3).</w:t>
      </w:r>
    </w:p>
    <w:p>
      <w:pPr>
        <w:pStyle w:val="BodyText"/>
        <w:jc w:val="left"/>
      </w:pPr>
    </w:p>
    <w:p>
      <w:pPr>
        <w:pStyle w:val="ListParagraph"/>
        <w:numPr>
          <w:ilvl w:val="0"/>
          <w:numId w:val="112"/>
        </w:numPr>
        <w:tabs>
          <w:tab w:pos="1869" w:val="left" w:leader="none"/>
          <w:tab w:pos="1872" w:val="left" w:leader="none"/>
        </w:tabs>
        <w:spacing w:line="240" w:lineRule="auto" w:before="0" w:after="0"/>
        <w:ind w:left="1872" w:right="772" w:hanging="440"/>
        <w:jc w:val="both"/>
        <w:rPr>
          <w:sz w:val="24"/>
        </w:rPr>
      </w:pPr>
      <w:r>
        <w:rPr>
          <w:sz w:val="24"/>
        </w:rPr>
        <mc:AlternateContent>
          <mc:Choice Requires="wps">
            <w:drawing>
              <wp:anchor distT="0" distB="0" distL="0" distR="0" allowOverlap="1" layoutInCell="1" locked="0" behindDoc="1" simplePos="0" relativeHeight="471348224">
                <wp:simplePos x="0" y="0"/>
                <wp:positionH relativeFrom="page">
                  <wp:posOffset>5603494</wp:posOffset>
                </wp:positionH>
                <wp:positionV relativeFrom="paragraph">
                  <wp:posOffset>349055</wp:posOffset>
                </wp:positionV>
                <wp:extent cx="48895" cy="187960"/>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48895" cy="187960"/>
                        </a:xfrm>
                        <a:custGeom>
                          <a:avLst/>
                          <a:gdLst/>
                          <a:ahLst/>
                          <a:cxnLst/>
                          <a:rect l="l" t="t" r="r" b="b"/>
                          <a:pathLst>
                            <a:path w="48895" h="187960">
                              <a:moveTo>
                                <a:pt x="48767" y="0"/>
                              </a:moveTo>
                              <a:lnTo>
                                <a:pt x="0" y="0"/>
                              </a:lnTo>
                              <a:lnTo>
                                <a:pt x="0" y="187451"/>
                              </a:lnTo>
                              <a:lnTo>
                                <a:pt x="48767" y="187451"/>
                              </a:lnTo>
                              <a:lnTo>
                                <a:pt x="48767" y="0"/>
                              </a:lnTo>
                              <a:close/>
                            </a:path>
                          </a:pathLst>
                        </a:custGeom>
                        <a:solidFill>
                          <a:srgbClr val="FFCCFF"/>
                        </a:solidFill>
                      </wps:spPr>
                      <wps:bodyPr wrap="square" lIns="0" tIns="0" rIns="0" bIns="0" rtlCol="0">
                        <a:prstTxWarp prst="textNoShape">
                          <a:avLst/>
                        </a:prstTxWarp>
                        <a:noAutofit/>
                      </wps:bodyPr>
                    </wps:wsp>
                  </a:graphicData>
                </a:graphic>
              </wp:anchor>
            </w:drawing>
          </mc:Choice>
          <mc:Fallback>
            <w:pict>
              <v:rect style="position:absolute;margin-left:441.220001pt;margin-top:27.484688pt;width:3.84pt;height:14.76pt;mso-position-horizontal-relative:page;mso-position-vertical-relative:paragraph;z-index:-31968256" id="docshape167" filled="true" fillcolor="#ffccff" stroked="false">
                <v:fill type="solid"/>
                <w10:wrap type="none"/>
              </v:rect>
            </w:pict>
          </mc:Fallback>
        </mc:AlternateContent>
      </w:r>
      <w:r>
        <w:rPr>
          <w:sz w:val="24"/>
        </w:rPr>
        <w:t>The</w:t>
      </w:r>
      <w:r>
        <w:rPr>
          <w:spacing w:val="-4"/>
          <w:sz w:val="24"/>
        </w:rPr>
        <w:t> </w:t>
      </w:r>
      <w:r>
        <w:rPr>
          <w:sz w:val="24"/>
        </w:rPr>
        <w:t>Development</w:t>
      </w:r>
      <w:r>
        <w:rPr>
          <w:spacing w:val="-4"/>
          <w:sz w:val="24"/>
        </w:rPr>
        <w:t> </w:t>
      </w:r>
      <w:r>
        <w:rPr>
          <w:sz w:val="24"/>
        </w:rPr>
        <w:t>of</w:t>
      </w:r>
      <w:r>
        <w:rPr>
          <w:spacing w:val="-4"/>
          <w:sz w:val="24"/>
        </w:rPr>
        <w:t> </w:t>
      </w:r>
      <w:r>
        <w:rPr>
          <w:sz w:val="24"/>
        </w:rPr>
        <w:t>plots</w:t>
      </w:r>
      <w:r>
        <w:rPr>
          <w:spacing w:val="-4"/>
          <w:sz w:val="24"/>
        </w:rPr>
        <w:t> </w:t>
      </w:r>
      <w:r>
        <w:rPr>
          <w:sz w:val="24"/>
        </w:rPr>
        <w:t>under</w:t>
      </w:r>
      <w:r>
        <w:rPr>
          <w:spacing w:val="-4"/>
          <w:sz w:val="24"/>
        </w:rPr>
        <w:t> </w:t>
      </w:r>
      <w:r>
        <w:rPr>
          <w:sz w:val="24"/>
        </w:rPr>
        <w:t>combination</w:t>
      </w:r>
      <w:r>
        <w:rPr>
          <w:spacing w:val="-4"/>
          <w:sz w:val="24"/>
        </w:rPr>
        <w:t> </w:t>
      </w:r>
      <w:r>
        <w:rPr>
          <w:sz w:val="24"/>
        </w:rPr>
        <w:t>of</w:t>
      </w:r>
      <w:r>
        <w:rPr>
          <w:spacing w:val="-4"/>
          <w:sz w:val="24"/>
        </w:rPr>
        <w:t> </w:t>
      </w:r>
      <w:r>
        <w:rPr>
          <w:sz w:val="24"/>
        </w:rPr>
        <w:t>various</w:t>
      </w:r>
      <w:r>
        <w:rPr>
          <w:spacing w:val="-4"/>
          <w:sz w:val="24"/>
        </w:rPr>
        <w:t> </w:t>
      </w:r>
      <w:r>
        <w:rPr>
          <w:sz w:val="24"/>
        </w:rPr>
        <w:t>regulations</w:t>
      </w:r>
      <w:r>
        <w:rPr>
          <w:spacing w:val="-4"/>
          <w:sz w:val="24"/>
        </w:rPr>
        <w:t> </w:t>
      </w:r>
      <w:r>
        <w:rPr>
          <w:sz w:val="24"/>
        </w:rPr>
        <w:t>shall be</w:t>
      </w:r>
      <w:r>
        <w:rPr>
          <w:spacing w:val="40"/>
          <w:sz w:val="24"/>
        </w:rPr>
        <w:t> </w:t>
      </w:r>
      <w:r>
        <w:rPr>
          <w:sz w:val="24"/>
        </w:rPr>
        <w:t>permissible,</w:t>
      </w:r>
      <w:r>
        <w:rPr>
          <w:spacing w:val="40"/>
          <w:sz w:val="24"/>
        </w:rPr>
        <w:t> </w:t>
      </w:r>
      <w:r>
        <w:rPr>
          <w:sz w:val="24"/>
        </w:rPr>
        <w:t>but</w:t>
      </w:r>
      <w:r>
        <w:rPr>
          <w:spacing w:val="40"/>
          <w:sz w:val="24"/>
        </w:rPr>
        <w:t> </w:t>
      </w:r>
      <w:r>
        <w:rPr>
          <w:sz w:val="24"/>
        </w:rPr>
        <w:t>the</w:t>
      </w:r>
      <w:r>
        <w:rPr>
          <w:spacing w:val="40"/>
          <w:sz w:val="24"/>
        </w:rPr>
        <w:t> </w:t>
      </w:r>
      <w:r>
        <w:rPr>
          <w:sz w:val="24"/>
        </w:rPr>
        <w:t>maximum</w:t>
      </w:r>
      <w:r>
        <w:rPr>
          <w:spacing w:val="40"/>
          <w:sz w:val="24"/>
        </w:rPr>
        <w:t> </w:t>
      </w:r>
      <w:r>
        <w:rPr>
          <w:sz w:val="24"/>
        </w:rPr>
        <w:t>permissible</w:t>
      </w:r>
      <w:r>
        <w:rPr>
          <w:spacing w:val="40"/>
          <w:sz w:val="24"/>
        </w:rPr>
        <w:t> </w:t>
      </w:r>
      <w:r>
        <w:rPr>
          <w:sz w:val="24"/>
        </w:rPr>
        <w:t>FSI</w:t>
      </w:r>
      <w:r>
        <w:rPr>
          <w:spacing w:val="40"/>
          <w:sz w:val="24"/>
        </w:rPr>
        <w:t> </w:t>
      </w:r>
      <w:r>
        <w:rPr>
          <w:sz w:val="24"/>
        </w:rPr>
        <w:t>on</w:t>
      </w:r>
      <w:r>
        <w:rPr>
          <w:spacing w:val="40"/>
          <w:sz w:val="24"/>
        </w:rPr>
        <w:t>  </w:t>
      </w:r>
      <w:r>
        <w:rPr>
          <w:sz w:val="24"/>
        </w:rPr>
        <w:t>plot</w:t>
      </w:r>
      <w:r>
        <w:rPr>
          <w:spacing w:val="40"/>
          <w:sz w:val="24"/>
        </w:rPr>
        <w:t> </w:t>
      </w:r>
      <w:r>
        <w:rPr>
          <w:sz w:val="24"/>
        </w:rPr>
        <w:t>shall</w:t>
      </w:r>
      <w:r>
        <w:rPr>
          <w:spacing w:val="40"/>
          <w:sz w:val="24"/>
        </w:rPr>
        <w:t> </w:t>
      </w:r>
      <w:r>
        <w:rPr>
          <w:sz w:val="24"/>
        </w:rPr>
        <w:t>not</w:t>
      </w:r>
    </w:p>
    <w:p>
      <w:pPr>
        <w:pStyle w:val="BodyText"/>
        <w:ind w:left="1872"/>
        <w:jc w:val="left"/>
      </w:pPr>
      <w:r>
        <w:rPr/>
        <w:t>exceed</w:t>
      </w:r>
      <w:r>
        <w:rPr>
          <w:spacing w:val="-1"/>
        </w:rPr>
        <w:t> </w:t>
      </w:r>
      <w:r>
        <w:rPr/>
        <w:t>the</w:t>
      </w:r>
      <w:r>
        <w:rPr>
          <w:spacing w:val="-1"/>
        </w:rPr>
        <w:t> </w:t>
      </w:r>
      <w:r>
        <w:rPr/>
        <w:t>permissible</w:t>
      </w:r>
      <w:r>
        <w:rPr>
          <w:spacing w:val="-1"/>
        </w:rPr>
        <w:t> </w:t>
      </w:r>
      <w:r>
        <w:rPr/>
        <w:t>FSI</w:t>
      </w:r>
      <w:r>
        <w:rPr>
          <w:spacing w:val="1"/>
        </w:rPr>
        <w:t> </w:t>
      </w:r>
      <w:r>
        <w:rPr/>
        <w:t>limit</w:t>
      </w:r>
      <w:r>
        <w:rPr>
          <w:spacing w:val="-1"/>
        </w:rPr>
        <w:t> </w:t>
      </w:r>
      <w:r>
        <w:rPr/>
        <w:t>prescribed</w:t>
      </w:r>
      <w:r>
        <w:rPr>
          <w:spacing w:val="-1"/>
        </w:rPr>
        <w:t> </w:t>
      </w:r>
      <w:r>
        <w:rPr/>
        <w:t>in</w:t>
      </w:r>
      <w:r>
        <w:rPr>
          <w:spacing w:val="-1"/>
        </w:rPr>
        <w:t> </w:t>
      </w:r>
      <w:r>
        <w:rPr/>
        <w:t>respective</w:t>
      </w:r>
      <w:r>
        <w:rPr>
          <w:spacing w:val="75"/>
        </w:rPr>
        <w:t> </w:t>
      </w:r>
      <w:r>
        <w:rPr>
          <w:spacing w:val="-2"/>
        </w:rPr>
        <w:t>regulations.</w:t>
      </w:r>
    </w:p>
    <w:p>
      <w:pPr>
        <w:pStyle w:val="BodyText"/>
        <w:jc w:val="left"/>
      </w:pPr>
    </w:p>
    <w:p>
      <w:pPr>
        <w:pStyle w:val="ListParagraph"/>
        <w:numPr>
          <w:ilvl w:val="0"/>
          <w:numId w:val="112"/>
        </w:numPr>
        <w:tabs>
          <w:tab w:pos="1869" w:val="left" w:leader="none"/>
          <w:tab w:pos="1872" w:val="left" w:leader="none"/>
        </w:tabs>
        <w:spacing w:line="240" w:lineRule="auto" w:before="0" w:after="0"/>
        <w:ind w:left="1872" w:right="770" w:hanging="440"/>
        <w:jc w:val="both"/>
        <w:rPr>
          <w:sz w:val="24"/>
        </w:rPr>
      </w:pPr>
      <w:r>
        <w:rPr>
          <w:sz w:val="24"/>
        </w:rPr>
        <w:t>TDR</w:t>
      </w:r>
      <w:r>
        <w:rPr>
          <w:spacing w:val="-8"/>
          <w:sz w:val="24"/>
        </w:rPr>
        <w:t> </w:t>
      </w:r>
      <w:r>
        <w:rPr>
          <w:sz w:val="24"/>
        </w:rPr>
        <w:t>in</w:t>
      </w:r>
      <w:r>
        <w:rPr>
          <w:spacing w:val="-8"/>
          <w:sz w:val="24"/>
        </w:rPr>
        <w:t> </w:t>
      </w:r>
      <w:r>
        <w:rPr>
          <w:sz w:val="24"/>
        </w:rPr>
        <w:t>lieu</w:t>
      </w:r>
      <w:r>
        <w:rPr>
          <w:spacing w:val="-8"/>
          <w:sz w:val="24"/>
        </w:rPr>
        <w:t> </w:t>
      </w:r>
      <w:r>
        <w:rPr>
          <w:sz w:val="24"/>
        </w:rPr>
        <w:t>of</w:t>
      </w:r>
      <w:r>
        <w:rPr>
          <w:spacing w:val="-8"/>
          <w:sz w:val="24"/>
        </w:rPr>
        <w:t> </w:t>
      </w:r>
      <w:r>
        <w:rPr>
          <w:sz w:val="24"/>
        </w:rPr>
        <w:t>balance</w:t>
      </w:r>
      <w:r>
        <w:rPr>
          <w:spacing w:val="-8"/>
          <w:sz w:val="24"/>
        </w:rPr>
        <w:t> </w:t>
      </w:r>
      <w:r>
        <w:rPr>
          <w:sz w:val="24"/>
        </w:rPr>
        <w:t>BUA</w:t>
      </w:r>
      <w:r>
        <w:rPr>
          <w:spacing w:val="-8"/>
          <w:sz w:val="24"/>
        </w:rPr>
        <w:t> </w:t>
      </w:r>
      <w:r>
        <w:rPr>
          <w:sz w:val="24"/>
        </w:rPr>
        <w:t>after</w:t>
      </w:r>
      <w:r>
        <w:rPr>
          <w:spacing w:val="-8"/>
          <w:sz w:val="24"/>
        </w:rPr>
        <w:t> </w:t>
      </w:r>
      <w:r>
        <w:rPr>
          <w:sz w:val="24"/>
        </w:rPr>
        <w:t>loading</w:t>
      </w:r>
      <w:r>
        <w:rPr>
          <w:spacing w:val="-11"/>
          <w:sz w:val="24"/>
        </w:rPr>
        <w:t> </w:t>
      </w:r>
      <w:r>
        <w:rPr>
          <w:sz w:val="24"/>
        </w:rPr>
        <w:t>of</w:t>
      </w:r>
      <w:r>
        <w:rPr>
          <w:spacing w:val="-8"/>
          <w:sz w:val="24"/>
        </w:rPr>
        <w:t> </w:t>
      </w:r>
      <w:r>
        <w:rPr>
          <w:sz w:val="24"/>
        </w:rPr>
        <w:t>“additional</w:t>
      </w:r>
      <w:r>
        <w:rPr>
          <w:spacing w:val="-8"/>
          <w:sz w:val="24"/>
        </w:rPr>
        <w:t> </w:t>
      </w:r>
      <w:r>
        <w:rPr>
          <w:sz w:val="24"/>
        </w:rPr>
        <w:t>FSI</w:t>
      </w:r>
      <w:r>
        <w:rPr>
          <w:spacing w:val="-6"/>
          <w:sz w:val="24"/>
        </w:rPr>
        <w:t> </w:t>
      </w:r>
      <w:r>
        <w:rPr>
          <w:sz w:val="24"/>
        </w:rPr>
        <w:t>on</w:t>
      </w:r>
      <w:r>
        <w:rPr>
          <w:spacing w:val="-11"/>
          <w:sz w:val="24"/>
        </w:rPr>
        <w:t> </w:t>
      </w:r>
      <w:r>
        <w:rPr>
          <w:sz w:val="24"/>
        </w:rPr>
        <w:t>payment</w:t>
      </w:r>
      <w:r>
        <w:rPr>
          <w:spacing w:val="-8"/>
          <w:sz w:val="24"/>
        </w:rPr>
        <w:t> </w:t>
      </w:r>
      <w:r>
        <w:rPr>
          <w:sz w:val="24"/>
        </w:rPr>
        <w:t>of premium &amp; Admissible TDR’’ as per table 12 above shall not be </w:t>
      </w:r>
      <w:r>
        <w:rPr>
          <w:spacing w:val="-2"/>
          <w:sz w:val="24"/>
        </w:rPr>
        <w:t>permissible.</w:t>
      </w:r>
    </w:p>
    <w:p>
      <w:pPr>
        <w:pStyle w:val="BodyText"/>
        <w:spacing w:before="1"/>
        <w:jc w:val="left"/>
      </w:pPr>
    </w:p>
    <w:p>
      <w:pPr>
        <w:pStyle w:val="ListParagraph"/>
        <w:numPr>
          <w:ilvl w:val="0"/>
          <w:numId w:val="112"/>
        </w:numPr>
        <w:tabs>
          <w:tab w:pos="1851" w:val="left" w:leader="none"/>
          <w:tab w:pos="1853" w:val="left" w:leader="none"/>
        </w:tabs>
        <w:spacing w:line="240" w:lineRule="auto" w:before="0" w:after="0"/>
        <w:ind w:left="1853" w:right="770" w:hanging="449"/>
        <w:jc w:val="both"/>
        <w:rPr>
          <w:sz w:val="24"/>
        </w:rPr>
      </w:pPr>
      <w:r>
        <w:rPr>
          <w:sz w:val="24"/>
        </w:rPr>
        <w:t>In</w:t>
      </w:r>
      <w:r>
        <w:rPr>
          <w:spacing w:val="-13"/>
          <w:sz w:val="24"/>
        </w:rPr>
        <w:t> </w:t>
      </w:r>
      <w:r>
        <w:rPr>
          <w:sz w:val="24"/>
        </w:rPr>
        <w:t>case</w:t>
      </w:r>
      <w:r>
        <w:rPr>
          <w:spacing w:val="-15"/>
          <w:sz w:val="24"/>
        </w:rPr>
        <w:t> </w:t>
      </w:r>
      <w:r>
        <w:rPr>
          <w:sz w:val="24"/>
        </w:rPr>
        <w:t>of</w:t>
      </w:r>
      <w:r>
        <w:rPr>
          <w:spacing w:val="-13"/>
          <w:sz w:val="24"/>
        </w:rPr>
        <w:t> </w:t>
      </w:r>
      <w:r>
        <w:rPr>
          <w:sz w:val="24"/>
        </w:rPr>
        <w:t>development</w:t>
      </w:r>
      <w:r>
        <w:rPr>
          <w:spacing w:val="-13"/>
          <w:sz w:val="24"/>
        </w:rPr>
        <w:t> </w:t>
      </w:r>
      <w:r>
        <w:rPr>
          <w:sz w:val="24"/>
        </w:rPr>
        <w:t>as</w:t>
      </w:r>
      <w:r>
        <w:rPr>
          <w:spacing w:val="-13"/>
          <w:sz w:val="24"/>
        </w:rPr>
        <w:t> </w:t>
      </w:r>
      <w:r>
        <w:rPr>
          <w:sz w:val="24"/>
        </w:rPr>
        <w:t>per</w:t>
      </w:r>
      <w:r>
        <w:rPr>
          <w:spacing w:val="-13"/>
          <w:sz w:val="24"/>
        </w:rPr>
        <w:t> </w:t>
      </w:r>
      <w:r>
        <w:rPr>
          <w:sz w:val="24"/>
        </w:rPr>
        <w:t>this</w:t>
      </w:r>
      <w:r>
        <w:rPr>
          <w:spacing w:val="-13"/>
          <w:sz w:val="24"/>
        </w:rPr>
        <w:t> </w:t>
      </w:r>
      <w:r>
        <w:rPr>
          <w:sz w:val="24"/>
        </w:rPr>
        <w:t>regulation</w:t>
      </w:r>
      <w:r>
        <w:rPr>
          <w:spacing w:val="-13"/>
          <w:sz w:val="24"/>
        </w:rPr>
        <w:t> </w:t>
      </w:r>
      <w:r>
        <w:rPr>
          <w:sz w:val="24"/>
        </w:rPr>
        <w:t>and/or</w:t>
      </w:r>
      <w:r>
        <w:rPr>
          <w:spacing w:val="-13"/>
          <w:sz w:val="24"/>
        </w:rPr>
        <w:t> </w:t>
      </w:r>
      <w:r>
        <w:rPr>
          <w:sz w:val="24"/>
        </w:rPr>
        <w:t>under</w:t>
      </w:r>
      <w:r>
        <w:rPr>
          <w:spacing w:val="-13"/>
          <w:sz w:val="24"/>
        </w:rPr>
        <w:t> </w:t>
      </w:r>
      <w:r>
        <w:rPr>
          <w:sz w:val="24"/>
        </w:rPr>
        <w:t>the</w:t>
      </w:r>
      <w:r>
        <w:rPr>
          <w:spacing w:val="-13"/>
          <w:sz w:val="24"/>
        </w:rPr>
        <w:t> </w:t>
      </w:r>
      <w:r>
        <w:rPr>
          <w:sz w:val="24"/>
        </w:rPr>
        <w:t>provisions of</w:t>
      </w:r>
      <w:r>
        <w:rPr>
          <w:spacing w:val="-20"/>
          <w:sz w:val="24"/>
        </w:rPr>
        <w:t> </w:t>
      </w:r>
      <w:r>
        <w:rPr>
          <w:sz w:val="24"/>
        </w:rPr>
        <w:t>33(2),</w:t>
      </w:r>
      <w:r>
        <w:rPr>
          <w:spacing w:val="-20"/>
          <w:sz w:val="24"/>
        </w:rPr>
        <w:t> </w:t>
      </w:r>
      <w:r>
        <w:rPr>
          <w:sz w:val="24"/>
        </w:rPr>
        <w:t>33(3),</w:t>
      </w:r>
      <w:r>
        <w:rPr>
          <w:spacing w:val="-20"/>
          <w:sz w:val="24"/>
        </w:rPr>
        <w:t> </w:t>
      </w:r>
      <w:r>
        <w:rPr>
          <w:sz w:val="24"/>
        </w:rPr>
        <w:t>33(3)</w:t>
      </w:r>
      <w:r>
        <w:rPr>
          <w:spacing w:val="-20"/>
          <w:sz w:val="24"/>
        </w:rPr>
        <w:t> </w:t>
      </w:r>
      <w:r>
        <w:rPr>
          <w:sz w:val="24"/>
        </w:rPr>
        <w:t>(A),</w:t>
      </w:r>
      <w:r>
        <w:rPr>
          <w:spacing w:val="-20"/>
          <w:sz w:val="24"/>
        </w:rPr>
        <w:t> </w:t>
      </w:r>
      <w:r>
        <w:rPr>
          <w:sz w:val="24"/>
        </w:rPr>
        <w:t>33(3)</w:t>
      </w:r>
      <w:r>
        <w:rPr>
          <w:spacing w:val="-20"/>
          <w:sz w:val="24"/>
        </w:rPr>
        <w:t> </w:t>
      </w:r>
      <w:r>
        <w:rPr>
          <w:sz w:val="24"/>
        </w:rPr>
        <w:t>(B),</w:t>
      </w:r>
      <w:r>
        <w:rPr>
          <w:spacing w:val="-20"/>
          <w:sz w:val="24"/>
        </w:rPr>
        <w:t> </w:t>
      </w:r>
      <w:r>
        <w:rPr>
          <w:sz w:val="24"/>
        </w:rPr>
        <w:t>33(8)</w:t>
      </w:r>
      <w:r>
        <w:rPr>
          <w:spacing w:val="-20"/>
          <w:sz w:val="24"/>
        </w:rPr>
        <w:t> </w:t>
      </w:r>
      <w:r>
        <w:rPr>
          <w:sz w:val="24"/>
        </w:rPr>
        <w:t>(B),</w:t>
      </w:r>
      <w:r>
        <w:rPr>
          <w:spacing w:val="-20"/>
          <w:sz w:val="24"/>
        </w:rPr>
        <w:t> </w:t>
      </w:r>
      <w:r>
        <w:rPr>
          <w:sz w:val="24"/>
        </w:rPr>
        <w:t>33(11),</w:t>
      </w:r>
      <w:r>
        <w:rPr>
          <w:spacing w:val="-20"/>
          <w:sz w:val="24"/>
        </w:rPr>
        <w:t> </w:t>
      </w:r>
      <w:r>
        <w:rPr>
          <w:sz w:val="24"/>
        </w:rPr>
        <w:t>33(20)</w:t>
      </w:r>
      <w:r>
        <w:rPr>
          <w:spacing w:val="-20"/>
          <w:sz w:val="24"/>
        </w:rPr>
        <w:t> </w:t>
      </w:r>
      <w:r>
        <w:rPr>
          <w:sz w:val="24"/>
        </w:rPr>
        <w:t>(A)</w:t>
      </w:r>
      <w:r>
        <w:rPr>
          <w:spacing w:val="-20"/>
          <w:sz w:val="24"/>
        </w:rPr>
        <w:t> </w:t>
      </w:r>
      <w:r>
        <w:rPr>
          <w:sz w:val="24"/>
        </w:rPr>
        <w:t>the</w:t>
      </w:r>
      <w:r>
        <w:rPr>
          <w:spacing w:val="-20"/>
          <w:sz w:val="24"/>
        </w:rPr>
        <w:t> </w:t>
      </w:r>
      <w:r>
        <w:rPr>
          <w:sz w:val="24"/>
        </w:rPr>
        <w:t>premium</w:t>
      </w:r>
    </w:p>
    <w:p>
      <w:pPr>
        <w:pStyle w:val="BodyText"/>
        <w:spacing w:before="1"/>
        <w:ind w:left="1853" w:right="769"/>
      </w:pPr>
      <w:r>
        <w:rPr/>
        <w:t>shall be applicable</w:t>
      </w:r>
      <w:r>
        <w:rPr>
          <w:spacing w:val="40"/>
        </w:rPr>
        <w:t> </w:t>
      </w:r>
      <w:r>
        <w:rPr/>
        <w:t>to</w:t>
      </w:r>
      <w:r>
        <w:rPr>
          <w:spacing w:val="40"/>
        </w:rPr>
        <w:t> </w:t>
      </w:r>
      <w:r>
        <w:rPr/>
        <w:t>the Central Govt. and their statutory bodies/Central Govt. undertaking/State Govt. undertaking etc. </w:t>
      </w:r>
      <w:r>
        <w:rPr/>
        <w:t>except State Govt. and MCGM itself.</w:t>
      </w:r>
    </w:p>
    <w:p>
      <w:pPr>
        <w:pStyle w:val="BodyText"/>
        <w:spacing w:before="240"/>
        <w:ind w:left="2532" w:right="773" w:hanging="660"/>
      </w:pPr>
      <w:r>
        <w:rPr/>
        <w:t>Note:</w:t>
      </w:r>
      <w:r>
        <w:rPr>
          <w:spacing w:val="-20"/>
        </w:rPr>
        <w:t> </w:t>
      </w:r>
      <w:r>
        <w:rPr/>
        <w:t>(1)</w:t>
      </w:r>
      <w:r>
        <w:rPr>
          <w:spacing w:val="-5"/>
        </w:rPr>
        <w:t> </w:t>
      </w:r>
      <w:r>
        <w:rPr/>
        <w:t>Area</w:t>
      </w:r>
      <w:r>
        <w:rPr>
          <w:spacing w:val="-1"/>
        </w:rPr>
        <w:t> </w:t>
      </w:r>
      <w:r>
        <w:rPr/>
        <w:t>of Layout</w:t>
      </w:r>
      <w:r>
        <w:rPr>
          <w:spacing w:val="-1"/>
        </w:rPr>
        <w:t> </w:t>
      </w:r>
      <w:r>
        <w:rPr/>
        <w:t>open</w:t>
      </w:r>
      <w:r>
        <w:rPr>
          <w:spacing w:val="-1"/>
        </w:rPr>
        <w:t> </w:t>
      </w:r>
      <w:r>
        <w:rPr/>
        <w:t>spaces as</w:t>
      </w:r>
      <w:r>
        <w:rPr>
          <w:spacing w:val="-1"/>
        </w:rPr>
        <w:t> </w:t>
      </w:r>
      <w:r>
        <w:rPr/>
        <w:t>required</w:t>
      </w:r>
      <w:r>
        <w:rPr>
          <w:spacing w:val="-1"/>
        </w:rPr>
        <w:t> </w:t>
      </w:r>
      <w:r>
        <w:rPr/>
        <w:t>under</w:t>
      </w:r>
      <w:r>
        <w:rPr>
          <w:spacing w:val="-1"/>
        </w:rPr>
        <w:t> </w:t>
      </w:r>
      <w:r>
        <w:rPr/>
        <w:t>Regulation</w:t>
      </w:r>
      <w:r>
        <w:rPr>
          <w:spacing w:val="-1"/>
        </w:rPr>
        <w:t> </w:t>
      </w:r>
      <w:r>
        <w:rPr/>
        <w:t>No</w:t>
      </w:r>
      <w:r>
        <w:rPr>
          <w:spacing w:val="-1"/>
        </w:rPr>
        <w:t> </w:t>
      </w:r>
      <w:r>
        <w:rPr/>
        <w:t>27 shall not be deducted for the computation of BUA/FSI.</w:t>
      </w:r>
    </w:p>
    <w:p>
      <w:pPr>
        <w:pStyle w:val="ListParagraph"/>
        <w:numPr>
          <w:ilvl w:val="1"/>
          <w:numId w:val="112"/>
        </w:numPr>
        <w:tabs>
          <w:tab w:pos="2893" w:val="left" w:leader="none"/>
        </w:tabs>
        <w:spacing w:line="240" w:lineRule="auto" w:before="0" w:after="0"/>
        <w:ind w:left="2532" w:right="768" w:firstLine="0"/>
        <w:jc w:val="both"/>
        <w:rPr>
          <w:sz w:val="24"/>
        </w:rPr>
      </w:pPr>
      <w:r>
        <w:rPr>
          <w:sz w:val="24"/>
        </w:rPr>
        <w:t>In</w:t>
      </w:r>
      <w:r>
        <w:rPr>
          <w:spacing w:val="-12"/>
          <w:sz w:val="24"/>
        </w:rPr>
        <w:t> </w:t>
      </w:r>
      <w:r>
        <w:rPr>
          <w:sz w:val="24"/>
        </w:rPr>
        <w:t>case</w:t>
      </w:r>
      <w:r>
        <w:rPr>
          <w:spacing w:val="-12"/>
          <w:sz w:val="24"/>
        </w:rPr>
        <w:t> </w:t>
      </w:r>
      <w:r>
        <w:rPr>
          <w:sz w:val="24"/>
        </w:rPr>
        <w:t>of</w:t>
      </w:r>
      <w:r>
        <w:rPr>
          <w:spacing w:val="-13"/>
          <w:sz w:val="24"/>
        </w:rPr>
        <w:t> </w:t>
      </w:r>
      <w:r>
        <w:rPr>
          <w:sz w:val="24"/>
        </w:rPr>
        <w:t>new</w:t>
      </w:r>
      <w:r>
        <w:rPr>
          <w:spacing w:val="-12"/>
          <w:sz w:val="24"/>
        </w:rPr>
        <w:t> </w:t>
      </w:r>
      <w:r>
        <w:rPr>
          <w:sz w:val="24"/>
        </w:rPr>
        <w:t>Development/Redevelopment</w:t>
      </w:r>
      <w:r>
        <w:rPr>
          <w:spacing w:val="-12"/>
          <w:sz w:val="24"/>
        </w:rPr>
        <w:t> </w:t>
      </w:r>
      <w:r>
        <w:rPr>
          <w:sz w:val="24"/>
        </w:rPr>
        <w:t>proposal</w:t>
      </w:r>
      <w:r>
        <w:rPr>
          <w:spacing w:val="-11"/>
          <w:sz w:val="24"/>
        </w:rPr>
        <w:t> </w:t>
      </w:r>
      <w:r>
        <w:rPr>
          <w:sz w:val="24"/>
        </w:rPr>
        <w:t>under</w:t>
      </w:r>
      <w:r>
        <w:rPr>
          <w:spacing w:val="-12"/>
          <w:sz w:val="24"/>
        </w:rPr>
        <w:t> </w:t>
      </w:r>
      <w:r>
        <w:rPr>
          <w:sz w:val="24"/>
        </w:rPr>
        <w:t>this Regulation, where the</w:t>
      </w:r>
      <w:r>
        <w:rPr>
          <w:spacing w:val="40"/>
          <w:sz w:val="24"/>
        </w:rPr>
        <w:t> </w:t>
      </w:r>
      <w:r>
        <w:rPr>
          <w:sz w:val="24"/>
        </w:rPr>
        <w:t>plot is affected by Road line/DP Road/Reservation and where the land affected by</w:t>
      </w:r>
      <w:r>
        <w:rPr>
          <w:spacing w:val="40"/>
          <w:sz w:val="24"/>
        </w:rPr>
        <w:t> </w:t>
      </w:r>
      <w:r>
        <w:rPr>
          <w:sz w:val="24"/>
        </w:rPr>
        <w:t>Road line/DP Road/Reservation is either merged or handed over to MCGM/Appropriate Authority &amp;where FSI benefit of the same had already been</w:t>
      </w:r>
      <w:r>
        <w:rPr>
          <w:spacing w:val="-1"/>
          <w:sz w:val="24"/>
        </w:rPr>
        <w:t> </w:t>
      </w:r>
      <w:r>
        <w:rPr>
          <w:sz w:val="24"/>
        </w:rPr>
        <w:t>taken</w:t>
      </w:r>
      <w:r>
        <w:rPr>
          <w:spacing w:val="-1"/>
          <w:sz w:val="24"/>
        </w:rPr>
        <w:t> </w:t>
      </w:r>
      <w:r>
        <w:rPr>
          <w:sz w:val="24"/>
        </w:rPr>
        <w:t>in</w:t>
      </w:r>
      <w:r>
        <w:rPr>
          <w:spacing w:val="-1"/>
          <w:sz w:val="24"/>
        </w:rPr>
        <w:t> </w:t>
      </w:r>
      <w:r>
        <w:rPr>
          <w:sz w:val="24"/>
        </w:rPr>
        <w:t>the</w:t>
      </w:r>
      <w:r>
        <w:rPr>
          <w:spacing w:val="-1"/>
          <w:sz w:val="24"/>
        </w:rPr>
        <w:t> </w:t>
      </w:r>
      <w:r>
        <w:rPr>
          <w:sz w:val="24"/>
        </w:rPr>
        <w:t>earlier</w:t>
      </w:r>
      <w:r>
        <w:rPr>
          <w:spacing w:val="-1"/>
          <w:sz w:val="24"/>
        </w:rPr>
        <w:t> </w:t>
      </w:r>
      <w:r>
        <w:rPr>
          <w:sz w:val="24"/>
        </w:rPr>
        <w:t>development</w:t>
      </w:r>
      <w:r>
        <w:rPr>
          <w:spacing w:val="-1"/>
          <w:sz w:val="24"/>
        </w:rPr>
        <w:t> </w:t>
      </w:r>
      <w:r>
        <w:rPr>
          <w:sz w:val="24"/>
        </w:rPr>
        <w:t>proposal</w:t>
      </w:r>
      <w:r>
        <w:rPr>
          <w:spacing w:val="-1"/>
          <w:sz w:val="24"/>
        </w:rPr>
        <w:t> </w:t>
      </w:r>
      <w:r>
        <w:rPr>
          <w:sz w:val="24"/>
        </w:rPr>
        <w:t>as</w:t>
      </w:r>
      <w:r>
        <w:rPr>
          <w:spacing w:val="-1"/>
          <w:sz w:val="24"/>
        </w:rPr>
        <w:t> </w:t>
      </w:r>
      <w:r>
        <w:rPr>
          <w:sz w:val="24"/>
        </w:rPr>
        <w:t>per</w:t>
      </w:r>
      <w:r>
        <w:rPr>
          <w:spacing w:val="-1"/>
          <w:sz w:val="24"/>
        </w:rPr>
        <w:t> </w:t>
      </w:r>
      <w:r>
        <w:rPr>
          <w:sz w:val="24"/>
        </w:rPr>
        <w:t>then prevailing Regulation or monetary compensation had been claimed in</w:t>
      </w:r>
      <w:r>
        <w:rPr>
          <w:spacing w:val="-1"/>
          <w:sz w:val="24"/>
        </w:rPr>
        <w:t> </w:t>
      </w:r>
      <w:r>
        <w:rPr>
          <w:sz w:val="24"/>
        </w:rPr>
        <w:t>the</w:t>
      </w:r>
      <w:r>
        <w:rPr>
          <w:spacing w:val="-1"/>
          <w:sz w:val="24"/>
        </w:rPr>
        <w:t> </w:t>
      </w:r>
      <w:r>
        <w:rPr>
          <w:sz w:val="24"/>
        </w:rPr>
        <w:t>past,</w:t>
      </w:r>
      <w:r>
        <w:rPr>
          <w:spacing w:val="-1"/>
          <w:sz w:val="24"/>
        </w:rPr>
        <w:t> </w:t>
      </w:r>
      <w:r>
        <w:rPr>
          <w:sz w:val="24"/>
        </w:rPr>
        <w:t>but ownership</w:t>
      </w:r>
      <w:r>
        <w:rPr>
          <w:spacing w:val="-1"/>
          <w:sz w:val="24"/>
        </w:rPr>
        <w:t> </w:t>
      </w:r>
      <w:r>
        <w:rPr>
          <w:sz w:val="24"/>
        </w:rPr>
        <w:t>has</w:t>
      </w:r>
      <w:r>
        <w:rPr>
          <w:spacing w:val="-1"/>
          <w:sz w:val="24"/>
        </w:rPr>
        <w:t> </w:t>
      </w:r>
      <w:r>
        <w:rPr>
          <w:sz w:val="24"/>
        </w:rPr>
        <w:t>not</w:t>
      </w:r>
      <w:r>
        <w:rPr>
          <w:spacing w:val="-1"/>
          <w:sz w:val="24"/>
        </w:rPr>
        <w:t> </w:t>
      </w:r>
      <w:r>
        <w:rPr>
          <w:sz w:val="24"/>
        </w:rPr>
        <w:t>been</w:t>
      </w:r>
      <w:r>
        <w:rPr>
          <w:spacing w:val="-3"/>
          <w:sz w:val="24"/>
        </w:rPr>
        <w:t> </w:t>
      </w:r>
      <w:r>
        <w:rPr>
          <w:sz w:val="24"/>
        </w:rPr>
        <w:t>transferred</w:t>
      </w:r>
      <w:r>
        <w:rPr>
          <w:spacing w:val="-1"/>
          <w:sz w:val="24"/>
        </w:rPr>
        <w:t> </w:t>
      </w:r>
      <w:r>
        <w:rPr>
          <w:sz w:val="24"/>
        </w:rPr>
        <w:t>in</w:t>
      </w:r>
      <w:r>
        <w:rPr>
          <w:spacing w:val="-1"/>
          <w:sz w:val="24"/>
        </w:rPr>
        <w:t> </w:t>
      </w:r>
      <w:r>
        <w:rPr>
          <w:sz w:val="24"/>
        </w:rPr>
        <w:t>the</w:t>
      </w:r>
      <w:r>
        <w:rPr>
          <w:spacing w:val="-1"/>
          <w:sz w:val="24"/>
        </w:rPr>
        <w:t> </w:t>
      </w:r>
      <w:r>
        <w:rPr>
          <w:sz w:val="24"/>
        </w:rPr>
        <w:t>name</w:t>
      </w:r>
      <w:r>
        <w:rPr>
          <w:spacing w:val="-1"/>
          <w:sz w:val="24"/>
        </w:rPr>
        <w:t> </w:t>
      </w:r>
      <w:r>
        <w:rPr>
          <w:sz w:val="24"/>
        </w:rPr>
        <w:t>of MCGM/Appropriate Authority, in such cases the gross plot area shall be reckoned after deduction of such areas.</w:t>
      </w:r>
    </w:p>
    <w:p>
      <w:pPr>
        <w:pStyle w:val="ListParagraph"/>
        <w:numPr>
          <w:ilvl w:val="1"/>
          <w:numId w:val="112"/>
        </w:numPr>
        <w:tabs>
          <w:tab w:pos="2823" w:val="left" w:leader="none"/>
        </w:tabs>
        <w:spacing w:line="240" w:lineRule="auto" w:before="0" w:after="0"/>
        <w:ind w:left="2532" w:right="769" w:firstLine="0"/>
        <w:jc w:val="both"/>
        <w:rPr>
          <w:sz w:val="24"/>
        </w:rPr>
      </w:pPr>
      <w:r>
        <w:rPr>
          <w:sz w:val="24"/>
        </w:rPr>
        <w:t>The Occupation Certificate for buildings constructed out of last 25% of admissible FSI for residential/commercial use shall be granted by the Commissioner only after recreational area is developed and structure for recreational activities are actually provided</w:t>
      </w:r>
      <w:r>
        <w:rPr>
          <w:spacing w:val="-3"/>
          <w:sz w:val="24"/>
        </w:rPr>
        <w:t> </w:t>
      </w:r>
      <w:r>
        <w:rPr>
          <w:sz w:val="24"/>
        </w:rPr>
        <w:t>on</w:t>
      </w:r>
      <w:r>
        <w:rPr>
          <w:spacing w:val="-3"/>
          <w:sz w:val="24"/>
        </w:rPr>
        <w:t> </w:t>
      </w:r>
      <w:r>
        <w:rPr>
          <w:sz w:val="24"/>
        </w:rPr>
        <w:t>site.</w:t>
      </w:r>
      <w:r>
        <w:rPr>
          <w:spacing w:val="-3"/>
          <w:sz w:val="24"/>
        </w:rPr>
        <w:t> </w:t>
      </w:r>
      <w:r>
        <w:rPr>
          <w:sz w:val="24"/>
        </w:rPr>
        <w:t>Provided</w:t>
      </w:r>
      <w:r>
        <w:rPr>
          <w:spacing w:val="-3"/>
          <w:sz w:val="24"/>
        </w:rPr>
        <w:t> </w:t>
      </w:r>
      <w:r>
        <w:rPr>
          <w:sz w:val="24"/>
        </w:rPr>
        <w:t>further</w:t>
      </w:r>
      <w:r>
        <w:rPr>
          <w:spacing w:val="-3"/>
          <w:sz w:val="24"/>
        </w:rPr>
        <w:t> </w:t>
      </w:r>
      <w:r>
        <w:rPr>
          <w:sz w:val="24"/>
        </w:rPr>
        <w:t>that</w:t>
      </w:r>
      <w:r>
        <w:rPr>
          <w:spacing w:val="-3"/>
          <w:sz w:val="24"/>
        </w:rPr>
        <w:t> </w:t>
      </w:r>
      <w:r>
        <w:rPr>
          <w:sz w:val="24"/>
        </w:rPr>
        <w:t>in</w:t>
      </w:r>
      <w:r>
        <w:rPr>
          <w:spacing w:val="-3"/>
          <w:sz w:val="24"/>
        </w:rPr>
        <w:t> </w:t>
      </w:r>
      <w:r>
        <w:rPr>
          <w:sz w:val="24"/>
        </w:rPr>
        <w:t>case</w:t>
      </w:r>
      <w:r>
        <w:rPr>
          <w:spacing w:val="-3"/>
          <w:sz w:val="24"/>
        </w:rPr>
        <w:t> </w:t>
      </w:r>
      <w:r>
        <w:rPr>
          <w:sz w:val="24"/>
        </w:rPr>
        <w:t>of</w:t>
      </w:r>
      <w:r>
        <w:rPr>
          <w:spacing w:val="-3"/>
          <w:sz w:val="24"/>
        </w:rPr>
        <w:t> </w:t>
      </w:r>
      <w:r>
        <w:rPr>
          <w:sz w:val="24"/>
        </w:rPr>
        <w:t>layout</w:t>
      </w:r>
      <w:r>
        <w:rPr>
          <w:spacing w:val="-3"/>
          <w:sz w:val="24"/>
        </w:rPr>
        <w:t> </w:t>
      </w:r>
      <w:r>
        <w:rPr>
          <w:sz w:val="24"/>
        </w:rPr>
        <w:t>having</w:t>
      </w:r>
      <w:r>
        <w:rPr>
          <w:spacing w:val="-3"/>
          <w:sz w:val="24"/>
        </w:rPr>
        <w:t> </w:t>
      </w:r>
      <w:r>
        <w:rPr>
          <w:sz w:val="24"/>
        </w:rPr>
        <w:t>2</w:t>
      </w:r>
      <w:r>
        <w:rPr>
          <w:spacing w:val="-3"/>
          <w:sz w:val="24"/>
        </w:rPr>
        <w:t> </w:t>
      </w:r>
      <w:r>
        <w:rPr>
          <w:sz w:val="24"/>
        </w:rPr>
        <w:t>or more</w:t>
      </w:r>
      <w:r>
        <w:rPr>
          <w:spacing w:val="-17"/>
          <w:sz w:val="24"/>
        </w:rPr>
        <w:t> </w:t>
      </w:r>
      <w:r>
        <w:rPr>
          <w:sz w:val="24"/>
        </w:rPr>
        <w:t>buildings,</w:t>
      </w:r>
      <w:r>
        <w:rPr>
          <w:spacing w:val="-17"/>
          <w:sz w:val="24"/>
        </w:rPr>
        <w:t> </w:t>
      </w:r>
      <w:r>
        <w:rPr>
          <w:sz w:val="24"/>
        </w:rPr>
        <w:t>development</w:t>
      </w:r>
      <w:r>
        <w:rPr>
          <w:spacing w:val="-17"/>
          <w:sz w:val="24"/>
        </w:rPr>
        <w:t> </w:t>
      </w:r>
      <w:r>
        <w:rPr>
          <w:sz w:val="24"/>
        </w:rPr>
        <w:t>of</w:t>
      </w:r>
      <w:r>
        <w:rPr>
          <w:spacing w:val="-17"/>
          <w:sz w:val="24"/>
        </w:rPr>
        <w:t> </w:t>
      </w:r>
      <w:r>
        <w:rPr>
          <w:sz w:val="24"/>
        </w:rPr>
        <w:t>proportionate</w:t>
      </w:r>
      <w:r>
        <w:rPr>
          <w:spacing w:val="-17"/>
          <w:sz w:val="24"/>
        </w:rPr>
        <w:t> </w:t>
      </w:r>
      <w:r>
        <w:rPr>
          <w:sz w:val="24"/>
        </w:rPr>
        <w:t>recreational</w:t>
      </w:r>
      <w:r>
        <w:rPr>
          <w:spacing w:val="-17"/>
          <w:sz w:val="24"/>
        </w:rPr>
        <w:t> </w:t>
      </w:r>
      <w:r>
        <w:rPr>
          <w:sz w:val="24"/>
        </w:rPr>
        <w:t>area</w:t>
      </w:r>
      <w:r>
        <w:rPr>
          <w:spacing w:val="-17"/>
          <w:sz w:val="24"/>
        </w:rPr>
        <w:t> </w:t>
      </w:r>
      <w:r>
        <w:rPr>
          <w:sz w:val="24"/>
        </w:rPr>
        <w:t>may be</w:t>
      </w:r>
      <w:r>
        <w:rPr>
          <w:spacing w:val="40"/>
          <w:sz w:val="24"/>
        </w:rPr>
        <w:t> </w:t>
      </w:r>
      <w:r>
        <w:rPr>
          <w:sz w:val="24"/>
        </w:rPr>
        <w:t>permitted</w:t>
      </w:r>
      <w:r>
        <w:rPr>
          <w:spacing w:val="40"/>
          <w:sz w:val="24"/>
        </w:rPr>
        <w:t> </w:t>
      </w:r>
      <w:r>
        <w:rPr>
          <w:sz w:val="24"/>
        </w:rPr>
        <w:t>subject</w:t>
      </w:r>
      <w:r>
        <w:rPr>
          <w:spacing w:val="40"/>
          <w:sz w:val="24"/>
        </w:rPr>
        <w:t> </w:t>
      </w:r>
      <w:r>
        <w:rPr>
          <w:sz w:val="24"/>
        </w:rPr>
        <w:t>to</w:t>
      </w:r>
      <w:r>
        <w:rPr>
          <w:spacing w:val="40"/>
          <w:sz w:val="24"/>
        </w:rPr>
        <w:t> </w:t>
      </w:r>
      <w:r>
        <w:rPr>
          <w:sz w:val="24"/>
        </w:rPr>
        <w:t>completion</w:t>
      </w:r>
      <w:r>
        <w:rPr>
          <w:spacing w:val="40"/>
          <w:sz w:val="24"/>
        </w:rPr>
        <w:t> </w:t>
      </w:r>
      <w:r>
        <w:rPr>
          <w:sz w:val="24"/>
        </w:rPr>
        <w:t>of</w:t>
      </w:r>
      <w:r>
        <w:rPr>
          <w:spacing w:val="40"/>
          <w:sz w:val="24"/>
        </w:rPr>
        <w:t> </w:t>
      </w:r>
      <w:r>
        <w:rPr>
          <w:sz w:val="24"/>
        </w:rPr>
        <w:t>entire</w:t>
      </w:r>
      <w:r>
        <w:rPr>
          <w:spacing w:val="40"/>
          <w:sz w:val="24"/>
        </w:rPr>
        <w:t> </w:t>
      </w:r>
      <w:r>
        <w:rPr>
          <w:sz w:val="24"/>
        </w:rPr>
        <w:t>recreational</w:t>
      </w:r>
      <w:r>
        <w:rPr>
          <w:spacing w:val="40"/>
          <w:sz w:val="24"/>
        </w:rPr>
        <w:t> </w:t>
      </w:r>
      <w:r>
        <w:rPr>
          <w:sz w:val="24"/>
        </w:rPr>
        <w:t>area</w:t>
      </w:r>
      <w:r>
        <w:rPr>
          <w:spacing w:val="40"/>
          <w:sz w:val="24"/>
        </w:rPr>
        <w:t> </w:t>
      </w:r>
      <w:r>
        <w:rPr>
          <w:sz w:val="24"/>
        </w:rPr>
        <w:t>&amp;</w:t>
      </w:r>
    </w:p>
    <w:p>
      <w:pPr>
        <w:pStyle w:val="ListParagraph"/>
        <w:spacing w:after="0" w:line="240" w:lineRule="auto"/>
        <w:jc w:val="both"/>
        <w:rPr>
          <w:sz w:val="24"/>
        </w:rPr>
        <w:sectPr>
          <w:pgSz w:w="11910" w:h="16840"/>
          <w:pgMar w:header="1065" w:footer="1237" w:top="1500" w:bottom="1420" w:left="360" w:right="360"/>
        </w:sectPr>
      </w:pPr>
    </w:p>
    <w:p>
      <w:pPr>
        <w:pStyle w:val="BodyText"/>
        <w:spacing w:before="249"/>
        <w:ind w:left="2532" w:right="770"/>
      </w:pPr>
      <w:r>
        <w:rPr/>
        <w:t>structure thereon for recreational activities prior to seeking occupation of last buildings.</w:t>
      </w:r>
    </w:p>
    <w:p>
      <w:pPr>
        <w:pStyle w:val="ListParagraph"/>
        <w:numPr>
          <w:ilvl w:val="1"/>
          <w:numId w:val="112"/>
        </w:numPr>
        <w:tabs>
          <w:tab w:pos="2930" w:val="left" w:leader="none"/>
        </w:tabs>
        <w:spacing w:line="240" w:lineRule="auto" w:before="1" w:after="0"/>
        <w:ind w:left="2532" w:right="771" w:firstLine="21"/>
        <w:jc w:val="both"/>
        <w:rPr>
          <w:sz w:val="24"/>
        </w:rPr>
      </w:pPr>
      <w:r>
        <w:rPr>
          <w:sz w:val="24"/>
        </w:rPr>
        <w:t>In case of Government/Semi-Government Department and Organizations/Public</w:t>
      </w:r>
      <w:r>
        <w:rPr>
          <w:spacing w:val="-6"/>
          <w:sz w:val="24"/>
        </w:rPr>
        <w:t> </w:t>
      </w:r>
      <w:r>
        <w:rPr>
          <w:sz w:val="24"/>
        </w:rPr>
        <w:t>Sector</w:t>
      </w:r>
      <w:r>
        <w:rPr>
          <w:spacing w:val="-6"/>
          <w:sz w:val="24"/>
        </w:rPr>
        <w:t> </w:t>
      </w:r>
      <w:r>
        <w:rPr>
          <w:sz w:val="24"/>
        </w:rPr>
        <w:t>Authorities/Undertakings</w:t>
      </w:r>
      <w:r>
        <w:rPr>
          <w:spacing w:val="-6"/>
          <w:sz w:val="24"/>
        </w:rPr>
        <w:t> </w:t>
      </w:r>
      <w:r>
        <w:rPr>
          <w:sz w:val="24"/>
        </w:rPr>
        <w:t>such</w:t>
      </w:r>
      <w:r>
        <w:rPr>
          <w:spacing w:val="-6"/>
          <w:sz w:val="24"/>
        </w:rPr>
        <w:t> </w:t>
      </w:r>
      <w:r>
        <w:rPr>
          <w:sz w:val="24"/>
        </w:rPr>
        <w:t>as</w:t>
      </w:r>
      <w:r>
        <w:rPr>
          <w:spacing w:val="-6"/>
          <w:sz w:val="24"/>
        </w:rPr>
        <w:t> </w:t>
      </w:r>
      <w:r>
        <w:rPr>
          <w:sz w:val="24"/>
        </w:rPr>
        <w:t>the Atomic Energy Department, the Civil Aviation Department, International Airport Authority of India, Defence authorities, Railway authorities and the Mumbai Port Trust, for computing the available FSI, the area of lands not Existing Amenity</w:t>
      </w:r>
      <w:r>
        <w:rPr>
          <w:b/>
          <w:sz w:val="24"/>
        </w:rPr>
        <w:t>/</w:t>
      </w:r>
      <w:r>
        <w:rPr>
          <w:sz w:val="24"/>
        </w:rPr>
        <w:t>reserved but </w:t>
      </w:r>
      <w:r>
        <w:rPr>
          <w:spacing w:val="-2"/>
          <w:sz w:val="24"/>
        </w:rPr>
        <w:t>shown</w:t>
      </w:r>
      <w:r>
        <w:rPr>
          <w:spacing w:val="-16"/>
          <w:sz w:val="24"/>
        </w:rPr>
        <w:t> </w:t>
      </w:r>
      <w:r>
        <w:rPr>
          <w:spacing w:val="-2"/>
          <w:sz w:val="24"/>
        </w:rPr>
        <w:t>as</w:t>
      </w:r>
      <w:r>
        <w:rPr>
          <w:spacing w:val="-13"/>
          <w:sz w:val="24"/>
        </w:rPr>
        <w:t> </w:t>
      </w:r>
      <w:r>
        <w:rPr>
          <w:spacing w:val="-2"/>
          <w:sz w:val="24"/>
        </w:rPr>
        <w:t>such</w:t>
      </w:r>
      <w:r>
        <w:rPr>
          <w:spacing w:val="-13"/>
          <w:sz w:val="24"/>
        </w:rPr>
        <w:t> </w:t>
      </w:r>
      <w:r>
        <w:rPr>
          <w:spacing w:val="-2"/>
          <w:sz w:val="24"/>
        </w:rPr>
        <w:t>in</w:t>
      </w:r>
      <w:r>
        <w:rPr>
          <w:spacing w:val="-14"/>
          <w:sz w:val="24"/>
        </w:rPr>
        <w:t> </w:t>
      </w:r>
      <w:r>
        <w:rPr>
          <w:spacing w:val="-2"/>
          <w:sz w:val="24"/>
        </w:rPr>
        <w:t>the</w:t>
      </w:r>
      <w:r>
        <w:rPr>
          <w:spacing w:val="-9"/>
          <w:sz w:val="24"/>
        </w:rPr>
        <w:t> </w:t>
      </w:r>
      <w:r>
        <w:rPr>
          <w:spacing w:val="-2"/>
          <w:sz w:val="24"/>
        </w:rPr>
        <w:t>DP</w:t>
      </w:r>
      <w:r>
        <w:rPr>
          <w:spacing w:val="-13"/>
          <w:sz w:val="24"/>
        </w:rPr>
        <w:t> </w:t>
      </w:r>
      <w:r>
        <w:rPr>
          <w:spacing w:val="-2"/>
          <w:sz w:val="24"/>
        </w:rPr>
        <w:t>for</w:t>
      </w:r>
      <w:r>
        <w:rPr>
          <w:spacing w:val="-13"/>
          <w:sz w:val="24"/>
        </w:rPr>
        <w:t> </w:t>
      </w:r>
      <w:r>
        <w:rPr>
          <w:spacing w:val="-2"/>
          <w:sz w:val="24"/>
        </w:rPr>
        <w:t>the</w:t>
      </w:r>
      <w:r>
        <w:rPr>
          <w:spacing w:val="-14"/>
          <w:sz w:val="24"/>
        </w:rPr>
        <w:t> </w:t>
      </w:r>
      <w:r>
        <w:rPr>
          <w:spacing w:val="-2"/>
          <w:sz w:val="24"/>
        </w:rPr>
        <w:t>following</w:t>
      </w:r>
      <w:r>
        <w:rPr>
          <w:spacing w:val="-10"/>
          <w:sz w:val="24"/>
        </w:rPr>
        <w:t> </w:t>
      </w:r>
      <w:r>
        <w:rPr>
          <w:spacing w:val="-2"/>
          <w:sz w:val="24"/>
        </w:rPr>
        <w:t>purpose</w:t>
      </w:r>
      <w:r>
        <w:rPr>
          <w:spacing w:val="-13"/>
          <w:sz w:val="24"/>
        </w:rPr>
        <w:t> </w:t>
      </w:r>
      <w:r>
        <w:rPr>
          <w:spacing w:val="-2"/>
          <w:sz w:val="24"/>
        </w:rPr>
        <w:t>shall</w:t>
      </w:r>
      <w:r>
        <w:rPr>
          <w:spacing w:val="-13"/>
          <w:sz w:val="24"/>
        </w:rPr>
        <w:t> </w:t>
      </w:r>
      <w:r>
        <w:rPr>
          <w:spacing w:val="-2"/>
          <w:sz w:val="24"/>
        </w:rPr>
        <w:t>be</w:t>
      </w:r>
      <w:r>
        <w:rPr>
          <w:spacing w:val="-13"/>
          <w:sz w:val="24"/>
        </w:rPr>
        <w:t> </w:t>
      </w:r>
      <w:r>
        <w:rPr>
          <w:spacing w:val="-2"/>
          <w:sz w:val="24"/>
        </w:rPr>
        <w:t>excluded:</w:t>
      </w:r>
    </w:p>
    <w:p>
      <w:pPr>
        <w:pStyle w:val="ListParagraph"/>
        <w:numPr>
          <w:ilvl w:val="2"/>
          <w:numId w:val="112"/>
        </w:numPr>
        <w:tabs>
          <w:tab w:pos="3653" w:val="left" w:leader="none"/>
        </w:tabs>
        <w:spacing w:line="240" w:lineRule="auto" w:before="41" w:after="0"/>
        <w:ind w:left="3653" w:right="0" w:hanging="720"/>
        <w:jc w:val="left"/>
        <w:rPr>
          <w:sz w:val="24"/>
        </w:rPr>
      </w:pPr>
      <w:r>
        <w:rPr>
          <w:sz w:val="24"/>
        </w:rPr>
        <w:t>Playgrounds, stadia, golf</w:t>
      </w:r>
      <w:r>
        <w:rPr>
          <w:spacing w:val="-1"/>
          <w:sz w:val="24"/>
        </w:rPr>
        <w:t> </w:t>
      </w:r>
      <w:r>
        <w:rPr>
          <w:spacing w:val="-2"/>
          <w:sz w:val="24"/>
        </w:rPr>
        <w:t>courses;</w:t>
      </w:r>
    </w:p>
    <w:p>
      <w:pPr>
        <w:pStyle w:val="ListParagraph"/>
        <w:numPr>
          <w:ilvl w:val="2"/>
          <w:numId w:val="112"/>
        </w:numPr>
        <w:tabs>
          <w:tab w:pos="3653" w:val="left" w:leader="none"/>
        </w:tabs>
        <w:spacing w:line="240" w:lineRule="auto" w:before="40" w:after="0"/>
        <w:ind w:left="3653" w:right="0" w:hanging="720"/>
        <w:jc w:val="left"/>
        <w:rPr>
          <w:sz w:val="24"/>
        </w:rPr>
      </w:pPr>
      <w:r>
        <w:rPr>
          <w:sz w:val="24"/>
        </w:rPr>
        <w:t>Parade grounds, training grounds, firing </w:t>
      </w:r>
      <w:r>
        <w:rPr>
          <w:spacing w:val="-2"/>
          <w:sz w:val="24"/>
        </w:rPr>
        <w:t>ranges;</w:t>
      </w:r>
    </w:p>
    <w:p>
      <w:pPr>
        <w:pStyle w:val="ListParagraph"/>
        <w:numPr>
          <w:ilvl w:val="2"/>
          <w:numId w:val="112"/>
        </w:numPr>
        <w:tabs>
          <w:tab w:pos="3653" w:val="left" w:leader="none"/>
        </w:tabs>
        <w:spacing w:line="240" w:lineRule="auto" w:before="40" w:after="0"/>
        <w:ind w:left="3653" w:right="0" w:hanging="720"/>
        <w:jc w:val="left"/>
        <w:rPr>
          <w:sz w:val="24"/>
        </w:rPr>
      </w:pPr>
      <w:r>
        <w:rPr>
          <w:sz w:val="24"/>
        </w:rPr>
        <w:t>Green</w:t>
      </w:r>
      <w:r>
        <w:rPr>
          <w:spacing w:val="-3"/>
          <w:sz w:val="24"/>
        </w:rPr>
        <w:t> </w:t>
      </w:r>
      <w:r>
        <w:rPr>
          <w:sz w:val="24"/>
        </w:rPr>
        <w:t>areas</w:t>
      </w:r>
      <w:r>
        <w:rPr>
          <w:spacing w:val="-2"/>
          <w:sz w:val="24"/>
        </w:rPr>
        <w:t> </w:t>
      </w:r>
      <w:r>
        <w:rPr>
          <w:sz w:val="24"/>
        </w:rPr>
        <w:t>within</w:t>
      </w:r>
      <w:r>
        <w:rPr>
          <w:spacing w:val="-2"/>
          <w:sz w:val="24"/>
        </w:rPr>
        <w:t> </w:t>
      </w:r>
      <w:r>
        <w:rPr>
          <w:sz w:val="24"/>
        </w:rPr>
        <w:t>their</w:t>
      </w:r>
      <w:r>
        <w:rPr>
          <w:spacing w:val="-2"/>
          <w:sz w:val="24"/>
        </w:rPr>
        <w:t> complexes;</w:t>
      </w:r>
    </w:p>
    <w:p>
      <w:pPr>
        <w:pStyle w:val="ListParagraph"/>
        <w:numPr>
          <w:ilvl w:val="2"/>
          <w:numId w:val="112"/>
        </w:numPr>
        <w:tabs>
          <w:tab w:pos="3653" w:val="left" w:leader="none"/>
        </w:tabs>
        <w:spacing w:line="240" w:lineRule="auto" w:before="40" w:after="0"/>
        <w:ind w:left="3653" w:right="0" w:hanging="720"/>
        <w:jc w:val="left"/>
        <w:rPr>
          <w:sz w:val="24"/>
        </w:rPr>
      </w:pPr>
      <w:r>
        <w:rPr>
          <w:sz w:val="24"/>
        </w:rPr>
        <w:t>Lands</w:t>
      </w:r>
      <w:r>
        <w:rPr>
          <w:spacing w:val="-3"/>
          <w:sz w:val="24"/>
        </w:rPr>
        <w:t> </w:t>
      </w:r>
      <w:r>
        <w:rPr>
          <w:sz w:val="24"/>
        </w:rPr>
        <w:t>kept</w:t>
      </w:r>
      <w:r>
        <w:rPr>
          <w:spacing w:val="-1"/>
          <w:sz w:val="24"/>
        </w:rPr>
        <w:t> </w:t>
      </w:r>
      <w:r>
        <w:rPr>
          <w:sz w:val="24"/>
        </w:rPr>
        <w:t>open for</w:t>
      </w:r>
      <w:r>
        <w:rPr>
          <w:spacing w:val="-1"/>
          <w:sz w:val="24"/>
        </w:rPr>
        <w:t> </w:t>
      </w:r>
      <w:r>
        <w:rPr>
          <w:sz w:val="24"/>
        </w:rPr>
        <w:t>operational</w:t>
      </w:r>
      <w:r>
        <w:rPr>
          <w:spacing w:val="-1"/>
          <w:sz w:val="24"/>
        </w:rPr>
        <w:t> </w:t>
      </w:r>
      <w:r>
        <w:rPr>
          <w:spacing w:val="-2"/>
          <w:sz w:val="24"/>
        </w:rPr>
        <w:t>purposes;</w:t>
      </w:r>
    </w:p>
    <w:p>
      <w:pPr>
        <w:pStyle w:val="ListParagraph"/>
        <w:numPr>
          <w:ilvl w:val="2"/>
          <w:numId w:val="112"/>
        </w:numPr>
        <w:tabs>
          <w:tab w:pos="3653" w:val="left" w:leader="none"/>
        </w:tabs>
        <w:spacing w:line="240" w:lineRule="auto" w:before="40" w:after="0"/>
        <w:ind w:left="3653" w:right="0" w:hanging="720"/>
        <w:jc w:val="left"/>
        <w:rPr>
          <w:sz w:val="24"/>
        </w:rPr>
      </w:pPr>
      <w:r>
        <w:rPr>
          <w:sz w:val="24"/>
        </w:rPr>
        <w:t>Lands under major internal</w:t>
      </w:r>
      <w:r>
        <w:rPr>
          <w:spacing w:val="-1"/>
          <w:sz w:val="24"/>
        </w:rPr>
        <w:t> </w:t>
      </w:r>
      <w:r>
        <w:rPr>
          <w:spacing w:val="-2"/>
          <w:sz w:val="24"/>
        </w:rPr>
        <w:t>roads;</w:t>
      </w:r>
    </w:p>
    <w:p>
      <w:pPr>
        <w:pStyle w:val="ListParagraph"/>
        <w:numPr>
          <w:ilvl w:val="2"/>
          <w:numId w:val="112"/>
        </w:numPr>
        <w:tabs>
          <w:tab w:pos="3653" w:val="left" w:leader="none"/>
        </w:tabs>
        <w:spacing w:line="240" w:lineRule="auto" w:before="40" w:after="0"/>
        <w:ind w:left="3653" w:right="0" w:hanging="720"/>
        <w:jc w:val="left"/>
        <w:rPr>
          <w:sz w:val="24"/>
        </w:rPr>
      </w:pPr>
      <w:r>
        <w:rPr>
          <w:sz w:val="24"/>
        </w:rPr>
        <w:t>Railway</w:t>
      </w:r>
      <w:r>
        <w:rPr>
          <w:spacing w:val="-1"/>
          <w:sz w:val="24"/>
        </w:rPr>
        <w:t> </w:t>
      </w:r>
      <w:r>
        <w:rPr>
          <w:sz w:val="24"/>
        </w:rPr>
        <w:t>tracks</w:t>
      </w:r>
      <w:r>
        <w:rPr>
          <w:spacing w:val="-1"/>
          <w:sz w:val="24"/>
        </w:rPr>
        <w:t> </w:t>
      </w:r>
      <w:r>
        <w:rPr>
          <w:sz w:val="24"/>
        </w:rPr>
        <w:t>and </w:t>
      </w:r>
      <w:r>
        <w:rPr>
          <w:spacing w:val="-2"/>
          <w:sz w:val="24"/>
        </w:rPr>
        <w:t>yards;</w:t>
      </w:r>
    </w:p>
    <w:p>
      <w:pPr>
        <w:pStyle w:val="ListParagraph"/>
        <w:numPr>
          <w:ilvl w:val="2"/>
          <w:numId w:val="112"/>
        </w:numPr>
        <w:tabs>
          <w:tab w:pos="3653" w:val="left" w:leader="none"/>
        </w:tabs>
        <w:spacing w:line="240" w:lineRule="auto" w:before="40" w:after="0"/>
        <w:ind w:left="3653" w:right="0" w:hanging="720"/>
        <w:jc w:val="left"/>
        <w:rPr>
          <w:sz w:val="24"/>
        </w:rPr>
      </w:pPr>
      <w:r>
        <w:rPr>
          <w:sz w:val="24"/>
        </w:rPr>
        <w:t>Lands</w:t>
      </w:r>
      <w:r>
        <w:rPr>
          <w:spacing w:val="-1"/>
          <w:sz w:val="24"/>
        </w:rPr>
        <w:t> </w:t>
      </w:r>
      <w:r>
        <w:rPr>
          <w:sz w:val="24"/>
        </w:rPr>
        <w:t>unauthorizedly </w:t>
      </w:r>
      <w:r>
        <w:rPr>
          <w:spacing w:val="-2"/>
          <w:sz w:val="24"/>
        </w:rPr>
        <w:t>reclaimed;</w:t>
      </w:r>
    </w:p>
    <w:p>
      <w:pPr>
        <w:pStyle w:val="ListParagraph"/>
        <w:numPr>
          <w:ilvl w:val="2"/>
          <w:numId w:val="112"/>
        </w:numPr>
        <w:tabs>
          <w:tab w:pos="3653" w:val="left" w:leader="none"/>
        </w:tabs>
        <w:spacing w:line="240" w:lineRule="auto" w:before="40" w:after="0"/>
        <w:ind w:left="3653" w:right="0" w:hanging="720"/>
        <w:jc w:val="left"/>
        <w:rPr>
          <w:sz w:val="24"/>
        </w:rPr>
      </w:pPr>
      <w:r>
        <w:rPr>
          <w:sz w:val="24"/>
        </w:rPr>
        <w:t>Lands</w:t>
      </w:r>
      <w:r>
        <w:rPr>
          <w:spacing w:val="-1"/>
          <w:sz w:val="24"/>
        </w:rPr>
        <w:t> </w:t>
      </w:r>
      <w:r>
        <w:rPr>
          <w:sz w:val="24"/>
        </w:rPr>
        <w:t>of</w:t>
      </w:r>
      <w:r>
        <w:rPr>
          <w:spacing w:val="-1"/>
          <w:sz w:val="24"/>
        </w:rPr>
        <w:t> </w:t>
      </w:r>
      <w:r>
        <w:rPr>
          <w:sz w:val="24"/>
        </w:rPr>
        <w:t>air-fields</w:t>
      </w:r>
      <w:r>
        <w:rPr>
          <w:spacing w:val="-1"/>
          <w:sz w:val="24"/>
        </w:rPr>
        <w:t> </w:t>
      </w:r>
      <w:r>
        <w:rPr>
          <w:sz w:val="24"/>
        </w:rPr>
        <w:t>and air-</w:t>
      </w:r>
      <w:r>
        <w:rPr>
          <w:spacing w:val="-2"/>
          <w:sz w:val="24"/>
        </w:rPr>
        <w:t>strips.</w:t>
      </w:r>
    </w:p>
    <w:p>
      <w:pPr>
        <w:pStyle w:val="BodyText"/>
        <w:spacing w:before="238"/>
        <w:jc w:val="left"/>
      </w:pPr>
    </w:p>
    <w:p>
      <w:pPr>
        <w:pStyle w:val="Heading6"/>
        <w:numPr>
          <w:ilvl w:val="0"/>
          <w:numId w:val="110"/>
        </w:numPr>
        <w:tabs>
          <w:tab w:pos="1871" w:val="left" w:leader="none"/>
        </w:tabs>
        <w:spacing w:line="240" w:lineRule="auto" w:before="0" w:after="0"/>
        <w:ind w:left="1871" w:right="0" w:hanging="438"/>
        <w:jc w:val="left"/>
      </w:pPr>
      <w:r>
        <w:rPr/>
        <w:t>Tenement </w:t>
      </w:r>
      <w:r>
        <w:rPr>
          <w:spacing w:val="-2"/>
        </w:rPr>
        <w:t>Density</w:t>
      </w:r>
    </w:p>
    <w:p>
      <w:pPr>
        <w:pStyle w:val="ListParagraph"/>
        <w:numPr>
          <w:ilvl w:val="0"/>
          <w:numId w:val="113"/>
        </w:numPr>
        <w:tabs>
          <w:tab w:pos="1870" w:val="left" w:leader="none"/>
          <w:tab w:pos="1872" w:val="left" w:leader="none"/>
        </w:tabs>
        <w:spacing w:line="240" w:lineRule="auto" w:before="242" w:after="0"/>
        <w:ind w:left="1872" w:right="768" w:hanging="440"/>
        <w:jc w:val="both"/>
        <w:rPr>
          <w:sz w:val="24"/>
        </w:rPr>
      </w:pPr>
      <w:r>
        <w:rPr>
          <w:sz w:val="24"/>
        </w:rPr>
        <w:t>Maximum</w:t>
      </w:r>
      <w:r>
        <w:rPr>
          <w:spacing w:val="-8"/>
          <w:sz w:val="24"/>
        </w:rPr>
        <w:t> </w:t>
      </w:r>
      <w:r>
        <w:rPr>
          <w:sz w:val="24"/>
        </w:rPr>
        <w:t>tenement</w:t>
      </w:r>
      <w:r>
        <w:rPr>
          <w:spacing w:val="-10"/>
          <w:sz w:val="24"/>
        </w:rPr>
        <w:t> </w:t>
      </w:r>
      <w:r>
        <w:rPr>
          <w:sz w:val="24"/>
        </w:rPr>
        <w:t>density</w:t>
      </w:r>
      <w:r>
        <w:rPr>
          <w:spacing w:val="-8"/>
          <w:sz w:val="24"/>
        </w:rPr>
        <w:t> </w:t>
      </w:r>
      <w:r>
        <w:rPr>
          <w:sz w:val="24"/>
        </w:rPr>
        <w:t>shall</w:t>
      </w:r>
      <w:r>
        <w:rPr>
          <w:spacing w:val="-8"/>
          <w:sz w:val="24"/>
        </w:rPr>
        <w:t> </w:t>
      </w:r>
      <w:r>
        <w:rPr>
          <w:sz w:val="24"/>
        </w:rPr>
        <w:t>be</w:t>
      </w:r>
      <w:r>
        <w:rPr>
          <w:spacing w:val="-8"/>
          <w:sz w:val="24"/>
        </w:rPr>
        <w:t> </w:t>
      </w:r>
      <w:r>
        <w:rPr>
          <w:sz w:val="24"/>
        </w:rPr>
        <w:t>450</w:t>
      </w:r>
      <w:r>
        <w:rPr>
          <w:spacing w:val="-11"/>
          <w:sz w:val="24"/>
        </w:rPr>
        <w:t> </w:t>
      </w:r>
      <w:r>
        <w:rPr>
          <w:sz w:val="24"/>
        </w:rPr>
        <w:t>per</w:t>
      </w:r>
      <w:r>
        <w:rPr>
          <w:spacing w:val="-8"/>
          <w:sz w:val="24"/>
        </w:rPr>
        <w:t> </w:t>
      </w:r>
      <w:r>
        <w:rPr>
          <w:sz w:val="24"/>
        </w:rPr>
        <w:t>ha</w:t>
      </w:r>
      <w:r>
        <w:rPr>
          <w:spacing w:val="-8"/>
          <w:sz w:val="24"/>
        </w:rPr>
        <w:t> </w:t>
      </w:r>
      <w:r>
        <w:rPr>
          <w:sz w:val="24"/>
        </w:rPr>
        <w:t>for</w:t>
      </w:r>
      <w:r>
        <w:rPr>
          <w:spacing w:val="-8"/>
          <w:sz w:val="24"/>
        </w:rPr>
        <w:t> </w:t>
      </w:r>
      <w:r>
        <w:rPr>
          <w:sz w:val="24"/>
        </w:rPr>
        <w:t>FSI</w:t>
      </w:r>
      <w:r>
        <w:rPr>
          <w:spacing w:val="-6"/>
          <w:sz w:val="24"/>
        </w:rPr>
        <w:t> </w:t>
      </w:r>
      <w:r>
        <w:rPr>
          <w:sz w:val="24"/>
        </w:rPr>
        <w:t>1.00</w:t>
      </w:r>
      <w:r>
        <w:rPr>
          <w:spacing w:val="-8"/>
          <w:sz w:val="24"/>
        </w:rPr>
        <w:t> </w:t>
      </w:r>
      <w:r>
        <w:rPr>
          <w:sz w:val="24"/>
        </w:rPr>
        <w:t>and</w:t>
      </w:r>
      <w:r>
        <w:rPr>
          <w:spacing w:val="-8"/>
          <w:sz w:val="24"/>
        </w:rPr>
        <w:t> </w:t>
      </w:r>
      <w:r>
        <w:rPr>
          <w:sz w:val="24"/>
        </w:rPr>
        <w:t>shall</w:t>
      </w:r>
      <w:r>
        <w:rPr>
          <w:spacing w:val="-8"/>
          <w:sz w:val="24"/>
        </w:rPr>
        <w:t> </w:t>
      </w:r>
      <w:r>
        <w:rPr>
          <w:sz w:val="24"/>
        </w:rPr>
        <w:t>be appropriately increased/reduced proportionate to FSI 1.00.</w:t>
      </w:r>
    </w:p>
    <w:p>
      <w:pPr>
        <w:pStyle w:val="ListParagraph"/>
        <w:numPr>
          <w:ilvl w:val="0"/>
          <w:numId w:val="86"/>
        </w:numPr>
        <w:tabs>
          <w:tab w:pos="2195" w:val="left" w:leader="none"/>
        </w:tabs>
        <w:spacing w:line="240" w:lineRule="auto" w:before="0" w:after="0"/>
        <w:ind w:left="1872" w:right="768" w:firstLine="0"/>
        <w:jc w:val="both"/>
        <w:rPr>
          <w:sz w:val="24"/>
        </w:rPr>
      </w:pPr>
      <w:r>
        <w:rPr>
          <w:sz w:val="24"/>
        </w:rPr>
        <w:t>Minimum tenement density for Rehabilitation and Resettlement/ affordable housing plots/shall be 325 per ha for FSI 1.00 and shall be appropriately increased/reduced proportionate to FSI 1.00.</w:t>
      </w:r>
    </w:p>
    <w:p>
      <w:pPr>
        <w:pStyle w:val="Heading6"/>
        <w:numPr>
          <w:ilvl w:val="0"/>
          <w:numId w:val="107"/>
        </w:numPr>
        <w:tabs>
          <w:tab w:pos="2213" w:val="left" w:leader="none"/>
        </w:tabs>
        <w:spacing w:line="240" w:lineRule="auto" w:before="238" w:after="0"/>
        <w:ind w:left="2213" w:right="0" w:hanging="689"/>
        <w:jc w:val="left"/>
        <w:rPr>
          <w:i w:val="0"/>
        </w:rPr>
      </w:pPr>
      <w:r>
        <w:rPr/>
        <w:t>Protected</w:t>
      </w:r>
      <w:r>
        <w:rPr>
          <w:spacing w:val="52"/>
          <w:w w:val="150"/>
        </w:rPr>
        <w:t> </w:t>
      </w:r>
      <w:r>
        <w:rPr>
          <w:spacing w:val="7"/>
        </w:rPr>
        <w:t>Development</w:t>
      </w:r>
    </w:p>
    <w:p>
      <w:pPr>
        <w:pStyle w:val="ListParagraph"/>
        <w:numPr>
          <w:ilvl w:val="1"/>
          <w:numId w:val="107"/>
        </w:numPr>
        <w:tabs>
          <w:tab w:pos="1868" w:val="left" w:leader="none"/>
          <w:tab w:pos="1872" w:val="left" w:leader="none"/>
        </w:tabs>
        <w:spacing w:line="240" w:lineRule="auto" w:before="241" w:after="0"/>
        <w:ind w:left="1872" w:right="872" w:hanging="358"/>
        <w:jc w:val="both"/>
        <w:rPr>
          <w:sz w:val="24"/>
        </w:rPr>
      </w:pPr>
      <w:r>
        <w:rPr>
          <w:sz w:val="24"/>
        </w:rPr>
        <w:t>The FSI permitted as per Table No.</w:t>
      </w:r>
      <w:r>
        <w:rPr>
          <w:spacing w:val="38"/>
          <w:sz w:val="24"/>
        </w:rPr>
        <w:t> </w:t>
      </w:r>
      <w:r>
        <w:rPr>
          <w:sz w:val="24"/>
        </w:rPr>
        <w:t>12 will be allowed to be exceeded</w:t>
      </w:r>
      <w:r>
        <w:rPr>
          <w:spacing w:val="40"/>
          <w:sz w:val="24"/>
        </w:rPr>
        <w:t> </w:t>
      </w:r>
      <w:r>
        <w:rPr>
          <w:sz w:val="24"/>
        </w:rPr>
        <w:t>for redevelopment of existing authorized building to the extent of existing authorized development rights/BUA and shall be also entitled for</w:t>
      </w:r>
      <w:r>
        <w:rPr>
          <w:spacing w:val="40"/>
          <w:sz w:val="24"/>
        </w:rPr>
        <w:t> </w:t>
      </w:r>
      <w:r>
        <w:rPr>
          <w:sz w:val="24"/>
        </w:rPr>
        <w:t>the</w:t>
      </w:r>
      <w:r>
        <w:rPr>
          <w:spacing w:val="40"/>
          <w:sz w:val="24"/>
        </w:rPr>
        <w:t> </w:t>
      </w:r>
      <w:r>
        <w:rPr>
          <w:sz w:val="24"/>
        </w:rPr>
        <w:t>additional</w:t>
      </w:r>
      <w:r>
        <w:rPr>
          <w:spacing w:val="40"/>
          <w:sz w:val="24"/>
        </w:rPr>
        <w:t> </w:t>
      </w:r>
      <w:r>
        <w:rPr>
          <w:sz w:val="24"/>
        </w:rPr>
        <w:t>FSI</w:t>
      </w:r>
      <w:r>
        <w:rPr>
          <w:spacing w:val="40"/>
          <w:sz w:val="24"/>
        </w:rPr>
        <w:t> </w:t>
      </w:r>
      <w:r>
        <w:rPr>
          <w:sz w:val="24"/>
        </w:rPr>
        <w:t>as</w:t>
      </w:r>
      <w:r>
        <w:rPr>
          <w:spacing w:val="40"/>
          <w:sz w:val="24"/>
        </w:rPr>
        <w:t> </w:t>
      </w:r>
      <w:r>
        <w:rPr>
          <w:sz w:val="24"/>
        </w:rPr>
        <w:t>per</w:t>
      </w:r>
      <w:r>
        <w:rPr>
          <w:spacing w:val="40"/>
          <w:sz w:val="24"/>
        </w:rPr>
        <w:t> </w:t>
      </w:r>
      <w:r>
        <w:rPr>
          <w:sz w:val="24"/>
        </w:rPr>
        <w:t>relevant</w:t>
      </w:r>
      <w:r>
        <w:rPr>
          <w:spacing w:val="40"/>
          <w:sz w:val="24"/>
        </w:rPr>
        <w:t> </w:t>
      </w:r>
      <w:r>
        <w:rPr>
          <w:sz w:val="24"/>
        </w:rPr>
        <w:t>regulations.</w:t>
      </w:r>
    </w:p>
    <w:p>
      <w:pPr>
        <w:pStyle w:val="BodyText"/>
        <w:spacing w:before="241"/>
        <w:ind w:left="1872" w:right="867"/>
      </w:pPr>
      <w:r>
        <w:rPr/>
        <w:t>Provided</w:t>
      </w:r>
      <w:r>
        <w:rPr>
          <w:spacing w:val="40"/>
        </w:rPr>
        <w:t> </w:t>
      </w:r>
      <w:r>
        <w:rPr/>
        <w:t>further</w:t>
      </w:r>
      <w:r>
        <w:rPr>
          <w:spacing w:val="40"/>
        </w:rPr>
        <w:t> </w:t>
      </w:r>
      <w:r>
        <w:rPr/>
        <w:t>that</w:t>
      </w:r>
      <w:r>
        <w:rPr>
          <w:spacing w:val="40"/>
        </w:rPr>
        <w:t> </w:t>
      </w:r>
      <w:r>
        <w:rPr/>
        <w:t>in</w:t>
      </w:r>
      <w:r>
        <w:rPr>
          <w:spacing w:val="40"/>
        </w:rPr>
        <w:t> </w:t>
      </w:r>
      <w:r>
        <w:rPr/>
        <w:t>cases</w:t>
      </w:r>
      <w:r>
        <w:rPr>
          <w:spacing w:val="40"/>
        </w:rPr>
        <w:t> </w:t>
      </w:r>
      <w:r>
        <w:rPr/>
        <w:t>where</w:t>
      </w:r>
      <w:r>
        <w:rPr>
          <w:spacing w:val="40"/>
        </w:rPr>
        <w:t> </w:t>
      </w:r>
      <w:r>
        <w:rPr/>
        <w:t>benefit</w:t>
      </w:r>
      <w:r>
        <w:rPr>
          <w:spacing w:val="40"/>
        </w:rPr>
        <w:t> </w:t>
      </w:r>
      <w:r>
        <w:rPr/>
        <w:t>of</w:t>
      </w:r>
      <w:r>
        <w:rPr>
          <w:spacing w:val="40"/>
        </w:rPr>
        <w:t> </w:t>
      </w:r>
      <w:r>
        <w:rPr/>
        <w:t>additional</w:t>
      </w:r>
      <w:r>
        <w:rPr>
          <w:spacing w:val="40"/>
        </w:rPr>
        <w:t> </w:t>
      </w:r>
      <w:r>
        <w:rPr/>
        <w:t>FSI</w:t>
      </w:r>
      <w:r>
        <w:rPr>
          <w:spacing w:val="40"/>
        </w:rPr>
        <w:t> </w:t>
      </w:r>
      <w:r>
        <w:rPr/>
        <w:t>as</w:t>
      </w:r>
      <w:r>
        <w:rPr>
          <w:spacing w:val="40"/>
        </w:rPr>
        <w:t> </w:t>
      </w:r>
      <w:r>
        <w:rPr/>
        <w:t>per the then prevailing regulations was availed for the purpose of educational, medical, starred category hotels, religious development</w:t>
      </w:r>
      <w:r>
        <w:rPr>
          <w:spacing w:val="40"/>
        </w:rPr>
        <w:t> </w:t>
      </w:r>
      <w:r>
        <w:rPr/>
        <w:t>and Information Technology establishments and if redevelopment is proposed by discontinuing such users, then such additional BUA will not be protected. The development shall have to be in consonance with the</w:t>
      </w:r>
      <w:r>
        <w:rPr>
          <w:spacing w:val="40"/>
        </w:rPr>
        <w:t> </w:t>
      </w:r>
      <w:r>
        <w:rPr/>
        <w:t>provisions</w:t>
      </w:r>
      <w:r>
        <w:rPr>
          <w:spacing w:val="40"/>
        </w:rPr>
        <w:t> </w:t>
      </w:r>
      <w:r>
        <w:rPr/>
        <w:t>of</w:t>
      </w:r>
      <w:r>
        <w:rPr>
          <w:spacing w:val="40"/>
        </w:rPr>
        <w:t> </w:t>
      </w:r>
      <w:r>
        <w:rPr/>
        <w:t>these</w:t>
      </w:r>
      <w:r>
        <w:rPr>
          <w:spacing w:val="40"/>
        </w:rPr>
        <w:t> </w:t>
      </w:r>
      <w:r>
        <w:rPr/>
        <w:t>Regulations.</w:t>
      </w:r>
      <w:r>
        <w:rPr>
          <w:spacing w:val="40"/>
        </w:rPr>
        <w:t> </w:t>
      </w:r>
      <w:r>
        <w:rPr/>
        <w:t>The</w:t>
      </w:r>
      <w:r>
        <w:rPr>
          <w:spacing w:val="40"/>
        </w:rPr>
        <w:t> </w:t>
      </w:r>
      <w:r>
        <w:rPr/>
        <w:t>premium</w:t>
      </w:r>
      <w:r>
        <w:rPr>
          <w:spacing w:val="40"/>
        </w:rPr>
        <w:t> </w:t>
      </w:r>
      <w:r>
        <w:rPr/>
        <w:t>paid</w:t>
      </w:r>
      <w:r>
        <w:rPr>
          <w:spacing w:val="40"/>
        </w:rPr>
        <w:t> </w:t>
      </w:r>
      <w:r>
        <w:rPr/>
        <w:t>in</w:t>
      </w:r>
      <w:r>
        <w:rPr>
          <w:spacing w:val="40"/>
        </w:rPr>
        <w:t> </w:t>
      </w:r>
      <w:r>
        <w:rPr/>
        <w:t>past</w:t>
      </w:r>
      <w:r>
        <w:rPr>
          <w:spacing w:val="40"/>
        </w:rPr>
        <w:t> </w:t>
      </w:r>
      <w:r>
        <w:rPr/>
        <w:t>for such user will not be adjusted.</w:t>
      </w:r>
    </w:p>
    <w:p>
      <w:pPr>
        <w:pStyle w:val="ListParagraph"/>
        <w:numPr>
          <w:ilvl w:val="1"/>
          <w:numId w:val="107"/>
        </w:numPr>
        <w:tabs>
          <w:tab w:pos="1872" w:val="left" w:leader="none"/>
          <w:tab w:pos="2156" w:val="left" w:leader="none"/>
        </w:tabs>
        <w:spacing w:line="240" w:lineRule="auto" w:before="241" w:after="0"/>
        <w:ind w:left="1872" w:right="771" w:hanging="20"/>
        <w:jc w:val="both"/>
        <w:rPr>
          <w:sz w:val="24"/>
        </w:rPr>
      </w:pPr>
      <w:r>
        <w:rPr>
          <w:sz w:val="24"/>
        </w:rPr>
        <w:t>In cases where development is not completed, it shall be permissible to avail the balance development rights as permissible under these Regulations by utilizing the TDR or additional FSI on payment of Premium</w:t>
      </w:r>
      <w:r>
        <w:rPr>
          <w:spacing w:val="62"/>
          <w:sz w:val="24"/>
        </w:rPr>
        <w:t> </w:t>
      </w:r>
      <w:r>
        <w:rPr>
          <w:sz w:val="24"/>
        </w:rPr>
        <w:t>by</w:t>
      </w:r>
      <w:r>
        <w:rPr>
          <w:spacing w:val="62"/>
          <w:sz w:val="24"/>
        </w:rPr>
        <w:t> </w:t>
      </w:r>
      <w:r>
        <w:rPr>
          <w:sz w:val="24"/>
        </w:rPr>
        <w:t>adjusting</w:t>
      </w:r>
      <w:r>
        <w:rPr>
          <w:spacing w:val="62"/>
          <w:sz w:val="24"/>
        </w:rPr>
        <w:t> </w:t>
      </w:r>
      <w:r>
        <w:rPr>
          <w:sz w:val="24"/>
        </w:rPr>
        <w:t>the</w:t>
      </w:r>
      <w:r>
        <w:rPr>
          <w:spacing w:val="62"/>
          <w:sz w:val="24"/>
        </w:rPr>
        <w:t> </w:t>
      </w:r>
      <w:r>
        <w:rPr>
          <w:sz w:val="24"/>
        </w:rPr>
        <w:t>payments</w:t>
      </w:r>
      <w:r>
        <w:rPr>
          <w:spacing w:val="64"/>
          <w:sz w:val="24"/>
        </w:rPr>
        <w:t> </w:t>
      </w:r>
      <w:r>
        <w:rPr>
          <w:sz w:val="24"/>
        </w:rPr>
        <w:t>made</w:t>
      </w:r>
      <w:r>
        <w:rPr>
          <w:spacing w:val="62"/>
          <w:sz w:val="24"/>
        </w:rPr>
        <w:t> </w:t>
      </w:r>
      <w:r>
        <w:rPr>
          <w:sz w:val="24"/>
        </w:rPr>
        <w:t>earlier</w:t>
      </w:r>
      <w:r>
        <w:rPr>
          <w:spacing w:val="62"/>
          <w:sz w:val="24"/>
        </w:rPr>
        <w:t> </w:t>
      </w:r>
      <w:r>
        <w:rPr>
          <w:sz w:val="24"/>
        </w:rPr>
        <w:t>for</w:t>
      </w:r>
      <w:r>
        <w:rPr>
          <w:spacing w:val="62"/>
          <w:sz w:val="24"/>
        </w:rPr>
        <w:t> </w:t>
      </w:r>
      <w:r>
        <w:rPr>
          <w:sz w:val="24"/>
        </w:rPr>
        <w:t>availing</w:t>
      </w:r>
      <w:r>
        <w:rPr>
          <w:spacing w:val="62"/>
          <w:sz w:val="24"/>
        </w:rPr>
        <w:t> </w:t>
      </w:r>
      <w:r>
        <w:rPr>
          <w:sz w:val="24"/>
        </w:rPr>
        <w:t>FSI</w:t>
      </w:r>
      <w:r>
        <w:rPr>
          <w:spacing w:val="64"/>
          <w:sz w:val="24"/>
        </w:rPr>
        <w:t> </w:t>
      </w:r>
      <w:r>
        <w:rPr>
          <w:sz w:val="24"/>
        </w:rPr>
        <w:t>if</w:t>
      </w:r>
    </w:p>
    <w:p>
      <w:pPr>
        <w:pStyle w:val="ListParagraph"/>
        <w:spacing w:after="0" w:line="240" w:lineRule="auto"/>
        <w:jc w:val="both"/>
        <w:rPr>
          <w:sz w:val="24"/>
        </w:rPr>
        <w:sectPr>
          <w:pgSz w:w="11910" w:h="16840"/>
          <w:pgMar w:header="1065" w:footer="1237" w:top="1500" w:bottom="1420" w:left="360" w:right="360"/>
        </w:sectPr>
      </w:pPr>
    </w:p>
    <w:p>
      <w:pPr>
        <w:pStyle w:val="BodyText"/>
        <w:spacing w:before="249"/>
        <w:ind w:left="1872" w:right="768"/>
      </w:pPr>
      <w:r>
        <w:rPr/>
        <w:t>any,</w:t>
      </w:r>
      <w:r>
        <w:rPr>
          <w:spacing w:val="20"/>
        </w:rPr>
        <w:t> </w:t>
      </w:r>
      <w:r>
        <w:rPr/>
        <w:t>or</w:t>
      </w:r>
      <w:r>
        <w:rPr>
          <w:spacing w:val="20"/>
        </w:rPr>
        <w:t> </w:t>
      </w:r>
      <w:r>
        <w:rPr/>
        <w:t>payments</w:t>
      </w:r>
      <w:r>
        <w:rPr>
          <w:spacing w:val="22"/>
        </w:rPr>
        <w:t> </w:t>
      </w:r>
      <w:r>
        <w:rPr/>
        <w:t>made</w:t>
      </w:r>
      <w:r>
        <w:rPr>
          <w:spacing w:val="20"/>
        </w:rPr>
        <w:t> </w:t>
      </w:r>
      <w:r>
        <w:rPr/>
        <w:t>for</w:t>
      </w:r>
      <w:r>
        <w:rPr>
          <w:spacing w:val="20"/>
        </w:rPr>
        <w:t> </w:t>
      </w:r>
      <w:r>
        <w:rPr/>
        <w:t>grants</w:t>
      </w:r>
      <w:r>
        <w:rPr>
          <w:spacing w:val="20"/>
        </w:rPr>
        <w:t> </w:t>
      </w:r>
      <w:r>
        <w:rPr/>
        <w:t>of</w:t>
      </w:r>
      <w:r>
        <w:rPr>
          <w:spacing w:val="22"/>
        </w:rPr>
        <w:t> </w:t>
      </w:r>
      <w:r>
        <w:rPr/>
        <w:t>any</w:t>
      </w:r>
      <w:r>
        <w:rPr>
          <w:spacing w:val="20"/>
        </w:rPr>
        <w:t> </w:t>
      </w:r>
      <w:r>
        <w:rPr/>
        <w:t>concessions,</w:t>
      </w:r>
      <w:r>
        <w:rPr>
          <w:spacing w:val="40"/>
        </w:rPr>
        <w:t>  </w:t>
      </w:r>
      <w:r>
        <w:rPr/>
        <w:t>Provided</w:t>
      </w:r>
      <w:r>
        <w:rPr>
          <w:spacing w:val="40"/>
        </w:rPr>
        <w:t>  </w:t>
      </w:r>
      <w:r>
        <w:rPr/>
        <w:t>that if the development is proposed to the extent of protected built-up area only as per a)</w:t>
      </w:r>
      <w:r>
        <w:rPr>
          <w:spacing w:val="40"/>
        </w:rPr>
        <w:t> </w:t>
      </w:r>
      <w:r>
        <w:rPr/>
        <w:t>above, 9 m road width shall be considered adequate. However, if development is proposed with more area than protected as per regulation then, the restrictions as per regulation 19(2) shall be </w:t>
      </w:r>
      <w:r>
        <w:rPr>
          <w:spacing w:val="-2"/>
        </w:rPr>
        <w:t>applicable.</w:t>
      </w:r>
    </w:p>
    <w:p>
      <w:pPr>
        <w:pStyle w:val="Heading3"/>
        <w:numPr>
          <w:ilvl w:val="0"/>
          <w:numId w:val="97"/>
        </w:numPr>
        <w:tabs>
          <w:tab w:pos="1493" w:val="left" w:leader="none"/>
          <w:tab w:pos="1593" w:val="left" w:leader="none"/>
          <w:tab w:pos="3403" w:val="left" w:leader="none"/>
          <w:tab w:pos="4454" w:val="left" w:leader="none"/>
          <w:tab w:pos="5686" w:val="left" w:leader="none"/>
          <w:tab w:pos="6366" w:val="left" w:leader="none"/>
          <w:tab w:pos="7896" w:val="left" w:leader="none"/>
          <w:tab w:pos="8549" w:val="left" w:leader="none"/>
        </w:tabs>
        <w:spacing w:line="240" w:lineRule="auto" w:before="238" w:after="0"/>
        <w:ind w:left="1493" w:right="770" w:hanging="721"/>
        <w:jc w:val="left"/>
      </w:pPr>
      <w:r>
        <w:rPr>
          <w:i w:val="0"/>
        </w:rPr>
        <w:tab/>
      </w:r>
      <w:r>
        <w:rPr>
          <w:spacing w:val="-2"/>
        </w:rPr>
        <w:t>Exempted</w:t>
      </w:r>
      <w:r>
        <w:rPr/>
        <w:tab/>
      </w:r>
      <w:r>
        <w:rPr>
          <w:spacing w:val="-4"/>
        </w:rPr>
        <w:t>from</w:t>
      </w:r>
      <w:r>
        <w:rPr/>
        <w:tab/>
      </w:r>
      <w:r>
        <w:rPr>
          <w:spacing w:val="-2"/>
        </w:rPr>
        <w:t>FSI/to</w:t>
      </w:r>
      <w:r>
        <w:rPr/>
        <w:tab/>
      </w:r>
      <w:r>
        <w:rPr>
          <w:spacing w:val="-6"/>
        </w:rPr>
        <w:t>be</w:t>
      </w:r>
      <w:r>
        <w:rPr/>
        <w:tab/>
      </w:r>
      <w:r>
        <w:rPr>
          <w:spacing w:val="-2"/>
        </w:rPr>
        <w:t>counted</w:t>
      </w:r>
      <w:r>
        <w:rPr/>
        <w:tab/>
      </w:r>
      <w:r>
        <w:rPr>
          <w:spacing w:val="-6"/>
        </w:rPr>
        <w:t>in</w:t>
      </w:r>
      <w:r>
        <w:rPr/>
        <w:tab/>
      </w:r>
      <w:r>
        <w:rPr>
          <w:spacing w:val="-2"/>
        </w:rPr>
        <w:t>FSI/Fungible </w:t>
      </w:r>
      <w:r>
        <w:rPr/>
        <w:t>Compensatory Area:</w:t>
      </w:r>
    </w:p>
    <w:p>
      <w:pPr>
        <w:pStyle w:val="Heading6"/>
        <w:numPr>
          <w:ilvl w:val="0"/>
          <w:numId w:val="114"/>
        </w:numPr>
        <w:tabs>
          <w:tab w:pos="1862" w:val="left" w:leader="none"/>
        </w:tabs>
        <w:spacing w:line="240" w:lineRule="auto" w:before="242" w:after="0"/>
        <w:ind w:left="1862" w:right="0" w:hanging="369"/>
        <w:jc w:val="left"/>
      </w:pPr>
      <w:r>
        <w:rPr/>
        <w:t>Exemption</w:t>
      </w:r>
      <w:r>
        <w:rPr>
          <w:spacing w:val="-4"/>
        </w:rPr>
        <w:t> </w:t>
      </w:r>
      <w:r>
        <w:rPr/>
        <w:t>from</w:t>
      </w:r>
      <w:r>
        <w:rPr>
          <w:spacing w:val="-4"/>
        </w:rPr>
        <w:t> </w:t>
      </w:r>
      <w:r>
        <w:rPr>
          <w:spacing w:val="-5"/>
        </w:rPr>
        <w:t>FSI</w:t>
      </w:r>
    </w:p>
    <w:p>
      <w:pPr>
        <w:pStyle w:val="BodyText"/>
        <w:spacing w:before="241"/>
        <w:ind w:left="1764"/>
      </w:pPr>
      <w:r>
        <w:rPr/>
        <w:t>The</w:t>
      </w:r>
      <w:r>
        <w:rPr>
          <w:spacing w:val="-2"/>
        </w:rPr>
        <w:t> </w:t>
      </w:r>
      <w:r>
        <w:rPr/>
        <w:t>following</w:t>
      </w:r>
      <w:r>
        <w:rPr>
          <w:spacing w:val="-1"/>
        </w:rPr>
        <w:t> </w:t>
      </w:r>
      <w:r>
        <w:rPr/>
        <w:t>shall</w:t>
      </w:r>
      <w:r>
        <w:rPr>
          <w:spacing w:val="-1"/>
        </w:rPr>
        <w:t> </w:t>
      </w:r>
      <w:r>
        <w:rPr/>
        <w:t>not</w:t>
      </w:r>
      <w:r>
        <w:rPr>
          <w:spacing w:val="-1"/>
        </w:rPr>
        <w:t> </w:t>
      </w:r>
      <w:r>
        <w:rPr/>
        <w:t>be</w:t>
      </w:r>
      <w:r>
        <w:rPr>
          <w:spacing w:val="-1"/>
        </w:rPr>
        <w:t> </w:t>
      </w:r>
      <w:r>
        <w:rPr/>
        <w:t>counted</w:t>
      </w:r>
      <w:r>
        <w:rPr>
          <w:spacing w:val="-1"/>
        </w:rPr>
        <w:t> </w:t>
      </w:r>
      <w:r>
        <w:rPr/>
        <w:t>in</w:t>
      </w:r>
      <w:r>
        <w:rPr>
          <w:spacing w:val="-1"/>
        </w:rPr>
        <w:t> </w:t>
      </w:r>
      <w:r>
        <w:rPr>
          <w:spacing w:val="-5"/>
        </w:rPr>
        <w:t>FSI</w:t>
      </w:r>
    </w:p>
    <w:p>
      <w:pPr>
        <w:pStyle w:val="ListParagraph"/>
        <w:numPr>
          <w:ilvl w:val="1"/>
          <w:numId w:val="114"/>
        </w:numPr>
        <w:tabs>
          <w:tab w:pos="2093" w:val="left" w:leader="none"/>
        </w:tabs>
        <w:spacing w:line="240" w:lineRule="auto" w:before="240" w:after="0"/>
        <w:ind w:left="2093" w:right="0" w:hanging="439"/>
        <w:jc w:val="left"/>
        <w:rPr>
          <w:sz w:val="24"/>
        </w:rPr>
      </w:pPr>
      <w:r>
        <w:rPr>
          <w:sz w:val="24"/>
        </w:rPr>
        <w:t>Areas</w:t>
      </w:r>
      <w:r>
        <w:rPr>
          <w:spacing w:val="-7"/>
          <w:sz w:val="24"/>
        </w:rPr>
        <w:t> </w:t>
      </w:r>
      <w:r>
        <w:rPr>
          <w:sz w:val="24"/>
        </w:rPr>
        <w:t>of</w:t>
      </w:r>
      <w:r>
        <w:rPr>
          <w:spacing w:val="-6"/>
          <w:sz w:val="24"/>
        </w:rPr>
        <w:t> </w:t>
      </w:r>
      <w:r>
        <w:rPr>
          <w:sz w:val="24"/>
        </w:rPr>
        <w:t>structures</w:t>
      </w:r>
      <w:r>
        <w:rPr>
          <w:spacing w:val="-7"/>
          <w:sz w:val="24"/>
        </w:rPr>
        <w:t> </w:t>
      </w:r>
      <w:r>
        <w:rPr>
          <w:sz w:val="24"/>
        </w:rPr>
        <w:t>permitted</w:t>
      </w:r>
      <w:r>
        <w:rPr>
          <w:spacing w:val="-6"/>
          <w:sz w:val="24"/>
        </w:rPr>
        <w:t> </w:t>
      </w:r>
      <w:r>
        <w:rPr>
          <w:sz w:val="24"/>
        </w:rPr>
        <w:t>in</w:t>
      </w:r>
      <w:r>
        <w:rPr>
          <w:spacing w:val="-6"/>
          <w:sz w:val="24"/>
        </w:rPr>
        <w:t> </w:t>
      </w:r>
      <w:r>
        <w:rPr>
          <w:sz w:val="24"/>
        </w:rPr>
        <w:t>LOS</w:t>
      </w:r>
      <w:r>
        <w:rPr>
          <w:spacing w:val="-6"/>
          <w:sz w:val="24"/>
        </w:rPr>
        <w:t> </w:t>
      </w:r>
      <w:r>
        <w:rPr>
          <w:sz w:val="24"/>
        </w:rPr>
        <w:t>under</w:t>
      </w:r>
      <w:r>
        <w:rPr>
          <w:spacing w:val="-7"/>
          <w:sz w:val="24"/>
        </w:rPr>
        <w:t> </w:t>
      </w:r>
      <w:r>
        <w:rPr>
          <w:sz w:val="24"/>
        </w:rPr>
        <w:t>clause</w:t>
      </w:r>
      <w:r>
        <w:rPr>
          <w:spacing w:val="-6"/>
          <w:sz w:val="24"/>
        </w:rPr>
        <w:t> </w:t>
      </w:r>
      <w:r>
        <w:rPr>
          <w:sz w:val="24"/>
        </w:rPr>
        <w:t>(g)of</w:t>
      </w:r>
      <w:r>
        <w:rPr>
          <w:spacing w:val="-6"/>
          <w:sz w:val="24"/>
        </w:rPr>
        <w:t> </w:t>
      </w:r>
      <w:r>
        <w:rPr>
          <w:sz w:val="24"/>
        </w:rPr>
        <w:t>sub-</w:t>
      </w:r>
      <w:r>
        <w:rPr>
          <w:spacing w:val="-2"/>
          <w:sz w:val="24"/>
        </w:rPr>
        <w:t>Regulation</w:t>
      </w:r>
    </w:p>
    <w:p>
      <w:pPr>
        <w:pStyle w:val="ListParagraph"/>
        <w:numPr>
          <w:ilvl w:val="2"/>
          <w:numId w:val="114"/>
        </w:numPr>
        <w:tabs>
          <w:tab w:pos="2462" w:val="left" w:leader="none"/>
        </w:tabs>
        <w:spacing w:line="240" w:lineRule="auto" w:before="1" w:after="0"/>
        <w:ind w:left="2462" w:right="0" w:hanging="369"/>
        <w:jc w:val="left"/>
        <w:rPr>
          <w:sz w:val="24"/>
        </w:rPr>
      </w:pPr>
      <w:r>
        <w:rPr>
          <w:sz w:val="24"/>
        </w:rPr>
        <w:t>of</w:t>
      </w:r>
      <w:r>
        <w:rPr>
          <w:spacing w:val="-4"/>
          <w:sz w:val="24"/>
        </w:rPr>
        <w:t> </w:t>
      </w:r>
      <w:r>
        <w:rPr>
          <w:sz w:val="24"/>
        </w:rPr>
        <w:t>Regulation</w:t>
      </w:r>
      <w:r>
        <w:rPr>
          <w:spacing w:val="-3"/>
          <w:sz w:val="24"/>
        </w:rPr>
        <w:t> </w:t>
      </w:r>
      <w:r>
        <w:rPr>
          <w:sz w:val="24"/>
        </w:rPr>
        <w:t>No</w:t>
      </w:r>
      <w:r>
        <w:rPr>
          <w:spacing w:val="-3"/>
          <w:sz w:val="24"/>
        </w:rPr>
        <w:t> </w:t>
      </w:r>
      <w:r>
        <w:rPr>
          <w:spacing w:val="-5"/>
          <w:sz w:val="24"/>
        </w:rPr>
        <w:t>27.</w:t>
      </w:r>
    </w:p>
    <w:p>
      <w:pPr>
        <w:pStyle w:val="ListParagraph"/>
        <w:numPr>
          <w:ilvl w:val="1"/>
          <w:numId w:val="114"/>
        </w:numPr>
        <w:tabs>
          <w:tab w:pos="2091" w:val="left" w:leader="none"/>
          <w:tab w:pos="2093" w:val="left" w:leader="none"/>
        </w:tabs>
        <w:spacing w:line="240" w:lineRule="auto" w:before="239" w:after="0"/>
        <w:ind w:left="2093" w:right="768" w:hanging="440"/>
        <w:jc w:val="both"/>
        <w:rPr>
          <w:sz w:val="24"/>
        </w:rPr>
      </w:pPr>
      <w:r>
        <w:rPr>
          <w:sz w:val="24"/>
        </w:rPr>
        <w:t>Areas covered by features permitted in open spaces as listed in Regulation No.42 except for Regulation 42(i) (b), 42(ii)(d),42(ii) (e) (ii) 42(ii)</w:t>
      </w:r>
      <w:r>
        <w:rPr>
          <w:spacing w:val="-4"/>
          <w:sz w:val="24"/>
        </w:rPr>
        <w:t> </w:t>
      </w:r>
      <w:r>
        <w:rPr>
          <w:sz w:val="24"/>
        </w:rPr>
        <w:t>(f)</w:t>
      </w:r>
      <w:r>
        <w:rPr>
          <w:spacing w:val="-4"/>
          <w:sz w:val="24"/>
        </w:rPr>
        <w:t> </w:t>
      </w:r>
      <w:r>
        <w:rPr>
          <w:sz w:val="24"/>
        </w:rPr>
        <w:t>(ii)</w:t>
      </w:r>
      <w:r>
        <w:rPr>
          <w:spacing w:val="-4"/>
          <w:sz w:val="24"/>
        </w:rPr>
        <w:t> </w:t>
      </w:r>
      <w:r>
        <w:rPr>
          <w:sz w:val="24"/>
        </w:rPr>
        <w:t>Areas</w:t>
      </w:r>
      <w:r>
        <w:rPr>
          <w:spacing w:val="-4"/>
          <w:sz w:val="24"/>
        </w:rPr>
        <w:t> </w:t>
      </w:r>
      <w:r>
        <w:rPr>
          <w:sz w:val="24"/>
        </w:rPr>
        <w:t>covered</w:t>
      </w:r>
      <w:r>
        <w:rPr>
          <w:spacing w:val="-4"/>
          <w:sz w:val="24"/>
        </w:rPr>
        <w:t> </w:t>
      </w:r>
      <w:r>
        <w:rPr>
          <w:sz w:val="24"/>
        </w:rPr>
        <w:t>by</w:t>
      </w:r>
      <w:r>
        <w:rPr>
          <w:spacing w:val="-4"/>
          <w:sz w:val="24"/>
        </w:rPr>
        <w:t> </w:t>
      </w:r>
      <w:r>
        <w:rPr>
          <w:sz w:val="24"/>
        </w:rPr>
        <w:t>staircase</w:t>
      </w:r>
      <w:r>
        <w:rPr>
          <w:spacing w:val="-4"/>
          <w:sz w:val="24"/>
        </w:rPr>
        <w:t> </w:t>
      </w:r>
      <w:r>
        <w:rPr>
          <w:sz w:val="24"/>
        </w:rPr>
        <w:t>rooms,</w:t>
      </w:r>
      <w:r>
        <w:rPr>
          <w:spacing w:val="-4"/>
          <w:sz w:val="24"/>
        </w:rPr>
        <w:t> </w:t>
      </w:r>
      <w:r>
        <w:rPr>
          <w:sz w:val="24"/>
        </w:rPr>
        <w:t>lift</w:t>
      </w:r>
      <w:r>
        <w:rPr>
          <w:spacing w:val="-3"/>
          <w:sz w:val="24"/>
        </w:rPr>
        <w:t> </w:t>
      </w:r>
      <w:r>
        <w:rPr>
          <w:sz w:val="24"/>
        </w:rPr>
        <w:t>machine</w:t>
      </w:r>
      <w:r>
        <w:rPr>
          <w:spacing w:val="-4"/>
          <w:sz w:val="24"/>
        </w:rPr>
        <w:t> </w:t>
      </w:r>
      <w:r>
        <w:rPr>
          <w:sz w:val="24"/>
        </w:rPr>
        <w:t>rooms</w:t>
      </w:r>
      <w:r>
        <w:rPr>
          <w:spacing w:val="-4"/>
          <w:sz w:val="24"/>
        </w:rPr>
        <w:t> </w:t>
      </w:r>
      <w:r>
        <w:rPr>
          <w:sz w:val="24"/>
        </w:rPr>
        <w:t>above topmost</w:t>
      </w:r>
      <w:r>
        <w:rPr>
          <w:spacing w:val="-8"/>
          <w:sz w:val="24"/>
        </w:rPr>
        <w:t> </w:t>
      </w:r>
      <w:r>
        <w:rPr>
          <w:sz w:val="24"/>
        </w:rPr>
        <w:t>storey,</w:t>
      </w:r>
      <w:r>
        <w:rPr>
          <w:spacing w:val="-8"/>
          <w:sz w:val="24"/>
        </w:rPr>
        <w:t> </w:t>
      </w:r>
      <w:r>
        <w:rPr>
          <w:sz w:val="24"/>
        </w:rPr>
        <w:t>staircase/lift</w:t>
      </w:r>
      <w:r>
        <w:rPr>
          <w:spacing w:val="-8"/>
          <w:sz w:val="24"/>
        </w:rPr>
        <w:t> </w:t>
      </w:r>
      <w:r>
        <w:rPr>
          <w:sz w:val="24"/>
        </w:rPr>
        <w:t>wells</w:t>
      </w:r>
      <w:r>
        <w:rPr>
          <w:spacing w:val="-8"/>
          <w:sz w:val="24"/>
        </w:rPr>
        <w:t> </w:t>
      </w:r>
      <w:r>
        <w:rPr>
          <w:sz w:val="24"/>
        </w:rPr>
        <w:t>and</w:t>
      </w:r>
      <w:r>
        <w:rPr>
          <w:spacing w:val="-8"/>
          <w:sz w:val="24"/>
        </w:rPr>
        <w:t> </w:t>
      </w:r>
      <w:r>
        <w:rPr>
          <w:sz w:val="24"/>
        </w:rPr>
        <w:t>passages</w:t>
      </w:r>
      <w:r>
        <w:rPr>
          <w:spacing w:val="-8"/>
          <w:sz w:val="24"/>
        </w:rPr>
        <w:t> </w:t>
      </w:r>
      <w:r>
        <w:rPr>
          <w:sz w:val="24"/>
        </w:rPr>
        <w:t>in</w:t>
      </w:r>
      <w:r>
        <w:rPr>
          <w:spacing w:val="-8"/>
          <w:sz w:val="24"/>
        </w:rPr>
        <w:t> </w:t>
      </w:r>
      <w:r>
        <w:rPr>
          <w:sz w:val="24"/>
        </w:rPr>
        <w:t>stilt,</w:t>
      </w:r>
      <w:r>
        <w:rPr>
          <w:spacing w:val="-8"/>
          <w:sz w:val="24"/>
        </w:rPr>
        <w:t> </w:t>
      </w:r>
      <w:r>
        <w:rPr>
          <w:sz w:val="24"/>
        </w:rPr>
        <w:t>basement</w:t>
      </w:r>
      <w:r>
        <w:rPr>
          <w:spacing w:val="-8"/>
          <w:sz w:val="24"/>
        </w:rPr>
        <w:t> </w:t>
      </w:r>
      <w:r>
        <w:rPr>
          <w:sz w:val="24"/>
        </w:rPr>
        <w:t>and floors</w:t>
      </w:r>
      <w:r>
        <w:rPr>
          <w:spacing w:val="-19"/>
          <w:sz w:val="24"/>
        </w:rPr>
        <w:t> </w:t>
      </w:r>
      <w:r>
        <w:rPr>
          <w:sz w:val="24"/>
        </w:rPr>
        <w:t>exclusively</w:t>
      </w:r>
      <w:r>
        <w:rPr>
          <w:spacing w:val="-19"/>
          <w:sz w:val="24"/>
        </w:rPr>
        <w:t> </w:t>
      </w:r>
      <w:r>
        <w:rPr>
          <w:sz w:val="24"/>
        </w:rPr>
        <w:t>used</w:t>
      </w:r>
      <w:r>
        <w:rPr>
          <w:spacing w:val="-19"/>
          <w:sz w:val="24"/>
        </w:rPr>
        <w:t> </w:t>
      </w:r>
      <w:r>
        <w:rPr>
          <w:sz w:val="24"/>
        </w:rPr>
        <w:t>for</w:t>
      </w:r>
      <w:r>
        <w:rPr>
          <w:spacing w:val="-19"/>
          <w:sz w:val="24"/>
        </w:rPr>
        <w:t> </w:t>
      </w:r>
      <w:r>
        <w:rPr>
          <w:sz w:val="24"/>
        </w:rPr>
        <w:t>parking</w:t>
      </w:r>
      <w:r>
        <w:rPr>
          <w:spacing w:val="-19"/>
          <w:sz w:val="24"/>
        </w:rPr>
        <w:t> </w:t>
      </w:r>
      <w:r>
        <w:rPr>
          <w:sz w:val="24"/>
        </w:rPr>
        <w:t>and</w:t>
      </w:r>
      <w:r>
        <w:rPr>
          <w:spacing w:val="-19"/>
          <w:sz w:val="24"/>
        </w:rPr>
        <w:t> </w:t>
      </w:r>
      <w:r>
        <w:rPr>
          <w:sz w:val="24"/>
        </w:rPr>
        <w:t>other</w:t>
      </w:r>
      <w:r>
        <w:rPr>
          <w:spacing w:val="-19"/>
          <w:sz w:val="24"/>
        </w:rPr>
        <w:t> </w:t>
      </w:r>
      <w:r>
        <w:rPr>
          <w:sz w:val="24"/>
        </w:rPr>
        <w:t>ancillary</w:t>
      </w:r>
      <w:r>
        <w:rPr>
          <w:spacing w:val="-19"/>
          <w:sz w:val="24"/>
        </w:rPr>
        <w:t> </w:t>
      </w:r>
      <w:r>
        <w:rPr>
          <w:sz w:val="24"/>
        </w:rPr>
        <w:t>uses</w:t>
      </w:r>
      <w:r>
        <w:rPr>
          <w:spacing w:val="-18"/>
          <w:sz w:val="24"/>
        </w:rPr>
        <w:t> </w:t>
      </w:r>
      <w:r>
        <w:rPr>
          <w:sz w:val="24"/>
        </w:rPr>
        <w:t>as</w:t>
      </w:r>
      <w:r>
        <w:rPr>
          <w:spacing w:val="-19"/>
          <w:sz w:val="24"/>
        </w:rPr>
        <w:t> </w:t>
      </w:r>
      <w:r>
        <w:rPr>
          <w:sz w:val="24"/>
        </w:rPr>
        <w:t>permitted in this Regulation No.31(1)</w:t>
      </w:r>
    </w:p>
    <w:p>
      <w:pPr>
        <w:pStyle w:val="ListParagraph"/>
        <w:numPr>
          <w:ilvl w:val="1"/>
          <w:numId w:val="114"/>
        </w:numPr>
        <w:tabs>
          <w:tab w:pos="2091" w:val="left" w:leader="none"/>
          <w:tab w:pos="2093" w:val="left" w:leader="none"/>
        </w:tabs>
        <w:spacing w:line="240" w:lineRule="auto" w:before="242" w:after="0"/>
        <w:ind w:left="2093" w:right="771" w:hanging="440"/>
        <w:jc w:val="both"/>
        <w:rPr>
          <w:sz w:val="24"/>
        </w:rPr>
      </w:pPr>
      <w:r>
        <w:rPr>
          <w:sz w:val="24"/>
        </w:rPr>
        <w:t>Areas covered by staircases/lift wells including lobbies as specified, excluding</w:t>
      </w:r>
      <w:r>
        <w:rPr>
          <w:spacing w:val="-12"/>
          <w:sz w:val="24"/>
        </w:rPr>
        <w:t> </w:t>
      </w:r>
      <w:r>
        <w:rPr>
          <w:sz w:val="24"/>
        </w:rPr>
        <w:t>those</w:t>
      </w:r>
      <w:r>
        <w:rPr>
          <w:spacing w:val="-12"/>
          <w:sz w:val="24"/>
        </w:rPr>
        <w:t> </w:t>
      </w:r>
      <w:r>
        <w:rPr>
          <w:sz w:val="24"/>
        </w:rPr>
        <w:t>covered</w:t>
      </w:r>
      <w:r>
        <w:rPr>
          <w:spacing w:val="-12"/>
          <w:sz w:val="24"/>
        </w:rPr>
        <w:t> </w:t>
      </w:r>
      <w:r>
        <w:rPr>
          <w:sz w:val="24"/>
        </w:rPr>
        <w:t>under</w:t>
      </w:r>
      <w:r>
        <w:rPr>
          <w:spacing w:val="-12"/>
          <w:sz w:val="24"/>
        </w:rPr>
        <w:t> </w:t>
      </w:r>
      <w:r>
        <w:rPr>
          <w:sz w:val="24"/>
        </w:rPr>
        <w:t>DC</w:t>
      </w:r>
      <w:r>
        <w:rPr>
          <w:spacing w:val="-11"/>
          <w:sz w:val="24"/>
        </w:rPr>
        <w:t> </w:t>
      </w:r>
      <w:r>
        <w:rPr>
          <w:sz w:val="24"/>
        </w:rPr>
        <w:t>Regulation</w:t>
      </w:r>
      <w:r>
        <w:rPr>
          <w:spacing w:val="-12"/>
          <w:sz w:val="24"/>
        </w:rPr>
        <w:t> </w:t>
      </w:r>
      <w:r>
        <w:rPr>
          <w:sz w:val="24"/>
        </w:rPr>
        <w:t>No.31</w:t>
      </w:r>
      <w:r>
        <w:rPr>
          <w:spacing w:val="-12"/>
          <w:sz w:val="24"/>
        </w:rPr>
        <w:t> </w:t>
      </w:r>
      <w:r>
        <w:rPr>
          <w:sz w:val="24"/>
        </w:rPr>
        <w:t>(1)</w:t>
      </w:r>
      <w:r>
        <w:rPr>
          <w:spacing w:val="-12"/>
          <w:sz w:val="24"/>
        </w:rPr>
        <w:t> </w:t>
      </w:r>
      <w:r>
        <w:rPr>
          <w:sz w:val="24"/>
        </w:rPr>
        <w:t>(iii)</w:t>
      </w:r>
      <w:r>
        <w:rPr>
          <w:spacing w:val="-14"/>
          <w:sz w:val="24"/>
        </w:rPr>
        <w:t> </w:t>
      </w:r>
      <w:r>
        <w:rPr>
          <w:sz w:val="24"/>
        </w:rPr>
        <w:t>with</w:t>
      </w:r>
      <w:r>
        <w:rPr>
          <w:spacing w:val="-12"/>
          <w:sz w:val="24"/>
        </w:rPr>
        <w:t> </w:t>
      </w:r>
      <w:r>
        <w:rPr>
          <w:sz w:val="24"/>
        </w:rPr>
        <w:t>special written permission of the Commissioner subject to payment of </w:t>
      </w:r>
      <w:r>
        <w:rPr>
          <w:spacing w:val="-2"/>
          <w:sz w:val="24"/>
        </w:rPr>
        <w:t>premium.</w:t>
      </w:r>
    </w:p>
    <w:p>
      <w:pPr>
        <w:pStyle w:val="BodyText"/>
        <w:spacing w:before="239"/>
        <w:ind w:left="1654" w:right="769"/>
      </w:pPr>
      <w:r>
        <w:rPr/>
        <w:t>Such exclusion from FSI computation shall not be applicable in case of existing</w:t>
      </w:r>
      <w:r>
        <w:rPr>
          <w:spacing w:val="-6"/>
        </w:rPr>
        <w:t> </w:t>
      </w:r>
      <w:r>
        <w:rPr/>
        <w:t>buildings.</w:t>
      </w:r>
      <w:r>
        <w:rPr>
          <w:spacing w:val="-5"/>
        </w:rPr>
        <w:t> </w:t>
      </w:r>
      <w:r>
        <w:rPr/>
        <w:t>Provided</w:t>
      </w:r>
      <w:r>
        <w:rPr>
          <w:spacing w:val="-6"/>
        </w:rPr>
        <w:t> </w:t>
      </w:r>
      <w:r>
        <w:rPr/>
        <w:t>further</w:t>
      </w:r>
      <w:r>
        <w:rPr>
          <w:spacing w:val="-6"/>
        </w:rPr>
        <w:t> </w:t>
      </w:r>
      <w:r>
        <w:rPr/>
        <w:t>that</w:t>
      </w:r>
      <w:r>
        <w:rPr>
          <w:spacing w:val="-3"/>
        </w:rPr>
        <w:t> </w:t>
      </w:r>
      <w:r>
        <w:rPr/>
        <w:t>where</w:t>
      </w:r>
      <w:r>
        <w:rPr>
          <w:spacing w:val="-6"/>
        </w:rPr>
        <w:t> </w:t>
      </w:r>
      <w:r>
        <w:rPr/>
        <w:t>the</w:t>
      </w:r>
      <w:r>
        <w:rPr>
          <w:spacing w:val="-6"/>
        </w:rPr>
        <w:t> </w:t>
      </w:r>
      <w:r>
        <w:rPr/>
        <w:t>permissible</w:t>
      </w:r>
      <w:r>
        <w:rPr>
          <w:spacing w:val="-6"/>
        </w:rPr>
        <w:t> </w:t>
      </w:r>
      <w:r>
        <w:rPr/>
        <w:t>FSI</w:t>
      </w:r>
      <w:r>
        <w:rPr>
          <w:spacing w:val="-4"/>
        </w:rPr>
        <w:t> </w:t>
      </w:r>
      <w:r>
        <w:rPr/>
        <w:t>has</w:t>
      </w:r>
      <w:r>
        <w:rPr>
          <w:spacing w:val="-6"/>
        </w:rPr>
        <w:t> </w:t>
      </w:r>
      <w:r>
        <w:rPr/>
        <w:t>not been exhausted in the case of existing buildings and cases decided by the Corporation prior to coming into force of these Regulations, the exclusion from FSI computation as in these Regulations will be available for construction of balance potential,</w:t>
      </w:r>
    </w:p>
    <w:p>
      <w:pPr>
        <w:pStyle w:val="BodyText"/>
        <w:spacing w:before="239"/>
        <w:ind w:left="1654" w:right="768"/>
      </w:pPr>
      <w:r>
        <w:rPr/>
        <w:t>Provided further that for the reconstruction scheme under Regulation No. 33(6), 33(7)A, 33(7)B such exclusion will be permissible</w:t>
      </w:r>
      <w:r>
        <w:rPr>
          <w:spacing w:val="40"/>
        </w:rPr>
        <w:t> </w:t>
      </w:r>
      <w:r>
        <w:rPr/>
        <w:t>hereunder: -</w:t>
      </w:r>
    </w:p>
    <w:p>
      <w:pPr>
        <w:pStyle w:val="BodyText"/>
        <w:spacing w:line="276" w:lineRule="auto" w:before="239"/>
        <w:ind w:left="2050" w:right="770"/>
        <w:rPr>
          <w:sz w:val="22"/>
        </w:rPr>
      </w:pPr>
      <w:r>
        <w:rPr/>
        <w:t>If staircase, lift &amp; lift lobby areas are claimed free of FSI by charging premium as per then prevailing Regulation, then such areas to that extent only will be granted free of FSI without charging premium. If staircase, lift &amp; lift lobby areas are counted in FSI in earlier development, such areas may be availed free of FSI by charging premium as per these Regulations</w:t>
      </w:r>
      <w:r>
        <w:rPr>
          <w:sz w:val="22"/>
        </w:rPr>
        <w:t>.</w:t>
      </w:r>
    </w:p>
    <w:p>
      <w:pPr>
        <w:pStyle w:val="BodyText"/>
        <w:spacing w:after="0" w:line="276" w:lineRule="auto"/>
        <w:rPr>
          <w:sz w:val="22"/>
        </w:rPr>
        <w:sectPr>
          <w:pgSz w:w="11910" w:h="16840"/>
          <w:pgMar w:header="1065" w:footer="1237" w:top="1500" w:bottom="1420" w:left="360" w:right="360"/>
        </w:sectPr>
      </w:pPr>
    </w:p>
    <w:p>
      <w:pPr>
        <w:pStyle w:val="ListParagraph"/>
        <w:numPr>
          <w:ilvl w:val="0"/>
          <w:numId w:val="115"/>
        </w:numPr>
        <w:tabs>
          <w:tab w:pos="2093" w:val="left" w:leader="none"/>
        </w:tabs>
        <w:spacing w:line="240" w:lineRule="auto" w:before="249" w:after="0"/>
        <w:ind w:left="2093" w:right="769" w:hanging="221"/>
        <w:jc w:val="both"/>
        <w:rPr>
          <w:sz w:val="24"/>
        </w:rPr>
      </w:pPr>
      <w:r>
        <w:rPr>
          <w:sz w:val="24"/>
        </w:rPr>
        <w:t>While</w:t>
      </w:r>
      <w:r>
        <w:rPr>
          <w:spacing w:val="-5"/>
          <w:sz w:val="24"/>
        </w:rPr>
        <w:t> </w:t>
      </w:r>
      <w:r>
        <w:rPr>
          <w:sz w:val="24"/>
        </w:rPr>
        <w:t>working</w:t>
      </w:r>
      <w:r>
        <w:rPr>
          <w:spacing w:val="-5"/>
          <w:sz w:val="24"/>
        </w:rPr>
        <w:t> </w:t>
      </w:r>
      <w:r>
        <w:rPr>
          <w:sz w:val="24"/>
        </w:rPr>
        <w:t>out</w:t>
      </w:r>
      <w:r>
        <w:rPr>
          <w:spacing w:val="-2"/>
          <w:sz w:val="24"/>
        </w:rPr>
        <w:t> </w:t>
      </w:r>
      <w:r>
        <w:rPr>
          <w:sz w:val="24"/>
        </w:rPr>
        <w:t>total</w:t>
      </w:r>
      <w:r>
        <w:rPr>
          <w:spacing w:val="-5"/>
          <w:sz w:val="24"/>
        </w:rPr>
        <w:t> </w:t>
      </w:r>
      <w:r>
        <w:rPr>
          <w:sz w:val="24"/>
        </w:rPr>
        <w:t>existing</w:t>
      </w:r>
      <w:r>
        <w:rPr>
          <w:spacing w:val="-4"/>
          <w:sz w:val="24"/>
        </w:rPr>
        <w:t> </w:t>
      </w:r>
      <w:r>
        <w:rPr>
          <w:sz w:val="24"/>
        </w:rPr>
        <w:t>BUA,</w:t>
      </w:r>
      <w:r>
        <w:rPr>
          <w:spacing w:val="-5"/>
          <w:sz w:val="24"/>
        </w:rPr>
        <w:t> </w:t>
      </w:r>
      <w:r>
        <w:rPr>
          <w:sz w:val="24"/>
        </w:rPr>
        <w:t>the</w:t>
      </w:r>
      <w:r>
        <w:rPr>
          <w:spacing w:val="-5"/>
          <w:sz w:val="24"/>
        </w:rPr>
        <w:t> </w:t>
      </w:r>
      <w:r>
        <w:rPr>
          <w:sz w:val="24"/>
        </w:rPr>
        <w:t>BUA</w:t>
      </w:r>
      <w:r>
        <w:rPr>
          <w:spacing w:val="-5"/>
          <w:sz w:val="24"/>
        </w:rPr>
        <w:t> </w:t>
      </w:r>
      <w:r>
        <w:rPr>
          <w:sz w:val="24"/>
        </w:rPr>
        <w:t>of</w:t>
      </w:r>
      <w:r>
        <w:rPr>
          <w:spacing w:val="-5"/>
          <w:sz w:val="24"/>
        </w:rPr>
        <w:t> </w:t>
      </w:r>
      <w:r>
        <w:rPr>
          <w:sz w:val="24"/>
        </w:rPr>
        <w:t>existing</w:t>
      </w:r>
      <w:r>
        <w:rPr>
          <w:spacing w:val="-5"/>
          <w:sz w:val="24"/>
        </w:rPr>
        <w:t> </w:t>
      </w:r>
      <w:r>
        <w:rPr>
          <w:sz w:val="24"/>
        </w:rPr>
        <w:t>staircase</w:t>
      </w:r>
      <w:r>
        <w:rPr>
          <w:spacing w:val="-5"/>
          <w:sz w:val="24"/>
        </w:rPr>
        <w:t> </w:t>
      </w:r>
      <w:r>
        <w:rPr>
          <w:sz w:val="24"/>
        </w:rPr>
        <w:t>will not be taken into account.</w:t>
      </w:r>
    </w:p>
    <w:p>
      <w:pPr>
        <w:pStyle w:val="ListParagraph"/>
        <w:numPr>
          <w:ilvl w:val="0"/>
          <w:numId w:val="115"/>
        </w:numPr>
        <w:tabs>
          <w:tab w:pos="2213" w:val="left" w:leader="none"/>
          <w:tab w:pos="2933" w:val="left" w:leader="none"/>
        </w:tabs>
        <w:spacing w:line="240" w:lineRule="auto" w:before="241" w:after="0"/>
        <w:ind w:left="2213" w:right="769" w:hanging="341"/>
        <w:jc w:val="both"/>
        <w:rPr>
          <w:sz w:val="24"/>
        </w:rPr>
      </w:pPr>
      <w:r>
        <w:rPr>
          <w:sz w:val="24"/>
        </w:rPr>
        <w:tab/>
        <w:t>Premium for the area of the staircase and lift-well will be recovered</w:t>
      </w:r>
      <w:r>
        <w:rPr>
          <w:spacing w:val="-14"/>
          <w:sz w:val="24"/>
        </w:rPr>
        <w:t> </w:t>
      </w:r>
      <w:r>
        <w:rPr>
          <w:sz w:val="24"/>
        </w:rPr>
        <w:t>after</w:t>
      </w:r>
      <w:r>
        <w:rPr>
          <w:spacing w:val="-14"/>
          <w:sz w:val="24"/>
        </w:rPr>
        <w:t> </w:t>
      </w:r>
      <w:r>
        <w:rPr>
          <w:sz w:val="24"/>
        </w:rPr>
        <w:t>working</w:t>
      </w:r>
      <w:r>
        <w:rPr>
          <w:spacing w:val="-14"/>
          <w:sz w:val="24"/>
        </w:rPr>
        <w:t> </w:t>
      </w:r>
      <w:r>
        <w:rPr>
          <w:sz w:val="24"/>
        </w:rPr>
        <w:t>out</w:t>
      </w:r>
      <w:r>
        <w:rPr>
          <w:spacing w:val="-14"/>
          <w:sz w:val="24"/>
        </w:rPr>
        <w:t> </w:t>
      </w:r>
      <w:r>
        <w:rPr>
          <w:sz w:val="24"/>
        </w:rPr>
        <w:t>the</w:t>
      </w:r>
      <w:r>
        <w:rPr>
          <w:spacing w:val="-14"/>
          <w:sz w:val="24"/>
        </w:rPr>
        <w:t> </w:t>
      </w:r>
      <w:r>
        <w:rPr>
          <w:sz w:val="24"/>
        </w:rPr>
        <w:t>area</w:t>
      </w:r>
      <w:r>
        <w:rPr>
          <w:spacing w:val="-12"/>
          <w:sz w:val="24"/>
        </w:rPr>
        <w:t> </w:t>
      </w:r>
      <w:r>
        <w:rPr>
          <w:sz w:val="24"/>
        </w:rPr>
        <w:t>of</w:t>
      </w:r>
      <w:r>
        <w:rPr>
          <w:spacing w:val="-14"/>
          <w:sz w:val="24"/>
        </w:rPr>
        <w:t> </w:t>
      </w:r>
      <w:r>
        <w:rPr>
          <w:sz w:val="24"/>
        </w:rPr>
        <w:t>the</w:t>
      </w:r>
      <w:r>
        <w:rPr>
          <w:spacing w:val="-14"/>
          <w:sz w:val="24"/>
        </w:rPr>
        <w:t> </w:t>
      </w:r>
      <w:r>
        <w:rPr>
          <w:sz w:val="24"/>
        </w:rPr>
        <w:t>staircase</w:t>
      </w:r>
      <w:r>
        <w:rPr>
          <w:spacing w:val="-14"/>
          <w:sz w:val="24"/>
        </w:rPr>
        <w:t> </w:t>
      </w:r>
      <w:r>
        <w:rPr>
          <w:sz w:val="24"/>
        </w:rPr>
        <w:t>and</w:t>
      </w:r>
      <w:r>
        <w:rPr>
          <w:spacing w:val="-14"/>
          <w:sz w:val="24"/>
        </w:rPr>
        <w:t> </w:t>
      </w:r>
      <w:r>
        <w:rPr>
          <w:sz w:val="24"/>
        </w:rPr>
        <w:t>lift-well</w:t>
      </w:r>
      <w:r>
        <w:rPr>
          <w:spacing w:val="-14"/>
          <w:sz w:val="24"/>
        </w:rPr>
        <w:t> </w:t>
      </w:r>
      <w:r>
        <w:rPr>
          <w:sz w:val="24"/>
        </w:rPr>
        <w:t>in</w:t>
      </w:r>
      <w:r>
        <w:rPr>
          <w:spacing w:val="-14"/>
          <w:sz w:val="24"/>
        </w:rPr>
        <w:t> </w:t>
      </w:r>
      <w:r>
        <w:rPr>
          <w:sz w:val="24"/>
        </w:rPr>
        <w:t>the proposed</w:t>
      </w:r>
      <w:r>
        <w:rPr>
          <w:spacing w:val="-2"/>
          <w:sz w:val="24"/>
        </w:rPr>
        <w:t> </w:t>
      </w:r>
      <w:r>
        <w:rPr>
          <w:sz w:val="24"/>
        </w:rPr>
        <w:t>building</w:t>
      </w:r>
      <w:r>
        <w:rPr>
          <w:spacing w:val="-2"/>
          <w:sz w:val="24"/>
        </w:rPr>
        <w:t> </w:t>
      </w:r>
      <w:r>
        <w:rPr>
          <w:sz w:val="24"/>
        </w:rPr>
        <w:t>minus</w:t>
      </w:r>
      <w:r>
        <w:rPr>
          <w:spacing w:val="-2"/>
          <w:sz w:val="24"/>
        </w:rPr>
        <w:t> </w:t>
      </w:r>
      <w:r>
        <w:rPr>
          <w:sz w:val="24"/>
        </w:rPr>
        <w:t>area</w:t>
      </w:r>
      <w:r>
        <w:rPr>
          <w:spacing w:val="-2"/>
          <w:sz w:val="24"/>
        </w:rPr>
        <w:t> </w:t>
      </w:r>
      <w:r>
        <w:rPr>
          <w:sz w:val="24"/>
        </w:rPr>
        <w:t>of</w:t>
      </w:r>
      <w:r>
        <w:rPr>
          <w:spacing w:val="-2"/>
          <w:sz w:val="24"/>
        </w:rPr>
        <w:t> </w:t>
      </w:r>
      <w:r>
        <w:rPr>
          <w:sz w:val="24"/>
        </w:rPr>
        <w:t>the</w:t>
      </w:r>
      <w:r>
        <w:rPr>
          <w:spacing w:val="-2"/>
          <w:sz w:val="24"/>
        </w:rPr>
        <w:t> </w:t>
      </w:r>
      <w:r>
        <w:rPr>
          <w:sz w:val="24"/>
        </w:rPr>
        <w:t>existing</w:t>
      </w:r>
      <w:r>
        <w:rPr>
          <w:spacing w:val="-2"/>
          <w:sz w:val="24"/>
        </w:rPr>
        <w:t> </w:t>
      </w:r>
      <w:r>
        <w:rPr>
          <w:sz w:val="24"/>
        </w:rPr>
        <w:t>staircase,</w:t>
      </w:r>
      <w:r>
        <w:rPr>
          <w:spacing w:val="-2"/>
          <w:sz w:val="24"/>
        </w:rPr>
        <w:t> </w:t>
      </w:r>
      <w:r>
        <w:rPr>
          <w:sz w:val="24"/>
        </w:rPr>
        <w:t>lift-well</w:t>
      </w:r>
      <w:r>
        <w:rPr>
          <w:spacing w:val="-2"/>
          <w:sz w:val="24"/>
        </w:rPr>
        <w:t> </w:t>
      </w:r>
      <w:r>
        <w:rPr>
          <w:sz w:val="24"/>
        </w:rPr>
        <w:t>etc.,</w:t>
      </w:r>
      <w:r>
        <w:rPr>
          <w:spacing w:val="-2"/>
          <w:sz w:val="24"/>
        </w:rPr>
        <w:t> </w:t>
      </w:r>
      <w:r>
        <w:rPr>
          <w:sz w:val="24"/>
        </w:rPr>
        <w:t>if </w:t>
      </w:r>
      <w:r>
        <w:rPr>
          <w:spacing w:val="-4"/>
          <w:sz w:val="24"/>
        </w:rPr>
        <w:t>any</w:t>
      </w:r>
    </w:p>
    <w:p>
      <w:pPr>
        <w:pStyle w:val="ListParagraph"/>
        <w:numPr>
          <w:ilvl w:val="1"/>
          <w:numId w:val="114"/>
        </w:numPr>
        <w:tabs>
          <w:tab w:pos="2530" w:val="left" w:leader="none"/>
          <w:tab w:pos="2532" w:val="left" w:leader="none"/>
        </w:tabs>
        <w:spacing w:line="240" w:lineRule="auto" w:before="241" w:after="0"/>
        <w:ind w:left="2532" w:right="771" w:hanging="879"/>
        <w:jc w:val="both"/>
        <w:rPr>
          <w:sz w:val="24"/>
        </w:rPr>
      </w:pPr>
      <w:r>
        <w:rPr>
          <w:sz w:val="24"/>
        </w:rPr>
        <w:t>Area of the basement used exclusively for parking and other ancillary uses as permitted in Regulation No. 37(7) (iv) (b, c, d, e &amp; </w:t>
      </w:r>
      <w:r>
        <w:rPr>
          <w:spacing w:val="-4"/>
          <w:sz w:val="24"/>
        </w:rPr>
        <w:t>j).</w:t>
      </w:r>
    </w:p>
    <w:p>
      <w:pPr>
        <w:pStyle w:val="ListParagraph"/>
        <w:numPr>
          <w:ilvl w:val="1"/>
          <w:numId w:val="114"/>
        </w:numPr>
        <w:tabs>
          <w:tab w:pos="2530" w:val="left" w:leader="none"/>
          <w:tab w:pos="2532" w:val="left" w:leader="none"/>
        </w:tabs>
        <w:spacing w:line="240" w:lineRule="auto" w:before="239" w:after="0"/>
        <w:ind w:left="2532" w:right="771" w:hanging="879"/>
        <w:jc w:val="both"/>
        <w:rPr>
          <w:sz w:val="24"/>
        </w:rPr>
      </w:pPr>
      <w:r>
        <w:rPr>
          <w:sz w:val="24"/>
        </w:rPr>
        <w:t>Area of covered parking spaces as provided in sub-Regulation (6) (a)of Regulation No.44</w:t>
      </w:r>
    </w:p>
    <w:p>
      <w:pPr>
        <w:pStyle w:val="BodyText"/>
        <w:spacing w:before="242"/>
        <w:ind w:left="2532" w:right="771"/>
      </w:pPr>
      <w:r>
        <w:rPr/>
        <w:t>Provided, however, that additional parking to the extent of </w:t>
      </w:r>
      <w:r>
        <w:rPr/>
        <w:t>50%of the required parking may be permitted without payment of </w:t>
      </w:r>
      <w:r>
        <w:rPr>
          <w:spacing w:val="-2"/>
        </w:rPr>
        <w:t>premium.</w:t>
      </w:r>
    </w:p>
    <w:p>
      <w:pPr>
        <w:pStyle w:val="BodyText"/>
        <w:spacing w:before="239"/>
        <w:ind w:left="2532" w:right="771"/>
      </w:pPr>
      <w:r>
        <w:rPr/>
        <w:t>Provided further that in non-residential building, where entire parking is proposed by mechanical/ automatic means, additional parking to the extent of 20% of the required parking shall be permitted free of FSI as vehicle holding area.</w:t>
      </w:r>
    </w:p>
    <w:p>
      <w:pPr>
        <w:pStyle w:val="ListParagraph"/>
        <w:numPr>
          <w:ilvl w:val="1"/>
          <w:numId w:val="114"/>
        </w:numPr>
        <w:tabs>
          <w:tab w:pos="2530" w:val="left" w:leader="none"/>
          <w:tab w:pos="2532" w:val="left" w:leader="none"/>
        </w:tabs>
        <w:spacing w:line="240" w:lineRule="auto" w:before="239" w:after="0"/>
        <w:ind w:left="2532" w:right="771" w:hanging="879"/>
        <w:jc w:val="both"/>
        <w:rPr>
          <w:sz w:val="24"/>
        </w:rPr>
      </w:pPr>
      <w:r>
        <w:rPr>
          <w:sz w:val="24"/>
        </w:rPr>
        <w:t>Area of one office room as provided in sub-Regulation (9) of Regulation 37</w:t>
      </w:r>
    </w:p>
    <w:p>
      <w:pPr>
        <w:pStyle w:val="ListParagraph"/>
        <w:numPr>
          <w:ilvl w:val="1"/>
          <w:numId w:val="114"/>
        </w:numPr>
        <w:tabs>
          <w:tab w:pos="2532" w:val="left" w:leader="none"/>
        </w:tabs>
        <w:spacing w:line="240" w:lineRule="auto" w:before="241" w:after="0"/>
        <w:ind w:left="2532" w:right="771" w:hanging="879"/>
        <w:jc w:val="both"/>
        <w:rPr>
          <w:sz w:val="24"/>
        </w:rPr>
      </w:pPr>
      <w:r>
        <w:rPr>
          <w:sz w:val="24"/>
        </w:rPr>
        <w:t>Lofts [vide sub-Regulation 4 of Regulation 37Porches [vide sub- Regulation (18) of Regulation 37]Canopy [vide sub-Regulation (19) of</w:t>
      </w:r>
      <w:r>
        <w:rPr>
          <w:spacing w:val="-7"/>
          <w:sz w:val="24"/>
        </w:rPr>
        <w:t> </w:t>
      </w:r>
      <w:r>
        <w:rPr>
          <w:sz w:val="24"/>
        </w:rPr>
        <w:t>Regulation</w:t>
      </w:r>
      <w:r>
        <w:rPr>
          <w:spacing w:val="-6"/>
          <w:sz w:val="24"/>
        </w:rPr>
        <w:t> </w:t>
      </w:r>
      <w:r>
        <w:rPr>
          <w:sz w:val="24"/>
        </w:rPr>
        <w:t>37].Area</w:t>
      </w:r>
      <w:r>
        <w:rPr>
          <w:spacing w:val="-7"/>
          <w:sz w:val="24"/>
        </w:rPr>
        <w:t> </w:t>
      </w:r>
      <w:r>
        <w:rPr>
          <w:sz w:val="24"/>
        </w:rPr>
        <w:t>of</w:t>
      </w:r>
      <w:r>
        <w:rPr>
          <w:spacing w:val="-7"/>
          <w:sz w:val="24"/>
        </w:rPr>
        <w:t> </w:t>
      </w:r>
      <w:r>
        <w:rPr>
          <w:sz w:val="24"/>
        </w:rPr>
        <w:t>structures</w:t>
      </w:r>
      <w:r>
        <w:rPr>
          <w:spacing w:val="-7"/>
          <w:sz w:val="24"/>
        </w:rPr>
        <w:t> </w:t>
      </w:r>
      <w:r>
        <w:rPr>
          <w:sz w:val="24"/>
        </w:rPr>
        <w:t>for</w:t>
      </w:r>
      <w:r>
        <w:rPr>
          <w:spacing w:val="-9"/>
          <w:sz w:val="24"/>
        </w:rPr>
        <w:t> </w:t>
      </w:r>
      <w:r>
        <w:rPr>
          <w:sz w:val="24"/>
        </w:rPr>
        <w:t>an</w:t>
      </w:r>
      <w:r>
        <w:rPr>
          <w:spacing w:val="-7"/>
          <w:sz w:val="24"/>
        </w:rPr>
        <w:t> </w:t>
      </w:r>
      <w:r>
        <w:rPr>
          <w:sz w:val="24"/>
        </w:rPr>
        <w:t>effluent</w:t>
      </w:r>
      <w:r>
        <w:rPr>
          <w:spacing w:val="-7"/>
          <w:sz w:val="24"/>
        </w:rPr>
        <w:t> </w:t>
      </w:r>
      <w:r>
        <w:rPr>
          <w:sz w:val="24"/>
        </w:rPr>
        <w:t>treatment</w:t>
      </w:r>
      <w:r>
        <w:rPr>
          <w:spacing w:val="-9"/>
          <w:sz w:val="24"/>
        </w:rPr>
        <w:t> </w:t>
      </w:r>
      <w:r>
        <w:rPr>
          <w:sz w:val="24"/>
        </w:rPr>
        <w:t>plant, Water</w:t>
      </w:r>
      <w:r>
        <w:rPr>
          <w:spacing w:val="80"/>
          <w:sz w:val="24"/>
        </w:rPr>
        <w:t> </w:t>
      </w:r>
      <w:r>
        <w:rPr>
          <w:sz w:val="24"/>
        </w:rPr>
        <w:t>Treatment</w:t>
      </w:r>
      <w:r>
        <w:rPr>
          <w:spacing w:val="40"/>
          <w:sz w:val="24"/>
        </w:rPr>
        <w:t> </w:t>
      </w:r>
      <w:r>
        <w:rPr>
          <w:sz w:val="24"/>
        </w:rPr>
        <w:t>Plant,</w:t>
      </w:r>
      <w:r>
        <w:rPr>
          <w:spacing w:val="40"/>
          <w:sz w:val="24"/>
        </w:rPr>
        <w:t> </w:t>
      </w:r>
      <w:r>
        <w:rPr>
          <w:sz w:val="24"/>
        </w:rPr>
        <w:t>Sewerage</w:t>
      </w:r>
      <w:r>
        <w:rPr>
          <w:spacing w:val="80"/>
          <w:sz w:val="24"/>
        </w:rPr>
        <w:t> </w:t>
      </w:r>
      <w:r>
        <w:rPr>
          <w:sz w:val="24"/>
        </w:rPr>
        <w:t>Treatment</w:t>
      </w:r>
      <w:r>
        <w:rPr>
          <w:spacing w:val="40"/>
          <w:sz w:val="24"/>
        </w:rPr>
        <w:t> </w:t>
      </w:r>
      <w:r>
        <w:rPr>
          <w:sz w:val="24"/>
        </w:rPr>
        <w:t>Plant</w:t>
      </w:r>
      <w:r>
        <w:rPr>
          <w:spacing w:val="40"/>
          <w:sz w:val="24"/>
        </w:rPr>
        <w:t> </w:t>
      </w:r>
      <w:r>
        <w:rPr>
          <w:sz w:val="24"/>
        </w:rPr>
        <w:t>as</w:t>
      </w:r>
      <w:r>
        <w:rPr>
          <w:spacing w:val="40"/>
          <w:sz w:val="24"/>
        </w:rPr>
        <w:t> </w:t>
      </w:r>
      <w:r>
        <w:rPr>
          <w:sz w:val="24"/>
        </w:rPr>
        <w:t>required to be provided, as per the requirements of the MPCB or other relevant authorities:</w:t>
      </w:r>
    </w:p>
    <w:p>
      <w:pPr>
        <w:pStyle w:val="BodyText"/>
        <w:spacing w:before="239"/>
        <w:ind w:left="2532" w:right="771"/>
      </w:pPr>
      <w:r>
        <w:rPr/>
        <w:t>Provided, however, in the case of an existing industry, if no vacant land is available the Commissioner may permit structures with dimensions</w:t>
      </w:r>
      <w:r>
        <w:rPr>
          <w:spacing w:val="-12"/>
        </w:rPr>
        <w:t> </w:t>
      </w:r>
      <w:r>
        <w:rPr/>
        <w:t>to</w:t>
      </w:r>
      <w:r>
        <w:rPr>
          <w:spacing w:val="-12"/>
        </w:rPr>
        <w:t> </w:t>
      </w:r>
      <w:r>
        <w:rPr/>
        <w:t>be</w:t>
      </w:r>
      <w:r>
        <w:rPr>
          <w:spacing w:val="-12"/>
        </w:rPr>
        <w:t> </w:t>
      </w:r>
      <w:r>
        <w:rPr/>
        <w:t>approved</w:t>
      </w:r>
      <w:r>
        <w:rPr>
          <w:spacing w:val="-12"/>
        </w:rPr>
        <w:t> </w:t>
      </w:r>
      <w:r>
        <w:rPr/>
        <w:t>by</w:t>
      </w:r>
      <w:r>
        <w:rPr>
          <w:spacing w:val="-12"/>
        </w:rPr>
        <w:t> </w:t>
      </w:r>
      <w:r>
        <w:rPr/>
        <w:t>him</w:t>
      </w:r>
      <w:r>
        <w:rPr>
          <w:spacing w:val="-12"/>
        </w:rPr>
        <w:t> </w:t>
      </w:r>
      <w:r>
        <w:rPr/>
        <w:t>for</w:t>
      </w:r>
      <w:r>
        <w:rPr>
          <w:spacing w:val="-12"/>
        </w:rPr>
        <w:t> </w:t>
      </w:r>
      <w:r>
        <w:rPr/>
        <w:t>such</w:t>
      </w:r>
      <w:r>
        <w:rPr>
          <w:spacing w:val="-12"/>
        </w:rPr>
        <w:t> </w:t>
      </w:r>
      <w:r>
        <w:rPr/>
        <w:t>effluent</w:t>
      </w:r>
      <w:r>
        <w:rPr>
          <w:spacing w:val="-12"/>
        </w:rPr>
        <w:t> </w:t>
      </w:r>
      <w:r>
        <w:rPr/>
        <w:t>treatment</w:t>
      </w:r>
      <w:r>
        <w:rPr>
          <w:spacing w:val="-12"/>
        </w:rPr>
        <w:t> </w:t>
      </w:r>
      <w:r>
        <w:rPr/>
        <w:t>plant on 15 per cent layout</w:t>
      </w:r>
      <w:r>
        <w:rPr>
          <w:spacing w:val="40"/>
        </w:rPr>
        <w:t> </w:t>
      </w:r>
      <w:r>
        <w:rPr/>
        <w:t>open space.</w:t>
      </w:r>
    </w:p>
    <w:p>
      <w:pPr>
        <w:pStyle w:val="ListParagraph"/>
        <w:numPr>
          <w:ilvl w:val="1"/>
          <w:numId w:val="114"/>
        </w:numPr>
        <w:tabs>
          <w:tab w:pos="2530" w:val="left" w:leader="none"/>
          <w:tab w:pos="2532" w:val="left" w:leader="none"/>
        </w:tabs>
        <w:spacing w:line="240" w:lineRule="auto" w:before="242" w:after="0"/>
        <w:ind w:left="2532" w:right="768" w:hanging="879"/>
        <w:jc w:val="both"/>
        <w:rPr>
          <w:sz w:val="24"/>
        </w:rPr>
      </w:pPr>
      <w:r>
        <w:rPr>
          <w:sz w:val="24"/>
        </w:rPr>
        <w:t>A</w:t>
      </w:r>
      <w:r>
        <w:rPr>
          <w:spacing w:val="-7"/>
          <w:sz w:val="24"/>
        </w:rPr>
        <w:t> </w:t>
      </w:r>
      <w:r>
        <w:rPr>
          <w:sz w:val="24"/>
        </w:rPr>
        <w:t>chajja,</w:t>
      </w:r>
      <w:r>
        <w:rPr>
          <w:spacing w:val="-7"/>
          <w:sz w:val="24"/>
        </w:rPr>
        <w:t> </w:t>
      </w:r>
      <w:r>
        <w:rPr>
          <w:sz w:val="24"/>
        </w:rPr>
        <w:t>cornice,</w:t>
      </w:r>
      <w:r>
        <w:rPr>
          <w:spacing w:val="-7"/>
          <w:sz w:val="24"/>
        </w:rPr>
        <w:t> </w:t>
      </w:r>
      <w:r>
        <w:rPr>
          <w:sz w:val="24"/>
        </w:rPr>
        <w:t>weather</w:t>
      </w:r>
      <w:r>
        <w:rPr>
          <w:spacing w:val="-7"/>
          <w:sz w:val="24"/>
        </w:rPr>
        <w:t> </w:t>
      </w:r>
      <w:r>
        <w:rPr>
          <w:sz w:val="24"/>
        </w:rPr>
        <w:t>shade,</w:t>
      </w:r>
      <w:r>
        <w:rPr>
          <w:spacing w:val="-7"/>
          <w:sz w:val="24"/>
        </w:rPr>
        <w:t> </w:t>
      </w:r>
      <w:r>
        <w:rPr>
          <w:sz w:val="24"/>
        </w:rPr>
        <w:t>sun-breaker,</w:t>
      </w:r>
      <w:r>
        <w:rPr>
          <w:spacing w:val="-7"/>
          <w:sz w:val="24"/>
        </w:rPr>
        <w:t> </w:t>
      </w:r>
      <w:r>
        <w:rPr>
          <w:color w:val="000000"/>
          <w:sz w:val="24"/>
          <w:shd w:fill="FFCCFF" w:color="auto" w:val="clear"/>
        </w:rPr>
        <w:t>);</w:t>
      </w:r>
      <w:r>
        <w:rPr>
          <w:color w:val="000000"/>
          <w:spacing w:val="-7"/>
          <w:sz w:val="24"/>
        </w:rPr>
        <w:t> </w:t>
      </w:r>
      <w:r>
        <w:rPr>
          <w:color w:val="000000"/>
          <w:sz w:val="24"/>
        </w:rPr>
        <w:t>at</w:t>
      </w:r>
      <w:r>
        <w:rPr>
          <w:color w:val="000000"/>
          <w:spacing w:val="-9"/>
          <w:sz w:val="24"/>
        </w:rPr>
        <w:t> </w:t>
      </w:r>
      <w:r>
        <w:rPr>
          <w:color w:val="000000"/>
          <w:sz w:val="24"/>
        </w:rPr>
        <w:t>lintel</w:t>
      </w:r>
      <w:r>
        <w:rPr>
          <w:color w:val="000000"/>
          <w:spacing w:val="-6"/>
          <w:sz w:val="24"/>
        </w:rPr>
        <w:t> </w:t>
      </w:r>
      <w:r>
        <w:rPr>
          <w:color w:val="000000"/>
          <w:sz w:val="24"/>
        </w:rPr>
        <w:t>level,</w:t>
      </w:r>
      <w:r>
        <w:rPr>
          <w:color w:val="000000"/>
          <w:spacing w:val="-7"/>
          <w:sz w:val="24"/>
        </w:rPr>
        <w:t> </w:t>
      </w:r>
      <w:r>
        <w:rPr>
          <w:color w:val="000000"/>
          <w:sz w:val="24"/>
        </w:rPr>
        <w:t>only &amp; vertical fins (excluding column); projecting not more than 1.2 m. from</w:t>
      </w:r>
      <w:r>
        <w:rPr>
          <w:color w:val="000000"/>
          <w:spacing w:val="16"/>
          <w:sz w:val="24"/>
        </w:rPr>
        <w:t> </w:t>
      </w:r>
      <w:r>
        <w:rPr>
          <w:color w:val="000000"/>
          <w:sz w:val="24"/>
        </w:rPr>
        <w:t>the</w:t>
      </w:r>
      <w:r>
        <w:rPr>
          <w:color w:val="000000"/>
          <w:spacing w:val="16"/>
          <w:sz w:val="24"/>
        </w:rPr>
        <w:t> </w:t>
      </w:r>
      <w:r>
        <w:rPr>
          <w:color w:val="000000"/>
          <w:sz w:val="24"/>
        </w:rPr>
        <w:t>face</w:t>
      </w:r>
      <w:r>
        <w:rPr>
          <w:color w:val="000000"/>
          <w:spacing w:val="16"/>
          <w:sz w:val="24"/>
        </w:rPr>
        <w:t> </w:t>
      </w:r>
      <w:r>
        <w:rPr>
          <w:color w:val="000000"/>
          <w:sz w:val="24"/>
        </w:rPr>
        <w:t>of</w:t>
      </w:r>
      <w:r>
        <w:rPr>
          <w:color w:val="000000"/>
          <w:spacing w:val="16"/>
          <w:sz w:val="24"/>
        </w:rPr>
        <w:t> </w:t>
      </w:r>
      <w:r>
        <w:rPr>
          <w:color w:val="000000"/>
          <w:sz w:val="24"/>
        </w:rPr>
        <w:t>the</w:t>
      </w:r>
      <w:r>
        <w:rPr>
          <w:color w:val="000000"/>
          <w:spacing w:val="16"/>
          <w:sz w:val="24"/>
        </w:rPr>
        <w:t> </w:t>
      </w:r>
      <w:r>
        <w:rPr>
          <w:color w:val="000000"/>
          <w:sz w:val="24"/>
        </w:rPr>
        <w:t>building</w:t>
      </w:r>
      <w:r>
        <w:rPr>
          <w:color w:val="000000"/>
          <w:spacing w:val="16"/>
          <w:sz w:val="24"/>
        </w:rPr>
        <w:t> </w:t>
      </w:r>
      <w:r>
        <w:rPr>
          <w:color w:val="000000"/>
          <w:sz w:val="24"/>
        </w:rPr>
        <w:t>as</w:t>
      </w:r>
      <w:r>
        <w:rPr>
          <w:color w:val="000000"/>
          <w:spacing w:val="16"/>
          <w:sz w:val="24"/>
        </w:rPr>
        <w:t> </w:t>
      </w:r>
      <w:r>
        <w:rPr>
          <w:color w:val="000000"/>
          <w:sz w:val="24"/>
        </w:rPr>
        <w:t>provided in sub regulation no.</w:t>
      </w:r>
      <w:r>
        <w:rPr>
          <w:color w:val="000000"/>
          <w:spacing w:val="21"/>
          <w:sz w:val="24"/>
        </w:rPr>
        <w:t> </w:t>
      </w:r>
      <w:r>
        <w:rPr>
          <w:color w:val="000000"/>
          <w:sz w:val="24"/>
        </w:rPr>
        <w:t>42</w:t>
      </w:r>
    </w:p>
    <w:p>
      <w:pPr>
        <w:pStyle w:val="BodyText"/>
        <w:spacing w:line="281" w:lineRule="exact"/>
        <w:ind w:left="2532"/>
      </w:pPr>
      <w:r>
        <w:rPr/>
        <w:t>(ii) </w:t>
      </w:r>
      <w:r>
        <w:rPr>
          <w:spacing w:val="-2"/>
        </w:rPr>
        <w:t>(e)(i).</w:t>
      </w:r>
    </w:p>
    <w:p>
      <w:pPr>
        <w:pStyle w:val="ListParagraph"/>
        <w:numPr>
          <w:ilvl w:val="1"/>
          <w:numId w:val="114"/>
        </w:numPr>
        <w:tabs>
          <w:tab w:pos="2530" w:val="left" w:leader="none"/>
          <w:tab w:pos="2532" w:val="left" w:leader="none"/>
        </w:tabs>
        <w:spacing w:line="240" w:lineRule="auto" w:before="241" w:after="0"/>
        <w:ind w:left="2532" w:right="770" w:hanging="879"/>
        <w:jc w:val="both"/>
        <w:rPr>
          <w:sz w:val="24"/>
        </w:rPr>
      </w:pPr>
      <w:r>
        <w:rPr>
          <w:sz w:val="24"/>
        </w:rPr>
        <w:t>A chajja, cornice, weather shade, sun-breaker over a balcony or gallery, as provided in sub regulation no. 42(ii)(f)(i)</w:t>
      </w:r>
    </w:p>
    <w:p>
      <w:pPr>
        <w:pStyle w:val="ListParagraph"/>
        <w:spacing w:after="0" w:line="240" w:lineRule="auto"/>
        <w:jc w:val="both"/>
        <w:rPr>
          <w:sz w:val="24"/>
        </w:rPr>
        <w:sectPr>
          <w:pgSz w:w="11910" w:h="16840"/>
          <w:pgMar w:header="1065" w:footer="1237" w:top="1500" w:bottom="1420" w:left="360" w:right="360"/>
        </w:sectPr>
      </w:pPr>
    </w:p>
    <w:p>
      <w:pPr>
        <w:pStyle w:val="ListParagraph"/>
        <w:numPr>
          <w:ilvl w:val="1"/>
          <w:numId w:val="114"/>
        </w:numPr>
        <w:tabs>
          <w:tab w:pos="2530" w:val="left" w:leader="none"/>
          <w:tab w:pos="2532" w:val="left" w:leader="none"/>
        </w:tabs>
        <w:spacing w:line="240" w:lineRule="auto" w:before="249" w:after="0"/>
        <w:ind w:left="2532" w:right="782" w:hanging="879"/>
        <w:jc w:val="both"/>
        <w:rPr>
          <w:sz w:val="24"/>
        </w:rPr>
      </w:pPr>
      <w:r>
        <w:rPr>
          <w:sz w:val="24"/>
        </w:rPr>
        <w:t>Area covered by elevated/underground water </w:t>
      </w:r>
      <w:r>
        <w:rPr>
          <w:spacing w:val="9"/>
          <w:sz w:val="24"/>
        </w:rPr>
        <w:t>reservoirs/tanks, </w:t>
      </w:r>
      <w:r>
        <w:rPr>
          <w:sz w:val="24"/>
        </w:rPr>
        <w:t>electric </w:t>
      </w:r>
      <w:r>
        <w:rPr>
          <w:spacing w:val="9"/>
          <w:sz w:val="24"/>
        </w:rPr>
        <w:t>sub-</w:t>
      </w:r>
      <w:r>
        <w:rPr>
          <w:sz w:val="24"/>
        </w:rPr>
        <w:t>stations, Distribution Sub Station, pump houses, facility</w:t>
      </w:r>
      <w:r>
        <w:rPr>
          <w:spacing w:val="40"/>
          <w:sz w:val="24"/>
        </w:rPr>
        <w:t> </w:t>
      </w:r>
      <w:r>
        <w:rPr>
          <w:sz w:val="24"/>
        </w:rPr>
        <w:t>for</w:t>
      </w:r>
      <w:r>
        <w:rPr>
          <w:spacing w:val="40"/>
          <w:sz w:val="24"/>
        </w:rPr>
        <w:t> </w:t>
      </w:r>
      <w:r>
        <w:rPr>
          <w:sz w:val="24"/>
        </w:rPr>
        <w:t>treatment</w:t>
      </w:r>
      <w:r>
        <w:rPr>
          <w:spacing w:val="40"/>
          <w:sz w:val="24"/>
        </w:rPr>
        <w:t> </w:t>
      </w:r>
      <w:r>
        <w:rPr>
          <w:sz w:val="24"/>
        </w:rPr>
        <w:t>of</w:t>
      </w:r>
      <w:r>
        <w:rPr>
          <w:spacing w:val="40"/>
          <w:sz w:val="24"/>
        </w:rPr>
        <w:t> </w:t>
      </w:r>
      <w:r>
        <w:rPr>
          <w:sz w:val="24"/>
        </w:rPr>
        <w:t>wet</w:t>
      </w:r>
      <w:r>
        <w:rPr>
          <w:spacing w:val="40"/>
          <w:sz w:val="24"/>
        </w:rPr>
        <w:t> </w:t>
      </w:r>
      <w:r>
        <w:rPr>
          <w:sz w:val="24"/>
        </w:rPr>
        <w:t>waste</w:t>
      </w:r>
      <w:r>
        <w:rPr>
          <w:spacing w:val="40"/>
          <w:sz w:val="24"/>
        </w:rPr>
        <w:t> </w:t>
      </w:r>
      <w:r>
        <w:rPr>
          <w:sz w:val="24"/>
        </w:rPr>
        <w:t>in</w:t>
      </w:r>
      <w:r>
        <w:rPr>
          <w:spacing w:val="40"/>
          <w:sz w:val="24"/>
        </w:rPr>
        <w:t> </w:t>
      </w:r>
      <w:r>
        <w:rPr>
          <w:sz w:val="24"/>
        </w:rPr>
        <w:t>situ.</w:t>
      </w:r>
    </w:p>
    <w:p>
      <w:pPr>
        <w:pStyle w:val="ListParagraph"/>
        <w:numPr>
          <w:ilvl w:val="1"/>
          <w:numId w:val="114"/>
        </w:numPr>
        <w:tabs>
          <w:tab w:pos="2530" w:val="left" w:leader="none"/>
          <w:tab w:pos="2532" w:val="left" w:leader="none"/>
        </w:tabs>
        <w:spacing w:line="240" w:lineRule="auto" w:before="242" w:after="0"/>
        <w:ind w:left="2532" w:right="770" w:hanging="879"/>
        <w:jc w:val="both"/>
        <w:rPr>
          <w:sz w:val="24"/>
        </w:rPr>
      </w:pPr>
      <w:r>
        <w:rPr>
          <w:sz w:val="24"/>
        </w:rPr>
        <w:t>Area</w:t>
      </w:r>
      <w:r>
        <w:rPr>
          <w:spacing w:val="-8"/>
          <w:sz w:val="24"/>
        </w:rPr>
        <w:t> </w:t>
      </w:r>
      <w:r>
        <w:rPr>
          <w:sz w:val="24"/>
        </w:rPr>
        <w:t>covered</w:t>
      </w:r>
      <w:r>
        <w:rPr>
          <w:spacing w:val="-8"/>
          <w:sz w:val="24"/>
        </w:rPr>
        <w:t> </w:t>
      </w:r>
      <w:r>
        <w:rPr>
          <w:sz w:val="24"/>
        </w:rPr>
        <w:t>by</w:t>
      </w:r>
      <w:r>
        <w:rPr>
          <w:spacing w:val="-8"/>
          <w:sz w:val="24"/>
        </w:rPr>
        <w:t> </w:t>
      </w:r>
      <w:r>
        <w:rPr>
          <w:sz w:val="24"/>
        </w:rPr>
        <w:t>new</w:t>
      </w:r>
      <w:r>
        <w:rPr>
          <w:spacing w:val="-8"/>
          <w:sz w:val="24"/>
        </w:rPr>
        <w:t> </w:t>
      </w:r>
      <w:r>
        <w:rPr>
          <w:sz w:val="24"/>
        </w:rPr>
        <w:t>lift</w:t>
      </w:r>
      <w:r>
        <w:rPr>
          <w:spacing w:val="-8"/>
          <w:sz w:val="24"/>
        </w:rPr>
        <w:t> </w:t>
      </w:r>
      <w:r>
        <w:rPr>
          <w:sz w:val="24"/>
        </w:rPr>
        <w:t>and</w:t>
      </w:r>
      <w:r>
        <w:rPr>
          <w:spacing w:val="-8"/>
          <w:sz w:val="24"/>
        </w:rPr>
        <w:t> </w:t>
      </w:r>
      <w:r>
        <w:rPr>
          <w:sz w:val="24"/>
        </w:rPr>
        <w:t>passage</w:t>
      </w:r>
      <w:r>
        <w:rPr>
          <w:spacing w:val="-8"/>
          <w:sz w:val="24"/>
        </w:rPr>
        <w:t> </w:t>
      </w:r>
      <w:r>
        <w:rPr>
          <w:sz w:val="24"/>
        </w:rPr>
        <w:t>thereto</w:t>
      </w:r>
      <w:r>
        <w:rPr>
          <w:spacing w:val="-8"/>
          <w:sz w:val="24"/>
        </w:rPr>
        <w:t> </w:t>
      </w:r>
      <w:r>
        <w:rPr>
          <w:sz w:val="24"/>
        </w:rPr>
        <w:t>in</w:t>
      </w:r>
      <w:r>
        <w:rPr>
          <w:spacing w:val="-8"/>
          <w:sz w:val="24"/>
        </w:rPr>
        <w:t> </w:t>
      </w:r>
      <w:r>
        <w:rPr>
          <w:sz w:val="24"/>
        </w:rPr>
        <w:t>an</w:t>
      </w:r>
      <w:r>
        <w:rPr>
          <w:spacing w:val="-8"/>
          <w:sz w:val="24"/>
        </w:rPr>
        <w:t> </w:t>
      </w:r>
      <w:r>
        <w:rPr>
          <w:sz w:val="24"/>
        </w:rPr>
        <w:t>existing</w:t>
      </w:r>
      <w:r>
        <w:rPr>
          <w:spacing w:val="-8"/>
          <w:sz w:val="24"/>
        </w:rPr>
        <w:t> </w:t>
      </w:r>
      <w:r>
        <w:rPr>
          <w:sz w:val="24"/>
        </w:rPr>
        <w:t>building with</w:t>
      </w:r>
      <w:r>
        <w:rPr>
          <w:spacing w:val="31"/>
          <w:sz w:val="24"/>
        </w:rPr>
        <w:t> </w:t>
      </w:r>
      <w:r>
        <w:rPr>
          <w:sz w:val="24"/>
        </w:rPr>
        <w:t>a</w:t>
      </w:r>
      <w:r>
        <w:rPr>
          <w:spacing w:val="32"/>
          <w:sz w:val="24"/>
        </w:rPr>
        <w:t> </w:t>
      </w:r>
      <w:r>
        <w:rPr>
          <w:sz w:val="24"/>
        </w:rPr>
        <w:t>height</w:t>
      </w:r>
      <w:r>
        <w:rPr>
          <w:spacing w:val="40"/>
          <w:sz w:val="24"/>
        </w:rPr>
        <w:t> </w:t>
      </w:r>
      <w:r>
        <w:rPr>
          <w:sz w:val="24"/>
        </w:rPr>
        <w:t>up</w:t>
      </w:r>
      <w:r>
        <w:rPr>
          <w:spacing w:val="40"/>
          <w:sz w:val="24"/>
        </w:rPr>
        <w:t> </w:t>
      </w:r>
      <w:r>
        <w:rPr>
          <w:sz w:val="24"/>
        </w:rPr>
        <w:t>to</w:t>
      </w:r>
      <w:r>
        <w:rPr>
          <w:spacing w:val="40"/>
          <w:sz w:val="24"/>
        </w:rPr>
        <w:t> </w:t>
      </w:r>
      <w:r>
        <w:rPr>
          <w:sz w:val="24"/>
        </w:rPr>
        <w:t>16m.</w:t>
      </w:r>
      <w:r>
        <w:rPr>
          <w:spacing w:val="40"/>
          <w:sz w:val="24"/>
        </w:rPr>
        <w:t> </w:t>
      </w:r>
      <w:r>
        <w:rPr>
          <w:sz w:val="24"/>
        </w:rPr>
        <w:t>in</w:t>
      </w:r>
      <w:r>
        <w:rPr>
          <w:spacing w:val="40"/>
          <w:sz w:val="24"/>
        </w:rPr>
        <w:t> </w:t>
      </w:r>
      <w:r>
        <w:rPr>
          <w:sz w:val="24"/>
        </w:rPr>
        <w:t>the</w:t>
      </w:r>
      <w:r>
        <w:rPr>
          <w:spacing w:val="40"/>
          <w:sz w:val="24"/>
        </w:rPr>
        <w:t> </w:t>
      </w:r>
      <w:r>
        <w:rPr>
          <w:sz w:val="24"/>
        </w:rPr>
        <w:t>Island</w:t>
      </w:r>
      <w:r>
        <w:rPr>
          <w:spacing w:val="40"/>
          <w:sz w:val="24"/>
        </w:rPr>
        <w:t> </w:t>
      </w:r>
      <w:r>
        <w:rPr>
          <w:sz w:val="24"/>
        </w:rPr>
        <w:t>City</w:t>
      </w:r>
      <w:r>
        <w:rPr>
          <w:spacing w:val="40"/>
          <w:sz w:val="24"/>
        </w:rPr>
        <w:t> </w:t>
      </w:r>
      <w:r>
        <w:rPr>
          <w:sz w:val="24"/>
        </w:rPr>
        <w:t>[vide</w:t>
      </w:r>
      <w:r>
        <w:rPr>
          <w:spacing w:val="40"/>
          <w:sz w:val="24"/>
        </w:rPr>
        <w:t> </w:t>
      </w:r>
      <w:r>
        <w:rPr>
          <w:sz w:val="24"/>
        </w:rPr>
        <w:t>clause</w:t>
      </w:r>
      <w:r>
        <w:rPr>
          <w:spacing w:val="73"/>
          <w:sz w:val="24"/>
        </w:rPr>
        <w:t> </w:t>
      </w:r>
      <w:r>
        <w:rPr>
          <w:sz w:val="24"/>
        </w:rPr>
        <w:t>(ii)</w:t>
      </w:r>
      <w:r>
        <w:rPr>
          <w:spacing w:val="40"/>
          <w:sz w:val="24"/>
        </w:rPr>
        <w:t> </w:t>
      </w:r>
      <w:r>
        <w:rPr>
          <w:sz w:val="24"/>
        </w:rPr>
        <w:t>(f) of</w:t>
      </w:r>
      <w:r>
        <w:rPr>
          <w:spacing w:val="40"/>
          <w:sz w:val="24"/>
        </w:rPr>
        <w:t> </w:t>
      </w:r>
      <w:r>
        <w:rPr>
          <w:spacing w:val="9"/>
          <w:sz w:val="24"/>
        </w:rPr>
        <w:t>sub-</w:t>
      </w:r>
      <w:r>
        <w:rPr>
          <w:sz w:val="24"/>
        </w:rPr>
        <w:t>Regulation</w:t>
      </w:r>
      <w:r>
        <w:rPr>
          <w:spacing w:val="40"/>
          <w:sz w:val="24"/>
        </w:rPr>
        <w:t> </w:t>
      </w:r>
      <w:r>
        <w:rPr>
          <w:sz w:val="24"/>
        </w:rPr>
        <w:t>(17)</w:t>
      </w:r>
      <w:r>
        <w:rPr>
          <w:spacing w:val="40"/>
          <w:sz w:val="24"/>
        </w:rPr>
        <w:t> </w:t>
      </w:r>
      <w:r>
        <w:rPr>
          <w:sz w:val="24"/>
        </w:rPr>
        <w:t>of</w:t>
      </w:r>
      <w:r>
        <w:rPr>
          <w:spacing w:val="40"/>
          <w:sz w:val="24"/>
        </w:rPr>
        <w:t> </w:t>
      </w:r>
      <w:r>
        <w:rPr>
          <w:sz w:val="24"/>
        </w:rPr>
        <w:t>Regulations</w:t>
      </w:r>
      <w:r>
        <w:rPr>
          <w:spacing w:val="40"/>
          <w:sz w:val="24"/>
        </w:rPr>
        <w:t> </w:t>
      </w:r>
      <w:r>
        <w:rPr>
          <w:sz w:val="24"/>
        </w:rPr>
        <w:t>37]</w:t>
      </w:r>
    </w:p>
    <w:p>
      <w:pPr>
        <w:pStyle w:val="ListParagraph"/>
        <w:numPr>
          <w:ilvl w:val="1"/>
          <w:numId w:val="114"/>
        </w:numPr>
        <w:tabs>
          <w:tab w:pos="2530" w:val="left" w:leader="none"/>
          <w:tab w:pos="2532" w:val="left" w:leader="none"/>
        </w:tabs>
        <w:spacing w:line="240" w:lineRule="auto" w:before="240" w:after="0"/>
        <w:ind w:left="2532" w:right="772" w:hanging="879"/>
        <w:jc w:val="both"/>
        <w:rPr>
          <w:sz w:val="24"/>
        </w:rPr>
      </w:pPr>
      <w:r>
        <w:rPr>
          <w:sz w:val="24"/>
        </w:rPr>
        <w:t>Area</w:t>
      </w:r>
      <w:r>
        <w:rPr>
          <w:spacing w:val="-3"/>
          <w:sz w:val="24"/>
        </w:rPr>
        <w:t> </w:t>
      </w:r>
      <w:r>
        <w:rPr>
          <w:sz w:val="24"/>
        </w:rPr>
        <w:t>of</w:t>
      </w:r>
      <w:r>
        <w:rPr>
          <w:spacing w:val="-3"/>
          <w:sz w:val="24"/>
        </w:rPr>
        <w:t> </w:t>
      </w:r>
      <w:r>
        <w:rPr>
          <w:sz w:val="24"/>
        </w:rPr>
        <w:t>a</w:t>
      </w:r>
      <w:r>
        <w:rPr>
          <w:spacing w:val="-3"/>
          <w:sz w:val="24"/>
        </w:rPr>
        <w:t> </w:t>
      </w:r>
      <w:r>
        <w:rPr>
          <w:sz w:val="24"/>
        </w:rPr>
        <w:t>covered</w:t>
      </w:r>
      <w:r>
        <w:rPr>
          <w:spacing w:val="-1"/>
          <w:sz w:val="24"/>
        </w:rPr>
        <w:t> </w:t>
      </w:r>
      <w:r>
        <w:rPr>
          <w:sz w:val="24"/>
        </w:rPr>
        <w:t>passage</w:t>
      </w:r>
      <w:r>
        <w:rPr>
          <w:spacing w:val="-3"/>
          <w:sz w:val="24"/>
        </w:rPr>
        <w:t> </w:t>
      </w:r>
      <w:r>
        <w:rPr>
          <w:sz w:val="24"/>
        </w:rPr>
        <w:t>of</w:t>
      </w:r>
      <w:r>
        <w:rPr>
          <w:spacing w:val="-3"/>
          <w:sz w:val="24"/>
        </w:rPr>
        <w:t> </w:t>
      </w:r>
      <w:r>
        <w:rPr>
          <w:sz w:val="24"/>
        </w:rPr>
        <w:t>clear</w:t>
      </w:r>
      <w:r>
        <w:rPr>
          <w:spacing w:val="-3"/>
          <w:sz w:val="24"/>
        </w:rPr>
        <w:t> </w:t>
      </w:r>
      <w:r>
        <w:rPr>
          <w:sz w:val="24"/>
        </w:rPr>
        <w:t>width not</w:t>
      </w:r>
      <w:r>
        <w:rPr>
          <w:spacing w:val="-3"/>
          <w:sz w:val="24"/>
        </w:rPr>
        <w:t> </w:t>
      </w:r>
      <w:r>
        <w:rPr>
          <w:sz w:val="24"/>
        </w:rPr>
        <w:t>more</w:t>
      </w:r>
      <w:r>
        <w:rPr>
          <w:spacing w:val="-3"/>
          <w:sz w:val="24"/>
        </w:rPr>
        <w:t> </w:t>
      </w:r>
      <w:r>
        <w:rPr>
          <w:sz w:val="24"/>
        </w:rPr>
        <w:t>than</w:t>
      </w:r>
      <w:r>
        <w:rPr>
          <w:spacing w:val="-3"/>
          <w:sz w:val="24"/>
        </w:rPr>
        <w:t> </w:t>
      </w:r>
      <w:r>
        <w:rPr>
          <w:sz w:val="24"/>
        </w:rPr>
        <w:t>1.52m</w:t>
      </w:r>
      <w:r>
        <w:rPr>
          <w:spacing w:val="-3"/>
          <w:sz w:val="24"/>
        </w:rPr>
        <w:t> </w:t>
      </w:r>
      <w:r>
        <w:rPr>
          <w:sz w:val="24"/>
        </w:rPr>
        <w:t>(5ft.) leading</w:t>
      </w:r>
      <w:r>
        <w:rPr>
          <w:spacing w:val="-5"/>
          <w:sz w:val="24"/>
        </w:rPr>
        <w:t> </w:t>
      </w:r>
      <w:r>
        <w:rPr>
          <w:sz w:val="24"/>
        </w:rPr>
        <w:t>from</w:t>
      </w:r>
      <w:r>
        <w:rPr>
          <w:spacing w:val="-5"/>
          <w:sz w:val="24"/>
        </w:rPr>
        <w:t> </w:t>
      </w:r>
      <w:r>
        <w:rPr>
          <w:sz w:val="24"/>
        </w:rPr>
        <w:t>a</w:t>
      </w:r>
      <w:r>
        <w:rPr>
          <w:spacing w:val="-5"/>
          <w:sz w:val="24"/>
        </w:rPr>
        <w:t> </w:t>
      </w:r>
      <w:r>
        <w:rPr>
          <w:sz w:val="24"/>
        </w:rPr>
        <w:t>lift</w:t>
      </w:r>
      <w:r>
        <w:rPr>
          <w:spacing w:val="-5"/>
          <w:sz w:val="24"/>
        </w:rPr>
        <w:t> </w:t>
      </w:r>
      <w:r>
        <w:rPr>
          <w:sz w:val="24"/>
        </w:rPr>
        <w:t>exit</w:t>
      </w:r>
      <w:r>
        <w:rPr>
          <w:spacing w:val="-5"/>
          <w:sz w:val="24"/>
        </w:rPr>
        <w:t> </w:t>
      </w:r>
      <w:r>
        <w:rPr>
          <w:sz w:val="24"/>
        </w:rPr>
        <w:t>at</w:t>
      </w:r>
      <w:r>
        <w:rPr>
          <w:spacing w:val="-5"/>
          <w:sz w:val="24"/>
        </w:rPr>
        <w:t> </w:t>
      </w:r>
      <w:r>
        <w:rPr>
          <w:sz w:val="24"/>
        </w:rPr>
        <w:t>terrace</w:t>
      </w:r>
      <w:r>
        <w:rPr>
          <w:spacing w:val="-5"/>
          <w:sz w:val="24"/>
        </w:rPr>
        <w:t> </w:t>
      </w:r>
      <w:r>
        <w:rPr>
          <w:sz w:val="24"/>
        </w:rPr>
        <w:t>level</w:t>
      </w:r>
      <w:r>
        <w:rPr>
          <w:spacing w:val="-5"/>
          <w:sz w:val="24"/>
        </w:rPr>
        <w:t> </w:t>
      </w:r>
      <w:r>
        <w:rPr>
          <w:sz w:val="24"/>
        </w:rPr>
        <w:t>to</w:t>
      </w:r>
      <w:r>
        <w:rPr>
          <w:spacing w:val="-3"/>
          <w:sz w:val="24"/>
        </w:rPr>
        <w:t> </w:t>
      </w:r>
      <w:r>
        <w:rPr>
          <w:sz w:val="24"/>
        </w:rPr>
        <w:t>the</w:t>
      </w:r>
      <w:r>
        <w:rPr>
          <w:spacing w:val="-5"/>
          <w:sz w:val="24"/>
        </w:rPr>
        <w:t> </w:t>
      </w:r>
      <w:r>
        <w:rPr>
          <w:sz w:val="24"/>
        </w:rPr>
        <w:t>existing</w:t>
      </w:r>
      <w:r>
        <w:rPr>
          <w:spacing w:val="-5"/>
          <w:sz w:val="24"/>
        </w:rPr>
        <w:t> </w:t>
      </w:r>
      <w:r>
        <w:rPr>
          <w:sz w:val="24"/>
        </w:rPr>
        <w:t>staircase</w:t>
      </w:r>
      <w:r>
        <w:rPr>
          <w:spacing w:val="-3"/>
          <w:sz w:val="24"/>
        </w:rPr>
        <w:t> </w:t>
      </w:r>
      <w:r>
        <w:rPr>
          <w:sz w:val="24"/>
        </w:rPr>
        <w:t>so</w:t>
      </w:r>
      <w:r>
        <w:rPr>
          <w:spacing w:val="-5"/>
          <w:sz w:val="24"/>
        </w:rPr>
        <w:t> </w:t>
      </w:r>
      <w:r>
        <w:rPr>
          <w:sz w:val="24"/>
        </w:rPr>
        <w:t>as to</w:t>
      </w:r>
      <w:r>
        <w:rPr>
          <w:spacing w:val="-14"/>
          <w:sz w:val="24"/>
        </w:rPr>
        <w:t> </w:t>
      </w:r>
      <w:r>
        <w:rPr>
          <w:sz w:val="24"/>
        </w:rPr>
        <w:t>enable</w:t>
      </w:r>
      <w:r>
        <w:rPr>
          <w:spacing w:val="-14"/>
          <w:sz w:val="24"/>
        </w:rPr>
        <w:t> </w:t>
      </w:r>
      <w:r>
        <w:rPr>
          <w:sz w:val="24"/>
        </w:rPr>
        <w:t>descent</w:t>
      </w:r>
      <w:r>
        <w:rPr>
          <w:spacing w:val="-14"/>
          <w:sz w:val="24"/>
        </w:rPr>
        <w:t> </w:t>
      </w:r>
      <w:r>
        <w:rPr>
          <w:sz w:val="24"/>
        </w:rPr>
        <w:t>to</w:t>
      </w:r>
      <w:r>
        <w:rPr>
          <w:spacing w:val="-15"/>
          <w:sz w:val="24"/>
        </w:rPr>
        <w:t> </w:t>
      </w:r>
      <w:r>
        <w:rPr>
          <w:sz w:val="24"/>
        </w:rPr>
        <w:t>lower</w:t>
      </w:r>
      <w:r>
        <w:rPr>
          <w:spacing w:val="-14"/>
          <w:sz w:val="24"/>
        </w:rPr>
        <w:t> </w:t>
      </w:r>
      <w:r>
        <w:rPr>
          <w:sz w:val="24"/>
        </w:rPr>
        <w:t>floor</w:t>
      </w:r>
      <w:r>
        <w:rPr>
          <w:spacing w:val="-14"/>
          <w:sz w:val="24"/>
        </w:rPr>
        <w:t> </w:t>
      </w:r>
      <w:r>
        <w:rPr>
          <w:sz w:val="24"/>
        </w:rPr>
        <w:t>in</w:t>
      </w:r>
      <w:r>
        <w:rPr>
          <w:spacing w:val="-14"/>
          <w:sz w:val="24"/>
        </w:rPr>
        <w:t> </w:t>
      </w:r>
      <w:r>
        <w:rPr>
          <w:sz w:val="24"/>
        </w:rPr>
        <w:t>a</w:t>
      </w:r>
      <w:r>
        <w:rPr>
          <w:spacing w:val="-15"/>
          <w:sz w:val="24"/>
        </w:rPr>
        <w:t> </w:t>
      </w:r>
      <w:r>
        <w:rPr>
          <w:sz w:val="24"/>
        </w:rPr>
        <w:t>building</w:t>
      </w:r>
      <w:r>
        <w:rPr>
          <w:spacing w:val="-14"/>
          <w:sz w:val="24"/>
        </w:rPr>
        <w:t> </w:t>
      </w:r>
      <w:r>
        <w:rPr>
          <w:sz w:val="24"/>
        </w:rPr>
        <w:t>to</w:t>
      </w:r>
      <w:r>
        <w:rPr>
          <w:spacing w:val="-14"/>
          <w:sz w:val="24"/>
        </w:rPr>
        <w:t> </w:t>
      </w:r>
      <w:r>
        <w:rPr>
          <w:sz w:val="24"/>
        </w:rPr>
        <w:t>reach</w:t>
      </w:r>
      <w:r>
        <w:rPr>
          <w:spacing w:val="-14"/>
          <w:sz w:val="24"/>
        </w:rPr>
        <w:t> </w:t>
      </w:r>
      <w:r>
        <w:rPr>
          <w:sz w:val="24"/>
        </w:rPr>
        <w:t>tenements</w:t>
      </w:r>
      <w:r>
        <w:rPr>
          <w:spacing w:val="-14"/>
          <w:sz w:val="24"/>
        </w:rPr>
        <w:t> </w:t>
      </w:r>
      <w:r>
        <w:rPr>
          <w:sz w:val="24"/>
        </w:rPr>
        <w:t>not having direct access to a new lift in a building without an existing </w:t>
      </w:r>
      <w:r>
        <w:rPr>
          <w:spacing w:val="-2"/>
          <w:sz w:val="24"/>
        </w:rPr>
        <w:t>lift.</w:t>
      </w:r>
    </w:p>
    <w:p>
      <w:pPr>
        <w:pStyle w:val="ListParagraph"/>
        <w:numPr>
          <w:ilvl w:val="1"/>
          <w:numId w:val="114"/>
        </w:numPr>
        <w:tabs>
          <w:tab w:pos="2482" w:val="left" w:leader="none"/>
          <w:tab w:pos="2532" w:val="left" w:leader="none"/>
        </w:tabs>
        <w:spacing w:line="240" w:lineRule="auto" w:before="241" w:after="0"/>
        <w:ind w:left="2532" w:right="769" w:hanging="879"/>
        <w:jc w:val="both"/>
        <w:rPr>
          <w:sz w:val="24"/>
        </w:rPr>
      </w:pPr>
      <w:r>
        <w:rPr>
          <w:sz w:val="24"/>
        </w:rPr>
        <w:t>Area</w:t>
      </w:r>
      <w:r>
        <w:rPr>
          <w:spacing w:val="-11"/>
          <w:sz w:val="24"/>
        </w:rPr>
        <w:t> </w:t>
      </w:r>
      <w:r>
        <w:rPr>
          <w:sz w:val="24"/>
        </w:rPr>
        <w:t>of</w:t>
      </w:r>
      <w:r>
        <w:rPr>
          <w:spacing w:val="-11"/>
          <w:sz w:val="24"/>
        </w:rPr>
        <w:t> </w:t>
      </w:r>
      <w:r>
        <w:rPr>
          <w:sz w:val="24"/>
        </w:rPr>
        <w:t>one</w:t>
      </w:r>
      <w:r>
        <w:rPr>
          <w:spacing w:val="-11"/>
          <w:sz w:val="24"/>
        </w:rPr>
        <w:t> </w:t>
      </w:r>
      <w:r>
        <w:rPr>
          <w:sz w:val="24"/>
        </w:rPr>
        <w:t>fitness</w:t>
      </w:r>
      <w:r>
        <w:rPr>
          <w:spacing w:val="-13"/>
          <w:sz w:val="24"/>
        </w:rPr>
        <w:t> </w:t>
      </w:r>
      <w:r>
        <w:rPr>
          <w:sz w:val="24"/>
        </w:rPr>
        <w:t>centre</w:t>
      </w:r>
      <w:r>
        <w:rPr>
          <w:spacing w:val="-10"/>
          <w:sz w:val="24"/>
        </w:rPr>
        <w:t> </w:t>
      </w:r>
      <w:r>
        <w:rPr>
          <w:sz w:val="24"/>
        </w:rPr>
        <w:t>/Yogalaya</w:t>
      </w:r>
      <w:r>
        <w:rPr>
          <w:spacing w:val="-10"/>
          <w:sz w:val="24"/>
        </w:rPr>
        <w:t> </w:t>
      </w:r>
      <w:r>
        <w:rPr>
          <w:sz w:val="24"/>
        </w:rPr>
        <w:t>for</w:t>
      </w:r>
      <w:r>
        <w:rPr>
          <w:spacing w:val="-11"/>
          <w:sz w:val="24"/>
        </w:rPr>
        <w:t> </w:t>
      </w:r>
      <w:r>
        <w:rPr>
          <w:sz w:val="24"/>
        </w:rPr>
        <w:t>a</w:t>
      </w:r>
      <w:r>
        <w:rPr>
          <w:spacing w:val="-13"/>
          <w:sz w:val="24"/>
        </w:rPr>
        <w:t> </w:t>
      </w:r>
      <w:r>
        <w:rPr>
          <w:sz w:val="24"/>
        </w:rPr>
        <w:t>Co-Op.</w:t>
      </w:r>
      <w:r>
        <w:rPr>
          <w:spacing w:val="-11"/>
          <w:sz w:val="24"/>
        </w:rPr>
        <w:t> </w:t>
      </w:r>
      <w:r>
        <w:rPr>
          <w:sz w:val="24"/>
        </w:rPr>
        <w:t>Housing</w:t>
      </w:r>
      <w:r>
        <w:rPr>
          <w:spacing w:val="-11"/>
          <w:sz w:val="24"/>
        </w:rPr>
        <w:t> </w:t>
      </w:r>
      <w:r>
        <w:rPr>
          <w:sz w:val="24"/>
        </w:rPr>
        <w:t>Society</w:t>
      </w:r>
      <w:r>
        <w:rPr>
          <w:spacing w:val="-11"/>
          <w:sz w:val="24"/>
        </w:rPr>
        <w:t> </w:t>
      </w:r>
      <w:r>
        <w:rPr>
          <w:sz w:val="24"/>
        </w:rPr>
        <w:t>or Apartment Owners Association as provided in sub-regulation </w:t>
      </w:r>
      <w:r>
        <w:rPr>
          <w:spacing w:val="-2"/>
          <w:sz w:val="24"/>
        </w:rPr>
        <w:t>37(28).</w:t>
      </w:r>
    </w:p>
    <w:p>
      <w:pPr>
        <w:pStyle w:val="ListParagraph"/>
        <w:numPr>
          <w:ilvl w:val="1"/>
          <w:numId w:val="114"/>
        </w:numPr>
        <w:tabs>
          <w:tab w:pos="2393" w:val="left" w:leader="none"/>
        </w:tabs>
        <w:spacing w:line="240" w:lineRule="auto" w:before="239" w:after="0"/>
        <w:ind w:left="2393" w:right="0" w:hanging="739"/>
        <w:jc w:val="left"/>
        <w:rPr>
          <w:sz w:val="24"/>
        </w:rPr>
      </w:pPr>
      <w:r>
        <w:rPr>
          <w:sz w:val="24"/>
        </w:rPr>
        <w:t>The</w:t>
      </w:r>
      <w:r>
        <w:rPr>
          <w:spacing w:val="-2"/>
          <w:sz w:val="24"/>
        </w:rPr>
        <w:t> </w:t>
      </w:r>
      <w:r>
        <w:rPr>
          <w:sz w:val="24"/>
        </w:rPr>
        <w:t>fire</w:t>
      </w:r>
      <w:r>
        <w:rPr>
          <w:spacing w:val="-2"/>
          <w:sz w:val="24"/>
        </w:rPr>
        <w:t> </w:t>
      </w:r>
      <w:r>
        <w:rPr>
          <w:sz w:val="24"/>
        </w:rPr>
        <w:t>chutes</w:t>
      </w:r>
      <w:r>
        <w:rPr>
          <w:spacing w:val="-1"/>
          <w:sz w:val="24"/>
        </w:rPr>
        <w:t> </w:t>
      </w:r>
      <w:r>
        <w:rPr>
          <w:sz w:val="24"/>
        </w:rPr>
        <w:t>as</w:t>
      </w:r>
      <w:r>
        <w:rPr>
          <w:spacing w:val="-2"/>
          <w:sz w:val="24"/>
        </w:rPr>
        <w:t> </w:t>
      </w:r>
      <w:r>
        <w:rPr>
          <w:sz w:val="24"/>
        </w:rPr>
        <w:t>provided</w:t>
      </w:r>
      <w:r>
        <w:rPr>
          <w:spacing w:val="-1"/>
          <w:sz w:val="24"/>
        </w:rPr>
        <w:t> </w:t>
      </w:r>
      <w:r>
        <w:rPr>
          <w:sz w:val="24"/>
        </w:rPr>
        <w:t>under</w:t>
      </w:r>
      <w:r>
        <w:rPr>
          <w:spacing w:val="-2"/>
          <w:sz w:val="24"/>
        </w:rPr>
        <w:t> </w:t>
      </w:r>
      <w:r>
        <w:rPr>
          <w:sz w:val="24"/>
        </w:rPr>
        <w:t>DC</w:t>
      </w:r>
      <w:r>
        <w:rPr>
          <w:spacing w:val="-1"/>
          <w:sz w:val="24"/>
        </w:rPr>
        <w:t> </w:t>
      </w:r>
      <w:r>
        <w:rPr>
          <w:sz w:val="24"/>
        </w:rPr>
        <w:t>Regulation</w:t>
      </w:r>
      <w:r>
        <w:rPr>
          <w:spacing w:val="-2"/>
          <w:sz w:val="24"/>
        </w:rPr>
        <w:t> </w:t>
      </w:r>
      <w:r>
        <w:rPr>
          <w:sz w:val="24"/>
        </w:rPr>
        <w:t>No.</w:t>
      </w:r>
      <w:r>
        <w:rPr>
          <w:spacing w:val="-1"/>
          <w:sz w:val="24"/>
        </w:rPr>
        <w:t> </w:t>
      </w:r>
      <w:r>
        <w:rPr>
          <w:spacing w:val="-2"/>
          <w:sz w:val="24"/>
        </w:rPr>
        <w:t>48(9)</w:t>
      </w:r>
    </w:p>
    <w:p>
      <w:pPr>
        <w:pStyle w:val="ListParagraph"/>
        <w:numPr>
          <w:ilvl w:val="1"/>
          <w:numId w:val="114"/>
        </w:numPr>
        <w:tabs>
          <w:tab w:pos="2532" w:val="left" w:leader="none"/>
        </w:tabs>
        <w:spacing w:line="240" w:lineRule="auto" w:before="239" w:after="0"/>
        <w:ind w:left="2532" w:right="0" w:hanging="878"/>
        <w:jc w:val="left"/>
        <w:rPr>
          <w:sz w:val="24"/>
        </w:rPr>
      </w:pPr>
      <w:r>
        <w:rPr>
          <w:sz w:val="24"/>
        </w:rPr>
        <w:t>The</w:t>
      </w:r>
      <w:r>
        <w:rPr>
          <w:spacing w:val="-2"/>
          <w:sz w:val="24"/>
        </w:rPr>
        <w:t> </w:t>
      </w:r>
      <w:r>
        <w:rPr>
          <w:sz w:val="24"/>
        </w:rPr>
        <w:t>refuge</w:t>
      </w:r>
      <w:r>
        <w:rPr>
          <w:spacing w:val="-2"/>
          <w:sz w:val="24"/>
        </w:rPr>
        <w:t> </w:t>
      </w:r>
      <w:r>
        <w:rPr>
          <w:sz w:val="24"/>
        </w:rPr>
        <w:t>areas</w:t>
      </w:r>
      <w:r>
        <w:rPr>
          <w:spacing w:val="-1"/>
          <w:sz w:val="24"/>
        </w:rPr>
        <w:t> </w:t>
      </w:r>
      <w:r>
        <w:rPr>
          <w:sz w:val="24"/>
        </w:rPr>
        <w:t>subject</w:t>
      </w:r>
      <w:r>
        <w:rPr>
          <w:spacing w:val="-2"/>
          <w:sz w:val="24"/>
        </w:rPr>
        <w:t> </w:t>
      </w:r>
      <w:r>
        <w:rPr>
          <w:sz w:val="24"/>
        </w:rPr>
        <w:t>to</w:t>
      </w:r>
      <w:r>
        <w:rPr>
          <w:spacing w:val="-2"/>
          <w:sz w:val="24"/>
        </w:rPr>
        <w:t> </w:t>
      </w:r>
      <w:r>
        <w:rPr>
          <w:sz w:val="24"/>
        </w:rPr>
        <w:t>DC</w:t>
      </w:r>
      <w:r>
        <w:rPr>
          <w:spacing w:val="-1"/>
          <w:sz w:val="24"/>
        </w:rPr>
        <w:t> </w:t>
      </w:r>
      <w:r>
        <w:rPr>
          <w:sz w:val="24"/>
        </w:rPr>
        <w:t>Regulation</w:t>
      </w:r>
      <w:r>
        <w:rPr>
          <w:spacing w:val="-2"/>
          <w:sz w:val="24"/>
        </w:rPr>
        <w:t> </w:t>
      </w:r>
      <w:r>
        <w:rPr>
          <w:sz w:val="24"/>
        </w:rPr>
        <w:t>No.</w:t>
      </w:r>
      <w:r>
        <w:rPr>
          <w:spacing w:val="-1"/>
          <w:sz w:val="24"/>
        </w:rPr>
        <w:t> </w:t>
      </w:r>
      <w:r>
        <w:rPr>
          <w:spacing w:val="-2"/>
          <w:sz w:val="24"/>
        </w:rPr>
        <w:t>48(8)</w:t>
      </w:r>
    </w:p>
    <w:p>
      <w:pPr>
        <w:pStyle w:val="ListParagraph"/>
        <w:numPr>
          <w:ilvl w:val="1"/>
          <w:numId w:val="114"/>
        </w:numPr>
        <w:tabs>
          <w:tab w:pos="2532" w:val="left" w:leader="none"/>
          <w:tab w:pos="2607" w:val="left" w:leader="none"/>
        </w:tabs>
        <w:spacing w:line="240" w:lineRule="auto" w:before="242" w:after="0"/>
        <w:ind w:left="2532" w:right="769" w:hanging="879"/>
        <w:jc w:val="both"/>
        <w:rPr>
          <w:sz w:val="24"/>
        </w:rPr>
      </w:pPr>
      <w:r>
        <w:rPr>
          <w:sz w:val="24"/>
        </w:rPr>
        <w:tab/>
        <w:t>Service Floor of height not exceeding 1.8 m or as stated in Regulation No.37(32).</w:t>
      </w:r>
    </w:p>
    <w:p>
      <w:pPr>
        <w:pStyle w:val="ListParagraph"/>
        <w:numPr>
          <w:ilvl w:val="1"/>
          <w:numId w:val="114"/>
        </w:numPr>
        <w:tabs>
          <w:tab w:pos="2532" w:val="left" w:leader="none"/>
        </w:tabs>
        <w:spacing w:line="240" w:lineRule="auto" w:before="238" w:after="0"/>
        <w:ind w:left="2532" w:right="771" w:hanging="879"/>
        <w:jc w:val="both"/>
        <w:rPr>
          <w:sz w:val="24"/>
        </w:rPr>
      </w:pPr>
      <w:r>
        <w:rPr>
          <w:sz w:val="24"/>
        </w:rPr>
        <w:t>Entrance lobbies in stilted portion, height not exceeding 7.2 m. or height equivalent to two floor or height of stilt whichever is more.</w:t>
      </w:r>
    </w:p>
    <w:p>
      <w:pPr>
        <w:pStyle w:val="ListParagraph"/>
        <w:numPr>
          <w:ilvl w:val="1"/>
          <w:numId w:val="114"/>
        </w:numPr>
        <w:tabs>
          <w:tab w:pos="2530" w:val="left" w:leader="none"/>
          <w:tab w:pos="2532" w:val="left" w:leader="none"/>
        </w:tabs>
        <w:spacing w:line="240" w:lineRule="auto" w:before="241" w:after="0"/>
        <w:ind w:left="2532" w:right="773" w:hanging="879"/>
        <w:jc w:val="both"/>
        <w:rPr>
          <w:sz w:val="24"/>
        </w:rPr>
      </w:pPr>
      <w:r>
        <w:rPr>
          <w:sz w:val="24"/>
        </w:rPr>
        <w:t>Open</w:t>
      </w:r>
      <w:r>
        <w:rPr>
          <w:spacing w:val="-12"/>
          <w:sz w:val="24"/>
        </w:rPr>
        <w:t> </w:t>
      </w:r>
      <w:r>
        <w:rPr>
          <w:sz w:val="24"/>
        </w:rPr>
        <w:t>to</w:t>
      </w:r>
      <w:r>
        <w:rPr>
          <w:spacing w:val="-12"/>
          <w:sz w:val="24"/>
        </w:rPr>
        <w:t> </w:t>
      </w:r>
      <w:r>
        <w:rPr>
          <w:sz w:val="24"/>
        </w:rPr>
        <w:t>sky</w:t>
      </w:r>
      <w:r>
        <w:rPr>
          <w:spacing w:val="-12"/>
          <w:sz w:val="24"/>
        </w:rPr>
        <w:t> </w:t>
      </w:r>
      <w:r>
        <w:rPr>
          <w:sz w:val="24"/>
        </w:rPr>
        <w:t>swimming</w:t>
      </w:r>
      <w:r>
        <w:rPr>
          <w:spacing w:val="-12"/>
          <w:sz w:val="24"/>
        </w:rPr>
        <w:t> </w:t>
      </w:r>
      <w:r>
        <w:rPr>
          <w:sz w:val="24"/>
        </w:rPr>
        <w:t>pool</w:t>
      </w:r>
      <w:r>
        <w:rPr>
          <w:spacing w:val="-12"/>
          <w:sz w:val="24"/>
        </w:rPr>
        <w:t> </w:t>
      </w:r>
      <w:r>
        <w:rPr>
          <w:sz w:val="24"/>
        </w:rPr>
        <w:t>at</w:t>
      </w:r>
      <w:r>
        <w:rPr>
          <w:spacing w:val="-12"/>
          <w:sz w:val="24"/>
        </w:rPr>
        <w:t> </w:t>
      </w:r>
      <w:r>
        <w:rPr>
          <w:sz w:val="24"/>
        </w:rPr>
        <w:t>the</w:t>
      </w:r>
      <w:r>
        <w:rPr>
          <w:spacing w:val="-12"/>
          <w:sz w:val="24"/>
        </w:rPr>
        <w:t> </w:t>
      </w:r>
      <w:r>
        <w:rPr>
          <w:sz w:val="24"/>
        </w:rPr>
        <w:t>terrace</w:t>
      </w:r>
      <w:r>
        <w:rPr>
          <w:spacing w:val="-12"/>
          <w:sz w:val="24"/>
        </w:rPr>
        <w:t> </w:t>
      </w:r>
      <w:r>
        <w:rPr>
          <w:sz w:val="24"/>
        </w:rPr>
        <w:t>above</w:t>
      </w:r>
      <w:r>
        <w:rPr>
          <w:spacing w:val="-12"/>
          <w:sz w:val="24"/>
        </w:rPr>
        <w:t> </w:t>
      </w:r>
      <w:r>
        <w:rPr>
          <w:sz w:val="24"/>
        </w:rPr>
        <w:t>the</w:t>
      </w:r>
      <w:r>
        <w:rPr>
          <w:spacing w:val="-12"/>
          <w:sz w:val="24"/>
        </w:rPr>
        <w:t> </w:t>
      </w:r>
      <w:r>
        <w:rPr>
          <w:sz w:val="24"/>
        </w:rPr>
        <w:t>top</w:t>
      </w:r>
      <w:r>
        <w:rPr>
          <w:spacing w:val="-12"/>
          <w:sz w:val="24"/>
        </w:rPr>
        <w:t> </w:t>
      </w:r>
      <w:r>
        <w:rPr>
          <w:sz w:val="24"/>
        </w:rPr>
        <w:t>most</w:t>
      </w:r>
      <w:r>
        <w:rPr>
          <w:spacing w:val="-10"/>
          <w:sz w:val="24"/>
        </w:rPr>
        <w:t> </w:t>
      </w:r>
      <w:r>
        <w:rPr>
          <w:sz w:val="24"/>
        </w:rPr>
        <w:t>storey or on the top most podium only.</w:t>
      </w:r>
    </w:p>
    <w:p>
      <w:pPr>
        <w:pStyle w:val="ListParagraph"/>
        <w:numPr>
          <w:ilvl w:val="1"/>
          <w:numId w:val="114"/>
        </w:numPr>
        <w:tabs>
          <w:tab w:pos="2530" w:val="left" w:leader="none"/>
          <w:tab w:pos="2532" w:val="left" w:leader="none"/>
        </w:tabs>
        <w:spacing w:line="240" w:lineRule="auto" w:before="240" w:after="0"/>
        <w:ind w:left="2532" w:right="771" w:hanging="879"/>
        <w:jc w:val="both"/>
        <w:rPr>
          <w:sz w:val="24"/>
        </w:rPr>
      </w:pPr>
      <w:r>
        <w:rPr>
          <w:sz w:val="24"/>
        </w:rPr>
        <w:t>Area of the service ducts abutting Sanitary Block, kitchen not exceeding 1.2 m. in depth. In case of high rise buildings higher width/size as per requirement and design approved by Commissioner but not exceeding 2.0 m.</w:t>
      </w:r>
    </w:p>
    <w:p>
      <w:pPr>
        <w:pStyle w:val="ListParagraph"/>
        <w:numPr>
          <w:ilvl w:val="1"/>
          <w:numId w:val="114"/>
        </w:numPr>
        <w:tabs>
          <w:tab w:pos="2530" w:val="left" w:leader="none"/>
          <w:tab w:pos="2532" w:val="left" w:leader="none"/>
        </w:tabs>
        <w:spacing w:line="240" w:lineRule="auto" w:before="239" w:after="0"/>
        <w:ind w:left="2532" w:right="769" w:hanging="879"/>
        <w:jc w:val="both"/>
        <w:rPr>
          <w:sz w:val="24"/>
        </w:rPr>
      </w:pPr>
      <w:r>
        <w:rPr>
          <w:sz w:val="24"/>
        </w:rPr>
        <w:t>Ornamental projection of cladding/glass façade/glazing not exceeding 0.30m from building line for residential/non-residential </w:t>
      </w:r>
      <w:r>
        <w:rPr>
          <w:spacing w:val="-2"/>
          <w:sz w:val="24"/>
        </w:rPr>
        <w:t>building.</w:t>
      </w:r>
    </w:p>
    <w:p>
      <w:pPr>
        <w:pStyle w:val="ListParagraph"/>
        <w:numPr>
          <w:ilvl w:val="1"/>
          <w:numId w:val="114"/>
        </w:numPr>
        <w:tabs>
          <w:tab w:pos="2530" w:val="left" w:leader="none"/>
          <w:tab w:pos="2532" w:val="left" w:leader="none"/>
        </w:tabs>
        <w:spacing w:line="240" w:lineRule="auto" w:before="243" w:after="0"/>
        <w:ind w:left="2532" w:right="775" w:hanging="879"/>
        <w:jc w:val="both"/>
        <w:rPr>
          <w:sz w:val="24"/>
        </w:rPr>
      </w:pPr>
      <w:r>
        <w:rPr>
          <w:sz w:val="24"/>
        </w:rPr>
        <w:t>Area covered by chimney, elevated tanks (provided its height below the tank from the floor does not exceed 1.5 m)</w:t>
      </w:r>
    </w:p>
    <w:p>
      <w:pPr>
        <w:pStyle w:val="ListParagraph"/>
        <w:numPr>
          <w:ilvl w:val="1"/>
          <w:numId w:val="114"/>
        </w:numPr>
        <w:tabs>
          <w:tab w:pos="2530" w:val="left" w:leader="none"/>
          <w:tab w:pos="2532" w:val="left" w:leader="none"/>
        </w:tabs>
        <w:spacing w:line="240" w:lineRule="auto" w:before="238" w:after="0"/>
        <w:ind w:left="2532" w:right="771" w:hanging="879"/>
        <w:jc w:val="both"/>
        <w:rPr>
          <w:sz w:val="24"/>
        </w:rPr>
      </w:pPr>
      <w:r>
        <w:rPr>
          <w:sz w:val="24"/>
        </w:rPr>
        <w:t>Area of sanitary block for use of domestic servants engaged in the premises, not exceeding 2.2 sq. m at staircase mid-landing level and/or</w:t>
      </w:r>
      <w:r>
        <w:rPr>
          <w:spacing w:val="-16"/>
          <w:sz w:val="24"/>
        </w:rPr>
        <w:t> </w:t>
      </w:r>
      <w:r>
        <w:rPr>
          <w:sz w:val="24"/>
        </w:rPr>
        <w:t>at</w:t>
      </w:r>
      <w:r>
        <w:rPr>
          <w:spacing w:val="-17"/>
          <w:sz w:val="24"/>
        </w:rPr>
        <w:t> </w:t>
      </w:r>
      <w:r>
        <w:rPr>
          <w:sz w:val="24"/>
        </w:rPr>
        <w:t>stilt</w:t>
      </w:r>
      <w:r>
        <w:rPr>
          <w:spacing w:val="-17"/>
          <w:sz w:val="24"/>
        </w:rPr>
        <w:t> </w:t>
      </w:r>
      <w:r>
        <w:rPr>
          <w:sz w:val="24"/>
        </w:rPr>
        <w:t>level,</w:t>
      </w:r>
      <w:r>
        <w:rPr>
          <w:spacing w:val="-12"/>
          <w:sz w:val="24"/>
        </w:rPr>
        <w:t> </w:t>
      </w:r>
      <w:r>
        <w:rPr>
          <w:sz w:val="24"/>
        </w:rPr>
        <w:t>area</w:t>
      </w:r>
      <w:r>
        <w:rPr>
          <w:spacing w:val="-17"/>
          <w:sz w:val="24"/>
        </w:rPr>
        <w:t> </w:t>
      </w:r>
      <w:r>
        <w:rPr>
          <w:sz w:val="24"/>
        </w:rPr>
        <w:t>of</w:t>
      </w:r>
      <w:r>
        <w:rPr>
          <w:spacing w:val="-17"/>
          <w:sz w:val="24"/>
        </w:rPr>
        <w:t> </w:t>
      </w:r>
      <w:r>
        <w:rPr>
          <w:sz w:val="24"/>
        </w:rPr>
        <w:t>sanitary</w:t>
      </w:r>
      <w:r>
        <w:rPr>
          <w:spacing w:val="-17"/>
          <w:sz w:val="24"/>
        </w:rPr>
        <w:t> </w:t>
      </w:r>
      <w:r>
        <w:rPr>
          <w:sz w:val="24"/>
        </w:rPr>
        <w:t>block</w:t>
      </w:r>
      <w:r>
        <w:rPr>
          <w:spacing w:val="-17"/>
          <w:sz w:val="24"/>
        </w:rPr>
        <w:t> </w:t>
      </w:r>
      <w:r>
        <w:rPr>
          <w:sz w:val="24"/>
        </w:rPr>
        <w:t>for</w:t>
      </w:r>
      <w:r>
        <w:rPr>
          <w:spacing w:val="-17"/>
          <w:sz w:val="24"/>
        </w:rPr>
        <w:t> </w:t>
      </w:r>
      <w:r>
        <w:rPr>
          <w:sz w:val="24"/>
        </w:rPr>
        <w:t>use</w:t>
      </w:r>
      <w:r>
        <w:rPr>
          <w:spacing w:val="-17"/>
          <w:sz w:val="24"/>
        </w:rPr>
        <w:t> </w:t>
      </w:r>
      <w:r>
        <w:rPr>
          <w:sz w:val="24"/>
        </w:rPr>
        <w:t>of</w:t>
      </w:r>
      <w:r>
        <w:rPr>
          <w:spacing w:val="-15"/>
          <w:sz w:val="24"/>
        </w:rPr>
        <w:t> </w:t>
      </w:r>
      <w:r>
        <w:rPr>
          <w:sz w:val="24"/>
        </w:rPr>
        <w:t>drivers</w:t>
      </w:r>
      <w:r>
        <w:rPr>
          <w:spacing w:val="-17"/>
          <w:sz w:val="24"/>
        </w:rPr>
        <w:t> </w:t>
      </w:r>
      <w:r>
        <w:rPr>
          <w:sz w:val="24"/>
        </w:rPr>
        <w:t>engaged by the car owners not exceeding 2.2 sq. m at each of the parking floor level /podium l. In case number of car parks exceeds 200 per</w:t>
      </w:r>
    </w:p>
    <w:p>
      <w:pPr>
        <w:pStyle w:val="ListParagraph"/>
        <w:spacing w:after="0" w:line="240" w:lineRule="auto"/>
        <w:jc w:val="both"/>
        <w:rPr>
          <w:sz w:val="24"/>
        </w:rPr>
        <w:sectPr>
          <w:pgSz w:w="11910" w:h="16840"/>
          <w:pgMar w:header="1065" w:footer="1237" w:top="1500" w:bottom="1420" w:left="360" w:right="360"/>
        </w:sectPr>
      </w:pPr>
    </w:p>
    <w:p>
      <w:pPr>
        <w:pStyle w:val="BodyText"/>
        <w:spacing w:before="249"/>
        <w:ind w:left="2532" w:right="768"/>
        <w:jc w:val="left"/>
      </w:pPr>
      <w:r>
        <w:rPr/>
        <w:t>parking</w:t>
      </w:r>
      <w:r>
        <w:rPr>
          <w:spacing w:val="-12"/>
        </w:rPr>
        <w:t> </w:t>
      </w:r>
      <w:r>
        <w:rPr/>
        <w:t>floor</w:t>
      </w:r>
      <w:r>
        <w:rPr>
          <w:spacing w:val="-11"/>
        </w:rPr>
        <w:t> </w:t>
      </w:r>
      <w:r>
        <w:rPr/>
        <w:t>level</w:t>
      </w:r>
      <w:r>
        <w:rPr>
          <w:spacing w:val="-12"/>
        </w:rPr>
        <w:t> </w:t>
      </w:r>
      <w:r>
        <w:rPr/>
        <w:t>/podium</w:t>
      </w:r>
      <w:r>
        <w:rPr>
          <w:spacing w:val="-12"/>
        </w:rPr>
        <w:t> </w:t>
      </w:r>
      <w:r>
        <w:rPr/>
        <w:t>,</w:t>
      </w:r>
      <w:r>
        <w:rPr>
          <w:spacing w:val="-12"/>
        </w:rPr>
        <w:t> </w:t>
      </w:r>
      <w:r>
        <w:rPr/>
        <w:t>additional</w:t>
      </w:r>
      <w:r>
        <w:rPr>
          <w:spacing w:val="-12"/>
        </w:rPr>
        <w:t> </w:t>
      </w:r>
      <w:r>
        <w:rPr/>
        <w:t>sanitary</w:t>
      </w:r>
      <w:r>
        <w:rPr>
          <w:spacing w:val="-12"/>
        </w:rPr>
        <w:t> </w:t>
      </w:r>
      <w:r>
        <w:rPr/>
        <w:t>block</w:t>
      </w:r>
      <w:r>
        <w:rPr>
          <w:spacing w:val="-12"/>
        </w:rPr>
        <w:t> </w:t>
      </w:r>
      <w:r>
        <w:rPr/>
        <w:t>for</w:t>
      </w:r>
      <w:r>
        <w:rPr>
          <w:spacing w:val="-11"/>
        </w:rPr>
        <w:t> </w:t>
      </w:r>
      <w:r>
        <w:rPr/>
        <w:t>every</w:t>
      </w:r>
      <w:r>
        <w:rPr>
          <w:spacing w:val="-12"/>
        </w:rPr>
        <w:t> </w:t>
      </w:r>
      <w:r>
        <w:rPr/>
        <w:t>200 cars or part there of shall be allowed.</w:t>
      </w:r>
    </w:p>
    <w:p>
      <w:pPr>
        <w:pStyle w:val="ListParagraph"/>
        <w:numPr>
          <w:ilvl w:val="1"/>
          <w:numId w:val="114"/>
        </w:numPr>
        <w:tabs>
          <w:tab w:pos="2484" w:val="left" w:leader="none"/>
        </w:tabs>
        <w:spacing w:line="240" w:lineRule="auto" w:before="241" w:after="0"/>
        <w:ind w:left="2484" w:right="0" w:hanging="830"/>
        <w:jc w:val="left"/>
        <w:rPr>
          <w:sz w:val="24"/>
        </w:rPr>
      </w:pPr>
      <w:r>
        <w:rPr>
          <w:sz w:val="24"/>
        </w:rPr>
        <w:t>Letter</w:t>
      </w:r>
      <w:r>
        <w:rPr>
          <w:spacing w:val="-3"/>
          <w:sz w:val="24"/>
        </w:rPr>
        <w:t> </w:t>
      </w:r>
      <w:r>
        <w:rPr>
          <w:sz w:val="24"/>
        </w:rPr>
        <w:t>boxes</w:t>
      </w:r>
      <w:r>
        <w:rPr>
          <w:spacing w:val="-2"/>
          <w:sz w:val="24"/>
        </w:rPr>
        <w:t> </w:t>
      </w:r>
      <w:r>
        <w:rPr>
          <w:sz w:val="24"/>
        </w:rPr>
        <w:t>as</w:t>
      </w:r>
      <w:r>
        <w:rPr>
          <w:spacing w:val="-3"/>
          <w:sz w:val="24"/>
        </w:rPr>
        <w:t> </w:t>
      </w:r>
      <w:r>
        <w:rPr>
          <w:sz w:val="24"/>
        </w:rPr>
        <w:t>specified</w:t>
      </w:r>
      <w:r>
        <w:rPr>
          <w:spacing w:val="-2"/>
          <w:sz w:val="24"/>
        </w:rPr>
        <w:t> </w:t>
      </w:r>
      <w:r>
        <w:rPr>
          <w:sz w:val="24"/>
        </w:rPr>
        <w:t>in</w:t>
      </w:r>
      <w:r>
        <w:rPr>
          <w:spacing w:val="-3"/>
          <w:sz w:val="24"/>
        </w:rPr>
        <w:t> </w:t>
      </w:r>
      <w:r>
        <w:rPr>
          <w:sz w:val="24"/>
        </w:rPr>
        <w:t>Regulation</w:t>
      </w:r>
      <w:r>
        <w:rPr>
          <w:spacing w:val="-2"/>
          <w:sz w:val="24"/>
        </w:rPr>
        <w:t> </w:t>
      </w:r>
      <w:r>
        <w:rPr>
          <w:sz w:val="24"/>
        </w:rPr>
        <w:t>No</w:t>
      </w:r>
      <w:r>
        <w:rPr>
          <w:spacing w:val="-3"/>
          <w:sz w:val="24"/>
        </w:rPr>
        <w:t> </w:t>
      </w:r>
      <w:r>
        <w:rPr>
          <w:sz w:val="24"/>
        </w:rPr>
        <w:t>37(10)</w:t>
      </w:r>
      <w:r>
        <w:rPr>
          <w:spacing w:val="-2"/>
          <w:sz w:val="24"/>
        </w:rPr>
        <w:t> </w:t>
      </w:r>
      <w:r>
        <w:rPr>
          <w:spacing w:val="-5"/>
          <w:sz w:val="24"/>
        </w:rPr>
        <w:t>(b)</w:t>
      </w:r>
    </w:p>
    <w:p>
      <w:pPr>
        <w:pStyle w:val="ListParagraph"/>
        <w:numPr>
          <w:ilvl w:val="1"/>
          <w:numId w:val="114"/>
        </w:numPr>
        <w:tabs>
          <w:tab w:pos="2484" w:val="left" w:leader="none"/>
        </w:tabs>
        <w:spacing w:line="240" w:lineRule="auto" w:before="241" w:after="0"/>
        <w:ind w:left="2484" w:right="0" w:hanging="830"/>
        <w:jc w:val="left"/>
        <w:rPr>
          <w:sz w:val="24"/>
        </w:rPr>
      </w:pPr>
      <w:r>
        <w:rPr>
          <w:sz w:val="24"/>
        </w:rPr>
        <w:t>Parking</w:t>
      </w:r>
      <w:r>
        <w:rPr>
          <w:spacing w:val="-3"/>
          <w:sz w:val="24"/>
        </w:rPr>
        <w:t> </w:t>
      </w:r>
      <w:r>
        <w:rPr>
          <w:sz w:val="24"/>
        </w:rPr>
        <w:t>floors</w:t>
      </w:r>
      <w:r>
        <w:rPr>
          <w:spacing w:val="-3"/>
          <w:sz w:val="24"/>
        </w:rPr>
        <w:t> </w:t>
      </w:r>
      <w:r>
        <w:rPr>
          <w:sz w:val="24"/>
        </w:rPr>
        <w:t>as</w:t>
      </w:r>
      <w:r>
        <w:rPr>
          <w:spacing w:val="-3"/>
          <w:sz w:val="24"/>
        </w:rPr>
        <w:t> </w:t>
      </w:r>
      <w:r>
        <w:rPr>
          <w:sz w:val="24"/>
        </w:rPr>
        <w:t>specified</w:t>
      </w:r>
      <w:r>
        <w:rPr>
          <w:spacing w:val="-3"/>
          <w:sz w:val="24"/>
        </w:rPr>
        <w:t> </w:t>
      </w:r>
      <w:r>
        <w:rPr>
          <w:sz w:val="24"/>
        </w:rPr>
        <w:t>in</w:t>
      </w:r>
      <w:r>
        <w:rPr>
          <w:spacing w:val="-3"/>
          <w:sz w:val="24"/>
        </w:rPr>
        <w:t> </w:t>
      </w:r>
      <w:r>
        <w:rPr>
          <w:sz w:val="24"/>
        </w:rPr>
        <w:t>Regulation</w:t>
      </w:r>
      <w:r>
        <w:rPr>
          <w:spacing w:val="-3"/>
          <w:sz w:val="24"/>
        </w:rPr>
        <w:t> </w:t>
      </w:r>
      <w:r>
        <w:rPr>
          <w:spacing w:val="-2"/>
          <w:sz w:val="24"/>
        </w:rPr>
        <w:t>No37(30)</w:t>
      </w:r>
    </w:p>
    <w:p>
      <w:pPr>
        <w:pStyle w:val="ListParagraph"/>
        <w:numPr>
          <w:ilvl w:val="1"/>
          <w:numId w:val="114"/>
        </w:numPr>
        <w:tabs>
          <w:tab w:pos="2482" w:val="left" w:leader="none"/>
          <w:tab w:pos="2532" w:val="left" w:leader="none"/>
        </w:tabs>
        <w:spacing w:line="240" w:lineRule="auto" w:before="239" w:after="0"/>
        <w:ind w:left="2532" w:right="769" w:hanging="879"/>
        <w:jc w:val="both"/>
        <w:rPr>
          <w:sz w:val="24"/>
        </w:rPr>
      </w:pPr>
      <w:r>
        <w:rPr>
          <w:sz w:val="24"/>
        </w:rPr>
        <w:t>Area of DG set at stilt and podium level as specified in Regulation No 37(31)</w:t>
      </w:r>
    </w:p>
    <w:p>
      <w:pPr>
        <w:pStyle w:val="ListParagraph"/>
        <w:numPr>
          <w:ilvl w:val="1"/>
          <w:numId w:val="114"/>
        </w:numPr>
        <w:tabs>
          <w:tab w:pos="2482" w:val="left" w:leader="none"/>
          <w:tab w:pos="2484" w:val="left" w:leader="none"/>
        </w:tabs>
        <w:spacing w:line="240" w:lineRule="auto" w:before="241" w:after="0"/>
        <w:ind w:left="2484" w:right="771" w:hanging="812"/>
        <w:jc w:val="both"/>
        <w:rPr>
          <w:sz w:val="24"/>
        </w:rPr>
      </w:pPr>
      <w:r>
        <w:rPr>
          <w:sz w:val="24"/>
        </w:rPr>
        <w:t>Area of DG set, electric sub-station with protective walls having voids/perforated</w:t>
      </w:r>
      <w:r>
        <w:rPr>
          <w:spacing w:val="-13"/>
          <w:sz w:val="24"/>
        </w:rPr>
        <w:t> </w:t>
      </w:r>
      <w:r>
        <w:rPr>
          <w:sz w:val="24"/>
        </w:rPr>
        <w:t>walls</w:t>
      </w:r>
      <w:r>
        <w:rPr>
          <w:spacing w:val="-13"/>
          <w:sz w:val="24"/>
        </w:rPr>
        <w:t> </w:t>
      </w:r>
      <w:r>
        <w:rPr>
          <w:sz w:val="24"/>
        </w:rPr>
        <w:t>above</w:t>
      </w:r>
      <w:r>
        <w:rPr>
          <w:spacing w:val="-13"/>
          <w:sz w:val="24"/>
        </w:rPr>
        <w:t> </w:t>
      </w:r>
      <w:r>
        <w:rPr>
          <w:sz w:val="24"/>
        </w:rPr>
        <w:t>1</w:t>
      </w:r>
      <w:r>
        <w:rPr>
          <w:spacing w:val="-13"/>
          <w:sz w:val="24"/>
        </w:rPr>
        <w:t> </w:t>
      </w:r>
      <w:r>
        <w:rPr>
          <w:sz w:val="24"/>
        </w:rPr>
        <w:t>m</w:t>
      </w:r>
      <w:r>
        <w:rPr>
          <w:spacing w:val="-13"/>
          <w:sz w:val="24"/>
        </w:rPr>
        <w:t> </w:t>
      </w:r>
      <w:r>
        <w:rPr>
          <w:sz w:val="24"/>
        </w:rPr>
        <w:t>height,</w:t>
      </w:r>
      <w:r>
        <w:rPr>
          <w:spacing w:val="-7"/>
          <w:sz w:val="24"/>
        </w:rPr>
        <w:t> </w:t>
      </w:r>
      <w:r>
        <w:rPr>
          <w:sz w:val="24"/>
        </w:rPr>
        <w:t>at</w:t>
      </w:r>
      <w:r>
        <w:rPr>
          <w:spacing w:val="-13"/>
          <w:sz w:val="24"/>
        </w:rPr>
        <w:t> </w:t>
      </w:r>
      <w:r>
        <w:rPr>
          <w:sz w:val="24"/>
        </w:rPr>
        <w:t>stilt</w:t>
      </w:r>
      <w:r>
        <w:rPr>
          <w:spacing w:val="-13"/>
          <w:sz w:val="24"/>
        </w:rPr>
        <w:t> </w:t>
      </w:r>
      <w:r>
        <w:rPr>
          <w:sz w:val="24"/>
        </w:rPr>
        <w:t>and</w:t>
      </w:r>
      <w:r>
        <w:rPr>
          <w:spacing w:val="-13"/>
          <w:sz w:val="24"/>
        </w:rPr>
        <w:t> </w:t>
      </w:r>
      <w:r>
        <w:rPr>
          <w:sz w:val="24"/>
        </w:rPr>
        <w:t>podium</w:t>
      </w:r>
      <w:r>
        <w:rPr>
          <w:spacing w:val="-13"/>
          <w:sz w:val="24"/>
        </w:rPr>
        <w:t> </w:t>
      </w:r>
      <w:r>
        <w:rPr>
          <w:sz w:val="24"/>
        </w:rPr>
        <w:t>level</w:t>
      </w:r>
      <w:r>
        <w:rPr>
          <w:spacing w:val="-13"/>
          <w:sz w:val="24"/>
        </w:rPr>
        <w:t> </w:t>
      </w:r>
      <w:r>
        <w:rPr>
          <w:sz w:val="24"/>
        </w:rPr>
        <w:t>or in side and rear marginal open space, or</w:t>
      </w:r>
      <w:r>
        <w:rPr>
          <w:spacing w:val="-1"/>
          <w:sz w:val="24"/>
        </w:rPr>
        <w:t> </w:t>
      </w:r>
      <w:r>
        <w:rPr>
          <w:sz w:val="24"/>
        </w:rPr>
        <w:t>in a separate independent structure specified in Regulation No 37(31)</w:t>
      </w:r>
    </w:p>
    <w:p>
      <w:pPr>
        <w:pStyle w:val="ListParagraph"/>
        <w:numPr>
          <w:ilvl w:val="1"/>
          <w:numId w:val="114"/>
        </w:numPr>
        <w:tabs>
          <w:tab w:pos="2482" w:val="left" w:leader="none"/>
          <w:tab w:pos="2532" w:val="left" w:leader="none"/>
        </w:tabs>
        <w:spacing w:line="240" w:lineRule="auto" w:before="239" w:after="0"/>
        <w:ind w:left="2532" w:right="770" w:hanging="879"/>
        <w:jc w:val="both"/>
        <w:rPr>
          <w:sz w:val="24"/>
        </w:rPr>
      </w:pPr>
      <w:r>
        <w:rPr>
          <w:sz w:val="24"/>
        </w:rPr>
        <w:t>Electrical Duct/ fire duct of clear depth not more than 0.45 m and not abutting to any habitable room.</w:t>
      </w:r>
    </w:p>
    <w:p>
      <w:pPr>
        <w:pStyle w:val="ListParagraph"/>
        <w:numPr>
          <w:ilvl w:val="1"/>
          <w:numId w:val="114"/>
        </w:numPr>
        <w:tabs>
          <w:tab w:pos="2530" w:val="left" w:leader="none"/>
          <w:tab w:pos="2532" w:val="left" w:leader="none"/>
        </w:tabs>
        <w:spacing w:line="240" w:lineRule="auto" w:before="241" w:after="0"/>
        <w:ind w:left="2532" w:right="770" w:hanging="879"/>
        <w:jc w:val="both"/>
        <w:rPr>
          <w:sz w:val="24"/>
        </w:rPr>
      </w:pPr>
      <w:r>
        <w:rPr>
          <w:sz w:val="24"/>
        </w:rPr>
        <w:t>Area</w:t>
      </w:r>
      <w:r>
        <w:rPr>
          <w:spacing w:val="-1"/>
          <w:sz w:val="24"/>
        </w:rPr>
        <w:t> </w:t>
      </w:r>
      <w:r>
        <w:rPr>
          <w:sz w:val="24"/>
        </w:rPr>
        <w:t>of electric</w:t>
      </w:r>
      <w:r>
        <w:rPr>
          <w:spacing w:val="-1"/>
          <w:sz w:val="24"/>
        </w:rPr>
        <w:t> </w:t>
      </w:r>
      <w:r>
        <w:rPr>
          <w:sz w:val="24"/>
        </w:rPr>
        <w:t>meter/service</w:t>
      </w:r>
      <w:r>
        <w:rPr>
          <w:spacing w:val="-1"/>
          <w:sz w:val="24"/>
        </w:rPr>
        <w:t> </w:t>
      </w:r>
      <w:r>
        <w:rPr>
          <w:sz w:val="24"/>
        </w:rPr>
        <w:t>utility room/rooms</w:t>
      </w:r>
      <w:r>
        <w:rPr>
          <w:spacing w:val="-1"/>
          <w:sz w:val="24"/>
        </w:rPr>
        <w:t> </w:t>
      </w:r>
      <w:r>
        <w:rPr>
          <w:sz w:val="24"/>
        </w:rPr>
        <w:t>having</w:t>
      </w:r>
      <w:r>
        <w:rPr>
          <w:spacing w:val="-1"/>
          <w:sz w:val="24"/>
        </w:rPr>
        <w:t> </w:t>
      </w:r>
      <w:r>
        <w:rPr>
          <w:sz w:val="24"/>
        </w:rPr>
        <w:t>area</w:t>
      </w:r>
      <w:r>
        <w:rPr>
          <w:spacing w:val="-1"/>
          <w:sz w:val="24"/>
        </w:rPr>
        <w:t> </w:t>
      </w:r>
      <w:r>
        <w:rPr>
          <w:sz w:val="24"/>
        </w:rPr>
        <w:t>of</w:t>
      </w:r>
      <w:r>
        <w:rPr>
          <w:spacing w:val="-1"/>
          <w:sz w:val="24"/>
        </w:rPr>
        <w:t> </w:t>
      </w:r>
      <w:r>
        <w:rPr>
          <w:sz w:val="24"/>
        </w:rPr>
        <w:t>10 sq. m per 50 tenements at Basement /Ground/Stilt/Podium. In case of High Rise building the meter room may be allowed as per the specific requirements of Electric Supply Company.</w:t>
      </w:r>
    </w:p>
    <w:p>
      <w:pPr>
        <w:pStyle w:val="ListParagraph"/>
        <w:numPr>
          <w:ilvl w:val="1"/>
          <w:numId w:val="114"/>
        </w:numPr>
        <w:tabs>
          <w:tab w:pos="2484" w:val="left" w:leader="none"/>
        </w:tabs>
        <w:spacing w:line="240" w:lineRule="auto" w:before="241" w:after="0"/>
        <w:ind w:left="2484" w:right="0" w:hanging="830"/>
        <w:jc w:val="left"/>
        <w:rPr>
          <w:sz w:val="24"/>
        </w:rPr>
      </w:pPr>
      <w:r>
        <w:rPr>
          <w:sz w:val="24"/>
        </w:rPr>
        <w:t>Refuse</w:t>
      </w:r>
      <w:r>
        <w:rPr>
          <w:spacing w:val="-3"/>
          <w:sz w:val="24"/>
        </w:rPr>
        <w:t> </w:t>
      </w:r>
      <w:r>
        <w:rPr>
          <w:sz w:val="24"/>
        </w:rPr>
        <w:t>Chute/Garbage</w:t>
      </w:r>
      <w:r>
        <w:rPr>
          <w:spacing w:val="-2"/>
          <w:sz w:val="24"/>
        </w:rPr>
        <w:t> </w:t>
      </w:r>
      <w:r>
        <w:rPr>
          <w:sz w:val="24"/>
        </w:rPr>
        <w:t>Shaft</w:t>
      </w:r>
      <w:r>
        <w:rPr>
          <w:spacing w:val="-3"/>
          <w:sz w:val="24"/>
        </w:rPr>
        <w:t> </w:t>
      </w:r>
      <w:r>
        <w:rPr>
          <w:sz w:val="24"/>
        </w:rPr>
        <w:t>as</w:t>
      </w:r>
      <w:r>
        <w:rPr>
          <w:spacing w:val="-2"/>
          <w:sz w:val="24"/>
        </w:rPr>
        <w:t> </w:t>
      </w:r>
      <w:r>
        <w:rPr>
          <w:sz w:val="24"/>
        </w:rPr>
        <w:t>specified</w:t>
      </w:r>
      <w:r>
        <w:rPr>
          <w:spacing w:val="-3"/>
          <w:sz w:val="24"/>
        </w:rPr>
        <w:t> </w:t>
      </w:r>
      <w:r>
        <w:rPr>
          <w:sz w:val="24"/>
        </w:rPr>
        <w:t>in</w:t>
      </w:r>
      <w:r>
        <w:rPr>
          <w:spacing w:val="-2"/>
          <w:sz w:val="24"/>
        </w:rPr>
        <w:t> </w:t>
      </w:r>
      <w:r>
        <w:rPr>
          <w:sz w:val="24"/>
        </w:rPr>
        <w:t>Regulation</w:t>
      </w:r>
      <w:r>
        <w:rPr>
          <w:spacing w:val="-2"/>
          <w:sz w:val="24"/>
        </w:rPr>
        <w:t> No.37(12)</w:t>
      </w:r>
    </w:p>
    <w:p>
      <w:pPr>
        <w:pStyle w:val="ListParagraph"/>
        <w:numPr>
          <w:ilvl w:val="1"/>
          <w:numId w:val="114"/>
        </w:numPr>
        <w:tabs>
          <w:tab w:pos="2482" w:val="left" w:leader="none"/>
          <w:tab w:pos="2532" w:val="left" w:leader="none"/>
        </w:tabs>
        <w:spacing w:line="240" w:lineRule="auto" w:before="239" w:after="0"/>
        <w:ind w:left="2532" w:right="768" w:hanging="860"/>
        <w:jc w:val="both"/>
        <w:rPr>
          <w:sz w:val="24"/>
        </w:rPr>
      </w:pPr>
      <w:r>
        <w:rPr>
          <w:sz w:val="24"/>
        </w:rPr>
        <w:t>Elevation feature or dome like structure above water tank/lift machine room/staircase room up to 2 m for building with height beyond 32 m &amp; up to 70 m, 6 m for the building height beyond 70 m and up to 120 m and up to 9 m for building with height beyond 120 m with 60% voids in surface area/profile may be allowed.</w:t>
      </w:r>
    </w:p>
    <w:p>
      <w:pPr>
        <w:pStyle w:val="ListParagraph"/>
        <w:numPr>
          <w:ilvl w:val="1"/>
          <w:numId w:val="114"/>
        </w:numPr>
        <w:tabs>
          <w:tab w:pos="2483" w:val="left" w:leader="none"/>
          <w:tab w:pos="2573" w:val="left" w:leader="none"/>
        </w:tabs>
        <w:spacing w:line="213" w:lineRule="auto" w:before="241" w:after="0"/>
        <w:ind w:left="2573" w:right="771" w:hanging="900"/>
        <w:jc w:val="both"/>
        <w:rPr>
          <w:sz w:val="24"/>
        </w:rPr>
      </w:pPr>
      <w:r>
        <w:rPr>
          <w:sz w:val="24"/>
        </w:rPr>
        <w:t>Area required for Rain Water Harvesting Arrangement, Non- conventional Energy</w:t>
      </w:r>
      <w:r>
        <w:rPr>
          <w:spacing w:val="80"/>
          <w:sz w:val="24"/>
        </w:rPr>
        <w:t>  </w:t>
      </w:r>
      <w:r>
        <w:rPr>
          <w:sz w:val="24"/>
        </w:rPr>
        <w:t>System as per these Regulations.</w:t>
      </w:r>
    </w:p>
    <w:p>
      <w:pPr>
        <w:pStyle w:val="ListParagraph"/>
        <w:numPr>
          <w:ilvl w:val="1"/>
          <w:numId w:val="114"/>
        </w:numPr>
        <w:tabs>
          <w:tab w:pos="2124" w:val="left" w:leader="none"/>
          <w:tab w:pos="2931" w:val="left" w:leader="none"/>
        </w:tabs>
        <w:spacing w:line="216" w:lineRule="auto" w:before="253" w:after="0"/>
        <w:ind w:left="2124" w:right="771" w:hanging="500"/>
        <w:jc w:val="both"/>
        <w:rPr>
          <w:sz w:val="24"/>
        </w:rPr>
      </w:pPr>
      <w:r>
        <w:rPr>
          <w:sz w:val="24"/>
        </w:rPr>
        <w:t>Advertisements and sky signs, covered areas required on topmost</w:t>
      </w:r>
      <w:r>
        <w:rPr>
          <w:spacing w:val="-9"/>
          <w:sz w:val="24"/>
        </w:rPr>
        <w:t> </w:t>
      </w:r>
      <w:r>
        <w:rPr>
          <w:sz w:val="24"/>
        </w:rPr>
        <w:t>terrace</w:t>
      </w:r>
      <w:r>
        <w:rPr>
          <w:spacing w:val="-9"/>
          <w:sz w:val="24"/>
        </w:rPr>
        <w:t> </w:t>
      </w:r>
      <w:r>
        <w:rPr>
          <w:sz w:val="24"/>
        </w:rPr>
        <w:t>for</w:t>
      </w:r>
      <w:r>
        <w:rPr>
          <w:spacing w:val="-9"/>
          <w:sz w:val="24"/>
        </w:rPr>
        <w:t> </w:t>
      </w:r>
      <w:r>
        <w:rPr>
          <w:sz w:val="24"/>
        </w:rPr>
        <w:t>antenna/dish</w:t>
      </w:r>
      <w:r>
        <w:rPr>
          <w:spacing w:val="-9"/>
          <w:sz w:val="24"/>
        </w:rPr>
        <w:t> </w:t>
      </w:r>
      <w:r>
        <w:rPr>
          <w:sz w:val="24"/>
        </w:rPr>
        <w:t>antenna/communication</w:t>
      </w:r>
      <w:r>
        <w:rPr>
          <w:spacing w:val="-9"/>
          <w:sz w:val="24"/>
        </w:rPr>
        <w:t> </w:t>
      </w:r>
      <w:r>
        <w:rPr>
          <w:sz w:val="24"/>
        </w:rPr>
        <w:t>tower</w:t>
      </w:r>
      <w:r>
        <w:rPr>
          <w:spacing w:val="-9"/>
          <w:sz w:val="24"/>
        </w:rPr>
        <w:t> </w:t>
      </w:r>
      <w:r>
        <w:rPr>
          <w:sz w:val="24"/>
        </w:rPr>
        <w:t>used for Telecom not exceeding 20 sq. m.</w:t>
      </w:r>
    </w:p>
    <w:p>
      <w:pPr>
        <w:pStyle w:val="BodyText"/>
        <w:spacing w:line="213" w:lineRule="auto" w:before="252"/>
        <w:ind w:left="2484" w:right="770" w:hanging="812"/>
      </w:pPr>
      <w:r>
        <w:rPr/>
        <w:t>(xxxvii)</w:t>
      </w:r>
      <w:r>
        <w:rPr>
          <w:spacing w:val="-4"/>
        </w:rPr>
        <w:t> </w:t>
      </w:r>
      <w:r>
        <w:rPr/>
        <w:t>Area</w:t>
      </w:r>
      <w:r>
        <w:rPr>
          <w:spacing w:val="-4"/>
        </w:rPr>
        <w:t> </w:t>
      </w:r>
      <w:r>
        <w:rPr/>
        <w:t>required</w:t>
      </w:r>
      <w:r>
        <w:rPr>
          <w:spacing w:val="-4"/>
        </w:rPr>
        <w:t> </w:t>
      </w:r>
      <w:r>
        <w:rPr/>
        <w:t>for</w:t>
      </w:r>
      <w:r>
        <w:rPr>
          <w:spacing w:val="-4"/>
        </w:rPr>
        <w:t> </w:t>
      </w:r>
      <w:r>
        <w:rPr/>
        <w:t>Cooling</w:t>
      </w:r>
      <w:r>
        <w:rPr>
          <w:spacing w:val="-4"/>
        </w:rPr>
        <w:t> </w:t>
      </w:r>
      <w:r>
        <w:rPr/>
        <w:t>Towers/Chilling</w:t>
      </w:r>
      <w:r>
        <w:rPr>
          <w:spacing w:val="-4"/>
        </w:rPr>
        <w:t> </w:t>
      </w:r>
      <w:r>
        <w:rPr/>
        <w:t>Plants</w:t>
      </w:r>
      <w:r>
        <w:rPr>
          <w:spacing w:val="-4"/>
        </w:rPr>
        <w:t> </w:t>
      </w:r>
      <w:r>
        <w:rPr/>
        <w:t>(open</w:t>
      </w:r>
      <w:r>
        <w:rPr>
          <w:spacing w:val="-4"/>
        </w:rPr>
        <w:t> </w:t>
      </w:r>
      <w:r>
        <w:rPr/>
        <w:t>to</w:t>
      </w:r>
      <w:r>
        <w:rPr>
          <w:spacing w:val="-4"/>
        </w:rPr>
        <w:t> </w:t>
      </w:r>
      <w:r>
        <w:rPr/>
        <w:t>sky)</w:t>
      </w:r>
      <w:r>
        <w:rPr>
          <w:spacing w:val="-4"/>
        </w:rPr>
        <w:t> </w:t>
      </w:r>
      <w:r>
        <w:rPr/>
        <w:t>only beyond the required marginal open spaces or on terrace floor.</w:t>
      </w:r>
    </w:p>
    <w:p>
      <w:pPr>
        <w:pStyle w:val="BodyText"/>
        <w:spacing w:before="254"/>
        <w:ind w:left="2484" w:right="771" w:hanging="812"/>
      </w:pPr>
      <w:r>
        <w:rPr/>
        <w:t>(xxxxviii) Area for Laundry, Boiler Room for Hotels, Hospitals &amp; Hostels as specified in Regulation No.37(7).</w:t>
      </w:r>
    </w:p>
    <w:p>
      <w:pPr>
        <w:pStyle w:val="BodyText"/>
        <w:spacing w:before="2"/>
        <w:jc w:val="left"/>
      </w:pPr>
    </w:p>
    <w:p>
      <w:pPr>
        <w:pStyle w:val="ListParagraph"/>
        <w:numPr>
          <w:ilvl w:val="0"/>
          <w:numId w:val="116"/>
        </w:numPr>
        <w:tabs>
          <w:tab w:pos="2484" w:val="left" w:leader="none"/>
          <w:tab w:pos="2537" w:val="left" w:leader="none"/>
        </w:tabs>
        <w:spacing w:line="240" w:lineRule="auto" w:before="0" w:after="0"/>
        <w:ind w:left="2484" w:right="770" w:hanging="812"/>
        <w:jc w:val="both"/>
        <w:rPr>
          <w:sz w:val="24"/>
        </w:rPr>
      </w:pPr>
      <w:r>
        <w:rPr>
          <w:sz w:val="24"/>
        </w:rPr>
        <w:t>Room</w:t>
      </w:r>
      <w:r>
        <w:rPr>
          <w:spacing w:val="40"/>
          <w:sz w:val="24"/>
        </w:rPr>
        <w:t> </w:t>
      </w:r>
      <w:r>
        <w:rPr>
          <w:sz w:val="24"/>
        </w:rPr>
        <w:t>with maximum size 5 sq. m, for Battery back-up for solar water</w:t>
      </w:r>
      <w:r>
        <w:rPr>
          <w:spacing w:val="-8"/>
          <w:sz w:val="24"/>
        </w:rPr>
        <w:t> </w:t>
      </w:r>
      <w:r>
        <w:rPr>
          <w:sz w:val="24"/>
        </w:rPr>
        <w:t>heater</w:t>
      </w:r>
      <w:r>
        <w:rPr>
          <w:spacing w:val="-6"/>
          <w:sz w:val="24"/>
        </w:rPr>
        <w:t> </w:t>
      </w:r>
      <w:r>
        <w:rPr>
          <w:sz w:val="24"/>
        </w:rPr>
        <w:t>and/or</w:t>
      </w:r>
      <w:r>
        <w:rPr>
          <w:spacing w:val="-9"/>
          <w:sz w:val="24"/>
        </w:rPr>
        <w:t> </w:t>
      </w:r>
      <w:r>
        <w:rPr>
          <w:sz w:val="24"/>
        </w:rPr>
        <w:t>for</w:t>
      </w:r>
      <w:r>
        <w:rPr>
          <w:spacing w:val="-5"/>
          <w:sz w:val="24"/>
        </w:rPr>
        <w:t> </w:t>
      </w:r>
      <w:r>
        <w:rPr>
          <w:sz w:val="24"/>
        </w:rPr>
        <w:t>common</w:t>
      </w:r>
      <w:r>
        <w:rPr>
          <w:spacing w:val="-6"/>
          <w:sz w:val="24"/>
        </w:rPr>
        <w:t> </w:t>
      </w:r>
      <w:r>
        <w:rPr>
          <w:sz w:val="24"/>
        </w:rPr>
        <w:t>lighting</w:t>
      </w:r>
      <w:r>
        <w:rPr>
          <w:spacing w:val="-9"/>
          <w:sz w:val="24"/>
        </w:rPr>
        <w:t> </w:t>
      </w:r>
      <w:r>
        <w:rPr>
          <w:sz w:val="24"/>
        </w:rPr>
        <w:t>in</w:t>
      </w:r>
      <w:r>
        <w:rPr>
          <w:spacing w:val="-5"/>
          <w:sz w:val="24"/>
        </w:rPr>
        <w:t> </w:t>
      </w:r>
      <w:r>
        <w:rPr>
          <w:sz w:val="24"/>
        </w:rPr>
        <w:t>basement</w:t>
      </w:r>
      <w:r>
        <w:rPr>
          <w:spacing w:val="-6"/>
          <w:sz w:val="24"/>
        </w:rPr>
        <w:t> </w:t>
      </w:r>
      <w:r>
        <w:rPr>
          <w:sz w:val="24"/>
        </w:rPr>
        <w:t>or</w:t>
      </w:r>
      <w:r>
        <w:rPr>
          <w:spacing w:val="-6"/>
          <w:sz w:val="24"/>
        </w:rPr>
        <w:t> </w:t>
      </w:r>
      <w:r>
        <w:rPr>
          <w:sz w:val="24"/>
        </w:rPr>
        <w:t>on</w:t>
      </w:r>
      <w:r>
        <w:rPr>
          <w:spacing w:val="-8"/>
          <w:sz w:val="24"/>
        </w:rPr>
        <w:t> </w:t>
      </w:r>
      <w:r>
        <w:rPr>
          <w:spacing w:val="-2"/>
          <w:sz w:val="24"/>
        </w:rPr>
        <w:t>terrace.</w:t>
      </w:r>
    </w:p>
    <w:p>
      <w:pPr>
        <w:pStyle w:val="BodyText"/>
        <w:jc w:val="left"/>
      </w:pPr>
    </w:p>
    <w:p>
      <w:pPr>
        <w:pStyle w:val="BodyText"/>
        <w:spacing w:before="188"/>
        <w:jc w:val="left"/>
      </w:pPr>
    </w:p>
    <w:p>
      <w:pPr>
        <w:pStyle w:val="ListParagraph"/>
        <w:numPr>
          <w:ilvl w:val="0"/>
          <w:numId w:val="116"/>
        </w:numPr>
        <w:tabs>
          <w:tab w:pos="2522" w:val="left" w:leader="none"/>
        </w:tabs>
        <w:spacing w:line="240" w:lineRule="auto" w:before="0" w:after="0"/>
        <w:ind w:left="2522" w:right="0" w:hanging="758"/>
        <w:jc w:val="left"/>
        <w:rPr>
          <w:sz w:val="24"/>
        </w:rPr>
      </w:pPr>
      <w:r>
        <w:rPr>
          <w:sz w:val="24"/>
        </w:rPr>
        <w:t>Entry</w:t>
      </w:r>
      <w:r>
        <w:rPr>
          <w:spacing w:val="-1"/>
          <w:sz w:val="24"/>
        </w:rPr>
        <w:t> </w:t>
      </w:r>
      <w:r>
        <w:rPr>
          <w:sz w:val="24"/>
        </w:rPr>
        <w:t>gate over </w:t>
      </w:r>
      <w:r>
        <w:rPr>
          <w:spacing w:val="-2"/>
          <w:sz w:val="24"/>
        </w:rPr>
        <w:t>Arch.</w:t>
      </w:r>
    </w:p>
    <w:p>
      <w:pPr>
        <w:pStyle w:val="ListParagraph"/>
        <w:spacing w:after="0" w:line="240" w:lineRule="auto"/>
        <w:jc w:val="left"/>
        <w:rPr>
          <w:sz w:val="24"/>
        </w:rPr>
        <w:sectPr>
          <w:pgSz w:w="11910" w:h="16840"/>
          <w:pgMar w:header="1065" w:footer="1237" w:top="1500" w:bottom="1420" w:left="360" w:right="360"/>
        </w:sectPr>
      </w:pPr>
    </w:p>
    <w:p>
      <w:pPr>
        <w:pStyle w:val="BodyText"/>
        <w:spacing w:before="222"/>
        <w:jc w:val="left"/>
      </w:pPr>
    </w:p>
    <w:p>
      <w:pPr>
        <w:pStyle w:val="BodyText"/>
        <w:ind w:left="2033"/>
        <w:jc w:val="left"/>
      </w:pPr>
      <w:r>
        <w:rPr>
          <w:spacing w:val="-2"/>
        </w:rPr>
        <w:t>Note:</w:t>
      </w:r>
    </w:p>
    <w:p>
      <w:pPr>
        <w:pStyle w:val="ListParagraph"/>
        <w:numPr>
          <w:ilvl w:val="1"/>
          <w:numId w:val="116"/>
        </w:numPr>
        <w:tabs>
          <w:tab w:pos="2530" w:val="left" w:leader="none"/>
          <w:tab w:pos="2532" w:val="left" w:leader="none"/>
        </w:tabs>
        <w:spacing w:line="240" w:lineRule="auto" w:before="239" w:after="0"/>
        <w:ind w:left="2532" w:right="773" w:hanging="440"/>
        <w:jc w:val="both"/>
        <w:rPr>
          <w:sz w:val="24"/>
        </w:rPr>
      </w:pPr>
      <w:r>
        <w:rPr>
          <w:sz w:val="24"/>
        </w:rPr>
        <w:t>Areas covered by the projections exceeding those specified in clauses xii, xiii, xxiii, xxiv and xxxiii above shall be counted in FSI.</w:t>
      </w:r>
    </w:p>
    <w:p>
      <w:pPr>
        <w:pStyle w:val="ListParagraph"/>
        <w:numPr>
          <w:ilvl w:val="1"/>
          <w:numId w:val="116"/>
        </w:numPr>
        <w:tabs>
          <w:tab w:pos="2530" w:val="left" w:leader="none"/>
          <w:tab w:pos="2532" w:val="left" w:leader="none"/>
        </w:tabs>
        <w:spacing w:line="240" w:lineRule="auto" w:before="240" w:after="0"/>
        <w:ind w:left="2532" w:right="768" w:hanging="440"/>
        <w:jc w:val="both"/>
        <w:rPr>
          <w:sz w:val="24"/>
        </w:rPr>
      </w:pPr>
      <w:r>
        <w:rPr>
          <w:sz w:val="24"/>
        </w:rPr>
        <w:t>Open</w:t>
      </w:r>
      <w:r>
        <w:rPr>
          <w:spacing w:val="-2"/>
          <w:sz w:val="24"/>
        </w:rPr>
        <w:t> </w:t>
      </w:r>
      <w:r>
        <w:rPr>
          <w:sz w:val="24"/>
        </w:rPr>
        <w:t>to</w:t>
      </w:r>
      <w:r>
        <w:rPr>
          <w:spacing w:val="-2"/>
          <w:sz w:val="24"/>
        </w:rPr>
        <w:t> </w:t>
      </w:r>
      <w:r>
        <w:rPr>
          <w:sz w:val="24"/>
        </w:rPr>
        <w:t>sky</w:t>
      </w:r>
      <w:r>
        <w:rPr>
          <w:spacing w:val="-2"/>
          <w:sz w:val="24"/>
        </w:rPr>
        <w:t> </w:t>
      </w:r>
      <w:r>
        <w:rPr>
          <w:sz w:val="24"/>
        </w:rPr>
        <w:t>swimming</w:t>
      </w:r>
      <w:r>
        <w:rPr>
          <w:spacing w:val="-2"/>
          <w:sz w:val="24"/>
        </w:rPr>
        <w:t> </w:t>
      </w:r>
      <w:r>
        <w:rPr>
          <w:sz w:val="24"/>
        </w:rPr>
        <w:t>pool</w:t>
      </w:r>
      <w:r>
        <w:rPr>
          <w:spacing w:val="-2"/>
          <w:sz w:val="24"/>
        </w:rPr>
        <w:t> </w:t>
      </w:r>
      <w:r>
        <w:rPr>
          <w:sz w:val="24"/>
        </w:rPr>
        <w:t>at</w:t>
      </w:r>
      <w:r>
        <w:rPr>
          <w:spacing w:val="-2"/>
          <w:sz w:val="24"/>
        </w:rPr>
        <w:t> </w:t>
      </w:r>
      <w:r>
        <w:rPr>
          <w:sz w:val="24"/>
        </w:rPr>
        <w:t>any</w:t>
      </w:r>
      <w:r>
        <w:rPr>
          <w:spacing w:val="-2"/>
          <w:sz w:val="24"/>
        </w:rPr>
        <w:t> </w:t>
      </w:r>
      <w:r>
        <w:rPr>
          <w:sz w:val="24"/>
        </w:rPr>
        <w:t>level other</w:t>
      </w:r>
      <w:r>
        <w:rPr>
          <w:spacing w:val="-2"/>
          <w:sz w:val="24"/>
        </w:rPr>
        <w:t> </w:t>
      </w:r>
      <w:r>
        <w:rPr>
          <w:sz w:val="24"/>
        </w:rPr>
        <w:t>than</w:t>
      </w:r>
      <w:r>
        <w:rPr>
          <w:spacing w:val="-2"/>
          <w:sz w:val="24"/>
        </w:rPr>
        <w:t> </w:t>
      </w:r>
      <w:r>
        <w:rPr>
          <w:sz w:val="24"/>
        </w:rPr>
        <w:t>(xxii)</w:t>
      </w:r>
      <w:r>
        <w:rPr>
          <w:spacing w:val="-2"/>
          <w:sz w:val="24"/>
        </w:rPr>
        <w:t> </w:t>
      </w:r>
      <w:r>
        <w:rPr>
          <w:sz w:val="24"/>
        </w:rPr>
        <w:t>above</w:t>
      </w:r>
      <w:r>
        <w:rPr>
          <w:spacing w:val="-2"/>
          <w:sz w:val="24"/>
        </w:rPr>
        <w:t> </w:t>
      </w:r>
      <w:r>
        <w:rPr>
          <w:sz w:val="24"/>
        </w:rPr>
        <w:t>and excluding at ground level as provided in Regulation No 42 (ii)(a), shall be counted in FSI.</w:t>
      </w:r>
    </w:p>
    <w:p>
      <w:pPr>
        <w:pStyle w:val="ListParagraph"/>
        <w:numPr>
          <w:ilvl w:val="1"/>
          <w:numId w:val="116"/>
        </w:numPr>
        <w:tabs>
          <w:tab w:pos="2530" w:val="left" w:leader="none"/>
          <w:tab w:pos="2532" w:val="left" w:leader="none"/>
        </w:tabs>
        <w:spacing w:line="240" w:lineRule="auto" w:before="240" w:after="0"/>
        <w:ind w:left="2532" w:right="773" w:hanging="440"/>
        <w:jc w:val="both"/>
        <w:rPr>
          <w:sz w:val="24"/>
        </w:rPr>
      </w:pPr>
      <w:r>
        <w:rPr>
          <w:sz w:val="24"/>
        </w:rPr>
        <w:t>Any passage by whatever name not covered under DCR 31(1) shall be counted in FSI.</w:t>
      </w:r>
    </w:p>
    <w:p>
      <w:pPr>
        <w:pStyle w:val="Heading6"/>
        <w:numPr>
          <w:ilvl w:val="0"/>
          <w:numId w:val="114"/>
        </w:numPr>
        <w:tabs>
          <w:tab w:pos="1871" w:val="left" w:leader="none"/>
        </w:tabs>
        <w:spacing w:line="240" w:lineRule="auto" w:before="239" w:after="0"/>
        <w:ind w:left="1871" w:right="0" w:hanging="438"/>
        <w:jc w:val="left"/>
        <w:rPr>
          <w:i w:val="0"/>
        </w:rPr>
      </w:pPr>
      <w:r>
        <w:rPr/>
        <w:t>The</w:t>
      </w:r>
      <w:r>
        <w:rPr>
          <w:spacing w:val="-3"/>
        </w:rPr>
        <w:t> </w:t>
      </w:r>
      <w:r>
        <w:rPr/>
        <w:t>following</w:t>
      </w:r>
      <w:r>
        <w:rPr>
          <w:spacing w:val="-3"/>
        </w:rPr>
        <w:t> </w:t>
      </w:r>
      <w:r>
        <w:rPr/>
        <w:t>shall</w:t>
      </w:r>
      <w:r>
        <w:rPr>
          <w:spacing w:val="-3"/>
        </w:rPr>
        <w:t> </w:t>
      </w:r>
      <w:r>
        <w:rPr/>
        <w:t>be</w:t>
      </w:r>
      <w:r>
        <w:rPr>
          <w:spacing w:val="-3"/>
        </w:rPr>
        <w:t> </w:t>
      </w:r>
      <w:r>
        <w:rPr/>
        <w:t>counted</w:t>
      </w:r>
      <w:r>
        <w:rPr>
          <w:spacing w:val="-3"/>
        </w:rPr>
        <w:t> </w:t>
      </w:r>
      <w:r>
        <w:rPr/>
        <w:t>in</w:t>
      </w:r>
      <w:r>
        <w:rPr>
          <w:spacing w:val="-3"/>
        </w:rPr>
        <w:t> </w:t>
      </w:r>
      <w:r>
        <w:rPr>
          <w:spacing w:val="-4"/>
        </w:rPr>
        <w:t>FSI.</w:t>
      </w:r>
    </w:p>
    <w:p>
      <w:pPr>
        <w:pStyle w:val="ListParagraph"/>
        <w:numPr>
          <w:ilvl w:val="1"/>
          <w:numId w:val="114"/>
        </w:numPr>
        <w:tabs>
          <w:tab w:pos="2532" w:val="left" w:leader="none"/>
        </w:tabs>
        <w:spacing w:line="240" w:lineRule="auto" w:before="241" w:after="0"/>
        <w:ind w:left="2532" w:right="771" w:hanging="660"/>
        <w:jc w:val="both"/>
        <w:rPr>
          <w:sz w:val="24"/>
        </w:rPr>
      </w:pPr>
      <w:r>
        <w:rPr>
          <w:sz w:val="24"/>
        </w:rPr>
        <w:t>Covered parking spaces/Garage as provided under Regulation No. 44 (6)(d)</w:t>
      </w:r>
    </w:p>
    <w:p>
      <w:pPr>
        <w:pStyle w:val="ListParagraph"/>
        <w:numPr>
          <w:ilvl w:val="1"/>
          <w:numId w:val="114"/>
        </w:numPr>
        <w:tabs>
          <w:tab w:pos="2532" w:val="left" w:leader="none"/>
        </w:tabs>
        <w:spacing w:line="240" w:lineRule="auto" w:before="241" w:after="0"/>
        <w:ind w:left="2532" w:right="0" w:hanging="660"/>
        <w:jc w:val="left"/>
        <w:rPr>
          <w:sz w:val="24"/>
        </w:rPr>
      </w:pPr>
      <w:r>
        <w:rPr>
          <w:sz w:val="24"/>
        </w:rPr>
        <w:t>Area</w:t>
      </w:r>
      <w:r>
        <w:rPr>
          <w:spacing w:val="-2"/>
          <w:sz w:val="24"/>
        </w:rPr>
        <w:t> </w:t>
      </w:r>
      <w:r>
        <w:rPr>
          <w:sz w:val="24"/>
        </w:rPr>
        <w:t>of</w:t>
      </w:r>
      <w:r>
        <w:rPr>
          <w:spacing w:val="-2"/>
          <w:sz w:val="24"/>
        </w:rPr>
        <w:t> </w:t>
      </w:r>
      <w:r>
        <w:rPr>
          <w:sz w:val="24"/>
        </w:rPr>
        <w:t>fire</w:t>
      </w:r>
      <w:r>
        <w:rPr>
          <w:spacing w:val="-2"/>
          <w:sz w:val="24"/>
        </w:rPr>
        <w:t> </w:t>
      </w:r>
      <w:r>
        <w:rPr>
          <w:sz w:val="24"/>
        </w:rPr>
        <w:t>escape</w:t>
      </w:r>
      <w:r>
        <w:rPr>
          <w:spacing w:val="-2"/>
          <w:sz w:val="24"/>
        </w:rPr>
        <w:t> </w:t>
      </w:r>
      <w:r>
        <w:rPr>
          <w:sz w:val="24"/>
        </w:rPr>
        <w:t>balcony</w:t>
      </w:r>
      <w:r>
        <w:rPr>
          <w:spacing w:val="-2"/>
          <w:sz w:val="24"/>
        </w:rPr>
        <w:t> </w:t>
      </w:r>
      <w:r>
        <w:rPr>
          <w:sz w:val="24"/>
        </w:rPr>
        <w:t>as</w:t>
      </w:r>
      <w:r>
        <w:rPr>
          <w:spacing w:val="-2"/>
          <w:sz w:val="24"/>
        </w:rPr>
        <w:t> </w:t>
      </w:r>
      <w:r>
        <w:rPr>
          <w:sz w:val="24"/>
        </w:rPr>
        <w:t>provided</w:t>
      </w:r>
      <w:r>
        <w:rPr>
          <w:spacing w:val="-2"/>
          <w:sz w:val="24"/>
        </w:rPr>
        <w:t> </w:t>
      </w:r>
      <w:r>
        <w:rPr>
          <w:sz w:val="24"/>
        </w:rPr>
        <w:t>in</w:t>
      </w:r>
      <w:r>
        <w:rPr>
          <w:spacing w:val="-2"/>
          <w:sz w:val="24"/>
        </w:rPr>
        <w:t> </w:t>
      </w:r>
      <w:r>
        <w:rPr>
          <w:sz w:val="24"/>
        </w:rPr>
        <w:t>Regulation</w:t>
      </w:r>
      <w:r>
        <w:rPr>
          <w:spacing w:val="-2"/>
          <w:sz w:val="24"/>
        </w:rPr>
        <w:t> </w:t>
      </w:r>
      <w:r>
        <w:rPr>
          <w:sz w:val="24"/>
        </w:rPr>
        <w:t>No</w:t>
      </w:r>
      <w:r>
        <w:rPr>
          <w:spacing w:val="-2"/>
          <w:sz w:val="24"/>
        </w:rPr>
        <w:t> 48(6)</w:t>
      </w:r>
    </w:p>
    <w:p>
      <w:pPr>
        <w:pStyle w:val="ListParagraph"/>
        <w:numPr>
          <w:ilvl w:val="1"/>
          <w:numId w:val="114"/>
        </w:numPr>
        <w:tabs>
          <w:tab w:pos="2532" w:val="left" w:leader="none"/>
        </w:tabs>
        <w:spacing w:line="240" w:lineRule="auto" w:before="239" w:after="0"/>
        <w:ind w:left="2532" w:right="768" w:hanging="660"/>
        <w:jc w:val="both"/>
        <w:rPr>
          <w:sz w:val="24"/>
        </w:rPr>
      </w:pPr>
      <w:r>
        <w:rPr>
          <w:sz w:val="24"/>
        </w:rPr>
        <w:t>Area of Sanitary block for the use of domestic servants engaged in the premises, other than as provided as per Regulation No 31(1) ((XXVI) .</w:t>
      </w:r>
    </w:p>
    <w:p>
      <w:pPr>
        <w:pStyle w:val="ListParagraph"/>
        <w:numPr>
          <w:ilvl w:val="1"/>
          <w:numId w:val="114"/>
        </w:numPr>
        <w:tabs>
          <w:tab w:pos="2532" w:val="left" w:leader="none"/>
        </w:tabs>
        <w:spacing w:line="240" w:lineRule="auto" w:before="240" w:after="0"/>
        <w:ind w:left="2532" w:right="768" w:hanging="660"/>
        <w:jc w:val="both"/>
        <w:rPr>
          <w:sz w:val="24"/>
        </w:rPr>
      </w:pPr>
      <w:r>
        <w:rPr>
          <w:sz w:val="24"/>
        </w:rPr>
        <w:t>Part/Pocket/Covered terraces, for whatever purpose, except open terrace above the top most storey and the part terrace at top most storey due to planning constraints but accessible from common staircase,</w:t>
      </w:r>
      <w:r>
        <w:rPr>
          <w:spacing w:val="-20"/>
          <w:sz w:val="24"/>
        </w:rPr>
        <w:t> </w:t>
      </w:r>
      <w:r>
        <w:rPr>
          <w:sz w:val="24"/>
        </w:rPr>
        <w:t>terraces</w:t>
      </w:r>
      <w:r>
        <w:rPr>
          <w:spacing w:val="-19"/>
          <w:sz w:val="24"/>
        </w:rPr>
        <w:t> </w:t>
      </w:r>
      <w:r>
        <w:rPr>
          <w:sz w:val="24"/>
        </w:rPr>
        <w:t>created</w:t>
      </w:r>
      <w:r>
        <w:rPr>
          <w:spacing w:val="-19"/>
          <w:sz w:val="24"/>
        </w:rPr>
        <w:t> </w:t>
      </w:r>
      <w:r>
        <w:rPr>
          <w:sz w:val="24"/>
        </w:rPr>
        <w:t>due</w:t>
      </w:r>
      <w:r>
        <w:rPr>
          <w:spacing w:val="-19"/>
          <w:sz w:val="24"/>
        </w:rPr>
        <w:t> </w:t>
      </w:r>
      <w:r>
        <w:rPr>
          <w:sz w:val="24"/>
        </w:rPr>
        <w:t>to</w:t>
      </w:r>
      <w:r>
        <w:rPr>
          <w:spacing w:val="-19"/>
          <w:sz w:val="24"/>
        </w:rPr>
        <w:t> </w:t>
      </w:r>
      <w:r>
        <w:rPr>
          <w:sz w:val="24"/>
        </w:rPr>
        <w:t>restriction</w:t>
      </w:r>
      <w:r>
        <w:rPr>
          <w:spacing w:val="-20"/>
          <w:sz w:val="24"/>
        </w:rPr>
        <w:t> </w:t>
      </w:r>
      <w:r>
        <w:rPr>
          <w:sz w:val="24"/>
        </w:rPr>
        <w:t>imposed</w:t>
      </w:r>
      <w:r>
        <w:rPr>
          <w:spacing w:val="-19"/>
          <w:sz w:val="24"/>
        </w:rPr>
        <w:t> </w:t>
      </w:r>
      <w:r>
        <w:rPr>
          <w:sz w:val="24"/>
        </w:rPr>
        <w:t>by</w:t>
      </w:r>
      <w:r>
        <w:rPr>
          <w:spacing w:val="-19"/>
          <w:sz w:val="24"/>
        </w:rPr>
        <w:t> </w:t>
      </w:r>
      <w:r>
        <w:rPr>
          <w:sz w:val="24"/>
        </w:rPr>
        <w:t>the</w:t>
      </w:r>
      <w:r>
        <w:rPr>
          <w:spacing w:val="-19"/>
          <w:sz w:val="24"/>
        </w:rPr>
        <w:t> </w:t>
      </w:r>
      <w:r>
        <w:rPr>
          <w:sz w:val="24"/>
        </w:rPr>
        <w:t>Railway Authority and above shopping/Non-residential/Industrial area at one level only with a slope of 1:5, in case of residential/Non- residential/Industrial development on upper floors.</w:t>
      </w:r>
    </w:p>
    <w:p>
      <w:pPr>
        <w:pStyle w:val="ListParagraph"/>
        <w:numPr>
          <w:ilvl w:val="1"/>
          <w:numId w:val="114"/>
        </w:numPr>
        <w:tabs>
          <w:tab w:pos="2532" w:val="left" w:leader="none"/>
        </w:tabs>
        <w:spacing w:line="240" w:lineRule="auto" w:before="241" w:after="0"/>
        <w:ind w:left="2532" w:right="768" w:hanging="660"/>
        <w:jc w:val="both"/>
        <w:rPr>
          <w:sz w:val="24"/>
        </w:rPr>
      </w:pPr>
      <w:r>
        <w:rPr>
          <w:sz w:val="24"/>
        </w:rPr>
        <w:t>Area</w:t>
      </w:r>
      <w:r>
        <w:rPr>
          <w:spacing w:val="-1"/>
          <w:sz w:val="24"/>
        </w:rPr>
        <w:t> </w:t>
      </w:r>
      <w:r>
        <w:rPr>
          <w:sz w:val="24"/>
        </w:rPr>
        <w:t>below</w:t>
      </w:r>
      <w:r>
        <w:rPr>
          <w:spacing w:val="-1"/>
          <w:sz w:val="24"/>
        </w:rPr>
        <w:t> </w:t>
      </w:r>
      <w:r>
        <w:rPr>
          <w:sz w:val="24"/>
        </w:rPr>
        <w:t>open</w:t>
      </w:r>
      <w:r>
        <w:rPr>
          <w:spacing w:val="-1"/>
          <w:sz w:val="24"/>
        </w:rPr>
        <w:t> </w:t>
      </w:r>
      <w:r>
        <w:rPr>
          <w:sz w:val="24"/>
        </w:rPr>
        <w:t>to</w:t>
      </w:r>
      <w:r>
        <w:rPr>
          <w:spacing w:val="-1"/>
          <w:sz w:val="24"/>
        </w:rPr>
        <w:t> </w:t>
      </w:r>
      <w:r>
        <w:rPr>
          <w:sz w:val="24"/>
        </w:rPr>
        <w:t>sky</w:t>
      </w:r>
      <w:r>
        <w:rPr>
          <w:spacing w:val="-1"/>
          <w:sz w:val="24"/>
        </w:rPr>
        <w:t> </w:t>
      </w:r>
      <w:r>
        <w:rPr>
          <w:sz w:val="24"/>
        </w:rPr>
        <w:t>swimming</w:t>
      </w:r>
      <w:r>
        <w:rPr>
          <w:spacing w:val="-1"/>
          <w:sz w:val="24"/>
        </w:rPr>
        <w:t> </w:t>
      </w:r>
      <w:r>
        <w:rPr>
          <w:sz w:val="24"/>
        </w:rPr>
        <w:t>pool,</w:t>
      </w:r>
      <w:r>
        <w:rPr>
          <w:spacing w:val="-1"/>
          <w:sz w:val="24"/>
        </w:rPr>
        <w:t> </w:t>
      </w:r>
      <w:r>
        <w:rPr>
          <w:sz w:val="24"/>
        </w:rPr>
        <w:t>clearance</w:t>
      </w:r>
      <w:r>
        <w:rPr>
          <w:spacing w:val="-1"/>
          <w:sz w:val="24"/>
        </w:rPr>
        <w:t> </w:t>
      </w:r>
      <w:r>
        <w:rPr>
          <w:sz w:val="24"/>
        </w:rPr>
        <w:t>exceeding</w:t>
      </w:r>
      <w:r>
        <w:rPr>
          <w:spacing w:val="-1"/>
          <w:sz w:val="24"/>
        </w:rPr>
        <w:t> </w:t>
      </w:r>
      <w:r>
        <w:rPr>
          <w:sz w:val="24"/>
        </w:rPr>
        <w:t>1.5</w:t>
      </w:r>
      <w:r>
        <w:rPr>
          <w:spacing w:val="-1"/>
          <w:sz w:val="24"/>
        </w:rPr>
        <w:t> </w:t>
      </w:r>
      <w:r>
        <w:rPr>
          <w:sz w:val="24"/>
        </w:rPr>
        <w:t>m. from floor level.</w:t>
      </w:r>
    </w:p>
    <w:p>
      <w:pPr>
        <w:pStyle w:val="ListParagraph"/>
        <w:numPr>
          <w:ilvl w:val="1"/>
          <w:numId w:val="114"/>
        </w:numPr>
        <w:tabs>
          <w:tab w:pos="2532" w:val="left" w:leader="none"/>
        </w:tabs>
        <w:spacing w:line="240" w:lineRule="auto" w:before="240" w:after="0"/>
        <w:ind w:left="2532" w:right="768" w:hanging="660"/>
        <w:jc w:val="both"/>
        <w:rPr>
          <w:sz w:val="24"/>
        </w:rPr>
      </w:pPr>
      <w:r>
        <w:rPr>
          <w:sz w:val="24"/>
        </w:rPr>
        <w:t>Air conditioning plant room/Air handling unit room, except provided in basement.</w:t>
      </w:r>
    </w:p>
    <w:p>
      <w:pPr>
        <w:pStyle w:val="ListParagraph"/>
        <w:numPr>
          <w:ilvl w:val="1"/>
          <w:numId w:val="114"/>
        </w:numPr>
        <w:tabs>
          <w:tab w:pos="2530" w:val="left" w:leader="none"/>
          <w:tab w:pos="2532" w:val="left" w:leader="none"/>
        </w:tabs>
        <w:spacing w:line="240" w:lineRule="auto" w:before="241" w:after="0"/>
        <w:ind w:left="2532" w:right="771" w:hanging="660"/>
        <w:jc w:val="both"/>
        <w:rPr>
          <w:sz w:val="24"/>
        </w:rPr>
      </w:pPr>
      <w:r>
        <w:rPr>
          <w:sz w:val="24"/>
        </w:rPr>
        <w:t>Service floor other than specified in</w:t>
      </w:r>
      <w:r>
        <w:rPr>
          <w:spacing w:val="40"/>
          <w:sz w:val="24"/>
        </w:rPr>
        <w:t> </w:t>
      </w:r>
      <w:r>
        <w:rPr>
          <w:sz w:val="24"/>
        </w:rPr>
        <w:t>Regulation No.37(32) and </w:t>
      </w:r>
      <w:r>
        <w:rPr>
          <w:spacing w:val="-2"/>
          <w:sz w:val="24"/>
        </w:rPr>
        <w:t>31(1)(xx).</w:t>
      </w:r>
    </w:p>
    <w:p>
      <w:pPr>
        <w:pStyle w:val="ListParagraph"/>
        <w:numPr>
          <w:ilvl w:val="1"/>
          <w:numId w:val="114"/>
        </w:numPr>
        <w:tabs>
          <w:tab w:pos="2532" w:val="left" w:leader="none"/>
        </w:tabs>
        <w:spacing w:line="240" w:lineRule="auto" w:before="239" w:after="0"/>
        <w:ind w:left="2532" w:right="768" w:hanging="660"/>
        <w:jc w:val="both"/>
        <w:rPr>
          <w:sz w:val="24"/>
        </w:rPr>
      </w:pPr>
      <w:r>
        <w:rPr>
          <w:sz w:val="24"/>
        </w:rPr>
        <w:t>Area of balconies as</w:t>
      </w:r>
      <w:r>
        <w:rPr>
          <w:spacing w:val="-2"/>
          <w:sz w:val="24"/>
        </w:rPr>
        <w:t> </w:t>
      </w:r>
      <w:r>
        <w:rPr>
          <w:sz w:val="24"/>
        </w:rPr>
        <w:t>provided in sub regulation 20of Regulation No </w:t>
      </w:r>
      <w:r>
        <w:rPr>
          <w:spacing w:val="-4"/>
          <w:sz w:val="24"/>
        </w:rPr>
        <w:t>37.</w:t>
      </w:r>
    </w:p>
    <w:p>
      <w:pPr>
        <w:pStyle w:val="ListParagraph"/>
        <w:numPr>
          <w:ilvl w:val="1"/>
          <w:numId w:val="114"/>
        </w:numPr>
        <w:tabs>
          <w:tab w:pos="2532" w:val="left" w:leader="none"/>
        </w:tabs>
        <w:spacing w:line="240" w:lineRule="auto" w:before="240" w:after="0"/>
        <w:ind w:left="2532" w:right="0" w:hanging="660"/>
        <w:jc w:val="left"/>
        <w:rPr>
          <w:sz w:val="24"/>
        </w:rPr>
      </w:pPr>
      <w:r>
        <w:rPr>
          <w:sz w:val="24"/>
        </w:rPr>
        <w:t>Niches below window </w:t>
      </w:r>
      <w:r>
        <w:rPr>
          <w:spacing w:val="-2"/>
          <w:sz w:val="24"/>
        </w:rPr>
        <w:t>sill.</w:t>
      </w:r>
    </w:p>
    <w:p>
      <w:pPr>
        <w:pStyle w:val="ListParagraph"/>
        <w:numPr>
          <w:ilvl w:val="1"/>
          <w:numId w:val="114"/>
        </w:numPr>
        <w:tabs>
          <w:tab w:pos="2532" w:val="left" w:leader="none"/>
        </w:tabs>
        <w:spacing w:line="240" w:lineRule="auto" w:before="242" w:after="0"/>
        <w:ind w:left="2532" w:right="772" w:hanging="660"/>
        <w:jc w:val="both"/>
        <w:rPr>
          <w:sz w:val="24"/>
        </w:rPr>
      </w:pPr>
      <w:r>
        <w:rPr>
          <w:sz w:val="24"/>
        </w:rPr>
        <w:t>Area of one public telephone booth and one telephone exchange (PBX) room per building.</w:t>
      </w:r>
    </w:p>
    <w:p>
      <w:pPr>
        <w:pStyle w:val="ListParagraph"/>
        <w:spacing w:after="0" w:line="240" w:lineRule="auto"/>
        <w:jc w:val="both"/>
        <w:rPr>
          <w:sz w:val="24"/>
        </w:rPr>
        <w:sectPr>
          <w:pgSz w:w="11910" w:h="16840"/>
          <w:pgMar w:header="1065" w:footer="1237" w:top="1500" w:bottom="1420" w:left="360" w:right="360"/>
        </w:sectPr>
      </w:pPr>
    </w:p>
    <w:p>
      <w:pPr>
        <w:pStyle w:val="ListParagraph"/>
        <w:numPr>
          <w:ilvl w:val="1"/>
          <w:numId w:val="114"/>
        </w:numPr>
        <w:tabs>
          <w:tab w:pos="2532" w:val="left" w:leader="none"/>
        </w:tabs>
        <w:spacing w:line="240" w:lineRule="auto" w:before="249" w:after="0"/>
        <w:ind w:left="2532" w:right="771" w:hanging="660"/>
        <w:jc w:val="both"/>
        <w:rPr>
          <w:sz w:val="24"/>
        </w:rPr>
      </w:pPr>
      <w:r>
        <w:rPr>
          <w:sz w:val="24"/>
        </w:rPr>
        <w:t>The ornamental projection, including the voids, flower beds, </w:t>
      </w:r>
      <w:r>
        <w:rPr>
          <w:sz w:val="24"/>
        </w:rPr>
        <w:t>etc. projecting from the face of the building except at the terrace level other than allowed as per Regulation No 31(1) (ii).</w:t>
      </w:r>
    </w:p>
    <w:p>
      <w:pPr>
        <w:pStyle w:val="ListParagraph"/>
        <w:numPr>
          <w:ilvl w:val="1"/>
          <w:numId w:val="114"/>
        </w:numPr>
        <w:tabs>
          <w:tab w:pos="2532" w:val="left" w:leader="none"/>
        </w:tabs>
        <w:spacing w:line="240" w:lineRule="auto" w:before="242" w:after="0"/>
        <w:ind w:left="2532" w:right="773" w:hanging="660"/>
        <w:jc w:val="both"/>
        <w:rPr>
          <w:sz w:val="24"/>
        </w:rPr>
      </w:pPr>
      <w:r>
        <w:rPr>
          <w:sz w:val="24"/>
        </w:rPr>
        <w:t>Ornamental</w:t>
      </w:r>
      <w:r>
        <w:rPr>
          <w:spacing w:val="-20"/>
          <w:sz w:val="24"/>
        </w:rPr>
        <w:t> </w:t>
      </w:r>
      <w:r>
        <w:rPr>
          <w:sz w:val="24"/>
        </w:rPr>
        <w:t>projection,</w:t>
      </w:r>
      <w:r>
        <w:rPr>
          <w:spacing w:val="-19"/>
          <w:sz w:val="24"/>
        </w:rPr>
        <w:t> </w:t>
      </w:r>
      <w:r>
        <w:rPr>
          <w:sz w:val="24"/>
        </w:rPr>
        <w:t>flower</w:t>
      </w:r>
      <w:r>
        <w:rPr>
          <w:spacing w:val="-19"/>
          <w:sz w:val="24"/>
        </w:rPr>
        <w:t> </w:t>
      </w:r>
      <w:r>
        <w:rPr>
          <w:sz w:val="24"/>
        </w:rPr>
        <w:t>bed</w:t>
      </w:r>
      <w:r>
        <w:rPr>
          <w:spacing w:val="-19"/>
          <w:sz w:val="24"/>
        </w:rPr>
        <w:t> </w:t>
      </w:r>
      <w:r>
        <w:rPr>
          <w:sz w:val="24"/>
        </w:rPr>
        <w:t>etc.</w:t>
      </w:r>
      <w:r>
        <w:rPr>
          <w:spacing w:val="-19"/>
          <w:sz w:val="24"/>
        </w:rPr>
        <w:t> </w:t>
      </w:r>
      <w:r>
        <w:rPr>
          <w:sz w:val="24"/>
        </w:rPr>
        <w:t>over</w:t>
      </w:r>
      <w:r>
        <w:rPr>
          <w:spacing w:val="-20"/>
          <w:sz w:val="24"/>
        </w:rPr>
        <w:t> </w:t>
      </w:r>
      <w:r>
        <w:rPr>
          <w:sz w:val="24"/>
        </w:rPr>
        <w:t>a</w:t>
      </w:r>
      <w:r>
        <w:rPr>
          <w:spacing w:val="-19"/>
          <w:sz w:val="24"/>
        </w:rPr>
        <w:t> </w:t>
      </w:r>
      <w:r>
        <w:rPr>
          <w:sz w:val="24"/>
        </w:rPr>
        <w:t>balcony</w:t>
      </w:r>
      <w:r>
        <w:rPr>
          <w:spacing w:val="-19"/>
          <w:sz w:val="24"/>
        </w:rPr>
        <w:t> </w:t>
      </w:r>
      <w:r>
        <w:rPr>
          <w:sz w:val="24"/>
        </w:rPr>
        <w:t>or</w:t>
      </w:r>
      <w:r>
        <w:rPr>
          <w:spacing w:val="-19"/>
          <w:sz w:val="24"/>
        </w:rPr>
        <w:t> </w:t>
      </w:r>
      <w:r>
        <w:rPr>
          <w:sz w:val="24"/>
        </w:rPr>
        <w:t>galleryother than allowed as per Regulation No 31(1) (ii).</w:t>
      </w:r>
    </w:p>
    <w:p>
      <w:pPr>
        <w:pStyle w:val="ListParagraph"/>
        <w:numPr>
          <w:ilvl w:val="1"/>
          <w:numId w:val="114"/>
        </w:numPr>
        <w:tabs>
          <w:tab w:pos="2532" w:val="left" w:leader="none"/>
        </w:tabs>
        <w:spacing w:line="240" w:lineRule="auto" w:before="238" w:after="0"/>
        <w:ind w:left="2532" w:right="777" w:hanging="660"/>
        <w:jc w:val="both"/>
        <w:rPr>
          <w:sz w:val="24"/>
        </w:rPr>
      </w:pPr>
      <w:r>
        <w:rPr>
          <w:sz w:val="24"/>
        </w:rPr>
        <w:t>Area of one room for installation of telephone concentrators as per requirements of Mahanagar Telephone Nigam limited.</w:t>
      </w:r>
    </w:p>
    <w:p>
      <w:pPr>
        <w:pStyle w:val="ListParagraph"/>
        <w:numPr>
          <w:ilvl w:val="1"/>
          <w:numId w:val="114"/>
        </w:numPr>
        <w:tabs>
          <w:tab w:pos="2531" w:val="left" w:leader="none"/>
        </w:tabs>
        <w:spacing w:line="240" w:lineRule="auto" w:before="241" w:after="0"/>
        <w:ind w:left="2531" w:right="0" w:hanging="659"/>
        <w:jc w:val="left"/>
        <w:rPr>
          <w:sz w:val="24"/>
        </w:rPr>
      </w:pPr>
      <w:r>
        <w:rPr>
          <w:sz w:val="24"/>
        </w:rPr>
        <w:t>Letter</w:t>
      </w:r>
      <w:r>
        <w:rPr>
          <w:spacing w:val="-3"/>
          <w:sz w:val="24"/>
        </w:rPr>
        <w:t> </w:t>
      </w:r>
      <w:r>
        <w:rPr>
          <w:sz w:val="24"/>
        </w:rPr>
        <w:t>box</w:t>
      </w:r>
      <w:r>
        <w:rPr>
          <w:spacing w:val="-2"/>
          <w:sz w:val="24"/>
        </w:rPr>
        <w:t> </w:t>
      </w:r>
      <w:r>
        <w:rPr>
          <w:sz w:val="24"/>
        </w:rPr>
        <w:t>room</w:t>
      </w:r>
      <w:r>
        <w:rPr>
          <w:spacing w:val="-3"/>
          <w:sz w:val="24"/>
        </w:rPr>
        <w:t> </w:t>
      </w:r>
      <w:r>
        <w:rPr>
          <w:sz w:val="24"/>
        </w:rPr>
        <w:t>as</w:t>
      </w:r>
      <w:r>
        <w:rPr>
          <w:spacing w:val="-2"/>
          <w:sz w:val="24"/>
        </w:rPr>
        <w:t> </w:t>
      </w:r>
      <w:r>
        <w:rPr>
          <w:sz w:val="24"/>
        </w:rPr>
        <w:t>specified</w:t>
      </w:r>
      <w:r>
        <w:rPr>
          <w:spacing w:val="-3"/>
          <w:sz w:val="24"/>
        </w:rPr>
        <w:t> </w:t>
      </w:r>
      <w:r>
        <w:rPr>
          <w:sz w:val="24"/>
        </w:rPr>
        <w:t>in</w:t>
      </w:r>
      <w:r>
        <w:rPr>
          <w:spacing w:val="-2"/>
          <w:sz w:val="24"/>
        </w:rPr>
        <w:t> </w:t>
      </w:r>
      <w:r>
        <w:rPr>
          <w:sz w:val="24"/>
        </w:rPr>
        <w:t>Regulation</w:t>
      </w:r>
      <w:r>
        <w:rPr>
          <w:spacing w:val="-3"/>
          <w:sz w:val="24"/>
        </w:rPr>
        <w:t> </w:t>
      </w:r>
      <w:r>
        <w:rPr>
          <w:sz w:val="24"/>
        </w:rPr>
        <w:t>No</w:t>
      </w:r>
      <w:r>
        <w:rPr>
          <w:spacing w:val="-1"/>
          <w:sz w:val="24"/>
        </w:rPr>
        <w:t> </w:t>
      </w:r>
      <w:r>
        <w:rPr>
          <w:sz w:val="24"/>
        </w:rPr>
        <w:t>37(10)</w:t>
      </w:r>
      <w:r>
        <w:rPr>
          <w:spacing w:val="-2"/>
          <w:sz w:val="24"/>
        </w:rPr>
        <w:t> </w:t>
      </w:r>
      <w:r>
        <w:rPr>
          <w:spacing w:val="-4"/>
          <w:sz w:val="24"/>
        </w:rPr>
        <w:t>(a).</w:t>
      </w:r>
    </w:p>
    <w:p>
      <w:pPr>
        <w:pStyle w:val="ListParagraph"/>
        <w:numPr>
          <w:ilvl w:val="1"/>
          <w:numId w:val="114"/>
        </w:numPr>
        <w:tabs>
          <w:tab w:pos="2532" w:val="left" w:leader="none"/>
        </w:tabs>
        <w:spacing w:line="240" w:lineRule="auto" w:before="241" w:after="0"/>
        <w:ind w:left="2532" w:right="771" w:hanging="660"/>
        <w:jc w:val="both"/>
        <w:rPr>
          <w:sz w:val="24"/>
        </w:rPr>
      </w:pPr>
      <w:r>
        <w:rPr>
          <w:sz w:val="24"/>
        </w:rPr>
        <w:t>Covered areas required on top terrace for antenna/dish antenna/communication tower used for Telecom (basic cellular or satellite telephone) or ITE purposes, V-Sat, Routes, Transponders or similar IT related structure or equipment, in excess of 20.00 sq. </w:t>
      </w:r>
      <w:r>
        <w:rPr>
          <w:spacing w:val="-6"/>
          <w:sz w:val="24"/>
        </w:rPr>
        <w:t>m.</w:t>
      </w:r>
    </w:p>
    <w:p>
      <w:pPr>
        <w:pStyle w:val="ListParagraph"/>
        <w:numPr>
          <w:ilvl w:val="1"/>
          <w:numId w:val="114"/>
        </w:numPr>
        <w:tabs>
          <w:tab w:pos="2532" w:val="left" w:leader="none"/>
        </w:tabs>
        <w:spacing w:line="240" w:lineRule="auto" w:before="239" w:after="0"/>
        <w:ind w:left="2532" w:right="768" w:hanging="660"/>
        <w:jc w:val="both"/>
        <w:rPr>
          <w:sz w:val="24"/>
        </w:rPr>
      </w:pPr>
      <w:r>
        <w:rPr>
          <w:sz w:val="24"/>
        </w:rPr>
        <w:t>The parking floor in excess of required parking under these regulation</w:t>
      </w:r>
      <w:r>
        <w:rPr>
          <w:spacing w:val="-19"/>
          <w:sz w:val="24"/>
        </w:rPr>
        <w:t> </w:t>
      </w:r>
      <w:r>
        <w:rPr>
          <w:sz w:val="24"/>
        </w:rPr>
        <w:t>[31(1)(vi)]and</w:t>
      </w:r>
      <w:r>
        <w:rPr>
          <w:spacing w:val="-19"/>
          <w:sz w:val="24"/>
        </w:rPr>
        <w:t> </w:t>
      </w:r>
      <w:r>
        <w:rPr>
          <w:sz w:val="24"/>
        </w:rPr>
        <w:t>for</w:t>
      </w:r>
      <w:r>
        <w:rPr>
          <w:spacing w:val="-19"/>
          <w:sz w:val="24"/>
        </w:rPr>
        <w:t> </w:t>
      </w:r>
      <w:r>
        <w:rPr>
          <w:sz w:val="24"/>
        </w:rPr>
        <w:t>which</w:t>
      </w:r>
      <w:r>
        <w:rPr>
          <w:spacing w:val="-19"/>
          <w:sz w:val="24"/>
        </w:rPr>
        <w:t> </w:t>
      </w:r>
      <w:r>
        <w:rPr>
          <w:sz w:val="24"/>
        </w:rPr>
        <w:t>the</w:t>
      </w:r>
      <w:r>
        <w:rPr>
          <w:spacing w:val="-19"/>
          <w:sz w:val="24"/>
        </w:rPr>
        <w:t> </w:t>
      </w:r>
      <w:r>
        <w:rPr>
          <w:sz w:val="24"/>
        </w:rPr>
        <w:t>premium</w:t>
      </w:r>
      <w:r>
        <w:rPr>
          <w:spacing w:val="-19"/>
          <w:sz w:val="24"/>
        </w:rPr>
        <w:t> </w:t>
      </w:r>
      <w:r>
        <w:rPr>
          <w:sz w:val="24"/>
        </w:rPr>
        <w:t>has</w:t>
      </w:r>
      <w:r>
        <w:rPr>
          <w:spacing w:val="-19"/>
          <w:sz w:val="24"/>
        </w:rPr>
        <w:t> </w:t>
      </w:r>
      <w:r>
        <w:rPr>
          <w:sz w:val="24"/>
        </w:rPr>
        <w:t>been</w:t>
      </w:r>
      <w:r>
        <w:rPr>
          <w:spacing w:val="-19"/>
          <w:sz w:val="24"/>
        </w:rPr>
        <w:t> </w:t>
      </w:r>
      <w:r>
        <w:rPr>
          <w:sz w:val="24"/>
        </w:rPr>
        <w:t>paid.</w:t>
      </w:r>
      <w:r>
        <w:rPr>
          <w:spacing w:val="-19"/>
          <w:sz w:val="24"/>
        </w:rPr>
        <w:t> </w:t>
      </w:r>
      <w:r>
        <w:rPr>
          <w:sz w:val="24"/>
        </w:rPr>
        <w:t>Deck parking inclusive of car lifts and passages thereto on habitable </w:t>
      </w:r>
      <w:r>
        <w:rPr>
          <w:spacing w:val="-2"/>
          <w:sz w:val="24"/>
        </w:rPr>
        <w:t>floors.</w:t>
      </w:r>
    </w:p>
    <w:p>
      <w:pPr>
        <w:pStyle w:val="ListParagraph"/>
        <w:numPr>
          <w:ilvl w:val="1"/>
          <w:numId w:val="114"/>
        </w:numPr>
        <w:tabs>
          <w:tab w:pos="2530" w:val="left" w:leader="none"/>
          <w:tab w:pos="2532" w:val="left" w:leader="none"/>
        </w:tabs>
        <w:spacing w:line="240" w:lineRule="auto" w:before="241" w:after="0"/>
        <w:ind w:left="2532" w:right="771" w:hanging="660"/>
        <w:jc w:val="both"/>
        <w:rPr>
          <w:sz w:val="24"/>
        </w:rPr>
      </w:pPr>
      <w:r>
        <w:rPr>
          <w:sz w:val="24"/>
        </w:rPr>
        <w:t>Driver’s room/sanitary block on podium and or parking floorother than mentioned in Regulation No.31(1)(xxvi).</w:t>
      </w:r>
    </w:p>
    <w:p>
      <w:pPr>
        <w:pStyle w:val="ListParagraph"/>
        <w:numPr>
          <w:ilvl w:val="1"/>
          <w:numId w:val="114"/>
        </w:numPr>
        <w:tabs>
          <w:tab w:pos="2530" w:val="left" w:leader="none"/>
        </w:tabs>
        <w:spacing w:line="240" w:lineRule="auto" w:before="241" w:after="0"/>
        <w:ind w:left="2530" w:right="0" w:hanging="658"/>
        <w:jc w:val="left"/>
        <w:rPr>
          <w:sz w:val="24"/>
        </w:rPr>
      </w:pPr>
      <w:r>
        <w:rPr>
          <w:sz w:val="24"/>
        </w:rPr>
        <w:t>Covered</w:t>
      </w:r>
      <w:r>
        <w:rPr>
          <w:spacing w:val="-3"/>
          <w:sz w:val="24"/>
        </w:rPr>
        <w:t> </w:t>
      </w:r>
      <w:r>
        <w:rPr>
          <w:sz w:val="24"/>
        </w:rPr>
        <w:t>swimming</w:t>
      </w:r>
      <w:r>
        <w:rPr>
          <w:spacing w:val="-3"/>
          <w:sz w:val="24"/>
        </w:rPr>
        <w:t> </w:t>
      </w:r>
      <w:r>
        <w:rPr>
          <w:spacing w:val="-2"/>
          <w:sz w:val="24"/>
        </w:rPr>
        <w:t>pool.</w:t>
      </w:r>
    </w:p>
    <w:p>
      <w:pPr>
        <w:pStyle w:val="ListParagraph"/>
        <w:numPr>
          <w:ilvl w:val="1"/>
          <w:numId w:val="114"/>
        </w:numPr>
        <w:tabs>
          <w:tab w:pos="2532" w:val="left" w:leader="none"/>
        </w:tabs>
        <w:spacing w:line="240" w:lineRule="auto" w:before="239" w:after="0"/>
        <w:ind w:left="2532" w:right="772" w:hanging="660"/>
        <w:jc w:val="both"/>
        <w:rPr>
          <w:sz w:val="24"/>
        </w:rPr>
      </w:pPr>
      <w:r>
        <w:rPr>
          <w:sz w:val="24"/>
        </w:rPr>
        <w:t>Area</w:t>
      </w:r>
      <w:r>
        <w:rPr>
          <w:spacing w:val="-8"/>
          <w:sz w:val="24"/>
        </w:rPr>
        <w:t> </w:t>
      </w:r>
      <w:r>
        <w:rPr>
          <w:sz w:val="24"/>
        </w:rPr>
        <w:t>of</w:t>
      </w:r>
      <w:r>
        <w:rPr>
          <w:spacing w:val="-8"/>
          <w:sz w:val="24"/>
        </w:rPr>
        <w:t> </w:t>
      </w:r>
      <w:r>
        <w:rPr>
          <w:sz w:val="24"/>
        </w:rPr>
        <w:t>DG</w:t>
      </w:r>
      <w:r>
        <w:rPr>
          <w:spacing w:val="-8"/>
          <w:sz w:val="24"/>
        </w:rPr>
        <w:t> </w:t>
      </w:r>
      <w:r>
        <w:rPr>
          <w:sz w:val="24"/>
        </w:rPr>
        <w:t>set</w:t>
      </w:r>
      <w:r>
        <w:rPr>
          <w:spacing w:val="-8"/>
          <w:sz w:val="24"/>
        </w:rPr>
        <w:t> </w:t>
      </w:r>
      <w:r>
        <w:rPr>
          <w:sz w:val="24"/>
        </w:rPr>
        <w:t>room</w:t>
      </w:r>
      <w:r>
        <w:rPr>
          <w:spacing w:val="-6"/>
          <w:sz w:val="24"/>
        </w:rPr>
        <w:t> </w:t>
      </w:r>
      <w:r>
        <w:rPr>
          <w:sz w:val="24"/>
        </w:rPr>
        <w:t>at</w:t>
      </w:r>
      <w:r>
        <w:rPr>
          <w:spacing w:val="-8"/>
          <w:sz w:val="24"/>
        </w:rPr>
        <w:t> </w:t>
      </w:r>
      <w:r>
        <w:rPr>
          <w:sz w:val="24"/>
        </w:rPr>
        <w:t>stilt</w:t>
      </w:r>
      <w:r>
        <w:rPr>
          <w:spacing w:val="-8"/>
          <w:sz w:val="24"/>
        </w:rPr>
        <w:t> </w:t>
      </w:r>
      <w:r>
        <w:rPr>
          <w:sz w:val="24"/>
        </w:rPr>
        <w:t>and</w:t>
      </w:r>
      <w:r>
        <w:rPr>
          <w:spacing w:val="-8"/>
          <w:sz w:val="24"/>
        </w:rPr>
        <w:t> </w:t>
      </w:r>
      <w:r>
        <w:rPr>
          <w:sz w:val="24"/>
        </w:rPr>
        <w:t>podium</w:t>
      </w:r>
      <w:r>
        <w:rPr>
          <w:spacing w:val="-8"/>
          <w:sz w:val="24"/>
        </w:rPr>
        <w:t> </w:t>
      </w:r>
      <w:r>
        <w:rPr>
          <w:sz w:val="24"/>
        </w:rPr>
        <w:t>level</w:t>
      </w:r>
      <w:r>
        <w:rPr>
          <w:spacing w:val="-7"/>
          <w:sz w:val="24"/>
        </w:rPr>
        <w:t> </w:t>
      </w:r>
      <w:r>
        <w:rPr>
          <w:sz w:val="24"/>
        </w:rPr>
        <w:t>other</w:t>
      </w:r>
      <w:r>
        <w:rPr>
          <w:spacing w:val="-8"/>
          <w:sz w:val="24"/>
        </w:rPr>
        <w:t> </w:t>
      </w:r>
      <w:r>
        <w:rPr>
          <w:sz w:val="24"/>
        </w:rPr>
        <w:t>than</w:t>
      </w:r>
      <w:r>
        <w:rPr>
          <w:spacing w:val="-8"/>
          <w:sz w:val="24"/>
        </w:rPr>
        <w:t> </w:t>
      </w:r>
      <w:r>
        <w:rPr>
          <w:sz w:val="24"/>
        </w:rPr>
        <w:t>mentioned in Regulation No 31(1)(xxx)</w:t>
      </w:r>
    </w:p>
    <w:p>
      <w:pPr>
        <w:pStyle w:val="Heading5"/>
        <w:numPr>
          <w:ilvl w:val="0"/>
          <w:numId w:val="114"/>
        </w:numPr>
        <w:tabs>
          <w:tab w:pos="1825" w:val="left" w:leader="none"/>
        </w:tabs>
        <w:spacing w:line="240" w:lineRule="auto" w:before="240" w:after="0"/>
        <w:ind w:left="1825" w:right="0" w:hanging="392"/>
        <w:jc w:val="left"/>
      </w:pPr>
      <w:r>
        <w:rPr/>
        <w:t>Fungible</w:t>
      </w:r>
      <w:r>
        <w:rPr>
          <w:spacing w:val="-9"/>
        </w:rPr>
        <w:t> </w:t>
      </w:r>
      <w:r>
        <w:rPr/>
        <w:t>Compensatory</w:t>
      </w:r>
      <w:r>
        <w:rPr>
          <w:spacing w:val="-9"/>
        </w:rPr>
        <w:t> </w:t>
      </w:r>
      <w:r>
        <w:rPr>
          <w:spacing w:val="-2"/>
        </w:rPr>
        <w:t>Area:</w:t>
      </w:r>
    </w:p>
    <w:p>
      <w:pPr>
        <w:pStyle w:val="BodyText"/>
        <w:spacing w:before="239"/>
        <w:ind w:left="1853" w:right="768"/>
      </w:pPr>
      <w:r>
        <w:rPr/>
        <w:t>Notwithstanding</w:t>
      </w:r>
      <w:r>
        <w:rPr>
          <w:spacing w:val="-12"/>
        </w:rPr>
        <w:t> </w:t>
      </w:r>
      <w:r>
        <w:rPr/>
        <w:t>anything</w:t>
      </w:r>
      <w:r>
        <w:rPr>
          <w:spacing w:val="-12"/>
        </w:rPr>
        <w:t> </w:t>
      </w:r>
      <w:r>
        <w:rPr/>
        <w:t>contained</w:t>
      </w:r>
      <w:r>
        <w:rPr>
          <w:spacing w:val="-12"/>
        </w:rPr>
        <w:t> </w:t>
      </w:r>
      <w:r>
        <w:rPr/>
        <w:t>in</w:t>
      </w:r>
      <w:r>
        <w:rPr>
          <w:spacing w:val="-12"/>
        </w:rPr>
        <w:t> </w:t>
      </w:r>
      <w:r>
        <w:rPr/>
        <w:t>the</w:t>
      </w:r>
      <w:r>
        <w:rPr>
          <w:spacing w:val="-12"/>
        </w:rPr>
        <w:t> </w:t>
      </w:r>
      <w:r>
        <w:rPr/>
        <w:t>D.C.</w:t>
      </w:r>
      <w:r>
        <w:rPr>
          <w:spacing w:val="-10"/>
        </w:rPr>
        <w:t> </w:t>
      </w:r>
      <w:r>
        <w:rPr/>
        <w:t>Regulations</w:t>
      </w:r>
      <w:r>
        <w:rPr>
          <w:spacing w:val="-11"/>
        </w:rPr>
        <w:t> </w:t>
      </w:r>
      <w:r>
        <w:rPr/>
        <w:t>30,</w:t>
      </w:r>
      <w:r>
        <w:rPr>
          <w:spacing w:val="-12"/>
        </w:rPr>
        <w:t> </w:t>
      </w:r>
      <w:r>
        <w:rPr/>
        <w:t>32</w:t>
      </w:r>
      <w:r>
        <w:rPr>
          <w:spacing w:val="-12"/>
        </w:rPr>
        <w:t> </w:t>
      </w:r>
      <w:r>
        <w:rPr/>
        <w:t>&amp;</w:t>
      </w:r>
      <w:r>
        <w:rPr>
          <w:spacing w:val="-12"/>
        </w:rPr>
        <w:t> </w:t>
      </w:r>
      <w:r>
        <w:rPr/>
        <w:t>33, the Commissioner may, by special permission, permit fungible compensatory area, not exceeding 35% for residential/, Industrial/Commercial development, over and above admissible FSI/BUA, by charging a premium at the rate of 50% for Residential and 60%for Industrial and Commercial development of ASR (for FSI 1),which is</w:t>
      </w:r>
      <w:r>
        <w:rPr>
          <w:spacing w:val="-3"/>
        </w:rPr>
        <w:t> </w:t>
      </w:r>
      <w:r>
        <w:rPr/>
        <w:t>to</w:t>
      </w:r>
      <w:r>
        <w:rPr>
          <w:spacing w:val="-3"/>
        </w:rPr>
        <w:t> </w:t>
      </w:r>
      <w:r>
        <w:rPr/>
        <w:t>be</w:t>
      </w:r>
      <w:r>
        <w:rPr>
          <w:spacing w:val="-3"/>
        </w:rPr>
        <w:t> </w:t>
      </w:r>
      <w:r>
        <w:rPr/>
        <w:t>shared</w:t>
      </w:r>
      <w:r>
        <w:rPr>
          <w:spacing w:val="-6"/>
        </w:rPr>
        <w:t> </w:t>
      </w:r>
      <w:r>
        <w:rPr/>
        <w:t>between</w:t>
      </w:r>
      <w:r>
        <w:rPr>
          <w:spacing w:val="-3"/>
        </w:rPr>
        <w:t> </w:t>
      </w:r>
      <w:r>
        <w:rPr/>
        <w:t>MCGM,</w:t>
      </w:r>
      <w:r>
        <w:rPr>
          <w:spacing w:val="-3"/>
        </w:rPr>
        <w:t> </w:t>
      </w:r>
      <w:r>
        <w:rPr/>
        <w:t>State</w:t>
      </w:r>
      <w:r>
        <w:rPr>
          <w:spacing w:val="-3"/>
        </w:rPr>
        <w:t> </w:t>
      </w:r>
      <w:r>
        <w:rPr/>
        <w:t>Govt.</w:t>
      </w:r>
      <w:r>
        <w:rPr>
          <w:spacing w:val="-3"/>
        </w:rPr>
        <w:t> </w:t>
      </w:r>
      <w:r>
        <w:rPr/>
        <w:t>and</w:t>
      </w:r>
      <w:r>
        <w:rPr>
          <w:spacing w:val="-3"/>
        </w:rPr>
        <w:t> </w:t>
      </w:r>
      <w:r>
        <w:rPr/>
        <w:t>MSRDC</w:t>
      </w:r>
      <w:r>
        <w:rPr>
          <w:spacing w:val="-3"/>
        </w:rPr>
        <w:t> </w:t>
      </w:r>
      <w:r>
        <w:rPr/>
        <w:t>(for</w:t>
      </w:r>
      <w:r>
        <w:rPr>
          <w:spacing w:val="-8"/>
        </w:rPr>
        <w:t> </w:t>
      </w:r>
      <w:r>
        <w:rPr/>
        <w:t>Sea</w:t>
      </w:r>
      <w:r>
        <w:rPr>
          <w:spacing w:val="-3"/>
        </w:rPr>
        <w:t> </w:t>
      </w:r>
      <w:r>
        <w:rPr/>
        <w:t>Link)</w:t>
      </w:r>
      <w:r>
        <w:rPr>
          <w:spacing w:val="-4"/>
        </w:rPr>
        <w:t> </w:t>
      </w:r>
      <w:r>
        <w:rPr/>
        <w:t>in 50%, 30% and 20% respectively.</w:t>
      </w:r>
    </w:p>
    <w:p>
      <w:pPr>
        <w:pStyle w:val="BodyText"/>
        <w:spacing w:before="241"/>
        <w:ind w:left="1853"/>
      </w:pPr>
      <w:r>
        <w:rPr/>
        <w:t>Provided</w:t>
      </w:r>
      <w:r>
        <w:rPr>
          <w:spacing w:val="28"/>
        </w:rPr>
        <w:t> </w:t>
      </w:r>
      <w:r>
        <w:rPr/>
        <w:t>that</w:t>
      </w:r>
      <w:r>
        <w:rPr>
          <w:spacing w:val="31"/>
        </w:rPr>
        <w:t> </w:t>
      </w:r>
      <w:r>
        <w:rPr/>
        <w:t>in</w:t>
      </w:r>
      <w:r>
        <w:rPr>
          <w:spacing w:val="31"/>
        </w:rPr>
        <w:t> </w:t>
      </w:r>
      <w:r>
        <w:rPr/>
        <w:t>case</w:t>
      </w:r>
      <w:r>
        <w:rPr>
          <w:spacing w:val="30"/>
        </w:rPr>
        <w:t> </w:t>
      </w:r>
      <w:r>
        <w:rPr/>
        <w:t>of</w:t>
      </w:r>
      <w:r>
        <w:rPr>
          <w:spacing w:val="31"/>
        </w:rPr>
        <w:t> </w:t>
      </w:r>
      <w:r>
        <w:rPr/>
        <w:t>redevelopment</w:t>
      </w:r>
      <w:r>
        <w:rPr>
          <w:spacing w:val="29"/>
        </w:rPr>
        <w:t> </w:t>
      </w:r>
      <w:r>
        <w:rPr/>
        <w:t>under</w:t>
      </w:r>
      <w:r>
        <w:rPr>
          <w:spacing w:val="30"/>
        </w:rPr>
        <w:t> </w:t>
      </w:r>
      <w:r>
        <w:rPr/>
        <w:t>regulation</w:t>
      </w:r>
      <w:r>
        <w:rPr>
          <w:spacing w:val="31"/>
        </w:rPr>
        <w:t> </w:t>
      </w:r>
      <w:r>
        <w:rPr>
          <w:spacing w:val="-2"/>
        </w:rPr>
        <w:t>33(7),33(7)(A),</w:t>
      </w:r>
    </w:p>
    <w:p>
      <w:pPr>
        <w:pStyle w:val="BodyText"/>
        <w:spacing w:before="1"/>
        <w:ind w:left="1853" w:right="768"/>
      </w:pPr>
      <w:r>
        <w:rPr/>
        <w:t>),33(8),</w:t>
      </w:r>
      <w:r>
        <w:rPr>
          <w:spacing w:val="-9"/>
        </w:rPr>
        <w:t> </w:t>
      </w:r>
      <w:r>
        <w:rPr/>
        <w:t>33(9),</w:t>
      </w:r>
      <w:r>
        <w:rPr>
          <w:spacing w:val="-9"/>
        </w:rPr>
        <w:t> </w:t>
      </w:r>
      <w:r>
        <w:rPr/>
        <w:t>33(9)(B)</w:t>
      </w:r>
      <w:r>
        <w:rPr>
          <w:spacing w:val="-9"/>
        </w:rPr>
        <w:t> </w:t>
      </w:r>
      <w:r>
        <w:rPr/>
        <w:t>,33(20),</w:t>
      </w:r>
      <w:r>
        <w:rPr>
          <w:spacing w:val="-9"/>
        </w:rPr>
        <w:t> </w:t>
      </w:r>
      <w:r>
        <w:rPr/>
        <w:t>and</w:t>
      </w:r>
      <w:r>
        <w:rPr>
          <w:spacing w:val="-9"/>
        </w:rPr>
        <w:t> </w:t>
      </w:r>
      <w:r>
        <w:rPr/>
        <w:t>33(10)</w:t>
      </w:r>
      <w:r>
        <w:rPr>
          <w:spacing w:val="-9"/>
        </w:rPr>
        <w:t> </w:t>
      </w:r>
      <w:r>
        <w:rPr/>
        <w:t>excluding</w:t>
      </w:r>
      <w:r>
        <w:rPr>
          <w:spacing w:val="-9"/>
        </w:rPr>
        <w:t> </w:t>
      </w:r>
      <w:r>
        <w:rPr/>
        <w:t>clause</w:t>
      </w:r>
      <w:r>
        <w:rPr>
          <w:spacing w:val="-12"/>
        </w:rPr>
        <w:t> </w:t>
      </w:r>
      <w:r>
        <w:rPr/>
        <w:t>No.3.11</w:t>
      </w:r>
      <w:r>
        <w:rPr>
          <w:spacing w:val="-9"/>
        </w:rPr>
        <w:t> </w:t>
      </w:r>
      <w:r>
        <w:rPr/>
        <w:t>of</w:t>
      </w:r>
      <w:r>
        <w:rPr>
          <w:spacing w:val="-9"/>
        </w:rPr>
        <w:t> </w:t>
      </w:r>
      <w:r>
        <w:rPr/>
        <w:t>the Regulation the fungible compensatory area admissible on</w:t>
      </w:r>
      <w:r>
        <w:rPr>
          <w:spacing w:val="40"/>
        </w:rPr>
        <w:t> </w:t>
      </w:r>
      <w:r>
        <w:rPr/>
        <w:t>AH /R&amp;R component shall be granted without charging premium.</w:t>
      </w:r>
    </w:p>
    <w:p>
      <w:pPr>
        <w:pStyle w:val="BodyText"/>
        <w:spacing w:after="0"/>
        <w:sectPr>
          <w:pgSz w:w="11910" w:h="16840"/>
          <w:pgMar w:header="1065" w:footer="1237" w:top="1500" w:bottom="1420" w:left="360" w:right="360"/>
        </w:sectPr>
      </w:pPr>
    </w:p>
    <w:p>
      <w:pPr>
        <w:pStyle w:val="BodyText"/>
        <w:spacing w:before="249"/>
        <w:ind w:left="1853" w:right="768"/>
      </w:pPr>
      <w:r>
        <w:rPr/>
        <w:t>In case of redevelopment under regulation 33(5), 33(6) &amp; 33(7)(B) of the Regulation the fungible compensatory FSI area admissible on existing BUA shall be granted without charging premium.</w:t>
      </w:r>
    </w:p>
    <w:p>
      <w:pPr>
        <w:pStyle w:val="BodyText"/>
        <w:spacing w:before="242"/>
        <w:ind w:left="1853" w:right="768"/>
      </w:pPr>
      <w:r>
        <w:rPr/>
        <w:t>Provided</w:t>
      </w:r>
      <w:r>
        <w:rPr>
          <w:spacing w:val="-8"/>
        </w:rPr>
        <w:t> </w:t>
      </w:r>
      <w:r>
        <w:rPr/>
        <w:t>further</w:t>
      </w:r>
      <w:r>
        <w:rPr>
          <w:spacing w:val="-8"/>
        </w:rPr>
        <w:t> </w:t>
      </w:r>
      <w:r>
        <w:rPr/>
        <w:t>that</w:t>
      </w:r>
      <w:r>
        <w:rPr>
          <w:spacing w:val="-7"/>
        </w:rPr>
        <w:t> </w:t>
      </w:r>
      <w:r>
        <w:rPr/>
        <w:t>for</w:t>
      </w:r>
      <w:r>
        <w:rPr>
          <w:spacing w:val="-8"/>
        </w:rPr>
        <w:t> </w:t>
      </w:r>
      <w:r>
        <w:rPr/>
        <w:t>redevelopment</w:t>
      </w:r>
      <w:r>
        <w:rPr>
          <w:spacing w:val="-6"/>
        </w:rPr>
        <w:t> </w:t>
      </w:r>
      <w:r>
        <w:rPr/>
        <w:t>proposal</w:t>
      </w:r>
      <w:r>
        <w:rPr>
          <w:spacing w:val="-8"/>
        </w:rPr>
        <w:t> </w:t>
      </w:r>
      <w:r>
        <w:rPr/>
        <w:t>of</w:t>
      </w:r>
      <w:r>
        <w:rPr>
          <w:spacing w:val="-8"/>
        </w:rPr>
        <w:t> </w:t>
      </w:r>
      <w:r>
        <w:rPr/>
        <w:t>existing</w:t>
      </w:r>
      <w:r>
        <w:rPr>
          <w:spacing w:val="-6"/>
        </w:rPr>
        <w:t> </w:t>
      </w:r>
      <w:r>
        <w:rPr/>
        <w:t>buildings</w:t>
      </w:r>
      <w:r>
        <w:rPr>
          <w:spacing w:val="40"/>
        </w:rPr>
        <w:t> </w:t>
      </w:r>
      <w:r>
        <w:rPr/>
        <w:t>by availing TDR/Additional FSI on payment of Premium, the fungible compensatory</w:t>
      </w:r>
      <w:r>
        <w:rPr>
          <w:spacing w:val="-20"/>
        </w:rPr>
        <w:t> </w:t>
      </w:r>
      <w:r>
        <w:rPr/>
        <w:t>area</w:t>
      </w:r>
      <w:r>
        <w:rPr>
          <w:spacing w:val="-19"/>
        </w:rPr>
        <w:t> </w:t>
      </w:r>
      <w:r>
        <w:rPr/>
        <w:t>admissible</w:t>
      </w:r>
      <w:r>
        <w:rPr>
          <w:spacing w:val="-19"/>
        </w:rPr>
        <w:t> </w:t>
      </w:r>
      <w:r>
        <w:rPr/>
        <w:t>on</w:t>
      </w:r>
      <w:r>
        <w:rPr>
          <w:spacing w:val="-19"/>
        </w:rPr>
        <w:t> </w:t>
      </w:r>
      <w:r>
        <w:rPr/>
        <w:t>FSI</w:t>
      </w:r>
      <w:r>
        <w:rPr>
          <w:spacing w:val="-19"/>
        </w:rPr>
        <w:t> </w:t>
      </w:r>
      <w:r>
        <w:rPr/>
        <w:t>consumed</w:t>
      </w:r>
      <w:r>
        <w:rPr>
          <w:spacing w:val="-20"/>
        </w:rPr>
        <w:t> </w:t>
      </w:r>
      <w:r>
        <w:rPr/>
        <w:t>in</w:t>
      </w:r>
      <w:r>
        <w:rPr>
          <w:spacing w:val="-19"/>
        </w:rPr>
        <w:t> </w:t>
      </w:r>
      <w:r>
        <w:rPr/>
        <w:t>existing</w:t>
      </w:r>
      <w:r>
        <w:rPr>
          <w:spacing w:val="-19"/>
        </w:rPr>
        <w:t> </w:t>
      </w:r>
      <w:r>
        <w:rPr/>
        <w:t>building</w:t>
      </w:r>
      <w:r>
        <w:rPr>
          <w:spacing w:val="28"/>
        </w:rPr>
        <w:t> </w:t>
      </w:r>
      <w:r>
        <w:rPr/>
        <w:t>shall be granted without charging premium, if existing user is proposed to be continued in proposed redevelopment then it shall be granted without charging premium..</w:t>
      </w:r>
    </w:p>
    <w:p>
      <w:pPr>
        <w:pStyle w:val="BodyText"/>
        <w:spacing w:before="239"/>
        <w:ind w:left="1853" w:right="769" w:firstLine="60"/>
      </w:pPr>
      <w:r>
        <w:rPr/>
        <w:t>Provided</w:t>
      </w:r>
      <w:r>
        <w:rPr>
          <w:spacing w:val="-4"/>
        </w:rPr>
        <w:t> </w:t>
      </w:r>
      <w:r>
        <w:rPr/>
        <w:t>further</w:t>
      </w:r>
      <w:r>
        <w:rPr>
          <w:spacing w:val="-4"/>
        </w:rPr>
        <w:t> </w:t>
      </w:r>
      <w:r>
        <w:rPr/>
        <w:t>that</w:t>
      </w:r>
      <w:r>
        <w:rPr>
          <w:spacing w:val="-4"/>
        </w:rPr>
        <w:t> </w:t>
      </w:r>
      <w:r>
        <w:rPr/>
        <w:t>such</w:t>
      </w:r>
      <w:r>
        <w:rPr>
          <w:spacing w:val="-4"/>
        </w:rPr>
        <w:t> </w:t>
      </w:r>
      <w:r>
        <w:rPr/>
        <w:t>fungible</w:t>
      </w:r>
      <w:r>
        <w:rPr>
          <w:spacing w:val="-4"/>
        </w:rPr>
        <w:t> </w:t>
      </w:r>
      <w:r>
        <w:rPr/>
        <w:t>compensatory</w:t>
      </w:r>
      <w:r>
        <w:rPr>
          <w:spacing w:val="-3"/>
        </w:rPr>
        <w:t> </w:t>
      </w:r>
      <w:r>
        <w:rPr/>
        <w:t>area</w:t>
      </w:r>
      <w:r>
        <w:rPr>
          <w:spacing w:val="-4"/>
        </w:rPr>
        <w:t> </w:t>
      </w:r>
      <w:r>
        <w:rPr/>
        <w:t>for</w:t>
      </w:r>
      <w:r>
        <w:rPr>
          <w:spacing w:val="-4"/>
        </w:rPr>
        <w:t> </w:t>
      </w:r>
      <w:r>
        <w:rPr/>
        <w:t>rehabilitation component shall not be used for free sale component and shall be used to give additional area over and above eligible area to the existing tenants/occupants. Fungible compensatory area admissible to one rehabilitation tenement cannot be utilized for another rehabilitation </w:t>
      </w:r>
      <w:r>
        <w:rPr>
          <w:spacing w:val="-2"/>
        </w:rPr>
        <w:t>tenement.</w:t>
      </w:r>
    </w:p>
    <w:p>
      <w:pPr>
        <w:pStyle w:val="BodyText"/>
        <w:spacing w:before="240"/>
        <w:ind w:left="1853" w:right="770"/>
      </w:pPr>
      <w:r>
        <w:rPr/>
        <w:t>Provided that, this Regulation shall be applicable only in respect of the buildings to be constructed or reconstructed.</w:t>
      </w:r>
    </w:p>
    <w:p>
      <w:pPr>
        <w:pStyle w:val="BodyText"/>
        <w:spacing w:before="241"/>
        <w:ind w:left="1853" w:right="770"/>
      </w:pPr>
      <w:r>
        <w:rPr/>
        <w:t>Provided also that in case of development under Regulation No. 33(15), the fungible compensatory area shall be admissible without charging </w:t>
      </w:r>
      <w:r>
        <w:rPr>
          <w:spacing w:val="-2"/>
        </w:rPr>
        <w:t>premium.</w:t>
      </w:r>
    </w:p>
    <w:p>
      <w:pPr>
        <w:pStyle w:val="BodyText"/>
        <w:spacing w:before="239"/>
        <w:ind w:left="1853" w:right="768"/>
      </w:pPr>
      <w:r>
        <w:rPr/>
        <w:t>“Provided that in case of development under Regulation No. 33(2) excluding buildings of private medical institutions under Regulation No. 33(2)(A),the fungible compensatory area shall be admissible on 50 % rebate in premium to be charged as per this regulation and the development under Regulation No 33(3) shall be admissible without charging premium for</w:t>
      </w:r>
      <w:r>
        <w:rPr>
          <w:spacing w:val="40"/>
        </w:rPr>
        <w:t> </w:t>
      </w:r>
      <w:r>
        <w:rPr/>
        <w:t>MCGM &amp; State Govt. only.</w:t>
      </w:r>
    </w:p>
    <w:p>
      <w:pPr>
        <w:pStyle w:val="BodyText"/>
        <w:spacing w:before="240"/>
        <w:ind w:left="1853"/>
      </w:pPr>
      <w:r>
        <w:rPr/>
        <w:t>Explanatory Note: </w:t>
      </w:r>
      <w:r>
        <w:rPr>
          <w:spacing w:val="-10"/>
        </w:rPr>
        <w:t>-</w:t>
      </w:r>
    </w:p>
    <w:p>
      <w:pPr>
        <w:pStyle w:val="ListParagraph"/>
        <w:numPr>
          <w:ilvl w:val="1"/>
          <w:numId w:val="114"/>
        </w:numPr>
        <w:tabs>
          <w:tab w:pos="2393" w:val="left" w:leader="none"/>
        </w:tabs>
        <w:spacing w:line="240" w:lineRule="auto" w:before="162" w:after="0"/>
        <w:ind w:left="2393" w:right="769" w:hanging="540"/>
        <w:jc w:val="both"/>
        <w:rPr>
          <w:sz w:val="24"/>
        </w:rPr>
      </w:pPr>
      <w:r>
        <w:rPr>
          <w:sz w:val="24"/>
        </w:rPr>
        <w:t>Where IOD/IOA has been granted but the building is not complete then this Regulation shall apply, only at the option of the </w:t>
      </w:r>
      <w:r>
        <w:rPr>
          <w:spacing w:val="-2"/>
          <w:sz w:val="24"/>
        </w:rPr>
        <w:t>owner/developer,</w:t>
      </w:r>
    </w:p>
    <w:p>
      <w:pPr>
        <w:pStyle w:val="ListParagraph"/>
        <w:numPr>
          <w:ilvl w:val="1"/>
          <w:numId w:val="114"/>
        </w:numPr>
        <w:tabs>
          <w:tab w:pos="2202" w:val="left" w:leader="none"/>
        </w:tabs>
        <w:spacing w:line="242" w:lineRule="auto" w:before="158" w:after="0"/>
        <w:ind w:left="1824" w:right="771" w:firstLine="0"/>
        <w:jc w:val="left"/>
        <w:rPr>
          <w:sz w:val="24"/>
        </w:rPr>
      </w:pPr>
      <w:r>
        <w:rPr>
          <w:sz w:val="24"/>
        </w:rPr>
        <w:t>For plots/layouts, where IOD is granted for partial development, this Regulation will apply for the balance potential of the plot,</w:t>
      </w:r>
    </w:p>
    <w:p>
      <w:pPr>
        <w:pStyle w:val="ListParagraph"/>
        <w:numPr>
          <w:ilvl w:val="1"/>
          <w:numId w:val="114"/>
        </w:numPr>
        <w:tabs>
          <w:tab w:pos="2183" w:val="left" w:leader="none"/>
        </w:tabs>
        <w:spacing w:line="444" w:lineRule="auto" w:before="157" w:after="0"/>
        <w:ind w:left="1824" w:right="2184" w:firstLine="0"/>
        <w:jc w:val="left"/>
        <w:rPr>
          <w:sz w:val="24"/>
        </w:rPr>
      </w:pPr>
      <w:r>
        <w:rPr>
          <w:sz w:val="24"/>
        </w:rPr>
        <w:t>The</w:t>
      </w:r>
      <w:r>
        <w:rPr>
          <w:spacing w:val="-4"/>
          <w:sz w:val="24"/>
        </w:rPr>
        <w:t> </w:t>
      </w:r>
      <w:r>
        <w:rPr>
          <w:sz w:val="24"/>
        </w:rPr>
        <w:t>fungible</w:t>
      </w:r>
      <w:r>
        <w:rPr>
          <w:spacing w:val="-4"/>
          <w:sz w:val="24"/>
        </w:rPr>
        <w:t> </w:t>
      </w:r>
      <w:r>
        <w:rPr>
          <w:sz w:val="24"/>
        </w:rPr>
        <w:t>compensatory</w:t>
      </w:r>
      <w:r>
        <w:rPr>
          <w:spacing w:val="-4"/>
          <w:sz w:val="24"/>
        </w:rPr>
        <w:t> </w:t>
      </w:r>
      <w:r>
        <w:rPr>
          <w:sz w:val="24"/>
        </w:rPr>
        <w:t>area</w:t>
      </w:r>
      <w:r>
        <w:rPr>
          <w:spacing w:val="-4"/>
          <w:sz w:val="24"/>
        </w:rPr>
        <w:t> </w:t>
      </w:r>
      <w:r>
        <w:rPr>
          <w:sz w:val="24"/>
        </w:rPr>
        <w:t>is</w:t>
      </w:r>
      <w:r>
        <w:rPr>
          <w:spacing w:val="-4"/>
          <w:sz w:val="24"/>
        </w:rPr>
        <w:t> </w:t>
      </w:r>
      <w:r>
        <w:rPr>
          <w:sz w:val="24"/>
        </w:rPr>
        <w:t>useable</w:t>
      </w:r>
      <w:r>
        <w:rPr>
          <w:spacing w:val="-4"/>
          <w:sz w:val="24"/>
        </w:rPr>
        <w:t> </w:t>
      </w:r>
      <w:r>
        <w:rPr>
          <w:sz w:val="24"/>
        </w:rPr>
        <w:t>as</w:t>
      </w:r>
      <w:r>
        <w:rPr>
          <w:spacing w:val="-4"/>
          <w:sz w:val="24"/>
        </w:rPr>
        <w:t> </w:t>
      </w:r>
      <w:r>
        <w:rPr>
          <w:sz w:val="24"/>
        </w:rPr>
        <w:t>regular</w:t>
      </w:r>
      <w:r>
        <w:rPr>
          <w:spacing w:val="-4"/>
          <w:sz w:val="24"/>
        </w:rPr>
        <w:t> </w:t>
      </w:r>
      <w:r>
        <w:rPr>
          <w:sz w:val="24"/>
        </w:rPr>
        <w:t>FSI, </w:t>
      </w:r>
      <w:r>
        <w:rPr>
          <w:spacing w:val="-2"/>
          <w:sz w:val="24"/>
        </w:rPr>
        <w:t>Note:</w:t>
      </w:r>
    </w:p>
    <w:p>
      <w:pPr>
        <w:pStyle w:val="ListParagraph"/>
        <w:numPr>
          <w:ilvl w:val="0"/>
          <w:numId w:val="117"/>
        </w:numPr>
        <w:tabs>
          <w:tab w:pos="2104" w:val="left" w:leader="none"/>
        </w:tabs>
        <w:spacing w:line="240" w:lineRule="auto" w:before="1" w:after="0"/>
        <w:ind w:left="1824" w:right="768" w:firstLine="0"/>
        <w:jc w:val="both"/>
        <w:rPr>
          <w:sz w:val="24"/>
        </w:rPr>
      </w:pPr>
      <w:r>
        <w:rPr>
          <w:sz w:val="24"/>
        </w:rPr>
        <w:t>The premium paid for fungible FSI</w:t>
      </w:r>
      <w:r>
        <w:rPr>
          <w:spacing w:val="80"/>
          <w:sz w:val="24"/>
        </w:rPr>
        <w:t> </w:t>
      </w:r>
      <w:r>
        <w:rPr>
          <w:sz w:val="24"/>
        </w:rPr>
        <w:t>prior to coming into force of this Regulation</w:t>
      </w:r>
      <w:r>
        <w:rPr>
          <w:spacing w:val="-20"/>
          <w:sz w:val="24"/>
        </w:rPr>
        <w:t> </w:t>
      </w:r>
      <w:r>
        <w:rPr>
          <w:sz w:val="24"/>
        </w:rPr>
        <w:t>particularly</w:t>
      </w:r>
      <w:r>
        <w:rPr>
          <w:spacing w:val="-19"/>
          <w:sz w:val="24"/>
        </w:rPr>
        <w:t> </w:t>
      </w:r>
      <w:r>
        <w:rPr>
          <w:sz w:val="24"/>
        </w:rPr>
        <w:t>in</w:t>
      </w:r>
      <w:r>
        <w:rPr>
          <w:spacing w:val="-19"/>
          <w:sz w:val="24"/>
        </w:rPr>
        <w:t> </w:t>
      </w:r>
      <w:r>
        <w:rPr>
          <w:sz w:val="24"/>
        </w:rPr>
        <w:t>case</w:t>
      </w:r>
      <w:r>
        <w:rPr>
          <w:spacing w:val="-19"/>
          <w:sz w:val="24"/>
        </w:rPr>
        <w:t> </w:t>
      </w:r>
      <w:r>
        <w:rPr>
          <w:sz w:val="24"/>
        </w:rPr>
        <w:t>of</w:t>
      </w:r>
      <w:r>
        <w:rPr>
          <w:spacing w:val="-19"/>
          <w:sz w:val="24"/>
        </w:rPr>
        <w:t> </w:t>
      </w:r>
      <w:r>
        <w:rPr>
          <w:sz w:val="24"/>
        </w:rPr>
        <w:t>Commercial/Industrial</w:t>
      </w:r>
      <w:r>
        <w:rPr>
          <w:spacing w:val="-20"/>
          <w:sz w:val="24"/>
        </w:rPr>
        <w:t> </w:t>
      </w:r>
      <w:r>
        <w:rPr>
          <w:sz w:val="24"/>
        </w:rPr>
        <w:t>development</w:t>
      </w:r>
      <w:r>
        <w:rPr>
          <w:spacing w:val="-19"/>
          <w:sz w:val="24"/>
        </w:rPr>
        <w:t> </w:t>
      </w:r>
      <w:r>
        <w:rPr>
          <w:sz w:val="24"/>
        </w:rPr>
        <w:t>will not</w:t>
      </w:r>
      <w:r>
        <w:rPr>
          <w:spacing w:val="-1"/>
          <w:sz w:val="24"/>
        </w:rPr>
        <w:t> </w:t>
      </w:r>
      <w:r>
        <w:rPr>
          <w:sz w:val="24"/>
        </w:rPr>
        <w:t>be</w:t>
      </w:r>
      <w:r>
        <w:rPr>
          <w:spacing w:val="-1"/>
          <w:sz w:val="24"/>
        </w:rPr>
        <w:t> </w:t>
      </w:r>
      <w:r>
        <w:rPr>
          <w:sz w:val="24"/>
        </w:rPr>
        <w:t>adjusted for</w:t>
      </w:r>
      <w:r>
        <w:rPr>
          <w:spacing w:val="-1"/>
          <w:sz w:val="24"/>
        </w:rPr>
        <w:t> </w:t>
      </w:r>
      <w:r>
        <w:rPr>
          <w:sz w:val="24"/>
        </w:rPr>
        <w:t>grant</w:t>
      </w:r>
      <w:r>
        <w:rPr>
          <w:spacing w:val="-1"/>
          <w:sz w:val="24"/>
        </w:rPr>
        <w:t> </w:t>
      </w:r>
      <w:r>
        <w:rPr>
          <w:sz w:val="24"/>
        </w:rPr>
        <w:t>of</w:t>
      </w:r>
      <w:r>
        <w:rPr>
          <w:spacing w:val="-1"/>
          <w:sz w:val="24"/>
        </w:rPr>
        <w:t> </w:t>
      </w:r>
      <w:r>
        <w:rPr>
          <w:sz w:val="24"/>
        </w:rPr>
        <w:t>additional</w:t>
      </w:r>
      <w:r>
        <w:rPr>
          <w:spacing w:val="-1"/>
          <w:sz w:val="24"/>
        </w:rPr>
        <w:t> </w:t>
      </w:r>
      <w:r>
        <w:rPr>
          <w:sz w:val="24"/>
        </w:rPr>
        <w:t>fungible</w:t>
      </w:r>
      <w:r>
        <w:rPr>
          <w:spacing w:val="-1"/>
          <w:sz w:val="24"/>
        </w:rPr>
        <w:t> </w:t>
      </w:r>
      <w:r>
        <w:rPr>
          <w:sz w:val="24"/>
        </w:rPr>
        <w:t>compensatory</w:t>
      </w:r>
      <w:r>
        <w:rPr>
          <w:spacing w:val="-1"/>
          <w:sz w:val="24"/>
        </w:rPr>
        <w:t> </w:t>
      </w:r>
      <w:r>
        <w:rPr>
          <w:sz w:val="24"/>
        </w:rPr>
        <w:t>area under this regulation, and premium if any, as per this Regulation shall have to</w:t>
      </w:r>
    </w:p>
    <w:p>
      <w:pPr>
        <w:pStyle w:val="ListParagraph"/>
        <w:spacing w:after="0" w:line="240" w:lineRule="auto"/>
        <w:jc w:val="both"/>
        <w:rPr>
          <w:sz w:val="24"/>
        </w:rPr>
        <w:sectPr>
          <w:pgSz w:w="11910" w:h="16840"/>
          <w:pgMar w:header="1065" w:footer="1237" w:top="1500" w:bottom="1420" w:left="360" w:right="360"/>
        </w:sectPr>
      </w:pPr>
    </w:p>
    <w:p>
      <w:pPr>
        <w:pStyle w:val="BodyText"/>
        <w:spacing w:before="249"/>
        <w:ind w:left="1824" w:right="770"/>
      </w:pPr>
      <w:r>
        <w:rPr/>
        <w:t>be paid. Fungible Compensatory F.S.I. granted under Regulation 35(4) of DCR 1991 shall be continued as Fungible Compensatory Area under Regulation 31(3) of DCPR 2034 &amp; no premium shall be demanded or refunded or adjusted for such area.</w:t>
      </w:r>
    </w:p>
    <w:p>
      <w:pPr>
        <w:pStyle w:val="ListParagraph"/>
        <w:numPr>
          <w:ilvl w:val="0"/>
          <w:numId w:val="117"/>
        </w:numPr>
        <w:tabs>
          <w:tab w:pos="2115" w:val="left" w:leader="none"/>
        </w:tabs>
        <w:spacing w:line="240" w:lineRule="auto" w:before="241" w:after="0"/>
        <w:ind w:left="1824" w:right="772" w:firstLine="0"/>
        <w:jc w:val="both"/>
        <w:rPr>
          <w:sz w:val="24"/>
        </w:rPr>
      </w:pPr>
      <w:r>
        <w:rPr>
          <w:sz w:val="24"/>
        </w:rPr>
        <w:t>The premium amount collected shall be kept in a separate Account to be utilized for infrastructure development.</w:t>
      </w:r>
    </w:p>
    <w:p>
      <w:pPr>
        <w:pStyle w:val="BodyText"/>
        <w:spacing w:before="241"/>
        <w:ind w:left="1824" w:right="770"/>
      </w:pPr>
      <w:r>
        <w:rPr/>
        <w:t>I The deficiency in open space created due to utilization of fungible compensatory area shall be condoned by charging premium at 25% of normal premium.</w:t>
      </w:r>
    </w:p>
    <w:p>
      <w:pPr>
        <w:pStyle w:val="Heading3"/>
        <w:spacing w:before="235"/>
        <w:ind w:left="772" w:firstLine="0"/>
        <w:jc w:val="both"/>
      </w:pPr>
      <w:r>
        <w:rPr>
          <w:i w:val="0"/>
        </w:rPr>
        <w:t>32</w:t>
      </w:r>
      <w:r>
        <w:rPr>
          <w:i w:val="0"/>
          <w:spacing w:val="74"/>
        </w:rPr>
        <w:t>  </w:t>
      </w:r>
      <w:r>
        <w:rPr/>
        <w:t>Transfer</w:t>
      </w:r>
      <w:r>
        <w:rPr>
          <w:spacing w:val="-2"/>
        </w:rPr>
        <w:t> </w:t>
      </w:r>
      <w:r>
        <w:rPr/>
        <w:t>of</w:t>
      </w:r>
      <w:r>
        <w:rPr>
          <w:spacing w:val="-5"/>
        </w:rPr>
        <w:t> </w:t>
      </w:r>
      <w:r>
        <w:rPr/>
        <w:t>Development</w:t>
      </w:r>
      <w:r>
        <w:rPr>
          <w:spacing w:val="-6"/>
        </w:rPr>
        <w:t> </w:t>
      </w:r>
      <w:r>
        <w:rPr/>
        <w:t>Rights</w:t>
      </w:r>
      <w:r>
        <w:rPr>
          <w:spacing w:val="-3"/>
        </w:rPr>
        <w:t> </w:t>
      </w:r>
      <w:r>
        <w:rPr>
          <w:spacing w:val="-2"/>
        </w:rPr>
        <w:t>(TDR)</w:t>
      </w:r>
    </w:p>
    <w:p>
      <w:pPr>
        <w:spacing w:before="241"/>
        <w:ind w:left="772" w:right="0" w:firstLine="0"/>
        <w:jc w:val="both"/>
        <w:rPr>
          <w:b/>
          <w:i/>
          <w:sz w:val="28"/>
        </w:rPr>
      </w:pPr>
      <w:r>
        <w:rPr>
          <w:b/>
          <w:i/>
          <w:sz w:val="28"/>
        </w:rPr>
        <w:t>1.0</w:t>
      </w:r>
      <w:r>
        <w:rPr>
          <w:b/>
          <w:i/>
          <w:spacing w:val="-10"/>
          <w:sz w:val="28"/>
        </w:rPr>
        <w:t> </w:t>
      </w:r>
      <w:r>
        <w:rPr>
          <w:b/>
          <w:i/>
          <w:sz w:val="28"/>
        </w:rPr>
        <w:t>TRANSFERABLE</w:t>
      </w:r>
      <w:r>
        <w:rPr>
          <w:b/>
          <w:i/>
          <w:spacing w:val="-10"/>
          <w:sz w:val="28"/>
        </w:rPr>
        <w:t> </w:t>
      </w:r>
      <w:r>
        <w:rPr>
          <w:b/>
          <w:i/>
          <w:sz w:val="28"/>
        </w:rPr>
        <w:t>DEVELOPMENT</w:t>
      </w:r>
      <w:r>
        <w:rPr>
          <w:b/>
          <w:i/>
          <w:spacing w:val="-11"/>
          <w:sz w:val="28"/>
        </w:rPr>
        <w:t> </w:t>
      </w:r>
      <w:r>
        <w:rPr>
          <w:b/>
          <w:i/>
          <w:sz w:val="28"/>
        </w:rPr>
        <w:t>RIGHTS</w:t>
      </w:r>
      <w:r>
        <w:rPr>
          <w:b/>
          <w:i/>
          <w:spacing w:val="-8"/>
          <w:sz w:val="28"/>
        </w:rPr>
        <w:t> </w:t>
      </w:r>
      <w:r>
        <w:rPr>
          <w:b/>
          <w:i/>
          <w:spacing w:val="-10"/>
          <w:sz w:val="28"/>
        </w:rPr>
        <w:t>–</w:t>
      </w:r>
    </w:p>
    <w:p>
      <w:pPr>
        <w:pStyle w:val="BodyText"/>
        <w:spacing w:before="47"/>
        <w:jc w:val="left"/>
        <w:rPr>
          <w:b/>
          <w:i/>
          <w:sz w:val="28"/>
        </w:rPr>
      </w:pPr>
    </w:p>
    <w:p>
      <w:pPr>
        <w:spacing w:before="1"/>
        <w:ind w:left="772" w:right="771" w:firstLine="0"/>
        <w:jc w:val="both"/>
        <w:rPr>
          <w:i/>
          <w:sz w:val="24"/>
        </w:rPr>
      </w:pPr>
      <w:r>
        <w:rPr>
          <w:i/>
          <w:sz w:val="24"/>
        </w:rPr>
        <w:t>Transferable</w:t>
      </w:r>
      <w:r>
        <w:rPr>
          <w:i/>
          <w:spacing w:val="-1"/>
          <w:sz w:val="24"/>
        </w:rPr>
        <w:t> </w:t>
      </w:r>
      <w:r>
        <w:rPr>
          <w:i/>
          <w:sz w:val="24"/>
        </w:rPr>
        <w:t>Development</w:t>
      </w:r>
      <w:r>
        <w:rPr>
          <w:i/>
          <w:spacing w:val="-4"/>
          <w:sz w:val="24"/>
        </w:rPr>
        <w:t> </w:t>
      </w:r>
      <w:r>
        <w:rPr>
          <w:i/>
          <w:sz w:val="24"/>
        </w:rPr>
        <w:t>Rights</w:t>
      </w:r>
      <w:r>
        <w:rPr>
          <w:i/>
          <w:spacing w:val="-1"/>
          <w:sz w:val="24"/>
        </w:rPr>
        <w:t> </w:t>
      </w:r>
      <w:r>
        <w:rPr>
          <w:i/>
          <w:sz w:val="24"/>
        </w:rPr>
        <w:t>(TDR) </w:t>
      </w:r>
      <w:r>
        <w:rPr>
          <w:sz w:val="24"/>
        </w:rPr>
        <w:t>is</w:t>
      </w:r>
      <w:r>
        <w:rPr>
          <w:spacing w:val="-3"/>
          <w:sz w:val="24"/>
        </w:rPr>
        <w:t> </w:t>
      </w:r>
      <w:r>
        <w:rPr>
          <w:sz w:val="24"/>
        </w:rPr>
        <w:t>compensation</w:t>
      </w:r>
      <w:r>
        <w:rPr>
          <w:spacing w:val="-1"/>
          <w:sz w:val="24"/>
        </w:rPr>
        <w:t> </w:t>
      </w:r>
      <w:r>
        <w:rPr>
          <w:sz w:val="24"/>
        </w:rPr>
        <w:t>in</w:t>
      </w:r>
      <w:r>
        <w:rPr>
          <w:spacing w:val="-1"/>
          <w:sz w:val="24"/>
        </w:rPr>
        <w:t> </w:t>
      </w:r>
      <w:r>
        <w:rPr>
          <w:sz w:val="24"/>
        </w:rPr>
        <w:t>the</w:t>
      </w:r>
      <w:r>
        <w:rPr>
          <w:spacing w:val="-1"/>
          <w:sz w:val="24"/>
        </w:rPr>
        <w:t> </w:t>
      </w:r>
      <w:r>
        <w:rPr>
          <w:sz w:val="24"/>
        </w:rPr>
        <w:t>form</w:t>
      </w:r>
      <w:r>
        <w:rPr>
          <w:spacing w:val="-1"/>
          <w:sz w:val="24"/>
        </w:rPr>
        <w:t> </w:t>
      </w:r>
      <w:r>
        <w:rPr>
          <w:sz w:val="24"/>
        </w:rPr>
        <w:t>of</w:t>
      </w:r>
      <w:r>
        <w:rPr>
          <w:spacing w:val="-1"/>
          <w:sz w:val="24"/>
        </w:rPr>
        <w:t> </w:t>
      </w:r>
      <w:r>
        <w:rPr>
          <w:sz w:val="24"/>
        </w:rPr>
        <w:t>Floor</w:t>
      </w:r>
      <w:r>
        <w:rPr>
          <w:spacing w:val="-1"/>
          <w:sz w:val="24"/>
        </w:rPr>
        <w:t> </w:t>
      </w:r>
      <w:r>
        <w:rPr>
          <w:sz w:val="24"/>
        </w:rPr>
        <w:t>Space Index</w:t>
      </w:r>
      <w:r>
        <w:rPr>
          <w:spacing w:val="-10"/>
          <w:sz w:val="24"/>
        </w:rPr>
        <w:t> </w:t>
      </w:r>
      <w:r>
        <w:rPr>
          <w:sz w:val="24"/>
        </w:rPr>
        <w:t>(FSI)</w:t>
      </w:r>
      <w:r>
        <w:rPr>
          <w:spacing w:val="-10"/>
          <w:sz w:val="24"/>
        </w:rPr>
        <w:t> </w:t>
      </w:r>
      <w:r>
        <w:rPr>
          <w:sz w:val="24"/>
        </w:rPr>
        <w:t>or</w:t>
      </w:r>
      <w:r>
        <w:rPr>
          <w:spacing w:val="-10"/>
          <w:sz w:val="24"/>
        </w:rPr>
        <w:t> </w:t>
      </w:r>
      <w:r>
        <w:rPr>
          <w:sz w:val="24"/>
        </w:rPr>
        <w:t>Development</w:t>
      </w:r>
      <w:r>
        <w:rPr>
          <w:spacing w:val="-10"/>
          <w:sz w:val="24"/>
        </w:rPr>
        <w:t> </w:t>
      </w:r>
      <w:r>
        <w:rPr>
          <w:sz w:val="24"/>
        </w:rPr>
        <w:t>Rights</w:t>
      </w:r>
      <w:r>
        <w:rPr>
          <w:spacing w:val="-10"/>
          <w:sz w:val="24"/>
        </w:rPr>
        <w:t> </w:t>
      </w:r>
      <w:r>
        <w:rPr>
          <w:sz w:val="24"/>
        </w:rPr>
        <w:t>which</w:t>
      </w:r>
      <w:r>
        <w:rPr>
          <w:spacing w:val="-7"/>
          <w:sz w:val="24"/>
        </w:rPr>
        <w:t> </w:t>
      </w:r>
      <w:r>
        <w:rPr>
          <w:sz w:val="24"/>
        </w:rPr>
        <w:t>shall</w:t>
      </w:r>
      <w:r>
        <w:rPr>
          <w:spacing w:val="-10"/>
          <w:sz w:val="24"/>
        </w:rPr>
        <w:t> </w:t>
      </w:r>
      <w:r>
        <w:rPr>
          <w:sz w:val="24"/>
        </w:rPr>
        <w:t>entitle</w:t>
      </w:r>
      <w:r>
        <w:rPr>
          <w:spacing w:val="-10"/>
          <w:sz w:val="24"/>
        </w:rPr>
        <w:t> </w:t>
      </w:r>
      <w:r>
        <w:rPr>
          <w:sz w:val="24"/>
        </w:rPr>
        <w:t>the</w:t>
      </w:r>
      <w:r>
        <w:rPr>
          <w:spacing w:val="-10"/>
          <w:sz w:val="24"/>
        </w:rPr>
        <w:t> </w:t>
      </w:r>
      <w:r>
        <w:rPr>
          <w:sz w:val="24"/>
        </w:rPr>
        <w:t>owner</w:t>
      </w:r>
      <w:r>
        <w:rPr>
          <w:spacing w:val="-10"/>
          <w:sz w:val="24"/>
        </w:rPr>
        <w:t> </w:t>
      </w:r>
      <w:r>
        <w:rPr>
          <w:sz w:val="24"/>
        </w:rPr>
        <w:t>for</w:t>
      </w:r>
      <w:r>
        <w:rPr>
          <w:spacing w:val="-10"/>
          <w:sz w:val="24"/>
        </w:rPr>
        <w:t> </w:t>
      </w:r>
      <w:r>
        <w:rPr>
          <w:sz w:val="24"/>
        </w:rPr>
        <w:t>construction</w:t>
      </w:r>
      <w:r>
        <w:rPr>
          <w:spacing w:val="-10"/>
          <w:sz w:val="24"/>
        </w:rPr>
        <w:t> </w:t>
      </w:r>
      <w:r>
        <w:rPr>
          <w:sz w:val="24"/>
        </w:rPr>
        <w:t>of built-up</w:t>
      </w:r>
      <w:r>
        <w:rPr>
          <w:spacing w:val="-19"/>
          <w:sz w:val="24"/>
        </w:rPr>
        <w:t> </w:t>
      </w:r>
      <w:r>
        <w:rPr>
          <w:sz w:val="24"/>
        </w:rPr>
        <w:t>area</w:t>
      </w:r>
      <w:r>
        <w:rPr>
          <w:spacing w:val="-20"/>
          <w:sz w:val="24"/>
        </w:rPr>
        <w:t> </w:t>
      </w:r>
      <w:r>
        <w:rPr>
          <w:sz w:val="24"/>
        </w:rPr>
        <w:t>subject</w:t>
      </w:r>
      <w:r>
        <w:rPr>
          <w:spacing w:val="-17"/>
          <w:sz w:val="24"/>
        </w:rPr>
        <w:t> </w:t>
      </w:r>
      <w:r>
        <w:rPr>
          <w:sz w:val="24"/>
        </w:rPr>
        <w:t>to</w:t>
      </w:r>
      <w:r>
        <w:rPr>
          <w:spacing w:val="-19"/>
          <w:sz w:val="24"/>
        </w:rPr>
        <w:t> </w:t>
      </w:r>
      <w:r>
        <w:rPr>
          <w:sz w:val="24"/>
        </w:rPr>
        <w:t>provisions</w:t>
      </w:r>
      <w:r>
        <w:rPr>
          <w:spacing w:val="-20"/>
          <w:sz w:val="24"/>
        </w:rPr>
        <w:t> </w:t>
      </w:r>
      <w:r>
        <w:rPr>
          <w:sz w:val="24"/>
        </w:rPr>
        <w:t>in</w:t>
      </w:r>
      <w:r>
        <w:rPr>
          <w:spacing w:val="-17"/>
          <w:sz w:val="24"/>
        </w:rPr>
        <w:t> </w:t>
      </w:r>
      <w:r>
        <w:rPr>
          <w:sz w:val="24"/>
        </w:rPr>
        <w:t>this</w:t>
      </w:r>
      <w:r>
        <w:rPr>
          <w:spacing w:val="-18"/>
          <w:sz w:val="24"/>
        </w:rPr>
        <w:t> </w:t>
      </w:r>
      <w:r>
        <w:rPr>
          <w:sz w:val="24"/>
        </w:rPr>
        <w:t>regulation.</w:t>
      </w:r>
      <w:r>
        <w:rPr>
          <w:spacing w:val="-19"/>
          <w:sz w:val="24"/>
        </w:rPr>
        <w:t> </w:t>
      </w:r>
      <w:r>
        <w:rPr>
          <w:sz w:val="24"/>
        </w:rPr>
        <w:t>This</w:t>
      </w:r>
      <w:r>
        <w:rPr>
          <w:spacing w:val="-18"/>
          <w:sz w:val="24"/>
        </w:rPr>
        <w:t> </w:t>
      </w:r>
      <w:r>
        <w:rPr>
          <w:sz w:val="24"/>
        </w:rPr>
        <w:t>FSI</w:t>
      </w:r>
      <w:r>
        <w:rPr>
          <w:spacing w:val="-18"/>
          <w:sz w:val="24"/>
        </w:rPr>
        <w:t> </w:t>
      </w:r>
      <w:r>
        <w:rPr>
          <w:sz w:val="24"/>
        </w:rPr>
        <w:t>credit</w:t>
      </w:r>
      <w:r>
        <w:rPr>
          <w:spacing w:val="-19"/>
          <w:sz w:val="24"/>
        </w:rPr>
        <w:t> </w:t>
      </w:r>
      <w:r>
        <w:rPr>
          <w:sz w:val="24"/>
        </w:rPr>
        <w:t>shall</w:t>
      </w:r>
      <w:r>
        <w:rPr>
          <w:spacing w:val="-20"/>
          <w:sz w:val="24"/>
        </w:rPr>
        <w:t> </w:t>
      </w:r>
      <w:r>
        <w:rPr>
          <w:sz w:val="24"/>
        </w:rPr>
        <w:t>be</w:t>
      </w:r>
      <w:r>
        <w:rPr>
          <w:spacing w:val="-19"/>
          <w:sz w:val="24"/>
        </w:rPr>
        <w:t> </w:t>
      </w:r>
      <w:r>
        <w:rPr>
          <w:sz w:val="24"/>
        </w:rPr>
        <w:t>issued in a certificate which shall be called as </w:t>
      </w:r>
      <w:r>
        <w:rPr>
          <w:i/>
          <w:sz w:val="24"/>
        </w:rPr>
        <w:t>Development Right Certificate (DRC).</w:t>
      </w:r>
    </w:p>
    <w:p>
      <w:pPr>
        <w:pStyle w:val="BodyText"/>
        <w:spacing w:before="281"/>
        <w:ind w:left="772" w:right="769"/>
      </w:pPr>
      <w:r>
        <w:rPr/>
        <w:t>Development Rights Certificate (DRC) shall be issued by Municipal Commissioner under</w:t>
      </w:r>
      <w:r>
        <w:rPr>
          <w:spacing w:val="-15"/>
        </w:rPr>
        <w:t> </w:t>
      </w:r>
      <w:r>
        <w:rPr/>
        <w:t>his</w:t>
      </w:r>
      <w:r>
        <w:rPr>
          <w:spacing w:val="-15"/>
        </w:rPr>
        <w:t> </w:t>
      </w:r>
      <w:r>
        <w:rPr/>
        <w:t>signature</w:t>
      </w:r>
      <w:r>
        <w:rPr>
          <w:spacing w:val="-13"/>
        </w:rPr>
        <w:t> </w:t>
      </w:r>
      <w:r>
        <w:rPr/>
        <w:t>and</w:t>
      </w:r>
      <w:r>
        <w:rPr>
          <w:spacing w:val="-15"/>
        </w:rPr>
        <w:t> </w:t>
      </w:r>
      <w:r>
        <w:rPr/>
        <w:t>endorse</w:t>
      </w:r>
      <w:r>
        <w:rPr>
          <w:spacing w:val="-15"/>
        </w:rPr>
        <w:t> </w:t>
      </w:r>
      <w:r>
        <w:rPr/>
        <w:t>thereon</w:t>
      </w:r>
      <w:r>
        <w:rPr>
          <w:spacing w:val="-15"/>
        </w:rPr>
        <w:t> </w:t>
      </w:r>
      <w:r>
        <w:rPr/>
        <w:t>in</w:t>
      </w:r>
      <w:r>
        <w:rPr>
          <w:spacing w:val="-15"/>
        </w:rPr>
        <w:t> </w:t>
      </w:r>
      <w:r>
        <w:rPr/>
        <w:t>writing</w:t>
      </w:r>
      <w:r>
        <w:rPr>
          <w:spacing w:val="-15"/>
        </w:rPr>
        <w:t> </w:t>
      </w:r>
      <w:r>
        <w:rPr/>
        <w:t>in</w:t>
      </w:r>
      <w:r>
        <w:rPr>
          <w:spacing w:val="-15"/>
        </w:rPr>
        <w:t> </w:t>
      </w:r>
      <w:r>
        <w:rPr/>
        <w:t>figures</w:t>
      </w:r>
      <w:r>
        <w:rPr>
          <w:spacing w:val="-13"/>
        </w:rPr>
        <w:t> </w:t>
      </w:r>
      <w:r>
        <w:rPr/>
        <w:t>and</w:t>
      </w:r>
      <w:r>
        <w:rPr>
          <w:spacing w:val="-15"/>
        </w:rPr>
        <w:t> </w:t>
      </w:r>
      <w:r>
        <w:rPr/>
        <w:t>in</w:t>
      </w:r>
      <w:r>
        <w:rPr>
          <w:spacing w:val="-15"/>
        </w:rPr>
        <w:t> </w:t>
      </w:r>
      <w:r>
        <w:rPr/>
        <w:t>words,</w:t>
      </w:r>
      <w:r>
        <w:rPr>
          <w:spacing w:val="-15"/>
        </w:rPr>
        <w:t> </w:t>
      </w:r>
      <w:r>
        <w:rPr/>
        <w:t>the</w:t>
      </w:r>
      <w:r>
        <w:rPr>
          <w:spacing w:val="-15"/>
        </w:rPr>
        <w:t> </w:t>
      </w:r>
      <w:r>
        <w:rPr/>
        <w:t>FSI credit</w:t>
      </w:r>
      <w:r>
        <w:rPr>
          <w:spacing w:val="-13"/>
        </w:rPr>
        <w:t> </w:t>
      </w:r>
      <w:r>
        <w:rPr/>
        <w:t>in</w:t>
      </w:r>
      <w:r>
        <w:rPr>
          <w:spacing w:val="-13"/>
        </w:rPr>
        <w:t> </w:t>
      </w:r>
      <w:r>
        <w:rPr/>
        <w:t>square</w:t>
      </w:r>
      <w:r>
        <w:rPr>
          <w:spacing w:val="-13"/>
        </w:rPr>
        <w:t> </w:t>
      </w:r>
      <w:r>
        <w:rPr/>
        <w:t>meters</w:t>
      </w:r>
      <w:r>
        <w:rPr>
          <w:spacing w:val="-13"/>
        </w:rPr>
        <w:t> </w:t>
      </w:r>
      <w:r>
        <w:rPr/>
        <w:t>of</w:t>
      </w:r>
      <w:r>
        <w:rPr>
          <w:spacing w:val="-13"/>
        </w:rPr>
        <w:t> </w:t>
      </w:r>
      <w:r>
        <w:rPr/>
        <w:t>the</w:t>
      </w:r>
      <w:r>
        <w:rPr>
          <w:spacing w:val="-13"/>
        </w:rPr>
        <w:t> </w:t>
      </w:r>
      <w:r>
        <w:rPr/>
        <w:t>built-up</w:t>
      </w:r>
      <w:r>
        <w:rPr>
          <w:spacing w:val="-13"/>
        </w:rPr>
        <w:t> </w:t>
      </w:r>
      <w:r>
        <w:rPr/>
        <w:t>area</w:t>
      </w:r>
      <w:r>
        <w:rPr>
          <w:spacing w:val="-13"/>
        </w:rPr>
        <w:t> </w:t>
      </w:r>
      <w:r>
        <w:rPr/>
        <w:t>to</w:t>
      </w:r>
      <w:r>
        <w:rPr>
          <w:spacing w:val="-13"/>
        </w:rPr>
        <w:t> </w:t>
      </w:r>
      <w:r>
        <w:rPr/>
        <w:t>which</w:t>
      </w:r>
      <w:r>
        <w:rPr>
          <w:spacing w:val="-12"/>
        </w:rPr>
        <w:t> </w:t>
      </w:r>
      <w:r>
        <w:rPr/>
        <w:t>the</w:t>
      </w:r>
      <w:r>
        <w:rPr>
          <w:spacing w:val="-13"/>
        </w:rPr>
        <w:t> </w:t>
      </w:r>
      <w:r>
        <w:rPr/>
        <w:t>owner</w:t>
      </w:r>
      <w:r>
        <w:rPr>
          <w:spacing w:val="-13"/>
        </w:rPr>
        <w:t> </w:t>
      </w:r>
      <w:r>
        <w:rPr/>
        <w:t>or</w:t>
      </w:r>
      <w:r>
        <w:rPr>
          <w:spacing w:val="-13"/>
        </w:rPr>
        <w:t> </w:t>
      </w:r>
      <w:r>
        <w:rPr/>
        <w:t>lessee</w:t>
      </w:r>
      <w:r>
        <w:rPr>
          <w:spacing w:val="-13"/>
        </w:rPr>
        <w:t> </w:t>
      </w:r>
      <w:r>
        <w:rPr/>
        <w:t>is</w:t>
      </w:r>
      <w:r>
        <w:rPr>
          <w:spacing w:val="-13"/>
        </w:rPr>
        <w:t> </w:t>
      </w:r>
      <w:r>
        <w:rPr/>
        <w:t>entitled, the place from where it is generated and the rate of that plot as prescribed in the Annual Statement of Rates issued by the Registration Department for the concerned year.</w:t>
      </w:r>
    </w:p>
    <w:p>
      <w:pPr>
        <w:pStyle w:val="BodyText"/>
        <w:spacing w:before="1"/>
        <w:jc w:val="left"/>
      </w:pPr>
    </w:p>
    <w:p>
      <w:pPr>
        <w:pStyle w:val="Heading4"/>
        <w:numPr>
          <w:ilvl w:val="0"/>
          <w:numId w:val="113"/>
        </w:numPr>
        <w:tabs>
          <w:tab w:pos="1175" w:val="left" w:leader="none"/>
        </w:tabs>
        <w:spacing w:line="240" w:lineRule="auto" w:before="0" w:after="0"/>
        <w:ind w:left="1175" w:right="0" w:hanging="403"/>
        <w:jc w:val="both"/>
      </w:pPr>
      <w:r>
        <w:rPr/>
        <w:t>CASES</w:t>
      </w:r>
      <w:r>
        <w:rPr>
          <w:spacing w:val="-6"/>
        </w:rPr>
        <w:t> </w:t>
      </w:r>
      <w:r>
        <w:rPr/>
        <w:t>ELIGIBLE</w:t>
      </w:r>
      <w:r>
        <w:rPr>
          <w:spacing w:val="-5"/>
        </w:rPr>
        <w:t> </w:t>
      </w:r>
      <w:r>
        <w:rPr/>
        <w:t>FOR</w:t>
      </w:r>
      <w:r>
        <w:rPr>
          <w:spacing w:val="-5"/>
        </w:rPr>
        <w:t> </w:t>
      </w:r>
      <w:r>
        <w:rPr/>
        <w:t>TRANSFERABLE</w:t>
      </w:r>
      <w:r>
        <w:rPr>
          <w:spacing w:val="-5"/>
        </w:rPr>
        <w:t> </w:t>
      </w:r>
      <w:r>
        <w:rPr/>
        <w:t>DEVELOPMENT</w:t>
      </w:r>
      <w:r>
        <w:rPr>
          <w:spacing w:val="-5"/>
        </w:rPr>
        <w:t> </w:t>
      </w:r>
      <w:r>
        <w:rPr/>
        <w:t>RIGHTS</w:t>
      </w:r>
      <w:r>
        <w:rPr>
          <w:spacing w:val="-4"/>
        </w:rPr>
        <w:t> </w:t>
      </w:r>
      <w:r>
        <w:rPr>
          <w:spacing w:val="-2"/>
        </w:rPr>
        <w:t>(TDR):-</w:t>
      </w:r>
    </w:p>
    <w:p>
      <w:pPr>
        <w:pStyle w:val="BodyText"/>
        <w:spacing w:before="1"/>
        <w:jc w:val="left"/>
        <w:rPr>
          <w:b/>
        </w:rPr>
      </w:pPr>
    </w:p>
    <w:p>
      <w:pPr>
        <w:spacing w:before="0"/>
        <w:ind w:left="772" w:right="771" w:firstLine="0"/>
        <w:jc w:val="both"/>
        <w:rPr>
          <w:sz w:val="24"/>
        </w:rPr>
      </w:pPr>
      <w:r>
        <w:rPr>
          <w:sz w:val="24"/>
        </w:rPr>
        <w:t>Compensation in terms of </w:t>
      </w:r>
      <w:r>
        <w:rPr>
          <w:i/>
          <w:sz w:val="24"/>
        </w:rPr>
        <w:t>Transferable Development Rights (TDR) </w:t>
      </w:r>
      <w:r>
        <w:rPr>
          <w:sz w:val="24"/>
        </w:rPr>
        <w:t>shall be permissible for-</w:t>
      </w:r>
    </w:p>
    <w:p>
      <w:pPr>
        <w:pStyle w:val="ListParagraph"/>
        <w:numPr>
          <w:ilvl w:val="1"/>
          <w:numId w:val="113"/>
        </w:numPr>
        <w:tabs>
          <w:tab w:pos="994" w:val="left" w:leader="none"/>
        </w:tabs>
        <w:spacing w:line="240" w:lineRule="auto" w:before="281" w:after="0"/>
        <w:ind w:left="772" w:right="772" w:firstLine="0"/>
        <w:jc w:val="both"/>
        <w:rPr>
          <w:sz w:val="24"/>
        </w:rPr>
      </w:pPr>
      <w:r>
        <w:rPr>
          <w:sz w:val="24"/>
        </w:rPr>
        <w:t>lands</w:t>
      </w:r>
      <w:r>
        <w:rPr>
          <w:spacing w:val="-1"/>
          <w:sz w:val="24"/>
        </w:rPr>
        <w:t> </w:t>
      </w:r>
      <w:r>
        <w:rPr>
          <w:sz w:val="24"/>
        </w:rPr>
        <w:t>under</w:t>
      </w:r>
      <w:r>
        <w:rPr>
          <w:spacing w:val="-1"/>
          <w:sz w:val="24"/>
        </w:rPr>
        <w:t> </w:t>
      </w:r>
      <w:r>
        <w:rPr>
          <w:sz w:val="24"/>
        </w:rPr>
        <w:t>various</w:t>
      </w:r>
      <w:r>
        <w:rPr>
          <w:spacing w:val="-1"/>
          <w:sz w:val="24"/>
        </w:rPr>
        <w:t> </w:t>
      </w:r>
      <w:r>
        <w:rPr>
          <w:sz w:val="24"/>
        </w:rPr>
        <w:t>reservations</w:t>
      </w:r>
      <w:r>
        <w:rPr>
          <w:spacing w:val="-1"/>
          <w:sz w:val="24"/>
        </w:rPr>
        <w:t> </w:t>
      </w:r>
      <w:r>
        <w:rPr>
          <w:sz w:val="24"/>
        </w:rPr>
        <w:t>for</w:t>
      </w:r>
      <w:r>
        <w:rPr>
          <w:spacing w:val="-1"/>
          <w:sz w:val="24"/>
        </w:rPr>
        <w:t> </w:t>
      </w:r>
      <w:r>
        <w:rPr>
          <w:sz w:val="24"/>
        </w:rPr>
        <w:t>public</w:t>
      </w:r>
      <w:r>
        <w:rPr>
          <w:spacing w:val="-1"/>
          <w:sz w:val="24"/>
        </w:rPr>
        <w:t> </w:t>
      </w:r>
      <w:r>
        <w:rPr>
          <w:sz w:val="24"/>
        </w:rPr>
        <w:t>purposes,</w:t>
      </w:r>
      <w:r>
        <w:rPr>
          <w:spacing w:val="-1"/>
          <w:sz w:val="24"/>
        </w:rPr>
        <w:t> </w:t>
      </w:r>
      <w:r>
        <w:rPr>
          <w:sz w:val="24"/>
        </w:rPr>
        <w:t>new roads,</w:t>
      </w:r>
      <w:r>
        <w:rPr>
          <w:spacing w:val="-1"/>
          <w:sz w:val="24"/>
        </w:rPr>
        <w:t> </w:t>
      </w:r>
      <w:r>
        <w:rPr>
          <w:sz w:val="24"/>
        </w:rPr>
        <w:t>road</w:t>
      </w:r>
      <w:r>
        <w:rPr>
          <w:spacing w:val="-1"/>
          <w:sz w:val="24"/>
        </w:rPr>
        <w:t> </w:t>
      </w:r>
      <w:r>
        <w:rPr>
          <w:sz w:val="24"/>
        </w:rPr>
        <w:t>widening etc. which are subjected to acquisition, proposed in Draft or Final Development Plan, prepared under the provisions of the Maharashtra Regional and Town Planning Act,1966;</w:t>
      </w:r>
    </w:p>
    <w:p>
      <w:pPr>
        <w:pStyle w:val="BodyText"/>
        <w:jc w:val="left"/>
      </w:pPr>
    </w:p>
    <w:p>
      <w:pPr>
        <w:pStyle w:val="ListParagraph"/>
        <w:numPr>
          <w:ilvl w:val="1"/>
          <w:numId w:val="113"/>
        </w:numPr>
        <w:tabs>
          <w:tab w:pos="1068" w:val="left" w:leader="none"/>
        </w:tabs>
        <w:spacing w:line="240" w:lineRule="auto" w:before="1" w:after="0"/>
        <w:ind w:left="772" w:right="774" w:firstLine="0"/>
        <w:jc w:val="both"/>
        <w:rPr>
          <w:sz w:val="24"/>
        </w:rPr>
      </w:pPr>
      <w:r>
        <w:rPr>
          <w:sz w:val="24"/>
        </w:rPr>
        <w:t>lands under any deemed reservations according to any regulations prepared as per the provisions of Maharashtra Regional &amp; Town Planning Act, 1966;</w:t>
      </w:r>
    </w:p>
    <w:p>
      <w:pPr>
        <w:pStyle w:val="ListParagraph"/>
        <w:numPr>
          <w:ilvl w:val="1"/>
          <w:numId w:val="113"/>
        </w:numPr>
        <w:tabs>
          <w:tab w:pos="1152" w:val="left" w:leader="none"/>
        </w:tabs>
        <w:spacing w:line="240" w:lineRule="auto" w:before="281" w:after="0"/>
        <w:ind w:left="772" w:right="773" w:firstLine="0"/>
        <w:jc w:val="both"/>
        <w:rPr>
          <w:sz w:val="24"/>
        </w:rPr>
      </w:pPr>
      <w:r>
        <w:rPr>
          <w:sz w:val="24"/>
        </w:rPr>
        <w:t>lands under any new road or road widening proposed under the provisions of Mumbai Municipal Corporation Act, 1888;</w:t>
      </w:r>
    </w:p>
    <w:p>
      <w:pPr>
        <w:pStyle w:val="ListParagraph"/>
        <w:numPr>
          <w:ilvl w:val="1"/>
          <w:numId w:val="113"/>
        </w:numPr>
        <w:tabs>
          <w:tab w:pos="1117" w:val="left" w:leader="none"/>
        </w:tabs>
        <w:spacing w:line="240" w:lineRule="auto" w:before="281" w:after="0"/>
        <w:ind w:left="1117" w:right="0" w:hanging="345"/>
        <w:jc w:val="both"/>
        <w:rPr>
          <w:sz w:val="24"/>
        </w:rPr>
      </w:pPr>
      <w:r>
        <w:rPr>
          <w:sz w:val="24"/>
        </w:rPr>
        <w:t>development</w:t>
      </w:r>
      <w:r>
        <w:rPr>
          <w:spacing w:val="-3"/>
          <w:sz w:val="24"/>
        </w:rPr>
        <w:t> </w:t>
      </w:r>
      <w:r>
        <w:rPr>
          <w:sz w:val="24"/>
        </w:rPr>
        <w:t>or</w:t>
      </w:r>
      <w:r>
        <w:rPr>
          <w:spacing w:val="-2"/>
          <w:sz w:val="24"/>
        </w:rPr>
        <w:t> </w:t>
      </w:r>
      <w:r>
        <w:rPr>
          <w:sz w:val="24"/>
        </w:rPr>
        <w:t>construction</w:t>
      </w:r>
      <w:r>
        <w:rPr>
          <w:spacing w:val="-2"/>
          <w:sz w:val="24"/>
        </w:rPr>
        <w:t> </w:t>
      </w:r>
      <w:r>
        <w:rPr>
          <w:sz w:val="24"/>
        </w:rPr>
        <w:t>of</w:t>
      </w:r>
      <w:r>
        <w:rPr>
          <w:spacing w:val="-2"/>
          <w:sz w:val="24"/>
        </w:rPr>
        <w:t> </w:t>
      </w:r>
      <w:r>
        <w:rPr>
          <w:sz w:val="24"/>
        </w:rPr>
        <w:t>the</w:t>
      </w:r>
      <w:r>
        <w:rPr>
          <w:spacing w:val="-2"/>
          <w:sz w:val="24"/>
        </w:rPr>
        <w:t> </w:t>
      </w:r>
      <w:r>
        <w:rPr>
          <w:sz w:val="24"/>
        </w:rPr>
        <w:t>amenity</w:t>
      </w:r>
      <w:r>
        <w:rPr>
          <w:spacing w:val="-2"/>
          <w:sz w:val="24"/>
        </w:rPr>
        <w:t> </w:t>
      </w:r>
      <w:r>
        <w:rPr>
          <w:sz w:val="24"/>
        </w:rPr>
        <w:t>on</w:t>
      </w:r>
      <w:r>
        <w:rPr>
          <w:spacing w:val="-2"/>
          <w:sz w:val="24"/>
        </w:rPr>
        <w:t> </w:t>
      </w:r>
      <w:r>
        <w:rPr>
          <w:sz w:val="24"/>
        </w:rPr>
        <w:t>the</w:t>
      </w:r>
      <w:r>
        <w:rPr>
          <w:spacing w:val="-2"/>
          <w:sz w:val="24"/>
        </w:rPr>
        <w:t> </w:t>
      </w:r>
      <w:r>
        <w:rPr>
          <w:sz w:val="24"/>
        </w:rPr>
        <w:t>reserved</w:t>
      </w:r>
      <w:r>
        <w:rPr>
          <w:spacing w:val="-2"/>
          <w:sz w:val="24"/>
        </w:rPr>
        <w:t> land;</w:t>
      </w:r>
    </w:p>
    <w:p>
      <w:pPr>
        <w:pStyle w:val="ListParagraph"/>
        <w:spacing w:after="0" w:line="240" w:lineRule="auto"/>
        <w:jc w:val="both"/>
        <w:rPr>
          <w:sz w:val="24"/>
        </w:rPr>
        <w:sectPr>
          <w:pgSz w:w="11910" w:h="16840"/>
          <w:pgMar w:header="1065" w:footer="1237" w:top="1500" w:bottom="1420" w:left="360" w:right="360"/>
        </w:sectPr>
      </w:pPr>
    </w:p>
    <w:p>
      <w:pPr>
        <w:pStyle w:val="ListParagraph"/>
        <w:numPr>
          <w:ilvl w:val="1"/>
          <w:numId w:val="113"/>
        </w:numPr>
        <w:tabs>
          <w:tab w:pos="1119" w:val="left" w:leader="none"/>
        </w:tabs>
        <w:spacing w:line="240" w:lineRule="auto" w:before="249" w:after="0"/>
        <w:ind w:left="772" w:right="769" w:firstLine="0"/>
        <w:jc w:val="both"/>
        <w:rPr>
          <w:sz w:val="24"/>
        </w:rPr>
      </w:pPr>
      <w:r>
        <w:rPr>
          <w:sz w:val="24"/>
        </w:rPr>
        <w:t>unutilized FSI of any structure or precinct which is declared as Heritage structure</w:t>
      </w:r>
      <w:r>
        <w:rPr>
          <w:spacing w:val="-14"/>
          <w:sz w:val="24"/>
        </w:rPr>
        <w:t> </w:t>
      </w:r>
      <w:r>
        <w:rPr>
          <w:sz w:val="24"/>
        </w:rPr>
        <w:t>or</w:t>
      </w:r>
      <w:r>
        <w:rPr>
          <w:spacing w:val="-14"/>
          <w:sz w:val="24"/>
        </w:rPr>
        <w:t> </w:t>
      </w:r>
      <w:r>
        <w:rPr>
          <w:sz w:val="24"/>
        </w:rPr>
        <w:t>Precinct</w:t>
      </w:r>
      <w:r>
        <w:rPr>
          <w:spacing w:val="-15"/>
          <w:sz w:val="24"/>
        </w:rPr>
        <w:t> </w:t>
      </w:r>
      <w:r>
        <w:rPr>
          <w:sz w:val="24"/>
        </w:rPr>
        <w:t>under</w:t>
      </w:r>
      <w:r>
        <w:rPr>
          <w:spacing w:val="-14"/>
          <w:sz w:val="24"/>
        </w:rPr>
        <w:t> </w:t>
      </w:r>
      <w:r>
        <w:rPr>
          <w:sz w:val="24"/>
        </w:rPr>
        <w:t>the</w:t>
      </w:r>
      <w:r>
        <w:rPr>
          <w:spacing w:val="-14"/>
          <w:sz w:val="24"/>
        </w:rPr>
        <w:t> </w:t>
      </w:r>
      <w:r>
        <w:rPr>
          <w:sz w:val="24"/>
        </w:rPr>
        <w:t>provisions</w:t>
      </w:r>
      <w:r>
        <w:rPr>
          <w:spacing w:val="-14"/>
          <w:sz w:val="24"/>
        </w:rPr>
        <w:t> </w:t>
      </w:r>
      <w:r>
        <w:rPr>
          <w:sz w:val="24"/>
        </w:rPr>
        <w:t>of</w:t>
      </w:r>
      <w:r>
        <w:rPr>
          <w:spacing w:val="40"/>
          <w:sz w:val="24"/>
        </w:rPr>
        <w:t> </w:t>
      </w:r>
      <w:r>
        <w:rPr>
          <w:sz w:val="24"/>
        </w:rPr>
        <w:t>these</w:t>
      </w:r>
      <w:r>
        <w:rPr>
          <w:spacing w:val="-15"/>
          <w:sz w:val="24"/>
        </w:rPr>
        <w:t> </w:t>
      </w:r>
      <w:r>
        <w:rPr>
          <w:sz w:val="24"/>
        </w:rPr>
        <w:t>Regulations,</w:t>
      </w:r>
      <w:r>
        <w:rPr>
          <w:spacing w:val="-14"/>
          <w:sz w:val="24"/>
        </w:rPr>
        <w:t> </w:t>
      </w:r>
      <w:r>
        <w:rPr>
          <w:sz w:val="24"/>
        </w:rPr>
        <w:t>due</w:t>
      </w:r>
      <w:r>
        <w:rPr>
          <w:spacing w:val="-14"/>
          <w:sz w:val="24"/>
        </w:rPr>
        <w:t> </w:t>
      </w:r>
      <w:r>
        <w:rPr>
          <w:sz w:val="24"/>
        </w:rPr>
        <w:t>to</w:t>
      </w:r>
      <w:r>
        <w:rPr>
          <w:spacing w:val="-14"/>
          <w:sz w:val="24"/>
        </w:rPr>
        <w:t> </w:t>
      </w:r>
      <w:r>
        <w:rPr>
          <w:sz w:val="24"/>
        </w:rPr>
        <w:t>restrictions imposed in that regulation;</w:t>
      </w:r>
    </w:p>
    <w:p>
      <w:pPr>
        <w:pStyle w:val="BodyText"/>
        <w:spacing w:before="1"/>
        <w:jc w:val="left"/>
      </w:pPr>
    </w:p>
    <w:p>
      <w:pPr>
        <w:pStyle w:val="ListParagraph"/>
        <w:numPr>
          <w:ilvl w:val="1"/>
          <w:numId w:val="113"/>
        </w:numPr>
        <w:tabs>
          <w:tab w:pos="1184" w:val="left" w:leader="none"/>
        </w:tabs>
        <w:spacing w:line="240" w:lineRule="auto" w:before="0" w:after="0"/>
        <w:ind w:left="772" w:right="771" w:firstLine="0"/>
        <w:jc w:val="both"/>
        <w:rPr>
          <w:sz w:val="24"/>
        </w:rPr>
      </w:pPr>
      <w:r>
        <w:rPr>
          <w:sz w:val="24"/>
        </w:rPr>
        <w:t>in lieu of constructing housing for slum-dwellers according to regulations prepared under the Maharashtra Regional &amp; Town Planning Act, 1966;</w:t>
      </w:r>
    </w:p>
    <w:p>
      <w:pPr>
        <w:pStyle w:val="BodyText"/>
        <w:jc w:val="left"/>
      </w:pPr>
    </w:p>
    <w:p>
      <w:pPr>
        <w:pStyle w:val="ListParagraph"/>
        <w:numPr>
          <w:ilvl w:val="1"/>
          <w:numId w:val="113"/>
        </w:numPr>
        <w:tabs>
          <w:tab w:pos="1187" w:val="left" w:leader="none"/>
        </w:tabs>
        <w:spacing w:line="240" w:lineRule="auto" w:before="0" w:after="0"/>
        <w:ind w:left="772" w:right="770" w:firstLine="0"/>
        <w:jc w:val="both"/>
        <w:rPr>
          <w:sz w:val="24"/>
        </w:rPr>
      </w:pPr>
      <w:r>
        <w:rPr>
          <w:sz w:val="24"/>
        </w:rPr>
        <w:t>The</w:t>
      </w:r>
      <w:r>
        <w:rPr>
          <w:spacing w:val="40"/>
          <w:sz w:val="24"/>
        </w:rPr>
        <w:t> </w:t>
      </w:r>
      <w:r>
        <w:rPr>
          <w:sz w:val="24"/>
        </w:rPr>
        <w:t>purposes</w:t>
      </w:r>
      <w:r>
        <w:rPr>
          <w:spacing w:val="-6"/>
          <w:sz w:val="24"/>
        </w:rPr>
        <w:t> </w:t>
      </w:r>
      <w:r>
        <w:rPr>
          <w:sz w:val="24"/>
        </w:rPr>
        <w:t>as</w:t>
      </w:r>
      <w:r>
        <w:rPr>
          <w:spacing w:val="-6"/>
          <w:sz w:val="24"/>
        </w:rPr>
        <w:t> </w:t>
      </w:r>
      <w:r>
        <w:rPr>
          <w:sz w:val="24"/>
        </w:rPr>
        <w:t>may</w:t>
      </w:r>
      <w:r>
        <w:rPr>
          <w:spacing w:val="-6"/>
          <w:sz w:val="24"/>
        </w:rPr>
        <w:t> </w:t>
      </w:r>
      <w:r>
        <w:rPr>
          <w:sz w:val="24"/>
        </w:rPr>
        <w:t>be</w:t>
      </w:r>
      <w:r>
        <w:rPr>
          <w:spacing w:val="-6"/>
          <w:sz w:val="24"/>
        </w:rPr>
        <w:t> </w:t>
      </w:r>
      <w:r>
        <w:rPr>
          <w:sz w:val="24"/>
        </w:rPr>
        <w:t>notified</w:t>
      </w:r>
      <w:r>
        <w:rPr>
          <w:spacing w:val="-6"/>
          <w:sz w:val="24"/>
        </w:rPr>
        <w:t> </w:t>
      </w:r>
      <w:r>
        <w:rPr>
          <w:sz w:val="24"/>
        </w:rPr>
        <w:t>by</w:t>
      </w:r>
      <w:r>
        <w:rPr>
          <w:spacing w:val="-6"/>
          <w:sz w:val="24"/>
        </w:rPr>
        <w:t> </w:t>
      </w:r>
      <w:r>
        <w:rPr>
          <w:sz w:val="24"/>
        </w:rPr>
        <w:t>the</w:t>
      </w:r>
      <w:r>
        <w:rPr>
          <w:spacing w:val="-6"/>
          <w:sz w:val="24"/>
        </w:rPr>
        <w:t> </w:t>
      </w:r>
      <w:r>
        <w:rPr>
          <w:sz w:val="24"/>
        </w:rPr>
        <w:t>Government</w:t>
      </w:r>
      <w:r>
        <w:rPr>
          <w:spacing w:val="-6"/>
          <w:sz w:val="24"/>
        </w:rPr>
        <w:t> </w:t>
      </w:r>
      <w:r>
        <w:rPr>
          <w:sz w:val="24"/>
        </w:rPr>
        <w:t>from</w:t>
      </w:r>
      <w:r>
        <w:rPr>
          <w:spacing w:val="-6"/>
          <w:sz w:val="24"/>
        </w:rPr>
        <w:t> </w:t>
      </w:r>
      <w:r>
        <w:rPr>
          <w:sz w:val="24"/>
        </w:rPr>
        <w:t>time</w:t>
      </w:r>
      <w:r>
        <w:rPr>
          <w:spacing w:val="-6"/>
          <w:sz w:val="24"/>
        </w:rPr>
        <w:t> </w:t>
      </w:r>
      <w:r>
        <w:rPr>
          <w:sz w:val="24"/>
        </w:rPr>
        <w:t>to</w:t>
      </w:r>
      <w:r>
        <w:rPr>
          <w:spacing w:val="-6"/>
          <w:sz w:val="24"/>
        </w:rPr>
        <w:t> </w:t>
      </w:r>
      <w:r>
        <w:rPr>
          <w:sz w:val="24"/>
        </w:rPr>
        <w:t>time,</w:t>
      </w:r>
      <w:r>
        <w:rPr>
          <w:spacing w:val="-6"/>
          <w:sz w:val="24"/>
        </w:rPr>
        <w:t> </w:t>
      </w:r>
      <w:r>
        <w:rPr>
          <w:sz w:val="24"/>
        </w:rPr>
        <w:t>by</w:t>
      </w:r>
      <w:r>
        <w:rPr>
          <w:spacing w:val="-6"/>
          <w:sz w:val="24"/>
        </w:rPr>
        <w:t> </w:t>
      </w:r>
      <w:r>
        <w:rPr>
          <w:sz w:val="24"/>
        </w:rPr>
        <w:t>way of, modification to, new addition of, any of the provisions of sanctioned Development Control</w:t>
      </w:r>
      <w:r>
        <w:rPr>
          <w:spacing w:val="40"/>
          <w:sz w:val="24"/>
        </w:rPr>
        <w:t> </w:t>
      </w:r>
      <w:r>
        <w:rPr>
          <w:sz w:val="24"/>
        </w:rPr>
        <w:t>&amp; Promotion Regulations.</w:t>
      </w:r>
    </w:p>
    <w:p>
      <w:pPr>
        <w:pStyle w:val="BodyText"/>
        <w:spacing w:before="1"/>
        <w:jc w:val="left"/>
      </w:pPr>
    </w:p>
    <w:p>
      <w:pPr>
        <w:pStyle w:val="ListParagraph"/>
        <w:numPr>
          <w:ilvl w:val="1"/>
          <w:numId w:val="113"/>
        </w:numPr>
        <w:tabs>
          <w:tab w:pos="1259" w:val="left" w:leader="none"/>
        </w:tabs>
        <w:spacing w:line="240" w:lineRule="auto" w:before="0" w:after="0"/>
        <w:ind w:left="772" w:right="768" w:firstLine="0"/>
        <w:jc w:val="both"/>
        <w:rPr>
          <w:sz w:val="24"/>
        </w:rPr>
      </w:pPr>
      <w:r>
        <w:rPr>
          <w:sz w:val="24"/>
        </w:rPr>
        <w:t>If</w:t>
      </w:r>
      <w:r>
        <w:rPr>
          <w:spacing w:val="-4"/>
          <w:sz w:val="24"/>
        </w:rPr>
        <w:t> </w:t>
      </w:r>
      <w:r>
        <w:rPr>
          <w:sz w:val="24"/>
        </w:rPr>
        <w:t>the</w:t>
      </w:r>
      <w:r>
        <w:rPr>
          <w:spacing w:val="-4"/>
          <w:sz w:val="24"/>
        </w:rPr>
        <w:t> </w:t>
      </w:r>
      <w:r>
        <w:rPr>
          <w:sz w:val="24"/>
        </w:rPr>
        <w:t>owner</w:t>
      </w:r>
      <w:r>
        <w:rPr>
          <w:spacing w:val="-4"/>
          <w:sz w:val="24"/>
        </w:rPr>
        <w:t> </w:t>
      </w:r>
      <w:r>
        <w:rPr>
          <w:sz w:val="24"/>
        </w:rPr>
        <w:t>of</w:t>
      </w:r>
      <w:r>
        <w:rPr>
          <w:spacing w:val="-4"/>
          <w:sz w:val="24"/>
        </w:rPr>
        <w:t> </w:t>
      </w:r>
      <w:r>
        <w:rPr>
          <w:sz w:val="24"/>
        </w:rPr>
        <w:t>unreserved</w:t>
      </w:r>
      <w:r>
        <w:rPr>
          <w:spacing w:val="-3"/>
          <w:sz w:val="24"/>
        </w:rPr>
        <w:t> </w:t>
      </w:r>
      <w:r>
        <w:rPr>
          <w:sz w:val="24"/>
        </w:rPr>
        <w:t>accessible</w:t>
      </w:r>
      <w:r>
        <w:rPr>
          <w:spacing w:val="-2"/>
          <w:sz w:val="24"/>
        </w:rPr>
        <w:t> </w:t>
      </w:r>
      <w:r>
        <w:rPr>
          <w:sz w:val="24"/>
        </w:rPr>
        <w:t>plot</w:t>
      </w:r>
      <w:r>
        <w:rPr>
          <w:spacing w:val="-4"/>
          <w:sz w:val="24"/>
        </w:rPr>
        <w:t> </w:t>
      </w:r>
      <w:r>
        <w:rPr>
          <w:sz w:val="24"/>
        </w:rPr>
        <w:t>not</w:t>
      </w:r>
      <w:r>
        <w:rPr>
          <w:spacing w:val="-4"/>
          <w:sz w:val="24"/>
        </w:rPr>
        <w:t> </w:t>
      </w:r>
      <w:r>
        <w:rPr>
          <w:sz w:val="24"/>
        </w:rPr>
        <w:t>falling</w:t>
      </w:r>
      <w:r>
        <w:rPr>
          <w:spacing w:val="-2"/>
          <w:sz w:val="24"/>
        </w:rPr>
        <w:t> </w:t>
      </w:r>
      <w:r>
        <w:rPr>
          <w:sz w:val="24"/>
        </w:rPr>
        <w:t>in</w:t>
      </w:r>
      <w:r>
        <w:rPr>
          <w:spacing w:val="-4"/>
          <w:sz w:val="24"/>
        </w:rPr>
        <w:t> </w:t>
      </w:r>
      <w:r>
        <w:rPr>
          <w:sz w:val="24"/>
        </w:rPr>
        <w:t>NDZ/NA</w:t>
      </w:r>
      <w:r>
        <w:rPr>
          <w:spacing w:val="40"/>
          <w:sz w:val="24"/>
        </w:rPr>
        <w:t> </w:t>
      </w:r>
      <w:r>
        <w:rPr>
          <w:sz w:val="24"/>
        </w:rPr>
        <w:t>is</w:t>
      </w:r>
      <w:r>
        <w:rPr>
          <w:spacing w:val="-4"/>
          <w:sz w:val="24"/>
        </w:rPr>
        <w:t> </w:t>
      </w:r>
      <w:r>
        <w:rPr>
          <w:sz w:val="24"/>
        </w:rPr>
        <w:t>r</w:t>
      </w:r>
      <w:r>
        <w:rPr>
          <w:spacing w:val="-2"/>
          <w:sz w:val="24"/>
        </w:rPr>
        <w:t> </w:t>
      </w:r>
      <w:r>
        <w:rPr>
          <w:sz w:val="24"/>
        </w:rPr>
        <w:t>willing</w:t>
      </w:r>
      <w:r>
        <w:rPr>
          <w:spacing w:val="-4"/>
          <w:sz w:val="24"/>
        </w:rPr>
        <w:t> </w:t>
      </w:r>
      <w:r>
        <w:rPr>
          <w:sz w:val="24"/>
        </w:rPr>
        <w:t>to offer</w:t>
      </w:r>
      <w:r>
        <w:rPr>
          <w:spacing w:val="-11"/>
          <w:sz w:val="24"/>
        </w:rPr>
        <w:t> </w:t>
      </w:r>
      <w:r>
        <w:rPr>
          <w:sz w:val="24"/>
        </w:rPr>
        <w:t>the</w:t>
      </w:r>
      <w:r>
        <w:rPr>
          <w:spacing w:val="-11"/>
          <w:sz w:val="24"/>
        </w:rPr>
        <w:t> </w:t>
      </w:r>
      <w:r>
        <w:rPr>
          <w:sz w:val="24"/>
        </w:rPr>
        <w:t>land</w:t>
      </w:r>
      <w:r>
        <w:rPr>
          <w:spacing w:val="-13"/>
          <w:sz w:val="24"/>
        </w:rPr>
        <w:t> </w:t>
      </w:r>
      <w:r>
        <w:rPr>
          <w:sz w:val="24"/>
        </w:rPr>
        <w:t>for</w:t>
      </w:r>
      <w:r>
        <w:rPr>
          <w:spacing w:val="-11"/>
          <w:sz w:val="24"/>
        </w:rPr>
        <w:t> </w:t>
      </w:r>
      <w:r>
        <w:rPr>
          <w:sz w:val="24"/>
        </w:rPr>
        <w:t>public</w:t>
      </w:r>
      <w:r>
        <w:rPr>
          <w:spacing w:val="-11"/>
          <w:sz w:val="24"/>
        </w:rPr>
        <w:t> </w:t>
      </w:r>
      <w:r>
        <w:rPr>
          <w:sz w:val="24"/>
        </w:rPr>
        <w:t>purpose</w:t>
      </w:r>
      <w:r>
        <w:rPr>
          <w:spacing w:val="-10"/>
          <w:sz w:val="24"/>
        </w:rPr>
        <w:t> </w:t>
      </w:r>
      <w:r>
        <w:rPr>
          <w:sz w:val="24"/>
        </w:rPr>
        <w:t>and</w:t>
      </w:r>
      <w:r>
        <w:rPr>
          <w:spacing w:val="-11"/>
          <w:sz w:val="24"/>
        </w:rPr>
        <w:t> </w:t>
      </w:r>
      <w:r>
        <w:rPr>
          <w:sz w:val="24"/>
        </w:rPr>
        <w:t>the</w:t>
      </w:r>
      <w:r>
        <w:rPr>
          <w:spacing w:val="-13"/>
          <w:sz w:val="24"/>
        </w:rPr>
        <w:t> </w:t>
      </w:r>
      <w:r>
        <w:rPr>
          <w:sz w:val="24"/>
        </w:rPr>
        <w:t>Municipal</w:t>
      </w:r>
      <w:r>
        <w:rPr>
          <w:spacing w:val="-11"/>
          <w:sz w:val="24"/>
        </w:rPr>
        <w:t> </w:t>
      </w:r>
      <w:r>
        <w:rPr>
          <w:sz w:val="24"/>
        </w:rPr>
        <w:t>Commissioner,</w:t>
      </w:r>
      <w:r>
        <w:rPr>
          <w:spacing w:val="-10"/>
          <w:sz w:val="24"/>
        </w:rPr>
        <w:t> </w:t>
      </w:r>
      <w:r>
        <w:rPr>
          <w:sz w:val="24"/>
        </w:rPr>
        <w:t>MCGM</w:t>
      </w:r>
      <w:r>
        <w:rPr>
          <w:spacing w:val="-11"/>
          <w:sz w:val="24"/>
        </w:rPr>
        <w:t> </w:t>
      </w:r>
      <w:r>
        <w:rPr>
          <w:sz w:val="24"/>
        </w:rPr>
        <w:t>is</w:t>
      </w:r>
      <w:r>
        <w:rPr>
          <w:spacing w:val="-13"/>
          <w:sz w:val="24"/>
        </w:rPr>
        <w:t> </w:t>
      </w:r>
      <w:r>
        <w:rPr>
          <w:sz w:val="24"/>
        </w:rPr>
        <w:t>of</w:t>
      </w:r>
      <w:r>
        <w:rPr>
          <w:spacing w:val="-11"/>
          <w:sz w:val="24"/>
        </w:rPr>
        <w:t> </w:t>
      </w:r>
      <w:r>
        <w:rPr>
          <w:sz w:val="24"/>
        </w:rPr>
        <w:t>the opinion that such land is suitable</w:t>
      </w:r>
      <w:r>
        <w:rPr>
          <w:spacing w:val="40"/>
          <w:sz w:val="24"/>
        </w:rPr>
        <w:t> </w:t>
      </w:r>
      <w:r>
        <w:rPr>
          <w:sz w:val="24"/>
        </w:rPr>
        <w:t>for public purpose then such land shall be deemed to be a reservation and eligible for grant of TDR under this regulation.</w:t>
      </w:r>
    </w:p>
    <w:p>
      <w:pPr>
        <w:pStyle w:val="ListParagraph"/>
        <w:numPr>
          <w:ilvl w:val="1"/>
          <w:numId w:val="113"/>
        </w:numPr>
        <w:tabs>
          <w:tab w:pos="1117" w:val="left" w:leader="none"/>
        </w:tabs>
        <w:spacing w:line="276" w:lineRule="auto" w:before="280" w:after="0"/>
        <w:ind w:left="772" w:right="770" w:firstLine="0"/>
        <w:jc w:val="both"/>
        <w:rPr>
          <w:sz w:val="24"/>
        </w:rPr>
      </w:pPr>
      <w:r>
        <w:rPr>
          <w:sz w:val="24"/>
        </w:rPr>
        <w:t>The</w:t>
      </w:r>
      <w:r>
        <w:rPr>
          <w:spacing w:val="-11"/>
          <w:sz w:val="24"/>
        </w:rPr>
        <w:t> </w:t>
      </w:r>
      <w:r>
        <w:rPr>
          <w:sz w:val="24"/>
        </w:rPr>
        <w:t>TDR</w:t>
      </w:r>
      <w:r>
        <w:rPr>
          <w:spacing w:val="-13"/>
          <w:sz w:val="24"/>
        </w:rPr>
        <w:t> </w:t>
      </w:r>
      <w:r>
        <w:rPr>
          <w:sz w:val="24"/>
        </w:rPr>
        <w:t>of</w:t>
      </w:r>
      <w:r>
        <w:rPr>
          <w:spacing w:val="-13"/>
          <w:sz w:val="24"/>
        </w:rPr>
        <w:t> </w:t>
      </w:r>
      <w:r>
        <w:rPr>
          <w:sz w:val="24"/>
        </w:rPr>
        <w:t>lands</w:t>
      </w:r>
      <w:r>
        <w:rPr>
          <w:spacing w:val="-10"/>
          <w:sz w:val="24"/>
        </w:rPr>
        <w:t> </w:t>
      </w:r>
      <w:r>
        <w:rPr>
          <w:sz w:val="24"/>
        </w:rPr>
        <w:t>owned</w:t>
      </w:r>
      <w:r>
        <w:rPr>
          <w:spacing w:val="-13"/>
          <w:sz w:val="24"/>
        </w:rPr>
        <w:t> </w:t>
      </w:r>
      <w:r>
        <w:rPr>
          <w:sz w:val="24"/>
        </w:rPr>
        <w:t>by</w:t>
      </w:r>
      <w:r>
        <w:rPr>
          <w:spacing w:val="-13"/>
          <w:sz w:val="24"/>
        </w:rPr>
        <w:t> </w:t>
      </w:r>
      <w:r>
        <w:rPr>
          <w:sz w:val="24"/>
        </w:rPr>
        <w:t>Central</w:t>
      </w:r>
      <w:r>
        <w:rPr>
          <w:spacing w:val="-13"/>
          <w:sz w:val="24"/>
        </w:rPr>
        <w:t> </w:t>
      </w:r>
      <w:r>
        <w:rPr>
          <w:sz w:val="24"/>
        </w:rPr>
        <w:t>Govt./State</w:t>
      </w:r>
      <w:r>
        <w:rPr>
          <w:spacing w:val="-13"/>
          <w:sz w:val="24"/>
        </w:rPr>
        <w:t> </w:t>
      </w:r>
      <w:r>
        <w:rPr>
          <w:sz w:val="24"/>
        </w:rPr>
        <w:t>Govt.</w:t>
      </w:r>
      <w:r>
        <w:rPr>
          <w:spacing w:val="-12"/>
          <w:sz w:val="24"/>
        </w:rPr>
        <w:t> </w:t>
      </w:r>
      <w:r>
        <w:rPr>
          <w:sz w:val="24"/>
        </w:rPr>
        <w:t>and</w:t>
      </w:r>
      <w:r>
        <w:rPr>
          <w:spacing w:val="-13"/>
          <w:sz w:val="24"/>
        </w:rPr>
        <w:t> </w:t>
      </w:r>
      <w:r>
        <w:rPr>
          <w:sz w:val="24"/>
        </w:rPr>
        <w:t>it’s</w:t>
      </w:r>
      <w:r>
        <w:rPr>
          <w:spacing w:val="-13"/>
          <w:sz w:val="24"/>
        </w:rPr>
        <w:t> </w:t>
      </w:r>
      <w:r>
        <w:rPr>
          <w:sz w:val="24"/>
        </w:rPr>
        <w:t>undertakings</w:t>
      </w:r>
      <w:r>
        <w:rPr>
          <w:spacing w:val="-13"/>
          <w:sz w:val="24"/>
        </w:rPr>
        <w:t> </w:t>
      </w:r>
      <w:r>
        <w:rPr>
          <w:sz w:val="24"/>
        </w:rPr>
        <w:t>and which are allotted by payment of market value &amp; which are reserved in Development</w:t>
      </w:r>
      <w:r>
        <w:rPr>
          <w:spacing w:val="-3"/>
          <w:sz w:val="24"/>
        </w:rPr>
        <w:t> </w:t>
      </w:r>
      <w:r>
        <w:rPr>
          <w:sz w:val="24"/>
        </w:rPr>
        <w:t>plan</w:t>
      </w:r>
      <w:r>
        <w:rPr>
          <w:spacing w:val="-3"/>
          <w:sz w:val="24"/>
        </w:rPr>
        <w:t> </w:t>
      </w:r>
      <w:r>
        <w:rPr>
          <w:sz w:val="24"/>
        </w:rPr>
        <w:t>for</w:t>
      </w:r>
      <w:r>
        <w:rPr>
          <w:spacing w:val="-3"/>
          <w:sz w:val="24"/>
        </w:rPr>
        <w:t> </w:t>
      </w:r>
      <w:r>
        <w:rPr>
          <w:sz w:val="24"/>
        </w:rPr>
        <w:t>public</w:t>
      </w:r>
      <w:r>
        <w:rPr>
          <w:spacing w:val="-3"/>
          <w:sz w:val="24"/>
        </w:rPr>
        <w:t> </w:t>
      </w:r>
      <w:r>
        <w:rPr>
          <w:sz w:val="24"/>
        </w:rPr>
        <w:t>purpose</w:t>
      </w:r>
      <w:r>
        <w:rPr>
          <w:spacing w:val="-3"/>
          <w:sz w:val="24"/>
        </w:rPr>
        <w:t> </w:t>
      </w:r>
      <w:r>
        <w:rPr>
          <w:sz w:val="24"/>
        </w:rPr>
        <w:t>shall</w:t>
      </w:r>
      <w:r>
        <w:rPr>
          <w:spacing w:val="-3"/>
          <w:sz w:val="24"/>
        </w:rPr>
        <w:t> </w:t>
      </w:r>
      <w:r>
        <w:rPr>
          <w:sz w:val="24"/>
        </w:rPr>
        <w:t>be</w:t>
      </w:r>
      <w:r>
        <w:rPr>
          <w:spacing w:val="-3"/>
          <w:sz w:val="24"/>
        </w:rPr>
        <w:t> </w:t>
      </w:r>
      <w:r>
        <w:rPr>
          <w:sz w:val="24"/>
        </w:rPr>
        <w:t>eligible.</w:t>
      </w:r>
      <w:r>
        <w:rPr>
          <w:spacing w:val="-3"/>
          <w:sz w:val="24"/>
        </w:rPr>
        <w:t> </w:t>
      </w:r>
      <w:r>
        <w:rPr>
          <w:sz w:val="24"/>
        </w:rPr>
        <w:t>.</w:t>
      </w:r>
      <w:r>
        <w:rPr>
          <w:spacing w:val="-11"/>
          <w:sz w:val="24"/>
        </w:rPr>
        <w:t> </w:t>
      </w:r>
      <w:r>
        <w:rPr>
          <w:sz w:val="24"/>
        </w:rPr>
        <w:t>However,</w:t>
      </w:r>
      <w:r>
        <w:rPr>
          <w:spacing w:val="-3"/>
          <w:sz w:val="24"/>
        </w:rPr>
        <w:t> </w:t>
      </w:r>
      <w:r>
        <w:rPr>
          <w:sz w:val="24"/>
        </w:rPr>
        <w:t>TDR</w:t>
      </w:r>
      <w:r>
        <w:rPr>
          <w:spacing w:val="-3"/>
          <w:sz w:val="24"/>
        </w:rPr>
        <w:t> </w:t>
      </w:r>
      <w:r>
        <w:rPr>
          <w:sz w:val="24"/>
        </w:rPr>
        <w:t>shall</w:t>
      </w:r>
      <w:r>
        <w:rPr>
          <w:spacing w:val="-3"/>
          <w:sz w:val="24"/>
        </w:rPr>
        <w:t> </w:t>
      </w:r>
      <w:r>
        <w:rPr>
          <w:sz w:val="24"/>
        </w:rPr>
        <w:t>not</w:t>
      </w:r>
      <w:r>
        <w:rPr>
          <w:spacing w:val="-3"/>
          <w:sz w:val="24"/>
        </w:rPr>
        <w:t> </w:t>
      </w:r>
      <w:r>
        <w:rPr>
          <w:sz w:val="24"/>
        </w:rPr>
        <w:t>be eligible</w:t>
      </w:r>
      <w:r>
        <w:rPr>
          <w:spacing w:val="-6"/>
          <w:sz w:val="24"/>
        </w:rPr>
        <w:t> </w:t>
      </w:r>
      <w:r>
        <w:rPr>
          <w:sz w:val="24"/>
        </w:rPr>
        <w:t>to</w:t>
      </w:r>
      <w:r>
        <w:rPr>
          <w:spacing w:val="-6"/>
          <w:sz w:val="24"/>
        </w:rPr>
        <w:t> </w:t>
      </w:r>
      <w:r>
        <w:rPr>
          <w:sz w:val="24"/>
        </w:rPr>
        <w:t>the</w:t>
      </w:r>
      <w:r>
        <w:rPr>
          <w:spacing w:val="-6"/>
          <w:sz w:val="24"/>
        </w:rPr>
        <w:t> </w:t>
      </w:r>
      <w:r>
        <w:rPr>
          <w:sz w:val="24"/>
        </w:rPr>
        <w:t>lands</w:t>
      </w:r>
      <w:r>
        <w:rPr>
          <w:spacing w:val="-11"/>
          <w:sz w:val="24"/>
        </w:rPr>
        <w:t> </w:t>
      </w:r>
      <w:r>
        <w:rPr>
          <w:sz w:val="24"/>
        </w:rPr>
        <w:t>under</w:t>
      </w:r>
      <w:r>
        <w:rPr>
          <w:spacing w:val="-6"/>
          <w:sz w:val="24"/>
        </w:rPr>
        <w:t> </w:t>
      </w:r>
      <w:r>
        <w:rPr>
          <w:sz w:val="24"/>
        </w:rPr>
        <w:t>reservations</w:t>
      </w:r>
      <w:r>
        <w:rPr>
          <w:spacing w:val="-8"/>
          <w:sz w:val="24"/>
        </w:rPr>
        <w:t> </w:t>
      </w:r>
      <w:r>
        <w:rPr>
          <w:sz w:val="24"/>
        </w:rPr>
        <w:t>which</w:t>
      </w:r>
      <w:r>
        <w:rPr>
          <w:spacing w:val="-6"/>
          <w:sz w:val="24"/>
        </w:rPr>
        <w:t> </w:t>
      </w:r>
      <w:r>
        <w:rPr>
          <w:sz w:val="24"/>
        </w:rPr>
        <w:t>are</w:t>
      </w:r>
      <w:r>
        <w:rPr>
          <w:spacing w:val="-6"/>
          <w:sz w:val="24"/>
        </w:rPr>
        <w:t> </w:t>
      </w:r>
      <w:r>
        <w:rPr>
          <w:sz w:val="24"/>
        </w:rPr>
        <w:t>granted</w:t>
      </w:r>
      <w:r>
        <w:rPr>
          <w:spacing w:val="-6"/>
          <w:sz w:val="24"/>
        </w:rPr>
        <w:t> </w:t>
      </w:r>
      <w:r>
        <w:rPr>
          <w:sz w:val="24"/>
        </w:rPr>
        <w:t>on</w:t>
      </w:r>
      <w:r>
        <w:rPr>
          <w:spacing w:val="-6"/>
          <w:sz w:val="24"/>
        </w:rPr>
        <w:t> </w:t>
      </w:r>
      <w:r>
        <w:rPr>
          <w:sz w:val="24"/>
        </w:rPr>
        <w:t>lease</w:t>
      </w:r>
      <w:r>
        <w:rPr>
          <w:spacing w:val="-6"/>
          <w:sz w:val="24"/>
        </w:rPr>
        <w:t> </w:t>
      </w:r>
      <w:r>
        <w:rPr>
          <w:sz w:val="24"/>
        </w:rPr>
        <w:t>at</w:t>
      </w:r>
      <w:r>
        <w:rPr>
          <w:spacing w:val="-6"/>
          <w:sz w:val="24"/>
        </w:rPr>
        <w:t> </w:t>
      </w:r>
      <w:r>
        <w:rPr>
          <w:sz w:val="24"/>
        </w:rPr>
        <w:t>concessional rates by the Central Govt. and State Govt.</w:t>
      </w:r>
    </w:p>
    <w:p>
      <w:pPr>
        <w:pStyle w:val="BodyText"/>
        <w:spacing w:before="241"/>
        <w:jc w:val="left"/>
      </w:pPr>
    </w:p>
    <w:p>
      <w:pPr>
        <w:pStyle w:val="Heading4"/>
        <w:spacing w:line="276" w:lineRule="auto" w:before="1"/>
        <w:ind w:left="772" w:right="838"/>
        <w:jc w:val="left"/>
      </w:pPr>
      <w:r>
        <w:rPr/>
        <w:t>3.0</w:t>
      </w:r>
      <w:r>
        <w:rPr>
          <w:spacing w:val="-5"/>
        </w:rPr>
        <w:t> </w:t>
      </w:r>
      <w:r>
        <w:rPr/>
        <w:t>CASES</w:t>
      </w:r>
      <w:r>
        <w:rPr>
          <w:spacing w:val="-5"/>
        </w:rPr>
        <w:t> </w:t>
      </w:r>
      <w:r>
        <w:rPr/>
        <w:t>NOT</w:t>
      </w:r>
      <w:r>
        <w:rPr>
          <w:spacing w:val="-5"/>
        </w:rPr>
        <w:t> </w:t>
      </w:r>
      <w:r>
        <w:rPr/>
        <w:t>ELIGIBLE</w:t>
      </w:r>
      <w:r>
        <w:rPr>
          <w:spacing w:val="-4"/>
        </w:rPr>
        <w:t> </w:t>
      </w:r>
      <w:r>
        <w:rPr/>
        <w:t>FOR</w:t>
      </w:r>
      <w:r>
        <w:rPr>
          <w:spacing w:val="-5"/>
        </w:rPr>
        <w:t> </w:t>
      </w:r>
      <w:r>
        <w:rPr/>
        <w:t>TRANSFERABLE</w:t>
      </w:r>
      <w:r>
        <w:rPr>
          <w:spacing w:val="-6"/>
        </w:rPr>
        <w:t> </w:t>
      </w:r>
      <w:r>
        <w:rPr/>
        <w:t>DEVELOPMENT</w:t>
      </w:r>
      <w:r>
        <w:rPr>
          <w:spacing w:val="-5"/>
        </w:rPr>
        <w:t> </w:t>
      </w:r>
      <w:r>
        <w:rPr/>
        <w:t>RIGHTS</w:t>
      </w:r>
      <w:r>
        <w:rPr>
          <w:spacing w:val="-5"/>
        </w:rPr>
        <w:t> </w:t>
      </w:r>
      <w:r>
        <w:rPr/>
        <w:t>( TDR ):-</w:t>
      </w:r>
    </w:p>
    <w:p>
      <w:pPr>
        <w:pStyle w:val="BodyText"/>
        <w:spacing w:before="45"/>
        <w:jc w:val="left"/>
        <w:rPr>
          <w:b/>
        </w:rPr>
      </w:pPr>
    </w:p>
    <w:p>
      <w:pPr>
        <w:tabs>
          <w:tab w:pos="5048" w:val="left" w:leader="none"/>
          <w:tab w:pos="9796" w:val="left" w:leader="none"/>
        </w:tabs>
        <w:spacing w:before="0"/>
        <w:ind w:left="772" w:right="1157" w:firstLine="0"/>
        <w:jc w:val="left"/>
        <w:rPr>
          <w:sz w:val="24"/>
        </w:rPr>
      </w:pPr>
      <w:r>
        <w:rPr>
          <w:sz w:val="24"/>
        </w:rPr>
        <w:t>It shall not be permissible to grant</w:t>
        <w:tab/>
      </w:r>
      <w:r>
        <w:rPr>
          <w:i/>
          <w:sz w:val="24"/>
        </w:rPr>
        <w:t>Transferable Development Rights (TDR)</w:t>
        <w:tab/>
      </w:r>
      <w:r>
        <w:rPr>
          <w:spacing w:val="-6"/>
          <w:sz w:val="24"/>
        </w:rPr>
        <w:t>in </w:t>
      </w:r>
      <w:r>
        <w:rPr>
          <w:sz w:val="24"/>
        </w:rPr>
        <w:t>the following circumstances:-</w:t>
      </w:r>
    </w:p>
    <w:p>
      <w:pPr>
        <w:pStyle w:val="ListParagraph"/>
        <w:numPr>
          <w:ilvl w:val="0"/>
          <w:numId w:val="118"/>
        </w:numPr>
        <w:tabs>
          <w:tab w:pos="1133" w:val="left" w:leader="none"/>
        </w:tabs>
        <w:spacing w:line="240" w:lineRule="auto" w:before="281" w:after="0"/>
        <w:ind w:left="1133" w:right="773" w:hanging="361"/>
        <w:jc w:val="both"/>
        <w:rPr>
          <w:sz w:val="24"/>
        </w:rPr>
      </w:pPr>
      <w:r>
        <w:rPr>
          <w:sz w:val="24"/>
        </w:rPr>
        <w:t>For earlier land acquisition or development for which compensation has been already paid partly or fully by any means;</w:t>
      </w:r>
    </w:p>
    <w:p>
      <w:pPr>
        <w:pStyle w:val="ListParagraph"/>
        <w:numPr>
          <w:ilvl w:val="0"/>
          <w:numId w:val="118"/>
        </w:numPr>
        <w:tabs>
          <w:tab w:pos="1087" w:val="left" w:leader="none"/>
          <w:tab w:pos="1133" w:val="left" w:leader="none"/>
        </w:tabs>
        <w:spacing w:line="240" w:lineRule="auto" w:before="281" w:after="0"/>
        <w:ind w:left="1133" w:right="770" w:hanging="361"/>
        <w:jc w:val="both"/>
        <w:rPr>
          <w:sz w:val="24"/>
        </w:rPr>
      </w:pPr>
      <w:r>
        <w:rPr>
          <w:sz w:val="24"/>
        </w:rPr>
        <w:t>Where award of land has already been declared and which is valid under the </w:t>
      </w:r>
      <w:hyperlink r:id="rId30">
        <w:r>
          <w:rPr>
            <w:sz w:val="24"/>
          </w:rPr>
          <w:t>Land Acquisition Act, 1894</w:t>
        </w:r>
      </w:hyperlink>
      <w:r>
        <w:rPr>
          <w:sz w:val="24"/>
        </w:rPr>
        <w:t> or the Right to Fair Compensation &amp; Transparency in</w:t>
      </w:r>
      <w:r>
        <w:rPr>
          <w:spacing w:val="-20"/>
          <w:sz w:val="24"/>
        </w:rPr>
        <w:t> </w:t>
      </w:r>
      <w:r>
        <w:rPr>
          <w:sz w:val="24"/>
        </w:rPr>
        <w:t>Land</w:t>
      </w:r>
      <w:r>
        <w:rPr>
          <w:spacing w:val="-18"/>
          <w:sz w:val="24"/>
        </w:rPr>
        <w:t> </w:t>
      </w:r>
      <w:r>
        <w:rPr>
          <w:sz w:val="24"/>
        </w:rPr>
        <w:t>Acquisition,</w:t>
      </w:r>
      <w:r>
        <w:rPr>
          <w:spacing w:val="-20"/>
          <w:sz w:val="24"/>
        </w:rPr>
        <w:t> </w:t>
      </w:r>
      <w:r>
        <w:rPr>
          <w:sz w:val="24"/>
        </w:rPr>
        <w:t>Rehabilitation</w:t>
      </w:r>
      <w:r>
        <w:rPr>
          <w:spacing w:val="-18"/>
          <w:sz w:val="24"/>
        </w:rPr>
        <w:t> </w:t>
      </w:r>
      <w:r>
        <w:rPr>
          <w:sz w:val="24"/>
        </w:rPr>
        <w:t>and</w:t>
      </w:r>
      <w:r>
        <w:rPr>
          <w:spacing w:val="-19"/>
          <w:sz w:val="24"/>
        </w:rPr>
        <w:t> </w:t>
      </w:r>
      <w:r>
        <w:rPr>
          <w:sz w:val="24"/>
        </w:rPr>
        <w:t>Resettlement</w:t>
      </w:r>
      <w:r>
        <w:rPr>
          <w:spacing w:val="-19"/>
          <w:sz w:val="24"/>
        </w:rPr>
        <w:t> </w:t>
      </w:r>
      <w:r>
        <w:rPr>
          <w:sz w:val="24"/>
        </w:rPr>
        <w:t>Act,</w:t>
      </w:r>
      <w:r>
        <w:rPr>
          <w:spacing w:val="-19"/>
          <w:sz w:val="24"/>
        </w:rPr>
        <w:t> </w:t>
      </w:r>
      <w:r>
        <w:rPr>
          <w:sz w:val="24"/>
        </w:rPr>
        <w:t>2013</w:t>
      </w:r>
      <w:r>
        <w:rPr>
          <w:spacing w:val="-19"/>
          <w:sz w:val="24"/>
        </w:rPr>
        <w:t> </w:t>
      </w:r>
      <w:r>
        <w:rPr>
          <w:sz w:val="24"/>
        </w:rPr>
        <w:t>unless</w:t>
      </w:r>
      <w:r>
        <w:rPr>
          <w:spacing w:val="-19"/>
          <w:sz w:val="24"/>
        </w:rPr>
        <w:t> </w:t>
      </w:r>
      <w:r>
        <w:rPr>
          <w:sz w:val="24"/>
        </w:rPr>
        <w:t>lands</w:t>
      </w:r>
      <w:r>
        <w:rPr>
          <w:spacing w:val="-19"/>
          <w:sz w:val="24"/>
        </w:rPr>
        <w:t> </w:t>
      </w:r>
      <w:r>
        <w:rPr>
          <w:sz w:val="24"/>
        </w:rPr>
        <w:t>are withdrawn from the award by the Appropriate Authority according to the provisions of the relevant Acts.</w:t>
      </w:r>
    </w:p>
    <w:p>
      <w:pPr>
        <w:pStyle w:val="BodyText"/>
        <w:spacing w:before="2"/>
        <w:jc w:val="left"/>
      </w:pPr>
    </w:p>
    <w:p>
      <w:pPr>
        <w:pStyle w:val="ListParagraph"/>
        <w:numPr>
          <w:ilvl w:val="0"/>
          <w:numId w:val="118"/>
        </w:numPr>
        <w:tabs>
          <w:tab w:pos="1121" w:val="left" w:leader="none"/>
          <w:tab w:pos="1133" w:val="left" w:leader="none"/>
        </w:tabs>
        <w:spacing w:line="240" w:lineRule="auto" w:before="1" w:after="0"/>
        <w:ind w:left="1133" w:right="694" w:hanging="361"/>
        <w:jc w:val="both"/>
        <w:rPr>
          <w:sz w:val="24"/>
        </w:rPr>
      </w:pPr>
      <w:r>
        <w:rPr>
          <w:sz w:val="24"/>
        </w:rPr>
        <w:t>In</w:t>
      </w:r>
      <w:r>
        <w:rPr>
          <w:spacing w:val="-16"/>
          <w:sz w:val="24"/>
        </w:rPr>
        <w:t> </w:t>
      </w:r>
      <w:r>
        <w:rPr>
          <w:sz w:val="24"/>
        </w:rPr>
        <w:t>cases</w:t>
      </w:r>
      <w:r>
        <w:rPr>
          <w:spacing w:val="-19"/>
          <w:sz w:val="24"/>
        </w:rPr>
        <w:t> </w:t>
      </w:r>
      <w:r>
        <w:rPr>
          <w:sz w:val="24"/>
        </w:rPr>
        <w:t>where</w:t>
      </w:r>
      <w:r>
        <w:rPr>
          <w:spacing w:val="-16"/>
          <w:sz w:val="24"/>
        </w:rPr>
        <w:t> </w:t>
      </w:r>
      <w:r>
        <w:rPr>
          <w:sz w:val="24"/>
        </w:rPr>
        <w:t>layout</w:t>
      </w:r>
      <w:r>
        <w:rPr>
          <w:spacing w:val="-16"/>
          <w:sz w:val="24"/>
        </w:rPr>
        <w:t> </w:t>
      </w:r>
      <w:r>
        <w:rPr>
          <w:sz w:val="24"/>
        </w:rPr>
        <w:t>has</w:t>
      </w:r>
      <w:r>
        <w:rPr>
          <w:spacing w:val="-16"/>
          <w:sz w:val="24"/>
        </w:rPr>
        <w:t> </w:t>
      </w:r>
      <w:r>
        <w:rPr>
          <w:sz w:val="24"/>
        </w:rPr>
        <w:t>already</w:t>
      </w:r>
      <w:r>
        <w:rPr>
          <w:spacing w:val="-16"/>
          <w:sz w:val="24"/>
        </w:rPr>
        <w:t> </w:t>
      </w:r>
      <w:r>
        <w:rPr>
          <w:sz w:val="24"/>
        </w:rPr>
        <w:t>been</w:t>
      </w:r>
      <w:r>
        <w:rPr>
          <w:spacing w:val="-16"/>
          <w:sz w:val="24"/>
        </w:rPr>
        <w:t> </w:t>
      </w:r>
      <w:r>
        <w:rPr>
          <w:sz w:val="24"/>
        </w:rPr>
        <w:t>sanctioned</w:t>
      </w:r>
      <w:r>
        <w:rPr>
          <w:spacing w:val="-15"/>
          <w:sz w:val="24"/>
        </w:rPr>
        <w:t> </w:t>
      </w:r>
      <w:r>
        <w:rPr>
          <w:sz w:val="24"/>
        </w:rPr>
        <w:t>prior</w:t>
      </w:r>
      <w:r>
        <w:rPr>
          <w:spacing w:val="-16"/>
          <w:sz w:val="24"/>
        </w:rPr>
        <w:t> </w:t>
      </w:r>
      <w:r>
        <w:rPr>
          <w:sz w:val="24"/>
        </w:rPr>
        <w:t>to</w:t>
      </w:r>
      <w:r>
        <w:rPr>
          <w:spacing w:val="-19"/>
          <w:sz w:val="24"/>
        </w:rPr>
        <w:t> </w:t>
      </w:r>
      <w:r>
        <w:rPr>
          <w:sz w:val="24"/>
        </w:rPr>
        <w:t>these</w:t>
      </w:r>
      <w:r>
        <w:rPr>
          <w:spacing w:val="-16"/>
          <w:sz w:val="24"/>
        </w:rPr>
        <w:t> </w:t>
      </w:r>
      <w:r>
        <w:rPr>
          <w:sz w:val="24"/>
        </w:rPr>
        <w:t>regulations</w:t>
      </w:r>
      <w:r>
        <w:rPr>
          <w:spacing w:val="-16"/>
          <w:sz w:val="24"/>
        </w:rPr>
        <w:t> </w:t>
      </w:r>
      <w:r>
        <w:rPr>
          <w:sz w:val="24"/>
        </w:rPr>
        <w:t>and layout roads are incorporated as Development Plan roads .</w:t>
      </w:r>
    </w:p>
    <w:p>
      <w:pPr>
        <w:pStyle w:val="ListParagraph"/>
        <w:numPr>
          <w:ilvl w:val="0"/>
          <w:numId w:val="118"/>
        </w:numPr>
        <w:tabs>
          <w:tab w:pos="1133" w:val="left" w:leader="none"/>
          <w:tab w:pos="1335" w:val="left" w:leader="none"/>
        </w:tabs>
        <w:spacing w:line="276" w:lineRule="auto" w:before="0" w:after="0"/>
        <w:ind w:left="1133" w:right="771" w:hanging="361"/>
        <w:jc w:val="both"/>
        <w:rPr>
          <w:sz w:val="24"/>
        </w:rPr>
      </w:pPr>
      <w:r>
        <w:rPr>
          <w:sz w:val="24"/>
        </w:rPr>
        <w:tab/>
        <w:t>In cases plotted layout where</w:t>
      </w:r>
      <w:r>
        <w:rPr>
          <w:spacing w:val="40"/>
          <w:sz w:val="24"/>
        </w:rPr>
        <w:t> </w:t>
      </w:r>
      <w:r>
        <w:rPr>
          <w:sz w:val="24"/>
        </w:rPr>
        <w:t>layout is submitted along with proposed Development Plan Road, in such cases TDR shall not be permissible for the width of road that would be necessary according to the length as per these </w:t>
      </w:r>
      <w:r>
        <w:rPr>
          <w:spacing w:val="-2"/>
          <w:sz w:val="24"/>
        </w:rPr>
        <w:t>Regulations</w:t>
      </w:r>
      <w:r>
        <w:rPr>
          <w:b/>
          <w:spacing w:val="-2"/>
          <w:sz w:val="24"/>
        </w:rPr>
        <w:t>;</w:t>
      </w:r>
    </w:p>
    <w:p>
      <w:pPr>
        <w:pStyle w:val="ListParagraph"/>
        <w:spacing w:after="0" w:line="276" w:lineRule="auto"/>
        <w:jc w:val="both"/>
        <w:rPr>
          <w:sz w:val="24"/>
        </w:rPr>
        <w:sectPr>
          <w:pgSz w:w="11910" w:h="16840"/>
          <w:pgMar w:header="1065" w:footer="1237" w:top="1500" w:bottom="1420" w:left="360" w:right="360"/>
        </w:sectPr>
      </w:pPr>
    </w:p>
    <w:p>
      <w:pPr>
        <w:pStyle w:val="ListParagraph"/>
        <w:numPr>
          <w:ilvl w:val="0"/>
          <w:numId w:val="118"/>
        </w:numPr>
        <w:tabs>
          <w:tab w:pos="1081" w:val="left" w:leader="none"/>
          <w:tab w:pos="1133" w:val="left" w:leader="none"/>
        </w:tabs>
        <w:spacing w:line="240" w:lineRule="auto" w:before="249" w:after="0"/>
        <w:ind w:left="1133" w:right="777" w:hanging="361"/>
        <w:jc w:val="left"/>
        <w:rPr>
          <w:sz w:val="24"/>
        </w:rPr>
      </w:pPr>
      <w:r>
        <w:rPr>
          <w:sz w:val="24"/>
        </w:rPr>
        <w:t>If</w:t>
      </w:r>
      <w:r>
        <w:rPr>
          <w:spacing w:val="34"/>
          <w:sz w:val="24"/>
        </w:rPr>
        <w:t> </w:t>
      </w:r>
      <w:r>
        <w:rPr>
          <w:sz w:val="24"/>
        </w:rPr>
        <w:t>the</w:t>
      </w:r>
      <w:r>
        <w:rPr>
          <w:spacing w:val="34"/>
          <w:sz w:val="24"/>
        </w:rPr>
        <w:t> </w:t>
      </w:r>
      <w:r>
        <w:rPr>
          <w:sz w:val="24"/>
        </w:rPr>
        <w:t>compensation</w:t>
      </w:r>
      <w:r>
        <w:rPr>
          <w:spacing w:val="34"/>
          <w:sz w:val="24"/>
        </w:rPr>
        <w:t> </w:t>
      </w:r>
      <w:r>
        <w:rPr>
          <w:sz w:val="24"/>
        </w:rPr>
        <w:t>in</w:t>
      </w:r>
      <w:r>
        <w:rPr>
          <w:spacing w:val="34"/>
          <w:sz w:val="24"/>
        </w:rPr>
        <w:t> </w:t>
      </w:r>
      <w:r>
        <w:rPr>
          <w:sz w:val="24"/>
        </w:rPr>
        <w:t>the</w:t>
      </w:r>
      <w:r>
        <w:rPr>
          <w:spacing w:val="34"/>
          <w:sz w:val="24"/>
        </w:rPr>
        <w:t> </w:t>
      </w:r>
      <w:r>
        <w:rPr>
          <w:sz w:val="24"/>
        </w:rPr>
        <w:t>form</w:t>
      </w:r>
      <w:r>
        <w:rPr>
          <w:spacing w:val="36"/>
          <w:sz w:val="24"/>
        </w:rPr>
        <w:t> </w:t>
      </w:r>
      <w:r>
        <w:rPr>
          <w:sz w:val="24"/>
        </w:rPr>
        <w:t>of</w:t>
      </w:r>
      <w:r>
        <w:rPr>
          <w:spacing w:val="34"/>
          <w:sz w:val="24"/>
        </w:rPr>
        <w:t> </w:t>
      </w:r>
      <w:r>
        <w:rPr>
          <w:sz w:val="24"/>
        </w:rPr>
        <w:t>FSI</w:t>
      </w:r>
      <w:r>
        <w:rPr>
          <w:spacing w:val="37"/>
          <w:sz w:val="24"/>
        </w:rPr>
        <w:t> </w:t>
      </w:r>
      <w:r>
        <w:rPr>
          <w:sz w:val="24"/>
        </w:rPr>
        <w:t>/</w:t>
      </w:r>
      <w:r>
        <w:rPr>
          <w:spacing w:val="34"/>
          <w:sz w:val="24"/>
        </w:rPr>
        <w:t> </w:t>
      </w:r>
      <w:r>
        <w:rPr>
          <w:sz w:val="24"/>
        </w:rPr>
        <w:t>or</w:t>
      </w:r>
      <w:r>
        <w:rPr>
          <w:spacing w:val="34"/>
          <w:sz w:val="24"/>
        </w:rPr>
        <w:t> </w:t>
      </w:r>
      <w:r>
        <w:rPr>
          <w:sz w:val="24"/>
        </w:rPr>
        <w:t>by</w:t>
      </w:r>
      <w:r>
        <w:rPr>
          <w:spacing w:val="34"/>
          <w:sz w:val="24"/>
        </w:rPr>
        <w:t> </w:t>
      </w:r>
      <w:r>
        <w:rPr>
          <w:sz w:val="24"/>
        </w:rPr>
        <w:t>any</w:t>
      </w:r>
      <w:r>
        <w:rPr>
          <w:spacing w:val="34"/>
          <w:sz w:val="24"/>
        </w:rPr>
        <w:t> </w:t>
      </w:r>
      <w:r>
        <w:rPr>
          <w:sz w:val="24"/>
        </w:rPr>
        <w:t>means</w:t>
      </w:r>
      <w:r>
        <w:rPr>
          <w:spacing w:val="34"/>
          <w:sz w:val="24"/>
        </w:rPr>
        <w:t> </w:t>
      </w:r>
      <w:r>
        <w:rPr>
          <w:sz w:val="24"/>
        </w:rPr>
        <w:t>has</w:t>
      </w:r>
      <w:r>
        <w:rPr>
          <w:spacing w:val="34"/>
          <w:sz w:val="24"/>
        </w:rPr>
        <w:t> </w:t>
      </w:r>
      <w:r>
        <w:rPr>
          <w:sz w:val="24"/>
        </w:rPr>
        <w:t>already</w:t>
      </w:r>
      <w:r>
        <w:rPr>
          <w:spacing w:val="34"/>
          <w:sz w:val="24"/>
        </w:rPr>
        <w:t> </w:t>
      </w:r>
      <w:r>
        <w:rPr>
          <w:sz w:val="24"/>
        </w:rPr>
        <w:t>been granted to the owner.</w:t>
      </w:r>
    </w:p>
    <w:p>
      <w:pPr>
        <w:pStyle w:val="BodyText"/>
        <w:spacing w:before="2"/>
        <w:jc w:val="left"/>
      </w:pPr>
    </w:p>
    <w:p>
      <w:pPr>
        <w:pStyle w:val="ListParagraph"/>
        <w:numPr>
          <w:ilvl w:val="0"/>
          <w:numId w:val="118"/>
        </w:numPr>
        <w:tabs>
          <w:tab w:pos="1133" w:val="left" w:leader="none"/>
          <w:tab w:pos="1184" w:val="left" w:leader="none"/>
        </w:tabs>
        <w:spacing w:line="240" w:lineRule="auto" w:before="0" w:after="0"/>
        <w:ind w:left="1133" w:right="769" w:hanging="361"/>
        <w:jc w:val="left"/>
        <w:rPr>
          <w:sz w:val="24"/>
        </w:rPr>
      </w:pPr>
      <w:r>
        <w:rPr>
          <w:sz w:val="24"/>
        </w:rPr>
        <w:t>Where</w:t>
      </w:r>
      <w:r>
        <w:rPr>
          <w:spacing w:val="39"/>
          <w:sz w:val="24"/>
        </w:rPr>
        <w:t> </w:t>
      </w:r>
      <w:r>
        <w:rPr>
          <w:sz w:val="24"/>
        </w:rPr>
        <w:t>lawful</w:t>
      </w:r>
      <w:r>
        <w:rPr>
          <w:spacing w:val="-9"/>
          <w:sz w:val="24"/>
        </w:rPr>
        <w:t> </w:t>
      </w:r>
      <w:r>
        <w:rPr>
          <w:sz w:val="24"/>
        </w:rPr>
        <w:t>possession</w:t>
      </w:r>
      <w:r>
        <w:rPr>
          <w:spacing w:val="-9"/>
          <w:sz w:val="24"/>
        </w:rPr>
        <w:t> </w:t>
      </w:r>
      <w:r>
        <w:rPr>
          <w:sz w:val="24"/>
        </w:rPr>
        <w:t>including</w:t>
      </w:r>
      <w:r>
        <w:rPr>
          <w:spacing w:val="-9"/>
          <w:sz w:val="24"/>
        </w:rPr>
        <w:t> </w:t>
      </w:r>
      <w:r>
        <w:rPr>
          <w:sz w:val="24"/>
        </w:rPr>
        <w:t>by</w:t>
      </w:r>
      <w:r>
        <w:rPr>
          <w:spacing w:val="-11"/>
          <w:sz w:val="24"/>
        </w:rPr>
        <w:t> </w:t>
      </w:r>
      <w:r>
        <w:rPr>
          <w:sz w:val="24"/>
        </w:rPr>
        <w:t>mutual</w:t>
      </w:r>
      <w:r>
        <w:rPr>
          <w:spacing w:val="-9"/>
          <w:sz w:val="24"/>
        </w:rPr>
        <w:t> </w:t>
      </w:r>
      <w:r>
        <w:rPr>
          <w:sz w:val="24"/>
        </w:rPr>
        <w:t>agreement</w:t>
      </w:r>
      <w:r>
        <w:rPr>
          <w:spacing w:val="-9"/>
          <w:sz w:val="24"/>
        </w:rPr>
        <w:t> </w:t>
      </w:r>
      <w:r>
        <w:rPr>
          <w:sz w:val="24"/>
        </w:rPr>
        <w:t>/or</w:t>
      </w:r>
      <w:r>
        <w:rPr>
          <w:spacing w:val="-9"/>
          <w:sz w:val="24"/>
        </w:rPr>
        <w:t> </w:t>
      </w:r>
      <w:r>
        <w:rPr>
          <w:sz w:val="24"/>
        </w:rPr>
        <w:t>contract</w:t>
      </w:r>
      <w:r>
        <w:rPr>
          <w:spacing w:val="-9"/>
          <w:sz w:val="24"/>
        </w:rPr>
        <w:t> </w:t>
      </w:r>
      <w:r>
        <w:rPr>
          <w:sz w:val="24"/>
        </w:rPr>
        <w:t>has</w:t>
      </w:r>
      <w:r>
        <w:rPr>
          <w:spacing w:val="-9"/>
          <w:sz w:val="24"/>
        </w:rPr>
        <w:t> </w:t>
      </w:r>
      <w:r>
        <w:rPr>
          <w:sz w:val="24"/>
        </w:rPr>
        <w:t>been </w:t>
      </w:r>
      <w:r>
        <w:rPr>
          <w:spacing w:val="-2"/>
          <w:sz w:val="24"/>
        </w:rPr>
        <w:t>taken.</w:t>
      </w:r>
    </w:p>
    <w:p>
      <w:pPr>
        <w:pStyle w:val="ListParagraph"/>
        <w:numPr>
          <w:ilvl w:val="0"/>
          <w:numId w:val="118"/>
        </w:numPr>
        <w:tabs>
          <w:tab w:pos="1133" w:val="left" w:leader="none"/>
          <w:tab w:pos="1198" w:val="left" w:leader="none"/>
        </w:tabs>
        <w:spacing w:line="278" w:lineRule="auto" w:before="279" w:after="0"/>
        <w:ind w:left="1133" w:right="770" w:hanging="361"/>
        <w:jc w:val="left"/>
        <w:rPr>
          <w:sz w:val="24"/>
        </w:rPr>
      </w:pPr>
      <w:r>
        <w:rPr>
          <w:sz w:val="24"/>
        </w:rPr>
        <w:tab/>
        <w:t>For an existing user or retention user or any required compulsory open space or</w:t>
      </w:r>
      <w:r>
        <w:rPr>
          <w:spacing w:val="-5"/>
          <w:sz w:val="24"/>
        </w:rPr>
        <w:t> </w:t>
      </w:r>
      <w:r>
        <w:rPr>
          <w:sz w:val="24"/>
        </w:rPr>
        <w:t>layout</w:t>
      </w:r>
      <w:r>
        <w:rPr>
          <w:spacing w:val="-5"/>
          <w:sz w:val="24"/>
        </w:rPr>
        <w:t> </w:t>
      </w:r>
      <w:r>
        <w:rPr>
          <w:sz w:val="24"/>
        </w:rPr>
        <w:t>open</w:t>
      </w:r>
      <w:r>
        <w:rPr>
          <w:spacing w:val="-4"/>
          <w:sz w:val="24"/>
        </w:rPr>
        <w:t> </w:t>
      </w:r>
      <w:r>
        <w:rPr>
          <w:sz w:val="24"/>
        </w:rPr>
        <w:t>space,</w:t>
      </w:r>
      <w:r>
        <w:rPr>
          <w:spacing w:val="-5"/>
          <w:sz w:val="24"/>
        </w:rPr>
        <w:t> </w:t>
      </w:r>
      <w:r>
        <w:rPr>
          <w:sz w:val="24"/>
        </w:rPr>
        <w:t>in</w:t>
      </w:r>
      <w:r>
        <w:rPr>
          <w:spacing w:val="-4"/>
          <w:sz w:val="24"/>
        </w:rPr>
        <w:t> </w:t>
      </w:r>
      <w:r>
        <w:rPr>
          <w:sz w:val="24"/>
        </w:rPr>
        <w:t>any</w:t>
      </w:r>
      <w:r>
        <w:rPr>
          <w:spacing w:val="-5"/>
          <w:sz w:val="24"/>
        </w:rPr>
        <w:t> </w:t>
      </w:r>
      <w:r>
        <w:rPr>
          <w:sz w:val="24"/>
        </w:rPr>
        <w:t>layout</w:t>
      </w:r>
      <w:r>
        <w:rPr>
          <w:spacing w:val="-12"/>
          <w:sz w:val="24"/>
        </w:rPr>
        <w:t> </w:t>
      </w:r>
      <w:r>
        <w:rPr>
          <w:sz w:val="24"/>
        </w:rPr>
        <w:t>required</w:t>
      </w:r>
      <w:r>
        <w:rPr>
          <w:spacing w:val="-4"/>
          <w:sz w:val="24"/>
        </w:rPr>
        <w:t> </w:t>
      </w:r>
      <w:r>
        <w:rPr>
          <w:sz w:val="24"/>
        </w:rPr>
        <w:t>/provided</w:t>
      </w:r>
      <w:r>
        <w:rPr>
          <w:spacing w:val="-5"/>
          <w:sz w:val="24"/>
        </w:rPr>
        <w:t> </w:t>
      </w:r>
      <w:r>
        <w:rPr>
          <w:sz w:val="24"/>
        </w:rPr>
        <w:t>as</w:t>
      </w:r>
      <w:r>
        <w:rPr>
          <w:spacing w:val="-4"/>
          <w:sz w:val="24"/>
        </w:rPr>
        <w:t> </w:t>
      </w:r>
      <w:r>
        <w:rPr>
          <w:sz w:val="24"/>
        </w:rPr>
        <w:t>per</w:t>
      </w:r>
      <w:r>
        <w:rPr>
          <w:spacing w:val="-5"/>
          <w:sz w:val="24"/>
        </w:rPr>
        <w:t> </w:t>
      </w:r>
      <w:r>
        <w:rPr>
          <w:sz w:val="24"/>
        </w:rPr>
        <w:t>these</w:t>
      </w:r>
      <w:r>
        <w:rPr>
          <w:spacing w:val="-4"/>
          <w:sz w:val="24"/>
        </w:rPr>
        <w:t> </w:t>
      </w:r>
      <w:r>
        <w:rPr>
          <w:spacing w:val="-2"/>
          <w:sz w:val="24"/>
        </w:rPr>
        <w:t>Regulation</w:t>
      </w:r>
      <w:r>
        <w:rPr>
          <w:spacing w:val="-2"/>
          <w:sz w:val="22"/>
        </w:rPr>
        <w:t>.</w:t>
      </w:r>
    </w:p>
    <w:p>
      <w:pPr>
        <w:pStyle w:val="ListParagraph"/>
        <w:numPr>
          <w:ilvl w:val="0"/>
          <w:numId w:val="118"/>
        </w:numPr>
        <w:tabs>
          <w:tab w:pos="1133" w:val="left" w:leader="none"/>
          <w:tab w:pos="1268" w:val="left" w:leader="none"/>
        </w:tabs>
        <w:spacing w:line="240" w:lineRule="auto" w:before="196" w:after="0"/>
        <w:ind w:left="1133" w:right="772" w:hanging="361"/>
        <w:jc w:val="left"/>
        <w:rPr>
          <w:sz w:val="24"/>
        </w:rPr>
      </w:pPr>
      <w:r>
        <w:rPr>
          <w:sz w:val="24"/>
        </w:rPr>
        <w:t>For any existing amenity, allocation of the use or zone which is not subjected to acquisition.</w:t>
      </w:r>
    </w:p>
    <w:p>
      <w:pPr>
        <w:pStyle w:val="BodyText"/>
        <w:jc w:val="left"/>
      </w:pPr>
    </w:p>
    <w:p>
      <w:pPr>
        <w:pStyle w:val="ListParagraph"/>
        <w:numPr>
          <w:ilvl w:val="0"/>
          <w:numId w:val="118"/>
        </w:numPr>
        <w:tabs>
          <w:tab w:pos="1127" w:val="left" w:leader="none"/>
        </w:tabs>
        <w:spacing w:line="240" w:lineRule="auto" w:before="0" w:after="0"/>
        <w:ind w:left="1127" w:right="0" w:hanging="355"/>
        <w:jc w:val="left"/>
        <w:rPr>
          <w:sz w:val="24"/>
        </w:rPr>
      </w:pPr>
      <w:r>
        <w:rPr>
          <w:sz w:val="24"/>
        </w:rPr>
        <w:t>The</w:t>
      </w:r>
      <w:r>
        <w:rPr>
          <w:spacing w:val="-2"/>
          <w:sz w:val="24"/>
        </w:rPr>
        <w:t> </w:t>
      </w:r>
      <w:r>
        <w:rPr>
          <w:sz w:val="24"/>
        </w:rPr>
        <w:t>incentive</w:t>
      </w:r>
      <w:r>
        <w:rPr>
          <w:spacing w:val="1"/>
          <w:sz w:val="24"/>
        </w:rPr>
        <w:t> </w:t>
      </w:r>
      <w:r>
        <w:rPr>
          <w:sz w:val="24"/>
        </w:rPr>
        <w:t>TDR</w:t>
      </w:r>
      <w:r>
        <w:rPr>
          <w:spacing w:val="-1"/>
          <w:sz w:val="24"/>
        </w:rPr>
        <w:t> </w:t>
      </w:r>
      <w:r>
        <w:rPr>
          <w:sz w:val="24"/>
        </w:rPr>
        <w:t>will</w:t>
      </w:r>
      <w:r>
        <w:rPr>
          <w:spacing w:val="-1"/>
          <w:sz w:val="24"/>
        </w:rPr>
        <w:t> </w:t>
      </w:r>
      <w:r>
        <w:rPr>
          <w:sz w:val="24"/>
        </w:rPr>
        <w:t>not</w:t>
      </w:r>
      <w:r>
        <w:rPr>
          <w:spacing w:val="-1"/>
          <w:sz w:val="24"/>
        </w:rPr>
        <w:t> </w:t>
      </w:r>
      <w:r>
        <w:rPr>
          <w:sz w:val="24"/>
        </w:rPr>
        <w:t>be</w:t>
      </w:r>
      <w:r>
        <w:rPr>
          <w:spacing w:val="-1"/>
          <w:sz w:val="24"/>
        </w:rPr>
        <w:t> </w:t>
      </w:r>
      <w:r>
        <w:rPr>
          <w:sz w:val="24"/>
        </w:rPr>
        <w:t>applicable</w:t>
      </w:r>
      <w:r>
        <w:rPr>
          <w:spacing w:val="-1"/>
          <w:sz w:val="24"/>
        </w:rPr>
        <w:t> </w:t>
      </w:r>
      <w:r>
        <w:rPr>
          <w:sz w:val="24"/>
        </w:rPr>
        <w:t>to</w:t>
      </w:r>
      <w:r>
        <w:rPr>
          <w:spacing w:val="-1"/>
          <w:sz w:val="24"/>
        </w:rPr>
        <w:t> </w:t>
      </w:r>
      <w:r>
        <w:rPr>
          <w:sz w:val="24"/>
        </w:rPr>
        <w:t>deemed</w:t>
      </w:r>
      <w:r>
        <w:rPr>
          <w:spacing w:val="-1"/>
          <w:sz w:val="24"/>
        </w:rPr>
        <w:t> </w:t>
      </w:r>
      <w:r>
        <w:rPr>
          <w:spacing w:val="-2"/>
          <w:sz w:val="24"/>
        </w:rPr>
        <w:t>reservations.</w:t>
      </w:r>
    </w:p>
    <w:p>
      <w:pPr>
        <w:pStyle w:val="ListParagraph"/>
        <w:numPr>
          <w:ilvl w:val="0"/>
          <w:numId w:val="118"/>
        </w:numPr>
        <w:tabs>
          <w:tab w:pos="1033" w:val="left" w:leader="none"/>
        </w:tabs>
        <w:spacing w:line="240" w:lineRule="auto" w:before="259" w:after="0"/>
        <w:ind w:left="1033" w:right="0" w:hanging="261"/>
        <w:jc w:val="left"/>
        <w:rPr>
          <w:sz w:val="22"/>
        </w:rPr>
      </w:pPr>
      <w:r>
        <w:rPr>
          <w:sz w:val="24"/>
        </w:rPr>
        <w:t>Existing</w:t>
      </w:r>
      <w:r>
        <w:rPr>
          <w:spacing w:val="-1"/>
          <w:sz w:val="24"/>
        </w:rPr>
        <w:t> </w:t>
      </w:r>
      <w:r>
        <w:rPr>
          <w:sz w:val="24"/>
        </w:rPr>
        <w:t>nalla,</w:t>
      </w:r>
      <w:r>
        <w:rPr>
          <w:spacing w:val="-1"/>
          <w:sz w:val="24"/>
        </w:rPr>
        <w:t> </w:t>
      </w:r>
      <w:r>
        <w:rPr>
          <w:sz w:val="24"/>
        </w:rPr>
        <w:t>River, Natural</w:t>
      </w:r>
      <w:r>
        <w:rPr>
          <w:spacing w:val="-1"/>
          <w:sz w:val="24"/>
        </w:rPr>
        <w:t> </w:t>
      </w:r>
      <w:r>
        <w:rPr>
          <w:sz w:val="24"/>
        </w:rPr>
        <w:t>Stream, Natural</w:t>
      </w:r>
      <w:r>
        <w:rPr>
          <w:spacing w:val="-1"/>
          <w:sz w:val="24"/>
        </w:rPr>
        <w:t> </w:t>
      </w:r>
      <w:r>
        <w:rPr>
          <w:sz w:val="24"/>
        </w:rPr>
        <w:t>Pond,</w:t>
      </w:r>
      <w:r>
        <w:rPr>
          <w:spacing w:val="-1"/>
          <w:sz w:val="24"/>
        </w:rPr>
        <w:t> </w:t>
      </w:r>
      <w:r>
        <w:rPr>
          <w:sz w:val="24"/>
        </w:rPr>
        <w:t>Tank,</w:t>
      </w:r>
      <w:r>
        <w:rPr>
          <w:spacing w:val="2"/>
          <w:sz w:val="24"/>
        </w:rPr>
        <w:t> </w:t>
      </w:r>
      <w:r>
        <w:rPr>
          <w:sz w:val="24"/>
        </w:rPr>
        <w:t>Water</w:t>
      </w:r>
      <w:r>
        <w:rPr>
          <w:spacing w:val="-1"/>
          <w:sz w:val="24"/>
        </w:rPr>
        <w:t> </w:t>
      </w:r>
      <w:r>
        <w:rPr>
          <w:sz w:val="24"/>
        </w:rPr>
        <w:t>bodies </w:t>
      </w:r>
      <w:r>
        <w:rPr>
          <w:spacing w:val="-4"/>
          <w:sz w:val="24"/>
        </w:rPr>
        <w:t>etc.</w:t>
      </w:r>
    </w:p>
    <w:p>
      <w:pPr>
        <w:pStyle w:val="BodyText"/>
        <w:jc w:val="left"/>
      </w:pPr>
    </w:p>
    <w:p>
      <w:pPr>
        <w:pStyle w:val="Heading4"/>
        <w:numPr>
          <w:ilvl w:val="1"/>
          <w:numId w:val="119"/>
        </w:numPr>
        <w:tabs>
          <w:tab w:pos="1262" w:val="left" w:leader="none"/>
        </w:tabs>
        <w:spacing w:line="281" w:lineRule="exact" w:before="0" w:after="0"/>
        <w:ind w:left="1262" w:right="0" w:hanging="490"/>
        <w:jc w:val="left"/>
      </w:pPr>
      <w:r>
        <w:rPr/>
        <w:t>GENERATION</w:t>
      </w:r>
      <w:r>
        <w:rPr>
          <w:spacing w:val="9"/>
        </w:rPr>
        <w:t> </w:t>
      </w:r>
      <w:r>
        <w:rPr/>
        <w:t>OF</w:t>
      </w:r>
      <w:r>
        <w:rPr>
          <w:spacing w:val="9"/>
        </w:rPr>
        <w:t> </w:t>
      </w:r>
      <w:r>
        <w:rPr/>
        <w:t>THE</w:t>
      </w:r>
      <w:r>
        <w:rPr>
          <w:spacing w:val="59"/>
          <w:w w:val="150"/>
        </w:rPr>
        <w:t> </w:t>
      </w:r>
      <w:r>
        <w:rPr/>
        <w:t>TRANSFERABLE</w:t>
      </w:r>
      <w:r>
        <w:rPr>
          <w:spacing w:val="9"/>
        </w:rPr>
        <w:t> </w:t>
      </w:r>
      <w:r>
        <w:rPr/>
        <w:t>DEVELOPMENT</w:t>
      </w:r>
      <w:r>
        <w:rPr>
          <w:spacing w:val="9"/>
        </w:rPr>
        <w:t> </w:t>
      </w:r>
      <w:r>
        <w:rPr/>
        <w:t>RIGHTS</w:t>
      </w:r>
      <w:r>
        <w:rPr>
          <w:spacing w:val="9"/>
        </w:rPr>
        <w:t> </w:t>
      </w:r>
      <w:r>
        <w:rPr/>
        <w:t>(</w:t>
      </w:r>
      <w:r>
        <w:rPr>
          <w:spacing w:val="9"/>
        </w:rPr>
        <w:t> </w:t>
      </w:r>
      <w:r>
        <w:rPr/>
        <w:t>TDR</w:t>
      </w:r>
      <w:r>
        <w:rPr>
          <w:spacing w:val="12"/>
        </w:rPr>
        <w:t> </w:t>
      </w:r>
      <w:r>
        <w:rPr>
          <w:spacing w:val="-10"/>
        </w:rPr>
        <w:t>)</w:t>
      </w:r>
    </w:p>
    <w:p>
      <w:pPr>
        <w:spacing w:line="281" w:lineRule="exact" w:before="0"/>
        <w:ind w:left="1133" w:right="0" w:firstLine="0"/>
        <w:jc w:val="left"/>
        <w:rPr>
          <w:sz w:val="24"/>
        </w:rPr>
      </w:pPr>
      <w:r>
        <w:rPr>
          <w:spacing w:val="-10"/>
          <w:sz w:val="24"/>
        </w:rPr>
        <w:t>–</w:t>
      </w:r>
    </w:p>
    <w:p>
      <w:pPr>
        <w:pStyle w:val="BodyText"/>
        <w:jc w:val="left"/>
      </w:pPr>
    </w:p>
    <w:p>
      <w:pPr>
        <w:pStyle w:val="ListParagraph"/>
        <w:numPr>
          <w:ilvl w:val="1"/>
          <w:numId w:val="119"/>
        </w:numPr>
        <w:tabs>
          <w:tab w:pos="1238" w:val="left" w:leader="none"/>
        </w:tabs>
        <w:spacing w:line="240" w:lineRule="auto" w:before="1" w:after="0"/>
        <w:ind w:left="1238" w:right="0" w:hanging="466"/>
        <w:jc w:val="left"/>
        <w:rPr>
          <w:sz w:val="24"/>
        </w:rPr>
      </w:pPr>
      <w:r>
        <w:rPr>
          <w:i/>
          <w:sz w:val="24"/>
        </w:rPr>
        <w:t>Transferable</w:t>
      </w:r>
      <w:r>
        <w:rPr>
          <w:i/>
          <w:spacing w:val="-4"/>
          <w:sz w:val="24"/>
        </w:rPr>
        <w:t> </w:t>
      </w:r>
      <w:r>
        <w:rPr>
          <w:i/>
          <w:sz w:val="24"/>
        </w:rPr>
        <w:t>Development</w:t>
      </w:r>
      <w:r>
        <w:rPr>
          <w:i/>
          <w:spacing w:val="-4"/>
          <w:sz w:val="24"/>
        </w:rPr>
        <w:t> </w:t>
      </w:r>
      <w:r>
        <w:rPr>
          <w:i/>
          <w:sz w:val="24"/>
        </w:rPr>
        <w:t>Rights</w:t>
      </w:r>
      <w:r>
        <w:rPr>
          <w:i/>
          <w:spacing w:val="-2"/>
          <w:sz w:val="24"/>
        </w:rPr>
        <w:t> </w:t>
      </w:r>
      <w:r>
        <w:rPr>
          <w:i/>
          <w:sz w:val="24"/>
        </w:rPr>
        <w:t>(TDR</w:t>
      </w:r>
      <w:r>
        <w:rPr>
          <w:sz w:val="24"/>
        </w:rPr>
        <w:t>)</w:t>
      </w:r>
      <w:r>
        <w:rPr>
          <w:spacing w:val="-1"/>
          <w:sz w:val="24"/>
        </w:rPr>
        <w:t> </w:t>
      </w:r>
      <w:r>
        <w:rPr>
          <w:sz w:val="24"/>
        </w:rPr>
        <w:t>against</w:t>
      </w:r>
      <w:r>
        <w:rPr>
          <w:spacing w:val="-2"/>
          <w:sz w:val="24"/>
        </w:rPr>
        <w:t> </w:t>
      </w:r>
      <w:r>
        <w:rPr>
          <w:sz w:val="24"/>
        </w:rPr>
        <w:t>surrender</w:t>
      </w:r>
      <w:r>
        <w:rPr>
          <w:spacing w:val="-1"/>
          <w:sz w:val="24"/>
        </w:rPr>
        <w:t> </w:t>
      </w:r>
      <w:r>
        <w:rPr>
          <w:sz w:val="24"/>
        </w:rPr>
        <w:t>of</w:t>
      </w:r>
      <w:r>
        <w:rPr>
          <w:spacing w:val="-2"/>
          <w:sz w:val="24"/>
        </w:rPr>
        <w:t> </w:t>
      </w:r>
      <w:r>
        <w:rPr>
          <w:sz w:val="24"/>
        </w:rPr>
        <w:t>land</w:t>
      </w:r>
      <w:r>
        <w:rPr>
          <w:spacing w:val="-1"/>
          <w:sz w:val="24"/>
        </w:rPr>
        <w:t> </w:t>
      </w:r>
      <w:r>
        <w:rPr>
          <w:spacing w:val="-5"/>
          <w:sz w:val="24"/>
        </w:rPr>
        <w:t>:-</w:t>
      </w:r>
    </w:p>
    <w:p>
      <w:pPr>
        <w:pStyle w:val="ListParagraph"/>
        <w:numPr>
          <w:ilvl w:val="2"/>
          <w:numId w:val="119"/>
        </w:numPr>
        <w:tabs>
          <w:tab w:pos="1536" w:val="left" w:leader="none"/>
        </w:tabs>
        <w:spacing w:line="240" w:lineRule="auto" w:before="258" w:after="0"/>
        <w:ind w:left="772" w:right="770" w:firstLine="0"/>
        <w:jc w:val="both"/>
        <w:rPr>
          <w:sz w:val="24"/>
        </w:rPr>
      </w:pPr>
      <w:r>
        <w:rPr>
          <w:sz w:val="24"/>
        </w:rPr>
        <w:t>For</w:t>
      </w:r>
      <w:r>
        <w:rPr>
          <w:spacing w:val="-15"/>
          <w:sz w:val="24"/>
        </w:rPr>
        <w:t> </w:t>
      </w:r>
      <w:r>
        <w:rPr>
          <w:sz w:val="24"/>
        </w:rPr>
        <w:t>Surrender</w:t>
      </w:r>
      <w:r>
        <w:rPr>
          <w:spacing w:val="-12"/>
          <w:sz w:val="24"/>
        </w:rPr>
        <w:t> </w:t>
      </w:r>
      <w:r>
        <w:rPr>
          <w:sz w:val="24"/>
        </w:rPr>
        <w:t>of</w:t>
      </w:r>
      <w:r>
        <w:rPr>
          <w:spacing w:val="-14"/>
          <w:sz w:val="24"/>
        </w:rPr>
        <w:t> </w:t>
      </w:r>
      <w:r>
        <w:rPr>
          <w:sz w:val="24"/>
        </w:rPr>
        <w:t>the</w:t>
      </w:r>
      <w:r>
        <w:rPr>
          <w:spacing w:val="-14"/>
          <w:sz w:val="24"/>
        </w:rPr>
        <w:t> </w:t>
      </w:r>
      <w:r>
        <w:rPr>
          <w:sz w:val="24"/>
        </w:rPr>
        <w:t>gross</w:t>
      </w:r>
      <w:r>
        <w:rPr>
          <w:spacing w:val="-14"/>
          <w:sz w:val="24"/>
        </w:rPr>
        <w:t> </w:t>
      </w:r>
      <w:r>
        <w:rPr>
          <w:sz w:val="24"/>
        </w:rPr>
        <w:t>area</w:t>
      </w:r>
      <w:r>
        <w:rPr>
          <w:spacing w:val="-14"/>
          <w:sz w:val="24"/>
        </w:rPr>
        <w:t> </w:t>
      </w:r>
      <w:r>
        <w:rPr>
          <w:sz w:val="24"/>
        </w:rPr>
        <w:t>of</w:t>
      </w:r>
      <w:r>
        <w:rPr>
          <w:spacing w:val="-14"/>
          <w:sz w:val="24"/>
        </w:rPr>
        <w:t> </w:t>
      </w:r>
      <w:r>
        <w:rPr>
          <w:sz w:val="24"/>
        </w:rPr>
        <w:t>the</w:t>
      </w:r>
      <w:r>
        <w:rPr>
          <w:spacing w:val="-14"/>
          <w:sz w:val="24"/>
        </w:rPr>
        <w:t> </w:t>
      </w:r>
      <w:r>
        <w:rPr>
          <w:sz w:val="24"/>
        </w:rPr>
        <w:t>land</w:t>
      </w:r>
      <w:r>
        <w:rPr>
          <w:spacing w:val="-14"/>
          <w:sz w:val="24"/>
        </w:rPr>
        <w:t> </w:t>
      </w:r>
      <w:r>
        <w:rPr>
          <w:sz w:val="24"/>
        </w:rPr>
        <w:t>which</w:t>
      </w:r>
      <w:r>
        <w:rPr>
          <w:spacing w:val="-14"/>
          <w:sz w:val="24"/>
        </w:rPr>
        <w:t> </w:t>
      </w:r>
      <w:r>
        <w:rPr>
          <w:sz w:val="24"/>
        </w:rPr>
        <w:t>is</w:t>
      </w:r>
      <w:r>
        <w:rPr>
          <w:spacing w:val="-14"/>
          <w:sz w:val="24"/>
        </w:rPr>
        <w:t> </w:t>
      </w:r>
      <w:r>
        <w:rPr>
          <w:sz w:val="24"/>
        </w:rPr>
        <w:t>subjected</w:t>
      </w:r>
      <w:r>
        <w:rPr>
          <w:spacing w:val="-14"/>
          <w:sz w:val="24"/>
        </w:rPr>
        <w:t> </w:t>
      </w:r>
      <w:r>
        <w:rPr>
          <w:sz w:val="24"/>
        </w:rPr>
        <w:t>to</w:t>
      </w:r>
      <w:r>
        <w:rPr>
          <w:spacing w:val="-14"/>
          <w:sz w:val="24"/>
        </w:rPr>
        <w:t> </w:t>
      </w:r>
      <w:r>
        <w:rPr>
          <w:sz w:val="24"/>
        </w:rPr>
        <w:t>acquisition, free</w:t>
      </w:r>
      <w:r>
        <w:rPr>
          <w:spacing w:val="-3"/>
          <w:sz w:val="24"/>
        </w:rPr>
        <w:t> </w:t>
      </w:r>
      <w:r>
        <w:rPr>
          <w:sz w:val="24"/>
        </w:rPr>
        <w:t>of</w:t>
      </w:r>
      <w:r>
        <w:rPr>
          <w:spacing w:val="-3"/>
          <w:sz w:val="24"/>
        </w:rPr>
        <w:t> </w:t>
      </w:r>
      <w:r>
        <w:rPr>
          <w:sz w:val="24"/>
        </w:rPr>
        <w:t>cost</w:t>
      </w:r>
      <w:r>
        <w:rPr>
          <w:spacing w:val="-3"/>
          <w:sz w:val="24"/>
        </w:rPr>
        <w:t> </w:t>
      </w:r>
      <w:r>
        <w:rPr>
          <w:sz w:val="24"/>
        </w:rPr>
        <w:t>and</w:t>
      </w:r>
      <w:r>
        <w:rPr>
          <w:spacing w:val="-3"/>
          <w:sz w:val="24"/>
        </w:rPr>
        <w:t> </w:t>
      </w:r>
      <w:r>
        <w:rPr>
          <w:sz w:val="24"/>
        </w:rPr>
        <w:t>free</w:t>
      </w:r>
      <w:r>
        <w:rPr>
          <w:spacing w:val="-6"/>
          <w:sz w:val="24"/>
        </w:rPr>
        <w:t> </w:t>
      </w:r>
      <w:r>
        <w:rPr>
          <w:sz w:val="24"/>
        </w:rPr>
        <w:t>from</w:t>
      </w:r>
      <w:r>
        <w:rPr>
          <w:spacing w:val="-3"/>
          <w:sz w:val="24"/>
        </w:rPr>
        <w:t> </w:t>
      </w:r>
      <w:r>
        <w:rPr>
          <w:sz w:val="24"/>
        </w:rPr>
        <w:t>all</w:t>
      </w:r>
      <w:r>
        <w:rPr>
          <w:spacing w:val="-3"/>
          <w:sz w:val="24"/>
        </w:rPr>
        <w:t> </w:t>
      </w:r>
      <w:r>
        <w:rPr>
          <w:sz w:val="24"/>
        </w:rPr>
        <w:t>encumbrances,</w:t>
      </w:r>
      <w:r>
        <w:rPr>
          <w:spacing w:val="-3"/>
          <w:sz w:val="24"/>
        </w:rPr>
        <w:t> </w:t>
      </w:r>
      <w:r>
        <w:rPr>
          <w:sz w:val="24"/>
        </w:rPr>
        <w:t>the</w:t>
      </w:r>
      <w:r>
        <w:rPr>
          <w:spacing w:val="-3"/>
          <w:sz w:val="24"/>
        </w:rPr>
        <w:t> </w:t>
      </w:r>
      <w:r>
        <w:rPr>
          <w:sz w:val="24"/>
        </w:rPr>
        <w:t>owner</w:t>
      </w:r>
      <w:r>
        <w:rPr>
          <w:spacing w:val="-3"/>
          <w:sz w:val="24"/>
        </w:rPr>
        <w:t> </w:t>
      </w:r>
      <w:r>
        <w:rPr>
          <w:sz w:val="24"/>
        </w:rPr>
        <w:t>shall</w:t>
      </w:r>
      <w:r>
        <w:rPr>
          <w:spacing w:val="-3"/>
          <w:sz w:val="24"/>
        </w:rPr>
        <w:t> </w:t>
      </w:r>
      <w:r>
        <w:rPr>
          <w:sz w:val="24"/>
        </w:rPr>
        <w:t>be</w:t>
      </w:r>
      <w:r>
        <w:rPr>
          <w:spacing w:val="-3"/>
          <w:sz w:val="24"/>
        </w:rPr>
        <w:t> </w:t>
      </w:r>
      <w:r>
        <w:rPr>
          <w:sz w:val="24"/>
        </w:rPr>
        <w:t>entitled</w:t>
      </w:r>
      <w:r>
        <w:rPr>
          <w:spacing w:val="-3"/>
          <w:sz w:val="24"/>
        </w:rPr>
        <w:t> </w:t>
      </w:r>
      <w:r>
        <w:rPr>
          <w:sz w:val="24"/>
        </w:rPr>
        <w:t>for</w:t>
      </w:r>
      <w:r>
        <w:rPr>
          <w:spacing w:val="-3"/>
          <w:sz w:val="24"/>
        </w:rPr>
        <w:t> </w:t>
      </w:r>
      <w:r>
        <w:rPr>
          <w:sz w:val="24"/>
        </w:rPr>
        <w:t>TDR</w:t>
      </w:r>
      <w:r>
        <w:rPr>
          <w:spacing w:val="-3"/>
          <w:sz w:val="24"/>
        </w:rPr>
        <w:t> </w:t>
      </w:r>
      <w:r>
        <w:rPr>
          <w:sz w:val="24"/>
        </w:rPr>
        <w:t>or DR irrespective of the FSI permissible or development potential of the very </w:t>
      </w:r>
      <w:r>
        <w:rPr>
          <w:sz w:val="24"/>
        </w:rPr>
        <w:t>said land</w:t>
      </w:r>
      <w:r>
        <w:rPr>
          <w:spacing w:val="-3"/>
          <w:sz w:val="24"/>
        </w:rPr>
        <w:t> </w:t>
      </w:r>
      <w:r>
        <w:rPr>
          <w:sz w:val="24"/>
        </w:rPr>
        <w:t>to</w:t>
      </w:r>
      <w:r>
        <w:rPr>
          <w:spacing w:val="-3"/>
          <w:sz w:val="24"/>
        </w:rPr>
        <w:t> </w:t>
      </w:r>
      <w:r>
        <w:rPr>
          <w:sz w:val="24"/>
        </w:rPr>
        <w:t>be</w:t>
      </w:r>
      <w:r>
        <w:rPr>
          <w:spacing w:val="-3"/>
          <w:sz w:val="24"/>
        </w:rPr>
        <w:t> </w:t>
      </w:r>
      <w:r>
        <w:rPr>
          <w:sz w:val="24"/>
        </w:rPr>
        <w:t>surrender</w:t>
      </w:r>
      <w:r>
        <w:rPr>
          <w:spacing w:val="-3"/>
          <w:sz w:val="24"/>
        </w:rPr>
        <w:t> </w:t>
      </w:r>
      <w:r>
        <w:rPr>
          <w:sz w:val="24"/>
        </w:rPr>
        <w:t>and</w:t>
      </w:r>
      <w:r>
        <w:rPr>
          <w:spacing w:val="-3"/>
          <w:sz w:val="24"/>
        </w:rPr>
        <w:t> </w:t>
      </w:r>
      <w:r>
        <w:rPr>
          <w:sz w:val="24"/>
        </w:rPr>
        <w:t>also</w:t>
      </w:r>
      <w:r>
        <w:rPr>
          <w:spacing w:val="-3"/>
          <w:sz w:val="24"/>
        </w:rPr>
        <w:t> </w:t>
      </w:r>
      <w:r>
        <w:rPr>
          <w:sz w:val="24"/>
        </w:rPr>
        <w:t>that</w:t>
      </w:r>
      <w:r>
        <w:rPr>
          <w:spacing w:val="-3"/>
          <w:sz w:val="24"/>
        </w:rPr>
        <w:t> </w:t>
      </w:r>
      <w:r>
        <w:rPr>
          <w:sz w:val="24"/>
        </w:rPr>
        <w:t>of</w:t>
      </w:r>
      <w:r>
        <w:rPr>
          <w:spacing w:val="-3"/>
          <w:sz w:val="24"/>
        </w:rPr>
        <w:t> </w:t>
      </w:r>
      <w:r>
        <w:rPr>
          <w:sz w:val="24"/>
        </w:rPr>
        <w:t>land</w:t>
      </w:r>
      <w:r>
        <w:rPr>
          <w:spacing w:val="-3"/>
          <w:sz w:val="24"/>
        </w:rPr>
        <w:t> </w:t>
      </w:r>
      <w:r>
        <w:rPr>
          <w:sz w:val="24"/>
        </w:rPr>
        <w:t>surrounding</w:t>
      </w:r>
      <w:r>
        <w:rPr>
          <w:spacing w:val="-3"/>
          <w:sz w:val="24"/>
        </w:rPr>
        <w:t> </w:t>
      </w:r>
      <w:r>
        <w:rPr>
          <w:sz w:val="24"/>
        </w:rPr>
        <w:t>to</w:t>
      </w:r>
      <w:r>
        <w:rPr>
          <w:spacing w:val="-3"/>
          <w:sz w:val="24"/>
        </w:rPr>
        <w:t> </w:t>
      </w:r>
      <w:r>
        <w:rPr>
          <w:sz w:val="24"/>
        </w:rPr>
        <w:t>such</w:t>
      </w:r>
      <w:r>
        <w:rPr>
          <w:spacing w:val="-3"/>
          <w:sz w:val="24"/>
        </w:rPr>
        <w:t> </w:t>
      </w:r>
      <w:r>
        <w:rPr>
          <w:sz w:val="24"/>
        </w:rPr>
        <w:t>land</w:t>
      </w:r>
      <w:r>
        <w:rPr>
          <w:spacing w:val="-3"/>
          <w:sz w:val="24"/>
        </w:rPr>
        <w:t> </w:t>
      </w:r>
      <w:r>
        <w:rPr>
          <w:sz w:val="24"/>
        </w:rPr>
        <w:t>at</w:t>
      </w:r>
      <w:r>
        <w:rPr>
          <w:spacing w:val="-3"/>
          <w:sz w:val="24"/>
        </w:rPr>
        <w:t> </w:t>
      </w:r>
      <w:r>
        <w:rPr>
          <w:sz w:val="24"/>
        </w:rPr>
        <w:t>the</w:t>
      </w:r>
      <w:r>
        <w:rPr>
          <w:spacing w:val="-3"/>
          <w:sz w:val="24"/>
        </w:rPr>
        <w:t> </w:t>
      </w:r>
      <w:r>
        <w:rPr>
          <w:sz w:val="24"/>
        </w:rPr>
        <w:t>rate</w:t>
      </w:r>
      <w:r>
        <w:rPr>
          <w:spacing w:val="-3"/>
          <w:sz w:val="24"/>
        </w:rPr>
        <w:t> </w:t>
      </w:r>
      <w:r>
        <w:rPr>
          <w:sz w:val="24"/>
        </w:rPr>
        <w:t>as given below:-</w:t>
      </w:r>
    </w:p>
    <w:p>
      <w:pPr>
        <w:pStyle w:val="BodyText"/>
        <w:jc w:val="left"/>
      </w:pPr>
    </w:p>
    <w:p>
      <w:pPr>
        <w:pStyle w:val="BodyText"/>
        <w:jc w:val="left"/>
      </w:pPr>
    </w:p>
    <w:p>
      <w:pPr>
        <w:spacing w:before="1"/>
        <w:ind w:left="772" w:right="0" w:firstLine="0"/>
        <w:jc w:val="left"/>
        <w:rPr>
          <w:sz w:val="22"/>
        </w:rPr>
      </w:pPr>
      <w:r>
        <w:rPr>
          <w:sz w:val="22"/>
        </w:rPr>
        <w:t>Tabel</w:t>
      </w:r>
      <w:r>
        <w:rPr>
          <w:spacing w:val="-5"/>
          <w:sz w:val="22"/>
        </w:rPr>
        <w:t> </w:t>
      </w:r>
      <w:r>
        <w:rPr>
          <w:sz w:val="22"/>
        </w:rPr>
        <w:t>No.</w:t>
      </w:r>
      <w:r>
        <w:rPr>
          <w:spacing w:val="-3"/>
          <w:sz w:val="22"/>
        </w:rPr>
        <w:t> </w:t>
      </w:r>
      <w:r>
        <w:rPr>
          <w:spacing w:val="-4"/>
          <w:sz w:val="22"/>
        </w:rPr>
        <w:t>12A.</w:t>
      </w:r>
    </w:p>
    <w:p>
      <w:pPr>
        <w:pStyle w:val="BodyText"/>
        <w:spacing w:before="43"/>
        <w:jc w:val="left"/>
        <w:rPr>
          <w:sz w:val="2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6"/>
        <w:gridCol w:w="3106"/>
        <w:gridCol w:w="113"/>
        <w:gridCol w:w="1167"/>
        <w:gridCol w:w="1698"/>
        <w:gridCol w:w="142"/>
        <w:gridCol w:w="3119"/>
      </w:tblGrid>
      <w:tr>
        <w:trPr>
          <w:trHeight w:val="1223" w:hRule="atLeast"/>
        </w:trPr>
        <w:tc>
          <w:tcPr>
            <w:tcW w:w="406" w:type="dxa"/>
          </w:tcPr>
          <w:p>
            <w:pPr>
              <w:pStyle w:val="TableParagraph"/>
              <w:spacing w:before="94"/>
              <w:ind w:left="110"/>
              <w:rPr>
                <w:sz w:val="22"/>
              </w:rPr>
            </w:pPr>
            <w:r>
              <w:rPr>
                <w:spacing w:val="-10"/>
                <w:sz w:val="22"/>
              </w:rPr>
              <w:t>S</w:t>
            </w:r>
          </w:p>
          <w:p>
            <w:pPr>
              <w:pStyle w:val="TableParagraph"/>
              <w:spacing w:before="1"/>
              <w:ind w:left="110" w:right="113"/>
              <w:rPr>
                <w:sz w:val="22"/>
              </w:rPr>
            </w:pPr>
            <w:r>
              <w:rPr>
                <w:spacing w:val="-10"/>
                <w:sz w:val="22"/>
              </w:rPr>
              <w:t>r N</w:t>
            </w:r>
          </w:p>
          <w:p>
            <w:pPr>
              <w:pStyle w:val="TableParagraph"/>
              <w:spacing w:line="258" w:lineRule="exact"/>
              <w:ind w:left="110"/>
              <w:rPr>
                <w:sz w:val="22"/>
              </w:rPr>
            </w:pPr>
            <w:r>
              <w:rPr>
                <w:spacing w:val="-10"/>
                <w:sz w:val="22"/>
              </w:rPr>
              <w:t>o</w:t>
            </w:r>
          </w:p>
        </w:tc>
        <w:tc>
          <w:tcPr>
            <w:tcW w:w="3106" w:type="dxa"/>
          </w:tcPr>
          <w:p>
            <w:pPr>
              <w:pStyle w:val="TableParagraph"/>
              <w:spacing w:before="94"/>
              <w:ind w:left="110"/>
              <w:rPr>
                <w:sz w:val="22"/>
              </w:rPr>
            </w:pPr>
            <w:r>
              <w:rPr>
                <w:spacing w:val="-2"/>
                <w:sz w:val="22"/>
              </w:rPr>
              <w:t>Instances</w:t>
            </w:r>
          </w:p>
        </w:tc>
        <w:tc>
          <w:tcPr>
            <w:tcW w:w="3120" w:type="dxa"/>
            <w:gridSpan w:val="4"/>
          </w:tcPr>
          <w:p>
            <w:pPr>
              <w:pStyle w:val="TableParagraph"/>
              <w:spacing w:before="94"/>
              <w:ind w:left="107"/>
              <w:rPr>
                <w:sz w:val="22"/>
              </w:rPr>
            </w:pPr>
            <w:r>
              <w:rPr>
                <w:sz w:val="22"/>
              </w:rPr>
              <w:t>Extent</w:t>
            </w:r>
            <w:r>
              <w:rPr>
                <w:spacing w:val="46"/>
                <w:sz w:val="22"/>
              </w:rPr>
              <w:t> </w:t>
            </w:r>
            <w:r>
              <w:rPr>
                <w:sz w:val="22"/>
              </w:rPr>
              <w:t>of</w:t>
            </w:r>
            <w:r>
              <w:rPr>
                <w:spacing w:val="45"/>
                <w:sz w:val="22"/>
              </w:rPr>
              <w:t> </w:t>
            </w:r>
            <w:r>
              <w:rPr>
                <w:spacing w:val="-5"/>
                <w:sz w:val="22"/>
              </w:rPr>
              <w:t>TDR</w:t>
            </w:r>
          </w:p>
        </w:tc>
        <w:tc>
          <w:tcPr>
            <w:tcW w:w="3119" w:type="dxa"/>
          </w:tcPr>
          <w:p>
            <w:pPr>
              <w:pStyle w:val="TableParagraph"/>
              <w:spacing w:before="94"/>
              <w:ind w:left="108"/>
              <w:rPr>
                <w:sz w:val="22"/>
              </w:rPr>
            </w:pPr>
            <w:r>
              <w:rPr>
                <w:spacing w:val="-2"/>
                <w:sz w:val="22"/>
              </w:rPr>
              <w:t>Remarks/conditions</w:t>
            </w:r>
          </w:p>
        </w:tc>
      </w:tr>
      <w:tr>
        <w:trPr>
          <w:trHeight w:val="450" w:hRule="atLeast"/>
        </w:trPr>
        <w:tc>
          <w:tcPr>
            <w:tcW w:w="406" w:type="dxa"/>
            <w:vMerge w:val="restart"/>
          </w:tcPr>
          <w:p>
            <w:pPr>
              <w:pStyle w:val="TableParagraph"/>
              <w:spacing w:before="97"/>
              <w:ind w:left="110"/>
              <w:rPr>
                <w:sz w:val="22"/>
              </w:rPr>
            </w:pPr>
            <w:r>
              <w:rPr>
                <w:spacing w:val="-10"/>
                <w:sz w:val="22"/>
              </w:rPr>
              <w:t>1</w:t>
            </w:r>
          </w:p>
        </w:tc>
        <w:tc>
          <w:tcPr>
            <w:tcW w:w="3106" w:type="dxa"/>
            <w:vMerge w:val="restart"/>
          </w:tcPr>
          <w:p>
            <w:pPr>
              <w:pStyle w:val="TableParagraph"/>
              <w:numPr>
                <w:ilvl w:val="0"/>
                <w:numId w:val="120"/>
              </w:numPr>
              <w:tabs>
                <w:tab w:pos="375" w:val="left" w:leader="none"/>
                <w:tab w:pos="1369" w:val="left" w:leader="none"/>
                <w:tab w:pos="2804" w:val="left" w:leader="none"/>
              </w:tabs>
              <w:spacing w:line="240" w:lineRule="auto" w:before="97" w:after="0"/>
              <w:ind w:left="182" w:right="93" w:firstLine="0"/>
              <w:jc w:val="left"/>
              <w:rPr>
                <w:sz w:val="22"/>
              </w:rPr>
            </w:pPr>
            <w:r>
              <w:rPr>
                <w:sz w:val="22"/>
              </w:rPr>
              <w:t>If</w:t>
            </w:r>
            <w:r>
              <w:rPr>
                <w:spacing w:val="80"/>
                <w:sz w:val="22"/>
              </w:rPr>
              <w:t> </w:t>
            </w:r>
            <w:r>
              <w:rPr>
                <w:sz w:val="22"/>
              </w:rPr>
              <w:t>plot of land reserved for public purpose in the DP,</w:t>
            </w:r>
            <w:r>
              <w:rPr>
                <w:spacing w:val="80"/>
                <w:sz w:val="22"/>
              </w:rPr>
              <w:t> </w:t>
            </w:r>
            <w:r>
              <w:rPr>
                <w:sz w:val="24"/>
              </w:rPr>
              <w:t>RL, Nala widening, Land</w:t>
            </w:r>
            <w:r>
              <w:rPr>
                <w:spacing w:val="-20"/>
                <w:sz w:val="24"/>
              </w:rPr>
              <w:t> </w:t>
            </w:r>
            <w:r>
              <w:rPr>
                <w:sz w:val="24"/>
              </w:rPr>
              <w:t>required</w:t>
            </w:r>
            <w:r>
              <w:rPr>
                <w:spacing w:val="-19"/>
                <w:sz w:val="24"/>
              </w:rPr>
              <w:t> </w:t>
            </w:r>
            <w:r>
              <w:rPr>
                <w:sz w:val="24"/>
              </w:rPr>
              <w:t>for</w:t>
            </w:r>
            <w:r>
              <w:rPr>
                <w:spacing w:val="-19"/>
                <w:sz w:val="24"/>
              </w:rPr>
              <w:t> </w:t>
            </w:r>
            <w:r>
              <w:rPr>
                <w:sz w:val="24"/>
              </w:rPr>
              <w:t>public purpose</w:t>
            </w:r>
            <w:r>
              <w:rPr>
                <w:spacing w:val="40"/>
                <w:sz w:val="24"/>
              </w:rPr>
              <w:t> </w:t>
            </w:r>
            <w:r>
              <w:rPr>
                <w:sz w:val="24"/>
              </w:rPr>
              <w:t>as</w:t>
            </w:r>
            <w:r>
              <w:rPr>
                <w:spacing w:val="40"/>
                <w:sz w:val="24"/>
              </w:rPr>
              <w:t> </w:t>
            </w:r>
            <w:r>
              <w:rPr>
                <w:sz w:val="24"/>
              </w:rPr>
              <w:t>per</w:t>
            </w:r>
            <w:r>
              <w:rPr>
                <w:spacing w:val="40"/>
                <w:sz w:val="24"/>
              </w:rPr>
              <w:t> </w:t>
            </w:r>
            <w:r>
              <w:rPr>
                <w:sz w:val="24"/>
              </w:rPr>
              <w:t>clause 2(viii) of this Regulation and</w:t>
            </w:r>
            <w:r>
              <w:rPr>
                <w:spacing w:val="-12"/>
                <w:sz w:val="24"/>
              </w:rPr>
              <w:t> </w:t>
            </w:r>
            <w:r>
              <w:rPr>
                <w:sz w:val="24"/>
              </w:rPr>
              <w:t>deemed</w:t>
            </w:r>
            <w:r>
              <w:rPr>
                <w:spacing w:val="-12"/>
                <w:sz w:val="24"/>
              </w:rPr>
              <w:t> </w:t>
            </w:r>
            <w:r>
              <w:rPr>
                <w:sz w:val="24"/>
              </w:rPr>
              <w:t>reservation </w:t>
            </w:r>
            <w:r>
              <w:rPr>
                <w:sz w:val="22"/>
              </w:rPr>
              <w:t>and land is transferred in </w:t>
            </w:r>
            <w:r>
              <w:rPr>
                <w:spacing w:val="-4"/>
                <w:sz w:val="22"/>
              </w:rPr>
              <w:t>the</w:t>
            </w:r>
            <w:r>
              <w:rPr>
                <w:sz w:val="22"/>
              </w:rPr>
              <w:tab/>
            </w:r>
            <w:r>
              <w:rPr>
                <w:spacing w:val="-4"/>
                <w:sz w:val="22"/>
              </w:rPr>
              <w:t>name</w:t>
            </w:r>
            <w:r>
              <w:rPr>
                <w:sz w:val="22"/>
              </w:rPr>
              <w:tab/>
            </w:r>
            <w:r>
              <w:rPr>
                <w:spacing w:val="-6"/>
                <w:sz w:val="22"/>
              </w:rPr>
              <w:t>of </w:t>
            </w:r>
            <w:r>
              <w:rPr>
                <w:spacing w:val="-2"/>
                <w:sz w:val="22"/>
              </w:rPr>
              <w:t>MCGM/Appropriate Authority.</w:t>
            </w:r>
          </w:p>
        </w:tc>
        <w:tc>
          <w:tcPr>
            <w:tcW w:w="3120" w:type="dxa"/>
            <w:gridSpan w:val="4"/>
          </w:tcPr>
          <w:p>
            <w:pPr>
              <w:pStyle w:val="TableParagraph"/>
              <w:rPr>
                <w:rFonts w:ascii="Times New Roman"/>
                <w:sz w:val="22"/>
              </w:rPr>
            </w:pPr>
          </w:p>
        </w:tc>
        <w:tc>
          <w:tcPr>
            <w:tcW w:w="3119" w:type="dxa"/>
            <w:vMerge w:val="restart"/>
          </w:tcPr>
          <w:p>
            <w:pPr>
              <w:pStyle w:val="TableParagraph"/>
              <w:numPr>
                <w:ilvl w:val="0"/>
                <w:numId w:val="121"/>
              </w:numPr>
              <w:tabs>
                <w:tab w:pos="386" w:val="left" w:leader="none"/>
                <w:tab w:pos="842" w:val="left" w:leader="none"/>
                <w:tab w:pos="1365" w:val="left" w:leader="none"/>
                <w:tab w:pos="1528" w:val="left" w:leader="none"/>
                <w:tab w:pos="1775" w:val="left" w:leader="none"/>
                <w:tab w:pos="1843" w:val="left" w:leader="none"/>
                <w:tab w:pos="1955" w:val="left" w:leader="none"/>
                <w:tab w:pos="2250" w:val="left" w:leader="none"/>
                <w:tab w:pos="2663" w:val="left" w:leader="none"/>
                <w:tab w:pos="2739" w:val="left" w:leader="none"/>
                <w:tab w:pos="2797" w:val="left" w:leader="none"/>
              </w:tabs>
              <w:spacing w:line="240" w:lineRule="auto" w:before="97" w:after="0"/>
              <w:ind w:left="108" w:right="95" w:firstLine="0"/>
              <w:jc w:val="left"/>
              <w:rPr>
                <w:sz w:val="22"/>
              </w:rPr>
            </w:pPr>
            <w:r>
              <w:rPr>
                <w:sz w:val="22"/>
              </w:rPr>
              <w:t>Where FSI</w:t>
            </w:r>
            <w:r>
              <w:rPr>
                <w:spacing w:val="-2"/>
                <w:sz w:val="22"/>
              </w:rPr>
              <w:t> </w:t>
            </w:r>
            <w:r>
              <w:rPr>
                <w:sz w:val="22"/>
              </w:rPr>
              <w:t>benefit</w:t>
            </w:r>
            <w:r>
              <w:rPr>
                <w:spacing w:val="-1"/>
                <w:sz w:val="22"/>
              </w:rPr>
              <w:t> </w:t>
            </w:r>
            <w:r>
              <w:rPr>
                <w:sz w:val="22"/>
              </w:rPr>
              <w:t>is</w:t>
            </w:r>
            <w:r>
              <w:rPr>
                <w:spacing w:val="-1"/>
                <w:sz w:val="22"/>
              </w:rPr>
              <w:t> </w:t>
            </w:r>
            <w:r>
              <w:rPr>
                <w:sz w:val="22"/>
              </w:rPr>
              <w:t>not </w:t>
            </w:r>
            <w:r>
              <w:rPr>
                <w:spacing w:val="-2"/>
                <w:sz w:val="22"/>
              </w:rPr>
              <w:t>approved</w:t>
            </w:r>
            <w:r>
              <w:rPr>
                <w:sz w:val="22"/>
              </w:rPr>
              <w:tab/>
              <w:tab/>
              <w:tab/>
            </w:r>
            <w:r>
              <w:rPr>
                <w:spacing w:val="-6"/>
                <w:sz w:val="22"/>
              </w:rPr>
              <w:t>in</w:t>
            </w:r>
            <w:r>
              <w:rPr>
                <w:sz w:val="22"/>
              </w:rPr>
              <w:tab/>
              <w:tab/>
            </w:r>
            <w:r>
              <w:rPr>
                <w:spacing w:val="-4"/>
                <w:sz w:val="22"/>
              </w:rPr>
              <w:t>the </w:t>
            </w:r>
            <w:r>
              <w:rPr>
                <w:sz w:val="22"/>
              </w:rPr>
              <w:t>development</w:t>
            </w:r>
            <w:r>
              <w:rPr>
                <w:spacing w:val="80"/>
                <w:sz w:val="22"/>
              </w:rPr>
              <w:t> </w:t>
            </w:r>
            <w:r>
              <w:rPr>
                <w:sz w:val="22"/>
              </w:rPr>
              <w:t>proposal</w:t>
            </w:r>
            <w:r>
              <w:rPr>
                <w:spacing w:val="80"/>
                <w:sz w:val="22"/>
              </w:rPr>
              <w:t> </w:t>
            </w:r>
            <w:r>
              <w:rPr>
                <w:sz w:val="22"/>
              </w:rPr>
              <w:t>on </w:t>
            </w:r>
            <w:r>
              <w:rPr>
                <w:spacing w:val="-2"/>
                <w:sz w:val="22"/>
              </w:rPr>
              <w:t>remainder</w:t>
            </w:r>
            <w:r>
              <w:rPr>
                <w:sz w:val="22"/>
              </w:rPr>
              <w:tab/>
              <w:tab/>
            </w:r>
            <w:r>
              <w:rPr>
                <w:spacing w:val="-4"/>
                <w:sz w:val="22"/>
              </w:rPr>
              <w:t>plot</w:t>
            </w:r>
            <w:r>
              <w:rPr>
                <w:sz w:val="22"/>
              </w:rPr>
              <w:tab/>
              <w:tab/>
            </w:r>
            <w:r>
              <w:rPr>
                <w:spacing w:val="-10"/>
                <w:sz w:val="22"/>
              </w:rPr>
              <w:t>&amp;</w:t>
            </w:r>
            <w:r>
              <w:rPr>
                <w:sz w:val="22"/>
              </w:rPr>
              <w:tab/>
              <w:tab/>
            </w:r>
            <w:r>
              <w:rPr>
                <w:spacing w:val="-6"/>
                <w:sz w:val="22"/>
              </w:rPr>
              <w:t>no </w:t>
            </w:r>
            <w:r>
              <w:rPr>
                <w:spacing w:val="-2"/>
                <w:sz w:val="22"/>
              </w:rPr>
              <w:t>TDR/monitory compensation</w:t>
            </w:r>
            <w:r>
              <w:rPr>
                <w:sz w:val="22"/>
              </w:rPr>
              <w:tab/>
              <w:tab/>
            </w:r>
            <w:r>
              <w:rPr>
                <w:spacing w:val="-6"/>
                <w:sz w:val="22"/>
              </w:rPr>
              <w:t>is</w:t>
            </w:r>
            <w:r>
              <w:rPr>
                <w:sz w:val="22"/>
              </w:rPr>
              <w:tab/>
            </w:r>
            <w:r>
              <w:rPr>
                <w:spacing w:val="-65"/>
                <w:sz w:val="22"/>
              </w:rPr>
              <w:t> </w:t>
            </w:r>
            <w:r>
              <w:rPr>
                <w:spacing w:val="-2"/>
                <w:sz w:val="22"/>
              </w:rPr>
              <w:t>availed </w:t>
            </w:r>
            <w:r>
              <w:rPr>
                <w:spacing w:val="-4"/>
                <w:sz w:val="24"/>
              </w:rPr>
              <w:t>due</w:t>
            </w:r>
            <w:r>
              <w:rPr>
                <w:sz w:val="24"/>
              </w:rPr>
              <w:tab/>
            </w:r>
            <w:r>
              <w:rPr>
                <w:spacing w:val="-6"/>
                <w:sz w:val="24"/>
              </w:rPr>
              <w:t>to</w:t>
            </w:r>
            <w:r>
              <w:rPr>
                <w:sz w:val="24"/>
              </w:rPr>
              <w:tab/>
            </w:r>
            <w:r>
              <w:rPr>
                <w:spacing w:val="-6"/>
                <w:sz w:val="24"/>
              </w:rPr>
              <w:t>no</w:t>
            </w:r>
            <w:r>
              <w:rPr>
                <w:sz w:val="24"/>
              </w:rPr>
              <w:tab/>
              <w:tab/>
              <w:tab/>
            </w:r>
            <w:r>
              <w:rPr>
                <w:spacing w:val="-2"/>
                <w:sz w:val="24"/>
              </w:rPr>
              <w:t>fault</w:t>
            </w:r>
            <w:r>
              <w:rPr>
                <w:sz w:val="24"/>
              </w:rPr>
              <w:tab/>
              <w:tab/>
              <w:tab/>
            </w:r>
            <w:r>
              <w:rPr>
                <w:spacing w:val="-6"/>
                <w:sz w:val="24"/>
              </w:rPr>
              <w:t>of </w:t>
            </w:r>
            <w:r>
              <w:rPr>
                <w:spacing w:val="-2"/>
                <w:sz w:val="24"/>
              </w:rPr>
              <w:t>Landowner</w:t>
            </w:r>
            <w:r>
              <w:rPr>
                <w:spacing w:val="-2"/>
                <w:sz w:val="22"/>
              </w:rPr>
              <w:t>.</w:t>
            </w:r>
          </w:p>
          <w:p>
            <w:pPr>
              <w:pStyle w:val="TableParagraph"/>
              <w:numPr>
                <w:ilvl w:val="0"/>
                <w:numId w:val="121"/>
              </w:numPr>
              <w:tabs>
                <w:tab w:pos="459" w:val="left" w:leader="none"/>
              </w:tabs>
              <w:spacing w:line="240" w:lineRule="auto" w:before="96" w:after="0"/>
              <w:ind w:left="108" w:right="95" w:firstLine="0"/>
              <w:jc w:val="both"/>
              <w:rPr>
                <w:sz w:val="22"/>
              </w:rPr>
            </w:pPr>
            <w:r>
              <w:rPr>
                <w:sz w:val="22"/>
              </w:rPr>
              <w:t>award is not declared under relevant</w:t>
            </w:r>
            <w:r>
              <w:rPr>
                <w:spacing w:val="-3"/>
                <w:sz w:val="22"/>
              </w:rPr>
              <w:t> </w:t>
            </w:r>
            <w:r>
              <w:rPr>
                <w:sz w:val="22"/>
              </w:rPr>
              <w:t>Act</w:t>
            </w:r>
            <w:r>
              <w:rPr>
                <w:spacing w:val="40"/>
                <w:sz w:val="22"/>
              </w:rPr>
              <w:t> </w:t>
            </w:r>
            <w:r>
              <w:rPr>
                <w:sz w:val="22"/>
              </w:rPr>
              <w:t>or</w:t>
            </w:r>
            <w:r>
              <w:rPr>
                <w:spacing w:val="-5"/>
                <w:sz w:val="22"/>
              </w:rPr>
              <w:t> </w:t>
            </w:r>
            <w:r>
              <w:rPr>
                <w:sz w:val="22"/>
              </w:rPr>
              <w:t>any compensation has not been paid</w:t>
            </w:r>
          </w:p>
        </w:tc>
      </w:tr>
      <w:tr>
        <w:trPr>
          <w:trHeight w:val="1226" w:hRule="atLeast"/>
        </w:trPr>
        <w:tc>
          <w:tcPr>
            <w:tcW w:w="406" w:type="dxa"/>
            <w:vMerge/>
            <w:tcBorders>
              <w:top w:val="nil"/>
            </w:tcBorders>
          </w:tcPr>
          <w:p>
            <w:pPr>
              <w:rPr>
                <w:sz w:val="2"/>
                <w:szCs w:val="2"/>
              </w:rPr>
            </w:pPr>
          </w:p>
        </w:tc>
        <w:tc>
          <w:tcPr>
            <w:tcW w:w="3106" w:type="dxa"/>
            <w:vMerge/>
            <w:tcBorders>
              <w:top w:val="nil"/>
            </w:tcBorders>
          </w:tcPr>
          <w:p>
            <w:pPr>
              <w:rPr>
                <w:sz w:val="2"/>
                <w:szCs w:val="2"/>
              </w:rPr>
            </w:pPr>
          </w:p>
        </w:tc>
        <w:tc>
          <w:tcPr>
            <w:tcW w:w="113" w:type="dxa"/>
            <w:vMerge w:val="restart"/>
            <w:tcBorders>
              <w:top w:val="nil"/>
            </w:tcBorders>
          </w:tcPr>
          <w:p>
            <w:pPr>
              <w:pStyle w:val="TableParagraph"/>
              <w:rPr>
                <w:rFonts w:ascii="Times New Roman"/>
                <w:sz w:val="22"/>
              </w:rPr>
            </w:pPr>
          </w:p>
        </w:tc>
        <w:tc>
          <w:tcPr>
            <w:tcW w:w="1167" w:type="dxa"/>
          </w:tcPr>
          <w:p>
            <w:pPr>
              <w:pStyle w:val="TableParagraph"/>
              <w:spacing w:before="94"/>
              <w:ind w:left="107"/>
              <w:rPr>
                <w:sz w:val="22"/>
              </w:rPr>
            </w:pPr>
            <w:r>
              <w:rPr>
                <w:spacing w:val="-4"/>
                <w:sz w:val="22"/>
              </w:rPr>
              <w:t>Area </w:t>
            </w:r>
            <w:r>
              <w:rPr>
                <w:spacing w:val="-2"/>
                <w:sz w:val="22"/>
              </w:rPr>
              <w:t>under reservati </w:t>
            </w:r>
            <w:r>
              <w:rPr>
                <w:spacing w:val="-6"/>
                <w:sz w:val="22"/>
              </w:rPr>
              <w:t>on</w:t>
            </w:r>
          </w:p>
        </w:tc>
        <w:tc>
          <w:tcPr>
            <w:tcW w:w="1698" w:type="dxa"/>
          </w:tcPr>
          <w:p>
            <w:pPr>
              <w:pStyle w:val="TableParagraph"/>
              <w:spacing w:before="94"/>
              <w:ind w:left="107" w:right="95"/>
              <w:rPr>
                <w:sz w:val="22"/>
              </w:rPr>
            </w:pPr>
            <w:r>
              <w:rPr>
                <w:spacing w:val="-2"/>
                <w:sz w:val="22"/>
              </w:rPr>
              <w:t>Entitlement </w:t>
            </w:r>
            <w:r>
              <w:rPr>
                <w:sz w:val="22"/>
              </w:rPr>
              <w:t>for</w:t>
            </w:r>
            <w:r>
              <w:rPr>
                <w:spacing w:val="-6"/>
                <w:sz w:val="22"/>
              </w:rPr>
              <w:t> </w:t>
            </w:r>
            <w:r>
              <w:rPr>
                <w:spacing w:val="-2"/>
                <w:sz w:val="22"/>
              </w:rPr>
              <w:t>TDR/DR</w:t>
            </w:r>
          </w:p>
        </w:tc>
        <w:tc>
          <w:tcPr>
            <w:tcW w:w="142" w:type="dxa"/>
            <w:vMerge w:val="restart"/>
            <w:tcBorders>
              <w:top w:val="nil"/>
            </w:tcBorders>
          </w:tcPr>
          <w:p>
            <w:pPr>
              <w:pStyle w:val="TableParagraph"/>
              <w:rPr>
                <w:rFonts w:ascii="Times New Roman"/>
                <w:sz w:val="22"/>
              </w:rPr>
            </w:pPr>
          </w:p>
        </w:tc>
        <w:tc>
          <w:tcPr>
            <w:tcW w:w="3119" w:type="dxa"/>
            <w:vMerge/>
            <w:tcBorders>
              <w:top w:val="nil"/>
            </w:tcBorders>
          </w:tcPr>
          <w:p>
            <w:pPr>
              <w:rPr>
                <w:sz w:val="2"/>
                <w:szCs w:val="2"/>
              </w:rPr>
            </w:pPr>
          </w:p>
        </w:tc>
      </w:tr>
      <w:tr>
        <w:trPr>
          <w:trHeight w:val="1746" w:hRule="atLeast"/>
        </w:trPr>
        <w:tc>
          <w:tcPr>
            <w:tcW w:w="406" w:type="dxa"/>
            <w:vMerge/>
            <w:tcBorders>
              <w:top w:val="nil"/>
            </w:tcBorders>
          </w:tcPr>
          <w:p>
            <w:pPr>
              <w:rPr>
                <w:sz w:val="2"/>
                <w:szCs w:val="2"/>
              </w:rPr>
            </w:pPr>
          </w:p>
        </w:tc>
        <w:tc>
          <w:tcPr>
            <w:tcW w:w="3106" w:type="dxa"/>
            <w:vMerge/>
            <w:tcBorders>
              <w:top w:val="nil"/>
            </w:tcBorders>
          </w:tcPr>
          <w:p>
            <w:pPr>
              <w:rPr>
                <w:sz w:val="2"/>
                <w:szCs w:val="2"/>
              </w:rPr>
            </w:pPr>
          </w:p>
        </w:tc>
        <w:tc>
          <w:tcPr>
            <w:tcW w:w="113" w:type="dxa"/>
            <w:vMerge/>
            <w:tcBorders>
              <w:top w:val="nil"/>
            </w:tcBorders>
          </w:tcPr>
          <w:p>
            <w:pPr>
              <w:rPr>
                <w:sz w:val="2"/>
                <w:szCs w:val="2"/>
              </w:rPr>
            </w:pPr>
          </w:p>
        </w:tc>
        <w:tc>
          <w:tcPr>
            <w:tcW w:w="1167" w:type="dxa"/>
            <w:tcBorders>
              <w:bottom w:val="single" w:sz="8" w:space="0" w:color="000000"/>
            </w:tcBorders>
          </w:tcPr>
          <w:p>
            <w:pPr>
              <w:pStyle w:val="TableParagraph"/>
              <w:spacing w:before="94"/>
              <w:ind w:left="107"/>
              <w:rPr>
                <w:sz w:val="22"/>
              </w:rPr>
            </w:pPr>
            <w:r>
              <w:rPr>
                <w:spacing w:val="-2"/>
                <w:sz w:val="22"/>
              </w:rPr>
              <w:t>Mumbai City</w:t>
            </w:r>
            <w:r>
              <w:rPr>
                <w:spacing w:val="-19"/>
                <w:sz w:val="22"/>
              </w:rPr>
              <w:t> </w:t>
            </w:r>
            <w:r>
              <w:rPr>
                <w:spacing w:val="-2"/>
                <w:sz w:val="22"/>
              </w:rPr>
              <w:t>area (island City)</w:t>
            </w:r>
          </w:p>
        </w:tc>
        <w:tc>
          <w:tcPr>
            <w:tcW w:w="1698" w:type="dxa"/>
            <w:tcBorders>
              <w:bottom w:val="single" w:sz="8" w:space="0" w:color="000000"/>
            </w:tcBorders>
          </w:tcPr>
          <w:p>
            <w:pPr>
              <w:pStyle w:val="TableParagraph"/>
              <w:tabs>
                <w:tab w:pos="1395" w:val="left" w:leader="none"/>
              </w:tabs>
              <w:spacing w:before="94"/>
              <w:ind w:left="107" w:right="95"/>
              <w:rPr>
                <w:sz w:val="22"/>
              </w:rPr>
            </w:pPr>
            <w:r>
              <w:rPr>
                <w:sz w:val="22"/>
              </w:rPr>
              <w:t>2.5 times the </w:t>
            </w:r>
            <w:r>
              <w:rPr>
                <w:spacing w:val="-4"/>
                <w:sz w:val="22"/>
              </w:rPr>
              <w:t>area</w:t>
            </w:r>
            <w:r>
              <w:rPr>
                <w:sz w:val="22"/>
              </w:rPr>
              <w:tab/>
            </w:r>
            <w:r>
              <w:rPr>
                <w:spacing w:val="-5"/>
                <w:sz w:val="22"/>
              </w:rPr>
              <w:t>o</w:t>
            </w:r>
            <w:r>
              <w:rPr>
                <w:spacing w:val="-5"/>
                <w:sz w:val="22"/>
              </w:rPr>
              <w:t>f</w:t>
            </w:r>
          </w:p>
          <w:p>
            <w:pPr>
              <w:pStyle w:val="TableParagraph"/>
              <w:ind w:left="107" w:right="95"/>
              <w:rPr>
                <w:sz w:val="22"/>
              </w:rPr>
            </w:pPr>
            <w:r>
              <w:rPr>
                <w:spacing w:val="-2"/>
                <w:sz w:val="22"/>
              </w:rPr>
              <w:t>surrendered land. (Maximum </w:t>
            </w:r>
            <w:r>
              <w:rPr>
                <w:spacing w:val="-4"/>
                <w:sz w:val="22"/>
              </w:rPr>
              <w:t>2.5)</w:t>
            </w:r>
          </w:p>
        </w:tc>
        <w:tc>
          <w:tcPr>
            <w:tcW w:w="142" w:type="dxa"/>
            <w:vMerge/>
            <w:tcBorders>
              <w:top w:val="nil"/>
            </w:tcBorders>
          </w:tcPr>
          <w:p>
            <w:pPr>
              <w:rPr>
                <w:sz w:val="2"/>
                <w:szCs w:val="2"/>
              </w:rPr>
            </w:pPr>
          </w:p>
        </w:tc>
        <w:tc>
          <w:tcPr>
            <w:tcW w:w="3119" w:type="dxa"/>
            <w:vMerge/>
            <w:tcBorders>
              <w:top w:val="nil"/>
            </w:tcBorders>
          </w:tcPr>
          <w:p>
            <w:pPr>
              <w:rPr>
                <w:sz w:val="2"/>
                <w:szCs w:val="2"/>
              </w:rPr>
            </w:pPr>
          </w:p>
        </w:tc>
      </w:tr>
    </w:tbl>
    <w:p>
      <w:pPr>
        <w:spacing w:after="0"/>
        <w:rPr>
          <w:sz w:val="2"/>
          <w:szCs w:val="2"/>
        </w:rPr>
        <w:sectPr>
          <w:pgSz w:w="11910" w:h="16840"/>
          <w:pgMar w:header="1065" w:footer="1237" w:top="1500" w:bottom="1420" w:left="360" w:right="360"/>
        </w:sectPr>
      </w:pPr>
    </w:p>
    <w:p>
      <w:pPr>
        <w:pStyle w:val="BodyText"/>
        <w:spacing w:before="14" w:after="1"/>
        <w:jc w:val="left"/>
        <w:rPr>
          <w:sz w:val="2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6"/>
        <w:gridCol w:w="3106"/>
        <w:gridCol w:w="113"/>
        <w:gridCol w:w="1137"/>
        <w:gridCol w:w="1728"/>
        <w:gridCol w:w="142"/>
        <w:gridCol w:w="3119"/>
      </w:tblGrid>
      <w:tr>
        <w:trPr>
          <w:trHeight w:val="2005" w:hRule="atLeast"/>
        </w:trPr>
        <w:tc>
          <w:tcPr>
            <w:tcW w:w="406" w:type="dxa"/>
            <w:vMerge w:val="restart"/>
          </w:tcPr>
          <w:p>
            <w:pPr>
              <w:pStyle w:val="TableParagraph"/>
              <w:rPr>
                <w:rFonts w:ascii="Times New Roman"/>
                <w:sz w:val="20"/>
              </w:rPr>
            </w:pPr>
          </w:p>
        </w:tc>
        <w:tc>
          <w:tcPr>
            <w:tcW w:w="3106" w:type="dxa"/>
          </w:tcPr>
          <w:p>
            <w:pPr>
              <w:pStyle w:val="TableParagraph"/>
              <w:rPr>
                <w:rFonts w:ascii="Times New Roman"/>
                <w:sz w:val="20"/>
              </w:rPr>
            </w:pPr>
          </w:p>
        </w:tc>
        <w:tc>
          <w:tcPr>
            <w:tcW w:w="113" w:type="dxa"/>
          </w:tcPr>
          <w:p>
            <w:pPr>
              <w:pStyle w:val="TableParagraph"/>
              <w:rPr>
                <w:rFonts w:ascii="Times New Roman"/>
                <w:sz w:val="20"/>
              </w:rPr>
            </w:pPr>
          </w:p>
        </w:tc>
        <w:tc>
          <w:tcPr>
            <w:tcW w:w="1137" w:type="dxa"/>
            <w:tcBorders>
              <w:top w:val="double" w:sz="4" w:space="0" w:color="000000"/>
              <w:bottom w:val="single" w:sz="8" w:space="0" w:color="000000"/>
            </w:tcBorders>
          </w:tcPr>
          <w:p>
            <w:pPr>
              <w:pStyle w:val="TableParagraph"/>
              <w:spacing w:before="97"/>
              <w:ind w:left="107" w:right="72"/>
              <w:rPr>
                <w:sz w:val="22"/>
              </w:rPr>
            </w:pPr>
            <w:r>
              <w:rPr>
                <w:spacing w:val="-2"/>
                <w:sz w:val="22"/>
              </w:rPr>
              <w:t>Mumbai Suburba </w:t>
            </w:r>
            <w:r>
              <w:rPr>
                <w:spacing w:val="-6"/>
                <w:sz w:val="22"/>
              </w:rPr>
              <w:t>n/ </w:t>
            </w:r>
            <w:r>
              <w:rPr>
                <w:spacing w:val="-2"/>
                <w:sz w:val="22"/>
              </w:rPr>
              <w:t>Extende </w:t>
            </w:r>
            <w:r>
              <w:rPr>
                <w:spacing w:val="-10"/>
                <w:sz w:val="22"/>
              </w:rPr>
              <w:t>d </w:t>
            </w:r>
            <w:r>
              <w:rPr>
                <w:spacing w:val="-2"/>
                <w:sz w:val="22"/>
              </w:rPr>
              <w:t>Suburba </w:t>
            </w:r>
            <w:r>
              <w:rPr>
                <w:spacing w:val="-10"/>
                <w:sz w:val="22"/>
              </w:rPr>
              <w:t>n</w:t>
            </w:r>
          </w:p>
        </w:tc>
        <w:tc>
          <w:tcPr>
            <w:tcW w:w="1728" w:type="dxa"/>
            <w:tcBorders>
              <w:top w:val="double" w:sz="4" w:space="0" w:color="000000"/>
              <w:bottom w:val="single" w:sz="8" w:space="0" w:color="000000"/>
            </w:tcBorders>
          </w:tcPr>
          <w:p>
            <w:pPr>
              <w:pStyle w:val="TableParagraph"/>
              <w:tabs>
                <w:tab w:pos="480" w:val="left" w:leader="none"/>
                <w:tab w:pos="1273" w:val="left" w:leader="none"/>
                <w:tab w:pos="1425" w:val="left" w:leader="none"/>
              </w:tabs>
              <w:spacing w:before="97"/>
              <w:ind w:left="137" w:right="95"/>
              <w:rPr>
                <w:sz w:val="22"/>
              </w:rPr>
            </w:pPr>
            <w:r>
              <w:rPr>
                <w:spacing w:val="-10"/>
                <w:sz w:val="22"/>
              </w:rPr>
              <w:t>2</w:t>
            </w:r>
            <w:r>
              <w:rPr>
                <w:sz w:val="22"/>
              </w:rPr>
              <w:tab/>
            </w:r>
            <w:r>
              <w:rPr>
                <w:spacing w:val="-4"/>
                <w:sz w:val="22"/>
              </w:rPr>
              <w:t>times</w:t>
            </w:r>
            <w:r>
              <w:rPr>
                <w:sz w:val="22"/>
              </w:rPr>
              <w:tab/>
            </w:r>
            <w:r>
              <w:rPr>
                <w:spacing w:val="-4"/>
                <w:sz w:val="22"/>
              </w:rPr>
              <w:t>th</w:t>
            </w:r>
            <w:r>
              <w:rPr>
                <w:spacing w:val="-4"/>
                <w:sz w:val="22"/>
              </w:rPr>
              <w:t>e</w:t>
            </w:r>
            <w:r>
              <w:rPr>
                <w:spacing w:val="-4"/>
                <w:sz w:val="22"/>
              </w:rPr>
              <w:t> area</w:t>
            </w:r>
            <w:r>
              <w:rPr>
                <w:sz w:val="22"/>
              </w:rPr>
              <w:tab/>
              <w:tab/>
            </w:r>
            <w:r>
              <w:rPr>
                <w:spacing w:val="-5"/>
                <w:sz w:val="22"/>
              </w:rPr>
              <w:t>o</w:t>
            </w:r>
            <w:r>
              <w:rPr>
                <w:spacing w:val="-5"/>
                <w:sz w:val="22"/>
              </w:rPr>
              <w:t>f</w:t>
            </w:r>
          </w:p>
          <w:p>
            <w:pPr>
              <w:pStyle w:val="TableParagraph"/>
              <w:ind w:left="137" w:right="95"/>
              <w:rPr>
                <w:sz w:val="22"/>
              </w:rPr>
            </w:pPr>
            <w:r>
              <w:rPr>
                <w:spacing w:val="-2"/>
                <w:sz w:val="22"/>
              </w:rPr>
              <w:t>surrendered land. (Maximum </w:t>
            </w:r>
            <w:r>
              <w:rPr>
                <w:sz w:val="22"/>
              </w:rPr>
              <w:t>2.00 )</w:t>
            </w:r>
          </w:p>
        </w:tc>
        <w:tc>
          <w:tcPr>
            <w:tcW w:w="142" w:type="dxa"/>
          </w:tcPr>
          <w:p>
            <w:pPr>
              <w:pStyle w:val="TableParagraph"/>
              <w:rPr>
                <w:rFonts w:ascii="Times New Roman"/>
                <w:sz w:val="20"/>
              </w:rPr>
            </w:pPr>
          </w:p>
        </w:tc>
        <w:tc>
          <w:tcPr>
            <w:tcW w:w="3119" w:type="dxa"/>
          </w:tcPr>
          <w:p>
            <w:pPr>
              <w:pStyle w:val="TableParagraph"/>
              <w:rPr>
                <w:rFonts w:ascii="Times New Roman"/>
                <w:sz w:val="20"/>
              </w:rPr>
            </w:pPr>
          </w:p>
        </w:tc>
      </w:tr>
      <w:tr>
        <w:trPr>
          <w:trHeight w:val="3028" w:hRule="atLeast"/>
        </w:trPr>
        <w:tc>
          <w:tcPr>
            <w:tcW w:w="406" w:type="dxa"/>
            <w:vMerge/>
            <w:tcBorders>
              <w:top w:val="nil"/>
            </w:tcBorders>
          </w:tcPr>
          <w:p>
            <w:pPr>
              <w:rPr>
                <w:sz w:val="2"/>
                <w:szCs w:val="2"/>
              </w:rPr>
            </w:pPr>
          </w:p>
        </w:tc>
        <w:tc>
          <w:tcPr>
            <w:tcW w:w="3106" w:type="dxa"/>
          </w:tcPr>
          <w:p>
            <w:pPr>
              <w:pStyle w:val="TableParagraph"/>
              <w:tabs>
                <w:tab w:pos="2454" w:val="left" w:leader="none"/>
                <w:tab w:pos="2804" w:val="left" w:leader="none"/>
              </w:tabs>
              <w:spacing w:before="89"/>
              <w:ind w:left="206" w:right="94"/>
              <w:jc w:val="both"/>
              <w:rPr>
                <w:sz w:val="22"/>
              </w:rPr>
            </w:pPr>
            <w:r>
              <w:rPr>
                <w:sz w:val="22"/>
              </w:rPr>
              <w:t>b)Setback due to </w:t>
            </w:r>
            <w:r>
              <w:rPr>
                <w:spacing w:val="-2"/>
                <w:sz w:val="22"/>
              </w:rPr>
              <w:t>Subsequent</w:t>
            </w:r>
            <w:r>
              <w:rPr>
                <w:sz w:val="22"/>
              </w:rPr>
              <w:tab/>
            </w:r>
            <w:r>
              <w:rPr>
                <w:spacing w:val="-4"/>
                <w:sz w:val="22"/>
              </w:rPr>
              <w:t>Roa</w:t>
            </w:r>
            <w:r>
              <w:rPr>
                <w:spacing w:val="-4"/>
                <w:sz w:val="22"/>
              </w:rPr>
              <w:t>d</w:t>
            </w:r>
            <w:r>
              <w:rPr>
                <w:spacing w:val="-4"/>
                <w:sz w:val="22"/>
              </w:rPr>
              <w:t> </w:t>
            </w:r>
            <w:r>
              <w:rPr>
                <w:sz w:val="22"/>
              </w:rPr>
              <w:t>widening/Proposed DP Road in case where </w:t>
            </w:r>
            <w:r>
              <w:rPr>
                <w:spacing w:val="-2"/>
                <w:sz w:val="22"/>
              </w:rPr>
              <w:t>development</w:t>
            </w:r>
            <w:r>
              <w:rPr>
                <w:sz w:val="22"/>
              </w:rPr>
              <w:tab/>
              <w:tab/>
            </w:r>
            <w:r>
              <w:rPr>
                <w:spacing w:val="-6"/>
                <w:sz w:val="22"/>
              </w:rPr>
              <w:t>o</w:t>
            </w:r>
            <w:r>
              <w:rPr>
                <w:spacing w:val="-6"/>
                <w:sz w:val="22"/>
              </w:rPr>
              <w:t>f</w:t>
            </w:r>
            <w:r>
              <w:rPr>
                <w:spacing w:val="-6"/>
                <w:sz w:val="22"/>
              </w:rPr>
              <w:t> </w:t>
            </w:r>
            <w:r>
              <w:rPr>
                <w:sz w:val="22"/>
              </w:rPr>
              <w:t>plot/layout is completed in all respect/where no </w:t>
            </w:r>
            <w:r>
              <w:rPr>
                <w:spacing w:val="-2"/>
                <w:sz w:val="22"/>
              </w:rPr>
              <w:t>development</w:t>
            </w:r>
            <w:r>
              <w:rPr>
                <w:sz w:val="22"/>
              </w:rPr>
              <w:tab/>
              <w:tab/>
            </w:r>
            <w:r>
              <w:rPr>
                <w:spacing w:val="-18"/>
                <w:sz w:val="22"/>
              </w:rPr>
              <w:t> </w:t>
            </w:r>
            <w:r>
              <w:rPr>
                <w:spacing w:val="-10"/>
                <w:w w:val="85"/>
                <w:sz w:val="22"/>
              </w:rPr>
              <w:t>i</w:t>
            </w:r>
            <w:r>
              <w:rPr>
                <w:spacing w:val="-10"/>
                <w:w w:val="85"/>
                <w:sz w:val="22"/>
              </w:rPr>
              <w:t>s</w:t>
            </w:r>
            <w:r>
              <w:rPr>
                <w:spacing w:val="-10"/>
                <w:w w:val="85"/>
                <w:sz w:val="22"/>
              </w:rPr>
              <w:t> </w:t>
            </w:r>
            <w:r>
              <w:rPr>
                <w:spacing w:val="-2"/>
                <w:sz w:val="22"/>
              </w:rPr>
              <w:t>proposed/is</w:t>
            </w:r>
            <w:r>
              <w:rPr>
                <w:spacing w:val="-14"/>
                <w:sz w:val="22"/>
              </w:rPr>
              <w:t> </w:t>
            </w:r>
            <w:r>
              <w:rPr>
                <w:spacing w:val="-2"/>
                <w:sz w:val="22"/>
              </w:rPr>
              <w:t>in</w:t>
            </w:r>
            <w:r>
              <w:rPr>
                <w:spacing w:val="-14"/>
                <w:sz w:val="22"/>
              </w:rPr>
              <w:t> </w:t>
            </w:r>
            <w:r>
              <w:rPr>
                <w:spacing w:val="-2"/>
                <w:sz w:val="22"/>
              </w:rPr>
              <w:t>progress</w:t>
            </w:r>
            <w:r>
              <w:rPr>
                <w:spacing w:val="-14"/>
                <w:sz w:val="22"/>
              </w:rPr>
              <w:t> </w:t>
            </w:r>
            <w:r>
              <w:rPr>
                <w:spacing w:val="-2"/>
                <w:sz w:val="22"/>
              </w:rPr>
              <w:t>at </w:t>
            </w:r>
            <w:r>
              <w:rPr>
                <w:sz w:val="22"/>
              </w:rPr>
              <w:t>the time of handing over of such area to MCGM.</w:t>
            </w:r>
          </w:p>
        </w:tc>
        <w:tc>
          <w:tcPr>
            <w:tcW w:w="3120" w:type="dxa"/>
            <w:gridSpan w:val="4"/>
            <w:tcBorders>
              <w:top w:val="single" w:sz="8" w:space="0" w:color="000000"/>
            </w:tcBorders>
          </w:tcPr>
          <w:p>
            <w:pPr>
              <w:pStyle w:val="TableParagraph"/>
              <w:spacing w:before="89"/>
              <w:ind w:left="107" w:right="97"/>
              <w:jc w:val="both"/>
              <w:rPr>
                <w:sz w:val="22"/>
              </w:rPr>
            </w:pPr>
            <w:r>
              <w:rPr>
                <w:sz w:val="22"/>
              </w:rPr>
              <w:t>TDR equivalent to the Zonal</w:t>
            </w:r>
            <w:r>
              <w:rPr>
                <w:spacing w:val="-9"/>
                <w:sz w:val="22"/>
              </w:rPr>
              <w:t> </w:t>
            </w:r>
            <w:r>
              <w:rPr>
                <w:sz w:val="22"/>
              </w:rPr>
              <w:t>(basic)</w:t>
            </w:r>
            <w:r>
              <w:rPr>
                <w:spacing w:val="-9"/>
                <w:sz w:val="22"/>
              </w:rPr>
              <w:t> </w:t>
            </w:r>
            <w:r>
              <w:rPr>
                <w:sz w:val="22"/>
              </w:rPr>
              <w:t>FSI</w:t>
            </w:r>
            <w:r>
              <w:rPr>
                <w:spacing w:val="-10"/>
                <w:sz w:val="22"/>
              </w:rPr>
              <w:t> </w:t>
            </w:r>
            <w:r>
              <w:rPr>
                <w:sz w:val="22"/>
              </w:rPr>
              <w:t>of</w:t>
            </w:r>
            <w:r>
              <w:rPr>
                <w:spacing w:val="-11"/>
                <w:sz w:val="22"/>
              </w:rPr>
              <w:t> </w:t>
            </w:r>
            <w:r>
              <w:rPr>
                <w:sz w:val="22"/>
              </w:rPr>
              <w:t>land</w:t>
            </w:r>
            <w:r>
              <w:rPr>
                <w:spacing w:val="-10"/>
                <w:sz w:val="22"/>
              </w:rPr>
              <w:t> </w:t>
            </w:r>
            <w:r>
              <w:rPr>
                <w:sz w:val="22"/>
              </w:rPr>
              <w:t>so </w:t>
            </w:r>
            <w:r>
              <w:rPr>
                <w:spacing w:val="-2"/>
                <w:sz w:val="22"/>
              </w:rPr>
              <w:t>transferred.</w:t>
            </w:r>
          </w:p>
        </w:tc>
        <w:tc>
          <w:tcPr>
            <w:tcW w:w="3119" w:type="dxa"/>
          </w:tcPr>
          <w:p>
            <w:pPr>
              <w:pStyle w:val="TableParagraph"/>
              <w:rPr>
                <w:rFonts w:ascii="Times New Roman"/>
                <w:sz w:val="20"/>
              </w:rPr>
            </w:pPr>
          </w:p>
        </w:tc>
      </w:tr>
      <w:tr>
        <w:trPr>
          <w:trHeight w:val="1346" w:hRule="atLeast"/>
        </w:trPr>
        <w:tc>
          <w:tcPr>
            <w:tcW w:w="406" w:type="dxa"/>
          </w:tcPr>
          <w:p>
            <w:pPr>
              <w:pStyle w:val="TableParagraph"/>
              <w:spacing w:before="94"/>
              <w:ind w:right="36"/>
              <w:jc w:val="center"/>
              <w:rPr>
                <w:sz w:val="22"/>
              </w:rPr>
            </w:pPr>
            <w:r>
              <w:rPr>
                <w:spacing w:val="-10"/>
                <w:sz w:val="22"/>
              </w:rPr>
              <w:t>2</w:t>
            </w:r>
          </w:p>
        </w:tc>
        <w:tc>
          <w:tcPr>
            <w:tcW w:w="3106" w:type="dxa"/>
          </w:tcPr>
          <w:p>
            <w:pPr>
              <w:pStyle w:val="TableParagraph"/>
              <w:spacing w:before="95"/>
              <w:ind w:left="110" w:right="96"/>
              <w:jc w:val="both"/>
              <w:rPr>
                <w:sz w:val="24"/>
              </w:rPr>
            </w:pPr>
            <w:r>
              <w:rPr>
                <w:sz w:val="24"/>
              </w:rPr>
              <w:t>In</w:t>
            </w:r>
            <w:r>
              <w:rPr>
                <w:spacing w:val="-18"/>
                <w:sz w:val="24"/>
              </w:rPr>
              <w:t> </w:t>
            </w:r>
            <w:r>
              <w:rPr>
                <w:sz w:val="24"/>
              </w:rPr>
              <w:t>case</w:t>
            </w:r>
            <w:r>
              <w:rPr>
                <w:spacing w:val="-18"/>
                <w:sz w:val="24"/>
              </w:rPr>
              <w:t> </w:t>
            </w:r>
            <w:r>
              <w:rPr>
                <w:sz w:val="24"/>
              </w:rPr>
              <w:t>of</w:t>
            </w:r>
            <w:r>
              <w:rPr>
                <w:spacing w:val="-20"/>
                <w:sz w:val="24"/>
              </w:rPr>
              <w:t> </w:t>
            </w:r>
            <w:r>
              <w:rPr>
                <w:sz w:val="24"/>
              </w:rPr>
              <w:t>redevelopment of under regulation 33(7),</w:t>
            </w:r>
            <w:r>
              <w:rPr>
                <w:spacing w:val="70"/>
                <w:sz w:val="24"/>
              </w:rPr>
              <w:t>   </w:t>
            </w:r>
            <w:r>
              <w:rPr>
                <w:sz w:val="24"/>
              </w:rPr>
              <w:t>33(8),</w:t>
            </w:r>
            <w:r>
              <w:rPr>
                <w:spacing w:val="71"/>
                <w:sz w:val="24"/>
              </w:rPr>
              <w:t>   </w:t>
            </w:r>
            <w:r>
              <w:rPr>
                <w:spacing w:val="-2"/>
                <w:sz w:val="24"/>
              </w:rPr>
              <w:t>33(9),</w:t>
            </w:r>
          </w:p>
          <w:p>
            <w:pPr>
              <w:pStyle w:val="TableParagraph"/>
              <w:spacing w:line="281" w:lineRule="exact"/>
              <w:ind w:left="110"/>
              <w:jc w:val="both"/>
              <w:rPr>
                <w:sz w:val="24"/>
              </w:rPr>
            </w:pPr>
            <w:r>
              <w:rPr>
                <w:sz w:val="24"/>
              </w:rPr>
              <w:t>33(10),</w:t>
            </w:r>
            <w:r>
              <w:rPr>
                <w:spacing w:val="-1"/>
                <w:sz w:val="24"/>
              </w:rPr>
              <w:t> </w:t>
            </w:r>
            <w:r>
              <w:rPr>
                <w:spacing w:val="-2"/>
                <w:sz w:val="24"/>
              </w:rPr>
              <w:t>33(11),33(20)(B)</w:t>
            </w:r>
          </w:p>
        </w:tc>
        <w:tc>
          <w:tcPr>
            <w:tcW w:w="3120" w:type="dxa"/>
            <w:gridSpan w:val="4"/>
          </w:tcPr>
          <w:p>
            <w:pPr>
              <w:pStyle w:val="TableParagraph"/>
              <w:spacing w:before="95"/>
              <w:ind w:left="107" w:right="96"/>
              <w:jc w:val="both"/>
              <w:rPr>
                <w:sz w:val="24"/>
              </w:rPr>
            </w:pPr>
            <w:r>
              <w:rPr>
                <w:sz w:val="24"/>
              </w:rPr>
              <w:t>As prescribed under the relevant provision of </w:t>
            </w:r>
            <w:r>
              <w:rPr>
                <w:spacing w:val="-4"/>
                <w:sz w:val="24"/>
              </w:rPr>
              <w:t>DCPR</w:t>
            </w:r>
          </w:p>
        </w:tc>
        <w:tc>
          <w:tcPr>
            <w:tcW w:w="3119" w:type="dxa"/>
          </w:tcPr>
          <w:p>
            <w:pPr>
              <w:pStyle w:val="TableParagraph"/>
              <w:rPr>
                <w:rFonts w:ascii="Times New Roman"/>
                <w:sz w:val="20"/>
              </w:rPr>
            </w:pPr>
          </w:p>
        </w:tc>
      </w:tr>
      <w:tr>
        <w:trPr>
          <w:trHeight w:val="450" w:hRule="atLeast"/>
        </w:trPr>
        <w:tc>
          <w:tcPr>
            <w:tcW w:w="406" w:type="dxa"/>
            <w:vMerge w:val="restart"/>
          </w:tcPr>
          <w:p>
            <w:pPr>
              <w:pStyle w:val="TableParagraph"/>
              <w:spacing w:before="97"/>
              <w:ind w:left="110"/>
              <w:rPr>
                <w:sz w:val="22"/>
              </w:rPr>
            </w:pPr>
            <w:r>
              <w:rPr>
                <w:spacing w:val="-10"/>
                <w:sz w:val="22"/>
              </w:rPr>
              <w:t>3</w:t>
            </w:r>
          </w:p>
        </w:tc>
        <w:tc>
          <w:tcPr>
            <w:tcW w:w="3106" w:type="dxa"/>
            <w:vMerge w:val="restart"/>
          </w:tcPr>
          <w:p>
            <w:pPr>
              <w:pStyle w:val="TableParagraph"/>
              <w:spacing w:before="97"/>
              <w:ind w:left="110"/>
              <w:rPr>
                <w:sz w:val="22"/>
              </w:rPr>
            </w:pPr>
            <w:r>
              <w:rPr>
                <w:sz w:val="22"/>
              </w:rPr>
              <w:t>Heritage</w:t>
            </w:r>
            <w:r>
              <w:rPr>
                <w:spacing w:val="-10"/>
                <w:sz w:val="22"/>
              </w:rPr>
              <w:t> </w:t>
            </w:r>
            <w:r>
              <w:rPr>
                <w:spacing w:val="-2"/>
                <w:sz w:val="22"/>
              </w:rPr>
              <w:t>buildings</w:t>
            </w:r>
          </w:p>
        </w:tc>
        <w:tc>
          <w:tcPr>
            <w:tcW w:w="3120" w:type="dxa"/>
            <w:gridSpan w:val="4"/>
          </w:tcPr>
          <w:p>
            <w:pPr>
              <w:pStyle w:val="TableParagraph"/>
              <w:rPr>
                <w:rFonts w:ascii="Times New Roman"/>
                <w:sz w:val="20"/>
              </w:rPr>
            </w:pPr>
          </w:p>
        </w:tc>
        <w:tc>
          <w:tcPr>
            <w:tcW w:w="3119" w:type="dxa"/>
            <w:vMerge w:val="restart"/>
          </w:tcPr>
          <w:p>
            <w:pPr>
              <w:pStyle w:val="TableParagraph"/>
              <w:spacing w:before="97"/>
              <w:ind w:left="108" w:right="93" w:firstLine="69"/>
              <w:jc w:val="both"/>
              <w:rPr>
                <w:sz w:val="22"/>
              </w:rPr>
            </w:pPr>
            <w:r>
              <w:rPr>
                <w:sz w:val="22"/>
              </w:rPr>
              <w:t>Where</w:t>
            </w:r>
            <w:r>
              <w:rPr>
                <w:spacing w:val="-8"/>
                <w:sz w:val="22"/>
              </w:rPr>
              <w:t> </w:t>
            </w:r>
            <w:r>
              <w:rPr>
                <w:sz w:val="22"/>
              </w:rPr>
              <w:t>the</w:t>
            </w:r>
            <w:r>
              <w:rPr>
                <w:spacing w:val="-11"/>
                <w:sz w:val="22"/>
              </w:rPr>
              <w:t> </w:t>
            </w:r>
            <w:r>
              <w:rPr>
                <w:sz w:val="22"/>
              </w:rPr>
              <w:t>Development</w:t>
            </w:r>
            <w:r>
              <w:rPr>
                <w:spacing w:val="-9"/>
                <w:sz w:val="22"/>
              </w:rPr>
              <w:t> </w:t>
            </w:r>
            <w:r>
              <w:rPr>
                <w:sz w:val="22"/>
              </w:rPr>
              <w:t>of building is not permissible as per provision of Regulation</w:t>
            </w:r>
            <w:r>
              <w:rPr>
                <w:spacing w:val="-1"/>
                <w:sz w:val="22"/>
              </w:rPr>
              <w:t> </w:t>
            </w:r>
            <w:r>
              <w:rPr>
                <w:sz w:val="22"/>
              </w:rPr>
              <w:t>No</w:t>
            </w:r>
            <w:r>
              <w:rPr>
                <w:spacing w:val="-1"/>
                <w:sz w:val="22"/>
              </w:rPr>
              <w:t> </w:t>
            </w:r>
            <w:r>
              <w:rPr>
                <w:sz w:val="22"/>
              </w:rPr>
              <w:t>52</w:t>
            </w:r>
            <w:r>
              <w:rPr>
                <w:spacing w:val="-1"/>
                <w:sz w:val="22"/>
              </w:rPr>
              <w:t> </w:t>
            </w:r>
            <w:r>
              <w:rPr>
                <w:sz w:val="22"/>
              </w:rPr>
              <w:t>and with the permission of Municipal Commissioner in consultation with &amp; on recommendation of MHCC</w:t>
            </w:r>
          </w:p>
          <w:p>
            <w:pPr>
              <w:pStyle w:val="TableParagraph"/>
              <w:spacing w:before="94"/>
              <w:ind w:left="108" w:right="96" w:firstLine="350"/>
              <w:jc w:val="both"/>
              <w:rPr>
                <w:sz w:val="22"/>
              </w:rPr>
            </w:pPr>
            <w:r>
              <w:rPr>
                <w:sz w:val="22"/>
              </w:rPr>
              <w:t>The</w:t>
            </w:r>
            <w:r>
              <w:rPr>
                <w:spacing w:val="-12"/>
                <w:sz w:val="22"/>
              </w:rPr>
              <w:t> </w:t>
            </w:r>
            <w:r>
              <w:rPr>
                <w:sz w:val="22"/>
              </w:rPr>
              <w:t>potential</w:t>
            </w:r>
            <w:r>
              <w:rPr>
                <w:spacing w:val="-13"/>
                <w:sz w:val="22"/>
              </w:rPr>
              <w:t> </w:t>
            </w:r>
            <w:r>
              <w:rPr>
                <w:sz w:val="22"/>
              </w:rPr>
              <w:t>of</w:t>
            </w:r>
            <w:r>
              <w:rPr>
                <w:spacing w:val="-15"/>
                <w:sz w:val="22"/>
              </w:rPr>
              <w:t> </w:t>
            </w:r>
            <w:r>
              <w:rPr>
                <w:sz w:val="22"/>
              </w:rPr>
              <w:t>the</w:t>
            </w:r>
            <w:r>
              <w:rPr>
                <w:spacing w:val="-16"/>
                <w:sz w:val="22"/>
              </w:rPr>
              <w:t> </w:t>
            </w:r>
            <w:r>
              <w:rPr>
                <w:sz w:val="22"/>
              </w:rPr>
              <w:t>plot shall be perpetually reduced and freezed to the extent of Existing BUA of the Structure.</w:t>
            </w:r>
          </w:p>
        </w:tc>
      </w:tr>
      <w:tr>
        <w:trPr>
          <w:trHeight w:val="1226" w:hRule="atLeast"/>
        </w:trPr>
        <w:tc>
          <w:tcPr>
            <w:tcW w:w="406" w:type="dxa"/>
            <w:vMerge/>
            <w:tcBorders>
              <w:top w:val="nil"/>
            </w:tcBorders>
          </w:tcPr>
          <w:p>
            <w:pPr>
              <w:rPr>
                <w:sz w:val="2"/>
                <w:szCs w:val="2"/>
              </w:rPr>
            </w:pPr>
          </w:p>
        </w:tc>
        <w:tc>
          <w:tcPr>
            <w:tcW w:w="3106" w:type="dxa"/>
            <w:vMerge/>
            <w:tcBorders>
              <w:top w:val="nil"/>
            </w:tcBorders>
          </w:tcPr>
          <w:p>
            <w:pPr>
              <w:rPr>
                <w:sz w:val="2"/>
                <w:szCs w:val="2"/>
              </w:rPr>
            </w:pPr>
          </w:p>
        </w:tc>
        <w:tc>
          <w:tcPr>
            <w:tcW w:w="113" w:type="dxa"/>
            <w:vMerge w:val="restart"/>
            <w:tcBorders>
              <w:top w:val="nil"/>
            </w:tcBorders>
          </w:tcPr>
          <w:p>
            <w:pPr>
              <w:pStyle w:val="TableParagraph"/>
              <w:rPr>
                <w:rFonts w:ascii="Times New Roman"/>
                <w:sz w:val="20"/>
              </w:rPr>
            </w:pPr>
          </w:p>
        </w:tc>
        <w:tc>
          <w:tcPr>
            <w:tcW w:w="1137" w:type="dxa"/>
          </w:tcPr>
          <w:p>
            <w:pPr>
              <w:pStyle w:val="TableParagraph"/>
              <w:spacing w:before="95"/>
              <w:ind w:left="107" w:right="72"/>
              <w:rPr>
                <w:sz w:val="22"/>
              </w:rPr>
            </w:pPr>
            <w:r>
              <w:rPr>
                <w:spacing w:val="-4"/>
                <w:sz w:val="22"/>
              </w:rPr>
              <w:t>Area </w:t>
            </w:r>
            <w:r>
              <w:rPr>
                <w:spacing w:val="-2"/>
                <w:sz w:val="22"/>
              </w:rPr>
              <w:t>under reservat </w:t>
            </w:r>
            <w:r>
              <w:rPr>
                <w:spacing w:val="-4"/>
                <w:sz w:val="22"/>
              </w:rPr>
              <w:t>ion</w:t>
            </w:r>
          </w:p>
        </w:tc>
        <w:tc>
          <w:tcPr>
            <w:tcW w:w="1728" w:type="dxa"/>
          </w:tcPr>
          <w:p>
            <w:pPr>
              <w:pStyle w:val="TableParagraph"/>
              <w:spacing w:before="95"/>
              <w:ind w:left="77" w:right="125"/>
              <w:rPr>
                <w:sz w:val="22"/>
              </w:rPr>
            </w:pPr>
            <w:r>
              <w:rPr>
                <w:spacing w:val="-2"/>
                <w:sz w:val="22"/>
              </w:rPr>
              <w:t>Entitlement </w:t>
            </w:r>
            <w:r>
              <w:rPr>
                <w:sz w:val="22"/>
              </w:rPr>
              <w:t>for</w:t>
            </w:r>
            <w:r>
              <w:rPr>
                <w:spacing w:val="-6"/>
                <w:sz w:val="22"/>
              </w:rPr>
              <w:t> </w:t>
            </w:r>
            <w:r>
              <w:rPr>
                <w:spacing w:val="-2"/>
                <w:sz w:val="22"/>
              </w:rPr>
              <w:t>TDR/DR</w:t>
            </w:r>
          </w:p>
        </w:tc>
        <w:tc>
          <w:tcPr>
            <w:tcW w:w="142" w:type="dxa"/>
            <w:vMerge w:val="restart"/>
            <w:tcBorders>
              <w:top w:val="nil"/>
            </w:tcBorders>
          </w:tcPr>
          <w:p>
            <w:pPr>
              <w:pStyle w:val="TableParagraph"/>
              <w:rPr>
                <w:rFonts w:ascii="Times New Roman"/>
                <w:sz w:val="20"/>
              </w:rPr>
            </w:pPr>
          </w:p>
        </w:tc>
        <w:tc>
          <w:tcPr>
            <w:tcW w:w="3119" w:type="dxa"/>
            <w:vMerge/>
            <w:tcBorders>
              <w:top w:val="nil"/>
            </w:tcBorders>
          </w:tcPr>
          <w:p>
            <w:pPr>
              <w:rPr>
                <w:sz w:val="2"/>
                <w:szCs w:val="2"/>
              </w:rPr>
            </w:pPr>
          </w:p>
        </w:tc>
      </w:tr>
      <w:tr>
        <w:trPr>
          <w:trHeight w:val="1482" w:hRule="atLeast"/>
        </w:trPr>
        <w:tc>
          <w:tcPr>
            <w:tcW w:w="406" w:type="dxa"/>
            <w:vMerge/>
            <w:tcBorders>
              <w:top w:val="nil"/>
            </w:tcBorders>
          </w:tcPr>
          <w:p>
            <w:pPr>
              <w:rPr>
                <w:sz w:val="2"/>
                <w:szCs w:val="2"/>
              </w:rPr>
            </w:pPr>
          </w:p>
        </w:tc>
        <w:tc>
          <w:tcPr>
            <w:tcW w:w="3106" w:type="dxa"/>
            <w:vMerge/>
            <w:tcBorders>
              <w:top w:val="nil"/>
            </w:tcBorders>
          </w:tcPr>
          <w:p>
            <w:pPr>
              <w:rPr>
                <w:sz w:val="2"/>
                <w:szCs w:val="2"/>
              </w:rPr>
            </w:pPr>
          </w:p>
        </w:tc>
        <w:tc>
          <w:tcPr>
            <w:tcW w:w="113" w:type="dxa"/>
            <w:vMerge/>
            <w:tcBorders>
              <w:top w:val="nil"/>
            </w:tcBorders>
          </w:tcPr>
          <w:p>
            <w:pPr>
              <w:rPr>
                <w:sz w:val="2"/>
                <w:szCs w:val="2"/>
              </w:rPr>
            </w:pPr>
          </w:p>
        </w:tc>
        <w:tc>
          <w:tcPr>
            <w:tcW w:w="1137" w:type="dxa"/>
          </w:tcPr>
          <w:p>
            <w:pPr>
              <w:pStyle w:val="TableParagraph"/>
              <w:spacing w:before="94"/>
              <w:ind w:left="107" w:right="128"/>
              <w:rPr>
                <w:sz w:val="22"/>
              </w:rPr>
            </w:pPr>
            <w:r>
              <w:rPr>
                <w:spacing w:val="-2"/>
                <w:sz w:val="22"/>
              </w:rPr>
              <w:t>Mumbai </w:t>
            </w:r>
            <w:r>
              <w:rPr>
                <w:spacing w:val="-4"/>
                <w:sz w:val="22"/>
              </w:rPr>
              <w:t>City</w:t>
            </w:r>
            <w:r>
              <w:rPr>
                <w:sz w:val="22"/>
              </w:rPr>
              <w:t> </w:t>
            </w:r>
            <w:r>
              <w:rPr>
                <w:spacing w:val="-4"/>
                <w:sz w:val="22"/>
              </w:rPr>
              <w:t>area </w:t>
            </w:r>
            <w:r>
              <w:rPr>
                <w:spacing w:val="-2"/>
                <w:sz w:val="22"/>
              </w:rPr>
              <w:t>(island City)</w:t>
            </w:r>
          </w:p>
        </w:tc>
        <w:tc>
          <w:tcPr>
            <w:tcW w:w="1728" w:type="dxa"/>
          </w:tcPr>
          <w:p>
            <w:pPr>
              <w:pStyle w:val="TableParagraph"/>
              <w:tabs>
                <w:tab w:pos="700" w:val="left" w:leader="none"/>
                <w:tab w:pos="1053" w:val="left" w:leader="none"/>
                <w:tab w:pos="1377" w:val="left" w:leader="none"/>
              </w:tabs>
              <w:spacing w:before="94"/>
              <w:ind w:left="77" w:right="94"/>
              <w:rPr>
                <w:sz w:val="22"/>
              </w:rPr>
            </w:pPr>
            <w:r>
              <w:rPr>
                <w:sz w:val="22"/>
              </w:rPr>
              <w:t>2.5</w:t>
            </w:r>
            <w:r>
              <w:rPr>
                <w:spacing w:val="40"/>
                <w:sz w:val="22"/>
              </w:rPr>
              <w:t> </w:t>
            </w:r>
            <w:r>
              <w:rPr>
                <w:sz w:val="22"/>
              </w:rPr>
              <w:t>times</w:t>
            </w:r>
            <w:r>
              <w:rPr>
                <w:spacing w:val="40"/>
                <w:sz w:val="22"/>
              </w:rPr>
              <w:t> </w:t>
            </w:r>
            <w:r>
              <w:rPr>
                <w:sz w:val="22"/>
              </w:rPr>
              <w:t>the </w:t>
            </w:r>
            <w:r>
              <w:rPr>
                <w:spacing w:val="-2"/>
                <w:sz w:val="22"/>
              </w:rPr>
              <w:t>unconsumed </w:t>
            </w:r>
            <w:r>
              <w:rPr>
                <w:spacing w:val="-4"/>
                <w:sz w:val="22"/>
              </w:rPr>
              <w:t>plot</w:t>
            </w:r>
            <w:r>
              <w:rPr>
                <w:sz w:val="22"/>
              </w:rPr>
              <w:tab/>
            </w:r>
            <w:r>
              <w:rPr>
                <w:spacing w:val="-4"/>
                <w:sz w:val="22"/>
              </w:rPr>
              <w:t>area</w:t>
            </w:r>
            <w:r>
              <w:rPr>
                <w:sz w:val="22"/>
              </w:rPr>
              <w:tab/>
            </w:r>
            <w:r>
              <w:rPr>
                <w:spacing w:val="-6"/>
                <w:sz w:val="22"/>
              </w:rPr>
              <w:t>a</w:t>
            </w:r>
            <w:r>
              <w:rPr>
                <w:spacing w:val="-6"/>
                <w:sz w:val="22"/>
              </w:rPr>
              <w:t>s</w:t>
            </w:r>
            <w:r>
              <w:rPr>
                <w:spacing w:val="-6"/>
                <w:sz w:val="22"/>
              </w:rPr>
              <w:t> </w:t>
            </w:r>
            <w:r>
              <w:rPr>
                <w:spacing w:val="-4"/>
                <w:sz w:val="22"/>
              </w:rPr>
              <w:t>per</w:t>
            </w:r>
            <w:r>
              <w:rPr>
                <w:sz w:val="22"/>
              </w:rPr>
              <w:tab/>
              <w:tab/>
            </w:r>
            <w:r>
              <w:rPr>
                <w:spacing w:val="-4"/>
                <w:sz w:val="22"/>
              </w:rPr>
              <w:t>zonal</w:t>
            </w:r>
            <w:r>
              <w:rPr>
                <w:spacing w:val="-4"/>
                <w:sz w:val="22"/>
              </w:rPr>
              <w:t> </w:t>
            </w:r>
            <w:r>
              <w:rPr>
                <w:sz w:val="22"/>
              </w:rPr>
              <w:t>(basic FSI)</w:t>
            </w:r>
          </w:p>
        </w:tc>
        <w:tc>
          <w:tcPr>
            <w:tcW w:w="142" w:type="dxa"/>
            <w:vMerge/>
            <w:tcBorders>
              <w:top w:val="nil"/>
            </w:tcBorders>
          </w:tcPr>
          <w:p>
            <w:pPr>
              <w:rPr>
                <w:sz w:val="2"/>
                <w:szCs w:val="2"/>
              </w:rPr>
            </w:pPr>
          </w:p>
        </w:tc>
        <w:tc>
          <w:tcPr>
            <w:tcW w:w="3119" w:type="dxa"/>
            <w:vMerge/>
            <w:tcBorders>
              <w:top w:val="nil"/>
            </w:tcBorders>
          </w:tcPr>
          <w:p>
            <w:pPr>
              <w:rPr>
                <w:sz w:val="2"/>
                <w:szCs w:val="2"/>
              </w:rPr>
            </w:pPr>
          </w:p>
        </w:tc>
      </w:tr>
      <w:tr>
        <w:trPr>
          <w:trHeight w:val="2003" w:hRule="atLeast"/>
        </w:trPr>
        <w:tc>
          <w:tcPr>
            <w:tcW w:w="406" w:type="dxa"/>
            <w:vMerge/>
            <w:tcBorders>
              <w:top w:val="nil"/>
            </w:tcBorders>
          </w:tcPr>
          <w:p>
            <w:pPr>
              <w:rPr>
                <w:sz w:val="2"/>
                <w:szCs w:val="2"/>
              </w:rPr>
            </w:pPr>
          </w:p>
        </w:tc>
        <w:tc>
          <w:tcPr>
            <w:tcW w:w="3106" w:type="dxa"/>
            <w:vMerge/>
            <w:tcBorders>
              <w:top w:val="nil"/>
            </w:tcBorders>
          </w:tcPr>
          <w:p>
            <w:pPr>
              <w:rPr>
                <w:sz w:val="2"/>
                <w:szCs w:val="2"/>
              </w:rPr>
            </w:pPr>
          </w:p>
        </w:tc>
        <w:tc>
          <w:tcPr>
            <w:tcW w:w="113" w:type="dxa"/>
            <w:vMerge/>
            <w:tcBorders>
              <w:top w:val="nil"/>
            </w:tcBorders>
          </w:tcPr>
          <w:p>
            <w:pPr>
              <w:rPr>
                <w:sz w:val="2"/>
                <w:szCs w:val="2"/>
              </w:rPr>
            </w:pPr>
          </w:p>
        </w:tc>
        <w:tc>
          <w:tcPr>
            <w:tcW w:w="1137" w:type="dxa"/>
            <w:tcBorders>
              <w:bottom w:val="single" w:sz="8" w:space="0" w:color="000000"/>
            </w:tcBorders>
          </w:tcPr>
          <w:p>
            <w:pPr>
              <w:pStyle w:val="TableParagraph"/>
              <w:spacing w:before="94"/>
              <w:ind w:left="107" w:right="123"/>
              <w:rPr>
                <w:sz w:val="22"/>
              </w:rPr>
            </w:pPr>
            <w:r>
              <w:rPr>
                <w:spacing w:val="-2"/>
                <w:sz w:val="22"/>
              </w:rPr>
              <w:t>Mumbai Suburb </w:t>
            </w:r>
            <w:r>
              <w:rPr>
                <w:spacing w:val="-4"/>
                <w:sz w:val="22"/>
              </w:rPr>
              <w:t>an/ </w:t>
            </w:r>
            <w:r>
              <w:rPr>
                <w:spacing w:val="-2"/>
                <w:sz w:val="22"/>
              </w:rPr>
              <w:t>Extende </w:t>
            </w:r>
            <w:r>
              <w:rPr>
                <w:spacing w:val="-10"/>
                <w:sz w:val="22"/>
              </w:rPr>
              <w:t>d </w:t>
            </w:r>
            <w:r>
              <w:rPr>
                <w:spacing w:val="-2"/>
                <w:sz w:val="22"/>
              </w:rPr>
              <w:t>Suburb </w:t>
            </w:r>
            <w:r>
              <w:rPr>
                <w:spacing w:val="-6"/>
                <w:sz w:val="22"/>
              </w:rPr>
              <w:t>an</w:t>
            </w:r>
          </w:p>
        </w:tc>
        <w:tc>
          <w:tcPr>
            <w:tcW w:w="1728" w:type="dxa"/>
            <w:tcBorders>
              <w:bottom w:val="single" w:sz="8" w:space="0" w:color="000000"/>
            </w:tcBorders>
          </w:tcPr>
          <w:p>
            <w:pPr>
              <w:pStyle w:val="TableParagraph"/>
              <w:tabs>
                <w:tab w:pos="700" w:val="left" w:leader="none"/>
                <w:tab w:pos="1053" w:val="left" w:leader="none"/>
                <w:tab w:pos="1377" w:val="left" w:leader="none"/>
              </w:tabs>
              <w:spacing w:before="94"/>
              <w:ind w:left="77" w:right="94"/>
              <w:rPr>
                <w:sz w:val="22"/>
              </w:rPr>
            </w:pPr>
            <w:r>
              <w:rPr>
                <w:sz w:val="22"/>
              </w:rPr>
              <w:t>2.0</w:t>
            </w:r>
            <w:r>
              <w:rPr>
                <w:spacing w:val="40"/>
                <w:sz w:val="22"/>
              </w:rPr>
              <w:t> </w:t>
            </w:r>
            <w:r>
              <w:rPr>
                <w:sz w:val="22"/>
              </w:rPr>
              <w:t>times</w:t>
            </w:r>
            <w:r>
              <w:rPr>
                <w:spacing w:val="40"/>
                <w:sz w:val="22"/>
              </w:rPr>
              <w:t> </w:t>
            </w:r>
            <w:r>
              <w:rPr>
                <w:sz w:val="22"/>
              </w:rPr>
              <w:t>the </w:t>
            </w:r>
            <w:r>
              <w:rPr>
                <w:spacing w:val="-2"/>
                <w:sz w:val="22"/>
              </w:rPr>
              <w:t>unconsumed </w:t>
            </w:r>
            <w:r>
              <w:rPr>
                <w:spacing w:val="-4"/>
                <w:sz w:val="22"/>
              </w:rPr>
              <w:t>plot</w:t>
            </w:r>
            <w:r>
              <w:rPr>
                <w:sz w:val="22"/>
              </w:rPr>
              <w:tab/>
            </w:r>
            <w:r>
              <w:rPr>
                <w:spacing w:val="-4"/>
                <w:sz w:val="22"/>
              </w:rPr>
              <w:t>area</w:t>
            </w:r>
            <w:r>
              <w:rPr>
                <w:sz w:val="22"/>
              </w:rPr>
              <w:tab/>
            </w:r>
            <w:r>
              <w:rPr>
                <w:spacing w:val="-6"/>
                <w:sz w:val="22"/>
              </w:rPr>
              <w:t>a</w:t>
            </w:r>
            <w:r>
              <w:rPr>
                <w:spacing w:val="-6"/>
                <w:sz w:val="22"/>
              </w:rPr>
              <w:t>s</w:t>
            </w:r>
            <w:r>
              <w:rPr>
                <w:spacing w:val="-6"/>
                <w:sz w:val="22"/>
              </w:rPr>
              <w:t> </w:t>
            </w:r>
            <w:r>
              <w:rPr>
                <w:spacing w:val="-4"/>
                <w:sz w:val="22"/>
              </w:rPr>
              <w:t>per</w:t>
            </w:r>
            <w:r>
              <w:rPr>
                <w:sz w:val="22"/>
              </w:rPr>
              <w:tab/>
              <w:tab/>
            </w:r>
            <w:r>
              <w:rPr>
                <w:spacing w:val="-4"/>
                <w:sz w:val="22"/>
              </w:rPr>
              <w:t>zonal</w:t>
            </w:r>
            <w:r>
              <w:rPr>
                <w:spacing w:val="-4"/>
                <w:sz w:val="22"/>
              </w:rPr>
              <w:t> </w:t>
            </w:r>
            <w:r>
              <w:rPr>
                <w:sz w:val="22"/>
              </w:rPr>
              <w:t>(basic FSI)</w:t>
            </w:r>
          </w:p>
        </w:tc>
        <w:tc>
          <w:tcPr>
            <w:tcW w:w="142" w:type="dxa"/>
            <w:vMerge/>
            <w:tcBorders>
              <w:top w:val="nil"/>
            </w:tcBorders>
          </w:tcPr>
          <w:p>
            <w:pPr>
              <w:rPr>
                <w:sz w:val="2"/>
                <w:szCs w:val="2"/>
              </w:rPr>
            </w:pPr>
          </w:p>
        </w:tc>
        <w:tc>
          <w:tcPr>
            <w:tcW w:w="3119" w:type="dxa"/>
            <w:vMerge/>
            <w:tcBorders>
              <w:top w:val="nil"/>
            </w:tcBorders>
          </w:tcPr>
          <w:p>
            <w:pPr>
              <w:rPr>
                <w:sz w:val="2"/>
                <w:szCs w:val="2"/>
              </w:rPr>
            </w:pPr>
          </w:p>
        </w:tc>
      </w:tr>
      <w:tr>
        <w:trPr>
          <w:trHeight w:val="1640" w:hRule="atLeast"/>
        </w:trPr>
        <w:tc>
          <w:tcPr>
            <w:tcW w:w="406" w:type="dxa"/>
          </w:tcPr>
          <w:p>
            <w:pPr>
              <w:pStyle w:val="TableParagraph"/>
              <w:spacing w:before="92"/>
              <w:ind w:right="36"/>
              <w:jc w:val="center"/>
              <w:rPr>
                <w:sz w:val="22"/>
              </w:rPr>
            </w:pPr>
            <w:r>
              <w:rPr>
                <w:spacing w:val="-10"/>
                <w:sz w:val="22"/>
              </w:rPr>
              <w:t>4</w:t>
            </w:r>
          </w:p>
        </w:tc>
        <w:tc>
          <w:tcPr>
            <w:tcW w:w="3106" w:type="dxa"/>
          </w:tcPr>
          <w:p>
            <w:pPr>
              <w:pStyle w:val="TableParagraph"/>
              <w:spacing w:before="92"/>
              <w:ind w:left="110" w:right="96"/>
              <w:jc w:val="both"/>
              <w:rPr>
                <w:sz w:val="22"/>
              </w:rPr>
            </w:pPr>
            <w:r>
              <w:rPr>
                <w:sz w:val="22"/>
              </w:rPr>
              <w:t>Encumbered plots which are required for implementation of public project on very urgent </w:t>
            </w:r>
            <w:r>
              <w:rPr>
                <w:spacing w:val="-2"/>
                <w:sz w:val="22"/>
              </w:rPr>
              <w:t>basis</w:t>
            </w:r>
          </w:p>
        </w:tc>
        <w:tc>
          <w:tcPr>
            <w:tcW w:w="3120" w:type="dxa"/>
            <w:gridSpan w:val="4"/>
            <w:tcBorders>
              <w:top w:val="single" w:sz="8" w:space="0" w:color="000000"/>
            </w:tcBorders>
          </w:tcPr>
          <w:p>
            <w:pPr>
              <w:pStyle w:val="TableParagraph"/>
              <w:rPr>
                <w:rFonts w:ascii="Times New Roman"/>
                <w:sz w:val="20"/>
              </w:rPr>
            </w:pPr>
          </w:p>
        </w:tc>
        <w:tc>
          <w:tcPr>
            <w:tcW w:w="3119" w:type="dxa"/>
          </w:tcPr>
          <w:p>
            <w:pPr>
              <w:pStyle w:val="TableParagraph"/>
              <w:spacing w:before="92"/>
              <w:ind w:left="108" w:right="95"/>
              <w:jc w:val="both"/>
              <w:rPr>
                <w:sz w:val="22"/>
              </w:rPr>
            </w:pPr>
            <w:r>
              <w:rPr>
                <w:sz w:val="22"/>
              </w:rPr>
              <w:t>Project Implementing authority shall separately certify the area of land which was vacant and the area</w:t>
            </w:r>
            <w:r>
              <w:rPr>
                <w:spacing w:val="79"/>
                <w:w w:val="150"/>
                <w:sz w:val="22"/>
              </w:rPr>
              <w:t>  </w:t>
            </w:r>
            <w:r>
              <w:rPr>
                <w:sz w:val="22"/>
              </w:rPr>
              <w:t>of</w:t>
            </w:r>
            <w:r>
              <w:rPr>
                <w:spacing w:val="53"/>
                <w:sz w:val="22"/>
              </w:rPr>
              <w:t>   </w:t>
            </w:r>
            <w:r>
              <w:rPr>
                <w:sz w:val="22"/>
              </w:rPr>
              <w:t>land</w:t>
            </w:r>
            <w:r>
              <w:rPr>
                <w:spacing w:val="54"/>
                <w:sz w:val="22"/>
              </w:rPr>
              <w:t>   </w:t>
            </w:r>
            <w:r>
              <w:rPr>
                <w:spacing w:val="-4"/>
                <w:sz w:val="22"/>
              </w:rPr>
              <w:t>under</w:t>
            </w:r>
          </w:p>
          <w:p>
            <w:pPr>
              <w:pStyle w:val="TableParagraph"/>
              <w:spacing w:line="238" w:lineRule="exact"/>
              <w:ind w:left="108"/>
              <w:jc w:val="both"/>
              <w:rPr>
                <w:sz w:val="22"/>
              </w:rPr>
            </w:pPr>
            <w:r>
              <w:rPr>
                <w:sz w:val="22"/>
              </w:rPr>
              <w:t>encumbrance</w:t>
            </w:r>
            <w:r>
              <w:rPr>
                <w:spacing w:val="23"/>
                <w:sz w:val="22"/>
              </w:rPr>
              <w:t>  </w:t>
            </w:r>
            <w:r>
              <w:rPr>
                <w:sz w:val="22"/>
              </w:rPr>
              <w:t>along</w:t>
            </w:r>
            <w:r>
              <w:rPr>
                <w:spacing w:val="78"/>
                <w:w w:val="150"/>
                <w:sz w:val="22"/>
              </w:rPr>
              <w:t> </w:t>
            </w:r>
            <w:r>
              <w:rPr>
                <w:spacing w:val="-4"/>
                <w:sz w:val="22"/>
              </w:rPr>
              <w:t>with</w:t>
            </w:r>
          </w:p>
        </w:tc>
      </w:tr>
    </w:tbl>
    <w:p>
      <w:pPr>
        <w:pStyle w:val="TableParagraph"/>
        <w:spacing w:after="0" w:line="238" w:lineRule="exact"/>
        <w:jc w:val="both"/>
        <w:rPr>
          <w:sz w:val="22"/>
        </w:rPr>
        <w:sectPr>
          <w:pgSz w:w="11910" w:h="16840"/>
          <w:pgMar w:header="1065" w:footer="1237" w:top="1500" w:bottom="1420" w:left="360" w:right="360"/>
        </w:sectPr>
      </w:pPr>
    </w:p>
    <w:p>
      <w:pPr>
        <w:pStyle w:val="BodyText"/>
        <w:spacing w:before="14" w:after="1"/>
        <w:jc w:val="left"/>
        <w:rPr>
          <w:sz w:val="2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6"/>
        <w:gridCol w:w="3106"/>
        <w:gridCol w:w="3118"/>
        <w:gridCol w:w="3118"/>
      </w:tblGrid>
      <w:tr>
        <w:trPr>
          <w:trHeight w:val="4872" w:hRule="atLeast"/>
        </w:trPr>
        <w:tc>
          <w:tcPr>
            <w:tcW w:w="406" w:type="dxa"/>
          </w:tcPr>
          <w:p>
            <w:pPr>
              <w:pStyle w:val="TableParagraph"/>
              <w:rPr>
                <w:rFonts w:ascii="Times New Roman"/>
                <w:sz w:val="22"/>
              </w:rPr>
            </w:pPr>
          </w:p>
        </w:tc>
        <w:tc>
          <w:tcPr>
            <w:tcW w:w="3106" w:type="dxa"/>
          </w:tcPr>
          <w:p>
            <w:pPr>
              <w:pStyle w:val="TableParagraph"/>
              <w:numPr>
                <w:ilvl w:val="0"/>
                <w:numId w:val="122"/>
              </w:numPr>
              <w:tabs>
                <w:tab w:pos="322" w:val="left" w:leader="none"/>
                <w:tab w:pos="1633" w:val="left" w:leader="none"/>
              </w:tabs>
              <w:spacing w:line="240" w:lineRule="auto" w:before="1" w:after="0"/>
              <w:ind w:left="129" w:right="95" w:firstLine="0"/>
              <w:jc w:val="both"/>
              <w:rPr>
                <w:sz w:val="22"/>
              </w:rPr>
            </w:pPr>
            <w:r>
              <w:rPr>
                <w:sz w:val="22"/>
              </w:rPr>
              <w:t>In</w:t>
            </w:r>
            <w:r>
              <w:rPr>
                <w:spacing w:val="-12"/>
                <w:sz w:val="22"/>
              </w:rPr>
              <w:t> </w:t>
            </w:r>
            <w:r>
              <w:rPr>
                <w:sz w:val="22"/>
              </w:rPr>
              <w:t>case</w:t>
            </w:r>
            <w:r>
              <w:rPr>
                <w:spacing w:val="-10"/>
                <w:sz w:val="22"/>
              </w:rPr>
              <w:t> </w:t>
            </w:r>
            <w:r>
              <w:rPr>
                <w:sz w:val="22"/>
              </w:rPr>
              <w:t>of</w:t>
            </w:r>
            <w:r>
              <w:rPr>
                <w:spacing w:val="-13"/>
                <w:sz w:val="22"/>
              </w:rPr>
              <w:t> </w:t>
            </w:r>
            <w:r>
              <w:rPr>
                <w:sz w:val="22"/>
              </w:rPr>
              <w:t>land</w:t>
            </w:r>
            <w:r>
              <w:rPr>
                <w:spacing w:val="-12"/>
                <w:sz w:val="22"/>
              </w:rPr>
              <w:t> </w:t>
            </w:r>
            <w:r>
              <w:rPr>
                <w:sz w:val="22"/>
              </w:rPr>
              <w:t>which</w:t>
            </w:r>
            <w:r>
              <w:rPr>
                <w:spacing w:val="-9"/>
                <w:sz w:val="22"/>
              </w:rPr>
              <w:t> </w:t>
            </w:r>
            <w:r>
              <w:rPr>
                <w:sz w:val="22"/>
              </w:rPr>
              <w:t>are fully encumbered and where encumbrances had/have to be removed </w:t>
            </w:r>
            <w:r>
              <w:rPr>
                <w:spacing w:val="-4"/>
                <w:sz w:val="22"/>
              </w:rPr>
              <w:t>and</w:t>
            </w:r>
            <w:r>
              <w:rPr>
                <w:sz w:val="22"/>
              </w:rPr>
              <w:tab/>
            </w:r>
            <w:r>
              <w:rPr>
                <w:spacing w:val="-2"/>
                <w:sz w:val="22"/>
              </w:rPr>
              <w:t>rehabilitated </w:t>
            </w:r>
            <w:r>
              <w:rPr>
                <w:sz w:val="22"/>
              </w:rPr>
              <w:t>elsewhere by the project implementing authority,</w:t>
            </w:r>
          </w:p>
          <w:p>
            <w:pPr>
              <w:pStyle w:val="TableParagraph"/>
              <w:numPr>
                <w:ilvl w:val="0"/>
                <w:numId w:val="122"/>
              </w:numPr>
              <w:tabs>
                <w:tab w:pos="333" w:val="left" w:leader="none"/>
              </w:tabs>
              <w:spacing w:line="240" w:lineRule="auto" w:before="257" w:after="0"/>
              <w:ind w:left="129" w:right="96" w:firstLine="0"/>
              <w:jc w:val="both"/>
              <w:rPr>
                <w:sz w:val="22"/>
              </w:rPr>
            </w:pPr>
            <w:r>
              <w:rPr>
                <w:sz w:val="22"/>
              </w:rPr>
              <w:t>which are partly encumbered and where encumbrance are/were removed and rehabilitated elsewhere by the </w:t>
            </w:r>
            <w:r>
              <w:rPr>
                <w:sz w:val="22"/>
              </w:rPr>
              <w:t>Project Implementing authority,</w:t>
            </w:r>
          </w:p>
        </w:tc>
        <w:tc>
          <w:tcPr>
            <w:tcW w:w="3118" w:type="dxa"/>
          </w:tcPr>
          <w:p>
            <w:pPr>
              <w:pStyle w:val="TableParagraph"/>
              <w:numPr>
                <w:ilvl w:val="0"/>
                <w:numId w:val="123"/>
              </w:numPr>
              <w:tabs>
                <w:tab w:pos="300" w:val="left" w:leader="none"/>
              </w:tabs>
              <w:spacing w:line="240" w:lineRule="auto" w:before="1" w:after="0"/>
              <w:ind w:left="107" w:right="92" w:firstLine="0"/>
              <w:jc w:val="both"/>
              <w:rPr>
                <w:sz w:val="22"/>
              </w:rPr>
            </w:pPr>
            <w:r>
              <w:rPr>
                <w:sz w:val="22"/>
              </w:rPr>
              <w:t>To the extent of 50%of BUA as per Zonal (basic) FSI of the plot area.</w:t>
            </w:r>
          </w:p>
          <w:p>
            <w:pPr>
              <w:pStyle w:val="TableParagraph"/>
              <w:rPr>
                <w:sz w:val="22"/>
              </w:rPr>
            </w:pPr>
          </w:p>
          <w:p>
            <w:pPr>
              <w:pStyle w:val="TableParagraph"/>
              <w:rPr>
                <w:sz w:val="22"/>
              </w:rPr>
            </w:pPr>
          </w:p>
          <w:p>
            <w:pPr>
              <w:pStyle w:val="TableParagraph"/>
              <w:spacing w:before="95"/>
              <w:rPr>
                <w:sz w:val="22"/>
              </w:rPr>
            </w:pPr>
          </w:p>
          <w:p>
            <w:pPr>
              <w:pStyle w:val="TableParagraph"/>
              <w:ind w:left="211" w:right="93" w:hanging="104"/>
              <w:jc w:val="both"/>
              <w:rPr>
                <w:sz w:val="22"/>
              </w:rPr>
            </w:pPr>
            <w:r>
              <w:rPr>
                <w:sz w:val="22"/>
              </w:rPr>
              <w:t>(b)(i)</w:t>
            </w:r>
            <w:r>
              <w:rPr>
                <w:spacing w:val="-18"/>
                <w:sz w:val="22"/>
              </w:rPr>
              <w:t> </w:t>
            </w:r>
            <w:r>
              <w:rPr>
                <w:sz w:val="22"/>
              </w:rPr>
              <w:t>For</w:t>
            </w:r>
            <w:r>
              <w:rPr>
                <w:spacing w:val="-18"/>
                <w:sz w:val="22"/>
              </w:rPr>
              <w:t> </w:t>
            </w:r>
            <w:r>
              <w:rPr>
                <w:sz w:val="22"/>
              </w:rPr>
              <w:t>the</w:t>
            </w:r>
            <w:r>
              <w:rPr>
                <w:spacing w:val="-17"/>
                <w:sz w:val="22"/>
              </w:rPr>
              <w:t> </w:t>
            </w:r>
            <w:r>
              <w:rPr>
                <w:sz w:val="22"/>
              </w:rPr>
              <w:t>portion</w:t>
            </w:r>
            <w:r>
              <w:rPr>
                <w:spacing w:val="-18"/>
                <w:sz w:val="22"/>
              </w:rPr>
              <w:t> </w:t>
            </w:r>
            <w:r>
              <w:rPr>
                <w:sz w:val="22"/>
              </w:rPr>
              <w:t>of</w:t>
            </w:r>
            <w:r>
              <w:rPr>
                <w:spacing w:val="-17"/>
                <w:sz w:val="22"/>
              </w:rPr>
              <w:t> </w:t>
            </w:r>
            <w:r>
              <w:rPr>
                <w:sz w:val="22"/>
              </w:rPr>
              <w:t>land which is/was vacant as per serial no 1(a) of this </w:t>
            </w:r>
            <w:r>
              <w:rPr>
                <w:spacing w:val="-2"/>
                <w:sz w:val="22"/>
              </w:rPr>
              <w:t>table</w:t>
            </w:r>
          </w:p>
          <w:p>
            <w:pPr>
              <w:pStyle w:val="TableParagraph"/>
              <w:spacing w:before="97"/>
              <w:ind w:left="107" w:right="93"/>
              <w:jc w:val="both"/>
              <w:rPr>
                <w:sz w:val="22"/>
              </w:rPr>
            </w:pPr>
            <w:r>
              <w:rPr>
                <w:sz w:val="22"/>
              </w:rPr>
              <w:t>(ii) For the portion of land which is/was encumbered to</w:t>
            </w:r>
            <w:r>
              <w:rPr>
                <w:spacing w:val="-18"/>
                <w:sz w:val="22"/>
              </w:rPr>
              <w:t> </w:t>
            </w:r>
            <w:r>
              <w:rPr>
                <w:sz w:val="22"/>
              </w:rPr>
              <w:t>the</w:t>
            </w:r>
            <w:r>
              <w:rPr>
                <w:spacing w:val="-18"/>
                <w:sz w:val="22"/>
              </w:rPr>
              <w:t> </w:t>
            </w:r>
            <w:r>
              <w:rPr>
                <w:sz w:val="22"/>
              </w:rPr>
              <w:t>extent</w:t>
            </w:r>
            <w:r>
              <w:rPr>
                <w:spacing w:val="-17"/>
                <w:sz w:val="22"/>
              </w:rPr>
              <w:t> </w:t>
            </w:r>
            <w:r>
              <w:rPr>
                <w:sz w:val="22"/>
              </w:rPr>
              <w:t>of</w:t>
            </w:r>
            <w:r>
              <w:rPr>
                <w:spacing w:val="-18"/>
                <w:sz w:val="22"/>
              </w:rPr>
              <w:t> </w:t>
            </w:r>
            <w:r>
              <w:rPr>
                <w:sz w:val="22"/>
              </w:rPr>
              <w:t>50%</w:t>
            </w:r>
            <w:r>
              <w:rPr>
                <w:spacing w:val="-17"/>
                <w:sz w:val="22"/>
              </w:rPr>
              <w:t> </w:t>
            </w:r>
            <w:r>
              <w:rPr>
                <w:sz w:val="22"/>
              </w:rPr>
              <w:t>of</w:t>
            </w:r>
            <w:r>
              <w:rPr>
                <w:spacing w:val="-18"/>
                <w:sz w:val="22"/>
              </w:rPr>
              <w:t> </w:t>
            </w:r>
            <w:r>
              <w:rPr>
                <w:sz w:val="22"/>
              </w:rPr>
              <w:t>BUA as per Zonal (basic) FSI of the vacant plot area.</w:t>
            </w:r>
          </w:p>
        </w:tc>
        <w:tc>
          <w:tcPr>
            <w:tcW w:w="3118" w:type="dxa"/>
          </w:tcPr>
          <w:p>
            <w:pPr>
              <w:pStyle w:val="TableParagraph"/>
              <w:spacing w:before="1"/>
              <w:ind w:left="110" w:right="92"/>
              <w:jc w:val="both"/>
              <w:rPr>
                <w:sz w:val="22"/>
              </w:rPr>
            </w:pPr>
            <w:r>
              <w:rPr>
                <w:sz w:val="22"/>
              </w:rPr>
              <w:t>details as per the joint measurement survey carried out in this respect with the City Survey Officer. The area of vacant land and land under encumbrance shall be clearly distinguished and demarcated, otherwise the land under part encumbrance shall be treated as fully encumbered land.</w:t>
            </w:r>
          </w:p>
          <w:p>
            <w:pPr>
              <w:pStyle w:val="TableParagraph"/>
              <w:spacing w:before="95"/>
              <w:ind w:left="151" w:right="94"/>
              <w:jc w:val="both"/>
              <w:rPr>
                <w:sz w:val="22"/>
              </w:rPr>
            </w:pPr>
            <w:r>
              <w:rPr>
                <w:sz w:val="22"/>
              </w:rPr>
              <w:t>The owner has to follow the procedure laid down by the MCGM for </w:t>
            </w:r>
            <w:r>
              <w:rPr>
                <w:sz w:val="22"/>
              </w:rPr>
              <w:t>availing the DRC.</w:t>
            </w:r>
          </w:p>
        </w:tc>
      </w:tr>
    </w:tbl>
    <w:p>
      <w:pPr>
        <w:pStyle w:val="BodyText"/>
        <w:spacing w:before="280"/>
        <w:ind w:left="772" w:right="773"/>
      </w:pPr>
      <w:r>
        <w:rPr/>
        <w:t>(Explanation: Above entitlement may also be applicable to the compensation paid in</w:t>
      </w:r>
      <w:r>
        <w:rPr>
          <w:spacing w:val="-12"/>
        </w:rPr>
        <w:t> </w:t>
      </w:r>
      <w:r>
        <w:rPr/>
        <w:t>the</w:t>
      </w:r>
      <w:r>
        <w:rPr>
          <w:spacing w:val="-12"/>
        </w:rPr>
        <w:t> </w:t>
      </w:r>
      <w:r>
        <w:rPr/>
        <w:t>form</w:t>
      </w:r>
      <w:r>
        <w:rPr>
          <w:spacing w:val="-12"/>
        </w:rPr>
        <w:t> </w:t>
      </w:r>
      <w:r>
        <w:rPr/>
        <w:t>of</w:t>
      </w:r>
      <w:r>
        <w:rPr>
          <w:spacing w:val="-12"/>
        </w:rPr>
        <w:t> </w:t>
      </w:r>
      <w:r>
        <w:rPr/>
        <w:t>FSI</w:t>
      </w:r>
      <w:r>
        <w:rPr>
          <w:spacing w:val="-10"/>
        </w:rPr>
        <w:t> </w:t>
      </w:r>
      <w:r>
        <w:rPr/>
        <w:t>to</w:t>
      </w:r>
      <w:r>
        <w:rPr>
          <w:spacing w:val="-14"/>
        </w:rPr>
        <w:t> </w:t>
      </w:r>
      <w:r>
        <w:rPr/>
        <w:t>the</w:t>
      </w:r>
      <w:r>
        <w:rPr>
          <w:spacing w:val="-12"/>
        </w:rPr>
        <w:t> </w:t>
      </w:r>
      <w:r>
        <w:rPr/>
        <w:t>owner</w:t>
      </w:r>
      <w:r>
        <w:rPr>
          <w:spacing w:val="-12"/>
        </w:rPr>
        <w:t> </w:t>
      </w:r>
      <w:r>
        <w:rPr/>
        <w:t>to</w:t>
      </w:r>
      <w:r>
        <w:rPr>
          <w:spacing w:val="-12"/>
        </w:rPr>
        <w:t> </w:t>
      </w:r>
      <w:r>
        <w:rPr/>
        <w:t>be</w:t>
      </w:r>
      <w:r>
        <w:rPr>
          <w:spacing w:val="-12"/>
        </w:rPr>
        <w:t> </w:t>
      </w:r>
      <w:r>
        <w:rPr/>
        <w:t>utilised</w:t>
      </w:r>
      <w:r>
        <w:rPr>
          <w:spacing w:val="-12"/>
        </w:rPr>
        <w:t> </w:t>
      </w:r>
      <w:r>
        <w:rPr/>
        <w:t>on</w:t>
      </w:r>
      <w:r>
        <w:rPr>
          <w:spacing w:val="-12"/>
        </w:rPr>
        <w:t> </w:t>
      </w:r>
      <w:r>
        <w:rPr/>
        <w:t>unaffected</w:t>
      </w:r>
      <w:r>
        <w:rPr>
          <w:spacing w:val="-12"/>
        </w:rPr>
        <w:t> </w:t>
      </w:r>
      <w:r>
        <w:rPr/>
        <w:t>part</w:t>
      </w:r>
      <w:r>
        <w:rPr>
          <w:spacing w:val="-12"/>
        </w:rPr>
        <w:t> </w:t>
      </w:r>
      <w:r>
        <w:rPr/>
        <w:t>of</w:t>
      </w:r>
      <w:r>
        <w:rPr>
          <w:spacing w:val="-12"/>
        </w:rPr>
        <w:t> </w:t>
      </w:r>
      <w:r>
        <w:rPr/>
        <w:t>same</w:t>
      </w:r>
      <w:r>
        <w:rPr>
          <w:spacing w:val="-12"/>
        </w:rPr>
        <w:t> </w:t>
      </w:r>
      <w:r>
        <w:rPr/>
        <w:t>land</w:t>
      </w:r>
      <w:r>
        <w:rPr>
          <w:spacing w:val="-12"/>
        </w:rPr>
        <w:t> </w:t>
      </w:r>
      <w:r>
        <w:rPr/>
        <w:t>parcel and in such cases the procedure of DRC shall not be insisted.)</w:t>
      </w:r>
    </w:p>
    <w:p>
      <w:pPr>
        <w:pStyle w:val="BodyText"/>
        <w:spacing w:before="189"/>
        <w:ind w:left="772" w:right="769"/>
      </w:pPr>
      <w:r>
        <w:rPr>
          <w:i/>
        </w:rPr>
        <w:t>Provided</w:t>
      </w:r>
      <w:r>
        <w:rPr>
          <w:i/>
          <w:spacing w:val="-2"/>
        </w:rPr>
        <w:t> </w:t>
      </w:r>
      <w:r>
        <w:rPr>
          <w:i/>
        </w:rPr>
        <w:t>that</w:t>
      </w:r>
      <w:r>
        <w:rPr/>
        <w:t>,</w:t>
      </w:r>
      <w:r>
        <w:rPr>
          <w:spacing w:val="-5"/>
        </w:rPr>
        <w:t> </w:t>
      </w:r>
      <w:r>
        <w:rPr/>
        <w:t>if</w:t>
      </w:r>
      <w:r>
        <w:rPr>
          <w:spacing w:val="-3"/>
        </w:rPr>
        <w:t> </w:t>
      </w:r>
      <w:r>
        <w:rPr/>
        <w:t>leveling</w:t>
      </w:r>
      <w:r>
        <w:rPr>
          <w:spacing w:val="-5"/>
        </w:rPr>
        <w:t> </w:t>
      </w:r>
      <w:r>
        <w:rPr/>
        <w:t>of</w:t>
      </w:r>
      <w:r>
        <w:rPr>
          <w:spacing w:val="-5"/>
        </w:rPr>
        <w:t> </w:t>
      </w:r>
      <w:r>
        <w:rPr/>
        <w:t>land</w:t>
      </w:r>
      <w:r>
        <w:rPr>
          <w:spacing w:val="-5"/>
        </w:rPr>
        <w:t> </w:t>
      </w:r>
      <w:r>
        <w:rPr/>
        <w:t>and</w:t>
      </w:r>
      <w:r>
        <w:rPr>
          <w:spacing w:val="-5"/>
        </w:rPr>
        <w:t> </w:t>
      </w:r>
      <w:r>
        <w:rPr/>
        <w:t>construction/erection</w:t>
      </w:r>
      <w:r>
        <w:rPr>
          <w:spacing w:val="-5"/>
        </w:rPr>
        <w:t> </w:t>
      </w:r>
      <w:r>
        <w:rPr/>
        <w:t>of</w:t>
      </w:r>
      <w:r>
        <w:rPr>
          <w:spacing w:val="-5"/>
        </w:rPr>
        <w:t> </w:t>
      </w:r>
      <w:r>
        <w:rPr/>
        <w:t>the</w:t>
      </w:r>
      <w:r>
        <w:rPr>
          <w:spacing w:val="-5"/>
        </w:rPr>
        <w:t> </w:t>
      </w:r>
      <w:r>
        <w:rPr/>
        <w:t>compound</w:t>
      </w:r>
      <w:r>
        <w:rPr>
          <w:spacing w:val="-5"/>
        </w:rPr>
        <w:t> </w:t>
      </w:r>
      <w:r>
        <w:rPr/>
        <w:t>wall</w:t>
      </w:r>
      <w:r>
        <w:rPr>
          <w:spacing w:val="-5"/>
        </w:rPr>
        <w:t> </w:t>
      </w:r>
      <w:r>
        <w:rPr/>
        <w:t>/ fencing as per Clause No. 4.1.2 to the land under surrender is not permissible as per the prevailing Development Control &amp; Promotion Regulations</w:t>
      </w:r>
      <w:r>
        <w:rPr>
          <w:sz w:val="22"/>
        </w:rPr>
        <w:t>/ </w:t>
      </w:r>
      <w:r>
        <w:rPr/>
        <w:t>not insisted by MCGM</w:t>
      </w:r>
      <w:r>
        <w:rPr>
          <w:spacing w:val="-20"/>
        </w:rPr>
        <w:t> </w:t>
      </w:r>
      <w:r>
        <w:rPr/>
        <w:t>then</w:t>
      </w:r>
      <w:r>
        <w:rPr>
          <w:spacing w:val="-19"/>
        </w:rPr>
        <w:t> </w:t>
      </w:r>
      <w:r>
        <w:rPr/>
        <w:t>the</w:t>
      </w:r>
      <w:r>
        <w:rPr>
          <w:spacing w:val="-19"/>
        </w:rPr>
        <w:t> </w:t>
      </w:r>
      <w:r>
        <w:rPr/>
        <w:t>developer</w:t>
      </w:r>
      <w:r>
        <w:rPr>
          <w:spacing w:val="-19"/>
        </w:rPr>
        <w:t> </w:t>
      </w:r>
      <w:r>
        <w:rPr/>
        <w:t>will</w:t>
      </w:r>
      <w:r>
        <w:rPr>
          <w:spacing w:val="-19"/>
        </w:rPr>
        <w:t> </w:t>
      </w:r>
      <w:r>
        <w:rPr/>
        <w:t>have</w:t>
      </w:r>
      <w:r>
        <w:rPr>
          <w:spacing w:val="-20"/>
        </w:rPr>
        <w:t> </w:t>
      </w:r>
      <w:r>
        <w:rPr/>
        <w:t>to</w:t>
      </w:r>
      <w:r>
        <w:rPr>
          <w:spacing w:val="-19"/>
        </w:rPr>
        <w:t> </w:t>
      </w:r>
      <w:r>
        <w:rPr/>
        <w:t>pay</w:t>
      </w:r>
      <w:r>
        <w:rPr>
          <w:spacing w:val="-19"/>
        </w:rPr>
        <w:t> </w:t>
      </w:r>
      <w:r>
        <w:rPr/>
        <w:t>the</w:t>
      </w:r>
      <w:r>
        <w:rPr>
          <w:spacing w:val="-19"/>
        </w:rPr>
        <w:t> </w:t>
      </w:r>
      <w:r>
        <w:rPr/>
        <w:t>cost</w:t>
      </w:r>
      <w:r>
        <w:rPr>
          <w:spacing w:val="-19"/>
        </w:rPr>
        <w:t> </w:t>
      </w:r>
      <w:r>
        <w:rPr/>
        <w:t>construction</w:t>
      </w:r>
      <w:r>
        <w:rPr>
          <w:spacing w:val="-20"/>
        </w:rPr>
        <w:t> </w:t>
      </w:r>
      <w:r>
        <w:rPr/>
        <w:t>/</w:t>
      </w:r>
      <w:r>
        <w:rPr>
          <w:spacing w:val="-19"/>
        </w:rPr>
        <w:t> </w:t>
      </w:r>
      <w:r>
        <w:rPr/>
        <w:t>leveling</w:t>
      </w:r>
      <w:r>
        <w:rPr>
          <w:spacing w:val="-19"/>
        </w:rPr>
        <w:t> </w:t>
      </w:r>
      <w:r>
        <w:rPr/>
        <w:t>to</w:t>
      </w:r>
      <w:r>
        <w:rPr>
          <w:spacing w:val="-19"/>
        </w:rPr>
        <w:t> </w:t>
      </w:r>
      <w:r>
        <w:rPr/>
        <w:t>MCGM as</w:t>
      </w:r>
      <w:r>
        <w:rPr>
          <w:spacing w:val="-3"/>
        </w:rPr>
        <w:t> </w:t>
      </w:r>
      <w:r>
        <w:rPr/>
        <w:t>per</w:t>
      </w:r>
      <w:r>
        <w:rPr>
          <w:spacing w:val="-3"/>
        </w:rPr>
        <w:t> </w:t>
      </w:r>
      <w:r>
        <w:rPr/>
        <w:t>policy</w:t>
      </w:r>
      <w:r>
        <w:rPr>
          <w:spacing w:val="-3"/>
        </w:rPr>
        <w:t> </w:t>
      </w:r>
      <w:r>
        <w:rPr/>
        <w:t>of</w:t>
      </w:r>
      <w:r>
        <w:rPr>
          <w:spacing w:val="-3"/>
        </w:rPr>
        <w:t> </w:t>
      </w:r>
      <w:r>
        <w:rPr/>
        <w:t>MCGM</w:t>
      </w:r>
      <w:r>
        <w:rPr>
          <w:spacing w:val="-3"/>
        </w:rPr>
        <w:t> </w:t>
      </w:r>
      <w:r>
        <w:rPr/>
        <w:t>or</w:t>
      </w:r>
      <w:r>
        <w:rPr>
          <w:spacing w:val="-3"/>
        </w:rPr>
        <w:t> </w:t>
      </w:r>
      <w:r>
        <w:rPr/>
        <w:t>else</w:t>
      </w:r>
      <w:r>
        <w:rPr>
          <w:spacing w:val="-2"/>
        </w:rPr>
        <w:t> </w:t>
      </w:r>
      <w:r>
        <w:rPr/>
        <w:t>the</w:t>
      </w:r>
      <w:r>
        <w:rPr>
          <w:spacing w:val="-3"/>
        </w:rPr>
        <w:t> </w:t>
      </w:r>
      <w:r>
        <w:rPr/>
        <w:t>quantum</w:t>
      </w:r>
      <w:r>
        <w:rPr>
          <w:spacing w:val="-3"/>
        </w:rPr>
        <w:t> </w:t>
      </w:r>
      <w:r>
        <w:rPr/>
        <w:t>of</w:t>
      </w:r>
      <w:r>
        <w:rPr>
          <w:spacing w:val="-3"/>
        </w:rPr>
        <w:t> </w:t>
      </w:r>
      <w:r>
        <w:rPr/>
        <w:t>TDR</w:t>
      </w:r>
      <w:r>
        <w:rPr>
          <w:spacing w:val="-3"/>
        </w:rPr>
        <w:t> </w:t>
      </w:r>
      <w:r>
        <w:rPr/>
        <w:t>shall</w:t>
      </w:r>
      <w:r>
        <w:rPr>
          <w:spacing w:val="-3"/>
        </w:rPr>
        <w:t> </w:t>
      </w:r>
      <w:r>
        <w:rPr/>
        <w:t>be</w:t>
      </w:r>
      <w:r>
        <w:rPr>
          <w:spacing w:val="-3"/>
        </w:rPr>
        <w:t> </w:t>
      </w:r>
      <w:r>
        <w:rPr/>
        <w:t>reduced</w:t>
      </w:r>
      <w:r>
        <w:rPr>
          <w:spacing w:val="-3"/>
        </w:rPr>
        <w:t> </w:t>
      </w:r>
      <w:r>
        <w:rPr/>
        <w:t>to</w:t>
      </w:r>
      <w:r>
        <w:rPr>
          <w:spacing w:val="-3"/>
        </w:rPr>
        <w:t> </w:t>
      </w:r>
      <w:r>
        <w:rPr/>
        <w:t>1:2.35</w:t>
      </w:r>
      <w:r>
        <w:rPr>
          <w:spacing w:val="-3"/>
        </w:rPr>
        <w:t> </w:t>
      </w:r>
      <w:r>
        <w:rPr/>
        <w:t>and 1:1.85 in Mumbai City</w:t>
      </w:r>
      <w:r>
        <w:rPr>
          <w:spacing w:val="40"/>
        </w:rPr>
        <w:t> </w:t>
      </w:r>
      <w:r>
        <w:rPr/>
        <w:t>area ( island city)</w:t>
      </w:r>
      <w:r>
        <w:rPr>
          <w:spacing w:val="40"/>
        </w:rPr>
        <w:t> </w:t>
      </w:r>
      <w:r>
        <w:rPr/>
        <w:t>and Mumbai Suburban /Extended Suburban area respectively.</w:t>
      </w:r>
    </w:p>
    <w:p>
      <w:pPr>
        <w:pStyle w:val="BodyText"/>
        <w:spacing w:line="276" w:lineRule="auto" w:before="188"/>
        <w:ind w:left="772" w:right="769"/>
      </w:pPr>
      <w:r>
        <w:rPr>
          <w:i/>
        </w:rPr>
        <w:t>Provided also that </w:t>
      </w:r>
      <w:r>
        <w:rPr/>
        <w:t>Additional</w:t>
      </w:r>
      <w:r>
        <w:rPr>
          <w:spacing w:val="-1"/>
        </w:rPr>
        <w:t> </w:t>
      </w:r>
      <w:r>
        <w:rPr/>
        <w:t>/</w:t>
      </w:r>
      <w:r>
        <w:rPr>
          <w:spacing w:val="-1"/>
        </w:rPr>
        <w:t> </w:t>
      </w:r>
      <w:r>
        <w:rPr/>
        <w:t>incentive </w:t>
      </w:r>
      <w:r>
        <w:rPr>
          <w:i/>
        </w:rPr>
        <w:t>Transferable Development</w:t>
      </w:r>
      <w:r>
        <w:rPr>
          <w:i/>
          <w:spacing w:val="-3"/>
        </w:rPr>
        <w:t> </w:t>
      </w:r>
      <w:r>
        <w:rPr>
          <w:i/>
        </w:rPr>
        <w:t>Rights (TDR</w:t>
      </w:r>
      <w:r>
        <w:rPr/>
        <w:t>)</w:t>
      </w:r>
      <w:r>
        <w:rPr>
          <w:spacing w:val="-1"/>
        </w:rPr>
        <w:t> </w:t>
      </w:r>
      <w:r>
        <w:rPr/>
        <w:t>to the extent of 10</w:t>
      </w:r>
      <w:r>
        <w:rPr>
          <w:spacing w:val="40"/>
        </w:rPr>
        <w:t> </w:t>
      </w:r>
      <w:r>
        <w:rPr/>
        <w:t>%</w:t>
      </w:r>
      <w:r>
        <w:rPr>
          <w:spacing w:val="40"/>
        </w:rPr>
        <w:t> </w:t>
      </w:r>
      <w:r>
        <w:rPr/>
        <w:t>and 5% of the surrendered land area shall also be allowed to the land owners who submit the proposal for grant of</w:t>
      </w:r>
      <w:r>
        <w:rPr>
          <w:spacing w:val="40"/>
        </w:rPr>
        <w:t> </w:t>
      </w:r>
      <w:r>
        <w:rPr>
          <w:i/>
        </w:rPr>
        <w:t>Transferable Development Rights</w:t>
      </w:r>
      <w:r>
        <w:rPr>
          <w:i/>
          <w:spacing w:val="-14"/>
        </w:rPr>
        <w:t> </w:t>
      </w:r>
      <w:r>
        <w:rPr>
          <w:i/>
        </w:rPr>
        <w:t>(TDR</w:t>
      </w:r>
      <w:r>
        <w:rPr>
          <w:i/>
          <w:spacing w:val="-8"/>
        </w:rPr>
        <w:t> </w:t>
      </w:r>
      <w:r>
        <w:rPr/>
        <w:t>)</w:t>
      </w:r>
      <w:r>
        <w:rPr>
          <w:spacing w:val="-14"/>
        </w:rPr>
        <w:t> </w:t>
      </w:r>
      <w:r>
        <w:rPr>
          <w:sz w:val="22"/>
        </w:rPr>
        <w:t>)</w:t>
      </w:r>
      <w:r>
        <w:rPr>
          <w:spacing w:val="-14"/>
          <w:sz w:val="22"/>
        </w:rPr>
        <w:t> </w:t>
      </w:r>
      <w:r>
        <w:rPr/>
        <w:t>and</w:t>
      </w:r>
      <w:r>
        <w:rPr>
          <w:spacing w:val="80"/>
        </w:rPr>
        <w:t> </w:t>
      </w:r>
      <w:r>
        <w:rPr/>
        <w:t>if</w:t>
      </w:r>
      <w:r>
        <w:rPr>
          <w:spacing w:val="-14"/>
        </w:rPr>
        <w:t> </w:t>
      </w:r>
      <w:r>
        <w:rPr/>
        <w:t>land</w:t>
      </w:r>
      <w:r>
        <w:rPr>
          <w:spacing w:val="-14"/>
        </w:rPr>
        <w:t> </w:t>
      </w:r>
      <w:r>
        <w:rPr/>
        <w:t>is</w:t>
      </w:r>
      <w:r>
        <w:rPr>
          <w:spacing w:val="-14"/>
        </w:rPr>
        <w:t> </w:t>
      </w:r>
      <w:r>
        <w:rPr/>
        <w:t>surrender</w:t>
      </w:r>
      <w:r>
        <w:rPr>
          <w:spacing w:val="-14"/>
        </w:rPr>
        <w:t> </w:t>
      </w:r>
      <w:r>
        <w:rPr/>
        <w:t>to</w:t>
      </w:r>
      <w:r>
        <w:rPr>
          <w:spacing w:val="-14"/>
        </w:rPr>
        <w:t> </w:t>
      </w:r>
      <w:r>
        <w:rPr/>
        <w:t>MCGM</w:t>
      </w:r>
      <w:r>
        <w:rPr>
          <w:spacing w:val="-14"/>
        </w:rPr>
        <w:t> </w:t>
      </w:r>
      <w:r>
        <w:rPr/>
        <w:t>within</w:t>
      </w:r>
      <w:r>
        <w:rPr>
          <w:spacing w:val="-14"/>
        </w:rPr>
        <w:t> </w:t>
      </w:r>
      <w:r>
        <w:rPr/>
        <w:t>24</w:t>
      </w:r>
      <w:r>
        <w:rPr>
          <w:spacing w:val="-14"/>
        </w:rPr>
        <w:t> </w:t>
      </w:r>
      <w:r>
        <w:rPr/>
        <w:t>months</w:t>
      </w:r>
      <w:r>
        <w:rPr>
          <w:spacing w:val="-14"/>
        </w:rPr>
        <w:t> </w:t>
      </w:r>
      <w:r>
        <w:rPr/>
        <w:t>and</w:t>
      </w:r>
      <w:r>
        <w:rPr>
          <w:spacing w:val="-14"/>
        </w:rPr>
        <w:t> </w:t>
      </w:r>
      <w:r>
        <w:rPr/>
        <w:t>36</w:t>
      </w:r>
      <w:r>
        <w:rPr>
          <w:spacing w:val="-14"/>
        </w:rPr>
        <w:t> </w:t>
      </w:r>
      <w:r>
        <w:rPr/>
        <w:t>months respectively</w:t>
      </w:r>
      <w:r>
        <w:rPr>
          <w:spacing w:val="-15"/>
        </w:rPr>
        <w:t> </w:t>
      </w:r>
      <w:r>
        <w:rPr/>
        <w:t>from</w:t>
      </w:r>
      <w:r>
        <w:rPr>
          <w:spacing w:val="-15"/>
        </w:rPr>
        <w:t> </w:t>
      </w:r>
      <w:r>
        <w:rPr/>
        <w:t>the</w:t>
      </w:r>
      <w:r>
        <w:rPr>
          <w:spacing w:val="-15"/>
        </w:rPr>
        <w:t> </w:t>
      </w:r>
      <w:r>
        <w:rPr/>
        <w:t>date</w:t>
      </w:r>
      <w:r>
        <w:rPr>
          <w:spacing w:val="-15"/>
        </w:rPr>
        <w:t> </w:t>
      </w:r>
      <w:r>
        <w:rPr/>
        <w:t>of</w:t>
      </w:r>
      <w:r>
        <w:rPr>
          <w:spacing w:val="-15"/>
        </w:rPr>
        <w:t> </w:t>
      </w:r>
      <w:r>
        <w:rPr/>
        <w:t>coming</w:t>
      </w:r>
      <w:r>
        <w:rPr>
          <w:spacing w:val="-15"/>
        </w:rPr>
        <w:t> </w:t>
      </w:r>
      <w:r>
        <w:rPr/>
        <w:t>into</w:t>
      </w:r>
      <w:r>
        <w:rPr>
          <w:spacing w:val="-15"/>
        </w:rPr>
        <w:t> </w:t>
      </w:r>
      <w:r>
        <w:rPr/>
        <w:t>force</w:t>
      </w:r>
      <w:r>
        <w:rPr>
          <w:spacing w:val="-15"/>
        </w:rPr>
        <w:t> </w:t>
      </w:r>
      <w:r>
        <w:rPr/>
        <w:t>of</w:t>
      </w:r>
      <w:r>
        <w:rPr>
          <w:spacing w:val="-15"/>
        </w:rPr>
        <w:t> </w:t>
      </w:r>
      <w:r>
        <w:rPr/>
        <w:t>these</w:t>
      </w:r>
      <w:r>
        <w:rPr>
          <w:spacing w:val="-15"/>
        </w:rPr>
        <w:t> </w:t>
      </w:r>
      <w:r>
        <w:rPr/>
        <w:t>Regulations.</w:t>
      </w:r>
      <w:r>
        <w:rPr>
          <w:spacing w:val="-15"/>
        </w:rPr>
        <w:t> </w:t>
      </w:r>
      <w:r>
        <w:rPr/>
        <w:t>The</w:t>
      </w:r>
      <w:r>
        <w:rPr>
          <w:spacing w:val="-15"/>
        </w:rPr>
        <w:t> </w:t>
      </w:r>
      <w:r>
        <w:rPr/>
        <w:t>owner</w:t>
      </w:r>
      <w:r>
        <w:rPr>
          <w:spacing w:val="-15"/>
        </w:rPr>
        <w:t> </w:t>
      </w:r>
      <w:r>
        <w:rPr/>
        <w:t>may opt for the said entitlement in the form of FSI on the balance plot or in the same layout as permissible under these Regulations.. Provided that the quantum of </w:t>
      </w:r>
      <w:r>
        <w:rPr>
          <w:i/>
        </w:rPr>
        <w:t>Transferable Development Rights (TDR</w:t>
      </w:r>
      <w:r>
        <w:rPr/>
        <w:t>) generated for D.P. Road/ reservation in </w:t>
      </w:r>
      <w:r>
        <w:rPr>
          <w:sz w:val="22"/>
        </w:rPr>
        <w:t>CRZ/BDP/HTHS</w:t>
      </w:r>
      <w:r>
        <w:rPr/>
        <w:t>/Low Density Zone/ Hazardous Zone/ Special Development Zone areas</w:t>
      </w:r>
      <w:r>
        <w:rPr>
          <w:spacing w:val="-10"/>
        </w:rPr>
        <w:t> </w:t>
      </w:r>
      <w:r>
        <w:rPr/>
        <w:t>or</w:t>
      </w:r>
      <w:r>
        <w:rPr>
          <w:spacing w:val="-9"/>
        </w:rPr>
        <w:t> </w:t>
      </w:r>
      <w:r>
        <w:rPr/>
        <w:t>in</w:t>
      </w:r>
      <w:r>
        <w:rPr>
          <w:spacing w:val="-10"/>
        </w:rPr>
        <w:t> </w:t>
      </w:r>
      <w:r>
        <w:rPr/>
        <w:t>areas</w:t>
      </w:r>
      <w:r>
        <w:rPr>
          <w:spacing w:val="-10"/>
        </w:rPr>
        <w:t> </w:t>
      </w:r>
      <w:r>
        <w:rPr/>
        <w:t>which</w:t>
      </w:r>
      <w:r>
        <w:rPr>
          <w:spacing w:val="-10"/>
        </w:rPr>
        <w:t> </w:t>
      </w:r>
      <w:r>
        <w:rPr/>
        <w:t>have</w:t>
      </w:r>
      <w:r>
        <w:rPr>
          <w:spacing w:val="-10"/>
        </w:rPr>
        <w:t> </w:t>
      </w:r>
      <w:r>
        <w:rPr/>
        <w:t>some</w:t>
      </w:r>
      <w:r>
        <w:rPr>
          <w:spacing w:val="-10"/>
        </w:rPr>
        <w:t> </w:t>
      </w:r>
      <w:r>
        <w:rPr/>
        <w:t>natural</w:t>
      </w:r>
      <w:r>
        <w:rPr>
          <w:spacing w:val="-10"/>
        </w:rPr>
        <w:t> </w:t>
      </w:r>
      <w:r>
        <w:rPr/>
        <w:t>or</w:t>
      </w:r>
      <w:r>
        <w:rPr>
          <w:spacing w:val="-10"/>
        </w:rPr>
        <w:t> </w:t>
      </w:r>
      <w:r>
        <w:rPr/>
        <w:t>legal</w:t>
      </w:r>
      <w:r>
        <w:rPr>
          <w:spacing w:val="-8"/>
        </w:rPr>
        <w:t> </w:t>
      </w:r>
      <w:r>
        <w:rPr/>
        <w:t>impediment</w:t>
      </w:r>
      <w:r>
        <w:rPr>
          <w:spacing w:val="-10"/>
        </w:rPr>
        <w:t> </w:t>
      </w:r>
      <w:r>
        <w:rPr/>
        <w:t>or</w:t>
      </w:r>
      <w:r>
        <w:rPr>
          <w:spacing w:val="-9"/>
        </w:rPr>
        <w:t> </w:t>
      </w:r>
      <w:r>
        <w:rPr/>
        <w:t>constraint</w:t>
      </w:r>
      <w:r>
        <w:rPr>
          <w:spacing w:val="-10"/>
        </w:rPr>
        <w:t> </w:t>
      </w:r>
      <w:r>
        <w:rPr/>
        <w:t>on</w:t>
      </w:r>
      <w:r>
        <w:rPr>
          <w:spacing w:val="-10"/>
        </w:rPr>
        <w:t> </w:t>
      </w:r>
      <w:r>
        <w:rPr/>
        <w:t>on construction or development etc. shall be 50% of normal TDR generated as prescribed above in Table 12 A of these Regulation. Provided that the Municipal Commissioner shall be satisfied that the said land can be used for the intended </w:t>
      </w:r>
      <w:r>
        <w:rPr>
          <w:spacing w:val="-2"/>
        </w:rPr>
        <w:t>purpose.</w:t>
      </w:r>
    </w:p>
    <w:p>
      <w:pPr>
        <w:pStyle w:val="BodyText"/>
        <w:spacing w:after="0" w:line="276" w:lineRule="auto"/>
        <w:sectPr>
          <w:pgSz w:w="11910" w:h="16840"/>
          <w:pgMar w:header="1065" w:footer="1237" w:top="1500" w:bottom="1420" w:left="360" w:right="360"/>
        </w:sectPr>
      </w:pPr>
    </w:p>
    <w:p>
      <w:pPr>
        <w:pStyle w:val="BodyText"/>
        <w:spacing w:line="276" w:lineRule="auto" w:before="247"/>
        <w:ind w:left="772" w:right="772" w:firstLine="76"/>
      </w:pPr>
      <w:r>
        <w:rPr/>
        <w:t>Provided further that in case of Govt. land which are fully encumbered then the TDR</w:t>
      </w:r>
      <w:r>
        <w:rPr>
          <w:spacing w:val="-14"/>
        </w:rPr>
        <w:t> </w:t>
      </w:r>
      <w:r>
        <w:rPr/>
        <w:t>of</w:t>
      </w:r>
      <w:r>
        <w:rPr>
          <w:spacing w:val="-11"/>
        </w:rPr>
        <w:t> </w:t>
      </w:r>
      <w:r>
        <w:rPr/>
        <w:t>such</w:t>
      </w:r>
      <w:r>
        <w:rPr>
          <w:spacing w:val="-14"/>
        </w:rPr>
        <w:t> </w:t>
      </w:r>
      <w:r>
        <w:rPr/>
        <w:t>encumbered</w:t>
      </w:r>
      <w:r>
        <w:rPr>
          <w:spacing w:val="-14"/>
        </w:rPr>
        <w:t> </w:t>
      </w:r>
      <w:r>
        <w:rPr/>
        <w:t>plot</w:t>
      </w:r>
      <w:r>
        <w:rPr>
          <w:spacing w:val="-14"/>
        </w:rPr>
        <w:t> </w:t>
      </w:r>
      <w:r>
        <w:rPr/>
        <w:t>shall</w:t>
      </w:r>
      <w:r>
        <w:rPr>
          <w:spacing w:val="-14"/>
        </w:rPr>
        <w:t> </w:t>
      </w:r>
      <w:r>
        <w:rPr/>
        <w:t>be</w:t>
      </w:r>
      <w:r>
        <w:rPr>
          <w:spacing w:val="-12"/>
        </w:rPr>
        <w:t> </w:t>
      </w:r>
      <w:r>
        <w:rPr/>
        <w:t>granted</w:t>
      </w:r>
      <w:r>
        <w:rPr>
          <w:spacing w:val="-14"/>
        </w:rPr>
        <w:t> </w:t>
      </w:r>
      <w:r>
        <w:rPr/>
        <w:t>as</w:t>
      </w:r>
      <w:r>
        <w:rPr>
          <w:spacing w:val="-14"/>
        </w:rPr>
        <w:t> </w:t>
      </w:r>
      <w:r>
        <w:rPr/>
        <w:t>per</w:t>
      </w:r>
      <w:r>
        <w:rPr>
          <w:spacing w:val="-14"/>
        </w:rPr>
        <w:t> </w:t>
      </w:r>
      <w:r>
        <w:rPr/>
        <w:t>the</w:t>
      </w:r>
      <w:r>
        <w:rPr>
          <w:spacing w:val="-12"/>
        </w:rPr>
        <w:t> </w:t>
      </w:r>
      <w:r>
        <w:rPr/>
        <w:t>clarifications</w:t>
      </w:r>
      <w:r>
        <w:rPr>
          <w:spacing w:val="-14"/>
        </w:rPr>
        <w:t> </w:t>
      </w:r>
      <w:r>
        <w:rPr/>
        <w:t>given</w:t>
      </w:r>
      <w:r>
        <w:rPr>
          <w:spacing w:val="-14"/>
        </w:rPr>
        <w:t> </w:t>
      </w:r>
      <w:r>
        <w:rPr/>
        <w:t>by</w:t>
      </w:r>
      <w:r>
        <w:rPr>
          <w:spacing w:val="-14"/>
        </w:rPr>
        <w:t> </w:t>
      </w:r>
      <w:r>
        <w:rPr/>
        <w:t>the Govt. from time to time.</w:t>
      </w:r>
    </w:p>
    <w:p>
      <w:pPr>
        <w:pStyle w:val="ListParagraph"/>
        <w:numPr>
          <w:ilvl w:val="2"/>
          <w:numId w:val="119"/>
        </w:numPr>
        <w:tabs>
          <w:tab w:pos="1737" w:val="left" w:leader="none"/>
        </w:tabs>
        <w:spacing w:line="240" w:lineRule="auto" w:before="98" w:after="0"/>
        <w:ind w:left="772" w:right="768" w:firstLine="0"/>
        <w:jc w:val="both"/>
        <w:rPr>
          <w:sz w:val="24"/>
        </w:rPr>
      </w:pPr>
      <w:r>
        <w:rPr>
          <w:sz w:val="24"/>
        </w:rPr>
        <w:t>DRC shall be issued only after the land is transferred to the Municipal Corporation, only after compliance of conditions stipulated in these regulations and after handing over and taking over possession of the reserved land for which TDR is sought at free of cost and free from encumbrances and after leveling the land to the surrounding ground level and after constructing / erecting compound wall / fencing</w:t>
      </w:r>
      <w:r>
        <w:rPr>
          <w:spacing w:val="80"/>
          <w:w w:val="150"/>
          <w:sz w:val="24"/>
        </w:rPr>
        <w:t> </w:t>
      </w:r>
      <w:r>
        <w:rPr>
          <w:sz w:val="24"/>
        </w:rPr>
        <w:t>at the cost of the owner and to the satisfaction of the Municipal Commissioner. </w:t>
      </w:r>
      <w:r>
        <w:rPr>
          <w:i/>
          <w:sz w:val="24"/>
        </w:rPr>
        <w:t>Provided that, </w:t>
      </w:r>
      <w:r>
        <w:rPr>
          <w:sz w:val="24"/>
        </w:rPr>
        <w:t>if on certain lands such construction / erection of compound</w:t>
      </w:r>
      <w:r>
        <w:rPr>
          <w:spacing w:val="-12"/>
          <w:sz w:val="24"/>
        </w:rPr>
        <w:t> </w:t>
      </w:r>
      <w:r>
        <w:rPr>
          <w:sz w:val="24"/>
        </w:rPr>
        <w:t>wall</w:t>
      </w:r>
      <w:r>
        <w:rPr>
          <w:spacing w:val="-12"/>
          <w:sz w:val="24"/>
        </w:rPr>
        <w:t> </w:t>
      </w:r>
      <w:r>
        <w:rPr>
          <w:sz w:val="24"/>
        </w:rPr>
        <w:t>/</w:t>
      </w:r>
      <w:r>
        <w:rPr>
          <w:spacing w:val="-12"/>
          <w:sz w:val="24"/>
        </w:rPr>
        <w:t> </w:t>
      </w:r>
      <w:r>
        <w:rPr>
          <w:sz w:val="24"/>
        </w:rPr>
        <w:t>fencing</w:t>
      </w:r>
      <w:r>
        <w:rPr>
          <w:spacing w:val="-12"/>
          <w:sz w:val="24"/>
        </w:rPr>
        <w:t> </w:t>
      </w:r>
      <w:r>
        <w:rPr>
          <w:sz w:val="24"/>
        </w:rPr>
        <w:t>is</w:t>
      </w:r>
      <w:r>
        <w:rPr>
          <w:spacing w:val="-12"/>
          <w:sz w:val="24"/>
        </w:rPr>
        <w:t> </w:t>
      </w:r>
      <w:r>
        <w:rPr>
          <w:sz w:val="24"/>
        </w:rPr>
        <w:t>prohibited</w:t>
      </w:r>
      <w:r>
        <w:rPr>
          <w:spacing w:val="-12"/>
          <w:sz w:val="24"/>
        </w:rPr>
        <w:t> </w:t>
      </w:r>
      <w:r>
        <w:rPr>
          <w:sz w:val="24"/>
        </w:rPr>
        <w:t>or</w:t>
      </w:r>
      <w:r>
        <w:rPr>
          <w:spacing w:val="-10"/>
          <w:sz w:val="24"/>
        </w:rPr>
        <w:t> </w:t>
      </w:r>
      <w:r>
        <w:rPr>
          <w:sz w:val="24"/>
        </w:rPr>
        <w:t>restricted</w:t>
      </w:r>
      <w:r>
        <w:rPr>
          <w:spacing w:val="-12"/>
          <w:sz w:val="24"/>
        </w:rPr>
        <w:t> </w:t>
      </w:r>
      <w:r>
        <w:rPr>
          <w:sz w:val="24"/>
        </w:rPr>
        <w:t>by</w:t>
      </w:r>
      <w:r>
        <w:rPr>
          <w:spacing w:val="-12"/>
          <w:sz w:val="24"/>
        </w:rPr>
        <w:t> </w:t>
      </w:r>
      <w:r>
        <w:rPr>
          <w:sz w:val="24"/>
        </w:rPr>
        <w:t>any</w:t>
      </w:r>
      <w:r>
        <w:rPr>
          <w:spacing w:val="-12"/>
          <w:sz w:val="24"/>
        </w:rPr>
        <w:t> </w:t>
      </w:r>
      <w:r>
        <w:rPr>
          <w:sz w:val="24"/>
        </w:rPr>
        <w:t>regulation</w:t>
      </w:r>
      <w:r>
        <w:rPr>
          <w:spacing w:val="-13"/>
          <w:sz w:val="24"/>
        </w:rPr>
        <w:t> </w:t>
      </w:r>
      <w:r>
        <w:rPr>
          <w:sz w:val="24"/>
        </w:rPr>
        <w:t>or</w:t>
      </w:r>
      <w:r>
        <w:rPr>
          <w:spacing w:val="-12"/>
          <w:sz w:val="24"/>
        </w:rPr>
        <w:t> </w:t>
      </w:r>
      <w:r>
        <w:rPr>
          <w:sz w:val="24"/>
        </w:rPr>
        <w:t>not</w:t>
      </w:r>
      <w:r>
        <w:rPr>
          <w:spacing w:val="-12"/>
          <w:sz w:val="24"/>
        </w:rPr>
        <w:t> </w:t>
      </w:r>
      <w:r>
        <w:rPr>
          <w:sz w:val="24"/>
        </w:rPr>
        <w:t>insited by</w:t>
      </w:r>
      <w:r>
        <w:rPr>
          <w:spacing w:val="-8"/>
          <w:sz w:val="24"/>
        </w:rPr>
        <w:t> </w:t>
      </w:r>
      <w:r>
        <w:rPr>
          <w:sz w:val="24"/>
        </w:rPr>
        <w:t>MCGM,</w:t>
      </w:r>
      <w:r>
        <w:rPr>
          <w:spacing w:val="-8"/>
          <w:sz w:val="24"/>
        </w:rPr>
        <w:t> </w:t>
      </w:r>
      <w:r>
        <w:rPr>
          <w:sz w:val="24"/>
        </w:rPr>
        <w:t>then</w:t>
      </w:r>
      <w:r>
        <w:rPr>
          <w:spacing w:val="-8"/>
          <w:sz w:val="24"/>
        </w:rPr>
        <w:t> </w:t>
      </w:r>
      <w:r>
        <w:rPr>
          <w:sz w:val="24"/>
        </w:rPr>
        <w:t>the</w:t>
      </w:r>
      <w:r>
        <w:rPr>
          <w:spacing w:val="-11"/>
          <w:sz w:val="24"/>
        </w:rPr>
        <w:t> </w:t>
      </w:r>
      <w:r>
        <w:rPr>
          <w:sz w:val="24"/>
        </w:rPr>
        <w:t>developer</w:t>
      </w:r>
      <w:r>
        <w:rPr>
          <w:spacing w:val="-8"/>
          <w:sz w:val="24"/>
        </w:rPr>
        <w:t> </w:t>
      </w:r>
      <w:r>
        <w:rPr>
          <w:sz w:val="24"/>
        </w:rPr>
        <w:t>will</w:t>
      </w:r>
      <w:r>
        <w:rPr>
          <w:spacing w:val="-8"/>
          <w:sz w:val="24"/>
        </w:rPr>
        <w:t> </w:t>
      </w:r>
      <w:r>
        <w:rPr>
          <w:sz w:val="24"/>
        </w:rPr>
        <w:t>have</w:t>
      </w:r>
      <w:r>
        <w:rPr>
          <w:spacing w:val="-8"/>
          <w:sz w:val="24"/>
        </w:rPr>
        <w:t> </w:t>
      </w:r>
      <w:r>
        <w:rPr>
          <w:sz w:val="24"/>
        </w:rPr>
        <w:t>to</w:t>
      </w:r>
      <w:r>
        <w:rPr>
          <w:spacing w:val="-8"/>
          <w:sz w:val="24"/>
        </w:rPr>
        <w:t> </w:t>
      </w:r>
      <w:r>
        <w:rPr>
          <w:sz w:val="24"/>
        </w:rPr>
        <w:t>pay</w:t>
      </w:r>
      <w:r>
        <w:rPr>
          <w:spacing w:val="-8"/>
          <w:sz w:val="24"/>
        </w:rPr>
        <w:t> </w:t>
      </w:r>
      <w:r>
        <w:rPr>
          <w:sz w:val="24"/>
        </w:rPr>
        <w:t>the</w:t>
      </w:r>
      <w:r>
        <w:rPr>
          <w:spacing w:val="-8"/>
          <w:sz w:val="24"/>
        </w:rPr>
        <w:t> </w:t>
      </w:r>
      <w:r>
        <w:rPr>
          <w:sz w:val="24"/>
        </w:rPr>
        <w:t>cost</w:t>
      </w:r>
      <w:r>
        <w:rPr>
          <w:spacing w:val="-8"/>
          <w:sz w:val="24"/>
        </w:rPr>
        <w:t> </w:t>
      </w:r>
      <w:r>
        <w:rPr>
          <w:sz w:val="24"/>
        </w:rPr>
        <w:t>of</w:t>
      </w:r>
      <w:r>
        <w:rPr>
          <w:spacing w:val="-8"/>
          <w:sz w:val="24"/>
        </w:rPr>
        <w:t> </w:t>
      </w:r>
      <w:r>
        <w:rPr>
          <w:sz w:val="24"/>
        </w:rPr>
        <w:t>construction</w:t>
      </w:r>
      <w:r>
        <w:rPr>
          <w:spacing w:val="-8"/>
          <w:sz w:val="24"/>
        </w:rPr>
        <w:t> </w:t>
      </w:r>
      <w:r>
        <w:rPr>
          <w:sz w:val="24"/>
        </w:rPr>
        <w:t>/</w:t>
      </w:r>
      <w:r>
        <w:rPr>
          <w:spacing w:val="-8"/>
          <w:sz w:val="24"/>
        </w:rPr>
        <w:t> </w:t>
      </w:r>
      <w:r>
        <w:rPr>
          <w:sz w:val="24"/>
        </w:rPr>
        <w:t>leveling</w:t>
      </w:r>
      <w:r>
        <w:rPr>
          <w:spacing w:val="-8"/>
          <w:sz w:val="24"/>
        </w:rPr>
        <w:t> </w:t>
      </w:r>
      <w:r>
        <w:rPr>
          <w:sz w:val="24"/>
        </w:rPr>
        <w:t>to MCGM</w:t>
      </w:r>
      <w:r>
        <w:rPr>
          <w:spacing w:val="-14"/>
          <w:sz w:val="24"/>
        </w:rPr>
        <w:t> </w:t>
      </w:r>
      <w:r>
        <w:rPr>
          <w:sz w:val="24"/>
        </w:rPr>
        <w:t>as</w:t>
      </w:r>
      <w:r>
        <w:rPr>
          <w:spacing w:val="-14"/>
          <w:sz w:val="24"/>
        </w:rPr>
        <w:t> </w:t>
      </w:r>
      <w:r>
        <w:rPr>
          <w:sz w:val="24"/>
        </w:rPr>
        <w:t>per</w:t>
      </w:r>
      <w:r>
        <w:rPr>
          <w:spacing w:val="-14"/>
          <w:sz w:val="24"/>
        </w:rPr>
        <w:t> </w:t>
      </w:r>
      <w:r>
        <w:rPr>
          <w:sz w:val="24"/>
        </w:rPr>
        <w:t>policy</w:t>
      </w:r>
      <w:r>
        <w:rPr>
          <w:spacing w:val="-14"/>
          <w:sz w:val="24"/>
        </w:rPr>
        <w:t> </w:t>
      </w:r>
      <w:r>
        <w:rPr>
          <w:sz w:val="24"/>
        </w:rPr>
        <w:t>of</w:t>
      </w:r>
      <w:r>
        <w:rPr>
          <w:spacing w:val="-14"/>
          <w:sz w:val="24"/>
        </w:rPr>
        <w:t> </w:t>
      </w:r>
      <w:r>
        <w:rPr>
          <w:sz w:val="24"/>
        </w:rPr>
        <w:t>MCGM</w:t>
      </w:r>
      <w:r>
        <w:rPr>
          <w:spacing w:val="-14"/>
          <w:sz w:val="24"/>
        </w:rPr>
        <w:t> </w:t>
      </w:r>
      <w:r>
        <w:rPr>
          <w:sz w:val="24"/>
        </w:rPr>
        <w:t>or</w:t>
      </w:r>
      <w:r>
        <w:rPr>
          <w:spacing w:val="-14"/>
          <w:sz w:val="24"/>
        </w:rPr>
        <w:t> </w:t>
      </w:r>
      <w:r>
        <w:rPr>
          <w:sz w:val="24"/>
        </w:rPr>
        <w:t>else</w:t>
      </w:r>
      <w:r>
        <w:rPr>
          <w:spacing w:val="-13"/>
          <w:sz w:val="24"/>
        </w:rPr>
        <w:t> </w:t>
      </w:r>
      <w:r>
        <w:rPr>
          <w:sz w:val="24"/>
        </w:rPr>
        <w:t>quantum</w:t>
      </w:r>
      <w:r>
        <w:rPr>
          <w:spacing w:val="-14"/>
          <w:sz w:val="24"/>
        </w:rPr>
        <w:t> </w:t>
      </w:r>
      <w:r>
        <w:rPr>
          <w:sz w:val="24"/>
        </w:rPr>
        <w:t>of</w:t>
      </w:r>
      <w:r>
        <w:rPr>
          <w:spacing w:val="40"/>
          <w:sz w:val="24"/>
        </w:rPr>
        <w:t> </w:t>
      </w:r>
      <w:r>
        <w:rPr>
          <w:i/>
          <w:sz w:val="24"/>
        </w:rPr>
        <w:t>Transferable</w:t>
      </w:r>
      <w:r>
        <w:rPr>
          <w:i/>
          <w:spacing w:val="-14"/>
          <w:sz w:val="24"/>
        </w:rPr>
        <w:t> </w:t>
      </w:r>
      <w:r>
        <w:rPr>
          <w:i/>
          <w:sz w:val="24"/>
        </w:rPr>
        <w:t>Development</w:t>
      </w:r>
      <w:r>
        <w:rPr>
          <w:i/>
          <w:spacing w:val="-14"/>
          <w:sz w:val="24"/>
        </w:rPr>
        <w:t> </w:t>
      </w:r>
      <w:r>
        <w:rPr>
          <w:i/>
          <w:sz w:val="24"/>
        </w:rPr>
        <w:t>Rights (TDR </w:t>
      </w:r>
      <w:r>
        <w:rPr>
          <w:sz w:val="24"/>
        </w:rPr>
        <w:t>) shall be reduced as prescribed in proviso to Clause</w:t>
      </w:r>
      <w:r>
        <w:rPr>
          <w:spacing w:val="40"/>
          <w:sz w:val="24"/>
        </w:rPr>
        <w:t> </w:t>
      </w:r>
      <w:r>
        <w:rPr>
          <w:sz w:val="24"/>
        </w:rPr>
        <w:t>4.1.1.</w:t>
      </w:r>
    </w:p>
    <w:p>
      <w:pPr>
        <w:pStyle w:val="BodyText"/>
        <w:spacing w:line="276" w:lineRule="auto" w:before="280"/>
        <w:ind w:left="772" w:right="770"/>
      </w:pPr>
      <w:r>
        <w:rPr/>
        <w:t>Provided further that such construction/erection of compound wall/fencing shall not be necessary for area under Development Plan roads</w:t>
      </w:r>
      <w:r>
        <w:rPr>
          <w:sz w:val="22"/>
        </w:rPr>
        <w:t>/ </w:t>
      </w:r>
      <w:r>
        <w:rPr/>
        <w:t>set back due to road wideing. In such cases TDR equivalent to entitlement as mentioned in regulation no 4.1.1 shall be granted without any reduction.</w:t>
      </w:r>
    </w:p>
    <w:p>
      <w:pPr>
        <w:pStyle w:val="ListParagraph"/>
        <w:numPr>
          <w:ilvl w:val="2"/>
          <w:numId w:val="119"/>
        </w:numPr>
        <w:tabs>
          <w:tab w:pos="1694" w:val="left" w:leader="none"/>
        </w:tabs>
        <w:spacing w:line="240" w:lineRule="auto" w:before="204" w:after="0"/>
        <w:ind w:left="962" w:right="970" w:firstLine="0"/>
        <w:jc w:val="both"/>
        <w:rPr>
          <w:sz w:val="24"/>
        </w:rPr>
      </w:pPr>
      <w:r>
        <w:rPr>
          <w:sz w:val="24"/>
        </w:rPr>
        <w:t>If any contiguous land of the same owner/developer, in addition to the land under surrender for which</w:t>
      </w:r>
      <w:r>
        <w:rPr>
          <w:spacing w:val="-2"/>
          <w:sz w:val="24"/>
        </w:rPr>
        <w:t> </w:t>
      </w:r>
      <w:r>
        <w:rPr>
          <w:i/>
          <w:sz w:val="24"/>
        </w:rPr>
        <w:t>Transferable Development</w:t>
      </w:r>
      <w:r>
        <w:rPr>
          <w:i/>
          <w:spacing w:val="-3"/>
          <w:sz w:val="24"/>
        </w:rPr>
        <w:t> </w:t>
      </w:r>
      <w:r>
        <w:rPr>
          <w:i/>
          <w:sz w:val="24"/>
        </w:rPr>
        <w:t>Rights (TDR</w:t>
      </w:r>
      <w:r>
        <w:rPr>
          <w:sz w:val="24"/>
        </w:rPr>
        <w:t>) is to</w:t>
      </w:r>
      <w:r>
        <w:rPr>
          <w:spacing w:val="-3"/>
          <w:sz w:val="24"/>
        </w:rPr>
        <w:t> </w:t>
      </w:r>
      <w:r>
        <w:rPr>
          <w:sz w:val="24"/>
        </w:rPr>
        <w:t>be granted, remains unbuildable, the Municipal Commissioner may grant </w:t>
      </w:r>
      <w:r>
        <w:rPr>
          <w:i/>
          <w:sz w:val="24"/>
        </w:rPr>
        <w:t>Transferable Development Rights (TDR</w:t>
      </w:r>
      <w:r>
        <w:rPr>
          <w:sz w:val="24"/>
        </w:rPr>
        <w:t>)</w:t>
      </w:r>
      <w:r>
        <w:rPr>
          <w:spacing w:val="80"/>
          <w:sz w:val="24"/>
        </w:rPr>
        <w:t> </w:t>
      </w:r>
      <w:r>
        <w:rPr>
          <w:sz w:val="24"/>
        </w:rPr>
        <w:t>for such remaining unbuildable land also if the owner / developer hands it over free of cost and free from all encumbrance</w:t>
      </w:r>
      <w:r>
        <w:rPr>
          <w:spacing w:val="-4"/>
          <w:sz w:val="24"/>
        </w:rPr>
        <w:t> </w:t>
      </w:r>
      <w:r>
        <w:rPr>
          <w:sz w:val="24"/>
        </w:rPr>
        <w:t>and</w:t>
      </w:r>
      <w:r>
        <w:rPr>
          <w:spacing w:val="-4"/>
          <w:sz w:val="24"/>
        </w:rPr>
        <w:t> </w:t>
      </w:r>
      <w:r>
        <w:rPr>
          <w:sz w:val="24"/>
        </w:rPr>
        <w:t>encroachment.</w:t>
      </w:r>
      <w:r>
        <w:rPr>
          <w:spacing w:val="-4"/>
          <w:sz w:val="24"/>
        </w:rPr>
        <w:t> </w:t>
      </w:r>
      <w:r>
        <w:rPr>
          <w:sz w:val="24"/>
        </w:rPr>
        <w:t>If</w:t>
      </w:r>
      <w:r>
        <w:rPr>
          <w:spacing w:val="-4"/>
          <w:sz w:val="24"/>
        </w:rPr>
        <w:t> </w:t>
      </w:r>
      <w:r>
        <w:rPr>
          <w:sz w:val="24"/>
        </w:rPr>
        <w:t>such</w:t>
      </w:r>
      <w:r>
        <w:rPr>
          <w:spacing w:val="-4"/>
          <w:sz w:val="24"/>
        </w:rPr>
        <w:t> </w:t>
      </w:r>
      <w:r>
        <w:rPr>
          <w:sz w:val="24"/>
        </w:rPr>
        <w:t>land</w:t>
      </w:r>
      <w:r>
        <w:rPr>
          <w:spacing w:val="-4"/>
          <w:sz w:val="24"/>
        </w:rPr>
        <w:t> </w:t>
      </w:r>
      <w:r>
        <w:rPr>
          <w:sz w:val="24"/>
        </w:rPr>
        <w:t>is</w:t>
      </w:r>
      <w:r>
        <w:rPr>
          <w:spacing w:val="-4"/>
          <w:sz w:val="24"/>
        </w:rPr>
        <w:t> </w:t>
      </w:r>
      <w:r>
        <w:rPr>
          <w:sz w:val="24"/>
        </w:rPr>
        <w:t>from</w:t>
      </w:r>
      <w:r>
        <w:rPr>
          <w:spacing w:val="-4"/>
          <w:sz w:val="24"/>
        </w:rPr>
        <w:t> </w:t>
      </w:r>
      <w:r>
        <w:rPr>
          <w:sz w:val="24"/>
        </w:rPr>
        <w:t>the</w:t>
      </w:r>
      <w:r>
        <w:rPr>
          <w:spacing w:val="-4"/>
          <w:sz w:val="24"/>
        </w:rPr>
        <w:t> </w:t>
      </w:r>
      <w:r>
        <w:rPr>
          <w:sz w:val="24"/>
        </w:rPr>
        <w:t>proposed</w:t>
      </w:r>
      <w:r>
        <w:rPr>
          <w:spacing w:val="-4"/>
          <w:sz w:val="24"/>
        </w:rPr>
        <w:t> </w:t>
      </w:r>
      <w:r>
        <w:rPr>
          <w:sz w:val="24"/>
        </w:rPr>
        <w:t>roads</w:t>
      </w:r>
      <w:r>
        <w:rPr>
          <w:spacing w:val="-4"/>
          <w:sz w:val="24"/>
        </w:rPr>
        <w:t> </w:t>
      </w:r>
      <w:r>
        <w:rPr>
          <w:sz w:val="24"/>
        </w:rPr>
        <w:t>then such land shall be utilized for road side parking, garden, open space or road side</w:t>
      </w:r>
      <w:r>
        <w:rPr>
          <w:spacing w:val="-1"/>
          <w:sz w:val="24"/>
        </w:rPr>
        <w:t> </w:t>
      </w:r>
      <w:r>
        <w:rPr>
          <w:sz w:val="24"/>
        </w:rPr>
        <w:t>amenities</w:t>
      </w:r>
      <w:r>
        <w:rPr>
          <w:spacing w:val="-1"/>
          <w:sz w:val="24"/>
        </w:rPr>
        <w:t> </w:t>
      </w:r>
      <w:r>
        <w:rPr>
          <w:sz w:val="24"/>
        </w:rPr>
        <w:t>including</w:t>
      </w:r>
      <w:r>
        <w:rPr>
          <w:spacing w:val="-1"/>
          <w:sz w:val="24"/>
        </w:rPr>
        <w:t> </w:t>
      </w:r>
      <w:r>
        <w:rPr>
          <w:sz w:val="24"/>
        </w:rPr>
        <w:t>bus</w:t>
      </w:r>
      <w:r>
        <w:rPr>
          <w:spacing w:val="-1"/>
          <w:sz w:val="24"/>
        </w:rPr>
        <w:t> </w:t>
      </w:r>
      <w:r>
        <w:rPr>
          <w:sz w:val="24"/>
        </w:rPr>
        <w:t>bays,</w:t>
      </w:r>
      <w:r>
        <w:rPr>
          <w:spacing w:val="-1"/>
          <w:sz w:val="24"/>
        </w:rPr>
        <w:t> </w:t>
      </w:r>
      <w:r>
        <w:rPr>
          <w:sz w:val="24"/>
        </w:rPr>
        <w:t>public</w:t>
      </w:r>
      <w:r>
        <w:rPr>
          <w:spacing w:val="-1"/>
          <w:sz w:val="24"/>
        </w:rPr>
        <w:t> </w:t>
      </w:r>
      <w:r>
        <w:rPr>
          <w:sz w:val="24"/>
        </w:rPr>
        <w:t>toilets</w:t>
      </w:r>
      <w:r>
        <w:rPr>
          <w:spacing w:val="-1"/>
          <w:sz w:val="24"/>
        </w:rPr>
        <w:t> </w:t>
      </w:r>
      <w:r>
        <w:rPr>
          <w:sz w:val="24"/>
        </w:rPr>
        <w:t>or</w:t>
      </w:r>
      <w:r>
        <w:rPr>
          <w:spacing w:val="-1"/>
          <w:sz w:val="24"/>
        </w:rPr>
        <w:t> </w:t>
      </w:r>
      <w:r>
        <w:rPr>
          <w:sz w:val="24"/>
        </w:rPr>
        <w:t>any</w:t>
      </w:r>
      <w:r>
        <w:rPr>
          <w:spacing w:val="-1"/>
          <w:sz w:val="24"/>
        </w:rPr>
        <w:t> </w:t>
      </w:r>
      <w:r>
        <w:rPr>
          <w:sz w:val="24"/>
        </w:rPr>
        <w:t>compatible</w:t>
      </w:r>
      <w:r>
        <w:rPr>
          <w:spacing w:val="-1"/>
          <w:sz w:val="24"/>
        </w:rPr>
        <w:t> </w:t>
      </w:r>
      <w:r>
        <w:rPr>
          <w:sz w:val="24"/>
        </w:rPr>
        <w:t>user</w:t>
      </w:r>
      <w:r>
        <w:rPr>
          <w:spacing w:val="-1"/>
          <w:sz w:val="24"/>
        </w:rPr>
        <w:t> </w:t>
      </w:r>
      <w:r>
        <w:rPr>
          <w:sz w:val="24"/>
        </w:rPr>
        <w:t>as</w:t>
      </w:r>
      <w:r>
        <w:rPr>
          <w:spacing w:val="-1"/>
          <w:sz w:val="24"/>
        </w:rPr>
        <w:t> </w:t>
      </w:r>
      <w:r>
        <w:rPr>
          <w:sz w:val="24"/>
        </w:rPr>
        <w:t>the Commissioner</w:t>
      </w:r>
      <w:r>
        <w:rPr>
          <w:spacing w:val="-16"/>
          <w:sz w:val="24"/>
        </w:rPr>
        <w:t> </w:t>
      </w:r>
      <w:r>
        <w:rPr>
          <w:sz w:val="24"/>
        </w:rPr>
        <w:t>may</w:t>
      </w:r>
      <w:r>
        <w:rPr>
          <w:spacing w:val="-15"/>
          <w:sz w:val="24"/>
        </w:rPr>
        <w:t> </w:t>
      </w:r>
      <w:r>
        <w:rPr>
          <w:sz w:val="24"/>
        </w:rPr>
        <w:t>decide</w:t>
      </w:r>
      <w:r>
        <w:rPr>
          <w:spacing w:val="-15"/>
          <w:sz w:val="24"/>
        </w:rPr>
        <w:t> </w:t>
      </w:r>
      <w:r>
        <w:rPr>
          <w:sz w:val="24"/>
        </w:rPr>
        <w:t>and</w:t>
      </w:r>
      <w:r>
        <w:rPr>
          <w:spacing w:val="-15"/>
          <w:sz w:val="24"/>
        </w:rPr>
        <w:t> </w:t>
      </w:r>
      <w:r>
        <w:rPr>
          <w:sz w:val="24"/>
        </w:rPr>
        <w:t>if</w:t>
      </w:r>
      <w:r>
        <w:rPr>
          <w:spacing w:val="-15"/>
          <w:sz w:val="24"/>
        </w:rPr>
        <w:t> </w:t>
      </w:r>
      <w:r>
        <w:rPr>
          <w:sz w:val="24"/>
        </w:rPr>
        <w:t>the</w:t>
      </w:r>
      <w:r>
        <w:rPr>
          <w:spacing w:val="-15"/>
          <w:sz w:val="24"/>
        </w:rPr>
        <w:t> </w:t>
      </w:r>
      <w:r>
        <w:rPr>
          <w:sz w:val="24"/>
        </w:rPr>
        <w:t>such</w:t>
      </w:r>
      <w:r>
        <w:rPr>
          <w:spacing w:val="-13"/>
          <w:sz w:val="24"/>
        </w:rPr>
        <w:t> </w:t>
      </w:r>
      <w:r>
        <w:rPr>
          <w:sz w:val="24"/>
        </w:rPr>
        <w:t>land</w:t>
      </w:r>
      <w:r>
        <w:rPr>
          <w:spacing w:val="-15"/>
          <w:sz w:val="24"/>
        </w:rPr>
        <w:t> </w:t>
      </w:r>
      <w:r>
        <w:rPr>
          <w:sz w:val="24"/>
        </w:rPr>
        <w:t>is</w:t>
      </w:r>
      <w:r>
        <w:rPr>
          <w:spacing w:val="-15"/>
          <w:sz w:val="24"/>
        </w:rPr>
        <w:t> </w:t>
      </w:r>
      <w:r>
        <w:rPr>
          <w:sz w:val="24"/>
        </w:rPr>
        <w:t>from</w:t>
      </w:r>
      <w:r>
        <w:rPr>
          <w:spacing w:val="-15"/>
          <w:sz w:val="24"/>
        </w:rPr>
        <w:t> </w:t>
      </w:r>
      <w:r>
        <w:rPr>
          <w:sz w:val="24"/>
        </w:rPr>
        <w:t>the</w:t>
      </w:r>
      <w:r>
        <w:rPr>
          <w:spacing w:val="-15"/>
          <w:sz w:val="24"/>
        </w:rPr>
        <w:t> </w:t>
      </w:r>
      <w:r>
        <w:rPr>
          <w:sz w:val="24"/>
        </w:rPr>
        <w:t>proposed</w:t>
      </w:r>
      <w:r>
        <w:rPr>
          <w:spacing w:val="-15"/>
          <w:sz w:val="24"/>
        </w:rPr>
        <w:t> </w:t>
      </w:r>
      <w:r>
        <w:rPr>
          <w:sz w:val="24"/>
        </w:rPr>
        <w:t>reservation then same shall be included in such proposed reservation and shall be developed for the same purpose. The Municipal Commissioner shall quarterly report such cases to Government.</w:t>
      </w:r>
    </w:p>
    <w:p>
      <w:pPr>
        <w:pStyle w:val="Heading5"/>
        <w:numPr>
          <w:ilvl w:val="1"/>
          <w:numId w:val="119"/>
        </w:numPr>
        <w:tabs>
          <w:tab w:pos="1631" w:val="left" w:leader="none"/>
        </w:tabs>
        <w:spacing w:line="276" w:lineRule="auto" w:before="280" w:after="0"/>
        <w:ind w:left="962" w:right="974" w:firstLine="0"/>
        <w:jc w:val="both"/>
      </w:pPr>
      <w:r>
        <w:rPr/>
        <w:t>Transferable Development Rights (TDR )</w:t>
      </w:r>
      <w:r>
        <w:rPr>
          <w:spacing w:val="40"/>
        </w:rPr>
        <w:t> </w:t>
      </w:r>
      <w:r>
        <w:rPr/>
        <w:t>against Construction of </w:t>
      </w:r>
      <w:r>
        <w:rPr>
          <w:spacing w:val="-2"/>
        </w:rPr>
        <w:t>Amenity-</w:t>
      </w:r>
    </w:p>
    <w:p>
      <w:pPr>
        <w:pStyle w:val="BodyText"/>
        <w:spacing w:before="45"/>
        <w:jc w:val="left"/>
        <w:rPr>
          <w:b/>
        </w:rPr>
      </w:pPr>
    </w:p>
    <w:p>
      <w:pPr>
        <w:pStyle w:val="BodyText"/>
        <w:ind w:left="962" w:right="970" w:firstLine="76"/>
      </w:pPr>
      <w:r>
        <w:rPr/>
        <w:t>When an owner or lessee</w:t>
      </w:r>
      <w:r>
        <w:rPr>
          <w:spacing w:val="40"/>
        </w:rPr>
        <w:t> </w:t>
      </w:r>
      <w:r>
        <w:rPr/>
        <w:t>with prior approval of Municipal Commissioner, develops</w:t>
      </w:r>
      <w:r>
        <w:rPr>
          <w:spacing w:val="-7"/>
        </w:rPr>
        <w:t> </w:t>
      </w:r>
      <w:r>
        <w:rPr/>
        <w:t>or</w:t>
      </w:r>
      <w:r>
        <w:rPr>
          <w:spacing w:val="-7"/>
        </w:rPr>
        <w:t> </w:t>
      </w:r>
      <w:r>
        <w:rPr/>
        <w:t>constructs</w:t>
      </w:r>
      <w:r>
        <w:rPr>
          <w:spacing w:val="-7"/>
        </w:rPr>
        <w:t> </w:t>
      </w:r>
      <w:r>
        <w:rPr/>
        <w:t>the</w:t>
      </w:r>
      <w:r>
        <w:rPr>
          <w:spacing w:val="-7"/>
        </w:rPr>
        <w:t> </w:t>
      </w:r>
      <w:r>
        <w:rPr/>
        <w:t>amenity</w:t>
      </w:r>
      <w:r>
        <w:rPr>
          <w:spacing w:val="-7"/>
        </w:rPr>
        <w:t> </w:t>
      </w:r>
      <w:r>
        <w:rPr/>
        <w:t>on</w:t>
      </w:r>
      <w:r>
        <w:rPr>
          <w:spacing w:val="-7"/>
        </w:rPr>
        <w:t> </w:t>
      </w:r>
      <w:r>
        <w:rPr/>
        <w:t>the</w:t>
      </w:r>
      <w:r>
        <w:rPr>
          <w:spacing w:val="-6"/>
        </w:rPr>
        <w:t> </w:t>
      </w:r>
      <w:r>
        <w:rPr/>
        <w:t>plot</w:t>
      </w:r>
      <w:r>
        <w:rPr>
          <w:spacing w:val="40"/>
        </w:rPr>
        <w:t> </w:t>
      </w:r>
      <w:r>
        <w:rPr/>
        <w:t>to</w:t>
      </w:r>
      <w:r>
        <w:rPr>
          <w:spacing w:val="-7"/>
        </w:rPr>
        <w:t> </w:t>
      </w:r>
      <w:r>
        <w:rPr/>
        <w:t>be</w:t>
      </w:r>
      <w:r>
        <w:rPr>
          <w:spacing w:val="-5"/>
        </w:rPr>
        <w:t> </w:t>
      </w:r>
      <w:r>
        <w:rPr/>
        <w:t>surrendered</w:t>
      </w:r>
      <w:r>
        <w:rPr>
          <w:spacing w:val="-7"/>
        </w:rPr>
        <w:t> </w:t>
      </w:r>
      <w:r>
        <w:rPr/>
        <w:t>t</w:t>
      </w:r>
      <w:r>
        <w:rPr>
          <w:spacing w:val="-7"/>
        </w:rPr>
        <w:t> </w:t>
      </w:r>
      <w:r>
        <w:rPr/>
        <w:t>,</w:t>
      </w:r>
      <w:r>
        <w:rPr>
          <w:spacing w:val="-7"/>
        </w:rPr>
        <w:t> </w:t>
      </w:r>
      <w:r>
        <w:rPr/>
        <w:t>at</w:t>
      </w:r>
      <w:r>
        <w:rPr>
          <w:spacing w:val="-7"/>
        </w:rPr>
        <w:t> </w:t>
      </w:r>
      <w:r>
        <w:rPr/>
        <w:t>his</w:t>
      </w:r>
      <w:r>
        <w:rPr>
          <w:spacing w:val="-5"/>
        </w:rPr>
        <w:t> </w:t>
      </w:r>
      <w:r>
        <w:rPr/>
        <w:t>own cost subject to such stipulations as may be prescribed and to the satisfaction of</w:t>
      </w:r>
      <w:r>
        <w:rPr>
          <w:spacing w:val="-14"/>
        </w:rPr>
        <w:t> </w:t>
      </w:r>
      <w:r>
        <w:rPr/>
        <w:t>the</w:t>
      </w:r>
      <w:r>
        <w:rPr>
          <w:spacing w:val="-14"/>
        </w:rPr>
        <w:t> </w:t>
      </w:r>
      <w:r>
        <w:rPr/>
        <w:t>Municipal</w:t>
      </w:r>
      <w:r>
        <w:rPr>
          <w:spacing w:val="-14"/>
        </w:rPr>
        <w:t> </w:t>
      </w:r>
      <w:r>
        <w:rPr/>
        <w:t>Commissioner</w:t>
      </w:r>
      <w:r>
        <w:rPr>
          <w:spacing w:val="-14"/>
        </w:rPr>
        <w:t> </w:t>
      </w:r>
      <w:r>
        <w:rPr/>
        <w:t>and</w:t>
      </w:r>
      <w:r>
        <w:rPr>
          <w:spacing w:val="-14"/>
        </w:rPr>
        <w:t> </w:t>
      </w:r>
      <w:r>
        <w:rPr/>
        <w:t>hands</w:t>
      </w:r>
      <w:r>
        <w:rPr>
          <w:spacing w:val="-14"/>
        </w:rPr>
        <w:t> </w:t>
      </w:r>
      <w:r>
        <w:rPr/>
        <w:t>over</w:t>
      </w:r>
      <w:r>
        <w:rPr>
          <w:spacing w:val="-14"/>
        </w:rPr>
        <w:t> </w:t>
      </w:r>
      <w:r>
        <w:rPr/>
        <w:t>the</w:t>
      </w:r>
      <w:r>
        <w:rPr>
          <w:spacing w:val="-14"/>
        </w:rPr>
        <w:t> </w:t>
      </w:r>
      <w:r>
        <w:rPr/>
        <w:t>said</w:t>
      </w:r>
      <w:r>
        <w:rPr>
          <w:spacing w:val="-14"/>
        </w:rPr>
        <w:t> </w:t>
      </w:r>
      <w:r>
        <w:rPr/>
        <w:t>developed/constructed amenity along with amenity plot free of cost to the Municipal Commissioner then he may be granted a</w:t>
      </w:r>
      <w:r>
        <w:rPr>
          <w:spacing w:val="40"/>
        </w:rPr>
        <w:t> </w:t>
      </w:r>
      <w:r>
        <w:rPr>
          <w:i/>
        </w:rPr>
        <w:t>Transferable Development</w:t>
      </w:r>
      <w:r>
        <w:rPr>
          <w:i/>
          <w:spacing w:val="-3"/>
        </w:rPr>
        <w:t> </w:t>
      </w:r>
      <w:r>
        <w:rPr>
          <w:i/>
        </w:rPr>
        <w:t>Rights (TDR </w:t>
      </w:r>
      <w:r>
        <w:rPr/>
        <w:t>)</w:t>
      </w:r>
      <w:r>
        <w:rPr>
          <w:spacing w:val="40"/>
        </w:rPr>
        <w:t> </w:t>
      </w:r>
      <w:r>
        <w:rPr/>
        <w:t>in the form of FSI as per the following formula:-</w:t>
      </w:r>
    </w:p>
    <w:p>
      <w:pPr>
        <w:pStyle w:val="BodyText"/>
        <w:spacing w:before="40"/>
        <w:jc w:val="left"/>
      </w:pPr>
    </w:p>
    <w:p>
      <w:pPr>
        <w:pStyle w:val="Heading5"/>
        <w:ind w:left="962"/>
        <w:jc w:val="both"/>
        <w:rPr>
          <w:b w:val="0"/>
          <w:sz w:val="22"/>
        </w:rPr>
      </w:pPr>
      <w:r>
        <w:rPr/>
        <w:t>Construction</w:t>
      </w:r>
      <w:r>
        <w:rPr>
          <w:spacing w:val="-3"/>
        </w:rPr>
        <w:t> </w:t>
      </w:r>
      <w:r>
        <w:rPr/>
        <w:t>Amenity</w:t>
      </w:r>
      <w:r>
        <w:rPr>
          <w:spacing w:val="-2"/>
        </w:rPr>
        <w:t> </w:t>
      </w:r>
      <w:r>
        <w:rPr/>
        <w:t>TDR</w:t>
      </w:r>
      <w:r>
        <w:rPr>
          <w:spacing w:val="-2"/>
        </w:rPr>
        <w:t> </w:t>
      </w:r>
      <w:r>
        <w:rPr/>
        <w:t>in</w:t>
      </w:r>
      <w:r>
        <w:rPr>
          <w:spacing w:val="-2"/>
        </w:rPr>
        <w:t> </w:t>
      </w:r>
      <w:r>
        <w:rPr/>
        <w:t>sq.m.</w:t>
      </w:r>
      <w:r>
        <w:rPr>
          <w:spacing w:val="78"/>
        </w:rPr>
        <w:t> </w:t>
      </w:r>
      <w:r>
        <w:rPr/>
        <w:t>=</w:t>
      </w:r>
      <w:r>
        <w:rPr>
          <w:spacing w:val="-2"/>
        </w:rPr>
        <w:t> </w:t>
      </w:r>
      <w:r>
        <w:rPr/>
        <w:t>A/B</w:t>
      </w:r>
      <w:r>
        <w:rPr>
          <w:spacing w:val="-3"/>
        </w:rPr>
        <w:t> </w:t>
      </w:r>
      <w:r>
        <w:rPr/>
        <w:t>*</w:t>
      </w:r>
      <w:r>
        <w:rPr>
          <w:spacing w:val="-1"/>
        </w:rPr>
        <w:t> </w:t>
      </w:r>
      <w:r>
        <w:rPr/>
        <w:t>1.5*</w:t>
      </w:r>
      <w:r>
        <w:rPr>
          <w:spacing w:val="-15"/>
        </w:rPr>
        <w:t> </w:t>
      </w:r>
      <w:r>
        <w:rPr>
          <w:b w:val="0"/>
          <w:spacing w:val="-5"/>
          <w:sz w:val="22"/>
        </w:rPr>
        <w:t>BUA</w:t>
      </w:r>
    </w:p>
    <w:p>
      <w:pPr>
        <w:pStyle w:val="Heading5"/>
        <w:spacing w:after="0"/>
        <w:jc w:val="both"/>
        <w:rPr>
          <w:b w:val="0"/>
          <w:sz w:val="22"/>
        </w:rPr>
        <w:sectPr>
          <w:pgSz w:w="11910" w:h="16840"/>
          <w:pgMar w:header="1065" w:footer="1237" w:top="1500" w:bottom="1420" w:left="360" w:right="360"/>
        </w:sectPr>
      </w:pPr>
    </w:p>
    <w:p>
      <w:pPr>
        <w:pStyle w:val="BodyText"/>
        <w:jc w:val="left"/>
      </w:pPr>
    </w:p>
    <w:p>
      <w:pPr>
        <w:pStyle w:val="BodyText"/>
        <w:spacing w:before="9"/>
        <w:jc w:val="left"/>
      </w:pPr>
    </w:p>
    <w:p>
      <w:pPr>
        <w:pStyle w:val="BodyText"/>
        <w:spacing w:before="1"/>
        <w:ind w:left="962"/>
        <w:jc w:val="left"/>
      </w:pPr>
      <w:r>
        <w:rPr>
          <w:spacing w:val="-2"/>
        </w:rPr>
        <w:t>Where,</w:t>
      </w:r>
    </w:p>
    <w:p>
      <w:pPr>
        <w:pStyle w:val="BodyText"/>
        <w:jc w:val="left"/>
      </w:pPr>
    </w:p>
    <w:p>
      <w:pPr>
        <w:pStyle w:val="BodyText"/>
        <w:ind w:left="962" w:right="972"/>
      </w:pPr>
      <w:r>
        <w:rPr/>
        <w:t>A= cost of construction of amenity in rupees as per the rates of construction mentioned in Annual Statement of Rates (ASR) prepared by the Inspector General of Registration for</w:t>
      </w:r>
      <w:r>
        <w:rPr>
          <w:spacing w:val="40"/>
        </w:rPr>
        <w:t> </w:t>
      </w:r>
      <w:r>
        <w:rPr/>
        <w:t>the year in which construction of amenity is </w:t>
      </w:r>
      <w:r>
        <w:rPr>
          <w:spacing w:val="-2"/>
        </w:rPr>
        <w:t>commenced.</w:t>
      </w:r>
    </w:p>
    <w:p>
      <w:pPr>
        <w:pStyle w:val="BodyText"/>
        <w:jc w:val="left"/>
      </w:pPr>
    </w:p>
    <w:p>
      <w:pPr>
        <w:pStyle w:val="BodyText"/>
        <w:ind w:left="962" w:right="975"/>
      </w:pPr>
      <w:r>
        <w:rPr/>
        <w:t>B = land rate per sq. m as per the Annual Statement of Rates (ASR) prepared by the Inspector General of Registration for</w:t>
      </w:r>
      <w:r>
        <w:rPr>
          <w:spacing w:val="40"/>
        </w:rPr>
        <w:t> </w:t>
      </w:r>
      <w:r>
        <w:rPr/>
        <w:t>the year in which construction of amenity is commenced.</w:t>
      </w:r>
    </w:p>
    <w:p>
      <w:pPr>
        <w:pStyle w:val="BodyText"/>
        <w:spacing w:before="2"/>
        <w:jc w:val="left"/>
      </w:pPr>
    </w:p>
    <w:p>
      <w:pPr>
        <w:pStyle w:val="BodyText"/>
        <w:ind w:left="962"/>
      </w:pPr>
      <w:r>
        <w:rPr/>
        <w:t>BUA</w:t>
      </w:r>
      <w:r>
        <w:rPr>
          <w:spacing w:val="-4"/>
        </w:rPr>
        <w:t> </w:t>
      </w:r>
      <w:r>
        <w:rPr/>
        <w:t>=</w:t>
      </w:r>
      <w:r>
        <w:rPr>
          <w:spacing w:val="-4"/>
        </w:rPr>
        <w:t> </w:t>
      </w:r>
      <w:r>
        <w:rPr/>
        <w:t>Built</w:t>
      </w:r>
      <w:r>
        <w:rPr>
          <w:spacing w:val="-4"/>
        </w:rPr>
        <w:t> </w:t>
      </w:r>
      <w:r>
        <w:rPr/>
        <w:t>up</w:t>
      </w:r>
      <w:r>
        <w:rPr>
          <w:spacing w:val="-3"/>
        </w:rPr>
        <w:t> </w:t>
      </w:r>
      <w:r>
        <w:rPr/>
        <w:t>area</w:t>
      </w:r>
      <w:r>
        <w:rPr>
          <w:spacing w:val="-4"/>
        </w:rPr>
        <w:t> </w:t>
      </w:r>
      <w:r>
        <w:rPr/>
        <w:t>of</w:t>
      </w:r>
      <w:r>
        <w:rPr>
          <w:spacing w:val="-4"/>
        </w:rPr>
        <w:t> </w:t>
      </w:r>
      <w:r>
        <w:rPr/>
        <w:t>constructed/developed</w:t>
      </w:r>
      <w:r>
        <w:rPr>
          <w:spacing w:val="-3"/>
        </w:rPr>
        <w:t> </w:t>
      </w:r>
      <w:r>
        <w:rPr>
          <w:spacing w:val="-2"/>
        </w:rPr>
        <w:t>amenity.</w:t>
      </w:r>
    </w:p>
    <w:p>
      <w:pPr>
        <w:pStyle w:val="BodyText"/>
        <w:spacing w:line="276" w:lineRule="auto" w:before="239"/>
        <w:ind w:left="962" w:right="972"/>
        <w:rPr>
          <w:sz w:val="22"/>
        </w:rPr>
      </w:pPr>
      <w:r>
        <w:rPr/>
        <w:t>Provided that in case</w:t>
      </w:r>
      <w:r>
        <w:rPr>
          <w:spacing w:val="40"/>
        </w:rPr>
        <w:t> </w:t>
      </w:r>
      <w:r>
        <w:rPr/>
        <w:t>Slum Redevelopment Scheme under clause 3.11 of Regulation 33(10)</w:t>
      </w:r>
      <w:r>
        <w:rPr>
          <w:spacing w:val="40"/>
        </w:rPr>
        <w:t> </w:t>
      </w:r>
      <w:r>
        <w:rPr/>
        <w:t>the</w:t>
      </w:r>
      <w:r>
        <w:rPr>
          <w:spacing w:val="40"/>
        </w:rPr>
        <w:t> </w:t>
      </w:r>
      <w:r>
        <w:rPr/>
        <w:t>Construction Amenity TDR</w:t>
      </w:r>
      <w:r>
        <w:rPr>
          <w:spacing w:val="40"/>
        </w:rPr>
        <w:t> </w:t>
      </w:r>
      <w:r>
        <w:rPr/>
        <w:t>shall be increased by 1.35 times the TDR generated as per above formula</w:t>
      </w:r>
      <w:r>
        <w:rPr>
          <w:sz w:val="22"/>
        </w:rPr>
        <w:t>.</w:t>
      </w:r>
    </w:p>
    <w:p>
      <w:pPr>
        <w:pStyle w:val="BodyText"/>
        <w:spacing w:before="95"/>
        <w:jc w:val="left"/>
      </w:pPr>
    </w:p>
    <w:p>
      <w:pPr>
        <w:pStyle w:val="Heading4"/>
        <w:numPr>
          <w:ilvl w:val="1"/>
          <w:numId w:val="124"/>
        </w:numPr>
        <w:tabs>
          <w:tab w:pos="1440" w:val="left" w:leader="none"/>
        </w:tabs>
        <w:spacing w:line="240" w:lineRule="auto" w:before="0" w:after="0"/>
        <w:ind w:left="1440" w:right="0" w:hanging="478"/>
        <w:jc w:val="both"/>
        <w:rPr>
          <w:b w:val="0"/>
        </w:rPr>
      </w:pPr>
      <w:r>
        <w:rPr/>
        <w:t>UTILISATION</w:t>
      </w:r>
      <w:r>
        <w:rPr>
          <w:spacing w:val="-6"/>
        </w:rPr>
        <w:t> </w:t>
      </w:r>
      <w:r>
        <w:rPr/>
        <w:t>TRANSFERABLE</w:t>
      </w:r>
      <w:r>
        <w:rPr>
          <w:spacing w:val="-4"/>
        </w:rPr>
        <w:t> </w:t>
      </w:r>
      <w:r>
        <w:rPr/>
        <w:t>DEVELOPMENT</w:t>
      </w:r>
      <w:r>
        <w:rPr>
          <w:spacing w:val="-3"/>
        </w:rPr>
        <w:t> </w:t>
      </w:r>
      <w:r>
        <w:rPr/>
        <w:t>RIGHTS</w:t>
      </w:r>
      <w:r>
        <w:rPr>
          <w:spacing w:val="-4"/>
        </w:rPr>
        <w:t> </w:t>
      </w:r>
      <w:r>
        <w:rPr/>
        <w:t>(</w:t>
      </w:r>
      <w:r>
        <w:rPr>
          <w:spacing w:val="-3"/>
        </w:rPr>
        <w:t> </w:t>
      </w:r>
      <w:r>
        <w:rPr/>
        <w:t>TDR</w:t>
      </w:r>
      <w:r>
        <w:rPr>
          <w:spacing w:val="-3"/>
        </w:rPr>
        <w:t> </w:t>
      </w:r>
      <w:r>
        <w:rPr/>
        <w:t>):-</w:t>
      </w:r>
      <w:r>
        <w:rPr>
          <w:b w:val="0"/>
          <w:spacing w:val="-10"/>
        </w:rPr>
        <w:t>-</w:t>
      </w:r>
    </w:p>
    <w:p>
      <w:pPr>
        <w:pStyle w:val="BodyText"/>
        <w:spacing w:before="87"/>
        <w:jc w:val="left"/>
      </w:pPr>
    </w:p>
    <w:p>
      <w:pPr>
        <w:pStyle w:val="ListParagraph"/>
        <w:numPr>
          <w:ilvl w:val="1"/>
          <w:numId w:val="124"/>
        </w:numPr>
        <w:tabs>
          <w:tab w:pos="1444" w:val="left" w:leader="none"/>
        </w:tabs>
        <w:spacing w:line="240" w:lineRule="auto" w:before="0" w:after="0"/>
        <w:ind w:left="962" w:right="970" w:firstLine="0"/>
        <w:jc w:val="both"/>
        <w:rPr>
          <w:sz w:val="24"/>
        </w:rPr>
      </w:pPr>
      <w:r>
        <w:rPr>
          <w:sz w:val="24"/>
        </w:rPr>
        <w:t>A holder of DRC who desires to use FSI credit therein on a particular plot of land shall attach valid DRCs to the extent required with his application for development permission. Proposal for </w:t>
      </w:r>
      <w:r>
        <w:rPr>
          <w:i/>
          <w:sz w:val="24"/>
        </w:rPr>
        <w:t>Transferable Development Rights (TDR</w:t>
      </w:r>
      <w:r>
        <w:rPr>
          <w:sz w:val="24"/>
        </w:rPr>
        <w:t>) utilisation shall be submitted along with the documents as may be prescribed by the Commissioner or by the Government from time to time.</w:t>
      </w:r>
    </w:p>
    <w:p>
      <w:pPr>
        <w:pStyle w:val="BodyText"/>
        <w:spacing w:before="40"/>
        <w:jc w:val="left"/>
      </w:pPr>
    </w:p>
    <w:p>
      <w:pPr>
        <w:pStyle w:val="ListParagraph"/>
        <w:numPr>
          <w:ilvl w:val="1"/>
          <w:numId w:val="124"/>
        </w:numPr>
        <w:tabs>
          <w:tab w:pos="1476" w:val="left" w:leader="none"/>
        </w:tabs>
        <w:spacing w:line="276" w:lineRule="auto" w:before="1" w:after="0"/>
        <w:ind w:left="962" w:right="970" w:firstLine="0"/>
        <w:jc w:val="both"/>
        <w:rPr>
          <w:sz w:val="24"/>
        </w:rPr>
      </w:pPr>
      <w:r>
        <w:rPr>
          <w:sz w:val="24"/>
        </w:rPr>
        <w:t>With an application for development permission, where an owner seeks utilisation of DRC, he shall submit the DRC to the Municipal Commissioner who shall endorse thereon in writing</w:t>
      </w:r>
      <w:r>
        <w:rPr>
          <w:spacing w:val="-1"/>
          <w:sz w:val="24"/>
        </w:rPr>
        <w:t> </w:t>
      </w:r>
      <w:r>
        <w:rPr>
          <w:sz w:val="24"/>
        </w:rPr>
        <w:t>in</w:t>
      </w:r>
      <w:r>
        <w:rPr>
          <w:spacing w:val="-1"/>
          <w:sz w:val="24"/>
        </w:rPr>
        <w:t> </w:t>
      </w:r>
      <w:r>
        <w:rPr>
          <w:sz w:val="24"/>
        </w:rPr>
        <w:t>figures and words, the quantum of the TDR proposed to be utilised, before granting development permission. .</w:t>
      </w:r>
    </w:p>
    <w:p>
      <w:pPr>
        <w:pStyle w:val="BodyText"/>
        <w:spacing w:before="44"/>
        <w:jc w:val="left"/>
      </w:pPr>
    </w:p>
    <w:p>
      <w:pPr>
        <w:pStyle w:val="ListParagraph"/>
        <w:numPr>
          <w:ilvl w:val="1"/>
          <w:numId w:val="124"/>
        </w:numPr>
        <w:tabs>
          <w:tab w:pos="1466" w:val="left" w:leader="none"/>
        </w:tabs>
        <w:spacing w:line="240" w:lineRule="auto" w:before="0" w:after="0"/>
        <w:ind w:left="962" w:right="971" w:firstLine="0"/>
        <w:jc w:val="both"/>
        <w:rPr>
          <w:sz w:val="24"/>
        </w:rPr>
      </w:pPr>
      <w:r>
        <w:rPr>
          <w:sz w:val="24"/>
        </w:rPr>
        <w:t>The </w:t>
      </w:r>
      <w:r>
        <w:rPr>
          <w:i/>
          <w:sz w:val="24"/>
        </w:rPr>
        <w:t>Transferable Development Rights (TDR</w:t>
      </w:r>
      <w:r>
        <w:rPr>
          <w:sz w:val="24"/>
        </w:rPr>
        <w:t>) generated from any land use zone</w:t>
      </w:r>
      <w:r>
        <w:rPr>
          <w:spacing w:val="-11"/>
          <w:sz w:val="24"/>
        </w:rPr>
        <w:t> </w:t>
      </w:r>
      <w:r>
        <w:rPr>
          <w:sz w:val="24"/>
        </w:rPr>
        <w:t>shall</w:t>
      </w:r>
      <w:r>
        <w:rPr>
          <w:spacing w:val="-11"/>
          <w:sz w:val="24"/>
        </w:rPr>
        <w:t> </w:t>
      </w:r>
      <w:r>
        <w:rPr>
          <w:sz w:val="24"/>
        </w:rPr>
        <w:t>be</w:t>
      </w:r>
      <w:r>
        <w:rPr>
          <w:spacing w:val="-11"/>
          <w:sz w:val="24"/>
        </w:rPr>
        <w:t> </w:t>
      </w:r>
      <w:r>
        <w:rPr>
          <w:sz w:val="24"/>
        </w:rPr>
        <w:t>utilised</w:t>
      </w:r>
      <w:r>
        <w:rPr>
          <w:spacing w:val="-12"/>
          <w:sz w:val="24"/>
        </w:rPr>
        <w:t> </w:t>
      </w:r>
      <w:r>
        <w:rPr>
          <w:sz w:val="24"/>
        </w:rPr>
        <w:t>on</w:t>
      </w:r>
      <w:r>
        <w:rPr>
          <w:spacing w:val="-11"/>
          <w:sz w:val="24"/>
        </w:rPr>
        <w:t> </w:t>
      </w:r>
      <w:r>
        <w:rPr>
          <w:sz w:val="24"/>
        </w:rPr>
        <w:t>any</w:t>
      </w:r>
      <w:r>
        <w:rPr>
          <w:spacing w:val="-11"/>
          <w:sz w:val="24"/>
        </w:rPr>
        <w:t> </w:t>
      </w:r>
      <w:r>
        <w:rPr>
          <w:sz w:val="24"/>
        </w:rPr>
        <w:t>receiving</w:t>
      </w:r>
      <w:r>
        <w:rPr>
          <w:spacing w:val="-11"/>
          <w:sz w:val="24"/>
        </w:rPr>
        <w:t> </w:t>
      </w:r>
      <w:r>
        <w:rPr>
          <w:sz w:val="24"/>
        </w:rPr>
        <w:t>plot</w:t>
      </w:r>
      <w:r>
        <w:rPr>
          <w:spacing w:val="-11"/>
          <w:sz w:val="24"/>
        </w:rPr>
        <w:t> </w:t>
      </w:r>
      <w:r>
        <w:rPr>
          <w:sz w:val="24"/>
        </w:rPr>
        <w:t>irrespective</w:t>
      </w:r>
      <w:r>
        <w:rPr>
          <w:spacing w:val="-11"/>
          <w:sz w:val="24"/>
        </w:rPr>
        <w:t> </w:t>
      </w:r>
      <w:r>
        <w:rPr>
          <w:sz w:val="24"/>
        </w:rPr>
        <w:t>of</w:t>
      </w:r>
      <w:r>
        <w:rPr>
          <w:spacing w:val="-11"/>
          <w:sz w:val="24"/>
        </w:rPr>
        <w:t> </w:t>
      </w:r>
      <w:r>
        <w:rPr>
          <w:sz w:val="24"/>
        </w:rPr>
        <w:t>the</w:t>
      </w:r>
      <w:r>
        <w:rPr>
          <w:spacing w:val="-11"/>
          <w:sz w:val="24"/>
        </w:rPr>
        <w:t> </w:t>
      </w:r>
      <w:r>
        <w:rPr>
          <w:sz w:val="24"/>
        </w:rPr>
        <w:t>land</w:t>
      </w:r>
      <w:r>
        <w:rPr>
          <w:spacing w:val="-11"/>
          <w:sz w:val="24"/>
        </w:rPr>
        <w:t> </w:t>
      </w:r>
      <w:r>
        <w:rPr>
          <w:sz w:val="24"/>
        </w:rPr>
        <w:t>use</w:t>
      </w:r>
      <w:r>
        <w:rPr>
          <w:spacing w:val="-11"/>
          <w:sz w:val="24"/>
        </w:rPr>
        <w:t> </w:t>
      </w:r>
      <w:r>
        <w:rPr>
          <w:sz w:val="24"/>
        </w:rPr>
        <w:t>zone</w:t>
      </w:r>
      <w:r>
        <w:rPr>
          <w:spacing w:val="-11"/>
          <w:sz w:val="24"/>
        </w:rPr>
        <w:t> </w:t>
      </w:r>
      <w:r>
        <w:rPr>
          <w:sz w:val="24"/>
        </w:rPr>
        <w:t>and anywhere</w:t>
      </w:r>
      <w:r>
        <w:rPr>
          <w:spacing w:val="-17"/>
          <w:sz w:val="24"/>
        </w:rPr>
        <w:t> </w:t>
      </w:r>
      <w:r>
        <w:rPr>
          <w:sz w:val="24"/>
        </w:rPr>
        <w:t>in</w:t>
      </w:r>
      <w:r>
        <w:rPr>
          <w:spacing w:val="-17"/>
          <w:sz w:val="24"/>
        </w:rPr>
        <w:t> </w:t>
      </w:r>
      <w:r>
        <w:rPr>
          <w:sz w:val="24"/>
        </w:rPr>
        <w:t>Mumbai</w:t>
      </w:r>
      <w:r>
        <w:rPr>
          <w:spacing w:val="-17"/>
          <w:sz w:val="24"/>
        </w:rPr>
        <w:t> </w:t>
      </w:r>
      <w:r>
        <w:rPr>
          <w:sz w:val="24"/>
        </w:rPr>
        <w:t>City</w:t>
      </w:r>
      <w:r>
        <w:rPr>
          <w:spacing w:val="40"/>
          <w:sz w:val="24"/>
        </w:rPr>
        <w:t> </w:t>
      </w:r>
      <w:r>
        <w:rPr>
          <w:sz w:val="24"/>
        </w:rPr>
        <w:t>area</w:t>
      </w:r>
      <w:r>
        <w:rPr>
          <w:spacing w:val="-17"/>
          <w:sz w:val="24"/>
        </w:rPr>
        <w:t> </w:t>
      </w:r>
      <w:r>
        <w:rPr>
          <w:sz w:val="24"/>
        </w:rPr>
        <w:t>(</w:t>
      </w:r>
      <w:r>
        <w:rPr>
          <w:spacing w:val="-17"/>
          <w:sz w:val="24"/>
        </w:rPr>
        <w:t> </w:t>
      </w:r>
      <w:r>
        <w:rPr>
          <w:sz w:val="24"/>
        </w:rPr>
        <w:t>island</w:t>
      </w:r>
      <w:r>
        <w:rPr>
          <w:spacing w:val="-17"/>
          <w:sz w:val="24"/>
        </w:rPr>
        <w:t> </w:t>
      </w:r>
      <w:r>
        <w:rPr>
          <w:sz w:val="24"/>
        </w:rPr>
        <w:t>city)</w:t>
      </w:r>
      <w:r>
        <w:rPr>
          <w:spacing w:val="40"/>
          <w:sz w:val="24"/>
        </w:rPr>
        <w:t> </w:t>
      </w:r>
      <w:r>
        <w:rPr>
          <w:sz w:val="24"/>
        </w:rPr>
        <w:t>and</w:t>
      </w:r>
      <w:r>
        <w:rPr>
          <w:spacing w:val="-17"/>
          <w:sz w:val="24"/>
        </w:rPr>
        <w:t> </w:t>
      </w:r>
      <w:r>
        <w:rPr>
          <w:sz w:val="24"/>
        </w:rPr>
        <w:t>Mumbai</w:t>
      </w:r>
      <w:r>
        <w:rPr>
          <w:spacing w:val="-17"/>
          <w:sz w:val="24"/>
        </w:rPr>
        <w:t> </w:t>
      </w:r>
      <w:r>
        <w:rPr>
          <w:sz w:val="24"/>
        </w:rPr>
        <w:t>Suburban</w:t>
      </w:r>
      <w:r>
        <w:rPr>
          <w:spacing w:val="-17"/>
          <w:sz w:val="24"/>
        </w:rPr>
        <w:t> </w:t>
      </w:r>
      <w:r>
        <w:rPr>
          <w:sz w:val="24"/>
        </w:rPr>
        <w:t>/Extended Suburban area. The equivalent quantum of</w:t>
      </w:r>
      <w:r>
        <w:rPr>
          <w:spacing w:val="40"/>
          <w:sz w:val="24"/>
        </w:rPr>
        <w:t> </w:t>
      </w:r>
      <w:r>
        <w:rPr>
          <w:i/>
          <w:sz w:val="24"/>
        </w:rPr>
        <w:t>Transferable Development Rights (TDR </w:t>
      </w:r>
      <w:r>
        <w:rPr>
          <w:sz w:val="24"/>
        </w:rPr>
        <w:t>) to be permitted on receiving plot shall be governed by the formula given </w:t>
      </w:r>
      <w:r>
        <w:rPr>
          <w:spacing w:val="-2"/>
          <w:sz w:val="24"/>
        </w:rPr>
        <w:t>below:-</w:t>
      </w:r>
    </w:p>
    <w:p>
      <w:pPr>
        <w:pStyle w:val="BodyText"/>
        <w:spacing w:before="44"/>
        <w:jc w:val="left"/>
      </w:pPr>
    </w:p>
    <w:p>
      <w:pPr>
        <w:pStyle w:val="Heading5"/>
        <w:spacing w:line="281" w:lineRule="exact"/>
        <w:ind w:left="962"/>
        <w:jc w:val="both"/>
      </w:pPr>
      <w:r>
        <w:rPr/>
        <w:t>Formula:</w:t>
      </w:r>
      <w:r>
        <w:rPr>
          <w:spacing w:val="-1"/>
        </w:rPr>
        <w:t> </w:t>
      </w:r>
      <w:r>
        <w:rPr/>
        <w:t>X = (Rg</w:t>
      </w:r>
      <w:r>
        <w:rPr>
          <w:spacing w:val="-1"/>
        </w:rPr>
        <w:t> </w:t>
      </w:r>
      <w:r>
        <w:rPr/>
        <w:t>/ Rr) x</w:t>
      </w:r>
      <w:r>
        <w:rPr>
          <w:spacing w:val="2"/>
        </w:rPr>
        <w:t> </w:t>
      </w:r>
      <w:r>
        <w:rPr>
          <w:spacing w:val="-10"/>
        </w:rPr>
        <w:t>Y</w:t>
      </w:r>
    </w:p>
    <w:p>
      <w:pPr>
        <w:pStyle w:val="BodyText"/>
        <w:spacing w:line="281" w:lineRule="exact"/>
        <w:ind w:left="962"/>
      </w:pPr>
      <w:r>
        <w:rPr/>
        <w:t>Where,</w:t>
      </w:r>
      <w:r>
        <w:rPr>
          <w:spacing w:val="-2"/>
        </w:rPr>
        <w:t> </w:t>
      </w:r>
      <w:r>
        <w:rPr/>
        <w:t>X</w:t>
      </w:r>
      <w:r>
        <w:rPr>
          <w:spacing w:val="-1"/>
        </w:rPr>
        <w:t> </w:t>
      </w:r>
      <w:r>
        <w:rPr/>
        <w:t>=</w:t>
      </w:r>
      <w:r>
        <w:rPr>
          <w:spacing w:val="-2"/>
        </w:rPr>
        <w:t> </w:t>
      </w:r>
      <w:r>
        <w:rPr/>
        <w:t>Permissible</w:t>
      </w:r>
      <w:r>
        <w:rPr>
          <w:spacing w:val="-1"/>
        </w:rPr>
        <w:t> </w:t>
      </w:r>
      <w:r>
        <w:rPr/>
        <w:t>Utilisation</w:t>
      </w:r>
      <w:r>
        <w:rPr>
          <w:spacing w:val="-2"/>
        </w:rPr>
        <w:t> </w:t>
      </w:r>
      <w:r>
        <w:rPr/>
        <w:t>of</w:t>
      </w:r>
      <w:r>
        <w:rPr>
          <w:spacing w:val="-1"/>
        </w:rPr>
        <w:t> </w:t>
      </w:r>
      <w:r>
        <w:rPr/>
        <w:t>TDR/DR</w:t>
      </w:r>
      <w:r>
        <w:rPr>
          <w:spacing w:val="-2"/>
        </w:rPr>
        <w:t> </w:t>
      </w:r>
      <w:r>
        <w:rPr/>
        <w:t>in</w:t>
      </w:r>
      <w:r>
        <w:rPr>
          <w:spacing w:val="-1"/>
        </w:rPr>
        <w:t> </w:t>
      </w:r>
      <w:r>
        <w:rPr/>
        <w:t>sqm</w:t>
      </w:r>
      <w:r>
        <w:rPr>
          <w:spacing w:val="-2"/>
        </w:rPr>
        <w:t> </w:t>
      </w:r>
      <w:r>
        <w:rPr/>
        <w:t>on</w:t>
      </w:r>
      <w:r>
        <w:rPr>
          <w:spacing w:val="-1"/>
        </w:rPr>
        <w:t> </w:t>
      </w:r>
      <w:r>
        <w:rPr/>
        <w:t>receiving</w:t>
      </w:r>
      <w:r>
        <w:rPr>
          <w:spacing w:val="-1"/>
        </w:rPr>
        <w:t> </w:t>
      </w:r>
      <w:r>
        <w:rPr>
          <w:spacing w:val="-4"/>
        </w:rPr>
        <w:t>plot</w:t>
      </w:r>
    </w:p>
    <w:p>
      <w:pPr>
        <w:pStyle w:val="BodyText"/>
        <w:spacing w:before="1"/>
        <w:jc w:val="left"/>
      </w:pPr>
    </w:p>
    <w:p>
      <w:pPr>
        <w:pStyle w:val="BodyText"/>
        <w:ind w:left="962" w:right="974"/>
      </w:pPr>
      <w:r>
        <w:rPr/>
        <w:t>Rg</w:t>
      </w:r>
      <w:r>
        <w:rPr>
          <w:spacing w:val="-5"/>
        </w:rPr>
        <w:t> </w:t>
      </w:r>
      <w:r>
        <w:rPr/>
        <w:t>=</w:t>
      </w:r>
      <w:r>
        <w:rPr>
          <w:spacing w:val="-5"/>
        </w:rPr>
        <w:t> </w:t>
      </w:r>
      <w:r>
        <w:rPr/>
        <w:t>Rate</w:t>
      </w:r>
      <w:r>
        <w:rPr>
          <w:spacing w:val="-5"/>
        </w:rPr>
        <w:t> </w:t>
      </w:r>
      <w:r>
        <w:rPr/>
        <w:t>for</w:t>
      </w:r>
      <w:r>
        <w:rPr>
          <w:spacing w:val="-5"/>
        </w:rPr>
        <w:t> </w:t>
      </w:r>
      <w:r>
        <w:rPr/>
        <w:t>land</w:t>
      </w:r>
      <w:r>
        <w:rPr>
          <w:spacing w:val="-5"/>
        </w:rPr>
        <w:t> </w:t>
      </w:r>
      <w:r>
        <w:rPr/>
        <w:t>in</w:t>
      </w:r>
      <w:r>
        <w:rPr>
          <w:spacing w:val="-3"/>
        </w:rPr>
        <w:t> </w:t>
      </w:r>
      <w:r>
        <w:rPr/>
        <w:t>Rs.</w:t>
      </w:r>
      <w:r>
        <w:rPr>
          <w:spacing w:val="-5"/>
        </w:rPr>
        <w:t> </w:t>
      </w:r>
      <w:r>
        <w:rPr/>
        <w:t>per</w:t>
      </w:r>
      <w:r>
        <w:rPr>
          <w:spacing w:val="-5"/>
        </w:rPr>
        <w:t> </w:t>
      </w:r>
      <w:r>
        <w:rPr/>
        <w:t>sq.m.</w:t>
      </w:r>
      <w:r>
        <w:rPr>
          <w:spacing w:val="-5"/>
        </w:rPr>
        <w:t> </w:t>
      </w:r>
      <w:r>
        <w:rPr/>
        <w:t>as</w:t>
      </w:r>
      <w:r>
        <w:rPr>
          <w:spacing w:val="-5"/>
        </w:rPr>
        <w:t> </w:t>
      </w:r>
      <w:r>
        <w:rPr/>
        <w:t>per</w:t>
      </w:r>
      <w:r>
        <w:rPr>
          <w:spacing w:val="-5"/>
        </w:rPr>
        <w:t> </w:t>
      </w:r>
      <w:r>
        <w:rPr/>
        <w:t>ASR</w:t>
      </w:r>
      <w:r>
        <w:rPr>
          <w:spacing w:val="-5"/>
        </w:rPr>
        <w:t> </w:t>
      </w:r>
      <w:r>
        <w:rPr/>
        <w:t>of</w:t>
      </w:r>
      <w:r>
        <w:rPr>
          <w:spacing w:val="-5"/>
        </w:rPr>
        <w:t> </w:t>
      </w:r>
      <w:r>
        <w:rPr/>
        <w:t>generating</w:t>
      </w:r>
      <w:r>
        <w:rPr>
          <w:spacing w:val="-5"/>
        </w:rPr>
        <w:t> </w:t>
      </w:r>
      <w:r>
        <w:rPr/>
        <w:t>plots</w:t>
      </w:r>
      <w:r>
        <w:rPr>
          <w:spacing w:val="-5"/>
        </w:rPr>
        <w:t> </w:t>
      </w:r>
      <w:r>
        <w:rPr/>
        <w:t>in</w:t>
      </w:r>
      <w:r>
        <w:rPr>
          <w:spacing w:val="-5"/>
        </w:rPr>
        <w:t> </w:t>
      </w:r>
      <w:r>
        <w:rPr/>
        <w:t>generating </w:t>
      </w:r>
      <w:r>
        <w:rPr>
          <w:spacing w:val="-4"/>
        </w:rPr>
        <w:t>year</w:t>
      </w:r>
    </w:p>
    <w:p>
      <w:pPr>
        <w:pStyle w:val="BodyText"/>
        <w:spacing w:after="0"/>
        <w:sectPr>
          <w:pgSz w:w="11910" w:h="16840"/>
          <w:pgMar w:header="1065" w:footer="1237" w:top="1500" w:bottom="1420" w:left="360" w:right="360"/>
        </w:sectPr>
      </w:pPr>
    </w:p>
    <w:p>
      <w:pPr>
        <w:pStyle w:val="BodyText"/>
        <w:spacing w:before="249"/>
        <w:ind w:left="962" w:right="838"/>
        <w:jc w:val="left"/>
      </w:pPr>
      <w:r>
        <w:rPr/>
        <w:t>Rr = Rate for land in Rs. per</w:t>
      </w:r>
      <w:r>
        <w:rPr>
          <w:spacing w:val="19"/>
        </w:rPr>
        <w:t> </w:t>
      </w:r>
      <w:r>
        <w:rPr/>
        <w:t>sq.m. as per ASR of receiving plot in generating</w:t>
      </w:r>
      <w:r>
        <w:rPr>
          <w:spacing w:val="40"/>
        </w:rPr>
        <w:t> </w:t>
      </w:r>
      <w:r>
        <w:rPr>
          <w:spacing w:val="-4"/>
        </w:rPr>
        <w:t>year</w:t>
      </w:r>
    </w:p>
    <w:p>
      <w:pPr>
        <w:pStyle w:val="BodyText"/>
        <w:tabs>
          <w:tab w:pos="1721" w:val="left" w:leader="none"/>
        </w:tabs>
        <w:spacing w:before="281"/>
        <w:ind w:left="962"/>
        <w:jc w:val="left"/>
      </w:pPr>
      <w:r>
        <w:rPr/>
        <w:t>Y </w:t>
      </w:r>
      <w:r>
        <w:rPr>
          <w:spacing w:val="-10"/>
        </w:rPr>
        <w:t>=</w:t>
      </w:r>
      <w:r>
        <w:rPr/>
        <w:tab/>
        <w:t>TDR</w:t>
      </w:r>
      <w:r>
        <w:rPr>
          <w:spacing w:val="-2"/>
        </w:rPr>
        <w:t> </w:t>
      </w:r>
      <w:r>
        <w:rPr/>
        <w:t>debited</w:t>
      </w:r>
      <w:r>
        <w:rPr>
          <w:spacing w:val="-2"/>
        </w:rPr>
        <w:t> </w:t>
      </w:r>
      <w:r>
        <w:rPr/>
        <w:t>from</w:t>
      </w:r>
      <w:r>
        <w:rPr>
          <w:spacing w:val="-2"/>
        </w:rPr>
        <w:t> </w:t>
      </w:r>
      <w:r>
        <w:rPr/>
        <w:t>DRC</w:t>
      </w:r>
      <w:r>
        <w:rPr>
          <w:spacing w:val="-2"/>
        </w:rPr>
        <w:t> </w:t>
      </w:r>
      <w:r>
        <w:rPr/>
        <w:t>in</w:t>
      </w:r>
      <w:r>
        <w:rPr>
          <w:spacing w:val="-1"/>
        </w:rPr>
        <w:t> </w:t>
      </w:r>
      <w:r>
        <w:rPr>
          <w:spacing w:val="-2"/>
        </w:rPr>
        <w:t>sq.m.</w:t>
      </w:r>
    </w:p>
    <w:p>
      <w:pPr>
        <w:pStyle w:val="BodyText"/>
        <w:spacing w:before="45"/>
        <w:ind w:left="962"/>
        <w:jc w:val="left"/>
      </w:pPr>
      <w:r>
        <w:rPr/>
        <w:t>Note:-</w:t>
      </w:r>
      <w:r>
        <w:rPr>
          <w:spacing w:val="23"/>
        </w:rPr>
        <w:t> </w:t>
      </w:r>
      <w:r>
        <w:rPr/>
        <w:t>All</w:t>
      </w:r>
      <w:r>
        <w:rPr>
          <w:spacing w:val="23"/>
        </w:rPr>
        <w:t> </w:t>
      </w:r>
      <w:r>
        <w:rPr/>
        <w:t>TDR</w:t>
      </w:r>
      <w:r>
        <w:rPr>
          <w:spacing w:val="25"/>
        </w:rPr>
        <w:t> </w:t>
      </w:r>
      <w:r>
        <w:rPr/>
        <w:t>including</w:t>
      </w:r>
      <w:r>
        <w:rPr>
          <w:spacing w:val="23"/>
        </w:rPr>
        <w:t> </w:t>
      </w:r>
      <w:r>
        <w:rPr/>
        <w:t>slum</w:t>
      </w:r>
      <w:r>
        <w:rPr>
          <w:spacing w:val="23"/>
        </w:rPr>
        <w:t> </w:t>
      </w:r>
      <w:r>
        <w:rPr/>
        <w:t>and</w:t>
      </w:r>
      <w:r>
        <w:rPr>
          <w:spacing w:val="23"/>
        </w:rPr>
        <w:t> </w:t>
      </w:r>
      <w:r>
        <w:rPr/>
        <w:t>heritage</w:t>
      </w:r>
      <w:r>
        <w:rPr>
          <w:spacing w:val="23"/>
        </w:rPr>
        <w:t> </w:t>
      </w:r>
      <w:r>
        <w:rPr/>
        <w:t>TDR</w:t>
      </w:r>
      <w:r>
        <w:rPr>
          <w:spacing w:val="23"/>
        </w:rPr>
        <w:t> </w:t>
      </w:r>
      <w:r>
        <w:rPr/>
        <w:t>shall</w:t>
      </w:r>
      <w:r>
        <w:rPr>
          <w:spacing w:val="25"/>
        </w:rPr>
        <w:t> </w:t>
      </w:r>
      <w:r>
        <w:rPr/>
        <w:t>be</w:t>
      </w:r>
      <w:r>
        <w:rPr>
          <w:spacing w:val="23"/>
        </w:rPr>
        <w:t> </w:t>
      </w:r>
      <w:r>
        <w:rPr/>
        <w:t>utilized</w:t>
      </w:r>
      <w:r>
        <w:rPr>
          <w:spacing w:val="23"/>
        </w:rPr>
        <w:t> </w:t>
      </w:r>
      <w:r>
        <w:rPr/>
        <w:t>as</w:t>
      </w:r>
      <w:r>
        <w:rPr>
          <w:spacing w:val="23"/>
        </w:rPr>
        <w:t> </w:t>
      </w:r>
      <w:r>
        <w:rPr/>
        <w:t>per</w:t>
      </w:r>
      <w:r>
        <w:rPr>
          <w:spacing w:val="23"/>
        </w:rPr>
        <w:t> </w:t>
      </w:r>
      <w:r>
        <w:rPr/>
        <w:t>this regulation only.</w:t>
      </w:r>
    </w:p>
    <w:p>
      <w:pPr>
        <w:pStyle w:val="Heading5"/>
        <w:numPr>
          <w:ilvl w:val="1"/>
          <w:numId w:val="124"/>
        </w:numPr>
        <w:tabs>
          <w:tab w:pos="1458" w:val="left" w:leader="none"/>
        </w:tabs>
        <w:spacing w:line="276" w:lineRule="auto" w:before="279" w:after="0"/>
        <w:ind w:left="962" w:right="950" w:firstLine="0"/>
        <w:jc w:val="both"/>
      </w:pPr>
      <w:r>
        <w:rPr/>
        <w:t>.1 Utilization</w:t>
      </w:r>
      <w:r>
        <w:rPr>
          <w:spacing w:val="40"/>
        </w:rPr>
        <w:t> </w:t>
      </w:r>
      <w:r>
        <w:rPr/>
        <w:t>of Transferable Development Rights (TDR </w:t>
      </w:r>
      <w:r>
        <w:rPr>
          <w:b w:val="0"/>
        </w:rPr>
        <w:t>)</w:t>
      </w:r>
      <w:r>
        <w:rPr>
          <w:b w:val="0"/>
          <w:spacing w:val="40"/>
        </w:rPr>
        <w:t> </w:t>
      </w:r>
      <w:r>
        <w:rPr/>
        <w:t>and</w:t>
      </w:r>
      <w:r>
        <w:rPr>
          <w:spacing w:val="40"/>
        </w:rPr>
        <w:t> </w:t>
      </w:r>
      <w:r>
        <w:rPr/>
        <w:t>Road Width Relation will be govern by regulation 30 (A) subject to following </w:t>
      </w:r>
      <w:r>
        <w:rPr>
          <w:spacing w:val="-2"/>
        </w:rPr>
        <w:t>notes:-</w:t>
      </w:r>
    </w:p>
    <w:p>
      <w:pPr>
        <w:spacing w:before="281"/>
        <w:ind w:left="962" w:right="0" w:firstLine="0"/>
        <w:jc w:val="left"/>
        <w:rPr>
          <w:b/>
          <w:sz w:val="24"/>
        </w:rPr>
      </w:pPr>
      <w:r>
        <w:rPr>
          <w:b/>
          <w:spacing w:val="-2"/>
          <w:sz w:val="24"/>
        </w:rPr>
        <w:t>Note:-</w:t>
      </w:r>
    </w:p>
    <w:p>
      <w:pPr>
        <w:pStyle w:val="ListParagraph"/>
        <w:numPr>
          <w:ilvl w:val="0"/>
          <w:numId w:val="125"/>
        </w:numPr>
        <w:tabs>
          <w:tab w:pos="1416" w:val="left" w:leader="none"/>
        </w:tabs>
        <w:spacing w:line="276" w:lineRule="auto" w:before="43" w:after="0"/>
        <w:ind w:left="962" w:right="972" w:firstLine="0"/>
        <w:jc w:val="left"/>
        <w:rPr>
          <w:sz w:val="24"/>
        </w:rPr>
      </w:pPr>
      <w:r>
        <w:rPr>
          <w:sz w:val="24"/>
        </w:rPr>
        <w:t>The</w:t>
      </w:r>
      <w:r>
        <w:rPr>
          <w:spacing w:val="-1"/>
          <w:sz w:val="24"/>
        </w:rPr>
        <w:t> </w:t>
      </w:r>
      <w:r>
        <w:rPr>
          <w:sz w:val="24"/>
        </w:rPr>
        <w:t>maximum</w:t>
      </w:r>
      <w:r>
        <w:rPr>
          <w:spacing w:val="-3"/>
          <w:sz w:val="24"/>
        </w:rPr>
        <w:t> </w:t>
      </w:r>
      <w:r>
        <w:rPr>
          <w:sz w:val="24"/>
        </w:rPr>
        <w:t>permissible</w:t>
      </w:r>
      <w:r>
        <w:rPr>
          <w:spacing w:val="-3"/>
          <w:sz w:val="24"/>
        </w:rPr>
        <w:t> </w:t>
      </w:r>
      <w:r>
        <w:rPr>
          <w:sz w:val="24"/>
        </w:rPr>
        <w:t>TDR</w:t>
      </w:r>
      <w:r>
        <w:rPr>
          <w:spacing w:val="-1"/>
          <w:sz w:val="24"/>
        </w:rPr>
        <w:t> </w:t>
      </w:r>
      <w:r>
        <w:rPr>
          <w:sz w:val="24"/>
        </w:rPr>
        <w:t>that</w:t>
      </w:r>
      <w:r>
        <w:rPr>
          <w:spacing w:val="-1"/>
          <w:sz w:val="24"/>
        </w:rPr>
        <w:t> </w:t>
      </w:r>
      <w:r>
        <w:rPr>
          <w:sz w:val="24"/>
        </w:rPr>
        <w:t>can</w:t>
      </w:r>
      <w:r>
        <w:rPr>
          <w:spacing w:val="-3"/>
          <w:sz w:val="24"/>
        </w:rPr>
        <w:t> </w:t>
      </w:r>
      <w:r>
        <w:rPr>
          <w:sz w:val="24"/>
        </w:rPr>
        <w:t>be</w:t>
      </w:r>
      <w:r>
        <w:rPr>
          <w:spacing w:val="-3"/>
          <w:sz w:val="24"/>
        </w:rPr>
        <w:t> </w:t>
      </w:r>
      <w:r>
        <w:rPr>
          <w:sz w:val="24"/>
        </w:rPr>
        <w:t>utilised</w:t>
      </w:r>
      <w:r>
        <w:rPr>
          <w:spacing w:val="-3"/>
          <w:sz w:val="24"/>
        </w:rPr>
        <w:t> </w:t>
      </w:r>
      <w:r>
        <w:rPr>
          <w:sz w:val="24"/>
        </w:rPr>
        <w:t>on</w:t>
      </w:r>
      <w:r>
        <w:rPr>
          <w:spacing w:val="-1"/>
          <w:sz w:val="24"/>
        </w:rPr>
        <w:t> </w:t>
      </w:r>
      <w:r>
        <w:rPr>
          <w:sz w:val="24"/>
        </w:rPr>
        <w:t>any</w:t>
      </w:r>
      <w:r>
        <w:rPr>
          <w:spacing w:val="-3"/>
          <w:sz w:val="24"/>
        </w:rPr>
        <w:t> </w:t>
      </w:r>
      <w:r>
        <w:rPr>
          <w:sz w:val="24"/>
        </w:rPr>
        <w:t>plot</w:t>
      </w:r>
      <w:r>
        <w:rPr>
          <w:spacing w:val="-7"/>
          <w:sz w:val="24"/>
        </w:rPr>
        <w:t> </w:t>
      </w:r>
      <w:r>
        <w:rPr>
          <w:sz w:val="24"/>
        </w:rPr>
        <w:t>shall</w:t>
      </w:r>
      <w:r>
        <w:rPr>
          <w:spacing w:val="-3"/>
          <w:sz w:val="24"/>
        </w:rPr>
        <w:t> </w:t>
      </w:r>
      <w:r>
        <w:rPr>
          <w:sz w:val="24"/>
        </w:rPr>
        <w:t>be</w:t>
      </w:r>
      <w:r>
        <w:rPr>
          <w:spacing w:val="-1"/>
          <w:sz w:val="24"/>
        </w:rPr>
        <w:t> </w:t>
      </w:r>
      <w:r>
        <w:rPr>
          <w:sz w:val="24"/>
        </w:rPr>
        <w:t>as per regulation 30(A) and/or as specified in these Regulations</w:t>
      </w:r>
      <w:r>
        <w:rPr>
          <w:sz w:val="22"/>
        </w:rPr>
        <w:t>.</w:t>
      </w:r>
      <w:r>
        <w:rPr>
          <w:spacing w:val="40"/>
          <w:sz w:val="22"/>
        </w:rPr>
        <w:t> </w:t>
      </w:r>
      <w:r>
        <w:rPr>
          <w:sz w:val="24"/>
        </w:rPr>
        <w:t>.</w:t>
      </w:r>
    </w:p>
    <w:p>
      <w:pPr>
        <w:pStyle w:val="BodyText"/>
        <w:spacing w:before="42"/>
        <w:jc w:val="left"/>
      </w:pPr>
    </w:p>
    <w:p>
      <w:pPr>
        <w:pStyle w:val="ListParagraph"/>
        <w:numPr>
          <w:ilvl w:val="0"/>
          <w:numId w:val="125"/>
        </w:numPr>
        <w:tabs>
          <w:tab w:pos="1256" w:val="left" w:leader="none"/>
        </w:tabs>
        <w:spacing w:line="276" w:lineRule="auto" w:before="0" w:after="0"/>
        <w:ind w:left="962" w:right="977" w:firstLine="0"/>
        <w:jc w:val="left"/>
        <w:rPr>
          <w:sz w:val="24"/>
        </w:rPr>
      </w:pPr>
      <w:r>
        <w:rPr>
          <w:sz w:val="24"/>
        </w:rPr>
        <w:t>Maximum</w:t>
      </w:r>
      <w:r>
        <w:rPr>
          <w:spacing w:val="-1"/>
          <w:sz w:val="24"/>
        </w:rPr>
        <w:t> </w:t>
      </w:r>
      <w:r>
        <w:rPr>
          <w:sz w:val="24"/>
        </w:rPr>
        <w:t>permissible</w:t>
      </w:r>
      <w:r>
        <w:rPr>
          <w:spacing w:val="-1"/>
          <w:sz w:val="24"/>
        </w:rPr>
        <w:t> </w:t>
      </w:r>
      <w:r>
        <w:rPr>
          <w:sz w:val="24"/>
        </w:rPr>
        <w:t>TDR loading</w:t>
      </w:r>
      <w:r>
        <w:rPr>
          <w:spacing w:val="-1"/>
          <w:sz w:val="24"/>
        </w:rPr>
        <w:t> </w:t>
      </w:r>
      <w:r>
        <w:rPr>
          <w:sz w:val="24"/>
        </w:rPr>
        <w:t>as mentioned</w:t>
      </w:r>
      <w:r>
        <w:rPr>
          <w:spacing w:val="-1"/>
          <w:sz w:val="24"/>
        </w:rPr>
        <w:t> </w:t>
      </w:r>
      <w:r>
        <w:rPr>
          <w:sz w:val="24"/>
        </w:rPr>
        <w:t>above</w:t>
      </w:r>
      <w:r>
        <w:rPr>
          <w:spacing w:val="-1"/>
          <w:sz w:val="24"/>
        </w:rPr>
        <w:t> </w:t>
      </w:r>
      <w:r>
        <w:rPr>
          <w:sz w:val="24"/>
        </w:rPr>
        <w:t>on any</w:t>
      </w:r>
      <w:r>
        <w:rPr>
          <w:spacing w:val="-1"/>
          <w:sz w:val="24"/>
        </w:rPr>
        <w:t> </w:t>
      </w:r>
      <w:r>
        <w:rPr>
          <w:sz w:val="24"/>
        </w:rPr>
        <w:t>plot</w:t>
      </w:r>
      <w:r>
        <w:rPr>
          <w:spacing w:val="-1"/>
          <w:sz w:val="24"/>
        </w:rPr>
        <w:t> </w:t>
      </w:r>
      <w:r>
        <w:rPr>
          <w:sz w:val="24"/>
        </w:rPr>
        <w:t>shall</w:t>
      </w:r>
      <w:r>
        <w:rPr>
          <w:spacing w:val="-1"/>
          <w:sz w:val="24"/>
        </w:rPr>
        <w:t> </w:t>
      </w:r>
      <w:r>
        <w:rPr>
          <w:sz w:val="24"/>
        </w:rPr>
        <w:t>be exclusive of FSI allowed for inclusive housing if any.</w:t>
      </w:r>
    </w:p>
    <w:p>
      <w:pPr>
        <w:pStyle w:val="BodyText"/>
        <w:spacing w:before="42"/>
        <w:jc w:val="left"/>
      </w:pPr>
    </w:p>
    <w:p>
      <w:pPr>
        <w:pStyle w:val="ListParagraph"/>
        <w:numPr>
          <w:ilvl w:val="0"/>
          <w:numId w:val="125"/>
        </w:numPr>
        <w:tabs>
          <w:tab w:pos="1397" w:val="left" w:leader="none"/>
        </w:tabs>
        <w:spacing w:line="276" w:lineRule="auto" w:before="0" w:after="0"/>
        <w:ind w:left="962" w:right="970" w:firstLine="76"/>
        <w:jc w:val="both"/>
        <w:rPr>
          <w:sz w:val="24"/>
        </w:rPr>
      </w:pPr>
      <w:r>
        <w:rPr>
          <w:sz w:val="24"/>
        </w:rPr>
        <w:t>The</w:t>
      </w:r>
      <w:r>
        <w:rPr>
          <w:spacing w:val="40"/>
          <w:sz w:val="24"/>
        </w:rPr>
        <w:t> </w:t>
      </w:r>
      <w:r>
        <w:rPr>
          <w:sz w:val="24"/>
        </w:rPr>
        <w:t>quantum</w:t>
      </w:r>
      <w:r>
        <w:rPr>
          <w:spacing w:val="-9"/>
          <w:sz w:val="24"/>
        </w:rPr>
        <w:t> </w:t>
      </w:r>
      <w:r>
        <w:rPr>
          <w:sz w:val="24"/>
        </w:rPr>
        <w:t>of</w:t>
      </w:r>
      <w:r>
        <w:rPr>
          <w:spacing w:val="-9"/>
          <w:sz w:val="24"/>
        </w:rPr>
        <w:t> </w:t>
      </w:r>
      <w:r>
        <w:rPr>
          <w:sz w:val="24"/>
        </w:rPr>
        <w:t>maximum</w:t>
      </w:r>
      <w:r>
        <w:rPr>
          <w:spacing w:val="-9"/>
          <w:sz w:val="24"/>
        </w:rPr>
        <w:t> </w:t>
      </w:r>
      <w:r>
        <w:rPr>
          <w:sz w:val="24"/>
        </w:rPr>
        <w:t>permissible</w:t>
      </w:r>
      <w:r>
        <w:rPr>
          <w:spacing w:val="-9"/>
          <w:sz w:val="24"/>
        </w:rPr>
        <w:t> </w:t>
      </w:r>
      <w:r>
        <w:rPr>
          <w:sz w:val="24"/>
        </w:rPr>
        <w:t>TDR</w:t>
      </w:r>
      <w:r>
        <w:rPr>
          <w:spacing w:val="-9"/>
          <w:sz w:val="24"/>
        </w:rPr>
        <w:t> </w:t>
      </w:r>
      <w:r>
        <w:rPr>
          <w:sz w:val="24"/>
        </w:rPr>
        <w:t>loading</w:t>
      </w:r>
      <w:r>
        <w:rPr>
          <w:spacing w:val="-9"/>
          <w:sz w:val="24"/>
        </w:rPr>
        <w:t> </w:t>
      </w:r>
      <w:r>
        <w:rPr>
          <w:sz w:val="24"/>
        </w:rPr>
        <w:t>mentioned</w:t>
      </w:r>
      <w:r>
        <w:rPr>
          <w:spacing w:val="-9"/>
          <w:sz w:val="24"/>
        </w:rPr>
        <w:t> </w:t>
      </w:r>
      <w:r>
        <w:rPr>
          <w:sz w:val="24"/>
        </w:rPr>
        <w:t>above</w:t>
      </w:r>
      <w:r>
        <w:rPr>
          <w:spacing w:val="-9"/>
          <w:sz w:val="24"/>
        </w:rPr>
        <w:t> </w:t>
      </w:r>
      <w:r>
        <w:rPr>
          <w:sz w:val="24"/>
        </w:rPr>
        <w:t>shall include slum TDR at least 20 % and maximum to the extent of 50% of column no. 6 of Table No. 12 regulation 30(A) </w:t>
      </w:r>
      <w:r>
        <w:rPr>
          <w:sz w:val="22"/>
        </w:rPr>
        <w:t>or as decided by Govt. time to time</w:t>
      </w:r>
      <w:r>
        <w:rPr>
          <w:sz w:val="24"/>
        </w:rPr>
        <w:t>. Slum TDR as per this regulation and DRC generated from the very said land and/or DRC generated from other location may be utilised up to the permissible limit mention above.</w:t>
      </w:r>
    </w:p>
    <w:p>
      <w:pPr>
        <w:pStyle w:val="ListParagraph"/>
        <w:numPr>
          <w:ilvl w:val="0"/>
          <w:numId w:val="125"/>
        </w:numPr>
        <w:tabs>
          <w:tab w:pos="1387" w:val="left" w:leader="none"/>
        </w:tabs>
        <w:spacing w:line="240" w:lineRule="auto" w:before="243" w:after="0"/>
        <w:ind w:left="962" w:right="971" w:firstLine="76"/>
        <w:jc w:val="both"/>
        <w:rPr>
          <w:sz w:val="24"/>
        </w:rPr>
      </w:pPr>
      <w:r>
        <w:rPr>
          <w:sz w:val="24"/>
        </w:rPr>
        <w:t>If a plot is situated on access road having dead end within 50 mt. from the main</w:t>
      </w:r>
      <w:r>
        <w:rPr>
          <w:spacing w:val="-20"/>
          <w:sz w:val="24"/>
        </w:rPr>
        <w:t> </w:t>
      </w:r>
      <w:r>
        <w:rPr>
          <w:sz w:val="24"/>
        </w:rPr>
        <w:t>road,</w:t>
      </w:r>
      <w:r>
        <w:rPr>
          <w:spacing w:val="-19"/>
          <w:sz w:val="24"/>
        </w:rPr>
        <w:t> </w:t>
      </w:r>
      <w:r>
        <w:rPr>
          <w:sz w:val="24"/>
        </w:rPr>
        <w:t>having</w:t>
      </w:r>
      <w:r>
        <w:rPr>
          <w:spacing w:val="-19"/>
          <w:sz w:val="24"/>
        </w:rPr>
        <w:t> </w:t>
      </w:r>
      <w:r>
        <w:rPr>
          <w:sz w:val="24"/>
        </w:rPr>
        <w:t>minimum</w:t>
      </w:r>
      <w:r>
        <w:rPr>
          <w:spacing w:val="-19"/>
          <w:sz w:val="24"/>
        </w:rPr>
        <w:t> </w:t>
      </w:r>
      <w:r>
        <w:rPr>
          <w:sz w:val="24"/>
        </w:rPr>
        <w:t>width</w:t>
      </w:r>
      <w:r>
        <w:rPr>
          <w:spacing w:val="-19"/>
          <w:sz w:val="24"/>
        </w:rPr>
        <w:t> </w:t>
      </w:r>
      <w:r>
        <w:rPr>
          <w:sz w:val="24"/>
        </w:rPr>
        <w:t>of</w:t>
      </w:r>
      <w:r>
        <w:rPr>
          <w:spacing w:val="-20"/>
          <w:sz w:val="24"/>
        </w:rPr>
        <w:t> </w:t>
      </w:r>
      <w:r>
        <w:rPr>
          <w:sz w:val="24"/>
        </w:rPr>
        <w:t>9m</w:t>
      </w:r>
      <w:r>
        <w:rPr>
          <w:spacing w:val="-19"/>
          <w:sz w:val="24"/>
        </w:rPr>
        <w:t> </w:t>
      </w:r>
      <w:r>
        <w:rPr>
          <w:sz w:val="24"/>
        </w:rPr>
        <w:t>or</w:t>
      </w:r>
      <w:r>
        <w:rPr>
          <w:spacing w:val="-19"/>
          <w:sz w:val="24"/>
        </w:rPr>
        <w:t> </w:t>
      </w:r>
      <w:r>
        <w:rPr>
          <w:sz w:val="24"/>
        </w:rPr>
        <w:t>more</w:t>
      </w:r>
      <w:r>
        <w:rPr>
          <w:spacing w:val="-19"/>
          <w:sz w:val="24"/>
        </w:rPr>
        <w:t> </w:t>
      </w:r>
      <w:r>
        <w:rPr>
          <w:sz w:val="24"/>
        </w:rPr>
        <w:t>then</w:t>
      </w:r>
      <w:r>
        <w:rPr>
          <w:spacing w:val="-19"/>
          <w:sz w:val="24"/>
        </w:rPr>
        <w:t> </w:t>
      </w:r>
      <w:r>
        <w:rPr>
          <w:sz w:val="24"/>
        </w:rPr>
        <w:t>such</w:t>
      </w:r>
      <w:r>
        <w:rPr>
          <w:spacing w:val="-20"/>
          <w:sz w:val="24"/>
        </w:rPr>
        <w:t> </w:t>
      </w:r>
      <w:r>
        <w:rPr>
          <w:sz w:val="24"/>
        </w:rPr>
        <w:t>plot</w:t>
      </w:r>
      <w:r>
        <w:rPr>
          <w:spacing w:val="-19"/>
          <w:sz w:val="24"/>
        </w:rPr>
        <w:t> </w:t>
      </w:r>
      <w:r>
        <w:rPr>
          <w:sz w:val="24"/>
        </w:rPr>
        <w:t>shall</w:t>
      </w:r>
      <w:r>
        <w:rPr>
          <w:spacing w:val="-19"/>
          <w:sz w:val="24"/>
        </w:rPr>
        <w:t> </w:t>
      </w:r>
      <w:r>
        <w:rPr>
          <w:sz w:val="24"/>
        </w:rPr>
        <w:t>be</w:t>
      </w:r>
      <w:r>
        <w:rPr>
          <w:spacing w:val="-19"/>
          <w:sz w:val="24"/>
        </w:rPr>
        <w:t> </w:t>
      </w:r>
      <w:r>
        <w:rPr>
          <w:sz w:val="24"/>
        </w:rPr>
        <w:t>treated as fronting on main road for the purpose of utilisation of TDR. Similarly if the plot derives from 9m wide internal road then such plots also eligible for the purpose for utilisation of TDR.</w:t>
      </w:r>
    </w:p>
    <w:p>
      <w:pPr>
        <w:pStyle w:val="ListParagraph"/>
        <w:numPr>
          <w:ilvl w:val="0"/>
          <w:numId w:val="125"/>
        </w:numPr>
        <w:tabs>
          <w:tab w:pos="1303" w:val="left" w:leader="none"/>
        </w:tabs>
        <w:spacing w:line="240" w:lineRule="auto" w:before="241" w:after="0"/>
        <w:ind w:left="962" w:right="975" w:firstLine="76"/>
        <w:jc w:val="both"/>
        <w:rPr>
          <w:sz w:val="24"/>
        </w:rPr>
      </w:pPr>
      <w:r>
        <w:rPr>
          <w:sz w:val="24"/>
        </w:rPr>
        <w:t>The</w:t>
      </w:r>
      <w:r>
        <w:rPr>
          <w:spacing w:val="-8"/>
          <w:sz w:val="24"/>
        </w:rPr>
        <w:t> </w:t>
      </w:r>
      <w:r>
        <w:rPr>
          <w:sz w:val="24"/>
        </w:rPr>
        <w:t>relaxation</w:t>
      </w:r>
      <w:r>
        <w:rPr>
          <w:spacing w:val="-11"/>
          <w:sz w:val="24"/>
        </w:rPr>
        <w:t> </w:t>
      </w:r>
      <w:r>
        <w:rPr>
          <w:sz w:val="24"/>
        </w:rPr>
        <w:t>premium</w:t>
      </w:r>
      <w:r>
        <w:rPr>
          <w:spacing w:val="-9"/>
          <w:sz w:val="24"/>
        </w:rPr>
        <w:t> </w:t>
      </w:r>
      <w:r>
        <w:rPr>
          <w:sz w:val="24"/>
        </w:rPr>
        <w:t>for</w:t>
      </w:r>
      <w:r>
        <w:rPr>
          <w:spacing w:val="-11"/>
          <w:sz w:val="24"/>
        </w:rPr>
        <w:t> </w:t>
      </w:r>
      <w:r>
        <w:rPr>
          <w:sz w:val="24"/>
        </w:rPr>
        <w:t>the</w:t>
      </w:r>
      <w:r>
        <w:rPr>
          <w:spacing w:val="-11"/>
          <w:sz w:val="24"/>
        </w:rPr>
        <w:t> </w:t>
      </w:r>
      <w:r>
        <w:rPr>
          <w:sz w:val="24"/>
        </w:rPr>
        <w:t>use</w:t>
      </w:r>
      <w:r>
        <w:rPr>
          <w:spacing w:val="-11"/>
          <w:sz w:val="24"/>
        </w:rPr>
        <w:t> </w:t>
      </w:r>
      <w:r>
        <w:rPr>
          <w:sz w:val="24"/>
        </w:rPr>
        <w:t>of</w:t>
      </w:r>
      <w:r>
        <w:rPr>
          <w:spacing w:val="-8"/>
          <w:sz w:val="24"/>
        </w:rPr>
        <w:t> </w:t>
      </w:r>
      <w:r>
        <w:rPr>
          <w:sz w:val="24"/>
        </w:rPr>
        <w:t>slum</w:t>
      </w:r>
      <w:r>
        <w:rPr>
          <w:spacing w:val="-8"/>
          <w:sz w:val="24"/>
        </w:rPr>
        <w:t> </w:t>
      </w:r>
      <w:r>
        <w:rPr>
          <w:sz w:val="24"/>
        </w:rPr>
        <w:t>TDR</w:t>
      </w:r>
      <w:r>
        <w:rPr>
          <w:spacing w:val="-10"/>
          <w:sz w:val="24"/>
        </w:rPr>
        <w:t> </w:t>
      </w:r>
      <w:r>
        <w:rPr>
          <w:sz w:val="24"/>
        </w:rPr>
        <w:t>i.e.10%</w:t>
      </w:r>
      <w:r>
        <w:rPr>
          <w:spacing w:val="-11"/>
          <w:sz w:val="24"/>
        </w:rPr>
        <w:t> </w:t>
      </w:r>
      <w:r>
        <w:rPr>
          <w:sz w:val="24"/>
        </w:rPr>
        <w:t>of</w:t>
      </w:r>
      <w:r>
        <w:rPr>
          <w:spacing w:val="-8"/>
          <w:sz w:val="24"/>
        </w:rPr>
        <w:t> </w:t>
      </w:r>
      <w:r>
        <w:rPr>
          <w:sz w:val="24"/>
        </w:rPr>
        <w:t>normal</w:t>
      </w:r>
      <w:r>
        <w:rPr>
          <w:spacing w:val="-11"/>
          <w:sz w:val="24"/>
        </w:rPr>
        <w:t> </w:t>
      </w:r>
      <w:r>
        <w:rPr>
          <w:sz w:val="24"/>
        </w:rPr>
        <w:t>premium shall be charged while condoning deficiencies in open spaces.</w:t>
      </w:r>
    </w:p>
    <w:p>
      <w:pPr>
        <w:pStyle w:val="BodyText"/>
        <w:spacing w:before="240"/>
        <w:ind w:left="962" w:right="970"/>
      </w:pPr>
      <w:r>
        <w:rPr>
          <w:b/>
        </w:rPr>
        <w:t>5.4.2</w:t>
      </w:r>
      <w:r>
        <w:rPr>
          <w:b/>
          <w:spacing w:val="80"/>
        </w:rPr>
        <w:t> </w:t>
      </w:r>
      <w:r>
        <w:rPr/>
        <w:t>The</w:t>
      </w:r>
      <w:r>
        <w:rPr>
          <w:spacing w:val="-1"/>
        </w:rPr>
        <w:t> </w:t>
      </w:r>
      <w:r>
        <w:rPr/>
        <w:t>restrictions</w:t>
      </w:r>
      <w:r>
        <w:rPr>
          <w:spacing w:val="-1"/>
        </w:rPr>
        <w:t> </w:t>
      </w:r>
      <w:r>
        <w:rPr/>
        <w:t>of</w:t>
      </w:r>
      <w:r>
        <w:rPr>
          <w:spacing w:val="-1"/>
        </w:rPr>
        <w:t> </w:t>
      </w:r>
      <w:r>
        <w:rPr/>
        <w:t>total</w:t>
      </w:r>
      <w:r>
        <w:rPr>
          <w:spacing w:val="-1"/>
        </w:rPr>
        <w:t> </w:t>
      </w:r>
      <w:r>
        <w:rPr/>
        <w:t>maximum</w:t>
      </w:r>
      <w:r>
        <w:rPr>
          <w:spacing w:val="-4"/>
        </w:rPr>
        <w:t> </w:t>
      </w:r>
      <w:r>
        <w:rPr/>
        <w:t>permissible</w:t>
      </w:r>
      <w:r>
        <w:rPr>
          <w:spacing w:val="-1"/>
        </w:rPr>
        <w:t> </w:t>
      </w:r>
      <w:r>
        <w:rPr/>
        <w:t>built</w:t>
      </w:r>
      <w:r>
        <w:rPr>
          <w:spacing w:val="-1"/>
        </w:rPr>
        <w:t> </w:t>
      </w:r>
      <w:r>
        <w:rPr/>
        <w:t>up</w:t>
      </w:r>
      <w:r>
        <w:rPr>
          <w:spacing w:val="-4"/>
        </w:rPr>
        <w:t> </w:t>
      </w:r>
      <w:r>
        <w:rPr/>
        <w:t>area</w:t>
      </w:r>
      <w:r>
        <w:rPr>
          <w:spacing w:val="-1"/>
        </w:rPr>
        <w:t> </w:t>
      </w:r>
      <w:r>
        <w:rPr/>
        <w:t>in</w:t>
      </w:r>
      <w:r>
        <w:rPr>
          <w:spacing w:val="-1"/>
        </w:rPr>
        <w:t> </w:t>
      </w:r>
      <w:r>
        <w:rPr/>
        <w:t>terms</w:t>
      </w:r>
      <w:r>
        <w:rPr>
          <w:spacing w:val="-1"/>
        </w:rPr>
        <w:t> </w:t>
      </w:r>
      <w:r>
        <w:rPr/>
        <w:t>of FSI with respect to road width mentioned in these Regulation,</w:t>
      </w:r>
      <w:r>
        <w:rPr>
          <w:spacing w:val="40"/>
        </w:rPr>
        <w:t> </w:t>
      </w:r>
      <w:r>
        <w:rPr/>
        <w:t>shall not be applicable in cases where, the permissible FSI is more than the basic FSI in various schemes, like Slum Rehabilitation Scheme, Redevelopment of cess buildings, redevelopment of dangerous buildings, Urban Renewal Scheme, Redevelopment of MHADA buildings/Colonies, Metro Influence Zone,</w:t>
      </w:r>
      <w:r>
        <w:rPr>
          <w:spacing w:val="40"/>
        </w:rPr>
        <w:t> </w:t>
      </w:r>
      <w:r>
        <w:rPr/>
        <w:t>BRTs, TODs</w:t>
      </w:r>
      <w:r>
        <w:rPr>
          <w:spacing w:val="-10"/>
        </w:rPr>
        <w:t> </w:t>
      </w:r>
      <w:r>
        <w:rPr/>
        <w:t>etc.</w:t>
      </w:r>
      <w:r>
        <w:rPr>
          <w:spacing w:val="-10"/>
        </w:rPr>
        <w:t> </w:t>
      </w:r>
      <w:r>
        <w:rPr/>
        <w:t>where</w:t>
      </w:r>
      <w:r>
        <w:rPr>
          <w:spacing w:val="-10"/>
        </w:rPr>
        <w:t> </w:t>
      </w:r>
      <w:r>
        <w:rPr/>
        <w:t>specific</w:t>
      </w:r>
      <w:r>
        <w:rPr>
          <w:spacing w:val="-10"/>
        </w:rPr>
        <w:t> </w:t>
      </w:r>
      <w:r>
        <w:rPr/>
        <w:t>provisions</w:t>
      </w:r>
      <w:r>
        <w:rPr>
          <w:spacing w:val="56"/>
        </w:rPr>
        <w:t> </w:t>
      </w:r>
      <w:r>
        <w:rPr/>
        <w:t>sanctioned</w:t>
      </w:r>
      <w:r>
        <w:rPr>
          <w:spacing w:val="-10"/>
        </w:rPr>
        <w:t> </w:t>
      </w:r>
      <w:r>
        <w:rPr/>
        <w:t>by</w:t>
      </w:r>
      <w:r>
        <w:rPr>
          <w:spacing w:val="-10"/>
        </w:rPr>
        <w:t> </w:t>
      </w:r>
      <w:r>
        <w:rPr/>
        <w:t>the</w:t>
      </w:r>
      <w:r>
        <w:rPr>
          <w:spacing w:val="-10"/>
        </w:rPr>
        <w:t> </w:t>
      </w:r>
      <w:r>
        <w:rPr/>
        <w:t>Government</w:t>
      </w:r>
      <w:r>
        <w:rPr>
          <w:spacing w:val="-8"/>
        </w:rPr>
        <w:t> </w:t>
      </w:r>
      <w:r>
        <w:rPr/>
        <w:t>shall</w:t>
      </w:r>
      <w:r>
        <w:rPr>
          <w:spacing w:val="-9"/>
        </w:rPr>
        <w:t> </w:t>
      </w:r>
      <w:r>
        <w:rPr>
          <w:spacing w:val="-2"/>
        </w:rPr>
        <w:t>apply.</w:t>
      </w:r>
    </w:p>
    <w:p>
      <w:pPr>
        <w:pStyle w:val="BodyText"/>
        <w:jc w:val="left"/>
      </w:pPr>
    </w:p>
    <w:p>
      <w:pPr>
        <w:pStyle w:val="BodyText"/>
        <w:spacing w:before="1"/>
        <w:ind w:left="962" w:right="972"/>
      </w:pPr>
      <w:r>
        <w:rPr>
          <w:b/>
        </w:rPr>
        <w:t>5.4.3.</w:t>
      </w:r>
      <w:r>
        <w:rPr>
          <w:b/>
          <w:spacing w:val="-17"/>
        </w:rPr>
        <w:t> </w:t>
      </w:r>
      <w:r>
        <w:rPr/>
        <w:t>The</w:t>
      </w:r>
      <w:r>
        <w:rPr>
          <w:spacing w:val="-12"/>
        </w:rPr>
        <w:t> </w:t>
      </w:r>
      <w:r>
        <w:rPr/>
        <w:t>additional</w:t>
      </w:r>
      <w:r>
        <w:rPr>
          <w:spacing w:val="-12"/>
        </w:rPr>
        <w:t> </w:t>
      </w:r>
      <w:r>
        <w:rPr/>
        <w:t>FSI</w:t>
      </w:r>
      <w:r>
        <w:rPr>
          <w:spacing w:val="-9"/>
        </w:rPr>
        <w:t> </w:t>
      </w:r>
      <w:r>
        <w:rPr/>
        <w:t>permissible</w:t>
      </w:r>
      <w:r>
        <w:rPr>
          <w:spacing w:val="-14"/>
        </w:rPr>
        <w:t> </w:t>
      </w:r>
      <w:r>
        <w:rPr/>
        <w:t>in</w:t>
      </w:r>
      <w:r>
        <w:rPr>
          <w:spacing w:val="-12"/>
        </w:rPr>
        <w:t> </w:t>
      </w:r>
      <w:r>
        <w:rPr/>
        <w:t>certain</w:t>
      </w:r>
      <w:r>
        <w:rPr>
          <w:spacing w:val="-12"/>
        </w:rPr>
        <w:t> </w:t>
      </w:r>
      <w:r>
        <w:rPr/>
        <w:t>categories</w:t>
      </w:r>
      <w:r>
        <w:rPr>
          <w:spacing w:val="-12"/>
        </w:rPr>
        <w:t> </w:t>
      </w:r>
      <w:r>
        <w:rPr/>
        <w:t>of</w:t>
      </w:r>
      <w:r>
        <w:rPr>
          <w:spacing w:val="-14"/>
        </w:rPr>
        <w:t> </w:t>
      </w:r>
      <w:r>
        <w:rPr/>
        <w:t>buildings</w:t>
      </w:r>
      <w:r>
        <w:rPr>
          <w:spacing w:val="-12"/>
        </w:rPr>
        <w:t> </w:t>
      </w:r>
      <w:r>
        <w:rPr/>
        <w:t>such</w:t>
      </w:r>
      <w:r>
        <w:rPr>
          <w:spacing w:val="-12"/>
        </w:rPr>
        <w:t> </w:t>
      </w:r>
      <w:r>
        <w:rPr/>
        <w:t>as, Educational building, Registered Charitable Institutional/ Medical / Hospital Building,</w:t>
      </w:r>
      <w:r>
        <w:rPr>
          <w:spacing w:val="71"/>
          <w:w w:val="150"/>
        </w:rPr>
        <w:t> </w:t>
      </w:r>
      <w:r>
        <w:rPr/>
        <w:t>Star</w:t>
      </w:r>
      <w:r>
        <w:rPr>
          <w:spacing w:val="71"/>
          <w:w w:val="150"/>
        </w:rPr>
        <w:t> </w:t>
      </w:r>
      <w:r>
        <w:rPr/>
        <w:t>Category</w:t>
      </w:r>
      <w:r>
        <w:rPr>
          <w:spacing w:val="71"/>
          <w:w w:val="150"/>
        </w:rPr>
        <w:t> </w:t>
      </w:r>
      <w:r>
        <w:rPr/>
        <w:t>Hotel,</w:t>
      </w:r>
      <w:r>
        <w:rPr>
          <w:spacing w:val="72"/>
          <w:w w:val="150"/>
        </w:rPr>
        <w:t> </w:t>
      </w:r>
      <w:r>
        <w:rPr/>
        <w:t>Religious</w:t>
      </w:r>
      <w:r>
        <w:rPr>
          <w:spacing w:val="71"/>
          <w:w w:val="150"/>
        </w:rPr>
        <w:t> </w:t>
      </w:r>
      <w:r>
        <w:rPr/>
        <w:t>Building</w:t>
      </w:r>
      <w:r>
        <w:rPr>
          <w:spacing w:val="71"/>
          <w:w w:val="150"/>
        </w:rPr>
        <w:t> </w:t>
      </w:r>
      <w:r>
        <w:rPr/>
        <w:t>etc.</w:t>
      </w:r>
      <w:r>
        <w:rPr>
          <w:spacing w:val="73"/>
          <w:w w:val="150"/>
        </w:rPr>
        <w:t> </w:t>
      </w:r>
      <w:r>
        <w:rPr/>
        <w:t>as</w:t>
      </w:r>
      <w:r>
        <w:rPr>
          <w:spacing w:val="71"/>
          <w:w w:val="150"/>
        </w:rPr>
        <w:t> </w:t>
      </w:r>
      <w:r>
        <w:rPr/>
        <w:t>per</w:t>
      </w:r>
      <w:r>
        <w:rPr>
          <w:spacing w:val="71"/>
          <w:w w:val="150"/>
        </w:rPr>
        <w:t> </w:t>
      </w:r>
      <w:r>
        <w:rPr>
          <w:spacing w:val="-2"/>
        </w:rPr>
        <w:t>prevailing</w:t>
      </w:r>
    </w:p>
    <w:p>
      <w:pPr>
        <w:pStyle w:val="BodyText"/>
        <w:spacing w:after="0"/>
        <w:sectPr>
          <w:pgSz w:w="11910" w:h="16840"/>
          <w:pgMar w:header="1065" w:footer="1237" w:top="1500" w:bottom="1420" w:left="360" w:right="360"/>
        </w:sectPr>
      </w:pPr>
    </w:p>
    <w:p>
      <w:pPr>
        <w:pStyle w:val="BodyText"/>
        <w:spacing w:before="249"/>
        <w:ind w:left="962" w:right="970"/>
      </w:pPr>
      <w:r>
        <w:rPr/>
        <w:t>Development Control Regulations, if any, can be availed either by full or part utilization of TDR or full or part utilization of TDR if permissible in this regulation or full or part utilization of additional FSI at the option of owner. However, the restriction of road width mentioned as per these regulations e shall not be applicable when the owner exercises his option of availing utilization of additional FSI and in such cases limitation of maximum building potential as mentioned in regulation no 5.4.1 shall not be applicable.</w:t>
      </w:r>
    </w:p>
    <w:p>
      <w:pPr>
        <w:pStyle w:val="BodyText"/>
        <w:spacing w:before="2"/>
        <w:jc w:val="left"/>
      </w:pPr>
    </w:p>
    <w:p>
      <w:pPr>
        <w:pStyle w:val="ListParagraph"/>
        <w:numPr>
          <w:ilvl w:val="2"/>
          <w:numId w:val="126"/>
        </w:numPr>
        <w:tabs>
          <w:tab w:pos="1787" w:val="left" w:leader="none"/>
        </w:tabs>
        <w:spacing w:line="240" w:lineRule="auto" w:before="0" w:after="0"/>
        <w:ind w:left="962" w:right="893" w:firstLine="0"/>
        <w:jc w:val="both"/>
        <w:rPr>
          <w:sz w:val="24"/>
        </w:rPr>
      </w:pPr>
      <w:r>
        <w:rPr>
          <w:sz w:val="24"/>
        </w:rPr>
        <w:t>The utilisation of </w:t>
      </w:r>
      <w:r>
        <w:rPr>
          <w:i/>
          <w:sz w:val="24"/>
        </w:rPr>
        <w:t>Transferable Development Rights (TDR</w:t>
      </w:r>
      <w:r>
        <w:rPr>
          <w:sz w:val="24"/>
        </w:rPr>
        <w:t>) shall be permissible by considering</w:t>
      </w:r>
      <w:r>
        <w:rPr>
          <w:spacing w:val="40"/>
          <w:sz w:val="24"/>
        </w:rPr>
        <w:t> </w:t>
      </w:r>
      <w:r>
        <w:rPr>
          <w:sz w:val="24"/>
        </w:rPr>
        <w:t>Plot Area excluding area affected by reservations or deemed reservation or plot area to be surrendered under the provisions of Accommodation</w:t>
      </w:r>
      <w:r>
        <w:rPr>
          <w:spacing w:val="-12"/>
          <w:sz w:val="24"/>
        </w:rPr>
        <w:t> </w:t>
      </w:r>
      <w:r>
        <w:rPr>
          <w:sz w:val="24"/>
        </w:rPr>
        <w:t>Reservation</w:t>
      </w:r>
      <w:r>
        <w:rPr>
          <w:spacing w:val="-12"/>
          <w:sz w:val="24"/>
        </w:rPr>
        <w:t> </w:t>
      </w:r>
      <w:r>
        <w:rPr>
          <w:sz w:val="24"/>
        </w:rPr>
        <w:t>and</w:t>
      </w:r>
      <w:r>
        <w:rPr>
          <w:spacing w:val="40"/>
          <w:sz w:val="24"/>
        </w:rPr>
        <w:t> </w:t>
      </w:r>
      <w:r>
        <w:rPr>
          <w:sz w:val="24"/>
        </w:rPr>
        <w:t>development</w:t>
      </w:r>
      <w:r>
        <w:rPr>
          <w:spacing w:val="-12"/>
          <w:sz w:val="24"/>
        </w:rPr>
        <w:t> </w:t>
      </w:r>
      <w:r>
        <w:rPr>
          <w:sz w:val="24"/>
        </w:rPr>
        <w:t>plan</w:t>
      </w:r>
      <w:r>
        <w:rPr>
          <w:spacing w:val="-12"/>
          <w:sz w:val="24"/>
        </w:rPr>
        <w:t> </w:t>
      </w:r>
      <w:r>
        <w:rPr>
          <w:sz w:val="24"/>
        </w:rPr>
        <w:t>road/</w:t>
      </w:r>
      <w:r>
        <w:rPr>
          <w:spacing w:val="-12"/>
          <w:sz w:val="24"/>
        </w:rPr>
        <w:t> </w:t>
      </w:r>
      <w:r>
        <w:rPr>
          <w:sz w:val="24"/>
        </w:rPr>
        <w:t>prescribed</w:t>
      </w:r>
      <w:r>
        <w:rPr>
          <w:spacing w:val="-12"/>
          <w:sz w:val="24"/>
        </w:rPr>
        <w:t> </w:t>
      </w:r>
      <w:r>
        <w:rPr>
          <w:sz w:val="24"/>
        </w:rPr>
        <w:t>R.L.,</w:t>
      </w:r>
      <w:r>
        <w:rPr>
          <w:spacing w:val="-12"/>
          <w:sz w:val="24"/>
        </w:rPr>
        <w:t> </w:t>
      </w:r>
      <w:r>
        <w:rPr>
          <w:sz w:val="24"/>
        </w:rPr>
        <w:t>to</w:t>
      </w:r>
      <w:r>
        <w:rPr>
          <w:spacing w:val="-14"/>
          <w:sz w:val="24"/>
        </w:rPr>
        <w:t> </w:t>
      </w:r>
      <w:r>
        <w:rPr>
          <w:sz w:val="24"/>
        </w:rPr>
        <w:t>be handed over to MCGM/Appropriate Authority, if any..</w:t>
      </w:r>
    </w:p>
    <w:p>
      <w:pPr>
        <w:pStyle w:val="BodyText"/>
        <w:spacing w:before="276"/>
        <w:jc w:val="left"/>
      </w:pPr>
    </w:p>
    <w:p>
      <w:pPr>
        <w:pStyle w:val="ListParagraph"/>
        <w:numPr>
          <w:ilvl w:val="2"/>
          <w:numId w:val="126"/>
        </w:numPr>
        <w:tabs>
          <w:tab w:pos="1902" w:val="left" w:leader="none"/>
        </w:tabs>
        <w:spacing w:line="276" w:lineRule="auto" w:before="0" w:after="0"/>
        <w:ind w:left="962" w:right="973" w:firstLine="0"/>
        <w:jc w:val="both"/>
        <w:rPr>
          <w:b/>
          <w:sz w:val="24"/>
        </w:rPr>
      </w:pPr>
      <w:r>
        <w:rPr>
          <w:b/>
          <w:sz w:val="24"/>
        </w:rPr>
        <w:t>Areas Restricted from Utilisation of </w:t>
      </w:r>
      <w:r>
        <w:rPr>
          <w:b/>
          <w:i/>
          <w:sz w:val="24"/>
        </w:rPr>
        <w:t>Transferable Development Rights (TDR </w:t>
      </w:r>
      <w:r>
        <w:rPr>
          <w:b/>
          <w:sz w:val="24"/>
        </w:rPr>
        <w:t>) :-</w:t>
      </w:r>
    </w:p>
    <w:p>
      <w:pPr>
        <w:pStyle w:val="BodyText"/>
        <w:spacing w:before="47"/>
        <w:jc w:val="left"/>
        <w:rPr>
          <w:b/>
        </w:rPr>
      </w:pPr>
    </w:p>
    <w:p>
      <w:pPr>
        <w:spacing w:line="273" w:lineRule="auto" w:before="0"/>
        <w:ind w:left="962" w:right="974" w:firstLine="0"/>
        <w:jc w:val="both"/>
        <w:rPr>
          <w:sz w:val="24"/>
        </w:rPr>
      </w:pPr>
      <w:r>
        <w:rPr>
          <w:sz w:val="24"/>
        </w:rPr>
        <w:t>Utilisation of </w:t>
      </w:r>
      <w:r>
        <w:rPr>
          <w:i/>
          <w:sz w:val="24"/>
        </w:rPr>
        <w:t>Transferable Development Rights (TDR</w:t>
      </w:r>
      <w:r>
        <w:rPr>
          <w:sz w:val="24"/>
        </w:rPr>
        <w:t>)</w:t>
      </w:r>
      <w:r>
        <w:rPr>
          <w:spacing w:val="40"/>
          <w:sz w:val="24"/>
        </w:rPr>
        <w:t> </w:t>
      </w:r>
      <w:r>
        <w:rPr>
          <w:sz w:val="24"/>
        </w:rPr>
        <w:t>shall not be permitted in following areas:-</w:t>
      </w:r>
    </w:p>
    <w:p>
      <w:pPr>
        <w:pStyle w:val="BodyText"/>
        <w:spacing w:before="5"/>
        <w:ind w:left="962"/>
      </w:pPr>
      <w:r>
        <w:rPr/>
        <w:t>DRC</w:t>
      </w:r>
      <w:r>
        <w:rPr>
          <w:spacing w:val="-1"/>
        </w:rPr>
        <w:t> </w:t>
      </w:r>
      <w:r>
        <w:rPr/>
        <w:t>shall</w:t>
      </w:r>
      <w:r>
        <w:rPr>
          <w:spacing w:val="-1"/>
        </w:rPr>
        <w:t> </w:t>
      </w:r>
      <w:r>
        <w:rPr/>
        <w:t>not</w:t>
      </w:r>
      <w:r>
        <w:rPr>
          <w:spacing w:val="-1"/>
        </w:rPr>
        <w:t> </w:t>
      </w:r>
      <w:r>
        <w:rPr/>
        <w:t>be</w:t>
      </w:r>
      <w:r>
        <w:rPr>
          <w:spacing w:val="-1"/>
        </w:rPr>
        <w:t> </w:t>
      </w:r>
      <w:r>
        <w:rPr/>
        <w:t>valid for</w:t>
      </w:r>
      <w:r>
        <w:rPr>
          <w:spacing w:val="-1"/>
        </w:rPr>
        <w:t> </w:t>
      </w:r>
      <w:r>
        <w:rPr/>
        <w:t>use</w:t>
      </w:r>
      <w:r>
        <w:rPr>
          <w:spacing w:val="-1"/>
        </w:rPr>
        <w:t> </w:t>
      </w:r>
      <w:r>
        <w:rPr/>
        <w:t>on</w:t>
      </w:r>
      <w:r>
        <w:rPr>
          <w:spacing w:val="-1"/>
        </w:rPr>
        <w:t> </w:t>
      </w:r>
      <w:r>
        <w:rPr/>
        <w:t>receivable</w:t>
      </w:r>
      <w:r>
        <w:rPr>
          <w:spacing w:val="-1"/>
        </w:rPr>
        <w:t> </w:t>
      </w:r>
      <w:r>
        <w:rPr/>
        <w:t>plots in</w:t>
      </w:r>
      <w:r>
        <w:rPr>
          <w:spacing w:val="-1"/>
        </w:rPr>
        <w:t> </w:t>
      </w:r>
      <w:r>
        <w:rPr/>
        <w:t>the</w:t>
      </w:r>
      <w:r>
        <w:rPr>
          <w:spacing w:val="-1"/>
        </w:rPr>
        <w:t> </w:t>
      </w:r>
      <w:r>
        <w:rPr/>
        <w:t>areas</w:t>
      </w:r>
      <w:r>
        <w:rPr>
          <w:spacing w:val="-1"/>
        </w:rPr>
        <w:t> </w:t>
      </w:r>
      <w:r>
        <w:rPr/>
        <w:t>listed </w:t>
      </w:r>
      <w:r>
        <w:rPr>
          <w:spacing w:val="-2"/>
        </w:rPr>
        <w:t>below:-</w:t>
      </w:r>
    </w:p>
    <w:p>
      <w:pPr>
        <w:pStyle w:val="BodyText"/>
        <w:spacing w:before="1"/>
        <w:jc w:val="left"/>
      </w:pPr>
    </w:p>
    <w:p>
      <w:pPr>
        <w:pStyle w:val="ListParagraph"/>
        <w:numPr>
          <w:ilvl w:val="3"/>
          <w:numId w:val="126"/>
        </w:numPr>
        <w:tabs>
          <w:tab w:pos="1529" w:val="left" w:leader="none"/>
          <w:tab w:pos="1721" w:val="left" w:leader="none"/>
        </w:tabs>
        <w:spacing w:line="240" w:lineRule="auto" w:before="0" w:after="0"/>
        <w:ind w:left="1529" w:right="972" w:hanging="310"/>
        <w:jc w:val="both"/>
        <w:rPr>
          <w:sz w:val="24"/>
        </w:rPr>
      </w:pPr>
      <w:r>
        <w:rPr>
          <w:sz w:val="24"/>
        </w:rPr>
        <w:tab/>
        <w:t>Areas in Special Development Zones and areas for which the Mumbai Metropolitan Region Development Authority or Maharashtra</w:t>
      </w:r>
      <w:r>
        <w:rPr>
          <w:spacing w:val="-1"/>
          <w:sz w:val="24"/>
        </w:rPr>
        <w:t> </w:t>
      </w:r>
      <w:r>
        <w:rPr>
          <w:sz w:val="24"/>
        </w:rPr>
        <w:t>Housing and Area Development Authority or Maharashtra Industrial Development Corporation or Mumbai port trust or any other Auhtorities appointed by Government as a Special Planning Authority;</w:t>
      </w:r>
    </w:p>
    <w:p>
      <w:pPr>
        <w:pStyle w:val="ListParagraph"/>
        <w:numPr>
          <w:ilvl w:val="3"/>
          <w:numId w:val="126"/>
        </w:numPr>
        <w:tabs>
          <w:tab w:pos="1529" w:val="left" w:leader="none"/>
          <w:tab w:pos="1584" w:val="left" w:leader="none"/>
        </w:tabs>
        <w:spacing w:line="240" w:lineRule="auto" w:before="1" w:after="0"/>
        <w:ind w:left="1529" w:right="974" w:hanging="310"/>
        <w:jc w:val="both"/>
        <w:rPr>
          <w:sz w:val="24"/>
        </w:rPr>
      </w:pPr>
      <w:r>
        <w:rPr>
          <w:sz w:val="24"/>
        </w:rPr>
        <w:t>On</w:t>
      </w:r>
      <w:r>
        <w:rPr>
          <w:spacing w:val="40"/>
          <w:sz w:val="24"/>
        </w:rPr>
        <w:t> </w:t>
      </w:r>
      <w:r>
        <w:rPr>
          <w:sz w:val="24"/>
        </w:rPr>
        <w:t>plots</w:t>
      </w:r>
      <w:r>
        <w:rPr>
          <w:spacing w:val="-5"/>
          <w:sz w:val="24"/>
        </w:rPr>
        <w:t> </w:t>
      </w:r>
      <w:r>
        <w:rPr>
          <w:sz w:val="24"/>
        </w:rPr>
        <w:t>for</w:t>
      </w:r>
      <w:r>
        <w:rPr>
          <w:spacing w:val="-5"/>
          <w:sz w:val="24"/>
        </w:rPr>
        <w:t> </w:t>
      </w:r>
      <w:r>
        <w:rPr>
          <w:sz w:val="24"/>
        </w:rPr>
        <w:t>housing</w:t>
      </w:r>
      <w:r>
        <w:rPr>
          <w:spacing w:val="-5"/>
          <w:sz w:val="24"/>
        </w:rPr>
        <w:t> </w:t>
      </w:r>
      <w:r>
        <w:rPr>
          <w:sz w:val="24"/>
        </w:rPr>
        <w:t>schemes</w:t>
      </w:r>
      <w:r>
        <w:rPr>
          <w:spacing w:val="-5"/>
          <w:sz w:val="24"/>
        </w:rPr>
        <w:t> </w:t>
      </w:r>
      <w:r>
        <w:rPr>
          <w:sz w:val="24"/>
        </w:rPr>
        <w:t>of</w:t>
      </w:r>
      <w:r>
        <w:rPr>
          <w:spacing w:val="-5"/>
          <w:sz w:val="24"/>
        </w:rPr>
        <w:t> </w:t>
      </w:r>
      <w:r>
        <w:rPr>
          <w:sz w:val="24"/>
        </w:rPr>
        <w:t>slum</w:t>
      </w:r>
      <w:r>
        <w:rPr>
          <w:spacing w:val="-5"/>
          <w:sz w:val="24"/>
        </w:rPr>
        <w:t> </w:t>
      </w:r>
      <w:r>
        <w:rPr>
          <w:sz w:val="24"/>
        </w:rPr>
        <w:t>dwellers</w:t>
      </w:r>
      <w:r>
        <w:rPr>
          <w:spacing w:val="-5"/>
          <w:sz w:val="24"/>
        </w:rPr>
        <w:t> </w:t>
      </w:r>
      <w:r>
        <w:rPr>
          <w:sz w:val="24"/>
        </w:rPr>
        <w:t>for</w:t>
      </w:r>
      <w:r>
        <w:rPr>
          <w:spacing w:val="-5"/>
          <w:sz w:val="24"/>
        </w:rPr>
        <w:t> </w:t>
      </w:r>
      <w:r>
        <w:rPr>
          <w:sz w:val="24"/>
        </w:rPr>
        <w:t>which</w:t>
      </w:r>
      <w:r>
        <w:rPr>
          <w:spacing w:val="-5"/>
          <w:sz w:val="24"/>
        </w:rPr>
        <w:t> </w:t>
      </w:r>
      <w:r>
        <w:rPr>
          <w:sz w:val="24"/>
        </w:rPr>
        <w:t>additional</w:t>
      </w:r>
      <w:r>
        <w:rPr>
          <w:spacing w:val="-5"/>
          <w:sz w:val="24"/>
        </w:rPr>
        <w:t> </w:t>
      </w:r>
      <w:r>
        <w:rPr>
          <w:sz w:val="24"/>
        </w:rPr>
        <w:t>FSI</w:t>
      </w:r>
      <w:r>
        <w:rPr>
          <w:spacing w:val="-3"/>
          <w:sz w:val="24"/>
        </w:rPr>
        <w:t> </w:t>
      </w:r>
      <w:r>
        <w:rPr>
          <w:sz w:val="24"/>
        </w:rPr>
        <w:t>is permissible under sub-regulation (7), (9) &amp; (10) of Regulation 33;</w:t>
      </w:r>
    </w:p>
    <w:p>
      <w:pPr>
        <w:pStyle w:val="BodyText"/>
        <w:ind w:left="1529" w:right="973" w:firstLine="227"/>
      </w:pPr>
      <w:r>
        <w:rPr/>
        <w:t>. However, in cases where non-slum/non cessed plot is amalgamated with</w:t>
      </w:r>
      <w:r>
        <w:rPr>
          <w:spacing w:val="-15"/>
        </w:rPr>
        <w:t> </w:t>
      </w:r>
      <w:r>
        <w:rPr/>
        <w:t>the</w:t>
      </w:r>
      <w:r>
        <w:rPr>
          <w:spacing w:val="-15"/>
        </w:rPr>
        <w:t> </w:t>
      </w:r>
      <w:r>
        <w:rPr/>
        <w:t>slum/cessed</w:t>
      </w:r>
      <w:r>
        <w:rPr>
          <w:spacing w:val="-15"/>
        </w:rPr>
        <w:t> </w:t>
      </w:r>
      <w:r>
        <w:rPr/>
        <w:t>plot</w:t>
      </w:r>
      <w:r>
        <w:rPr>
          <w:spacing w:val="-15"/>
        </w:rPr>
        <w:t> </w:t>
      </w:r>
      <w:r>
        <w:rPr/>
        <w:t>for</w:t>
      </w:r>
      <w:r>
        <w:rPr>
          <w:spacing w:val="-15"/>
        </w:rPr>
        <w:t> </w:t>
      </w:r>
      <w:r>
        <w:rPr/>
        <w:t>the</w:t>
      </w:r>
      <w:r>
        <w:rPr>
          <w:spacing w:val="-15"/>
        </w:rPr>
        <w:t> </w:t>
      </w:r>
      <w:r>
        <w:rPr/>
        <w:t>purpose</w:t>
      </w:r>
      <w:r>
        <w:rPr>
          <w:spacing w:val="-15"/>
        </w:rPr>
        <w:t> </w:t>
      </w:r>
      <w:r>
        <w:rPr/>
        <w:t>of</w:t>
      </w:r>
      <w:r>
        <w:rPr>
          <w:spacing w:val="-15"/>
        </w:rPr>
        <w:t> </w:t>
      </w:r>
      <w:r>
        <w:rPr/>
        <w:t>better</w:t>
      </w:r>
      <w:r>
        <w:rPr>
          <w:spacing w:val="-15"/>
        </w:rPr>
        <w:t> </w:t>
      </w:r>
      <w:r>
        <w:rPr/>
        <w:t>planning</w:t>
      </w:r>
      <w:r>
        <w:rPr>
          <w:spacing w:val="-15"/>
        </w:rPr>
        <w:t> </w:t>
      </w:r>
      <w:r>
        <w:rPr/>
        <w:t>etc.</w:t>
      </w:r>
      <w:r>
        <w:rPr>
          <w:spacing w:val="-15"/>
        </w:rPr>
        <w:t> </w:t>
      </w:r>
      <w:r>
        <w:rPr/>
        <w:t>then</w:t>
      </w:r>
      <w:r>
        <w:rPr>
          <w:spacing w:val="-15"/>
        </w:rPr>
        <w:t> </w:t>
      </w:r>
      <w:r>
        <w:rPr/>
        <w:t>DRC will be receivable on the non-slum plot/ non-cessed plot.</w:t>
      </w:r>
      <w:r>
        <w:rPr>
          <w:spacing w:val="40"/>
        </w:rPr>
        <w:t> </w:t>
      </w:r>
      <w:r>
        <w:rPr/>
        <w:t>In such cases utilization of DRC shall be governed as per procedure and provisions stipulated in this Regulation and sub clause (B).</w:t>
      </w:r>
    </w:p>
    <w:p>
      <w:pPr>
        <w:pStyle w:val="ListParagraph"/>
        <w:numPr>
          <w:ilvl w:val="3"/>
          <w:numId w:val="126"/>
        </w:numPr>
        <w:tabs>
          <w:tab w:pos="1564" w:val="left" w:leader="none"/>
        </w:tabs>
        <w:spacing w:line="281" w:lineRule="exact" w:before="0" w:after="0"/>
        <w:ind w:left="1564" w:right="0" w:hanging="422"/>
        <w:jc w:val="both"/>
        <w:rPr>
          <w:sz w:val="24"/>
        </w:rPr>
      </w:pPr>
      <w:r>
        <w:rPr>
          <w:sz w:val="24"/>
        </w:rPr>
        <w:t>Areas</w:t>
      </w:r>
      <w:r>
        <w:rPr>
          <w:spacing w:val="-1"/>
          <w:sz w:val="24"/>
        </w:rPr>
        <w:t> </w:t>
      </w:r>
      <w:r>
        <w:rPr>
          <w:sz w:val="24"/>
        </w:rPr>
        <w:t>where</w:t>
      </w:r>
      <w:r>
        <w:rPr>
          <w:spacing w:val="-1"/>
          <w:sz w:val="24"/>
        </w:rPr>
        <w:t> </w:t>
      </w:r>
      <w:r>
        <w:rPr>
          <w:sz w:val="24"/>
        </w:rPr>
        <w:t>the Zonal</w:t>
      </w:r>
      <w:r>
        <w:rPr>
          <w:spacing w:val="-1"/>
          <w:sz w:val="24"/>
        </w:rPr>
        <w:t> </w:t>
      </w:r>
      <w:r>
        <w:rPr>
          <w:sz w:val="24"/>
        </w:rPr>
        <w:t>(basic)</w:t>
      </w:r>
      <w:r>
        <w:rPr>
          <w:spacing w:val="-2"/>
          <w:sz w:val="24"/>
        </w:rPr>
        <w:t> </w:t>
      </w:r>
      <w:r>
        <w:rPr>
          <w:sz w:val="24"/>
        </w:rPr>
        <w:t>FSI</w:t>
      </w:r>
      <w:r>
        <w:rPr>
          <w:spacing w:val="2"/>
          <w:sz w:val="24"/>
        </w:rPr>
        <w:t> </w:t>
      </w:r>
      <w:r>
        <w:rPr>
          <w:sz w:val="24"/>
        </w:rPr>
        <w:t>is</w:t>
      </w:r>
      <w:r>
        <w:rPr>
          <w:spacing w:val="-1"/>
          <w:sz w:val="24"/>
        </w:rPr>
        <w:t> </w:t>
      </w:r>
      <w:r>
        <w:rPr>
          <w:sz w:val="24"/>
        </w:rPr>
        <w:t>less</w:t>
      </w:r>
      <w:r>
        <w:rPr>
          <w:spacing w:val="-1"/>
          <w:sz w:val="24"/>
        </w:rPr>
        <w:t> </w:t>
      </w:r>
      <w:r>
        <w:rPr>
          <w:sz w:val="24"/>
        </w:rPr>
        <w:t>than </w:t>
      </w:r>
      <w:r>
        <w:rPr>
          <w:spacing w:val="-4"/>
          <w:sz w:val="24"/>
        </w:rPr>
        <w:t>1.0.</w:t>
      </w:r>
    </w:p>
    <w:p>
      <w:pPr>
        <w:pStyle w:val="ListParagraph"/>
        <w:numPr>
          <w:ilvl w:val="3"/>
          <w:numId w:val="126"/>
        </w:numPr>
        <w:tabs>
          <w:tab w:pos="1502" w:val="left" w:leader="none"/>
          <w:tab w:pos="1507" w:val="left" w:leader="none"/>
        </w:tabs>
        <w:spacing w:line="240" w:lineRule="auto" w:before="0" w:after="0"/>
        <w:ind w:left="1502" w:right="971" w:hanging="360"/>
        <w:jc w:val="both"/>
        <w:rPr>
          <w:sz w:val="24"/>
        </w:rPr>
      </w:pPr>
      <w:r>
        <w:rPr>
          <w:sz w:val="24"/>
        </w:rPr>
        <w:t>Coastal</w:t>
      </w:r>
      <w:r>
        <w:rPr>
          <w:spacing w:val="-2"/>
          <w:sz w:val="24"/>
        </w:rPr>
        <w:t> </w:t>
      </w:r>
      <w:r>
        <w:rPr>
          <w:sz w:val="24"/>
        </w:rPr>
        <w:t>regulation</w:t>
      </w:r>
      <w:r>
        <w:rPr>
          <w:spacing w:val="-5"/>
          <w:sz w:val="24"/>
        </w:rPr>
        <w:t> </w:t>
      </w:r>
      <w:r>
        <w:rPr>
          <w:sz w:val="24"/>
        </w:rPr>
        <w:t>zone,</w:t>
      </w:r>
      <w:r>
        <w:rPr>
          <w:spacing w:val="-6"/>
          <w:sz w:val="24"/>
        </w:rPr>
        <w:t> </w:t>
      </w:r>
      <w:r>
        <w:rPr>
          <w:sz w:val="24"/>
        </w:rPr>
        <w:t>except</w:t>
      </w:r>
      <w:r>
        <w:rPr>
          <w:spacing w:val="-6"/>
          <w:sz w:val="24"/>
        </w:rPr>
        <w:t> </w:t>
      </w:r>
      <w:r>
        <w:rPr>
          <w:sz w:val="24"/>
        </w:rPr>
        <w:t>in</w:t>
      </w:r>
      <w:r>
        <w:rPr>
          <w:spacing w:val="40"/>
          <w:sz w:val="24"/>
        </w:rPr>
        <w:t> </w:t>
      </w:r>
      <w:r>
        <w:rPr>
          <w:sz w:val="24"/>
        </w:rPr>
        <w:t>cases</w:t>
      </w:r>
      <w:r>
        <w:rPr>
          <w:spacing w:val="-6"/>
          <w:sz w:val="24"/>
        </w:rPr>
        <w:t> </w:t>
      </w:r>
      <w:r>
        <w:rPr>
          <w:sz w:val="24"/>
        </w:rPr>
        <w:t>where</w:t>
      </w:r>
      <w:r>
        <w:rPr>
          <w:spacing w:val="-6"/>
          <w:sz w:val="24"/>
        </w:rPr>
        <w:t> </w:t>
      </w:r>
      <w:r>
        <w:rPr>
          <w:sz w:val="24"/>
        </w:rPr>
        <w:t>it</w:t>
      </w:r>
      <w:r>
        <w:rPr>
          <w:spacing w:val="-6"/>
          <w:sz w:val="24"/>
        </w:rPr>
        <w:t> </w:t>
      </w:r>
      <w:r>
        <w:rPr>
          <w:sz w:val="24"/>
        </w:rPr>
        <w:t>is</w:t>
      </w:r>
      <w:r>
        <w:rPr>
          <w:spacing w:val="-6"/>
          <w:sz w:val="24"/>
        </w:rPr>
        <w:t> </w:t>
      </w:r>
      <w:r>
        <w:rPr>
          <w:sz w:val="24"/>
        </w:rPr>
        <w:t>permissible</w:t>
      </w:r>
      <w:r>
        <w:rPr>
          <w:spacing w:val="-6"/>
          <w:sz w:val="24"/>
        </w:rPr>
        <w:t> </w:t>
      </w:r>
      <w:r>
        <w:rPr>
          <w:sz w:val="24"/>
        </w:rPr>
        <w:t>to</w:t>
      </w:r>
      <w:r>
        <w:rPr>
          <w:spacing w:val="-6"/>
          <w:sz w:val="24"/>
        </w:rPr>
        <w:t> </w:t>
      </w:r>
      <w:r>
        <w:rPr>
          <w:sz w:val="24"/>
        </w:rPr>
        <w:t>Utilised TDR as per CRZ Notification 2011 and subsequent amendment from time to time’.</w:t>
      </w:r>
    </w:p>
    <w:p>
      <w:pPr>
        <w:pStyle w:val="ListParagraph"/>
        <w:numPr>
          <w:ilvl w:val="0"/>
          <w:numId w:val="108"/>
        </w:numPr>
        <w:tabs>
          <w:tab w:pos="1502" w:val="left" w:leader="none"/>
          <w:tab w:pos="1602" w:val="left" w:leader="none"/>
        </w:tabs>
        <w:spacing w:line="240" w:lineRule="auto" w:before="0" w:after="0"/>
        <w:ind w:left="1502" w:right="974" w:hanging="360"/>
        <w:jc w:val="both"/>
        <w:rPr>
          <w:sz w:val="24"/>
        </w:rPr>
      </w:pPr>
      <w:r>
        <w:rPr>
          <w:sz w:val="24"/>
        </w:rPr>
        <w:tab/>
        <w:t>Area having developmental prohibition or restrictions imposed by any notification</w:t>
      </w:r>
      <w:r>
        <w:rPr>
          <w:spacing w:val="-15"/>
          <w:sz w:val="24"/>
        </w:rPr>
        <w:t> </w:t>
      </w:r>
      <w:r>
        <w:rPr>
          <w:sz w:val="24"/>
        </w:rPr>
        <w:t>issued</w:t>
      </w:r>
      <w:r>
        <w:rPr>
          <w:spacing w:val="40"/>
          <w:sz w:val="24"/>
        </w:rPr>
        <w:t> </w:t>
      </w:r>
      <w:r>
        <w:rPr>
          <w:sz w:val="24"/>
        </w:rPr>
        <w:t>under</w:t>
      </w:r>
      <w:r>
        <w:rPr>
          <w:spacing w:val="-15"/>
          <w:sz w:val="24"/>
        </w:rPr>
        <w:t> </w:t>
      </w:r>
      <w:r>
        <w:rPr>
          <w:sz w:val="24"/>
        </w:rPr>
        <w:t>the</w:t>
      </w:r>
      <w:r>
        <w:rPr>
          <w:spacing w:val="-15"/>
          <w:sz w:val="24"/>
        </w:rPr>
        <w:t> </w:t>
      </w:r>
      <w:r>
        <w:rPr>
          <w:sz w:val="24"/>
        </w:rPr>
        <w:t>provisions</w:t>
      </w:r>
      <w:r>
        <w:rPr>
          <w:spacing w:val="-15"/>
          <w:sz w:val="24"/>
        </w:rPr>
        <w:t> </w:t>
      </w:r>
      <w:r>
        <w:rPr>
          <w:sz w:val="24"/>
        </w:rPr>
        <w:t>of</w:t>
      </w:r>
      <w:r>
        <w:rPr>
          <w:spacing w:val="-15"/>
          <w:sz w:val="24"/>
        </w:rPr>
        <w:t> </w:t>
      </w:r>
      <w:r>
        <w:rPr>
          <w:sz w:val="24"/>
        </w:rPr>
        <w:t>any</w:t>
      </w:r>
      <w:r>
        <w:rPr>
          <w:spacing w:val="-15"/>
          <w:sz w:val="24"/>
        </w:rPr>
        <w:t> </w:t>
      </w:r>
      <w:r>
        <w:rPr>
          <w:sz w:val="24"/>
        </w:rPr>
        <w:t>Central/State</w:t>
      </w:r>
      <w:r>
        <w:rPr>
          <w:spacing w:val="-13"/>
          <w:sz w:val="24"/>
        </w:rPr>
        <w:t> </w:t>
      </w:r>
      <w:r>
        <w:rPr>
          <w:sz w:val="24"/>
        </w:rPr>
        <w:t>Act</w:t>
      </w:r>
      <w:r>
        <w:rPr>
          <w:spacing w:val="-15"/>
          <w:sz w:val="24"/>
        </w:rPr>
        <w:t> </w:t>
      </w:r>
      <w:r>
        <w:rPr>
          <w:sz w:val="24"/>
        </w:rPr>
        <w:t>(like</w:t>
      </w:r>
      <w:r>
        <w:rPr>
          <w:spacing w:val="-15"/>
          <w:sz w:val="24"/>
        </w:rPr>
        <w:t> </w:t>
      </w:r>
      <w:r>
        <w:rPr>
          <w:sz w:val="24"/>
        </w:rPr>
        <w:t>CRZ regulations, Defense restriction</w:t>
      </w:r>
      <w:r>
        <w:rPr>
          <w:spacing w:val="40"/>
          <w:sz w:val="24"/>
        </w:rPr>
        <w:t> </w:t>
      </w:r>
      <w:r>
        <w:rPr>
          <w:sz w:val="24"/>
        </w:rPr>
        <w:t>areas, etc.) or under these regulations.</w:t>
      </w:r>
    </w:p>
    <w:p>
      <w:pPr>
        <w:pStyle w:val="BodyText"/>
        <w:spacing w:before="1"/>
        <w:jc w:val="left"/>
      </w:pPr>
    </w:p>
    <w:p>
      <w:pPr>
        <w:pStyle w:val="Heading4"/>
        <w:numPr>
          <w:ilvl w:val="1"/>
          <w:numId w:val="127"/>
        </w:numPr>
        <w:tabs>
          <w:tab w:pos="1521" w:val="left" w:leader="none"/>
        </w:tabs>
        <w:spacing w:line="240" w:lineRule="auto" w:before="0" w:after="0"/>
        <w:ind w:left="1521" w:right="0" w:hanging="559"/>
        <w:jc w:val="both"/>
      </w:pPr>
      <w:r>
        <w:rPr/>
        <w:t>GENERAL</w:t>
      </w:r>
      <w:r>
        <w:rPr>
          <w:spacing w:val="-6"/>
        </w:rPr>
        <w:t> </w:t>
      </w:r>
      <w:r>
        <w:rPr>
          <w:spacing w:val="-2"/>
        </w:rPr>
        <w:t>STIPULATION:-</w:t>
      </w:r>
    </w:p>
    <w:p>
      <w:pPr>
        <w:pStyle w:val="BodyText"/>
        <w:spacing w:before="1"/>
        <w:jc w:val="left"/>
        <w:rPr>
          <w:b/>
        </w:rPr>
      </w:pPr>
    </w:p>
    <w:p>
      <w:pPr>
        <w:pStyle w:val="ListParagraph"/>
        <w:numPr>
          <w:ilvl w:val="1"/>
          <w:numId w:val="127"/>
        </w:numPr>
        <w:tabs>
          <w:tab w:pos="1459" w:val="left" w:leader="none"/>
        </w:tabs>
        <w:spacing w:line="240" w:lineRule="auto" w:before="0" w:after="0"/>
        <w:ind w:left="962" w:right="977" w:firstLine="0"/>
        <w:jc w:val="both"/>
        <w:rPr>
          <w:sz w:val="24"/>
        </w:rPr>
      </w:pPr>
      <w:r>
        <w:rPr>
          <w:sz w:val="24"/>
        </w:rPr>
        <w:t>Development Rights (DRs) will be granted to an owner or lessee, only for reserved</w:t>
      </w:r>
      <w:r>
        <w:rPr>
          <w:spacing w:val="40"/>
          <w:sz w:val="24"/>
        </w:rPr>
        <w:t> </w:t>
      </w:r>
      <w:r>
        <w:rPr>
          <w:sz w:val="24"/>
        </w:rPr>
        <w:t>lands</w:t>
      </w:r>
      <w:r>
        <w:rPr>
          <w:spacing w:val="40"/>
          <w:sz w:val="24"/>
        </w:rPr>
        <w:t> </w:t>
      </w:r>
      <w:r>
        <w:rPr>
          <w:sz w:val="24"/>
        </w:rPr>
        <w:t>which</w:t>
      </w:r>
      <w:r>
        <w:rPr>
          <w:spacing w:val="40"/>
          <w:sz w:val="24"/>
        </w:rPr>
        <w:t> </w:t>
      </w:r>
      <w:r>
        <w:rPr>
          <w:sz w:val="24"/>
        </w:rPr>
        <w:t>are</w:t>
      </w:r>
      <w:r>
        <w:rPr>
          <w:spacing w:val="40"/>
          <w:sz w:val="24"/>
        </w:rPr>
        <w:t> </w:t>
      </w:r>
      <w:r>
        <w:rPr>
          <w:sz w:val="24"/>
        </w:rPr>
        <w:t>retainable</w:t>
      </w:r>
      <w:r>
        <w:rPr>
          <w:spacing w:val="40"/>
          <w:sz w:val="24"/>
        </w:rPr>
        <w:t> </w:t>
      </w:r>
      <w:r>
        <w:rPr>
          <w:sz w:val="24"/>
        </w:rPr>
        <w:t>and</w:t>
      </w:r>
      <w:r>
        <w:rPr>
          <w:spacing w:val="40"/>
          <w:sz w:val="24"/>
        </w:rPr>
        <w:t> </w:t>
      </w:r>
      <w:r>
        <w:rPr>
          <w:sz w:val="24"/>
        </w:rPr>
        <w:t>not</w:t>
      </w:r>
      <w:r>
        <w:rPr>
          <w:spacing w:val="40"/>
          <w:sz w:val="24"/>
        </w:rPr>
        <w:t> </w:t>
      </w:r>
      <w:r>
        <w:rPr>
          <w:sz w:val="24"/>
        </w:rPr>
        <w:t>vested</w:t>
      </w:r>
      <w:r>
        <w:rPr>
          <w:spacing w:val="40"/>
          <w:sz w:val="24"/>
        </w:rPr>
        <w:t> </w:t>
      </w:r>
      <w:r>
        <w:rPr>
          <w:sz w:val="24"/>
        </w:rPr>
        <w:t>or</w:t>
      </w:r>
      <w:r>
        <w:rPr>
          <w:spacing w:val="40"/>
          <w:sz w:val="24"/>
        </w:rPr>
        <w:t> </w:t>
      </w:r>
      <w:r>
        <w:rPr>
          <w:sz w:val="24"/>
        </w:rPr>
        <w:t>handed</w:t>
      </w:r>
      <w:r>
        <w:rPr>
          <w:spacing w:val="40"/>
          <w:sz w:val="24"/>
        </w:rPr>
        <w:t> </w:t>
      </w:r>
      <w:r>
        <w:rPr>
          <w:sz w:val="24"/>
        </w:rPr>
        <w:t>over</w:t>
      </w:r>
      <w:r>
        <w:rPr>
          <w:spacing w:val="40"/>
          <w:sz w:val="24"/>
        </w:rPr>
        <w:t> </w:t>
      </w:r>
      <w:r>
        <w:rPr>
          <w:sz w:val="24"/>
        </w:rPr>
        <w:t>to</w:t>
      </w:r>
      <w:r>
        <w:rPr>
          <w:spacing w:val="40"/>
          <w:sz w:val="24"/>
        </w:rPr>
        <w:t> </w:t>
      </w:r>
      <w:r>
        <w:rPr>
          <w:sz w:val="24"/>
        </w:rPr>
        <w:t>the</w:t>
      </w:r>
    </w:p>
    <w:p>
      <w:pPr>
        <w:pStyle w:val="ListParagraph"/>
        <w:spacing w:after="0" w:line="240" w:lineRule="auto"/>
        <w:jc w:val="both"/>
        <w:rPr>
          <w:sz w:val="24"/>
        </w:rPr>
        <w:sectPr>
          <w:pgSz w:w="11910" w:h="16840"/>
          <w:pgMar w:header="1065" w:footer="1237" w:top="1500" w:bottom="1420" w:left="360" w:right="360"/>
        </w:sectPr>
      </w:pPr>
    </w:p>
    <w:p>
      <w:pPr>
        <w:pStyle w:val="BodyText"/>
        <w:spacing w:before="249"/>
        <w:ind w:left="962" w:right="973"/>
      </w:pPr>
      <w:r>
        <w:rPr/>
        <w:t>Government /Urban Local Bodies and not exempted under section 20 or 21 of the then Urban Land (Ceiling and Regulations) Act, 1976 and undertaking to that</w:t>
      </w:r>
      <w:r>
        <w:rPr>
          <w:spacing w:val="-9"/>
        </w:rPr>
        <w:t> </w:t>
      </w:r>
      <w:r>
        <w:rPr/>
        <w:t>effect</w:t>
      </w:r>
      <w:r>
        <w:rPr>
          <w:spacing w:val="-9"/>
        </w:rPr>
        <w:t> </w:t>
      </w:r>
      <w:r>
        <w:rPr/>
        <w:t>shall</w:t>
      </w:r>
      <w:r>
        <w:rPr>
          <w:spacing w:val="-9"/>
        </w:rPr>
        <w:t> </w:t>
      </w:r>
      <w:r>
        <w:rPr/>
        <w:t>be</w:t>
      </w:r>
      <w:r>
        <w:rPr>
          <w:spacing w:val="-9"/>
        </w:rPr>
        <w:t> </w:t>
      </w:r>
      <w:r>
        <w:rPr/>
        <w:t>obtained,</w:t>
      </w:r>
      <w:r>
        <w:rPr>
          <w:spacing w:val="-9"/>
        </w:rPr>
        <w:t> </w:t>
      </w:r>
      <w:r>
        <w:rPr/>
        <w:t>before</w:t>
      </w:r>
      <w:r>
        <w:rPr>
          <w:spacing w:val="-9"/>
        </w:rPr>
        <w:t> </w:t>
      </w:r>
      <w:r>
        <w:rPr/>
        <w:t>a</w:t>
      </w:r>
      <w:r>
        <w:rPr>
          <w:spacing w:val="-9"/>
        </w:rPr>
        <w:t> </w:t>
      </w:r>
      <w:r>
        <w:rPr/>
        <w:t>Development</w:t>
      </w:r>
      <w:r>
        <w:rPr>
          <w:spacing w:val="-9"/>
        </w:rPr>
        <w:t> </w:t>
      </w:r>
      <w:r>
        <w:rPr/>
        <w:t>Right</w:t>
      </w:r>
      <w:r>
        <w:rPr>
          <w:spacing w:val="-9"/>
        </w:rPr>
        <w:t> </w:t>
      </w:r>
      <w:r>
        <w:rPr/>
        <w:t>is</w:t>
      </w:r>
      <w:r>
        <w:rPr>
          <w:spacing w:val="-9"/>
        </w:rPr>
        <w:t> </w:t>
      </w:r>
      <w:r>
        <w:rPr/>
        <w:t>granted.</w:t>
      </w:r>
      <w:r>
        <w:rPr>
          <w:spacing w:val="-9"/>
        </w:rPr>
        <w:t> </w:t>
      </w:r>
      <w:r>
        <w:rPr/>
        <w:t>In</w:t>
      </w:r>
      <w:r>
        <w:rPr>
          <w:spacing w:val="-9"/>
        </w:rPr>
        <w:t> </w:t>
      </w:r>
      <w:r>
        <w:rPr/>
        <w:t>the</w:t>
      </w:r>
      <w:r>
        <w:rPr>
          <w:spacing w:val="-9"/>
        </w:rPr>
        <w:t> </w:t>
      </w:r>
      <w:r>
        <w:rPr/>
        <w:t>case of schemes sanctioned under section 20 or 21 of the said Act, the grant of Development</w:t>
      </w:r>
      <w:r>
        <w:rPr>
          <w:spacing w:val="-8"/>
        </w:rPr>
        <w:t> </w:t>
      </w:r>
      <w:r>
        <w:rPr/>
        <w:t>Rights</w:t>
      </w:r>
      <w:r>
        <w:rPr>
          <w:spacing w:val="-8"/>
        </w:rPr>
        <w:t> </w:t>
      </w:r>
      <w:r>
        <w:rPr/>
        <w:t>(DRs)</w:t>
      </w:r>
      <w:r>
        <w:rPr>
          <w:spacing w:val="-8"/>
        </w:rPr>
        <w:t> </w:t>
      </w:r>
      <w:r>
        <w:rPr/>
        <w:t>shall</w:t>
      </w:r>
      <w:r>
        <w:rPr>
          <w:spacing w:val="-8"/>
        </w:rPr>
        <w:t> </w:t>
      </w:r>
      <w:r>
        <w:rPr/>
        <w:t>be</w:t>
      </w:r>
      <w:r>
        <w:rPr>
          <w:spacing w:val="-8"/>
        </w:rPr>
        <w:t> </w:t>
      </w:r>
      <w:r>
        <w:rPr/>
        <w:t>to</w:t>
      </w:r>
      <w:r>
        <w:rPr>
          <w:spacing w:val="-8"/>
        </w:rPr>
        <w:t> </w:t>
      </w:r>
      <w:r>
        <w:rPr/>
        <w:t>such</w:t>
      </w:r>
      <w:r>
        <w:rPr>
          <w:spacing w:val="-8"/>
        </w:rPr>
        <w:t> </w:t>
      </w:r>
      <w:r>
        <w:rPr/>
        <w:t>extent</w:t>
      </w:r>
      <w:r>
        <w:rPr>
          <w:spacing w:val="-8"/>
        </w:rPr>
        <w:t> </w:t>
      </w:r>
      <w:r>
        <w:rPr/>
        <w:t>and</w:t>
      </w:r>
      <w:r>
        <w:rPr>
          <w:spacing w:val="-8"/>
        </w:rPr>
        <w:t> </w:t>
      </w:r>
      <w:r>
        <w:rPr/>
        <w:t>subject</w:t>
      </w:r>
      <w:r>
        <w:rPr>
          <w:spacing w:val="-8"/>
        </w:rPr>
        <w:t> </w:t>
      </w:r>
      <w:r>
        <w:rPr/>
        <w:t>to</w:t>
      </w:r>
      <w:r>
        <w:rPr>
          <w:spacing w:val="-8"/>
        </w:rPr>
        <w:t> </w:t>
      </w:r>
      <w:r>
        <w:rPr/>
        <w:t>the</w:t>
      </w:r>
      <w:r>
        <w:rPr>
          <w:spacing w:val="-8"/>
        </w:rPr>
        <w:t> </w:t>
      </w:r>
      <w:r>
        <w:rPr/>
        <w:t>conditions mentioned in section-20 scheme and such conditions as the Government may prescribed. In case of non-retainable land, the grant of Development Rights shall</w:t>
      </w:r>
      <w:r>
        <w:rPr>
          <w:spacing w:val="-3"/>
        </w:rPr>
        <w:t> </w:t>
      </w:r>
      <w:r>
        <w:rPr/>
        <w:t>be</w:t>
      </w:r>
      <w:r>
        <w:rPr>
          <w:spacing w:val="-3"/>
        </w:rPr>
        <w:t> </w:t>
      </w:r>
      <w:r>
        <w:rPr/>
        <w:t>to</w:t>
      </w:r>
      <w:r>
        <w:rPr>
          <w:spacing w:val="-3"/>
        </w:rPr>
        <w:t> </w:t>
      </w:r>
      <w:r>
        <w:rPr/>
        <w:t>such</w:t>
      </w:r>
      <w:r>
        <w:rPr>
          <w:spacing w:val="-3"/>
        </w:rPr>
        <w:t> </w:t>
      </w:r>
      <w:r>
        <w:rPr/>
        <w:t>extent</w:t>
      </w:r>
      <w:r>
        <w:rPr>
          <w:spacing w:val="-3"/>
        </w:rPr>
        <w:t> </w:t>
      </w:r>
      <w:r>
        <w:rPr/>
        <w:t>and</w:t>
      </w:r>
      <w:r>
        <w:rPr>
          <w:spacing w:val="-3"/>
        </w:rPr>
        <w:t> </w:t>
      </w:r>
      <w:r>
        <w:rPr/>
        <w:t>subject</w:t>
      </w:r>
      <w:r>
        <w:rPr>
          <w:spacing w:val="-3"/>
        </w:rPr>
        <w:t> </w:t>
      </w:r>
      <w:r>
        <w:rPr/>
        <w:t>to</w:t>
      </w:r>
      <w:r>
        <w:rPr>
          <w:spacing w:val="-3"/>
        </w:rPr>
        <w:t> </w:t>
      </w:r>
      <w:r>
        <w:rPr/>
        <w:t>such</w:t>
      </w:r>
      <w:r>
        <w:rPr>
          <w:spacing w:val="-3"/>
        </w:rPr>
        <w:t> </w:t>
      </w:r>
      <w:r>
        <w:rPr/>
        <w:t>conditions</w:t>
      </w:r>
      <w:r>
        <w:rPr>
          <w:spacing w:val="-3"/>
        </w:rPr>
        <w:t> </w:t>
      </w:r>
      <w:r>
        <w:rPr/>
        <w:t>as</w:t>
      </w:r>
      <w:r>
        <w:rPr>
          <w:spacing w:val="-3"/>
        </w:rPr>
        <w:t> </w:t>
      </w:r>
      <w:r>
        <w:rPr/>
        <w:t>the</w:t>
      </w:r>
      <w:r>
        <w:rPr>
          <w:spacing w:val="-3"/>
        </w:rPr>
        <w:t> </w:t>
      </w:r>
      <w:r>
        <w:rPr/>
        <w:t>Government</w:t>
      </w:r>
      <w:r>
        <w:rPr>
          <w:spacing w:val="-3"/>
        </w:rPr>
        <w:t> </w:t>
      </w:r>
      <w:r>
        <w:rPr/>
        <w:t>may specify. The provisions of this Regulation shall be subject to the orders issued by the Government from time to time in this regard.</w:t>
      </w:r>
    </w:p>
    <w:p>
      <w:pPr>
        <w:pStyle w:val="BodyText"/>
        <w:spacing w:before="2"/>
        <w:jc w:val="left"/>
      </w:pPr>
    </w:p>
    <w:p>
      <w:pPr>
        <w:pStyle w:val="BodyText"/>
        <w:ind w:left="962" w:right="971" w:firstLine="844"/>
      </w:pPr>
      <w:r>
        <w:rPr/>
        <w:t>Provided that, in case of lands having tenure other than Class-I, like Inam</w:t>
      </w:r>
      <w:r>
        <w:rPr>
          <w:spacing w:val="37"/>
        </w:rPr>
        <w:t> </w:t>
      </w:r>
      <w:r>
        <w:rPr/>
        <w:t>lands,</w:t>
      </w:r>
      <w:r>
        <w:rPr>
          <w:spacing w:val="37"/>
        </w:rPr>
        <w:t> </w:t>
      </w:r>
      <w:r>
        <w:rPr/>
        <w:t>tribal</w:t>
      </w:r>
      <w:r>
        <w:rPr>
          <w:spacing w:val="38"/>
        </w:rPr>
        <w:t> </w:t>
      </w:r>
      <w:r>
        <w:rPr/>
        <w:t>lands</w:t>
      </w:r>
      <w:r>
        <w:rPr>
          <w:spacing w:val="38"/>
        </w:rPr>
        <w:t> </w:t>
      </w:r>
      <w:r>
        <w:rPr/>
        <w:t>etc.,</w:t>
      </w:r>
      <w:r>
        <w:rPr>
          <w:spacing w:val="38"/>
        </w:rPr>
        <w:t> </w:t>
      </w:r>
      <w:r>
        <w:rPr/>
        <w:t>N.O.C.</w:t>
      </w:r>
      <w:r>
        <w:rPr>
          <w:spacing w:val="38"/>
        </w:rPr>
        <w:t> </w:t>
      </w:r>
      <w:r>
        <w:rPr/>
        <w:t>from</w:t>
      </w:r>
      <w:r>
        <w:rPr>
          <w:spacing w:val="38"/>
        </w:rPr>
        <w:t> </w:t>
      </w:r>
      <w:r>
        <w:rPr/>
        <w:t>Competent</w:t>
      </w:r>
      <w:r>
        <w:rPr>
          <w:spacing w:val="41"/>
        </w:rPr>
        <w:t> </w:t>
      </w:r>
      <w:r>
        <w:rPr/>
        <w:t>Authority,</w:t>
      </w:r>
      <w:r>
        <w:rPr>
          <w:spacing w:val="38"/>
        </w:rPr>
        <w:t> </w:t>
      </w:r>
      <w:r>
        <w:rPr>
          <w:spacing w:val="-2"/>
        </w:rPr>
        <w:t>mentioning</w:t>
      </w:r>
    </w:p>
    <w:p>
      <w:pPr>
        <w:pStyle w:val="BodyText"/>
        <w:ind w:left="962" w:right="978"/>
      </w:pPr>
      <w:r>
        <w:rPr/>
        <w:t>i)share of Government and land</w:t>
      </w:r>
      <w:r>
        <w:rPr>
          <w:spacing w:val="40"/>
        </w:rPr>
        <w:t> </w:t>
      </w:r>
      <w:r>
        <w:rPr/>
        <w:t>holder ii)transfer of such land in the name of Planning / Appropriate Authority,</w:t>
      </w:r>
      <w:r>
        <w:rPr>
          <w:spacing w:val="40"/>
        </w:rPr>
        <w:t> </w:t>
      </w:r>
      <w:r>
        <w:rPr/>
        <w:t>shall be produced by the land holder at the time of submission of application for grant of</w:t>
      </w:r>
      <w:r>
        <w:rPr>
          <w:spacing w:val="40"/>
        </w:rPr>
        <w:t> </w:t>
      </w:r>
      <w:r>
        <w:rPr/>
        <w:t>TDR.</w:t>
      </w:r>
    </w:p>
    <w:p>
      <w:pPr>
        <w:pStyle w:val="BodyText"/>
        <w:jc w:val="left"/>
      </w:pPr>
    </w:p>
    <w:p>
      <w:pPr>
        <w:pStyle w:val="ListParagraph"/>
        <w:numPr>
          <w:ilvl w:val="1"/>
          <w:numId w:val="127"/>
        </w:numPr>
        <w:tabs>
          <w:tab w:pos="1425" w:val="left" w:leader="none"/>
        </w:tabs>
        <w:spacing w:line="240" w:lineRule="auto" w:before="0" w:after="0"/>
        <w:ind w:left="962" w:right="971" w:firstLine="0"/>
        <w:jc w:val="both"/>
        <w:rPr>
          <w:sz w:val="24"/>
        </w:rPr>
      </w:pPr>
      <w:r>
        <w:rPr>
          <w:sz w:val="24"/>
        </w:rPr>
        <w:t>DRC</w:t>
      </w:r>
      <w:r>
        <w:rPr>
          <w:spacing w:val="-13"/>
          <w:sz w:val="24"/>
        </w:rPr>
        <w:t> </w:t>
      </w:r>
      <w:r>
        <w:rPr>
          <w:sz w:val="24"/>
        </w:rPr>
        <w:t>shall</w:t>
      </w:r>
      <w:r>
        <w:rPr>
          <w:spacing w:val="-13"/>
          <w:sz w:val="24"/>
        </w:rPr>
        <w:t> </w:t>
      </w:r>
      <w:r>
        <w:rPr>
          <w:sz w:val="24"/>
        </w:rPr>
        <w:t>be</w:t>
      </w:r>
      <w:r>
        <w:rPr>
          <w:spacing w:val="-13"/>
          <w:sz w:val="24"/>
        </w:rPr>
        <w:t> </w:t>
      </w:r>
      <w:r>
        <w:rPr>
          <w:sz w:val="24"/>
        </w:rPr>
        <w:t>issued</w:t>
      </w:r>
      <w:r>
        <w:rPr>
          <w:spacing w:val="-13"/>
          <w:sz w:val="24"/>
        </w:rPr>
        <w:t> </w:t>
      </w:r>
      <w:r>
        <w:rPr>
          <w:sz w:val="24"/>
        </w:rPr>
        <w:t>by</w:t>
      </w:r>
      <w:r>
        <w:rPr>
          <w:spacing w:val="-13"/>
          <w:sz w:val="24"/>
        </w:rPr>
        <w:t> </w:t>
      </w:r>
      <w:r>
        <w:rPr>
          <w:sz w:val="24"/>
        </w:rPr>
        <w:t>the</w:t>
      </w:r>
      <w:r>
        <w:rPr>
          <w:spacing w:val="-13"/>
          <w:sz w:val="24"/>
        </w:rPr>
        <w:t> </w:t>
      </w:r>
      <w:r>
        <w:rPr>
          <w:sz w:val="24"/>
        </w:rPr>
        <w:t>Municipal</w:t>
      </w:r>
      <w:r>
        <w:rPr>
          <w:spacing w:val="-13"/>
          <w:sz w:val="24"/>
        </w:rPr>
        <w:t> </w:t>
      </w:r>
      <w:r>
        <w:rPr>
          <w:sz w:val="24"/>
        </w:rPr>
        <w:t>Commissioner</w:t>
      </w:r>
      <w:r>
        <w:rPr>
          <w:spacing w:val="-13"/>
          <w:sz w:val="24"/>
        </w:rPr>
        <w:t> </w:t>
      </w:r>
      <w:r>
        <w:rPr>
          <w:sz w:val="24"/>
        </w:rPr>
        <w:t>as</w:t>
      </w:r>
      <w:r>
        <w:rPr>
          <w:spacing w:val="-13"/>
          <w:sz w:val="24"/>
        </w:rPr>
        <w:t> </w:t>
      </w:r>
      <w:r>
        <w:rPr>
          <w:sz w:val="24"/>
        </w:rPr>
        <w:t>a</w:t>
      </w:r>
      <w:r>
        <w:rPr>
          <w:spacing w:val="-13"/>
          <w:sz w:val="24"/>
        </w:rPr>
        <w:t> </w:t>
      </w:r>
      <w:r>
        <w:rPr>
          <w:sz w:val="24"/>
        </w:rPr>
        <w:t>certificate</w:t>
      </w:r>
      <w:r>
        <w:rPr>
          <w:spacing w:val="-13"/>
          <w:sz w:val="24"/>
        </w:rPr>
        <w:t> </w:t>
      </w:r>
      <w:r>
        <w:rPr>
          <w:sz w:val="24"/>
        </w:rPr>
        <w:t>printed on bond paper in an appropriate form prescribed by him. Such a certificate shall</w:t>
      </w:r>
      <w:r>
        <w:rPr>
          <w:spacing w:val="-1"/>
          <w:sz w:val="24"/>
        </w:rPr>
        <w:t> </w:t>
      </w:r>
      <w:r>
        <w:rPr>
          <w:sz w:val="24"/>
        </w:rPr>
        <w:t>be</w:t>
      </w:r>
      <w:r>
        <w:rPr>
          <w:spacing w:val="-1"/>
          <w:sz w:val="24"/>
        </w:rPr>
        <w:t> </w:t>
      </w:r>
      <w:r>
        <w:rPr>
          <w:sz w:val="24"/>
        </w:rPr>
        <w:t>a</w:t>
      </w:r>
      <w:r>
        <w:rPr>
          <w:spacing w:val="-1"/>
          <w:sz w:val="24"/>
        </w:rPr>
        <w:t> </w:t>
      </w:r>
      <w:r>
        <w:rPr>
          <w:sz w:val="24"/>
        </w:rPr>
        <w:t>“transferable</w:t>
      </w:r>
      <w:r>
        <w:rPr>
          <w:spacing w:val="-1"/>
          <w:sz w:val="24"/>
        </w:rPr>
        <w:t> </w:t>
      </w:r>
      <w:r>
        <w:rPr>
          <w:sz w:val="24"/>
        </w:rPr>
        <w:t>and</w:t>
      </w:r>
      <w:r>
        <w:rPr>
          <w:spacing w:val="-1"/>
          <w:sz w:val="24"/>
        </w:rPr>
        <w:t> </w:t>
      </w:r>
      <w:r>
        <w:rPr>
          <w:sz w:val="24"/>
        </w:rPr>
        <w:t>negotiable</w:t>
      </w:r>
      <w:r>
        <w:rPr>
          <w:spacing w:val="-1"/>
          <w:sz w:val="24"/>
        </w:rPr>
        <w:t> </w:t>
      </w:r>
      <w:r>
        <w:rPr>
          <w:sz w:val="24"/>
        </w:rPr>
        <w:t>instrument”</w:t>
      </w:r>
      <w:r>
        <w:rPr>
          <w:spacing w:val="-1"/>
          <w:sz w:val="24"/>
        </w:rPr>
        <w:t> </w:t>
      </w:r>
      <w:r>
        <w:rPr>
          <w:sz w:val="24"/>
        </w:rPr>
        <w:t>after</w:t>
      </w:r>
      <w:r>
        <w:rPr>
          <w:spacing w:val="-1"/>
          <w:sz w:val="24"/>
        </w:rPr>
        <w:t> </w:t>
      </w:r>
      <w:r>
        <w:rPr>
          <w:sz w:val="24"/>
        </w:rPr>
        <w:t>the authentication</w:t>
      </w:r>
      <w:r>
        <w:rPr>
          <w:spacing w:val="-1"/>
          <w:sz w:val="24"/>
        </w:rPr>
        <w:t> </w:t>
      </w:r>
      <w:r>
        <w:rPr>
          <w:sz w:val="24"/>
        </w:rPr>
        <w:t>by the Municipal Commissioner. The Municipal Commissioner shall maintain a register</w:t>
      </w:r>
      <w:r>
        <w:rPr>
          <w:spacing w:val="-17"/>
          <w:sz w:val="24"/>
        </w:rPr>
        <w:t> </w:t>
      </w:r>
      <w:r>
        <w:rPr>
          <w:sz w:val="24"/>
        </w:rPr>
        <w:t>in</w:t>
      </w:r>
      <w:r>
        <w:rPr>
          <w:spacing w:val="-17"/>
          <w:sz w:val="24"/>
        </w:rPr>
        <w:t> </w:t>
      </w:r>
      <w:r>
        <w:rPr>
          <w:sz w:val="24"/>
        </w:rPr>
        <w:t>a</w:t>
      </w:r>
      <w:r>
        <w:rPr>
          <w:spacing w:val="-17"/>
          <w:sz w:val="24"/>
        </w:rPr>
        <w:t> </w:t>
      </w:r>
      <w:r>
        <w:rPr>
          <w:sz w:val="24"/>
        </w:rPr>
        <w:t>form</w:t>
      </w:r>
      <w:r>
        <w:rPr>
          <w:spacing w:val="-17"/>
          <w:sz w:val="24"/>
        </w:rPr>
        <w:t> </w:t>
      </w:r>
      <w:r>
        <w:rPr>
          <w:sz w:val="24"/>
        </w:rPr>
        <w:t>considered</w:t>
      </w:r>
      <w:r>
        <w:rPr>
          <w:spacing w:val="-17"/>
          <w:sz w:val="24"/>
        </w:rPr>
        <w:t> </w:t>
      </w:r>
      <w:r>
        <w:rPr>
          <w:sz w:val="24"/>
        </w:rPr>
        <w:t>appropriate</w:t>
      </w:r>
      <w:r>
        <w:rPr>
          <w:spacing w:val="-17"/>
          <w:sz w:val="24"/>
        </w:rPr>
        <w:t> </w:t>
      </w:r>
      <w:r>
        <w:rPr>
          <w:sz w:val="24"/>
        </w:rPr>
        <w:t>by</w:t>
      </w:r>
      <w:r>
        <w:rPr>
          <w:spacing w:val="-17"/>
          <w:sz w:val="24"/>
        </w:rPr>
        <w:t> </w:t>
      </w:r>
      <w:r>
        <w:rPr>
          <w:sz w:val="24"/>
        </w:rPr>
        <w:t>him</w:t>
      </w:r>
      <w:r>
        <w:rPr>
          <w:spacing w:val="-17"/>
          <w:sz w:val="24"/>
        </w:rPr>
        <w:t> </w:t>
      </w:r>
      <w:r>
        <w:rPr>
          <w:sz w:val="24"/>
        </w:rPr>
        <w:t>of</w:t>
      </w:r>
      <w:r>
        <w:rPr>
          <w:spacing w:val="-17"/>
          <w:sz w:val="24"/>
        </w:rPr>
        <w:t> </w:t>
      </w:r>
      <w:r>
        <w:rPr>
          <w:sz w:val="24"/>
        </w:rPr>
        <w:t>all</w:t>
      </w:r>
      <w:r>
        <w:rPr>
          <w:spacing w:val="-17"/>
          <w:sz w:val="24"/>
        </w:rPr>
        <w:t> </w:t>
      </w:r>
      <w:r>
        <w:rPr>
          <w:sz w:val="24"/>
        </w:rPr>
        <w:t>transactions,</w:t>
      </w:r>
      <w:r>
        <w:rPr>
          <w:spacing w:val="-17"/>
          <w:sz w:val="24"/>
        </w:rPr>
        <w:t> </w:t>
      </w:r>
      <w:r>
        <w:rPr>
          <w:sz w:val="24"/>
        </w:rPr>
        <w:t>etc.</w:t>
      </w:r>
      <w:r>
        <w:rPr>
          <w:spacing w:val="-17"/>
          <w:sz w:val="24"/>
        </w:rPr>
        <w:t> </w:t>
      </w:r>
      <w:r>
        <w:rPr>
          <w:sz w:val="24"/>
        </w:rPr>
        <w:t>relating to grant of, or utilisation of, DRC.</w:t>
      </w:r>
    </w:p>
    <w:p>
      <w:pPr>
        <w:pStyle w:val="BodyText"/>
        <w:jc w:val="left"/>
      </w:pPr>
    </w:p>
    <w:p>
      <w:pPr>
        <w:pStyle w:val="ListParagraph"/>
        <w:numPr>
          <w:ilvl w:val="1"/>
          <w:numId w:val="127"/>
        </w:numPr>
        <w:tabs>
          <w:tab w:pos="1497" w:val="left" w:leader="none"/>
        </w:tabs>
        <w:spacing w:line="240" w:lineRule="auto" w:before="1" w:after="0"/>
        <w:ind w:left="962" w:right="974" w:firstLine="0"/>
        <w:jc w:val="both"/>
        <w:rPr>
          <w:sz w:val="24"/>
        </w:rPr>
      </w:pPr>
      <w:r>
        <w:rPr>
          <w:sz w:val="24"/>
        </w:rPr>
        <w:t>The Commissioner shall issue DRC within 180 days from the date of application or reply from the applicant in respect of any requisition made by him, whichever is later.</w:t>
      </w:r>
    </w:p>
    <w:p>
      <w:pPr>
        <w:pStyle w:val="Heading5"/>
        <w:numPr>
          <w:ilvl w:val="1"/>
          <w:numId w:val="127"/>
        </w:numPr>
        <w:tabs>
          <w:tab w:pos="1521" w:val="left" w:leader="none"/>
        </w:tabs>
        <w:spacing w:line="240" w:lineRule="auto" w:before="278" w:after="0"/>
        <w:ind w:left="1521" w:right="0" w:hanging="559"/>
        <w:jc w:val="both"/>
      </w:pPr>
      <w:r>
        <w:rPr/>
        <w:t>Transfer of </w:t>
      </w:r>
      <w:r>
        <w:rPr>
          <w:spacing w:val="-4"/>
        </w:rPr>
        <w:t>DRC-</w:t>
      </w:r>
    </w:p>
    <w:p>
      <w:pPr>
        <w:pStyle w:val="BodyText"/>
        <w:spacing w:before="84"/>
        <w:jc w:val="left"/>
        <w:rPr>
          <w:b/>
        </w:rPr>
      </w:pPr>
    </w:p>
    <w:p>
      <w:pPr>
        <w:pStyle w:val="ListParagraph"/>
        <w:numPr>
          <w:ilvl w:val="2"/>
          <w:numId w:val="127"/>
        </w:numPr>
        <w:tabs>
          <w:tab w:pos="1685" w:val="left" w:leader="none"/>
          <w:tab w:pos="9300" w:val="left" w:leader="none"/>
        </w:tabs>
        <w:spacing w:line="240" w:lineRule="auto" w:before="1" w:after="0"/>
        <w:ind w:left="1685" w:right="0" w:hanging="723"/>
        <w:jc w:val="left"/>
        <w:rPr>
          <w:sz w:val="24"/>
        </w:rPr>
      </w:pPr>
      <w:r>
        <w:rPr>
          <w:sz w:val="24"/>
        </w:rPr>
        <w:t>The</w:t>
      </w:r>
      <w:r>
        <w:rPr>
          <w:spacing w:val="4"/>
          <w:sz w:val="24"/>
        </w:rPr>
        <w:t> </w:t>
      </w:r>
      <w:r>
        <w:rPr>
          <w:sz w:val="24"/>
        </w:rPr>
        <w:t>Commissioner</w:t>
      </w:r>
      <w:r>
        <w:rPr>
          <w:spacing w:val="7"/>
          <w:sz w:val="24"/>
        </w:rPr>
        <w:t> </w:t>
      </w:r>
      <w:r>
        <w:rPr>
          <w:sz w:val="24"/>
        </w:rPr>
        <w:t>shall</w:t>
      </w:r>
      <w:r>
        <w:rPr>
          <w:spacing w:val="7"/>
          <w:sz w:val="24"/>
        </w:rPr>
        <w:t> </w:t>
      </w:r>
      <w:r>
        <w:rPr>
          <w:sz w:val="24"/>
        </w:rPr>
        <w:t>allow</w:t>
      </w:r>
      <w:r>
        <w:rPr>
          <w:spacing w:val="7"/>
          <w:sz w:val="24"/>
        </w:rPr>
        <w:t> </w:t>
      </w:r>
      <w:r>
        <w:rPr>
          <w:sz w:val="24"/>
        </w:rPr>
        <w:t>transfer</w:t>
      </w:r>
      <w:r>
        <w:rPr>
          <w:spacing w:val="6"/>
          <w:sz w:val="24"/>
        </w:rPr>
        <w:t> </w:t>
      </w:r>
      <w:r>
        <w:rPr>
          <w:sz w:val="24"/>
        </w:rPr>
        <w:t>of</w:t>
      </w:r>
      <w:r>
        <w:rPr>
          <w:spacing w:val="7"/>
          <w:sz w:val="24"/>
        </w:rPr>
        <w:t> </w:t>
      </w:r>
      <w:r>
        <w:rPr>
          <w:sz w:val="24"/>
        </w:rPr>
        <w:t>DRC</w:t>
      </w:r>
      <w:r>
        <w:rPr>
          <w:spacing w:val="7"/>
          <w:sz w:val="24"/>
        </w:rPr>
        <w:t> </w:t>
      </w:r>
      <w:r>
        <w:rPr>
          <w:sz w:val="24"/>
        </w:rPr>
        <w:t>in</w:t>
      </w:r>
      <w:r>
        <w:rPr>
          <w:spacing w:val="6"/>
          <w:sz w:val="24"/>
        </w:rPr>
        <w:t> </w:t>
      </w:r>
      <w:r>
        <w:rPr>
          <w:sz w:val="24"/>
        </w:rPr>
        <w:t>the</w:t>
      </w:r>
      <w:r>
        <w:rPr>
          <w:spacing w:val="7"/>
          <w:sz w:val="24"/>
        </w:rPr>
        <w:t> </w:t>
      </w:r>
      <w:r>
        <w:rPr>
          <w:spacing w:val="-2"/>
          <w:sz w:val="24"/>
        </w:rPr>
        <w:t>following</w:t>
      </w:r>
      <w:r>
        <w:rPr>
          <w:sz w:val="24"/>
        </w:rPr>
        <w:tab/>
      </w:r>
      <w:r>
        <w:rPr>
          <w:spacing w:val="-2"/>
          <w:sz w:val="24"/>
        </w:rPr>
        <w:t>manner</w:t>
      </w:r>
    </w:p>
    <w:p>
      <w:pPr>
        <w:spacing w:before="42"/>
        <w:ind w:left="962" w:right="0" w:firstLine="0"/>
        <w:jc w:val="left"/>
        <w:rPr>
          <w:sz w:val="24"/>
        </w:rPr>
      </w:pPr>
      <w:r>
        <w:rPr>
          <w:spacing w:val="-10"/>
          <w:sz w:val="24"/>
        </w:rPr>
        <w:t>-</w:t>
      </w:r>
    </w:p>
    <w:p>
      <w:pPr>
        <w:pStyle w:val="ListParagraph"/>
        <w:numPr>
          <w:ilvl w:val="0"/>
          <w:numId w:val="128"/>
        </w:numPr>
        <w:tabs>
          <w:tab w:pos="1244" w:val="left" w:leader="none"/>
        </w:tabs>
        <w:spacing w:line="240" w:lineRule="auto" w:before="45" w:after="0"/>
        <w:ind w:left="979" w:right="972" w:firstLine="0"/>
        <w:jc w:val="both"/>
        <w:rPr>
          <w:sz w:val="24"/>
        </w:rPr>
      </w:pPr>
      <w:r>
        <w:rPr>
          <w:sz w:val="24"/>
        </w:rPr>
        <w:t>In case of death of holder of DRC, the DRC shall be transferred only on production</w:t>
      </w:r>
      <w:r>
        <w:rPr>
          <w:spacing w:val="-8"/>
          <w:sz w:val="24"/>
        </w:rPr>
        <w:t> </w:t>
      </w:r>
      <w:r>
        <w:rPr>
          <w:sz w:val="24"/>
        </w:rPr>
        <w:t>of</w:t>
      </w:r>
      <w:r>
        <w:rPr>
          <w:spacing w:val="-8"/>
          <w:sz w:val="24"/>
        </w:rPr>
        <w:t> </w:t>
      </w:r>
      <w:r>
        <w:rPr>
          <w:sz w:val="24"/>
        </w:rPr>
        <w:t>the</w:t>
      </w:r>
      <w:r>
        <w:rPr>
          <w:spacing w:val="-8"/>
          <w:sz w:val="24"/>
        </w:rPr>
        <w:t> </w:t>
      </w:r>
      <w:r>
        <w:rPr>
          <w:sz w:val="24"/>
        </w:rPr>
        <w:t>documents</w:t>
      </w:r>
      <w:r>
        <w:rPr>
          <w:spacing w:val="-8"/>
          <w:sz w:val="24"/>
        </w:rPr>
        <w:t> </w:t>
      </w:r>
      <w:r>
        <w:rPr>
          <w:sz w:val="24"/>
        </w:rPr>
        <w:t>as</w:t>
      </w:r>
      <w:r>
        <w:rPr>
          <w:spacing w:val="-8"/>
          <w:sz w:val="24"/>
        </w:rPr>
        <w:t> </w:t>
      </w:r>
      <w:r>
        <w:rPr>
          <w:sz w:val="24"/>
        </w:rPr>
        <w:t>may</w:t>
      </w:r>
      <w:r>
        <w:rPr>
          <w:spacing w:val="-8"/>
          <w:sz w:val="24"/>
        </w:rPr>
        <w:t> </w:t>
      </w:r>
      <w:r>
        <w:rPr>
          <w:sz w:val="24"/>
        </w:rPr>
        <w:t>be</w:t>
      </w:r>
      <w:r>
        <w:rPr>
          <w:spacing w:val="-8"/>
          <w:sz w:val="24"/>
        </w:rPr>
        <w:t> </w:t>
      </w:r>
      <w:r>
        <w:rPr>
          <w:sz w:val="24"/>
        </w:rPr>
        <w:t>prescribed</w:t>
      </w:r>
      <w:r>
        <w:rPr>
          <w:spacing w:val="-8"/>
          <w:sz w:val="24"/>
        </w:rPr>
        <w:t> </w:t>
      </w:r>
      <w:r>
        <w:rPr>
          <w:sz w:val="24"/>
        </w:rPr>
        <w:t>by</w:t>
      </w:r>
      <w:r>
        <w:rPr>
          <w:spacing w:val="-7"/>
          <w:sz w:val="24"/>
        </w:rPr>
        <w:t> </w:t>
      </w:r>
      <w:r>
        <w:rPr>
          <w:sz w:val="24"/>
        </w:rPr>
        <w:t>Commissioner</w:t>
      </w:r>
      <w:r>
        <w:rPr>
          <w:spacing w:val="-8"/>
          <w:sz w:val="24"/>
        </w:rPr>
        <w:t> </w:t>
      </w:r>
      <w:r>
        <w:rPr>
          <w:sz w:val="24"/>
        </w:rPr>
        <w:t>from</w:t>
      </w:r>
      <w:r>
        <w:rPr>
          <w:spacing w:val="-8"/>
          <w:sz w:val="24"/>
        </w:rPr>
        <w:t> </w:t>
      </w:r>
      <w:r>
        <w:rPr>
          <w:sz w:val="24"/>
        </w:rPr>
        <w:t>time to time, after due verification and satisfaction regarding title and legal </w:t>
      </w:r>
      <w:r>
        <w:rPr>
          <w:spacing w:val="-2"/>
          <w:sz w:val="24"/>
        </w:rPr>
        <w:t>successor.</w:t>
      </w:r>
    </w:p>
    <w:p>
      <w:pPr>
        <w:pStyle w:val="BodyText"/>
        <w:jc w:val="left"/>
      </w:pPr>
    </w:p>
    <w:p>
      <w:pPr>
        <w:pStyle w:val="ListParagraph"/>
        <w:numPr>
          <w:ilvl w:val="0"/>
          <w:numId w:val="128"/>
        </w:numPr>
        <w:tabs>
          <w:tab w:pos="1336" w:val="left" w:leader="none"/>
        </w:tabs>
        <w:spacing w:line="240" w:lineRule="auto" w:before="0" w:after="0"/>
        <w:ind w:left="979" w:right="970" w:firstLine="0"/>
        <w:jc w:val="both"/>
        <w:rPr>
          <w:sz w:val="24"/>
        </w:rPr>
      </w:pPr>
      <w:r>
        <w:rPr>
          <w:sz w:val="24"/>
        </w:rPr>
        <w:t>If</w:t>
      </w:r>
      <w:r>
        <w:rPr>
          <w:spacing w:val="-8"/>
          <w:sz w:val="24"/>
        </w:rPr>
        <w:t> </w:t>
      </w:r>
      <w:r>
        <w:rPr>
          <w:sz w:val="24"/>
        </w:rPr>
        <w:t>a</w:t>
      </w:r>
      <w:r>
        <w:rPr>
          <w:spacing w:val="-8"/>
          <w:sz w:val="24"/>
        </w:rPr>
        <w:t> </w:t>
      </w:r>
      <w:r>
        <w:rPr>
          <w:sz w:val="24"/>
        </w:rPr>
        <w:t>holder</w:t>
      </w:r>
      <w:r>
        <w:rPr>
          <w:spacing w:val="-10"/>
          <w:sz w:val="24"/>
        </w:rPr>
        <w:t> </w:t>
      </w:r>
      <w:r>
        <w:rPr>
          <w:sz w:val="24"/>
        </w:rPr>
        <w:t>of</w:t>
      </w:r>
      <w:r>
        <w:rPr>
          <w:spacing w:val="-8"/>
          <w:sz w:val="24"/>
        </w:rPr>
        <w:t> </w:t>
      </w:r>
      <w:r>
        <w:rPr>
          <w:sz w:val="24"/>
        </w:rPr>
        <w:t>DRC</w:t>
      </w:r>
      <w:r>
        <w:rPr>
          <w:spacing w:val="-10"/>
          <w:sz w:val="24"/>
        </w:rPr>
        <w:t> </w:t>
      </w:r>
      <w:r>
        <w:rPr>
          <w:sz w:val="24"/>
        </w:rPr>
        <w:t>intends</w:t>
      </w:r>
      <w:r>
        <w:rPr>
          <w:spacing w:val="-8"/>
          <w:sz w:val="24"/>
        </w:rPr>
        <w:t> </w:t>
      </w:r>
      <w:r>
        <w:rPr>
          <w:sz w:val="24"/>
        </w:rPr>
        <w:t>to</w:t>
      </w:r>
      <w:r>
        <w:rPr>
          <w:spacing w:val="-8"/>
          <w:sz w:val="24"/>
        </w:rPr>
        <w:t> </w:t>
      </w:r>
      <w:r>
        <w:rPr>
          <w:sz w:val="24"/>
        </w:rPr>
        <w:t>transfer</w:t>
      </w:r>
      <w:r>
        <w:rPr>
          <w:spacing w:val="-8"/>
          <w:sz w:val="24"/>
        </w:rPr>
        <w:t> </w:t>
      </w:r>
      <w:r>
        <w:rPr>
          <w:sz w:val="24"/>
        </w:rPr>
        <w:t>it</w:t>
      </w:r>
      <w:r>
        <w:rPr>
          <w:spacing w:val="-8"/>
          <w:sz w:val="24"/>
        </w:rPr>
        <w:t> </w:t>
      </w:r>
      <w:r>
        <w:rPr>
          <w:sz w:val="24"/>
        </w:rPr>
        <w:t>to</w:t>
      </w:r>
      <w:r>
        <w:rPr>
          <w:spacing w:val="-8"/>
          <w:sz w:val="24"/>
        </w:rPr>
        <w:t> </w:t>
      </w:r>
      <w:r>
        <w:rPr>
          <w:sz w:val="24"/>
        </w:rPr>
        <w:t>any</w:t>
      </w:r>
      <w:r>
        <w:rPr>
          <w:spacing w:val="-8"/>
          <w:sz w:val="24"/>
        </w:rPr>
        <w:t> </w:t>
      </w:r>
      <w:r>
        <w:rPr>
          <w:sz w:val="24"/>
        </w:rPr>
        <w:t>other</w:t>
      </w:r>
      <w:r>
        <w:rPr>
          <w:spacing w:val="-8"/>
          <w:sz w:val="24"/>
        </w:rPr>
        <w:t> </w:t>
      </w:r>
      <w:r>
        <w:rPr>
          <w:sz w:val="24"/>
        </w:rPr>
        <w:t>person,</w:t>
      </w:r>
      <w:r>
        <w:rPr>
          <w:spacing w:val="-8"/>
          <w:sz w:val="24"/>
        </w:rPr>
        <w:t> </w:t>
      </w:r>
      <w:r>
        <w:rPr>
          <w:sz w:val="24"/>
        </w:rPr>
        <w:t>he</w:t>
      </w:r>
      <w:r>
        <w:rPr>
          <w:spacing w:val="-8"/>
          <w:sz w:val="24"/>
        </w:rPr>
        <w:t> </w:t>
      </w:r>
      <w:r>
        <w:rPr>
          <w:sz w:val="24"/>
        </w:rPr>
        <w:t>shall</w:t>
      </w:r>
      <w:r>
        <w:rPr>
          <w:spacing w:val="-8"/>
          <w:sz w:val="24"/>
        </w:rPr>
        <w:t> </w:t>
      </w:r>
      <w:r>
        <w:rPr>
          <w:sz w:val="24"/>
        </w:rPr>
        <w:t>submit the original DRC to the Commissioner with an application along with relevant documents as may be prescribed by the Commissioner and a registered agreement which is duly signed by Transferor and Transferee, for seeking endorsement of the new holders name, i.e., the transferee, on the said certificate. The transfer shall not be valid without endorsement by the Commissioner and in such circumstances the Certificate shall be available for use only to the holder / transferor.</w:t>
      </w:r>
    </w:p>
    <w:p>
      <w:pPr>
        <w:pStyle w:val="ListParagraph"/>
        <w:spacing w:after="0" w:line="240" w:lineRule="auto"/>
        <w:jc w:val="both"/>
        <w:rPr>
          <w:sz w:val="24"/>
        </w:rPr>
        <w:sectPr>
          <w:pgSz w:w="11910" w:h="16840"/>
          <w:pgMar w:header="1065" w:footer="1237" w:top="1500" w:bottom="1420" w:left="360" w:right="360"/>
        </w:sectPr>
      </w:pPr>
    </w:p>
    <w:p>
      <w:pPr>
        <w:pStyle w:val="ListParagraph"/>
        <w:numPr>
          <w:ilvl w:val="2"/>
          <w:numId w:val="127"/>
        </w:numPr>
        <w:tabs>
          <w:tab w:pos="1670" w:val="left" w:leader="none"/>
        </w:tabs>
        <w:spacing w:line="276" w:lineRule="auto" w:before="247" w:after="0"/>
        <w:ind w:left="962" w:right="972" w:firstLine="0"/>
        <w:jc w:val="both"/>
        <w:rPr>
          <w:sz w:val="24"/>
        </w:rPr>
      </w:pPr>
      <w:r>
        <w:rPr>
          <w:sz w:val="24"/>
        </w:rPr>
        <w:t>The</w:t>
      </w:r>
      <w:r>
        <w:rPr>
          <w:spacing w:val="-6"/>
          <w:sz w:val="24"/>
        </w:rPr>
        <w:t> </w:t>
      </w:r>
      <w:r>
        <w:rPr>
          <w:sz w:val="24"/>
        </w:rPr>
        <w:t>utilisation</w:t>
      </w:r>
      <w:r>
        <w:rPr>
          <w:spacing w:val="-4"/>
          <w:sz w:val="24"/>
        </w:rPr>
        <w:t> </w:t>
      </w:r>
      <w:r>
        <w:rPr>
          <w:sz w:val="24"/>
        </w:rPr>
        <w:t>of</w:t>
      </w:r>
      <w:r>
        <w:rPr>
          <w:spacing w:val="-6"/>
          <w:sz w:val="24"/>
        </w:rPr>
        <w:t> </w:t>
      </w:r>
      <w:r>
        <w:rPr>
          <w:sz w:val="24"/>
        </w:rPr>
        <w:t>TDR</w:t>
      </w:r>
      <w:r>
        <w:rPr>
          <w:spacing w:val="-6"/>
          <w:sz w:val="24"/>
        </w:rPr>
        <w:t> </w:t>
      </w:r>
      <w:r>
        <w:rPr>
          <w:sz w:val="24"/>
        </w:rPr>
        <w:t>from</w:t>
      </w:r>
      <w:r>
        <w:rPr>
          <w:spacing w:val="-6"/>
          <w:sz w:val="24"/>
        </w:rPr>
        <w:t> </w:t>
      </w:r>
      <w:r>
        <w:rPr>
          <w:sz w:val="24"/>
        </w:rPr>
        <w:t>certificate</w:t>
      </w:r>
      <w:r>
        <w:rPr>
          <w:spacing w:val="-6"/>
          <w:sz w:val="24"/>
        </w:rPr>
        <w:t> </w:t>
      </w:r>
      <w:r>
        <w:rPr>
          <w:sz w:val="24"/>
        </w:rPr>
        <w:t>under</w:t>
      </w:r>
      <w:r>
        <w:rPr>
          <w:spacing w:val="-6"/>
          <w:sz w:val="24"/>
        </w:rPr>
        <w:t> </w:t>
      </w:r>
      <w:r>
        <w:rPr>
          <w:sz w:val="24"/>
        </w:rPr>
        <w:t>transfer</w:t>
      </w:r>
      <w:r>
        <w:rPr>
          <w:spacing w:val="-6"/>
          <w:sz w:val="24"/>
        </w:rPr>
        <w:t> </w:t>
      </w:r>
      <w:r>
        <w:rPr>
          <w:sz w:val="24"/>
        </w:rPr>
        <w:t>procedure</w:t>
      </w:r>
      <w:r>
        <w:rPr>
          <w:spacing w:val="-6"/>
          <w:sz w:val="24"/>
        </w:rPr>
        <w:t> </w:t>
      </w:r>
      <w:r>
        <w:rPr>
          <w:sz w:val="24"/>
        </w:rPr>
        <w:t>shall</w:t>
      </w:r>
      <w:r>
        <w:rPr>
          <w:spacing w:val="-6"/>
          <w:sz w:val="24"/>
        </w:rPr>
        <w:t> </w:t>
      </w:r>
      <w:r>
        <w:rPr>
          <w:sz w:val="24"/>
        </w:rPr>
        <w:t>not be permissible, during transfer procedure.</w:t>
      </w:r>
    </w:p>
    <w:p>
      <w:pPr>
        <w:pStyle w:val="BodyText"/>
        <w:spacing w:before="3"/>
        <w:jc w:val="left"/>
      </w:pPr>
    </w:p>
    <w:p>
      <w:pPr>
        <w:pStyle w:val="ListParagraph"/>
        <w:numPr>
          <w:ilvl w:val="1"/>
          <w:numId w:val="127"/>
        </w:numPr>
        <w:tabs>
          <w:tab w:pos="1537" w:val="left" w:leader="none"/>
        </w:tabs>
        <w:spacing w:line="240" w:lineRule="auto" w:before="1" w:after="0"/>
        <w:ind w:left="962" w:right="980" w:firstLine="0"/>
        <w:jc w:val="both"/>
        <w:rPr>
          <w:sz w:val="24"/>
        </w:rPr>
      </w:pPr>
      <w:r>
        <w:rPr>
          <w:sz w:val="24"/>
        </w:rPr>
        <w:t>The Commissioner may refrain the DRC holder from utilizing the DRC in the following circumstances:-</w:t>
      </w:r>
    </w:p>
    <w:p>
      <w:pPr>
        <w:pStyle w:val="ListParagraph"/>
        <w:numPr>
          <w:ilvl w:val="0"/>
          <w:numId w:val="129"/>
        </w:numPr>
        <w:tabs>
          <w:tab w:pos="1187" w:val="left" w:leader="none"/>
        </w:tabs>
        <w:spacing w:line="240" w:lineRule="auto" w:before="281" w:after="0"/>
        <w:ind w:left="1187" w:right="0" w:hanging="225"/>
        <w:jc w:val="both"/>
        <w:rPr>
          <w:sz w:val="24"/>
        </w:rPr>
      </w:pPr>
      <w:r>
        <w:rPr>
          <w:sz w:val="24"/>
        </w:rPr>
        <w:t>Under</w:t>
      </w:r>
      <w:r>
        <w:rPr>
          <w:spacing w:val="-2"/>
          <w:sz w:val="24"/>
        </w:rPr>
        <w:t> </w:t>
      </w:r>
      <w:r>
        <w:rPr>
          <w:sz w:val="24"/>
        </w:rPr>
        <w:t>direction</w:t>
      </w:r>
      <w:r>
        <w:rPr>
          <w:spacing w:val="-2"/>
          <w:sz w:val="24"/>
        </w:rPr>
        <w:t> </w:t>
      </w:r>
      <w:r>
        <w:rPr>
          <w:sz w:val="24"/>
        </w:rPr>
        <w:t>from</w:t>
      </w:r>
      <w:r>
        <w:rPr>
          <w:spacing w:val="-1"/>
          <w:sz w:val="24"/>
        </w:rPr>
        <w:t> </w:t>
      </w:r>
      <w:r>
        <w:rPr>
          <w:sz w:val="24"/>
        </w:rPr>
        <w:t>a</w:t>
      </w:r>
      <w:r>
        <w:rPr>
          <w:spacing w:val="-2"/>
          <w:sz w:val="24"/>
        </w:rPr>
        <w:t> </w:t>
      </w:r>
      <w:r>
        <w:rPr>
          <w:sz w:val="24"/>
        </w:rPr>
        <w:t>competent</w:t>
      </w:r>
      <w:r>
        <w:rPr>
          <w:spacing w:val="-1"/>
          <w:sz w:val="24"/>
        </w:rPr>
        <w:t> </w:t>
      </w:r>
      <w:r>
        <w:rPr>
          <w:spacing w:val="-2"/>
          <w:sz w:val="24"/>
        </w:rPr>
        <w:t>Court.</w:t>
      </w:r>
    </w:p>
    <w:p>
      <w:pPr>
        <w:pStyle w:val="BodyText"/>
        <w:jc w:val="left"/>
      </w:pPr>
    </w:p>
    <w:p>
      <w:pPr>
        <w:pStyle w:val="ListParagraph"/>
        <w:numPr>
          <w:ilvl w:val="0"/>
          <w:numId w:val="129"/>
        </w:numPr>
        <w:tabs>
          <w:tab w:pos="1266" w:val="left" w:leader="none"/>
        </w:tabs>
        <w:spacing w:line="281" w:lineRule="exact" w:before="0" w:after="0"/>
        <w:ind w:left="1266" w:right="0" w:hanging="304"/>
        <w:jc w:val="both"/>
        <w:rPr>
          <w:b/>
          <w:sz w:val="24"/>
        </w:rPr>
      </w:pPr>
      <w:r>
        <w:rPr>
          <w:sz w:val="24"/>
        </w:rPr>
        <w:t>Where</w:t>
      </w:r>
      <w:r>
        <w:rPr>
          <w:spacing w:val="6"/>
          <w:sz w:val="24"/>
        </w:rPr>
        <w:t> </w:t>
      </w:r>
      <w:r>
        <w:rPr>
          <w:sz w:val="24"/>
        </w:rPr>
        <w:t>the</w:t>
      </w:r>
      <w:r>
        <w:rPr>
          <w:spacing w:val="6"/>
          <w:sz w:val="24"/>
        </w:rPr>
        <w:t> </w:t>
      </w:r>
      <w:r>
        <w:rPr>
          <w:sz w:val="24"/>
        </w:rPr>
        <w:t>Commissioner</w:t>
      </w:r>
      <w:r>
        <w:rPr>
          <w:spacing w:val="6"/>
          <w:sz w:val="24"/>
        </w:rPr>
        <w:t> </w:t>
      </w:r>
      <w:r>
        <w:rPr>
          <w:sz w:val="24"/>
        </w:rPr>
        <w:t>has</w:t>
      </w:r>
      <w:r>
        <w:rPr>
          <w:spacing w:val="6"/>
          <w:sz w:val="24"/>
        </w:rPr>
        <w:t> </w:t>
      </w:r>
      <w:r>
        <w:rPr>
          <w:sz w:val="24"/>
        </w:rPr>
        <w:t>reason</w:t>
      </w:r>
      <w:r>
        <w:rPr>
          <w:spacing w:val="5"/>
          <w:sz w:val="24"/>
        </w:rPr>
        <w:t> </w:t>
      </w:r>
      <w:r>
        <w:rPr>
          <w:sz w:val="24"/>
        </w:rPr>
        <w:t>to</w:t>
      </w:r>
      <w:r>
        <w:rPr>
          <w:spacing w:val="5"/>
          <w:sz w:val="24"/>
        </w:rPr>
        <w:t> </w:t>
      </w:r>
      <w:r>
        <w:rPr>
          <w:sz w:val="24"/>
        </w:rPr>
        <w:t>believe</w:t>
      </w:r>
      <w:r>
        <w:rPr>
          <w:spacing w:val="6"/>
          <w:sz w:val="24"/>
        </w:rPr>
        <w:t> </w:t>
      </w:r>
      <w:r>
        <w:rPr>
          <w:sz w:val="24"/>
        </w:rPr>
        <w:t>that</w:t>
      </w:r>
      <w:r>
        <w:rPr>
          <w:spacing w:val="6"/>
          <w:sz w:val="24"/>
        </w:rPr>
        <w:t> </w:t>
      </w:r>
      <w:r>
        <w:rPr>
          <w:sz w:val="24"/>
        </w:rPr>
        <w:t>the</w:t>
      </w:r>
      <w:r>
        <w:rPr>
          <w:spacing w:val="6"/>
          <w:sz w:val="24"/>
        </w:rPr>
        <w:t> </w:t>
      </w:r>
      <w:r>
        <w:rPr>
          <w:sz w:val="24"/>
        </w:rPr>
        <w:t>DRC</w:t>
      </w:r>
      <w:r>
        <w:rPr>
          <w:spacing w:val="6"/>
          <w:sz w:val="24"/>
        </w:rPr>
        <w:t> </w:t>
      </w:r>
      <w:r>
        <w:rPr>
          <w:sz w:val="24"/>
        </w:rPr>
        <w:t>is</w:t>
      </w:r>
      <w:r>
        <w:rPr>
          <w:spacing w:val="6"/>
          <w:sz w:val="24"/>
        </w:rPr>
        <w:t> </w:t>
      </w:r>
      <w:r>
        <w:rPr>
          <w:sz w:val="24"/>
        </w:rPr>
        <w:t>obtained</w:t>
      </w:r>
      <w:r>
        <w:rPr>
          <w:spacing w:val="54"/>
          <w:w w:val="150"/>
          <w:sz w:val="24"/>
        </w:rPr>
        <w:t> </w:t>
      </w:r>
      <w:r>
        <w:rPr>
          <w:b/>
          <w:spacing w:val="-5"/>
          <w:sz w:val="24"/>
        </w:rPr>
        <w:t>a)</w:t>
      </w:r>
    </w:p>
    <w:p>
      <w:pPr>
        <w:pStyle w:val="BodyText"/>
        <w:spacing w:line="281" w:lineRule="exact"/>
        <w:ind w:left="962"/>
      </w:pPr>
      <w:r>
        <w:rPr/>
        <w:t>by producing fraudulent documents</w:t>
      </w:r>
      <w:r>
        <w:rPr>
          <w:spacing w:val="76"/>
        </w:rPr>
        <w:t> </w:t>
      </w:r>
      <w:r>
        <w:rPr>
          <w:b/>
        </w:rPr>
        <w:t>b)</w:t>
      </w:r>
      <w:r>
        <w:rPr>
          <w:b/>
          <w:spacing w:val="-5"/>
        </w:rPr>
        <w:t> </w:t>
      </w:r>
      <w:r>
        <w:rPr/>
        <w:t>by </w:t>
      </w:r>
      <w:r>
        <w:rPr>
          <w:spacing w:val="-2"/>
        </w:rPr>
        <w:t>misrepresentation,</w:t>
      </w:r>
    </w:p>
    <w:p>
      <w:pPr>
        <w:pStyle w:val="BodyText"/>
        <w:spacing w:before="1"/>
        <w:jc w:val="left"/>
      </w:pPr>
    </w:p>
    <w:p>
      <w:pPr>
        <w:pStyle w:val="ListParagraph"/>
        <w:numPr>
          <w:ilvl w:val="1"/>
          <w:numId w:val="127"/>
        </w:numPr>
        <w:tabs>
          <w:tab w:pos="1506" w:val="left" w:leader="none"/>
        </w:tabs>
        <w:spacing w:line="240" w:lineRule="auto" w:before="0" w:after="0"/>
        <w:ind w:left="962" w:right="971" w:firstLine="0"/>
        <w:jc w:val="both"/>
        <w:rPr>
          <w:sz w:val="24"/>
        </w:rPr>
      </w:pPr>
      <w:r>
        <w:rPr>
          <w:sz w:val="24"/>
        </w:rPr>
        <w:t>Any</w:t>
      </w:r>
      <w:r>
        <w:rPr>
          <w:spacing w:val="-5"/>
          <w:sz w:val="24"/>
        </w:rPr>
        <w:t> </w:t>
      </w:r>
      <w:r>
        <w:rPr>
          <w:sz w:val="24"/>
        </w:rPr>
        <w:t>DRC</w:t>
      </w:r>
      <w:r>
        <w:rPr>
          <w:spacing w:val="-5"/>
          <w:sz w:val="24"/>
        </w:rPr>
        <w:t> </w:t>
      </w:r>
      <w:r>
        <w:rPr>
          <w:sz w:val="24"/>
        </w:rPr>
        <w:t>may</w:t>
      </w:r>
      <w:r>
        <w:rPr>
          <w:spacing w:val="-5"/>
          <w:sz w:val="24"/>
        </w:rPr>
        <w:t> </w:t>
      </w:r>
      <w:r>
        <w:rPr>
          <w:sz w:val="24"/>
        </w:rPr>
        <w:t>be</w:t>
      </w:r>
      <w:r>
        <w:rPr>
          <w:spacing w:val="-5"/>
          <w:sz w:val="24"/>
        </w:rPr>
        <w:t> </w:t>
      </w:r>
      <w:r>
        <w:rPr>
          <w:sz w:val="24"/>
        </w:rPr>
        <w:t>utilised</w:t>
      </w:r>
      <w:r>
        <w:rPr>
          <w:spacing w:val="-5"/>
          <w:sz w:val="24"/>
        </w:rPr>
        <w:t> </w:t>
      </w:r>
      <w:r>
        <w:rPr>
          <w:sz w:val="24"/>
        </w:rPr>
        <w:t>on</w:t>
      </w:r>
      <w:r>
        <w:rPr>
          <w:spacing w:val="-5"/>
          <w:sz w:val="24"/>
        </w:rPr>
        <w:t> </w:t>
      </w:r>
      <w:r>
        <w:rPr>
          <w:sz w:val="24"/>
        </w:rPr>
        <w:t>one</w:t>
      </w:r>
      <w:r>
        <w:rPr>
          <w:spacing w:val="-5"/>
          <w:sz w:val="24"/>
        </w:rPr>
        <w:t> </w:t>
      </w:r>
      <w:r>
        <w:rPr>
          <w:sz w:val="24"/>
        </w:rPr>
        <w:t>or</w:t>
      </w:r>
      <w:r>
        <w:rPr>
          <w:spacing w:val="-7"/>
          <w:sz w:val="24"/>
        </w:rPr>
        <w:t> </w:t>
      </w:r>
      <w:r>
        <w:rPr>
          <w:sz w:val="24"/>
        </w:rPr>
        <w:t>more</w:t>
      </w:r>
      <w:r>
        <w:rPr>
          <w:spacing w:val="-5"/>
          <w:sz w:val="24"/>
        </w:rPr>
        <w:t> </w:t>
      </w:r>
      <w:r>
        <w:rPr>
          <w:sz w:val="24"/>
        </w:rPr>
        <w:t>plots</w:t>
      </w:r>
      <w:r>
        <w:rPr>
          <w:spacing w:val="-5"/>
          <w:sz w:val="24"/>
        </w:rPr>
        <w:t> </w:t>
      </w:r>
      <w:r>
        <w:rPr>
          <w:sz w:val="24"/>
        </w:rPr>
        <w:t>or</w:t>
      </w:r>
      <w:r>
        <w:rPr>
          <w:spacing w:val="-5"/>
          <w:sz w:val="24"/>
        </w:rPr>
        <w:t> </w:t>
      </w:r>
      <w:r>
        <w:rPr>
          <w:sz w:val="24"/>
        </w:rPr>
        <w:t>lands</w:t>
      </w:r>
      <w:r>
        <w:rPr>
          <w:spacing w:val="-7"/>
          <w:sz w:val="24"/>
        </w:rPr>
        <w:t> </w:t>
      </w:r>
      <w:r>
        <w:rPr>
          <w:sz w:val="24"/>
        </w:rPr>
        <w:t>whether</w:t>
      </w:r>
      <w:r>
        <w:rPr>
          <w:spacing w:val="-5"/>
          <w:sz w:val="24"/>
        </w:rPr>
        <w:t> </w:t>
      </w:r>
      <w:r>
        <w:rPr>
          <w:sz w:val="24"/>
        </w:rPr>
        <w:t>vacant,</w:t>
      </w:r>
      <w:r>
        <w:rPr>
          <w:spacing w:val="-5"/>
          <w:sz w:val="24"/>
        </w:rPr>
        <w:t> </w:t>
      </w:r>
      <w:r>
        <w:rPr>
          <w:sz w:val="24"/>
        </w:rPr>
        <w:t>or already developed fully or partly by</w:t>
      </w:r>
      <w:r>
        <w:rPr>
          <w:spacing w:val="40"/>
          <w:sz w:val="24"/>
        </w:rPr>
        <w:t> </w:t>
      </w:r>
      <w:r>
        <w:rPr>
          <w:sz w:val="24"/>
        </w:rPr>
        <w:t>erection of additional storeys, or in any other manner consistent with these</w:t>
      </w:r>
      <w:r>
        <w:rPr>
          <w:spacing w:val="40"/>
          <w:sz w:val="24"/>
        </w:rPr>
        <w:t> </w:t>
      </w:r>
      <w:r>
        <w:rPr>
          <w:sz w:val="24"/>
        </w:rPr>
        <w:t>Regulations,</w:t>
      </w:r>
    </w:p>
    <w:p>
      <w:pPr>
        <w:pStyle w:val="ListParagraph"/>
        <w:numPr>
          <w:ilvl w:val="1"/>
          <w:numId w:val="127"/>
        </w:numPr>
        <w:tabs>
          <w:tab w:pos="1588" w:val="left" w:leader="none"/>
        </w:tabs>
        <w:spacing w:line="240" w:lineRule="auto" w:before="281" w:after="0"/>
        <w:ind w:left="962" w:right="971" w:firstLine="0"/>
        <w:jc w:val="both"/>
        <w:rPr>
          <w:sz w:val="24"/>
        </w:rPr>
      </w:pPr>
      <w:r>
        <w:rPr>
          <w:sz w:val="24"/>
        </w:rPr>
        <w:t>DRC</w:t>
      </w:r>
      <w:r>
        <w:rPr>
          <w:spacing w:val="-4"/>
          <w:sz w:val="24"/>
        </w:rPr>
        <w:t> </w:t>
      </w:r>
      <w:r>
        <w:rPr>
          <w:sz w:val="24"/>
        </w:rPr>
        <w:t>may</w:t>
      </w:r>
      <w:r>
        <w:rPr>
          <w:spacing w:val="-7"/>
          <w:sz w:val="24"/>
        </w:rPr>
        <w:t> </w:t>
      </w:r>
      <w:r>
        <w:rPr>
          <w:sz w:val="24"/>
        </w:rPr>
        <w:t>be</w:t>
      </w:r>
      <w:r>
        <w:rPr>
          <w:spacing w:val="-4"/>
          <w:sz w:val="24"/>
        </w:rPr>
        <w:t> </w:t>
      </w:r>
      <w:r>
        <w:rPr>
          <w:sz w:val="24"/>
        </w:rPr>
        <w:t>used</w:t>
      </w:r>
      <w:r>
        <w:rPr>
          <w:spacing w:val="-4"/>
          <w:sz w:val="24"/>
        </w:rPr>
        <w:t> </w:t>
      </w:r>
      <w:r>
        <w:rPr>
          <w:sz w:val="24"/>
        </w:rPr>
        <w:t>on</w:t>
      </w:r>
      <w:r>
        <w:rPr>
          <w:spacing w:val="-4"/>
          <w:sz w:val="24"/>
        </w:rPr>
        <w:t> </w:t>
      </w:r>
      <w:r>
        <w:rPr>
          <w:sz w:val="24"/>
        </w:rPr>
        <w:t>plots/land</w:t>
      </w:r>
      <w:r>
        <w:rPr>
          <w:spacing w:val="-4"/>
          <w:sz w:val="24"/>
        </w:rPr>
        <w:t> </w:t>
      </w:r>
      <w:r>
        <w:rPr>
          <w:sz w:val="24"/>
        </w:rPr>
        <w:t>having</w:t>
      </w:r>
      <w:r>
        <w:rPr>
          <w:spacing w:val="-4"/>
          <w:sz w:val="24"/>
        </w:rPr>
        <w:t> </w:t>
      </w:r>
      <w:r>
        <w:rPr>
          <w:sz w:val="24"/>
        </w:rPr>
        <w:t>Development</w:t>
      </w:r>
      <w:r>
        <w:rPr>
          <w:spacing w:val="-4"/>
          <w:sz w:val="24"/>
        </w:rPr>
        <w:t> </w:t>
      </w:r>
      <w:r>
        <w:rPr>
          <w:sz w:val="24"/>
        </w:rPr>
        <w:t>Plan</w:t>
      </w:r>
      <w:r>
        <w:rPr>
          <w:spacing w:val="-4"/>
          <w:sz w:val="24"/>
        </w:rPr>
        <w:t> </w:t>
      </w:r>
      <w:r>
        <w:rPr>
          <w:sz w:val="24"/>
        </w:rPr>
        <w:t>reservations</w:t>
      </w:r>
      <w:r>
        <w:rPr>
          <w:spacing w:val="-4"/>
          <w:sz w:val="24"/>
        </w:rPr>
        <w:t> </w:t>
      </w:r>
      <w:r>
        <w:rPr>
          <w:sz w:val="24"/>
        </w:rPr>
        <w:t>of buildable</w:t>
      </w:r>
      <w:r>
        <w:rPr>
          <w:spacing w:val="-12"/>
          <w:sz w:val="24"/>
        </w:rPr>
        <w:t> </w:t>
      </w:r>
      <w:r>
        <w:rPr>
          <w:sz w:val="24"/>
        </w:rPr>
        <w:t>nature,</w:t>
      </w:r>
      <w:r>
        <w:rPr>
          <w:spacing w:val="-12"/>
          <w:sz w:val="24"/>
        </w:rPr>
        <w:t> </w:t>
      </w:r>
      <w:r>
        <w:rPr>
          <w:sz w:val="24"/>
        </w:rPr>
        <w:t>whether</w:t>
      </w:r>
      <w:r>
        <w:rPr>
          <w:spacing w:val="-12"/>
          <w:sz w:val="24"/>
        </w:rPr>
        <w:t> </w:t>
      </w:r>
      <w:r>
        <w:rPr>
          <w:sz w:val="24"/>
        </w:rPr>
        <w:t>vacant</w:t>
      </w:r>
      <w:r>
        <w:rPr>
          <w:spacing w:val="-12"/>
          <w:sz w:val="24"/>
        </w:rPr>
        <w:t> </w:t>
      </w:r>
      <w:r>
        <w:rPr>
          <w:sz w:val="24"/>
        </w:rPr>
        <w:t>or</w:t>
      </w:r>
      <w:r>
        <w:rPr>
          <w:spacing w:val="-12"/>
          <w:sz w:val="24"/>
        </w:rPr>
        <w:t> </w:t>
      </w:r>
      <w:r>
        <w:rPr>
          <w:sz w:val="24"/>
        </w:rPr>
        <w:t>already</w:t>
      </w:r>
      <w:r>
        <w:rPr>
          <w:spacing w:val="-12"/>
          <w:sz w:val="24"/>
        </w:rPr>
        <w:t> </w:t>
      </w:r>
      <w:r>
        <w:rPr>
          <w:sz w:val="24"/>
        </w:rPr>
        <w:t>developed</w:t>
      </w:r>
      <w:r>
        <w:rPr>
          <w:spacing w:val="-12"/>
          <w:sz w:val="24"/>
        </w:rPr>
        <w:t> </w:t>
      </w:r>
      <w:r>
        <w:rPr>
          <w:sz w:val="24"/>
        </w:rPr>
        <w:t>for</w:t>
      </w:r>
      <w:r>
        <w:rPr>
          <w:spacing w:val="-12"/>
          <w:sz w:val="24"/>
        </w:rPr>
        <w:t> </w:t>
      </w:r>
      <w:r>
        <w:rPr>
          <w:sz w:val="24"/>
        </w:rPr>
        <w:t>the</w:t>
      </w:r>
      <w:r>
        <w:rPr>
          <w:spacing w:val="-10"/>
          <w:sz w:val="24"/>
        </w:rPr>
        <w:t> </w:t>
      </w:r>
      <w:r>
        <w:rPr>
          <w:sz w:val="24"/>
        </w:rPr>
        <w:t>same</w:t>
      </w:r>
      <w:r>
        <w:rPr>
          <w:spacing w:val="-12"/>
          <w:sz w:val="24"/>
        </w:rPr>
        <w:t> </w:t>
      </w:r>
      <w:r>
        <w:rPr>
          <w:sz w:val="24"/>
        </w:rPr>
        <w:t>purpose,</w:t>
      </w:r>
      <w:r>
        <w:rPr>
          <w:spacing w:val="-12"/>
          <w:sz w:val="24"/>
        </w:rPr>
        <w:t> </w:t>
      </w:r>
      <w:r>
        <w:rPr>
          <w:sz w:val="24"/>
        </w:rPr>
        <w:t>or on the lands under deemed reservations, if any, as per these Regulations.</w:t>
      </w:r>
    </w:p>
    <w:p>
      <w:pPr>
        <w:pStyle w:val="BodyText"/>
        <w:spacing w:before="1"/>
        <w:jc w:val="left"/>
      </w:pPr>
    </w:p>
    <w:p>
      <w:pPr>
        <w:pStyle w:val="ListParagraph"/>
        <w:numPr>
          <w:ilvl w:val="1"/>
          <w:numId w:val="127"/>
        </w:numPr>
        <w:tabs>
          <w:tab w:pos="1423" w:val="left" w:leader="none"/>
        </w:tabs>
        <w:spacing w:line="240" w:lineRule="auto" w:before="0" w:after="0"/>
        <w:ind w:left="962" w:right="971" w:firstLine="0"/>
        <w:jc w:val="both"/>
        <w:rPr>
          <w:sz w:val="24"/>
        </w:rPr>
      </w:pPr>
      <w:r>
        <w:rPr>
          <w:sz w:val="24"/>
        </w:rPr>
        <w:t>DRC</w:t>
      </w:r>
      <w:r>
        <w:rPr>
          <w:spacing w:val="-16"/>
          <w:sz w:val="24"/>
        </w:rPr>
        <w:t> </w:t>
      </w:r>
      <w:r>
        <w:rPr>
          <w:sz w:val="24"/>
        </w:rPr>
        <w:t>may</w:t>
      </w:r>
      <w:r>
        <w:rPr>
          <w:spacing w:val="-16"/>
          <w:sz w:val="24"/>
        </w:rPr>
        <w:t> </w:t>
      </w:r>
      <w:r>
        <w:rPr>
          <w:sz w:val="24"/>
        </w:rPr>
        <w:t>be</w:t>
      </w:r>
      <w:r>
        <w:rPr>
          <w:spacing w:val="-16"/>
          <w:sz w:val="24"/>
        </w:rPr>
        <w:t> </w:t>
      </w:r>
      <w:r>
        <w:rPr>
          <w:sz w:val="24"/>
        </w:rPr>
        <w:t>used</w:t>
      </w:r>
      <w:r>
        <w:rPr>
          <w:spacing w:val="-16"/>
          <w:sz w:val="24"/>
        </w:rPr>
        <w:t> </w:t>
      </w:r>
      <w:r>
        <w:rPr>
          <w:sz w:val="24"/>
        </w:rPr>
        <w:t>on</w:t>
      </w:r>
      <w:r>
        <w:rPr>
          <w:spacing w:val="-16"/>
          <w:sz w:val="24"/>
        </w:rPr>
        <w:t> </w:t>
      </w:r>
      <w:r>
        <w:rPr>
          <w:sz w:val="24"/>
        </w:rPr>
        <w:t>plots/land</w:t>
      </w:r>
      <w:r>
        <w:rPr>
          <w:spacing w:val="-16"/>
          <w:sz w:val="24"/>
        </w:rPr>
        <w:t> </w:t>
      </w:r>
      <w:r>
        <w:rPr>
          <w:sz w:val="24"/>
        </w:rPr>
        <w:t>available</w:t>
      </w:r>
      <w:r>
        <w:rPr>
          <w:spacing w:val="-16"/>
          <w:sz w:val="24"/>
        </w:rPr>
        <w:t> </w:t>
      </w:r>
      <w:r>
        <w:rPr>
          <w:sz w:val="24"/>
        </w:rPr>
        <w:t>with</w:t>
      </w:r>
      <w:r>
        <w:rPr>
          <w:spacing w:val="-16"/>
          <w:sz w:val="24"/>
        </w:rPr>
        <w:t> </w:t>
      </w:r>
      <w:r>
        <w:rPr>
          <w:sz w:val="24"/>
        </w:rPr>
        <w:t>the</w:t>
      </w:r>
      <w:r>
        <w:rPr>
          <w:spacing w:val="-16"/>
          <w:sz w:val="24"/>
        </w:rPr>
        <w:t> </w:t>
      </w:r>
      <w:r>
        <w:rPr>
          <w:sz w:val="24"/>
        </w:rPr>
        <w:t>owner</w:t>
      </w:r>
      <w:r>
        <w:rPr>
          <w:spacing w:val="-20"/>
          <w:sz w:val="24"/>
        </w:rPr>
        <w:t> </w:t>
      </w:r>
      <w:r>
        <w:rPr>
          <w:sz w:val="24"/>
        </w:rPr>
        <w:t>after</w:t>
      </w:r>
      <w:r>
        <w:rPr>
          <w:spacing w:val="-15"/>
          <w:sz w:val="24"/>
        </w:rPr>
        <w:t> </w:t>
      </w:r>
      <w:r>
        <w:rPr>
          <w:sz w:val="24"/>
        </w:rPr>
        <w:t>surrendering the required land and construction to the Planning Authority under the provisions of Accommodation Reservation. In such circumstances, for the purpose of deciding </w:t>
      </w:r>
      <w:r>
        <w:rPr>
          <w:i/>
          <w:sz w:val="24"/>
        </w:rPr>
        <w:t>Transferable Development Rights (TDR</w:t>
      </w:r>
      <w:r>
        <w:rPr>
          <w:sz w:val="24"/>
        </w:rPr>
        <w:t>) receiving potential, the total area of the reservation before surrender, shall be considered.</w:t>
      </w:r>
    </w:p>
    <w:p>
      <w:pPr>
        <w:pStyle w:val="Heading5"/>
        <w:numPr>
          <w:ilvl w:val="1"/>
          <w:numId w:val="127"/>
        </w:numPr>
        <w:tabs>
          <w:tab w:pos="1521" w:val="left" w:leader="none"/>
        </w:tabs>
        <w:spacing w:line="240" w:lineRule="auto" w:before="279" w:after="0"/>
        <w:ind w:left="1521" w:right="0" w:hanging="559"/>
        <w:jc w:val="both"/>
      </w:pPr>
      <w:r>
        <w:rPr/>
        <w:t>Infrastructure</w:t>
      </w:r>
      <w:r>
        <w:rPr>
          <w:spacing w:val="-7"/>
        </w:rPr>
        <w:t> </w:t>
      </w:r>
      <w:r>
        <w:rPr/>
        <w:t>Improvement</w:t>
      </w:r>
      <w:r>
        <w:rPr>
          <w:spacing w:val="-6"/>
        </w:rPr>
        <w:t> </w:t>
      </w:r>
      <w:r>
        <w:rPr>
          <w:spacing w:val="-2"/>
        </w:rPr>
        <w:t>Charges-</w:t>
      </w:r>
    </w:p>
    <w:p>
      <w:pPr>
        <w:pStyle w:val="BodyText"/>
        <w:spacing w:before="45"/>
        <w:ind w:left="962" w:right="971"/>
      </w:pPr>
      <w:r>
        <w:rPr/>
        <w:t>The</w:t>
      </w:r>
      <w:r>
        <w:rPr>
          <w:spacing w:val="-9"/>
        </w:rPr>
        <w:t> </w:t>
      </w:r>
      <w:r>
        <w:rPr/>
        <w:t>utilizer</w:t>
      </w:r>
      <w:r>
        <w:rPr>
          <w:spacing w:val="-9"/>
        </w:rPr>
        <w:t> </w:t>
      </w:r>
      <w:r>
        <w:rPr/>
        <w:t>shall</w:t>
      </w:r>
      <w:r>
        <w:rPr>
          <w:spacing w:val="-9"/>
        </w:rPr>
        <w:t> </w:t>
      </w:r>
      <w:r>
        <w:rPr/>
        <w:t>pay</w:t>
      </w:r>
      <w:r>
        <w:rPr>
          <w:spacing w:val="-9"/>
        </w:rPr>
        <w:t> </w:t>
      </w:r>
      <w:r>
        <w:rPr/>
        <w:t>to</w:t>
      </w:r>
      <w:r>
        <w:rPr>
          <w:spacing w:val="-9"/>
        </w:rPr>
        <w:t> </w:t>
      </w:r>
      <w:r>
        <w:rPr/>
        <w:t>the</w:t>
      </w:r>
      <w:r>
        <w:rPr>
          <w:spacing w:val="-9"/>
        </w:rPr>
        <w:t> </w:t>
      </w:r>
      <w:r>
        <w:rPr/>
        <w:t>Planning</w:t>
      </w:r>
      <w:r>
        <w:rPr>
          <w:spacing w:val="-9"/>
        </w:rPr>
        <w:t> </w:t>
      </w:r>
      <w:r>
        <w:rPr/>
        <w:t>Authority,</w:t>
      </w:r>
      <w:r>
        <w:rPr>
          <w:spacing w:val="-9"/>
        </w:rPr>
        <w:t> </w:t>
      </w:r>
      <w:r>
        <w:rPr/>
        <w:t>an</w:t>
      </w:r>
      <w:r>
        <w:rPr>
          <w:spacing w:val="-9"/>
        </w:rPr>
        <w:t> </w:t>
      </w:r>
      <w:r>
        <w:rPr/>
        <w:t>infrastructure</w:t>
      </w:r>
      <w:r>
        <w:rPr>
          <w:spacing w:val="-9"/>
        </w:rPr>
        <w:t> </w:t>
      </w:r>
      <w:r>
        <w:rPr/>
        <w:t>improvement charges, for a proposed quantum of TDR to be utilised, at the rate of 5% of construction cost as per the prevailing Annual Statement of Rates.</w:t>
      </w:r>
    </w:p>
    <w:p>
      <w:pPr>
        <w:pStyle w:val="Heading4"/>
        <w:numPr>
          <w:ilvl w:val="1"/>
          <w:numId w:val="130"/>
        </w:numPr>
        <w:tabs>
          <w:tab w:pos="1521" w:val="left" w:leader="none"/>
        </w:tabs>
        <w:spacing w:line="240" w:lineRule="auto" w:before="280" w:after="0"/>
        <w:ind w:left="1521" w:right="0" w:hanging="559"/>
        <w:jc w:val="both"/>
      </w:pPr>
      <w:r>
        <w:rPr/>
        <w:t>VESTING</w:t>
      </w:r>
      <w:r>
        <w:rPr>
          <w:spacing w:val="-3"/>
        </w:rPr>
        <w:t> </w:t>
      </w:r>
      <w:r>
        <w:rPr/>
        <w:t>OF</w:t>
      </w:r>
      <w:r>
        <w:rPr>
          <w:spacing w:val="-1"/>
        </w:rPr>
        <w:t> </w:t>
      </w:r>
      <w:r>
        <w:rPr/>
        <w:t>LAND </w:t>
      </w:r>
      <w:r>
        <w:rPr>
          <w:spacing w:val="-5"/>
        </w:rPr>
        <w:t>:-</w:t>
      </w:r>
    </w:p>
    <w:p>
      <w:pPr>
        <w:pStyle w:val="BodyText"/>
        <w:spacing w:before="44"/>
        <w:jc w:val="left"/>
        <w:rPr>
          <w:b/>
        </w:rPr>
      </w:pPr>
    </w:p>
    <w:p>
      <w:pPr>
        <w:pStyle w:val="ListParagraph"/>
        <w:numPr>
          <w:ilvl w:val="1"/>
          <w:numId w:val="130"/>
        </w:numPr>
        <w:tabs>
          <w:tab w:pos="1425" w:val="left" w:leader="none"/>
        </w:tabs>
        <w:spacing w:line="240" w:lineRule="auto" w:before="0" w:after="0"/>
        <w:ind w:left="962" w:right="970" w:firstLine="0"/>
        <w:jc w:val="both"/>
        <w:rPr>
          <w:sz w:val="24"/>
        </w:rPr>
      </w:pPr>
      <w:r>
        <w:rPr>
          <w:sz w:val="24"/>
        </w:rPr>
        <w:t>The</w:t>
      </w:r>
      <w:r>
        <w:rPr>
          <w:spacing w:val="-12"/>
          <w:sz w:val="24"/>
        </w:rPr>
        <w:t> </w:t>
      </w:r>
      <w:r>
        <w:rPr>
          <w:sz w:val="24"/>
        </w:rPr>
        <w:t>Commissioner,</w:t>
      </w:r>
      <w:r>
        <w:rPr>
          <w:spacing w:val="-12"/>
          <w:sz w:val="24"/>
        </w:rPr>
        <w:t> </w:t>
      </w:r>
      <w:r>
        <w:rPr>
          <w:sz w:val="24"/>
        </w:rPr>
        <w:t>before</w:t>
      </w:r>
      <w:r>
        <w:rPr>
          <w:spacing w:val="-12"/>
          <w:sz w:val="24"/>
        </w:rPr>
        <w:t> </w:t>
      </w:r>
      <w:r>
        <w:rPr>
          <w:sz w:val="24"/>
        </w:rPr>
        <w:t>issuing</w:t>
      </w:r>
      <w:r>
        <w:rPr>
          <w:spacing w:val="-12"/>
          <w:sz w:val="24"/>
        </w:rPr>
        <w:t> </w:t>
      </w:r>
      <w:r>
        <w:rPr>
          <w:sz w:val="24"/>
        </w:rPr>
        <w:t>DRC,</w:t>
      </w:r>
      <w:r>
        <w:rPr>
          <w:spacing w:val="-12"/>
          <w:sz w:val="24"/>
        </w:rPr>
        <w:t> </w:t>
      </w:r>
      <w:r>
        <w:rPr>
          <w:sz w:val="24"/>
        </w:rPr>
        <w:t>shall</w:t>
      </w:r>
      <w:r>
        <w:rPr>
          <w:spacing w:val="-12"/>
          <w:sz w:val="24"/>
        </w:rPr>
        <w:t> </w:t>
      </w:r>
      <w:r>
        <w:rPr>
          <w:sz w:val="24"/>
        </w:rPr>
        <w:t>verify</w:t>
      </w:r>
      <w:r>
        <w:rPr>
          <w:spacing w:val="-12"/>
          <w:sz w:val="24"/>
        </w:rPr>
        <w:t> </w:t>
      </w:r>
      <w:r>
        <w:rPr>
          <w:sz w:val="24"/>
        </w:rPr>
        <w:t>and</w:t>
      </w:r>
      <w:r>
        <w:rPr>
          <w:spacing w:val="-12"/>
          <w:sz w:val="24"/>
        </w:rPr>
        <w:t> </w:t>
      </w:r>
      <w:r>
        <w:rPr>
          <w:sz w:val="24"/>
        </w:rPr>
        <w:t>satisfy</w:t>
      </w:r>
      <w:r>
        <w:rPr>
          <w:spacing w:val="-12"/>
          <w:sz w:val="24"/>
        </w:rPr>
        <w:t> </w:t>
      </w:r>
      <w:r>
        <w:rPr>
          <w:sz w:val="24"/>
        </w:rPr>
        <w:t>himself</w:t>
      </w:r>
      <w:r>
        <w:rPr>
          <w:spacing w:val="-12"/>
          <w:sz w:val="24"/>
        </w:rPr>
        <w:t> </w:t>
      </w:r>
      <w:r>
        <w:rPr>
          <w:sz w:val="24"/>
        </w:rPr>
        <w:t>that the</w:t>
      </w:r>
      <w:r>
        <w:rPr>
          <w:spacing w:val="-13"/>
          <w:sz w:val="24"/>
        </w:rPr>
        <w:t> </w:t>
      </w:r>
      <w:r>
        <w:rPr>
          <w:sz w:val="24"/>
        </w:rPr>
        <w:t>ownership</w:t>
      </w:r>
      <w:r>
        <w:rPr>
          <w:spacing w:val="-13"/>
          <w:sz w:val="24"/>
        </w:rPr>
        <w:t> </w:t>
      </w:r>
      <w:r>
        <w:rPr>
          <w:sz w:val="24"/>
        </w:rPr>
        <w:t>and</w:t>
      </w:r>
      <w:r>
        <w:rPr>
          <w:spacing w:val="-13"/>
          <w:sz w:val="24"/>
        </w:rPr>
        <w:t> </w:t>
      </w:r>
      <w:r>
        <w:rPr>
          <w:sz w:val="24"/>
        </w:rPr>
        <w:t>title</w:t>
      </w:r>
      <w:r>
        <w:rPr>
          <w:spacing w:val="-13"/>
          <w:sz w:val="24"/>
        </w:rPr>
        <w:t> </w:t>
      </w:r>
      <w:r>
        <w:rPr>
          <w:sz w:val="24"/>
        </w:rPr>
        <w:t>of</w:t>
      </w:r>
      <w:r>
        <w:rPr>
          <w:spacing w:val="-13"/>
          <w:sz w:val="24"/>
        </w:rPr>
        <w:t> </w:t>
      </w:r>
      <w:r>
        <w:rPr>
          <w:sz w:val="24"/>
        </w:rPr>
        <w:t>the</w:t>
      </w:r>
      <w:r>
        <w:rPr>
          <w:spacing w:val="-15"/>
          <w:sz w:val="24"/>
        </w:rPr>
        <w:t> </w:t>
      </w:r>
      <w:r>
        <w:rPr>
          <w:sz w:val="24"/>
        </w:rPr>
        <w:t>land</w:t>
      </w:r>
      <w:r>
        <w:rPr>
          <w:spacing w:val="-13"/>
          <w:sz w:val="24"/>
        </w:rPr>
        <w:t> </w:t>
      </w:r>
      <w:r>
        <w:rPr>
          <w:sz w:val="24"/>
        </w:rPr>
        <w:t>proposed</w:t>
      </w:r>
      <w:r>
        <w:rPr>
          <w:spacing w:val="-13"/>
          <w:sz w:val="24"/>
        </w:rPr>
        <w:t> </w:t>
      </w:r>
      <w:r>
        <w:rPr>
          <w:sz w:val="24"/>
        </w:rPr>
        <w:t>for</w:t>
      </w:r>
      <w:r>
        <w:rPr>
          <w:spacing w:val="-13"/>
          <w:sz w:val="24"/>
        </w:rPr>
        <w:t> </w:t>
      </w:r>
      <w:r>
        <w:rPr>
          <w:sz w:val="24"/>
        </w:rPr>
        <w:t>surrender</w:t>
      </w:r>
      <w:r>
        <w:rPr>
          <w:spacing w:val="-13"/>
          <w:sz w:val="24"/>
        </w:rPr>
        <w:t> </w:t>
      </w:r>
      <w:r>
        <w:rPr>
          <w:sz w:val="24"/>
        </w:rPr>
        <w:t>is</w:t>
      </w:r>
      <w:r>
        <w:rPr>
          <w:spacing w:val="-15"/>
          <w:sz w:val="24"/>
        </w:rPr>
        <w:t> </w:t>
      </w:r>
      <w:r>
        <w:rPr>
          <w:sz w:val="24"/>
        </w:rPr>
        <w:t>with</w:t>
      </w:r>
      <w:r>
        <w:rPr>
          <w:spacing w:val="-13"/>
          <w:sz w:val="24"/>
        </w:rPr>
        <w:t> </w:t>
      </w:r>
      <w:r>
        <w:rPr>
          <w:sz w:val="24"/>
        </w:rPr>
        <w:t>the</w:t>
      </w:r>
      <w:r>
        <w:rPr>
          <w:spacing w:val="-13"/>
          <w:sz w:val="24"/>
        </w:rPr>
        <w:t> </w:t>
      </w:r>
      <w:r>
        <w:rPr>
          <w:sz w:val="24"/>
        </w:rPr>
        <w:t>applicant, and get the Property Registered Card (PRC) to be corrected in the name of Planning Authority.</w:t>
      </w:r>
    </w:p>
    <w:p>
      <w:pPr>
        <w:pStyle w:val="BodyText"/>
        <w:jc w:val="left"/>
      </w:pPr>
    </w:p>
    <w:p>
      <w:pPr>
        <w:pStyle w:val="ListParagraph"/>
        <w:numPr>
          <w:ilvl w:val="1"/>
          <w:numId w:val="130"/>
        </w:numPr>
        <w:tabs>
          <w:tab w:pos="1468" w:val="left" w:leader="none"/>
        </w:tabs>
        <w:spacing w:line="240" w:lineRule="auto" w:before="1" w:after="0"/>
        <w:ind w:left="962" w:right="971" w:firstLine="0"/>
        <w:jc w:val="both"/>
        <w:rPr>
          <w:sz w:val="24"/>
        </w:rPr>
      </w:pPr>
      <w:r>
        <w:rPr>
          <w:sz w:val="24"/>
        </w:rPr>
        <w:t>In case the Appropriate Authority for reservation is other than Planning Authority, it shall be permissible for the Commissioner on the request of such authority to grant TDR under this regulation and hold such possession as a facilitator. Provided that, the Municipal Commissioner shall handover the possession of such land to concerned Appropriate Authority, after receipt of value of land, from such Appropriate Authority as per Annual Statement of Rates prevailing at the time of handing over possession of land under </w:t>
      </w:r>
      <w:r>
        <w:rPr>
          <w:spacing w:val="-2"/>
          <w:sz w:val="24"/>
        </w:rPr>
        <w:t>reservation.</w:t>
      </w:r>
    </w:p>
    <w:p>
      <w:pPr>
        <w:pStyle w:val="ListParagraph"/>
        <w:spacing w:after="0" w:line="240" w:lineRule="auto"/>
        <w:jc w:val="both"/>
        <w:rPr>
          <w:sz w:val="24"/>
        </w:rPr>
        <w:sectPr>
          <w:pgSz w:w="11910" w:h="16840"/>
          <w:pgMar w:header="1065" w:footer="1237" w:top="1500" w:bottom="1420" w:left="360" w:right="360"/>
        </w:sectPr>
      </w:pPr>
    </w:p>
    <w:p>
      <w:pPr>
        <w:pStyle w:val="BodyText"/>
        <w:spacing w:before="249"/>
        <w:ind w:left="962" w:right="972" w:firstLine="844"/>
      </w:pPr>
      <w:r>
        <w:rPr/>
        <w:t>Provided also that, if such Appropriate Authority is the State Government Department, the Municipal Commissioner shall handover the possession of such land to the concerned Department free of cost.</w:t>
      </w:r>
    </w:p>
    <w:p>
      <w:pPr>
        <w:pStyle w:val="BodyText"/>
        <w:spacing w:before="1"/>
        <w:jc w:val="left"/>
      </w:pPr>
    </w:p>
    <w:p>
      <w:pPr>
        <w:pStyle w:val="Heading4"/>
        <w:numPr>
          <w:ilvl w:val="1"/>
          <w:numId w:val="131"/>
        </w:numPr>
        <w:tabs>
          <w:tab w:pos="1605" w:val="left" w:leader="none"/>
        </w:tabs>
        <w:spacing w:line="280" w:lineRule="exact" w:before="0" w:after="0"/>
        <w:ind w:left="1605" w:right="0" w:hanging="643"/>
        <w:jc w:val="left"/>
      </w:pPr>
      <w:r>
        <w:rPr/>
        <w:t>EFFECT</w:t>
      </w:r>
      <w:r>
        <w:rPr>
          <w:spacing w:val="-3"/>
        </w:rPr>
        <w:t> </w:t>
      </w:r>
      <w:r>
        <w:rPr/>
        <w:t>OF</w:t>
      </w:r>
      <w:r>
        <w:rPr>
          <w:spacing w:val="-3"/>
        </w:rPr>
        <w:t> </w:t>
      </w:r>
      <w:r>
        <w:rPr/>
        <w:t>THIS</w:t>
      </w:r>
      <w:r>
        <w:rPr>
          <w:spacing w:val="-3"/>
        </w:rPr>
        <w:t> </w:t>
      </w:r>
      <w:r>
        <w:rPr>
          <w:spacing w:val="-2"/>
        </w:rPr>
        <w:t>REGULATION:-</w:t>
      </w:r>
    </w:p>
    <w:p>
      <w:pPr>
        <w:pStyle w:val="BodyText"/>
        <w:spacing w:line="276" w:lineRule="auto"/>
        <w:ind w:left="962" w:right="972"/>
      </w:pPr>
      <w:r>
        <w:rPr/>
        <w:t>Provision of Generation of TDR from these regulations shall not be applicable where</w:t>
      </w:r>
      <w:r>
        <w:rPr>
          <w:spacing w:val="-4"/>
        </w:rPr>
        <w:t> </w:t>
      </w:r>
      <w:r>
        <w:rPr/>
        <w:t>DRC</w:t>
      </w:r>
      <w:r>
        <w:rPr>
          <w:spacing w:val="-4"/>
        </w:rPr>
        <w:t> </w:t>
      </w:r>
      <w:r>
        <w:rPr/>
        <w:t>has</w:t>
      </w:r>
      <w:r>
        <w:rPr>
          <w:spacing w:val="-4"/>
        </w:rPr>
        <w:t> </w:t>
      </w:r>
      <w:r>
        <w:rPr/>
        <w:t>been</w:t>
      </w:r>
      <w:r>
        <w:rPr>
          <w:spacing w:val="-7"/>
        </w:rPr>
        <w:t> </w:t>
      </w:r>
      <w:r>
        <w:rPr/>
        <w:t>issued</w:t>
      </w:r>
      <w:r>
        <w:rPr>
          <w:spacing w:val="-4"/>
        </w:rPr>
        <w:t> </w:t>
      </w:r>
      <w:r>
        <w:rPr/>
        <w:t>prior</w:t>
      </w:r>
      <w:r>
        <w:rPr>
          <w:spacing w:val="-4"/>
        </w:rPr>
        <w:t> </w:t>
      </w:r>
      <w:r>
        <w:rPr/>
        <w:t>to</w:t>
      </w:r>
      <w:r>
        <w:rPr>
          <w:spacing w:val="-4"/>
        </w:rPr>
        <w:t> </w:t>
      </w:r>
      <w:r>
        <w:rPr/>
        <w:t>publication</w:t>
      </w:r>
      <w:r>
        <w:rPr>
          <w:spacing w:val="-4"/>
        </w:rPr>
        <w:t> </w:t>
      </w:r>
      <w:r>
        <w:rPr/>
        <w:t>of</w:t>
      </w:r>
      <w:r>
        <w:rPr>
          <w:spacing w:val="-4"/>
        </w:rPr>
        <w:t> </w:t>
      </w:r>
      <w:r>
        <w:rPr/>
        <w:t>these</w:t>
      </w:r>
      <w:r>
        <w:rPr>
          <w:spacing w:val="-4"/>
        </w:rPr>
        <w:t> </w:t>
      </w:r>
      <w:r>
        <w:rPr/>
        <w:t>regulations.</w:t>
      </w:r>
      <w:r>
        <w:rPr>
          <w:spacing w:val="-3"/>
        </w:rPr>
        <w:t> </w:t>
      </w:r>
      <w:r>
        <w:rPr/>
        <w:t>"However DRCs issued under the DCR-1991 of slum redevelopment &amp; Heritage shall be allowed to be utilised as per DCR 1991</w:t>
      </w:r>
      <w:r>
        <w:rPr>
          <w:spacing w:val="80"/>
        </w:rPr>
        <w:t> </w:t>
      </w:r>
      <w:r>
        <w:rPr/>
        <w:t>without indexation</w:t>
      </w:r>
      <w:r>
        <w:rPr>
          <w:spacing w:val="80"/>
        </w:rPr>
        <w:t> </w:t>
      </w:r>
      <w:r>
        <w:rPr/>
        <w:t>for one year only.</w:t>
      </w:r>
    </w:p>
    <w:p>
      <w:pPr>
        <w:pStyle w:val="BodyText"/>
        <w:spacing w:line="278" w:lineRule="auto" w:before="200"/>
        <w:ind w:left="962" w:right="971"/>
      </w:pPr>
      <w:r>
        <w:rPr/>
        <w:t>Provided that balance of DRCs issued under the DCR-1991 of slum redevelopment &amp; Heritage shall be indexed for utilisation.</w:t>
      </w:r>
    </w:p>
    <w:p>
      <w:pPr>
        <w:pStyle w:val="BodyText"/>
        <w:spacing w:before="197"/>
        <w:ind w:left="962" w:right="974" w:firstLine="1305"/>
      </w:pPr>
      <w:r>
        <w:rPr/>
        <w:t>Provided also that old TDR purchased for utilisation on a specific plot</w:t>
      </w:r>
      <w:r>
        <w:rPr>
          <w:spacing w:val="-13"/>
        </w:rPr>
        <w:t> </w:t>
      </w:r>
      <w:r>
        <w:rPr/>
        <w:t>with</w:t>
      </w:r>
      <w:r>
        <w:rPr>
          <w:spacing w:val="-13"/>
        </w:rPr>
        <w:t> </w:t>
      </w:r>
      <w:r>
        <w:rPr/>
        <w:t>registered</w:t>
      </w:r>
      <w:r>
        <w:rPr>
          <w:spacing w:val="-11"/>
        </w:rPr>
        <w:t> </w:t>
      </w:r>
      <w:r>
        <w:rPr/>
        <w:t>documents</w:t>
      </w:r>
      <w:r>
        <w:rPr>
          <w:spacing w:val="-13"/>
        </w:rPr>
        <w:t> </w:t>
      </w:r>
      <w:r>
        <w:rPr/>
        <w:t>of</w:t>
      </w:r>
      <w:r>
        <w:rPr>
          <w:spacing w:val="-13"/>
        </w:rPr>
        <w:t> </w:t>
      </w:r>
      <w:r>
        <w:rPr/>
        <w:t>sale</w:t>
      </w:r>
      <w:r>
        <w:rPr>
          <w:spacing w:val="-13"/>
        </w:rPr>
        <w:t> </w:t>
      </w:r>
      <w:r>
        <w:rPr/>
        <w:t>and/or</w:t>
      </w:r>
      <w:r>
        <w:rPr>
          <w:spacing w:val="-13"/>
        </w:rPr>
        <w:t> </w:t>
      </w:r>
      <w:r>
        <w:rPr/>
        <w:t>specific</w:t>
      </w:r>
      <w:r>
        <w:rPr>
          <w:spacing w:val="-13"/>
        </w:rPr>
        <w:t> </w:t>
      </w:r>
      <w:r>
        <w:rPr/>
        <w:t>proposal</w:t>
      </w:r>
      <w:r>
        <w:rPr>
          <w:spacing w:val="-13"/>
        </w:rPr>
        <w:t> </w:t>
      </w:r>
      <w:r>
        <w:rPr/>
        <w:t>for</w:t>
      </w:r>
      <w:r>
        <w:rPr>
          <w:spacing w:val="-13"/>
        </w:rPr>
        <w:t> </w:t>
      </w:r>
      <w:r>
        <w:rPr/>
        <w:t>utilisation</w:t>
      </w:r>
      <w:r>
        <w:rPr>
          <w:spacing w:val="-13"/>
        </w:rPr>
        <w:t> </w:t>
      </w:r>
      <w:r>
        <w:rPr/>
        <w:t>of such TDR pending in the ULBs prior to these regulations shall be allowed completely as per the</w:t>
      </w:r>
      <w:r>
        <w:rPr>
          <w:spacing w:val="40"/>
        </w:rPr>
        <w:t> </w:t>
      </w:r>
      <w:r>
        <w:rPr>
          <w:sz w:val="22"/>
        </w:rPr>
        <w:t>DCR 1991 </w:t>
      </w:r>
      <w:r>
        <w:rPr/>
        <w:t>".</w:t>
      </w:r>
    </w:p>
    <w:p>
      <w:pPr>
        <w:pStyle w:val="BodyText"/>
        <w:spacing w:before="213"/>
        <w:jc w:val="left"/>
      </w:pPr>
    </w:p>
    <w:p>
      <w:pPr>
        <w:pStyle w:val="BodyText"/>
        <w:spacing w:line="276" w:lineRule="auto" w:before="1"/>
        <w:ind w:left="962" w:right="972" w:firstLine="69"/>
      </w:pPr>
      <w:r>
        <w:rPr/>
        <w:t>Notwithstanding anything contained in these Regulation, at the option of owner/developer the TDR to be generated in the ongoing schemes as per Regulation 33(10) &amp; 33(14) of DCR 1991 where CC is already issued which is valid</w:t>
      </w:r>
      <w:r>
        <w:rPr>
          <w:spacing w:val="-3"/>
        </w:rPr>
        <w:t> </w:t>
      </w:r>
      <w:r>
        <w:rPr/>
        <w:t>&amp;</w:t>
      </w:r>
      <w:r>
        <w:rPr>
          <w:spacing w:val="-3"/>
        </w:rPr>
        <w:t> </w:t>
      </w:r>
      <w:r>
        <w:rPr/>
        <w:t>work</w:t>
      </w:r>
      <w:r>
        <w:rPr>
          <w:spacing w:val="-6"/>
        </w:rPr>
        <w:t> </w:t>
      </w:r>
      <w:r>
        <w:rPr/>
        <w:t>is</w:t>
      </w:r>
      <w:r>
        <w:rPr>
          <w:spacing w:val="-3"/>
        </w:rPr>
        <w:t> </w:t>
      </w:r>
      <w:r>
        <w:rPr/>
        <w:t>in</w:t>
      </w:r>
      <w:r>
        <w:rPr>
          <w:spacing w:val="-6"/>
        </w:rPr>
        <w:t> </w:t>
      </w:r>
      <w:r>
        <w:rPr/>
        <w:t>progress</w:t>
      </w:r>
      <w:r>
        <w:rPr>
          <w:spacing w:val="-3"/>
        </w:rPr>
        <w:t> </w:t>
      </w:r>
      <w:r>
        <w:rPr/>
        <w:t>accordingly,</w:t>
      </w:r>
      <w:r>
        <w:rPr>
          <w:spacing w:val="-3"/>
        </w:rPr>
        <w:t> </w:t>
      </w:r>
      <w:r>
        <w:rPr/>
        <w:t>then</w:t>
      </w:r>
      <w:r>
        <w:rPr>
          <w:spacing w:val="-3"/>
        </w:rPr>
        <w:t> </w:t>
      </w:r>
      <w:r>
        <w:rPr/>
        <w:t>in</w:t>
      </w:r>
      <w:r>
        <w:rPr>
          <w:spacing w:val="-3"/>
        </w:rPr>
        <w:t> </w:t>
      </w:r>
      <w:r>
        <w:rPr/>
        <w:t>such</w:t>
      </w:r>
      <w:r>
        <w:rPr>
          <w:spacing w:val="-3"/>
        </w:rPr>
        <w:t> </w:t>
      </w:r>
      <w:r>
        <w:rPr/>
        <w:t>cases</w:t>
      </w:r>
      <w:r>
        <w:rPr>
          <w:spacing w:val="-6"/>
        </w:rPr>
        <w:t> </w:t>
      </w:r>
      <w:r>
        <w:rPr/>
        <w:t>the</w:t>
      </w:r>
      <w:r>
        <w:rPr>
          <w:spacing w:val="-3"/>
        </w:rPr>
        <w:t> </w:t>
      </w:r>
      <w:r>
        <w:rPr/>
        <w:t>TDR</w:t>
      </w:r>
      <w:r>
        <w:rPr>
          <w:spacing w:val="-6"/>
        </w:rPr>
        <w:t> </w:t>
      </w:r>
      <w:r>
        <w:rPr/>
        <w:t>generation &amp;</w:t>
      </w:r>
      <w:r>
        <w:rPr>
          <w:spacing w:val="-1"/>
        </w:rPr>
        <w:t> </w:t>
      </w:r>
      <w:r>
        <w:rPr/>
        <w:t>utilisation</w:t>
      </w:r>
      <w:r>
        <w:rPr>
          <w:spacing w:val="-1"/>
        </w:rPr>
        <w:t> </w:t>
      </w:r>
      <w:r>
        <w:rPr/>
        <w:t>shall</w:t>
      </w:r>
      <w:r>
        <w:rPr>
          <w:spacing w:val="-1"/>
        </w:rPr>
        <w:t> </w:t>
      </w:r>
      <w:r>
        <w:rPr/>
        <w:t>be</w:t>
      </w:r>
      <w:r>
        <w:rPr>
          <w:spacing w:val="-1"/>
        </w:rPr>
        <w:t> </w:t>
      </w:r>
      <w:r>
        <w:rPr/>
        <w:t>allowed</w:t>
      </w:r>
      <w:r>
        <w:rPr>
          <w:spacing w:val="-1"/>
        </w:rPr>
        <w:t> </w:t>
      </w:r>
      <w:r>
        <w:rPr/>
        <w:t>as</w:t>
      </w:r>
      <w:r>
        <w:rPr>
          <w:spacing w:val="-1"/>
        </w:rPr>
        <w:t> </w:t>
      </w:r>
      <w:r>
        <w:rPr/>
        <w:t>per</w:t>
      </w:r>
      <w:r>
        <w:rPr>
          <w:spacing w:val="-1"/>
        </w:rPr>
        <w:t> </w:t>
      </w:r>
      <w:r>
        <w:rPr/>
        <w:t>DCR</w:t>
      </w:r>
      <w:r>
        <w:rPr>
          <w:spacing w:val="-1"/>
        </w:rPr>
        <w:t> </w:t>
      </w:r>
      <w:r>
        <w:rPr/>
        <w:t>1991.</w:t>
      </w:r>
      <w:r>
        <w:rPr>
          <w:spacing w:val="-1"/>
        </w:rPr>
        <w:t> </w:t>
      </w:r>
      <w:r>
        <w:rPr/>
        <w:t>Provided</w:t>
      </w:r>
      <w:r>
        <w:rPr>
          <w:spacing w:val="-1"/>
        </w:rPr>
        <w:t> </w:t>
      </w:r>
      <w:r>
        <w:rPr/>
        <w:t>that</w:t>
      </w:r>
      <w:r>
        <w:rPr>
          <w:spacing w:val="-1"/>
        </w:rPr>
        <w:t> </w:t>
      </w:r>
      <w:r>
        <w:rPr/>
        <w:t>the</w:t>
      </w:r>
      <w:r>
        <w:rPr>
          <w:spacing w:val="-1"/>
        </w:rPr>
        <w:t> </w:t>
      </w:r>
      <w:r>
        <w:rPr/>
        <w:t>utilisation</w:t>
      </w:r>
      <w:r>
        <w:rPr>
          <w:spacing w:val="-1"/>
        </w:rPr>
        <w:t> </w:t>
      </w:r>
      <w:r>
        <w:rPr/>
        <w:t>of such TDR as per then Regulation shall be allowed within period of 1 year from the date of issue of such DRC without indexation and balance quantum after one year shall be reworked as per DCPR 2034 for generation and indexed for </w:t>
      </w:r>
      <w:r>
        <w:rPr>
          <w:spacing w:val="-2"/>
        </w:rPr>
        <w:t>utilization.</w:t>
      </w:r>
    </w:p>
    <w:p>
      <w:pPr>
        <w:pStyle w:val="Heading6"/>
        <w:numPr>
          <w:ilvl w:val="2"/>
          <w:numId w:val="131"/>
        </w:numPr>
        <w:tabs>
          <w:tab w:pos="1870" w:val="left" w:leader="none"/>
          <w:tab w:pos="1872" w:val="left" w:leader="none"/>
        </w:tabs>
        <w:spacing w:line="240" w:lineRule="auto" w:before="199" w:after="0"/>
        <w:ind w:left="1872" w:right="771" w:hanging="380"/>
        <w:jc w:val="both"/>
        <w:rPr>
          <w:i w:val="0"/>
        </w:rPr>
      </w:pPr>
      <w:r>
        <w:rPr/>
        <w:t>Additional Regulations for the grant of TDR to the Developers/Co- operative Housing Societies/NGOs in respect of slum rehabilitation scheme vide DCR 33(10) and DCR 33(11</w:t>
      </w:r>
      <w:r>
        <w:rPr>
          <w:b w:val="0"/>
        </w:rPr>
        <w:t>)</w:t>
      </w:r>
    </w:p>
    <w:p>
      <w:pPr>
        <w:pStyle w:val="ListParagraph"/>
        <w:numPr>
          <w:ilvl w:val="3"/>
          <w:numId w:val="131"/>
        </w:numPr>
        <w:tabs>
          <w:tab w:pos="2096" w:val="left" w:leader="none"/>
        </w:tabs>
        <w:spacing w:line="240" w:lineRule="auto" w:before="242" w:after="0"/>
        <w:ind w:left="1872" w:right="769" w:firstLine="0"/>
        <w:jc w:val="both"/>
        <w:rPr>
          <w:sz w:val="24"/>
        </w:rPr>
      </w:pPr>
      <w:r>
        <w:rPr>
          <w:sz w:val="24"/>
        </w:rPr>
        <w:t>The developer/society/NGO on a plot of land for which the Slum Rehabilitation Project is sanctioned under these Regulations shall be eligible for the award of TDR for the FSI, if any, difference between sanctioned FSI and FSI that can be utilized in-situ.</w:t>
      </w:r>
    </w:p>
    <w:p>
      <w:pPr>
        <w:pStyle w:val="ListParagraph"/>
        <w:numPr>
          <w:ilvl w:val="3"/>
          <w:numId w:val="131"/>
        </w:numPr>
        <w:tabs>
          <w:tab w:pos="2096" w:val="left" w:leader="none"/>
        </w:tabs>
        <w:spacing w:line="240" w:lineRule="auto" w:before="242" w:after="0"/>
        <w:ind w:left="1872" w:right="949" w:firstLine="0"/>
        <w:jc w:val="both"/>
        <w:rPr>
          <w:sz w:val="24"/>
        </w:rPr>
      </w:pPr>
      <w:r>
        <w:rPr>
          <w:sz w:val="24"/>
        </w:rPr>
        <w:t>DRC</w:t>
      </w:r>
      <w:r>
        <w:rPr>
          <w:spacing w:val="-1"/>
          <w:sz w:val="24"/>
        </w:rPr>
        <w:t> </w:t>
      </w:r>
      <w:r>
        <w:rPr>
          <w:sz w:val="24"/>
        </w:rPr>
        <w:t>for</w:t>
      </w:r>
      <w:r>
        <w:rPr>
          <w:spacing w:val="-1"/>
          <w:sz w:val="24"/>
        </w:rPr>
        <w:t> </w:t>
      </w:r>
      <w:r>
        <w:rPr>
          <w:sz w:val="24"/>
        </w:rPr>
        <w:t>the TDR will</w:t>
      </w:r>
      <w:r>
        <w:rPr>
          <w:spacing w:val="-1"/>
          <w:sz w:val="24"/>
        </w:rPr>
        <w:t> </w:t>
      </w:r>
      <w:r>
        <w:rPr>
          <w:sz w:val="24"/>
        </w:rPr>
        <w:t>be</w:t>
      </w:r>
      <w:r>
        <w:rPr>
          <w:spacing w:val="-1"/>
          <w:sz w:val="24"/>
        </w:rPr>
        <w:t> </w:t>
      </w:r>
      <w:r>
        <w:rPr>
          <w:sz w:val="24"/>
        </w:rPr>
        <w:t>issued</w:t>
      </w:r>
      <w:r>
        <w:rPr>
          <w:spacing w:val="-1"/>
          <w:sz w:val="24"/>
        </w:rPr>
        <w:t> </w:t>
      </w:r>
      <w:r>
        <w:rPr>
          <w:sz w:val="24"/>
        </w:rPr>
        <w:t>by</w:t>
      </w:r>
      <w:r>
        <w:rPr>
          <w:spacing w:val="-1"/>
          <w:sz w:val="24"/>
        </w:rPr>
        <w:t> </w:t>
      </w:r>
      <w:r>
        <w:rPr>
          <w:sz w:val="24"/>
        </w:rPr>
        <w:t>the Commissioner, MCGM</w:t>
      </w:r>
      <w:r>
        <w:rPr>
          <w:spacing w:val="-1"/>
          <w:sz w:val="24"/>
        </w:rPr>
        <w:t> </w:t>
      </w:r>
      <w:r>
        <w:rPr>
          <w:sz w:val="24"/>
        </w:rPr>
        <w:t>himself on recommendation by CEO (SRA). DRC shall state the DRs credit of BUA in square meters in figures and in words along with the details of place</w:t>
      </w:r>
      <w:r>
        <w:rPr>
          <w:spacing w:val="-20"/>
          <w:sz w:val="24"/>
        </w:rPr>
        <w:t> </w:t>
      </w:r>
      <w:r>
        <w:rPr>
          <w:sz w:val="24"/>
        </w:rPr>
        <w:t>i.e.</w:t>
      </w:r>
      <w:r>
        <w:rPr>
          <w:spacing w:val="-19"/>
          <w:sz w:val="24"/>
        </w:rPr>
        <w:t> </w:t>
      </w:r>
      <w:r>
        <w:rPr>
          <w:sz w:val="24"/>
        </w:rPr>
        <w:t>village/TP</w:t>
      </w:r>
      <w:r>
        <w:rPr>
          <w:spacing w:val="-19"/>
          <w:sz w:val="24"/>
        </w:rPr>
        <w:t> </w:t>
      </w:r>
      <w:r>
        <w:rPr>
          <w:sz w:val="24"/>
        </w:rPr>
        <w:t>Scheme/Division,</w:t>
      </w:r>
      <w:r>
        <w:rPr>
          <w:spacing w:val="-19"/>
          <w:sz w:val="24"/>
        </w:rPr>
        <w:t> </w:t>
      </w:r>
      <w:r>
        <w:rPr>
          <w:sz w:val="24"/>
        </w:rPr>
        <w:t>CS</w:t>
      </w:r>
      <w:r>
        <w:rPr>
          <w:spacing w:val="-19"/>
          <w:sz w:val="24"/>
        </w:rPr>
        <w:t> </w:t>
      </w:r>
      <w:r>
        <w:rPr>
          <w:sz w:val="24"/>
        </w:rPr>
        <w:t>No/CTS</w:t>
      </w:r>
      <w:r>
        <w:rPr>
          <w:spacing w:val="-20"/>
          <w:sz w:val="24"/>
        </w:rPr>
        <w:t> </w:t>
      </w:r>
      <w:r>
        <w:rPr>
          <w:sz w:val="24"/>
        </w:rPr>
        <w:t>No/FP</w:t>
      </w:r>
      <w:r>
        <w:rPr>
          <w:spacing w:val="-19"/>
          <w:sz w:val="24"/>
        </w:rPr>
        <w:t> </w:t>
      </w:r>
      <w:r>
        <w:rPr>
          <w:sz w:val="24"/>
        </w:rPr>
        <w:t>No</w:t>
      </w:r>
      <w:r>
        <w:rPr>
          <w:spacing w:val="-19"/>
          <w:sz w:val="24"/>
        </w:rPr>
        <w:t> </w:t>
      </w:r>
      <w:r>
        <w:rPr>
          <w:sz w:val="24"/>
        </w:rPr>
        <w:t>from</w:t>
      </w:r>
      <w:r>
        <w:rPr>
          <w:spacing w:val="-19"/>
          <w:sz w:val="24"/>
        </w:rPr>
        <w:t> </w:t>
      </w:r>
      <w:r>
        <w:rPr>
          <w:sz w:val="24"/>
        </w:rPr>
        <w:t>where it is generated, year of issue of DRC and Ward in which the DRs are </w:t>
      </w:r>
      <w:r>
        <w:rPr>
          <w:spacing w:val="-2"/>
          <w:sz w:val="24"/>
        </w:rPr>
        <w:t>earned.</w:t>
      </w:r>
    </w:p>
    <w:p>
      <w:pPr>
        <w:pStyle w:val="ListParagraph"/>
        <w:spacing w:after="0" w:line="240" w:lineRule="auto"/>
        <w:jc w:val="both"/>
        <w:rPr>
          <w:sz w:val="24"/>
        </w:rPr>
        <w:sectPr>
          <w:pgSz w:w="11910" w:h="16840"/>
          <w:pgMar w:header="1065" w:footer="1237" w:top="1500" w:bottom="1420" w:left="360" w:right="360"/>
        </w:sectPr>
      </w:pPr>
    </w:p>
    <w:p>
      <w:pPr>
        <w:pStyle w:val="ListParagraph"/>
        <w:numPr>
          <w:ilvl w:val="3"/>
          <w:numId w:val="131"/>
        </w:numPr>
        <w:tabs>
          <w:tab w:pos="2096" w:val="left" w:leader="none"/>
        </w:tabs>
        <w:spacing w:line="240" w:lineRule="auto" w:before="249" w:after="0"/>
        <w:ind w:left="1872" w:right="771" w:firstLine="0"/>
        <w:jc w:val="both"/>
        <w:rPr>
          <w:sz w:val="24"/>
        </w:rPr>
      </w:pPr>
      <w:r>
        <w:rPr>
          <w:sz w:val="24"/>
        </w:rPr>
        <w:t>The BUA for the grant of DRC shall be equal to BUA of the sanctioned Slum Rehabilitation Project allowed to be taken in the form of TDR&amp; as approved by CEO SRA.</w:t>
      </w:r>
    </w:p>
    <w:p>
      <w:pPr>
        <w:pStyle w:val="BodyText"/>
        <w:spacing w:before="1"/>
        <w:jc w:val="left"/>
      </w:pPr>
    </w:p>
    <w:p>
      <w:pPr>
        <w:pStyle w:val="ListParagraph"/>
        <w:numPr>
          <w:ilvl w:val="3"/>
          <w:numId w:val="131"/>
        </w:numPr>
        <w:tabs>
          <w:tab w:pos="2096" w:val="left" w:leader="none"/>
        </w:tabs>
        <w:spacing w:line="240" w:lineRule="auto" w:before="0" w:after="0"/>
        <w:ind w:left="1872" w:right="769" w:firstLine="0"/>
        <w:jc w:val="both"/>
        <w:rPr>
          <w:sz w:val="24"/>
        </w:rPr>
      </w:pPr>
      <w:r>
        <w:rPr>
          <w:sz w:val="24"/>
        </w:rPr>
        <w:t>When a buildable amenity on the reserved plot for which slum rehabilitation project is sanctioned, is handed over free of cost to the MCGM, the Commissioner may grant a further TDR due for the construction</w:t>
      </w:r>
      <w:r>
        <w:rPr>
          <w:spacing w:val="-1"/>
          <w:sz w:val="24"/>
        </w:rPr>
        <w:t> </w:t>
      </w:r>
      <w:r>
        <w:rPr>
          <w:sz w:val="24"/>
        </w:rPr>
        <w:t>of</w:t>
      </w:r>
      <w:r>
        <w:rPr>
          <w:spacing w:val="-1"/>
          <w:sz w:val="24"/>
        </w:rPr>
        <w:t> </w:t>
      </w:r>
      <w:r>
        <w:rPr>
          <w:sz w:val="24"/>
        </w:rPr>
        <w:t>the</w:t>
      </w:r>
      <w:r>
        <w:rPr>
          <w:spacing w:val="-1"/>
          <w:sz w:val="24"/>
        </w:rPr>
        <w:t> </w:t>
      </w:r>
      <w:r>
        <w:rPr>
          <w:sz w:val="24"/>
        </w:rPr>
        <w:t>said</w:t>
      </w:r>
      <w:r>
        <w:rPr>
          <w:spacing w:val="-1"/>
          <w:sz w:val="24"/>
        </w:rPr>
        <w:t> </w:t>
      </w:r>
      <w:r>
        <w:rPr>
          <w:sz w:val="24"/>
        </w:rPr>
        <w:t>amenity, as</w:t>
      </w:r>
      <w:r>
        <w:rPr>
          <w:spacing w:val="-1"/>
          <w:sz w:val="24"/>
        </w:rPr>
        <w:t> </w:t>
      </w:r>
      <w:r>
        <w:rPr>
          <w:sz w:val="24"/>
        </w:rPr>
        <w:t>per</w:t>
      </w:r>
      <w:r>
        <w:rPr>
          <w:spacing w:val="-3"/>
          <w:sz w:val="24"/>
        </w:rPr>
        <w:t> </w:t>
      </w:r>
      <w:r>
        <w:rPr>
          <w:sz w:val="24"/>
        </w:rPr>
        <w:t>Sr.</w:t>
      </w:r>
      <w:r>
        <w:rPr>
          <w:spacing w:val="-1"/>
          <w:sz w:val="24"/>
        </w:rPr>
        <w:t> </w:t>
      </w:r>
      <w:r>
        <w:rPr>
          <w:sz w:val="24"/>
        </w:rPr>
        <w:t>No</w:t>
      </w:r>
      <w:r>
        <w:rPr>
          <w:spacing w:val="-1"/>
          <w:sz w:val="24"/>
        </w:rPr>
        <w:t> </w:t>
      </w:r>
      <w:r>
        <w:rPr>
          <w:sz w:val="24"/>
        </w:rPr>
        <w:t>3 of</w:t>
      </w:r>
      <w:r>
        <w:rPr>
          <w:spacing w:val="-1"/>
          <w:sz w:val="24"/>
        </w:rPr>
        <w:t> </w:t>
      </w:r>
      <w:r>
        <w:rPr>
          <w:sz w:val="24"/>
        </w:rPr>
        <w:t>the</w:t>
      </w:r>
      <w:r>
        <w:rPr>
          <w:spacing w:val="-4"/>
          <w:sz w:val="24"/>
        </w:rPr>
        <w:t> </w:t>
      </w:r>
      <w:r>
        <w:rPr>
          <w:sz w:val="24"/>
        </w:rPr>
        <w:t>table.</w:t>
      </w:r>
      <w:r>
        <w:rPr>
          <w:spacing w:val="-3"/>
          <w:sz w:val="24"/>
        </w:rPr>
        <w:t> </w:t>
      </w:r>
      <w:r>
        <w:rPr>
          <w:sz w:val="24"/>
        </w:rPr>
        <w:t>A</w:t>
      </w:r>
      <w:r>
        <w:rPr>
          <w:spacing w:val="-1"/>
          <w:sz w:val="24"/>
        </w:rPr>
        <w:t> </w:t>
      </w:r>
      <w:r>
        <w:rPr>
          <w:sz w:val="24"/>
        </w:rPr>
        <w:t>DRC</w:t>
      </w:r>
      <w:r>
        <w:rPr>
          <w:spacing w:val="-1"/>
          <w:sz w:val="24"/>
        </w:rPr>
        <w:t> </w:t>
      </w:r>
      <w:r>
        <w:rPr>
          <w:sz w:val="24"/>
        </w:rPr>
        <w:t>will be issued only on the satisfactory compliance with the conditions prescribed in this Regulation.</w:t>
      </w:r>
    </w:p>
    <w:p>
      <w:pPr>
        <w:pStyle w:val="ListParagraph"/>
        <w:numPr>
          <w:ilvl w:val="3"/>
          <w:numId w:val="131"/>
        </w:numPr>
        <w:tabs>
          <w:tab w:pos="2096" w:val="left" w:leader="none"/>
        </w:tabs>
        <w:spacing w:line="240" w:lineRule="auto" w:before="239" w:after="0"/>
        <w:ind w:left="1872" w:right="771" w:firstLine="0"/>
        <w:jc w:val="both"/>
        <w:rPr>
          <w:sz w:val="24"/>
        </w:rPr>
      </w:pPr>
      <w:r>
        <w:rPr>
          <w:sz w:val="24"/>
        </w:rPr>
        <w:t>A</w:t>
      </w:r>
      <w:r>
        <w:rPr>
          <w:spacing w:val="-13"/>
          <w:sz w:val="24"/>
        </w:rPr>
        <w:t> </w:t>
      </w:r>
      <w:r>
        <w:rPr>
          <w:sz w:val="24"/>
        </w:rPr>
        <w:t>register,</w:t>
      </w:r>
      <w:r>
        <w:rPr>
          <w:spacing w:val="-13"/>
          <w:sz w:val="24"/>
        </w:rPr>
        <w:t> </w:t>
      </w:r>
      <w:r>
        <w:rPr>
          <w:sz w:val="24"/>
        </w:rPr>
        <w:t>in</w:t>
      </w:r>
      <w:r>
        <w:rPr>
          <w:spacing w:val="-13"/>
          <w:sz w:val="24"/>
        </w:rPr>
        <w:t> </w:t>
      </w:r>
      <w:r>
        <w:rPr>
          <w:sz w:val="24"/>
        </w:rPr>
        <w:t>a</w:t>
      </w:r>
      <w:r>
        <w:rPr>
          <w:spacing w:val="-11"/>
          <w:sz w:val="24"/>
        </w:rPr>
        <w:t> </w:t>
      </w:r>
      <w:r>
        <w:rPr>
          <w:sz w:val="24"/>
        </w:rPr>
        <w:t>form</w:t>
      </w:r>
      <w:r>
        <w:rPr>
          <w:spacing w:val="-13"/>
          <w:sz w:val="24"/>
        </w:rPr>
        <w:t> </w:t>
      </w:r>
      <w:r>
        <w:rPr>
          <w:sz w:val="24"/>
        </w:rPr>
        <w:t>considered</w:t>
      </w:r>
      <w:r>
        <w:rPr>
          <w:spacing w:val="-13"/>
          <w:sz w:val="24"/>
        </w:rPr>
        <w:t> </w:t>
      </w:r>
      <w:r>
        <w:rPr>
          <w:sz w:val="24"/>
        </w:rPr>
        <w:t>appropriate</w:t>
      </w:r>
      <w:r>
        <w:rPr>
          <w:spacing w:val="-13"/>
          <w:sz w:val="24"/>
        </w:rPr>
        <w:t> </w:t>
      </w:r>
      <w:r>
        <w:rPr>
          <w:sz w:val="24"/>
        </w:rPr>
        <w:t>by</w:t>
      </w:r>
      <w:r>
        <w:rPr>
          <w:spacing w:val="-11"/>
          <w:sz w:val="24"/>
        </w:rPr>
        <w:t> </w:t>
      </w:r>
      <w:r>
        <w:rPr>
          <w:sz w:val="24"/>
        </w:rPr>
        <w:t>the</w:t>
      </w:r>
      <w:r>
        <w:rPr>
          <w:spacing w:val="-13"/>
          <w:sz w:val="24"/>
        </w:rPr>
        <w:t> </w:t>
      </w:r>
      <w:r>
        <w:rPr>
          <w:sz w:val="24"/>
        </w:rPr>
        <w:t>Commissioner,</w:t>
      </w:r>
      <w:r>
        <w:rPr>
          <w:spacing w:val="-13"/>
          <w:sz w:val="24"/>
        </w:rPr>
        <w:t> </w:t>
      </w:r>
      <w:r>
        <w:rPr>
          <w:sz w:val="24"/>
        </w:rPr>
        <w:t>shall be maintained of all transactions relating to grant or utilization of DRCs arising out of slum rehab projects.</w:t>
      </w:r>
    </w:p>
    <w:p>
      <w:pPr>
        <w:pStyle w:val="Heading6"/>
        <w:numPr>
          <w:ilvl w:val="2"/>
          <w:numId w:val="131"/>
        </w:numPr>
        <w:tabs>
          <w:tab w:pos="1869" w:val="left" w:leader="none"/>
          <w:tab w:pos="1872" w:val="left" w:leader="none"/>
        </w:tabs>
        <w:spacing w:line="240" w:lineRule="auto" w:before="238" w:after="0"/>
        <w:ind w:left="1872" w:right="771" w:hanging="380"/>
        <w:jc w:val="both"/>
        <w:rPr>
          <w:b w:val="0"/>
          <w:i w:val="0"/>
        </w:rPr>
      </w:pPr>
      <w:r>
        <w:rPr/>
        <w:t>Additional regulations for the grant of TDR to owners/lessees of heritage buildings/heritage precincts and conditions for grant of such rights</w:t>
      </w:r>
    </w:p>
    <w:p>
      <w:pPr>
        <w:pStyle w:val="ListParagraph"/>
        <w:numPr>
          <w:ilvl w:val="0"/>
          <w:numId w:val="132"/>
        </w:numPr>
        <w:tabs>
          <w:tab w:pos="2093" w:val="left" w:leader="none"/>
        </w:tabs>
        <w:spacing w:line="240" w:lineRule="auto" w:before="245" w:after="0"/>
        <w:ind w:left="2093" w:right="770" w:hanging="221"/>
        <w:jc w:val="both"/>
        <w:rPr>
          <w:sz w:val="24"/>
        </w:rPr>
      </w:pPr>
      <w:r>
        <w:rPr>
          <w:sz w:val="24"/>
        </w:rPr>
        <w:t>As provided in Regulation No. 52 DRs of the owner/lessee of any Heritage building who suffers loss of DRs due to any restrictions imposed</w:t>
      </w:r>
      <w:r>
        <w:rPr>
          <w:spacing w:val="-11"/>
          <w:sz w:val="24"/>
        </w:rPr>
        <w:t> </w:t>
      </w:r>
      <w:r>
        <w:rPr>
          <w:sz w:val="24"/>
        </w:rPr>
        <w:t>by</w:t>
      </w:r>
      <w:r>
        <w:rPr>
          <w:spacing w:val="-11"/>
          <w:sz w:val="24"/>
        </w:rPr>
        <w:t> </w:t>
      </w:r>
      <w:r>
        <w:rPr>
          <w:sz w:val="24"/>
        </w:rPr>
        <w:t>the</w:t>
      </w:r>
      <w:r>
        <w:rPr>
          <w:spacing w:val="-11"/>
          <w:sz w:val="24"/>
        </w:rPr>
        <w:t> </w:t>
      </w:r>
      <w:r>
        <w:rPr>
          <w:sz w:val="24"/>
        </w:rPr>
        <w:t>Commissioner</w:t>
      </w:r>
      <w:r>
        <w:rPr>
          <w:spacing w:val="-11"/>
          <w:sz w:val="24"/>
        </w:rPr>
        <w:t> </w:t>
      </w:r>
      <w:r>
        <w:rPr>
          <w:sz w:val="24"/>
        </w:rPr>
        <w:t>or</w:t>
      </w:r>
      <w:r>
        <w:rPr>
          <w:spacing w:val="-11"/>
          <w:sz w:val="24"/>
        </w:rPr>
        <w:t> </w:t>
      </w:r>
      <w:r>
        <w:rPr>
          <w:sz w:val="24"/>
        </w:rPr>
        <w:t>Government</w:t>
      </w:r>
      <w:r>
        <w:rPr>
          <w:spacing w:val="-11"/>
          <w:sz w:val="24"/>
        </w:rPr>
        <w:t> </w:t>
      </w:r>
      <w:r>
        <w:rPr>
          <w:sz w:val="24"/>
        </w:rPr>
        <w:t>under</w:t>
      </w:r>
      <w:r>
        <w:rPr>
          <w:spacing w:val="-11"/>
          <w:sz w:val="24"/>
        </w:rPr>
        <w:t> </w:t>
      </w:r>
      <w:r>
        <w:rPr>
          <w:sz w:val="24"/>
        </w:rPr>
        <w:t>Regulations</w:t>
      </w:r>
      <w:r>
        <w:rPr>
          <w:spacing w:val="-9"/>
          <w:sz w:val="24"/>
        </w:rPr>
        <w:t> </w:t>
      </w:r>
      <w:r>
        <w:rPr>
          <w:sz w:val="24"/>
        </w:rPr>
        <w:t>No</w:t>
      </w:r>
      <w:r>
        <w:rPr>
          <w:spacing w:val="-11"/>
          <w:sz w:val="24"/>
        </w:rPr>
        <w:t> </w:t>
      </w:r>
      <w:r>
        <w:rPr>
          <w:sz w:val="24"/>
        </w:rPr>
        <w:t>52 shall</w:t>
      </w:r>
      <w:r>
        <w:rPr>
          <w:spacing w:val="-7"/>
          <w:sz w:val="24"/>
        </w:rPr>
        <w:t> </w:t>
      </w:r>
      <w:r>
        <w:rPr>
          <w:sz w:val="24"/>
        </w:rPr>
        <w:t>be</w:t>
      </w:r>
      <w:r>
        <w:rPr>
          <w:spacing w:val="-7"/>
          <w:sz w:val="24"/>
        </w:rPr>
        <w:t> </w:t>
      </w:r>
      <w:r>
        <w:rPr>
          <w:sz w:val="24"/>
        </w:rPr>
        <w:t>eligible</w:t>
      </w:r>
      <w:r>
        <w:rPr>
          <w:spacing w:val="-7"/>
          <w:sz w:val="24"/>
        </w:rPr>
        <w:t> </w:t>
      </w:r>
      <w:r>
        <w:rPr>
          <w:sz w:val="24"/>
        </w:rPr>
        <w:t>for</w:t>
      </w:r>
      <w:r>
        <w:rPr>
          <w:spacing w:val="-7"/>
          <w:sz w:val="24"/>
        </w:rPr>
        <w:t> </w:t>
      </w:r>
      <w:r>
        <w:rPr>
          <w:sz w:val="24"/>
        </w:rPr>
        <w:t>award</w:t>
      </w:r>
      <w:r>
        <w:rPr>
          <w:spacing w:val="-7"/>
          <w:sz w:val="24"/>
        </w:rPr>
        <w:t> </w:t>
      </w:r>
      <w:r>
        <w:rPr>
          <w:sz w:val="24"/>
        </w:rPr>
        <w:t>of</w:t>
      </w:r>
      <w:r>
        <w:rPr>
          <w:spacing w:val="-7"/>
          <w:sz w:val="24"/>
        </w:rPr>
        <w:t> </w:t>
      </w:r>
      <w:r>
        <w:rPr>
          <w:sz w:val="24"/>
        </w:rPr>
        <w:t>TDR</w:t>
      </w:r>
      <w:r>
        <w:rPr>
          <w:spacing w:val="-5"/>
          <w:sz w:val="24"/>
        </w:rPr>
        <w:t> </w:t>
      </w:r>
      <w:r>
        <w:rPr>
          <w:sz w:val="24"/>
        </w:rPr>
        <w:t>in</w:t>
      </w:r>
      <w:r>
        <w:rPr>
          <w:spacing w:val="-7"/>
          <w:sz w:val="24"/>
        </w:rPr>
        <w:t> </w:t>
      </w:r>
      <w:r>
        <w:rPr>
          <w:sz w:val="24"/>
        </w:rPr>
        <w:t>the</w:t>
      </w:r>
      <w:r>
        <w:rPr>
          <w:spacing w:val="-7"/>
          <w:sz w:val="24"/>
        </w:rPr>
        <w:t> </w:t>
      </w:r>
      <w:r>
        <w:rPr>
          <w:sz w:val="24"/>
        </w:rPr>
        <w:t>form</w:t>
      </w:r>
      <w:r>
        <w:rPr>
          <w:spacing w:val="-7"/>
          <w:sz w:val="24"/>
        </w:rPr>
        <w:t> </w:t>
      </w:r>
      <w:r>
        <w:rPr>
          <w:sz w:val="24"/>
        </w:rPr>
        <w:t>ofFSI</w:t>
      </w:r>
      <w:r>
        <w:rPr>
          <w:spacing w:val="-5"/>
          <w:sz w:val="24"/>
        </w:rPr>
        <w:t> </w:t>
      </w:r>
      <w:r>
        <w:rPr>
          <w:sz w:val="24"/>
        </w:rPr>
        <w:t>to</w:t>
      </w:r>
      <w:r>
        <w:rPr>
          <w:spacing w:val="-7"/>
          <w:sz w:val="24"/>
        </w:rPr>
        <w:t> </w:t>
      </w:r>
      <w:r>
        <w:rPr>
          <w:sz w:val="24"/>
        </w:rPr>
        <w:t>the</w:t>
      </w:r>
      <w:r>
        <w:rPr>
          <w:spacing w:val="-7"/>
          <w:sz w:val="24"/>
        </w:rPr>
        <w:t> </w:t>
      </w:r>
      <w:r>
        <w:rPr>
          <w:sz w:val="24"/>
        </w:rPr>
        <w:t>extent</w:t>
      </w:r>
      <w:r>
        <w:rPr>
          <w:spacing w:val="-7"/>
          <w:sz w:val="24"/>
        </w:rPr>
        <w:t> </w:t>
      </w:r>
      <w:r>
        <w:rPr>
          <w:sz w:val="24"/>
        </w:rPr>
        <w:t>and</w:t>
      </w:r>
      <w:r>
        <w:rPr>
          <w:spacing w:val="-7"/>
          <w:sz w:val="24"/>
        </w:rPr>
        <w:t> </w:t>
      </w:r>
      <w:r>
        <w:rPr>
          <w:sz w:val="24"/>
        </w:rPr>
        <w:t>on the conditions set out below at 2. Such award will entitle the owner of the Heritage Building to FSI in the form of a DRC which he may use himself or transfer to any other person.</w:t>
      </w:r>
    </w:p>
    <w:p>
      <w:pPr>
        <w:pStyle w:val="BodyText"/>
        <w:jc w:val="left"/>
      </w:pPr>
    </w:p>
    <w:p>
      <w:pPr>
        <w:pStyle w:val="ListParagraph"/>
        <w:numPr>
          <w:ilvl w:val="0"/>
          <w:numId w:val="132"/>
        </w:numPr>
        <w:tabs>
          <w:tab w:pos="2093" w:val="left" w:leader="none"/>
        </w:tabs>
        <w:spacing w:line="240" w:lineRule="auto" w:before="0" w:after="0"/>
        <w:ind w:left="2093" w:right="768" w:hanging="221"/>
        <w:jc w:val="both"/>
        <w:rPr>
          <w:sz w:val="24"/>
        </w:rPr>
      </w:pPr>
      <w:r>
        <w:rPr>
          <w:sz w:val="24"/>
        </w:rPr>
        <w:t>For generating TDR, agreement with MCGM shall be executed stating that</w:t>
      </w:r>
      <w:r>
        <w:rPr>
          <w:spacing w:val="-4"/>
          <w:sz w:val="24"/>
        </w:rPr>
        <w:t> </w:t>
      </w:r>
      <w:r>
        <w:rPr>
          <w:sz w:val="24"/>
        </w:rPr>
        <w:t>the</w:t>
      </w:r>
      <w:r>
        <w:rPr>
          <w:spacing w:val="-3"/>
          <w:sz w:val="24"/>
        </w:rPr>
        <w:t> </w:t>
      </w:r>
      <w:r>
        <w:rPr>
          <w:sz w:val="24"/>
        </w:rPr>
        <w:t>heritage</w:t>
      </w:r>
      <w:r>
        <w:rPr>
          <w:spacing w:val="-3"/>
          <w:sz w:val="24"/>
        </w:rPr>
        <w:t> </w:t>
      </w:r>
      <w:r>
        <w:rPr>
          <w:sz w:val="24"/>
        </w:rPr>
        <w:t>structure</w:t>
      </w:r>
      <w:r>
        <w:rPr>
          <w:spacing w:val="-3"/>
          <w:sz w:val="24"/>
        </w:rPr>
        <w:t> </w:t>
      </w:r>
      <w:r>
        <w:rPr>
          <w:sz w:val="24"/>
        </w:rPr>
        <w:t>will</w:t>
      </w:r>
      <w:r>
        <w:rPr>
          <w:spacing w:val="-3"/>
          <w:sz w:val="24"/>
        </w:rPr>
        <w:t> </w:t>
      </w:r>
      <w:r>
        <w:rPr>
          <w:sz w:val="24"/>
        </w:rPr>
        <w:t>be</w:t>
      </w:r>
      <w:r>
        <w:rPr>
          <w:spacing w:val="-3"/>
          <w:sz w:val="24"/>
        </w:rPr>
        <w:t> </w:t>
      </w:r>
      <w:r>
        <w:rPr>
          <w:sz w:val="24"/>
        </w:rPr>
        <w:t>maintained</w:t>
      </w:r>
      <w:r>
        <w:rPr>
          <w:spacing w:val="-3"/>
          <w:sz w:val="24"/>
        </w:rPr>
        <w:t> </w:t>
      </w:r>
      <w:r>
        <w:rPr>
          <w:sz w:val="24"/>
        </w:rPr>
        <w:t>by</w:t>
      </w:r>
      <w:r>
        <w:rPr>
          <w:spacing w:val="-3"/>
          <w:sz w:val="24"/>
        </w:rPr>
        <w:t> </w:t>
      </w:r>
      <w:r>
        <w:rPr>
          <w:sz w:val="24"/>
        </w:rPr>
        <w:t>the</w:t>
      </w:r>
      <w:r>
        <w:rPr>
          <w:spacing w:val="-3"/>
          <w:sz w:val="24"/>
        </w:rPr>
        <w:t> </w:t>
      </w:r>
      <w:r>
        <w:rPr>
          <w:sz w:val="24"/>
        </w:rPr>
        <w:t>Owner</w:t>
      </w:r>
      <w:r>
        <w:rPr>
          <w:spacing w:val="-6"/>
          <w:sz w:val="24"/>
        </w:rPr>
        <w:t> </w:t>
      </w:r>
      <w:r>
        <w:rPr>
          <w:sz w:val="24"/>
        </w:rPr>
        <w:t>as</w:t>
      </w:r>
      <w:r>
        <w:rPr>
          <w:spacing w:val="-3"/>
          <w:sz w:val="24"/>
        </w:rPr>
        <w:t> </w:t>
      </w:r>
      <w:r>
        <w:rPr>
          <w:sz w:val="24"/>
        </w:rPr>
        <w:t>decided by the Commissioner along with a clause of penalty for breach of conditions of agreement as may be decided by Commissioner and potential</w:t>
      </w:r>
      <w:r>
        <w:rPr>
          <w:spacing w:val="-20"/>
          <w:sz w:val="24"/>
        </w:rPr>
        <w:t> </w:t>
      </w:r>
      <w:r>
        <w:rPr>
          <w:sz w:val="24"/>
        </w:rPr>
        <w:t>of</w:t>
      </w:r>
      <w:r>
        <w:rPr>
          <w:spacing w:val="-19"/>
          <w:sz w:val="24"/>
        </w:rPr>
        <w:t> </w:t>
      </w:r>
      <w:r>
        <w:rPr>
          <w:sz w:val="24"/>
        </w:rPr>
        <w:t>the</w:t>
      </w:r>
      <w:r>
        <w:rPr>
          <w:spacing w:val="-19"/>
          <w:sz w:val="24"/>
        </w:rPr>
        <w:t> </w:t>
      </w:r>
      <w:r>
        <w:rPr>
          <w:sz w:val="24"/>
        </w:rPr>
        <w:t>plot</w:t>
      </w:r>
      <w:r>
        <w:rPr>
          <w:spacing w:val="-19"/>
          <w:sz w:val="24"/>
        </w:rPr>
        <w:t> </w:t>
      </w:r>
      <w:r>
        <w:rPr>
          <w:sz w:val="24"/>
        </w:rPr>
        <w:t>shall</w:t>
      </w:r>
      <w:r>
        <w:rPr>
          <w:spacing w:val="-19"/>
          <w:sz w:val="24"/>
        </w:rPr>
        <w:t> </w:t>
      </w:r>
      <w:r>
        <w:rPr>
          <w:sz w:val="24"/>
        </w:rPr>
        <w:t>be</w:t>
      </w:r>
      <w:r>
        <w:rPr>
          <w:spacing w:val="-20"/>
          <w:sz w:val="24"/>
        </w:rPr>
        <w:t> </w:t>
      </w:r>
      <w:r>
        <w:rPr>
          <w:sz w:val="24"/>
        </w:rPr>
        <w:t>perpetually</w:t>
      </w:r>
      <w:r>
        <w:rPr>
          <w:spacing w:val="-19"/>
          <w:sz w:val="24"/>
        </w:rPr>
        <w:t> </w:t>
      </w:r>
      <w:r>
        <w:rPr>
          <w:sz w:val="24"/>
        </w:rPr>
        <w:t>reduced</w:t>
      </w:r>
      <w:r>
        <w:rPr>
          <w:spacing w:val="-19"/>
          <w:sz w:val="24"/>
        </w:rPr>
        <w:t> </w:t>
      </w:r>
      <w:r>
        <w:rPr>
          <w:sz w:val="24"/>
        </w:rPr>
        <w:t>to</w:t>
      </w:r>
      <w:r>
        <w:rPr>
          <w:spacing w:val="-19"/>
          <w:sz w:val="24"/>
        </w:rPr>
        <w:t> </w:t>
      </w:r>
      <w:r>
        <w:rPr>
          <w:sz w:val="24"/>
        </w:rPr>
        <w:t>the</w:t>
      </w:r>
      <w:r>
        <w:rPr>
          <w:spacing w:val="-19"/>
          <w:sz w:val="24"/>
        </w:rPr>
        <w:t> </w:t>
      </w:r>
      <w:r>
        <w:rPr>
          <w:sz w:val="24"/>
        </w:rPr>
        <w:t>extent</w:t>
      </w:r>
      <w:r>
        <w:rPr>
          <w:spacing w:val="-20"/>
          <w:sz w:val="24"/>
        </w:rPr>
        <w:t> </w:t>
      </w:r>
      <w:r>
        <w:rPr>
          <w:sz w:val="24"/>
        </w:rPr>
        <w:t>of</w:t>
      </w:r>
      <w:r>
        <w:rPr>
          <w:spacing w:val="-19"/>
          <w:sz w:val="24"/>
        </w:rPr>
        <w:t> </w:t>
      </w:r>
      <w:r>
        <w:rPr>
          <w:sz w:val="24"/>
        </w:rPr>
        <w:t>existing BUA of the structure.</w:t>
      </w:r>
    </w:p>
    <w:p>
      <w:pPr>
        <w:pStyle w:val="ListParagraph"/>
        <w:spacing w:after="0" w:line="240" w:lineRule="auto"/>
        <w:jc w:val="both"/>
        <w:rPr>
          <w:sz w:val="24"/>
        </w:rPr>
        <w:sectPr>
          <w:pgSz w:w="11910" w:h="16840"/>
          <w:pgMar w:header="1065" w:footer="1237" w:top="1500" w:bottom="1420" w:left="360" w:right="360"/>
        </w:sectPr>
      </w:pPr>
    </w:p>
    <w:p>
      <w:pPr>
        <w:pStyle w:val="Heading1"/>
        <w:tabs>
          <w:tab w:pos="3851" w:val="left" w:leader="none"/>
        </w:tabs>
        <w:spacing w:before="248"/>
        <w:ind w:left="2146"/>
        <w:jc w:val="left"/>
      </w:pPr>
      <w:r>
        <w:rPr/>
        <w:t>PART</w:t>
      </w:r>
      <w:r>
        <w:rPr>
          <w:spacing w:val="-13"/>
        </w:rPr>
        <w:t> </w:t>
      </w:r>
      <w:r>
        <w:rPr>
          <w:spacing w:val="-5"/>
        </w:rPr>
        <w:t>VI</w:t>
      </w:r>
      <w:r>
        <w:rPr/>
        <w:tab/>
        <w:t>ADDITIONAL</w:t>
      </w:r>
      <w:r>
        <w:rPr>
          <w:spacing w:val="-14"/>
        </w:rPr>
        <w:t> </w:t>
      </w:r>
      <w:r>
        <w:rPr/>
        <w:t>FLOOR</w:t>
      </w:r>
      <w:r>
        <w:rPr>
          <w:spacing w:val="-15"/>
        </w:rPr>
        <w:t> </w:t>
      </w:r>
      <w:r>
        <w:rPr/>
        <w:t>SPACE</w:t>
      </w:r>
      <w:r>
        <w:rPr>
          <w:spacing w:val="-15"/>
        </w:rPr>
        <w:t> </w:t>
      </w:r>
      <w:r>
        <w:rPr>
          <w:spacing w:val="-2"/>
        </w:rPr>
        <w:t>INDEX</w:t>
      </w:r>
    </w:p>
    <w:p>
      <w:pPr>
        <w:pStyle w:val="Heading3"/>
        <w:numPr>
          <w:ilvl w:val="0"/>
          <w:numId w:val="133"/>
        </w:numPr>
        <w:tabs>
          <w:tab w:pos="2062" w:val="left" w:leader="none"/>
        </w:tabs>
        <w:spacing w:line="240" w:lineRule="auto" w:before="238" w:after="0"/>
        <w:ind w:left="2062" w:right="767" w:hanging="720"/>
        <w:jc w:val="left"/>
        <w:rPr>
          <w:i w:val="0"/>
        </w:rPr>
      </w:pPr>
      <w:r>
        <w:rPr/>
        <w:t>Additional</w:t>
      </w:r>
      <w:r>
        <w:rPr>
          <w:spacing w:val="-17"/>
        </w:rPr>
        <w:t> </w:t>
      </w:r>
      <w:r>
        <w:rPr/>
        <w:t>Floor</w:t>
      </w:r>
      <w:r>
        <w:rPr>
          <w:spacing w:val="-17"/>
        </w:rPr>
        <w:t> </w:t>
      </w:r>
      <w:r>
        <w:rPr/>
        <w:t>Space</w:t>
      </w:r>
      <w:r>
        <w:rPr>
          <w:spacing w:val="-17"/>
        </w:rPr>
        <w:t> </w:t>
      </w:r>
      <w:r>
        <w:rPr/>
        <w:t>Index</w:t>
      </w:r>
      <w:r>
        <w:rPr>
          <w:spacing w:val="-13"/>
        </w:rPr>
        <w:t> </w:t>
      </w:r>
      <w:r>
        <w:rPr/>
        <w:t>(FSI)</w:t>
      </w:r>
      <w:r>
        <w:rPr>
          <w:spacing w:val="-16"/>
        </w:rPr>
        <w:t> </w:t>
      </w:r>
      <w:r>
        <w:rPr/>
        <w:t>which</w:t>
      </w:r>
      <w:r>
        <w:rPr>
          <w:spacing w:val="-15"/>
        </w:rPr>
        <w:t> </w:t>
      </w:r>
      <w:r>
        <w:rPr/>
        <w:t>may</w:t>
      </w:r>
      <w:r>
        <w:rPr>
          <w:spacing w:val="-16"/>
        </w:rPr>
        <w:t> </w:t>
      </w:r>
      <w:r>
        <w:rPr/>
        <w:t>be</w:t>
      </w:r>
      <w:r>
        <w:rPr>
          <w:spacing w:val="-16"/>
        </w:rPr>
        <w:t> </w:t>
      </w:r>
      <w:r>
        <w:rPr/>
        <w:t>allowed to certain categories</w:t>
      </w:r>
      <w:r>
        <w:rPr>
          <w:i w:val="0"/>
        </w:rPr>
        <w:t>:</w:t>
      </w:r>
    </w:p>
    <w:p>
      <w:pPr>
        <w:pStyle w:val="Heading6"/>
        <w:spacing w:before="242"/>
        <w:ind w:left="2062"/>
      </w:pPr>
      <w:r>
        <w:rPr>
          <w:i w:val="0"/>
        </w:rPr>
        <w:t>33</w:t>
      </w:r>
      <w:r>
        <w:rPr>
          <w:i w:val="0"/>
          <w:spacing w:val="-1"/>
        </w:rPr>
        <w:t> </w:t>
      </w:r>
      <w:r>
        <w:rPr>
          <w:i w:val="0"/>
        </w:rPr>
        <w:t>(1) </w:t>
      </w:r>
      <w:r>
        <w:rPr/>
        <w:t>Additional FSI</w:t>
      </w:r>
      <w:r>
        <w:rPr>
          <w:spacing w:val="-1"/>
        </w:rPr>
        <w:t> </w:t>
      </w:r>
      <w:r>
        <w:rPr/>
        <w:t>to Religious </w:t>
      </w:r>
      <w:r>
        <w:rPr>
          <w:spacing w:val="-2"/>
        </w:rPr>
        <w:t>building:</w:t>
      </w:r>
    </w:p>
    <w:p>
      <w:pPr>
        <w:pStyle w:val="BodyText"/>
        <w:spacing w:before="242"/>
        <w:ind w:left="2422" w:right="766"/>
      </w:pPr>
      <w:r>
        <w:rPr/>
        <w:t>The Municipal Commissioner may permit 0.5 FSI in addition to the Zonal (basic) FSI in respect of buildings of Registered Public Trust subject to following terms and conditions:</w:t>
      </w:r>
    </w:p>
    <w:p>
      <w:pPr>
        <w:pStyle w:val="ListParagraph"/>
        <w:numPr>
          <w:ilvl w:val="0"/>
          <w:numId w:val="134"/>
        </w:numPr>
        <w:tabs>
          <w:tab w:pos="2474" w:val="left" w:leader="none"/>
        </w:tabs>
        <w:spacing w:line="242" w:lineRule="auto" w:before="239" w:after="0"/>
        <w:ind w:left="2474" w:right="767" w:hanging="147"/>
        <w:jc w:val="both"/>
        <w:rPr>
          <w:sz w:val="24"/>
        </w:rPr>
      </w:pPr>
      <w:r>
        <w:rPr>
          <w:sz w:val="24"/>
        </w:rPr>
        <w:t>NOC shall be obtained from Police Authority and Collector before applying for permission.</w:t>
      </w:r>
    </w:p>
    <w:p>
      <w:pPr>
        <w:pStyle w:val="ListParagraph"/>
        <w:numPr>
          <w:ilvl w:val="0"/>
          <w:numId w:val="134"/>
        </w:numPr>
        <w:tabs>
          <w:tab w:pos="2474" w:val="left" w:leader="none"/>
        </w:tabs>
        <w:spacing w:line="240" w:lineRule="auto" w:before="236" w:after="0"/>
        <w:ind w:left="2474" w:right="766" w:hanging="219"/>
        <w:jc w:val="both"/>
        <w:rPr>
          <w:sz w:val="24"/>
        </w:rPr>
      </w:pPr>
      <w:r>
        <w:rPr>
          <w:sz w:val="24"/>
        </w:rPr>
        <w:t>Additional FSI shall be used for religious purpose alone. However, without taking into account the additional FSI, ancillary residential/commercial uses will be permissible up to 10% of Zonal (basic) FSI.</w:t>
      </w:r>
    </w:p>
    <w:p>
      <w:pPr>
        <w:pStyle w:val="ListParagraph"/>
        <w:numPr>
          <w:ilvl w:val="0"/>
          <w:numId w:val="134"/>
        </w:numPr>
        <w:tabs>
          <w:tab w:pos="2474" w:val="left" w:leader="none"/>
        </w:tabs>
        <w:spacing w:line="240" w:lineRule="auto" w:before="241" w:after="0"/>
        <w:ind w:left="2474" w:right="770" w:hanging="291"/>
        <w:jc w:val="both"/>
        <w:rPr>
          <w:sz w:val="24"/>
        </w:rPr>
      </w:pPr>
      <w:r>
        <w:rPr>
          <w:sz w:val="24"/>
        </w:rPr>
        <w:t>Additional FSI shall be permissible to existing authorized religious user subject to structural stability.</w:t>
      </w:r>
    </w:p>
    <w:p>
      <w:pPr>
        <w:pStyle w:val="ListParagraph"/>
        <w:numPr>
          <w:ilvl w:val="0"/>
          <w:numId w:val="134"/>
        </w:numPr>
        <w:tabs>
          <w:tab w:pos="2474" w:val="left" w:leader="none"/>
        </w:tabs>
        <w:spacing w:line="240" w:lineRule="auto" w:before="238" w:after="0"/>
        <w:ind w:left="2474" w:right="768" w:hanging="272"/>
        <w:jc w:val="both"/>
        <w:rPr>
          <w:sz w:val="24"/>
        </w:rPr>
      </w:pPr>
      <w:r>
        <w:rPr>
          <w:sz w:val="24"/>
        </w:rPr>
        <w:t>Additional FSI shall be permissible subject to payment of25 % premium</w:t>
      </w:r>
      <w:r>
        <w:rPr>
          <w:spacing w:val="-15"/>
          <w:sz w:val="24"/>
        </w:rPr>
        <w:t> </w:t>
      </w:r>
      <w:r>
        <w:rPr>
          <w:sz w:val="24"/>
        </w:rPr>
        <w:t>as</w:t>
      </w:r>
      <w:r>
        <w:rPr>
          <w:spacing w:val="-15"/>
          <w:sz w:val="24"/>
        </w:rPr>
        <w:t> </w:t>
      </w:r>
      <w:r>
        <w:rPr>
          <w:sz w:val="24"/>
        </w:rPr>
        <w:t>per</w:t>
      </w:r>
      <w:r>
        <w:rPr>
          <w:spacing w:val="-15"/>
          <w:sz w:val="24"/>
        </w:rPr>
        <w:t> </w:t>
      </w:r>
      <w:r>
        <w:rPr>
          <w:sz w:val="24"/>
        </w:rPr>
        <w:t>ASR</w:t>
      </w:r>
      <w:r>
        <w:rPr>
          <w:spacing w:val="-17"/>
          <w:sz w:val="24"/>
        </w:rPr>
        <w:t> </w:t>
      </w:r>
      <w:r>
        <w:rPr>
          <w:sz w:val="24"/>
        </w:rPr>
        <w:t>of</w:t>
      </w:r>
      <w:r>
        <w:rPr>
          <w:spacing w:val="-15"/>
          <w:sz w:val="24"/>
        </w:rPr>
        <w:t> </w:t>
      </w:r>
      <w:r>
        <w:rPr>
          <w:sz w:val="24"/>
        </w:rPr>
        <w:t>the</w:t>
      </w:r>
      <w:r>
        <w:rPr>
          <w:spacing w:val="-15"/>
          <w:sz w:val="24"/>
        </w:rPr>
        <w:t> </w:t>
      </w:r>
      <w:r>
        <w:rPr>
          <w:sz w:val="24"/>
        </w:rPr>
        <w:t>land</w:t>
      </w:r>
      <w:r>
        <w:rPr>
          <w:spacing w:val="-15"/>
          <w:sz w:val="24"/>
        </w:rPr>
        <w:t> </w:t>
      </w:r>
      <w:r>
        <w:rPr>
          <w:sz w:val="24"/>
        </w:rPr>
        <w:t>(For</w:t>
      </w:r>
      <w:r>
        <w:rPr>
          <w:spacing w:val="-15"/>
          <w:sz w:val="24"/>
        </w:rPr>
        <w:t> </w:t>
      </w:r>
      <w:r>
        <w:rPr>
          <w:sz w:val="24"/>
        </w:rPr>
        <w:t>FSI</w:t>
      </w:r>
      <w:r>
        <w:rPr>
          <w:spacing w:val="-16"/>
          <w:sz w:val="24"/>
        </w:rPr>
        <w:t> </w:t>
      </w:r>
      <w:r>
        <w:rPr>
          <w:sz w:val="24"/>
        </w:rPr>
        <w:t>1)</w:t>
      </w:r>
      <w:r>
        <w:rPr>
          <w:spacing w:val="-15"/>
          <w:sz w:val="24"/>
        </w:rPr>
        <w:t> </w:t>
      </w:r>
      <w:r>
        <w:rPr>
          <w:sz w:val="24"/>
        </w:rPr>
        <w:t>of</w:t>
      </w:r>
      <w:r>
        <w:rPr>
          <w:spacing w:val="-15"/>
          <w:sz w:val="24"/>
        </w:rPr>
        <w:t> </w:t>
      </w:r>
      <w:r>
        <w:rPr>
          <w:sz w:val="24"/>
        </w:rPr>
        <w:t>the</w:t>
      </w:r>
      <w:r>
        <w:rPr>
          <w:spacing w:val="-15"/>
          <w:sz w:val="24"/>
        </w:rPr>
        <w:t> </w:t>
      </w:r>
      <w:r>
        <w:rPr>
          <w:sz w:val="24"/>
        </w:rPr>
        <w:t>year</w:t>
      </w:r>
      <w:r>
        <w:rPr>
          <w:spacing w:val="-15"/>
          <w:sz w:val="24"/>
        </w:rPr>
        <w:t> </w:t>
      </w:r>
      <w:r>
        <w:rPr>
          <w:sz w:val="24"/>
        </w:rPr>
        <w:t>in</w:t>
      </w:r>
      <w:r>
        <w:rPr>
          <w:spacing w:val="-15"/>
          <w:sz w:val="24"/>
        </w:rPr>
        <w:t> </w:t>
      </w:r>
      <w:r>
        <w:rPr>
          <w:sz w:val="24"/>
        </w:rPr>
        <w:t>which</w:t>
      </w:r>
      <w:r>
        <w:rPr>
          <w:spacing w:val="-15"/>
          <w:sz w:val="24"/>
        </w:rPr>
        <w:t> </w:t>
      </w:r>
      <w:r>
        <w:rPr>
          <w:sz w:val="24"/>
        </w:rPr>
        <w:t>such FSI</w:t>
      </w:r>
      <w:r>
        <w:rPr>
          <w:spacing w:val="-11"/>
          <w:sz w:val="24"/>
        </w:rPr>
        <w:t> </w:t>
      </w:r>
      <w:r>
        <w:rPr>
          <w:sz w:val="24"/>
        </w:rPr>
        <w:t>is</w:t>
      </w:r>
      <w:r>
        <w:rPr>
          <w:spacing w:val="-15"/>
          <w:sz w:val="24"/>
        </w:rPr>
        <w:t> </w:t>
      </w:r>
      <w:r>
        <w:rPr>
          <w:sz w:val="24"/>
        </w:rPr>
        <w:t>granted</w:t>
      </w:r>
      <w:r>
        <w:rPr>
          <w:spacing w:val="-12"/>
          <w:sz w:val="24"/>
        </w:rPr>
        <w:t> </w:t>
      </w:r>
      <w:r>
        <w:rPr>
          <w:sz w:val="24"/>
        </w:rPr>
        <w:t>for</w:t>
      </w:r>
      <w:r>
        <w:rPr>
          <w:spacing w:val="-13"/>
          <w:sz w:val="24"/>
        </w:rPr>
        <w:t> </w:t>
      </w:r>
      <w:r>
        <w:rPr>
          <w:sz w:val="24"/>
        </w:rPr>
        <w:t>the</w:t>
      </w:r>
      <w:r>
        <w:rPr>
          <w:spacing w:val="-15"/>
          <w:sz w:val="24"/>
        </w:rPr>
        <w:t> </w:t>
      </w:r>
      <w:r>
        <w:rPr>
          <w:sz w:val="24"/>
        </w:rPr>
        <w:t>BUA</w:t>
      </w:r>
      <w:r>
        <w:rPr>
          <w:spacing w:val="-13"/>
          <w:sz w:val="24"/>
        </w:rPr>
        <w:t> </w:t>
      </w:r>
      <w:r>
        <w:rPr>
          <w:sz w:val="24"/>
        </w:rPr>
        <w:t>and</w:t>
      </w:r>
      <w:r>
        <w:rPr>
          <w:spacing w:val="-13"/>
          <w:sz w:val="24"/>
        </w:rPr>
        <w:t> </w:t>
      </w:r>
      <w:r>
        <w:rPr>
          <w:sz w:val="24"/>
        </w:rPr>
        <w:t>shall</w:t>
      </w:r>
      <w:r>
        <w:rPr>
          <w:spacing w:val="-13"/>
          <w:sz w:val="24"/>
        </w:rPr>
        <w:t> </w:t>
      </w:r>
      <w:r>
        <w:rPr>
          <w:sz w:val="24"/>
        </w:rPr>
        <w:t>be</w:t>
      </w:r>
      <w:r>
        <w:rPr>
          <w:spacing w:val="-15"/>
          <w:sz w:val="24"/>
        </w:rPr>
        <w:t> </w:t>
      </w:r>
      <w:r>
        <w:rPr>
          <w:sz w:val="24"/>
        </w:rPr>
        <w:t>equally</w:t>
      </w:r>
      <w:r>
        <w:rPr>
          <w:spacing w:val="-13"/>
          <w:sz w:val="24"/>
        </w:rPr>
        <w:t> </w:t>
      </w:r>
      <w:r>
        <w:rPr>
          <w:sz w:val="24"/>
        </w:rPr>
        <w:t>shared</w:t>
      </w:r>
      <w:r>
        <w:rPr>
          <w:spacing w:val="-13"/>
          <w:sz w:val="24"/>
        </w:rPr>
        <w:t> </w:t>
      </w:r>
      <w:r>
        <w:rPr>
          <w:sz w:val="24"/>
        </w:rPr>
        <w:t>between</w:t>
      </w:r>
      <w:r>
        <w:rPr>
          <w:spacing w:val="-13"/>
          <w:sz w:val="24"/>
        </w:rPr>
        <w:t> </w:t>
      </w:r>
      <w:r>
        <w:rPr>
          <w:sz w:val="24"/>
        </w:rPr>
        <w:t>GoM &amp; MCGM.</w:t>
      </w:r>
    </w:p>
    <w:p>
      <w:pPr>
        <w:pStyle w:val="ListParagraph"/>
        <w:numPr>
          <w:ilvl w:val="0"/>
          <w:numId w:val="134"/>
        </w:numPr>
        <w:tabs>
          <w:tab w:pos="2476" w:val="left" w:leader="none"/>
        </w:tabs>
        <w:spacing w:line="240" w:lineRule="auto" w:before="242" w:after="0"/>
        <w:ind w:left="2476" w:right="0" w:hanging="201"/>
        <w:jc w:val="left"/>
        <w:rPr>
          <w:sz w:val="24"/>
        </w:rPr>
      </w:pPr>
      <w:r>
        <w:rPr>
          <w:sz w:val="24"/>
        </w:rPr>
        <w:t>The</w:t>
      </w:r>
      <w:r>
        <w:rPr>
          <w:spacing w:val="-1"/>
          <w:sz w:val="24"/>
        </w:rPr>
        <w:t> </w:t>
      </w:r>
      <w:r>
        <w:rPr>
          <w:sz w:val="24"/>
        </w:rPr>
        <w:t>minimum</w:t>
      </w:r>
      <w:r>
        <w:rPr>
          <w:spacing w:val="-1"/>
          <w:sz w:val="24"/>
        </w:rPr>
        <w:t> </w:t>
      </w:r>
      <w:r>
        <w:rPr>
          <w:sz w:val="24"/>
        </w:rPr>
        <w:t>area</w:t>
      </w:r>
      <w:r>
        <w:rPr>
          <w:spacing w:val="-1"/>
          <w:sz w:val="24"/>
        </w:rPr>
        <w:t> </w:t>
      </w:r>
      <w:r>
        <w:rPr>
          <w:sz w:val="24"/>
        </w:rPr>
        <w:t>of</w:t>
      </w:r>
      <w:r>
        <w:rPr>
          <w:spacing w:val="-1"/>
          <w:sz w:val="24"/>
        </w:rPr>
        <w:t> </w:t>
      </w:r>
      <w:r>
        <w:rPr>
          <w:sz w:val="24"/>
        </w:rPr>
        <w:t>plot shall</w:t>
      </w:r>
      <w:r>
        <w:rPr>
          <w:spacing w:val="-1"/>
          <w:sz w:val="24"/>
        </w:rPr>
        <w:t> </w:t>
      </w:r>
      <w:r>
        <w:rPr>
          <w:sz w:val="24"/>
        </w:rPr>
        <w:t>be</w:t>
      </w:r>
      <w:r>
        <w:rPr>
          <w:spacing w:val="-1"/>
          <w:sz w:val="24"/>
        </w:rPr>
        <w:t> </w:t>
      </w:r>
      <w:r>
        <w:rPr>
          <w:sz w:val="24"/>
        </w:rPr>
        <w:t>250</w:t>
      </w:r>
      <w:r>
        <w:rPr>
          <w:spacing w:val="-1"/>
          <w:sz w:val="24"/>
        </w:rPr>
        <w:t> </w:t>
      </w:r>
      <w:r>
        <w:rPr>
          <w:sz w:val="24"/>
        </w:rPr>
        <w:t>sq. </w:t>
      </w:r>
      <w:r>
        <w:rPr>
          <w:spacing w:val="-5"/>
          <w:sz w:val="24"/>
        </w:rPr>
        <w:t>m.</w:t>
      </w:r>
    </w:p>
    <w:p>
      <w:pPr>
        <w:spacing w:before="236"/>
        <w:ind w:left="2422" w:right="768" w:hanging="360"/>
        <w:jc w:val="left"/>
        <w:rPr>
          <w:b/>
          <w:sz w:val="24"/>
        </w:rPr>
      </w:pPr>
      <w:r>
        <w:rPr>
          <w:b/>
          <w:sz w:val="24"/>
        </w:rPr>
        <w:t>33</w:t>
      </w:r>
      <w:r>
        <w:rPr>
          <w:b/>
          <w:spacing w:val="80"/>
          <w:sz w:val="24"/>
        </w:rPr>
        <w:t> </w:t>
      </w:r>
      <w:r>
        <w:rPr>
          <w:b/>
          <w:sz w:val="24"/>
        </w:rPr>
        <w:t>(2)</w:t>
      </w:r>
      <w:r>
        <w:rPr>
          <w:b/>
          <w:i/>
          <w:sz w:val="24"/>
        </w:rPr>
        <w:t>Buildings</w:t>
      </w:r>
      <w:r>
        <w:rPr>
          <w:b/>
          <w:i/>
          <w:spacing w:val="80"/>
          <w:sz w:val="24"/>
        </w:rPr>
        <w:t> </w:t>
      </w:r>
      <w:r>
        <w:rPr>
          <w:b/>
          <w:i/>
          <w:sz w:val="24"/>
        </w:rPr>
        <w:t>of</w:t>
      </w:r>
      <w:r>
        <w:rPr>
          <w:b/>
          <w:i/>
          <w:spacing w:val="80"/>
          <w:sz w:val="24"/>
        </w:rPr>
        <w:t> </w:t>
      </w:r>
      <w:r>
        <w:rPr>
          <w:b/>
          <w:i/>
          <w:sz w:val="24"/>
        </w:rPr>
        <w:t>Medical</w:t>
      </w:r>
      <w:r>
        <w:rPr>
          <w:b/>
          <w:i/>
          <w:spacing w:val="80"/>
          <w:sz w:val="24"/>
        </w:rPr>
        <w:t> </w:t>
      </w:r>
      <w:r>
        <w:rPr>
          <w:b/>
          <w:i/>
          <w:sz w:val="24"/>
        </w:rPr>
        <w:t>and</w:t>
      </w:r>
      <w:r>
        <w:rPr>
          <w:b/>
          <w:i/>
          <w:spacing w:val="80"/>
          <w:sz w:val="24"/>
        </w:rPr>
        <w:t> </w:t>
      </w:r>
      <w:r>
        <w:rPr>
          <w:b/>
          <w:i/>
          <w:sz w:val="24"/>
        </w:rPr>
        <w:t>Educational</w:t>
      </w:r>
      <w:r>
        <w:rPr>
          <w:b/>
          <w:i/>
          <w:spacing w:val="80"/>
          <w:sz w:val="24"/>
        </w:rPr>
        <w:t> </w:t>
      </w:r>
      <w:r>
        <w:rPr>
          <w:b/>
          <w:i/>
          <w:sz w:val="24"/>
        </w:rPr>
        <w:t>Institutions</w:t>
      </w:r>
      <w:r>
        <w:rPr>
          <w:b/>
          <w:i/>
          <w:spacing w:val="80"/>
          <w:sz w:val="24"/>
        </w:rPr>
        <w:t> </w:t>
      </w:r>
      <w:r>
        <w:rPr>
          <w:b/>
          <w:i/>
          <w:sz w:val="24"/>
        </w:rPr>
        <w:t>and Other</w:t>
      </w:r>
      <w:r>
        <w:rPr>
          <w:b/>
          <w:i/>
          <w:spacing w:val="45"/>
          <w:w w:val="150"/>
          <w:sz w:val="24"/>
        </w:rPr>
        <w:t> </w:t>
      </w:r>
      <w:r>
        <w:rPr>
          <w:b/>
          <w:i/>
          <w:sz w:val="24"/>
        </w:rPr>
        <w:t>Institutional</w:t>
      </w:r>
      <w:r>
        <w:rPr>
          <w:b/>
          <w:i/>
          <w:spacing w:val="40"/>
          <w:w w:val="150"/>
          <w:sz w:val="24"/>
        </w:rPr>
        <w:t> </w:t>
      </w:r>
      <w:r>
        <w:rPr>
          <w:b/>
          <w:i/>
          <w:sz w:val="24"/>
        </w:rPr>
        <w:t>Buildings</w:t>
      </w:r>
      <w:r>
        <w:rPr>
          <w:b/>
          <w:i/>
          <w:spacing w:val="55"/>
          <w:w w:val="150"/>
          <w:sz w:val="24"/>
        </w:rPr>
        <w:t> </w:t>
      </w:r>
      <w:r>
        <w:rPr>
          <w:b/>
          <w:i/>
          <w:sz w:val="24"/>
        </w:rPr>
        <w:t>covered</w:t>
      </w:r>
      <w:r>
        <w:rPr>
          <w:b/>
          <w:i/>
          <w:spacing w:val="40"/>
          <w:w w:val="150"/>
          <w:sz w:val="24"/>
        </w:rPr>
        <w:t> </w:t>
      </w:r>
      <w:r>
        <w:rPr>
          <w:b/>
          <w:i/>
          <w:sz w:val="24"/>
        </w:rPr>
        <w:t>under</w:t>
      </w:r>
      <w:r>
        <w:rPr>
          <w:b/>
          <w:i/>
          <w:spacing w:val="44"/>
          <w:w w:val="150"/>
          <w:sz w:val="24"/>
        </w:rPr>
        <w:t> </w:t>
      </w:r>
      <w:r>
        <w:rPr>
          <w:b/>
          <w:i/>
          <w:sz w:val="24"/>
        </w:rPr>
        <w:t>Regulation</w:t>
      </w:r>
      <w:r>
        <w:rPr>
          <w:b/>
          <w:i/>
          <w:spacing w:val="50"/>
          <w:w w:val="150"/>
          <w:sz w:val="24"/>
        </w:rPr>
        <w:t> </w:t>
      </w:r>
      <w:r>
        <w:rPr>
          <w:b/>
          <w:spacing w:val="-5"/>
          <w:sz w:val="24"/>
        </w:rPr>
        <w:t>(2)</w:t>
      </w:r>
    </w:p>
    <w:p>
      <w:pPr>
        <w:pStyle w:val="Heading5"/>
        <w:spacing w:before="1"/>
        <w:ind w:left="2422"/>
        <w:rPr>
          <w:i/>
        </w:rPr>
      </w:pPr>
      <w:r>
        <w:rPr/>
        <w:t>(IV)</w:t>
      </w:r>
      <w:r>
        <w:rPr>
          <w:spacing w:val="47"/>
        </w:rPr>
        <w:t> </w:t>
      </w:r>
      <w:r>
        <w:rPr/>
        <w:t>(17)</w:t>
      </w:r>
      <w:r>
        <w:rPr>
          <w:spacing w:val="47"/>
        </w:rPr>
        <w:t> </w:t>
      </w:r>
      <w:r>
        <w:rPr/>
        <w:t>(g)</w:t>
      </w:r>
      <w:r>
        <w:rPr>
          <w:i/>
        </w:rPr>
        <w:t>:</w:t>
      </w:r>
      <w:r>
        <w:rPr>
          <w:i/>
          <w:spacing w:val="50"/>
        </w:rPr>
        <w:t> </w:t>
      </w:r>
      <w:r>
        <w:rPr>
          <w:i/>
          <w:spacing w:val="-10"/>
        </w:rPr>
        <w:t>-</w:t>
      </w:r>
    </w:p>
    <w:p>
      <w:pPr>
        <w:pStyle w:val="BodyText"/>
        <w:spacing w:before="244"/>
        <w:ind w:left="2422" w:right="766"/>
      </w:pPr>
      <w:r>
        <w:rPr/>
        <w:t>The</w:t>
      </w:r>
      <w:r>
        <w:rPr>
          <w:spacing w:val="80"/>
        </w:rPr>
        <w:t> </w:t>
      </w:r>
      <w:r>
        <w:rPr/>
        <w:t>Municipal</w:t>
      </w:r>
      <w:r>
        <w:rPr>
          <w:spacing w:val="80"/>
        </w:rPr>
        <w:t> </w:t>
      </w:r>
      <w:r>
        <w:rPr/>
        <w:t>Commissioner,</w:t>
      </w:r>
      <w:r>
        <w:rPr>
          <w:spacing w:val="80"/>
        </w:rPr>
        <w:t> </w:t>
      </w:r>
      <w:r>
        <w:rPr/>
        <w:t>by</w:t>
      </w:r>
      <w:r>
        <w:rPr>
          <w:spacing w:val="80"/>
        </w:rPr>
        <w:t> </w:t>
      </w:r>
      <w:r>
        <w:rPr/>
        <w:t>special</w:t>
      </w:r>
      <w:r>
        <w:rPr>
          <w:spacing w:val="80"/>
        </w:rPr>
        <w:t> </w:t>
      </w:r>
      <w:r>
        <w:rPr/>
        <w:t>permission,</w:t>
      </w:r>
      <w:r>
        <w:rPr>
          <w:spacing w:val="80"/>
        </w:rPr>
        <w:t> </w:t>
      </w:r>
      <w:r>
        <w:rPr/>
        <w:t>may permit up to FSI 5 for medical Institutions and FSI up to 4 for educational &amp; other Institutional buildings including the Zonal (basic) FSI specified in Table No 12 in respect of buildings on independent plots of educational/medical institutions and institutional</w:t>
      </w:r>
      <w:r>
        <w:rPr>
          <w:spacing w:val="40"/>
        </w:rPr>
        <w:t> </w:t>
      </w:r>
      <w:r>
        <w:rPr/>
        <w:t>buildings</w:t>
      </w:r>
      <w:r>
        <w:rPr>
          <w:spacing w:val="40"/>
        </w:rPr>
        <w:t> </w:t>
      </w:r>
      <w:r>
        <w:rPr/>
        <w:t>of</w:t>
      </w:r>
      <w:r>
        <w:rPr>
          <w:spacing w:val="40"/>
        </w:rPr>
        <w:t> </w:t>
      </w:r>
      <w:r>
        <w:rPr>
          <w:spacing w:val="9"/>
        </w:rPr>
        <w:t>Govt./MCGM</w:t>
      </w:r>
      <w:r>
        <w:rPr>
          <w:spacing w:val="40"/>
        </w:rPr>
        <w:t> </w:t>
      </w:r>
      <w:r>
        <w:rPr/>
        <w:t>or</w:t>
      </w:r>
      <w:r>
        <w:rPr>
          <w:spacing w:val="40"/>
        </w:rPr>
        <w:t> </w:t>
      </w:r>
      <w:r>
        <w:rPr/>
        <w:t>public</w:t>
      </w:r>
      <w:r>
        <w:rPr>
          <w:spacing w:val="40"/>
        </w:rPr>
        <w:t> </w:t>
      </w:r>
      <w:r>
        <w:rPr/>
        <w:t>authorities</w:t>
      </w:r>
      <w:r>
        <w:rPr>
          <w:spacing w:val="40"/>
        </w:rPr>
        <w:t> </w:t>
      </w:r>
      <w:r>
        <w:rPr/>
        <w:t>or</w:t>
      </w:r>
      <w:r>
        <w:rPr>
          <w:spacing w:val="80"/>
        </w:rPr>
        <w:t> </w:t>
      </w:r>
      <w:r>
        <w:rPr/>
        <w:t>of</w:t>
      </w:r>
      <w:r>
        <w:rPr>
          <w:spacing w:val="40"/>
        </w:rPr>
        <w:t> </w:t>
      </w:r>
      <w:r>
        <w:rPr/>
        <w:t>registered</w:t>
      </w:r>
      <w:r>
        <w:rPr>
          <w:spacing w:val="40"/>
        </w:rPr>
        <w:t> </w:t>
      </w:r>
      <w:r>
        <w:rPr/>
        <w:t>public</w:t>
      </w:r>
      <w:r>
        <w:rPr>
          <w:spacing w:val="40"/>
        </w:rPr>
        <w:t> </w:t>
      </w:r>
      <w:r>
        <w:rPr/>
        <w:t>charitable</w:t>
      </w:r>
      <w:r>
        <w:rPr>
          <w:spacing w:val="40"/>
        </w:rPr>
        <w:t> </w:t>
      </w:r>
      <w:r>
        <w:rPr/>
        <w:t>trusts</w:t>
      </w:r>
      <w:r>
        <w:rPr>
          <w:spacing w:val="40"/>
        </w:rPr>
        <w:t> </w:t>
      </w:r>
      <w:r>
        <w:rPr/>
        <w:t>or</w:t>
      </w:r>
      <w:r>
        <w:rPr>
          <w:spacing w:val="40"/>
        </w:rPr>
        <w:t> </w:t>
      </w:r>
      <w:r>
        <w:rPr/>
        <w:t>of</w:t>
      </w:r>
      <w:r>
        <w:rPr>
          <w:spacing w:val="40"/>
        </w:rPr>
        <w:t> </w:t>
      </w:r>
      <w:r>
        <w:rPr/>
        <w:t>medical</w:t>
      </w:r>
      <w:r>
        <w:rPr>
          <w:spacing w:val="40"/>
        </w:rPr>
        <w:t> </w:t>
      </w:r>
      <w:r>
        <w:rPr/>
        <w:t>institutions run on cooperative basis established for charitable purposes and registered under the provisions of Income Tax Act or Maharashtra Cooperative Societies Act or private medical institutions subject to terms</w:t>
      </w:r>
      <w:r>
        <w:rPr>
          <w:spacing w:val="40"/>
        </w:rPr>
        <w:t> </w:t>
      </w:r>
      <w:r>
        <w:rPr/>
        <w:t>and</w:t>
      </w:r>
      <w:r>
        <w:rPr>
          <w:spacing w:val="40"/>
        </w:rPr>
        <w:t> </w:t>
      </w:r>
      <w:r>
        <w:rPr/>
        <w:t>conditions</w:t>
      </w:r>
      <w:r>
        <w:rPr>
          <w:spacing w:val="40"/>
        </w:rPr>
        <w:t> </w:t>
      </w:r>
      <w:r>
        <w:rPr/>
        <w:t>he</w:t>
      </w:r>
      <w:r>
        <w:rPr>
          <w:spacing w:val="40"/>
        </w:rPr>
        <w:t> </w:t>
      </w:r>
      <w:r>
        <w:rPr/>
        <w:t>may</w:t>
      </w:r>
      <w:r>
        <w:rPr>
          <w:spacing w:val="40"/>
        </w:rPr>
        <w:t> </w:t>
      </w:r>
      <w:r>
        <w:rPr/>
        <w:t>specify</w:t>
      </w:r>
      <w:r>
        <w:rPr>
          <w:spacing w:val="40"/>
        </w:rPr>
        <w:t> </w:t>
      </w:r>
      <w:r>
        <w:rPr/>
        <w:t>subject</w:t>
      </w:r>
      <w:r>
        <w:rPr>
          <w:spacing w:val="40"/>
        </w:rPr>
        <w:t> </w:t>
      </w:r>
      <w:r>
        <w:rPr/>
        <w:t>to</w:t>
      </w:r>
      <w:r>
        <w:rPr>
          <w:spacing w:val="40"/>
        </w:rPr>
        <w:t> </w:t>
      </w:r>
      <w:r>
        <w:rPr/>
        <w:t>minimum</w:t>
      </w:r>
      <w:r>
        <w:rPr>
          <w:spacing w:val="40"/>
        </w:rPr>
        <w:t> </w:t>
      </w:r>
      <w:r>
        <w:rPr/>
        <w:t>width of</w:t>
      </w:r>
      <w:r>
        <w:rPr>
          <w:spacing w:val="80"/>
        </w:rPr>
        <w:t> </w:t>
      </w:r>
      <w:r>
        <w:rPr/>
        <w:t>13.40m</w:t>
      </w:r>
      <w:r>
        <w:rPr>
          <w:spacing w:val="80"/>
        </w:rPr>
        <w:t> </w:t>
      </w:r>
      <w:r>
        <w:rPr/>
        <w:t>except</w:t>
      </w:r>
      <w:r>
        <w:rPr>
          <w:spacing w:val="80"/>
        </w:rPr>
        <w:t> </w:t>
      </w:r>
      <w:r>
        <w:rPr/>
        <w:t>educational</w:t>
      </w:r>
      <w:r>
        <w:rPr>
          <w:spacing w:val="80"/>
        </w:rPr>
        <w:t> </w:t>
      </w:r>
      <w:r>
        <w:rPr/>
        <w:t>institutions;</w:t>
      </w:r>
    </w:p>
    <w:p>
      <w:pPr>
        <w:pStyle w:val="BodyText"/>
        <w:spacing w:before="239"/>
        <w:ind w:left="2422" w:right="780"/>
      </w:pPr>
      <w:r>
        <w:rPr/>
        <w:t>Provided that in the case of additional FSI allowed to the above</w:t>
      </w:r>
      <w:r>
        <w:rPr>
          <w:spacing w:val="40"/>
        </w:rPr>
        <w:t> </w:t>
      </w:r>
      <w:r>
        <w:rPr/>
        <w:t>cited</w:t>
      </w:r>
      <w:r>
        <w:rPr>
          <w:spacing w:val="77"/>
        </w:rPr>
        <w:t> </w:t>
      </w:r>
      <w:r>
        <w:rPr>
          <w:spacing w:val="9"/>
        </w:rPr>
        <w:t>institutions,</w:t>
      </w:r>
      <w:r>
        <w:rPr>
          <w:spacing w:val="41"/>
          <w:w w:val="150"/>
        </w:rPr>
        <w:t> </w:t>
      </w:r>
      <w:r>
        <w:rPr/>
        <w:t>except</w:t>
      </w:r>
      <w:r>
        <w:rPr>
          <w:spacing w:val="78"/>
        </w:rPr>
        <w:t> </w:t>
      </w:r>
      <w:r>
        <w:rPr/>
        <w:t>institutional</w:t>
      </w:r>
      <w:r>
        <w:rPr>
          <w:spacing w:val="77"/>
        </w:rPr>
        <w:t> </w:t>
      </w:r>
      <w:r>
        <w:rPr/>
        <w:t>buildings</w:t>
      </w:r>
      <w:r>
        <w:rPr>
          <w:spacing w:val="77"/>
        </w:rPr>
        <w:t> </w:t>
      </w:r>
      <w:r>
        <w:rPr/>
        <w:t>of</w:t>
      </w:r>
      <w:r>
        <w:rPr>
          <w:spacing w:val="52"/>
          <w:w w:val="150"/>
        </w:rPr>
        <w:t> </w:t>
      </w:r>
      <w:r>
        <w:rPr/>
        <w:t>State</w:t>
      </w:r>
      <w:r>
        <w:rPr>
          <w:spacing w:val="44"/>
          <w:w w:val="150"/>
        </w:rPr>
        <w:t> </w:t>
      </w:r>
      <w:r>
        <w:rPr>
          <w:spacing w:val="-2"/>
        </w:rPr>
        <w:t>Govt.</w:t>
      </w:r>
    </w:p>
    <w:p>
      <w:pPr>
        <w:pStyle w:val="BodyText"/>
        <w:spacing w:after="0"/>
        <w:sectPr>
          <w:headerReference w:type="default" r:id="rId31"/>
          <w:footerReference w:type="default" r:id="rId32"/>
          <w:pgSz w:w="11910" w:h="16840"/>
          <w:pgMar w:header="1065" w:footer="1194" w:top="1500" w:bottom="1380" w:left="360" w:right="360"/>
        </w:sectPr>
      </w:pPr>
    </w:p>
    <w:p>
      <w:pPr>
        <w:pStyle w:val="BodyText"/>
        <w:spacing w:before="249"/>
        <w:ind w:left="2422" w:right="766"/>
      </w:pPr>
      <w:r>
        <w:rPr/>
        <w:t>&amp; MCGM, premium for</w:t>
      </w:r>
      <w:r>
        <w:rPr>
          <w:spacing w:val="-1"/>
        </w:rPr>
        <w:t> </w:t>
      </w:r>
      <w:r>
        <w:rPr/>
        <w:t>BUA,</w:t>
      </w:r>
      <w:r>
        <w:rPr>
          <w:spacing w:val="-1"/>
        </w:rPr>
        <w:t> </w:t>
      </w:r>
      <w:r>
        <w:rPr/>
        <w:t>at the</w:t>
      </w:r>
      <w:r>
        <w:rPr>
          <w:spacing w:val="-1"/>
        </w:rPr>
        <w:t> </w:t>
      </w:r>
      <w:r>
        <w:rPr/>
        <w:t>rate of</w:t>
      </w:r>
      <w:r>
        <w:rPr>
          <w:spacing w:val="-1"/>
        </w:rPr>
        <w:t> </w:t>
      </w:r>
      <w:r>
        <w:rPr/>
        <w:t>10%</w:t>
      </w:r>
      <w:r>
        <w:rPr>
          <w:spacing w:val="-1"/>
        </w:rPr>
        <w:t> </w:t>
      </w:r>
      <w:r>
        <w:rPr/>
        <w:t>of</w:t>
      </w:r>
      <w:r>
        <w:rPr>
          <w:spacing w:val="-1"/>
        </w:rPr>
        <w:t> </w:t>
      </w:r>
      <w:r>
        <w:rPr/>
        <w:t>the land</w:t>
      </w:r>
      <w:r>
        <w:rPr>
          <w:spacing w:val="-1"/>
        </w:rPr>
        <w:t> </w:t>
      </w:r>
      <w:r>
        <w:rPr/>
        <w:t>rates</w:t>
      </w:r>
      <w:r>
        <w:rPr>
          <w:spacing w:val="-1"/>
        </w:rPr>
        <w:t> </w:t>
      </w:r>
      <w:r>
        <w:rPr/>
        <w:t>as per</w:t>
      </w:r>
      <w:r>
        <w:rPr>
          <w:spacing w:val="-1"/>
        </w:rPr>
        <w:t> </w:t>
      </w:r>
      <w:r>
        <w:rPr/>
        <w:t>ASR</w:t>
      </w:r>
      <w:r>
        <w:rPr>
          <w:spacing w:val="-1"/>
        </w:rPr>
        <w:t> </w:t>
      </w:r>
      <w:r>
        <w:rPr/>
        <w:t>(for</w:t>
      </w:r>
      <w:r>
        <w:rPr>
          <w:spacing w:val="-1"/>
        </w:rPr>
        <w:t> </w:t>
      </w:r>
      <w:r>
        <w:rPr/>
        <w:t>FSI 1) for educational </w:t>
      </w:r>
      <w:r>
        <w:rPr>
          <w:spacing w:val="9"/>
        </w:rPr>
        <w:t>institutions, </w:t>
      </w:r>
      <w:r>
        <w:rPr/>
        <w:t>at</w:t>
      </w:r>
      <w:r>
        <w:rPr>
          <w:spacing w:val="-1"/>
        </w:rPr>
        <w:t> </w:t>
      </w:r>
      <w:r>
        <w:rPr/>
        <w:t>the</w:t>
      </w:r>
      <w:r>
        <w:rPr>
          <w:spacing w:val="-1"/>
        </w:rPr>
        <w:t> </w:t>
      </w:r>
      <w:r>
        <w:rPr/>
        <w:t>rate of</w:t>
      </w:r>
      <w:r>
        <w:rPr>
          <w:spacing w:val="40"/>
        </w:rPr>
        <w:t> </w:t>
      </w:r>
      <w:r>
        <w:rPr/>
        <w:t>15% of the land rates as per ASR (for FSI 1)for medical institutions,</w:t>
      </w:r>
      <w:r>
        <w:rPr>
          <w:spacing w:val="80"/>
        </w:rPr>
        <w:t> </w:t>
      </w:r>
      <w:r>
        <w:rPr/>
        <w:t>at the</w:t>
      </w:r>
      <w:r>
        <w:rPr>
          <w:spacing w:val="-8"/>
        </w:rPr>
        <w:t> </w:t>
      </w:r>
      <w:r>
        <w:rPr/>
        <w:t>rate</w:t>
      </w:r>
      <w:r>
        <w:rPr>
          <w:spacing w:val="-8"/>
        </w:rPr>
        <w:t> </w:t>
      </w:r>
      <w:r>
        <w:rPr/>
        <w:t>of</w:t>
      </w:r>
      <w:r>
        <w:rPr>
          <w:spacing w:val="-8"/>
        </w:rPr>
        <w:t> </w:t>
      </w:r>
      <w:r>
        <w:rPr/>
        <w:t>20%</w:t>
      </w:r>
      <w:r>
        <w:rPr>
          <w:spacing w:val="-11"/>
        </w:rPr>
        <w:t> </w:t>
      </w:r>
      <w:r>
        <w:rPr/>
        <w:t>of</w:t>
      </w:r>
      <w:r>
        <w:rPr>
          <w:spacing w:val="-8"/>
        </w:rPr>
        <w:t> </w:t>
      </w:r>
      <w:r>
        <w:rPr/>
        <w:t>the</w:t>
      </w:r>
      <w:r>
        <w:rPr>
          <w:spacing w:val="-8"/>
        </w:rPr>
        <w:t> </w:t>
      </w:r>
      <w:r>
        <w:rPr/>
        <w:t>land</w:t>
      </w:r>
      <w:r>
        <w:rPr>
          <w:spacing w:val="-8"/>
        </w:rPr>
        <w:t> </w:t>
      </w:r>
      <w:r>
        <w:rPr/>
        <w:t>rates</w:t>
      </w:r>
      <w:r>
        <w:rPr>
          <w:spacing w:val="-8"/>
        </w:rPr>
        <w:t> </w:t>
      </w:r>
      <w:r>
        <w:rPr/>
        <w:t>as</w:t>
      </w:r>
      <w:r>
        <w:rPr>
          <w:spacing w:val="-11"/>
        </w:rPr>
        <w:t> </w:t>
      </w:r>
      <w:r>
        <w:rPr/>
        <w:t>per</w:t>
      </w:r>
      <w:r>
        <w:rPr>
          <w:spacing w:val="-8"/>
        </w:rPr>
        <w:t> </w:t>
      </w:r>
      <w:r>
        <w:rPr/>
        <w:t>ASR</w:t>
      </w:r>
      <w:r>
        <w:rPr>
          <w:spacing w:val="-8"/>
        </w:rPr>
        <w:t> </w:t>
      </w:r>
      <w:r>
        <w:rPr/>
        <w:t>(for</w:t>
      </w:r>
      <w:r>
        <w:rPr>
          <w:spacing w:val="-8"/>
        </w:rPr>
        <w:t> </w:t>
      </w:r>
      <w:r>
        <w:rPr/>
        <w:t>FSI</w:t>
      </w:r>
      <w:r>
        <w:rPr>
          <w:spacing w:val="-6"/>
        </w:rPr>
        <w:t> </w:t>
      </w:r>
      <w:r>
        <w:rPr/>
        <w:t>1)for the private hospitals, medical Institutions and at the rate of 30% of the land rates as per ASR (for FSI 1)for other institutional buildings shall have</w:t>
      </w:r>
      <w:r>
        <w:rPr>
          <w:spacing w:val="40"/>
        </w:rPr>
        <w:t> </w:t>
      </w:r>
      <w:r>
        <w:rPr/>
        <w:t>to</w:t>
      </w:r>
      <w:r>
        <w:rPr>
          <w:spacing w:val="40"/>
        </w:rPr>
        <w:t> </w:t>
      </w:r>
      <w:r>
        <w:rPr/>
        <w:t>be</w:t>
      </w:r>
      <w:r>
        <w:rPr>
          <w:spacing w:val="40"/>
        </w:rPr>
        <w:t> </w:t>
      </w:r>
      <w:r>
        <w:rPr/>
        <w:t>paid,</w:t>
      </w:r>
      <w:r>
        <w:rPr>
          <w:spacing w:val="40"/>
        </w:rPr>
        <w:t> </w:t>
      </w:r>
      <w:r>
        <w:rPr/>
        <w:t>beyond</w:t>
      </w:r>
      <w:r>
        <w:rPr>
          <w:spacing w:val="40"/>
        </w:rPr>
        <w:t> </w:t>
      </w:r>
      <w:r>
        <w:rPr/>
        <w:t>Zonal</w:t>
      </w:r>
      <w:r>
        <w:rPr>
          <w:spacing w:val="40"/>
        </w:rPr>
        <w:t> </w:t>
      </w:r>
      <w:r>
        <w:rPr/>
        <w:t>(basic)</w:t>
      </w:r>
      <w:r>
        <w:rPr>
          <w:spacing w:val="40"/>
        </w:rPr>
        <w:t> </w:t>
      </w:r>
      <w:r>
        <w:rPr/>
        <w:t>FSI.</w:t>
      </w:r>
      <w:r>
        <w:rPr>
          <w:spacing w:val="40"/>
        </w:rPr>
        <w:t> </w:t>
      </w:r>
      <w:r>
        <w:rPr/>
        <w:t>Govt.</w:t>
      </w:r>
      <w:r>
        <w:rPr>
          <w:spacing w:val="40"/>
        </w:rPr>
        <w:t> </w:t>
      </w:r>
      <w:r>
        <w:rPr/>
        <w:t>may</w:t>
      </w:r>
      <w:r>
        <w:rPr>
          <w:spacing w:val="40"/>
        </w:rPr>
        <w:t> </w:t>
      </w:r>
      <w:r>
        <w:rPr/>
        <w:t>from</w:t>
      </w:r>
      <w:r>
        <w:rPr>
          <w:spacing w:val="40"/>
        </w:rPr>
        <w:t> </w:t>
      </w:r>
      <w:r>
        <w:rPr/>
        <w:t>time to</w:t>
      </w:r>
      <w:r>
        <w:rPr>
          <w:spacing w:val="40"/>
        </w:rPr>
        <w:t> </w:t>
      </w:r>
      <w:r>
        <w:rPr/>
        <w:t>time</w:t>
      </w:r>
      <w:r>
        <w:rPr>
          <w:spacing w:val="40"/>
        </w:rPr>
        <w:t> </w:t>
      </w:r>
      <w:r>
        <w:rPr/>
        <w:t>change</w:t>
      </w:r>
      <w:r>
        <w:rPr>
          <w:spacing w:val="40"/>
        </w:rPr>
        <w:t> </w:t>
      </w:r>
      <w:r>
        <w:rPr/>
        <w:t>the</w:t>
      </w:r>
      <w:r>
        <w:rPr>
          <w:spacing w:val="40"/>
        </w:rPr>
        <w:t> </w:t>
      </w:r>
      <w:r>
        <w:rPr/>
        <w:t>rate</w:t>
      </w:r>
      <w:r>
        <w:rPr>
          <w:spacing w:val="40"/>
        </w:rPr>
        <w:t> </w:t>
      </w:r>
      <w:r>
        <w:rPr/>
        <w:t>of</w:t>
      </w:r>
      <w:r>
        <w:rPr>
          <w:spacing w:val="9"/>
        </w:rPr>
        <w:t> premium</w:t>
      </w:r>
      <w:r>
        <w:rPr>
          <w:spacing w:val="9"/>
          <w:sz w:val="22"/>
        </w:rPr>
        <w:t>.</w:t>
      </w:r>
      <w:r>
        <w:rPr>
          <w:spacing w:val="80"/>
          <w:w w:val="150"/>
          <w:sz w:val="22"/>
        </w:rPr>
        <w:t> </w:t>
      </w:r>
      <w:r>
        <w:rPr/>
        <w:t>The</w:t>
      </w:r>
      <w:r>
        <w:rPr>
          <w:spacing w:val="40"/>
        </w:rPr>
        <w:t> </w:t>
      </w:r>
      <w:r>
        <w:rPr/>
        <w:t>amount</w:t>
      </w:r>
      <w:r>
        <w:rPr>
          <w:spacing w:val="40"/>
        </w:rPr>
        <w:t> </w:t>
      </w:r>
      <w:r>
        <w:rPr/>
        <w:t>of</w:t>
      </w:r>
      <w:r>
        <w:rPr>
          <w:spacing w:val="40"/>
        </w:rPr>
        <w:t> </w:t>
      </w:r>
      <w:r>
        <w:rPr/>
        <w:t>premium shall</w:t>
      </w:r>
      <w:r>
        <w:rPr>
          <w:spacing w:val="40"/>
        </w:rPr>
        <w:t> </w:t>
      </w:r>
      <w:r>
        <w:rPr/>
        <w:t>be</w:t>
      </w:r>
      <w:r>
        <w:rPr>
          <w:spacing w:val="40"/>
        </w:rPr>
        <w:t> </w:t>
      </w:r>
      <w:r>
        <w:rPr/>
        <w:t>equally</w:t>
      </w:r>
      <w:r>
        <w:rPr>
          <w:spacing w:val="40"/>
        </w:rPr>
        <w:t> </w:t>
      </w:r>
      <w:r>
        <w:rPr/>
        <w:t>shared</w:t>
      </w:r>
      <w:r>
        <w:rPr>
          <w:spacing w:val="40"/>
        </w:rPr>
        <w:t> </w:t>
      </w:r>
      <w:r>
        <w:rPr/>
        <w:t>between</w:t>
      </w:r>
      <w:r>
        <w:rPr>
          <w:spacing w:val="40"/>
        </w:rPr>
        <w:t> </w:t>
      </w:r>
      <w:r>
        <w:rPr/>
        <w:t>Govt.</w:t>
      </w:r>
      <w:r>
        <w:rPr>
          <w:spacing w:val="40"/>
        </w:rPr>
        <w:t> </w:t>
      </w:r>
      <w:r>
        <w:rPr/>
        <w:t>and</w:t>
      </w:r>
      <w:r>
        <w:rPr>
          <w:spacing w:val="40"/>
        </w:rPr>
        <w:t> </w:t>
      </w:r>
      <w:r>
        <w:rPr/>
        <w:t>MCGM.</w:t>
      </w:r>
    </w:p>
    <w:p>
      <w:pPr>
        <w:pStyle w:val="BodyText"/>
        <w:spacing w:before="241"/>
        <w:ind w:left="2422" w:right="779"/>
      </w:pPr>
      <w:r>
        <w:rPr/>
        <w:t>Out of the additional FSI beyond Zonal (basic) FSI, 50% may be availed</w:t>
      </w:r>
      <w:r>
        <w:rPr>
          <w:spacing w:val="80"/>
        </w:rPr>
        <w:t> </w:t>
      </w:r>
      <w:r>
        <w:rPr/>
        <w:t>by</w:t>
      </w:r>
      <w:r>
        <w:rPr>
          <w:spacing w:val="80"/>
        </w:rPr>
        <w:t> </w:t>
      </w:r>
      <w:r>
        <w:rPr/>
        <w:t>utilizing</w:t>
      </w:r>
      <w:r>
        <w:rPr>
          <w:spacing w:val="80"/>
        </w:rPr>
        <w:t> </w:t>
      </w:r>
      <w:r>
        <w:rPr/>
        <w:t>TDR</w:t>
      </w:r>
      <w:r>
        <w:rPr>
          <w:spacing w:val="80"/>
        </w:rPr>
        <w:t> </w:t>
      </w:r>
      <w:r>
        <w:rPr/>
        <w:t>(without</w:t>
      </w:r>
      <w:r>
        <w:rPr>
          <w:spacing w:val="80"/>
        </w:rPr>
        <w:t> </w:t>
      </w:r>
      <w:r>
        <w:rPr/>
        <w:t>payment</w:t>
      </w:r>
      <w:r>
        <w:rPr>
          <w:spacing w:val="80"/>
        </w:rPr>
        <w:t> </w:t>
      </w:r>
      <w:r>
        <w:rPr/>
        <w:t>of</w:t>
      </w:r>
      <w:r>
        <w:rPr>
          <w:spacing w:val="80"/>
        </w:rPr>
        <w:t> </w:t>
      </w:r>
      <w:r>
        <w:rPr/>
        <w:t>premium), provided</w:t>
      </w:r>
      <w:r>
        <w:rPr>
          <w:spacing w:val="40"/>
        </w:rPr>
        <w:t> </w:t>
      </w:r>
      <w:r>
        <w:rPr/>
        <w:t>that</w:t>
      </w:r>
      <w:r>
        <w:rPr>
          <w:spacing w:val="40"/>
        </w:rPr>
        <w:t> </w:t>
      </w:r>
      <w:r>
        <w:rPr/>
        <w:t>the</w:t>
      </w:r>
      <w:r>
        <w:rPr>
          <w:spacing w:val="40"/>
        </w:rPr>
        <w:t> </w:t>
      </w:r>
      <w:r>
        <w:rPr/>
        <w:t>utilization</w:t>
      </w:r>
      <w:r>
        <w:rPr>
          <w:spacing w:val="40"/>
        </w:rPr>
        <w:t> </w:t>
      </w:r>
      <w:r>
        <w:rPr/>
        <w:t>of</w:t>
      </w:r>
      <w:r>
        <w:rPr>
          <w:spacing w:val="40"/>
        </w:rPr>
        <w:t> </w:t>
      </w:r>
      <w:r>
        <w:rPr/>
        <w:t>such</w:t>
      </w:r>
      <w:r>
        <w:rPr>
          <w:spacing w:val="40"/>
        </w:rPr>
        <w:t> </w:t>
      </w:r>
      <w:r>
        <w:rPr/>
        <w:t>TDR</w:t>
      </w:r>
      <w:r>
        <w:rPr>
          <w:spacing w:val="40"/>
        </w:rPr>
        <w:t> </w:t>
      </w:r>
      <w:r>
        <w:rPr/>
        <w:t>will</w:t>
      </w:r>
      <w:r>
        <w:rPr>
          <w:spacing w:val="40"/>
        </w:rPr>
        <w:t> </w:t>
      </w:r>
      <w:r>
        <w:rPr/>
        <w:t>be</w:t>
      </w:r>
      <w:r>
        <w:rPr>
          <w:spacing w:val="40"/>
        </w:rPr>
        <w:t> </w:t>
      </w:r>
      <w:r>
        <w:rPr/>
        <w:t>allowed</w:t>
      </w:r>
      <w:r>
        <w:rPr>
          <w:spacing w:val="40"/>
        </w:rPr>
        <w:t> </w:t>
      </w:r>
      <w:r>
        <w:rPr/>
        <w:t>as</w:t>
      </w:r>
      <w:r>
        <w:rPr>
          <w:spacing w:val="40"/>
        </w:rPr>
        <w:t> </w:t>
      </w:r>
      <w:r>
        <w:rPr/>
        <w:t>per the option of the </w:t>
      </w:r>
      <w:r>
        <w:rPr>
          <w:spacing w:val="9"/>
        </w:rPr>
        <w:t>owner/developer</w:t>
      </w:r>
    </w:p>
    <w:p>
      <w:pPr>
        <w:pStyle w:val="BodyText"/>
        <w:spacing w:before="240"/>
        <w:ind w:left="2422" w:right="786"/>
      </w:pPr>
      <w:r>
        <w:rPr/>
        <w:t>In</w:t>
      </w:r>
      <w:r>
        <w:rPr>
          <w:spacing w:val="40"/>
        </w:rPr>
        <w:t> </w:t>
      </w:r>
      <w:r>
        <w:rPr/>
        <w:t>regard</w:t>
      </w:r>
      <w:r>
        <w:rPr>
          <w:spacing w:val="40"/>
        </w:rPr>
        <w:t> </w:t>
      </w:r>
      <w:r>
        <w:rPr/>
        <w:t>to</w:t>
      </w:r>
      <w:r>
        <w:rPr>
          <w:spacing w:val="40"/>
        </w:rPr>
        <w:t> </w:t>
      </w:r>
      <w:r>
        <w:rPr/>
        <w:t>other</w:t>
      </w:r>
      <w:r>
        <w:rPr>
          <w:spacing w:val="40"/>
        </w:rPr>
        <w:t> </w:t>
      </w:r>
      <w:r>
        <w:rPr/>
        <w:t>Institutional</w:t>
      </w:r>
      <w:r>
        <w:rPr>
          <w:spacing w:val="40"/>
        </w:rPr>
        <w:t> </w:t>
      </w:r>
      <w:r>
        <w:rPr/>
        <w:t>Buildings</w:t>
      </w:r>
      <w:r>
        <w:rPr>
          <w:spacing w:val="40"/>
        </w:rPr>
        <w:t> </w:t>
      </w:r>
      <w:r>
        <w:rPr/>
        <w:t>covered</w:t>
      </w:r>
      <w:r>
        <w:rPr>
          <w:spacing w:val="40"/>
        </w:rPr>
        <w:t> </w:t>
      </w:r>
      <w:r>
        <w:rPr/>
        <w:t>under Regulation (2) (IV) (17) (g), Govt. /Municipal Commissioner may from</w:t>
      </w:r>
      <w:r>
        <w:rPr>
          <w:spacing w:val="40"/>
        </w:rPr>
        <w:t> </w:t>
      </w:r>
      <w:r>
        <w:rPr/>
        <w:t>time</w:t>
      </w:r>
      <w:r>
        <w:rPr>
          <w:spacing w:val="40"/>
        </w:rPr>
        <w:t> </w:t>
      </w:r>
      <w:r>
        <w:rPr/>
        <w:t>to</w:t>
      </w:r>
      <w:r>
        <w:rPr>
          <w:spacing w:val="40"/>
        </w:rPr>
        <w:t> </w:t>
      </w:r>
      <w:r>
        <w:rPr/>
        <w:t>time</w:t>
      </w:r>
      <w:r>
        <w:rPr>
          <w:spacing w:val="40"/>
        </w:rPr>
        <w:t> </w:t>
      </w:r>
      <w:r>
        <w:rPr/>
        <w:t>specify</w:t>
      </w:r>
      <w:r>
        <w:rPr>
          <w:spacing w:val="40"/>
        </w:rPr>
        <w:t> </w:t>
      </w:r>
      <w:r>
        <w:rPr/>
        <w:t>terms</w:t>
      </w:r>
      <w:r>
        <w:rPr>
          <w:spacing w:val="40"/>
        </w:rPr>
        <w:t> </w:t>
      </w:r>
      <w:r>
        <w:rPr/>
        <w:t>and</w:t>
      </w:r>
      <w:r>
        <w:rPr>
          <w:spacing w:val="40"/>
        </w:rPr>
        <w:t> </w:t>
      </w:r>
      <w:r>
        <w:rPr/>
        <w:t>conditions.</w:t>
      </w:r>
    </w:p>
    <w:p>
      <w:pPr>
        <w:pStyle w:val="Heading5"/>
        <w:numPr>
          <w:ilvl w:val="0"/>
          <w:numId w:val="135"/>
        </w:numPr>
        <w:tabs>
          <w:tab w:pos="2420" w:val="left" w:leader="none"/>
          <w:tab w:pos="2422" w:val="left" w:leader="none"/>
        </w:tabs>
        <w:spacing w:line="240" w:lineRule="auto" w:before="242" w:after="0"/>
        <w:ind w:left="2422" w:right="787" w:hanging="360"/>
        <w:jc w:val="both"/>
      </w:pPr>
      <w:r>
        <w:rPr/>
        <w:t>Terms and Conditions for Medical Institutions and</w:t>
      </w:r>
      <w:r>
        <w:rPr>
          <w:spacing w:val="40"/>
        </w:rPr>
        <w:t> </w:t>
      </w:r>
      <w:r>
        <w:rPr/>
        <w:t>Institutional </w:t>
      </w:r>
      <w:r>
        <w:rPr>
          <w:spacing w:val="9"/>
        </w:rPr>
        <w:t>Building</w:t>
      </w:r>
    </w:p>
    <w:p>
      <w:pPr>
        <w:pStyle w:val="ListParagraph"/>
        <w:numPr>
          <w:ilvl w:val="1"/>
          <w:numId w:val="135"/>
        </w:numPr>
        <w:tabs>
          <w:tab w:pos="2422" w:val="left" w:leader="none"/>
          <w:tab w:pos="2463" w:val="left" w:leader="none"/>
        </w:tabs>
        <w:spacing w:line="240" w:lineRule="auto" w:before="238" w:after="0"/>
        <w:ind w:left="2422" w:right="779" w:hanging="269"/>
        <w:jc w:val="both"/>
        <w:rPr>
          <w:sz w:val="24"/>
        </w:rPr>
      </w:pPr>
      <w:r>
        <w:rPr>
          <w:sz w:val="24"/>
        </w:rPr>
        <w:t>Additional BUA beyond Zonal (basic) FSI shall be utilized for bonafide</w:t>
      </w:r>
      <w:r>
        <w:rPr>
          <w:spacing w:val="40"/>
          <w:sz w:val="24"/>
        </w:rPr>
        <w:t> </w:t>
      </w:r>
      <w:r>
        <w:rPr>
          <w:sz w:val="24"/>
        </w:rPr>
        <w:t>medical</w:t>
      </w:r>
      <w:r>
        <w:rPr>
          <w:spacing w:val="40"/>
          <w:sz w:val="24"/>
        </w:rPr>
        <w:t> </w:t>
      </w:r>
      <w:r>
        <w:rPr>
          <w:sz w:val="24"/>
        </w:rPr>
        <w:t>purpose</w:t>
      </w:r>
      <w:r>
        <w:rPr>
          <w:spacing w:val="40"/>
          <w:sz w:val="24"/>
        </w:rPr>
        <w:t> </w:t>
      </w:r>
      <w:r>
        <w:rPr>
          <w:sz w:val="24"/>
        </w:rPr>
        <w:t>only.</w:t>
      </w:r>
    </w:p>
    <w:p>
      <w:pPr>
        <w:pStyle w:val="ListParagraph"/>
        <w:numPr>
          <w:ilvl w:val="1"/>
          <w:numId w:val="135"/>
        </w:numPr>
        <w:tabs>
          <w:tab w:pos="2422" w:val="left" w:leader="none"/>
          <w:tab w:pos="2472" w:val="left" w:leader="none"/>
        </w:tabs>
        <w:spacing w:line="240" w:lineRule="auto" w:before="240" w:after="0"/>
        <w:ind w:left="2422" w:right="776" w:hanging="269"/>
        <w:jc w:val="both"/>
        <w:rPr>
          <w:sz w:val="24"/>
        </w:rPr>
      </w:pPr>
      <w:r>
        <w:rPr>
          <w:sz w:val="24"/>
        </w:rPr>
        <w:t>20% of the total beds and free treatment shall be given to EWS/persons below poverty line. In </w:t>
      </w:r>
      <w:r>
        <w:rPr>
          <w:spacing w:val="9"/>
          <w:sz w:val="24"/>
        </w:rPr>
        <w:t>addition,10%</w:t>
      </w:r>
      <w:r>
        <w:rPr>
          <w:spacing w:val="9"/>
          <w:sz w:val="24"/>
        </w:rPr>
        <w:t> </w:t>
      </w:r>
      <w:r>
        <w:rPr>
          <w:sz w:val="24"/>
        </w:rPr>
        <w:t>of the total number of patients in OPD shall be </w:t>
      </w:r>
      <w:r>
        <w:rPr>
          <w:spacing w:val="9"/>
          <w:sz w:val="24"/>
        </w:rPr>
        <w:t>provided </w:t>
      </w:r>
      <w:r>
        <w:rPr>
          <w:sz w:val="24"/>
        </w:rPr>
        <w:t>treatment at rates charged in Govt. hospitals. Such facility, proportionate to cited percentages,</w:t>
      </w:r>
      <w:r>
        <w:rPr>
          <w:spacing w:val="40"/>
          <w:sz w:val="24"/>
        </w:rPr>
        <w:t> </w:t>
      </w:r>
      <w:r>
        <w:rPr>
          <w:sz w:val="24"/>
        </w:rPr>
        <w:t>shall</w:t>
      </w:r>
      <w:r>
        <w:rPr>
          <w:spacing w:val="40"/>
          <w:sz w:val="24"/>
        </w:rPr>
        <w:t> </w:t>
      </w:r>
      <w:r>
        <w:rPr>
          <w:sz w:val="24"/>
        </w:rPr>
        <w:t>be</w:t>
      </w:r>
      <w:r>
        <w:rPr>
          <w:spacing w:val="40"/>
          <w:sz w:val="24"/>
        </w:rPr>
        <w:t> </w:t>
      </w:r>
      <w:r>
        <w:rPr>
          <w:sz w:val="24"/>
        </w:rPr>
        <w:t>in</w:t>
      </w:r>
      <w:r>
        <w:rPr>
          <w:spacing w:val="40"/>
          <w:sz w:val="24"/>
        </w:rPr>
        <w:t> </w:t>
      </w:r>
      <w:r>
        <w:rPr>
          <w:sz w:val="24"/>
        </w:rPr>
        <w:t>separate</w:t>
      </w:r>
      <w:r>
        <w:rPr>
          <w:spacing w:val="40"/>
          <w:sz w:val="24"/>
        </w:rPr>
        <w:t> </w:t>
      </w:r>
      <w:r>
        <w:rPr>
          <w:sz w:val="24"/>
        </w:rPr>
        <w:t>building/wing,</w:t>
      </w:r>
      <w:r>
        <w:rPr>
          <w:spacing w:val="40"/>
          <w:sz w:val="24"/>
        </w:rPr>
        <w:t> </w:t>
      </w:r>
      <w:r>
        <w:rPr>
          <w:sz w:val="24"/>
        </w:rPr>
        <w:t>or</w:t>
      </w:r>
      <w:r>
        <w:rPr>
          <w:spacing w:val="40"/>
          <w:sz w:val="24"/>
        </w:rPr>
        <w:t> </w:t>
      </w:r>
      <w:r>
        <w:rPr>
          <w:sz w:val="24"/>
        </w:rPr>
        <w:t>if</w:t>
      </w:r>
      <w:r>
        <w:rPr>
          <w:spacing w:val="40"/>
          <w:sz w:val="24"/>
        </w:rPr>
        <w:t> </w:t>
      </w:r>
      <w:r>
        <w:rPr>
          <w:sz w:val="24"/>
        </w:rPr>
        <w:t>not possible,</w:t>
      </w:r>
      <w:r>
        <w:rPr>
          <w:spacing w:val="40"/>
          <w:sz w:val="24"/>
        </w:rPr>
        <w:t> </w:t>
      </w:r>
      <w:r>
        <w:rPr>
          <w:sz w:val="24"/>
        </w:rPr>
        <w:t>on</w:t>
      </w:r>
      <w:r>
        <w:rPr>
          <w:spacing w:val="40"/>
          <w:sz w:val="24"/>
        </w:rPr>
        <w:t> </w:t>
      </w:r>
      <w:r>
        <w:rPr>
          <w:sz w:val="24"/>
        </w:rPr>
        <w:t>separate</w:t>
      </w:r>
      <w:r>
        <w:rPr>
          <w:spacing w:val="40"/>
          <w:sz w:val="24"/>
        </w:rPr>
        <w:t> </w:t>
      </w:r>
      <w:r>
        <w:rPr>
          <w:sz w:val="24"/>
        </w:rPr>
        <w:t>floor.</w:t>
      </w:r>
    </w:p>
    <w:p>
      <w:pPr>
        <w:pStyle w:val="ListParagraph"/>
        <w:numPr>
          <w:ilvl w:val="1"/>
          <w:numId w:val="135"/>
        </w:numPr>
        <w:tabs>
          <w:tab w:pos="2422" w:val="left" w:leader="none"/>
          <w:tab w:pos="2451" w:val="left" w:leader="none"/>
        </w:tabs>
        <w:spacing w:line="240" w:lineRule="auto" w:before="240" w:after="0"/>
        <w:ind w:left="2422" w:right="783" w:hanging="269"/>
        <w:jc w:val="both"/>
        <w:rPr>
          <w:sz w:val="24"/>
        </w:rPr>
      </w:pPr>
      <w:r>
        <w:rPr>
          <w:sz w:val="24"/>
        </w:rPr>
        <w:t>The Director of Health Services, GoM shall be the competent authority</w:t>
      </w:r>
      <w:r>
        <w:rPr>
          <w:spacing w:val="40"/>
          <w:sz w:val="24"/>
        </w:rPr>
        <w:t> </w:t>
      </w:r>
      <w:r>
        <w:rPr>
          <w:sz w:val="24"/>
        </w:rPr>
        <w:t>for</w:t>
      </w:r>
      <w:r>
        <w:rPr>
          <w:spacing w:val="40"/>
          <w:sz w:val="24"/>
        </w:rPr>
        <w:t> </w:t>
      </w:r>
      <w:r>
        <w:rPr>
          <w:sz w:val="24"/>
        </w:rPr>
        <w:t>observance</w:t>
      </w:r>
      <w:r>
        <w:rPr>
          <w:spacing w:val="40"/>
          <w:sz w:val="24"/>
        </w:rPr>
        <w:t> </w:t>
      </w:r>
      <w:r>
        <w:rPr>
          <w:sz w:val="24"/>
        </w:rPr>
        <w:t>of</w:t>
      </w:r>
      <w:r>
        <w:rPr>
          <w:spacing w:val="40"/>
          <w:sz w:val="24"/>
        </w:rPr>
        <w:t> </w:t>
      </w:r>
      <w:r>
        <w:rPr>
          <w:sz w:val="24"/>
        </w:rPr>
        <w:t>(a)</w:t>
      </w:r>
      <w:r>
        <w:rPr>
          <w:spacing w:val="40"/>
          <w:sz w:val="24"/>
        </w:rPr>
        <w:t> </w:t>
      </w:r>
      <w:r>
        <w:rPr>
          <w:sz w:val="24"/>
        </w:rPr>
        <w:t>&amp;</w:t>
      </w:r>
      <w:r>
        <w:rPr>
          <w:spacing w:val="40"/>
          <w:sz w:val="24"/>
        </w:rPr>
        <w:t> </w:t>
      </w:r>
      <w:r>
        <w:rPr>
          <w:sz w:val="24"/>
        </w:rPr>
        <w:t>(b)</w:t>
      </w:r>
      <w:r>
        <w:rPr>
          <w:spacing w:val="40"/>
          <w:sz w:val="24"/>
        </w:rPr>
        <w:t> </w:t>
      </w:r>
      <w:r>
        <w:rPr>
          <w:sz w:val="24"/>
        </w:rPr>
        <w:t>above,</w:t>
      </w:r>
      <w:r>
        <w:rPr>
          <w:spacing w:val="40"/>
          <w:sz w:val="24"/>
        </w:rPr>
        <w:t> </w:t>
      </w:r>
      <w:r>
        <w:rPr>
          <w:sz w:val="24"/>
        </w:rPr>
        <w:t>including determination</w:t>
      </w:r>
      <w:r>
        <w:rPr>
          <w:spacing w:val="40"/>
          <w:sz w:val="24"/>
        </w:rPr>
        <w:t> </w:t>
      </w:r>
      <w:r>
        <w:rPr>
          <w:sz w:val="24"/>
        </w:rPr>
        <w:t>of</w:t>
      </w:r>
      <w:r>
        <w:rPr>
          <w:spacing w:val="40"/>
          <w:sz w:val="24"/>
        </w:rPr>
        <w:t> </w:t>
      </w:r>
      <w:r>
        <w:rPr>
          <w:sz w:val="24"/>
        </w:rPr>
        <w:t>penalties</w:t>
      </w:r>
      <w:r>
        <w:rPr>
          <w:spacing w:val="40"/>
          <w:sz w:val="24"/>
        </w:rPr>
        <w:t> </w:t>
      </w:r>
      <w:r>
        <w:rPr>
          <w:sz w:val="24"/>
        </w:rPr>
        <w:t>for</w:t>
      </w:r>
      <w:r>
        <w:rPr>
          <w:spacing w:val="40"/>
          <w:sz w:val="24"/>
        </w:rPr>
        <w:t> </w:t>
      </w:r>
      <w:r>
        <w:rPr>
          <w:sz w:val="24"/>
        </w:rPr>
        <w:t>breach</w:t>
      </w:r>
      <w:r>
        <w:rPr>
          <w:spacing w:val="40"/>
          <w:sz w:val="24"/>
        </w:rPr>
        <w:t> </w:t>
      </w:r>
      <w:r>
        <w:rPr>
          <w:sz w:val="24"/>
        </w:rPr>
        <w:t>of</w:t>
      </w:r>
      <w:r>
        <w:rPr>
          <w:spacing w:val="40"/>
          <w:sz w:val="24"/>
        </w:rPr>
        <w:t> </w:t>
      </w:r>
      <w:r>
        <w:rPr>
          <w:spacing w:val="9"/>
          <w:sz w:val="24"/>
        </w:rPr>
        <w:t>conditions.</w:t>
      </w:r>
    </w:p>
    <w:p>
      <w:pPr>
        <w:pStyle w:val="ListParagraph"/>
        <w:numPr>
          <w:ilvl w:val="1"/>
          <w:numId w:val="135"/>
        </w:numPr>
        <w:tabs>
          <w:tab w:pos="2422" w:val="left" w:leader="none"/>
          <w:tab w:pos="2475" w:val="left" w:leader="none"/>
        </w:tabs>
        <w:spacing w:line="240" w:lineRule="auto" w:before="242" w:after="0"/>
        <w:ind w:left="2422" w:right="770" w:hanging="269"/>
        <w:jc w:val="both"/>
        <w:rPr>
          <w:sz w:val="24"/>
        </w:rPr>
      </w:pPr>
      <w:r>
        <w:rPr>
          <w:sz w:val="24"/>
        </w:rPr>
        <w:t>The Medical Institution shall </w:t>
      </w:r>
      <w:r>
        <w:rPr>
          <w:spacing w:val="9"/>
          <w:sz w:val="24"/>
        </w:rPr>
        <w:t>maintain</w:t>
      </w:r>
      <w:r>
        <w:rPr>
          <w:spacing w:val="9"/>
          <w:sz w:val="24"/>
        </w:rPr>
        <w:t> </w:t>
      </w:r>
      <w:r>
        <w:rPr>
          <w:sz w:val="24"/>
        </w:rPr>
        <w:t>records of</w:t>
      </w:r>
      <w:r>
        <w:rPr>
          <w:spacing w:val="40"/>
          <w:sz w:val="24"/>
        </w:rPr>
        <w:t> </w:t>
      </w:r>
      <w:r>
        <w:rPr>
          <w:sz w:val="24"/>
        </w:rPr>
        <w:t>free/concessional medical treatment furnish such </w:t>
      </w:r>
      <w:r>
        <w:rPr>
          <w:spacing w:val="9"/>
          <w:sz w:val="24"/>
        </w:rPr>
        <w:t>records </w:t>
      </w:r>
      <w:r>
        <w:rPr>
          <w:sz w:val="24"/>
        </w:rPr>
        <w:t>periodically and make them available to the Director of Health Services on demand.</w:t>
      </w:r>
    </w:p>
    <w:p>
      <w:pPr>
        <w:pStyle w:val="ListParagraph"/>
        <w:numPr>
          <w:ilvl w:val="1"/>
          <w:numId w:val="135"/>
        </w:numPr>
        <w:tabs>
          <w:tab w:pos="2422" w:val="left" w:leader="none"/>
          <w:tab w:pos="2451" w:val="left" w:leader="none"/>
        </w:tabs>
        <w:spacing w:line="240" w:lineRule="auto" w:before="239" w:after="0"/>
        <w:ind w:left="2422" w:right="785" w:hanging="269"/>
        <w:jc w:val="both"/>
        <w:rPr>
          <w:sz w:val="24"/>
        </w:rPr>
      </w:pPr>
      <w:r>
        <w:rPr>
          <w:sz w:val="24"/>
        </w:rPr>
        <w:t>The</w:t>
      </w:r>
      <w:r>
        <w:rPr>
          <w:spacing w:val="80"/>
          <w:sz w:val="24"/>
        </w:rPr>
        <w:t> </w:t>
      </w:r>
      <w:r>
        <w:rPr>
          <w:sz w:val="24"/>
        </w:rPr>
        <w:t>Medical</w:t>
      </w:r>
      <w:r>
        <w:rPr>
          <w:spacing w:val="80"/>
          <w:sz w:val="24"/>
        </w:rPr>
        <w:t> </w:t>
      </w:r>
      <w:r>
        <w:rPr>
          <w:sz w:val="24"/>
        </w:rPr>
        <w:t>Institution</w:t>
      </w:r>
      <w:r>
        <w:rPr>
          <w:spacing w:val="80"/>
          <w:sz w:val="24"/>
        </w:rPr>
        <w:t> </w:t>
      </w:r>
      <w:r>
        <w:rPr>
          <w:sz w:val="24"/>
        </w:rPr>
        <w:t>shall</w:t>
      </w:r>
      <w:r>
        <w:rPr>
          <w:spacing w:val="80"/>
          <w:sz w:val="24"/>
        </w:rPr>
        <w:t> </w:t>
      </w:r>
      <w:r>
        <w:rPr>
          <w:sz w:val="24"/>
        </w:rPr>
        <w:t>file</w:t>
      </w:r>
      <w:r>
        <w:rPr>
          <w:spacing w:val="80"/>
          <w:sz w:val="24"/>
        </w:rPr>
        <w:t> </w:t>
      </w:r>
      <w:r>
        <w:rPr>
          <w:sz w:val="24"/>
        </w:rPr>
        <w:t>an</w:t>
      </w:r>
      <w:r>
        <w:rPr>
          <w:spacing w:val="80"/>
          <w:sz w:val="24"/>
        </w:rPr>
        <w:t> </w:t>
      </w:r>
      <w:r>
        <w:rPr>
          <w:sz w:val="24"/>
        </w:rPr>
        <w:t>undertaking</w:t>
      </w:r>
      <w:r>
        <w:rPr>
          <w:spacing w:val="80"/>
          <w:sz w:val="24"/>
        </w:rPr>
        <w:t> </w:t>
      </w:r>
      <w:r>
        <w:rPr>
          <w:sz w:val="24"/>
        </w:rPr>
        <w:t>to</w:t>
      </w:r>
      <w:r>
        <w:rPr>
          <w:spacing w:val="80"/>
          <w:sz w:val="24"/>
        </w:rPr>
        <w:t> </w:t>
      </w:r>
      <w:r>
        <w:rPr>
          <w:sz w:val="24"/>
        </w:rPr>
        <w:t>abide</w:t>
      </w:r>
      <w:r>
        <w:rPr>
          <w:spacing w:val="80"/>
          <w:sz w:val="24"/>
        </w:rPr>
        <w:t> </w:t>
      </w:r>
      <w:r>
        <w:rPr>
          <w:sz w:val="24"/>
        </w:rPr>
        <w:t>by the</w:t>
      </w:r>
      <w:r>
        <w:rPr>
          <w:spacing w:val="40"/>
          <w:sz w:val="24"/>
        </w:rPr>
        <w:t> </w:t>
      </w:r>
      <w:r>
        <w:rPr>
          <w:sz w:val="24"/>
        </w:rPr>
        <w:t>cited</w:t>
      </w:r>
      <w:r>
        <w:rPr>
          <w:spacing w:val="40"/>
          <w:sz w:val="24"/>
        </w:rPr>
        <w:t> </w:t>
      </w:r>
      <w:r>
        <w:rPr>
          <w:sz w:val="24"/>
        </w:rPr>
        <w:t>terms</w:t>
      </w:r>
      <w:r>
        <w:rPr>
          <w:spacing w:val="40"/>
          <w:sz w:val="24"/>
        </w:rPr>
        <w:t> </w:t>
      </w:r>
      <w:r>
        <w:rPr>
          <w:sz w:val="24"/>
        </w:rPr>
        <w:t>and</w:t>
      </w:r>
      <w:r>
        <w:rPr>
          <w:spacing w:val="40"/>
          <w:sz w:val="24"/>
        </w:rPr>
        <w:t> </w:t>
      </w:r>
      <w:r>
        <w:rPr>
          <w:sz w:val="24"/>
        </w:rPr>
        <w:t>conditionsbefore</w:t>
      </w:r>
      <w:r>
        <w:rPr>
          <w:spacing w:val="40"/>
          <w:sz w:val="24"/>
        </w:rPr>
        <w:t> </w:t>
      </w:r>
      <w:r>
        <w:rPr>
          <w:sz w:val="24"/>
        </w:rPr>
        <w:t>allowing</w:t>
      </w:r>
      <w:r>
        <w:rPr>
          <w:spacing w:val="40"/>
          <w:sz w:val="24"/>
        </w:rPr>
        <w:t> </w:t>
      </w:r>
      <w:r>
        <w:rPr>
          <w:sz w:val="24"/>
        </w:rPr>
        <w:t>utilization</w:t>
      </w:r>
      <w:r>
        <w:rPr>
          <w:spacing w:val="40"/>
          <w:sz w:val="24"/>
        </w:rPr>
        <w:t> </w:t>
      </w:r>
      <w:r>
        <w:rPr>
          <w:sz w:val="24"/>
        </w:rPr>
        <w:t>of</w:t>
      </w:r>
      <w:r>
        <w:rPr>
          <w:spacing w:val="40"/>
          <w:sz w:val="24"/>
        </w:rPr>
        <w:t> </w:t>
      </w:r>
      <w:r>
        <w:rPr>
          <w:sz w:val="24"/>
        </w:rPr>
        <w:t>50% of</w:t>
      </w:r>
      <w:r>
        <w:rPr>
          <w:spacing w:val="80"/>
          <w:sz w:val="24"/>
        </w:rPr>
        <w:t> </w:t>
      </w:r>
      <w:r>
        <w:rPr>
          <w:sz w:val="24"/>
        </w:rPr>
        <w:t>additional</w:t>
      </w:r>
      <w:r>
        <w:rPr>
          <w:spacing w:val="80"/>
          <w:sz w:val="24"/>
        </w:rPr>
        <w:t> </w:t>
      </w:r>
      <w:r>
        <w:rPr>
          <w:sz w:val="24"/>
        </w:rPr>
        <w:t>permissible</w:t>
      </w:r>
      <w:r>
        <w:rPr>
          <w:spacing w:val="80"/>
          <w:sz w:val="24"/>
        </w:rPr>
        <w:t> </w:t>
      </w:r>
      <w:r>
        <w:rPr>
          <w:sz w:val="24"/>
        </w:rPr>
        <w:t>FSI</w:t>
      </w:r>
      <w:r>
        <w:rPr>
          <w:spacing w:val="80"/>
          <w:sz w:val="24"/>
        </w:rPr>
        <w:t> </w:t>
      </w:r>
      <w:r>
        <w:rPr>
          <w:sz w:val="24"/>
        </w:rPr>
        <w:t>beyond</w:t>
      </w:r>
      <w:r>
        <w:rPr>
          <w:spacing w:val="80"/>
          <w:sz w:val="24"/>
        </w:rPr>
        <w:t> </w:t>
      </w:r>
      <w:r>
        <w:rPr>
          <w:sz w:val="24"/>
        </w:rPr>
        <w:t>Zonal</w:t>
      </w:r>
      <w:r>
        <w:rPr>
          <w:spacing w:val="80"/>
          <w:sz w:val="24"/>
        </w:rPr>
        <w:t> </w:t>
      </w:r>
      <w:r>
        <w:rPr>
          <w:sz w:val="24"/>
        </w:rPr>
        <w:t>(basic)</w:t>
      </w:r>
      <w:r>
        <w:rPr>
          <w:spacing w:val="80"/>
          <w:sz w:val="24"/>
        </w:rPr>
        <w:t> </w:t>
      </w:r>
      <w:r>
        <w:rPr>
          <w:sz w:val="24"/>
        </w:rPr>
        <w:t>FSI.</w:t>
      </w:r>
    </w:p>
    <w:p>
      <w:pPr>
        <w:pStyle w:val="Heading5"/>
        <w:numPr>
          <w:ilvl w:val="0"/>
          <w:numId w:val="135"/>
        </w:numPr>
        <w:tabs>
          <w:tab w:pos="2422" w:val="left" w:leader="none"/>
          <w:tab w:pos="2628" w:val="left" w:leader="none"/>
          <w:tab w:pos="3670" w:val="left" w:leader="none"/>
          <w:tab w:pos="4370" w:val="left" w:leader="none"/>
          <w:tab w:pos="6040" w:val="left" w:leader="none"/>
          <w:tab w:pos="6632" w:val="left" w:leader="none"/>
          <w:tab w:pos="8454" w:val="left" w:leader="none"/>
          <w:tab w:pos="10134" w:val="left" w:leader="none"/>
        </w:tabs>
        <w:spacing w:line="240" w:lineRule="auto" w:before="240" w:after="0"/>
        <w:ind w:left="2422" w:right="778" w:hanging="360"/>
        <w:jc w:val="left"/>
      </w:pPr>
      <w:r>
        <w:rPr/>
        <w:tab/>
      </w:r>
      <w:r>
        <w:rPr>
          <w:spacing w:val="-2"/>
        </w:rPr>
        <w:t>Terms</w:t>
      </w:r>
      <w:r>
        <w:rPr/>
        <w:tab/>
      </w:r>
      <w:r>
        <w:rPr>
          <w:spacing w:val="-4"/>
        </w:rPr>
        <w:t>and</w:t>
      </w:r>
      <w:r>
        <w:rPr/>
        <w:tab/>
      </w:r>
      <w:r>
        <w:rPr>
          <w:spacing w:val="-2"/>
        </w:rPr>
        <w:t>Conditions</w:t>
      </w:r>
      <w:r>
        <w:rPr/>
        <w:tab/>
      </w:r>
      <w:r>
        <w:rPr>
          <w:spacing w:val="-4"/>
        </w:rPr>
        <w:t>for</w:t>
      </w:r>
      <w:r>
        <w:rPr/>
        <w:tab/>
      </w:r>
      <w:r>
        <w:rPr>
          <w:spacing w:val="-2"/>
        </w:rPr>
        <w:t>Educational</w:t>
      </w:r>
      <w:r>
        <w:rPr/>
        <w:tab/>
      </w:r>
      <w:r>
        <w:rPr>
          <w:spacing w:val="-2"/>
        </w:rPr>
        <w:t>Institution</w:t>
      </w:r>
      <w:r>
        <w:rPr/>
        <w:tab/>
      </w:r>
      <w:r>
        <w:rPr>
          <w:spacing w:val="-6"/>
        </w:rPr>
        <w:t>or </w:t>
      </w:r>
      <w:r>
        <w:rPr/>
        <w:t>Institutional </w:t>
      </w:r>
      <w:r>
        <w:rPr>
          <w:spacing w:val="9"/>
        </w:rPr>
        <w:t>Buildings</w:t>
      </w:r>
    </w:p>
    <w:p>
      <w:pPr>
        <w:pStyle w:val="Heading5"/>
        <w:spacing w:after="0" w:line="240" w:lineRule="auto"/>
        <w:jc w:val="left"/>
        <w:sectPr>
          <w:pgSz w:w="11910" w:h="16840"/>
          <w:pgMar w:header="1065" w:footer="1194" w:top="1500" w:bottom="1380" w:left="360" w:right="360"/>
        </w:sectPr>
      </w:pPr>
    </w:p>
    <w:p>
      <w:pPr>
        <w:pStyle w:val="ListParagraph"/>
        <w:numPr>
          <w:ilvl w:val="1"/>
          <w:numId w:val="135"/>
        </w:numPr>
        <w:tabs>
          <w:tab w:pos="2419" w:val="left" w:leader="none"/>
          <w:tab w:pos="2422" w:val="left" w:leader="none"/>
        </w:tabs>
        <w:spacing w:line="240" w:lineRule="auto" w:before="249" w:after="0"/>
        <w:ind w:left="2422" w:right="781" w:hanging="360"/>
        <w:jc w:val="both"/>
        <w:rPr>
          <w:sz w:val="24"/>
        </w:rPr>
      </w:pPr>
      <w:r>
        <w:rPr>
          <w:sz w:val="24"/>
        </w:rPr>
        <w:t>Additional BUA beyond Zonal (basic) FSI shall be utilized for bonafide</w:t>
      </w:r>
      <w:r>
        <w:rPr>
          <w:spacing w:val="40"/>
          <w:sz w:val="24"/>
        </w:rPr>
        <w:t> </w:t>
      </w:r>
      <w:r>
        <w:rPr>
          <w:sz w:val="24"/>
        </w:rPr>
        <w:t>educational</w:t>
      </w:r>
      <w:r>
        <w:rPr>
          <w:spacing w:val="40"/>
          <w:sz w:val="24"/>
        </w:rPr>
        <w:t> </w:t>
      </w:r>
      <w:r>
        <w:rPr>
          <w:sz w:val="24"/>
        </w:rPr>
        <w:t>purpose</w:t>
      </w:r>
      <w:r>
        <w:rPr>
          <w:spacing w:val="40"/>
          <w:sz w:val="24"/>
        </w:rPr>
        <w:t> </w:t>
      </w:r>
      <w:r>
        <w:rPr>
          <w:sz w:val="24"/>
        </w:rPr>
        <w:t>only.</w:t>
      </w:r>
    </w:p>
    <w:p>
      <w:pPr>
        <w:pStyle w:val="ListParagraph"/>
        <w:numPr>
          <w:ilvl w:val="1"/>
          <w:numId w:val="135"/>
        </w:numPr>
        <w:tabs>
          <w:tab w:pos="2420" w:val="left" w:leader="none"/>
          <w:tab w:pos="2422" w:val="left" w:leader="none"/>
        </w:tabs>
        <w:spacing w:line="240" w:lineRule="auto" w:before="1" w:after="0"/>
        <w:ind w:left="2422" w:right="780" w:hanging="360"/>
        <w:jc w:val="both"/>
        <w:rPr>
          <w:sz w:val="24"/>
        </w:rPr>
      </w:pPr>
      <w:r>
        <w:rPr>
          <w:sz w:val="24"/>
        </w:rPr>
        <w:t>Such</w:t>
      </w:r>
      <w:r>
        <w:rPr>
          <w:spacing w:val="40"/>
          <w:sz w:val="24"/>
        </w:rPr>
        <w:t> </w:t>
      </w:r>
      <w:r>
        <w:rPr>
          <w:sz w:val="24"/>
        </w:rPr>
        <w:t>Institutions</w:t>
      </w:r>
      <w:r>
        <w:rPr>
          <w:spacing w:val="40"/>
          <w:sz w:val="24"/>
        </w:rPr>
        <w:t> </w:t>
      </w:r>
      <w:r>
        <w:rPr>
          <w:sz w:val="24"/>
        </w:rPr>
        <w:t>shall</w:t>
      </w:r>
      <w:r>
        <w:rPr>
          <w:spacing w:val="40"/>
          <w:sz w:val="24"/>
        </w:rPr>
        <w:t> </w:t>
      </w:r>
      <w:r>
        <w:rPr>
          <w:sz w:val="24"/>
        </w:rPr>
        <w:t>make</w:t>
      </w:r>
      <w:r>
        <w:rPr>
          <w:spacing w:val="40"/>
          <w:sz w:val="24"/>
        </w:rPr>
        <w:t> </w:t>
      </w:r>
      <w:r>
        <w:rPr>
          <w:sz w:val="24"/>
        </w:rPr>
        <w:t>available</w:t>
      </w:r>
      <w:r>
        <w:rPr>
          <w:spacing w:val="40"/>
          <w:sz w:val="24"/>
        </w:rPr>
        <w:t> </w:t>
      </w:r>
      <w:r>
        <w:rPr>
          <w:sz w:val="24"/>
        </w:rPr>
        <w:t>some</w:t>
      </w:r>
      <w:r>
        <w:rPr>
          <w:spacing w:val="40"/>
          <w:sz w:val="24"/>
        </w:rPr>
        <w:t> </w:t>
      </w:r>
      <w:r>
        <w:rPr>
          <w:sz w:val="24"/>
        </w:rPr>
        <w:t>rooms</w:t>
      </w:r>
      <w:r>
        <w:rPr>
          <w:spacing w:val="40"/>
          <w:sz w:val="24"/>
        </w:rPr>
        <w:t> </w:t>
      </w:r>
      <w:r>
        <w:rPr>
          <w:sz w:val="24"/>
        </w:rPr>
        <w:t>to</w:t>
      </w:r>
      <w:r>
        <w:rPr>
          <w:spacing w:val="40"/>
          <w:sz w:val="24"/>
        </w:rPr>
        <w:t> </w:t>
      </w:r>
      <w:r>
        <w:rPr>
          <w:sz w:val="24"/>
        </w:rPr>
        <w:t>Govt</w:t>
      </w:r>
      <w:r>
        <w:rPr>
          <w:spacing w:val="40"/>
          <w:sz w:val="24"/>
        </w:rPr>
        <w:t> </w:t>
      </w:r>
      <w:r>
        <w:rPr>
          <w:spacing w:val="12"/>
          <w:sz w:val="24"/>
        </w:rPr>
        <w:t>as </w:t>
      </w:r>
      <w:r>
        <w:rPr>
          <w:sz w:val="24"/>
        </w:rPr>
        <w:t>and when required.</w:t>
      </w:r>
    </w:p>
    <w:p>
      <w:pPr>
        <w:pStyle w:val="ListParagraph"/>
        <w:numPr>
          <w:ilvl w:val="1"/>
          <w:numId w:val="135"/>
        </w:numPr>
        <w:tabs>
          <w:tab w:pos="2420" w:val="left" w:leader="none"/>
          <w:tab w:pos="2422" w:val="left" w:leader="none"/>
        </w:tabs>
        <w:spacing w:line="240" w:lineRule="auto" w:before="0" w:after="0"/>
        <w:ind w:left="2422" w:right="782" w:hanging="360"/>
        <w:jc w:val="both"/>
        <w:rPr>
          <w:sz w:val="24"/>
        </w:rPr>
      </w:pPr>
      <w:r>
        <w:rPr>
          <w:sz w:val="24"/>
        </w:rPr>
        <w:t>10%</w:t>
      </w:r>
      <w:r>
        <w:rPr>
          <w:spacing w:val="40"/>
          <w:sz w:val="24"/>
        </w:rPr>
        <w:t> </w:t>
      </w:r>
      <w:r>
        <w:rPr>
          <w:sz w:val="24"/>
        </w:rPr>
        <w:t>of</w:t>
      </w:r>
      <w:r>
        <w:rPr>
          <w:spacing w:val="40"/>
          <w:sz w:val="24"/>
        </w:rPr>
        <w:t> </w:t>
      </w:r>
      <w:r>
        <w:rPr>
          <w:sz w:val="24"/>
        </w:rPr>
        <w:t>the</w:t>
      </w:r>
      <w:r>
        <w:rPr>
          <w:spacing w:val="40"/>
          <w:sz w:val="24"/>
        </w:rPr>
        <w:t> </w:t>
      </w:r>
      <w:r>
        <w:rPr>
          <w:sz w:val="24"/>
        </w:rPr>
        <w:t>total</w:t>
      </w:r>
      <w:r>
        <w:rPr>
          <w:spacing w:val="40"/>
          <w:sz w:val="24"/>
        </w:rPr>
        <w:t> </w:t>
      </w:r>
      <w:r>
        <w:rPr>
          <w:sz w:val="24"/>
        </w:rPr>
        <w:t>seat</w:t>
      </w:r>
      <w:r>
        <w:rPr>
          <w:spacing w:val="40"/>
          <w:sz w:val="24"/>
        </w:rPr>
        <w:t> </w:t>
      </w:r>
      <w:r>
        <w:rPr>
          <w:sz w:val="24"/>
        </w:rPr>
        <w:t>capacity</w:t>
      </w:r>
      <w:r>
        <w:rPr>
          <w:spacing w:val="40"/>
          <w:sz w:val="24"/>
        </w:rPr>
        <w:t> </w:t>
      </w:r>
      <w:r>
        <w:rPr>
          <w:sz w:val="24"/>
        </w:rPr>
        <w:t>shall</w:t>
      </w:r>
      <w:r>
        <w:rPr>
          <w:spacing w:val="40"/>
          <w:sz w:val="24"/>
        </w:rPr>
        <w:t> </w:t>
      </w:r>
      <w:r>
        <w:rPr>
          <w:sz w:val="24"/>
        </w:rPr>
        <w:t>be</w:t>
      </w:r>
      <w:r>
        <w:rPr>
          <w:spacing w:val="40"/>
          <w:sz w:val="24"/>
        </w:rPr>
        <w:t> </w:t>
      </w:r>
      <w:r>
        <w:rPr>
          <w:sz w:val="24"/>
        </w:rPr>
        <w:t>reserved</w:t>
      </w:r>
      <w:r>
        <w:rPr>
          <w:spacing w:val="40"/>
          <w:sz w:val="24"/>
        </w:rPr>
        <w:t> </w:t>
      </w:r>
      <w:r>
        <w:rPr>
          <w:sz w:val="24"/>
        </w:rPr>
        <w:t>for</w:t>
      </w:r>
      <w:r>
        <w:rPr>
          <w:spacing w:val="40"/>
          <w:sz w:val="24"/>
        </w:rPr>
        <w:t> </w:t>
      </w:r>
      <w:r>
        <w:rPr>
          <w:sz w:val="24"/>
        </w:rPr>
        <w:t>Govt nominees on recommendation by the Department of Education/Higher</w:t>
      </w:r>
      <w:r>
        <w:rPr>
          <w:spacing w:val="80"/>
          <w:sz w:val="24"/>
        </w:rPr>
        <w:t> </w:t>
      </w:r>
      <w:r>
        <w:rPr>
          <w:sz w:val="24"/>
        </w:rPr>
        <w:t>and</w:t>
      </w:r>
      <w:r>
        <w:rPr>
          <w:spacing w:val="80"/>
          <w:sz w:val="24"/>
        </w:rPr>
        <w:t> </w:t>
      </w:r>
      <w:r>
        <w:rPr>
          <w:sz w:val="24"/>
        </w:rPr>
        <w:t>Technical</w:t>
      </w:r>
      <w:r>
        <w:rPr>
          <w:spacing w:val="80"/>
          <w:sz w:val="24"/>
        </w:rPr>
        <w:t> </w:t>
      </w:r>
      <w:r>
        <w:rPr>
          <w:sz w:val="24"/>
        </w:rPr>
        <w:t>Education,</w:t>
      </w:r>
      <w:r>
        <w:rPr>
          <w:spacing w:val="80"/>
          <w:sz w:val="24"/>
        </w:rPr>
        <w:t> </w:t>
      </w:r>
      <w:r>
        <w:rPr>
          <w:sz w:val="24"/>
        </w:rPr>
        <w:t>GoM.</w:t>
      </w:r>
    </w:p>
    <w:p>
      <w:pPr>
        <w:pStyle w:val="ListParagraph"/>
        <w:numPr>
          <w:ilvl w:val="1"/>
          <w:numId w:val="135"/>
        </w:numPr>
        <w:tabs>
          <w:tab w:pos="2420" w:val="left" w:leader="none"/>
          <w:tab w:pos="2422" w:val="left" w:leader="none"/>
        </w:tabs>
        <w:spacing w:line="240" w:lineRule="auto" w:before="0" w:after="0"/>
        <w:ind w:left="2422" w:right="773" w:hanging="360"/>
        <w:jc w:val="both"/>
        <w:rPr>
          <w:sz w:val="24"/>
        </w:rPr>
      </w:pPr>
      <w:r>
        <w:rPr>
          <w:sz w:val="24"/>
        </w:rPr>
        <w:t>The Directors of School Education/Higher and Technical</w:t>
      </w:r>
      <w:r>
        <w:rPr>
          <w:spacing w:val="40"/>
          <w:sz w:val="24"/>
        </w:rPr>
        <w:t> </w:t>
      </w:r>
      <w:r>
        <w:rPr>
          <w:sz w:val="24"/>
        </w:rPr>
        <w:t>Education,</w:t>
      </w:r>
      <w:r>
        <w:rPr>
          <w:spacing w:val="80"/>
          <w:sz w:val="24"/>
        </w:rPr>
        <w:t> </w:t>
      </w:r>
      <w:r>
        <w:rPr>
          <w:sz w:val="24"/>
        </w:rPr>
        <w:t>GoM</w:t>
      </w:r>
      <w:r>
        <w:rPr>
          <w:spacing w:val="80"/>
          <w:sz w:val="24"/>
        </w:rPr>
        <w:t> </w:t>
      </w:r>
      <w:r>
        <w:rPr>
          <w:sz w:val="24"/>
        </w:rPr>
        <w:t>shall</w:t>
      </w:r>
      <w:r>
        <w:rPr>
          <w:spacing w:val="80"/>
          <w:sz w:val="24"/>
        </w:rPr>
        <w:t> </w:t>
      </w:r>
      <w:r>
        <w:rPr>
          <w:sz w:val="24"/>
        </w:rPr>
        <w:t>be</w:t>
      </w:r>
      <w:r>
        <w:rPr>
          <w:spacing w:val="80"/>
          <w:sz w:val="24"/>
        </w:rPr>
        <w:t> </w:t>
      </w:r>
      <w:r>
        <w:rPr>
          <w:sz w:val="24"/>
        </w:rPr>
        <w:t>the</w:t>
      </w:r>
      <w:r>
        <w:rPr>
          <w:spacing w:val="80"/>
          <w:sz w:val="24"/>
        </w:rPr>
        <w:t> </w:t>
      </w:r>
      <w:r>
        <w:rPr>
          <w:sz w:val="24"/>
        </w:rPr>
        <w:t>competent</w:t>
      </w:r>
      <w:r>
        <w:rPr>
          <w:spacing w:val="80"/>
          <w:sz w:val="24"/>
        </w:rPr>
        <w:t> </w:t>
      </w:r>
      <w:r>
        <w:rPr>
          <w:sz w:val="24"/>
        </w:rPr>
        <w:t>authority</w:t>
      </w:r>
      <w:r>
        <w:rPr>
          <w:spacing w:val="80"/>
          <w:sz w:val="24"/>
        </w:rPr>
        <w:t> </w:t>
      </w:r>
      <w:r>
        <w:rPr>
          <w:sz w:val="24"/>
        </w:rPr>
        <w:t>for observance of (a),(b) &amp; (c) above, including determination of penalties</w:t>
      </w:r>
      <w:r>
        <w:rPr>
          <w:spacing w:val="40"/>
          <w:sz w:val="24"/>
        </w:rPr>
        <w:t> </w:t>
      </w:r>
      <w:r>
        <w:rPr>
          <w:sz w:val="24"/>
        </w:rPr>
        <w:t>for</w:t>
      </w:r>
      <w:r>
        <w:rPr>
          <w:spacing w:val="40"/>
          <w:sz w:val="24"/>
        </w:rPr>
        <w:t> </w:t>
      </w:r>
      <w:r>
        <w:rPr>
          <w:sz w:val="24"/>
        </w:rPr>
        <w:t>breach</w:t>
      </w:r>
      <w:r>
        <w:rPr>
          <w:spacing w:val="40"/>
          <w:sz w:val="24"/>
        </w:rPr>
        <w:t> </w:t>
      </w:r>
      <w:r>
        <w:rPr>
          <w:sz w:val="24"/>
        </w:rPr>
        <w:t>of</w:t>
      </w:r>
      <w:r>
        <w:rPr>
          <w:spacing w:val="9"/>
          <w:sz w:val="24"/>
        </w:rPr>
        <w:t> conditions.</w:t>
      </w:r>
    </w:p>
    <w:p>
      <w:pPr>
        <w:pStyle w:val="ListParagraph"/>
        <w:numPr>
          <w:ilvl w:val="1"/>
          <w:numId w:val="135"/>
        </w:numPr>
        <w:tabs>
          <w:tab w:pos="2420" w:val="left" w:leader="none"/>
          <w:tab w:pos="2422" w:val="left" w:leader="none"/>
        </w:tabs>
        <w:spacing w:line="240" w:lineRule="auto" w:before="1" w:after="0"/>
        <w:ind w:left="2422" w:right="781" w:hanging="360"/>
        <w:jc w:val="both"/>
        <w:rPr>
          <w:sz w:val="24"/>
        </w:rPr>
      </w:pPr>
      <w:r>
        <w:rPr>
          <w:sz w:val="24"/>
        </w:rPr>
        <w:t>The Educational Institution shall maintain records of free/concessional</w:t>
      </w:r>
      <w:r>
        <w:rPr>
          <w:spacing w:val="40"/>
          <w:sz w:val="24"/>
        </w:rPr>
        <w:t> </w:t>
      </w:r>
      <w:r>
        <w:rPr>
          <w:sz w:val="24"/>
        </w:rPr>
        <w:t>education</w:t>
      </w:r>
      <w:r>
        <w:rPr>
          <w:spacing w:val="40"/>
          <w:sz w:val="24"/>
        </w:rPr>
        <w:t> </w:t>
      </w:r>
      <w:r>
        <w:rPr>
          <w:sz w:val="24"/>
        </w:rPr>
        <w:t>furnish</w:t>
      </w:r>
      <w:r>
        <w:rPr>
          <w:spacing w:val="40"/>
          <w:sz w:val="24"/>
        </w:rPr>
        <w:t> </w:t>
      </w:r>
      <w:r>
        <w:rPr>
          <w:sz w:val="24"/>
        </w:rPr>
        <w:t>such</w:t>
      </w:r>
      <w:r>
        <w:rPr>
          <w:spacing w:val="40"/>
          <w:sz w:val="24"/>
        </w:rPr>
        <w:t> </w:t>
      </w:r>
      <w:r>
        <w:rPr>
          <w:sz w:val="24"/>
        </w:rPr>
        <w:t>records</w:t>
      </w:r>
      <w:r>
        <w:rPr>
          <w:spacing w:val="40"/>
          <w:sz w:val="24"/>
        </w:rPr>
        <w:t> </w:t>
      </w:r>
      <w:r>
        <w:rPr>
          <w:sz w:val="24"/>
        </w:rPr>
        <w:t>periodically</w:t>
      </w:r>
      <w:r>
        <w:rPr>
          <w:spacing w:val="80"/>
          <w:sz w:val="24"/>
        </w:rPr>
        <w:t> </w:t>
      </w:r>
      <w:r>
        <w:rPr>
          <w:sz w:val="24"/>
        </w:rPr>
        <w:t>and make them available to the </w:t>
      </w:r>
      <w:r>
        <w:rPr>
          <w:spacing w:val="9"/>
          <w:sz w:val="24"/>
        </w:rPr>
        <w:t>Directors</w:t>
      </w:r>
      <w:r>
        <w:rPr>
          <w:spacing w:val="9"/>
          <w:sz w:val="24"/>
        </w:rPr>
        <w:t> </w:t>
      </w:r>
      <w:r>
        <w:rPr>
          <w:sz w:val="24"/>
        </w:rPr>
        <w:t>of School Education/Higher</w:t>
      </w:r>
      <w:r>
        <w:rPr>
          <w:spacing w:val="80"/>
          <w:sz w:val="24"/>
        </w:rPr>
        <w:t> </w:t>
      </w:r>
      <w:r>
        <w:rPr>
          <w:sz w:val="24"/>
        </w:rPr>
        <w:t>&amp;</w:t>
      </w:r>
      <w:r>
        <w:rPr>
          <w:spacing w:val="80"/>
          <w:sz w:val="24"/>
        </w:rPr>
        <w:t> </w:t>
      </w:r>
      <w:r>
        <w:rPr>
          <w:sz w:val="24"/>
        </w:rPr>
        <w:t>Technical</w:t>
      </w:r>
      <w:r>
        <w:rPr>
          <w:spacing w:val="80"/>
          <w:sz w:val="24"/>
        </w:rPr>
        <w:t> </w:t>
      </w:r>
      <w:r>
        <w:rPr>
          <w:sz w:val="24"/>
        </w:rPr>
        <w:t>Education,</w:t>
      </w:r>
      <w:r>
        <w:rPr>
          <w:spacing w:val="80"/>
          <w:sz w:val="24"/>
        </w:rPr>
        <w:t> </w:t>
      </w:r>
      <w:r>
        <w:rPr>
          <w:sz w:val="24"/>
        </w:rPr>
        <w:t>GoM</w:t>
      </w:r>
      <w:r>
        <w:rPr>
          <w:spacing w:val="80"/>
          <w:sz w:val="24"/>
        </w:rPr>
        <w:t> </w:t>
      </w:r>
      <w:r>
        <w:rPr>
          <w:sz w:val="24"/>
        </w:rPr>
        <w:t>on</w:t>
      </w:r>
      <w:r>
        <w:rPr>
          <w:spacing w:val="80"/>
          <w:sz w:val="24"/>
        </w:rPr>
        <w:t> </w:t>
      </w:r>
      <w:r>
        <w:rPr>
          <w:sz w:val="24"/>
        </w:rPr>
        <w:t>demand.</w:t>
      </w:r>
    </w:p>
    <w:p>
      <w:pPr>
        <w:pStyle w:val="ListParagraph"/>
        <w:numPr>
          <w:ilvl w:val="1"/>
          <w:numId w:val="135"/>
        </w:numPr>
        <w:tabs>
          <w:tab w:pos="2780" w:val="left" w:leader="none"/>
        </w:tabs>
        <w:spacing w:line="240" w:lineRule="auto" w:before="0" w:after="0"/>
        <w:ind w:left="2050" w:right="787" w:firstLine="12"/>
        <w:jc w:val="both"/>
        <w:rPr>
          <w:sz w:val="24"/>
        </w:rPr>
      </w:pPr>
      <w:r>
        <w:rPr>
          <w:sz w:val="24"/>
        </w:rPr>
        <w:t>The</w:t>
      </w:r>
      <w:r>
        <w:rPr>
          <w:spacing w:val="80"/>
          <w:sz w:val="24"/>
        </w:rPr>
        <w:t> </w:t>
      </w:r>
      <w:r>
        <w:rPr>
          <w:sz w:val="24"/>
        </w:rPr>
        <w:t>Educational</w:t>
      </w:r>
      <w:r>
        <w:rPr>
          <w:spacing w:val="80"/>
          <w:sz w:val="24"/>
        </w:rPr>
        <w:t> </w:t>
      </w:r>
      <w:r>
        <w:rPr>
          <w:sz w:val="24"/>
        </w:rPr>
        <w:t>Institution</w:t>
      </w:r>
      <w:r>
        <w:rPr>
          <w:spacing w:val="80"/>
          <w:sz w:val="24"/>
        </w:rPr>
        <w:t> </w:t>
      </w:r>
      <w:r>
        <w:rPr>
          <w:spacing w:val="9"/>
          <w:sz w:val="24"/>
        </w:rPr>
        <w:t>shall</w:t>
      </w:r>
      <w:r>
        <w:rPr>
          <w:spacing w:val="80"/>
          <w:sz w:val="24"/>
        </w:rPr>
        <w:t> </w:t>
      </w:r>
      <w:r>
        <w:rPr>
          <w:sz w:val="24"/>
        </w:rPr>
        <w:t>file</w:t>
      </w:r>
      <w:r>
        <w:rPr>
          <w:spacing w:val="80"/>
          <w:sz w:val="24"/>
        </w:rPr>
        <w:t> </w:t>
      </w:r>
      <w:r>
        <w:rPr>
          <w:sz w:val="24"/>
        </w:rPr>
        <w:t>an</w:t>
      </w:r>
      <w:r>
        <w:rPr>
          <w:spacing w:val="80"/>
          <w:sz w:val="24"/>
        </w:rPr>
        <w:t> </w:t>
      </w:r>
      <w:r>
        <w:rPr>
          <w:sz w:val="24"/>
        </w:rPr>
        <w:t>undertaking</w:t>
      </w:r>
      <w:r>
        <w:rPr>
          <w:spacing w:val="80"/>
          <w:sz w:val="24"/>
        </w:rPr>
        <w:t> </w:t>
      </w:r>
      <w:r>
        <w:rPr>
          <w:sz w:val="24"/>
        </w:rPr>
        <w:t>to abide</w:t>
      </w:r>
      <w:r>
        <w:rPr>
          <w:spacing w:val="40"/>
          <w:sz w:val="24"/>
        </w:rPr>
        <w:t> </w:t>
      </w:r>
      <w:r>
        <w:rPr>
          <w:sz w:val="24"/>
        </w:rPr>
        <w:t>by</w:t>
      </w:r>
      <w:r>
        <w:rPr>
          <w:spacing w:val="40"/>
          <w:sz w:val="24"/>
        </w:rPr>
        <w:t> </w:t>
      </w:r>
      <w:r>
        <w:rPr>
          <w:sz w:val="24"/>
        </w:rPr>
        <w:t>the</w:t>
      </w:r>
      <w:r>
        <w:rPr>
          <w:spacing w:val="40"/>
          <w:sz w:val="24"/>
        </w:rPr>
        <w:t> </w:t>
      </w:r>
      <w:r>
        <w:rPr>
          <w:sz w:val="24"/>
        </w:rPr>
        <w:t>cited</w:t>
      </w:r>
      <w:r>
        <w:rPr>
          <w:spacing w:val="40"/>
          <w:sz w:val="24"/>
        </w:rPr>
        <w:t> </w:t>
      </w:r>
      <w:r>
        <w:rPr>
          <w:sz w:val="24"/>
        </w:rPr>
        <w:t>terms</w:t>
      </w:r>
      <w:r>
        <w:rPr>
          <w:spacing w:val="40"/>
          <w:sz w:val="24"/>
        </w:rPr>
        <w:t> </w:t>
      </w:r>
      <w:r>
        <w:rPr>
          <w:sz w:val="24"/>
        </w:rPr>
        <w:t>and</w:t>
      </w:r>
      <w:r>
        <w:rPr>
          <w:spacing w:val="40"/>
          <w:sz w:val="24"/>
        </w:rPr>
        <w:t> </w:t>
      </w:r>
      <w:r>
        <w:rPr>
          <w:sz w:val="24"/>
        </w:rPr>
        <w:t>conditions</w:t>
      </w:r>
      <w:r>
        <w:rPr>
          <w:spacing w:val="40"/>
          <w:sz w:val="24"/>
        </w:rPr>
        <w:t> </w:t>
      </w:r>
      <w:r>
        <w:rPr>
          <w:sz w:val="24"/>
        </w:rPr>
        <w:t>before</w:t>
      </w:r>
      <w:r>
        <w:rPr>
          <w:spacing w:val="40"/>
          <w:sz w:val="24"/>
        </w:rPr>
        <w:t> </w:t>
      </w:r>
      <w:r>
        <w:rPr>
          <w:sz w:val="24"/>
        </w:rPr>
        <w:t>allowing</w:t>
      </w:r>
      <w:r>
        <w:rPr>
          <w:spacing w:val="40"/>
          <w:sz w:val="24"/>
        </w:rPr>
        <w:t> </w:t>
      </w:r>
      <w:r>
        <w:rPr>
          <w:sz w:val="24"/>
        </w:rPr>
        <w:t>utilization</w:t>
      </w:r>
      <w:r>
        <w:rPr>
          <w:spacing w:val="40"/>
          <w:sz w:val="24"/>
        </w:rPr>
        <w:t> </w:t>
      </w:r>
      <w:r>
        <w:rPr>
          <w:sz w:val="24"/>
        </w:rPr>
        <w:t>of</w:t>
      </w:r>
      <w:r>
        <w:rPr>
          <w:spacing w:val="80"/>
          <w:sz w:val="24"/>
        </w:rPr>
        <w:t> </w:t>
      </w:r>
      <w:r>
        <w:rPr>
          <w:sz w:val="24"/>
        </w:rPr>
        <w:t>50%</w:t>
      </w:r>
      <w:r>
        <w:rPr>
          <w:spacing w:val="80"/>
          <w:sz w:val="24"/>
        </w:rPr>
        <w:t> </w:t>
      </w:r>
      <w:r>
        <w:rPr>
          <w:sz w:val="24"/>
        </w:rPr>
        <w:t>of</w:t>
      </w:r>
      <w:r>
        <w:rPr>
          <w:spacing w:val="80"/>
          <w:sz w:val="24"/>
        </w:rPr>
        <w:t> </w:t>
      </w:r>
      <w:r>
        <w:rPr>
          <w:sz w:val="24"/>
        </w:rPr>
        <w:t>additional</w:t>
      </w:r>
      <w:r>
        <w:rPr>
          <w:spacing w:val="80"/>
          <w:sz w:val="24"/>
        </w:rPr>
        <w:t> </w:t>
      </w:r>
      <w:r>
        <w:rPr>
          <w:sz w:val="24"/>
        </w:rPr>
        <w:t>permissible</w:t>
      </w:r>
      <w:r>
        <w:rPr>
          <w:spacing w:val="80"/>
          <w:sz w:val="24"/>
        </w:rPr>
        <w:t> </w:t>
      </w:r>
      <w:r>
        <w:rPr>
          <w:sz w:val="24"/>
        </w:rPr>
        <w:t>FSI</w:t>
      </w:r>
      <w:r>
        <w:rPr>
          <w:spacing w:val="80"/>
          <w:sz w:val="24"/>
        </w:rPr>
        <w:t> </w:t>
      </w:r>
      <w:r>
        <w:rPr>
          <w:sz w:val="24"/>
        </w:rPr>
        <w:t>beyond</w:t>
      </w:r>
      <w:r>
        <w:rPr>
          <w:spacing w:val="80"/>
          <w:sz w:val="24"/>
        </w:rPr>
        <w:t> </w:t>
      </w:r>
      <w:r>
        <w:rPr>
          <w:sz w:val="24"/>
        </w:rPr>
        <w:t>Zonal</w:t>
      </w:r>
      <w:r>
        <w:rPr>
          <w:spacing w:val="80"/>
          <w:sz w:val="24"/>
        </w:rPr>
        <w:t> </w:t>
      </w:r>
      <w:r>
        <w:rPr>
          <w:sz w:val="24"/>
        </w:rPr>
        <w:t>(basic)</w:t>
      </w:r>
      <w:r>
        <w:rPr>
          <w:spacing w:val="80"/>
          <w:sz w:val="24"/>
        </w:rPr>
        <w:t> </w:t>
      </w:r>
      <w:r>
        <w:rPr>
          <w:sz w:val="24"/>
        </w:rPr>
        <w:t>FSI.</w:t>
      </w:r>
    </w:p>
    <w:p>
      <w:pPr>
        <w:pStyle w:val="Heading5"/>
        <w:numPr>
          <w:ilvl w:val="0"/>
          <w:numId w:val="135"/>
        </w:numPr>
        <w:tabs>
          <w:tab w:pos="2422" w:val="left" w:leader="none"/>
          <w:tab w:pos="2605" w:val="left" w:leader="none"/>
        </w:tabs>
        <w:spacing w:line="240" w:lineRule="auto" w:before="239" w:after="0"/>
        <w:ind w:left="2422" w:right="769" w:hanging="360"/>
        <w:jc w:val="both"/>
      </w:pPr>
      <w:r>
        <w:rPr/>
        <w:tab/>
        <w:t>Terms and Conditions for Buildings of Private Medical &amp; Educational Institutions</w:t>
      </w:r>
    </w:p>
    <w:p>
      <w:pPr>
        <w:pStyle w:val="ListParagraph"/>
        <w:numPr>
          <w:ilvl w:val="1"/>
          <w:numId w:val="135"/>
        </w:numPr>
        <w:tabs>
          <w:tab w:pos="2419" w:val="left" w:leader="none"/>
          <w:tab w:pos="2422" w:val="left" w:leader="none"/>
        </w:tabs>
        <w:spacing w:line="240" w:lineRule="auto" w:before="240" w:after="0"/>
        <w:ind w:left="2422" w:right="770" w:hanging="360"/>
        <w:jc w:val="both"/>
        <w:rPr>
          <w:sz w:val="24"/>
        </w:rPr>
      </w:pPr>
      <w:r>
        <w:rPr>
          <w:sz w:val="24"/>
        </w:rPr>
        <w:t>Such additional FSI (except the TDR component) will be</w:t>
      </w:r>
      <w:r>
        <w:rPr>
          <w:spacing w:val="80"/>
          <w:sz w:val="24"/>
        </w:rPr>
        <w:t> </w:t>
      </w:r>
      <w:r>
        <w:rPr>
          <w:sz w:val="24"/>
        </w:rPr>
        <w:t>permissible</w:t>
      </w:r>
      <w:r>
        <w:rPr>
          <w:spacing w:val="40"/>
          <w:sz w:val="24"/>
        </w:rPr>
        <w:t> </w:t>
      </w:r>
      <w:r>
        <w:rPr>
          <w:sz w:val="24"/>
        </w:rPr>
        <w:t>subject</w:t>
      </w:r>
      <w:r>
        <w:rPr>
          <w:spacing w:val="40"/>
          <w:sz w:val="24"/>
        </w:rPr>
        <w:t> </w:t>
      </w:r>
      <w:r>
        <w:rPr>
          <w:sz w:val="24"/>
        </w:rPr>
        <w:t>to</w:t>
      </w:r>
      <w:r>
        <w:rPr>
          <w:spacing w:val="40"/>
          <w:sz w:val="24"/>
        </w:rPr>
        <w:t> </w:t>
      </w:r>
      <w:r>
        <w:rPr>
          <w:sz w:val="24"/>
        </w:rPr>
        <w:t>the</w:t>
      </w:r>
      <w:r>
        <w:rPr>
          <w:spacing w:val="40"/>
          <w:sz w:val="24"/>
        </w:rPr>
        <w:t> </w:t>
      </w:r>
      <w:r>
        <w:rPr>
          <w:sz w:val="24"/>
        </w:rPr>
        <w:t>payment</w:t>
      </w:r>
      <w:r>
        <w:rPr>
          <w:spacing w:val="40"/>
          <w:sz w:val="24"/>
        </w:rPr>
        <w:t> </w:t>
      </w:r>
      <w:r>
        <w:rPr>
          <w:sz w:val="24"/>
        </w:rPr>
        <w:t>of</w:t>
      </w:r>
      <w:r>
        <w:rPr>
          <w:spacing w:val="40"/>
          <w:sz w:val="24"/>
        </w:rPr>
        <w:t> </w:t>
      </w:r>
      <w:r>
        <w:rPr>
          <w:sz w:val="24"/>
        </w:rPr>
        <w:t>premium</w:t>
      </w:r>
      <w:r>
        <w:rPr>
          <w:spacing w:val="40"/>
          <w:sz w:val="24"/>
        </w:rPr>
        <w:t> </w:t>
      </w:r>
      <w:r>
        <w:rPr>
          <w:sz w:val="24"/>
        </w:rPr>
        <w:t>as</w:t>
      </w:r>
      <w:r>
        <w:rPr>
          <w:spacing w:val="40"/>
          <w:sz w:val="24"/>
        </w:rPr>
        <w:t> </w:t>
      </w:r>
      <w:r>
        <w:rPr>
          <w:sz w:val="24"/>
        </w:rPr>
        <w:t>decided</w:t>
      </w:r>
      <w:r>
        <w:rPr>
          <w:spacing w:val="40"/>
          <w:sz w:val="24"/>
        </w:rPr>
        <w:t> </w:t>
      </w:r>
      <w:r>
        <w:rPr>
          <w:sz w:val="24"/>
        </w:rPr>
        <w:t>by Govt. from time to time, to be shared equally between GoM and </w:t>
      </w:r>
      <w:r>
        <w:rPr>
          <w:spacing w:val="-2"/>
          <w:sz w:val="24"/>
        </w:rPr>
        <w:t>MCGM.</w:t>
      </w:r>
    </w:p>
    <w:p>
      <w:pPr>
        <w:pStyle w:val="ListParagraph"/>
        <w:numPr>
          <w:ilvl w:val="1"/>
          <w:numId w:val="135"/>
        </w:numPr>
        <w:tabs>
          <w:tab w:pos="2468" w:val="left" w:leader="none"/>
        </w:tabs>
        <w:spacing w:line="240" w:lineRule="auto" w:before="242" w:after="0"/>
        <w:ind w:left="2468" w:right="0" w:hanging="406"/>
        <w:jc w:val="both"/>
        <w:rPr>
          <w:sz w:val="24"/>
        </w:rPr>
      </w:pPr>
      <w:r>
        <w:rPr>
          <w:sz w:val="24"/>
        </w:rPr>
        <w:t>Conditions</w:t>
      </w:r>
      <w:r>
        <w:rPr>
          <w:spacing w:val="56"/>
          <w:sz w:val="24"/>
        </w:rPr>
        <w:t> </w:t>
      </w:r>
      <w:r>
        <w:rPr>
          <w:sz w:val="24"/>
        </w:rPr>
        <w:t>stipulated</w:t>
      </w:r>
      <w:r>
        <w:rPr>
          <w:spacing w:val="61"/>
          <w:sz w:val="24"/>
        </w:rPr>
        <w:t> </w:t>
      </w:r>
      <w:r>
        <w:rPr>
          <w:sz w:val="24"/>
        </w:rPr>
        <w:t>in</w:t>
      </w:r>
      <w:r>
        <w:rPr>
          <w:spacing w:val="53"/>
          <w:sz w:val="24"/>
        </w:rPr>
        <w:t> </w:t>
      </w:r>
      <w:r>
        <w:rPr>
          <w:sz w:val="24"/>
        </w:rPr>
        <w:t>(A)</w:t>
      </w:r>
      <w:r>
        <w:rPr>
          <w:spacing w:val="53"/>
          <w:sz w:val="24"/>
        </w:rPr>
        <w:t> </w:t>
      </w:r>
      <w:r>
        <w:rPr>
          <w:sz w:val="24"/>
        </w:rPr>
        <w:t>&amp;</w:t>
      </w:r>
      <w:r>
        <w:rPr>
          <w:spacing w:val="57"/>
          <w:sz w:val="24"/>
        </w:rPr>
        <w:t> </w:t>
      </w:r>
      <w:r>
        <w:rPr>
          <w:sz w:val="24"/>
        </w:rPr>
        <w:t>(B)</w:t>
      </w:r>
      <w:r>
        <w:rPr>
          <w:spacing w:val="57"/>
          <w:sz w:val="24"/>
        </w:rPr>
        <w:t> </w:t>
      </w:r>
      <w:r>
        <w:rPr>
          <w:sz w:val="24"/>
        </w:rPr>
        <w:t>above</w:t>
      </w:r>
      <w:r>
        <w:rPr>
          <w:spacing w:val="53"/>
          <w:sz w:val="24"/>
        </w:rPr>
        <w:t> </w:t>
      </w:r>
      <w:r>
        <w:rPr>
          <w:sz w:val="24"/>
        </w:rPr>
        <w:t>shall</w:t>
      </w:r>
      <w:r>
        <w:rPr>
          <w:spacing w:val="53"/>
          <w:sz w:val="24"/>
        </w:rPr>
        <w:t> </w:t>
      </w:r>
      <w:r>
        <w:rPr>
          <w:sz w:val="24"/>
        </w:rPr>
        <w:t>be</w:t>
      </w:r>
      <w:r>
        <w:rPr>
          <w:spacing w:val="57"/>
          <w:sz w:val="24"/>
        </w:rPr>
        <w:t> </w:t>
      </w:r>
      <w:r>
        <w:rPr>
          <w:sz w:val="24"/>
        </w:rPr>
        <w:t>adhered</w:t>
      </w:r>
      <w:r>
        <w:rPr>
          <w:spacing w:val="53"/>
          <w:sz w:val="24"/>
        </w:rPr>
        <w:t> </w:t>
      </w:r>
      <w:r>
        <w:rPr>
          <w:spacing w:val="-5"/>
          <w:sz w:val="24"/>
        </w:rPr>
        <w:t>to.</w:t>
      </w:r>
    </w:p>
    <w:p>
      <w:pPr>
        <w:pStyle w:val="ListParagraph"/>
        <w:numPr>
          <w:ilvl w:val="2"/>
          <w:numId w:val="135"/>
        </w:numPr>
        <w:tabs>
          <w:tab w:pos="2434" w:val="left" w:leader="none"/>
        </w:tabs>
        <w:spacing w:line="240" w:lineRule="auto" w:before="239" w:after="0"/>
        <w:ind w:left="2194" w:right="768" w:firstLine="0"/>
        <w:jc w:val="both"/>
        <w:rPr>
          <w:sz w:val="24"/>
        </w:rPr>
      </w:pPr>
      <w:r>
        <w:rPr>
          <w:sz w:val="24"/>
        </w:rPr>
        <w:t>The</w:t>
      </w:r>
      <w:r>
        <w:rPr>
          <w:spacing w:val="40"/>
          <w:sz w:val="24"/>
        </w:rPr>
        <w:t> </w:t>
      </w:r>
      <w:r>
        <w:rPr>
          <w:sz w:val="24"/>
        </w:rPr>
        <w:t>Municipal commissioner shall intimate the </w:t>
      </w:r>
      <w:r>
        <w:rPr>
          <w:spacing w:val="10"/>
          <w:sz w:val="24"/>
        </w:rPr>
        <w:t>concerned </w:t>
      </w:r>
      <w:r>
        <w:rPr>
          <w:sz w:val="24"/>
        </w:rPr>
        <w:t>appropriate implementing authority regarding grant of building permission / occupation certificate to enable such authority to comply</w:t>
      </w:r>
      <w:r>
        <w:rPr>
          <w:spacing w:val="80"/>
          <w:sz w:val="24"/>
        </w:rPr>
        <w:t> </w:t>
      </w:r>
      <w:r>
        <w:rPr>
          <w:sz w:val="24"/>
        </w:rPr>
        <w:t>with</w:t>
      </w:r>
      <w:r>
        <w:rPr>
          <w:spacing w:val="80"/>
          <w:sz w:val="24"/>
        </w:rPr>
        <w:t> </w:t>
      </w:r>
      <w:r>
        <w:rPr>
          <w:sz w:val="24"/>
        </w:rPr>
        <w:t>the</w:t>
      </w:r>
      <w:r>
        <w:rPr>
          <w:spacing w:val="80"/>
          <w:sz w:val="24"/>
        </w:rPr>
        <w:t> </w:t>
      </w:r>
      <w:r>
        <w:rPr>
          <w:sz w:val="24"/>
        </w:rPr>
        <w:t>aforesaid</w:t>
      </w:r>
      <w:r>
        <w:rPr>
          <w:spacing w:val="80"/>
          <w:sz w:val="24"/>
        </w:rPr>
        <w:t> </w:t>
      </w:r>
      <w:r>
        <w:rPr>
          <w:sz w:val="24"/>
        </w:rPr>
        <w:t>conditions</w:t>
      </w:r>
      <w:r>
        <w:rPr>
          <w:spacing w:val="80"/>
          <w:sz w:val="24"/>
        </w:rPr>
        <w:t> </w:t>
      </w:r>
      <w:r>
        <w:rPr>
          <w:sz w:val="24"/>
        </w:rPr>
        <w:t>mentioned</w:t>
      </w:r>
      <w:r>
        <w:rPr>
          <w:spacing w:val="80"/>
          <w:sz w:val="24"/>
        </w:rPr>
        <w:t> </w:t>
      </w:r>
      <w:r>
        <w:rPr>
          <w:sz w:val="24"/>
        </w:rPr>
        <w:t>in</w:t>
      </w:r>
      <w:r>
        <w:rPr>
          <w:spacing w:val="80"/>
          <w:sz w:val="24"/>
        </w:rPr>
        <w:t> </w:t>
      </w:r>
      <w:r>
        <w:rPr>
          <w:sz w:val="24"/>
        </w:rPr>
        <w:t>(A),(B)</w:t>
      </w:r>
      <w:r>
        <w:rPr>
          <w:spacing w:val="80"/>
          <w:sz w:val="24"/>
        </w:rPr>
        <w:t> </w:t>
      </w:r>
      <w:r>
        <w:rPr>
          <w:spacing w:val="9"/>
          <w:sz w:val="24"/>
        </w:rPr>
        <w:t>&amp;(C).</w:t>
      </w:r>
    </w:p>
    <w:p>
      <w:pPr>
        <w:pStyle w:val="BodyText"/>
        <w:spacing w:line="276" w:lineRule="auto" w:before="239"/>
        <w:ind w:left="2194" w:right="785"/>
      </w:pPr>
      <w:r>
        <w:rPr>
          <w:sz w:val="22"/>
        </w:rPr>
        <w:t>(2</w:t>
      </w:r>
      <w:r>
        <w:rPr/>
        <w:t>)</w:t>
      </w:r>
      <w:r>
        <w:rPr>
          <w:spacing w:val="40"/>
        </w:rPr>
        <w:t> </w:t>
      </w:r>
      <w:r>
        <w:rPr/>
        <w:t>If</w:t>
      </w:r>
      <w:r>
        <w:rPr>
          <w:spacing w:val="40"/>
        </w:rPr>
        <w:t> </w:t>
      </w:r>
      <w:r>
        <w:rPr/>
        <w:t>the</w:t>
      </w:r>
      <w:r>
        <w:rPr>
          <w:spacing w:val="40"/>
        </w:rPr>
        <w:t> </w:t>
      </w:r>
      <w:r>
        <w:rPr/>
        <w:t>additional</w:t>
      </w:r>
      <w:r>
        <w:rPr>
          <w:spacing w:val="40"/>
        </w:rPr>
        <w:t> </w:t>
      </w:r>
      <w:r>
        <w:rPr/>
        <w:t>FSI</w:t>
      </w:r>
      <w:r>
        <w:rPr>
          <w:spacing w:val="40"/>
        </w:rPr>
        <w:t> </w:t>
      </w:r>
      <w:r>
        <w:rPr/>
        <w:t>as</w:t>
      </w:r>
      <w:r>
        <w:rPr>
          <w:spacing w:val="40"/>
        </w:rPr>
        <w:t> </w:t>
      </w:r>
      <w:r>
        <w:rPr/>
        <w:t>per</w:t>
      </w:r>
      <w:r>
        <w:rPr>
          <w:spacing w:val="40"/>
        </w:rPr>
        <w:t> </w:t>
      </w:r>
      <w:r>
        <w:rPr/>
        <w:t>the</w:t>
      </w:r>
      <w:r>
        <w:rPr>
          <w:spacing w:val="40"/>
        </w:rPr>
        <w:t> </w:t>
      </w:r>
      <w:r>
        <w:rPr/>
        <w:t>above</w:t>
      </w:r>
      <w:r>
        <w:rPr>
          <w:spacing w:val="40"/>
        </w:rPr>
        <w:t> </w:t>
      </w:r>
      <w:r>
        <w:rPr/>
        <w:t>provisions</w:t>
      </w:r>
      <w:r>
        <w:rPr>
          <w:spacing w:val="40"/>
        </w:rPr>
        <w:t> </w:t>
      </w:r>
      <w:r>
        <w:rPr/>
        <w:t>has</w:t>
      </w:r>
      <w:r>
        <w:rPr>
          <w:spacing w:val="40"/>
        </w:rPr>
        <w:t> </w:t>
      </w:r>
      <w:r>
        <w:rPr/>
        <w:t>availed and subsequently it is found that the </w:t>
      </w:r>
      <w:r>
        <w:rPr>
          <w:spacing w:val="10"/>
        </w:rPr>
        <w:t>built-</w:t>
      </w:r>
      <w:r>
        <w:rPr/>
        <w:t>up space is being used</w:t>
      </w:r>
      <w:r>
        <w:rPr>
          <w:spacing w:val="40"/>
        </w:rPr>
        <w:t> </w:t>
      </w:r>
      <w:r>
        <w:rPr/>
        <w:t>for</w:t>
      </w:r>
      <w:r>
        <w:rPr>
          <w:spacing w:val="77"/>
        </w:rPr>
        <w:t> </w:t>
      </w:r>
      <w:r>
        <w:rPr/>
        <w:t>non</w:t>
      </w:r>
      <w:r>
        <w:rPr>
          <w:spacing w:val="77"/>
        </w:rPr>
        <w:t> </w:t>
      </w:r>
      <w:r>
        <w:rPr/>
        <w:t>medical/</w:t>
      </w:r>
      <w:r>
        <w:rPr>
          <w:spacing w:val="78"/>
        </w:rPr>
        <w:t> </w:t>
      </w:r>
      <w:r>
        <w:rPr/>
        <w:t>educational</w:t>
      </w:r>
      <w:r>
        <w:rPr>
          <w:spacing w:val="77"/>
        </w:rPr>
        <w:t> </w:t>
      </w:r>
      <w:r>
        <w:rPr/>
        <w:t>/institutional</w:t>
      </w:r>
      <w:r>
        <w:rPr>
          <w:spacing w:val="78"/>
        </w:rPr>
        <w:t> </w:t>
      </w:r>
      <w:r>
        <w:rPr/>
        <w:t>commercial</w:t>
      </w:r>
      <w:r>
        <w:rPr>
          <w:spacing w:val="44"/>
          <w:w w:val="150"/>
        </w:rPr>
        <w:t> </w:t>
      </w:r>
      <w:r>
        <w:rPr>
          <w:spacing w:val="-2"/>
        </w:rPr>
        <w:t>activities</w:t>
      </w:r>
    </w:p>
    <w:p>
      <w:pPr>
        <w:pStyle w:val="BodyText"/>
        <w:spacing w:line="278" w:lineRule="auto"/>
        <w:ind w:left="2194" w:right="795"/>
      </w:pPr>
      <w:r>
        <w:rPr/>
        <w:t>/</w:t>
      </w:r>
      <w:r>
        <w:rPr>
          <w:spacing w:val="40"/>
        </w:rPr>
        <w:t> </w:t>
      </w:r>
      <w:r>
        <w:rPr/>
        <w:t>any</w:t>
      </w:r>
      <w:r>
        <w:rPr>
          <w:spacing w:val="40"/>
        </w:rPr>
        <w:t> </w:t>
      </w:r>
      <w:r>
        <w:rPr/>
        <w:t>other</w:t>
      </w:r>
      <w:r>
        <w:rPr>
          <w:spacing w:val="40"/>
        </w:rPr>
        <w:t> </w:t>
      </w:r>
      <w:r>
        <w:rPr/>
        <w:t>activity,</w:t>
      </w:r>
      <w:r>
        <w:rPr>
          <w:spacing w:val="80"/>
          <w:w w:val="150"/>
        </w:rPr>
        <w:t> </w:t>
      </w:r>
      <w:r>
        <w:rPr/>
        <w:t>not</w:t>
      </w:r>
      <w:r>
        <w:rPr>
          <w:spacing w:val="40"/>
        </w:rPr>
        <w:t> </w:t>
      </w:r>
      <w:r>
        <w:rPr/>
        <w:t>permitted</w:t>
      </w:r>
      <w:r>
        <w:rPr>
          <w:spacing w:val="40"/>
        </w:rPr>
        <w:t> </w:t>
      </w:r>
      <w:r>
        <w:rPr/>
        <w:t>as</w:t>
      </w:r>
      <w:r>
        <w:rPr>
          <w:spacing w:val="40"/>
        </w:rPr>
        <w:t> </w:t>
      </w:r>
      <w:r>
        <w:rPr/>
        <w:t>per</w:t>
      </w:r>
      <w:r>
        <w:rPr>
          <w:spacing w:val="40"/>
        </w:rPr>
        <w:t> </w:t>
      </w:r>
      <w:r>
        <w:rPr/>
        <w:t>these</w:t>
      </w:r>
      <w:r>
        <w:rPr>
          <w:spacing w:val="40"/>
        </w:rPr>
        <w:t> </w:t>
      </w:r>
      <w:r>
        <w:rPr/>
        <w:t>regulations,</w:t>
      </w:r>
      <w:r>
        <w:rPr>
          <w:spacing w:val="40"/>
        </w:rPr>
        <w:t> </w:t>
      </w:r>
      <w:r>
        <w:rPr/>
        <w:t>a penal action as below will be taken, the payment shall</w:t>
      </w:r>
      <w:r>
        <w:rPr>
          <w:spacing w:val="40"/>
        </w:rPr>
        <w:t> </w:t>
      </w:r>
      <w:r>
        <w:rPr/>
        <w:t>be shared between</w:t>
      </w:r>
      <w:r>
        <w:rPr>
          <w:spacing w:val="40"/>
        </w:rPr>
        <w:t> </w:t>
      </w:r>
      <w:r>
        <w:rPr/>
        <w:t>the</w:t>
      </w:r>
      <w:r>
        <w:rPr>
          <w:spacing w:val="40"/>
        </w:rPr>
        <w:t> </w:t>
      </w:r>
      <w:r>
        <w:rPr/>
        <w:t>MCGM</w:t>
      </w:r>
      <w:r>
        <w:rPr>
          <w:spacing w:val="40"/>
        </w:rPr>
        <w:t> </w:t>
      </w:r>
      <w:r>
        <w:rPr/>
        <w:t>and</w:t>
      </w:r>
      <w:r>
        <w:rPr>
          <w:spacing w:val="40"/>
        </w:rPr>
        <w:t> </w:t>
      </w:r>
      <w:r>
        <w:rPr/>
        <w:t>the</w:t>
      </w:r>
      <w:r>
        <w:rPr>
          <w:spacing w:val="40"/>
        </w:rPr>
        <w:t> </w:t>
      </w:r>
      <w:r>
        <w:rPr/>
        <w:t>Government</w:t>
      </w:r>
      <w:r>
        <w:rPr>
          <w:spacing w:val="40"/>
        </w:rPr>
        <w:t> </w:t>
      </w:r>
      <w:r>
        <w:rPr/>
        <w:t>in</w:t>
      </w:r>
      <w:r>
        <w:rPr>
          <w:spacing w:val="40"/>
        </w:rPr>
        <w:t> </w:t>
      </w:r>
      <w:r>
        <w:rPr/>
        <w:t>the</w:t>
      </w:r>
      <w:r>
        <w:rPr>
          <w:spacing w:val="40"/>
        </w:rPr>
        <w:t> </w:t>
      </w:r>
      <w:r>
        <w:rPr/>
        <w:t>ratio</w:t>
      </w:r>
      <w:r>
        <w:rPr>
          <w:spacing w:val="40"/>
        </w:rPr>
        <w:t> </w:t>
      </w:r>
      <w:r>
        <w:rPr/>
        <w:t>of</w:t>
      </w:r>
      <w:r>
        <w:rPr>
          <w:spacing w:val="40"/>
        </w:rPr>
        <w:t> </w:t>
      </w:r>
      <w:r>
        <w:rPr/>
        <w:t>3:1.</w:t>
      </w:r>
    </w:p>
    <w:p>
      <w:pPr>
        <w:pStyle w:val="ListParagraph"/>
        <w:numPr>
          <w:ilvl w:val="0"/>
          <w:numId w:val="136"/>
        </w:numPr>
        <w:tabs>
          <w:tab w:pos="2769" w:val="left" w:leader="none"/>
        </w:tabs>
        <w:spacing w:line="276" w:lineRule="auto" w:before="191" w:after="0"/>
        <w:ind w:left="2194" w:right="793" w:firstLine="0"/>
        <w:jc w:val="both"/>
        <w:rPr>
          <w:sz w:val="24"/>
        </w:rPr>
      </w:pPr>
      <w:r>
        <w:rPr>
          <w:sz w:val="24"/>
        </w:rPr>
        <w:t>The</w:t>
      </w:r>
      <w:r>
        <w:rPr>
          <w:spacing w:val="40"/>
          <w:sz w:val="24"/>
        </w:rPr>
        <w:t> </w:t>
      </w:r>
      <w:r>
        <w:rPr>
          <w:sz w:val="24"/>
        </w:rPr>
        <w:t>misuse</w:t>
      </w:r>
      <w:r>
        <w:rPr>
          <w:spacing w:val="40"/>
          <w:sz w:val="24"/>
        </w:rPr>
        <w:t> </w:t>
      </w:r>
      <w:r>
        <w:rPr>
          <w:sz w:val="24"/>
        </w:rPr>
        <w:t>shall</w:t>
      </w:r>
      <w:r>
        <w:rPr>
          <w:spacing w:val="40"/>
          <w:sz w:val="24"/>
        </w:rPr>
        <w:t> </w:t>
      </w:r>
      <w:r>
        <w:rPr>
          <w:sz w:val="24"/>
        </w:rPr>
        <w:t>be</w:t>
      </w:r>
      <w:r>
        <w:rPr>
          <w:spacing w:val="40"/>
          <w:sz w:val="24"/>
        </w:rPr>
        <w:t> </w:t>
      </w:r>
      <w:r>
        <w:rPr>
          <w:sz w:val="24"/>
        </w:rPr>
        <w:t>ascertained</w:t>
      </w:r>
      <w:r>
        <w:rPr>
          <w:spacing w:val="40"/>
          <w:sz w:val="24"/>
        </w:rPr>
        <w:t> </w:t>
      </w:r>
      <w:r>
        <w:rPr>
          <w:sz w:val="24"/>
        </w:rPr>
        <w:t>by</w:t>
      </w:r>
      <w:r>
        <w:rPr>
          <w:spacing w:val="40"/>
          <w:sz w:val="24"/>
        </w:rPr>
        <w:t> </w:t>
      </w:r>
      <w:r>
        <w:rPr>
          <w:sz w:val="24"/>
        </w:rPr>
        <w:t>physical</w:t>
      </w:r>
      <w:r>
        <w:rPr>
          <w:spacing w:val="40"/>
          <w:sz w:val="24"/>
        </w:rPr>
        <w:t> </w:t>
      </w:r>
      <w:r>
        <w:rPr>
          <w:sz w:val="24"/>
        </w:rPr>
        <w:t>site</w:t>
      </w:r>
      <w:r>
        <w:rPr>
          <w:spacing w:val="40"/>
          <w:sz w:val="24"/>
        </w:rPr>
        <w:t> </w:t>
      </w:r>
      <w:r>
        <w:rPr>
          <w:sz w:val="24"/>
        </w:rPr>
        <w:t>verification by a team of officers from the MCGM, which has approved the building plans.</w:t>
      </w:r>
    </w:p>
    <w:p>
      <w:pPr>
        <w:pStyle w:val="ListParagraph"/>
        <w:numPr>
          <w:ilvl w:val="0"/>
          <w:numId w:val="136"/>
        </w:numPr>
        <w:tabs>
          <w:tab w:pos="2194" w:val="left" w:leader="none"/>
          <w:tab w:pos="2651" w:val="left" w:leader="none"/>
        </w:tabs>
        <w:spacing w:line="276" w:lineRule="auto" w:before="200" w:after="0"/>
        <w:ind w:left="2194" w:right="789" w:hanging="80"/>
        <w:jc w:val="both"/>
        <w:rPr>
          <w:sz w:val="24"/>
        </w:rPr>
      </w:pPr>
      <w:r>
        <w:rPr>
          <w:sz w:val="24"/>
        </w:rPr>
        <w:t>A</w:t>
      </w:r>
      <w:r>
        <w:rPr>
          <w:spacing w:val="40"/>
          <w:sz w:val="24"/>
        </w:rPr>
        <w:t> </w:t>
      </w:r>
      <w:r>
        <w:rPr>
          <w:sz w:val="24"/>
        </w:rPr>
        <w:t>per</w:t>
      </w:r>
      <w:r>
        <w:rPr>
          <w:spacing w:val="40"/>
          <w:sz w:val="24"/>
        </w:rPr>
        <w:t> </w:t>
      </w:r>
      <w:r>
        <w:rPr>
          <w:sz w:val="24"/>
        </w:rPr>
        <w:t>day</w:t>
      </w:r>
      <w:r>
        <w:rPr>
          <w:spacing w:val="40"/>
          <w:sz w:val="24"/>
        </w:rPr>
        <w:t> </w:t>
      </w:r>
      <w:r>
        <w:rPr>
          <w:sz w:val="24"/>
        </w:rPr>
        <w:t>penalty</w:t>
      </w:r>
      <w:r>
        <w:rPr>
          <w:spacing w:val="40"/>
          <w:sz w:val="24"/>
        </w:rPr>
        <w:t> </w:t>
      </w:r>
      <w:r>
        <w:rPr>
          <w:sz w:val="24"/>
        </w:rPr>
        <w:t>equal</w:t>
      </w:r>
      <w:r>
        <w:rPr>
          <w:spacing w:val="40"/>
          <w:sz w:val="24"/>
        </w:rPr>
        <w:t> </w:t>
      </w:r>
      <w:r>
        <w:rPr>
          <w:sz w:val="24"/>
        </w:rPr>
        <w:t>to</w:t>
      </w:r>
      <w:r>
        <w:rPr>
          <w:spacing w:val="40"/>
          <w:sz w:val="24"/>
        </w:rPr>
        <w:t> </w:t>
      </w:r>
      <w:r>
        <w:rPr>
          <w:sz w:val="24"/>
        </w:rPr>
        <w:t>0.3%</w:t>
      </w:r>
      <w:r>
        <w:rPr>
          <w:spacing w:val="80"/>
          <w:w w:val="150"/>
          <w:sz w:val="24"/>
        </w:rPr>
        <w:t> </w:t>
      </w:r>
      <w:r>
        <w:rPr>
          <w:sz w:val="24"/>
        </w:rPr>
        <w:t>of</w:t>
      </w:r>
      <w:r>
        <w:rPr>
          <w:spacing w:val="40"/>
          <w:sz w:val="24"/>
        </w:rPr>
        <w:t> </w:t>
      </w:r>
      <w:r>
        <w:rPr>
          <w:sz w:val="24"/>
        </w:rPr>
        <w:t>the</w:t>
      </w:r>
      <w:r>
        <w:rPr>
          <w:spacing w:val="40"/>
          <w:sz w:val="24"/>
        </w:rPr>
        <w:t> </w:t>
      </w:r>
      <w:r>
        <w:rPr>
          <w:sz w:val="24"/>
        </w:rPr>
        <w:t>prevailing</w:t>
      </w:r>
      <w:r>
        <w:rPr>
          <w:spacing w:val="40"/>
          <w:sz w:val="24"/>
        </w:rPr>
        <w:t> </w:t>
      </w:r>
      <w:r>
        <w:rPr>
          <w:sz w:val="24"/>
        </w:rPr>
        <w:t>ready reckoner</w:t>
      </w:r>
      <w:r>
        <w:rPr>
          <w:spacing w:val="80"/>
          <w:sz w:val="24"/>
        </w:rPr>
        <w:t> </w:t>
      </w:r>
      <w:r>
        <w:rPr>
          <w:sz w:val="24"/>
        </w:rPr>
        <w:t>value</w:t>
      </w:r>
      <w:r>
        <w:rPr>
          <w:spacing w:val="80"/>
          <w:sz w:val="24"/>
        </w:rPr>
        <w:t> </w:t>
      </w:r>
      <w:r>
        <w:rPr>
          <w:sz w:val="24"/>
        </w:rPr>
        <w:t>of</w:t>
      </w:r>
      <w:r>
        <w:rPr>
          <w:spacing w:val="80"/>
          <w:sz w:val="24"/>
        </w:rPr>
        <w:t> </w:t>
      </w:r>
      <w:r>
        <w:rPr>
          <w:sz w:val="24"/>
        </w:rPr>
        <w:t>the</w:t>
      </w:r>
      <w:r>
        <w:rPr>
          <w:spacing w:val="80"/>
          <w:sz w:val="24"/>
        </w:rPr>
        <w:t> </w:t>
      </w:r>
      <w:r>
        <w:rPr>
          <w:spacing w:val="9"/>
          <w:sz w:val="24"/>
        </w:rPr>
        <w:t>built-</w:t>
      </w:r>
      <w:r>
        <w:rPr>
          <w:sz w:val="24"/>
        </w:rPr>
        <w:t>up</w:t>
      </w:r>
      <w:r>
        <w:rPr>
          <w:spacing w:val="80"/>
          <w:sz w:val="24"/>
        </w:rPr>
        <w:t> </w:t>
      </w:r>
      <w:r>
        <w:rPr>
          <w:sz w:val="24"/>
        </w:rPr>
        <w:t>area</w:t>
      </w:r>
      <w:r>
        <w:rPr>
          <w:spacing w:val="80"/>
          <w:sz w:val="24"/>
        </w:rPr>
        <w:t> </w:t>
      </w:r>
      <w:r>
        <w:rPr>
          <w:sz w:val="24"/>
        </w:rPr>
        <w:t>that</w:t>
      </w:r>
      <w:r>
        <w:rPr>
          <w:spacing w:val="80"/>
          <w:sz w:val="24"/>
        </w:rPr>
        <w:t> </w:t>
      </w:r>
      <w:r>
        <w:rPr>
          <w:sz w:val="24"/>
        </w:rPr>
        <w:t>has</w:t>
      </w:r>
      <w:r>
        <w:rPr>
          <w:spacing w:val="80"/>
          <w:sz w:val="24"/>
        </w:rPr>
        <w:t> </w:t>
      </w:r>
      <w:r>
        <w:rPr>
          <w:sz w:val="24"/>
        </w:rPr>
        <w:t>been</w:t>
      </w:r>
      <w:r>
        <w:rPr>
          <w:spacing w:val="80"/>
          <w:sz w:val="24"/>
        </w:rPr>
        <w:t> </w:t>
      </w:r>
      <w:r>
        <w:rPr>
          <w:sz w:val="24"/>
        </w:rPr>
        <w:t>found</w:t>
      </w:r>
      <w:r>
        <w:rPr>
          <w:spacing w:val="80"/>
          <w:sz w:val="24"/>
        </w:rPr>
        <w:t> </w:t>
      </w:r>
      <w:r>
        <w:rPr>
          <w:sz w:val="24"/>
        </w:rPr>
        <w:t>to</w:t>
      </w:r>
      <w:r>
        <w:rPr>
          <w:spacing w:val="80"/>
          <w:sz w:val="24"/>
        </w:rPr>
        <w:t> </w:t>
      </w:r>
      <w:r>
        <w:rPr>
          <w:sz w:val="24"/>
        </w:rPr>
        <w:t>be</w:t>
      </w:r>
    </w:p>
    <w:p>
      <w:pPr>
        <w:pStyle w:val="ListParagraph"/>
        <w:spacing w:after="0" w:line="276" w:lineRule="auto"/>
        <w:jc w:val="both"/>
        <w:rPr>
          <w:sz w:val="24"/>
        </w:rPr>
        <w:sectPr>
          <w:pgSz w:w="11910" w:h="16840"/>
          <w:pgMar w:header="1065" w:footer="1194" w:top="1500" w:bottom="1380" w:left="360" w:right="360"/>
        </w:sectPr>
      </w:pPr>
    </w:p>
    <w:p>
      <w:pPr>
        <w:pStyle w:val="BodyText"/>
        <w:spacing w:line="278" w:lineRule="auto" w:before="247"/>
        <w:ind w:left="2194" w:right="782"/>
      </w:pPr>
      <w:r>
        <w:rPr/>
        <w:t>used</w:t>
      </w:r>
      <w:r>
        <w:rPr>
          <w:spacing w:val="80"/>
        </w:rPr>
        <w:t> </w:t>
      </w:r>
      <w:r>
        <w:rPr/>
        <w:t>for</w:t>
      </w:r>
      <w:r>
        <w:rPr>
          <w:spacing w:val="80"/>
        </w:rPr>
        <w:t> </w:t>
      </w:r>
      <w:r>
        <w:rPr/>
        <w:t>non</w:t>
      </w:r>
      <w:r>
        <w:rPr>
          <w:spacing w:val="80"/>
        </w:rPr>
        <w:t> </w:t>
      </w:r>
      <w:r>
        <w:rPr/>
        <w:t>medical/</w:t>
      </w:r>
      <w:r>
        <w:rPr>
          <w:spacing w:val="80"/>
        </w:rPr>
        <w:t> </w:t>
      </w:r>
      <w:r>
        <w:rPr/>
        <w:t>educational/institutional</w:t>
      </w:r>
      <w:r>
        <w:rPr>
          <w:spacing w:val="80"/>
        </w:rPr>
        <w:t> </w:t>
      </w:r>
      <w:r>
        <w:rPr>
          <w:spacing w:val="9"/>
        </w:rPr>
        <w:t>activities,</w:t>
      </w:r>
      <w:r>
        <w:rPr>
          <w:spacing w:val="80"/>
        </w:rPr>
        <w:t> </w:t>
      </w:r>
      <w:r>
        <w:rPr/>
        <w:t>shall be </w:t>
      </w:r>
      <w:r>
        <w:rPr>
          <w:spacing w:val="9"/>
        </w:rPr>
        <w:t>imposed.</w:t>
      </w:r>
    </w:p>
    <w:p>
      <w:pPr>
        <w:pStyle w:val="ListParagraph"/>
        <w:numPr>
          <w:ilvl w:val="0"/>
          <w:numId w:val="136"/>
        </w:numPr>
        <w:tabs>
          <w:tab w:pos="2578" w:val="left" w:leader="none"/>
          <w:tab w:pos="2617" w:val="left" w:leader="none"/>
          <w:tab w:pos="4506" w:val="left" w:leader="none"/>
          <w:tab w:pos="5141" w:val="left" w:leader="none"/>
          <w:tab w:pos="5682" w:val="left" w:leader="none"/>
          <w:tab w:pos="6281" w:val="left" w:leader="none"/>
          <w:tab w:pos="6925" w:val="left" w:leader="none"/>
          <w:tab w:pos="7599" w:val="left" w:leader="none"/>
          <w:tab w:pos="8924" w:val="left" w:leader="none"/>
        </w:tabs>
        <w:spacing w:line="276" w:lineRule="auto" w:before="196" w:after="0"/>
        <w:ind w:left="2194" w:right="793" w:firstLine="0"/>
        <w:jc w:val="left"/>
        <w:rPr>
          <w:sz w:val="24"/>
        </w:rPr>
      </w:pPr>
      <w:r>
        <w:rPr>
          <w:sz w:val="24"/>
        </w:rPr>
        <w:t>The</w:t>
      </w:r>
      <w:r>
        <w:rPr>
          <w:spacing w:val="40"/>
          <w:sz w:val="24"/>
        </w:rPr>
        <w:t> </w:t>
      </w:r>
      <w:r>
        <w:rPr>
          <w:sz w:val="24"/>
        </w:rPr>
        <w:t>penalty</w:t>
      </w:r>
      <w:r>
        <w:rPr>
          <w:spacing w:val="40"/>
          <w:sz w:val="24"/>
        </w:rPr>
        <w:t> </w:t>
      </w:r>
      <w:r>
        <w:rPr>
          <w:sz w:val="24"/>
        </w:rPr>
        <w:t>will</w:t>
      </w:r>
      <w:r>
        <w:rPr>
          <w:spacing w:val="40"/>
          <w:sz w:val="24"/>
        </w:rPr>
        <w:t> </w:t>
      </w:r>
      <w:r>
        <w:rPr>
          <w:sz w:val="24"/>
        </w:rPr>
        <w:t>be</w:t>
      </w:r>
      <w:r>
        <w:rPr>
          <w:spacing w:val="40"/>
          <w:sz w:val="24"/>
        </w:rPr>
        <w:t> </w:t>
      </w:r>
      <w:r>
        <w:rPr>
          <w:sz w:val="24"/>
        </w:rPr>
        <w:t>recovered</w:t>
      </w:r>
      <w:r>
        <w:rPr>
          <w:spacing w:val="40"/>
          <w:sz w:val="24"/>
        </w:rPr>
        <w:t> </w:t>
      </w:r>
      <w:r>
        <w:rPr>
          <w:sz w:val="24"/>
        </w:rPr>
        <w:t>from</w:t>
      </w:r>
      <w:r>
        <w:rPr>
          <w:spacing w:val="40"/>
          <w:sz w:val="24"/>
        </w:rPr>
        <w:t> </w:t>
      </w:r>
      <w:r>
        <w:rPr>
          <w:sz w:val="24"/>
        </w:rPr>
        <w:t>the</w:t>
      </w:r>
      <w:r>
        <w:rPr>
          <w:spacing w:val="40"/>
          <w:sz w:val="24"/>
        </w:rPr>
        <w:t> </w:t>
      </w:r>
      <w:r>
        <w:rPr>
          <w:sz w:val="24"/>
        </w:rPr>
        <w:t>date</w:t>
      </w:r>
      <w:r>
        <w:rPr>
          <w:spacing w:val="40"/>
          <w:sz w:val="24"/>
        </w:rPr>
        <w:t> </w:t>
      </w:r>
      <w:r>
        <w:rPr>
          <w:sz w:val="24"/>
        </w:rPr>
        <w:t>of</w:t>
      </w:r>
      <w:r>
        <w:rPr>
          <w:spacing w:val="40"/>
          <w:sz w:val="24"/>
        </w:rPr>
        <w:t> </w:t>
      </w:r>
      <w:r>
        <w:rPr>
          <w:sz w:val="24"/>
        </w:rPr>
        <w:t>commencement </w:t>
      </w:r>
      <w:r>
        <w:rPr>
          <w:spacing w:val="-6"/>
          <w:sz w:val="24"/>
        </w:rPr>
        <w:t>of</w:t>
      </w:r>
      <w:r>
        <w:rPr>
          <w:sz w:val="24"/>
        </w:rPr>
        <w:tab/>
        <w:tab/>
      </w:r>
      <w:r>
        <w:rPr>
          <w:spacing w:val="-2"/>
          <w:sz w:val="24"/>
        </w:rPr>
        <w:t>unauthorized</w:t>
      </w:r>
      <w:r>
        <w:rPr>
          <w:sz w:val="24"/>
        </w:rPr>
        <w:tab/>
      </w:r>
      <w:r>
        <w:rPr>
          <w:spacing w:val="-4"/>
          <w:sz w:val="24"/>
        </w:rPr>
        <w:t>use</w:t>
      </w:r>
      <w:r>
        <w:rPr>
          <w:sz w:val="24"/>
        </w:rPr>
        <w:tab/>
      </w:r>
      <w:r>
        <w:rPr>
          <w:spacing w:val="-4"/>
          <w:sz w:val="24"/>
        </w:rPr>
        <w:t>till</w:t>
      </w:r>
      <w:r>
        <w:rPr>
          <w:sz w:val="24"/>
        </w:rPr>
        <w:tab/>
      </w:r>
      <w:r>
        <w:rPr>
          <w:spacing w:val="-4"/>
          <w:sz w:val="24"/>
        </w:rPr>
        <w:t>the</w:t>
      </w:r>
      <w:r>
        <w:rPr>
          <w:sz w:val="24"/>
        </w:rPr>
        <w:tab/>
      </w:r>
      <w:r>
        <w:rPr>
          <w:spacing w:val="-4"/>
          <w:sz w:val="24"/>
        </w:rPr>
        <w:t>day</w:t>
      </w:r>
      <w:r>
        <w:rPr>
          <w:sz w:val="24"/>
        </w:rPr>
        <w:tab/>
      </w:r>
      <w:r>
        <w:rPr>
          <w:spacing w:val="-4"/>
          <w:sz w:val="24"/>
        </w:rPr>
        <w:t>non</w:t>
      </w:r>
      <w:r>
        <w:rPr>
          <w:sz w:val="24"/>
        </w:rPr>
        <w:tab/>
      </w:r>
      <w:r>
        <w:rPr>
          <w:spacing w:val="-2"/>
          <w:sz w:val="24"/>
        </w:rPr>
        <w:t>medical/</w:t>
      </w:r>
      <w:r>
        <w:rPr>
          <w:sz w:val="24"/>
        </w:rPr>
        <w:tab/>
      </w:r>
      <w:r>
        <w:rPr>
          <w:spacing w:val="-2"/>
          <w:sz w:val="24"/>
        </w:rPr>
        <w:t>educational</w:t>
      </w:r>
    </w:p>
    <w:p>
      <w:pPr>
        <w:pStyle w:val="BodyText"/>
        <w:spacing w:before="2"/>
        <w:ind w:left="2194"/>
      </w:pPr>
      <w:r>
        <w:rPr>
          <w:spacing w:val="2"/>
        </w:rPr>
        <w:t>/institutional</w:t>
      </w:r>
      <w:r>
        <w:rPr>
          <w:spacing w:val="73"/>
          <w:w w:val="150"/>
        </w:rPr>
        <w:t> </w:t>
      </w:r>
      <w:r>
        <w:rPr>
          <w:spacing w:val="7"/>
        </w:rPr>
        <w:t>activities.</w:t>
      </w:r>
    </w:p>
    <w:p>
      <w:pPr>
        <w:pStyle w:val="BodyText"/>
        <w:jc w:val="left"/>
      </w:pPr>
    </w:p>
    <w:p>
      <w:pPr>
        <w:pStyle w:val="BodyText"/>
        <w:spacing w:before="199"/>
        <w:jc w:val="left"/>
      </w:pPr>
    </w:p>
    <w:p>
      <w:pPr>
        <w:pStyle w:val="BodyText"/>
        <w:spacing w:line="276" w:lineRule="auto"/>
        <w:ind w:left="2194" w:right="775" w:firstLine="691"/>
      </w:pPr>
      <w:r>
        <w:rPr/>
        <w:t>After payment of the penalty to the MCGM, which has sanctioned the building plans of the concerned medical/ educational/institutional,</w:t>
      </w:r>
      <w:r>
        <w:rPr>
          <w:spacing w:val="71"/>
        </w:rPr>
        <w:t>   </w:t>
      </w:r>
      <w:r>
        <w:rPr/>
        <w:t>the</w:t>
      </w:r>
      <w:r>
        <w:rPr>
          <w:spacing w:val="71"/>
        </w:rPr>
        <w:t>   </w:t>
      </w:r>
      <w:r>
        <w:rPr/>
        <w:t>said</w:t>
      </w:r>
      <w:r>
        <w:rPr>
          <w:spacing w:val="71"/>
        </w:rPr>
        <w:t>   </w:t>
      </w:r>
      <w:r>
        <w:rPr/>
        <w:t>medical/</w:t>
      </w:r>
      <w:r>
        <w:rPr>
          <w:spacing w:val="71"/>
        </w:rPr>
        <w:t>   </w:t>
      </w:r>
      <w:r>
        <w:rPr>
          <w:spacing w:val="7"/>
        </w:rPr>
        <w:t>educational</w:t>
      </w:r>
    </w:p>
    <w:p>
      <w:pPr>
        <w:pStyle w:val="BodyText"/>
        <w:spacing w:line="276" w:lineRule="auto" w:before="1"/>
        <w:ind w:left="2194" w:right="774"/>
      </w:pPr>
      <w:r>
        <w:rPr/>
        <w:t>/institution</w:t>
      </w:r>
      <w:r>
        <w:rPr>
          <w:spacing w:val="40"/>
        </w:rPr>
        <w:t> </w:t>
      </w:r>
      <w:r>
        <w:rPr/>
        <w:t>will</w:t>
      </w:r>
      <w:r>
        <w:rPr>
          <w:spacing w:val="40"/>
        </w:rPr>
        <w:t> </w:t>
      </w:r>
      <w:r>
        <w:rPr/>
        <w:t>restore</w:t>
      </w:r>
      <w:r>
        <w:rPr>
          <w:spacing w:val="40"/>
        </w:rPr>
        <w:t> </w:t>
      </w:r>
      <w:r>
        <w:rPr/>
        <w:t>the</w:t>
      </w:r>
      <w:r>
        <w:rPr>
          <w:spacing w:val="40"/>
        </w:rPr>
        <w:t> </w:t>
      </w:r>
      <w:r>
        <w:rPr/>
        <w:t>use</w:t>
      </w:r>
      <w:r>
        <w:rPr>
          <w:spacing w:val="40"/>
        </w:rPr>
        <w:t> </w:t>
      </w:r>
      <w:r>
        <w:rPr/>
        <w:t>of</w:t>
      </w:r>
      <w:r>
        <w:rPr>
          <w:spacing w:val="40"/>
        </w:rPr>
        <w:t> </w:t>
      </w:r>
      <w:r>
        <w:rPr/>
        <w:t>premises</w:t>
      </w:r>
      <w:r>
        <w:rPr>
          <w:spacing w:val="40"/>
        </w:rPr>
        <w:t> </w:t>
      </w:r>
      <w:r>
        <w:rPr/>
        <w:t>to</w:t>
      </w:r>
      <w:r>
        <w:rPr>
          <w:spacing w:val="40"/>
        </w:rPr>
        <w:t> </w:t>
      </w:r>
      <w:r>
        <w:rPr/>
        <w:t>the</w:t>
      </w:r>
      <w:r>
        <w:rPr>
          <w:spacing w:val="40"/>
        </w:rPr>
        <w:t> </w:t>
      </w:r>
      <w:r>
        <w:rPr/>
        <w:t>original</w:t>
      </w:r>
      <w:r>
        <w:rPr>
          <w:spacing w:val="80"/>
        </w:rPr>
        <w:t> </w:t>
      </w:r>
      <w:r>
        <w:rPr/>
        <w:t>purpose for which LOI/ Registration was granted.</w:t>
      </w:r>
      <w:r>
        <w:rPr>
          <w:spacing w:val="80"/>
        </w:rPr>
        <w:t> </w:t>
      </w:r>
      <w:r>
        <w:rPr/>
        <w:t>If the said medical/ educational/institutionl</w:t>
      </w:r>
      <w:r>
        <w:rPr>
          <w:spacing w:val="40"/>
        </w:rPr>
        <w:t> </w:t>
      </w:r>
      <w:r>
        <w:rPr/>
        <w:t>fails to pay penalty</w:t>
      </w:r>
      <w:r>
        <w:rPr>
          <w:spacing w:val="40"/>
        </w:rPr>
        <w:t> </w:t>
      </w:r>
      <w:r>
        <w:rPr/>
        <w:t>and / or restore the use to its original intended use, the MCGM will take suitable</w:t>
      </w:r>
      <w:r>
        <w:rPr>
          <w:spacing w:val="40"/>
        </w:rPr>
        <w:t> </w:t>
      </w:r>
      <w:r>
        <w:rPr/>
        <w:t>action</w:t>
      </w:r>
      <w:r>
        <w:rPr>
          <w:spacing w:val="40"/>
        </w:rPr>
        <w:t> </w:t>
      </w:r>
      <w:r>
        <w:rPr/>
        <w:t>under</w:t>
      </w:r>
      <w:r>
        <w:rPr>
          <w:spacing w:val="40"/>
        </w:rPr>
        <w:t> </w:t>
      </w:r>
      <w:r>
        <w:rPr/>
        <w:t>the</w:t>
      </w:r>
      <w:r>
        <w:rPr>
          <w:spacing w:val="40"/>
        </w:rPr>
        <w:t> </w:t>
      </w:r>
      <w:r>
        <w:rPr/>
        <w:t>Maharashtra</w:t>
      </w:r>
      <w:r>
        <w:rPr>
          <w:spacing w:val="40"/>
        </w:rPr>
        <w:t> </w:t>
      </w:r>
      <w:r>
        <w:rPr/>
        <w:t>Regional</w:t>
      </w:r>
      <w:r>
        <w:rPr>
          <w:spacing w:val="40"/>
        </w:rPr>
        <w:t> </w:t>
      </w:r>
      <w:r>
        <w:rPr/>
        <w:t>and</w:t>
      </w:r>
      <w:r>
        <w:rPr>
          <w:spacing w:val="40"/>
        </w:rPr>
        <w:t> </w:t>
      </w:r>
      <w:r>
        <w:rPr/>
        <w:t>Town Planning</w:t>
      </w:r>
      <w:r>
        <w:rPr>
          <w:spacing w:val="80"/>
          <w:w w:val="150"/>
        </w:rPr>
        <w:t> </w:t>
      </w:r>
      <w:r>
        <w:rPr/>
        <w:t>Act</w:t>
      </w:r>
      <w:r>
        <w:rPr>
          <w:spacing w:val="40"/>
        </w:rPr>
        <w:t> </w:t>
      </w:r>
      <w:r>
        <w:rPr/>
        <w:t>1966,</w:t>
      </w:r>
      <w:r>
        <w:rPr>
          <w:spacing w:val="80"/>
          <w:w w:val="150"/>
        </w:rPr>
        <w:t> </w:t>
      </w:r>
      <w:r>
        <w:rPr/>
        <w:t>against</w:t>
      </w:r>
      <w:r>
        <w:rPr>
          <w:spacing w:val="40"/>
        </w:rPr>
        <w:t> </w:t>
      </w:r>
      <w:r>
        <w:rPr/>
        <w:t>the</w:t>
      </w:r>
      <w:r>
        <w:rPr>
          <w:spacing w:val="40"/>
        </w:rPr>
        <w:t> </w:t>
      </w:r>
      <w:r>
        <w:rPr>
          <w:spacing w:val="9"/>
        </w:rPr>
        <w:t>concern.</w:t>
      </w:r>
    </w:p>
    <w:p>
      <w:pPr>
        <w:pStyle w:val="BodyText"/>
        <w:spacing w:line="278" w:lineRule="auto" w:before="201"/>
        <w:ind w:left="2194" w:right="838" w:firstLine="1649"/>
        <w:jc w:val="left"/>
      </w:pPr>
      <w:r>
        <w:rPr/>
        <w:t>These</w:t>
      </w:r>
      <w:r>
        <w:rPr>
          <w:spacing w:val="40"/>
        </w:rPr>
        <w:t> </w:t>
      </w:r>
      <w:r>
        <w:rPr/>
        <w:t>provisions</w:t>
      </w:r>
      <w:r>
        <w:rPr>
          <w:spacing w:val="40"/>
        </w:rPr>
        <w:t> </w:t>
      </w:r>
      <w:r>
        <w:rPr/>
        <w:t>will</w:t>
      </w:r>
      <w:r>
        <w:rPr>
          <w:spacing w:val="40"/>
        </w:rPr>
        <w:t> </w:t>
      </w:r>
      <w:r>
        <w:rPr/>
        <w:t>be</w:t>
      </w:r>
      <w:r>
        <w:rPr>
          <w:spacing w:val="40"/>
        </w:rPr>
        <w:t> </w:t>
      </w:r>
      <w:r>
        <w:rPr/>
        <w:t>over</w:t>
      </w:r>
      <w:r>
        <w:rPr>
          <w:spacing w:val="40"/>
        </w:rPr>
        <w:t> </w:t>
      </w:r>
      <w:r>
        <w:rPr/>
        <w:t>and</w:t>
      </w:r>
      <w:r>
        <w:rPr>
          <w:spacing w:val="40"/>
        </w:rPr>
        <w:t> </w:t>
      </w:r>
      <w:r>
        <w:rPr/>
        <w:t>above</w:t>
      </w:r>
      <w:r>
        <w:rPr>
          <w:spacing w:val="40"/>
        </w:rPr>
        <w:t> </w:t>
      </w:r>
      <w:r>
        <w:rPr>
          <w:spacing w:val="9"/>
        </w:rPr>
        <w:t>the</w:t>
      </w:r>
      <w:r>
        <w:rPr>
          <w:spacing w:val="40"/>
        </w:rPr>
        <w:t> </w:t>
      </w:r>
      <w:r>
        <w:rPr/>
        <w:t>penal provisions</w:t>
      </w:r>
      <w:r>
        <w:rPr>
          <w:spacing w:val="40"/>
        </w:rPr>
        <w:t> </w:t>
      </w:r>
      <w:r>
        <w:rPr/>
        <w:t>of</w:t>
      </w:r>
      <w:r>
        <w:rPr>
          <w:spacing w:val="40"/>
        </w:rPr>
        <w:t> </w:t>
      </w:r>
      <w:r>
        <w:rPr/>
        <w:t>the</w:t>
      </w:r>
      <w:r>
        <w:rPr>
          <w:spacing w:val="40"/>
        </w:rPr>
        <w:t> </w:t>
      </w:r>
      <w:r>
        <w:rPr/>
        <w:t>MRTP</w:t>
      </w:r>
      <w:r>
        <w:rPr>
          <w:spacing w:val="40"/>
        </w:rPr>
        <w:t> </w:t>
      </w:r>
      <w:r>
        <w:rPr/>
        <w:t>Act,</w:t>
      </w:r>
      <w:r>
        <w:rPr>
          <w:spacing w:val="40"/>
        </w:rPr>
        <w:t> </w:t>
      </w:r>
      <w:r>
        <w:rPr/>
        <w:t>1966.</w:t>
      </w:r>
    </w:p>
    <w:p>
      <w:pPr>
        <w:pStyle w:val="Heading6"/>
        <w:tabs>
          <w:tab w:pos="2781" w:val="left" w:leader="none"/>
        </w:tabs>
        <w:spacing w:before="194"/>
        <w:ind w:right="838"/>
      </w:pPr>
      <w:r>
        <w:rPr>
          <w:i w:val="0"/>
          <w:spacing w:val="-2"/>
        </w:rPr>
        <w:t>33(3)</w:t>
      </w:r>
      <w:r>
        <w:rPr>
          <w:i w:val="0"/>
        </w:rPr>
        <w:tab/>
      </w:r>
      <w:r>
        <w:rPr/>
        <w:t>Buildings of </w:t>
      </w:r>
      <w:r>
        <w:rPr>
          <w:spacing w:val="9"/>
        </w:rPr>
        <w:t>Government/MCGM/Statutory </w:t>
      </w:r>
      <w:r>
        <w:rPr/>
        <w:t>Bodies, Semi-</w:t>
      </w:r>
      <w:r>
        <w:rPr>
          <w:spacing w:val="80"/>
        </w:rPr>
        <w:t> </w:t>
      </w:r>
      <w:r>
        <w:rPr/>
        <w:t>Government</w:t>
      </w:r>
      <w:r>
        <w:rPr>
          <w:spacing w:val="40"/>
        </w:rPr>
        <w:t> </w:t>
      </w:r>
      <w:r>
        <w:rPr/>
        <w:t>and</w:t>
      </w:r>
      <w:r>
        <w:rPr>
          <w:spacing w:val="40"/>
        </w:rPr>
        <w:t> </w:t>
      </w:r>
      <w:r>
        <w:rPr/>
        <w:t>PSU</w:t>
      </w:r>
      <w:r>
        <w:rPr>
          <w:spacing w:val="40"/>
        </w:rPr>
        <w:t> </w:t>
      </w:r>
      <w:r>
        <w:rPr/>
        <w:t>Offices:</w:t>
      </w:r>
    </w:p>
    <w:p>
      <w:pPr>
        <w:pStyle w:val="BodyText"/>
        <w:spacing w:before="243"/>
        <w:ind w:left="2422" w:right="771"/>
      </w:pPr>
      <w:r>
        <w:rPr/>
        <w:t>The</w:t>
      </w:r>
      <w:r>
        <w:rPr>
          <w:spacing w:val="40"/>
        </w:rPr>
        <w:t> </w:t>
      </w:r>
      <w:r>
        <w:rPr>
          <w:spacing w:val="9"/>
        </w:rPr>
        <w:t>Commissioner,</w:t>
      </w:r>
      <w:r>
        <w:rPr>
          <w:spacing w:val="40"/>
        </w:rPr>
        <w:t> </w:t>
      </w:r>
      <w:r>
        <w:rPr/>
        <w:t>by</w:t>
      </w:r>
      <w:r>
        <w:rPr>
          <w:spacing w:val="40"/>
        </w:rPr>
        <w:t> </w:t>
      </w:r>
      <w:r>
        <w:rPr/>
        <w:t>special</w:t>
      </w:r>
      <w:r>
        <w:rPr>
          <w:spacing w:val="40"/>
        </w:rPr>
        <w:t> </w:t>
      </w:r>
      <w:r>
        <w:rPr/>
        <w:t>permission,</w:t>
      </w:r>
      <w:r>
        <w:rPr>
          <w:spacing w:val="40"/>
        </w:rPr>
        <w:t> </w:t>
      </w:r>
      <w:r>
        <w:rPr/>
        <w:t>may</w:t>
      </w:r>
      <w:r>
        <w:rPr>
          <w:spacing w:val="40"/>
        </w:rPr>
        <w:t> </w:t>
      </w:r>
      <w:r>
        <w:rPr/>
        <w:t>permit</w:t>
      </w:r>
      <w:r>
        <w:rPr>
          <w:spacing w:val="40"/>
        </w:rPr>
        <w:t> </w:t>
      </w:r>
      <w:r>
        <w:rPr/>
        <w:t>FSI</w:t>
      </w:r>
      <w:r>
        <w:rPr>
          <w:spacing w:val="80"/>
        </w:rPr>
        <w:t> </w:t>
      </w:r>
      <w:r>
        <w:rPr/>
        <w:t>up</w:t>
      </w:r>
      <w:r>
        <w:rPr>
          <w:spacing w:val="40"/>
        </w:rPr>
        <w:t> </w:t>
      </w:r>
      <w:r>
        <w:rPr/>
        <w:t>to 5 including Zonal (basic) FSI specified in Table No </w:t>
      </w:r>
      <w:r>
        <w:rPr>
          <w:spacing w:val="9"/>
        </w:rPr>
        <w:t>12foroffice </w:t>
      </w:r>
      <w:r>
        <w:rPr/>
        <w:t>use&amp;</w:t>
      </w:r>
      <w:r>
        <w:rPr>
          <w:spacing w:val="40"/>
        </w:rPr>
        <w:t> </w:t>
      </w:r>
      <w:r>
        <w:rPr/>
        <w:t>other</w:t>
      </w:r>
      <w:r>
        <w:rPr>
          <w:spacing w:val="80"/>
        </w:rPr>
        <w:t> </w:t>
      </w:r>
      <w:r>
        <w:rPr/>
        <w:t>allied</w:t>
      </w:r>
      <w:r>
        <w:rPr>
          <w:spacing w:val="80"/>
        </w:rPr>
        <w:t> </w:t>
      </w:r>
      <w:r>
        <w:rPr/>
        <w:t>purposes</w:t>
      </w:r>
      <w:r>
        <w:rPr>
          <w:spacing w:val="80"/>
        </w:rPr>
        <w:t> </w:t>
      </w:r>
      <w:r>
        <w:rPr/>
        <w:t>except</w:t>
      </w:r>
      <w:r>
        <w:rPr>
          <w:spacing w:val="40"/>
        </w:rPr>
        <w:t> </w:t>
      </w:r>
      <w:r>
        <w:rPr/>
        <w:t>residential</w:t>
      </w:r>
      <w:r>
        <w:rPr>
          <w:spacing w:val="80"/>
        </w:rPr>
        <w:t> </w:t>
      </w:r>
      <w:r>
        <w:rPr/>
        <w:t>use</w:t>
      </w:r>
      <w:r>
        <w:rPr>
          <w:spacing w:val="80"/>
        </w:rPr>
        <w:t> </w:t>
      </w:r>
      <w:r>
        <w:rPr/>
        <w:t>considering the specific requirement of Govt./MCGM and their Statutory Bodies,</w:t>
      </w:r>
      <w:r>
        <w:rPr>
          <w:spacing w:val="40"/>
        </w:rPr>
        <w:t> </w:t>
      </w:r>
      <w:r>
        <w:rPr/>
        <w:t>Semi</w:t>
      </w:r>
      <w:r>
        <w:rPr>
          <w:spacing w:val="40"/>
        </w:rPr>
        <w:t> </w:t>
      </w:r>
      <w:r>
        <w:rPr/>
        <w:t>Govt.</w:t>
      </w:r>
      <w:r>
        <w:rPr>
          <w:spacing w:val="40"/>
        </w:rPr>
        <w:t> </w:t>
      </w:r>
      <w:r>
        <w:rPr/>
        <w:t>and</w:t>
      </w:r>
      <w:r>
        <w:rPr>
          <w:spacing w:val="40"/>
        </w:rPr>
        <w:t> </w:t>
      </w:r>
      <w:r>
        <w:rPr/>
        <w:t>PSUs</w:t>
      </w:r>
      <w:r>
        <w:rPr>
          <w:spacing w:val="40"/>
        </w:rPr>
        <w:t> </w:t>
      </w:r>
      <w:r>
        <w:rPr/>
        <w:t>as</w:t>
      </w:r>
      <w:r>
        <w:rPr>
          <w:spacing w:val="40"/>
        </w:rPr>
        <w:t> </w:t>
      </w:r>
      <w:r>
        <w:rPr/>
        <w:t>detailed</w:t>
      </w:r>
      <w:r>
        <w:rPr>
          <w:spacing w:val="40"/>
        </w:rPr>
        <w:t> </w:t>
      </w:r>
      <w:r>
        <w:rPr/>
        <w:t>below:</w:t>
      </w:r>
    </w:p>
    <w:p>
      <w:pPr>
        <w:pStyle w:val="BodyText"/>
        <w:spacing w:before="6"/>
        <w:jc w:val="left"/>
        <w:rPr>
          <w:sz w:val="20"/>
        </w:rPr>
      </w:pPr>
    </w:p>
    <w:tbl>
      <w:tblPr>
        <w:tblW w:w="0" w:type="auto"/>
        <w:jc w:val="left"/>
        <w:tblInd w:w="2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7"/>
        <w:gridCol w:w="2785"/>
        <w:gridCol w:w="2244"/>
        <w:gridCol w:w="2187"/>
      </w:tblGrid>
      <w:tr>
        <w:trPr>
          <w:trHeight w:val="623" w:hRule="atLeast"/>
        </w:trPr>
        <w:tc>
          <w:tcPr>
            <w:tcW w:w="1097" w:type="dxa"/>
          </w:tcPr>
          <w:p>
            <w:pPr>
              <w:pStyle w:val="TableParagraph"/>
              <w:spacing w:before="40"/>
              <w:ind w:left="107"/>
              <w:rPr>
                <w:sz w:val="24"/>
              </w:rPr>
            </w:pPr>
            <w:r>
              <w:rPr>
                <w:sz w:val="24"/>
              </w:rPr>
              <w:t>Sr</w:t>
            </w:r>
            <w:r>
              <w:rPr>
                <w:spacing w:val="28"/>
                <w:sz w:val="24"/>
              </w:rPr>
              <w:t> </w:t>
            </w:r>
            <w:r>
              <w:rPr>
                <w:spacing w:val="-5"/>
                <w:sz w:val="24"/>
              </w:rPr>
              <w:t>No</w:t>
            </w:r>
          </w:p>
        </w:tc>
        <w:tc>
          <w:tcPr>
            <w:tcW w:w="2785" w:type="dxa"/>
          </w:tcPr>
          <w:p>
            <w:pPr>
              <w:pStyle w:val="TableParagraph"/>
              <w:rPr>
                <w:rFonts w:ascii="Times New Roman"/>
                <w:sz w:val="22"/>
              </w:rPr>
            </w:pPr>
          </w:p>
        </w:tc>
        <w:tc>
          <w:tcPr>
            <w:tcW w:w="2244" w:type="dxa"/>
          </w:tcPr>
          <w:p>
            <w:pPr>
              <w:pStyle w:val="TableParagraph"/>
              <w:ind w:left="107"/>
              <w:rPr>
                <w:sz w:val="24"/>
              </w:rPr>
            </w:pPr>
            <w:r>
              <w:rPr>
                <w:sz w:val="24"/>
              </w:rPr>
              <w:t>Minimum</w:t>
            </w:r>
            <w:r>
              <w:rPr>
                <w:spacing w:val="80"/>
                <w:sz w:val="24"/>
              </w:rPr>
              <w:t> </w:t>
            </w:r>
            <w:r>
              <w:rPr>
                <w:sz w:val="24"/>
              </w:rPr>
              <w:t>Road </w:t>
            </w:r>
            <w:r>
              <w:rPr>
                <w:spacing w:val="-2"/>
                <w:sz w:val="24"/>
              </w:rPr>
              <w:t>Width</w:t>
            </w:r>
          </w:p>
        </w:tc>
        <w:tc>
          <w:tcPr>
            <w:tcW w:w="2187" w:type="dxa"/>
          </w:tcPr>
          <w:p>
            <w:pPr>
              <w:pStyle w:val="TableParagraph"/>
              <w:ind w:left="107"/>
              <w:rPr>
                <w:sz w:val="24"/>
              </w:rPr>
            </w:pPr>
            <w:r>
              <w:rPr>
                <w:spacing w:val="-2"/>
                <w:sz w:val="24"/>
              </w:rPr>
              <w:t>Maximum </w:t>
            </w:r>
            <w:r>
              <w:rPr>
                <w:sz w:val="24"/>
              </w:rPr>
              <w:t>Permissible FSI</w:t>
            </w:r>
          </w:p>
        </w:tc>
      </w:tr>
      <w:tr>
        <w:trPr>
          <w:trHeight w:val="304" w:hRule="atLeast"/>
        </w:trPr>
        <w:tc>
          <w:tcPr>
            <w:tcW w:w="1097" w:type="dxa"/>
          </w:tcPr>
          <w:p>
            <w:pPr>
              <w:pStyle w:val="TableParagraph"/>
              <w:spacing w:line="273" w:lineRule="exact" w:before="11"/>
              <w:jc w:val="center"/>
              <w:rPr>
                <w:sz w:val="24"/>
              </w:rPr>
            </w:pPr>
            <w:r>
              <w:rPr>
                <w:spacing w:val="-10"/>
                <w:sz w:val="24"/>
              </w:rPr>
              <w:t>1</w:t>
            </w:r>
          </w:p>
        </w:tc>
        <w:tc>
          <w:tcPr>
            <w:tcW w:w="2785" w:type="dxa"/>
          </w:tcPr>
          <w:p>
            <w:pPr>
              <w:pStyle w:val="TableParagraph"/>
              <w:rPr>
                <w:rFonts w:ascii="Times New Roman"/>
                <w:sz w:val="22"/>
              </w:rPr>
            </w:pPr>
          </w:p>
        </w:tc>
        <w:tc>
          <w:tcPr>
            <w:tcW w:w="2244" w:type="dxa"/>
          </w:tcPr>
          <w:p>
            <w:pPr>
              <w:pStyle w:val="TableParagraph"/>
              <w:spacing w:line="281" w:lineRule="exact"/>
              <w:ind w:left="107"/>
              <w:rPr>
                <w:sz w:val="24"/>
              </w:rPr>
            </w:pPr>
            <w:r>
              <w:rPr>
                <w:spacing w:val="-5"/>
                <w:sz w:val="24"/>
              </w:rPr>
              <w:t>12m</w:t>
            </w:r>
          </w:p>
        </w:tc>
        <w:tc>
          <w:tcPr>
            <w:tcW w:w="2187" w:type="dxa"/>
          </w:tcPr>
          <w:p>
            <w:pPr>
              <w:pStyle w:val="TableParagraph"/>
              <w:spacing w:line="273" w:lineRule="exact" w:before="11"/>
              <w:jc w:val="center"/>
              <w:rPr>
                <w:sz w:val="24"/>
              </w:rPr>
            </w:pPr>
            <w:r>
              <w:rPr>
                <w:sz w:val="24"/>
              </w:rPr>
              <w:t>Up</w:t>
            </w:r>
            <w:r>
              <w:rPr>
                <w:spacing w:val="28"/>
                <w:sz w:val="24"/>
              </w:rPr>
              <w:t> </w:t>
            </w:r>
            <w:r>
              <w:rPr>
                <w:sz w:val="24"/>
              </w:rPr>
              <w:t>to</w:t>
            </w:r>
            <w:r>
              <w:rPr>
                <w:spacing w:val="28"/>
                <w:sz w:val="24"/>
              </w:rPr>
              <w:t> </w:t>
            </w:r>
            <w:r>
              <w:rPr>
                <w:spacing w:val="-10"/>
                <w:sz w:val="24"/>
              </w:rPr>
              <w:t>3</w:t>
            </w:r>
          </w:p>
        </w:tc>
      </w:tr>
      <w:tr>
        <w:trPr>
          <w:trHeight w:val="623" w:hRule="atLeast"/>
        </w:trPr>
        <w:tc>
          <w:tcPr>
            <w:tcW w:w="1097" w:type="dxa"/>
          </w:tcPr>
          <w:p>
            <w:pPr>
              <w:pStyle w:val="TableParagraph"/>
              <w:spacing w:before="169"/>
              <w:jc w:val="center"/>
              <w:rPr>
                <w:sz w:val="24"/>
              </w:rPr>
            </w:pPr>
            <w:r>
              <w:rPr>
                <w:spacing w:val="-10"/>
                <w:sz w:val="24"/>
              </w:rPr>
              <w:t>2</w:t>
            </w:r>
          </w:p>
        </w:tc>
        <w:tc>
          <w:tcPr>
            <w:tcW w:w="2785" w:type="dxa"/>
          </w:tcPr>
          <w:p>
            <w:pPr>
              <w:pStyle w:val="TableParagraph"/>
              <w:rPr>
                <w:rFonts w:ascii="Times New Roman"/>
                <w:sz w:val="22"/>
              </w:rPr>
            </w:pPr>
          </w:p>
        </w:tc>
        <w:tc>
          <w:tcPr>
            <w:tcW w:w="2244" w:type="dxa"/>
          </w:tcPr>
          <w:p>
            <w:pPr>
              <w:pStyle w:val="TableParagraph"/>
              <w:spacing w:line="281" w:lineRule="exact"/>
              <w:ind w:left="107"/>
              <w:rPr>
                <w:sz w:val="24"/>
              </w:rPr>
            </w:pPr>
            <w:r>
              <w:rPr>
                <w:spacing w:val="-5"/>
                <w:sz w:val="24"/>
              </w:rPr>
              <w:t>18m</w:t>
            </w:r>
          </w:p>
        </w:tc>
        <w:tc>
          <w:tcPr>
            <w:tcW w:w="2187" w:type="dxa"/>
          </w:tcPr>
          <w:p>
            <w:pPr>
              <w:pStyle w:val="TableParagraph"/>
              <w:spacing w:before="169"/>
              <w:jc w:val="center"/>
              <w:rPr>
                <w:sz w:val="24"/>
              </w:rPr>
            </w:pPr>
            <w:r>
              <w:rPr>
                <w:sz w:val="24"/>
              </w:rPr>
              <w:t>Up</w:t>
            </w:r>
            <w:r>
              <w:rPr>
                <w:spacing w:val="28"/>
                <w:sz w:val="24"/>
              </w:rPr>
              <w:t> </w:t>
            </w:r>
            <w:r>
              <w:rPr>
                <w:sz w:val="24"/>
              </w:rPr>
              <w:t>to</w:t>
            </w:r>
            <w:r>
              <w:rPr>
                <w:spacing w:val="28"/>
                <w:sz w:val="24"/>
              </w:rPr>
              <w:t> </w:t>
            </w:r>
            <w:r>
              <w:rPr>
                <w:spacing w:val="-10"/>
                <w:sz w:val="24"/>
              </w:rPr>
              <w:t>4</w:t>
            </w:r>
          </w:p>
        </w:tc>
      </w:tr>
      <w:tr>
        <w:trPr>
          <w:trHeight w:val="319" w:hRule="atLeast"/>
        </w:trPr>
        <w:tc>
          <w:tcPr>
            <w:tcW w:w="1097" w:type="dxa"/>
          </w:tcPr>
          <w:p>
            <w:pPr>
              <w:pStyle w:val="TableParagraph"/>
              <w:spacing w:line="280" w:lineRule="exact" w:before="19"/>
              <w:jc w:val="center"/>
              <w:rPr>
                <w:sz w:val="24"/>
              </w:rPr>
            </w:pPr>
            <w:r>
              <w:rPr>
                <w:spacing w:val="-10"/>
                <w:sz w:val="24"/>
              </w:rPr>
              <w:t>3</w:t>
            </w:r>
          </w:p>
        </w:tc>
        <w:tc>
          <w:tcPr>
            <w:tcW w:w="2785" w:type="dxa"/>
          </w:tcPr>
          <w:p>
            <w:pPr>
              <w:pStyle w:val="TableParagraph"/>
              <w:rPr>
                <w:rFonts w:ascii="Times New Roman"/>
                <w:sz w:val="22"/>
              </w:rPr>
            </w:pPr>
          </w:p>
        </w:tc>
        <w:tc>
          <w:tcPr>
            <w:tcW w:w="2244" w:type="dxa"/>
          </w:tcPr>
          <w:p>
            <w:pPr>
              <w:pStyle w:val="TableParagraph"/>
              <w:spacing w:line="281" w:lineRule="exact"/>
              <w:ind w:left="194"/>
              <w:rPr>
                <w:sz w:val="24"/>
              </w:rPr>
            </w:pPr>
            <w:r>
              <w:rPr>
                <w:spacing w:val="-5"/>
                <w:sz w:val="24"/>
              </w:rPr>
              <w:t>27m</w:t>
            </w:r>
          </w:p>
        </w:tc>
        <w:tc>
          <w:tcPr>
            <w:tcW w:w="2187" w:type="dxa"/>
          </w:tcPr>
          <w:p>
            <w:pPr>
              <w:pStyle w:val="TableParagraph"/>
              <w:spacing w:line="280" w:lineRule="exact" w:before="19"/>
              <w:jc w:val="center"/>
              <w:rPr>
                <w:sz w:val="24"/>
              </w:rPr>
            </w:pPr>
            <w:r>
              <w:rPr>
                <w:sz w:val="24"/>
              </w:rPr>
              <w:t>Up</w:t>
            </w:r>
            <w:r>
              <w:rPr>
                <w:spacing w:val="28"/>
                <w:sz w:val="24"/>
              </w:rPr>
              <w:t> </w:t>
            </w:r>
            <w:r>
              <w:rPr>
                <w:sz w:val="24"/>
              </w:rPr>
              <w:t>to</w:t>
            </w:r>
            <w:r>
              <w:rPr>
                <w:spacing w:val="28"/>
                <w:sz w:val="24"/>
              </w:rPr>
              <w:t> </w:t>
            </w:r>
            <w:r>
              <w:rPr>
                <w:spacing w:val="-10"/>
                <w:sz w:val="24"/>
              </w:rPr>
              <w:t>5</w:t>
            </w:r>
          </w:p>
        </w:tc>
      </w:tr>
    </w:tbl>
    <w:p>
      <w:pPr>
        <w:pStyle w:val="BodyText"/>
        <w:spacing w:before="242"/>
        <w:jc w:val="left"/>
      </w:pPr>
    </w:p>
    <w:p>
      <w:pPr>
        <w:pStyle w:val="BodyText"/>
        <w:ind w:left="2422" w:right="774"/>
      </w:pPr>
      <w:r>
        <w:rPr/>
        <w:t>Provided further that in case of Public Sector Undertaking the premium for FSI beyond Zonal (basic) FSI shall be payable as decided</w:t>
      </w:r>
      <w:r>
        <w:rPr>
          <w:spacing w:val="40"/>
        </w:rPr>
        <w:t> </w:t>
      </w:r>
      <w:r>
        <w:rPr/>
        <w:t>by</w:t>
      </w:r>
      <w:r>
        <w:rPr>
          <w:spacing w:val="40"/>
        </w:rPr>
        <w:t> </w:t>
      </w:r>
      <w:r>
        <w:rPr/>
        <w:t>Govt.</w:t>
      </w:r>
      <w:r>
        <w:rPr>
          <w:spacing w:val="40"/>
        </w:rPr>
        <w:t> </w:t>
      </w:r>
      <w:r>
        <w:rPr/>
        <w:t>from</w:t>
      </w:r>
      <w:r>
        <w:rPr>
          <w:spacing w:val="40"/>
        </w:rPr>
        <w:t> </w:t>
      </w:r>
      <w:r>
        <w:rPr/>
        <w:t>time</w:t>
      </w:r>
      <w:r>
        <w:rPr>
          <w:spacing w:val="40"/>
        </w:rPr>
        <w:t> </w:t>
      </w:r>
      <w:r>
        <w:rPr/>
        <w:t>to</w:t>
      </w:r>
      <w:r>
        <w:rPr>
          <w:spacing w:val="40"/>
        </w:rPr>
        <w:t> </w:t>
      </w:r>
      <w:r>
        <w:rPr/>
        <w:t>time.</w:t>
      </w:r>
    </w:p>
    <w:p>
      <w:pPr>
        <w:pStyle w:val="BodyText"/>
        <w:spacing w:before="240"/>
        <w:ind w:left="2422" w:right="782"/>
      </w:pPr>
      <w:r>
        <w:rPr/>
        <w:t>Premium</w:t>
      </w:r>
      <w:r>
        <w:rPr>
          <w:spacing w:val="40"/>
        </w:rPr>
        <w:t> </w:t>
      </w:r>
      <w:r>
        <w:rPr/>
        <w:t>shall</w:t>
      </w:r>
      <w:r>
        <w:rPr>
          <w:spacing w:val="40"/>
        </w:rPr>
        <w:t> </w:t>
      </w:r>
      <w:r>
        <w:rPr/>
        <w:t>be</w:t>
      </w:r>
      <w:r>
        <w:rPr>
          <w:spacing w:val="40"/>
        </w:rPr>
        <w:t> </w:t>
      </w:r>
      <w:r>
        <w:rPr/>
        <w:t>applicable</w:t>
      </w:r>
      <w:r>
        <w:rPr>
          <w:spacing w:val="40"/>
        </w:rPr>
        <w:t> </w:t>
      </w:r>
      <w:r>
        <w:rPr/>
        <w:t>for</w:t>
      </w:r>
      <w:r>
        <w:rPr>
          <w:spacing w:val="40"/>
        </w:rPr>
        <w:t> </w:t>
      </w:r>
      <w:r>
        <w:rPr/>
        <w:t>BUA</w:t>
      </w:r>
      <w:r>
        <w:rPr>
          <w:spacing w:val="40"/>
        </w:rPr>
        <w:t> </w:t>
      </w:r>
      <w:r>
        <w:rPr/>
        <w:t>in</w:t>
      </w:r>
      <w:r>
        <w:rPr>
          <w:spacing w:val="40"/>
        </w:rPr>
        <w:t> </w:t>
      </w:r>
      <w:r>
        <w:rPr/>
        <w:t>lieu</w:t>
      </w:r>
      <w:r>
        <w:rPr>
          <w:spacing w:val="40"/>
        </w:rPr>
        <w:t> </w:t>
      </w:r>
      <w:r>
        <w:rPr/>
        <w:t>of</w:t>
      </w:r>
      <w:r>
        <w:rPr>
          <w:spacing w:val="40"/>
        </w:rPr>
        <w:t> </w:t>
      </w:r>
      <w:r>
        <w:rPr/>
        <w:t>additional</w:t>
      </w:r>
      <w:r>
        <w:rPr>
          <w:spacing w:val="40"/>
        </w:rPr>
        <w:t> </w:t>
      </w:r>
      <w:r>
        <w:rPr/>
        <w:t>FSI</w:t>
      </w:r>
      <w:r>
        <w:rPr>
          <w:spacing w:val="40"/>
        </w:rPr>
        <w:t> </w:t>
      </w:r>
      <w:r>
        <w:rPr/>
        <w:t>at the</w:t>
      </w:r>
      <w:r>
        <w:rPr>
          <w:spacing w:val="15"/>
        </w:rPr>
        <w:t> </w:t>
      </w:r>
      <w:r>
        <w:rPr/>
        <w:t>rate</w:t>
      </w:r>
      <w:r>
        <w:rPr>
          <w:spacing w:val="17"/>
        </w:rPr>
        <w:t> </w:t>
      </w:r>
      <w:r>
        <w:rPr/>
        <w:t>of</w:t>
      </w:r>
      <w:r>
        <w:rPr>
          <w:spacing w:val="17"/>
        </w:rPr>
        <w:t> </w:t>
      </w:r>
      <w:r>
        <w:rPr/>
        <w:t>50%</w:t>
      </w:r>
      <w:r>
        <w:rPr>
          <w:spacing w:val="21"/>
        </w:rPr>
        <w:t> </w:t>
      </w:r>
      <w:r>
        <w:rPr/>
        <w:t>of</w:t>
      </w:r>
      <w:r>
        <w:rPr>
          <w:spacing w:val="20"/>
        </w:rPr>
        <w:t> </w:t>
      </w:r>
      <w:r>
        <w:rPr/>
        <w:t>ASR</w:t>
      </w:r>
      <w:r>
        <w:rPr>
          <w:spacing w:val="17"/>
        </w:rPr>
        <w:t> </w:t>
      </w:r>
      <w:r>
        <w:rPr/>
        <w:t>of</w:t>
      </w:r>
      <w:r>
        <w:rPr>
          <w:spacing w:val="20"/>
        </w:rPr>
        <w:t> </w:t>
      </w:r>
      <w:r>
        <w:rPr/>
        <w:t>developed</w:t>
      </w:r>
      <w:r>
        <w:rPr>
          <w:spacing w:val="20"/>
        </w:rPr>
        <w:t> </w:t>
      </w:r>
      <w:r>
        <w:rPr/>
        <w:t>land</w:t>
      </w:r>
      <w:r>
        <w:rPr>
          <w:spacing w:val="17"/>
        </w:rPr>
        <w:t> </w:t>
      </w:r>
      <w:r>
        <w:rPr/>
        <w:t>(for</w:t>
      </w:r>
      <w:r>
        <w:rPr>
          <w:spacing w:val="20"/>
        </w:rPr>
        <w:t> </w:t>
      </w:r>
      <w:r>
        <w:rPr/>
        <w:t>FSI</w:t>
      </w:r>
      <w:r>
        <w:rPr>
          <w:spacing w:val="19"/>
        </w:rPr>
        <w:t> </w:t>
      </w:r>
      <w:r>
        <w:rPr/>
        <w:t>1)</w:t>
      </w:r>
      <w:r>
        <w:rPr>
          <w:spacing w:val="20"/>
        </w:rPr>
        <w:t> </w:t>
      </w:r>
      <w:r>
        <w:rPr/>
        <w:t>or</w:t>
      </w:r>
      <w:r>
        <w:rPr>
          <w:spacing w:val="31"/>
        </w:rPr>
        <w:t> </w:t>
      </w:r>
      <w:r>
        <w:rPr/>
        <w:t>as</w:t>
      </w:r>
      <w:r>
        <w:rPr>
          <w:spacing w:val="22"/>
        </w:rPr>
        <w:t> </w:t>
      </w:r>
      <w:r>
        <w:rPr>
          <w:spacing w:val="-2"/>
        </w:rPr>
        <w:t>decided</w:t>
      </w:r>
    </w:p>
    <w:p>
      <w:pPr>
        <w:pStyle w:val="BodyText"/>
        <w:spacing w:after="0"/>
        <w:sectPr>
          <w:pgSz w:w="11910" w:h="16840"/>
          <w:pgMar w:header="1065" w:footer="1194" w:top="1500" w:bottom="1380" w:left="360" w:right="360"/>
        </w:sectPr>
      </w:pPr>
    </w:p>
    <w:p>
      <w:pPr>
        <w:pStyle w:val="BodyText"/>
        <w:spacing w:before="249"/>
        <w:ind w:left="2422" w:right="784"/>
      </w:pPr>
      <w:r>
        <w:rPr/>
        <w:t>by</w:t>
      </w:r>
      <w:r>
        <w:rPr>
          <w:spacing w:val="40"/>
        </w:rPr>
        <w:t> </w:t>
      </w:r>
      <w:r>
        <w:rPr/>
        <w:t>the</w:t>
      </w:r>
      <w:r>
        <w:rPr>
          <w:spacing w:val="40"/>
        </w:rPr>
        <w:t> </w:t>
      </w:r>
      <w:r>
        <w:rPr/>
        <w:t>Government</w:t>
      </w:r>
      <w:r>
        <w:rPr>
          <w:spacing w:val="40"/>
        </w:rPr>
        <w:t> </w:t>
      </w:r>
      <w:r>
        <w:rPr/>
        <w:t>from</w:t>
      </w:r>
      <w:r>
        <w:rPr>
          <w:spacing w:val="40"/>
        </w:rPr>
        <w:t> </w:t>
      </w:r>
      <w:r>
        <w:rPr/>
        <w:t>time</w:t>
      </w:r>
      <w:r>
        <w:rPr>
          <w:spacing w:val="40"/>
        </w:rPr>
        <w:t> </w:t>
      </w:r>
      <w:r>
        <w:rPr/>
        <w:t>to</w:t>
      </w:r>
      <w:r>
        <w:rPr>
          <w:spacing w:val="40"/>
        </w:rPr>
        <w:t> </w:t>
      </w:r>
      <w:r>
        <w:rPr/>
        <w:t>time,</w:t>
      </w:r>
      <w:r>
        <w:rPr>
          <w:spacing w:val="40"/>
        </w:rPr>
        <w:t> </w:t>
      </w:r>
      <w:r>
        <w:rPr/>
        <w:t>except</w:t>
      </w:r>
      <w:r>
        <w:rPr>
          <w:spacing w:val="40"/>
        </w:rPr>
        <w:t> </w:t>
      </w:r>
      <w:r>
        <w:rPr/>
        <w:t>for</w:t>
      </w:r>
      <w:r>
        <w:rPr>
          <w:spacing w:val="40"/>
        </w:rPr>
        <w:t> </w:t>
      </w:r>
      <w:r>
        <w:rPr/>
        <w:t>the</w:t>
      </w:r>
      <w:r>
        <w:rPr>
          <w:spacing w:val="40"/>
        </w:rPr>
        <w:t> </w:t>
      </w:r>
      <w:r>
        <w:rPr/>
        <w:t>development</w:t>
      </w:r>
      <w:r>
        <w:rPr>
          <w:spacing w:val="40"/>
        </w:rPr>
        <w:t> </w:t>
      </w:r>
      <w:r>
        <w:rPr/>
        <w:t>by</w:t>
      </w:r>
      <w:r>
        <w:rPr>
          <w:spacing w:val="40"/>
        </w:rPr>
        <w:t> </w:t>
      </w:r>
      <w:r>
        <w:rPr/>
        <w:t>State</w:t>
      </w:r>
      <w:r>
        <w:rPr>
          <w:spacing w:val="40"/>
        </w:rPr>
        <w:t> </w:t>
      </w:r>
      <w:r>
        <w:rPr/>
        <w:t>Government</w:t>
      </w:r>
      <w:r>
        <w:rPr>
          <w:spacing w:val="40"/>
        </w:rPr>
        <w:t> </w:t>
      </w:r>
      <w:r>
        <w:rPr/>
        <w:t>&amp;</w:t>
      </w:r>
      <w:r>
        <w:rPr>
          <w:spacing w:val="40"/>
        </w:rPr>
        <w:t> </w:t>
      </w:r>
      <w:r>
        <w:rPr/>
        <w:t>MCGM</w:t>
      </w:r>
      <w:r>
        <w:rPr>
          <w:spacing w:val="40"/>
        </w:rPr>
        <w:t> </w:t>
      </w:r>
      <w:r>
        <w:rPr/>
        <w:t>.</w:t>
      </w:r>
    </w:p>
    <w:p>
      <w:pPr>
        <w:pStyle w:val="Heading6"/>
        <w:spacing w:before="238"/>
        <w:ind w:left="2602" w:right="766" w:hanging="540"/>
        <w:jc w:val="both"/>
      </w:pPr>
      <w:r>
        <w:rPr>
          <w:i w:val="0"/>
        </w:rPr>
        <w:t>33(3) </w:t>
      </w:r>
      <w:r>
        <w:rPr/>
        <w:t>(A) Development/Redevelopment for construction of staff quarters of Govt. or its statutory bodies (including CISF) or MCGM or its statutory bodies, on lands belonging to such Public Authorities:</w:t>
      </w:r>
    </w:p>
    <w:p>
      <w:pPr>
        <w:pStyle w:val="ListParagraph"/>
        <w:numPr>
          <w:ilvl w:val="1"/>
          <w:numId w:val="136"/>
        </w:numPr>
        <w:tabs>
          <w:tab w:pos="2661" w:val="left" w:leader="none"/>
        </w:tabs>
        <w:spacing w:line="240" w:lineRule="auto" w:before="244" w:after="0"/>
        <w:ind w:left="2422" w:right="779" w:firstLine="0"/>
        <w:jc w:val="both"/>
        <w:rPr>
          <w:b/>
          <w:sz w:val="22"/>
        </w:rPr>
      </w:pPr>
      <w:r>
        <w:rPr>
          <w:b/>
          <w:sz w:val="24"/>
          <w:u w:val="single"/>
        </w:rPr>
        <w:t>The Commissioner may permit FSI up to 4 including Zonal</w:t>
      </w:r>
      <w:r>
        <w:rPr>
          <w:b/>
          <w:sz w:val="24"/>
        </w:rPr>
        <w:t> </w:t>
      </w:r>
      <w:r>
        <w:rPr>
          <w:b/>
          <w:sz w:val="24"/>
          <w:u w:val="single"/>
        </w:rPr>
        <w:t>(basic) FSI specified in Table No </w:t>
      </w:r>
      <w:r>
        <w:rPr>
          <w:b/>
          <w:spacing w:val="9"/>
          <w:sz w:val="24"/>
          <w:u w:val="single"/>
        </w:rPr>
        <w:t>12on </w:t>
      </w:r>
      <w:r>
        <w:rPr>
          <w:b/>
          <w:sz w:val="24"/>
          <w:u w:val="single"/>
        </w:rPr>
        <w:t>the gross plot area,</w:t>
      </w:r>
      <w:r>
        <w:rPr>
          <w:b/>
          <w:sz w:val="24"/>
        </w:rPr>
        <w:t> </w:t>
      </w:r>
      <w:r>
        <w:rPr>
          <w:b/>
          <w:sz w:val="24"/>
          <w:u w:val="single"/>
        </w:rPr>
        <w:t>abutting</w:t>
      </w:r>
      <w:r>
        <w:rPr>
          <w:b/>
          <w:spacing w:val="40"/>
          <w:sz w:val="24"/>
          <w:u w:val="single"/>
        </w:rPr>
        <w:t> </w:t>
      </w:r>
      <w:r>
        <w:rPr>
          <w:b/>
          <w:sz w:val="24"/>
          <w:u w:val="single"/>
        </w:rPr>
        <w:t>a</w:t>
      </w:r>
      <w:r>
        <w:rPr>
          <w:b/>
          <w:spacing w:val="40"/>
          <w:sz w:val="24"/>
          <w:u w:val="single"/>
        </w:rPr>
        <w:t> </w:t>
      </w:r>
      <w:r>
        <w:rPr>
          <w:b/>
          <w:sz w:val="24"/>
          <w:u w:val="single"/>
        </w:rPr>
        <w:t>road</w:t>
      </w:r>
      <w:r>
        <w:rPr>
          <w:b/>
          <w:spacing w:val="40"/>
          <w:sz w:val="24"/>
          <w:u w:val="single"/>
        </w:rPr>
        <w:t> </w:t>
      </w:r>
      <w:r>
        <w:rPr>
          <w:b/>
          <w:sz w:val="24"/>
          <w:u w:val="single"/>
        </w:rPr>
        <w:t>having</w:t>
      </w:r>
      <w:r>
        <w:rPr>
          <w:b/>
          <w:spacing w:val="40"/>
          <w:sz w:val="24"/>
          <w:u w:val="single"/>
        </w:rPr>
        <w:t> </w:t>
      </w:r>
      <w:r>
        <w:rPr>
          <w:b/>
          <w:sz w:val="24"/>
          <w:u w:val="single"/>
        </w:rPr>
        <w:t>minimum</w:t>
      </w:r>
      <w:r>
        <w:rPr>
          <w:b/>
          <w:spacing w:val="40"/>
          <w:sz w:val="24"/>
          <w:u w:val="single"/>
        </w:rPr>
        <w:t> </w:t>
      </w:r>
      <w:r>
        <w:rPr>
          <w:b/>
          <w:sz w:val="24"/>
          <w:u w:val="single"/>
        </w:rPr>
        <w:t>width</w:t>
      </w:r>
      <w:r>
        <w:rPr>
          <w:b/>
          <w:spacing w:val="40"/>
          <w:sz w:val="24"/>
          <w:u w:val="single"/>
        </w:rPr>
        <w:t> </w:t>
      </w:r>
      <w:r>
        <w:rPr>
          <w:b/>
          <w:sz w:val="24"/>
          <w:u w:val="single"/>
        </w:rPr>
        <w:t>of</w:t>
      </w:r>
      <w:r>
        <w:rPr>
          <w:b/>
          <w:spacing w:val="40"/>
          <w:sz w:val="24"/>
          <w:u w:val="single"/>
        </w:rPr>
        <w:t> </w:t>
      </w:r>
      <w:r>
        <w:rPr>
          <w:b/>
          <w:sz w:val="24"/>
          <w:u w:val="single"/>
        </w:rPr>
        <w:t>12</w:t>
      </w:r>
      <w:r>
        <w:rPr>
          <w:b/>
          <w:spacing w:val="40"/>
          <w:sz w:val="24"/>
          <w:u w:val="single"/>
        </w:rPr>
        <w:t> </w:t>
      </w:r>
      <w:r>
        <w:rPr>
          <w:b/>
          <w:sz w:val="24"/>
          <w:u w:val="single"/>
        </w:rPr>
        <w:t>m,</w:t>
      </w:r>
      <w:r>
        <w:rPr>
          <w:b/>
          <w:spacing w:val="40"/>
          <w:sz w:val="24"/>
          <w:u w:val="single"/>
        </w:rPr>
        <w:t> </w:t>
      </w:r>
      <w:r>
        <w:rPr>
          <w:b/>
          <w:sz w:val="24"/>
          <w:u w:val="single"/>
        </w:rPr>
        <w:t>solely</w:t>
      </w:r>
      <w:r>
        <w:rPr>
          <w:b/>
          <w:spacing w:val="40"/>
          <w:sz w:val="24"/>
          <w:u w:val="single"/>
        </w:rPr>
        <w:t> </w:t>
      </w:r>
      <w:r>
        <w:rPr>
          <w:b/>
          <w:sz w:val="24"/>
          <w:u w:val="single"/>
        </w:rPr>
        <w:t>for</w:t>
      </w:r>
      <w:r>
        <w:rPr>
          <w:b/>
          <w:sz w:val="24"/>
        </w:rPr>
        <w:t> </w:t>
      </w:r>
      <w:r>
        <w:rPr>
          <w:b/>
          <w:sz w:val="24"/>
          <w:u w:val="single"/>
        </w:rPr>
        <w:t>the project</w:t>
      </w:r>
      <w:r>
        <w:rPr>
          <w:b/>
          <w:spacing w:val="40"/>
          <w:sz w:val="24"/>
          <w:u w:val="single"/>
        </w:rPr>
        <w:t> </w:t>
      </w:r>
      <w:r>
        <w:rPr>
          <w:b/>
          <w:sz w:val="24"/>
          <w:u w:val="single"/>
        </w:rPr>
        <w:t>of construction of staff </w:t>
      </w:r>
      <w:r>
        <w:rPr>
          <w:b/>
          <w:spacing w:val="9"/>
          <w:sz w:val="24"/>
          <w:u w:val="single"/>
        </w:rPr>
        <w:t>quarters</w:t>
      </w:r>
      <w:r>
        <w:rPr>
          <w:b/>
          <w:spacing w:val="9"/>
          <w:sz w:val="24"/>
          <w:u w:val="single"/>
        </w:rPr>
        <w:t> </w:t>
      </w:r>
      <w:r>
        <w:rPr>
          <w:b/>
          <w:sz w:val="24"/>
          <w:u w:val="single"/>
        </w:rPr>
        <w:t>(hereinafter</w:t>
      </w:r>
      <w:r>
        <w:rPr>
          <w:b/>
          <w:sz w:val="24"/>
        </w:rPr>
        <w:t> </w:t>
      </w:r>
      <w:r>
        <w:rPr>
          <w:b/>
          <w:sz w:val="24"/>
          <w:u w:val="single"/>
        </w:rPr>
        <w:t>referred to as “staff quarters </w:t>
      </w:r>
      <w:r>
        <w:rPr>
          <w:b/>
          <w:spacing w:val="9"/>
          <w:sz w:val="24"/>
          <w:u w:val="single"/>
        </w:rPr>
        <w:t>project”) </w:t>
      </w:r>
      <w:r>
        <w:rPr>
          <w:b/>
          <w:sz w:val="24"/>
          <w:u w:val="single"/>
        </w:rPr>
        <w:t>for the employees of</w:t>
      </w:r>
      <w:r>
        <w:rPr>
          <w:b/>
          <w:spacing w:val="80"/>
          <w:sz w:val="24"/>
        </w:rPr>
        <w:t> </w:t>
      </w:r>
      <w:r>
        <w:rPr>
          <w:b/>
          <w:sz w:val="24"/>
          <w:u w:val="single"/>
        </w:rPr>
        <w:t>the Govt./MCGM, or their statutory bodies (hereinafter</w:t>
      </w:r>
      <w:r>
        <w:rPr>
          <w:b/>
          <w:sz w:val="24"/>
        </w:rPr>
        <w:t> </w:t>
      </w:r>
      <w:r>
        <w:rPr>
          <w:b/>
          <w:sz w:val="24"/>
          <w:u w:val="single"/>
        </w:rPr>
        <w:t>collectively</w:t>
      </w:r>
      <w:r>
        <w:rPr>
          <w:b/>
          <w:spacing w:val="40"/>
          <w:sz w:val="24"/>
          <w:u w:val="single"/>
        </w:rPr>
        <w:t> </w:t>
      </w:r>
      <w:r>
        <w:rPr>
          <w:b/>
          <w:sz w:val="24"/>
          <w:u w:val="single"/>
        </w:rPr>
        <w:t>referred</w:t>
      </w:r>
      <w:r>
        <w:rPr>
          <w:b/>
          <w:spacing w:val="40"/>
          <w:sz w:val="24"/>
          <w:u w:val="single"/>
        </w:rPr>
        <w:t> </w:t>
      </w:r>
      <w:r>
        <w:rPr>
          <w:b/>
          <w:sz w:val="24"/>
          <w:u w:val="single"/>
        </w:rPr>
        <w:t>to</w:t>
      </w:r>
      <w:r>
        <w:rPr>
          <w:b/>
          <w:spacing w:val="40"/>
          <w:sz w:val="24"/>
          <w:u w:val="single"/>
        </w:rPr>
        <w:t> </w:t>
      </w:r>
      <w:r>
        <w:rPr>
          <w:b/>
          <w:sz w:val="24"/>
          <w:u w:val="single"/>
        </w:rPr>
        <w:t>as</w:t>
      </w:r>
      <w:r>
        <w:rPr>
          <w:b/>
          <w:spacing w:val="80"/>
          <w:w w:val="150"/>
          <w:sz w:val="24"/>
          <w:u w:val="single"/>
        </w:rPr>
        <w:t> </w:t>
      </w:r>
      <w:r>
        <w:rPr>
          <w:b/>
          <w:sz w:val="24"/>
          <w:u w:val="single"/>
        </w:rPr>
        <w:t>“User</w:t>
      </w:r>
      <w:r>
        <w:rPr>
          <w:b/>
          <w:spacing w:val="40"/>
          <w:sz w:val="24"/>
          <w:u w:val="single"/>
        </w:rPr>
        <w:t> </w:t>
      </w:r>
      <w:r>
        <w:rPr>
          <w:b/>
          <w:sz w:val="24"/>
          <w:u w:val="single"/>
        </w:rPr>
        <w:t>Authority”)</w:t>
      </w:r>
      <w:r>
        <w:rPr>
          <w:b/>
          <w:spacing w:val="40"/>
          <w:sz w:val="24"/>
          <w:u w:val="single"/>
        </w:rPr>
        <w:t> </w:t>
      </w:r>
      <w:r>
        <w:rPr>
          <w:b/>
          <w:sz w:val="24"/>
          <w:u w:val="single"/>
        </w:rPr>
        <w:t>on</w:t>
      </w:r>
      <w:r>
        <w:rPr>
          <w:b/>
          <w:spacing w:val="40"/>
          <w:sz w:val="24"/>
          <w:u w:val="single"/>
        </w:rPr>
        <w:t> </w:t>
      </w:r>
      <w:r>
        <w:rPr>
          <w:b/>
          <w:sz w:val="24"/>
          <w:u w:val="single"/>
        </w:rPr>
        <w:t>land</w:t>
      </w:r>
      <w:r>
        <w:rPr>
          <w:b/>
          <w:sz w:val="24"/>
        </w:rPr>
        <w:t> </w:t>
      </w:r>
      <w:r>
        <w:rPr>
          <w:b/>
          <w:sz w:val="24"/>
          <w:u w:val="single"/>
        </w:rPr>
        <w:t>belonging to such User Authority, by the Public Works</w:t>
      </w:r>
      <w:r>
        <w:rPr>
          <w:b/>
          <w:sz w:val="24"/>
        </w:rPr>
        <w:t> </w:t>
      </w:r>
      <w:r>
        <w:rPr>
          <w:b/>
          <w:sz w:val="24"/>
          <w:u w:val="single"/>
        </w:rPr>
        <w:t>Department of the GoM or MHADA or Maharashtra Police</w:t>
      </w:r>
      <w:r>
        <w:rPr>
          <w:b/>
          <w:sz w:val="24"/>
        </w:rPr>
        <w:t> </w:t>
      </w:r>
      <w:r>
        <w:rPr>
          <w:b/>
          <w:sz w:val="24"/>
          <w:u w:val="single"/>
        </w:rPr>
        <w:t>Housing Corporation or MCGM or its statutory bodies or any</w:t>
      </w:r>
      <w:r>
        <w:rPr>
          <w:b/>
          <w:sz w:val="24"/>
        </w:rPr>
        <w:t> </w:t>
      </w:r>
      <w:r>
        <w:rPr>
          <w:b/>
          <w:sz w:val="24"/>
          <w:u w:val="single"/>
        </w:rPr>
        <w:t>other</w:t>
      </w:r>
      <w:r>
        <w:rPr>
          <w:b/>
          <w:spacing w:val="40"/>
          <w:sz w:val="24"/>
          <w:u w:val="single"/>
        </w:rPr>
        <w:t>  </w:t>
      </w:r>
      <w:r>
        <w:rPr>
          <w:b/>
          <w:sz w:val="24"/>
          <w:u w:val="single"/>
        </w:rPr>
        <w:t>Agency</w:t>
      </w:r>
      <w:r>
        <w:rPr>
          <w:b/>
          <w:spacing w:val="40"/>
          <w:sz w:val="24"/>
          <w:u w:val="single"/>
        </w:rPr>
        <w:t> </w:t>
      </w:r>
      <w:r>
        <w:rPr>
          <w:b/>
          <w:sz w:val="24"/>
          <w:u w:val="single"/>
        </w:rPr>
        <w:t>nominated</w:t>
      </w:r>
      <w:r>
        <w:rPr>
          <w:b/>
          <w:spacing w:val="40"/>
          <w:sz w:val="24"/>
          <w:u w:val="single"/>
        </w:rPr>
        <w:t> </w:t>
      </w:r>
      <w:r>
        <w:rPr>
          <w:b/>
          <w:sz w:val="24"/>
          <w:u w:val="single"/>
        </w:rPr>
        <w:t>by</w:t>
      </w:r>
      <w:r>
        <w:rPr>
          <w:b/>
          <w:spacing w:val="40"/>
          <w:sz w:val="24"/>
          <w:u w:val="single"/>
        </w:rPr>
        <w:t> </w:t>
      </w:r>
      <w:r>
        <w:rPr>
          <w:b/>
          <w:sz w:val="24"/>
          <w:u w:val="single"/>
        </w:rPr>
        <w:t>the</w:t>
      </w:r>
      <w:r>
        <w:rPr>
          <w:b/>
          <w:spacing w:val="40"/>
          <w:sz w:val="24"/>
          <w:u w:val="single"/>
        </w:rPr>
        <w:t> </w:t>
      </w:r>
      <w:r>
        <w:rPr>
          <w:b/>
          <w:sz w:val="24"/>
          <w:u w:val="single"/>
        </w:rPr>
        <w:t>Govt.</w:t>
      </w:r>
      <w:r>
        <w:rPr>
          <w:b/>
          <w:spacing w:val="40"/>
          <w:sz w:val="24"/>
          <w:u w:val="single"/>
        </w:rPr>
        <w:t> </w:t>
      </w:r>
      <w:r>
        <w:rPr>
          <w:b/>
          <w:sz w:val="24"/>
          <w:u w:val="single"/>
        </w:rPr>
        <w:t>for</w:t>
      </w:r>
      <w:r>
        <w:rPr>
          <w:b/>
          <w:spacing w:val="40"/>
          <w:sz w:val="24"/>
          <w:u w:val="single"/>
        </w:rPr>
        <w:t> </w:t>
      </w:r>
      <w:r>
        <w:rPr>
          <w:b/>
          <w:sz w:val="24"/>
          <w:u w:val="single"/>
        </w:rPr>
        <w:t>this</w:t>
      </w:r>
      <w:r>
        <w:rPr>
          <w:b/>
          <w:spacing w:val="40"/>
          <w:sz w:val="24"/>
          <w:u w:val="single"/>
        </w:rPr>
        <w:t> </w:t>
      </w:r>
      <w:r>
        <w:rPr>
          <w:b/>
          <w:sz w:val="24"/>
          <w:u w:val="single"/>
        </w:rPr>
        <w:t>purpose</w:t>
      </w:r>
      <w:r>
        <w:rPr>
          <w:b/>
          <w:sz w:val="24"/>
        </w:rPr>
        <w:t> </w:t>
      </w:r>
      <w:r>
        <w:rPr>
          <w:b/>
          <w:sz w:val="24"/>
          <w:u w:val="single"/>
        </w:rPr>
        <w:t>which</w:t>
      </w:r>
      <w:r>
        <w:rPr>
          <w:b/>
          <w:spacing w:val="40"/>
          <w:sz w:val="24"/>
          <w:u w:val="single"/>
        </w:rPr>
        <w:t> </w:t>
      </w:r>
      <w:r>
        <w:rPr>
          <w:b/>
          <w:sz w:val="24"/>
          <w:u w:val="single"/>
        </w:rPr>
        <w:t>would</w:t>
      </w:r>
      <w:r>
        <w:rPr>
          <w:b/>
          <w:spacing w:val="40"/>
          <w:sz w:val="24"/>
          <w:u w:val="single"/>
        </w:rPr>
        <w:t> </w:t>
      </w:r>
      <w:r>
        <w:rPr>
          <w:b/>
          <w:sz w:val="24"/>
          <w:u w:val="single"/>
        </w:rPr>
        <w:t>also</w:t>
      </w:r>
      <w:r>
        <w:rPr>
          <w:b/>
          <w:spacing w:val="40"/>
          <w:sz w:val="24"/>
          <w:u w:val="single"/>
        </w:rPr>
        <w:t> </w:t>
      </w:r>
      <w:r>
        <w:rPr>
          <w:b/>
          <w:sz w:val="24"/>
          <w:u w:val="single"/>
        </w:rPr>
        <w:t>include</w:t>
      </w:r>
      <w:r>
        <w:rPr>
          <w:b/>
          <w:spacing w:val="40"/>
          <w:sz w:val="24"/>
          <w:u w:val="single"/>
        </w:rPr>
        <w:t> </w:t>
      </w:r>
      <w:r>
        <w:rPr>
          <w:b/>
          <w:sz w:val="24"/>
          <w:u w:val="single"/>
        </w:rPr>
        <w:t>any</w:t>
      </w:r>
      <w:r>
        <w:rPr>
          <w:b/>
          <w:spacing w:val="40"/>
          <w:sz w:val="24"/>
          <w:u w:val="single"/>
        </w:rPr>
        <w:t> </w:t>
      </w:r>
      <w:r>
        <w:rPr>
          <w:b/>
          <w:sz w:val="24"/>
          <w:u w:val="single"/>
        </w:rPr>
        <w:t>Special</w:t>
      </w:r>
      <w:r>
        <w:rPr>
          <w:b/>
          <w:spacing w:val="9"/>
          <w:sz w:val="24"/>
          <w:u w:val="single"/>
        </w:rPr>
        <w:t> Purpose</w:t>
      </w:r>
      <w:r>
        <w:rPr>
          <w:b/>
          <w:spacing w:val="9"/>
          <w:sz w:val="24"/>
          <w:u w:val="single"/>
        </w:rPr>
        <w:t> </w:t>
      </w:r>
      <w:r>
        <w:rPr>
          <w:b/>
          <w:sz w:val="24"/>
          <w:u w:val="single"/>
        </w:rPr>
        <w:t>Vehicle,</w:t>
      </w:r>
      <w:r>
        <w:rPr>
          <w:b/>
          <w:sz w:val="24"/>
        </w:rPr>
        <w:t> </w:t>
      </w:r>
      <w:r>
        <w:rPr>
          <w:b/>
          <w:sz w:val="24"/>
          <w:u w:val="single"/>
        </w:rPr>
        <w:t>wherein</w:t>
      </w:r>
      <w:r>
        <w:rPr>
          <w:b/>
          <w:spacing w:val="40"/>
          <w:sz w:val="24"/>
          <w:u w:val="single"/>
        </w:rPr>
        <w:t> </w:t>
      </w:r>
      <w:r>
        <w:rPr>
          <w:b/>
          <w:sz w:val="24"/>
          <w:u w:val="single"/>
        </w:rPr>
        <w:t>the</w:t>
      </w:r>
      <w:r>
        <w:rPr>
          <w:b/>
          <w:spacing w:val="40"/>
          <w:sz w:val="24"/>
          <w:u w:val="single"/>
        </w:rPr>
        <w:t> </w:t>
      </w:r>
      <w:r>
        <w:rPr>
          <w:b/>
          <w:sz w:val="24"/>
          <w:u w:val="single"/>
        </w:rPr>
        <w:t>Govt.</w:t>
      </w:r>
      <w:r>
        <w:rPr>
          <w:b/>
          <w:spacing w:val="40"/>
          <w:sz w:val="24"/>
          <w:u w:val="single"/>
        </w:rPr>
        <w:t> </w:t>
      </w:r>
      <w:r>
        <w:rPr>
          <w:b/>
          <w:sz w:val="24"/>
          <w:u w:val="single"/>
        </w:rPr>
        <w:t>or</w:t>
      </w:r>
      <w:r>
        <w:rPr>
          <w:b/>
          <w:spacing w:val="40"/>
          <w:sz w:val="24"/>
          <w:u w:val="single"/>
        </w:rPr>
        <w:t> </w:t>
      </w:r>
      <w:r>
        <w:rPr>
          <w:b/>
          <w:sz w:val="24"/>
          <w:u w:val="single"/>
        </w:rPr>
        <w:t>a</w:t>
      </w:r>
      <w:r>
        <w:rPr>
          <w:b/>
          <w:spacing w:val="40"/>
          <w:sz w:val="24"/>
          <w:u w:val="single"/>
        </w:rPr>
        <w:t> </w:t>
      </w:r>
      <w:r>
        <w:rPr>
          <w:b/>
          <w:sz w:val="24"/>
          <w:u w:val="single"/>
        </w:rPr>
        <w:t>fully</w:t>
      </w:r>
      <w:r>
        <w:rPr>
          <w:b/>
          <w:spacing w:val="40"/>
          <w:sz w:val="24"/>
          <w:u w:val="single"/>
        </w:rPr>
        <w:t> </w:t>
      </w:r>
      <w:r>
        <w:rPr>
          <w:b/>
          <w:sz w:val="24"/>
          <w:u w:val="single"/>
        </w:rPr>
        <w:t>owned</w:t>
      </w:r>
      <w:r>
        <w:rPr>
          <w:b/>
          <w:spacing w:val="40"/>
          <w:sz w:val="24"/>
          <w:u w:val="single"/>
        </w:rPr>
        <w:t> </w:t>
      </w:r>
      <w:r>
        <w:rPr>
          <w:b/>
          <w:sz w:val="24"/>
          <w:u w:val="single"/>
        </w:rPr>
        <w:t>Company</w:t>
      </w:r>
      <w:r>
        <w:rPr>
          <w:b/>
          <w:spacing w:val="40"/>
          <w:sz w:val="24"/>
          <w:u w:val="single"/>
        </w:rPr>
        <w:t> </w:t>
      </w:r>
      <w:r>
        <w:rPr>
          <w:b/>
          <w:sz w:val="24"/>
          <w:u w:val="single"/>
        </w:rPr>
        <w:t>of</w:t>
      </w:r>
      <w:r>
        <w:rPr>
          <w:b/>
          <w:spacing w:val="40"/>
          <w:sz w:val="24"/>
          <w:u w:val="single"/>
        </w:rPr>
        <w:t> </w:t>
      </w:r>
      <w:r>
        <w:rPr>
          <w:b/>
          <w:sz w:val="24"/>
          <w:u w:val="single"/>
        </w:rPr>
        <w:t>the</w:t>
      </w:r>
      <w:r>
        <w:rPr>
          <w:b/>
          <w:spacing w:val="40"/>
          <w:sz w:val="24"/>
          <w:u w:val="single"/>
        </w:rPr>
        <w:t> </w:t>
      </w:r>
      <w:r>
        <w:rPr>
          <w:b/>
          <w:sz w:val="24"/>
          <w:u w:val="single"/>
        </w:rPr>
        <w:t>Govt.</w:t>
      </w:r>
      <w:r>
        <w:rPr>
          <w:b/>
          <w:sz w:val="24"/>
        </w:rPr>
        <w:t> </w:t>
      </w:r>
      <w:r>
        <w:rPr>
          <w:b/>
          <w:sz w:val="24"/>
          <w:u w:val="single"/>
        </w:rPr>
        <w:t>holds at least 51% equity share (hereinafter collectively</w:t>
      </w:r>
      <w:r>
        <w:rPr>
          <w:b/>
          <w:sz w:val="24"/>
        </w:rPr>
        <w:t> </w:t>
      </w:r>
      <w:r>
        <w:rPr>
          <w:b/>
          <w:sz w:val="24"/>
          <w:u w:val="single"/>
        </w:rPr>
        <w:t>referred to as “Implementing Public </w:t>
      </w:r>
      <w:r>
        <w:rPr>
          <w:b/>
          <w:spacing w:val="9"/>
          <w:sz w:val="24"/>
          <w:u w:val="single"/>
        </w:rPr>
        <w:t>Authority”).</w:t>
      </w:r>
      <w:r>
        <w:rPr>
          <w:spacing w:val="9"/>
          <w:sz w:val="24"/>
        </w:rPr>
        <w:t>Premium</w:t>
      </w:r>
      <w:r>
        <w:rPr>
          <w:spacing w:val="80"/>
          <w:sz w:val="24"/>
        </w:rPr>
        <w:t> </w:t>
      </w:r>
      <w:r>
        <w:rPr>
          <w:sz w:val="24"/>
        </w:rPr>
        <w:t>shall</w:t>
      </w:r>
      <w:r>
        <w:rPr>
          <w:spacing w:val="40"/>
          <w:sz w:val="24"/>
        </w:rPr>
        <w:t> </w:t>
      </w:r>
      <w:r>
        <w:rPr>
          <w:sz w:val="24"/>
        </w:rPr>
        <w:t>be</w:t>
      </w:r>
      <w:r>
        <w:rPr>
          <w:spacing w:val="40"/>
          <w:sz w:val="24"/>
        </w:rPr>
        <w:t> </w:t>
      </w:r>
      <w:r>
        <w:rPr>
          <w:sz w:val="24"/>
        </w:rPr>
        <w:t>applicable</w:t>
      </w:r>
      <w:r>
        <w:rPr>
          <w:spacing w:val="40"/>
          <w:sz w:val="24"/>
        </w:rPr>
        <w:t> </w:t>
      </w:r>
      <w:r>
        <w:rPr>
          <w:sz w:val="24"/>
        </w:rPr>
        <w:t>for</w:t>
      </w:r>
      <w:r>
        <w:rPr>
          <w:spacing w:val="80"/>
          <w:w w:val="150"/>
          <w:sz w:val="24"/>
        </w:rPr>
        <w:t> </w:t>
      </w:r>
      <w:r>
        <w:rPr>
          <w:sz w:val="24"/>
        </w:rPr>
        <w:t>BUA</w:t>
      </w:r>
      <w:r>
        <w:rPr>
          <w:spacing w:val="40"/>
          <w:sz w:val="24"/>
        </w:rPr>
        <w:t> </w:t>
      </w:r>
      <w:r>
        <w:rPr>
          <w:sz w:val="24"/>
        </w:rPr>
        <w:t>in</w:t>
      </w:r>
      <w:r>
        <w:rPr>
          <w:spacing w:val="40"/>
          <w:sz w:val="24"/>
        </w:rPr>
        <w:t> </w:t>
      </w:r>
      <w:r>
        <w:rPr>
          <w:sz w:val="24"/>
        </w:rPr>
        <w:t>lieu</w:t>
      </w:r>
      <w:r>
        <w:rPr>
          <w:spacing w:val="40"/>
          <w:sz w:val="24"/>
        </w:rPr>
        <w:t> </w:t>
      </w:r>
      <w:r>
        <w:rPr>
          <w:sz w:val="24"/>
        </w:rPr>
        <w:t>of</w:t>
      </w:r>
      <w:r>
        <w:rPr>
          <w:spacing w:val="40"/>
          <w:sz w:val="24"/>
        </w:rPr>
        <w:t> </w:t>
      </w:r>
      <w:r>
        <w:rPr>
          <w:sz w:val="24"/>
        </w:rPr>
        <w:t>additional</w:t>
      </w:r>
      <w:r>
        <w:rPr>
          <w:spacing w:val="40"/>
          <w:sz w:val="24"/>
        </w:rPr>
        <w:t> </w:t>
      </w:r>
      <w:r>
        <w:rPr>
          <w:sz w:val="24"/>
        </w:rPr>
        <w:t>FSI</w:t>
      </w:r>
      <w:r>
        <w:rPr>
          <w:spacing w:val="40"/>
          <w:sz w:val="24"/>
        </w:rPr>
        <w:t> </w:t>
      </w:r>
      <w:r>
        <w:rPr>
          <w:sz w:val="24"/>
        </w:rPr>
        <w:t>at</w:t>
      </w:r>
      <w:r>
        <w:rPr>
          <w:spacing w:val="40"/>
          <w:sz w:val="24"/>
        </w:rPr>
        <w:t> </w:t>
      </w:r>
      <w:r>
        <w:rPr>
          <w:sz w:val="24"/>
        </w:rPr>
        <w:t>the</w:t>
      </w:r>
      <w:r>
        <w:rPr>
          <w:spacing w:val="40"/>
          <w:sz w:val="24"/>
        </w:rPr>
        <w:t> </w:t>
      </w:r>
      <w:r>
        <w:rPr>
          <w:sz w:val="24"/>
        </w:rPr>
        <w:t>rate of 50% of ASR of developed land (for FSI 1) or as decided by the Government</w:t>
      </w:r>
      <w:r>
        <w:rPr>
          <w:spacing w:val="40"/>
          <w:sz w:val="24"/>
        </w:rPr>
        <w:t> </w:t>
      </w:r>
      <w:r>
        <w:rPr>
          <w:sz w:val="24"/>
        </w:rPr>
        <w:t>from</w:t>
      </w:r>
      <w:r>
        <w:rPr>
          <w:spacing w:val="40"/>
          <w:sz w:val="24"/>
        </w:rPr>
        <w:t> </w:t>
      </w:r>
      <w:r>
        <w:rPr>
          <w:sz w:val="24"/>
        </w:rPr>
        <w:t>time</w:t>
      </w:r>
      <w:r>
        <w:rPr>
          <w:spacing w:val="40"/>
          <w:sz w:val="24"/>
        </w:rPr>
        <w:t> </w:t>
      </w:r>
      <w:r>
        <w:rPr>
          <w:sz w:val="24"/>
        </w:rPr>
        <w:t>to</w:t>
      </w:r>
      <w:r>
        <w:rPr>
          <w:spacing w:val="40"/>
          <w:sz w:val="24"/>
        </w:rPr>
        <w:t> </w:t>
      </w:r>
      <w:r>
        <w:rPr>
          <w:sz w:val="24"/>
        </w:rPr>
        <w:t>time,</w:t>
      </w:r>
      <w:r>
        <w:rPr>
          <w:spacing w:val="40"/>
          <w:sz w:val="24"/>
        </w:rPr>
        <w:t> </w:t>
      </w:r>
      <w:r>
        <w:rPr>
          <w:sz w:val="24"/>
        </w:rPr>
        <w:t>except</w:t>
      </w:r>
      <w:r>
        <w:rPr>
          <w:spacing w:val="40"/>
          <w:sz w:val="24"/>
        </w:rPr>
        <w:t> </w:t>
      </w:r>
      <w:r>
        <w:rPr>
          <w:sz w:val="24"/>
        </w:rPr>
        <w:t>for</w:t>
      </w:r>
      <w:r>
        <w:rPr>
          <w:spacing w:val="40"/>
          <w:sz w:val="24"/>
        </w:rPr>
        <w:t> </w:t>
      </w:r>
      <w:r>
        <w:rPr>
          <w:sz w:val="24"/>
        </w:rPr>
        <w:t>the</w:t>
      </w:r>
      <w:r>
        <w:rPr>
          <w:spacing w:val="40"/>
          <w:sz w:val="24"/>
        </w:rPr>
        <w:t> </w:t>
      </w:r>
      <w:r>
        <w:rPr>
          <w:sz w:val="24"/>
        </w:rPr>
        <w:t>development</w:t>
      </w:r>
      <w:r>
        <w:rPr>
          <w:spacing w:val="40"/>
          <w:sz w:val="24"/>
        </w:rPr>
        <w:t> </w:t>
      </w:r>
      <w:r>
        <w:rPr>
          <w:sz w:val="24"/>
        </w:rPr>
        <w:t>by State</w:t>
      </w:r>
      <w:r>
        <w:rPr>
          <w:spacing w:val="40"/>
          <w:sz w:val="24"/>
        </w:rPr>
        <w:t> </w:t>
      </w:r>
      <w:r>
        <w:rPr>
          <w:sz w:val="24"/>
        </w:rPr>
        <w:t>Government</w:t>
      </w:r>
      <w:r>
        <w:rPr>
          <w:spacing w:val="40"/>
          <w:sz w:val="24"/>
        </w:rPr>
        <w:t> </w:t>
      </w:r>
      <w:r>
        <w:rPr>
          <w:sz w:val="24"/>
        </w:rPr>
        <w:t>&amp;</w:t>
      </w:r>
      <w:r>
        <w:rPr>
          <w:spacing w:val="40"/>
          <w:sz w:val="24"/>
        </w:rPr>
        <w:t> </w:t>
      </w:r>
      <w:r>
        <w:rPr>
          <w:sz w:val="24"/>
        </w:rPr>
        <w:t>MCGM</w:t>
      </w:r>
      <w:r>
        <w:rPr>
          <w:spacing w:val="40"/>
          <w:sz w:val="24"/>
        </w:rPr>
        <w:t> </w:t>
      </w:r>
      <w:r>
        <w:rPr>
          <w:sz w:val="24"/>
        </w:rPr>
        <w:t>.</w:t>
      </w:r>
    </w:p>
    <w:p>
      <w:pPr>
        <w:pStyle w:val="ListParagraph"/>
        <w:numPr>
          <w:ilvl w:val="1"/>
          <w:numId w:val="136"/>
        </w:numPr>
        <w:tabs>
          <w:tab w:pos="2661" w:val="left" w:leader="none"/>
        </w:tabs>
        <w:spacing w:line="240" w:lineRule="auto" w:before="240" w:after="0"/>
        <w:ind w:left="2422" w:right="781" w:firstLine="0"/>
        <w:jc w:val="both"/>
        <w:rPr>
          <w:b/>
          <w:sz w:val="22"/>
        </w:rPr>
      </w:pPr>
      <w:r>
        <w:rPr>
          <w:sz w:val="24"/>
        </w:rPr>
        <w:t>The</w:t>
      </w:r>
      <w:r>
        <w:rPr>
          <w:spacing w:val="40"/>
          <w:sz w:val="24"/>
        </w:rPr>
        <w:t> </w:t>
      </w:r>
      <w:r>
        <w:rPr>
          <w:sz w:val="24"/>
        </w:rPr>
        <w:t>total</w:t>
      </w:r>
      <w:r>
        <w:rPr>
          <w:spacing w:val="40"/>
          <w:sz w:val="24"/>
        </w:rPr>
        <w:t> </w:t>
      </w:r>
      <w:r>
        <w:rPr>
          <w:sz w:val="24"/>
        </w:rPr>
        <w:t>permissible</w:t>
      </w:r>
      <w:r>
        <w:rPr>
          <w:spacing w:val="40"/>
          <w:sz w:val="24"/>
        </w:rPr>
        <w:t> </w:t>
      </w:r>
      <w:r>
        <w:rPr>
          <w:sz w:val="24"/>
        </w:rPr>
        <w:t>FSI</w:t>
      </w:r>
      <w:r>
        <w:rPr>
          <w:spacing w:val="40"/>
          <w:sz w:val="24"/>
        </w:rPr>
        <w:t> </w:t>
      </w:r>
      <w:r>
        <w:rPr>
          <w:sz w:val="24"/>
        </w:rPr>
        <w:t>under</w:t>
      </w:r>
      <w:r>
        <w:rPr>
          <w:spacing w:val="40"/>
          <w:sz w:val="24"/>
        </w:rPr>
        <w:t> </w:t>
      </w:r>
      <w:r>
        <w:rPr>
          <w:sz w:val="24"/>
        </w:rPr>
        <w:t>this</w:t>
      </w:r>
      <w:r>
        <w:rPr>
          <w:spacing w:val="40"/>
          <w:sz w:val="24"/>
        </w:rPr>
        <w:t> </w:t>
      </w:r>
      <w:r>
        <w:rPr>
          <w:sz w:val="24"/>
        </w:rPr>
        <w:t>Regulation</w:t>
      </w:r>
      <w:r>
        <w:rPr>
          <w:spacing w:val="40"/>
          <w:sz w:val="24"/>
        </w:rPr>
        <w:t> </w:t>
      </w:r>
      <w:r>
        <w:rPr>
          <w:sz w:val="24"/>
        </w:rPr>
        <w:t>shall</w:t>
      </w:r>
      <w:r>
        <w:rPr>
          <w:spacing w:val="40"/>
          <w:sz w:val="24"/>
        </w:rPr>
        <w:t> </w:t>
      </w:r>
      <w:r>
        <w:rPr>
          <w:sz w:val="24"/>
        </w:rPr>
        <w:t>be utilized for construction of staff quarters for the User Authority subject</w:t>
      </w:r>
      <w:r>
        <w:rPr>
          <w:spacing w:val="40"/>
          <w:sz w:val="24"/>
        </w:rPr>
        <w:t> </w:t>
      </w:r>
      <w:r>
        <w:rPr>
          <w:sz w:val="24"/>
        </w:rPr>
        <w:t>to</w:t>
      </w:r>
      <w:r>
        <w:rPr>
          <w:spacing w:val="40"/>
          <w:sz w:val="24"/>
        </w:rPr>
        <w:t> </w:t>
      </w:r>
      <w:r>
        <w:rPr>
          <w:sz w:val="24"/>
        </w:rPr>
        <w:t>the</w:t>
      </w:r>
      <w:r>
        <w:rPr>
          <w:spacing w:val="40"/>
          <w:sz w:val="24"/>
        </w:rPr>
        <w:t> </w:t>
      </w:r>
      <w:r>
        <w:rPr>
          <w:sz w:val="24"/>
        </w:rPr>
        <w:t>following:</w:t>
      </w:r>
    </w:p>
    <w:p>
      <w:pPr>
        <w:pStyle w:val="ListParagraph"/>
        <w:numPr>
          <w:ilvl w:val="0"/>
          <w:numId w:val="137"/>
        </w:numPr>
        <w:tabs>
          <w:tab w:pos="2422" w:val="left" w:leader="none"/>
          <w:tab w:pos="2779" w:val="left" w:leader="none"/>
        </w:tabs>
        <w:spacing w:line="240" w:lineRule="auto" w:before="0" w:after="0"/>
        <w:ind w:left="2422" w:right="775" w:hanging="123"/>
        <w:jc w:val="both"/>
        <w:rPr>
          <w:sz w:val="24"/>
        </w:rPr>
      </w:pPr>
      <w:r>
        <w:rPr>
          <w:sz w:val="24"/>
        </w:rPr>
        <w:t>The area of staff </w:t>
      </w:r>
      <w:r>
        <w:rPr>
          <w:spacing w:val="9"/>
          <w:sz w:val="24"/>
        </w:rPr>
        <w:t>quarters/free</w:t>
      </w:r>
      <w:r>
        <w:rPr>
          <w:spacing w:val="9"/>
          <w:sz w:val="24"/>
        </w:rPr>
        <w:t> </w:t>
      </w:r>
      <w:r>
        <w:rPr>
          <w:sz w:val="24"/>
        </w:rPr>
        <w:t>sale component for various categories</w:t>
      </w:r>
      <w:r>
        <w:rPr>
          <w:spacing w:val="40"/>
          <w:sz w:val="24"/>
        </w:rPr>
        <w:t> </w:t>
      </w:r>
      <w:r>
        <w:rPr>
          <w:sz w:val="24"/>
        </w:rPr>
        <w:t>of</w:t>
      </w:r>
      <w:r>
        <w:rPr>
          <w:spacing w:val="40"/>
          <w:sz w:val="24"/>
        </w:rPr>
        <w:t> </w:t>
      </w:r>
      <w:r>
        <w:rPr>
          <w:sz w:val="24"/>
        </w:rPr>
        <w:t>employees</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norms</w:t>
      </w:r>
      <w:r>
        <w:rPr>
          <w:spacing w:val="40"/>
          <w:sz w:val="24"/>
        </w:rPr>
        <w:t> </w:t>
      </w:r>
      <w:r>
        <w:rPr>
          <w:sz w:val="24"/>
        </w:rPr>
        <w:t>prescribed</w:t>
      </w:r>
      <w:r>
        <w:rPr>
          <w:spacing w:val="40"/>
          <w:sz w:val="24"/>
        </w:rPr>
        <w:t> </w:t>
      </w:r>
      <w:r>
        <w:rPr>
          <w:sz w:val="24"/>
        </w:rPr>
        <w:t>by the</w:t>
      </w:r>
      <w:r>
        <w:rPr>
          <w:spacing w:val="40"/>
          <w:sz w:val="24"/>
        </w:rPr>
        <w:t> </w:t>
      </w:r>
      <w:r>
        <w:rPr>
          <w:sz w:val="24"/>
        </w:rPr>
        <w:t>concerned</w:t>
      </w:r>
      <w:r>
        <w:rPr>
          <w:spacing w:val="40"/>
          <w:sz w:val="24"/>
        </w:rPr>
        <w:t> </w:t>
      </w:r>
      <w:r>
        <w:rPr>
          <w:sz w:val="24"/>
        </w:rPr>
        <w:t>User</w:t>
      </w:r>
      <w:r>
        <w:rPr>
          <w:spacing w:val="40"/>
          <w:sz w:val="24"/>
        </w:rPr>
        <w:t> </w:t>
      </w:r>
      <w:r>
        <w:rPr>
          <w:sz w:val="24"/>
        </w:rPr>
        <w:t>Authority.</w:t>
      </w:r>
    </w:p>
    <w:p>
      <w:pPr>
        <w:pStyle w:val="ListParagraph"/>
        <w:numPr>
          <w:ilvl w:val="0"/>
          <w:numId w:val="137"/>
        </w:numPr>
        <w:tabs>
          <w:tab w:pos="2422" w:val="left" w:leader="none"/>
          <w:tab w:pos="2779" w:val="left" w:leader="none"/>
        </w:tabs>
        <w:spacing w:line="240" w:lineRule="auto" w:before="0" w:after="0"/>
        <w:ind w:left="2422" w:right="775" w:hanging="164"/>
        <w:jc w:val="both"/>
        <w:rPr>
          <w:sz w:val="24"/>
        </w:rPr>
      </w:pPr>
      <w:r>
        <w:rPr>
          <w:sz w:val="24"/>
        </w:rPr>
        <w:t>(a)Commissioner may also permit up to 1/3rd of the total permissible</w:t>
      </w:r>
      <w:r>
        <w:rPr>
          <w:spacing w:val="40"/>
          <w:sz w:val="24"/>
        </w:rPr>
        <w:t> </w:t>
      </w:r>
      <w:r>
        <w:rPr>
          <w:sz w:val="24"/>
        </w:rPr>
        <w:t>FSI</w:t>
      </w:r>
      <w:r>
        <w:rPr>
          <w:spacing w:val="40"/>
          <w:sz w:val="24"/>
        </w:rPr>
        <w:t> </w:t>
      </w:r>
      <w:r>
        <w:rPr>
          <w:sz w:val="24"/>
        </w:rPr>
        <w:t>under</w:t>
      </w:r>
      <w:r>
        <w:rPr>
          <w:spacing w:val="40"/>
          <w:sz w:val="24"/>
        </w:rPr>
        <w:t> </w:t>
      </w:r>
      <w:r>
        <w:rPr>
          <w:sz w:val="24"/>
        </w:rPr>
        <w:t>this</w:t>
      </w:r>
      <w:r>
        <w:rPr>
          <w:spacing w:val="40"/>
          <w:sz w:val="24"/>
        </w:rPr>
        <w:t> </w:t>
      </w:r>
      <w:r>
        <w:rPr>
          <w:sz w:val="24"/>
        </w:rPr>
        <w:t>Regulation</w:t>
      </w:r>
      <w:r>
        <w:rPr>
          <w:spacing w:val="40"/>
          <w:sz w:val="24"/>
        </w:rPr>
        <w:t> </w:t>
      </w:r>
      <w:r>
        <w:rPr>
          <w:sz w:val="24"/>
        </w:rPr>
        <w:t>for</w:t>
      </w:r>
      <w:r>
        <w:rPr>
          <w:spacing w:val="40"/>
          <w:sz w:val="24"/>
        </w:rPr>
        <w:t> </w:t>
      </w:r>
      <w:r>
        <w:rPr>
          <w:sz w:val="24"/>
        </w:rPr>
        <w:t>construction</w:t>
      </w:r>
      <w:r>
        <w:rPr>
          <w:spacing w:val="40"/>
          <w:sz w:val="24"/>
        </w:rPr>
        <w:t> </w:t>
      </w:r>
      <w:r>
        <w:rPr>
          <w:sz w:val="24"/>
        </w:rPr>
        <w:t>of</w:t>
      </w:r>
      <w:r>
        <w:rPr>
          <w:spacing w:val="40"/>
          <w:sz w:val="24"/>
        </w:rPr>
        <w:t> </w:t>
      </w:r>
      <w:r>
        <w:rPr>
          <w:sz w:val="24"/>
        </w:rPr>
        <w:t>free sale area (hereinafter referred to as “free sale component”) to be disposed of by the Implementing Public Authority to recover the</w:t>
      </w:r>
      <w:r>
        <w:rPr>
          <w:spacing w:val="40"/>
          <w:sz w:val="24"/>
        </w:rPr>
        <w:t> </w:t>
      </w:r>
      <w:r>
        <w:rPr>
          <w:sz w:val="24"/>
        </w:rPr>
        <w:t>cost</w:t>
      </w:r>
      <w:r>
        <w:rPr>
          <w:spacing w:val="80"/>
          <w:sz w:val="24"/>
        </w:rPr>
        <w:t> </w:t>
      </w:r>
      <w:r>
        <w:rPr>
          <w:sz w:val="24"/>
        </w:rPr>
        <w:t>of</w:t>
      </w:r>
      <w:r>
        <w:rPr>
          <w:spacing w:val="80"/>
          <w:sz w:val="24"/>
        </w:rPr>
        <w:t> </w:t>
      </w:r>
      <w:r>
        <w:rPr>
          <w:sz w:val="24"/>
        </w:rPr>
        <w:t>project</w:t>
      </w:r>
      <w:r>
        <w:rPr>
          <w:spacing w:val="80"/>
          <w:sz w:val="24"/>
        </w:rPr>
        <w:t> </w:t>
      </w:r>
      <w:r>
        <w:rPr>
          <w:sz w:val="24"/>
        </w:rPr>
        <w:t>implementation</w:t>
      </w:r>
      <w:r>
        <w:rPr>
          <w:spacing w:val="80"/>
          <w:sz w:val="24"/>
        </w:rPr>
        <w:t> </w:t>
      </w:r>
      <w:r>
        <w:rPr>
          <w:sz w:val="24"/>
        </w:rPr>
        <w:t>as</w:t>
      </w:r>
      <w:r>
        <w:rPr>
          <w:spacing w:val="80"/>
          <w:sz w:val="24"/>
        </w:rPr>
        <w:t> </w:t>
      </w:r>
      <w:r>
        <w:rPr>
          <w:sz w:val="24"/>
        </w:rPr>
        <w:t>provided</w:t>
      </w:r>
      <w:r>
        <w:rPr>
          <w:spacing w:val="80"/>
          <w:sz w:val="24"/>
        </w:rPr>
        <w:t> </w:t>
      </w:r>
      <w:r>
        <w:rPr>
          <w:sz w:val="24"/>
        </w:rPr>
        <w:t>herein.</w:t>
      </w:r>
    </w:p>
    <w:p>
      <w:pPr>
        <w:pStyle w:val="BodyText"/>
        <w:ind w:left="2422" w:right="782"/>
      </w:pPr>
      <w:r>
        <w:rPr/>
        <w:t>The free sale component shall preferably be constructed in a separate block. </w:t>
      </w:r>
      <w:r>
        <w:rPr>
          <w:spacing w:val="9"/>
        </w:rPr>
        <w:t>Sub-</w:t>
      </w:r>
      <w:r>
        <w:rPr/>
        <w:t>division of plots shall be permissible on the basis</w:t>
      </w:r>
      <w:r>
        <w:rPr>
          <w:spacing w:val="40"/>
        </w:rPr>
        <w:t> </w:t>
      </w:r>
      <w:r>
        <w:rPr/>
        <w:t>of</w:t>
      </w:r>
      <w:r>
        <w:rPr>
          <w:spacing w:val="40"/>
        </w:rPr>
        <w:t> </w:t>
      </w:r>
      <w:r>
        <w:rPr/>
        <w:t>equitable</w:t>
      </w:r>
      <w:r>
        <w:rPr>
          <w:spacing w:val="40"/>
        </w:rPr>
        <w:t> </w:t>
      </w:r>
      <w:r>
        <w:rPr/>
        <w:t>distribution</w:t>
      </w:r>
      <w:r>
        <w:rPr>
          <w:spacing w:val="40"/>
        </w:rPr>
        <w:t> </w:t>
      </w:r>
      <w:r>
        <w:rPr/>
        <w:t>of</w:t>
      </w:r>
      <w:r>
        <w:rPr>
          <w:spacing w:val="40"/>
        </w:rPr>
        <w:t> </w:t>
      </w:r>
      <w:r>
        <w:rPr/>
        <w:t>FSI,</w:t>
      </w:r>
      <w:r>
        <w:rPr>
          <w:spacing w:val="40"/>
        </w:rPr>
        <w:t> </w:t>
      </w:r>
      <w:r>
        <w:rPr/>
        <w:t>in</w:t>
      </w:r>
      <w:r>
        <w:rPr>
          <w:spacing w:val="40"/>
        </w:rPr>
        <w:t> </w:t>
      </w:r>
      <w:r>
        <w:rPr/>
        <w:t>case</w:t>
      </w:r>
      <w:r>
        <w:rPr>
          <w:spacing w:val="40"/>
        </w:rPr>
        <w:t> </w:t>
      </w:r>
      <w:r>
        <w:rPr>
          <w:spacing w:val="9"/>
        </w:rPr>
        <w:t>construction</w:t>
      </w:r>
      <w:r>
        <w:rPr>
          <w:spacing w:val="40"/>
        </w:rPr>
        <w:t> </w:t>
      </w:r>
      <w:r>
        <w:rPr/>
        <w:t>of free</w:t>
      </w:r>
      <w:r>
        <w:rPr>
          <w:spacing w:val="80"/>
        </w:rPr>
        <w:t> </w:t>
      </w:r>
      <w:r>
        <w:rPr/>
        <w:t>sale</w:t>
      </w:r>
      <w:r>
        <w:rPr>
          <w:spacing w:val="80"/>
        </w:rPr>
        <w:t> </w:t>
      </w:r>
      <w:r>
        <w:rPr/>
        <w:t>component</w:t>
      </w:r>
      <w:r>
        <w:rPr>
          <w:spacing w:val="80"/>
        </w:rPr>
        <w:t> </w:t>
      </w:r>
      <w:r>
        <w:rPr/>
        <w:t>is</w:t>
      </w:r>
      <w:r>
        <w:rPr>
          <w:spacing w:val="80"/>
        </w:rPr>
        <w:t> </w:t>
      </w:r>
      <w:r>
        <w:rPr/>
        <w:t>permitted</w:t>
      </w:r>
      <w:r>
        <w:rPr>
          <w:spacing w:val="80"/>
        </w:rPr>
        <w:t> </w:t>
      </w:r>
      <w:r>
        <w:rPr/>
        <w:t>by</w:t>
      </w:r>
      <w:r>
        <w:rPr>
          <w:spacing w:val="40"/>
        </w:rPr>
        <w:t> </w:t>
      </w:r>
      <w:r>
        <w:rPr/>
        <w:t>Commissioner.</w:t>
      </w:r>
    </w:p>
    <w:p>
      <w:pPr>
        <w:pStyle w:val="ListParagraph"/>
        <w:numPr>
          <w:ilvl w:val="1"/>
          <w:numId w:val="137"/>
        </w:numPr>
        <w:tabs>
          <w:tab w:pos="3212" w:val="left" w:leader="none"/>
        </w:tabs>
        <w:spacing w:line="276" w:lineRule="auto" w:before="239" w:after="0"/>
        <w:ind w:left="2513" w:right="781" w:firstLine="180"/>
        <w:jc w:val="both"/>
        <w:rPr>
          <w:sz w:val="24"/>
        </w:rPr>
      </w:pPr>
      <w:r>
        <w:rPr>
          <w:sz w:val="24"/>
        </w:rPr>
        <w:t>If</w:t>
      </w:r>
      <w:r>
        <w:rPr>
          <w:spacing w:val="40"/>
          <w:sz w:val="24"/>
        </w:rPr>
        <w:t> </w:t>
      </w:r>
      <w:r>
        <w:rPr>
          <w:sz w:val="24"/>
        </w:rPr>
        <w:t>the</w:t>
      </w:r>
      <w:r>
        <w:rPr>
          <w:spacing w:val="40"/>
          <w:sz w:val="24"/>
        </w:rPr>
        <w:t> </w:t>
      </w:r>
      <w:r>
        <w:rPr>
          <w:sz w:val="24"/>
        </w:rPr>
        <w:t>User</w:t>
      </w:r>
      <w:r>
        <w:rPr>
          <w:spacing w:val="40"/>
          <w:sz w:val="24"/>
        </w:rPr>
        <w:t> </w:t>
      </w:r>
      <w:r>
        <w:rPr>
          <w:sz w:val="24"/>
        </w:rPr>
        <w:t>Authority</w:t>
      </w:r>
      <w:r>
        <w:rPr>
          <w:spacing w:val="40"/>
          <w:sz w:val="24"/>
        </w:rPr>
        <w:t> </w:t>
      </w:r>
      <w:r>
        <w:rPr>
          <w:sz w:val="24"/>
        </w:rPr>
        <w:t>requires</w:t>
      </w:r>
      <w:r>
        <w:rPr>
          <w:spacing w:val="40"/>
          <w:sz w:val="24"/>
        </w:rPr>
        <w:t> </w:t>
      </w:r>
      <w:r>
        <w:rPr>
          <w:sz w:val="24"/>
        </w:rPr>
        <w:t>construction</w:t>
      </w:r>
      <w:r>
        <w:rPr>
          <w:spacing w:val="40"/>
          <w:sz w:val="24"/>
        </w:rPr>
        <w:t> </w:t>
      </w:r>
      <w:r>
        <w:rPr>
          <w:sz w:val="24"/>
        </w:rPr>
        <w:t>of</w:t>
      </w:r>
      <w:r>
        <w:rPr>
          <w:spacing w:val="40"/>
          <w:sz w:val="24"/>
        </w:rPr>
        <w:t> </w:t>
      </w:r>
      <w:r>
        <w:rPr>
          <w:sz w:val="24"/>
        </w:rPr>
        <w:t>staff</w:t>
      </w:r>
      <w:r>
        <w:rPr>
          <w:spacing w:val="40"/>
          <w:sz w:val="24"/>
        </w:rPr>
        <w:t> </w:t>
      </w:r>
      <w:r>
        <w:rPr>
          <w:sz w:val="24"/>
        </w:rPr>
        <w:t>quarters</w:t>
      </w:r>
      <w:r>
        <w:rPr>
          <w:spacing w:val="40"/>
          <w:sz w:val="24"/>
        </w:rPr>
        <w:t> </w:t>
      </w:r>
      <w:r>
        <w:rPr>
          <w:sz w:val="24"/>
        </w:rPr>
        <w:t>to</w:t>
      </w:r>
      <w:r>
        <w:rPr>
          <w:spacing w:val="40"/>
          <w:sz w:val="24"/>
        </w:rPr>
        <w:t> </w:t>
      </w:r>
      <w:r>
        <w:rPr>
          <w:sz w:val="24"/>
        </w:rPr>
        <w:t>the</w:t>
      </w:r>
      <w:r>
        <w:rPr>
          <w:spacing w:val="40"/>
          <w:sz w:val="24"/>
        </w:rPr>
        <w:t> </w:t>
      </w:r>
      <w:r>
        <w:rPr>
          <w:sz w:val="24"/>
        </w:rPr>
        <w:t>extent</w:t>
      </w:r>
      <w:r>
        <w:rPr>
          <w:spacing w:val="40"/>
          <w:sz w:val="24"/>
        </w:rPr>
        <w:t> </w:t>
      </w:r>
      <w:r>
        <w:rPr>
          <w:sz w:val="24"/>
        </w:rPr>
        <w:t>of</w:t>
      </w:r>
      <w:r>
        <w:rPr>
          <w:spacing w:val="40"/>
          <w:sz w:val="24"/>
        </w:rPr>
        <w:t> </w:t>
      </w:r>
      <w:r>
        <w:rPr>
          <w:sz w:val="24"/>
        </w:rPr>
        <w:t>full</w:t>
      </w:r>
      <w:r>
        <w:rPr>
          <w:spacing w:val="40"/>
          <w:sz w:val="24"/>
        </w:rPr>
        <w:t> </w:t>
      </w:r>
      <w:r>
        <w:rPr>
          <w:sz w:val="24"/>
        </w:rPr>
        <w:t>permissible</w:t>
      </w:r>
      <w:r>
        <w:rPr>
          <w:spacing w:val="40"/>
          <w:sz w:val="24"/>
        </w:rPr>
        <w:t> </w:t>
      </w:r>
      <w:r>
        <w:rPr>
          <w:sz w:val="24"/>
        </w:rPr>
        <w:t>FSI</w:t>
      </w:r>
      <w:r>
        <w:rPr>
          <w:spacing w:val="40"/>
          <w:sz w:val="24"/>
        </w:rPr>
        <w:t> </w:t>
      </w:r>
      <w:r>
        <w:rPr>
          <w:sz w:val="24"/>
        </w:rPr>
        <w:t>of</w:t>
      </w:r>
      <w:r>
        <w:rPr>
          <w:spacing w:val="40"/>
          <w:sz w:val="24"/>
        </w:rPr>
        <w:t> </w:t>
      </w:r>
      <w:r>
        <w:rPr>
          <w:sz w:val="24"/>
        </w:rPr>
        <w:t>4.0,</w:t>
      </w:r>
      <w:r>
        <w:rPr>
          <w:spacing w:val="40"/>
          <w:sz w:val="24"/>
        </w:rPr>
        <w:t> </w:t>
      </w:r>
      <w:r>
        <w:rPr>
          <w:sz w:val="24"/>
        </w:rPr>
        <w:t>then</w:t>
      </w:r>
      <w:r>
        <w:rPr>
          <w:spacing w:val="40"/>
          <w:sz w:val="24"/>
        </w:rPr>
        <w:t> </w:t>
      </w:r>
      <w:r>
        <w:rPr>
          <w:sz w:val="24"/>
        </w:rPr>
        <w:t>the User</w:t>
      </w:r>
      <w:r>
        <w:rPr>
          <w:spacing w:val="37"/>
          <w:sz w:val="24"/>
        </w:rPr>
        <w:t>  </w:t>
      </w:r>
      <w:r>
        <w:rPr>
          <w:sz w:val="24"/>
        </w:rPr>
        <w:t>Authority</w:t>
      </w:r>
      <w:r>
        <w:rPr>
          <w:spacing w:val="38"/>
          <w:sz w:val="24"/>
        </w:rPr>
        <w:t>  </w:t>
      </w:r>
      <w:r>
        <w:rPr>
          <w:sz w:val="24"/>
        </w:rPr>
        <w:t>shall</w:t>
      </w:r>
      <w:r>
        <w:rPr>
          <w:spacing w:val="37"/>
          <w:sz w:val="24"/>
        </w:rPr>
        <w:t>  </w:t>
      </w:r>
      <w:r>
        <w:rPr>
          <w:sz w:val="24"/>
        </w:rPr>
        <w:t>pay</w:t>
      </w:r>
      <w:r>
        <w:rPr>
          <w:spacing w:val="37"/>
          <w:sz w:val="24"/>
        </w:rPr>
        <w:t>  </w:t>
      </w:r>
      <w:r>
        <w:rPr>
          <w:sz w:val="24"/>
        </w:rPr>
        <w:t>full</w:t>
      </w:r>
      <w:r>
        <w:rPr>
          <w:spacing w:val="38"/>
          <w:sz w:val="24"/>
        </w:rPr>
        <w:t>  </w:t>
      </w:r>
      <w:r>
        <w:rPr>
          <w:sz w:val="24"/>
        </w:rPr>
        <w:t>cost</w:t>
      </w:r>
      <w:r>
        <w:rPr>
          <w:spacing w:val="40"/>
          <w:sz w:val="24"/>
        </w:rPr>
        <w:t>  </w:t>
      </w:r>
      <w:r>
        <w:rPr>
          <w:sz w:val="24"/>
        </w:rPr>
        <w:t>of</w:t>
      </w:r>
      <w:r>
        <w:rPr>
          <w:spacing w:val="37"/>
          <w:sz w:val="24"/>
        </w:rPr>
        <w:t>  </w:t>
      </w:r>
      <w:r>
        <w:rPr>
          <w:sz w:val="24"/>
        </w:rPr>
        <w:t>construction</w:t>
      </w:r>
      <w:r>
        <w:rPr>
          <w:spacing w:val="38"/>
          <w:sz w:val="24"/>
        </w:rPr>
        <w:t>  </w:t>
      </w:r>
      <w:r>
        <w:rPr>
          <w:sz w:val="24"/>
        </w:rPr>
        <w:t>to</w:t>
      </w:r>
      <w:r>
        <w:rPr>
          <w:spacing w:val="38"/>
          <w:sz w:val="24"/>
        </w:rPr>
        <w:t>  </w:t>
      </w:r>
      <w:r>
        <w:rPr>
          <w:sz w:val="24"/>
        </w:rPr>
        <w:t>the</w:t>
      </w:r>
    </w:p>
    <w:p>
      <w:pPr>
        <w:pStyle w:val="ListParagraph"/>
        <w:spacing w:after="0" w:line="276" w:lineRule="auto"/>
        <w:jc w:val="both"/>
        <w:rPr>
          <w:sz w:val="24"/>
        </w:rPr>
        <w:sectPr>
          <w:pgSz w:w="11910" w:h="16840"/>
          <w:pgMar w:header="1065" w:footer="1194" w:top="1500" w:bottom="1380" w:left="360" w:right="360"/>
        </w:sectPr>
      </w:pPr>
    </w:p>
    <w:p>
      <w:pPr>
        <w:pStyle w:val="BodyText"/>
        <w:spacing w:line="278" w:lineRule="auto" w:before="247"/>
        <w:ind w:left="2513" w:right="795"/>
      </w:pPr>
      <w:r>
        <w:rPr/>
        <w:t>Implementing</w:t>
      </w:r>
      <w:r>
        <w:rPr>
          <w:spacing w:val="40"/>
        </w:rPr>
        <w:t> </w:t>
      </w:r>
      <w:r>
        <w:rPr/>
        <w:t>Public</w:t>
      </w:r>
      <w:r>
        <w:rPr>
          <w:spacing w:val="40"/>
        </w:rPr>
        <w:t> </w:t>
      </w:r>
      <w:r>
        <w:rPr/>
        <w:t>Authority,</w:t>
      </w:r>
      <w:r>
        <w:rPr>
          <w:spacing w:val="40"/>
        </w:rPr>
        <w:t> </w:t>
      </w:r>
      <w:r>
        <w:rPr/>
        <w:t>in</w:t>
      </w:r>
      <w:r>
        <w:rPr>
          <w:spacing w:val="40"/>
        </w:rPr>
        <w:t> </w:t>
      </w:r>
      <w:r>
        <w:rPr/>
        <w:t>lieu</w:t>
      </w:r>
      <w:r>
        <w:rPr>
          <w:spacing w:val="40"/>
        </w:rPr>
        <w:t> </w:t>
      </w:r>
      <w:r>
        <w:rPr/>
        <w:t>of</w:t>
      </w:r>
      <w:r>
        <w:rPr>
          <w:spacing w:val="40"/>
        </w:rPr>
        <w:t> </w:t>
      </w:r>
      <w:r>
        <w:rPr/>
        <w:t>the</w:t>
      </w:r>
      <w:r>
        <w:rPr>
          <w:spacing w:val="40"/>
        </w:rPr>
        <w:t> </w:t>
      </w:r>
      <w:r>
        <w:rPr/>
        <w:t>free</w:t>
      </w:r>
      <w:r>
        <w:rPr>
          <w:spacing w:val="40"/>
        </w:rPr>
        <w:t> </w:t>
      </w:r>
      <w:r>
        <w:rPr/>
        <w:t>sale </w:t>
      </w:r>
      <w:r>
        <w:rPr>
          <w:spacing w:val="7"/>
        </w:rPr>
        <w:t>component.</w:t>
      </w:r>
    </w:p>
    <w:p>
      <w:pPr>
        <w:pStyle w:val="ListParagraph"/>
        <w:numPr>
          <w:ilvl w:val="1"/>
          <w:numId w:val="137"/>
        </w:numPr>
        <w:tabs>
          <w:tab w:pos="3074" w:val="left" w:leader="none"/>
        </w:tabs>
        <w:spacing w:line="276" w:lineRule="auto" w:before="196" w:after="0"/>
        <w:ind w:left="2513" w:right="771" w:firstLine="180"/>
        <w:jc w:val="both"/>
        <w:rPr>
          <w:sz w:val="24"/>
        </w:rPr>
      </w:pPr>
      <w:r>
        <w:rPr>
          <w:sz w:val="24"/>
        </w:rPr>
        <w:t>The</w:t>
      </w:r>
      <w:r>
        <w:rPr>
          <w:spacing w:val="40"/>
          <w:sz w:val="24"/>
        </w:rPr>
        <w:t> </w:t>
      </w:r>
      <w:r>
        <w:rPr>
          <w:sz w:val="24"/>
        </w:rPr>
        <w:t>flats</w:t>
      </w:r>
      <w:r>
        <w:rPr>
          <w:spacing w:val="40"/>
          <w:sz w:val="24"/>
        </w:rPr>
        <w:t> </w:t>
      </w:r>
      <w:r>
        <w:rPr>
          <w:sz w:val="24"/>
        </w:rPr>
        <w:t>constructed</w:t>
      </w:r>
      <w:r>
        <w:rPr>
          <w:spacing w:val="40"/>
          <w:sz w:val="24"/>
        </w:rPr>
        <w:t> </w:t>
      </w:r>
      <w:r>
        <w:rPr>
          <w:sz w:val="24"/>
        </w:rPr>
        <w:t>under</w:t>
      </w:r>
      <w:r>
        <w:rPr>
          <w:spacing w:val="40"/>
          <w:sz w:val="24"/>
        </w:rPr>
        <w:t> </w:t>
      </w:r>
      <w:r>
        <w:rPr>
          <w:sz w:val="24"/>
        </w:rPr>
        <w:t>the</w:t>
      </w:r>
      <w:r>
        <w:rPr>
          <w:spacing w:val="40"/>
          <w:sz w:val="24"/>
        </w:rPr>
        <w:t> </w:t>
      </w:r>
      <w:r>
        <w:rPr>
          <w:sz w:val="24"/>
        </w:rPr>
        <w:t>free</w:t>
      </w:r>
      <w:r>
        <w:rPr>
          <w:spacing w:val="40"/>
          <w:sz w:val="24"/>
        </w:rPr>
        <w:t> </w:t>
      </w:r>
      <w:r>
        <w:rPr>
          <w:sz w:val="24"/>
        </w:rPr>
        <w:t>sale</w:t>
      </w:r>
      <w:r>
        <w:rPr>
          <w:spacing w:val="40"/>
          <w:sz w:val="24"/>
        </w:rPr>
        <w:t> </w:t>
      </w:r>
      <w:r>
        <w:rPr>
          <w:sz w:val="24"/>
        </w:rPr>
        <w:t>component</w:t>
      </w:r>
      <w:r>
        <w:rPr>
          <w:spacing w:val="40"/>
          <w:sz w:val="24"/>
        </w:rPr>
        <w:t> </w:t>
      </w:r>
      <w:r>
        <w:rPr>
          <w:sz w:val="24"/>
        </w:rPr>
        <w:t>shall be</w:t>
      </w:r>
      <w:r>
        <w:rPr>
          <w:spacing w:val="40"/>
          <w:sz w:val="24"/>
        </w:rPr>
        <w:t> </w:t>
      </w:r>
      <w:r>
        <w:rPr>
          <w:sz w:val="24"/>
        </w:rPr>
        <w:t>first</w:t>
      </w:r>
      <w:r>
        <w:rPr>
          <w:spacing w:val="40"/>
          <w:sz w:val="24"/>
        </w:rPr>
        <w:t> </w:t>
      </w:r>
      <w:r>
        <w:rPr>
          <w:sz w:val="24"/>
        </w:rPr>
        <w:t>offered</w:t>
      </w:r>
      <w:r>
        <w:rPr>
          <w:spacing w:val="40"/>
          <w:sz w:val="24"/>
        </w:rPr>
        <w:t> </w:t>
      </w:r>
      <w:r>
        <w:rPr>
          <w:sz w:val="24"/>
        </w:rPr>
        <w:t>to</w:t>
      </w:r>
      <w:r>
        <w:rPr>
          <w:spacing w:val="40"/>
          <w:sz w:val="24"/>
        </w:rPr>
        <w:t> </w:t>
      </w:r>
      <w:r>
        <w:rPr>
          <w:sz w:val="24"/>
        </w:rPr>
        <w:t>the</w:t>
      </w:r>
      <w:r>
        <w:rPr>
          <w:spacing w:val="40"/>
          <w:sz w:val="24"/>
        </w:rPr>
        <w:t> </w:t>
      </w:r>
      <w:r>
        <w:rPr>
          <w:sz w:val="24"/>
        </w:rPr>
        <w:t>Central</w:t>
      </w:r>
      <w:r>
        <w:rPr>
          <w:spacing w:val="40"/>
          <w:sz w:val="24"/>
        </w:rPr>
        <w:t> </w:t>
      </w:r>
      <w:r>
        <w:rPr>
          <w:spacing w:val="9"/>
          <w:sz w:val="24"/>
        </w:rPr>
        <w:t>Govt.,</w:t>
      </w:r>
      <w:r>
        <w:rPr>
          <w:spacing w:val="40"/>
          <w:sz w:val="24"/>
        </w:rPr>
        <w:t> </w:t>
      </w:r>
      <w:r>
        <w:rPr>
          <w:sz w:val="24"/>
        </w:rPr>
        <w:t>its</w:t>
      </w:r>
      <w:r>
        <w:rPr>
          <w:spacing w:val="40"/>
          <w:sz w:val="24"/>
        </w:rPr>
        <w:t> </w:t>
      </w:r>
      <w:r>
        <w:rPr>
          <w:sz w:val="24"/>
        </w:rPr>
        <w:t>statutory</w:t>
      </w:r>
      <w:r>
        <w:rPr>
          <w:spacing w:val="40"/>
          <w:sz w:val="24"/>
        </w:rPr>
        <w:t> </w:t>
      </w:r>
      <w:r>
        <w:rPr>
          <w:sz w:val="24"/>
        </w:rPr>
        <w:t>bodies, Central/ State PSUs for purchase as staff quarters and if the Central</w:t>
      </w:r>
      <w:r>
        <w:rPr>
          <w:spacing w:val="40"/>
          <w:sz w:val="24"/>
        </w:rPr>
        <w:t> </w:t>
      </w:r>
      <w:r>
        <w:rPr>
          <w:sz w:val="24"/>
        </w:rPr>
        <w:t>Govt.</w:t>
      </w:r>
      <w:r>
        <w:rPr>
          <w:spacing w:val="40"/>
          <w:sz w:val="24"/>
        </w:rPr>
        <w:t> </w:t>
      </w:r>
      <w:r>
        <w:rPr>
          <w:sz w:val="24"/>
        </w:rPr>
        <w:t>or</w:t>
      </w:r>
      <w:r>
        <w:rPr>
          <w:spacing w:val="40"/>
          <w:sz w:val="24"/>
        </w:rPr>
        <w:t> </w:t>
      </w:r>
      <w:r>
        <w:rPr>
          <w:sz w:val="24"/>
        </w:rPr>
        <w:t>its</w:t>
      </w:r>
      <w:r>
        <w:rPr>
          <w:spacing w:val="40"/>
          <w:sz w:val="24"/>
        </w:rPr>
        <w:t> </w:t>
      </w:r>
      <w:r>
        <w:rPr>
          <w:sz w:val="24"/>
        </w:rPr>
        <w:t>statutory</w:t>
      </w:r>
      <w:r>
        <w:rPr>
          <w:spacing w:val="40"/>
          <w:sz w:val="24"/>
        </w:rPr>
        <w:t> </w:t>
      </w:r>
      <w:r>
        <w:rPr>
          <w:sz w:val="24"/>
        </w:rPr>
        <w:t>Bodies</w:t>
      </w:r>
      <w:r>
        <w:rPr>
          <w:spacing w:val="40"/>
          <w:sz w:val="24"/>
        </w:rPr>
        <w:t> </w:t>
      </w:r>
      <w:r>
        <w:rPr>
          <w:sz w:val="24"/>
        </w:rPr>
        <w:t>or</w:t>
      </w:r>
      <w:r>
        <w:rPr>
          <w:spacing w:val="40"/>
          <w:sz w:val="24"/>
        </w:rPr>
        <w:t> </w:t>
      </w:r>
      <w:r>
        <w:rPr>
          <w:sz w:val="24"/>
        </w:rPr>
        <w:t>Central/</w:t>
      </w:r>
      <w:r>
        <w:rPr>
          <w:spacing w:val="40"/>
          <w:sz w:val="24"/>
        </w:rPr>
        <w:t> </w:t>
      </w:r>
      <w:r>
        <w:rPr>
          <w:sz w:val="24"/>
        </w:rPr>
        <w:t>State</w:t>
      </w:r>
      <w:r>
        <w:rPr>
          <w:spacing w:val="40"/>
          <w:sz w:val="24"/>
        </w:rPr>
        <w:t> </w:t>
      </w:r>
      <w:r>
        <w:rPr>
          <w:sz w:val="24"/>
        </w:rPr>
        <w:t>PSUs</w:t>
      </w:r>
      <w:r>
        <w:rPr>
          <w:spacing w:val="40"/>
          <w:sz w:val="24"/>
        </w:rPr>
        <w:t> </w:t>
      </w:r>
      <w:r>
        <w:rPr>
          <w:sz w:val="24"/>
        </w:rPr>
        <w:t>do not indicate willingness to purchase the </w:t>
      </w:r>
      <w:r>
        <w:rPr>
          <w:spacing w:val="10"/>
          <w:sz w:val="24"/>
        </w:rPr>
        <w:t>same</w:t>
      </w:r>
      <w:r>
        <w:rPr>
          <w:spacing w:val="10"/>
          <w:sz w:val="24"/>
        </w:rPr>
        <w:t> </w:t>
      </w:r>
      <w:r>
        <w:rPr>
          <w:sz w:val="24"/>
        </w:rPr>
        <w:t>within the prescribed</w:t>
      </w:r>
      <w:r>
        <w:rPr>
          <w:spacing w:val="40"/>
          <w:sz w:val="24"/>
        </w:rPr>
        <w:t> </w:t>
      </w:r>
      <w:r>
        <w:rPr>
          <w:sz w:val="24"/>
        </w:rPr>
        <w:t>time</w:t>
      </w:r>
      <w:r>
        <w:rPr>
          <w:spacing w:val="40"/>
          <w:sz w:val="24"/>
        </w:rPr>
        <w:t> </w:t>
      </w:r>
      <w:r>
        <w:rPr>
          <w:sz w:val="24"/>
        </w:rPr>
        <w:t>limit,</w:t>
      </w:r>
      <w:r>
        <w:rPr>
          <w:spacing w:val="40"/>
          <w:sz w:val="24"/>
        </w:rPr>
        <w:t> </w:t>
      </w:r>
      <w:r>
        <w:rPr>
          <w:sz w:val="24"/>
        </w:rPr>
        <w:t>such</w:t>
      </w:r>
      <w:r>
        <w:rPr>
          <w:spacing w:val="40"/>
          <w:sz w:val="24"/>
        </w:rPr>
        <w:t> </w:t>
      </w:r>
      <w:r>
        <w:rPr>
          <w:sz w:val="24"/>
        </w:rPr>
        <w:t>flats</w:t>
      </w:r>
      <w:r>
        <w:rPr>
          <w:spacing w:val="40"/>
          <w:sz w:val="24"/>
        </w:rPr>
        <w:t> </w:t>
      </w:r>
      <w:r>
        <w:rPr>
          <w:sz w:val="24"/>
        </w:rPr>
        <w:t>shall</w:t>
      </w:r>
      <w:r>
        <w:rPr>
          <w:spacing w:val="40"/>
          <w:sz w:val="24"/>
        </w:rPr>
        <w:t> </w:t>
      </w:r>
      <w:r>
        <w:rPr>
          <w:sz w:val="24"/>
        </w:rPr>
        <w:t>be</w:t>
      </w:r>
      <w:r>
        <w:rPr>
          <w:spacing w:val="40"/>
          <w:sz w:val="24"/>
        </w:rPr>
        <w:t> </w:t>
      </w:r>
      <w:r>
        <w:rPr>
          <w:sz w:val="24"/>
        </w:rPr>
        <w:t>sold</w:t>
      </w:r>
      <w:r>
        <w:rPr>
          <w:spacing w:val="40"/>
          <w:sz w:val="24"/>
        </w:rPr>
        <w:t> </w:t>
      </w:r>
      <w:r>
        <w:rPr>
          <w:sz w:val="24"/>
        </w:rPr>
        <w:t>in</w:t>
      </w:r>
      <w:r>
        <w:rPr>
          <w:spacing w:val="40"/>
          <w:sz w:val="24"/>
        </w:rPr>
        <w:t> </w:t>
      </w:r>
      <w:r>
        <w:rPr>
          <w:sz w:val="24"/>
        </w:rPr>
        <w:t>open</w:t>
      </w:r>
      <w:r>
        <w:rPr>
          <w:spacing w:val="40"/>
          <w:sz w:val="24"/>
        </w:rPr>
        <w:t> </w:t>
      </w:r>
      <w:r>
        <w:rPr>
          <w:spacing w:val="9"/>
          <w:sz w:val="24"/>
        </w:rPr>
        <w:t>market.</w:t>
      </w:r>
    </w:p>
    <w:p>
      <w:pPr>
        <w:pStyle w:val="ListParagraph"/>
        <w:numPr>
          <w:ilvl w:val="1"/>
          <w:numId w:val="136"/>
        </w:numPr>
        <w:tabs>
          <w:tab w:pos="2665" w:val="left" w:leader="none"/>
        </w:tabs>
        <w:spacing w:line="240" w:lineRule="auto" w:before="201" w:after="0"/>
        <w:ind w:left="2422" w:right="774" w:firstLine="0"/>
        <w:jc w:val="both"/>
        <w:rPr>
          <w:sz w:val="22"/>
        </w:rPr>
      </w:pPr>
      <w:r>
        <w:rPr>
          <w:sz w:val="24"/>
        </w:rPr>
        <w:t>Development</w:t>
      </w:r>
      <w:r>
        <w:rPr>
          <w:spacing w:val="40"/>
          <w:sz w:val="24"/>
        </w:rPr>
        <w:t> </w:t>
      </w:r>
      <w:r>
        <w:rPr>
          <w:sz w:val="24"/>
        </w:rPr>
        <w:t>cess</w:t>
      </w:r>
      <w:r>
        <w:rPr>
          <w:spacing w:val="40"/>
          <w:sz w:val="24"/>
        </w:rPr>
        <w:t> </w:t>
      </w:r>
      <w:r>
        <w:rPr>
          <w:sz w:val="24"/>
        </w:rPr>
        <w:t>at</w:t>
      </w:r>
      <w:r>
        <w:rPr>
          <w:spacing w:val="40"/>
          <w:sz w:val="24"/>
        </w:rPr>
        <w:t> </w:t>
      </w:r>
      <w:r>
        <w:rPr>
          <w:sz w:val="24"/>
        </w:rPr>
        <w:t>7%</w:t>
      </w:r>
      <w:r>
        <w:rPr>
          <w:spacing w:val="40"/>
          <w:sz w:val="24"/>
        </w:rPr>
        <w:t> </w:t>
      </w:r>
      <w:r>
        <w:rPr>
          <w:sz w:val="24"/>
        </w:rPr>
        <w:t>of</w:t>
      </w:r>
      <w:r>
        <w:rPr>
          <w:spacing w:val="40"/>
          <w:sz w:val="24"/>
        </w:rPr>
        <w:t> </w:t>
      </w:r>
      <w:r>
        <w:rPr>
          <w:sz w:val="24"/>
        </w:rPr>
        <w:t>the</w:t>
      </w:r>
      <w:r>
        <w:rPr>
          <w:spacing w:val="40"/>
          <w:sz w:val="24"/>
        </w:rPr>
        <w:t> </w:t>
      </w:r>
      <w:r>
        <w:rPr>
          <w:sz w:val="24"/>
        </w:rPr>
        <w:t>Land</w:t>
      </w:r>
      <w:r>
        <w:rPr>
          <w:spacing w:val="40"/>
          <w:sz w:val="24"/>
        </w:rPr>
        <w:t> </w:t>
      </w:r>
      <w:r>
        <w:rPr>
          <w:sz w:val="24"/>
        </w:rPr>
        <w:t>Rate</w:t>
      </w:r>
      <w:r>
        <w:rPr>
          <w:spacing w:val="40"/>
          <w:sz w:val="24"/>
        </w:rPr>
        <w:t> </w:t>
      </w:r>
      <w:r>
        <w:rPr>
          <w:sz w:val="24"/>
        </w:rPr>
        <w:t>for</w:t>
      </w:r>
      <w:r>
        <w:rPr>
          <w:spacing w:val="40"/>
          <w:sz w:val="24"/>
        </w:rPr>
        <w:t> </w:t>
      </w:r>
      <w:r>
        <w:rPr>
          <w:sz w:val="24"/>
        </w:rPr>
        <w:t>the</w:t>
      </w:r>
      <w:r>
        <w:rPr>
          <w:spacing w:val="40"/>
          <w:sz w:val="24"/>
        </w:rPr>
        <w:t> </w:t>
      </w:r>
      <w:r>
        <w:rPr>
          <w:sz w:val="24"/>
        </w:rPr>
        <w:t>BUA</w:t>
      </w:r>
      <w:r>
        <w:rPr>
          <w:spacing w:val="40"/>
          <w:sz w:val="24"/>
        </w:rPr>
        <w:t> </w:t>
      </w:r>
      <w:r>
        <w:rPr>
          <w:sz w:val="24"/>
        </w:rPr>
        <w:t>as</w:t>
      </w:r>
      <w:r>
        <w:rPr>
          <w:spacing w:val="40"/>
          <w:sz w:val="24"/>
        </w:rPr>
        <w:t> </w:t>
      </w:r>
      <w:r>
        <w:rPr>
          <w:sz w:val="24"/>
        </w:rPr>
        <w:t>per ASR (for FSI 1) of the year of approval for the BUA beyond Zonal (basic)</w:t>
      </w:r>
      <w:r>
        <w:rPr>
          <w:spacing w:val="40"/>
          <w:sz w:val="24"/>
        </w:rPr>
        <w:t> </w:t>
      </w:r>
      <w:r>
        <w:rPr>
          <w:sz w:val="24"/>
        </w:rPr>
        <w:t>FSI</w:t>
      </w:r>
      <w:r>
        <w:rPr>
          <w:spacing w:val="40"/>
          <w:sz w:val="24"/>
        </w:rPr>
        <w:t> </w:t>
      </w:r>
      <w:r>
        <w:rPr>
          <w:sz w:val="24"/>
        </w:rPr>
        <w:t>(excluding</w:t>
      </w:r>
      <w:r>
        <w:rPr>
          <w:spacing w:val="40"/>
          <w:sz w:val="24"/>
        </w:rPr>
        <w:t> </w:t>
      </w:r>
      <w:r>
        <w:rPr>
          <w:sz w:val="24"/>
        </w:rPr>
        <w:t>fungible</w:t>
      </w:r>
      <w:r>
        <w:rPr>
          <w:spacing w:val="40"/>
          <w:sz w:val="24"/>
        </w:rPr>
        <w:t> </w:t>
      </w:r>
      <w:r>
        <w:rPr>
          <w:sz w:val="24"/>
        </w:rPr>
        <w:t>compensatory</w:t>
      </w:r>
      <w:r>
        <w:rPr>
          <w:spacing w:val="40"/>
          <w:sz w:val="24"/>
        </w:rPr>
        <w:t> </w:t>
      </w:r>
      <w:r>
        <w:rPr>
          <w:sz w:val="24"/>
        </w:rPr>
        <w:t>area)</w:t>
      </w:r>
      <w:r>
        <w:rPr>
          <w:spacing w:val="40"/>
          <w:sz w:val="24"/>
        </w:rPr>
        <w:t> </w:t>
      </w:r>
      <w:r>
        <w:rPr>
          <w:sz w:val="24"/>
        </w:rPr>
        <w:t>shall</w:t>
      </w:r>
      <w:r>
        <w:rPr>
          <w:spacing w:val="40"/>
          <w:sz w:val="24"/>
        </w:rPr>
        <w:t> </w:t>
      </w:r>
      <w:r>
        <w:rPr>
          <w:sz w:val="24"/>
        </w:rPr>
        <w:t>be</w:t>
      </w:r>
      <w:r>
        <w:rPr>
          <w:spacing w:val="40"/>
          <w:sz w:val="24"/>
        </w:rPr>
        <w:t> </w:t>
      </w:r>
      <w:r>
        <w:rPr>
          <w:sz w:val="24"/>
        </w:rPr>
        <w:t>paid to MCGM. TheDevelopment cess shall be in addition to</w:t>
      </w:r>
      <w:r>
        <w:rPr>
          <w:spacing w:val="40"/>
          <w:sz w:val="24"/>
        </w:rPr>
        <w:t> </w:t>
      </w:r>
      <w:r>
        <w:rPr>
          <w:sz w:val="24"/>
        </w:rPr>
        <w:t>development</w:t>
      </w:r>
      <w:r>
        <w:rPr>
          <w:spacing w:val="40"/>
          <w:sz w:val="24"/>
        </w:rPr>
        <w:t> </w:t>
      </w:r>
      <w:r>
        <w:rPr>
          <w:sz w:val="24"/>
        </w:rPr>
        <w:t>charges</w:t>
      </w:r>
      <w:r>
        <w:rPr>
          <w:spacing w:val="40"/>
          <w:sz w:val="24"/>
        </w:rPr>
        <w:t> </w:t>
      </w:r>
      <w:r>
        <w:rPr>
          <w:sz w:val="24"/>
        </w:rPr>
        <w:t>levied</w:t>
      </w:r>
      <w:r>
        <w:rPr>
          <w:spacing w:val="40"/>
          <w:sz w:val="24"/>
        </w:rPr>
        <w:t> </w:t>
      </w:r>
      <w:r>
        <w:rPr>
          <w:sz w:val="24"/>
        </w:rPr>
        <w:t>as</w:t>
      </w:r>
      <w:r>
        <w:rPr>
          <w:spacing w:val="40"/>
          <w:sz w:val="24"/>
        </w:rPr>
        <w:t> </w:t>
      </w:r>
      <w:r>
        <w:rPr>
          <w:sz w:val="24"/>
        </w:rPr>
        <w:t>per</w:t>
      </w:r>
      <w:r>
        <w:rPr>
          <w:spacing w:val="40"/>
          <w:sz w:val="24"/>
        </w:rPr>
        <w:t> </w:t>
      </w:r>
      <w:r>
        <w:rPr>
          <w:sz w:val="24"/>
        </w:rPr>
        <w:t>section</w:t>
      </w:r>
      <w:r>
        <w:rPr>
          <w:spacing w:val="40"/>
          <w:sz w:val="24"/>
        </w:rPr>
        <w:t> </w:t>
      </w:r>
      <w:r>
        <w:rPr>
          <w:sz w:val="24"/>
        </w:rPr>
        <w:t>124</w:t>
      </w:r>
      <w:r>
        <w:rPr>
          <w:spacing w:val="40"/>
          <w:sz w:val="24"/>
        </w:rPr>
        <w:t> </w:t>
      </w:r>
      <w:r>
        <w:rPr>
          <w:sz w:val="24"/>
        </w:rPr>
        <w:t>of</w:t>
      </w:r>
      <w:r>
        <w:rPr>
          <w:spacing w:val="40"/>
          <w:sz w:val="24"/>
        </w:rPr>
        <w:t> </w:t>
      </w:r>
      <w:r>
        <w:rPr>
          <w:sz w:val="24"/>
        </w:rPr>
        <w:t>MR&amp;TP</w:t>
      </w:r>
      <w:r>
        <w:rPr>
          <w:spacing w:val="40"/>
          <w:sz w:val="24"/>
        </w:rPr>
        <w:t> </w:t>
      </w:r>
      <w:r>
        <w:rPr>
          <w:spacing w:val="9"/>
          <w:sz w:val="24"/>
        </w:rPr>
        <w:t>Act </w:t>
      </w:r>
      <w:r>
        <w:rPr>
          <w:spacing w:val="-4"/>
          <w:sz w:val="24"/>
        </w:rPr>
        <w:t>1966</w:t>
      </w:r>
    </w:p>
    <w:p>
      <w:pPr>
        <w:pStyle w:val="ListParagraph"/>
        <w:numPr>
          <w:ilvl w:val="1"/>
          <w:numId w:val="136"/>
        </w:numPr>
        <w:tabs>
          <w:tab w:pos="2782" w:val="left" w:leader="none"/>
        </w:tabs>
        <w:spacing w:line="240" w:lineRule="auto" w:before="240" w:after="0"/>
        <w:ind w:left="2782" w:right="783" w:hanging="360"/>
        <w:jc w:val="both"/>
        <w:rPr>
          <w:sz w:val="24"/>
        </w:rPr>
      </w:pPr>
      <w:r>
        <w:rPr>
          <w:sz w:val="24"/>
        </w:rPr>
        <w:t>(i)No</w:t>
      </w:r>
      <w:r>
        <w:rPr>
          <w:spacing w:val="40"/>
          <w:sz w:val="24"/>
        </w:rPr>
        <w:t> </w:t>
      </w:r>
      <w:r>
        <w:rPr>
          <w:sz w:val="24"/>
        </w:rPr>
        <w:t>premium</w:t>
      </w:r>
      <w:r>
        <w:rPr>
          <w:spacing w:val="40"/>
          <w:sz w:val="24"/>
        </w:rPr>
        <w:t> </w:t>
      </w:r>
      <w:r>
        <w:rPr>
          <w:sz w:val="24"/>
        </w:rPr>
        <w:t>shall</w:t>
      </w:r>
      <w:r>
        <w:rPr>
          <w:spacing w:val="40"/>
          <w:sz w:val="24"/>
        </w:rPr>
        <w:t> </w:t>
      </w:r>
      <w:r>
        <w:rPr>
          <w:sz w:val="24"/>
        </w:rPr>
        <w:t>be</w:t>
      </w:r>
      <w:r>
        <w:rPr>
          <w:spacing w:val="40"/>
          <w:sz w:val="24"/>
        </w:rPr>
        <w:t> </w:t>
      </w:r>
      <w:r>
        <w:rPr>
          <w:sz w:val="24"/>
        </w:rPr>
        <w:t>charged</w:t>
      </w:r>
      <w:r>
        <w:rPr>
          <w:spacing w:val="40"/>
          <w:sz w:val="24"/>
        </w:rPr>
        <w:t> </w:t>
      </w:r>
      <w:r>
        <w:rPr>
          <w:sz w:val="24"/>
        </w:rPr>
        <w:t>for</w:t>
      </w:r>
      <w:r>
        <w:rPr>
          <w:spacing w:val="40"/>
          <w:sz w:val="24"/>
        </w:rPr>
        <w:t> </w:t>
      </w:r>
      <w:r>
        <w:rPr>
          <w:sz w:val="24"/>
        </w:rPr>
        <w:t>fungible</w:t>
      </w:r>
      <w:r>
        <w:rPr>
          <w:spacing w:val="40"/>
          <w:sz w:val="24"/>
        </w:rPr>
        <w:t> </w:t>
      </w:r>
      <w:r>
        <w:rPr>
          <w:sz w:val="24"/>
        </w:rPr>
        <w:t>compensatory area admissible as per DCR 31(3) for construction of staff quarters</w:t>
      </w:r>
      <w:r>
        <w:rPr>
          <w:spacing w:val="40"/>
          <w:sz w:val="24"/>
        </w:rPr>
        <w:t> </w:t>
      </w:r>
      <w:r>
        <w:rPr>
          <w:sz w:val="24"/>
        </w:rPr>
        <w:t>of</w:t>
      </w:r>
      <w:r>
        <w:rPr>
          <w:spacing w:val="40"/>
          <w:sz w:val="24"/>
        </w:rPr>
        <w:t> </w:t>
      </w:r>
      <w:r>
        <w:rPr>
          <w:sz w:val="24"/>
        </w:rPr>
        <w:t>MCGM</w:t>
      </w:r>
      <w:r>
        <w:rPr>
          <w:spacing w:val="40"/>
          <w:sz w:val="24"/>
        </w:rPr>
        <w:t> </w:t>
      </w:r>
      <w:r>
        <w:rPr>
          <w:sz w:val="24"/>
        </w:rPr>
        <w:t>&amp;</w:t>
      </w:r>
      <w:r>
        <w:rPr>
          <w:spacing w:val="40"/>
          <w:sz w:val="24"/>
        </w:rPr>
        <w:t> </w:t>
      </w:r>
      <w:r>
        <w:rPr>
          <w:sz w:val="24"/>
        </w:rPr>
        <w:t>State</w:t>
      </w:r>
      <w:r>
        <w:rPr>
          <w:spacing w:val="9"/>
          <w:sz w:val="24"/>
        </w:rPr>
        <w:t> Government.</w:t>
      </w:r>
    </w:p>
    <w:p>
      <w:pPr>
        <w:pStyle w:val="ListParagraph"/>
        <w:numPr>
          <w:ilvl w:val="2"/>
          <w:numId w:val="136"/>
        </w:numPr>
        <w:tabs>
          <w:tab w:pos="3105" w:val="left" w:leader="none"/>
        </w:tabs>
        <w:spacing w:line="240" w:lineRule="auto" w:before="242" w:after="0"/>
        <w:ind w:left="2782" w:right="780" w:firstLine="0"/>
        <w:jc w:val="both"/>
        <w:rPr>
          <w:sz w:val="24"/>
        </w:rPr>
      </w:pPr>
      <w:r>
        <w:rPr>
          <w:sz w:val="24"/>
        </w:rPr>
        <w:t>No</w:t>
      </w:r>
      <w:r>
        <w:rPr>
          <w:spacing w:val="40"/>
          <w:sz w:val="24"/>
        </w:rPr>
        <w:t> </w:t>
      </w:r>
      <w:r>
        <w:rPr>
          <w:sz w:val="24"/>
        </w:rPr>
        <w:t>premium</w:t>
      </w:r>
      <w:r>
        <w:rPr>
          <w:spacing w:val="40"/>
          <w:sz w:val="24"/>
        </w:rPr>
        <w:t> </w:t>
      </w:r>
      <w:r>
        <w:rPr>
          <w:sz w:val="24"/>
        </w:rPr>
        <w:t>shall</w:t>
      </w:r>
      <w:r>
        <w:rPr>
          <w:spacing w:val="40"/>
          <w:sz w:val="24"/>
        </w:rPr>
        <w:t> </w:t>
      </w:r>
      <w:r>
        <w:rPr>
          <w:sz w:val="24"/>
        </w:rPr>
        <w:t>be</w:t>
      </w:r>
      <w:r>
        <w:rPr>
          <w:spacing w:val="40"/>
          <w:sz w:val="24"/>
        </w:rPr>
        <w:t> </w:t>
      </w:r>
      <w:r>
        <w:rPr>
          <w:sz w:val="24"/>
        </w:rPr>
        <w:t>payable</w:t>
      </w:r>
      <w:r>
        <w:rPr>
          <w:spacing w:val="40"/>
          <w:sz w:val="24"/>
        </w:rPr>
        <w:t> </w:t>
      </w:r>
      <w:r>
        <w:rPr>
          <w:sz w:val="24"/>
        </w:rPr>
        <w:t>for</w:t>
      </w:r>
      <w:r>
        <w:rPr>
          <w:spacing w:val="40"/>
          <w:sz w:val="24"/>
        </w:rPr>
        <w:t> </w:t>
      </w:r>
      <w:r>
        <w:rPr>
          <w:sz w:val="24"/>
        </w:rPr>
        <w:t>stair</w:t>
      </w:r>
      <w:r>
        <w:rPr>
          <w:spacing w:val="40"/>
          <w:sz w:val="24"/>
        </w:rPr>
        <w:t> </w:t>
      </w:r>
      <w:r>
        <w:rPr>
          <w:sz w:val="24"/>
        </w:rPr>
        <w:t>case,</w:t>
      </w:r>
      <w:r>
        <w:rPr>
          <w:spacing w:val="40"/>
          <w:sz w:val="24"/>
        </w:rPr>
        <w:t> </w:t>
      </w:r>
      <w:r>
        <w:rPr>
          <w:sz w:val="24"/>
        </w:rPr>
        <w:t>liftand</w:t>
      </w:r>
      <w:r>
        <w:rPr>
          <w:spacing w:val="40"/>
          <w:sz w:val="24"/>
        </w:rPr>
        <w:t> </w:t>
      </w:r>
      <w:r>
        <w:rPr>
          <w:sz w:val="24"/>
        </w:rPr>
        <w:t>lift lobby for the construction of staff quarters of MCGM &amp; State </w:t>
      </w:r>
      <w:r>
        <w:rPr>
          <w:spacing w:val="-2"/>
          <w:sz w:val="24"/>
        </w:rPr>
        <w:t>Government.</w:t>
      </w:r>
    </w:p>
    <w:p>
      <w:pPr>
        <w:pStyle w:val="ListParagraph"/>
        <w:numPr>
          <w:ilvl w:val="2"/>
          <w:numId w:val="136"/>
        </w:numPr>
        <w:tabs>
          <w:tab w:pos="3319" w:val="left" w:leader="none"/>
          <w:tab w:pos="3322" w:val="left" w:leader="none"/>
        </w:tabs>
        <w:spacing w:line="240" w:lineRule="auto" w:before="240" w:after="0"/>
        <w:ind w:left="3322" w:right="794" w:hanging="564"/>
        <w:jc w:val="left"/>
        <w:rPr>
          <w:sz w:val="24"/>
        </w:rPr>
      </w:pPr>
      <w:r>
        <w:rPr>
          <w:sz w:val="24"/>
        </w:rPr>
        <w:t>Open</w:t>
      </w:r>
      <w:r>
        <w:rPr>
          <w:spacing w:val="80"/>
          <w:sz w:val="24"/>
        </w:rPr>
        <w:t> </w:t>
      </w:r>
      <w:r>
        <w:rPr>
          <w:sz w:val="24"/>
        </w:rPr>
        <w:t>space</w:t>
      </w:r>
      <w:r>
        <w:rPr>
          <w:spacing w:val="80"/>
          <w:sz w:val="24"/>
        </w:rPr>
        <w:t> </w:t>
      </w:r>
      <w:r>
        <w:rPr>
          <w:sz w:val="24"/>
        </w:rPr>
        <w:t>deficiency</w:t>
      </w:r>
      <w:r>
        <w:rPr>
          <w:spacing w:val="80"/>
          <w:sz w:val="24"/>
        </w:rPr>
        <w:t> </w:t>
      </w:r>
      <w:r>
        <w:rPr>
          <w:sz w:val="24"/>
        </w:rPr>
        <w:t>shall</w:t>
      </w:r>
      <w:r>
        <w:rPr>
          <w:spacing w:val="80"/>
          <w:sz w:val="24"/>
        </w:rPr>
        <w:t> </w:t>
      </w:r>
      <w:r>
        <w:rPr>
          <w:sz w:val="24"/>
        </w:rPr>
        <w:t>be</w:t>
      </w:r>
      <w:r>
        <w:rPr>
          <w:spacing w:val="80"/>
          <w:sz w:val="24"/>
        </w:rPr>
        <w:t> </w:t>
      </w:r>
      <w:r>
        <w:rPr>
          <w:sz w:val="24"/>
        </w:rPr>
        <w:t>charged</w:t>
      </w:r>
      <w:r>
        <w:rPr>
          <w:spacing w:val="80"/>
          <w:sz w:val="24"/>
        </w:rPr>
        <w:t> </w:t>
      </w:r>
      <w:r>
        <w:rPr>
          <w:sz w:val="24"/>
        </w:rPr>
        <w:t>at</w:t>
      </w:r>
      <w:r>
        <w:rPr>
          <w:spacing w:val="80"/>
          <w:sz w:val="24"/>
        </w:rPr>
        <w:t> </w:t>
      </w:r>
      <w:r>
        <w:rPr>
          <w:sz w:val="24"/>
        </w:rPr>
        <w:t>the</w:t>
      </w:r>
      <w:r>
        <w:rPr>
          <w:spacing w:val="80"/>
          <w:sz w:val="24"/>
        </w:rPr>
        <w:t> </w:t>
      </w:r>
      <w:r>
        <w:rPr>
          <w:sz w:val="24"/>
        </w:rPr>
        <w:t>rate</w:t>
      </w:r>
      <w:r>
        <w:rPr>
          <w:spacing w:val="80"/>
          <w:sz w:val="24"/>
        </w:rPr>
        <w:t> </w:t>
      </w:r>
      <w:r>
        <w:rPr>
          <w:sz w:val="24"/>
        </w:rPr>
        <w:t>of 2.5%</w:t>
      </w:r>
      <w:r>
        <w:rPr>
          <w:spacing w:val="40"/>
          <w:sz w:val="24"/>
        </w:rPr>
        <w:t> </w:t>
      </w:r>
      <w:r>
        <w:rPr>
          <w:sz w:val="24"/>
        </w:rPr>
        <w:t>of</w:t>
      </w:r>
      <w:r>
        <w:rPr>
          <w:spacing w:val="40"/>
          <w:sz w:val="24"/>
        </w:rPr>
        <w:t> </w:t>
      </w:r>
      <w:r>
        <w:rPr>
          <w:sz w:val="24"/>
        </w:rPr>
        <w:t>the</w:t>
      </w:r>
      <w:r>
        <w:rPr>
          <w:spacing w:val="40"/>
          <w:sz w:val="24"/>
        </w:rPr>
        <w:t> </w:t>
      </w:r>
      <w:r>
        <w:rPr>
          <w:sz w:val="24"/>
        </w:rPr>
        <w:t>land</w:t>
      </w:r>
      <w:r>
        <w:rPr>
          <w:spacing w:val="40"/>
          <w:sz w:val="24"/>
        </w:rPr>
        <w:t> </w:t>
      </w:r>
      <w:r>
        <w:rPr>
          <w:sz w:val="24"/>
        </w:rPr>
        <w:t>rate</w:t>
      </w:r>
      <w:r>
        <w:rPr>
          <w:spacing w:val="40"/>
          <w:sz w:val="24"/>
        </w:rPr>
        <w:t> </w:t>
      </w:r>
      <w:r>
        <w:rPr>
          <w:sz w:val="24"/>
        </w:rPr>
        <w:t>of</w:t>
      </w:r>
      <w:r>
        <w:rPr>
          <w:spacing w:val="40"/>
          <w:sz w:val="24"/>
        </w:rPr>
        <w:t> </w:t>
      </w:r>
      <w:r>
        <w:rPr>
          <w:sz w:val="24"/>
        </w:rPr>
        <w:t>ASR</w:t>
      </w:r>
      <w:r>
        <w:rPr>
          <w:spacing w:val="40"/>
          <w:sz w:val="24"/>
        </w:rPr>
        <w:t> </w:t>
      </w:r>
      <w:r>
        <w:rPr>
          <w:sz w:val="24"/>
        </w:rPr>
        <w:t>(for</w:t>
      </w:r>
      <w:r>
        <w:rPr>
          <w:spacing w:val="40"/>
          <w:sz w:val="24"/>
        </w:rPr>
        <w:t> </w:t>
      </w:r>
      <w:r>
        <w:rPr>
          <w:sz w:val="24"/>
        </w:rPr>
        <w:t>FSI</w:t>
      </w:r>
      <w:r>
        <w:rPr>
          <w:spacing w:val="40"/>
          <w:sz w:val="24"/>
        </w:rPr>
        <w:t> </w:t>
      </w:r>
      <w:r>
        <w:rPr>
          <w:sz w:val="24"/>
        </w:rPr>
        <w:t>1).</w:t>
      </w:r>
    </w:p>
    <w:p>
      <w:pPr>
        <w:pStyle w:val="ListParagraph"/>
        <w:numPr>
          <w:ilvl w:val="2"/>
          <w:numId w:val="136"/>
        </w:numPr>
        <w:tabs>
          <w:tab w:pos="3254" w:val="left" w:leader="none"/>
        </w:tabs>
        <w:spacing w:line="240" w:lineRule="auto" w:before="239" w:after="0"/>
        <w:ind w:left="2782" w:right="780" w:firstLine="0"/>
        <w:jc w:val="left"/>
        <w:rPr>
          <w:sz w:val="24"/>
        </w:rPr>
      </w:pPr>
      <w:r>
        <w:rPr>
          <w:sz w:val="24"/>
        </w:rPr>
        <w:t>Provisions</w:t>
      </w:r>
      <w:r>
        <w:rPr>
          <w:spacing w:val="40"/>
          <w:sz w:val="24"/>
        </w:rPr>
        <w:t> </w:t>
      </w:r>
      <w:r>
        <w:rPr>
          <w:sz w:val="24"/>
        </w:rPr>
        <w:t>of</w:t>
      </w:r>
      <w:r>
        <w:rPr>
          <w:spacing w:val="40"/>
          <w:sz w:val="24"/>
        </w:rPr>
        <w:t> </w:t>
      </w:r>
      <w:r>
        <w:rPr>
          <w:sz w:val="24"/>
        </w:rPr>
        <w:t>IH</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applicable</w:t>
      </w:r>
      <w:r>
        <w:rPr>
          <w:spacing w:val="40"/>
          <w:sz w:val="24"/>
        </w:rPr>
        <w:t> </w:t>
      </w:r>
      <w:r>
        <w:rPr>
          <w:sz w:val="24"/>
        </w:rPr>
        <w:t>for</w:t>
      </w:r>
      <w:r>
        <w:rPr>
          <w:spacing w:val="80"/>
          <w:sz w:val="24"/>
        </w:rPr>
        <w:t> </w:t>
      </w:r>
      <w:r>
        <w:rPr>
          <w:sz w:val="24"/>
        </w:rPr>
        <w:t>development</w:t>
      </w:r>
      <w:r>
        <w:rPr>
          <w:spacing w:val="40"/>
          <w:sz w:val="24"/>
        </w:rPr>
        <w:t> </w:t>
      </w:r>
      <w:r>
        <w:rPr>
          <w:sz w:val="24"/>
        </w:rPr>
        <w:t>under this </w:t>
      </w:r>
      <w:r>
        <w:rPr>
          <w:spacing w:val="9"/>
          <w:sz w:val="24"/>
        </w:rPr>
        <w:t>Regulation.</w:t>
      </w:r>
    </w:p>
    <w:p>
      <w:pPr>
        <w:pStyle w:val="ListParagraph"/>
        <w:numPr>
          <w:ilvl w:val="1"/>
          <w:numId w:val="136"/>
        </w:numPr>
        <w:tabs>
          <w:tab w:pos="2782" w:val="left" w:leader="none"/>
          <w:tab w:pos="2855" w:val="left" w:leader="none"/>
        </w:tabs>
        <w:spacing w:line="240" w:lineRule="auto" w:before="240" w:after="0"/>
        <w:ind w:left="2782" w:right="776" w:hanging="360"/>
        <w:jc w:val="both"/>
        <w:rPr>
          <w:b/>
          <w:sz w:val="24"/>
        </w:rPr>
      </w:pPr>
      <w:r>
        <w:rPr>
          <w:b/>
          <w:sz w:val="24"/>
        </w:rPr>
        <w:tab/>
      </w:r>
      <w:r>
        <w:rPr>
          <w:sz w:val="24"/>
        </w:rPr>
        <w:t>For any staff quarters project under this Regulation, a Development Agreement shall be executed between the User Authority</w:t>
      </w:r>
      <w:r>
        <w:rPr>
          <w:spacing w:val="80"/>
          <w:sz w:val="24"/>
        </w:rPr>
        <w:t> </w:t>
      </w:r>
      <w:r>
        <w:rPr>
          <w:sz w:val="24"/>
        </w:rPr>
        <w:t>and</w:t>
      </w:r>
      <w:r>
        <w:rPr>
          <w:spacing w:val="80"/>
          <w:w w:val="150"/>
          <w:sz w:val="24"/>
        </w:rPr>
        <w:t> </w:t>
      </w:r>
      <w:r>
        <w:rPr>
          <w:sz w:val="24"/>
        </w:rPr>
        <w:t>Implementing</w:t>
      </w:r>
      <w:r>
        <w:rPr>
          <w:spacing w:val="80"/>
          <w:sz w:val="24"/>
        </w:rPr>
        <w:t> </w:t>
      </w:r>
      <w:r>
        <w:rPr>
          <w:sz w:val="24"/>
        </w:rPr>
        <w:t>Public</w:t>
      </w:r>
      <w:r>
        <w:rPr>
          <w:spacing w:val="80"/>
          <w:w w:val="150"/>
          <w:sz w:val="24"/>
        </w:rPr>
        <w:t> </w:t>
      </w:r>
      <w:r>
        <w:rPr>
          <w:sz w:val="24"/>
        </w:rPr>
        <w:t>Authority</w:t>
      </w:r>
      <w:r>
        <w:rPr>
          <w:spacing w:val="80"/>
          <w:w w:val="150"/>
          <w:sz w:val="24"/>
        </w:rPr>
        <w:t> </w:t>
      </w:r>
      <w:r>
        <w:rPr>
          <w:sz w:val="24"/>
        </w:rPr>
        <w:t>authorizing the</w:t>
      </w:r>
      <w:r>
        <w:rPr>
          <w:spacing w:val="80"/>
          <w:sz w:val="24"/>
        </w:rPr>
        <w:t> </w:t>
      </w:r>
      <w:r>
        <w:rPr>
          <w:sz w:val="24"/>
        </w:rPr>
        <w:t>Implementing</w:t>
      </w:r>
      <w:r>
        <w:rPr>
          <w:spacing w:val="80"/>
          <w:sz w:val="24"/>
        </w:rPr>
        <w:t> </w:t>
      </w:r>
      <w:r>
        <w:rPr>
          <w:sz w:val="24"/>
        </w:rPr>
        <w:t>Authority</w:t>
      </w:r>
      <w:r>
        <w:rPr>
          <w:spacing w:val="80"/>
          <w:sz w:val="24"/>
        </w:rPr>
        <w:t> </w:t>
      </w:r>
      <w:r>
        <w:rPr>
          <w:sz w:val="24"/>
        </w:rPr>
        <w:t>to</w:t>
      </w:r>
      <w:r>
        <w:rPr>
          <w:spacing w:val="80"/>
          <w:sz w:val="24"/>
        </w:rPr>
        <w:t> </w:t>
      </w:r>
      <w:r>
        <w:rPr>
          <w:sz w:val="24"/>
        </w:rPr>
        <w:t>dispose</w:t>
      </w:r>
      <w:r>
        <w:rPr>
          <w:spacing w:val="80"/>
          <w:sz w:val="24"/>
        </w:rPr>
        <w:t> </w:t>
      </w:r>
      <w:r>
        <w:rPr>
          <w:sz w:val="24"/>
        </w:rPr>
        <w:t>of</w:t>
      </w:r>
      <w:r>
        <w:rPr>
          <w:spacing w:val="80"/>
          <w:sz w:val="24"/>
        </w:rPr>
        <w:t> </w:t>
      </w:r>
      <w:r>
        <w:rPr>
          <w:sz w:val="24"/>
        </w:rPr>
        <w:t>the</w:t>
      </w:r>
      <w:r>
        <w:rPr>
          <w:spacing w:val="80"/>
          <w:sz w:val="24"/>
        </w:rPr>
        <w:t> </w:t>
      </w:r>
      <w:r>
        <w:rPr>
          <w:sz w:val="24"/>
        </w:rPr>
        <w:t>flats constructed under the free sale component of the </w:t>
      </w:r>
      <w:r>
        <w:rPr>
          <w:spacing w:val="9"/>
          <w:sz w:val="24"/>
        </w:rPr>
        <w:t>project </w:t>
      </w:r>
      <w:r>
        <w:rPr>
          <w:sz w:val="24"/>
        </w:rPr>
        <w:t>wherever </w:t>
      </w:r>
      <w:r>
        <w:rPr>
          <w:spacing w:val="9"/>
          <w:sz w:val="24"/>
        </w:rPr>
        <w:t>applicable.</w:t>
      </w:r>
    </w:p>
    <w:p>
      <w:pPr>
        <w:pStyle w:val="Heading6"/>
        <w:spacing w:before="240"/>
        <w:ind w:left="2602" w:right="766" w:hanging="540"/>
        <w:jc w:val="both"/>
      </w:pPr>
      <w:r>
        <w:rPr>
          <w:i w:val="0"/>
        </w:rPr>
        <w:t>33(3)(B)</w:t>
      </w:r>
      <w:r>
        <w:rPr/>
        <w:t>Development/Redevelopment for construction of staff quarters of Govt. or its statutory bodies (including CISF) or Municipal Corporation of Greater Mumbai or its statutory bodies on private lands.</w:t>
      </w:r>
    </w:p>
    <w:p>
      <w:pPr>
        <w:pStyle w:val="ListParagraph"/>
        <w:numPr>
          <w:ilvl w:val="0"/>
          <w:numId w:val="138"/>
        </w:numPr>
        <w:tabs>
          <w:tab w:pos="2782" w:val="left" w:leader="none"/>
        </w:tabs>
        <w:spacing w:line="240" w:lineRule="auto" w:before="241" w:after="0"/>
        <w:ind w:left="2782" w:right="781" w:hanging="360"/>
        <w:jc w:val="both"/>
        <w:rPr>
          <w:sz w:val="24"/>
        </w:rPr>
      </w:pPr>
      <w:r>
        <w:rPr>
          <w:sz w:val="24"/>
        </w:rPr>
        <w:t>The</w:t>
      </w:r>
      <w:r>
        <w:rPr>
          <w:spacing w:val="40"/>
          <w:sz w:val="24"/>
        </w:rPr>
        <w:t> </w:t>
      </w:r>
      <w:r>
        <w:rPr>
          <w:sz w:val="24"/>
        </w:rPr>
        <w:t>Commissioner</w:t>
      </w:r>
      <w:r>
        <w:rPr>
          <w:spacing w:val="40"/>
          <w:sz w:val="24"/>
        </w:rPr>
        <w:t> </w:t>
      </w:r>
      <w:r>
        <w:rPr>
          <w:sz w:val="24"/>
        </w:rPr>
        <w:t>may</w:t>
      </w:r>
      <w:r>
        <w:rPr>
          <w:spacing w:val="40"/>
          <w:sz w:val="24"/>
        </w:rPr>
        <w:t> </w:t>
      </w:r>
      <w:r>
        <w:rPr>
          <w:sz w:val="24"/>
        </w:rPr>
        <w:t>permit</w:t>
      </w:r>
      <w:r>
        <w:rPr>
          <w:spacing w:val="40"/>
          <w:sz w:val="24"/>
        </w:rPr>
        <w:t> </w:t>
      </w:r>
      <w:r>
        <w:rPr>
          <w:sz w:val="24"/>
        </w:rPr>
        <w:t>construction</w:t>
      </w:r>
      <w:r>
        <w:rPr>
          <w:spacing w:val="40"/>
          <w:sz w:val="24"/>
        </w:rPr>
        <w:t> </w:t>
      </w:r>
      <w:r>
        <w:rPr>
          <w:sz w:val="24"/>
        </w:rPr>
        <w:t>of</w:t>
      </w:r>
      <w:r>
        <w:rPr>
          <w:spacing w:val="40"/>
          <w:sz w:val="24"/>
        </w:rPr>
        <w:t> </w:t>
      </w:r>
      <w:r>
        <w:rPr>
          <w:sz w:val="24"/>
        </w:rPr>
        <w:t>staff</w:t>
      </w:r>
      <w:r>
        <w:rPr>
          <w:spacing w:val="9"/>
          <w:sz w:val="24"/>
        </w:rPr>
        <w:t> quarters </w:t>
      </w:r>
      <w:r>
        <w:rPr>
          <w:sz w:val="24"/>
        </w:rPr>
        <w:t>for the employees of Govt. /MCGM/their statutory bodies (hereinafter</w:t>
      </w:r>
      <w:r>
        <w:rPr>
          <w:spacing w:val="76"/>
          <w:sz w:val="24"/>
        </w:rPr>
        <w:t> </w:t>
      </w:r>
      <w:r>
        <w:rPr>
          <w:sz w:val="24"/>
        </w:rPr>
        <w:t>referred</w:t>
      </w:r>
      <w:r>
        <w:rPr>
          <w:spacing w:val="76"/>
          <w:sz w:val="24"/>
        </w:rPr>
        <w:t> </w:t>
      </w:r>
      <w:r>
        <w:rPr>
          <w:sz w:val="24"/>
        </w:rPr>
        <w:t>to</w:t>
      </w:r>
      <w:r>
        <w:rPr>
          <w:spacing w:val="76"/>
          <w:sz w:val="24"/>
        </w:rPr>
        <w:t> </w:t>
      </w:r>
      <w:r>
        <w:rPr>
          <w:sz w:val="24"/>
        </w:rPr>
        <w:t>as</w:t>
      </w:r>
      <w:r>
        <w:rPr>
          <w:spacing w:val="76"/>
          <w:sz w:val="24"/>
        </w:rPr>
        <w:t> </w:t>
      </w:r>
      <w:r>
        <w:rPr>
          <w:sz w:val="24"/>
        </w:rPr>
        <w:t>“User</w:t>
      </w:r>
      <w:r>
        <w:rPr>
          <w:spacing w:val="80"/>
          <w:sz w:val="24"/>
        </w:rPr>
        <w:t> </w:t>
      </w:r>
      <w:r>
        <w:rPr>
          <w:sz w:val="24"/>
        </w:rPr>
        <w:t>Authority’’)</w:t>
      </w:r>
      <w:r>
        <w:rPr>
          <w:spacing w:val="76"/>
          <w:sz w:val="24"/>
        </w:rPr>
        <w:t> </w:t>
      </w:r>
      <w:r>
        <w:rPr>
          <w:sz w:val="24"/>
        </w:rPr>
        <w:t>on</w:t>
      </w:r>
      <w:r>
        <w:rPr>
          <w:spacing w:val="76"/>
          <w:sz w:val="24"/>
        </w:rPr>
        <w:t> </w:t>
      </w:r>
      <w:r>
        <w:rPr>
          <w:sz w:val="24"/>
        </w:rPr>
        <w:t>private</w:t>
      </w:r>
      <w:r>
        <w:rPr>
          <w:spacing w:val="76"/>
          <w:sz w:val="24"/>
        </w:rPr>
        <w:t> </w:t>
      </w:r>
      <w:r>
        <w:rPr>
          <w:sz w:val="24"/>
        </w:rPr>
        <w:t>plots of</w:t>
      </w:r>
      <w:r>
        <w:rPr>
          <w:spacing w:val="40"/>
          <w:sz w:val="24"/>
        </w:rPr>
        <w:t> </w:t>
      </w:r>
      <w:r>
        <w:rPr>
          <w:sz w:val="24"/>
        </w:rPr>
        <w:t>lands,</w:t>
      </w:r>
      <w:r>
        <w:rPr>
          <w:spacing w:val="62"/>
          <w:sz w:val="24"/>
        </w:rPr>
        <w:t> </w:t>
      </w:r>
      <w:r>
        <w:rPr>
          <w:sz w:val="24"/>
        </w:rPr>
        <w:t>having</w:t>
      </w:r>
      <w:r>
        <w:rPr>
          <w:spacing w:val="40"/>
          <w:sz w:val="24"/>
        </w:rPr>
        <w:t> </w:t>
      </w:r>
      <w:r>
        <w:rPr>
          <w:sz w:val="24"/>
        </w:rPr>
        <w:t>minimum</w:t>
      </w:r>
      <w:r>
        <w:rPr>
          <w:spacing w:val="40"/>
          <w:sz w:val="24"/>
        </w:rPr>
        <w:t> </w:t>
      </w:r>
      <w:r>
        <w:rPr>
          <w:sz w:val="24"/>
        </w:rPr>
        <w:t>area</w:t>
      </w:r>
      <w:r>
        <w:rPr>
          <w:spacing w:val="40"/>
          <w:sz w:val="24"/>
        </w:rPr>
        <w:t> </w:t>
      </w:r>
      <w:r>
        <w:rPr>
          <w:sz w:val="24"/>
        </w:rPr>
        <w:t>of</w:t>
      </w:r>
      <w:r>
        <w:rPr>
          <w:spacing w:val="40"/>
          <w:sz w:val="24"/>
        </w:rPr>
        <w:t> </w:t>
      </w:r>
      <w:r>
        <w:rPr>
          <w:spacing w:val="9"/>
          <w:sz w:val="24"/>
        </w:rPr>
        <w:t>2000sq.m</w:t>
      </w:r>
      <w:r>
        <w:rPr>
          <w:spacing w:val="40"/>
          <w:sz w:val="24"/>
        </w:rPr>
        <w:t> </w:t>
      </w:r>
      <w:r>
        <w:rPr>
          <w:sz w:val="24"/>
        </w:rPr>
        <w:t>and</w:t>
      </w:r>
      <w:r>
        <w:rPr>
          <w:spacing w:val="40"/>
          <w:sz w:val="24"/>
        </w:rPr>
        <w:t> </w:t>
      </w:r>
      <w:r>
        <w:rPr>
          <w:sz w:val="24"/>
        </w:rPr>
        <w:t>abutting</w:t>
      </w:r>
      <w:r>
        <w:rPr>
          <w:spacing w:val="40"/>
          <w:sz w:val="24"/>
        </w:rPr>
        <w:t> </w:t>
      </w:r>
      <w:r>
        <w:rPr>
          <w:sz w:val="24"/>
        </w:rPr>
        <w:t>a</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782" w:right="778"/>
      </w:pPr>
      <w:r>
        <w:rPr/>
        <w:t>road</w:t>
      </w:r>
      <w:r>
        <w:rPr>
          <w:spacing w:val="37"/>
        </w:rPr>
        <w:t> </w:t>
      </w:r>
      <w:r>
        <w:rPr/>
        <w:t>having</w:t>
      </w:r>
      <w:r>
        <w:rPr>
          <w:spacing w:val="37"/>
        </w:rPr>
        <w:t> </w:t>
      </w:r>
      <w:r>
        <w:rPr/>
        <w:t>minimum</w:t>
      </w:r>
      <w:r>
        <w:rPr>
          <w:spacing w:val="37"/>
        </w:rPr>
        <w:t> </w:t>
      </w:r>
      <w:r>
        <w:rPr/>
        <w:t>width</w:t>
      </w:r>
      <w:r>
        <w:rPr>
          <w:spacing w:val="37"/>
        </w:rPr>
        <w:t> </w:t>
      </w:r>
      <w:r>
        <w:rPr/>
        <w:t>of</w:t>
      </w:r>
      <w:r>
        <w:rPr>
          <w:spacing w:val="37"/>
        </w:rPr>
        <w:t> </w:t>
      </w:r>
      <w:r>
        <w:rPr/>
        <w:t>12</w:t>
      </w:r>
      <w:r>
        <w:rPr>
          <w:spacing w:val="37"/>
        </w:rPr>
        <w:t> </w:t>
      </w:r>
      <w:r>
        <w:rPr/>
        <w:t>m</w:t>
      </w:r>
      <w:r>
        <w:rPr>
          <w:spacing w:val="40"/>
        </w:rPr>
        <w:t> </w:t>
      </w:r>
      <w:r>
        <w:rPr/>
        <w:t>and</w:t>
      </w:r>
      <w:r>
        <w:rPr>
          <w:spacing w:val="37"/>
        </w:rPr>
        <w:t> </w:t>
      </w:r>
      <w:r>
        <w:rPr/>
        <w:t>grant</w:t>
      </w:r>
      <w:r>
        <w:rPr>
          <w:spacing w:val="37"/>
        </w:rPr>
        <w:t> </w:t>
      </w:r>
      <w:r>
        <w:rPr/>
        <w:t>incentive</w:t>
      </w:r>
      <w:r>
        <w:rPr>
          <w:spacing w:val="40"/>
        </w:rPr>
        <w:t> </w:t>
      </w:r>
      <w:r>
        <w:rPr/>
        <w:t>FSI, as</w:t>
      </w:r>
      <w:r>
        <w:rPr>
          <w:spacing w:val="40"/>
        </w:rPr>
        <w:t> </w:t>
      </w:r>
      <w:r>
        <w:rPr/>
        <w:t>provided</w:t>
      </w:r>
      <w:r>
        <w:rPr>
          <w:spacing w:val="40"/>
        </w:rPr>
        <w:t> </w:t>
      </w:r>
      <w:r>
        <w:rPr/>
        <w:t>herein</w:t>
      </w:r>
      <w:r>
        <w:rPr>
          <w:spacing w:val="40"/>
        </w:rPr>
        <w:t> </w:t>
      </w:r>
      <w:r>
        <w:rPr/>
        <w:t>below,</w:t>
      </w:r>
      <w:r>
        <w:rPr>
          <w:spacing w:val="40"/>
        </w:rPr>
        <w:t> </w:t>
      </w:r>
      <w:r>
        <w:rPr/>
        <w:t>in</w:t>
      </w:r>
      <w:r>
        <w:rPr>
          <w:spacing w:val="40"/>
        </w:rPr>
        <w:t> </w:t>
      </w:r>
      <w:r>
        <w:rPr/>
        <w:t>lieu</w:t>
      </w:r>
      <w:r>
        <w:rPr>
          <w:spacing w:val="40"/>
        </w:rPr>
        <w:t> </w:t>
      </w:r>
      <w:r>
        <w:rPr/>
        <w:t>of</w:t>
      </w:r>
      <w:r>
        <w:rPr>
          <w:spacing w:val="40"/>
        </w:rPr>
        <w:t> </w:t>
      </w:r>
      <w:r>
        <w:rPr/>
        <w:t>BUA</w:t>
      </w:r>
      <w:r>
        <w:rPr>
          <w:spacing w:val="40"/>
        </w:rPr>
        <w:t> </w:t>
      </w:r>
      <w:r>
        <w:rPr/>
        <w:t>of</w:t>
      </w:r>
      <w:r>
        <w:rPr>
          <w:spacing w:val="40"/>
        </w:rPr>
        <w:t> </w:t>
      </w:r>
      <w:r>
        <w:rPr/>
        <w:t>staff</w:t>
      </w:r>
      <w:r>
        <w:rPr>
          <w:spacing w:val="40"/>
        </w:rPr>
        <w:t> </w:t>
      </w:r>
      <w:r>
        <w:rPr/>
        <w:t>quarters created and handed over free of cost to the User </w:t>
      </w:r>
      <w:r>
        <w:rPr>
          <w:spacing w:val="10"/>
        </w:rPr>
        <w:t>Authority, </w:t>
      </w:r>
      <w:r>
        <w:rPr/>
        <w:t>subject to payment of premium at the rate of 50% of ASR of developed</w:t>
      </w:r>
      <w:r>
        <w:rPr>
          <w:spacing w:val="40"/>
        </w:rPr>
        <w:t> </w:t>
      </w:r>
      <w:r>
        <w:rPr/>
        <w:t>land</w:t>
      </w:r>
      <w:r>
        <w:rPr>
          <w:spacing w:val="40"/>
        </w:rPr>
        <w:t> </w:t>
      </w:r>
      <w:r>
        <w:rPr/>
        <w:t>(for</w:t>
      </w:r>
      <w:r>
        <w:rPr>
          <w:spacing w:val="40"/>
        </w:rPr>
        <w:t> </w:t>
      </w:r>
      <w:r>
        <w:rPr/>
        <w:t>FSI</w:t>
      </w:r>
      <w:r>
        <w:rPr>
          <w:spacing w:val="40"/>
        </w:rPr>
        <w:t> </w:t>
      </w:r>
      <w:r>
        <w:rPr/>
        <w:t>1)</w:t>
      </w:r>
      <w:r>
        <w:rPr>
          <w:spacing w:val="40"/>
        </w:rPr>
        <w:t> </w:t>
      </w:r>
      <w:r>
        <w:rPr/>
        <w:t>or</w:t>
      </w:r>
      <w:r>
        <w:rPr>
          <w:spacing w:val="40"/>
        </w:rPr>
        <w:t> </w:t>
      </w:r>
      <w:r>
        <w:rPr/>
        <w:t>as</w:t>
      </w:r>
      <w:r>
        <w:rPr>
          <w:spacing w:val="40"/>
        </w:rPr>
        <w:t> </w:t>
      </w:r>
      <w:r>
        <w:rPr/>
        <w:t>decided</w:t>
      </w:r>
      <w:r>
        <w:rPr>
          <w:spacing w:val="40"/>
        </w:rPr>
        <w:t> </w:t>
      </w:r>
      <w:r>
        <w:rPr/>
        <w:t>by</w:t>
      </w:r>
      <w:r>
        <w:rPr>
          <w:spacing w:val="40"/>
        </w:rPr>
        <w:t> </w:t>
      </w:r>
      <w:r>
        <w:rPr/>
        <w:t>the</w:t>
      </w:r>
      <w:r>
        <w:rPr>
          <w:spacing w:val="40"/>
        </w:rPr>
        <w:t> </w:t>
      </w:r>
      <w:r>
        <w:rPr/>
        <w:t>Government from</w:t>
      </w:r>
      <w:r>
        <w:rPr>
          <w:spacing w:val="40"/>
        </w:rPr>
        <w:t> </w:t>
      </w:r>
      <w:r>
        <w:rPr/>
        <w:t>time</w:t>
      </w:r>
      <w:r>
        <w:rPr>
          <w:spacing w:val="40"/>
        </w:rPr>
        <w:t> </w:t>
      </w:r>
      <w:r>
        <w:rPr/>
        <w:t>to</w:t>
      </w:r>
      <w:r>
        <w:rPr>
          <w:spacing w:val="40"/>
        </w:rPr>
        <w:t> </w:t>
      </w:r>
      <w:r>
        <w:rPr/>
        <w:t>time</w:t>
      </w:r>
      <w:r>
        <w:rPr>
          <w:spacing w:val="40"/>
        </w:rPr>
        <w:t> </w:t>
      </w:r>
      <w:r>
        <w:rPr/>
        <w:t>except</w:t>
      </w:r>
      <w:r>
        <w:rPr>
          <w:spacing w:val="40"/>
        </w:rPr>
        <w:t> </w:t>
      </w:r>
      <w:r>
        <w:rPr/>
        <w:t>for</w:t>
      </w:r>
      <w:r>
        <w:rPr>
          <w:spacing w:val="40"/>
        </w:rPr>
        <w:t> </w:t>
      </w:r>
      <w:r>
        <w:rPr/>
        <w:t>the</w:t>
      </w:r>
      <w:r>
        <w:rPr>
          <w:spacing w:val="40"/>
        </w:rPr>
        <w:t> </w:t>
      </w:r>
      <w:r>
        <w:rPr/>
        <w:t>buildings</w:t>
      </w:r>
      <w:r>
        <w:rPr>
          <w:spacing w:val="40"/>
        </w:rPr>
        <w:t> </w:t>
      </w:r>
      <w:r>
        <w:rPr/>
        <w:t>of</w:t>
      </w:r>
      <w:r>
        <w:rPr>
          <w:spacing w:val="40"/>
        </w:rPr>
        <w:t> </w:t>
      </w:r>
      <w:r>
        <w:rPr/>
        <w:t>State Government</w:t>
      </w:r>
      <w:r>
        <w:rPr>
          <w:spacing w:val="40"/>
        </w:rPr>
        <w:t> </w:t>
      </w:r>
      <w:r>
        <w:rPr/>
        <w:t>&amp;</w:t>
      </w:r>
      <w:r>
        <w:rPr>
          <w:spacing w:val="40"/>
        </w:rPr>
        <w:t> </w:t>
      </w:r>
      <w:r>
        <w:rPr/>
        <w:t>MCGM</w:t>
      </w:r>
      <w:r>
        <w:rPr>
          <w:spacing w:val="80"/>
        </w:rPr>
        <w:t> </w:t>
      </w:r>
      <w:r>
        <w:rPr/>
        <w:t>and</w:t>
      </w:r>
      <w:r>
        <w:rPr>
          <w:spacing w:val="40"/>
        </w:rPr>
        <w:t> </w:t>
      </w:r>
      <w:r>
        <w:rPr/>
        <w:t>the</w:t>
      </w:r>
      <w:r>
        <w:rPr>
          <w:spacing w:val="40"/>
        </w:rPr>
        <w:t> </w:t>
      </w:r>
      <w:r>
        <w:rPr/>
        <w:t>following</w:t>
      </w:r>
      <w:r>
        <w:rPr>
          <w:spacing w:val="40"/>
        </w:rPr>
        <w:t> </w:t>
      </w:r>
      <w:r>
        <w:rPr/>
        <w:t>provisions:</w:t>
      </w:r>
    </w:p>
    <w:p>
      <w:pPr>
        <w:pStyle w:val="ListParagraph"/>
        <w:numPr>
          <w:ilvl w:val="0"/>
          <w:numId w:val="139"/>
        </w:numPr>
        <w:tabs>
          <w:tab w:pos="3027" w:val="left" w:leader="none"/>
        </w:tabs>
        <w:spacing w:line="240" w:lineRule="auto" w:before="1" w:after="0"/>
        <w:ind w:left="2782" w:right="774" w:firstLine="0"/>
        <w:jc w:val="both"/>
        <w:rPr>
          <w:sz w:val="24"/>
        </w:rPr>
      </w:pPr>
      <w:r>
        <w:rPr>
          <w:sz w:val="24"/>
        </w:rPr>
        <w:t>The</w:t>
      </w:r>
      <w:r>
        <w:rPr>
          <w:spacing w:val="40"/>
          <w:sz w:val="24"/>
        </w:rPr>
        <w:t> </w:t>
      </w:r>
      <w:r>
        <w:rPr>
          <w:sz w:val="24"/>
        </w:rPr>
        <w:t>area</w:t>
      </w:r>
      <w:r>
        <w:rPr>
          <w:spacing w:val="40"/>
          <w:sz w:val="24"/>
        </w:rPr>
        <w:t> </w:t>
      </w:r>
      <w:r>
        <w:rPr>
          <w:sz w:val="24"/>
        </w:rPr>
        <w:t>of</w:t>
      </w:r>
      <w:r>
        <w:rPr>
          <w:spacing w:val="40"/>
          <w:sz w:val="24"/>
        </w:rPr>
        <w:t> </w:t>
      </w:r>
      <w:r>
        <w:rPr>
          <w:sz w:val="24"/>
        </w:rPr>
        <w:t>staff</w:t>
      </w:r>
      <w:r>
        <w:rPr>
          <w:spacing w:val="40"/>
          <w:sz w:val="24"/>
        </w:rPr>
        <w:t> </w:t>
      </w:r>
      <w:r>
        <w:rPr>
          <w:sz w:val="24"/>
        </w:rPr>
        <w:t>quarters</w:t>
      </w:r>
      <w:r>
        <w:rPr>
          <w:spacing w:val="40"/>
          <w:sz w:val="24"/>
        </w:rPr>
        <w:t> </w:t>
      </w:r>
      <w:r>
        <w:rPr>
          <w:sz w:val="24"/>
        </w:rPr>
        <w:t>for</w:t>
      </w:r>
      <w:r>
        <w:rPr>
          <w:spacing w:val="40"/>
          <w:sz w:val="24"/>
        </w:rPr>
        <w:t> </w:t>
      </w:r>
      <w:r>
        <w:rPr>
          <w:sz w:val="24"/>
        </w:rPr>
        <w:t>various</w:t>
      </w:r>
      <w:r>
        <w:rPr>
          <w:spacing w:val="40"/>
          <w:sz w:val="24"/>
        </w:rPr>
        <w:t> </w:t>
      </w:r>
      <w:r>
        <w:rPr>
          <w:sz w:val="24"/>
        </w:rPr>
        <w:t>categories</w:t>
      </w:r>
      <w:r>
        <w:rPr>
          <w:spacing w:val="40"/>
          <w:sz w:val="24"/>
        </w:rPr>
        <w:t> </w:t>
      </w:r>
      <w:r>
        <w:rPr>
          <w:sz w:val="24"/>
        </w:rPr>
        <w:t>of employees shall be as per the norms prescribed by the</w:t>
      </w:r>
      <w:r>
        <w:rPr>
          <w:spacing w:val="40"/>
          <w:sz w:val="24"/>
        </w:rPr>
        <w:t> </w:t>
      </w:r>
      <w:r>
        <w:rPr>
          <w:sz w:val="24"/>
        </w:rPr>
        <w:t>concerned</w:t>
      </w:r>
      <w:r>
        <w:rPr>
          <w:spacing w:val="40"/>
          <w:sz w:val="24"/>
        </w:rPr>
        <w:t> </w:t>
      </w:r>
      <w:r>
        <w:rPr>
          <w:sz w:val="24"/>
        </w:rPr>
        <w:t>User</w:t>
      </w:r>
      <w:r>
        <w:rPr>
          <w:spacing w:val="40"/>
          <w:sz w:val="24"/>
        </w:rPr>
        <w:t> </w:t>
      </w:r>
      <w:r>
        <w:rPr>
          <w:sz w:val="24"/>
        </w:rPr>
        <w:t>Authority</w:t>
      </w:r>
      <w:r>
        <w:rPr>
          <w:spacing w:val="40"/>
          <w:sz w:val="24"/>
        </w:rPr>
        <w:t> </w:t>
      </w:r>
      <w:r>
        <w:rPr>
          <w:sz w:val="24"/>
        </w:rPr>
        <w:t>and</w:t>
      </w:r>
      <w:r>
        <w:rPr>
          <w:spacing w:val="40"/>
          <w:sz w:val="24"/>
        </w:rPr>
        <w:t> </w:t>
      </w:r>
      <w:r>
        <w:rPr>
          <w:sz w:val="24"/>
        </w:rPr>
        <w:t>in</w:t>
      </w:r>
      <w:r>
        <w:rPr>
          <w:spacing w:val="40"/>
          <w:sz w:val="24"/>
        </w:rPr>
        <w:t> </w:t>
      </w:r>
      <w:r>
        <w:rPr>
          <w:sz w:val="24"/>
        </w:rPr>
        <w:t>no</w:t>
      </w:r>
      <w:r>
        <w:rPr>
          <w:spacing w:val="40"/>
          <w:sz w:val="24"/>
        </w:rPr>
        <w:t> </w:t>
      </w:r>
      <w:r>
        <w:rPr>
          <w:sz w:val="24"/>
        </w:rPr>
        <w:t>case,</w:t>
      </w:r>
      <w:r>
        <w:rPr>
          <w:spacing w:val="40"/>
          <w:sz w:val="24"/>
        </w:rPr>
        <w:t> </w:t>
      </w:r>
      <w:r>
        <w:rPr>
          <w:sz w:val="24"/>
        </w:rPr>
        <w:t>shall</w:t>
      </w:r>
      <w:r>
        <w:rPr>
          <w:spacing w:val="40"/>
          <w:sz w:val="24"/>
        </w:rPr>
        <w:t> </w:t>
      </w:r>
      <w:r>
        <w:rPr>
          <w:sz w:val="24"/>
        </w:rPr>
        <w:t>the</w:t>
      </w:r>
      <w:r>
        <w:rPr>
          <w:spacing w:val="40"/>
          <w:sz w:val="24"/>
        </w:rPr>
        <w:t> </w:t>
      </w:r>
      <w:r>
        <w:rPr>
          <w:sz w:val="24"/>
        </w:rPr>
        <w:t>area</w:t>
      </w:r>
      <w:r>
        <w:rPr>
          <w:spacing w:val="40"/>
          <w:sz w:val="24"/>
        </w:rPr>
        <w:t> </w:t>
      </w:r>
      <w:r>
        <w:rPr>
          <w:sz w:val="24"/>
        </w:rPr>
        <w:t>of Staff Quarters exceed the maximum limit of carpet area as prescribed </w:t>
      </w:r>
      <w:r>
        <w:rPr>
          <w:spacing w:val="9"/>
          <w:sz w:val="24"/>
        </w:rPr>
        <w:t>therein.</w:t>
      </w:r>
    </w:p>
    <w:p>
      <w:pPr>
        <w:pStyle w:val="ListParagraph"/>
        <w:numPr>
          <w:ilvl w:val="0"/>
          <w:numId w:val="139"/>
        </w:numPr>
        <w:tabs>
          <w:tab w:pos="3105" w:val="left" w:leader="none"/>
        </w:tabs>
        <w:spacing w:line="240" w:lineRule="auto" w:before="1" w:after="0"/>
        <w:ind w:left="2782" w:right="796" w:firstLine="0"/>
        <w:jc w:val="both"/>
        <w:rPr>
          <w:sz w:val="24"/>
        </w:rPr>
      </w:pPr>
      <w:r>
        <w:rPr>
          <w:sz w:val="24"/>
        </w:rPr>
        <w:t>Incentive</w:t>
      </w:r>
      <w:r>
        <w:rPr>
          <w:spacing w:val="40"/>
          <w:sz w:val="24"/>
        </w:rPr>
        <w:t> </w:t>
      </w:r>
      <w:r>
        <w:rPr>
          <w:sz w:val="24"/>
        </w:rPr>
        <w:t>FSI</w:t>
      </w:r>
      <w:r>
        <w:rPr>
          <w:spacing w:val="40"/>
          <w:sz w:val="24"/>
        </w:rPr>
        <w:t> </w:t>
      </w:r>
      <w:r>
        <w:rPr>
          <w:sz w:val="24"/>
        </w:rPr>
        <w:t>shall</w:t>
      </w:r>
      <w:r>
        <w:rPr>
          <w:spacing w:val="40"/>
          <w:sz w:val="24"/>
        </w:rPr>
        <w:t> </w:t>
      </w:r>
      <w:r>
        <w:rPr>
          <w:sz w:val="24"/>
        </w:rPr>
        <w:t>be</w:t>
      </w:r>
      <w:r>
        <w:rPr>
          <w:spacing w:val="40"/>
          <w:sz w:val="24"/>
        </w:rPr>
        <w:t> </w:t>
      </w:r>
      <w:r>
        <w:rPr>
          <w:sz w:val="24"/>
        </w:rPr>
        <w:t>admissible</w:t>
      </w:r>
      <w:r>
        <w:rPr>
          <w:spacing w:val="40"/>
          <w:sz w:val="24"/>
        </w:rPr>
        <w:t> </w:t>
      </w:r>
      <w:r>
        <w:rPr>
          <w:sz w:val="24"/>
        </w:rPr>
        <w:t>against</w:t>
      </w:r>
      <w:r>
        <w:rPr>
          <w:spacing w:val="40"/>
          <w:sz w:val="24"/>
        </w:rPr>
        <w:t> </w:t>
      </w:r>
      <w:r>
        <w:rPr>
          <w:sz w:val="24"/>
        </w:rPr>
        <w:t>the</w:t>
      </w:r>
      <w:r>
        <w:rPr>
          <w:spacing w:val="40"/>
          <w:sz w:val="24"/>
        </w:rPr>
        <w:t> </w:t>
      </w:r>
      <w:r>
        <w:rPr>
          <w:sz w:val="24"/>
        </w:rPr>
        <w:t>FSI</w:t>
      </w:r>
      <w:r>
        <w:rPr>
          <w:spacing w:val="40"/>
          <w:sz w:val="24"/>
        </w:rPr>
        <w:t> </w:t>
      </w:r>
      <w:r>
        <w:rPr>
          <w:sz w:val="24"/>
        </w:rPr>
        <w:t>required for</w:t>
      </w:r>
      <w:r>
        <w:rPr>
          <w:spacing w:val="40"/>
          <w:sz w:val="24"/>
        </w:rPr>
        <w:t> </w:t>
      </w:r>
      <w:r>
        <w:rPr>
          <w:sz w:val="24"/>
        </w:rPr>
        <w:t>construction</w:t>
      </w:r>
      <w:r>
        <w:rPr>
          <w:spacing w:val="40"/>
          <w:sz w:val="24"/>
        </w:rPr>
        <w:t> </w:t>
      </w:r>
      <w:r>
        <w:rPr>
          <w:sz w:val="24"/>
        </w:rPr>
        <w:t>of</w:t>
      </w:r>
      <w:r>
        <w:rPr>
          <w:spacing w:val="80"/>
          <w:sz w:val="24"/>
        </w:rPr>
        <w:t> </w:t>
      </w:r>
      <w:r>
        <w:rPr>
          <w:sz w:val="24"/>
        </w:rPr>
        <w:t>Staff</w:t>
      </w:r>
      <w:r>
        <w:rPr>
          <w:spacing w:val="40"/>
          <w:sz w:val="24"/>
        </w:rPr>
        <w:t> </w:t>
      </w:r>
      <w:r>
        <w:rPr>
          <w:sz w:val="24"/>
        </w:rPr>
        <w:t>Quarters</w:t>
      </w:r>
      <w:r>
        <w:rPr>
          <w:spacing w:val="80"/>
          <w:sz w:val="24"/>
        </w:rPr>
        <w:t> </w:t>
      </w:r>
      <w:r>
        <w:rPr>
          <w:sz w:val="24"/>
        </w:rPr>
        <w:t>as</w:t>
      </w:r>
      <w:r>
        <w:rPr>
          <w:spacing w:val="40"/>
          <w:sz w:val="24"/>
        </w:rPr>
        <w:t> </w:t>
      </w:r>
      <w:r>
        <w:rPr>
          <w:sz w:val="24"/>
        </w:rPr>
        <w:t>per</w:t>
      </w:r>
      <w:r>
        <w:rPr>
          <w:spacing w:val="40"/>
          <w:sz w:val="24"/>
        </w:rPr>
        <w:t> </w:t>
      </w:r>
      <w:r>
        <w:rPr>
          <w:sz w:val="24"/>
        </w:rPr>
        <w:t>following</w:t>
      </w:r>
      <w:r>
        <w:rPr>
          <w:spacing w:val="80"/>
          <w:sz w:val="24"/>
        </w:rPr>
        <w:t> </w:t>
      </w:r>
      <w:r>
        <w:rPr>
          <w:sz w:val="24"/>
        </w:rPr>
        <w:t>table:</w:t>
      </w:r>
      <w:r>
        <w:rPr>
          <w:spacing w:val="80"/>
          <w:sz w:val="24"/>
        </w:rPr>
        <w:t> </w:t>
      </w:r>
      <w:r>
        <w:rPr>
          <w:sz w:val="24"/>
        </w:rPr>
        <w:t>-</w:t>
      </w:r>
    </w:p>
    <w:p>
      <w:pPr>
        <w:pStyle w:val="BodyText"/>
        <w:spacing w:before="281"/>
        <w:ind w:left="2782"/>
      </w:pPr>
      <w:r>
        <w:rPr/>
        <mc:AlternateContent>
          <mc:Choice Requires="wps">
            <w:drawing>
              <wp:anchor distT="0" distB="0" distL="0" distR="0" allowOverlap="1" layoutInCell="1" locked="0" behindDoc="0" simplePos="0" relativeHeight="15738880">
                <wp:simplePos x="0" y="0"/>
                <wp:positionH relativeFrom="page">
                  <wp:posOffset>1716277</wp:posOffset>
                </wp:positionH>
                <wp:positionV relativeFrom="paragraph">
                  <wp:posOffset>511262</wp:posOffset>
                </wp:positionV>
                <wp:extent cx="4490720" cy="124968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4490720" cy="12496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6"/>
                              <w:gridCol w:w="4067"/>
                            </w:tblGrid>
                            <w:tr>
                              <w:trPr>
                                <w:trHeight w:val="925" w:hRule="atLeast"/>
                              </w:trPr>
                              <w:tc>
                                <w:tcPr>
                                  <w:tcW w:w="2876" w:type="dxa"/>
                                  <w:shd w:val="clear" w:color="auto" w:fill="EDEBE0"/>
                                </w:tcPr>
                                <w:p>
                                  <w:pPr>
                                    <w:pStyle w:val="TableParagraph"/>
                                    <w:spacing w:before="37"/>
                                    <w:ind w:left="107"/>
                                    <w:rPr>
                                      <w:sz w:val="24"/>
                                    </w:rPr>
                                  </w:pPr>
                                  <w:r>
                                    <w:rPr>
                                      <w:sz w:val="24"/>
                                    </w:rPr>
                                    <w:t>Location</w:t>
                                  </w:r>
                                  <w:r>
                                    <w:rPr>
                                      <w:spacing w:val="57"/>
                                      <w:sz w:val="24"/>
                                    </w:rPr>
                                    <w:t> </w:t>
                                  </w:r>
                                  <w:r>
                                    <w:rPr>
                                      <w:sz w:val="24"/>
                                    </w:rPr>
                                    <w:t>of</w:t>
                                  </w:r>
                                  <w:r>
                                    <w:rPr>
                                      <w:spacing w:val="55"/>
                                      <w:sz w:val="24"/>
                                    </w:rPr>
                                    <w:t> </w:t>
                                  </w:r>
                                  <w:r>
                                    <w:rPr>
                                      <w:spacing w:val="7"/>
                                      <w:sz w:val="24"/>
                                    </w:rPr>
                                    <w:t>project</w:t>
                                  </w:r>
                                </w:p>
                              </w:tc>
                              <w:tc>
                                <w:tcPr>
                                  <w:tcW w:w="4067" w:type="dxa"/>
                                  <w:shd w:val="clear" w:color="auto" w:fill="EDEBE0"/>
                                </w:tcPr>
                                <w:p>
                                  <w:pPr>
                                    <w:pStyle w:val="TableParagraph"/>
                                    <w:spacing w:before="40"/>
                                    <w:ind w:left="739" w:right="108" w:firstLine="88"/>
                                    <w:jc w:val="both"/>
                                    <w:rPr>
                                      <w:sz w:val="24"/>
                                    </w:rPr>
                                  </w:pPr>
                                  <w:r>
                                    <w:rPr>
                                      <w:sz w:val="24"/>
                                    </w:rPr>
                                    <w:t>Incentive</w:t>
                                  </w:r>
                                  <w:r>
                                    <w:rPr>
                                      <w:spacing w:val="40"/>
                                      <w:sz w:val="24"/>
                                    </w:rPr>
                                    <w:t> </w:t>
                                  </w:r>
                                  <w:r>
                                    <w:rPr>
                                      <w:sz w:val="24"/>
                                    </w:rPr>
                                    <w:t>(As%</w:t>
                                  </w:r>
                                  <w:r>
                                    <w:rPr>
                                      <w:spacing w:val="40"/>
                                      <w:sz w:val="24"/>
                                    </w:rPr>
                                    <w:t> </w:t>
                                  </w:r>
                                  <w:r>
                                    <w:rPr>
                                      <w:sz w:val="24"/>
                                    </w:rPr>
                                    <w:t>of</w:t>
                                  </w:r>
                                  <w:r>
                                    <w:rPr>
                                      <w:spacing w:val="40"/>
                                      <w:sz w:val="24"/>
                                    </w:rPr>
                                    <w:t> </w:t>
                                  </w:r>
                                  <w:r>
                                    <w:rPr>
                                      <w:sz w:val="24"/>
                                    </w:rPr>
                                    <w:t>required BUA of staff </w:t>
                                  </w:r>
                                  <w:r>
                                    <w:rPr>
                                      <w:spacing w:val="-2"/>
                                      <w:sz w:val="24"/>
                                    </w:rPr>
                                    <w:t>Quarters)</w:t>
                                  </w:r>
                                </w:p>
                              </w:tc>
                            </w:tr>
                            <w:tr>
                              <w:trPr>
                                <w:trHeight w:val="361" w:hRule="atLeast"/>
                              </w:trPr>
                              <w:tc>
                                <w:tcPr>
                                  <w:tcW w:w="2876" w:type="dxa"/>
                                </w:tcPr>
                                <w:p>
                                  <w:pPr>
                                    <w:pStyle w:val="TableParagraph"/>
                                    <w:spacing w:before="37"/>
                                    <w:ind w:left="107"/>
                                    <w:rPr>
                                      <w:sz w:val="24"/>
                                    </w:rPr>
                                  </w:pPr>
                                  <w:r>
                                    <w:rPr>
                                      <w:sz w:val="24"/>
                                    </w:rPr>
                                    <w:t>Island</w:t>
                                  </w:r>
                                  <w:r>
                                    <w:rPr>
                                      <w:spacing w:val="63"/>
                                      <w:sz w:val="24"/>
                                    </w:rPr>
                                    <w:t> </w:t>
                                  </w:r>
                                  <w:r>
                                    <w:rPr>
                                      <w:spacing w:val="-4"/>
                                      <w:sz w:val="24"/>
                                    </w:rPr>
                                    <w:t>city</w:t>
                                  </w:r>
                                </w:p>
                              </w:tc>
                              <w:tc>
                                <w:tcPr>
                                  <w:tcW w:w="4067" w:type="dxa"/>
                                </w:tcPr>
                                <w:p>
                                  <w:pPr>
                                    <w:pStyle w:val="TableParagraph"/>
                                    <w:spacing w:before="37"/>
                                    <w:ind w:left="827"/>
                                    <w:rPr>
                                      <w:sz w:val="24"/>
                                    </w:rPr>
                                  </w:pPr>
                                  <w:r>
                                    <w:rPr>
                                      <w:spacing w:val="-5"/>
                                      <w:sz w:val="24"/>
                                    </w:rPr>
                                    <w:t>40%</w:t>
                                  </w:r>
                                </w:p>
                              </w:tc>
                            </w:tr>
                            <w:tr>
                              <w:trPr>
                                <w:trHeight w:val="642" w:hRule="atLeast"/>
                              </w:trPr>
                              <w:tc>
                                <w:tcPr>
                                  <w:tcW w:w="2876" w:type="dxa"/>
                                </w:tcPr>
                                <w:p>
                                  <w:pPr>
                                    <w:pStyle w:val="TableParagraph"/>
                                    <w:tabs>
                                      <w:tab w:pos="1379" w:val="left" w:leader="none"/>
                                    </w:tabs>
                                    <w:spacing w:before="40"/>
                                    <w:ind w:left="107" w:right="97"/>
                                    <w:rPr>
                                      <w:sz w:val="24"/>
                                    </w:rPr>
                                  </w:pPr>
                                  <w:r>
                                    <w:rPr>
                                      <w:spacing w:val="-2"/>
                                      <w:sz w:val="24"/>
                                    </w:rPr>
                                    <w:t>Suburbs</w:t>
                                  </w:r>
                                  <w:r>
                                    <w:rPr>
                                      <w:sz w:val="24"/>
                                    </w:rPr>
                                    <w:tab/>
                                  </w:r>
                                  <w:r>
                                    <w:rPr>
                                      <w:spacing w:val="-2"/>
                                      <w:sz w:val="24"/>
                                    </w:rPr>
                                    <w:t>&amp;Extended Suburbs</w:t>
                                  </w:r>
                                </w:p>
                              </w:tc>
                              <w:tc>
                                <w:tcPr>
                                  <w:tcW w:w="4067" w:type="dxa"/>
                                </w:tcPr>
                                <w:p>
                                  <w:pPr>
                                    <w:pStyle w:val="TableParagraph"/>
                                    <w:spacing w:before="37"/>
                                    <w:ind w:left="827"/>
                                    <w:rPr>
                                      <w:sz w:val="24"/>
                                    </w:rPr>
                                  </w:pPr>
                                  <w:r>
                                    <w:rPr>
                                      <w:spacing w:val="-5"/>
                                      <w:sz w:val="24"/>
                                    </w:rPr>
                                    <w:t>80%</w:t>
                                  </w:r>
                                </w:p>
                              </w:tc>
                            </w:tr>
                          </w:tbl>
                          <w:p>
                            <w:pPr>
                              <w:pStyle w:val="BodyText"/>
                              <w:jc w:val="left"/>
                            </w:pPr>
                          </w:p>
                        </w:txbxContent>
                      </wps:txbx>
                      <wps:bodyPr wrap="square" lIns="0" tIns="0" rIns="0" bIns="0" rtlCol="0">
                        <a:noAutofit/>
                      </wps:bodyPr>
                    </wps:wsp>
                  </a:graphicData>
                </a:graphic>
              </wp:anchor>
            </w:drawing>
          </mc:Choice>
          <mc:Fallback>
            <w:pict>
              <v:shape style="position:absolute;margin-left:135.139999pt;margin-top:40.256882pt;width:353.6pt;height:98.4pt;mso-position-horizontal-relative:page;mso-position-vertical-relative:paragraph;z-index:15738880" type="#_x0000_t202" id="docshape18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6"/>
                        <w:gridCol w:w="4067"/>
                      </w:tblGrid>
                      <w:tr>
                        <w:trPr>
                          <w:trHeight w:val="925" w:hRule="atLeast"/>
                        </w:trPr>
                        <w:tc>
                          <w:tcPr>
                            <w:tcW w:w="2876" w:type="dxa"/>
                            <w:shd w:val="clear" w:color="auto" w:fill="EDEBE0"/>
                          </w:tcPr>
                          <w:p>
                            <w:pPr>
                              <w:pStyle w:val="TableParagraph"/>
                              <w:spacing w:before="37"/>
                              <w:ind w:left="107"/>
                              <w:rPr>
                                <w:sz w:val="24"/>
                              </w:rPr>
                            </w:pPr>
                            <w:r>
                              <w:rPr>
                                <w:sz w:val="24"/>
                              </w:rPr>
                              <w:t>Location</w:t>
                            </w:r>
                            <w:r>
                              <w:rPr>
                                <w:spacing w:val="57"/>
                                <w:sz w:val="24"/>
                              </w:rPr>
                              <w:t> </w:t>
                            </w:r>
                            <w:r>
                              <w:rPr>
                                <w:sz w:val="24"/>
                              </w:rPr>
                              <w:t>of</w:t>
                            </w:r>
                            <w:r>
                              <w:rPr>
                                <w:spacing w:val="55"/>
                                <w:sz w:val="24"/>
                              </w:rPr>
                              <w:t> </w:t>
                            </w:r>
                            <w:r>
                              <w:rPr>
                                <w:spacing w:val="7"/>
                                <w:sz w:val="24"/>
                              </w:rPr>
                              <w:t>project</w:t>
                            </w:r>
                          </w:p>
                        </w:tc>
                        <w:tc>
                          <w:tcPr>
                            <w:tcW w:w="4067" w:type="dxa"/>
                            <w:shd w:val="clear" w:color="auto" w:fill="EDEBE0"/>
                          </w:tcPr>
                          <w:p>
                            <w:pPr>
                              <w:pStyle w:val="TableParagraph"/>
                              <w:spacing w:before="40"/>
                              <w:ind w:left="739" w:right="108" w:firstLine="88"/>
                              <w:jc w:val="both"/>
                              <w:rPr>
                                <w:sz w:val="24"/>
                              </w:rPr>
                            </w:pPr>
                            <w:r>
                              <w:rPr>
                                <w:sz w:val="24"/>
                              </w:rPr>
                              <w:t>Incentive</w:t>
                            </w:r>
                            <w:r>
                              <w:rPr>
                                <w:spacing w:val="40"/>
                                <w:sz w:val="24"/>
                              </w:rPr>
                              <w:t> </w:t>
                            </w:r>
                            <w:r>
                              <w:rPr>
                                <w:sz w:val="24"/>
                              </w:rPr>
                              <w:t>(As%</w:t>
                            </w:r>
                            <w:r>
                              <w:rPr>
                                <w:spacing w:val="40"/>
                                <w:sz w:val="24"/>
                              </w:rPr>
                              <w:t> </w:t>
                            </w:r>
                            <w:r>
                              <w:rPr>
                                <w:sz w:val="24"/>
                              </w:rPr>
                              <w:t>of</w:t>
                            </w:r>
                            <w:r>
                              <w:rPr>
                                <w:spacing w:val="40"/>
                                <w:sz w:val="24"/>
                              </w:rPr>
                              <w:t> </w:t>
                            </w:r>
                            <w:r>
                              <w:rPr>
                                <w:sz w:val="24"/>
                              </w:rPr>
                              <w:t>required BUA of staff </w:t>
                            </w:r>
                            <w:r>
                              <w:rPr>
                                <w:spacing w:val="-2"/>
                                <w:sz w:val="24"/>
                              </w:rPr>
                              <w:t>Quarters)</w:t>
                            </w:r>
                          </w:p>
                        </w:tc>
                      </w:tr>
                      <w:tr>
                        <w:trPr>
                          <w:trHeight w:val="361" w:hRule="atLeast"/>
                        </w:trPr>
                        <w:tc>
                          <w:tcPr>
                            <w:tcW w:w="2876" w:type="dxa"/>
                          </w:tcPr>
                          <w:p>
                            <w:pPr>
                              <w:pStyle w:val="TableParagraph"/>
                              <w:spacing w:before="37"/>
                              <w:ind w:left="107"/>
                              <w:rPr>
                                <w:sz w:val="24"/>
                              </w:rPr>
                            </w:pPr>
                            <w:r>
                              <w:rPr>
                                <w:sz w:val="24"/>
                              </w:rPr>
                              <w:t>Island</w:t>
                            </w:r>
                            <w:r>
                              <w:rPr>
                                <w:spacing w:val="63"/>
                                <w:sz w:val="24"/>
                              </w:rPr>
                              <w:t> </w:t>
                            </w:r>
                            <w:r>
                              <w:rPr>
                                <w:spacing w:val="-4"/>
                                <w:sz w:val="24"/>
                              </w:rPr>
                              <w:t>city</w:t>
                            </w:r>
                          </w:p>
                        </w:tc>
                        <w:tc>
                          <w:tcPr>
                            <w:tcW w:w="4067" w:type="dxa"/>
                          </w:tcPr>
                          <w:p>
                            <w:pPr>
                              <w:pStyle w:val="TableParagraph"/>
                              <w:spacing w:before="37"/>
                              <w:ind w:left="827"/>
                              <w:rPr>
                                <w:sz w:val="24"/>
                              </w:rPr>
                            </w:pPr>
                            <w:r>
                              <w:rPr>
                                <w:spacing w:val="-5"/>
                                <w:sz w:val="24"/>
                              </w:rPr>
                              <w:t>40%</w:t>
                            </w:r>
                          </w:p>
                        </w:tc>
                      </w:tr>
                      <w:tr>
                        <w:trPr>
                          <w:trHeight w:val="642" w:hRule="atLeast"/>
                        </w:trPr>
                        <w:tc>
                          <w:tcPr>
                            <w:tcW w:w="2876" w:type="dxa"/>
                          </w:tcPr>
                          <w:p>
                            <w:pPr>
                              <w:pStyle w:val="TableParagraph"/>
                              <w:tabs>
                                <w:tab w:pos="1379" w:val="left" w:leader="none"/>
                              </w:tabs>
                              <w:spacing w:before="40"/>
                              <w:ind w:left="107" w:right="97"/>
                              <w:rPr>
                                <w:sz w:val="24"/>
                              </w:rPr>
                            </w:pPr>
                            <w:r>
                              <w:rPr>
                                <w:spacing w:val="-2"/>
                                <w:sz w:val="24"/>
                              </w:rPr>
                              <w:t>Suburbs</w:t>
                            </w:r>
                            <w:r>
                              <w:rPr>
                                <w:sz w:val="24"/>
                              </w:rPr>
                              <w:tab/>
                            </w:r>
                            <w:r>
                              <w:rPr>
                                <w:spacing w:val="-2"/>
                                <w:sz w:val="24"/>
                              </w:rPr>
                              <w:t>&amp;Extended Suburbs</w:t>
                            </w:r>
                          </w:p>
                        </w:tc>
                        <w:tc>
                          <w:tcPr>
                            <w:tcW w:w="4067" w:type="dxa"/>
                          </w:tcPr>
                          <w:p>
                            <w:pPr>
                              <w:pStyle w:val="TableParagraph"/>
                              <w:spacing w:before="37"/>
                              <w:ind w:left="827"/>
                              <w:rPr>
                                <w:sz w:val="24"/>
                              </w:rPr>
                            </w:pPr>
                            <w:r>
                              <w:rPr>
                                <w:spacing w:val="-5"/>
                                <w:sz w:val="24"/>
                              </w:rPr>
                              <w:t>80%</w:t>
                            </w:r>
                          </w:p>
                        </w:tc>
                      </w:tr>
                    </w:tbl>
                    <w:p>
                      <w:pPr>
                        <w:pStyle w:val="BodyText"/>
                        <w:jc w:val="left"/>
                      </w:pPr>
                    </w:p>
                  </w:txbxContent>
                </v:textbox>
                <w10:wrap type="none"/>
              </v:shape>
            </w:pict>
          </mc:Fallback>
        </mc:AlternateContent>
      </w:r>
      <w:r>
        <w:rPr/>
        <w:t>Table</w:t>
      </w:r>
      <w:r>
        <w:rPr>
          <w:spacing w:val="53"/>
        </w:rPr>
        <w:t> </w:t>
      </w:r>
      <w:r>
        <w:rPr>
          <w:spacing w:val="-10"/>
        </w:rPr>
        <w:t>A</w:t>
      </w:r>
    </w:p>
    <w:p>
      <w:pPr>
        <w:pStyle w:val="BodyText"/>
        <w:jc w:val="left"/>
      </w:pPr>
    </w:p>
    <w:p>
      <w:pPr>
        <w:pStyle w:val="BodyText"/>
        <w:spacing w:before="199"/>
        <w:jc w:val="left"/>
      </w:pPr>
    </w:p>
    <w:p>
      <w:pPr>
        <w:pStyle w:val="BodyText"/>
        <w:ind w:right="1649"/>
        <w:jc w:val="right"/>
      </w:pPr>
      <w:r>
        <w:rPr/>
        <mc:AlternateContent>
          <mc:Choice Requires="wps">
            <w:drawing>
              <wp:anchor distT="0" distB="0" distL="0" distR="0" allowOverlap="1" layoutInCell="1" locked="0" behindDoc="1" simplePos="0" relativeHeight="471348736">
                <wp:simplePos x="0" y="0"/>
                <wp:positionH relativeFrom="page">
                  <wp:posOffset>6127750</wp:posOffset>
                </wp:positionH>
                <wp:positionV relativeFrom="paragraph">
                  <wp:posOffset>207</wp:posOffset>
                </wp:positionV>
                <wp:extent cx="52069" cy="17907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52069" cy="179070"/>
                        </a:xfrm>
                        <a:prstGeom prst="rect">
                          <a:avLst/>
                        </a:prstGeom>
                      </wps:spPr>
                      <wps:txbx>
                        <w:txbxContent>
                          <w:p>
                            <w:pPr>
                              <w:spacing w:line="281" w:lineRule="exact" w:before="0"/>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482.5pt;margin-top:.016328pt;width:4.1pt;height:14.1pt;mso-position-horizontal-relative:page;mso-position-vertical-relative:paragraph;z-index:-31967744" type="#_x0000_t202" id="docshape182" filled="false" stroked="false">
                <v:textbox inset="0,0,0,0">
                  <w:txbxContent>
                    <w:p>
                      <w:pPr>
                        <w:spacing w:line="281" w:lineRule="exact" w:before="0"/>
                        <w:ind w:left="0" w:right="0" w:firstLine="0"/>
                        <w:jc w:val="left"/>
                        <w:rPr>
                          <w:sz w:val="24"/>
                        </w:rPr>
                      </w:pPr>
                      <w:r>
                        <w:rPr>
                          <w:spacing w:val="-10"/>
                          <w:sz w:val="24"/>
                        </w:rPr>
                        <w:t>(</w:t>
                      </w:r>
                    </w:p>
                  </w:txbxContent>
                </v:textbox>
                <w10:wrap type="none"/>
              </v:shape>
            </w:pict>
          </mc:Fallback>
        </mc:AlternateContent>
      </w:r>
      <w:r>
        <w:rPr>
          <w:spacing w:val="-5"/>
        </w:rPr>
        <w:t>i)</w:t>
      </w:r>
    </w:p>
    <w:p>
      <w:pPr>
        <w:pStyle w:val="BodyText"/>
        <w:jc w:val="left"/>
      </w:pPr>
    </w:p>
    <w:p>
      <w:pPr>
        <w:pStyle w:val="BodyText"/>
        <w:jc w:val="left"/>
      </w:pPr>
    </w:p>
    <w:p>
      <w:pPr>
        <w:pStyle w:val="BodyText"/>
        <w:jc w:val="left"/>
      </w:pPr>
    </w:p>
    <w:p>
      <w:pPr>
        <w:pStyle w:val="BodyText"/>
        <w:spacing w:before="156"/>
        <w:jc w:val="left"/>
      </w:pPr>
    </w:p>
    <w:p>
      <w:pPr>
        <w:pStyle w:val="ListParagraph"/>
        <w:numPr>
          <w:ilvl w:val="0"/>
          <w:numId w:val="139"/>
        </w:numPr>
        <w:tabs>
          <w:tab w:pos="2739" w:val="left" w:leader="none"/>
        </w:tabs>
        <w:spacing w:line="240" w:lineRule="auto" w:before="0" w:after="0"/>
        <w:ind w:left="2335" w:right="779" w:firstLine="0"/>
        <w:jc w:val="both"/>
        <w:rPr>
          <w:sz w:val="24"/>
        </w:rPr>
      </w:pPr>
      <w:r>
        <w:rPr>
          <w:sz w:val="24"/>
        </w:rPr>
        <w:t>FSI</w:t>
      </w:r>
      <w:r>
        <w:rPr>
          <w:spacing w:val="40"/>
          <w:sz w:val="24"/>
        </w:rPr>
        <w:t> </w:t>
      </w:r>
      <w:r>
        <w:rPr>
          <w:sz w:val="24"/>
        </w:rPr>
        <w:t>including</w:t>
      </w:r>
      <w:r>
        <w:rPr>
          <w:spacing w:val="40"/>
          <w:sz w:val="24"/>
        </w:rPr>
        <w:t> </w:t>
      </w:r>
      <w:r>
        <w:rPr>
          <w:sz w:val="24"/>
        </w:rPr>
        <w:t>Zonal</w:t>
      </w:r>
      <w:r>
        <w:rPr>
          <w:spacing w:val="40"/>
          <w:sz w:val="24"/>
        </w:rPr>
        <w:t> </w:t>
      </w:r>
      <w:r>
        <w:rPr>
          <w:sz w:val="24"/>
        </w:rPr>
        <w:t>(basic)/permissible</w:t>
      </w:r>
      <w:r>
        <w:rPr>
          <w:spacing w:val="40"/>
          <w:sz w:val="24"/>
        </w:rPr>
        <w:t> </w:t>
      </w:r>
      <w:r>
        <w:rPr>
          <w:sz w:val="24"/>
        </w:rPr>
        <w:t>FSI</w:t>
      </w:r>
      <w:r>
        <w:rPr>
          <w:spacing w:val="40"/>
          <w:sz w:val="24"/>
        </w:rPr>
        <w:t> </w:t>
      </w:r>
      <w:r>
        <w:rPr>
          <w:sz w:val="24"/>
        </w:rPr>
        <w:t>shall</w:t>
      </w:r>
      <w:r>
        <w:rPr>
          <w:spacing w:val="40"/>
          <w:sz w:val="24"/>
        </w:rPr>
        <w:t> </w:t>
      </w:r>
      <w:r>
        <w:rPr>
          <w:sz w:val="24"/>
        </w:rPr>
        <w:t>be</w:t>
      </w:r>
      <w:r>
        <w:rPr>
          <w:spacing w:val="40"/>
          <w:sz w:val="24"/>
        </w:rPr>
        <w:t> </w:t>
      </w:r>
      <w:r>
        <w:rPr>
          <w:sz w:val="24"/>
        </w:rPr>
        <w:t>used</w:t>
      </w:r>
      <w:r>
        <w:rPr>
          <w:spacing w:val="40"/>
          <w:sz w:val="24"/>
        </w:rPr>
        <w:t> </w:t>
      </w:r>
      <w:r>
        <w:rPr>
          <w:sz w:val="24"/>
        </w:rPr>
        <w:t>on the</w:t>
      </w:r>
      <w:r>
        <w:rPr>
          <w:spacing w:val="40"/>
          <w:sz w:val="24"/>
        </w:rPr>
        <w:t> </w:t>
      </w:r>
      <w:r>
        <w:rPr>
          <w:sz w:val="24"/>
        </w:rPr>
        <w:t>same</w:t>
      </w:r>
      <w:r>
        <w:rPr>
          <w:spacing w:val="40"/>
          <w:sz w:val="24"/>
        </w:rPr>
        <w:t> </w:t>
      </w:r>
      <w:r>
        <w:rPr>
          <w:sz w:val="24"/>
        </w:rPr>
        <w:t>plot</w:t>
      </w:r>
      <w:r>
        <w:rPr>
          <w:spacing w:val="40"/>
          <w:sz w:val="24"/>
        </w:rPr>
        <w:t> </w:t>
      </w:r>
      <w:r>
        <w:rPr>
          <w:sz w:val="24"/>
        </w:rPr>
        <w:t>and</w:t>
      </w:r>
      <w:r>
        <w:rPr>
          <w:spacing w:val="40"/>
          <w:sz w:val="24"/>
        </w:rPr>
        <w:t> </w:t>
      </w:r>
      <w:r>
        <w:rPr>
          <w:sz w:val="24"/>
        </w:rPr>
        <w:t>as</w:t>
      </w:r>
      <w:r>
        <w:rPr>
          <w:spacing w:val="40"/>
          <w:sz w:val="24"/>
        </w:rPr>
        <w:t> </w:t>
      </w:r>
      <w:r>
        <w:rPr>
          <w:sz w:val="24"/>
        </w:rPr>
        <w:t>stated</w:t>
      </w:r>
      <w:r>
        <w:rPr>
          <w:spacing w:val="40"/>
          <w:sz w:val="24"/>
        </w:rPr>
        <w:t> </w:t>
      </w:r>
      <w:r>
        <w:rPr>
          <w:sz w:val="24"/>
        </w:rPr>
        <w:t>in</w:t>
      </w:r>
      <w:r>
        <w:rPr>
          <w:spacing w:val="40"/>
          <w:sz w:val="24"/>
        </w:rPr>
        <w:t> </w:t>
      </w:r>
      <w:r>
        <w:rPr>
          <w:sz w:val="24"/>
        </w:rPr>
        <w:t>the</w:t>
      </w:r>
      <w:r>
        <w:rPr>
          <w:spacing w:val="40"/>
          <w:sz w:val="24"/>
        </w:rPr>
        <w:t> </w:t>
      </w:r>
      <w:r>
        <w:rPr>
          <w:sz w:val="24"/>
        </w:rPr>
        <w:t>Table</w:t>
      </w:r>
      <w:r>
        <w:rPr>
          <w:spacing w:val="40"/>
          <w:sz w:val="24"/>
        </w:rPr>
        <w:t> </w:t>
      </w:r>
      <w:r>
        <w:rPr>
          <w:sz w:val="24"/>
        </w:rPr>
        <w:t>below.</w:t>
      </w:r>
    </w:p>
    <w:p>
      <w:pPr>
        <w:pStyle w:val="BodyText"/>
        <w:spacing w:before="7"/>
        <w:jc w:val="left"/>
        <w:rPr>
          <w:sz w:val="20"/>
        </w:rPr>
      </w:pPr>
    </w:p>
    <w:tbl>
      <w:tblPr>
        <w:tblW w:w="0" w:type="auto"/>
        <w:jc w:val="left"/>
        <w:tblInd w:w="19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0"/>
        <w:gridCol w:w="1769"/>
        <w:gridCol w:w="3632"/>
      </w:tblGrid>
      <w:tr>
        <w:trPr>
          <w:trHeight w:val="642" w:hRule="atLeast"/>
        </w:trPr>
        <w:tc>
          <w:tcPr>
            <w:tcW w:w="2480" w:type="dxa"/>
            <w:shd w:val="clear" w:color="auto" w:fill="EDEBE0"/>
          </w:tcPr>
          <w:p>
            <w:pPr>
              <w:pStyle w:val="TableParagraph"/>
              <w:spacing w:before="37"/>
              <w:ind w:left="1187"/>
              <w:rPr>
                <w:sz w:val="24"/>
              </w:rPr>
            </w:pPr>
            <w:r>
              <w:rPr>
                <w:sz w:val="24"/>
              </w:rPr>
              <w:t>Plot</w:t>
            </w:r>
            <w:r>
              <w:rPr>
                <w:spacing w:val="46"/>
                <w:sz w:val="24"/>
              </w:rPr>
              <w:t> </w:t>
            </w:r>
            <w:r>
              <w:rPr>
                <w:spacing w:val="-4"/>
                <w:sz w:val="24"/>
              </w:rPr>
              <w:t>Area</w:t>
            </w:r>
          </w:p>
        </w:tc>
        <w:tc>
          <w:tcPr>
            <w:tcW w:w="1769" w:type="dxa"/>
            <w:shd w:val="clear" w:color="auto" w:fill="EDEBE0"/>
          </w:tcPr>
          <w:p>
            <w:pPr>
              <w:pStyle w:val="TableParagraph"/>
              <w:ind w:left="107"/>
              <w:rPr>
                <w:sz w:val="24"/>
              </w:rPr>
            </w:pPr>
            <w:r>
              <w:rPr>
                <w:spacing w:val="-2"/>
                <w:sz w:val="24"/>
              </w:rPr>
              <w:t>Minimum </w:t>
            </w:r>
            <w:r>
              <w:rPr>
                <w:sz w:val="24"/>
              </w:rPr>
              <w:t>Road </w:t>
            </w:r>
            <w:r>
              <w:rPr>
                <w:sz w:val="24"/>
              </w:rPr>
              <w:t>Width</w:t>
            </w:r>
          </w:p>
        </w:tc>
        <w:tc>
          <w:tcPr>
            <w:tcW w:w="3632" w:type="dxa"/>
            <w:shd w:val="clear" w:color="auto" w:fill="EDEBE0"/>
          </w:tcPr>
          <w:p>
            <w:pPr>
              <w:pStyle w:val="TableParagraph"/>
              <w:spacing w:before="40"/>
              <w:ind w:left="739" w:firstLine="448"/>
              <w:rPr>
                <w:sz w:val="24"/>
              </w:rPr>
            </w:pPr>
            <w:r>
              <w:rPr>
                <w:spacing w:val="-2"/>
                <w:sz w:val="24"/>
              </w:rPr>
              <w:t>Maximum </w:t>
            </w:r>
            <w:r>
              <w:rPr>
                <w:sz w:val="24"/>
              </w:rPr>
              <w:t>permissible FSI</w:t>
            </w:r>
          </w:p>
        </w:tc>
      </w:tr>
      <w:tr>
        <w:trPr>
          <w:trHeight w:val="926" w:hRule="atLeast"/>
        </w:trPr>
        <w:tc>
          <w:tcPr>
            <w:tcW w:w="2480" w:type="dxa"/>
          </w:tcPr>
          <w:p>
            <w:pPr>
              <w:pStyle w:val="TableParagraph"/>
              <w:spacing w:before="40"/>
              <w:ind w:left="107" w:right="111"/>
              <w:jc w:val="both"/>
              <w:rPr>
                <w:sz w:val="24"/>
              </w:rPr>
            </w:pPr>
            <w:r>
              <w:rPr>
                <w:sz w:val="24"/>
              </w:rPr>
              <w:t>2000 sq. m </w:t>
            </w:r>
            <w:r>
              <w:rPr>
                <w:sz w:val="24"/>
              </w:rPr>
              <w:t>or more but less</w:t>
            </w:r>
            <w:r>
              <w:rPr>
                <w:spacing w:val="80"/>
                <w:sz w:val="24"/>
              </w:rPr>
              <w:t> </w:t>
            </w:r>
            <w:r>
              <w:rPr>
                <w:sz w:val="24"/>
              </w:rPr>
              <w:t>than 4000 sq. m</w:t>
            </w:r>
          </w:p>
        </w:tc>
        <w:tc>
          <w:tcPr>
            <w:tcW w:w="1769" w:type="dxa"/>
          </w:tcPr>
          <w:p>
            <w:pPr>
              <w:pStyle w:val="TableParagraph"/>
              <w:spacing w:line="281" w:lineRule="exact"/>
              <w:ind w:left="107"/>
              <w:rPr>
                <w:sz w:val="24"/>
              </w:rPr>
            </w:pPr>
            <w:r>
              <w:rPr>
                <w:spacing w:val="-5"/>
                <w:sz w:val="24"/>
              </w:rPr>
              <w:t>12m</w:t>
            </w:r>
          </w:p>
        </w:tc>
        <w:tc>
          <w:tcPr>
            <w:tcW w:w="3632" w:type="dxa"/>
          </w:tcPr>
          <w:p>
            <w:pPr>
              <w:pStyle w:val="TableParagraph"/>
              <w:spacing w:before="37"/>
              <w:ind w:left="1187"/>
              <w:rPr>
                <w:sz w:val="24"/>
              </w:rPr>
            </w:pPr>
            <w:r>
              <w:rPr>
                <w:spacing w:val="-4"/>
                <w:sz w:val="24"/>
              </w:rPr>
              <w:t>3.00</w:t>
            </w:r>
          </w:p>
        </w:tc>
      </w:tr>
      <w:tr>
        <w:trPr>
          <w:trHeight w:val="642" w:hRule="atLeast"/>
        </w:trPr>
        <w:tc>
          <w:tcPr>
            <w:tcW w:w="2480" w:type="dxa"/>
          </w:tcPr>
          <w:p>
            <w:pPr>
              <w:pStyle w:val="TableParagraph"/>
              <w:tabs>
                <w:tab w:pos="994" w:val="left" w:leader="none"/>
                <w:tab w:pos="1617" w:val="left" w:leader="none"/>
                <w:tab w:pos="2106" w:val="left" w:leader="none"/>
              </w:tabs>
              <w:spacing w:before="40"/>
              <w:ind w:left="107" w:right="111"/>
              <w:rPr>
                <w:sz w:val="24"/>
              </w:rPr>
            </w:pPr>
            <w:r>
              <w:rPr>
                <w:spacing w:val="-4"/>
                <w:sz w:val="24"/>
              </w:rPr>
              <w:t>4000</w:t>
            </w:r>
            <w:r>
              <w:rPr>
                <w:sz w:val="24"/>
              </w:rPr>
              <w:tab/>
            </w:r>
            <w:r>
              <w:rPr>
                <w:spacing w:val="-4"/>
                <w:sz w:val="24"/>
              </w:rPr>
              <w:t>sq.</w:t>
            </w:r>
            <w:r>
              <w:rPr>
                <w:sz w:val="24"/>
              </w:rPr>
              <w:tab/>
            </w:r>
            <w:r>
              <w:rPr>
                <w:spacing w:val="-10"/>
                <w:sz w:val="24"/>
              </w:rPr>
              <w:t>m</w:t>
            </w:r>
            <w:r>
              <w:rPr>
                <w:sz w:val="24"/>
              </w:rPr>
              <w:tab/>
            </w:r>
            <w:r>
              <w:rPr>
                <w:spacing w:val="-6"/>
                <w:sz w:val="24"/>
              </w:rPr>
              <w:t>or </w:t>
            </w:r>
            <w:r>
              <w:rPr>
                <w:spacing w:val="-4"/>
                <w:sz w:val="24"/>
              </w:rPr>
              <w:t>more</w:t>
            </w:r>
          </w:p>
        </w:tc>
        <w:tc>
          <w:tcPr>
            <w:tcW w:w="1769" w:type="dxa"/>
          </w:tcPr>
          <w:p>
            <w:pPr>
              <w:pStyle w:val="TableParagraph"/>
              <w:spacing w:line="281" w:lineRule="exact"/>
              <w:ind w:left="107"/>
              <w:rPr>
                <w:sz w:val="24"/>
              </w:rPr>
            </w:pPr>
            <w:r>
              <w:rPr>
                <w:spacing w:val="-5"/>
                <w:sz w:val="24"/>
              </w:rPr>
              <w:t>18m</w:t>
            </w:r>
          </w:p>
        </w:tc>
        <w:tc>
          <w:tcPr>
            <w:tcW w:w="3632" w:type="dxa"/>
          </w:tcPr>
          <w:p>
            <w:pPr>
              <w:pStyle w:val="TableParagraph"/>
              <w:spacing w:before="37"/>
              <w:ind w:left="1187"/>
              <w:rPr>
                <w:sz w:val="24"/>
              </w:rPr>
            </w:pPr>
            <w:r>
              <w:rPr>
                <w:spacing w:val="-4"/>
                <w:sz w:val="24"/>
              </w:rPr>
              <w:t>4.00</w:t>
            </w:r>
          </w:p>
        </w:tc>
      </w:tr>
    </w:tbl>
    <w:p>
      <w:pPr>
        <w:pStyle w:val="BodyText"/>
        <w:spacing w:before="242"/>
        <w:jc w:val="left"/>
      </w:pPr>
    </w:p>
    <w:p>
      <w:pPr>
        <w:pStyle w:val="BodyText"/>
        <w:ind w:left="2422" w:right="768"/>
      </w:pPr>
      <w:r>
        <w:rPr/>
        <w:t>(iv)(a)No premium shall be charged for features permitted as per DCR</w:t>
      </w:r>
      <w:r>
        <w:rPr>
          <w:spacing w:val="40"/>
        </w:rPr>
        <w:t> </w:t>
      </w:r>
      <w:r>
        <w:rPr/>
        <w:t>31</w:t>
      </w:r>
      <w:r>
        <w:rPr>
          <w:spacing w:val="40"/>
        </w:rPr>
        <w:t> </w:t>
      </w:r>
      <w:r>
        <w:rPr/>
        <w:t>(1)</w:t>
      </w:r>
      <w:r>
        <w:rPr>
          <w:spacing w:val="40"/>
        </w:rPr>
        <w:t> </w:t>
      </w:r>
      <w:r>
        <w:rPr/>
        <w:t>and</w:t>
      </w:r>
      <w:r>
        <w:rPr>
          <w:spacing w:val="73"/>
        </w:rPr>
        <w:t> </w:t>
      </w:r>
      <w:r>
        <w:rPr/>
        <w:t>31(3),</w:t>
      </w:r>
      <w:r>
        <w:rPr>
          <w:spacing w:val="40"/>
        </w:rPr>
        <w:t> </w:t>
      </w:r>
      <w:r>
        <w:rPr/>
        <w:t>for</w:t>
      </w:r>
      <w:r>
        <w:rPr>
          <w:spacing w:val="40"/>
        </w:rPr>
        <w:t> </w:t>
      </w:r>
      <w:r>
        <w:rPr/>
        <w:t>the</w:t>
      </w:r>
      <w:r>
        <w:rPr>
          <w:spacing w:val="40"/>
        </w:rPr>
        <w:t> </w:t>
      </w:r>
      <w:r>
        <w:rPr/>
        <w:t>construction</w:t>
      </w:r>
      <w:r>
        <w:rPr>
          <w:spacing w:val="40"/>
        </w:rPr>
        <w:t> </w:t>
      </w:r>
      <w:r>
        <w:rPr/>
        <w:t>of</w:t>
      </w:r>
      <w:r>
        <w:rPr>
          <w:spacing w:val="40"/>
        </w:rPr>
        <w:t> </w:t>
      </w:r>
      <w:r>
        <w:rPr/>
        <w:t>staff</w:t>
      </w:r>
      <w:r>
        <w:rPr>
          <w:spacing w:val="40"/>
        </w:rPr>
        <w:t> </w:t>
      </w:r>
      <w:r>
        <w:rPr/>
        <w:t>quarters</w:t>
      </w:r>
      <w:r>
        <w:rPr>
          <w:spacing w:val="40"/>
        </w:rPr>
        <w:t> </w:t>
      </w:r>
      <w:r>
        <w:rPr/>
        <w:t>to</w:t>
      </w:r>
      <w:r>
        <w:rPr>
          <w:spacing w:val="40"/>
        </w:rPr>
        <w:t> </w:t>
      </w:r>
      <w:r>
        <w:rPr/>
        <w:t>be</w:t>
      </w:r>
      <w:r>
        <w:rPr>
          <w:spacing w:val="40"/>
        </w:rPr>
        <w:t> </w:t>
      </w:r>
      <w:r>
        <w:rPr/>
        <w:t>handed</w:t>
      </w:r>
      <w:r>
        <w:rPr>
          <w:spacing w:val="40"/>
        </w:rPr>
        <w:t> </w:t>
      </w:r>
      <w:r>
        <w:rPr/>
        <w:t>over</w:t>
      </w:r>
      <w:r>
        <w:rPr>
          <w:spacing w:val="40"/>
        </w:rPr>
        <w:t> </w:t>
      </w:r>
      <w:r>
        <w:rPr/>
        <w:t>to</w:t>
      </w:r>
      <w:r>
        <w:rPr>
          <w:spacing w:val="40"/>
        </w:rPr>
        <w:t> </w:t>
      </w:r>
      <w:r>
        <w:rPr/>
        <w:t>MCGM/Appropriate</w:t>
      </w:r>
      <w:r>
        <w:rPr>
          <w:spacing w:val="40"/>
        </w:rPr>
        <w:t> </w:t>
      </w:r>
      <w:r>
        <w:rPr>
          <w:spacing w:val="9"/>
        </w:rPr>
        <w:t>Authority.</w:t>
      </w:r>
    </w:p>
    <w:p>
      <w:pPr>
        <w:pStyle w:val="ListParagraph"/>
        <w:numPr>
          <w:ilvl w:val="1"/>
          <w:numId w:val="139"/>
        </w:numPr>
        <w:tabs>
          <w:tab w:pos="2849" w:val="left" w:leader="none"/>
        </w:tabs>
        <w:spacing w:line="240" w:lineRule="auto" w:before="240" w:after="0"/>
        <w:ind w:left="2422" w:right="782" w:firstLine="14"/>
        <w:jc w:val="left"/>
        <w:rPr>
          <w:sz w:val="24"/>
        </w:rPr>
      </w:pPr>
      <w:r>
        <w:rPr>
          <w:sz w:val="24"/>
        </w:rPr>
        <w:t>Open</w:t>
      </w:r>
      <w:r>
        <w:rPr>
          <w:spacing w:val="40"/>
          <w:sz w:val="24"/>
        </w:rPr>
        <w:t> </w:t>
      </w:r>
      <w:r>
        <w:rPr>
          <w:sz w:val="24"/>
        </w:rPr>
        <w:t>space</w:t>
      </w:r>
      <w:r>
        <w:rPr>
          <w:spacing w:val="40"/>
          <w:sz w:val="24"/>
        </w:rPr>
        <w:t> </w:t>
      </w:r>
      <w:r>
        <w:rPr>
          <w:sz w:val="24"/>
        </w:rPr>
        <w:t>deficiency</w:t>
      </w:r>
      <w:r>
        <w:rPr>
          <w:spacing w:val="40"/>
          <w:sz w:val="24"/>
        </w:rPr>
        <w:t> </w:t>
      </w:r>
      <w:r>
        <w:rPr>
          <w:sz w:val="24"/>
        </w:rPr>
        <w:t>shall</w:t>
      </w:r>
      <w:r>
        <w:rPr>
          <w:spacing w:val="40"/>
          <w:sz w:val="24"/>
        </w:rPr>
        <w:t> </w:t>
      </w:r>
      <w:r>
        <w:rPr>
          <w:sz w:val="24"/>
        </w:rPr>
        <w:t>be</w:t>
      </w:r>
      <w:r>
        <w:rPr>
          <w:spacing w:val="40"/>
          <w:sz w:val="24"/>
        </w:rPr>
        <w:t> </w:t>
      </w:r>
      <w:r>
        <w:rPr>
          <w:spacing w:val="9"/>
          <w:sz w:val="24"/>
        </w:rPr>
        <w:t>charged</w:t>
      </w:r>
      <w:r>
        <w:rPr>
          <w:spacing w:val="40"/>
          <w:sz w:val="24"/>
        </w:rPr>
        <w:t> </w:t>
      </w:r>
      <w:r>
        <w:rPr>
          <w:sz w:val="24"/>
        </w:rPr>
        <w:t>at</w:t>
      </w:r>
      <w:r>
        <w:rPr>
          <w:spacing w:val="40"/>
          <w:sz w:val="24"/>
        </w:rPr>
        <w:t> </w:t>
      </w:r>
      <w:r>
        <w:rPr>
          <w:sz w:val="24"/>
        </w:rPr>
        <w:t>2.5%</w:t>
      </w:r>
      <w:r>
        <w:rPr>
          <w:spacing w:val="40"/>
          <w:sz w:val="24"/>
        </w:rPr>
        <w:t> </w:t>
      </w:r>
      <w:r>
        <w:rPr>
          <w:sz w:val="24"/>
        </w:rPr>
        <w:t>of</w:t>
      </w:r>
      <w:r>
        <w:rPr>
          <w:spacing w:val="40"/>
          <w:sz w:val="24"/>
        </w:rPr>
        <w:t> </w:t>
      </w:r>
      <w:r>
        <w:rPr>
          <w:sz w:val="24"/>
        </w:rPr>
        <w:t>the</w:t>
      </w:r>
      <w:r>
        <w:rPr>
          <w:spacing w:val="40"/>
          <w:sz w:val="24"/>
        </w:rPr>
        <w:t> </w:t>
      </w:r>
      <w:r>
        <w:rPr>
          <w:sz w:val="24"/>
        </w:rPr>
        <w:t>land rate</w:t>
      </w:r>
      <w:r>
        <w:rPr>
          <w:spacing w:val="40"/>
          <w:sz w:val="24"/>
        </w:rPr>
        <w:t> </w:t>
      </w:r>
      <w:r>
        <w:rPr>
          <w:sz w:val="24"/>
        </w:rPr>
        <w:t>of</w:t>
      </w:r>
      <w:r>
        <w:rPr>
          <w:spacing w:val="40"/>
          <w:sz w:val="24"/>
        </w:rPr>
        <w:t> </w:t>
      </w:r>
      <w:r>
        <w:rPr>
          <w:sz w:val="24"/>
        </w:rPr>
        <w:t>ASR</w:t>
      </w:r>
      <w:r>
        <w:rPr>
          <w:spacing w:val="40"/>
          <w:sz w:val="24"/>
        </w:rPr>
        <w:t> </w:t>
      </w:r>
      <w:r>
        <w:rPr>
          <w:sz w:val="24"/>
        </w:rPr>
        <w:t>(for</w:t>
      </w:r>
      <w:r>
        <w:rPr>
          <w:spacing w:val="40"/>
          <w:sz w:val="24"/>
        </w:rPr>
        <w:t> </w:t>
      </w:r>
      <w:r>
        <w:rPr>
          <w:sz w:val="24"/>
        </w:rPr>
        <w:t>FSI</w:t>
      </w:r>
      <w:r>
        <w:rPr>
          <w:spacing w:val="40"/>
          <w:sz w:val="24"/>
        </w:rPr>
        <w:t> </w:t>
      </w:r>
      <w:r>
        <w:rPr>
          <w:sz w:val="24"/>
        </w:rPr>
        <w:t>1).</w:t>
      </w:r>
    </w:p>
    <w:p>
      <w:pPr>
        <w:pStyle w:val="ListParagraph"/>
        <w:numPr>
          <w:ilvl w:val="1"/>
          <w:numId w:val="139"/>
        </w:numPr>
        <w:tabs>
          <w:tab w:pos="2733" w:val="left" w:leader="none"/>
        </w:tabs>
        <w:spacing w:line="240" w:lineRule="auto" w:before="240" w:after="0"/>
        <w:ind w:left="2422" w:right="783" w:firstLine="14"/>
        <w:jc w:val="both"/>
        <w:rPr>
          <w:sz w:val="24"/>
        </w:rPr>
      </w:pPr>
      <w:r>
        <w:rPr>
          <w:sz w:val="24"/>
        </w:rPr>
        <w:t>The provision of IH shall not be applicable for development</w:t>
      </w:r>
      <w:r>
        <w:rPr>
          <w:spacing w:val="80"/>
          <w:sz w:val="24"/>
        </w:rPr>
        <w:t> </w:t>
      </w:r>
      <w:r>
        <w:rPr>
          <w:sz w:val="24"/>
        </w:rPr>
        <w:t>under this </w:t>
      </w:r>
      <w:r>
        <w:rPr>
          <w:spacing w:val="9"/>
          <w:sz w:val="24"/>
        </w:rPr>
        <w:t>Regulation.</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0"/>
          <w:numId w:val="140"/>
        </w:numPr>
        <w:tabs>
          <w:tab w:pos="2602" w:val="left" w:leader="none"/>
        </w:tabs>
        <w:spacing w:line="240" w:lineRule="auto" w:before="249" w:after="0"/>
        <w:ind w:left="2602" w:right="781" w:hanging="348"/>
        <w:jc w:val="both"/>
        <w:rPr>
          <w:sz w:val="24"/>
        </w:rPr>
      </w:pPr>
      <w:r>
        <w:rPr>
          <w:sz w:val="24"/>
        </w:rPr>
        <w:t>Development</w:t>
      </w:r>
      <w:r>
        <w:rPr>
          <w:spacing w:val="40"/>
          <w:sz w:val="24"/>
        </w:rPr>
        <w:t> </w:t>
      </w:r>
      <w:r>
        <w:rPr>
          <w:sz w:val="24"/>
        </w:rPr>
        <w:t>cess</w:t>
      </w:r>
      <w:r>
        <w:rPr>
          <w:spacing w:val="40"/>
          <w:sz w:val="24"/>
        </w:rPr>
        <w:t> </w:t>
      </w:r>
      <w:r>
        <w:rPr>
          <w:sz w:val="24"/>
        </w:rPr>
        <w:t>at</w:t>
      </w:r>
      <w:r>
        <w:rPr>
          <w:spacing w:val="40"/>
          <w:sz w:val="24"/>
        </w:rPr>
        <w:t> </w:t>
      </w:r>
      <w:r>
        <w:rPr>
          <w:sz w:val="24"/>
        </w:rPr>
        <w:t>7%</w:t>
      </w:r>
      <w:r>
        <w:rPr>
          <w:spacing w:val="40"/>
          <w:sz w:val="24"/>
        </w:rPr>
        <w:t> </w:t>
      </w:r>
      <w:r>
        <w:rPr>
          <w:sz w:val="24"/>
        </w:rPr>
        <w:t>of</w:t>
      </w:r>
      <w:r>
        <w:rPr>
          <w:spacing w:val="40"/>
          <w:sz w:val="24"/>
        </w:rPr>
        <w:t> </w:t>
      </w:r>
      <w:r>
        <w:rPr>
          <w:sz w:val="24"/>
        </w:rPr>
        <w:t>the</w:t>
      </w:r>
      <w:r>
        <w:rPr>
          <w:spacing w:val="40"/>
          <w:sz w:val="24"/>
        </w:rPr>
        <w:t> </w:t>
      </w:r>
      <w:r>
        <w:rPr>
          <w:sz w:val="24"/>
        </w:rPr>
        <w:t>Land</w:t>
      </w:r>
      <w:r>
        <w:rPr>
          <w:spacing w:val="40"/>
          <w:sz w:val="24"/>
        </w:rPr>
        <w:t> </w:t>
      </w:r>
      <w:r>
        <w:rPr>
          <w:sz w:val="24"/>
        </w:rPr>
        <w:t>Rate</w:t>
      </w:r>
      <w:r>
        <w:rPr>
          <w:spacing w:val="40"/>
          <w:sz w:val="24"/>
        </w:rPr>
        <w:t> </w:t>
      </w:r>
      <w:r>
        <w:rPr>
          <w:sz w:val="24"/>
        </w:rPr>
        <w:t>for</w:t>
      </w:r>
      <w:r>
        <w:rPr>
          <w:spacing w:val="40"/>
          <w:sz w:val="24"/>
        </w:rPr>
        <w:t> </w:t>
      </w:r>
      <w:r>
        <w:rPr>
          <w:sz w:val="24"/>
        </w:rPr>
        <w:t>the</w:t>
      </w:r>
      <w:r>
        <w:rPr>
          <w:spacing w:val="40"/>
          <w:sz w:val="24"/>
        </w:rPr>
        <w:t> </w:t>
      </w:r>
      <w:r>
        <w:rPr>
          <w:sz w:val="24"/>
        </w:rPr>
        <w:t>BUA</w:t>
      </w:r>
      <w:r>
        <w:rPr>
          <w:spacing w:val="40"/>
          <w:sz w:val="24"/>
        </w:rPr>
        <w:t> </w:t>
      </w:r>
      <w:r>
        <w:rPr>
          <w:sz w:val="24"/>
        </w:rPr>
        <w:t>as</w:t>
      </w:r>
      <w:r>
        <w:rPr>
          <w:spacing w:val="40"/>
          <w:sz w:val="24"/>
        </w:rPr>
        <w:t> </w:t>
      </w:r>
      <w:r>
        <w:rPr>
          <w:sz w:val="24"/>
        </w:rPr>
        <w:t>per ASR</w:t>
      </w:r>
      <w:r>
        <w:rPr>
          <w:spacing w:val="40"/>
          <w:sz w:val="24"/>
        </w:rPr>
        <w:t> </w:t>
      </w:r>
      <w:r>
        <w:rPr>
          <w:sz w:val="24"/>
        </w:rPr>
        <w:t>(for</w:t>
      </w:r>
      <w:r>
        <w:rPr>
          <w:spacing w:val="40"/>
          <w:sz w:val="24"/>
        </w:rPr>
        <w:t> </w:t>
      </w:r>
      <w:r>
        <w:rPr>
          <w:sz w:val="24"/>
        </w:rPr>
        <w:t>FSI</w:t>
      </w:r>
      <w:r>
        <w:rPr>
          <w:spacing w:val="40"/>
          <w:sz w:val="24"/>
        </w:rPr>
        <w:t> </w:t>
      </w:r>
      <w:r>
        <w:rPr>
          <w:sz w:val="24"/>
        </w:rPr>
        <w:t>1)</w:t>
      </w:r>
      <w:r>
        <w:rPr>
          <w:spacing w:val="40"/>
          <w:sz w:val="24"/>
        </w:rPr>
        <w:t> </w:t>
      </w:r>
      <w:r>
        <w:rPr>
          <w:sz w:val="24"/>
        </w:rPr>
        <w:t>of</w:t>
      </w:r>
      <w:r>
        <w:rPr>
          <w:spacing w:val="40"/>
          <w:sz w:val="24"/>
        </w:rPr>
        <w:t> </w:t>
      </w:r>
      <w:r>
        <w:rPr>
          <w:sz w:val="24"/>
        </w:rPr>
        <w:t>the</w:t>
      </w:r>
      <w:r>
        <w:rPr>
          <w:spacing w:val="40"/>
          <w:sz w:val="24"/>
        </w:rPr>
        <w:t> </w:t>
      </w:r>
      <w:r>
        <w:rPr>
          <w:sz w:val="24"/>
        </w:rPr>
        <w:t>year</w:t>
      </w:r>
      <w:r>
        <w:rPr>
          <w:spacing w:val="40"/>
          <w:sz w:val="24"/>
        </w:rPr>
        <w:t> </w:t>
      </w:r>
      <w:r>
        <w:rPr>
          <w:sz w:val="24"/>
        </w:rPr>
        <w:t>of</w:t>
      </w:r>
      <w:r>
        <w:rPr>
          <w:spacing w:val="40"/>
          <w:sz w:val="24"/>
        </w:rPr>
        <w:t> </w:t>
      </w:r>
      <w:r>
        <w:rPr>
          <w:sz w:val="24"/>
        </w:rPr>
        <w:t>approval</w:t>
      </w:r>
      <w:r>
        <w:rPr>
          <w:spacing w:val="40"/>
          <w:sz w:val="24"/>
        </w:rPr>
        <w:t> </w:t>
      </w:r>
      <w:r>
        <w:rPr>
          <w:sz w:val="24"/>
        </w:rPr>
        <w:t>for</w:t>
      </w:r>
      <w:r>
        <w:rPr>
          <w:spacing w:val="40"/>
          <w:sz w:val="24"/>
        </w:rPr>
        <w:t> </w:t>
      </w:r>
      <w:r>
        <w:rPr>
          <w:sz w:val="24"/>
        </w:rPr>
        <w:t>the</w:t>
      </w:r>
      <w:r>
        <w:rPr>
          <w:spacing w:val="40"/>
          <w:sz w:val="24"/>
        </w:rPr>
        <w:t> </w:t>
      </w:r>
      <w:r>
        <w:rPr>
          <w:sz w:val="24"/>
        </w:rPr>
        <w:t>BUA</w:t>
      </w:r>
      <w:r>
        <w:rPr>
          <w:spacing w:val="40"/>
          <w:sz w:val="24"/>
        </w:rPr>
        <w:t> </w:t>
      </w:r>
      <w:r>
        <w:rPr>
          <w:sz w:val="24"/>
        </w:rPr>
        <w:t>beyond Zonal</w:t>
      </w:r>
      <w:r>
        <w:rPr>
          <w:spacing w:val="40"/>
          <w:sz w:val="24"/>
        </w:rPr>
        <w:t> </w:t>
      </w:r>
      <w:r>
        <w:rPr>
          <w:sz w:val="24"/>
        </w:rPr>
        <w:t>(basic)</w:t>
      </w:r>
      <w:r>
        <w:rPr>
          <w:spacing w:val="40"/>
          <w:sz w:val="24"/>
        </w:rPr>
        <w:t> </w:t>
      </w:r>
      <w:r>
        <w:rPr>
          <w:sz w:val="24"/>
        </w:rPr>
        <w:t>FSI</w:t>
      </w:r>
      <w:r>
        <w:rPr>
          <w:spacing w:val="40"/>
          <w:sz w:val="24"/>
        </w:rPr>
        <w:t> </w:t>
      </w:r>
      <w:r>
        <w:rPr>
          <w:sz w:val="24"/>
        </w:rPr>
        <w:t>(excluding</w:t>
      </w:r>
      <w:r>
        <w:rPr>
          <w:spacing w:val="40"/>
          <w:sz w:val="24"/>
        </w:rPr>
        <w:t> </w:t>
      </w:r>
      <w:r>
        <w:rPr>
          <w:sz w:val="24"/>
        </w:rPr>
        <w:t>fungible</w:t>
      </w:r>
      <w:r>
        <w:rPr>
          <w:spacing w:val="40"/>
          <w:sz w:val="24"/>
        </w:rPr>
        <w:t> </w:t>
      </w:r>
      <w:r>
        <w:rPr>
          <w:sz w:val="24"/>
        </w:rPr>
        <w:t>compensatory</w:t>
      </w:r>
      <w:r>
        <w:rPr>
          <w:spacing w:val="40"/>
          <w:sz w:val="24"/>
        </w:rPr>
        <w:t> </w:t>
      </w:r>
      <w:r>
        <w:rPr>
          <w:sz w:val="24"/>
        </w:rPr>
        <w:t>area)</w:t>
      </w:r>
      <w:r>
        <w:rPr>
          <w:spacing w:val="40"/>
          <w:sz w:val="24"/>
        </w:rPr>
        <w:t> </w:t>
      </w:r>
      <w:r>
        <w:rPr>
          <w:sz w:val="24"/>
        </w:rPr>
        <w:t>shall be paid to MCGM. Development cess shall be in addition to development charges levied as per section 124 of MR&amp;TP Act </w:t>
      </w:r>
      <w:r>
        <w:rPr>
          <w:spacing w:val="-2"/>
          <w:sz w:val="24"/>
        </w:rPr>
        <w:t>1966.</w:t>
      </w:r>
    </w:p>
    <w:p>
      <w:pPr>
        <w:pStyle w:val="ListParagraph"/>
        <w:numPr>
          <w:ilvl w:val="0"/>
          <w:numId w:val="140"/>
        </w:numPr>
        <w:tabs>
          <w:tab w:pos="2600" w:val="left" w:leader="none"/>
          <w:tab w:pos="2602" w:val="left" w:leader="none"/>
        </w:tabs>
        <w:spacing w:line="240" w:lineRule="auto" w:before="2" w:after="0"/>
        <w:ind w:left="2602" w:right="773" w:hanging="430"/>
        <w:jc w:val="both"/>
        <w:rPr>
          <w:sz w:val="24"/>
        </w:rPr>
      </w:pPr>
      <w:r>
        <w:rPr>
          <w:sz w:val="24"/>
        </w:rPr>
        <w:t>Development/redevelopment of a vacant plot belonging to a private landholder for constructing staff quarters for a user Authority</w:t>
      </w:r>
      <w:r>
        <w:rPr>
          <w:spacing w:val="40"/>
          <w:sz w:val="24"/>
        </w:rPr>
        <w:t> </w:t>
      </w:r>
      <w:r>
        <w:rPr>
          <w:sz w:val="24"/>
        </w:rPr>
        <w:t>shall</w:t>
      </w:r>
      <w:r>
        <w:rPr>
          <w:spacing w:val="40"/>
          <w:sz w:val="24"/>
        </w:rPr>
        <w:t> </w:t>
      </w:r>
      <w:r>
        <w:rPr>
          <w:sz w:val="24"/>
        </w:rPr>
        <w:t>be</w:t>
      </w:r>
      <w:r>
        <w:rPr>
          <w:spacing w:val="40"/>
          <w:sz w:val="24"/>
        </w:rPr>
        <w:t> </w:t>
      </w:r>
      <w:r>
        <w:rPr>
          <w:sz w:val="24"/>
        </w:rPr>
        <w:t>permitted</w:t>
      </w:r>
      <w:r>
        <w:rPr>
          <w:spacing w:val="40"/>
          <w:sz w:val="24"/>
        </w:rPr>
        <w:t> </w:t>
      </w:r>
      <w:r>
        <w:rPr>
          <w:sz w:val="24"/>
        </w:rPr>
        <w:t>by</w:t>
      </w:r>
      <w:r>
        <w:rPr>
          <w:spacing w:val="40"/>
          <w:sz w:val="24"/>
        </w:rPr>
        <w:t> </w:t>
      </w:r>
      <w:r>
        <w:rPr>
          <w:sz w:val="24"/>
        </w:rPr>
        <w:t>the</w:t>
      </w:r>
      <w:r>
        <w:rPr>
          <w:spacing w:val="40"/>
          <w:sz w:val="24"/>
        </w:rPr>
        <w:t> </w:t>
      </w:r>
      <w:r>
        <w:rPr>
          <w:sz w:val="24"/>
        </w:rPr>
        <w:t>Municipal</w:t>
      </w:r>
      <w:r>
        <w:rPr>
          <w:spacing w:val="40"/>
          <w:sz w:val="24"/>
        </w:rPr>
        <w:t> </w:t>
      </w:r>
      <w:r>
        <w:rPr>
          <w:sz w:val="24"/>
        </w:rPr>
        <w:t>Commissioner with</w:t>
      </w:r>
      <w:r>
        <w:rPr>
          <w:spacing w:val="40"/>
          <w:sz w:val="24"/>
        </w:rPr>
        <w:t> </w:t>
      </w:r>
      <w:r>
        <w:rPr>
          <w:sz w:val="24"/>
        </w:rPr>
        <w:t>prior</w:t>
      </w:r>
      <w:r>
        <w:rPr>
          <w:spacing w:val="40"/>
          <w:sz w:val="24"/>
        </w:rPr>
        <w:t> </w:t>
      </w:r>
      <w:r>
        <w:rPr>
          <w:sz w:val="24"/>
        </w:rPr>
        <w:t>approval</w:t>
      </w:r>
      <w:r>
        <w:rPr>
          <w:spacing w:val="40"/>
          <w:sz w:val="24"/>
        </w:rPr>
        <w:t> </w:t>
      </w:r>
      <w:r>
        <w:rPr>
          <w:sz w:val="24"/>
        </w:rPr>
        <w:t>of</w:t>
      </w:r>
      <w:r>
        <w:rPr>
          <w:spacing w:val="40"/>
          <w:sz w:val="24"/>
        </w:rPr>
        <w:t> </w:t>
      </w:r>
      <w:r>
        <w:rPr>
          <w:sz w:val="24"/>
        </w:rPr>
        <w:t>the</w:t>
      </w:r>
      <w:r>
        <w:rPr>
          <w:spacing w:val="40"/>
          <w:sz w:val="24"/>
        </w:rPr>
        <w:t> </w:t>
      </w:r>
      <w:r>
        <w:rPr>
          <w:sz w:val="24"/>
        </w:rPr>
        <w:t>location</w:t>
      </w:r>
      <w:r>
        <w:rPr>
          <w:spacing w:val="40"/>
          <w:sz w:val="24"/>
        </w:rPr>
        <w:t> </w:t>
      </w:r>
      <w:r>
        <w:rPr>
          <w:sz w:val="24"/>
        </w:rPr>
        <w:t>and</w:t>
      </w:r>
      <w:r>
        <w:rPr>
          <w:spacing w:val="40"/>
          <w:sz w:val="24"/>
        </w:rPr>
        <w:t> </w:t>
      </w:r>
      <w:r>
        <w:rPr>
          <w:sz w:val="24"/>
        </w:rPr>
        <w:t>requirement</w:t>
      </w:r>
      <w:r>
        <w:rPr>
          <w:spacing w:val="40"/>
          <w:sz w:val="24"/>
        </w:rPr>
        <w:t> </w:t>
      </w:r>
      <w:r>
        <w:rPr>
          <w:sz w:val="24"/>
        </w:rPr>
        <w:t>of</w:t>
      </w:r>
      <w:r>
        <w:rPr>
          <w:spacing w:val="40"/>
          <w:sz w:val="24"/>
        </w:rPr>
        <w:t> </w:t>
      </w:r>
      <w:r>
        <w:rPr>
          <w:sz w:val="24"/>
        </w:rPr>
        <w:t>such Staff</w:t>
      </w:r>
      <w:r>
        <w:rPr>
          <w:spacing w:val="40"/>
          <w:sz w:val="24"/>
        </w:rPr>
        <w:t> </w:t>
      </w:r>
      <w:r>
        <w:rPr>
          <w:sz w:val="24"/>
        </w:rPr>
        <w:t>Quarters</w:t>
      </w:r>
      <w:r>
        <w:rPr>
          <w:spacing w:val="40"/>
          <w:sz w:val="24"/>
        </w:rPr>
        <w:t> </w:t>
      </w:r>
      <w:r>
        <w:rPr>
          <w:sz w:val="24"/>
        </w:rPr>
        <w:t>by</w:t>
      </w:r>
      <w:r>
        <w:rPr>
          <w:spacing w:val="40"/>
          <w:sz w:val="24"/>
        </w:rPr>
        <w:t> </w:t>
      </w:r>
      <w:r>
        <w:rPr>
          <w:sz w:val="24"/>
        </w:rPr>
        <w:t>the</w:t>
      </w:r>
      <w:r>
        <w:rPr>
          <w:spacing w:val="40"/>
          <w:sz w:val="24"/>
        </w:rPr>
        <w:t> </w:t>
      </w:r>
      <w:r>
        <w:rPr>
          <w:sz w:val="24"/>
        </w:rPr>
        <w:t>Committee</w:t>
      </w:r>
      <w:r>
        <w:rPr>
          <w:spacing w:val="40"/>
          <w:sz w:val="24"/>
        </w:rPr>
        <w:t> </w:t>
      </w:r>
      <w:r>
        <w:rPr>
          <w:sz w:val="24"/>
        </w:rPr>
        <w:t>formed</w:t>
      </w:r>
      <w:r>
        <w:rPr>
          <w:spacing w:val="40"/>
          <w:sz w:val="24"/>
        </w:rPr>
        <w:t> </w:t>
      </w:r>
      <w:r>
        <w:rPr>
          <w:sz w:val="24"/>
        </w:rPr>
        <w:t>for</w:t>
      </w:r>
      <w:r>
        <w:rPr>
          <w:spacing w:val="40"/>
          <w:sz w:val="24"/>
        </w:rPr>
        <w:t> </w:t>
      </w:r>
      <w:r>
        <w:rPr>
          <w:sz w:val="24"/>
        </w:rPr>
        <w:t>this</w:t>
      </w:r>
      <w:r>
        <w:rPr>
          <w:spacing w:val="40"/>
          <w:sz w:val="24"/>
        </w:rPr>
        <w:t> </w:t>
      </w:r>
      <w:r>
        <w:rPr>
          <w:sz w:val="24"/>
        </w:rPr>
        <w:t>purpose</w:t>
      </w:r>
      <w:r>
        <w:rPr>
          <w:spacing w:val="40"/>
          <w:sz w:val="24"/>
        </w:rPr>
        <w:t> </w:t>
      </w:r>
      <w:r>
        <w:rPr>
          <w:sz w:val="24"/>
        </w:rPr>
        <w:t>by </w:t>
      </w:r>
      <w:r>
        <w:rPr>
          <w:spacing w:val="-4"/>
          <w:sz w:val="24"/>
        </w:rPr>
        <w:t>GoM.</w:t>
      </w:r>
    </w:p>
    <w:p>
      <w:pPr>
        <w:pStyle w:val="ListParagraph"/>
        <w:numPr>
          <w:ilvl w:val="0"/>
          <w:numId w:val="140"/>
        </w:numPr>
        <w:tabs>
          <w:tab w:pos="2598" w:val="left" w:leader="none"/>
          <w:tab w:pos="2602" w:val="left" w:leader="none"/>
        </w:tabs>
        <w:spacing w:line="240" w:lineRule="auto" w:before="0" w:after="0"/>
        <w:ind w:left="2602" w:right="781" w:hanging="514"/>
        <w:jc w:val="both"/>
        <w:rPr>
          <w:sz w:val="24"/>
        </w:rPr>
      </w:pPr>
      <w:r>
        <w:rPr>
          <w:sz w:val="24"/>
        </w:rPr>
        <w:t>In</w:t>
      </w:r>
      <w:r>
        <w:rPr>
          <w:spacing w:val="40"/>
          <w:sz w:val="24"/>
        </w:rPr>
        <w:t> </w:t>
      </w:r>
      <w:r>
        <w:rPr>
          <w:sz w:val="24"/>
        </w:rPr>
        <w:t>case</w:t>
      </w:r>
      <w:r>
        <w:rPr>
          <w:spacing w:val="40"/>
          <w:sz w:val="24"/>
        </w:rPr>
        <w:t> </w:t>
      </w:r>
      <w:r>
        <w:rPr>
          <w:sz w:val="24"/>
        </w:rPr>
        <w:t>of</w:t>
      </w:r>
      <w:r>
        <w:rPr>
          <w:spacing w:val="40"/>
          <w:sz w:val="24"/>
        </w:rPr>
        <w:t> </w:t>
      </w:r>
      <w:r>
        <w:rPr>
          <w:sz w:val="24"/>
        </w:rPr>
        <w:t>flats</w:t>
      </w:r>
      <w:r>
        <w:rPr>
          <w:spacing w:val="40"/>
          <w:sz w:val="24"/>
        </w:rPr>
        <w:t> </w:t>
      </w:r>
      <w:r>
        <w:rPr>
          <w:sz w:val="24"/>
        </w:rPr>
        <w:t>proposed</w:t>
      </w:r>
      <w:r>
        <w:rPr>
          <w:spacing w:val="40"/>
          <w:sz w:val="24"/>
        </w:rPr>
        <w:t> </w:t>
      </w:r>
      <w:r>
        <w:rPr>
          <w:sz w:val="24"/>
        </w:rPr>
        <w:t>for</w:t>
      </w:r>
      <w:r>
        <w:rPr>
          <w:spacing w:val="40"/>
          <w:sz w:val="24"/>
        </w:rPr>
        <w:t> </w:t>
      </w:r>
      <w:r>
        <w:rPr>
          <w:sz w:val="24"/>
        </w:rPr>
        <w:t>conservancy</w:t>
      </w:r>
      <w:r>
        <w:rPr>
          <w:spacing w:val="40"/>
          <w:sz w:val="24"/>
        </w:rPr>
        <w:t> </w:t>
      </w:r>
      <w:r>
        <w:rPr>
          <w:sz w:val="24"/>
        </w:rPr>
        <w:t>staff</w:t>
      </w:r>
      <w:r>
        <w:rPr>
          <w:spacing w:val="40"/>
          <w:sz w:val="24"/>
        </w:rPr>
        <w:t> </w:t>
      </w:r>
      <w:r>
        <w:rPr>
          <w:sz w:val="24"/>
        </w:rPr>
        <w:t>quarters</w:t>
      </w:r>
      <w:r>
        <w:rPr>
          <w:spacing w:val="40"/>
          <w:sz w:val="24"/>
        </w:rPr>
        <w:t> </w:t>
      </w:r>
      <w:r>
        <w:rPr>
          <w:sz w:val="24"/>
        </w:rPr>
        <w:t>under this</w:t>
      </w:r>
      <w:r>
        <w:rPr>
          <w:spacing w:val="40"/>
          <w:sz w:val="24"/>
        </w:rPr>
        <w:t> </w:t>
      </w:r>
      <w:r>
        <w:rPr>
          <w:sz w:val="24"/>
        </w:rPr>
        <w:t>Regulation,</w:t>
      </w:r>
      <w:r>
        <w:rPr>
          <w:spacing w:val="40"/>
          <w:sz w:val="24"/>
        </w:rPr>
        <w:t> </w:t>
      </w:r>
      <w:r>
        <w:rPr>
          <w:sz w:val="24"/>
        </w:rPr>
        <w:t>a</w:t>
      </w:r>
      <w:r>
        <w:rPr>
          <w:spacing w:val="40"/>
          <w:sz w:val="24"/>
        </w:rPr>
        <w:t> </w:t>
      </w:r>
      <w:r>
        <w:rPr>
          <w:sz w:val="24"/>
        </w:rPr>
        <w:t>percentage</w:t>
      </w:r>
      <w:r>
        <w:rPr>
          <w:spacing w:val="40"/>
          <w:sz w:val="24"/>
        </w:rPr>
        <w:t> </w:t>
      </w:r>
      <w:r>
        <w:rPr>
          <w:sz w:val="24"/>
        </w:rPr>
        <w:t>of</w:t>
      </w:r>
      <w:r>
        <w:rPr>
          <w:spacing w:val="40"/>
          <w:sz w:val="24"/>
        </w:rPr>
        <w:t> </w:t>
      </w:r>
      <w:r>
        <w:rPr>
          <w:sz w:val="24"/>
        </w:rPr>
        <w:t>flats</w:t>
      </w:r>
      <w:r>
        <w:rPr>
          <w:spacing w:val="40"/>
          <w:sz w:val="24"/>
        </w:rPr>
        <w:t> </w:t>
      </w:r>
      <w:r>
        <w:rPr>
          <w:sz w:val="24"/>
        </w:rPr>
        <w:t>as</w:t>
      </w:r>
      <w:r>
        <w:rPr>
          <w:spacing w:val="40"/>
          <w:sz w:val="24"/>
        </w:rPr>
        <w:t> </w:t>
      </w:r>
      <w:r>
        <w:rPr>
          <w:sz w:val="24"/>
        </w:rPr>
        <w:t>decided</w:t>
      </w:r>
      <w:r>
        <w:rPr>
          <w:spacing w:val="40"/>
          <w:sz w:val="24"/>
        </w:rPr>
        <w:t> </w:t>
      </w:r>
      <w:r>
        <w:rPr>
          <w:sz w:val="24"/>
        </w:rPr>
        <w:t>by</w:t>
      </w:r>
      <w:r>
        <w:rPr>
          <w:spacing w:val="40"/>
          <w:sz w:val="24"/>
        </w:rPr>
        <w:t> </w:t>
      </w:r>
      <w:r>
        <w:rPr>
          <w:sz w:val="24"/>
        </w:rPr>
        <w:t>GoM</w:t>
      </w:r>
      <w:r>
        <w:rPr>
          <w:spacing w:val="40"/>
          <w:sz w:val="24"/>
        </w:rPr>
        <w:t> </w:t>
      </w:r>
      <w:r>
        <w:rPr>
          <w:sz w:val="24"/>
        </w:rPr>
        <w:t>shall be</w:t>
      </w:r>
      <w:r>
        <w:rPr>
          <w:spacing w:val="40"/>
          <w:sz w:val="24"/>
        </w:rPr>
        <w:t> </w:t>
      </w:r>
      <w:r>
        <w:rPr>
          <w:sz w:val="24"/>
        </w:rPr>
        <w:t>available</w:t>
      </w:r>
      <w:r>
        <w:rPr>
          <w:spacing w:val="40"/>
          <w:sz w:val="24"/>
        </w:rPr>
        <w:t> </w:t>
      </w:r>
      <w:r>
        <w:rPr>
          <w:sz w:val="24"/>
        </w:rPr>
        <w:t>on</w:t>
      </w:r>
      <w:r>
        <w:rPr>
          <w:spacing w:val="40"/>
          <w:sz w:val="24"/>
        </w:rPr>
        <w:t> </w:t>
      </w:r>
      <w:r>
        <w:rPr>
          <w:sz w:val="24"/>
        </w:rPr>
        <w:t>ownership</w:t>
      </w:r>
      <w:r>
        <w:rPr>
          <w:spacing w:val="40"/>
          <w:sz w:val="24"/>
        </w:rPr>
        <w:t> </w:t>
      </w:r>
      <w:r>
        <w:rPr>
          <w:sz w:val="24"/>
        </w:rPr>
        <w:t>basis</w:t>
      </w:r>
      <w:r>
        <w:rPr>
          <w:spacing w:val="40"/>
          <w:sz w:val="24"/>
        </w:rPr>
        <w:t> </w:t>
      </w:r>
      <w:r>
        <w:rPr>
          <w:sz w:val="24"/>
        </w:rPr>
        <w:t>under</w:t>
      </w:r>
      <w:r>
        <w:rPr>
          <w:spacing w:val="40"/>
          <w:sz w:val="24"/>
        </w:rPr>
        <w:t> </w:t>
      </w:r>
      <w:r>
        <w:rPr>
          <w:sz w:val="24"/>
        </w:rPr>
        <w:t>Shram</w:t>
      </w:r>
      <w:r>
        <w:rPr>
          <w:spacing w:val="40"/>
          <w:sz w:val="24"/>
        </w:rPr>
        <w:t> </w:t>
      </w:r>
      <w:r>
        <w:rPr>
          <w:sz w:val="24"/>
        </w:rPr>
        <w:t>Saphalya</w:t>
      </w:r>
      <w:r>
        <w:rPr>
          <w:spacing w:val="40"/>
          <w:sz w:val="24"/>
        </w:rPr>
        <w:t> </w:t>
      </w:r>
      <w:r>
        <w:rPr>
          <w:spacing w:val="-2"/>
          <w:sz w:val="24"/>
        </w:rPr>
        <w:t>scheme.</w:t>
      </w:r>
    </w:p>
    <w:p>
      <w:pPr>
        <w:pStyle w:val="Heading6"/>
        <w:spacing w:before="238"/>
      </w:pPr>
      <w:r>
        <w:rPr>
          <w:i w:val="0"/>
        </w:rPr>
        <w:t>33(4)</w:t>
      </w:r>
      <w:r>
        <w:rPr>
          <w:i w:val="0"/>
          <w:spacing w:val="7"/>
        </w:rPr>
        <w:t> </w:t>
      </w:r>
      <w:r>
        <w:rPr/>
        <w:t>Building</w:t>
      </w:r>
      <w:r>
        <w:rPr>
          <w:spacing w:val="-2"/>
        </w:rPr>
        <w:t> </w:t>
      </w:r>
      <w:r>
        <w:rPr/>
        <w:t>of</w:t>
      </w:r>
      <w:r>
        <w:rPr>
          <w:spacing w:val="-2"/>
        </w:rPr>
        <w:t> </w:t>
      </w:r>
      <w:r>
        <w:rPr/>
        <w:t>Residential</w:t>
      </w:r>
      <w:r>
        <w:rPr>
          <w:spacing w:val="-1"/>
        </w:rPr>
        <w:t> </w:t>
      </w:r>
      <w:r>
        <w:rPr/>
        <w:t>Hotels</w:t>
      </w:r>
      <w:r>
        <w:rPr>
          <w:spacing w:val="-2"/>
        </w:rPr>
        <w:t> </w:t>
      </w:r>
      <w:r>
        <w:rPr/>
        <w:t>on</w:t>
      </w:r>
      <w:r>
        <w:rPr>
          <w:spacing w:val="-2"/>
        </w:rPr>
        <w:t> </w:t>
      </w:r>
      <w:r>
        <w:rPr/>
        <w:t>independent</w:t>
      </w:r>
      <w:r>
        <w:rPr>
          <w:spacing w:val="-1"/>
        </w:rPr>
        <w:t> </w:t>
      </w:r>
      <w:r>
        <w:rPr>
          <w:spacing w:val="-2"/>
        </w:rPr>
        <w:t>plot:</w:t>
      </w:r>
    </w:p>
    <w:p>
      <w:pPr>
        <w:pStyle w:val="BodyText"/>
        <w:spacing w:before="242"/>
        <w:ind w:left="2602" w:right="769"/>
      </w:pPr>
      <w:r>
        <w:rPr/>
        <w:t>Subject to payment of premium</w:t>
      </w:r>
      <w:r>
        <w:rPr>
          <w:spacing w:val="80"/>
        </w:rPr>
        <w:t> </w:t>
      </w:r>
      <w:r>
        <w:rPr>
          <w:sz w:val="22"/>
        </w:rPr>
        <w:t>for BUA at the rate of 30% of the land rates as per ASR (for FSI 1)</w:t>
      </w:r>
      <w:r>
        <w:rPr>
          <w:spacing w:val="40"/>
          <w:sz w:val="22"/>
        </w:rPr>
        <w:t> </w:t>
      </w:r>
      <w:r>
        <w:rPr/>
        <w:t>or</w:t>
      </w:r>
      <w:r>
        <w:rPr>
          <w:spacing w:val="40"/>
        </w:rPr>
        <w:t> </w:t>
      </w:r>
      <w:r>
        <w:rPr/>
        <w:t>as</w:t>
      </w:r>
      <w:r>
        <w:rPr>
          <w:spacing w:val="40"/>
        </w:rPr>
        <w:t> </w:t>
      </w:r>
      <w:r>
        <w:rPr/>
        <w:t>decided</w:t>
      </w:r>
      <w:r>
        <w:rPr>
          <w:spacing w:val="40"/>
        </w:rPr>
        <w:t> </w:t>
      </w:r>
      <w:r>
        <w:rPr/>
        <w:t>by</w:t>
      </w:r>
      <w:r>
        <w:rPr>
          <w:spacing w:val="40"/>
        </w:rPr>
        <w:t> </w:t>
      </w:r>
      <w:r>
        <w:rPr/>
        <w:t>Govt.</w:t>
      </w:r>
      <w:r>
        <w:rPr>
          <w:spacing w:val="40"/>
        </w:rPr>
        <w:t> </w:t>
      </w:r>
      <w:r>
        <w:rPr/>
        <w:t>from</w:t>
      </w:r>
      <w:r>
        <w:rPr>
          <w:spacing w:val="40"/>
        </w:rPr>
        <w:t> </w:t>
      </w:r>
      <w:r>
        <w:rPr/>
        <w:t>time to</w:t>
      </w:r>
      <w:r>
        <w:rPr>
          <w:spacing w:val="40"/>
        </w:rPr>
        <w:t> </w:t>
      </w:r>
      <w:r>
        <w:rPr/>
        <w:t>time,equally</w:t>
      </w:r>
      <w:r>
        <w:rPr>
          <w:spacing w:val="40"/>
        </w:rPr>
        <w:t> </w:t>
      </w:r>
      <w:r>
        <w:rPr/>
        <w:t>to</w:t>
      </w:r>
      <w:r>
        <w:rPr>
          <w:spacing w:val="40"/>
        </w:rPr>
        <w:t> </w:t>
      </w:r>
      <w:r>
        <w:rPr/>
        <w:t>be</w:t>
      </w:r>
      <w:r>
        <w:rPr>
          <w:spacing w:val="40"/>
        </w:rPr>
        <w:t> </w:t>
      </w:r>
      <w:r>
        <w:rPr/>
        <w:t>shared</w:t>
      </w:r>
      <w:r>
        <w:rPr>
          <w:spacing w:val="40"/>
        </w:rPr>
        <w:t> </w:t>
      </w:r>
      <w:r>
        <w:rPr/>
        <w:t>between</w:t>
      </w:r>
      <w:r>
        <w:rPr>
          <w:spacing w:val="40"/>
        </w:rPr>
        <w:t> </w:t>
      </w:r>
      <w:r>
        <w:rPr/>
        <w:t>Govt.&amp;</w:t>
      </w:r>
      <w:r>
        <w:rPr>
          <w:spacing w:val="40"/>
        </w:rPr>
        <w:t> </w:t>
      </w:r>
      <w:r>
        <w:rPr/>
        <w:t>MCGM,</w:t>
      </w:r>
      <w:r>
        <w:rPr>
          <w:spacing w:val="40"/>
        </w:rPr>
        <w:t> </w:t>
      </w:r>
      <w:r>
        <w:rPr/>
        <w:t>and subject</w:t>
      </w:r>
      <w:r>
        <w:rPr>
          <w:spacing w:val="40"/>
        </w:rPr>
        <w:t> </w:t>
      </w:r>
      <w:r>
        <w:rPr/>
        <w:t>to</w:t>
      </w:r>
      <w:r>
        <w:rPr>
          <w:spacing w:val="40"/>
        </w:rPr>
        <w:t> </w:t>
      </w:r>
      <w:r>
        <w:rPr/>
        <w:t>other</w:t>
      </w:r>
      <w:r>
        <w:rPr>
          <w:spacing w:val="40"/>
        </w:rPr>
        <w:t> </w:t>
      </w:r>
      <w:r>
        <w:rPr/>
        <w:t>terms</w:t>
      </w:r>
      <w:r>
        <w:rPr>
          <w:spacing w:val="40"/>
        </w:rPr>
        <w:t> </w:t>
      </w:r>
      <w:r>
        <w:rPr/>
        <w:t>and</w:t>
      </w:r>
      <w:r>
        <w:rPr>
          <w:spacing w:val="40"/>
        </w:rPr>
        <w:t> </w:t>
      </w:r>
      <w:r>
        <w:rPr/>
        <w:t>conditions,</w:t>
      </w:r>
      <w:r>
        <w:rPr>
          <w:spacing w:val="40"/>
        </w:rPr>
        <w:t> </w:t>
      </w:r>
      <w:r>
        <w:rPr/>
        <w:t>the</w:t>
      </w:r>
      <w:r>
        <w:rPr>
          <w:spacing w:val="40"/>
        </w:rPr>
        <w:t> </w:t>
      </w:r>
      <w:r>
        <w:rPr/>
        <w:t>maximum permissible</w:t>
      </w:r>
      <w:r>
        <w:rPr>
          <w:spacing w:val="40"/>
        </w:rPr>
        <w:t> </w:t>
      </w:r>
      <w:r>
        <w:rPr/>
        <w:t>FSI</w:t>
      </w:r>
      <w:r>
        <w:rPr>
          <w:spacing w:val="40"/>
        </w:rPr>
        <w:t> </w:t>
      </w:r>
      <w:r>
        <w:rPr/>
        <w:t>[including</w:t>
      </w:r>
      <w:r>
        <w:rPr>
          <w:spacing w:val="40"/>
        </w:rPr>
        <w:t> </w:t>
      </w:r>
      <w:r>
        <w:rPr/>
        <w:t>Zonal</w:t>
      </w:r>
      <w:r>
        <w:rPr>
          <w:spacing w:val="40"/>
        </w:rPr>
        <w:t> </w:t>
      </w:r>
      <w:r>
        <w:rPr/>
        <w:t>(basic)</w:t>
      </w:r>
      <w:r>
        <w:rPr>
          <w:spacing w:val="40"/>
        </w:rPr>
        <w:t> </w:t>
      </w:r>
      <w:r>
        <w:rPr/>
        <w:t>FSI]</w:t>
      </w:r>
      <w:r>
        <w:rPr>
          <w:spacing w:val="40"/>
        </w:rPr>
        <w:t> </w:t>
      </w:r>
      <w:r>
        <w:rPr/>
        <w:t>shall</w:t>
      </w:r>
      <w:r>
        <w:rPr>
          <w:spacing w:val="40"/>
        </w:rPr>
        <w:t> </w:t>
      </w:r>
      <w:r>
        <w:rPr/>
        <w:t>be</w:t>
      </w:r>
      <w:r>
        <w:rPr>
          <w:spacing w:val="40"/>
        </w:rPr>
        <w:t> </w:t>
      </w:r>
      <w:r>
        <w:rPr/>
        <w:t>as</w:t>
      </w:r>
      <w:r>
        <w:rPr>
          <w:spacing w:val="40"/>
        </w:rPr>
        <w:t> </w:t>
      </w:r>
      <w:r>
        <w:rPr/>
        <w:t>below for</w:t>
      </w:r>
      <w:r>
        <w:rPr>
          <w:spacing w:val="40"/>
        </w:rPr>
        <w:t> </w:t>
      </w:r>
      <w:r>
        <w:rPr/>
        <w:t>all</w:t>
      </w:r>
      <w:r>
        <w:rPr>
          <w:spacing w:val="40"/>
        </w:rPr>
        <w:t> </w:t>
      </w:r>
      <w:r>
        <w:rPr/>
        <w:t>residential</w:t>
      </w:r>
      <w:r>
        <w:rPr>
          <w:spacing w:val="40"/>
        </w:rPr>
        <w:t> </w:t>
      </w:r>
      <w:r>
        <w:rPr/>
        <w:t>hotels</w:t>
      </w:r>
      <w:r>
        <w:rPr>
          <w:spacing w:val="40"/>
        </w:rPr>
        <w:t> </w:t>
      </w:r>
      <w:r>
        <w:rPr/>
        <w:t>on</w:t>
      </w:r>
      <w:r>
        <w:rPr>
          <w:spacing w:val="40"/>
        </w:rPr>
        <w:t> </w:t>
      </w:r>
      <w:r>
        <w:rPr/>
        <w:t>independent</w:t>
      </w:r>
      <w:r>
        <w:rPr>
          <w:spacing w:val="40"/>
        </w:rPr>
        <w:t> </w:t>
      </w:r>
      <w:r>
        <w:rPr/>
        <w:t>plots</w:t>
      </w:r>
      <w:r>
        <w:rPr>
          <w:spacing w:val="40"/>
        </w:rPr>
        <w:t> </w:t>
      </w:r>
      <w:r>
        <w:rPr/>
        <w:t>and</w:t>
      </w:r>
      <w:r>
        <w:rPr>
          <w:spacing w:val="40"/>
        </w:rPr>
        <w:t> </w:t>
      </w:r>
      <w:r>
        <w:rPr/>
        <w:t>satisfies other related provisions of these Regulations and under one </w:t>
      </w:r>
      <w:r>
        <w:rPr>
          <w:spacing w:val="-2"/>
        </w:rPr>
        <w:t>establishment.</w:t>
      </w:r>
    </w:p>
    <w:p>
      <w:pPr>
        <w:pStyle w:val="BodyText"/>
        <w:spacing w:before="6"/>
        <w:jc w:val="left"/>
        <w:rPr>
          <w:sz w:val="20"/>
        </w:rPr>
      </w:pPr>
    </w:p>
    <w:tbl>
      <w:tblPr>
        <w:tblW w:w="0" w:type="auto"/>
        <w:jc w:val="left"/>
        <w:tblInd w:w="2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4"/>
        <w:gridCol w:w="3207"/>
        <w:gridCol w:w="1425"/>
        <w:gridCol w:w="794"/>
        <w:gridCol w:w="685"/>
        <w:gridCol w:w="956"/>
      </w:tblGrid>
      <w:tr>
        <w:trPr>
          <w:trHeight w:val="844" w:hRule="atLeast"/>
        </w:trPr>
        <w:tc>
          <w:tcPr>
            <w:tcW w:w="794" w:type="dxa"/>
            <w:shd w:val="clear" w:color="auto" w:fill="EDEBE0"/>
          </w:tcPr>
          <w:p>
            <w:pPr>
              <w:pStyle w:val="TableParagraph"/>
              <w:ind w:left="107" w:right="143"/>
              <w:rPr>
                <w:sz w:val="24"/>
              </w:rPr>
            </w:pPr>
            <w:r>
              <w:rPr>
                <w:spacing w:val="-6"/>
                <w:sz w:val="24"/>
              </w:rPr>
              <w:t>Sr </w:t>
            </w:r>
            <w:r>
              <w:rPr>
                <w:spacing w:val="-5"/>
                <w:sz w:val="24"/>
              </w:rPr>
              <w:t>No</w:t>
            </w:r>
          </w:p>
        </w:tc>
        <w:tc>
          <w:tcPr>
            <w:tcW w:w="3207" w:type="dxa"/>
            <w:shd w:val="clear" w:color="auto" w:fill="FFCCFF"/>
          </w:tcPr>
          <w:p>
            <w:pPr>
              <w:pStyle w:val="TableParagraph"/>
              <w:rPr>
                <w:rFonts w:ascii="Times New Roman"/>
                <w:sz w:val="22"/>
              </w:rPr>
            </w:pPr>
          </w:p>
        </w:tc>
        <w:tc>
          <w:tcPr>
            <w:tcW w:w="1425" w:type="dxa"/>
            <w:shd w:val="clear" w:color="auto" w:fill="EDEBE0"/>
          </w:tcPr>
          <w:p>
            <w:pPr>
              <w:pStyle w:val="TableParagraph"/>
              <w:spacing w:line="281" w:lineRule="exact"/>
              <w:ind w:left="108"/>
              <w:rPr>
                <w:sz w:val="24"/>
              </w:rPr>
            </w:pPr>
            <w:r>
              <w:rPr>
                <w:spacing w:val="-2"/>
                <w:sz w:val="24"/>
              </w:rPr>
              <w:t>Minimum</w:t>
            </w:r>
          </w:p>
          <w:p>
            <w:pPr>
              <w:pStyle w:val="TableParagraph"/>
              <w:spacing w:line="280" w:lineRule="exact"/>
              <w:ind w:left="108" w:right="56"/>
              <w:rPr>
                <w:sz w:val="24"/>
              </w:rPr>
            </w:pPr>
            <w:r>
              <w:rPr>
                <w:spacing w:val="-4"/>
                <w:sz w:val="24"/>
              </w:rPr>
              <w:t>Road </w:t>
            </w:r>
            <w:r>
              <w:rPr>
                <w:spacing w:val="-2"/>
                <w:sz w:val="24"/>
              </w:rPr>
              <w:t>Width</w:t>
            </w:r>
          </w:p>
        </w:tc>
        <w:tc>
          <w:tcPr>
            <w:tcW w:w="2435" w:type="dxa"/>
            <w:gridSpan w:val="3"/>
            <w:shd w:val="clear" w:color="auto" w:fill="EDEBE0"/>
          </w:tcPr>
          <w:p>
            <w:pPr>
              <w:pStyle w:val="TableParagraph"/>
              <w:ind w:left="106" w:right="355"/>
              <w:rPr>
                <w:sz w:val="24"/>
              </w:rPr>
            </w:pPr>
            <w:r>
              <w:rPr>
                <w:spacing w:val="-2"/>
                <w:sz w:val="24"/>
              </w:rPr>
              <w:t>Maximum </w:t>
            </w:r>
            <w:r>
              <w:rPr>
                <w:sz w:val="24"/>
              </w:rPr>
              <w:t>Permissible FSI</w:t>
            </w:r>
          </w:p>
        </w:tc>
      </w:tr>
      <w:tr>
        <w:trPr>
          <w:trHeight w:val="282" w:hRule="atLeast"/>
        </w:trPr>
        <w:tc>
          <w:tcPr>
            <w:tcW w:w="794" w:type="dxa"/>
          </w:tcPr>
          <w:p>
            <w:pPr>
              <w:pStyle w:val="TableParagraph"/>
              <w:spacing w:line="261" w:lineRule="exact" w:before="1"/>
              <w:ind w:right="1"/>
              <w:jc w:val="center"/>
              <w:rPr>
                <w:sz w:val="24"/>
              </w:rPr>
            </w:pPr>
            <w:r>
              <w:rPr>
                <w:spacing w:val="-10"/>
                <w:sz w:val="24"/>
              </w:rPr>
              <w:t>1</w:t>
            </w:r>
          </w:p>
        </w:tc>
        <w:tc>
          <w:tcPr>
            <w:tcW w:w="3207" w:type="dxa"/>
            <w:shd w:val="clear" w:color="auto" w:fill="FFCCFF"/>
          </w:tcPr>
          <w:p>
            <w:pPr>
              <w:pStyle w:val="TableParagraph"/>
              <w:rPr>
                <w:rFonts w:ascii="Times New Roman"/>
                <w:sz w:val="20"/>
              </w:rPr>
            </w:pPr>
          </w:p>
        </w:tc>
        <w:tc>
          <w:tcPr>
            <w:tcW w:w="1425" w:type="dxa"/>
          </w:tcPr>
          <w:p>
            <w:pPr>
              <w:pStyle w:val="TableParagraph"/>
              <w:spacing w:line="261" w:lineRule="exact" w:before="1"/>
              <w:ind w:left="108"/>
              <w:rPr>
                <w:sz w:val="24"/>
              </w:rPr>
            </w:pPr>
            <w:r>
              <w:rPr>
                <w:spacing w:val="-5"/>
                <w:sz w:val="24"/>
              </w:rPr>
              <w:t>12m</w:t>
            </w:r>
          </w:p>
        </w:tc>
        <w:tc>
          <w:tcPr>
            <w:tcW w:w="794" w:type="dxa"/>
            <w:tcBorders>
              <w:right w:val="nil"/>
            </w:tcBorders>
          </w:tcPr>
          <w:p>
            <w:pPr>
              <w:pStyle w:val="TableParagraph"/>
              <w:rPr>
                <w:rFonts w:ascii="Times New Roman"/>
                <w:sz w:val="20"/>
              </w:rPr>
            </w:pPr>
          </w:p>
        </w:tc>
        <w:tc>
          <w:tcPr>
            <w:tcW w:w="685" w:type="dxa"/>
            <w:tcBorders>
              <w:left w:val="nil"/>
              <w:right w:val="nil"/>
            </w:tcBorders>
            <w:shd w:val="clear" w:color="auto" w:fill="FFCCFF"/>
          </w:tcPr>
          <w:p>
            <w:pPr>
              <w:pStyle w:val="TableParagraph"/>
              <w:spacing w:line="261" w:lineRule="exact" w:before="1"/>
              <w:ind w:left="7" w:right="-15"/>
              <w:jc w:val="center"/>
              <w:rPr>
                <w:sz w:val="24"/>
              </w:rPr>
            </w:pPr>
            <w:r>
              <w:rPr>
                <w:sz w:val="24"/>
              </w:rPr>
              <w:t>Up</w:t>
            </w:r>
            <w:r>
              <w:rPr>
                <w:spacing w:val="28"/>
                <w:sz w:val="24"/>
              </w:rPr>
              <w:t> </w:t>
            </w:r>
            <w:r>
              <w:rPr>
                <w:spacing w:val="-5"/>
                <w:sz w:val="24"/>
              </w:rPr>
              <w:t>to</w:t>
            </w:r>
          </w:p>
        </w:tc>
        <w:tc>
          <w:tcPr>
            <w:tcW w:w="956" w:type="dxa"/>
            <w:tcBorders>
              <w:left w:val="nil"/>
            </w:tcBorders>
          </w:tcPr>
          <w:p>
            <w:pPr>
              <w:pStyle w:val="TableParagraph"/>
              <w:spacing w:line="261" w:lineRule="exact" w:before="1"/>
              <w:ind w:left="8"/>
              <w:rPr>
                <w:sz w:val="24"/>
              </w:rPr>
            </w:pPr>
            <w:r>
              <w:rPr>
                <w:spacing w:val="-10"/>
                <w:sz w:val="24"/>
              </w:rPr>
              <w:t>3</w:t>
            </w:r>
          </w:p>
        </w:tc>
      </w:tr>
      <w:tr>
        <w:trPr>
          <w:trHeight w:val="280" w:hRule="atLeast"/>
        </w:trPr>
        <w:tc>
          <w:tcPr>
            <w:tcW w:w="794" w:type="dxa"/>
          </w:tcPr>
          <w:p>
            <w:pPr>
              <w:pStyle w:val="TableParagraph"/>
              <w:spacing w:line="260" w:lineRule="exact"/>
              <w:ind w:right="1"/>
              <w:jc w:val="center"/>
              <w:rPr>
                <w:sz w:val="24"/>
              </w:rPr>
            </w:pPr>
            <w:r>
              <w:rPr>
                <w:spacing w:val="-10"/>
                <w:sz w:val="24"/>
              </w:rPr>
              <w:t>2</w:t>
            </w:r>
          </w:p>
        </w:tc>
        <w:tc>
          <w:tcPr>
            <w:tcW w:w="3207" w:type="dxa"/>
            <w:shd w:val="clear" w:color="auto" w:fill="FFCCFF"/>
          </w:tcPr>
          <w:p>
            <w:pPr>
              <w:pStyle w:val="TableParagraph"/>
              <w:rPr>
                <w:rFonts w:ascii="Times New Roman"/>
                <w:sz w:val="20"/>
              </w:rPr>
            </w:pPr>
          </w:p>
        </w:tc>
        <w:tc>
          <w:tcPr>
            <w:tcW w:w="1425" w:type="dxa"/>
          </w:tcPr>
          <w:p>
            <w:pPr>
              <w:pStyle w:val="TableParagraph"/>
              <w:spacing w:line="260" w:lineRule="exact"/>
              <w:ind w:left="108"/>
              <w:rPr>
                <w:sz w:val="24"/>
              </w:rPr>
            </w:pPr>
            <w:r>
              <w:rPr>
                <w:spacing w:val="-5"/>
                <w:sz w:val="24"/>
              </w:rPr>
              <w:t>18m</w:t>
            </w:r>
          </w:p>
        </w:tc>
        <w:tc>
          <w:tcPr>
            <w:tcW w:w="794" w:type="dxa"/>
            <w:tcBorders>
              <w:right w:val="nil"/>
            </w:tcBorders>
          </w:tcPr>
          <w:p>
            <w:pPr>
              <w:pStyle w:val="TableParagraph"/>
              <w:rPr>
                <w:rFonts w:ascii="Times New Roman"/>
                <w:sz w:val="20"/>
              </w:rPr>
            </w:pPr>
          </w:p>
        </w:tc>
        <w:tc>
          <w:tcPr>
            <w:tcW w:w="685" w:type="dxa"/>
            <w:tcBorders>
              <w:left w:val="nil"/>
              <w:right w:val="nil"/>
            </w:tcBorders>
            <w:shd w:val="clear" w:color="auto" w:fill="FFCCFF"/>
          </w:tcPr>
          <w:p>
            <w:pPr>
              <w:pStyle w:val="TableParagraph"/>
              <w:spacing w:line="260" w:lineRule="exact"/>
              <w:ind w:left="7" w:right="-15"/>
              <w:jc w:val="center"/>
              <w:rPr>
                <w:sz w:val="24"/>
              </w:rPr>
            </w:pPr>
            <w:r>
              <w:rPr>
                <w:sz w:val="24"/>
              </w:rPr>
              <w:t>Up</w:t>
            </w:r>
            <w:r>
              <w:rPr>
                <w:spacing w:val="28"/>
                <w:sz w:val="24"/>
              </w:rPr>
              <w:t> </w:t>
            </w:r>
            <w:r>
              <w:rPr>
                <w:spacing w:val="-5"/>
                <w:sz w:val="24"/>
              </w:rPr>
              <w:t>to</w:t>
            </w:r>
          </w:p>
        </w:tc>
        <w:tc>
          <w:tcPr>
            <w:tcW w:w="956" w:type="dxa"/>
            <w:tcBorders>
              <w:left w:val="nil"/>
            </w:tcBorders>
          </w:tcPr>
          <w:p>
            <w:pPr>
              <w:pStyle w:val="TableParagraph"/>
              <w:spacing w:line="260" w:lineRule="exact"/>
              <w:ind w:left="8"/>
              <w:rPr>
                <w:sz w:val="24"/>
              </w:rPr>
            </w:pPr>
            <w:r>
              <w:rPr>
                <w:spacing w:val="-10"/>
                <w:sz w:val="24"/>
              </w:rPr>
              <w:t>4</w:t>
            </w:r>
          </w:p>
        </w:tc>
      </w:tr>
      <w:tr>
        <w:trPr>
          <w:trHeight w:val="282" w:hRule="atLeast"/>
        </w:trPr>
        <w:tc>
          <w:tcPr>
            <w:tcW w:w="794" w:type="dxa"/>
          </w:tcPr>
          <w:p>
            <w:pPr>
              <w:pStyle w:val="TableParagraph"/>
              <w:spacing w:line="261" w:lineRule="exact" w:before="1"/>
              <w:ind w:right="1"/>
              <w:jc w:val="center"/>
              <w:rPr>
                <w:sz w:val="24"/>
              </w:rPr>
            </w:pPr>
            <w:r>
              <w:rPr>
                <w:spacing w:val="-10"/>
                <w:sz w:val="24"/>
              </w:rPr>
              <w:t>3</w:t>
            </w:r>
          </w:p>
        </w:tc>
        <w:tc>
          <w:tcPr>
            <w:tcW w:w="3207" w:type="dxa"/>
            <w:shd w:val="clear" w:color="auto" w:fill="FFCCFF"/>
          </w:tcPr>
          <w:p>
            <w:pPr>
              <w:pStyle w:val="TableParagraph"/>
              <w:rPr>
                <w:rFonts w:ascii="Times New Roman"/>
                <w:sz w:val="20"/>
              </w:rPr>
            </w:pPr>
          </w:p>
        </w:tc>
        <w:tc>
          <w:tcPr>
            <w:tcW w:w="1425" w:type="dxa"/>
          </w:tcPr>
          <w:p>
            <w:pPr>
              <w:pStyle w:val="TableParagraph"/>
              <w:spacing w:line="261" w:lineRule="exact" w:before="1"/>
              <w:ind w:left="195"/>
              <w:rPr>
                <w:sz w:val="24"/>
              </w:rPr>
            </w:pPr>
            <w:r>
              <w:rPr>
                <w:spacing w:val="-5"/>
                <w:sz w:val="24"/>
              </w:rPr>
              <w:t>27m</w:t>
            </w:r>
          </w:p>
        </w:tc>
        <w:tc>
          <w:tcPr>
            <w:tcW w:w="794" w:type="dxa"/>
            <w:tcBorders>
              <w:right w:val="nil"/>
            </w:tcBorders>
          </w:tcPr>
          <w:p>
            <w:pPr>
              <w:pStyle w:val="TableParagraph"/>
              <w:rPr>
                <w:rFonts w:ascii="Times New Roman"/>
                <w:sz w:val="20"/>
              </w:rPr>
            </w:pPr>
          </w:p>
        </w:tc>
        <w:tc>
          <w:tcPr>
            <w:tcW w:w="685" w:type="dxa"/>
            <w:tcBorders>
              <w:left w:val="nil"/>
              <w:right w:val="nil"/>
            </w:tcBorders>
            <w:shd w:val="clear" w:color="auto" w:fill="FFCCFF"/>
          </w:tcPr>
          <w:p>
            <w:pPr>
              <w:pStyle w:val="TableParagraph"/>
              <w:spacing w:line="261" w:lineRule="exact" w:before="1"/>
              <w:ind w:left="7" w:right="-15"/>
              <w:jc w:val="center"/>
              <w:rPr>
                <w:sz w:val="24"/>
              </w:rPr>
            </w:pPr>
            <w:r>
              <w:rPr>
                <w:sz w:val="24"/>
              </w:rPr>
              <w:t>Up</w:t>
            </w:r>
            <w:r>
              <w:rPr>
                <w:spacing w:val="28"/>
                <w:sz w:val="24"/>
              </w:rPr>
              <w:t> </w:t>
            </w:r>
            <w:r>
              <w:rPr>
                <w:spacing w:val="-5"/>
                <w:sz w:val="24"/>
              </w:rPr>
              <w:t>to</w:t>
            </w:r>
          </w:p>
        </w:tc>
        <w:tc>
          <w:tcPr>
            <w:tcW w:w="956" w:type="dxa"/>
            <w:tcBorders>
              <w:left w:val="nil"/>
            </w:tcBorders>
          </w:tcPr>
          <w:p>
            <w:pPr>
              <w:pStyle w:val="TableParagraph"/>
              <w:spacing w:line="261" w:lineRule="exact" w:before="1"/>
              <w:ind w:left="8"/>
              <w:rPr>
                <w:sz w:val="24"/>
              </w:rPr>
            </w:pPr>
            <w:r>
              <w:rPr>
                <w:spacing w:val="-10"/>
                <w:sz w:val="24"/>
              </w:rPr>
              <w:t>5</w:t>
            </w:r>
          </w:p>
        </w:tc>
      </w:tr>
    </w:tbl>
    <w:p>
      <w:pPr>
        <w:pStyle w:val="BodyText"/>
        <w:spacing w:before="242"/>
        <w:jc w:val="left"/>
      </w:pPr>
    </w:p>
    <w:p>
      <w:pPr>
        <w:pStyle w:val="BodyText"/>
        <w:ind w:left="1702" w:right="767"/>
      </w:pPr>
      <w:r>
        <w:rPr/>
        <w:t>On the plot area excluding area to be handed over to MCGM/Appropriate Authority</w:t>
      </w:r>
      <w:r>
        <w:rPr>
          <w:spacing w:val="-6"/>
        </w:rPr>
        <w:t> </w:t>
      </w:r>
      <w:r>
        <w:rPr/>
        <w:t>in</w:t>
      </w:r>
      <w:r>
        <w:rPr>
          <w:spacing w:val="-6"/>
        </w:rPr>
        <w:t> </w:t>
      </w:r>
      <w:r>
        <w:rPr/>
        <w:t>lieu</w:t>
      </w:r>
      <w:r>
        <w:rPr>
          <w:spacing w:val="-6"/>
        </w:rPr>
        <w:t> </w:t>
      </w:r>
      <w:r>
        <w:rPr/>
        <w:t>of</w:t>
      </w:r>
      <w:r>
        <w:rPr>
          <w:spacing w:val="-6"/>
        </w:rPr>
        <w:t> </w:t>
      </w:r>
      <w:r>
        <w:rPr/>
        <w:t>Reservation/</w:t>
      </w:r>
      <w:r>
        <w:rPr>
          <w:spacing w:val="-6"/>
        </w:rPr>
        <w:t> </w:t>
      </w:r>
      <w:r>
        <w:rPr/>
        <w:t>Existing</w:t>
      </w:r>
      <w:r>
        <w:rPr>
          <w:spacing w:val="-4"/>
        </w:rPr>
        <w:t> </w:t>
      </w:r>
      <w:r>
        <w:rPr/>
        <w:t>amenity</w:t>
      </w:r>
      <w:r>
        <w:rPr>
          <w:spacing w:val="-6"/>
        </w:rPr>
        <w:t> </w:t>
      </w:r>
      <w:r>
        <w:rPr/>
        <w:t>in</w:t>
      </w:r>
      <w:r>
        <w:rPr>
          <w:spacing w:val="-6"/>
        </w:rPr>
        <w:t> </w:t>
      </w:r>
      <w:r>
        <w:rPr/>
        <w:t>the</w:t>
      </w:r>
      <w:r>
        <w:rPr>
          <w:spacing w:val="-6"/>
        </w:rPr>
        <w:t> </w:t>
      </w:r>
      <w:r>
        <w:rPr/>
        <w:t>DP/</w:t>
      </w:r>
      <w:r>
        <w:rPr>
          <w:spacing w:val="-6"/>
        </w:rPr>
        <w:t> </w:t>
      </w:r>
      <w:r>
        <w:rPr/>
        <w:t>proposed</w:t>
      </w:r>
      <w:r>
        <w:rPr>
          <w:spacing w:val="-6"/>
        </w:rPr>
        <w:t> </w:t>
      </w:r>
      <w:r>
        <w:rPr/>
        <w:t>DP roads/prescribed RL under MMC Act.</w:t>
      </w:r>
    </w:p>
    <w:p>
      <w:pPr>
        <w:pStyle w:val="BodyText"/>
        <w:spacing w:before="241"/>
        <w:ind w:left="1788"/>
        <w:jc w:val="left"/>
      </w:pPr>
      <w:r>
        <w:rPr>
          <w:spacing w:val="7"/>
        </w:rPr>
        <w:t>Conditions:</w:t>
      </w:r>
    </w:p>
    <w:p>
      <w:pPr>
        <w:pStyle w:val="ListParagraph"/>
        <w:numPr>
          <w:ilvl w:val="1"/>
          <w:numId w:val="140"/>
        </w:numPr>
        <w:tabs>
          <w:tab w:pos="2475" w:val="left" w:leader="none"/>
        </w:tabs>
        <w:spacing w:line="240" w:lineRule="auto" w:before="239" w:after="0"/>
        <w:ind w:left="2062" w:right="781" w:firstLine="0"/>
        <w:jc w:val="both"/>
        <w:rPr>
          <w:sz w:val="24"/>
        </w:rPr>
      </w:pPr>
      <w:r>
        <w:rPr>
          <w:sz w:val="24"/>
        </w:rPr>
        <w:t>5%</w:t>
      </w:r>
      <w:r>
        <w:rPr>
          <w:spacing w:val="40"/>
          <w:sz w:val="24"/>
        </w:rPr>
        <w:t> </w:t>
      </w:r>
      <w:r>
        <w:rPr>
          <w:sz w:val="24"/>
        </w:rPr>
        <w:t>of</w:t>
      </w:r>
      <w:r>
        <w:rPr>
          <w:spacing w:val="40"/>
          <w:sz w:val="24"/>
        </w:rPr>
        <w:t> </w:t>
      </w:r>
      <w:r>
        <w:rPr>
          <w:sz w:val="24"/>
        </w:rPr>
        <w:t>total</w:t>
      </w:r>
      <w:r>
        <w:rPr>
          <w:spacing w:val="40"/>
          <w:sz w:val="24"/>
        </w:rPr>
        <w:t> </w:t>
      </w:r>
      <w:r>
        <w:rPr>
          <w:sz w:val="24"/>
        </w:rPr>
        <w:t>rooms</w:t>
      </w:r>
      <w:r>
        <w:rPr>
          <w:spacing w:val="40"/>
          <w:sz w:val="24"/>
        </w:rPr>
        <w:t> </w:t>
      </w:r>
      <w:r>
        <w:rPr>
          <w:sz w:val="24"/>
        </w:rPr>
        <w:t>shall</w:t>
      </w:r>
      <w:r>
        <w:rPr>
          <w:spacing w:val="40"/>
          <w:sz w:val="24"/>
        </w:rPr>
        <w:t> </w:t>
      </w:r>
      <w:r>
        <w:rPr>
          <w:sz w:val="24"/>
        </w:rPr>
        <w:t>be</w:t>
      </w:r>
      <w:r>
        <w:rPr>
          <w:spacing w:val="40"/>
          <w:sz w:val="24"/>
        </w:rPr>
        <w:t> </w:t>
      </w:r>
      <w:r>
        <w:rPr>
          <w:sz w:val="24"/>
        </w:rPr>
        <w:t>reserved</w:t>
      </w:r>
      <w:r>
        <w:rPr>
          <w:spacing w:val="40"/>
          <w:sz w:val="24"/>
        </w:rPr>
        <w:t> </w:t>
      </w:r>
      <w:r>
        <w:rPr>
          <w:sz w:val="24"/>
        </w:rPr>
        <w:t>for</w:t>
      </w:r>
      <w:r>
        <w:rPr>
          <w:spacing w:val="40"/>
          <w:sz w:val="24"/>
        </w:rPr>
        <w:t> </w:t>
      </w:r>
      <w:r>
        <w:rPr>
          <w:sz w:val="24"/>
        </w:rPr>
        <w:t>total</w:t>
      </w:r>
      <w:r>
        <w:rPr>
          <w:spacing w:val="40"/>
          <w:sz w:val="24"/>
        </w:rPr>
        <w:t> </w:t>
      </w:r>
      <w:r>
        <w:rPr>
          <w:sz w:val="24"/>
        </w:rPr>
        <w:t>30</w:t>
      </w:r>
      <w:r>
        <w:rPr>
          <w:spacing w:val="40"/>
          <w:sz w:val="24"/>
        </w:rPr>
        <w:t> </w:t>
      </w:r>
      <w:r>
        <w:rPr>
          <w:sz w:val="24"/>
        </w:rPr>
        <w:t>days</w:t>
      </w:r>
      <w:r>
        <w:rPr>
          <w:spacing w:val="40"/>
          <w:sz w:val="24"/>
        </w:rPr>
        <w:t> </w:t>
      </w:r>
      <w:r>
        <w:rPr>
          <w:sz w:val="24"/>
        </w:rPr>
        <w:t>in</w:t>
      </w:r>
      <w:r>
        <w:rPr>
          <w:spacing w:val="40"/>
          <w:sz w:val="24"/>
        </w:rPr>
        <w:t> </w:t>
      </w:r>
      <w:r>
        <w:rPr>
          <w:sz w:val="24"/>
        </w:rPr>
        <w:t>a</w:t>
      </w:r>
      <w:r>
        <w:rPr>
          <w:spacing w:val="40"/>
          <w:sz w:val="24"/>
        </w:rPr>
        <w:t> </w:t>
      </w:r>
      <w:r>
        <w:rPr>
          <w:sz w:val="24"/>
        </w:rPr>
        <w:t>year for Govt. /MCGM free of cost (only room charges) &amp; it may be monitored by the MTDC and Protocol Department. The Municipal Commissioner shall intimate the MTDC and Protocol Department regarding</w:t>
      </w:r>
      <w:r>
        <w:rPr>
          <w:spacing w:val="80"/>
          <w:sz w:val="24"/>
        </w:rPr>
        <w:t> </w:t>
      </w:r>
      <w:r>
        <w:rPr>
          <w:sz w:val="24"/>
        </w:rPr>
        <w:t>grant</w:t>
      </w:r>
      <w:r>
        <w:rPr>
          <w:spacing w:val="80"/>
          <w:sz w:val="24"/>
        </w:rPr>
        <w:t> </w:t>
      </w:r>
      <w:r>
        <w:rPr>
          <w:sz w:val="24"/>
        </w:rPr>
        <w:t>of</w:t>
      </w:r>
      <w:r>
        <w:rPr>
          <w:spacing w:val="80"/>
          <w:sz w:val="24"/>
        </w:rPr>
        <w:t> </w:t>
      </w:r>
      <w:r>
        <w:rPr>
          <w:sz w:val="24"/>
        </w:rPr>
        <w:t>building</w:t>
      </w:r>
      <w:r>
        <w:rPr>
          <w:spacing w:val="80"/>
          <w:sz w:val="24"/>
        </w:rPr>
        <w:t> </w:t>
      </w:r>
      <w:r>
        <w:rPr>
          <w:sz w:val="24"/>
        </w:rPr>
        <w:t>permission</w:t>
      </w:r>
      <w:r>
        <w:rPr>
          <w:spacing w:val="80"/>
          <w:sz w:val="24"/>
        </w:rPr>
        <w:t> </w:t>
      </w:r>
      <w:r>
        <w:rPr>
          <w:sz w:val="24"/>
        </w:rPr>
        <w:t>/</w:t>
      </w:r>
      <w:r>
        <w:rPr>
          <w:spacing w:val="80"/>
          <w:sz w:val="24"/>
        </w:rPr>
        <w:t> </w:t>
      </w:r>
      <w:r>
        <w:rPr>
          <w:sz w:val="24"/>
        </w:rPr>
        <w:t>occupation</w:t>
      </w:r>
      <w:r>
        <w:rPr>
          <w:spacing w:val="80"/>
          <w:sz w:val="24"/>
        </w:rPr>
        <w:t> </w:t>
      </w:r>
      <w:r>
        <w:rPr>
          <w:sz w:val="24"/>
        </w:rPr>
        <w:t>certificate</w:t>
      </w:r>
      <w:r>
        <w:rPr>
          <w:spacing w:val="80"/>
          <w:sz w:val="24"/>
        </w:rPr>
        <w:t> </w:t>
      </w:r>
      <w:r>
        <w:rPr>
          <w:sz w:val="24"/>
        </w:rPr>
        <w:t>to</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92"/>
      </w:pPr>
      <w:r>
        <w:rPr/>
        <w:t>enable</w:t>
      </w:r>
      <w:r>
        <w:rPr>
          <w:spacing w:val="40"/>
        </w:rPr>
        <w:t> </w:t>
      </w:r>
      <w:r>
        <w:rPr/>
        <w:t>MTDC</w:t>
      </w:r>
      <w:r>
        <w:rPr>
          <w:spacing w:val="40"/>
        </w:rPr>
        <w:t> </w:t>
      </w:r>
      <w:r>
        <w:rPr/>
        <w:t>and</w:t>
      </w:r>
      <w:r>
        <w:rPr>
          <w:spacing w:val="40"/>
        </w:rPr>
        <w:t> </w:t>
      </w:r>
      <w:r>
        <w:rPr/>
        <w:t>Protocol</w:t>
      </w:r>
      <w:r>
        <w:rPr>
          <w:spacing w:val="40"/>
        </w:rPr>
        <w:t> </w:t>
      </w:r>
      <w:r>
        <w:rPr/>
        <w:t>Department</w:t>
      </w:r>
      <w:r>
        <w:rPr>
          <w:spacing w:val="40"/>
        </w:rPr>
        <w:t> </w:t>
      </w:r>
      <w:r>
        <w:rPr/>
        <w:t>to</w:t>
      </w:r>
      <w:r>
        <w:rPr>
          <w:spacing w:val="40"/>
        </w:rPr>
        <w:t> </w:t>
      </w:r>
      <w:r>
        <w:rPr/>
        <w:t>comply</w:t>
      </w:r>
      <w:r>
        <w:rPr>
          <w:spacing w:val="40"/>
        </w:rPr>
        <w:t> </w:t>
      </w:r>
      <w:r>
        <w:rPr/>
        <w:t>with</w:t>
      </w:r>
      <w:r>
        <w:rPr>
          <w:spacing w:val="40"/>
        </w:rPr>
        <w:t> </w:t>
      </w:r>
      <w:r>
        <w:rPr/>
        <w:t>this </w:t>
      </w:r>
      <w:r>
        <w:rPr>
          <w:spacing w:val="7"/>
        </w:rPr>
        <w:t>condition.</w:t>
      </w:r>
    </w:p>
    <w:p>
      <w:pPr>
        <w:pStyle w:val="ListParagraph"/>
        <w:numPr>
          <w:ilvl w:val="1"/>
          <w:numId w:val="140"/>
        </w:numPr>
        <w:tabs>
          <w:tab w:pos="2511" w:val="left" w:leader="none"/>
        </w:tabs>
        <w:spacing w:line="240" w:lineRule="auto" w:before="241" w:after="0"/>
        <w:ind w:left="2062" w:right="781" w:firstLine="0"/>
        <w:jc w:val="both"/>
        <w:rPr>
          <w:sz w:val="24"/>
        </w:rPr>
      </w:pPr>
      <w:r>
        <w:rPr>
          <w:sz w:val="24"/>
        </w:rPr>
        <w:t>Development</w:t>
      </w:r>
      <w:r>
        <w:rPr>
          <w:spacing w:val="40"/>
          <w:sz w:val="24"/>
        </w:rPr>
        <w:t> </w:t>
      </w:r>
      <w:r>
        <w:rPr>
          <w:sz w:val="24"/>
        </w:rPr>
        <w:t>cess</w:t>
      </w:r>
      <w:r>
        <w:rPr>
          <w:spacing w:val="40"/>
          <w:sz w:val="24"/>
        </w:rPr>
        <w:t> </w:t>
      </w:r>
      <w:r>
        <w:rPr>
          <w:sz w:val="24"/>
        </w:rPr>
        <w:t>at</w:t>
      </w:r>
      <w:r>
        <w:rPr>
          <w:spacing w:val="40"/>
          <w:sz w:val="24"/>
        </w:rPr>
        <w:t> </w:t>
      </w:r>
      <w:r>
        <w:rPr>
          <w:sz w:val="24"/>
        </w:rPr>
        <w:t>7%</w:t>
      </w:r>
      <w:r>
        <w:rPr>
          <w:spacing w:val="40"/>
          <w:sz w:val="24"/>
        </w:rPr>
        <w:t> </w:t>
      </w:r>
      <w:r>
        <w:rPr>
          <w:sz w:val="24"/>
        </w:rPr>
        <w:t>of</w:t>
      </w:r>
      <w:r>
        <w:rPr>
          <w:spacing w:val="40"/>
          <w:sz w:val="24"/>
        </w:rPr>
        <w:t> </w:t>
      </w:r>
      <w:r>
        <w:rPr>
          <w:sz w:val="24"/>
        </w:rPr>
        <w:t>the</w:t>
      </w:r>
      <w:r>
        <w:rPr>
          <w:spacing w:val="40"/>
          <w:sz w:val="24"/>
        </w:rPr>
        <w:t> </w:t>
      </w:r>
      <w:r>
        <w:rPr>
          <w:sz w:val="24"/>
        </w:rPr>
        <w:t>Land</w:t>
      </w:r>
      <w:r>
        <w:rPr>
          <w:spacing w:val="40"/>
          <w:sz w:val="24"/>
        </w:rPr>
        <w:t> </w:t>
      </w:r>
      <w:r>
        <w:rPr>
          <w:sz w:val="24"/>
        </w:rPr>
        <w:t>Rate</w:t>
      </w:r>
      <w:r>
        <w:rPr>
          <w:spacing w:val="40"/>
          <w:sz w:val="24"/>
        </w:rPr>
        <w:t> </w:t>
      </w:r>
      <w:r>
        <w:rPr>
          <w:sz w:val="24"/>
        </w:rPr>
        <w:t>for</w:t>
      </w:r>
      <w:r>
        <w:rPr>
          <w:spacing w:val="40"/>
          <w:sz w:val="24"/>
        </w:rPr>
        <w:t> </w:t>
      </w:r>
      <w:r>
        <w:rPr>
          <w:sz w:val="24"/>
        </w:rPr>
        <w:t>the</w:t>
      </w:r>
      <w:r>
        <w:rPr>
          <w:spacing w:val="40"/>
          <w:sz w:val="24"/>
        </w:rPr>
        <w:t> </w:t>
      </w:r>
      <w:r>
        <w:rPr>
          <w:sz w:val="24"/>
        </w:rPr>
        <w:t>BUA</w:t>
      </w:r>
      <w:r>
        <w:rPr>
          <w:spacing w:val="40"/>
          <w:sz w:val="24"/>
        </w:rPr>
        <w:t> </w:t>
      </w:r>
      <w:r>
        <w:rPr>
          <w:sz w:val="24"/>
        </w:rPr>
        <w:t>as</w:t>
      </w:r>
      <w:r>
        <w:rPr>
          <w:spacing w:val="40"/>
          <w:sz w:val="24"/>
        </w:rPr>
        <w:t> </w:t>
      </w:r>
      <w:r>
        <w:rPr>
          <w:sz w:val="24"/>
        </w:rPr>
        <w:t>per ASR (for FSI 1) of the year of approval</w:t>
      </w:r>
      <w:r>
        <w:rPr>
          <w:spacing w:val="40"/>
          <w:sz w:val="24"/>
        </w:rPr>
        <w:t> </w:t>
      </w:r>
      <w:r>
        <w:rPr>
          <w:sz w:val="24"/>
        </w:rPr>
        <w:t>for the BUA beyond Zonal (basic) FSI (excluding fungible compensatory area) shall be paid to MCGM.</w:t>
      </w:r>
      <w:r>
        <w:rPr>
          <w:spacing w:val="40"/>
          <w:sz w:val="24"/>
        </w:rPr>
        <w:t> </w:t>
      </w:r>
      <w:r>
        <w:rPr>
          <w:sz w:val="24"/>
        </w:rPr>
        <w:t>Development</w:t>
      </w:r>
      <w:r>
        <w:rPr>
          <w:spacing w:val="40"/>
          <w:sz w:val="24"/>
        </w:rPr>
        <w:t> </w:t>
      </w:r>
      <w:r>
        <w:rPr>
          <w:sz w:val="24"/>
        </w:rPr>
        <w:t>cess</w:t>
      </w:r>
      <w:r>
        <w:rPr>
          <w:spacing w:val="40"/>
          <w:sz w:val="24"/>
        </w:rPr>
        <w:t> </w:t>
      </w:r>
      <w:r>
        <w:rPr>
          <w:sz w:val="24"/>
        </w:rPr>
        <w:t>shall</w:t>
      </w:r>
      <w:r>
        <w:rPr>
          <w:spacing w:val="40"/>
          <w:sz w:val="24"/>
        </w:rPr>
        <w:t> </w:t>
      </w:r>
      <w:r>
        <w:rPr>
          <w:sz w:val="24"/>
        </w:rPr>
        <w:t>be</w:t>
      </w:r>
      <w:r>
        <w:rPr>
          <w:spacing w:val="40"/>
          <w:sz w:val="24"/>
        </w:rPr>
        <w:t> </w:t>
      </w:r>
      <w:r>
        <w:rPr>
          <w:sz w:val="24"/>
        </w:rPr>
        <w:t>in</w:t>
      </w:r>
      <w:r>
        <w:rPr>
          <w:spacing w:val="40"/>
          <w:sz w:val="24"/>
        </w:rPr>
        <w:t> </w:t>
      </w:r>
      <w:r>
        <w:rPr>
          <w:sz w:val="24"/>
        </w:rPr>
        <w:t>addition</w:t>
      </w:r>
      <w:r>
        <w:rPr>
          <w:spacing w:val="40"/>
          <w:sz w:val="24"/>
        </w:rPr>
        <w:t> </w:t>
      </w:r>
      <w:r>
        <w:rPr>
          <w:sz w:val="24"/>
        </w:rPr>
        <w:t>to</w:t>
      </w:r>
      <w:r>
        <w:rPr>
          <w:spacing w:val="40"/>
          <w:sz w:val="24"/>
        </w:rPr>
        <w:t> </w:t>
      </w:r>
      <w:r>
        <w:rPr>
          <w:sz w:val="24"/>
        </w:rPr>
        <w:t>development charges</w:t>
      </w:r>
      <w:r>
        <w:rPr>
          <w:spacing w:val="40"/>
          <w:sz w:val="24"/>
        </w:rPr>
        <w:t> </w:t>
      </w:r>
      <w:r>
        <w:rPr>
          <w:sz w:val="24"/>
        </w:rPr>
        <w:t>levied</w:t>
      </w:r>
      <w:r>
        <w:rPr>
          <w:spacing w:val="40"/>
          <w:sz w:val="24"/>
        </w:rPr>
        <w:t> </w:t>
      </w:r>
      <w:r>
        <w:rPr>
          <w:sz w:val="24"/>
        </w:rPr>
        <w:t>as</w:t>
      </w:r>
      <w:r>
        <w:rPr>
          <w:spacing w:val="40"/>
          <w:sz w:val="24"/>
        </w:rPr>
        <w:t> </w:t>
      </w:r>
      <w:r>
        <w:rPr>
          <w:sz w:val="24"/>
        </w:rPr>
        <w:t>per</w:t>
      </w:r>
      <w:r>
        <w:rPr>
          <w:spacing w:val="40"/>
          <w:sz w:val="24"/>
        </w:rPr>
        <w:t> </w:t>
      </w:r>
      <w:r>
        <w:rPr>
          <w:sz w:val="24"/>
        </w:rPr>
        <w:t>section</w:t>
      </w:r>
      <w:r>
        <w:rPr>
          <w:spacing w:val="40"/>
          <w:sz w:val="24"/>
        </w:rPr>
        <w:t> </w:t>
      </w:r>
      <w:r>
        <w:rPr>
          <w:sz w:val="24"/>
        </w:rPr>
        <w:t>124</w:t>
      </w:r>
      <w:r>
        <w:rPr>
          <w:spacing w:val="40"/>
          <w:sz w:val="24"/>
        </w:rPr>
        <w:t> </w:t>
      </w:r>
      <w:r>
        <w:rPr>
          <w:sz w:val="24"/>
        </w:rPr>
        <w:t>of</w:t>
      </w:r>
      <w:r>
        <w:rPr>
          <w:spacing w:val="40"/>
          <w:sz w:val="24"/>
        </w:rPr>
        <w:t> </w:t>
      </w:r>
      <w:r>
        <w:rPr>
          <w:sz w:val="24"/>
        </w:rPr>
        <w:t>MR&amp;TP</w:t>
      </w:r>
      <w:r>
        <w:rPr>
          <w:spacing w:val="40"/>
          <w:sz w:val="24"/>
        </w:rPr>
        <w:t> </w:t>
      </w:r>
      <w:r>
        <w:rPr>
          <w:sz w:val="24"/>
        </w:rPr>
        <w:t>Act</w:t>
      </w:r>
      <w:r>
        <w:rPr>
          <w:spacing w:val="40"/>
          <w:sz w:val="24"/>
        </w:rPr>
        <w:t> </w:t>
      </w:r>
      <w:r>
        <w:rPr>
          <w:sz w:val="24"/>
        </w:rPr>
        <w:t>1966.</w:t>
      </w:r>
    </w:p>
    <w:p>
      <w:pPr>
        <w:pStyle w:val="BodyText"/>
        <w:spacing w:before="1"/>
        <w:jc w:val="left"/>
      </w:pPr>
    </w:p>
    <w:p>
      <w:pPr>
        <w:pStyle w:val="ListParagraph"/>
        <w:numPr>
          <w:ilvl w:val="1"/>
          <w:numId w:val="140"/>
        </w:numPr>
        <w:tabs>
          <w:tab w:pos="2511" w:val="left" w:leader="none"/>
        </w:tabs>
        <w:spacing w:line="240" w:lineRule="auto" w:before="0" w:after="0"/>
        <w:ind w:left="2062" w:right="783" w:firstLine="0"/>
        <w:jc w:val="both"/>
        <w:rPr>
          <w:sz w:val="24"/>
        </w:rPr>
      </w:pPr>
      <w:r>
        <w:rPr>
          <w:sz w:val="24"/>
        </w:rPr>
        <w:t>Commercial uses up to 20% of Zonal (basic) FSI, in addition to uses permissible in hotel i.e. banquet </w:t>
      </w:r>
      <w:r>
        <w:rPr>
          <w:spacing w:val="9"/>
          <w:sz w:val="24"/>
        </w:rPr>
        <w:t>hall,</w:t>
      </w:r>
      <w:r>
        <w:rPr>
          <w:spacing w:val="9"/>
          <w:sz w:val="24"/>
        </w:rPr>
        <w:t> </w:t>
      </w:r>
      <w:r>
        <w:rPr>
          <w:sz w:val="24"/>
        </w:rPr>
        <w:t>conference hall and meeting</w:t>
      </w:r>
      <w:r>
        <w:rPr>
          <w:spacing w:val="40"/>
          <w:sz w:val="24"/>
        </w:rPr>
        <w:t> </w:t>
      </w:r>
      <w:r>
        <w:rPr>
          <w:sz w:val="24"/>
        </w:rPr>
        <w:t>room</w:t>
      </w:r>
      <w:r>
        <w:rPr>
          <w:spacing w:val="40"/>
          <w:sz w:val="24"/>
        </w:rPr>
        <w:t> </w:t>
      </w:r>
      <w:r>
        <w:rPr>
          <w:sz w:val="24"/>
        </w:rPr>
        <w:t>etc.</w:t>
      </w:r>
      <w:r>
        <w:rPr>
          <w:spacing w:val="40"/>
          <w:sz w:val="24"/>
        </w:rPr>
        <w:t> </w:t>
      </w:r>
      <w:r>
        <w:rPr>
          <w:sz w:val="24"/>
        </w:rPr>
        <w:t>shall</w:t>
      </w:r>
      <w:r>
        <w:rPr>
          <w:spacing w:val="40"/>
          <w:sz w:val="24"/>
        </w:rPr>
        <w:t> </w:t>
      </w:r>
      <w:r>
        <w:rPr>
          <w:sz w:val="24"/>
        </w:rPr>
        <w:t>be</w:t>
      </w:r>
      <w:r>
        <w:rPr>
          <w:spacing w:val="40"/>
          <w:sz w:val="24"/>
        </w:rPr>
        <w:t> </w:t>
      </w:r>
      <w:r>
        <w:rPr>
          <w:spacing w:val="9"/>
          <w:sz w:val="24"/>
        </w:rPr>
        <w:t>permissible.</w:t>
      </w:r>
    </w:p>
    <w:p>
      <w:pPr>
        <w:pStyle w:val="ListParagraph"/>
        <w:numPr>
          <w:ilvl w:val="1"/>
          <w:numId w:val="140"/>
        </w:numPr>
        <w:tabs>
          <w:tab w:pos="2585" w:val="left" w:leader="none"/>
        </w:tabs>
        <w:spacing w:line="240" w:lineRule="auto" w:before="241" w:after="0"/>
        <w:ind w:left="2062" w:right="780" w:firstLine="0"/>
        <w:jc w:val="both"/>
        <w:rPr>
          <w:sz w:val="24"/>
        </w:rPr>
      </w:pPr>
      <w:r>
        <w:rPr>
          <w:sz w:val="24"/>
        </w:rPr>
        <w:t>In</w:t>
      </w:r>
      <w:r>
        <w:rPr>
          <w:spacing w:val="40"/>
          <w:sz w:val="24"/>
        </w:rPr>
        <w:t> </w:t>
      </w:r>
      <w:r>
        <w:rPr>
          <w:sz w:val="24"/>
        </w:rPr>
        <w:t>respect</w:t>
      </w:r>
      <w:r>
        <w:rPr>
          <w:spacing w:val="40"/>
          <w:sz w:val="24"/>
        </w:rPr>
        <w:t> </w:t>
      </w:r>
      <w:r>
        <w:rPr>
          <w:sz w:val="24"/>
        </w:rPr>
        <w:t>of</w:t>
      </w:r>
      <w:r>
        <w:rPr>
          <w:spacing w:val="40"/>
          <w:sz w:val="24"/>
        </w:rPr>
        <w:t> </w:t>
      </w:r>
      <w:r>
        <w:rPr>
          <w:sz w:val="24"/>
        </w:rPr>
        <w:t>star</w:t>
      </w:r>
      <w:r>
        <w:rPr>
          <w:spacing w:val="40"/>
          <w:sz w:val="24"/>
        </w:rPr>
        <w:t> </w:t>
      </w:r>
      <w:r>
        <w:rPr>
          <w:sz w:val="24"/>
        </w:rPr>
        <w:t>category</w:t>
      </w:r>
      <w:r>
        <w:rPr>
          <w:spacing w:val="40"/>
          <w:sz w:val="24"/>
        </w:rPr>
        <w:t> </w:t>
      </w:r>
      <w:r>
        <w:rPr>
          <w:sz w:val="24"/>
        </w:rPr>
        <w:t>Hotel,</w:t>
      </w:r>
      <w:r>
        <w:rPr>
          <w:spacing w:val="40"/>
          <w:sz w:val="24"/>
        </w:rPr>
        <w:t> </w:t>
      </w:r>
      <w:r>
        <w:rPr>
          <w:sz w:val="24"/>
        </w:rPr>
        <w:t>projects</w:t>
      </w:r>
      <w:r>
        <w:rPr>
          <w:spacing w:val="40"/>
          <w:sz w:val="24"/>
        </w:rPr>
        <w:t> </w:t>
      </w:r>
      <w:r>
        <w:rPr>
          <w:sz w:val="24"/>
        </w:rPr>
        <w:t>classified</w:t>
      </w:r>
      <w:r>
        <w:rPr>
          <w:spacing w:val="40"/>
          <w:sz w:val="24"/>
        </w:rPr>
        <w:t> </w:t>
      </w:r>
      <w:r>
        <w:rPr>
          <w:sz w:val="24"/>
        </w:rPr>
        <w:t>as Mega/Ultra</w:t>
      </w:r>
      <w:r>
        <w:rPr>
          <w:spacing w:val="80"/>
          <w:sz w:val="24"/>
        </w:rPr>
        <w:t> </w:t>
      </w:r>
      <w:r>
        <w:rPr>
          <w:sz w:val="24"/>
        </w:rPr>
        <w:t>Mega</w:t>
      </w:r>
      <w:r>
        <w:rPr>
          <w:spacing w:val="80"/>
          <w:sz w:val="24"/>
        </w:rPr>
        <w:t> </w:t>
      </w:r>
      <w:r>
        <w:rPr>
          <w:sz w:val="24"/>
        </w:rPr>
        <w:t>Project</w:t>
      </w:r>
      <w:r>
        <w:rPr>
          <w:spacing w:val="80"/>
          <w:sz w:val="24"/>
        </w:rPr>
        <w:t> </w:t>
      </w:r>
      <w:r>
        <w:rPr>
          <w:sz w:val="24"/>
        </w:rPr>
        <w:t>as</w:t>
      </w:r>
      <w:r>
        <w:rPr>
          <w:spacing w:val="80"/>
          <w:sz w:val="24"/>
        </w:rPr>
        <w:t> </w:t>
      </w:r>
      <w:r>
        <w:rPr>
          <w:sz w:val="24"/>
        </w:rPr>
        <w:t>per</w:t>
      </w:r>
      <w:r>
        <w:rPr>
          <w:spacing w:val="80"/>
          <w:sz w:val="24"/>
        </w:rPr>
        <w:t> </w:t>
      </w:r>
      <w:r>
        <w:rPr>
          <w:sz w:val="24"/>
        </w:rPr>
        <w:t>Maharashtra</w:t>
      </w:r>
      <w:r>
        <w:rPr>
          <w:spacing w:val="80"/>
          <w:sz w:val="24"/>
        </w:rPr>
        <w:t> </w:t>
      </w:r>
      <w:r>
        <w:rPr>
          <w:sz w:val="24"/>
        </w:rPr>
        <w:t>Tourism</w:t>
      </w:r>
      <w:r>
        <w:rPr>
          <w:spacing w:val="80"/>
          <w:sz w:val="24"/>
        </w:rPr>
        <w:t> </w:t>
      </w:r>
      <w:r>
        <w:rPr>
          <w:sz w:val="24"/>
        </w:rPr>
        <w:t>Policy- 2016,</w:t>
      </w:r>
      <w:r>
        <w:rPr>
          <w:spacing w:val="40"/>
          <w:sz w:val="24"/>
        </w:rPr>
        <w:t> </w:t>
      </w:r>
      <w:r>
        <w:rPr>
          <w:sz w:val="24"/>
        </w:rPr>
        <w:t>up</w:t>
      </w:r>
      <w:r>
        <w:rPr>
          <w:spacing w:val="40"/>
          <w:sz w:val="24"/>
        </w:rPr>
        <w:t> </w:t>
      </w:r>
      <w:r>
        <w:rPr>
          <w:sz w:val="24"/>
        </w:rPr>
        <w:t>to</w:t>
      </w:r>
      <w:r>
        <w:rPr>
          <w:spacing w:val="40"/>
          <w:sz w:val="24"/>
        </w:rPr>
        <w:t> </w:t>
      </w:r>
      <w:r>
        <w:rPr>
          <w:sz w:val="24"/>
        </w:rPr>
        <w:t>20%</w:t>
      </w:r>
      <w:r>
        <w:rPr>
          <w:spacing w:val="40"/>
          <w:sz w:val="24"/>
        </w:rPr>
        <w:t> </w:t>
      </w:r>
      <w:r>
        <w:rPr>
          <w:sz w:val="24"/>
        </w:rPr>
        <w:t>of</w:t>
      </w:r>
      <w:r>
        <w:rPr>
          <w:spacing w:val="40"/>
          <w:sz w:val="24"/>
        </w:rPr>
        <w:t> </w:t>
      </w:r>
      <w:r>
        <w:rPr>
          <w:sz w:val="24"/>
        </w:rPr>
        <w:t>additional</w:t>
      </w:r>
      <w:r>
        <w:rPr>
          <w:spacing w:val="40"/>
          <w:sz w:val="24"/>
        </w:rPr>
        <w:t> </w:t>
      </w:r>
      <w:r>
        <w:rPr>
          <w:sz w:val="24"/>
        </w:rPr>
        <w:t>FSI</w:t>
      </w:r>
      <w:r>
        <w:rPr>
          <w:spacing w:val="40"/>
          <w:sz w:val="24"/>
        </w:rPr>
        <w:t> </w:t>
      </w:r>
      <w:r>
        <w:rPr>
          <w:sz w:val="24"/>
        </w:rPr>
        <w:t>available</w:t>
      </w:r>
      <w:r>
        <w:rPr>
          <w:spacing w:val="40"/>
          <w:sz w:val="24"/>
        </w:rPr>
        <w:t> </w:t>
      </w:r>
      <w:r>
        <w:rPr>
          <w:sz w:val="24"/>
        </w:rPr>
        <w:t>by</w:t>
      </w:r>
      <w:r>
        <w:rPr>
          <w:spacing w:val="40"/>
          <w:sz w:val="24"/>
        </w:rPr>
        <w:t> </w:t>
      </w:r>
      <w:r>
        <w:rPr>
          <w:sz w:val="24"/>
        </w:rPr>
        <w:t>charging</w:t>
      </w:r>
      <w:r>
        <w:rPr>
          <w:spacing w:val="40"/>
          <w:sz w:val="24"/>
        </w:rPr>
        <w:t> </w:t>
      </w:r>
      <w:r>
        <w:rPr>
          <w:sz w:val="24"/>
        </w:rPr>
        <w:t>premium can</w:t>
      </w:r>
      <w:r>
        <w:rPr>
          <w:spacing w:val="80"/>
          <w:sz w:val="24"/>
        </w:rPr>
        <w:t> </w:t>
      </w:r>
      <w:r>
        <w:rPr>
          <w:sz w:val="24"/>
        </w:rPr>
        <w:t>be</w:t>
      </w:r>
      <w:r>
        <w:rPr>
          <w:spacing w:val="80"/>
          <w:sz w:val="24"/>
        </w:rPr>
        <w:t> </w:t>
      </w:r>
      <w:r>
        <w:rPr>
          <w:sz w:val="24"/>
        </w:rPr>
        <w:t>used</w:t>
      </w:r>
      <w:r>
        <w:rPr>
          <w:spacing w:val="80"/>
          <w:sz w:val="24"/>
        </w:rPr>
        <w:t> </w:t>
      </w:r>
      <w:r>
        <w:rPr>
          <w:sz w:val="24"/>
        </w:rPr>
        <w:t>for</w:t>
      </w:r>
      <w:r>
        <w:rPr>
          <w:spacing w:val="80"/>
          <w:sz w:val="24"/>
        </w:rPr>
        <w:t> </w:t>
      </w:r>
      <w:r>
        <w:rPr>
          <w:sz w:val="24"/>
        </w:rPr>
        <w:t>Tourism</w:t>
      </w:r>
      <w:r>
        <w:rPr>
          <w:spacing w:val="80"/>
          <w:sz w:val="24"/>
        </w:rPr>
        <w:t> </w:t>
      </w:r>
      <w:r>
        <w:rPr>
          <w:sz w:val="24"/>
        </w:rPr>
        <w:t>support</w:t>
      </w:r>
      <w:r>
        <w:rPr>
          <w:spacing w:val="80"/>
          <w:sz w:val="24"/>
        </w:rPr>
        <w:t> </w:t>
      </w:r>
      <w:r>
        <w:rPr>
          <w:sz w:val="24"/>
        </w:rPr>
        <w:t>activities</w:t>
      </w:r>
      <w:r>
        <w:rPr>
          <w:spacing w:val="80"/>
          <w:sz w:val="24"/>
        </w:rPr>
        <w:t> </w:t>
      </w:r>
      <w:r>
        <w:rPr>
          <w:sz w:val="24"/>
        </w:rPr>
        <w:t>on</w:t>
      </w:r>
      <w:r>
        <w:rPr>
          <w:spacing w:val="80"/>
          <w:sz w:val="24"/>
        </w:rPr>
        <w:t> </w:t>
      </w:r>
      <w:r>
        <w:rPr>
          <w:sz w:val="24"/>
        </w:rPr>
        <w:t>payment</w:t>
      </w:r>
      <w:r>
        <w:rPr>
          <w:spacing w:val="80"/>
          <w:sz w:val="24"/>
        </w:rPr>
        <w:t> </w:t>
      </w:r>
      <w:r>
        <w:rPr>
          <w:sz w:val="24"/>
        </w:rPr>
        <w:t>premium at</w:t>
      </w:r>
      <w:r>
        <w:rPr>
          <w:spacing w:val="40"/>
          <w:sz w:val="24"/>
        </w:rPr>
        <w:t> </w:t>
      </w:r>
      <w:r>
        <w:rPr>
          <w:sz w:val="24"/>
        </w:rPr>
        <w:t>the</w:t>
      </w:r>
      <w:r>
        <w:rPr>
          <w:spacing w:val="40"/>
          <w:sz w:val="24"/>
        </w:rPr>
        <w:t> </w:t>
      </w:r>
      <w:r>
        <w:rPr>
          <w:sz w:val="24"/>
        </w:rPr>
        <w:t>rate</w:t>
      </w:r>
      <w:r>
        <w:rPr>
          <w:spacing w:val="40"/>
          <w:sz w:val="24"/>
        </w:rPr>
        <w:t> </w:t>
      </w:r>
      <w:r>
        <w:rPr>
          <w:sz w:val="24"/>
        </w:rPr>
        <w:t>decided</w:t>
      </w:r>
      <w:r>
        <w:rPr>
          <w:spacing w:val="40"/>
          <w:sz w:val="24"/>
        </w:rPr>
        <w:t> </w:t>
      </w:r>
      <w:r>
        <w:rPr>
          <w:sz w:val="24"/>
        </w:rPr>
        <w:t>by</w:t>
      </w:r>
      <w:r>
        <w:rPr>
          <w:spacing w:val="40"/>
          <w:sz w:val="24"/>
        </w:rPr>
        <w:t> </w:t>
      </w:r>
      <w:r>
        <w:rPr>
          <w:sz w:val="24"/>
        </w:rPr>
        <w:t>Government</w:t>
      </w:r>
      <w:r>
        <w:rPr>
          <w:spacing w:val="40"/>
          <w:sz w:val="24"/>
        </w:rPr>
        <w:t> </w:t>
      </w:r>
      <w:r>
        <w:rPr>
          <w:sz w:val="24"/>
        </w:rPr>
        <w:t>from</w:t>
      </w:r>
      <w:r>
        <w:rPr>
          <w:spacing w:val="40"/>
          <w:sz w:val="24"/>
        </w:rPr>
        <w:t> </w:t>
      </w:r>
      <w:r>
        <w:rPr>
          <w:sz w:val="24"/>
        </w:rPr>
        <w:t>time</w:t>
      </w:r>
      <w:r>
        <w:rPr>
          <w:spacing w:val="40"/>
          <w:sz w:val="24"/>
        </w:rPr>
        <w:t> </w:t>
      </w:r>
      <w:r>
        <w:rPr>
          <w:sz w:val="24"/>
        </w:rPr>
        <w:t>to</w:t>
      </w:r>
      <w:r>
        <w:rPr>
          <w:spacing w:val="40"/>
          <w:sz w:val="24"/>
        </w:rPr>
        <w:t> </w:t>
      </w:r>
      <w:r>
        <w:rPr>
          <w:sz w:val="24"/>
        </w:rPr>
        <w:t>time</w:t>
      </w:r>
      <w:r>
        <w:rPr>
          <w:spacing w:val="40"/>
          <w:sz w:val="24"/>
        </w:rPr>
        <w:t> </w:t>
      </w:r>
      <w:r>
        <w:rPr>
          <w:sz w:val="24"/>
        </w:rPr>
        <w:t>for</w:t>
      </w:r>
      <w:r>
        <w:rPr>
          <w:spacing w:val="40"/>
          <w:sz w:val="24"/>
        </w:rPr>
        <w:t> </w:t>
      </w:r>
      <w:r>
        <w:rPr>
          <w:sz w:val="24"/>
        </w:rPr>
        <w:t>the</w:t>
      </w:r>
      <w:r>
        <w:rPr>
          <w:spacing w:val="40"/>
          <w:sz w:val="24"/>
        </w:rPr>
        <w:t> </w:t>
      </w:r>
      <w:r>
        <w:rPr>
          <w:sz w:val="24"/>
        </w:rPr>
        <w:t>uses as</w:t>
      </w:r>
      <w:r>
        <w:rPr>
          <w:spacing w:val="40"/>
          <w:sz w:val="24"/>
        </w:rPr>
        <w:t> </w:t>
      </w:r>
      <w:r>
        <w:rPr>
          <w:sz w:val="24"/>
        </w:rPr>
        <w:t>proposed</w:t>
      </w:r>
      <w:r>
        <w:rPr>
          <w:spacing w:val="40"/>
          <w:sz w:val="24"/>
        </w:rPr>
        <w:t> </w:t>
      </w:r>
      <w:r>
        <w:rPr>
          <w:sz w:val="24"/>
        </w:rPr>
        <w:t>by</w:t>
      </w:r>
      <w:r>
        <w:rPr>
          <w:spacing w:val="40"/>
          <w:sz w:val="24"/>
        </w:rPr>
        <w:t> </w:t>
      </w:r>
      <w:r>
        <w:rPr>
          <w:sz w:val="24"/>
        </w:rPr>
        <w:t>Tourism</w:t>
      </w:r>
      <w:r>
        <w:rPr>
          <w:spacing w:val="40"/>
          <w:sz w:val="24"/>
        </w:rPr>
        <w:t> </w:t>
      </w:r>
      <w:r>
        <w:rPr>
          <w:sz w:val="24"/>
        </w:rPr>
        <w:t>Department</w:t>
      </w:r>
      <w:r>
        <w:rPr>
          <w:spacing w:val="40"/>
          <w:sz w:val="24"/>
        </w:rPr>
        <w:t> </w:t>
      </w:r>
      <w:r>
        <w:rPr>
          <w:sz w:val="24"/>
        </w:rPr>
        <w:t>from</w:t>
      </w:r>
      <w:r>
        <w:rPr>
          <w:spacing w:val="40"/>
          <w:sz w:val="24"/>
        </w:rPr>
        <w:t> </w:t>
      </w:r>
      <w:r>
        <w:rPr>
          <w:sz w:val="24"/>
        </w:rPr>
        <w:t>time</w:t>
      </w:r>
      <w:r>
        <w:rPr>
          <w:spacing w:val="40"/>
          <w:sz w:val="24"/>
        </w:rPr>
        <w:t> </w:t>
      </w:r>
      <w:r>
        <w:rPr>
          <w:sz w:val="24"/>
        </w:rPr>
        <w:t>to</w:t>
      </w:r>
      <w:r>
        <w:rPr>
          <w:spacing w:val="40"/>
          <w:sz w:val="24"/>
        </w:rPr>
        <w:t> </w:t>
      </w:r>
      <w:r>
        <w:rPr>
          <w:sz w:val="24"/>
        </w:rPr>
        <w:t>time.</w:t>
      </w:r>
    </w:p>
    <w:p>
      <w:pPr>
        <w:pStyle w:val="ListParagraph"/>
        <w:numPr>
          <w:ilvl w:val="1"/>
          <w:numId w:val="140"/>
        </w:numPr>
        <w:tabs>
          <w:tab w:pos="2566" w:val="left" w:leader="none"/>
        </w:tabs>
        <w:spacing w:line="240" w:lineRule="auto" w:before="280" w:after="0"/>
        <w:ind w:left="2062" w:right="777" w:firstLine="0"/>
        <w:jc w:val="both"/>
        <w:rPr>
          <w:sz w:val="24"/>
        </w:rPr>
      </w:pPr>
      <w:r>
        <w:rPr>
          <w:sz w:val="24"/>
        </w:rPr>
        <w:t>All</w:t>
      </w:r>
      <w:r>
        <w:rPr>
          <w:spacing w:val="40"/>
          <w:sz w:val="24"/>
        </w:rPr>
        <w:t> </w:t>
      </w:r>
      <w:r>
        <w:rPr>
          <w:sz w:val="24"/>
        </w:rPr>
        <w:t>concessions</w:t>
      </w:r>
      <w:r>
        <w:rPr>
          <w:spacing w:val="40"/>
          <w:sz w:val="24"/>
        </w:rPr>
        <w:t> </w:t>
      </w:r>
      <w:r>
        <w:rPr>
          <w:sz w:val="24"/>
        </w:rPr>
        <w:t>available</w:t>
      </w:r>
      <w:r>
        <w:rPr>
          <w:spacing w:val="40"/>
          <w:sz w:val="24"/>
        </w:rPr>
        <w:t> </w:t>
      </w:r>
      <w:r>
        <w:rPr>
          <w:sz w:val="24"/>
        </w:rPr>
        <w:t>to</w:t>
      </w:r>
      <w:r>
        <w:rPr>
          <w:spacing w:val="40"/>
          <w:sz w:val="24"/>
        </w:rPr>
        <w:t> </w:t>
      </w:r>
      <w:r>
        <w:rPr>
          <w:sz w:val="24"/>
        </w:rPr>
        <w:t>star</w:t>
      </w:r>
      <w:r>
        <w:rPr>
          <w:spacing w:val="40"/>
          <w:sz w:val="24"/>
        </w:rPr>
        <w:t> </w:t>
      </w:r>
      <w:r>
        <w:rPr>
          <w:sz w:val="24"/>
        </w:rPr>
        <w:t>category</w:t>
      </w:r>
      <w:r>
        <w:rPr>
          <w:spacing w:val="40"/>
          <w:sz w:val="24"/>
        </w:rPr>
        <w:t> </w:t>
      </w:r>
      <w:r>
        <w:rPr>
          <w:sz w:val="24"/>
        </w:rPr>
        <w:t>Hotel</w:t>
      </w:r>
      <w:r>
        <w:rPr>
          <w:spacing w:val="40"/>
          <w:sz w:val="24"/>
        </w:rPr>
        <w:t> </w:t>
      </w:r>
      <w:r>
        <w:rPr>
          <w:sz w:val="24"/>
        </w:rPr>
        <w:t>are</w:t>
      </w:r>
      <w:r>
        <w:rPr>
          <w:spacing w:val="40"/>
          <w:sz w:val="24"/>
        </w:rPr>
        <w:t> </w:t>
      </w:r>
      <w:r>
        <w:rPr>
          <w:sz w:val="24"/>
        </w:rPr>
        <w:t>also applicable to Tourism Units classified under Mega Projects, Ultra</w:t>
      </w:r>
      <w:r>
        <w:rPr>
          <w:spacing w:val="80"/>
          <w:sz w:val="24"/>
        </w:rPr>
        <w:t> </w:t>
      </w:r>
      <w:r>
        <w:rPr>
          <w:sz w:val="24"/>
        </w:rPr>
        <w:t>mega</w:t>
      </w:r>
      <w:r>
        <w:rPr>
          <w:spacing w:val="40"/>
          <w:sz w:val="24"/>
        </w:rPr>
        <w:t> </w:t>
      </w:r>
      <w:r>
        <w:rPr>
          <w:sz w:val="24"/>
        </w:rPr>
        <w:t>Projects</w:t>
      </w:r>
      <w:r>
        <w:rPr>
          <w:spacing w:val="40"/>
          <w:sz w:val="24"/>
        </w:rPr>
        <w:t> </w:t>
      </w:r>
      <w:r>
        <w:rPr>
          <w:sz w:val="24"/>
        </w:rPr>
        <w:t>and</w:t>
      </w:r>
      <w:r>
        <w:rPr>
          <w:spacing w:val="40"/>
          <w:sz w:val="24"/>
        </w:rPr>
        <w:t> </w:t>
      </w:r>
      <w:r>
        <w:rPr>
          <w:sz w:val="24"/>
        </w:rPr>
        <w:t>Large</w:t>
      </w:r>
      <w:r>
        <w:rPr>
          <w:spacing w:val="40"/>
          <w:sz w:val="24"/>
        </w:rPr>
        <w:t> </w:t>
      </w:r>
      <w:r>
        <w:rPr>
          <w:sz w:val="24"/>
        </w:rPr>
        <w:t>tourism</w:t>
      </w:r>
      <w:r>
        <w:rPr>
          <w:spacing w:val="40"/>
          <w:sz w:val="24"/>
        </w:rPr>
        <w:t> </w:t>
      </w:r>
      <w:r>
        <w:rPr>
          <w:spacing w:val="9"/>
          <w:sz w:val="24"/>
        </w:rPr>
        <w:t>units.</w:t>
      </w:r>
    </w:p>
    <w:p>
      <w:pPr>
        <w:pStyle w:val="BodyText"/>
        <w:spacing w:line="276" w:lineRule="auto" w:before="280"/>
        <w:ind w:left="2062" w:right="773" w:hanging="12"/>
      </w:pPr>
      <w:r>
        <w:rPr/>
        <w:t>(4)</w:t>
      </w:r>
      <w:r>
        <w:rPr>
          <w:spacing w:val="80"/>
          <w:w w:val="150"/>
        </w:rPr>
        <w:t>  </w:t>
      </w:r>
      <w:r>
        <w:rPr/>
        <w:t>No</w:t>
      </w:r>
      <w:r>
        <w:rPr>
          <w:spacing w:val="80"/>
        </w:rPr>
        <w:t> </w:t>
      </w:r>
      <w:r>
        <w:rPr/>
        <w:t>condonation</w:t>
      </w:r>
      <w:r>
        <w:rPr>
          <w:spacing w:val="80"/>
        </w:rPr>
        <w:t> </w:t>
      </w:r>
      <w:r>
        <w:rPr/>
        <w:t>in</w:t>
      </w:r>
      <w:r>
        <w:rPr>
          <w:spacing w:val="80"/>
        </w:rPr>
        <w:t> </w:t>
      </w:r>
      <w:r>
        <w:rPr/>
        <w:t>parking</w:t>
      </w:r>
      <w:r>
        <w:rPr>
          <w:spacing w:val="80"/>
        </w:rPr>
        <w:t> </w:t>
      </w:r>
      <w:r>
        <w:rPr/>
        <w:t>and</w:t>
      </w:r>
      <w:r>
        <w:rPr>
          <w:spacing w:val="80"/>
        </w:rPr>
        <w:t> </w:t>
      </w:r>
      <w:r>
        <w:rPr/>
        <w:t>other</w:t>
      </w:r>
      <w:r>
        <w:rPr>
          <w:spacing w:val="80"/>
        </w:rPr>
        <w:t> </w:t>
      </w:r>
      <w:r>
        <w:rPr/>
        <w:t>requirements</w:t>
      </w:r>
      <w:r>
        <w:rPr>
          <w:spacing w:val="80"/>
        </w:rPr>
        <w:t> </w:t>
      </w:r>
      <w:r>
        <w:rPr/>
        <w:t>as</w:t>
      </w:r>
      <w:r>
        <w:rPr>
          <w:spacing w:val="80"/>
        </w:rPr>
        <w:t> </w:t>
      </w:r>
      <w:r>
        <w:rPr/>
        <w:t>in these Regulations shall be allowed except in the side and rear</w:t>
      </w:r>
      <w:r>
        <w:rPr>
          <w:spacing w:val="80"/>
        </w:rPr>
        <w:t> </w:t>
      </w:r>
      <w:r>
        <w:rPr/>
        <w:t>Marginal</w:t>
      </w:r>
      <w:r>
        <w:rPr>
          <w:spacing w:val="40"/>
        </w:rPr>
        <w:t> </w:t>
      </w:r>
      <w:r>
        <w:rPr/>
        <w:t>open</w:t>
      </w:r>
      <w:r>
        <w:rPr>
          <w:spacing w:val="40"/>
        </w:rPr>
        <w:t> </w:t>
      </w:r>
      <w:r>
        <w:rPr/>
        <w:t>spaces</w:t>
      </w:r>
      <w:r>
        <w:rPr>
          <w:spacing w:val="40"/>
        </w:rPr>
        <w:t> </w:t>
      </w:r>
      <w:r>
        <w:rPr/>
        <w:t>condonation</w:t>
      </w:r>
      <w:r>
        <w:rPr>
          <w:spacing w:val="40"/>
        </w:rPr>
        <w:t> </w:t>
      </w:r>
      <w:r>
        <w:rPr/>
        <w:t>up</w:t>
      </w:r>
      <w:r>
        <w:rPr>
          <w:spacing w:val="40"/>
        </w:rPr>
        <w:t> </w:t>
      </w:r>
      <w:r>
        <w:rPr/>
        <w:t>to</w:t>
      </w:r>
      <w:r>
        <w:rPr>
          <w:spacing w:val="40"/>
        </w:rPr>
        <w:t> </w:t>
      </w:r>
      <w:r>
        <w:rPr/>
        <w:t>25%</w:t>
      </w:r>
      <w:r>
        <w:rPr>
          <w:spacing w:val="40"/>
        </w:rPr>
        <w:t> </w:t>
      </w:r>
      <w:r>
        <w:rPr/>
        <w:t>may</w:t>
      </w:r>
      <w:r>
        <w:rPr>
          <w:spacing w:val="40"/>
        </w:rPr>
        <w:t> </w:t>
      </w:r>
      <w:r>
        <w:rPr/>
        <w:t>be</w:t>
      </w:r>
      <w:r>
        <w:rPr>
          <w:spacing w:val="40"/>
        </w:rPr>
        <w:t> </w:t>
      </w:r>
      <w:r>
        <w:rPr/>
        <w:t>granted</w:t>
      </w:r>
      <w:r>
        <w:rPr>
          <w:spacing w:val="40"/>
        </w:rPr>
        <w:t> </w:t>
      </w:r>
      <w:r>
        <w:rPr/>
        <w:t>with the</w:t>
      </w:r>
      <w:r>
        <w:rPr>
          <w:spacing w:val="40"/>
        </w:rPr>
        <w:t> </w:t>
      </w:r>
      <w:r>
        <w:rPr/>
        <w:t>special</w:t>
      </w:r>
      <w:r>
        <w:rPr>
          <w:spacing w:val="40"/>
        </w:rPr>
        <w:t> </w:t>
      </w:r>
      <w:r>
        <w:rPr/>
        <w:t>permission</w:t>
      </w:r>
      <w:r>
        <w:rPr>
          <w:spacing w:val="40"/>
        </w:rPr>
        <w:t> </w:t>
      </w:r>
      <w:r>
        <w:rPr/>
        <w:t>of</w:t>
      </w:r>
      <w:r>
        <w:rPr>
          <w:spacing w:val="40"/>
        </w:rPr>
        <w:t> </w:t>
      </w:r>
      <w:r>
        <w:rPr/>
        <w:t>the</w:t>
      </w:r>
      <w:r>
        <w:rPr>
          <w:spacing w:val="40"/>
        </w:rPr>
        <w:t> </w:t>
      </w:r>
      <w:r>
        <w:rPr>
          <w:spacing w:val="9"/>
        </w:rPr>
        <w:t>Commissioner.</w:t>
      </w:r>
    </w:p>
    <w:p>
      <w:pPr>
        <w:pStyle w:val="BodyText"/>
        <w:spacing w:before="243"/>
        <w:ind w:left="2062" w:right="768"/>
      </w:pPr>
      <w:r>
        <w:rPr/>
        <w:t>Note(I)</w:t>
      </w:r>
      <w:r>
        <w:rPr>
          <w:spacing w:val="40"/>
        </w:rPr>
        <w:t> </w:t>
      </w:r>
      <w:r>
        <w:rPr/>
        <w:t>Out</w:t>
      </w:r>
      <w:r>
        <w:rPr>
          <w:spacing w:val="40"/>
        </w:rPr>
        <w:t> </w:t>
      </w:r>
      <w:r>
        <w:rPr/>
        <w:t>of</w:t>
      </w:r>
      <w:r>
        <w:rPr>
          <w:spacing w:val="40"/>
        </w:rPr>
        <w:t> </w:t>
      </w:r>
      <w:r>
        <w:rPr/>
        <w:t>the</w:t>
      </w:r>
      <w:r>
        <w:rPr>
          <w:spacing w:val="40"/>
        </w:rPr>
        <w:t> </w:t>
      </w:r>
      <w:r>
        <w:rPr/>
        <w:t>additional</w:t>
      </w:r>
      <w:r>
        <w:rPr>
          <w:spacing w:val="40"/>
        </w:rPr>
        <w:t> </w:t>
      </w:r>
      <w:r>
        <w:rPr/>
        <w:t>FSI</w:t>
      </w:r>
      <w:r>
        <w:rPr>
          <w:spacing w:val="40"/>
        </w:rPr>
        <w:t> </w:t>
      </w:r>
      <w:r>
        <w:rPr/>
        <w:t>beyond</w:t>
      </w:r>
      <w:r>
        <w:rPr>
          <w:spacing w:val="40"/>
        </w:rPr>
        <w:t> </w:t>
      </w:r>
      <w:r>
        <w:rPr/>
        <w:t>Zonal</w:t>
      </w:r>
      <w:r>
        <w:rPr>
          <w:spacing w:val="40"/>
        </w:rPr>
        <w:t> </w:t>
      </w:r>
      <w:r>
        <w:rPr/>
        <w:t>(basic)</w:t>
      </w:r>
      <w:r>
        <w:rPr>
          <w:spacing w:val="80"/>
        </w:rPr>
        <w:t> </w:t>
      </w:r>
      <w:r>
        <w:rPr/>
        <w:t>FSI,</w:t>
      </w:r>
      <w:r>
        <w:rPr>
          <w:spacing w:val="40"/>
        </w:rPr>
        <w:t> </w:t>
      </w:r>
      <w:r>
        <w:rPr/>
        <w:t>50%</w:t>
      </w:r>
      <w:r>
        <w:rPr>
          <w:spacing w:val="40"/>
        </w:rPr>
        <w:t> </w:t>
      </w:r>
      <w:r>
        <w:rPr/>
        <w:t>may be availed by utilizing TDR (without payment of premium), provided that the utilization of such TDR will be allowed only </w:t>
      </w:r>
      <w:r>
        <w:rPr>
          <w:spacing w:val="9"/>
        </w:rPr>
        <w:t>after </w:t>
      </w:r>
      <w:r>
        <w:rPr/>
        <w:t>availing</w:t>
      </w:r>
      <w:r>
        <w:rPr>
          <w:spacing w:val="40"/>
        </w:rPr>
        <w:t> </w:t>
      </w:r>
      <w:r>
        <w:rPr/>
        <w:t>of</w:t>
      </w:r>
      <w:r>
        <w:rPr>
          <w:spacing w:val="40"/>
        </w:rPr>
        <w:t> </w:t>
      </w:r>
      <w:r>
        <w:rPr/>
        <w:t>the</w:t>
      </w:r>
      <w:r>
        <w:rPr>
          <w:spacing w:val="40"/>
        </w:rPr>
        <w:t> </w:t>
      </w:r>
      <w:r>
        <w:rPr/>
        <w:t>remaining</w:t>
      </w:r>
      <w:r>
        <w:rPr>
          <w:spacing w:val="40"/>
        </w:rPr>
        <w:t> </w:t>
      </w:r>
      <w:r>
        <w:rPr/>
        <w:t>additional</w:t>
      </w:r>
      <w:r>
        <w:rPr>
          <w:spacing w:val="40"/>
        </w:rPr>
        <w:t> </w:t>
      </w:r>
      <w:r>
        <w:rPr/>
        <w:t>FSI.</w:t>
      </w:r>
    </w:p>
    <w:p>
      <w:pPr>
        <w:pStyle w:val="ListParagraph"/>
        <w:numPr>
          <w:ilvl w:val="0"/>
          <w:numId w:val="141"/>
        </w:numPr>
        <w:tabs>
          <w:tab w:pos="2473" w:val="left" w:leader="none"/>
        </w:tabs>
        <w:spacing w:line="276" w:lineRule="auto" w:before="236" w:after="0"/>
        <w:ind w:left="2050" w:right="775" w:firstLine="0"/>
        <w:jc w:val="both"/>
        <w:rPr>
          <w:sz w:val="24"/>
        </w:rPr>
      </w:pPr>
      <w:r>
        <w:rPr>
          <w:sz w:val="24"/>
        </w:rPr>
        <w:t>If</w:t>
      </w:r>
      <w:r>
        <w:rPr>
          <w:spacing w:val="40"/>
          <w:sz w:val="24"/>
        </w:rPr>
        <w:t> </w:t>
      </w:r>
      <w:r>
        <w:rPr>
          <w:sz w:val="24"/>
        </w:rPr>
        <w:t>mixed</w:t>
      </w:r>
      <w:r>
        <w:rPr>
          <w:spacing w:val="40"/>
          <w:sz w:val="24"/>
        </w:rPr>
        <w:t> </w:t>
      </w:r>
      <w:r>
        <w:rPr>
          <w:sz w:val="24"/>
        </w:rPr>
        <w:t>user</w:t>
      </w:r>
      <w:r>
        <w:rPr>
          <w:spacing w:val="40"/>
          <w:sz w:val="24"/>
        </w:rPr>
        <w:t> </w:t>
      </w:r>
      <w:r>
        <w:rPr>
          <w:sz w:val="24"/>
        </w:rPr>
        <w:t>other</w:t>
      </w:r>
      <w:r>
        <w:rPr>
          <w:spacing w:val="40"/>
          <w:sz w:val="24"/>
        </w:rPr>
        <w:t> </w:t>
      </w:r>
      <w:r>
        <w:rPr>
          <w:sz w:val="24"/>
        </w:rPr>
        <w:t>than</w:t>
      </w:r>
      <w:r>
        <w:rPr>
          <w:spacing w:val="40"/>
          <w:sz w:val="24"/>
        </w:rPr>
        <w:t> </w:t>
      </w:r>
      <w:r>
        <w:rPr>
          <w:sz w:val="24"/>
        </w:rPr>
        <w:t>3</w:t>
      </w:r>
      <w:r>
        <w:rPr>
          <w:spacing w:val="40"/>
          <w:sz w:val="24"/>
        </w:rPr>
        <w:t> </w:t>
      </w:r>
      <w:r>
        <w:rPr>
          <w:sz w:val="24"/>
        </w:rPr>
        <w:t>above</w:t>
      </w:r>
      <w:r>
        <w:rPr>
          <w:spacing w:val="40"/>
          <w:sz w:val="24"/>
        </w:rPr>
        <w:t> </w:t>
      </w:r>
      <w:r>
        <w:rPr>
          <w:sz w:val="24"/>
        </w:rPr>
        <w:t>along</w:t>
      </w:r>
      <w:r>
        <w:rPr>
          <w:spacing w:val="40"/>
          <w:sz w:val="24"/>
        </w:rPr>
        <w:t> </w:t>
      </w:r>
      <w:r>
        <w:rPr>
          <w:sz w:val="24"/>
        </w:rPr>
        <w:t>with</w:t>
      </w:r>
      <w:r>
        <w:rPr>
          <w:spacing w:val="40"/>
          <w:sz w:val="24"/>
        </w:rPr>
        <w:t> </w:t>
      </w:r>
      <w:r>
        <w:rPr>
          <w:sz w:val="24"/>
        </w:rPr>
        <w:t>star</w:t>
      </w:r>
      <w:r>
        <w:rPr>
          <w:spacing w:val="40"/>
          <w:sz w:val="24"/>
        </w:rPr>
        <w:t> </w:t>
      </w:r>
      <w:r>
        <w:rPr>
          <w:sz w:val="24"/>
        </w:rPr>
        <w:t>category</w:t>
      </w:r>
      <w:r>
        <w:rPr>
          <w:spacing w:val="40"/>
          <w:sz w:val="24"/>
        </w:rPr>
        <w:t> </w:t>
      </w:r>
      <w:r>
        <w:rPr>
          <w:sz w:val="24"/>
        </w:rPr>
        <w:t>hotel is</w:t>
      </w:r>
      <w:r>
        <w:rPr>
          <w:spacing w:val="40"/>
          <w:sz w:val="24"/>
        </w:rPr>
        <w:t> </w:t>
      </w:r>
      <w:r>
        <w:rPr>
          <w:sz w:val="24"/>
        </w:rPr>
        <w:t>proposed</w:t>
      </w:r>
      <w:r>
        <w:rPr>
          <w:spacing w:val="40"/>
          <w:sz w:val="24"/>
        </w:rPr>
        <w:t> </w:t>
      </w:r>
      <w:r>
        <w:rPr>
          <w:sz w:val="24"/>
        </w:rPr>
        <w:t>subject</w:t>
      </w:r>
      <w:r>
        <w:rPr>
          <w:spacing w:val="40"/>
          <w:sz w:val="24"/>
        </w:rPr>
        <w:t> </w:t>
      </w:r>
      <w:r>
        <w:rPr>
          <w:sz w:val="24"/>
        </w:rPr>
        <w:t>to</w:t>
      </w:r>
      <w:r>
        <w:rPr>
          <w:spacing w:val="40"/>
          <w:sz w:val="24"/>
        </w:rPr>
        <w:t> </w:t>
      </w:r>
      <w:r>
        <w:rPr>
          <w:sz w:val="24"/>
        </w:rPr>
        <w:t>fulfillment</w:t>
      </w:r>
      <w:r>
        <w:rPr>
          <w:spacing w:val="40"/>
          <w:sz w:val="24"/>
        </w:rPr>
        <w:t> </w:t>
      </w:r>
      <w:r>
        <w:rPr>
          <w:sz w:val="24"/>
        </w:rPr>
        <w:t>of</w:t>
      </w:r>
      <w:r>
        <w:rPr>
          <w:spacing w:val="10"/>
          <w:sz w:val="24"/>
        </w:rPr>
        <w:t> road </w:t>
      </w:r>
      <w:r>
        <w:rPr>
          <w:sz w:val="24"/>
        </w:rPr>
        <w:t>width</w:t>
      </w:r>
      <w:r>
        <w:rPr>
          <w:spacing w:val="40"/>
          <w:sz w:val="24"/>
        </w:rPr>
        <w:t> </w:t>
      </w:r>
      <w:r>
        <w:rPr>
          <w:sz w:val="24"/>
        </w:rPr>
        <w:t>for</w:t>
      </w:r>
      <w:r>
        <w:rPr>
          <w:spacing w:val="40"/>
          <w:sz w:val="24"/>
        </w:rPr>
        <w:t> </w:t>
      </w:r>
      <w:r>
        <w:rPr>
          <w:sz w:val="24"/>
        </w:rPr>
        <w:t>such</w:t>
      </w:r>
      <w:r>
        <w:rPr>
          <w:spacing w:val="40"/>
          <w:sz w:val="24"/>
        </w:rPr>
        <w:t> </w:t>
      </w:r>
      <w:r>
        <w:rPr>
          <w:sz w:val="24"/>
        </w:rPr>
        <w:t>mix</w:t>
      </w:r>
      <w:r>
        <w:rPr>
          <w:spacing w:val="40"/>
          <w:sz w:val="24"/>
        </w:rPr>
        <w:t> </w:t>
      </w:r>
      <w:r>
        <w:rPr>
          <w:sz w:val="24"/>
        </w:rPr>
        <w:t>use, then</w:t>
      </w:r>
      <w:r>
        <w:rPr>
          <w:spacing w:val="40"/>
          <w:sz w:val="24"/>
        </w:rPr>
        <w:t> </w:t>
      </w:r>
      <w:r>
        <w:rPr>
          <w:sz w:val="24"/>
        </w:rPr>
        <w:t>no</w:t>
      </w:r>
      <w:r>
        <w:rPr>
          <w:spacing w:val="40"/>
          <w:sz w:val="24"/>
        </w:rPr>
        <w:t> </w:t>
      </w:r>
      <w:r>
        <w:rPr>
          <w:sz w:val="24"/>
        </w:rPr>
        <w:t>additional</w:t>
      </w:r>
      <w:r>
        <w:rPr>
          <w:spacing w:val="40"/>
          <w:sz w:val="24"/>
        </w:rPr>
        <w:t> </w:t>
      </w:r>
      <w:r>
        <w:rPr>
          <w:sz w:val="24"/>
        </w:rPr>
        <w:t>FSI</w:t>
      </w:r>
      <w:r>
        <w:rPr>
          <w:spacing w:val="40"/>
          <w:sz w:val="24"/>
        </w:rPr>
        <w:t> </w:t>
      </w:r>
      <w:r>
        <w:rPr>
          <w:sz w:val="24"/>
        </w:rPr>
        <w:t>will</w:t>
      </w:r>
      <w:r>
        <w:rPr>
          <w:spacing w:val="40"/>
          <w:sz w:val="24"/>
        </w:rPr>
        <w:t> </w:t>
      </w:r>
      <w:r>
        <w:rPr>
          <w:sz w:val="24"/>
        </w:rPr>
        <w:t>be</w:t>
      </w:r>
      <w:r>
        <w:rPr>
          <w:spacing w:val="40"/>
          <w:sz w:val="24"/>
        </w:rPr>
        <w:t> </w:t>
      </w:r>
      <w:r>
        <w:rPr>
          <w:sz w:val="24"/>
        </w:rPr>
        <w:t>available</w:t>
      </w:r>
      <w:r>
        <w:rPr>
          <w:spacing w:val="40"/>
          <w:sz w:val="24"/>
        </w:rPr>
        <w:t> </w:t>
      </w:r>
      <w:r>
        <w:rPr>
          <w:sz w:val="24"/>
        </w:rPr>
        <w:t>at</w:t>
      </w:r>
      <w:r>
        <w:rPr>
          <w:spacing w:val="40"/>
          <w:sz w:val="24"/>
        </w:rPr>
        <w:t> </w:t>
      </w:r>
      <w:r>
        <w:rPr>
          <w:sz w:val="24"/>
        </w:rPr>
        <w:t>concessional</w:t>
      </w:r>
      <w:r>
        <w:rPr>
          <w:spacing w:val="40"/>
          <w:sz w:val="24"/>
        </w:rPr>
        <w:t> </w:t>
      </w:r>
      <w:r>
        <w:rPr>
          <w:sz w:val="24"/>
        </w:rPr>
        <w:t>rate. Separate entrances, Parking arrangements, lifts/ Lobbies shall be provided</w:t>
      </w:r>
      <w:r>
        <w:rPr>
          <w:spacing w:val="40"/>
          <w:sz w:val="24"/>
        </w:rPr>
        <w:t> </w:t>
      </w:r>
      <w:r>
        <w:rPr>
          <w:sz w:val="24"/>
        </w:rPr>
        <w:t>to</w:t>
      </w:r>
      <w:r>
        <w:rPr>
          <w:spacing w:val="40"/>
          <w:sz w:val="24"/>
        </w:rPr>
        <w:t> </w:t>
      </w:r>
      <w:r>
        <w:rPr>
          <w:sz w:val="24"/>
        </w:rPr>
        <w:t>segregate</w:t>
      </w:r>
      <w:r>
        <w:rPr>
          <w:spacing w:val="40"/>
          <w:sz w:val="24"/>
        </w:rPr>
        <w:t> </w:t>
      </w:r>
      <w:r>
        <w:rPr>
          <w:sz w:val="24"/>
        </w:rPr>
        <w:t>such</w:t>
      </w:r>
      <w:r>
        <w:rPr>
          <w:spacing w:val="40"/>
          <w:sz w:val="24"/>
        </w:rPr>
        <w:t> </w:t>
      </w:r>
      <w:r>
        <w:rPr>
          <w:sz w:val="24"/>
        </w:rPr>
        <w:t>mix</w:t>
      </w:r>
      <w:r>
        <w:rPr>
          <w:spacing w:val="40"/>
          <w:sz w:val="24"/>
        </w:rPr>
        <w:t> </w:t>
      </w:r>
      <w:r>
        <w:rPr>
          <w:spacing w:val="9"/>
          <w:sz w:val="24"/>
        </w:rPr>
        <w:t>uses.</w:t>
      </w:r>
    </w:p>
    <w:p>
      <w:pPr>
        <w:pStyle w:val="Heading6"/>
        <w:tabs>
          <w:tab w:pos="6044" w:val="left" w:leader="none"/>
          <w:tab w:pos="6766" w:val="left" w:leader="none"/>
          <w:tab w:pos="8275" w:val="left" w:leader="none"/>
          <w:tab w:pos="9849" w:val="left" w:leader="none"/>
        </w:tabs>
        <w:spacing w:before="241"/>
        <w:ind w:right="1089"/>
      </w:pPr>
      <w:r>
        <w:rPr>
          <w:i w:val="0"/>
          <w:spacing w:val="-2"/>
        </w:rPr>
        <w:t>33(5)</w:t>
      </w:r>
      <w:r>
        <w:rPr>
          <w:spacing w:val="-2"/>
        </w:rPr>
        <w:t>Development/Redevelopment</w:t>
      </w:r>
      <w:r>
        <w:rPr/>
        <w:tab/>
      </w:r>
      <w:r>
        <w:rPr>
          <w:spacing w:val="-6"/>
        </w:rPr>
        <w:t>of</w:t>
      </w:r>
      <w:r>
        <w:rPr/>
        <w:tab/>
      </w:r>
      <w:r>
        <w:rPr>
          <w:spacing w:val="-2"/>
        </w:rPr>
        <w:t>Housing</w:t>
      </w:r>
      <w:r>
        <w:rPr/>
        <w:tab/>
      </w:r>
      <w:r>
        <w:rPr>
          <w:spacing w:val="-2"/>
        </w:rPr>
        <w:t>Schemes</w:t>
      </w:r>
      <w:r>
        <w:rPr/>
        <w:tab/>
      </w:r>
      <w:r>
        <w:rPr>
          <w:spacing w:val="-6"/>
        </w:rPr>
        <w:t>of </w:t>
      </w:r>
      <w:r>
        <w:rPr/>
        <w:t>Maharashtra Housing &amp; Area Development Authority (MHADA)</w:t>
      </w:r>
    </w:p>
    <w:p>
      <w:pPr>
        <w:pStyle w:val="ListParagraph"/>
        <w:numPr>
          <w:ilvl w:val="1"/>
          <w:numId w:val="141"/>
        </w:numPr>
        <w:tabs>
          <w:tab w:pos="2643" w:val="left" w:leader="none"/>
        </w:tabs>
        <w:spacing w:line="240" w:lineRule="auto" w:before="243" w:after="0"/>
        <w:ind w:left="2335" w:right="782" w:firstLine="0"/>
        <w:jc w:val="both"/>
        <w:rPr>
          <w:sz w:val="24"/>
        </w:rPr>
      </w:pPr>
      <w:r>
        <w:rPr>
          <w:sz w:val="24"/>
        </w:rPr>
        <w:t>The FSI for a new scheme of Housing, implemented by MHADA</w:t>
      </w:r>
      <w:r>
        <w:rPr>
          <w:spacing w:val="80"/>
          <w:sz w:val="24"/>
        </w:rPr>
        <w:t> </w:t>
      </w:r>
      <w:r>
        <w:rPr>
          <w:sz w:val="24"/>
        </w:rPr>
        <w:t>on MHADA lands for Economically Weaker Sections (EWS), Low Income</w:t>
      </w:r>
      <w:r>
        <w:rPr>
          <w:spacing w:val="75"/>
          <w:sz w:val="24"/>
        </w:rPr>
        <w:t> </w:t>
      </w:r>
      <w:r>
        <w:rPr>
          <w:sz w:val="24"/>
        </w:rPr>
        <w:t>Group</w:t>
      </w:r>
      <w:r>
        <w:rPr>
          <w:spacing w:val="78"/>
          <w:sz w:val="24"/>
        </w:rPr>
        <w:t> </w:t>
      </w:r>
      <w:r>
        <w:rPr>
          <w:sz w:val="24"/>
        </w:rPr>
        <w:t>(LIG)</w:t>
      </w:r>
      <w:r>
        <w:rPr>
          <w:spacing w:val="75"/>
          <w:sz w:val="24"/>
        </w:rPr>
        <w:t> </w:t>
      </w:r>
      <w:r>
        <w:rPr>
          <w:sz w:val="24"/>
        </w:rPr>
        <w:t>and</w:t>
      </w:r>
      <w:r>
        <w:rPr>
          <w:spacing w:val="78"/>
          <w:sz w:val="24"/>
        </w:rPr>
        <w:t> </w:t>
      </w:r>
      <w:r>
        <w:rPr>
          <w:sz w:val="24"/>
        </w:rPr>
        <w:t>Middle</w:t>
      </w:r>
      <w:r>
        <w:rPr>
          <w:spacing w:val="75"/>
          <w:sz w:val="24"/>
        </w:rPr>
        <w:t> </w:t>
      </w:r>
      <w:r>
        <w:rPr>
          <w:sz w:val="24"/>
        </w:rPr>
        <w:t>Income</w:t>
      </w:r>
      <w:r>
        <w:rPr>
          <w:spacing w:val="75"/>
          <w:sz w:val="24"/>
        </w:rPr>
        <w:t> </w:t>
      </w:r>
      <w:r>
        <w:rPr>
          <w:sz w:val="24"/>
        </w:rPr>
        <w:t>Group</w:t>
      </w:r>
      <w:r>
        <w:rPr>
          <w:spacing w:val="80"/>
          <w:sz w:val="24"/>
        </w:rPr>
        <w:t> </w:t>
      </w:r>
      <w:r>
        <w:rPr>
          <w:sz w:val="24"/>
        </w:rPr>
        <w:t>(MIG)</w:t>
      </w:r>
      <w:r>
        <w:rPr>
          <w:spacing w:val="75"/>
          <w:sz w:val="24"/>
        </w:rPr>
        <w:t> </w:t>
      </w:r>
      <w:r>
        <w:rPr>
          <w:sz w:val="24"/>
        </w:rPr>
        <w:t>categories</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335" w:right="768"/>
      </w:pPr>
      <w:r>
        <w:rPr/>
        <w:t>shall be 3.0 on the gross plot area (exclusive of the </w:t>
      </w:r>
      <w:r>
        <w:rPr>
          <w:spacing w:val="9"/>
        </w:rPr>
        <w:t>Fungible </w:t>
      </w:r>
      <w:r>
        <w:rPr/>
        <w:t>Compensatory</w:t>
      </w:r>
      <w:r>
        <w:rPr>
          <w:spacing w:val="40"/>
        </w:rPr>
        <w:t> </w:t>
      </w:r>
      <w:r>
        <w:rPr/>
        <w:t>Area)</w:t>
      </w:r>
      <w:r>
        <w:rPr>
          <w:spacing w:val="40"/>
        </w:rPr>
        <w:t> </w:t>
      </w:r>
      <w:r>
        <w:rPr/>
        <w:t>and</w:t>
      </w:r>
      <w:r>
        <w:rPr>
          <w:spacing w:val="40"/>
        </w:rPr>
        <w:t> </w:t>
      </w:r>
      <w:r>
        <w:rPr/>
        <w:t>at</w:t>
      </w:r>
      <w:r>
        <w:rPr>
          <w:spacing w:val="40"/>
        </w:rPr>
        <w:t> </w:t>
      </w:r>
      <w:r>
        <w:rPr/>
        <w:t>least</w:t>
      </w:r>
      <w:r>
        <w:rPr>
          <w:spacing w:val="40"/>
        </w:rPr>
        <w:t> </w:t>
      </w:r>
      <w:r>
        <w:rPr/>
        <w:t>60%</w:t>
      </w:r>
      <w:r>
        <w:rPr>
          <w:spacing w:val="40"/>
        </w:rPr>
        <w:t> </w:t>
      </w:r>
      <w:r>
        <w:rPr/>
        <w:t>BUA</w:t>
      </w:r>
      <w:r>
        <w:rPr>
          <w:spacing w:val="40"/>
        </w:rPr>
        <w:t> </w:t>
      </w:r>
      <w:r>
        <w:rPr/>
        <w:t>in</w:t>
      </w:r>
      <w:r>
        <w:rPr>
          <w:spacing w:val="40"/>
        </w:rPr>
        <w:t> </w:t>
      </w:r>
      <w:r>
        <w:rPr/>
        <w:t>such</w:t>
      </w:r>
      <w:r>
        <w:rPr>
          <w:spacing w:val="40"/>
        </w:rPr>
        <w:t> </w:t>
      </w:r>
      <w:r>
        <w:rPr/>
        <w:t>scheme</w:t>
      </w:r>
      <w:r>
        <w:rPr>
          <w:spacing w:val="40"/>
        </w:rPr>
        <w:t> </w:t>
      </w:r>
      <w:r>
        <w:rPr/>
        <w:t>shall be in the form of tenements under the EWS, LIG and MIG</w:t>
      </w:r>
      <w:r>
        <w:rPr>
          <w:spacing w:val="40"/>
        </w:rPr>
        <w:t> </w:t>
      </w:r>
      <w:r>
        <w:rPr/>
        <w:t>categories,</w:t>
      </w:r>
      <w:r>
        <w:rPr>
          <w:spacing w:val="80"/>
        </w:rPr>
        <w:t> </w:t>
      </w:r>
      <w:r>
        <w:rPr/>
        <w:t>as</w:t>
      </w:r>
      <w:r>
        <w:rPr>
          <w:spacing w:val="80"/>
        </w:rPr>
        <w:t> </w:t>
      </w:r>
      <w:r>
        <w:rPr/>
        <w:t>defined</w:t>
      </w:r>
      <w:r>
        <w:rPr>
          <w:spacing w:val="80"/>
        </w:rPr>
        <w:t> </w:t>
      </w:r>
      <w:r>
        <w:rPr/>
        <w:t>by</w:t>
      </w:r>
      <w:r>
        <w:rPr>
          <w:spacing w:val="80"/>
        </w:rPr>
        <w:t> </w:t>
      </w:r>
      <w:r>
        <w:rPr/>
        <w:t>the</w:t>
      </w:r>
      <w:r>
        <w:rPr>
          <w:spacing w:val="80"/>
        </w:rPr>
        <w:t> </w:t>
      </w:r>
      <w:r>
        <w:rPr/>
        <w:t>Government</w:t>
      </w:r>
      <w:r>
        <w:rPr>
          <w:spacing w:val="80"/>
        </w:rPr>
        <w:t> </w:t>
      </w:r>
      <w:r>
        <w:rPr/>
        <w:t>in</w:t>
      </w:r>
      <w:r>
        <w:rPr>
          <w:spacing w:val="80"/>
        </w:rPr>
        <w:t> </w:t>
      </w:r>
      <w:r>
        <w:rPr/>
        <w:t>Housing Department</w:t>
      </w:r>
      <w:r>
        <w:rPr>
          <w:spacing w:val="40"/>
        </w:rPr>
        <w:t> </w:t>
      </w:r>
      <w:r>
        <w:rPr/>
        <w:t>from</w:t>
      </w:r>
      <w:r>
        <w:rPr>
          <w:spacing w:val="40"/>
        </w:rPr>
        <w:t> </w:t>
      </w:r>
      <w:r>
        <w:rPr/>
        <w:t>time</w:t>
      </w:r>
      <w:r>
        <w:rPr>
          <w:spacing w:val="40"/>
        </w:rPr>
        <w:t> </w:t>
      </w:r>
      <w:r>
        <w:rPr/>
        <w:t>to</w:t>
      </w:r>
      <w:r>
        <w:rPr>
          <w:spacing w:val="40"/>
        </w:rPr>
        <w:t> </w:t>
      </w:r>
      <w:r>
        <w:rPr/>
        <w:t>time.</w:t>
      </w:r>
    </w:p>
    <w:p>
      <w:pPr>
        <w:pStyle w:val="BodyText"/>
        <w:ind w:left="2335" w:right="775"/>
        <w:rPr>
          <w:sz w:val="22"/>
        </w:rPr>
      </w:pPr>
      <w:r>
        <w:rPr/>
        <w:t>Provided</w:t>
      </w:r>
      <w:r>
        <w:rPr>
          <w:spacing w:val="40"/>
        </w:rPr>
        <w:t> </w:t>
      </w:r>
      <w:r>
        <w:rPr/>
        <w:t>that</w:t>
      </w:r>
      <w:r>
        <w:rPr>
          <w:spacing w:val="40"/>
        </w:rPr>
        <w:t> </w:t>
      </w:r>
      <w:r>
        <w:rPr/>
        <w:t>the</w:t>
      </w:r>
      <w:r>
        <w:rPr>
          <w:spacing w:val="40"/>
        </w:rPr>
        <w:t> </w:t>
      </w:r>
      <w:r>
        <w:rPr/>
        <w:t>Floor</w:t>
      </w:r>
      <w:r>
        <w:rPr>
          <w:spacing w:val="40"/>
        </w:rPr>
        <w:t> </w:t>
      </w:r>
      <w:r>
        <w:rPr/>
        <w:t>Space</w:t>
      </w:r>
      <w:r>
        <w:rPr>
          <w:spacing w:val="40"/>
        </w:rPr>
        <w:t> </w:t>
      </w:r>
      <w:r>
        <w:rPr/>
        <w:t>Indices</w:t>
      </w:r>
      <w:r>
        <w:rPr>
          <w:spacing w:val="40"/>
        </w:rPr>
        <w:t> </w:t>
      </w:r>
      <w:r>
        <w:rPr/>
        <w:t>above</w:t>
      </w:r>
      <w:r>
        <w:rPr>
          <w:spacing w:val="40"/>
        </w:rPr>
        <w:t> </w:t>
      </w:r>
      <w:r>
        <w:rPr/>
        <w:t>may</w:t>
      </w:r>
      <w:r>
        <w:rPr>
          <w:spacing w:val="40"/>
        </w:rPr>
        <w:t> </w:t>
      </w:r>
      <w:r>
        <w:rPr/>
        <w:t>be</w:t>
      </w:r>
      <w:r>
        <w:rPr>
          <w:spacing w:val="40"/>
        </w:rPr>
        <w:t> </w:t>
      </w:r>
      <w:r>
        <w:rPr/>
        <w:t>permitted</w:t>
      </w:r>
      <w:r>
        <w:rPr>
          <w:spacing w:val="40"/>
        </w:rPr>
        <w:t> </w:t>
      </w:r>
      <w:r>
        <w:rPr/>
        <w:t>to be</w:t>
      </w:r>
      <w:r>
        <w:rPr>
          <w:spacing w:val="40"/>
        </w:rPr>
        <w:t> </w:t>
      </w:r>
      <w:r>
        <w:rPr/>
        <w:t>exceeded</w:t>
      </w:r>
      <w:r>
        <w:rPr>
          <w:spacing w:val="40"/>
        </w:rPr>
        <w:t> </w:t>
      </w:r>
      <w:r>
        <w:rPr/>
        <w:t>up</w:t>
      </w:r>
      <w:r>
        <w:rPr>
          <w:spacing w:val="40"/>
        </w:rPr>
        <w:t> </w:t>
      </w:r>
      <w:r>
        <w:rPr/>
        <w:t>to</w:t>
      </w:r>
      <w:r>
        <w:rPr>
          <w:spacing w:val="40"/>
        </w:rPr>
        <w:t> </w:t>
      </w:r>
      <w:r>
        <w:rPr/>
        <w:t>4.00</w:t>
      </w:r>
      <w:r>
        <w:rPr>
          <w:spacing w:val="40"/>
        </w:rPr>
        <w:t> </w:t>
      </w:r>
      <w:r>
        <w:rPr/>
        <w:t>FSI</w:t>
      </w:r>
      <w:r>
        <w:rPr>
          <w:spacing w:val="40"/>
        </w:rPr>
        <w:t> </w:t>
      </w:r>
      <w:r>
        <w:rPr/>
        <w:t>in</w:t>
      </w:r>
      <w:r>
        <w:rPr>
          <w:spacing w:val="40"/>
        </w:rPr>
        <w:t> </w:t>
      </w:r>
      <w:r>
        <w:rPr/>
        <w:t>case</w:t>
      </w:r>
      <w:r>
        <w:rPr>
          <w:spacing w:val="40"/>
        </w:rPr>
        <w:t> </w:t>
      </w:r>
      <w:r>
        <w:rPr/>
        <w:t>of</w:t>
      </w:r>
      <w:r>
        <w:rPr>
          <w:spacing w:val="40"/>
        </w:rPr>
        <w:t> </w:t>
      </w:r>
      <w:r>
        <w:rPr/>
        <w:t>plots,</w:t>
      </w:r>
      <w:r>
        <w:rPr>
          <w:spacing w:val="40"/>
        </w:rPr>
        <w:t> </w:t>
      </w:r>
      <w:r>
        <w:rPr/>
        <w:t>having</w:t>
      </w:r>
      <w:r>
        <w:rPr>
          <w:spacing w:val="40"/>
        </w:rPr>
        <w:t> </w:t>
      </w:r>
      <w:r>
        <w:rPr/>
        <w:t>area</w:t>
      </w:r>
      <w:r>
        <w:rPr>
          <w:spacing w:val="40"/>
        </w:rPr>
        <w:t> </w:t>
      </w:r>
      <w:r>
        <w:rPr/>
        <w:t>of</w:t>
      </w:r>
      <w:r>
        <w:rPr>
          <w:spacing w:val="40"/>
        </w:rPr>
        <w:t> </w:t>
      </w:r>
      <w:r>
        <w:rPr/>
        <w:t>4000 sq. m or above which front on roads having width of 18.00 m or more</w:t>
      </w:r>
      <w:r>
        <w:rPr>
          <w:spacing w:val="40"/>
        </w:rPr>
        <w:t> </w:t>
      </w:r>
      <w:r>
        <w:rPr>
          <w:sz w:val="22"/>
        </w:rPr>
        <w:t>with</w:t>
      </w:r>
      <w:r>
        <w:rPr>
          <w:spacing w:val="40"/>
          <w:sz w:val="22"/>
        </w:rPr>
        <w:t> </w:t>
      </w:r>
      <w:r>
        <w:rPr>
          <w:sz w:val="22"/>
        </w:rPr>
        <w:t>prior</w:t>
      </w:r>
      <w:r>
        <w:rPr>
          <w:spacing w:val="40"/>
          <w:sz w:val="22"/>
        </w:rPr>
        <w:t> </w:t>
      </w:r>
      <w:r>
        <w:rPr>
          <w:sz w:val="22"/>
        </w:rPr>
        <w:t>approval</w:t>
      </w:r>
      <w:r>
        <w:rPr>
          <w:spacing w:val="40"/>
          <w:sz w:val="22"/>
        </w:rPr>
        <w:t> </w:t>
      </w:r>
      <w:r>
        <w:rPr>
          <w:sz w:val="22"/>
        </w:rPr>
        <w:t>of</w:t>
      </w:r>
      <w:r>
        <w:rPr>
          <w:spacing w:val="40"/>
          <w:sz w:val="22"/>
        </w:rPr>
        <w:t> </w:t>
      </w:r>
      <w:r>
        <w:rPr>
          <w:sz w:val="22"/>
        </w:rPr>
        <w:t>Govt.</w:t>
      </w:r>
    </w:p>
    <w:p>
      <w:pPr>
        <w:pStyle w:val="BodyText"/>
        <w:jc w:val="left"/>
      </w:pPr>
    </w:p>
    <w:p>
      <w:pPr>
        <w:pStyle w:val="ListParagraph"/>
        <w:numPr>
          <w:ilvl w:val="1"/>
          <w:numId w:val="141"/>
        </w:numPr>
        <w:tabs>
          <w:tab w:pos="2693" w:val="left" w:leader="none"/>
        </w:tabs>
        <w:spacing w:line="240" w:lineRule="auto" w:before="0" w:after="0"/>
        <w:ind w:left="2335" w:right="775" w:firstLine="0"/>
        <w:jc w:val="both"/>
        <w:rPr>
          <w:sz w:val="24"/>
        </w:rPr>
      </w:pPr>
      <w:r>
        <w:rPr>
          <w:sz w:val="24"/>
        </w:rPr>
        <w:t>For redevelopment of existing housing schemes of </w:t>
      </w:r>
      <w:r>
        <w:rPr>
          <w:spacing w:val="9"/>
          <w:sz w:val="24"/>
        </w:rPr>
        <w:t>MHADA, </w:t>
      </w:r>
      <w:r>
        <w:rPr>
          <w:sz w:val="24"/>
        </w:rPr>
        <w:t>containing</w:t>
      </w:r>
      <w:r>
        <w:rPr>
          <w:spacing w:val="80"/>
          <w:sz w:val="24"/>
        </w:rPr>
        <w:t> </w:t>
      </w:r>
      <w:r>
        <w:rPr>
          <w:sz w:val="24"/>
        </w:rPr>
        <w:t>(i)EWS/LIG</w:t>
      </w:r>
      <w:r>
        <w:rPr>
          <w:spacing w:val="80"/>
          <w:sz w:val="24"/>
        </w:rPr>
        <w:t> </w:t>
      </w:r>
      <w:r>
        <w:rPr>
          <w:sz w:val="24"/>
        </w:rPr>
        <w:t>and/or(ii)MIG</w:t>
      </w:r>
      <w:r>
        <w:rPr>
          <w:spacing w:val="80"/>
          <w:sz w:val="24"/>
        </w:rPr>
        <w:t> </w:t>
      </w:r>
      <w:r>
        <w:rPr>
          <w:sz w:val="24"/>
        </w:rPr>
        <w:t>and/or</w:t>
      </w:r>
      <w:r>
        <w:rPr>
          <w:spacing w:val="80"/>
          <w:sz w:val="24"/>
        </w:rPr>
        <w:t> </w:t>
      </w:r>
      <w:r>
        <w:rPr>
          <w:sz w:val="24"/>
        </w:rPr>
        <w:t>(iii)</w:t>
      </w:r>
      <w:r>
        <w:rPr>
          <w:spacing w:val="80"/>
          <w:sz w:val="24"/>
        </w:rPr>
        <w:t> </w:t>
      </w:r>
      <w:r>
        <w:rPr>
          <w:sz w:val="24"/>
        </w:rPr>
        <w:t>HIG</w:t>
      </w:r>
      <w:r>
        <w:rPr>
          <w:spacing w:val="80"/>
          <w:sz w:val="24"/>
        </w:rPr>
        <w:t> </w:t>
      </w:r>
      <w:r>
        <w:rPr>
          <w:sz w:val="24"/>
        </w:rPr>
        <w:t>houses with</w:t>
      </w:r>
      <w:r>
        <w:rPr>
          <w:spacing w:val="40"/>
          <w:sz w:val="24"/>
        </w:rPr>
        <w:t> </w:t>
      </w:r>
      <w:r>
        <w:rPr>
          <w:sz w:val="24"/>
        </w:rPr>
        <w:t>carpet</w:t>
      </w:r>
      <w:r>
        <w:rPr>
          <w:spacing w:val="40"/>
          <w:sz w:val="24"/>
        </w:rPr>
        <w:t> </w:t>
      </w:r>
      <w:r>
        <w:rPr>
          <w:sz w:val="24"/>
        </w:rPr>
        <w:t>area</w:t>
      </w:r>
      <w:r>
        <w:rPr>
          <w:spacing w:val="40"/>
          <w:sz w:val="24"/>
        </w:rPr>
        <w:t> </w:t>
      </w:r>
      <w:r>
        <w:rPr>
          <w:sz w:val="24"/>
        </w:rPr>
        <w:t>less</w:t>
      </w:r>
      <w:r>
        <w:rPr>
          <w:spacing w:val="40"/>
          <w:sz w:val="24"/>
        </w:rPr>
        <w:t> </w:t>
      </w:r>
      <w:r>
        <w:rPr>
          <w:sz w:val="24"/>
        </w:rPr>
        <w:t>than</w:t>
      </w:r>
      <w:r>
        <w:rPr>
          <w:spacing w:val="40"/>
          <w:sz w:val="24"/>
        </w:rPr>
        <w:t> </w:t>
      </w:r>
      <w:r>
        <w:rPr>
          <w:sz w:val="24"/>
        </w:rPr>
        <w:t>the</w:t>
      </w:r>
      <w:r>
        <w:rPr>
          <w:spacing w:val="40"/>
          <w:sz w:val="24"/>
        </w:rPr>
        <w:t> </w:t>
      </w:r>
      <w:r>
        <w:rPr>
          <w:sz w:val="24"/>
        </w:rPr>
        <w:t>maximum</w:t>
      </w:r>
      <w:r>
        <w:rPr>
          <w:spacing w:val="40"/>
          <w:sz w:val="24"/>
        </w:rPr>
        <w:t> </w:t>
      </w:r>
      <w:r>
        <w:rPr>
          <w:sz w:val="24"/>
        </w:rPr>
        <w:t>carpet</w:t>
      </w:r>
      <w:r>
        <w:rPr>
          <w:spacing w:val="40"/>
          <w:sz w:val="24"/>
        </w:rPr>
        <w:t> </w:t>
      </w:r>
      <w:r>
        <w:rPr>
          <w:sz w:val="24"/>
        </w:rPr>
        <w:t>area</w:t>
      </w:r>
      <w:r>
        <w:rPr>
          <w:spacing w:val="40"/>
          <w:sz w:val="24"/>
        </w:rPr>
        <w:t> </w:t>
      </w:r>
      <w:r>
        <w:rPr>
          <w:spacing w:val="9"/>
          <w:sz w:val="24"/>
        </w:rPr>
        <w:t>prescribed </w:t>
      </w:r>
      <w:r>
        <w:rPr>
          <w:sz w:val="24"/>
        </w:rPr>
        <w:t>for</w:t>
      </w:r>
      <w:r>
        <w:rPr>
          <w:spacing w:val="40"/>
          <w:sz w:val="24"/>
        </w:rPr>
        <w:t> </w:t>
      </w:r>
      <w:r>
        <w:rPr>
          <w:sz w:val="24"/>
        </w:rPr>
        <w:t>MIG,</w:t>
      </w:r>
      <w:r>
        <w:rPr>
          <w:spacing w:val="40"/>
          <w:sz w:val="24"/>
        </w:rPr>
        <w:t> </w:t>
      </w:r>
      <w:r>
        <w:rPr>
          <w:sz w:val="24"/>
        </w:rPr>
        <w:t>the</w:t>
      </w:r>
      <w:r>
        <w:rPr>
          <w:spacing w:val="40"/>
          <w:sz w:val="24"/>
        </w:rPr>
        <w:t> </w:t>
      </w:r>
      <w:r>
        <w:rPr>
          <w:sz w:val="24"/>
        </w:rPr>
        <w:t>total</w:t>
      </w:r>
      <w:r>
        <w:rPr>
          <w:spacing w:val="40"/>
          <w:sz w:val="24"/>
        </w:rPr>
        <w:t> </w:t>
      </w:r>
      <w:r>
        <w:rPr>
          <w:sz w:val="24"/>
        </w:rPr>
        <w:t>permissible</w:t>
      </w:r>
      <w:r>
        <w:rPr>
          <w:spacing w:val="40"/>
          <w:sz w:val="24"/>
        </w:rPr>
        <w:t> </w:t>
      </w:r>
      <w:r>
        <w:rPr>
          <w:sz w:val="24"/>
        </w:rPr>
        <w:t>FSI</w:t>
      </w:r>
      <w:r>
        <w:rPr>
          <w:spacing w:val="40"/>
          <w:sz w:val="24"/>
        </w:rPr>
        <w:t> </w:t>
      </w:r>
      <w:r>
        <w:rPr>
          <w:sz w:val="24"/>
        </w:rPr>
        <w:t>shall</w:t>
      </w:r>
      <w:r>
        <w:rPr>
          <w:spacing w:val="40"/>
          <w:sz w:val="24"/>
        </w:rPr>
        <w:t> </w:t>
      </w:r>
      <w:r>
        <w:rPr>
          <w:sz w:val="24"/>
        </w:rPr>
        <w:t>be</w:t>
      </w:r>
      <w:r>
        <w:rPr>
          <w:spacing w:val="40"/>
          <w:sz w:val="24"/>
        </w:rPr>
        <w:t> </w:t>
      </w:r>
      <w:r>
        <w:rPr>
          <w:sz w:val="24"/>
        </w:rPr>
        <w:t>3.0</w:t>
      </w:r>
      <w:r>
        <w:rPr>
          <w:spacing w:val="40"/>
          <w:sz w:val="24"/>
        </w:rPr>
        <w:t> </w:t>
      </w:r>
      <w:r>
        <w:rPr>
          <w:sz w:val="24"/>
        </w:rPr>
        <w:t>on</w:t>
      </w:r>
      <w:r>
        <w:rPr>
          <w:spacing w:val="40"/>
          <w:sz w:val="24"/>
        </w:rPr>
        <w:t> </w:t>
      </w:r>
      <w:r>
        <w:rPr>
          <w:sz w:val="24"/>
        </w:rPr>
        <w:t>the</w:t>
      </w:r>
      <w:r>
        <w:rPr>
          <w:spacing w:val="40"/>
          <w:sz w:val="24"/>
        </w:rPr>
        <w:t> </w:t>
      </w:r>
      <w:r>
        <w:rPr>
          <w:sz w:val="24"/>
        </w:rPr>
        <w:t>gross</w:t>
      </w:r>
      <w:r>
        <w:rPr>
          <w:spacing w:val="40"/>
          <w:sz w:val="24"/>
        </w:rPr>
        <w:t> </w:t>
      </w:r>
      <w:r>
        <w:rPr>
          <w:sz w:val="24"/>
        </w:rPr>
        <w:t>plot area</w:t>
      </w:r>
      <w:r>
        <w:rPr>
          <w:spacing w:val="40"/>
          <w:sz w:val="24"/>
        </w:rPr>
        <w:t> </w:t>
      </w:r>
      <w:r>
        <w:rPr>
          <w:sz w:val="24"/>
        </w:rPr>
        <w:t>(exclusive</w:t>
      </w:r>
      <w:r>
        <w:rPr>
          <w:spacing w:val="40"/>
          <w:sz w:val="24"/>
        </w:rPr>
        <w:t> </w:t>
      </w:r>
      <w:r>
        <w:rPr>
          <w:sz w:val="24"/>
        </w:rPr>
        <w:t>of</w:t>
      </w:r>
      <w:r>
        <w:rPr>
          <w:spacing w:val="40"/>
          <w:sz w:val="24"/>
        </w:rPr>
        <w:t> </w:t>
      </w:r>
      <w:r>
        <w:rPr>
          <w:sz w:val="24"/>
        </w:rPr>
        <w:t>the</w:t>
      </w:r>
      <w:r>
        <w:rPr>
          <w:spacing w:val="40"/>
          <w:sz w:val="24"/>
        </w:rPr>
        <w:t> </w:t>
      </w:r>
      <w:r>
        <w:rPr>
          <w:sz w:val="24"/>
        </w:rPr>
        <w:t>Fungible</w:t>
      </w:r>
      <w:r>
        <w:rPr>
          <w:spacing w:val="80"/>
          <w:sz w:val="24"/>
        </w:rPr>
        <w:t> </w:t>
      </w:r>
      <w:r>
        <w:rPr>
          <w:sz w:val="24"/>
        </w:rPr>
        <w:t>Compensatory</w:t>
      </w:r>
      <w:r>
        <w:rPr>
          <w:spacing w:val="80"/>
          <w:sz w:val="24"/>
        </w:rPr>
        <w:t> </w:t>
      </w:r>
      <w:r>
        <w:rPr>
          <w:spacing w:val="9"/>
          <w:sz w:val="24"/>
        </w:rPr>
        <w:t>Area).</w:t>
      </w:r>
    </w:p>
    <w:p>
      <w:pPr>
        <w:pStyle w:val="BodyText"/>
        <w:spacing w:before="1"/>
        <w:ind w:left="2335" w:right="780" w:firstLine="86"/>
      </w:pPr>
      <w:r>
        <w:rPr/>
        <w:t>Provided</w:t>
      </w:r>
      <w:r>
        <w:rPr>
          <w:spacing w:val="73"/>
        </w:rPr>
        <w:t> </w:t>
      </w:r>
      <w:r>
        <w:rPr/>
        <w:t>that</w:t>
      </w:r>
      <w:r>
        <w:rPr>
          <w:spacing w:val="73"/>
        </w:rPr>
        <w:t> </w:t>
      </w:r>
      <w:r>
        <w:rPr/>
        <w:t>the</w:t>
      </w:r>
      <w:r>
        <w:rPr>
          <w:spacing w:val="80"/>
        </w:rPr>
        <w:t> </w:t>
      </w:r>
      <w:r>
        <w:rPr/>
        <w:t>Floor</w:t>
      </w:r>
      <w:r>
        <w:rPr>
          <w:spacing w:val="73"/>
        </w:rPr>
        <w:t> </w:t>
      </w:r>
      <w:r>
        <w:rPr/>
        <w:t>Space</w:t>
      </w:r>
      <w:r>
        <w:rPr>
          <w:spacing w:val="76"/>
        </w:rPr>
        <w:t> </w:t>
      </w:r>
      <w:r>
        <w:rPr/>
        <w:t>Indices</w:t>
      </w:r>
      <w:r>
        <w:rPr>
          <w:spacing w:val="73"/>
        </w:rPr>
        <w:t> </w:t>
      </w:r>
      <w:r>
        <w:rPr/>
        <w:t>above</w:t>
      </w:r>
      <w:r>
        <w:rPr>
          <w:spacing w:val="76"/>
        </w:rPr>
        <w:t> </w:t>
      </w:r>
      <w:r>
        <w:rPr/>
        <w:t>may</w:t>
      </w:r>
      <w:r>
        <w:rPr>
          <w:spacing w:val="76"/>
        </w:rPr>
        <w:t> </w:t>
      </w:r>
      <w:r>
        <w:rPr/>
        <w:t>be</w:t>
      </w:r>
      <w:r>
        <w:rPr>
          <w:spacing w:val="80"/>
        </w:rPr>
        <w:t> </w:t>
      </w:r>
      <w:r>
        <w:rPr/>
        <w:t>permitted to</w:t>
      </w:r>
      <w:r>
        <w:rPr>
          <w:spacing w:val="40"/>
        </w:rPr>
        <w:t> </w:t>
      </w:r>
      <w:r>
        <w:rPr/>
        <w:t>be</w:t>
      </w:r>
      <w:r>
        <w:rPr>
          <w:spacing w:val="40"/>
        </w:rPr>
        <w:t> </w:t>
      </w:r>
      <w:r>
        <w:rPr/>
        <w:t>exceeded</w:t>
      </w:r>
      <w:r>
        <w:rPr>
          <w:spacing w:val="40"/>
        </w:rPr>
        <w:t> </w:t>
      </w:r>
      <w:r>
        <w:rPr/>
        <w:t>up</w:t>
      </w:r>
      <w:r>
        <w:rPr>
          <w:spacing w:val="40"/>
        </w:rPr>
        <w:t> </w:t>
      </w:r>
      <w:r>
        <w:rPr/>
        <w:t>to</w:t>
      </w:r>
      <w:r>
        <w:rPr>
          <w:spacing w:val="40"/>
        </w:rPr>
        <w:t> </w:t>
      </w:r>
      <w:r>
        <w:rPr/>
        <w:t>4.00</w:t>
      </w:r>
      <w:r>
        <w:rPr>
          <w:spacing w:val="40"/>
        </w:rPr>
        <w:t> </w:t>
      </w:r>
      <w:r>
        <w:rPr/>
        <w:t>FSI</w:t>
      </w:r>
      <w:r>
        <w:rPr>
          <w:spacing w:val="40"/>
        </w:rPr>
        <w:t> </w:t>
      </w:r>
      <w:r>
        <w:rPr/>
        <w:t>in</w:t>
      </w:r>
      <w:r>
        <w:rPr>
          <w:spacing w:val="40"/>
        </w:rPr>
        <w:t> </w:t>
      </w:r>
      <w:r>
        <w:rPr/>
        <w:t>case</w:t>
      </w:r>
      <w:r>
        <w:rPr>
          <w:spacing w:val="40"/>
        </w:rPr>
        <w:t> </w:t>
      </w:r>
      <w:r>
        <w:rPr/>
        <w:t>of</w:t>
      </w:r>
      <w:r>
        <w:rPr>
          <w:spacing w:val="40"/>
        </w:rPr>
        <w:t> </w:t>
      </w:r>
      <w:r>
        <w:rPr/>
        <w:t>plots,</w:t>
      </w:r>
      <w:r>
        <w:rPr>
          <w:spacing w:val="40"/>
        </w:rPr>
        <w:t> </w:t>
      </w:r>
      <w:r>
        <w:rPr/>
        <w:t>having</w:t>
      </w:r>
      <w:r>
        <w:rPr>
          <w:spacing w:val="40"/>
        </w:rPr>
        <w:t> </w:t>
      </w:r>
      <w:r>
        <w:rPr/>
        <w:t>area</w:t>
      </w:r>
      <w:r>
        <w:rPr>
          <w:spacing w:val="40"/>
        </w:rPr>
        <w:t> </w:t>
      </w:r>
      <w:r>
        <w:rPr/>
        <w:t>of 4000</w:t>
      </w:r>
      <w:r>
        <w:rPr>
          <w:spacing w:val="40"/>
        </w:rPr>
        <w:t> </w:t>
      </w:r>
      <w:r>
        <w:rPr/>
        <w:t>sq.</w:t>
      </w:r>
      <w:r>
        <w:rPr>
          <w:spacing w:val="40"/>
        </w:rPr>
        <w:t> </w:t>
      </w:r>
      <w:r>
        <w:rPr/>
        <w:t>m</w:t>
      </w:r>
      <w:r>
        <w:rPr>
          <w:spacing w:val="40"/>
        </w:rPr>
        <w:t> </w:t>
      </w:r>
      <w:r>
        <w:rPr/>
        <w:t>or</w:t>
      </w:r>
      <w:r>
        <w:rPr>
          <w:spacing w:val="40"/>
        </w:rPr>
        <w:t> </w:t>
      </w:r>
      <w:r>
        <w:rPr/>
        <w:t>above</w:t>
      </w:r>
      <w:r>
        <w:rPr>
          <w:spacing w:val="40"/>
        </w:rPr>
        <w:t> </w:t>
      </w:r>
      <w:r>
        <w:rPr/>
        <w:t>which</w:t>
      </w:r>
      <w:r>
        <w:rPr>
          <w:spacing w:val="40"/>
        </w:rPr>
        <w:t> </w:t>
      </w:r>
      <w:r>
        <w:rPr/>
        <w:t>front</w:t>
      </w:r>
      <w:r>
        <w:rPr>
          <w:spacing w:val="40"/>
        </w:rPr>
        <w:t> </w:t>
      </w:r>
      <w:r>
        <w:rPr/>
        <w:t>on</w:t>
      </w:r>
      <w:r>
        <w:rPr>
          <w:spacing w:val="40"/>
        </w:rPr>
        <w:t> </w:t>
      </w:r>
      <w:r>
        <w:rPr/>
        <w:t>roads</w:t>
      </w:r>
      <w:r>
        <w:rPr>
          <w:spacing w:val="40"/>
        </w:rPr>
        <w:t> </w:t>
      </w:r>
      <w:r>
        <w:rPr/>
        <w:t>having</w:t>
      </w:r>
      <w:r>
        <w:rPr>
          <w:spacing w:val="40"/>
        </w:rPr>
        <w:t> </w:t>
      </w:r>
      <w:r>
        <w:rPr/>
        <w:t>width</w:t>
      </w:r>
      <w:r>
        <w:rPr>
          <w:spacing w:val="40"/>
        </w:rPr>
        <w:t> </w:t>
      </w:r>
      <w:r>
        <w:rPr/>
        <w:t>of</w:t>
      </w:r>
      <w:r>
        <w:rPr>
          <w:spacing w:val="40"/>
        </w:rPr>
        <w:t> </w:t>
      </w:r>
      <w:r>
        <w:rPr/>
        <w:t>18.00 m or more.</w:t>
      </w:r>
    </w:p>
    <w:p>
      <w:pPr>
        <w:pStyle w:val="BodyText"/>
        <w:jc w:val="left"/>
      </w:pPr>
    </w:p>
    <w:p>
      <w:pPr>
        <w:pStyle w:val="ListParagraph"/>
        <w:numPr>
          <w:ilvl w:val="2"/>
          <w:numId w:val="141"/>
        </w:numPr>
        <w:tabs>
          <w:tab w:pos="2932" w:val="left" w:leader="none"/>
        </w:tabs>
        <w:spacing w:line="240" w:lineRule="auto" w:before="0" w:after="0"/>
        <w:ind w:left="2335" w:right="775" w:firstLine="0"/>
        <w:jc w:val="both"/>
        <w:rPr>
          <w:sz w:val="24"/>
        </w:rPr>
      </w:pPr>
      <w:r>
        <w:rPr>
          <w:sz w:val="24"/>
        </w:rPr>
        <w:t>Where</w:t>
      </w:r>
      <w:r>
        <w:rPr>
          <w:spacing w:val="40"/>
          <w:sz w:val="24"/>
        </w:rPr>
        <w:t> </w:t>
      </w:r>
      <w:r>
        <w:rPr>
          <w:sz w:val="24"/>
        </w:rPr>
        <w:t>redevelopment</w:t>
      </w:r>
      <w:r>
        <w:rPr>
          <w:spacing w:val="40"/>
          <w:sz w:val="24"/>
        </w:rPr>
        <w:t> </w:t>
      </w:r>
      <w:r>
        <w:rPr>
          <w:sz w:val="24"/>
        </w:rPr>
        <w:t>of</w:t>
      </w:r>
      <w:r>
        <w:rPr>
          <w:spacing w:val="40"/>
          <w:sz w:val="24"/>
        </w:rPr>
        <w:t> </w:t>
      </w:r>
      <w:r>
        <w:rPr>
          <w:sz w:val="24"/>
        </w:rPr>
        <w:t>buildings</w:t>
      </w:r>
      <w:r>
        <w:rPr>
          <w:spacing w:val="40"/>
          <w:sz w:val="24"/>
        </w:rPr>
        <w:t> </w:t>
      </w:r>
      <w:r>
        <w:rPr>
          <w:sz w:val="24"/>
        </w:rPr>
        <w:t>in</w:t>
      </w:r>
      <w:r>
        <w:rPr>
          <w:spacing w:val="40"/>
          <w:sz w:val="24"/>
        </w:rPr>
        <w:t> </w:t>
      </w:r>
      <w:r>
        <w:rPr>
          <w:sz w:val="24"/>
        </w:rPr>
        <w:t>existing</w:t>
      </w:r>
      <w:r>
        <w:rPr>
          <w:spacing w:val="40"/>
          <w:sz w:val="24"/>
        </w:rPr>
        <w:t> </w:t>
      </w:r>
      <w:r>
        <w:rPr>
          <w:sz w:val="24"/>
        </w:rPr>
        <w:t>housing schemes of MHADA is undertaken by the housing </w:t>
      </w:r>
      <w:r>
        <w:rPr>
          <w:spacing w:val="13"/>
          <w:sz w:val="24"/>
        </w:rPr>
        <w:t>co-</w:t>
      </w:r>
      <w:r>
        <w:rPr>
          <w:sz w:val="24"/>
        </w:rPr>
        <w:t>operative societies or the occupiers of such buildings or by the lessees of MHADA, the Rehabilitation Area Entitlement, Incentive FSI and sharing</w:t>
      </w:r>
      <w:r>
        <w:rPr>
          <w:spacing w:val="40"/>
          <w:sz w:val="24"/>
        </w:rPr>
        <w:t> </w:t>
      </w:r>
      <w:r>
        <w:rPr>
          <w:sz w:val="24"/>
        </w:rPr>
        <w:t>of</w:t>
      </w:r>
      <w:r>
        <w:rPr>
          <w:spacing w:val="40"/>
          <w:sz w:val="24"/>
        </w:rPr>
        <w:t> </w:t>
      </w:r>
      <w:r>
        <w:rPr>
          <w:sz w:val="24"/>
        </w:rPr>
        <w:t>balance</w:t>
      </w:r>
      <w:r>
        <w:rPr>
          <w:spacing w:val="40"/>
          <w:sz w:val="24"/>
        </w:rPr>
        <w:t> </w:t>
      </w:r>
      <w:r>
        <w:rPr>
          <w:sz w:val="24"/>
        </w:rPr>
        <w:t>FSI</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follows:-</w:t>
      </w:r>
    </w:p>
    <w:p>
      <w:pPr>
        <w:pStyle w:val="ListParagraph"/>
        <w:numPr>
          <w:ilvl w:val="0"/>
          <w:numId w:val="142"/>
        </w:numPr>
        <w:tabs>
          <w:tab w:pos="2674" w:val="left" w:leader="none"/>
        </w:tabs>
        <w:spacing w:line="281" w:lineRule="exact" w:before="1" w:after="0"/>
        <w:ind w:left="2674" w:right="0" w:hanging="339"/>
        <w:jc w:val="both"/>
        <w:rPr>
          <w:sz w:val="24"/>
        </w:rPr>
      </w:pPr>
      <w:r>
        <w:rPr>
          <w:sz w:val="24"/>
        </w:rPr>
        <w:t>Rehabilitation</w:t>
      </w:r>
      <w:r>
        <w:rPr>
          <w:spacing w:val="55"/>
          <w:w w:val="150"/>
          <w:sz w:val="24"/>
        </w:rPr>
        <w:t> </w:t>
      </w:r>
      <w:r>
        <w:rPr>
          <w:sz w:val="24"/>
        </w:rPr>
        <w:t>Area</w:t>
      </w:r>
      <w:r>
        <w:rPr>
          <w:spacing w:val="56"/>
          <w:w w:val="150"/>
          <w:sz w:val="24"/>
        </w:rPr>
        <w:t> </w:t>
      </w:r>
      <w:r>
        <w:rPr>
          <w:spacing w:val="7"/>
          <w:sz w:val="24"/>
        </w:rPr>
        <w:t>Entitlement:</w:t>
      </w:r>
    </w:p>
    <w:p>
      <w:pPr>
        <w:pStyle w:val="ListParagraph"/>
        <w:numPr>
          <w:ilvl w:val="1"/>
          <w:numId w:val="142"/>
        </w:numPr>
        <w:tabs>
          <w:tab w:pos="2727" w:val="left" w:leader="none"/>
        </w:tabs>
        <w:spacing w:line="240" w:lineRule="auto" w:before="0" w:after="0"/>
        <w:ind w:left="2335" w:right="792" w:firstLine="0"/>
        <w:jc w:val="both"/>
        <w:rPr>
          <w:sz w:val="24"/>
        </w:rPr>
      </w:pPr>
      <w:r>
        <w:rPr>
          <w:sz w:val="24"/>
        </w:rPr>
        <w:t>Under</w:t>
      </w:r>
      <w:r>
        <w:rPr>
          <w:spacing w:val="40"/>
          <w:sz w:val="24"/>
        </w:rPr>
        <w:t> </w:t>
      </w:r>
      <w:r>
        <w:rPr>
          <w:sz w:val="24"/>
        </w:rPr>
        <w:t>redevelopment</w:t>
      </w:r>
      <w:r>
        <w:rPr>
          <w:spacing w:val="40"/>
          <w:sz w:val="24"/>
        </w:rPr>
        <w:t> </w:t>
      </w:r>
      <w:r>
        <w:rPr>
          <w:sz w:val="24"/>
        </w:rPr>
        <w:t>of</w:t>
      </w:r>
      <w:r>
        <w:rPr>
          <w:spacing w:val="40"/>
          <w:sz w:val="24"/>
        </w:rPr>
        <w:t> </w:t>
      </w:r>
      <w:r>
        <w:rPr>
          <w:sz w:val="24"/>
        </w:rPr>
        <w:t>buildings</w:t>
      </w:r>
      <w:r>
        <w:rPr>
          <w:spacing w:val="40"/>
          <w:sz w:val="24"/>
        </w:rPr>
        <w:t> </w:t>
      </w:r>
      <w:r>
        <w:rPr>
          <w:sz w:val="24"/>
        </w:rPr>
        <w:t>in</w:t>
      </w:r>
      <w:r>
        <w:rPr>
          <w:spacing w:val="40"/>
          <w:sz w:val="24"/>
        </w:rPr>
        <w:t> </w:t>
      </w:r>
      <w:r>
        <w:rPr>
          <w:sz w:val="24"/>
        </w:rPr>
        <w:t>existing</w:t>
      </w:r>
      <w:r>
        <w:rPr>
          <w:spacing w:val="40"/>
          <w:sz w:val="24"/>
        </w:rPr>
        <w:t> </w:t>
      </w:r>
      <w:r>
        <w:rPr>
          <w:sz w:val="24"/>
        </w:rPr>
        <w:t>Housing</w:t>
      </w:r>
      <w:r>
        <w:rPr>
          <w:spacing w:val="80"/>
          <w:sz w:val="24"/>
        </w:rPr>
        <w:t> </w:t>
      </w:r>
      <w:r>
        <w:rPr>
          <w:sz w:val="24"/>
        </w:rPr>
        <w:t>Schemes of MHADA, the entitlement of rehabilitation area for an existing</w:t>
      </w:r>
      <w:r>
        <w:rPr>
          <w:spacing w:val="80"/>
          <w:sz w:val="24"/>
        </w:rPr>
        <w:t> </w:t>
      </w:r>
      <w:r>
        <w:rPr>
          <w:sz w:val="24"/>
        </w:rPr>
        <w:t>residential</w:t>
      </w:r>
      <w:r>
        <w:rPr>
          <w:spacing w:val="80"/>
          <w:sz w:val="24"/>
        </w:rPr>
        <w:t> </w:t>
      </w:r>
      <w:r>
        <w:rPr>
          <w:sz w:val="24"/>
        </w:rPr>
        <w:t>tenement</w:t>
      </w:r>
      <w:r>
        <w:rPr>
          <w:spacing w:val="40"/>
          <w:sz w:val="24"/>
        </w:rPr>
        <w:t> </w:t>
      </w:r>
      <w:r>
        <w:rPr>
          <w:sz w:val="24"/>
        </w:rPr>
        <w:t>shall</w:t>
      </w:r>
      <w:r>
        <w:rPr>
          <w:spacing w:val="40"/>
          <w:sz w:val="24"/>
        </w:rPr>
        <w:t> </w:t>
      </w:r>
      <w:r>
        <w:rPr>
          <w:sz w:val="24"/>
        </w:rPr>
        <w:t>be</w:t>
      </w:r>
      <w:r>
        <w:rPr>
          <w:spacing w:val="80"/>
          <w:sz w:val="24"/>
        </w:rPr>
        <w:t> </w:t>
      </w:r>
      <w:r>
        <w:rPr>
          <w:sz w:val="24"/>
        </w:rPr>
        <w:t>equal</w:t>
      </w:r>
      <w:r>
        <w:rPr>
          <w:spacing w:val="40"/>
          <w:sz w:val="24"/>
        </w:rPr>
        <w:t> </w:t>
      </w:r>
      <w:r>
        <w:rPr>
          <w:sz w:val="24"/>
        </w:rPr>
        <w:t>to</w:t>
      </w:r>
      <w:r>
        <w:rPr>
          <w:spacing w:val="80"/>
          <w:sz w:val="24"/>
        </w:rPr>
        <w:t> </w:t>
      </w:r>
      <w:r>
        <w:rPr>
          <w:sz w:val="24"/>
        </w:rPr>
        <w:t>sum</w:t>
      </w:r>
      <w:r>
        <w:rPr>
          <w:spacing w:val="40"/>
          <w:sz w:val="24"/>
        </w:rPr>
        <w:t> </w:t>
      </w:r>
      <w:r>
        <w:rPr>
          <w:sz w:val="24"/>
        </w:rPr>
        <w:t>total</w:t>
      </w:r>
      <w:r>
        <w:rPr>
          <w:spacing w:val="80"/>
          <w:sz w:val="24"/>
        </w:rPr>
        <w:t> </w:t>
      </w:r>
      <w:r>
        <w:rPr>
          <w:sz w:val="24"/>
        </w:rPr>
        <w:t>of</w:t>
      </w:r>
    </w:p>
    <w:p>
      <w:pPr>
        <w:pStyle w:val="ListParagraph"/>
        <w:numPr>
          <w:ilvl w:val="2"/>
          <w:numId w:val="142"/>
        </w:numPr>
        <w:tabs>
          <w:tab w:pos="2800" w:val="left" w:leader="none"/>
        </w:tabs>
        <w:spacing w:line="240" w:lineRule="auto" w:before="2" w:after="0"/>
        <w:ind w:left="2335" w:right="773" w:firstLine="0"/>
        <w:jc w:val="both"/>
        <w:rPr>
          <w:sz w:val="24"/>
        </w:rPr>
      </w:pPr>
      <w:r>
        <w:rPr>
          <w:sz w:val="24"/>
        </w:rPr>
        <w:t>a</w:t>
      </w:r>
      <w:r>
        <w:rPr>
          <w:spacing w:val="40"/>
          <w:sz w:val="24"/>
        </w:rPr>
        <w:t> </w:t>
      </w:r>
      <w:r>
        <w:rPr>
          <w:sz w:val="24"/>
        </w:rPr>
        <w:t>basic</w:t>
      </w:r>
      <w:r>
        <w:rPr>
          <w:spacing w:val="40"/>
          <w:sz w:val="24"/>
        </w:rPr>
        <w:t> </w:t>
      </w:r>
      <w:r>
        <w:rPr>
          <w:sz w:val="24"/>
        </w:rPr>
        <w:t>entitlement</w:t>
      </w:r>
      <w:r>
        <w:rPr>
          <w:spacing w:val="40"/>
          <w:sz w:val="24"/>
        </w:rPr>
        <w:t> </w:t>
      </w:r>
      <w:r>
        <w:rPr>
          <w:sz w:val="24"/>
        </w:rPr>
        <w:t>equivalent</w:t>
      </w:r>
      <w:r>
        <w:rPr>
          <w:spacing w:val="40"/>
          <w:sz w:val="24"/>
        </w:rPr>
        <w:t> </w:t>
      </w:r>
      <w:r>
        <w:rPr>
          <w:sz w:val="24"/>
        </w:rPr>
        <w:t>to</w:t>
      </w:r>
      <w:r>
        <w:rPr>
          <w:spacing w:val="40"/>
          <w:sz w:val="24"/>
        </w:rPr>
        <w:t> </w:t>
      </w:r>
      <w:r>
        <w:rPr>
          <w:sz w:val="24"/>
        </w:rPr>
        <w:t>the</w:t>
      </w:r>
      <w:r>
        <w:rPr>
          <w:spacing w:val="40"/>
          <w:sz w:val="24"/>
        </w:rPr>
        <w:t> </w:t>
      </w:r>
      <w:r>
        <w:rPr>
          <w:sz w:val="24"/>
        </w:rPr>
        <w:t>carpet</w:t>
      </w:r>
      <w:r>
        <w:rPr>
          <w:spacing w:val="40"/>
          <w:sz w:val="24"/>
        </w:rPr>
        <w:t> </w:t>
      </w:r>
      <w:r>
        <w:rPr>
          <w:sz w:val="24"/>
        </w:rPr>
        <w:t>area</w:t>
      </w:r>
      <w:r>
        <w:rPr>
          <w:spacing w:val="40"/>
          <w:sz w:val="24"/>
        </w:rPr>
        <w:t> </w:t>
      </w:r>
      <w:r>
        <w:rPr>
          <w:sz w:val="24"/>
        </w:rPr>
        <w:t>of</w:t>
      </w:r>
      <w:r>
        <w:rPr>
          <w:spacing w:val="40"/>
          <w:sz w:val="24"/>
        </w:rPr>
        <w:t> </w:t>
      </w:r>
      <w:r>
        <w:rPr>
          <w:sz w:val="24"/>
        </w:rPr>
        <w:t>the existing</w:t>
      </w:r>
      <w:r>
        <w:rPr>
          <w:spacing w:val="40"/>
          <w:sz w:val="24"/>
        </w:rPr>
        <w:t> </w:t>
      </w:r>
      <w:r>
        <w:rPr>
          <w:sz w:val="24"/>
        </w:rPr>
        <w:t>tenement</w:t>
      </w:r>
      <w:r>
        <w:rPr>
          <w:spacing w:val="40"/>
          <w:sz w:val="24"/>
        </w:rPr>
        <w:t> </w:t>
      </w:r>
      <w:r>
        <w:rPr>
          <w:sz w:val="24"/>
        </w:rPr>
        <w:t>plus</w:t>
      </w:r>
      <w:r>
        <w:rPr>
          <w:spacing w:val="40"/>
          <w:sz w:val="24"/>
        </w:rPr>
        <w:t> </w:t>
      </w:r>
      <w:r>
        <w:rPr>
          <w:sz w:val="24"/>
        </w:rPr>
        <w:t>35%</w:t>
      </w:r>
      <w:r>
        <w:rPr>
          <w:spacing w:val="40"/>
          <w:sz w:val="24"/>
        </w:rPr>
        <w:t> </w:t>
      </w:r>
      <w:r>
        <w:rPr>
          <w:sz w:val="24"/>
        </w:rPr>
        <w:t>thereof,</w:t>
      </w:r>
      <w:r>
        <w:rPr>
          <w:spacing w:val="40"/>
          <w:sz w:val="24"/>
        </w:rPr>
        <w:t> </w:t>
      </w:r>
      <w:r>
        <w:rPr>
          <w:sz w:val="24"/>
        </w:rPr>
        <w:t>subject</w:t>
      </w:r>
      <w:r>
        <w:rPr>
          <w:spacing w:val="40"/>
          <w:sz w:val="24"/>
        </w:rPr>
        <w:t> </w:t>
      </w:r>
      <w:r>
        <w:rPr>
          <w:sz w:val="24"/>
        </w:rPr>
        <w:t>to</w:t>
      </w:r>
      <w:r>
        <w:rPr>
          <w:spacing w:val="40"/>
          <w:sz w:val="24"/>
        </w:rPr>
        <w:t> </w:t>
      </w:r>
      <w:r>
        <w:rPr>
          <w:sz w:val="24"/>
        </w:rPr>
        <w:t>a</w:t>
      </w:r>
      <w:r>
        <w:rPr>
          <w:spacing w:val="40"/>
          <w:sz w:val="24"/>
        </w:rPr>
        <w:t> </w:t>
      </w:r>
      <w:r>
        <w:rPr>
          <w:spacing w:val="9"/>
          <w:sz w:val="24"/>
        </w:rPr>
        <w:t>minimum</w:t>
      </w:r>
      <w:r>
        <w:rPr>
          <w:spacing w:val="40"/>
          <w:sz w:val="24"/>
        </w:rPr>
        <w:t> </w:t>
      </w:r>
      <w:r>
        <w:rPr>
          <w:sz w:val="24"/>
        </w:rPr>
        <w:t>carpet</w:t>
      </w:r>
      <w:r>
        <w:rPr>
          <w:spacing w:val="40"/>
          <w:sz w:val="24"/>
        </w:rPr>
        <w:t> </w:t>
      </w:r>
      <w:r>
        <w:rPr>
          <w:sz w:val="24"/>
        </w:rPr>
        <w:t>area</w:t>
      </w:r>
      <w:r>
        <w:rPr>
          <w:spacing w:val="40"/>
          <w:sz w:val="24"/>
        </w:rPr>
        <w:t> </w:t>
      </w:r>
      <w:r>
        <w:rPr>
          <w:sz w:val="24"/>
        </w:rPr>
        <w:t>of35</w:t>
      </w:r>
      <w:r>
        <w:rPr>
          <w:spacing w:val="40"/>
          <w:sz w:val="24"/>
        </w:rPr>
        <w:t> </w:t>
      </w:r>
      <w:r>
        <w:rPr>
          <w:sz w:val="24"/>
        </w:rPr>
        <w:t>sq.</w:t>
      </w:r>
      <w:r>
        <w:rPr>
          <w:spacing w:val="40"/>
          <w:sz w:val="24"/>
        </w:rPr>
        <w:t> </w:t>
      </w:r>
      <w:r>
        <w:rPr>
          <w:sz w:val="24"/>
        </w:rPr>
        <w:t>m,</w:t>
      </w:r>
      <w:r>
        <w:rPr>
          <w:spacing w:val="40"/>
          <w:sz w:val="24"/>
        </w:rPr>
        <w:t> </w:t>
      </w:r>
      <w:r>
        <w:rPr>
          <w:sz w:val="24"/>
        </w:rPr>
        <w:t>and</w:t>
      </w:r>
    </w:p>
    <w:p>
      <w:pPr>
        <w:pStyle w:val="ListParagraph"/>
        <w:numPr>
          <w:ilvl w:val="2"/>
          <w:numId w:val="142"/>
        </w:numPr>
        <w:tabs>
          <w:tab w:pos="2774" w:val="left" w:leader="none"/>
        </w:tabs>
        <w:spacing w:line="240" w:lineRule="auto" w:before="0" w:after="0"/>
        <w:ind w:left="2335" w:right="794" w:firstLine="0"/>
        <w:jc w:val="both"/>
        <w:rPr>
          <w:sz w:val="24"/>
        </w:rPr>
      </w:pPr>
      <w:r>
        <w:rPr>
          <w:sz w:val="24"/>
        </w:rPr>
        <w:t>an</w:t>
      </w:r>
      <w:r>
        <w:rPr>
          <w:spacing w:val="40"/>
          <w:sz w:val="24"/>
        </w:rPr>
        <w:t> </w:t>
      </w:r>
      <w:r>
        <w:rPr>
          <w:sz w:val="24"/>
        </w:rPr>
        <w:t>additional</w:t>
      </w:r>
      <w:r>
        <w:rPr>
          <w:spacing w:val="40"/>
          <w:sz w:val="24"/>
        </w:rPr>
        <w:t> </w:t>
      </w:r>
      <w:r>
        <w:rPr>
          <w:sz w:val="24"/>
        </w:rPr>
        <w:t>entitlement,</w:t>
      </w:r>
      <w:r>
        <w:rPr>
          <w:spacing w:val="40"/>
          <w:sz w:val="24"/>
        </w:rPr>
        <w:t> </w:t>
      </w:r>
      <w:r>
        <w:rPr>
          <w:sz w:val="24"/>
        </w:rPr>
        <w:t>governed</w:t>
      </w:r>
      <w:r>
        <w:rPr>
          <w:spacing w:val="40"/>
          <w:sz w:val="24"/>
        </w:rPr>
        <w:t> </w:t>
      </w:r>
      <w:r>
        <w:rPr>
          <w:sz w:val="24"/>
        </w:rPr>
        <w:t>by</w:t>
      </w:r>
      <w:r>
        <w:rPr>
          <w:spacing w:val="40"/>
          <w:sz w:val="24"/>
        </w:rPr>
        <w:t> </w:t>
      </w:r>
      <w:r>
        <w:rPr>
          <w:sz w:val="24"/>
        </w:rPr>
        <w:t>the</w:t>
      </w:r>
      <w:r>
        <w:rPr>
          <w:spacing w:val="40"/>
          <w:sz w:val="24"/>
        </w:rPr>
        <w:t> </w:t>
      </w:r>
      <w:r>
        <w:rPr>
          <w:sz w:val="24"/>
        </w:rPr>
        <w:t>size</w:t>
      </w:r>
      <w:r>
        <w:rPr>
          <w:spacing w:val="40"/>
          <w:sz w:val="24"/>
        </w:rPr>
        <w:t> </w:t>
      </w:r>
      <w:r>
        <w:rPr>
          <w:sz w:val="24"/>
        </w:rPr>
        <w:t>of</w:t>
      </w:r>
      <w:r>
        <w:rPr>
          <w:spacing w:val="40"/>
          <w:sz w:val="24"/>
        </w:rPr>
        <w:t> </w:t>
      </w:r>
      <w:r>
        <w:rPr>
          <w:sz w:val="24"/>
        </w:rPr>
        <w:t>the</w:t>
      </w:r>
      <w:r>
        <w:rPr>
          <w:spacing w:val="40"/>
          <w:sz w:val="24"/>
        </w:rPr>
        <w:t> </w:t>
      </w:r>
      <w:r>
        <w:rPr>
          <w:sz w:val="24"/>
        </w:rPr>
        <w:t>plot under</w:t>
      </w:r>
      <w:r>
        <w:rPr>
          <w:spacing w:val="40"/>
          <w:sz w:val="24"/>
        </w:rPr>
        <w:t> </w:t>
      </w:r>
      <w:r>
        <w:rPr>
          <w:sz w:val="24"/>
        </w:rPr>
        <w:t>redevelopment,</w:t>
      </w:r>
      <w:r>
        <w:rPr>
          <w:spacing w:val="40"/>
          <w:sz w:val="24"/>
        </w:rPr>
        <w:t> </w:t>
      </w:r>
      <w:r>
        <w:rPr>
          <w:sz w:val="24"/>
        </w:rPr>
        <w:t>in</w:t>
      </w:r>
      <w:r>
        <w:rPr>
          <w:spacing w:val="40"/>
          <w:sz w:val="24"/>
        </w:rPr>
        <w:t> </w:t>
      </w:r>
      <w:r>
        <w:rPr>
          <w:sz w:val="24"/>
        </w:rPr>
        <w:t>accordance</w:t>
      </w:r>
      <w:r>
        <w:rPr>
          <w:spacing w:val="40"/>
          <w:sz w:val="24"/>
        </w:rPr>
        <w:t> </w:t>
      </w:r>
      <w:r>
        <w:rPr>
          <w:sz w:val="24"/>
        </w:rPr>
        <w:t>with</w:t>
      </w:r>
      <w:r>
        <w:rPr>
          <w:spacing w:val="40"/>
          <w:sz w:val="24"/>
        </w:rPr>
        <w:t> </w:t>
      </w:r>
      <w:r>
        <w:rPr>
          <w:sz w:val="24"/>
        </w:rPr>
        <w:t>the</w:t>
      </w:r>
      <w:r>
        <w:rPr>
          <w:spacing w:val="40"/>
          <w:sz w:val="24"/>
        </w:rPr>
        <w:t> </w:t>
      </w:r>
      <w:r>
        <w:rPr>
          <w:spacing w:val="10"/>
          <w:sz w:val="24"/>
        </w:rPr>
        <w:t>Table-</w:t>
      </w:r>
      <w:r>
        <w:rPr>
          <w:sz w:val="24"/>
        </w:rPr>
        <w:t>A</w:t>
      </w:r>
      <w:r>
        <w:rPr>
          <w:spacing w:val="40"/>
          <w:sz w:val="24"/>
        </w:rPr>
        <w:t> </w:t>
      </w:r>
      <w:r>
        <w:rPr>
          <w:sz w:val="24"/>
        </w:rPr>
        <w:t>below:</w:t>
      </w:r>
      <w:r>
        <w:rPr>
          <w:spacing w:val="40"/>
          <w:sz w:val="24"/>
        </w:rPr>
        <w:t> </w:t>
      </w:r>
      <w:r>
        <w:rPr>
          <w:sz w:val="24"/>
        </w:rPr>
        <w:t>-</w:t>
      </w:r>
    </w:p>
    <w:p>
      <w:pPr>
        <w:pStyle w:val="BodyText"/>
        <w:spacing w:before="280"/>
        <w:jc w:val="left"/>
      </w:pPr>
    </w:p>
    <w:p>
      <w:pPr>
        <w:pStyle w:val="BodyText"/>
        <w:spacing w:after="2"/>
        <w:ind w:left="2335"/>
        <w:jc w:val="left"/>
      </w:pPr>
      <w:r>
        <w:rPr/>
        <w:t>Table-</w:t>
      </w:r>
      <w:r>
        <w:rPr>
          <w:spacing w:val="-10"/>
        </w:rPr>
        <w:t>A</w:t>
      </w:r>
    </w:p>
    <w:tbl>
      <w:tblPr>
        <w:tblW w:w="0" w:type="auto"/>
        <w:jc w:val="left"/>
        <w:tblInd w:w="2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8"/>
        <w:gridCol w:w="4678"/>
      </w:tblGrid>
      <w:tr>
        <w:trPr>
          <w:trHeight w:val="619" w:hRule="atLeast"/>
        </w:trPr>
        <w:tc>
          <w:tcPr>
            <w:tcW w:w="3118" w:type="dxa"/>
            <w:shd w:val="clear" w:color="auto" w:fill="EDEBE0"/>
          </w:tcPr>
          <w:p>
            <w:pPr>
              <w:pStyle w:val="TableParagraph"/>
              <w:ind w:left="4"/>
              <w:rPr>
                <w:sz w:val="24"/>
              </w:rPr>
            </w:pPr>
            <w:r>
              <w:rPr>
                <w:sz w:val="24"/>
              </w:rPr>
              <w:t>Area</w:t>
            </w:r>
            <w:r>
              <w:rPr>
                <w:spacing w:val="80"/>
                <w:sz w:val="24"/>
              </w:rPr>
              <w:t> </w:t>
            </w:r>
            <w:r>
              <w:rPr>
                <w:sz w:val="24"/>
              </w:rPr>
              <w:t>of</w:t>
            </w:r>
            <w:r>
              <w:rPr>
                <w:spacing w:val="80"/>
                <w:sz w:val="24"/>
              </w:rPr>
              <w:t> </w:t>
            </w:r>
            <w:r>
              <w:rPr>
                <w:sz w:val="24"/>
              </w:rPr>
              <w:t>the</w:t>
            </w:r>
            <w:r>
              <w:rPr>
                <w:spacing w:val="80"/>
                <w:sz w:val="24"/>
              </w:rPr>
              <w:t> </w:t>
            </w:r>
            <w:r>
              <w:rPr>
                <w:sz w:val="24"/>
              </w:rPr>
              <w:t>Plot</w:t>
            </w:r>
            <w:r>
              <w:rPr>
                <w:spacing w:val="80"/>
                <w:sz w:val="24"/>
              </w:rPr>
              <w:t> </w:t>
            </w:r>
            <w:r>
              <w:rPr>
                <w:sz w:val="24"/>
              </w:rPr>
              <w:t>under </w:t>
            </w:r>
            <w:r>
              <w:rPr>
                <w:spacing w:val="7"/>
                <w:sz w:val="24"/>
              </w:rPr>
              <w:t>Redevelopment</w:t>
            </w:r>
          </w:p>
        </w:tc>
        <w:tc>
          <w:tcPr>
            <w:tcW w:w="4678" w:type="dxa"/>
            <w:shd w:val="clear" w:color="auto" w:fill="EDEBE0"/>
          </w:tcPr>
          <w:p>
            <w:pPr>
              <w:pStyle w:val="TableParagraph"/>
              <w:tabs>
                <w:tab w:pos="1609" w:val="left" w:leader="none"/>
                <w:tab w:pos="2765" w:val="left" w:leader="none"/>
                <w:tab w:pos="3643" w:val="left" w:leader="none"/>
                <w:tab w:pos="4265" w:val="left" w:leader="none"/>
              </w:tabs>
              <w:ind w:left="4" w:right="-15"/>
              <w:rPr>
                <w:sz w:val="24"/>
              </w:rPr>
            </w:pPr>
            <w:r>
              <w:rPr>
                <w:spacing w:val="-2"/>
                <w:sz w:val="24"/>
              </w:rPr>
              <w:t>Additional</w:t>
            </w:r>
            <w:r>
              <w:rPr>
                <w:sz w:val="24"/>
              </w:rPr>
              <w:tab/>
            </w:r>
            <w:r>
              <w:rPr>
                <w:spacing w:val="-2"/>
                <w:sz w:val="24"/>
              </w:rPr>
              <w:t>Carpet</w:t>
            </w:r>
            <w:r>
              <w:rPr>
                <w:sz w:val="24"/>
              </w:rPr>
              <w:tab/>
            </w:r>
            <w:r>
              <w:rPr>
                <w:spacing w:val="-4"/>
                <w:sz w:val="24"/>
              </w:rPr>
              <w:t>Area</w:t>
            </w:r>
            <w:r>
              <w:rPr>
                <w:sz w:val="24"/>
              </w:rPr>
              <w:tab/>
            </w:r>
            <w:r>
              <w:rPr>
                <w:spacing w:val="-6"/>
                <w:sz w:val="24"/>
              </w:rPr>
              <w:t>on</w:t>
            </w:r>
            <w:r>
              <w:rPr>
                <w:sz w:val="24"/>
              </w:rPr>
              <w:tab/>
            </w:r>
            <w:r>
              <w:rPr>
                <w:spacing w:val="-4"/>
                <w:sz w:val="24"/>
              </w:rPr>
              <w:t>the </w:t>
            </w:r>
            <w:r>
              <w:rPr>
                <w:sz w:val="24"/>
              </w:rPr>
              <w:t>Existing</w:t>
            </w:r>
            <w:r>
              <w:rPr>
                <w:spacing w:val="40"/>
                <w:sz w:val="24"/>
              </w:rPr>
              <w:t> </w:t>
            </w:r>
            <w:r>
              <w:rPr>
                <w:sz w:val="24"/>
              </w:rPr>
              <w:t>Carpet</w:t>
            </w:r>
            <w:r>
              <w:rPr>
                <w:spacing w:val="40"/>
                <w:sz w:val="24"/>
              </w:rPr>
              <w:t> </w:t>
            </w:r>
            <w:r>
              <w:rPr>
                <w:sz w:val="24"/>
              </w:rPr>
              <w:t>Area</w:t>
            </w:r>
            <w:r>
              <w:rPr>
                <w:spacing w:val="40"/>
                <w:sz w:val="24"/>
              </w:rPr>
              <w:t> </w:t>
            </w:r>
            <w:r>
              <w:rPr>
                <w:sz w:val="24"/>
              </w:rPr>
              <w:t>of</w:t>
            </w:r>
            <w:r>
              <w:rPr>
                <w:spacing w:val="40"/>
                <w:sz w:val="24"/>
              </w:rPr>
              <w:t> </w:t>
            </w:r>
            <w:r>
              <w:rPr>
                <w:sz w:val="24"/>
              </w:rPr>
              <w:t>Tenement</w:t>
            </w:r>
          </w:p>
        </w:tc>
      </w:tr>
      <w:tr>
        <w:trPr>
          <w:trHeight w:val="306" w:hRule="atLeast"/>
        </w:trPr>
        <w:tc>
          <w:tcPr>
            <w:tcW w:w="3118" w:type="dxa"/>
          </w:tcPr>
          <w:p>
            <w:pPr>
              <w:pStyle w:val="TableParagraph"/>
              <w:spacing w:line="281" w:lineRule="exact"/>
              <w:ind w:left="4"/>
              <w:rPr>
                <w:sz w:val="24"/>
              </w:rPr>
            </w:pPr>
            <w:r>
              <w:rPr>
                <w:sz w:val="24"/>
              </w:rPr>
              <w:t>Above</w:t>
            </w:r>
            <w:r>
              <w:rPr>
                <w:spacing w:val="14"/>
                <w:sz w:val="24"/>
              </w:rPr>
              <w:t> </w:t>
            </w:r>
            <w:r>
              <w:rPr>
                <w:sz w:val="24"/>
              </w:rPr>
              <w:t>4000</w:t>
            </w:r>
            <w:r>
              <w:rPr>
                <w:spacing w:val="14"/>
                <w:sz w:val="24"/>
              </w:rPr>
              <w:t> </w:t>
            </w:r>
            <w:r>
              <w:rPr>
                <w:sz w:val="24"/>
              </w:rPr>
              <w:t>sq.</w:t>
            </w:r>
            <w:r>
              <w:rPr>
                <w:spacing w:val="15"/>
                <w:sz w:val="24"/>
              </w:rPr>
              <w:t> </w:t>
            </w:r>
            <w:r>
              <w:rPr>
                <w:sz w:val="24"/>
              </w:rPr>
              <w:t>m</w:t>
            </w:r>
            <w:r>
              <w:rPr>
                <w:spacing w:val="14"/>
                <w:sz w:val="24"/>
              </w:rPr>
              <w:t> </w:t>
            </w:r>
            <w:r>
              <w:rPr>
                <w:sz w:val="24"/>
              </w:rPr>
              <w:t>to</w:t>
            </w:r>
            <w:r>
              <w:rPr>
                <w:spacing w:val="14"/>
                <w:sz w:val="24"/>
              </w:rPr>
              <w:t> </w:t>
            </w:r>
            <w:r>
              <w:rPr>
                <w:sz w:val="24"/>
              </w:rPr>
              <w:t>2</w:t>
            </w:r>
            <w:r>
              <w:rPr>
                <w:spacing w:val="15"/>
                <w:sz w:val="24"/>
              </w:rPr>
              <w:t> </w:t>
            </w:r>
            <w:r>
              <w:rPr>
                <w:spacing w:val="-5"/>
                <w:sz w:val="24"/>
              </w:rPr>
              <w:t>ha</w:t>
            </w:r>
          </w:p>
        </w:tc>
        <w:tc>
          <w:tcPr>
            <w:tcW w:w="4678" w:type="dxa"/>
          </w:tcPr>
          <w:p>
            <w:pPr>
              <w:pStyle w:val="TableParagraph"/>
              <w:spacing w:line="281" w:lineRule="exact"/>
              <w:ind w:right="1559"/>
              <w:jc w:val="right"/>
              <w:rPr>
                <w:sz w:val="24"/>
              </w:rPr>
            </w:pPr>
            <w:r>
              <w:rPr>
                <w:spacing w:val="-5"/>
                <w:sz w:val="24"/>
              </w:rPr>
              <w:t>15%</w:t>
            </w:r>
          </w:p>
        </w:tc>
      </w:tr>
      <w:tr>
        <w:trPr>
          <w:trHeight w:val="390" w:hRule="atLeast"/>
        </w:trPr>
        <w:tc>
          <w:tcPr>
            <w:tcW w:w="3118" w:type="dxa"/>
          </w:tcPr>
          <w:p>
            <w:pPr>
              <w:pStyle w:val="TableParagraph"/>
              <w:spacing w:line="281" w:lineRule="exact"/>
              <w:ind w:left="4"/>
              <w:rPr>
                <w:sz w:val="24"/>
              </w:rPr>
            </w:pPr>
            <w:r>
              <w:rPr>
                <w:sz w:val="24"/>
              </w:rPr>
              <w:t>Above</w:t>
            </w:r>
            <w:r>
              <w:rPr>
                <w:spacing w:val="29"/>
                <w:sz w:val="24"/>
              </w:rPr>
              <w:t> </w:t>
            </w:r>
            <w:r>
              <w:rPr>
                <w:sz w:val="24"/>
              </w:rPr>
              <w:t>2</w:t>
            </w:r>
            <w:r>
              <w:rPr>
                <w:spacing w:val="32"/>
                <w:sz w:val="24"/>
              </w:rPr>
              <w:t> </w:t>
            </w:r>
            <w:r>
              <w:rPr>
                <w:sz w:val="24"/>
              </w:rPr>
              <w:t>ha</w:t>
            </w:r>
            <w:r>
              <w:rPr>
                <w:spacing w:val="30"/>
                <w:sz w:val="24"/>
              </w:rPr>
              <w:t> </w:t>
            </w:r>
            <w:r>
              <w:rPr>
                <w:sz w:val="24"/>
              </w:rPr>
              <w:t>to</w:t>
            </w:r>
            <w:r>
              <w:rPr>
                <w:spacing w:val="32"/>
                <w:sz w:val="24"/>
              </w:rPr>
              <w:t> </w:t>
            </w:r>
            <w:r>
              <w:rPr>
                <w:sz w:val="24"/>
              </w:rPr>
              <w:t>5</w:t>
            </w:r>
            <w:r>
              <w:rPr>
                <w:spacing w:val="30"/>
                <w:sz w:val="24"/>
              </w:rPr>
              <w:t> </w:t>
            </w:r>
            <w:r>
              <w:rPr>
                <w:spacing w:val="-5"/>
                <w:sz w:val="24"/>
              </w:rPr>
              <w:t>ha</w:t>
            </w:r>
          </w:p>
        </w:tc>
        <w:tc>
          <w:tcPr>
            <w:tcW w:w="4678" w:type="dxa"/>
          </w:tcPr>
          <w:p>
            <w:pPr>
              <w:pStyle w:val="TableParagraph"/>
              <w:spacing w:line="281" w:lineRule="exact"/>
              <w:ind w:right="1559"/>
              <w:jc w:val="right"/>
              <w:rPr>
                <w:sz w:val="24"/>
              </w:rPr>
            </w:pPr>
            <w:r>
              <w:rPr>
                <w:spacing w:val="-5"/>
                <w:sz w:val="24"/>
              </w:rPr>
              <w:t>25%</w:t>
            </w:r>
          </w:p>
        </w:tc>
      </w:tr>
      <w:tr>
        <w:trPr>
          <w:trHeight w:val="278" w:hRule="atLeast"/>
        </w:trPr>
        <w:tc>
          <w:tcPr>
            <w:tcW w:w="3118" w:type="dxa"/>
          </w:tcPr>
          <w:p>
            <w:pPr>
              <w:pStyle w:val="TableParagraph"/>
              <w:spacing w:line="258" w:lineRule="exact"/>
              <w:ind w:left="4"/>
              <w:rPr>
                <w:sz w:val="24"/>
              </w:rPr>
            </w:pPr>
            <w:r>
              <w:rPr>
                <w:sz w:val="24"/>
              </w:rPr>
              <w:t>Above</w:t>
            </w:r>
            <w:r>
              <w:rPr>
                <w:spacing w:val="31"/>
                <w:sz w:val="24"/>
              </w:rPr>
              <w:t> </w:t>
            </w:r>
            <w:r>
              <w:rPr>
                <w:sz w:val="24"/>
              </w:rPr>
              <w:t>5</w:t>
            </w:r>
            <w:r>
              <w:rPr>
                <w:spacing w:val="34"/>
                <w:sz w:val="24"/>
              </w:rPr>
              <w:t> </w:t>
            </w:r>
            <w:r>
              <w:rPr>
                <w:sz w:val="24"/>
              </w:rPr>
              <w:t>ha</w:t>
            </w:r>
            <w:r>
              <w:rPr>
                <w:spacing w:val="31"/>
                <w:sz w:val="24"/>
              </w:rPr>
              <w:t> </w:t>
            </w:r>
            <w:r>
              <w:rPr>
                <w:sz w:val="24"/>
              </w:rPr>
              <w:t>to</w:t>
            </w:r>
            <w:r>
              <w:rPr>
                <w:spacing w:val="34"/>
                <w:sz w:val="24"/>
              </w:rPr>
              <w:t> </w:t>
            </w:r>
            <w:r>
              <w:rPr>
                <w:sz w:val="24"/>
              </w:rPr>
              <w:t>10</w:t>
            </w:r>
            <w:r>
              <w:rPr>
                <w:spacing w:val="32"/>
                <w:sz w:val="24"/>
              </w:rPr>
              <w:t> </w:t>
            </w:r>
            <w:r>
              <w:rPr>
                <w:spacing w:val="-5"/>
                <w:sz w:val="24"/>
              </w:rPr>
              <w:t>ha</w:t>
            </w:r>
          </w:p>
        </w:tc>
        <w:tc>
          <w:tcPr>
            <w:tcW w:w="4678" w:type="dxa"/>
          </w:tcPr>
          <w:p>
            <w:pPr>
              <w:pStyle w:val="TableParagraph"/>
              <w:spacing w:line="258" w:lineRule="exact"/>
              <w:ind w:right="1559"/>
              <w:jc w:val="right"/>
              <w:rPr>
                <w:sz w:val="24"/>
              </w:rPr>
            </w:pPr>
            <w:r>
              <w:rPr>
                <w:spacing w:val="-5"/>
                <w:sz w:val="24"/>
              </w:rPr>
              <w:t>35%</w:t>
            </w:r>
          </w:p>
        </w:tc>
      </w:tr>
      <w:tr>
        <w:trPr>
          <w:trHeight w:val="261" w:hRule="atLeast"/>
        </w:trPr>
        <w:tc>
          <w:tcPr>
            <w:tcW w:w="3118" w:type="dxa"/>
          </w:tcPr>
          <w:p>
            <w:pPr>
              <w:pStyle w:val="TableParagraph"/>
              <w:spacing w:line="241" w:lineRule="exact"/>
              <w:ind w:left="4"/>
              <w:rPr>
                <w:sz w:val="24"/>
              </w:rPr>
            </w:pPr>
            <w:r>
              <w:rPr>
                <w:sz w:val="24"/>
              </w:rPr>
              <w:t>Above</w:t>
            </w:r>
            <w:r>
              <w:rPr>
                <w:spacing w:val="41"/>
                <w:sz w:val="24"/>
              </w:rPr>
              <w:t> </w:t>
            </w:r>
            <w:r>
              <w:rPr>
                <w:sz w:val="24"/>
              </w:rPr>
              <w:t>10</w:t>
            </w:r>
            <w:r>
              <w:rPr>
                <w:spacing w:val="44"/>
                <w:sz w:val="24"/>
              </w:rPr>
              <w:t> </w:t>
            </w:r>
            <w:r>
              <w:rPr>
                <w:spacing w:val="-5"/>
                <w:sz w:val="24"/>
              </w:rPr>
              <w:t>ha</w:t>
            </w:r>
          </w:p>
        </w:tc>
        <w:tc>
          <w:tcPr>
            <w:tcW w:w="4678" w:type="dxa"/>
          </w:tcPr>
          <w:p>
            <w:pPr>
              <w:pStyle w:val="TableParagraph"/>
              <w:spacing w:line="241" w:lineRule="exact"/>
              <w:ind w:right="1559"/>
              <w:jc w:val="right"/>
              <w:rPr>
                <w:sz w:val="24"/>
              </w:rPr>
            </w:pPr>
            <w:r>
              <w:rPr>
                <w:spacing w:val="-5"/>
                <w:sz w:val="24"/>
              </w:rPr>
              <w:t>45%</w:t>
            </w:r>
          </w:p>
        </w:tc>
      </w:tr>
    </w:tbl>
    <w:p>
      <w:pPr>
        <w:pStyle w:val="BodyText"/>
        <w:spacing w:before="48"/>
        <w:jc w:val="left"/>
      </w:pPr>
    </w:p>
    <w:p>
      <w:pPr>
        <w:pStyle w:val="BodyText"/>
        <w:ind w:left="2335"/>
        <w:jc w:val="left"/>
      </w:pPr>
      <w:r>
        <w:rPr/>
        <w:t>Explanation:</w:t>
      </w:r>
      <w:r>
        <w:rPr>
          <w:spacing w:val="80"/>
        </w:rPr>
        <w:t> </w:t>
      </w:r>
      <w:r>
        <w:rPr/>
        <w:t>(a)</w:t>
      </w:r>
      <w:r>
        <w:rPr>
          <w:spacing w:val="80"/>
        </w:rPr>
        <w:t> </w:t>
      </w:r>
      <w:r>
        <w:rPr/>
        <w:t>The</w:t>
      </w:r>
      <w:r>
        <w:rPr>
          <w:spacing w:val="80"/>
        </w:rPr>
        <w:t> </w:t>
      </w:r>
      <w:r>
        <w:rPr/>
        <w:t>plot</w:t>
      </w:r>
      <w:r>
        <w:rPr>
          <w:spacing w:val="80"/>
        </w:rPr>
        <w:t> </w:t>
      </w:r>
      <w:r>
        <w:rPr/>
        <w:t>under</w:t>
      </w:r>
      <w:r>
        <w:rPr>
          <w:spacing w:val="80"/>
        </w:rPr>
        <w:t> </w:t>
      </w:r>
      <w:r>
        <w:rPr/>
        <w:t>redevelopment</w:t>
      </w:r>
      <w:r>
        <w:rPr>
          <w:spacing w:val="80"/>
        </w:rPr>
        <w:t> </w:t>
      </w:r>
      <w:r>
        <w:rPr/>
        <w:t>means</w:t>
      </w:r>
      <w:r>
        <w:rPr>
          <w:spacing w:val="80"/>
        </w:rPr>
        <w:t> </w:t>
      </w:r>
      <w:r>
        <w:rPr/>
        <w:t>the</w:t>
      </w:r>
      <w:r>
        <w:rPr>
          <w:spacing w:val="80"/>
        </w:rPr>
        <w:t> </w:t>
      </w:r>
      <w:r>
        <w:rPr/>
        <w:t>land demarcated</w:t>
      </w:r>
      <w:r>
        <w:rPr>
          <w:spacing w:val="40"/>
        </w:rPr>
        <w:t> </w:t>
      </w:r>
      <w:r>
        <w:rPr/>
        <w:t>by</w:t>
      </w:r>
      <w:r>
        <w:rPr>
          <w:spacing w:val="40"/>
        </w:rPr>
        <w:t> </w:t>
      </w:r>
      <w:r>
        <w:rPr/>
        <w:t>MHADA</w:t>
      </w:r>
      <w:r>
        <w:rPr>
          <w:spacing w:val="40"/>
        </w:rPr>
        <w:t> </w:t>
      </w:r>
      <w:r>
        <w:rPr/>
        <w:t>for</w:t>
      </w:r>
      <w:r>
        <w:rPr>
          <w:spacing w:val="9"/>
        </w:rPr>
        <w:t> redevelopment.</w:t>
      </w:r>
    </w:p>
    <w:p>
      <w:pPr>
        <w:pStyle w:val="BodyText"/>
        <w:spacing w:after="0"/>
        <w:jc w:val="left"/>
        <w:sectPr>
          <w:pgSz w:w="11910" w:h="16840"/>
          <w:pgMar w:header="1065" w:footer="1194" w:top="1500" w:bottom="1380" w:left="360" w:right="360"/>
        </w:sectPr>
      </w:pPr>
    </w:p>
    <w:p>
      <w:pPr>
        <w:pStyle w:val="ListParagraph"/>
        <w:numPr>
          <w:ilvl w:val="3"/>
          <w:numId w:val="142"/>
        </w:numPr>
        <w:tabs>
          <w:tab w:pos="3501" w:val="left" w:leader="none"/>
        </w:tabs>
        <w:spacing w:line="276" w:lineRule="auto" w:before="247" w:after="0"/>
        <w:ind w:left="2618" w:right="775" w:firstLine="0"/>
        <w:jc w:val="both"/>
        <w:rPr>
          <w:sz w:val="20"/>
        </w:rPr>
      </w:pPr>
      <w:r>
        <w:rPr>
          <w:sz w:val="24"/>
        </w:rPr>
        <w:t>For the purpose, “existing Carpet area/carpet area”</w:t>
      </w:r>
      <w:r>
        <w:rPr>
          <w:spacing w:val="80"/>
          <w:sz w:val="24"/>
        </w:rPr>
        <w:t> </w:t>
      </w:r>
      <w:r>
        <w:rPr>
          <w:sz w:val="24"/>
        </w:rPr>
        <w:t>means</w:t>
      </w:r>
      <w:r>
        <w:rPr>
          <w:spacing w:val="40"/>
          <w:sz w:val="24"/>
        </w:rPr>
        <w:t> </w:t>
      </w:r>
      <w:r>
        <w:rPr>
          <w:sz w:val="24"/>
        </w:rPr>
        <w:t>the</w:t>
      </w:r>
      <w:r>
        <w:rPr>
          <w:spacing w:val="40"/>
          <w:sz w:val="24"/>
        </w:rPr>
        <w:t> </w:t>
      </w:r>
      <w:r>
        <w:rPr>
          <w:sz w:val="24"/>
        </w:rPr>
        <w:t>net</w:t>
      </w:r>
      <w:r>
        <w:rPr>
          <w:spacing w:val="40"/>
          <w:sz w:val="24"/>
        </w:rPr>
        <w:t> </w:t>
      </w:r>
      <w:r>
        <w:rPr>
          <w:sz w:val="24"/>
        </w:rPr>
        <w:t>usable</w:t>
      </w:r>
      <w:r>
        <w:rPr>
          <w:spacing w:val="40"/>
          <w:sz w:val="24"/>
        </w:rPr>
        <w:t> </w:t>
      </w:r>
      <w:r>
        <w:rPr>
          <w:sz w:val="24"/>
        </w:rPr>
        <w:t>floor</w:t>
      </w:r>
      <w:r>
        <w:rPr>
          <w:spacing w:val="40"/>
          <w:sz w:val="24"/>
        </w:rPr>
        <w:t> </w:t>
      </w:r>
      <w:r>
        <w:rPr>
          <w:sz w:val="24"/>
        </w:rPr>
        <w:t>area</w:t>
      </w:r>
      <w:r>
        <w:rPr>
          <w:spacing w:val="40"/>
          <w:sz w:val="24"/>
        </w:rPr>
        <w:t> </w:t>
      </w:r>
      <w:r>
        <w:rPr>
          <w:sz w:val="24"/>
        </w:rPr>
        <w:t>within</w:t>
      </w:r>
      <w:r>
        <w:rPr>
          <w:spacing w:val="40"/>
          <w:sz w:val="24"/>
        </w:rPr>
        <w:t> </w:t>
      </w:r>
      <w:r>
        <w:rPr>
          <w:sz w:val="24"/>
        </w:rPr>
        <w:t>a</w:t>
      </w:r>
      <w:r>
        <w:rPr>
          <w:spacing w:val="40"/>
          <w:sz w:val="24"/>
        </w:rPr>
        <w:t> </w:t>
      </w:r>
      <w:r>
        <w:rPr>
          <w:sz w:val="24"/>
        </w:rPr>
        <w:t>tenement</w:t>
      </w:r>
      <w:r>
        <w:rPr>
          <w:spacing w:val="40"/>
          <w:sz w:val="24"/>
        </w:rPr>
        <w:t> </w:t>
      </w:r>
      <w:r>
        <w:rPr>
          <w:sz w:val="24"/>
        </w:rPr>
        <w:t>excluding that</w:t>
      </w:r>
      <w:r>
        <w:rPr>
          <w:spacing w:val="40"/>
          <w:sz w:val="24"/>
        </w:rPr>
        <w:t> </w:t>
      </w:r>
      <w:r>
        <w:rPr>
          <w:sz w:val="24"/>
        </w:rPr>
        <w:t>covered</w:t>
      </w:r>
      <w:r>
        <w:rPr>
          <w:spacing w:val="40"/>
          <w:sz w:val="24"/>
        </w:rPr>
        <w:t> </w:t>
      </w:r>
      <w:r>
        <w:rPr>
          <w:sz w:val="24"/>
        </w:rPr>
        <w:t>by</w:t>
      </w:r>
      <w:r>
        <w:rPr>
          <w:spacing w:val="40"/>
          <w:sz w:val="24"/>
        </w:rPr>
        <w:t> </w:t>
      </w:r>
      <w:r>
        <w:rPr>
          <w:sz w:val="24"/>
        </w:rPr>
        <w:t>the</w:t>
      </w:r>
      <w:r>
        <w:rPr>
          <w:spacing w:val="40"/>
          <w:sz w:val="24"/>
        </w:rPr>
        <w:t> </w:t>
      </w:r>
      <w:r>
        <w:rPr>
          <w:sz w:val="24"/>
        </w:rPr>
        <w:t>walls</w:t>
      </w:r>
      <w:r>
        <w:rPr>
          <w:spacing w:val="40"/>
          <w:sz w:val="24"/>
        </w:rPr>
        <w:t> </w:t>
      </w:r>
      <w:r>
        <w:rPr>
          <w:sz w:val="24"/>
        </w:rPr>
        <w:t>or</w:t>
      </w:r>
      <w:r>
        <w:rPr>
          <w:spacing w:val="40"/>
          <w:sz w:val="24"/>
        </w:rPr>
        <w:t> </w:t>
      </w:r>
      <w:r>
        <w:rPr>
          <w:sz w:val="24"/>
        </w:rPr>
        <w:t>any</w:t>
      </w:r>
      <w:r>
        <w:rPr>
          <w:spacing w:val="40"/>
          <w:sz w:val="24"/>
        </w:rPr>
        <w:t> </w:t>
      </w:r>
      <w:r>
        <w:rPr>
          <w:sz w:val="24"/>
        </w:rPr>
        <w:t>other</w:t>
      </w:r>
      <w:r>
        <w:rPr>
          <w:spacing w:val="40"/>
          <w:sz w:val="24"/>
        </w:rPr>
        <w:t> </w:t>
      </w:r>
      <w:r>
        <w:rPr>
          <w:sz w:val="24"/>
        </w:rPr>
        <w:t>areas</w:t>
      </w:r>
      <w:r>
        <w:rPr>
          <w:spacing w:val="40"/>
          <w:sz w:val="24"/>
        </w:rPr>
        <w:t> </w:t>
      </w:r>
      <w:r>
        <w:rPr>
          <w:sz w:val="24"/>
        </w:rPr>
        <w:t>specifically exempted from floor space index computation as per then/ prevailing Regulation but including the areas of balcony, if</w:t>
      </w:r>
      <w:r>
        <w:rPr>
          <w:spacing w:val="40"/>
          <w:sz w:val="24"/>
        </w:rPr>
        <w:t> </w:t>
      </w:r>
      <w:r>
        <w:rPr>
          <w:sz w:val="24"/>
        </w:rPr>
        <w:t>allowed</w:t>
      </w:r>
      <w:r>
        <w:rPr>
          <w:spacing w:val="40"/>
          <w:sz w:val="24"/>
        </w:rPr>
        <w:t> </w:t>
      </w:r>
      <w:r>
        <w:rPr>
          <w:sz w:val="24"/>
        </w:rPr>
        <w:t>free</w:t>
      </w:r>
      <w:r>
        <w:rPr>
          <w:spacing w:val="40"/>
          <w:sz w:val="24"/>
        </w:rPr>
        <w:t> </w:t>
      </w:r>
      <w:r>
        <w:rPr>
          <w:sz w:val="24"/>
        </w:rPr>
        <w:t>of</w:t>
      </w:r>
      <w:r>
        <w:rPr>
          <w:spacing w:val="40"/>
          <w:sz w:val="24"/>
        </w:rPr>
        <w:t> </w:t>
      </w:r>
      <w:r>
        <w:rPr>
          <w:sz w:val="24"/>
        </w:rPr>
        <w:t>FSI</w:t>
      </w:r>
      <w:r>
        <w:rPr>
          <w:spacing w:val="40"/>
          <w:sz w:val="24"/>
        </w:rPr>
        <w:t> </w:t>
      </w:r>
      <w:r>
        <w:rPr>
          <w:sz w:val="24"/>
        </w:rPr>
        <w:t>as</w:t>
      </w:r>
      <w:r>
        <w:rPr>
          <w:spacing w:val="40"/>
          <w:sz w:val="24"/>
        </w:rPr>
        <w:t> </w:t>
      </w:r>
      <w:r>
        <w:rPr>
          <w:sz w:val="24"/>
        </w:rPr>
        <w:t>per</w:t>
      </w:r>
      <w:r>
        <w:rPr>
          <w:spacing w:val="40"/>
          <w:sz w:val="24"/>
        </w:rPr>
        <w:t> </w:t>
      </w:r>
      <w:r>
        <w:rPr>
          <w:sz w:val="24"/>
        </w:rPr>
        <w:t>then</w:t>
      </w:r>
      <w:r>
        <w:rPr>
          <w:spacing w:val="40"/>
          <w:sz w:val="24"/>
        </w:rPr>
        <w:t> </w:t>
      </w:r>
      <w:r>
        <w:rPr>
          <w:spacing w:val="9"/>
          <w:sz w:val="24"/>
        </w:rPr>
        <w:t>Regulation.</w:t>
      </w:r>
    </w:p>
    <w:p>
      <w:pPr>
        <w:pStyle w:val="BodyText"/>
        <w:jc w:val="left"/>
      </w:pPr>
    </w:p>
    <w:p>
      <w:pPr>
        <w:pStyle w:val="BodyText"/>
        <w:spacing w:before="204"/>
        <w:jc w:val="left"/>
      </w:pPr>
    </w:p>
    <w:p>
      <w:pPr>
        <w:pStyle w:val="ListParagraph"/>
        <w:numPr>
          <w:ilvl w:val="0"/>
          <w:numId w:val="142"/>
        </w:numPr>
        <w:tabs>
          <w:tab w:pos="2785" w:val="left" w:leader="none"/>
        </w:tabs>
        <w:spacing w:line="240" w:lineRule="auto" w:before="0" w:after="0"/>
        <w:ind w:left="2335" w:right="778" w:firstLine="0"/>
        <w:jc w:val="both"/>
        <w:rPr>
          <w:sz w:val="24"/>
        </w:rPr>
      </w:pPr>
      <w:r>
        <w:rPr>
          <w:sz w:val="24"/>
        </w:rPr>
        <w:t>Incentive</w:t>
      </w:r>
      <w:r>
        <w:rPr>
          <w:spacing w:val="40"/>
          <w:sz w:val="24"/>
        </w:rPr>
        <w:t> </w:t>
      </w:r>
      <w:r>
        <w:rPr>
          <w:sz w:val="24"/>
        </w:rPr>
        <w:t>FSI:</w:t>
      </w:r>
      <w:r>
        <w:rPr>
          <w:spacing w:val="40"/>
          <w:sz w:val="24"/>
        </w:rPr>
        <w:t> </w:t>
      </w:r>
      <w:r>
        <w:rPr>
          <w:sz w:val="24"/>
        </w:rPr>
        <w:t>Incentive</w:t>
      </w:r>
      <w:r>
        <w:rPr>
          <w:spacing w:val="40"/>
          <w:sz w:val="24"/>
        </w:rPr>
        <w:t> </w:t>
      </w:r>
      <w:r>
        <w:rPr>
          <w:sz w:val="24"/>
        </w:rPr>
        <w:t>FSI</w:t>
      </w:r>
      <w:r>
        <w:rPr>
          <w:spacing w:val="40"/>
          <w:sz w:val="24"/>
        </w:rPr>
        <w:t> </w:t>
      </w:r>
      <w:r>
        <w:rPr>
          <w:sz w:val="24"/>
        </w:rPr>
        <w:t>admissible</w:t>
      </w:r>
      <w:r>
        <w:rPr>
          <w:spacing w:val="40"/>
          <w:sz w:val="24"/>
        </w:rPr>
        <w:t> </w:t>
      </w:r>
      <w:r>
        <w:rPr>
          <w:sz w:val="24"/>
        </w:rPr>
        <w:t>against</w:t>
      </w:r>
      <w:r>
        <w:rPr>
          <w:spacing w:val="40"/>
          <w:sz w:val="24"/>
        </w:rPr>
        <w:t> </w:t>
      </w:r>
      <w:r>
        <w:rPr>
          <w:sz w:val="24"/>
        </w:rPr>
        <w:t>the</w:t>
      </w:r>
      <w:r>
        <w:rPr>
          <w:spacing w:val="40"/>
          <w:sz w:val="24"/>
        </w:rPr>
        <w:t> </w:t>
      </w:r>
      <w:r>
        <w:rPr>
          <w:sz w:val="24"/>
        </w:rPr>
        <w:t>FSI required</w:t>
      </w:r>
      <w:r>
        <w:rPr>
          <w:spacing w:val="40"/>
          <w:sz w:val="24"/>
        </w:rPr>
        <w:t> </w:t>
      </w:r>
      <w:r>
        <w:rPr>
          <w:sz w:val="24"/>
        </w:rPr>
        <w:t>for</w:t>
      </w:r>
      <w:r>
        <w:rPr>
          <w:spacing w:val="40"/>
          <w:sz w:val="24"/>
        </w:rPr>
        <w:t> </w:t>
      </w:r>
      <w:r>
        <w:rPr>
          <w:sz w:val="24"/>
        </w:rPr>
        <w:t>rehabilitation,</w:t>
      </w:r>
      <w:r>
        <w:rPr>
          <w:spacing w:val="40"/>
          <w:sz w:val="24"/>
        </w:rPr>
        <w:t> </w:t>
      </w:r>
      <w:r>
        <w:rPr>
          <w:sz w:val="24"/>
        </w:rPr>
        <w:t>as</w:t>
      </w:r>
      <w:r>
        <w:rPr>
          <w:spacing w:val="40"/>
          <w:sz w:val="24"/>
        </w:rPr>
        <w:t> </w:t>
      </w:r>
      <w:r>
        <w:rPr>
          <w:sz w:val="24"/>
        </w:rPr>
        <w:t>calculated</w:t>
      </w:r>
      <w:r>
        <w:rPr>
          <w:spacing w:val="40"/>
          <w:sz w:val="24"/>
        </w:rPr>
        <w:t> </w:t>
      </w:r>
      <w:r>
        <w:rPr>
          <w:sz w:val="24"/>
        </w:rPr>
        <w:t>in</w:t>
      </w:r>
      <w:r>
        <w:rPr>
          <w:spacing w:val="40"/>
          <w:sz w:val="24"/>
        </w:rPr>
        <w:t> </w:t>
      </w:r>
      <w:r>
        <w:rPr>
          <w:sz w:val="24"/>
        </w:rPr>
        <w:t>(A)</w:t>
      </w:r>
      <w:r>
        <w:rPr>
          <w:spacing w:val="40"/>
          <w:sz w:val="24"/>
        </w:rPr>
        <w:t> </w:t>
      </w:r>
      <w:r>
        <w:rPr>
          <w:sz w:val="24"/>
        </w:rPr>
        <w:t>above,</w:t>
      </w:r>
      <w:r>
        <w:rPr>
          <w:spacing w:val="40"/>
          <w:sz w:val="24"/>
        </w:rPr>
        <w:t> </w:t>
      </w:r>
      <w:r>
        <w:rPr>
          <w:sz w:val="24"/>
        </w:rPr>
        <w:t>shall</w:t>
      </w:r>
      <w:r>
        <w:rPr>
          <w:spacing w:val="40"/>
          <w:sz w:val="24"/>
        </w:rPr>
        <w:t> </w:t>
      </w:r>
      <w:r>
        <w:rPr>
          <w:sz w:val="24"/>
        </w:rPr>
        <w:t>be based on the ratio (hereinafter referred to as Basic Ratio) of Land Rate</w:t>
      </w:r>
      <w:r>
        <w:rPr>
          <w:spacing w:val="40"/>
          <w:sz w:val="24"/>
        </w:rPr>
        <w:t> </w:t>
      </w:r>
      <w:r>
        <w:rPr>
          <w:sz w:val="24"/>
        </w:rPr>
        <w:t>(LR)</w:t>
      </w:r>
      <w:r>
        <w:rPr>
          <w:spacing w:val="40"/>
          <w:sz w:val="24"/>
        </w:rPr>
        <w:t> </w:t>
      </w:r>
      <w:r>
        <w:rPr>
          <w:sz w:val="24"/>
        </w:rPr>
        <w:t>in</w:t>
      </w:r>
      <w:r>
        <w:rPr>
          <w:spacing w:val="40"/>
          <w:sz w:val="24"/>
        </w:rPr>
        <w:t> </w:t>
      </w:r>
      <w:r>
        <w:rPr>
          <w:sz w:val="24"/>
        </w:rPr>
        <w:t>Rs/sq.</w:t>
      </w:r>
      <w:r>
        <w:rPr>
          <w:spacing w:val="40"/>
          <w:sz w:val="24"/>
        </w:rPr>
        <w:t> </w:t>
      </w:r>
      <w:r>
        <w:rPr>
          <w:sz w:val="24"/>
        </w:rPr>
        <w:t>m.</w:t>
      </w:r>
      <w:r>
        <w:rPr>
          <w:spacing w:val="40"/>
          <w:sz w:val="24"/>
        </w:rPr>
        <w:t> </w:t>
      </w:r>
      <w:r>
        <w:rPr>
          <w:sz w:val="24"/>
        </w:rPr>
        <w:t>of</w:t>
      </w:r>
      <w:r>
        <w:rPr>
          <w:spacing w:val="40"/>
          <w:sz w:val="24"/>
        </w:rPr>
        <w:t> </w:t>
      </w:r>
      <w:r>
        <w:rPr>
          <w:sz w:val="24"/>
        </w:rPr>
        <w:t>the</w:t>
      </w:r>
      <w:r>
        <w:rPr>
          <w:spacing w:val="40"/>
          <w:sz w:val="24"/>
        </w:rPr>
        <w:t> </w:t>
      </w:r>
      <w:r>
        <w:rPr>
          <w:sz w:val="24"/>
        </w:rPr>
        <w:t>plot</w:t>
      </w:r>
      <w:r>
        <w:rPr>
          <w:spacing w:val="40"/>
          <w:sz w:val="24"/>
        </w:rPr>
        <w:t> </w:t>
      </w:r>
      <w:r>
        <w:rPr>
          <w:sz w:val="24"/>
        </w:rPr>
        <w:t>under</w:t>
      </w:r>
      <w:r>
        <w:rPr>
          <w:spacing w:val="40"/>
          <w:sz w:val="24"/>
        </w:rPr>
        <w:t> </w:t>
      </w:r>
      <w:r>
        <w:rPr>
          <w:sz w:val="24"/>
        </w:rPr>
        <w:t>redevelopment</w:t>
      </w:r>
      <w:r>
        <w:rPr>
          <w:spacing w:val="40"/>
          <w:sz w:val="24"/>
        </w:rPr>
        <w:t> </w:t>
      </w:r>
      <w:r>
        <w:rPr>
          <w:sz w:val="24"/>
        </w:rPr>
        <w:t>as</w:t>
      </w:r>
      <w:r>
        <w:rPr>
          <w:spacing w:val="40"/>
          <w:sz w:val="24"/>
        </w:rPr>
        <w:t> </w:t>
      </w:r>
      <w:r>
        <w:rPr>
          <w:sz w:val="24"/>
        </w:rPr>
        <w:t>per the</w:t>
      </w:r>
      <w:r>
        <w:rPr>
          <w:spacing w:val="40"/>
          <w:sz w:val="24"/>
        </w:rPr>
        <w:t> </w:t>
      </w:r>
      <w:r>
        <w:rPr>
          <w:sz w:val="24"/>
        </w:rPr>
        <w:t>Annual</w:t>
      </w:r>
      <w:r>
        <w:rPr>
          <w:spacing w:val="40"/>
          <w:sz w:val="24"/>
        </w:rPr>
        <w:t> </w:t>
      </w:r>
      <w:r>
        <w:rPr>
          <w:sz w:val="24"/>
        </w:rPr>
        <w:t>Schedule</w:t>
      </w:r>
      <w:r>
        <w:rPr>
          <w:spacing w:val="40"/>
          <w:sz w:val="24"/>
        </w:rPr>
        <w:t> </w:t>
      </w:r>
      <w:r>
        <w:rPr>
          <w:sz w:val="24"/>
        </w:rPr>
        <w:t>of</w:t>
      </w:r>
      <w:r>
        <w:rPr>
          <w:spacing w:val="40"/>
          <w:sz w:val="24"/>
        </w:rPr>
        <w:t> </w:t>
      </w:r>
      <w:r>
        <w:rPr>
          <w:sz w:val="24"/>
        </w:rPr>
        <w:t>Rates</w:t>
      </w:r>
      <w:r>
        <w:rPr>
          <w:spacing w:val="40"/>
          <w:sz w:val="24"/>
        </w:rPr>
        <w:t> </w:t>
      </w:r>
      <w:r>
        <w:rPr>
          <w:sz w:val="24"/>
        </w:rPr>
        <w:t>(ASR)</w:t>
      </w:r>
      <w:r>
        <w:rPr>
          <w:spacing w:val="40"/>
          <w:sz w:val="24"/>
        </w:rPr>
        <w:t> </w:t>
      </w:r>
      <w:r>
        <w:rPr>
          <w:sz w:val="24"/>
        </w:rPr>
        <w:t>and</w:t>
      </w:r>
      <w:r>
        <w:rPr>
          <w:spacing w:val="40"/>
          <w:sz w:val="24"/>
        </w:rPr>
        <w:t> </w:t>
      </w:r>
      <w:r>
        <w:rPr>
          <w:spacing w:val="10"/>
          <w:sz w:val="24"/>
        </w:rPr>
        <w:t>Rate</w:t>
      </w:r>
      <w:r>
        <w:rPr>
          <w:spacing w:val="10"/>
          <w:sz w:val="24"/>
        </w:rPr>
        <w:t> </w:t>
      </w:r>
      <w:r>
        <w:rPr>
          <w:sz w:val="24"/>
        </w:rPr>
        <w:t>of</w:t>
      </w:r>
      <w:r>
        <w:rPr>
          <w:spacing w:val="40"/>
          <w:sz w:val="24"/>
        </w:rPr>
        <w:t> </w:t>
      </w:r>
      <w:r>
        <w:rPr>
          <w:sz w:val="24"/>
        </w:rPr>
        <w:t>Construction (RC)*</w:t>
      </w:r>
      <w:r>
        <w:rPr>
          <w:spacing w:val="40"/>
          <w:sz w:val="24"/>
        </w:rPr>
        <w:t> </w:t>
      </w:r>
      <w:r>
        <w:rPr>
          <w:sz w:val="24"/>
        </w:rPr>
        <w:t>in</w:t>
      </w:r>
      <w:r>
        <w:rPr>
          <w:spacing w:val="40"/>
          <w:sz w:val="24"/>
        </w:rPr>
        <w:t> </w:t>
      </w:r>
      <w:r>
        <w:rPr>
          <w:sz w:val="24"/>
        </w:rPr>
        <w:t>Rs/sq.</w:t>
      </w:r>
      <w:r>
        <w:rPr>
          <w:spacing w:val="40"/>
          <w:sz w:val="24"/>
        </w:rPr>
        <w:t> </w:t>
      </w:r>
      <w:r>
        <w:rPr>
          <w:sz w:val="24"/>
        </w:rPr>
        <w:t>m</w:t>
      </w:r>
      <w:r>
        <w:rPr>
          <w:spacing w:val="40"/>
          <w:sz w:val="24"/>
        </w:rPr>
        <w:t> </w:t>
      </w:r>
      <w:r>
        <w:rPr>
          <w:sz w:val="24"/>
        </w:rPr>
        <w:t>applicable</w:t>
      </w:r>
      <w:r>
        <w:rPr>
          <w:spacing w:val="40"/>
          <w:sz w:val="24"/>
        </w:rPr>
        <w:t> </w:t>
      </w:r>
      <w:r>
        <w:rPr>
          <w:sz w:val="24"/>
        </w:rPr>
        <w:t>to</w:t>
      </w:r>
      <w:r>
        <w:rPr>
          <w:spacing w:val="40"/>
          <w:sz w:val="24"/>
        </w:rPr>
        <w:t> </w:t>
      </w:r>
      <w:r>
        <w:rPr>
          <w:sz w:val="24"/>
        </w:rPr>
        <w:t>the</w:t>
      </w:r>
      <w:r>
        <w:rPr>
          <w:spacing w:val="40"/>
          <w:sz w:val="24"/>
        </w:rPr>
        <w:t> </w:t>
      </w:r>
      <w:r>
        <w:rPr>
          <w:sz w:val="24"/>
        </w:rPr>
        <w:t>area</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ASR</w:t>
      </w:r>
      <w:r>
        <w:rPr>
          <w:spacing w:val="40"/>
          <w:sz w:val="24"/>
        </w:rPr>
        <w:t> </w:t>
      </w:r>
      <w:r>
        <w:rPr>
          <w:sz w:val="24"/>
        </w:rPr>
        <w:t>of</w:t>
      </w:r>
      <w:r>
        <w:rPr>
          <w:spacing w:val="40"/>
          <w:sz w:val="24"/>
        </w:rPr>
        <w:t> </w:t>
      </w:r>
      <w:r>
        <w:rPr>
          <w:sz w:val="24"/>
        </w:rPr>
        <w:t>the date</w:t>
      </w:r>
      <w:r>
        <w:rPr>
          <w:spacing w:val="40"/>
          <w:sz w:val="24"/>
        </w:rPr>
        <w:t> </w:t>
      </w:r>
      <w:r>
        <w:rPr>
          <w:sz w:val="24"/>
        </w:rPr>
        <w:t>of</w:t>
      </w:r>
      <w:r>
        <w:rPr>
          <w:spacing w:val="40"/>
          <w:sz w:val="24"/>
        </w:rPr>
        <w:t> </w:t>
      </w:r>
      <w:r>
        <w:rPr>
          <w:sz w:val="24"/>
        </w:rPr>
        <w:t>approval</w:t>
      </w:r>
      <w:r>
        <w:rPr>
          <w:spacing w:val="40"/>
          <w:sz w:val="24"/>
        </w:rPr>
        <w:t> </w:t>
      </w:r>
      <w:r>
        <w:rPr>
          <w:sz w:val="24"/>
        </w:rPr>
        <w:t>of</w:t>
      </w:r>
      <w:r>
        <w:rPr>
          <w:spacing w:val="40"/>
          <w:sz w:val="24"/>
        </w:rPr>
        <w:t> </w:t>
      </w:r>
      <w:r>
        <w:rPr>
          <w:sz w:val="24"/>
        </w:rPr>
        <w:t>plan</w:t>
      </w:r>
      <w:r>
        <w:rPr>
          <w:spacing w:val="40"/>
          <w:sz w:val="24"/>
        </w:rPr>
        <w:t> </w:t>
      </w:r>
      <w:r>
        <w:rPr>
          <w:sz w:val="24"/>
        </w:rPr>
        <w:t>and</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given</w:t>
      </w:r>
      <w:r>
        <w:rPr>
          <w:spacing w:val="40"/>
          <w:sz w:val="24"/>
        </w:rPr>
        <w:t> </w:t>
      </w:r>
      <w:r>
        <w:rPr>
          <w:sz w:val="24"/>
        </w:rPr>
        <w:t>in</w:t>
      </w:r>
      <w:r>
        <w:rPr>
          <w:spacing w:val="40"/>
          <w:sz w:val="24"/>
        </w:rPr>
        <w:t> </w:t>
      </w:r>
      <w:r>
        <w:rPr>
          <w:sz w:val="24"/>
        </w:rPr>
        <w:t>the</w:t>
      </w:r>
      <w:r>
        <w:rPr>
          <w:spacing w:val="40"/>
          <w:sz w:val="24"/>
        </w:rPr>
        <w:t> </w:t>
      </w:r>
      <w:r>
        <w:rPr>
          <w:sz w:val="24"/>
        </w:rPr>
        <w:t>Table</w:t>
      </w:r>
      <w:r>
        <w:rPr>
          <w:spacing w:val="40"/>
          <w:sz w:val="24"/>
        </w:rPr>
        <w:t> </w:t>
      </w:r>
      <w:r>
        <w:rPr>
          <w:sz w:val="24"/>
        </w:rPr>
        <w:t>B </w:t>
      </w:r>
      <w:r>
        <w:rPr>
          <w:spacing w:val="-2"/>
          <w:sz w:val="24"/>
        </w:rPr>
        <w:t>below:-</w:t>
      </w:r>
    </w:p>
    <w:p>
      <w:pPr>
        <w:pStyle w:val="BodyText"/>
        <w:spacing w:before="1"/>
        <w:ind w:left="1548"/>
        <w:jc w:val="center"/>
      </w:pPr>
      <w:r>
        <w:rPr/>
        <w:t>Table</w:t>
      </w:r>
      <w:r>
        <w:rPr>
          <w:spacing w:val="53"/>
        </w:rPr>
        <w:t> </w:t>
      </w:r>
      <w:r>
        <w:rPr>
          <w:spacing w:val="-10"/>
        </w:rPr>
        <w:t>B</w:t>
      </w:r>
    </w:p>
    <w:tbl>
      <w:tblPr>
        <w:tblW w:w="0" w:type="auto"/>
        <w:jc w:val="left"/>
        <w:tblInd w:w="2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8"/>
        <w:gridCol w:w="4395"/>
      </w:tblGrid>
      <w:tr>
        <w:trPr>
          <w:trHeight w:val="563" w:hRule="atLeast"/>
        </w:trPr>
        <w:tc>
          <w:tcPr>
            <w:tcW w:w="3118" w:type="dxa"/>
            <w:shd w:val="clear" w:color="auto" w:fill="EDEBE0"/>
          </w:tcPr>
          <w:p>
            <w:pPr>
              <w:pStyle w:val="TableParagraph"/>
              <w:spacing w:before="140"/>
              <w:ind w:left="4"/>
              <w:rPr>
                <w:sz w:val="24"/>
              </w:rPr>
            </w:pPr>
            <w:r>
              <w:rPr>
                <w:sz w:val="24"/>
              </w:rPr>
              <w:t>Basic</w:t>
            </w:r>
            <w:r>
              <w:rPr>
                <w:spacing w:val="56"/>
                <w:sz w:val="24"/>
              </w:rPr>
              <w:t> </w:t>
            </w:r>
            <w:r>
              <w:rPr>
                <w:sz w:val="24"/>
              </w:rPr>
              <w:t>Ratio</w:t>
            </w:r>
            <w:r>
              <w:rPr>
                <w:spacing w:val="56"/>
                <w:sz w:val="24"/>
              </w:rPr>
              <w:t> </w:t>
            </w:r>
            <w:r>
              <w:rPr>
                <w:spacing w:val="7"/>
                <w:sz w:val="24"/>
              </w:rPr>
              <w:t>(LR/RC)</w:t>
            </w:r>
          </w:p>
        </w:tc>
        <w:tc>
          <w:tcPr>
            <w:tcW w:w="4395" w:type="dxa"/>
            <w:shd w:val="clear" w:color="auto" w:fill="EDEBE0"/>
          </w:tcPr>
          <w:p>
            <w:pPr>
              <w:pStyle w:val="TableParagraph"/>
              <w:tabs>
                <w:tab w:pos="1403" w:val="left" w:leader="none"/>
                <w:tab w:pos="2046" w:val="left" w:leader="none"/>
                <w:tab w:pos="2525" w:val="left" w:leader="none"/>
                <w:tab w:pos="3007" w:val="left" w:leader="none"/>
              </w:tabs>
              <w:spacing w:line="281" w:lineRule="exact"/>
              <w:ind w:left="4"/>
              <w:rPr>
                <w:sz w:val="24"/>
              </w:rPr>
            </w:pPr>
            <w:r>
              <w:rPr>
                <w:spacing w:val="-2"/>
                <w:sz w:val="24"/>
              </w:rPr>
              <w:t>Incentive</w:t>
            </w:r>
            <w:r>
              <w:rPr>
                <w:sz w:val="24"/>
              </w:rPr>
              <w:tab/>
            </w:r>
            <w:r>
              <w:rPr>
                <w:spacing w:val="-5"/>
                <w:sz w:val="24"/>
              </w:rPr>
              <w:t>(As</w:t>
            </w:r>
            <w:r>
              <w:rPr>
                <w:sz w:val="24"/>
              </w:rPr>
              <w:tab/>
            </w:r>
            <w:r>
              <w:rPr>
                <w:spacing w:val="-10"/>
                <w:sz w:val="24"/>
              </w:rPr>
              <w:t>%</w:t>
            </w:r>
            <w:r>
              <w:rPr>
                <w:sz w:val="24"/>
              </w:rPr>
              <w:tab/>
            </w:r>
            <w:r>
              <w:rPr>
                <w:spacing w:val="-5"/>
                <w:sz w:val="24"/>
              </w:rPr>
              <w:t>of</w:t>
            </w:r>
            <w:r>
              <w:rPr>
                <w:sz w:val="24"/>
              </w:rPr>
              <w:tab/>
            </w:r>
            <w:r>
              <w:rPr>
                <w:spacing w:val="-2"/>
                <w:sz w:val="24"/>
              </w:rPr>
              <w:t>Admissible</w:t>
            </w:r>
          </w:p>
          <w:p>
            <w:pPr>
              <w:pStyle w:val="TableParagraph"/>
              <w:spacing w:line="261" w:lineRule="exact" w:before="1"/>
              <w:ind w:left="4"/>
              <w:rPr>
                <w:sz w:val="24"/>
              </w:rPr>
            </w:pPr>
            <w:r>
              <w:rPr>
                <w:spacing w:val="2"/>
                <w:sz w:val="24"/>
              </w:rPr>
              <w:t>Rehabilitation</w:t>
            </w:r>
            <w:r>
              <w:rPr>
                <w:spacing w:val="73"/>
                <w:w w:val="150"/>
                <w:sz w:val="24"/>
              </w:rPr>
              <w:t> </w:t>
            </w:r>
            <w:r>
              <w:rPr>
                <w:spacing w:val="-4"/>
                <w:sz w:val="24"/>
              </w:rPr>
              <w:t>Area)</w:t>
            </w:r>
          </w:p>
        </w:tc>
      </w:tr>
      <w:tr>
        <w:trPr>
          <w:trHeight w:val="280" w:hRule="atLeast"/>
        </w:trPr>
        <w:tc>
          <w:tcPr>
            <w:tcW w:w="3118" w:type="dxa"/>
          </w:tcPr>
          <w:p>
            <w:pPr>
              <w:pStyle w:val="TableParagraph"/>
              <w:spacing w:line="260" w:lineRule="exact"/>
              <w:ind w:left="4"/>
              <w:rPr>
                <w:sz w:val="24"/>
              </w:rPr>
            </w:pPr>
            <w:r>
              <w:rPr>
                <w:sz w:val="24"/>
              </w:rPr>
              <w:t>Above</w:t>
            </w:r>
            <w:r>
              <w:rPr>
                <w:spacing w:val="55"/>
                <w:sz w:val="24"/>
              </w:rPr>
              <w:t> </w:t>
            </w:r>
            <w:r>
              <w:rPr>
                <w:spacing w:val="5"/>
                <w:sz w:val="24"/>
              </w:rPr>
              <w:t>6.00</w:t>
            </w:r>
          </w:p>
        </w:tc>
        <w:tc>
          <w:tcPr>
            <w:tcW w:w="4395" w:type="dxa"/>
          </w:tcPr>
          <w:p>
            <w:pPr>
              <w:pStyle w:val="TableParagraph"/>
              <w:spacing w:line="260" w:lineRule="exact"/>
              <w:ind w:left="998"/>
              <w:rPr>
                <w:sz w:val="24"/>
              </w:rPr>
            </w:pPr>
            <w:r>
              <w:rPr>
                <w:spacing w:val="-5"/>
                <w:sz w:val="24"/>
              </w:rPr>
              <w:t>40%</w:t>
            </w:r>
          </w:p>
        </w:tc>
      </w:tr>
      <w:tr>
        <w:trPr>
          <w:trHeight w:val="563" w:hRule="atLeast"/>
        </w:trPr>
        <w:tc>
          <w:tcPr>
            <w:tcW w:w="3118" w:type="dxa"/>
          </w:tcPr>
          <w:p>
            <w:pPr>
              <w:pStyle w:val="TableParagraph"/>
              <w:spacing w:line="280" w:lineRule="exact"/>
              <w:ind w:left="4" w:right="106"/>
              <w:rPr>
                <w:sz w:val="24"/>
              </w:rPr>
            </w:pPr>
            <w:r>
              <w:rPr>
                <w:sz w:val="24"/>
              </w:rPr>
              <w:t>Above 4.00 and up to </w:t>
            </w:r>
            <w:r>
              <w:rPr>
                <w:spacing w:val="-4"/>
                <w:sz w:val="24"/>
              </w:rPr>
              <w:t>6.00</w:t>
            </w:r>
          </w:p>
        </w:tc>
        <w:tc>
          <w:tcPr>
            <w:tcW w:w="4395" w:type="dxa"/>
          </w:tcPr>
          <w:p>
            <w:pPr>
              <w:pStyle w:val="TableParagraph"/>
              <w:spacing w:before="1"/>
              <w:ind w:left="998"/>
              <w:rPr>
                <w:sz w:val="24"/>
              </w:rPr>
            </w:pPr>
            <w:r>
              <w:rPr>
                <w:spacing w:val="-5"/>
                <w:sz w:val="24"/>
              </w:rPr>
              <w:t>50%</w:t>
            </w:r>
          </w:p>
        </w:tc>
      </w:tr>
      <w:tr>
        <w:trPr>
          <w:trHeight w:val="563" w:hRule="atLeast"/>
        </w:trPr>
        <w:tc>
          <w:tcPr>
            <w:tcW w:w="3118" w:type="dxa"/>
          </w:tcPr>
          <w:p>
            <w:pPr>
              <w:pStyle w:val="TableParagraph"/>
              <w:spacing w:line="282" w:lineRule="exact"/>
              <w:ind w:left="4" w:right="106"/>
              <w:rPr>
                <w:sz w:val="24"/>
              </w:rPr>
            </w:pPr>
            <w:r>
              <w:rPr>
                <w:sz w:val="24"/>
              </w:rPr>
              <w:t>Above 2.00 and up to </w:t>
            </w:r>
            <w:r>
              <w:rPr>
                <w:spacing w:val="-4"/>
                <w:sz w:val="24"/>
              </w:rPr>
              <w:t>4.00</w:t>
            </w:r>
          </w:p>
        </w:tc>
        <w:tc>
          <w:tcPr>
            <w:tcW w:w="4395" w:type="dxa"/>
          </w:tcPr>
          <w:p>
            <w:pPr>
              <w:pStyle w:val="TableParagraph"/>
              <w:spacing w:before="1"/>
              <w:ind w:left="998"/>
              <w:rPr>
                <w:sz w:val="24"/>
              </w:rPr>
            </w:pPr>
            <w:r>
              <w:rPr>
                <w:spacing w:val="-5"/>
                <w:sz w:val="24"/>
              </w:rPr>
              <w:t>60%</w:t>
            </w:r>
          </w:p>
        </w:tc>
      </w:tr>
      <w:tr>
        <w:trPr>
          <w:trHeight w:val="282" w:hRule="atLeast"/>
        </w:trPr>
        <w:tc>
          <w:tcPr>
            <w:tcW w:w="3118" w:type="dxa"/>
          </w:tcPr>
          <w:p>
            <w:pPr>
              <w:pStyle w:val="TableParagraph"/>
              <w:spacing w:line="263" w:lineRule="exact"/>
              <w:ind w:left="4"/>
              <w:rPr>
                <w:sz w:val="24"/>
              </w:rPr>
            </w:pPr>
            <w:r>
              <w:rPr>
                <w:sz w:val="24"/>
              </w:rPr>
              <w:t>Up</w:t>
            </w:r>
            <w:r>
              <w:rPr>
                <w:spacing w:val="26"/>
                <w:sz w:val="24"/>
              </w:rPr>
              <w:t> </w:t>
            </w:r>
            <w:r>
              <w:rPr>
                <w:sz w:val="24"/>
              </w:rPr>
              <w:t>to</w:t>
            </w:r>
            <w:r>
              <w:rPr>
                <w:spacing w:val="28"/>
                <w:sz w:val="24"/>
              </w:rPr>
              <w:t> </w:t>
            </w:r>
            <w:r>
              <w:rPr>
                <w:spacing w:val="-4"/>
                <w:sz w:val="24"/>
              </w:rPr>
              <w:t>2.00</w:t>
            </w:r>
          </w:p>
        </w:tc>
        <w:tc>
          <w:tcPr>
            <w:tcW w:w="4395" w:type="dxa"/>
          </w:tcPr>
          <w:p>
            <w:pPr>
              <w:pStyle w:val="TableParagraph"/>
              <w:spacing w:line="263" w:lineRule="exact"/>
              <w:ind w:left="998"/>
              <w:rPr>
                <w:sz w:val="24"/>
              </w:rPr>
            </w:pPr>
            <w:r>
              <w:rPr>
                <w:spacing w:val="-5"/>
                <w:sz w:val="24"/>
              </w:rPr>
              <w:t>70%</w:t>
            </w:r>
          </w:p>
        </w:tc>
      </w:tr>
    </w:tbl>
    <w:p>
      <w:pPr>
        <w:pStyle w:val="BodyText"/>
        <w:spacing w:before="42"/>
        <w:jc w:val="left"/>
      </w:pPr>
    </w:p>
    <w:p>
      <w:pPr>
        <w:pStyle w:val="BodyText"/>
        <w:ind w:left="2335" w:right="786"/>
      </w:pPr>
      <w:r>
        <w:rPr/>
        <w:t>Provided</w:t>
      </w:r>
      <w:r>
        <w:rPr>
          <w:spacing w:val="40"/>
        </w:rPr>
        <w:t> </w:t>
      </w:r>
      <w:r>
        <w:rPr/>
        <w:t>that</w:t>
      </w:r>
      <w:r>
        <w:rPr>
          <w:spacing w:val="40"/>
        </w:rPr>
        <w:t> </w:t>
      </w:r>
      <w:r>
        <w:rPr/>
        <w:t>the</w:t>
      </w:r>
      <w:r>
        <w:rPr>
          <w:spacing w:val="40"/>
        </w:rPr>
        <w:t> </w:t>
      </w:r>
      <w:r>
        <w:rPr/>
        <w:t>above</w:t>
      </w:r>
      <w:r>
        <w:rPr>
          <w:spacing w:val="40"/>
        </w:rPr>
        <w:t> </w:t>
      </w:r>
      <w:r>
        <w:rPr/>
        <w:t>incentive</w:t>
      </w:r>
      <w:r>
        <w:rPr>
          <w:spacing w:val="40"/>
        </w:rPr>
        <w:t> </w:t>
      </w:r>
      <w:r>
        <w:rPr/>
        <w:t>will</w:t>
      </w:r>
      <w:r>
        <w:rPr>
          <w:spacing w:val="40"/>
        </w:rPr>
        <w:t> </w:t>
      </w:r>
      <w:r>
        <w:rPr/>
        <w:t>be</w:t>
      </w:r>
      <w:r>
        <w:rPr>
          <w:spacing w:val="40"/>
        </w:rPr>
        <w:t> </w:t>
      </w:r>
      <w:r>
        <w:rPr/>
        <w:t>subject</w:t>
      </w:r>
      <w:r>
        <w:rPr>
          <w:spacing w:val="40"/>
        </w:rPr>
        <w:t> </w:t>
      </w:r>
      <w:r>
        <w:rPr/>
        <w:t>to</w:t>
      </w:r>
      <w:r>
        <w:rPr>
          <w:spacing w:val="40"/>
        </w:rPr>
        <w:t> </w:t>
      </w:r>
      <w:r>
        <w:rPr/>
        <w:t>the availability of the FSI on the Plot under redevelopment and its distribution by </w:t>
      </w:r>
      <w:r>
        <w:rPr>
          <w:spacing w:val="9"/>
        </w:rPr>
        <w:t>MHADA.</w:t>
      </w:r>
    </w:p>
    <w:p>
      <w:pPr>
        <w:pStyle w:val="BodyText"/>
        <w:spacing w:before="40"/>
        <w:ind w:left="2335" w:right="779"/>
      </w:pPr>
      <w:r>
        <w:rPr/>
        <w:t>Provided further that in case there are more than one land rate applicable to different parts of the plot under </w:t>
      </w:r>
      <w:r>
        <w:rPr>
          <w:spacing w:val="9"/>
        </w:rPr>
        <w:t>redevelopment, </w:t>
      </w:r>
      <w:r>
        <w:rPr/>
        <w:t>a weighted average of all the applicable rates shall be taken for calculating the Average Land Rate and the Basic Ratio. Provided further</w:t>
      </w:r>
      <w:r>
        <w:rPr>
          <w:spacing w:val="40"/>
        </w:rPr>
        <w:t> </w:t>
      </w:r>
      <w:r>
        <w:rPr/>
        <w:t>that</w:t>
      </w:r>
      <w:r>
        <w:rPr>
          <w:spacing w:val="40"/>
        </w:rPr>
        <w:t> </w:t>
      </w:r>
      <w:r>
        <w:rPr/>
        <w:t>the</w:t>
      </w:r>
      <w:r>
        <w:rPr>
          <w:spacing w:val="40"/>
        </w:rPr>
        <w:t> </w:t>
      </w:r>
      <w:r>
        <w:rPr/>
        <w:t>Land</w:t>
      </w:r>
      <w:r>
        <w:rPr>
          <w:spacing w:val="40"/>
        </w:rPr>
        <w:t> </w:t>
      </w:r>
      <w:r>
        <w:rPr/>
        <w:t>Rate</w:t>
      </w:r>
      <w:r>
        <w:rPr>
          <w:spacing w:val="40"/>
        </w:rPr>
        <w:t> </w:t>
      </w:r>
      <w:r>
        <w:rPr/>
        <w:t>(LR)</w:t>
      </w:r>
      <w:r>
        <w:rPr>
          <w:spacing w:val="40"/>
        </w:rPr>
        <w:t> </w:t>
      </w:r>
      <w:r>
        <w:rPr/>
        <w:t>and</w:t>
      </w:r>
      <w:r>
        <w:rPr>
          <w:spacing w:val="40"/>
        </w:rPr>
        <w:t> </w:t>
      </w:r>
      <w:r>
        <w:rPr/>
        <w:t>the</w:t>
      </w:r>
      <w:r>
        <w:rPr>
          <w:spacing w:val="40"/>
        </w:rPr>
        <w:t> </w:t>
      </w:r>
      <w:r>
        <w:rPr/>
        <w:t>Rate</w:t>
      </w:r>
      <w:r>
        <w:rPr>
          <w:spacing w:val="40"/>
        </w:rPr>
        <w:t> </w:t>
      </w:r>
      <w:r>
        <w:rPr/>
        <w:t>of</w:t>
      </w:r>
      <w:r>
        <w:rPr>
          <w:spacing w:val="40"/>
        </w:rPr>
        <w:t> </w:t>
      </w:r>
      <w:r>
        <w:rPr/>
        <w:t>Construction</w:t>
      </w:r>
      <w:r>
        <w:rPr>
          <w:spacing w:val="40"/>
        </w:rPr>
        <w:t> </w:t>
      </w:r>
      <w:r>
        <w:rPr/>
        <w:t>(RC)</w:t>
      </w:r>
      <w:r>
        <w:rPr>
          <w:spacing w:val="37"/>
        </w:rPr>
        <w:t> </w:t>
      </w:r>
      <w:r>
        <w:rPr/>
        <w:t>for</w:t>
      </w:r>
      <w:r>
        <w:rPr>
          <w:spacing w:val="40"/>
        </w:rPr>
        <w:t> </w:t>
      </w:r>
      <w:r>
        <w:rPr/>
        <w:t>calculation</w:t>
      </w:r>
      <w:r>
        <w:rPr>
          <w:spacing w:val="40"/>
        </w:rPr>
        <w:t> </w:t>
      </w:r>
      <w:r>
        <w:rPr/>
        <w:t>of</w:t>
      </w:r>
      <w:r>
        <w:rPr>
          <w:spacing w:val="37"/>
        </w:rPr>
        <w:t> </w:t>
      </w:r>
      <w:r>
        <w:rPr/>
        <w:t>the</w:t>
      </w:r>
      <w:r>
        <w:rPr>
          <w:spacing w:val="40"/>
        </w:rPr>
        <w:t> </w:t>
      </w:r>
      <w:r>
        <w:rPr/>
        <w:t>Basic</w:t>
      </w:r>
      <w:r>
        <w:rPr>
          <w:spacing w:val="40"/>
        </w:rPr>
        <w:t> </w:t>
      </w:r>
      <w:r>
        <w:rPr/>
        <w:t>Ratio</w:t>
      </w:r>
      <w:r>
        <w:rPr>
          <w:spacing w:val="40"/>
        </w:rPr>
        <w:t> </w:t>
      </w:r>
      <w:r>
        <w:rPr/>
        <w:t>shall</w:t>
      </w:r>
      <w:r>
        <w:rPr>
          <w:spacing w:val="37"/>
        </w:rPr>
        <w:t> </w:t>
      </w:r>
      <w:r>
        <w:rPr/>
        <w:t>be</w:t>
      </w:r>
      <w:r>
        <w:rPr>
          <w:spacing w:val="40"/>
        </w:rPr>
        <w:t> </w:t>
      </w:r>
      <w:r>
        <w:rPr/>
        <w:t>taken</w:t>
      </w:r>
      <w:r>
        <w:rPr>
          <w:spacing w:val="36"/>
        </w:rPr>
        <w:t> </w:t>
      </w:r>
      <w:r>
        <w:rPr/>
        <w:t>for</w:t>
      </w:r>
      <w:r>
        <w:rPr>
          <w:spacing w:val="40"/>
        </w:rPr>
        <w:t> </w:t>
      </w:r>
      <w:r>
        <w:rPr/>
        <w:t>the</w:t>
      </w:r>
      <w:r>
        <w:rPr>
          <w:spacing w:val="37"/>
        </w:rPr>
        <w:t> </w:t>
      </w:r>
      <w:r>
        <w:rPr/>
        <w:t>year in</w:t>
      </w:r>
      <w:r>
        <w:rPr>
          <w:spacing w:val="40"/>
        </w:rPr>
        <w:t> </w:t>
      </w:r>
      <w:r>
        <w:rPr/>
        <w:t>which</w:t>
      </w:r>
      <w:r>
        <w:rPr>
          <w:spacing w:val="40"/>
        </w:rPr>
        <w:t> </w:t>
      </w:r>
      <w:r>
        <w:rPr/>
        <w:t>the</w:t>
      </w:r>
      <w:r>
        <w:rPr>
          <w:spacing w:val="40"/>
        </w:rPr>
        <w:t> </w:t>
      </w:r>
      <w:r>
        <w:rPr>
          <w:spacing w:val="9"/>
        </w:rPr>
        <w:t>redevelopment</w:t>
      </w:r>
      <w:r>
        <w:rPr>
          <w:spacing w:val="40"/>
        </w:rPr>
        <w:t> </w:t>
      </w:r>
      <w:r>
        <w:rPr/>
        <w:t>project</w:t>
      </w:r>
      <w:r>
        <w:rPr>
          <w:spacing w:val="40"/>
        </w:rPr>
        <w:t> </w:t>
      </w:r>
      <w:r>
        <w:rPr/>
        <w:t>is</w:t>
      </w:r>
      <w:r>
        <w:rPr>
          <w:spacing w:val="40"/>
        </w:rPr>
        <w:t> </w:t>
      </w:r>
      <w:r>
        <w:rPr/>
        <w:t>approved</w:t>
      </w:r>
      <w:r>
        <w:rPr>
          <w:spacing w:val="40"/>
        </w:rPr>
        <w:t> </w:t>
      </w:r>
      <w:r>
        <w:rPr/>
        <w:t>by</w:t>
      </w:r>
      <w:r>
        <w:rPr>
          <w:spacing w:val="40"/>
        </w:rPr>
        <w:t> </w:t>
      </w:r>
      <w:r>
        <w:rPr/>
        <w:t>the Competent Authority.</w:t>
      </w:r>
    </w:p>
    <w:p>
      <w:pPr>
        <w:pStyle w:val="BodyText"/>
        <w:spacing w:before="81"/>
        <w:jc w:val="left"/>
      </w:pPr>
    </w:p>
    <w:p>
      <w:pPr>
        <w:pStyle w:val="ListParagraph"/>
        <w:numPr>
          <w:ilvl w:val="0"/>
          <w:numId w:val="142"/>
        </w:numPr>
        <w:tabs>
          <w:tab w:pos="2689" w:val="left" w:leader="none"/>
        </w:tabs>
        <w:spacing w:line="240" w:lineRule="auto" w:before="0" w:after="0"/>
        <w:ind w:left="2689" w:right="0" w:hanging="354"/>
        <w:jc w:val="both"/>
        <w:rPr>
          <w:sz w:val="24"/>
        </w:rPr>
      </w:pPr>
      <w:r>
        <w:rPr>
          <w:sz w:val="24"/>
        </w:rPr>
        <w:t>Sharing</w:t>
      </w:r>
      <w:r>
        <w:rPr>
          <w:spacing w:val="54"/>
          <w:sz w:val="24"/>
        </w:rPr>
        <w:t> </w:t>
      </w:r>
      <w:r>
        <w:rPr>
          <w:sz w:val="24"/>
        </w:rPr>
        <w:t>of</w:t>
      </w:r>
      <w:r>
        <w:rPr>
          <w:spacing w:val="54"/>
          <w:sz w:val="24"/>
        </w:rPr>
        <w:t> </w:t>
      </w:r>
      <w:r>
        <w:rPr>
          <w:sz w:val="24"/>
        </w:rPr>
        <w:t>the</w:t>
      </w:r>
      <w:r>
        <w:rPr>
          <w:spacing w:val="54"/>
          <w:sz w:val="24"/>
        </w:rPr>
        <w:t> </w:t>
      </w:r>
      <w:r>
        <w:rPr>
          <w:sz w:val="24"/>
        </w:rPr>
        <w:t>Balance</w:t>
      </w:r>
      <w:r>
        <w:rPr>
          <w:spacing w:val="55"/>
          <w:sz w:val="24"/>
        </w:rPr>
        <w:t> </w:t>
      </w:r>
      <w:r>
        <w:rPr>
          <w:spacing w:val="-4"/>
          <w:sz w:val="24"/>
        </w:rPr>
        <w:t>FSI:</w:t>
      </w:r>
    </w:p>
    <w:p>
      <w:pPr>
        <w:pStyle w:val="BodyText"/>
        <w:spacing w:before="40"/>
        <w:ind w:left="2335" w:right="785"/>
      </w:pPr>
      <w:r>
        <w:rPr/>
        <w:t>The</w:t>
      </w:r>
      <w:r>
        <w:rPr>
          <w:spacing w:val="40"/>
        </w:rPr>
        <w:t> </w:t>
      </w:r>
      <w:r>
        <w:rPr/>
        <w:t>FSI</w:t>
      </w:r>
      <w:r>
        <w:rPr>
          <w:spacing w:val="40"/>
        </w:rPr>
        <w:t> </w:t>
      </w:r>
      <w:r>
        <w:rPr/>
        <w:t>remaining</w:t>
      </w:r>
      <w:r>
        <w:rPr>
          <w:spacing w:val="40"/>
        </w:rPr>
        <w:t> </w:t>
      </w:r>
      <w:r>
        <w:rPr/>
        <w:t>in</w:t>
      </w:r>
      <w:r>
        <w:rPr>
          <w:spacing w:val="40"/>
        </w:rPr>
        <w:t> </w:t>
      </w:r>
      <w:r>
        <w:rPr/>
        <w:t>balance</w:t>
      </w:r>
      <w:r>
        <w:rPr>
          <w:spacing w:val="40"/>
        </w:rPr>
        <w:t> </w:t>
      </w:r>
      <w:r>
        <w:rPr/>
        <w:t>after</w:t>
      </w:r>
      <w:r>
        <w:rPr>
          <w:spacing w:val="40"/>
        </w:rPr>
        <w:t> </w:t>
      </w:r>
      <w:r>
        <w:rPr/>
        <w:t>providing</w:t>
      </w:r>
      <w:r>
        <w:rPr>
          <w:spacing w:val="40"/>
        </w:rPr>
        <w:t> </w:t>
      </w:r>
      <w:r>
        <w:rPr/>
        <w:t>for</w:t>
      </w:r>
      <w:r>
        <w:rPr>
          <w:spacing w:val="40"/>
        </w:rPr>
        <w:t> </w:t>
      </w:r>
      <w:r>
        <w:rPr/>
        <w:t>the</w:t>
      </w:r>
      <w:r>
        <w:rPr>
          <w:spacing w:val="80"/>
        </w:rPr>
        <w:t> </w:t>
      </w:r>
      <w:r>
        <w:rPr/>
        <w:t>rehabilitation</w:t>
      </w:r>
      <w:r>
        <w:rPr>
          <w:spacing w:val="58"/>
          <w:w w:val="150"/>
        </w:rPr>
        <w:t> </w:t>
      </w:r>
      <w:r>
        <w:rPr/>
        <w:t>and</w:t>
      </w:r>
      <w:r>
        <w:rPr>
          <w:spacing w:val="61"/>
          <w:w w:val="150"/>
        </w:rPr>
        <w:t> </w:t>
      </w:r>
      <w:r>
        <w:rPr/>
        <w:t>the</w:t>
      </w:r>
      <w:r>
        <w:rPr>
          <w:spacing w:val="55"/>
          <w:w w:val="150"/>
        </w:rPr>
        <w:t> </w:t>
      </w:r>
      <w:r>
        <w:rPr/>
        <w:t>incentive</w:t>
      </w:r>
      <w:r>
        <w:rPr>
          <w:spacing w:val="56"/>
          <w:w w:val="150"/>
        </w:rPr>
        <w:t> </w:t>
      </w:r>
      <w:r>
        <w:rPr/>
        <w:t>components,</w:t>
      </w:r>
      <w:r>
        <w:rPr>
          <w:spacing w:val="70"/>
          <w:w w:val="150"/>
        </w:rPr>
        <w:t> </w:t>
      </w:r>
      <w:r>
        <w:rPr/>
        <w:t>calculated</w:t>
      </w:r>
      <w:r>
        <w:rPr>
          <w:spacing w:val="59"/>
          <w:w w:val="150"/>
        </w:rPr>
        <w:t> </w:t>
      </w:r>
      <w:r>
        <w:rPr/>
        <w:t>as</w:t>
      </w:r>
      <w:r>
        <w:rPr>
          <w:spacing w:val="55"/>
          <w:w w:val="150"/>
        </w:rPr>
        <w:t> </w:t>
      </w:r>
      <w:r>
        <w:rPr>
          <w:spacing w:val="-5"/>
        </w:rPr>
        <w:t>per</w:t>
      </w:r>
    </w:p>
    <w:p>
      <w:pPr>
        <w:pStyle w:val="BodyText"/>
        <w:spacing w:before="1"/>
        <w:ind w:left="2335" w:right="779"/>
      </w:pPr>
      <w:r>
        <w:rPr/>
        <w:t>(A) and (B) above </w:t>
      </w:r>
      <w:r>
        <w:rPr>
          <w:spacing w:val="9"/>
        </w:rPr>
        <w:t>respectively,</w:t>
      </w:r>
      <w:r>
        <w:rPr>
          <w:spacing w:val="9"/>
        </w:rPr>
        <w:t> </w:t>
      </w:r>
      <w:r>
        <w:rPr/>
        <w:t>shall be shared between the Cooperative Housing Society and MHADA in the form of BUA, as given</w:t>
      </w:r>
      <w:r>
        <w:rPr>
          <w:spacing w:val="35"/>
        </w:rPr>
        <w:t> </w:t>
      </w:r>
      <w:r>
        <w:rPr/>
        <w:t>in</w:t>
      </w:r>
      <w:r>
        <w:rPr>
          <w:spacing w:val="36"/>
        </w:rPr>
        <w:t> </w:t>
      </w:r>
      <w:r>
        <w:rPr/>
        <w:t>Table</w:t>
      </w:r>
      <w:r>
        <w:rPr>
          <w:spacing w:val="35"/>
        </w:rPr>
        <w:t> </w:t>
      </w:r>
      <w:r>
        <w:rPr/>
        <w:t>C</w:t>
      </w:r>
      <w:r>
        <w:rPr>
          <w:spacing w:val="33"/>
        </w:rPr>
        <w:t> </w:t>
      </w:r>
      <w:r>
        <w:rPr/>
        <w:t>below</w:t>
      </w:r>
      <w:r>
        <w:rPr>
          <w:spacing w:val="33"/>
        </w:rPr>
        <w:t> </w:t>
      </w:r>
      <w:r>
        <w:rPr/>
        <w:t>and</w:t>
      </w:r>
      <w:r>
        <w:rPr>
          <w:spacing w:val="33"/>
        </w:rPr>
        <w:t> </w:t>
      </w:r>
      <w:r>
        <w:rPr/>
        <w:t>the</w:t>
      </w:r>
      <w:r>
        <w:rPr>
          <w:spacing w:val="42"/>
        </w:rPr>
        <w:t> </w:t>
      </w:r>
      <w:r>
        <w:rPr/>
        <w:t>share</w:t>
      </w:r>
      <w:r>
        <w:rPr>
          <w:spacing w:val="35"/>
        </w:rPr>
        <w:t> </w:t>
      </w:r>
      <w:r>
        <w:rPr/>
        <w:t>of</w:t>
      </w:r>
      <w:r>
        <w:rPr>
          <w:spacing w:val="33"/>
        </w:rPr>
        <w:t> </w:t>
      </w:r>
      <w:r>
        <w:rPr/>
        <w:t>MHADA</w:t>
      </w:r>
      <w:r>
        <w:rPr>
          <w:spacing w:val="33"/>
        </w:rPr>
        <w:t> </w:t>
      </w:r>
      <w:r>
        <w:rPr/>
        <w:t>shall</w:t>
      </w:r>
      <w:r>
        <w:rPr>
          <w:spacing w:val="36"/>
        </w:rPr>
        <w:t> </w:t>
      </w:r>
      <w:r>
        <w:rPr/>
        <w:t>be</w:t>
      </w:r>
      <w:r>
        <w:rPr>
          <w:spacing w:val="36"/>
        </w:rPr>
        <w:t> </w:t>
      </w:r>
      <w:r>
        <w:rPr>
          <w:spacing w:val="-2"/>
        </w:rPr>
        <w:t>handed</w:t>
      </w:r>
    </w:p>
    <w:p>
      <w:pPr>
        <w:pStyle w:val="BodyText"/>
        <w:spacing w:after="0"/>
        <w:sectPr>
          <w:pgSz w:w="11910" w:h="16840"/>
          <w:pgMar w:header="1065" w:footer="1194" w:top="1500" w:bottom="1380" w:left="360" w:right="360"/>
        </w:sectPr>
      </w:pPr>
    </w:p>
    <w:p>
      <w:pPr>
        <w:pStyle w:val="BodyText"/>
        <w:spacing w:before="249"/>
        <w:ind w:left="2335"/>
        <w:jc w:val="left"/>
      </w:pPr>
      <w:r>
        <w:rPr/>
        <w:t>over</w:t>
      </w:r>
      <w:r>
        <w:rPr>
          <w:spacing w:val="41"/>
        </w:rPr>
        <w:t> </w:t>
      </w:r>
      <w:r>
        <w:rPr/>
        <w:t>to</w:t>
      </w:r>
      <w:r>
        <w:rPr>
          <w:spacing w:val="42"/>
        </w:rPr>
        <w:t> </w:t>
      </w:r>
      <w:r>
        <w:rPr/>
        <w:t>MHADA</w:t>
      </w:r>
      <w:r>
        <w:rPr>
          <w:spacing w:val="42"/>
        </w:rPr>
        <w:t> </w:t>
      </w:r>
      <w:r>
        <w:rPr/>
        <w:t>free</w:t>
      </w:r>
      <w:r>
        <w:rPr>
          <w:spacing w:val="42"/>
        </w:rPr>
        <w:t> </w:t>
      </w:r>
      <w:r>
        <w:rPr/>
        <w:t>of</w:t>
      </w:r>
      <w:r>
        <w:rPr>
          <w:spacing w:val="42"/>
        </w:rPr>
        <w:t> </w:t>
      </w:r>
      <w:r>
        <w:rPr>
          <w:spacing w:val="-4"/>
        </w:rPr>
        <w:t>cost.</w:t>
      </w:r>
    </w:p>
    <w:p>
      <w:pPr>
        <w:pStyle w:val="BodyText"/>
        <w:spacing w:before="42"/>
        <w:ind w:left="1688"/>
        <w:jc w:val="center"/>
      </w:pPr>
      <w:r>
        <w:rPr/>
        <w:t>Table</w:t>
      </w:r>
      <w:r>
        <w:rPr>
          <w:spacing w:val="53"/>
        </w:rPr>
        <w:t> </w:t>
      </w:r>
      <w:r>
        <w:rPr>
          <w:spacing w:val="-10"/>
        </w:rPr>
        <w:t>C</w:t>
      </w:r>
    </w:p>
    <w:tbl>
      <w:tblPr>
        <w:tblW w:w="0" w:type="auto"/>
        <w:jc w:val="left"/>
        <w:tblInd w:w="2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9"/>
        <w:gridCol w:w="2410"/>
        <w:gridCol w:w="1844"/>
      </w:tblGrid>
      <w:tr>
        <w:trPr>
          <w:trHeight w:val="361" w:hRule="atLeast"/>
        </w:trPr>
        <w:tc>
          <w:tcPr>
            <w:tcW w:w="2979" w:type="dxa"/>
            <w:vMerge w:val="restart"/>
            <w:shd w:val="clear" w:color="auto" w:fill="EDEBE0"/>
          </w:tcPr>
          <w:p>
            <w:pPr>
              <w:pStyle w:val="TableParagraph"/>
              <w:spacing w:before="82"/>
              <w:rPr>
                <w:sz w:val="24"/>
              </w:rPr>
            </w:pPr>
          </w:p>
          <w:p>
            <w:pPr>
              <w:pStyle w:val="TableParagraph"/>
              <w:ind w:left="417"/>
              <w:rPr>
                <w:sz w:val="24"/>
              </w:rPr>
            </w:pPr>
            <w:r>
              <w:rPr>
                <w:sz w:val="24"/>
              </w:rPr>
              <w:t>Basic</w:t>
            </w:r>
            <w:r>
              <w:rPr>
                <w:spacing w:val="56"/>
                <w:sz w:val="24"/>
              </w:rPr>
              <w:t> </w:t>
            </w:r>
            <w:r>
              <w:rPr>
                <w:sz w:val="24"/>
              </w:rPr>
              <w:t>Ratio</w:t>
            </w:r>
            <w:r>
              <w:rPr>
                <w:spacing w:val="56"/>
                <w:sz w:val="24"/>
              </w:rPr>
              <w:t> </w:t>
            </w:r>
            <w:r>
              <w:rPr>
                <w:spacing w:val="7"/>
                <w:sz w:val="24"/>
              </w:rPr>
              <w:t>(LR/RC)</w:t>
            </w:r>
          </w:p>
        </w:tc>
        <w:tc>
          <w:tcPr>
            <w:tcW w:w="4254" w:type="dxa"/>
            <w:gridSpan w:val="2"/>
            <w:shd w:val="clear" w:color="auto" w:fill="EDEBE0"/>
          </w:tcPr>
          <w:p>
            <w:pPr>
              <w:pStyle w:val="TableParagraph"/>
              <w:spacing w:before="37"/>
              <w:ind w:left="1205"/>
              <w:rPr>
                <w:sz w:val="24"/>
              </w:rPr>
            </w:pPr>
            <w:r>
              <w:rPr>
                <w:sz w:val="24"/>
              </w:rPr>
              <w:t>Sharing</w:t>
            </w:r>
            <w:r>
              <w:rPr>
                <w:spacing w:val="60"/>
                <w:sz w:val="24"/>
              </w:rPr>
              <w:t> </w:t>
            </w:r>
            <w:r>
              <w:rPr>
                <w:sz w:val="24"/>
              </w:rPr>
              <w:t>of</w:t>
            </w:r>
            <w:r>
              <w:rPr>
                <w:spacing w:val="59"/>
                <w:sz w:val="24"/>
              </w:rPr>
              <w:t> </w:t>
            </w:r>
            <w:r>
              <w:rPr>
                <w:sz w:val="24"/>
              </w:rPr>
              <w:t>Balance</w:t>
            </w:r>
            <w:r>
              <w:rPr>
                <w:spacing w:val="61"/>
                <w:sz w:val="24"/>
              </w:rPr>
              <w:t> </w:t>
            </w:r>
            <w:r>
              <w:rPr>
                <w:spacing w:val="-5"/>
                <w:sz w:val="24"/>
              </w:rPr>
              <w:t>FSI</w:t>
            </w:r>
          </w:p>
        </w:tc>
      </w:tr>
      <w:tr>
        <w:trPr>
          <w:trHeight w:val="642" w:hRule="atLeast"/>
        </w:trPr>
        <w:tc>
          <w:tcPr>
            <w:tcW w:w="2979" w:type="dxa"/>
            <w:vMerge/>
            <w:tcBorders>
              <w:top w:val="nil"/>
            </w:tcBorders>
            <w:shd w:val="clear" w:color="auto" w:fill="EDEBE0"/>
          </w:tcPr>
          <w:p>
            <w:pPr>
              <w:rPr>
                <w:sz w:val="2"/>
                <w:szCs w:val="2"/>
              </w:rPr>
            </w:pPr>
          </w:p>
        </w:tc>
        <w:tc>
          <w:tcPr>
            <w:tcW w:w="2410" w:type="dxa"/>
            <w:shd w:val="clear" w:color="auto" w:fill="EDEBE0"/>
          </w:tcPr>
          <w:p>
            <w:pPr>
              <w:pStyle w:val="TableParagraph"/>
              <w:spacing w:before="40"/>
              <w:ind w:left="400" w:firstLine="120"/>
              <w:rPr>
                <w:sz w:val="24"/>
              </w:rPr>
            </w:pPr>
            <w:r>
              <w:rPr>
                <w:spacing w:val="7"/>
                <w:sz w:val="24"/>
              </w:rPr>
              <w:t>Cooperative </w:t>
            </w:r>
            <w:r>
              <w:rPr>
                <w:sz w:val="24"/>
              </w:rPr>
              <w:t>Society</w:t>
            </w:r>
            <w:r>
              <w:rPr>
                <w:spacing w:val="75"/>
                <w:sz w:val="24"/>
              </w:rPr>
              <w:t> </w:t>
            </w:r>
            <w:r>
              <w:rPr>
                <w:spacing w:val="-2"/>
                <w:sz w:val="24"/>
              </w:rPr>
              <w:t>Share</w:t>
            </w:r>
          </w:p>
        </w:tc>
        <w:tc>
          <w:tcPr>
            <w:tcW w:w="1844" w:type="dxa"/>
            <w:shd w:val="clear" w:color="auto" w:fill="EDEBE0"/>
          </w:tcPr>
          <w:p>
            <w:pPr>
              <w:pStyle w:val="TableParagraph"/>
              <w:spacing w:line="281" w:lineRule="exact" w:before="40"/>
              <w:ind w:left="561"/>
              <w:rPr>
                <w:sz w:val="24"/>
              </w:rPr>
            </w:pPr>
            <w:r>
              <w:rPr>
                <w:spacing w:val="-2"/>
                <w:sz w:val="24"/>
              </w:rPr>
              <w:t>MHADA</w:t>
            </w:r>
          </w:p>
          <w:p>
            <w:pPr>
              <w:pStyle w:val="TableParagraph"/>
              <w:spacing w:line="281" w:lineRule="exact"/>
              <w:ind w:left="681"/>
              <w:rPr>
                <w:sz w:val="24"/>
              </w:rPr>
            </w:pPr>
            <w:r>
              <w:rPr>
                <w:spacing w:val="-2"/>
                <w:sz w:val="24"/>
              </w:rPr>
              <w:t>Share</w:t>
            </w:r>
          </w:p>
        </w:tc>
      </w:tr>
      <w:tr>
        <w:trPr>
          <w:trHeight w:val="362" w:hRule="atLeast"/>
        </w:trPr>
        <w:tc>
          <w:tcPr>
            <w:tcW w:w="2979" w:type="dxa"/>
          </w:tcPr>
          <w:p>
            <w:pPr>
              <w:pStyle w:val="TableParagraph"/>
              <w:spacing w:before="37"/>
              <w:ind w:left="407"/>
              <w:rPr>
                <w:sz w:val="24"/>
              </w:rPr>
            </w:pPr>
            <w:r>
              <w:rPr>
                <w:sz w:val="24"/>
              </w:rPr>
              <w:t>Above</w:t>
            </w:r>
            <w:r>
              <w:rPr>
                <w:spacing w:val="55"/>
                <w:sz w:val="24"/>
              </w:rPr>
              <w:t> </w:t>
            </w:r>
            <w:r>
              <w:rPr>
                <w:spacing w:val="5"/>
                <w:sz w:val="24"/>
              </w:rPr>
              <w:t>6.00</w:t>
            </w:r>
          </w:p>
        </w:tc>
        <w:tc>
          <w:tcPr>
            <w:tcW w:w="2410" w:type="dxa"/>
          </w:tcPr>
          <w:p>
            <w:pPr>
              <w:pStyle w:val="TableParagraph"/>
              <w:spacing w:before="37"/>
              <w:ind w:right="770"/>
              <w:jc w:val="right"/>
              <w:rPr>
                <w:sz w:val="24"/>
              </w:rPr>
            </w:pPr>
            <w:r>
              <w:rPr>
                <w:spacing w:val="-5"/>
                <w:sz w:val="24"/>
              </w:rPr>
              <w:t>30%</w:t>
            </w:r>
          </w:p>
        </w:tc>
        <w:tc>
          <w:tcPr>
            <w:tcW w:w="1844" w:type="dxa"/>
          </w:tcPr>
          <w:p>
            <w:pPr>
              <w:pStyle w:val="TableParagraph"/>
              <w:spacing w:before="37"/>
              <w:ind w:right="545"/>
              <w:jc w:val="right"/>
              <w:rPr>
                <w:sz w:val="24"/>
              </w:rPr>
            </w:pPr>
            <w:r>
              <w:rPr>
                <w:spacing w:val="-5"/>
                <w:sz w:val="24"/>
              </w:rPr>
              <w:t>70%</w:t>
            </w:r>
          </w:p>
        </w:tc>
      </w:tr>
      <w:tr>
        <w:trPr>
          <w:trHeight w:val="642" w:hRule="atLeast"/>
        </w:trPr>
        <w:tc>
          <w:tcPr>
            <w:tcW w:w="2979" w:type="dxa"/>
          </w:tcPr>
          <w:p>
            <w:pPr>
              <w:pStyle w:val="TableParagraph"/>
              <w:spacing w:before="40"/>
              <w:ind w:left="146"/>
              <w:rPr>
                <w:sz w:val="24"/>
              </w:rPr>
            </w:pPr>
            <w:r>
              <w:rPr>
                <w:sz w:val="24"/>
              </w:rPr>
              <w:t>Above</w:t>
            </w:r>
            <w:r>
              <w:rPr>
                <w:spacing w:val="40"/>
                <w:sz w:val="24"/>
              </w:rPr>
              <w:t> </w:t>
            </w:r>
            <w:r>
              <w:rPr>
                <w:sz w:val="24"/>
              </w:rPr>
              <w:t>4.00</w:t>
            </w:r>
            <w:r>
              <w:rPr>
                <w:spacing w:val="40"/>
                <w:sz w:val="24"/>
              </w:rPr>
              <w:t> </w:t>
            </w:r>
            <w:r>
              <w:rPr>
                <w:sz w:val="24"/>
              </w:rPr>
              <w:t>and</w:t>
            </w:r>
            <w:r>
              <w:rPr>
                <w:spacing w:val="40"/>
                <w:sz w:val="24"/>
              </w:rPr>
              <w:t> </w:t>
            </w:r>
            <w:r>
              <w:rPr>
                <w:sz w:val="24"/>
              </w:rPr>
              <w:t>up</w:t>
            </w:r>
            <w:r>
              <w:rPr>
                <w:spacing w:val="40"/>
                <w:sz w:val="24"/>
              </w:rPr>
              <w:t> </w:t>
            </w:r>
            <w:r>
              <w:rPr>
                <w:sz w:val="24"/>
              </w:rPr>
              <w:t>to </w:t>
            </w:r>
            <w:r>
              <w:rPr>
                <w:spacing w:val="-4"/>
                <w:sz w:val="24"/>
              </w:rPr>
              <w:t>6.00</w:t>
            </w:r>
          </w:p>
        </w:tc>
        <w:tc>
          <w:tcPr>
            <w:tcW w:w="2410" w:type="dxa"/>
          </w:tcPr>
          <w:p>
            <w:pPr>
              <w:pStyle w:val="TableParagraph"/>
              <w:spacing w:before="37"/>
              <w:ind w:right="770"/>
              <w:jc w:val="right"/>
              <w:rPr>
                <w:sz w:val="24"/>
              </w:rPr>
            </w:pPr>
            <w:r>
              <w:rPr>
                <w:spacing w:val="-5"/>
                <w:sz w:val="24"/>
              </w:rPr>
              <w:t>35%</w:t>
            </w:r>
          </w:p>
        </w:tc>
        <w:tc>
          <w:tcPr>
            <w:tcW w:w="1844" w:type="dxa"/>
          </w:tcPr>
          <w:p>
            <w:pPr>
              <w:pStyle w:val="TableParagraph"/>
              <w:spacing w:before="37"/>
              <w:ind w:right="545"/>
              <w:jc w:val="right"/>
              <w:rPr>
                <w:sz w:val="24"/>
              </w:rPr>
            </w:pPr>
            <w:r>
              <w:rPr>
                <w:spacing w:val="-5"/>
                <w:sz w:val="24"/>
              </w:rPr>
              <w:t>65%</w:t>
            </w:r>
          </w:p>
        </w:tc>
      </w:tr>
      <w:tr>
        <w:trPr>
          <w:trHeight w:val="642" w:hRule="atLeast"/>
        </w:trPr>
        <w:tc>
          <w:tcPr>
            <w:tcW w:w="2979" w:type="dxa"/>
          </w:tcPr>
          <w:p>
            <w:pPr>
              <w:pStyle w:val="TableParagraph"/>
              <w:spacing w:before="40"/>
              <w:ind w:left="146"/>
              <w:rPr>
                <w:sz w:val="24"/>
              </w:rPr>
            </w:pPr>
            <w:r>
              <w:rPr>
                <w:sz w:val="24"/>
              </w:rPr>
              <w:t>Above</w:t>
            </w:r>
            <w:r>
              <w:rPr>
                <w:spacing w:val="40"/>
                <w:sz w:val="24"/>
              </w:rPr>
              <w:t> </w:t>
            </w:r>
            <w:r>
              <w:rPr>
                <w:sz w:val="24"/>
              </w:rPr>
              <w:t>2.00</w:t>
            </w:r>
            <w:r>
              <w:rPr>
                <w:spacing w:val="40"/>
                <w:sz w:val="24"/>
              </w:rPr>
              <w:t> </w:t>
            </w:r>
            <w:r>
              <w:rPr>
                <w:sz w:val="24"/>
              </w:rPr>
              <w:t>and</w:t>
            </w:r>
            <w:r>
              <w:rPr>
                <w:spacing w:val="40"/>
                <w:sz w:val="24"/>
              </w:rPr>
              <w:t> </w:t>
            </w:r>
            <w:r>
              <w:rPr>
                <w:sz w:val="24"/>
              </w:rPr>
              <w:t>up</w:t>
            </w:r>
            <w:r>
              <w:rPr>
                <w:spacing w:val="40"/>
                <w:sz w:val="24"/>
              </w:rPr>
              <w:t> </w:t>
            </w:r>
            <w:r>
              <w:rPr>
                <w:sz w:val="24"/>
              </w:rPr>
              <w:t>to </w:t>
            </w:r>
            <w:r>
              <w:rPr>
                <w:spacing w:val="-4"/>
                <w:sz w:val="24"/>
              </w:rPr>
              <w:t>4.00</w:t>
            </w:r>
          </w:p>
        </w:tc>
        <w:tc>
          <w:tcPr>
            <w:tcW w:w="2410" w:type="dxa"/>
          </w:tcPr>
          <w:p>
            <w:pPr>
              <w:pStyle w:val="TableParagraph"/>
              <w:spacing w:before="37"/>
              <w:ind w:right="770"/>
              <w:jc w:val="right"/>
              <w:rPr>
                <w:sz w:val="24"/>
              </w:rPr>
            </w:pPr>
            <w:r>
              <w:rPr>
                <w:spacing w:val="-5"/>
                <w:sz w:val="24"/>
              </w:rPr>
              <w:t>40%</w:t>
            </w:r>
          </w:p>
        </w:tc>
        <w:tc>
          <w:tcPr>
            <w:tcW w:w="1844" w:type="dxa"/>
          </w:tcPr>
          <w:p>
            <w:pPr>
              <w:pStyle w:val="TableParagraph"/>
              <w:spacing w:before="37"/>
              <w:ind w:right="545"/>
              <w:jc w:val="right"/>
              <w:rPr>
                <w:sz w:val="24"/>
              </w:rPr>
            </w:pPr>
            <w:r>
              <w:rPr>
                <w:spacing w:val="-5"/>
                <w:sz w:val="24"/>
              </w:rPr>
              <w:t>60%</w:t>
            </w:r>
          </w:p>
        </w:tc>
      </w:tr>
      <w:tr>
        <w:trPr>
          <w:trHeight w:val="365" w:hRule="atLeast"/>
        </w:trPr>
        <w:tc>
          <w:tcPr>
            <w:tcW w:w="2979" w:type="dxa"/>
          </w:tcPr>
          <w:p>
            <w:pPr>
              <w:pStyle w:val="TableParagraph"/>
              <w:spacing w:before="40"/>
              <w:ind w:left="407"/>
              <w:rPr>
                <w:sz w:val="24"/>
              </w:rPr>
            </w:pPr>
            <w:r>
              <w:rPr>
                <w:sz w:val="24"/>
              </w:rPr>
              <w:t>Up</w:t>
            </w:r>
            <w:r>
              <w:rPr>
                <w:spacing w:val="26"/>
                <w:sz w:val="24"/>
              </w:rPr>
              <w:t> </w:t>
            </w:r>
            <w:r>
              <w:rPr>
                <w:sz w:val="24"/>
              </w:rPr>
              <w:t>to</w:t>
            </w:r>
            <w:r>
              <w:rPr>
                <w:spacing w:val="28"/>
                <w:sz w:val="24"/>
              </w:rPr>
              <w:t> </w:t>
            </w:r>
            <w:r>
              <w:rPr>
                <w:spacing w:val="-4"/>
                <w:sz w:val="24"/>
              </w:rPr>
              <w:t>2.00</w:t>
            </w:r>
          </w:p>
        </w:tc>
        <w:tc>
          <w:tcPr>
            <w:tcW w:w="2410" w:type="dxa"/>
          </w:tcPr>
          <w:p>
            <w:pPr>
              <w:pStyle w:val="TableParagraph"/>
              <w:spacing w:before="40"/>
              <w:ind w:right="770"/>
              <w:jc w:val="right"/>
              <w:rPr>
                <w:sz w:val="24"/>
              </w:rPr>
            </w:pPr>
            <w:r>
              <w:rPr>
                <w:spacing w:val="-5"/>
                <w:sz w:val="24"/>
              </w:rPr>
              <w:t>45%</w:t>
            </w:r>
          </w:p>
        </w:tc>
        <w:tc>
          <w:tcPr>
            <w:tcW w:w="1844" w:type="dxa"/>
          </w:tcPr>
          <w:p>
            <w:pPr>
              <w:pStyle w:val="TableParagraph"/>
              <w:spacing w:before="40"/>
              <w:ind w:right="545"/>
              <w:jc w:val="right"/>
              <w:rPr>
                <w:sz w:val="24"/>
              </w:rPr>
            </w:pPr>
            <w:r>
              <w:rPr>
                <w:spacing w:val="-5"/>
                <w:sz w:val="24"/>
              </w:rPr>
              <w:t>55%</w:t>
            </w:r>
          </w:p>
        </w:tc>
      </w:tr>
    </w:tbl>
    <w:p>
      <w:pPr>
        <w:pStyle w:val="BodyText"/>
        <w:spacing w:before="39"/>
        <w:jc w:val="left"/>
      </w:pPr>
    </w:p>
    <w:p>
      <w:pPr>
        <w:pStyle w:val="BodyText"/>
        <w:ind w:left="2335"/>
        <w:jc w:val="left"/>
      </w:pPr>
      <w:r>
        <w:rPr>
          <w:spacing w:val="7"/>
        </w:rPr>
        <w:t>Explanation</w:t>
      </w:r>
    </w:p>
    <w:p>
      <w:pPr>
        <w:pStyle w:val="BodyText"/>
        <w:spacing w:before="43"/>
        <w:ind w:left="2335" w:right="768"/>
      </w:pPr>
      <w:r>
        <w:rPr/>
        <w:t>*</w:t>
      </w:r>
      <w:r>
        <w:rPr>
          <w:spacing w:val="40"/>
        </w:rPr>
        <w:t> </w:t>
      </w:r>
      <w:r>
        <w:rPr/>
        <w:t>RC</w:t>
      </w:r>
      <w:r>
        <w:rPr>
          <w:spacing w:val="40"/>
        </w:rPr>
        <w:t> </w:t>
      </w:r>
      <w:r>
        <w:rPr/>
        <w:t>is</w:t>
      </w:r>
      <w:r>
        <w:rPr>
          <w:spacing w:val="40"/>
        </w:rPr>
        <w:t> </w:t>
      </w:r>
      <w:r>
        <w:rPr/>
        <w:t>the</w:t>
      </w:r>
      <w:r>
        <w:rPr>
          <w:spacing w:val="40"/>
        </w:rPr>
        <w:t> </w:t>
      </w:r>
      <w:r>
        <w:rPr/>
        <w:t>rate</w:t>
      </w:r>
      <w:r>
        <w:rPr>
          <w:spacing w:val="40"/>
        </w:rPr>
        <w:t> </w:t>
      </w:r>
      <w:r>
        <w:rPr/>
        <w:t>of</w:t>
      </w:r>
      <w:r>
        <w:rPr>
          <w:spacing w:val="40"/>
        </w:rPr>
        <w:t> </w:t>
      </w:r>
      <w:r>
        <w:rPr/>
        <w:t>construction</w:t>
      </w:r>
      <w:r>
        <w:rPr>
          <w:spacing w:val="40"/>
        </w:rPr>
        <w:t> </w:t>
      </w:r>
      <w:r>
        <w:rPr/>
        <w:t>in</w:t>
      </w:r>
      <w:r>
        <w:rPr>
          <w:spacing w:val="40"/>
        </w:rPr>
        <w:t> </w:t>
      </w:r>
      <w:r>
        <w:rPr>
          <w:spacing w:val="9"/>
        </w:rPr>
        <w:t>respect</w:t>
      </w:r>
      <w:r>
        <w:rPr>
          <w:spacing w:val="40"/>
        </w:rPr>
        <w:t> </w:t>
      </w:r>
      <w:r>
        <w:rPr/>
        <w:t>of</w:t>
      </w:r>
      <w:r>
        <w:rPr>
          <w:spacing w:val="40"/>
        </w:rPr>
        <w:t> </w:t>
      </w:r>
      <w:r>
        <w:rPr/>
        <w:t>R.C.C. Construction, as published by the Chief Controlling Revenue Authority</w:t>
      </w:r>
      <w:r>
        <w:rPr>
          <w:spacing w:val="80"/>
        </w:rPr>
        <w:t> </w:t>
      </w:r>
      <w:r>
        <w:rPr/>
        <w:t>&amp;</w:t>
      </w:r>
      <w:r>
        <w:rPr>
          <w:spacing w:val="80"/>
        </w:rPr>
        <w:t> </w:t>
      </w:r>
      <w:r>
        <w:rPr/>
        <w:t>Inspector</w:t>
      </w:r>
      <w:r>
        <w:rPr>
          <w:spacing w:val="80"/>
        </w:rPr>
        <w:t> </w:t>
      </w:r>
      <w:r>
        <w:rPr/>
        <w:t>General</w:t>
      </w:r>
      <w:r>
        <w:rPr>
          <w:spacing w:val="80"/>
        </w:rPr>
        <w:t> </w:t>
      </w:r>
      <w:r>
        <w:rPr/>
        <w:t>of</w:t>
      </w:r>
      <w:r>
        <w:rPr>
          <w:spacing w:val="80"/>
        </w:rPr>
        <w:t> </w:t>
      </w:r>
      <w:r>
        <w:rPr/>
        <w:t>Registration,</w:t>
      </w:r>
      <w:r>
        <w:rPr>
          <w:spacing w:val="80"/>
        </w:rPr>
        <w:t> </w:t>
      </w:r>
      <w:r>
        <w:rPr/>
        <w:t>Maharashtra State</w:t>
      </w:r>
      <w:r>
        <w:rPr>
          <w:spacing w:val="40"/>
        </w:rPr>
        <w:t> </w:t>
      </w:r>
      <w:r>
        <w:rPr/>
        <w:t>in</w:t>
      </w:r>
      <w:r>
        <w:rPr>
          <w:spacing w:val="40"/>
        </w:rPr>
        <w:t> </w:t>
      </w:r>
      <w:r>
        <w:rPr/>
        <w:t>the</w:t>
      </w:r>
      <w:r>
        <w:rPr>
          <w:spacing w:val="40"/>
        </w:rPr>
        <w:t> </w:t>
      </w:r>
      <w:r>
        <w:rPr/>
        <w:t>Annual</w:t>
      </w:r>
      <w:r>
        <w:rPr>
          <w:spacing w:val="40"/>
        </w:rPr>
        <w:t> </w:t>
      </w:r>
      <w:r>
        <w:rPr/>
        <w:t>Schedule</w:t>
      </w:r>
      <w:r>
        <w:rPr>
          <w:spacing w:val="40"/>
        </w:rPr>
        <w:t> </w:t>
      </w:r>
      <w:r>
        <w:rPr/>
        <w:t>of</w:t>
      </w:r>
      <w:r>
        <w:rPr>
          <w:spacing w:val="40"/>
        </w:rPr>
        <w:t> </w:t>
      </w:r>
      <w:r>
        <w:rPr/>
        <w:t>Rates.</w:t>
      </w:r>
    </w:p>
    <w:p>
      <w:pPr>
        <w:pStyle w:val="BodyText"/>
        <w:spacing w:before="39"/>
        <w:ind w:left="2335" w:right="771"/>
      </w:pPr>
      <w:r>
        <w:rPr/>
        <w:t>Provided that in case of plots up to</w:t>
      </w:r>
      <w:r>
        <w:rPr>
          <w:spacing w:val="80"/>
        </w:rPr>
        <w:t> </w:t>
      </w:r>
      <w:r>
        <w:rPr/>
        <w:t>4000 sq. m, MHADA without insisting</w:t>
      </w:r>
      <w:r>
        <w:rPr>
          <w:spacing w:val="40"/>
        </w:rPr>
        <w:t> </w:t>
      </w:r>
      <w:r>
        <w:rPr/>
        <w:t>MHADA’s</w:t>
      </w:r>
      <w:r>
        <w:rPr>
          <w:spacing w:val="40"/>
        </w:rPr>
        <w:t> </w:t>
      </w:r>
      <w:r>
        <w:rPr/>
        <w:t>Share</w:t>
      </w:r>
      <w:r>
        <w:rPr>
          <w:spacing w:val="40"/>
        </w:rPr>
        <w:t> </w:t>
      </w:r>
      <w:r>
        <w:rPr/>
        <w:t>in</w:t>
      </w:r>
      <w:r>
        <w:rPr>
          <w:spacing w:val="40"/>
        </w:rPr>
        <w:t> </w:t>
      </w:r>
      <w:r>
        <w:rPr/>
        <w:t>the</w:t>
      </w:r>
      <w:r>
        <w:rPr>
          <w:spacing w:val="40"/>
        </w:rPr>
        <w:t> </w:t>
      </w:r>
      <w:r>
        <w:rPr/>
        <w:t>form</w:t>
      </w:r>
      <w:r>
        <w:rPr>
          <w:spacing w:val="40"/>
        </w:rPr>
        <w:t> </w:t>
      </w:r>
      <w:r>
        <w:rPr/>
        <w:t>of</w:t>
      </w:r>
      <w:r>
        <w:rPr>
          <w:spacing w:val="40"/>
        </w:rPr>
        <w:t> </w:t>
      </w:r>
      <w:r>
        <w:rPr/>
        <w:t>BUA,</w:t>
      </w:r>
      <w:r>
        <w:rPr>
          <w:spacing w:val="40"/>
        </w:rPr>
        <w:t> </w:t>
      </w:r>
      <w:r>
        <w:rPr/>
        <w:t>may</w:t>
      </w:r>
      <w:r>
        <w:rPr>
          <w:spacing w:val="40"/>
        </w:rPr>
        <w:t> </w:t>
      </w:r>
      <w:r>
        <w:rPr/>
        <w:t>allow additional BUA over and above existing BUA up to 3.00 FSI by charging</w:t>
      </w:r>
      <w:r>
        <w:rPr>
          <w:spacing w:val="40"/>
        </w:rPr>
        <w:t> </w:t>
      </w:r>
      <w:r>
        <w:rPr/>
        <w:t>premium</w:t>
      </w:r>
      <w:r>
        <w:rPr>
          <w:spacing w:val="40"/>
        </w:rPr>
        <w:t> </w:t>
      </w:r>
      <w:r>
        <w:rPr/>
        <w:t>at</w:t>
      </w:r>
      <w:r>
        <w:rPr>
          <w:spacing w:val="40"/>
        </w:rPr>
        <w:t> </w:t>
      </w:r>
      <w:r>
        <w:rPr/>
        <w:t>the</w:t>
      </w:r>
      <w:r>
        <w:rPr>
          <w:spacing w:val="40"/>
        </w:rPr>
        <w:t> </w:t>
      </w:r>
      <w:r>
        <w:rPr/>
        <w:t>percentage</w:t>
      </w:r>
      <w:r>
        <w:rPr>
          <w:spacing w:val="40"/>
        </w:rPr>
        <w:t> </w:t>
      </w:r>
      <w:r>
        <w:rPr/>
        <w:t>rate</w:t>
      </w:r>
      <w:r>
        <w:rPr>
          <w:spacing w:val="40"/>
        </w:rPr>
        <w:t> </w:t>
      </w:r>
      <w:r>
        <w:rPr/>
        <w:t>of</w:t>
      </w:r>
      <w:r>
        <w:rPr>
          <w:spacing w:val="40"/>
        </w:rPr>
        <w:t> </w:t>
      </w:r>
      <w:r>
        <w:rPr/>
        <w:t>ASR</w:t>
      </w:r>
      <w:r>
        <w:rPr>
          <w:spacing w:val="40"/>
        </w:rPr>
        <w:t> </w:t>
      </w:r>
      <w:r>
        <w:rPr/>
        <w:t>defined</w:t>
      </w:r>
      <w:r>
        <w:rPr>
          <w:spacing w:val="40"/>
        </w:rPr>
        <w:t> </w:t>
      </w:r>
      <w:r>
        <w:rPr/>
        <w:t>in</w:t>
      </w:r>
      <w:r>
        <w:rPr>
          <w:spacing w:val="40"/>
        </w:rPr>
        <w:t> </w:t>
      </w:r>
      <w:r>
        <w:rPr/>
        <w:t>table C1 below:-</w:t>
      </w:r>
    </w:p>
    <w:p>
      <w:pPr>
        <w:pStyle w:val="BodyText"/>
        <w:spacing w:before="79"/>
        <w:jc w:val="left"/>
      </w:pPr>
    </w:p>
    <w:p>
      <w:pPr>
        <w:pStyle w:val="BodyText"/>
        <w:spacing w:after="43"/>
        <w:ind w:left="1548"/>
        <w:jc w:val="center"/>
      </w:pPr>
      <w:r>
        <w:rPr/>
        <w:t>Table</w:t>
      </w:r>
      <w:r>
        <w:rPr>
          <w:spacing w:val="53"/>
        </w:rPr>
        <w:t> </w:t>
      </w:r>
      <w:r>
        <w:rPr>
          <w:spacing w:val="-5"/>
        </w:rPr>
        <w:t>C1</w:t>
      </w:r>
    </w:p>
    <w:tbl>
      <w:tblPr>
        <w:tblW w:w="0" w:type="auto"/>
        <w:jc w:val="left"/>
        <w:tblInd w:w="2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3"/>
        <w:gridCol w:w="1987"/>
        <w:gridCol w:w="1799"/>
        <w:gridCol w:w="1888"/>
      </w:tblGrid>
      <w:tr>
        <w:trPr>
          <w:trHeight w:val="359" w:hRule="atLeast"/>
        </w:trPr>
        <w:tc>
          <w:tcPr>
            <w:tcW w:w="1973" w:type="dxa"/>
          </w:tcPr>
          <w:p>
            <w:pPr>
              <w:pStyle w:val="TableParagraph"/>
              <w:spacing w:before="37"/>
              <w:ind w:left="9" w:right="7"/>
              <w:jc w:val="center"/>
              <w:rPr>
                <w:sz w:val="24"/>
              </w:rPr>
            </w:pPr>
            <w:r>
              <w:rPr>
                <w:sz w:val="24"/>
              </w:rPr>
              <w:t>LR/RC</w:t>
            </w:r>
            <w:r>
              <w:rPr>
                <w:spacing w:val="55"/>
                <w:sz w:val="24"/>
              </w:rPr>
              <w:t> </w:t>
            </w:r>
            <w:r>
              <w:rPr>
                <w:spacing w:val="7"/>
                <w:sz w:val="24"/>
              </w:rPr>
              <w:t>Ratio</w:t>
            </w:r>
          </w:p>
        </w:tc>
        <w:tc>
          <w:tcPr>
            <w:tcW w:w="1987" w:type="dxa"/>
          </w:tcPr>
          <w:p>
            <w:pPr>
              <w:pStyle w:val="TableParagraph"/>
              <w:spacing w:before="37"/>
              <w:ind w:left="5" w:right="5"/>
              <w:jc w:val="center"/>
              <w:rPr>
                <w:sz w:val="24"/>
              </w:rPr>
            </w:pPr>
            <w:r>
              <w:rPr>
                <w:spacing w:val="-2"/>
                <w:sz w:val="24"/>
              </w:rPr>
              <w:t>EWS/LIG</w:t>
            </w:r>
          </w:p>
        </w:tc>
        <w:tc>
          <w:tcPr>
            <w:tcW w:w="1799" w:type="dxa"/>
          </w:tcPr>
          <w:p>
            <w:pPr>
              <w:pStyle w:val="TableParagraph"/>
              <w:spacing w:before="37"/>
              <w:ind w:left="3" w:right="3"/>
              <w:jc w:val="center"/>
              <w:rPr>
                <w:sz w:val="24"/>
              </w:rPr>
            </w:pPr>
            <w:r>
              <w:rPr>
                <w:spacing w:val="-5"/>
                <w:sz w:val="24"/>
              </w:rPr>
              <w:t>MIG</w:t>
            </w:r>
          </w:p>
        </w:tc>
        <w:tc>
          <w:tcPr>
            <w:tcW w:w="1888" w:type="dxa"/>
          </w:tcPr>
          <w:p>
            <w:pPr>
              <w:pStyle w:val="TableParagraph"/>
              <w:spacing w:before="37"/>
              <w:ind w:left="8" w:right="8"/>
              <w:jc w:val="center"/>
              <w:rPr>
                <w:sz w:val="24"/>
              </w:rPr>
            </w:pPr>
            <w:r>
              <w:rPr>
                <w:spacing w:val="-5"/>
                <w:sz w:val="24"/>
              </w:rPr>
              <w:t>HIG</w:t>
            </w:r>
          </w:p>
        </w:tc>
      </w:tr>
      <w:tr>
        <w:trPr>
          <w:trHeight w:val="362" w:hRule="atLeast"/>
        </w:trPr>
        <w:tc>
          <w:tcPr>
            <w:tcW w:w="1973" w:type="dxa"/>
          </w:tcPr>
          <w:p>
            <w:pPr>
              <w:pStyle w:val="TableParagraph"/>
              <w:spacing w:before="40"/>
              <w:ind w:left="2" w:right="9"/>
              <w:jc w:val="center"/>
              <w:rPr>
                <w:sz w:val="24"/>
              </w:rPr>
            </w:pPr>
            <w:r>
              <w:rPr>
                <w:sz w:val="24"/>
              </w:rPr>
              <w:t>0</w:t>
            </w:r>
            <w:r>
              <w:rPr>
                <w:spacing w:val="23"/>
                <w:sz w:val="24"/>
              </w:rPr>
              <w:t> </w:t>
            </w:r>
            <w:r>
              <w:rPr>
                <w:sz w:val="24"/>
              </w:rPr>
              <w:t>to</w:t>
            </w:r>
            <w:r>
              <w:rPr>
                <w:spacing w:val="24"/>
                <w:sz w:val="24"/>
              </w:rPr>
              <w:t> </w:t>
            </w:r>
            <w:r>
              <w:rPr>
                <w:spacing w:val="-10"/>
                <w:sz w:val="24"/>
              </w:rPr>
              <w:t>2</w:t>
            </w:r>
          </w:p>
        </w:tc>
        <w:tc>
          <w:tcPr>
            <w:tcW w:w="1987" w:type="dxa"/>
          </w:tcPr>
          <w:p>
            <w:pPr>
              <w:pStyle w:val="TableParagraph"/>
              <w:spacing w:before="40"/>
              <w:ind w:left="5"/>
              <w:jc w:val="center"/>
              <w:rPr>
                <w:sz w:val="24"/>
              </w:rPr>
            </w:pPr>
            <w:r>
              <w:rPr>
                <w:spacing w:val="-5"/>
                <w:sz w:val="24"/>
              </w:rPr>
              <w:t>40%</w:t>
            </w:r>
          </w:p>
        </w:tc>
        <w:tc>
          <w:tcPr>
            <w:tcW w:w="1799" w:type="dxa"/>
          </w:tcPr>
          <w:p>
            <w:pPr>
              <w:pStyle w:val="TableParagraph"/>
              <w:spacing w:before="40"/>
              <w:ind w:left="3"/>
              <w:jc w:val="center"/>
              <w:rPr>
                <w:sz w:val="24"/>
              </w:rPr>
            </w:pPr>
            <w:r>
              <w:rPr>
                <w:spacing w:val="-5"/>
                <w:sz w:val="24"/>
              </w:rPr>
              <w:t>60%</w:t>
            </w:r>
          </w:p>
        </w:tc>
        <w:tc>
          <w:tcPr>
            <w:tcW w:w="1888" w:type="dxa"/>
          </w:tcPr>
          <w:p>
            <w:pPr>
              <w:pStyle w:val="TableParagraph"/>
              <w:spacing w:before="40"/>
              <w:ind w:left="8"/>
              <w:jc w:val="center"/>
              <w:rPr>
                <w:sz w:val="24"/>
              </w:rPr>
            </w:pPr>
            <w:r>
              <w:rPr>
                <w:spacing w:val="-5"/>
                <w:sz w:val="24"/>
              </w:rPr>
              <w:t>80%</w:t>
            </w:r>
          </w:p>
        </w:tc>
      </w:tr>
      <w:tr>
        <w:trPr>
          <w:trHeight w:val="362" w:hRule="atLeast"/>
        </w:trPr>
        <w:tc>
          <w:tcPr>
            <w:tcW w:w="1973" w:type="dxa"/>
          </w:tcPr>
          <w:p>
            <w:pPr>
              <w:pStyle w:val="TableParagraph"/>
              <w:spacing w:before="37"/>
              <w:ind w:left="2" w:right="9"/>
              <w:jc w:val="center"/>
              <w:rPr>
                <w:sz w:val="24"/>
              </w:rPr>
            </w:pPr>
            <w:r>
              <w:rPr>
                <w:sz w:val="24"/>
              </w:rPr>
              <w:t>2</w:t>
            </w:r>
            <w:r>
              <w:rPr>
                <w:spacing w:val="23"/>
                <w:sz w:val="24"/>
              </w:rPr>
              <w:t> </w:t>
            </w:r>
            <w:r>
              <w:rPr>
                <w:sz w:val="24"/>
              </w:rPr>
              <w:t>to</w:t>
            </w:r>
            <w:r>
              <w:rPr>
                <w:spacing w:val="24"/>
                <w:sz w:val="24"/>
              </w:rPr>
              <w:t> </w:t>
            </w:r>
            <w:r>
              <w:rPr>
                <w:spacing w:val="-10"/>
                <w:sz w:val="24"/>
              </w:rPr>
              <w:t>4</w:t>
            </w:r>
          </w:p>
        </w:tc>
        <w:tc>
          <w:tcPr>
            <w:tcW w:w="1987" w:type="dxa"/>
          </w:tcPr>
          <w:p>
            <w:pPr>
              <w:pStyle w:val="TableParagraph"/>
              <w:spacing w:before="37"/>
              <w:ind w:left="5"/>
              <w:jc w:val="center"/>
              <w:rPr>
                <w:sz w:val="24"/>
              </w:rPr>
            </w:pPr>
            <w:r>
              <w:rPr>
                <w:spacing w:val="-5"/>
                <w:sz w:val="24"/>
              </w:rPr>
              <w:t>45%</w:t>
            </w:r>
          </w:p>
        </w:tc>
        <w:tc>
          <w:tcPr>
            <w:tcW w:w="1799" w:type="dxa"/>
          </w:tcPr>
          <w:p>
            <w:pPr>
              <w:pStyle w:val="TableParagraph"/>
              <w:spacing w:before="37"/>
              <w:ind w:left="3"/>
              <w:jc w:val="center"/>
              <w:rPr>
                <w:sz w:val="24"/>
              </w:rPr>
            </w:pPr>
            <w:r>
              <w:rPr>
                <w:spacing w:val="-5"/>
                <w:sz w:val="24"/>
              </w:rPr>
              <w:t>65%</w:t>
            </w:r>
          </w:p>
        </w:tc>
        <w:tc>
          <w:tcPr>
            <w:tcW w:w="1888" w:type="dxa"/>
          </w:tcPr>
          <w:p>
            <w:pPr>
              <w:pStyle w:val="TableParagraph"/>
              <w:spacing w:before="37"/>
              <w:ind w:left="8"/>
              <w:jc w:val="center"/>
              <w:rPr>
                <w:sz w:val="24"/>
              </w:rPr>
            </w:pPr>
            <w:r>
              <w:rPr>
                <w:spacing w:val="-5"/>
                <w:sz w:val="24"/>
              </w:rPr>
              <w:t>85%</w:t>
            </w:r>
          </w:p>
        </w:tc>
      </w:tr>
      <w:tr>
        <w:trPr>
          <w:trHeight w:val="362" w:hRule="atLeast"/>
        </w:trPr>
        <w:tc>
          <w:tcPr>
            <w:tcW w:w="1973" w:type="dxa"/>
          </w:tcPr>
          <w:p>
            <w:pPr>
              <w:pStyle w:val="TableParagraph"/>
              <w:spacing w:before="37"/>
              <w:ind w:left="2" w:right="9"/>
              <w:jc w:val="center"/>
              <w:rPr>
                <w:sz w:val="24"/>
              </w:rPr>
            </w:pPr>
            <w:r>
              <w:rPr>
                <w:sz w:val="24"/>
              </w:rPr>
              <w:t>4</w:t>
            </w:r>
            <w:r>
              <w:rPr>
                <w:spacing w:val="23"/>
                <w:sz w:val="24"/>
              </w:rPr>
              <w:t> </w:t>
            </w:r>
            <w:r>
              <w:rPr>
                <w:sz w:val="24"/>
              </w:rPr>
              <w:t>to</w:t>
            </w:r>
            <w:r>
              <w:rPr>
                <w:spacing w:val="24"/>
                <w:sz w:val="24"/>
              </w:rPr>
              <w:t> </w:t>
            </w:r>
            <w:r>
              <w:rPr>
                <w:spacing w:val="-10"/>
                <w:sz w:val="24"/>
              </w:rPr>
              <w:t>6</w:t>
            </w:r>
          </w:p>
        </w:tc>
        <w:tc>
          <w:tcPr>
            <w:tcW w:w="1987" w:type="dxa"/>
          </w:tcPr>
          <w:p>
            <w:pPr>
              <w:pStyle w:val="TableParagraph"/>
              <w:spacing w:before="37"/>
              <w:ind w:left="5"/>
              <w:jc w:val="center"/>
              <w:rPr>
                <w:sz w:val="24"/>
              </w:rPr>
            </w:pPr>
            <w:r>
              <w:rPr>
                <w:spacing w:val="-5"/>
                <w:sz w:val="24"/>
              </w:rPr>
              <w:t>50%</w:t>
            </w:r>
          </w:p>
        </w:tc>
        <w:tc>
          <w:tcPr>
            <w:tcW w:w="1799" w:type="dxa"/>
          </w:tcPr>
          <w:p>
            <w:pPr>
              <w:pStyle w:val="TableParagraph"/>
              <w:spacing w:before="37"/>
              <w:ind w:left="3"/>
              <w:jc w:val="center"/>
              <w:rPr>
                <w:sz w:val="24"/>
              </w:rPr>
            </w:pPr>
            <w:r>
              <w:rPr>
                <w:spacing w:val="-5"/>
                <w:sz w:val="24"/>
              </w:rPr>
              <w:t>70%</w:t>
            </w:r>
          </w:p>
        </w:tc>
        <w:tc>
          <w:tcPr>
            <w:tcW w:w="1888" w:type="dxa"/>
          </w:tcPr>
          <w:p>
            <w:pPr>
              <w:pStyle w:val="TableParagraph"/>
              <w:spacing w:before="37"/>
              <w:ind w:left="8"/>
              <w:jc w:val="center"/>
              <w:rPr>
                <w:sz w:val="24"/>
              </w:rPr>
            </w:pPr>
            <w:r>
              <w:rPr>
                <w:spacing w:val="-5"/>
                <w:sz w:val="24"/>
              </w:rPr>
              <w:t>90%</w:t>
            </w:r>
          </w:p>
        </w:tc>
      </w:tr>
      <w:tr>
        <w:trPr>
          <w:trHeight w:val="361" w:hRule="atLeast"/>
        </w:trPr>
        <w:tc>
          <w:tcPr>
            <w:tcW w:w="1973" w:type="dxa"/>
          </w:tcPr>
          <w:p>
            <w:pPr>
              <w:pStyle w:val="TableParagraph"/>
              <w:spacing w:before="37"/>
              <w:ind w:left="2" w:right="9"/>
              <w:jc w:val="center"/>
              <w:rPr>
                <w:sz w:val="24"/>
              </w:rPr>
            </w:pPr>
            <w:r>
              <w:rPr>
                <w:sz w:val="24"/>
              </w:rPr>
              <w:t>above</w:t>
            </w:r>
            <w:r>
              <w:rPr>
                <w:spacing w:val="55"/>
                <w:sz w:val="24"/>
              </w:rPr>
              <w:t> </w:t>
            </w:r>
            <w:r>
              <w:rPr>
                <w:spacing w:val="-10"/>
                <w:sz w:val="24"/>
              </w:rPr>
              <w:t>6</w:t>
            </w:r>
          </w:p>
        </w:tc>
        <w:tc>
          <w:tcPr>
            <w:tcW w:w="1987" w:type="dxa"/>
          </w:tcPr>
          <w:p>
            <w:pPr>
              <w:pStyle w:val="TableParagraph"/>
              <w:spacing w:before="37"/>
              <w:ind w:left="5"/>
              <w:jc w:val="center"/>
              <w:rPr>
                <w:sz w:val="24"/>
              </w:rPr>
            </w:pPr>
            <w:r>
              <w:rPr>
                <w:spacing w:val="-5"/>
                <w:sz w:val="24"/>
              </w:rPr>
              <w:t>55%</w:t>
            </w:r>
          </w:p>
        </w:tc>
        <w:tc>
          <w:tcPr>
            <w:tcW w:w="1799" w:type="dxa"/>
          </w:tcPr>
          <w:p>
            <w:pPr>
              <w:pStyle w:val="TableParagraph"/>
              <w:spacing w:before="37"/>
              <w:ind w:left="3"/>
              <w:jc w:val="center"/>
              <w:rPr>
                <w:sz w:val="24"/>
              </w:rPr>
            </w:pPr>
            <w:r>
              <w:rPr>
                <w:spacing w:val="-5"/>
                <w:sz w:val="24"/>
              </w:rPr>
              <w:t>75%</w:t>
            </w:r>
          </w:p>
        </w:tc>
        <w:tc>
          <w:tcPr>
            <w:tcW w:w="1888" w:type="dxa"/>
          </w:tcPr>
          <w:p>
            <w:pPr>
              <w:pStyle w:val="TableParagraph"/>
              <w:spacing w:before="37"/>
              <w:ind w:left="8"/>
              <w:jc w:val="center"/>
              <w:rPr>
                <w:sz w:val="24"/>
              </w:rPr>
            </w:pPr>
            <w:r>
              <w:rPr>
                <w:spacing w:val="-5"/>
                <w:sz w:val="24"/>
              </w:rPr>
              <w:t>95%</w:t>
            </w:r>
          </w:p>
        </w:tc>
      </w:tr>
    </w:tbl>
    <w:p>
      <w:pPr>
        <w:pStyle w:val="BodyText"/>
        <w:spacing w:before="81"/>
        <w:jc w:val="left"/>
      </w:pPr>
    </w:p>
    <w:p>
      <w:pPr>
        <w:pStyle w:val="BodyText"/>
        <w:ind w:left="2335" w:right="770"/>
      </w:pPr>
      <w:r>
        <w:rPr/>
        <w:t>Provided further that in case of plots having area of 4000 sq. m or above</w:t>
      </w:r>
      <w:r>
        <w:rPr>
          <w:spacing w:val="-4"/>
        </w:rPr>
        <w:t> </w:t>
      </w:r>
      <w:r>
        <w:rPr/>
        <w:t>which</w:t>
      </w:r>
      <w:r>
        <w:rPr>
          <w:spacing w:val="-4"/>
        </w:rPr>
        <w:t> </w:t>
      </w:r>
      <w:r>
        <w:rPr/>
        <w:t>front</w:t>
      </w:r>
      <w:r>
        <w:rPr>
          <w:spacing w:val="-4"/>
        </w:rPr>
        <w:t> </w:t>
      </w:r>
      <w:r>
        <w:rPr/>
        <w:t>on</w:t>
      </w:r>
      <w:r>
        <w:rPr>
          <w:spacing w:val="-4"/>
        </w:rPr>
        <w:t> </w:t>
      </w:r>
      <w:r>
        <w:rPr/>
        <w:t>roads</w:t>
      </w:r>
      <w:r>
        <w:rPr>
          <w:spacing w:val="-4"/>
        </w:rPr>
        <w:t> </w:t>
      </w:r>
      <w:r>
        <w:rPr/>
        <w:t>having</w:t>
      </w:r>
      <w:r>
        <w:rPr>
          <w:spacing w:val="-4"/>
        </w:rPr>
        <w:t> </w:t>
      </w:r>
      <w:r>
        <w:rPr/>
        <w:t>width</w:t>
      </w:r>
      <w:r>
        <w:rPr>
          <w:spacing w:val="-4"/>
        </w:rPr>
        <w:t> </w:t>
      </w:r>
      <w:r>
        <w:rPr/>
        <w:t>of</w:t>
      </w:r>
      <w:r>
        <w:rPr>
          <w:spacing w:val="-4"/>
        </w:rPr>
        <w:t> </w:t>
      </w:r>
      <w:r>
        <w:rPr/>
        <w:t>18.00</w:t>
      </w:r>
      <w:r>
        <w:rPr>
          <w:spacing w:val="-4"/>
        </w:rPr>
        <w:t> </w:t>
      </w:r>
      <w:r>
        <w:rPr/>
        <w:t>m</w:t>
      </w:r>
      <w:r>
        <w:rPr>
          <w:spacing w:val="-4"/>
        </w:rPr>
        <w:t> </w:t>
      </w:r>
      <w:r>
        <w:rPr/>
        <w:t>or</w:t>
      </w:r>
      <w:r>
        <w:rPr>
          <w:spacing w:val="-4"/>
        </w:rPr>
        <w:t> </w:t>
      </w:r>
      <w:r>
        <w:rPr/>
        <w:t>more,</w:t>
      </w:r>
      <w:r>
        <w:rPr>
          <w:spacing w:val="-1"/>
        </w:rPr>
        <w:t> </w:t>
      </w:r>
      <w:r>
        <w:rPr/>
        <w:t>the</w:t>
      </w:r>
      <w:r>
        <w:rPr>
          <w:spacing w:val="-4"/>
        </w:rPr>
        <w:t> </w:t>
      </w:r>
      <w:r>
        <w:rPr>
          <w:spacing w:val="-5"/>
        </w:rPr>
        <w:t>FSI</w:t>
      </w:r>
    </w:p>
    <w:p>
      <w:pPr>
        <w:pStyle w:val="BodyText"/>
        <w:ind w:left="2335" w:right="766"/>
      </w:pPr>
      <w:r>
        <w:rPr/>
        <w:t>1.00 over and above 3.00 shall be permissible in the form of Social Housing</w:t>
      </w:r>
      <w:r>
        <w:rPr>
          <w:spacing w:val="-3"/>
        </w:rPr>
        <w:t> </w:t>
      </w:r>
      <w:r>
        <w:rPr/>
        <w:t>stock</w:t>
      </w:r>
      <w:r>
        <w:rPr>
          <w:spacing w:val="40"/>
        </w:rPr>
        <w:t> </w:t>
      </w:r>
      <w:r>
        <w:rPr/>
        <w:t>in</w:t>
      </w:r>
      <w:r>
        <w:rPr>
          <w:spacing w:val="-1"/>
        </w:rPr>
        <w:t> </w:t>
      </w:r>
      <w:r>
        <w:rPr/>
        <w:t>the</w:t>
      </w:r>
      <w:r>
        <w:rPr>
          <w:spacing w:val="-3"/>
        </w:rPr>
        <w:t> </w:t>
      </w:r>
      <w:r>
        <w:rPr/>
        <w:t>ratio</w:t>
      </w:r>
      <w:r>
        <w:rPr>
          <w:spacing w:val="-3"/>
        </w:rPr>
        <w:t> </w:t>
      </w:r>
      <w:r>
        <w:rPr/>
        <w:t>of</w:t>
      </w:r>
      <w:r>
        <w:rPr>
          <w:spacing w:val="-3"/>
        </w:rPr>
        <w:t> </w:t>
      </w:r>
      <w:r>
        <w:rPr/>
        <w:t>1</w:t>
      </w:r>
      <w:r>
        <w:rPr>
          <w:spacing w:val="-3"/>
        </w:rPr>
        <w:t> </w:t>
      </w:r>
      <w:r>
        <w:rPr/>
        <w:t>MHADA: 0.5</w:t>
      </w:r>
      <w:r>
        <w:rPr>
          <w:spacing w:val="-2"/>
        </w:rPr>
        <w:t> </w:t>
      </w:r>
      <w:r>
        <w:rPr/>
        <w:t>Cooperative</w:t>
      </w:r>
      <w:r>
        <w:rPr>
          <w:spacing w:val="-3"/>
        </w:rPr>
        <w:t> </w:t>
      </w:r>
      <w:r>
        <w:rPr/>
        <w:t>Society</w:t>
      </w:r>
      <w:r>
        <w:rPr>
          <w:spacing w:val="-3"/>
        </w:rPr>
        <w:t> </w:t>
      </w:r>
      <w:r>
        <w:rPr/>
        <w:t>and it shall be handed over to MHADA free of cost &amp;without any </w:t>
      </w:r>
      <w:r>
        <w:rPr>
          <w:spacing w:val="-2"/>
        </w:rPr>
        <w:t>compensation.</w:t>
      </w:r>
    </w:p>
    <w:p>
      <w:pPr>
        <w:pStyle w:val="BodyText"/>
        <w:spacing w:before="80"/>
        <w:jc w:val="left"/>
      </w:pPr>
    </w:p>
    <w:p>
      <w:pPr>
        <w:pStyle w:val="BodyText"/>
        <w:ind w:left="2335" w:right="770"/>
      </w:pPr>
      <w:r>
        <w:rPr/>
        <w:t>Provided that at the option of or with the approval of MHADA, the tenements</w:t>
      </w:r>
      <w:r>
        <w:rPr>
          <w:spacing w:val="-15"/>
        </w:rPr>
        <w:t> </w:t>
      </w:r>
      <w:r>
        <w:rPr/>
        <w:t>coming</w:t>
      </w:r>
      <w:r>
        <w:rPr>
          <w:spacing w:val="-15"/>
        </w:rPr>
        <w:t> </w:t>
      </w:r>
      <w:r>
        <w:rPr/>
        <w:t>to</w:t>
      </w:r>
      <w:r>
        <w:rPr>
          <w:spacing w:val="-13"/>
        </w:rPr>
        <w:t> </w:t>
      </w:r>
      <w:r>
        <w:rPr/>
        <w:t>the</w:t>
      </w:r>
      <w:r>
        <w:rPr>
          <w:spacing w:val="-15"/>
        </w:rPr>
        <w:t> </w:t>
      </w:r>
      <w:r>
        <w:rPr/>
        <w:t>share</w:t>
      </w:r>
      <w:r>
        <w:rPr>
          <w:spacing w:val="-15"/>
        </w:rPr>
        <w:t> </w:t>
      </w:r>
      <w:r>
        <w:rPr/>
        <w:t>of</w:t>
      </w:r>
      <w:r>
        <w:rPr>
          <w:spacing w:val="-15"/>
        </w:rPr>
        <w:t> </w:t>
      </w:r>
      <w:r>
        <w:rPr/>
        <w:t>MHADA</w:t>
      </w:r>
      <w:r>
        <w:rPr>
          <w:spacing w:val="-13"/>
        </w:rPr>
        <w:t> </w:t>
      </w:r>
      <w:r>
        <w:rPr/>
        <w:t>can</w:t>
      </w:r>
      <w:r>
        <w:rPr>
          <w:spacing w:val="-15"/>
        </w:rPr>
        <w:t> </w:t>
      </w:r>
      <w:r>
        <w:rPr/>
        <w:t>also</w:t>
      </w:r>
      <w:r>
        <w:rPr>
          <w:spacing w:val="-15"/>
        </w:rPr>
        <w:t> </w:t>
      </w:r>
      <w:r>
        <w:rPr/>
        <w:t>be</w:t>
      </w:r>
      <w:r>
        <w:rPr>
          <w:spacing w:val="-15"/>
        </w:rPr>
        <w:t> </w:t>
      </w:r>
      <w:r>
        <w:rPr/>
        <w:t>provided</w:t>
      </w:r>
      <w:r>
        <w:rPr>
          <w:spacing w:val="-13"/>
        </w:rPr>
        <w:t> </w:t>
      </w:r>
      <w:r>
        <w:rPr/>
        <w:t>by</w:t>
      </w:r>
      <w:r>
        <w:rPr>
          <w:spacing w:val="-15"/>
        </w:rPr>
        <w:t> </w:t>
      </w:r>
      <w:r>
        <w:rPr/>
        <w:t>the Promoter/Developer elsewhere within the same or adjoining Municipal</w:t>
      </w:r>
      <w:r>
        <w:rPr>
          <w:spacing w:val="29"/>
        </w:rPr>
        <w:t> </w:t>
      </w:r>
      <w:r>
        <w:rPr/>
        <w:t>Ward.</w:t>
      </w:r>
      <w:r>
        <w:rPr>
          <w:spacing w:val="31"/>
        </w:rPr>
        <w:t> </w:t>
      </w:r>
      <w:r>
        <w:rPr/>
        <w:t>Provided</w:t>
      </w:r>
      <w:r>
        <w:rPr>
          <w:spacing w:val="31"/>
        </w:rPr>
        <w:t> </w:t>
      </w:r>
      <w:r>
        <w:rPr/>
        <w:t>that</w:t>
      </w:r>
      <w:r>
        <w:rPr>
          <w:spacing w:val="31"/>
        </w:rPr>
        <w:t> </w:t>
      </w:r>
      <w:r>
        <w:rPr/>
        <w:t>the</w:t>
      </w:r>
      <w:r>
        <w:rPr>
          <w:spacing w:val="32"/>
        </w:rPr>
        <w:t> </w:t>
      </w:r>
      <w:r>
        <w:rPr/>
        <w:t>BUA</w:t>
      </w:r>
      <w:r>
        <w:rPr>
          <w:spacing w:val="31"/>
        </w:rPr>
        <w:t> </w:t>
      </w:r>
      <w:r>
        <w:rPr/>
        <w:t>area</w:t>
      </w:r>
      <w:r>
        <w:rPr>
          <w:spacing w:val="31"/>
        </w:rPr>
        <w:t> </w:t>
      </w:r>
      <w:r>
        <w:rPr/>
        <w:t>to</w:t>
      </w:r>
      <w:r>
        <w:rPr>
          <w:spacing w:val="31"/>
        </w:rPr>
        <w:t> </w:t>
      </w:r>
      <w:r>
        <w:rPr/>
        <w:t>be</w:t>
      </w:r>
      <w:r>
        <w:rPr>
          <w:spacing w:val="31"/>
        </w:rPr>
        <w:t> </w:t>
      </w:r>
      <w:r>
        <w:rPr/>
        <w:t>handed</w:t>
      </w:r>
      <w:r>
        <w:rPr>
          <w:spacing w:val="31"/>
        </w:rPr>
        <w:t> </w:t>
      </w:r>
      <w:r>
        <w:rPr/>
        <w:t>over</w:t>
      </w:r>
      <w:r>
        <w:rPr>
          <w:spacing w:val="32"/>
        </w:rPr>
        <w:t> </w:t>
      </w:r>
      <w:r>
        <w:rPr>
          <w:spacing w:val="-5"/>
        </w:rPr>
        <w:t>to</w:t>
      </w:r>
    </w:p>
    <w:p>
      <w:pPr>
        <w:pStyle w:val="BodyText"/>
        <w:spacing w:after="0"/>
        <w:sectPr>
          <w:pgSz w:w="11910" w:h="16840"/>
          <w:pgMar w:header="1065" w:footer="1194" w:top="1500" w:bottom="1380" w:left="360" w:right="360"/>
        </w:sectPr>
      </w:pPr>
    </w:p>
    <w:p>
      <w:pPr>
        <w:pStyle w:val="BodyText"/>
        <w:spacing w:before="249"/>
        <w:ind w:left="2335" w:right="768"/>
      </w:pPr>
      <w:r>
        <w:rPr/>
        <w:t>MHADA shall be as per equivalent value of BUA as per the market value (as per ASR of that year)</w:t>
      </w:r>
    </w:p>
    <w:p>
      <w:pPr>
        <w:pStyle w:val="ListParagraph"/>
        <w:numPr>
          <w:ilvl w:val="2"/>
          <w:numId w:val="141"/>
        </w:numPr>
        <w:tabs>
          <w:tab w:pos="2853" w:val="left" w:leader="none"/>
        </w:tabs>
        <w:spacing w:line="240" w:lineRule="auto" w:before="241" w:after="0"/>
        <w:ind w:left="2335" w:right="781" w:firstLine="0"/>
        <w:jc w:val="both"/>
        <w:rPr>
          <w:sz w:val="24"/>
        </w:rPr>
      </w:pPr>
      <w:r>
        <w:rPr>
          <w:sz w:val="24"/>
        </w:rPr>
        <w:t>Where redevelopment of buildings in the existing Housing Schemes</w:t>
      </w:r>
      <w:r>
        <w:rPr>
          <w:spacing w:val="40"/>
          <w:sz w:val="24"/>
        </w:rPr>
        <w:t> </w:t>
      </w:r>
      <w:r>
        <w:rPr>
          <w:sz w:val="24"/>
        </w:rPr>
        <w:t>of</w:t>
      </w:r>
      <w:r>
        <w:rPr>
          <w:spacing w:val="40"/>
          <w:sz w:val="24"/>
        </w:rPr>
        <w:t> </w:t>
      </w:r>
      <w:r>
        <w:rPr>
          <w:sz w:val="24"/>
        </w:rPr>
        <w:t>MHADA</w:t>
      </w:r>
      <w:r>
        <w:rPr>
          <w:spacing w:val="40"/>
          <w:sz w:val="24"/>
        </w:rPr>
        <w:t> </w:t>
      </w:r>
      <w:r>
        <w:rPr>
          <w:sz w:val="24"/>
        </w:rPr>
        <w:t>is</w:t>
      </w:r>
      <w:r>
        <w:rPr>
          <w:spacing w:val="40"/>
          <w:sz w:val="24"/>
        </w:rPr>
        <w:t> </w:t>
      </w:r>
      <w:r>
        <w:rPr>
          <w:sz w:val="24"/>
        </w:rPr>
        <w:t>undertaken</w:t>
      </w:r>
      <w:r>
        <w:rPr>
          <w:spacing w:val="40"/>
          <w:sz w:val="24"/>
        </w:rPr>
        <w:t> </w:t>
      </w:r>
      <w:r>
        <w:rPr>
          <w:sz w:val="24"/>
        </w:rPr>
        <w:t>by</w:t>
      </w:r>
      <w:r>
        <w:rPr>
          <w:spacing w:val="40"/>
          <w:sz w:val="24"/>
        </w:rPr>
        <w:t> </w:t>
      </w:r>
      <w:r>
        <w:rPr>
          <w:sz w:val="24"/>
        </w:rPr>
        <w:t>MHADA</w:t>
      </w:r>
      <w:r>
        <w:rPr>
          <w:spacing w:val="40"/>
          <w:sz w:val="24"/>
        </w:rPr>
        <w:t> </w:t>
      </w:r>
      <w:r>
        <w:rPr>
          <w:sz w:val="24"/>
        </w:rPr>
        <w:t>or</w:t>
      </w:r>
      <w:r>
        <w:rPr>
          <w:spacing w:val="40"/>
          <w:sz w:val="24"/>
        </w:rPr>
        <w:t> </w:t>
      </w:r>
      <w:r>
        <w:rPr>
          <w:sz w:val="24"/>
        </w:rPr>
        <w:t>jointly</w:t>
      </w:r>
      <w:r>
        <w:rPr>
          <w:spacing w:val="40"/>
          <w:sz w:val="24"/>
        </w:rPr>
        <w:t> </w:t>
      </w:r>
      <w:r>
        <w:rPr>
          <w:sz w:val="24"/>
        </w:rPr>
        <w:t>by MHADA</w:t>
      </w:r>
      <w:r>
        <w:rPr>
          <w:spacing w:val="40"/>
          <w:sz w:val="24"/>
        </w:rPr>
        <w:t> </w:t>
      </w:r>
      <w:r>
        <w:rPr>
          <w:sz w:val="24"/>
        </w:rPr>
        <w:t>along</w:t>
      </w:r>
      <w:r>
        <w:rPr>
          <w:spacing w:val="40"/>
          <w:sz w:val="24"/>
        </w:rPr>
        <w:t> </w:t>
      </w:r>
      <w:r>
        <w:rPr>
          <w:sz w:val="24"/>
        </w:rPr>
        <w:t>with</w:t>
      </w:r>
      <w:r>
        <w:rPr>
          <w:spacing w:val="40"/>
          <w:sz w:val="24"/>
        </w:rPr>
        <w:t> </w:t>
      </w:r>
      <w:r>
        <w:rPr>
          <w:sz w:val="24"/>
        </w:rPr>
        <w:t>the</w:t>
      </w:r>
      <w:r>
        <w:rPr>
          <w:spacing w:val="40"/>
          <w:sz w:val="24"/>
        </w:rPr>
        <w:t> </w:t>
      </w:r>
      <w:r>
        <w:rPr>
          <w:sz w:val="24"/>
        </w:rPr>
        <w:t>housing</w:t>
      </w:r>
      <w:r>
        <w:rPr>
          <w:spacing w:val="40"/>
          <w:sz w:val="24"/>
        </w:rPr>
        <w:t> </w:t>
      </w:r>
      <w:r>
        <w:rPr>
          <w:sz w:val="24"/>
        </w:rPr>
        <w:t>societies</w:t>
      </w:r>
      <w:r>
        <w:rPr>
          <w:spacing w:val="40"/>
          <w:sz w:val="24"/>
        </w:rPr>
        <w:t> </w:t>
      </w:r>
      <w:r>
        <w:rPr>
          <w:sz w:val="24"/>
        </w:rPr>
        <w:t>or along with the occupiers</w:t>
      </w:r>
      <w:r>
        <w:rPr>
          <w:spacing w:val="40"/>
          <w:sz w:val="24"/>
        </w:rPr>
        <w:t> </w:t>
      </w:r>
      <w:r>
        <w:rPr>
          <w:sz w:val="24"/>
        </w:rPr>
        <w:t>of</w:t>
      </w:r>
      <w:r>
        <w:rPr>
          <w:spacing w:val="40"/>
          <w:sz w:val="24"/>
        </w:rPr>
        <w:t> </w:t>
      </w:r>
      <w:r>
        <w:rPr>
          <w:sz w:val="24"/>
        </w:rPr>
        <w:t>such</w:t>
      </w:r>
      <w:r>
        <w:rPr>
          <w:spacing w:val="40"/>
          <w:sz w:val="24"/>
        </w:rPr>
        <w:t> </w:t>
      </w:r>
      <w:r>
        <w:rPr>
          <w:sz w:val="24"/>
        </w:rPr>
        <w:t>building</w:t>
      </w:r>
      <w:r>
        <w:rPr>
          <w:spacing w:val="40"/>
          <w:sz w:val="24"/>
        </w:rPr>
        <w:t> </w:t>
      </w:r>
      <w:r>
        <w:rPr>
          <w:sz w:val="24"/>
        </w:rPr>
        <w:t>or</w:t>
      </w:r>
      <w:r>
        <w:rPr>
          <w:spacing w:val="40"/>
          <w:sz w:val="24"/>
        </w:rPr>
        <w:t> </w:t>
      </w:r>
      <w:r>
        <w:rPr>
          <w:sz w:val="24"/>
        </w:rPr>
        <w:t>along with</w:t>
      </w:r>
      <w:r>
        <w:rPr>
          <w:spacing w:val="40"/>
          <w:sz w:val="24"/>
        </w:rPr>
        <w:t> </w:t>
      </w:r>
      <w:r>
        <w:rPr>
          <w:sz w:val="24"/>
        </w:rPr>
        <w:t>the</w:t>
      </w:r>
      <w:r>
        <w:rPr>
          <w:spacing w:val="40"/>
          <w:sz w:val="24"/>
        </w:rPr>
        <w:t> </w:t>
      </w:r>
      <w:r>
        <w:rPr>
          <w:sz w:val="24"/>
        </w:rPr>
        <w:t>lessees</w:t>
      </w:r>
      <w:r>
        <w:rPr>
          <w:spacing w:val="40"/>
          <w:sz w:val="24"/>
        </w:rPr>
        <w:t> </w:t>
      </w:r>
      <w:r>
        <w:rPr>
          <w:sz w:val="24"/>
        </w:rPr>
        <w:t>of</w:t>
      </w:r>
      <w:r>
        <w:rPr>
          <w:spacing w:val="40"/>
          <w:sz w:val="24"/>
        </w:rPr>
        <w:t> </w:t>
      </w:r>
      <w:r>
        <w:rPr>
          <w:sz w:val="24"/>
        </w:rPr>
        <w:t>MHADA, the</w:t>
      </w:r>
      <w:r>
        <w:rPr>
          <w:spacing w:val="40"/>
          <w:sz w:val="24"/>
        </w:rPr>
        <w:t> </w:t>
      </w:r>
      <w:r>
        <w:rPr>
          <w:sz w:val="24"/>
        </w:rPr>
        <w:t>Rehabilitation</w:t>
      </w:r>
      <w:r>
        <w:rPr>
          <w:spacing w:val="40"/>
          <w:sz w:val="24"/>
        </w:rPr>
        <w:t> </w:t>
      </w:r>
      <w:r>
        <w:rPr>
          <w:sz w:val="24"/>
        </w:rPr>
        <w:t>Area</w:t>
      </w:r>
      <w:r>
        <w:rPr>
          <w:spacing w:val="40"/>
          <w:sz w:val="24"/>
        </w:rPr>
        <w:t> </w:t>
      </w:r>
      <w:r>
        <w:rPr>
          <w:sz w:val="24"/>
        </w:rPr>
        <w:t>Entitlement,</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pacing w:val="9"/>
          <w:sz w:val="24"/>
        </w:rPr>
        <w:t>follows:</w:t>
      </w:r>
    </w:p>
    <w:p>
      <w:pPr>
        <w:pStyle w:val="BodyText"/>
        <w:spacing w:line="281" w:lineRule="exact" w:before="41"/>
        <w:ind w:left="2419"/>
      </w:pPr>
      <w:r>
        <w:rPr/>
        <w:t>Rehabilitation</w:t>
      </w:r>
      <w:r>
        <w:rPr>
          <w:spacing w:val="54"/>
          <w:w w:val="150"/>
        </w:rPr>
        <w:t> </w:t>
      </w:r>
      <w:r>
        <w:rPr/>
        <w:t>Area</w:t>
      </w:r>
      <w:r>
        <w:rPr>
          <w:spacing w:val="55"/>
          <w:w w:val="150"/>
        </w:rPr>
        <w:t> </w:t>
      </w:r>
      <w:r>
        <w:rPr>
          <w:spacing w:val="-2"/>
        </w:rPr>
        <w:t>Entitlement:</w:t>
      </w:r>
    </w:p>
    <w:p>
      <w:pPr>
        <w:pStyle w:val="BodyText"/>
        <w:ind w:left="2333" w:right="768"/>
      </w:pPr>
      <w:r>
        <w:rPr/>
        <w:t>The</w:t>
      </w:r>
      <w:r>
        <w:rPr>
          <w:spacing w:val="80"/>
        </w:rPr>
        <w:t> </w:t>
      </w:r>
      <w:r>
        <w:rPr/>
        <w:t>Rehabilitation</w:t>
      </w:r>
      <w:r>
        <w:rPr>
          <w:spacing w:val="80"/>
        </w:rPr>
        <w:t> </w:t>
      </w:r>
      <w:r>
        <w:rPr/>
        <w:t>Area</w:t>
      </w:r>
      <w:r>
        <w:rPr>
          <w:spacing w:val="80"/>
        </w:rPr>
        <w:t> </w:t>
      </w:r>
      <w:r>
        <w:rPr/>
        <w:t>Entitlement</w:t>
      </w:r>
      <w:r>
        <w:rPr>
          <w:spacing w:val="80"/>
        </w:rPr>
        <w:t> </w:t>
      </w:r>
      <w:r>
        <w:rPr/>
        <w:t>shall</w:t>
      </w:r>
      <w:r>
        <w:rPr>
          <w:spacing w:val="80"/>
        </w:rPr>
        <w:t> </w:t>
      </w:r>
      <w:r>
        <w:rPr/>
        <w:t>be</w:t>
      </w:r>
      <w:r>
        <w:rPr>
          <w:spacing w:val="80"/>
        </w:rPr>
        <w:t> </w:t>
      </w:r>
      <w:r>
        <w:rPr/>
        <w:t>increased</w:t>
      </w:r>
      <w:r>
        <w:rPr>
          <w:spacing w:val="80"/>
        </w:rPr>
        <w:t> </w:t>
      </w:r>
      <w:r>
        <w:rPr/>
        <w:t>by</w:t>
      </w:r>
      <w:r>
        <w:rPr>
          <w:spacing w:val="80"/>
        </w:rPr>
        <w:t> </w:t>
      </w:r>
      <w:r>
        <w:rPr>
          <w:spacing w:val="14"/>
        </w:rPr>
        <w:t>15% </w:t>
      </w:r>
      <w:r>
        <w:rPr/>
        <w:t>of</w:t>
      </w:r>
      <w:r>
        <w:rPr>
          <w:spacing w:val="40"/>
        </w:rPr>
        <w:t> </w:t>
      </w:r>
      <w:r>
        <w:rPr/>
        <w:t>the</w:t>
      </w:r>
      <w:r>
        <w:rPr>
          <w:spacing w:val="40"/>
        </w:rPr>
        <w:t> </w:t>
      </w:r>
      <w:r>
        <w:rPr/>
        <w:t>existing</w:t>
      </w:r>
      <w:r>
        <w:rPr>
          <w:spacing w:val="40"/>
        </w:rPr>
        <w:t> </w:t>
      </w:r>
      <w:r>
        <w:rPr/>
        <w:t>carpet</w:t>
      </w:r>
      <w:r>
        <w:rPr>
          <w:spacing w:val="40"/>
        </w:rPr>
        <w:t> </w:t>
      </w:r>
      <w:r>
        <w:rPr/>
        <w:t>area,</w:t>
      </w:r>
      <w:r>
        <w:rPr>
          <w:spacing w:val="40"/>
        </w:rPr>
        <w:t> </w:t>
      </w:r>
      <w:r>
        <w:rPr/>
        <w:t>over</w:t>
      </w:r>
      <w:r>
        <w:rPr>
          <w:spacing w:val="40"/>
        </w:rPr>
        <w:t> </w:t>
      </w:r>
      <w:r>
        <w:rPr/>
        <w:t>and</w:t>
      </w:r>
      <w:r>
        <w:rPr>
          <w:spacing w:val="40"/>
        </w:rPr>
        <w:t> </w:t>
      </w:r>
      <w:r>
        <w:rPr/>
        <w:t>above</w:t>
      </w:r>
      <w:r>
        <w:rPr>
          <w:spacing w:val="40"/>
        </w:rPr>
        <w:t> </w:t>
      </w:r>
      <w:r>
        <w:rPr/>
        <w:t>the</w:t>
      </w:r>
      <w:r>
        <w:rPr>
          <w:spacing w:val="40"/>
        </w:rPr>
        <w:t> </w:t>
      </w:r>
      <w:r>
        <w:rPr/>
        <w:t>Rehabilitation</w:t>
      </w:r>
      <w:r>
        <w:rPr>
          <w:spacing w:val="40"/>
        </w:rPr>
        <w:t> </w:t>
      </w:r>
      <w:r>
        <w:rPr/>
        <w:t>Area</w:t>
      </w:r>
      <w:r>
        <w:rPr>
          <w:spacing w:val="40"/>
        </w:rPr>
        <w:t> </w:t>
      </w:r>
      <w:r>
        <w:rPr/>
        <w:t>Entitlement</w:t>
      </w:r>
      <w:r>
        <w:rPr>
          <w:spacing w:val="40"/>
        </w:rPr>
        <w:t> </w:t>
      </w:r>
      <w:r>
        <w:rPr/>
        <w:t>calculated</w:t>
      </w:r>
      <w:r>
        <w:rPr>
          <w:spacing w:val="40"/>
        </w:rPr>
        <w:t> </w:t>
      </w:r>
      <w:r>
        <w:rPr/>
        <w:t>in</w:t>
      </w:r>
      <w:r>
        <w:rPr>
          <w:spacing w:val="40"/>
        </w:rPr>
        <w:t> </w:t>
      </w:r>
      <w:r>
        <w:rPr/>
        <w:t>(A)</w:t>
      </w:r>
      <w:r>
        <w:rPr>
          <w:spacing w:val="40"/>
        </w:rPr>
        <w:t> </w:t>
      </w:r>
      <w:r>
        <w:rPr/>
        <w:t>of</w:t>
      </w:r>
      <w:r>
        <w:rPr>
          <w:spacing w:val="40"/>
        </w:rPr>
        <w:t> </w:t>
      </w:r>
      <w:r>
        <w:rPr/>
        <w:t>2.1</w:t>
      </w:r>
      <w:r>
        <w:rPr>
          <w:spacing w:val="40"/>
        </w:rPr>
        <w:t> </w:t>
      </w:r>
      <w:r>
        <w:rPr/>
        <w:t>above,</w:t>
      </w:r>
      <w:r>
        <w:rPr>
          <w:spacing w:val="40"/>
        </w:rPr>
        <w:t> </w:t>
      </w:r>
      <w:r>
        <w:rPr/>
        <w:t>.</w:t>
      </w:r>
    </w:p>
    <w:p>
      <w:pPr>
        <w:pStyle w:val="BodyText"/>
        <w:spacing w:before="1"/>
        <w:jc w:val="left"/>
      </w:pPr>
    </w:p>
    <w:p>
      <w:pPr>
        <w:pStyle w:val="BodyText"/>
        <w:ind w:left="2333" w:right="773"/>
      </w:pPr>
      <w:r>
        <w:rPr/>
        <w:t>Note:</w:t>
      </w:r>
      <w:r>
        <w:rPr>
          <w:spacing w:val="40"/>
        </w:rPr>
        <w:t> </w:t>
      </w:r>
      <w:r>
        <w:rPr/>
        <w:t>Fungible</w:t>
      </w:r>
      <w:r>
        <w:rPr>
          <w:spacing w:val="40"/>
        </w:rPr>
        <w:t> </w:t>
      </w:r>
      <w:r>
        <w:rPr/>
        <w:t>compensatory</w:t>
      </w:r>
      <w:r>
        <w:rPr>
          <w:spacing w:val="40"/>
        </w:rPr>
        <w:t> </w:t>
      </w:r>
      <w:r>
        <w:rPr/>
        <w:t>area</w:t>
      </w:r>
      <w:r>
        <w:rPr>
          <w:spacing w:val="40"/>
        </w:rPr>
        <w:t> </w:t>
      </w:r>
      <w:r>
        <w:rPr/>
        <w:t>as</w:t>
      </w:r>
      <w:r>
        <w:rPr>
          <w:spacing w:val="40"/>
        </w:rPr>
        <w:t> </w:t>
      </w:r>
      <w:r>
        <w:rPr/>
        <w:t>applicable</w:t>
      </w:r>
      <w:r>
        <w:rPr>
          <w:spacing w:val="40"/>
        </w:rPr>
        <w:t> </w:t>
      </w:r>
      <w:r>
        <w:rPr/>
        <w:t>on</w:t>
      </w:r>
      <w:r>
        <w:rPr>
          <w:spacing w:val="40"/>
        </w:rPr>
        <w:t> </w:t>
      </w:r>
      <w:r>
        <w:rPr/>
        <w:t>the</w:t>
      </w:r>
      <w:r>
        <w:rPr>
          <w:spacing w:val="40"/>
        </w:rPr>
        <w:t> </w:t>
      </w:r>
      <w:r>
        <w:rPr/>
        <w:t>surplus area</w:t>
      </w:r>
      <w:r>
        <w:rPr>
          <w:spacing w:val="40"/>
        </w:rPr>
        <w:t> </w:t>
      </w:r>
      <w:r>
        <w:rPr/>
        <w:t>to</w:t>
      </w:r>
      <w:r>
        <w:rPr>
          <w:spacing w:val="40"/>
        </w:rPr>
        <w:t> </w:t>
      </w:r>
      <w:r>
        <w:rPr/>
        <w:t>be</w:t>
      </w:r>
      <w:r>
        <w:rPr>
          <w:spacing w:val="40"/>
        </w:rPr>
        <w:t> </w:t>
      </w:r>
      <w:r>
        <w:rPr/>
        <w:t>handed</w:t>
      </w:r>
      <w:r>
        <w:rPr>
          <w:spacing w:val="40"/>
        </w:rPr>
        <w:t> </w:t>
      </w:r>
      <w:r>
        <w:rPr/>
        <w:t>over</w:t>
      </w:r>
      <w:r>
        <w:rPr>
          <w:spacing w:val="40"/>
        </w:rPr>
        <w:t> </w:t>
      </w:r>
      <w:r>
        <w:rPr/>
        <w:t>to</w:t>
      </w:r>
      <w:r>
        <w:rPr>
          <w:spacing w:val="40"/>
        </w:rPr>
        <w:t> </w:t>
      </w:r>
      <w:r>
        <w:rPr/>
        <w:t>MHADA</w:t>
      </w:r>
      <w:r>
        <w:rPr>
          <w:spacing w:val="40"/>
        </w:rPr>
        <w:t> </w:t>
      </w:r>
      <w:r>
        <w:rPr/>
        <w:t>shall</w:t>
      </w:r>
      <w:r>
        <w:rPr>
          <w:spacing w:val="40"/>
        </w:rPr>
        <w:t> </w:t>
      </w:r>
      <w:r>
        <w:rPr/>
        <w:t>not</w:t>
      </w:r>
      <w:r>
        <w:rPr>
          <w:spacing w:val="40"/>
        </w:rPr>
        <w:t> </w:t>
      </w:r>
      <w:r>
        <w:rPr/>
        <w:t>be</w:t>
      </w:r>
      <w:r>
        <w:rPr>
          <w:spacing w:val="40"/>
        </w:rPr>
        <w:t> </w:t>
      </w:r>
      <w:r>
        <w:rPr/>
        <w:t>allowed</w:t>
      </w:r>
      <w:r>
        <w:rPr>
          <w:spacing w:val="40"/>
        </w:rPr>
        <w:t> </w:t>
      </w:r>
      <w:r>
        <w:rPr/>
        <w:t>to</w:t>
      </w:r>
      <w:r>
        <w:rPr>
          <w:spacing w:val="40"/>
        </w:rPr>
        <w:t> </w:t>
      </w:r>
      <w:r>
        <w:rPr/>
        <w:t>be utilized on sale component. No premium shall be charged on the fungible</w:t>
      </w:r>
      <w:r>
        <w:rPr>
          <w:spacing w:val="40"/>
        </w:rPr>
        <w:t> </w:t>
      </w:r>
      <w:r>
        <w:rPr/>
        <w:t>compensatory</w:t>
      </w:r>
      <w:r>
        <w:rPr>
          <w:spacing w:val="40"/>
        </w:rPr>
        <w:t> </w:t>
      </w:r>
      <w:r>
        <w:rPr/>
        <w:t>area,</w:t>
      </w:r>
      <w:r>
        <w:rPr>
          <w:spacing w:val="40"/>
        </w:rPr>
        <w:t> </w:t>
      </w:r>
      <w:r>
        <w:rPr/>
        <w:t>in</w:t>
      </w:r>
      <w:r>
        <w:rPr>
          <w:spacing w:val="40"/>
        </w:rPr>
        <w:t> </w:t>
      </w:r>
      <w:r>
        <w:rPr/>
        <w:t>respect</w:t>
      </w:r>
      <w:r>
        <w:rPr>
          <w:spacing w:val="40"/>
        </w:rPr>
        <w:t> </w:t>
      </w:r>
      <w:r>
        <w:rPr/>
        <w:t>of</w:t>
      </w:r>
      <w:r>
        <w:rPr>
          <w:spacing w:val="40"/>
        </w:rPr>
        <w:t> </w:t>
      </w:r>
      <w:r>
        <w:rPr/>
        <w:t>area</w:t>
      </w:r>
      <w:r>
        <w:rPr>
          <w:spacing w:val="40"/>
        </w:rPr>
        <w:t> </w:t>
      </w:r>
      <w:r>
        <w:rPr/>
        <w:t>to</w:t>
      </w:r>
      <w:r>
        <w:rPr>
          <w:spacing w:val="40"/>
        </w:rPr>
        <w:t> </w:t>
      </w:r>
      <w:r>
        <w:rPr/>
        <w:t>be</w:t>
      </w:r>
      <w:r>
        <w:rPr>
          <w:spacing w:val="40"/>
        </w:rPr>
        <w:t> </w:t>
      </w:r>
      <w:r>
        <w:rPr/>
        <w:t>handed</w:t>
      </w:r>
      <w:r>
        <w:rPr>
          <w:spacing w:val="40"/>
        </w:rPr>
        <w:t> </w:t>
      </w:r>
      <w:r>
        <w:rPr/>
        <w:t>over to</w:t>
      </w:r>
      <w:r>
        <w:rPr>
          <w:spacing w:val="40"/>
        </w:rPr>
        <w:t> </w:t>
      </w:r>
      <w:r>
        <w:rPr/>
        <w:t>MHADA</w:t>
      </w:r>
      <w:r>
        <w:rPr>
          <w:spacing w:val="40"/>
        </w:rPr>
        <w:t> </w:t>
      </w:r>
      <w:r>
        <w:rPr/>
        <w:t>and</w:t>
      </w:r>
      <w:r>
        <w:rPr>
          <w:spacing w:val="40"/>
        </w:rPr>
        <w:t> </w:t>
      </w:r>
      <w:r>
        <w:rPr/>
        <w:t>surplus</w:t>
      </w:r>
      <w:r>
        <w:rPr>
          <w:spacing w:val="40"/>
        </w:rPr>
        <w:t> </w:t>
      </w:r>
      <w:r>
        <w:rPr/>
        <w:t>area</w:t>
      </w:r>
      <w:r>
        <w:rPr>
          <w:spacing w:val="40"/>
        </w:rPr>
        <w:t> </w:t>
      </w:r>
      <w:r>
        <w:rPr/>
        <w:t>to</w:t>
      </w:r>
      <w:r>
        <w:rPr>
          <w:spacing w:val="40"/>
        </w:rPr>
        <w:t> </w:t>
      </w:r>
      <w:r>
        <w:rPr/>
        <w:t>be</w:t>
      </w:r>
      <w:r>
        <w:rPr>
          <w:spacing w:val="40"/>
        </w:rPr>
        <w:t> </w:t>
      </w:r>
      <w:r>
        <w:rPr/>
        <w:t>handed</w:t>
      </w:r>
      <w:r>
        <w:rPr>
          <w:spacing w:val="40"/>
        </w:rPr>
        <w:t> </w:t>
      </w:r>
      <w:r>
        <w:rPr/>
        <w:t>over</w:t>
      </w:r>
      <w:r>
        <w:rPr>
          <w:spacing w:val="40"/>
        </w:rPr>
        <w:t> </w:t>
      </w:r>
      <w:r>
        <w:rPr/>
        <w:t>to</w:t>
      </w:r>
      <w:r>
        <w:rPr>
          <w:spacing w:val="40"/>
        </w:rPr>
        <w:t> </w:t>
      </w:r>
      <w:r>
        <w:rPr/>
        <w:t>MHADA</w:t>
      </w:r>
      <w:r>
        <w:rPr>
          <w:spacing w:val="40"/>
        </w:rPr>
        <w:t> </w:t>
      </w:r>
      <w:r>
        <w:rPr/>
        <w:t>shall be</w:t>
      </w:r>
      <w:r>
        <w:rPr>
          <w:spacing w:val="40"/>
        </w:rPr>
        <w:t> </w:t>
      </w:r>
      <w:r>
        <w:rPr/>
        <w:t>exclusive</w:t>
      </w:r>
      <w:r>
        <w:rPr>
          <w:spacing w:val="40"/>
        </w:rPr>
        <w:t> </w:t>
      </w:r>
      <w:r>
        <w:rPr/>
        <w:t>of</w:t>
      </w:r>
      <w:r>
        <w:rPr>
          <w:spacing w:val="80"/>
        </w:rPr>
        <w:t> </w:t>
      </w:r>
      <w:r>
        <w:rPr/>
        <w:t>the</w:t>
      </w:r>
      <w:r>
        <w:rPr>
          <w:spacing w:val="80"/>
        </w:rPr>
        <w:t> </w:t>
      </w:r>
      <w:r>
        <w:rPr/>
        <w:t>Fungible</w:t>
      </w:r>
      <w:r>
        <w:rPr>
          <w:spacing w:val="80"/>
        </w:rPr>
        <w:t> </w:t>
      </w:r>
      <w:r>
        <w:rPr/>
        <w:t>compensatory</w:t>
      </w:r>
      <w:r>
        <w:rPr>
          <w:spacing w:val="40"/>
        </w:rPr>
        <w:t> </w:t>
      </w:r>
      <w:r>
        <w:rPr/>
        <w:t>BUA</w:t>
      </w:r>
      <w:r>
        <w:rPr>
          <w:spacing w:val="80"/>
        </w:rPr>
        <w:t> </w:t>
      </w:r>
      <w:r>
        <w:rPr/>
        <w:t>if</w:t>
      </w:r>
      <w:r>
        <w:rPr>
          <w:spacing w:val="40"/>
        </w:rPr>
        <w:t> </w:t>
      </w:r>
      <w:r>
        <w:rPr/>
        <w:t>availed</w:t>
      </w:r>
    </w:p>
    <w:p>
      <w:pPr>
        <w:pStyle w:val="ListParagraph"/>
        <w:numPr>
          <w:ilvl w:val="1"/>
          <w:numId w:val="141"/>
        </w:numPr>
        <w:tabs>
          <w:tab w:pos="2665" w:val="left" w:leader="none"/>
        </w:tabs>
        <w:spacing w:line="240" w:lineRule="auto" w:before="280" w:after="0"/>
        <w:ind w:left="2333" w:right="781" w:firstLine="0"/>
        <w:jc w:val="both"/>
        <w:rPr>
          <w:sz w:val="24"/>
        </w:rPr>
      </w:pPr>
      <w:r>
        <w:rPr>
          <w:sz w:val="24"/>
        </w:rPr>
        <w:t>For the purpose of calculating the FSI, the </w:t>
      </w:r>
      <w:r>
        <w:rPr>
          <w:spacing w:val="9"/>
          <w:sz w:val="24"/>
        </w:rPr>
        <w:t>entire </w:t>
      </w:r>
      <w:r>
        <w:rPr>
          <w:sz w:val="24"/>
        </w:rPr>
        <w:t>area of the layout including Development Plan roads and internal roads but excluding</w:t>
      </w:r>
      <w:r>
        <w:rPr>
          <w:spacing w:val="40"/>
          <w:sz w:val="24"/>
        </w:rPr>
        <w:t> </w:t>
      </w:r>
      <w:r>
        <w:rPr>
          <w:sz w:val="24"/>
        </w:rPr>
        <w:t>the</w:t>
      </w:r>
      <w:r>
        <w:rPr>
          <w:spacing w:val="40"/>
          <w:sz w:val="24"/>
        </w:rPr>
        <w:t> </w:t>
      </w:r>
      <w:r>
        <w:rPr>
          <w:sz w:val="24"/>
        </w:rPr>
        <w:t>land</w:t>
      </w:r>
      <w:r>
        <w:rPr>
          <w:spacing w:val="40"/>
          <w:sz w:val="24"/>
        </w:rPr>
        <w:t> </w:t>
      </w:r>
      <w:r>
        <w:rPr>
          <w:sz w:val="24"/>
        </w:rPr>
        <w:t>under</w:t>
      </w:r>
      <w:r>
        <w:rPr>
          <w:spacing w:val="40"/>
          <w:sz w:val="24"/>
        </w:rPr>
        <w:t> </w:t>
      </w:r>
      <w:r>
        <w:rPr>
          <w:sz w:val="24"/>
        </w:rPr>
        <w:t>the</w:t>
      </w:r>
      <w:r>
        <w:rPr>
          <w:spacing w:val="40"/>
          <w:sz w:val="24"/>
        </w:rPr>
        <w:t> </w:t>
      </w:r>
      <w:r>
        <w:rPr>
          <w:sz w:val="24"/>
        </w:rPr>
        <w:t>reservation</w:t>
      </w:r>
      <w:r>
        <w:rPr>
          <w:spacing w:val="40"/>
          <w:sz w:val="24"/>
        </w:rPr>
        <w:t> </w:t>
      </w:r>
      <w:r>
        <w:rPr>
          <w:sz w:val="24"/>
        </w:rPr>
        <w:t>of</w:t>
      </w:r>
      <w:r>
        <w:rPr>
          <w:spacing w:val="40"/>
          <w:sz w:val="24"/>
        </w:rPr>
        <w:t> </w:t>
      </w:r>
      <w:r>
        <w:rPr>
          <w:sz w:val="24"/>
        </w:rPr>
        <w:t>public</w:t>
      </w:r>
      <w:r>
        <w:rPr>
          <w:spacing w:val="40"/>
          <w:sz w:val="24"/>
        </w:rPr>
        <w:t> </w:t>
      </w:r>
      <w:r>
        <w:rPr>
          <w:sz w:val="24"/>
        </w:rPr>
        <w:t>amenities</w:t>
      </w:r>
      <w:r>
        <w:rPr>
          <w:spacing w:val="80"/>
          <w:sz w:val="24"/>
        </w:rPr>
        <w:t> </w:t>
      </w:r>
      <w:r>
        <w:rPr>
          <w:sz w:val="24"/>
        </w:rPr>
        <w:t>shall</w:t>
      </w:r>
      <w:r>
        <w:rPr>
          <w:spacing w:val="80"/>
          <w:sz w:val="24"/>
        </w:rPr>
        <w:t> </w:t>
      </w:r>
      <w:r>
        <w:rPr>
          <w:sz w:val="24"/>
        </w:rPr>
        <w:t>be</w:t>
      </w:r>
      <w:r>
        <w:rPr>
          <w:spacing w:val="80"/>
          <w:sz w:val="24"/>
        </w:rPr>
        <w:t> </w:t>
      </w:r>
      <w:r>
        <w:rPr>
          <w:sz w:val="24"/>
        </w:rPr>
        <w:t>considered.</w:t>
      </w:r>
      <w:r>
        <w:rPr>
          <w:spacing w:val="80"/>
          <w:sz w:val="24"/>
        </w:rPr>
        <w:t> </w:t>
      </w:r>
      <w:r>
        <w:rPr>
          <w:spacing w:val="10"/>
          <w:sz w:val="24"/>
        </w:rPr>
        <w:t>Sub-</w:t>
      </w:r>
      <w:r>
        <w:rPr>
          <w:sz w:val="24"/>
        </w:rPr>
        <w:t>division</w:t>
      </w:r>
      <w:r>
        <w:rPr>
          <w:spacing w:val="80"/>
          <w:sz w:val="24"/>
        </w:rPr>
        <w:t> </w:t>
      </w:r>
      <w:r>
        <w:rPr>
          <w:sz w:val="24"/>
        </w:rPr>
        <w:t>of</w:t>
      </w:r>
      <w:r>
        <w:rPr>
          <w:spacing w:val="80"/>
          <w:sz w:val="24"/>
        </w:rPr>
        <w:t> </w:t>
      </w:r>
      <w:r>
        <w:rPr>
          <w:sz w:val="24"/>
        </w:rPr>
        <w:t>plots</w:t>
      </w:r>
      <w:r>
        <w:rPr>
          <w:spacing w:val="80"/>
          <w:sz w:val="24"/>
        </w:rPr>
        <w:t> </w:t>
      </w:r>
      <w:r>
        <w:rPr>
          <w:sz w:val="24"/>
        </w:rPr>
        <w:t>shall</w:t>
      </w:r>
      <w:r>
        <w:rPr>
          <w:spacing w:val="80"/>
          <w:sz w:val="24"/>
        </w:rPr>
        <w:t> </w:t>
      </w:r>
      <w:r>
        <w:rPr>
          <w:sz w:val="24"/>
        </w:rPr>
        <w:t>be</w:t>
      </w:r>
      <w:r>
        <w:rPr>
          <w:spacing w:val="80"/>
          <w:sz w:val="24"/>
        </w:rPr>
        <w:t> </w:t>
      </w:r>
      <w:r>
        <w:rPr>
          <w:sz w:val="24"/>
        </w:rPr>
        <w:t>permissible on the basis of the compulsory open spaces as in these</w:t>
      </w:r>
      <w:r>
        <w:rPr>
          <w:spacing w:val="40"/>
          <w:sz w:val="24"/>
        </w:rPr>
        <w:t> </w:t>
      </w:r>
      <w:r>
        <w:rPr>
          <w:spacing w:val="7"/>
          <w:sz w:val="24"/>
        </w:rPr>
        <w:t>Regulations.</w:t>
      </w:r>
    </w:p>
    <w:p>
      <w:pPr>
        <w:pStyle w:val="BodyText"/>
        <w:spacing w:before="1"/>
        <w:jc w:val="left"/>
      </w:pPr>
    </w:p>
    <w:p>
      <w:pPr>
        <w:pStyle w:val="BodyText"/>
        <w:ind w:left="2333" w:right="873"/>
      </w:pPr>
      <w:r>
        <w:rPr/>
        <w:t>The</w:t>
      </w:r>
      <w:r>
        <w:rPr>
          <w:spacing w:val="40"/>
        </w:rPr>
        <w:t> </w:t>
      </w:r>
      <w:r>
        <w:rPr/>
        <w:t>reservations</w:t>
      </w:r>
      <w:r>
        <w:rPr>
          <w:spacing w:val="40"/>
        </w:rPr>
        <w:t> </w:t>
      </w:r>
      <w:r>
        <w:rPr/>
        <w:t>in</w:t>
      </w:r>
      <w:r>
        <w:rPr>
          <w:spacing w:val="40"/>
        </w:rPr>
        <w:t> </w:t>
      </w:r>
      <w:r>
        <w:rPr/>
        <w:t>the</w:t>
      </w:r>
      <w:r>
        <w:rPr>
          <w:spacing w:val="40"/>
        </w:rPr>
        <w:t> </w:t>
      </w:r>
      <w:r>
        <w:rPr/>
        <w:t>MHADA</w:t>
      </w:r>
      <w:r>
        <w:rPr>
          <w:spacing w:val="40"/>
        </w:rPr>
        <w:t> </w:t>
      </w:r>
      <w:r>
        <w:rPr/>
        <w:t>layout</w:t>
      </w:r>
      <w:r>
        <w:rPr>
          <w:spacing w:val="40"/>
        </w:rPr>
        <w:t> </w:t>
      </w:r>
      <w:r>
        <w:rPr/>
        <w:t>may</w:t>
      </w:r>
      <w:r>
        <w:rPr>
          <w:spacing w:val="40"/>
        </w:rPr>
        <w:t> </w:t>
      </w:r>
      <w:r>
        <w:rPr/>
        <w:t>be</w:t>
      </w:r>
      <w:r>
        <w:rPr>
          <w:spacing w:val="40"/>
        </w:rPr>
        <w:t> </w:t>
      </w:r>
      <w:r>
        <w:rPr/>
        <w:t>developed</w:t>
      </w:r>
      <w:r>
        <w:rPr>
          <w:spacing w:val="40"/>
        </w:rPr>
        <w:t> </w:t>
      </w:r>
      <w:r>
        <w:rPr/>
        <w:t>as</w:t>
      </w:r>
      <w:r>
        <w:rPr>
          <w:spacing w:val="40"/>
        </w:rPr>
        <w:t> </w:t>
      </w:r>
      <w:r>
        <w:rPr/>
        <w:t>per the</w:t>
      </w:r>
      <w:r>
        <w:rPr>
          <w:spacing w:val="40"/>
        </w:rPr>
        <w:t> </w:t>
      </w:r>
      <w:r>
        <w:rPr/>
        <w:t>provisions</w:t>
      </w:r>
      <w:r>
        <w:rPr>
          <w:spacing w:val="40"/>
        </w:rPr>
        <w:t> </w:t>
      </w:r>
      <w:r>
        <w:rPr/>
        <w:t>of</w:t>
      </w:r>
      <w:r>
        <w:rPr>
          <w:spacing w:val="40"/>
        </w:rPr>
        <w:t> </w:t>
      </w:r>
      <w:r>
        <w:rPr/>
        <w:t>Regulation</w:t>
      </w:r>
      <w:r>
        <w:rPr>
          <w:spacing w:val="40"/>
        </w:rPr>
        <w:t> </w:t>
      </w:r>
      <w:r>
        <w:rPr/>
        <w:t>No.</w:t>
      </w:r>
      <w:r>
        <w:rPr>
          <w:spacing w:val="40"/>
        </w:rPr>
        <w:t> </w:t>
      </w:r>
      <w:r>
        <w:rPr>
          <w:spacing w:val="10"/>
        </w:rPr>
        <w:t>17(3).</w:t>
      </w:r>
    </w:p>
    <w:p>
      <w:pPr>
        <w:pStyle w:val="BodyText"/>
        <w:spacing w:before="241"/>
        <w:ind w:left="2333" w:right="783"/>
      </w:pPr>
      <w:r>
        <w:rPr/>
        <w:t>Provided</w:t>
      </w:r>
      <w:r>
        <w:rPr>
          <w:spacing w:val="40"/>
        </w:rPr>
        <w:t> </w:t>
      </w:r>
      <w:r>
        <w:rPr/>
        <w:t>that</w:t>
      </w:r>
      <w:r>
        <w:rPr>
          <w:spacing w:val="40"/>
        </w:rPr>
        <w:t> </w:t>
      </w:r>
      <w:r>
        <w:rPr/>
        <w:t>there</w:t>
      </w:r>
      <w:r>
        <w:rPr>
          <w:spacing w:val="40"/>
        </w:rPr>
        <w:t> </w:t>
      </w:r>
      <w:r>
        <w:rPr/>
        <w:t>shall</w:t>
      </w:r>
      <w:r>
        <w:rPr>
          <w:spacing w:val="40"/>
        </w:rPr>
        <w:t> </w:t>
      </w:r>
      <w:r>
        <w:rPr/>
        <w:t>be</w:t>
      </w:r>
      <w:r>
        <w:rPr>
          <w:spacing w:val="40"/>
        </w:rPr>
        <w:t> </w:t>
      </w:r>
      <w:r>
        <w:rPr/>
        <w:t>no</w:t>
      </w:r>
      <w:r>
        <w:rPr>
          <w:spacing w:val="40"/>
        </w:rPr>
        <w:t> </w:t>
      </w:r>
      <w:r>
        <w:rPr/>
        <w:t>restriction</w:t>
      </w:r>
      <w:r>
        <w:rPr>
          <w:spacing w:val="40"/>
        </w:rPr>
        <w:t> </w:t>
      </w:r>
      <w:r>
        <w:rPr/>
        <w:t>on</w:t>
      </w:r>
      <w:r>
        <w:rPr>
          <w:spacing w:val="40"/>
        </w:rPr>
        <w:t> </w:t>
      </w:r>
      <w:r>
        <w:rPr/>
        <w:t>the</w:t>
      </w:r>
      <w:r>
        <w:rPr>
          <w:spacing w:val="40"/>
        </w:rPr>
        <w:t> </w:t>
      </w:r>
      <w:r>
        <w:rPr/>
        <w:t>utilization</w:t>
      </w:r>
      <w:r>
        <w:rPr>
          <w:spacing w:val="40"/>
        </w:rPr>
        <w:t> </w:t>
      </w:r>
      <w:r>
        <w:rPr/>
        <w:t>of</w:t>
      </w:r>
      <w:r>
        <w:rPr>
          <w:spacing w:val="40"/>
        </w:rPr>
        <w:t> </w:t>
      </w:r>
      <w:r>
        <w:rPr/>
        <w:t>the</w:t>
      </w:r>
      <w:r>
        <w:rPr>
          <w:spacing w:val="40"/>
        </w:rPr>
        <w:t> </w:t>
      </w:r>
      <w:r>
        <w:rPr/>
        <w:t>FSI</w:t>
      </w:r>
      <w:r>
        <w:rPr>
          <w:spacing w:val="40"/>
        </w:rPr>
        <w:t> </w:t>
      </w:r>
      <w:r>
        <w:rPr/>
        <w:t>permissible</w:t>
      </w:r>
      <w:r>
        <w:rPr>
          <w:spacing w:val="40"/>
        </w:rPr>
        <w:t> </w:t>
      </w:r>
      <w:r>
        <w:rPr/>
        <w:t>under</w:t>
      </w:r>
      <w:r>
        <w:rPr>
          <w:spacing w:val="40"/>
        </w:rPr>
        <w:t> </w:t>
      </w:r>
      <w:r>
        <w:rPr/>
        <w:t>this</w:t>
      </w:r>
      <w:r>
        <w:rPr>
          <w:spacing w:val="40"/>
        </w:rPr>
        <w:t> </w:t>
      </w:r>
      <w:r>
        <w:rPr/>
        <w:t>Regulation</w:t>
      </w:r>
      <w:r>
        <w:rPr>
          <w:spacing w:val="40"/>
        </w:rPr>
        <w:t> </w:t>
      </w:r>
      <w:r>
        <w:rPr/>
        <w:t>except</w:t>
      </w:r>
      <w:r>
        <w:rPr>
          <w:spacing w:val="40"/>
        </w:rPr>
        <w:t> </w:t>
      </w:r>
      <w:r>
        <w:rPr/>
        <w:t>for</w:t>
      </w:r>
      <w:r>
        <w:rPr>
          <w:spacing w:val="40"/>
        </w:rPr>
        <w:t> </w:t>
      </w:r>
      <w:r>
        <w:rPr/>
        <w:t>the restrictions</w:t>
      </w:r>
      <w:r>
        <w:rPr>
          <w:spacing w:val="40"/>
        </w:rPr>
        <w:t> </w:t>
      </w:r>
      <w:r>
        <w:rPr/>
        <w:t>under</w:t>
      </w:r>
      <w:r>
        <w:rPr>
          <w:spacing w:val="80"/>
        </w:rPr>
        <w:t> </w:t>
      </w:r>
      <w:r>
        <w:rPr/>
        <w:t>any</w:t>
      </w:r>
      <w:r>
        <w:rPr>
          <w:spacing w:val="40"/>
        </w:rPr>
        <w:t> </w:t>
      </w:r>
      <w:r>
        <w:rPr/>
        <w:t>law,</w:t>
      </w:r>
      <w:r>
        <w:rPr>
          <w:spacing w:val="80"/>
        </w:rPr>
        <w:t> </w:t>
      </w:r>
      <w:r>
        <w:rPr/>
        <w:t>rule</w:t>
      </w:r>
      <w:r>
        <w:rPr>
          <w:spacing w:val="40"/>
        </w:rPr>
        <w:t> </w:t>
      </w:r>
      <w:r>
        <w:rPr/>
        <w:t>or</w:t>
      </w:r>
      <w:r>
        <w:rPr>
          <w:spacing w:val="40"/>
        </w:rPr>
        <w:t> </w:t>
      </w:r>
      <w:r>
        <w:rPr/>
        <w:t>regulation.</w:t>
      </w:r>
    </w:p>
    <w:p>
      <w:pPr>
        <w:pStyle w:val="ListParagraph"/>
        <w:numPr>
          <w:ilvl w:val="1"/>
          <w:numId w:val="141"/>
        </w:numPr>
        <w:tabs>
          <w:tab w:pos="2655" w:val="left" w:leader="none"/>
        </w:tabs>
        <w:spacing w:line="240" w:lineRule="auto" w:before="280" w:after="0"/>
        <w:ind w:left="2333" w:right="784" w:firstLine="0"/>
        <w:jc w:val="both"/>
        <w:rPr>
          <w:sz w:val="24"/>
        </w:rPr>
      </w:pPr>
      <w:r>
        <w:rPr>
          <w:sz w:val="24"/>
        </w:rPr>
        <w:t>For</w:t>
      </w:r>
      <w:r>
        <w:rPr>
          <w:spacing w:val="40"/>
          <w:sz w:val="24"/>
        </w:rPr>
        <w:t> </w:t>
      </w:r>
      <w:r>
        <w:rPr>
          <w:sz w:val="24"/>
        </w:rPr>
        <w:t>the</w:t>
      </w:r>
      <w:r>
        <w:rPr>
          <w:spacing w:val="40"/>
          <w:sz w:val="24"/>
        </w:rPr>
        <w:t> </w:t>
      </w:r>
      <w:r>
        <w:rPr>
          <w:sz w:val="24"/>
        </w:rPr>
        <w:t>purpose</w:t>
      </w:r>
      <w:r>
        <w:rPr>
          <w:spacing w:val="40"/>
          <w:sz w:val="24"/>
        </w:rPr>
        <w:t> </w:t>
      </w:r>
      <w:r>
        <w:rPr>
          <w:sz w:val="24"/>
        </w:rPr>
        <w:t>of</w:t>
      </w:r>
      <w:r>
        <w:rPr>
          <w:spacing w:val="40"/>
          <w:sz w:val="24"/>
        </w:rPr>
        <w:t> </w:t>
      </w:r>
      <w:r>
        <w:rPr>
          <w:sz w:val="24"/>
        </w:rPr>
        <w:t>this</w:t>
      </w:r>
      <w:r>
        <w:rPr>
          <w:spacing w:val="40"/>
          <w:sz w:val="24"/>
        </w:rPr>
        <w:t> </w:t>
      </w:r>
      <w:r>
        <w:rPr>
          <w:sz w:val="24"/>
        </w:rPr>
        <w:t>Regulation,</w:t>
      </w:r>
      <w:r>
        <w:rPr>
          <w:spacing w:val="40"/>
          <w:sz w:val="24"/>
        </w:rPr>
        <w:t> </w:t>
      </w:r>
      <w:r>
        <w:rPr>
          <w:sz w:val="24"/>
        </w:rPr>
        <w:t>the</w:t>
      </w:r>
      <w:r>
        <w:rPr>
          <w:spacing w:val="40"/>
          <w:sz w:val="24"/>
        </w:rPr>
        <w:t> </w:t>
      </w:r>
      <w:r>
        <w:rPr>
          <w:sz w:val="24"/>
        </w:rPr>
        <w:t>carpet</w:t>
      </w:r>
      <w:r>
        <w:rPr>
          <w:spacing w:val="40"/>
          <w:sz w:val="24"/>
        </w:rPr>
        <w:t> </w:t>
      </w:r>
      <w:r>
        <w:rPr>
          <w:sz w:val="24"/>
        </w:rPr>
        <w:t>areas</w:t>
      </w:r>
      <w:r>
        <w:rPr>
          <w:spacing w:val="40"/>
          <w:sz w:val="24"/>
        </w:rPr>
        <w:t> </w:t>
      </w:r>
      <w:r>
        <w:rPr>
          <w:sz w:val="24"/>
        </w:rPr>
        <w:t>for</w:t>
      </w:r>
      <w:r>
        <w:rPr>
          <w:spacing w:val="40"/>
          <w:sz w:val="24"/>
        </w:rPr>
        <w:t> </w:t>
      </w:r>
      <w:r>
        <w:rPr>
          <w:sz w:val="24"/>
        </w:rPr>
        <w:t>EWS, LIG or MIG tenements shall be as determined by the Government from time to </w:t>
      </w:r>
      <w:r>
        <w:rPr>
          <w:spacing w:val="9"/>
          <w:sz w:val="24"/>
        </w:rPr>
        <w:t>time.</w:t>
      </w:r>
    </w:p>
    <w:p>
      <w:pPr>
        <w:pStyle w:val="BodyText"/>
        <w:spacing w:before="2"/>
        <w:jc w:val="left"/>
      </w:pPr>
    </w:p>
    <w:p>
      <w:pPr>
        <w:pStyle w:val="ListParagraph"/>
        <w:numPr>
          <w:ilvl w:val="1"/>
          <w:numId w:val="141"/>
        </w:numPr>
        <w:tabs>
          <w:tab w:pos="2422" w:val="left" w:leader="none"/>
          <w:tab w:pos="2571" w:val="left" w:leader="none"/>
        </w:tabs>
        <w:spacing w:line="240" w:lineRule="auto" w:before="0" w:after="0"/>
        <w:ind w:left="2422" w:right="781" w:hanging="180"/>
        <w:jc w:val="both"/>
        <w:rPr>
          <w:sz w:val="24"/>
        </w:rPr>
      </w:pPr>
      <w:r>
        <w:rPr>
          <w:sz w:val="24"/>
        </w:rPr>
        <w:t>a) For providing the requisite infrastructure for the increased population,</w:t>
      </w:r>
      <w:r>
        <w:rPr>
          <w:spacing w:val="40"/>
          <w:sz w:val="24"/>
        </w:rPr>
        <w:t> </w:t>
      </w:r>
      <w:r>
        <w:rPr>
          <w:sz w:val="24"/>
        </w:rPr>
        <w:t>Development</w:t>
      </w:r>
      <w:r>
        <w:rPr>
          <w:spacing w:val="40"/>
          <w:sz w:val="24"/>
        </w:rPr>
        <w:t> </w:t>
      </w:r>
      <w:r>
        <w:rPr>
          <w:sz w:val="24"/>
        </w:rPr>
        <w:t>Cess</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7%</w:t>
      </w:r>
      <w:r>
        <w:rPr>
          <w:spacing w:val="40"/>
          <w:sz w:val="24"/>
        </w:rPr>
        <w:t> </w:t>
      </w:r>
      <w:r>
        <w:rPr>
          <w:sz w:val="24"/>
        </w:rPr>
        <w:t>of</w:t>
      </w:r>
      <w:r>
        <w:rPr>
          <w:spacing w:val="40"/>
          <w:sz w:val="24"/>
        </w:rPr>
        <w:t> </w:t>
      </w:r>
      <w:r>
        <w:rPr>
          <w:sz w:val="24"/>
        </w:rPr>
        <w:t>the</w:t>
      </w:r>
      <w:r>
        <w:rPr>
          <w:spacing w:val="40"/>
          <w:sz w:val="24"/>
        </w:rPr>
        <w:t> </w:t>
      </w:r>
      <w:r>
        <w:rPr>
          <w:sz w:val="24"/>
        </w:rPr>
        <w:t>Land</w:t>
      </w:r>
      <w:r>
        <w:rPr>
          <w:spacing w:val="40"/>
          <w:sz w:val="24"/>
        </w:rPr>
        <w:t> </w:t>
      </w:r>
      <w:r>
        <w:rPr>
          <w:sz w:val="24"/>
        </w:rPr>
        <w:t>Rate as per the ASR of the year of approval of the redevelopment project</w:t>
      </w:r>
      <w:r>
        <w:rPr>
          <w:spacing w:val="40"/>
          <w:sz w:val="24"/>
        </w:rPr>
        <w:t> </w:t>
      </w:r>
      <w:r>
        <w:rPr>
          <w:sz w:val="24"/>
        </w:rPr>
        <w:t>shall</w:t>
      </w:r>
      <w:r>
        <w:rPr>
          <w:spacing w:val="40"/>
          <w:sz w:val="24"/>
        </w:rPr>
        <w:t> </w:t>
      </w:r>
      <w:r>
        <w:rPr>
          <w:sz w:val="24"/>
        </w:rPr>
        <w:t>be</w:t>
      </w:r>
      <w:r>
        <w:rPr>
          <w:spacing w:val="40"/>
          <w:sz w:val="24"/>
        </w:rPr>
        <w:t> </w:t>
      </w:r>
      <w:r>
        <w:rPr>
          <w:sz w:val="24"/>
        </w:rPr>
        <w:t>chargeable</w:t>
      </w:r>
      <w:r>
        <w:rPr>
          <w:spacing w:val="40"/>
          <w:sz w:val="24"/>
        </w:rPr>
        <w:t> </w:t>
      </w:r>
      <w:r>
        <w:rPr>
          <w:sz w:val="24"/>
        </w:rPr>
        <w:t>for</w:t>
      </w:r>
      <w:r>
        <w:rPr>
          <w:spacing w:val="40"/>
          <w:sz w:val="24"/>
        </w:rPr>
        <w:t> </w:t>
      </w:r>
      <w:r>
        <w:rPr>
          <w:sz w:val="24"/>
        </w:rPr>
        <w:t>the</w:t>
      </w:r>
      <w:r>
        <w:rPr>
          <w:spacing w:val="40"/>
          <w:sz w:val="24"/>
        </w:rPr>
        <w:t> </w:t>
      </w:r>
      <w:r>
        <w:rPr>
          <w:sz w:val="24"/>
        </w:rPr>
        <w:t>extra</w:t>
      </w:r>
      <w:r>
        <w:rPr>
          <w:spacing w:val="40"/>
          <w:sz w:val="24"/>
        </w:rPr>
        <w:t> </w:t>
      </w:r>
      <w:r>
        <w:rPr>
          <w:sz w:val="24"/>
        </w:rPr>
        <w:t>FSI</w:t>
      </w:r>
      <w:r>
        <w:rPr>
          <w:spacing w:val="40"/>
          <w:sz w:val="24"/>
        </w:rPr>
        <w:t> </w:t>
      </w:r>
      <w:r>
        <w:rPr>
          <w:sz w:val="24"/>
        </w:rPr>
        <w:t>(excluding</w:t>
      </w:r>
      <w:r>
        <w:rPr>
          <w:spacing w:val="40"/>
          <w:sz w:val="24"/>
        </w:rPr>
        <w:t> </w:t>
      </w:r>
      <w:r>
        <w:rPr>
          <w:sz w:val="24"/>
        </w:rPr>
        <w:t>the fungible compensatory area) granted over and</w:t>
      </w:r>
      <w:r>
        <w:rPr>
          <w:spacing w:val="40"/>
          <w:sz w:val="24"/>
        </w:rPr>
        <w:t> </w:t>
      </w:r>
      <w:r>
        <w:rPr>
          <w:sz w:val="24"/>
        </w:rPr>
        <w:t>above the normal</w:t>
      </w:r>
      <w:r>
        <w:rPr>
          <w:spacing w:val="40"/>
          <w:sz w:val="24"/>
        </w:rPr>
        <w:t> </w:t>
      </w:r>
      <w:r>
        <w:rPr>
          <w:sz w:val="24"/>
        </w:rPr>
        <w:t>FSI</w:t>
      </w:r>
      <w:r>
        <w:rPr>
          <w:spacing w:val="40"/>
          <w:sz w:val="24"/>
        </w:rPr>
        <w:t> </w:t>
      </w:r>
      <w:r>
        <w:rPr>
          <w:sz w:val="24"/>
        </w:rPr>
        <w:t>for</w:t>
      </w:r>
      <w:r>
        <w:rPr>
          <w:spacing w:val="40"/>
          <w:sz w:val="24"/>
        </w:rPr>
        <w:t> </w:t>
      </w:r>
      <w:r>
        <w:rPr>
          <w:sz w:val="24"/>
        </w:rPr>
        <w:t>the</w:t>
      </w:r>
      <w:r>
        <w:rPr>
          <w:spacing w:val="40"/>
          <w:sz w:val="24"/>
        </w:rPr>
        <w:t> </w:t>
      </w:r>
      <w:r>
        <w:rPr>
          <w:sz w:val="24"/>
        </w:rPr>
        <w:t>redevelopment</w:t>
      </w:r>
      <w:r>
        <w:rPr>
          <w:spacing w:val="40"/>
          <w:sz w:val="24"/>
        </w:rPr>
        <w:t> </w:t>
      </w:r>
      <w:r>
        <w:rPr>
          <w:sz w:val="24"/>
        </w:rPr>
        <w:t>schemes.</w:t>
      </w:r>
      <w:r>
        <w:rPr>
          <w:spacing w:val="40"/>
          <w:sz w:val="24"/>
        </w:rPr>
        <w:t> </w:t>
      </w:r>
      <w:r>
        <w:rPr>
          <w:sz w:val="24"/>
        </w:rPr>
        <w:t>5/7th</w:t>
      </w:r>
      <w:r>
        <w:rPr>
          <w:spacing w:val="40"/>
          <w:sz w:val="24"/>
        </w:rPr>
        <w:t> </w:t>
      </w:r>
      <w:r>
        <w:rPr>
          <w:sz w:val="24"/>
        </w:rPr>
        <w:t>part</w:t>
      </w:r>
      <w:r>
        <w:rPr>
          <w:spacing w:val="40"/>
          <w:sz w:val="24"/>
        </w:rPr>
        <w:t> </w:t>
      </w:r>
      <w:r>
        <w:rPr>
          <w:sz w:val="24"/>
        </w:rPr>
        <w:t>of</w:t>
      </w:r>
      <w:r>
        <w:rPr>
          <w:spacing w:val="40"/>
          <w:sz w:val="24"/>
        </w:rPr>
        <w:t> </w:t>
      </w:r>
      <w:r>
        <w:rPr>
          <w:sz w:val="24"/>
        </w:rPr>
        <w:t>the Development Cess levied and collected by MHADA shall be transferred to the Municipal Corporation of Greater Mumbai for developing</w:t>
      </w:r>
      <w:r>
        <w:rPr>
          <w:spacing w:val="80"/>
          <w:w w:val="150"/>
          <w:sz w:val="24"/>
        </w:rPr>
        <w:t> </w:t>
      </w:r>
      <w:r>
        <w:rPr>
          <w:sz w:val="24"/>
        </w:rPr>
        <w:t>necessary</w:t>
      </w:r>
      <w:r>
        <w:rPr>
          <w:spacing w:val="80"/>
          <w:w w:val="150"/>
          <w:sz w:val="24"/>
        </w:rPr>
        <w:t> </w:t>
      </w:r>
      <w:r>
        <w:rPr>
          <w:sz w:val="24"/>
        </w:rPr>
        <w:t>offsite</w:t>
      </w:r>
      <w:r>
        <w:rPr>
          <w:spacing w:val="80"/>
          <w:w w:val="150"/>
          <w:sz w:val="24"/>
        </w:rPr>
        <w:t> </w:t>
      </w:r>
      <w:r>
        <w:rPr>
          <w:sz w:val="24"/>
        </w:rPr>
        <w:t>infrastructure.</w:t>
      </w:r>
      <w:r>
        <w:rPr>
          <w:spacing w:val="80"/>
          <w:w w:val="150"/>
          <w:sz w:val="24"/>
        </w:rPr>
        <w:t> </w:t>
      </w:r>
      <w:r>
        <w:rPr>
          <w:sz w:val="24"/>
        </w:rPr>
        <w:t>Development</w:t>
      </w:r>
      <w:r>
        <w:rPr>
          <w:spacing w:val="80"/>
          <w:w w:val="150"/>
          <w:sz w:val="24"/>
        </w:rPr>
        <w:t> </w:t>
      </w:r>
      <w:r>
        <w:rPr>
          <w:sz w:val="24"/>
        </w:rPr>
        <w:t>cess</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422" w:right="768"/>
        <w:jc w:val="left"/>
      </w:pPr>
      <w:r>
        <w:rPr/>
        <w:t>shall</w:t>
      </w:r>
      <w:r>
        <w:rPr>
          <w:spacing w:val="36"/>
        </w:rPr>
        <w:t> </w:t>
      </w:r>
      <w:r>
        <w:rPr/>
        <w:t>be</w:t>
      </w:r>
      <w:r>
        <w:rPr>
          <w:spacing w:val="39"/>
        </w:rPr>
        <w:t> </w:t>
      </w:r>
      <w:r>
        <w:rPr/>
        <w:t>in</w:t>
      </w:r>
      <w:r>
        <w:rPr>
          <w:spacing w:val="39"/>
        </w:rPr>
        <w:t> </w:t>
      </w:r>
      <w:r>
        <w:rPr/>
        <w:t>addition</w:t>
      </w:r>
      <w:r>
        <w:rPr>
          <w:spacing w:val="39"/>
        </w:rPr>
        <w:t> </w:t>
      </w:r>
      <w:r>
        <w:rPr/>
        <w:t>to</w:t>
      </w:r>
      <w:r>
        <w:rPr>
          <w:spacing w:val="36"/>
        </w:rPr>
        <w:t> </w:t>
      </w:r>
      <w:r>
        <w:rPr/>
        <w:t>development</w:t>
      </w:r>
      <w:r>
        <w:rPr>
          <w:spacing w:val="36"/>
        </w:rPr>
        <w:t> </w:t>
      </w:r>
      <w:r>
        <w:rPr/>
        <w:t>charges</w:t>
      </w:r>
      <w:r>
        <w:rPr>
          <w:spacing w:val="36"/>
        </w:rPr>
        <w:t> </w:t>
      </w:r>
      <w:r>
        <w:rPr/>
        <w:t>levied</w:t>
      </w:r>
      <w:r>
        <w:rPr>
          <w:spacing w:val="39"/>
        </w:rPr>
        <w:t> </w:t>
      </w:r>
      <w:r>
        <w:rPr/>
        <w:t>as</w:t>
      </w:r>
      <w:r>
        <w:rPr>
          <w:spacing w:val="36"/>
        </w:rPr>
        <w:t> </w:t>
      </w:r>
      <w:r>
        <w:rPr/>
        <w:t>per</w:t>
      </w:r>
      <w:r>
        <w:rPr>
          <w:spacing w:val="39"/>
        </w:rPr>
        <w:t> </w:t>
      </w:r>
      <w:r>
        <w:rPr/>
        <w:t>section 124</w:t>
      </w:r>
      <w:r>
        <w:rPr>
          <w:spacing w:val="40"/>
        </w:rPr>
        <w:t> </w:t>
      </w:r>
      <w:r>
        <w:rPr/>
        <w:t>of</w:t>
      </w:r>
      <w:r>
        <w:rPr>
          <w:spacing w:val="40"/>
        </w:rPr>
        <w:t> </w:t>
      </w:r>
      <w:r>
        <w:rPr/>
        <w:t>MR&amp;TP</w:t>
      </w:r>
      <w:r>
        <w:rPr>
          <w:spacing w:val="40"/>
        </w:rPr>
        <w:t> </w:t>
      </w:r>
      <w:r>
        <w:rPr/>
        <w:t>Act</w:t>
      </w:r>
      <w:r>
        <w:rPr>
          <w:spacing w:val="40"/>
        </w:rPr>
        <w:t> </w:t>
      </w:r>
      <w:r>
        <w:rPr/>
        <w:t>1966.</w:t>
      </w:r>
    </w:p>
    <w:p>
      <w:pPr>
        <w:pStyle w:val="BodyText"/>
        <w:spacing w:before="1"/>
        <w:ind w:left="2474" w:right="784"/>
      </w:pPr>
      <w:r>
        <w:rPr/>
        <w:t>b) No premium shall be charged under Regulation No 31(1) and 31(3)</w:t>
      </w:r>
      <w:r>
        <w:rPr>
          <w:spacing w:val="40"/>
        </w:rPr>
        <w:t> </w:t>
      </w:r>
      <w:r>
        <w:rPr/>
        <w:t>(for</w:t>
      </w:r>
      <w:r>
        <w:rPr>
          <w:spacing w:val="40"/>
        </w:rPr>
        <w:t> </w:t>
      </w:r>
      <w:r>
        <w:rPr/>
        <w:t>the</w:t>
      </w:r>
      <w:r>
        <w:rPr>
          <w:spacing w:val="40"/>
        </w:rPr>
        <w:t> </w:t>
      </w:r>
      <w:r>
        <w:rPr/>
        <w:t>fungible</w:t>
      </w:r>
      <w:r>
        <w:rPr>
          <w:spacing w:val="40"/>
        </w:rPr>
        <w:t> </w:t>
      </w:r>
      <w:r>
        <w:rPr>
          <w:spacing w:val="9"/>
        </w:rPr>
        <w:t>compensatory</w:t>
      </w:r>
      <w:r>
        <w:rPr>
          <w:spacing w:val="40"/>
        </w:rPr>
        <w:t> </w:t>
      </w:r>
      <w:r>
        <w:rPr/>
        <w:t>area)</w:t>
      </w:r>
      <w:r>
        <w:rPr>
          <w:spacing w:val="40"/>
        </w:rPr>
        <w:t> </w:t>
      </w:r>
      <w:r>
        <w:rPr/>
        <w:t>for</w:t>
      </w:r>
    </w:p>
    <w:p>
      <w:pPr>
        <w:pStyle w:val="ListParagraph"/>
        <w:numPr>
          <w:ilvl w:val="0"/>
          <w:numId w:val="143"/>
        </w:numPr>
        <w:tabs>
          <w:tab w:pos="2422" w:val="left" w:leader="none"/>
          <w:tab w:pos="2564" w:val="left" w:leader="none"/>
        </w:tabs>
        <w:spacing w:line="240" w:lineRule="auto" w:before="0" w:after="0"/>
        <w:ind w:left="2422" w:right="787" w:hanging="180"/>
        <w:jc w:val="both"/>
        <w:rPr>
          <w:sz w:val="24"/>
        </w:rPr>
      </w:pPr>
      <w:r>
        <w:rPr>
          <w:sz w:val="24"/>
        </w:rPr>
        <w:t>Construction of EWS/LIG and MIG tenements by MHADA on a MHADA plot or</w:t>
      </w:r>
    </w:p>
    <w:p>
      <w:pPr>
        <w:pStyle w:val="ListParagraph"/>
        <w:numPr>
          <w:ilvl w:val="0"/>
          <w:numId w:val="143"/>
        </w:numPr>
        <w:tabs>
          <w:tab w:pos="2422" w:val="left" w:leader="none"/>
          <w:tab w:pos="2671" w:val="left" w:leader="none"/>
        </w:tabs>
        <w:spacing w:line="240" w:lineRule="auto" w:before="1" w:after="0"/>
        <w:ind w:left="2422" w:right="781" w:hanging="180"/>
        <w:jc w:val="both"/>
        <w:rPr>
          <w:sz w:val="24"/>
        </w:rPr>
      </w:pPr>
      <w:r>
        <w:rPr>
          <w:sz w:val="24"/>
        </w:rPr>
        <w:t>in</w:t>
      </w:r>
      <w:r>
        <w:rPr>
          <w:spacing w:val="40"/>
          <w:sz w:val="24"/>
        </w:rPr>
        <w:t> </w:t>
      </w:r>
      <w:r>
        <w:rPr>
          <w:sz w:val="24"/>
        </w:rPr>
        <w:t>a</w:t>
      </w:r>
      <w:r>
        <w:rPr>
          <w:spacing w:val="40"/>
          <w:sz w:val="24"/>
        </w:rPr>
        <w:t> </w:t>
      </w:r>
      <w:r>
        <w:rPr>
          <w:sz w:val="24"/>
        </w:rPr>
        <w:t>redevelopment</w:t>
      </w:r>
      <w:r>
        <w:rPr>
          <w:spacing w:val="40"/>
          <w:sz w:val="24"/>
        </w:rPr>
        <w:t> </w:t>
      </w:r>
      <w:r>
        <w:rPr>
          <w:sz w:val="24"/>
        </w:rPr>
        <w:t>project</w:t>
      </w:r>
      <w:r>
        <w:rPr>
          <w:spacing w:val="40"/>
          <w:sz w:val="24"/>
        </w:rPr>
        <w:t> </w:t>
      </w:r>
      <w:r>
        <w:rPr>
          <w:sz w:val="24"/>
        </w:rPr>
        <w:t>for</w:t>
      </w:r>
      <w:r>
        <w:rPr>
          <w:spacing w:val="40"/>
          <w:sz w:val="24"/>
        </w:rPr>
        <w:t> </w:t>
      </w:r>
      <w:r>
        <w:rPr>
          <w:sz w:val="24"/>
        </w:rPr>
        <w:t>the</w:t>
      </w:r>
      <w:r>
        <w:rPr>
          <w:spacing w:val="40"/>
          <w:sz w:val="24"/>
        </w:rPr>
        <w:t> </w:t>
      </w:r>
      <w:r>
        <w:rPr>
          <w:sz w:val="24"/>
        </w:rPr>
        <w:t>construction</w:t>
      </w:r>
      <w:r>
        <w:rPr>
          <w:spacing w:val="40"/>
          <w:sz w:val="24"/>
        </w:rPr>
        <w:t> </w:t>
      </w:r>
      <w:r>
        <w:rPr>
          <w:sz w:val="24"/>
        </w:rPr>
        <w:t>of</w:t>
      </w:r>
      <w:r>
        <w:rPr>
          <w:spacing w:val="40"/>
          <w:sz w:val="24"/>
        </w:rPr>
        <w:t> </w:t>
      </w:r>
      <w:r>
        <w:rPr>
          <w:spacing w:val="10"/>
          <w:sz w:val="24"/>
        </w:rPr>
        <w:t>EWS/LIG </w:t>
      </w:r>
      <w:r>
        <w:rPr>
          <w:sz w:val="24"/>
        </w:rPr>
        <w:t>and</w:t>
      </w:r>
      <w:r>
        <w:rPr>
          <w:spacing w:val="40"/>
          <w:sz w:val="24"/>
        </w:rPr>
        <w:t> </w:t>
      </w:r>
      <w:r>
        <w:rPr>
          <w:sz w:val="24"/>
        </w:rPr>
        <w:t>MIG</w:t>
      </w:r>
      <w:r>
        <w:rPr>
          <w:spacing w:val="40"/>
          <w:sz w:val="24"/>
        </w:rPr>
        <w:t> </w:t>
      </w:r>
      <w:r>
        <w:rPr>
          <w:sz w:val="24"/>
        </w:rPr>
        <w:t>tenements</w:t>
      </w:r>
      <w:r>
        <w:rPr>
          <w:spacing w:val="40"/>
          <w:sz w:val="24"/>
        </w:rPr>
        <w:t> </w:t>
      </w:r>
      <w:r>
        <w:rPr>
          <w:sz w:val="24"/>
        </w:rPr>
        <w:t>towards</w:t>
      </w:r>
      <w:r>
        <w:rPr>
          <w:spacing w:val="40"/>
          <w:sz w:val="24"/>
        </w:rPr>
        <w:t> </w:t>
      </w:r>
      <w:r>
        <w:rPr>
          <w:sz w:val="24"/>
        </w:rPr>
        <w:t>the</w:t>
      </w:r>
      <w:r>
        <w:rPr>
          <w:spacing w:val="40"/>
          <w:sz w:val="24"/>
        </w:rPr>
        <w:t> </w:t>
      </w:r>
      <w:r>
        <w:rPr>
          <w:sz w:val="24"/>
        </w:rPr>
        <w:t>share</w:t>
      </w:r>
      <w:r>
        <w:rPr>
          <w:spacing w:val="40"/>
          <w:sz w:val="24"/>
        </w:rPr>
        <w:t> </w:t>
      </w:r>
      <w:r>
        <w:rPr>
          <w:sz w:val="24"/>
        </w:rPr>
        <w:t>of</w:t>
      </w:r>
      <w:r>
        <w:rPr>
          <w:spacing w:val="40"/>
          <w:sz w:val="24"/>
        </w:rPr>
        <w:t> </w:t>
      </w:r>
      <w:r>
        <w:rPr>
          <w:sz w:val="24"/>
        </w:rPr>
        <w:t>MHADA,</w:t>
      </w:r>
      <w:r>
        <w:rPr>
          <w:spacing w:val="40"/>
          <w:sz w:val="24"/>
        </w:rPr>
        <w:t> </w:t>
      </w:r>
      <w:r>
        <w:rPr>
          <w:sz w:val="24"/>
        </w:rPr>
        <w:t>or</w:t>
      </w:r>
    </w:p>
    <w:p>
      <w:pPr>
        <w:pStyle w:val="ListParagraph"/>
        <w:numPr>
          <w:ilvl w:val="1"/>
          <w:numId w:val="141"/>
        </w:numPr>
        <w:tabs>
          <w:tab w:pos="2422" w:val="left" w:leader="none"/>
          <w:tab w:pos="2562" w:val="left" w:leader="none"/>
        </w:tabs>
        <w:spacing w:line="240" w:lineRule="auto" w:before="281" w:after="0"/>
        <w:ind w:left="2422" w:right="768" w:hanging="180"/>
        <w:jc w:val="both"/>
        <w:rPr>
          <w:sz w:val="24"/>
        </w:rPr>
      </w:pPr>
      <w:r>
        <w:rPr>
          <w:sz w:val="24"/>
        </w:rPr>
        <w:t>Notwithstanding anything contained in these Regulations, the other relaxation incorporated in Regulation No. 33(10) of these Regulations</w:t>
      </w:r>
      <w:r>
        <w:rPr>
          <w:spacing w:val="40"/>
          <w:sz w:val="24"/>
        </w:rPr>
        <w:t> </w:t>
      </w:r>
      <w:r>
        <w:rPr>
          <w:sz w:val="24"/>
        </w:rPr>
        <w:t>except</w:t>
      </w:r>
      <w:r>
        <w:rPr>
          <w:spacing w:val="40"/>
          <w:sz w:val="24"/>
        </w:rPr>
        <w:t> </w:t>
      </w:r>
      <w:r>
        <w:rPr>
          <w:sz w:val="24"/>
        </w:rPr>
        <w:t>clause</w:t>
      </w:r>
      <w:r>
        <w:rPr>
          <w:spacing w:val="40"/>
          <w:sz w:val="24"/>
        </w:rPr>
        <w:t> </w:t>
      </w:r>
      <w:r>
        <w:rPr>
          <w:sz w:val="24"/>
        </w:rPr>
        <w:t>6.11,</w:t>
      </w:r>
      <w:r>
        <w:rPr>
          <w:spacing w:val="40"/>
          <w:sz w:val="24"/>
        </w:rPr>
        <w:t> </w:t>
      </w:r>
      <w:r>
        <w:rPr>
          <w:sz w:val="24"/>
        </w:rPr>
        <w:t>6.15,</w:t>
      </w:r>
      <w:r>
        <w:rPr>
          <w:spacing w:val="40"/>
          <w:sz w:val="24"/>
        </w:rPr>
        <w:t> </w:t>
      </w:r>
      <w:r>
        <w:rPr>
          <w:sz w:val="24"/>
        </w:rPr>
        <w:t>6.16</w:t>
      </w:r>
      <w:r>
        <w:rPr>
          <w:spacing w:val="40"/>
          <w:sz w:val="24"/>
        </w:rPr>
        <w:t> </w:t>
      </w:r>
      <w:r>
        <w:rPr>
          <w:sz w:val="24"/>
        </w:rPr>
        <w:t>&amp;</w:t>
      </w:r>
      <w:r>
        <w:rPr>
          <w:spacing w:val="40"/>
          <w:sz w:val="24"/>
        </w:rPr>
        <w:t> </w:t>
      </w:r>
      <w:r>
        <w:rPr>
          <w:sz w:val="24"/>
        </w:rPr>
        <w:t>6.18</w:t>
      </w:r>
      <w:r>
        <w:rPr>
          <w:spacing w:val="40"/>
          <w:sz w:val="24"/>
        </w:rPr>
        <w:t> </w:t>
      </w:r>
      <w:r>
        <w:rPr>
          <w:sz w:val="24"/>
        </w:rPr>
        <w:t>shall</w:t>
      </w:r>
      <w:r>
        <w:rPr>
          <w:spacing w:val="40"/>
          <w:sz w:val="24"/>
        </w:rPr>
        <w:t> </w:t>
      </w:r>
      <w:r>
        <w:rPr>
          <w:sz w:val="24"/>
        </w:rPr>
        <w:t>apply. The</w:t>
      </w:r>
      <w:r>
        <w:rPr>
          <w:spacing w:val="40"/>
          <w:sz w:val="24"/>
        </w:rPr>
        <w:t> </w:t>
      </w:r>
      <w:r>
        <w:rPr>
          <w:sz w:val="24"/>
        </w:rPr>
        <w:t>payment</w:t>
      </w:r>
      <w:r>
        <w:rPr>
          <w:spacing w:val="40"/>
          <w:sz w:val="24"/>
        </w:rPr>
        <w:t> </w:t>
      </w:r>
      <w:r>
        <w:rPr>
          <w:sz w:val="24"/>
        </w:rPr>
        <w:t>of</w:t>
      </w:r>
      <w:r>
        <w:rPr>
          <w:spacing w:val="40"/>
          <w:sz w:val="24"/>
        </w:rPr>
        <w:t> </w:t>
      </w:r>
      <w:r>
        <w:rPr>
          <w:sz w:val="24"/>
        </w:rPr>
        <w:t>premium</w:t>
      </w:r>
      <w:r>
        <w:rPr>
          <w:spacing w:val="40"/>
          <w:sz w:val="24"/>
        </w:rPr>
        <w:t> </w:t>
      </w:r>
      <w:r>
        <w:rPr>
          <w:sz w:val="24"/>
        </w:rPr>
        <w:t>or</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25%</w:t>
      </w:r>
      <w:r>
        <w:rPr>
          <w:spacing w:val="40"/>
          <w:sz w:val="24"/>
        </w:rPr>
        <w:t> </w:t>
      </w:r>
      <w:r>
        <w:rPr>
          <w:sz w:val="24"/>
        </w:rPr>
        <w:t>of</w:t>
      </w:r>
      <w:r>
        <w:rPr>
          <w:spacing w:val="40"/>
          <w:sz w:val="24"/>
        </w:rPr>
        <w:t> </w:t>
      </w:r>
      <w:r>
        <w:rPr>
          <w:sz w:val="24"/>
        </w:rPr>
        <w:t>normal premium</w:t>
      </w:r>
      <w:r>
        <w:rPr>
          <w:spacing w:val="40"/>
          <w:sz w:val="24"/>
        </w:rPr>
        <w:t> </w:t>
      </w:r>
      <w:r>
        <w:rPr>
          <w:sz w:val="24"/>
        </w:rPr>
        <w:t>or</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6.25%</w:t>
      </w:r>
      <w:r>
        <w:rPr>
          <w:spacing w:val="40"/>
          <w:sz w:val="24"/>
        </w:rPr>
        <w:t> </w:t>
      </w:r>
      <w:r>
        <w:rPr>
          <w:sz w:val="24"/>
        </w:rPr>
        <w:t>of</w:t>
      </w:r>
      <w:r>
        <w:rPr>
          <w:spacing w:val="40"/>
          <w:sz w:val="24"/>
        </w:rPr>
        <w:t> </w:t>
      </w:r>
      <w:r>
        <w:rPr>
          <w:sz w:val="24"/>
        </w:rPr>
        <w:t>the</w:t>
      </w:r>
      <w:r>
        <w:rPr>
          <w:spacing w:val="40"/>
          <w:sz w:val="24"/>
        </w:rPr>
        <w:t> </w:t>
      </w:r>
      <w:r>
        <w:rPr>
          <w:sz w:val="24"/>
        </w:rPr>
        <w:t>land</w:t>
      </w:r>
      <w:r>
        <w:rPr>
          <w:spacing w:val="40"/>
          <w:sz w:val="24"/>
        </w:rPr>
        <w:t> </w:t>
      </w:r>
      <w:r>
        <w:rPr>
          <w:sz w:val="24"/>
        </w:rPr>
        <w:t>rates</w:t>
      </w:r>
      <w:r>
        <w:rPr>
          <w:spacing w:val="40"/>
          <w:sz w:val="24"/>
        </w:rPr>
        <w:t> </w:t>
      </w:r>
      <w:r>
        <w:rPr>
          <w:sz w:val="24"/>
        </w:rPr>
        <w:t>as</w:t>
      </w:r>
      <w:r>
        <w:rPr>
          <w:spacing w:val="40"/>
          <w:sz w:val="24"/>
        </w:rPr>
        <w:t> </w:t>
      </w:r>
      <w:r>
        <w:rPr>
          <w:sz w:val="24"/>
        </w:rPr>
        <w:t>per</w:t>
      </w:r>
      <w:r>
        <w:rPr>
          <w:spacing w:val="40"/>
          <w:sz w:val="24"/>
        </w:rPr>
        <w:t> </w:t>
      </w:r>
      <w:r>
        <w:rPr>
          <w:sz w:val="24"/>
        </w:rPr>
        <w:t>ASR (for</w:t>
      </w:r>
      <w:r>
        <w:rPr>
          <w:spacing w:val="40"/>
          <w:sz w:val="24"/>
        </w:rPr>
        <w:t> </w:t>
      </w:r>
      <w:r>
        <w:rPr>
          <w:sz w:val="24"/>
        </w:rPr>
        <w:t>FSI</w:t>
      </w:r>
      <w:r>
        <w:rPr>
          <w:spacing w:val="40"/>
          <w:sz w:val="24"/>
        </w:rPr>
        <w:t> </w:t>
      </w:r>
      <w:r>
        <w:rPr>
          <w:sz w:val="24"/>
        </w:rPr>
        <w:t>1),</w:t>
      </w:r>
      <w:r>
        <w:rPr>
          <w:spacing w:val="40"/>
          <w:sz w:val="24"/>
        </w:rPr>
        <w:t> </w:t>
      </w:r>
      <w:r>
        <w:rPr>
          <w:sz w:val="24"/>
        </w:rPr>
        <w:t>whichever</w:t>
      </w:r>
      <w:r>
        <w:rPr>
          <w:spacing w:val="40"/>
          <w:sz w:val="24"/>
        </w:rPr>
        <w:t> </w:t>
      </w:r>
      <w:r>
        <w:rPr>
          <w:sz w:val="24"/>
        </w:rPr>
        <w:t>is</w:t>
      </w:r>
      <w:r>
        <w:rPr>
          <w:spacing w:val="40"/>
          <w:sz w:val="24"/>
        </w:rPr>
        <w:t> </w:t>
      </w:r>
      <w:r>
        <w:rPr>
          <w:sz w:val="24"/>
        </w:rPr>
        <w:t>more</w:t>
      </w:r>
      <w:r>
        <w:rPr>
          <w:spacing w:val="40"/>
          <w:sz w:val="24"/>
        </w:rPr>
        <w:t> </w:t>
      </w:r>
      <w:r>
        <w:rPr>
          <w:sz w:val="24"/>
        </w:rPr>
        <w:t>shall</w:t>
      </w:r>
      <w:r>
        <w:rPr>
          <w:spacing w:val="40"/>
          <w:sz w:val="24"/>
        </w:rPr>
        <w:t> </w:t>
      </w:r>
      <w:r>
        <w:rPr>
          <w:sz w:val="24"/>
        </w:rPr>
        <w:t>apply</w:t>
      </w:r>
      <w:r>
        <w:rPr>
          <w:spacing w:val="40"/>
          <w:sz w:val="24"/>
        </w:rPr>
        <w:t> </w:t>
      </w:r>
      <w:r>
        <w:rPr>
          <w:sz w:val="24"/>
        </w:rPr>
        <w:t>to</w:t>
      </w:r>
      <w:r>
        <w:rPr>
          <w:spacing w:val="40"/>
          <w:sz w:val="24"/>
        </w:rPr>
        <w:t> </w:t>
      </w:r>
      <w:r>
        <w:rPr>
          <w:sz w:val="24"/>
        </w:rPr>
        <w:t>the</w:t>
      </w:r>
      <w:r>
        <w:rPr>
          <w:spacing w:val="40"/>
          <w:sz w:val="24"/>
        </w:rPr>
        <w:t> </w:t>
      </w:r>
      <w:r>
        <w:rPr>
          <w:sz w:val="24"/>
        </w:rPr>
        <w:t>Housing Schemes under this Regulation for </w:t>
      </w:r>
      <w:r>
        <w:rPr>
          <w:spacing w:val="9"/>
          <w:sz w:val="24"/>
        </w:rPr>
        <w:t>construction</w:t>
      </w:r>
      <w:r>
        <w:rPr>
          <w:spacing w:val="9"/>
          <w:sz w:val="24"/>
        </w:rPr>
        <w:t> </w:t>
      </w:r>
      <w:r>
        <w:rPr>
          <w:sz w:val="24"/>
        </w:rPr>
        <w:t>of tenements under </w:t>
      </w:r>
      <w:r>
        <w:rPr>
          <w:spacing w:val="9"/>
          <w:sz w:val="24"/>
        </w:rPr>
        <w:t>EWS/LIG/MIG </w:t>
      </w:r>
      <w:r>
        <w:rPr>
          <w:sz w:val="24"/>
        </w:rPr>
        <w:t>categories. However, the front open </w:t>
      </w:r>
      <w:r>
        <w:rPr>
          <w:spacing w:val="9"/>
          <w:sz w:val="24"/>
        </w:rPr>
        <w:t>space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3.0</w:t>
      </w:r>
      <w:r>
        <w:rPr>
          <w:spacing w:val="40"/>
          <w:sz w:val="24"/>
        </w:rPr>
        <w:t> </w:t>
      </w:r>
      <w:r>
        <w:rPr>
          <w:sz w:val="24"/>
        </w:rPr>
        <w:t>m.</w:t>
      </w:r>
    </w:p>
    <w:p>
      <w:pPr>
        <w:pStyle w:val="BodyText"/>
        <w:spacing w:before="1"/>
        <w:jc w:val="left"/>
      </w:pPr>
    </w:p>
    <w:p>
      <w:pPr>
        <w:pStyle w:val="ListParagraph"/>
        <w:numPr>
          <w:ilvl w:val="1"/>
          <w:numId w:val="141"/>
        </w:numPr>
        <w:tabs>
          <w:tab w:pos="2422" w:val="left" w:leader="none"/>
          <w:tab w:pos="2612" w:val="left" w:leader="none"/>
        </w:tabs>
        <w:spacing w:line="240" w:lineRule="auto" w:before="0" w:after="0"/>
        <w:ind w:left="2422" w:right="769" w:hanging="180"/>
        <w:jc w:val="both"/>
        <w:rPr>
          <w:sz w:val="24"/>
        </w:rPr>
      </w:pPr>
      <w:r>
        <w:rPr>
          <w:sz w:val="24"/>
        </w:rPr>
        <w:t>a) In any Redevelopment Scheme where the Registered Co- operative</w:t>
      </w:r>
      <w:r>
        <w:rPr>
          <w:spacing w:val="80"/>
          <w:sz w:val="24"/>
        </w:rPr>
        <w:t> </w:t>
      </w:r>
      <w:r>
        <w:rPr>
          <w:sz w:val="24"/>
        </w:rPr>
        <w:t>Housing</w:t>
      </w:r>
      <w:r>
        <w:rPr>
          <w:spacing w:val="80"/>
          <w:sz w:val="24"/>
        </w:rPr>
        <w:t> </w:t>
      </w:r>
      <w:r>
        <w:rPr>
          <w:sz w:val="24"/>
        </w:rPr>
        <w:t>Society/Developer</w:t>
      </w:r>
      <w:r>
        <w:rPr>
          <w:spacing w:val="80"/>
          <w:sz w:val="24"/>
        </w:rPr>
        <w:t> </w:t>
      </w:r>
      <w:r>
        <w:rPr>
          <w:sz w:val="24"/>
        </w:rPr>
        <w:t>appointed</w:t>
      </w:r>
      <w:r>
        <w:rPr>
          <w:spacing w:val="80"/>
          <w:sz w:val="24"/>
        </w:rPr>
        <w:t> </w:t>
      </w:r>
      <w:r>
        <w:rPr>
          <w:sz w:val="24"/>
        </w:rPr>
        <w:t>by</w:t>
      </w:r>
      <w:r>
        <w:rPr>
          <w:spacing w:val="80"/>
          <w:sz w:val="24"/>
        </w:rPr>
        <w:t> </w:t>
      </w:r>
      <w:r>
        <w:rPr>
          <w:sz w:val="24"/>
        </w:rPr>
        <w:t>the Registered</w:t>
      </w:r>
      <w:r>
        <w:rPr>
          <w:spacing w:val="40"/>
          <w:sz w:val="24"/>
        </w:rPr>
        <w:t> </w:t>
      </w:r>
      <w:r>
        <w:rPr>
          <w:sz w:val="24"/>
        </w:rPr>
        <w:t>Co-operative</w:t>
      </w:r>
      <w:r>
        <w:rPr>
          <w:spacing w:val="40"/>
          <w:sz w:val="24"/>
        </w:rPr>
        <w:t> </w:t>
      </w:r>
      <w:r>
        <w:rPr>
          <w:sz w:val="24"/>
        </w:rPr>
        <w:t>Housing</w:t>
      </w:r>
      <w:r>
        <w:rPr>
          <w:spacing w:val="40"/>
          <w:sz w:val="24"/>
        </w:rPr>
        <w:t> </w:t>
      </w:r>
      <w:r>
        <w:rPr>
          <w:sz w:val="24"/>
        </w:rPr>
        <w:t>Society/</w:t>
      </w:r>
      <w:r>
        <w:rPr>
          <w:spacing w:val="40"/>
          <w:sz w:val="24"/>
        </w:rPr>
        <w:t> </w:t>
      </w:r>
      <w:r>
        <w:rPr>
          <w:sz w:val="24"/>
        </w:rPr>
        <w:t>Federation/ Association/</w:t>
      </w:r>
      <w:r>
        <w:rPr>
          <w:spacing w:val="80"/>
          <w:sz w:val="24"/>
        </w:rPr>
        <w:t> </w:t>
      </w:r>
      <w:r>
        <w:rPr>
          <w:sz w:val="24"/>
        </w:rPr>
        <w:t>Union</w:t>
      </w:r>
      <w:r>
        <w:rPr>
          <w:spacing w:val="80"/>
          <w:sz w:val="24"/>
        </w:rPr>
        <w:t> </w:t>
      </w:r>
      <w:r>
        <w:rPr>
          <w:sz w:val="24"/>
        </w:rPr>
        <w:t>has</w:t>
      </w:r>
      <w:r>
        <w:rPr>
          <w:spacing w:val="80"/>
          <w:sz w:val="24"/>
        </w:rPr>
        <w:t> </w:t>
      </w:r>
      <w:r>
        <w:rPr>
          <w:sz w:val="24"/>
        </w:rPr>
        <w:t>obtained</w:t>
      </w:r>
      <w:r>
        <w:rPr>
          <w:spacing w:val="80"/>
          <w:sz w:val="24"/>
        </w:rPr>
        <w:t> </w:t>
      </w:r>
      <w:r>
        <w:rPr>
          <w:sz w:val="24"/>
        </w:rPr>
        <w:t>NOC</w:t>
      </w:r>
      <w:r>
        <w:rPr>
          <w:spacing w:val="80"/>
          <w:sz w:val="24"/>
        </w:rPr>
        <w:t> </w:t>
      </w:r>
      <w:r>
        <w:rPr>
          <w:sz w:val="24"/>
        </w:rPr>
        <w:t>from</w:t>
      </w:r>
      <w:r>
        <w:rPr>
          <w:spacing w:val="80"/>
          <w:sz w:val="24"/>
        </w:rPr>
        <w:t> </w:t>
      </w:r>
      <w:r>
        <w:rPr>
          <w:sz w:val="24"/>
        </w:rPr>
        <w:t>the MHADA/Mumbai</w:t>
      </w:r>
      <w:r>
        <w:rPr>
          <w:spacing w:val="80"/>
          <w:w w:val="150"/>
          <w:sz w:val="24"/>
        </w:rPr>
        <w:t> </w:t>
      </w:r>
      <w:r>
        <w:rPr>
          <w:sz w:val="24"/>
        </w:rPr>
        <w:t>Board,</w:t>
      </w:r>
      <w:r>
        <w:rPr>
          <w:spacing w:val="80"/>
          <w:w w:val="150"/>
          <w:sz w:val="24"/>
        </w:rPr>
        <w:t> </w:t>
      </w:r>
      <w:r>
        <w:rPr>
          <w:sz w:val="24"/>
        </w:rPr>
        <w:t>thereby</w:t>
      </w:r>
      <w:r>
        <w:rPr>
          <w:spacing w:val="80"/>
          <w:w w:val="150"/>
          <w:sz w:val="24"/>
        </w:rPr>
        <w:t> </w:t>
      </w:r>
      <w:r>
        <w:rPr>
          <w:sz w:val="24"/>
        </w:rPr>
        <w:t>sanctioning</w:t>
      </w:r>
      <w:r>
        <w:rPr>
          <w:spacing w:val="80"/>
          <w:w w:val="150"/>
          <w:sz w:val="24"/>
        </w:rPr>
        <w:t> </w:t>
      </w:r>
      <w:r>
        <w:rPr>
          <w:sz w:val="24"/>
        </w:rPr>
        <w:t>additional</w:t>
      </w:r>
      <w:r>
        <w:rPr>
          <w:spacing w:val="40"/>
          <w:sz w:val="24"/>
        </w:rPr>
        <w:t> </w:t>
      </w:r>
      <w:r>
        <w:rPr>
          <w:sz w:val="24"/>
        </w:rPr>
        <w:t>balance FSI with the consent of 51% of its members and where such NOC holder has made provision for alternative permanent accommodation in the proposed building (including transit accommodation/Rent</w:t>
      </w:r>
      <w:r>
        <w:rPr>
          <w:spacing w:val="80"/>
          <w:sz w:val="24"/>
        </w:rPr>
        <w:t> </w:t>
      </w:r>
      <w:r>
        <w:rPr>
          <w:spacing w:val="9"/>
          <w:sz w:val="24"/>
        </w:rPr>
        <w:t>Compensation),</w:t>
      </w:r>
      <w:r>
        <w:rPr>
          <w:spacing w:val="80"/>
          <w:sz w:val="24"/>
        </w:rPr>
        <w:t> </w:t>
      </w:r>
      <w:r>
        <w:rPr>
          <w:sz w:val="24"/>
        </w:rPr>
        <w:t>then</w:t>
      </w:r>
      <w:r>
        <w:rPr>
          <w:spacing w:val="80"/>
          <w:sz w:val="24"/>
        </w:rPr>
        <w:t> </w:t>
      </w:r>
      <w:r>
        <w:rPr>
          <w:sz w:val="24"/>
        </w:rPr>
        <w:t>it</w:t>
      </w:r>
      <w:r>
        <w:rPr>
          <w:spacing w:val="80"/>
          <w:sz w:val="24"/>
        </w:rPr>
        <w:t> </w:t>
      </w:r>
      <w:r>
        <w:rPr>
          <w:sz w:val="24"/>
        </w:rPr>
        <w:t>shall</w:t>
      </w:r>
      <w:r>
        <w:rPr>
          <w:spacing w:val="80"/>
          <w:sz w:val="24"/>
        </w:rPr>
        <w:t> </w:t>
      </w:r>
      <w:r>
        <w:rPr>
          <w:sz w:val="24"/>
        </w:rPr>
        <w:t>be obligatory for all the </w:t>
      </w:r>
      <w:r>
        <w:rPr>
          <w:spacing w:val="9"/>
          <w:sz w:val="24"/>
        </w:rPr>
        <w:t>occupiers/members</w:t>
      </w:r>
      <w:r>
        <w:rPr>
          <w:spacing w:val="9"/>
          <w:sz w:val="24"/>
        </w:rPr>
        <w:t> </w:t>
      </w:r>
      <w:r>
        <w:rPr>
          <w:sz w:val="24"/>
        </w:rPr>
        <w:t>to participate in the Redevelopment</w:t>
      </w:r>
      <w:r>
        <w:rPr>
          <w:spacing w:val="40"/>
          <w:sz w:val="24"/>
        </w:rPr>
        <w:t> </w:t>
      </w:r>
      <w:r>
        <w:rPr>
          <w:sz w:val="24"/>
        </w:rPr>
        <w:t>Scheme</w:t>
      </w:r>
      <w:r>
        <w:rPr>
          <w:spacing w:val="40"/>
          <w:sz w:val="24"/>
        </w:rPr>
        <w:t> </w:t>
      </w:r>
      <w:r>
        <w:rPr>
          <w:sz w:val="24"/>
        </w:rPr>
        <w:t>and</w:t>
      </w:r>
      <w:r>
        <w:rPr>
          <w:spacing w:val="40"/>
          <w:sz w:val="24"/>
        </w:rPr>
        <w:t> </w:t>
      </w:r>
      <w:r>
        <w:rPr>
          <w:sz w:val="24"/>
        </w:rPr>
        <w:t>vacate</w:t>
      </w:r>
      <w:r>
        <w:rPr>
          <w:spacing w:val="40"/>
          <w:sz w:val="24"/>
        </w:rPr>
        <w:t> </w:t>
      </w:r>
      <w:r>
        <w:rPr>
          <w:sz w:val="24"/>
        </w:rPr>
        <w:t>the</w:t>
      </w:r>
      <w:r>
        <w:rPr>
          <w:spacing w:val="40"/>
          <w:sz w:val="24"/>
        </w:rPr>
        <w:t> </w:t>
      </w:r>
      <w:r>
        <w:rPr>
          <w:sz w:val="24"/>
        </w:rPr>
        <w:t>existing</w:t>
      </w:r>
      <w:r>
        <w:rPr>
          <w:spacing w:val="40"/>
          <w:sz w:val="24"/>
        </w:rPr>
        <w:t> </w:t>
      </w:r>
      <w:r>
        <w:rPr>
          <w:sz w:val="24"/>
        </w:rPr>
        <w:t>tenements</w:t>
      </w:r>
      <w:r>
        <w:rPr>
          <w:spacing w:val="40"/>
          <w:sz w:val="24"/>
        </w:rPr>
        <w:t> </w:t>
      </w:r>
      <w:r>
        <w:rPr>
          <w:sz w:val="24"/>
        </w:rPr>
        <w:t>for</w:t>
      </w:r>
      <w:r>
        <w:rPr>
          <w:spacing w:val="80"/>
          <w:sz w:val="24"/>
        </w:rPr>
        <w:t> </w:t>
      </w:r>
      <w:r>
        <w:rPr>
          <w:sz w:val="24"/>
        </w:rPr>
        <w:t>the purpose of </w:t>
      </w:r>
      <w:r>
        <w:rPr>
          <w:spacing w:val="9"/>
          <w:sz w:val="24"/>
        </w:rPr>
        <w:t>redevelopment.</w:t>
      </w:r>
      <w:r>
        <w:rPr>
          <w:spacing w:val="9"/>
          <w:sz w:val="24"/>
        </w:rPr>
        <w:t> </w:t>
      </w:r>
      <w:r>
        <w:rPr>
          <w:sz w:val="24"/>
        </w:rPr>
        <w:t>In case of failure to vacate the existing</w:t>
      </w:r>
      <w:r>
        <w:rPr>
          <w:spacing w:val="40"/>
          <w:sz w:val="24"/>
        </w:rPr>
        <w:t> </w:t>
      </w:r>
      <w:r>
        <w:rPr>
          <w:sz w:val="24"/>
        </w:rPr>
        <w:t>tenements,</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section</w:t>
      </w:r>
      <w:r>
        <w:rPr>
          <w:spacing w:val="40"/>
          <w:sz w:val="24"/>
        </w:rPr>
        <w:t> </w:t>
      </w:r>
      <w:r>
        <w:rPr>
          <w:sz w:val="24"/>
        </w:rPr>
        <w:t>95</w:t>
      </w:r>
      <w:r>
        <w:rPr>
          <w:spacing w:val="40"/>
          <w:sz w:val="24"/>
        </w:rPr>
        <w:t> </w:t>
      </w:r>
      <w:r>
        <w:rPr>
          <w:sz w:val="24"/>
        </w:rPr>
        <w:t>A</w:t>
      </w:r>
      <w:r>
        <w:rPr>
          <w:spacing w:val="40"/>
          <w:sz w:val="24"/>
        </w:rPr>
        <w:t> </w:t>
      </w:r>
      <w:r>
        <w:rPr>
          <w:sz w:val="24"/>
        </w:rPr>
        <w:t>of</w:t>
      </w:r>
      <w:r>
        <w:rPr>
          <w:spacing w:val="40"/>
          <w:sz w:val="24"/>
        </w:rPr>
        <w:t> </w:t>
      </w:r>
      <w:r>
        <w:rPr>
          <w:sz w:val="24"/>
        </w:rPr>
        <w:t>the</w:t>
      </w:r>
      <w:r>
        <w:rPr>
          <w:spacing w:val="40"/>
          <w:sz w:val="24"/>
        </w:rPr>
        <w:t> </w:t>
      </w:r>
      <w:r>
        <w:rPr>
          <w:sz w:val="24"/>
        </w:rPr>
        <w:t>MHAD Act. Mutatis mutandis shall apply for the purpose of getting the tenements</w:t>
      </w:r>
      <w:r>
        <w:rPr>
          <w:spacing w:val="80"/>
          <w:sz w:val="24"/>
        </w:rPr>
        <w:t> </w:t>
      </w:r>
      <w:r>
        <w:rPr>
          <w:sz w:val="24"/>
        </w:rPr>
        <w:t>vacated</w:t>
      </w:r>
      <w:r>
        <w:rPr>
          <w:spacing w:val="80"/>
          <w:sz w:val="24"/>
        </w:rPr>
        <w:t> </w:t>
      </w:r>
      <w:r>
        <w:rPr>
          <w:sz w:val="24"/>
        </w:rPr>
        <w:t>from</w:t>
      </w:r>
      <w:r>
        <w:rPr>
          <w:spacing w:val="80"/>
          <w:sz w:val="24"/>
        </w:rPr>
        <w:t> </w:t>
      </w:r>
      <w:r>
        <w:rPr>
          <w:sz w:val="24"/>
        </w:rPr>
        <w:t>the</w:t>
      </w:r>
      <w:r>
        <w:rPr>
          <w:spacing w:val="80"/>
          <w:sz w:val="24"/>
        </w:rPr>
        <w:t> </w:t>
      </w:r>
      <w:r>
        <w:rPr>
          <w:sz w:val="24"/>
        </w:rPr>
        <w:t>non-</w:t>
      </w:r>
      <w:r>
        <w:rPr>
          <w:spacing w:val="9"/>
          <w:sz w:val="24"/>
        </w:rPr>
        <w:t>co-</w:t>
      </w:r>
      <w:r>
        <w:rPr>
          <w:sz w:val="24"/>
        </w:rPr>
        <w:t>operative</w:t>
      </w:r>
      <w:r>
        <w:rPr>
          <w:spacing w:val="80"/>
          <w:sz w:val="24"/>
        </w:rPr>
        <w:t> </w:t>
      </w:r>
      <w:r>
        <w:rPr>
          <w:sz w:val="24"/>
        </w:rPr>
        <w:t>members.</w:t>
      </w:r>
    </w:p>
    <w:p>
      <w:pPr>
        <w:pStyle w:val="BodyText"/>
        <w:spacing w:before="1"/>
        <w:ind w:left="2422" w:right="779" w:hanging="180"/>
      </w:pPr>
      <w:r>
        <w:rPr/>
        <w:t>b)</w:t>
      </w:r>
      <w:r>
        <w:rPr>
          <w:spacing w:val="80"/>
        </w:rPr>
        <w:t> </w:t>
      </w:r>
      <w:r>
        <w:rPr/>
        <w:t>For</w:t>
      </w:r>
      <w:r>
        <w:rPr>
          <w:spacing w:val="80"/>
        </w:rPr>
        <w:t> </w:t>
      </w:r>
      <w:r>
        <w:rPr/>
        <w:t>redevelopment</w:t>
      </w:r>
      <w:r>
        <w:rPr>
          <w:spacing w:val="80"/>
        </w:rPr>
        <w:t> </w:t>
      </w:r>
      <w:r>
        <w:rPr/>
        <w:t>of</w:t>
      </w:r>
      <w:r>
        <w:rPr>
          <w:spacing w:val="80"/>
        </w:rPr>
        <w:t> </w:t>
      </w:r>
      <w:r>
        <w:rPr/>
        <w:t>buildings</w:t>
      </w:r>
      <w:r>
        <w:rPr>
          <w:spacing w:val="80"/>
        </w:rPr>
        <w:t> </w:t>
      </w:r>
      <w:r>
        <w:rPr/>
        <w:t>in</w:t>
      </w:r>
      <w:r>
        <w:rPr>
          <w:spacing w:val="80"/>
        </w:rPr>
        <w:t> </w:t>
      </w:r>
      <w:r>
        <w:rPr/>
        <w:t>any</w:t>
      </w:r>
      <w:r>
        <w:rPr>
          <w:spacing w:val="80"/>
        </w:rPr>
        <w:t> </w:t>
      </w:r>
      <w:r>
        <w:rPr/>
        <w:t>existing</w:t>
      </w:r>
      <w:r>
        <w:rPr>
          <w:spacing w:val="80"/>
        </w:rPr>
        <w:t> </w:t>
      </w:r>
      <w:r>
        <w:rPr/>
        <w:t>Housing Scheme</w:t>
      </w:r>
      <w:r>
        <w:rPr>
          <w:spacing w:val="80"/>
        </w:rPr>
        <w:t> </w:t>
      </w:r>
      <w:r>
        <w:rPr/>
        <w:t>of</w:t>
      </w:r>
      <w:r>
        <w:rPr>
          <w:spacing w:val="80"/>
        </w:rPr>
        <w:t> </w:t>
      </w:r>
      <w:r>
        <w:rPr/>
        <w:t>MHADA</w:t>
      </w:r>
      <w:r>
        <w:rPr>
          <w:spacing w:val="80"/>
        </w:rPr>
        <w:t> </w:t>
      </w:r>
      <w:r>
        <w:rPr/>
        <w:t>under</w:t>
      </w:r>
      <w:r>
        <w:rPr>
          <w:spacing w:val="80"/>
        </w:rPr>
        <w:t> </w:t>
      </w:r>
      <w:r>
        <w:rPr/>
        <w:t>clause2.2</w:t>
      </w:r>
      <w:r>
        <w:rPr>
          <w:spacing w:val="80"/>
        </w:rPr>
        <w:t> </w:t>
      </w:r>
      <w:r>
        <w:rPr/>
        <w:t>hereinabove,</w:t>
      </w:r>
      <w:r>
        <w:rPr>
          <w:spacing w:val="80"/>
        </w:rPr>
        <w:t> </w:t>
      </w:r>
      <w:r>
        <w:rPr/>
        <w:t>by</w:t>
      </w:r>
      <w:r>
        <w:rPr>
          <w:spacing w:val="80"/>
        </w:rPr>
        <w:t> </w:t>
      </w:r>
      <w:r>
        <w:rPr/>
        <w:t>MHADA, the consent of the </w:t>
      </w:r>
      <w:r>
        <w:rPr>
          <w:spacing w:val="9"/>
        </w:rPr>
        <w:t>Cooperative </w:t>
      </w:r>
      <w:r>
        <w:rPr/>
        <w:t>Housing Society in the form of a valid</w:t>
      </w:r>
      <w:r>
        <w:rPr>
          <w:spacing w:val="40"/>
        </w:rPr>
        <w:t> </w:t>
      </w:r>
      <w:r>
        <w:rPr/>
        <w:t>Resolution</w:t>
      </w:r>
      <w:r>
        <w:rPr>
          <w:spacing w:val="40"/>
        </w:rPr>
        <w:t> </w:t>
      </w:r>
      <w:r>
        <w:rPr/>
        <w:t>as</w:t>
      </w:r>
      <w:r>
        <w:rPr>
          <w:spacing w:val="40"/>
        </w:rPr>
        <w:t> </w:t>
      </w:r>
      <w:r>
        <w:rPr/>
        <w:t>per</w:t>
      </w:r>
      <w:r>
        <w:rPr>
          <w:spacing w:val="40"/>
        </w:rPr>
        <w:t> </w:t>
      </w:r>
      <w:r>
        <w:rPr/>
        <w:t>the</w:t>
      </w:r>
      <w:r>
        <w:rPr>
          <w:spacing w:val="12"/>
        </w:rPr>
        <w:t> Co-</w:t>
      </w:r>
      <w:r>
        <w:rPr/>
        <w:t>operative</w:t>
      </w:r>
      <w:r>
        <w:rPr>
          <w:spacing w:val="40"/>
        </w:rPr>
        <w:t> </w:t>
      </w:r>
      <w:r>
        <w:rPr/>
        <w:t>Societies</w:t>
      </w:r>
      <w:r>
        <w:rPr>
          <w:spacing w:val="40"/>
        </w:rPr>
        <w:t> </w:t>
      </w:r>
      <w:r>
        <w:rPr/>
        <w:t>Act,</w:t>
      </w:r>
      <w:r>
        <w:rPr>
          <w:spacing w:val="40"/>
        </w:rPr>
        <w:t> </w:t>
      </w:r>
      <w:r>
        <w:rPr/>
        <w:t>1960</w:t>
      </w:r>
      <w:r>
        <w:rPr>
          <w:spacing w:val="40"/>
        </w:rPr>
        <w:t> </w:t>
      </w:r>
      <w:r>
        <w:rPr/>
        <w:t>will be sufficient. In respect of members not </w:t>
      </w:r>
      <w:r>
        <w:rPr>
          <w:spacing w:val="9"/>
        </w:rPr>
        <w:t>co-</w:t>
      </w:r>
      <w:r>
        <w:rPr/>
        <w:t>operating as per approval</w:t>
      </w:r>
      <w:r>
        <w:rPr>
          <w:spacing w:val="80"/>
        </w:rPr>
        <w:t> </w:t>
      </w:r>
      <w:r>
        <w:rPr/>
        <w:t>of</w:t>
      </w:r>
      <w:r>
        <w:rPr>
          <w:spacing w:val="80"/>
        </w:rPr>
        <w:t> </w:t>
      </w:r>
      <w:r>
        <w:rPr/>
        <w:t>the</w:t>
      </w:r>
      <w:r>
        <w:rPr>
          <w:spacing w:val="80"/>
        </w:rPr>
        <w:t> </w:t>
      </w:r>
      <w:r>
        <w:rPr/>
        <w:t>redevelopment</w:t>
      </w:r>
      <w:r>
        <w:rPr>
          <w:spacing w:val="80"/>
        </w:rPr>
        <w:t> </w:t>
      </w:r>
      <w:r>
        <w:rPr/>
        <w:t>project,</w:t>
      </w:r>
      <w:r>
        <w:rPr>
          <w:spacing w:val="40"/>
        </w:rPr>
        <w:t> </w:t>
      </w:r>
      <w:r>
        <w:rPr/>
        <w:t>action</w:t>
      </w:r>
      <w:r>
        <w:rPr>
          <w:spacing w:val="80"/>
        </w:rPr>
        <w:t> </w:t>
      </w:r>
      <w:r>
        <w:rPr/>
        <w:t>under</w:t>
      </w:r>
      <w:r>
        <w:rPr>
          <w:spacing w:val="40"/>
        </w:rPr>
        <w:t> </w:t>
      </w:r>
      <w:r>
        <w:rPr/>
        <w:t>section 95(A) of the Maharashtra Housing and </w:t>
      </w:r>
      <w:r>
        <w:rPr>
          <w:spacing w:val="9"/>
        </w:rPr>
        <w:t>Area </w:t>
      </w:r>
      <w:r>
        <w:rPr/>
        <w:t>Development Act,</w:t>
      </w:r>
      <w:r>
        <w:rPr>
          <w:spacing w:val="80"/>
        </w:rPr>
        <w:t> </w:t>
      </w:r>
      <w:r>
        <w:rPr/>
        <w:t>1976</w:t>
      </w:r>
      <w:r>
        <w:rPr>
          <w:spacing w:val="40"/>
        </w:rPr>
        <w:t> </w:t>
      </w:r>
      <w:r>
        <w:rPr/>
        <w:t>may</w:t>
      </w:r>
      <w:r>
        <w:rPr>
          <w:spacing w:val="40"/>
        </w:rPr>
        <w:t> </w:t>
      </w:r>
      <w:r>
        <w:rPr/>
        <w:t>be</w:t>
      </w:r>
      <w:r>
        <w:rPr>
          <w:spacing w:val="40"/>
        </w:rPr>
        <w:t> </w:t>
      </w:r>
      <w:r>
        <w:rPr/>
        <w:t>taken</w:t>
      </w:r>
      <w:r>
        <w:rPr>
          <w:spacing w:val="40"/>
        </w:rPr>
        <w:t> </w:t>
      </w:r>
      <w:r>
        <w:rPr/>
        <w:t>by</w:t>
      </w:r>
      <w:r>
        <w:rPr>
          <w:spacing w:val="40"/>
        </w:rPr>
        <w:t> </w:t>
      </w:r>
      <w:r>
        <w:rPr/>
        <w:t>MHADA.</w:t>
      </w:r>
    </w:p>
    <w:p>
      <w:pPr>
        <w:pStyle w:val="ListParagraph"/>
        <w:numPr>
          <w:ilvl w:val="1"/>
          <w:numId w:val="141"/>
        </w:numPr>
        <w:tabs>
          <w:tab w:pos="2861" w:val="left" w:leader="none"/>
        </w:tabs>
        <w:spacing w:line="240" w:lineRule="auto" w:before="281" w:after="0"/>
        <w:ind w:left="2474" w:right="778" w:firstLine="0"/>
        <w:jc w:val="both"/>
        <w:rPr>
          <w:sz w:val="24"/>
        </w:rPr>
      </w:pPr>
      <w:r>
        <w:rPr>
          <w:sz w:val="24"/>
        </w:rPr>
        <w:t>A</w:t>
      </w:r>
      <w:r>
        <w:rPr>
          <w:spacing w:val="40"/>
          <w:sz w:val="24"/>
        </w:rPr>
        <w:t> </w:t>
      </w:r>
      <w:r>
        <w:rPr>
          <w:sz w:val="24"/>
        </w:rPr>
        <w:t>corpus</w:t>
      </w:r>
      <w:r>
        <w:rPr>
          <w:spacing w:val="40"/>
          <w:sz w:val="24"/>
        </w:rPr>
        <w:t> </w:t>
      </w:r>
      <w:r>
        <w:rPr>
          <w:sz w:val="24"/>
        </w:rPr>
        <w:t>fund,</w:t>
      </w:r>
      <w:r>
        <w:rPr>
          <w:spacing w:val="40"/>
          <w:sz w:val="24"/>
        </w:rPr>
        <w:t> </w:t>
      </w:r>
      <w:r>
        <w:rPr>
          <w:sz w:val="24"/>
        </w:rPr>
        <w:t>as</w:t>
      </w:r>
      <w:r>
        <w:rPr>
          <w:spacing w:val="40"/>
          <w:sz w:val="24"/>
        </w:rPr>
        <w:t> </w:t>
      </w:r>
      <w:r>
        <w:rPr>
          <w:sz w:val="24"/>
        </w:rPr>
        <w:t>may</w:t>
      </w:r>
      <w:r>
        <w:rPr>
          <w:spacing w:val="40"/>
          <w:sz w:val="24"/>
        </w:rPr>
        <w:t> </w:t>
      </w:r>
      <w:r>
        <w:rPr>
          <w:sz w:val="24"/>
        </w:rPr>
        <w:t>be</w:t>
      </w:r>
      <w:r>
        <w:rPr>
          <w:spacing w:val="40"/>
          <w:sz w:val="24"/>
        </w:rPr>
        <w:t> </w:t>
      </w:r>
      <w:r>
        <w:rPr>
          <w:sz w:val="24"/>
        </w:rPr>
        <w:t>decided</w:t>
      </w:r>
      <w:r>
        <w:rPr>
          <w:spacing w:val="40"/>
          <w:sz w:val="24"/>
        </w:rPr>
        <w:t> </w:t>
      </w:r>
      <w:r>
        <w:rPr>
          <w:sz w:val="24"/>
        </w:rPr>
        <w:t>by</w:t>
      </w:r>
      <w:r>
        <w:rPr>
          <w:spacing w:val="40"/>
          <w:sz w:val="24"/>
        </w:rPr>
        <w:t> </w:t>
      </w:r>
      <w:r>
        <w:rPr>
          <w:sz w:val="24"/>
        </w:rPr>
        <w:t>MHADA,</w:t>
      </w:r>
      <w:r>
        <w:rPr>
          <w:spacing w:val="40"/>
          <w:sz w:val="24"/>
        </w:rPr>
        <w:t> </w:t>
      </w:r>
      <w:r>
        <w:rPr>
          <w:sz w:val="24"/>
        </w:rPr>
        <w:t>shall</w:t>
      </w:r>
      <w:r>
        <w:rPr>
          <w:spacing w:val="40"/>
          <w:sz w:val="24"/>
        </w:rPr>
        <w:t> </w:t>
      </w:r>
      <w:r>
        <w:rPr>
          <w:sz w:val="24"/>
        </w:rPr>
        <w:t>be created</w:t>
      </w:r>
      <w:r>
        <w:rPr>
          <w:spacing w:val="40"/>
          <w:sz w:val="24"/>
        </w:rPr>
        <w:t> </w:t>
      </w:r>
      <w:r>
        <w:rPr>
          <w:sz w:val="24"/>
        </w:rPr>
        <w:t>by</w:t>
      </w:r>
      <w:r>
        <w:rPr>
          <w:spacing w:val="40"/>
          <w:sz w:val="24"/>
        </w:rPr>
        <w:t> </w:t>
      </w:r>
      <w:r>
        <w:rPr>
          <w:sz w:val="24"/>
        </w:rPr>
        <w:t>the</w:t>
      </w:r>
      <w:r>
        <w:rPr>
          <w:spacing w:val="40"/>
          <w:sz w:val="24"/>
        </w:rPr>
        <w:t> </w:t>
      </w:r>
      <w:r>
        <w:rPr>
          <w:sz w:val="24"/>
        </w:rPr>
        <w:t>Developer</w:t>
      </w:r>
      <w:r>
        <w:rPr>
          <w:spacing w:val="40"/>
          <w:sz w:val="24"/>
        </w:rPr>
        <w:t> </w:t>
      </w:r>
      <w:r>
        <w:rPr>
          <w:sz w:val="24"/>
        </w:rPr>
        <w:t>which</w:t>
      </w:r>
      <w:r>
        <w:rPr>
          <w:spacing w:val="40"/>
          <w:sz w:val="24"/>
        </w:rPr>
        <w:t> </w:t>
      </w:r>
      <w:r>
        <w:rPr>
          <w:sz w:val="24"/>
        </w:rPr>
        <w:t>shall</w:t>
      </w:r>
      <w:r>
        <w:rPr>
          <w:spacing w:val="40"/>
          <w:sz w:val="24"/>
        </w:rPr>
        <w:t> </w:t>
      </w:r>
      <w:r>
        <w:rPr>
          <w:sz w:val="24"/>
        </w:rPr>
        <w:t>remain</w:t>
      </w:r>
      <w:r>
        <w:rPr>
          <w:spacing w:val="40"/>
          <w:sz w:val="24"/>
        </w:rPr>
        <w:t> </w:t>
      </w:r>
      <w:r>
        <w:rPr>
          <w:sz w:val="24"/>
        </w:rPr>
        <w:t>with</w:t>
      </w:r>
      <w:r>
        <w:rPr>
          <w:spacing w:val="40"/>
          <w:sz w:val="24"/>
        </w:rPr>
        <w:t> </w:t>
      </w:r>
      <w:r>
        <w:rPr>
          <w:sz w:val="24"/>
        </w:rPr>
        <w:t>the</w:t>
      </w:r>
      <w:r>
        <w:rPr>
          <w:spacing w:val="40"/>
          <w:sz w:val="24"/>
        </w:rPr>
        <w:t> </w:t>
      </w:r>
      <w:r>
        <w:rPr>
          <w:sz w:val="24"/>
        </w:rPr>
        <w:t>Co- operative Housing Societies for the maintenance of the new buildings</w:t>
      </w:r>
      <w:r>
        <w:rPr>
          <w:spacing w:val="80"/>
          <w:sz w:val="24"/>
        </w:rPr>
        <w:t> </w:t>
      </w:r>
      <w:r>
        <w:rPr>
          <w:sz w:val="24"/>
        </w:rPr>
        <w:t>under</w:t>
      </w:r>
      <w:r>
        <w:rPr>
          <w:spacing w:val="80"/>
          <w:sz w:val="24"/>
        </w:rPr>
        <w:t> </w:t>
      </w:r>
      <w:r>
        <w:rPr>
          <w:sz w:val="24"/>
        </w:rPr>
        <w:t>the</w:t>
      </w:r>
      <w:r>
        <w:rPr>
          <w:spacing w:val="80"/>
          <w:sz w:val="24"/>
        </w:rPr>
        <w:t> </w:t>
      </w:r>
      <w:r>
        <w:rPr>
          <w:sz w:val="24"/>
        </w:rPr>
        <w:t>Rehabilitation</w:t>
      </w:r>
      <w:r>
        <w:rPr>
          <w:spacing w:val="80"/>
          <w:sz w:val="24"/>
        </w:rPr>
        <w:t> </w:t>
      </w:r>
      <w:r>
        <w:rPr>
          <w:sz w:val="24"/>
        </w:rPr>
        <w:t>Component.</w:t>
      </w:r>
    </w:p>
    <w:p>
      <w:pPr>
        <w:pStyle w:val="ListParagraph"/>
        <w:spacing w:after="0" w:line="240" w:lineRule="auto"/>
        <w:jc w:val="both"/>
        <w:rPr>
          <w:sz w:val="24"/>
        </w:rPr>
        <w:sectPr>
          <w:headerReference w:type="default" r:id="rId33"/>
          <w:footerReference w:type="default" r:id="rId34"/>
          <w:pgSz w:w="11910" w:h="16840"/>
          <w:pgMar w:header="1065" w:footer="1194" w:top="1500" w:bottom="1380" w:left="360" w:right="360"/>
        </w:sectPr>
      </w:pPr>
    </w:p>
    <w:p>
      <w:pPr>
        <w:pStyle w:val="BodyText"/>
        <w:spacing w:before="250"/>
        <w:jc w:val="left"/>
      </w:pPr>
    </w:p>
    <w:p>
      <w:pPr>
        <w:pStyle w:val="BodyText"/>
        <w:ind w:left="2513" w:right="794"/>
      </w:pPr>
      <w:r>
        <w:rPr/>
        <w:t>9</w:t>
      </w:r>
      <w:r>
        <w:rPr>
          <w:spacing w:val="80"/>
        </w:rPr>
        <w:t> </w:t>
      </w:r>
      <w:r>
        <w:rPr/>
        <w:t>)</w:t>
      </w:r>
      <w:r>
        <w:rPr>
          <w:spacing w:val="80"/>
        </w:rPr>
        <w:t> </w:t>
      </w:r>
      <w:r>
        <w:rPr/>
        <w:t>Convenience</w:t>
      </w:r>
      <w:r>
        <w:rPr>
          <w:spacing w:val="80"/>
        </w:rPr>
        <w:t> </w:t>
      </w:r>
      <w:r>
        <w:rPr/>
        <w:t>Shopping</w:t>
      </w:r>
      <w:r>
        <w:rPr>
          <w:spacing w:val="80"/>
        </w:rPr>
        <w:t> </w:t>
      </w:r>
      <w:r>
        <w:rPr/>
        <w:t>shall</w:t>
      </w:r>
      <w:r>
        <w:rPr>
          <w:spacing w:val="80"/>
        </w:rPr>
        <w:t> </w:t>
      </w:r>
      <w:r>
        <w:rPr/>
        <w:t>be</w:t>
      </w:r>
      <w:r>
        <w:rPr>
          <w:spacing w:val="80"/>
        </w:rPr>
        <w:t> </w:t>
      </w:r>
      <w:r>
        <w:rPr/>
        <w:t>permitted</w:t>
      </w:r>
      <w:r>
        <w:rPr>
          <w:spacing w:val="80"/>
        </w:rPr>
        <w:t> </w:t>
      </w:r>
      <w:r>
        <w:rPr/>
        <w:t>along</w:t>
      </w:r>
      <w:r>
        <w:rPr>
          <w:spacing w:val="80"/>
        </w:rPr>
        <w:t> </w:t>
      </w:r>
      <w:r>
        <w:rPr/>
        <w:t>layout roads</w:t>
      </w:r>
      <w:r>
        <w:rPr>
          <w:spacing w:val="40"/>
        </w:rPr>
        <w:t> </w:t>
      </w:r>
      <w:r>
        <w:rPr/>
        <w:t>with</w:t>
      </w:r>
      <w:r>
        <w:rPr>
          <w:spacing w:val="40"/>
        </w:rPr>
        <w:t> </w:t>
      </w:r>
      <w:r>
        <w:rPr/>
        <w:t>9mto</w:t>
      </w:r>
      <w:r>
        <w:rPr>
          <w:spacing w:val="40"/>
        </w:rPr>
        <w:t> </w:t>
      </w:r>
      <w:r>
        <w:rPr/>
        <w:t>18m</w:t>
      </w:r>
      <w:r>
        <w:rPr>
          <w:spacing w:val="40"/>
        </w:rPr>
        <w:t> </w:t>
      </w:r>
      <w:r>
        <w:rPr/>
        <w:t>width.</w:t>
      </w:r>
    </w:p>
    <w:p>
      <w:pPr>
        <w:pStyle w:val="ListParagraph"/>
        <w:numPr>
          <w:ilvl w:val="0"/>
          <w:numId w:val="144"/>
        </w:numPr>
        <w:tabs>
          <w:tab w:pos="3068" w:val="left" w:leader="none"/>
        </w:tabs>
        <w:spacing w:line="276" w:lineRule="auto" w:before="239" w:after="0"/>
        <w:ind w:left="2513" w:right="777" w:firstLine="0"/>
        <w:jc w:val="both"/>
        <w:rPr>
          <w:sz w:val="24"/>
        </w:rPr>
      </w:pPr>
      <w:r>
        <w:rPr>
          <w:sz w:val="24"/>
        </w:rPr>
        <w:t>(a) In case of layout of MHADA where development is</w:t>
      </w:r>
      <w:r>
        <w:rPr>
          <w:spacing w:val="80"/>
          <w:sz w:val="24"/>
        </w:rPr>
        <w:t> </w:t>
      </w:r>
      <w:r>
        <w:rPr>
          <w:sz w:val="24"/>
        </w:rPr>
        <w:t>proposed</w:t>
      </w:r>
      <w:r>
        <w:rPr>
          <w:spacing w:val="40"/>
          <w:sz w:val="24"/>
        </w:rPr>
        <w:t> </w:t>
      </w:r>
      <w:r>
        <w:rPr>
          <w:sz w:val="24"/>
        </w:rPr>
        <w:t>under</w:t>
      </w:r>
      <w:r>
        <w:rPr>
          <w:spacing w:val="40"/>
          <w:sz w:val="24"/>
        </w:rPr>
        <w:t> </w:t>
      </w:r>
      <w:r>
        <w:rPr>
          <w:sz w:val="24"/>
        </w:rPr>
        <w:t>this</w:t>
      </w:r>
      <w:r>
        <w:rPr>
          <w:spacing w:val="40"/>
          <w:sz w:val="24"/>
        </w:rPr>
        <w:t> </w:t>
      </w:r>
      <w:r>
        <w:rPr>
          <w:sz w:val="24"/>
        </w:rPr>
        <w:t>Regulation</w:t>
      </w:r>
      <w:r>
        <w:rPr>
          <w:spacing w:val="40"/>
          <w:sz w:val="24"/>
        </w:rPr>
        <w:t> </w:t>
      </w:r>
      <w:r>
        <w:rPr>
          <w:sz w:val="24"/>
        </w:rPr>
        <w:t>and</w:t>
      </w:r>
      <w:r>
        <w:rPr>
          <w:spacing w:val="40"/>
          <w:sz w:val="24"/>
        </w:rPr>
        <w:t> </w:t>
      </w:r>
      <w:r>
        <w:rPr>
          <w:sz w:val="24"/>
        </w:rPr>
        <w:t>where</w:t>
      </w:r>
      <w:r>
        <w:rPr>
          <w:spacing w:val="40"/>
          <w:sz w:val="24"/>
        </w:rPr>
        <w:t> </w:t>
      </w:r>
      <w:r>
        <w:rPr>
          <w:sz w:val="24"/>
        </w:rPr>
        <w:t>such</w:t>
      </w:r>
      <w:r>
        <w:rPr>
          <w:spacing w:val="40"/>
          <w:sz w:val="24"/>
        </w:rPr>
        <w:t> </w:t>
      </w:r>
      <w:r>
        <w:rPr>
          <w:sz w:val="24"/>
        </w:rPr>
        <w:t>land</w:t>
      </w:r>
      <w:r>
        <w:rPr>
          <w:spacing w:val="40"/>
          <w:sz w:val="24"/>
        </w:rPr>
        <w:t> </w:t>
      </w:r>
      <w:r>
        <w:rPr>
          <w:sz w:val="24"/>
        </w:rPr>
        <w:t>is observed</w:t>
      </w:r>
      <w:r>
        <w:rPr>
          <w:spacing w:val="40"/>
          <w:sz w:val="24"/>
        </w:rPr>
        <w:t> </w:t>
      </w:r>
      <w:r>
        <w:rPr>
          <w:sz w:val="24"/>
        </w:rPr>
        <w:t>to</w:t>
      </w:r>
      <w:r>
        <w:rPr>
          <w:spacing w:val="40"/>
          <w:sz w:val="24"/>
        </w:rPr>
        <w:t> </w:t>
      </w:r>
      <w:r>
        <w:rPr>
          <w:sz w:val="24"/>
        </w:rPr>
        <w:t>be</w:t>
      </w:r>
      <w:r>
        <w:rPr>
          <w:spacing w:val="40"/>
          <w:sz w:val="24"/>
        </w:rPr>
        <w:t> </w:t>
      </w:r>
      <w:r>
        <w:rPr>
          <w:sz w:val="24"/>
        </w:rPr>
        <w:t>partially</w:t>
      </w:r>
      <w:r>
        <w:rPr>
          <w:spacing w:val="40"/>
          <w:sz w:val="24"/>
        </w:rPr>
        <w:t> </w:t>
      </w:r>
      <w:r>
        <w:rPr>
          <w:sz w:val="24"/>
        </w:rPr>
        <w:t>occupied</w:t>
      </w:r>
      <w:r>
        <w:rPr>
          <w:spacing w:val="40"/>
          <w:sz w:val="24"/>
        </w:rPr>
        <w:t> </w:t>
      </w:r>
      <w:r>
        <w:rPr>
          <w:sz w:val="24"/>
        </w:rPr>
        <w:t>by</w:t>
      </w:r>
      <w:r>
        <w:rPr>
          <w:spacing w:val="40"/>
          <w:sz w:val="24"/>
        </w:rPr>
        <w:t> </w:t>
      </w:r>
      <w:r>
        <w:rPr>
          <w:sz w:val="24"/>
        </w:rPr>
        <w:t>slum,</w:t>
      </w:r>
      <w:r>
        <w:rPr>
          <w:spacing w:val="40"/>
          <w:sz w:val="24"/>
        </w:rPr>
        <w:t> </w:t>
      </w:r>
      <w:r>
        <w:rPr>
          <w:sz w:val="24"/>
        </w:rPr>
        <w:t>under</w:t>
      </w:r>
      <w:r>
        <w:rPr>
          <w:spacing w:val="40"/>
          <w:sz w:val="24"/>
        </w:rPr>
        <w:t> </w:t>
      </w:r>
      <w:r>
        <w:rPr>
          <w:sz w:val="24"/>
        </w:rPr>
        <w:t>section</w:t>
      </w:r>
      <w:r>
        <w:rPr>
          <w:spacing w:val="40"/>
          <w:sz w:val="24"/>
        </w:rPr>
        <w:t> </w:t>
      </w:r>
      <w:r>
        <w:rPr>
          <w:sz w:val="24"/>
        </w:rPr>
        <w:t>4</w:t>
      </w:r>
      <w:r>
        <w:rPr>
          <w:spacing w:val="40"/>
          <w:sz w:val="24"/>
        </w:rPr>
        <w:t> </w:t>
      </w:r>
      <w:r>
        <w:rPr>
          <w:sz w:val="24"/>
        </w:rPr>
        <w:t>of Slum</w:t>
      </w:r>
      <w:r>
        <w:rPr>
          <w:spacing w:val="40"/>
          <w:sz w:val="24"/>
        </w:rPr>
        <w:t> </w:t>
      </w:r>
      <w:r>
        <w:rPr>
          <w:sz w:val="24"/>
        </w:rPr>
        <w:t>Act</w:t>
      </w:r>
      <w:r>
        <w:rPr>
          <w:spacing w:val="40"/>
          <w:sz w:val="24"/>
        </w:rPr>
        <w:t> </w:t>
      </w:r>
      <w:r>
        <w:rPr>
          <w:sz w:val="24"/>
        </w:rPr>
        <w:t>existing</w:t>
      </w:r>
      <w:r>
        <w:rPr>
          <w:spacing w:val="40"/>
          <w:sz w:val="24"/>
        </w:rPr>
        <w:t> </w:t>
      </w:r>
      <w:r>
        <w:rPr>
          <w:sz w:val="24"/>
        </w:rPr>
        <w:t>prior</w:t>
      </w:r>
      <w:r>
        <w:rPr>
          <w:spacing w:val="40"/>
          <w:sz w:val="24"/>
        </w:rPr>
        <w:t> </w:t>
      </w:r>
      <w:r>
        <w:rPr>
          <w:sz w:val="24"/>
        </w:rPr>
        <w:t>to</w:t>
      </w:r>
      <w:r>
        <w:rPr>
          <w:spacing w:val="40"/>
          <w:sz w:val="24"/>
        </w:rPr>
        <w:t> </w:t>
      </w:r>
      <w:r>
        <w:rPr>
          <w:sz w:val="24"/>
        </w:rPr>
        <w:t>1.1.2000</w:t>
      </w:r>
      <w:r>
        <w:rPr>
          <w:spacing w:val="40"/>
          <w:sz w:val="24"/>
        </w:rPr>
        <w:t> </w:t>
      </w:r>
      <w:r>
        <w:rPr>
          <w:sz w:val="24"/>
        </w:rPr>
        <w:t>or</w:t>
      </w:r>
      <w:r>
        <w:rPr>
          <w:spacing w:val="40"/>
          <w:sz w:val="24"/>
        </w:rPr>
        <w:t> </w:t>
      </w:r>
      <w:r>
        <w:rPr>
          <w:sz w:val="24"/>
        </w:rPr>
        <w:t>such</w:t>
      </w:r>
      <w:r>
        <w:rPr>
          <w:spacing w:val="40"/>
          <w:sz w:val="24"/>
        </w:rPr>
        <w:t> </w:t>
      </w:r>
      <w:r>
        <w:rPr>
          <w:sz w:val="24"/>
        </w:rPr>
        <w:t>other</w:t>
      </w:r>
      <w:r>
        <w:rPr>
          <w:spacing w:val="40"/>
          <w:sz w:val="24"/>
        </w:rPr>
        <w:t> </w:t>
      </w:r>
      <w:r>
        <w:rPr>
          <w:sz w:val="24"/>
        </w:rPr>
        <w:t>reference</w:t>
      </w:r>
      <w:r>
        <w:rPr>
          <w:spacing w:val="80"/>
          <w:sz w:val="24"/>
        </w:rPr>
        <w:t> </w:t>
      </w:r>
      <w:r>
        <w:rPr>
          <w:sz w:val="24"/>
        </w:rPr>
        <w:t>date</w:t>
      </w:r>
      <w:r>
        <w:rPr>
          <w:spacing w:val="40"/>
          <w:sz w:val="24"/>
        </w:rPr>
        <w:t> </w:t>
      </w:r>
      <w:r>
        <w:rPr>
          <w:sz w:val="24"/>
        </w:rPr>
        <w:t>notified</w:t>
      </w:r>
      <w:r>
        <w:rPr>
          <w:spacing w:val="40"/>
          <w:sz w:val="24"/>
        </w:rPr>
        <w:t> </w:t>
      </w:r>
      <w:r>
        <w:rPr>
          <w:sz w:val="24"/>
        </w:rPr>
        <w:t>by</w:t>
      </w:r>
      <w:r>
        <w:rPr>
          <w:spacing w:val="40"/>
          <w:sz w:val="24"/>
        </w:rPr>
        <w:t> </w:t>
      </w:r>
      <w:r>
        <w:rPr>
          <w:sz w:val="24"/>
        </w:rPr>
        <w:t>the</w:t>
      </w:r>
      <w:r>
        <w:rPr>
          <w:spacing w:val="40"/>
          <w:sz w:val="24"/>
        </w:rPr>
        <w:t> </w:t>
      </w:r>
      <w:r>
        <w:rPr>
          <w:sz w:val="24"/>
        </w:rPr>
        <w:t>Govt.,</w:t>
      </w:r>
      <w:r>
        <w:rPr>
          <w:spacing w:val="40"/>
          <w:sz w:val="24"/>
        </w:rPr>
        <w:t> </w:t>
      </w:r>
      <w:r>
        <w:rPr>
          <w:sz w:val="24"/>
        </w:rPr>
        <w:t>then</w:t>
      </w:r>
      <w:r>
        <w:rPr>
          <w:spacing w:val="40"/>
          <w:sz w:val="24"/>
        </w:rPr>
        <w:t> </w:t>
      </w:r>
      <w:r>
        <w:rPr>
          <w:sz w:val="24"/>
        </w:rPr>
        <w:t>for</w:t>
      </w:r>
      <w:r>
        <w:rPr>
          <w:spacing w:val="40"/>
          <w:sz w:val="24"/>
        </w:rPr>
        <w:t> </w:t>
      </w:r>
      <w:r>
        <w:rPr>
          <w:sz w:val="24"/>
        </w:rPr>
        <w:t>integrated</w:t>
      </w:r>
      <w:r>
        <w:rPr>
          <w:spacing w:val="40"/>
          <w:sz w:val="24"/>
        </w:rPr>
        <w:t> </w:t>
      </w:r>
      <w:r>
        <w:rPr>
          <w:sz w:val="24"/>
        </w:rPr>
        <w:t>development</w:t>
      </w:r>
      <w:r>
        <w:rPr>
          <w:spacing w:val="40"/>
          <w:sz w:val="24"/>
        </w:rPr>
        <w:t> </w:t>
      </w:r>
      <w:r>
        <w:rPr>
          <w:sz w:val="24"/>
        </w:rPr>
        <w:t>of the</w:t>
      </w:r>
      <w:r>
        <w:rPr>
          <w:spacing w:val="40"/>
          <w:sz w:val="24"/>
        </w:rPr>
        <w:t> </w:t>
      </w:r>
      <w:r>
        <w:rPr>
          <w:sz w:val="24"/>
        </w:rPr>
        <w:t>entire</w:t>
      </w:r>
      <w:r>
        <w:rPr>
          <w:spacing w:val="40"/>
          <w:sz w:val="24"/>
        </w:rPr>
        <w:t> </w:t>
      </w:r>
      <w:r>
        <w:rPr>
          <w:sz w:val="24"/>
        </w:rPr>
        <w:t>layout</w:t>
      </w:r>
      <w:r>
        <w:rPr>
          <w:spacing w:val="40"/>
          <w:sz w:val="24"/>
        </w:rPr>
        <w:t> </w:t>
      </w:r>
      <w:r>
        <w:rPr>
          <w:sz w:val="24"/>
        </w:rPr>
        <w:t>area</w:t>
      </w:r>
      <w:r>
        <w:rPr>
          <w:spacing w:val="40"/>
          <w:sz w:val="24"/>
        </w:rPr>
        <w:t> </w:t>
      </w:r>
      <w:r>
        <w:rPr>
          <w:sz w:val="24"/>
        </w:rPr>
        <w:t>and</w:t>
      </w:r>
      <w:r>
        <w:rPr>
          <w:spacing w:val="40"/>
          <w:sz w:val="24"/>
        </w:rPr>
        <w:t> </w:t>
      </w:r>
      <w:r>
        <w:rPr>
          <w:sz w:val="24"/>
        </w:rPr>
        <w:t>in</w:t>
      </w:r>
      <w:r>
        <w:rPr>
          <w:spacing w:val="40"/>
          <w:sz w:val="24"/>
        </w:rPr>
        <w:t> </w:t>
      </w:r>
      <w:r>
        <w:rPr>
          <w:sz w:val="24"/>
        </w:rPr>
        <w:t>order</w:t>
      </w:r>
      <w:r>
        <w:rPr>
          <w:spacing w:val="40"/>
          <w:sz w:val="24"/>
        </w:rPr>
        <w:t> </w:t>
      </w:r>
      <w:r>
        <w:rPr>
          <w:sz w:val="24"/>
        </w:rPr>
        <w:t>to</w:t>
      </w:r>
      <w:r>
        <w:rPr>
          <w:spacing w:val="40"/>
          <w:sz w:val="24"/>
        </w:rPr>
        <w:t> </w:t>
      </w:r>
      <w:r>
        <w:rPr>
          <w:sz w:val="24"/>
        </w:rPr>
        <w:t>promote</w:t>
      </w:r>
      <w:r>
        <w:rPr>
          <w:spacing w:val="40"/>
          <w:sz w:val="24"/>
        </w:rPr>
        <w:t> </w:t>
      </w:r>
      <w:r>
        <w:rPr>
          <w:sz w:val="24"/>
        </w:rPr>
        <w:t>flexibility, MHADA</w:t>
      </w:r>
      <w:r>
        <w:rPr>
          <w:spacing w:val="40"/>
          <w:sz w:val="24"/>
        </w:rPr>
        <w:t> </w:t>
      </w:r>
      <w:r>
        <w:rPr>
          <w:sz w:val="24"/>
        </w:rPr>
        <w:t>may</w:t>
      </w:r>
      <w:r>
        <w:rPr>
          <w:spacing w:val="40"/>
          <w:sz w:val="24"/>
        </w:rPr>
        <w:t> </w:t>
      </w:r>
      <w:r>
        <w:rPr>
          <w:sz w:val="24"/>
        </w:rPr>
        <w:t>propose</w:t>
      </w:r>
      <w:r>
        <w:rPr>
          <w:spacing w:val="40"/>
          <w:sz w:val="24"/>
        </w:rPr>
        <w:t> </w:t>
      </w:r>
      <w:r>
        <w:rPr>
          <w:sz w:val="24"/>
        </w:rPr>
        <w:t>development,</w:t>
      </w:r>
      <w:r>
        <w:rPr>
          <w:spacing w:val="40"/>
          <w:sz w:val="24"/>
        </w:rPr>
        <w:t> </w:t>
      </w:r>
      <w:r>
        <w:rPr>
          <w:sz w:val="24"/>
        </w:rPr>
        <w:t>including</w:t>
      </w:r>
      <w:r>
        <w:rPr>
          <w:spacing w:val="40"/>
          <w:sz w:val="24"/>
        </w:rPr>
        <w:t> </w:t>
      </w:r>
      <w:r>
        <w:rPr>
          <w:sz w:val="24"/>
        </w:rPr>
        <w:t>area</w:t>
      </w:r>
      <w:r>
        <w:rPr>
          <w:spacing w:val="40"/>
          <w:sz w:val="24"/>
        </w:rPr>
        <w:t> </w:t>
      </w:r>
      <w:r>
        <w:rPr>
          <w:sz w:val="24"/>
        </w:rPr>
        <w:t>occupied</w:t>
      </w:r>
      <w:r>
        <w:rPr>
          <w:spacing w:val="40"/>
          <w:sz w:val="24"/>
        </w:rPr>
        <w:t> </w:t>
      </w:r>
      <w:r>
        <w:rPr>
          <w:sz w:val="24"/>
        </w:rPr>
        <w:t>by the</w:t>
      </w:r>
      <w:r>
        <w:rPr>
          <w:spacing w:val="40"/>
          <w:sz w:val="24"/>
        </w:rPr>
        <w:t> </w:t>
      </w:r>
      <w:r>
        <w:rPr>
          <w:sz w:val="24"/>
        </w:rPr>
        <w:t>slum,</w:t>
      </w:r>
      <w:r>
        <w:rPr>
          <w:spacing w:val="40"/>
          <w:sz w:val="24"/>
        </w:rPr>
        <w:t> </w:t>
      </w:r>
      <w:r>
        <w:rPr>
          <w:sz w:val="24"/>
        </w:rPr>
        <w:t>under</w:t>
      </w:r>
      <w:r>
        <w:rPr>
          <w:spacing w:val="40"/>
          <w:sz w:val="24"/>
        </w:rPr>
        <w:t> </w:t>
      </w:r>
      <w:r>
        <w:rPr>
          <w:sz w:val="24"/>
        </w:rPr>
        <w:t>this</w:t>
      </w:r>
      <w:r>
        <w:rPr>
          <w:spacing w:val="9"/>
          <w:sz w:val="24"/>
        </w:rPr>
        <w:t> regulation.</w:t>
      </w:r>
    </w:p>
    <w:p>
      <w:pPr>
        <w:pStyle w:val="ListParagraph"/>
        <w:numPr>
          <w:ilvl w:val="3"/>
          <w:numId w:val="142"/>
        </w:numPr>
        <w:tabs>
          <w:tab w:pos="3096" w:val="left" w:leader="none"/>
        </w:tabs>
        <w:spacing w:line="276" w:lineRule="auto" w:before="240" w:after="0"/>
        <w:ind w:left="2693" w:right="794" w:firstLine="0"/>
        <w:jc w:val="both"/>
        <w:rPr>
          <w:sz w:val="24"/>
        </w:rPr>
      </w:pPr>
      <w:r>
        <w:rPr>
          <w:sz w:val="24"/>
        </w:rPr>
        <w:t>(i) Each eligible residential or residential cum commercial slum</w:t>
      </w:r>
      <w:r>
        <w:rPr>
          <w:spacing w:val="40"/>
          <w:sz w:val="24"/>
        </w:rPr>
        <w:t> </w:t>
      </w:r>
      <w:r>
        <w:rPr>
          <w:sz w:val="24"/>
        </w:rPr>
        <w:t>dweller</w:t>
      </w:r>
      <w:r>
        <w:rPr>
          <w:spacing w:val="80"/>
          <w:w w:val="150"/>
          <w:sz w:val="24"/>
        </w:rPr>
        <w:t>  </w:t>
      </w:r>
      <w:r>
        <w:rPr>
          <w:sz w:val="24"/>
        </w:rPr>
        <w:t>shall</w:t>
      </w:r>
      <w:r>
        <w:rPr>
          <w:spacing w:val="40"/>
          <w:sz w:val="24"/>
        </w:rPr>
        <w:t> </w:t>
      </w:r>
      <w:r>
        <w:rPr>
          <w:sz w:val="24"/>
        </w:rPr>
        <w:t>be</w:t>
      </w:r>
      <w:r>
        <w:rPr>
          <w:spacing w:val="40"/>
          <w:sz w:val="24"/>
        </w:rPr>
        <w:t> </w:t>
      </w:r>
      <w:r>
        <w:rPr>
          <w:sz w:val="24"/>
        </w:rPr>
        <w:t>entitled</w:t>
      </w:r>
      <w:r>
        <w:rPr>
          <w:spacing w:val="40"/>
          <w:sz w:val="24"/>
        </w:rPr>
        <w:t> </w:t>
      </w:r>
      <w:r>
        <w:rPr>
          <w:sz w:val="24"/>
        </w:rPr>
        <w:t>to</w:t>
      </w:r>
      <w:r>
        <w:rPr>
          <w:spacing w:val="40"/>
          <w:sz w:val="24"/>
        </w:rPr>
        <w:t> </w:t>
      </w:r>
      <w:r>
        <w:rPr>
          <w:sz w:val="24"/>
        </w:rPr>
        <w:t>a</w:t>
      </w:r>
      <w:r>
        <w:rPr>
          <w:spacing w:val="40"/>
          <w:sz w:val="24"/>
        </w:rPr>
        <w:t> </w:t>
      </w:r>
      <w:r>
        <w:rPr>
          <w:sz w:val="24"/>
        </w:rPr>
        <w:t>tenement</w:t>
      </w:r>
      <w:r>
        <w:rPr>
          <w:spacing w:val="40"/>
          <w:sz w:val="24"/>
        </w:rPr>
        <w:t> </w:t>
      </w:r>
      <w:r>
        <w:rPr>
          <w:sz w:val="24"/>
        </w:rPr>
        <w:t>of</w:t>
      </w:r>
      <w:r>
        <w:rPr>
          <w:spacing w:val="40"/>
          <w:sz w:val="24"/>
        </w:rPr>
        <w:t> </w:t>
      </w:r>
      <w:r>
        <w:rPr>
          <w:sz w:val="24"/>
        </w:rPr>
        <w:t>carpet</w:t>
      </w:r>
      <w:r>
        <w:rPr>
          <w:spacing w:val="40"/>
          <w:sz w:val="24"/>
        </w:rPr>
        <w:t> </w:t>
      </w:r>
      <w:r>
        <w:rPr>
          <w:sz w:val="24"/>
        </w:rPr>
        <w:t>area of</w:t>
      </w:r>
      <w:r>
        <w:rPr>
          <w:spacing w:val="80"/>
          <w:sz w:val="24"/>
        </w:rPr>
        <w:t> </w:t>
      </w:r>
      <w:r>
        <w:rPr>
          <w:sz w:val="24"/>
        </w:rPr>
        <w:t>27.88 sq. m(300 sq. ft.) and</w:t>
      </w:r>
    </w:p>
    <w:p>
      <w:pPr>
        <w:pStyle w:val="BodyText"/>
        <w:spacing w:before="242"/>
        <w:jc w:val="left"/>
      </w:pPr>
    </w:p>
    <w:p>
      <w:pPr>
        <w:pStyle w:val="BodyText"/>
        <w:ind w:left="2513" w:firstLine="91"/>
        <w:jc w:val="left"/>
      </w:pPr>
      <w:r>
        <w:rPr/>
        <w:t>(ii)Existing</w:t>
      </w:r>
      <w:r>
        <w:rPr>
          <w:spacing w:val="75"/>
        </w:rPr>
        <w:t> </w:t>
      </w:r>
      <w:r>
        <w:rPr/>
        <w:t>or</w:t>
      </w:r>
      <w:r>
        <w:rPr>
          <w:spacing w:val="79"/>
        </w:rPr>
        <w:t> </w:t>
      </w:r>
      <w:r>
        <w:rPr/>
        <w:t>20.90</w:t>
      </w:r>
      <w:r>
        <w:rPr>
          <w:spacing w:val="75"/>
        </w:rPr>
        <w:t> </w:t>
      </w:r>
      <w:r>
        <w:rPr/>
        <w:t>sq.</w:t>
      </w:r>
      <w:r>
        <w:rPr>
          <w:spacing w:val="75"/>
        </w:rPr>
        <w:t> </w:t>
      </w:r>
      <w:r>
        <w:rPr/>
        <w:t>m</w:t>
      </w:r>
      <w:r>
        <w:rPr>
          <w:spacing w:val="75"/>
        </w:rPr>
        <w:t> </w:t>
      </w:r>
      <w:r>
        <w:rPr/>
        <w:t>whichever</w:t>
      </w:r>
      <w:r>
        <w:rPr>
          <w:spacing w:val="75"/>
        </w:rPr>
        <w:t> </w:t>
      </w:r>
      <w:r>
        <w:rPr/>
        <w:t>is</w:t>
      </w:r>
      <w:r>
        <w:rPr>
          <w:spacing w:val="75"/>
        </w:rPr>
        <w:t> </w:t>
      </w:r>
      <w:r>
        <w:rPr/>
        <w:t>less</w:t>
      </w:r>
      <w:r>
        <w:rPr>
          <w:spacing w:val="75"/>
        </w:rPr>
        <w:t> </w:t>
      </w:r>
      <w:r>
        <w:rPr/>
        <w:t>in</w:t>
      </w:r>
      <w:r>
        <w:rPr>
          <w:spacing w:val="75"/>
        </w:rPr>
        <w:t> </w:t>
      </w:r>
      <w:r>
        <w:rPr/>
        <w:t>case</w:t>
      </w:r>
      <w:r>
        <w:rPr>
          <w:spacing w:val="75"/>
        </w:rPr>
        <w:t> </w:t>
      </w:r>
      <w:r>
        <w:rPr/>
        <w:t>of</w:t>
      </w:r>
      <w:r>
        <w:rPr>
          <w:spacing w:val="75"/>
        </w:rPr>
        <w:t> </w:t>
      </w:r>
      <w:r>
        <w:rPr>
          <w:spacing w:val="10"/>
        </w:rPr>
        <w:t>non- </w:t>
      </w:r>
      <w:r>
        <w:rPr>
          <w:spacing w:val="7"/>
        </w:rPr>
        <w:t>residential</w:t>
      </w:r>
    </w:p>
    <w:p>
      <w:pPr>
        <w:pStyle w:val="ListParagraph"/>
        <w:numPr>
          <w:ilvl w:val="3"/>
          <w:numId w:val="142"/>
        </w:numPr>
        <w:tabs>
          <w:tab w:pos="2860" w:val="left" w:leader="none"/>
        </w:tabs>
        <w:spacing w:line="240" w:lineRule="auto" w:before="281" w:after="0"/>
        <w:ind w:left="2474" w:right="776" w:firstLine="0"/>
        <w:jc w:val="both"/>
        <w:rPr>
          <w:sz w:val="24"/>
        </w:rPr>
      </w:pPr>
      <w:r>
        <w:rPr>
          <w:sz w:val="24"/>
        </w:rPr>
        <w:t>If such land occupied by slum is observed to be affected by reservation</w:t>
      </w:r>
      <w:r>
        <w:rPr>
          <w:spacing w:val="40"/>
          <w:sz w:val="24"/>
        </w:rPr>
        <w:t> </w:t>
      </w:r>
      <w:r>
        <w:rPr>
          <w:sz w:val="24"/>
        </w:rPr>
        <w:t>then</w:t>
      </w:r>
      <w:r>
        <w:rPr>
          <w:spacing w:val="40"/>
          <w:sz w:val="24"/>
        </w:rPr>
        <w:t> </w:t>
      </w:r>
      <w:r>
        <w:rPr>
          <w:sz w:val="24"/>
        </w:rPr>
        <w:t>the</w:t>
      </w:r>
      <w:r>
        <w:rPr>
          <w:spacing w:val="40"/>
          <w:sz w:val="24"/>
        </w:rPr>
        <w:t> </w:t>
      </w:r>
      <w:r>
        <w:rPr>
          <w:sz w:val="24"/>
        </w:rPr>
        <w:t>development</w:t>
      </w:r>
      <w:r>
        <w:rPr>
          <w:spacing w:val="40"/>
          <w:sz w:val="24"/>
        </w:rPr>
        <w:t> </w:t>
      </w:r>
      <w:r>
        <w:rPr>
          <w:sz w:val="24"/>
        </w:rPr>
        <w:t>of</w:t>
      </w:r>
      <w:r>
        <w:rPr>
          <w:spacing w:val="40"/>
          <w:sz w:val="24"/>
        </w:rPr>
        <w:t> </w:t>
      </w:r>
      <w:r>
        <w:rPr>
          <w:sz w:val="24"/>
        </w:rPr>
        <w:t>reservation</w:t>
      </w:r>
      <w:r>
        <w:rPr>
          <w:spacing w:val="40"/>
          <w:sz w:val="24"/>
        </w:rPr>
        <w:t> </w:t>
      </w:r>
      <w:r>
        <w:rPr>
          <w:sz w:val="24"/>
        </w:rPr>
        <w:t>on</w:t>
      </w:r>
      <w:r>
        <w:rPr>
          <w:spacing w:val="40"/>
          <w:sz w:val="24"/>
        </w:rPr>
        <w:t> </w:t>
      </w:r>
      <w:r>
        <w:rPr>
          <w:sz w:val="24"/>
        </w:rPr>
        <w:t>land</w:t>
      </w:r>
      <w:r>
        <w:rPr>
          <w:spacing w:val="40"/>
          <w:sz w:val="24"/>
        </w:rPr>
        <w:t> </w:t>
      </w:r>
      <w:r>
        <w:rPr>
          <w:sz w:val="24"/>
        </w:rPr>
        <w:t>occupied</w:t>
      </w:r>
      <w:r>
        <w:rPr>
          <w:spacing w:val="40"/>
          <w:sz w:val="24"/>
        </w:rPr>
        <w:t> </w:t>
      </w:r>
      <w:r>
        <w:rPr>
          <w:sz w:val="24"/>
        </w:rPr>
        <w:t>by</w:t>
      </w:r>
      <w:r>
        <w:rPr>
          <w:spacing w:val="40"/>
          <w:sz w:val="24"/>
        </w:rPr>
        <w:t> </w:t>
      </w:r>
      <w:r>
        <w:rPr>
          <w:sz w:val="24"/>
        </w:rPr>
        <w:t>slum</w:t>
      </w:r>
      <w:r>
        <w:rPr>
          <w:spacing w:val="40"/>
          <w:sz w:val="24"/>
        </w:rPr>
        <w:t> </w:t>
      </w:r>
      <w:r>
        <w:rPr>
          <w:sz w:val="24"/>
        </w:rPr>
        <w:t>shall</w:t>
      </w:r>
      <w:r>
        <w:rPr>
          <w:spacing w:val="40"/>
          <w:sz w:val="24"/>
        </w:rPr>
        <w:t> </w:t>
      </w:r>
      <w:r>
        <w:rPr>
          <w:sz w:val="24"/>
        </w:rPr>
        <w:t>be</w:t>
      </w:r>
      <w:r>
        <w:rPr>
          <w:spacing w:val="40"/>
          <w:sz w:val="24"/>
        </w:rPr>
        <w:t> </w:t>
      </w:r>
      <w:r>
        <w:rPr>
          <w:sz w:val="24"/>
        </w:rPr>
        <w:t>regulated</w:t>
      </w:r>
      <w:r>
        <w:rPr>
          <w:spacing w:val="40"/>
          <w:sz w:val="24"/>
        </w:rPr>
        <w:t> </w:t>
      </w:r>
      <w:r>
        <w:rPr>
          <w:sz w:val="24"/>
        </w:rPr>
        <w:t>by</w:t>
      </w:r>
      <w:r>
        <w:rPr>
          <w:spacing w:val="40"/>
          <w:sz w:val="24"/>
        </w:rPr>
        <w:t> </w:t>
      </w:r>
      <w:r>
        <w:rPr>
          <w:sz w:val="24"/>
        </w:rPr>
        <w:t>the</w:t>
      </w:r>
      <w:r>
        <w:rPr>
          <w:spacing w:val="40"/>
          <w:sz w:val="24"/>
        </w:rPr>
        <w:t> </w:t>
      </w:r>
      <w:r>
        <w:rPr>
          <w:sz w:val="24"/>
        </w:rPr>
        <w:t>Regulation</w:t>
      </w:r>
      <w:r>
        <w:rPr>
          <w:spacing w:val="40"/>
          <w:sz w:val="24"/>
        </w:rPr>
        <w:t> </w:t>
      </w:r>
      <w:r>
        <w:rPr>
          <w:sz w:val="24"/>
        </w:rPr>
        <w:t>No </w:t>
      </w:r>
      <w:r>
        <w:rPr>
          <w:spacing w:val="-2"/>
          <w:sz w:val="24"/>
        </w:rPr>
        <w:t>17(3)(C)</w:t>
      </w:r>
    </w:p>
    <w:p>
      <w:pPr>
        <w:pStyle w:val="ListParagraph"/>
        <w:numPr>
          <w:ilvl w:val="3"/>
          <w:numId w:val="142"/>
        </w:numPr>
        <w:tabs>
          <w:tab w:pos="2880" w:val="left" w:leader="none"/>
        </w:tabs>
        <w:spacing w:line="240" w:lineRule="auto" w:before="201" w:after="0"/>
        <w:ind w:left="2474" w:right="785" w:firstLine="0"/>
        <w:jc w:val="both"/>
        <w:rPr>
          <w:sz w:val="24"/>
        </w:rPr>
      </w:pPr>
      <w:r>
        <w:rPr>
          <w:sz w:val="24"/>
        </w:rPr>
        <w:t>Corpus</w:t>
      </w:r>
      <w:r>
        <w:rPr>
          <w:spacing w:val="40"/>
          <w:sz w:val="24"/>
        </w:rPr>
        <w:t> </w:t>
      </w:r>
      <w:r>
        <w:rPr>
          <w:sz w:val="24"/>
        </w:rPr>
        <w:t>fund:</w:t>
      </w:r>
      <w:r>
        <w:rPr>
          <w:spacing w:val="40"/>
          <w:sz w:val="24"/>
        </w:rPr>
        <w:t> </w:t>
      </w:r>
      <w:r>
        <w:rPr>
          <w:sz w:val="24"/>
        </w:rPr>
        <w:t>An</w:t>
      </w:r>
      <w:r>
        <w:rPr>
          <w:spacing w:val="40"/>
          <w:sz w:val="24"/>
        </w:rPr>
        <w:t> </w:t>
      </w:r>
      <w:r>
        <w:rPr>
          <w:sz w:val="24"/>
        </w:rPr>
        <w:t>amount</w:t>
      </w:r>
      <w:r>
        <w:rPr>
          <w:spacing w:val="40"/>
          <w:sz w:val="24"/>
        </w:rPr>
        <w:t> </w:t>
      </w:r>
      <w:r>
        <w:rPr>
          <w:sz w:val="24"/>
        </w:rPr>
        <w:t>of</w:t>
      </w:r>
      <w:r>
        <w:rPr>
          <w:spacing w:val="40"/>
          <w:sz w:val="24"/>
        </w:rPr>
        <w:t> </w:t>
      </w:r>
      <w:r>
        <w:rPr>
          <w:sz w:val="24"/>
        </w:rPr>
        <w:t>Rs.40000</w:t>
      </w:r>
      <w:r>
        <w:rPr>
          <w:spacing w:val="40"/>
          <w:sz w:val="24"/>
        </w:rPr>
        <w:t> </w:t>
      </w:r>
      <w:r>
        <w:rPr>
          <w:sz w:val="24"/>
        </w:rPr>
        <w:t>or</w:t>
      </w:r>
      <w:r>
        <w:rPr>
          <w:spacing w:val="40"/>
          <w:sz w:val="24"/>
        </w:rPr>
        <w:t> </w:t>
      </w:r>
      <w:r>
        <w:rPr>
          <w:sz w:val="24"/>
        </w:rPr>
        <w:t>as</w:t>
      </w:r>
      <w:r>
        <w:rPr>
          <w:spacing w:val="40"/>
          <w:sz w:val="24"/>
        </w:rPr>
        <w:t> </w:t>
      </w:r>
      <w:r>
        <w:rPr>
          <w:sz w:val="24"/>
        </w:rPr>
        <w:t>may</w:t>
      </w:r>
      <w:r>
        <w:rPr>
          <w:spacing w:val="40"/>
          <w:sz w:val="24"/>
        </w:rPr>
        <w:t> </w:t>
      </w:r>
      <w:r>
        <w:rPr>
          <w:sz w:val="24"/>
        </w:rPr>
        <w:t>be</w:t>
      </w:r>
      <w:r>
        <w:rPr>
          <w:spacing w:val="40"/>
          <w:sz w:val="24"/>
        </w:rPr>
        <w:t> </w:t>
      </w:r>
      <w:r>
        <w:rPr>
          <w:sz w:val="24"/>
        </w:rPr>
        <w:t>decided by SRA as per Regulation No 33(10) shall be deposited with</w:t>
      </w:r>
      <w:r>
        <w:rPr>
          <w:spacing w:val="40"/>
          <w:sz w:val="24"/>
        </w:rPr>
        <w:t> </w:t>
      </w:r>
      <w:r>
        <w:rPr>
          <w:sz w:val="24"/>
        </w:rPr>
        <w:t>MHADA</w:t>
      </w:r>
      <w:r>
        <w:rPr>
          <w:spacing w:val="40"/>
          <w:sz w:val="24"/>
        </w:rPr>
        <w:t> </w:t>
      </w:r>
      <w:r>
        <w:rPr>
          <w:sz w:val="24"/>
        </w:rPr>
        <w:t>Authority</w:t>
      </w:r>
      <w:r>
        <w:rPr>
          <w:spacing w:val="40"/>
          <w:sz w:val="24"/>
        </w:rPr>
        <w:t> </w:t>
      </w:r>
      <w:r>
        <w:rPr>
          <w:sz w:val="24"/>
        </w:rPr>
        <w:t>for</w:t>
      </w:r>
      <w:r>
        <w:rPr>
          <w:spacing w:val="40"/>
          <w:sz w:val="24"/>
        </w:rPr>
        <w:t> </w:t>
      </w:r>
      <w:r>
        <w:rPr>
          <w:sz w:val="24"/>
        </w:rPr>
        <w:t>each</w:t>
      </w:r>
      <w:r>
        <w:rPr>
          <w:spacing w:val="40"/>
          <w:sz w:val="24"/>
        </w:rPr>
        <w:t> </w:t>
      </w:r>
      <w:r>
        <w:rPr>
          <w:sz w:val="24"/>
        </w:rPr>
        <w:t>eligible</w:t>
      </w:r>
      <w:r>
        <w:rPr>
          <w:spacing w:val="40"/>
          <w:sz w:val="24"/>
        </w:rPr>
        <w:t> </w:t>
      </w:r>
      <w:r>
        <w:rPr>
          <w:sz w:val="24"/>
        </w:rPr>
        <w:t>slum</w:t>
      </w:r>
      <w:r>
        <w:rPr>
          <w:spacing w:val="40"/>
          <w:sz w:val="24"/>
        </w:rPr>
        <w:t> </w:t>
      </w:r>
      <w:r>
        <w:rPr>
          <w:spacing w:val="9"/>
          <w:sz w:val="24"/>
        </w:rPr>
        <w:t>dwellers.</w:t>
      </w:r>
    </w:p>
    <w:p>
      <w:pPr>
        <w:pStyle w:val="Heading6"/>
        <w:spacing w:before="278"/>
      </w:pPr>
      <w:r>
        <w:rPr>
          <w:i w:val="0"/>
        </w:rPr>
        <w:t>33(6)</w:t>
      </w:r>
      <w:r>
        <w:rPr>
          <w:i w:val="0"/>
          <w:spacing w:val="80"/>
        </w:rPr>
        <w:t> </w:t>
      </w:r>
      <w:r>
        <w:rPr/>
        <w:t>Reconstruction</w:t>
      </w:r>
      <w:r>
        <w:rPr>
          <w:spacing w:val="76"/>
        </w:rPr>
        <w:t> </w:t>
      </w:r>
      <w:r>
        <w:rPr/>
        <w:t>of</w:t>
      </w:r>
      <w:r>
        <w:rPr>
          <w:spacing w:val="80"/>
        </w:rPr>
        <w:t> </w:t>
      </w:r>
      <w:r>
        <w:rPr/>
        <w:t>buildings</w:t>
      </w:r>
      <w:r>
        <w:rPr>
          <w:spacing w:val="76"/>
        </w:rPr>
        <w:t> </w:t>
      </w:r>
      <w:r>
        <w:rPr/>
        <w:t>destroyed</w:t>
      </w:r>
      <w:r>
        <w:rPr>
          <w:spacing w:val="80"/>
        </w:rPr>
        <w:t> </w:t>
      </w:r>
      <w:r>
        <w:rPr/>
        <w:t>by</w:t>
      </w:r>
      <w:r>
        <w:rPr>
          <w:spacing w:val="80"/>
        </w:rPr>
        <w:t> </w:t>
      </w:r>
      <w:r>
        <w:rPr/>
        <w:t>fire</w:t>
      </w:r>
      <w:r>
        <w:rPr>
          <w:spacing w:val="76"/>
        </w:rPr>
        <w:t> </w:t>
      </w:r>
      <w:r>
        <w:rPr/>
        <w:t>or</w:t>
      </w:r>
      <w:r>
        <w:rPr>
          <w:spacing w:val="76"/>
        </w:rPr>
        <w:t> </w:t>
      </w:r>
      <w:r>
        <w:rPr/>
        <w:t>which</w:t>
      </w:r>
      <w:r>
        <w:rPr>
          <w:spacing w:val="76"/>
        </w:rPr>
        <w:t> </w:t>
      </w:r>
      <w:r>
        <w:rPr/>
        <w:t>have collapsed</w:t>
      </w:r>
      <w:r>
        <w:rPr>
          <w:spacing w:val="80"/>
        </w:rPr>
        <w:t> </w:t>
      </w:r>
      <w:r>
        <w:rPr/>
        <w:t>or</w:t>
      </w:r>
      <w:r>
        <w:rPr>
          <w:spacing w:val="80"/>
        </w:rPr>
        <w:t> </w:t>
      </w:r>
      <w:r>
        <w:rPr/>
        <w:t>which</w:t>
      </w:r>
      <w:r>
        <w:rPr>
          <w:spacing w:val="80"/>
        </w:rPr>
        <w:t> </w:t>
      </w:r>
      <w:r>
        <w:rPr/>
        <w:t>have</w:t>
      </w:r>
      <w:r>
        <w:rPr>
          <w:spacing w:val="80"/>
        </w:rPr>
        <w:t> </w:t>
      </w:r>
      <w:r>
        <w:rPr/>
        <w:t>been</w:t>
      </w:r>
      <w:r>
        <w:rPr>
          <w:spacing w:val="80"/>
        </w:rPr>
        <w:t> </w:t>
      </w:r>
      <w:r>
        <w:rPr/>
        <w:t>demolished</w:t>
      </w:r>
      <w:r>
        <w:rPr>
          <w:spacing w:val="80"/>
        </w:rPr>
        <w:t> </w:t>
      </w:r>
      <w:r>
        <w:rPr/>
        <w:t>under</w:t>
      </w:r>
      <w:r>
        <w:rPr>
          <w:spacing w:val="80"/>
        </w:rPr>
        <w:t> </w:t>
      </w:r>
      <w:r>
        <w:rPr/>
        <w:t>lawful</w:t>
      </w:r>
      <w:r>
        <w:rPr>
          <w:spacing w:val="80"/>
        </w:rPr>
        <w:t> </w:t>
      </w:r>
      <w:r>
        <w:rPr/>
        <w:t>order</w:t>
      </w:r>
    </w:p>
    <w:p>
      <w:pPr>
        <w:spacing w:line="239" w:lineRule="exact" w:before="46"/>
        <w:ind w:left="11028" w:right="0" w:firstLine="0"/>
        <w:jc w:val="left"/>
        <w:rPr>
          <w:b/>
          <w:sz w:val="24"/>
        </w:rPr>
      </w:pPr>
      <w:r>
        <w:rPr>
          <w:b/>
          <w:spacing w:val="-10"/>
          <w:sz w:val="24"/>
        </w:rPr>
        <w:t>.</w:t>
      </w:r>
    </w:p>
    <w:p>
      <w:pPr>
        <w:pStyle w:val="BodyText"/>
        <w:spacing w:line="239" w:lineRule="exact"/>
        <w:ind w:left="2422"/>
      </w:pPr>
      <w:r>
        <w:rPr/>
        <w:t>Reconstruction</w:t>
      </w:r>
      <w:r>
        <w:rPr>
          <w:spacing w:val="74"/>
        </w:rPr>
        <w:t> </w:t>
      </w:r>
      <w:r>
        <w:rPr/>
        <w:t>of</w:t>
      </w:r>
      <w:r>
        <w:rPr>
          <w:spacing w:val="74"/>
        </w:rPr>
        <w:t> </w:t>
      </w:r>
      <w:r>
        <w:rPr/>
        <w:t>buildings</w:t>
      </w:r>
      <w:r>
        <w:rPr>
          <w:spacing w:val="69"/>
        </w:rPr>
        <w:t> </w:t>
      </w:r>
      <w:r>
        <w:rPr/>
        <w:t>that</w:t>
      </w:r>
      <w:r>
        <w:rPr>
          <w:spacing w:val="72"/>
        </w:rPr>
        <w:t> </w:t>
      </w:r>
      <w:r>
        <w:rPr/>
        <w:t>existed</w:t>
      </w:r>
      <w:r>
        <w:rPr>
          <w:spacing w:val="70"/>
        </w:rPr>
        <w:t> </w:t>
      </w:r>
      <w:r>
        <w:rPr/>
        <w:t>on</w:t>
      </w:r>
      <w:r>
        <w:rPr>
          <w:spacing w:val="72"/>
        </w:rPr>
        <w:t> </w:t>
      </w:r>
      <w:r>
        <w:rPr/>
        <w:t>or</w:t>
      </w:r>
      <w:r>
        <w:rPr>
          <w:spacing w:val="69"/>
        </w:rPr>
        <w:t> </w:t>
      </w:r>
      <w:r>
        <w:rPr/>
        <w:t>after</w:t>
      </w:r>
      <w:r>
        <w:rPr>
          <w:spacing w:val="72"/>
        </w:rPr>
        <w:t> </w:t>
      </w:r>
      <w:r>
        <w:rPr/>
        <w:t>10th</w:t>
      </w:r>
      <w:r>
        <w:rPr>
          <w:spacing w:val="70"/>
        </w:rPr>
        <w:t> </w:t>
      </w:r>
      <w:r>
        <w:rPr>
          <w:spacing w:val="-4"/>
        </w:rPr>
        <w:t>June</w:t>
      </w:r>
    </w:p>
    <w:p>
      <w:pPr>
        <w:pStyle w:val="BodyText"/>
        <w:spacing w:before="2"/>
        <w:ind w:left="2422" w:right="782"/>
      </w:pPr>
      <w:r>
        <w:rPr/>
        <w:t>1977 and have ceased to exist for reasons cited above, shall be allowed to be reconstructed with FSI as per the Regulation No</w:t>
      </w:r>
      <w:r>
        <w:rPr>
          <w:spacing w:val="40"/>
        </w:rPr>
        <w:t> </w:t>
      </w:r>
      <w:r>
        <w:rPr>
          <w:spacing w:val="-2"/>
        </w:rPr>
        <w:t>30(C).</w:t>
      </w:r>
    </w:p>
    <w:p>
      <w:pPr>
        <w:pStyle w:val="BodyText"/>
        <w:spacing w:before="240"/>
        <w:ind w:left="2474" w:right="776"/>
      </w:pPr>
      <w:r>
        <w:rPr/>
        <w:t>Provided</w:t>
      </w:r>
      <w:r>
        <w:rPr>
          <w:spacing w:val="40"/>
        </w:rPr>
        <w:t> </w:t>
      </w:r>
      <w:r>
        <w:rPr/>
        <w:t>that</w:t>
      </w:r>
      <w:r>
        <w:rPr>
          <w:spacing w:val="40"/>
        </w:rPr>
        <w:t> </w:t>
      </w:r>
      <w:r>
        <w:rPr/>
        <w:t>if</w:t>
      </w:r>
      <w:r>
        <w:rPr>
          <w:spacing w:val="40"/>
        </w:rPr>
        <w:t> </w:t>
      </w:r>
      <w:r>
        <w:rPr/>
        <w:t>the</w:t>
      </w:r>
      <w:r>
        <w:rPr>
          <w:spacing w:val="40"/>
        </w:rPr>
        <w:t> </w:t>
      </w:r>
      <w:r>
        <w:rPr/>
        <w:t>area</w:t>
      </w:r>
      <w:r>
        <w:rPr>
          <w:spacing w:val="40"/>
        </w:rPr>
        <w:t> </w:t>
      </w:r>
      <w:r>
        <w:rPr/>
        <w:t>covered</w:t>
      </w:r>
      <w:r>
        <w:rPr>
          <w:spacing w:val="40"/>
        </w:rPr>
        <w:t> </w:t>
      </w:r>
      <w:r>
        <w:rPr/>
        <w:t>under</w:t>
      </w:r>
      <w:r>
        <w:rPr>
          <w:spacing w:val="40"/>
        </w:rPr>
        <w:t> </w:t>
      </w:r>
      <w:r>
        <w:rPr/>
        <w:t>staircase/lift</w:t>
      </w:r>
      <w:r>
        <w:rPr>
          <w:spacing w:val="40"/>
        </w:rPr>
        <w:t> </w:t>
      </w:r>
      <w:r>
        <w:rPr/>
        <w:t>has</w:t>
      </w:r>
      <w:r>
        <w:rPr>
          <w:spacing w:val="40"/>
        </w:rPr>
        <w:t> </w:t>
      </w:r>
      <w:r>
        <w:rPr/>
        <w:t>not been</w:t>
      </w:r>
      <w:r>
        <w:rPr>
          <w:spacing w:val="40"/>
        </w:rPr>
        <w:t> </w:t>
      </w:r>
      <w:r>
        <w:rPr/>
        <w:t>claimed</w:t>
      </w:r>
      <w:r>
        <w:rPr>
          <w:spacing w:val="40"/>
        </w:rPr>
        <w:t> </w:t>
      </w:r>
      <w:r>
        <w:rPr/>
        <w:t>free</w:t>
      </w:r>
      <w:r>
        <w:rPr>
          <w:spacing w:val="40"/>
        </w:rPr>
        <w:t> </w:t>
      </w:r>
      <w:r>
        <w:rPr/>
        <w:t>of</w:t>
      </w:r>
      <w:r>
        <w:rPr>
          <w:spacing w:val="40"/>
        </w:rPr>
        <w:t> </w:t>
      </w:r>
      <w:r>
        <w:rPr/>
        <w:t>FSI</w:t>
      </w:r>
      <w:r>
        <w:rPr>
          <w:spacing w:val="40"/>
        </w:rPr>
        <w:t> </w:t>
      </w:r>
      <w:r>
        <w:rPr/>
        <w:t>as</w:t>
      </w:r>
      <w:r>
        <w:rPr>
          <w:spacing w:val="40"/>
        </w:rPr>
        <w:t> </w:t>
      </w:r>
      <w:r>
        <w:rPr/>
        <w:t>per</w:t>
      </w:r>
      <w:r>
        <w:rPr>
          <w:spacing w:val="40"/>
        </w:rPr>
        <w:t> </w:t>
      </w:r>
      <w:r>
        <w:rPr/>
        <w:t>then</w:t>
      </w:r>
      <w:r>
        <w:rPr>
          <w:spacing w:val="40"/>
        </w:rPr>
        <w:t> </w:t>
      </w:r>
      <w:r>
        <w:rPr/>
        <w:t>prevailing</w:t>
      </w:r>
      <w:r>
        <w:rPr>
          <w:spacing w:val="40"/>
        </w:rPr>
        <w:t> </w:t>
      </w:r>
      <w:r>
        <w:rPr/>
        <w:t>Regulation</w:t>
      </w:r>
      <w:r>
        <w:rPr>
          <w:spacing w:val="40"/>
        </w:rPr>
        <w:t> </w:t>
      </w:r>
      <w:r>
        <w:rPr/>
        <w:t>as</w:t>
      </w:r>
      <w:r>
        <w:rPr>
          <w:spacing w:val="40"/>
        </w:rPr>
        <w:t> </w:t>
      </w:r>
      <w:r>
        <w:rPr/>
        <w:t>per</w:t>
      </w:r>
      <w:r>
        <w:rPr>
          <w:spacing w:val="80"/>
        </w:rPr>
        <w:t> </w:t>
      </w:r>
      <w:r>
        <w:rPr/>
        <w:t>the</w:t>
      </w:r>
      <w:r>
        <w:rPr>
          <w:spacing w:val="80"/>
        </w:rPr>
        <w:t> </w:t>
      </w:r>
      <w:r>
        <w:rPr/>
        <w:t>occupation</w:t>
      </w:r>
      <w:r>
        <w:rPr>
          <w:spacing w:val="80"/>
        </w:rPr>
        <w:t> </w:t>
      </w:r>
      <w:r>
        <w:rPr/>
        <w:t>plan,</w:t>
      </w:r>
      <w:r>
        <w:rPr>
          <w:spacing w:val="80"/>
        </w:rPr>
        <w:t> </w:t>
      </w:r>
      <w:r>
        <w:rPr/>
        <w:t>the</w:t>
      </w:r>
      <w:r>
        <w:rPr>
          <w:spacing w:val="80"/>
        </w:rPr>
        <w:t> </w:t>
      </w:r>
      <w:r>
        <w:rPr/>
        <w:t>area</w:t>
      </w:r>
      <w:r>
        <w:rPr>
          <w:spacing w:val="80"/>
        </w:rPr>
        <w:t> </w:t>
      </w:r>
      <w:r>
        <w:rPr/>
        <w:t>covered</w:t>
      </w:r>
      <w:r>
        <w:rPr>
          <w:spacing w:val="80"/>
        </w:rPr>
        <w:t> </w:t>
      </w:r>
      <w:r>
        <w:rPr/>
        <w:t>under</w:t>
      </w:r>
      <w:r>
        <w:rPr>
          <w:spacing w:val="80"/>
        </w:rPr>
        <w:t> </w:t>
      </w:r>
      <w:r>
        <w:rPr/>
        <w:t>staircases/ lifts shall</w:t>
      </w:r>
      <w:r>
        <w:rPr>
          <w:spacing w:val="40"/>
        </w:rPr>
        <w:t> </w:t>
      </w:r>
      <w:r>
        <w:rPr/>
        <w:t>be</w:t>
      </w:r>
      <w:r>
        <w:rPr>
          <w:spacing w:val="40"/>
        </w:rPr>
        <w:t> </w:t>
      </w:r>
      <w:r>
        <w:rPr/>
        <w:t>considered</w:t>
      </w:r>
      <w:r>
        <w:rPr>
          <w:spacing w:val="40"/>
        </w:rPr>
        <w:t> </w:t>
      </w:r>
      <w:r>
        <w:rPr/>
        <w:t>while</w:t>
      </w:r>
      <w:r>
        <w:rPr>
          <w:spacing w:val="40"/>
        </w:rPr>
        <w:t> </w:t>
      </w:r>
      <w:r>
        <w:rPr/>
        <w:t>arriving protected</w:t>
      </w:r>
      <w:r>
        <w:rPr>
          <w:spacing w:val="40"/>
        </w:rPr>
        <w:t> </w:t>
      </w:r>
      <w:r>
        <w:rPr/>
        <w:t>BUA</w:t>
      </w:r>
      <w:r>
        <w:rPr>
          <w:spacing w:val="40"/>
        </w:rPr>
        <w:t> </w:t>
      </w:r>
      <w:r>
        <w:rPr/>
        <w:t>in</w:t>
      </w:r>
      <w:r>
        <w:rPr>
          <w:spacing w:val="40"/>
        </w:rPr>
        <w:t> </w:t>
      </w:r>
      <w:r>
        <w:rPr/>
        <w:t>such cases the premium for entire staircase lift area in the proposed building</w:t>
      </w:r>
      <w:r>
        <w:rPr>
          <w:spacing w:val="40"/>
        </w:rPr>
        <w:t> </w:t>
      </w:r>
      <w:r>
        <w:rPr/>
        <w:t>as</w:t>
      </w:r>
      <w:r>
        <w:rPr>
          <w:spacing w:val="40"/>
        </w:rPr>
        <w:t> </w:t>
      </w:r>
      <w:r>
        <w:rPr/>
        <w:t>per</w:t>
      </w:r>
      <w:r>
        <w:rPr>
          <w:spacing w:val="40"/>
        </w:rPr>
        <w:t> </w:t>
      </w:r>
      <w:r>
        <w:rPr/>
        <w:t>these</w:t>
      </w:r>
      <w:r>
        <w:rPr>
          <w:spacing w:val="40"/>
        </w:rPr>
        <w:t> </w:t>
      </w:r>
      <w:r>
        <w:rPr/>
        <w:t>Regulations</w:t>
      </w:r>
      <w:r>
        <w:rPr>
          <w:spacing w:val="40"/>
        </w:rPr>
        <w:t> </w:t>
      </w:r>
      <w:r>
        <w:rPr/>
        <w:t>shall</w:t>
      </w:r>
      <w:r>
        <w:rPr>
          <w:spacing w:val="40"/>
        </w:rPr>
        <w:t> </w:t>
      </w:r>
      <w:r>
        <w:rPr/>
        <w:t>be</w:t>
      </w:r>
      <w:r>
        <w:rPr>
          <w:spacing w:val="40"/>
        </w:rPr>
        <w:t> </w:t>
      </w:r>
      <w:r>
        <w:rPr>
          <w:spacing w:val="9"/>
        </w:rPr>
        <w:t>recovered.</w:t>
      </w:r>
    </w:p>
    <w:p>
      <w:pPr>
        <w:pStyle w:val="BodyText"/>
        <w:spacing w:before="239"/>
        <w:ind w:left="2422"/>
      </w:pPr>
      <w:r>
        <w:rPr/>
        <w:t>This</w:t>
      </w:r>
      <w:r>
        <w:rPr>
          <w:spacing w:val="54"/>
        </w:rPr>
        <w:t> </w:t>
      </w:r>
      <w:r>
        <w:rPr/>
        <w:t>FSI</w:t>
      </w:r>
      <w:r>
        <w:rPr>
          <w:spacing w:val="60"/>
        </w:rPr>
        <w:t> </w:t>
      </w:r>
      <w:r>
        <w:rPr/>
        <w:t>will</w:t>
      </w:r>
      <w:r>
        <w:rPr>
          <w:spacing w:val="54"/>
        </w:rPr>
        <w:t> </w:t>
      </w:r>
      <w:r>
        <w:rPr/>
        <w:t>be</w:t>
      </w:r>
      <w:r>
        <w:rPr>
          <w:spacing w:val="55"/>
        </w:rPr>
        <w:t> </w:t>
      </w:r>
      <w:r>
        <w:rPr/>
        <w:t>subject</w:t>
      </w:r>
      <w:r>
        <w:rPr>
          <w:spacing w:val="54"/>
        </w:rPr>
        <w:t> </w:t>
      </w:r>
      <w:r>
        <w:rPr/>
        <w:t>to</w:t>
      </w:r>
      <w:r>
        <w:rPr>
          <w:spacing w:val="58"/>
        </w:rPr>
        <w:t> </w:t>
      </w:r>
      <w:r>
        <w:rPr/>
        <w:t>the</w:t>
      </w:r>
      <w:r>
        <w:rPr>
          <w:spacing w:val="62"/>
        </w:rPr>
        <w:t> </w:t>
      </w:r>
      <w:r>
        <w:rPr/>
        <w:t>following</w:t>
      </w:r>
      <w:r>
        <w:rPr>
          <w:spacing w:val="58"/>
        </w:rPr>
        <w:t> </w:t>
      </w:r>
      <w:r>
        <w:rPr/>
        <w:t>conditions:</w:t>
      </w:r>
      <w:r>
        <w:rPr>
          <w:spacing w:val="63"/>
        </w:rPr>
        <w:t> </w:t>
      </w:r>
      <w:r>
        <w:rPr>
          <w:spacing w:val="-10"/>
        </w:rPr>
        <w:t>-</w:t>
      </w:r>
    </w:p>
    <w:p>
      <w:pPr>
        <w:pStyle w:val="BodyText"/>
        <w:spacing w:after="0"/>
        <w:sectPr>
          <w:pgSz w:w="11910" w:h="16840"/>
          <w:pgMar w:header="1065" w:footer="1194" w:top="1500" w:bottom="1380" w:left="360" w:right="360"/>
        </w:sectPr>
      </w:pPr>
    </w:p>
    <w:p>
      <w:pPr>
        <w:pStyle w:val="ListParagraph"/>
        <w:numPr>
          <w:ilvl w:val="0"/>
          <w:numId w:val="145"/>
        </w:numPr>
        <w:tabs>
          <w:tab w:pos="2410" w:val="left" w:leader="none"/>
          <w:tab w:pos="2494" w:val="left" w:leader="none"/>
        </w:tabs>
        <w:spacing w:line="240" w:lineRule="auto" w:before="249" w:after="0"/>
        <w:ind w:left="2410" w:right="786" w:hanging="360"/>
        <w:jc w:val="both"/>
        <w:rPr>
          <w:sz w:val="24"/>
        </w:rPr>
      </w:pPr>
      <w:r>
        <w:rPr>
          <w:sz w:val="24"/>
        </w:rPr>
        <w:tab/>
        <w:t>Reconstruction</w:t>
      </w:r>
      <w:r>
        <w:rPr>
          <w:spacing w:val="40"/>
          <w:sz w:val="24"/>
        </w:rPr>
        <w:t> </w:t>
      </w:r>
      <w:r>
        <w:rPr>
          <w:sz w:val="24"/>
        </w:rPr>
        <w:t>of</w:t>
      </w:r>
      <w:r>
        <w:rPr>
          <w:spacing w:val="40"/>
          <w:sz w:val="24"/>
        </w:rPr>
        <w:t> </w:t>
      </w:r>
      <w:r>
        <w:rPr>
          <w:sz w:val="24"/>
        </w:rPr>
        <w:t>the</w:t>
      </w:r>
      <w:r>
        <w:rPr>
          <w:spacing w:val="40"/>
          <w:sz w:val="24"/>
        </w:rPr>
        <w:t> </w:t>
      </w:r>
      <w:r>
        <w:rPr>
          <w:sz w:val="24"/>
        </w:rPr>
        <w:t>new</w:t>
      </w:r>
      <w:r>
        <w:rPr>
          <w:spacing w:val="40"/>
          <w:sz w:val="24"/>
        </w:rPr>
        <w:t> </w:t>
      </w:r>
      <w:r>
        <w:rPr>
          <w:sz w:val="24"/>
        </w:rPr>
        <w:t>building</w:t>
      </w:r>
      <w:r>
        <w:rPr>
          <w:spacing w:val="40"/>
          <w:sz w:val="24"/>
        </w:rPr>
        <w:t> </w:t>
      </w:r>
      <w:r>
        <w:rPr>
          <w:sz w:val="24"/>
        </w:rPr>
        <w:t>on</w:t>
      </w:r>
      <w:r>
        <w:rPr>
          <w:spacing w:val="40"/>
          <w:sz w:val="24"/>
        </w:rPr>
        <w:t> </w:t>
      </w:r>
      <w:r>
        <w:rPr>
          <w:sz w:val="24"/>
        </w:rPr>
        <w:t>the</w:t>
      </w:r>
      <w:r>
        <w:rPr>
          <w:spacing w:val="40"/>
          <w:sz w:val="24"/>
        </w:rPr>
        <w:t> </w:t>
      </w:r>
      <w:r>
        <w:rPr>
          <w:sz w:val="24"/>
        </w:rPr>
        <w:t>plot</w:t>
      </w:r>
      <w:r>
        <w:rPr>
          <w:spacing w:val="40"/>
          <w:sz w:val="24"/>
        </w:rPr>
        <w:t> </w:t>
      </w:r>
      <w:r>
        <w:rPr>
          <w:sz w:val="24"/>
        </w:rPr>
        <w:t>should</w:t>
      </w:r>
      <w:r>
        <w:rPr>
          <w:spacing w:val="40"/>
          <w:sz w:val="24"/>
        </w:rPr>
        <w:t> </w:t>
      </w:r>
      <w:r>
        <w:rPr>
          <w:sz w:val="24"/>
        </w:rPr>
        <w:t>conform to</w:t>
      </w:r>
      <w:r>
        <w:rPr>
          <w:spacing w:val="40"/>
          <w:sz w:val="24"/>
        </w:rPr>
        <w:t> </w:t>
      </w:r>
      <w:r>
        <w:rPr>
          <w:sz w:val="24"/>
        </w:rPr>
        <w:t>provisions</w:t>
      </w:r>
      <w:r>
        <w:rPr>
          <w:spacing w:val="40"/>
          <w:sz w:val="24"/>
        </w:rPr>
        <w:t> </w:t>
      </w:r>
      <w:r>
        <w:rPr>
          <w:sz w:val="24"/>
        </w:rPr>
        <w:t>of</w:t>
      </w:r>
      <w:r>
        <w:rPr>
          <w:spacing w:val="40"/>
          <w:sz w:val="24"/>
        </w:rPr>
        <w:t> </w:t>
      </w:r>
      <w:r>
        <w:rPr>
          <w:sz w:val="24"/>
        </w:rPr>
        <w:t>DP</w:t>
      </w:r>
      <w:r>
        <w:rPr>
          <w:spacing w:val="40"/>
          <w:sz w:val="24"/>
        </w:rPr>
        <w:t> </w:t>
      </w:r>
      <w:r>
        <w:rPr>
          <w:sz w:val="24"/>
        </w:rPr>
        <w:t>and</w:t>
      </w:r>
      <w:r>
        <w:rPr>
          <w:spacing w:val="40"/>
          <w:sz w:val="24"/>
        </w:rPr>
        <w:t> </w:t>
      </w:r>
      <w:r>
        <w:rPr>
          <w:sz w:val="24"/>
        </w:rPr>
        <w:t>these</w:t>
      </w:r>
      <w:r>
        <w:rPr>
          <w:spacing w:val="40"/>
          <w:sz w:val="24"/>
        </w:rPr>
        <w:t> </w:t>
      </w:r>
      <w:r>
        <w:rPr>
          <w:sz w:val="24"/>
        </w:rPr>
        <w:t>Regulations.</w:t>
      </w:r>
    </w:p>
    <w:p>
      <w:pPr>
        <w:pStyle w:val="ListParagraph"/>
        <w:numPr>
          <w:ilvl w:val="0"/>
          <w:numId w:val="145"/>
        </w:numPr>
        <w:tabs>
          <w:tab w:pos="2410" w:val="left" w:leader="none"/>
        </w:tabs>
        <w:spacing w:line="240" w:lineRule="auto" w:before="241" w:after="0"/>
        <w:ind w:left="2410" w:right="774" w:hanging="360"/>
        <w:jc w:val="both"/>
        <w:rPr>
          <w:sz w:val="24"/>
        </w:rPr>
      </w:pPr>
      <w:r>
        <w:rPr>
          <w:sz w:val="24"/>
        </w:rPr>
        <w:t>Reconstruction</w:t>
      </w:r>
      <w:r>
        <w:rPr>
          <w:spacing w:val="40"/>
          <w:sz w:val="24"/>
        </w:rPr>
        <w:t> </w:t>
      </w:r>
      <w:r>
        <w:rPr>
          <w:sz w:val="24"/>
        </w:rPr>
        <w:t>will</w:t>
      </w:r>
      <w:r>
        <w:rPr>
          <w:spacing w:val="40"/>
          <w:sz w:val="24"/>
        </w:rPr>
        <w:t> </w:t>
      </w:r>
      <w:r>
        <w:rPr>
          <w:sz w:val="24"/>
        </w:rPr>
        <w:t>be</w:t>
      </w:r>
      <w:r>
        <w:rPr>
          <w:spacing w:val="40"/>
          <w:sz w:val="24"/>
        </w:rPr>
        <w:t> </w:t>
      </w:r>
      <w:r>
        <w:rPr>
          <w:sz w:val="24"/>
        </w:rPr>
        <w:t>subject</w:t>
      </w:r>
      <w:r>
        <w:rPr>
          <w:spacing w:val="40"/>
          <w:sz w:val="24"/>
        </w:rPr>
        <w:t> </w:t>
      </w:r>
      <w:r>
        <w:rPr>
          <w:sz w:val="24"/>
        </w:rPr>
        <w:t>to</w:t>
      </w:r>
      <w:r>
        <w:rPr>
          <w:spacing w:val="40"/>
          <w:sz w:val="24"/>
        </w:rPr>
        <w:t> </w:t>
      </w:r>
      <w:r>
        <w:rPr>
          <w:sz w:val="24"/>
        </w:rPr>
        <w:t>an</w:t>
      </w:r>
      <w:r>
        <w:rPr>
          <w:spacing w:val="40"/>
          <w:sz w:val="24"/>
        </w:rPr>
        <w:t> </w:t>
      </w:r>
      <w:r>
        <w:rPr>
          <w:sz w:val="24"/>
        </w:rPr>
        <w:t>agreement</w:t>
      </w:r>
      <w:r>
        <w:rPr>
          <w:spacing w:val="40"/>
          <w:sz w:val="24"/>
        </w:rPr>
        <w:t> </w:t>
      </w:r>
      <w:r>
        <w:rPr>
          <w:sz w:val="24"/>
        </w:rPr>
        <w:t>executed</w:t>
      </w:r>
      <w:r>
        <w:rPr>
          <w:spacing w:val="40"/>
          <w:sz w:val="24"/>
        </w:rPr>
        <w:t> </w:t>
      </w:r>
      <w:r>
        <w:rPr>
          <w:sz w:val="24"/>
        </w:rPr>
        <w:t>by</w:t>
      </w:r>
      <w:r>
        <w:rPr>
          <w:spacing w:val="40"/>
          <w:sz w:val="24"/>
        </w:rPr>
        <w:t> </w:t>
      </w:r>
      <w:r>
        <w:rPr>
          <w:sz w:val="24"/>
        </w:rPr>
        <w:t>at least 70 per cent of the landlord</w:t>
      </w:r>
      <w:r>
        <w:rPr>
          <w:spacing w:val="40"/>
          <w:sz w:val="24"/>
        </w:rPr>
        <w:t> </w:t>
      </w:r>
      <w:r>
        <w:rPr>
          <w:sz w:val="24"/>
        </w:rPr>
        <w:t>and occupants</w:t>
      </w:r>
      <w:r>
        <w:rPr>
          <w:spacing w:val="40"/>
          <w:sz w:val="24"/>
        </w:rPr>
        <w:t> </w:t>
      </w:r>
      <w:r>
        <w:rPr>
          <w:sz w:val="24"/>
        </w:rPr>
        <w:t>each</w:t>
      </w:r>
      <w:r>
        <w:rPr>
          <w:spacing w:val="80"/>
          <w:sz w:val="24"/>
        </w:rPr>
        <w:t> </w:t>
      </w:r>
      <w:r>
        <w:rPr>
          <w:sz w:val="24"/>
        </w:rPr>
        <w:t>in the original</w:t>
      </w:r>
      <w:r>
        <w:rPr>
          <w:spacing w:val="40"/>
          <w:sz w:val="24"/>
        </w:rPr>
        <w:t> </w:t>
      </w:r>
      <w:r>
        <w:rPr>
          <w:sz w:val="24"/>
        </w:rPr>
        <w:t>building,</w:t>
      </w:r>
      <w:r>
        <w:rPr>
          <w:spacing w:val="40"/>
          <w:sz w:val="24"/>
        </w:rPr>
        <w:t> </w:t>
      </w:r>
      <w:r>
        <w:rPr>
          <w:sz w:val="24"/>
        </w:rPr>
        <w:t>within</w:t>
      </w:r>
      <w:r>
        <w:rPr>
          <w:spacing w:val="40"/>
          <w:sz w:val="24"/>
        </w:rPr>
        <w:t> </w:t>
      </w:r>
      <w:r>
        <w:rPr>
          <w:sz w:val="24"/>
        </w:rPr>
        <w:t>the</w:t>
      </w:r>
      <w:r>
        <w:rPr>
          <w:spacing w:val="40"/>
          <w:sz w:val="24"/>
        </w:rPr>
        <w:t> </w:t>
      </w:r>
      <w:r>
        <w:rPr>
          <w:sz w:val="24"/>
        </w:rPr>
        <w:t>meaning</w:t>
      </w:r>
      <w:r>
        <w:rPr>
          <w:spacing w:val="40"/>
          <w:sz w:val="24"/>
        </w:rPr>
        <w:t> </w:t>
      </w:r>
      <w:r>
        <w:rPr>
          <w:sz w:val="24"/>
        </w:rPr>
        <w:t>of</w:t>
      </w:r>
      <w:r>
        <w:rPr>
          <w:spacing w:val="40"/>
          <w:sz w:val="24"/>
        </w:rPr>
        <w:t> </w:t>
      </w:r>
      <w:r>
        <w:rPr>
          <w:sz w:val="24"/>
        </w:rPr>
        <w:t>the</w:t>
      </w:r>
      <w:r>
        <w:rPr>
          <w:spacing w:val="40"/>
          <w:sz w:val="24"/>
        </w:rPr>
        <w:t> </w:t>
      </w:r>
      <w:r>
        <w:rPr>
          <w:sz w:val="24"/>
        </w:rPr>
        <w:t>Mumbai</w:t>
      </w:r>
      <w:r>
        <w:rPr>
          <w:spacing w:val="40"/>
          <w:sz w:val="24"/>
        </w:rPr>
        <w:t> </w:t>
      </w:r>
      <w:r>
        <w:rPr>
          <w:sz w:val="24"/>
        </w:rPr>
        <w:t>Rents,</w:t>
      </w:r>
      <w:r>
        <w:rPr>
          <w:spacing w:val="80"/>
          <w:sz w:val="24"/>
        </w:rPr>
        <w:t> </w:t>
      </w:r>
      <w:r>
        <w:rPr>
          <w:sz w:val="24"/>
        </w:rPr>
        <w:t>Hotel and Lodging House Rates Control Act, 1947, and such agreement shall make a provision for accommodation and re- accommodate</w:t>
      </w:r>
      <w:r>
        <w:rPr>
          <w:spacing w:val="40"/>
          <w:sz w:val="24"/>
        </w:rPr>
        <w:t> </w:t>
      </w:r>
      <w:r>
        <w:rPr>
          <w:sz w:val="24"/>
        </w:rPr>
        <w:t>the</w:t>
      </w:r>
      <w:r>
        <w:rPr>
          <w:spacing w:val="40"/>
          <w:sz w:val="24"/>
        </w:rPr>
        <w:t> </w:t>
      </w:r>
      <w:r>
        <w:rPr>
          <w:sz w:val="24"/>
        </w:rPr>
        <w:t>said</w:t>
      </w:r>
      <w:r>
        <w:rPr>
          <w:spacing w:val="40"/>
          <w:sz w:val="24"/>
        </w:rPr>
        <w:t> </w:t>
      </w:r>
      <w:r>
        <w:rPr>
          <w:sz w:val="24"/>
        </w:rPr>
        <w:t>landlord/all</w:t>
      </w:r>
      <w:r>
        <w:rPr>
          <w:spacing w:val="40"/>
          <w:sz w:val="24"/>
        </w:rPr>
        <w:t> </w:t>
      </w:r>
      <w:r>
        <w:rPr>
          <w:sz w:val="24"/>
        </w:rPr>
        <w:t>occupants</w:t>
      </w:r>
      <w:r>
        <w:rPr>
          <w:spacing w:val="40"/>
          <w:sz w:val="24"/>
        </w:rPr>
        <w:t> </w:t>
      </w:r>
      <w:r>
        <w:rPr>
          <w:sz w:val="24"/>
        </w:rPr>
        <w:t>in</w:t>
      </w:r>
      <w:r>
        <w:rPr>
          <w:spacing w:val="40"/>
          <w:sz w:val="24"/>
        </w:rPr>
        <w:t> </w:t>
      </w:r>
      <w:r>
        <w:rPr>
          <w:sz w:val="24"/>
        </w:rPr>
        <w:t>the</w:t>
      </w:r>
      <w:r>
        <w:rPr>
          <w:spacing w:val="40"/>
          <w:sz w:val="24"/>
        </w:rPr>
        <w:t> </w:t>
      </w:r>
      <w:r>
        <w:rPr>
          <w:sz w:val="24"/>
        </w:rPr>
        <w:t>new</w:t>
      </w:r>
      <w:r>
        <w:rPr>
          <w:spacing w:val="40"/>
          <w:sz w:val="24"/>
        </w:rPr>
        <w:t> </w:t>
      </w:r>
      <w:r>
        <w:rPr>
          <w:sz w:val="24"/>
        </w:rPr>
        <w:t>building on agreed terms and a certificate from a practicing advocate having minimum of 10 years’ experience, is </w:t>
      </w:r>
      <w:r>
        <w:rPr>
          <w:spacing w:val="9"/>
          <w:sz w:val="24"/>
        </w:rPr>
        <w:t>submitted </w:t>
      </w:r>
      <w:r>
        <w:rPr>
          <w:sz w:val="24"/>
        </w:rPr>
        <w:t>confirming that on the date of </w:t>
      </w:r>
      <w:r>
        <w:rPr>
          <w:spacing w:val="9"/>
          <w:sz w:val="24"/>
        </w:rPr>
        <w:t>application,</w:t>
      </w:r>
      <w:r>
        <w:rPr>
          <w:spacing w:val="9"/>
          <w:sz w:val="24"/>
        </w:rPr>
        <w:t> </w:t>
      </w:r>
      <w:r>
        <w:rPr>
          <w:sz w:val="24"/>
        </w:rPr>
        <w:t>reconstruction, agreements are executed by at least 70% of the landlords and occupants</w:t>
      </w:r>
      <w:r>
        <w:rPr>
          <w:spacing w:val="80"/>
          <w:w w:val="150"/>
          <w:sz w:val="24"/>
        </w:rPr>
        <w:t> </w:t>
      </w:r>
      <w:r>
        <w:rPr>
          <w:sz w:val="24"/>
        </w:rPr>
        <w:t>each</w:t>
      </w:r>
      <w:r>
        <w:rPr>
          <w:spacing w:val="40"/>
          <w:sz w:val="24"/>
        </w:rPr>
        <w:t> </w:t>
      </w:r>
      <w:r>
        <w:rPr>
          <w:sz w:val="24"/>
        </w:rPr>
        <w:t>in</w:t>
      </w:r>
      <w:r>
        <w:rPr>
          <w:spacing w:val="40"/>
          <w:sz w:val="24"/>
        </w:rPr>
        <w:t> </w:t>
      </w:r>
      <w:r>
        <w:rPr>
          <w:sz w:val="24"/>
        </w:rPr>
        <w:t>the</w:t>
      </w:r>
      <w:r>
        <w:rPr>
          <w:spacing w:val="40"/>
          <w:sz w:val="24"/>
        </w:rPr>
        <w:t> </w:t>
      </w:r>
      <w:r>
        <w:rPr>
          <w:sz w:val="24"/>
        </w:rPr>
        <w:t>original</w:t>
      </w:r>
      <w:r>
        <w:rPr>
          <w:spacing w:val="40"/>
          <w:sz w:val="24"/>
        </w:rPr>
        <w:t> </w:t>
      </w:r>
      <w:r>
        <w:rPr>
          <w:sz w:val="24"/>
        </w:rPr>
        <w:t>building</w:t>
      </w:r>
      <w:r>
        <w:rPr>
          <w:spacing w:val="40"/>
          <w:sz w:val="24"/>
        </w:rPr>
        <w:t> </w:t>
      </w:r>
      <w:r>
        <w:rPr>
          <w:sz w:val="24"/>
        </w:rPr>
        <w:t>with</w:t>
      </w:r>
      <w:r>
        <w:rPr>
          <w:spacing w:val="40"/>
          <w:sz w:val="24"/>
        </w:rPr>
        <w:t> </w:t>
      </w:r>
      <w:r>
        <w:rPr>
          <w:sz w:val="24"/>
        </w:rPr>
        <w:t>the developer/owner. The Advocate shall also certify that the agreements</w:t>
      </w:r>
      <w:r>
        <w:rPr>
          <w:spacing w:val="40"/>
          <w:sz w:val="24"/>
        </w:rPr>
        <w:t> </w:t>
      </w:r>
      <w:r>
        <w:rPr>
          <w:sz w:val="24"/>
        </w:rPr>
        <w:t>with</w:t>
      </w:r>
      <w:r>
        <w:rPr>
          <w:spacing w:val="40"/>
          <w:sz w:val="24"/>
        </w:rPr>
        <w:t> </w:t>
      </w:r>
      <w:r>
        <w:rPr>
          <w:sz w:val="24"/>
        </w:rPr>
        <w:t>occupants</w:t>
      </w:r>
      <w:r>
        <w:rPr>
          <w:spacing w:val="40"/>
          <w:sz w:val="24"/>
        </w:rPr>
        <w:t> </w:t>
      </w:r>
      <w:r>
        <w:rPr>
          <w:sz w:val="24"/>
        </w:rPr>
        <w:t>are</w:t>
      </w:r>
      <w:r>
        <w:rPr>
          <w:spacing w:val="40"/>
          <w:sz w:val="24"/>
        </w:rPr>
        <w:t> </w:t>
      </w:r>
      <w:r>
        <w:rPr>
          <w:sz w:val="24"/>
        </w:rPr>
        <w:t>valid</w:t>
      </w:r>
      <w:r>
        <w:rPr>
          <w:spacing w:val="40"/>
          <w:sz w:val="24"/>
        </w:rPr>
        <w:t> </w:t>
      </w:r>
      <w:r>
        <w:rPr>
          <w:sz w:val="24"/>
        </w:rPr>
        <w:t>and</w:t>
      </w:r>
      <w:r>
        <w:rPr>
          <w:spacing w:val="40"/>
          <w:sz w:val="24"/>
        </w:rPr>
        <w:t> </w:t>
      </w:r>
      <w:r>
        <w:rPr>
          <w:sz w:val="24"/>
        </w:rPr>
        <w:t>subsisting</w:t>
      </w:r>
      <w:r>
        <w:rPr>
          <w:spacing w:val="40"/>
          <w:sz w:val="24"/>
        </w:rPr>
        <w:t> </w:t>
      </w:r>
      <w:r>
        <w:rPr>
          <w:sz w:val="24"/>
        </w:rPr>
        <w:t>on</w:t>
      </w:r>
      <w:r>
        <w:rPr>
          <w:spacing w:val="40"/>
          <w:sz w:val="24"/>
        </w:rPr>
        <w:t> </w:t>
      </w:r>
      <w:r>
        <w:rPr>
          <w:sz w:val="24"/>
        </w:rPr>
        <w:t>the</w:t>
      </w:r>
      <w:r>
        <w:rPr>
          <w:spacing w:val="40"/>
          <w:sz w:val="24"/>
        </w:rPr>
        <w:t> </w:t>
      </w:r>
      <w:r>
        <w:rPr>
          <w:sz w:val="24"/>
        </w:rPr>
        <w:t>date of application.</w:t>
      </w:r>
    </w:p>
    <w:p>
      <w:pPr>
        <w:pStyle w:val="ListParagraph"/>
        <w:numPr>
          <w:ilvl w:val="0"/>
          <w:numId w:val="145"/>
        </w:numPr>
        <w:tabs>
          <w:tab w:pos="2410" w:val="left" w:leader="none"/>
        </w:tabs>
        <w:spacing w:line="240" w:lineRule="auto" w:before="242" w:after="0"/>
        <w:ind w:left="2410" w:right="781" w:hanging="360"/>
        <w:jc w:val="both"/>
        <w:rPr>
          <w:sz w:val="24"/>
        </w:rPr>
      </w:pPr>
      <w:r>
        <w:rPr>
          <w:sz w:val="24"/>
        </w:rPr>
        <w:t>The Carpet area of </w:t>
      </w:r>
      <w:r>
        <w:rPr>
          <w:spacing w:val="9"/>
          <w:sz w:val="24"/>
        </w:rPr>
        <w:t>residential/non-</w:t>
      </w:r>
      <w:r>
        <w:rPr>
          <w:sz w:val="24"/>
        </w:rPr>
        <w:t>residential premises may be altered</w:t>
      </w:r>
      <w:r>
        <w:rPr>
          <w:spacing w:val="40"/>
          <w:sz w:val="24"/>
        </w:rPr>
        <w:t> </w:t>
      </w:r>
      <w:r>
        <w:rPr>
          <w:sz w:val="24"/>
        </w:rPr>
        <w:t>with</w:t>
      </w:r>
      <w:r>
        <w:rPr>
          <w:spacing w:val="40"/>
          <w:sz w:val="24"/>
        </w:rPr>
        <w:t> </w:t>
      </w:r>
      <w:r>
        <w:rPr>
          <w:sz w:val="24"/>
        </w:rPr>
        <w:t>the</w:t>
      </w:r>
      <w:r>
        <w:rPr>
          <w:spacing w:val="40"/>
          <w:sz w:val="24"/>
        </w:rPr>
        <w:t> </w:t>
      </w:r>
      <w:r>
        <w:rPr>
          <w:sz w:val="24"/>
        </w:rPr>
        <w:t>consent</w:t>
      </w:r>
      <w:r>
        <w:rPr>
          <w:spacing w:val="40"/>
          <w:sz w:val="24"/>
        </w:rPr>
        <w:t> </w:t>
      </w:r>
      <w:r>
        <w:rPr>
          <w:sz w:val="24"/>
        </w:rPr>
        <w:t>of</w:t>
      </w:r>
      <w:r>
        <w:rPr>
          <w:spacing w:val="40"/>
          <w:sz w:val="24"/>
        </w:rPr>
        <w:t> </w:t>
      </w:r>
      <w:r>
        <w:rPr>
          <w:sz w:val="24"/>
        </w:rPr>
        <w:t>occupants.</w:t>
      </w:r>
    </w:p>
    <w:p>
      <w:pPr>
        <w:pStyle w:val="ListParagraph"/>
        <w:numPr>
          <w:ilvl w:val="0"/>
          <w:numId w:val="145"/>
        </w:numPr>
        <w:tabs>
          <w:tab w:pos="2410" w:val="left" w:leader="none"/>
        </w:tabs>
        <w:spacing w:line="240" w:lineRule="auto" w:before="238" w:after="0"/>
        <w:ind w:left="2410" w:right="785" w:hanging="360"/>
        <w:jc w:val="both"/>
        <w:rPr>
          <w:sz w:val="24"/>
        </w:rPr>
      </w:pPr>
      <w:r>
        <w:rPr>
          <w:sz w:val="24"/>
        </w:rPr>
        <w:t>Reconstruction shall be disallowed on </w:t>
      </w:r>
      <w:r>
        <w:rPr>
          <w:spacing w:val="9"/>
          <w:sz w:val="24"/>
        </w:rPr>
        <w:t>set-</w:t>
      </w:r>
      <w:r>
        <w:rPr>
          <w:sz w:val="24"/>
        </w:rPr>
        <w:t>back areas or areas required</w:t>
      </w:r>
      <w:r>
        <w:rPr>
          <w:spacing w:val="40"/>
          <w:sz w:val="24"/>
        </w:rPr>
        <w:t> </w:t>
      </w:r>
      <w:r>
        <w:rPr>
          <w:sz w:val="24"/>
        </w:rPr>
        <w:t>for</w:t>
      </w:r>
      <w:r>
        <w:rPr>
          <w:spacing w:val="9"/>
          <w:sz w:val="24"/>
        </w:rPr>
        <w:t> road-</w:t>
      </w:r>
      <w:r>
        <w:rPr>
          <w:sz w:val="24"/>
        </w:rPr>
        <w:t>widening</w:t>
      </w:r>
      <w:r>
        <w:rPr>
          <w:spacing w:val="40"/>
          <w:sz w:val="24"/>
        </w:rPr>
        <w:t> </w:t>
      </w:r>
      <w:r>
        <w:rPr>
          <w:sz w:val="24"/>
        </w:rPr>
        <w:t>and</w:t>
      </w:r>
      <w:r>
        <w:rPr>
          <w:spacing w:val="40"/>
          <w:sz w:val="24"/>
        </w:rPr>
        <w:t> </w:t>
      </w:r>
      <w:r>
        <w:rPr>
          <w:sz w:val="24"/>
        </w:rPr>
        <w:t>such</w:t>
      </w:r>
      <w:r>
        <w:rPr>
          <w:spacing w:val="39"/>
          <w:sz w:val="24"/>
        </w:rPr>
        <w:t> </w:t>
      </w:r>
      <w:r>
        <w:rPr>
          <w:sz w:val="24"/>
        </w:rPr>
        <w:t>areas</w:t>
      </w:r>
      <w:r>
        <w:rPr>
          <w:spacing w:val="39"/>
          <w:sz w:val="24"/>
        </w:rPr>
        <w:t> </w:t>
      </w:r>
      <w:r>
        <w:rPr>
          <w:sz w:val="24"/>
        </w:rPr>
        <w:t>shall</w:t>
      </w:r>
      <w:r>
        <w:rPr>
          <w:spacing w:val="40"/>
          <w:sz w:val="24"/>
        </w:rPr>
        <w:t> </w:t>
      </w:r>
      <w:r>
        <w:rPr>
          <w:sz w:val="24"/>
        </w:rPr>
        <w:t>be</w:t>
      </w:r>
      <w:r>
        <w:rPr>
          <w:spacing w:val="40"/>
          <w:sz w:val="24"/>
        </w:rPr>
        <w:t> </w:t>
      </w:r>
      <w:r>
        <w:rPr>
          <w:sz w:val="24"/>
        </w:rPr>
        <w:t>handed</w:t>
      </w:r>
      <w:r>
        <w:rPr>
          <w:spacing w:val="39"/>
          <w:sz w:val="24"/>
        </w:rPr>
        <w:t> </w:t>
      </w:r>
      <w:r>
        <w:rPr>
          <w:sz w:val="24"/>
        </w:rPr>
        <w:t>over to the </w:t>
      </w:r>
      <w:r>
        <w:rPr>
          <w:spacing w:val="9"/>
          <w:sz w:val="24"/>
        </w:rPr>
        <w:t>Corporation.</w:t>
      </w:r>
    </w:p>
    <w:p>
      <w:pPr>
        <w:pStyle w:val="ListParagraph"/>
        <w:numPr>
          <w:ilvl w:val="0"/>
          <w:numId w:val="145"/>
        </w:numPr>
        <w:tabs>
          <w:tab w:pos="2410" w:val="left" w:leader="none"/>
        </w:tabs>
        <w:spacing w:line="240" w:lineRule="auto" w:before="242" w:after="0"/>
        <w:ind w:left="2410" w:right="796" w:hanging="360"/>
        <w:jc w:val="both"/>
        <w:rPr>
          <w:sz w:val="24"/>
        </w:rPr>
      </w:pPr>
      <w:r>
        <w:rPr>
          <w:sz w:val="24"/>
        </w:rPr>
        <w:t>These</w:t>
      </w:r>
      <w:r>
        <w:rPr>
          <w:spacing w:val="80"/>
          <w:sz w:val="24"/>
        </w:rPr>
        <w:t> </w:t>
      </w:r>
      <w:r>
        <w:rPr>
          <w:sz w:val="24"/>
        </w:rPr>
        <w:t>provisions</w:t>
      </w:r>
      <w:r>
        <w:rPr>
          <w:spacing w:val="80"/>
          <w:sz w:val="24"/>
        </w:rPr>
        <w:t> </w:t>
      </w:r>
      <w:r>
        <w:rPr>
          <w:sz w:val="24"/>
        </w:rPr>
        <w:t>shall</w:t>
      </w:r>
      <w:r>
        <w:rPr>
          <w:spacing w:val="80"/>
          <w:sz w:val="24"/>
        </w:rPr>
        <w:t> </w:t>
      </w:r>
      <w:r>
        <w:rPr>
          <w:sz w:val="24"/>
        </w:rPr>
        <w:t>not</w:t>
      </w:r>
      <w:r>
        <w:rPr>
          <w:spacing w:val="80"/>
          <w:sz w:val="24"/>
        </w:rPr>
        <w:t> </w:t>
      </w:r>
      <w:r>
        <w:rPr>
          <w:sz w:val="24"/>
        </w:rPr>
        <w:t>apply</w:t>
      </w:r>
      <w:r>
        <w:rPr>
          <w:spacing w:val="80"/>
          <w:sz w:val="24"/>
        </w:rPr>
        <w:t> </w:t>
      </w:r>
      <w:r>
        <w:rPr>
          <w:sz w:val="24"/>
        </w:rPr>
        <w:t>to</w:t>
      </w:r>
      <w:r>
        <w:rPr>
          <w:spacing w:val="80"/>
          <w:sz w:val="24"/>
        </w:rPr>
        <w:t> </w:t>
      </w:r>
      <w:r>
        <w:rPr>
          <w:sz w:val="24"/>
        </w:rPr>
        <w:t>buildings</w:t>
      </w:r>
      <w:r>
        <w:rPr>
          <w:spacing w:val="80"/>
          <w:sz w:val="24"/>
        </w:rPr>
        <w:t> </w:t>
      </w:r>
      <w:r>
        <w:rPr>
          <w:sz w:val="24"/>
        </w:rPr>
        <w:t>wholly</w:t>
      </w:r>
      <w:r>
        <w:rPr>
          <w:spacing w:val="80"/>
          <w:sz w:val="24"/>
        </w:rPr>
        <w:t> </w:t>
      </w:r>
      <w:r>
        <w:rPr>
          <w:sz w:val="24"/>
        </w:rPr>
        <w:t>occupied by</w:t>
      </w:r>
      <w:r>
        <w:rPr>
          <w:spacing w:val="40"/>
          <w:sz w:val="24"/>
        </w:rPr>
        <w:t> </w:t>
      </w:r>
      <w:r>
        <w:rPr>
          <w:sz w:val="24"/>
        </w:rPr>
        <w:t>warehouses</w:t>
      </w:r>
      <w:r>
        <w:rPr>
          <w:spacing w:val="40"/>
          <w:sz w:val="24"/>
        </w:rPr>
        <w:t> </w:t>
      </w:r>
      <w:r>
        <w:rPr>
          <w:sz w:val="24"/>
        </w:rPr>
        <w:t>and</w:t>
      </w:r>
      <w:r>
        <w:rPr>
          <w:spacing w:val="40"/>
          <w:sz w:val="24"/>
        </w:rPr>
        <w:t> </w:t>
      </w:r>
      <w:r>
        <w:rPr>
          <w:sz w:val="24"/>
        </w:rPr>
        <w:t>godowns.</w:t>
      </w:r>
    </w:p>
    <w:p>
      <w:pPr>
        <w:pStyle w:val="ListParagraph"/>
        <w:numPr>
          <w:ilvl w:val="0"/>
          <w:numId w:val="145"/>
        </w:numPr>
        <w:tabs>
          <w:tab w:pos="2410" w:val="left" w:leader="none"/>
        </w:tabs>
        <w:spacing w:line="240" w:lineRule="auto" w:before="238" w:after="0"/>
        <w:ind w:left="2410" w:right="783" w:hanging="360"/>
        <w:jc w:val="both"/>
        <w:rPr>
          <w:sz w:val="24"/>
        </w:rPr>
      </w:pPr>
      <w:r>
        <w:rPr>
          <w:sz w:val="24"/>
        </w:rPr>
        <w:t>If</w:t>
      </w:r>
      <w:r>
        <w:rPr>
          <w:spacing w:val="40"/>
          <w:sz w:val="24"/>
        </w:rPr>
        <w:t> </w:t>
      </w:r>
      <w:r>
        <w:rPr>
          <w:sz w:val="24"/>
        </w:rPr>
        <w:t>the</w:t>
      </w:r>
      <w:r>
        <w:rPr>
          <w:spacing w:val="40"/>
          <w:sz w:val="24"/>
        </w:rPr>
        <w:t> </w:t>
      </w:r>
      <w:r>
        <w:rPr>
          <w:sz w:val="24"/>
        </w:rPr>
        <w:t>building</w:t>
      </w:r>
      <w:r>
        <w:rPr>
          <w:spacing w:val="40"/>
          <w:sz w:val="24"/>
        </w:rPr>
        <w:t> </w:t>
      </w:r>
      <w:r>
        <w:rPr>
          <w:sz w:val="24"/>
        </w:rPr>
        <w:t>is</w:t>
      </w:r>
      <w:r>
        <w:rPr>
          <w:spacing w:val="40"/>
          <w:sz w:val="24"/>
        </w:rPr>
        <w:t> </w:t>
      </w:r>
      <w:r>
        <w:rPr>
          <w:sz w:val="24"/>
        </w:rPr>
        <w:t>reconstructed</w:t>
      </w:r>
      <w:r>
        <w:rPr>
          <w:spacing w:val="40"/>
          <w:sz w:val="24"/>
        </w:rPr>
        <w:t> </w:t>
      </w:r>
      <w:r>
        <w:rPr>
          <w:sz w:val="24"/>
        </w:rPr>
        <w:t>with</w:t>
      </w:r>
      <w:r>
        <w:rPr>
          <w:spacing w:val="80"/>
          <w:sz w:val="24"/>
        </w:rPr>
        <w:t> </w:t>
      </w:r>
      <w:r>
        <w:rPr>
          <w:sz w:val="24"/>
        </w:rPr>
        <w:t>existing</w:t>
      </w:r>
      <w:r>
        <w:rPr>
          <w:spacing w:val="40"/>
          <w:sz w:val="24"/>
        </w:rPr>
        <w:t> </w:t>
      </w:r>
      <w:r>
        <w:rPr>
          <w:sz w:val="24"/>
        </w:rPr>
        <w:t>FSI/BUA</w:t>
      </w:r>
      <w:r>
        <w:rPr>
          <w:spacing w:val="40"/>
          <w:sz w:val="24"/>
        </w:rPr>
        <w:t> </w:t>
      </w:r>
      <w:r>
        <w:rPr>
          <w:sz w:val="24"/>
        </w:rPr>
        <w:t>prior</w:t>
      </w:r>
      <w:r>
        <w:rPr>
          <w:spacing w:val="40"/>
          <w:sz w:val="24"/>
        </w:rPr>
        <w:t> </w:t>
      </w:r>
      <w:r>
        <w:rPr>
          <w:sz w:val="24"/>
        </w:rPr>
        <w:t>to its </w:t>
      </w:r>
      <w:r>
        <w:rPr>
          <w:spacing w:val="9"/>
          <w:sz w:val="24"/>
        </w:rPr>
        <w:t>collapse/demolition,</w:t>
      </w:r>
      <w:r>
        <w:rPr>
          <w:spacing w:val="9"/>
          <w:sz w:val="24"/>
        </w:rPr>
        <w:t> </w:t>
      </w:r>
      <w:r>
        <w:rPr>
          <w:sz w:val="24"/>
        </w:rPr>
        <w:t>then</w:t>
      </w:r>
      <w:r>
        <w:rPr>
          <w:spacing w:val="40"/>
          <w:sz w:val="24"/>
        </w:rPr>
        <w:t> </w:t>
      </w:r>
      <w:r>
        <w:rPr>
          <w:sz w:val="24"/>
        </w:rPr>
        <w:t>the requirements of front</w:t>
      </w:r>
      <w:r>
        <w:rPr>
          <w:spacing w:val="40"/>
          <w:sz w:val="24"/>
        </w:rPr>
        <w:t> </w:t>
      </w:r>
      <w:r>
        <w:rPr>
          <w:sz w:val="24"/>
        </w:rPr>
        <w:t>&amp; marginal open spaces shall be as per the Regulation No.41(5) of these Regulations.</w:t>
      </w:r>
    </w:p>
    <w:p>
      <w:pPr>
        <w:pStyle w:val="ListParagraph"/>
        <w:numPr>
          <w:ilvl w:val="0"/>
          <w:numId w:val="145"/>
        </w:numPr>
        <w:tabs>
          <w:tab w:pos="2410" w:val="left" w:leader="none"/>
        </w:tabs>
        <w:spacing w:line="240" w:lineRule="auto" w:before="242" w:after="0"/>
        <w:ind w:left="2410" w:right="783" w:hanging="360"/>
        <w:jc w:val="both"/>
        <w:rPr>
          <w:sz w:val="24"/>
        </w:rPr>
      </w:pPr>
      <w:r>
        <w:rPr>
          <w:sz w:val="24"/>
        </w:rPr>
        <w:t>Notwithstanding anything contained in these Regulations, the</w:t>
      </w:r>
      <w:r>
        <w:rPr>
          <w:spacing w:val="80"/>
          <w:sz w:val="24"/>
        </w:rPr>
        <w:t> </w:t>
      </w:r>
      <w:r>
        <w:rPr>
          <w:sz w:val="24"/>
        </w:rPr>
        <w:t>other relaxation incorporated in Regulation No. 33(10) of these Regulations</w:t>
      </w:r>
      <w:r>
        <w:rPr>
          <w:spacing w:val="40"/>
          <w:sz w:val="24"/>
        </w:rPr>
        <w:t> </w:t>
      </w:r>
      <w:r>
        <w:rPr>
          <w:sz w:val="24"/>
        </w:rPr>
        <w:t>except</w:t>
      </w:r>
      <w:r>
        <w:rPr>
          <w:spacing w:val="40"/>
          <w:sz w:val="24"/>
        </w:rPr>
        <w:t> </w:t>
      </w:r>
      <w:r>
        <w:rPr>
          <w:sz w:val="24"/>
        </w:rPr>
        <w:t>clause</w:t>
      </w:r>
      <w:r>
        <w:rPr>
          <w:spacing w:val="40"/>
          <w:sz w:val="24"/>
        </w:rPr>
        <w:t> </w:t>
      </w:r>
      <w:r>
        <w:rPr>
          <w:sz w:val="24"/>
        </w:rPr>
        <w:t>6.11,</w:t>
      </w:r>
      <w:r>
        <w:rPr>
          <w:spacing w:val="40"/>
          <w:sz w:val="24"/>
        </w:rPr>
        <w:t> </w:t>
      </w:r>
      <w:r>
        <w:rPr>
          <w:sz w:val="24"/>
        </w:rPr>
        <w:t>6.15,</w:t>
      </w:r>
      <w:r>
        <w:rPr>
          <w:spacing w:val="40"/>
          <w:sz w:val="24"/>
        </w:rPr>
        <w:t> </w:t>
      </w:r>
      <w:r>
        <w:rPr>
          <w:sz w:val="24"/>
        </w:rPr>
        <w:t>6.16</w:t>
      </w:r>
      <w:r>
        <w:rPr>
          <w:spacing w:val="40"/>
          <w:sz w:val="24"/>
        </w:rPr>
        <w:t> </w:t>
      </w:r>
      <w:r>
        <w:rPr>
          <w:sz w:val="24"/>
        </w:rPr>
        <w:t>&amp;6.18</w:t>
      </w:r>
      <w:r>
        <w:rPr>
          <w:spacing w:val="40"/>
          <w:sz w:val="24"/>
        </w:rPr>
        <w:t> </w:t>
      </w:r>
      <w:r>
        <w:rPr>
          <w:sz w:val="24"/>
        </w:rPr>
        <w:t>shall</w:t>
      </w:r>
      <w:r>
        <w:rPr>
          <w:spacing w:val="40"/>
          <w:sz w:val="24"/>
        </w:rPr>
        <w:t> </w:t>
      </w:r>
      <w:r>
        <w:rPr>
          <w:sz w:val="24"/>
        </w:rPr>
        <w:t>apply. The</w:t>
      </w:r>
      <w:r>
        <w:rPr>
          <w:spacing w:val="40"/>
          <w:sz w:val="24"/>
        </w:rPr>
        <w:t> </w:t>
      </w:r>
      <w:r>
        <w:rPr>
          <w:sz w:val="24"/>
        </w:rPr>
        <w:t>payment</w:t>
      </w:r>
      <w:r>
        <w:rPr>
          <w:spacing w:val="40"/>
          <w:sz w:val="24"/>
        </w:rPr>
        <w:t> </w:t>
      </w:r>
      <w:r>
        <w:rPr>
          <w:sz w:val="24"/>
        </w:rPr>
        <w:t>of</w:t>
      </w:r>
      <w:r>
        <w:rPr>
          <w:spacing w:val="40"/>
          <w:sz w:val="24"/>
        </w:rPr>
        <w:t> </w:t>
      </w:r>
      <w:r>
        <w:rPr>
          <w:sz w:val="24"/>
        </w:rPr>
        <w:t>premium</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25%</w:t>
      </w:r>
      <w:r>
        <w:rPr>
          <w:spacing w:val="40"/>
          <w:sz w:val="24"/>
        </w:rPr>
        <w:t> </w:t>
      </w:r>
      <w:r>
        <w:rPr>
          <w:sz w:val="24"/>
        </w:rPr>
        <w:t>of</w:t>
      </w:r>
      <w:r>
        <w:rPr>
          <w:spacing w:val="40"/>
          <w:sz w:val="24"/>
        </w:rPr>
        <w:t> </w:t>
      </w:r>
      <w:r>
        <w:rPr>
          <w:sz w:val="24"/>
        </w:rPr>
        <w:t>normal</w:t>
      </w:r>
      <w:r>
        <w:rPr>
          <w:spacing w:val="40"/>
          <w:sz w:val="24"/>
        </w:rPr>
        <w:t> </w:t>
      </w:r>
      <w:r>
        <w:rPr>
          <w:sz w:val="24"/>
        </w:rPr>
        <w:t>premium or at the rate of 6.25% of the land rates as per ASR (for FSI 1), whichever</w:t>
      </w:r>
      <w:r>
        <w:rPr>
          <w:spacing w:val="40"/>
          <w:sz w:val="24"/>
        </w:rPr>
        <w:t> </w:t>
      </w:r>
      <w:r>
        <w:rPr>
          <w:sz w:val="24"/>
        </w:rPr>
        <w:t>is</w:t>
      </w:r>
      <w:r>
        <w:rPr>
          <w:spacing w:val="40"/>
          <w:sz w:val="24"/>
        </w:rPr>
        <w:t> </w:t>
      </w:r>
      <w:r>
        <w:rPr>
          <w:sz w:val="24"/>
        </w:rPr>
        <w:t>more</w:t>
      </w:r>
      <w:r>
        <w:rPr>
          <w:spacing w:val="40"/>
          <w:sz w:val="24"/>
        </w:rPr>
        <w:t> </w:t>
      </w:r>
      <w:r>
        <w:rPr>
          <w:sz w:val="24"/>
        </w:rPr>
        <w:t>shall</w:t>
      </w:r>
      <w:r>
        <w:rPr>
          <w:spacing w:val="40"/>
          <w:sz w:val="24"/>
        </w:rPr>
        <w:t> </w:t>
      </w:r>
      <w:r>
        <w:rPr>
          <w:sz w:val="24"/>
        </w:rPr>
        <w:t>apply.</w:t>
      </w:r>
    </w:p>
    <w:p>
      <w:pPr>
        <w:pStyle w:val="ListParagraph"/>
        <w:numPr>
          <w:ilvl w:val="0"/>
          <w:numId w:val="145"/>
        </w:numPr>
        <w:tabs>
          <w:tab w:pos="2410" w:val="left" w:leader="none"/>
          <w:tab w:pos="2533" w:val="left" w:leader="none"/>
        </w:tabs>
        <w:spacing w:line="240" w:lineRule="auto" w:before="239" w:after="0"/>
        <w:ind w:left="2410" w:right="768" w:hanging="360"/>
        <w:jc w:val="both"/>
        <w:rPr>
          <w:sz w:val="24"/>
        </w:rPr>
      </w:pPr>
      <w:r>
        <w:rPr>
          <w:sz w:val="24"/>
        </w:rPr>
        <w:tab/>
        <w:t>If</w:t>
      </w:r>
      <w:r>
        <w:rPr>
          <w:spacing w:val="40"/>
          <w:sz w:val="24"/>
        </w:rPr>
        <w:t> </w:t>
      </w:r>
      <w:r>
        <w:rPr>
          <w:sz w:val="24"/>
        </w:rPr>
        <w:t>the</w:t>
      </w:r>
      <w:r>
        <w:rPr>
          <w:spacing w:val="40"/>
          <w:sz w:val="24"/>
        </w:rPr>
        <w:t> </w:t>
      </w:r>
      <w:r>
        <w:rPr>
          <w:sz w:val="24"/>
        </w:rPr>
        <w:t>existing</w:t>
      </w:r>
      <w:r>
        <w:rPr>
          <w:spacing w:val="40"/>
          <w:sz w:val="24"/>
        </w:rPr>
        <w:t> </w:t>
      </w:r>
      <w:r>
        <w:rPr>
          <w:sz w:val="24"/>
        </w:rPr>
        <w:t>FSI</w:t>
      </w:r>
      <w:r>
        <w:rPr>
          <w:spacing w:val="40"/>
          <w:sz w:val="24"/>
        </w:rPr>
        <w:t> </w:t>
      </w:r>
      <w:r>
        <w:rPr>
          <w:sz w:val="24"/>
        </w:rPr>
        <w:t>is</w:t>
      </w:r>
      <w:r>
        <w:rPr>
          <w:spacing w:val="40"/>
          <w:sz w:val="24"/>
        </w:rPr>
        <w:t> </w:t>
      </w:r>
      <w:r>
        <w:rPr>
          <w:sz w:val="24"/>
        </w:rPr>
        <w:t>less</w:t>
      </w:r>
      <w:r>
        <w:rPr>
          <w:spacing w:val="40"/>
          <w:sz w:val="24"/>
        </w:rPr>
        <w:t> </w:t>
      </w:r>
      <w:r>
        <w:rPr>
          <w:sz w:val="24"/>
        </w:rPr>
        <w:t>than</w:t>
      </w:r>
      <w:r>
        <w:rPr>
          <w:spacing w:val="40"/>
          <w:sz w:val="24"/>
        </w:rPr>
        <w:t> </w:t>
      </w:r>
      <w:r>
        <w:rPr>
          <w:sz w:val="24"/>
        </w:rPr>
        <w:t>the</w:t>
      </w:r>
      <w:r>
        <w:rPr>
          <w:spacing w:val="40"/>
          <w:sz w:val="24"/>
        </w:rPr>
        <w:t> </w:t>
      </w:r>
      <w:r>
        <w:rPr>
          <w:sz w:val="24"/>
        </w:rPr>
        <w:t>permissible</w:t>
      </w:r>
      <w:r>
        <w:rPr>
          <w:spacing w:val="40"/>
          <w:sz w:val="24"/>
        </w:rPr>
        <w:t> </w:t>
      </w:r>
      <w:r>
        <w:rPr>
          <w:sz w:val="24"/>
        </w:rPr>
        <w:t>FSI</w:t>
      </w:r>
      <w:r>
        <w:rPr>
          <w:spacing w:val="40"/>
          <w:sz w:val="24"/>
        </w:rPr>
        <w:t> </w:t>
      </w:r>
      <w:r>
        <w:rPr>
          <w:sz w:val="24"/>
        </w:rPr>
        <w:t>then</w:t>
      </w:r>
      <w:r>
        <w:rPr>
          <w:spacing w:val="40"/>
          <w:sz w:val="24"/>
        </w:rPr>
        <w:t> </w:t>
      </w:r>
      <w:r>
        <w:rPr>
          <w:sz w:val="24"/>
        </w:rPr>
        <w:t>the owner</w:t>
      </w:r>
      <w:r>
        <w:rPr>
          <w:spacing w:val="40"/>
          <w:sz w:val="24"/>
        </w:rPr>
        <w:t> </w:t>
      </w:r>
      <w:r>
        <w:rPr>
          <w:sz w:val="24"/>
        </w:rPr>
        <w:t>may</w:t>
      </w:r>
      <w:r>
        <w:rPr>
          <w:spacing w:val="40"/>
          <w:sz w:val="24"/>
        </w:rPr>
        <w:t> </w:t>
      </w:r>
      <w:r>
        <w:rPr>
          <w:sz w:val="24"/>
        </w:rPr>
        <w:t>opt</w:t>
      </w:r>
      <w:r>
        <w:rPr>
          <w:spacing w:val="80"/>
          <w:sz w:val="24"/>
        </w:rPr>
        <w:t> </w:t>
      </w:r>
      <w:r>
        <w:rPr>
          <w:sz w:val="24"/>
        </w:rPr>
        <w:t>for</w:t>
      </w:r>
      <w:r>
        <w:rPr>
          <w:spacing w:val="40"/>
          <w:sz w:val="24"/>
        </w:rPr>
        <w:t> </w:t>
      </w:r>
      <w:r>
        <w:rPr>
          <w:sz w:val="24"/>
        </w:rPr>
        <w:t>development</w:t>
      </w:r>
      <w:r>
        <w:rPr>
          <w:spacing w:val="80"/>
          <w:sz w:val="24"/>
        </w:rPr>
        <w:t> </w:t>
      </w:r>
      <w:r>
        <w:rPr>
          <w:sz w:val="24"/>
        </w:rPr>
        <w:t>up</w:t>
      </w:r>
      <w:r>
        <w:rPr>
          <w:spacing w:val="80"/>
          <w:sz w:val="24"/>
        </w:rPr>
        <w:t> </w:t>
      </w:r>
      <w:r>
        <w:rPr>
          <w:sz w:val="24"/>
        </w:rPr>
        <w:t>to</w:t>
      </w:r>
      <w:r>
        <w:rPr>
          <w:spacing w:val="40"/>
          <w:sz w:val="24"/>
        </w:rPr>
        <w:t> </w:t>
      </w:r>
      <w:r>
        <w:rPr>
          <w:sz w:val="24"/>
        </w:rPr>
        <w:t>permissible</w:t>
      </w:r>
      <w:r>
        <w:rPr>
          <w:spacing w:val="80"/>
          <w:sz w:val="24"/>
        </w:rPr>
        <w:t> </w:t>
      </w:r>
      <w:r>
        <w:rPr>
          <w:sz w:val="24"/>
        </w:rPr>
        <w:t>FSI</w:t>
      </w:r>
      <w:r>
        <w:rPr>
          <w:spacing w:val="80"/>
          <w:sz w:val="24"/>
        </w:rPr>
        <w:t> </w:t>
      </w:r>
      <w:r>
        <w:rPr>
          <w:sz w:val="24"/>
        </w:rPr>
        <w:t>by availing TDR/Additional FSI on payment of premium as per Regulation 30.</w:t>
      </w:r>
    </w:p>
    <w:p>
      <w:pPr>
        <w:pStyle w:val="BodyText"/>
        <w:spacing w:before="242"/>
        <w:ind w:left="2410" w:right="793" w:hanging="360"/>
      </w:pPr>
      <w:r>
        <w:rPr/>
        <w:t>9 If the building is reconstructed by using Zonal (basic) FSI/permissible</w:t>
      </w:r>
      <w:r>
        <w:rPr>
          <w:spacing w:val="80"/>
        </w:rPr>
        <w:t> </w:t>
      </w:r>
      <w:r>
        <w:rPr/>
        <w:t>FSI,</w:t>
      </w:r>
      <w:r>
        <w:rPr>
          <w:spacing w:val="80"/>
        </w:rPr>
        <w:t> </w:t>
      </w:r>
      <w:r>
        <w:rPr/>
        <w:t>the</w:t>
      </w:r>
      <w:r>
        <w:rPr>
          <w:spacing w:val="80"/>
        </w:rPr>
        <w:t> </w:t>
      </w:r>
      <w:r>
        <w:rPr/>
        <w:t>following</w:t>
      </w:r>
      <w:r>
        <w:rPr>
          <w:spacing w:val="80"/>
        </w:rPr>
        <w:t> </w:t>
      </w:r>
      <w:r>
        <w:rPr/>
        <w:t>shall</w:t>
      </w:r>
      <w:r>
        <w:rPr>
          <w:spacing w:val="80"/>
        </w:rPr>
        <w:t> </w:t>
      </w:r>
      <w:r>
        <w:rPr/>
        <w:t>apply:</w:t>
      </w:r>
    </w:p>
    <w:p>
      <w:pPr>
        <w:pStyle w:val="BodyText"/>
        <w:spacing w:after="0"/>
        <w:sectPr>
          <w:pgSz w:w="11910" w:h="16840"/>
          <w:pgMar w:header="1065" w:footer="1194" w:top="1500" w:bottom="1380" w:left="360" w:right="360"/>
        </w:sectPr>
      </w:pPr>
    </w:p>
    <w:p>
      <w:pPr>
        <w:pStyle w:val="ListParagraph"/>
        <w:numPr>
          <w:ilvl w:val="0"/>
          <w:numId w:val="146"/>
        </w:numPr>
        <w:tabs>
          <w:tab w:pos="2639" w:val="left" w:leader="none"/>
        </w:tabs>
        <w:spacing w:line="240" w:lineRule="auto" w:before="249" w:after="0"/>
        <w:ind w:left="2410" w:right="780" w:firstLine="0"/>
        <w:jc w:val="both"/>
        <w:rPr>
          <w:sz w:val="24"/>
        </w:rPr>
      </w:pPr>
      <w:r>
        <w:rPr>
          <w:sz w:val="24"/>
        </w:rPr>
        <w:t>Requirements of open spaces shall be as per </w:t>
      </w:r>
      <w:r>
        <w:rPr>
          <w:spacing w:val="9"/>
          <w:sz w:val="24"/>
        </w:rPr>
        <w:t>Regulation </w:t>
      </w:r>
      <w:r>
        <w:rPr>
          <w:sz w:val="24"/>
        </w:rPr>
        <w:t>nos. 41(1) and 41(2) &amp; 43</w:t>
      </w:r>
    </w:p>
    <w:p>
      <w:pPr>
        <w:pStyle w:val="ListParagraph"/>
        <w:numPr>
          <w:ilvl w:val="0"/>
          <w:numId w:val="146"/>
        </w:numPr>
        <w:tabs>
          <w:tab w:pos="2848" w:val="left" w:leader="none"/>
        </w:tabs>
        <w:spacing w:line="240" w:lineRule="auto" w:before="241" w:after="0"/>
        <w:ind w:left="2410" w:right="781" w:firstLine="0"/>
        <w:jc w:val="both"/>
        <w:rPr>
          <w:sz w:val="24"/>
        </w:rPr>
      </w:pPr>
      <w:r>
        <w:rPr>
          <w:sz w:val="24"/>
        </w:rPr>
        <w:t>Premium</w:t>
      </w:r>
      <w:r>
        <w:rPr>
          <w:spacing w:val="40"/>
          <w:sz w:val="24"/>
        </w:rPr>
        <w:t> </w:t>
      </w:r>
      <w:r>
        <w:rPr>
          <w:sz w:val="24"/>
        </w:rPr>
        <w:t>at</w:t>
      </w:r>
      <w:r>
        <w:rPr>
          <w:spacing w:val="40"/>
          <w:sz w:val="24"/>
        </w:rPr>
        <w:t> </w:t>
      </w:r>
      <w:r>
        <w:rPr>
          <w:sz w:val="24"/>
        </w:rPr>
        <w:t>the</w:t>
      </w:r>
      <w:r>
        <w:rPr>
          <w:spacing w:val="40"/>
          <w:sz w:val="24"/>
        </w:rPr>
        <w:t> </w:t>
      </w:r>
      <w:r>
        <w:rPr>
          <w:sz w:val="24"/>
        </w:rPr>
        <w:t>as</w:t>
      </w:r>
      <w:r>
        <w:rPr>
          <w:spacing w:val="40"/>
          <w:sz w:val="24"/>
        </w:rPr>
        <w:t> </w:t>
      </w:r>
      <w:r>
        <w:rPr>
          <w:sz w:val="24"/>
        </w:rPr>
        <w:t>applicable</w:t>
      </w:r>
      <w:r>
        <w:rPr>
          <w:spacing w:val="40"/>
          <w:sz w:val="24"/>
        </w:rPr>
        <w:t> </w:t>
      </w:r>
      <w:r>
        <w:rPr>
          <w:sz w:val="24"/>
        </w:rPr>
        <w:t>for</w:t>
      </w:r>
      <w:r>
        <w:rPr>
          <w:spacing w:val="40"/>
          <w:sz w:val="24"/>
        </w:rPr>
        <w:t> </w:t>
      </w:r>
      <w:r>
        <w:rPr>
          <w:sz w:val="24"/>
        </w:rPr>
        <w:t>area</w:t>
      </w:r>
      <w:r>
        <w:rPr>
          <w:spacing w:val="40"/>
          <w:sz w:val="24"/>
        </w:rPr>
        <w:t> </w:t>
      </w:r>
      <w:r>
        <w:rPr>
          <w:sz w:val="24"/>
        </w:rPr>
        <w:t>covered</w:t>
      </w:r>
      <w:r>
        <w:rPr>
          <w:spacing w:val="40"/>
          <w:sz w:val="24"/>
        </w:rPr>
        <w:t> </w:t>
      </w:r>
      <w:r>
        <w:rPr>
          <w:sz w:val="24"/>
        </w:rPr>
        <w:t>under Regulation</w:t>
      </w:r>
      <w:r>
        <w:rPr>
          <w:spacing w:val="40"/>
          <w:sz w:val="24"/>
        </w:rPr>
        <w:t> </w:t>
      </w:r>
      <w:r>
        <w:rPr>
          <w:sz w:val="24"/>
        </w:rPr>
        <w:t>No.</w:t>
      </w:r>
      <w:r>
        <w:rPr>
          <w:spacing w:val="40"/>
          <w:sz w:val="24"/>
        </w:rPr>
        <w:t> </w:t>
      </w:r>
      <w:r>
        <w:rPr>
          <w:sz w:val="24"/>
        </w:rPr>
        <w:t>31(1)</w:t>
      </w:r>
      <w:r>
        <w:rPr>
          <w:spacing w:val="40"/>
          <w:sz w:val="24"/>
        </w:rPr>
        <w:t> </w:t>
      </w:r>
      <w:r>
        <w:rPr>
          <w:sz w:val="24"/>
        </w:rPr>
        <w:t>&amp;31(3)</w:t>
      </w:r>
      <w:r>
        <w:rPr>
          <w:spacing w:val="40"/>
          <w:sz w:val="24"/>
        </w:rPr>
        <w:t> </w:t>
      </w:r>
      <w:r>
        <w:rPr>
          <w:sz w:val="24"/>
        </w:rPr>
        <w:t>beyond</w:t>
      </w:r>
      <w:r>
        <w:rPr>
          <w:spacing w:val="40"/>
          <w:sz w:val="24"/>
        </w:rPr>
        <w:t> </w:t>
      </w:r>
      <w:r>
        <w:rPr>
          <w:sz w:val="24"/>
        </w:rPr>
        <w:t>the</w:t>
      </w:r>
      <w:r>
        <w:rPr>
          <w:spacing w:val="40"/>
          <w:sz w:val="24"/>
        </w:rPr>
        <w:t> </w:t>
      </w:r>
      <w:r>
        <w:rPr>
          <w:sz w:val="24"/>
        </w:rPr>
        <w:t>existing</w:t>
      </w:r>
      <w:r>
        <w:rPr>
          <w:spacing w:val="40"/>
          <w:sz w:val="24"/>
        </w:rPr>
        <w:t> </w:t>
      </w:r>
      <w:r>
        <w:rPr>
          <w:sz w:val="24"/>
        </w:rPr>
        <w:t>FSI/BUA</w:t>
      </w:r>
      <w:r>
        <w:rPr>
          <w:spacing w:val="40"/>
          <w:sz w:val="24"/>
        </w:rPr>
        <w:t> </w:t>
      </w:r>
      <w:r>
        <w:rPr>
          <w:sz w:val="24"/>
        </w:rPr>
        <w:t>shall be</w:t>
      </w:r>
      <w:r>
        <w:rPr>
          <w:spacing w:val="80"/>
          <w:sz w:val="24"/>
        </w:rPr>
        <w:t> </w:t>
      </w:r>
      <w:r>
        <w:rPr>
          <w:sz w:val="24"/>
        </w:rPr>
        <w:t>paid.</w:t>
      </w:r>
    </w:p>
    <w:p>
      <w:pPr>
        <w:pStyle w:val="ListParagraph"/>
        <w:numPr>
          <w:ilvl w:val="0"/>
          <w:numId w:val="147"/>
        </w:numPr>
        <w:tabs>
          <w:tab w:pos="2410" w:val="left" w:leader="none"/>
          <w:tab w:pos="2540" w:val="left" w:leader="none"/>
        </w:tabs>
        <w:spacing w:line="240" w:lineRule="auto" w:before="239" w:after="0"/>
        <w:ind w:left="2410" w:right="781" w:hanging="360"/>
        <w:jc w:val="left"/>
        <w:rPr>
          <w:sz w:val="24"/>
        </w:rPr>
      </w:pPr>
      <w:r>
        <w:rPr>
          <w:sz w:val="24"/>
        </w:rPr>
        <w:t>.</w:t>
      </w:r>
      <w:r>
        <w:rPr>
          <w:spacing w:val="40"/>
          <w:sz w:val="24"/>
        </w:rPr>
        <w:t> </w:t>
      </w:r>
      <w:r>
        <w:rPr>
          <w:sz w:val="24"/>
        </w:rPr>
        <w:t>Provision</w:t>
      </w:r>
      <w:r>
        <w:rPr>
          <w:spacing w:val="40"/>
          <w:sz w:val="24"/>
        </w:rPr>
        <w:t> </w:t>
      </w:r>
      <w:r>
        <w:rPr>
          <w:sz w:val="24"/>
        </w:rPr>
        <w:t>of</w:t>
      </w:r>
      <w:r>
        <w:rPr>
          <w:spacing w:val="40"/>
          <w:sz w:val="24"/>
        </w:rPr>
        <w:t> </w:t>
      </w:r>
      <w:r>
        <w:rPr>
          <w:sz w:val="24"/>
        </w:rPr>
        <w:t>Inclusive</w:t>
      </w:r>
      <w:r>
        <w:rPr>
          <w:spacing w:val="40"/>
          <w:sz w:val="24"/>
        </w:rPr>
        <w:t> </w:t>
      </w:r>
      <w:r>
        <w:rPr>
          <w:sz w:val="24"/>
        </w:rPr>
        <w:t>Housing</w:t>
      </w:r>
      <w:r>
        <w:rPr>
          <w:spacing w:val="40"/>
          <w:sz w:val="24"/>
        </w:rPr>
        <w:t> </w:t>
      </w:r>
      <w:r>
        <w:rPr>
          <w:sz w:val="24"/>
        </w:rPr>
        <w:t>as</w:t>
      </w:r>
      <w:r>
        <w:rPr>
          <w:spacing w:val="40"/>
          <w:sz w:val="24"/>
        </w:rPr>
        <w:t> </w:t>
      </w:r>
      <w:r>
        <w:rPr>
          <w:sz w:val="24"/>
        </w:rPr>
        <w:t>per</w:t>
      </w:r>
      <w:r>
        <w:rPr>
          <w:spacing w:val="40"/>
          <w:sz w:val="24"/>
        </w:rPr>
        <w:t> </w:t>
      </w:r>
      <w:r>
        <w:rPr>
          <w:sz w:val="24"/>
        </w:rPr>
        <w:t>Regulation</w:t>
      </w:r>
      <w:r>
        <w:rPr>
          <w:spacing w:val="40"/>
          <w:sz w:val="24"/>
        </w:rPr>
        <w:t> </w:t>
      </w:r>
      <w:r>
        <w:rPr>
          <w:sz w:val="24"/>
        </w:rPr>
        <w:t>No.15</w:t>
      </w:r>
      <w:r>
        <w:rPr>
          <w:spacing w:val="40"/>
          <w:sz w:val="24"/>
        </w:rPr>
        <w:t> </w:t>
      </w:r>
      <w:r>
        <w:rPr>
          <w:sz w:val="24"/>
        </w:rPr>
        <w:t>shall</w:t>
      </w:r>
      <w:r>
        <w:rPr>
          <w:spacing w:val="40"/>
          <w:sz w:val="24"/>
        </w:rPr>
        <w:t> </w:t>
      </w:r>
      <w:r>
        <w:rPr>
          <w:sz w:val="24"/>
        </w:rPr>
        <w:t>have</w:t>
      </w:r>
      <w:r>
        <w:rPr>
          <w:spacing w:val="40"/>
          <w:sz w:val="24"/>
        </w:rPr>
        <w:t> </w:t>
      </w:r>
      <w:r>
        <w:rPr>
          <w:sz w:val="24"/>
        </w:rPr>
        <w:t>to</w:t>
      </w:r>
      <w:r>
        <w:rPr>
          <w:spacing w:val="40"/>
          <w:sz w:val="24"/>
        </w:rPr>
        <w:t> </w:t>
      </w:r>
      <w:r>
        <w:rPr>
          <w:sz w:val="24"/>
        </w:rPr>
        <w:t>be</w:t>
      </w:r>
      <w:r>
        <w:rPr>
          <w:spacing w:val="40"/>
          <w:sz w:val="24"/>
        </w:rPr>
        <w:t> </w:t>
      </w:r>
      <w:r>
        <w:rPr>
          <w:sz w:val="24"/>
        </w:rPr>
        <w:t>made</w:t>
      </w:r>
      <w:r>
        <w:rPr>
          <w:spacing w:val="40"/>
          <w:sz w:val="24"/>
        </w:rPr>
        <w:t> </w:t>
      </w:r>
      <w:r>
        <w:rPr>
          <w:sz w:val="24"/>
        </w:rPr>
        <w:t>in</w:t>
      </w:r>
      <w:r>
        <w:rPr>
          <w:spacing w:val="40"/>
          <w:sz w:val="24"/>
        </w:rPr>
        <w:t> </w:t>
      </w:r>
      <w:r>
        <w:rPr>
          <w:sz w:val="24"/>
        </w:rPr>
        <w:t>case</w:t>
      </w:r>
      <w:r>
        <w:rPr>
          <w:spacing w:val="40"/>
          <w:sz w:val="24"/>
        </w:rPr>
        <w:t> </w:t>
      </w:r>
      <w:r>
        <w:rPr>
          <w:sz w:val="24"/>
        </w:rPr>
        <w:t>of</w:t>
      </w:r>
      <w:r>
        <w:rPr>
          <w:spacing w:val="40"/>
          <w:sz w:val="24"/>
        </w:rPr>
        <w:t> </w:t>
      </w:r>
      <w:r>
        <w:rPr>
          <w:sz w:val="24"/>
        </w:rPr>
        <w:t>9</w:t>
      </w:r>
      <w:r>
        <w:rPr>
          <w:spacing w:val="40"/>
          <w:sz w:val="24"/>
        </w:rPr>
        <w:t> </w:t>
      </w:r>
      <w:r>
        <w:rPr>
          <w:sz w:val="24"/>
        </w:rPr>
        <w:t>above,</w:t>
      </w:r>
      <w:r>
        <w:rPr>
          <w:spacing w:val="40"/>
          <w:sz w:val="24"/>
        </w:rPr>
        <w:t> </w:t>
      </w:r>
      <w:r>
        <w:rPr>
          <w:sz w:val="24"/>
        </w:rPr>
        <w:t>if</w:t>
      </w:r>
      <w:r>
        <w:rPr>
          <w:spacing w:val="40"/>
          <w:sz w:val="24"/>
        </w:rPr>
        <w:t> </w:t>
      </w:r>
      <w:r>
        <w:rPr>
          <w:sz w:val="24"/>
        </w:rPr>
        <w:t>applicable.</w:t>
      </w:r>
    </w:p>
    <w:p>
      <w:pPr>
        <w:pStyle w:val="BodyText"/>
        <w:jc w:val="left"/>
      </w:pPr>
    </w:p>
    <w:p>
      <w:pPr>
        <w:pStyle w:val="BodyText"/>
        <w:spacing w:before="198"/>
        <w:jc w:val="left"/>
      </w:pPr>
    </w:p>
    <w:p>
      <w:pPr>
        <w:pStyle w:val="BodyText"/>
        <w:ind w:left="2422" w:right="768" w:hanging="360"/>
      </w:pPr>
      <w:r>
        <w:rPr>
          <w:b/>
        </w:rPr>
        <w:t>33(7)</w:t>
      </w:r>
      <w:r>
        <w:rPr>
          <w:b/>
          <w:spacing w:val="40"/>
        </w:rPr>
        <w:t> </w:t>
      </w:r>
      <w:r>
        <w:rPr>
          <w:b/>
          <w:i/>
        </w:rPr>
        <w:t>Reconstruction</w:t>
      </w:r>
      <w:r>
        <w:rPr>
          <w:b/>
          <w:i/>
          <w:spacing w:val="40"/>
        </w:rPr>
        <w:t> </w:t>
      </w:r>
      <w:r>
        <w:rPr>
          <w:b/>
          <w:i/>
        </w:rPr>
        <w:t>or</w:t>
      </w:r>
      <w:r>
        <w:rPr>
          <w:b/>
          <w:i/>
          <w:spacing w:val="40"/>
        </w:rPr>
        <w:t> </w:t>
      </w:r>
      <w:r>
        <w:rPr>
          <w:b/>
          <w:i/>
        </w:rPr>
        <w:t>redevelopment</w:t>
      </w:r>
      <w:r>
        <w:rPr>
          <w:b/>
          <w:i/>
          <w:spacing w:val="40"/>
        </w:rPr>
        <w:t> </w:t>
      </w:r>
      <w:r>
        <w:rPr>
          <w:b/>
          <w:i/>
        </w:rPr>
        <w:t>of</w:t>
      </w:r>
      <w:r>
        <w:rPr>
          <w:b/>
          <w:i/>
          <w:spacing w:val="40"/>
        </w:rPr>
        <w:t> </w:t>
      </w:r>
      <w:r>
        <w:rPr>
          <w:b/>
          <w:i/>
        </w:rPr>
        <w:t>cessed</w:t>
      </w:r>
      <w:r>
        <w:rPr>
          <w:b/>
          <w:i/>
          <w:spacing w:val="40"/>
        </w:rPr>
        <w:t> </w:t>
      </w:r>
      <w:r>
        <w:rPr>
          <w:b/>
          <w:i/>
        </w:rPr>
        <w:t>buildings</w:t>
      </w:r>
      <w:r>
        <w:rPr>
          <w:b/>
          <w:i/>
          <w:spacing w:val="40"/>
        </w:rPr>
        <w:t> </w:t>
      </w:r>
      <w:r>
        <w:rPr>
          <w:b/>
          <w:i/>
        </w:rPr>
        <w:t>in the Island City by </w:t>
      </w:r>
      <w:r>
        <w:rPr>
          <w:b/>
          <w:i/>
          <w:spacing w:val="10"/>
        </w:rPr>
        <w:t>Co-</w:t>
      </w:r>
      <w:r>
        <w:rPr>
          <w:b/>
          <w:i/>
        </w:rPr>
        <w:t>operative Housing Societies or of old buildings belonging to the Corporation:</w:t>
      </w:r>
      <w:r>
        <w:rPr/>
        <w:t>(1)</w:t>
      </w:r>
      <w:r>
        <w:rPr>
          <w:spacing w:val="40"/>
        </w:rPr>
        <w:t> </w:t>
      </w:r>
      <w:r>
        <w:rPr/>
        <w:t>For </w:t>
      </w:r>
      <w:r>
        <w:rPr>
          <w:spacing w:val="9"/>
        </w:rPr>
        <w:t>reconstruction/redevelopment</w:t>
      </w:r>
      <w:r>
        <w:rPr>
          <w:spacing w:val="9"/>
        </w:rPr>
        <w:t> </w:t>
      </w:r>
      <w:r>
        <w:rPr/>
        <w:t>to be </w:t>
      </w:r>
      <w:r>
        <w:rPr>
          <w:spacing w:val="9"/>
        </w:rPr>
        <w:t>undertaken</w:t>
      </w:r>
      <w:r>
        <w:rPr>
          <w:spacing w:val="9"/>
        </w:rPr>
        <w:t> </w:t>
      </w:r>
      <w:r>
        <w:rPr/>
        <w:t>by same or different landlords or </w:t>
      </w:r>
      <w:r>
        <w:rPr>
          <w:spacing w:val="10"/>
        </w:rPr>
        <w:t>Co-</w:t>
      </w:r>
      <w:r>
        <w:rPr/>
        <w:t>operative societies of landlords</w:t>
      </w:r>
      <w:r>
        <w:rPr>
          <w:spacing w:val="40"/>
        </w:rPr>
        <w:t> </w:t>
      </w:r>
      <w:r>
        <w:rPr/>
        <w:t>and Cooperative Housing Societies (existing or proposed) of existing tenants or by </w:t>
      </w:r>
      <w:r>
        <w:rPr>
          <w:spacing w:val="10"/>
        </w:rPr>
        <w:t>Co-</w:t>
      </w:r>
      <w:r>
        <w:rPr/>
        <w:t>op. Housing Societies of landlords and/or occupiers of</w:t>
      </w:r>
      <w:r>
        <w:rPr>
          <w:spacing w:val="40"/>
        </w:rPr>
        <w:t> </w:t>
      </w:r>
      <w:r>
        <w:rPr/>
        <w:t>a cessed building</w:t>
      </w:r>
      <w:r>
        <w:rPr>
          <w:spacing w:val="40"/>
        </w:rPr>
        <w:t> </w:t>
      </w:r>
      <w:r>
        <w:rPr/>
        <w:t>existing prior to</w:t>
      </w:r>
      <w:r>
        <w:rPr>
          <w:spacing w:val="40"/>
        </w:rPr>
        <w:t> </w:t>
      </w:r>
      <w:r>
        <w:rPr/>
        <w:t>30/9/1969 in Island</w:t>
      </w:r>
      <w:r>
        <w:rPr>
          <w:spacing w:val="40"/>
        </w:rPr>
        <w:t> </w:t>
      </w:r>
      <w:r>
        <w:rPr/>
        <w:t>City,</w:t>
      </w:r>
      <w:r>
        <w:rPr>
          <w:spacing w:val="40"/>
        </w:rPr>
        <w:t> </w:t>
      </w:r>
      <w:r>
        <w:rPr/>
        <w:t>which</w:t>
      </w:r>
      <w:r>
        <w:rPr>
          <w:spacing w:val="40"/>
        </w:rPr>
        <w:t> </w:t>
      </w:r>
      <w:r>
        <w:rPr/>
        <w:t>attracts</w:t>
      </w:r>
      <w:r>
        <w:rPr>
          <w:spacing w:val="40"/>
        </w:rPr>
        <w:t> </w:t>
      </w:r>
      <w:r>
        <w:rPr/>
        <w:t>the</w:t>
      </w:r>
      <w:r>
        <w:rPr>
          <w:spacing w:val="40"/>
        </w:rPr>
        <w:t> </w:t>
      </w:r>
      <w:r>
        <w:rPr/>
        <w:t>provisions</w:t>
      </w:r>
      <w:r>
        <w:rPr>
          <w:spacing w:val="40"/>
        </w:rPr>
        <w:t> </w:t>
      </w:r>
      <w:r>
        <w:rPr/>
        <w:t>of</w:t>
      </w:r>
      <w:r>
        <w:rPr>
          <w:spacing w:val="40"/>
        </w:rPr>
        <w:t> </w:t>
      </w:r>
      <w:r>
        <w:rPr/>
        <w:t>MHAD</w:t>
      </w:r>
      <w:r>
        <w:rPr>
          <w:spacing w:val="40"/>
        </w:rPr>
        <w:t> </w:t>
      </w:r>
      <w:r>
        <w:rPr/>
        <w:t>Act,</w:t>
      </w:r>
      <w:r>
        <w:rPr>
          <w:spacing w:val="40"/>
        </w:rPr>
        <w:t> </w:t>
      </w:r>
      <w:r>
        <w:rPr/>
        <w:t>1976 and for </w:t>
      </w:r>
      <w:r>
        <w:rPr>
          <w:spacing w:val="9"/>
        </w:rPr>
        <w:t>reconstruction/redevelopment</w:t>
      </w:r>
      <w:r>
        <w:rPr>
          <w:spacing w:val="9"/>
        </w:rPr>
        <w:t> </w:t>
      </w:r>
      <w:r>
        <w:rPr/>
        <w:t>of the buildings of Corporation</w:t>
      </w:r>
      <w:r>
        <w:rPr>
          <w:spacing w:val="40"/>
        </w:rPr>
        <w:t> </w:t>
      </w:r>
      <w:r>
        <w:rPr/>
        <w:t>existing</w:t>
      </w:r>
      <w:r>
        <w:rPr>
          <w:spacing w:val="40"/>
        </w:rPr>
        <w:t> </w:t>
      </w:r>
      <w:r>
        <w:rPr/>
        <w:t>prior</w:t>
      </w:r>
      <w:r>
        <w:rPr>
          <w:spacing w:val="40"/>
        </w:rPr>
        <w:t> </w:t>
      </w:r>
      <w:r>
        <w:rPr/>
        <w:t>to</w:t>
      </w:r>
      <w:r>
        <w:rPr>
          <w:spacing w:val="40"/>
        </w:rPr>
        <w:t> </w:t>
      </w:r>
      <w:r>
        <w:rPr>
          <w:spacing w:val="9"/>
        </w:rPr>
        <w:t>30.09.1969,</w:t>
      </w:r>
      <w:r>
        <w:rPr>
          <w:spacing w:val="40"/>
        </w:rPr>
        <w:t> </w:t>
      </w:r>
      <w:r>
        <w:rPr/>
        <w:t>FSI</w:t>
      </w:r>
      <w:r>
        <w:rPr>
          <w:spacing w:val="40"/>
        </w:rPr>
        <w:t> </w:t>
      </w:r>
      <w:r>
        <w:rPr/>
        <w:t>shall</w:t>
      </w:r>
      <w:r>
        <w:rPr>
          <w:spacing w:val="40"/>
        </w:rPr>
        <w:t> </w:t>
      </w:r>
      <w:r>
        <w:rPr/>
        <w:t>be</w:t>
      </w:r>
      <w:r>
        <w:rPr>
          <w:spacing w:val="40"/>
        </w:rPr>
        <w:t> </w:t>
      </w:r>
      <w:r>
        <w:rPr/>
        <w:t>3.00</w:t>
      </w:r>
      <w:r>
        <w:rPr>
          <w:spacing w:val="40"/>
        </w:rPr>
        <w:t> </w:t>
      </w:r>
      <w:r>
        <w:rPr/>
        <w:t>on the gross plot area or FSI required for rehabilitation of existing tenants plus incentive FSI as specified in sr. no 5(a) below whichever is </w:t>
      </w:r>
      <w:r>
        <w:rPr>
          <w:spacing w:val="9"/>
        </w:rPr>
        <w:t>more.</w:t>
      </w:r>
    </w:p>
    <w:p>
      <w:pPr>
        <w:pStyle w:val="BodyText"/>
        <w:spacing w:before="243"/>
        <w:ind w:left="2422" w:right="773" w:firstLine="76"/>
      </w:pPr>
      <w:r>
        <w:rPr/>
        <w:t>Provided</w:t>
      </w:r>
      <w:r>
        <w:rPr>
          <w:spacing w:val="40"/>
        </w:rPr>
        <w:t> </w:t>
      </w:r>
      <w:r>
        <w:rPr/>
        <w:t>further</w:t>
      </w:r>
      <w:r>
        <w:rPr>
          <w:spacing w:val="40"/>
        </w:rPr>
        <w:t> </w:t>
      </w:r>
      <w:r>
        <w:rPr/>
        <w:t>that</w:t>
      </w:r>
      <w:r>
        <w:rPr>
          <w:spacing w:val="40"/>
        </w:rPr>
        <w:t> </w:t>
      </w:r>
      <w:r>
        <w:rPr>
          <w:spacing w:val="9"/>
        </w:rPr>
        <w:t>reconstruction/redevelopment</w:t>
      </w:r>
      <w:r>
        <w:rPr>
          <w:spacing w:val="40"/>
        </w:rPr>
        <w:t> </w:t>
      </w:r>
      <w:r>
        <w:rPr/>
        <w:t>undertaken</w:t>
      </w:r>
      <w:r>
        <w:rPr>
          <w:spacing w:val="40"/>
        </w:rPr>
        <w:t> </w:t>
      </w:r>
      <w:r>
        <w:rPr/>
        <w:t>by</w:t>
      </w:r>
      <w:r>
        <w:rPr>
          <w:spacing w:val="40"/>
        </w:rPr>
        <w:t> </w:t>
      </w:r>
      <w:r>
        <w:rPr/>
        <w:t>proposed</w:t>
      </w:r>
      <w:r>
        <w:rPr>
          <w:spacing w:val="11"/>
        </w:rPr>
        <w:t> Co-</w:t>
      </w:r>
      <w:r>
        <w:rPr/>
        <w:t>operative</w:t>
      </w:r>
      <w:r>
        <w:rPr>
          <w:spacing w:val="40"/>
        </w:rPr>
        <w:t> </w:t>
      </w:r>
      <w:r>
        <w:rPr/>
        <w:t>Housing</w:t>
      </w:r>
      <w:r>
        <w:rPr>
          <w:spacing w:val="40"/>
        </w:rPr>
        <w:t> </w:t>
      </w:r>
      <w:r>
        <w:rPr/>
        <w:t>Society</w:t>
      </w:r>
      <w:r>
        <w:rPr>
          <w:spacing w:val="40"/>
        </w:rPr>
        <w:t> </w:t>
      </w:r>
      <w:r>
        <w:rPr/>
        <w:t>of occupiers of buildings existing prior to </w:t>
      </w:r>
      <w:r>
        <w:rPr>
          <w:spacing w:val="9"/>
        </w:rPr>
        <w:t>30.09.1969, </w:t>
      </w:r>
      <w:r>
        <w:rPr/>
        <w:t>which were earlier cessed buildings and were attracting the provisions of</w:t>
      </w:r>
      <w:r>
        <w:rPr>
          <w:spacing w:val="80"/>
        </w:rPr>
        <w:t> </w:t>
      </w:r>
      <w:r>
        <w:rPr/>
        <w:t>MHAD</w:t>
      </w:r>
      <w:r>
        <w:rPr>
          <w:spacing w:val="40"/>
        </w:rPr>
        <w:t> </w:t>
      </w:r>
      <w:r>
        <w:rPr/>
        <w:t>Act,</w:t>
      </w:r>
      <w:r>
        <w:rPr>
          <w:spacing w:val="40"/>
        </w:rPr>
        <w:t> </w:t>
      </w:r>
      <w:r>
        <w:rPr/>
        <w:t>1976but</w:t>
      </w:r>
      <w:r>
        <w:rPr>
          <w:spacing w:val="40"/>
        </w:rPr>
        <w:t> </w:t>
      </w:r>
      <w:r>
        <w:rPr/>
        <w:t>thereafter</w:t>
      </w:r>
      <w:r>
        <w:rPr>
          <w:spacing w:val="40"/>
        </w:rPr>
        <w:t> </w:t>
      </w:r>
      <w:r>
        <w:rPr/>
        <w:t>due</w:t>
      </w:r>
      <w:r>
        <w:rPr>
          <w:spacing w:val="40"/>
        </w:rPr>
        <w:t> </w:t>
      </w:r>
      <w:r>
        <w:rPr/>
        <w:t>to</w:t>
      </w:r>
      <w:r>
        <w:rPr>
          <w:spacing w:val="9"/>
        </w:rPr>
        <w:t> purchase/acquisition </w:t>
      </w:r>
      <w:r>
        <w:rPr/>
        <w:t>of the same by </w:t>
      </w:r>
      <w:r>
        <w:rPr>
          <w:spacing w:val="11"/>
        </w:rPr>
        <w:t>Co-</w:t>
      </w:r>
      <w:r>
        <w:rPr/>
        <w:t>operative Housing Society of Occupiers, such buildings</w:t>
      </w:r>
      <w:r>
        <w:rPr>
          <w:spacing w:val="40"/>
        </w:rPr>
        <w:t> </w:t>
      </w:r>
      <w:r>
        <w:rPr/>
        <w:t>are</w:t>
      </w:r>
      <w:r>
        <w:rPr>
          <w:spacing w:val="40"/>
        </w:rPr>
        <w:t> </w:t>
      </w:r>
      <w:r>
        <w:rPr/>
        <w:t>exempted</w:t>
      </w:r>
      <w:r>
        <w:rPr>
          <w:spacing w:val="40"/>
        </w:rPr>
        <w:t> </w:t>
      </w:r>
      <w:r>
        <w:rPr/>
        <w:t>from</w:t>
      </w:r>
      <w:r>
        <w:rPr>
          <w:spacing w:val="40"/>
        </w:rPr>
        <w:t> </w:t>
      </w:r>
      <w:r>
        <w:rPr/>
        <w:t>payment</w:t>
      </w:r>
      <w:r>
        <w:rPr>
          <w:spacing w:val="40"/>
        </w:rPr>
        <w:t> </w:t>
      </w:r>
      <w:r>
        <w:rPr/>
        <w:t>of</w:t>
      </w:r>
      <w:r>
        <w:rPr>
          <w:spacing w:val="40"/>
        </w:rPr>
        <w:t> </w:t>
      </w:r>
      <w:r>
        <w:rPr/>
        <w:t>cess,</w:t>
      </w:r>
      <w:r>
        <w:rPr>
          <w:spacing w:val="40"/>
        </w:rPr>
        <w:t> </w:t>
      </w:r>
      <w:r>
        <w:rPr/>
        <w:t>the</w:t>
      </w:r>
      <w:r>
        <w:rPr>
          <w:spacing w:val="40"/>
        </w:rPr>
        <w:t> </w:t>
      </w:r>
      <w:r>
        <w:rPr/>
        <w:t>FSI</w:t>
      </w:r>
      <w:r>
        <w:rPr>
          <w:spacing w:val="40"/>
        </w:rPr>
        <w:t> </w:t>
      </w:r>
      <w:r>
        <w:rPr>
          <w:spacing w:val="9"/>
        </w:rPr>
        <w:t>required </w:t>
      </w:r>
      <w:r>
        <w:rPr/>
        <w:t>for</w:t>
      </w:r>
      <w:r>
        <w:rPr>
          <w:spacing w:val="40"/>
        </w:rPr>
        <w:t> </w:t>
      </w:r>
      <w:r>
        <w:rPr/>
        <w:t>rehabilitation</w:t>
      </w:r>
      <w:r>
        <w:rPr>
          <w:spacing w:val="40"/>
        </w:rPr>
        <w:t> </w:t>
      </w:r>
      <w:r>
        <w:rPr/>
        <w:t>of</w:t>
      </w:r>
      <w:r>
        <w:rPr>
          <w:spacing w:val="40"/>
        </w:rPr>
        <w:t> </w:t>
      </w:r>
      <w:r>
        <w:rPr/>
        <w:t>existing</w:t>
      </w:r>
      <w:r>
        <w:rPr>
          <w:spacing w:val="40"/>
        </w:rPr>
        <w:t> </w:t>
      </w:r>
      <w:r>
        <w:rPr/>
        <w:t>occupier</w:t>
      </w:r>
      <w:r>
        <w:rPr>
          <w:spacing w:val="40"/>
        </w:rPr>
        <w:t> </w:t>
      </w:r>
      <w:r>
        <w:rPr/>
        <w:t>plus</w:t>
      </w:r>
      <w:r>
        <w:rPr>
          <w:spacing w:val="40"/>
        </w:rPr>
        <w:t> </w:t>
      </w:r>
      <w:r>
        <w:rPr/>
        <w:t>incentive</w:t>
      </w:r>
      <w:r>
        <w:rPr>
          <w:spacing w:val="40"/>
        </w:rPr>
        <w:t> </w:t>
      </w:r>
      <w:r>
        <w:rPr/>
        <w:t>FSI</w:t>
      </w:r>
      <w:r>
        <w:rPr>
          <w:spacing w:val="40"/>
        </w:rPr>
        <w:t> </w:t>
      </w:r>
      <w:r>
        <w:rPr/>
        <w:t>as specified</w:t>
      </w:r>
      <w:r>
        <w:rPr>
          <w:spacing w:val="40"/>
        </w:rPr>
        <w:t> </w:t>
      </w:r>
      <w:r>
        <w:rPr/>
        <w:t>in</w:t>
      </w:r>
      <w:r>
        <w:rPr>
          <w:spacing w:val="40"/>
        </w:rPr>
        <w:t> </w:t>
      </w:r>
      <w:r>
        <w:rPr/>
        <w:t>Sr.</w:t>
      </w:r>
      <w:r>
        <w:rPr>
          <w:spacing w:val="40"/>
        </w:rPr>
        <w:t> </w:t>
      </w:r>
      <w:r>
        <w:rPr/>
        <w:t>no</w:t>
      </w:r>
      <w:r>
        <w:rPr>
          <w:spacing w:val="40"/>
        </w:rPr>
        <w:t> </w:t>
      </w:r>
      <w:r>
        <w:rPr/>
        <w:t>5(c)below</w:t>
      </w:r>
      <w:r>
        <w:rPr>
          <w:spacing w:val="40"/>
        </w:rPr>
        <w:t> </w:t>
      </w:r>
      <w:r>
        <w:rPr/>
        <w:t>will</w:t>
      </w:r>
      <w:r>
        <w:rPr>
          <w:spacing w:val="40"/>
        </w:rPr>
        <w:t> </w:t>
      </w:r>
      <w:r>
        <w:rPr/>
        <w:t>be</w:t>
      </w:r>
      <w:r>
        <w:rPr>
          <w:spacing w:val="40"/>
        </w:rPr>
        <w:t> </w:t>
      </w:r>
      <w:r>
        <w:rPr/>
        <w:t>available.</w:t>
      </w:r>
    </w:p>
    <w:p>
      <w:pPr>
        <w:pStyle w:val="BodyText"/>
        <w:spacing w:before="239"/>
        <w:ind w:left="2062" w:right="771"/>
      </w:pPr>
      <w:r>
        <w:rPr/>
        <w:t>(2)1. (a) The new building may be permitted to be constructed in pursuance</w:t>
      </w:r>
      <w:r>
        <w:rPr>
          <w:spacing w:val="40"/>
        </w:rPr>
        <w:t> </w:t>
      </w:r>
      <w:r>
        <w:rPr/>
        <w:t>of</w:t>
      </w:r>
      <w:r>
        <w:rPr>
          <w:spacing w:val="40"/>
        </w:rPr>
        <w:t> </w:t>
      </w:r>
      <w:r>
        <w:rPr/>
        <w:t>an</w:t>
      </w:r>
      <w:r>
        <w:rPr>
          <w:spacing w:val="40"/>
        </w:rPr>
        <w:t> </w:t>
      </w:r>
      <w:r>
        <w:rPr/>
        <w:t>irrevocable</w:t>
      </w:r>
      <w:r>
        <w:rPr>
          <w:spacing w:val="40"/>
        </w:rPr>
        <w:t> </w:t>
      </w:r>
      <w:r>
        <w:rPr/>
        <w:t>written</w:t>
      </w:r>
      <w:r>
        <w:rPr>
          <w:spacing w:val="40"/>
        </w:rPr>
        <w:t> </w:t>
      </w:r>
      <w:r>
        <w:rPr/>
        <w:t>consent</w:t>
      </w:r>
      <w:r>
        <w:rPr>
          <w:spacing w:val="40"/>
        </w:rPr>
        <w:t> </w:t>
      </w:r>
      <w:r>
        <w:rPr/>
        <w:t>by</w:t>
      </w:r>
      <w:r>
        <w:rPr>
          <w:spacing w:val="40"/>
        </w:rPr>
        <w:t> </w:t>
      </w:r>
      <w:r>
        <w:rPr/>
        <w:t>not</w:t>
      </w:r>
      <w:r>
        <w:rPr>
          <w:spacing w:val="40"/>
        </w:rPr>
        <w:t> </w:t>
      </w:r>
      <w:r>
        <w:rPr/>
        <w:t>less</w:t>
      </w:r>
      <w:r>
        <w:rPr>
          <w:spacing w:val="40"/>
        </w:rPr>
        <w:t> </w:t>
      </w:r>
      <w:r>
        <w:rPr/>
        <w:t>than</w:t>
      </w:r>
      <w:r>
        <w:rPr>
          <w:spacing w:val="40"/>
        </w:rPr>
        <w:t> </w:t>
      </w:r>
      <w:r>
        <w:rPr/>
        <w:t>51% of</w:t>
      </w:r>
      <w:r>
        <w:rPr>
          <w:spacing w:val="40"/>
        </w:rPr>
        <w:t> </w:t>
      </w:r>
      <w:r>
        <w:rPr/>
        <w:t>the</w:t>
      </w:r>
      <w:r>
        <w:rPr>
          <w:spacing w:val="40"/>
        </w:rPr>
        <w:t> </w:t>
      </w:r>
      <w:r>
        <w:rPr/>
        <w:t>occupiers</w:t>
      </w:r>
      <w:r>
        <w:rPr>
          <w:spacing w:val="40"/>
        </w:rPr>
        <w:t> </w:t>
      </w:r>
      <w:r>
        <w:rPr/>
        <w:t>of</w:t>
      </w:r>
      <w:r>
        <w:rPr>
          <w:spacing w:val="40"/>
        </w:rPr>
        <w:t> </w:t>
      </w:r>
      <w:r>
        <w:rPr/>
        <w:t>the</w:t>
      </w:r>
      <w:r>
        <w:rPr>
          <w:spacing w:val="40"/>
        </w:rPr>
        <w:t> </w:t>
      </w:r>
      <w:r>
        <w:rPr/>
        <w:t>old</w:t>
      </w:r>
      <w:r>
        <w:rPr>
          <w:spacing w:val="40"/>
        </w:rPr>
        <w:t> </w:t>
      </w:r>
      <w:r>
        <w:rPr>
          <w:spacing w:val="9"/>
        </w:rPr>
        <w:t>building.</w:t>
      </w:r>
    </w:p>
    <w:p>
      <w:pPr>
        <w:pStyle w:val="BodyText"/>
        <w:spacing w:before="242"/>
        <w:ind w:left="2242" w:right="773" w:hanging="180"/>
      </w:pPr>
      <w:r>
        <w:rPr/>
        <w:t>(b) All the eligible occupants of cessed and </w:t>
      </w:r>
      <w:r>
        <w:rPr>
          <w:spacing w:val="10"/>
        </w:rPr>
        <w:t>non-</w:t>
      </w:r>
      <w:r>
        <w:rPr/>
        <w:t>cessed building/structures (existing prior to 30.09.1969) certified by MBRRB,</w:t>
      </w:r>
      <w:r>
        <w:rPr>
          <w:spacing w:val="80"/>
        </w:rPr>
        <w:t> </w:t>
      </w:r>
      <w:r>
        <w:rPr/>
        <w:t>existing</w:t>
      </w:r>
      <w:r>
        <w:rPr>
          <w:spacing w:val="80"/>
        </w:rPr>
        <w:t> </w:t>
      </w:r>
      <w:r>
        <w:rPr/>
        <w:t>on</w:t>
      </w:r>
      <w:r>
        <w:rPr>
          <w:spacing w:val="80"/>
        </w:rPr>
        <w:t> </w:t>
      </w:r>
      <w:r>
        <w:rPr/>
        <w:t>the</w:t>
      </w:r>
      <w:r>
        <w:rPr>
          <w:spacing w:val="80"/>
        </w:rPr>
        <w:t> </w:t>
      </w:r>
      <w:r>
        <w:rPr/>
        <w:t>plot</w:t>
      </w:r>
      <w:r>
        <w:rPr>
          <w:spacing w:val="80"/>
        </w:rPr>
        <w:t> </w:t>
      </w:r>
      <w:r>
        <w:rPr/>
        <w:t>having</w:t>
      </w:r>
      <w:r>
        <w:rPr>
          <w:spacing w:val="80"/>
        </w:rPr>
        <w:t> </w:t>
      </w:r>
      <w:r>
        <w:rPr/>
        <w:t>cessed</w:t>
      </w:r>
      <w:r>
        <w:rPr>
          <w:spacing w:val="80"/>
        </w:rPr>
        <w:t> </w:t>
      </w:r>
      <w:r>
        <w:rPr/>
        <w:t>building</w:t>
      </w:r>
      <w:r>
        <w:rPr>
          <w:spacing w:val="80"/>
        </w:rPr>
        <w:t> </w:t>
      </w:r>
      <w:r>
        <w:rPr/>
        <w:t>only,</w:t>
      </w:r>
      <w:r>
        <w:rPr>
          <w:spacing w:val="80"/>
        </w:rPr>
        <w:t> </w:t>
      </w:r>
      <w:r>
        <w:rPr/>
        <w:t>shall be</w:t>
      </w:r>
      <w:r>
        <w:rPr>
          <w:spacing w:val="80"/>
        </w:rPr>
        <w:t> </w:t>
      </w:r>
      <w:r>
        <w:rPr/>
        <w:t>re-accommodated</w:t>
      </w:r>
      <w:r>
        <w:rPr>
          <w:spacing w:val="80"/>
        </w:rPr>
        <w:t> </w:t>
      </w:r>
      <w:r>
        <w:rPr/>
        <w:t>in</w:t>
      </w:r>
      <w:r>
        <w:rPr>
          <w:spacing w:val="80"/>
        </w:rPr>
        <w:t> </w:t>
      </w:r>
      <w:r>
        <w:rPr/>
        <w:t>the</w:t>
      </w:r>
      <w:r>
        <w:rPr>
          <w:spacing w:val="80"/>
        </w:rPr>
        <w:t> </w:t>
      </w:r>
      <w:r>
        <w:rPr/>
        <w:t>redeveloped</w:t>
      </w:r>
      <w:r>
        <w:rPr>
          <w:spacing w:val="80"/>
        </w:rPr>
        <w:t> </w:t>
      </w:r>
      <w:r>
        <w:rPr/>
        <w:t>building.</w:t>
      </w:r>
    </w:p>
    <w:p>
      <w:pPr>
        <w:pStyle w:val="ListParagraph"/>
        <w:numPr>
          <w:ilvl w:val="0"/>
          <w:numId w:val="138"/>
        </w:numPr>
        <w:tabs>
          <w:tab w:pos="2394" w:val="left" w:leader="none"/>
        </w:tabs>
        <w:spacing w:line="240" w:lineRule="auto" w:before="239" w:after="0"/>
        <w:ind w:left="2062" w:right="775" w:firstLine="0"/>
        <w:jc w:val="left"/>
        <w:rPr>
          <w:sz w:val="24"/>
        </w:rPr>
      </w:pPr>
      <w:r>
        <w:rPr>
          <w:sz w:val="24"/>
        </w:rPr>
        <w:t>Each</w:t>
      </w:r>
      <w:r>
        <w:rPr>
          <w:spacing w:val="40"/>
          <w:sz w:val="24"/>
        </w:rPr>
        <w:t> </w:t>
      </w:r>
      <w:r>
        <w:rPr>
          <w:sz w:val="24"/>
        </w:rPr>
        <w:t>occupant</w:t>
      </w:r>
      <w:r>
        <w:rPr>
          <w:spacing w:val="40"/>
          <w:sz w:val="24"/>
        </w:rPr>
        <w:t> </w:t>
      </w:r>
      <w:r>
        <w:rPr>
          <w:sz w:val="24"/>
        </w:rPr>
        <w:t>shall</w:t>
      </w:r>
      <w:r>
        <w:rPr>
          <w:spacing w:val="40"/>
          <w:sz w:val="24"/>
        </w:rPr>
        <w:t> </w:t>
      </w:r>
      <w:r>
        <w:rPr>
          <w:sz w:val="24"/>
        </w:rPr>
        <w:t>be</w:t>
      </w:r>
      <w:r>
        <w:rPr>
          <w:spacing w:val="40"/>
          <w:sz w:val="24"/>
        </w:rPr>
        <w:t> </w:t>
      </w:r>
      <w:r>
        <w:rPr>
          <w:sz w:val="24"/>
        </w:rPr>
        <w:t>rehabilitated</w:t>
      </w:r>
      <w:r>
        <w:rPr>
          <w:spacing w:val="40"/>
          <w:sz w:val="24"/>
        </w:rPr>
        <w:t> </w:t>
      </w:r>
      <w:r>
        <w:rPr>
          <w:sz w:val="24"/>
        </w:rPr>
        <w:t>and</w:t>
      </w:r>
      <w:r>
        <w:rPr>
          <w:spacing w:val="40"/>
          <w:sz w:val="24"/>
        </w:rPr>
        <w:t> </w:t>
      </w:r>
      <w:r>
        <w:rPr>
          <w:sz w:val="24"/>
        </w:rPr>
        <w:t>given</w:t>
      </w:r>
      <w:r>
        <w:rPr>
          <w:spacing w:val="40"/>
          <w:sz w:val="24"/>
        </w:rPr>
        <w:t> </w:t>
      </w:r>
      <w:r>
        <w:rPr>
          <w:sz w:val="24"/>
        </w:rPr>
        <w:t>the</w:t>
      </w:r>
      <w:r>
        <w:rPr>
          <w:spacing w:val="40"/>
          <w:sz w:val="24"/>
        </w:rPr>
        <w:t> </w:t>
      </w:r>
      <w:r>
        <w:rPr>
          <w:sz w:val="24"/>
        </w:rPr>
        <w:t>carpet</w:t>
      </w:r>
      <w:r>
        <w:rPr>
          <w:spacing w:val="40"/>
          <w:sz w:val="24"/>
        </w:rPr>
        <w:t> </w:t>
      </w:r>
      <w:r>
        <w:rPr>
          <w:sz w:val="24"/>
        </w:rPr>
        <w:t>area</w:t>
      </w:r>
      <w:r>
        <w:rPr>
          <w:spacing w:val="40"/>
          <w:sz w:val="24"/>
        </w:rPr>
        <w:t> </w:t>
      </w:r>
      <w:r>
        <w:rPr>
          <w:sz w:val="24"/>
        </w:rPr>
        <w:t>occupied</w:t>
      </w:r>
      <w:r>
        <w:rPr>
          <w:spacing w:val="40"/>
          <w:sz w:val="24"/>
        </w:rPr>
        <w:t> </w:t>
      </w:r>
      <w:r>
        <w:rPr>
          <w:sz w:val="24"/>
        </w:rPr>
        <w:t>by</w:t>
      </w:r>
      <w:r>
        <w:rPr>
          <w:spacing w:val="40"/>
          <w:sz w:val="24"/>
        </w:rPr>
        <w:t> </w:t>
      </w:r>
      <w:r>
        <w:rPr>
          <w:sz w:val="24"/>
        </w:rPr>
        <w:t>him</w:t>
      </w:r>
      <w:r>
        <w:rPr>
          <w:spacing w:val="40"/>
          <w:sz w:val="24"/>
        </w:rPr>
        <w:t> </w:t>
      </w:r>
      <w:r>
        <w:rPr>
          <w:sz w:val="24"/>
        </w:rPr>
        <w:t>for</w:t>
      </w:r>
      <w:r>
        <w:rPr>
          <w:spacing w:val="40"/>
          <w:sz w:val="24"/>
        </w:rPr>
        <w:t> </w:t>
      </w:r>
      <w:r>
        <w:rPr>
          <w:sz w:val="24"/>
        </w:rPr>
        <w:t>residential</w:t>
      </w:r>
      <w:r>
        <w:rPr>
          <w:spacing w:val="40"/>
          <w:sz w:val="24"/>
        </w:rPr>
        <w:t> </w:t>
      </w:r>
      <w:r>
        <w:rPr>
          <w:sz w:val="24"/>
        </w:rPr>
        <w:t>purpose</w:t>
      </w:r>
      <w:r>
        <w:rPr>
          <w:spacing w:val="40"/>
          <w:sz w:val="24"/>
        </w:rPr>
        <w:t> </w:t>
      </w:r>
      <w:r>
        <w:rPr>
          <w:sz w:val="24"/>
        </w:rPr>
        <w:t>in</w:t>
      </w:r>
      <w:r>
        <w:rPr>
          <w:spacing w:val="40"/>
          <w:sz w:val="24"/>
        </w:rPr>
        <w:t> </w:t>
      </w:r>
      <w:r>
        <w:rPr>
          <w:sz w:val="24"/>
        </w:rPr>
        <w:t>the</w:t>
      </w:r>
      <w:r>
        <w:rPr>
          <w:spacing w:val="40"/>
          <w:sz w:val="24"/>
        </w:rPr>
        <w:t> </w:t>
      </w:r>
      <w:r>
        <w:rPr>
          <w:sz w:val="24"/>
        </w:rPr>
        <w:t>old</w:t>
      </w:r>
      <w:r>
        <w:rPr>
          <w:spacing w:val="40"/>
          <w:sz w:val="24"/>
        </w:rPr>
        <w:t> </w:t>
      </w:r>
      <w:r>
        <w:rPr>
          <w:sz w:val="24"/>
        </w:rPr>
        <w:t>building</w:t>
      </w:r>
      <w:r>
        <w:rPr>
          <w:spacing w:val="40"/>
          <w:sz w:val="24"/>
        </w:rPr>
        <w:t> </w:t>
      </w:r>
      <w:r>
        <w:rPr>
          <w:spacing w:val="9"/>
          <w:sz w:val="24"/>
        </w:rPr>
        <w:t>subject</w:t>
      </w:r>
    </w:p>
    <w:p>
      <w:pPr>
        <w:pStyle w:val="ListParagraph"/>
        <w:spacing w:after="0" w:line="240" w:lineRule="auto"/>
        <w:jc w:val="left"/>
        <w:rPr>
          <w:sz w:val="24"/>
        </w:rPr>
        <w:sectPr>
          <w:pgSz w:w="11910" w:h="16840"/>
          <w:pgMar w:header="1065" w:footer="1194" w:top="1500" w:bottom="1380" w:left="360" w:right="360"/>
        </w:sectPr>
      </w:pPr>
    </w:p>
    <w:p>
      <w:pPr>
        <w:pStyle w:val="BodyText"/>
        <w:spacing w:before="249"/>
        <w:ind w:left="2062" w:right="766"/>
      </w:pPr>
      <w:r>
        <w:rPr/>
        <w:t>to</w:t>
      </w:r>
      <w:r>
        <w:rPr>
          <w:spacing w:val="40"/>
        </w:rPr>
        <w:t> </w:t>
      </w:r>
      <w:r>
        <w:rPr/>
        <w:t>the</w:t>
      </w:r>
      <w:r>
        <w:rPr>
          <w:spacing w:val="40"/>
        </w:rPr>
        <w:t> </w:t>
      </w:r>
      <w:r>
        <w:rPr/>
        <w:t>minimum</w:t>
      </w:r>
      <w:r>
        <w:rPr>
          <w:spacing w:val="40"/>
        </w:rPr>
        <w:t> </w:t>
      </w:r>
      <w:r>
        <w:rPr/>
        <w:t>fixed</w:t>
      </w:r>
      <w:r>
        <w:rPr>
          <w:spacing w:val="40"/>
        </w:rPr>
        <w:t> </w:t>
      </w:r>
      <w:r>
        <w:rPr/>
        <w:t>carpet</w:t>
      </w:r>
      <w:r>
        <w:rPr>
          <w:spacing w:val="40"/>
        </w:rPr>
        <w:t> </w:t>
      </w:r>
      <w:r>
        <w:rPr/>
        <w:t>area</w:t>
      </w:r>
      <w:r>
        <w:rPr>
          <w:spacing w:val="40"/>
        </w:rPr>
        <w:t> </w:t>
      </w:r>
      <w:r>
        <w:rPr/>
        <w:t>of</w:t>
      </w:r>
      <w:r>
        <w:rPr>
          <w:spacing w:val="40"/>
        </w:rPr>
        <w:t> </w:t>
      </w:r>
      <w:r>
        <w:rPr>
          <w:spacing w:val="9"/>
        </w:rPr>
        <w:t>27.88</w:t>
      </w:r>
      <w:r>
        <w:rPr>
          <w:spacing w:val="40"/>
        </w:rPr>
        <w:t> </w:t>
      </w:r>
      <w:r>
        <w:rPr/>
        <w:t>sq.</w:t>
      </w:r>
      <w:r>
        <w:rPr>
          <w:spacing w:val="40"/>
        </w:rPr>
        <w:t> </w:t>
      </w:r>
      <w:r>
        <w:rPr/>
        <w:t>m</w:t>
      </w:r>
      <w:r>
        <w:rPr>
          <w:spacing w:val="40"/>
        </w:rPr>
        <w:t> </w:t>
      </w:r>
      <w:r>
        <w:rPr/>
        <w:t>(300</w:t>
      </w:r>
      <w:r>
        <w:rPr>
          <w:spacing w:val="40"/>
        </w:rPr>
        <w:t> </w:t>
      </w:r>
      <w:r>
        <w:rPr/>
        <w:t>sq.</w:t>
      </w:r>
      <w:r>
        <w:rPr>
          <w:spacing w:val="40"/>
        </w:rPr>
        <w:t> </w:t>
      </w:r>
      <w:r>
        <w:rPr/>
        <w:t>ft.) and/or maximum carpet area up</w:t>
      </w:r>
      <w:r>
        <w:rPr>
          <w:spacing w:val="40"/>
        </w:rPr>
        <w:t> </w:t>
      </w:r>
      <w:r>
        <w:rPr/>
        <w:t>to</w:t>
      </w:r>
      <w:r>
        <w:rPr>
          <w:spacing w:val="40"/>
        </w:rPr>
        <w:t> </w:t>
      </w:r>
      <w:r>
        <w:rPr/>
        <w:t>120 sq. m (1292sq. ft.) as provided</w:t>
      </w:r>
      <w:r>
        <w:rPr>
          <w:spacing w:val="40"/>
        </w:rPr>
        <w:t> </w:t>
      </w:r>
      <w:r>
        <w:rPr/>
        <w:t>in</w:t>
      </w:r>
      <w:r>
        <w:rPr>
          <w:spacing w:val="40"/>
        </w:rPr>
        <w:t> </w:t>
      </w:r>
      <w:r>
        <w:rPr/>
        <w:t>the</w:t>
      </w:r>
      <w:r>
        <w:rPr>
          <w:spacing w:val="40"/>
        </w:rPr>
        <w:t> </w:t>
      </w:r>
      <w:r>
        <w:rPr/>
        <w:t>MHAD</w:t>
      </w:r>
      <w:r>
        <w:rPr>
          <w:spacing w:val="40"/>
        </w:rPr>
        <w:t> </w:t>
      </w:r>
      <w:r>
        <w:rPr/>
        <w:t>Act,</w:t>
      </w:r>
      <w:r>
        <w:rPr>
          <w:spacing w:val="40"/>
        </w:rPr>
        <w:t> </w:t>
      </w:r>
      <w:r>
        <w:rPr/>
        <w:t>1976.</w:t>
      </w:r>
      <w:r>
        <w:rPr>
          <w:spacing w:val="40"/>
        </w:rPr>
        <w:t> </w:t>
      </w:r>
      <w:r>
        <w:rPr/>
        <w:t>In</w:t>
      </w:r>
      <w:r>
        <w:rPr>
          <w:spacing w:val="40"/>
        </w:rPr>
        <w:t> </w:t>
      </w:r>
      <w:r>
        <w:rPr/>
        <w:t>case</w:t>
      </w:r>
      <w:r>
        <w:rPr>
          <w:spacing w:val="40"/>
        </w:rPr>
        <w:t> </w:t>
      </w:r>
      <w:r>
        <w:rPr/>
        <w:t>of</w:t>
      </w:r>
      <w:r>
        <w:rPr>
          <w:spacing w:val="11"/>
        </w:rPr>
        <w:t> non-</w:t>
      </w:r>
      <w:r>
        <w:rPr>
          <w:spacing w:val="9"/>
        </w:rPr>
        <w:t>residential </w:t>
      </w:r>
      <w:r>
        <w:rPr/>
        <w:t>occupier, the area to be given in the reconstructed building will be equivalent to the area occupied in the old building. Provided that if carpet area for residential purpose exceeds 120 sq. m (1292sq. ft.) the cost</w:t>
      </w:r>
      <w:r>
        <w:rPr>
          <w:spacing w:val="-1"/>
        </w:rPr>
        <w:t> </w:t>
      </w:r>
      <w:r>
        <w:rPr/>
        <w:t>of</w:t>
      </w:r>
      <w:r>
        <w:rPr>
          <w:spacing w:val="-1"/>
        </w:rPr>
        <w:t> </w:t>
      </w:r>
      <w:r>
        <w:rPr/>
        <w:t>construction</w:t>
      </w:r>
      <w:r>
        <w:rPr>
          <w:spacing w:val="-3"/>
        </w:rPr>
        <w:t> </w:t>
      </w:r>
      <w:r>
        <w:rPr/>
        <w:t>for</w:t>
      </w:r>
      <w:r>
        <w:rPr>
          <w:spacing w:val="-1"/>
        </w:rPr>
        <w:t> </w:t>
      </w:r>
      <w:r>
        <w:rPr/>
        <w:t>the</w:t>
      </w:r>
      <w:r>
        <w:rPr>
          <w:spacing w:val="-1"/>
        </w:rPr>
        <w:t> </w:t>
      </w:r>
      <w:r>
        <w:rPr/>
        <w:t>area</w:t>
      </w:r>
      <w:r>
        <w:rPr>
          <w:spacing w:val="-1"/>
        </w:rPr>
        <w:t> </w:t>
      </w:r>
      <w:r>
        <w:rPr/>
        <w:t>over</w:t>
      </w:r>
      <w:r>
        <w:rPr>
          <w:spacing w:val="-4"/>
        </w:rPr>
        <w:t> </w:t>
      </w:r>
      <w:r>
        <w:rPr/>
        <w:t>and</w:t>
      </w:r>
      <w:r>
        <w:rPr>
          <w:spacing w:val="-4"/>
        </w:rPr>
        <w:t> </w:t>
      </w:r>
      <w:r>
        <w:rPr/>
        <w:t>above</w:t>
      </w:r>
      <w:r>
        <w:rPr>
          <w:spacing w:val="-1"/>
        </w:rPr>
        <w:t> </w:t>
      </w:r>
      <w:r>
        <w:rPr/>
        <w:t>120sq.</w:t>
      </w:r>
      <w:r>
        <w:rPr>
          <w:spacing w:val="-1"/>
        </w:rPr>
        <w:t> </w:t>
      </w:r>
      <w:r>
        <w:rPr/>
        <w:t>m</w:t>
      </w:r>
      <w:r>
        <w:rPr>
          <w:spacing w:val="-1"/>
        </w:rPr>
        <w:t> </w:t>
      </w:r>
      <w:r>
        <w:rPr/>
        <w:t>shall</w:t>
      </w:r>
      <w:r>
        <w:rPr>
          <w:spacing w:val="-1"/>
        </w:rPr>
        <w:t> </w:t>
      </w:r>
      <w:r>
        <w:rPr/>
        <w:t>be</w:t>
      </w:r>
      <w:r>
        <w:rPr>
          <w:spacing w:val="-1"/>
        </w:rPr>
        <w:t> </w:t>
      </w:r>
      <w:r>
        <w:rPr/>
        <w:t>paid by</w:t>
      </w:r>
      <w:r>
        <w:rPr>
          <w:spacing w:val="-3"/>
        </w:rPr>
        <w:t> </w:t>
      </w:r>
      <w:r>
        <w:rPr/>
        <w:t>tenant</w:t>
      </w:r>
      <w:r>
        <w:rPr>
          <w:spacing w:val="-3"/>
        </w:rPr>
        <w:t> </w:t>
      </w:r>
      <w:r>
        <w:rPr/>
        <w:t>/occupant</w:t>
      </w:r>
      <w:r>
        <w:rPr>
          <w:spacing w:val="-1"/>
        </w:rPr>
        <w:t> </w:t>
      </w:r>
      <w:r>
        <w:rPr/>
        <w:t>to</w:t>
      </w:r>
      <w:r>
        <w:rPr>
          <w:spacing w:val="-3"/>
        </w:rPr>
        <w:t> </w:t>
      </w:r>
      <w:r>
        <w:rPr/>
        <w:t>the</w:t>
      </w:r>
      <w:r>
        <w:rPr>
          <w:spacing w:val="-3"/>
        </w:rPr>
        <w:t> </w:t>
      </w:r>
      <w:r>
        <w:rPr/>
        <w:t>developer.</w:t>
      </w:r>
      <w:r>
        <w:rPr>
          <w:spacing w:val="-1"/>
        </w:rPr>
        <w:t> </w:t>
      </w:r>
      <w:r>
        <w:rPr/>
        <w:t>The</w:t>
      </w:r>
      <w:r>
        <w:rPr>
          <w:spacing w:val="-3"/>
        </w:rPr>
        <w:t> </w:t>
      </w:r>
      <w:r>
        <w:rPr/>
        <w:t>cost</w:t>
      </w:r>
      <w:r>
        <w:rPr>
          <w:spacing w:val="-3"/>
        </w:rPr>
        <w:t> </w:t>
      </w:r>
      <w:r>
        <w:rPr/>
        <w:t>of</w:t>
      </w:r>
      <w:r>
        <w:rPr>
          <w:spacing w:val="-3"/>
        </w:rPr>
        <w:t> </w:t>
      </w:r>
      <w:r>
        <w:rPr/>
        <w:t>construction</w:t>
      </w:r>
      <w:r>
        <w:rPr>
          <w:spacing w:val="-3"/>
        </w:rPr>
        <w:t> </w:t>
      </w:r>
      <w:r>
        <w:rPr/>
        <w:t>shall</w:t>
      </w:r>
      <w:r>
        <w:rPr>
          <w:spacing w:val="-3"/>
        </w:rPr>
        <w:t> </w:t>
      </w:r>
      <w:r>
        <w:rPr/>
        <w:t>be as per ASR of that year. However, the carpet area exceeding 120sq. m (1292sq. ft.) shall be considered for rehab FSI but shall not be considered for incentive FSI. Provided further that each eligible residential</w:t>
      </w:r>
      <w:r>
        <w:rPr>
          <w:spacing w:val="-3"/>
        </w:rPr>
        <w:t> </w:t>
      </w:r>
      <w:r>
        <w:rPr/>
        <w:t>cum</w:t>
      </w:r>
      <w:r>
        <w:rPr>
          <w:spacing w:val="-3"/>
        </w:rPr>
        <w:t> </w:t>
      </w:r>
      <w:r>
        <w:rPr/>
        <w:t>commercial</w:t>
      </w:r>
      <w:r>
        <w:rPr>
          <w:spacing w:val="-3"/>
        </w:rPr>
        <w:t> </w:t>
      </w:r>
      <w:r>
        <w:rPr/>
        <w:t>occupant</w:t>
      </w:r>
      <w:r>
        <w:rPr>
          <w:spacing w:val="-3"/>
        </w:rPr>
        <w:t> </w:t>
      </w:r>
      <w:r>
        <w:rPr/>
        <w:t>shall</w:t>
      </w:r>
      <w:r>
        <w:rPr>
          <w:spacing w:val="-3"/>
        </w:rPr>
        <w:t> </w:t>
      </w:r>
      <w:r>
        <w:rPr/>
        <w:t>be</w:t>
      </w:r>
      <w:r>
        <w:rPr>
          <w:spacing w:val="-3"/>
        </w:rPr>
        <w:t> </w:t>
      </w:r>
      <w:r>
        <w:rPr/>
        <w:t>entitled</w:t>
      </w:r>
      <w:r>
        <w:rPr>
          <w:spacing w:val="-3"/>
        </w:rPr>
        <w:t> </w:t>
      </w:r>
      <w:r>
        <w:rPr/>
        <w:t>to</w:t>
      </w:r>
      <w:r>
        <w:rPr>
          <w:spacing w:val="-3"/>
        </w:rPr>
        <w:t> </w:t>
      </w:r>
      <w:r>
        <w:rPr/>
        <w:t>a</w:t>
      </w:r>
      <w:r>
        <w:rPr>
          <w:spacing w:val="-3"/>
        </w:rPr>
        <w:t> </w:t>
      </w:r>
      <w:r>
        <w:rPr/>
        <w:t>tenement</w:t>
      </w:r>
      <w:r>
        <w:rPr>
          <w:spacing w:val="-3"/>
        </w:rPr>
        <w:t> </w:t>
      </w:r>
      <w:r>
        <w:rPr/>
        <w:t>of minimum carpet area of 27.88 sq. m (300 sq. ft.).</w:t>
      </w:r>
    </w:p>
    <w:p>
      <w:pPr>
        <w:pStyle w:val="BodyText"/>
        <w:spacing w:line="276" w:lineRule="auto" w:before="238"/>
        <w:ind w:left="2050" w:right="770" w:firstLine="720"/>
      </w:pPr>
      <w:r>
        <w:rPr/>
        <w:t>For</w:t>
      </w:r>
      <w:r>
        <w:rPr>
          <w:spacing w:val="-16"/>
        </w:rPr>
        <w:t> </w:t>
      </w:r>
      <w:r>
        <w:rPr/>
        <w:t>purpose</w:t>
      </w:r>
      <w:r>
        <w:rPr>
          <w:spacing w:val="-16"/>
        </w:rPr>
        <w:t> </w:t>
      </w:r>
      <w:r>
        <w:rPr/>
        <w:t>of</w:t>
      </w:r>
      <w:r>
        <w:rPr>
          <w:spacing w:val="-16"/>
        </w:rPr>
        <w:t> </w:t>
      </w:r>
      <w:r>
        <w:rPr/>
        <w:t>rehabilitation</w:t>
      </w:r>
      <w:r>
        <w:rPr>
          <w:spacing w:val="-15"/>
        </w:rPr>
        <w:t> </w:t>
      </w:r>
      <w:r>
        <w:rPr/>
        <w:t>existing</w:t>
      </w:r>
      <w:r>
        <w:rPr>
          <w:spacing w:val="-16"/>
        </w:rPr>
        <w:t> </w:t>
      </w:r>
      <w:r>
        <w:rPr/>
        <w:t>"Carpet</w:t>
      </w:r>
      <w:r>
        <w:rPr>
          <w:spacing w:val="-16"/>
        </w:rPr>
        <w:t> </w:t>
      </w:r>
      <w:r>
        <w:rPr/>
        <w:t>area"/rehabilitation “carpet area” means the net usable floor area within a tenement excluding that covered by the walls or any other areas specifically exempted from floor space index computation as per then/prevailing Regulation but including the areas of balcony if allowed free of FSI as per then Regulation.</w:t>
      </w:r>
    </w:p>
    <w:p>
      <w:pPr>
        <w:pStyle w:val="BodyText"/>
        <w:spacing w:before="243"/>
        <w:ind w:left="2062" w:right="769"/>
      </w:pPr>
      <w:r>
        <w:rPr/>
        <w:t>.The list of eligible occupants and area occupied by each of them of cessed and non-cessed building/structures (existing prior to 30.09.1969)</w:t>
      </w:r>
      <w:r>
        <w:rPr>
          <w:spacing w:val="40"/>
        </w:rPr>
        <w:t> </w:t>
      </w:r>
      <w:r>
        <w:rPr/>
        <w:t>shall be certified by the Mumbai Repairs and Reconstruction Board and the irrevocable written consent as specified in 1 (a) above shall be</w:t>
      </w:r>
      <w:r>
        <w:rPr>
          <w:spacing w:val="80"/>
          <w:w w:val="150"/>
        </w:rPr>
        <w:t> </w:t>
      </w:r>
      <w:r>
        <w:rPr/>
        <w:t>verified by the Board.</w:t>
      </w:r>
    </w:p>
    <w:p>
      <w:pPr>
        <w:pStyle w:val="ListParagraph"/>
        <w:numPr>
          <w:ilvl w:val="0"/>
          <w:numId w:val="148"/>
        </w:numPr>
        <w:tabs>
          <w:tab w:pos="2417" w:val="left" w:leader="none"/>
        </w:tabs>
        <w:spacing w:line="240" w:lineRule="auto" w:before="240" w:after="0"/>
        <w:ind w:left="2062" w:right="767" w:firstLine="0"/>
        <w:jc w:val="both"/>
        <w:rPr>
          <w:sz w:val="24"/>
        </w:rPr>
      </w:pPr>
      <w:r>
        <w:rPr>
          <w:sz w:val="24"/>
        </w:rPr>
        <w:t>Tenements in the reconstructed building shall be allotted by the landlord/occupants' co-operative housing society to the occupiers as per</w:t>
      </w:r>
      <w:r>
        <w:rPr>
          <w:spacing w:val="-3"/>
          <w:sz w:val="24"/>
        </w:rPr>
        <w:t> </w:t>
      </w:r>
      <w:r>
        <w:rPr>
          <w:sz w:val="24"/>
        </w:rPr>
        <w:t>the</w:t>
      </w:r>
      <w:r>
        <w:rPr>
          <w:spacing w:val="-3"/>
          <w:sz w:val="24"/>
        </w:rPr>
        <w:t> </w:t>
      </w:r>
      <w:r>
        <w:rPr>
          <w:sz w:val="24"/>
        </w:rPr>
        <w:t>list</w:t>
      </w:r>
      <w:r>
        <w:rPr>
          <w:spacing w:val="-3"/>
          <w:sz w:val="24"/>
        </w:rPr>
        <w:t> </w:t>
      </w:r>
      <w:r>
        <w:rPr>
          <w:sz w:val="24"/>
        </w:rPr>
        <w:t>certified by</w:t>
      </w:r>
      <w:r>
        <w:rPr>
          <w:spacing w:val="-3"/>
          <w:sz w:val="24"/>
        </w:rPr>
        <w:t> </w:t>
      </w:r>
      <w:r>
        <w:rPr>
          <w:sz w:val="24"/>
        </w:rPr>
        <w:t>the</w:t>
      </w:r>
      <w:r>
        <w:rPr>
          <w:spacing w:val="-3"/>
          <w:sz w:val="24"/>
        </w:rPr>
        <w:t> </w:t>
      </w:r>
      <w:r>
        <w:rPr>
          <w:sz w:val="24"/>
        </w:rPr>
        <w:t>Mumbai</w:t>
      </w:r>
      <w:r>
        <w:rPr>
          <w:spacing w:val="-3"/>
          <w:sz w:val="24"/>
        </w:rPr>
        <w:t> </w:t>
      </w:r>
      <w:r>
        <w:rPr>
          <w:sz w:val="24"/>
        </w:rPr>
        <w:t>Repairs</w:t>
      </w:r>
      <w:r>
        <w:rPr>
          <w:spacing w:val="-3"/>
          <w:sz w:val="24"/>
        </w:rPr>
        <w:t> </w:t>
      </w:r>
      <w:r>
        <w:rPr>
          <w:sz w:val="24"/>
        </w:rPr>
        <w:t>and</w:t>
      </w:r>
      <w:r>
        <w:rPr>
          <w:spacing w:val="-3"/>
          <w:sz w:val="24"/>
        </w:rPr>
        <w:t> </w:t>
      </w:r>
      <w:r>
        <w:rPr>
          <w:sz w:val="24"/>
        </w:rPr>
        <w:t>Reconstruction</w:t>
      </w:r>
      <w:r>
        <w:rPr>
          <w:spacing w:val="-3"/>
          <w:sz w:val="24"/>
        </w:rPr>
        <w:t> </w:t>
      </w:r>
      <w:r>
        <w:rPr>
          <w:sz w:val="24"/>
        </w:rPr>
        <w:t>Board. The prescribed percentage of the surplus</w:t>
      </w:r>
      <w:r>
        <w:rPr>
          <w:spacing w:val="-1"/>
          <w:sz w:val="24"/>
        </w:rPr>
        <w:t> </w:t>
      </w:r>
      <w:r>
        <w:rPr>
          <w:sz w:val="24"/>
        </w:rPr>
        <w:t>BUA as provided in the Table in the Third Schedule of the MHAD Act, 1976, shall be made available to the Mumbai Repairs and Reconstruction Board for accommodating the occupants in transit camps or cessed buildings which cannot be reconstructed, on payment of an amount as may be prescribed under MHAD Act, 1976.</w:t>
      </w:r>
    </w:p>
    <w:p>
      <w:pPr>
        <w:pStyle w:val="BodyText"/>
        <w:spacing w:before="242"/>
        <w:ind w:left="2062" w:right="766"/>
      </w:pPr>
      <w:r>
        <w:rPr/>
        <w:t>Further in case of reconstruction/redevelopment of the buildings of Corporation</w:t>
      </w:r>
      <w:r>
        <w:rPr>
          <w:spacing w:val="-20"/>
        </w:rPr>
        <w:t> </w:t>
      </w:r>
      <w:r>
        <w:rPr/>
        <w:t>existing</w:t>
      </w:r>
      <w:r>
        <w:rPr>
          <w:spacing w:val="-19"/>
        </w:rPr>
        <w:t> </w:t>
      </w:r>
      <w:r>
        <w:rPr/>
        <w:t>prior</w:t>
      </w:r>
      <w:r>
        <w:rPr>
          <w:spacing w:val="-19"/>
        </w:rPr>
        <w:t> </w:t>
      </w:r>
      <w:r>
        <w:rPr/>
        <w:t>to</w:t>
      </w:r>
      <w:r>
        <w:rPr>
          <w:spacing w:val="-19"/>
        </w:rPr>
        <w:t> </w:t>
      </w:r>
      <w:r>
        <w:rPr/>
        <w:t>30.09.1969</w:t>
      </w:r>
      <w:r>
        <w:rPr>
          <w:spacing w:val="-19"/>
        </w:rPr>
        <w:t> </w:t>
      </w:r>
      <w:r>
        <w:rPr/>
        <w:t>as</w:t>
      </w:r>
      <w:r>
        <w:rPr>
          <w:spacing w:val="-20"/>
        </w:rPr>
        <w:t> </w:t>
      </w:r>
      <w:r>
        <w:rPr/>
        <w:t>per</w:t>
      </w:r>
      <w:r>
        <w:rPr>
          <w:spacing w:val="-19"/>
        </w:rPr>
        <w:t> </w:t>
      </w:r>
      <w:r>
        <w:rPr/>
        <w:t>this</w:t>
      </w:r>
      <w:r>
        <w:rPr>
          <w:spacing w:val="-19"/>
        </w:rPr>
        <w:t> </w:t>
      </w:r>
      <w:r>
        <w:rPr/>
        <w:t>Regulation,</w:t>
      </w:r>
      <w:r>
        <w:rPr>
          <w:spacing w:val="-19"/>
        </w:rPr>
        <w:t> </w:t>
      </w:r>
      <w:r>
        <w:rPr/>
        <w:t>the</w:t>
      </w:r>
      <w:r>
        <w:rPr>
          <w:spacing w:val="-19"/>
        </w:rPr>
        <w:t> </w:t>
      </w:r>
      <w:r>
        <w:rPr/>
        <w:t>BUA beyond area required for re-accommodation of existing occupants and incentive thereon of such rehab area if any shall have to be shared between MCGM and Society of occupants in the ratio of 1(MCGM): 0.5(Society of occupants) or compensation for MCGM share shall be paid to MCGM, as per policy of Municipal corporation.</w:t>
      </w:r>
    </w:p>
    <w:p>
      <w:pPr>
        <w:pStyle w:val="BodyText"/>
        <w:spacing w:before="239"/>
        <w:ind w:left="2062" w:right="769"/>
      </w:pPr>
      <w:r>
        <w:rPr/>
        <w:t>Fungible Compensatory Area as applicable on the surplus area to be handed</w:t>
      </w:r>
      <w:r>
        <w:rPr>
          <w:spacing w:val="22"/>
        </w:rPr>
        <w:t> </w:t>
      </w:r>
      <w:r>
        <w:rPr/>
        <w:t>over</w:t>
      </w:r>
      <w:r>
        <w:rPr>
          <w:spacing w:val="22"/>
        </w:rPr>
        <w:t> </w:t>
      </w:r>
      <w:r>
        <w:rPr/>
        <w:t>to</w:t>
      </w:r>
      <w:r>
        <w:rPr>
          <w:spacing w:val="22"/>
        </w:rPr>
        <w:t> </w:t>
      </w:r>
      <w:r>
        <w:rPr/>
        <w:t>MHADA/MCGM</w:t>
      </w:r>
      <w:r>
        <w:rPr>
          <w:spacing w:val="24"/>
        </w:rPr>
        <w:t> </w:t>
      </w:r>
      <w:r>
        <w:rPr/>
        <w:t>shall</w:t>
      </w:r>
      <w:r>
        <w:rPr>
          <w:spacing w:val="22"/>
        </w:rPr>
        <w:t> </w:t>
      </w:r>
      <w:r>
        <w:rPr/>
        <w:t>not</w:t>
      </w:r>
      <w:r>
        <w:rPr>
          <w:spacing w:val="22"/>
        </w:rPr>
        <w:t> </w:t>
      </w:r>
      <w:r>
        <w:rPr/>
        <w:t>be</w:t>
      </w:r>
      <w:r>
        <w:rPr>
          <w:spacing w:val="22"/>
        </w:rPr>
        <w:t> </w:t>
      </w:r>
      <w:r>
        <w:rPr/>
        <w:t>allowed</w:t>
      </w:r>
      <w:r>
        <w:rPr>
          <w:spacing w:val="23"/>
        </w:rPr>
        <w:t> </w:t>
      </w:r>
      <w:r>
        <w:rPr/>
        <w:t>to</w:t>
      </w:r>
      <w:r>
        <w:rPr>
          <w:spacing w:val="24"/>
        </w:rPr>
        <w:t> </w:t>
      </w:r>
      <w:r>
        <w:rPr/>
        <w:t>be</w:t>
      </w:r>
      <w:r>
        <w:rPr>
          <w:spacing w:val="25"/>
        </w:rPr>
        <w:t> </w:t>
      </w:r>
      <w:r>
        <w:rPr/>
        <w:t>utilized</w:t>
      </w:r>
      <w:r>
        <w:rPr>
          <w:spacing w:val="23"/>
        </w:rPr>
        <w:t> </w:t>
      </w:r>
      <w:r>
        <w:rPr>
          <w:spacing w:val="-5"/>
        </w:rPr>
        <w:t>on</w:t>
      </w:r>
    </w:p>
    <w:p>
      <w:pPr>
        <w:pStyle w:val="BodyText"/>
        <w:spacing w:before="123"/>
        <w:jc w:val="left"/>
        <w:rPr>
          <w:sz w:val="14"/>
        </w:rPr>
      </w:pPr>
    </w:p>
    <w:p>
      <w:pPr>
        <w:spacing w:before="0"/>
        <w:ind w:left="0" w:right="483" w:firstLine="0"/>
        <w:jc w:val="right"/>
        <w:rPr>
          <w:rFonts w:ascii="Arial"/>
          <w:b/>
          <w:i/>
          <w:sz w:val="14"/>
        </w:rPr>
      </w:pPr>
      <w:r>
        <w:rPr>
          <w:rFonts w:ascii="Arial"/>
          <w:b/>
          <w:i/>
          <w:sz w:val="14"/>
        </w:rPr>
        <mc:AlternateContent>
          <mc:Choice Requires="wps">
            <w:drawing>
              <wp:anchor distT="0" distB="0" distL="0" distR="0" allowOverlap="1" layoutInCell="1" locked="0" behindDoc="1" simplePos="0" relativeHeight="471349760">
                <wp:simplePos x="0" y="0"/>
                <wp:positionH relativeFrom="page">
                  <wp:posOffset>1080516</wp:posOffset>
                </wp:positionH>
                <wp:positionV relativeFrom="paragraph">
                  <wp:posOffset>27387</wp:posOffset>
                </wp:positionV>
                <wp:extent cx="2514600" cy="197485"/>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rect style="position:absolute;margin-left:85.080002pt;margin-top:2.156484pt;width:198pt;height:15.55pt;mso-position-horizontal-relative:page;mso-position-vertical-relative:paragraph;z-index:-31966720" id="docshape209" filled="false" stroked="true" strokeweight="1pt" strokecolor="#666666">
                <v:stroke dashstyle="solid"/>
                <w10:wrap type="none"/>
              </v:rect>
            </w:pict>
          </mc:Fallback>
        </mc:AlternateContent>
      </w:r>
      <w:r>
        <w:rPr>
          <w:rFonts w:ascii="Arial"/>
          <w:b/>
          <w:i/>
          <w:sz w:val="14"/>
        </w:rPr>
        <w:t>Development</w:t>
      </w:r>
      <w:r>
        <w:rPr>
          <w:rFonts w:ascii="Arial"/>
          <w:b/>
          <w:i/>
          <w:spacing w:val="-8"/>
          <w:sz w:val="14"/>
        </w:rPr>
        <w:t> </w:t>
      </w:r>
      <w:r>
        <w:rPr>
          <w:rFonts w:ascii="Arial"/>
          <w:b/>
          <w:i/>
          <w:sz w:val="14"/>
        </w:rPr>
        <w:t>Plan</w:t>
      </w:r>
      <w:r>
        <w:rPr>
          <w:rFonts w:ascii="Arial"/>
          <w:b/>
          <w:i/>
          <w:spacing w:val="-9"/>
          <w:sz w:val="14"/>
        </w:rPr>
        <w:t> </w:t>
      </w:r>
      <w:r>
        <w:rPr>
          <w:rFonts w:ascii="Arial"/>
          <w:b/>
          <w:i/>
          <w:spacing w:val="-4"/>
          <w:sz w:val="14"/>
        </w:rPr>
        <w:t>2034</w:t>
      </w:r>
    </w:p>
    <w:p>
      <w:pPr>
        <w:spacing w:after="0"/>
        <w:jc w:val="right"/>
        <w:rPr>
          <w:rFonts w:ascii="Arial"/>
          <w:b/>
          <w:i/>
          <w:sz w:val="14"/>
        </w:rPr>
        <w:sectPr>
          <w:headerReference w:type="default" r:id="rId35"/>
          <w:footerReference w:type="default" r:id="rId36"/>
          <w:pgSz w:w="11910" w:h="16840"/>
          <w:pgMar w:header="1065" w:footer="1066" w:top="1500" w:bottom="1260" w:left="360" w:right="360"/>
        </w:sectPr>
      </w:pPr>
    </w:p>
    <w:p>
      <w:pPr>
        <w:pStyle w:val="BodyText"/>
        <w:spacing w:before="249"/>
        <w:ind w:left="2062" w:right="769"/>
      </w:pPr>
      <w:r>
        <w:rPr/>
        <w:t>sale component. No premium shall be charged on the fungible compensatory area in respect of area to be handed over to MHADA/MCGM</w:t>
      </w:r>
      <w:r>
        <w:rPr>
          <w:spacing w:val="-10"/>
        </w:rPr>
        <w:t> </w:t>
      </w:r>
      <w:r>
        <w:rPr/>
        <w:t>and</w:t>
      </w:r>
      <w:r>
        <w:rPr>
          <w:spacing w:val="-11"/>
        </w:rPr>
        <w:t> </w:t>
      </w:r>
      <w:r>
        <w:rPr/>
        <w:t>surplus</w:t>
      </w:r>
      <w:r>
        <w:rPr>
          <w:spacing w:val="-11"/>
        </w:rPr>
        <w:t> </w:t>
      </w:r>
      <w:r>
        <w:rPr/>
        <w:t>area</w:t>
      </w:r>
      <w:r>
        <w:rPr>
          <w:spacing w:val="-11"/>
        </w:rPr>
        <w:t> </w:t>
      </w:r>
      <w:r>
        <w:rPr/>
        <w:t>to</w:t>
      </w:r>
      <w:r>
        <w:rPr>
          <w:spacing w:val="-10"/>
        </w:rPr>
        <w:t> </w:t>
      </w:r>
      <w:r>
        <w:rPr/>
        <w:t>be</w:t>
      </w:r>
      <w:r>
        <w:rPr>
          <w:spacing w:val="-11"/>
        </w:rPr>
        <w:t> </w:t>
      </w:r>
      <w:r>
        <w:rPr/>
        <w:t>handed</w:t>
      </w:r>
      <w:r>
        <w:rPr>
          <w:spacing w:val="-11"/>
        </w:rPr>
        <w:t> </w:t>
      </w:r>
      <w:r>
        <w:rPr/>
        <w:t>over</w:t>
      </w:r>
      <w:r>
        <w:rPr>
          <w:spacing w:val="-11"/>
        </w:rPr>
        <w:t> </w:t>
      </w:r>
      <w:r>
        <w:rPr/>
        <w:t>to</w:t>
      </w:r>
      <w:r>
        <w:rPr>
          <w:spacing w:val="-11"/>
        </w:rPr>
        <w:t> </w:t>
      </w:r>
      <w:r>
        <w:rPr/>
        <w:t>MHADA/MCGM shall be exclusive of the Fungible compensatory BUA if availed.</w:t>
      </w:r>
    </w:p>
    <w:p>
      <w:pPr>
        <w:pStyle w:val="BodyText"/>
        <w:spacing w:before="241"/>
        <w:ind w:left="2062" w:right="768"/>
      </w:pPr>
      <w:r>
        <w:rPr/>
        <w:t>Provided</w:t>
      </w:r>
      <w:r>
        <w:rPr>
          <w:spacing w:val="-17"/>
        </w:rPr>
        <w:t> </w:t>
      </w:r>
      <w:r>
        <w:rPr/>
        <w:t>that</w:t>
      </w:r>
      <w:r>
        <w:rPr>
          <w:spacing w:val="-17"/>
        </w:rPr>
        <w:t> </w:t>
      </w:r>
      <w:r>
        <w:rPr/>
        <w:t>the</w:t>
      </w:r>
      <w:r>
        <w:rPr>
          <w:spacing w:val="-17"/>
        </w:rPr>
        <w:t> </w:t>
      </w:r>
      <w:r>
        <w:rPr/>
        <w:t>area</w:t>
      </w:r>
      <w:r>
        <w:rPr>
          <w:spacing w:val="-17"/>
        </w:rPr>
        <w:t> </w:t>
      </w:r>
      <w:r>
        <w:rPr/>
        <w:t>equivalent</w:t>
      </w:r>
      <w:r>
        <w:rPr>
          <w:spacing w:val="-17"/>
        </w:rPr>
        <w:t> </w:t>
      </w:r>
      <w:r>
        <w:rPr/>
        <w:t>to</w:t>
      </w:r>
      <w:r>
        <w:rPr>
          <w:spacing w:val="-17"/>
        </w:rPr>
        <w:t> </w:t>
      </w:r>
      <w:r>
        <w:rPr/>
        <w:t>the</w:t>
      </w:r>
      <w:r>
        <w:rPr>
          <w:spacing w:val="-17"/>
        </w:rPr>
        <w:t> </w:t>
      </w:r>
      <w:r>
        <w:rPr/>
        <w:t>market</w:t>
      </w:r>
      <w:r>
        <w:rPr>
          <w:spacing w:val="-17"/>
        </w:rPr>
        <w:t> </w:t>
      </w:r>
      <w:r>
        <w:rPr/>
        <w:t>value</w:t>
      </w:r>
      <w:r>
        <w:rPr>
          <w:spacing w:val="-17"/>
        </w:rPr>
        <w:t> </w:t>
      </w:r>
      <w:r>
        <w:rPr/>
        <w:t>(as</w:t>
      </w:r>
      <w:r>
        <w:rPr>
          <w:spacing w:val="-17"/>
        </w:rPr>
        <w:t> </w:t>
      </w:r>
      <w:r>
        <w:rPr/>
        <w:t>per</w:t>
      </w:r>
      <w:r>
        <w:rPr>
          <w:spacing w:val="-17"/>
        </w:rPr>
        <w:t> </w:t>
      </w:r>
      <w:r>
        <w:rPr/>
        <w:t>ASR</w:t>
      </w:r>
      <w:r>
        <w:rPr>
          <w:spacing w:val="-17"/>
        </w:rPr>
        <w:t> </w:t>
      </w:r>
      <w:r>
        <w:rPr/>
        <w:t>of</w:t>
      </w:r>
      <w:r>
        <w:rPr>
          <w:spacing w:val="-17"/>
        </w:rPr>
        <w:t> </w:t>
      </w:r>
      <w:r>
        <w:rPr/>
        <w:t>that year) of area admissible as per the prescribed percentage of BUA to MHADA can be made available within the same or adjoining municipal ward of MCGM.</w:t>
      </w:r>
    </w:p>
    <w:p>
      <w:pPr>
        <w:pStyle w:val="ListParagraph"/>
        <w:numPr>
          <w:ilvl w:val="0"/>
          <w:numId w:val="148"/>
        </w:numPr>
        <w:tabs>
          <w:tab w:pos="2781" w:val="left" w:leader="none"/>
        </w:tabs>
        <w:spacing w:line="240" w:lineRule="auto" w:before="241" w:after="0"/>
        <w:ind w:left="2062" w:right="769" w:firstLine="0"/>
        <w:jc w:val="both"/>
        <w:rPr>
          <w:sz w:val="24"/>
        </w:rPr>
      </w:pPr>
      <w:r>
        <w:rPr>
          <w:sz w:val="24"/>
        </w:rPr>
        <w:t>The FSI for rehabilitation of existing tenants/occupiers in a reconstructed building and incentive FSI that will be available shall be as under:</w:t>
      </w:r>
    </w:p>
    <w:p>
      <w:pPr>
        <w:pStyle w:val="ListParagraph"/>
        <w:numPr>
          <w:ilvl w:val="1"/>
          <w:numId w:val="148"/>
        </w:numPr>
        <w:tabs>
          <w:tab w:pos="2469" w:val="left" w:leader="none"/>
        </w:tabs>
        <w:spacing w:line="240" w:lineRule="auto" w:before="241" w:after="0"/>
        <w:ind w:left="2062" w:right="768" w:firstLine="0"/>
        <w:jc w:val="both"/>
        <w:rPr>
          <w:sz w:val="24"/>
        </w:rPr>
      </w:pPr>
      <w:r>
        <w:rPr>
          <w:sz w:val="24"/>
        </w:rPr>
        <w:t>In the case of redevelopment of cessed building existing prior to 30/9/1969</w:t>
      </w:r>
      <w:r>
        <w:rPr>
          <w:spacing w:val="-19"/>
          <w:sz w:val="24"/>
        </w:rPr>
        <w:t> </w:t>
      </w:r>
      <w:r>
        <w:rPr>
          <w:sz w:val="24"/>
        </w:rPr>
        <w:t>undertaken</w:t>
      </w:r>
      <w:r>
        <w:rPr>
          <w:spacing w:val="-19"/>
          <w:sz w:val="24"/>
        </w:rPr>
        <w:t> </w:t>
      </w:r>
      <w:r>
        <w:rPr>
          <w:sz w:val="24"/>
        </w:rPr>
        <w:t>by</w:t>
      </w:r>
      <w:r>
        <w:rPr>
          <w:spacing w:val="-18"/>
          <w:sz w:val="24"/>
        </w:rPr>
        <w:t> </w:t>
      </w:r>
      <w:r>
        <w:rPr>
          <w:sz w:val="24"/>
        </w:rPr>
        <w:t>landlord</w:t>
      </w:r>
      <w:r>
        <w:rPr>
          <w:spacing w:val="-19"/>
          <w:sz w:val="24"/>
        </w:rPr>
        <w:t> </w:t>
      </w:r>
      <w:r>
        <w:rPr>
          <w:sz w:val="24"/>
        </w:rPr>
        <w:t>or</w:t>
      </w:r>
      <w:r>
        <w:rPr>
          <w:spacing w:val="-19"/>
          <w:sz w:val="24"/>
        </w:rPr>
        <w:t> </w:t>
      </w:r>
      <w:r>
        <w:rPr>
          <w:sz w:val="24"/>
        </w:rPr>
        <w:t>Co-operative</w:t>
      </w:r>
      <w:r>
        <w:rPr>
          <w:spacing w:val="-19"/>
          <w:sz w:val="24"/>
        </w:rPr>
        <w:t> </w:t>
      </w:r>
      <w:r>
        <w:rPr>
          <w:sz w:val="24"/>
        </w:rPr>
        <w:t>societies</w:t>
      </w:r>
      <w:r>
        <w:rPr>
          <w:spacing w:val="-16"/>
          <w:sz w:val="24"/>
        </w:rPr>
        <w:t> </w:t>
      </w:r>
      <w:r>
        <w:rPr>
          <w:sz w:val="24"/>
        </w:rPr>
        <w:t>of</w:t>
      </w:r>
      <w:r>
        <w:rPr>
          <w:spacing w:val="-19"/>
          <w:sz w:val="24"/>
        </w:rPr>
        <w:t> </w:t>
      </w:r>
      <w:r>
        <w:rPr>
          <w:sz w:val="24"/>
        </w:rPr>
        <w:t>landlord and</w:t>
      </w:r>
      <w:r>
        <w:rPr>
          <w:spacing w:val="-20"/>
          <w:sz w:val="24"/>
        </w:rPr>
        <w:t> </w:t>
      </w:r>
      <w:r>
        <w:rPr>
          <w:sz w:val="24"/>
        </w:rPr>
        <w:t>Co-operative</w:t>
      </w:r>
      <w:r>
        <w:rPr>
          <w:spacing w:val="-19"/>
          <w:sz w:val="24"/>
        </w:rPr>
        <w:t> </w:t>
      </w:r>
      <w:r>
        <w:rPr>
          <w:sz w:val="24"/>
        </w:rPr>
        <w:t>Housing</w:t>
      </w:r>
      <w:r>
        <w:rPr>
          <w:spacing w:val="-19"/>
          <w:sz w:val="24"/>
        </w:rPr>
        <w:t> </w:t>
      </w:r>
      <w:r>
        <w:rPr>
          <w:sz w:val="24"/>
        </w:rPr>
        <w:t>Societies</w:t>
      </w:r>
      <w:r>
        <w:rPr>
          <w:spacing w:val="32"/>
          <w:sz w:val="24"/>
        </w:rPr>
        <w:t> </w:t>
      </w:r>
      <w:r>
        <w:rPr>
          <w:sz w:val="24"/>
        </w:rPr>
        <w:t>of</w:t>
      </w:r>
      <w:r>
        <w:rPr>
          <w:spacing w:val="37"/>
          <w:sz w:val="24"/>
        </w:rPr>
        <w:t> </w:t>
      </w:r>
      <w:r>
        <w:rPr>
          <w:sz w:val="24"/>
        </w:rPr>
        <w:t>landlord/occupiers,</w:t>
      </w:r>
      <w:r>
        <w:rPr>
          <w:spacing w:val="-20"/>
          <w:sz w:val="24"/>
        </w:rPr>
        <w:t> </w:t>
      </w:r>
      <w:r>
        <w:rPr>
          <w:sz w:val="24"/>
        </w:rPr>
        <w:t>the</w:t>
      </w:r>
      <w:r>
        <w:rPr>
          <w:spacing w:val="-19"/>
          <w:sz w:val="24"/>
        </w:rPr>
        <w:t> </w:t>
      </w:r>
      <w:r>
        <w:rPr>
          <w:sz w:val="24"/>
        </w:rPr>
        <w:t>total</w:t>
      </w:r>
      <w:r>
        <w:rPr>
          <w:spacing w:val="-19"/>
          <w:sz w:val="24"/>
        </w:rPr>
        <w:t> </w:t>
      </w:r>
      <w:r>
        <w:rPr>
          <w:sz w:val="24"/>
        </w:rPr>
        <w:t>FSI shall</w:t>
      </w:r>
      <w:r>
        <w:rPr>
          <w:spacing w:val="-8"/>
          <w:sz w:val="24"/>
        </w:rPr>
        <w:t> </w:t>
      </w:r>
      <w:r>
        <w:rPr>
          <w:sz w:val="24"/>
        </w:rPr>
        <w:t>be</w:t>
      </w:r>
      <w:r>
        <w:rPr>
          <w:spacing w:val="-8"/>
          <w:sz w:val="24"/>
        </w:rPr>
        <w:t> </w:t>
      </w:r>
      <w:r>
        <w:rPr>
          <w:sz w:val="24"/>
        </w:rPr>
        <w:t>3.00</w:t>
      </w:r>
      <w:r>
        <w:rPr>
          <w:spacing w:val="-8"/>
          <w:sz w:val="24"/>
        </w:rPr>
        <w:t> </w:t>
      </w:r>
      <w:r>
        <w:rPr>
          <w:sz w:val="24"/>
        </w:rPr>
        <w:t>of</w:t>
      </w:r>
      <w:r>
        <w:rPr>
          <w:spacing w:val="-8"/>
          <w:sz w:val="24"/>
        </w:rPr>
        <w:t> </w:t>
      </w:r>
      <w:r>
        <w:rPr>
          <w:sz w:val="24"/>
        </w:rPr>
        <w:t>the</w:t>
      </w:r>
      <w:r>
        <w:rPr>
          <w:spacing w:val="-8"/>
          <w:sz w:val="24"/>
        </w:rPr>
        <w:t> </w:t>
      </w:r>
      <w:r>
        <w:rPr>
          <w:sz w:val="24"/>
        </w:rPr>
        <w:t>gross</w:t>
      </w:r>
      <w:r>
        <w:rPr>
          <w:spacing w:val="-8"/>
          <w:sz w:val="24"/>
        </w:rPr>
        <w:t> </w:t>
      </w:r>
      <w:r>
        <w:rPr>
          <w:sz w:val="24"/>
        </w:rPr>
        <w:t>plot</w:t>
      </w:r>
      <w:r>
        <w:rPr>
          <w:spacing w:val="-8"/>
          <w:sz w:val="24"/>
        </w:rPr>
        <w:t> </w:t>
      </w:r>
      <w:r>
        <w:rPr>
          <w:sz w:val="24"/>
        </w:rPr>
        <w:t>area</w:t>
      </w:r>
      <w:r>
        <w:rPr>
          <w:spacing w:val="-8"/>
          <w:sz w:val="24"/>
        </w:rPr>
        <w:t> </w:t>
      </w:r>
      <w:r>
        <w:rPr>
          <w:sz w:val="24"/>
        </w:rPr>
        <w:t>or</w:t>
      </w:r>
      <w:r>
        <w:rPr>
          <w:spacing w:val="-8"/>
          <w:sz w:val="24"/>
        </w:rPr>
        <w:t> </w:t>
      </w:r>
      <w:r>
        <w:rPr>
          <w:sz w:val="24"/>
        </w:rPr>
        <w:t>the</w:t>
      </w:r>
      <w:r>
        <w:rPr>
          <w:spacing w:val="-6"/>
          <w:sz w:val="24"/>
        </w:rPr>
        <w:t> </w:t>
      </w:r>
      <w:r>
        <w:rPr>
          <w:sz w:val="24"/>
        </w:rPr>
        <w:t>FSI</w:t>
      </w:r>
      <w:r>
        <w:rPr>
          <w:spacing w:val="-6"/>
          <w:sz w:val="24"/>
        </w:rPr>
        <w:t> </w:t>
      </w:r>
      <w:r>
        <w:rPr>
          <w:sz w:val="24"/>
        </w:rPr>
        <w:t>required</w:t>
      </w:r>
      <w:r>
        <w:rPr>
          <w:spacing w:val="-8"/>
          <w:sz w:val="24"/>
        </w:rPr>
        <w:t> </w:t>
      </w:r>
      <w:r>
        <w:rPr>
          <w:sz w:val="24"/>
        </w:rPr>
        <w:t>for</w:t>
      </w:r>
      <w:r>
        <w:rPr>
          <w:spacing w:val="-8"/>
          <w:sz w:val="24"/>
        </w:rPr>
        <w:t> </w:t>
      </w:r>
      <w:r>
        <w:rPr>
          <w:sz w:val="24"/>
        </w:rPr>
        <w:t>rehabilitation of</w:t>
      </w:r>
      <w:r>
        <w:rPr>
          <w:spacing w:val="-3"/>
          <w:sz w:val="24"/>
        </w:rPr>
        <w:t> </w:t>
      </w:r>
      <w:r>
        <w:rPr>
          <w:sz w:val="24"/>
        </w:rPr>
        <w:t>existing</w:t>
      </w:r>
      <w:r>
        <w:rPr>
          <w:spacing w:val="-3"/>
          <w:sz w:val="24"/>
        </w:rPr>
        <w:t> </w:t>
      </w:r>
      <w:r>
        <w:rPr>
          <w:sz w:val="24"/>
        </w:rPr>
        <w:t>occupiers</w:t>
      </w:r>
      <w:r>
        <w:rPr>
          <w:spacing w:val="-1"/>
          <w:sz w:val="24"/>
        </w:rPr>
        <w:t> </w:t>
      </w:r>
      <w:r>
        <w:rPr>
          <w:sz w:val="24"/>
        </w:rPr>
        <w:t>plus</w:t>
      </w:r>
      <w:r>
        <w:rPr>
          <w:spacing w:val="-3"/>
          <w:sz w:val="24"/>
        </w:rPr>
        <w:t> </w:t>
      </w:r>
      <w:r>
        <w:rPr>
          <w:sz w:val="24"/>
        </w:rPr>
        <w:t>50%</w:t>
      </w:r>
      <w:r>
        <w:rPr>
          <w:spacing w:val="-3"/>
          <w:sz w:val="24"/>
        </w:rPr>
        <w:t> </w:t>
      </w:r>
      <w:r>
        <w:rPr>
          <w:sz w:val="24"/>
        </w:rPr>
        <w:t>incentive FSI</w:t>
      </w:r>
      <w:r>
        <w:rPr>
          <w:spacing w:val="-1"/>
          <w:sz w:val="24"/>
        </w:rPr>
        <w:t> </w:t>
      </w:r>
      <w:r>
        <w:rPr>
          <w:sz w:val="24"/>
        </w:rPr>
        <w:t>whichever</w:t>
      </w:r>
      <w:r>
        <w:rPr>
          <w:spacing w:val="-3"/>
          <w:sz w:val="24"/>
        </w:rPr>
        <w:t> </w:t>
      </w:r>
      <w:r>
        <w:rPr>
          <w:sz w:val="24"/>
        </w:rPr>
        <w:t>is</w:t>
      </w:r>
      <w:r>
        <w:rPr>
          <w:spacing w:val="-3"/>
          <w:sz w:val="24"/>
        </w:rPr>
        <w:t> </w:t>
      </w:r>
      <w:r>
        <w:rPr>
          <w:sz w:val="24"/>
        </w:rPr>
        <w:t>more</w:t>
      </w:r>
      <w:r>
        <w:rPr>
          <w:spacing w:val="-1"/>
          <w:sz w:val="24"/>
        </w:rPr>
        <w:t> </w:t>
      </w:r>
      <w:r>
        <w:rPr>
          <w:sz w:val="24"/>
        </w:rPr>
        <w:t>and</w:t>
      </w:r>
      <w:r>
        <w:rPr>
          <w:spacing w:val="-3"/>
          <w:sz w:val="24"/>
        </w:rPr>
        <w:t> </w:t>
      </w:r>
      <w:r>
        <w:rPr>
          <w:sz w:val="24"/>
        </w:rPr>
        <w:t>the occupier shall be eligible for 5% additional rehab Carpet Area as per serial no 2 subject to maximum limit.</w:t>
      </w:r>
    </w:p>
    <w:p>
      <w:pPr>
        <w:pStyle w:val="ListParagraph"/>
        <w:numPr>
          <w:ilvl w:val="1"/>
          <w:numId w:val="148"/>
        </w:numPr>
        <w:tabs>
          <w:tab w:pos="2438" w:val="left" w:leader="none"/>
        </w:tabs>
        <w:spacing w:line="240" w:lineRule="auto" w:before="238" w:after="0"/>
        <w:ind w:left="2062" w:right="766" w:firstLine="0"/>
        <w:jc w:val="both"/>
        <w:rPr>
          <w:sz w:val="24"/>
        </w:rPr>
      </w:pPr>
      <w:r>
        <w:rPr>
          <w:sz w:val="24"/>
        </w:rPr>
        <w:t>In case of composite redevelopment undertaken by</w:t>
      </w:r>
      <w:r>
        <w:rPr>
          <w:spacing w:val="40"/>
          <w:sz w:val="24"/>
        </w:rPr>
        <w:t> </w:t>
      </w:r>
      <w:r>
        <w:rPr>
          <w:sz w:val="24"/>
        </w:rPr>
        <w:t>landlord or Co- operative societies of landlords</w:t>
      </w:r>
      <w:r>
        <w:rPr>
          <w:spacing w:val="40"/>
          <w:sz w:val="24"/>
        </w:rPr>
        <w:t> </w:t>
      </w:r>
      <w:r>
        <w:rPr>
          <w:sz w:val="24"/>
        </w:rPr>
        <w:t>and Co-operative Housing Societies</w:t>
      </w:r>
      <w:r>
        <w:rPr>
          <w:spacing w:val="40"/>
          <w:sz w:val="24"/>
        </w:rPr>
        <w:t> </w:t>
      </w:r>
      <w:r>
        <w:rPr>
          <w:sz w:val="24"/>
        </w:rPr>
        <w:t>of landlord/occupiers jointly of 2 or more</w:t>
      </w:r>
      <w:r>
        <w:rPr>
          <w:spacing w:val="-1"/>
          <w:sz w:val="24"/>
        </w:rPr>
        <w:t> </w:t>
      </w:r>
      <w:r>
        <w:rPr>
          <w:sz w:val="24"/>
        </w:rPr>
        <w:t>plots but not more than 5 plots with cessed buildings existing prior to 30/9/1969, the FSI permissible will be 3.00 or FSI required for rehabilitation to exiting occupiers plus 60%incentive FSI, whichever is more and the occupier shall be eligible for</w:t>
      </w:r>
      <w:r>
        <w:rPr>
          <w:spacing w:val="-1"/>
          <w:sz w:val="24"/>
        </w:rPr>
        <w:t> </w:t>
      </w:r>
      <w:r>
        <w:rPr>
          <w:sz w:val="24"/>
        </w:rPr>
        <w:t>8%</w:t>
      </w:r>
      <w:r>
        <w:rPr>
          <w:spacing w:val="-1"/>
          <w:sz w:val="24"/>
        </w:rPr>
        <w:t> </w:t>
      </w:r>
      <w:r>
        <w:rPr>
          <w:sz w:val="24"/>
        </w:rPr>
        <w:t>additional</w:t>
      </w:r>
      <w:r>
        <w:rPr>
          <w:spacing w:val="-1"/>
          <w:sz w:val="24"/>
        </w:rPr>
        <w:t> </w:t>
      </w:r>
      <w:r>
        <w:rPr>
          <w:sz w:val="24"/>
        </w:rPr>
        <w:t>rehab</w:t>
      </w:r>
      <w:r>
        <w:rPr>
          <w:spacing w:val="-1"/>
          <w:sz w:val="24"/>
        </w:rPr>
        <w:t> </w:t>
      </w:r>
      <w:r>
        <w:rPr>
          <w:sz w:val="24"/>
        </w:rPr>
        <w:t>Carpet</w:t>
      </w:r>
      <w:r>
        <w:rPr>
          <w:spacing w:val="-1"/>
          <w:sz w:val="24"/>
        </w:rPr>
        <w:t> </w:t>
      </w:r>
      <w:r>
        <w:rPr>
          <w:sz w:val="24"/>
        </w:rPr>
        <w:t>Area</w:t>
      </w:r>
      <w:r>
        <w:rPr>
          <w:spacing w:val="-1"/>
          <w:sz w:val="24"/>
        </w:rPr>
        <w:t> </w:t>
      </w:r>
      <w:r>
        <w:rPr>
          <w:sz w:val="24"/>
        </w:rPr>
        <w:t>as</w:t>
      </w:r>
      <w:r>
        <w:rPr>
          <w:spacing w:val="-1"/>
          <w:sz w:val="24"/>
        </w:rPr>
        <w:t> </w:t>
      </w:r>
      <w:r>
        <w:rPr>
          <w:sz w:val="24"/>
        </w:rPr>
        <w:t>per</w:t>
      </w:r>
      <w:r>
        <w:rPr>
          <w:spacing w:val="-1"/>
          <w:sz w:val="24"/>
        </w:rPr>
        <w:t> </w:t>
      </w:r>
      <w:r>
        <w:rPr>
          <w:sz w:val="24"/>
        </w:rPr>
        <w:t>serial</w:t>
      </w:r>
      <w:r>
        <w:rPr>
          <w:spacing w:val="-1"/>
          <w:sz w:val="24"/>
        </w:rPr>
        <w:t> </w:t>
      </w:r>
      <w:r>
        <w:rPr>
          <w:sz w:val="24"/>
        </w:rPr>
        <w:t>no 2 above</w:t>
      </w:r>
      <w:r>
        <w:rPr>
          <w:spacing w:val="-1"/>
          <w:sz w:val="24"/>
        </w:rPr>
        <w:t> </w:t>
      </w:r>
      <w:r>
        <w:rPr>
          <w:sz w:val="24"/>
        </w:rPr>
        <w:t>subject</w:t>
      </w:r>
      <w:r>
        <w:rPr>
          <w:spacing w:val="-1"/>
          <w:sz w:val="24"/>
        </w:rPr>
        <w:t> </w:t>
      </w:r>
      <w:r>
        <w:rPr>
          <w:sz w:val="24"/>
        </w:rPr>
        <w:t>to maximum limit.</w:t>
      </w:r>
    </w:p>
    <w:p>
      <w:pPr>
        <w:pStyle w:val="BodyText"/>
        <w:spacing w:before="240"/>
        <w:ind w:left="2062" w:right="767"/>
      </w:pPr>
      <w:r>
        <w:rPr/>
        <w:t>Provided further, that if the number of plots jointly undertaken for redevelopment</w:t>
      </w:r>
      <w:r>
        <w:rPr>
          <w:spacing w:val="40"/>
        </w:rPr>
        <w:t> </w:t>
      </w:r>
      <w:r>
        <w:rPr/>
        <w:t>of six or more with cessed buildings existing prior to 30/9/1969 or</w:t>
      </w:r>
      <w:r>
        <w:rPr>
          <w:spacing w:val="40"/>
        </w:rPr>
        <w:t> </w:t>
      </w:r>
      <w:r>
        <w:rPr/>
        <w:t>in case of redevelopment of municipal properties under this regulation having eligible tenements density more than 650/ ha,, FSI available</w:t>
      </w:r>
      <w:r>
        <w:rPr>
          <w:spacing w:val="-1"/>
        </w:rPr>
        <w:t> </w:t>
      </w:r>
      <w:r>
        <w:rPr/>
        <w:t>will</w:t>
      </w:r>
      <w:r>
        <w:rPr>
          <w:spacing w:val="-1"/>
        </w:rPr>
        <w:t> </w:t>
      </w:r>
      <w:r>
        <w:rPr/>
        <w:t>be</w:t>
      </w:r>
      <w:r>
        <w:rPr>
          <w:spacing w:val="-1"/>
        </w:rPr>
        <w:t> </w:t>
      </w:r>
      <w:r>
        <w:rPr/>
        <w:t>3.00</w:t>
      </w:r>
      <w:r>
        <w:rPr>
          <w:spacing w:val="-1"/>
        </w:rPr>
        <w:t> </w:t>
      </w:r>
      <w:r>
        <w:rPr/>
        <w:t>or</w:t>
      </w:r>
      <w:r>
        <w:rPr>
          <w:spacing w:val="-1"/>
        </w:rPr>
        <w:t> </w:t>
      </w:r>
      <w:r>
        <w:rPr/>
        <w:t>FSI required</w:t>
      </w:r>
      <w:r>
        <w:rPr>
          <w:spacing w:val="-1"/>
        </w:rPr>
        <w:t> </w:t>
      </w:r>
      <w:r>
        <w:rPr/>
        <w:t>of</w:t>
      </w:r>
      <w:r>
        <w:rPr>
          <w:spacing w:val="-1"/>
        </w:rPr>
        <w:t> </w:t>
      </w:r>
      <w:r>
        <w:rPr/>
        <w:t>rehabilitation</w:t>
      </w:r>
      <w:r>
        <w:rPr>
          <w:spacing w:val="-1"/>
        </w:rPr>
        <w:t> </w:t>
      </w:r>
      <w:r>
        <w:rPr/>
        <w:t>for occupiers plus 70% incentive FSI whichever is more and the occupier shall be eligible for 15% additional rehab Carpet Area as per serial no 2) above subject to maximum limit.</w:t>
      </w:r>
    </w:p>
    <w:p>
      <w:pPr>
        <w:pStyle w:val="BodyText"/>
        <w:spacing w:before="243"/>
        <w:ind w:left="2062" w:right="769"/>
      </w:pPr>
      <w:r>
        <w:rPr/>
        <w:t>Provided further that, the above provision 5(b) shall also be applicable to municipal plots under redevelopment under this Regulation having different residential societies on different plots.</w:t>
      </w:r>
    </w:p>
    <w:p>
      <w:pPr>
        <w:pStyle w:val="BodyText"/>
        <w:spacing w:before="240"/>
        <w:ind w:left="2062" w:right="768"/>
      </w:pPr>
      <w:r>
        <w:rPr/>
        <w:t>Note-</w:t>
      </w:r>
      <w:r>
        <w:rPr>
          <w:spacing w:val="-2"/>
        </w:rPr>
        <w:t> </w:t>
      </w:r>
      <w:r>
        <w:rPr/>
        <w:t>Notwithstanding</w:t>
      </w:r>
      <w:r>
        <w:rPr>
          <w:spacing w:val="-2"/>
        </w:rPr>
        <w:t> </w:t>
      </w:r>
      <w:r>
        <w:rPr/>
        <w:t>anything</w:t>
      </w:r>
      <w:r>
        <w:rPr>
          <w:spacing w:val="-2"/>
        </w:rPr>
        <w:t> </w:t>
      </w:r>
      <w:r>
        <w:rPr/>
        <w:t>contained</w:t>
      </w:r>
      <w:r>
        <w:rPr>
          <w:spacing w:val="-2"/>
        </w:rPr>
        <w:t> </w:t>
      </w:r>
      <w:r>
        <w:rPr/>
        <w:t>in</w:t>
      </w:r>
      <w:r>
        <w:rPr>
          <w:spacing w:val="-2"/>
        </w:rPr>
        <w:t> </w:t>
      </w:r>
      <w:r>
        <w:rPr/>
        <w:t>this</w:t>
      </w:r>
      <w:r>
        <w:rPr>
          <w:spacing w:val="-2"/>
        </w:rPr>
        <w:t> </w:t>
      </w:r>
      <w:r>
        <w:rPr/>
        <w:t>regulation,</w:t>
      </w:r>
      <w:r>
        <w:rPr>
          <w:spacing w:val="-5"/>
        </w:rPr>
        <w:t> </w:t>
      </w:r>
      <w:r>
        <w:rPr/>
        <w:t>in</w:t>
      </w:r>
      <w:r>
        <w:rPr>
          <w:spacing w:val="-2"/>
        </w:rPr>
        <w:t> </w:t>
      </w:r>
      <w:r>
        <w:rPr/>
        <w:t>case</w:t>
      </w:r>
      <w:r>
        <w:rPr>
          <w:spacing w:val="-2"/>
        </w:rPr>
        <w:t> </w:t>
      </w:r>
      <w:r>
        <w:rPr/>
        <w:t>of redevelopment scheme where permissible FSI is 3.0, then the permissible</w:t>
      </w:r>
      <w:r>
        <w:rPr>
          <w:spacing w:val="-14"/>
        </w:rPr>
        <w:t> </w:t>
      </w:r>
      <w:r>
        <w:rPr/>
        <w:t>FSI</w:t>
      </w:r>
      <w:r>
        <w:rPr>
          <w:spacing w:val="-14"/>
        </w:rPr>
        <w:t> </w:t>
      </w:r>
      <w:r>
        <w:rPr/>
        <w:t>shall</w:t>
      </w:r>
      <w:r>
        <w:rPr>
          <w:spacing w:val="-16"/>
        </w:rPr>
        <w:t> </w:t>
      </w:r>
      <w:r>
        <w:rPr/>
        <w:t>be</w:t>
      </w:r>
      <w:r>
        <w:rPr>
          <w:spacing w:val="-14"/>
        </w:rPr>
        <w:t> </w:t>
      </w:r>
      <w:r>
        <w:rPr/>
        <w:t>allowed</w:t>
      </w:r>
      <w:r>
        <w:rPr>
          <w:spacing w:val="-14"/>
        </w:rPr>
        <w:t> </w:t>
      </w:r>
      <w:r>
        <w:rPr/>
        <w:t>to</w:t>
      </w:r>
      <w:r>
        <w:rPr>
          <w:spacing w:val="-16"/>
        </w:rPr>
        <w:t> </w:t>
      </w:r>
      <w:r>
        <w:rPr/>
        <w:t>be</w:t>
      </w:r>
      <w:r>
        <w:rPr>
          <w:spacing w:val="-14"/>
        </w:rPr>
        <w:t> </w:t>
      </w:r>
      <w:r>
        <w:rPr/>
        <w:t>exceeded</w:t>
      </w:r>
      <w:r>
        <w:rPr>
          <w:spacing w:val="-14"/>
        </w:rPr>
        <w:t> </w:t>
      </w:r>
      <w:r>
        <w:rPr/>
        <w:t>by</w:t>
      </w:r>
      <w:r>
        <w:rPr>
          <w:spacing w:val="-14"/>
        </w:rPr>
        <w:t> </w:t>
      </w:r>
      <w:r>
        <w:rPr/>
        <w:t>BUA</w:t>
      </w:r>
      <w:r>
        <w:rPr>
          <w:spacing w:val="-14"/>
        </w:rPr>
        <w:t> </w:t>
      </w:r>
      <w:r>
        <w:rPr/>
        <w:t>required</w:t>
      </w:r>
      <w:r>
        <w:rPr>
          <w:spacing w:val="-14"/>
        </w:rPr>
        <w:t> </w:t>
      </w:r>
      <w:r>
        <w:rPr/>
        <w:t>for</w:t>
      </w:r>
      <w:r>
        <w:rPr>
          <w:spacing w:val="-14"/>
        </w:rPr>
        <w:t> </w:t>
      </w:r>
      <w:r>
        <w:rPr/>
        <w:t>5%, 8%,</w:t>
      </w:r>
      <w:r>
        <w:rPr>
          <w:spacing w:val="25"/>
        </w:rPr>
        <w:t> </w:t>
      </w:r>
      <w:r>
        <w:rPr/>
        <w:t>15%</w:t>
      </w:r>
      <w:r>
        <w:rPr>
          <w:spacing w:val="27"/>
        </w:rPr>
        <w:t> </w:t>
      </w:r>
      <w:r>
        <w:rPr/>
        <w:t>additional</w:t>
      </w:r>
      <w:r>
        <w:rPr>
          <w:spacing w:val="30"/>
        </w:rPr>
        <w:t> </w:t>
      </w:r>
      <w:r>
        <w:rPr/>
        <w:t>rehab</w:t>
      </w:r>
      <w:r>
        <w:rPr>
          <w:spacing w:val="27"/>
        </w:rPr>
        <w:t> </w:t>
      </w:r>
      <w:r>
        <w:rPr/>
        <w:t>carpet</w:t>
      </w:r>
      <w:r>
        <w:rPr>
          <w:spacing w:val="28"/>
        </w:rPr>
        <w:t> </w:t>
      </w:r>
      <w:r>
        <w:rPr/>
        <w:t>area</w:t>
      </w:r>
      <w:r>
        <w:rPr>
          <w:spacing w:val="27"/>
        </w:rPr>
        <w:t> </w:t>
      </w:r>
      <w:r>
        <w:rPr/>
        <w:t>provided</w:t>
      </w:r>
      <w:r>
        <w:rPr>
          <w:spacing w:val="27"/>
        </w:rPr>
        <w:t> </w:t>
      </w:r>
      <w:r>
        <w:rPr/>
        <w:t>as</w:t>
      </w:r>
      <w:r>
        <w:rPr>
          <w:spacing w:val="28"/>
        </w:rPr>
        <w:t> </w:t>
      </w:r>
      <w:r>
        <w:rPr/>
        <w:t>per</w:t>
      </w:r>
      <w:r>
        <w:rPr>
          <w:spacing w:val="27"/>
        </w:rPr>
        <w:t> </w:t>
      </w:r>
      <w:r>
        <w:rPr/>
        <w:t>clause</w:t>
      </w:r>
      <w:r>
        <w:rPr>
          <w:spacing w:val="27"/>
        </w:rPr>
        <w:t> </w:t>
      </w:r>
      <w:r>
        <w:rPr/>
        <w:t>a)</w:t>
      </w:r>
      <w:r>
        <w:rPr>
          <w:spacing w:val="27"/>
        </w:rPr>
        <w:t> </w:t>
      </w:r>
      <w:r>
        <w:rPr/>
        <w:t>&amp;</w:t>
      </w:r>
      <w:r>
        <w:rPr>
          <w:spacing w:val="28"/>
        </w:rPr>
        <w:t> </w:t>
      </w:r>
      <w:r>
        <w:rPr>
          <w:spacing w:val="-5"/>
        </w:rPr>
        <w:t>b)</w:t>
      </w:r>
    </w:p>
    <w:p>
      <w:pPr>
        <w:pStyle w:val="BodyText"/>
        <w:spacing w:after="0"/>
        <w:sectPr>
          <w:headerReference w:type="default" r:id="rId37"/>
          <w:footerReference w:type="default" r:id="rId38"/>
          <w:pgSz w:w="11910" w:h="16840"/>
          <w:pgMar w:header="1065" w:footer="1194" w:top="1500" w:bottom="1380" w:left="360" w:right="360"/>
        </w:sectPr>
      </w:pPr>
    </w:p>
    <w:p>
      <w:pPr>
        <w:pStyle w:val="BodyText"/>
        <w:spacing w:before="249"/>
        <w:ind w:left="2062" w:right="766"/>
      </w:pPr>
      <w:r>
        <w:rPr/>
        <w:t>above, as the case may be.(c), Provided further that reconstruction/redevelopment undertaken by proposed Cooperative Housing Society of</w:t>
      </w:r>
      <w:r>
        <w:rPr>
          <w:spacing w:val="40"/>
        </w:rPr>
        <w:t> </w:t>
      </w:r>
      <w:r>
        <w:rPr/>
        <w:t>occupiers of buildings existing prior to 30/9/1969 in Island City, which were earlier cessed building</w:t>
      </w:r>
      <w:r>
        <w:rPr>
          <w:spacing w:val="40"/>
        </w:rPr>
        <w:t> </w:t>
      </w:r>
      <w:r>
        <w:rPr/>
        <w:t>and were attracting the provisions of MHAD Act, 1976 but thereafter due to purchase/acquisition of the same by Cooperative Housing Society of Occupiers,</w:t>
      </w:r>
      <w:r>
        <w:rPr>
          <w:spacing w:val="-11"/>
        </w:rPr>
        <w:t> </w:t>
      </w:r>
      <w:r>
        <w:rPr/>
        <w:t>such</w:t>
      </w:r>
      <w:r>
        <w:rPr>
          <w:spacing w:val="-11"/>
        </w:rPr>
        <w:t> </w:t>
      </w:r>
      <w:r>
        <w:rPr/>
        <w:t>buildings</w:t>
      </w:r>
      <w:r>
        <w:rPr>
          <w:spacing w:val="-11"/>
        </w:rPr>
        <w:t> </w:t>
      </w:r>
      <w:r>
        <w:rPr/>
        <w:t>are</w:t>
      </w:r>
      <w:r>
        <w:rPr>
          <w:spacing w:val="-11"/>
        </w:rPr>
        <w:t> </w:t>
      </w:r>
      <w:r>
        <w:rPr/>
        <w:t>exempted</w:t>
      </w:r>
      <w:r>
        <w:rPr>
          <w:spacing w:val="-11"/>
        </w:rPr>
        <w:t> </w:t>
      </w:r>
      <w:r>
        <w:rPr/>
        <w:t>from</w:t>
      </w:r>
      <w:r>
        <w:rPr>
          <w:spacing w:val="-11"/>
        </w:rPr>
        <w:t> </w:t>
      </w:r>
      <w:r>
        <w:rPr/>
        <w:t>payment</w:t>
      </w:r>
      <w:r>
        <w:rPr>
          <w:spacing w:val="-11"/>
        </w:rPr>
        <w:t> </w:t>
      </w:r>
      <w:r>
        <w:rPr/>
        <w:t>of</w:t>
      </w:r>
      <w:r>
        <w:rPr>
          <w:spacing w:val="-11"/>
        </w:rPr>
        <w:t> </w:t>
      </w:r>
      <w:r>
        <w:rPr/>
        <w:t>cess,</w:t>
      </w:r>
      <w:r>
        <w:rPr>
          <w:spacing w:val="-9"/>
        </w:rPr>
        <w:t> </w:t>
      </w:r>
      <w:r>
        <w:rPr/>
        <w:t>the</w:t>
      </w:r>
      <w:r>
        <w:rPr>
          <w:spacing w:val="-11"/>
        </w:rPr>
        <w:t> </w:t>
      </w:r>
      <w:r>
        <w:rPr/>
        <w:t>total FSI shall be 2.5 of the gross plot area or the FSI required for rehabilitation</w:t>
      </w:r>
      <w:r>
        <w:rPr>
          <w:spacing w:val="-4"/>
        </w:rPr>
        <w:t> </w:t>
      </w:r>
      <w:r>
        <w:rPr/>
        <w:t>of</w:t>
      </w:r>
      <w:r>
        <w:rPr>
          <w:spacing w:val="-4"/>
        </w:rPr>
        <w:t> </w:t>
      </w:r>
      <w:r>
        <w:rPr/>
        <w:t>existing</w:t>
      </w:r>
      <w:r>
        <w:rPr>
          <w:spacing w:val="-4"/>
        </w:rPr>
        <w:t> </w:t>
      </w:r>
      <w:r>
        <w:rPr/>
        <w:t>occupiers</w:t>
      </w:r>
      <w:r>
        <w:rPr>
          <w:spacing w:val="-4"/>
        </w:rPr>
        <w:t> </w:t>
      </w:r>
      <w:r>
        <w:rPr/>
        <w:t>plus</w:t>
      </w:r>
      <w:r>
        <w:rPr>
          <w:spacing w:val="-7"/>
        </w:rPr>
        <w:t> </w:t>
      </w:r>
      <w:r>
        <w:rPr/>
        <w:t>50%</w:t>
      </w:r>
      <w:r>
        <w:rPr>
          <w:spacing w:val="-4"/>
        </w:rPr>
        <w:t> </w:t>
      </w:r>
      <w:r>
        <w:rPr/>
        <w:t>incentive</w:t>
      </w:r>
      <w:r>
        <w:rPr>
          <w:spacing w:val="-4"/>
        </w:rPr>
        <w:t> </w:t>
      </w:r>
      <w:r>
        <w:rPr/>
        <w:t>FSI</w:t>
      </w:r>
      <w:r>
        <w:rPr>
          <w:spacing w:val="-4"/>
        </w:rPr>
        <w:t> </w:t>
      </w:r>
      <w:r>
        <w:rPr/>
        <w:t>whichever</w:t>
      </w:r>
      <w:r>
        <w:rPr>
          <w:spacing w:val="-4"/>
        </w:rPr>
        <w:t> </w:t>
      </w:r>
      <w:r>
        <w:rPr/>
        <w:t>is </w:t>
      </w:r>
      <w:r>
        <w:rPr>
          <w:spacing w:val="-2"/>
        </w:rPr>
        <w:t>more.</w:t>
      </w:r>
    </w:p>
    <w:p>
      <w:pPr>
        <w:pStyle w:val="ListParagraph"/>
        <w:numPr>
          <w:ilvl w:val="0"/>
          <w:numId w:val="148"/>
        </w:numPr>
        <w:tabs>
          <w:tab w:pos="2356" w:val="left" w:leader="none"/>
        </w:tabs>
        <w:spacing w:line="240" w:lineRule="auto" w:before="240" w:after="0"/>
        <w:ind w:left="2062" w:right="771" w:firstLine="0"/>
        <w:jc w:val="both"/>
        <w:rPr>
          <w:sz w:val="24"/>
        </w:rPr>
      </w:pPr>
      <w:r>
        <w:rPr>
          <w:sz w:val="24"/>
        </w:rPr>
        <w:t>The</w:t>
      </w:r>
      <w:r>
        <w:rPr>
          <w:spacing w:val="-11"/>
          <w:sz w:val="24"/>
        </w:rPr>
        <w:t> </w:t>
      </w:r>
      <w:r>
        <w:rPr>
          <w:sz w:val="24"/>
        </w:rPr>
        <w:t>entire</w:t>
      </w:r>
      <w:r>
        <w:rPr>
          <w:spacing w:val="-11"/>
          <w:sz w:val="24"/>
        </w:rPr>
        <w:t> </w:t>
      </w:r>
      <w:r>
        <w:rPr>
          <w:sz w:val="24"/>
        </w:rPr>
        <w:t>FSI</w:t>
      </w:r>
      <w:r>
        <w:rPr>
          <w:spacing w:val="-8"/>
          <w:sz w:val="24"/>
        </w:rPr>
        <w:t> </w:t>
      </w:r>
      <w:r>
        <w:rPr>
          <w:sz w:val="24"/>
        </w:rPr>
        <w:t>available</w:t>
      </w:r>
      <w:r>
        <w:rPr>
          <w:spacing w:val="-11"/>
          <w:sz w:val="24"/>
        </w:rPr>
        <w:t> </w:t>
      </w:r>
      <w:r>
        <w:rPr>
          <w:sz w:val="24"/>
        </w:rPr>
        <w:t>under</w:t>
      </w:r>
      <w:r>
        <w:rPr>
          <w:spacing w:val="-11"/>
          <w:sz w:val="24"/>
        </w:rPr>
        <w:t> </w:t>
      </w:r>
      <w:r>
        <w:rPr>
          <w:sz w:val="24"/>
        </w:rPr>
        <w:t>clause</w:t>
      </w:r>
      <w:r>
        <w:rPr>
          <w:spacing w:val="-11"/>
          <w:sz w:val="24"/>
        </w:rPr>
        <w:t> </w:t>
      </w:r>
      <w:r>
        <w:rPr>
          <w:sz w:val="24"/>
        </w:rPr>
        <w:t>5</w:t>
      </w:r>
      <w:r>
        <w:rPr>
          <w:spacing w:val="-11"/>
          <w:sz w:val="24"/>
        </w:rPr>
        <w:t> </w:t>
      </w:r>
      <w:r>
        <w:rPr>
          <w:sz w:val="24"/>
        </w:rPr>
        <w:t>shall</w:t>
      </w:r>
      <w:r>
        <w:rPr>
          <w:spacing w:val="-11"/>
          <w:sz w:val="24"/>
        </w:rPr>
        <w:t> </w:t>
      </w:r>
      <w:r>
        <w:rPr>
          <w:sz w:val="24"/>
        </w:rPr>
        <w:t>be</w:t>
      </w:r>
      <w:r>
        <w:rPr>
          <w:spacing w:val="-10"/>
          <w:sz w:val="24"/>
        </w:rPr>
        <w:t> </w:t>
      </w:r>
      <w:r>
        <w:rPr>
          <w:sz w:val="24"/>
        </w:rPr>
        <w:t>allowed</w:t>
      </w:r>
      <w:r>
        <w:rPr>
          <w:spacing w:val="-11"/>
          <w:sz w:val="24"/>
        </w:rPr>
        <w:t> </w:t>
      </w:r>
      <w:r>
        <w:rPr>
          <w:sz w:val="24"/>
        </w:rPr>
        <w:t>to</w:t>
      </w:r>
      <w:r>
        <w:rPr>
          <w:spacing w:val="-11"/>
          <w:sz w:val="24"/>
        </w:rPr>
        <w:t> </w:t>
      </w:r>
      <w:r>
        <w:rPr>
          <w:sz w:val="24"/>
        </w:rPr>
        <w:t>be</w:t>
      </w:r>
      <w:r>
        <w:rPr>
          <w:spacing w:val="-11"/>
          <w:sz w:val="24"/>
        </w:rPr>
        <w:t> </w:t>
      </w:r>
      <w:r>
        <w:rPr>
          <w:sz w:val="24"/>
        </w:rPr>
        <w:t>utilised on plot/plots under redevelopment scheme. However, if the owner/society so desire, they can avail the incentive FSI on the same plot or can avail the benefit of TDRs to be used in accordance with the Regulations no. 32.</w:t>
      </w:r>
    </w:p>
    <w:p>
      <w:pPr>
        <w:pStyle w:val="ListParagraph"/>
        <w:numPr>
          <w:ilvl w:val="0"/>
          <w:numId w:val="148"/>
        </w:numPr>
        <w:tabs>
          <w:tab w:pos="3501" w:val="left" w:leader="none"/>
        </w:tabs>
        <w:spacing w:line="240" w:lineRule="auto" w:before="241" w:after="0"/>
        <w:ind w:left="2062" w:right="766" w:firstLine="691"/>
        <w:jc w:val="both"/>
        <w:rPr>
          <w:sz w:val="24"/>
        </w:rPr>
      </w:pPr>
      <w:r>
        <w:rPr>
          <w:sz w:val="24"/>
        </w:rPr>
        <w:t>Construction or reconstruction of old cessed building falling under reservation/zones contemplated in the DP shall be permitted as specified in Regulation No.17(3)(B).</w:t>
      </w:r>
    </w:p>
    <w:p>
      <w:pPr>
        <w:pStyle w:val="BodyText"/>
        <w:spacing w:before="240"/>
        <w:ind w:left="2062" w:right="766"/>
      </w:pPr>
      <w:r>
        <w:rPr/>
        <w:t>Contravening</w:t>
      </w:r>
      <w:r>
        <w:rPr>
          <w:spacing w:val="-12"/>
        </w:rPr>
        <w:t> </w:t>
      </w:r>
      <w:r>
        <w:rPr/>
        <w:t>structures</w:t>
      </w:r>
      <w:r>
        <w:rPr>
          <w:spacing w:val="-12"/>
        </w:rPr>
        <w:t> </w:t>
      </w:r>
      <w:r>
        <w:rPr/>
        <w:t>in</w:t>
      </w:r>
      <w:r>
        <w:rPr>
          <w:spacing w:val="-12"/>
        </w:rPr>
        <w:t> </w:t>
      </w:r>
      <w:r>
        <w:rPr/>
        <w:t>TP</w:t>
      </w:r>
      <w:r>
        <w:rPr>
          <w:spacing w:val="-12"/>
        </w:rPr>
        <w:t> </w:t>
      </w:r>
      <w:r>
        <w:rPr/>
        <w:t>Scheme</w:t>
      </w:r>
      <w:r>
        <w:rPr>
          <w:spacing w:val="-12"/>
        </w:rPr>
        <w:t> </w:t>
      </w:r>
      <w:r>
        <w:rPr/>
        <w:t>and</w:t>
      </w:r>
      <w:r>
        <w:rPr>
          <w:spacing w:val="-12"/>
        </w:rPr>
        <w:t> </w:t>
      </w:r>
      <w:r>
        <w:rPr/>
        <w:t>structures</w:t>
      </w:r>
      <w:r>
        <w:rPr>
          <w:spacing w:val="-12"/>
        </w:rPr>
        <w:t> </w:t>
      </w:r>
      <w:r>
        <w:rPr/>
        <w:t>on</w:t>
      </w:r>
      <w:r>
        <w:rPr>
          <w:spacing w:val="-12"/>
        </w:rPr>
        <w:t> </w:t>
      </w:r>
      <w:r>
        <w:rPr/>
        <w:t>the</w:t>
      </w:r>
      <w:r>
        <w:rPr>
          <w:spacing w:val="-14"/>
        </w:rPr>
        <w:t> </w:t>
      </w:r>
      <w:r>
        <w:rPr/>
        <w:t>road</w:t>
      </w:r>
      <w:r>
        <w:rPr>
          <w:spacing w:val="-10"/>
        </w:rPr>
        <w:t> </w:t>
      </w:r>
      <w:r>
        <w:rPr/>
        <w:t>shall also</w:t>
      </w:r>
      <w:r>
        <w:rPr>
          <w:spacing w:val="-1"/>
        </w:rPr>
        <w:t> </w:t>
      </w:r>
      <w:r>
        <w:rPr/>
        <w:t>be</w:t>
      </w:r>
      <w:r>
        <w:rPr>
          <w:spacing w:val="-1"/>
        </w:rPr>
        <w:t> </w:t>
      </w:r>
      <w:r>
        <w:rPr/>
        <w:t>included</w:t>
      </w:r>
      <w:r>
        <w:rPr>
          <w:spacing w:val="-1"/>
        </w:rPr>
        <w:t> </w:t>
      </w:r>
      <w:r>
        <w:rPr/>
        <w:t>in</w:t>
      </w:r>
      <w:r>
        <w:rPr>
          <w:spacing w:val="-1"/>
        </w:rPr>
        <w:t> </w:t>
      </w:r>
      <w:r>
        <w:rPr/>
        <w:t>the</w:t>
      </w:r>
      <w:r>
        <w:rPr>
          <w:spacing w:val="-1"/>
        </w:rPr>
        <w:t> </w:t>
      </w:r>
      <w:r>
        <w:rPr/>
        <w:t>redevelopment</w:t>
      </w:r>
      <w:r>
        <w:rPr>
          <w:spacing w:val="-1"/>
        </w:rPr>
        <w:t> </w:t>
      </w:r>
      <w:r>
        <w:rPr/>
        <w:t>scheme.</w:t>
      </w:r>
      <w:r>
        <w:rPr>
          <w:spacing w:val="-1"/>
        </w:rPr>
        <w:t> </w:t>
      </w:r>
      <w:r>
        <w:rPr/>
        <w:t>FSI for</w:t>
      </w:r>
      <w:r>
        <w:rPr>
          <w:spacing w:val="-1"/>
        </w:rPr>
        <w:t> </w:t>
      </w:r>
      <w:r>
        <w:rPr/>
        <w:t>the</w:t>
      </w:r>
      <w:r>
        <w:rPr>
          <w:spacing w:val="-4"/>
        </w:rPr>
        <w:t> </w:t>
      </w:r>
      <w:r>
        <w:rPr/>
        <w:t>same</w:t>
      </w:r>
      <w:r>
        <w:rPr>
          <w:spacing w:val="-1"/>
        </w:rPr>
        <w:t> </w:t>
      </w:r>
      <w:r>
        <w:rPr/>
        <w:t>will</w:t>
      </w:r>
      <w:r>
        <w:rPr>
          <w:spacing w:val="-1"/>
        </w:rPr>
        <w:t> </w:t>
      </w:r>
      <w:r>
        <w:rPr/>
        <w:t>be as under DCR33(12) or as provided in these Regulations whichever is </w:t>
      </w:r>
      <w:r>
        <w:rPr>
          <w:spacing w:val="-2"/>
        </w:rPr>
        <w:t>more.</w:t>
      </w:r>
    </w:p>
    <w:p>
      <w:pPr>
        <w:pStyle w:val="ListParagraph"/>
        <w:numPr>
          <w:ilvl w:val="0"/>
          <w:numId w:val="148"/>
        </w:numPr>
        <w:tabs>
          <w:tab w:pos="2424" w:val="left" w:leader="none"/>
        </w:tabs>
        <w:spacing w:line="240" w:lineRule="auto" w:before="241" w:after="0"/>
        <w:ind w:left="2062" w:right="767" w:firstLine="0"/>
        <w:jc w:val="both"/>
        <w:rPr>
          <w:sz w:val="24"/>
        </w:rPr>
      </w:pPr>
      <w:r>
        <w:rPr>
          <w:sz w:val="24"/>
        </w:rPr>
        <w:t>Relaxation in building and other requirements for rehabilitation: Notwithstanding anything contained in these Regulations, the relaxations</w:t>
      </w:r>
      <w:r>
        <w:rPr>
          <w:spacing w:val="24"/>
          <w:sz w:val="24"/>
        </w:rPr>
        <w:t> </w:t>
      </w:r>
      <w:r>
        <w:rPr>
          <w:sz w:val="24"/>
        </w:rPr>
        <w:t>incorporated</w:t>
      </w:r>
      <w:r>
        <w:rPr>
          <w:spacing w:val="24"/>
          <w:sz w:val="24"/>
        </w:rPr>
        <w:t> </w:t>
      </w:r>
      <w:r>
        <w:rPr>
          <w:sz w:val="24"/>
        </w:rPr>
        <w:t>in</w:t>
      </w:r>
      <w:r>
        <w:rPr>
          <w:spacing w:val="26"/>
          <w:sz w:val="24"/>
        </w:rPr>
        <w:t> </w:t>
      </w:r>
      <w:r>
        <w:rPr>
          <w:sz w:val="24"/>
        </w:rPr>
        <w:t>sub</w:t>
      </w:r>
      <w:r>
        <w:rPr>
          <w:spacing w:val="24"/>
          <w:sz w:val="24"/>
        </w:rPr>
        <w:t> </w:t>
      </w:r>
      <w:r>
        <w:rPr>
          <w:sz w:val="24"/>
        </w:rPr>
        <w:t>Regulation</w:t>
      </w:r>
      <w:r>
        <w:rPr>
          <w:spacing w:val="24"/>
          <w:sz w:val="24"/>
        </w:rPr>
        <w:t> </w:t>
      </w:r>
      <w:r>
        <w:rPr>
          <w:sz w:val="24"/>
        </w:rPr>
        <w:t>No.6</w:t>
      </w:r>
      <w:r>
        <w:rPr>
          <w:spacing w:val="26"/>
          <w:sz w:val="24"/>
        </w:rPr>
        <w:t> </w:t>
      </w:r>
      <w:r>
        <w:rPr>
          <w:sz w:val="24"/>
        </w:rPr>
        <w:t>of</w:t>
      </w:r>
      <w:r>
        <w:rPr>
          <w:spacing w:val="24"/>
          <w:sz w:val="24"/>
        </w:rPr>
        <w:t> </w:t>
      </w:r>
      <w:r>
        <w:rPr>
          <w:sz w:val="24"/>
        </w:rPr>
        <w:t>Regulation</w:t>
      </w:r>
      <w:r>
        <w:rPr>
          <w:spacing w:val="25"/>
          <w:sz w:val="24"/>
        </w:rPr>
        <w:t> </w:t>
      </w:r>
      <w:r>
        <w:rPr>
          <w:sz w:val="24"/>
        </w:rPr>
        <w:t>No.</w:t>
      </w:r>
      <w:r>
        <w:rPr>
          <w:spacing w:val="24"/>
          <w:sz w:val="24"/>
        </w:rPr>
        <w:t> </w:t>
      </w:r>
      <w:r>
        <w:rPr>
          <w:sz w:val="24"/>
        </w:rPr>
        <w:t>33</w:t>
      </w:r>
    </w:p>
    <w:p>
      <w:pPr>
        <w:pStyle w:val="BodyText"/>
        <w:ind w:left="2062" w:right="768"/>
      </w:pPr>
      <w:r>
        <w:rPr/>
        <w:t>(10) of these Regulations except clause 6.11, , 6.16 &amp; 6.18 shall apply. The payment of premium at the rate of 25% of normal premium or </w:t>
      </w:r>
      <w:r>
        <w:rPr/>
        <w:t>at the rate of 6.25% of the land rates as per ASR (for FSI 1), whichever is more shall apply.</w:t>
      </w:r>
    </w:p>
    <w:p>
      <w:pPr>
        <w:pStyle w:val="BodyText"/>
        <w:spacing w:before="241"/>
        <w:ind w:left="2062" w:right="769"/>
      </w:pPr>
      <w:r>
        <w:rPr/>
        <w:t>Even if the amenity open space (LOS) is reduced to make the project viable</w:t>
      </w:r>
      <w:r>
        <w:rPr>
          <w:spacing w:val="-5"/>
        </w:rPr>
        <w:t> </w:t>
      </w:r>
      <w:r>
        <w:rPr/>
        <w:t>a</w:t>
      </w:r>
      <w:r>
        <w:rPr>
          <w:spacing w:val="-5"/>
        </w:rPr>
        <w:t> </w:t>
      </w:r>
      <w:r>
        <w:rPr/>
        <w:t>minimum</w:t>
      </w:r>
      <w:r>
        <w:rPr>
          <w:spacing w:val="-4"/>
        </w:rPr>
        <w:t> </w:t>
      </w:r>
      <w:r>
        <w:rPr/>
        <w:t>of</w:t>
      </w:r>
      <w:r>
        <w:rPr>
          <w:spacing w:val="-5"/>
        </w:rPr>
        <w:t> </w:t>
      </w:r>
      <w:r>
        <w:rPr/>
        <w:t>at</w:t>
      </w:r>
      <w:r>
        <w:rPr>
          <w:spacing w:val="-5"/>
        </w:rPr>
        <w:t> </w:t>
      </w:r>
      <w:r>
        <w:rPr/>
        <w:t>least</w:t>
      </w:r>
      <w:r>
        <w:rPr>
          <w:spacing w:val="-5"/>
        </w:rPr>
        <w:t> </w:t>
      </w:r>
      <w:r>
        <w:rPr/>
        <w:t>10%</w:t>
      </w:r>
      <w:r>
        <w:rPr>
          <w:spacing w:val="-5"/>
        </w:rPr>
        <w:t> </w:t>
      </w:r>
      <w:r>
        <w:rPr/>
        <w:t>of</w:t>
      </w:r>
      <w:r>
        <w:rPr>
          <w:spacing w:val="-5"/>
        </w:rPr>
        <w:t> </w:t>
      </w:r>
      <w:r>
        <w:rPr/>
        <w:t>open</w:t>
      </w:r>
      <w:r>
        <w:rPr>
          <w:spacing w:val="-5"/>
        </w:rPr>
        <w:t> </w:t>
      </w:r>
      <w:r>
        <w:rPr/>
        <w:t>space</w:t>
      </w:r>
      <w:r>
        <w:rPr>
          <w:spacing w:val="-5"/>
        </w:rPr>
        <w:t> </w:t>
      </w:r>
      <w:r>
        <w:rPr/>
        <w:t>shall</w:t>
      </w:r>
      <w:r>
        <w:rPr>
          <w:spacing w:val="-5"/>
        </w:rPr>
        <w:t> </w:t>
      </w:r>
      <w:r>
        <w:rPr/>
        <w:t>be</w:t>
      </w:r>
      <w:r>
        <w:rPr>
          <w:spacing w:val="-5"/>
        </w:rPr>
        <w:t> </w:t>
      </w:r>
      <w:r>
        <w:rPr/>
        <w:t>maintained.</w:t>
      </w:r>
      <w:r>
        <w:rPr>
          <w:spacing w:val="-5"/>
        </w:rPr>
        <w:t> </w:t>
      </w:r>
      <w:r>
        <w:rPr/>
        <w:t>9. 20% of the incentive FSI can be used for non-residential purposes otherwise permissible in the DCPR.</w:t>
      </w:r>
    </w:p>
    <w:p>
      <w:pPr>
        <w:pStyle w:val="ListParagraph"/>
        <w:numPr>
          <w:ilvl w:val="0"/>
          <w:numId w:val="147"/>
        </w:numPr>
        <w:tabs>
          <w:tab w:pos="2496" w:val="left" w:leader="none"/>
        </w:tabs>
        <w:spacing w:line="240" w:lineRule="auto" w:before="239" w:after="0"/>
        <w:ind w:left="2062" w:right="769" w:firstLine="0"/>
        <w:jc w:val="both"/>
        <w:rPr>
          <w:sz w:val="24"/>
        </w:rPr>
      </w:pPr>
      <w:r>
        <w:rPr>
          <w:sz w:val="24"/>
        </w:rPr>
        <w:t>FSI</w:t>
      </w:r>
      <w:r>
        <w:rPr>
          <w:spacing w:val="-20"/>
          <w:sz w:val="24"/>
        </w:rPr>
        <w:t> </w:t>
      </w:r>
      <w:r>
        <w:rPr>
          <w:sz w:val="24"/>
        </w:rPr>
        <w:t>under</w:t>
      </w:r>
      <w:r>
        <w:rPr>
          <w:spacing w:val="-19"/>
          <w:sz w:val="24"/>
        </w:rPr>
        <w:t> </w:t>
      </w:r>
      <w:r>
        <w:rPr>
          <w:sz w:val="24"/>
        </w:rPr>
        <w:t>these</w:t>
      </w:r>
      <w:r>
        <w:rPr>
          <w:spacing w:val="-19"/>
          <w:sz w:val="24"/>
        </w:rPr>
        <w:t> </w:t>
      </w:r>
      <w:r>
        <w:rPr>
          <w:sz w:val="24"/>
        </w:rPr>
        <w:t>Regulations</w:t>
      </w:r>
      <w:r>
        <w:rPr>
          <w:spacing w:val="-19"/>
          <w:sz w:val="24"/>
        </w:rPr>
        <w:t> </w:t>
      </w:r>
      <w:r>
        <w:rPr>
          <w:sz w:val="24"/>
        </w:rPr>
        <w:t>should</w:t>
      </w:r>
      <w:r>
        <w:rPr>
          <w:spacing w:val="-19"/>
          <w:sz w:val="24"/>
        </w:rPr>
        <w:t> </w:t>
      </w:r>
      <w:r>
        <w:rPr>
          <w:sz w:val="24"/>
        </w:rPr>
        <w:t>be</w:t>
      </w:r>
      <w:r>
        <w:rPr>
          <w:spacing w:val="-20"/>
          <w:sz w:val="24"/>
        </w:rPr>
        <w:t> </w:t>
      </w:r>
      <w:r>
        <w:rPr>
          <w:sz w:val="24"/>
        </w:rPr>
        <w:t>allowed</w:t>
      </w:r>
      <w:r>
        <w:rPr>
          <w:spacing w:val="-19"/>
          <w:sz w:val="24"/>
        </w:rPr>
        <w:t> </w:t>
      </w:r>
      <w:r>
        <w:rPr>
          <w:sz w:val="24"/>
        </w:rPr>
        <w:t>by</w:t>
      </w:r>
      <w:r>
        <w:rPr>
          <w:spacing w:val="-19"/>
          <w:sz w:val="24"/>
        </w:rPr>
        <w:t> </w:t>
      </w:r>
      <w:r>
        <w:rPr>
          <w:sz w:val="24"/>
        </w:rPr>
        <w:t>the</w:t>
      </w:r>
      <w:r>
        <w:rPr>
          <w:spacing w:val="-19"/>
          <w:sz w:val="24"/>
        </w:rPr>
        <w:t> </w:t>
      </w:r>
      <w:r>
        <w:rPr>
          <w:sz w:val="24"/>
        </w:rPr>
        <w:t>Commissioner only after Mumbai Repairs and Reconstruction Board is satisfied that the said redevelopment proposal fulfills all conditions to be eligible for the benefits under these regulations.</w:t>
      </w:r>
    </w:p>
    <w:p>
      <w:pPr>
        <w:pStyle w:val="ListParagraph"/>
        <w:numPr>
          <w:ilvl w:val="0"/>
          <w:numId w:val="147"/>
        </w:numPr>
        <w:tabs>
          <w:tab w:pos="2536" w:val="left" w:leader="none"/>
        </w:tabs>
        <w:spacing w:line="240" w:lineRule="auto" w:before="242" w:after="0"/>
        <w:ind w:left="2062" w:right="768" w:firstLine="0"/>
        <w:jc w:val="both"/>
        <w:rPr>
          <w:sz w:val="24"/>
        </w:rPr>
      </w:pPr>
      <w:r>
        <w:rPr>
          <w:sz w:val="24"/>
        </w:rPr>
        <w:t>In case of the redevelopment of cessed buildings, the concessions regarding exclusion of areas from computation of FSI for general buildings stipulated in Regulation No. 31(1) shall apply.</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0"/>
          <w:numId w:val="147"/>
        </w:numPr>
        <w:tabs>
          <w:tab w:pos="4074" w:val="left" w:leader="none"/>
        </w:tabs>
        <w:spacing w:line="240" w:lineRule="auto" w:before="249" w:after="0"/>
        <w:ind w:left="2062" w:right="766" w:firstLine="1440"/>
        <w:jc w:val="both"/>
        <w:rPr>
          <w:sz w:val="24"/>
        </w:rPr>
      </w:pPr>
      <w:r>
        <w:rPr>
          <w:sz w:val="24"/>
        </w:rPr>
        <w:t>Since the permissible FSI in clause 5 above is dependent</w:t>
      </w:r>
      <w:r>
        <w:rPr>
          <w:spacing w:val="-1"/>
          <w:sz w:val="24"/>
        </w:rPr>
        <w:t> </w:t>
      </w:r>
      <w:r>
        <w:rPr>
          <w:sz w:val="24"/>
        </w:rPr>
        <w:t>upon</w:t>
      </w:r>
      <w:r>
        <w:rPr>
          <w:spacing w:val="-1"/>
          <w:sz w:val="24"/>
        </w:rPr>
        <w:t> </w:t>
      </w:r>
      <w:r>
        <w:rPr>
          <w:sz w:val="24"/>
        </w:rPr>
        <w:t>the</w:t>
      </w:r>
      <w:r>
        <w:rPr>
          <w:spacing w:val="-3"/>
          <w:sz w:val="24"/>
        </w:rPr>
        <w:t> </w:t>
      </w:r>
      <w:r>
        <w:rPr>
          <w:sz w:val="24"/>
        </w:rPr>
        <w:t>number</w:t>
      </w:r>
      <w:r>
        <w:rPr>
          <w:spacing w:val="-1"/>
          <w:sz w:val="24"/>
        </w:rPr>
        <w:t> </w:t>
      </w:r>
      <w:r>
        <w:rPr>
          <w:sz w:val="24"/>
        </w:rPr>
        <w:t>of</w:t>
      </w:r>
      <w:r>
        <w:rPr>
          <w:spacing w:val="-1"/>
          <w:sz w:val="24"/>
        </w:rPr>
        <w:t> </w:t>
      </w:r>
      <w:r>
        <w:rPr>
          <w:sz w:val="24"/>
        </w:rPr>
        <w:t>occupiers</w:t>
      </w:r>
      <w:r>
        <w:rPr>
          <w:spacing w:val="-4"/>
          <w:sz w:val="24"/>
        </w:rPr>
        <w:t> </w:t>
      </w:r>
      <w:r>
        <w:rPr>
          <w:sz w:val="24"/>
        </w:rPr>
        <w:t>and</w:t>
      </w:r>
      <w:r>
        <w:rPr>
          <w:spacing w:val="-1"/>
          <w:sz w:val="24"/>
        </w:rPr>
        <w:t> </w:t>
      </w:r>
      <w:r>
        <w:rPr>
          <w:sz w:val="24"/>
        </w:rPr>
        <w:t>the</w:t>
      </w:r>
      <w:r>
        <w:rPr>
          <w:spacing w:val="-1"/>
          <w:sz w:val="24"/>
        </w:rPr>
        <w:t> </w:t>
      </w:r>
      <w:r>
        <w:rPr>
          <w:sz w:val="24"/>
        </w:rPr>
        <w:t>actual</w:t>
      </w:r>
      <w:r>
        <w:rPr>
          <w:spacing w:val="-4"/>
          <w:sz w:val="24"/>
        </w:rPr>
        <w:t> </w:t>
      </w:r>
      <w:r>
        <w:rPr>
          <w:sz w:val="24"/>
        </w:rPr>
        <w:t>area</w:t>
      </w:r>
      <w:r>
        <w:rPr>
          <w:spacing w:val="-3"/>
          <w:sz w:val="24"/>
        </w:rPr>
        <w:t> </w:t>
      </w:r>
      <w:r>
        <w:rPr>
          <w:sz w:val="24"/>
        </w:rPr>
        <w:t>occupied by them, no new tenancy created after 13.6.1996to time shall be considered. Further unauthorized constructions made in the cessed buildings shall not be considered while computation of existing FSI.</w:t>
      </w:r>
    </w:p>
    <w:p>
      <w:pPr>
        <w:pStyle w:val="ListParagraph"/>
        <w:numPr>
          <w:ilvl w:val="0"/>
          <w:numId w:val="147"/>
        </w:numPr>
        <w:tabs>
          <w:tab w:pos="2677" w:val="left" w:leader="none"/>
        </w:tabs>
        <w:spacing w:line="240" w:lineRule="auto" w:before="240" w:after="0"/>
        <w:ind w:left="2062" w:right="767" w:firstLine="0"/>
        <w:jc w:val="both"/>
        <w:rPr>
          <w:sz w:val="24"/>
        </w:rPr>
      </w:pPr>
      <w:r>
        <w:rPr>
          <w:sz w:val="24"/>
        </w:rPr>
        <w:t>For smooth implementation of the redevelopment scheme undertaken by owners and/or Co-operative Housing Society of the occupiers,</w:t>
      </w:r>
      <w:r>
        <w:rPr>
          <w:spacing w:val="-11"/>
          <w:sz w:val="24"/>
        </w:rPr>
        <w:t> </w:t>
      </w:r>
      <w:r>
        <w:rPr>
          <w:sz w:val="24"/>
        </w:rPr>
        <w:t>temporary</w:t>
      </w:r>
      <w:r>
        <w:rPr>
          <w:spacing w:val="-11"/>
          <w:sz w:val="24"/>
        </w:rPr>
        <w:t> </w:t>
      </w:r>
      <w:r>
        <w:rPr>
          <w:sz w:val="24"/>
        </w:rPr>
        <w:t>transit</w:t>
      </w:r>
      <w:r>
        <w:rPr>
          <w:spacing w:val="-11"/>
          <w:sz w:val="24"/>
        </w:rPr>
        <w:t> </w:t>
      </w:r>
      <w:r>
        <w:rPr>
          <w:sz w:val="24"/>
        </w:rPr>
        <w:t>camps</w:t>
      </w:r>
      <w:r>
        <w:rPr>
          <w:spacing w:val="-11"/>
          <w:sz w:val="24"/>
        </w:rPr>
        <w:t> </w:t>
      </w:r>
      <w:r>
        <w:rPr>
          <w:sz w:val="24"/>
        </w:rPr>
        <w:t>may</w:t>
      </w:r>
      <w:r>
        <w:rPr>
          <w:spacing w:val="-8"/>
          <w:sz w:val="24"/>
        </w:rPr>
        <w:t> </w:t>
      </w:r>
      <w:r>
        <w:rPr>
          <w:sz w:val="24"/>
        </w:rPr>
        <w:t>be</w:t>
      </w:r>
      <w:r>
        <w:rPr>
          <w:spacing w:val="-11"/>
          <w:sz w:val="24"/>
        </w:rPr>
        <w:t> </w:t>
      </w:r>
      <w:r>
        <w:rPr>
          <w:sz w:val="24"/>
        </w:rPr>
        <w:t>permitted</w:t>
      </w:r>
      <w:r>
        <w:rPr>
          <w:spacing w:val="-11"/>
          <w:sz w:val="24"/>
        </w:rPr>
        <w:t> </w:t>
      </w:r>
      <w:r>
        <w:rPr>
          <w:sz w:val="24"/>
        </w:rPr>
        <w:t>on</w:t>
      </w:r>
      <w:r>
        <w:rPr>
          <w:spacing w:val="-11"/>
          <w:sz w:val="24"/>
        </w:rPr>
        <w:t> </w:t>
      </w:r>
      <w:r>
        <w:rPr>
          <w:sz w:val="24"/>
        </w:rPr>
        <w:t>the</w:t>
      </w:r>
      <w:r>
        <w:rPr>
          <w:spacing w:val="-8"/>
          <w:sz w:val="24"/>
        </w:rPr>
        <w:t> </w:t>
      </w:r>
      <w:r>
        <w:rPr>
          <w:sz w:val="24"/>
        </w:rPr>
        <w:t>same</w:t>
      </w:r>
      <w:r>
        <w:rPr>
          <w:spacing w:val="-11"/>
          <w:sz w:val="24"/>
        </w:rPr>
        <w:t> </w:t>
      </w:r>
      <w:r>
        <w:rPr>
          <w:sz w:val="24"/>
        </w:rPr>
        <w:t>land or</w:t>
      </w:r>
      <w:r>
        <w:rPr>
          <w:spacing w:val="-6"/>
          <w:sz w:val="24"/>
        </w:rPr>
        <w:t> </w:t>
      </w:r>
      <w:r>
        <w:rPr>
          <w:sz w:val="24"/>
        </w:rPr>
        <w:t>land</w:t>
      </w:r>
      <w:r>
        <w:rPr>
          <w:spacing w:val="-6"/>
          <w:sz w:val="24"/>
        </w:rPr>
        <w:t> </w:t>
      </w:r>
      <w:r>
        <w:rPr>
          <w:sz w:val="24"/>
        </w:rPr>
        <w:t>situated</w:t>
      </w:r>
      <w:r>
        <w:rPr>
          <w:spacing w:val="-6"/>
          <w:sz w:val="24"/>
        </w:rPr>
        <w:t> </w:t>
      </w:r>
      <w:r>
        <w:rPr>
          <w:sz w:val="24"/>
        </w:rPr>
        <w:t>elsewhere</w:t>
      </w:r>
      <w:r>
        <w:rPr>
          <w:spacing w:val="-6"/>
          <w:sz w:val="24"/>
        </w:rPr>
        <w:t> </w:t>
      </w:r>
      <w:r>
        <w:rPr>
          <w:sz w:val="24"/>
        </w:rPr>
        <w:t>belonging</w:t>
      </w:r>
      <w:r>
        <w:rPr>
          <w:spacing w:val="-6"/>
          <w:sz w:val="24"/>
        </w:rPr>
        <w:t> </w:t>
      </w:r>
      <w:r>
        <w:rPr>
          <w:sz w:val="24"/>
        </w:rPr>
        <w:t>to</w:t>
      </w:r>
      <w:r>
        <w:rPr>
          <w:spacing w:val="-6"/>
          <w:sz w:val="24"/>
        </w:rPr>
        <w:t> </w:t>
      </w:r>
      <w:r>
        <w:rPr>
          <w:sz w:val="24"/>
        </w:rPr>
        <w:t>the</w:t>
      </w:r>
      <w:r>
        <w:rPr>
          <w:spacing w:val="-6"/>
          <w:sz w:val="24"/>
        </w:rPr>
        <w:t> </w:t>
      </w:r>
      <w:r>
        <w:rPr>
          <w:sz w:val="24"/>
        </w:rPr>
        <w:t>same</w:t>
      </w:r>
      <w:r>
        <w:rPr>
          <w:spacing w:val="-6"/>
          <w:sz w:val="24"/>
        </w:rPr>
        <w:t> </w:t>
      </w:r>
      <w:r>
        <w:rPr>
          <w:sz w:val="24"/>
        </w:rPr>
        <w:t>owner/developer</w:t>
      </w:r>
      <w:r>
        <w:rPr>
          <w:spacing w:val="-6"/>
          <w:sz w:val="24"/>
        </w:rPr>
        <w:t> </w:t>
      </w:r>
      <w:r>
        <w:rPr>
          <w:sz w:val="24"/>
        </w:rPr>
        <w:t>with the concessions permissible under SRS project under Regulations 33(10) of these Regulations. Such transit camps should be demolished within</w:t>
      </w:r>
      <w:r>
        <w:rPr>
          <w:spacing w:val="-7"/>
          <w:sz w:val="24"/>
        </w:rPr>
        <w:t> </w:t>
      </w:r>
      <w:r>
        <w:rPr>
          <w:sz w:val="24"/>
        </w:rPr>
        <w:t>one</w:t>
      </w:r>
      <w:r>
        <w:rPr>
          <w:spacing w:val="-7"/>
          <w:sz w:val="24"/>
        </w:rPr>
        <w:t> </w:t>
      </w:r>
      <w:r>
        <w:rPr>
          <w:sz w:val="24"/>
        </w:rPr>
        <w:t>month</w:t>
      </w:r>
      <w:r>
        <w:rPr>
          <w:spacing w:val="-7"/>
          <w:sz w:val="24"/>
        </w:rPr>
        <w:t> </w:t>
      </w:r>
      <w:r>
        <w:rPr>
          <w:sz w:val="24"/>
        </w:rPr>
        <w:t>from</w:t>
      </w:r>
      <w:r>
        <w:rPr>
          <w:spacing w:val="-7"/>
          <w:sz w:val="24"/>
        </w:rPr>
        <w:t> </w:t>
      </w:r>
      <w:r>
        <w:rPr>
          <w:sz w:val="24"/>
        </w:rPr>
        <w:t>the</w:t>
      </w:r>
      <w:r>
        <w:rPr>
          <w:spacing w:val="-7"/>
          <w:sz w:val="24"/>
        </w:rPr>
        <w:t> </w:t>
      </w:r>
      <w:r>
        <w:rPr>
          <w:sz w:val="24"/>
        </w:rPr>
        <w:t>date</w:t>
      </w:r>
      <w:r>
        <w:rPr>
          <w:spacing w:val="-7"/>
          <w:sz w:val="24"/>
        </w:rPr>
        <w:t> </w:t>
      </w:r>
      <w:r>
        <w:rPr>
          <w:sz w:val="24"/>
        </w:rPr>
        <w:t>of</w:t>
      </w:r>
      <w:r>
        <w:rPr>
          <w:spacing w:val="-9"/>
          <w:sz w:val="24"/>
        </w:rPr>
        <w:t> </w:t>
      </w:r>
      <w:r>
        <w:rPr>
          <w:sz w:val="24"/>
        </w:rPr>
        <w:t>occupation</w:t>
      </w:r>
      <w:r>
        <w:rPr>
          <w:spacing w:val="-7"/>
          <w:sz w:val="24"/>
        </w:rPr>
        <w:t> </w:t>
      </w:r>
      <w:r>
        <w:rPr>
          <w:sz w:val="24"/>
        </w:rPr>
        <w:t>certificate</w:t>
      </w:r>
      <w:r>
        <w:rPr>
          <w:spacing w:val="-7"/>
          <w:sz w:val="24"/>
        </w:rPr>
        <w:t> </w:t>
      </w:r>
      <w:r>
        <w:rPr>
          <w:sz w:val="24"/>
        </w:rPr>
        <w:t>granted</w:t>
      </w:r>
      <w:r>
        <w:rPr>
          <w:spacing w:val="-7"/>
          <w:sz w:val="24"/>
        </w:rPr>
        <w:t> </w:t>
      </w:r>
      <w:r>
        <w:rPr>
          <w:sz w:val="24"/>
        </w:rPr>
        <w:t>by</w:t>
      </w:r>
      <w:r>
        <w:rPr>
          <w:spacing w:val="-7"/>
          <w:sz w:val="24"/>
        </w:rPr>
        <w:t> </w:t>
      </w:r>
      <w:r>
        <w:rPr>
          <w:sz w:val="24"/>
        </w:rPr>
        <w:t>the Corporation for the reconstructed buildings for the existing </w:t>
      </w:r>
      <w:r>
        <w:rPr>
          <w:spacing w:val="-2"/>
          <w:sz w:val="24"/>
        </w:rPr>
        <w:t>tenants/occupants.</w:t>
      </w:r>
    </w:p>
    <w:p>
      <w:pPr>
        <w:pStyle w:val="ListParagraph"/>
        <w:numPr>
          <w:ilvl w:val="0"/>
          <w:numId w:val="147"/>
        </w:numPr>
        <w:tabs>
          <w:tab w:pos="2436" w:val="left" w:leader="none"/>
        </w:tabs>
        <w:spacing w:line="240" w:lineRule="auto" w:before="242" w:after="0"/>
        <w:ind w:left="2062" w:right="766" w:firstLine="0"/>
        <w:jc w:val="both"/>
        <w:rPr>
          <w:sz w:val="24"/>
        </w:rPr>
      </w:pPr>
      <w:r>
        <w:rPr>
          <w:sz w:val="24"/>
        </w:rPr>
        <w:t>Additional development cess equivalent to100%of Development charges on BUA (excluding the fungible compensatory area/BUA), or Rs5,000 per sq. m whichever is more for BUA over and above the existing BUA shall be paid by the owner/developer/society, for the rehabilitation and free sale components. This amount shall be paid to the</w:t>
      </w:r>
      <w:r>
        <w:rPr>
          <w:spacing w:val="-13"/>
          <w:sz w:val="24"/>
        </w:rPr>
        <w:t> </w:t>
      </w:r>
      <w:r>
        <w:rPr>
          <w:sz w:val="24"/>
        </w:rPr>
        <w:t>Corporation</w:t>
      </w:r>
      <w:r>
        <w:rPr>
          <w:spacing w:val="-13"/>
          <w:sz w:val="24"/>
        </w:rPr>
        <w:t> </w:t>
      </w:r>
      <w:r>
        <w:rPr>
          <w:sz w:val="24"/>
        </w:rPr>
        <w:t>in</w:t>
      </w:r>
      <w:r>
        <w:rPr>
          <w:spacing w:val="-13"/>
          <w:sz w:val="24"/>
        </w:rPr>
        <w:t> </w:t>
      </w:r>
      <w:r>
        <w:rPr>
          <w:sz w:val="24"/>
        </w:rPr>
        <w:t>accordance</w:t>
      </w:r>
      <w:r>
        <w:rPr>
          <w:spacing w:val="-13"/>
          <w:sz w:val="24"/>
        </w:rPr>
        <w:t> </w:t>
      </w:r>
      <w:r>
        <w:rPr>
          <w:sz w:val="24"/>
        </w:rPr>
        <w:t>with</w:t>
      </w:r>
      <w:r>
        <w:rPr>
          <w:spacing w:val="-13"/>
          <w:sz w:val="24"/>
        </w:rPr>
        <w:t> </w:t>
      </w:r>
      <w:r>
        <w:rPr>
          <w:sz w:val="24"/>
        </w:rPr>
        <w:t>the</w:t>
      </w:r>
      <w:r>
        <w:rPr>
          <w:spacing w:val="-13"/>
          <w:sz w:val="24"/>
        </w:rPr>
        <w:t> </w:t>
      </w:r>
      <w:r>
        <w:rPr>
          <w:sz w:val="24"/>
        </w:rPr>
        <w:t>time</w:t>
      </w:r>
      <w:r>
        <w:rPr>
          <w:spacing w:val="-13"/>
          <w:sz w:val="24"/>
        </w:rPr>
        <w:t> </w:t>
      </w:r>
      <w:r>
        <w:rPr>
          <w:sz w:val="24"/>
        </w:rPr>
        <w:t>schedule</w:t>
      </w:r>
      <w:r>
        <w:rPr>
          <w:spacing w:val="-13"/>
          <w:sz w:val="24"/>
        </w:rPr>
        <w:t> </w:t>
      </w:r>
      <w:r>
        <w:rPr>
          <w:sz w:val="24"/>
        </w:rPr>
        <w:t>for</w:t>
      </w:r>
      <w:r>
        <w:rPr>
          <w:spacing w:val="-13"/>
          <w:sz w:val="24"/>
        </w:rPr>
        <w:t> </w:t>
      </w:r>
      <w:r>
        <w:rPr>
          <w:sz w:val="24"/>
        </w:rPr>
        <w:t>such</w:t>
      </w:r>
      <w:r>
        <w:rPr>
          <w:spacing w:val="-13"/>
          <w:sz w:val="24"/>
        </w:rPr>
        <w:t> </w:t>
      </w:r>
      <w:r>
        <w:rPr>
          <w:sz w:val="24"/>
        </w:rPr>
        <w:t>payment as</w:t>
      </w:r>
      <w:r>
        <w:rPr>
          <w:spacing w:val="-20"/>
          <w:sz w:val="24"/>
        </w:rPr>
        <w:t> </w:t>
      </w:r>
      <w:r>
        <w:rPr>
          <w:sz w:val="24"/>
        </w:rPr>
        <w:t>may</w:t>
      </w:r>
      <w:r>
        <w:rPr>
          <w:spacing w:val="-19"/>
          <w:sz w:val="24"/>
        </w:rPr>
        <w:t> </w:t>
      </w:r>
      <w:r>
        <w:rPr>
          <w:sz w:val="24"/>
        </w:rPr>
        <w:t>be</w:t>
      </w:r>
      <w:r>
        <w:rPr>
          <w:spacing w:val="-19"/>
          <w:sz w:val="24"/>
        </w:rPr>
        <w:t> </w:t>
      </w:r>
      <w:r>
        <w:rPr>
          <w:sz w:val="24"/>
        </w:rPr>
        <w:t>laid</w:t>
      </w:r>
      <w:r>
        <w:rPr>
          <w:spacing w:val="-19"/>
          <w:sz w:val="24"/>
        </w:rPr>
        <w:t> </w:t>
      </w:r>
      <w:r>
        <w:rPr>
          <w:sz w:val="24"/>
        </w:rPr>
        <w:t>down</w:t>
      </w:r>
      <w:r>
        <w:rPr>
          <w:spacing w:val="-19"/>
          <w:sz w:val="24"/>
        </w:rPr>
        <w:t> </w:t>
      </w:r>
      <w:r>
        <w:rPr>
          <w:sz w:val="24"/>
        </w:rPr>
        <w:t>by</w:t>
      </w:r>
      <w:r>
        <w:rPr>
          <w:spacing w:val="-20"/>
          <w:sz w:val="24"/>
        </w:rPr>
        <w:t> </w:t>
      </w:r>
      <w:r>
        <w:rPr>
          <w:sz w:val="24"/>
        </w:rPr>
        <w:t>the</w:t>
      </w:r>
      <w:r>
        <w:rPr>
          <w:spacing w:val="-19"/>
          <w:sz w:val="24"/>
        </w:rPr>
        <w:t> </w:t>
      </w:r>
      <w:r>
        <w:rPr>
          <w:sz w:val="24"/>
        </w:rPr>
        <w:t>Commissioner,</w:t>
      </w:r>
      <w:r>
        <w:rPr>
          <w:spacing w:val="-19"/>
          <w:sz w:val="24"/>
        </w:rPr>
        <w:t> </w:t>
      </w:r>
      <w:r>
        <w:rPr>
          <w:sz w:val="24"/>
        </w:rPr>
        <w:t>MCGM</w:t>
      </w:r>
      <w:r>
        <w:rPr>
          <w:spacing w:val="-19"/>
          <w:sz w:val="24"/>
        </w:rPr>
        <w:t> </w:t>
      </w:r>
      <w:r>
        <w:rPr>
          <w:sz w:val="24"/>
        </w:rPr>
        <w:t>provided</w:t>
      </w:r>
      <w:r>
        <w:rPr>
          <w:spacing w:val="-19"/>
          <w:sz w:val="24"/>
        </w:rPr>
        <w:t> </w:t>
      </w:r>
      <w:r>
        <w:rPr>
          <w:sz w:val="24"/>
        </w:rPr>
        <w:t>the</w:t>
      </w:r>
      <w:r>
        <w:rPr>
          <w:spacing w:val="-20"/>
          <w:sz w:val="24"/>
        </w:rPr>
        <w:t> </w:t>
      </w:r>
      <w:r>
        <w:rPr>
          <w:sz w:val="24"/>
        </w:rPr>
        <w:t>payment of</w:t>
      </w:r>
      <w:r>
        <w:rPr>
          <w:spacing w:val="-13"/>
          <w:sz w:val="24"/>
        </w:rPr>
        <w:t> </w:t>
      </w:r>
      <w:r>
        <w:rPr>
          <w:sz w:val="24"/>
        </w:rPr>
        <w:t>installments</w:t>
      </w:r>
      <w:r>
        <w:rPr>
          <w:spacing w:val="-13"/>
          <w:sz w:val="24"/>
        </w:rPr>
        <w:t> </w:t>
      </w:r>
      <w:r>
        <w:rPr>
          <w:sz w:val="24"/>
        </w:rPr>
        <w:t>shall</w:t>
      </w:r>
      <w:r>
        <w:rPr>
          <w:spacing w:val="-11"/>
          <w:sz w:val="24"/>
        </w:rPr>
        <w:t> </w:t>
      </w:r>
      <w:r>
        <w:rPr>
          <w:sz w:val="24"/>
        </w:rPr>
        <w:t>not</w:t>
      </w:r>
      <w:r>
        <w:rPr>
          <w:spacing w:val="-13"/>
          <w:sz w:val="24"/>
        </w:rPr>
        <w:t> </w:t>
      </w:r>
      <w:r>
        <w:rPr>
          <w:sz w:val="24"/>
        </w:rPr>
        <w:t>go</w:t>
      </w:r>
      <w:r>
        <w:rPr>
          <w:spacing w:val="-13"/>
          <w:sz w:val="24"/>
        </w:rPr>
        <w:t> </w:t>
      </w:r>
      <w:r>
        <w:rPr>
          <w:sz w:val="24"/>
        </w:rPr>
        <w:t>beyond</w:t>
      </w:r>
      <w:r>
        <w:rPr>
          <w:spacing w:val="-13"/>
          <w:sz w:val="24"/>
        </w:rPr>
        <w:t> </w:t>
      </w:r>
      <w:r>
        <w:rPr>
          <w:sz w:val="24"/>
        </w:rPr>
        <w:t>the</w:t>
      </w:r>
      <w:r>
        <w:rPr>
          <w:spacing w:val="-13"/>
          <w:sz w:val="24"/>
        </w:rPr>
        <w:t> </w:t>
      </w:r>
      <w:r>
        <w:rPr>
          <w:sz w:val="24"/>
        </w:rPr>
        <w:t>completion</w:t>
      </w:r>
      <w:r>
        <w:rPr>
          <w:spacing w:val="-13"/>
          <w:sz w:val="24"/>
        </w:rPr>
        <w:t> </w:t>
      </w:r>
      <w:r>
        <w:rPr>
          <w:sz w:val="24"/>
        </w:rPr>
        <w:t>of</w:t>
      </w:r>
      <w:r>
        <w:rPr>
          <w:spacing w:val="-13"/>
          <w:sz w:val="24"/>
        </w:rPr>
        <w:t> </w:t>
      </w:r>
      <w:r>
        <w:rPr>
          <w:sz w:val="24"/>
        </w:rPr>
        <w:t>construction. This amount</w:t>
      </w:r>
      <w:r>
        <w:rPr>
          <w:spacing w:val="-11"/>
          <w:sz w:val="24"/>
        </w:rPr>
        <w:t> </w:t>
      </w:r>
      <w:r>
        <w:rPr>
          <w:sz w:val="24"/>
        </w:rPr>
        <w:t>shall</w:t>
      </w:r>
      <w:r>
        <w:rPr>
          <w:spacing w:val="-11"/>
          <w:sz w:val="24"/>
        </w:rPr>
        <w:t> </w:t>
      </w:r>
      <w:r>
        <w:rPr>
          <w:sz w:val="24"/>
        </w:rPr>
        <w:t>be</w:t>
      </w:r>
      <w:r>
        <w:rPr>
          <w:spacing w:val="-11"/>
          <w:sz w:val="24"/>
        </w:rPr>
        <w:t> </w:t>
      </w:r>
      <w:r>
        <w:rPr>
          <w:sz w:val="24"/>
        </w:rPr>
        <w:t>used</w:t>
      </w:r>
      <w:r>
        <w:rPr>
          <w:spacing w:val="-11"/>
          <w:sz w:val="24"/>
        </w:rPr>
        <w:t> </w:t>
      </w:r>
      <w:r>
        <w:rPr>
          <w:sz w:val="24"/>
        </w:rPr>
        <w:t>for</w:t>
      </w:r>
      <w:r>
        <w:rPr>
          <w:spacing w:val="-11"/>
          <w:sz w:val="24"/>
        </w:rPr>
        <w:t> </w:t>
      </w:r>
      <w:r>
        <w:rPr>
          <w:sz w:val="24"/>
        </w:rPr>
        <w:t>Scheme</w:t>
      </w:r>
      <w:r>
        <w:rPr>
          <w:spacing w:val="-11"/>
          <w:sz w:val="24"/>
        </w:rPr>
        <w:t> </w:t>
      </w:r>
      <w:r>
        <w:rPr>
          <w:sz w:val="24"/>
        </w:rPr>
        <w:t>to</w:t>
      </w:r>
      <w:r>
        <w:rPr>
          <w:spacing w:val="-13"/>
          <w:sz w:val="24"/>
        </w:rPr>
        <w:t> </w:t>
      </w:r>
      <w:r>
        <w:rPr>
          <w:sz w:val="24"/>
        </w:rPr>
        <w:t>be</w:t>
      </w:r>
      <w:r>
        <w:rPr>
          <w:spacing w:val="-11"/>
          <w:sz w:val="24"/>
        </w:rPr>
        <w:t> </w:t>
      </w:r>
      <w:r>
        <w:rPr>
          <w:sz w:val="24"/>
        </w:rPr>
        <w:t>prepared</w:t>
      </w:r>
      <w:r>
        <w:rPr>
          <w:spacing w:val="-11"/>
          <w:sz w:val="24"/>
        </w:rPr>
        <w:t> </w:t>
      </w:r>
      <w:r>
        <w:rPr>
          <w:sz w:val="24"/>
        </w:rPr>
        <w:t>for</w:t>
      </w:r>
      <w:r>
        <w:rPr>
          <w:spacing w:val="-11"/>
          <w:sz w:val="24"/>
        </w:rPr>
        <w:t> </w:t>
      </w:r>
      <w:r>
        <w:rPr>
          <w:sz w:val="24"/>
        </w:rPr>
        <w:t>the</w:t>
      </w:r>
      <w:r>
        <w:rPr>
          <w:spacing w:val="-11"/>
          <w:sz w:val="24"/>
        </w:rPr>
        <w:t> </w:t>
      </w:r>
      <w:r>
        <w:rPr>
          <w:sz w:val="24"/>
        </w:rPr>
        <w:t>improvement</w:t>
      </w:r>
      <w:r>
        <w:rPr>
          <w:spacing w:val="-11"/>
          <w:sz w:val="24"/>
        </w:rPr>
        <w:t> </w:t>
      </w:r>
      <w:r>
        <w:rPr>
          <w:sz w:val="24"/>
        </w:rPr>
        <w:t>of off-site</w:t>
      </w:r>
      <w:r>
        <w:rPr>
          <w:spacing w:val="-20"/>
          <w:sz w:val="24"/>
        </w:rPr>
        <w:t> </w:t>
      </w:r>
      <w:r>
        <w:rPr>
          <w:sz w:val="24"/>
        </w:rPr>
        <w:t>infrastructure</w:t>
      </w:r>
      <w:r>
        <w:rPr>
          <w:spacing w:val="-19"/>
          <w:sz w:val="24"/>
        </w:rPr>
        <w:t> </w:t>
      </w:r>
      <w:r>
        <w:rPr>
          <w:sz w:val="24"/>
        </w:rPr>
        <w:t>in</w:t>
      </w:r>
      <w:r>
        <w:rPr>
          <w:spacing w:val="-19"/>
          <w:sz w:val="24"/>
        </w:rPr>
        <w:t> </w:t>
      </w:r>
      <w:r>
        <w:rPr>
          <w:sz w:val="24"/>
        </w:rPr>
        <w:t>the</w:t>
      </w:r>
      <w:r>
        <w:rPr>
          <w:spacing w:val="-19"/>
          <w:sz w:val="24"/>
        </w:rPr>
        <w:t> </w:t>
      </w:r>
      <w:r>
        <w:rPr>
          <w:sz w:val="24"/>
        </w:rPr>
        <w:t>area</w:t>
      </w:r>
      <w:r>
        <w:rPr>
          <w:spacing w:val="-19"/>
          <w:sz w:val="24"/>
        </w:rPr>
        <w:t> </w:t>
      </w:r>
      <w:r>
        <w:rPr>
          <w:sz w:val="24"/>
        </w:rPr>
        <w:t>around</w:t>
      </w:r>
      <w:r>
        <w:rPr>
          <w:spacing w:val="-20"/>
          <w:sz w:val="24"/>
        </w:rPr>
        <w:t> </w:t>
      </w:r>
      <w:r>
        <w:rPr>
          <w:sz w:val="24"/>
        </w:rPr>
        <w:t>the</w:t>
      </w:r>
      <w:r>
        <w:rPr>
          <w:spacing w:val="-18"/>
          <w:sz w:val="24"/>
        </w:rPr>
        <w:t> </w:t>
      </w:r>
      <w:r>
        <w:rPr>
          <w:sz w:val="24"/>
        </w:rPr>
        <w:t>development.</w:t>
      </w:r>
      <w:r>
        <w:rPr>
          <w:spacing w:val="-17"/>
          <w:sz w:val="24"/>
        </w:rPr>
        <w:t> </w:t>
      </w:r>
      <w:r>
        <w:rPr>
          <w:sz w:val="24"/>
        </w:rPr>
        <w:t>Development cess shall be in addition to development charges levied as per section 124 of MR&amp;TP Act 1966.</w:t>
      </w:r>
    </w:p>
    <w:p>
      <w:pPr>
        <w:pStyle w:val="ListParagraph"/>
        <w:numPr>
          <w:ilvl w:val="0"/>
          <w:numId w:val="147"/>
        </w:numPr>
        <w:tabs>
          <w:tab w:pos="2435" w:val="left" w:leader="none"/>
        </w:tabs>
        <w:spacing w:line="240" w:lineRule="auto" w:before="239" w:after="0"/>
        <w:ind w:left="2062" w:right="767" w:firstLine="0"/>
        <w:jc w:val="both"/>
        <w:rPr>
          <w:sz w:val="24"/>
        </w:rPr>
      </w:pPr>
      <w:r>
        <w:rPr>
          <w:sz w:val="24"/>
        </w:rPr>
        <w:t>As per the provision of clause 2above, each residential/non- residential occupant shall be rehabilitated only for carpet area mentioned</w:t>
      </w:r>
      <w:r>
        <w:rPr>
          <w:spacing w:val="-6"/>
          <w:sz w:val="24"/>
        </w:rPr>
        <w:t> </w:t>
      </w:r>
      <w:r>
        <w:rPr>
          <w:sz w:val="24"/>
        </w:rPr>
        <w:t>in</w:t>
      </w:r>
      <w:r>
        <w:rPr>
          <w:spacing w:val="-6"/>
          <w:sz w:val="24"/>
        </w:rPr>
        <w:t> </w:t>
      </w:r>
      <w:r>
        <w:rPr>
          <w:sz w:val="24"/>
        </w:rPr>
        <w:t>the</w:t>
      </w:r>
      <w:r>
        <w:rPr>
          <w:spacing w:val="-6"/>
          <w:sz w:val="24"/>
        </w:rPr>
        <w:t> </w:t>
      </w:r>
      <w:r>
        <w:rPr>
          <w:sz w:val="24"/>
        </w:rPr>
        <w:t>said</w:t>
      </w:r>
      <w:r>
        <w:rPr>
          <w:spacing w:val="-6"/>
          <w:sz w:val="24"/>
        </w:rPr>
        <w:t> </w:t>
      </w:r>
      <w:r>
        <w:rPr>
          <w:sz w:val="24"/>
        </w:rPr>
        <w:t>clause</w:t>
      </w:r>
      <w:r>
        <w:rPr>
          <w:spacing w:val="-6"/>
          <w:sz w:val="24"/>
        </w:rPr>
        <w:t> </w:t>
      </w:r>
      <w:r>
        <w:rPr>
          <w:sz w:val="24"/>
        </w:rPr>
        <w:t>No.2above</w:t>
      </w:r>
      <w:r>
        <w:rPr>
          <w:spacing w:val="-8"/>
          <w:sz w:val="24"/>
        </w:rPr>
        <w:t> </w:t>
      </w:r>
      <w:r>
        <w:rPr>
          <w:sz w:val="24"/>
        </w:rPr>
        <w:t>and</w:t>
      </w:r>
      <w:r>
        <w:rPr>
          <w:spacing w:val="-6"/>
          <w:sz w:val="24"/>
        </w:rPr>
        <w:t> </w:t>
      </w:r>
      <w:r>
        <w:rPr>
          <w:sz w:val="24"/>
        </w:rPr>
        <w:t>such</w:t>
      </w:r>
      <w:r>
        <w:rPr>
          <w:spacing w:val="-6"/>
          <w:sz w:val="24"/>
        </w:rPr>
        <w:t> </w:t>
      </w:r>
      <w:r>
        <w:rPr>
          <w:sz w:val="24"/>
        </w:rPr>
        <w:t>areas</w:t>
      </w:r>
      <w:r>
        <w:rPr>
          <w:spacing w:val="-6"/>
          <w:sz w:val="24"/>
        </w:rPr>
        <w:t> </w:t>
      </w:r>
      <w:r>
        <w:rPr>
          <w:sz w:val="24"/>
        </w:rPr>
        <w:t>shall</w:t>
      </w:r>
      <w:r>
        <w:rPr>
          <w:spacing w:val="-8"/>
          <w:sz w:val="24"/>
        </w:rPr>
        <w:t> </w:t>
      </w:r>
      <w:r>
        <w:rPr>
          <w:sz w:val="24"/>
        </w:rPr>
        <w:t>be</w:t>
      </w:r>
      <w:r>
        <w:rPr>
          <w:spacing w:val="-6"/>
          <w:sz w:val="24"/>
        </w:rPr>
        <w:t> </w:t>
      </w:r>
      <w:r>
        <w:rPr>
          <w:sz w:val="24"/>
        </w:rPr>
        <w:t>clearly shown on the building plan submitted to the Corporation/MHADA.</w:t>
      </w:r>
    </w:p>
    <w:p>
      <w:pPr>
        <w:pStyle w:val="ListParagraph"/>
        <w:numPr>
          <w:ilvl w:val="0"/>
          <w:numId w:val="147"/>
        </w:numPr>
        <w:tabs>
          <w:tab w:pos="2513" w:val="left" w:leader="none"/>
        </w:tabs>
        <w:spacing w:line="240" w:lineRule="auto" w:before="241" w:after="0"/>
        <w:ind w:left="2513" w:right="0" w:hanging="451"/>
        <w:jc w:val="both"/>
        <w:rPr>
          <w:sz w:val="24"/>
        </w:rPr>
      </w:pPr>
      <w:r>
        <w:rPr>
          <w:sz w:val="24"/>
        </w:rPr>
        <w:t>A</w:t>
      </w:r>
      <w:r>
        <w:rPr>
          <w:spacing w:val="-2"/>
          <w:sz w:val="24"/>
        </w:rPr>
        <w:t> </w:t>
      </w:r>
      <w:r>
        <w:rPr>
          <w:sz w:val="24"/>
        </w:rPr>
        <w:t>corpus</w:t>
      </w:r>
      <w:r>
        <w:rPr>
          <w:spacing w:val="-2"/>
          <w:sz w:val="24"/>
        </w:rPr>
        <w:t> </w:t>
      </w:r>
      <w:r>
        <w:rPr>
          <w:sz w:val="24"/>
        </w:rPr>
        <w:t>fund</w:t>
      </w:r>
      <w:r>
        <w:rPr>
          <w:spacing w:val="-2"/>
          <w:sz w:val="24"/>
        </w:rPr>
        <w:t> </w:t>
      </w:r>
      <w:r>
        <w:rPr>
          <w:sz w:val="24"/>
        </w:rPr>
        <w:t>shall</w:t>
      </w:r>
      <w:r>
        <w:rPr>
          <w:spacing w:val="-2"/>
          <w:sz w:val="24"/>
        </w:rPr>
        <w:t> </w:t>
      </w:r>
      <w:r>
        <w:rPr>
          <w:sz w:val="24"/>
        </w:rPr>
        <w:t>be</w:t>
      </w:r>
      <w:r>
        <w:rPr>
          <w:spacing w:val="-2"/>
          <w:sz w:val="24"/>
        </w:rPr>
        <w:t> </w:t>
      </w:r>
      <w:r>
        <w:rPr>
          <w:sz w:val="24"/>
        </w:rPr>
        <w:t>created</w:t>
      </w:r>
      <w:r>
        <w:rPr>
          <w:spacing w:val="-2"/>
          <w:sz w:val="24"/>
        </w:rPr>
        <w:t> </w:t>
      </w:r>
      <w:r>
        <w:rPr>
          <w:sz w:val="24"/>
        </w:rPr>
        <w:t>as</w:t>
      </w:r>
      <w:r>
        <w:rPr>
          <w:spacing w:val="-2"/>
          <w:sz w:val="24"/>
        </w:rPr>
        <w:t> </w:t>
      </w:r>
      <w:r>
        <w:rPr>
          <w:sz w:val="24"/>
        </w:rPr>
        <w:t>prescribed</w:t>
      </w:r>
      <w:r>
        <w:rPr>
          <w:spacing w:val="-2"/>
          <w:sz w:val="24"/>
        </w:rPr>
        <w:t> </w:t>
      </w:r>
      <w:r>
        <w:rPr>
          <w:sz w:val="24"/>
        </w:rPr>
        <w:t>by</w:t>
      </w:r>
      <w:r>
        <w:rPr>
          <w:spacing w:val="-2"/>
          <w:sz w:val="24"/>
        </w:rPr>
        <w:t> MHADA.</w:t>
      </w:r>
    </w:p>
    <w:p>
      <w:pPr>
        <w:pStyle w:val="ListParagraph"/>
        <w:numPr>
          <w:ilvl w:val="0"/>
          <w:numId w:val="147"/>
        </w:numPr>
        <w:tabs>
          <w:tab w:pos="2515" w:val="left" w:leader="none"/>
        </w:tabs>
        <w:spacing w:line="240" w:lineRule="auto" w:before="239" w:after="0"/>
        <w:ind w:left="2062" w:right="766" w:firstLine="0"/>
        <w:jc w:val="both"/>
        <w:rPr>
          <w:sz w:val="24"/>
        </w:rPr>
      </w:pPr>
      <w:r>
        <w:rPr>
          <w:sz w:val="24"/>
        </w:rPr>
        <w:t>Restriction on transfer of tenements</w:t>
      </w:r>
      <w:r>
        <w:rPr>
          <w:spacing w:val="-1"/>
          <w:sz w:val="24"/>
        </w:rPr>
        <w:t> </w:t>
      </w:r>
      <w:r>
        <w:rPr>
          <w:sz w:val="24"/>
        </w:rPr>
        <w:t>shall be governed by</w:t>
      </w:r>
      <w:r>
        <w:rPr>
          <w:spacing w:val="-1"/>
          <w:sz w:val="24"/>
        </w:rPr>
        <w:t> </w:t>
      </w:r>
      <w:r>
        <w:rPr>
          <w:sz w:val="24"/>
        </w:rPr>
        <w:t>provision of</w:t>
      </w:r>
      <w:r>
        <w:rPr>
          <w:spacing w:val="-8"/>
          <w:sz w:val="24"/>
        </w:rPr>
        <w:t> </w:t>
      </w:r>
      <w:r>
        <w:rPr>
          <w:sz w:val="24"/>
        </w:rPr>
        <w:t>Rent</w:t>
      </w:r>
      <w:r>
        <w:rPr>
          <w:spacing w:val="-8"/>
          <w:sz w:val="24"/>
        </w:rPr>
        <w:t> </w:t>
      </w:r>
      <w:r>
        <w:rPr>
          <w:sz w:val="24"/>
        </w:rPr>
        <w:t>Control</w:t>
      </w:r>
      <w:r>
        <w:rPr>
          <w:spacing w:val="-8"/>
          <w:sz w:val="24"/>
        </w:rPr>
        <w:t> </w:t>
      </w:r>
      <w:r>
        <w:rPr>
          <w:sz w:val="24"/>
        </w:rPr>
        <w:t>Act</w:t>
      </w:r>
      <w:r>
        <w:rPr>
          <w:spacing w:val="-8"/>
          <w:sz w:val="24"/>
        </w:rPr>
        <w:t> </w:t>
      </w:r>
      <w:r>
        <w:rPr>
          <w:sz w:val="24"/>
        </w:rPr>
        <w:t>till</w:t>
      </w:r>
      <w:r>
        <w:rPr>
          <w:spacing w:val="-8"/>
          <w:sz w:val="24"/>
        </w:rPr>
        <w:t> </w:t>
      </w:r>
      <w:r>
        <w:rPr>
          <w:sz w:val="24"/>
        </w:rPr>
        <w:t>Co.Op.</w:t>
      </w:r>
      <w:r>
        <w:rPr>
          <w:spacing w:val="-8"/>
          <w:sz w:val="24"/>
        </w:rPr>
        <w:t> </w:t>
      </w:r>
      <w:r>
        <w:rPr>
          <w:sz w:val="24"/>
        </w:rPr>
        <w:t>Society</w:t>
      </w:r>
      <w:r>
        <w:rPr>
          <w:spacing w:val="-8"/>
          <w:sz w:val="24"/>
        </w:rPr>
        <w:t> </w:t>
      </w:r>
      <w:r>
        <w:rPr>
          <w:sz w:val="24"/>
        </w:rPr>
        <w:t>is</w:t>
      </w:r>
      <w:r>
        <w:rPr>
          <w:spacing w:val="-8"/>
          <w:sz w:val="24"/>
        </w:rPr>
        <w:t> </w:t>
      </w:r>
      <w:r>
        <w:rPr>
          <w:sz w:val="24"/>
        </w:rPr>
        <w:t>formed</w:t>
      </w:r>
      <w:r>
        <w:rPr>
          <w:spacing w:val="-8"/>
          <w:sz w:val="24"/>
        </w:rPr>
        <w:t> </w:t>
      </w:r>
      <w:r>
        <w:rPr>
          <w:sz w:val="24"/>
        </w:rPr>
        <w:t>and</w:t>
      </w:r>
      <w:r>
        <w:rPr>
          <w:spacing w:val="-8"/>
          <w:sz w:val="24"/>
        </w:rPr>
        <w:t> </w:t>
      </w:r>
      <w:r>
        <w:rPr>
          <w:sz w:val="24"/>
        </w:rPr>
        <w:t>after</w:t>
      </w:r>
      <w:r>
        <w:rPr>
          <w:spacing w:val="-8"/>
          <w:sz w:val="24"/>
        </w:rPr>
        <w:t> </w:t>
      </w:r>
      <w:r>
        <w:rPr>
          <w:sz w:val="24"/>
        </w:rPr>
        <w:t>that</w:t>
      </w:r>
      <w:r>
        <w:rPr>
          <w:spacing w:val="-11"/>
          <w:sz w:val="24"/>
        </w:rPr>
        <w:t> </w:t>
      </w:r>
      <w:r>
        <w:rPr>
          <w:sz w:val="24"/>
        </w:rPr>
        <w:t>the</w:t>
      </w:r>
      <w:r>
        <w:rPr>
          <w:spacing w:val="-8"/>
          <w:sz w:val="24"/>
        </w:rPr>
        <w:t> </w:t>
      </w:r>
      <w:r>
        <w:rPr>
          <w:sz w:val="24"/>
        </w:rPr>
        <w:t>same shall</w:t>
      </w:r>
      <w:r>
        <w:rPr>
          <w:spacing w:val="-4"/>
          <w:sz w:val="24"/>
        </w:rPr>
        <w:t> </w:t>
      </w:r>
      <w:r>
        <w:rPr>
          <w:sz w:val="24"/>
        </w:rPr>
        <w:t>be</w:t>
      </w:r>
      <w:r>
        <w:rPr>
          <w:spacing w:val="-4"/>
          <w:sz w:val="24"/>
        </w:rPr>
        <w:t> </w:t>
      </w:r>
      <w:r>
        <w:rPr>
          <w:sz w:val="24"/>
        </w:rPr>
        <w:t>governed</w:t>
      </w:r>
      <w:r>
        <w:rPr>
          <w:spacing w:val="-4"/>
          <w:sz w:val="24"/>
        </w:rPr>
        <w:t> </w:t>
      </w:r>
      <w:r>
        <w:rPr>
          <w:sz w:val="24"/>
        </w:rPr>
        <w:t>by</w:t>
      </w:r>
      <w:r>
        <w:rPr>
          <w:spacing w:val="-4"/>
          <w:sz w:val="24"/>
        </w:rPr>
        <w:t> </w:t>
      </w:r>
      <w:r>
        <w:rPr>
          <w:sz w:val="24"/>
        </w:rPr>
        <w:t>the</w:t>
      </w:r>
      <w:r>
        <w:rPr>
          <w:spacing w:val="-4"/>
          <w:sz w:val="24"/>
        </w:rPr>
        <w:t> </w:t>
      </w:r>
      <w:r>
        <w:rPr>
          <w:sz w:val="24"/>
        </w:rPr>
        <w:t>provision</w:t>
      </w:r>
      <w:r>
        <w:rPr>
          <w:spacing w:val="-4"/>
          <w:sz w:val="24"/>
        </w:rPr>
        <w:t> </w:t>
      </w:r>
      <w:r>
        <w:rPr>
          <w:sz w:val="24"/>
        </w:rPr>
        <w:t>of</w:t>
      </w:r>
      <w:r>
        <w:rPr>
          <w:spacing w:val="-4"/>
          <w:sz w:val="24"/>
        </w:rPr>
        <w:t> </w:t>
      </w:r>
      <w:r>
        <w:rPr>
          <w:sz w:val="24"/>
        </w:rPr>
        <w:t>Maharashtra</w:t>
      </w:r>
      <w:r>
        <w:rPr>
          <w:spacing w:val="-4"/>
          <w:sz w:val="24"/>
        </w:rPr>
        <w:t> </w:t>
      </w:r>
      <w:r>
        <w:rPr>
          <w:sz w:val="24"/>
        </w:rPr>
        <w:t>Co-op.</w:t>
      </w:r>
      <w:r>
        <w:rPr>
          <w:spacing w:val="-4"/>
          <w:sz w:val="24"/>
        </w:rPr>
        <w:t> </w:t>
      </w:r>
      <w:r>
        <w:rPr>
          <w:sz w:val="24"/>
        </w:rPr>
        <w:t>Society’s</w:t>
      </w:r>
      <w:r>
        <w:rPr>
          <w:spacing w:val="-4"/>
          <w:sz w:val="24"/>
        </w:rPr>
        <w:t> </w:t>
      </w:r>
      <w:r>
        <w:rPr>
          <w:sz w:val="24"/>
        </w:rPr>
        <w:t>Act.</w:t>
      </w:r>
    </w:p>
    <w:p>
      <w:pPr>
        <w:pStyle w:val="ListParagraph"/>
        <w:numPr>
          <w:ilvl w:val="0"/>
          <w:numId w:val="147"/>
        </w:numPr>
        <w:tabs>
          <w:tab w:pos="2508" w:val="left" w:leader="none"/>
        </w:tabs>
        <w:spacing w:line="240" w:lineRule="auto" w:before="243" w:after="0"/>
        <w:ind w:left="2062" w:right="766" w:firstLine="0"/>
        <w:jc w:val="both"/>
        <w:rPr>
          <w:sz w:val="24"/>
        </w:rPr>
      </w:pPr>
      <w:r>
        <w:rPr>
          <w:sz w:val="24"/>
        </w:rPr>
        <w:t>Non-Deduction</w:t>
      </w:r>
      <w:r>
        <w:rPr>
          <w:spacing w:val="-5"/>
          <w:sz w:val="24"/>
        </w:rPr>
        <w:t> </w:t>
      </w:r>
      <w:r>
        <w:rPr>
          <w:sz w:val="24"/>
        </w:rPr>
        <w:t>of</w:t>
      </w:r>
      <w:r>
        <w:rPr>
          <w:spacing w:val="-6"/>
          <w:sz w:val="24"/>
        </w:rPr>
        <w:t> </w:t>
      </w:r>
      <w:r>
        <w:rPr>
          <w:sz w:val="24"/>
        </w:rPr>
        <w:t>non-cessed</w:t>
      </w:r>
      <w:r>
        <w:rPr>
          <w:spacing w:val="-6"/>
          <w:sz w:val="24"/>
        </w:rPr>
        <w:t> </w:t>
      </w:r>
      <w:r>
        <w:rPr>
          <w:sz w:val="24"/>
        </w:rPr>
        <w:t>Structure</w:t>
      </w:r>
      <w:r>
        <w:rPr>
          <w:spacing w:val="-6"/>
          <w:sz w:val="24"/>
        </w:rPr>
        <w:t> </w:t>
      </w:r>
      <w:r>
        <w:rPr>
          <w:sz w:val="24"/>
        </w:rPr>
        <w:t>area</w:t>
      </w:r>
      <w:r>
        <w:rPr>
          <w:spacing w:val="-6"/>
          <w:sz w:val="24"/>
        </w:rPr>
        <w:t> </w:t>
      </w:r>
      <w:r>
        <w:rPr>
          <w:sz w:val="24"/>
        </w:rPr>
        <w:t>in</w:t>
      </w:r>
      <w:r>
        <w:rPr>
          <w:spacing w:val="-6"/>
          <w:sz w:val="24"/>
        </w:rPr>
        <w:t> </w:t>
      </w:r>
      <w:r>
        <w:rPr>
          <w:sz w:val="24"/>
        </w:rPr>
        <w:t>the</w:t>
      </w:r>
      <w:r>
        <w:rPr>
          <w:spacing w:val="-6"/>
          <w:sz w:val="24"/>
        </w:rPr>
        <w:t> </w:t>
      </w:r>
      <w:r>
        <w:rPr>
          <w:sz w:val="24"/>
        </w:rPr>
        <w:t>scheme</w:t>
      </w:r>
      <w:r>
        <w:rPr>
          <w:spacing w:val="-5"/>
          <w:sz w:val="24"/>
        </w:rPr>
        <w:t> </w:t>
      </w:r>
      <w:r>
        <w:rPr>
          <w:sz w:val="24"/>
        </w:rPr>
        <w:t>of</w:t>
      </w:r>
      <w:r>
        <w:rPr>
          <w:spacing w:val="-6"/>
          <w:sz w:val="24"/>
        </w:rPr>
        <w:t> </w:t>
      </w:r>
      <w:r>
        <w:rPr>
          <w:sz w:val="24"/>
        </w:rPr>
        <w:t>33(7) for</w:t>
      </w:r>
      <w:r>
        <w:rPr>
          <w:spacing w:val="-8"/>
          <w:sz w:val="24"/>
        </w:rPr>
        <w:t> </w:t>
      </w:r>
      <w:r>
        <w:rPr>
          <w:sz w:val="24"/>
        </w:rPr>
        <w:t>FSI</w:t>
      </w:r>
      <w:r>
        <w:rPr>
          <w:spacing w:val="-8"/>
          <w:sz w:val="24"/>
        </w:rPr>
        <w:t> </w:t>
      </w:r>
      <w:r>
        <w:rPr>
          <w:sz w:val="24"/>
        </w:rPr>
        <w:t>purpose:</w:t>
      </w:r>
      <w:r>
        <w:rPr>
          <w:spacing w:val="-11"/>
          <w:sz w:val="24"/>
        </w:rPr>
        <w:t> </w:t>
      </w:r>
      <w:r>
        <w:rPr>
          <w:sz w:val="24"/>
        </w:rPr>
        <w:t>In</w:t>
      </w:r>
      <w:r>
        <w:rPr>
          <w:spacing w:val="-8"/>
          <w:sz w:val="24"/>
        </w:rPr>
        <w:t> </w:t>
      </w:r>
      <w:r>
        <w:rPr>
          <w:sz w:val="24"/>
        </w:rPr>
        <w:t>case</w:t>
      </w:r>
      <w:r>
        <w:rPr>
          <w:spacing w:val="-8"/>
          <w:sz w:val="24"/>
        </w:rPr>
        <w:t> </w:t>
      </w:r>
      <w:r>
        <w:rPr>
          <w:sz w:val="24"/>
        </w:rPr>
        <w:t>of</w:t>
      </w:r>
      <w:r>
        <w:rPr>
          <w:spacing w:val="-8"/>
          <w:sz w:val="24"/>
        </w:rPr>
        <w:t> </w:t>
      </w:r>
      <w:r>
        <w:rPr>
          <w:sz w:val="24"/>
        </w:rPr>
        <w:t>mix</w:t>
      </w:r>
      <w:r>
        <w:rPr>
          <w:spacing w:val="-8"/>
          <w:sz w:val="24"/>
        </w:rPr>
        <w:t> </w:t>
      </w:r>
      <w:r>
        <w:rPr>
          <w:sz w:val="24"/>
        </w:rPr>
        <w:t>of</w:t>
      </w:r>
      <w:r>
        <w:rPr>
          <w:spacing w:val="-8"/>
          <w:sz w:val="24"/>
        </w:rPr>
        <w:t> </w:t>
      </w:r>
      <w:r>
        <w:rPr>
          <w:sz w:val="24"/>
        </w:rPr>
        <w:t>the</w:t>
      </w:r>
      <w:r>
        <w:rPr>
          <w:spacing w:val="-8"/>
          <w:sz w:val="24"/>
        </w:rPr>
        <w:t> </w:t>
      </w:r>
      <w:r>
        <w:rPr>
          <w:sz w:val="24"/>
        </w:rPr>
        <w:t>structure</w:t>
      </w:r>
      <w:r>
        <w:rPr>
          <w:spacing w:val="-8"/>
          <w:sz w:val="24"/>
        </w:rPr>
        <w:t> </w:t>
      </w:r>
      <w:r>
        <w:rPr>
          <w:sz w:val="24"/>
        </w:rPr>
        <w:t>i.e.</w:t>
      </w:r>
      <w:r>
        <w:rPr>
          <w:spacing w:val="-8"/>
          <w:sz w:val="24"/>
        </w:rPr>
        <w:t> </w:t>
      </w:r>
      <w:r>
        <w:rPr>
          <w:sz w:val="24"/>
        </w:rPr>
        <w:t>cessed</w:t>
      </w:r>
      <w:r>
        <w:rPr>
          <w:spacing w:val="-7"/>
          <w:sz w:val="24"/>
        </w:rPr>
        <w:t> </w:t>
      </w:r>
      <w:r>
        <w:rPr>
          <w:sz w:val="24"/>
        </w:rPr>
        <w:t>&amp;</w:t>
      </w:r>
      <w:r>
        <w:rPr>
          <w:spacing w:val="-11"/>
          <w:sz w:val="24"/>
        </w:rPr>
        <w:t> </w:t>
      </w:r>
      <w:r>
        <w:rPr>
          <w:sz w:val="24"/>
        </w:rPr>
        <w:t>non</w:t>
      </w:r>
      <w:r>
        <w:rPr>
          <w:spacing w:val="-8"/>
          <w:sz w:val="24"/>
        </w:rPr>
        <w:t> </w:t>
      </w:r>
      <w:r>
        <w:rPr>
          <w:sz w:val="24"/>
        </w:rPr>
        <w:t>cessed structure and if the area of non cessed structure existing prior to 30/9/69, area of land component under non-cessed structure works out up to a limit of 25% of plot area, then FSI shall be considered on total</w:t>
      </w:r>
      <w:r>
        <w:rPr>
          <w:spacing w:val="-19"/>
          <w:sz w:val="24"/>
        </w:rPr>
        <w:t> </w:t>
      </w:r>
      <w:r>
        <w:rPr>
          <w:sz w:val="24"/>
        </w:rPr>
        <w:t>plot</w:t>
      </w:r>
      <w:r>
        <w:rPr>
          <w:spacing w:val="-19"/>
          <w:sz w:val="24"/>
        </w:rPr>
        <w:t> </w:t>
      </w:r>
      <w:r>
        <w:rPr>
          <w:sz w:val="24"/>
        </w:rPr>
        <w:t>area.</w:t>
      </w:r>
      <w:r>
        <w:rPr>
          <w:spacing w:val="-19"/>
          <w:sz w:val="24"/>
        </w:rPr>
        <w:t> </w:t>
      </w:r>
      <w:r>
        <w:rPr>
          <w:sz w:val="24"/>
        </w:rPr>
        <w:t>If</w:t>
      </w:r>
      <w:r>
        <w:rPr>
          <w:spacing w:val="-19"/>
          <w:sz w:val="24"/>
        </w:rPr>
        <w:t> </w:t>
      </w:r>
      <w:r>
        <w:rPr>
          <w:sz w:val="24"/>
        </w:rPr>
        <w:t>this</w:t>
      </w:r>
      <w:r>
        <w:rPr>
          <w:spacing w:val="-19"/>
          <w:sz w:val="24"/>
        </w:rPr>
        <w:t> </w:t>
      </w:r>
      <w:r>
        <w:rPr>
          <w:sz w:val="24"/>
        </w:rPr>
        <w:t>area</w:t>
      </w:r>
      <w:r>
        <w:rPr>
          <w:spacing w:val="-19"/>
          <w:sz w:val="24"/>
        </w:rPr>
        <w:t> </w:t>
      </w:r>
      <w:r>
        <w:rPr>
          <w:sz w:val="24"/>
        </w:rPr>
        <w:t>exceeds</w:t>
      </w:r>
      <w:r>
        <w:rPr>
          <w:spacing w:val="-19"/>
          <w:sz w:val="24"/>
        </w:rPr>
        <w:t> </w:t>
      </w:r>
      <w:r>
        <w:rPr>
          <w:sz w:val="24"/>
        </w:rPr>
        <w:t>25%</w:t>
      </w:r>
      <w:r>
        <w:rPr>
          <w:spacing w:val="-19"/>
          <w:sz w:val="24"/>
        </w:rPr>
        <w:t> </w:t>
      </w:r>
      <w:r>
        <w:rPr>
          <w:sz w:val="24"/>
        </w:rPr>
        <w:t>of</w:t>
      </w:r>
      <w:r>
        <w:rPr>
          <w:spacing w:val="-17"/>
          <w:sz w:val="24"/>
        </w:rPr>
        <w:t> </w:t>
      </w:r>
      <w:r>
        <w:rPr>
          <w:sz w:val="24"/>
        </w:rPr>
        <w:t>the</w:t>
      </w:r>
      <w:r>
        <w:rPr>
          <w:spacing w:val="-19"/>
          <w:sz w:val="24"/>
        </w:rPr>
        <w:t> </w:t>
      </w:r>
      <w:r>
        <w:rPr>
          <w:sz w:val="24"/>
        </w:rPr>
        <w:t>total</w:t>
      </w:r>
      <w:r>
        <w:rPr>
          <w:spacing w:val="-19"/>
          <w:sz w:val="24"/>
        </w:rPr>
        <w:t> </w:t>
      </w:r>
      <w:r>
        <w:rPr>
          <w:sz w:val="24"/>
        </w:rPr>
        <w:t>area,</w:t>
      </w:r>
      <w:r>
        <w:rPr>
          <w:spacing w:val="-18"/>
          <w:sz w:val="24"/>
        </w:rPr>
        <w:t> </w:t>
      </w:r>
      <w:r>
        <w:rPr>
          <w:sz w:val="24"/>
        </w:rPr>
        <w:t>then</w:t>
      </w:r>
      <w:r>
        <w:rPr>
          <w:spacing w:val="-19"/>
          <w:sz w:val="24"/>
        </w:rPr>
        <w:t> </w:t>
      </w:r>
      <w:r>
        <w:rPr>
          <w:sz w:val="24"/>
        </w:rPr>
        <w:t>area</w:t>
      </w:r>
      <w:r>
        <w:rPr>
          <w:spacing w:val="-19"/>
          <w:sz w:val="24"/>
        </w:rPr>
        <w:t> </w:t>
      </w:r>
      <w:r>
        <w:rPr>
          <w:sz w:val="24"/>
        </w:rPr>
        <w:t>above 25%</w:t>
      </w:r>
      <w:r>
        <w:rPr>
          <w:spacing w:val="-7"/>
          <w:sz w:val="24"/>
        </w:rPr>
        <w:t> </w:t>
      </w:r>
      <w:r>
        <w:rPr>
          <w:sz w:val="24"/>
        </w:rPr>
        <w:t>shall</w:t>
      </w:r>
      <w:r>
        <w:rPr>
          <w:spacing w:val="-7"/>
          <w:sz w:val="24"/>
        </w:rPr>
        <w:t> </w:t>
      </w:r>
      <w:r>
        <w:rPr>
          <w:sz w:val="24"/>
        </w:rPr>
        <w:t>be</w:t>
      </w:r>
      <w:r>
        <w:rPr>
          <w:spacing w:val="-7"/>
          <w:sz w:val="24"/>
        </w:rPr>
        <w:t> </w:t>
      </w:r>
      <w:r>
        <w:rPr>
          <w:sz w:val="24"/>
        </w:rPr>
        <w:t>deducted</w:t>
      </w:r>
      <w:r>
        <w:rPr>
          <w:spacing w:val="-7"/>
          <w:sz w:val="24"/>
        </w:rPr>
        <w:t> </w:t>
      </w:r>
      <w:r>
        <w:rPr>
          <w:sz w:val="24"/>
        </w:rPr>
        <w:t>from</w:t>
      </w:r>
      <w:r>
        <w:rPr>
          <w:spacing w:val="-7"/>
          <w:sz w:val="24"/>
        </w:rPr>
        <w:t> </w:t>
      </w:r>
      <w:r>
        <w:rPr>
          <w:sz w:val="24"/>
        </w:rPr>
        <w:t>plot</w:t>
      </w:r>
      <w:r>
        <w:rPr>
          <w:spacing w:val="-7"/>
          <w:sz w:val="24"/>
        </w:rPr>
        <w:t> </w:t>
      </w:r>
      <w:r>
        <w:rPr>
          <w:sz w:val="24"/>
        </w:rPr>
        <w:t>area.</w:t>
      </w:r>
      <w:r>
        <w:rPr>
          <w:spacing w:val="-5"/>
          <w:sz w:val="24"/>
        </w:rPr>
        <w:t> </w:t>
      </w:r>
      <w:r>
        <w:rPr>
          <w:sz w:val="24"/>
        </w:rPr>
        <w:t>FSI</w:t>
      </w:r>
      <w:r>
        <w:rPr>
          <w:spacing w:val="-5"/>
          <w:sz w:val="24"/>
        </w:rPr>
        <w:t> </w:t>
      </w:r>
      <w:r>
        <w:rPr>
          <w:sz w:val="24"/>
        </w:rPr>
        <w:t>for</w:t>
      </w:r>
      <w:r>
        <w:rPr>
          <w:spacing w:val="-7"/>
          <w:sz w:val="24"/>
        </w:rPr>
        <w:t> </w:t>
      </w:r>
      <w:r>
        <w:rPr>
          <w:sz w:val="24"/>
        </w:rPr>
        <w:t>deducted</w:t>
      </w:r>
      <w:r>
        <w:rPr>
          <w:spacing w:val="-7"/>
          <w:sz w:val="24"/>
        </w:rPr>
        <w:t> </w:t>
      </w:r>
      <w:r>
        <w:rPr>
          <w:sz w:val="24"/>
        </w:rPr>
        <w:t>area</w:t>
      </w:r>
      <w:r>
        <w:rPr>
          <w:spacing w:val="-7"/>
          <w:sz w:val="24"/>
        </w:rPr>
        <w:t> </w:t>
      </w:r>
      <w:r>
        <w:rPr>
          <w:sz w:val="24"/>
        </w:rPr>
        <w:t>shall</w:t>
      </w:r>
      <w:r>
        <w:rPr>
          <w:spacing w:val="-7"/>
          <w:sz w:val="24"/>
        </w:rPr>
        <w:t> </w:t>
      </w:r>
      <w:r>
        <w:rPr>
          <w:sz w:val="24"/>
        </w:rPr>
        <w:t>be</w:t>
      </w:r>
      <w:r>
        <w:rPr>
          <w:spacing w:val="-7"/>
          <w:sz w:val="24"/>
        </w:rPr>
        <w:t> </w:t>
      </w:r>
      <w:r>
        <w:rPr>
          <w:sz w:val="24"/>
        </w:rPr>
        <w:t>as per Regulation</w:t>
      </w:r>
      <w:r>
        <w:rPr>
          <w:spacing w:val="15"/>
          <w:sz w:val="24"/>
        </w:rPr>
        <w:t> </w:t>
      </w:r>
      <w:r>
        <w:rPr>
          <w:sz w:val="24"/>
        </w:rPr>
        <w:t>No 30 and the FSI</w:t>
      </w:r>
      <w:r>
        <w:rPr>
          <w:spacing w:val="16"/>
          <w:sz w:val="24"/>
        </w:rPr>
        <w:t> </w:t>
      </w:r>
      <w:r>
        <w:rPr>
          <w:sz w:val="24"/>
        </w:rPr>
        <w:t>for the remaining plot area shall be</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72"/>
      </w:pPr>
      <w:r>
        <w:rPr/>
        <w:t>as per 33(7).</w:t>
      </w:r>
      <w:r>
        <w:rPr>
          <w:spacing w:val="80"/>
        </w:rPr>
        <w:t> </w:t>
      </w:r>
      <w:r>
        <w:rPr/>
        <w:t>Provision of clause no 2 above shall</w:t>
      </w:r>
      <w:r>
        <w:rPr>
          <w:spacing w:val="80"/>
        </w:rPr>
        <w:t> </w:t>
      </w:r>
      <w:r>
        <w:rPr/>
        <w:t>be made applicable to non-cessed occupier.</w:t>
      </w:r>
    </w:p>
    <w:p>
      <w:pPr>
        <w:pStyle w:val="BodyText"/>
        <w:spacing w:before="241"/>
        <w:ind w:left="2062" w:right="838" w:firstLine="537"/>
        <w:jc w:val="left"/>
      </w:pPr>
      <w:r>
        <w:rPr/>
        <w:t>Provided that the 25% land component of non-cessed structures will be eligible for FSI as per Regulation 33(7) only</w:t>
      </w:r>
    </w:p>
    <w:p>
      <w:pPr>
        <w:pStyle w:val="ListParagraph"/>
        <w:numPr>
          <w:ilvl w:val="0"/>
          <w:numId w:val="147"/>
        </w:numPr>
        <w:tabs>
          <w:tab w:pos="2534" w:val="left" w:leader="none"/>
        </w:tabs>
        <w:spacing w:line="240" w:lineRule="auto" w:before="240" w:after="0"/>
        <w:ind w:left="2062" w:right="768" w:firstLine="0"/>
        <w:jc w:val="both"/>
        <w:rPr>
          <w:sz w:val="24"/>
        </w:rPr>
      </w:pPr>
      <w:r>
        <w:rPr>
          <w:sz w:val="24"/>
        </w:rPr>
        <w:t>(a) In case of layout of MCGM owned plots/ Municipal plot where development</w:t>
      </w:r>
      <w:r>
        <w:rPr>
          <w:spacing w:val="-4"/>
          <w:sz w:val="24"/>
        </w:rPr>
        <w:t> </w:t>
      </w:r>
      <w:r>
        <w:rPr>
          <w:sz w:val="24"/>
        </w:rPr>
        <w:t>is</w:t>
      </w:r>
      <w:r>
        <w:rPr>
          <w:spacing w:val="-4"/>
          <w:sz w:val="24"/>
        </w:rPr>
        <w:t> </w:t>
      </w:r>
      <w:r>
        <w:rPr>
          <w:sz w:val="24"/>
        </w:rPr>
        <w:t>proposed</w:t>
      </w:r>
      <w:r>
        <w:rPr>
          <w:spacing w:val="-4"/>
          <w:sz w:val="24"/>
        </w:rPr>
        <w:t> </w:t>
      </w:r>
      <w:r>
        <w:rPr>
          <w:sz w:val="24"/>
        </w:rPr>
        <w:t>under</w:t>
      </w:r>
      <w:r>
        <w:rPr>
          <w:spacing w:val="-4"/>
          <w:sz w:val="24"/>
        </w:rPr>
        <w:t> </w:t>
      </w:r>
      <w:r>
        <w:rPr>
          <w:sz w:val="24"/>
        </w:rPr>
        <w:t>this</w:t>
      </w:r>
      <w:r>
        <w:rPr>
          <w:spacing w:val="-4"/>
          <w:sz w:val="24"/>
        </w:rPr>
        <w:t> </w:t>
      </w:r>
      <w:r>
        <w:rPr>
          <w:sz w:val="24"/>
        </w:rPr>
        <w:t>Regulation</w:t>
      </w:r>
      <w:r>
        <w:rPr>
          <w:spacing w:val="-4"/>
          <w:sz w:val="24"/>
        </w:rPr>
        <w:t> </w:t>
      </w:r>
      <w:r>
        <w:rPr>
          <w:sz w:val="24"/>
        </w:rPr>
        <w:t>and</w:t>
      </w:r>
      <w:r>
        <w:rPr>
          <w:spacing w:val="-4"/>
          <w:sz w:val="24"/>
        </w:rPr>
        <w:t> </w:t>
      </w:r>
      <w:r>
        <w:rPr>
          <w:sz w:val="24"/>
        </w:rPr>
        <w:t>where</w:t>
      </w:r>
      <w:r>
        <w:rPr>
          <w:spacing w:val="-4"/>
          <w:sz w:val="24"/>
        </w:rPr>
        <w:t> </w:t>
      </w:r>
      <w:r>
        <w:rPr>
          <w:sz w:val="24"/>
        </w:rPr>
        <w:t>such</w:t>
      </w:r>
      <w:r>
        <w:rPr>
          <w:spacing w:val="-4"/>
          <w:sz w:val="24"/>
        </w:rPr>
        <w:t> </w:t>
      </w:r>
      <w:r>
        <w:rPr>
          <w:sz w:val="24"/>
        </w:rPr>
        <w:t>land</w:t>
      </w:r>
      <w:r>
        <w:rPr>
          <w:spacing w:val="-4"/>
          <w:sz w:val="24"/>
        </w:rPr>
        <w:t> </w:t>
      </w:r>
      <w:r>
        <w:rPr>
          <w:sz w:val="24"/>
        </w:rPr>
        <w:t>is observed to be partially occupied by slum, under section 4 of Slum Act existing prior to 1.1.2000 or such other reference date notified by the Govt., then for integrated development of the entire layout area and in order</w:t>
      </w:r>
      <w:r>
        <w:rPr>
          <w:spacing w:val="-16"/>
          <w:sz w:val="24"/>
        </w:rPr>
        <w:t> </w:t>
      </w:r>
      <w:r>
        <w:rPr>
          <w:sz w:val="24"/>
        </w:rPr>
        <w:t>to</w:t>
      </w:r>
      <w:r>
        <w:rPr>
          <w:spacing w:val="-16"/>
          <w:sz w:val="24"/>
        </w:rPr>
        <w:t> </w:t>
      </w:r>
      <w:r>
        <w:rPr>
          <w:sz w:val="24"/>
        </w:rPr>
        <w:t>promote</w:t>
      </w:r>
      <w:r>
        <w:rPr>
          <w:spacing w:val="-16"/>
          <w:sz w:val="24"/>
        </w:rPr>
        <w:t> </w:t>
      </w:r>
      <w:r>
        <w:rPr>
          <w:sz w:val="24"/>
        </w:rPr>
        <w:t>flexibility,</w:t>
      </w:r>
      <w:r>
        <w:rPr>
          <w:spacing w:val="-16"/>
          <w:sz w:val="24"/>
        </w:rPr>
        <w:t> </w:t>
      </w:r>
      <w:r>
        <w:rPr>
          <w:sz w:val="24"/>
        </w:rPr>
        <w:t>MCGM</w:t>
      </w:r>
      <w:r>
        <w:rPr>
          <w:spacing w:val="-16"/>
          <w:sz w:val="24"/>
        </w:rPr>
        <w:t> </w:t>
      </w:r>
      <w:r>
        <w:rPr>
          <w:sz w:val="24"/>
        </w:rPr>
        <w:t>may</w:t>
      </w:r>
      <w:r>
        <w:rPr>
          <w:spacing w:val="-16"/>
          <w:sz w:val="24"/>
        </w:rPr>
        <w:t> </w:t>
      </w:r>
      <w:r>
        <w:rPr>
          <w:sz w:val="24"/>
        </w:rPr>
        <w:t>propose</w:t>
      </w:r>
      <w:r>
        <w:rPr>
          <w:spacing w:val="-16"/>
          <w:sz w:val="24"/>
        </w:rPr>
        <w:t> </w:t>
      </w:r>
      <w:r>
        <w:rPr>
          <w:sz w:val="24"/>
        </w:rPr>
        <w:t>development,</w:t>
      </w:r>
      <w:r>
        <w:rPr>
          <w:spacing w:val="-16"/>
          <w:sz w:val="24"/>
        </w:rPr>
        <w:t> </w:t>
      </w:r>
      <w:r>
        <w:rPr>
          <w:sz w:val="24"/>
        </w:rPr>
        <w:t>including area occupied by the slum, under this regulation.</w:t>
      </w:r>
    </w:p>
    <w:p>
      <w:pPr>
        <w:pStyle w:val="BodyText"/>
        <w:spacing w:before="242"/>
        <w:ind w:left="2062" w:right="766"/>
      </w:pPr>
      <w:r>
        <w:rPr/>
        <w:t>MCGM shall be the Planning Authority for the areas declared as slum under</w:t>
      </w:r>
      <w:r>
        <w:rPr>
          <w:spacing w:val="-5"/>
        </w:rPr>
        <w:t> </w:t>
      </w:r>
      <w:r>
        <w:rPr/>
        <w:t>section</w:t>
      </w:r>
      <w:r>
        <w:rPr>
          <w:spacing w:val="-5"/>
        </w:rPr>
        <w:t> </w:t>
      </w:r>
      <w:r>
        <w:rPr/>
        <w:t>4</w:t>
      </w:r>
      <w:r>
        <w:rPr>
          <w:spacing w:val="-5"/>
        </w:rPr>
        <w:t> </w:t>
      </w:r>
      <w:r>
        <w:rPr/>
        <w:t>of</w:t>
      </w:r>
      <w:r>
        <w:rPr>
          <w:spacing w:val="-3"/>
        </w:rPr>
        <w:t> </w:t>
      </w:r>
      <w:r>
        <w:rPr/>
        <w:t>Maharashtra</w:t>
      </w:r>
      <w:r>
        <w:rPr>
          <w:spacing w:val="-5"/>
        </w:rPr>
        <w:t> </w:t>
      </w:r>
      <w:r>
        <w:rPr/>
        <w:t>Slum</w:t>
      </w:r>
      <w:r>
        <w:rPr>
          <w:spacing w:val="-5"/>
        </w:rPr>
        <w:t> </w:t>
      </w:r>
      <w:r>
        <w:rPr/>
        <w:t>Area</w:t>
      </w:r>
      <w:r>
        <w:rPr>
          <w:spacing w:val="-5"/>
        </w:rPr>
        <w:t> </w:t>
      </w:r>
      <w:r>
        <w:rPr/>
        <w:t>(Improvement)</w:t>
      </w:r>
      <w:r>
        <w:rPr>
          <w:spacing w:val="-5"/>
        </w:rPr>
        <w:t> </w:t>
      </w:r>
      <w:r>
        <w:rPr/>
        <w:t>Act,</w:t>
      </w:r>
      <w:r>
        <w:rPr>
          <w:spacing w:val="-5"/>
        </w:rPr>
        <w:t> </w:t>
      </w:r>
      <w:r>
        <w:rPr/>
        <w:t>1971</w:t>
      </w:r>
      <w:r>
        <w:rPr>
          <w:spacing w:val="-3"/>
        </w:rPr>
        <w:t> </w:t>
      </w:r>
      <w:r>
        <w:rPr/>
        <w:t>on Municipal</w:t>
      </w:r>
      <w:r>
        <w:rPr>
          <w:spacing w:val="-11"/>
        </w:rPr>
        <w:t> </w:t>
      </w:r>
      <w:r>
        <w:rPr/>
        <w:t>land</w:t>
      </w:r>
      <w:r>
        <w:rPr>
          <w:spacing w:val="-11"/>
        </w:rPr>
        <w:t> </w:t>
      </w:r>
      <w:r>
        <w:rPr/>
        <w:t>existing</w:t>
      </w:r>
      <w:r>
        <w:rPr>
          <w:spacing w:val="-11"/>
        </w:rPr>
        <w:t> </w:t>
      </w:r>
      <w:r>
        <w:rPr/>
        <w:t>prior</w:t>
      </w:r>
      <w:r>
        <w:rPr>
          <w:spacing w:val="-11"/>
        </w:rPr>
        <w:t> </w:t>
      </w:r>
      <w:r>
        <w:rPr/>
        <w:t>to</w:t>
      </w:r>
      <w:r>
        <w:rPr>
          <w:spacing w:val="-11"/>
        </w:rPr>
        <w:t> </w:t>
      </w:r>
      <w:r>
        <w:rPr/>
        <w:t>01.01.2000</w:t>
      </w:r>
      <w:r>
        <w:rPr>
          <w:spacing w:val="-11"/>
        </w:rPr>
        <w:t> </w:t>
      </w:r>
      <w:r>
        <w:rPr/>
        <w:t>or</w:t>
      </w:r>
      <w:r>
        <w:rPr>
          <w:spacing w:val="-10"/>
        </w:rPr>
        <w:t> </w:t>
      </w:r>
      <w:r>
        <w:rPr/>
        <w:t>date</w:t>
      </w:r>
      <w:r>
        <w:rPr>
          <w:spacing w:val="-11"/>
        </w:rPr>
        <w:t> </w:t>
      </w:r>
      <w:r>
        <w:rPr/>
        <w:t>as</w:t>
      </w:r>
      <w:r>
        <w:rPr>
          <w:spacing w:val="-11"/>
        </w:rPr>
        <w:t> </w:t>
      </w:r>
      <w:r>
        <w:rPr/>
        <w:t>notified</w:t>
      </w:r>
      <w:r>
        <w:rPr>
          <w:spacing w:val="-11"/>
        </w:rPr>
        <w:t> </w:t>
      </w:r>
      <w:r>
        <w:rPr/>
        <w:t>by</w:t>
      </w:r>
      <w:r>
        <w:rPr>
          <w:spacing w:val="-10"/>
        </w:rPr>
        <w:t> </w:t>
      </w:r>
      <w:r>
        <w:rPr/>
        <w:t>Govt., wherein slum area do not constitute more than 50% of the plot area under</w:t>
      </w:r>
      <w:r>
        <w:rPr>
          <w:spacing w:val="-1"/>
        </w:rPr>
        <w:t> </w:t>
      </w:r>
      <w:r>
        <w:rPr/>
        <w:t>redevelopment,</w:t>
      </w:r>
      <w:r>
        <w:rPr>
          <w:spacing w:val="-1"/>
        </w:rPr>
        <w:t> </w:t>
      </w:r>
      <w:r>
        <w:rPr/>
        <w:t>in</w:t>
      </w:r>
      <w:r>
        <w:rPr>
          <w:spacing w:val="-1"/>
        </w:rPr>
        <w:t> </w:t>
      </w:r>
      <w:r>
        <w:rPr/>
        <w:t>such</w:t>
      </w:r>
      <w:r>
        <w:rPr>
          <w:spacing w:val="-1"/>
        </w:rPr>
        <w:t> </w:t>
      </w:r>
      <w:r>
        <w:rPr/>
        <w:t>cases the Planning</w:t>
      </w:r>
      <w:r>
        <w:rPr>
          <w:spacing w:val="-1"/>
        </w:rPr>
        <w:t> </w:t>
      </w:r>
      <w:r>
        <w:rPr/>
        <w:t>Authority</w:t>
      </w:r>
      <w:r>
        <w:rPr>
          <w:spacing w:val="-1"/>
        </w:rPr>
        <w:t> </w:t>
      </w:r>
      <w:r>
        <w:rPr/>
        <w:t>shall</w:t>
      </w:r>
      <w:r>
        <w:rPr>
          <w:spacing w:val="-1"/>
        </w:rPr>
        <w:t> </w:t>
      </w:r>
      <w:r>
        <w:rPr/>
        <w:t>be</w:t>
      </w:r>
      <w:r>
        <w:rPr>
          <w:spacing w:val="-1"/>
        </w:rPr>
        <w:t> </w:t>
      </w:r>
      <w:r>
        <w:rPr/>
        <w:t>as decided by Municipal Commissioner.</w:t>
      </w:r>
    </w:p>
    <w:p>
      <w:pPr>
        <w:pStyle w:val="BodyText"/>
        <w:jc w:val="left"/>
      </w:pPr>
    </w:p>
    <w:p>
      <w:pPr>
        <w:pStyle w:val="BodyText"/>
        <w:spacing w:before="196"/>
        <w:jc w:val="left"/>
      </w:pPr>
    </w:p>
    <w:p>
      <w:pPr>
        <w:pStyle w:val="ListParagraph"/>
        <w:numPr>
          <w:ilvl w:val="0"/>
          <w:numId w:val="149"/>
        </w:numPr>
        <w:tabs>
          <w:tab w:pos="2495" w:val="left" w:leader="none"/>
        </w:tabs>
        <w:spacing w:line="240" w:lineRule="auto" w:before="0" w:after="0"/>
        <w:ind w:left="2062" w:right="768" w:firstLine="0"/>
        <w:jc w:val="both"/>
        <w:rPr>
          <w:sz w:val="24"/>
        </w:rPr>
      </w:pPr>
      <w:r>
        <w:rPr>
          <w:sz w:val="24"/>
        </w:rPr>
        <w:t>(i) Each eligible residential or residential cum commercial slum dweller</w:t>
      </w:r>
      <w:r>
        <w:rPr>
          <w:spacing w:val="-14"/>
          <w:sz w:val="24"/>
        </w:rPr>
        <w:t> </w:t>
      </w:r>
      <w:r>
        <w:rPr>
          <w:sz w:val="24"/>
        </w:rPr>
        <w:t>shall</w:t>
      </w:r>
      <w:r>
        <w:rPr>
          <w:spacing w:val="-14"/>
          <w:sz w:val="24"/>
        </w:rPr>
        <w:t> </w:t>
      </w:r>
      <w:r>
        <w:rPr>
          <w:sz w:val="24"/>
        </w:rPr>
        <w:t>be</w:t>
      </w:r>
      <w:r>
        <w:rPr>
          <w:spacing w:val="-14"/>
          <w:sz w:val="24"/>
        </w:rPr>
        <w:t> </w:t>
      </w:r>
      <w:r>
        <w:rPr>
          <w:sz w:val="24"/>
        </w:rPr>
        <w:t>entitled</w:t>
      </w:r>
      <w:r>
        <w:rPr>
          <w:spacing w:val="-14"/>
          <w:sz w:val="24"/>
        </w:rPr>
        <w:t> </w:t>
      </w:r>
      <w:r>
        <w:rPr>
          <w:sz w:val="24"/>
        </w:rPr>
        <w:t>to</w:t>
      </w:r>
      <w:r>
        <w:rPr>
          <w:spacing w:val="-14"/>
          <w:sz w:val="24"/>
        </w:rPr>
        <w:t> </w:t>
      </w:r>
      <w:r>
        <w:rPr>
          <w:sz w:val="24"/>
        </w:rPr>
        <w:t>a</w:t>
      </w:r>
      <w:r>
        <w:rPr>
          <w:spacing w:val="-14"/>
          <w:sz w:val="24"/>
        </w:rPr>
        <w:t> </w:t>
      </w:r>
      <w:r>
        <w:rPr>
          <w:sz w:val="24"/>
        </w:rPr>
        <w:t>tenement</w:t>
      </w:r>
      <w:r>
        <w:rPr>
          <w:spacing w:val="-14"/>
          <w:sz w:val="24"/>
        </w:rPr>
        <w:t> </w:t>
      </w:r>
      <w:r>
        <w:rPr>
          <w:sz w:val="24"/>
        </w:rPr>
        <w:t>of</w:t>
      </w:r>
      <w:r>
        <w:rPr>
          <w:spacing w:val="-12"/>
          <w:sz w:val="24"/>
        </w:rPr>
        <w:t> </w:t>
      </w:r>
      <w:r>
        <w:rPr>
          <w:sz w:val="24"/>
        </w:rPr>
        <w:t>carpet</w:t>
      </w:r>
      <w:r>
        <w:rPr>
          <w:spacing w:val="-14"/>
          <w:sz w:val="24"/>
        </w:rPr>
        <w:t> </w:t>
      </w:r>
      <w:r>
        <w:rPr>
          <w:sz w:val="24"/>
        </w:rPr>
        <w:t>area</w:t>
      </w:r>
      <w:r>
        <w:rPr>
          <w:spacing w:val="-14"/>
          <w:sz w:val="24"/>
        </w:rPr>
        <w:t> </w:t>
      </w:r>
      <w:r>
        <w:rPr>
          <w:sz w:val="24"/>
        </w:rPr>
        <w:t>of</w:t>
      </w:r>
      <w:r>
        <w:rPr>
          <w:spacing w:val="40"/>
          <w:sz w:val="24"/>
        </w:rPr>
        <w:t> </w:t>
      </w:r>
      <w:r>
        <w:rPr>
          <w:sz w:val="24"/>
        </w:rPr>
        <w:t>27.88</w:t>
      </w:r>
      <w:r>
        <w:rPr>
          <w:spacing w:val="-12"/>
          <w:sz w:val="24"/>
        </w:rPr>
        <w:t> </w:t>
      </w:r>
      <w:r>
        <w:rPr>
          <w:sz w:val="24"/>
        </w:rPr>
        <w:t>sq.</w:t>
      </w:r>
      <w:r>
        <w:rPr>
          <w:spacing w:val="-14"/>
          <w:sz w:val="24"/>
        </w:rPr>
        <w:t> </w:t>
      </w:r>
      <w:r>
        <w:rPr>
          <w:sz w:val="24"/>
        </w:rPr>
        <w:t>m</w:t>
      </w:r>
      <w:r>
        <w:rPr>
          <w:spacing w:val="-14"/>
          <w:sz w:val="24"/>
        </w:rPr>
        <w:t> </w:t>
      </w:r>
      <w:r>
        <w:rPr>
          <w:sz w:val="24"/>
        </w:rPr>
        <w:t>300 (sq. ft.) and</w:t>
      </w:r>
    </w:p>
    <w:p>
      <w:pPr>
        <w:pStyle w:val="BodyText"/>
        <w:spacing w:before="243"/>
        <w:ind w:left="2062" w:firstLine="537"/>
        <w:jc w:val="left"/>
      </w:pPr>
      <w:r>
        <w:rPr/>
        <w:t>(ii)Existing</w:t>
      </w:r>
      <w:r>
        <w:rPr>
          <w:spacing w:val="26"/>
        </w:rPr>
        <w:t> </w:t>
      </w:r>
      <w:r>
        <w:rPr/>
        <w:t>or</w:t>
      </w:r>
      <w:r>
        <w:rPr>
          <w:spacing w:val="26"/>
        </w:rPr>
        <w:t> </w:t>
      </w:r>
      <w:r>
        <w:rPr/>
        <w:t>max</w:t>
      </w:r>
      <w:r>
        <w:rPr>
          <w:spacing w:val="26"/>
        </w:rPr>
        <w:t> </w:t>
      </w:r>
      <w:r>
        <w:rPr/>
        <w:t>20.90</w:t>
      </w:r>
      <w:r>
        <w:rPr>
          <w:spacing w:val="26"/>
        </w:rPr>
        <w:t> </w:t>
      </w:r>
      <w:r>
        <w:rPr/>
        <w:t>sq.</w:t>
      </w:r>
      <w:r>
        <w:rPr>
          <w:spacing w:val="26"/>
        </w:rPr>
        <w:t> </w:t>
      </w:r>
      <w:r>
        <w:rPr/>
        <w:t>m</w:t>
      </w:r>
      <w:r>
        <w:rPr>
          <w:spacing w:val="26"/>
        </w:rPr>
        <w:t> </w:t>
      </w:r>
      <w:r>
        <w:rPr/>
        <w:t>whichever</w:t>
      </w:r>
      <w:r>
        <w:rPr>
          <w:spacing w:val="26"/>
        </w:rPr>
        <w:t> </w:t>
      </w:r>
      <w:r>
        <w:rPr/>
        <w:t>is</w:t>
      </w:r>
      <w:r>
        <w:rPr>
          <w:spacing w:val="26"/>
        </w:rPr>
        <w:t> </w:t>
      </w:r>
      <w:r>
        <w:rPr/>
        <w:t>less</w:t>
      </w:r>
      <w:r>
        <w:rPr>
          <w:spacing w:val="26"/>
        </w:rPr>
        <w:t> </w:t>
      </w:r>
      <w:r>
        <w:rPr/>
        <w:t>in</w:t>
      </w:r>
      <w:r>
        <w:rPr>
          <w:spacing w:val="26"/>
        </w:rPr>
        <w:t> </w:t>
      </w:r>
      <w:r>
        <w:rPr/>
        <w:t>case</w:t>
      </w:r>
      <w:r>
        <w:rPr>
          <w:spacing w:val="26"/>
        </w:rPr>
        <w:t> </w:t>
      </w:r>
      <w:r>
        <w:rPr/>
        <w:t>of</w:t>
      </w:r>
      <w:r>
        <w:rPr>
          <w:spacing w:val="26"/>
        </w:rPr>
        <w:t> </w:t>
      </w:r>
      <w:r>
        <w:rPr/>
        <w:t>non- </w:t>
      </w:r>
      <w:r>
        <w:rPr>
          <w:spacing w:val="-2"/>
        </w:rPr>
        <w:t>residential.</w:t>
      </w:r>
    </w:p>
    <w:p>
      <w:pPr>
        <w:pStyle w:val="ListParagraph"/>
        <w:numPr>
          <w:ilvl w:val="0"/>
          <w:numId w:val="149"/>
        </w:numPr>
        <w:tabs>
          <w:tab w:pos="2498" w:val="left" w:leader="none"/>
        </w:tabs>
        <w:spacing w:line="240" w:lineRule="auto" w:before="238" w:after="0"/>
        <w:ind w:left="2062" w:right="769" w:firstLine="0"/>
        <w:jc w:val="both"/>
        <w:rPr>
          <w:sz w:val="24"/>
        </w:rPr>
      </w:pPr>
      <w:r>
        <w:rPr>
          <w:sz w:val="24"/>
        </w:rPr>
        <w:t>If such land occupied by slum is observed to be affected by reservation then the development of reservation on land occupied by slum shall be regulated by the Regulation No 17(3)(D)</w:t>
      </w:r>
    </w:p>
    <w:p>
      <w:pPr>
        <w:pStyle w:val="ListParagraph"/>
        <w:numPr>
          <w:ilvl w:val="0"/>
          <w:numId w:val="149"/>
        </w:numPr>
        <w:tabs>
          <w:tab w:pos="2438" w:val="left" w:leader="none"/>
        </w:tabs>
        <w:spacing w:line="240" w:lineRule="auto" w:before="239" w:after="0"/>
        <w:ind w:left="2062" w:right="770" w:firstLine="0"/>
        <w:jc w:val="both"/>
        <w:rPr>
          <w:sz w:val="24"/>
        </w:rPr>
      </w:pPr>
      <w:r>
        <w:rPr>
          <w:sz w:val="24"/>
        </w:rPr>
        <w:t>Corpus fund: An</w:t>
      </w:r>
      <w:r>
        <w:rPr>
          <w:spacing w:val="-1"/>
          <w:sz w:val="24"/>
        </w:rPr>
        <w:t> </w:t>
      </w:r>
      <w:r>
        <w:rPr>
          <w:sz w:val="24"/>
        </w:rPr>
        <w:t>amount of Rs.40000 or as may be decided by SRA as per Regulation No 33(10) shall be deposited with MCGM for each eligible slum dwellers</w:t>
      </w:r>
    </w:p>
    <w:p>
      <w:pPr>
        <w:pStyle w:val="BodyText"/>
        <w:spacing w:before="242"/>
        <w:ind w:left="2062" w:right="770"/>
      </w:pPr>
      <w:r>
        <w:rPr/>
        <w:t>21) Notwithstanding anything contained in these Regulations existing 9m.</w:t>
      </w:r>
      <w:r>
        <w:rPr>
          <w:spacing w:val="-1"/>
        </w:rPr>
        <w:t> </w:t>
      </w:r>
      <w:r>
        <w:rPr/>
        <w:t>width of road shall</w:t>
      </w:r>
      <w:r>
        <w:rPr>
          <w:spacing w:val="-1"/>
        </w:rPr>
        <w:t> </w:t>
      </w:r>
      <w:r>
        <w:rPr/>
        <w:t>be essential for any</w:t>
      </w:r>
      <w:r>
        <w:rPr>
          <w:spacing w:val="-1"/>
        </w:rPr>
        <w:t> </w:t>
      </w:r>
      <w:r>
        <w:rPr/>
        <w:t>height of building</w:t>
      </w:r>
      <w:r>
        <w:rPr>
          <w:spacing w:val="2"/>
        </w:rPr>
        <w:t> </w:t>
      </w:r>
      <w:r>
        <w:rPr/>
        <w:t>above </w:t>
      </w:r>
      <w:r>
        <w:rPr>
          <w:spacing w:val="-5"/>
        </w:rPr>
        <w:t>32</w:t>
      </w:r>
    </w:p>
    <w:p>
      <w:pPr>
        <w:pStyle w:val="BodyText"/>
        <w:spacing w:line="280" w:lineRule="exact"/>
        <w:ind w:left="2062"/>
      </w:pPr>
      <w:r>
        <w:rPr/>
        <w:t>m. </w:t>
      </w:r>
      <w:r>
        <w:rPr>
          <w:spacing w:val="-2"/>
        </w:rPr>
        <w:t>height.</w:t>
      </w:r>
    </w:p>
    <w:p>
      <w:pPr>
        <w:pStyle w:val="BodyText"/>
        <w:jc w:val="left"/>
      </w:pPr>
    </w:p>
    <w:p>
      <w:pPr>
        <w:pStyle w:val="BodyText"/>
        <w:spacing w:before="199"/>
        <w:jc w:val="left"/>
      </w:pPr>
    </w:p>
    <w:p>
      <w:pPr>
        <w:pStyle w:val="Heading5"/>
        <w:ind w:left="2050" w:right="782" w:hanging="567"/>
        <w:jc w:val="both"/>
      </w:pPr>
      <w:r>
        <w:rPr/>
        <w:t>33(7)(A) Reconstruction or redevelopment of dilapidated/unsafe existing authorized tenant occupied building in Suburbs and extended Suburbs and existing authorized </w:t>
      </w:r>
      <w:r>
        <w:rPr>
          <w:spacing w:val="10"/>
        </w:rPr>
        <w:t>non-</w:t>
      </w:r>
      <w:r>
        <w:rPr/>
        <w:t>cessed tenant occupied</w:t>
      </w:r>
      <w:r>
        <w:rPr>
          <w:spacing w:val="40"/>
        </w:rPr>
        <w:t> </w:t>
      </w:r>
      <w:r>
        <w:rPr/>
        <w:t>buildings</w:t>
      </w:r>
      <w:r>
        <w:rPr>
          <w:spacing w:val="40"/>
        </w:rPr>
        <w:t> </w:t>
      </w:r>
      <w:r>
        <w:rPr/>
        <w:t>in</w:t>
      </w:r>
      <w:r>
        <w:rPr>
          <w:spacing w:val="40"/>
        </w:rPr>
        <w:t> </w:t>
      </w:r>
      <w:r>
        <w:rPr/>
        <w:t>Mumbai</w:t>
      </w:r>
      <w:r>
        <w:rPr>
          <w:spacing w:val="40"/>
        </w:rPr>
        <w:t> </w:t>
      </w:r>
      <w:r>
        <w:rPr/>
        <w:t>City.</w:t>
      </w:r>
    </w:p>
    <w:p>
      <w:pPr>
        <w:pStyle w:val="Heading5"/>
        <w:spacing w:after="0"/>
        <w:jc w:val="both"/>
        <w:sectPr>
          <w:pgSz w:w="11910" w:h="16840"/>
          <w:pgMar w:header="1065" w:footer="1194" w:top="1500" w:bottom="1380" w:left="360" w:right="360"/>
        </w:sectPr>
      </w:pPr>
    </w:p>
    <w:p>
      <w:pPr>
        <w:pStyle w:val="BodyText"/>
        <w:spacing w:before="250"/>
        <w:jc w:val="left"/>
        <w:rPr>
          <w:b/>
        </w:rPr>
      </w:pPr>
    </w:p>
    <w:p>
      <w:pPr>
        <w:pStyle w:val="BodyText"/>
        <w:ind w:left="2050" w:right="768"/>
      </w:pPr>
      <w:r>
        <w:rPr/>
        <w:t>For reconstruction/redevelopment of existing authorized </w:t>
      </w:r>
      <w:r>
        <w:rPr/>
        <w:t>tenant- occupied buildings, which have been declared unsafe for human habitation</w:t>
      </w:r>
      <w:r>
        <w:rPr>
          <w:spacing w:val="-19"/>
        </w:rPr>
        <w:t> </w:t>
      </w:r>
      <w:r>
        <w:rPr/>
        <w:t>by</w:t>
      </w:r>
      <w:r>
        <w:rPr>
          <w:spacing w:val="-19"/>
        </w:rPr>
        <w:t> </w:t>
      </w:r>
      <w:r>
        <w:rPr/>
        <w:t>or</w:t>
      </w:r>
      <w:r>
        <w:rPr>
          <w:spacing w:val="-19"/>
        </w:rPr>
        <w:t> </w:t>
      </w:r>
      <w:r>
        <w:rPr/>
        <w:t>are</w:t>
      </w:r>
      <w:r>
        <w:rPr>
          <w:spacing w:val="-17"/>
        </w:rPr>
        <w:t> </w:t>
      </w:r>
      <w:r>
        <w:rPr/>
        <w:t>to</w:t>
      </w:r>
      <w:r>
        <w:rPr>
          <w:spacing w:val="-19"/>
        </w:rPr>
        <w:t> </w:t>
      </w:r>
      <w:r>
        <w:rPr/>
        <w:t>be</w:t>
      </w:r>
      <w:r>
        <w:rPr>
          <w:spacing w:val="-19"/>
        </w:rPr>
        <w:t> </w:t>
      </w:r>
      <w:r>
        <w:rPr/>
        <w:t>demolished</w:t>
      </w:r>
      <w:r>
        <w:rPr>
          <w:spacing w:val="-19"/>
        </w:rPr>
        <w:t> </w:t>
      </w:r>
      <w:r>
        <w:rPr/>
        <w:t>for</w:t>
      </w:r>
      <w:r>
        <w:rPr>
          <w:spacing w:val="-17"/>
        </w:rPr>
        <w:t> </w:t>
      </w:r>
      <w:r>
        <w:rPr/>
        <w:t>the</w:t>
      </w:r>
      <w:r>
        <w:rPr>
          <w:spacing w:val="-19"/>
        </w:rPr>
        <w:t> </w:t>
      </w:r>
      <w:r>
        <w:rPr/>
        <w:t>same</w:t>
      </w:r>
      <w:r>
        <w:rPr>
          <w:spacing w:val="-19"/>
        </w:rPr>
        <w:t> </w:t>
      </w:r>
      <w:r>
        <w:rPr/>
        <w:t>reason</w:t>
      </w:r>
      <w:r>
        <w:rPr>
          <w:spacing w:val="-19"/>
        </w:rPr>
        <w:t> </w:t>
      </w:r>
      <w:r>
        <w:rPr/>
        <w:t>under</w:t>
      </w:r>
      <w:r>
        <w:rPr>
          <w:spacing w:val="-19"/>
        </w:rPr>
        <w:t> </w:t>
      </w:r>
      <w:r>
        <w:rPr/>
        <w:t>a</w:t>
      </w:r>
      <w:r>
        <w:rPr>
          <w:spacing w:val="-19"/>
        </w:rPr>
        <w:t> </w:t>
      </w:r>
      <w:r>
        <w:rPr/>
        <w:t>lawful order by the Municipal Corporation of Greater Mumbai and duly certified as such, undertaken by landlord/s or Co-operative Housing Societies</w:t>
      </w:r>
      <w:r>
        <w:rPr>
          <w:spacing w:val="-16"/>
        </w:rPr>
        <w:t> </w:t>
      </w:r>
      <w:r>
        <w:rPr/>
        <w:t>of</w:t>
      </w:r>
      <w:r>
        <w:rPr>
          <w:spacing w:val="-16"/>
        </w:rPr>
        <w:t> </w:t>
      </w:r>
      <w:r>
        <w:rPr/>
        <w:t>existing</w:t>
      </w:r>
      <w:r>
        <w:rPr>
          <w:spacing w:val="-16"/>
        </w:rPr>
        <w:t> </w:t>
      </w:r>
      <w:r>
        <w:rPr/>
        <w:t>tenants,</w:t>
      </w:r>
      <w:r>
        <w:rPr>
          <w:spacing w:val="-16"/>
        </w:rPr>
        <w:t> </w:t>
      </w:r>
      <w:r>
        <w:rPr/>
        <w:t>the</w:t>
      </w:r>
      <w:r>
        <w:rPr>
          <w:spacing w:val="-16"/>
        </w:rPr>
        <w:t> </w:t>
      </w:r>
      <w:r>
        <w:rPr/>
        <w:t>permissible</w:t>
      </w:r>
      <w:r>
        <w:rPr>
          <w:spacing w:val="-16"/>
        </w:rPr>
        <w:t> </w:t>
      </w:r>
      <w:r>
        <w:rPr/>
        <w:t>FSI</w:t>
      </w:r>
      <w:r>
        <w:rPr>
          <w:spacing w:val="-14"/>
        </w:rPr>
        <w:t> </w:t>
      </w:r>
      <w:r>
        <w:rPr/>
        <w:t>prescribed</w:t>
      </w:r>
      <w:r>
        <w:rPr>
          <w:spacing w:val="-14"/>
        </w:rPr>
        <w:t> </w:t>
      </w:r>
      <w:r>
        <w:rPr/>
        <w:t>under</w:t>
      </w:r>
      <w:r>
        <w:rPr>
          <w:spacing w:val="-16"/>
        </w:rPr>
        <w:t> </w:t>
      </w:r>
      <w:r>
        <w:rPr/>
        <w:t>these regulations and Appendix below, shall be admissible as under: -</w:t>
      </w:r>
    </w:p>
    <w:p>
      <w:pPr>
        <w:pStyle w:val="BodyText"/>
        <w:spacing w:before="240"/>
        <w:jc w:val="left"/>
      </w:pPr>
    </w:p>
    <w:p>
      <w:pPr>
        <w:pStyle w:val="ListParagraph"/>
        <w:numPr>
          <w:ilvl w:val="0"/>
          <w:numId w:val="150"/>
        </w:numPr>
        <w:tabs>
          <w:tab w:pos="2062" w:val="left" w:leader="none"/>
        </w:tabs>
        <w:spacing w:line="276" w:lineRule="auto" w:before="0" w:after="0"/>
        <w:ind w:left="2062" w:right="769" w:hanging="360"/>
        <w:jc w:val="both"/>
        <w:rPr>
          <w:sz w:val="22"/>
        </w:rPr>
      </w:pPr>
      <w:r>
        <w:rPr>
          <w:sz w:val="24"/>
        </w:rPr>
        <w:t>In</w:t>
      </w:r>
      <w:r>
        <w:rPr>
          <w:spacing w:val="-11"/>
          <w:sz w:val="24"/>
        </w:rPr>
        <w:t> </w:t>
      </w:r>
      <w:r>
        <w:rPr>
          <w:sz w:val="24"/>
        </w:rPr>
        <w:t>case</w:t>
      </w:r>
      <w:r>
        <w:rPr>
          <w:spacing w:val="-13"/>
          <w:sz w:val="24"/>
        </w:rPr>
        <w:t> </w:t>
      </w:r>
      <w:r>
        <w:rPr>
          <w:sz w:val="24"/>
        </w:rPr>
        <w:t>of</w:t>
      </w:r>
      <w:r>
        <w:rPr>
          <w:spacing w:val="-11"/>
          <w:sz w:val="24"/>
        </w:rPr>
        <w:t> </w:t>
      </w:r>
      <w:r>
        <w:rPr>
          <w:sz w:val="24"/>
        </w:rPr>
        <w:t>the</w:t>
      </w:r>
      <w:r>
        <w:rPr>
          <w:spacing w:val="-11"/>
          <w:sz w:val="24"/>
        </w:rPr>
        <w:t> </w:t>
      </w:r>
      <w:r>
        <w:rPr>
          <w:sz w:val="24"/>
        </w:rPr>
        <w:t>plot</w:t>
      </w:r>
      <w:r>
        <w:rPr>
          <w:spacing w:val="-13"/>
          <w:sz w:val="24"/>
        </w:rPr>
        <w:t> </w:t>
      </w:r>
      <w:r>
        <w:rPr>
          <w:sz w:val="24"/>
        </w:rPr>
        <w:t>consisting</w:t>
      </w:r>
      <w:r>
        <w:rPr>
          <w:spacing w:val="-11"/>
          <w:sz w:val="24"/>
        </w:rPr>
        <w:t> </w:t>
      </w:r>
      <w:r>
        <w:rPr>
          <w:sz w:val="24"/>
        </w:rPr>
        <w:t>of</w:t>
      </w:r>
      <w:r>
        <w:rPr>
          <w:spacing w:val="-11"/>
          <w:sz w:val="24"/>
        </w:rPr>
        <w:t> </w:t>
      </w:r>
      <w:r>
        <w:rPr>
          <w:sz w:val="24"/>
        </w:rPr>
        <w:t>only</w:t>
      </w:r>
      <w:r>
        <w:rPr>
          <w:spacing w:val="-9"/>
          <w:sz w:val="24"/>
        </w:rPr>
        <w:t> </w:t>
      </w:r>
      <w:r>
        <w:rPr>
          <w:sz w:val="24"/>
        </w:rPr>
        <w:t>tenant</w:t>
      </w:r>
      <w:r>
        <w:rPr>
          <w:spacing w:val="-11"/>
          <w:sz w:val="24"/>
        </w:rPr>
        <w:t> </w:t>
      </w:r>
      <w:r>
        <w:rPr>
          <w:sz w:val="24"/>
        </w:rPr>
        <w:t>occupied</w:t>
      </w:r>
      <w:r>
        <w:rPr>
          <w:spacing w:val="-11"/>
          <w:sz w:val="24"/>
        </w:rPr>
        <w:t> </w:t>
      </w:r>
      <w:r>
        <w:rPr>
          <w:sz w:val="24"/>
        </w:rPr>
        <w:t>building,</w:t>
      </w:r>
      <w:r>
        <w:rPr>
          <w:spacing w:val="-11"/>
          <w:sz w:val="24"/>
        </w:rPr>
        <w:t> </w:t>
      </w:r>
      <w:r>
        <w:rPr>
          <w:sz w:val="24"/>
        </w:rPr>
        <w:t>the</w:t>
      </w:r>
      <w:r>
        <w:rPr>
          <w:spacing w:val="-11"/>
          <w:sz w:val="24"/>
        </w:rPr>
        <w:t> </w:t>
      </w:r>
      <w:r>
        <w:rPr>
          <w:sz w:val="24"/>
        </w:rPr>
        <w:t>F.S.I. shall be equal to F.S.I. required for rehabilitation of existing lawful tenant plus 50% incentive F.S.I. and the occupier shall be eligible for 5% additional rehab carpet area</w:t>
      </w:r>
      <w:r>
        <w:rPr>
          <w:sz w:val="22"/>
        </w:rPr>
        <w:t>.</w:t>
      </w:r>
    </w:p>
    <w:p>
      <w:pPr>
        <w:pStyle w:val="BodyText"/>
        <w:spacing w:before="204"/>
        <w:jc w:val="left"/>
      </w:pPr>
    </w:p>
    <w:p>
      <w:pPr>
        <w:pStyle w:val="ListParagraph"/>
        <w:numPr>
          <w:ilvl w:val="0"/>
          <w:numId w:val="150"/>
        </w:numPr>
        <w:tabs>
          <w:tab w:pos="2781" w:val="left" w:leader="none"/>
        </w:tabs>
        <w:spacing w:line="240" w:lineRule="auto" w:before="0" w:after="0"/>
        <w:ind w:left="2050" w:right="767" w:firstLine="0"/>
        <w:jc w:val="both"/>
        <w:rPr>
          <w:sz w:val="24"/>
        </w:rPr>
      </w:pPr>
      <w:r>
        <w:rPr>
          <w:sz w:val="24"/>
        </w:rPr>
        <w:t>In</w:t>
      </w:r>
      <w:r>
        <w:rPr>
          <w:spacing w:val="-13"/>
          <w:sz w:val="24"/>
        </w:rPr>
        <w:t> </w:t>
      </w:r>
      <w:r>
        <w:rPr>
          <w:sz w:val="24"/>
        </w:rPr>
        <w:t>case</w:t>
      </w:r>
      <w:r>
        <w:rPr>
          <w:spacing w:val="-13"/>
          <w:sz w:val="24"/>
        </w:rPr>
        <w:t> </w:t>
      </w:r>
      <w:r>
        <w:rPr>
          <w:sz w:val="24"/>
        </w:rPr>
        <w:t>of</w:t>
      </w:r>
      <w:r>
        <w:rPr>
          <w:spacing w:val="-13"/>
          <w:sz w:val="24"/>
        </w:rPr>
        <w:t> </w:t>
      </w:r>
      <w:r>
        <w:rPr>
          <w:sz w:val="24"/>
        </w:rPr>
        <w:t>composite</w:t>
      </w:r>
      <w:r>
        <w:rPr>
          <w:spacing w:val="-15"/>
          <w:sz w:val="24"/>
        </w:rPr>
        <w:t> </w:t>
      </w:r>
      <w:r>
        <w:rPr>
          <w:sz w:val="24"/>
        </w:rPr>
        <w:t>development</w:t>
      </w:r>
      <w:r>
        <w:rPr>
          <w:spacing w:val="-13"/>
          <w:sz w:val="24"/>
        </w:rPr>
        <w:t> </w:t>
      </w:r>
      <w:r>
        <w:rPr>
          <w:sz w:val="24"/>
        </w:rPr>
        <w:t>i.e.</w:t>
      </w:r>
      <w:r>
        <w:rPr>
          <w:spacing w:val="-13"/>
          <w:sz w:val="24"/>
        </w:rPr>
        <w:t> </w:t>
      </w:r>
      <w:r>
        <w:rPr>
          <w:sz w:val="24"/>
        </w:rPr>
        <w:t>the</w:t>
      </w:r>
      <w:r>
        <w:rPr>
          <w:spacing w:val="-13"/>
          <w:sz w:val="24"/>
        </w:rPr>
        <w:t> </w:t>
      </w:r>
      <w:r>
        <w:rPr>
          <w:sz w:val="24"/>
        </w:rPr>
        <w:t>plot</w:t>
      </w:r>
      <w:r>
        <w:rPr>
          <w:spacing w:val="-13"/>
          <w:sz w:val="24"/>
        </w:rPr>
        <w:t> </w:t>
      </w:r>
      <w:r>
        <w:rPr>
          <w:sz w:val="24"/>
        </w:rPr>
        <w:t>consisting</w:t>
      </w:r>
      <w:r>
        <w:rPr>
          <w:spacing w:val="-13"/>
          <w:sz w:val="24"/>
        </w:rPr>
        <w:t> </w:t>
      </w:r>
      <w:r>
        <w:rPr>
          <w:sz w:val="24"/>
        </w:rPr>
        <w:t>of</w:t>
      </w:r>
      <w:r>
        <w:rPr>
          <w:spacing w:val="-13"/>
          <w:sz w:val="24"/>
        </w:rPr>
        <w:t> </w:t>
      </w:r>
      <w:r>
        <w:rPr>
          <w:sz w:val="24"/>
        </w:rPr>
        <w:t>tenant occupied building along with non-tenanted building such as owner occupied building/existing Co-op Housing Society buildings etc., the FSI</w:t>
      </w:r>
      <w:r>
        <w:rPr>
          <w:spacing w:val="-2"/>
          <w:sz w:val="24"/>
        </w:rPr>
        <w:t> </w:t>
      </w:r>
      <w:r>
        <w:rPr>
          <w:sz w:val="24"/>
        </w:rPr>
        <w:t>available</w:t>
      </w:r>
      <w:r>
        <w:rPr>
          <w:spacing w:val="-4"/>
          <w:sz w:val="24"/>
        </w:rPr>
        <w:t> </w:t>
      </w:r>
      <w:r>
        <w:rPr>
          <w:sz w:val="24"/>
        </w:rPr>
        <w:t>shall</w:t>
      </w:r>
      <w:r>
        <w:rPr>
          <w:spacing w:val="-4"/>
          <w:sz w:val="24"/>
        </w:rPr>
        <w:t> </w:t>
      </w:r>
      <w:r>
        <w:rPr>
          <w:sz w:val="24"/>
        </w:rPr>
        <w:t>be</w:t>
      </w:r>
      <w:r>
        <w:rPr>
          <w:spacing w:val="-4"/>
          <w:sz w:val="24"/>
        </w:rPr>
        <w:t> </w:t>
      </w:r>
      <w:r>
        <w:rPr>
          <w:sz w:val="24"/>
        </w:rPr>
        <w:t>equal</w:t>
      </w:r>
      <w:r>
        <w:rPr>
          <w:spacing w:val="-4"/>
          <w:sz w:val="24"/>
        </w:rPr>
        <w:t> </w:t>
      </w:r>
      <w:r>
        <w:rPr>
          <w:sz w:val="24"/>
        </w:rPr>
        <w:t>to</w:t>
      </w:r>
      <w:r>
        <w:rPr>
          <w:spacing w:val="-4"/>
          <w:sz w:val="24"/>
        </w:rPr>
        <w:t> </w:t>
      </w:r>
      <w:r>
        <w:rPr>
          <w:sz w:val="24"/>
        </w:rPr>
        <w:t>FSI</w:t>
      </w:r>
      <w:r>
        <w:rPr>
          <w:spacing w:val="-2"/>
          <w:sz w:val="24"/>
        </w:rPr>
        <w:t> </w:t>
      </w:r>
      <w:r>
        <w:rPr>
          <w:sz w:val="24"/>
        </w:rPr>
        <w:t>required</w:t>
      </w:r>
      <w:r>
        <w:rPr>
          <w:spacing w:val="-4"/>
          <w:sz w:val="24"/>
        </w:rPr>
        <w:t> </w:t>
      </w:r>
      <w:r>
        <w:rPr>
          <w:sz w:val="24"/>
        </w:rPr>
        <w:t>for</w:t>
      </w:r>
      <w:r>
        <w:rPr>
          <w:spacing w:val="-4"/>
          <w:sz w:val="24"/>
        </w:rPr>
        <w:t> </w:t>
      </w:r>
      <w:r>
        <w:rPr>
          <w:sz w:val="24"/>
        </w:rPr>
        <w:t>rehabilitation</w:t>
      </w:r>
      <w:r>
        <w:rPr>
          <w:spacing w:val="-4"/>
          <w:sz w:val="24"/>
        </w:rPr>
        <w:t> </w:t>
      </w:r>
      <w:r>
        <w:rPr>
          <w:sz w:val="24"/>
        </w:rPr>
        <w:t>of</w:t>
      </w:r>
      <w:r>
        <w:rPr>
          <w:spacing w:val="-4"/>
          <w:sz w:val="24"/>
        </w:rPr>
        <w:t> </w:t>
      </w:r>
      <w:r>
        <w:rPr>
          <w:sz w:val="24"/>
        </w:rPr>
        <w:t>existing lawful tenant plus 50% incentive FSI plus FSI that has already authorisedly been utilized/consumed by the non-tenanted </w:t>
      </w:r>
      <w:r>
        <w:rPr>
          <w:spacing w:val="-2"/>
          <w:sz w:val="24"/>
        </w:rPr>
        <w:t>buildings/structures.</w:t>
      </w:r>
    </w:p>
    <w:p>
      <w:pPr>
        <w:pStyle w:val="BodyText"/>
        <w:spacing w:line="276" w:lineRule="auto" w:before="198"/>
        <w:ind w:left="2062" w:right="768"/>
      </w:pPr>
      <w:r>
        <w:rPr/>
        <w:t>Provided further that in case of composite redevelopment undertaken as mention in (a) &amp; (b) above for two or more but not more than five plots</w:t>
      </w:r>
      <w:r>
        <w:rPr>
          <w:spacing w:val="-8"/>
        </w:rPr>
        <w:t> </w:t>
      </w:r>
      <w:r>
        <w:rPr/>
        <w:t>of</w:t>
      </w:r>
      <w:r>
        <w:rPr>
          <w:spacing w:val="-8"/>
        </w:rPr>
        <w:t> </w:t>
      </w:r>
      <w:r>
        <w:rPr/>
        <w:t>tenant</w:t>
      </w:r>
      <w:r>
        <w:rPr>
          <w:spacing w:val="-8"/>
        </w:rPr>
        <w:t> </w:t>
      </w:r>
      <w:r>
        <w:rPr/>
        <w:t>occupied</w:t>
      </w:r>
      <w:r>
        <w:rPr>
          <w:spacing w:val="-8"/>
        </w:rPr>
        <w:t> </w:t>
      </w:r>
      <w:r>
        <w:rPr/>
        <w:t>buildings</w:t>
      </w:r>
      <w:r>
        <w:rPr>
          <w:spacing w:val="-8"/>
        </w:rPr>
        <w:t> </w:t>
      </w:r>
      <w:r>
        <w:rPr/>
        <w:t>the</w:t>
      </w:r>
      <w:r>
        <w:rPr>
          <w:spacing w:val="-8"/>
        </w:rPr>
        <w:t> </w:t>
      </w:r>
      <w:r>
        <w:rPr/>
        <w:t>incentive</w:t>
      </w:r>
      <w:r>
        <w:rPr>
          <w:spacing w:val="-8"/>
        </w:rPr>
        <w:t> </w:t>
      </w:r>
      <w:r>
        <w:rPr/>
        <w:t>FSI</w:t>
      </w:r>
      <w:r>
        <w:rPr>
          <w:spacing w:val="-6"/>
        </w:rPr>
        <w:t> </w:t>
      </w:r>
      <w:r>
        <w:rPr/>
        <w:t>shall</w:t>
      </w:r>
      <w:r>
        <w:rPr>
          <w:spacing w:val="-8"/>
        </w:rPr>
        <w:t> </w:t>
      </w:r>
      <w:r>
        <w:rPr/>
        <w:t>be</w:t>
      </w:r>
      <w:r>
        <w:rPr>
          <w:spacing w:val="-11"/>
        </w:rPr>
        <w:t> </w:t>
      </w:r>
      <w:r>
        <w:rPr/>
        <w:t>60%</w:t>
      </w:r>
      <w:r>
        <w:rPr>
          <w:spacing w:val="-8"/>
        </w:rPr>
        <w:t> </w:t>
      </w:r>
      <w:r>
        <w:rPr/>
        <w:t>&amp;</w:t>
      </w:r>
      <w:r>
        <w:rPr>
          <w:spacing w:val="40"/>
        </w:rPr>
        <w:t> </w:t>
      </w:r>
      <w:r>
        <w:rPr/>
        <w:t>the occupier shall be eligible for 8% additional rehab carpet area and for plots</w:t>
      </w:r>
      <w:r>
        <w:rPr>
          <w:spacing w:val="-1"/>
        </w:rPr>
        <w:t> </w:t>
      </w:r>
      <w:r>
        <w:rPr/>
        <w:t>six</w:t>
      </w:r>
      <w:r>
        <w:rPr>
          <w:spacing w:val="-1"/>
        </w:rPr>
        <w:t> </w:t>
      </w:r>
      <w:r>
        <w:rPr/>
        <w:t>or</w:t>
      </w:r>
      <w:r>
        <w:rPr>
          <w:spacing w:val="-1"/>
        </w:rPr>
        <w:t> </w:t>
      </w:r>
      <w:r>
        <w:rPr/>
        <w:t>more</w:t>
      </w:r>
      <w:r>
        <w:rPr>
          <w:spacing w:val="-1"/>
        </w:rPr>
        <w:t> </w:t>
      </w:r>
      <w:r>
        <w:rPr/>
        <w:t>then</w:t>
      </w:r>
      <w:r>
        <w:rPr>
          <w:spacing w:val="-1"/>
        </w:rPr>
        <w:t> </w:t>
      </w:r>
      <w:r>
        <w:rPr/>
        <w:t>incentive</w:t>
      </w:r>
      <w:r>
        <w:rPr>
          <w:spacing w:val="-1"/>
        </w:rPr>
        <w:t> </w:t>
      </w:r>
      <w:r>
        <w:rPr/>
        <w:t>shall</w:t>
      </w:r>
      <w:r>
        <w:rPr>
          <w:spacing w:val="-1"/>
        </w:rPr>
        <w:t> </w:t>
      </w:r>
      <w:r>
        <w:rPr/>
        <w:t>be</w:t>
      </w:r>
      <w:r>
        <w:rPr>
          <w:spacing w:val="-3"/>
        </w:rPr>
        <w:t> </w:t>
      </w:r>
      <w:r>
        <w:rPr/>
        <w:t>70%</w:t>
      </w:r>
      <w:r>
        <w:rPr>
          <w:spacing w:val="-1"/>
        </w:rPr>
        <w:t> </w:t>
      </w:r>
      <w:r>
        <w:rPr/>
        <w:t>and</w:t>
      </w:r>
      <w:r>
        <w:rPr>
          <w:spacing w:val="-1"/>
        </w:rPr>
        <w:t> </w:t>
      </w:r>
      <w:r>
        <w:rPr/>
        <w:t>the</w:t>
      </w:r>
      <w:r>
        <w:rPr>
          <w:spacing w:val="-1"/>
        </w:rPr>
        <w:t> </w:t>
      </w:r>
      <w:r>
        <w:rPr/>
        <w:t>occupier</w:t>
      </w:r>
      <w:r>
        <w:rPr>
          <w:spacing w:val="-1"/>
        </w:rPr>
        <w:t> </w:t>
      </w:r>
      <w:r>
        <w:rPr/>
        <w:t>shall</w:t>
      </w:r>
      <w:r>
        <w:rPr>
          <w:spacing w:val="-1"/>
        </w:rPr>
        <w:t> </w:t>
      </w:r>
      <w:r>
        <w:rPr/>
        <w:t>be eligible for</w:t>
      </w:r>
      <w:r>
        <w:rPr>
          <w:spacing w:val="80"/>
          <w:w w:val="150"/>
        </w:rPr>
        <w:t> </w:t>
      </w:r>
      <w:r>
        <w:rPr/>
        <w:t>15 % additional rehab carpet area.</w:t>
      </w:r>
    </w:p>
    <w:p>
      <w:pPr>
        <w:pStyle w:val="BodyText"/>
        <w:spacing w:before="242"/>
        <w:jc w:val="left"/>
      </w:pPr>
    </w:p>
    <w:p>
      <w:pPr>
        <w:pStyle w:val="Heading5"/>
        <w:ind w:left="5609"/>
      </w:pPr>
      <w:r>
        <w:rPr>
          <w:spacing w:val="-2"/>
        </w:rPr>
        <w:t>Appendix</w:t>
      </w:r>
    </w:p>
    <w:p>
      <w:pPr>
        <w:pStyle w:val="ListParagraph"/>
        <w:numPr>
          <w:ilvl w:val="0"/>
          <w:numId w:val="151"/>
        </w:numPr>
        <w:tabs>
          <w:tab w:pos="2335" w:val="left" w:leader="none"/>
        </w:tabs>
        <w:spacing w:line="240" w:lineRule="auto" w:before="44" w:after="0"/>
        <w:ind w:left="2050" w:right="768" w:firstLine="0"/>
        <w:jc w:val="left"/>
        <w:rPr>
          <w:sz w:val="24"/>
        </w:rPr>
      </w:pPr>
      <w:r>
        <w:rPr>
          <w:sz w:val="24"/>
        </w:rPr>
        <w:t>The F.S.I. permissible for the new building shall be as given in sub- regulation (7) (A) of Regulation No.33</w:t>
      </w:r>
    </w:p>
    <w:p>
      <w:pPr>
        <w:pStyle w:val="BodyText"/>
        <w:jc w:val="left"/>
      </w:pPr>
    </w:p>
    <w:p>
      <w:pPr>
        <w:pStyle w:val="ListParagraph"/>
        <w:numPr>
          <w:ilvl w:val="0"/>
          <w:numId w:val="151"/>
        </w:numPr>
        <w:tabs>
          <w:tab w:pos="2488" w:val="left" w:leader="none"/>
        </w:tabs>
        <w:spacing w:line="240" w:lineRule="auto" w:before="0" w:after="0"/>
        <w:ind w:left="2050" w:right="769" w:firstLine="0"/>
        <w:jc w:val="both"/>
        <w:rPr>
          <w:sz w:val="24"/>
        </w:rPr>
      </w:pPr>
      <w:r>
        <w:rPr>
          <w:sz w:val="24"/>
        </w:rPr>
        <w:t>(a)</w:t>
      </w:r>
      <w:r>
        <w:rPr>
          <w:spacing w:val="40"/>
          <w:sz w:val="24"/>
        </w:rPr>
        <w:t> </w:t>
      </w:r>
      <w:r>
        <w:rPr>
          <w:sz w:val="24"/>
        </w:rPr>
        <w:t>A</w:t>
      </w:r>
      <w:r>
        <w:rPr>
          <w:spacing w:val="-15"/>
          <w:sz w:val="24"/>
        </w:rPr>
        <w:t> </w:t>
      </w:r>
      <w:r>
        <w:rPr>
          <w:sz w:val="24"/>
        </w:rPr>
        <w:t>new</w:t>
      </w:r>
      <w:r>
        <w:rPr>
          <w:spacing w:val="-15"/>
          <w:sz w:val="24"/>
        </w:rPr>
        <w:t> </w:t>
      </w:r>
      <w:r>
        <w:rPr>
          <w:sz w:val="24"/>
        </w:rPr>
        <w:t>building</w:t>
      </w:r>
      <w:r>
        <w:rPr>
          <w:spacing w:val="-20"/>
          <w:sz w:val="24"/>
        </w:rPr>
        <w:t> </w:t>
      </w:r>
      <w:r>
        <w:rPr>
          <w:sz w:val="24"/>
        </w:rPr>
        <w:t>may</w:t>
      </w:r>
      <w:r>
        <w:rPr>
          <w:spacing w:val="-14"/>
          <w:sz w:val="24"/>
        </w:rPr>
        <w:t> </w:t>
      </w:r>
      <w:r>
        <w:rPr>
          <w:sz w:val="24"/>
        </w:rPr>
        <w:t>be</w:t>
      </w:r>
      <w:r>
        <w:rPr>
          <w:spacing w:val="-15"/>
          <w:sz w:val="24"/>
        </w:rPr>
        <w:t> </w:t>
      </w:r>
      <w:r>
        <w:rPr>
          <w:sz w:val="24"/>
        </w:rPr>
        <w:t>permitted</w:t>
      </w:r>
      <w:r>
        <w:rPr>
          <w:spacing w:val="-15"/>
          <w:sz w:val="24"/>
        </w:rPr>
        <w:t> </w:t>
      </w:r>
      <w:r>
        <w:rPr>
          <w:sz w:val="24"/>
        </w:rPr>
        <w:t>to</w:t>
      </w:r>
      <w:r>
        <w:rPr>
          <w:spacing w:val="-18"/>
          <w:sz w:val="24"/>
        </w:rPr>
        <w:t> </w:t>
      </w:r>
      <w:r>
        <w:rPr>
          <w:sz w:val="24"/>
        </w:rPr>
        <w:t>be</w:t>
      </w:r>
      <w:r>
        <w:rPr>
          <w:spacing w:val="-15"/>
          <w:sz w:val="24"/>
        </w:rPr>
        <w:t> </w:t>
      </w:r>
      <w:r>
        <w:rPr>
          <w:sz w:val="24"/>
        </w:rPr>
        <w:t>constructed</w:t>
      </w:r>
      <w:r>
        <w:rPr>
          <w:spacing w:val="-15"/>
          <w:sz w:val="24"/>
        </w:rPr>
        <w:t> </w:t>
      </w:r>
      <w:r>
        <w:rPr>
          <w:sz w:val="24"/>
        </w:rPr>
        <w:t>in</w:t>
      </w:r>
      <w:r>
        <w:rPr>
          <w:spacing w:val="-15"/>
          <w:sz w:val="24"/>
        </w:rPr>
        <w:t> </w:t>
      </w:r>
      <w:r>
        <w:rPr>
          <w:sz w:val="24"/>
        </w:rPr>
        <w:t>pursuance of an irrevocable</w:t>
      </w:r>
      <w:r>
        <w:rPr>
          <w:spacing w:val="80"/>
          <w:sz w:val="24"/>
        </w:rPr>
        <w:t> </w:t>
      </w:r>
      <w:r>
        <w:rPr>
          <w:sz w:val="24"/>
        </w:rPr>
        <w:t>written</w:t>
      </w:r>
      <w:r>
        <w:rPr>
          <w:spacing w:val="80"/>
          <w:sz w:val="24"/>
        </w:rPr>
        <w:t> </w:t>
      </w:r>
      <w:r>
        <w:rPr>
          <w:sz w:val="24"/>
        </w:rPr>
        <w:t>consent by not less than 51per cent of the tenants of the old building.</w:t>
      </w:r>
    </w:p>
    <w:p>
      <w:pPr>
        <w:pStyle w:val="BodyText"/>
        <w:ind w:left="2050" w:right="769" w:firstLine="177"/>
      </w:pPr>
      <w:r>
        <w:rPr/>
        <w:t>(b)</w:t>
      </w:r>
      <w:r>
        <w:rPr>
          <w:spacing w:val="-6"/>
        </w:rPr>
        <w:t> </w:t>
      </w:r>
      <w:r>
        <w:rPr/>
        <w:t>All</w:t>
      </w:r>
      <w:r>
        <w:rPr>
          <w:spacing w:val="-6"/>
        </w:rPr>
        <w:t> </w:t>
      </w:r>
      <w:r>
        <w:rPr/>
        <w:t>the</w:t>
      </w:r>
      <w:r>
        <w:rPr>
          <w:spacing w:val="-6"/>
        </w:rPr>
        <w:t> </w:t>
      </w:r>
      <w:r>
        <w:rPr/>
        <w:t>tenants</w:t>
      </w:r>
      <w:r>
        <w:rPr>
          <w:spacing w:val="-6"/>
        </w:rPr>
        <w:t> </w:t>
      </w:r>
      <w:r>
        <w:rPr/>
        <w:t>of</w:t>
      </w:r>
      <w:r>
        <w:rPr>
          <w:spacing w:val="-6"/>
        </w:rPr>
        <w:t> </w:t>
      </w:r>
      <w:r>
        <w:rPr/>
        <w:t>the</w:t>
      </w:r>
      <w:r>
        <w:rPr>
          <w:spacing w:val="-6"/>
        </w:rPr>
        <w:t> </w:t>
      </w:r>
      <w:r>
        <w:rPr/>
        <w:t>old</w:t>
      </w:r>
      <w:r>
        <w:rPr>
          <w:spacing w:val="-6"/>
        </w:rPr>
        <w:t> </w:t>
      </w:r>
      <w:r>
        <w:rPr/>
        <w:t>building</w:t>
      </w:r>
      <w:r>
        <w:rPr>
          <w:spacing w:val="-8"/>
        </w:rPr>
        <w:t> </w:t>
      </w:r>
      <w:r>
        <w:rPr/>
        <w:t>shall</w:t>
      </w:r>
      <w:r>
        <w:rPr>
          <w:spacing w:val="-6"/>
        </w:rPr>
        <w:t> </w:t>
      </w:r>
      <w:r>
        <w:rPr/>
        <w:t>be</w:t>
      </w:r>
      <w:r>
        <w:rPr>
          <w:spacing w:val="-6"/>
        </w:rPr>
        <w:t> </w:t>
      </w:r>
      <w:r>
        <w:rPr/>
        <w:t>re-accommodated</w:t>
      </w:r>
      <w:r>
        <w:rPr>
          <w:spacing w:val="-6"/>
        </w:rPr>
        <w:t> </w:t>
      </w:r>
      <w:r>
        <w:rPr/>
        <w:t>in</w:t>
      </w:r>
      <w:r>
        <w:rPr>
          <w:spacing w:val="-6"/>
        </w:rPr>
        <w:t> </w:t>
      </w:r>
      <w:r>
        <w:rPr/>
        <w:t>the redeveloped building.</w:t>
      </w:r>
    </w:p>
    <w:p>
      <w:pPr>
        <w:pStyle w:val="BodyText"/>
        <w:jc w:val="left"/>
      </w:pPr>
    </w:p>
    <w:p>
      <w:pPr>
        <w:pStyle w:val="ListParagraph"/>
        <w:numPr>
          <w:ilvl w:val="0"/>
          <w:numId w:val="151"/>
        </w:numPr>
        <w:tabs>
          <w:tab w:pos="2335" w:val="left" w:leader="none"/>
        </w:tabs>
        <w:spacing w:line="240" w:lineRule="auto" w:before="0" w:after="0"/>
        <w:ind w:left="2050" w:right="768" w:firstLine="0"/>
        <w:jc w:val="both"/>
        <w:rPr>
          <w:sz w:val="24"/>
        </w:rPr>
      </w:pPr>
      <w:r>
        <w:rPr>
          <w:sz w:val="24"/>
        </w:rPr>
        <w:t>Each</w:t>
      </w:r>
      <w:r>
        <w:rPr>
          <w:spacing w:val="-13"/>
          <w:sz w:val="24"/>
        </w:rPr>
        <w:t> </w:t>
      </w:r>
      <w:r>
        <w:rPr>
          <w:sz w:val="24"/>
        </w:rPr>
        <w:t>tenant</w:t>
      </w:r>
      <w:r>
        <w:rPr>
          <w:spacing w:val="-13"/>
          <w:sz w:val="24"/>
        </w:rPr>
        <w:t> </w:t>
      </w:r>
      <w:r>
        <w:rPr>
          <w:sz w:val="24"/>
        </w:rPr>
        <w:t>shall</w:t>
      </w:r>
      <w:r>
        <w:rPr>
          <w:spacing w:val="-13"/>
          <w:sz w:val="24"/>
        </w:rPr>
        <w:t> </w:t>
      </w:r>
      <w:r>
        <w:rPr>
          <w:sz w:val="24"/>
        </w:rPr>
        <w:t>be</w:t>
      </w:r>
      <w:r>
        <w:rPr>
          <w:spacing w:val="-11"/>
          <w:sz w:val="24"/>
        </w:rPr>
        <w:t> </w:t>
      </w:r>
      <w:r>
        <w:rPr>
          <w:sz w:val="24"/>
        </w:rPr>
        <w:t>rehabilitated</w:t>
      </w:r>
      <w:r>
        <w:rPr>
          <w:spacing w:val="-13"/>
          <w:sz w:val="24"/>
        </w:rPr>
        <w:t> </w:t>
      </w:r>
      <w:r>
        <w:rPr>
          <w:sz w:val="24"/>
        </w:rPr>
        <w:t>and</w:t>
      </w:r>
      <w:r>
        <w:rPr>
          <w:spacing w:val="-13"/>
          <w:sz w:val="24"/>
        </w:rPr>
        <w:t> </w:t>
      </w:r>
      <w:r>
        <w:rPr>
          <w:sz w:val="24"/>
        </w:rPr>
        <w:t>given</w:t>
      </w:r>
      <w:r>
        <w:rPr>
          <w:spacing w:val="-13"/>
          <w:sz w:val="24"/>
        </w:rPr>
        <w:t> </w:t>
      </w:r>
      <w:r>
        <w:rPr>
          <w:sz w:val="24"/>
        </w:rPr>
        <w:t>the</w:t>
      </w:r>
      <w:r>
        <w:rPr>
          <w:spacing w:val="-13"/>
          <w:sz w:val="24"/>
        </w:rPr>
        <w:t> </w:t>
      </w:r>
      <w:r>
        <w:rPr>
          <w:sz w:val="24"/>
        </w:rPr>
        <w:t>carpet</w:t>
      </w:r>
      <w:r>
        <w:rPr>
          <w:spacing w:val="-13"/>
          <w:sz w:val="24"/>
        </w:rPr>
        <w:t> </w:t>
      </w:r>
      <w:r>
        <w:rPr>
          <w:sz w:val="24"/>
        </w:rPr>
        <w:t>area</w:t>
      </w:r>
      <w:r>
        <w:rPr>
          <w:spacing w:val="-13"/>
          <w:sz w:val="24"/>
        </w:rPr>
        <w:t> </w:t>
      </w:r>
      <w:r>
        <w:rPr>
          <w:sz w:val="24"/>
        </w:rPr>
        <w:t>occupied by him for residential purpose in the old building subject to the minimum</w:t>
      </w:r>
      <w:r>
        <w:rPr>
          <w:spacing w:val="-8"/>
          <w:sz w:val="24"/>
        </w:rPr>
        <w:t> </w:t>
      </w:r>
      <w:r>
        <w:rPr>
          <w:sz w:val="24"/>
        </w:rPr>
        <w:t>fixed</w:t>
      </w:r>
      <w:r>
        <w:rPr>
          <w:spacing w:val="-8"/>
          <w:sz w:val="24"/>
        </w:rPr>
        <w:t> </w:t>
      </w:r>
      <w:r>
        <w:rPr>
          <w:sz w:val="24"/>
        </w:rPr>
        <w:t>carpet</w:t>
      </w:r>
      <w:r>
        <w:rPr>
          <w:spacing w:val="-8"/>
          <w:sz w:val="24"/>
        </w:rPr>
        <w:t> </w:t>
      </w:r>
      <w:r>
        <w:rPr>
          <w:sz w:val="24"/>
        </w:rPr>
        <w:t>area</w:t>
      </w:r>
      <w:r>
        <w:rPr>
          <w:spacing w:val="-8"/>
          <w:sz w:val="24"/>
        </w:rPr>
        <w:t> </w:t>
      </w:r>
      <w:r>
        <w:rPr>
          <w:sz w:val="24"/>
        </w:rPr>
        <w:t>of</w:t>
      </w:r>
      <w:r>
        <w:rPr>
          <w:spacing w:val="-8"/>
          <w:sz w:val="24"/>
        </w:rPr>
        <w:t> </w:t>
      </w:r>
      <w:r>
        <w:rPr>
          <w:sz w:val="24"/>
        </w:rPr>
        <w:t>27.88</w:t>
      </w:r>
      <w:r>
        <w:rPr>
          <w:spacing w:val="-8"/>
          <w:sz w:val="24"/>
        </w:rPr>
        <w:t> </w:t>
      </w:r>
      <w:r>
        <w:rPr>
          <w:sz w:val="24"/>
        </w:rPr>
        <w:t>sq.</w:t>
      </w:r>
      <w:r>
        <w:rPr>
          <w:spacing w:val="-11"/>
          <w:sz w:val="24"/>
        </w:rPr>
        <w:t> </w:t>
      </w:r>
      <w:r>
        <w:rPr>
          <w:sz w:val="24"/>
        </w:rPr>
        <w:t>m</w:t>
      </w:r>
      <w:r>
        <w:rPr>
          <w:spacing w:val="-8"/>
          <w:sz w:val="24"/>
        </w:rPr>
        <w:t> </w:t>
      </w:r>
      <w:r>
        <w:rPr>
          <w:sz w:val="24"/>
        </w:rPr>
        <w:t>(300</w:t>
      </w:r>
      <w:r>
        <w:rPr>
          <w:spacing w:val="-8"/>
          <w:sz w:val="24"/>
        </w:rPr>
        <w:t> </w:t>
      </w:r>
      <w:r>
        <w:rPr>
          <w:sz w:val="24"/>
        </w:rPr>
        <w:t>sq.</w:t>
      </w:r>
      <w:r>
        <w:rPr>
          <w:spacing w:val="-8"/>
          <w:sz w:val="24"/>
        </w:rPr>
        <w:t> </w:t>
      </w:r>
      <w:r>
        <w:rPr>
          <w:sz w:val="24"/>
        </w:rPr>
        <w:t>ft)</w:t>
      </w:r>
      <w:r>
        <w:rPr>
          <w:spacing w:val="-8"/>
          <w:sz w:val="24"/>
        </w:rPr>
        <w:t> </w:t>
      </w:r>
      <w:r>
        <w:rPr>
          <w:sz w:val="24"/>
        </w:rPr>
        <w:t>and/or</w:t>
      </w:r>
      <w:r>
        <w:rPr>
          <w:spacing w:val="-11"/>
          <w:sz w:val="24"/>
        </w:rPr>
        <w:t> </w:t>
      </w:r>
      <w:r>
        <w:rPr>
          <w:sz w:val="24"/>
        </w:rPr>
        <w:t>maximum carpet</w:t>
      </w:r>
      <w:r>
        <w:rPr>
          <w:spacing w:val="19"/>
          <w:sz w:val="24"/>
        </w:rPr>
        <w:t> </w:t>
      </w:r>
      <w:r>
        <w:rPr>
          <w:sz w:val="24"/>
        </w:rPr>
        <w:t>area</w:t>
      </w:r>
      <w:r>
        <w:rPr>
          <w:spacing w:val="19"/>
          <w:sz w:val="24"/>
        </w:rPr>
        <w:t> </w:t>
      </w:r>
      <w:r>
        <w:rPr>
          <w:sz w:val="24"/>
        </w:rPr>
        <w:t>up</w:t>
      </w:r>
      <w:r>
        <w:rPr>
          <w:spacing w:val="19"/>
          <w:sz w:val="24"/>
        </w:rPr>
        <w:t> </w:t>
      </w:r>
      <w:r>
        <w:rPr>
          <w:sz w:val="24"/>
        </w:rPr>
        <w:t>to</w:t>
      </w:r>
      <w:r>
        <w:rPr>
          <w:spacing w:val="18"/>
          <w:sz w:val="24"/>
        </w:rPr>
        <w:t> </w:t>
      </w:r>
      <w:r>
        <w:rPr>
          <w:sz w:val="24"/>
        </w:rPr>
        <w:t>120</w:t>
      </w:r>
      <w:r>
        <w:rPr>
          <w:spacing w:val="19"/>
          <w:sz w:val="24"/>
        </w:rPr>
        <w:t> </w:t>
      </w:r>
      <w:r>
        <w:rPr>
          <w:sz w:val="24"/>
        </w:rPr>
        <w:t>sq.m.</w:t>
      </w:r>
      <w:r>
        <w:rPr>
          <w:spacing w:val="19"/>
          <w:sz w:val="24"/>
        </w:rPr>
        <w:t> </w:t>
      </w:r>
      <w:r>
        <w:rPr>
          <w:sz w:val="24"/>
        </w:rPr>
        <w:t>(1292</w:t>
      </w:r>
      <w:r>
        <w:rPr>
          <w:spacing w:val="19"/>
          <w:sz w:val="24"/>
        </w:rPr>
        <w:t> </w:t>
      </w:r>
      <w:r>
        <w:rPr>
          <w:sz w:val="24"/>
        </w:rPr>
        <w:t>sq.ft.)</w:t>
      </w:r>
      <w:r>
        <w:rPr>
          <w:spacing w:val="20"/>
          <w:sz w:val="24"/>
        </w:rPr>
        <w:t> </w:t>
      </w:r>
      <w:r>
        <w:rPr>
          <w:sz w:val="24"/>
        </w:rPr>
        <w:t>free</w:t>
      </w:r>
      <w:r>
        <w:rPr>
          <w:spacing w:val="19"/>
          <w:sz w:val="24"/>
        </w:rPr>
        <w:t> </w:t>
      </w:r>
      <w:r>
        <w:rPr>
          <w:sz w:val="24"/>
        </w:rPr>
        <w:t>of</w:t>
      </w:r>
      <w:r>
        <w:rPr>
          <w:spacing w:val="19"/>
          <w:sz w:val="24"/>
        </w:rPr>
        <w:t> </w:t>
      </w:r>
      <w:r>
        <w:rPr>
          <w:sz w:val="24"/>
        </w:rPr>
        <w:t>cost.</w:t>
      </w:r>
      <w:r>
        <w:rPr>
          <w:spacing w:val="71"/>
          <w:w w:val="150"/>
          <w:sz w:val="24"/>
        </w:rPr>
        <w:t> </w:t>
      </w:r>
      <w:r>
        <w:rPr>
          <w:sz w:val="24"/>
        </w:rPr>
        <w:t>In</w:t>
      </w:r>
      <w:r>
        <w:rPr>
          <w:spacing w:val="16"/>
          <w:sz w:val="24"/>
        </w:rPr>
        <w:t> </w:t>
      </w:r>
      <w:r>
        <w:rPr>
          <w:sz w:val="24"/>
        </w:rPr>
        <w:t>case</w:t>
      </w:r>
      <w:r>
        <w:rPr>
          <w:spacing w:val="19"/>
          <w:sz w:val="24"/>
        </w:rPr>
        <w:t> </w:t>
      </w:r>
      <w:r>
        <w:rPr>
          <w:sz w:val="24"/>
        </w:rPr>
        <w:t>of</w:t>
      </w:r>
      <w:r>
        <w:rPr>
          <w:spacing w:val="19"/>
          <w:sz w:val="24"/>
        </w:rPr>
        <w:t> </w:t>
      </w:r>
      <w:r>
        <w:rPr>
          <w:sz w:val="24"/>
        </w:rPr>
        <w:t>non-</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50" w:right="770"/>
      </w:pPr>
      <w:r>
        <w:rPr/>
        <w:t>residential</w:t>
      </w:r>
      <w:r>
        <w:rPr>
          <w:spacing w:val="-14"/>
        </w:rPr>
        <w:t> </w:t>
      </w:r>
      <w:r>
        <w:rPr/>
        <w:t>occupier</w:t>
      </w:r>
      <w:r>
        <w:rPr>
          <w:spacing w:val="-14"/>
        </w:rPr>
        <w:t> </w:t>
      </w:r>
      <w:r>
        <w:rPr/>
        <w:t>the</w:t>
      </w:r>
      <w:r>
        <w:rPr>
          <w:spacing w:val="-14"/>
        </w:rPr>
        <w:t> </w:t>
      </w:r>
      <w:r>
        <w:rPr/>
        <w:t>area</w:t>
      </w:r>
      <w:r>
        <w:rPr>
          <w:spacing w:val="-14"/>
        </w:rPr>
        <w:t> </w:t>
      </w:r>
      <w:r>
        <w:rPr/>
        <w:t>to</w:t>
      </w:r>
      <w:r>
        <w:rPr>
          <w:spacing w:val="-14"/>
        </w:rPr>
        <w:t> </w:t>
      </w:r>
      <w:r>
        <w:rPr/>
        <w:t>be</w:t>
      </w:r>
      <w:r>
        <w:rPr>
          <w:spacing w:val="-15"/>
        </w:rPr>
        <w:t> </w:t>
      </w:r>
      <w:r>
        <w:rPr/>
        <w:t>given</w:t>
      </w:r>
      <w:r>
        <w:rPr>
          <w:spacing w:val="-14"/>
        </w:rPr>
        <w:t> </w:t>
      </w:r>
      <w:r>
        <w:rPr/>
        <w:t>free</w:t>
      </w:r>
      <w:r>
        <w:rPr>
          <w:spacing w:val="-14"/>
        </w:rPr>
        <w:t> </w:t>
      </w:r>
      <w:r>
        <w:rPr/>
        <w:t>of</w:t>
      </w:r>
      <w:r>
        <w:rPr>
          <w:spacing w:val="-14"/>
        </w:rPr>
        <w:t> </w:t>
      </w:r>
      <w:r>
        <w:rPr/>
        <w:t>cost</w:t>
      </w:r>
      <w:r>
        <w:rPr>
          <w:spacing w:val="-14"/>
        </w:rPr>
        <w:t> </w:t>
      </w:r>
      <w:r>
        <w:rPr/>
        <w:t>in</w:t>
      </w:r>
      <w:r>
        <w:rPr>
          <w:spacing w:val="-15"/>
        </w:rPr>
        <w:t> </w:t>
      </w:r>
      <w:r>
        <w:rPr/>
        <w:t>the</w:t>
      </w:r>
      <w:r>
        <w:rPr>
          <w:spacing w:val="-14"/>
        </w:rPr>
        <w:t> </w:t>
      </w:r>
      <w:r>
        <w:rPr/>
        <w:t>reconstructed building shall be equivalent to the area occupied in the old building.</w:t>
      </w:r>
    </w:p>
    <w:p>
      <w:pPr>
        <w:pStyle w:val="BodyText"/>
        <w:spacing w:before="1"/>
        <w:ind w:left="2050" w:right="768" w:firstLine="844"/>
      </w:pPr>
      <w:r>
        <w:rPr/>
        <w:t>Provided that if carpet area for residential purpose exceeds 120 sq.m. (1292 sq.ft.)</w:t>
      </w:r>
      <w:r>
        <w:rPr>
          <w:spacing w:val="40"/>
        </w:rPr>
        <w:t> </w:t>
      </w:r>
      <w:r>
        <w:rPr/>
        <w:t>the cost of construction shall be paid by tenant</w:t>
      </w:r>
      <w:r>
        <w:rPr>
          <w:spacing w:val="40"/>
        </w:rPr>
        <w:t> </w:t>
      </w:r>
      <w:r>
        <w:rPr/>
        <w:t>to the developer. The cost of construction shall be as per ready reckoner rate of that year. However, the carpet area exceeding</w:t>
      </w:r>
      <w:r>
        <w:rPr>
          <w:spacing w:val="40"/>
        </w:rPr>
        <w:t> </w:t>
      </w:r>
      <w:r>
        <w:rPr/>
        <w:t>120 sq.m. (1292 sq.ft.) shall be considered for rehab FSI but shall not be considered for incentive FSI. Provided further that each eligible residential cum commercial</w:t>
      </w:r>
      <w:r>
        <w:rPr>
          <w:spacing w:val="-15"/>
        </w:rPr>
        <w:t> </w:t>
      </w:r>
      <w:r>
        <w:rPr/>
        <w:t>occupant</w:t>
      </w:r>
      <w:r>
        <w:rPr>
          <w:spacing w:val="-15"/>
        </w:rPr>
        <w:t> </w:t>
      </w:r>
      <w:r>
        <w:rPr/>
        <w:t>shall</w:t>
      </w:r>
      <w:r>
        <w:rPr>
          <w:spacing w:val="-15"/>
        </w:rPr>
        <w:t> </w:t>
      </w:r>
      <w:r>
        <w:rPr/>
        <w:t>be</w:t>
      </w:r>
      <w:r>
        <w:rPr>
          <w:spacing w:val="-15"/>
        </w:rPr>
        <w:t> </w:t>
      </w:r>
      <w:r>
        <w:rPr/>
        <w:t>entitled</w:t>
      </w:r>
      <w:r>
        <w:rPr>
          <w:spacing w:val="-15"/>
        </w:rPr>
        <w:t> </w:t>
      </w:r>
      <w:r>
        <w:rPr/>
        <w:t>to</w:t>
      </w:r>
      <w:r>
        <w:rPr>
          <w:spacing w:val="-13"/>
        </w:rPr>
        <w:t> </w:t>
      </w:r>
      <w:r>
        <w:rPr/>
        <w:t>a</w:t>
      </w:r>
      <w:r>
        <w:rPr>
          <w:spacing w:val="-15"/>
        </w:rPr>
        <w:t> </w:t>
      </w:r>
      <w:r>
        <w:rPr/>
        <w:t>tenement</w:t>
      </w:r>
      <w:r>
        <w:rPr>
          <w:spacing w:val="-15"/>
        </w:rPr>
        <w:t> </w:t>
      </w:r>
      <w:r>
        <w:rPr/>
        <w:t>of</w:t>
      </w:r>
      <w:r>
        <w:rPr>
          <w:spacing w:val="-15"/>
        </w:rPr>
        <w:t> </w:t>
      </w:r>
      <w:r>
        <w:rPr/>
        <w:t>minimum</w:t>
      </w:r>
      <w:r>
        <w:rPr>
          <w:spacing w:val="-15"/>
        </w:rPr>
        <w:t> </w:t>
      </w:r>
      <w:r>
        <w:rPr/>
        <w:t>carpet area of 27.88 sq. m (300 sq. ft.).</w:t>
      </w:r>
    </w:p>
    <w:p>
      <w:pPr>
        <w:pStyle w:val="BodyText"/>
        <w:spacing w:line="276" w:lineRule="auto"/>
        <w:ind w:left="2050" w:right="768" w:firstLine="691"/>
      </w:pPr>
      <w:r>
        <w:rPr/>
        <w:t>For</w:t>
      </w:r>
      <w:r>
        <w:rPr>
          <w:spacing w:val="-10"/>
        </w:rPr>
        <w:t> </w:t>
      </w:r>
      <w:r>
        <w:rPr/>
        <w:t>purpose</w:t>
      </w:r>
      <w:r>
        <w:rPr>
          <w:spacing w:val="-10"/>
        </w:rPr>
        <w:t> </w:t>
      </w:r>
      <w:r>
        <w:rPr/>
        <w:t>of</w:t>
      </w:r>
      <w:r>
        <w:rPr>
          <w:spacing w:val="-10"/>
        </w:rPr>
        <w:t> </w:t>
      </w:r>
      <w:r>
        <w:rPr/>
        <w:t>existing</w:t>
      </w:r>
      <w:r>
        <w:rPr>
          <w:spacing w:val="-10"/>
        </w:rPr>
        <w:t> </w:t>
      </w:r>
      <w:r>
        <w:rPr/>
        <w:t>"Carpet</w:t>
      </w:r>
      <w:r>
        <w:rPr>
          <w:spacing w:val="-10"/>
        </w:rPr>
        <w:t> </w:t>
      </w:r>
      <w:r>
        <w:rPr/>
        <w:t>area"/</w:t>
      </w:r>
      <w:r>
        <w:rPr>
          <w:spacing w:val="-10"/>
        </w:rPr>
        <w:t> </w:t>
      </w:r>
      <w:r>
        <w:rPr/>
        <w:t>rehabilitation</w:t>
      </w:r>
      <w:r>
        <w:rPr>
          <w:spacing w:val="-10"/>
        </w:rPr>
        <w:t> </w:t>
      </w:r>
      <w:r>
        <w:rPr/>
        <w:t>“carpet</w:t>
      </w:r>
      <w:r>
        <w:rPr>
          <w:spacing w:val="-10"/>
        </w:rPr>
        <w:t> </w:t>
      </w:r>
      <w:r>
        <w:rPr/>
        <w:t>area” means the net usable floor area within a tenement excluding that covered</w:t>
      </w:r>
      <w:r>
        <w:rPr>
          <w:spacing w:val="-4"/>
        </w:rPr>
        <w:t> </w:t>
      </w:r>
      <w:r>
        <w:rPr/>
        <w:t>by</w:t>
      </w:r>
      <w:r>
        <w:rPr>
          <w:spacing w:val="-4"/>
        </w:rPr>
        <w:t> </w:t>
      </w:r>
      <w:r>
        <w:rPr/>
        <w:t>the</w:t>
      </w:r>
      <w:r>
        <w:rPr>
          <w:spacing w:val="-4"/>
        </w:rPr>
        <w:t> </w:t>
      </w:r>
      <w:r>
        <w:rPr/>
        <w:t>walls</w:t>
      </w:r>
      <w:r>
        <w:rPr>
          <w:spacing w:val="-4"/>
        </w:rPr>
        <w:t> </w:t>
      </w:r>
      <w:r>
        <w:rPr/>
        <w:t>or</w:t>
      </w:r>
      <w:r>
        <w:rPr>
          <w:spacing w:val="-4"/>
        </w:rPr>
        <w:t> </w:t>
      </w:r>
      <w:r>
        <w:rPr/>
        <w:t>any</w:t>
      </w:r>
      <w:r>
        <w:rPr>
          <w:spacing w:val="-4"/>
        </w:rPr>
        <w:t> </w:t>
      </w:r>
      <w:r>
        <w:rPr/>
        <w:t>other</w:t>
      </w:r>
      <w:r>
        <w:rPr>
          <w:spacing w:val="-4"/>
        </w:rPr>
        <w:t> </w:t>
      </w:r>
      <w:r>
        <w:rPr/>
        <w:t>areas</w:t>
      </w:r>
      <w:r>
        <w:rPr>
          <w:spacing w:val="-4"/>
        </w:rPr>
        <w:t> </w:t>
      </w:r>
      <w:r>
        <w:rPr/>
        <w:t>specifically</w:t>
      </w:r>
      <w:r>
        <w:rPr>
          <w:spacing w:val="-4"/>
        </w:rPr>
        <w:t> </w:t>
      </w:r>
      <w:r>
        <w:rPr/>
        <w:t>exempted</w:t>
      </w:r>
      <w:r>
        <w:rPr>
          <w:spacing w:val="-4"/>
        </w:rPr>
        <w:t> </w:t>
      </w:r>
      <w:r>
        <w:rPr/>
        <w:t>from</w:t>
      </w:r>
      <w:r>
        <w:rPr>
          <w:spacing w:val="-4"/>
        </w:rPr>
        <w:t> </w:t>
      </w:r>
      <w:r>
        <w:rPr/>
        <w:t>floor space</w:t>
      </w:r>
      <w:r>
        <w:rPr>
          <w:spacing w:val="-17"/>
        </w:rPr>
        <w:t> </w:t>
      </w:r>
      <w:r>
        <w:rPr/>
        <w:t>index</w:t>
      </w:r>
      <w:r>
        <w:rPr>
          <w:spacing w:val="-17"/>
        </w:rPr>
        <w:t> </w:t>
      </w:r>
      <w:r>
        <w:rPr/>
        <w:t>computation</w:t>
      </w:r>
      <w:r>
        <w:rPr>
          <w:spacing w:val="-17"/>
        </w:rPr>
        <w:t> </w:t>
      </w:r>
      <w:r>
        <w:rPr/>
        <w:t>as</w:t>
      </w:r>
      <w:r>
        <w:rPr>
          <w:spacing w:val="-17"/>
        </w:rPr>
        <w:t> </w:t>
      </w:r>
      <w:r>
        <w:rPr/>
        <w:t>per</w:t>
      </w:r>
      <w:r>
        <w:rPr>
          <w:spacing w:val="-17"/>
        </w:rPr>
        <w:t> </w:t>
      </w:r>
      <w:r>
        <w:rPr/>
        <w:t>then</w:t>
      </w:r>
      <w:r>
        <w:rPr>
          <w:spacing w:val="-15"/>
        </w:rPr>
        <w:t> </w:t>
      </w:r>
      <w:r>
        <w:rPr/>
        <w:t>Regulation</w:t>
      </w:r>
      <w:r>
        <w:rPr>
          <w:spacing w:val="-17"/>
        </w:rPr>
        <w:t> </w:t>
      </w:r>
      <w:r>
        <w:rPr/>
        <w:t>but</w:t>
      </w:r>
      <w:r>
        <w:rPr>
          <w:spacing w:val="-17"/>
        </w:rPr>
        <w:t> </w:t>
      </w:r>
      <w:r>
        <w:rPr/>
        <w:t>including</w:t>
      </w:r>
      <w:r>
        <w:rPr>
          <w:spacing w:val="-17"/>
        </w:rPr>
        <w:t> </w:t>
      </w:r>
      <w:r>
        <w:rPr/>
        <w:t>the</w:t>
      </w:r>
      <w:r>
        <w:rPr>
          <w:spacing w:val="-17"/>
        </w:rPr>
        <w:t> </w:t>
      </w:r>
      <w:r>
        <w:rPr/>
        <w:t>areas of balcony if allowed free of FSI as per then Regulation. This shall not be applicable for non-tenanted buildings.</w:t>
      </w:r>
    </w:p>
    <w:p>
      <w:pPr>
        <w:pStyle w:val="ListParagraph"/>
        <w:numPr>
          <w:ilvl w:val="0"/>
          <w:numId w:val="151"/>
        </w:numPr>
        <w:tabs>
          <w:tab w:pos="2335" w:val="left" w:leader="none"/>
        </w:tabs>
        <w:spacing w:line="240" w:lineRule="auto" w:before="240" w:after="0"/>
        <w:ind w:left="2050" w:right="770" w:firstLine="0"/>
        <w:jc w:val="both"/>
        <w:rPr>
          <w:sz w:val="24"/>
        </w:rPr>
      </w:pPr>
      <w:r>
        <w:rPr>
          <w:sz w:val="24"/>
        </w:rPr>
        <w:t>No new tenancy created after 13/6/96 shall be considered. Further, unauthorized construction made in buildings for creating new tenancy in the existing tenancies shall not be considered while doing computation of existing FSI. A certified inspection extract of the Municipal</w:t>
      </w:r>
      <w:r>
        <w:rPr>
          <w:spacing w:val="-3"/>
          <w:sz w:val="24"/>
        </w:rPr>
        <w:t> </w:t>
      </w:r>
      <w:r>
        <w:rPr>
          <w:sz w:val="24"/>
        </w:rPr>
        <w:t>Corporation</w:t>
      </w:r>
      <w:r>
        <w:rPr>
          <w:spacing w:val="-3"/>
          <w:sz w:val="24"/>
        </w:rPr>
        <w:t> </w:t>
      </w:r>
      <w:r>
        <w:rPr>
          <w:sz w:val="24"/>
        </w:rPr>
        <w:t>for</w:t>
      </w:r>
      <w:r>
        <w:rPr>
          <w:spacing w:val="-3"/>
          <w:sz w:val="24"/>
        </w:rPr>
        <w:t> </w:t>
      </w:r>
      <w:r>
        <w:rPr>
          <w:sz w:val="24"/>
        </w:rPr>
        <w:t>the</w:t>
      </w:r>
      <w:r>
        <w:rPr>
          <w:spacing w:val="-3"/>
          <w:sz w:val="24"/>
        </w:rPr>
        <w:t> </w:t>
      </w:r>
      <w:r>
        <w:rPr>
          <w:sz w:val="24"/>
        </w:rPr>
        <w:t>year</w:t>
      </w:r>
      <w:r>
        <w:rPr>
          <w:spacing w:val="-3"/>
          <w:sz w:val="24"/>
        </w:rPr>
        <w:t> </w:t>
      </w:r>
      <w:r>
        <w:rPr>
          <w:sz w:val="24"/>
        </w:rPr>
        <w:t>1995-96</w:t>
      </w:r>
      <w:r>
        <w:rPr>
          <w:spacing w:val="-3"/>
          <w:sz w:val="24"/>
        </w:rPr>
        <w:t> </w:t>
      </w:r>
      <w:r>
        <w:rPr>
          <w:sz w:val="24"/>
        </w:rPr>
        <w:t>or</w:t>
      </w:r>
      <w:r>
        <w:rPr>
          <w:spacing w:val="-3"/>
          <w:sz w:val="24"/>
        </w:rPr>
        <w:t> </w:t>
      </w:r>
      <w:r>
        <w:rPr>
          <w:sz w:val="24"/>
        </w:rPr>
        <w:t>Court</w:t>
      </w:r>
      <w:r>
        <w:rPr>
          <w:spacing w:val="-3"/>
          <w:sz w:val="24"/>
        </w:rPr>
        <w:t> </w:t>
      </w:r>
      <w:r>
        <w:rPr>
          <w:sz w:val="24"/>
        </w:rPr>
        <w:t>Order</w:t>
      </w:r>
      <w:r>
        <w:rPr>
          <w:spacing w:val="-3"/>
          <w:sz w:val="24"/>
        </w:rPr>
        <w:t> </w:t>
      </w:r>
      <w:r>
        <w:rPr>
          <w:sz w:val="24"/>
        </w:rPr>
        <w:t>proving</w:t>
      </w:r>
      <w:r>
        <w:rPr>
          <w:spacing w:val="-3"/>
          <w:sz w:val="24"/>
        </w:rPr>
        <w:t> </w:t>
      </w:r>
      <w:r>
        <w:rPr>
          <w:sz w:val="24"/>
        </w:rPr>
        <w:t>the existence of tenements prior to 13/6/96 shall be considered adequate evidence to establish the number of tenements.</w:t>
      </w:r>
    </w:p>
    <w:p>
      <w:pPr>
        <w:pStyle w:val="BodyText"/>
        <w:jc w:val="left"/>
      </w:pPr>
    </w:p>
    <w:p>
      <w:pPr>
        <w:pStyle w:val="ListParagraph"/>
        <w:numPr>
          <w:ilvl w:val="0"/>
          <w:numId w:val="151"/>
        </w:numPr>
        <w:tabs>
          <w:tab w:pos="2335" w:val="left" w:leader="none"/>
        </w:tabs>
        <w:spacing w:line="240" w:lineRule="auto" w:before="0" w:after="0"/>
        <w:ind w:left="2050" w:right="771" w:firstLine="0"/>
        <w:jc w:val="both"/>
        <w:rPr>
          <w:sz w:val="24"/>
        </w:rPr>
      </w:pPr>
      <w:r>
        <w:rPr>
          <w:sz w:val="24"/>
        </w:rPr>
        <w:t>The list of tenants and area occupied by each of them in the old building and the irrevocable written consent as specified in 2 (a) above shall be certified by the Municipal Corporation of Greater Mumbai.</w:t>
      </w:r>
    </w:p>
    <w:p>
      <w:pPr>
        <w:pStyle w:val="BodyText"/>
        <w:spacing w:before="1"/>
        <w:jc w:val="left"/>
      </w:pPr>
    </w:p>
    <w:p>
      <w:pPr>
        <w:pStyle w:val="ListParagraph"/>
        <w:numPr>
          <w:ilvl w:val="0"/>
          <w:numId w:val="151"/>
        </w:numPr>
        <w:tabs>
          <w:tab w:pos="2335" w:val="left" w:leader="none"/>
        </w:tabs>
        <w:spacing w:line="240" w:lineRule="auto" w:before="1" w:after="0"/>
        <w:ind w:left="2050" w:right="772" w:firstLine="0"/>
        <w:jc w:val="both"/>
        <w:rPr>
          <w:sz w:val="24"/>
        </w:rPr>
      </w:pPr>
      <w:r>
        <w:rPr>
          <w:sz w:val="24"/>
        </w:rPr>
        <w:t>The tenements in the reconstructed building shall be allotted by landlord/s</w:t>
      </w:r>
      <w:r>
        <w:rPr>
          <w:spacing w:val="80"/>
          <w:sz w:val="24"/>
        </w:rPr>
        <w:t> </w:t>
      </w:r>
      <w:r>
        <w:rPr>
          <w:sz w:val="24"/>
        </w:rPr>
        <w:t>or</w:t>
      </w:r>
      <w:r>
        <w:rPr>
          <w:spacing w:val="-8"/>
          <w:sz w:val="24"/>
        </w:rPr>
        <w:t> </w:t>
      </w:r>
      <w:r>
        <w:rPr>
          <w:sz w:val="24"/>
        </w:rPr>
        <w:t>Co-operative</w:t>
      </w:r>
      <w:r>
        <w:rPr>
          <w:spacing w:val="-8"/>
          <w:sz w:val="24"/>
        </w:rPr>
        <w:t> </w:t>
      </w:r>
      <w:r>
        <w:rPr>
          <w:sz w:val="24"/>
        </w:rPr>
        <w:t>Housing</w:t>
      </w:r>
      <w:r>
        <w:rPr>
          <w:spacing w:val="-8"/>
          <w:sz w:val="24"/>
        </w:rPr>
        <w:t> </w:t>
      </w:r>
      <w:r>
        <w:rPr>
          <w:sz w:val="24"/>
        </w:rPr>
        <w:t>Societies</w:t>
      </w:r>
      <w:r>
        <w:rPr>
          <w:spacing w:val="-8"/>
          <w:sz w:val="24"/>
        </w:rPr>
        <w:t> </w:t>
      </w:r>
      <w:r>
        <w:rPr>
          <w:sz w:val="24"/>
        </w:rPr>
        <w:t>of</w:t>
      </w:r>
      <w:r>
        <w:rPr>
          <w:spacing w:val="-8"/>
          <w:sz w:val="24"/>
        </w:rPr>
        <w:t> </w:t>
      </w:r>
      <w:r>
        <w:rPr>
          <w:sz w:val="24"/>
        </w:rPr>
        <w:t>existing</w:t>
      </w:r>
      <w:r>
        <w:rPr>
          <w:spacing w:val="-8"/>
          <w:sz w:val="24"/>
        </w:rPr>
        <w:t> </w:t>
      </w:r>
      <w:r>
        <w:rPr>
          <w:sz w:val="24"/>
        </w:rPr>
        <w:t>tenants</w:t>
      </w:r>
      <w:r>
        <w:rPr>
          <w:spacing w:val="-8"/>
          <w:sz w:val="24"/>
        </w:rPr>
        <w:t> </w:t>
      </w:r>
      <w:r>
        <w:rPr>
          <w:sz w:val="24"/>
        </w:rPr>
        <w:t>to</w:t>
      </w:r>
      <w:r>
        <w:rPr>
          <w:spacing w:val="-8"/>
          <w:sz w:val="24"/>
        </w:rPr>
        <w:t> </w:t>
      </w:r>
      <w:r>
        <w:rPr>
          <w:sz w:val="24"/>
        </w:rPr>
        <w:t>the tenants as per list certified by the Municipal Corporation of Greater </w:t>
      </w:r>
      <w:r>
        <w:rPr>
          <w:spacing w:val="-2"/>
          <w:sz w:val="24"/>
        </w:rPr>
        <w:t>Mumbai.</w:t>
      </w:r>
    </w:p>
    <w:p>
      <w:pPr>
        <w:pStyle w:val="BodyText"/>
        <w:jc w:val="left"/>
      </w:pPr>
    </w:p>
    <w:p>
      <w:pPr>
        <w:pStyle w:val="ListParagraph"/>
        <w:numPr>
          <w:ilvl w:val="0"/>
          <w:numId w:val="151"/>
        </w:numPr>
        <w:tabs>
          <w:tab w:pos="2488" w:val="left" w:leader="none"/>
        </w:tabs>
        <w:spacing w:line="240" w:lineRule="auto" w:before="0" w:after="0"/>
        <w:ind w:left="2050" w:right="766" w:firstLine="0"/>
        <w:jc w:val="both"/>
        <w:rPr>
          <w:sz w:val="24"/>
        </w:rPr>
      </w:pPr>
      <w:r>
        <w:rPr>
          <w:sz w:val="24"/>
        </w:rPr>
        <w:t>The</w:t>
      </w:r>
      <w:r>
        <w:rPr>
          <w:spacing w:val="-4"/>
          <w:sz w:val="24"/>
        </w:rPr>
        <w:t> </w:t>
      </w:r>
      <w:r>
        <w:rPr>
          <w:sz w:val="24"/>
        </w:rPr>
        <w:t>entire</w:t>
      </w:r>
      <w:r>
        <w:rPr>
          <w:spacing w:val="-4"/>
          <w:sz w:val="24"/>
        </w:rPr>
        <w:t> </w:t>
      </w:r>
      <w:r>
        <w:rPr>
          <w:sz w:val="24"/>
        </w:rPr>
        <w:t>FSI</w:t>
      </w:r>
      <w:r>
        <w:rPr>
          <w:spacing w:val="-2"/>
          <w:sz w:val="24"/>
        </w:rPr>
        <w:t> </w:t>
      </w:r>
      <w:r>
        <w:rPr>
          <w:sz w:val="24"/>
        </w:rPr>
        <w:t>available</w:t>
      </w:r>
      <w:r>
        <w:rPr>
          <w:spacing w:val="-4"/>
          <w:sz w:val="24"/>
        </w:rPr>
        <w:t> </w:t>
      </w:r>
      <w:r>
        <w:rPr>
          <w:sz w:val="24"/>
        </w:rPr>
        <w:t>under</w:t>
      </w:r>
      <w:r>
        <w:rPr>
          <w:spacing w:val="-4"/>
          <w:sz w:val="24"/>
        </w:rPr>
        <w:t> </w:t>
      </w:r>
      <w:r>
        <w:rPr>
          <w:sz w:val="24"/>
        </w:rPr>
        <w:t>this</w:t>
      </w:r>
      <w:r>
        <w:rPr>
          <w:spacing w:val="-4"/>
          <w:sz w:val="24"/>
        </w:rPr>
        <w:t> </w:t>
      </w:r>
      <w:r>
        <w:rPr>
          <w:sz w:val="24"/>
        </w:rPr>
        <w:t>regulation</w:t>
      </w:r>
      <w:r>
        <w:rPr>
          <w:spacing w:val="-4"/>
          <w:sz w:val="24"/>
        </w:rPr>
        <w:t> </w:t>
      </w:r>
      <w:r>
        <w:rPr>
          <w:sz w:val="24"/>
        </w:rPr>
        <w:t>shall</w:t>
      </w:r>
      <w:r>
        <w:rPr>
          <w:spacing w:val="-4"/>
          <w:sz w:val="24"/>
        </w:rPr>
        <w:t> </w:t>
      </w:r>
      <w:r>
        <w:rPr>
          <w:sz w:val="24"/>
        </w:rPr>
        <w:t>be</w:t>
      </w:r>
      <w:r>
        <w:rPr>
          <w:spacing w:val="-4"/>
          <w:sz w:val="24"/>
        </w:rPr>
        <w:t> </w:t>
      </w:r>
      <w:r>
        <w:rPr>
          <w:sz w:val="24"/>
        </w:rPr>
        <w:t>allowed</w:t>
      </w:r>
      <w:r>
        <w:rPr>
          <w:spacing w:val="-4"/>
          <w:sz w:val="24"/>
        </w:rPr>
        <w:t> </w:t>
      </w:r>
      <w:r>
        <w:rPr>
          <w:sz w:val="24"/>
        </w:rPr>
        <w:t>to</w:t>
      </w:r>
      <w:r>
        <w:rPr>
          <w:spacing w:val="-4"/>
          <w:sz w:val="24"/>
        </w:rPr>
        <w:t> </w:t>
      </w:r>
      <w:r>
        <w:rPr>
          <w:sz w:val="24"/>
        </w:rPr>
        <w:t>be utilized on plot/plots under redevelopment scheme.</w:t>
      </w:r>
    </w:p>
    <w:p>
      <w:pPr>
        <w:pStyle w:val="BodyText"/>
        <w:jc w:val="left"/>
      </w:pPr>
    </w:p>
    <w:p>
      <w:pPr>
        <w:pStyle w:val="ListParagraph"/>
        <w:numPr>
          <w:ilvl w:val="0"/>
          <w:numId w:val="151"/>
        </w:numPr>
        <w:tabs>
          <w:tab w:pos="2335" w:val="left" w:leader="none"/>
        </w:tabs>
        <w:spacing w:line="240" w:lineRule="auto" w:before="0" w:after="0"/>
        <w:ind w:left="2050" w:right="773" w:firstLine="0"/>
        <w:jc w:val="both"/>
        <w:rPr>
          <w:sz w:val="24"/>
        </w:rPr>
      </w:pPr>
      <w:r>
        <w:rPr>
          <w:sz w:val="24"/>
        </w:rPr>
        <w:t>Reconstruction of a new building on the plot should strictly conform to the provisions of the development plan and these Regulations.</w:t>
      </w:r>
    </w:p>
    <w:p>
      <w:pPr>
        <w:pStyle w:val="ListParagraph"/>
        <w:numPr>
          <w:ilvl w:val="0"/>
          <w:numId w:val="151"/>
        </w:numPr>
        <w:tabs>
          <w:tab w:pos="2335" w:val="left" w:leader="none"/>
        </w:tabs>
        <w:spacing w:line="240" w:lineRule="auto" w:before="281" w:after="0"/>
        <w:ind w:left="2050" w:right="766" w:firstLine="0"/>
        <w:jc w:val="both"/>
        <w:rPr>
          <w:sz w:val="24"/>
        </w:rPr>
      </w:pPr>
      <w:r>
        <w:rPr>
          <w:sz w:val="24"/>
        </w:rPr>
        <w:t>No construction or reconstruction shall be permitted on set-back areas or areas required for road-widening and such areas shall be handed over to the Municipal Corporation</w:t>
      </w:r>
    </w:p>
    <w:p>
      <w:pPr>
        <w:pStyle w:val="BodyText"/>
        <w:spacing w:before="1"/>
        <w:jc w:val="left"/>
      </w:pPr>
    </w:p>
    <w:p>
      <w:pPr>
        <w:pStyle w:val="ListParagraph"/>
        <w:numPr>
          <w:ilvl w:val="0"/>
          <w:numId w:val="151"/>
        </w:numPr>
        <w:tabs>
          <w:tab w:pos="2474" w:val="left" w:leader="none"/>
        </w:tabs>
        <w:spacing w:line="240" w:lineRule="auto" w:before="0" w:after="0"/>
        <w:ind w:left="2050" w:right="772" w:firstLine="0"/>
        <w:jc w:val="both"/>
        <w:rPr>
          <w:sz w:val="24"/>
        </w:rPr>
      </w:pPr>
      <w:r>
        <w:rPr>
          <w:sz w:val="24"/>
        </w:rPr>
        <w:t>For the purpose of calculating the FSI for tenanted building, the entire</w:t>
      </w:r>
      <w:r>
        <w:rPr>
          <w:spacing w:val="34"/>
          <w:sz w:val="24"/>
        </w:rPr>
        <w:t> </w:t>
      </w:r>
      <w:r>
        <w:rPr>
          <w:sz w:val="24"/>
        </w:rPr>
        <w:t>area</w:t>
      </w:r>
      <w:r>
        <w:rPr>
          <w:spacing w:val="34"/>
          <w:sz w:val="24"/>
        </w:rPr>
        <w:t> </w:t>
      </w:r>
      <w:r>
        <w:rPr>
          <w:sz w:val="24"/>
        </w:rPr>
        <w:t>of</w:t>
      </w:r>
      <w:r>
        <w:rPr>
          <w:spacing w:val="34"/>
          <w:sz w:val="24"/>
        </w:rPr>
        <w:t> </w:t>
      </w:r>
      <w:r>
        <w:rPr>
          <w:sz w:val="24"/>
        </w:rPr>
        <w:t>the</w:t>
      </w:r>
      <w:r>
        <w:rPr>
          <w:spacing w:val="34"/>
          <w:sz w:val="24"/>
        </w:rPr>
        <w:t> </w:t>
      </w:r>
      <w:r>
        <w:rPr>
          <w:sz w:val="24"/>
        </w:rPr>
        <w:t>plot/layout</w:t>
      </w:r>
      <w:r>
        <w:rPr>
          <w:spacing w:val="34"/>
          <w:sz w:val="24"/>
        </w:rPr>
        <w:t> </w:t>
      </w:r>
      <w:r>
        <w:rPr>
          <w:sz w:val="24"/>
        </w:rPr>
        <w:t>including</w:t>
      </w:r>
      <w:r>
        <w:rPr>
          <w:spacing w:val="34"/>
          <w:sz w:val="24"/>
        </w:rPr>
        <w:t> </w:t>
      </w:r>
      <w:r>
        <w:rPr>
          <w:sz w:val="24"/>
        </w:rPr>
        <w:t>Development</w:t>
      </w:r>
      <w:r>
        <w:rPr>
          <w:spacing w:val="34"/>
          <w:sz w:val="24"/>
        </w:rPr>
        <w:t> </w:t>
      </w:r>
      <w:r>
        <w:rPr>
          <w:sz w:val="24"/>
        </w:rPr>
        <w:t>Plan</w:t>
      </w:r>
      <w:r>
        <w:rPr>
          <w:spacing w:val="34"/>
          <w:sz w:val="24"/>
        </w:rPr>
        <w:t> </w:t>
      </w:r>
      <w:r>
        <w:rPr>
          <w:sz w:val="24"/>
        </w:rPr>
        <w:t>roads</w:t>
      </w:r>
      <w:r>
        <w:rPr>
          <w:spacing w:val="34"/>
          <w:sz w:val="24"/>
        </w:rPr>
        <w:t> </w:t>
      </w:r>
      <w:r>
        <w:rPr>
          <w:sz w:val="24"/>
        </w:rPr>
        <w:t>and</w:t>
      </w:r>
    </w:p>
    <w:p>
      <w:pPr>
        <w:pStyle w:val="BodyText"/>
        <w:jc w:val="left"/>
        <w:rPr>
          <w:sz w:val="14"/>
        </w:rPr>
      </w:pPr>
    </w:p>
    <w:p>
      <w:pPr>
        <w:pStyle w:val="BodyText"/>
        <w:spacing w:before="72"/>
        <w:jc w:val="left"/>
        <w:rPr>
          <w:sz w:val="14"/>
        </w:rPr>
      </w:pPr>
    </w:p>
    <w:p>
      <w:pPr>
        <w:spacing w:before="0"/>
        <w:ind w:left="0" w:right="483" w:firstLine="0"/>
        <w:jc w:val="right"/>
        <w:rPr>
          <w:rFonts w:ascii="Arial"/>
          <w:b/>
          <w:i/>
          <w:sz w:val="14"/>
        </w:rPr>
      </w:pPr>
      <w:r>
        <w:rPr>
          <w:rFonts w:ascii="Arial"/>
          <w:b/>
          <w:i/>
          <w:sz w:val="14"/>
        </w:rPr>
        <mc:AlternateContent>
          <mc:Choice Requires="wps">
            <w:drawing>
              <wp:anchor distT="0" distB="0" distL="0" distR="0" allowOverlap="1" layoutInCell="1" locked="0" behindDoc="1" simplePos="0" relativeHeight="471350272">
                <wp:simplePos x="0" y="0"/>
                <wp:positionH relativeFrom="page">
                  <wp:posOffset>1080516</wp:posOffset>
                </wp:positionH>
                <wp:positionV relativeFrom="paragraph">
                  <wp:posOffset>27531</wp:posOffset>
                </wp:positionV>
                <wp:extent cx="2514600" cy="197485"/>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rect style="position:absolute;margin-left:85.080002pt;margin-top:2.167813pt;width:198pt;height:15.55pt;mso-position-horizontal-relative:page;mso-position-vertical-relative:paragraph;z-index:-31966208" id="docshape236" filled="false" stroked="true" strokeweight="1pt" strokecolor="#666666">
                <v:stroke dashstyle="solid"/>
                <w10:wrap type="none"/>
              </v:rect>
            </w:pict>
          </mc:Fallback>
        </mc:AlternateContent>
      </w:r>
      <w:r>
        <w:rPr>
          <w:rFonts w:ascii="Arial"/>
          <w:b/>
          <w:i/>
          <w:sz w:val="14"/>
        </w:rPr>
        <w:t>Development</w:t>
      </w:r>
      <w:r>
        <w:rPr>
          <w:rFonts w:ascii="Arial"/>
          <w:b/>
          <w:i/>
          <w:spacing w:val="-8"/>
          <w:sz w:val="14"/>
        </w:rPr>
        <w:t> </w:t>
      </w:r>
      <w:r>
        <w:rPr>
          <w:rFonts w:ascii="Arial"/>
          <w:b/>
          <w:i/>
          <w:sz w:val="14"/>
        </w:rPr>
        <w:t>Plan</w:t>
      </w:r>
      <w:r>
        <w:rPr>
          <w:rFonts w:ascii="Arial"/>
          <w:b/>
          <w:i/>
          <w:spacing w:val="-9"/>
          <w:sz w:val="14"/>
        </w:rPr>
        <w:t> </w:t>
      </w:r>
      <w:r>
        <w:rPr>
          <w:rFonts w:ascii="Arial"/>
          <w:b/>
          <w:i/>
          <w:spacing w:val="-4"/>
          <w:sz w:val="14"/>
        </w:rPr>
        <w:t>2034</w:t>
      </w:r>
    </w:p>
    <w:p>
      <w:pPr>
        <w:spacing w:after="0"/>
        <w:jc w:val="right"/>
        <w:rPr>
          <w:rFonts w:ascii="Arial"/>
          <w:b/>
          <w:i/>
          <w:sz w:val="14"/>
        </w:rPr>
        <w:sectPr>
          <w:headerReference w:type="default" r:id="rId39"/>
          <w:footerReference w:type="default" r:id="rId40"/>
          <w:pgSz w:w="11910" w:h="16840"/>
          <w:pgMar w:header="1065" w:footer="1066" w:top="1500" w:bottom="1260" w:left="360" w:right="360"/>
        </w:sectPr>
      </w:pPr>
    </w:p>
    <w:p>
      <w:pPr>
        <w:pStyle w:val="BodyText"/>
        <w:spacing w:before="249"/>
        <w:ind w:left="2050"/>
        <w:jc w:val="left"/>
      </w:pPr>
      <w:r>
        <w:rPr/>
        <w:t>internal roads but excluding the land under the reservation of public</w:t>
      </w:r>
      <w:r>
        <w:rPr>
          <w:spacing w:val="40"/>
        </w:rPr>
        <w:t> </w:t>
      </w:r>
      <w:r>
        <w:rPr/>
        <w:t>amenities shall be considered.</w:t>
      </w:r>
    </w:p>
    <w:p>
      <w:pPr>
        <w:pStyle w:val="BodyText"/>
        <w:spacing w:before="2"/>
        <w:jc w:val="left"/>
      </w:pPr>
    </w:p>
    <w:p>
      <w:pPr>
        <w:pStyle w:val="ListParagraph"/>
        <w:numPr>
          <w:ilvl w:val="0"/>
          <w:numId w:val="151"/>
        </w:numPr>
        <w:tabs>
          <w:tab w:pos="2474" w:val="left" w:leader="none"/>
        </w:tabs>
        <w:spacing w:line="240" w:lineRule="auto" w:before="0" w:after="0"/>
        <w:ind w:left="2050" w:right="769" w:firstLine="0"/>
        <w:jc w:val="both"/>
        <w:rPr>
          <w:sz w:val="24"/>
        </w:rPr>
      </w:pPr>
      <w:r>
        <w:rPr>
          <w:sz w:val="24"/>
        </w:rPr>
        <w:t>New building shall be reconstructed in accordance with these Regulations and all other Regulations and orders as applicable from time to time. The Municipal Commissioner may exercise his </w:t>
      </w:r>
      <w:r>
        <w:rPr>
          <w:sz w:val="24"/>
        </w:rPr>
        <w:t>powers under</w:t>
      </w:r>
      <w:r>
        <w:rPr>
          <w:spacing w:val="-6"/>
          <w:sz w:val="24"/>
        </w:rPr>
        <w:t> </w:t>
      </w:r>
      <w:r>
        <w:rPr>
          <w:sz w:val="24"/>
        </w:rPr>
        <w:t>Regulation</w:t>
      </w:r>
      <w:r>
        <w:rPr>
          <w:spacing w:val="-6"/>
          <w:sz w:val="24"/>
        </w:rPr>
        <w:t> </w:t>
      </w:r>
      <w:r>
        <w:rPr>
          <w:sz w:val="24"/>
        </w:rPr>
        <w:t>No</w:t>
      </w:r>
      <w:r>
        <w:rPr>
          <w:spacing w:val="-6"/>
          <w:sz w:val="24"/>
        </w:rPr>
        <w:t> </w:t>
      </w:r>
      <w:r>
        <w:rPr>
          <w:sz w:val="24"/>
        </w:rPr>
        <w:t>6</w:t>
      </w:r>
      <w:r>
        <w:rPr>
          <w:spacing w:val="-5"/>
          <w:sz w:val="24"/>
        </w:rPr>
        <w:t> </w:t>
      </w:r>
      <w:r>
        <w:rPr>
          <w:sz w:val="24"/>
        </w:rPr>
        <w:t>for</w:t>
      </w:r>
      <w:r>
        <w:rPr>
          <w:spacing w:val="-6"/>
          <w:sz w:val="24"/>
        </w:rPr>
        <w:t> </w:t>
      </w:r>
      <w:r>
        <w:rPr>
          <w:sz w:val="24"/>
        </w:rPr>
        <w:t>condonation</w:t>
      </w:r>
      <w:r>
        <w:rPr>
          <w:spacing w:val="-6"/>
          <w:sz w:val="24"/>
        </w:rPr>
        <w:t> </w:t>
      </w:r>
      <w:r>
        <w:rPr>
          <w:sz w:val="24"/>
        </w:rPr>
        <w:t>of</w:t>
      </w:r>
      <w:r>
        <w:rPr>
          <w:spacing w:val="-6"/>
          <w:sz w:val="24"/>
        </w:rPr>
        <w:t> </w:t>
      </w:r>
      <w:r>
        <w:rPr>
          <w:sz w:val="24"/>
        </w:rPr>
        <w:t>minor</w:t>
      </w:r>
      <w:r>
        <w:rPr>
          <w:spacing w:val="-6"/>
          <w:sz w:val="24"/>
        </w:rPr>
        <w:t> </w:t>
      </w:r>
      <w:r>
        <w:rPr>
          <w:sz w:val="24"/>
        </w:rPr>
        <w:t>variations</w:t>
      </w:r>
      <w:r>
        <w:rPr>
          <w:spacing w:val="-6"/>
          <w:sz w:val="24"/>
        </w:rPr>
        <w:t> </w:t>
      </w:r>
      <w:r>
        <w:rPr>
          <w:sz w:val="24"/>
        </w:rPr>
        <w:t>in</w:t>
      </w:r>
      <w:r>
        <w:rPr>
          <w:spacing w:val="-6"/>
          <w:sz w:val="24"/>
        </w:rPr>
        <w:t> </w:t>
      </w:r>
      <w:r>
        <w:rPr>
          <w:sz w:val="24"/>
        </w:rPr>
        <w:t>respect</w:t>
      </w:r>
      <w:r>
        <w:rPr>
          <w:spacing w:val="-6"/>
          <w:sz w:val="24"/>
        </w:rPr>
        <w:t> </w:t>
      </w:r>
      <w:r>
        <w:rPr>
          <w:sz w:val="24"/>
        </w:rPr>
        <w:t>of such reconstruction.</w:t>
      </w:r>
    </w:p>
    <w:p>
      <w:pPr>
        <w:pStyle w:val="ListParagraph"/>
        <w:numPr>
          <w:ilvl w:val="0"/>
          <w:numId w:val="151"/>
        </w:numPr>
        <w:tabs>
          <w:tab w:pos="2550" w:val="left" w:leader="none"/>
        </w:tabs>
        <w:spacing w:line="240" w:lineRule="auto" w:before="281" w:after="0"/>
        <w:ind w:left="2050" w:right="769" w:firstLine="0"/>
        <w:jc w:val="both"/>
        <w:rPr>
          <w:sz w:val="24"/>
        </w:rPr>
      </w:pPr>
      <w:r>
        <w:rPr>
          <w:sz w:val="24"/>
        </w:rPr>
        <w:t>20% of the incentive FSI can be used for non-residential purposes otherwise permissible as per the DCPR.</w:t>
      </w:r>
    </w:p>
    <w:p>
      <w:pPr>
        <w:pStyle w:val="BodyText"/>
        <w:jc w:val="left"/>
      </w:pPr>
    </w:p>
    <w:p>
      <w:pPr>
        <w:pStyle w:val="ListParagraph"/>
        <w:numPr>
          <w:ilvl w:val="0"/>
          <w:numId w:val="151"/>
        </w:numPr>
        <w:tabs>
          <w:tab w:pos="2474" w:val="left" w:leader="none"/>
        </w:tabs>
        <w:spacing w:line="240" w:lineRule="auto" w:before="0" w:after="0"/>
        <w:ind w:left="2050" w:right="769" w:firstLine="0"/>
        <w:jc w:val="both"/>
        <w:rPr>
          <w:sz w:val="24"/>
        </w:rPr>
      </w:pPr>
      <w:r>
        <w:rPr>
          <w:sz w:val="24"/>
        </w:rPr>
        <w:t>The fungible compensatory area admissible on</w:t>
      </w:r>
      <w:r>
        <w:rPr>
          <w:spacing w:val="40"/>
          <w:sz w:val="24"/>
        </w:rPr>
        <w:t> </w:t>
      </w:r>
      <w:r>
        <w:rPr>
          <w:sz w:val="24"/>
        </w:rPr>
        <w:t>rehab component shall be granted without charging premium and such fungible compensatory area for rehabilitation component shall not be used for free sale component and shall be used to give additional area over and above eligible area to the existing tenants .</w:t>
      </w:r>
    </w:p>
    <w:p>
      <w:pPr>
        <w:pStyle w:val="ListParagraph"/>
        <w:numPr>
          <w:ilvl w:val="0"/>
          <w:numId w:val="151"/>
        </w:numPr>
        <w:tabs>
          <w:tab w:pos="2550" w:val="left" w:leader="none"/>
        </w:tabs>
        <w:spacing w:line="240" w:lineRule="auto" w:before="281" w:after="0"/>
        <w:ind w:left="2050" w:right="767" w:firstLine="0"/>
        <w:jc w:val="both"/>
        <w:rPr>
          <w:sz w:val="24"/>
        </w:rPr>
      </w:pPr>
      <w:r>
        <w:rPr>
          <w:sz w:val="24"/>
        </w:rPr>
        <w:t>For smooth implementation of the redevelopment scheme undertaken</w:t>
      </w:r>
      <w:r>
        <w:rPr>
          <w:spacing w:val="-1"/>
          <w:sz w:val="24"/>
        </w:rPr>
        <w:t> </w:t>
      </w:r>
      <w:r>
        <w:rPr>
          <w:sz w:val="24"/>
        </w:rPr>
        <w:t>by</w:t>
      </w:r>
      <w:r>
        <w:rPr>
          <w:spacing w:val="-1"/>
          <w:sz w:val="24"/>
        </w:rPr>
        <w:t> </w:t>
      </w:r>
      <w:r>
        <w:rPr>
          <w:sz w:val="24"/>
        </w:rPr>
        <w:t>landlord/s</w:t>
      </w:r>
      <w:r>
        <w:rPr>
          <w:spacing w:val="-1"/>
          <w:sz w:val="24"/>
        </w:rPr>
        <w:t> </w:t>
      </w:r>
      <w:r>
        <w:rPr>
          <w:sz w:val="24"/>
        </w:rPr>
        <w:t>or Co-operative</w:t>
      </w:r>
      <w:r>
        <w:rPr>
          <w:spacing w:val="-1"/>
          <w:sz w:val="24"/>
        </w:rPr>
        <w:t> </w:t>
      </w:r>
      <w:r>
        <w:rPr>
          <w:sz w:val="24"/>
        </w:rPr>
        <w:t>Housing</w:t>
      </w:r>
      <w:r>
        <w:rPr>
          <w:spacing w:val="-1"/>
          <w:sz w:val="24"/>
        </w:rPr>
        <w:t> </w:t>
      </w:r>
      <w:r>
        <w:rPr>
          <w:sz w:val="24"/>
        </w:rPr>
        <w:t>Societies of</w:t>
      </w:r>
      <w:r>
        <w:rPr>
          <w:spacing w:val="-1"/>
          <w:sz w:val="24"/>
        </w:rPr>
        <w:t> </w:t>
      </w:r>
      <w:r>
        <w:rPr>
          <w:sz w:val="24"/>
        </w:rPr>
        <w:t>existing tenants,</w:t>
      </w:r>
      <w:r>
        <w:rPr>
          <w:spacing w:val="40"/>
          <w:sz w:val="24"/>
        </w:rPr>
        <w:t> </w:t>
      </w:r>
      <w:r>
        <w:rPr>
          <w:sz w:val="24"/>
        </w:rPr>
        <w:t>temporary transit camps may be permitted on the same land or land situated elsewhere belonging to the same landlord/s with the concessions</w:t>
      </w:r>
      <w:r>
        <w:rPr>
          <w:spacing w:val="-7"/>
          <w:sz w:val="24"/>
        </w:rPr>
        <w:t> </w:t>
      </w:r>
      <w:r>
        <w:rPr>
          <w:sz w:val="24"/>
        </w:rPr>
        <w:t>permissible</w:t>
      </w:r>
      <w:r>
        <w:rPr>
          <w:spacing w:val="-7"/>
          <w:sz w:val="24"/>
        </w:rPr>
        <w:t> </w:t>
      </w:r>
      <w:r>
        <w:rPr>
          <w:sz w:val="24"/>
        </w:rPr>
        <w:t>under</w:t>
      </w:r>
      <w:r>
        <w:rPr>
          <w:spacing w:val="-7"/>
          <w:sz w:val="24"/>
        </w:rPr>
        <w:t> </w:t>
      </w:r>
      <w:r>
        <w:rPr>
          <w:sz w:val="24"/>
        </w:rPr>
        <w:t>SRS</w:t>
      </w:r>
      <w:r>
        <w:rPr>
          <w:spacing w:val="-7"/>
          <w:sz w:val="24"/>
        </w:rPr>
        <w:t> </w:t>
      </w:r>
      <w:r>
        <w:rPr>
          <w:sz w:val="24"/>
        </w:rPr>
        <w:t>project</w:t>
      </w:r>
      <w:r>
        <w:rPr>
          <w:spacing w:val="-7"/>
          <w:sz w:val="24"/>
        </w:rPr>
        <w:t> </w:t>
      </w:r>
      <w:r>
        <w:rPr>
          <w:sz w:val="24"/>
        </w:rPr>
        <w:t>under</w:t>
      </w:r>
      <w:r>
        <w:rPr>
          <w:spacing w:val="-7"/>
          <w:sz w:val="24"/>
        </w:rPr>
        <w:t> </w:t>
      </w:r>
      <w:r>
        <w:rPr>
          <w:sz w:val="24"/>
        </w:rPr>
        <w:t>Regulations</w:t>
      </w:r>
      <w:r>
        <w:rPr>
          <w:spacing w:val="-9"/>
          <w:sz w:val="24"/>
        </w:rPr>
        <w:t> </w:t>
      </w:r>
      <w:r>
        <w:rPr>
          <w:sz w:val="24"/>
        </w:rPr>
        <w:t>33(10)</w:t>
      </w:r>
      <w:r>
        <w:rPr>
          <w:spacing w:val="-7"/>
          <w:sz w:val="24"/>
        </w:rPr>
        <w:t> </w:t>
      </w:r>
      <w:r>
        <w:rPr>
          <w:sz w:val="24"/>
        </w:rPr>
        <w:t>of these</w:t>
      </w:r>
      <w:r>
        <w:rPr>
          <w:spacing w:val="-18"/>
          <w:sz w:val="24"/>
        </w:rPr>
        <w:t> </w:t>
      </w:r>
      <w:r>
        <w:rPr>
          <w:sz w:val="24"/>
        </w:rPr>
        <w:t>Regulations.</w:t>
      </w:r>
      <w:r>
        <w:rPr>
          <w:spacing w:val="-18"/>
          <w:sz w:val="24"/>
        </w:rPr>
        <w:t> </w:t>
      </w:r>
      <w:r>
        <w:rPr>
          <w:sz w:val="24"/>
        </w:rPr>
        <w:t>Such</w:t>
      </w:r>
      <w:r>
        <w:rPr>
          <w:spacing w:val="-18"/>
          <w:sz w:val="24"/>
        </w:rPr>
        <w:t> </w:t>
      </w:r>
      <w:r>
        <w:rPr>
          <w:sz w:val="24"/>
        </w:rPr>
        <w:t>transit</w:t>
      </w:r>
      <w:r>
        <w:rPr>
          <w:spacing w:val="-18"/>
          <w:sz w:val="24"/>
        </w:rPr>
        <w:t> </w:t>
      </w:r>
      <w:r>
        <w:rPr>
          <w:sz w:val="24"/>
        </w:rPr>
        <w:t>camps</w:t>
      </w:r>
      <w:r>
        <w:rPr>
          <w:spacing w:val="-18"/>
          <w:sz w:val="24"/>
        </w:rPr>
        <w:t> </w:t>
      </w:r>
      <w:r>
        <w:rPr>
          <w:sz w:val="24"/>
        </w:rPr>
        <w:t>should</w:t>
      </w:r>
      <w:r>
        <w:rPr>
          <w:spacing w:val="-18"/>
          <w:sz w:val="24"/>
        </w:rPr>
        <w:t> </w:t>
      </w:r>
      <w:r>
        <w:rPr>
          <w:sz w:val="24"/>
        </w:rPr>
        <w:t>be</w:t>
      </w:r>
      <w:r>
        <w:rPr>
          <w:spacing w:val="-18"/>
          <w:sz w:val="24"/>
        </w:rPr>
        <w:t> </w:t>
      </w:r>
      <w:r>
        <w:rPr>
          <w:sz w:val="24"/>
        </w:rPr>
        <w:t>demolished</w:t>
      </w:r>
      <w:r>
        <w:rPr>
          <w:spacing w:val="-18"/>
          <w:sz w:val="24"/>
        </w:rPr>
        <w:t> </w:t>
      </w:r>
      <w:r>
        <w:rPr>
          <w:sz w:val="24"/>
        </w:rPr>
        <w:t>within</w:t>
      </w:r>
      <w:r>
        <w:rPr>
          <w:spacing w:val="-18"/>
          <w:sz w:val="24"/>
        </w:rPr>
        <w:t> </w:t>
      </w:r>
      <w:r>
        <w:rPr>
          <w:sz w:val="24"/>
        </w:rPr>
        <w:t>one month from the date of occupation certificate granted by the Corporation for the reconstructed buildings.</w:t>
      </w:r>
    </w:p>
    <w:p>
      <w:pPr>
        <w:pStyle w:val="BodyText"/>
        <w:spacing w:before="2"/>
        <w:jc w:val="left"/>
      </w:pPr>
    </w:p>
    <w:p>
      <w:pPr>
        <w:pStyle w:val="ListParagraph"/>
        <w:numPr>
          <w:ilvl w:val="0"/>
          <w:numId w:val="151"/>
        </w:numPr>
        <w:tabs>
          <w:tab w:pos="2550" w:val="left" w:leader="none"/>
        </w:tabs>
        <w:spacing w:line="240" w:lineRule="auto" w:before="0" w:after="0"/>
        <w:ind w:left="2050" w:right="768" w:firstLine="0"/>
        <w:jc w:val="both"/>
        <w:rPr>
          <w:sz w:val="24"/>
        </w:rPr>
      </w:pPr>
      <w:r>
        <w:rPr>
          <w:sz w:val="24"/>
        </w:rPr>
        <w:t>An amount of Rs.5000/- per sq. m shall be paid by the landlord/s or Co-operative Housing Societies of existing tenants, as additional development cess for the built-up area over and above the F.S.I. permissible as per table 12 under Regulation 30, for the rehabilitation and</w:t>
      </w:r>
      <w:r>
        <w:rPr>
          <w:spacing w:val="-3"/>
          <w:sz w:val="24"/>
        </w:rPr>
        <w:t> </w:t>
      </w:r>
      <w:r>
        <w:rPr>
          <w:sz w:val="24"/>
        </w:rPr>
        <w:t>free</w:t>
      </w:r>
      <w:r>
        <w:rPr>
          <w:spacing w:val="-3"/>
          <w:sz w:val="24"/>
        </w:rPr>
        <w:t> </w:t>
      </w:r>
      <w:r>
        <w:rPr>
          <w:sz w:val="24"/>
        </w:rPr>
        <w:t>sale</w:t>
      </w:r>
      <w:r>
        <w:rPr>
          <w:spacing w:val="-3"/>
          <w:sz w:val="24"/>
        </w:rPr>
        <w:t> </w:t>
      </w:r>
      <w:r>
        <w:rPr>
          <w:sz w:val="24"/>
        </w:rPr>
        <w:t>components.</w:t>
      </w:r>
      <w:r>
        <w:rPr>
          <w:spacing w:val="80"/>
          <w:sz w:val="24"/>
        </w:rPr>
        <w:t> </w:t>
      </w:r>
      <w:r>
        <w:rPr>
          <w:sz w:val="24"/>
        </w:rPr>
        <w:t>This</w:t>
      </w:r>
      <w:r>
        <w:rPr>
          <w:spacing w:val="-3"/>
          <w:sz w:val="24"/>
        </w:rPr>
        <w:t> </w:t>
      </w:r>
      <w:r>
        <w:rPr>
          <w:sz w:val="24"/>
        </w:rPr>
        <w:t>amount</w:t>
      </w:r>
      <w:r>
        <w:rPr>
          <w:spacing w:val="-6"/>
          <w:sz w:val="24"/>
        </w:rPr>
        <w:t> </w:t>
      </w:r>
      <w:r>
        <w:rPr>
          <w:sz w:val="24"/>
        </w:rPr>
        <w:t>shall</w:t>
      </w:r>
      <w:r>
        <w:rPr>
          <w:spacing w:val="-3"/>
          <w:sz w:val="24"/>
        </w:rPr>
        <w:t> </w:t>
      </w:r>
      <w:r>
        <w:rPr>
          <w:sz w:val="24"/>
        </w:rPr>
        <w:t>be</w:t>
      </w:r>
      <w:r>
        <w:rPr>
          <w:spacing w:val="-3"/>
          <w:sz w:val="24"/>
        </w:rPr>
        <w:t> </w:t>
      </w:r>
      <w:r>
        <w:rPr>
          <w:sz w:val="24"/>
        </w:rPr>
        <w:t>paid</w:t>
      </w:r>
      <w:r>
        <w:rPr>
          <w:spacing w:val="-6"/>
          <w:sz w:val="24"/>
        </w:rPr>
        <w:t> </w:t>
      </w:r>
      <w:r>
        <w:rPr>
          <w:sz w:val="24"/>
        </w:rPr>
        <w:t>to</w:t>
      </w:r>
      <w:r>
        <w:rPr>
          <w:spacing w:val="-3"/>
          <w:sz w:val="24"/>
        </w:rPr>
        <w:t> </w:t>
      </w:r>
      <w:r>
        <w:rPr>
          <w:sz w:val="24"/>
        </w:rPr>
        <w:t>the</w:t>
      </w:r>
      <w:r>
        <w:rPr>
          <w:spacing w:val="-6"/>
          <w:sz w:val="24"/>
        </w:rPr>
        <w:t> </w:t>
      </w:r>
      <w:r>
        <w:rPr>
          <w:sz w:val="24"/>
        </w:rPr>
        <w:t>Municipal Corporation</w:t>
      </w:r>
      <w:r>
        <w:rPr>
          <w:spacing w:val="-1"/>
          <w:sz w:val="24"/>
        </w:rPr>
        <w:t> </w:t>
      </w:r>
      <w:r>
        <w:rPr>
          <w:sz w:val="24"/>
        </w:rPr>
        <w:t>in</w:t>
      </w:r>
      <w:r>
        <w:rPr>
          <w:spacing w:val="-1"/>
          <w:sz w:val="24"/>
        </w:rPr>
        <w:t> </w:t>
      </w:r>
      <w:r>
        <w:rPr>
          <w:sz w:val="24"/>
        </w:rPr>
        <w:t>accordance</w:t>
      </w:r>
      <w:r>
        <w:rPr>
          <w:spacing w:val="-1"/>
          <w:sz w:val="24"/>
        </w:rPr>
        <w:t> </w:t>
      </w:r>
      <w:r>
        <w:rPr>
          <w:sz w:val="24"/>
        </w:rPr>
        <w:t>with</w:t>
      </w:r>
      <w:r>
        <w:rPr>
          <w:spacing w:val="-1"/>
          <w:sz w:val="24"/>
        </w:rPr>
        <w:t> </w:t>
      </w:r>
      <w:r>
        <w:rPr>
          <w:sz w:val="24"/>
        </w:rPr>
        <w:t>the</w:t>
      </w:r>
      <w:r>
        <w:rPr>
          <w:spacing w:val="-1"/>
          <w:sz w:val="24"/>
        </w:rPr>
        <w:t> </w:t>
      </w:r>
      <w:r>
        <w:rPr>
          <w:sz w:val="24"/>
        </w:rPr>
        <w:t>time schedule</w:t>
      </w:r>
      <w:r>
        <w:rPr>
          <w:spacing w:val="-1"/>
          <w:sz w:val="24"/>
        </w:rPr>
        <w:t> </w:t>
      </w:r>
      <w:r>
        <w:rPr>
          <w:sz w:val="24"/>
        </w:rPr>
        <w:t>for</w:t>
      </w:r>
      <w:r>
        <w:rPr>
          <w:spacing w:val="-1"/>
          <w:sz w:val="24"/>
        </w:rPr>
        <w:t> </w:t>
      </w:r>
      <w:r>
        <w:rPr>
          <w:sz w:val="24"/>
        </w:rPr>
        <w:t>such</w:t>
      </w:r>
      <w:r>
        <w:rPr>
          <w:spacing w:val="-1"/>
          <w:sz w:val="24"/>
        </w:rPr>
        <w:t> </w:t>
      </w:r>
      <w:r>
        <w:rPr>
          <w:sz w:val="24"/>
        </w:rPr>
        <w:t>payment</w:t>
      </w:r>
      <w:r>
        <w:rPr>
          <w:spacing w:val="-1"/>
          <w:sz w:val="24"/>
        </w:rPr>
        <w:t> </w:t>
      </w:r>
      <w:r>
        <w:rPr>
          <w:sz w:val="24"/>
        </w:rPr>
        <w:t>as may</w:t>
      </w:r>
      <w:r>
        <w:rPr>
          <w:spacing w:val="-13"/>
          <w:sz w:val="24"/>
        </w:rPr>
        <w:t> </w:t>
      </w:r>
      <w:r>
        <w:rPr>
          <w:sz w:val="24"/>
        </w:rPr>
        <w:t>be</w:t>
      </w:r>
      <w:r>
        <w:rPr>
          <w:spacing w:val="-13"/>
          <w:sz w:val="24"/>
        </w:rPr>
        <w:t> </w:t>
      </w:r>
      <w:r>
        <w:rPr>
          <w:sz w:val="24"/>
        </w:rPr>
        <w:t>laid</w:t>
      </w:r>
      <w:r>
        <w:rPr>
          <w:spacing w:val="-13"/>
          <w:sz w:val="24"/>
        </w:rPr>
        <w:t> </w:t>
      </w:r>
      <w:r>
        <w:rPr>
          <w:sz w:val="24"/>
        </w:rPr>
        <w:t>down</w:t>
      </w:r>
      <w:r>
        <w:rPr>
          <w:spacing w:val="-11"/>
          <w:sz w:val="24"/>
        </w:rPr>
        <w:t> </w:t>
      </w:r>
      <w:r>
        <w:rPr>
          <w:sz w:val="24"/>
        </w:rPr>
        <w:t>by</w:t>
      </w:r>
      <w:r>
        <w:rPr>
          <w:spacing w:val="-11"/>
          <w:sz w:val="24"/>
        </w:rPr>
        <w:t> </w:t>
      </w:r>
      <w:r>
        <w:rPr>
          <w:sz w:val="24"/>
        </w:rPr>
        <w:t>the</w:t>
      </w:r>
      <w:r>
        <w:rPr>
          <w:spacing w:val="-12"/>
          <w:sz w:val="24"/>
        </w:rPr>
        <w:t> </w:t>
      </w:r>
      <w:r>
        <w:rPr>
          <w:sz w:val="24"/>
        </w:rPr>
        <w:t>Municipal</w:t>
      </w:r>
      <w:r>
        <w:rPr>
          <w:spacing w:val="-13"/>
          <w:sz w:val="24"/>
        </w:rPr>
        <w:t> </w:t>
      </w:r>
      <w:r>
        <w:rPr>
          <w:sz w:val="24"/>
        </w:rPr>
        <w:t>Commissioner,</w:t>
      </w:r>
      <w:r>
        <w:rPr>
          <w:spacing w:val="-13"/>
          <w:sz w:val="24"/>
        </w:rPr>
        <w:t> </w:t>
      </w:r>
      <w:r>
        <w:rPr>
          <w:sz w:val="24"/>
        </w:rPr>
        <w:t>MCGM,</w:t>
      </w:r>
      <w:r>
        <w:rPr>
          <w:spacing w:val="-12"/>
          <w:sz w:val="24"/>
        </w:rPr>
        <w:t> </w:t>
      </w:r>
      <w:r>
        <w:rPr>
          <w:sz w:val="24"/>
        </w:rPr>
        <w:t>provided</w:t>
      </w:r>
      <w:r>
        <w:rPr>
          <w:spacing w:val="-13"/>
          <w:sz w:val="24"/>
        </w:rPr>
        <w:t> </w:t>
      </w:r>
      <w:r>
        <w:rPr>
          <w:sz w:val="24"/>
        </w:rPr>
        <w:t>the payment of instalments shall not go beyond the completion of construction.</w:t>
      </w:r>
      <w:r>
        <w:rPr>
          <w:spacing w:val="40"/>
          <w:sz w:val="24"/>
        </w:rPr>
        <w:t> </w:t>
      </w:r>
      <w:r>
        <w:rPr>
          <w:sz w:val="24"/>
        </w:rPr>
        <w:t>This</w:t>
      </w:r>
      <w:r>
        <w:rPr>
          <w:spacing w:val="-6"/>
          <w:sz w:val="24"/>
        </w:rPr>
        <w:t> </w:t>
      </w:r>
      <w:r>
        <w:rPr>
          <w:sz w:val="24"/>
        </w:rPr>
        <w:t>amount</w:t>
      </w:r>
      <w:r>
        <w:rPr>
          <w:spacing w:val="-6"/>
          <w:sz w:val="24"/>
        </w:rPr>
        <w:t> </w:t>
      </w:r>
      <w:r>
        <w:rPr>
          <w:sz w:val="24"/>
        </w:rPr>
        <w:t>shall</w:t>
      </w:r>
      <w:r>
        <w:rPr>
          <w:spacing w:val="-6"/>
          <w:sz w:val="24"/>
        </w:rPr>
        <w:t> </w:t>
      </w:r>
      <w:r>
        <w:rPr>
          <w:sz w:val="24"/>
        </w:rPr>
        <w:t>be</w:t>
      </w:r>
      <w:r>
        <w:rPr>
          <w:spacing w:val="-6"/>
          <w:sz w:val="24"/>
        </w:rPr>
        <w:t> </w:t>
      </w:r>
      <w:r>
        <w:rPr>
          <w:sz w:val="24"/>
        </w:rPr>
        <w:t>used</w:t>
      </w:r>
      <w:r>
        <w:rPr>
          <w:spacing w:val="-6"/>
          <w:sz w:val="24"/>
        </w:rPr>
        <w:t> </w:t>
      </w:r>
      <w:r>
        <w:rPr>
          <w:sz w:val="24"/>
        </w:rPr>
        <w:t>for</w:t>
      </w:r>
      <w:r>
        <w:rPr>
          <w:spacing w:val="-6"/>
          <w:sz w:val="24"/>
        </w:rPr>
        <w:t> </w:t>
      </w:r>
      <w:r>
        <w:rPr>
          <w:sz w:val="24"/>
        </w:rPr>
        <w:t>Scheme</w:t>
      </w:r>
      <w:r>
        <w:rPr>
          <w:spacing w:val="-6"/>
          <w:sz w:val="24"/>
        </w:rPr>
        <w:t> </w:t>
      </w:r>
      <w:r>
        <w:rPr>
          <w:sz w:val="24"/>
        </w:rPr>
        <w:t>to</w:t>
      </w:r>
      <w:r>
        <w:rPr>
          <w:spacing w:val="-6"/>
          <w:sz w:val="24"/>
        </w:rPr>
        <w:t> </w:t>
      </w:r>
      <w:r>
        <w:rPr>
          <w:sz w:val="24"/>
        </w:rPr>
        <w:t>be</w:t>
      </w:r>
      <w:r>
        <w:rPr>
          <w:spacing w:val="-6"/>
          <w:sz w:val="24"/>
        </w:rPr>
        <w:t> </w:t>
      </w:r>
      <w:r>
        <w:rPr>
          <w:sz w:val="24"/>
        </w:rPr>
        <w:t>prepared</w:t>
      </w:r>
      <w:r>
        <w:rPr>
          <w:spacing w:val="-6"/>
          <w:sz w:val="24"/>
        </w:rPr>
        <w:t> </w:t>
      </w:r>
      <w:r>
        <w:rPr>
          <w:sz w:val="24"/>
        </w:rPr>
        <w:t>for the improvement of off-site infrastructure in the area around the development. The above development cess shall be enhanced @ 10% every three years.</w:t>
      </w:r>
    </w:p>
    <w:p>
      <w:pPr>
        <w:pStyle w:val="BodyText"/>
        <w:spacing w:before="1"/>
        <w:jc w:val="left"/>
      </w:pPr>
    </w:p>
    <w:p>
      <w:pPr>
        <w:pStyle w:val="ListParagraph"/>
        <w:numPr>
          <w:ilvl w:val="0"/>
          <w:numId w:val="151"/>
        </w:numPr>
        <w:tabs>
          <w:tab w:pos="2474" w:val="left" w:leader="none"/>
        </w:tabs>
        <w:spacing w:line="240" w:lineRule="auto" w:before="0" w:after="0"/>
        <w:ind w:left="2050" w:right="768" w:firstLine="0"/>
        <w:jc w:val="both"/>
        <w:rPr>
          <w:sz w:val="24"/>
        </w:rPr>
      </w:pPr>
      <w:r>
        <w:rPr>
          <w:sz w:val="24"/>
        </w:rPr>
        <w:t>As per the provision of clause 3, each residential/non-residential tenant shall be rehabilitated only for carpet area mentioned in the said clause 3 and such areas shall be clearly shown on the building plan submitted to the Municipal Corporation.</w:t>
      </w:r>
    </w:p>
    <w:p>
      <w:pPr>
        <w:pStyle w:val="BodyText"/>
        <w:jc w:val="left"/>
      </w:pPr>
    </w:p>
    <w:p>
      <w:pPr>
        <w:pStyle w:val="ListParagraph"/>
        <w:numPr>
          <w:ilvl w:val="0"/>
          <w:numId w:val="151"/>
        </w:numPr>
        <w:tabs>
          <w:tab w:pos="2550" w:val="left" w:leader="none"/>
        </w:tabs>
        <w:spacing w:line="240" w:lineRule="auto" w:before="0" w:after="0"/>
        <w:ind w:left="2050" w:right="771" w:firstLine="0"/>
        <w:jc w:val="both"/>
        <w:rPr>
          <w:sz w:val="24"/>
        </w:rPr>
      </w:pPr>
      <w:r>
        <w:rPr>
          <w:sz w:val="24"/>
        </w:rPr>
        <w:t>The landlord/s or Co-operative Housing Societies of </w:t>
      </w:r>
      <w:r>
        <w:rPr>
          <w:sz w:val="24"/>
        </w:rPr>
        <w:t>existing tenants</w:t>
      </w:r>
      <w:r>
        <w:rPr>
          <w:spacing w:val="68"/>
          <w:sz w:val="24"/>
        </w:rPr>
        <w:t> </w:t>
      </w:r>
      <w:r>
        <w:rPr>
          <w:sz w:val="24"/>
        </w:rPr>
        <w:t>shall</w:t>
      </w:r>
      <w:r>
        <w:rPr>
          <w:spacing w:val="68"/>
          <w:sz w:val="24"/>
        </w:rPr>
        <w:t> </w:t>
      </w:r>
      <w:r>
        <w:rPr>
          <w:sz w:val="24"/>
        </w:rPr>
        <w:t>commence</w:t>
      </w:r>
      <w:r>
        <w:rPr>
          <w:spacing w:val="69"/>
          <w:sz w:val="24"/>
        </w:rPr>
        <w:t> </w:t>
      </w:r>
      <w:r>
        <w:rPr>
          <w:sz w:val="24"/>
        </w:rPr>
        <w:t>the</w:t>
      </w:r>
      <w:r>
        <w:rPr>
          <w:spacing w:val="68"/>
          <w:sz w:val="24"/>
        </w:rPr>
        <w:t> </w:t>
      </w:r>
      <w:r>
        <w:rPr>
          <w:sz w:val="24"/>
        </w:rPr>
        <w:t>reconstruction</w:t>
      </w:r>
      <w:r>
        <w:rPr>
          <w:spacing w:val="69"/>
          <w:sz w:val="24"/>
        </w:rPr>
        <w:t> </w:t>
      </w:r>
      <w:r>
        <w:rPr>
          <w:sz w:val="24"/>
        </w:rPr>
        <w:t>or</w:t>
      </w:r>
      <w:r>
        <w:rPr>
          <w:spacing w:val="68"/>
          <w:sz w:val="24"/>
        </w:rPr>
        <w:t> </w:t>
      </w:r>
      <w:r>
        <w:rPr>
          <w:sz w:val="24"/>
        </w:rPr>
        <w:t>redevelopment</w:t>
      </w:r>
      <w:r>
        <w:rPr>
          <w:spacing w:val="68"/>
          <w:sz w:val="24"/>
        </w:rPr>
        <w:t> </w:t>
      </w:r>
      <w:r>
        <w:rPr>
          <w:sz w:val="24"/>
        </w:rPr>
        <w:t>work</w:t>
      </w:r>
    </w:p>
    <w:p>
      <w:pPr>
        <w:pStyle w:val="ListParagraph"/>
        <w:spacing w:after="0" w:line="240" w:lineRule="auto"/>
        <w:jc w:val="both"/>
        <w:rPr>
          <w:sz w:val="24"/>
        </w:rPr>
        <w:sectPr>
          <w:headerReference w:type="default" r:id="rId41"/>
          <w:footerReference w:type="default" r:id="rId42"/>
          <w:pgSz w:w="11910" w:h="16840"/>
          <w:pgMar w:header="1065" w:footer="1194" w:top="1500" w:bottom="1380" w:left="360" w:right="360"/>
        </w:sectPr>
      </w:pPr>
    </w:p>
    <w:p>
      <w:pPr>
        <w:pStyle w:val="BodyText"/>
        <w:spacing w:before="249"/>
        <w:ind w:left="2050" w:right="766"/>
      </w:pPr>
      <w:r>
        <w:rPr/>
        <w:t>within</w:t>
      </w:r>
      <w:r>
        <w:rPr>
          <w:spacing w:val="-5"/>
        </w:rPr>
        <w:t> </w:t>
      </w:r>
      <w:r>
        <w:rPr/>
        <w:t>the</w:t>
      </w:r>
      <w:r>
        <w:rPr>
          <w:spacing w:val="-5"/>
        </w:rPr>
        <w:t> </w:t>
      </w:r>
      <w:r>
        <w:rPr/>
        <w:t>period</w:t>
      </w:r>
      <w:r>
        <w:rPr>
          <w:spacing w:val="-5"/>
        </w:rPr>
        <w:t> </w:t>
      </w:r>
      <w:r>
        <w:rPr/>
        <w:t>of</w:t>
      </w:r>
      <w:r>
        <w:rPr>
          <w:spacing w:val="-2"/>
        </w:rPr>
        <w:t> </w:t>
      </w:r>
      <w:r>
        <w:rPr/>
        <w:t>one</w:t>
      </w:r>
      <w:r>
        <w:rPr>
          <w:spacing w:val="-5"/>
        </w:rPr>
        <w:t> </w:t>
      </w:r>
      <w:r>
        <w:rPr/>
        <w:t>year</w:t>
      </w:r>
      <w:r>
        <w:rPr>
          <w:spacing w:val="-5"/>
        </w:rPr>
        <w:t> </w:t>
      </w:r>
      <w:r>
        <w:rPr/>
        <w:t>from</w:t>
      </w:r>
      <w:r>
        <w:rPr>
          <w:spacing w:val="-5"/>
        </w:rPr>
        <w:t> </w:t>
      </w:r>
      <w:r>
        <w:rPr/>
        <w:t>the</w:t>
      </w:r>
      <w:r>
        <w:rPr>
          <w:spacing w:val="-5"/>
        </w:rPr>
        <w:t> </w:t>
      </w:r>
      <w:r>
        <w:rPr/>
        <w:t>date</w:t>
      </w:r>
      <w:r>
        <w:rPr>
          <w:spacing w:val="-5"/>
        </w:rPr>
        <w:t> </w:t>
      </w:r>
      <w:r>
        <w:rPr/>
        <w:t>of</w:t>
      </w:r>
      <w:r>
        <w:rPr>
          <w:spacing w:val="-5"/>
        </w:rPr>
        <w:t> </w:t>
      </w:r>
      <w:r>
        <w:rPr/>
        <w:t>demolition</w:t>
      </w:r>
      <w:r>
        <w:rPr>
          <w:spacing w:val="-5"/>
        </w:rPr>
        <w:t> </w:t>
      </w:r>
      <w:r>
        <w:rPr/>
        <w:t>of</w:t>
      </w:r>
      <w:r>
        <w:rPr>
          <w:spacing w:val="-2"/>
        </w:rPr>
        <w:t> </w:t>
      </w:r>
      <w:r>
        <w:rPr/>
        <w:t>the</w:t>
      </w:r>
      <w:r>
        <w:rPr>
          <w:spacing w:val="-5"/>
        </w:rPr>
        <w:t> </w:t>
      </w:r>
      <w:r>
        <w:rPr/>
        <w:t>building and complete it within a period of five years.</w:t>
      </w:r>
      <w:r>
        <w:rPr>
          <w:spacing w:val="40"/>
        </w:rPr>
        <w:t> </w:t>
      </w:r>
      <w:r>
        <w:rPr/>
        <w:t>In the meantime the landlord/s or Co-operative Housing Societies of existing tenants shall make arrangement of alternate accommodation of tenants.</w:t>
      </w:r>
    </w:p>
    <w:p>
      <w:pPr>
        <w:pStyle w:val="BodyText"/>
        <w:jc w:val="left"/>
      </w:pPr>
    </w:p>
    <w:p>
      <w:pPr>
        <w:pStyle w:val="ListParagraph"/>
        <w:numPr>
          <w:ilvl w:val="0"/>
          <w:numId w:val="151"/>
        </w:numPr>
        <w:tabs>
          <w:tab w:pos="2627" w:val="left" w:leader="none"/>
        </w:tabs>
        <w:spacing w:line="240" w:lineRule="auto" w:before="0" w:after="0"/>
        <w:ind w:left="2050" w:right="768" w:firstLine="0"/>
        <w:jc w:val="both"/>
        <w:rPr>
          <w:sz w:val="24"/>
        </w:rPr>
      </w:pPr>
      <w:r>
        <w:rPr>
          <w:sz w:val="24"/>
        </w:rPr>
        <w:t>A corpus fund is to be created by the landlord/s or Co-operative Housing Societies of existing tenants which will take care of the maintenance of the building for a period of 10 years.</w:t>
      </w:r>
    </w:p>
    <w:p>
      <w:pPr>
        <w:pStyle w:val="BodyText"/>
        <w:spacing w:before="1"/>
        <w:jc w:val="left"/>
      </w:pPr>
    </w:p>
    <w:p>
      <w:pPr>
        <w:pStyle w:val="ListParagraph"/>
        <w:numPr>
          <w:ilvl w:val="0"/>
          <w:numId w:val="151"/>
        </w:numPr>
        <w:tabs>
          <w:tab w:pos="2627" w:val="left" w:leader="none"/>
        </w:tabs>
        <w:spacing w:line="240" w:lineRule="auto" w:before="0" w:after="0"/>
        <w:ind w:left="2050" w:right="769" w:firstLine="0"/>
        <w:jc w:val="both"/>
        <w:rPr>
          <w:sz w:val="24"/>
        </w:rPr>
      </w:pPr>
      <w:r>
        <w:rPr>
          <w:sz w:val="24"/>
        </w:rPr>
        <w:t>Restriction</w:t>
      </w:r>
      <w:r>
        <w:rPr>
          <w:spacing w:val="-13"/>
          <w:sz w:val="24"/>
        </w:rPr>
        <w:t> </w:t>
      </w:r>
      <w:r>
        <w:rPr>
          <w:sz w:val="24"/>
        </w:rPr>
        <w:t>on</w:t>
      </w:r>
      <w:r>
        <w:rPr>
          <w:spacing w:val="-13"/>
          <w:sz w:val="24"/>
        </w:rPr>
        <w:t> </w:t>
      </w:r>
      <w:r>
        <w:rPr>
          <w:sz w:val="24"/>
        </w:rPr>
        <w:t>transfer</w:t>
      </w:r>
      <w:r>
        <w:rPr>
          <w:spacing w:val="-13"/>
          <w:sz w:val="24"/>
        </w:rPr>
        <w:t> </w:t>
      </w:r>
      <w:r>
        <w:rPr>
          <w:sz w:val="24"/>
        </w:rPr>
        <w:t>of</w:t>
      </w:r>
      <w:r>
        <w:rPr>
          <w:spacing w:val="-13"/>
          <w:sz w:val="24"/>
        </w:rPr>
        <w:t> </w:t>
      </w:r>
      <w:r>
        <w:rPr>
          <w:sz w:val="24"/>
        </w:rPr>
        <w:t>tenements</w:t>
      </w:r>
      <w:r>
        <w:rPr>
          <w:spacing w:val="-13"/>
          <w:sz w:val="24"/>
        </w:rPr>
        <w:t> </w:t>
      </w:r>
      <w:r>
        <w:rPr>
          <w:sz w:val="24"/>
        </w:rPr>
        <w:t>shall</w:t>
      </w:r>
      <w:r>
        <w:rPr>
          <w:spacing w:val="-13"/>
          <w:sz w:val="24"/>
        </w:rPr>
        <w:t> </w:t>
      </w:r>
      <w:r>
        <w:rPr>
          <w:sz w:val="24"/>
        </w:rPr>
        <w:t>be</w:t>
      </w:r>
      <w:r>
        <w:rPr>
          <w:spacing w:val="-13"/>
          <w:sz w:val="24"/>
        </w:rPr>
        <w:t> </w:t>
      </w:r>
      <w:r>
        <w:rPr>
          <w:sz w:val="24"/>
        </w:rPr>
        <w:t>governed</w:t>
      </w:r>
      <w:r>
        <w:rPr>
          <w:spacing w:val="-13"/>
          <w:sz w:val="24"/>
        </w:rPr>
        <w:t> </w:t>
      </w:r>
      <w:r>
        <w:rPr>
          <w:sz w:val="24"/>
        </w:rPr>
        <w:t>by</w:t>
      </w:r>
      <w:r>
        <w:rPr>
          <w:spacing w:val="-8"/>
          <w:sz w:val="24"/>
        </w:rPr>
        <w:t> </w:t>
      </w:r>
      <w:r>
        <w:rPr>
          <w:sz w:val="24"/>
        </w:rPr>
        <w:t>provision of</w:t>
      </w:r>
      <w:r>
        <w:rPr>
          <w:spacing w:val="-8"/>
          <w:sz w:val="24"/>
        </w:rPr>
        <w:t> </w:t>
      </w:r>
      <w:r>
        <w:rPr>
          <w:sz w:val="24"/>
        </w:rPr>
        <w:t>Rent</w:t>
      </w:r>
      <w:r>
        <w:rPr>
          <w:spacing w:val="-8"/>
          <w:sz w:val="24"/>
        </w:rPr>
        <w:t> </w:t>
      </w:r>
      <w:r>
        <w:rPr>
          <w:sz w:val="24"/>
        </w:rPr>
        <w:t>Control</w:t>
      </w:r>
      <w:r>
        <w:rPr>
          <w:spacing w:val="-8"/>
          <w:sz w:val="24"/>
        </w:rPr>
        <w:t> </w:t>
      </w:r>
      <w:r>
        <w:rPr>
          <w:sz w:val="24"/>
        </w:rPr>
        <w:t>Act</w:t>
      </w:r>
      <w:r>
        <w:rPr>
          <w:spacing w:val="-8"/>
          <w:sz w:val="24"/>
        </w:rPr>
        <w:t> </w:t>
      </w:r>
      <w:r>
        <w:rPr>
          <w:sz w:val="24"/>
        </w:rPr>
        <w:t>till</w:t>
      </w:r>
      <w:r>
        <w:rPr>
          <w:spacing w:val="-8"/>
          <w:sz w:val="24"/>
        </w:rPr>
        <w:t> </w:t>
      </w:r>
      <w:r>
        <w:rPr>
          <w:sz w:val="24"/>
        </w:rPr>
        <w:t>Co.Op.</w:t>
      </w:r>
      <w:r>
        <w:rPr>
          <w:spacing w:val="-8"/>
          <w:sz w:val="24"/>
        </w:rPr>
        <w:t> </w:t>
      </w:r>
      <w:r>
        <w:rPr>
          <w:sz w:val="24"/>
        </w:rPr>
        <w:t>Society</w:t>
      </w:r>
      <w:r>
        <w:rPr>
          <w:spacing w:val="-8"/>
          <w:sz w:val="24"/>
        </w:rPr>
        <w:t> </w:t>
      </w:r>
      <w:r>
        <w:rPr>
          <w:sz w:val="24"/>
        </w:rPr>
        <w:t>is</w:t>
      </w:r>
      <w:r>
        <w:rPr>
          <w:spacing w:val="-8"/>
          <w:sz w:val="24"/>
        </w:rPr>
        <w:t> </w:t>
      </w:r>
      <w:r>
        <w:rPr>
          <w:sz w:val="24"/>
        </w:rPr>
        <w:t>formed</w:t>
      </w:r>
      <w:r>
        <w:rPr>
          <w:spacing w:val="-8"/>
          <w:sz w:val="24"/>
        </w:rPr>
        <w:t> </w:t>
      </w:r>
      <w:r>
        <w:rPr>
          <w:sz w:val="24"/>
        </w:rPr>
        <w:t>and</w:t>
      </w:r>
      <w:r>
        <w:rPr>
          <w:spacing w:val="-8"/>
          <w:sz w:val="24"/>
        </w:rPr>
        <w:t> </w:t>
      </w:r>
      <w:r>
        <w:rPr>
          <w:sz w:val="24"/>
        </w:rPr>
        <w:t>after</w:t>
      </w:r>
      <w:r>
        <w:rPr>
          <w:spacing w:val="-8"/>
          <w:sz w:val="24"/>
        </w:rPr>
        <w:t> </w:t>
      </w:r>
      <w:r>
        <w:rPr>
          <w:sz w:val="24"/>
        </w:rPr>
        <w:t>that</w:t>
      </w:r>
      <w:r>
        <w:rPr>
          <w:spacing w:val="-8"/>
          <w:sz w:val="24"/>
        </w:rPr>
        <w:t> </w:t>
      </w:r>
      <w:r>
        <w:rPr>
          <w:sz w:val="24"/>
        </w:rPr>
        <w:t>the</w:t>
      </w:r>
      <w:r>
        <w:rPr>
          <w:spacing w:val="-8"/>
          <w:sz w:val="24"/>
        </w:rPr>
        <w:t> </w:t>
      </w:r>
      <w:r>
        <w:rPr>
          <w:sz w:val="24"/>
        </w:rPr>
        <w:t>same shall</w:t>
      </w:r>
      <w:r>
        <w:rPr>
          <w:spacing w:val="-9"/>
          <w:sz w:val="24"/>
        </w:rPr>
        <w:t> </w:t>
      </w:r>
      <w:r>
        <w:rPr>
          <w:sz w:val="24"/>
        </w:rPr>
        <w:t>be</w:t>
      </w:r>
      <w:r>
        <w:rPr>
          <w:spacing w:val="-9"/>
          <w:sz w:val="24"/>
        </w:rPr>
        <w:t> </w:t>
      </w:r>
      <w:r>
        <w:rPr>
          <w:sz w:val="24"/>
        </w:rPr>
        <w:t>governed</w:t>
      </w:r>
      <w:r>
        <w:rPr>
          <w:spacing w:val="-9"/>
          <w:sz w:val="24"/>
        </w:rPr>
        <w:t> </w:t>
      </w:r>
      <w:r>
        <w:rPr>
          <w:sz w:val="24"/>
        </w:rPr>
        <w:t>by</w:t>
      </w:r>
      <w:r>
        <w:rPr>
          <w:spacing w:val="-9"/>
          <w:sz w:val="24"/>
        </w:rPr>
        <w:t> </w:t>
      </w:r>
      <w:r>
        <w:rPr>
          <w:sz w:val="24"/>
        </w:rPr>
        <w:t>the</w:t>
      </w:r>
      <w:r>
        <w:rPr>
          <w:spacing w:val="-9"/>
          <w:sz w:val="24"/>
        </w:rPr>
        <w:t> </w:t>
      </w:r>
      <w:r>
        <w:rPr>
          <w:sz w:val="24"/>
        </w:rPr>
        <w:t>provision</w:t>
      </w:r>
      <w:r>
        <w:rPr>
          <w:spacing w:val="-9"/>
          <w:sz w:val="24"/>
        </w:rPr>
        <w:t> </w:t>
      </w:r>
      <w:r>
        <w:rPr>
          <w:sz w:val="24"/>
        </w:rPr>
        <w:t>of</w:t>
      </w:r>
      <w:r>
        <w:rPr>
          <w:spacing w:val="-9"/>
          <w:sz w:val="24"/>
        </w:rPr>
        <w:t> </w:t>
      </w:r>
      <w:r>
        <w:rPr>
          <w:sz w:val="24"/>
        </w:rPr>
        <w:t>Maharashtra</w:t>
      </w:r>
      <w:r>
        <w:rPr>
          <w:spacing w:val="-9"/>
          <w:sz w:val="24"/>
        </w:rPr>
        <w:t> </w:t>
      </w:r>
      <w:r>
        <w:rPr>
          <w:sz w:val="24"/>
        </w:rPr>
        <w:t>Co-Op.</w:t>
      </w:r>
      <w:r>
        <w:rPr>
          <w:spacing w:val="-9"/>
          <w:sz w:val="24"/>
        </w:rPr>
        <w:t> </w:t>
      </w:r>
      <w:r>
        <w:rPr>
          <w:sz w:val="24"/>
        </w:rPr>
        <w:t>Society’s</w:t>
      </w:r>
      <w:r>
        <w:rPr>
          <w:spacing w:val="-9"/>
          <w:sz w:val="24"/>
        </w:rPr>
        <w:t> </w:t>
      </w:r>
      <w:r>
        <w:rPr>
          <w:sz w:val="24"/>
        </w:rPr>
        <w:t>Act.</w:t>
      </w:r>
    </w:p>
    <w:p>
      <w:pPr>
        <w:pStyle w:val="BodyText"/>
        <w:spacing w:before="201"/>
        <w:jc w:val="left"/>
      </w:pPr>
    </w:p>
    <w:p>
      <w:pPr>
        <w:pStyle w:val="BodyText"/>
        <w:ind w:left="2422" w:right="768" w:hanging="360"/>
      </w:pPr>
      <w:r>
        <w:rPr/>
        <w:t>20</w:t>
      </w:r>
      <w:r>
        <w:rPr>
          <w:spacing w:val="-17"/>
        </w:rPr>
        <w:t> </w:t>
      </w:r>
      <w:r>
        <w:rPr/>
        <w:t>.If the rehab plus incentive as per this regulation is less than the permissible FSI as per regulation 30, then the owner may opt for development up to permissible FSI by availing TDR/Additional FSI on payment of premium as per Regulation 30.</w:t>
      </w:r>
    </w:p>
    <w:p>
      <w:pPr>
        <w:pStyle w:val="BodyText"/>
        <w:jc w:val="left"/>
      </w:pPr>
    </w:p>
    <w:p>
      <w:pPr>
        <w:pStyle w:val="BodyText"/>
        <w:spacing w:before="194"/>
        <w:jc w:val="left"/>
      </w:pPr>
    </w:p>
    <w:p>
      <w:pPr>
        <w:pStyle w:val="Heading6"/>
        <w:spacing w:line="276" w:lineRule="auto"/>
        <w:ind w:left="1908" w:right="770" w:hanging="567"/>
        <w:jc w:val="both"/>
      </w:pPr>
      <w:r>
        <w:rPr>
          <w:i w:val="0"/>
        </w:rPr>
        <w:t>33(7)(B) </w:t>
      </w:r>
      <w:r>
        <w:rPr/>
        <w:t>Additional FSI for Redevelopment of existing residential housing societies excluding buildings covered under regulation 33(7) and 33(7)(A):</w:t>
      </w:r>
    </w:p>
    <w:p>
      <w:pPr>
        <w:pStyle w:val="BodyText"/>
        <w:spacing w:before="204"/>
        <w:ind w:left="2062" w:right="766"/>
      </w:pPr>
      <w:r>
        <w:rPr/>
        <w:t>In case of redevelopment of existing residential housing societies excluding buildings covered under regulation 33(7) and 33(7)(A) proposed by Housing societies/land lords or through their proponents where existing members are proposed to be re-accommodated on the same</w:t>
      </w:r>
      <w:r>
        <w:rPr>
          <w:spacing w:val="-16"/>
        </w:rPr>
        <w:t> </w:t>
      </w:r>
      <w:r>
        <w:rPr/>
        <w:t>plot,</w:t>
      </w:r>
      <w:r>
        <w:rPr>
          <w:spacing w:val="-17"/>
        </w:rPr>
        <w:t> </w:t>
      </w:r>
      <w:r>
        <w:rPr/>
        <w:t>incentive</w:t>
      </w:r>
      <w:r>
        <w:rPr>
          <w:spacing w:val="-18"/>
        </w:rPr>
        <w:t> </w:t>
      </w:r>
      <w:r>
        <w:rPr/>
        <w:t>additional</w:t>
      </w:r>
      <w:r>
        <w:rPr>
          <w:spacing w:val="-17"/>
        </w:rPr>
        <w:t> </w:t>
      </w:r>
      <w:r>
        <w:rPr/>
        <w:t>BUA</w:t>
      </w:r>
      <w:r>
        <w:rPr>
          <w:spacing w:val="-16"/>
        </w:rPr>
        <w:t> </w:t>
      </w:r>
      <w:r>
        <w:rPr/>
        <w:t>to</w:t>
      </w:r>
      <w:r>
        <w:rPr>
          <w:spacing w:val="-16"/>
        </w:rPr>
        <w:t> </w:t>
      </w:r>
      <w:r>
        <w:rPr/>
        <w:t>the</w:t>
      </w:r>
      <w:r>
        <w:rPr>
          <w:spacing w:val="-16"/>
        </w:rPr>
        <w:t> </w:t>
      </w:r>
      <w:r>
        <w:rPr/>
        <w:t>extent</w:t>
      </w:r>
      <w:r>
        <w:rPr>
          <w:spacing w:val="-16"/>
        </w:rPr>
        <w:t> </w:t>
      </w:r>
      <w:r>
        <w:rPr/>
        <w:t>of</w:t>
      </w:r>
      <w:r>
        <w:rPr>
          <w:spacing w:val="-16"/>
        </w:rPr>
        <w:t> </w:t>
      </w:r>
      <w:r>
        <w:rPr/>
        <w:t>15%</w:t>
      </w:r>
      <w:r>
        <w:rPr>
          <w:spacing w:val="-19"/>
        </w:rPr>
        <w:t> </w:t>
      </w:r>
      <w:r>
        <w:rPr/>
        <w:t>of</w:t>
      </w:r>
      <w:r>
        <w:rPr>
          <w:spacing w:val="-15"/>
        </w:rPr>
        <w:t> </w:t>
      </w:r>
      <w:r>
        <w:rPr/>
        <w:t>existing</w:t>
      </w:r>
      <w:r>
        <w:rPr>
          <w:spacing w:val="-16"/>
        </w:rPr>
        <w:t> </w:t>
      </w:r>
      <w:r>
        <w:rPr/>
        <w:t>BUA or</w:t>
      </w:r>
      <w:r>
        <w:rPr>
          <w:spacing w:val="-20"/>
        </w:rPr>
        <w:t> </w:t>
      </w:r>
      <w:r>
        <w:rPr/>
        <w:t>10</w:t>
      </w:r>
      <w:r>
        <w:rPr>
          <w:spacing w:val="-19"/>
        </w:rPr>
        <w:t> </w:t>
      </w:r>
      <w:r>
        <w:rPr/>
        <w:t>sq.</w:t>
      </w:r>
      <w:r>
        <w:rPr>
          <w:spacing w:val="-19"/>
        </w:rPr>
        <w:t> </w:t>
      </w:r>
      <w:r>
        <w:rPr/>
        <w:t>m</w:t>
      </w:r>
      <w:r>
        <w:rPr>
          <w:spacing w:val="-19"/>
        </w:rPr>
        <w:t> </w:t>
      </w:r>
      <w:r>
        <w:rPr/>
        <w:t>per</w:t>
      </w:r>
      <w:r>
        <w:rPr>
          <w:spacing w:val="-19"/>
        </w:rPr>
        <w:t> </w:t>
      </w:r>
      <w:r>
        <w:rPr/>
        <w:t>tenement</w:t>
      </w:r>
      <w:r>
        <w:rPr>
          <w:spacing w:val="-20"/>
        </w:rPr>
        <w:t> </w:t>
      </w:r>
      <w:r>
        <w:rPr/>
        <w:t>whichever</w:t>
      </w:r>
      <w:r>
        <w:rPr>
          <w:spacing w:val="-19"/>
        </w:rPr>
        <w:t> </w:t>
      </w:r>
      <w:r>
        <w:rPr/>
        <w:t>is</w:t>
      </w:r>
      <w:r>
        <w:rPr>
          <w:spacing w:val="-19"/>
        </w:rPr>
        <w:t> </w:t>
      </w:r>
      <w:r>
        <w:rPr/>
        <w:t>more</w:t>
      </w:r>
      <w:r>
        <w:rPr>
          <w:spacing w:val="-19"/>
        </w:rPr>
        <w:t> </w:t>
      </w:r>
      <w:r>
        <w:rPr/>
        <w:t>shall</w:t>
      </w:r>
      <w:r>
        <w:rPr>
          <w:spacing w:val="-19"/>
        </w:rPr>
        <w:t> </w:t>
      </w:r>
      <w:r>
        <w:rPr/>
        <w:t>be</w:t>
      </w:r>
      <w:r>
        <w:rPr>
          <w:spacing w:val="-20"/>
        </w:rPr>
        <w:t> </w:t>
      </w:r>
      <w:r>
        <w:rPr/>
        <w:t>permissible</w:t>
      </w:r>
      <w:r>
        <w:rPr>
          <w:spacing w:val="-19"/>
        </w:rPr>
        <w:t> </w:t>
      </w:r>
      <w:r>
        <w:rPr/>
        <w:t>without premium. Provided further that if the existing authorized BUA and incentive</w:t>
      </w:r>
      <w:r>
        <w:rPr>
          <w:spacing w:val="-1"/>
        </w:rPr>
        <w:t> </w:t>
      </w:r>
      <w:r>
        <w:rPr/>
        <w:t>thereon</w:t>
      </w:r>
      <w:r>
        <w:rPr>
          <w:spacing w:val="-1"/>
        </w:rPr>
        <w:t> </w:t>
      </w:r>
      <w:r>
        <w:rPr/>
        <w:t>as stated</w:t>
      </w:r>
      <w:r>
        <w:rPr>
          <w:spacing w:val="-1"/>
        </w:rPr>
        <w:t> </w:t>
      </w:r>
      <w:r>
        <w:rPr/>
        <w:t>aboveis</w:t>
      </w:r>
      <w:r>
        <w:rPr>
          <w:spacing w:val="-1"/>
        </w:rPr>
        <w:t> </w:t>
      </w:r>
      <w:r>
        <w:rPr/>
        <w:t>less</w:t>
      </w:r>
      <w:r>
        <w:rPr>
          <w:spacing w:val="-1"/>
        </w:rPr>
        <w:t> </w:t>
      </w:r>
      <w:r>
        <w:rPr/>
        <w:t>than</w:t>
      </w:r>
      <w:r>
        <w:rPr>
          <w:spacing w:val="-1"/>
        </w:rPr>
        <w:t> </w:t>
      </w:r>
      <w:r>
        <w:rPr/>
        <w:t>the</w:t>
      </w:r>
      <w:r>
        <w:rPr>
          <w:spacing w:val="-1"/>
        </w:rPr>
        <w:t> </w:t>
      </w:r>
      <w:r>
        <w:rPr/>
        <w:t>permissible FSIas</w:t>
      </w:r>
      <w:r>
        <w:rPr>
          <w:spacing w:val="-1"/>
        </w:rPr>
        <w:t> </w:t>
      </w:r>
      <w:r>
        <w:rPr/>
        <w:t>per regulation 30(A)(1), then society</w:t>
      </w:r>
      <w:r>
        <w:rPr>
          <w:spacing w:val="40"/>
        </w:rPr>
        <w:t> </w:t>
      </w:r>
      <w:r>
        <w:rPr/>
        <w:t>may avail ‘Additional FSI on payment of premium/TDR’ up to limit of permissible FSI .</w:t>
      </w:r>
    </w:p>
    <w:p>
      <w:pPr>
        <w:pStyle w:val="ListParagraph"/>
        <w:numPr>
          <w:ilvl w:val="0"/>
          <w:numId w:val="152"/>
        </w:numPr>
        <w:tabs>
          <w:tab w:pos="2368" w:val="left" w:leader="none"/>
        </w:tabs>
        <w:spacing w:line="240" w:lineRule="auto" w:before="241" w:after="0"/>
        <w:ind w:left="2062" w:right="769" w:firstLine="0"/>
        <w:jc w:val="both"/>
        <w:rPr>
          <w:sz w:val="24"/>
        </w:rPr>
      </w:pPr>
      <w:r>
        <w:rPr>
          <w:sz w:val="24"/>
        </w:rPr>
        <w:t>If staircase, lift &amp; lift lobby areas are claimed free of FSI by charging premium as per then prevailing Regulation, then such areas to that extent only will be granted free of FSI without charging premium. If staircase, lift &amp; lift lobby areas are counted in FSI in earlier development, then incentiveadditional FSI as stated in Sr. No 1 shall also be given on such area &amp; such areas may be availed free of FSI by charging premium as per these Regulations.</w:t>
      </w:r>
    </w:p>
    <w:p>
      <w:pPr>
        <w:pStyle w:val="ListParagraph"/>
        <w:numPr>
          <w:ilvl w:val="0"/>
          <w:numId w:val="152"/>
        </w:numPr>
        <w:tabs>
          <w:tab w:pos="2387" w:val="left" w:leader="none"/>
        </w:tabs>
        <w:spacing w:line="240" w:lineRule="auto" w:before="241" w:after="0"/>
        <w:ind w:left="2062" w:right="766" w:firstLine="0"/>
        <w:jc w:val="both"/>
        <w:rPr>
          <w:sz w:val="24"/>
        </w:rPr>
      </w:pPr>
      <w:r>
        <w:rPr>
          <w:sz w:val="24"/>
        </w:rPr>
        <w:t>This Regulation shall be applicable only when existing members of the societies are proposed to be re-accommodated</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0"/>
          <w:numId w:val="152"/>
        </w:numPr>
        <w:tabs>
          <w:tab w:pos="2445" w:val="left" w:leader="none"/>
        </w:tabs>
        <w:spacing w:line="240" w:lineRule="auto" w:before="249" w:after="0"/>
        <w:ind w:left="2062" w:right="772" w:firstLine="0"/>
        <w:jc w:val="both"/>
        <w:rPr>
          <w:sz w:val="24"/>
        </w:rPr>
      </w:pPr>
      <w:r>
        <w:rPr>
          <w:sz w:val="24"/>
        </w:rPr>
        <w:t>This regulation will be applicable for redevelopment of existing authorized buildings which are of thirty years of age or more.</w:t>
      </w:r>
    </w:p>
    <w:p>
      <w:pPr>
        <w:pStyle w:val="ListParagraph"/>
        <w:numPr>
          <w:ilvl w:val="0"/>
          <w:numId w:val="152"/>
        </w:numPr>
        <w:tabs>
          <w:tab w:pos="2285" w:val="left" w:leader="none"/>
        </w:tabs>
        <w:spacing w:line="240" w:lineRule="auto" w:before="241" w:after="0"/>
        <w:ind w:left="2062" w:right="768" w:firstLine="0"/>
        <w:jc w:val="both"/>
        <w:rPr>
          <w:sz w:val="24"/>
        </w:rPr>
      </w:pPr>
      <w:r>
        <w:rPr>
          <w:sz w:val="24"/>
        </w:rPr>
        <w:t>This regulation shall not be applicable in respect of redevelopment proposal</w:t>
      </w:r>
      <w:r>
        <w:rPr>
          <w:spacing w:val="-11"/>
          <w:sz w:val="24"/>
        </w:rPr>
        <w:t> </w:t>
      </w:r>
      <w:r>
        <w:rPr>
          <w:sz w:val="24"/>
        </w:rPr>
        <w:t>to</w:t>
      </w:r>
      <w:r>
        <w:rPr>
          <w:spacing w:val="-11"/>
          <w:sz w:val="24"/>
        </w:rPr>
        <w:t> </w:t>
      </w:r>
      <w:r>
        <w:rPr>
          <w:sz w:val="24"/>
        </w:rPr>
        <w:t>be/being</w:t>
      </w:r>
      <w:r>
        <w:rPr>
          <w:spacing w:val="-8"/>
          <w:sz w:val="24"/>
        </w:rPr>
        <w:t> </w:t>
      </w:r>
      <w:r>
        <w:rPr>
          <w:sz w:val="24"/>
        </w:rPr>
        <w:t>processed</w:t>
      </w:r>
      <w:r>
        <w:rPr>
          <w:spacing w:val="-11"/>
          <w:sz w:val="24"/>
        </w:rPr>
        <w:t> </w:t>
      </w:r>
      <w:r>
        <w:rPr>
          <w:sz w:val="24"/>
        </w:rPr>
        <w:t>under</w:t>
      </w:r>
      <w:r>
        <w:rPr>
          <w:spacing w:val="-11"/>
          <w:sz w:val="24"/>
        </w:rPr>
        <w:t> </w:t>
      </w:r>
      <w:r>
        <w:rPr>
          <w:sz w:val="24"/>
        </w:rPr>
        <w:t>Regulation</w:t>
      </w:r>
      <w:r>
        <w:rPr>
          <w:spacing w:val="-11"/>
          <w:sz w:val="24"/>
        </w:rPr>
        <w:t> </w:t>
      </w:r>
      <w:r>
        <w:rPr>
          <w:sz w:val="24"/>
        </w:rPr>
        <w:t>No</w:t>
      </w:r>
      <w:r>
        <w:rPr>
          <w:spacing w:val="-11"/>
          <w:sz w:val="24"/>
        </w:rPr>
        <w:t> </w:t>
      </w:r>
      <w:r>
        <w:rPr>
          <w:sz w:val="24"/>
        </w:rPr>
        <w:t>33(5),</w:t>
      </w:r>
      <w:r>
        <w:rPr>
          <w:spacing w:val="-11"/>
          <w:sz w:val="24"/>
        </w:rPr>
        <w:t> </w:t>
      </w:r>
      <w:r>
        <w:rPr>
          <w:sz w:val="24"/>
        </w:rPr>
        <w:t>33(7),</w:t>
      </w:r>
      <w:r>
        <w:rPr>
          <w:spacing w:val="-11"/>
          <w:sz w:val="24"/>
        </w:rPr>
        <w:t> </w:t>
      </w:r>
      <w:r>
        <w:rPr>
          <w:sz w:val="24"/>
        </w:rPr>
        <w:t>33(8), 33(9), 33(9)(A),33(9)(B), 33(10), 33(10) (A), 33(20) (A), 33(21).</w:t>
      </w:r>
    </w:p>
    <w:p>
      <w:pPr>
        <w:pStyle w:val="BodyText"/>
        <w:spacing w:before="239"/>
        <w:ind w:left="2062" w:right="769"/>
      </w:pPr>
      <w:r>
        <w:rPr/>
        <w:t>Explanation: -Age of a building shall be as on the 1st of January of the year in which a complete redevelopment proposal is submitted to the Commissioner and shall be calculated from the date of Occupation Certificate or alternately, from the first date of assessment as per the property tax record in respect of such building or building on which balance/admissible</w:t>
      </w:r>
      <w:r>
        <w:rPr>
          <w:spacing w:val="-20"/>
        </w:rPr>
        <w:t> </w:t>
      </w:r>
      <w:r>
        <w:rPr/>
        <w:t>FSI</w:t>
      </w:r>
      <w:r>
        <w:rPr>
          <w:spacing w:val="-19"/>
        </w:rPr>
        <w:t> </w:t>
      </w:r>
      <w:r>
        <w:rPr/>
        <w:t>has</w:t>
      </w:r>
      <w:r>
        <w:rPr>
          <w:spacing w:val="-19"/>
        </w:rPr>
        <w:t> </w:t>
      </w:r>
      <w:r>
        <w:rPr/>
        <w:t>been</w:t>
      </w:r>
      <w:r>
        <w:rPr>
          <w:spacing w:val="-19"/>
        </w:rPr>
        <w:t> </w:t>
      </w:r>
      <w:r>
        <w:rPr/>
        <w:t>consumed</w:t>
      </w:r>
      <w:r>
        <w:rPr>
          <w:spacing w:val="-19"/>
        </w:rPr>
        <w:t> </w:t>
      </w:r>
      <w:r>
        <w:rPr/>
        <w:t>by</w:t>
      </w:r>
      <w:r>
        <w:rPr>
          <w:spacing w:val="-20"/>
        </w:rPr>
        <w:t> </w:t>
      </w:r>
      <w:r>
        <w:rPr/>
        <w:t>way</w:t>
      </w:r>
      <w:r>
        <w:rPr>
          <w:spacing w:val="-19"/>
        </w:rPr>
        <w:t> </w:t>
      </w:r>
      <w:r>
        <w:rPr/>
        <w:t>of</w:t>
      </w:r>
      <w:r>
        <w:rPr>
          <w:spacing w:val="-19"/>
        </w:rPr>
        <w:t> </w:t>
      </w:r>
      <w:r>
        <w:rPr/>
        <w:t>vertical</w:t>
      </w:r>
      <w:r>
        <w:rPr>
          <w:spacing w:val="-19"/>
        </w:rPr>
        <w:t> </w:t>
      </w:r>
      <w:r>
        <w:rPr/>
        <w:t>extension as per then prevailing Regulation, available with the MCGM.</w:t>
      </w:r>
    </w:p>
    <w:p>
      <w:pPr>
        <w:pStyle w:val="ListParagraph"/>
        <w:numPr>
          <w:ilvl w:val="0"/>
          <w:numId w:val="152"/>
        </w:numPr>
        <w:tabs>
          <w:tab w:pos="2359" w:val="left" w:leader="none"/>
        </w:tabs>
        <w:spacing w:line="240" w:lineRule="auto" w:before="242" w:after="0"/>
        <w:ind w:left="2062" w:right="766" w:firstLine="0"/>
        <w:jc w:val="both"/>
        <w:rPr>
          <w:sz w:val="24"/>
        </w:rPr>
      </w:pPr>
      <w:r>
        <w:rPr>
          <w:sz w:val="24"/>
        </w:rPr>
        <w:t>This</w:t>
      </w:r>
      <w:r>
        <w:rPr>
          <w:spacing w:val="-8"/>
          <w:sz w:val="24"/>
        </w:rPr>
        <w:t> </w:t>
      </w:r>
      <w:r>
        <w:rPr>
          <w:sz w:val="24"/>
        </w:rPr>
        <w:t>incentiveadditional</w:t>
      </w:r>
      <w:r>
        <w:rPr>
          <w:spacing w:val="-8"/>
          <w:sz w:val="24"/>
        </w:rPr>
        <w:t> </w:t>
      </w:r>
      <w:r>
        <w:rPr>
          <w:sz w:val="24"/>
        </w:rPr>
        <w:t>BUA</w:t>
      </w:r>
      <w:r>
        <w:rPr>
          <w:spacing w:val="-8"/>
          <w:sz w:val="24"/>
        </w:rPr>
        <w:t> </w:t>
      </w:r>
      <w:r>
        <w:rPr>
          <w:sz w:val="24"/>
        </w:rPr>
        <w:t>shall</w:t>
      </w:r>
      <w:r>
        <w:rPr>
          <w:spacing w:val="-8"/>
          <w:sz w:val="24"/>
        </w:rPr>
        <w:t> </w:t>
      </w:r>
      <w:r>
        <w:rPr>
          <w:sz w:val="24"/>
        </w:rPr>
        <w:t>be</w:t>
      </w:r>
      <w:r>
        <w:rPr>
          <w:spacing w:val="-8"/>
          <w:sz w:val="24"/>
        </w:rPr>
        <w:t> </w:t>
      </w:r>
      <w:r>
        <w:rPr>
          <w:sz w:val="24"/>
        </w:rPr>
        <w:t>independent</w:t>
      </w:r>
      <w:r>
        <w:rPr>
          <w:spacing w:val="-8"/>
          <w:sz w:val="24"/>
        </w:rPr>
        <w:t> </w:t>
      </w:r>
      <w:r>
        <w:rPr>
          <w:sz w:val="24"/>
        </w:rPr>
        <w:t>of</w:t>
      </w:r>
      <w:r>
        <w:rPr>
          <w:spacing w:val="-8"/>
          <w:sz w:val="24"/>
        </w:rPr>
        <w:t> </w:t>
      </w:r>
      <w:r>
        <w:rPr>
          <w:sz w:val="24"/>
        </w:rPr>
        <w:t>additional</w:t>
      </w:r>
      <w:r>
        <w:rPr>
          <w:spacing w:val="-8"/>
          <w:sz w:val="24"/>
        </w:rPr>
        <w:t> </w:t>
      </w:r>
      <w:r>
        <w:rPr>
          <w:sz w:val="24"/>
        </w:rPr>
        <w:t>BUA as permissible under Regulation No 14(A), 15, 16 and 17, if any.</w:t>
      </w:r>
    </w:p>
    <w:p>
      <w:pPr>
        <w:pStyle w:val="ListParagraph"/>
        <w:numPr>
          <w:ilvl w:val="0"/>
          <w:numId w:val="152"/>
        </w:numPr>
        <w:tabs>
          <w:tab w:pos="2347" w:val="left" w:leader="none"/>
        </w:tabs>
        <w:spacing w:line="240" w:lineRule="auto" w:before="240" w:after="0"/>
        <w:ind w:left="2062" w:right="766" w:firstLine="0"/>
        <w:jc w:val="both"/>
        <w:rPr>
          <w:sz w:val="24"/>
        </w:rPr>
      </w:pPr>
      <w:r>
        <w:rPr>
          <w:sz w:val="24"/>
        </w:rPr>
        <w:t>Fungible</w:t>
      </w:r>
      <w:r>
        <w:rPr>
          <w:spacing w:val="-20"/>
          <w:sz w:val="24"/>
        </w:rPr>
        <w:t> </w:t>
      </w:r>
      <w:r>
        <w:rPr>
          <w:sz w:val="24"/>
        </w:rPr>
        <w:t>compensatory</w:t>
      </w:r>
      <w:r>
        <w:rPr>
          <w:spacing w:val="-19"/>
          <w:sz w:val="24"/>
        </w:rPr>
        <w:t> </w:t>
      </w:r>
      <w:r>
        <w:rPr>
          <w:sz w:val="24"/>
        </w:rPr>
        <w:t>area</w:t>
      </w:r>
      <w:r>
        <w:rPr>
          <w:spacing w:val="-19"/>
          <w:sz w:val="24"/>
        </w:rPr>
        <w:t> </w:t>
      </w:r>
      <w:r>
        <w:rPr>
          <w:sz w:val="24"/>
        </w:rPr>
        <w:t>admissible</w:t>
      </w:r>
      <w:r>
        <w:rPr>
          <w:spacing w:val="-19"/>
          <w:sz w:val="24"/>
        </w:rPr>
        <w:t> </w:t>
      </w:r>
      <w:r>
        <w:rPr>
          <w:sz w:val="24"/>
        </w:rPr>
        <w:t>under</w:t>
      </w:r>
      <w:r>
        <w:rPr>
          <w:spacing w:val="-19"/>
          <w:sz w:val="24"/>
        </w:rPr>
        <w:t> </w:t>
      </w:r>
      <w:r>
        <w:rPr>
          <w:sz w:val="24"/>
        </w:rPr>
        <w:t>Regulation</w:t>
      </w:r>
      <w:r>
        <w:rPr>
          <w:spacing w:val="-20"/>
          <w:sz w:val="24"/>
        </w:rPr>
        <w:t> </w:t>
      </w:r>
      <w:r>
        <w:rPr>
          <w:sz w:val="24"/>
        </w:rPr>
        <w:t>No.</w:t>
      </w:r>
      <w:r>
        <w:rPr>
          <w:spacing w:val="-19"/>
          <w:sz w:val="24"/>
        </w:rPr>
        <w:t> </w:t>
      </w:r>
      <w:r>
        <w:rPr>
          <w:sz w:val="24"/>
        </w:rPr>
        <w:t>31(3)on the existing authorised BUA shall be without charging premium and over the incentive additional BUA by</w:t>
      </w:r>
      <w:r>
        <w:rPr>
          <w:spacing w:val="40"/>
          <w:sz w:val="24"/>
        </w:rPr>
        <w:t> </w:t>
      </w:r>
      <w:r>
        <w:rPr>
          <w:sz w:val="24"/>
        </w:rPr>
        <w:t>charging of premium.</w:t>
      </w:r>
    </w:p>
    <w:p>
      <w:pPr>
        <w:pStyle w:val="BodyText"/>
        <w:spacing w:before="240"/>
        <w:ind w:left="2062" w:right="767"/>
      </w:pPr>
      <w:r>
        <w:rPr/>
        <w:t>9. If tenanted building/s and building/s of co-operative housing society/non-tenanted</w:t>
      </w:r>
      <w:r>
        <w:rPr>
          <w:spacing w:val="-20"/>
        </w:rPr>
        <w:t> </w:t>
      </w:r>
      <w:r>
        <w:rPr/>
        <w:t>building/s</w:t>
      </w:r>
      <w:r>
        <w:rPr>
          <w:spacing w:val="-19"/>
        </w:rPr>
        <w:t> </w:t>
      </w:r>
      <w:r>
        <w:rPr/>
        <w:t>coexist</w:t>
      </w:r>
      <w:r>
        <w:rPr>
          <w:spacing w:val="-19"/>
        </w:rPr>
        <w:t> </w:t>
      </w:r>
      <w:r>
        <w:rPr/>
        <w:t>on</w:t>
      </w:r>
      <w:r>
        <w:rPr>
          <w:spacing w:val="-19"/>
        </w:rPr>
        <w:t> </w:t>
      </w:r>
      <w:r>
        <w:rPr/>
        <w:t>the</w:t>
      </w:r>
      <w:r>
        <w:rPr>
          <w:spacing w:val="-19"/>
        </w:rPr>
        <w:t> </w:t>
      </w:r>
      <w:r>
        <w:rPr/>
        <w:t>plot</w:t>
      </w:r>
      <w:r>
        <w:rPr>
          <w:spacing w:val="-20"/>
        </w:rPr>
        <w:t> </w:t>
      </w:r>
      <w:r>
        <w:rPr/>
        <w:t>under</w:t>
      </w:r>
      <w:r>
        <w:rPr>
          <w:spacing w:val="-19"/>
        </w:rPr>
        <w:t> </w:t>
      </w:r>
      <w:r>
        <w:rPr/>
        <w:t>development, then</w:t>
      </w:r>
      <w:r>
        <w:rPr>
          <w:spacing w:val="-3"/>
        </w:rPr>
        <w:t> </w:t>
      </w:r>
      <w:r>
        <w:rPr/>
        <w:t>proportionate</w:t>
      </w:r>
      <w:r>
        <w:rPr>
          <w:spacing w:val="-3"/>
        </w:rPr>
        <w:t> </w:t>
      </w:r>
      <w:r>
        <w:rPr/>
        <w:t>land</w:t>
      </w:r>
      <w:r>
        <w:rPr>
          <w:spacing w:val="-3"/>
        </w:rPr>
        <w:t> </w:t>
      </w:r>
      <w:r>
        <w:rPr/>
        <w:t>component</w:t>
      </w:r>
      <w:r>
        <w:rPr>
          <w:spacing w:val="-3"/>
        </w:rPr>
        <w:t> </w:t>
      </w:r>
      <w:r>
        <w:rPr/>
        <w:t>as</w:t>
      </w:r>
      <w:r>
        <w:rPr>
          <w:spacing w:val="-3"/>
        </w:rPr>
        <w:t> </w:t>
      </w:r>
      <w:r>
        <w:rPr/>
        <w:t>per</w:t>
      </w:r>
      <w:r>
        <w:rPr>
          <w:spacing w:val="-3"/>
        </w:rPr>
        <w:t> </w:t>
      </w:r>
      <w:r>
        <w:rPr/>
        <w:t>the</w:t>
      </w:r>
      <w:r>
        <w:rPr>
          <w:spacing w:val="-3"/>
        </w:rPr>
        <w:t> </w:t>
      </w:r>
      <w:r>
        <w:rPr/>
        <w:t>existing</w:t>
      </w:r>
      <w:r>
        <w:rPr>
          <w:spacing w:val="-3"/>
        </w:rPr>
        <w:t> </w:t>
      </w:r>
      <w:r>
        <w:rPr/>
        <w:t>authorised</w:t>
      </w:r>
      <w:r>
        <w:rPr>
          <w:spacing w:val="-3"/>
        </w:rPr>
        <w:t> </w:t>
      </w:r>
      <w:r>
        <w:rPr/>
        <w:t>BUA of existing tenanted building on the plot shall be developed as per Regulation No 33(7)(A) and remainder notional plot shall be developed as per this Regulation.</w:t>
      </w:r>
    </w:p>
    <w:p>
      <w:pPr>
        <w:spacing w:before="239"/>
        <w:ind w:left="1342" w:right="838" w:firstLine="0"/>
        <w:jc w:val="left"/>
        <w:rPr>
          <w:sz w:val="24"/>
        </w:rPr>
      </w:pPr>
      <w:r>
        <w:rPr>
          <w:b/>
          <w:sz w:val="24"/>
        </w:rPr>
        <w:t>33(8)</w:t>
      </w:r>
      <w:r>
        <w:rPr>
          <w:b/>
          <w:spacing w:val="80"/>
          <w:sz w:val="24"/>
        </w:rPr>
        <w:t> </w:t>
      </w:r>
      <w:r>
        <w:rPr>
          <w:b/>
          <w:sz w:val="24"/>
        </w:rPr>
        <w:t>Construction</w:t>
      </w:r>
      <w:r>
        <w:rPr>
          <w:b/>
          <w:spacing w:val="80"/>
          <w:sz w:val="24"/>
        </w:rPr>
        <w:t> </w:t>
      </w:r>
      <w:r>
        <w:rPr>
          <w:b/>
          <w:sz w:val="24"/>
        </w:rPr>
        <w:t>of</w:t>
      </w:r>
      <w:r>
        <w:rPr>
          <w:b/>
          <w:spacing w:val="80"/>
          <w:w w:val="150"/>
          <w:sz w:val="24"/>
        </w:rPr>
        <w:t> </w:t>
      </w:r>
      <w:r>
        <w:rPr>
          <w:b/>
          <w:sz w:val="24"/>
        </w:rPr>
        <w:t>Affordable</w:t>
      </w:r>
      <w:r>
        <w:rPr>
          <w:b/>
          <w:spacing w:val="80"/>
          <w:sz w:val="24"/>
        </w:rPr>
        <w:t> </w:t>
      </w:r>
      <w:r>
        <w:rPr>
          <w:b/>
          <w:sz w:val="24"/>
        </w:rPr>
        <w:t>Housing</w:t>
      </w:r>
      <w:r>
        <w:rPr>
          <w:b/>
          <w:spacing w:val="80"/>
          <w:sz w:val="24"/>
        </w:rPr>
        <w:t> </w:t>
      </w:r>
      <w:r>
        <w:rPr>
          <w:b/>
          <w:sz w:val="24"/>
        </w:rPr>
        <w:t>in</w:t>
      </w:r>
      <w:r>
        <w:rPr>
          <w:b/>
          <w:spacing w:val="80"/>
          <w:sz w:val="24"/>
        </w:rPr>
        <w:t> </w:t>
      </w:r>
      <w:r>
        <w:rPr>
          <w:b/>
          <w:sz w:val="24"/>
        </w:rPr>
        <w:t>Special</w:t>
      </w:r>
      <w:r>
        <w:rPr>
          <w:b/>
          <w:spacing w:val="80"/>
          <w:sz w:val="24"/>
        </w:rPr>
        <w:t> </w:t>
      </w:r>
      <w:r>
        <w:rPr>
          <w:b/>
          <w:sz w:val="24"/>
        </w:rPr>
        <w:t>Development</w:t>
      </w:r>
      <w:r>
        <w:rPr>
          <w:b/>
          <w:spacing w:val="40"/>
          <w:sz w:val="24"/>
        </w:rPr>
        <w:t> </w:t>
      </w:r>
      <w:r>
        <w:rPr>
          <w:b/>
          <w:sz w:val="24"/>
        </w:rPr>
        <w:t>Zone</w:t>
      </w:r>
      <w:r>
        <w:rPr>
          <w:b/>
          <w:spacing w:val="80"/>
          <w:sz w:val="24"/>
        </w:rPr>
        <w:t> </w:t>
      </w:r>
      <w:r>
        <w:rPr>
          <w:b/>
          <w:sz w:val="24"/>
        </w:rPr>
        <w:t>(SDZ </w:t>
      </w:r>
      <w:r>
        <w:rPr>
          <w:sz w:val="24"/>
        </w:rPr>
        <w:t>)</w:t>
      </w:r>
    </w:p>
    <w:p>
      <w:pPr>
        <w:pStyle w:val="ListParagraph"/>
        <w:numPr>
          <w:ilvl w:val="0"/>
          <w:numId w:val="153"/>
        </w:numPr>
        <w:tabs>
          <w:tab w:pos="1734" w:val="left" w:leader="none"/>
        </w:tabs>
        <w:spacing w:line="240" w:lineRule="auto" w:before="241" w:after="0"/>
        <w:ind w:left="1734" w:right="0" w:hanging="368"/>
        <w:jc w:val="left"/>
        <w:rPr>
          <w:b/>
          <w:sz w:val="24"/>
        </w:rPr>
      </w:pPr>
      <w:r>
        <w:rPr>
          <w:b/>
          <w:sz w:val="24"/>
        </w:rPr>
        <w:t>Private</w:t>
      </w:r>
      <w:r>
        <w:rPr>
          <w:b/>
          <w:spacing w:val="50"/>
          <w:sz w:val="24"/>
        </w:rPr>
        <w:t> </w:t>
      </w:r>
      <w:r>
        <w:rPr>
          <w:b/>
          <w:sz w:val="24"/>
        </w:rPr>
        <w:t>land</w:t>
      </w:r>
      <w:r>
        <w:rPr>
          <w:b/>
          <w:spacing w:val="51"/>
          <w:sz w:val="24"/>
        </w:rPr>
        <w:t> </w:t>
      </w:r>
      <w:r>
        <w:rPr>
          <w:b/>
          <w:sz w:val="24"/>
        </w:rPr>
        <w:t>in</w:t>
      </w:r>
      <w:r>
        <w:rPr>
          <w:b/>
          <w:spacing w:val="53"/>
          <w:sz w:val="24"/>
        </w:rPr>
        <w:t> </w:t>
      </w:r>
      <w:r>
        <w:rPr>
          <w:b/>
          <w:spacing w:val="-4"/>
          <w:sz w:val="24"/>
        </w:rPr>
        <w:t>SDZ.</w:t>
      </w:r>
    </w:p>
    <w:p>
      <w:pPr>
        <w:pStyle w:val="ListParagraph"/>
        <w:numPr>
          <w:ilvl w:val="1"/>
          <w:numId w:val="153"/>
        </w:numPr>
        <w:tabs>
          <w:tab w:pos="2360" w:val="left" w:leader="none"/>
        </w:tabs>
        <w:spacing w:line="240" w:lineRule="auto" w:before="242" w:after="0"/>
        <w:ind w:left="2360" w:right="0" w:hanging="358"/>
        <w:jc w:val="both"/>
        <w:rPr>
          <w:b/>
          <w:sz w:val="24"/>
        </w:rPr>
      </w:pPr>
      <w:r>
        <w:rPr>
          <w:b/>
          <w:spacing w:val="-2"/>
          <w:sz w:val="24"/>
        </w:rPr>
        <w:t>General</w:t>
      </w:r>
    </w:p>
    <w:p>
      <w:pPr>
        <w:pStyle w:val="BodyText"/>
        <w:spacing w:before="1"/>
        <w:ind w:left="2002" w:right="766"/>
      </w:pPr>
      <w:r>
        <w:rPr/>
        <w:t>The</w:t>
      </w:r>
      <w:r>
        <w:rPr>
          <w:spacing w:val="-19"/>
        </w:rPr>
        <w:t> </w:t>
      </w:r>
      <w:r>
        <w:rPr/>
        <w:t>provision</w:t>
      </w:r>
      <w:r>
        <w:rPr>
          <w:spacing w:val="-19"/>
        </w:rPr>
        <w:t> </w:t>
      </w:r>
      <w:r>
        <w:rPr/>
        <w:t>of</w:t>
      </w:r>
      <w:r>
        <w:rPr>
          <w:spacing w:val="-19"/>
        </w:rPr>
        <w:t> </w:t>
      </w:r>
      <w:r>
        <w:rPr/>
        <w:t>this</w:t>
      </w:r>
      <w:r>
        <w:rPr>
          <w:spacing w:val="-19"/>
        </w:rPr>
        <w:t> </w:t>
      </w:r>
      <w:r>
        <w:rPr/>
        <w:t>Regulation</w:t>
      </w:r>
      <w:r>
        <w:rPr>
          <w:spacing w:val="-18"/>
        </w:rPr>
        <w:t> </w:t>
      </w:r>
      <w:r>
        <w:rPr/>
        <w:t>shall</w:t>
      </w:r>
      <w:r>
        <w:rPr>
          <w:spacing w:val="-19"/>
        </w:rPr>
        <w:t> </w:t>
      </w:r>
      <w:r>
        <w:rPr/>
        <w:t>apply</w:t>
      </w:r>
      <w:r>
        <w:rPr>
          <w:spacing w:val="-19"/>
        </w:rPr>
        <w:t> </w:t>
      </w:r>
      <w:r>
        <w:rPr/>
        <w:t>to</w:t>
      </w:r>
      <w:r>
        <w:rPr>
          <w:spacing w:val="-19"/>
        </w:rPr>
        <w:t> </w:t>
      </w:r>
      <w:r>
        <w:rPr/>
        <w:t>any</w:t>
      </w:r>
      <w:r>
        <w:rPr>
          <w:spacing w:val="-19"/>
        </w:rPr>
        <w:t> </w:t>
      </w:r>
      <w:r>
        <w:rPr/>
        <w:t>contiguous,</w:t>
      </w:r>
      <w:r>
        <w:rPr>
          <w:spacing w:val="-20"/>
        </w:rPr>
        <w:t> </w:t>
      </w:r>
      <w:r>
        <w:rPr/>
        <w:t>unbroken and</w:t>
      </w:r>
      <w:r>
        <w:rPr>
          <w:spacing w:val="-20"/>
        </w:rPr>
        <w:t> </w:t>
      </w:r>
      <w:r>
        <w:rPr/>
        <w:t>uninterrupted</w:t>
      </w:r>
      <w:r>
        <w:rPr>
          <w:spacing w:val="-19"/>
        </w:rPr>
        <w:t> </w:t>
      </w:r>
      <w:r>
        <w:rPr/>
        <w:t>piece</w:t>
      </w:r>
      <w:r>
        <w:rPr>
          <w:spacing w:val="-19"/>
        </w:rPr>
        <w:t> </w:t>
      </w:r>
      <w:r>
        <w:rPr/>
        <w:t>of</w:t>
      </w:r>
      <w:r>
        <w:rPr>
          <w:spacing w:val="-19"/>
        </w:rPr>
        <w:t> </w:t>
      </w:r>
      <w:r>
        <w:rPr/>
        <w:t>land,</w:t>
      </w:r>
      <w:r>
        <w:rPr>
          <w:spacing w:val="-19"/>
        </w:rPr>
        <w:t> </w:t>
      </w:r>
      <w:r>
        <w:rPr/>
        <w:t>not</w:t>
      </w:r>
      <w:r>
        <w:rPr>
          <w:spacing w:val="-20"/>
        </w:rPr>
        <w:t> </w:t>
      </w:r>
      <w:r>
        <w:rPr/>
        <w:t>less</w:t>
      </w:r>
      <w:r>
        <w:rPr>
          <w:spacing w:val="-19"/>
        </w:rPr>
        <w:t> </w:t>
      </w:r>
      <w:r>
        <w:rPr/>
        <w:t>than2.0ha,</w:t>
      </w:r>
      <w:r>
        <w:rPr>
          <w:spacing w:val="-19"/>
        </w:rPr>
        <w:t> </w:t>
      </w:r>
      <w:r>
        <w:rPr/>
        <w:t>and</w:t>
      </w:r>
      <w:r>
        <w:rPr>
          <w:spacing w:val="-19"/>
        </w:rPr>
        <w:t> </w:t>
      </w:r>
      <w:r>
        <w:rPr/>
        <w:t>not</w:t>
      </w:r>
      <w:r>
        <w:rPr>
          <w:spacing w:val="-19"/>
        </w:rPr>
        <w:t> </w:t>
      </w:r>
      <w:r>
        <w:rPr/>
        <w:t>disqualified from development, on account of other laws or regulations that are binding. Owners of land parcels having plot area lesser than2ha may come together to create contiguous land parcels of 2.0 ha or more &amp; submit proposal for development under this Regulation along with proper access as per these Regulations. However, the the Municipal Commissioner shall sanction the proposal with prior approval of Govt.</w:t>
      </w:r>
    </w:p>
    <w:p>
      <w:pPr>
        <w:pStyle w:val="Heading5"/>
        <w:numPr>
          <w:ilvl w:val="1"/>
          <w:numId w:val="153"/>
        </w:numPr>
        <w:tabs>
          <w:tab w:pos="2409" w:val="left" w:leader="none"/>
        </w:tabs>
        <w:spacing w:line="280" w:lineRule="exact" w:before="240" w:after="0"/>
        <w:ind w:left="2409" w:right="0" w:hanging="407"/>
        <w:jc w:val="both"/>
      </w:pPr>
      <w:r>
        <w:rPr/>
        <w:t>Planning</w:t>
      </w:r>
      <w:r>
        <w:rPr>
          <w:spacing w:val="-5"/>
        </w:rPr>
        <w:t> </w:t>
      </w:r>
      <w:r>
        <w:rPr/>
        <w:t>Considerations</w:t>
      </w:r>
      <w:r>
        <w:rPr>
          <w:spacing w:val="-4"/>
        </w:rPr>
        <w:t> </w:t>
      </w:r>
      <w:r>
        <w:rPr/>
        <w:t>/Submission</w:t>
      </w:r>
      <w:r>
        <w:rPr>
          <w:spacing w:val="-4"/>
        </w:rPr>
        <w:t> </w:t>
      </w:r>
      <w:r>
        <w:rPr/>
        <w:t>of</w:t>
      </w:r>
      <w:r>
        <w:rPr>
          <w:spacing w:val="-4"/>
        </w:rPr>
        <w:t> </w:t>
      </w:r>
      <w:r>
        <w:rPr>
          <w:spacing w:val="-2"/>
        </w:rPr>
        <w:t>Proposal</w:t>
      </w:r>
    </w:p>
    <w:p>
      <w:pPr>
        <w:pStyle w:val="BodyText"/>
        <w:spacing w:line="276" w:lineRule="auto"/>
        <w:ind w:left="2050" w:right="768"/>
      </w:pPr>
      <w:r>
        <w:rPr/>
        <w:t>The proposal shall be submitted by the Owner, containing the demand assessment for infrastructure such as roads, water supply, sewerage and</w:t>
      </w:r>
      <w:r>
        <w:rPr>
          <w:spacing w:val="-22"/>
        </w:rPr>
        <w:t> </w:t>
      </w:r>
      <w:r>
        <w:rPr/>
        <w:t>storm</w:t>
      </w:r>
      <w:r>
        <w:rPr>
          <w:spacing w:val="-18"/>
        </w:rPr>
        <w:t> </w:t>
      </w:r>
      <w:r>
        <w:rPr/>
        <w:t>water</w:t>
      </w:r>
      <w:r>
        <w:rPr>
          <w:spacing w:val="-18"/>
        </w:rPr>
        <w:t> </w:t>
      </w:r>
      <w:r>
        <w:rPr/>
        <w:t>drains</w:t>
      </w:r>
      <w:r>
        <w:rPr>
          <w:spacing w:val="-18"/>
        </w:rPr>
        <w:t> </w:t>
      </w:r>
      <w:r>
        <w:rPr/>
        <w:t>along</w:t>
      </w:r>
      <w:r>
        <w:rPr>
          <w:spacing w:val="-18"/>
        </w:rPr>
        <w:t> </w:t>
      </w:r>
      <w:r>
        <w:rPr/>
        <w:t>with</w:t>
      </w:r>
      <w:r>
        <w:rPr>
          <w:spacing w:val="-18"/>
        </w:rPr>
        <w:t> </w:t>
      </w:r>
      <w:r>
        <w:rPr/>
        <w:t>clearly</w:t>
      </w:r>
      <w:r>
        <w:rPr>
          <w:spacing w:val="-22"/>
        </w:rPr>
        <w:t> </w:t>
      </w:r>
      <w:r>
        <w:rPr/>
        <w:t>earmarking</w:t>
      </w:r>
      <w:r>
        <w:rPr>
          <w:spacing w:val="-18"/>
        </w:rPr>
        <w:t> </w:t>
      </w:r>
      <w:r>
        <w:rPr/>
        <w:t>the</w:t>
      </w:r>
      <w:r>
        <w:rPr>
          <w:spacing w:val="-18"/>
        </w:rPr>
        <w:t> </w:t>
      </w:r>
      <w:r>
        <w:rPr/>
        <w:t>area</w:t>
      </w:r>
      <w:r>
        <w:rPr>
          <w:spacing w:val="-20"/>
        </w:rPr>
        <w:t> </w:t>
      </w:r>
      <w:r>
        <w:rPr/>
        <w:t>for</w:t>
      </w:r>
      <w:r>
        <w:rPr>
          <w:spacing w:val="-16"/>
        </w:rPr>
        <w:t> </w:t>
      </w:r>
      <w:r>
        <w:rPr>
          <w:spacing w:val="-2"/>
        </w:rPr>
        <w:t>Public</w:t>
      </w:r>
    </w:p>
    <w:p>
      <w:pPr>
        <w:pStyle w:val="BodyText"/>
        <w:spacing w:after="0" w:line="276" w:lineRule="auto"/>
        <w:sectPr>
          <w:pgSz w:w="11910" w:h="16840"/>
          <w:pgMar w:header="1065" w:footer="1194" w:top="1500" w:bottom="1380" w:left="360" w:right="360"/>
        </w:sectPr>
      </w:pPr>
    </w:p>
    <w:p>
      <w:pPr>
        <w:pStyle w:val="BodyText"/>
        <w:spacing w:line="276" w:lineRule="auto" w:before="247"/>
        <w:ind w:left="2050" w:right="770"/>
      </w:pPr>
      <w:r>
        <w:rPr/>
        <w:t>Open</w:t>
      </w:r>
      <w:r>
        <w:rPr>
          <w:spacing w:val="-15"/>
        </w:rPr>
        <w:t> </w:t>
      </w:r>
      <w:r>
        <w:rPr/>
        <w:t>Spaces</w:t>
      </w:r>
      <w:r>
        <w:rPr>
          <w:spacing w:val="-15"/>
        </w:rPr>
        <w:t> </w:t>
      </w:r>
      <w:r>
        <w:rPr/>
        <w:t>(POS),</w:t>
      </w:r>
      <w:r>
        <w:rPr>
          <w:spacing w:val="-13"/>
        </w:rPr>
        <w:t> </w:t>
      </w:r>
      <w:r>
        <w:rPr/>
        <w:t>Affordable</w:t>
      </w:r>
      <w:r>
        <w:rPr>
          <w:spacing w:val="-15"/>
        </w:rPr>
        <w:t> </w:t>
      </w:r>
      <w:r>
        <w:rPr/>
        <w:t>Housing</w:t>
      </w:r>
      <w:r>
        <w:rPr>
          <w:spacing w:val="-15"/>
        </w:rPr>
        <w:t> </w:t>
      </w:r>
      <w:r>
        <w:rPr/>
        <w:t>(AH),</w:t>
      </w:r>
      <w:r>
        <w:rPr>
          <w:spacing w:val="-15"/>
        </w:rPr>
        <w:t> </w:t>
      </w:r>
      <w:r>
        <w:rPr/>
        <w:t>Other</w:t>
      </w:r>
      <w:r>
        <w:rPr>
          <w:spacing w:val="-15"/>
        </w:rPr>
        <w:t> </w:t>
      </w:r>
      <w:r>
        <w:rPr/>
        <w:t>Amenities</w:t>
      </w:r>
      <w:r>
        <w:rPr>
          <w:spacing w:val="-15"/>
        </w:rPr>
        <w:t> </w:t>
      </w:r>
      <w:r>
        <w:rPr/>
        <w:t>(OA),</w:t>
      </w:r>
      <w:r>
        <w:rPr>
          <w:spacing w:val="-15"/>
        </w:rPr>
        <w:t> </w:t>
      </w:r>
      <w:r>
        <w:rPr/>
        <w:t>(viz. Education,</w:t>
      </w:r>
      <w:r>
        <w:rPr>
          <w:spacing w:val="12"/>
        </w:rPr>
        <w:t> </w:t>
      </w:r>
      <w:r>
        <w:rPr/>
        <w:t>Health</w:t>
      </w:r>
      <w:r>
        <w:rPr>
          <w:spacing w:val="13"/>
        </w:rPr>
        <w:t> </w:t>
      </w:r>
      <w:r>
        <w:rPr/>
        <w:t>&amp;</w:t>
      </w:r>
      <w:r>
        <w:rPr>
          <w:spacing w:val="14"/>
        </w:rPr>
        <w:t> </w:t>
      </w:r>
      <w:r>
        <w:rPr/>
        <w:t>Social</w:t>
      </w:r>
      <w:r>
        <w:rPr>
          <w:spacing w:val="13"/>
        </w:rPr>
        <w:t> </w:t>
      </w:r>
      <w:r>
        <w:rPr/>
        <w:t>Amenities)</w:t>
      </w:r>
      <w:r>
        <w:rPr>
          <w:spacing w:val="13"/>
        </w:rPr>
        <w:t> </w:t>
      </w:r>
      <w:r>
        <w:rPr/>
        <w:t>and</w:t>
      </w:r>
      <w:r>
        <w:rPr>
          <w:spacing w:val="13"/>
        </w:rPr>
        <w:t> </w:t>
      </w:r>
      <w:r>
        <w:rPr/>
        <w:t>area</w:t>
      </w:r>
      <w:r>
        <w:rPr>
          <w:spacing w:val="13"/>
        </w:rPr>
        <w:t> </w:t>
      </w:r>
      <w:r>
        <w:rPr/>
        <w:t>for</w:t>
      </w:r>
      <w:r>
        <w:rPr>
          <w:spacing w:val="13"/>
        </w:rPr>
        <w:t> </w:t>
      </w:r>
      <w:r>
        <w:rPr/>
        <w:t>other</w:t>
      </w:r>
      <w:r>
        <w:rPr>
          <w:spacing w:val="13"/>
        </w:rPr>
        <w:t> </w:t>
      </w:r>
      <w:r>
        <w:rPr>
          <w:spacing w:val="-2"/>
        </w:rPr>
        <w:t>development</w:t>
      </w:r>
    </w:p>
    <w:p>
      <w:pPr>
        <w:pStyle w:val="BodyText"/>
        <w:spacing w:line="276" w:lineRule="auto" w:after="45"/>
        <w:ind w:left="2050" w:right="767"/>
      </w:pPr>
      <w:r>
        <w:rPr/>
        <w:t>i.e.</w:t>
      </w:r>
      <w:r>
        <w:rPr>
          <w:spacing w:val="-5"/>
        </w:rPr>
        <w:t> </w:t>
      </w:r>
      <w:r>
        <w:rPr/>
        <w:t>owners</w:t>
      </w:r>
      <w:r>
        <w:rPr>
          <w:spacing w:val="-5"/>
        </w:rPr>
        <w:t> </w:t>
      </w:r>
      <w:r>
        <w:rPr/>
        <w:t>share</w:t>
      </w:r>
      <w:r>
        <w:rPr>
          <w:spacing w:val="-5"/>
        </w:rPr>
        <w:t> </w:t>
      </w:r>
      <w:r>
        <w:rPr/>
        <w:t>of</w:t>
      </w:r>
      <w:r>
        <w:rPr>
          <w:spacing w:val="-5"/>
        </w:rPr>
        <w:t> </w:t>
      </w:r>
      <w:r>
        <w:rPr/>
        <w:t>land.</w:t>
      </w:r>
      <w:r>
        <w:rPr>
          <w:spacing w:val="-5"/>
        </w:rPr>
        <w:t> </w:t>
      </w:r>
      <w:r>
        <w:rPr/>
        <w:t>If</w:t>
      </w:r>
      <w:r>
        <w:rPr>
          <w:spacing w:val="-5"/>
        </w:rPr>
        <w:t> </w:t>
      </w:r>
      <w:r>
        <w:rPr/>
        <w:t>OA/POS/AH</w:t>
      </w:r>
      <w:r>
        <w:rPr>
          <w:spacing w:val="-7"/>
        </w:rPr>
        <w:t> </w:t>
      </w:r>
      <w:r>
        <w:rPr/>
        <w:t>to</w:t>
      </w:r>
      <w:r>
        <w:rPr>
          <w:spacing w:val="-5"/>
        </w:rPr>
        <w:t> </w:t>
      </w:r>
      <w:r>
        <w:rPr/>
        <w:t>be</w:t>
      </w:r>
      <w:r>
        <w:rPr>
          <w:spacing w:val="-5"/>
        </w:rPr>
        <w:t> </w:t>
      </w:r>
      <w:r>
        <w:rPr/>
        <w:t>handed</w:t>
      </w:r>
      <w:r>
        <w:rPr>
          <w:spacing w:val="-5"/>
        </w:rPr>
        <w:t> </w:t>
      </w:r>
      <w:r>
        <w:rPr/>
        <w:t>over</w:t>
      </w:r>
      <w:r>
        <w:rPr>
          <w:spacing w:val="-5"/>
        </w:rPr>
        <w:t> </w:t>
      </w:r>
      <w:r>
        <w:rPr/>
        <w:t>to</w:t>
      </w:r>
      <w:r>
        <w:rPr>
          <w:spacing w:val="-7"/>
        </w:rPr>
        <w:t> </w:t>
      </w:r>
      <w:r>
        <w:rPr/>
        <w:t>MCGM</w:t>
      </w:r>
      <w:r>
        <w:rPr>
          <w:spacing w:val="-4"/>
        </w:rPr>
        <w:t> </w:t>
      </w:r>
      <w:r>
        <w:rPr/>
        <w:t>is not abutting the municipal road, the same shall be provided with uninterrupted access as per table no 7 of Regulation No 23(1).The area of the land after deduction of the area covered under road/uninterrupted access proposed as above, shall be apportioned among Owner’s Share, AH, POS, and OA as detailed below. These roads/uninterrupted</w:t>
      </w:r>
      <w:r>
        <w:rPr>
          <w:spacing w:val="-3"/>
        </w:rPr>
        <w:t> </w:t>
      </w:r>
      <w:r>
        <w:rPr/>
        <w:t>access</w:t>
      </w:r>
      <w:r>
        <w:rPr>
          <w:spacing w:val="-3"/>
        </w:rPr>
        <w:t> </w:t>
      </w:r>
      <w:r>
        <w:rPr/>
        <w:t>shall</w:t>
      </w:r>
      <w:r>
        <w:rPr>
          <w:spacing w:val="-3"/>
        </w:rPr>
        <w:t> </w:t>
      </w:r>
      <w:r>
        <w:rPr/>
        <w:t>be</w:t>
      </w:r>
      <w:r>
        <w:rPr>
          <w:spacing w:val="-1"/>
        </w:rPr>
        <w:t> </w:t>
      </w:r>
      <w:r>
        <w:rPr/>
        <w:t>handed</w:t>
      </w:r>
      <w:r>
        <w:rPr>
          <w:spacing w:val="-3"/>
        </w:rPr>
        <w:t> </w:t>
      </w:r>
      <w:r>
        <w:rPr/>
        <w:t>over</w:t>
      </w:r>
      <w:r>
        <w:rPr>
          <w:spacing w:val="-3"/>
        </w:rPr>
        <w:t> </w:t>
      </w:r>
      <w:r>
        <w:rPr/>
        <w:t>to</w:t>
      </w:r>
      <w:r>
        <w:rPr>
          <w:spacing w:val="-3"/>
        </w:rPr>
        <w:t> </w:t>
      </w:r>
      <w:r>
        <w:rPr/>
        <w:t>MCGM</w:t>
      </w:r>
      <w:r>
        <w:rPr>
          <w:spacing w:val="-1"/>
        </w:rPr>
        <w:t> </w:t>
      </w:r>
      <w:r>
        <w:rPr/>
        <w:t>and</w:t>
      </w:r>
      <w:r>
        <w:rPr>
          <w:spacing w:val="-3"/>
        </w:rPr>
        <w:t> </w:t>
      </w:r>
      <w:r>
        <w:rPr/>
        <w:t>will</w:t>
      </w:r>
      <w:r>
        <w:rPr>
          <w:spacing w:val="-3"/>
        </w:rPr>
        <w:t> </w:t>
      </w:r>
      <w:r>
        <w:rPr/>
        <w:t>be eligible</w:t>
      </w:r>
      <w:r>
        <w:rPr>
          <w:spacing w:val="-20"/>
        </w:rPr>
        <w:t> </w:t>
      </w:r>
      <w:r>
        <w:rPr/>
        <w:t>for</w:t>
      </w:r>
      <w:r>
        <w:rPr>
          <w:spacing w:val="-19"/>
        </w:rPr>
        <w:t> </w:t>
      </w:r>
      <w:r>
        <w:rPr/>
        <w:t>additional</w:t>
      </w:r>
      <w:r>
        <w:rPr>
          <w:spacing w:val="-19"/>
        </w:rPr>
        <w:t> </w:t>
      </w:r>
      <w:r>
        <w:rPr/>
        <w:t>BUA</w:t>
      </w:r>
      <w:r>
        <w:rPr>
          <w:spacing w:val="-19"/>
        </w:rPr>
        <w:t> </w:t>
      </w:r>
      <w:r>
        <w:rPr/>
        <w:t>equal</w:t>
      </w:r>
      <w:r>
        <w:rPr>
          <w:spacing w:val="-19"/>
        </w:rPr>
        <w:t> </w:t>
      </w:r>
      <w:r>
        <w:rPr/>
        <w:t>to</w:t>
      </w:r>
      <w:r>
        <w:rPr>
          <w:spacing w:val="-20"/>
        </w:rPr>
        <w:t> </w:t>
      </w:r>
      <w:r>
        <w:rPr/>
        <w:t>area</w:t>
      </w:r>
      <w:r>
        <w:rPr>
          <w:spacing w:val="-19"/>
        </w:rPr>
        <w:t> </w:t>
      </w:r>
      <w:r>
        <w:rPr/>
        <w:t>of</w:t>
      </w:r>
      <w:r>
        <w:rPr>
          <w:spacing w:val="-19"/>
        </w:rPr>
        <w:t> </w:t>
      </w:r>
      <w:r>
        <w:rPr/>
        <w:t>land</w:t>
      </w:r>
      <w:r>
        <w:rPr>
          <w:spacing w:val="-19"/>
        </w:rPr>
        <w:t> </w:t>
      </w:r>
      <w:r>
        <w:rPr/>
        <w:t>surrendered/transferred over and above FSI as stipulated below in Sr. No. D</w:t>
      </w:r>
    </w:p>
    <w:tbl>
      <w:tblPr>
        <w:tblW w:w="0" w:type="auto"/>
        <w:jc w:val="left"/>
        <w:tblInd w:w="2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7"/>
        <w:gridCol w:w="1964"/>
        <w:gridCol w:w="1407"/>
        <w:gridCol w:w="1433"/>
        <w:gridCol w:w="1407"/>
        <w:gridCol w:w="1738"/>
      </w:tblGrid>
      <w:tr>
        <w:trPr>
          <w:trHeight w:val="1446" w:hRule="atLeast"/>
        </w:trPr>
        <w:tc>
          <w:tcPr>
            <w:tcW w:w="557" w:type="dxa"/>
          </w:tcPr>
          <w:p>
            <w:pPr>
              <w:pStyle w:val="TableParagraph"/>
              <w:spacing w:before="39"/>
              <w:rPr>
                <w:sz w:val="24"/>
              </w:rPr>
            </w:pPr>
          </w:p>
          <w:p>
            <w:pPr>
              <w:pStyle w:val="TableParagraph"/>
              <w:ind w:left="119" w:right="94" w:hanging="15"/>
              <w:rPr>
                <w:sz w:val="24"/>
              </w:rPr>
            </w:pPr>
            <w:r>
              <w:rPr>
                <w:spacing w:val="-4"/>
                <w:sz w:val="24"/>
              </w:rPr>
              <w:t>Sr. </w:t>
            </w:r>
            <w:r>
              <w:rPr>
                <w:spacing w:val="-5"/>
                <w:sz w:val="24"/>
              </w:rPr>
              <w:t>No</w:t>
            </w:r>
          </w:p>
        </w:tc>
        <w:tc>
          <w:tcPr>
            <w:tcW w:w="1964" w:type="dxa"/>
          </w:tcPr>
          <w:p>
            <w:pPr>
              <w:pStyle w:val="TableParagraph"/>
              <w:spacing w:before="180"/>
              <w:rPr>
                <w:sz w:val="24"/>
              </w:rPr>
            </w:pPr>
          </w:p>
          <w:p>
            <w:pPr>
              <w:pStyle w:val="TableParagraph"/>
              <w:ind w:left="453"/>
              <w:rPr>
                <w:sz w:val="24"/>
              </w:rPr>
            </w:pPr>
            <w:r>
              <w:rPr>
                <w:sz w:val="24"/>
              </w:rPr>
              <w:t>Plot </w:t>
            </w:r>
            <w:r>
              <w:rPr>
                <w:spacing w:val="-4"/>
                <w:sz w:val="24"/>
              </w:rPr>
              <w:t>Area</w:t>
            </w:r>
          </w:p>
        </w:tc>
        <w:tc>
          <w:tcPr>
            <w:tcW w:w="1407" w:type="dxa"/>
          </w:tcPr>
          <w:p>
            <w:pPr>
              <w:pStyle w:val="TableParagraph"/>
              <w:spacing w:before="161"/>
              <w:rPr>
                <w:sz w:val="24"/>
              </w:rPr>
            </w:pPr>
          </w:p>
          <w:p>
            <w:pPr>
              <w:pStyle w:val="TableParagraph"/>
              <w:ind w:left="215" w:hanging="108"/>
              <w:rPr>
                <w:sz w:val="24"/>
              </w:rPr>
            </w:pPr>
            <w:r>
              <w:rPr>
                <w:spacing w:val="-2"/>
                <w:sz w:val="24"/>
              </w:rPr>
              <w:t>Affordable Housing</w:t>
            </w:r>
          </w:p>
        </w:tc>
        <w:tc>
          <w:tcPr>
            <w:tcW w:w="1433" w:type="dxa"/>
          </w:tcPr>
          <w:p>
            <w:pPr>
              <w:pStyle w:val="TableParagraph"/>
              <w:spacing w:before="40"/>
              <w:ind w:left="303" w:right="296" w:firstLine="45"/>
              <w:jc w:val="both"/>
              <w:rPr>
                <w:sz w:val="24"/>
              </w:rPr>
            </w:pPr>
            <w:r>
              <w:rPr>
                <w:spacing w:val="-2"/>
                <w:sz w:val="24"/>
              </w:rPr>
              <w:t>Public </w:t>
            </w:r>
            <w:r>
              <w:rPr>
                <w:spacing w:val="-4"/>
                <w:sz w:val="24"/>
              </w:rPr>
              <w:t>Open </w:t>
            </w:r>
            <w:r>
              <w:rPr>
                <w:spacing w:val="-2"/>
                <w:sz w:val="24"/>
              </w:rPr>
              <w:t>Spaces</w:t>
            </w:r>
          </w:p>
        </w:tc>
        <w:tc>
          <w:tcPr>
            <w:tcW w:w="1407" w:type="dxa"/>
          </w:tcPr>
          <w:p>
            <w:pPr>
              <w:pStyle w:val="TableParagraph"/>
              <w:spacing w:before="161"/>
              <w:rPr>
                <w:sz w:val="24"/>
              </w:rPr>
            </w:pPr>
          </w:p>
          <w:p>
            <w:pPr>
              <w:pStyle w:val="TableParagraph"/>
              <w:ind w:left="123" w:firstLine="242"/>
              <w:rPr>
                <w:sz w:val="24"/>
              </w:rPr>
            </w:pPr>
            <w:r>
              <w:rPr>
                <w:spacing w:val="-2"/>
                <w:sz w:val="24"/>
              </w:rPr>
              <w:t>Other Amenities</w:t>
            </w:r>
          </w:p>
        </w:tc>
        <w:tc>
          <w:tcPr>
            <w:tcW w:w="1738" w:type="dxa"/>
          </w:tcPr>
          <w:p>
            <w:pPr>
              <w:pStyle w:val="TableParagraph"/>
              <w:spacing w:before="181"/>
              <w:ind w:left="107" w:right="97" w:hanging="1"/>
              <w:jc w:val="center"/>
              <w:rPr>
                <w:sz w:val="24"/>
              </w:rPr>
            </w:pPr>
            <w:r>
              <w:rPr>
                <w:sz w:val="24"/>
              </w:rPr>
              <w:t>Area for </w:t>
            </w:r>
            <w:r>
              <w:rPr>
                <w:spacing w:val="-2"/>
                <w:sz w:val="24"/>
              </w:rPr>
              <w:t>Other Development</w:t>
            </w:r>
          </w:p>
        </w:tc>
      </w:tr>
      <w:tr>
        <w:trPr>
          <w:trHeight w:val="1084" w:hRule="atLeast"/>
        </w:trPr>
        <w:tc>
          <w:tcPr>
            <w:tcW w:w="557" w:type="dxa"/>
          </w:tcPr>
          <w:p>
            <w:pPr>
              <w:pStyle w:val="TableParagraph"/>
              <w:rPr>
                <w:sz w:val="24"/>
              </w:rPr>
            </w:pPr>
          </w:p>
          <w:p>
            <w:pPr>
              <w:pStyle w:val="TableParagraph"/>
              <w:ind w:left="4"/>
              <w:jc w:val="center"/>
              <w:rPr>
                <w:sz w:val="24"/>
              </w:rPr>
            </w:pPr>
            <w:r>
              <w:rPr>
                <w:spacing w:val="-10"/>
                <w:sz w:val="24"/>
              </w:rPr>
              <w:t>1</w:t>
            </w:r>
          </w:p>
        </w:tc>
        <w:tc>
          <w:tcPr>
            <w:tcW w:w="1964" w:type="dxa"/>
          </w:tcPr>
          <w:p>
            <w:pPr>
              <w:pStyle w:val="TableParagraph"/>
              <w:ind w:left="126" w:right="116"/>
              <w:jc w:val="center"/>
              <w:rPr>
                <w:sz w:val="24"/>
              </w:rPr>
            </w:pPr>
            <w:r>
              <w:rPr>
                <w:sz w:val="24"/>
              </w:rPr>
              <w:t>Not less than 2</w:t>
            </w:r>
            <w:r>
              <w:rPr>
                <w:spacing w:val="-8"/>
                <w:sz w:val="24"/>
              </w:rPr>
              <w:t> </w:t>
            </w:r>
            <w:r>
              <w:rPr>
                <w:sz w:val="24"/>
              </w:rPr>
              <w:t>ha</w:t>
            </w:r>
            <w:r>
              <w:rPr>
                <w:spacing w:val="-8"/>
                <w:sz w:val="24"/>
              </w:rPr>
              <w:t> </w:t>
            </w:r>
            <w:r>
              <w:rPr>
                <w:sz w:val="24"/>
              </w:rPr>
              <w:t>&amp;</w:t>
            </w:r>
            <w:r>
              <w:rPr>
                <w:spacing w:val="-8"/>
                <w:sz w:val="24"/>
              </w:rPr>
              <w:t> </w:t>
            </w:r>
            <w:r>
              <w:rPr>
                <w:sz w:val="24"/>
              </w:rPr>
              <w:t>up</w:t>
            </w:r>
            <w:r>
              <w:rPr>
                <w:spacing w:val="-8"/>
                <w:sz w:val="24"/>
              </w:rPr>
              <w:t> </w:t>
            </w:r>
            <w:r>
              <w:rPr>
                <w:sz w:val="24"/>
              </w:rPr>
              <w:t>to</w:t>
            </w:r>
            <w:r>
              <w:rPr>
                <w:spacing w:val="-8"/>
                <w:sz w:val="24"/>
              </w:rPr>
              <w:t> </w:t>
            </w:r>
            <w:r>
              <w:rPr>
                <w:sz w:val="24"/>
              </w:rPr>
              <w:t>4 </w:t>
            </w:r>
            <w:r>
              <w:rPr>
                <w:spacing w:val="-6"/>
                <w:sz w:val="24"/>
              </w:rPr>
              <w:t>ha</w:t>
            </w:r>
          </w:p>
        </w:tc>
        <w:tc>
          <w:tcPr>
            <w:tcW w:w="1407" w:type="dxa"/>
          </w:tcPr>
          <w:p>
            <w:pPr>
              <w:pStyle w:val="TableParagraph"/>
              <w:rPr>
                <w:sz w:val="24"/>
              </w:rPr>
            </w:pPr>
          </w:p>
          <w:p>
            <w:pPr>
              <w:pStyle w:val="TableParagraph"/>
              <w:ind w:left="8"/>
              <w:jc w:val="center"/>
              <w:rPr>
                <w:sz w:val="24"/>
              </w:rPr>
            </w:pPr>
            <w:r>
              <w:rPr>
                <w:spacing w:val="-5"/>
                <w:sz w:val="24"/>
              </w:rPr>
              <w:t>30%</w:t>
            </w:r>
          </w:p>
        </w:tc>
        <w:tc>
          <w:tcPr>
            <w:tcW w:w="1433" w:type="dxa"/>
          </w:tcPr>
          <w:p>
            <w:pPr>
              <w:pStyle w:val="TableParagraph"/>
              <w:rPr>
                <w:sz w:val="24"/>
              </w:rPr>
            </w:pPr>
          </w:p>
          <w:p>
            <w:pPr>
              <w:pStyle w:val="TableParagraph"/>
              <w:ind w:left="12" w:right="7"/>
              <w:jc w:val="center"/>
              <w:rPr>
                <w:sz w:val="24"/>
              </w:rPr>
            </w:pPr>
            <w:r>
              <w:rPr>
                <w:sz w:val="24"/>
              </w:rPr>
              <w:t>15</w:t>
            </w:r>
            <w:r>
              <w:rPr>
                <w:spacing w:val="-1"/>
                <w:sz w:val="24"/>
              </w:rPr>
              <w:t> </w:t>
            </w:r>
            <w:r>
              <w:rPr>
                <w:spacing w:val="-10"/>
                <w:sz w:val="24"/>
              </w:rPr>
              <w:t>%</w:t>
            </w:r>
          </w:p>
        </w:tc>
        <w:tc>
          <w:tcPr>
            <w:tcW w:w="1407" w:type="dxa"/>
          </w:tcPr>
          <w:p>
            <w:pPr>
              <w:pStyle w:val="TableParagraph"/>
              <w:rPr>
                <w:sz w:val="24"/>
              </w:rPr>
            </w:pPr>
          </w:p>
          <w:p>
            <w:pPr>
              <w:pStyle w:val="TableParagraph"/>
              <w:ind w:left="8" w:right="1"/>
              <w:jc w:val="center"/>
              <w:rPr>
                <w:sz w:val="24"/>
              </w:rPr>
            </w:pPr>
            <w:r>
              <w:rPr>
                <w:spacing w:val="-5"/>
                <w:sz w:val="24"/>
              </w:rPr>
              <w:t>14%</w:t>
            </w:r>
          </w:p>
        </w:tc>
        <w:tc>
          <w:tcPr>
            <w:tcW w:w="1738" w:type="dxa"/>
          </w:tcPr>
          <w:p>
            <w:pPr>
              <w:pStyle w:val="TableParagraph"/>
              <w:rPr>
                <w:sz w:val="24"/>
              </w:rPr>
            </w:pPr>
          </w:p>
          <w:p>
            <w:pPr>
              <w:pStyle w:val="TableParagraph"/>
              <w:ind w:left="7"/>
              <w:jc w:val="center"/>
              <w:rPr>
                <w:sz w:val="24"/>
              </w:rPr>
            </w:pPr>
            <w:r>
              <w:rPr>
                <w:spacing w:val="-5"/>
                <w:sz w:val="24"/>
              </w:rPr>
              <w:t>41%</w:t>
            </w:r>
          </w:p>
        </w:tc>
      </w:tr>
      <w:tr>
        <w:trPr>
          <w:trHeight w:val="803" w:hRule="atLeast"/>
        </w:trPr>
        <w:tc>
          <w:tcPr>
            <w:tcW w:w="557" w:type="dxa"/>
          </w:tcPr>
          <w:p>
            <w:pPr>
              <w:pStyle w:val="TableParagraph"/>
              <w:spacing w:before="140"/>
              <w:ind w:left="4"/>
              <w:jc w:val="center"/>
              <w:rPr>
                <w:sz w:val="24"/>
              </w:rPr>
            </w:pPr>
            <w:r>
              <w:rPr>
                <w:spacing w:val="-10"/>
                <w:sz w:val="24"/>
              </w:rPr>
              <w:t>2</w:t>
            </w:r>
          </w:p>
        </w:tc>
        <w:tc>
          <w:tcPr>
            <w:tcW w:w="1964" w:type="dxa"/>
          </w:tcPr>
          <w:p>
            <w:pPr>
              <w:pStyle w:val="TableParagraph"/>
              <w:spacing w:before="1"/>
              <w:ind w:left="833" w:right="97" w:hanging="570"/>
              <w:rPr>
                <w:sz w:val="24"/>
              </w:rPr>
            </w:pPr>
            <w:r>
              <w:rPr>
                <w:sz w:val="24"/>
              </w:rPr>
              <w:t>More</w:t>
            </w:r>
            <w:r>
              <w:rPr>
                <w:spacing w:val="-19"/>
                <w:sz w:val="24"/>
              </w:rPr>
              <w:t> </w:t>
            </w:r>
            <w:r>
              <w:rPr>
                <w:sz w:val="24"/>
              </w:rPr>
              <w:t>than</w:t>
            </w:r>
            <w:r>
              <w:rPr>
                <w:spacing w:val="-19"/>
                <w:sz w:val="24"/>
              </w:rPr>
              <w:t> </w:t>
            </w:r>
            <w:r>
              <w:rPr>
                <w:sz w:val="24"/>
              </w:rPr>
              <w:t>4 </w:t>
            </w:r>
            <w:r>
              <w:rPr>
                <w:spacing w:val="-6"/>
                <w:sz w:val="24"/>
              </w:rPr>
              <w:t>ha</w:t>
            </w:r>
          </w:p>
        </w:tc>
        <w:tc>
          <w:tcPr>
            <w:tcW w:w="1407" w:type="dxa"/>
          </w:tcPr>
          <w:p>
            <w:pPr>
              <w:pStyle w:val="TableParagraph"/>
              <w:spacing w:before="140"/>
              <w:ind w:left="8"/>
              <w:jc w:val="center"/>
              <w:rPr>
                <w:sz w:val="24"/>
              </w:rPr>
            </w:pPr>
            <w:r>
              <w:rPr>
                <w:spacing w:val="-5"/>
                <w:sz w:val="24"/>
              </w:rPr>
              <w:t>30%</w:t>
            </w:r>
          </w:p>
        </w:tc>
        <w:tc>
          <w:tcPr>
            <w:tcW w:w="1433" w:type="dxa"/>
          </w:tcPr>
          <w:p>
            <w:pPr>
              <w:pStyle w:val="TableParagraph"/>
              <w:spacing w:before="140"/>
              <w:ind w:left="12" w:right="7"/>
              <w:jc w:val="center"/>
              <w:rPr>
                <w:sz w:val="24"/>
              </w:rPr>
            </w:pPr>
            <w:r>
              <w:rPr>
                <w:sz w:val="24"/>
              </w:rPr>
              <w:t>15</w:t>
            </w:r>
            <w:r>
              <w:rPr>
                <w:spacing w:val="-1"/>
                <w:sz w:val="24"/>
              </w:rPr>
              <w:t> </w:t>
            </w:r>
            <w:r>
              <w:rPr>
                <w:spacing w:val="-10"/>
                <w:sz w:val="24"/>
              </w:rPr>
              <w:t>%</w:t>
            </w:r>
          </w:p>
        </w:tc>
        <w:tc>
          <w:tcPr>
            <w:tcW w:w="1407" w:type="dxa"/>
          </w:tcPr>
          <w:p>
            <w:pPr>
              <w:pStyle w:val="TableParagraph"/>
              <w:spacing w:before="140"/>
              <w:ind w:left="8" w:right="1"/>
              <w:jc w:val="center"/>
              <w:rPr>
                <w:sz w:val="24"/>
              </w:rPr>
            </w:pPr>
            <w:r>
              <w:rPr>
                <w:spacing w:val="-5"/>
                <w:sz w:val="24"/>
              </w:rPr>
              <w:t>12%</w:t>
            </w:r>
          </w:p>
        </w:tc>
        <w:tc>
          <w:tcPr>
            <w:tcW w:w="1738" w:type="dxa"/>
          </w:tcPr>
          <w:p>
            <w:pPr>
              <w:pStyle w:val="TableParagraph"/>
              <w:spacing w:before="140"/>
              <w:ind w:left="7"/>
              <w:jc w:val="center"/>
              <w:rPr>
                <w:sz w:val="24"/>
              </w:rPr>
            </w:pPr>
            <w:r>
              <w:rPr>
                <w:spacing w:val="-5"/>
                <w:sz w:val="24"/>
              </w:rPr>
              <w:t>43%</w:t>
            </w:r>
          </w:p>
        </w:tc>
      </w:tr>
    </w:tbl>
    <w:p>
      <w:pPr>
        <w:pStyle w:val="BodyText"/>
        <w:spacing w:before="242"/>
        <w:jc w:val="left"/>
      </w:pPr>
    </w:p>
    <w:p>
      <w:pPr>
        <w:pStyle w:val="BodyText"/>
        <w:ind w:left="1699" w:right="768"/>
        <w:jc w:val="left"/>
      </w:pPr>
      <w:r>
        <w:rPr/>
        <w:t>The Owner shall submit his proposal as per above to the</w:t>
      </w:r>
      <w:r>
        <w:rPr>
          <w:spacing w:val="28"/>
        </w:rPr>
        <w:t> </w:t>
      </w:r>
      <w:r>
        <w:rPr/>
        <w:t>Commissioner</w:t>
      </w:r>
      <w:r>
        <w:rPr>
          <w:spacing w:val="80"/>
        </w:rPr>
        <w:t> </w:t>
      </w:r>
      <w:r>
        <w:rPr/>
        <w:t>MCGM. While making such submission, he will take care of the following:</w:t>
      </w:r>
    </w:p>
    <w:p>
      <w:pPr>
        <w:pStyle w:val="ListParagraph"/>
        <w:numPr>
          <w:ilvl w:val="0"/>
          <w:numId w:val="154"/>
        </w:numPr>
        <w:tabs>
          <w:tab w:pos="2052" w:val="left" w:leader="none"/>
          <w:tab w:pos="2054" w:val="left" w:leader="none"/>
        </w:tabs>
        <w:spacing w:line="240" w:lineRule="auto" w:before="241" w:after="0"/>
        <w:ind w:left="2054" w:right="767" w:hanging="356"/>
        <w:jc w:val="both"/>
        <w:rPr>
          <w:sz w:val="24"/>
        </w:rPr>
      </w:pPr>
      <w:r>
        <w:rPr>
          <w:sz w:val="24"/>
        </w:rPr>
        <w:t>He shall distinctly mark lands for AH, POS, OA and Owner’s share in the layout. Further earmarking of lands for other amenities like education,</w:t>
      </w:r>
      <w:r>
        <w:rPr>
          <w:spacing w:val="-3"/>
          <w:sz w:val="24"/>
        </w:rPr>
        <w:t> </w:t>
      </w:r>
      <w:r>
        <w:rPr>
          <w:sz w:val="24"/>
        </w:rPr>
        <w:t>health</w:t>
      </w:r>
      <w:r>
        <w:rPr>
          <w:spacing w:val="-3"/>
          <w:sz w:val="24"/>
        </w:rPr>
        <w:t> </w:t>
      </w:r>
      <w:r>
        <w:rPr>
          <w:sz w:val="24"/>
        </w:rPr>
        <w:t>and</w:t>
      </w:r>
      <w:r>
        <w:rPr>
          <w:spacing w:val="-3"/>
          <w:sz w:val="24"/>
        </w:rPr>
        <w:t> </w:t>
      </w:r>
      <w:r>
        <w:rPr>
          <w:sz w:val="24"/>
        </w:rPr>
        <w:t>social</w:t>
      </w:r>
      <w:r>
        <w:rPr>
          <w:spacing w:val="-3"/>
          <w:sz w:val="24"/>
        </w:rPr>
        <w:t> </w:t>
      </w:r>
      <w:r>
        <w:rPr>
          <w:sz w:val="24"/>
        </w:rPr>
        <w:t>amenities</w:t>
      </w:r>
      <w:r>
        <w:rPr>
          <w:spacing w:val="-3"/>
          <w:sz w:val="24"/>
        </w:rPr>
        <w:t> </w:t>
      </w:r>
      <w:r>
        <w:rPr>
          <w:sz w:val="24"/>
        </w:rPr>
        <w:t>cited</w:t>
      </w:r>
      <w:r>
        <w:rPr>
          <w:spacing w:val="-3"/>
          <w:sz w:val="24"/>
        </w:rPr>
        <w:t> </w:t>
      </w:r>
      <w:r>
        <w:rPr>
          <w:sz w:val="24"/>
        </w:rPr>
        <w:t>above</w:t>
      </w:r>
      <w:r>
        <w:rPr>
          <w:spacing w:val="-3"/>
          <w:sz w:val="24"/>
        </w:rPr>
        <w:t> </w:t>
      </w:r>
      <w:r>
        <w:rPr>
          <w:sz w:val="24"/>
        </w:rPr>
        <w:t>shall</w:t>
      </w:r>
      <w:r>
        <w:rPr>
          <w:spacing w:val="-3"/>
          <w:sz w:val="24"/>
        </w:rPr>
        <w:t> </w:t>
      </w:r>
      <w:r>
        <w:rPr>
          <w:sz w:val="24"/>
        </w:rPr>
        <w:t>be</w:t>
      </w:r>
      <w:r>
        <w:rPr>
          <w:spacing w:val="-3"/>
          <w:sz w:val="24"/>
        </w:rPr>
        <w:t> </w:t>
      </w:r>
      <w:r>
        <w:rPr>
          <w:sz w:val="24"/>
        </w:rPr>
        <w:t>done</w:t>
      </w:r>
      <w:r>
        <w:rPr>
          <w:spacing w:val="-3"/>
          <w:sz w:val="24"/>
        </w:rPr>
        <w:t> </w:t>
      </w:r>
      <w:r>
        <w:rPr>
          <w:sz w:val="24"/>
        </w:rPr>
        <w:t>by</w:t>
      </w:r>
      <w:r>
        <w:rPr>
          <w:spacing w:val="-3"/>
          <w:sz w:val="24"/>
        </w:rPr>
        <w:t> </w:t>
      </w:r>
      <w:r>
        <w:rPr>
          <w:sz w:val="24"/>
        </w:rPr>
        <w:t>the Commissioner taking the amenity standards prescribed as minimum.</w:t>
      </w:r>
    </w:p>
    <w:p>
      <w:pPr>
        <w:pStyle w:val="ListParagraph"/>
        <w:numPr>
          <w:ilvl w:val="0"/>
          <w:numId w:val="154"/>
        </w:numPr>
        <w:tabs>
          <w:tab w:pos="2052" w:val="left" w:leader="none"/>
          <w:tab w:pos="2054" w:val="left" w:leader="none"/>
        </w:tabs>
        <w:spacing w:line="240" w:lineRule="auto" w:before="0" w:after="0"/>
        <w:ind w:left="2054" w:right="769" w:hanging="356"/>
        <w:jc w:val="both"/>
        <w:rPr>
          <w:sz w:val="24"/>
        </w:rPr>
      </w:pPr>
      <w:r>
        <w:rPr>
          <w:sz w:val="24"/>
        </w:rPr>
        <w:t>Advance possession of all lands other than the Owner’s Share as detailed</w:t>
      </w:r>
      <w:r>
        <w:rPr>
          <w:spacing w:val="-7"/>
          <w:sz w:val="24"/>
        </w:rPr>
        <w:t> </w:t>
      </w:r>
      <w:r>
        <w:rPr>
          <w:sz w:val="24"/>
        </w:rPr>
        <w:t>in</w:t>
      </w:r>
      <w:r>
        <w:rPr>
          <w:spacing w:val="-7"/>
          <w:sz w:val="24"/>
        </w:rPr>
        <w:t> </w:t>
      </w:r>
      <w:r>
        <w:rPr>
          <w:sz w:val="24"/>
        </w:rPr>
        <w:t>the</w:t>
      </w:r>
      <w:r>
        <w:rPr>
          <w:spacing w:val="-6"/>
          <w:sz w:val="24"/>
        </w:rPr>
        <w:t> </w:t>
      </w:r>
      <w:r>
        <w:rPr>
          <w:sz w:val="24"/>
        </w:rPr>
        <w:t>table</w:t>
      </w:r>
      <w:r>
        <w:rPr>
          <w:spacing w:val="-7"/>
          <w:sz w:val="24"/>
        </w:rPr>
        <w:t> </w:t>
      </w:r>
      <w:r>
        <w:rPr>
          <w:sz w:val="24"/>
        </w:rPr>
        <w:t>above</w:t>
      </w:r>
      <w:r>
        <w:rPr>
          <w:spacing w:val="-7"/>
          <w:sz w:val="24"/>
        </w:rPr>
        <w:t> </w:t>
      </w:r>
      <w:r>
        <w:rPr>
          <w:sz w:val="24"/>
        </w:rPr>
        <w:t>shall</w:t>
      </w:r>
      <w:r>
        <w:rPr>
          <w:spacing w:val="-7"/>
          <w:sz w:val="24"/>
        </w:rPr>
        <w:t> </w:t>
      </w:r>
      <w:r>
        <w:rPr>
          <w:sz w:val="24"/>
        </w:rPr>
        <w:t>be</w:t>
      </w:r>
      <w:r>
        <w:rPr>
          <w:spacing w:val="-7"/>
          <w:sz w:val="24"/>
        </w:rPr>
        <w:t> </w:t>
      </w:r>
      <w:r>
        <w:rPr>
          <w:sz w:val="24"/>
        </w:rPr>
        <w:t>handed</w:t>
      </w:r>
      <w:r>
        <w:rPr>
          <w:spacing w:val="-7"/>
          <w:sz w:val="24"/>
        </w:rPr>
        <w:t> </w:t>
      </w:r>
      <w:r>
        <w:rPr>
          <w:sz w:val="24"/>
        </w:rPr>
        <w:t>over</w:t>
      </w:r>
      <w:r>
        <w:rPr>
          <w:spacing w:val="-7"/>
          <w:sz w:val="24"/>
        </w:rPr>
        <w:t> </w:t>
      </w:r>
      <w:r>
        <w:rPr>
          <w:sz w:val="24"/>
        </w:rPr>
        <w:t>to</w:t>
      </w:r>
      <w:r>
        <w:rPr>
          <w:spacing w:val="-7"/>
          <w:sz w:val="24"/>
        </w:rPr>
        <w:t> </w:t>
      </w:r>
      <w:r>
        <w:rPr>
          <w:sz w:val="24"/>
        </w:rPr>
        <w:t>MCGM</w:t>
      </w:r>
      <w:r>
        <w:rPr>
          <w:spacing w:val="-7"/>
          <w:sz w:val="24"/>
        </w:rPr>
        <w:t> </w:t>
      </w:r>
      <w:r>
        <w:rPr>
          <w:sz w:val="24"/>
        </w:rPr>
        <w:t>at</w:t>
      </w:r>
      <w:r>
        <w:rPr>
          <w:spacing w:val="-7"/>
          <w:sz w:val="24"/>
        </w:rPr>
        <w:t> </w:t>
      </w:r>
      <w:r>
        <w:rPr>
          <w:sz w:val="24"/>
        </w:rPr>
        <w:t>the</w:t>
      </w:r>
      <w:r>
        <w:rPr>
          <w:spacing w:val="-7"/>
          <w:sz w:val="24"/>
        </w:rPr>
        <w:t> </w:t>
      </w:r>
      <w:r>
        <w:rPr>
          <w:sz w:val="24"/>
        </w:rPr>
        <w:t>time</w:t>
      </w:r>
      <w:r>
        <w:rPr>
          <w:spacing w:val="-7"/>
          <w:sz w:val="24"/>
        </w:rPr>
        <w:t> </w:t>
      </w:r>
      <w:r>
        <w:rPr>
          <w:sz w:val="24"/>
        </w:rPr>
        <w:t>of approval of layout. The ownership shall be transferred in the name of MCGM within one year from the date of advance possession or seeking commencement</w:t>
      </w:r>
      <w:r>
        <w:rPr>
          <w:spacing w:val="-6"/>
          <w:sz w:val="24"/>
        </w:rPr>
        <w:t> </w:t>
      </w:r>
      <w:r>
        <w:rPr>
          <w:sz w:val="24"/>
        </w:rPr>
        <w:t>certificate</w:t>
      </w:r>
      <w:r>
        <w:rPr>
          <w:spacing w:val="-6"/>
          <w:sz w:val="24"/>
        </w:rPr>
        <w:t> </w:t>
      </w:r>
      <w:r>
        <w:rPr>
          <w:sz w:val="24"/>
        </w:rPr>
        <w:t>beyond</w:t>
      </w:r>
      <w:r>
        <w:rPr>
          <w:spacing w:val="-6"/>
          <w:sz w:val="24"/>
        </w:rPr>
        <w:t> </w:t>
      </w:r>
      <w:r>
        <w:rPr>
          <w:sz w:val="24"/>
        </w:rPr>
        <w:t>plinth</w:t>
      </w:r>
      <w:r>
        <w:rPr>
          <w:spacing w:val="-3"/>
          <w:sz w:val="24"/>
        </w:rPr>
        <w:t> </w:t>
      </w:r>
      <w:r>
        <w:rPr>
          <w:sz w:val="24"/>
        </w:rPr>
        <w:t>of</w:t>
      </w:r>
      <w:r>
        <w:rPr>
          <w:spacing w:val="-6"/>
          <w:sz w:val="24"/>
        </w:rPr>
        <w:t> </w:t>
      </w:r>
      <w:r>
        <w:rPr>
          <w:sz w:val="24"/>
        </w:rPr>
        <w:t>the</w:t>
      </w:r>
      <w:r>
        <w:rPr>
          <w:spacing w:val="-6"/>
          <w:sz w:val="24"/>
        </w:rPr>
        <w:t> </w:t>
      </w:r>
      <w:r>
        <w:rPr>
          <w:sz w:val="24"/>
        </w:rPr>
        <w:t>development</w:t>
      </w:r>
      <w:r>
        <w:rPr>
          <w:spacing w:val="-6"/>
          <w:sz w:val="24"/>
        </w:rPr>
        <w:t> </w:t>
      </w:r>
      <w:r>
        <w:rPr>
          <w:sz w:val="24"/>
        </w:rPr>
        <w:t>of</w:t>
      </w:r>
      <w:r>
        <w:rPr>
          <w:spacing w:val="-6"/>
          <w:sz w:val="24"/>
        </w:rPr>
        <w:t> </w:t>
      </w:r>
      <w:r>
        <w:rPr>
          <w:sz w:val="24"/>
        </w:rPr>
        <w:t>Owner’s share, whichever is earlier.</w:t>
      </w:r>
    </w:p>
    <w:p>
      <w:pPr>
        <w:pStyle w:val="ListParagraph"/>
        <w:numPr>
          <w:ilvl w:val="0"/>
          <w:numId w:val="154"/>
        </w:numPr>
        <w:tabs>
          <w:tab w:pos="2052" w:val="left" w:leader="none"/>
          <w:tab w:pos="2054" w:val="left" w:leader="none"/>
        </w:tabs>
        <w:spacing w:line="240" w:lineRule="auto" w:before="0" w:after="0"/>
        <w:ind w:left="2054" w:right="767" w:hanging="356"/>
        <w:jc w:val="both"/>
        <w:rPr>
          <w:sz w:val="24"/>
        </w:rPr>
      </w:pPr>
      <w:r>
        <w:rPr>
          <w:sz w:val="24"/>
        </w:rPr>
        <w:t>The</w:t>
      </w:r>
      <w:r>
        <w:rPr>
          <w:spacing w:val="-20"/>
          <w:sz w:val="24"/>
        </w:rPr>
        <w:t> </w:t>
      </w:r>
      <w:r>
        <w:rPr>
          <w:sz w:val="24"/>
        </w:rPr>
        <w:t>Land</w:t>
      </w:r>
      <w:r>
        <w:rPr>
          <w:spacing w:val="-19"/>
          <w:sz w:val="24"/>
        </w:rPr>
        <w:t> </w:t>
      </w:r>
      <w:r>
        <w:rPr>
          <w:sz w:val="24"/>
        </w:rPr>
        <w:t>Owner</w:t>
      </w:r>
      <w:r>
        <w:rPr>
          <w:spacing w:val="-19"/>
          <w:sz w:val="24"/>
        </w:rPr>
        <w:t> </w:t>
      </w:r>
      <w:r>
        <w:rPr>
          <w:sz w:val="24"/>
        </w:rPr>
        <w:t>shall</w:t>
      </w:r>
      <w:r>
        <w:rPr>
          <w:spacing w:val="-19"/>
          <w:sz w:val="24"/>
        </w:rPr>
        <w:t> </w:t>
      </w:r>
      <w:r>
        <w:rPr>
          <w:sz w:val="24"/>
        </w:rPr>
        <w:t>have</w:t>
      </w:r>
      <w:r>
        <w:rPr>
          <w:spacing w:val="-19"/>
          <w:sz w:val="24"/>
        </w:rPr>
        <w:t> </w:t>
      </w:r>
      <w:r>
        <w:rPr>
          <w:sz w:val="24"/>
        </w:rPr>
        <w:t>the</w:t>
      </w:r>
      <w:r>
        <w:rPr>
          <w:spacing w:val="-20"/>
          <w:sz w:val="24"/>
        </w:rPr>
        <w:t> </w:t>
      </w:r>
      <w:r>
        <w:rPr>
          <w:sz w:val="24"/>
        </w:rPr>
        <w:t>option</w:t>
      </w:r>
      <w:r>
        <w:rPr>
          <w:spacing w:val="-19"/>
          <w:sz w:val="24"/>
        </w:rPr>
        <w:t> </w:t>
      </w:r>
      <w:r>
        <w:rPr>
          <w:sz w:val="24"/>
        </w:rPr>
        <w:t>of</w:t>
      </w:r>
      <w:r>
        <w:rPr>
          <w:spacing w:val="-19"/>
          <w:sz w:val="24"/>
        </w:rPr>
        <w:t> </w:t>
      </w:r>
      <w:r>
        <w:rPr>
          <w:sz w:val="24"/>
        </w:rPr>
        <w:t>developing</w:t>
      </w:r>
      <w:r>
        <w:rPr>
          <w:spacing w:val="-19"/>
          <w:sz w:val="24"/>
        </w:rPr>
        <w:t> </w:t>
      </w:r>
      <w:r>
        <w:rPr>
          <w:sz w:val="24"/>
        </w:rPr>
        <w:t>AH,</w:t>
      </w:r>
      <w:r>
        <w:rPr>
          <w:spacing w:val="-19"/>
          <w:sz w:val="24"/>
        </w:rPr>
        <w:t> </w:t>
      </w:r>
      <w:r>
        <w:rPr>
          <w:sz w:val="24"/>
        </w:rPr>
        <w:t>OA</w:t>
      </w:r>
      <w:r>
        <w:rPr>
          <w:spacing w:val="-20"/>
          <w:sz w:val="24"/>
        </w:rPr>
        <w:t> </w:t>
      </w:r>
      <w:r>
        <w:rPr>
          <w:sz w:val="24"/>
        </w:rPr>
        <w:t>and</w:t>
      </w:r>
      <w:r>
        <w:rPr>
          <w:spacing w:val="-19"/>
          <w:sz w:val="24"/>
        </w:rPr>
        <w:t> </w:t>
      </w:r>
      <w:r>
        <w:rPr>
          <w:sz w:val="24"/>
        </w:rPr>
        <w:t>handing them over to the MCGM. However, area earmarked for POS, AH, OA shall be levelled along with construction of compound wall before handing over to MCGM.</w:t>
      </w:r>
    </w:p>
    <w:p>
      <w:pPr>
        <w:pStyle w:val="ListParagraph"/>
        <w:numPr>
          <w:ilvl w:val="0"/>
          <w:numId w:val="154"/>
        </w:numPr>
        <w:tabs>
          <w:tab w:pos="2052" w:val="left" w:leader="none"/>
          <w:tab w:pos="2054" w:val="left" w:leader="none"/>
        </w:tabs>
        <w:spacing w:line="240" w:lineRule="auto" w:before="0" w:after="0"/>
        <w:ind w:left="2054" w:right="767" w:hanging="356"/>
        <w:jc w:val="both"/>
        <w:rPr>
          <w:sz w:val="24"/>
        </w:rPr>
      </w:pPr>
      <w:r>
        <w:rPr>
          <w:sz w:val="24"/>
        </w:rPr>
        <w:t>The</w:t>
      </w:r>
      <w:r>
        <w:rPr>
          <w:spacing w:val="-8"/>
          <w:sz w:val="24"/>
        </w:rPr>
        <w:t> </w:t>
      </w:r>
      <w:r>
        <w:rPr>
          <w:sz w:val="24"/>
        </w:rPr>
        <w:t>development</w:t>
      </w:r>
      <w:r>
        <w:rPr>
          <w:spacing w:val="-8"/>
          <w:sz w:val="24"/>
        </w:rPr>
        <w:t> </w:t>
      </w:r>
      <w:r>
        <w:rPr>
          <w:sz w:val="24"/>
        </w:rPr>
        <w:t>of</w:t>
      </w:r>
      <w:r>
        <w:rPr>
          <w:spacing w:val="-8"/>
          <w:sz w:val="24"/>
        </w:rPr>
        <w:t> </w:t>
      </w:r>
      <w:r>
        <w:rPr>
          <w:sz w:val="24"/>
        </w:rPr>
        <w:t>AH</w:t>
      </w:r>
      <w:r>
        <w:rPr>
          <w:spacing w:val="-8"/>
          <w:sz w:val="24"/>
        </w:rPr>
        <w:t> </w:t>
      </w:r>
      <w:r>
        <w:rPr>
          <w:sz w:val="24"/>
        </w:rPr>
        <w:t>&amp;</w:t>
      </w:r>
      <w:r>
        <w:rPr>
          <w:spacing w:val="-8"/>
          <w:sz w:val="24"/>
        </w:rPr>
        <w:t> </w:t>
      </w:r>
      <w:r>
        <w:rPr>
          <w:sz w:val="24"/>
        </w:rPr>
        <w:t>OA</w:t>
      </w:r>
      <w:r>
        <w:rPr>
          <w:spacing w:val="-8"/>
          <w:sz w:val="24"/>
        </w:rPr>
        <w:t> </w:t>
      </w:r>
      <w:r>
        <w:rPr>
          <w:sz w:val="24"/>
        </w:rPr>
        <w:t>shall</w:t>
      </w:r>
      <w:r>
        <w:rPr>
          <w:spacing w:val="-11"/>
          <w:sz w:val="24"/>
        </w:rPr>
        <w:t> </w:t>
      </w:r>
      <w:r>
        <w:rPr>
          <w:sz w:val="24"/>
        </w:rPr>
        <w:t>be</w:t>
      </w:r>
      <w:r>
        <w:rPr>
          <w:spacing w:val="-8"/>
          <w:sz w:val="24"/>
        </w:rPr>
        <w:t> </w:t>
      </w:r>
      <w:r>
        <w:rPr>
          <w:sz w:val="24"/>
        </w:rPr>
        <w:t>as</w:t>
      </w:r>
      <w:r>
        <w:rPr>
          <w:spacing w:val="-11"/>
          <w:sz w:val="24"/>
        </w:rPr>
        <w:t> </w:t>
      </w:r>
      <w:r>
        <w:rPr>
          <w:sz w:val="24"/>
        </w:rPr>
        <w:t>per</w:t>
      </w:r>
      <w:r>
        <w:rPr>
          <w:spacing w:val="-8"/>
          <w:sz w:val="24"/>
        </w:rPr>
        <w:t> </w:t>
      </w:r>
      <w:r>
        <w:rPr>
          <w:sz w:val="24"/>
        </w:rPr>
        <w:t>specifications</w:t>
      </w:r>
      <w:r>
        <w:rPr>
          <w:spacing w:val="-8"/>
          <w:sz w:val="24"/>
        </w:rPr>
        <w:t> </w:t>
      </w:r>
      <w:r>
        <w:rPr>
          <w:sz w:val="24"/>
        </w:rPr>
        <w:t>laid</w:t>
      </w:r>
      <w:r>
        <w:rPr>
          <w:spacing w:val="-8"/>
          <w:sz w:val="24"/>
        </w:rPr>
        <w:t> </w:t>
      </w:r>
      <w:r>
        <w:rPr>
          <w:sz w:val="24"/>
        </w:rPr>
        <w:t>down</w:t>
      </w:r>
      <w:r>
        <w:rPr>
          <w:spacing w:val="-8"/>
          <w:sz w:val="24"/>
        </w:rPr>
        <w:t> </w:t>
      </w:r>
      <w:r>
        <w:rPr>
          <w:sz w:val="24"/>
        </w:rPr>
        <w:t>by the</w:t>
      </w:r>
      <w:r>
        <w:rPr>
          <w:spacing w:val="59"/>
          <w:sz w:val="24"/>
        </w:rPr>
        <w:t> </w:t>
      </w:r>
      <w:r>
        <w:rPr>
          <w:sz w:val="24"/>
        </w:rPr>
        <w:t>Commissioner,</w:t>
      </w:r>
      <w:r>
        <w:rPr>
          <w:spacing w:val="59"/>
          <w:sz w:val="24"/>
        </w:rPr>
        <w:t> </w:t>
      </w:r>
      <w:r>
        <w:rPr>
          <w:sz w:val="24"/>
        </w:rPr>
        <w:t>within</w:t>
      </w:r>
      <w:r>
        <w:rPr>
          <w:spacing w:val="59"/>
          <w:sz w:val="24"/>
        </w:rPr>
        <w:t> </w:t>
      </w:r>
      <w:r>
        <w:rPr>
          <w:sz w:val="24"/>
        </w:rPr>
        <w:t>three</w:t>
      </w:r>
      <w:r>
        <w:rPr>
          <w:spacing w:val="59"/>
          <w:sz w:val="24"/>
        </w:rPr>
        <w:t> </w:t>
      </w:r>
      <w:r>
        <w:rPr>
          <w:sz w:val="24"/>
        </w:rPr>
        <w:t>years</w:t>
      </w:r>
      <w:r>
        <w:rPr>
          <w:spacing w:val="59"/>
          <w:sz w:val="24"/>
        </w:rPr>
        <w:t> </w:t>
      </w:r>
      <w:r>
        <w:rPr>
          <w:sz w:val="24"/>
        </w:rPr>
        <w:t>from</w:t>
      </w:r>
      <w:r>
        <w:rPr>
          <w:spacing w:val="59"/>
          <w:sz w:val="24"/>
        </w:rPr>
        <w:t> </w:t>
      </w:r>
      <w:r>
        <w:rPr>
          <w:sz w:val="24"/>
        </w:rPr>
        <w:t>date</w:t>
      </w:r>
      <w:r>
        <w:rPr>
          <w:spacing w:val="59"/>
          <w:sz w:val="24"/>
        </w:rPr>
        <w:t> </w:t>
      </w:r>
      <w:r>
        <w:rPr>
          <w:sz w:val="24"/>
        </w:rPr>
        <w:t>of</w:t>
      </w:r>
      <w:r>
        <w:rPr>
          <w:spacing w:val="59"/>
          <w:sz w:val="24"/>
        </w:rPr>
        <w:t> </w:t>
      </w:r>
      <w:r>
        <w:rPr>
          <w:sz w:val="24"/>
        </w:rPr>
        <w:t>approval</w:t>
      </w:r>
      <w:r>
        <w:rPr>
          <w:spacing w:val="59"/>
          <w:sz w:val="24"/>
        </w:rPr>
        <w:t> </w:t>
      </w:r>
      <w:r>
        <w:rPr>
          <w:sz w:val="24"/>
        </w:rPr>
        <w:t>to</w:t>
      </w:r>
      <w:r>
        <w:rPr>
          <w:spacing w:val="59"/>
          <w:sz w:val="24"/>
        </w:rPr>
        <w:t> </w:t>
      </w:r>
      <w:r>
        <w:rPr>
          <w:sz w:val="24"/>
        </w:rPr>
        <w:t>the</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54" w:right="771"/>
      </w:pPr>
      <w:r>
        <w:rPr/>
        <w:t>individual building plans of AH and OA, unless extended by the Commissioner for valid, recorded reasons.</w:t>
      </w:r>
    </w:p>
    <w:p>
      <w:pPr>
        <w:pStyle w:val="ListParagraph"/>
        <w:numPr>
          <w:ilvl w:val="0"/>
          <w:numId w:val="154"/>
        </w:numPr>
        <w:tabs>
          <w:tab w:pos="2052" w:val="left" w:leader="none"/>
          <w:tab w:pos="2054" w:val="left" w:leader="none"/>
        </w:tabs>
        <w:spacing w:line="240" w:lineRule="auto" w:before="1" w:after="0"/>
        <w:ind w:left="2054" w:right="776" w:hanging="356"/>
        <w:jc w:val="both"/>
        <w:rPr>
          <w:sz w:val="24"/>
        </w:rPr>
      </w:pPr>
      <w:r>
        <w:rPr>
          <w:sz w:val="24"/>
        </w:rPr>
        <w:t>Provision of amenities as per Regulation No. 14(A) and 15 shall not be applicable for development under this Regulation.</w:t>
      </w:r>
    </w:p>
    <w:p>
      <w:pPr>
        <w:pStyle w:val="ListParagraph"/>
        <w:numPr>
          <w:ilvl w:val="0"/>
          <w:numId w:val="154"/>
        </w:numPr>
        <w:tabs>
          <w:tab w:pos="2052" w:val="left" w:leader="none"/>
          <w:tab w:pos="2054" w:val="left" w:leader="none"/>
        </w:tabs>
        <w:spacing w:line="240" w:lineRule="auto" w:before="0" w:after="0"/>
        <w:ind w:left="2054" w:right="770" w:hanging="356"/>
        <w:jc w:val="both"/>
        <w:rPr>
          <w:sz w:val="24"/>
        </w:rPr>
      </w:pPr>
      <w:r>
        <w:rPr>
          <w:sz w:val="24"/>
        </w:rPr>
        <w:t>The carpet areas of the tenements to be constructed shall be for EWS, LIG and MIG or as decided by Govt. from time to time subject to a minimum 25 sq. m.</w:t>
      </w:r>
    </w:p>
    <w:p>
      <w:pPr>
        <w:pStyle w:val="BodyText"/>
        <w:spacing w:before="240"/>
        <w:ind w:left="2062" w:right="766"/>
      </w:pPr>
      <w:r>
        <w:rPr/>
        <w:t>(g</w:t>
      </w:r>
      <w:r>
        <w:rPr>
          <w:spacing w:val="-3"/>
        </w:rPr>
        <w:t> </w:t>
      </w:r>
      <w:r>
        <w:rPr/>
        <w:t>Requirement</w:t>
      </w:r>
      <w:r>
        <w:rPr>
          <w:spacing w:val="-3"/>
        </w:rPr>
        <w:t> </w:t>
      </w:r>
      <w:r>
        <w:rPr/>
        <w:t>of</w:t>
      </w:r>
      <w:r>
        <w:rPr>
          <w:spacing w:val="-3"/>
        </w:rPr>
        <w:t> </w:t>
      </w:r>
      <w:r>
        <w:rPr/>
        <w:t>LOS</w:t>
      </w:r>
      <w:r>
        <w:rPr>
          <w:spacing w:val="-3"/>
        </w:rPr>
        <w:t> </w:t>
      </w:r>
      <w:r>
        <w:rPr/>
        <w:t>as</w:t>
      </w:r>
      <w:r>
        <w:rPr>
          <w:spacing w:val="-3"/>
        </w:rPr>
        <w:t> </w:t>
      </w:r>
      <w:r>
        <w:rPr/>
        <w:t>per</w:t>
      </w:r>
      <w:r>
        <w:rPr>
          <w:spacing w:val="-3"/>
        </w:rPr>
        <w:t> </w:t>
      </w:r>
      <w:r>
        <w:rPr/>
        <w:t>the</w:t>
      </w:r>
      <w:r>
        <w:rPr>
          <w:spacing w:val="-3"/>
        </w:rPr>
        <w:t> </w:t>
      </w:r>
      <w:r>
        <w:rPr/>
        <w:t>provisions</w:t>
      </w:r>
      <w:r>
        <w:rPr>
          <w:spacing w:val="-3"/>
        </w:rPr>
        <w:t> </w:t>
      </w:r>
      <w:r>
        <w:rPr/>
        <w:t>of</w:t>
      </w:r>
      <w:r>
        <w:rPr>
          <w:spacing w:val="-3"/>
        </w:rPr>
        <w:t> </w:t>
      </w:r>
      <w:r>
        <w:rPr/>
        <w:t>Regulation</w:t>
      </w:r>
      <w:r>
        <w:rPr>
          <w:spacing w:val="-3"/>
        </w:rPr>
        <w:t> </w:t>
      </w:r>
      <w:r>
        <w:rPr/>
        <w:t>No.27</w:t>
      </w:r>
      <w:r>
        <w:rPr>
          <w:spacing w:val="-3"/>
        </w:rPr>
        <w:t> </w:t>
      </w:r>
      <w:r>
        <w:rPr/>
        <w:t>on</w:t>
      </w:r>
      <w:r>
        <w:rPr>
          <w:spacing w:val="-3"/>
        </w:rPr>
        <w:t> </w:t>
      </w:r>
      <w:r>
        <w:rPr/>
        <w:t>AH plot and owner’s share of land shall be 15%. Thus overall 25% cumulative LOS of entire holding shall be achieved by considering POS to be handed over to MCGM and owners share of land/AH plot.</w:t>
      </w:r>
    </w:p>
    <w:p>
      <w:pPr>
        <w:pStyle w:val="BodyText"/>
        <w:spacing w:before="240"/>
        <w:jc w:val="left"/>
      </w:pPr>
    </w:p>
    <w:p>
      <w:pPr>
        <w:pStyle w:val="Heading5"/>
        <w:numPr>
          <w:ilvl w:val="1"/>
          <w:numId w:val="153"/>
        </w:numPr>
        <w:tabs>
          <w:tab w:pos="2236" w:val="left" w:leader="none"/>
        </w:tabs>
        <w:spacing w:line="240" w:lineRule="auto" w:before="1" w:after="0"/>
        <w:ind w:left="2236" w:right="0" w:hanging="328"/>
        <w:jc w:val="both"/>
      </w:pPr>
      <w:r>
        <w:rPr/>
        <w:t>Infrastructure</w:t>
      </w:r>
      <w:r>
        <w:rPr>
          <w:spacing w:val="-13"/>
        </w:rPr>
        <w:t> </w:t>
      </w:r>
      <w:r>
        <w:rPr>
          <w:spacing w:val="-2"/>
        </w:rPr>
        <w:t>Development</w:t>
      </w:r>
    </w:p>
    <w:p>
      <w:pPr>
        <w:pStyle w:val="BodyText"/>
        <w:jc w:val="left"/>
        <w:rPr>
          <w:b/>
        </w:rPr>
      </w:pPr>
    </w:p>
    <w:p>
      <w:pPr>
        <w:pStyle w:val="BodyText"/>
        <w:ind w:left="1908" w:right="770"/>
      </w:pPr>
      <w:r>
        <w:rPr/>
        <w:t>The owner shall develop the infrastructure network within the layout (AH,POS</w:t>
      </w:r>
      <w:r>
        <w:rPr>
          <w:spacing w:val="-8"/>
        </w:rPr>
        <w:t> </w:t>
      </w:r>
      <w:r>
        <w:rPr/>
        <w:t>&amp;OA)</w:t>
      </w:r>
      <w:r>
        <w:rPr>
          <w:spacing w:val="-8"/>
        </w:rPr>
        <w:t> </w:t>
      </w:r>
      <w:r>
        <w:rPr/>
        <w:t>to</w:t>
      </w:r>
      <w:r>
        <w:rPr>
          <w:spacing w:val="-8"/>
        </w:rPr>
        <w:t> </w:t>
      </w:r>
      <w:r>
        <w:rPr/>
        <w:t>be</w:t>
      </w:r>
      <w:r>
        <w:rPr>
          <w:spacing w:val="-8"/>
        </w:rPr>
        <w:t> </w:t>
      </w:r>
      <w:r>
        <w:rPr/>
        <w:t>handed</w:t>
      </w:r>
      <w:r>
        <w:rPr>
          <w:spacing w:val="-8"/>
        </w:rPr>
        <w:t> </w:t>
      </w:r>
      <w:r>
        <w:rPr/>
        <w:t>over</w:t>
      </w:r>
      <w:r>
        <w:rPr>
          <w:spacing w:val="-8"/>
        </w:rPr>
        <w:t> </w:t>
      </w:r>
      <w:r>
        <w:rPr/>
        <w:t>to</w:t>
      </w:r>
      <w:r>
        <w:rPr>
          <w:spacing w:val="-8"/>
        </w:rPr>
        <w:t> </w:t>
      </w:r>
      <w:r>
        <w:rPr/>
        <w:t>MCGM</w:t>
      </w:r>
      <w:r>
        <w:rPr>
          <w:spacing w:val="-8"/>
        </w:rPr>
        <w:t> </w:t>
      </w:r>
      <w:r>
        <w:rPr/>
        <w:t>(road</w:t>
      </w:r>
      <w:r>
        <w:rPr>
          <w:spacing w:val="-8"/>
        </w:rPr>
        <w:t> </w:t>
      </w:r>
      <w:r>
        <w:rPr/>
        <w:t>+</w:t>
      </w:r>
      <w:r>
        <w:rPr>
          <w:spacing w:val="-8"/>
        </w:rPr>
        <w:t> </w:t>
      </w:r>
      <w:r>
        <w:rPr/>
        <w:t>water</w:t>
      </w:r>
      <w:r>
        <w:rPr>
          <w:spacing w:val="-8"/>
        </w:rPr>
        <w:t> </w:t>
      </w:r>
      <w:r>
        <w:rPr/>
        <w:t>supply</w:t>
      </w:r>
      <w:r>
        <w:rPr>
          <w:spacing w:val="-8"/>
        </w:rPr>
        <w:t> </w:t>
      </w:r>
      <w:r>
        <w:rPr/>
        <w:t>mains</w:t>
      </w:r>
      <w:r>
        <w:rPr>
          <w:spacing w:val="-8"/>
        </w:rPr>
        <w:t> </w:t>
      </w:r>
      <w:r>
        <w:rPr/>
        <w:t>+ sewer line + storm water drain + street lights pertaining to that specific scheme) as per the requirements of the concerned departments.</w:t>
      </w:r>
    </w:p>
    <w:p>
      <w:pPr>
        <w:pStyle w:val="BodyText"/>
        <w:jc w:val="left"/>
      </w:pPr>
    </w:p>
    <w:p>
      <w:pPr>
        <w:pStyle w:val="Heading5"/>
        <w:numPr>
          <w:ilvl w:val="1"/>
          <w:numId w:val="153"/>
        </w:numPr>
        <w:tabs>
          <w:tab w:pos="2245" w:val="left" w:leader="none"/>
        </w:tabs>
        <w:spacing w:line="240" w:lineRule="auto" w:before="0" w:after="0"/>
        <w:ind w:left="2245" w:right="0" w:hanging="337"/>
        <w:jc w:val="both"/>
      </w:pPr>
      <w:r>
        <w:rPr/>
        <w:t>Permissible</w:t>
      </w:r>
      <w:r>
        <w:rPr>
          <w:spacing w:val="-10"/>
        </w:rPr>
        <w:t> </w:t>
      </w:r>
      <w:r>
        <w:rPr>
          <w:spacing w:val="-5"/>
        </w:rPr>
        <w:t>FSI</w:t>
      </w:r>
    </w:p>
    <w:p>
      <w:pPr>
        <w:pStyle w:val="ListParagraph"/>
        <w:numPr>
          <w:ilvl w:val="1"/>
          <w:numId w:val="154"/>
        </w:numPr>
        <w:tabs>
          <w:tab w:pos="2166" w:val="left" w:leader="none"/>
        </w:tabs>
        <w:spacing w:line="240" w:lineRule="auto" w:before="239" w:after="0"/>
        <w:ind w:left="1793" w:right="767" w:firstLine="0"/>
        <w:jc w:val="both"/>
        <w:rPr>
          <w:sz w:val="24"/>
        </w:rPr>
      </w:pPr>
      <w:r>
        <w:rPr>
          <w:sz w:val="24"/>
        </w:rPr>
        <w:t>If the Owner opts out of the responsibility of developing AH &amp; OA, </w:t>
      </w:r>
      <w:r>
        <w:rPr>
          <w:sz w:val="24"/>
        </w:rPr>
        <w:t>he will</w:t>
      </w:r>
      <w:r>
        <w:rPr>
          <w:spacing w:val="-5"/>
          <w:sz w:val="24"/>
        </w:rPr>
        <w:t> </w:t>
      </w:r>
      <w:r>
        <w:rPr>
          <w:sz w:val="24"/>
        </w:rPr>
        <w:t>get</w:t>
      </w:r>
      <w:r>
        <w:rPr>
          <w:spacing w:val="-5"/>
          <w:sz w:val="24"/>
        </w:rPr>
        <w:t> </w:t>
      </w:r>
      <w:r>
        <w:rPr>
          <w:sz w:val="24"/>
        </w:rPr>
        <w:t>FSI</w:t>
      </w:r>
      <w:r>
        <w:rPr>
          <w:spacing w:val="-3"/>
          <w:sz w:val="24"/>
        </w:rPr>
        <w:t> </w:t>
      </w:r>
      <w:r>
        <w:rPr>
          <w:sz w:val="24"/>
        </w:rPr>
        <w:t>1.0</w:t>
      </w:r>
      <w:r>
        <w:rPr>
          <w:spacing w:val="-5"/>
          <w:sz w:val="24"/>
        </w:rPr>
        <w:t> </w:t>
      </w:r>
      <w:r>
        <w:rPr>
          <w:sz w:val="24"/>
        </w:rPr>
        <w:t>of</w:t>
      </w:r>
      <w:r>
        <w:rPr>
          <w:spacing w:val="-5"/>
          <w:sz w:val="24"/>
        </w:rPr>
        <w:t> </w:t>
      </w:r>
      <w:r>
        <w:rPr>
          <w:sz w:val="24"/>
        </w:rPr>
        <w:t>the</w:t>
      </w:r>
      <w:r>
        <w:rPr>
          <w:spacing w:val="-5"/>
          <w:sz w:val="24"/>
        </w:rPr>
        <w:t> </w:t>
      </w:r>
      <w:r>
        <w:rPr>
          <w:sz w:val="24"/>
        </w:rPr>
        <w:t>gross</w:t>
      </w:r>
      <w:r>
        <w:rPr>
          <w:spacing w:val="-4"/>
          <w:sz w:val="24"/>
        </w:rPr>
        <w:t> </w:t>
      </w:r>
      <w:r>
        <w:rPr>
          <w:sz w:val="24"/>
        </w:rPr>
        <w:t>plot</w:t>
      </w:r>
      <w:r>
        <w:rPr>
          <w:spacing w:val="-5"/>
          <w:sz w:val="24"/>
        </w:rPr>
        <w:t> </w:t>
      </w:r>
      <w:r>
        <w:rPr>
          <w:sz w:val="24"/>
        </w:rPr>
        <w:t>(AH</w:t>
      </w:r>
      <w:r>
        <w:rPr>
          <w:spacing w:val="-5"/>
          <w:sz w:val="24"/>
        </w:rPr>
        <w:t> </w:t>
      </w:r>
      <w:r>
        <w:rPr>
          <w:sz w:val="24"/>
        </w:rPr>
        <w:t>+</w:t>
      </w:r>
      <w:r>
        <w:rPr>
          <w:spacing w:val="-5"/>
          <w:sz w:val="24"/>
        </w:rPr>
        <w:t> </w:t>
      </w:r>
      <w:r>
        <w:rPr>
          <w:sz w:val="24"/>
        </w:rPr>
        <w:t>POS+OA</w:t>
      </w:r>
      <w:r>
        <w:rPr>
          <w:spacing w:val="-5"/>
          <w:sz w:val="24"/>
        </w:rPr>
        <w:t> </w:t>
      </w:r>
      <w:r>
        <w:rPr>
          <w:sz w:val="24"/>
        </w:rPr>
        <w:t>+</w:t>
      </w:r>
      <w:r>
        <w:rPr>
          <w:spacing w:val="-5"/>
          <w:sz w:val="24"/>
        </w:rPr>
        <w:t> </w:t>
      </w:r>
      <w:r>
        <w:rPr>
          <w:sz w:val="24"/>
        </w:rPr>
        <w:t>area</w:t>
      </w:r>
      <w:r>
        <w:rPr>
          <w:spacing w:val="-5"/>
          <w:sz w:val="24"/>
        </w:rPr>
        <w:t> </w:t>
      </w:r>
      <w:r>
        <w:rPr>
          <w:sz w:val="24"/>
        </w:rPr>
        <w:t>covered</w:t>
      </w:r>
      <w:r>
        <w:rPr>
          <w:spacing w:val="-5"/>
          <w:sz w:val="24"/>
        </w:rPr>
        <w:t> </w:t>
      </w:r>
      <w:r>
        <w:rPr>
          <w:sz w:val="24"/>
        </w:rPr>
        <w:t>under</w:t>
      </w:r>
      <w:r>
        <w:rPr>
          <w:spacing w:val="-5"/>
          <w:sz w:val="24"/>
        </w:rPr>
        <w:t> </w:t>
      </w:r>
      <w:r>
        <w:rPr>
          <w:sz w:val="24"/>
        </w:rPr>
        <w:t>road to</w:t>
      </w:r>
      <w:r>
        <w:rPr>
          <w:spacing w:val="-3"/>
          <w:sz w:val="24"/>
        </w:rPr>
        <w:t> </w:t>
      </w:r>
      <w:r>
        <w:rPr>
          <w:sz w:val="24"/>
        </w:rPr>
        <w:t>be</w:t>
      </w:r>
      <w:r>
        <w:rPr>
          <w:spacing w:val="-3"/>
          <w:sz w:val="24"/>
        </w:rPr>
        <w:t> </w:t>
      </w:r>
      <w:r>
        <w:rPr>
          <w:sz w:val="24"/>
        </w:rPr>
        <w:t>handed</w:t>
      </w:r>
      <w:r>
        <w:rPr>
          <w:spacing w:val="-3"/>
          <w:sz w:val="24"/>
        </w:rPr>
        <w:t> </w:t>
      </w:r>
      <w:r>
        <w:rPr>
          <w:sz w:val="24"/>
        </w:rPr>
        <w:t>over</w:t>
      </w:r>
      <w:r>
        <w:rPr>
          <w:spacing w:val="-3"/>
          <w:sz w:val="24"/>
        </w:rPr>
        <w:t> </w:t>
      </w:r>
      <w:r>
        <w:rPr>
          <w:sz w:val="24"/>
        </w:rPr>
        <w:t>to</w:t>
      </w:r>
      <w:r>
        <w:rPr>
          <w:spacing w:val="-3"/>
          <w:sz w:val="24"/>
        </w:rPr>
        <w:t> </w:t>
      </w:r>
      <w:r>
        <w:rPr>
          <w:sz w:val="24"/>
        </w:rPr>
        <w:t>MCGM</w:t>
      </w:r>
      <w:r>
        <w:rPr>
          <w:spacing w:val="-3"/>
          <w:sz w:val="24"/>
        </w:rPr>
        <w:t> </w:t>
      </w:r>
      <w:r>
        <w:rPr>
          <w:sz w:val="24"/>
        </w:rPr>
        <w:t>+</w:t>
      </w:r>
      <w:r>
        <w:rPr>
          <w:spacing w:val="-3"/>
          <w:sz w:val="24"/>
        </w:rPr>
        <w:t> </w:t>
      </w:r>
      <w:r>
        <w:rPr>
          <w:sz w:val="24"/>
        </w:rPr>
        <w:t>land</w:t>
      </w:r>
      <w:r>
        <w:rPr>
          <w:spacing w:val="-3"/>
          <w:sz w:val="24"/>
        </w:rPr>
        <w:t> </w:t>
      </w:r>
      <w:r>
        <w:rPr>
          <w:sz w:val="24"/>
        </w:rPr>
        <w:t>forming</w:t>
      </w:r>
      <w:r>
        <w:rPr>
          <w:spacing w:val="-3"/>
          <w:sz w:val="24"/>
        </w:rPr>
        <w:t> </w:t>
      </w:r>
      <w:r>
        <w:rPr>
          <w:sz w:val="24"/>
        </w:rPr>
        <w:t>Owner’s</w:t>
      </w:r>
      <w:r>
        <w:rPr>
          <w:spacing w:val="-3"/>
          <w:sz w:val="24"/>
        </w:rPr>
        <w:t> </w:t>
      </w:r>
      <w:r>
        <w:rPr>
          <w:sz w:val="24"/>
        </w:rPr>
        <w:t>share</w:t>
      </w:r>
      <w:r>
        <w:rPr>
          <w:spacing w:val="-3"/>
          <w:sz w:val="24"/>
        </w:rPr>
        <w:t> </w:t>
      </w:r>
      <w:r>
        <w:rPr>
          <w:sz w:val="24"/>
        </w:rPr>
        <w:t>of</w:t>
      </w:r>
      <w:r>
        <w:rPr>
          <w:spacing w:val="-3"/>
          <w:sz w:val="24"/>
        </w:rPr>
        <w:t> </w:t>
      </w:r>
      <w:r>
        <w:rPr>
          <w:sz w:val="24"/>
        </w:rPr>
        <w:t>that</w:t>
      </w:r>
      <w:r>
        <w:rPr>
          <w:spacing w:val="-3"/>
          <w:sz w:val="24"/>
        </w:rPr>
        <w:t> </w:t>
      </w:r>
      <w:r>
        <w:rPr>
          <w:sz w:val="24"/>
        </w:rPr>
        <w:t>specific scheme) on the Owner’s share of land.</w:t>
      </w:r>
    </w:p>
    <w:p>
      <w:pPr>
        <w:pStyle w:val="ListParagraph"/>
        <w:numPr>
          <w:ilvl w:val="1"/>
          <w:numId w:val="154"/>
        </w:numPr>
        <w:tabs>
          <w:tab w:pos="2085" w:val="left" w:leader="none"/>
        </w:tabs>
        <w:spacing w:line="240" w:lineRule="auto" w:before="2" w:after="0"/>
        <w:ind w:left="1793" w:right="769" w:firstLine="0"/>
        <w:jc w:val="both"/>
        <w:rPr>
          <w:sz w:val="24"/>
        </w:rPr>
      </w:pPr>
      <w:r>
        <w:rPr>
          <w:sz w:val="24"/>
        </w:rPr>
        <w:t>If the Owner opts to develop the cited AH &amp; OA, the Owner shall be entitled for FSI 1 of the gross plot (AH + POS+ OA + area covered under roads to be handed over to MCGM + land forming Owner’s share of that specific scheme) on the Owner’s share of land along with cost of construction in the form of BUA as per Clause (E) (a)</w:t>
      </w:r>
    </w:p>
    <w:p>
      <w:pPr>
        <w:pStyle w:val="ListParagraph"/>
        <w:numPr>
          <w:ilvl w:val="1"/>
          <w:numId w:val="154"/>
        </w:numPr>
        <w:tabs>
          <w:tab w:pos="2034" w:val="left" w:leader="none"/>
        </w:tabs>
        <w:spacing w:line="240" w:lineRule="auto" w:before="0" w:after="0"/>
        <w:ind w:left="1769" w:right="768" w:firstLine="0"/>
        <w:jc w:val="both"/>
        <w:rPr>
          <w:sz w:val="24"/>
        </w:rPr>
      </w:pPr>
      <w:r>
        <w:rPr>
          <w:sz w:val="24"/>
        </w:rPr>
        <w:t>The Owner would also be compensated for all infrastructure developed by him that is not attributable to infrastructure pertaining to Owner’s share of land and construction of the AH tenements &amp; OA as described </w:t>
      </w:r>
      <w:r>
        <w:rPr>
          <w:spacing w:val="-2"/>
          <w:sz w:val="24"/>
        </w:rPr>
        <w:t>below.</w:t>
      </w:r>
    </w:p>
    <w:p>
      <w:pPr>
        <w:pStyle w:val="ListParagraph"/>
        <w:numPr>
          <w:ilvl w:val="1"/>
          <w:numId w:val="154"/>
        </w:numPr>
        <w:tabs>
          <w:tab w:pos="2058" w:val="left" w:leader="none"/>
        </w:tabs>
        <w:spacing w:line="240" w:lineRule="auto" w:before="0" w:after="0"/>
        <w:ind w:left="1769" w:right="766" w:firstLine="0"/>
        <w:jc w:val="both"/>
        <w:rPr>
          <w:sz w:val="24"/>
        </w:rPr>
      </w:pPr>
      <w:r>
        <w:rPr>
          <w:sz w:val="24"/>
        </w:rPr>
        <w:t>The Development of the plot handed over for AH shall be with FSI 2.5 on the plot of the AH area. The Development of the plot handed over for OA shall be with FSI 2 on the plot of OA with the structural provision for vertical extension for consumption of FSI up to 4 on OA plot. AH Tenements &amp; constructed amenities shall have to be handed over to MCGM.</w:t>
      </w:r>
      <w:r>
        <w:rPr>
          <w:spacing w:val="40"/>
          <w:sz w:val="24"/>
        </w:rPr>
        <w:t> </w:t>
      </w:r>
      <w:r>
        <w:rPr>
          <w:sz w:val="24"/>
        </w:rPr>
        <w:t>The cost of construction of AH tenements &amp; built up amenities shall be paid in the form of BUA.</w:t>
      </w:r>
    </w:p>
    <w:p>
      <w:pPr>
        <w:pStyle w:val="ListParagraph"/>
        <w:numPr>
          <w:ilvl w:val="1"/>
          <w:numId w:val="154"/>
        </w:numPr>
        <w:tabs>
          <w:tab w:pos="2034" w:val="left" w:leader="none"/>
        </w:tabs>
        <w:spacing w:line="240" w:lineRule="auto" w:before="0" w:after="0"/>
        <w:ind w:left="1769" w:right="766" w:firstLine="0"/>
        <w:jc w:val="both"/>
        <w:rPr>
          <w:sz w:val="24"/>
        </w:rPr>
      </w:pPr>
      <w:r>
        <w:rPr>
          <w:sz w:val="24"/>
        </w:rPr>
        <w:t>‘TDR’ or ‘Additional FSI on payment of premium’ as per Regulation No 30</w:t>
      </w:r>
      <w:r>
        <w:rPr>
          <w:spacing w:val="-20"/>
          <w:sz w:val="24"/>
        </w:rPr>
        <w:t> </w:t>
      </w:r>
      <w:r>
        <w:rPr>
          <w:sz w:val="24"/>
        </w:rPr>
        <w:t>(1)</w:t>
      </w:r>
      <w:r>
        <w:rPr>
          <w:spacing w:val="-18"/>
          <w:sz w:val="24"/>
        </w:rPr>
        <w:t> </w:t>
      </w:r>
      <w:r>
        <w:rPr>
          <w:sz w:val="24"/>
        </w:rPr>
        <w:t>(A)</w:t>
      </w:r>
      <w:r>
        <w:rPr>
          <w:spacing w:val="-19"/>
          <w:sz w:val="24"/>
        </w:rPr>
        <w:t> </w:t>
      </w:r>
      <w:r>
        <w:rPr>
          <w:sz w:val="24"/>
        </w:rPr>
        <w:t>[except</w:t>
      </w:r>
      <w:r>
        <w:rPr>
          <w:spacing w:val="-20"/>
          <w:sz w:val="24"/>
        </w:rPr>
        <w:t> </w:t>
      </w:r>
      <w:r>
        <w:rPr>
          <w:sz w:val="24"/>
        </w:rPr>
        <w:t>Fungible</w:t>
      </w:r>
      <w:r>
        <w:rPr>
          <w:spacing w:val="-18"/>
          <w:sz w:val="24"/>
        </w:rPr>
        <w:t> </w:t>
      </w:r>
      <w:r>
        <w:rPr>
          <w:sz w:val="24"/>
        </w:rPr>
        <w:t>Compensatory</w:t>
      </w:r>
      <w:r>
        <w:rPr>
          <w:spacing w:val="-20"/>
          <w:sz w:val="24"/>
        </w:rPr>
        <w:t> </w:t>
      </w:r>
      <w:r>
        <w:rPr>
          <w:sz w:val="24"/>
        </w:rPr>
        <w:t>area</w:t>
      </w:r>
      <w:r>
        <w:rPr>
          <w:spacing w:val="-17"/>
          <w:sz w:val="24"/>
        </w:rPr>
        <w:t> </w:t>
      </w:r>
      <w:r>
        <w:rPr>
          <w:sz w:val="24"/>
        </w:rPr>
        <w:t>as</w:t>
      </w:r>
      <w:r>
        <w:rPr>
          <w:spacing w:val="-19"/>
          <w:sz w:val="24"/>
        </w:rPr>
        <w:t> </w:t>
      </w:r>
      <w:r>
        <w:rPr>
          <w:sz w:val="24"/>
        </w:rPr>
        <w:t>per</w:t>
      </w:r>
      <w:r>
        <w:rPr>
          <w:spacing w:val="-19"/>
          <w:sz w:val="24"/>
        </w:rPr>
        <w:t> </w:t>
      </w:r>
      <w:r>
        <w:rPr>
          <w:sz w:val="24"/>
        </w:rPr>
        <w:t>Regulation</w:t>
      </w:r>
      <w:r>
        <w:rPr>
          <w:spacing w:val="-18"/>
          <w:sz w:val="24"/>
        </w:rPr>
        <w:t> </w:t>
      </w:r>
      <w:r>
        <w:rPr>
          <w:sz w:val="24"/>
        </w:rPr>
        <w:t>No.</w:t>
      </w:r>
      <w:r>
        <w:rPr>
          <w:spacing w:val="-19"/>
          <w:sz w:val="24"/>
        </w:rPr>
        <w:t> </w:t>
      </w:r>
      <w:r>
        <w:rPr>
          <w:sz w:val="24"/>
        </w:rPr>
        <w:t>31(3)], shall</w:t>
      </w:r>
      <w:r>
        <w:rPr>
          <w:spacing w:val="-10"/>
          <w:sz w:val="24"/>
        </w:rPr>
        <w:t> </w:t>
      </w:r>
      <w:r>
        <w:rPr>
          <w:sz w:val="24"/>
        </w:rPr>
        <w:t>not</w:t>
      </w:r>
      <w:r>
        <w:rPr>
          <w:spacing w:val="-10"/>
          <w:sz w:val="24"/>
        </w:rPr>
        <w:t> </w:t>
      </w:r>
      <w:r>
        <w:rPr>
          <w:sz w:val="24"/>
        </w:rPr>
        <w:t>be</w:t>
      </w:r>
      <w:r>
        <w:rPr>
          <w:spacing w:val="-10"/>
          <w:sz w:val="24"/>
        </w:rPr>
        <w:t> </w:t>
      </w:r>
      <w:r>
        <w:rPr>
          <w:sz w:val="24"/>
        </w:rPr>
        <w:t>permissible</w:t>
      </w:r>
      <w:r>
        <w:rPr>
          <w:spacing w:val="-10"/>
          <w:sz w:val="24"/>
        </w:rPr>
        <w:t> </w:t>
      </w:r>
      <w:r>
        <w:rPr>
          <w:sz w:val="24"/>
        </w:rPr>
        <w:t>on</w:t>
      </w:r>
      <w:r>
        <w:rPr>
          <w:spacing w:val="-10"/>
          <w:sz w:val="24"/>
        </w:rPr>
        <w:t> </w:t>
      </w:r>
      <w:r>
        <w:rPr>
          <w:sz w:val="24"/>
        </w:rPr>
        <w:t>Owner’s</w:t>
      </w:r>
      <w:r>
        <w:rPr>
          <w:spacing w:val="-10"/>
          <w:sz w:val="24"/>
        </w:rPr>
        <w:t> </w:t>
      </w:r>
      <w:r>
        <w:rPr>
          <w:sz w:val="24"/>
        </w:rPr>
        <w:t>share</w:t>
      </w:r>
      <w:r>
        <w:rPr>
          <w:spacing w:val="-7"/>
          <w:sz w:val="24"/>
        </w:rPr>
        <w:t> </w:t>
      </w:r>
      <w:r>
        <w:rPr>
          <w:sz w:val="24"/>
        </w:rPr>
        <w:t>of</w:t>
      </w:r>
      <w:r>
        <w:rPr>
          <w:spacing w:val="-10"/>
          <w:sz w:val="24"/>
        </w:rPr>
        <w:t> </w:t>
      </w:r>
      <w:r>
        <w:rPr>
          <w:sz w:val="24"/>
        </w:rPr>
        <w:t>land.</w:t>
      </w:r>
      <w:r>
        <w:rPr>
          <w:spacing w:val="-10"/>
          <w:sz w:val="24"/>
        </w:rPr>
        <w:t> </w:t>
      </w:r>
      <w:r>
        <w:rPr>
          <w:sz w:val="24"/>
        </w:rPr>
        <w:t>(f)The</w:t>
      </w:r>
      <w:r>
        <w:rPr>
          <w:spacing w:val="-10"/>
          <w:sz w:val="24"/>
        </w:rPr>
        <w:t> </w:t>
      </w:r>
      <w:r>
        <w:rPr>
          <w:sz w:val="24"/>
        </w:rPr>
        <w:t>land</w:t>
      </w:r>
      <w:r>
        <w:rPr>
          <w:spacing w:val="-7"/>
          <w:sz w:val="24"/>
        </w:rPr>
        <w:t> </w:t>
      </w:r>
      <w:r>
        <w:rPr>
          <w:sz w:val="24"/>
        </w:rPr>
        <w:t>handed</w:t>
      </w:r>
      <w:r>
        <w:rPr>
          <w:spacing w:val="-10"/>
          <w:sz w:val="24"/>
        </w:rPr>
        <w:t> </w:t>
      </w:r>
      <w:r>
        <w:rPr>
          <w:sz w:val="24"/>
        </w:rPr>
        <w:t>over to</w:t>
      </w:r>
      <w:r>
        <w:rPr>
          <w:spacing w:val="-20"/>
          <w:sz w:val="24"/>
        </w:rPr>
        <w:t> </w:t>
      </w:r>
      <w:r>
        <w:rPr>
          <w:sz w:val="24"/>
        </w:rPr>
        <w:t>MCGM</w:t>
      </w:r>
      <w:r>
        <w:rPr>
          <w:spacing w:val="-19"/>
          <w:sz w:val="24"/>
        </w:rPr>
        <w:t> </w:t>
      </w:r>
      <w:r>
        <w:rPr>
          <w:sz w:val="24"/>
        </w:rPr>
        <w:t>for</w:t>
      </w:r>
      <w:r>
        <w:rPr>
          <w:spacing w:val="-19"/>
          <w:sz w:val="24"/>
        </w:rPr>
        <w:t> </w:t>
      </w:r>
      <w:r>
        <w:rPr>
          <w:sz w:val="24"/>
        </w:rPr>
        <w:t>OA</w:t>
      </w:r>
      <w:r>
        <w:rPr>
          <w:spacing w:val="-20"/>
          <w:sz w:val="24"/>
        </w:rPr>
        <w:t> </w:t>
      </w:r>
      <w:r>
        <w:rPr>
          <w:sz w:val="24"/>
        </w:rPr>
        <w:t>as</w:t>
      </w:r>
      <w:r>
        <w:rPr>
          <w:spacing w:val="-19"/>
          <w:sz w:val="24"/>
        </w:rPr>
        <w:t> </w:t>
      </w:r>
      <w:r>
        <w:rPr>
          <w:sz w:val="24"/>
        </w:rPr>
        <w:t>stated</w:t>
      </w:r>
      <w:r>
        <w:rPr>
          <w:spacing w:val="-19"/>
          <w:sz w:val="24"/>
        </w:rPr>
        <w:t> </w:t>
      </w:r>
      <w:r>
        <w:rPr>
          <w:sz w:val="24"/>
        </w:rPr>
        <w:t>above</w:t>
      </w:r>
      <w:r>
        <w:rPr>
          <w:spacing w:val="-20"/>
          <w:sz w:val="24"/>
        </w:rPr>
        <w:t> </w:t>
      </w:r>
      <w:r>
        <w:rPr>
          <w:sz w:val="24"/>
        </w:rPr>
        <w:t>shall</w:t>
      </w:r>
      <w:r>
        <w:rPr>
          <w:spacing w:val="-19"/>
          <w:sz w:val="24"/>
        </w:rPr>
        <w:t> </w:t>
      </w:r>
      <w:r>
        <w:rPr>
          <w:sz w:val="24"/>
        </w:rPr>
        <w:t>not</w:t>
      </w:r>
      <w:r>
        <w:rPr>
          <w:spacing w:val="-20"/>
          <w:sz w:val="24"/>
        </w:rPr>
        <w:t> </w:t>
      </w:r>
      <w:r>
        <w:rPr>
          <w:sz w:val="24"/>
        </w:rPr>
        <w:t>be</w:t>
      </w:r>
      <w:r>
        <w:rPr>
          <w:spacing w:val="-19"/>
          <w:sz w:val="24"/>
        </w:rPr>
        <w:t> </w:t>
      </w:r>
      <w:r>
        <w:rPr>
          <w:sz w:val="24"/>
        </w:rPr>
        <w:t>allowed</w:t>
      </w:r>
      <w:r>
        <w:rPr>
          <w:spacing w:val="-19"/>
          <w:sz w:val="24"/>
        </w:rPr>
        <w:t> </w:t>
      </w:r>
      <w:r>
        <w:rPr>
          <w:sz w:val="24"/>
        </w:rPr>
        <w:t>to</w:t>
      </w:r>
      <w:r>
        <w:rPr>
          <w:spacing w:val="-19"/>
          <w:sz w:val="24"/>
        </w:rPr>
        <w:t> </w:t>
      </w:r>
      <w:r>
        <w:rPr>
          <w:sz w:val="24"/>
        </w:rPr>
        <w:t>be</w:t>
      </w:r>
      <w:r>
        <w:rPr>
          <w:spacing w:val="-20"/>
          <w:sz w:val="24"/>
        </w:rPr>
        <w:t> </w:t>
      </w:r>
      <w:r>
        <w:rPr>
          <w:sz w:val="24"/>
        </w:rPr>
        <w:t>developed</w:t>
      </w:r>
      <w:r>
        <w:rPr>
          <w:spacing w:val="-20"/>
          <w:sz w:val="24"/>
        </w:rPr>
        <w:t> </w:t>
      </w:r>
      <w:r>
        <w:rPr>
          <w:sz w:val="24"/>
        </w:rPr>
        <w:t>under</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1769" w:right="772"/>
      </w:pPr>
      <w:r>
        <w:rPr/>
        <w:t>AR</w:t>
      </w:r>
      <w:r>
        <w:rPr>
          <w:spacing w:val="-12"/>
        </w:rPr>
        <w:t> </w:t>
      </w:r>
      <w:r>
        <w:rPr/>
        <w:t>as</w:t>
      </w:r>
      <w:r>
        <w:rPr>
          <w:spacing w:val="-12"/>
        </w:rPr>
        <w:t> </w:t>
      </w:r>
      <w:r>
        <w:rPr/>
        <w:t>stipulated</w:t>
      </w:r>
      <w:r>
        <w:rPr>
          <w:spacing w:val="-12"/>
        </w:rPr>
        <w:t> </w:t>
      </w:r>
      <w:r>
        <w:rPr/>
        <w:t>in</w:t>
      </w:r>
      <w:r>
        <w:rPr>
          <w:spacing w:val="-10"/>
        </w:rPr>
        <w:t> </w:t>
      </w:r>
      <w:r>
        <w:rPr/>
        <w:t>Regulation</w:t>
      </w:r>
      <w:r>
        <w:rPr>
          <w:spacing w:val="-12"/>
        </w:rPr>
        <w:t> </w:t>
      </w:r>
      <w:r>
        <w:rPr/>
        <w:t>No</w:t>
      </w:r>
      <w:r>
        <w:rPr>
          <w:spacing w:val="-12"/>
        </w:rPr>
        <w:t> </w:t>
      </w:r>
      <w:r>
        <w:rPr/>
        <w:t>17</w:t>
      </w:r>
      <w:r>
        <w:rPr>
          <w:spacing w:val="-12"/>
        </w:rPr>
        <w:t> </w:t>
      </w:r>
      <w:r>
        <w:rPr/>
        <w:t>and</w:t>
      </w:r>
      <w:r>
        <w:rPr>
          <w:spacing w:val="-8"/>
        </w:rPr>
        <w:t> </w:t>
      </w:r>
      <w:r>
        <w:rPr/>
        <w:t>shall</w:t>
      </w:r>
      <w:r>
        <w:rPr>
          <w:spacing w:val="-12"/>
        </w:rPr>
        <w:t> </w:t>
      </w:r>
      <w:r>
        <w:rPr/>
        <w:t>have</w:t>
      </w:r>
      <w:r>
        <w:rPr>
          <w:spacing w:val="-12"/>
        </w:rPr>
        <w:t> </w:t>
      </w:r>
      <w:r>
        <w:rPr/>
        <w:t>to</w:t>
      </w:r>
      <w:r>
        <w:rPr>
          <w:spacing w:val="-12"/>
        </w:rPr>
        <w:t> </w:t>
      </w:r>
      <w:r>
        <w:rPr/>
        <w:t>be</w:t>
      </w:r>
      <w:r>
        <w:rPr>
          <w:spacing w:val="-10"/>
        </w:rPr>
        <w:t> </w:t>
      </w:r>
      <w:r>
        <w:rPr/>
        <w:t>used</w:t>
      </w:r>
      <w:r>
        <w:rPr>
          <w:spacing w:val="-10"/>
        </w:rPr>
        <w:t> </w:t>
      </w:r>
      <w:r>
        <w:rPr/>
        <w:t>entirely</w:t>
      </w:r>
      <w:r>
        <w:rPr>
          <w:spacing w:val="-12"/>
        </w:rPr>
        <w:t> </w:t>
      </w:r>
      <w:r>
        <w:rPr/>
        <w:t>for the intended purpose as per these Regulations.</w:t>
      </w:r>
    </w:p>
    <w:p>
      <w:pPr>
        <w:pStyle w:val="ListParagraph"/>
        <w:numPr>
          <w:ilvl w:val="0"/>
          <w:numId w:val="155"/>
        </w:numPr>
        <w:tabs>
          <w:tab w:pos="2042" w:val="left" w:leader="none"/>
        </w:tabs>
        <w:spacing w:line="240" w:lineRule="auto" w:before="1" w:after="0"/>
        <w:ind w:left="1769" w:right="767" w:firstLine="0"/>
        <w:jc w:val="both"/>
        <w:rPr>
          <w:sz w:val="24"/>
        </w:rPr>
      </w:pPr>
      <w:r>
        <w:rPr>
          <w:sz w:val="24"/>
        </w:rPr>
        <w:t>Notwithstanding anything contained in these Regulations, residential/commercial uses otherwise permissible, independent of road width</w:t>
      </w:r>
      <w:r>
        <w:rPr>
          <w:spacing w:val="-5"/>
          <w:sz w:val="24"/>
        </w:rPr>
        <w:t> </w:t>
      </w:r>
      <w:r>
        <w:rPr>
          <w:sz w:val="24"/>
        </w:rPr>
        <w:t>to</w:t>
      </w:r>
      <w:r>
        <w:rPr>
          <w:spacing w:val="-5"/>
          <w:sz w:val="24"/>
        </w:rPr>
        <w:t> </w:t>
      </w:r>
      <w:r>
        <w:rPr>
          <w:sz w:val="24"/>
        </w:rPr>
        <w:t>which</w:t>
      </w:r>
      <w:r>
        <w:rPr>
          <w:spacing w:val="-5"/>
          <w:sz w:val="24"/>
        </w:rPr>
        <w:t> </w:t>
      </w:r>
      <w:r>
        <w:rPr>
          <w:sz w:val="24"/>
        </w:rPr>
        <w:t>it</w:t>
      </w:r>
      <w:r>
        <w:rPr>
          <w:spacing w:val="-5"/>
          <w:sz w:val="24"/>
        </w:rPr>
        <w:t> </w:t>
      </w:r>
      <w:r>
        <w:rPr>
          <w:sz w:val="24"/>
        </w:rPr>
        <w:t>abuts</w:t>
      </w:r>
      <w:r>
        <w:rPr>
          <w:spacing w:val="-5"/>
          <w:sz w:val="24"/>
        </w:rPr>
        <w:t> </w:t>
      </w:r>
      <w:r>
        <w:rPr>
          <w:sz w:val="24"/>
        </w:rPr>
        <w:t>shall</w:t>
      </w:r>
      <w:r>
        <w:rPr>
          <w:spacing w:val="-5"/>
          <w:sz w:val="24"/>
        </w:rPr>
        <w:t> </w:t>
      </w:r>
      <w:r>
        <w:rPr>
          <w:sz w:val="24"/>
        </w:rPr>
        <w:t>be</w:t>
      </w:r>
      <w:r>
        <w:rPr>
          <w:spacing w:val="-5"/>
          <w:sz w:val="24"/>
        </w:rPr>
        <w:t> </w:t>
      </w:r>
      <w:r>
        <w:rPr>
          <w:sz w:val="24"/>
        </w:rPr>
        <w:t>permissible</w:t>
      </w:r>
      <w:r>
        <w:rPr>
          <w:spacing w:val="-5"/>
          <w:sz w:val="24"/>
        </w:rPr>
        <w:t> </w:t>
      </w:r>
      <w:r>
        <w:rPr>
          <w:sz w:val="24"/>
        </w:rPr>
        <w:t>on</w:t>
      </w:r>
      <w:r>
        <w:rPr>
          <w:spacing w:val="-5"/>
          <w:sz w:val="24"/>
        </w:rPr>
        <w:t> </w:t>
      </w:r>
      <w:r>
        <w:rPr>
          <w:sz w:val="24"/>
        </w:rPr>
        <w:t>the</w:t>
      </w:r>
      <w:r>
        <w:rPr>
          <w:spacing w:val="-5"/>
          <w:sz w:val="24"/>
        </w:rPr>
        <w:t> </w:t>
      </w:r>
      <w:r>
        <w:rPr>
          <w:sz w:val="24"/>
        </w:rPr>
        <w:t>Owner’s</w:t>
      </w:r>
      <w:r>
        <w:rPr>
          <w:spacing w:val="-5"/>
          <w:sz w:val="24"/>
        </w:rPr>
        <w:t> </w:t>
      </w:r>
      <w:r>
        <w:rPr>
          <w:sz w:val="24"/>
        </w:rPr>
        <w:t>share</w:t>
      </w:r>
      <w:r>
        <w:rPr>
          <w:spacing w:val="-5"/>
          <w:sz w:val="24"/>
        </w:rPr>
        <w:t> </w:t>
      </w:r>
      <w:r>
        <w:rPr>
          <w:sz w:val="24"/>
        </w:rPr>
        <w:t>of</w:t>
      </w:r>
      <w:r>
        <w:rPr>
          <w:spacing w:val="-5"/>
          <w:sz w:val="24"/>
        </w:rPr>
        <w:t> </w:t>
      </w:r>
      <w:r>
        <w:rPr>
          <w:sz w:val="24"/>
        </w:rPr>
        <w:t>land. 15%</w:t>
      </w:r>
      <w:r>
        <w:rPr>
          <w:spacing w:val="-13"/>
          <w:sz w:val="24"/>
        </w:rPr>
        <w:t> </w:t>
      </w:r>
      <w:r>
        <w:rPr>
          <w:sz w:val="24"/>
        </w:rPr>
        <w:t>of</w:t>
      </w:r>
      <w:r>
        <w:rPr>
          <w:spacing w:val="-13"/>
          <w:sz w:val="24"/>
        </w:rPr>
        <w:t> </w:t>
      </w:r>
      <w:r>
        <w:rPr>
          <w:sz w:val="24"/>
        </w:rPr>
        <w:t>admissible</w:t>
      </w:r>
      <w:r>
        <w:rPr>
          <w:spacing w:val="-13"/>
          <w:sz w:val="24"/>
        </w:rPr>
        <w:t> </w:t>
      </w:r>
      <w:r>
        <w:rPr>
          <w:sz w:val="24"/>
        </w:rPr>
        <w:t>FSI</w:t>
      </w:r>
      <w:r>
        <w:rPr>
          <w:spacing w:val="-11"/>
          <w:sz w:val="24"/>
        </w:rPr>
        <w:t> </w:t>
      </w:r>
      <w:r>
        <w:rPr>
          <w:sz w:val="24"/>
        </w:rPr>
        <w:t>on</w:t>
      </w:r>
      <w:r>
        <w:rPr>
          <w:spacing w:val="-12"/>
          <w:sz w:val="24"/>
        </w:rPr>
        <w:t> </w:t>
      </w:r>
      <w:r>
        <w:rPr>
          <w:sz w:val="24"/>
        </w:rPr>
        <w:t>AH</w:t>
      </w:r>
      <w:r>
        <w:rPr>
          <w:spacing w:val="-13"/>
          <w:sz w:val="24"/>
        </w:rPr>
        <w:t> </w:t>
      </w:r>
      <w:r>
        <w:rPr>
          <w:sz w:val="24"/>
        </w:rPr>
        <w:t>plot</w:t>
      </w:r>
      <w:r>
        <w:rPr>
          <w:spacing w:val="-13"/>
          <w:sz w:val="24"/>
        </w:rPr>
        <w:t> </w:t>
      </w:r>
      <w:r>
        <w:rPr>
          <w:sz w:val="24"/>
        </w:rPr>
        <w:t>shall</w:t>
      </w:r>
      <w:r>
        <w:rPr>
          <w:spacing w:val="-15"/>
          <w:sz w:val="24"/>
        </w:rPr>
        <w:t> </w:t>
      </w:r>
      <w:r>
        <w:rPr>
          <w:sz w:val="24"/>
        </w:rPr>
        <w:t>be</w:t>
      </w:r>
      <w:r>
        <w:rPr>
          <w:spacing w:val="-13"/>
          <w:sz w:val="24"/>
        </w:rPr>
        <w:t> </w:t>
      </w:r>
      <w:r>
        <w:rPr>
          <w:sz w:val="24"/>
        </w:rPr>
        <w:t>exclusively</w:t>
      </w:r>
      <w:r>
        <w:rPr>
          <w:spacing w:val="-13"/>
          <w:sz w:val="24"/>
        </w:rPr>
        <w:t> </w:t>
      </w:r>
      <w:r>
        <w:rPr>
          <w:sz w:val="24"/>
        </w:rPr>
        <w:t>used</w:t>
      </w:r>
      <w:r>
        <w:rPr>
          <w:spacing w:val="-13"/>
          <w:sz w:val="24"/>
        </w:rPr>
        <w:t> </w:t>
      </w:r>
      <w:r>
        <w:rPr>
          <w:sz w:val="24"/>
        </w:rPr>
        <w:t>for</w:t>
      </w:r>
      <w:r>
        <w:rPr>
          <w:spacing w:val="-13"/>
          <w:sz w:val="24"/>
        </w:rPr>
        <w:t> </w:t>
      </w:r>
      <w:r>
        <w:rPr>
          <w:sz w:val="24"/>
        </w:rPr>
        <w:t>the</w:t>
      </w:r>
      <w:r>
        <w:rPr>
          <w:spacing w:val="-13"/>
          <w:sz w:val="24"/>
        </w:rPr>
        <w:t> </w:t>
      </w:r>
      <w:r>
        <w:rPr>
          <w:sz w:val="24"/>
        </w:rPr>
        <w:t>purpose of convenient shops</w:t>
      </w:r>
    </w:p>
    <w:p>
      <w:pPr>
        <w:pStyle w:val="ListParagraph"/>
        <w:numPr>
          <w:ilvl w:val="0"/>
          <w:numId w:val="155"/>
        </w:numPr>
        <w:tabs>
          <w:tab w:pos="2070" w:val="left" w:leader="none"/>
        </w:tabs>
        <w:spacing w:line="240" w:lineRule="auto" w:before="0" w:after="0"/>
        <w:ind w:left="1769" w:right="768" w:firstLine="0"/>
        <w:jc w:val="both"/>
        <w:rPr>
          <w:sz w:val="24"/>
        </w:rPr>
      </w:pPr>
      <w:r>
        <w:rPr>
          <w:sz w:val="24"/>
        </w:rPr>
        <w:t>Development charges and premium shall not be recovered for any relaxations</w:t>
      </w:r>
      <w:r>
        <w:rPr>
          <w:spacing w:val="-19"/>
          <w:sz w:val="24"/>
        </w:rPr>
        <w:t> </w:t>
      </w:r>
      <w:r>
        <w:rPr>
          <w:sz w:val="24"/>
        </w:rPr>
        <w:t>in</w:t>
      </w:r>
      <w:r>
        <w:rPr>
          <w:spacing w:val="-19"/>
          <w:sz w:val="24"/>
        </w:rPr>
        <w:t> </w:t>
      </w:r>
      <w:r>
        <w:rPr>
          <w:sz w:val="24"/>
        </w:rPr>
        <w:t>open</w:t>
      </w:r>
      <w:r>
        <w:rPr>
          <w:spacing w:val="-19"/>
          <w:sz w:val="24"/>
        </w:rPr>
        <w:t> </w:t>
      </w:r>
      <w:r>
        <w:rPr>
          <w:sz w:val="24"/>
        </w:rPr>
        <w:t>spaces,</w:t>
      </w:r>
      <w:r>
        <w:rPr>
          <w:spacing w:val="-19"/>
          <w:sz w:val="24"/>
        </w:rPr>
        <w:t> </w:t>
      </w:r>
      <w:r>
        <w:rPr>
          <w:sz w:val="24"/>
        </w:rPr>
        <w:t>exclusion</w:t>
      </w:r>
      <w:r>
        <w:rPr>
          <w:spacing w:val="-19"/>
          <w:sz w:val="24"/>
        </w:rPr>
        <w:t> </w:t>
      </w:r>
      <w:r>
        <w:rPr>
          <w:sz w:val="24"/>
        </w:rPr>
        <w:t>of</w:t>
      </w:r>
      <w:r>
        <w:rPr>
          <w:spacing w:val="-19"/>
          <w:sz w:val="24"/>
        </w:rPr>
        <w:t> </w:t>
      </w:r>
      <w:r>
        <w:rPr>
          <w:sz w:val="24"/>
        </w:rPr>
        <w:t>staircase,</w:t>
      </w:r>
      <w:r>
        <w:rPr>
          <w:spacing w:val="-19"/>
          <w:sz w:val="24"/>
        </w:rPr>
        <w:t> </w:t>
      </w:r>
      <w:r>
        <w:rPr>
          <w:sz w:val="24"/>
        </w:rPr>
        <w:t>lift</w:t>
      </w:r>
      <w:r>
        <w:rPr>
          <w:spacing w:val="-19"/>
          <w:sz w:val="24"/>
        </w:rPr>
        <w:t> </w:t>
      </w:r>
      <w:r>
        <w:rPr>
          <w:sz w:val="24"/>
        </w:rPr>
        <w:t>and</w:t>
      </w:r>
      <w:r>
        <w:rPr>
          <w:spacing w:val="-19"/>
          <w:sz w:val="24"/>
        </w:rPr>
        <w:t> </w:t>
      </w:r>
      <w:r>
        <w:rPr>
          <w:sz w:val="24"/>
        </w:rPr>
        <w:t>lobby</w:t>
      </w:r>
      <w:r>
        <w:rPr>
          <w:spacing w:val="-19"/>
          <w:sz w:val="24"/>
        </w:rPr>
        <w:t> </w:t>
      </w:r>
      <w:r>
        <w:rPr>
          <w:sz w:val="24"/>
        </w:rPr>
        <w:t>areas</w:t>
      </w:r>
      <w:r>
        <w:rPr>
          <w:spacing w:val="-19"/>
          <w:sz w:val="24"/>
        </w:rPr>
        <w:t> </w:t>
      </w:r>
      <w:r>
        <w:rPr>
          <w:sz w:val="24"/>
        </w:rPr>
        <w:t>from FSI computation</w:t>
      </w:r>
      <w:r>
        <w:rPr>
          <w:spacing w:val="-1"/>
          <w:sz w:val="24"/>
        </w:rPr>
        <w:t> </w:t>
      </w:r>
      <w:r>
        <w:rPr>
          <w:sz w:val="24"/>
        </w:rPr>
        <w:t>&amp;</w:t>
      </w:r>
      <w:r>
        <w:rPr>
          <w:spacing w:val="-1"/>
          <w:sz w:val="24"/>
        </w:rPr>
        <w:t> </w:t>
      </w:r>
      <w:r>
        <w:rPr>
          <w:sz w:val="24"/>
        </w:rPr>
        <w:t>for</w:t>
      </w:r>
      <w:r>
        <w:rPr>
          <w:spacing w:val="-1"/>
          <w:sz w:val="24"/>
        </w:rPr>
        <w:t> </w:t>
      </w:r>
      <w:r>
        <w:rPr>
          <w:sz w:val="24"/>
        </w:rPr>
        <w:t>Fungible</w:t>
      </w:r>
      <w:r>
        <w:rPr>
          <w:spacing w:val="-1"/>
          <w:sz w:val="24"/>
        </w:rPr>
        <w:t> </w:t>
      </w:r>
      <w:r>
        <w:rPr>
          <w:sz w:val="24"/>
        </w:rPr>
        <w:t>compensatory</w:t>
      </w:r>
      <w:r>
        <w:rPr>
          <w:spacing w:val="-1"/>
          <w:sz w:val="24"/>
        </w:rPr>
        <w:t> </w:t>
      </w:r>
      <w:r>
        <w:rPr>
          <w:sz w:val="24"/>
        </w:rPr>
        <w:t>area</w:t>
      </w:r>
      <w:r>
        <w:rPr>
          <w:spacing w:val="-1"/>
          <w:sz w:val="24"/>
        </w:rPr>
        <w:t> </w:t>
      </w:r>
      <w:r>
        <w:rPr>
          <w:sz w:val="24"/>
        </w:rPr>
        <w:t>as</w:t>
      </w:r>
      <w:r>
        <w:rPr>
          <w:spacing w:val="-1"/>
          <w:sz w:val="24"/>
        </w:rPr>
        <w:t> </w:t>
      </w:r>
      <w:r>
        <w:rPr>
          <w:sz w:val="24"/>
        </w:rPr>
        <w:t>per</w:t>
      </w:r>
      <w:r>
        <w:rPr>
          <w:spacing w:val="-1"/>
          <w:sz w:val="24"/>
        </w:rPr>
        <w:t> </w:t>
      </w:r>
      <w:r>
        <w:rPr>
          <w:sz w:val="24"/>
        </w:rPr>
        <w:t>Regulation</w:t>
      </w:r>
      <w:r>
        <w:rPr>
          <w:spacing w:val="-1"/>
          <w:sz w:val="24"/>
        </w:rPr>
        <w:t> </w:t>
      </w:r>
      <w:r>
        <w:rPr>
          <w:sz w:val="24"/>
        </w:rPr>
        <w:t>No. 31(3) for BUA to be handed over to MCGM.</w:t>
      </w:r>
    </w:p>
    <w:p>
      <w:pPr>
        <w:pStyle w:val="ListParagraph"/>
        <w:numPr>
          <w:ilvl w:val="0"/>
          <w:numId w:val="155"/>
        </w:numPr>
        <w:tabs>
          <w:tab w:pos="1984" w:val="left" w:leader="none"/>
        </w:tabs>
        <w:spacing w:line="240" w:lineRule="auto" w:before="1" w:after="0"/>
        <w:ind w:left="1769" w:right="767" w:firstLine="0"/>
        <w:jc w:val="both"/>
        <w:rPr>
          <w:sz w:val="24"/>
        </w:rPr>
      </w:pPr>
      <w:r>
        <w:rPr>
          <w:sz w:val="24"/>
        </w:rPr>
        <w:t>Development cess at 7% of the Land Rate (for FSI 1) for the BUA (excluding</w:t>
      </w:r>
      <w:r>
        <w:rPr>
          <w:spacing w:val="-20"/>
          <w:sz w:val="24"/>
        </w:rPr>
        <w:t> </w:t>
      </w:r>
      <w:r>
        <w:rPr>
          <w:sz w:val="24"/>
        </w:rPr>
        <w:t>fungible</w:t>
      </w:r>
      <w:r>
        <w:rPr>
          <w:spacing w:val="-19"/>
          <w:sz w:val="24"/>
        </w:rPr>
        <w:t> </w:t>
      </w:r>
      <w:r>
        <w:rPr>
          <w:sz w:val="24"/>
        </w:rPr>
        <w:t>compensatory</w:t>
      </w:r>
      <w:r>
        <w:rPr>
          <w:spacing w:val="-18"/>
          <w:sz w:val="24"/>
        </w:rPr>
        <w:t> </w:t>
      </w:r>
      <w:r>
        <w:rPr>
          <w:sz w:val="24"/>
        </w:rPr>
        <w:t>area)</w:t>
      </w:r>
      <w:r>
        <w:rPr>
          <w:spacing w:val="-19"/>
          <w:sz w:val="24"/>
        </w:rPr>
        <w:t> </w:t>
      </w:r>
      <w:r>
        <w:rPr>
          <w:sz w:val="24"/>
        </w:rPr>
        <w:t>to</w:t>
      </w:r>
      <w:r>
        <w:rPr>
          <w:spacing w:val="-20"/>
          <w:sz w:val="24"/>
        </w:rPr>
        <w:t> </w:t>
      </w:r>
      <w:r>
        <w:rPr>
          <w:sz w:val="24"/>
        </w:rPr>
        <w:t>be</w:t>
      </w:r>
      <w:r>
        <w:rPr>
          <w:spacing w:val="-18"/>
          <w:sz w:val="24"/>
        </w:rPr>
        <w:t> </w:t>
      </w:r>
      <w:r>
        <w:rPr>
          <w:sz w:val="24"/>
        </w:rPr>
        <w:t>constructed</w:t>
      </w:r>
      <w:r>
        <w:rPr>
          <w:spacing w:val="-19"/>
          <w:sz w:val="24"/>
        </w:rPr>
        <w:t> </w:t>
      </w:r>
      <w:r>
        <w:rPr>
          <w:sz w:val="24"/>
        </w:rPr>
        <w:t>on</w:t>
      </w:r>
      <w:r>
        <w:rPr>
          <w:spacing w:val="-19"/>
          <w:sz w:val="24"/>
        </w:rPr>
        <w:t> </w:t>
      </w:r>
      <w:r>
        <w:rPr>
          <w:sz w:val="24"/>
        </w:rPr>
        <w:t>owner’s</w:t>
      </w:r>
      <w:r>
        <w:rPr>
          <w:spacing w:val="-19"/>
          <w:sz w:val="24"/>
        </w:rPr>
        <w:t> </w:t>
      </w:r>
      <w:r>
        <w:rPr>
          <w:sz w:val="24"/>
        </w:rPr>
        <w:t>share of land as per ASR of the year of approval shall be paid to MCGM. The Development cess shall be in addition to development charges levied as per section 124 of MR&amp;TP Act 1966.</w:t>
      </w:r>
    </w:p>
    <w:p>
      <w:pPr>
        <w:pStyle w:val="BodyText"/>
        <w:jc w:val="left"/>
      </w:pPr>
    </w:p>
    <w:p>
      <w:pPr>
        <w:pStyle w:val="Heading5"/>
        <w:numPr>
          <w:ilvl w:val="1"/>
          <w:numId w:val="153"/>
        </w:numPr>
        <w:tabs>
          <w:tab w:pos="2092" w:val="left" w:leader="none"/>
        </w:tabs>
        <w:spacing w:line="240" w:lineRule="auto" w:before="0" w:after="0"/>
        <w:ind w:left="1769" w:right="772" w:firstLine="0"/>
        <w:jc w:val="both"/>
      </w:pPr>
      <w:r>
        <w:rPr/>
        <w:t>Compensation for development of infrastructure in lands handed over to MCGM and constructed BUA.</w:t>
      </w:r>
    </w:p>
    <w:p>
      <w:pPr>
        <w:pStyle w:val="ListParagraph"/>
        <w:numPr>
          <w:ilvl w:val="2"/>
          <w:numId w:val="153"/>
        </w:numPr>
        <w:tabs>
          <w:tab w:pos="2169" w:val="left" w:leader="none"/>
        </w:tabs>
        <w:spacing w:line="240" w:lineRule="auto" w:before="281" w:after="0"/>
        <w:ind w:left="2169" w:right="0" w:hanging="287"/>
        <w:jc w:val="left"/>
        <w:rPr>
          <w:sz w:val="24"/>
        </w:rPr>
      </w:pPr>
      <w:r>
        <w:rPr>
          <w:sz w:val="24"/>
        </w:rPr>
        <w:t>The</w:t>
      </w:r>
      <w:r>
        <w:rPr>
          <w:spacing w:val="-2"/>
          <w:sz w:val="24"/>
        </w:rPr>
        <w:t> </w:t>
      </w:r>
      <w:r>
        <w:rPr>
          <w:sz w:val="24"/>
        </w:rPr>
        <w:t>owner</w:t>
      </w:r>
      <w:r>
        <w:rPr>
          <w:spacing w:val="-1"/>
          <w:sz w:val="24"/>
        </w:rPr>
        <w:t> </w:t>
      </w:r>
      <w:r>
        <w:rPr>
          <w:sz w:val="24"/>
        </w:rPr>
        <w:t>shall</w:t>
      </w:r>
      <w:r>
        <w:rPr>
          <w:spacing w:val="-1"/>
          <w:sz w:val="24"/>
        </w:rPr>
        <w:t> </w:t>
      </w:r>
      <w:r>
        <w:rPr>
          <w:sz w:val="24"/>
        </w:rPr>
        <w:t>be</w:t>
      </w:r>
      <w:r>
        <w:rPr>
          <w:spacing w:val="-1"/>
          <w:sz w:val="24"/>
        </w:rPr>
        <w:t> </w:t>
      </w:r>
      <w:r>
        <w:rPr>
          <w:sz w:val="24"/>
        </w:rPr>
        <w:t>entitled</w:t>
      </w:r>
      <w:r>
        <w:rPr>
          <w:spacing w:val="-1"/>
          <w:sz w:val="24"/>
        </w:rPr>
        <w:t> </w:t>
      </w:r>
      <w:r>
        <w:rPr>
          <w:sz w:val="24"/>
        </w:rPr>
        <w:t>for</w:t>
      </w:r>
      <w:r>
        <w:rPr>
          <w:spacing w:val="-1"/>
          <w:sz w:val="24"/>
        </w:rPr>
        <w:t> </w:t>
      </w:r>
      <w:r>
        <w:rPr>
          <w:sz w:val="24"/>
        </w:rPr>
        <w:t>the</w:t>
      </w:r>
      <w:r>
        <w:rPr>
          <w:spacing w:val="-1"/>
          <w:sz w:val="24"/>
        </w:rPr>
        <w:t> </w:t>
      </w:r>
      <w:r>
        <w:rPr>
          <w:spacing w:val="-2"/>
          <w:sz w:val="24"/>
        </w:rPr>
        <w:t>following:</w:t>
      </w:r>
    </w:p>
    <w:p>
      <w:pPr>
        <w:pStyle w:val="BodyText"/>
        <w:spacing w:before="47"/>
        <w:jc w:val="left"/>
        <w:rPr>
          <w:sz w:val="20"/>
        </w:rPr>
      </w:pPr>
    </w:p>
    <w:tbl>
      <w:tblPr>
        <w:tblW w:w="0" w:type="auto"/>
        <w:jc w:val="left"/>
        <w:tblInd w:w="2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81"/>
        <w:gridCol w:w="419"/>
        <w:gridCol w:w="3866"/>
      </w:tblGrid>
      <w:tr>
        <w:trPr>
          <w:trHeight w:val="1291" w:hRule="atLeast"/>
        </w:trPr>
        <w:tc>
          <w:tcPr>
            <w:tcW w:w="3881" w:type="dxa"/>
          </w:tcPr>
          <w:p>
            <w:pPr>
              <w:pStyle w:val="TableParagraph"/>
              <w:ind w:left="50" w:right="106"/>
              <w:rPr>
                <w:sz w:val="22"/>
              </w:rPr>
            </w:pPr>
            <w:r>
              <w:rPr>
                <w:sz w:val="22"/>
              </w:rPr>
              <w:t>BUA</w:t>
            </w:r>
            <w:r>
              <w:rPr>
                <w:spacing w:val="-8"/>
                <w:sz w:val="22"/>
              </w:rPr>
              <w:t> </w:t>
            </w:r>
            <w:r>
              <w:rPr>
                <w:sz w:val="22"/>
              </w:rPr>
              <w:t>in</w:t>
            </w:r>
            <w:r>
              <w:rPr>
                <w:spacing w:val="-7"/>
                <w:sz w:val="22"/>
              </w:rPr>
              <w:t> </w:t>
            </w:r>
            <w:r>
              <w:rPr>
                <w:sz w:val="22"/>
              </w:rPr>
              <w:t>lieu</w:t>
            </w:r>
            <w:r>
              <w:rPr>
                <w:spacing w:val="-4"/>
                <w:sz w:val="22"/>
              </w:rPr>
              <w:t> </w:t>
            </w:r>
            <w:r>
              <w:rPr>
                <w:sz w:val="22"/>
              </w:rPr>
              <w:t>of</w:t>
            </w:r>
            <w:r>
              <w:rPr>
                <w:spacing w:val="-8"/>
                <w:sz w:val="22"/>
              </w:rPr>
              <w:t> </w:t>
            </w:r>
            <w:r>
              <w:rPr>
                <w:sz w:val="22"/>
              </w:rPr>
              <w:t>cost</w:t>
            </w:r>
            <w:r>
              <w:rPr>
                <w:spacing w:val="-6"/>
                <w:sz w:val="22"/>
              </w:rPr>
              <w:t> </w:t>
            </w:r>
            <w:r>
              <w:rPr>
                <w:sz w:val="22"/>
              </w:rPr>
              <w:t>of</w:t>
            </w:r>
            <w:r>
              <w:rPr>
                <w:spacing w:val="-8"/>
                <w:sz w:val="22"/>
              </w:rPr>
              <w:t> </w:t>
            </w:r>
            <w:r>
              <w:rPr>
                <w:sz w:val="22"/>
              </w:rPr>
              <w:t>construction of AH/Built up Amenities including entire infrastructure</w:t>
            </w:r>
          </w:p>
          <w:p>
            <w:pPr>
              <w:pStyle w:val="TableParagraph"/>
              <w:spacing w:line="256" w:lineRule="exact"/>
              <w:ind w:left="50" w:right="106"/>
              <w:rPr>
                <w:sz w:val="22"/>
              </w:rPr>
            </w:pPr>
            <w:r>
              <w:rPr>
                <w:sz w:val="22"/>
              </w:rPr>
              <w:t>development</w:t>
            </w:r>
            <w:r>
              <w:rPr>
                <w:spacing w:val="-10"/>
                <w:sz w:val="22"/>
              </w:rPr>
              <w:t> </w:t>
            </w:r>
            <w:r>
              <w:rPr>
                <w:sz w:val="22"/>
              </w:rPr>
              <w:t>for</w:t>
            </w:r>
            <w:r>
              <w:rPr>
                <w:spacing w:val="-11"/>
                <w:sz w:val="22"/>
              </w:rPr>
              <w:t> </w:t>
            </w:r>
            <w:r>
              <w:rPr>
                <w:sz w:val="22"/>
              </w:rPr>
              <w:t>MCGM</w:t>
            </w:r>
            <w:r>
              <w:rPr>
                <w:spacing w:val="-10"/>
                <w:sz w:val="22"/>
              </w:rPr>
              <w:t> </w:t>
            </w:r>
            <w:r>
              <w:rPr>
                <w:sz w:val="22"/>
              </w:rPr>
              <w:t>share</w:t>
            </w:r>
            <w:r>
              <w:rPr>
                <w:spacing w:val="-8"/>
                <w:sz w:val="22"/>
              </w:rPr>
              <w:t> </w:t>
            </w:r>
            <w:r>
              <w:rPr>
                <w:sz w:val="22"/>
              </w:rPr>
              <w:t>of </w:t>
            </w:r>
            <w:r>
              <w:rPr>
                <w:spacing w:val="-4"/>
                <w:sz w:val="22"/>
              </w:rPr>
              <w:t>Land</w:t>
            </w:r>
          </w:p>
        </w:tc>
        <w:tc>
          <w:tcPr>
            <w:tcW w:w="419" w:type="dxa"/>
          </w:tcPr>
          <w:p>
            <w:pPr>
              <w:pStyle w:val="TableParagraph"/>
              <w:rPr>
                <w:sz w:val="22"/>
              </w:rPr>
            </w:pPr>
          </w:p>
          <w:p>
            <w:pPr>
              <w:pStyle w:val="TableParagraph"/>
              <w:rPr>
                <w:sz w:val="22"/>
              </w:rPr>
            </w:pPr>
          </w:p>
          <w:p>
            <w:pPr>
              <w:pStyle w:val="TableParagraph"/>
              <w:ind w:left="134"/>
              <w:rPr>
                <w:sz w:val="22"/>
              </w:rPr>
            </w:pPr>
            <w:r>
              <w:rPr>
                <w:spacing w:val="-10"/>
                <w:sz w:val="22"/>
              </w:rPr>
              <w:t>=</w:t>
            </w:r>
          </w:p>
        </w:tc>
        <w:tc>
          <w:tcPr>
            <w:tcW w:w="3866" w:type="dxa"/>
          </w:tcPr>
          <w:p>
            <w:pPr>
              <w:pStyle w:val="TableParagraph"/>
              <w:ind w:left="152" w:right="47"/>
              <w:rPr>
                <w:sz w:val="22"/>
              </w:rPr>
            </w:pPr>
            <w:r>
              <w:rPr>
                <w:sz w:val="22"/>
              </w:rPr>
              <w:t>2.0[Rate</w:t>
            </w:r>
            <w:r>
              <w:rPr>
                <w:spacing w:val="-6"/>
                <w:sz w:val="22"/>
              </w:rPr>
              <w:t> </w:t>
            </w:r>
            <w:r>
              <w:rPr>
                <w:sz w:val="22"/>
              </w:rPr>
              <w:t>of</w:t>
            </w:r>
            <w:r>
              <w:rPr>
                <w:spacing w:val="-9"/>
                <w:sz w:val="22"/>
              </w:rPr>
              <w:t> </w:t>
            </w:r>
            <w:r>
              <w:rPr>
                <w:sz w:val="22"/>
              </w:rPr>
              <w:t>construction</w:t>
            </w:r>
            <w:r>
              <w:rPr>
                <w:spacing w:val="-8"/>
                <w:sz w:val="22"/>
              </w:rPr>
              <w:t> </w:t>
            </w:r>
            <w:r>
              <w:rPr>
                <w:sz w:val="22"/>
              </w:rPr>
              <w:t>per</w:t>
            </w:r>
            <w:r>
              <w:rPr>
                <w:spacing w:val="-9"/>
                <w:sz w:val="22"/>
              </w:rPr>
              <w:t> </w:t>
            </w:r>
            <w:r>
              <w:rPr>
                <w:sz w:val="22"/>
              </w:rPr>
              <w:t>sq.</w:t>
            </w:r>
            <w:r>
              <w:rPr>
                <w:spacing w:val="-10"/>
                <w:sz w:val="22"/>
              </w:rPr>
              <w:t> </w:t>
            </w:r>
            <w:r>
              <w:rPr>
                <w:sz w:val="22"/>
              </w:rPr>
              <w:t>m as per ASR rate/rate of developed land per sq. m as per ASR(for FSI 1)]x BUA of</w:t>
            </w:r>
            <w:r>
              <w:rPr>
                <w:spacing w:val="-1"/>
                <w:sz w:val="22"/>
              </w:rPr>
              <w:t> </w:t>
            </w:r>
            <w:r>
              <w:rPr>
                <w:sz w:val="22"/>
              </w:rPr>
              <w:t>all amenities &amp; all AH</w:t>
            </w:r>
          </w:p>
        </w:tc>
      </w:tr>
    </w:tbl>
    <w:p>
      <w:pPr>
        <w:pStyle w:val="BodyText"/>
        <w:jc w:val="left"/>
      </w:pPr>
    </w:p>
    <w:p>
      <w:pPr>
        <w:pStyle w:val="ListParagraph"/>
        <w:numPr>
          <w:ilvl w:val="2"/>
          <w:numId w:val="153"/>
        </w:numPr>
        <w:tabs>
          <w:tab w:pos="2153" w:val="left" w:leader="none"/>
          <w:tab w:pos="2260" w:val="left" w:leader="none"/>
        </w:tabs>
        <w:spacing w:line="240" w:lineRule="auto" w:before="0" w:after="0"/>
        <w:ind w:left="2153" w:right="770" w:hanging="262"/>
        <w:jc w:val="both"/>
        <w:rPr>
          <w:sz w:val="24"/>
        </w:rPr>
      </w:pPr>
      <w:r>
        <w:rPr>
          <w:sz w:val="24"/>
        </w:rPr>
        <w:tab/>
        <w:t>The ratio of BUA to carpet area shall be considered as 1.2</w:t>
      </w:r>
      <w:r>
        <w:rPr>
          <w:spacing w:val="40"/>
          <w:sz w:val="24"/>
        </w:rPr>
        <w:t> </w:t>
      </w:r>
      <w:r>
        <w:rPr>
          <w:sz w:val="22"/>
        </w:rPr>
        <w:t>for considering the </w:t>
      </w:r>
      <w:r>
        <w:rPr>
          <w:sz w:val="24"/>
        </w:rPr>
        <w:t>various requirements as per these Regulations.</w:t>
      </w:r>
    </w:p>
    <w:p>
      <w:pPr>
        <w:pStyle w:val="ListParagraph"/>
        <w:numPr>
          <w:ilvl w:val="2"/>
          <w:numId w:val="153"/>
        </w:numPr>
        <w:tabs>
          <w:tab w:pos="2153" w:val="left" w:leader="none"/>
          <w:tab w:pos="2248" w:val="left" w:leader="none"/>
        </w:tabs>
        <w:spacing w:line="240" w:lineRule="auto" w:before="1" w:after="0"/>
        <w:ind w:left="2153" w:right="768" w:hanging="262"/>
        <w:jc w:val="both"/>
        <w:rPr>
          <w:sz w:val="24"/>
        </w:rPr>
      </w:pPr>
      <w:r>
        <w:rPr>
          <w:sz w:val="24"/>
        </w:rPr>
        <w:tab/>
        <w:t>Area covered under staircase/lift/staircase and lift lobby for AH tenements/Amenities shall not be counted in FSI/BUA and shall be without charging premium.</w:t>
      </w:r>
    </w:p>
    <w:p>
      <w:pPr>
        <w:pStyle w:val="ListParagraph"/>
        <w:numPr>
          <w:ilvl w:val="2"/>
          <w:numId w:val="153"/>
        </w:numPr>
        <w:tabs>
          <w:tab w:pos="2153" w:val="left" w:leader="none"/>
          <w:tab w:pos="2202" w:val="left" w:leader="none"/>
        </w:tabs>
        <w:spacing w:line="240" w:lineRule="auto" w:before="0" w:after="0"/>
        <w:ind w:left="2153" w:right="768" w:hanging="262"/>
        <w:jc w:val="both"/>
        <w:rPr>
          <w:sz w:val="24"/>
        </w:rPr>
      </w:pPr>
      <w:r>
        <w:rPr>
          <w:sz w:val="24"/>
        </w:rPr>
        <w:t>Commencement</w:t>
      </w:r>
      <w:r>
        <w:rPr>
          <w:spacing w:val="40"/>
          <w:sz w:val="24"/>
        </w:rPr>
        <w:t> </w:t>
      </w:r>
      <w:r>
        <w:rPr>
          <w:sz w:val="24"/>
        </w:rPr>
        <w:t>Certificate beyond 75 % of the admissible BUA shall not be issued unless the infrastructure development in the entire layout and construction of AH tenements/Amenities is completed&amp; occupation is granted.</w:t>
      </w:r>
    </w:p>
    <w:p>
      <w:pPr>
        <w:pStyle w:val="ListParagraph"/>
        <w:numPr>
          <w:ilvl w:val="2"/>
          <w:numId w:val="153"/>
        </w:numPr>
        <w:tabs>
          <w:tab w:pos="2153" w:val="left" w:leader="none"/>
          <w:tab w:pos="2195" w:val="left" w:leader="none"/>
        </w:tabs>
        <w:spacing w:line="240" w:lineRule="auto" w:before="1" w:after="0"/>
        <w:ind w:left="2153" w:right="766" w:hanging="262"/>
        <w:jc w:val="both"/>
        <w:rPr>
          <w:sz w:val="24"/>
        </w:rPr>
      </w:pPr>
      <w:r>
        <w:rPr>
          <w:sz w:val="24"/>
        </w:rPr>
        <w:t>The</w:t>
      </w:r>
      <w:r>
        <w:rPr>
          <w:sz w:val="24"/>
        </w:rPr>
        <w:t> Commencement Certificate beyond 75 % of the admissible BUA may be released once the Occupation Certificate for AH tenements/Amenities is granted.</w:t>
      </w:r>
    </w:p>
    <w:p>
      <w:pPr>
        <w:pStyle w:val="ListParagraph"/>
        <w:numPr>
          <w:ilvl w:val="2"/>
          <w:numId w:val="153"/>
        </w:numPr>
        <w:tabs>
          <w:tab w:pos="2142" w:val="left" w:leader="none"/>
          <w:tab w:pos="2153" w:val="left" w:leader="none"/>
        </w:tabs>
        <w:spacing w:line="240" w:lineRule="auto" w:before="0" w:after="0"/>
        <w:ind w:left="2153" w:right="766" w:hanging="262"/>
        <w:jc w:val="both"/>
        <w:rPr>
          <w:sz w:val="24"/>
        </w:rPr>
      </w:pPr>
      <w:r>
        <w:rPr>
          <w:sz w:val="24"/>
        </w:rPr>
        <w:t>BUA in lieu of development of infrastructure and construction of AH tenements/Amenities,</w:t>
      </w:r>
      <w:r>
        <w:rPr>
          <w:spacing w:val="-4"/>
          <w:sz w:val="24"/>
        </w:rPr>
        <w:t> </w:t>
      </w:r>
      <w:r>
        <w:rPr>
          <w:sz w:val="24"/>
        </w:rPr>
        <w:t>as</w:t>
      </w:r>
      <w:r>
        <w:rPr>
          <w:spacing w:val="-4"/>
          <w:sz w:val="24"/>
        </w:rPr>
        <w:t> </w:t>
      </w:r>
      <w:r>
        <w:rPr>
          <w:sz w:val="24"/>
        </w:rPr>
        <w:t>detailed</w:t>
      </w:r>
      <w:r>
        <w:rPr>
          <w:spacing w:val="-4"/>
          <w:sz w:val="24"/>
        </w:rPr>
        <w:t> </w:t>
      </w:r>
      <w:r>
        <w:rPr>
          <w:sz w:val="24"/>
        </w:rPr>
        <w:t>above</w:t>
      </w:r>
      <w:r>
        <w:rPr>
          <w:spacing w:val="-9"/>
          <w:sz w:val="24"/>
        </w:rPr>
        <w:t> </w:t>
      </w:r>
      <w:r>
        <w:rPr>
          <w:sz w:val="24"/>
        </w:rPr>
        <w:t>may</w:t>
      </w:r>
      <w:r>
        <w:rPr>
          <w:spacing w:val="-4"/>
          <w:sz w:val="24"/>
        </w:rPr>
        <w:t> </w:t>
      </w:r>
      <w:r>
        <w:rPr>
          <w:sz w:val="24"/>
        </w:rPr>
        <w:t>be</w:t>
      </w:r>
      <w:r>
        <w:rPr>
          <w:spacing w:val="-4"/>
          <w:sz w:val="24"/>
        </w:rPr>
        <w:t> </w:t>
      </w:r>
      <w:r>
        <w:rPr>
          <w:sz w:val="24"/>
        </w:rPr>
        <w:t>released</w:t>
      </w:r>
      <w:r>
        <w:rPr>
          <w:spacing w:val="-4"/>
          <w:sz w:val="24"/>
        </w:rPr>
        <w:t> </w:t>
      </w:r>
      <w:r>
        <w:rPr>
          <w:sz w:val="24"/>
        </w:rPr>
        <w:t>in</w:t>
      </w:r>
      <w:r>
        <w:rPr>
          <w:spacing w:val="-7"/>
          <w:sz w:val="24"/>
        </w:rPr>
        <w:t> </w:t>
      </w:r>
      <w:r>
        <w:rPr>
          <w:sz w:val="24"/>
        </w:rPr>
        <w:t>proportion of 0.50 sale (incentive) area: 1 AH/Amenity area and the construction shall progress simultaneously in the said proportion, and 100% of incentive area in lieu of AH tenements/Amenities&amp; infrastructure development can be released only after handing over of entire AH tenements/Amenities as per (e) above.</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2"/>
          <w:numId w:val="153"/>
        </w:numPr>
        <w:tabs>
          <w:tab w:pos="2153" w:val="left" w:leader="none"/>
          <w:tab w:pos="2200" w:val="left" w:leader="none"/>
        </w:tabs>
        <w:spacing w:line="240" w:lineRule="auto" w:before="249" w:after="0"/>
        <w:ind w:left="2153" w:right="766" w:hanging="262"/>
        <w:jc w:val="both"/>
        <w:rPr>
          <w:sz w:val="24"/>
        </w:rPr>
      </w:pPr>
      <w:r>
        <w:rPr>
          <w:sz w:val="22"/>
        </w:rPr>
        <w:t>Consumption</w:t>
      </w:r>
      <w:r>
        <w:rPr>
          <w:spacing w:val="40"/>
          <w:sz w:val="22"/>
        </w:rPr>
        <w:t> </w:t>
      </w:r>
      <w:r>
        <w:rPr>
          <w:sz w:val="22"/>
        </w:rPr>
        <w:t>of </w:t>
      </w:r>
      <w:r>
        <w:rPr>
          <w:sz w:val="24"/>
        </w:rPr>
        <w:t>FSI on owner’s share of land shall be restricted to 4 only. TDR in lieu of unconsumed incentive BUA, as per provision (a) above in proportion to handing over of such completed AH tenements/Amenities</w:t>
      </w:r>
      <w:r>
        <w:rPr>
          <w:spacing w:val="-19"/>
          <w:sz w:val="24"/>
        </w:rPr>
        <w:t> </w:t>
      </w:r>
      <w:r>
        <w:rPr>
          <w:sz w:val="24"/>
        </w:rPr>
        <w:t>may</w:t>
      </w:r>
      <w:r>
        <w:rPr>
          <w:spacing w:val="-19"/>
          <w:sz w:val="24"/>
        </w:rPr>
        <w:t> </w:t>
      </w:r>
      <w:r>
        <w:rPr>
          <w:sz w:val="24"/>
        </w:rPr>
        <w:t>be</w:t>
      </w:r>
      <w:r>
        <w:rPr>
          <w:spacing w:val="-19"/>
          <w:sz w:val="24"/>
        </w:rPr>
        <w:t> </w:t>
      </w:r>
      <w:r>
        <w:rPr>
          <w:sz w:val="24"/>
        </w:rPr>
        <w:t>allowed</w:t>
      </w:r>
      <w:r>
        <w:rPr>
          <w:spacing w:val="-19"/>
          <w:sz w:val="24"/>
        </w:rPr>
        <w:t> </w:t>
      </w:r>
      <w:r>
        <w:rPr>
          <w:sz w:val="24"/>
        </w:rPr>
        <w:t>at</w:t>
      </w:r>
      <w:r>
        <w:rPr>
          <w:spacing w:val="-19"/>
          <w:sz w:val="24"/>
        </w:rPr>
        <w:t> </w:t>
      </w:r>
      <w:r>
        <w:rPr>
          <w:sz w:val="24"/>
        </w:rPr>
        <w:t>the</w:t>
      </w:r>
      <w:r>
        <w:rPr>
          <w:spacing w:val="-19"/>
          <w:sz w:val="24"/>
        </w:rPr>
        <w:t> </w:t>
      </w:r>
      <w:r>
        <w:rPr>
          <w:sz w:val="24"/>
        </w:rPr>
        <w:t>option</w:t>
      </w:r>
      <w:r>
        <w:rPr>
          <w:spacing w:val="-19"/>
          <w:sz w:val="24"/>
        </w:rPr>
        <w:t> </w:t>
      </w:r>
      <w:r>
        <w:rPr>
          <w:sz w:val="24"/>
        </w:rPr>
        <w:t>of</w:t>
      </w:r>
      <w:r>
        <w:rPr>
          <w:spacing w:val="-19"/>
          <w:sz w:val="24"/>
        </w:rPr>
        <w:t> </w:t>
      </w:r>
      <w:r>
        <w:rPr>
          <w:sz w:val="24"/>
        </w:rPr>
        <w:t>owner/developer. However, 20 % of such admissible TDR for unconsumed BUA shall be released only after handing over the entire area of AH tenements/Amenities to MCGM.</w:t>
      </w:r>
    </w:p>
    <w:p>
      <w:pPr>
        <w:pStyle w:val="BodyText"/>
        <w:spacing w:before="2"/>
        <w:jc w:val="left"/>
      </w:pPr>
    </w:p>
    <w:p>
      <w:pPr>
        <w:pStyle w:val="Heading5"/>
        <w:numPr>
          <w:ilvl w:val="0"/>
          <w:numId w:val="153"/>
        </w:numPr>
        <w:tabs>
          <w:tab w:pos="2462" w:val="left" w:leader="none"/>
        </w:tabs>
        <w:spacing w:line="240" w:lineRule="auto" w:before="0" w:after="0"/>
        <w:ind w:left="2050" w:right="770" w:firstLine="0"/>
        <w:jc w:val="left"/>
      </w:pPr>
      <w:r>
        <w:rPr/>
        <w:t>Land</w:t>
      </w:r>
      <w:r>
        <w:rPr>
          <w:spacing w:val="-19"/>
        </w:rPr>
        <w:t> </w:t>
      </w:r>
      <w:r>
        <w:rPr/>
        <w:t>of</w:t>
      </w:r>
      <w:r>
        <w:rPr>
          <w:spacing w:val="-19"/>
        </w:rPr>
        <w:t> </w:t>
      </w:r>
      <w:r>
        <w:rPr/>
        <w:t>Govt.</w:t>
      </w:r>
      <w:r>
        <w:rPr>
          <w:spacing w:val="-19"/>
        </w:rPr>
        <w:t> </w:t>
      </w:r>
      <w:r>
        <w:rPr/>
        <w:t>/Semi.</w:t>
      </w:r>
      <w:r>
        <w:rPr>
          <w:spacing w:val="-19"/>
        </w:rPr>
        <w:t> </w:t>
      </w:r>
      <w:r>
        <w:rPr/>
        <w:t>Govt.</w:t>
      </w:r>
      <w:r>
        <w:rPr>
          <w:spacing w:val="-19"/>
        </w:rPr>
        <w:t> </w:t>
      </w:r>
      <w:r>
        <w:rPr/>
        <w:t>/Appropriate</w:t>
      </w:r>
      <w:r>
        <w:rPr>
          <w:spacing w:val="-19"/>
        </w:rPr>
        <w:t> </w:t>
      </w:r>
      <w:r>
        <w:rPr/>
        <w:t>Authority</w:t>
      </w:r>
      <w:r>
        <w:rPr>
          <w:spacing w:val="-19"/>
        </w:rPr>
        <w:t> </w:t>
      </w:r>
      <w:r>
        <w:rPr/>
        <w:t>appointed</w:t>
      </w:r>
      <w:r>
        <w:rPr>
          <w:spacing w:val="-19"/>
        </w:rPr>
        <w:t> </w:t>
      </w:r>
      <w:r>
        <w:rPr/>
        <w:t>by Govt. falling in SDZ1. General</w:t>
      </w:r>
    </w:p>
    <w:p>
      <w:pPr>
        <w:pStyle w:val="BodyText"/>
        <w:spacing w:line="276" w:lineRule="auto" w:before="236"/>
        <w:ind w:left="2050" w:right="766" w:firstLine="720"/>
      </w:pPr>
      <w:r>
        <w:rPr/>
        <w:t>Notwithstanding anything contained in these Regulations for lands of Govt./Semi-Govt./Appropriate Authority falling in SDZ, the provision of this Regulation shall apply to any contiguous, unbroken and uninterrupted piece of land having area not less than 2.0 ha, and not disqualified from development on account of other laws or regulations that are binding. . However, the proposals shall be sanctioned with prior approval of Government.</w:t>
      </w:r>
    </w:p>
    <w:p>
      <w:pPr>
        <w:pStyle w:val="Heading5"/>
        <w:numPr>
          <w:ilvl w:val="0"/>
          <w:numId w:val="4"/>
        </w:numPr>
        <w:tabs>
          <w:tab w:pos="2515" w:val="left" w:leader="none"/>
        </w:tabs>
        <w:spacing w:line="240" w:lineRule="auto" w:before="205" w:after="0"/>
        <w:ind w:left="2515" w:right="0" w:hanging="321"/>
        <w:jc w:val="left"/>
      </w:pPr>
      <w:r>
        <w:rPr/>
        <w:t>Planning</w:t>
      </w:r>
      <w:r>
        <w:rPr>
          <w:spacing w:val="-5"/>
        </w:rPr>
        <w:t> </w:t>
      </w:r>
      <w:r>
        <w:rPr/>
        <w:t>Considerations</w:t>
      </w:r>
      <w:r>
        <w:rPr>
          <w:spacing w:val="-4"/>
        </w:rPr>
        <w:t> </w:t>
      </w:r>
      <w:r>
        <w:rPr/>
        <w:t>/Submission</w:t>
      </w:r>
      <w:r>
        <w:rPr>
          <w:spacing w:val="-4"/>
        </w:rPr>
        <w:t> </w:t>
      </w:r>
      <w:r>
        <w:rPr/>
        <w:t>of</w:t>
      </w:r>
      <w:r>
        <w:rPr>
          <w:spacing w:val="-4"/>
        </w:rPr>
        <w:t> </w:t>
      </w:r>
      <w:r>
        <w:rPr>
          <w:spacing w:val="-2"/>
        </w:rPr>
        <w:t>Proposal</w:t>
      </w:r>
    </w:p>
    <w:p>
      <w:pPr>
        <w:pStyle w:val="BodyText"/>
        <w:spacing w:line="276" w:lineRule="auto" w:before="236" w:after="44"/>
        <w:ind w:left="2050" w:right="766"/>
      </w:pPr>
      <w:r>
        <w:rPr/>
        <w:t>The</w:t>
      </w:r>
      <w:r>
        <w:rPr>
          <w:spacing w:val="-8"/>
        </w:rPr>
        <w:t> </w:t>
      </w:r>
      <w:r>
        <w:rPr/>
        <w:t>proposal</w:t>
      </w:r>
      <w:r>
        <w:rPr>
          <w:spacing w:val="-6"/>
        </w:rPr>
        <w:t> </w:t>
      </w:r>
      <w:r>
        <w:rPr/>
        <w:t>shall</w:t>
      </w:r>
      <w:r>
        <w:rPr>
          <w:spacing w:val="-8"/>
        </w:rPr>
        <w:t> </w:t>
      </w:r>
      <w:r>
        <w:rPr/>
        <w:t>be</w:t>
      </w:r>
      <w:r>
        <w:rPr>
          <w:spacing w:val="-8"/>
        </w:rPr>
        <w:t> </w:t>
      </w:r>
      <w:r>
        <w:rPr/>
        <w:t>submitted</w:t>
      </w:r>
      <w:r>
        <w:rPr>
          <w:spacing w:val="-8"/>
        </w:rPr>
        <w:t> </w:t>
      </w:r>
      <w:r>
        <w:rPr/>
        <w:t>containing</w:t>
      </w:r>
      <w:r>
        <w:rPr>
          <w:spacing w:val="-8"/>
        </w:rPr>
        <w:t> </w:t>
      </w:r>
      <w:r>
        <w:rPr/>
        <w:t>the</w:t>
      </w:r>
      <w:r>
        <w:rPr>
          <w:spacing w:val="-8"/>
        </w:rPr>
        <w:t> </w:t>
      </w:r>
      <w:r>
        <w:rPr/>
        <w:t>demand</w:t>
      </w:r>
      <w:r>
        <w:rPr>
          <w:spacing w:val="-8"/>
        </w:rPr>
        <w:t> </w:t>
      </w:r>
      <w:r>
        <w:rPr/>
        <w:t>assessment</w:t>
      </w:r>
      <w:r>
        <w:rPr>
          <w:spacing w:val="-8"/>
        </w:rPr>
        <w:t> </w:t>
      </w:r>
      <w:r>
        <w:rPr/>
        <w:t>for infrastructure such as roads, water supply, sewerage and storm water drains along with clearly earmarking the area for Public Open Spaces (POS), Affordable Housing (AH), Other Amenities(OA), (viz. </w:t>
      </w:r>
      <w:r>
        <w:rPr/>
        <w:t>Education, Health &amp; Social Amenities) and area for other development i.e. Govt./Semi-Govt./Appropriate Authority’s share of land. If OA/POS to be handed over to MCGM and AH are not abutting the municipal road, the</w:t>
      </w:r>
      <w:r>
        <w:rPr>
          <w:spacing w:val="-1"/>
        </w:rPr>
        <w:t> </w:t>
      </w:r>
      <w:r>
        <w:rPr/>
        <w:t>same</w:t>
      </w:r>
      <w:r>
        <w:rPr>
          <w:spacing w:val="-1"/>
        </w:rPr>
        <w:t> </w:t>
      </w:r>
      <w:r>
        <w:rPr/>
        <w:t>shall</w:t>
      </w:r>
      <w:r>
        <w:rPr>
          <w:spacing w:val="-1"/>
        </w:rPr>
        <w:t> </w:t>
      </w:r>
      <w:r>
        <w:rPr/>
        <w:t>be</w:t>
      </w:r>
      <w:r>
        <w:rPr>
          <w:spacing w:val="-4"/>
        </w:rPr>
        <w:t> </w:t>
      </w:r>
      <w:r>
        <w:rPr/>
        <w:t>provided</w:t>
      </w:r>
      <w:r>
        <w:rPr>
          <w:spacing w:val="-1"/>
        </w:rPr>
        <w:t> </w:t>
      </w:r>
      <w:r>
        <w:rPr/>
        <w:t>with</w:t>
      </w:r>
      <w:r>
        <w:rPr>
          <w:spacing w:val="-1"/>
        </w:rPr>
        <w:t> </w:t>
      </w:r>
      <w:r>
        <w:rPr/>
        <w:t>uninterrupted</w:t>
      </w:r>
      <w:r>
        <w:rPr>
          <w:spacing w:val="-1"/>
        </w:rPr>
        <w:t> </w:t>
      </w:r>
      <w:r>
        <w:rPr/>
        <w:t>access</w:t>
      </w:r>
      <w:r>
        <w:rPr>
          <w:spacing w:val="-1"/>
        </w:rPr>
        <w:t> </w:t>
      </w:r>
      <w:r>
        <w:rPr/>
        <w:t>as</w:t>
      </w:r>
      <w:r>
        <w:rPr>
          <w:spacing w:val="-1"/>
        </w:rPr>
        <w:t> </w:t>
      </w:r>
      <w:r>
        <w:rPr/>
        <w:t>per</w:t>
      </w:r>
      <w:r>
        <w:rPr>
          <w:spacing w:val="-6"/>
        </w:rPr>
        <w:t> </w:t>
      </w:r>
      <w:r>
        <w:rPr/>
        <w:t>table</w:t>
      </w:r>
      <w:r>
        <w:rPr>
          <w:spacing w:val="-1"/>
        </w:rPr>
        <w:t> </w:t>
      </w:r>
      <w:r>
        <w:rPr/>
        <w:t>no</w:t>
      </w:r>
      <w:r>
        <w:rPr>
          <w:spacing w:val="-1"/>
        </w:rPr>
        <w:t> </w:t>
      </w:r>
      <w:r>
        <w:rPr/>
        <w:t>7 of Regulation No 23(1).The area of the land after deduction of the area covered under road/uninterrupted access proposed as above, shall be apportioned among Govt./Semi-Govt./Appropriate Authority’s Share, AH, POS, and OA as</w:t>
      </w:r>
      <w:r>
        <w:rPr>
          <w:spacing w:val="-2"/>
        </w:rPr>
        <w:t> </w:t>
      </w:r>
      <w:r>
        <w:rPr/>
        <w:t>detailed below. These roads/uninterrupted access shall be handed over to MCGM and will be eligible for additional BUA equal</w:t>
      </w:r>
      <w:r>
        <w:rPr>
          <w:spacing w:val="-3"/>
        </w:rPr>
        <w:t> </w:t>
      </w:r>
      <w:r>
        <w:rPr/>
        <w:t>to</w:t>
      </w:r>
      <w:r>
        <w:rPr>
          <w:spacing w:val="-3"/>
        </w:rPr>
        <w:t> </w:t>
      </w:r>
      <w:r>
        <w:rPr/>
        <w:t>area</w:t>
      </w:r>
      <w:r>
        <w:rPr>
          <w:spacing w:val="-3"/>
        </w:rPr>
        <w:t> </w:t>
      </w:r>
      <w:r>
        <w:rPr/>
        <w:t>of</w:t>
      </w:r>
      <w:r>
        <w:rPr>
          <w:spacing w:val="-3"/>
        </w:rPr>
        <w:t> </w:t>
      </w:r>
      <w:r>
        <w:rPr/>
        <w:t>land</w:t>
      </w:r>
      <w:r>
        <w:rPr>
          <w:spacing w:val="-3"/>
        </w:rPr>
        <w:t> </w:t>
      </w:r>
      <w:r>
        <w:rPr/>
        <w:t>as</w:t>
      </w:r>
      <w:r>
        <w:rPr>
          <w:spacing w:val="-3"/>
        </w:rPr>
        <w:t> </w:t>
      </w:r>
      <w:r>
        <w:rPr/>
        <w:t>surrendered/transferred</w:t>
      </w:r>
      <w:r>
        <w:rPr>
          <w:spacing w:val="-3"/>
        </w:rPr>
        <w:t> </w:t>
      </w:r>
      <w:r>
        <w:rPr/>
        <w:t>over</w:t>
      </w:r>
      <w:r>
        <w:rPr>
          <w:spacing w:val="-3"/>
        </w:rPr>
        <w:t> </w:t>
      </w:r>
      <w:r>
        <w:rPr/>
        <w:t>and</w:t>
      </w:r>
      <w:r>
        <w:rPr>
          <w:spacing w:val="-3"/>
        </w:rPr>
        <w:t> </w:t>
      </w:r>
      <w:r>
        <w:rPr/>
        <w:t>above</w:t>
      </w:r>
      <w:r>
        <w:rPr>
          <w:spacing w:val="-3"/>
        </w:rPr>
        <w:t> </w:t>
      </w:r>
      <w:r>
        <w:rPr/>
        <w:t>FSI as stipulated below in Sr. No. 4</w:t>
      </w:r>
    </w:p>
    <w:tbl>
      <w:tblPr>
        <w:tblW w:w="0" w:type="auto"/>
        <w:jc w:val="left"/>
        <w:tblInd w:w="2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7"/>
        <w:gridCol w:w="1964"/>
        <w:gridCol w:w="1407"/>
        <w:gridCol w:w="1433"/>
        <w:gridCol w:w="1407"/>
        <w:gridCol w:w="1738"/>
      </w:tblGrid>
      <w:tr>
        <w:trPr>
          <w:trHeight w:val="1449" w:hRule="atLeast"/>
        </w:trPr>
        <w:tc>
          <w:tcPr>
            <w:tcW w:w="557" w:type="dxa"/>
          </w:tcPr>
          <w:p>
            <w:pPr>
              <w:pStyle w:val="TableParagraph"/>
              <w:spacing w:before="1"/>
              <w:ind w:left="105" w:right="93"/>
              <w:rPr>
                <w:sz w:val="24"/>
              </w:rPr>
            </w:pPr>
            <w:r>
              <w:rPr>
                <w:spacing w:val="-4"/>
                <w:sz w:val="24"/>
              </w:rPr>
              <w:t>Sr. </w:t>
            </w:r>
            <w:r>
              <w:rPr>
                <w:spacing w:val="-5"/>
                <w:sz w:val="24"/>
              </w:rPr>
              <w:t>No</w:t>
            </w:r>
          </w:p>
        </w:tc>
        <w:tc>
          <w:tcPr>
            <w:tcW w:w="1964" w:type="dxa"/>
          </w:tcPr>
          <w:p>
            <w:pPr>
              <w:pStyle w:val="TableParagraph"/>
              <w:spacing w:before="1"/>
              <w:ind w:left="107"/>
              <w:rPr>
                <w:sz w:val="24"/>
              </w:rPr>
            </w:pPr>
            <w:r>
              <w:rPr>
                <w:sz w:val="24"/>
              </w:rPr>
              <w:t>Plot </w:t>
            </w:r>
            <w:r>
              <w:rPr>
                <w:spacing w:val="-4"/>
                <w:sz w:val="24"/>
              </w:rPr>
              <w:t>Area</w:t>
            </w:r>
          </w:p>
        </w:tc>
        <w:tc>
          <w:tcPr>
            <w:tcW w:w="1407" w:type="dxa"/>
          </w:tcPr>
          <w:p>
            <w:pPr>
              <w:pStyle w:val="TableParagraph"/>
              <w:spacing w:line="273" w:lineRule="auto" w:before="40"/>
              <w:ind w:left="215" w:hanging="108"/>
              <w:rPr>
                <w:sz w:val="24"/>
              </w:rPr>
            </w:pPr>
            <w:r>
              <w:rPr>
                <w:spacing w:val="-2"/>
                <w:sz w:val="24"/>
              </w:rPr>
              <w:t>Affordable Housing</w:t>
            </w:r>
          </w:p>
        </w:tc>
        <w:tc>
          <w:tcPr>
            <w:tcW w:w="1433" w:type="dxa"/>
          </w:tcPr>
          <w:p>
            <w:pPr>
              <w:pStyle w:val="TableParagraph"/>
              <w:spacing w:before="42"/>
              <w:ind w:left="303" w:right="296" w:firstLine="45"/>
              <w:jc w:val="both"/>
              <w:rPr>
                <w:sz w:val="24"/>
              </w:rPr>
            </w:pPr>
            <w:r>
              <w:rPr>
                <w:spacing w:val="-2"/>
                <w:sz w:val="24"/>
              </w:rPr>
              <w:t>Public </w:t>
            </w:r>
            <w:r>
              <w:rPr>
                <w:spacing w:val="-4"/>
                <w:sz w:val="24"/>
              </w:rPr>
              <w:t>Open </w:t>
            </w:r>
            <w:r>
              <w:rPr>
                <w:spacing w:val="-2"/>
                <w:sz w:val="24"/>
              </w:rPr>
              <w:t>Spaces</w:t>
            </w:r>
          </w:p>
        </w:tc>
        <w:tc>
          <w:tcPr>
            <w:tcW w:w="1407" w:type="dxa"/>
          </w:tcPr>
          <w:p>
            <w:pPr>
              <w:pStyle w:val="TableParagraph"/>
              <w:spacing w:before="42"/>
              <w:ind w:left="123" w:firstLine="242"/>
              <w:rPr>
                <w:sz w:val="24"/>
              </w:rPr>
            </w:pPr>
            <w:r>
              <w:rPr>
                <w:spacing w:val="-2"/>
                <w:sz w:val="24"/>
              </w:rPr>
              <w:t>Other Amenities</w:t>
            </w:r>
          </w:p>
        </w:tc>
        <w:tc>
          <w:tcPr>
            <w:tcW w:w="1738" w:type="dxa"/>
          </w:tcPr>
          <w:p>
            <w:pPr>
              <w:pStyle w:val="TableParagraph"/>
              <w:tabs>
                <w:tab w:pos="1311" w:val="left" w:leader="none"/>
              </w:tabs>
              <w:spacing w:before="1"/>
              <w:ind w:left="107" w:right="97"/>
              <w:rPr>
                <w:sz w:val="24"/>
              </w:rPr>
            </w:pPr>
            <w:r>
              <w:rPr>
                <w:spacing w:val="-4"/>
                <w:sz w:val="24"/>
              </w:rPr>
              <w:t>Area</w:t>
            </w:r>
            <w:r>
              <w:rPr>
                <w:sz w:val="24"/>
              </w:rPr>
              <w:tab/>
            </w:r>
            <w:r>
              <w:rPr>
                <w:spacing w:val="-4"/>
                <w:sz w:val="24"/>
              </w:rPr>
              <w:t>for </w:t>
            </w:r>
            <w:r>
              <w:rPr>
                <w:spacing w:val="-2"/>
                <w:sz w:val="24"/>
              </w:rPr>
              <w:t>Other Development</w:t>
            </w:r>
          </w:p>
        </w:tc>
      </w:tr>
    </w:tbl>
    <w:p>
      <w:pPr>
        <w:pStyle w:val="TableParagraph"/>
        <w:spacing w:after="0"/>
        <w:rPr>
          <w:sz w:val="24"/>
        </w:rPr>
        <w:sectPr>
          <w:pgSz w:w="11910" w:h="16840"/>
          <w:pgMar w:header="1065" w:footer="1194" w:top="1500" w:bottom="1380" w:left="360" w:right="360"/>
        </w:sectPr>
      </w:pPr>
    </w:p>
    <w:p>
      <w:pPr>
        <w:pStyle w:val="BodyText"/>
        <w:spacing w:before="14" w:after="1"/>
        <w:jc w:val="left"/>
        <w:rPr>
          <w:sz w:val="20"/>
        </w:rPr>
      </w:pPr>
    </w:p>
    <w:tbl>
      <w:tblPr>
        <w:tblW w:w="0" w:type="auto"/>
        <w:jc w:val="left"/>
        <w:tblInd w:w="2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7"/>
        <w:gridCol w:w="1964"/>
        <w:gridCol w:w="1407"/>
        <w:gridCol w:w="1433"/>
        <w:gridCol w:w="1407"/>
        <w:gridCol w:w="1738"/>
      </w:tblGrid>
      <w:tr>
        <w:trPr>
          <w:trHeight w:val="1087" w:hRule="atLeast"/>
        </w:trPr>
        <w:tc>
          <w:tcPr>
            <w:tcW w:w="557" w:type="dxa"/>
          </w:tcPr>
          <w:p>
            <w:pPr>
              <w:pStyle w:val="TableParagraph"/>
              <w:spacing w:before="2"/>
              <w:ind w:left="4" w:right="189"/>
              <w:jc w:val="center"/>
              <w:rPr>
                <w:sz w:val="24"/>
              </w:rPr>
            </w:pPr>
            <w:r>
              <w:rPr>
                <w:spacing w:val="-10"/>
                <w:sz w:val="24"/>
              </w:rPr>
              <w:t>1</w:t>
            </w:r>
          </w:p>
        </w:tc>
        <w:tc>
          <w:tcPr>
            <w:tcW w:w="1964" w:type="dxa"/>
          </w:tcPr>
          <w:p>
            <w:pPr>
              <w:pStyle w:val="TableParagraph"/>
              <w:spacing w:before="2"/>
              <w:ind w:left="107" w:right="95"/>
              <w:jc w:val="both"/>
              <w:rPr>
                <w:sz w:val="24"/>
              </w:rPr>
            </w:pPr>
            <w:r>
              <w:rPr>
                <w:sz w:val="24"/>
              </w:rPr>
              <w:t>Not</w:t>
            </w:r>
            <w:r>
              <w:rPr>
                <w:spacing w:val="-20"/>
                <w:sz w:val="24"/>
              </w:rPr>
              <w:t> </w:t>
            </w:r>
            <w:r>
              <w:rPr>
                <w:sz w:val="24"/>
              </w:rPr>
              <w:t>less</w:t>
            </w:r>
            <w:r>
              <w:rPr>
                <w:spacing w:val="-19"/>
                <w:sz w:val="24"/>
              </w:rPr>
              <w:t> </w:t>
            </w:r>
            <w:r>
              <w:rPr>
                <w:sz w:val="24"/>
              </w:rPr>
              <w:t>than</w:t>
            </w:r>
            <w:r>
              <w:rPr>
                <w:spacing w:val="-19"/>
                <w:sz w:val="24"/>
              </w:rPr>
              <w:t> </w:t>
            </w:r>
            <w:r>
              <w:rPr>
                <w:sz w:val="24"/>
              </w:rPr>
              <w:t>2 ha &amp; up to 4 </w:t>
            </w:r>
            <w:r>
              <w:rPr>
                <w:spacing w:val="-6"/>
                <w:sz w:val="24"/>
              </w:rPr>
              <w:t>ha</w:t>
            </w:r>
          </w:p>
        </w:tc>
        <w:tc>
          <w:tcPr>
            <w:tcW w:w="1407" w:type="dxa"/>
          </w:tcPr>
          <w:p>
            <w:pPr>
              <w:pStyle w:val="TableParagraph"/>
              <w:spacing w:before="2"/>
              <w:ind w:left="107"/>
              <w:rPr>
                <w:sz w:val="24"/>
              </w:rPr>
            </w:pPr>
            <w:r>
              <w:rPr>
                <w:spacing w:val="-5"/>
                <w:sz w:val="24"/>
              </w:rPr>
              <w:t>30%</w:t>
            </w:r>
          </w:p>
        </w:tc>
        <w:tc>
          <w:tcPr>
            <w:tcW w:w="1433" w:type="dxa"/>
          </w:tcPr>
          <w:p>
            <w:pPr>
              <w:pStyle w:val="TableParagraph"/>
              <w:spacing w:before="2"/>
              <w:ind w:left="107"/>
              <w:rPr>
                <w:sz w:val="24"/>
              </w:rPr>
            </w:pPr>
            <w:r>
              <w:rPr>
                <w:sz w:val="24"/>
              </w:rPr>
              <w:t>15</w:t>
            </w:r>
            <w:r>
              <w:rPr>
                <w:spacing w:val="-1"/>
                <w:sz w:val="24"/>
              </w:rPr>
              <w:t> </w:t>
            </w:r>
            <w:r>
              <w:rPr>
                <w:spacing w:val="-10"/>
                <w:sz w:val="24"/>
              </w:rPr>
              <w:t>%</w:t>
            </w:r>
          </w:p>
        </w:tc>
        <w:tc>
          <w:tcPr>
            <w:tcW w:w="1407" w:type="dxa"/>
          </w:tcPr>
          <w:p>
            <w:pPr>
              <w:pStyle w:val="TableParagraph"/>
              <w:spacing w:before="2"/>
              <w:ind w:left="107"/>
              <w:rPr>
                <w:sz w:val="24"/>
              </w:rPr>
            </w:pPr>
            <w:r>
              <w:rPr>
                <w:spacing w:val="-5"/>
                <w:sz w:val="24"/>
              </w:rPr>
              <w:t>14%</w:t>
            </w:r>
          </w:p>
        </w:tc>
        <w:tc>
          <w:tcPr>
            <w:tcW w:w="1738" w:type="dxa"/>
          </w:tcPr>
          <w:p>
            <w:pPr>
              <w:pStyle w:val="TableParagraph"/>
              <w:spacing w:before="2"/>
              <w:ind w:left="107"/>
              <w:rPr>
                <w:sz w:val="24"/>
              </w:rPr>
            </w:pPr>
            <w:r>
              <w:rPr>
                <w:spacing w:val="-5"/>
                <w:sz w:val="24"/>
              </w:rPr>
              <w:t>41%</w:t>
            </w:r>
          </w:p>
        </w:tc>
      </w:tr>
      <w:tr>
        <w:trPr>
          <w:trHeight w:val="803" w:hRule="atLeast"/>
        </w:trPr>
        <w:tc>
          <w:tcPr>
            <w:tcW w:w="557" w:type="dxa"/>
          </w:tcPr>
          <w:p>
            <w:pPr>
              <w:pStyle w:val="TableParagraph"/>
              <w:spacing w:line="281" w:lineRule="exact"/>
              <w:ind w:left="4" w:right="189"/>
              <w:jc w:val="center"/>
              <w:rPr>
                <w:sz w:val="24"/>
              </w:rPr>
            </w:pPr>
            <w:r>
              <w:rPr>
                <w:spacing w:val="-10"/>
                <w:sz w:val="24"/>
              </w:rPr>
              <w:t>2</w:t>
            </w:r>
          </w:p>
        </w:tc>
        <w:tc>
          <w:tcPr>
            <w:tcW w:w="1964" w:type="dxa"/>
          </w:tcPr>
          <w:p>
            <w:pPr>
              <w:pStyle w:val="TableParagraph"/>
              <w:tabs>
                <w:tab w:pos="925" w:val="left" w:leader="none"/>
                <w:tab w:pos="1705" w:val="left" w:leader="none"/>
              </w:tabs>
              <w:ind w:left="107" w:right="97"/>
              <w:rPr>
                <w:sz w:val="24"/>
              </w:rPr>
            </w:pPr>
            <w:r>
              <w:rPr>
                <w:spacing w:val="-4"/>
                <w:sz w:val="24"/>
              </w:rPr>
              <w:t>More</w:t>
            </w:r>
            <w:r>
              <w:rPr>
                <w:sz w:val="24"/>
              </w:rPr>
              <w:tab/>
            </w:r>
            <w:r>
              <w:rPr>
                <w:spacing w:val="-4"/>
                <w:sz w:val="24"/>
              </w:rPr>
              <w:t>than</w:t>
            </w:r>
            <w:r>
              <w:rPr>
                <w:sz w:val="24"/>
              </w:rPr>
              <w:tab/>
            </w:r>
            <w:r>
              <w:rPr>
                <w:spacing w:val="-10"/>
                <w:sz w:val="24"/>
              </w:rPr>
              <w:t>4 </w:t>
            </w:r>
            <w:r>
              <w:rPr>
                <w:spacing w:val="-6"/>
                <w:sz w:val="24"/>
              </w:rPr>
              <w:t>ha</w:t>
            </w:r>
          </w:p>
        </w:tc>
        <w:tc>
          <w:tcPr>
            <w:tcW w:w="1407" w:type="dxa"/>
          </w:tcPr>
          <w:p>
            <w:pPr>
              <w:pStyle w:val="TableParagraph"/>
              <w:spacing w:line="281" w:lineRule="exact"/>
              <w:ind w:left="107"/>
              <w:rPr>
                <w:sz w:val="24"/>
              </w:rPr>
            </w:pPr>
            <w:r>
              <w:rPr>
                <w:spacing w:val="-5"/>
                <w:sz w:val="24"/>
              </w:rPr>
              <w:t>30%</w:t>
            </w:r>
          </w:p>
        </w:tc>
        <w:tc>
          <w:tcPr>
            <w:tcW w:w="1433" w:type="dxa"/>
          </w:tcPr>
          <w:p>
            <w:pPr>
              <w:pStyle w:val="TableParagraph"/>
              <w:spacing w:line="281" w:lineRule="exact"/>
              <w:ind w:left="107"/>
              <w:rPr>
                <w:sz w:val="24"/>
              </w:rPr>
            </w:pPr>
            <w:r>
              <w:rPr>
                <w:sz w:val="24"/>
              </w:rPr>
              <w:t>15</w:t>
            </w:r>
            <w:r>
              <w:rPr>
                <w:spacing w:val="-1"/>
                <w:sz w:val="24"/>
              </w:rPr>
              <w:t> </w:t>
            </w:r>
            <w:r>
              <w:rPr>
                <w:spacing w:val="-10"/>
                <w:sz w:val="24"/>
              </w:rPr>
              <w:t>%</w:t>
            </w:r>
          </w:p>
        </w:tc>
        <w:tc>
          <w:tcPr>
            <w:tcW w:w="1407" w:type="dxa"/>
          </w:tcPr>
          <w:p>
            <w:pPr>
              <w:pStyle w:val="TableParagraph"/>
              <w:spacing w:line="281" w:lineRule="exact"/>
              <w:ind w:left="107"/>
              <w:rPr>
                <w:sz w:val="24"/>
              </w:rPr>
            </w:pPr>
            <w:r>
              <w:rPr>
                <w:spacing w:val="-5"/>
                <w:sz w:val="24"/>
              </w:rPr>
              <w:t>12%</w:t>
            </w:r>
          </w:p>
        </w:tc>
        <w:tc>
          <w:tcPr>
            <w:tcW w:w="1738" w:type="dxa"/>
          </w:tcPr>
          <w:p>
            <w:pPr>
              <w:pStyle w:val="TableParagraph"/>
              <w:spacing w:line="281" w:lineRule="exact"/>
              <w:ind w:left="107"/>
              <w:rPr>
                <w:sz w:val="24"/>
              </w:rPr>
            </w:pPr>
            <w:r>
              <w:rPr>
                <w:spacing w:val="-5"/>
                <w:sz w:val="24"/>
              </w:rPr>
              <w:t>43%</w:t>
            </w:r>
          </w:p>
        </w:tc>
      </w:tr>
    </w:tbl>
    <w:p>
      <w:pPr>
        <w:pStyle w:val="BodyText"/>
        <w:spacing w:before="238"/>
        <w:jc w:val="left"/>
      </w:pPr>
    </w:p>
    <w:p>
      <w:pPr>
        <w:pStyle w:val="BodyText"/>
        <w:ind w:left="2050" w:right="771" w:firstLine="76"/>
      </w:pPr>
      <w:r>
        <w:rPr/>
        <w:t>The Govt./Semi-Govt./Appropriate Authority shall submit their proposal</w:t>
      </w:r>
      <w:r>
        <w:rPr>
          <w:spacing w:val="-4"/>
        </w:rPr>
        <w:t> </w:t>
      </w:r>
      <w:r>
        <w:rPr/>
        <w:t>as</w:t>
      </w:r>
      <w:r>
        <w:rPr>
          <w:spacing w:val="-4"/>
        </w:rPr>
        <w:t> </w:t>
      </w:r>
      <w:r>
        <w:rPr/>
        <w:t>per</w:t>
      </w:r>
      <w:r>
        <w:rPr>
          <w:spacing w:val="-4"/>
        </w:rPr>
        <w:t> </w:t>
      </w:r>
      <w:r>
        <w:rPr/>
        <w:t>above</w:t>
      </w:r>
      <w:r>
        <w:rPr>
          <w:spacing w:val="-4"/>
        </w:rPr>
        <w:t> </w:t>
      </w:r>
      <w:r>
        <w:rPr/>
        <w:t>to</w:t>
      </w:r>
      <w:r>
        <w:rPr>
          <w:spacing w:val="-4"/>
        </w:rPr>
        <w:t> </w:t>
      </w:r>
      <w:r>
        <w:rPr/>
        <w:t>the</w:t>
      </w:r>
      <w:r>
        <w:rPr>
          <w:spacing w:val="-4"/>
        </w:rPr>
        <w:t> </w:t>
      </w:r>
      <w:r>
        <w:rPr/>
        <w:t>Commissioner</w:t>
      </w:r>
      <w:r>
        <w:rPr>
          <w:spacing w:val="-4"/>
        </w:rPr>
        <w:t> </w:t>
      </w:r>
      <w:r>
        <w:rPr/>
        <w:t>MCGM.</w:t>
      </w:r>
      <w:r>
        <w:rPr>
          <w:spacing w:val="-4"/>
        </w:rPr>
        <w:t> </w:t>
      </w:r>
      <w:r>
        <w:rPr/>
        <w:t>While</w:t>
      </w:r>
      <w:r>
        <w:rPr>
          <w:spacing w:val="-4"/>
        </w:rPr>
        <w:t> </w:t>
      </w:r>
      <w:r>
        <w:rPr/>
        <w:t>making</w:t>
      </w:r>
      <w:r>
        <w:rPr>
          <w:spacing w:val="-4"/>
        </w:rPr>
        <w:t> </w:t>
      </w:r>
      <w:r>
        <w:rPr/>
        <w:t>such submission, they will take care of the following:</w:t>
      </w:r>
    </w:p>
    <w:p>
      <w:pPr>
        <w:pStyle w:val="ListParagraph"/>
        <w:numPr>
          <w:ilvl w:val="0"/>
          <w:numId w:val="156"/>
        </w:numPr>
        <w:tabs>
          <w:tab w:pos="2353" w:val="left" w:leader="none"/>
        </w:tabs>
        <w:spacing w:line="240" w:lineRule="auto" w:before="241" w:after="0"/>
        <w:ind w:left="2054" w:right="767" w:firstLine="0"/>
        <w:jc w:val="both"/>
        <w:rPr>
          <w:sz w:val="24"/>
        </w:rPr>
      </w:pPr>
      <w:r>
        <w:rPr>
          <w:sz w:val="24"/>
        </w:rPr>
        <w:t>Govt./Semi-Govt./Appropriate Authority shall distinctly mark lands for AH, POS, OA and Govt./Semi-Govt./Appropriate Authority’s share in the layout. Further earmarking of lands for other amenities like education,</w:t>
      </w:r>
      <w:r>
        <w:rPr>
          <w:spacing w:val="-3"/>
          <w:sz w:val="24"/>
        </w:rPr>
        <w:t> </w:t>
      </w:r>
      <w:r>
        <w:rPr>
          <w:sz w:val="24"/>
        </w:rPr>
        <w:t>health</w:t>
      </w:r>
      <w:r>
        <w:rPr>
          <w:spacing w:val="-3"/>
          <w:sz w:val="24"/>
        </w:rPr>
        <w:t> </w:t>
      </w:r>
      <w:r>
        <w:rPr>
          <w:sz w:val="24"/>
        </w:rPr>
        <w:t>and</w:t>
      </w:r>
      <w:r>
        <w:rPr>
          <w:spacing w:val="-3"/>
          <w:sz w:val="24"/>
        </w:rPr>
        <w:t> </w:t>
      </w:r>
      <w:r>
        <w:rPr>
          <w:sz w:val="24"/>
        </w:rPr>
        <w:t>social</w:t>
      </w:r>
      <w:r>
        <w:rPr>
          <w:spacing w:val="-3"/>
          <w:sz w:val="24"/>
        </w:rPr>
        <w:t> </w:t>
      </w:r>
      <w:r>
        <w:rPr>
          <w:sz w:val="24"/>
        </w:rPr>
        <w:t>amenities</w:t>
      </w:r>
      <w:r>
        <w:rPr>
          <w:spacing w:val="-3"/>
          <w:sz w:val="24"/>
        </w:rPr>
        <w:t> </w:t>
      </w:r>
      <w:r>
        <w:rPr>
          <w:sz w:val="24"/>
        </w:rPr>
        <w:t>cited</w:t>
      </w:r>
      <w:r>
        <w:rPr>
          <w:spacing w:val="-3"/>
          <w:sz w:val="24"/>
        </w:rPr>
        <w:t> </w:t>
      </w:r>
      <w:r>
        <w:rPr>
          <w:sz w:val="24"/>
        </w:rPr>
        <w:t>above</w:t>
      </w:r>
      <w:r>
        <w:rPr>
          <w:spacing w:val="-3"/>
          <w:sz w:val="24"/>
        </w:rPr>
        <w:t> </w:t>
      </w:r>
      <w:r>
        <w:rPr>
          <w:sz w:val="24"/>
        </w:rPr>
        <w:t>shall</w:t>
      </w:r>
      <w:r>
        <w:rPr>
          <w:spacing w:val="-3"/>
          <w:sz w:val="24"/>
        </w:rPr>
        <w:t> </w:t>
      </w:r>
      <w:r>
        <w:rPr>
          <w:sz w:val="24"/>
        </w:rPr>
        <w:t>be</w:t>
      </w:r>
      <w:r>
        <w:rPr>
          <w:spacing w:val="-3"/>
          <w:sz w:val="24"/>
        </w:rPr>
        <w:t> </w:t>
      </w:r>
      <w:r>
        <w:rPr>
          <w:sz w:val="24"/>
        </w:rPr>
        <w:t>done</w:t>
      </w:r>
      <w:r>
        <w:rPr>
          <w:spacing w:val="-3"/>
          <w:sz w:val="24"/>
        </w:rPr>
        <w:t> </w:t>
      </w:r>
      <w:r>
        <w:rPr>
          <w:sz w:val="24"/>
        </w:rPr>
        <w:t>by</w:t>
      </w:r>
      <w:r>
        <w:rPr>
          <w:spacing w:val="-3"/>
          <w:sz w:val="24"/>
        </w:rPr>
        <w:t> </w:t>
      </w:r>
      <w:r>
        <w:rPr>
          <w:sz w:val="24"/>
        </w:rPr>
        <w:t>the Commissioner taking the amenity standards prescribed as minimum.</w:t>
      </w:r>
    </w:p>
    <w:p>
      <w:pPr>
        <w:pStyle w:val="ListParagraph"/>
        <w:numPr>
          <w:ilvl w:val="0"/>
          <w:numId w:val="156"/>
        </w:numPr>
        <w:tabs>
          <w:tab w:pos="2471" w:val="left" w:leader="none"/>
        </w:tabs>
        <w:spacing w:line="240" w:lineRule="auto" w:before="0" w:after="0"/>
        <w:ind w:left="2054" w:right="768" w:firstLine="0"/>
        <w:jc w:val="both"/>
        <w:rPr>
          <w:sz w:val="24"/>
        </w:rPr>
      </w:pPr>
      <w:r>
        <w:rPr>
          <w:sz w:val="24"/>
        </w:rPr>
        <w:t>Advance possession of all lands other than the Govt./Semi- Govt./Appropriate</w:t>
      </w:r>
      <w:r>
        <w:rPr>
          <w:spacing w:val="-20"/>
          <w:sz w:val="24"/>
        </w:rPr>
        <w:t> </w:t>
      </w:r>
      <w:r>
        <w:rPr>
          <w:sz w:val="24"/>
        </w:rPr>
        <w:t>Authority’s</w:t>
      </w:r>
      <w:r>
        <w:rPr>
          <w:spacing w:val="-19"/>
          <w:sz w:val="24"/>
        </w:rPr>
        <w:t> </w:t>
      </w:r>
      <w:r>
        <w:rPr>
          <w:sz w:val="24"/>
        </w:rPr>
        <w:t>Share</w:t>
      </w:r>
      <w:r>
        <w:rPr>
          <w:spacing w:val="-19"/>
          <w:sz w:val="24"/>
        </w:rPr>
        <w:t> </w:t>
      </w:r>
      <w:r>
        <w:rPr>
          <w:sz w:val="24"/>
        </w:rPr>
        <w:t>t</w:t>
      </w:r>
      <w:r>
        <w:rPr>
          <w:spacing w:val="-19"/>
          <w:sz w:val="24"/>
        </w:rPr>
        <w:t> </w:t>
      </w:r>
      <w:r>
        <w:rPr>
          <w:sz w:val="24"/>
        </w:rPr>
        <w:t>as</w:t>
      </w:r>
      <w:r>
        <w:rPr>
          <w:spacing w:val="-19"/>
          <w:sz w:val="24"/>
        </w:rPr>
        <w:t> </w:t>
      </w:r>
      <w:r>
        <w:rPr>
          <w:sz w:val="24"/>
        </w:rPr>
        <w:t>detailed</w:t>
      </w:r>
      <w:r>
        <w:rPr>
          <w:spacing w:val="-20"/>
          <w:sz w:val="24"/>
        </w:rPr>
        <w:t> </w:t>
      </w:r>
      <w:r>
        <w:rPr>
          <w:sz w:val="24"/>
        </w:rPr>
        <w:t>inthe</w:t>
      </w:r>
      <w:r>
        <w:rPr>
          <w:spacing w:val="-19"/>
          <w:sz w:val="24"/>
        </w:rPr>
        <w:t> </w:t>
      </w:r>
      <w:r>
        <w:rPr>
          <w:sz w:val="24"/>
        </w:rPr>
        <w:t>table</w:t>
      </w:r>
      <w:r>
        <w:rPr>
          <w:spacing w:val="-19"/>
          <w:sz w:val="24"/>
        </w:rPr>
        <w:t> </w:t>
      </w:r>
      <w:r>
        <w:rPr>
          <w:sz w:val="24"/>
        </w:rPr>
        <w:t>above</w:t>
      </w:r>
      <w:r>
        <w:rPr>
          <w:spacing w:val="-19"/>
          <w:sz w:val="24"/>
        </w:rPr>
        <w:t> </w:t>
      </w:r>
      <w:r>
        <w:rPr>
          <w:sz w:val="24"/>
        </w:rPr>
        <w:t>shall be handed over to MCGM at the time of approval of layout. The ownership shall be transferred in the name of MCGM within one year from the date of advance possession or seeking commencement certificate beyond plinth of the development of Govt./Semi- Govt./Appropriate Authority’s share, whichever is earlier. The Govt./Semi-Govt./Appropriate</w:t>
      </w:r>
      <w:r>
        <w:rPr>
          <w:spacing w:val="-20"/>
          <w:sz w:val="24"/>
        </w:rPr>
        <w:t> </w:t>
      </w:r>
      <w:r>
        <w:rPr>
          <w:sz w:val="24"/>
        </w:rPr>
        <w:t>Authority</w:t>
      </w:r>
      <w:r>
        <w:rPr>
          <w:spacing w:val="-19"/>
          <w:sz w:val="24"/>
        </w:rPr>
        <w:t> </w:t>
      </w:r>
      <w:r>
        <w:rPr>
          <w:sz w:val="24"/>
        </w:rPr>
        <w:t>may</w:t>
      </w:r>
      <w:r>
        <w:rPr>
          <w:spacing w:val="-19"/>
          <w:sz w:val="24"/>
        </w:rPr>
        <w:t> </w:t>
      </w:r>
      <w:r>
        <w:rPr>
          <w:sz w:val="24"/>
        </w:rPr>
        <w:t>opt</w:t>
      </w:r>
      <w:r>
        <w:rPr>
          <w:spacing w:val="-19"/>
          <w:sz w:val="24"/>
        </w:rPr>
        <w:t> </w:t>
      </w:r>
      <w:r>
        <w:rPr>
          <w:sz w:val="24"/>
        </w:rPr>
        <w:t>for</w:t>
      </w:r>
      <w:r>
        <w:rPr>
          <w:spacing w:val="-19"/>
          <w:sz w:val="24"/>
        </w:rPr>
        <w:t> </w:t>
      </w:r>
      <w:r>
        <w:rPr>
          <w:sz w:val="24"/>
        </w:rPr>
        <w:t>development</w:t>
      </w:r>
      <w:r>
        <w:rPr>
          <w:spacing w:val="-20"/>
          <w:sz w:val="24"/>
        </w:rPr>
        <w:t> </w:t>
      </w:r>
      <w:r>
        <w:rPr>
          <w:sz w:val="24"/>
        </w:rPr>
        <w:t>of</w:t>
      </w:r>
      <w:r>
        <w:rPr>
          <w:spacing w:val="-19"/>
          <w:sz w:val="24"/>
        </w:rPr>
        <w:t> </w:t>
      </w:r>
      <w:r>
        <w:rPr>
          <w:sz w:val="24"/>
        </w:rPr>
        <w:t>the AH plot on their own as stated in clause 4(b) below.</w:t>
      </w:r>
    </w:p>
    <w:p>
      <w:pPr>
        <w:pStyle w:val="ListParagraph"/>
        <w:numPr>
          <w:ilvl w:val="0"/>
          <w:numId w:val="156"/>
        </w:numPr>
        <w:tabs>
          <w:tab w:pos="2466" w:val="left" w:leader="none"/>
        </w:tabs>
        <w:spacing w:line="240" w:lineRule="auto" w:before="2" w:after="0"/>
        <w:ind w:left="2054" w:right="771" w:firstLine="0"/>
        <w:jc w:val="both"/>
        <w:rPr>
          <w:sz w:val="24"/>
        </w:rPr>
      </w:pPr>
      <w:r>
        <w:rPr>
          <w:sz w:val="24"/>
        </w:rPr>
        <w:t>Govt./Semi-Govt./Appropriate Authority shall hand over area earmarked for POS</w:t>
      </w:r>
      <w:r>
        <w:rPr>
          <w:spacing w:val="-1"/>
          <w:sz w:val="24"/>
        </w:rPr>
        <w:t> </w:t>
      </w:r>
      <w:r>
        <w:rPr>
          <w:sz w:val="24"/>
        </w:rPr>
        <w:t>&amp; OA after levelling</w:t>
      </w:r>
      <w:r>
        <w:rPr>
          <w:spacing w:val="-1"/>
          <w:sz w:val="24"/>
        </w:rPr>
        <w:t> </w:t>
      </w:r>
      <w:r>
        <w:rPr>
          <w:sz w:val="24"/>
        </w:rPr>
        <w:t>of land along with construction of compound wall to MCGM.</w:t>
      </w:r>
    </w:p>
    <w:p>
      <w:pPr>
        <w:pStyle w:val="ListParagraph"/>
        <w:numPr>
          <w:ilvl w:val="0"/>
          <w:numId w:val="156"/>
        </w:numPr>
        <w:tabs>
          <w:tab w:pos="2367" w:val="left" w:leader="none"/>
        </w:tabs>
        <w:spacing w:line="240" w:lineRule="auto" w:before="0" w:after="0"/>
        <w:ind w:left="2054" w:right="773" w:firstLine="0"/>
        <w:jc w:val="both"/>
        <w:rPr>
          <w:sz w:val="24"/>
        </w:rPr>
      </w:pPr>
      <w:r>
        <w:rPr>
          <w:sz w:val="24"/>
        </w:rPr>
        <w:t>Provision of amenities as per Regulation No. 14(A) and 15 shall not be applicable for development under this Regulation.</w:t>
      </w:r>
    </w:p>
    <w:p>
      <w:pPr>
        <w:pStyle w:val="ListParagraph"/>
        <w:numPr>
          <w:ilvl w:val="0"/>
          <w:numId w:val="156"/>
        </w:numPr>
        <w:tabs>
          <w:tab w:pos="2317" w:val="left" w:leader="none"/>
        </w:tabs>
        <w:spacing w:line="240" w:lineRule="auto" w:before="0" w:after="0"/>
        <w:ind w:left="2054" w:right="769" w:firstLine="0"/>
        <w:jc w:val="both"/>
        <w:rPr>
          <w:sz w:val="24"/>
        </w:rPr>
      </w:pPr>
      <w:r>
        <w:rPr>
          <w:sz w:val="24"/>
        </w:rPr>
        <w:t>The</w:t>
      </w:r>
      <w:r>
        <w:rPr>
          <w:spacing w:val="-13"/>
          <w:sz w:val="24"/>
        </w:rPr>
        <w:t> </w:t>
      </w:r>
      <w:r>
        <w:rPr>
          <w:sz w:val="24"/>
        </w:rPr>
        <w:t>carpet</w:t>
      </w:r>
      <w:r>
        <w:rPr>
          <w:spacing w:val="-13"/>
          <w:sz w:val="24"/>
        </w:rPr>
        <w:t> </w:t>
      </w:r>
      <w:r>
        <w:rPr>
          <w:sz w:val="24"/>
        </w:rPr>
        <w:t>areas</w:t>
      </w:r>
      <w:r>
        <w:rPr>
          <w:spacing w:val="-13"/>
          <w:sz w:val="24"/>
        </w:rPr>
        <w:t> </w:t>
      </w:r>
      <w:r>
        <w:rPr>
          <w:sz w:val="24"/>
        </w:rPr>
        <w:t>of</w:t>
      </w:r>
      <w:r>
        <w:rPr>
          <w:spacing w:val="-13"/>
          <w:sz w:val="24"/>
        </w:rPr>
        <w:t> </w:t>
      </w:r>
      <w:r>
        <w:rPr>
          <w:sz w:val="24"/>
        </w:rPr>
        <w:t>the</w:t>
      </w:r>
      <w:r>
        <w:rPr>
          <w:spacing w:val="-13"/>
          <w:sz w:val="24"/>
        </w:rPr>
        <w:t> </w:t>
      </w:r>
      <w:r>
        <w:rPr>
          <w:sz w:val="24"/>
        </w:rPr>
        <w:t>tenements</w:t>
      </w:r>
      <w:r>
        <w:rPr>
          <w:spacing w:val="-13"/>
          <w:sz w:val="24"/>
        </w:rPr>
        <w:t> </w:t>
      </w:r>
      <w:r>
        <w:rPr>
          <w:sz w:val="24"/>
        </w:rPr>
        <w:t>to</w:t>
      </w:r>
      <w:r>
        <w:rPr>
          <w:spacing w:val="-13"/>
          <w:sz w:val="24"/>
        </w:rPr>
        <w:t> </w:t>
      </w:r>
      <w:r>
        <w:rPr>
          <w:sz w:val="24"/>
        </w:rPr>
        <w:t>be</w:t>
      </w:r>
      <w:r>
        <w:rPr>
          <w:spacing w:val="-15"/>
          <w:sz w:val="24"/>
        </w:rPr>
        <w:t> </w:t>
      </w:r>
      <w:r>
        <w:rPr>
          <w:sz w:val="24"/>
        </w:rPr>
        <w:t>constructed</w:t>
      </w:r>
      <w:r>
        <w:rPr>
          <w:spacing w:val="-13"/>
          <w:sz w:val="24"/>
        </w:rPr>
        <w:t> </w:t>
      </w:r>
      <w:r>
        <w:rPr>
          <w:sz w:val="24"/>
        </w:rPr>
        <w:t>shall</w:t>
      </w:r>
      <w:r>
        <w:rPr>
          <w:spacing w:val="-13"/>
          <w:sz w:val="24"/>
        </w:rPr>
        <w:t> </w:t>
      </w:r>
      <w:r>
        <w:rPr>
          <w:sz w:val="24"/>
        </w:rPr>
        <w:t>be</w:t>
      </w:r>
      <w:r>
        <w:rPr>
          <w:spacing w:val="-15"/>
          <w:sz w:val="24"/>
        </w:rPr>
        <w:t> </w:t>
      </w:r>
      <w:r>
        <w:rPr>
          <w:sz w:val="24"/>
        </w:rPr>
        <w:t>for</w:t>
      </w:r>
      <w:r>
        <w:rPr>
          <w:spacing w:val="-13"/>
          <w:sz w:val="24"/>
        </w:rPr>
        <w:t> </w:t>
      </w:r>
      <w:r>
        <w:rPr>
          <w:sz w:val="24"/>
        </w:rPr>
        <w:t>EWS, LIG and MIG or as decided by Govt. from time to time subject to a minimum 25 sq. m.</w:t>
      </w:r>
    </w:p>
    <w:p>
      <w:pPr>
        <w:pStyle w:val="ListParagraph"/>
        <w:numPr>
          <w:ilvl w:val="0"/>
          <w:numId w:val="156"/>
        </w:numPr>
        <w:tabs>
          <w:tab w:pos="2424" w:val="left" w:leader="none"/>
        </w:tabs>
        <w:spacing w:line="240" w:lineRule="auto" w:before="0" w:after="0"/>
        <w:ind w:left="2054" w:right="768" w:firstLine="153"/>
        <w:jc w:val="both"/>
        <w:rPr>
          <w:sz w:val="24"/>
        </w:rPr>
      </w:pPr>
      <w:r>
        <w:rPr>
          <w:sz w:val="24"/>
        </w:rPr>
        <w:t>Requirement</w:t>
      </w:r>
      <w:r>
        <w:rPr>
          <w:spacing w:val="-11"/>
          <w:sz w:val="24"/>
        </w:rPr>
        <w:t> </w:t>
      </w:r>
      <w:r>
        <w:rPr>
          <w:sz w:val="24"/>
        </w:rPr>
        <w:t>of</w:t>
      </w:r>
      <w:r>
        <w:rPr>
          <w:spacing w:val="-11"/>
          <w:sz w:val="24"/>
        </w:rPr>
        <w:t> </w:t>
      </w:r>
      <w:r>
        <w:rPr>
          <w:sz w:val="24"/>
        </w:rPr>
        <w:t>LOS</w:t>
      </w:r>
      <w:r>
        <w:rPr>
          <w:spacing w:val="-11"/>
          <w:sz w:val="24"/>
        </w:rPr>
        <w:t> </w:t>
      </w:r>
      <w:r>
        <w:rPr>
          <w:sz w:val="24"/>
        </w:rPr>
        <w:t>as</w:t>
      </w:r>
      <w:r>
        <w:rPr>
          <w:spacing w:val="-11"/>
          <w:sz w:val="24"/>
        </w:rPr>
        <w:t> </w:t>
      </w:r>
      <w:r>
        <w:rPr>
          <w:sz w:val="24"/>
        </w:rPr>
        <w:t>per</w:t>
      </w:r>
      <w:r>
        <w:rPr>
          <w:spacing w:val="-11"/>
          <w:sz w:val="24"/>
        </w:rPr>
        <w:t> </w:t>
      </w:r>
      <w:r>
        <w:rPr>
          <w:sz w:val="24"/>
        </w:rPr>
        <w:t>the</w:t>
      </w:r>
      <w:r>
        <w:rPr>
          <w:spacing w:val="-11"/>
          <w:sz w:val="24"/>
        </w:rPr>
        <w:t> </w:t>
      </w:r>
      <w:r>
        <w:rPr>
          <w:sz w:val="24"/>
        </w:rPr>
        <w:t>provisions</w:t>
      </w:r>
      <w:r>
        <w:rPr>
          <w:spacing w:val="-11"/>
          <w:sz w:val="24"/>
        </w:rPr>
        <w:t> </w:t>
      </w:r>
      <w:r>
        <w:rPr>
          <w:sz w:val="24"/>
        </w:rPr>
        <w:t>of</w:t>
      </w:r>
      <w:r>
        <w:rPr>
          <w:spacing w:val="-11"/>
          <w:sz w:val="24"/>
        </w:rPr>
        <w:t> </w:t>
      </w:r>
      <w:r>
        <w:rPr>
          <w:sz w:val="24"/>
        </w:rPr>
        <w:t>Regulation</w:t>
      </w:r>
      <w:r>
        <w:rPr>
          <w:spacing w:val="-11"/>
          <w:sz w:val="24"/>
        </w:rPr>
        <w:t> </w:t>
      </w:r>
      <w:r>
        <w:rPr>
          <w:sz w:val="24"/>
        </w:rPr>
        <w:t>No.27</w:t>
      </w:r>
      <w:r>
        <w:rPr>
          <w:spacing w:val="-11"/>
          <w:sz w:val="24"/>
        </w:rPr>
        <w:t> </w:t>
      </w:r>
      <w:r>
        <w:rPr>
          <w:sz w:val="24"/>
        </w:rPr>
        <w:t>on</w:t>
      </w:r>
      <w:r>
        <w:rPr>
          <w:spacing w:val="-11"/>
          <w:sz w:val="24"/>
        </w:rPr>
        <w:t> </w:t>
      </w:r>
      <w:r>
        <w:rPr>
          <w:sz w:val="24"/>
        </w:rPr>
        <w:t>AH plot and Govt./Semi-Govt./Appropriate Authority’s share of land shall be 15%. Thus overall 25% cumulative LOS of entire holding shall be achieved by considering POS to be handed over to MCGM and owners share of land/AH plot.</w:t>
      </w:r>
    </w:p>
    <w:p>
      <w:pPr>
        <w:pStyle w:val="Heading5"/>
        <w:numPr>
          <w:ilvl w:val="0"/>
          <w:numId w:val="138"/>
        </w:numPr>
        <w:tabs>
          <w:tab w:pos="2392" w:val="left" w:leader="none"/>
        </w:tabs>
        <w:spacing w:line="240" w:lineRule="auto" w:before="281" w:after="0"/>
        <w:ind w:left="2392" w:right="0" w:hanging="321"/>
        <w:jc w:val="both"/>
      </w:pPr>
      <w:r>
        <w:rPr/>
        <w:t>Infrastructure</w:t>
      </w:r>
      <w:r>
        <w:rPr>
          <w:spacing w:val="-13"/>
        </w:rPr>
        <w:t> </w:t>
      </w:r>
      <w:r>
        <w:rPr>
          <w:spacing w:val="-2"/>
        </w:rPr>
        <w:t>Development</w:t>
      </w:r>
    </w:p>
    <w:p>
      <w:pPr>
        <w:pStyle w:val="BodyText"/>
        <w:spacing w:before="2"/>
        <w:ind w:left="2062" w:right="766"/>
      </w:pPr>
      <w:r>
        <w:rPr/>
        <w:t>Govt./Semi-Govt./Appropriate Authority shall develop </w:t>
      </w:r>
      <w:r>
        <w:rPr/>
        <w:t>the infrastructure network within the layout (AH,POS &amp; OA) to be handed over to MCGM (road + water supply mains + sewer line + storm water drain + street lights pertaining to that specific scheme) as per the requirements of the concerned departments.</w:t>
      </w:r>
    </w:p>
    <w:p>
      <w:pPr>
        <w:pStyle w:val="BodyText"/>
        <w:spacing w:after="0"/>
        <w:sectPr>
          <w:pgSz w:w="11910" w:h="16840"/>
          <w:pgMar w:header="1065" w:footer="1194" w:top="1500" w:bottom="1380" w:left="360" w:right="360"/>
        </w:sectPr>
      </w:pPr>
    </w:p>
    <w:p>
      <w:pPr>
        <w:pStyle w:val="BodyText"/>
        <w:spacing w:before="250"/>
        <w:jc w:val="left"/>
      </w:pPr>
    </w:p>
    <w:p>
      <w:pPr>
        <w:pStyle w:val="Heading5"/>
        <w:numPr>
          <w:ilvl w:val="0"/>
          <w:numId w:val="138"/>
        </w:numPr>
        <w:tabs>
          <w:tab w:pos="2352" w:val="left" w:leader="none"/>
        </w:tabs>
        <w:spacing w:line="240" w:lineRule="auto" w:before="0" w:after="0"/>
        <w:ind w:left="2352" w:right="0" w:hanging="302"/>
        <w:jc w:val="both"/>
        <w:rPr>
          <w:b w:val="0"/>
        </w:rPr>
      </w:pPr>
      <w:r>
        <w:rPr/>
        <w:t>Permissible</w:t>
      </w:r>
      <w:r>
        <w:rPr>
          <w:spacing w:val="-10"/>
        </w:rPr>
        <w:t> </w:t>
      </w:r>
      <w:r>
        <w:rPr>
          <w:spacing w:val="-4"/>
        </w:rPr>
        <w:t>FSI:</w:t>
      </w:r>
    </w:p>
    <w:p>
      <w:pPr>
        <w:pStyle w:val="ListParagraph"/>
        <w:numPr>
          <w:ilvl w:val="0"/>
          <w:numId w:val="157"/>
        </w:numPr>
        <w:tabs>
          <w:tab w:pos="2062" w:val="left" w:leader="none"/>
          <w:tab w:pos="2334" w:val="left" w:leader="none"/>
        </w:tabs>
        <w:spacing w:line="240" w:lineRule="auto" w:before="240" w:after="0"/>
        <w:ind w:left="2062" w:right="767" w:hanging="12"/>
        <w:jc w:val="both"/>
        <w:rPr>
          <w:sz w:val="24"/>
        </w:rPr>
      </w:pPr>
      <w:r>
        <w:rPr>
          <w:sz w:val="24"/>
        </w:rPr>
        <w:t>Govt./Semi-.Govt. /Appropriate Authority appointed by Govt. shall be eligible for FSI 1 of the gross plot (AH + POS+ OA + area covered under</w:t>
      </w:r>
      <w:r>
        <w:rPr>
          <w:spacing w:val="-13"/>
          <w:sz w:val="24"/>
        </w:rPr>
        <w:t> </w:t>
      </w:r>
      <w:r>
        <w:rPr>
          <w:sz w:val="24"/>
        </w:rPr>
        <w:t>roads</w:t>
      </w:r>
      <w:r>
        <w:rPr>
          <w:spacing w:val="-13"/>
          <w:sz w:val="24"/>
        </w:rPr>
        <w:t> </w:t>
      </w:r>
      <w:r>
        <w:rPr>
          <w:sz w:val="24"/>
        </w:rPr>
        <w:t>to</w:t>
      </w:r>
      <w:r>
        <w:rPr>
          <w:spacing w:val="-13"/>
          <w:sz w:val="24"/>
        </w:rPr>
        <w:t> </w:t>
      </w:r>
      <w:r>
        <w:rPr>
          <w:sz w:val="24"/>
        </w:rPr>
        <w:t>be</w:t>
      </w:r>
      <w:r>
        <w:rPr>
          <w:spacing w:val="-13"/>
          <w:sz w:val="24"/>
        </w:rPr>
        <w:t> </w:t>
      </w:r>
      <w:r>
        <w:rPr>
          <w:sz w:val="24"/>
        </w:rPr>
        <w:t>handed</w:t>
      </w:r>
      <w:r>
        <w:rPr>
          <w:spacing w:val="-13"/>
          <w:sz w:val="24"/>
        </w:rPr>
        <w:t> </w:t>
      </w:r>
      <w:r>
        <w:rPr>
          <w:sz w:val="24"/>
        </w:rPr>
        <w:t>over</w:t>
      </w:r>
      <w:r>
        <w:rPr>
          <w:spacing w:val="-13"/>
          <w:sz w:val="24"/>
        </w:rPr>
        <w:t> </w:t>
      </w:r>
      <w:r>
        <w:rPr>
          <w:sz w:val="24"/>
        </w:rPr>
        <w:t>to</w:t>
      </w:r>
      <w:r>
        <w:rPr>
          <w:spacing w:val="-13"/>
          <w:sz w:val="24"/>
        </w:rPr>
        <w:t> </w:t>
      </w:r>
      <w:r>
        <w:rPr>
          <w:sz w:val="24"/>
        </w:rPr>
        <w:t>MCGM)</w:t>
      </w:r>
      <w:r>
        <w:rPr>
          <w:spacing w:val="-15"/>
          <w:sz w:val="24"/>
        </w:rPr>
        <w:t> </w:t>
      </w:r>
      <w:r>
        <w:rPr>
          <w:sz w:val="24"/>
        </w:rPr>
        <w:t>on</w:t>
      </w:r>
      <w:r>
        <w:rPr>
          <w:spacing w:val="-13"/>
          <w:sz w:val="24"/>
        </w:rPr>
        <w:t> </w:t>
      </w:r>
      <w:r>
        <w:rPr>
          <w:sz w:val="24"/>
        </w:rPr>
        <w:t>area</w:t>
      </w:r>
      <w:r>
        <w:rPr>
          <w:spacing w:val="-13"/>
          <w:sz w:val="24"/>
        </w:rPr>
        <w:t> </w:t>
      </w:r>
      <w:r>
        <w:rPr>
          <w:sz w:val="24"/>
        </w:rPr>
        <w:t>of</w:t>
      </w:r>
      <w:r>
        <w:rPr>
          <w:spacing w:val="-13"/>
          <w:sz w:val="24"/>
        </w:rPr>
        <w:t> </w:t>
      </w:r>
      <w:r>
        <w:rPr>
          <w:sz w:val="24"/>
        </w:rPr>
        <w:t>other</w:t>
      </w:r>
      <w:r>
        <w:rPr>
          <w:spacing w:val="-13"/>
          <w:sz w:val="24"/>
        </w:rPr>
        <w:t> </w:t>
      </w:r>
      <w:r>
        <w:rPr>
          <w:sz w:val="24"/>
        </w:rPr>
        <w:t>Development.</w:t>
      </w:r>
    </w:p>
    <w:p>
      <w:pPr>
        <w:pStyle w:val="ListParagraph"/>
        <w:numPr>
          <w:ilvl w:val="0"/>
          <w:numId w:val="157"/>
        </w:numPr>
        <w:tabs>
          <w:tab w:pos="2062" w:val="left" w:leader="none"/>
          <w:tab w:pos="2335" w:val="left" w:leader="none"/>
        </w:tabs>
        <w:spacing w:line="240" w:lineRule="auto" w:before="0" w:after="0"/>
        <w:ind w:left="2062" w:right="766" w:hanging="12"/>
        <w:jc w:val="both"/>
        <w:rPr>
          <w:sz w:val="24"/>
        </w:rPr>
      </w:pPr>
      <w:r>
        <w:rPr>
          <w:sz w:val="24"/>
        </w:rPr>
        <w:t>The plot earmarked for AH may be developed by Government/semi- government/</w:t>
      </w:r>
      <w:r>
        <w:rPr>
          <w:spacing w:val="-3"/>
          <w:sz w:val="24"/>
        </w:rPr>
        <w:t> </w:t>
      </w:r>
      <w:r>
        <w:rPr>
          <w:sz w:val="24"/>
        </w:rPr>
        <w:t>Appropriate</w:t>
      </w:r>
      <w:r>
        <w:rPr>
          <w:spacing w:val="-3"/>
          <w:sz w:val="24"/>
        </w:rPr>
        <w:t> </w:t>
      </w:r>
      <w:r>
        <w:rPr>
          <w:sz w:val="24"/>
        </w:rPr>
        <w:t>Authority</w:t>
      </w:r>
      <w:r>
        <w:rPr>
          <w:spacing w:val="-3"/>
          <w:sz w:val="24"/>
        </w:rPr>
        <w:t> </w:t>
      </w:r>
      <w:r>
        <w:rPr>
          <w:sz w:val="24"/>
        </w:rPr>
        <w:t>appointed</w:t>
      </w:r>
      <w:r>
        <w:rPr>
          <w:spacing w:val="-3"/>
          <w:sz w:val="24"/>
        </w:rPr>
        <w:t> </w:t>
      </w:r>
      <w:r>
        <w:rPr>
          <w:sz w:val="24"/>
        </w:rPr>
        <w:t>by</w:t>
      </w:r>
      <w:r>
        <w:rPr>
          <w:spacing w:val="-3"/>
          <w:sz w:val="24"/>
        </w:rPr>
        <w:t> </w:t>
      </w:r>
      <w:r>
        <w:rPr>
          <w:sz w:val="24"/>
        </w:rPr>
        <w:t>Govt. with</w:t>
      </w:r>
      <w:r>
        <w:rPr>
          <w:spacing w:val="-3"/>
          <w:sz w:val="24"/>
        </w:rPr>
        <w:t> </w:t>
      </w:r>
      <w:r>
        <w:rPr>
          <w:sz w:val="24"/>
        </w:rPr>
        <w:t>FSI</w:t>
      </w:r>
      <w:r>
        <w:rPr>
          <w:spacing w:val="-1"/>
          <w:sz w:val="24"/>
        </w:rPr>
        <w:t> </w:t>
      </w:r>
      <w:r>
        <w:rPr>
          <w:sz w:val="24"/>
        </w:rPr>
        <w:t>2.5</w:t>
      </w:r>
      <w:r>
        <w:rPr>
          <w:spacing w:val="-4"/>
          <w:sz w:val="24"/>
        </w:rPr>
        <w:t> </w:t>
      </w:r>
      <w:r>
        <w:rPr>
          <w:sz w:val="24"/>
        </w:rPr>
        <w:t>on the</w:t>
      </w:r>
      <w:r>
        <w:rPr>
          <w:spacing w:val="-5"/>
          <w:sz w:val="24"/>
        </w:rPr>
        <w:t> </w:t>
      </w:r>
      <w:r>
        <w:rPr>
          <w:sz w:val="24"/>
        </w:rPr>
        <w:t>plot</w:t>
      </w:r>
      <w:r>
        <w:rPr>
          <w:spacing w:val="-5"/>
          <w:sz w:val="24"/>
        </w:rPr>
        <w:t> </w:t>
      </w:r>
      <w:r>
        <w:rPr>
          <w:sz w:val="24"/>
        </w:rPr>
        <w:t>of</w:t>
      </w:r>
      <w:r>
        <w:rPr>
          <w:spacing w:val="-5"/>
          <w:sz w:val="24"/>
        </w:rPr>
        <w:t> </w:t>
      </w:r>
      <w:r>
        <w:rPr>
          <w:sz w:val="24"/>
        </w:rPr>
        <w:t>AH,</w:t>
      </w:r>
      <w:r>
        <w:rPr>
          <w:spacing w:val="-5"/>
          <w:sz w:val="24"/>
        </w:rPr>
        <w:t> </w:t>
      </w:r>
      <w:r>
        <w:rPr>
          <w:sz w:val="24"/>
        </w:rPr>
        <w:t>then</w:t>
      </w:r>
      <w:r>
        <w:rPr>
          <w:spacing w:val="-2"/>
          <w:sz w:val="24"/>
        </w:rPr>
        <w:t> </w:t>
      </w:r>
      <w:r>
        <w:rPr>
          <w:sz w:val="24"/>
        </w:rPr>
        <w:t>the</w:t>
      </w:r>
      <w:r>
        <w:rPr>
          <w:spacing w:val="-5"/>
          <w:sz w:val="24"/>
        </w:rPr>
        <w:t> </w:t>
      </w:r>
      <w:r>
        <w:rPr>
          <w:sz w:val="24"/>
        </w:rPr>
        <w:t>premium</w:t>
      </w:r>
      <w:r>
        <w:rPr>
          <w:spacing w:val="-5"/>
          <w:sz w:val="24"/>
        </w:rPr>
        <w:t> </w:t>
      </w:r>
      <w:r>
        <w:rPr>
          <w:sz w:val="24"/>
        </w:rPr>
        <w:t>for</w:t>
      </w:r>
      <w:r>
        <w:rPr>
          <w:spacing w:val="-5"/>
          <w:sz w:val="24"/>
        </w:rPr>
        <w:t> </w:t>
      </w:r>
      <w:r>
        <w:rPr>
          <w:sz w:val="24"/>
        </w:rPr>
        <w:t>the</w:t>
      </w:r>
      <w:r>
        <w:rPr>
          <w:spacing w:val="-2"/>
          <w:sz w:val="24"/>
        </w:rPr>
        <w:t> </w:t>
      </w:r>
      <w:r>
        <w:rPr>
          <w:sz w:val="24"/>
        </w:rPr>
        <w:t>BUA</w:t>
      </w:r>
      <w:r>
        <w:rPr>
          <w:spacing w:val="-5"/>
          <w:sz w:val="24"/>
        </w:rPr>
        <w:t> </w:t>
      </w:r>
      <w:r>
        <w:rPr>
          <w:sz w:val="24"/>
        </w:rPr>
        <w:t>is</w:t>
      </w:r>
      <w:r>
        <w:rPr>
          <w:spacing w:val="-5"/>
          <w:sz w:val="24"/>
        </w:rPr>
        <w:t> </w:t>
      </w:r>
      <w:r>
        <w:rPr>
          <w:sz w:val="24"/>
        </w:rPr>
        <w:t>payable</w:t>
      </w:r>
      <w:r>
        <w:rPr>
          <w:spacing w:val="-5"/>
          <w:sz w:val="24"/>
        </w:rPr>
        <w:t> </w:t>
      </w:r>
      <w:r>
        <w:rPr>
          <w:sz w:val="24"/>
        </w:rPr>
        <w:t>at</w:t>
      </w:r>
      <w:r>
        <w:rPr>
          <w:spacing w:val="-5"/>
          <w:sz w:val="24"/>
        </w:rPr>
        <w:t> </w:t>
      </w:r>
      <w:r>
        <w:rPr>
          <w:sz w:val="24"/>
        </w:rPr>
        <w:t>60%</w:t>
      </w:r>
      <w:r>
        <w:rPr>
          <w:spacing w:val="-5"/>
          <w:sz w:val="24"/>
        </w:rPr>
        <w:t> </w:t>
      </w:r>
      <w:r>
        <w:rPr>
          <w:sz w:val="24"/>
        </w:rPr>
        <w:t>of</w:t>
      </w:r>
      <w:r>
        <w:rPr>
          <w:spacing w:val="-5"/>
          <w:sz w:val="24"/>
        </w:rPr>
        <w:t> </w:t>
      </w:r>
      <w:r>
        <w:rPr>
          <w:sz w:val="24"/>
        </w:rPr>
        <w:t>land rate as per ASR (for FSI 1) except if the undertaken by State Govt. &amp; MCGM</w:t>
      </w:r>
      <w:r>
        <w:rPr>
          <w:spacing w:val="-20"/>
          <w:sz w:val="24"/>
        </w:rPr>
        <w:t> </w:t>
      </w:r>
      <w:r>
        <w:rPr>
          <w:sz w:val="24"/>
        </w:rPr>
        <w:t>itself.</w:t>
      </w:r>
      <w:r>
        <w:rPr>
          <w:spacing w:val="-19"/>
          <w:sz w:val="24"/>
        </w:rPr>
        <w:t> </w:t>
      </w:r>
      <w:r>
        <w:rPr>
          <w:sz w:val="24"/>
        </w:rPr>
        <w:t>These</w:t>
      </w:r>
      <w:r>
        <w:rPr>
          <w:spacing w:val="-19"/>
          <w:sz w:val="24"/>
        </w:rPr>
        <w:t> </w:t>
      </w:r>
      <w:r>
        <w:rPr>
          <w:sz w:val="24"/>
        </w:rPr>
        <w:t>tenements</w:t>
      </w:r>
      <w:r>
        <w:rPr>
          <w:spacing w:val="-19"/>
          <w:sz w:val="24"/>
        </w:rPr>
        <w:t> </w:t>
      </w:r>
      <w:r>
        <w:rPr>
          <w:sz w:val="24"/>
        </w:rPr>
        <w:t>shall</w:t>
      </w:r>
      <w:r>
        <w:rPr>
          <w:spacing w:val="-19"/>
          <w:sz w:val="24"/>
        </w:rPr>
        <w:t> </w:t>
      </w:r>
      <w:r>
        <w:rPr>
          <w:sz w:val="24"/>
        </w:rPr>
        <w:t>be</w:t>
      </w:r>
      <w:r>
        <w:rPr>
          <w:spacing w:val="-20"/>
          <w:sz w:val="24"/>
        </w:rPr>
        <w:t> </w:t>
      </w:r>
      <w:r>
        <w:rPr>
          <w:sz w:val="24"/>
        </w:rPr>
        <w:t>made</w:t>
      </w:r>
      <w:r>
        <w:rPr>
          <w:spacing w:val="-19"/>
          <w:sz w:val="24"/>
        </w:rPr>
        <w:t> </w:t>
      </w:r>
      <w:r>
        <w:rPr>
          <w:sz w:val="24"/>
        </w:rPr>
        <w:t>available</w:t>
      </w:r>
      <w:r>
        <w:rPr>
          <w:spacing w:val="-19"/>
          <w:sz w:val="24"/>
        </w:rPr>
        <w:t> </w:t>
      </w:r>
      <w:r>
        <w:rPr>
          <w:sz w:val="24"/>
        </w:rPr>
        <w:t>for</w:t>
      </w:r>
      <w:r>
        <w:rPr>
          <w:spacing w:val="-19"/>
          <w:sz w:val="24"/>
        </w:rPr>
        <w:t> </w:t>
      </w:r>
      <w:r>
        <w:rPr>
          <w:sz w:val="24"/>
        </w:rPr>
        <w:t>general</w:t>
      </w:r>
      <w:r>
        <w:rPr>
          <w:spacing w:val="-19"/>
          <w:sz w:val="24"/>
        </w:rPr>
        <w:t> </w:t>
      </w:r>
      <w:r>
        <w:rPr>
          <w:sz w:val="24"/>
        </w:rPr>
        <w:t>public for the AH as per policy of Govt.</w:t>
      </w:r>
    </w:p>
    <w:p>
      <w:pPr>
        <w:pStyle w:val="ListParagraph"/>
        <w:numPr>
          <w:ilvl w:val="0"/>
          <w:numId w:val="157"/>
        </w:numPr>
        <w:tabs>
          <w:tab w:pos="2062" w:val="left" w:leader="none"/>
          <w:tab w:pos="2335" w:val="left" w:leader="none"/>
        </w:tabs>
        <w:spacing w:line="240" w:lineRule="auto" w:before="1" w:after="0"/>
        <w:ind w:left="2062" w:right="768" w:hanging="12"/>
        <w:jc w:val="both"/>
        <w:rPr>
          <w:sz w:val="24"/>
        </w:rPr>
      </w:pPr>
      <w:r>
        <w:rPr>
          <w:sz w:val="24"/>
        </w:rPr>
        <w:t>The development of OA as per the requirements of MCGM shall be permissible as per these Regulations. Provided further that Municipal Commissioner’s decision regarding development of OA shall be final &amp; </w:t>
      </w:r>
      <w:r>
        <w:rPr>
          <w:spacing w:val="-2"/>
          <w:sz w:val="24"/>
        </w:rPr>
        <w:t>binding.</w:t>
      </w:r>
    </w:p>
    <w:p>
      <w:pPr>
        <w:pStyle w:val="ListParagraph"/>
        <w:numPr>
          <w:ilvl w:val="0"/>
          <w:numId w:val="157"/>
        </w:numPr>
        <w:tabs>
          <w:tab w:pos="2062" w:val="left" w:leader="none"/>
          <w:tab w:pos="2412" w:val="left" w:leader="none"/>
        </w:tabs>
        <w:spacing w:line="240" w:lineRule="auto" w:before="0" w:after="0"/>
        <w:ind w:left="2062" w:right="773" w:hanging="12"/>
        <w:jc w:val="both"/>
        <w:rPr>
          <w:sz w:val="24"/>
        </w:rPr>
      </w:pPr>
      <w:r>
        <w:rPr>
          <w:sz w:val="24"/>
        </w:rPr>
        <w:t>‘TDR’ or ‘Additional FSI on payment of premium’ shall not be permissible except fungible compensatory area.</w:t>
      </w:r>
    </w:p>
    <w:p>
      <w:pPr>
        <w:pStyle w:val="ListParagraph"/>
        <w:numPr>
          <w:ilvl w:val="0"/>
          <w:numId w:val="157"/>
        </w:numPr>
        <w:tabs>
          <w:tab w:pos="2062" w:val="left" w:leader="none"/>
          <w:tab w:pos="2335" w:val="left" w:leader="none"/>
        </w:tabs>
        <w:spacing w:line="240" w:lineRule="auto" w:before="0" w:after="0"/>
        <w:ind w:left="2062" w:right="768" w:hanging="12"/>
        <w:jc w:val="both"/>
        <w:rPr>
          <w:sz w:val="24"/>
        </w:rPr>
      </w:pPr>
      <w:r>
        <w:rPr>
          <w:sz w:val="24"/>
        </w:rPr>
        <w:t>The land handed over to MCGM for OA as stated above shall not be allowed</w:t>
      </w:r>
      <w:r>
        <w:rPr>
          <w:spacing w:val="-13"/>
          <w:sz w:val="24"/>
        </w:rPr>
        <w:t> </w:t>
      </w:r>
      <w:r>
        <w:rPr>
          <w:sz w:val="24"/>
        </w:rPr>
        <w:t>to</w:t>
      </w:r>
      <w:r>
        <w:rPr>
          <w:spacing w:val="-13"/>
          <w:sz w:val="24"/>
        </w:rPr>
        <w:t> </w:t>
      </w:r>
      <w:r>
        <w:rPr>
          <w:sz w:val="24"/>
        </w:rPr>
        <w:t>be</w:t>
      </w:r>
      <w:r>
        <w:rPr>
          <w:spacing w:val="-13"/>
          <w:sz w:val="24"/>
        </w:rPr>
        <w:t> </w:t>
      </w:r>
      <w:r>
        <w:rPr>
          <w:sz w:val="24"/>
        </w:rPr>
        <w:t>developed</w:t>
      </w:r>
      <w:r>
        <w:rPr>
          <w:spacing w:val="-13"/>
          <w:sz w:val="24"/>
        </w:rPr>
        <w:t> </w:t>
      </w:r>
      <w:r>
        <w:rPr>
          <w:sz w:val="24"/>
        </w:rPr>
        <w:t>under</w:t>
      </w:r>
      <w:r>
        <w:rPr>
          <w:spacing w:val="-13"/>
          <w:sz w:val="24"/>
        </w:rPr>
        <w:t> </w:t>
      </w:r>
      <w:r>
        <w:rPr>
          <w:sz w:val="24"/>
        </w:rPr>
        <w:t>AR</w:t>
      </w:r>
      <w:r>
        <w:rPr>
          <w:spacing w:val="-13"/>
          <w:sz w:val="24"/>
        </w:rPr>
        <w:t> </w:t>
      </w:r>
      <w:r>
        <w:rPr>
          <w:sz w:val="24"/>
        </w:rPr>
        <w:t>as</w:t>
      </w:r>
      <w:r>
        <w:rPr>
          <w:spacing w:val="-13"/>
          <w:sz w:val="24"/>
        </w:rPr>
        <w:t> </w:t>
      </w:r>
      <w:r>
        <w:rPr>
          <w:sz w:val="24"/>
        </w:rPr>
        <w:t>stipulated</w:t>
      </w:r>
      <w:r>
        <w:rPr>
          <w:spacing w:val="-13"/>
          <w:sz w:val="24"/>
        </w:rPr>
        <w:t> </w:t>
      </w:r>
      <w:r>
        <w:rPr>
          <w:sz w:val="24"/>
        </w:rPr>
        <w:t>in</w:t>
      </w:r>
      <w:r>
        <w:rPr>
          <w:spacing w:val="-13"/>
          <w:sz w:val="24"/>
        </w:rPr>
        <w:t> </w:t>
      </w:r>
      <w:r>
        <w:rPr>
          <w:sz w:val="24"/>
        </w:rPr>
        <w:t>Regulation</w:t>
      </w:r>
      <w:r>
        <w:rPr>
          <w:spacing w:val="-13"/>
          <w:sz w:val="24"/>
        </w:rPr>
        <w:t> </w:t>
      </w:r>
      <w:r>
        <w:rPr>
          <w:sz w:val="24"/>
        </w:rPr>
        <w:t>No</w:t>
      </w:r>
      <w:r>
        <w:rPr>
          <w:spacing w:val="-13"/>
          <w:sz w:val="24"/>
        </w:rPr>
        <w:t> </w:t>
      </w:r>
      <w:r>
        <w:rPr>
          <w:sz w:val="24"/>
        </w:rPr>
        <w:t>17</w:t>
      </w:r>
      <w:r>
        <w:rPr>
          <w:spacing w:val="-13"/>
          <w:sz w:val="24"/>
        </w:rPr>
        <w:t> </w:t>
      </w:r>
      <w:r>
        <w:rPr>
          <w:sz w:val="24"/>
        </w:rPr>
        <w:t>and shall have to be used entirely for the intended purpose as per these </w:t>
      </w:r>
      <w:r>
        <w:rPr>
          <w:spacing w:val="-2"/>
          <w:sz w:val="24"/>
        </w:rPr>
        <w:t>Regulations.</w:t>
      </w:r>
    </w:p>
    <w:p>
      <w:pPr>
        <w:pStyle w:val="ListParagraph"/>
        <w:numPr>
          <w:ilvl w:val="0"/>
          <w:numId w:val="157"/>
        </w:numPr>
        <w:tabs>
          <w:tab w:pos="2062" w:val="left" w:leader="none"/>
          <w:tab w:pos="2335" w:val="left" w:leader="none"/>
        </w:tabs>
        <w:spacing w:line="240" w:lineRule="auto" w:before="1" w:after="0"/>
        <w:ind w:left="2062" w:right="767" w:hanging="12"/>
        <w:jc w:val="both"/>
        <w:rPr>
          <w:sz w:val="24"/>
        </w:rPr>
      </w:pPr>
      <w:r>
        <w:rPr>
          <w:sz w:val="24"/>
        </w:rPr>
        <w:t>Notwithstanding anything contained in these Regulations, </w:t>
      </w:r>
      <w:r>
        <w:rPr>
          <w:spacing w:val="-2"/>
          <w:sz w:val="24"/>
        </w:rPr>
        <w:t>residential/commercial</w:t>
      </w:r>
      <w:r>
        <w:rPr>
          <w:spacing w:val="-3"/>
          <w:sz w:val="24"/>
        </w:rPr>
        <w:t> </w:t>
      </w:r>
      <w:r>
        <w:rPr>
          <w:spacing w:val="-2"/>
          <w:sz w:val="24"/>
        </w:rPr>
        <w:t>uses</w:t>
      </w:r>
      <w:r>
        <w:rPr>
          <w:spacing w:val="-3"/>
          <w:sz w:val="24"/>
        </w:rPr>
        <w:t> </w:t>
      </w:r>
      <w:r>
        <w:rPr>
          <w:spacing w:val="-2"/>
          <w:sz w:val="24"/>
        </w:rPr>
        <w:t>otherwise</w:t>
      </w:r>
      <w:r>
        <w:rPr>
          <w:spacing w:val="-3"/>
          <w:sz w:val="24"/>
        </w:rPr>
        <w:t> </w:t>
      </w:r>
      <w:r>
        <w:rPr>
          <w:spacing w:val="-2"/>
          <w:sz w:val="24"/>
        </w:rPr>
        <w:t>permissible,</w:t>
      </w:r>
      <w:r>
        <w:rPr>
          <w:spacing w:val="-3"/>
          <w:sz w:val="24"/>
        </w:rPr>
        <w:t> </w:t>
      </w:r>
      <w:r>
        <w:rPr>
          <w:spacing w:val="-2"/>
          <w:sz w:val="24"/>
        </w:rPr>
        <w:t>independent</w:t>
      </w:r>
      <w:r>
        <w:rPr>
          <w:spacing w:val="-3"/>
          <w:sz w:val="24"/>
        </w:rPr>
        <w:t> </w:t>
      </w:r>
      <w:r>
        <w:rPr>
          <w:spacing w:val="-2"/>
          <w:sz w:val="24"/>
        </w:rPr>
        <w:t>of</w:t>
      </w:r>
      <w:r>
        <w:rPr>
          <w:spacing w:val="-3"/>
          <w:sz w:val="24"/>
        </w:rPr>
        <w:t> </w:t>
      </w:r>
      <w:r>
        <w:rPr>
          <w:spacing w:val="-2"/>
          <w:sz w:val="24"/>
        </w:rPr>
        <w:t>road </w:t>
      </w:r>
      <w:r>
        <w:rPr>
          <w:sz w:val="24"/>
        </w:rPr>
        <w:t>width to which it abuts shall be permissible on the Govt./Semi- Govt./Appropriate Authority’s share of land. 15% of admissible FSI on AH plot shall be exclusively used for the purpose of convenient shops for use of residential occupants of layout</w:t>
      </w:r>
    </w:p>
    <w:p>
      <w:pPr>
        <w:pStyle w:val="ListParagraph"/>
        <w:numPr>
          <w:ilvl w:val="0"/>
          <w:numId w:val="157"/>
        </w:numPr>
        <w:tabs>
          <w:tab w:pos="2062" w:val="left" w:leader="none"/>
          <w:tab w:pos="2332" w:val="left" w:leader="none"/>
        </w:tabs>
        <w:spacing w:line="240" w:lineRule="auto" w:before="0" w:after="0"/>
        <w:ind w:left="2062" w:right="768" w:hanging="12"/>
        <w:jc w:val="both"/>
        <w:rPr>
          <w:sz w:val="24"/>
        </w:rPr>
      </w:pPr>
      <w:r>
        <w:rPr>
          <w:sz w:val="24"/>
        </w:rPr>
        <w:t>Development cess at 7% of the Land Rate (for FSI 1) for the BUA (excluding fungible compensatory area) to be constructed on Govt./Semi-Govt./Appropriate Authority’s shareof land as per ASR of the year of approval shall be paid to MCGM.</w:t>
      </w:r>
    </w:p>
    <w:p>
      <w:pPr>
        <w:pStyle w:val="Heading6"/>
        <w:spacing w:before="279"/>
        <w:ind w:right="838"/>
      </w:pPr>
      <w:r>
        <w:rPr>
          <w:i w:val="0"/>
        </w:rPr>
        <w:t>33(9) </w:t>
      </w:r>
      <w:r>
        <w:rPr/>
        <w:t>Reconstruction or redevelopment of Cluster(s) of Buildings under Cluster Development Scheme(s)(CDS):</w:t>
      </w:r>
    </w:p>
    <w:p>
      <w:pPr>
        <w:pStyle w:val="BodyText"/>
        <w:spacing w:before="243"/>
        <w:ind w:left="2062" w:right="773"/>
      </w:pPr>
      <w:r>
        <w:rPr/>
        <w:t>For</w:t>
      </w:r>
      <w:r>
        <w:rPr>
          <w:spacing w:val="80"/>
        </w:rPr>
        <w:t> </w:t>
      </w:r>
      <w:r>
        <w:rPr/>
        <w:t>reconstruction</w:t>
      </w:r>
      <w:r>
        <w:rPr>
          <w:spacing w:val="80"/>
        </w:rPr>
        <w:t> </w:t>
      </w:r>
      <w:r>
        <w:rPr/>
        <w:t>or</w:t>
      </w:r>
      <w:r>
        <w:rPr>
          <w:spacing w:val="80"/>
        </w:rPr>
        <w:t> </w:t>
      </w:r>
      <w:r>
        <w:rPr/>
        <w:t>redevelopment</w:t>
      </w:r>
      <w:r>
        <w:rPr>
          <w:spacing w:val="80"/>
        </w:rPr>
        <w:t> </w:t>
      </w:r>
      <w:r>
        <w:rPr/>
        <w:t>of</w:t>
      </w:r>
      <w:r>
        <w:rPr>
          <w:spacing w:val="80"/>
        </w:rPr>
        <w:t> </w:t>
      </w:r>
      <w:r>
        <w:rPr/>
        <w:t>Cluster(s)</w:t>
      </w:r>
      <w:r>
        <w:rPr>
          <w:spacing w:val="80"/>
        </w:rPr>
        <w:t> </w:t>
      </w:r>
      <w:r>
        <w:rPr/>
        <w:t>of</w:t>
      </w:r>
      <w:r>
        <w:rPr>
          <w:spacing w:val="80"/>
        </w:rPr>
        <w:t> </w:t>
      </w:r>
      <w:r>
        <w:rPr/>
        <w:t>buildings under Cluster Development </w:t>
      </w:r>
      <w:r>
        <w:rPr>
          <w:spacing w:val="9"/>
        </w:rPr>
        <w:t>Scheme(s)(CDS)in</w:t>
      </w:r>
      <w:r>
        <w:rPr>
          <w:spacing w:val="9"/>
        </w:rPr>
        <w:t> </w:t>
      </w:r>
      <w:r>
        <w:rPr/>
        <w:t>the Island City of Mumbai undertaken by (a) the MHADA or the MCGM either departmentally</w:t>
      </w:r>
      <w:r>
        <w:rPr>
          <w:spacing w:val="40"/>
        </w:rPr>
        <w:t> </w:t>
      </w:r>
      <w:r>
        <w:rPr/>
        <w:t>or</w:t>
      </w:r>
      <w:r>
        <w:rPr>
          <w:spacing w:val="40"/>
        </w:rPr>
        <w:t> </w:t>
      </w:r>
      <w:r>
        <w:rPr/>
        <w:t>through</w:t>
      </w:r>
      <w:r>
        <w:rPr>
          <w:spacing w:val="40"/>
        </w:rPr>
        <w:t> </w:t>
      </w:r>
      <w:r>
        <w:rPr/>
        <w:t>any</w:t>
      </w:r>
      <w:r>
        <w:rPr>
          <w:spacing w:val="40"/>
        </w:rPr>
        <w:t> </w:t>
      </w:r>
      <w:r>
        <w:rPr/>
        <w:t>suitable</w:t>
      </w:r>
      <w:r>
        <w:rPr>
          <w:spacing w:val="40"/>
        </w:rPr>
        <w:t> </w:t>
      </w:r>
      <w:r>
        <w:rPr/>
        <w:t>agency</w:t>
      </w:r>
      <w:r>
        <w:rPr>
          <w:spacing w:val="40"/>
        </w:rPr>
        <w:t> </w:t>
      </w:r>
      <w:r>
        <w:rPr/>
        <w:t>or</w:t>
      </w:r>
      <w:r>
        <w:rPr>
          <w:spacing w:val="40"/>
        </w:rPr>
        <w:t> </w:t>
      </w:r>
      <w:r>
        <w:rPr/>
        <w:t>(b) MHADA/MCGM, jointly with land owners and/or </w:t>
      </w:r>
      <w:r>
        <w:rPr>
          <w:spacing w:val="11"/>
        </w:rPr>
        <w:t>Co-</w:t>
      </w:r>
      <w:r>
        <w:rPr/>
        <w:t>op. Housing Societies of tenants/occupiers of buildings and/or </w:t>
      </w:r>
      <w:r>
        <w:rPr>
          <w:spacing w:val="10"/>
        </w:rPr>
        <w:t>Co-</w:t>
      </w:r>
      <w:r>
        <w:rPr/>
        <w:t>op. Housing Society</w:t>
      </w:r>
      <w:r>
        <w:rPr>
          <w:spacing w:val="40"/>
        </w:rPr>
        <w:t> </w:t>
      </w:r>
      <w:r>
        <w:rPr/>
        <w:t>of</w:t>
      </w:r>
      <w:r>
        <w:rPr>
          <w:spacing w:val="40"/>
        </w:rPr>
        <w:t> </w:t>
      </w:r>
      <w:r>
        <w:rPr/>
        <w:t>hutment</w:t>
      </w:r>
      <w:r>
        <w:rPr>
          <w:spacing w:val="40"/>
        </w:rPr>
        <w:t> </w:t>
      </w:r>
      <w:r>
        <w:rPr/>
        <w:t>dwellers</w:t>
      </w:r>
      <w:r>
        <w:rPr>
          <w:spacing w:val="40"/>
        </w:rPr>
        <w:t> </w:t>
      </w:r>
      <w:r>
        <w:rPr/>
        <w:t>therein,</w:t>
      </w:r>
      <w:r>
        <w:rPr>
          <w:spacing w:val="40"/>
        </w:rPr>
        <w:t> </w:t>
      </w:r>
      <w:r>
        <w:rPr/>
        <w:t>or</w:t>
      </w:r>
      <w:r>
        <w:rPr>
          <w:spacing w:val="40"/>
        </w:rPr>
        <w:t> </w:t>
      </w:r>
      <w:r>
        <w:rPr/>
        <w:t>(c)</w:t>
      </w:r>
      <w:r>
        <w:rPr>
          <w:spacing w:val="40"/>
        </w:rPr>
        <w:t> </w:t>
      </w:r>
      <w:r>
        <w:rPr/>
        <w:t>land</w:t>
      </w:r>
      <w:r>
        <w:rPr>
          <w:spacing w:val="40"/>
        </w:rPr>
        <w:t> </w:t>
      </w:r>
      <w:r>
        <w:rPr/>
        <w:t>owners</w:t>
      </w:r>
      <w:r>
        <w:rPr>
          <w:spacing w:val="40"/>
        </w:rPr>
        <w:t> </w:t>
      </w:r>
      <w:r>
        <w:rPr/>
        <w:t>and/or</w:t>
      </w:r>
      <w:r>
        <w:rPr>
          <w:spacing w:val="40"/>
        </w:rPr>
        <w:t> </w:t>
      </w:r>
      <w:r>
        <w:rPr/>
        <w:t>Co- op.</w:t>
      </w:r>
      <w:r>
        <w:rPr>
          <w:spacing w:val="40"/>
        </w:rPr>
        <w:t> </w:t>
      </w:r>
      <w:r>
        <w:rPr/>
        <w:t>Housing</w:t>
      </w:r>
      <w:r>
        <w:rPr>
          <w:spacing w:val="40"/>
        </w:rPr>
        <w:t> </w:t>
      </w:r>
      <w:r>
        <w:rPr/>
        <w:t>Society</w:t>
      </w:r>
      <w:r>
        <w:rPr>
          <w:spacing w:val="40"/>
        </w:rPr>
        <w:t> </w:t>
      </w:r>
      <w:r>
        <w:rPr/>
        <w:t>of</w:t>
      </w:r>
      <w:r>
        <w:rPr>
          <w:spacing w:val="40"/>
        </w:rPr>
        <w:t> </w:t>
      </w:r>
      <w:r>
        <w:rPr/>
        <w:t>tenants/occupiers</w:t>
      </w:r>
      <w:r>
        <w:rPr>
          <w:spacing w:val="40"/>
        </w:rPr>
        <w:t> </w:t>
      </w:r>
      <w:r>
        <w:rPr/>
        <w:t>of</w:t>
      </w:r>
      <w:r>
        <w:rPr>
          <w:spacing w:val="40"/>
        </w:rPr>
        <w:t> </w:t>
      </w:r>
      <w:r>
        <w:rPr/>
        <w:t>buildings</w:t>
      </w:r>
      <w:r>
        <w:rPr>
          <w:spacing w:val="40"/>
        </w:rPr>
        <w:t> </w:t>
      </w:r>
      <w:r>
        <w:rPr/>
        <w:t>and/</w:t>
      </w:r>
      <w:r>
        <w:rPr>
          <w:spacing w:val="-20"/>
        </w:rPr>
        <w:t> </w:t>
      </w:r>
      <w:r>
        <w:rPr/>
        <w:t>or</w:t>
      </w:r>
      <w:r>
        <w:rPr>
          <w:spacing w:val="40"/>
        </w:rPr>
        <w:t> </w:t>
      </w:r>
      <w:r>
        <w:rPr/>
        <w:t>Co- op</w:t>
      </w:r>
      <w:r>
        <w:rPr>
          <w:spacing w:val="40"/>
        </w:rPr>
        <w:t> </w:t>
      </w:r>
      <w:r>
        <w:rPr/>
        <w:t>Housing</w:t>
      </w:r>
      <w:r>
        <w:rPr>
          <w:spacing w:val="40"/>
        </w:rPr>
        <w:t> </w:t>
      </w:r>
      <w:r>
        <w:rPr/>
        <w:t>Society</w:t>
      </w:r>
      <w:r>
        <w:rPr>
          <w:spacing w:val="40"/>
        </w:rPr>
        <w:t> </w:t>
      </w:r>
      <w:r>
        <w:rPr/>
        <w:t>of</w:t>
      </w:r>
      <w:r>
        <w:rPr>
          <w:spacing w:val="40"/>
        </w:rPr>
        <w:t> </w:t>
      </w:r>
      <w:r>
        <w:rPr/>
        <w:t>hutment</w:t>
      </w:r>
      <w:r>
        <w:rPr>
          <w:spacing w:val="40"/>
        </w:rPr>
        <w:t> </w:t>
      </w:r>
      <w:r>
        <w:rPr/>
        <w:t>dwellers,</w:t>
      </w:r>
      <w:r>
        <w:rPr>
          <w:spacing w:val="40"/>
        </w:rPr>
        <w:t> </w:t>
      </w:r>
      <w:r>
        <w:rPr/>
        <w:t>independently</w:t>
      </w:r>
      <w:r>
        <w:rPr>
          <w:spacing w:val="40"/>
        </w:rPr>
        <w:t> </w:t>
      </w:r>
      <w:r>
        <w:rPr/>
        <w:t>or</w:t>
      </w:r>
      <w:r>
        <w:rPr>
          <w:spacing w:val="40"/>
        </w:rPr>
        <w:t> </w:t>
      </w:r>
      <w:r>
        <w:rPr/>
        <w:t>through</w:t>
      </w:r>
      <w:r>
        <w:rPr>
          <w:spacing w:val="80"/>
        </w:rPr>
        <w:t> </w:t>
      </w:r>
      <w:r>
        <w:rPr/>
        <w:t>a</w:t>
      </w:r>
      <w:r>
        <w:rPr>
          <w:spacing w:val="40"/>
        </w:rPr>
        <w:t> </w:t>
      </w:r>
      <w:r>
        <w:rPr/>
        <w:t>Promoter</w:t>
      </w:r>
      <w:r>
        <w:rPr>
          <w:spacing w:val="40"/>
        </w:rPr>
        <w:t> </w:t>
      </w:r>
      <w:r>
        <w:rPr/>
        <w:t>/Developer,</w:t>
      </w:r>
      <w:r>
        <w:rPr>
          <w:spacing w:val="40"/>
        </w:rPr>
        <w:t> </w:t>
      </w:r>
      <w:r>
        <w:rPr/>
        <w:t>the</w:t>
      </w:r>
      <w:r>
        <w:rPr>
          <w:spacing w:val="40"/>
        </w:rPr>
        <w:t> </w:t>
      </w:r>
      <w:r>
        <w:rPr/>
        <w:t>FSI</w:t>
      </w:r>
      <w:r>
        <w:rPr>
          <w:spacing w:val="40"/>
        </w:rPr>
        <w:t> </w:t>
      </w:r>
      <w:r>
        <w:rPr/>
        <w:t>shall</w:t>
      </w:r>
      <w:r>
        <w:rPr>
          <w:spacing w:val="40"/>
        </w:rPr>
        <w:t> </w:t>
      </w:r>
      <w:r>
        <w:rPr/>
        <w:t>be</w:t>
      </w:r>
      <w:r>
        <w:rPr>
          <w:spacing w:val="40"/>
        </w:rPr>
        <w:t> </w:t>
      </w:r>
      <w:r>
        <w:rPr/>
        <w:t>4.00</w:t>
      </w:r>
      <w:r>
        <w:rPr>
          <w:spacing w:val="40"/>
        </w:rPr>
        <w:t> </w:t>
      </w:r>
      <w:r>
        <w:rPr/>
        <w:t>or</w:t>
      </w:r>
      <w:r>
        <w:rPr>
          <w:spacing w:val="40"/>
        </w:rPr>
        <w:t> </w:t>
      </w:r>
      <w:r>
        <w:rPr/>
        <w:t>the</w:t>
      </w:r>
      <w:r>
        <w:rPr>
          <w:spacing w:val="40"/>
        </w:rPr>
        <w:t> </w:t>
      </w:r>
      <w:r>
        <w:rPr/>
        <w:t>FSI</w:t>
      </w:r>
      <w:r>
        <w:rPr>
          <w:spacing w:val="40"/>
        </w:rPr>
        <w:t> </w:t>
      </w:r>
      <w:r>
        <w:rPr/>
        <w:t>required</w:t>
      </w:r>
      <w:r>
        <w:rPr>
          <w:spacing w:val="40"/>
        </w:rPr>
        <w:t> </w:t>
      </w:r>
      <w:r>
        <w:rPr/>
        <w:t>for</w:t>
      </w:r>
      <w:r>
        <w:rPr>
          <w:spacing w:val="70"/>
        </w:rPr>
        <w:t> </w:t>
      </w:r>
      <w:r>
        <w:rPr/>
        <w:t>rehabilitation</w:t>
      </w:r>
      <w:r>
        <w:rPr>
          <w:spacing w:val="73"/>
        </w:rPr>
        <w:t> </w:t>
      </w:r>
      <w:r>
        <w:rPr/>
        <w:t>of</w:t>
      </w:r>
      <w:r>
        <w:rPr>
          <w:spacing w:val="70"/>
        </w:rPr>
        <w:t> </w:t>
      </w:r>
      <w:r>
        <w:rPr/>
        <w:t>existing</w:t>
      </w:r>
      <w:r>
        <w:rPr>
          <w:spacing w:val="73"/>
        </w:rPr>
        <w:t> </w:t>
      </w:r>
      <w:r>
        <w:rPr>
          <w:spacing w:val="9"/>
        </w:rPr>
        <w:t>tenants/occupiers</w:t>
      </w:r>
      <w:r>
        <w:rPr>
          <w:spacing w:val="70"/>
        </w:rPr>
        <w:t> </w:t>
      </w:r>
      <w:r>
        <w:rPr/>
        <w:t>plus</w:t>
      </w:r>
      <w:r>
        <w:rPr>
          <w:spacing w:val="70"/>
        </w:rPr>
        <w:t> </w:t>
      </w:r>
      <w:r>
        <w:rPr/>
        <w:t>incentive</w:t>
      </w:r>
      <w:r>
        <w:rPr>
          <w:spacing w:val="73"/>
        </w:rPr>
        <w:t> </w:t>
      </w:r>
      <w:r>
        <w:rPr/>
        <w:t>FSI</w:t>
      </w:r>
    </w:p>
    <w:p>
      <w:pPr>
        <w:pStyle w:val="BodyText"/>
        <w:spacing w:after="0"/>
        <w:sectPr>
          <w:pgSz w:w="11910" w:h="16840"/>
          <w:pgMar w:header="1065" w:footer="1194" w:top="1500" w:bottom="1380" w:left="360" w:right="360"/>
        </w:sectPr>
      </w:pPr>
    </w:p>
    <w:p>
      <w:pPr>
        <w:pStyle w:val="BodyText"/>
        <w:spacing w:before="249"/>
        <w:ind w:left="2062" w:right="783"/>
      </w:pPr>
      <w:r>
        <w:rPr/>
        <w:t>whichever</w:t>
      </w:r>
      <w:r>
        <w:rPr>
          <w:spacing w:val="40"/>
        </w:rPr>
        <w:t> </w:t>
      </w:r>
      <w:r>
        <w:rPr/>
        <w:t>is</w:t>
      </w:r>
      <w:r>
        <w:rPr>
          <w:spacing w:val="40"/>
        </w:rPr>
        <w:t> </w:t>
      </w:r>
      <w:r>
        <w:rPr/>
        <w:t>more</w:t>
      </w:r>
      <w:r>
        <w:rPr>
          <w:spacing w:val="40"/>
        </w:rPr>
        <w:t> </w:t>
      </w:r>
      <w:r>
        <w:rPr/>
        <w:t>as</w:t>
      </w:r>
      <w:r>
        <w:rPr>
          <w:spacing w:val="40"/>
        </w:rPr>
        <w:t> </w:t>
      </w:r>
      <w:r>
        <w:rPr/>
        <w:t>per</w:t>
      </w:r>
      <w:r>
        <w:rPr>
          <w:spacing w:val="40"/>
        </w:rPr>
        <w:t> </w:t>
      </w:r>
      <w:r>
        <w:rPr/>
        <w:t>the</w:t>
      </w:r>
      <w:r>
        <w:rPr>
          <w:spacing w:val="40"/>
        </w:rPr>
        <w:t> </w:t>
      </w:r>
      <w:r>
        <w:rPr/>
        <w:t>provisions</w:t>
      </w:r>
      <w:r>
        <w:rPr>
          <w:spacing w:val="40"/>
        </w:rPr>
        <w:t> </w:t>
      </w:r>
      <w:r>
        <w:rPr/>
        <w:t>of</w:t>
      </w:r>
      <w:r>
        <w:rPr>
          <w:spacing w:val="40"/>
        </w:rPr>
        <w:t> </w:t>
      </w:r>
      <w:r>
        <w:rPr/>
        <w:t>this</w:t>
      </w:r>
      <w:r>
        <w:rPr>
          <w:spacing w:val="40"/>
        </w:rPr>
        <w:t> </w:t>
      </w:r>
      <w:r>
        <w:rPr/>
        <w:t>Regulation</w:t>
      </w:r>
      <w:r>
        <w:rPr>
          <w:spacing w:val="40"/>
        </w:rPr>
        <w:t> </w:t>
      </w:r>
      <w:r>
        <w:rPr/>
        <w:t>as follows .</w:t>
      </w:r>
    </w:p>
    <w:p>
      <w:pPr>
        <w:pStyle w:val="ListParagraph"/>
        <w:numPr>
          <w:ilvl w:val="1"/>
          <w:numId w:val="158"/>
        </w:numPr>
        <w:tabs>
          <w:tab w:pos="2715" w:val="left" w:leader="none"/>
        </w:tabs>
        <w:spacing w:line="240" w:lineRule="auto" w:before="241" w:after="0"/>
        <w:ind w:left="2062" w:right="771" w:firstLine="0"/>
        <w:jc w:val="both"/>
        <w:rPr>
          <w:sz w:val="24"/>
        </w:rPr>
      </w:pPr>
      <w:r>
        <w:rPr>
          <w:i/>
          <w:sz w:val="24"/>
        </w:rPr>
        <w:t>Cluster Development Scheme</w:t>
      </w:r>
      <w:r>
        <w:rPr>
          <w:sz w:val="24"/>
        </w:rPr>
        <w:t>(CDS)means any scheme for redevelopment of a cluster of buildings and structures over a</w:t>
      </w:r>
      <w:r>
        <w:rPr>
          <w:spacing w:val="40"/>
          <w:sz w:val="24"/>
        </w:rPr>
        <w:t> </w:t>
      </w:r>
      <w:r>
        <w:rPr>
          <w:sz w:val="24"/>
        </w:rPr>
        <w:t>minimum</w:t>
      </w:r>
      <w:r>
        <w:rPr>
          <w:spacing w:val="40"/>
          <w:sz w:val="24"/>
        </w:rPr>
        <w:t> </w:t>
      </w:r>
      <w:r>
        <w:rPr>
          <w:sz w:val="24"/>
        </w:rPr>
        <w:t>area</w:t>
      </w:r>
      <w:r>
        <w:rPr>
          <w:spacing w:val="40"/>
          <w:sz w:val="24"/>
        </w:rPr>
        <w:t> </w:t>
      </w:r>
      <w:r>
        <w:rPr>
          <w:sz w:val="24"/>
        </w:rPr>
        <w:t>of</w:t>
      </w:r>
      <w:r>
        <w:rPr>
          <w:spacing w:val="40"/>
          <w:sz w:val="24"/>
        </w:rPr>
        <w:t> </w:t>
      </w:r>
      <w:r>
        <w:rPr>
          <w:sz w:val="24"/>
        </w:rPr>
        <w:t>4000</w:t>
      </w:r>
      <w:r>
        <w:rPr>
          <w:spacing w:val="40"/>
          <w:sz w:val="24"/>
        </w:rPr>
        <w:t> </w:t>
      </w:r>
      <w:r>
        <w:rPr>
          <w:sz w:val="24"/>
        </w:rPr>
        <w:t>sq.</w:t>
      </w:r>
      <w:r>
        <w:rPr>
          <w:spacing w:val="40"/>
          <w:sz w:val="24"/>
        </w:rPr>
        <w:t> </w:t>
      </w:r>
      <w:r>
        <w:rPr>
          <w:sz w:val="24"/>
        </w:rPr>
        <w:t>m</w:t>
      </w:r>
      <w:r>
        <w:rPr>
          <w:spacing w:val="40"/>
          <w:sz w:val="24"/>
        </w:rPr>
        <w:t> </w:t>
      </w:r>
      <w:r>
        <w:rPr>
          <w:sz w:val="24"/>
        </w:rPr>
        <w:t>in</w:t>
      </w:r>
      <w:r>
        <w:rPr>
          <w:spacing w:val="40"/>
          <w:sz w:val="24"/>
        </w:rPr>
        <w:t> </w:t>
      </w:r>
      <w:r>
        <w:rPr>
          <w:sz w:val="24"/>
        </w:rPr>
        <w:t>the</w:t>
      </w:r>
      <w:r>
        <w:rPr>
          <w:spacing w:val="40"/>
          <w:sz w:val="24"/>
        </w:rPr>
        <w:t> </w:t>
      </w:r>
      <w:r>
        <w:rPr>
          <w:sz w:val="24"/>
        </w:rPr>
        <w:t>Island</w:t>
      </w:r>
      <w:r>
        <w:rPr>
          <w:spacing w:val="40"/>
          <w:sz w:val="24"/>
        </w:rPr>
        <w:t> </w:t>
      </w:r>
      <w:r>
        <w:rPr>
          <w:sz w:val="24"/>
        </w:rPr>
        <w:t>City</w:t>
      </w:r>
      <w:r>
        <w:rPr>
          <w:spacing w:val="40"/>
          <w:sz w:val="24"/>
        </w:rPr>
        <w:t> </w:t>
      </w:r>
      <w:r>
        <w:rPr>
          <w:sz w:val="24"/>
        </w:rPr>
        <w:t>of</w:t>
      </w:r>
      <w:r>
        <w:rPr>
          <w:spacing w:val="40"/>
          <w:sz w:val="24"/>
        </w:rPr>
        <w:t> </w:t>
      </w:r>
      <w:r>
        <w:rPr>
          <w:sz w:val="24"/>
        </w:rPr>
        <w:t>Mumbai</w:t>
      </w:r>
      <w:r>
        <w:rPr>
          <w:spacing w:val="40"/>
          <w:sz w:val="24"/>
        </w:rPr>
        <w:t> </w:t>
      </w:r>
      <w:r>
        <w:rPr>
          <w:sz w:val="24"/>
        </w:rPr>
        <w:t>and 6000</w:t>
      </w:r>
      <w:r>
        <w:rPr>
          <w:spacing w:val="40"/>
          <w:sz w:val="24"/>
        </w:rPr>
        <w:t> </w:t>
      </w:r>
      <w:r>
        <w:rPr>
          <w:sz w:val="24"/>
        </w:rPr>
        <w:t>sq.</w:t>
      </w:r>
      <w:r>
        <w:rPr>
          <w:spacing w:val="40"/>
          <w:sz w:val="24"/>
        </w:rPr>
        <w:t> </w:t>
      </w:r>
      <w:r>
        <w:rPr>
          <w:sz w:val="24"/>
        </w:rPr>
        <w:t>m</w:t>
      </w:r>
      <w:r>
        <w:rPr>
          <w:spacing w:val="40"/>
          <w:sz w:val="24"/>
        </w:rPr>
        <w:t> </w:t>
      </w:r>
      <w:r>
        <w:rPr>
          <w:sz w:val="24"/>
        </w:rPr>
        <w:t>in</w:t>
      </w:r>
      <w:r>
        <w:rPr>
          <w:spacing w:val="40"/>
          <w:sz w:val="24"/>
        </w:rPr>
        <w:t> </w:t>
      </w:r>
      <w:r>
        <w:rPr>
          <w:sz w:val="24"/>
        </w:rPr>
        <w:t>the</w:t>
      </w:r>
      <w:r>
        <w:rPr>
          <w:spacing w:val="40"/>
          <w:sz w:val="24"/>
        </w:rPr>
        <w:t> </w:t>
      </w:r>
      <w:r>
        <w:rPr>
          <w:sz w:val="24"/>
        </w:rPr>
        <w:t>Mumbai</w:t>
      </w:r>
      <w:r>
        <w:rPr>
          <w:spacing w:val="40"/>
          <w:sz w:val="24"/>
        </w:rPr>
        <w:t> </w:t>
      </w:r>
      <w:r>
        <w:rPr>
          <w:sz w:val="24"/>
        </w:rPr>
        <w:t>Suburbs</w:t>
      </w:r>
      <w:r>
        <w:rPr>
          <w:spacing w:val="40"/>
          <w:sz w:val="24"/>
        </w:rPr>
        <w:t> </w:t>
      </w:r>
      <w:r>
        <w:rPr>
          <w:sz w:val="24"/>
        </w:rPr>
        <w:t>&amp;Extended</w:t>
      </w:r>
      <w:r>
        <w:rPr>
          <w:spacing w:val="40"/>
          <w:sz w:val="24"/>
        </w:rPr>
        <w:t> </w:t>
      </w:r>
      <w:r>
        <w:rPr>
          <w:sz w:val="24"/>
        </w:rPr>
        <w:t>Suburbs,</w:t>
      </w:r>
      <w:r>
        <w:rPr>
          <w:spacing w:val="40"/>
          <w:sz w:val="24"/>
        </w:rPr>
        <w:t> </w:t>
      </w:r>
      <w:r>
        <w:rPr>
          <w:sz w:val="24"/>
        </w:rPr>
        <w:t>bounded by</w:t>
      </w:r>
      <w:r>
        <w:rPr>
          <w:spacing w:val="40"/>
          <w:sz w:val="24"/>
        </w:rPr>
        <w:t> </w:t>
      </w:r>
      <w:r>
        <w:rPr>
          <w:sz w:val="24"/>
        </w:rPr>
        <w:t>existing</w:t>
      </w:r>
      <w:r>
        <w:rPr>
          <w:spacing w:val="40"/>
          <w:sz w:val="24"/>
        </w:rPr>
        <w:t> </w:t>
      </w:r>
      <w:r>
        <w:rPr>
          <w:sz w:val="24"/>
        </w:rPr>
        <w:t>distinguishing</w:t>
      </w:r>
      <w:r>
        <w:rPr>
          <w:spacing w:val="80"/>
          <w:sz w:val="24"/>
        </w:rPr>
        <w:t> </w:t>
      </w:r>
      <w:r>
        <w:rPr>
          <w:sz w:val="24"/>
        </w:rPr>
        <w:t>physical</w:t>
      </w:r>
      <w:r>
        <w:rPr>
          <w:spacing w:val="80"/>
          <w:sz w:val="24"/>
        </w:rPr>
        <w:t> </w:t>
      </w:r>
      <w:r>
        <w:rPr>
          <w:sz w:val="24"/>
        </w:rPr>
        <w:t>boundaries</w:t>
      </w:r>
      <w:r>
        <w:rPr>
          <w:spacing w:val="40"/>
          <w:sz w:val="24"/>
        </w:rPr>
        <w:t> </w:t>
      </w:r>
      <w:r>
        <w:rPr>
          <w:sz w:val="24"/>
        </w:rPr>
        <w:t>such</w:t>
      </w:r>
      <w:r>
        <w:rPr>
          <w:spacing w:val="80"/>
          <w:sz w:val="24"/>
        </w:rPr>
        <w:t> </w:t>
      </w:r>
      <w:r>
        <w:rPr>
          <w:sz w:val="24"/>
        </w:rPr>
        <w:t>as</w:t>
      </w:r>
      <w:r>
        <w:rPr>
          <w:spacing w:val="40"/>
          <w:sz w:val="24"/>
        </w:rPr>
        <w:t> </w:t>
      </w:r>
      <w:r>
        <w:rPr>
          <w:sz w:val="24"/>
        </w:rPr>
        <w:t>roads, nallas</w:t>
      </w:r>
      <w:r>
        <w:rPr>
          <w:spacing w:val="40"/>
          <w:sz w:val="24"/>
        </w:rPr>
        <w:t> </w:t>
      </w:r>
      <w:r>
        <w:rPr>
          <w:sz w:val="24"/>
        </w:rPr>
        <w:t>and</w:t>
      </w:r>
      <w:r>
        <w:rPr>
          <w:spacing w:val="40"/>
          <w:sz w:val="24"/>
        </w:rPr>
        <w:t> </w:t>
      </w:r>
      <w:r>
        <w:rPr>
          <w:sz w:val="24"/>
        </w:rPr>
        <w:t>railway</w:t>
      </w:r>
      <w:r>
        <w:rPr>
          <w:spacing w:val="40"/>
          <w:sz w:val="24"/>
        </w:rPr>
        <w:t> </w:t>
      </w:r>
      <w:r>
        <w:rPr>
          <w:sz w:val="24"/>
        </w:rPr>
        <w:t>lines</w:t>
      </w:r>
      <w:r>
        <w:rPr>
          <w:spacing w:val="40"/>
          <w:sz w:val="24"/>
        </w:rPr>
        <w:t> </w:t>
      </w:r>
      <w:r>
        <w:rPr>
          <w:sz w:val="24"/>
        </w:rPr>
        <w:t>etc.</w:t>
      </w:r>
      <w:r>
        <w:rPr>
          <w:spacing w:val="40"/>
          <w:sz w:val="24"/>
        </w:rPr>
        <w:t> </w:t>
      </w:r>
      <w:r>
        <w:rPr>
          <w:sz w:val="24"/>
        </w:rPr>
        <w:t>and</w:t>
      </w:r>
      <w:r>
        <w:rPr>
          <w:spacing w:val="40"/>
          <w:sz w:val="24"/>
        </w:rPr>
        <w:t> </w:t>
      </w:r>
      <w:r>
        <w:rPr>
          <w:sz w:val="24"/>
        </w:rPr>
        <w:t>accessible</w:t>
      </w:r>
      <w:r>
        <w:rPr>
          <w:spacing w:val="40"/>
          <w:sz w:val="24"/>
        </w:rPr>
        <w:t> </w:t>
      </w:r>
      <w:r>
        <w:rPr>
          <w:sz w:val="24"/>
        </w:rPr>
        <w:t>by</w:t>
      </w:r>
      <w:r>
        <w:rPr>
          <w:spacing w:val="40"/>
          <w:sz w:val="24"/>
        </w:rPr>
        <w:t> </w:t>
      </w:r>
      <w:r>
        <w:rPr>
          <w:sz w:val="24"/>
        </w:rPr>
        <w:t>an</w:t>
      </w:r>
      <w:r>
        <w:rPr>
          <w:spacing w:val="40"/>
          <w:sz w:val="24"/>
        </w:rPr>
        <w:t> </w:t>
      </w:r>
      <w:r>
        <w:rPr>
          <w:sz w:val="24"/>
        </w:rPr>
        <w:t>existing</w:t>
      </w:r>
      <w:r>
        <w:rPr>
          <w:spacing w:val="40"/>
          <w:sz w:val="24"/>
        </w:rPr>
        <w:t> </w:t>
      </w:r>
      <w:r>
        <w:rPr>
          <w:sz w:val="24"/>
        </w:rPr>
        <w:t>or proposed D.P. road which is at least </w:t>
      </w:r>
      <w:r>
        <w:rPr>
          <w:color w:val="000000"/>
          <w:sz w:val="24"/>
          <w:shd w:fill="FFCCFF" w:color="auto" w:val="clear"/>
        </w:rPr>
        <w:t>18</w:t>
      </w:r>
      <w:r>
        <w:rPr>
          <w:color w:val="000000"/>
          <w:sz w:val="24"/>
        </w:rPr>
        <w:t>m wide whether existing or proposed</w:t>
      </w:r>
      <w:r>
        <w:rPr>
          <w:color w:val="000000"/>
          <w:spacing w:val="40"/>
          <w:sz w:val="24"/>
        </w:rPr>
        <w:t> </w:t>
      </w:r>
      <w:r>
        <w:rPr>
          <w:color w:val="000000"/>
          <w:sz w:val="24"/>
        </w:rPr>
        <w:t>in</w:t>
      </w:r>
      <w:r>
        <w:rPr>
          <w:color w:val="000000"/>
          <w:spacing w:val="40"/>
          <w:sz w:val="24"/>
        </w:rPr>
        <w:t> </w:t>
      </w:r>
      <w:r>
        <w:rPr>
          <w:color w:val="000000"/>
          <w:sz w:val="24"/>
        </w:rPr>
        <w:t>the</w:t>
      </w:r>
      <w:r>
        <w:rPr>
          <w:color w:val="000000"/>
          <w:spacing w:val="40"/>
          <w:sz w:val="24"/>
        </w:rPr>
        <w:t> </w:t>
      </w:r>
      <w:r>
        <w:rPr>
          <w:color w:val="000000"/>
          <w:sz w:val="24"/>
        </w:rPr>
        <w:t>D.P.</w:t>
      </w:r>
      <w:r>
        <w:rPr>
          <w:color w:val="000000"/>
          <w:spacing w:val="40"/>
          <w:sz w:val="24"/>
        </w:rPr>
        <w:t> </w:t>
      </w:r>
      <w:r>
        <w:rPr>
          <w:color w:val="000000"/>
          <w:sz w:val="24"/>
        </w:rPr>
        <w:t>or</w:t>
      </w:r>
      <w:r>
        <w:rPr>
          <w:color w:val="000000"/>
          <w:spacing w:val="40"/>
          <w:sz w:val="24"/>
        </w:rPr>
        <w:t> </w:t>
      </w:r>
      <w:r>
        <w:rPr>
          <w:color w:val="000000"/>
          <w:sz w:val="24"/>
        </w:rPr>
        <w:t>URP</w:t>
      </w:r>
      <w:r>
        <w:rPr>
          <w:color w:val="000000"/>
          <w:spacing w:val="40"/>
          <w:sz w:val="24"/>
        </w:rPr>
        <w:t> </w:t>
      </w:r>
      <w:r>
        <w:rPr>
          <w:color w:val="000000"/>
          <w:sz w:val="24"/>
        </w:rPr>
        <w:t>or</w:t>
      </w:r>
      <w:r>
        <w:rPr>
          <w:color w:val="000000"/>
          <w:spacing w:val="40"/>
          <w:sz w:val="24"/>
        </w:rPr>
        <w:t> </w:t>
      </w:r>
      <w:r>
        <w:rPr>
          <w:color w:val="000000"/>
          <w:sz w:val="24"/>
        </w:rPr>
        <w:t>a</w:t>
      </w:r>
      <w:r>
        <w:rPr>
          <w:color w:val="000000"/>
          <w:spacing w:val="40"/>
          <w:sz w:val="24"/>
        </w:rPr>
        <w:t> </w:t>
      </w:r>
      <w:r>
        <w:rPr>
          <w:color w:val="000000"/>
          <w:sz w:val="24"/>
        </w:rPr>
        <w:t>road</w:t>
      </w:r>
      <w:r>
        <w:rPr>
          <w:color w:val="000000"/>
          <w:spacing w:val="40"/>
          <w:sz w:val="24"/>
        </w:rPr>
        <w:t> </w:t>
      </w:r>
      <w:r>
        <w:rPr>
          <w:color w:val="000000"/>
          <w:sz w:val="24"/>
        </w:rPr>
        <w:t>for</w:t>
      </w:r>
      <w:r>
        <w:rPr>
          <w:color w:val="000000"/>
          <w:spacing w:val="40"/>
          <w:sz w:val="24"/>
        </w:rPr>
        <w:t> </w:t>
      </w:r>
      <w:r>
        <w:rPr>
          <w:color w:val="000000"/>
          <w:sz w:val="24"/>
        </w:rPr>
        <w:t>which</w:t>
      </w:r>
      <w:r>
        <w:rPr>
          <w:color w:val="000000"/>
          <w:spacing w:val="40"/>
          <w:sz w:val="24"/>
        </w:rPr>
        <w:t> </w:t>
      </w:r>
      <w:r>
        <w:rPr>
          <w:color w:val="000000"/>
          <w:spacing w:val="9"/>
          <w:sz w:val="24"/>
        </w:rPr>
        <w:t>Sanctioned </w:t>
      </w:r>
      <w:r>
        <w:rPr>
          <w:color w:val="000000"/>
          <w:sz w:val="24"/>
        </w:rPr>
        <w:t>Regular</w:t>
      </w:r>
      <w:r>
        <w:rPr>
          <w:color w:val="000000"/>
          <w:spacing w:val="40"/>
          <w:sz w:val="24"/>
        </w:rPr>
        <w:t> </w:t>
      </w:r>
      <w:r>
        <w:rPr>
          <w:color w:val="000000"/>
          <w:sz w:val="24"/>
        </w:rPr>
        <w:t>line</w:t>
      </w:r>
      <w:r>
        <w:rPr>
          <w:color w:val="000000"/>
          <w:spacing w:val="40"/>
          <w:sz w:val="24"/>
        </w:rPr>
        <w:t> </w:t>
      </w:r>
      <w:r>
        <w:rPr>
          <w:color w:val="000000"/>
          <w:sz w:val="24"/>
        </w:rPr>
        <w:t>of</w:t>
      </w:r>
      <w:r>
        <w:rPr>
          <w:color w:val="000000"/>
          <w:spacing w:val="40"/>
          <w:sz w:val="24"/>
        </w:rPr>
        <w:t> </w:t>
      </w:r>
      <w:r>
        <w:rPr>
          <w:color w:val="000000"/>
          <w:sz w:val="24"/>
        </w:rPr>
        <w:t>street</w:t>
      </w:r>
      <w:r>
        <w:rPr>
          <w:color w:val="000000"/>
          <w:spacing w:val="40"/>
          <w:sz w:val="24"/>
        </w:rPr>
        <w:t> </w:t>
      </w:r>
      <w:r>
        <w:rPr>
          <w:color w:val="000000"/>
          <w:sz w:val="24"/>
        </w:rPr>
        <w:t>has</w:t>
      </w:r>
      <w:r>
        <w:rPr>
          <w:color w:val="000000"/>
          <w:spacing w:val="40"/>
          <w:sz w:val="24"/>
        </w:rPr>
        <w:t> </w:t>
      </w:r>
      <w:r>
        <w:rPr>
          <w:color w:val="000000"/>
          <w:sz w:val="24"/>
        </w:rPr>
        <w:t>been</w:t>
      </w:r>
      <w:r>
        <w:rPr>
          <w:color w:val="000000"/>
          <w:spacing w:val="40"/>
          <w:sz w:val="24"/>
        </w:rPr>
        <w:t> </w:t>
      </w:r>
      <w:r>
        <w:rPr>
          <w:color w:val="000000"/>
          <w:sz w:val="24"/>
        </w:rPr>
        <w:t>prescribed</w:t>
      </w:r>
      <w:r>
        <w:rPr>
          <w:color w:val="000000"/>
          <w:spacing w:val="40"/>
          <w:sz w:val="24"/>
        </w:rPr>
        <w:t> </w:t>
      </w:r>
      <w:r>
        <w:rPr>
          <w:color w:val="000000"/>
          <w:sz w:val="24"/>
        </w:rPr>
        <w:t>by</w:t>
      </w:r>
      <w:r>
        <w:rPr>
          <w:color w:val="000000"/>
          <w:spacing w:val="40"/>
          <w:sz w:val="24"/>
        </w:rPr>
        <w:t> </w:t>
      </w:r>
      <w:r>
        <w:rPr>
          <w:color w:val="000000"/>
          <w:sz w:val="24"/>
        </w:rPr>
        <w:t>the</w:t>
      </w:r>
      <w:r>
        <w:rPr>
          <w:color w:val="000000"/>
          <w:spacing w:val="40"/>
          <w:sz w:val="24"/>
        </w:rPr>
        <w:t> </w:t>
      </w:r>
      <w:r>
        <w:rPr>
          <w:color w:val="000000"/>
          <w:sz w:val="24"/>
        </w:rPr>
        <w:t>MCGM</w:t>
      </w:r>
      <w:r>
        <w:rPr>
          <w:color w:val="000000"/>
          <w:spacing w:val="40"/>
          <w:sz w:val="24"/>
        </w:rPr>
        <w:t> </w:t>
      </w:r>
      <w:r>
        <w:rPr>
          <w:color w:val="000000"/>
          <w:sz w:val="24"/>
        </w:rPr>
        <w:t>under MMC</w:t>
      </w:r>
      <w:r>
        <w:rPr>
          <w:color w:val="000000"/>
          <w:spacing w:val="40"/>
          <w:sz w:val="24"/>
        </w:rPr>
        <w:t> </w:t>
      </w:r>
      <w:r>
        <w:rPr>
          <w:color w:val="000000"/>
          <w:sz w:val="24"/>
        </w:rPr>
        <w:t>Act,</w:t>
      </w:r>
      <w:r>
        <w:rPr>
          <w:color w:val="000000"/>
          <w:spacing w:val="40"/>
          <w:sz w:val="24"/>
        </w:rPr>
        <w:t> </w:t>
      </w:r>
      <w:r>
        <w:rPr>
          <w:color w:val="000000"/>
          <w:sz w:val="24"/>
        </w:rPr>
        <w:t>1888.</w:t>
      </w:r>
      <w:r>
        <w:rPr>
          <w:color w:val="000000"/>
          <w:spacing w:val="40"/>
          <w:sz w:val="24"/>
        </w:rPr>
        <w:t> </w:t>
      </w:r>
      <w:r>
        <w:rPr>
          <w:color w:val="000000"/>
          <w:sz w:val="24"/>
        </w:rPr>
        <w:t>Such</w:t>
      </w:r>
      <w:r>
        <w:rPr>
          <w:color w:val="000000"/>
          <w:spacing w:val="40"/>
          <w:sz w:val="24"/>
        </w:rPr>
        <w:t> </w:t>
      </w:r>
      <w:r>
        <w:rPr>
          <w:color w:val="000000"/>
          <w:sz w:val="24"/>
        </w:rPr>
        <w:t>cluster</w:t>
      </w:r>
      <w:r>
        <w:rPr>
          <w:color w:val="000000"/>
          <w:spacing w:val="40"/>
          <w:sz w:val="24"/>
        </w:rPr>
        <w:t> </w:t>
      </w:r>
      <w:r>
        <w:rPr>
          <w:color w:val="000000"/>
          <w:sz w:val="24"/>
        </w:rPr>
        <w:t>of</w:t>
      </w:r>
      <w:r>
        <w:rPr>
          <w:color w:val="000000"/>
          <w:spacing w:val="40"/>
          <w:sz w:val="24"/>
        </w:rPr>
        <w:t> </w:t>
      </w:r>
      <w:r>
        <w:rPr>
          <w:color w:val="000000"/>
          <w:sz w:val="24"/>
        </w:rPr>
        <w:t>buildings</w:t>
      </w:r>
      <w:r>
        <w:rPr>
          <w:color w:val="000000"/>
          <w:spacing w:val="40"/>
          <w:sz w:val="24"/>
        </w:rPr>
        <w:t> </w:t>
      </w:r>
      <w:r>
        <w:rPr>
          <w:color w:val="000000"/>
          <w:sz w:val="24"/>
        </w:rPr>
        <w:t>(hereinafter</w:t>
      </w:r>
      <w:r>
        <w:rPr>
          <w:color w:val="000000"/>
          <w:spacing w:val="40"/>
          <w:sz w:val="24"/>
        </w:rPr>
        <w:t> </w:t>
      </w:r>
      <w:r>
        <w:rPr>
          <w:color w:val="000000"/>
          <w:sz w:val="24"/>
        </w:rPr>
        <w:t>referred</w:t>
      </w:r>
      <w:r>
        <w:rPr>
          <w:color w:val="000000"/>
          <w:spacing w:val="40"/>
          <w:sz w:val="24"/>
        </w:rPr>
        <w:t> </w:t>
      </w:r>
      <w:r>
        <w:rPr>
          <w:color w:val="000000"/>
          <w:sz w:val="24"/>
        </w:rPr>
        <w:t>to</w:t>
      </w:r>
      <w:r>
        <w:rPr>
          <w:color w:val="000000"/>
          <w:spacing w:val="80"/>
          <w:sz w:val="24"/>
        </w:rPr>
        <w:t> </w:t>
      </w:r>
      <w:r>
        <w:rPr>
          <w:color w:val="000000"/>
          <w:sz w:val="24"/>
        </w:rPr>
        <w:t>as</w:t>
      </w:r>
      <w:r>
        <w:rPr>
          <w:color w:val="000000"/>
          <w:spacing w:val="40"/>
          <w:sz w:val="24"/>
        </w:rPr>
        <w:t> </w:t>
      </w:r>
      <w:r>
        <w:rPr>
          <w:color w:val="000000"/>
          <w:sz w:val="24"/>
        </w:rPr>
        <w:t>") </w:t>
      </w:r>
      <w:r>
        <w:rPr>
          <w:i/>
          <w:color w:val="000000"/>
          <w:sz w:val="24"/>
        </w:rPr>
        <w:t>Cluster Development (CD)</w:t>
      </w:r>
      <w:r>
        <w:rPr>
          <w:color w:val="000000"/>
          <w:sz w:val="24"/>
        </w:rPr>
        <w:t>”</w:t>
      </w:r>
      <w:r>
        <w:rPr>
          <w:color w:val="000000"/>
          <w:spacing w:val="40"/>
          <w:sz w:val="24"/>
        </w:rPr>
        <w:t> </w:t>
      </w:r>
      <w:r>
        <w:rPr>
          <w:color w:val="000000"/>
          <w:sz w:val="24"/>
        </w:rPr>
        <w:t>shall</w:t>
      </w:r>
      <w:r>
        <w:rPr>
          <w:color w:val="000000"/>
          <w:spacing w:val="40"/>
          <w:sz w:val="24"/>
        </w:rPr>
        <w:t> </w:t>
      </w:r>
      <w:r>
        <w:rPr>
          <w:color w:val="000000"/>
          <w:sz w:val="24"/>
        </w:rPr>
        <w:t>be</w:t>
      </w:r>
      <w:r>
        <w:rPr>
          <w:color w:val="000000"/>
          <w:spacing w:val="40"/>
          <w:sz w:val="24"/>
        </w:rPr>
        <w:t> </w:t>
      </w:r>
      <w:r>
        <w:rPr>
          <w:color w:val="000000"/>
          <w:sz w:val="24"/>
        </w:rPr>
        <w:t>a</w:t>
      </w:r>
      <w:r>
        <w:rPr>
          <w:color w:val="000000"/>
          <w:spacing w:val="40"/>
          <w:sz w:val="24"/>
        </w:rPr>
        <w:t> </w:t>
      </w:r>
      <w:r>
        <w:rPr>
          <w:color w:val="000000"/>
          <w:sz w:val="24"/>
        </w:rPr>
        <w:t>cluster</w:t>
      </w:r>
      <w:r>
        <w:rPr>
          <w:color w:val="000000"/>
          <w:spacing w:val="40"/>
          <w:sz w:val="24"/>
        </w:rPr>
        <w:t> </w:t>
      </w:r>
      <w:r>
        <w:rPr>
          <w:color w:val="000000"/>
          <w:sz w:val="24"/>
        </w:rPr>
        <w:t>or</w:t>
      </w:r>
      <w:r>
        <w:rPr>
          <w:color w:val="000000"/>
          <w:spacing w:val="40"/>
          <w:sz w:val="24"/>
        </w:rPr>
        <w:t> </w:t>
      </w:r>
      <w:r>
        <w:rPr>
          <w:color w:val="000000"/>
          <w:sz w:val="24"/>
        </w:rPr>
        <w:t>a</w:t>
      </w:r>
      <w:r>
        <w:rPr>
          <w:color w:val="000000"/>
          <w:spacing w:val="40"/>
          <w:sz w:val="24"/>
        </w:rPr>
        <w:t> </w:t>
      </w:r>
      <w:r>
        <w:rPr>
          <w:color w:val="000000"/>
          <w:sz w:val="24"/>
        </w:rPr>
        <w:t>group</w:t>
      </w:r>
      <w:r>
        <w:rPr>
          <w:color w:val="000000"/>
          <w:spacing w:val="40"/>
          <w:sz w:val="24"/>
        </w:rPr>
        <w:t> </w:t>
      </w:r>
      <w:r>
        <w:rPr>
          <w:color w:val="000000"/>
          <w:sz w:val="24"/>
        </w:rPr>
        <w:t>of clusters</w:t>
      </w:r>
      <w:r>
        <w:rPr>
          <w:color w:val="000000"/>
          <w:spacing w:val="40"/>
          <w:sz w:val="24"/>
        </w:rPr>
        <w:t> </w:t>
      </w:r>
      <w:r>
        <w:rPr>
          <w:color w:val="000000"/>
          <w:sz w:val="24"/>
        </w:rPr>
        <w:t>identified</w:t>
      </w:r>
      <w:r>
        <w:rPr>
          <w:color w:val="000000"/>
          <w:spacing w:val="40"/>
          <w:sz w:val="24"/>
        </w:rPr>
        <w:t> </w:t>
      </w:r>
      <w:r>
        <w:rPr>
          <w:color w:val="000000"/>
          <w:sz w:val="24"/>
        </w:rPr>
        <w:t>for</w:t>
      </w:r>
      <w:r>
        <w:rPr>
          <w:color w:val="000000"/>
          <w:spacing w:val="40"/>
          <w:sz w:val="24"/>
        </w:rPr>
        <w:t> </w:t>
      </w:r>
      <w:r>
        <w:rPr>
          <w:color w:val="000000"/>
          <w:sz w:val="24"/>
        </w:rPr>
        <w:t>urban</w:t>
      </w:r>
      <w:r>
        <w:rPr>
          <w:color w:val="000000"/>
          <w:spacing w:val="40"/>
          <w:sz w:val="24"/>
        </w:rPr>
        <w:t> </w:t>
      </w:r>
      <w:r>
        <w:rPr>
          <w:color w:val="000000"/>
          <w:sz w:val="24"/>
        </w:rPr>
        <w:t>renewal:</w:t>
      </w:r>
    </w:p>
    <w:p>
      <w:pPr>
        <w:pStyle w:val="BodyText"/>
        <w:spacing w:before="241"/>
        <w:ind w:left="2062" w:right="777"/>
      </w:pPr>
      <w:r>
        <w:rPr/>
        <w:t>Provided further that HPC may consider after veryfing </w:t>
      </w:r>
      <w:r>
        <w:rPr>
          <w:spacing w:val="9"/>
        </w:rPr>
        <w:t>traffing </w:t>
      </w:r>
      <w:r>
        <w:rPr/>
        <w:t>simulation</w:t>
      </w:r>
      <w:r>
        <w:rPr>
          <w:spacing w:val="40"/>
        </w:rPr>
        <w:t> </w:t>
      </w:r>
      <w:r>
        <w:rPr/>
        <w:t>study</w:t>
      </w:r>
      <w:r>
        <w:rPr>
          <w:spacing w:val="40"/>
        </w:rPr>
        <w:t> </w:t>
      </w:r>
      <w:r>
        <w:rPr/>
        <w:t>to</w:t>
      </w:r>
      <w:r>
        <w:rPr>
          <w:spacing w:val="40"/>
        </w:rPr>
        <w:t> </w:t>
      </w:r>
      <w:r>
        <w:rPr/>
        <w:t>allow</w:t>
      </w:r>
      <w:r>
        <w:rPr>
          <w:spacing w:val="40"/>
        </w:rPr>
        <w:t> </w:t>
      </w:r>
      <w:r>
        <w:rPr/>
        <w:t>CDS</w:t>
      </w:r>
      <w:r>
        <w:rPr>
          <w:spacing w:val="40"/>
        </w:rPr>
        <w:t> </w:t>
      </w:r>
      <w:r>
        <w:rPr/>
        <w:t>on</w:t>
      </w:r>
      <w:r>
        <w:rPr>
          <w:spacing w:val="40"/>
        </w:rPr>
        <w:t> </w:t>
      </w:r>
      <w:r>
        <w:rPr/>
        <w:t>a</w:t>
      </w:r>
      <w:r>
        <w:rPr>
          <w:spacing w:val="40"/>
        </w:rPr>
        <w:t> </w:t>
      </w:r>
      <w:r>
        <w:rPr/>
        <w:t>plot</w:t>
      </w:r>
      <w:r>
        <w:rPr>
          <w:spacing w:val="40"/>
        </w:rPr>
        <w:t> </w:t>
      </w:r>
      <w:r>
        <w:rPr/>
        <w:t>having</w:t>
      </w:r>
      <w:r>
        <w:rPr>
          <w:spacing w:val="40"/>
        </w:rPr>
        <w:t> </w:t>
      </w:r>
      <w:r>
        <w:rPr/>
        <w:t>access</w:t>
      </w:r>
      <w:r>
        <w:rPr>
          <w:spacing w:val="40"/>
        </w:rPr>
        <w:t> </w:t>
      </w:r>
      <w:r>
        <w:rPr/>
        <w:t>from</w:t>
      </w:r>
      <w:r>
        <w:rPr>
          <w:spacing w:val="40"/>
        </w:rPr>
        <w:t> </w:t>
      </w:r>
      <w:r>
        <w:rPr/>
        <w:t>existing</w:t>
      </w:r>
      <w:r>
        <w:rPr>
          <w:spacing w:val="80"/>
        </w:rPr>
        <w:t> </w:t>
      </w:r>
      <w:r>
        <w:rPr/>
        <w:t>minimum</w:t>
      </w:r>
      <w:r>
        <w:rPr>
          <w:spacing w:val="80"/>
        </w:rPr>
        <w:t> </w:t>
      </w:r>
      <w:r>
        <w:rPr/>
        <w:t>12m.</w:t>
      </w:r>
      <w:r>
        <w:rPr>
          <w:spacing w:val="80"/>
        </w:rPr>
        <w:t> </w:t>
      </w:r>
      <w:r>
        <w:rPr/>
        <w:t>wide</w:t>
      </w:r>
      <w:r>
        <w:rPr>
          <w:spacing w:val="80"/>
        </w:rPr>
        <w:t> </w:t>
      </w:r>
      <w:r>
        <w:rPr/>
        <w:t>dead</w:t>
      </w:r>
      <w:r>
        <w:rPr>
          <w:spacing w:val="80"/>
        </w:rPr>
        <w:t> </w:t>
      </w:r>
      <w:r>
        <w:rPr/>
        <w:t>end</w:t>
      </w:r>
      <w:r>
        <w:rPr>
          <w:spacing w:val="80"/>
        </w:rPr>
        <w:t> </w:t>
      </w:r>
      <w:r>
        <w:rPr/>
        <w:t>road</w:t>
      </w:r>
      <w:r>
        <w:rPr>
          <w:spacing w:val="80"/>
        </w:rPr>
        <w:t> </w:t>
      </w:r>
      <w:r>
        <w:rPr/>
        <w:t>originating</w:t>
      </w:r>
      <w:r>
        <w:rPr>
          <w:spacing w:val="80"/>
        </w:rPr>
        <w:t> </w:t>
      </w:r>
      <w:r>
        <w:rPr/>
        <w:t>from</w:t>
      </w:r>
      <w:r>
        <w:rPr>
          <w:spacing w:val="80"/>
        </w:rPr>
        <w:t> </w:t>
      </w:r>
      <w:r>
        <w:rPr/>
        <w:t>18</w:t>
      </w:r>
    </w:p>
    <w:p>
      <w:pPr>
        <w:pStyle w:val="BodyText"/>
        <w:spacing w:line="281" w:lineRule="exact"/>
        <w:ind w:left="2062"/>
        <w:rPr>
          <w:sz w:val="22"/>
        </w:rPr>
      </w:pPr>
      <w:r>
        <w:rPr/>
        <w:t>m.</w:t>
      </w:r>
      <w:r>
        <w:rPr>
          <w:spacing w:val="44"/>
        </w:rPr>
        <w:t> </w:t>
      </w:r>
      <w:r>
        <w:rPr/>
        <w:t>wide</w:t>
      </w:r>
      <w:r>
        <w:rPr>
          <w:spacing w:val="46"/>
        </w:rPr>
        <w:t> </w:t>
      </w:r>
      <w:r>
        <w:rPr/>
        <w:t>public</w:t>
      </w:r>
      <w:r>
        <w:rPr>
          <w:spacing w:val="50"/>
        </w:rPr>
        <w:t> </w:t>
      </w:r>
      <w:r>
        <w:rPr>
          <w:spacing w:val="-4"/>
        </w:rPr>
        <w:t>road</w:t>
      </w:r>
      <w:r>
        <w:rPr>
          <w:spacing w:val="-4"/>
          <w:sz w:val="22"/>
        </w:rPr>
        <w:t>.</w:t>
      </w:r>
    </w:p>
    <w:p>
      <w:pPr>
        <w:pStyle w:val="ListParagraph"/>
        <w:numPr>
          <w:ilvl w:val="0"/>
          <w:numId w:val="159"/>
        </w:numPr>
        <w:tabs>
          <w:tab w:pos="2377" w:val="left" w:leader="none"/>
        </w:tabs>
        <w:spacing w:line="240" w:lineRule="auto" w:before="241" w:after="0"/>
        <w:ind w:left="2062" w:right="784" w:firstLine="0"/>
        <w:jc w:val="both"/>
        <w:rPr>
          <w:sz w:val="24"/>
        </w:rPr>
      </w:pPr>
      <w:r>
        <w:rPr>
          <w:sz w:val="24"/>
        </w:rPr>
        <w:t>Under</w:t>
      </w:r>
      <w:r>
        <w:rPr>
          <w:spacing w:val="40"/>
          <w:sz w:val="24"/>
        </w:rPr>
        <w:t> </w:t>
      </w:r>
      <w:r>
        <w:rPr>
          <w:sz w:val="24"/>
        </w:rPr>
        <w:t>the</w:t>
      </w:r>
      <w:r>
        <w:rPr>
          <w:spacing w:val="40"/>
          <w:sz w:val="24"/>
        </w:rPr>
        <w:t> </w:t>
      </w:r>
      <w:r>
        <w:rPr>
          <w:i/>
          <w:sz w:val="24"/>
        </w:rPr>
        <w:t>Cluster Development</w:t>
      </w:r>
      <w:r>
        <w:rPr>
          <w:sz w:val="24"/>
        </w:rPr>
        <w:t>Plan</w:t>
      </w:r>
      <w:r>
        <w:rPr>
          <w:spacing w:val="40"/>
          <w:sz w:val="24"/>
        </w:rPr>
        <w:t> </w:t>
      </w:r>
      <w:r>
        <w:rPr>
          <w:sz w:val="24"/>
        </w:rPr>
        <w:t>(CDP)</w:t>
      </w:r>
      <w:r>
        <w:rPr>
          <w:spacing w:val="40"/>
          <w:sz w:val="24"/>
        </w:rPr>
        <w:t> </w:t>
      </w:r>
      <w:r>
        <w:rPr>
          <w:sz w:val="24"/>
        </w:rPr>
        <w:t>for</w:t>
      </w:r>
      <w:r>
        <w:rPr>
          <w:spacing w:val="40"/>
          <w:sz w:val="24"/>
        </w:rPr>
        <w:t> </w:t>
      </w:r>
      <w:r>
        <w:rPr>
          <w:sz w:val="24"/>
        </w:rPr>
        <w:t>the</w:t>
      </w:r>
      <w:r>
        <w:rPr>
          <w:spacing w:val="40"/>
          <w:sz w:val="24"/>
        </w:rPr>
        <w:t> </w:t>
      </w:r>
      <w:r>
        <w:rPr>
          <w:sz w:val="24"/>
        </w:rPr>
        <w:t>concerned</w:t>
      </w:r>
      <w:r>
        <w:rPr>
          <w:spacing w:val="40"/>
          <w:sz w:val="24"/>
        </w:rPr>
        <w:t> </w:t>
      </w:r>
      <w:r>
        <w:rPr>
          <w:sz w:val="24"/>
        </w:rPr>
        <w:t>area, to</w:t>
      </w:r>
      <w:r>
        <w:rPr>
          <w:spacing w:val="40"/>
          <w:sz w:val="24"/>
        </w:rPr>
        <w:t> </w:t>
      </w:r>
      <w:r>
        <w:rPr>
          <w:sz w:val="24"/>
        </w:rPr>
        <w:t>be</w:t>
      </w:r>
      <w:r>
        <w:rPr>
          <w:spacing w:val="40"/>
          <w:sz w:val="24"/>
        </w:rPr>
        <w:t> </w:t>
      </w:r>
      <w:r>
        <w:rPr>
          <w:sz w:val="24"/>
        </w:rPr>
        <w:t>prepared</w:t>
      </w:r>
      <w:r>
        <w:rPr>
          <w:spacing w:val="40"/>
          <w:sz w:val="24"/>
        </w:rPr>
        <w:t> </w:t>
      </w:r>
      <w:r>
        <w:rPr>
          <w:sz w:val="24"/>
        </w:rPr>
        <w:t>by</w:t>
      </w:r>
      <w:r>
        <w:rPr>
          <w:spacing w:val="40"/>
          <w:sz w:val="24"/>
        </w:rPr>
        <w:t> </w:t>
      </w:r>
      <w:r>
        <w:rPr>
          <w:sz w:val="24"/>
        </w:rPr>
        <w:t>the</w:t>
      </w:r>
      <w:r>
        <w:rPr>
          <w:spacing w:val="40"/>
          <w:sz w:val="24"/>
        </w:rPr>
        <w:t> </w:t>
      </w:r>
      <w:r>
        <w:rPr>
          <w:sz w:val="24"/>
        </w:rPr>
        <w:t>Commissioner,</w:t>
      </w:r>
      <w:r>
        <w:rPr>
          <w:spacing w:val="40"/>
          <w:sz w:val="24"/>
        </w:rPr>
        <w:t> </w:t>
      </w:r>
      <w:r>
        <w:rPr>
          <w:sz w:val="24"/>
        </w:rPr>
        <w:t>who</w:t>
      </w:r>
      <w:r>
        <w:rPr>
          <w:spacing w:val="40"/>
          <w:sz w:val="24"/>
        </w:rPr>
        <w:t> </w:t>
      </w:r>
      <w:r>
        <w:rPr>
          <w:sz w:val="24"/>
        </w:rPr>
        <w:t>may</w:t>
      </w:r>
      <w:r>
        <w:rPr>
          <w:spacing w:val="40"/>
          <w:sz w:val="24"/>
        </w:rPr>
        <w:t> </w:t>
      </w:r>
      <w:r>
        <w:rPr>
          <w:sz w:val="24"/>
        </w:rPr>
        <w:t>revise</w:t>
      </w:r>
      <w:r>
        <w:rPr>
          <w:spacing w:val="40"/>
          <w:sz w:val="24"/>
        </w:rPr>
        <w:t> </w:t>
      </w:r>
      <w:r>
        <w:rPr>
          <w:sz w:val="24"/>
        </w:rPr>
        <w:t>the</w:t>
      </w:r>
      <w:r>
        <w:rPr>
          <w:spacing w:val="40"/>
          <w:sz w:val="24"/>
        </w:rPr>
        <w:t> </w:t>
      </w:r>
      <w:r>
        <w:rPr>
          <w:sz w:val="24"/>
        </w:rPr>
        <w:t>same</w:t>
      </w:r>
      <w:r>
        <w:rPr>
          <w:spacing w:val="40"/>
          <w:sz w:val="24"/>
        </w:rPr>
        <w:t> </w:t>
      </w:r>
      <w:r>
        <w:rPr>
          <w:sz w:val="24"/>
        </w:rPr>
        <w:t>as and when</w:t>
      </w:r>
      <w:r>
        <w:rPr>
          <w:spacing w:val="40"/>
          <w:sz w:val="24"/>
        </w:rPr>
        <w:t> </w:t>
      </w:r>
      <w:r>
        <w:rPr>
          <w:sz w:val="24"/>
        </w:rPr>
        <w:t>required; or</w:t>
      </w:r>
    </w:p>
    <w:p>
      <w:pPr>
        <w:pStyle w:val="BodyText"/>
        <w:spacing w:before="240"/>
        <w:ind w:left="2062" w:right="768"/>
      </w:pPr>
      <w:r>
        <w:rPr/>
        <w:t>Under the Development Plan (DP), where the DP contains such well- defined cluster</w:t>
      </w:r>
    </w:p>
    <w:p>
      <w:pPr>
        <w:pStyle w:val="ListParagraph"/>
        <w:numPr>
          <w:ilvl w:val="0"/>
          <w:numId w:val="159"/>
        </w:numPr>
        <w:tabs>
          <w:tab w:pos="2387" w:val="left" w:leader="none"/>
        </w:tabs>
        <w:spacing w:line="240" w:lineRule="auto" w:before="241" w:after="0"/>
        <w:ind w:left="2387" w:right="0" w:hanging="325"/>
        <w:jc w:val="both"/>
        <w:rPr>
          <w:sz w:val="24"/>
        </w:rPr>
      </w:pPr>
      <w:r>
        <w:rPr>
          <w:sz w:val="24"/>
        </w:rPr>
        <w:t>By</w:t>
      </w:r>
      <w:r>
        <w:rPr>
          <w:spacing w:val="42"/>
          <w:sz w:val="24"/>
        </w:rPr>
        <w:t> </w:t>
      </w:r>
      <w:r>
        <w:rPr>
          <w:sz w:val="24"/>
        </w:rPr>
        <w:t>the</w:t>
      </w:r>
      <w:r>
        <w:rPr>
          <w:spacing w:val="46"/>
          <w:sz w:val="24"/>
        </w:rPr>
        <w:t> </w:t>
      </w:r>
      <w:r>
        <w:rPr>
          <w:sz w:val="24"/>
        </w:rPr>
        <w:t>Promoter</w:t>
      </w:r>
      <w:r>
        <w:rPr>
          <w:spacing w:val="45"/>
          <w:sz w:val="24"/>
        </w:rPr>
        <w:t> </w:t>
      </w:r>
      <w:r>
        <w:rPr>
          <w:sz w:val="24"/>
        </w:rPr>
        <w:t>of</w:t>
      </w:r>
      <w:r>
        <w:rPr>
          <w:spacing w:val="42"/>
          <w:sz w:val="24"/>
        </w:rPr>
        <w:t> </w:t>
      </w:r>
      <w:r>
        <w:rPr>
          <w:sz w:val="24"/>
        </w:rPr>
        <w:t>the</w:t>
      </w:r>
      <w:r>
        <w:rPr>
          <w:spacing w:val="46"/>
          <w:sz w:val="24"/>
        </w:rPr>
        <w:t> </w:t>
      </w:r>
      <w:r>
        <w:rPr>
          <w:spacing w:val="-4"/>
          <w:sz w:val="24"/>
        </w:rPr>
        <w:t>CDS,</w:t>
      </w:r>
    </w:p>
    <w:p>
      <w:pPr>
        <w:pStyle w:val="BodyText"/>
        <w:spacing w:before="239"/>
        <w:ind w:left="2062" w:right="775"/>
      </w:pPr>
      <w:r>
        <w:rPr/>
        <w:t>Provided that no cluster or clusters shall be identified for redevelopment or implementation of CDS by the Municipal Commissioner without carrying out an Impact Assessment Study regarding</w:t>
      </w:r>
      <w:r>
        <w:rPr>
          <w:spacing w:val="80"/>
        </w:rPr>
        <w:t> </w:t>
      </w:r>
      <w:r>
        <w:rPr/>
        <w:t>the</w:t>
      </w:r>
      <w:r>
        <w:rPr>
          <w:spacing w:val="80"/>
        </w:rPr>
        <w:t> </w:t>
      </w:r>
      <w:r>
        <w:rPr/>
        <w:t>impact</w:t>
      </w:r>
      <w:r>
        <w:rPr>
          <w:spacing w:val="80"/>
        </w:rPr>
        <w:t> </w:t>
      </w:r>
      <w:r>
        <w:rPr/>
        <w:t>on</w:t>
      </w:r>
      <w:r>
        <w:rPr>
          <w:spacing w:val="80"/>
        </w:rPr>
        <w:t> </w:t>
      </w:r>
      <w:r>
        <w:rPr/>
        <w:t>the</w:t>
      </w:r>
      <w:r>
        <w:rPr>
          <w:spacing w:val="80"/>
        </w:rPr>
        <w:t> </w:t>
      </w:r>
      <w:r>
        <w:rPr/>
        <w:t>city</w:t>
      </w:r>
      <w:r>
        <w:rPr>
          <w:spacing w:val="80"/>
        </w:rPr>
        <w:t> </w:t>
      </w:r>
      <w:r>
        <w:rPr/>
        <w:t>and</w:t>
      </w:r>
      <w:r>
        <w:rPr>
          <w:spacing w:val="80"/>
        </w:rPr>
        <w:t> </w:t>
      </w:r>
      <w:r>
        <w:rPr/>
        <w:t>sector</w:t>
      </w:r>
      <w:r>
        <w:rPr>
          <w:spacing w:val="80"/>
        </w:rPr>
        <w:t> </w:t>
      </w:r>
      <w:r>
        <w:rPr/>
        <w:t>level</w:t>
      </w:r>
      <w:r>
        <w:rPr>
          <w:spacing w:val="80"/>
        </w:rPr>
        <w:t> </w:t>
      </w:r>
      <w:r>
        <w:rPr/>
        <w:t>infrastructure and amenities as well as traffic and environment of the</w:t>
      </w:r>
      <w:r>
        <w:rPr>
          <w:spacing w:val="40"/>
        </w:rPr>
        <w:t> </w:t>
      </w:r>
      <w:r>
        <w:rPr/>
        <w:t>implementation</w:t>
      </w:r>
      <w:r>
        <w:rPr>
          <w:spacing w:val="40"/>
        </w:rPr>
        <w:t> </w:t>
      </w:r>
      <w:r>
        <w:rPr/>
        <w:t>of</w:t>
      </w:r>
      <w:r>
        <w:rPr>
          <w:spacing w:val="80"/>
        </w:rPr>
        <w:t> </w:t>
      </w:r>
      <w:r>
        <w:rPr/>
        <w:t>CDS</w:t>
      </w:r>
      <w:r>
        <w:rPr>
          <w:spacing w:val="40"/>
        </w:rPr>
        <w:t> </w:t>
      </w:r>
      <w:r>
        <w:rPr/>
        <w:t>on</w:t>
      </w:r>
      <w:r>
        <w:rPr>
          <w:spacing w:val="40"/>
        </w:rPr>
        <w:t> </w:t>
      </w:r>
      <w:r>
        <w:rPr/>
        <w:t>such</w:t>
      </w:r>
      <w:r>
        <w:rPr>
          <w:spacing w:val="40"/>
        </w:rPr>
        <w:t> </w:t>
      </w:r>
      <w:r>
        <w:rPr/>
        <w:t>cluster</w:t>
      </w:r>
      <w:r>
        <w:rPr>
          <w:spacing w:val="80"/>
        </w:rPr>
        <w:t> </w:t>
      </w:r>
      <w:r>
        <w:rPr/>
        <w:t>or</w:t>
      </w:r>
      <w:r>
        <w:rPr>
          <w:spacing w:val="40"/>
        </w:rPr>
        <w:t> </w:t>
      </w:r>
      <w:r>
        <w:rPr/>
        <w:t>clusters.</w:t>
      </w:r>
    </w:p>
    <w:p>
      <w:pPr>
        <w:pStyle w:val="Heading6"/>
        <w:spacing w:before="237"/>
        <w:ind w:left="2062"/>
      </w:pPr>
      <w:r>
        <w:rPr>
          <w:spacing w:val="7"/>
        </w:rPr>
        <w:t>Explanation:</w:t>
      </w:r>
    </w:p>
    <w:p>
      <w:pPr>
        <w:pStyle w:val="ListParagraph"/>
        <w:numPr>
          <w:ilvl w:val="0"/>
          <w:numId w:val="160"/>
        </w:numPr>
        <w:tabs>
          <w:tab w:pos="2422" w:val="left" w:leader="none"/>
        </w:tabs>
        <w:spacing w:line="240" w:lineRule="auto" w:before="244" w:after="0"/>
        <w:ind w:left="2422" w:right="770" w:hanging="360"/>
        <w:jc w:val="both"/>
        <w:rPr>
          <w:sz w:val="24"/>
        </w:rPr>
      </w:pPr>
      <w:r>
        <w:rPr>
          <w:sz w:val="24"/>
        </w:rPr>
        <w:t>The</w:t>
      </w:r>
      <w:r>
        <w:rPr>
          <w:spacing w:val="-19"/>
          <w:sz w:val="24"/>
        </w:rPr>
        <w:t> </w:t>
      </w:r>
      <w:r>
        <w:rPr>
          <w:sz w:val="24"/>
        </w:rPr>
        <w:t>land</w:t>
      </w:r>
      <w:r>
        <w:rPr>
          <w:spacing w:val="-17"/>
          <w:sz w:val="24"/>
        </w:rPr>
        <w:t> </w:t>
      </w:r>
      <w:r>
        <w:rPr>
          <w:sz w:val="24"/>
        </w:rPr>
        <w:t>under</w:t>
      </w:r>
      <w:r>
        <w:rPr>
          <w:spacing w:val="-19"/>
          <w:sz w:val="24"/>
        </w:rPr>
        <w:t> </w:t>
      </w:r>
      <w:r>
        <w:rPr>
          <w:sz w:val="24"/>
        </w:rPr>
        <w:t>CDS,</w:t>
      </w:r>
      <w:r>
        <w:rPr>
          <w:spacing w:val="-19"/>
          <w:sz w:val="24"/>
        </w:rPr>
        <w:t> </w:t>
      </w:r>
      <w:r>
        <w:rPr>
          <w:sz w:val="24"/>
        </w:rPr>
        <w:t>irrespective</w:t>
      </w:r>
      <w:r>
        <w:rPr>
          <w:spacing w:val="-19"/>
          <w:sz w:val="24"/>
        </w:rPr>
        <w:t> </w:t>
      </w:r>
      <w:r>
        <w:rPr>
          <w:sz w:val="24"/>
        </w:rPr>
        <w:t>of</w:t>
      </w:r>
      <w:r>
        <w:rPr>
          <w:spacing w:val="-19"/>
          <w:sz w:val="24"/>
        </w:rPr>
        <w:t> </w:t>
      </w:r>
      <w:r>
        <w:rPr>
          <w:sz w:val="24"/>
        </w:rPr>
        <w:t>the</w:t>
      </w:r>
      <w:r>
        <w:rPr>
          <w:spacing w:val="-19"/>
          <w:sz w:val="24"/>
        </w:rPr>
        <w:t> </w:t>
      </w:r>
      <w:r>
        <w:rPr>
          <w:sz w:val="24"/>
        </w:rPr>
        <w:t>tenure</w:t>
      </w:r>
      <w:r>
        <w:rPr>
          <w:spacing w:val="-19"/>
          <w:sz w:val="24"/>
        </w:rPr>
        <w:t> </w:t>
      </w:r>
      <w:r>
        <w:rPr>
          <w:sz w:val="24"/>
        </w:rPr>
        <w:t>of</w:t>
      </w:r>
      <w:r>
        <w:rPr>
          <w:spacing w:val="-19"/>
          <w:sz w:val="24"/>
        </w:rPr>
        <w:t> </w:t>
      </w:r>
      <w:r>
        <w:rPr>
          <w:sz w:val="24"/>
        </w:rPr>
        <w:t>the</w:t>
      </w:r>
      <w:r>
        <w:rPr>
          <w:spacing w:val="-19"/>
          <w:sz w:val="24"/>
        </w:rPr>
        <w:t> </w:t>
      </w:r>
      <w:r>
        <w:rPr>
          <w:sz w:val="24"/>
        </w:rPr>
        <w:t>plots</w:t>
      </w:r>
      <w:r>
        <w:rPr>
          <w:spacing w:val="-19"/>
          <w:sz w:val="24"/>
        </w:rPr>
        <w:t> </w:t>
      </w:r>
      <w:r>
        <w:rPr>
          <w:sz w:val="24"/>
        </w:rPr>
        <w:t>comprised therein, shall be treated as one plot for the purpose of FSI and computation of marginal distances.</w:t>
      </w:r>
    </w:p>
    <w:p>
      <w:pPr>
        <w:spacing w:line="259" w:lineRule="auto" w:before="256"/>
        <w:ind w:left="2422" w:right="843" w:firstLine="0"/>
        <w:jc w:val="both"/>
        <w:rPr>
          <w:sz w:val="22"/>
        </w:rPr>
      </w:pPr>
      <w:r>
        <w:rPr>
          <w:b/>
          <w:w w:val="115"/>
          <w:sz w:val="22"/>
        </w:rPr>
        <w:t>Amalgamation/</w:t>
      </w:r>
      <w:r>
        <w:rPr>
          <w:b/>
          <w:spacing w:val="-13"/>
          <w:w w:val="115"/>
          <w:sz w:val="22"/>
        </w:rPr>
        <w:t> </w:t>
      </w:r>
      <w:r>
        <w:rPr>
          <w:b/>
          <w:w w:val="115"/>
          <w:sz w:val="22"/>
        </w:rPr>
        <w:t>Subdivision</w:t>
      </w:r>
      <w:r>
        <w:rPr>
          <w:b/>
          <w:spacing w:val="-16"/>
          <w:w w:val="115"/>
          <w:sz w:val="22"/>
        </w:rPr>
        <w:t> </w:t>
      </w:r>
      <w:r>
        <w:rPr>
          <w:b/>
          <w:w w:val="115"/>
          <w:sz w:val="22"/>
        </w:rPr>
        <w:t>of</w:t>
      </w:r>
      <w:r>
        <w:rPr>
          <w:b/>
          <w:spacing w:val="-14"/>
          <w:w w:val="115"/>
          <w:sz w:val="22"/>
        </w:rPr>
        <w:t> </w:t>
      </w:r>
      <w:r>
        <w:rPr>
          <w:b/>
          <w:w w:val="115"/>
          <w:sz w:val="22"/>
        </w:rPr>
        <w:t>plots:</w:t>
      </w:r>
      <w:r>
        <w:rPr>
          <w:b/>
          <w:spacing w:val="-18"/>
          <w:w w:val="115"/>
          <w:sz w:val="22"/>
        </w:rPr>
        <w:t> </w:t>
      </w:r>
      <w:r>
        <w:rPr>
          <w:w w:val="115"/>
          <w:sz w:val="22"/>
        </w:rPr>
        <w:t>On</w:t>
      </w:r>
      <w:r>
        <w:rPr>
          <w:spacing w:val="-13"/>
          <w:w w:val="115"/>
          <w:sz w:val="22"/>
        </w:rPr>
        <w:t> </w:t>
      </w:r>
      <w:r>
        <w:rPr>
          <w:w w:val="115"/>
          <w:sz w:val="22"/>
        </w:rPr>
        <w:t>approval</w:t>
      </w:r>
      <w:r>
        <w:rPr>
          <w:spacing w:val="-14"/>
          <w:w w:val="115"/>
          <w:sz w:val="22"/>
        </w:rPr>
        <w:t> </w:t>
      </w:r>
      <w:r>
        <w:rPr>
          <w:w w:val="115"/>
          <w:sz w:val="22"/>
        </w:rPr>
        <w:t>of</w:t>
      </w:r>
      <w:r>
        <w:rPr>
          <w:spacing w:val="-9"/>
          <w:w w:val="115"/>
          <w:sz w:val="22"/>
        </w:rPr>
        <w:t> </w:t>
      </w:r>
      <w:r>
        <w:rPr>
          <w:w w:val="115"/>
          <w:sz w:val="22"/>
        </w:rPr>
        <w:t>CDS,</w:t>
      </w:r>
      <w:r>
        <w:rPr>
          <w:spacing w:val="-12"/>
          <w:w w:val="115"/>
          <w:sz w:val="22"/>
        </w:rPr>
        <w:t> </w:t>
      </w:r>
      <w:r>
        <w:rPr>
          <w:w w:val="115"/>
          <w:sz w:val="22"/>
        </w:rPr>
        <w:t>any land proposed / considered under CDS on various C.S. Nos. or CTS</w:t>
      </w:r>
      <w:r>
        <w:rPr>
          <w:w w:val="115"/>
          <w:sz w:val="22"/>
        </w:rPr>
        <w:t> Nos.</w:t>
      </w:r>
      <w:r>
        <w:rPr>
          <w:w w:val="115"/>
          <w:sz w:val="22"/>
        </w:rPr>
        <w:t> and/or</w:t>
      </w:r>
      <w:r>
        <w:rPr>
          <w:w w:val="115"/>
          <w:sz w:val="22"/>
        </w:rPr>
        <w:t> F.P.Nos.</w:t>
      </w:r>
      <w:r>
        <w:rPr>
          <w:w w:val="115"/>
          <w:sz w:val="22"/>
        </w:rPr>
        <w:t> shall</w:t>
      </w:r>
      <w:r>
        <w:rPr>
          <w:w w:val="115"/>
          <w:sz w:val="22"/>
        </w:rPr>
        <w:t> be</w:t>
      </w:r>
      <w:r>
        <w:rPr>
          <w:w w:val="115"/>
          <w:sz w:val="22"/>
        </w:rPr>
        <w:t> treated</w:t>
      </w:r>
      <w:r>
        <w:rPr>
          <w:w w:val="115"/>
          <w:sz w:val="22"/>
        </w:rPr>
        <w:t> as</w:t>
      </w:r>
      <w:r>
        <w:rPr>
          <w:w w:val="115"/>
          <w:sz w:val="22"/>
        </w:rPr>
        <w:t> natural amalgamation</w:t>
      </w:r>
      <w:r>
        <w:rPr>
          <w:w w:val="115"/>
          <w:sz w:val="22"/>
        </w:rPr>
        <w:t> for</w:t>
      </w:r>
      <w:r>
        <w:rPr>
          <w:w w:val="115"/>
          <w:sz w:val="22"/>
        </w:rPr>
        <w:t> the</w:t>
      </w:r>
      <w:r>
        <w:rPr>
          <w:w w:val="115"/>
          <w:sz w:val="22"/>
        </w:rPr>
        <w:t> purpose</w:t>
      </w:r>
      <w:r>
        <w:rPr>
          <w:w w:val="115"/>
          <w:sz w:val="22"/>
        </w:rPr>
        <w:t> of</w:t>
      </w:r>
      <w:r>
        <w:rPr>
          <w:w w:val="115"/>
          <w:sz w:val="22"/>
        </w:rPr>
        <w:t> CDS.</w:t>
      </w:r>
      <w:r>
        <w:rPr>
          <w:w w:val="115"/>
          <w:sz w:val="22"/>
        </w:rPr>
        <w:t> for</w:t>
      </w:r>
      <w:r>
        <w:rPr>
          <w:w w:val="115"/>
          <w:sz w:val="22"/>
        </w:rPr>
        <w:t> which</w:t>
      </w:r>
      <w:r>
        <w:rPr>
          <w:w w:val="115"/>
          <w:sz w:val="22"/>
        </w:rPr>
        <w:t> no</w:t>
      </w:r>
      <w:r>
        <w:rPr>
          <w:w w:val="115"/>
          <w:sz w:val="22"/>
        </w:rPr>
        <w:t> separate approval for amalgamation of lands would be necessary.</w:t>
      </w:r>
    </w:p>
    <w:p>
      <w:pPr>
        <w:spacing w:after="0" w:line="259" w:lineRule="auto"/>
        <w:jc w:val="both"/>
        <w:rPr>
          <w:sz w:val="22"/>
        </w:rPr>
        <w:sectPr>
          <w:pgSz w:w="11910" w:h="16840"/>
          <w:pgMar w:header="1065" w:footer="1194" w:top="1500" w:bottom="1380" w:left="360" w:right="360"/>
        </w:sectPr>
      </w:pPr>
    </w:p>
    <w:p>
      <w:pPr>
        <w:pStyle w:val="BodyText"/>
        <w:spacing w:before="7"/>
        <w:jc w:val="left"/>
        <w:rPr>
          <w:sz w:val="22"/>
        </w:rPr>
      </w:pPr>
    </w:p>
    <w:p>
      <w:pPr>
        <w:spacing w:line="261" w:lineRule="auto" w:before="0"/>
        <w:ind w:left="2422" w:right="840" w:firstLine="0"/>
        <w:jc w:val="both"/>
        <w:rPr>
          <w:sz w:val="22"/>
        </w:rPr>
      </w:pPr>
      <w:r>
        <w:rPr>
          <w:w w:val="115"/>
          <w:sz w:val="22"/>
        </w:rPr>
        <w:t>Boundaries</w:t>
      </w:r>
      <w:r>
        <w:rPr>
          <w:w w:val="115"/>
          <w:sz w:val="22"/>
        </w:rPr>
        <w:t> and</w:t>
      </w:r>
      <w:r>
        <w:rPr>
          <w:w w:val="115"/>
          <w:sz w:val="22"/>
        </w:rPr>
        <w:t> Area</w:t>
      </w:r>
      <w:r>
        <w:rPr>
          <w:w w:val="115"/>
          <w:sz w:val="22"/>
        </w:rPr>
        <w:t> of</w:t>
      </w:r>
      <w:r>
        <w:rPr>
          <w:w w:val="115"/>
          <w:sz w:val="22"/>
        </w:rPr>
        <w:t> Proposed</w:t>
      </w:r>
      <w:r>
        <w:rPr>
          <w:w w:val="115"/>
          <w:sz w:val="22"/>
        </w:rPr>
        <w:t> CDS</w:t>
      </w:r>
      <w:r>
        <w:rPr>
          <w:w w:val="115"/>
          <w:sz w:val="22"/>
        </w:rPr>
        <w:t> shall</w:t>
      </w:r>
      <w:r>
        <w:rPr>
          <w:w w:val="115"/>
          <w:sz w:val="22"/>
        </w:rPr>
        <w:t> be</w:t>
      </w:r>
      <w:r>
        <w:rPr>
          <w:w w:val="115"/>
          <w:sz w:val="22"/>
        </w:rPr>
        <w:t> decided</w:t>
      </w:r>
      <w:r>
        <w:rPr>
          <w:w w:val="115"/>
          <w:sz w:val="22"/>
        </w:rPr>
        <w:t> as</w:t>
      </w:r>
      <w:r>
        <w:rPr>
          <w:w w:val="115"/>
          <w:sz w:val="22"/>
        </w:rPr>
        <w:t> per </w:t>
      </w:r>
      <w:r>
        <w:rPr>
          <w:w w:val="110"/>
          <w:sz w:val="22"/>
        </w:rPr>
        <w:t>the approved layout and be confirmed by City Survey Officer after </w:t>
      </w:r>
      <w:r>
        <w:rPr>
          <w:w w:val="115"/>
          <w:sz w:val="22"/>
        </w:rPr>
        <w:t>actual</w:t>
      </w:r>
      <w:r>
        <w:rPr>
          <w:w w:val="115"/>
          <w:sz w:val="22"/>
        </w:rPr>
        <w:t> measurement</w:t>
      </w:r>
      <w:r>
        <w:rPr>
          <w:w w:val="115"/>
          <w:sz w:val="22"/>
        </w:rPr>
        <w:t> of</w:t>
      </w:r>
      <w:r>
        <w:rPr>
          <w:w w:val="115"/>
          <w:sz w:val="22"/>
        </w:rPr>
        <w:t> CDS</w:t>
      </w:r>
      <w:r>
        <w:rPr>
          <w:w w:val="115"/>
          <w:sz w:val="22"/>
        </w:rPr>
        <w:t> on</w:t>
      </w:r>
      <w:r>
        <w:rPr>
          <w:w w:val="115"/>
          <w:sz w:val="22"/>
        </w:rPr>
        <w:t> site</w:t>
      </w:r>
      <w:r>
        <w:rPr>
          <w:w w:val="115"/>
          <w:sz w:val="22"/>
        </w:rPr>
        <w:t> and</w:t>
      </w:r>
      <w:r>
        <w:rPr>
          <w:w w:val="115"/>
          <w:sz w:val="22"/>
        </w:rPr>
        <w:t> the</w:t>
      </w:r>
      <w:r>
        <w:rPr>
          <w:w w:val="115"/>
          <w:sz w:val="22"/>
        </w:rPr>
        <w:t> same</w:t>
      </w:r>
      <w:r>
        <w:rPr>
          <w:w w:val="115"/>
          <w:sz w:val="22"/>
        </w:rPr>
        <w:t> shall</w:t>
      </w:r>
      <w:r>
        <w:rPr>
          <w:w w:val="115"/>
          <w:sz w:val="22"/>
        </w:rPr>
        <w:t> be adopted</w:t>
      </w:r>
      <w:r>
        <w:rPr>
          <w:spacing w:val="-6"/>
          <w:w w:val="115"/>
          <w:sz w:val="22"/>
        </w:rPr>
        <w:t> </w:t>
      </w:r>
      <w:r>
        <w:rPr>
          <w:w w:val="115"/>
          <w:sz w:val="22"/>
        </w:rPr>
        <w:t>for</w:t>
      </w:r>
      <w:r>
        <w:rPr>
          <w:spacing w:val="-5"/>
          <w:w w:val="115"/>
          <w:sz w:val="22"/>
        </w:rPr>
        <w:t> </w:t>
      </w:r>
      <w:r>
        <w:rPr>
          <w:w w:val="115"/>
          <w:sz w:val="22"/>
        </w:rPr>
        <w:t>planning</w:t>
      </w:r>
      <w:r>
        <w:rPr>
          <w:spacing w:val="-6"/>
          <w:w w:val="115"/>
          <w:sz w:val="22"/>
        </w:rPr>
        <w:t> </w:t>
      </w:r>
      <w:r>
        <w:rPr>
          <w:w w:val="115"/>
          <w:sz w:val="22"/>
        </w:rPr>
        <w:t>purpose. However</w:t>
      </w:r>
      <w:r>
        <w:rPr>
          <w:spacing w:val="-6"/>
          <w:w w:val="115"/>
          <w:sz w:val="22"/>
        </w:rPr>
        <w:t> </w:t>
      </w:r>
      <w:r>
        <w:rPr>
          <w:w w:val="115"/>
          <w:sz w:val="22"/>
        </w:rPr>
        <w:t>wherever</w:t>
      </w:r>
      <w:r>
        <w:rPr>
          <w:spacing w:val="-6"/>
          <w:w w:val="115"/>
          <w:sz w:val="22"/>
        </w:rPr>
        <w:t> </w:t>
      </w:r>
      <w:r>
        <w:rPr>
          <w:w w:val="115"/>
          <w:sz w:val="22"/>
        </w:rPr>
        <w:t>necessary,</w:t>
      </w:r>
      <w:r>
        <w:rPr>
          <w:spacing w:val="-7"/>
          <w:w w:val="115"/>
          <w:sz w:val="22"/>
        </w:rPr>
        <w:t> </w:t>
      </w:r>
      <w:r>
        <w:rPr>
          <w:w w:val="115"/>
          <w:sz w:val="22"/>
        </w:rPr>
        <w:t>the area</w:t>
      </w:r>
      <w:r>
        <w:rPr>
          <w:w w:val="115"/>
          <w:sz w:val="22"/>
        </w:rPr>
        <w:t> may</w:t>
      </w:r>
      <w:r>
        <w:rPr>
          <w:w w:val="115"/>
          <w:sz w:val="22"/>
        </w:rPr>
        <w:t> be</w:t>
      </w:r>
      <w:r>
        <w:rPr>
          <w:w w:val="115"/>
          <w:sz w:val="22"/>
        </w:rPr>
        <w:t> further</w:t>
      </w:r>
      <w:r>
        <w:rPr>
          <w:w w:val="115"/>
          <w:sz w:val="22"/>
        </w:rPr>
        <w:t> subdivided</w:t>
      </w:r>
      <w:r>
        <w:rPr>
          <w:w w:val="115"/>
          <w:sz w:val="22"/>
        </w:rPr>
        <w:t> to</w:t>
      </w:r>
      <w:r>
        <w:rPr>
          <w:w w:val="115"/>
          <w:sz w:val="22"/>
        </w:rPr>
        <w:t> earmark</w:t>
      </w:r>
      <w:r>
        <w:rPr>
          <w:w w:val="115"/>
          <w:sz w:val="22"/>
        </w:rPr>
        <w:t> separate plots/Sectors</w:t>
      </w:r>
      <w:r>
        <w:rPr>
          <w:w w:val="115"/>
          <w:sz w:val="22"/>
        </w:rPr>
        <w:t> for</w:t>
      </w:r>
      <w:r>
        <w:rPr>
          <w:w w:val="115"/>
          <w:sz w:val="22"/>
        </w:rPr>
        <w:t> the</w:t>
      </w:r>
      <w:r>
        <w:rPr>
          <w:w w:val="115"/>
          <w:sz w:val="22"/>
        </w:rPr>
        <w:t> planning</w:t>
      </w:r>
      <w:r>
        <w:rPr>
          <w:w w:val="115"/>
          <w:sz w:val="22"/>
        </w:rPr>
        <w:t> purpose,</w:t>
      </w:r>
      <w:r>
        <w:rPr>
          <w:w w:val="115"/>
          <w:sz w:val="22"/>
        </w:rPr>
        <w:t> handing</w:t>
      </w:r>
      <w:r>
        <w:rPr>
          <w:w w:val="115"/>
          <w:sz w:val="22"/>
        </w:rPr>
        <w:t> over</w:t>
      </w:r>
      <w:r>
        <w:rPr>
          <w:w w:val="115"/>
          <w:sz w:val="22"/>
        </w:rPr>
        <w:t> of Reservations,</w:t>
      </w:r>
      <w:r>
        <w:rPr>
          <w:w w:val="115"/>
          <w:sz w:val="22"/>
        </w:rPr>
        <w:t> amenities,</w:t>
      </w:r>
      <w:r>
        <w:rPr>
          <w:w w:val="115"/>
          <w:sz w:val="22"/>
        </w:rPr>
        <w:t> realigned</w:t>
      </w:r>
      <w:r>
        <w:rPr>
          <w:w w:val="115"/>
          <w:sz w:val="22"/>
        </w:rPr>
        <w:t> roads,</w:t>
      </w:r>
      <w:r>
        <w:rPr>
          <w:w w:val="115"/>
          <w:sz w:val="22"/>
        </w:rPr>
        <w:t> etc.</w:t>
      </w:r>
      <w:r>
        <w:rPr>
          <w:w w:val="115"/>
          <w:sz w:val="22"/>
        </w:rPr>
        <w:t> to</w:t>
      </w:r>
      <w:r>
        <w:rPr>
          <w:w w:val="115"/>
          <w:sz w:val="22"/>
        </w:rPr>
        <w:t> MCGM/ Appropriate</w:t>
      </w:r>
      <w:r>
        <w:rPr>
          <w:spacing w:val="-13"/>
          <w:w w:val="115"/>
          <w:sz w:val="22"/>
        </w:rPr>
        <w:t> </w:t>
      </w:r>
      <w:r>
        <w:rPr>
          <w:w w:val="115"/>
          <w:sz w:val="22"/>
        </w:rPr>
        <w:t>Authority.</w:t>
      </w:r>
      <w:r>
        <w:rPr>
          <w:spacing w:val="-14"/>
          <w:w w:val="115"/>
          <w:sz w:val="22"/>
        </w:rPr>
        <w:t> </w:t>
      </w:r>
      <w:r>
        <w:rPr>
          <w:w w:val="115"/>
          <w:sz w:val="22"/>
        </w:rPr>
        <w:t>The</w:t>
      </w:r>
      <w:r>
        <w:rPr>
          <w:spacing w:val="-11"/>
          <w:w w:val="115"/>
          <w:sz w:val="22"/>
        </w:rPr>
        <w:t> </w:t>
      </w:r>
      <w:r>
        <w:rPr>
          <w:w w:val="115"/>
          <w:sz w:val="22"/>
        </w:rPr>
        <w:t>Plot</w:t>
      </w:r>
      <w:r>
        <w:rPr>
          <w:spacing w:val="-14"/>
          <w:w w:val="115"/>
          <w:sz w:val="22"/>
        </w:rPr>
        <w:t> </w:t>
      </w:r>
      <w:r>
        <w:rPr>
          <w:w w:val="115"/>
          <w:sz w:val="22"/>
        </w:rPr>
        <w:t>area</w:t>
      </w:r>
      <w:r>
        <w:rPr>
          <w:spacing w:val="-14"/>
          <w:w w:val="115"/>
          <w:sz w:val="22"/>
        </w:rPr>
        <w:t> </w:t>
      </w:r>
      <w:r>
        <w:rPr>
          <w:w w:val="115"/>
          <w:sz w:val="22"/>
        </w:rPr>
        <w:t>and</w:t>
      </w:r>
      <w:r>
        <w:rPr>
          <w:spacing w:val="-14"/>
          <w:w w:val="115"/>
          <w:sz w:val="22"/>
        </w:rPr>
        <w:t> </w:t>
      </w:r>
      <w:r>
        <w:rPr>
          <w:w w:val="115"/>
          <w:sz w:val="22"/>
        </w:rPr>
        <w:t>the</w:t>
      </w:r>
      <w:r>
        <w:rPr>
          <w:spacing w:val="-5"/>
          <w:w w:val="115"/>
          <w:sz w:val="22"/>
        </w:rPr>
        <w:t> </w:t>
      </w:r>
      <w:r>
        <w:rPr>
          <w:w w:val="115"/>
          <w:sz w:val="22"/>
        </w:rPr>
        <w:t>BUA</w:t>
      </w:r>
      <w:r>
        <w:rPr>
          <w:spacing w:val="-14"/>
          <w:w w:val="115"/>
          <w:sz w:val="22"/>
        </w:rPr>
        <w:t> </w:t>
      </w:r>
      <w:r>
        <w:rPr>
          <w:w w:val="115"/>
          <w:sz w:val="22"/>
        </w:rPr>
        <w:t>in</w:t>
      </w:r>
      <w:r>
        <w:rPr>
          <w:spacing w:val="-12"/>
          <w:w w:val="115"/>
          <w:sz w:val="22"/>
        </w:rPr>
        <w:t> </w:t>
      </w:r>
      <w:r>
        <w:rPr>
          <w:w w:val="115"/>
          <w:sz w:val="22"/>
        </w:rPr>
        <w:t>terms</w:t>
      </w:r>
      <w:r>
        <w:rPr>
          <w:spacing w:val="-11"/>
          <w:w w:val="115"/>
          <w:sz w:val="22"/>
        </w:rPr>
        <w:t> </w:t>
      </w:r>
      <w:r>
        <w:rPr>
          <w:w w:val="115"/>
          <w:sz w:val="22"/>
        </w:rPr>
        <w:t>of</w:t>
      </w:r>
      <w:r>
        <w:rPr>
          <w:spacing w:val="-11"/>
          <w:w w:val="115"/>
          <w:sz w:val="22"/>
        </w:rPr>
        <w:t> </w:t>
      </w:r>
      <w:r>
        <w:rPr>
          <w:w w:val="115"/>
          <w:sz w:val="22"/>
        </w:rPr>
        <w:t>sq. m</w:t>
      </w:r>
      <w:r>
        <w:rPr>
          <w:w w:val="115"/>
          <w:sz w:val="22"/>
        </w:rPr>
        <w:t> of</w:t>
      </w:r>
      <w:r>
        <w:rPr>
          <w:w w:val="115"/>
          <w:sz w:val="22"/>
        </w:rPr>
        <w:t> the</w:t>
      </w:r>
      <w:r>
        <w:rPr>
          <w:w w:val="115"/>
          <w:sz w:val="22"/>
        </w:rPr>
        <w:t> said</w:t>
      </w:r>
      <w:r>
        <w:rPr>
          <w:w w:val="115"/>
          <w:sz w:val="22"/>
        </w:rPr>
        <w:t> subdivided</w:t>
      </w:r>
      <w:r>
        <w:rPr>
          <w:w w:val="115"/>
          <w:sz w:val="22"/>
        </w:rPr>
        <w:t> plots/Sectors</w:t>
      </w:r>
      <w:r>
        <w:rPr>
          <w:w w:val="115"/>
          <w:sz w:val="22"/>
        </w:rPr>
        <w:t> shall</w:t>
      </w:r>
      <w:r>
        <w:rPr>
          <w:w w:val="115"/>
          <w:sz w:val="22"/>
        </w:rPr>
        <w:t> be</w:t>
      </w:r>
      <w:r>
        <w:rPr>
          <w:w w:val="115"/>
          <w:sz w:val="22"/>
        </w:rPr>
        <w:t> separately mentioned</w:t>
      </w:r>
      <w:r>
        <w:rPr>
          <w:spacing w:val="-13"/>
          <w:w w:val="115"/>
          <w:sz w:val="22"/>
        </w:rPr>
        <w:t> </w:t>
      </w:r>
      <w:r>
        <w:rPr>
          <w:w w:val="115"/>
          <w:sz w:val="22"/>
        </w:rPr>
        <w:t>in</w:t>
      </w:r>
      <w:r>
        <w:rPr>
          <w:spacing w:val="-14"/>
          <w:w w:val="115"/>
          <w:sz w:val="22"/>
        </w:rPr>
        <w:t> </w:t>
      </w:r>
      <w:r>
        <w:rPr>
          <w:w w:val="115"/>
          <w:sz w:val="22"/>
        </w:rPr>
        <w:t>the</w:t>
      </w:r>
      <w:r>
        <w:rPr>
          <w:spacing w:val="-8"/>
          <w:w w:val="115"/>
          <w:sz w:val="22"/>
        </w:rPr>
        <w:t> </w:t>
      </w:r>
      <w:r>
        <w:rPr>
          <w:w w:val="115"/>
          <w:sz w:val="22"/>
        </w:rPr>
        <w:t>Conveyance</w:t>
      </w:r>
      <w:r>
        <w:rPr>
          <w:spacing w:val="-10"/>
          <w:w w:val="115"/>
          <w:sz w:val="22"/>
        </w:rPr>
        <w:t> </w:t>
      </w:r>
      <w:r>
        <w:rPr>
          <w:w w:val="115"/>
          <w:sz w:val="22"/>
        </w:rPr>
        <w:t>Deed</w:t>
      </w:r>
      <w:r>
        <w:rPr>
          <w:spacing w:val="-13"/>
          <w:w w:val="115"/>
          <w:sz w:val="22"/>
        </w:rPr>
        <w:t> </w:t>
      </w:r>
      <w:r>
        <w:rPr>
          <w:w w:val="115"/>
          <w:sz w:val="22"/>
        </w:rPr>
        <w:t>or</w:t>
      </w:r>
      <w:r>
        <w:rPr>
          <w:spacing w:val="-10"/>
          <w:w w:val="115"/>
          <w:sz w:val="22"/>
        </w:rPr>
        <w:t> </w:t>
      </w:r>
      <w:r>
        <w:rPr>
          <w:w w:val="115"/>
          <w:sz w:val="22"/>
        </w:rPr>
        <w:t>lease</w:t>
      </w:r>
      <w:r>
        <w:rPr>
          <w:spacing w:val="-12"/>
          <w:w w:val="115"/>
          <w:sz w:val="22"/>
        </w:rPr>
        <w:t> </w:t>
      </w:r>
      <w:r>
        <w:rPr>
          <w:w w:val="115"/>
          <w:sz w:val="22"/>
        </w:rPr>
        <w:t>deed.</w:t>
      </w:r>
      <w:r>
        <w:rPr>
          <w:spacing w:val="-15"/>
          <w:w w:val="115"/>
          <w:sz w:val="22"/>
        </w:rPr>
        <w:t> </w:t>
      </w:r>
      <w:r>
        <w:rPr>
          <w:w w:val="115"/>
          <w:sz w:val="22"/>
        </w:rPr>
        <w:t>In</w:t>
      </w:r>
      <w:r>
        <w:rPr>
          <w:spacing w:val="-14"/>
          <w:w w:val="115"/>
          <w:sz w:val="22"/>
        </w:rPr>
        <w:t> </w:t>
      </w:r>
      <w:r>
        <w:rPr>
          <w:w w:val="115"/>
          <w:sz w:val="22"/>
        </w:rPr>
        <w:t>case</w:t>
      </w:r>
      <w:r>
        <w:rPr>
          <w:spacing w:val="-12"/>
          <w:w w:val="115"/>
          <w:sz w:val="22"/>
        </w:rPr>
        <w:t> </w:t>
      </w:r>
      <w:r>
        <w:rPr>
          <w:w w:val="115"/>
          <w:sz w:val="22"/>
        </w:rPr>
        <w:t>of</w:t>
      </w:r>
      <w:r>
        <w:rPr>
          <w:spacing w:val="-15"/>
          <w:w w:val="115"/>
          <w:sz w:val="22"/>
        </w:rPr>
        <w:t> </w:t>
      </w:r>
      <w:r>
        <w:rPr>
          <w:w w:val="115"/>
          <w:sz w:val="22"/>
        </w:rPr>
        <w:t>land of different tenures, single PRC shall</w:t>
      </w:r>
      <w:r>
        <w:rPr>
          <w:w w:val="115"/>
          <w:sz w:val="22"/>
        </w:rPr>
        <w:t> not be insisted. However, necessary entries about CDS shall be made in respective PRC.</w:t>
      </w:r>
    </w:p>
    <w:p>
      <w:pPr>
        <w:pStyle w:val="BodyText"/>
        <w:spacing w:before="168"/>
        <w:ind w:left="2333" w:right="767"/>
      </w:pPr>
      <w:r>
        <w:rPr/>
        <w:t>In specific cases where CDS is not bounded by roads, nallas and railway lines, the boundary of the Cluster may be decided by the Municipal Commissioner.</w:t>
      </w:r>
    </w:p>
    <w:p>
      <w:pPr>
        <w:pStyle w:val="ListParagraph"/>
        <w:numPr>
          <w:ilvl w:val="1"/>
          <w:numId w:val="158"/>
        </w:numPr>
        <w:tabs>
          <w:tab w:pos="2903" w:val="left" w:leader="none"/>
        </w:tabs>
        <w:spacing w:line="240" w:lineRule="auto" w:before="240" w:after="0"/>
        <w:ind w:left="2335" w:right="769" w:firstLine="0"/>
        <w:jc w:val="both"/>
        <w:rPr>
          <w:sz w:val="24"/>
        </w:rPr>
      </w:pPr>
      <w:r>
        <w:rPr>
          <w:sz w:val="24"/>
        </w:rPr>
        <w:t>The CD may consist of a mix of structures of different characteristics such as</w:t>
      </w:r>
    </w:p>
    <w:p>
      <w:pPr>
        <w:pStyle w:val="ListParagraph"/>
        <w:numPr>
          <w:ilvl w:val="0"/>
          <w:numId w:val="161"/>
        </w:numPr>
        <w:tabs>
          <w:tab w:pos="2781" w:val="left" w:leader="none"/>
        </w:tabs>
        <w:spacing w:line="240" w:lineRule="auto" w:before="240" w:after="0"/>
        <w:ind w:left="2335" w:right="770" w:firstLine="0"/>
        <w:jc w:val="both"/>
        <w:rPr>
          <w:sz w:val="24"/>
        </w:rPr>
      </w:pPr>
      <w:r>
        <w:rPr>
          <w:sz w:val="24"/>
        </w:rPr>
        <w:t>Cessed buildings in Island City, which attract the provisions of MHAD Act, 1976.</w:t>
      </w:r>
    </w:p>
    <w:p>
      <w:pPr>
        <w:pStyle w:val="ListParagraph"/>
        <w:numPr>
          <w:ilvl w:val="0"/>
          <w:numId w:val="161"/>
        </w:numPr>
        <w:tabs>
          <w:tab w:pos="2782" w:val="left" w:leader="none"/>
        </w:tabs>
        <w:spacing w:line="240" w:lineRule="auto" w:before="241" w:after="0"/>
        <w:ind w:left="2782" w:right="775" w:hanging="540"/>
        <w:jc w:val="both"/>
        <w:rPr>
          <w:sz w:val="24"/>
        </w:rPr>
      </w:pPr>
      <w:r>
        <w:rPr>
          <w:sz w:val="24"/>
        </w:rPr>
        <w:t>(a) Buildings at least 30 years of age and acquired by MHADA underMHAD Act, 1976.</w:t>
      </w:r>
    </w:p>
    <w:p>
      <w:pPr>
        <w:pStyle w:val="BodyText"/>
        <w:spacing w:line="280" w:lineRule="exact"/>
        <w:ind w:left="2782"/>
      </w:pPr>
      <w:r>
        <w:rPr/>
        <w:t>(b)</w:t>
      </w:r>
      <w:r>
        <w:rPr>
          <w:spacing w:val="-2"/>
        </w:rPr>
        <w:t> </w:t>
      </w:r>
      <w:r>
        <w:rPr/>
        <w:t>Authorized</w:t>
      </w:r>
      <w:r>
        <w:rPr>
          <w:spacing w:val="-1"/>
        </w:rPr>
        <w:t> </w:t>
      </w:r>
      <w:r>
        <w:rPr/>
        <w:t>buildings</w:t>
      </w:r>
      <w:r>
        <w:rPr>
          <w:spacing w:val="-1"/>
        </w:rPr>
        <w:t> </w:t>
      </w:r>
      <w:r>
        <w:rPr/>
        <w:t>at</w:t>
      </w:r>
      <w:r>
        <w:rPr>
          <w:spacing w:val="-1"/>
        </w:rPr>
        <w:t> </w:t>
      </w:r>
      <w:r>
        <w:rPr/>
        <w:t>least</w:t>
      </w:r>
      <w:r>
        <w:rPr>
          <w:spacing w:val="-2"/>
        </w:rPr>
        <w:t> </w:t>
      </w:r>
      <w:r>
        <w:rPr/>
        <w:t>30</w:t>
      </w:r>
      <w:r>
        <w:rPr>
          <w:spacing w:val="-1"/>
        </w:rPr>
        <w:t> </w:t>
      </w:r>
      <w:r>
        <w:rPr/>
        <w:t>years</w:t>
      </w:r>
      <w:r>
        <w:rPr>
          <w:spacing w:val="-1"/>
        </w:rPr>
        <w:t> </w:t>
      </w:r>
      <w:r>
        <w:rPr/>
        <w:t>of</w:t>
      </w:r>
      <w:r>
        <w:rPr>
          <w:spacing w:val="-1"/>
        </w:rPr>
        <w:t> </w:t>
      </w:r>
      <w:r>
        <w:rPr>
          <w:spacing w:val="-5"/>
        </w:rPr>
        <w:t>age</w:t>
      </w:r>
    </w:p>
    <w:p>
      <w:pPr>
        <w:pStyle w:val="BodyText"/>
        <w:spacing w:before="2"/>
        <w:ind w:left="2242" w:right="766"/>
      </w:pPr>
      <w:r>
        <w:rPr/>
        <w:t>Explanation:</w:t>
      </w:r>
      <w:r>
        <w:rPr>
          <w:spacing w:val="-6"/>
        </w:rPr>
        <w:t> </w:t>
      </w:r>
      <w:r>
        <w:rPr/>
        <w:t>Age</w:t>
      </w:r>
      <w:r>
        <w:rPr>
          <w:spacing w:val="-6"/>
        </w:rPr>
        <w:t> </w:t>
      </w:r>
      <w:r>
        <w:rPr/>
        <w:t>of</w:t>
      </w:r>
      <w:r>
        <w:rPr>
          <w:spacing w:val="-8"/>
        </w:rPr>
        <w:t> </w:t>
      </w:r>
      <w:r>
        <w:rPr/>
        <w:t>a</w:t>
      </w:r>
      <w:r>
        <w:rPr>
          <w:spacing w:val="-6"/>
        </w:rPr>
        <w:t> </w:t>
      </w:r>
      <w:r>
        <w:rPr/>
        <w:t>building</w:t>
      </w:r>
      <w:r>
        <w:rPr>
          <w:spacing w:val="-6"/>
        </w:rPr>
        <w:t> </w:t>
      </w:r>
      <w:r>
        <w:rPr/>
        <w:t>shall</w:t>
      </w:r>
      <w:r>
        <w:rPr>
          <w:spacing w:val="-6"/>
        </w:rPr>
        <w:t> </w:t>
      </w:r>
      <w:r>
        <w:rPr/>
        <w:t>be</w:t>
      </w:r>
      <w:r>
        <w:rPr>
          <w:spacing w:val="-6"/>
        </w:rPr>
        <w:t> </w:t>
      </w:r>
      <w:r>
        <w:rPr/>
        <w:t>as</w:t>
      </w:r>
      <w:r>
        <w:rPr>
          <w:spacing w:val="-6"/>
        </w:rPr>
        <w:t> </w:t>
      </w:r>
      <w:r>
        <w:rPr/>
        <w:t>on</w:t>
      </w:r>
      <w:r>
        <w:rPr>
          <w:spacing w:val="-6"/>
        </w:rPr>
        <w:t> </w:t>
      </w:r>
      <w:r>
        <w:rPr/>
        <w:t>the</w:t>
      </w:r>
      <w:r>
        <w:rPr>
          <w:spacing w:val="-6"/>
        </w:rPr>
        <w:t> </w:t>
      </w:r>
      <w:r>
        <w:rPr/>
        <w:t>1st</w:t>
      </w:r>
      <w:r>
        <w:rPr>
          <w:spacing w:val="-6"/>
        </w:rPr>
        <w:t> </w:t>
      </w:r>
      <w:r>
        <w:rPr/>
        <w:t>of</w:t>
      </w:r>
      <w:r>
        <w:rPr>
          <w:spacing w:val="-8"/>
        </w:rPr>
        <w:t> </w:t>
      </w:r>
      <w:r>
        <w:rPr/>
        <w:t>January</w:t>
      </w:r>
      <w:r>
        <w:rPr>
          <w:spacing w:val="-6"/>
        </w:rPr>
        <w:t> </w:t>
      </w:r>
      <w:r>
        <w:rPr/>
        <w:t>of</w:t>
      </w:r>
      <w:r>
        <w:rPr>
          <w:spacing w:val="-6"/>
        </w:rPr>
        <w:t> </w:t>
      </w:r>
      <w:r>
        <w:rPr/>
        <w:t>the year in which redevelopment proposal for CDS is submitted to the Commissioner and shall be calculated from the date of occupation certificate or where such occupation certificate is not available, from the first date of assessment as per the property tax record in respect of such building, available with the Municipal Corporation.</w:t>
      </w:r>
    </w:p>
    <w:p>
      <w:pPr>
        <w:pStyle w:val="ListParagraph"/>
        <w:numPr>
          <w:ilvl w:val="0"/>
          <w:numId w:val="161"/>
        </w:numPr>
        <w:tabs>
          <w:tab w:pos="2781" w:val="left" w:leader="none"/>
        </w:tabs>
        <w:spacing w:line="240" w:lineRule="auto" w:before="239" w:after="0"/>
        <w:ind w:left="2242" w:right="768" w:firstLine="0"/>
        <w:jc w:val="both"/>
        <w:rPr>
          <w:sz w:val="24"/>
        </w:rPr>
      </w:pPr>
      <w:r>
        <w:rPr>
          <w:sz w:val="24"/>
        </w:rPr>
        <w:t>(a)</w:t>
      </w:r>
      <w:r>
        <w:rPr>
          <w:spacing w:val="-6"/>
          <w:sz w:val="24"/>
        </w:rPr>
        <w:t> </w:t>
      </w:r>
      <w:r>
        <w:rPr>
          <w:sz w:val="24"/>
        </w:rPr>
        <w:t>Buildings</w:t>
      </w:r>
      <w:r>
        <w:rPr>
          <w:spacing w:val="-6"/>
          <w:sz w:val="24"/>
        </w:rPr>
        <w:t> </w:t>
      </w:r>
      <w:r>
        <w:rPr>
          <w:sz w:val="24"/>
        </w:rPr>
        <w:t>belonging</w:t>
      </w:r>
      <w:r>
        <w:rPr>
          <w:spacing w:val="-6"/>
          <w:sz w:val="24"/>
        </w:rPr>
        <w:t> </w:t>
      </w:r>
      <w:r>
        <w:rPr>
          <w:sz w:val="24"/>
        </w:rPr>
        <w:t>to</w:t>
      </w:r>
      <w:r>
        <w:rPr>
          <w:spacing w:val="-6"/>
          <w:sz w:val="24"/>
        </w:rPr>
        <w:t> </w:t>
      </w:r>
      <w:r>
        <w:rPr>
          <w:sz w:val="24"/>
        </w:rPr>
        <w:t>the</w:t>
      </w:r>
      <w:r>
        <w:rPr>
          <w:spacing w:val="-6"/>
          <w:sz w:val="24"/>
        </w:rPr>
        <w:t> </w:t>
      </w:r>
      <w:r>
        <w:rPr>
          <w:sz w:val="24"/>
        </w:rPr>
        <w:t>Central</w:t>
      </w:r>
      <w:r>
        <w:rPr>
          <w:spacing w:val="-6"/>
          <w:sz w:val="24"/>
        </w:rPr>
        <w:t> </w:t>
      </w:r>
      <w:r>
        <w:rPr>
          <w:sz w:val="24"/>
        </w:rPr>
        <w:t>Govt,</w:t>
      </w:r>
      <w:r>
        <w:rPr>
          <w:spacing w:val="-6"/>
          <w:sz w:val="24"/>
        </w:rPr>
        <w:t> </w:t>
      </w:r>
      <w:r>
        <w:rPr>
          <w:sz w:val="24"/>
        </w:rPr>
        <w:t>the</w:t>
      </w:r>
      <w:r>
        <w:rPr>
          <w:spacing w:val="-6"/>
          <w:sz w:val="24"/>
        </w:rPr>
        <w:t> </w:t>
      </w:r>
      <w:r>
        <w:rPr>
          <w:sz w:val="24"/>
        </w:rPr>
        <w:t>State</w:t>
      </w:r>
      <w:r>
        <w:rPr>
          <w:spacing w:val="-6"/>
          <w:sz w:val="24"/>
        </w:rPr>
        <w:t> </w:t>
      </w:r>
      <w:r>
        <w:rPr>
          <w:sz w:val="24"/>
        </w:rPr>
        <w:t>Govt,</w:t>
      </w:r>
      <w:r>
        <w:rPr>
          <w:spacing w:val="-6"/>
          <w:sz w:val="24"/>
        </w:rPr>
        <w:t> </w:t>
      </w:r>
      <w:r>
        <w:rPr>
          <w:sz w:val="24"/>
        </w:rPr>
        <w:t>Semi- Govt</w:t>
      </w:r>
      <w:r>
        <w:rPr>
          <w:spacing w:val="-4"/>
          <w:sz w:val="24"/>
        </w:rPr>
        <w:t> </w:t>
      </w:r>
      <w:r>
        <w:rPr>
          <w:sz w:val="24"/>
        </w:rPr>
        <w:t>Organizations</w:t>
      </w:r>
      <w:r>
        <w:rPr>
          <w:spacing w:val="-1"/>
          <w:sz w:val="24"/>
        </w:rPr>
        <w:t> </w:t>
      </w:r>
      <w:r>
        <w:rPr>
          <w:sz w:val="24"/>
        </w:rPr>
        <w:t>and</w:t>
      </w:r>
      <w:r>
        <w:rPr>
          <w:spacing w:val="-4"/>
          <w:sz w:val="24"/>
        </w:rPr>
        <w:t> </w:t>
      </w:r>
      <w:r>
        <w:rPr>
          <w:sz w:val="24"/>
        </w:rPr>
        <w:t>the</w:t>
      </w:r>
      <w:r>
        <w:rPr>
          <w:spacing w:val="-4"/>
          <w:sz w:val="24"/>
        </w:rPr>
        <w:t> </w:t>
      </w:r>
      <w:r>
        <w:rPr>
          <w:sz w:val="24"/>
        </w:rPr>
        <w:t>MCGM,</w:t>
      </w:r>
      <w:r>
        <w:rPr>
          <w:spacing w:val="-4"/>
          <w:sz w:val="24"/>
        </w:rPr>
        <w:t> </w:t>
      </w:r>
      <w:r>
        <w:rPr>
          <w:sz w:val="24"/>
        </w:rPr>
        <w:t>as</w:t>
      </w:r>
      <w:r>
        <w:rPr>
          <w:spacing w:val="-2"/>
          <w:sz w:val="24"/>
        </w:rPr>
        <w:t> </w:t>
      </w:r>
      <w:r>
        <w:rPr>
          <w:sz w:val="24"/>
        </w:rPr>
        <w:t>well</w:t>
      </w:r>
      <w:r>
        <w:rPr>
          <w:spacing w:val="-4"/>
          <w:sz w:val="24"/>
        </w:rPr>
        <w:t> </w:t>
      </w:r>
      <w:r>
        <w:rPr>
          <w:sz w:val="24"/>
        </w:rPr>
        <w:t>as</w:t>
      </w:r>
      <w:r>
        <w:rPr>
          <w:spacing w:val="-4"/>
          <w:sz w:val="24"/>
        </w:rPr>
        <w:t> </w:t>
      </w:r>
      <w:r>
        <w:rPr>
          <w:sz w:val="24"/>
        </w:rPr>
        <w:t>institutional</w:t>
      </w:r>
      <w:r>
        <w:rPr>
          <w:spacing w:val="-2"/>
          <w:sz w:val="24"/>
        </w:rPr>
        <w:t> </w:t>
      </w:r>
      <w:r>
        <w:rPr>
          <w:sz w:val="24"/>
        </w:rPr>
        <w:t>buildings, office buildings, tenanted municipal buildings and buildings constructed by MHADA, that are at least 30 years of age.</w:t>
      </w:r>
    </w:p>
    <w:p>
      <w:pPr>
        <w:pStyle w:val="BodyText"/>
        <w:spacing w:before="239"/>
        <w:ind w:left="2242" w:right="768"/>
      </w:pPr>
      <w:r>
        <w:rPr/>
        <w:t>(b) Any land belonging to the State Govt, any semi-GovtOrganization, MCGM</w:t>
      </w:r>
      <w:r>
        <w:rPr>
          <w:spacing w:val="-18"/>
        </w:rPr>
        <w:t> </w:t>
      </w:r>
      <w:r>
        <w:rPr/>
        <w:t>and</w:t>
      </w:r>
      <w:r>
        <w:rPr>
          <w:spacing w:val="-17"/>
        </w:rPr>
        <w:t> </w:t>
      </w:r>
      <w:r>
        <w:rPr/>
        <w:t>MHADA</w:t>
      </w:r>
      <w:r>
        <w:rPr>
          <w:spacing w:val="-18"/>
        </w:rPr>
        <w:t> </w:t>
      </w:r>
      <w:r>
        <w:rPr/>
        <w:t>(either</w:t>
      </w:r>
      <w:r>
        <w:rPr>
          <w:spacing w:val="-18"/>
        </w:rPr>
        <w:t> </w:t>
      </w:r>
      <w:r>
        <w:rPr/>
        <w:t>vacant</w:t>
      </w:r>
      <w:r>
        <w:rPr>
          <w:spacing w:val="-18"/>
        </w:rPr>
        <w:t> </w:t>
      </w:r>
      <w:r>
        <w:rPr/>
        <w:t>or</w:t>
      </w:r>
      <w:r>
        <w:rPr>
          <w:spacing w:val="-18"/>
        </w:rPr>
        <w:t> </w:t>
      </w:r>
      <w:r>
        <w:rPr/>
        <w:t>built</w:t>
      </w:r>
      <w:r>
        <w:rPr>
          <w:spacing w:val="-16"/>
        </w:rPr>
        <w:t> </w:t>
      </w:r>
      <w:r>
        <w:rPr/>
        <w:t>upon)</w:t>
      </w:r>
      <w:r>
        <w:rPr>
          <w:spacing w:val="-17"/>
        </w:rPr>
        <w:t> </w:t>
      </w:r>
      <w:r>
        <w:rPr/>
        <w:t>which</w:t>
      </w:r>
      <w:r>
        <w:rPr>
          <w:spacing w:val="-17"/>
        </w:rPr>
        <w:t> </w:t>
      </w:r>
      <w:r>
        <w:rPr/>
        <w:t>falls</w:t>
      </w:r>
      <w:r>
        <w:rPr>
          <w:spacing w:val="-18"/>
        </w:rPr>
        <w:t> </w:t>
      </w:r>
      <w:r>
        <w:rPr/>
        <w:t>within</w:t>
      </w:r>
      <w:r>
        <w:rPr>
          <w:spacing w:val="-18"/>
        </w:rPr>
        <w:t> </w:t>
      </w:r>
      <w:r>
        <w:rPr/>
        <w:t>the area</w:t>
      </w:r>
      <w:r>
        <w:rPr>
          <w:spacing w:val="-20"/>
        </w:rPr>
        <w:t> </w:t>
      </w:r>
      <w:r>
        <w:rPr/>
        <w:t>of</w:t>
      </w:r>
      <w:r>
        <w:rPr>
          <w:spacing w:val="-19"/>
        </w:rPr>
        <w:t> </w:t>
      </w:r>
      <w:r>
        <w:rPr/>
        <w:t>the</w:t>
      </w:r>
      <w:r>
        <w:rPr>
          <w:spacing w:val="-19"/>
        </w:rPr>
        <w:t> </w:t>
      </w:r>
      <w:r>
        <w:rPr/>
        <w:t>proposed</w:t>
      </w:r>
      <w:r>
        <w:rPr>
          <w:spacing w:val="-19"/>
        </w:rPr>
        <w:t> </w:t>
      </w:r>
      <w:r>
        <w:rPr/>
        <w:t>CDS</w:t>
      </w:r>
      <w:r>
        <w:rPr>
          <w:spacing w:val="-16"/>
        </w:rPr>
        <w:t> </w:t>
      </w:r>
      <w:r>
        <w:rPr/>
        <w:t>including</w:t>
      </w:r>
      <w:r>
        <w:rPr>
          <w:spacing w:val="-19"/>
        </w:rPr>
        <w:t> </w:t>
      </w:r>
      <w:r>
        <w:rPr/>
        <w:t>that</w:t>
      </w:r>
      <w:r>
        <w:rPr>
          <w:spacing w:val="-14"/>
        </w:rPr>
        <w:t> </w:t>
      </w:r>
      <w:r>
        <w:rPr/>
        <w:t>which</w:t>
      </w:r>
      <w:r>
        <w:rPr>
          <w:spacing w:val="-20"/>
        </w:rPr>
        <w:t> </w:t>
      </w:r>
      <w:r>
        <w:rPr/>
        <w:t>has</w:t>
      </w:r>
      <w:r>
        <w:rPr>
          <w:spacing w:val="-19"/>
        </w:rPr>
        <w:t> </w:t>
      </w:r>
      <w:r>
        <w:rPr/>
        <w:t>been</w:t>
      </w:r>
      <w:r>
        <w:rPr>
          <w:spacing w:val="-19"/>
        </w:rPr>
        <w:t> </w:t>
      </w:r>
      <w:r>
        <w:rPr/>
        <w:t>given</w:t>
      </w:r>
      <w:r>
        <w:rPr>
          <w:spacing w:val="-19"/>
        </w:rPr>
        <w:t> </w:t>
      </w:r>
      <w:r>
        <w:rPr/>
        <w:t>on</w:t>
      </w:r>
      <w:r>
        <w:rPr>
          <w:spacing w:val="-19"/>
        </w:rPr>
        <w:t> </w:t>
      </w:r>
      <w:r>
        <w:rPr/>
        <w:t>lease or granted on the tenure of Occupant Class II.</w:t>
      </w:r>
    </w:p>
    <w:p>
      <w:pPr>
        <w:pStyle w:val="BodyText"/>
        <w:spacing w:before="242"/>
        <w:ind w:left="2242" w:right="767"/>
      </w:pPr>
      <w:r>
        <w:rPr/>
        <w:t>Provided that in case of buildings or lands belonging to the Central Govt, the State Govt, Semi-Govt Organizations, MCGM or MHADA, prior consent of the concerned Department shall be obtained for including such buildings or lands in any proposal of CDS.</w:t>
      </w:r>
    </w:p>
    <w:p>
      <w:pPr>
        <w:pStyle w:val="BodyText"/>
        <w:spacing w:after="0"/>
        <w:sectPr>
          <w:pgSz w:w="11910" w:h="16840"/>
          <w:pgMar w:header="1065" w:footer="1194" w:top="1500" w:bottom="1380" w:left="360" w:right="360"/>
        </w:sectPr>
      </w:pPr>
    </w:p>
    <w:p>
      <w:pPr>
        <w:pStyle w:val="ListParagraph"/>
        <w:numPr>
          <w:ilvl w:val="0"/>
          <w:numId w:val="161"/>
        </w:numPr>
        <w:tabs>
          <w:tab w:pos="2726" w:val="left" w:leader="none"/>
        </w:tabs>
        <w:spacing w:line="240" w:lineRule="auto" w:before="249" w:after="0"/>
        <w:ind w:left="2242" w:right="767" w:firstLine="0"/>
        <w:jc w:val="both"/>
        <w:rPr>
          <w:sz w:val="24"/>
        </w:rPr>
      </w:pPr>
      <w:r>
        <w:rPr>
          <w:sz w:val="24"/>
        </w:rPr>
        <w:t>Other buildings which by reasons of dis-repair or because of structural/sanitary defects, are unfit for human habitation or by reasons of their bad configuration or the narrowness of streets are dangerous</w:t>
      </w:r>
      <w:r>
        <w:rPr>
          <w:spacing w:val="-10"/>
          <w:sz w:val="24"/>
        </w:rPr>
        <w:t> </w:t>
      </w:r>
      <w:r>
        <w:rPr>
          <w:sz w:val="24"/>
        </w:rPr>
        <w:t>or</w:t>
      </w:r>
      <w:r>
        <w:rPr>
          <w:spacing w:val="-10"/>
          <w:sz w:val="24"/>
        </w:rPr>
        <w:t> </w:t>
      </w:r>
      <w:r>
        <w:rPr>
          <w:sz w:val="24"/>
        </w:rPr>
        <w:t>injurious</w:t>
      </w:r>
      <w:r>
        <w:rPr>
          <w:spacing w:val="-10"/>
          <w:sz w:val="24"/>
        </w:rPr>
        <w:t> </w:t>
      </w:r>
      <w:r>
        <w:rPr>
          <w:sz w:val="24"/>
        </w:rPr>
        <w:t>to</w:t>
      </w:r>
      <w:r>
        <w:rPr>
          <w:spacing w:val="-10"/>
          <w:sz w:val="24"/>
        </w:rPr>
        <w:t> </w:t>
      </w:r>
      <w:r>
        <w:rPr>
          <w:sz w:val="24"/>
        </w:rPr>
        <w:t>the</w:t>
      </w:r>
      <w:r>
        <w:rPr>
          <w:spacing w:val="-10"/>
          <w:sz w:val="24"/>
        </w:rPr>
        <w:t> </w:t>
      </w:r>
      <w:r>
        <w:rPr>
          <w:sz w:val="24"/>
        </w:rPr>
        <w:t>health</w:t>
      </w:r>
      <w:r>
        <w:rPr>
          <w:spacing w:val="-10"/>
          <w:sz w:val="24"/>
        </w:rPr>
        <w:t> </w:t>
      </w:r>
      <w:r>
        <w:rPr>
          <w:sz w:val="24"/>
        </w:rPr>
        <w:t>or</w:t>
      </w:r>
      <w:r>
        <w:rPr>
          <w:spacing w:val="-10"/>
          <w:sz w:val="24"/>
        </w:rPr>
        <w:t> </w:t>
      </w:r>
      <w:r>
        <w:rPr>
          <w:sz w:val="24"/>
        </w:rPr>
        <w:t>safety</w:t>
      </w:r>
      <w:r>
        <w:rPr>
          <w:spacing w:val="-10"/>
          <w:sz w:val="24"/>
        </w:rPr>
        <w:t> </w:t>
      </w:r>
      <w:r>
        <w:rPr>
          <w:sz w:val="24"/>
        </w:rPr>
        <w:t>of</w:t>
      </w:r>
      <w:r>
        <w:rPr>
          <w:spacing w:val="-10"/>
          <w:sz w:val="24"/>
        </w:rPr>
        <w:t> </w:t>
      </w:r>
      <w:r>
        <w:rPr>
          <w:sz w:val="24"/>
        </w:rPr>
        <w:t>the</w:t>
      </w:r>
      <w:r>
        <w:rPr>
          <w:spacing w:val="-10"/>
          <w:sz w:val="24"/>
        </w:rPr>
        <w:t> </w:t>
      </w:r>
      <w:r>
        <w:rPr>
          <w:sz w:val="24"/>
        </w:rPr>
        <w:t>inhabitants</w:t>
      </w:r>
      <w:r>
        <w:rPr>
          <w:spacing w:val="-10"/>
          <w:sz w:val="24"/>
        </w:rPr>
        <w:t> </w:t>
      </w:r>
      <w:r>
        <w:rPr>
          <w:sz w:val="24"/>
        </w:rPr>
        <w:t>of</w:t>
      </w:r>
      <w:r>
        <w:rPr>
          <w:spacing w:val="-10"/>
          <w:sz w:val="24"/>
        </w:rPr>
        <w:t> </w:t>
      </w:r>
      <w:r>
        <w:rPr>
          <w:sz w:val="24"/>
        </w:rPr>
        <w:t>the area, as certified by the Officer or the Agency designated for this purpose by MHADA/MCGM or Mumbai Repair &amp; Reconstruction </w:t>
      </w:r>
      <w:r>
        <w:rPr>
          <w:spacing w:val="-2"/>
          <w:sz w:val="24"/>
        </w:rPr>
        <w:t>Board.</w:t>
      </w:r>
    </w:p>
    <w:p>
      <w:pPr>
        <w:pStyle w:val="ListParagraph"/>
        <w:numPr>
          <w:ilvl w:val="0"/>
          <w:numId w:val="161"/>
        </w:numPr>
        <w:tabs>
          <w:tab w:pos="2575" w:val="left" w:leader="none"/>
        </w:tabs>
        <w:spacing w:line="240" w:lineRule="auto" w:before="241" w:after="0"/>
        <w:ind w:left="2242" w:right="766" w:firstLine="0"/>
        <w:jc w:val="both"/>
        <w:rPr>
          <w:sz w:val="24"/>
        </w:rPr>
      </w:pPr>
      <w:r>
        <w:rPr>
          <w:sz w:val="24"/>
        </w:rPr>
        <w:t>Slum</w:t>
      </w:r>
      <w:r>
        <w:rPr>
          <w:spacing w:val="-15"/>
          <w:sz w:val="24"/>
        </w:rPr>
        <w:t> </w:t>
      </w:r>
      <w:r>
        <w:rPr>
          <w:sz w:val="24"/>
        </w:rPr>
        <w:t>areas</w:t>
      </w:r>
      <w:r>
        <w:rPr>
          <w:spacing w:val="-15"/>
          <w:sz w:val="24"/>
        </w:rPr>
        <w:t> </w:t>
      </w:r>
      <w:r>
        <w:rPr>
          <w:sz w:val="24"/>
        </w:rPr>
        <w:t>declared</w:t>
      </w:r>
      <w:r>
        <w:rPr>
          <w:spacing w:val="-15"/>
          <w:sz w:val="24"/>
        </w:rPr>
        <w:t> </w:t>
      </w:r>
      <w:r>
        <w:rPr>
          <w:sz w:val="24"/>
        </w:rPr>
        <w:t>as</w:t>
      </w:r>
      <w:r>
        <w:rPr>
          <w:spacing w:val="-15"/>
          <w:sz w:val="24"/>
        </w:rPr>
        <w:t> </w:t>
      </w:r>
      <w:r>
        <w:rPr>
          <w:sz w:val="24"/>
        </w:rPr>
        <w:t>slums</w:t>
      </w:r>
      <w:r>
        <w:rPr>
          <w:spacing w:val="-15"/>
          <w:sz w:val="24"/>
        </w:rPr>
        <w:t> </w:t>
      </w:r>
      <w:r>
        <w:rPr>
          <w:sz w:val="24"/>
        </w:rPr>
        <w:t>under</w:t>
      </w:r>
      <w:r>
        <w:rPr>
          <w:spacing w:val="-15"/>
          <w:sz w:val="24"/>
        </w:rPr>
        <w:t> </w:t>
      </w:r>
      <w:r>
        <w:rPr>
          <w:sz w:val="24"/>
        </w:rPr>
        <w:t>section</w:t>
      </w:r>
      <w:r>
        <w:rPr>
          <w:spacing w:val="-15"/>
          <w:sz w:val="24"/>
        </w:rPr>
        <w:t> </w:t>
      </w:r>
      <w:r>
        <w:rPr>
          <w:sz w:val="24"/>
        </w:rPr>
        <w:t>4</w:t>
      </w:r>
      <w:r>
        <w:rPr>
          <w:spacing w:val="-15"/>
          <w:sz w:val="24"/>
        </w:rPr>
        <w:t> </w:t>
      </w:r>
      <w:r>
        <w:rPr>
          <w:sz w:val="24"/>
        </w:rPr>
        <w:t>of</w:t>
      </w:r>
      <w:r>
        <w:rPr>
          <w:spacing w:val="-15"/>
          <w:sz w:val="24"/>
        </w:rPr>
        <w:t> </w:t>
      </w:r>
      <w:r>
        <w:rPr>
          <w:sz w:val="24"/>
        </w:rPr>
        <w:t>Slum</w:t>
      </w:r>
      <w:r>
        <w:rPr>
          <w:spacing w:val="-15"/>
          <w:sz w:val="24"/>
        </w:rPr>
        <w:t> </w:t>
      </w:r>
      <w:r>
        <w:rPr>
          <w:sz w:val="24"/>
        </w:rPr>
        <w:t>Act</w:t>
      </w:r>
      <w:r>
        <w:rPr>
          <w:spacing w:val="-12"/>
          <w:sz w:val="24"/>
        </w:rPr>
        <w:t> </w:t>
      </w:r>
      <w:r>
        <w:rPr>
          <w:sz w:val="24"/>
        </w:rPr>
        <w:t>or</w:t>
      </w:r>
      <w:r>
        <w:rPr>
          <w:spacing w:val="-15"/>
          <w:sz w:val="24"/>
        </w:rPr>
        <w:t> </w:t>
      </w:r>
      <w:r>
        <w:rPr>
          <w:sz w:val="24"/>
        </w:rPr>
        <w:t>slums on</w:t>
      </w:r>
      <w:r>
        <w:rPr>
          <w:spacing w:val="-11"/>
          <w:sz w:val="24"/>
        </w:rPr>
        <w:t> </w:t>
      </w:r>
      <w:r>
        <w:rPr>
          <w:sz w:val="24"/>
        </w:rPr>
        <w:t>Public</w:t>
      </w:r>
      <w:r>
        <w:rPr>
          <w:spacing w:val="-11"/>
          <w:sz w:val="24"/>
        </w:rPr>
        <w:t> </w:t>
      </w:r>
      <w:r>
        <w:rPr>
          <w:sz w:val="24"/>
        </w:rPr>
        <w:t>lands</w:t>
      </w:r>
      <w:r>
        <w:rPr>
          <w:spacing w:val="-11"/>
          <w:sz w:val="24"/>
        </w:rPr>
        <w:t> </w:t>
      </w:r>
      <w:r>
        <w:rPr>
          <w:sz w:val="24"/>
        </w:rPr>
        <w:t>existing</w:t>
      </w:r>
      <w:r>
        <w:rPr>
          <w:spacing w:val="-11"/>
          <w:sz w:val="24"/>
        </w:rPr>
        <w:t> </w:t>
      </w:r>
      <w:r>
        <w:rPr>
          <w:sz w:val="24"/>
        </w:rPr>
        <w:t>prior</w:t>
      </w:r>
      <w:r>
        <w:rPr>
          <w:spacing w:val="-11"/>
          <w:sz w:val="24"/>
        </w:rPr>
        <w:t> </w:t>
      </w:r>
      <w:r>
        <w:rPr>
          <w:sz w:val="24"/>
        </w:rPr>
        <w:t>to</w:t>
      </w:r>
      <w:r>
        <w:rPr>
          <w:spacing w:val="-11"/>
          <w:sz w:val="24"/>
        </w:rPr>
        <w:t> </w:t>
      </w:r>
      <w:r>
        <w:rPr>
          <w:sz w:val="24"/>
        </w:rPr>
        <w:t>1.1.2000</w:t>
      </w:r>
      <w:r>
        <w:rPr>
          <w:spacing w:val="-11"/>
          <w:sz w:val="24"/>
        </w:rPr>
        <w:t> </w:t>
      </w:r>
      <w:r>
        <w:rPr>
          <w:sz w:val="24"/>
        </w:rPr>
        <w:t>or</w:t>
      </w:r>
      <w:r>
        <w:rPr>
          <w:spacing w:val="-11"/>
          <w:sz w:val="24"/>
        </w:rPr>
        <w:t> </w:t>
      </w:r>
      <w:r>
        <w:rPr>
          <w:sz w:val="24"/>
        </w:rPr>
        <w:t>such</w:t>
      </w:r>
      <w:r>
        <w:rPr>
          <w:spacing w:val="-11"/>
          <w:sz w:val="24"/>
        </w:rPr>
        <w:t> </w:t>
      </w:r>
      <w:r>
        <w:rPr>
          <w:sz w:val="24"/>
        </w:rPr>
        <w:t>other</w:t>
      </w:r>
      <w:r>
        <w:rPr>
          <w:spacing w:val="-11"/>
          <w:sz w:val="24"/>
        </w:rPr>
        <w:t> </w:t>
      </w:r>
      <w:r>
        <w:rPr>
          <w:sz w:val="24"/>
        </w:rPr>
        <w:t>reference</w:t>
      </w:r>
      <w:r>
        <w:rPr>
          <w:spacing w:val="-11"/>
          <w:sz w:val="24"/>
        </w:rPr>
        <w:t> </w:t>
      </w:r>
      <w:r>
        <w:rPr>
          <w:sz w:val="24"/>
        </w:rPr>
        <w:t>date notified</w:t>
      </w:r>
      <w:r>
        <w:rPr>
          <w:spacing w:val="-1"/>
          <w:sz w:val="24"/>
        </w:rPr>
        <w:t> </w:t>
      </w:r>
      <w:r>
        <w:rPr>
          <w:sz w:val="24"/>
        </w:rPr>
        <w:t>by</w:t>
      </w:r>
      <w:r>
        <w:rPr>
          <w:spacing w:val="-1"/>
          <w:sz w:val="24"/>
        </w:rPr>
        <w:t> </w:t>
      </w:r>
      <w:r>
        <w:rPr>
          <w:sz w:val="24"/>
        </w:rPr>
        <w:t>theGovt,</w:t>
      </w:r>
      <w:r>
        <w:rPr>
          <w:spacing w:val="-1"/>
          <w:sz w:val="24"/>
        </w:rPr>
        <w:t> </w:t>
      </w:r>
      <w:r>
        <w:rPr>
          <w:sz w:val="24"/>
        </w:rPr>
        <w:t>provided</w:t>
      </w:r>
      <w:r>
        <w:rPr>
          <w:spacing w:val="-1"/>
          <w:sz w:val="24"/>
        </w:rPr>
        <w:t> </w:t>
      </w:r>
      <w:r>
        <w:rPr>
          <w:sz w:val="24"/>
        </w:rPr>
        <w:t>such</w:t>
      </w:r>
      <w:r>
        <w:rPr>
          <w:spacing w:val="-1"/>
          <w:sz w:val="24"/>
        </w:rPr>
        <w:t> </w:t>
      </w:r>
      <w:r>
        <w:rPr>
          <w:sz w:val="24"/>
        </w:rPr>
        <w:t>slum</w:t>
      </w:r>
      <w:r>
        <w:rPr>
          <w:spacing w:val="-1"/>
          <w:sz w:val="24"/>
        </w:rPr>
        <w:t> </w:t>
      </w:r>
      <w:r>
        <w:rPr>
          <w:sz w:val="24"/>
        </w:rPr>
        <w:t>areas</w:t>
      </w:r>
      <w:r>
        <w:rPr>
          <w:spacing w:val="-1"/>
          <w:sz w:val="24"/>
        </w:rPr>
        <w:t> </w:t>
      </w:r>
      <w:r>
        <w:rPr>
          <w:sz w:val="24"/>
        </w:rPr>
        <w:t>do</w:t>
      </w:r>
      <w:r>
        <w:rPr>
          <w:spacing w:val="-1"/>
          <w:sz w:val="24"/>
        </w:rPr>
        <w:t> </w:t>
      </w:r>
      <w:r>
        <w:rPr>
          <w:sz w:val="24"/>
        </w:rPr>
        <w:t>not</w:t>
      </w:r>
      <w:r>
        <w:rPr>
          <w:spacing w:val="-1"/>
          <w:sz w:val="24"/>
        </w:rPr>
        <w:t> </w:t>
      </w:r>
      <w:r>
        <w:rPr>
          <w:sz w:val="24"/>
        </w:rPr>
        <w:t>constitute</w:t>
      </w:r>
      <w:r>
        <w:rPr>
          <w:spacing w:val="-1"/>
          <w:sz w:val="24"/>
        </w:rPr>
        <w:t> </w:t>
      </w:r>
      <w:r>
        <w:rPr>
          <w:sz w:val="24"/>
        </w:rPr>
        <w:t>more than 50% of the area of CD.</w:t>
      </w:r>
    </w:p>
    <w:p>
      <w:pPr>
        <w:pStyle w:val="BodyText"/>
        <w:spacing w:before="242"/>
        <w:ind w:left="2062" w:right="766"/>
      </w:pPr>
      <w:r>
        <w:rPr/>
        <w:t>Explanation: If some areas are previously developed/or are in the process of development under different provisions of the DCPR, </w:t>
      </w:r>
      <w:r>
        <w:rPr/>
        <w:t>such areas</w:t>
      </w:r>
      <w:r>
        <w:rPr>
          <w:spacing w:val="-8"/>
        </w:rPr>
        <w:t> </w:t>
      </w:r>
      <w:r>
        <w:rPr/>
        <w:t>can</w:t>
      </w:r>
      <w:r>
        <w:rPr>
          <w:spacing w:val="-8"/>
        </w:rPr>
        <w:t> </w:t>
      </w:r>
      <w:r>
        <w:rPr/>
        <w:t>be</w:t>
      </w:r>
      <w:r>
        <w:rPr>
          <w:spacing w:val="-8"/>
        </w:rPr>
        <w:t> </w:t>
      </w:r>
      <w:r>
        <w:rPr/>
        <w:t>included</w:t>
      </w:r>
      <w:r>
        <w:rPr>
          <w:spacing w:val="-8"/>
        </w:rPr>
        <w:t> </w:t>
      </w:r>
      <w:r>
        <w:rPr/>
        <w:t>in</w:t>
      </w:r>
      <w:r>
        <w:rPr>
          <w:spacing w:val="-8"/>
        </w:rPr>
        <w:t> </w:t>
      </w:r>
      <w:r>
        <w:rPr/>
        <w:t>the</w:t>
      </w:r>
      <w:r>
        <w:rPr>
          <w:spacing w:val="-7"/>
        </w:rPr>
        <w:t> </w:t>
      </w:r>
      <w:r>
        <w:rPr/>
        <w:t>CDS only</w:t>
      </w:r>
      <w:r>
        <w:rPr>
          <w:spacing w:val="-5"/>
        </w:rPr>
        <w:t> </w:t>
      </w:r>
      <w:r>
        <w:rPr/>
        <w:t>for</w:t>
      </w:r>
      <w:r>
        <w:rPr>
          <w:spacing w:val="-8"/>
        </w:rPr>
        <w:t> </w:t>
      </w:r>
      <w:r>
        <w:rPr/>
        <w:t>planning</w:t>
      </w:r>
      <w:r>
        <w:rPr>
          <w:spacing w:val="-8"/>
        </w:rPr>
        <w:t> </w:t>
      </w:r>
      <w:r>
        <w:rPr/>
        <w:t>purposes.</w:t>
      </w:r>
      <w:r>
        <w:rPr>
          <w:spacing w:val="-5"/>
        </w:rPr>
        <w:t> </w:t>
      </w:r>
      <w:r>
        <w:rPr/>
        <w:t>However, such</w:t>
      </w:r>
      <w:r>
        <w:rPr>
          <w:spacing w:val="-20"/>
        </w:rPr>
        <w:t> </w:t>
      </w:r>
      <w:r>
        <w:rPr/>
        <w:t>areas</w:t>
      </w:r>
      <w:r>
        <w:rPr>
          <w:spacing w:val="-19"/>
        </w:rPr>
        <w:t> </w:t>
      </w:r>
      <w:r>
        <w:rPr/>
        <w:t>shall</w:t>
      </w:r>
      <w:r>
        <w:rPr>
          <w:spacing w:val="-19"/>
        </w:rPr>
        <w:t> </w:t>
      </w:r>
      <w:r>
        <w:rPr/>
        <w:t>be</w:t>
      </w:r>
      <w:r>
        <w:rPr>
          <w:spacing w:val="-19"/>
        </w:rPr>
        <w:t> </w:t>
      </w:r>
      <w:r>
        <w:rPr/>
        <w:t>excluded</w:t>
      </w:r>
      <w:r>
        <w:rPr>
          <w:spacing w:val="-19"/>
        </w:rPr>
        <w:t> </w:t>
      </w:r>
      <w:r>
        <w:rPr/>
        <w:t>for</w:t>
      </w:r>
      <w:r>
        <w:rPr>
          <w:spacing w:val="-20"/>
        </w:rPr>
        <w:t> </w:t>
      </w:r>
      <w:r>
        <w:rPr/>
        <w:t>calculation</w:t>
      </w:r>
      <w:r>
        <w:rPr>
          <w:spacing w:val="-19"/>
        </w:rPr>
        <w:t> </w:t>
      </w:r>
      <w:r>
        <w:rPr/>
        <w:t>of</w:t>
      </w:r>
      <w:r>
        <w:rPr>
          <w:spacing w:val="-19"/>
        </w:rPr>
        <w:t> </w:t>
      </w:r>
      <w:r>
        <w:rPr/>
        <w:t>FSI</w:t>
      </w:r>
      <w:r>
        <w:rPr>
          <w:spacing w:val="-19"/>
        </w:rPr>
        <w:t> </w:t>
      </w:r>
      <w:r>
        <w:rPr/>
        <w:t>under</w:t>
      </w:r>
      <w:r>
        <w:rPr>
          <w:spacing w:val="-19"/>
        </w:rPr>
        <w:t> </w:t>
      </w:r>
      <w:r>
        <w:rPr/>
        <w:t>this</w:t>
      </w:r>
      <w:r>
        <w:rPr>
          <w:spacing w:val="-20"/>
        </w:rPr>
        <w:t> </w:t>
      </w:r>
      <w:r>
        <w:rPr/>
        <w:t>Regulation and</w:t>
      </w:r>
      <w:r>
        <w:rPr>
          <w:spacing w:val="-18"/>
        </w:rPr>
        <w:t> </w:t>
      </w:r>
      <w:r>
        <w:rPr/>
        <w:t>the</w:t>
      </w:r>
      <w:r>
        <w:rPr>
          <w:spacing w:val="-18"/>
        </w:rPr>
        <w:t> </w:t>
      </w:r>
      <w:r>
        <w:rPr/>
        <w:t>admissible</w:t>
      </w:r>
      <w:r>
        <w:rPr>
          <w:spacing w:val="-18"/>
        </w:rPr>
        <w:t> </w:t>
      </w:r>
      <w:r>
        <w:rPr/>
        <w:t>FSI</w:t>
      </w:r>
      <w:r>
        <w:rPr>
          <w:spacing w:val="-16"/>
        </w:rPr>
        <w:t> </w:t>
      </w:r>
      <w:r>
        <w:rPr/>
        <w:t>shall</w:t>
      </w:r>
      <w:r>
        <w:rPr>
          <w:spacing w:val="-18"/>
        </w:rPr>
        <w:t> </w:t>
      </w:r>
      <w:r>
        <w:rPr/>
        <w:t>be</w:t>
      </w:r>
      <w:r>
        <w:rPr>
          <w:spacing w:val="-18"/>
        </w:rPr>
        <w:t> </w:t>
      </w:r>
      <w:r>
        <w:rPr/>
        <w:t>calculated</w:t>
      </w:r>
      <w:r>
        <w:rPr>
          <w:spacing w:val="-18"/>
        </w:rPr>
        <w:t> </w:t>
      </w:r>
      <w:r>
        <w:rPr/>
        <w:t>as</w:t>
      </w:r>
      <w:r>
        <w:rPr>
          <w:spacing w:val="-18"/>
        </w:rPr>
        <w:t> </w:t>
      </w:r>
      <w:r>
        <w:rPr/>
        <w:t>per</w:t>
      </w:r>
      <w:r>
        <w:rPr>
          <w:spacing w:val="-18"/>
        </w:rPr>
        <w:t> </w:t>
      </w:r>
      <w:r>
        <w:rPr/>
        <w:t>the</w:t>
      </w:r>
      <w:r>
        <w:rPr>
          <w:spacing w:val="-18"/>
        </w:rPr>
        <w:t> </w:t>
      </w:r>
      <w:r>
        <w:rPr/>
        <w:t>relevant</w:t>
      </w:r>
      <w:r>
        <w:rPr>
          <w:spacing w:val="-18"/>
        </w:rPr>
        <w:t> </w:t>
      </w:r>
      <w:r>
        <w:rPr/>
        <w:t>provisions of the DCPRunder which such areas are developed or are being developed. However, it shall be necessary to obtain consent of owner/owners of such areas for becoming part of the CDS.</w:t>
      </w:r>
    </w:p>
    <w:p>
      <w:pPr>
        <w:pStyle w:val="ListParagraph"/>
        <w:numPr>
          <w:ilvl w:val="0"/>
          <w:numId w:val="160"/>
        </w:numPr>
        <w:tabs>
          <w:tab w:pos="3116" w:val="left" w:leader="none"/>
          <w:tab w:pos="4421" w:val="left" w:leader="none"/>
          <w:tab w:pos="9558" w:val="left" w:leader="none"/>
        </w:tabs>
        <w:spacing w:line="240" w:lineRule="auto" w:before="239" w:after="0"/>
        <w:ind w:left="1973" w:right="766" w:firstLine="720"/>
        <w:jc w:val="left"/>
        <w:rPr>
          <w:sz w:val="24"/>
        </w:rPr>
      </w:pPr>
      <w:r>
        <w:rPr>
          <w:spacing w:val="-2"/>
          <w:sz w:val="24"/>
        </w:rPr>
        <w:t>Eligibility</w:t>
      </w:r>
      <w:r>
        <w:rPr>
          <w:sz w:val="24"/>
        </w:rPr>
        <w:tab/>
        <w:t>of</w:t>
      </w:r>
      <w:r>
        <w:rPr>
          <w:spacing w:val="80"/>
          <w:sz w:val="24"/>
        </w:rPr>
        <w:t> </w:t>
      </w:r>
      <w:r>
        <w:rPr>
          <w:sz w:val="24"/>
        </w:rPr>
        <w:t>Occupants</w:t>
      </w:r>
      <w:r>
        <w:rPr>
          <w:spacing w:val="80"/>
          <w:sz w:val="24"/>
        </w:rPr>
        <w:t> </w:t>
      </w:r>
      <w:r>
        <w:rPr>
          <w:sz w:val="24"/>
        </w:rPr>
        <w:t>for</w:t>
      </w:r>
      <w:r>
        <w:rPr>
          <w:spacing w:val="80"/>
          <w:sz w:val="24"/>
        </w:rPr>
        <w:t> </w:t>
      </w:r>
      <w:r>
        <w:rPr>
          <w:sz w:val="24"/>
        </w:rPr>
        <w:t>Rehabilitation</w:t>
      </w:r>
      <w:r>
        <w:rPr>
          <w:spacing w:val="80"/>
          <w:sz w:val="24"/>
        </w:rPr>
        <w:t> </w:t>
      </w:r>
      <w:r>
        <w:rPr>
          <w:sz w:val="24"/>
        </w:rPr>
        <w:t>under</w:t>
        <w:tab/>
      </w:r>
      <w:r>
        <w:rPr>
          <w:spacing w:val="-2"/>
          <w:sz w:val="24"/>
        </w:rPr>
        <w:t>Cluster </w:t>
      </w:r>
      <w:r>
        <w:rPr>
          <w:sz w:val="24"/>
        </w:rPr>
        <w:t>Development Scheme (CDS)</w:t>
      </w:r>
    </w:p>
    <w:p>
      <w:pPr>
        <w:pStyle w:val="Heading6"/>
        <w:numPr>
          <w:ilvl w:val="1"/>
          <w:numId w:val="159"/>
        </w:numPr>
        <w:tabs>
          <w:tab w:pos="2781" w:val="left" w:leader="none"/>
        </w:tabs>
        <w:spacing w:line="240" w:lineRule="auto" w:before="239" w:after="0"/>
        <w:ind w:left="2781" w:right="0" w:hanging="719"/>
        <w:jc w:val="both"/>
      </w:pPr>
      <w:r>
        <w:rPr/>
        <w:t>For </w:t>
      </w:r>
      <w:r>
        <w:rPr>
          <w:spacing w:val="-2"/>
        </w:rPr>
        <w:t>Buildings:</w:t>
      </w:r>
    </w:p>
    <w:p>
      <w:pPr>
        <w:pStyle w:val="ListParagraph"/>
        <w:numPr>
          <w:ilvl w:val="2"/>
          <w:numId w:val="159"/>
        </w:numPr>
        <w:tabs>
          <w:tab w:pos="2392" w:val="left" w:leader="none"/>
        </w:tabs>
        <w:spacing w:line="240" w:lineRule="auto" w:before="241" w:after="0"/>
        <w:ind w:left="2153" w:right="767" w:firstLine="0"/>
        <w:jc w:val="both"/>
        <w:rPr>
          <w:sz w:val="24"/>
        </w:rPr>
      </w:pPr>
      <w:r>
        <w:rPr>
          <w:sz w:val="24"/>
        </w:rPr>
        <w:t>No new tenancy created after 13/6/96shall be considered. Further, unauthorized</w:t>
      </w:r>
      <w:r>
        <w:rPr>
          <w:spacing w:val="-8"/>
          <w:sz w:val="24"/>
        </w:rPr>
        <w:t> </w:t>
      </w:r>
      <w:r>
        <w:rPr>
          <w:sz w:val="24"/>
        </w:rPr>
        <w:t>construction</w:t>
      </w:r>
      <w:r>
        <w:rPr>
          <w:spacing w:val="-8"/>
          <w:sz w:val="24"/>
        </w:rPr>
        <w:t> </w:t>
      </w:r>
      <w:r>
        <w:rPr>
          <w:sz w:val="24"/>
        </w:rPr>
        <w:t>made</w:t>
      </w:r>
      <w:r>
        <w:rPr>
          <w:spacing w:val="-8"/>
          <w:sz w:val="24"/>
        </w:rPr>
        <w:t> </w:t>
      </w:r>
      <w:r>
        <w:rPr>
          <w:sz w:val="24"/>
        </w:rPr>
        <w:t>in</w:t>
      </w:r>
      <w:r>
        <w:rPr>
          <w:spacing w:val="-8"/>
          <w:sz w:val="24"/>
        </w:rPr>
        <w:t> </w:t>
      </w:r>
      <w:r>
        <w:rPr>
          <w:sz w:val="24"/>
        </w:rPr>
        <w:t>buildings</w:t>
      </w:r>
      <w:r>
        <w:rPr>
          <w:spacing w:val="-8"/>
          <w:sz w:val="24"/>
        </w:rPr>
        <w:t> </w:t>
      </w:r>
      <w:r>
        <w:rPr>
          <w:sz w:val="24"/>
        </w:rPr>
        <w:t>for</w:t>
      </w:r>
      <w:r>
        <w:rPr>
          <w:spacing w:val="-8"/>
          <w:sz w:val="24"/>
        </w:rPr>
        <w:t> </w:t>
      </w:r>
      <w:r>
        <w:rPr>
          <w:sz w:val="24"/>
        </w:rPr>
        <w:t>creating</w:t>
      </w:r>
      <w:r>
        <w:rPr>
          <w:spacing w:val="-8"/>
          <w:sz w:val="24"/>
        </w:rPr>
        <w:t> </w:t>
      </w:r>
      <w:r>
        <w:rPr>
          <w:sz w:val="24"/>
        </w:rPr>
        <w:t>new</w:t>
      </w:r>
      <w:r>
        <w:rPr>
          <w:spacing w:val="-10"/>
          <w:sz w:val="24"/>
        </w:rPr>
        <w:t> </w:t>
      </w:r>
      <w:r>
        <w:rPr>
          <w:sz w:val="24"/>
        </w:rPr>
        <w:t>tenancy in the existing tenancies shall not be considered while doing computation of existing FSI. A certified inspection extract of the Municipal</w:t>
      </w:r>
      <w:r>
        <w:rPr>
          <w:spacing w:val="-13"/>
          <w:sz w:val="24"/>
        </w:rPr>
        <w:t> </w:t>
      </w:r>
      <w:r>
        <w:rPr>
          <w:sz w:val="24"/>
        </w:rPr>
        <w:t>Corporation</w:t>
      </w:r>
      <w:r>
        <w:rPr>
          <w:spacing w:val="-13"/>
          <w:sz w:val="24"/>
        </w:rPr>
        <w:t> </w:t>
      </w:r>
      <w:r>
        <w:rPr>
          <w:sz w:val="24"/>
        </w:rPr>
        <w:t>for</w:t>
      </w:r>
      <w:r>
        <w:rPr>
          <w:spacing w:val="-13"/>
          <w:sz w:val="24"/>
        </w:rPr>
        <w:t> </w:t>
      </w:r>
      <w:r>
        <w:rPr>
          <w:sz w:val="24"/>
        </w:rPr>
        <w:t>the</w:t>
      </w:r>
      <w:r>
        <w:rPr>
          <w:spacing w:val="-13"/>
          <w:sz w:val="24"/>
        </w:rPr>
        <w:t> </w:t>
      </w:r>
      <w:r>
        <w:rPr>
          <w:sz w:val="24"/>
        </w:rPr>
        <w:t>year</w:t>
      </w:r>
      <w:r>
        <w:rPr>
          <w:spacing w:val="-13"/>
          <w:sz w:val="24"/>
        </w:rPr>
        <w:t> </w:t>
      </w:r>
      <w:r>
        <w:rPr>
          <w:sz w:val="24"/>
        </w:rPr>
        <w:t>1995-96</w:t>
      </w:r>
      <w:r>
        <w:rPr>
          <w:spacing w:val="-13"/>
          <w:sz w:val="24"/>
        </w:rPr>
        <w:t> </w:t>
      </w:r>
      <w:r>
        <w:rPr>
          <w:sz w:val="24"/>
        </w:rPr>
        <w:t>or</w:t>
      </w:r>
      <w:r>
        <w:rPr>
          <w:spacing w:val="-13"/>
          <w:sz w:val="24"/>
        </w:rPr>
        <w:t> </w:t>
      </w:r>
      <w:r>
        <w:rPr>
          <w:sz w:val="24"/>
        </w:rPr>
        <w:t>Court</w:t>
      </w:r>
      <w:r>
        <w:rPr>
          <w:spacing w:val="-13"/>
          <w:sz w:val="24"/>
        </w:rPr>
        <w:t> </w:t>
      </w:r>
      <w:r>
        <w:rPr>
          <w:sz w:val="24"/>
        </w:rPr>
        <w:t>Order</w:t>
      </w:r>
      <w:r>
        <w:rPr>
          <w:spacing w:val="-13"/>
          <w:sz w:val="24"/>
        </w:rPr>
        <w:t> </w:t>
      </w:r>
      <w:r>
        <w:rPr>
          <w:sz w:val="24"/>
        </w:rPr>
        <w:t>proving</w:t>
      </w:r>
      <w:r>
        <w:rPr>
          <w:spacing w:val="-13"/>
          <w:sz w:val="24"/>
        </w:rPr>
        <w:t> </w:t>
      </w:r>
      <w:r>
        <w:rPr>
          <w:sz w:val="24"/>
        </w:rPr>
        <w:t>the existence of tenements prior to 13/6/96 shall be considered adequate evidence</w:t>
      </w:r>
      <w:r>
        <w:rPr>
          <w:spacing w:val="-20"/>
          <w:sz w:val="24"/>
        </w:rPr>
        <w:t> </w:t>
      </w:r>
      <w:r>
        <w:rPr>
          <w:sz w:val="24"/>
        </w:rPr>
        <w:t>to</w:t>
      </w:r>
      <w:r>
        <w:rPr>
          <w:spacing w:val="-19"/>
          <w:sz w:val="24"/>
        </w:rPr>
        <w:t> </w:t>
      </w:r>
      <w:r>
        <w:rPr>
          <w:sz w:val="24"/>
        </w:rPr>
        <w:t>establish</w:t>
      </w:r>
      <w:r>
        <w:rPr>
          <w:spacing w:val="-19"/>
          <w:sz w:val="24"/>
        </w:rPr>
        <w:t> </w:t>
      </w:r>
      <w:r>
        <w:rPr>
          <w:sz w:val="24"/>
        </w:rPr>
        <w:t>the</w:t>
      </w:r>
      <w:r>
        <w:rPr>
          <w:spacing w:val="-19"/>
          <w:sz w:val="24"/>
        </w:rPr>
        <w:t> </w:t>
      </w:r>
      <w:r>
        <w:rPr>
          <w:sz w:val="24"/>
        </w:rPr>
        <w:t>number</w:t>
      </w:r>
      <w:r>
        <w:rPr>
          <w:spacing w:val="-19"/>
          <w:sz w:val="24"/>
        </w:rPr>
        <w:t> </w:t>
      </w:r>
      <w:r>
        <w:rPr>
          <w:sz w:val="24"/>
        </w:rPr>
        <w:t>of</w:t>
      </w:r>
      <w:r>
        <w:rPr>
          <w:spacing w:val="-20"/>
          <w:sz w:val="24"/>
        </w:rPr>
        <w:t> </w:t>
      </w:r>
      <w:r>
        <w:rPr>
          <w:sz w:val="24"/>
        </w:rPr>
        <w:t>tenements.</w:t>
      </w:r>
      <w:r>
        <w:rPr>
          <w:spacing w:val="-19"/>
          <w:sz w:val="24"/>
        </w:rPr>
        <w:t> </w:t>
      </w:r>
      <w:r>
        <w:rPr>
          <w:sz w:val="24"/>
        </w:rPr>
        <w:t>However,</w:t>
      </w:r>
      <w:r>
        <w:rPr>
          <w:spacing w:val="-19"/>
          <w:sz w:val="24"/>
        </w:rPr>
        <w:t> </w:t>
      </w:r>
      <w:r>
        <w:rPr>
          <w:sz w:val="24"/>
        </w:rPr>
        <w:t>the</w:t>
      </w:r>
      <w:r>
        <w:rPr>
          <w:spacing w:val="-19"/>
          <w:sz w:val="24"/>
        </w:rPr>
        <w:t> </w:t>
      </w:r>
      <w:r>
        <w:rPr>
          <w:sz w:val="24"/>
        </w:rPr>
        <w:t>Govt.</w:t>
      </w:r>
      <w:r>
        <w:rPr>
          <w:spacing w:val="-19"/>
          <w:sz w:val="24"/>
        </w:rPr>
        <w:t> </w:t>
      </w:r>
      <w:r>
        <w:rPr>
          <w:sz w:val="24"/>
        </w:rPr>
        <w:t>may issue comprehensive guidelines for determination of eligibility of occupiers and tenants therein.</w:t>
      </w:r>
    </w:p>
    <w:p>
      <w:pPr>
        <w:pStyle w:val="ListParagraph"/>
        <w:numPr>
          <w:ilvl w:val="2"/>
          <w:numId w:val="159"/>
        </w:numPr>
        <w:tabs>
          <w:tab w:pos="2282" w:val="left" w:leader="none"/>
        </w:tabs>
        <w:spacing w:line="240" w:lineRule="auto" w:before="239" w:after="0"/>
        <w:ind w:left="2062" w:right="769" w:firstLine="0"/>
        <w:jc w:val="both"/>
        <w:rPr>
          <w:sz w:val="24"/>
        </w:rPr>
      </w:pPr>
      <w:r>
        <w:rPr>
          <w:sz w:val="24"/>
        </w:rPr>
        <w:t>The list of occupants and the area occupied by each of them in municipal buildings and their irrevocable written consents shall be certified by the MCGM. The list of occupants in other buildings excluding slums and the area occupied by each of them and their irrevocable</w:t>
      </w:r>
      <w:r>
        <w:rPr>
          <w:spacing w:val="-8"/>
          <w:sz w:val="24"/>
        </w:rPr>
        <w:t> </w:t>
      </w:r>
      <w:r>
        <w:rPr>
          <w:sz w:val="24"/>
        </w:rPr>
        <w:t>written</w:t>
      </w:r>
      <w:r>
        <w:rPr>
          <w:spacing w:val="-8"/>
          <w:sz w:val="24"/>
        </w:rPr>
        <w:t> </w:t>
      </w:r>
      <w:r>
        <w:rPr>
          <w:sz w:val="24"/>
        </w:rPr>
        <w:t>consents</w:t>
      </w:r>
      <w:r>
        <w:rPr>
          <w:spacing w:val="-8"/>
          <w:sz w:val="24"/>
        </w:rPr>
        <w:t> </w:t>
      </w:r>
      <w:r>
        <w:rPr>
          <w:sz w:val="24"/>
        </w:rPr>
        <w:t>as</w:t>
      </w:r>
      <w:r>
        <w:rPr>
          <w:spacing w:val="-8"/>
          <w:sz w:val="24"/>
        </w:rPr>
        <w:t> </w:t>
      </w:r>
      <w:r>
        <w:rPr>
          <w:sz w:val="24"/>
        </w:rPr>
        <w:t>specified</w:t>
      </w:r>
      <w:r>
        <w:rPr>
          <w:spacing w:val="-6"/>
          <w:sz w:val="24"/>
        </w:rPr>
        <w:t> </w:t>
      </w:r>
      <w:r>
        <w:rPr>
          <w:sz w:val="24"/>
        </w:rPr>
        <w:t>in</w:t>
      </w:r>
      <w:r>
        <w:rPr>
          <w:spacing w:val="-8"/>
          <w:sz w:val="24"/>
        </w:rPr>
        <w:t> </w:t>
      </w:r>
      <w:r>
        <w:rPr>
          <w:sz w:val="24"/>
        </w:rPr>
        <w:t>clause</w:t>
      </w:r>
      <w:r>
        <w:rPr>
          <w:spacing w:val="-8"/>
          <w:sz w:val="24"/>
        </w:rPr>
        <w:t> </w:t>
      </w:r>
      <w:r>
        <w:rPr>
          <w:sz w:val="24"/>
        </w:rPr>
        <w:t>4(a)</w:t>
      </w:r>
      <w:r>
        <w:rPr>
          <w:spacing w:val="-8"/>
          <w:sz w:val="24"/>
        </w:rPr>
        <w:t> </w:t>
      </w:r>
      <w:r>
        <w:rPr>
          <w:sz w:val="24"/>
        </w:rPr>
        <w:t>shall</w:t>
      </w:r>
      <w:r>
        <w:rPr>
          <w:spacing w:val="-6"/>
          <w:sz w:val="24"/>
        </w:rPr>
        <w:t> </w:t>
      </w:r>
      <w:r>
        <w:rPr>
          <w:sz w:val="24"/>
        </w:rPr>
        <w:t>be</w:t>
      </w:r>
      <w:r>
        <w:rPr>
          <w:spacing w:val="-8"/>
          <w:sz w:val="24"/>
        </w:rPr>
        <w:t> </w:t>
      </w:r>
      <w:r>
        <w:rPr>
          <w:sz w:val="24"/>
        </w:rPr>
        <w:t>certified by the MBRRB.</w:t>
      </w:r>
    </w:p>
    <w:p>
      <w:pPr>
        <w:pStyle w:val="ListParagraph"/>
        <w:numPr>
          <w:ilvl w:val="2"/>
          <w:numId w:val="159"/>
        </w:numPr>
        <w:tabs>
          <w:tab w:pos="2354" w:val="left" w:leader="none"/>
        </w:tabs>
        <w:spacing w:line="240" w:lineRule="auto" w:before="243" w:after="0"/>
        <w:ind w:left="2062" w:right="769" w:firstLine="0"/>
        <w:jc w:val="both"/>
        <w:rPr>
          <w:sz w:val="24"/>
        </w:rPr>
      </w:pPr>
      <w:r>
        <w:rPr>
          <w:sz w:val="24"/>
        </w:rPr>
        <w:t>Notwithstanding</w:t>
      </w:r>
      <w:r>
        <w:rPr>
          <w:spacing w:val="-6"/>
          <w:sz w:val="24"/>
        </w:rPr>
        <w:t> </w:t>
      </w:r>
      <w:r>
        <w:rPr>
          <w:sz w:val="24"/>
        </w:rPr>
        <w:t>anything</w:t>
      </w:r>
      <w:r>
        <w:rPr>
          <w:spacing w:val="-6"/>
          <w:sz w:val="24"/>
        </w:rPr>
        <w:t> </w:t>
      </w:r>
      <w:r>
        <w:rPr>
          <w:sz w:val="24"/>
        </w:rPr>
        <w:t>contained</w:t>
      </w:r>
      <w:r>
        <w:rPr>
          <w:spacing w:val="-6"/>
          <w:sz w:val="24"/>
        </w:rPr>
        <w:t> </w:t>
      </w:r>
      <w:r>
        <w:rPr>
          <w:sz w:val="24"/>
        </w:rPr>
        <w:t>in</w:t>
      </w:r>
      <w:r>
        <w:rPr>
          <w:spacing w:val="-9"/>
          <w:sz w:val="24"/>
        </w:rPr>
        <w:t> </w:t>
      </w:r>
      <w:r>
        <w:rPr>
          <w:sz w:val="24"/>
        </w:rPr>
        <w:t>these</w:t>
      </w:r>
      <w:r>
        <w:rPr>
          <w:spacing w:val="-6"/>
          <w:sz w:val="24"/>
        </w:rPr>
        <w:t> </w:t>
      </w:r>
      <w:r>
        <w:rPr>
          <w:sz w:val="24"/>
        </w:rPr>
        <w:t>regulations,</w:t>
      </w:r>
      <w:r>
        <w:rPr>
          <w:spacing w:val="-9"/>
          <w:sz w:val="24"/>
        </w:rPr>
        <w:t> </w:t>
      </w:r>
      <w:r>
        <w:rPr>
          <w:sz w:val="24"/>
        </w:rPr>
        <w:t>mezzanine floors having clear height of 1.8 m. and above constructed prior to 13/06/1996 and regularized subsequently shall be eligible for rehabilitation and incentive FSI.</w:t>
      </w:r>
    </w:p>
    <w:p>
      <w:pPr>
        <w:pStyle w:val="ListParagraph"/>
        <w:spacing w:after="0" w:line="240" w:lineRule="auto"/>
        <w:jc w:val="both"/>
        <w:rPr>
          <w:sz w:val="24"/>
        </w:rPr>
        <w:sectPr>
          <w:pgSz w:w="11910" w:h="16840"/>
          <w:pgMar w:header="1065" w:footer="1194" w:top="1500" w:bottom="1380" w:left="360" w:right="360"/>
        </w:sectPr>
      </w:pPr>
    </w:p>
    <w:p>
      <w:pPr>
        <w:pStyle w:val="Heading6"/>
        <w:numPr>
          <w:ilvl w:val="1"/>
          <w:numId w:val="159"/>
        </w:numPr>
        <w:tabs>
          <w:tab w:pos="2781" w:val="left" w:leader="none"/>
        </w:tabs>
        <w:spacing w:line="240" w:lineRule="auto" w:before="247" w:after="0"/>
        <w:ind w:left="2781" w:right="0" w:hanging="719"/>
        <w:jc w:val="left"/>
      </w:pPr>
      <w:r>
        <w:rPr/>
        <w:t>For Slum </w:t>
      </w:r>
      <w:r>
        <w:rPr>
          <w:spacing w:val="-2"/>
        </w:rPr>
        <w:t>Areas:</w:t>
      </w:r>
    </w:p>
    <w:p>
      <w:pPr>
        <w:pStyle w:val="ListParagraph"/>
        <w:numPr>
          <w:ilvl w:val="2"/>
          <w:numId w:val="159"/>
        </w:numPr>
        <w:tabs>
          <w:tab w:pos="2420" w:val="left" w:leader="none"/>
          <w:tab w:pos="2422" w:val="left" w:leader="none"/>
        </w:tabs>
        <w:spacing w:line="240" w:lineRule="auto" w:before="243" w:after="0"/>
        <w:ind w:left="2422" w:right="768" w:hanging="360"/>
        <w:jc w:val="both"/>
        <w:rPr>
          <w:sz w:val="24"/>
        </w:rPr>
      </w:pPr>
      <w:r>
        <w:rPr>
          <w:sz w:val="24"/>
        </w:rPr>
        <w:t>All</w:t>
      </w:r>
      <w:r>
        <w:rPr>
          <w:spacing w:val="-10"/>
          <w:sz w:val="24"/>
        </w:rPr>
        <w:t> </w:t>
      </w:r>
      <w:r>
        <w:rPr>
          <w:sz w:val="24"/>
        </w:rPr>
        <w:t>the</w:t>
      </w:r>
      <w:r>
        <w:rPr>
          <w:spacing w:val="-10"/>
          <w:sz w:val="24"/>
        </w:rPr>
        <w:t> </w:t>
      </w:r>
      <w:r>
        <w:rPr>
          <w:sz w:val="24"/>
        </w:rPr>
        <w:t>protected</w:t>
      </w:r>
      <w:r>
        <w:rPr>
          <w:spacing w:val="-10"/>
          <w:sz w:val="24"/>
        </w:rPr>
        <w:t> </w:t>
      </w:r>
      <w:r>
        <w:rPr>
          <w:sz w:val="24"/>
        </w:rPr>
        <w:t>Occupiers</w:t>
      </w:r>
      <w:r>
        <w:rPr>
          <w:spacing w:val="-10"/>
          <w:sz w:val="24"/>
        </w:rPr>
        <w:t> </w:t>
      </w:r>
      <w:r>
        <w:rPr>
          <w:sz w:val="24"/>
        </w:rPr>
        <w:t>as</w:t>
      </w:r>
      <w:r>
        <w:rPr>
          <w:spacing w:val="-10"/>
          <w:sz w:val="24"/>
        </w:rPr>
        <w:t> </w:t>
      </w:r>
      <w:r>
        <w:rPr>
          <w:sz w:val="24"/>
        </w:rPr>
        <w:t>defined</w:t>
      </w:r>
      <w:r>
        <w:rPr>
          <w:spacing w:val="-10"/>
          <w:sz w:val="24"/>
        </w:rPr>
        <w:t> </w:t>
      </w:r>
      <w:r>
        <w:rPr>
          <w:sz w:val="24"/>
        </w:rPr>
        <w:t>in</w:t>
      </w:r>
      <w:r>
        <w:rPr>
          <w:spacing w:val="-12"/>
          <w:sz w:val="24"/>
        </w:rPr>
        <w:t> </w:t>
      </w:r>
      <w:r>
        <w:rPr>
          <w:sz w:val="24"/>
        </w:rPr>
        <w:t>Chapter</w:t>
      </w:r>
      <w:r>
        <w:rPr>
          <w:spacing w:val="-10"/>
          <w:sz w:val="24"/>
        </w:rPr>
        <w:t> </w:t>
      </w:r>
      <w:r>
        <w:rPr>
          <w:sz w:val="24"/>
        </w:rPr>
        <w:t>IE</w:t>
      </w:r>
      <w:r>
        <w:rPr>
          <w:spacing w:val="-10"/>
          <w:sz w:val="24"/>
        </w:rPr>
        <w:t> </w:t>
      </w:r>
      <w:r>
        <w:rPr>
          <w:sz w:val="24"/>
        </w:rPr>
        <w:t>of</w:t>
      </w:r>
      <w:r>
        <w:rPr>
          <w:spacing w:val="-10"/>
          <w:sz w:val="24"/>
        </w:rPr>
        <w:t> </w:t>
      </w:r>
      <w:r>
        <w:rPr>
          <w:sz w:val="24"/>
        </w:rPr>
        <w:t>Slum</w:t>
      </w:r>
      <w:r>
        <w:rPr>
          <w:spacing w:val="-14"/>
          <w:sz w:val="24"/>
        </w:rPr>
        <w:t> </w:t>
      </w:r>
      <w:r>
        <w:rPr>
          <w:sz w:val="24"/>
        </w:rPr>
        <w:t>Act</w:t>
      </w:r>
      <w:r>
        <w:rPr>
          <w:spacing w:val="-10"/>
          <w:sz w:val="24"/>
        </w:rPr>
        <w:t> </w:t>
      </w:r>
      <w:r>
        <w:rPr>
          <w:sz w:val="24"/>
        </w:rPr>
        <w:t>and orders issued thereunder and certified by competent authority </w:t>
      </w:r>
      <w:r>
        <w:rPr>
          <w:spacing w:val="-2"/>
          <w:sz w:val="24"/>
        </w:rPr>
        <w:t>thereof.</w:t>
      </w:r>
    </w:p>
    <w:p>
      <w:pPr>
        <w:pStyle w:val="BodyText"/>
        <w:spacing w:before="78"/>
        <w:jc w:val="left"/>
      </w:pPr>
    </w:p>
    <w:p>
      <w:pPr>
        <w:pStyle w:val="ListParagraph"/>
        <w:numPr>
          <w:ilvl w:val="2"/>
          <w:numId w:val="159"/>
        </w:numPr>
        <w:tabs>
          <w:tab w:pos="2422" w:val="left" w:leader="none"/>
        </w:tabs>
        <w:spacing w:line="240" w:lineRule="auto" w:before="0" w:after="0"/>
        <w:ind w:left="2422" w:right="768" w:hanging="360"/>
        <w:jc w:val="both"/>
        <w:rPr>
          <w:sz w:val="24"/>
        </w:rPr>
      </w:pPr>
      <w:r>
        <w:rPr>
          <w:sz w:val="24"/>
        </w:rPr>
        <w:t>A structure shall mean all the dwelling areas of all persons who are enumerated as living in one numbered house in the electoral roll of the latest date, upto 1st January 2000 or such other reference date Notified by the Govt. and regardless of the number of persons, or location of rooms or access.</w:t>
      </w:r>
    </w:p>
    <w:p>
      <w:pPr>
        <w:pStyle w:val="ListParagraph"/>
        <w:numPr>
          <w:ilvl w:val="0"/>
          <w:numId w:val="4"/>
        </w:numPr>
        <w:tabs>
          <w:tab w:pos="2364" w:val="left" w:leader="none"/>
        </w:tabs>
        <w:spacing w:line="240" w:lineRule="auto" w:before="239" w:after="0"/>
        <w:ind w:left="2364" w:right="0" w:hanging="302"/>
        <w:jc w:val="left"/>
        <w:rPr>
          <w:sz w:val="24"/>
        </w:rPr>
      </w:pPr>
      <w:r>
        <w:rPr>
          <w:b/>
          <w:sz w:val="24"/>
        </w:rPr>
        <w:t>Land</w:t>
      </w:r>
      <w:r>
        <w:rPr>
          <w:b/>
          <w:spacing w:val="-3"/>
          <w:sz w:val="24"/>
        </w:rPr>
        <w:t> </w:t>
      </w:r>
      <w:r>
        <w:rPr>
          <w:b/>
          <w:i/>
          <w:sz w:val="24"/>
        </w:rPr>
        <w:t>pooling</w:t>
      </w:r>
      <w:r>
        <w:rPr>
          <w:b/>
          <w:i/>
          <w:spacing w:val="-3"/>
          <w:sz w:val="24"/>
        </w:rPr>
        <w:t> </w:t>
      </w:r>
      <w:r>
        <w:rPr>
          <w:b/>
          <w:i/>
          <w:sz w:val="24"/>
        </w:rPr>
        <w:t>for</w:t>
      </w:r>
      <w:r>
        <w:rPr>
          <w:b/>
          <w:i/>
          <w:spacing w:val="-3"/>
          <w:sz w:val="24"/>
        </w:rPr>
        <w:t> </w:t>
      </w:r>
      <w:r>
        <w:rPr>
          <w:b/>
          <w:i/>
          <w:sz w:val="24"/>
        </w:rPr>
        <w:t>the</w:t>
      </w:r>
      <w:r>
        <w:rPr>
          <w:b/>
          <w:i/>
          <w:spacing w:val="-2"/>
          <w:sz w:val="24"/>
        </w:rPr>
        <w:t> </w:t>
      </w:r>
      <w:r>
        <w:rPr>
          <w:b/>
          <w:spacing w:val="-4"/>
          <w:sz w:val="24"/>
        </w:rPr>
        <w:t>CDS</w:t>
      </w:r>
      <w:r>
        <w:rPr>
          <w:b/>
          <w:i/>
          <w:spacing w:val="-4"/>
          <w:sz w:val="24"/>
        </w:rPr>
        <w:t>:</w:t>
      </w:r>
    </w:p>
    <w:p>
      <w:pPr>
        <w:pStyle w:val="BodyText"/>
        <w:spacing w:before="79"/>
        <w:jc w:val="left"/>
        <w:rPr>
          <w:b/>
          <w:i/>
        </w:rPr>
      </w:pPr>
    </w:p>
    <w:p>
      <w:pPr>
        <w:pStyle w:val="BodyText"/>
        <w:spacing w:before="1"/>
        <w:ind w:left="2422" w:right="768"/>
      </w:pPr>
      <w:r>
        <w:rPr/>
        <w:t>The Promoter of CDS shall try to pool lands belonging to various categories of land holders including Public lands by obtaining their consent for including their lands in the proposed CDS, by resorting to any of the following methods of land pooling:</w:t>
      </w:r>
    </w:p>
    <w:p>
      <w:pPr>
        <w:pStyle w:val="ListParagraph"/>
        <w:numPr>
          <w:ilvl w:val="0"/>
          <w:numId w:val="162"/>
        </w:numPr>
        <w:tabs>
          <w:tab w:pos="2781" w:val="left" w:leader="none"/>
          <w:tab w:pos="4108" w:val="left" w:leader="none"/>
          <w:tab w:pos="4557" w:val="left" w:leader="none"/>
          <w:tab w:pos="5517" w:val="left" w:leader="none"/>
          <w:tab w:pos="6855" w:val="left" w:leader="none"/>
          <w:tab w:pos="8261" w:val="left" w:leader="none"/>
          <w:tab w:pos="8647" w:val="left" w:leader="none"/>
          <w:tab w:pos="9389" w:val="left" w:leader="none"/>
        </w:tabs>
        <w:spacing w:line="240" w:lineRule="auto" w:before="241" w:after="0"/>
        <w:ind w:left="2062" w:right="770" w:firstLine="0"/>
        <w:jc w:val="left"/>
        <w:rPr>
          <w:sz w:val="24"/>
        </w:rPr>
      </w:pPr>
      <w:r>
        <w:rPr>
          <w:spacing w:val="-2"/>
          <w:sz w:val="24"/>
        </w:rPr>
        <w:t>Purchase</w:t>
      </w:r>
      <w:r>
        <w:rPr>
          <w:sz w:val="24"/>
        </w:rPr>
        <w:tab/>
      </w:r>
      <w:r>
        <w:rPr>
          <w:spacing w:val="-6"/>
          <w:sz w:val="24"/>
        </w:rPr>
        <w:t>of</w:t>
      </w:r>
      <w:r>
        <w:rPr>
          <w:sz w:val="24"/>
        </w:rPr>
        <w:tab/>
      </w:r>
      <w:r>
        <w:rPr>
          <w:spacing w:val="-2"/>
          <w:sz w:val="24"/>
        </w:rPr>
        <w:t>lands,</w:t>
      </w:r>
      <w:r>
        <w:rPr>
          <w:sz w:val="24"/>
        </w:rPr>
        <w:tab/>
      </w:r>
      <w:r>
        <w:rPr>
          <w:spacing w:val="-2"/>
          <w:sz w:val="24"/>
        </w:rPr>
        <w:t>including</w:t>
      </w:r>
      <w:r>
        <w:rPr>
          <w:sz w:val="24"/>
        </w:rPr>
        <w:tab/>
      </w:r>
      <w:r>
        <w:rPr>
          <w:spacing w:val="-2"/>
          <w:sz w:val="24"/>
        </w:rPr>
        <w:t>buildings,</w:t>
      </w:r>
      <w:r>
        <w:rPr>
          <w:sz w:val="24"/>
        </w:rPr>
        <w:tab/>
      </w:r>
      <w:r>
        <w:rPr>
          <w:spacing w:val="-6"/>
          <w:sz w:val="24"/>
        </w:rPr>
        <w:t>if</w:t>
      </w:r>
      <w:r>
        <w:rPr>
          <w:sz w:val="24"/>
        </w:rPr>
        <w:tab/>
      </w:r>
      <w:r>
        <w:rPr>
          <w:spacing w:val="-4"/>
          <w:sz w:val="24"/>
        </w:rPr>
        <w:t>any,</w:t>
      </w:r>
      <w:r>
        <w:rPr>
          <w:sz w:val="24"/>
        </w:rPr>
        <w:tab/>
      </w:r>
      <w:r>
        <w:rPr>
          <w:spacing w:val="-2"/>
          <w:sz w:val="24"/>
        </w:rPr>
        <w:t>standing thereupon,</w:t>
      </w:r>
    </w:p>
    <w:p>
      <w:pPr>
        <w:pStyle w:val="BodyText"/>
        <w:spacing w:before="240"/>
        <w:ind w:left="2062" w:right="766"/>
      </w:pPr>
      <w:r>
        <w:rPr/>
        <w:t>Provided that if the Promoter wishes to include any building or land belonging to the State Govt. or MCGM or MHADA or any Agency under the control of State Govt. (hereinafter collectively referred as "Public Authority"),</w:t>
      </w:r>
      <w:r>
        <w:rPr>
          <w:spacing w:val="-10"/>
        </w:rPr>
        <w:t> </w:t>
      </w:r>
      <w:r>
        <w:rPr/>
        <w:t>then</w:t>
      </w:r>
      <w:r>
        <w:rPr>
          <w:spacing w:val="-10"/>
        </w:rPr>
        <w:t> </w:t>
      </w:r>
      <w:r>
        <w:rPr/>
        <w:t>he</w:t>
      </w:r>
      <w:r>
        <w:rPr>
          <w:spacing w:val="-10"/>
        </w:rPr>
        <w:t> </w:t>
      </w:r>
      <w:r>
        <w:rPr/>
        <w:t>shall</w:t>
      </w:r>
      <w:r>
        <w:rPr>
          <w:spacing w:val="-10"/>
        </w:rPr>
        <w:t> </w:t>
      </w:r>
      <w:r>
        <w:rPr/>
        <w:t>make</w:t>
      </w:r>
      <w:r>
        <w:rPr>
          <w:spacing w:val="-10"/>
        </w:rPr>
        <w:t> </w:t>
      </w:r>
      <w:r>
        <w:rPr/>
        <w:t>a</w:t>
      </w:r>
      <w:r>
        <w:rPr>
          <w:spacing w:val="-10"/>
        </w:rPr>
        <w:t> </w:t>
      </w:r>
      <w:r>
        <w:rPr/>
        <w:t>written</w:t>
      </w:r>
      <w:r>
        <w:rPr>
          <w:spacing w:val="-10"/>
        </w:rPr>
        <w:t> </w:t>
      </w:r>
      <w:r>
        <w:rPr/>
        <w:t>request</w:t>
      </w:r>
      <w:r>
        <w:rPr>
          <w:spacing w:val="-10"/>
        </w:rPr>
        <w:t> </w:t>
      </w:r>
      <w:r>
        <w:rPr/>
        <w:t>in</w:t>
      </w:r>
      <w:r>
        <w:rPr>
          <w:spacing w:val="-10"/>
        </w:rPr>
        <w:t> </w:t>
      </w:r>
      <w:r>
        <w:rPr/>
        <w:t>this</w:t>
      </w:r>
      <w:r>
        <w:rPr>
          <w:spacing w:val="-10"/>
        </w:rPr>
        <w:t> </w:t>
      </w:r>
      <w:r>
        <w:rPr/>
        <w:t>regard</w:t>
      </w:r>
      <w:r>
        <w:rPr>
          <w:spacing w:val="-10"/>
        </w:rPr>
        <w:t> </w:t>
      </w:r>
      <w:r>
        <w:rPr/>
        <w:t>through the</w:t>
      </w:r>
      <w:r>
        <w:rPr>
          <w:spacing w:val="-3"/>
        </w:rPr>
        <w:t> </w:t>
      </w:r>
      <w:r>
        <w:rPr/>
        <w:t>Municipal</w:t>
      </w:r>
      <w:r>
        <w:rPr>
          <w:spacing w:val="-3"/>
        </w:rPr>
        <w:t> </w:t>
      </w:r>
      <w:r>
        <w:rPr/>
        <w:t>Commissioner</w:t>
      </w:r>
      <w:r>
        <w:rPr>
          <w:spacing w:val="-3"/>
        </w:rPr>
        <w:t> </w:t>
      </w:r>
      <w:r>
        <w:rPr/>
        <w:t>to</w:t>
      </w:r>
      <w:r>
        <w:rPr>
          <w:spacing w:val="-3"/>
        </w:rPr>
        <w:t> </w:t>
      </w:r>
      <w:r>
        <w:rPr/>
        <w:t>an</w:t>
      </w:r>
      <w:r>
        <w:rPr>
          <w:spacing w:val="-3"/>
        </w:rPr>
        <w:t> </w:t>
      </w:r>
      <w:r>
        <w:rPr/>
        <w:t>Empowered</w:t>
      </w:r>
      <w:r>
        <w:rPr>
          <w:spacing w:val="-3"/>
        </w:rPr>
        <w:t> </w:t>
      </w:r>
      <w:r>
        <w:rPr/>
        <w:t>Committee</w:t>
      </w:r>
      <w:r>
        <w:rPr>
          <w:spacing w:val="-1"/>
        </w:rPr>
        <w:t> </w:t>
      </w:r>
      <w:r>
        <w:rPr/>
        <w:t>(EC)</w:t>
      </w:r>
      <w:r>
        <w:rPr>
          <w:spacing w:val="-3"/>
        </w:rPr>
        <w:t> </w:t>
      </w:r>
      <w:r>
        <w:rPr/>
        <w:t>headed by the Chief Secretary. This EC shall be as formulated by GoM.</w:t>
      </w:r>
    </w:p>
    <w:p>
      <w:pPr>
        <w:pStyle w:val="BodyText"/>
        <w:spacing w:before="78"/>
        <w:jc w:val="left"/>
      </w:pPr>
    </w:p>
    <w:p>
      <w:pPr>
        <w:pStyle w:val="BodyText"/>
        <w:ind w:left="2062" w:right="766"/>
      </w:pPr>
      <w:r>
        <w:rPr/>
        <w:t>The</w:t>
      </w:r>
      <w:r>
        <w:rPr>
          <w:spacing w:val="-8"/>
        </w:rPr>
        <w:t> </w:t>
      </w:r>
      <w:r>
        <w:rPr/>
        <w:t>EC</w:t>
      </w:r>
      <w:r>
        <w:rPr>
          <w:spacing w:val="-8"/>
        </w:rPr>
        <w:t> </w:t>
      </w:r>
      <w:r>
        <w:rPr/>
        <w:t>shall</w:t>
      </w:r>
      <w:r>
        <w:rPr>
          <w:spacing w:val="-8"/>
        </w:rPr>
        <w:t> </w:t>
      </w:r>
      <w:r>
        <w:rPr/>
        <w:t>examine</w:t>
      </w:r>
      <w:r>
        <w:rPr>
          <w:spacing w:val="-8"/>
        </w:rPr>
        <w:t> </w:t>
      </w:r>
      <w:r>
        <w:rPr/>
        <w:t>the</w:t>
      </w:r>
      <w:r>
        <w:rPr>
          <w:spacing w:val="-8"/>
        </w:rPr>
        <w:t> </w:t>
      </w:r>
      <w:r>
        <w:rPr/>
        <w:t>request</w:t>
      </w:r>
      <w:r>
        <w:rPr>
          <w:spacing w:val="-8"/>
        </w:rPr>
        <w:t> </w:t>
      </w:r>
      <w:r>
        <w:rPr/>
        <w:t>made</w:t>
      </w:r>
      <w:r>
        <w:rPr>
          <w:spacing w:val="-8"/>
        </w:rPr>
        <w:t> </w:t>
      </w:r>
      <w:r>
        <w:rPr/>
        <w:t>by</w:t>
      </w:r>
      <w:r>
        <w:rPr>
          <w:spacing w:val="-8"/>
        </w:rPr>
        <w:t> </w:t>
      </w:r>
      <w:r>
        <w:rPr/>
        <w:t>the</w:t>
      </w:r>
      <w:r>
        <w:rPr>
          <w:spacing w:val="-8"/>
        </w:rPr>
        <w:t> </w:t>
      </w:r>
      <w:r>
        <w:rPr/>
        <w:t>Promoter</w:t>
      </w:r>
      <w:r>
        <w:rPr>
          <w:spacing w:val="-8"/>
        </w:rPr>
        <w:t> </w:t>
      </w:r>
      <w:r>
        <w:rPr/>
        <w:t>in</w:t>
      </w:r>
      <w:r>
        <w:rPr>
          <w:spacing w:val="-8"/>
        </w:rPr>
        <w:t> </w:t>
      </w:r>
      <w:r>
        <w:rPr/>
        <w:t>terms</w:t>
      </w:r>
      <w:r>
        <w:rPr>
          <w:spacing w:val="-8"/>
        </w:rPr>
        <w:t> </w:t>
      </w:r>
      <w:r>
        <w:rPr/>
        <w:t>of</w:t>
      </w:r>
      <w:r>
        <w:rPr>
          <w:spacing w:val="-8"/>
        </w:rPr>
        <w:t> </w:t>
      </w:r>
      <w:r>
        <w:rPr/>
        <w:t>the desirability</w:t>
      </w:r>
      <w:r>
        <w:rPr>
          <w:spacing w:val="-9"/>
        </w:rPr>
        <w:t> </w:t>
      </w:r>
      <w:r>
        <w:rPr/>
        <w:t>of</w:t>
      </w:r>
      <w:r>
        <w:rPr>
          <w:spacing w:val="-9"/>
        </w:rPr>
        <w:t> </w:t>
      </w:r>
      <w:r>
        <w:rPr/>
        <w:t>making</w:t>
      </w:r>
      <w:r>
        <w:rPr>
          <w:spacing w:val="-9"/>
        </w:rPr>
        <w:t> </w:t>
      </w:r>
      <w:r>
        <w:rPr/>
        <w:t>the</w:t>
      </w:r>
      <w:r>
        <w:rPr>
          <w:spacing w:val="-9"/>
        </w:rPr>
        <w:t> </w:t>
      </w:r>
      <w:r>
        <w:rPr/>
        <w:t>land</w:t>
      </w:r>
      <w:r>
        <w:rPr>
          <w:spacing w:val="-9"/>
        </w:rPr>
        <w:t> </w:t>
      </w:r>
      <w:r>
        <w:rPr/>
        <w:t>belonging</w:t>
      </w:r>
      <w:r>
        <w:rPr>
          <w:spacing w:val="-12"/>
        </w:rPr>
        <w:t> </w:t>
      </w:r>
      <w:r>
        <w:rPr/>
        <w:t>to</w:t>
      </w:r>
      <w:r>
        <w:rPr>
          <w:spacing w:val="-9"/>
        </w:rPr>
        <w:t> </w:t>
      </w:r>
      <w:r>
        <w:rPr/>
        <w:t>a</w:t>
      </w:r>
      <w:r>
        <w:rPr>
          <w:spacing w:val="-9"/>
        </w:rPr>
        <w:t> </w:t>
      </w:r>
      <w:r>
        <w:rPr/>
        <w:t>Public</w:t>
      </w:r>
      <w:r>
        <w:rPr>
          <w:spacing w:val="-9"/>
        </w:rPr>
        <w:t> </w:t>
      </w:r>
      <w:r>
        <w:rPr/>
        <w:t>Authority</w:t>
      </w:r>
      <w:r>
        <w:rPr>
          <w:spacing w:val="-9"/>
        </w:rPr>
        <w:t> </w:t>
      </w:r>
      <w:r>
        <w:rPr/>
        <w:t>available for CDS and would decide the terms of transfer of such land to the Promoter</w:t>
      </w:r>
      <w:r>
        <w:rPr>
          <w:spacing w:val="-10"/>
        </w:rPr>
        <w:t> </w:t>
      </w:r>
      <w:r>
        <w:rPr/>
        <w:t>for</w:t>
      </w:r>
      <w:r>
        <w:rPr>
          <w:spacing w:val="-10"/>
        </w:rPr>
        <w:t> </w:t>
      </w:r>
      <w:r>
        <w:rPr/>
        <w:t>the</w:t>
      </w:r>
      <w:r>
        <w:rPr>
          <w:spacing w:val="-10"/>
        </w:rPr>
        <w:t> </w:t>
      </w:r>
      <w:r>
        <w:rPr/>
        <w:t>purpose</w:t>
      </w:r>
      <w:r>
        <w:rPr>
          <w:spacing w:val="-10"/>
        </w:rPr>
        <w:t> </w:t>
      </w:r>
      <w:r>
        <w:rPr/>
        <w:t>of</w:t>
      </w:r>
      <w:r>
        <w:rPr>
          <w:spacing w:val="-10"/>
        </w:rPr>
        <w:t> </w:t>
      </w:r>
      <w:r>
        <w:rPr/>
        <w:t>implementing</w:t>
      </w:r>
      <w:r>
        <w:rPr>
          <w:spacing w:val="-8"/>
        </w:rPr>
        <w:t> </w:t>
      </w:r>
      <w:r>
        <w:rPr/>
        <w:t>CDS.</w:t>
      </w:r>
      <w:r>
        <w:rPr>
          <w:spacing w:val="-10"/>
        </w:rPr>
        <w:t> </w:t>
      </w:r>
      <w:r>
        <w:rPr/>
        <w:t>In</w:t>
      </w:r>
      <w:r>
        <w:rPr>
          <w:spacing w:val="-10"/>
        </w:rPr>
        <w:t> </w:t>
      </w:r>
      <w:r>
        <w:rPr/>
        <w:t>case</w:t>
      </w:r>
      <w:r>
        <w:rPr>
          <w:spacing w:val="-10"/>
        </w:rPr>
        <w:t> </w:t>
      </w:r>
      <w:r>
        <w:rPr/>
        <w:t>the</w:t>
      </w:r>
      <w:r>
        <w:rPr>
          <w:spacing w:val="-10"/>
        </w:rPr>
        <w:t> </w:t>
      </w:r>
      <w:r>
        <w:rPr/>
        <w:t>land</w:t>
      </w:r>
      <w:r>
        <w:rPr>
          <w:spacing w:val="-10"/>
        </w:rPr>
        <w:t> </w:t>
      </w:r>
      <w:r>
        <w:rPr/>
        <w:t>sought by the Promoter belongs to an Authority created by or under a statute, the decision of the EC shall be subject to ratification/approval by such </w:t>
      </w:r>
      <w:r>
        <w:rPr>
          <w:spacing w:val="-2"/>
        </w:rPr>
        <w:t>Authority.</w:t>
      </w:r>
    </w:p>
    <w:p>
      <w:pPr>
        <w:pStyle w:val="BodyText"/>
        <w:spacing w:before="80"/>
        <w:jc w:val="left"/>
      </w:pPr>
    </w:p>
    <w:p>
      <w:pPr>
        <w:pStyle w:val="ListParagraph"/>
        <w:numPr>
          <w:ilvl w:val="0"/>
          <w:numId w:val="162"/>
        </w:numPr>
        <w:tabs>
          <w:tab w:pos="2781" w:val="left" w:leader="none"/>
        </w:tabs>
        <w:spacing w:line="240" w:lineRule="auto" w:before="0" w:after="0"/>
        <w:ind w:left="2062" w:right="768" w:firstLine="0"/>
        <w:jc w:val="left"/>
        <w:rPr>
          <w:sz w:val="24"/>
        </w:rPr>
      </w:pPr>
      <w:r>
        <w:rPr>
          <w:sz w:val="24"/>
        </w:rPr>
        <w:t>Exchange of such land with a suitable land of at least equivalent value as per ASR land rates.</w:t>
      </w:r>
    </w:p>
    <w:p>
      <w:pPr>
        <w:pStyle w:val="ListParagraph"/>
        <w:numPr>
          <w:ilvl w:val="0"/>
          <w:numId w:val="162"/>
        </w:numPr>
        <w:tabs>
          <w:tab w:pos="2781" w:val="left" w:leader="none"/>
        </w:tabs>
        <w:spacing w:line="240" w:lineRule="auto" w:before="238" w:after="0"/>
        <w:ind w:left="2062" w:right="769" w:firstLine="0"/>
        <w:jc w:val="both"/>
        <w:rPr>
          <w:sz w:val="24"/>
        </w:rPr>
      </w:pPr>
      <w:r>
        <w:rPr>
          <w:sz w:val="24"/>
        </w:rPr>
        <w:t>Procurement of DRs over such land, by way of registered document by the Promoter, provided that the area over which the Promoter</w:t>
      </w:r>
      <w:r>
        <w:rPr>
          <w:spacing w:val="-10"/>
          <w:sz w:val="24"/>
        </w:rPr>
        <w:t> </w:t>
      </w:r>
      <w:r>
        <w:rPr>
          <w:sz w:val="24"/>
        </w:rPr>
        <w:t>holds</w:t>
      </w:r>
      <w:r>
        <w:rPr>
          <w:spacing w:val="-10"/>
          <w:sz w:val="24"/>
        </w:rPr>
        <w:t> </w:t>
      </w:r>
      <w:r>
        <w:rPr>
          <w:sz w:val="24"/>
        </w:rPr>
        <w:t>DRs</w:t>
      </w:r>
      <w:r>
        <w:rPr>
          <w:spacing w:val="-12"/>
          <w:sz w:val="24"/>
        </w:rPr>
        <w:t> </w:t>
      </w:r>
      <w:r>
        <w:rPr>
          <w:sz w:val="24"/>
        </w:rPr>
        <w:t>shall</w:t>
      </w:r>
      <w:r>
        <w:rPr>
          <w:spacing w:val="-10"/>
          <w:sz w:val="24"/>
        </w:rPr>
        <w:t> </w:t>
      </w:r>
      <w:r>
        <w:rPr>
          <w:sz w:val="24"/>
        </w:rPr>
        <w:t>be</w:t>
      </w:r>
      <w:r>
        <w:rPr>
          <w:spacing w:val="-10"/>
          <w:sz w:val="24"/>
        </w:rPr>
        <w:t> </w:t>
      </w:r>
      <w:r>
        <w:rPr>
          <w:sz w:val="24"/>
        </w:rPr>
        <w:t>regarded</w:t>
      </w:r>
      <w:r>
        <w:rPr>
          <w:spacing w:val="-10"/>
          <w:sz w:val="24"/>
        </w:rPr>
        <w:t> </w:t>
      </w:r>
      <w:r>
        <w:rPr>
          <w:sz w:val="24"/>
        </w:rPr>
        <w:t>as</w:t>
      </w:r>
      <w:r>
        <w:rPr>
          <w:spacing w:val="-12"/>
          <w:sz w:val="24"/>
        </w:rPr>
        <w:t> </w:t>
      </w:r>
      <w:r>
        <w:rPr>
          <w:sz w:val="24"/>
        </w:rPr>
        <w:t>one</w:t>
      </w:r>
      <w:r>
        <w:rPr>
          <w:spacing w:val="-10"/>
          <w:sz w:val="24"/>
        </w:rPr>
        <w:t> </w:t>
      </w:r>
      <w:r>
        <w:rPr>
          <w:sz w:val="24"/>
        </w:rPr>
        <w:t>plot</w:t>
      </w:r>
      <w:r>
        <w:rPr>
          <w:spacing w:val="-10"/>
          <w:sz w:val="24"/>
        </w:rPr>
        <w:t> </w:t>
      </w:r>
      <w:r>
        <w:rPr>
          <w:sz w:val="24"/>
        </w:rPr>
        <w:t>for</w:t>
      </w:r>
      <w:r>
        <w:rPr>
          <w:spacing w:val="-10"/>
          <w:sz w:val="24"/>
        </w:rPr>
        <w:t> </w:t>
      </w:r>
      <w:r>
        <w:rPr>
          <w:sz w:val="24"/>
        </w:rPr>
        <w:t>all</w:t>
      </w:r>
      <w:r>
        <w:rPr>
          <w:spacing w:val="-10"/>
          <w:sz w:val="24"/>
        </w:rPr>
        <w:t> </w:t>
      </w:r>
      <w:r>
        <w:rPr>
          <w:sz w:val="24"/>
        </w:rPr>
        <w:t>the</w:t>
      </w:r>
      <w:r>
        <w:rPr>
          <w:spacing w:val="-10"/>
          <w:sz w:val="24"/>
        </w:rPr>
        <w:t> </w:t>
      </w:r>
      <w:r>
        <w:rPr>
          <w:sz w:val="24"/>
        </w:rPr>
        <w:t>purposes</w:t>
      </w:r>
      <w:r>
        <w:rPr>
          <w:spacing w:val="-10"/>
          <w:sz w:val="24"/>
        </w:rPr>
        <w:t> </w:t>
      </w:r>
      <w:r>
        <w:rPr>
          <w:sz w:val="24"/>
        </w:rPr>
        <w:t>of the DCPR; or</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0"/>
          <w:numId w:val="162"/>
        </w:numPr>
        <w:tabs>
          <w:tab w:pos="2421" w:val="left" w:leader="none"/>
        </w:tabs>
        <w:spacing w:line="240" w:lineRule="auto" w:before="249" w:after="0"/>
        <w:ind w:left="2062" w:right="767" w:firstLine="0"/>
        <w:jc w:val="both"/>
        <w:rPr>
          <w:sz w:val="24"/>
        </w:rPr>
      </w:pPr>
      <w:r>
        <w:rPr>
          <w:sz w:val="24"/>
        </w:rPr>
        <w:t>Transfer of all lands included in the CDS to a legal entity (e.g: Registered Society or Company, Co-operative Housing Society, Charitable Trust, etc.) to be created by the Promoter for implementing the</w:t>
      </w:r>
      <w:r>
        <w:rPr>
          <w:spacing w:val="-1"/>
          <w:sz w:val="24"/>
        </w:rPr>
        <w:t> </w:t>
      </w:r>
      <w:r>
        <w:rPr>
          <w:sz w:val="24"/>
        </w:rPr>
        <w:t>CDS</w:t>
      </w:r>
      <w:r>
        <w:rPr>
          <w:spacing w:val="-1"/>
          <w:sz w:val="24"/>
        </w:rPr>
        <w:t> </w:t>
      </w:r>
      <w:r>
        <w:rPr>
          <w:sz w:val="24"/>
        </w:rPr>
        <w:t>where</w:t>
      </w:r>
      <w:r>
        <w:rPr>
          <w:spacing w:val="-1"/>
          <w:sz w:val="24"/>
        </w:rPr>
        <w:t> </w:t>
      </w:r>
      <w:r>
        <w:rPr>
          <w:sz w:val="24"/>
        </w:rPr>
        <w:t>different</w:t>
      </w:r>
      <w:r>
        <w:rPr>
          <w:spacing w:val="-1"/>
          <w:sz w:val="24"/>
        </w:rPr>
        <w:t> </w:t>
      </w:r>
      <w:r>
        <w:rPr>
          <w:sz w:val="24"/>
        </w:rPr>
        <w:t>landholders</w:t>
      </w:r>
      <w:r>
        <w:rPr>
          <w:spacing w:val="-1"/>
          <w:sz w:val="24"/>
        </w:rPr>
        <w:t> </w:t>
      </w:r>
      <w:r>
        <w:rPr>
          <w:sz w:val="24"/>
        </w:rPr>
        <w:t>have</w:t>
      </w:r>
      <w:r>
        <w:rPr>
          <w:spacing w:val="-1"/>
          <w:sz w:val="24"/>
        </w:rPr>
        <w:t> </w:t>
      </w:r>
      <w:r>
        <w:rPr>
          <w:sz w:val="24"/>
        </w:rPr>
        <w:t>stakes</w:t>
      </w:r>
      <w:r>
        <w:rPr>
          <w:spacing w:val="-1"/>
          <w:sz w:val="24"/>
        </w:rPr>
        <w:t> </w:t>
      </w:r>
      <w:r>
        <w:rPr>
          <w:sz w:val="24"/>
        </w:rPr>
        <w:t>proportionate</w:t>
      </w:r>
      <w:r>
        <w:rPr>
          <w:spacing w:val="-1"/>
          <w:sz w:val="24"/>
        </w:rPr>
        <w:t> </w:t>
      </w:r>
      <w:r>
        <w:rPr>
          <w:sz w:val="24"/>
        </w:rPr>
        <w:t>to</w:t>
      </w:r>
      <w:r>
        <w:rPr>
          <w:spacing w:val="-1"/>
          <w:sz w:val="24"/>
        </w:rPr>
        <w:t> </w:t>
      </w:r>
      <w:r>
        <w:rPr>
          <w:sz w:val="24"/>
        </w:rPr>
        <w:t>their share in the total land under CDS; or</w:t>
      </w:r>
    </w:p>
    <w:p>
      <w:pPr>
        <w:pStyle w:val="BodyText"/>
        <w:spacing w:before="78"/>
        <w:jc w:val="left"/>
      </w:pPr>
    </w:p>
    <w:p>
      <w:pPr>
        <w:pStyle w:val="ListParagraph"/>
        <w:numPr>
          <w:ilvl w:val="0"/>
          <w:numId w:val="162"/>
        </w:numPr>
        <w:tabs>
          <w:tab w:pos="2589" w:val="left" w:leader="none"/>
        </w:tabs>
        <w:spacing w:line="240" w:lineRule="auto" w:before="0" w:after="0"/>
        <w:ind w:left="2062" w:right="766" w:firstLine="0"/>
        <w:jc w:val="both"/>
        <w:rPr>
          <w:sz w:val="24"/>
        </w:rPr>
      </w:pPr>
      <w:r>
        <w:rPr>
          <w:sz w:val="24"/>
        </w:rPr>
        <w:t>Acquisition of lands, provided the Promoter has purchased or procured</w:t>
      </w:r>
      <w:r>
        <w:rPr>
          <w:spacing w:val="-11"/>
          <w:sz w:val="24"/>
        </w:rPr>
        <w:t> </w:t>
      </w:r>
      <w:r>
        <w:rPr>
          <w:sz w:val="24"/>
        </w:rPr>
        <w:t>DRs</w:t>
      </w:r>
      <w:r>
        <w:rPr>
          <w:spacing w:val="-11"/>
          <w:sz w:val="24"/>
        </w:rPr>
        <w:t> </w:t>
      </w:r>
      <w:r>
        <w:rPr>
          <w:sz w:val="24"/>
        </w:rPr>
        <w:t>over</w:t>
      </w:r>
      <w:r>
        <w:rPr>
          <w:spacing w:val="-11"/>
          <w:sz w:val="24"/>
        </w:rPr>
        <w:t> </w:t>
      </w:r>
      <w:r>
        <w:rPr>
          <w:sz w:val="24"/>
        </w:rPr>
        <w:t>at</w:t>
      </w:r>
      <w:r>
        <w:rPr>
          <w:spacing w:val="-11"/>
          <w:sz w:val="24"/>
        </w:rPr>
        <w:t> </w:t>
      </w:r>
      <w:r>
        <w:rPr>
          <w:sz w:val="24"/>
        </w:rPr>
        <w:t>least</w:t>
      </w:r>
      <w:r>
        <w:rPr>
          <w:spacing w:val="-11"/>
          <w:sz w:val="24"/>
        </w:rPr>
        <w:t> </w:t>
      </w:r>
      <w:r>
        <w:rPr>
          <w:sz w:val="24"/>
        </w:rPr>
        <w:t>70%</w:t>
      </w:r>
      <w:r>
        <w:rPr>
          <w:spacing w:val="-11"/>
          <w:sz w:val="24"/>
        </w:rPr>
        <w:t> </w:t>
      </w:r>
      <w:r>
        <w:rPr>
          <w:sz w:val="24"/>
        </w:rPr>
        <w:t>land</w:t>
      </w:r>
      <w:r>
        <w:rPr>
          <w:spacing w:val="-11"/>
          <w:sz w:val="24"/>
        </w:rPr>
        <w:t> </w:t>
      </w:r>
      <w:r>
        <w:rPr>
          <w:sz w:val="24"/>
        </w:rPr>
        <w:t>comprised</w:t>
      </w:r>
      <w:r>
        <w:rPr>
          <w:spacing w:val="-10"/>
          <w:sz w:val="24"/>
        </w:rPr>
        <w:t> </w:t>
      </w:r>
      <w:r>
        <w:rPr>
          <w:sz w:val="24"/>
        </w:rPr>
        <w:t>in</w:t>
      </w:r>
      <w:r>
        <w:rPr>
          <w:spacing w:val="-11"/>
          <w:sz w:val="24"/>
        </w:rPr>
        <w:t> </w:t>
      </w:r>
      <w:r>
        <w:rPr>
          <w:sz w:val="24"/>
        </w:rPr>
        <w:t>the</w:t>
      </w:r>
      <w:r>
        <w:rPr>
          <w:spacing w:val="-11"/>
          <w:sz w:val="24"/>
        </w:rPr>
        <w:t> </w:t>
      </w:r>
      <w:r>
        <w:rPr>
          <w:sz w:val="24"/>
        </w:rPr>
        <w:t>CD</w:t>
      </w:r>
      <w:r>
        <w:rPr>
          <w:spacing w:val="-10"/>
          <w:sz w:val="24"/>
        </w:rPr>
        <w:t> </w:t>
      </w:r>
      <w:r>
        <w:rPr>
          <w:sz w:val="24"/>
        </w:rPr>
        <w:t>and</w:t>
      </w:r>
      <w:r>
        <w:rPr>
          <w:spacing w:val="-12"/>
          <w:sz w:val="24"/>
        </w:rPr>
        <w:t> </w:t>
      </w:r>
      <w:r>
        <w:rPr>
          <w:sz w:val="24"/>
        </w:rPr>
        <w:t>there</w:t>
      </w:r>
      <w:r>
        <w:rPr>
          <w:spacing w:val="-11"/>
          <w:sz w:val="24"/>
        </w:rPr>
        <w:t> </w:t>
      </w:r>
      <w:r>
        <w:rPr>
          <w:sz w:val="24"/>
        </w:rPr>
        <w:t>are dangerous buildings, declared as such</w:t>
      </w:r>
      <w:r>
        <w:rPr>
          <w:spacing w:val="-2"/>
          <w:sz w:val="24"/>
        </w:rPr>
        <w:t> </w:t>
      </w:r>
      <w:r>
        <w:rPr>
          <w:sz w:val="24"/>
        </w:rPr>
        <w:t>by the Competent Authority, on the</w:t>
      </w:r>
      <w:r>
        <w:rPr>
          <w:spacing w:val="-20"/>
          <w:sz w:val="24"/>
        </w:rPr>
        <w:t> </w:t>
      </w:r>
      <w:r>
        <w:rPr>
          <w:sz w:val="24"/>
        </w:rPr>
        <w:t>balance</w:t>
      </w:r>
      <w:r>
        <w:rPr>
          <w:spacing w:val="-19"/>
          <w:sz w:val="24"/>
        </w:rPr>
        <w:t> </w:t>
      </w:r>
      <w:r>
        <w:rPr>
          <w:sz w:val="24"/>
        </w:rPr>
        <w:t>lands</w:t>
      </w:r>
      <w:r>
        <w:rPr>
          <w:spacing w:val="-19"/>
          <w:sz w:val="24"/>
        </w:rPr>
        <w:t> </w:t>
      </w:r>
      <w:r>
        <w:rPr>
          <w:sz w:val="24"/>
        </w:rPr>
        <w:t>contained</w:t>
      </w:r>
      <w:r>
        <w:rPr>
          <w:spacing w:val="-19"/>
          <w:sz w:val="24"/>
        </w:rPr>
        <w:t> </w:t>
      </w:r>
      <w:r>
        <w:rPr>
          <w:sz w:val="24"/>
        </w:rPr>
        <w:t>in</w:t>
      </w:r>
      <w:r>
        <w:rPr>
          <w:spacing w:val="-19"/>
          <w:sz w:val="24"/>
        </w:rPr>
        <w:t> </w:t>
      </w:r>
      <w:r>
        <w:rPr>
          <w:sz w:val="24"/>
        </w:rPr>
        <w:t>the</w:t>
      </w:r>
      <w:r>
        <w:rPr>
          <w:spacing w:val="-20"/>
          <w:sz w:val="24"/>
        </w:rPr>
        <w:t> </w:t>
      </w:r>
      <w:r>
        <w:rPr>
          <w:sz w:val="24"/>
        </w:rPr>
        <w:t>CD.</w:t>
      </w:r>
      <w:r>
        <w:rPr>
          <w:spacing w:val="-19"/>
          <w:sz w:val="24"/>
        </w:rPr>
        <w:t> </w:t>
      </w:r>
      <w:r>
        <w:rPr>
          <w:sz w:val="24"/>
        </w:rPr>
        <w:t>In</w:t>
      </w:r>
      <w:r>
        <w:rPr>
          <w:spacing w:val="-19"/>
          <w:sz w:val="24"/>
        </w:rPr>
        <w:t> </w:t>
      </w:r>
      <w:r>
        <w:rPr>
          <w:sz w:val="24"/>
        </w:rPr>
        <w:t>such</w:t>
      </w:r>
      <w:r>
        <w:rPr>
          <w:spacing w:val="-19"/>
          <w:sz w:val="24"/>
        </w:rPr>
        <w:t> </w:t>
      </w:r>
      <w:r>
        <w:rPr>
          <w:sz w:val="24"/>
        </w:rPr>
        <w:t>a</w:t>
      </w:r>
      <w:r>
        <w:rPr>
          <w:spacing w:val="-19"/>
          <w:sz w:val="24"/>
        </w:rPr>
        <w:t> </w:t>
      </w:r>
      <w:r>
        <w:rPr>
          <w:sz w:val="24"/>
        </w:rPr>
        <w:t>situation,</w:t>
      </w:r>
      <w:r>
        <w:rPr>
          <w:spacing w:val="-20"/>
          <w:sz w:val="24"/>
        </w:rPr>
        <w:t> </w:t>
      </w:r>
      <w:r>
        <w:rPr>
          <w:sz w:val="24"/>
        </w:rPr>
        <w:t>the</w:t>
      </w:r>
      <w:r>
        <w:rPr>
          <w:spacing w:val="-19"/>
          <w:sz w:val="24"/>
        </w:rPr>
        <w:t> </w:t>
      </w:r>
      <w:r>
        <w:rPr>
          <w:sz w:val="24"/>
        </w:rPr>
        <w:t>Promoter may approach the HPC for recommending the proposal to the Govt. for acquisition of such balance lands. Upon receipt of such request, the HPC may, after due examination, recommend to the Govt. as to which lands are required to be acquired for the purposes of CDS. The Govt., thereafter, shall take necessary steps to acquire such balance lands under the provisions of the relevant law and transfer the same to the Promoter only for the purpose of implementing CDS after executing </w:t>
      </w:r>
      <w:r>
        <w:rPr>
          <w:sz w:val="24"/>
        </w:rPr>
        <w:t>an agreement with him in this regard, subject to the Promoter depositing with</w:t>
      </w:r>
      <w:r>
        <w:rPr>
          <w:spacing w:val="-5"/>
          <w:sz w:val="24"/>
        </w:rPr>
        <w:t> </w:t>
      </w:r>
      <w:r>
        <w:rPr>
          <w:sz w:val="24"/>
        </w:rPr>
        <w:t>the</w:t>
      </w:r>
      <w:r>
        <w:rPr>
          <w:spacing w:val="-5"/>
          <w:sz w:val="24"/>
        </w:rPr>
        <w:t> </w:t>
      </w:r>
      <w:r>
        <w:rPr>
          <w:sz w:val="24"/>
        </w:rPr>
        <w:t>Govt.</w:t>
      </w:r>
      <w:r>
        <w:rPr>
          <w:spacing w:val="-5"/>
          <w:sz w:val="24"/>
        </w:rPr>
        <w:t> </w:t>
      </w:r>
      <w:r>
        <w:rPr>
          <w:sz w:val="24"/>
        </w:rPr>
        <w:t>necessary</w:t>
      </w:r>
      <w:r>
        <w:rPr>
          <w:spacing w:val="-5"/>
          <w:sz w:val="24"/>
        </w:rPr>
        <w:t> </w:t>
      </w:r>
      <w:r>
        <w:rPr>
          <w:sz w:val="24"/>
        </w:rPr>
        <w:t>amount</w:t>
      </w:r>
      <w:r>
        <w:rPr>
          <w:spacing w:val="-5"/>
          <w:sz w:val="24"/>
        </w:rPr>
        <w:t> </w:t>
      </w:r>
      <w:r>
        <w:rPr>
          <w:sz w:val="24"/>
        </w:rPr>
        <w:t>of</w:t>
      </w:r>
      <w:r>
        <w:rPr>
          <w:spacing w:val="-5"/>
          <w:sz w:val="24"/>
        </w:rPr>
        <w:t> </w:t>
      </w:r>
      <w:r>
        <w:rPr>
          <w:sz w:val="24"/>
        </w:rPr>
        <w:t>money</w:t>
      </w:r>
      <w:r>
        <w:rPr>
          <w:spacing w:val="-5"/>
          <w:sz w:val="24"/>
        </w:rPr>
        <w:t> </w:t>
      </w:r>
      <w:r>
        <w:rPr>
          <w:sz w:val="24"/>
        </w:rPr>
        <w:t>for</w:t>
      </w:r>
      <w:r>
        <w:rPr>
          <w:spacing w:val="-5"/>
          <w:sz w:val="24"/>
        </w:rPr>
        <w:t> </w:t>
      </w:r>
      <w:r>
        <w:rPr>
          <w:sz w:val="24"/>
        </w:rPr>
        <w:t>the</w:t>
      </w:r>
      <w:r>
        <w:rPr>
          <w:spacing w:val="-5"/>
          <w:sz w:val="24"/>
        </w:rPr>
        <w:t> </w:t>
      </w:r>
      <w:r>
        <w:rPr>
          <w:sz w:val="24"/>
        </w:rPr>
        <w:t>land</w:t>
      </w:r>
      <w:r>
        <w:rPr>
          <w:spacing w:val="-5"/>
          <w:sz w:val="24"/>
        </w:rPr>
        <w:t> </w:t>
      </w:r>
      <w:r>
        <w:rPr>
          <w:sz w:val="24"/>
        </w:rPr>
        <w:t>acquisition.</w:t>
      </w:r>
      <w:r>
        <w:rPr>
          <w:spacing w:val="-5"/>
          <w:sz w:val="24"/>
        </w:rPr>
        <w:t> </w:t>
      </w:r>
      <w:r>
        <w:rPr>
          <w:sz w:val="24"/>
        </w:rPr>
        <w:t>For the purpose of land acquisition, CDS shall be regarded as public </w:t>
      </w:r>
      <w:r>
        <w:rPr>
          <w:spacing w:val="-2"/>
          <w:sz w:val="24"/>
        </w:rPr>
        <w:t>purpose.</w:t>
      </w:r>
    </w:p>
    <w:p>
      <w:pPr>
        <w:pStyle w:val="BodyText"/>
        <w:spacing w:before="80"/>
        <w:jc w:val="left"/>
      </w:pPr>
    </w:p>
    <w:p>
      <w:pPr>
        <w:pStyle w:val="BodyText"/>
        <w:ind w:left="2062" w:right="766"/>
        <w:rPr>
          <w:b/>
        </w:rPr>
      </w:pPr>
      <w:r>
        <w:rPr/>
        <w:t>6.</w:t>
      </w:r>
      <w:r>
        <w:rPr>
          <w:spacing w:val="80"/>
          <w:w w:val="150"/>
        </w:rPr>
        <w:t>  </w:t>
      </w:r>
      <w:r>
        <w:rPr/>
        <w:t>a)</w:t>
      </w:r>
      <w:r>
        <w:rPr>
          <w:spacing w:val="-17"/>
        </w:rPr>
        <w:t> </w:t>
      </w:r>
      <w:r>
        <w:rPr/>
        <w:t>Redevelopment</w:t>
      </w:r>
      <w:r>
        <w:rPr>
          <w:spacing w:val="-17"/>
        </w:rPr>
        <w:t> </w:t>
      </w:r>
      <w:r>
        <w:rPr/>
        <w:t>or</w:t>
      </w:r>
      <w:r>
        <w:rPr>
          <w:spacing w:val="-19"/>
        </w:rPr>
        <w:t> </w:t>
      </w:r>
      <w:r>
        <w:rPr/>
        <w:t>Reconstruction</w:t>
      </w:r>
      <w:r>
        <w:rPr>
          <w:spacing w:val="-17"/>
        </w:rPr>
        <w:t> </w:t>
      </w:r>
      <w:r>
        <w:rPr/>
        <w:t>under</w:t>
      </w:r>
      <w:r>
        <w:rPr>
          <w:spacing w:val="-16"/>
        </w:rPr>
        <w:t> </w:t>
      </w:r>
      <w:r>
        <w:rPr/>
        <w:t>CDS</w:t>
      </w:r>
      <w:r>
        <w:rPr>
          <w:spacing w:val="-17"/>
        </w:rPr>
        <w:t> </w:t>
      </w:r>
      <w:r>
        <w:rPr/>
        <w:t>may</w:t>
      </w:r>
      <w:r>
        <w:rPr>
          <w:spacing w:val="-17"/>
        </w:rPr>
        <w:t> </w:t>
      </w:r>
      <w:r>
        <w:rPr/>
        <w:t>be</w:t>
      </w:r>
      <w:r>
        <w:rPr>
          <w:spacing w:val="-17"/>
        </w:rPr>
        <w:t> </w:t>
      </w:r>
      <w:r>
        <w:rPr/>
        <w:t>permitted in pursuance of an irrevocable registered written consent by eligible tenants/ occupiers of all authorized buildings not less than</w:t>
      </w:r>
      <w:r>
        <w:rPr>
          <w:spacing w:val="-3"/>
        </w:rPr>
        <w:t> </w:t>
      </w:r>
      <w:r>
        <w:rPr/>
        <w:t>51 percent of each building</w:t>
      </w:r>
      <w:r>
        <w:rPr>
          <w:spacing w:val="80"/>
          <w:w w:val="150"/>
        </w:rPr>
        <w:t> </w:t>
      </w:r>
      <w:r>
        <w:rPr/>
        <w:t>or 60 percent overall of the scheme</w:t>
      </w:r>
      <w:r>
        <w:rPr>
          <w:spacing w:val="40"/>
        </w:rPr>
        <w:t> </w:t>
      </w:r>
      <w:r>
        <w:rPr/>
        <w:t>involved in the CDS</w:t>
      </w:r>
      <w:r>
        <w:rPr>
          <w:spacing w:val="40"/>
        </w:rPr>
        <w:t> </w:t>
      </w:r>
      <w:r>
        <w:rPr/>
        <w:t>Consent as aforesaid of f tenants/occupiers for reconstruction or redevelopment shall not be required, if MHADA/MCGM undertakes redevelopment, on its own land, directly without any developer</w:t>
      </w:r>
      <w:r>
        <w:rPr>
          <w:b/>
        </w:rPr>
        <w:t>.</w:t>
      </w:r>
    </w:p>
    <w:p>
      <w:pPr>
        <w:pStyle w:val="BodyText"/>
        <w:spacing w:before="79"/>
        <w:jc w:val="left"/>
        <w:rPr>
          <w:b/>
        </w:rPr>
      </w:pPr>
    </w:p>
    <w:p>
      <w:pPr>
        <w:pStyle w:val="BodyText"/>
        <w:ind w:left="2062" w:right="766"/>
      </w:pPr>
      <w:r>
        <w:rPr/>
        <w:t>The</w:t>
      </w:r>
      <w:r>
        <w:rPr>
          <w:spacing w:val="-11"/>
        </w:rPr>
        <w:t> </w:t>
      </w:r>
      <w:r>
        <w:rPr/>
        <w:t>Developer</w:t>
      </w:r>
      <w:r>
        <w:rPr>
          <w:spacing w:val="-11"/>
        </w:rPr>
        <w:t> </w:t>
      </w:r>
      <w:r>
        <w:rPr/>
        <w:t>shall</w:t>
      </w:r>
      <w:r>
        <w:rPr>
          <w:spacing w:val="-8"/>
        </w:rPr>
        <w:t> </w:t>
      </w:r>
      <w:r>
        <w:rPr/>
        <w:t>be</w:t>
      </w:r>
      <w:r>
        <w:rPr>
          <w:spacing w:val="-11"/>
        </w:rPr>
        <w:t> </w:t>
      </w:r>
      <w:r>
        <w:rPr/>
        <w:t>required</w:t>
      </w:r>
      <w:r>
        <w:rPr>
          <w:spacing w:val="-11"/>
        </w:rPr>
        <w:t> </w:t>
      </w:r>
      <w:r>
        <w:rPr/>
        <w:t>to</w:t>
      </w:r>
      <w:r>
        <w:rPr>
          <w:spacing w:val="-10"/>
        </w:rPr>
        <w:t> </w:t>
      </w:r>
      <w:r>
        <w:rPr/>
        <w:t>submit</w:t>
      </w:r>
      <w:r>
        <w:rPr>
          <w:spacing w:val="-11"/>
        </w:rPr>
        <w:t> </w:t>
      </w:r>
      <w:r>
        <w:rPr/>
        <w:t>along</w:t>
      </w:r>
      <w:r>
        <w:rPr>
          <w:spacing w:val="-11"/>
        </w:rPr>
        <w:t> </w:t>
      </w:r>
      <w:r>
        <w:rPr/>
        <w:t>with</w:t>
      </w:r>
      <w:r>
        <w:rPr>
          <w:spacing w:val="-11"/>
        </w:rPr>
        <w:t> </w:t>
      </w:r>
      <w:r>
        <w:rPr/>
        <w:t>the</w:t>
      </w:r>
      <w:r>
        <w:rPr>
          <w:spacing w:val="-10"/>
        </w:rPr>
        <w:t> </w:t>
      </w:r>
      <w:r>
        <w:rPr/>
        <w:t>CDS</w:t>
      </w:r>
      <w:r>
        <w:rPr>
          <w:spacing w:val="-11"/>
        </w:rPr>
        <w:t> </w:t>
      </w:r>
      <w:r>
        <w:rPr/>
        <w:t>proposal, proof of ownership or procurement of DRs in respect of at least 70% of the land under the proposed CDS(excluding Municipal Roads if maintained as existing in proposedCDS) and it shall be mandatory for him to submit such</w:t>
      </w:r>
      <w:r>
        <w:rPr>
          <w:spacing w:val="-1"/>
        </w:rPr>
        <w:t> </w:t>
      </w:r>
      <w:r>
        <w:rPr/>
        <w:t>proof of ownership or procurement of development rights in respect of the balance area within one year from the date of issue of the LOI.</w:t>
      </w:r>
    </w:p>
    <w:p>
      <w:pPr>
        <w:pStyle w:val="BodyText"/>
        <w:spacing w:before="80"/>
        <w:jc w:val="left"/>
      </w:pPr>
    </w:p>
    <w:p>
      <w:pPr>
        <w:pStyle w:val="BodyText"/>
        <w:ind w:left="2062" w:right="770"/>
      </w:pPr>
      <w:r>
        <w:rPr/>
        <w:t>b) All the eligible occupants/tenants of the building(s) undergoing redevelopment shall be rehabilitated in the redeveloped building(s).</w:t>
      </w:r>
    </w:p>
    <w:p>
      <w:pPr>
        <w:pStyle w:val="BodyText"/>
        <w:spacing w:before="74"/>
        <w:jc w:val="left"/>
      </w:pPr>
    </w:p>
    <w:p>
      <w:pPr>
        <w:pStyle w:val="Heading6"/>
        <w:numPr>
          <w:ilvl w:val="0"/>
          <w:numId w:val="138"/>
        </w:numPr>
        <w:tabs>
          <w:tab w:pos="2286" w:val="left" w:leader="none"/>
        </w:tabs>
        <w:spacing w:line="240" w:lineRule="auto" w:before="0" w:after="0"/>
        <w:ind w:left="2286" w:right="0" w:hanging="224"/>
        <w:jc w:val="both"/>
        <w:rPr>
          <w:b w:val="0"/>
          <w:i w:val="0"/>
          <w:sz w:val="22"/>
        </w:rPr>
      </w:pPr>
      <w:r>
        <w:rPr/>
        <w:t>Conditions</w:t>
      </w:r>
      <w:r>
        <w:rPr>
          <w:spacing w:val="-4"/>
        </w:rPr>
        <w:t> </w:t>
      </w:r>
      <w:r>
        <w:rPr/>
        <w:t>of</w:t>
      </w:r>
      <w:r>
        <w:rPr>
          <w:spacing w:val="-2"/>
        </w:rPr>
        <w:t> Rehabilitation:</w:t>
      </w:r>
    </w:p>
    <w:p>
      <w:pPr>
        <w:pStyle w:val="BodyText"/>
        <w:spacing w:before="82"/>
        <w:jc w:val="left"/>
        <w:rPr>
          <w:b/>
          <w:i/>
        </w:rPr>
      </w:pPr>
    </w:p>
    <w:p>
      <w:pPr>
        <w:pStyle w:val="ListParagraph"/>
        <w:numPr>
          <w:ilvl w:val="0"/>
          <w:numId w:val="163"/>
        </w:numPr>
        <w:tabs>
          <w:tab w:pos="2349" w:val="left" w:leader="none"/>
        </w:tabs>
        <w:spacing w:line="240" w:lineRule="auto" w:before="0" w:after="0"/>
        <w:ind w:left="2062" w:right="770" w:firstLine="0"/>
        <w:jc w:val="both"/>
        <w:rPr>
          <w:sz w:val="24"/>
        </w:rPr>
      </w:pPr>
      <w:r>
        <w:rPr>
          <w:sz w:val="24"/>
        </w:rPr>
        <w:t>Each</w:t>
      </w:r>
      <w:r>
        <w:rPr>
          <w:spacing w:val="-8"/>
          <w:sz w:val="24"/>
        </w:rPr>
        <w:t> </w:t>
      </w:r>
      <w:r>
        <w:rPr>
          <w:sz w:val="24"/>
        </w:rPr>
        <w:t>occupant/tenant</w:t>
      </w:r>
      <w:r>
        <w:rPr>
          <w:spacing w:val="-8"/>
          <w:sz w:val="24"/>
        </w:rPr>
        <w:t> </w:t>
      </w:r>
      <w:r>
        <w:rPr>
          <w:sz w:val="24"/>
        </w:rPr>
        <w:t>shall</w:t>
      </w:r>
      <w:r>
        <w:rPr>
          <w:spacing w:val="-8"/>
          <w:sz w:val="24"/>
        </w:rPr>
        <w:t> </w:t>
      </w:r>
      <w:r>
        <w:rPr>
          <w:sz w:val="24"/>
        </w:rPr>
        <w:t>be</w:t>
      </w:r>
      <w:r>
        <w:rPr>
          <w:spacing w:val="-8"/>
          <w:sz w:val="24"/>
        </w:rPr>
        <w:t> </w:t>
      </w:r>
      <w:r>
        <w:rPr>
          <w:sz w:val="24"/>
        </w:rPr>
        <w:t>rehabilitated</w:t>
      </w:r>
      <w:r>
        <w:rPr>
          <w:spacing w:val="-8"/>
          <w:sz w:val="24"/>
        </w:rPr>
        <w:t> </w:t>
      </w:r>
      <w:r>
        <w:rPr>
          <w:sz w:val="24"/>
        </w:rPr>
        <w:t>and</w:t>
      </w:r>
      <w:r>
        <w:rPr>
          <w:spacing w:val="-8"/>
          <w:sz w:val="24"/>
        </w:rPr>
        <w:t> </w:t>
      </w:r>
      <w:r>
        <w:rPr>
          <w:sz w:val="24"/>
        </w:rPr>
        <w:t>given</w:t>
      </w:r>
      <w:r>
        <w:rPr>
          <w:spacing w:val="-8"/>
          <w:sz w:val="24"/>
        </w:rPr>
        <w:t> </w:t>
      </w:r>
      <w:r>
        <w:rPr>
          <w:sz w:val="24"/>
        </w:rPr>
        <w:t>on</w:t>
      </w:r>
      <w:r>
        <w:rPr>
          <w:spacing w:val="-7"/>
          <w:sz w:val="24"/>
        </w:rPr>
        <w:t> </w:t>
      </w:r>
      <w:r>
        <w:rPr>
          <w:sz w:val="24"/>
        </w:rPr>
        <w:t>ownership basis,</w:t>
      </w:r>
      <w:r>
        <w:rPr>
          <w:spacing w:val="40"/>
          <w:sz w:val="24"/>
        </w:rPr>
        <w:t>  </w:t>
      </w:r>
      <w:r>
        <w:rPr>
          <w:sz w:val="24"/>
        </w:rPr>
        <w:t>carpet</w:t>
      </w:r>
      <w:r>
        <w:rPr>
          <w:spacing w:val="40"/>
          <w:sz w:val="24"/>
        </w:rPr>
        <w:t>  </w:t>
      </w:r>
      <w:r>
        <w:rPr>
          <w:sz w:val="24"/>
        </w:rPr>
        <w:t>area</w:t>
      </w:r>
      <w:r>
        <w:rPr>
          <w:spacing w:val="40"/>
          <w:sz w:val="24"/>
        </w:rPr>
        <w:t>  </w:t>
      </w:r>
      <w:r>
        <w:rPr>
          <w:sz w:val="24"/>
        </w:rPr>
        <w:t>equivalent</w:t>
      </w:r>
      <w:r>
        <w:rPr>
          <w:spacing w:val="40"/>
          <w:sz w:val="24"/>
        </w:rPr>
        <w:t>  </w:t>
      </w:r>
      <w:r>
        <w:rPr>
          <w:sz w:val="24"/>
        </w:rPr>
        <w:t>to</w:t>
      </w:r>
      <w:r>
        <w:rPr>
          <w:spacing w:val="40"/>
          <w:sz w:val="24"/>
        </w:rPr>
        <w:t>  </w:t>
      </w:r>
      <w:r>
        <w:rPr>
          <w:sz w:val="24"/>
        </w:rPr>
        <w:t>the</w:t>
      </w:r>
      <w:r>
        <w:rPr>
          <w:spacing w:val="40"/>
          <w:sz w:val="24"/>
        </w:rPr>
        <w:t>  </w:t>
      </w:r>
      <w:r>
        <w:rPr>
          <w:sz w:val="24"/>
        </w:rPr>
        <w:t>area</w:t>
      </w:r>
      <w:r>
        <w:rPr>
          <w:spacing w:val="40"/>
          <w:sz w:val="24"/>
        </w:rPr>
        <w:t>  </w:t>
      </w:r>
      <w:r>
        <w:rPr>
          <w:sz w:val="24"/>
        </w:rPr>
        <w:t>occupied</w:t>
      </w:r>
      <w:r>
        <w:rPr>
          <w:spacing w:val="40"/>
          <w:sz w:val="24"/>
        </w:rPr>
        <w:t>  </w:t>
      </w:r>
      <w:r>
        <w:rPr>
          <w:sz w:val="24"/>
        </w:rPr>
        <w:t>by</w:t>
      </w:r>
      <w:r>
        <w:rPr>
          <w:spacing w:val="40"/>
          <w:sz w:val="24"/>
        </w:rPr>
        <w:t>  </w:t>
      </w:r>
      <w:r>
        <w:rPr>
          <w:sz w:val="24"/>
        </w:rPr>
        <w:t>such</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68"/>
      </w:pPr>
      <w:r>
        <w:rPr/>
        <w:t>occupant/tenant in the old building. However, in case of residential/residential cum commercial occupants, such carpet area shall not be less than 27.88 sq. m.This shall be the “basic area”.</w:t>
      </w:r>
    </w:p>
    <w:p>
      <w:pPr>
        <w:pStyle w:val="BodyText"/>
        <w:spacing w:before="80"/>
        <w:jc w:val="left"/>
      </w:pPr>
    </w:p>
    <w:p>
      <w:pPr>
        <w:pStyle w:val="ListParagraph"/>
        <w:numPr>
          <w:ilvl w:val="0"/>
          <w:numId w:val="163"/>
        </w:numPr>
        <w:tabs>
          <w:tab w:pos="2486" w:val="left" w:leader="none"/>
        </w:tabs>
        <w:spacing w:line="240" w:lineRule="auto" w:before="0" w:after="0"/>
        <w:ind w:left="2062" w:right="766" w:firstLine="0"/>
        <w:jc w:val="both"/>
        <w:rPr>
          <w:sz w:val="24"/>
        </w:rPr>
      </w:pPr>
      <w:r>
        <w:rPr>
          <w:sz w:val="24"/>
        </w:rPr>
        <w:t>In addition to (i) above, there shall be ‘’additional area’’ for the rehabilitation of residential/residential cum commercial Occupants governed by the size of the CD in accordance with the Table-A below</w:t>
      </w:r>
    </w:p>
    <w:p>
      <w:pPr>
        <w:pStyle w:val="BodyText"/>
        <w:spacing w:before="78"/>
        <w:jc w:val="left"/>
      </w:pPr>
    </w:p>
    <w:p>
      <w:pPr>
        <w:pStyle w:val="BodyText"/>
        <w:ind w:left="2062"/>
        <w:jc w:val="left"/>
      </w:pPr>
      <w:r>
        <w:rPr>
          <w:spacing w:val="-2"/>
        </w:rPr>
        <w:t>Table-</w:t>
      </w:r>
      <w:r>
        <w:rPr>
          <w:spacing w:val="-10"/>
        </w:rPr>
        <w:t>A</w:t>
      </w:r>
    </w:p>
    <w:p>
      <w:pPr>
        <w:pStyle w:val="BodyText"/>
        <w:spacing w:before="5"/>
        <w:jc w:val="left"/>
        <w:rPr>
          <w:sz w:val="20"/>
        </w:rPr>
      </w:pPr>
    </w:p>
    <w:tbl>
      <w:tblPr>
        <w:tblW w:w="0" w:type="auto"/>
        <w:jc w:val="left"/>
        <w:tblInd w:w="1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88"/>
        <w:gridCol w:w="4097"/>
      </w:tblGrid>
      <w:tr>
        <w:trPr>
          <w:trHeight w:val="643" w:hRule="atLeast"/>
        </w:trPr>
        <w:tc>
          <w:tcPr>
            <w:tcW w:w="4388" w:type="dxa"/>
            <w:shd w:val="clear" w:color="auto" w:fill="EDEBE0"/>
          </w:tcPr>
          <w:p>
            <w:pPr>
              <w:pStyle w:val="TableParagraph"/>
              <w:spacing w:before="37"/>
              <w:ind w:left="107"/>
              <w:rPr>
                <w:sz w:val="24"/>
              </w:rPr>
            </w:pPr>
            <w:r>
              <w:rPr>
                <w:sz w:val="24"/>
              </w:rPr>
              <w:t>Area</w:t>
            </w:r>
            <w:r>
              <w:rPr>
                <w:spacing w:val="-1"/>
                <w:sz w:val="24"/>
              </w:rPr>
              <w:t> </w:t>
            </w:r>
            <w:r>
              <w:rPr>
                <w:sz w:val="24"/>
              </w:rPr>
              <w:t>of</w:t>
            </w:r>
            <w:r>
              <w:rPr>
                <w:spacing w:val="-1"/>
                <w:sz w:val="24"/>
              </w:rPr>
              <w:t> </w:t>
            </w:r>
            <w:r>
              <w:rPr>
                <w:sz w:val="24"/>
              </w:rPr>
              <w:t>the</w:t>
            </w:r>
            <w:r>
              <w:rPr>
                <w:spacing w:val="-1"/>
                <w:sz w:val="24"/>
              </w:rPr>
              <w:t> </w:t>
            </w:r>
            <w:r>
              <w:rPr>
                <w:color w:val="000000"/>
                <w:sz w:val="24"/>
                <w:shd w:fill="FFCCFF" w:color="auto" w:val="clear"/>
              </w:rPr>
              <w:t>Cluster </w:t>
            </w:r>
            <w:r>
              <w:rPr>
                <w:color w:val="000000"/>
                <w:spacing w:val="-2"/>
                <w:sz w:val="24"/>
                <w:shd w:fill="FFCCFF" w:color="auto" w:val="clear"/>
              </w:rPr>
              <w:t>Development</w:t>
            </w:r>
          </w:p>
        </w:tc>
        <w:tc>
          <w:tcPr>
            <w:tcW w:w="4097" w:type="dxa"/>
            <w:shd w:val="clear" w:color="auto" w:fill="EDEBE0"/>
          </w:tcPr>
          <w:p>
            <w:pPr>
              <w:pStyle w:val="TableParagraph"/>
              <w:spacing w:before="40"/>
              <w:ind w:left="108"/>
              <w:rPr>
                <w:sz w:val="24"/>
              </w:rPr>
            </w:pPr>
            <w:r>
              <w:rPr>
                <w:sz w:val="24"/>
              </w:rPr>
              <w:t>Additional</w:t>
            </w:r>
            <w:r>
              <w:rPr>
                <w:spacing w:val="40"/>
                <w:sz w:val="24"/>
              </w:rPr>
              <w:t> </w:t>
            </w:r>
            <w:r>
              <w:rPr>
                <w:sz w:val="24"/>
              </w:rPr>
              <w:t>Area</w:t>
            </w:r>
            <w:r>
              <w:rPr>
                <w:spacing w:val="40"/>
                <w:sz w:val="24"/>
              </w:rPr>
              <w:t> </w:t>
            </w:r>
            <w:r>
              <w:rPr>
                <w:sz w:val="24"/>
              </w:rPr>
              <w:t>(over</w:t>
            </w:r>
            <w:r>
              <w:rPr>
                <w:spacing w:val="40"/>
                <w:sz w:val="24"/>
              </w:rPr>
              <w:t> </w:t>
            </w:r>
            <w:r>
              <w:rPr>
                <w:sz w:val="24"/>
              </w:rPr>
              <w:t>&amp;</w:t>
            </w:r>
            <w:r>
              <w:rPr>
                <w:spacing w:val="40"/>
                <w:sz w:val="24"/>
              </w:rPr>
              <w:t> </w:t>
            </w:r>
            <w:r>
              <w:rPr>
                <w:sz w:val="24"/>
              </w:rPr>
              <w:t>above basic area)</w:t>
            </w:r>
          </w:p>
        </w:tc>
      </w:tr>
      <w:tr>
        <w:trPr>
          <w:trHeight w:val="362" w:hRule="atLeast"/>
        </w:trPr>
        <w:tc>
          <w:tcPr>
            <w:tcW w:w="4388" w:type="dxa"/>
          </w:tcPr>
          <w:p>
            <w:pPr>
              <w:pStyle w:val="TableParagraph"/>
              <w:spacing w:before="40"/>
              <w:ind w:left="107"/>
              <w:rPr>
                <w:sz w:val="24"/>
              </w:rPr>
            </w:pPr>
            <w:r>
              <w:rPr>
                <w:sz w:val="24"/>
              </w:rPr>
              <w:t>Above</w:t>
            </w:r>
            <w:r>
              <w:rPr>
                <w:spacing w:val="-1"/>
                <w:sz w:val="24"/>
              </w:rPr>
              <w:t> </w:t>
            </w:r>
            <w:r>
              <w:rPr>
                <w:sz w:val="24"/>
              </w:rPr>
              <w:t>1 ha</w:t>
            </w:r>
            <w:r>
              <w:rPr>
                <w:spacing w:val="-1"/>
                <w:sz w:val="24"/>
              </w:rPr>
              <w:t> </w:t>
            </w:r>
            <w:r>
              <w:rPr>
                <w:sz w:val="24"/>
              </w:rPr>
              <w:t>up to</w:t>
            </w:r>
            <w:r>
              <w:rPr>
                <w:spacing w:val="-1"/>
                <w:sz w:val="24"/>
              </w:rPr>
              <w:t> </w:t>
            </w:r>
            <w:r>
              <w:rPr>
                <w:sz w:val="24"/>
              </w:rPr>
              <w:t>2 </w:t>
            </w:r>
            <w:r>
              <w:rPr>
                <w:spacing w:val="-5"/>
                <w:sz w:val="24"/>
              </w:rPr>
              <w:t>ha</w:t>
            </w:r>
          </w:p>
        </w:tc>
        <w:tc>
          <w:tcPr>
            <w:tcW w:w="4097" w:type="dxa"/>
          </w:tcPr>
          <w:p>
            <w:pPr>
              <w:pStyle w:val="TableParagraph"/>
              <w:spacing w:before="40"/>
              <w:ind w:left="7"/>
              <w:jc w:val="center"/>
              <w:rPr>
                <w:sz w:val="24"/>
              </w:rPr>
            </w:pPr>
            <w:r>
              <w:rPr>
                <w:spacing w:val="-5"/>
                <w:sz w:val="24"/>
              </w:rPr>
              <w:t>15%</w:t>
            </w:r>
          </w:p>
        </w:tc>
      </w:tr>
      <w:tr>
        <w:trPr>
          <w:trHeight w:val="362" w:hRule="atLeast"/>
        </w:trPr>
        <w:tc>
          <w:tcPr>
            <w:tcW w:w="4388" w:type="dxa"/>
          </w:tcPr>
          <w:p>
            <w:pPr>
              <w:pStyle w:val="TableParagraph"/>
              <w:spacing w:before="37"/>
              <w:ind w:left="107"/>
              <w:rPr>
                <w:sz w:val="24"/>
              </w:rPr>
            </w:pPr>
            <w:r>
              <w:rPr>
                <w:sz w:val="24"/>
              </w:rPr>
              <w:t>Above</w:t>
            </w:r>
            <w:r>
              <w:rPr>
                <w:spacing w:val="-1"/>
                <w:sz w:val="24"/>
              </w:rPr>
              <w:t> </w:t>
            </w:r>
            <w:r>
              <w:rPr>
                <w:sz w:val="24"/>
              </w:rPr>
              <w:t>2 ha</w:t>
            </w:r>
            <w:r>
              <w:rPr>
                <w:spacing w:val="-1"/>
                <w:sz w:val="24"/>
              </w:rPr>
              <w:t> </w:t>
            </w:r>
            <w:r>
              <w:rPr>
                <w:sz w:val="24"/>
              </w:rPr>
              <w:t>up to</w:t>
            </w:r>
            <w:r>
              <w:rPr>
                <w:spacing w:val="-1"/>
                <w:sz w:val="24"/>
              </w:rPr>
              <w:t> </w:t>
            </w:r>
            <w:r>
              <w:rPr>
                <w:sz w:val="24"/>
              </w:rPr>
              <w:t>5 </w:t>
            </w:r>
            <w:r>
              <w:rPr>
                <w:spacing w:val="-5"/>
                <w:sz w:val="24"/>
              </w:rPr>
              <w:t>ha</w:t>
            </w:r>
          </w:p>
        </w:tc>
        <w:tc>
          <w:tcPr>
            <w:tcW w:w="4097" w:type="dxa"/>
          </w:tcPr>
          <w:p>
            <w:pPr>
              <w:pStyle w:val="TableParagraph"/>
              <w:spacing w:before="37"/>
              <w:ind w:left="7"/>
              <w:jc w:val="center"/>
              <w:rPr>
                <w:sz w:val="24"/>
              </w:rPr>
            </w:pPr>
            <w:r>
              <w:rPr>
                <w:spacing w:val="-5"/>
                <w:sz w:val="24"/>
              </w:rPr>
              <w:t>20%</w:t>
            </w:r>
          </w:p>
        </w:tc>
      </w:tr>
      <w:tr>
        <w:trPr>
          <w:trHeight w:val="361" w:hRule="atLeast"/>
        </w:trPr>
        <w:tc>
          <w:tcPr>
            <w:tcW w:w="4388" w:type="dxa"/>
          </w:tcPr>
          <w:p>
            <w:pPr>
              <w:pStyle w:val="TableParagraph"/>
              <w:spacing w:before="37"/>
              <w:ind w:left="107"/>
              <w:rPr>
                <w:sz w:val="24"/>
              </w:rPr>
            </w:pPr>
            <w:r>
              <w:rPr>
                <w:sz w:val="24"/>
              </w:rPr>
              <w:t>Above</w:t>
            </w:r>
            <w:r>
              <w:rPr>
                <w:spacing w:val="-1"/>
                <w:sz w:val="24"/>
              </w:rPr>
              <w:t> </w:t>
            </w:r>
            <w:r>
              <w:rPr>
                <w:sz w:val="24"/>
              </w:rPr>
              <w:t>5</w:t>
            </w:r>
            <w:r>
              <w:rPr>
                <w:spacing w:val="-1"/>
                <w:sz w:val="24"/>
              </w:rPr>
              <w:t> </w:t>
            </w:r>
            <w:r>
              <w:rPr>
                <w:sz w:val="24"/>
              </w:rPr>
              <w:t>ha up</w:t>
            </w:r>
            <w:r>
              <w:rPr>
                <w:spacing w:val="-1"/>
                <w:sz w:val="24"/>
              </w:rPr>
              <w:t> </w:t>
            </w:r>
            <w:r>
              <w:rPr>
                <w:sz w:val="24"/>
              </w:rPr>
              <w:t>to</w:t>
            </w:r>
            <w:r>
              <w:rPr>
                <w:spacing w:val="-1"/>
                <w:sz w:val="24"/>
              </w:rPr>
              <w:t> </w:t>
            </w:r>
            <w:r>
              <w:rPr>
                <w:sz w:val="24"/>
              </w:rPr>
              <w:t>10 </w:t>
            </w:r>
            <w:r>
              <w:rPr>
                <w:spacing w:val="-5"/>
                <w:sz w:val="24"/>
              </w:rPr>
              <w:t>ha</w:t>
            </w:r>
          </w:p>
        </w:tc>
        <w:tc>
          <w:tcPr>
            <w:tcW w:w="4097" w:type="dxa"/>
          </w:tcPr>
          <w:p>
            <w:pPr>
              <w:pStyle w:val="TableParagraph"/>
              <w:spacing w:before="37"/>
              <w:ind w:left="7"/>
              <w:jc w:val="center"/>
              <w:rPr>
                <w:sz w:val="24"/>
              </w:rPr>
            </w:pPr>
            <w:r>
              <w:rPr>
                <w:spacing w:val="-5"/>
                <w:sz w:val="24"/>
              </w:rPr>
              <w:t>25%</w:t>
            </w:r>
          </w:p>
        </w:tc>
      </w:tr>
      <w:tr>
        <w:trPr>
          <w:trHeight w:val="361" w:hRule="atLeast"/>
        </w:trPr>
        <w:tc>
          <w:tcPr>
            <w:tcW w:w="4388" w:type="dxa"/>
          </w:tcPr>
          <w:p>
            <w:pPr>
              <w:pStyle w:val="TableParagraph"/>
              <w:spacing w:before="37"/>
              <w:ind w:left="107"/>
              <w:rPr>
                <w:sz w:val="24"/>
              </w:rPr>
            </w:pPr>
            <w:r>
              <w:rPr>
                <w:sz w:val="24"/>
              </w:rPr>
              <w:t>Above</w:t>
            </w:r>
            <w:r>
              <w:rPr>
                <w:spacing w:val="-1"/>
                <w:sz w:val="24"/>
              </w:rPr>
              <w:t> </w:t>
            </w:r>
            <w:r>
              <w:rPr>
                <w:sz w:val="24"/>
              </w:rPr>
              <w:t>10 </w:t>
            </w:r>
            <w:r>
              <w:rPr>
                <w:spacing w:val="-5"/>
                <w:sz w:val="24"/>
              </w:rPr>
              <w:t>ha</w:t>
            </w:r>
          </w:p>
        </w:tc>
        <w:tc>
          <w:tcPr>
            <w:tcW w:w="4097" w:type="dxa"/>
          </w:tcPr>
          <w:p>
            <w:pPr>
              <w:pStyle w:val="TableParagraph"/>
              <w:spacing w:before="37"/>
              <w:ind w:left="7"/>
              <w:jc w:val="center"/>
              <w:rPr>
                <w:sz w:val="24"/>
              </w:rPr>
            </w:pPr>
            <w:r>
              <w:rPr>
                <w:spacing w:val="-5"/>
                <w:sz w:val="24"/>
              </w:rPr>
              <w:t>30%</w:t>
            </w:r>
          </w:p>
        </w:tc>
      </w:tr>
    </w:tbl>
    <w:p>
      <w:pPr>
        <w:pStyle w:val="BodyText"/>
        <w:spacing w:before="2"/>
        <w:jc w:val="left"/>
      </w:pPr>
    </w:p>
    <w:p>
      <w:pPr>
        <w:pStyle w:val="BodyText"/>
        <w:ind w:left="2062" w:right="769" w:firstLine="720"/>
      </w:pPr>
      <w:r>
        <w:rPr/>
        <w:t>Provided that if the</w:t>
      </w:r>
      <w:r>
        <w:rPr>
          <w:spacing w:val="-3"/>
        </w:rPr>
        <w:t> </w:t>
      </w:r>
      <w:r>
        <w:rPr/>
        <w:t>carpet area of any</w:t>
      </w:r>
      <w:r>
        <w:rPr>
          <w:spacing w:val="-1"/>
        </w:rPr>
        <w:t> </w:t>
      </w:r>
      <w:r>
        <w:rPr/>
        <w:t>occupant/tenement in the old</w:t>
      </w:r>
      <w:r>
        <w:rPr>
          <w:spacing w:val="-6"/>
        </w:rPr>
        <w:t> </w:t>
      </w:r>
      <w:r>
        <w:rPr/>
        <w:t>building</w:t>
      </w:r>
      <w:r>
        <w:rPr>
          <w:spacing w:val="-6"/>
        </w:rPr>
        <w:t> </w:t>
      </w:r>
      <w:r>
        <w:rPr/>
        <w:t>is</w:t>
      </w:r>
      <w:r>
        <w:rPr>
          <w:spacing w:val="-6"/>
        </w:rPr>
        <w:t> </w:t>
      </w:r>
      <w:r>
        <w:rPr/>
        <w:t>100</w:t>
      </w:r>
      <w:r>
        <w:rPr>
          <w:spacing w:val="-8"/>
        </w:rPr>
        <w:t> </w:t>
      </w:r>
      <w:r>
        <w:rPr/>
        <w:t>sq.</w:t>
      </w:r>
      <w:r>
        <w:rPr>
          <w:spacing w:val="-6"/>
        </w:rPr>
        <w:t> </w:t>
      </w:r>
      <w:r>
        <w:rPr/>
        <w:t>m</w:t>
      </w:r>
      <w:r>
        <w:rPr>
          <w:spacing w:val="-5"/>
        </w:rPr>
        <w:t> </w:t>
      </w:r>
      <w:r>
        <w:rPr/>
        <w:t>or</w:t>
      </w:r>
      <w:r>
        <w:rPr>
          <w:spacing w:val="-6"/>
        </w:rPr>
        <w:t> </w:t>
      </w:r>
      <w:r>
        <w:rPr/>
        <w:t>more</w:t>
      </w:r>
      <w:r>
        <w:rPr>
          <w:spacing w:val="-8"/>
        </w:rPr>
        <w:t> </w:t>
      </w:r>
      <w:r>
        <w:rPr/>
        <w:t>then</w:t>
      </w:r>
      <w:r>
        <w:rPr>
          <w:spacing w:val="-6"/>
        </w:rPr>
        <w:t> </w:t>
      </w:r>
      <w:r>
        <w:rPr/>
        <w:t>he</w:t>
      </w:r>
      <w:r>
        <w:rPr>
          <w:spacing w:val="-8"/>
        </w:rPr>
        <w:t> </w:t>
      </w:r>
      <w:r>
        <w:rPr/>
        <w:t>shall</w:t>
      </w:r>
      <w:r>
        <w:rPr>
          <w:spacing w:val="-6"/>
        </w:rPr>
        <w:t> </w:t>
      </w:r>
      <w:r>
        <w:rPr/>
        <w:t>be</w:t>
      </w:r>
      <w:r>
        <w:rPr>
          <w:spacing w:val="-6"/>
        </w:rPr>
        <w:t> </w:t>
      </w:r>
      <w:r>
        <w:rPr/>
        <w:t>eligible</w:t>
      </w:r>
      <w:r>
        <w:rPr>
          <w:spacing w:val="-8"/>
        </w:rPr>
        <w:t> </w:t>
      </w:r>
      <w:r>
        <w:rPr/>
        <w:t>for</w:t>
      </w:r>
      <w:r>
        <w:rPr>
          <w:spacing w:val="-8"/>
        </w:rPr>
        <w:t> </w:t>
      </w:r>
      <w:r>
        <w:rPr/>
        <w:t>additional area only on the basis of carpet area of 100 sq. m</w:t>
      </w:r>
    </w:p>
    <w:p>
      <w:pPr>
        <w:pStyle w:val="BodyText"/>
        <w:spacing w:before="240"/>
        <w:ind w:left="2062" w:right="765" w:firstLine="720"/>
      </w:pPr>
      <w:r>
        <w:rPr/>
        <w:t>Provided further that the rehabilitation entitlement of any occupant of a commercial establishment, who is allowed by the HPC to be rehabilitated in a residential tenement in lieu of his commercial establishment, shall also be governed by the aforesaid provisions applicable to the residential occupants in these Regulations. No occupant shall be given more carpet area than basic area+additional area, except in certain cases of planning constraints, where the Municipal Commissioner may allow marginally more area. Such additional area allowed due to planning constraints shall be deducted from the sale component without affecting the surplus area.</w:t>
      </w:r>
    </w:p>
    <w:p>
      <w:pPr>
        <w:pStyle w:val="ListParagraph"/>
        <w:numPr>
          <w:ilvl w:val="0"/>
          <w:numId w:val="164"/>
        </w:numPr>
        <w:tabs>
          <w:tab w:pos="2271" w:val="left" w:leader="none"/>
        </w:tabs>
        <w:spacing w:line="240" w:lineRule="auto" w:before="241" w:after="0"/>
        <w:ind w:left="2062" w:right="766" w:firstLine="0"/>
        <w:jc w:val="both"/>
        <w:rPr>
          <w:sz w:val="24"/>
        </w:rPr>
      </w:pPr>
      <w:r>
        <w:rPr>
          <w:sz w:val="24"/>
        </w:rPr>
        <w:t>Each eligible residential or residential cum commercial slum dweller shall</w:t>
      </w:r>
      <w:r>
        <w:rPr>
          <w:spacing w:val="-7"/>
          <w:sz w:val="24"/>
        </w:rPr>
        <w:t> </w:t>
      </w:r>
      <w:r>
        <w:rPr>
          <w:sz w:val="24"/>
        </w:rPr>
        <w:t>be</w:t>
      </w:r>
      <w:r>
        <w:rPr>
          <w:spacing w:val="-7"/>
          <w:sz w:val="24"/>
        </w:rPr>
        <w:t> </w:t>
      </w:r>
      <w:r>
        <w:rPr>
          <w:sz w:val="24"/>
        </w:rPr>
        <w:t>entitled</w:t>
      </w:r>
      <w:r>
        <w:rPr>
          <w:spacing w:val="-7"/>
          <w:sz w:val="24"/>
        </w:rPr>
        <w:t> </w:t>
      </w:r>
      <w:r>
        <w:rPr>
          <w:sz w:val="24"/>
        </w:rPr>
        <w:t>to</w:t>
      </w:r>
      <w:r>
        <w:rPr>
          <w:spacing w:val="-7"/>
          <w:sz w:val="24"/>
        </w:rPr>
        <w:t> </w:t>
      </w:r>
      <w:r>
        <w:rPr>
          <w:sz w:val="24"/>
        </w:rPr>
        <w:t>a</w:t>
      </w:r>
      <w:r>
        <w:rPr>
          <w:spacing w:val="-5"/>
          <w:sz w:val="24"/>
        </w:rPr>
        <w:t> </w:t>
      </w:r>
      <w:r>
        <w:rPr>
          <w:sz w:val="24"/>
        </w:rPr>
        <w:t>tenement</w:t>
      </w:r>
      <w:r>
        <w:rPr>
          <w:spacing w:val="-7"/>
          <w:sz w:val="24"/>
        </w:rPr>
        <w:t> </w:t>
      </w:r>
      <w:r>
        <w:rPr>
          <w:sz w:val="24"/>
        </w:rPr>
        <w:t>of</w:t>
      </w:r>
      <w:r>
        <w:rPr>
          <w:spacing w:val="-7"/>
          <w:sz w:val="24"/>
        </w:rPr>
        <w:t> </w:t>
      </w:r>
      <w:r>
        <w:rPr>
          <w:sz w:val="24"/>
        </w:rPr>
        <w:t>carpet</w:t>
      </w:r>
      <w:r>
        <w:rPr>
          <w:spacing w:val="-7"/>
          <w:sz w:val="24"/>
        </w:rPr>
        <w:t> </w:t>
      </w:r>
      <w:r>
        <w:rPr>
          <w:sz w:val="24"/>
        </w:rPr>
        <w:t>area</w:t>
      </w:r>
      <w:r>
        <w:rPr>
          <w:spacing w:val="-7"/>
          <w:sz w:val="24"/>
        </w:rPr>
        <w:t> </w:t>
      </w:r>
      <w:r>
        <w:rPr>
          <w:sz w:val="24"/>
        </w:rPr>
        <w:t>of</w:t>
      </w:r>
      <w:r>
        <w:rPr>
          <w:spacing w:val="-7"/>
          <w:sz w:val="24"/>
        </w:rPr>
        <w:t> </w:t>
      </w:r>
      <w:r>
        <w:rPr>
          <w:sz w:val="24"/>
        </w:rPr>
        <w:t>27.88</w:t>
      </w:r>
      <w:r>
        <w:rPr>
          <w:spacing w:val="-7"/>
          <w:sz w:val="24"/>
        </w:rPr>
        <w:t> </w:t>
      </w:r>
      <w:r>
        <w:rPr>
          <w:sz w:val="24"/>
        </w:rPr>
        <w:t>sq.</w:t>
      </w:r>
      <w:r>
        <w:rPr>
          <w:spacing w:val="-7"/>
          <w:sz w:val="24"/>
        </w:rPr>
        <w:t> </w:t>
      </w:r>
      <w:r>
        <w:rPr>
          <w:sz w:val="24"/>
        </w:rPr>
        <w:t>m</w:t>
      </w:r>
      <w:r>
        <w:rPr>
          <w:spacing w:val="-7"/>
          <w:sz w:val="24"/>
        </w:rPr>
        <w:t> </w:t>
      </w:r>
      <w:r>
        <w:rPr>
          <w:sz w:val="24"/>
        </w:rPr>
        <w:t>(300</w:t>
      </w:r>
      <w:r>
        <w:rPr>
          <w:spacing w:val="-7"/>
          <w:sz w:val="24"/>
        </w:rPr>
        <w:t> </w:t>
      </w:r>
      <w:r>
        <w:rPr>
          <w:sz w:val="24"/>
        </w:rPr>
        <w:t>sq.</w:t>
      </w:r>
      <w:r>
        <w:rPr>
          <w:spacing w:val="-7"/>
          <w:sz w:val="24"/>
        </w:rPr>
        <w:t> </w:t>
      </w:r>
      <w:r>
        <w:rPr>
          <w:sz w:val="24"/>
        </w:rPr>
        <w:t>ft.) </w:t>
      </w:r>
      <w:r>
        <w:rPr>
          <w:spacing w:val="-4"/>
          <w:sz w:val="24"/>
        </w:rPr>
        <w:t>and</w:t>
      </w:r>
    </w:p>
    <w:p>
      <w:pPr>
        <w:pStyle w:val="ListParagraph"/>
        <w:numPr>
          <w:ilvl w:val="0"/>
          <w:numId w:val="165"/>
        </w:numPr>
        <w:tabs>
          <w:tab w:pos="2353" w:val="left" w:leader="none"/>
        </w:tabs>
        <w:spacing w:line="240" w:lineRule="auto" w:before="120" w:after="0"/>
        <w:ind w:left="1342" w:right="768" w:firstLine="719"/>
        <w:jc w:val="both"/>
        <w:rPr>
          <w:sz w:val="24"/>
        </w:rPr>
      </w:pPr>
      <w:r>
        <w:rPr>
          <w:sz w:val="24"/>
        </w:rPr>
        <w:t>Existing or max20.90 sq.m whichever is less in case of non- </w:t>
      </w:r>
      <w:r>
        <w:rPr>
          <w:spacing w:val="-2"/>
          <w:sz w:val="24"/>
        </w:rPr>
        <w:t>residential.</w:t>
      </w:r>
    </w:p>
    <w:p>
      <w:pPr>
        <w:pStyle w:val="ListParagraph"/>
        <w:numPr>
          <w:ilvl w:val="0"/>
          <w:numId w:val="165"/>
        </w:numPr>
        <w:tabs>
          <w:tab w:pos="2440" w:val="left" w:leader="none"/>
        </w:tabs>
        <w:spacing w:line="240" w:lineRule="auto" w:before="238" w:after="0"/>
        <w:ind w:left="2062" w:right="769" w:firstLine="0"/>
        <w:jc w:val="both"/>
        <w:rPr>
          <w:sz w:val="24"/>
        </w:rPr>
      </w:pPr>
      <w:r>
        <w:rPr>
          <w:sz w:val="24"/>
        </w:rPr>
        <w:t>For purpose of existing "Carpet area"/ rehabilitation “carpet area” means the net usable floor area within a tenement excluding that covered</w:t>
      </w:r>
      <w:r>
        <w:rPr>
          <w:spacing w:val="-6"/>
          <w:sz w:val="24"/>
        </w:rPr>
        <w:t> </w:t>
      </w:r>
      <w:r>
        <w:rPr>
          <w:sz w:val="24"/>
        </w:rPr>
        <w:t>by</w:t>
      </w:r>
      <w:r>
        <w:rPr>
          <w:spacing w:val="-6"/>
          <w:sz w:val="24"/>
        </w:rPr>
        <w:t> </w:t>
      </w:r>
      <w:r>
        <w:rPr>
          <w:sz w:val="24"/>
        </w:rPr>
        <w:t>the</w:t>
      </w:r>
      <w:r>
        <w:rPr>
          <w:spacing w:val="-6"/>
          <w:sz w:val="24"/>
        </w:rPr>
        <w:t> </w:t>
      </w:r>
      <w:r>
        <w:rPr>
          <w:sz w:val="24"/>
        </w:rPr>
        <w:t>walls</w:t>
      </w:r>
      <w:r>
        <w:rPr>
          <w:spacing w:val="-1"/>
          <w:sz w:val="24"/>
        </w:rPr>
        <w:t> </w:t>
      </w:r>
      <w:r>
        <w:rPr>
          <w:sz w:val="24"/>
        </w:rPr>
        <w:t>or</w:t>
      </w:r>
      <w:r>
        <w:rPr>
          <w:spacing w:val="-6"/>
          <w:sz w:val="24"/>
        </w:rPr>
        <w:t> </w:t>
      </w:r>
      <w:r>
        <w:rPr>
          <w:sz w:val="24"/>
        </w:rPr>
        <w:t>any</w:t>
      </w:r>
      <w:r>
        <w:rPr>
          <w:spacing w:val="-6"/>
          <w:sz w:val="24"/>
        </w:rPr>
        <w:t> </w:t>
      </w:r>
      <w:r>
        <w:rPr>
          <w:sz w:val="24"/>
        </w:rPr>
        <w:t>other</w:t>
      </w:r>
      <w:r>
        <w:rPr>
          <w:spacing w:val="-6"/>
          <w:sz w:val="24"/>
        </w:rPr>
        <w:t> </w:t>
      </w:r>
      <w:r>
        <w:rPr>
          <w:sz w:val="24"/>
        </w:rPr>
        <w:t>areas</w:t>
      </w:r>
      <w:r>
        <w:rPr>
          <w:spacing w:val="-4"/>
          <w:sz w:val="24"/>
        </w:rPr>
        <w:t> </w:t>
      </w:r>
      <w:r>
        <w:rPr>
          <w:sz w:val="24"/>
        </w:rPr>
        <w:t>specifically</w:t>
      </w:r>
      <w:r>
        <w:rPr>
          <w:spacing w:val="-6"/>
          <w:sz w:val="24"/>
        </w:rPr>
        <w:t> </w:t>
      </w:r>
      <w:r>
        <w:rPr>
          <w:sz w:val="24"/>
        </w:rPr>
        <w:t>exempted</w:t>
      </w:r>
      <w:r>
        <w:rPr>
          <w:spacing w:val="-3"/>
          <w:sz w:val="24"/>
        </w:rPr>
        <w:t> </w:t>
      </w:r>
      <w:r>
        <w:rPr>
          <w:sz w:val="24"/>
        </w:rPr>
        <w:t>from</w:t>
      </w:r>
      <w:r>
        <w:rPr>
          <w:spacing w:val="-6"/>
          <w:sz w:val="24"/>
        </w:rPr>
        <w:t> </w:t>
      </w:r>
      <w:r>
        <w:rPr>
          <w:sz w:val="24"/>
        </w:rPr>
        <w:t>floor space index computation as per then/prevailing Regulation but including the areas of balcony if allowed free of FSI as per then </w:t>
      </w:r>
      <w:r>
        <w:rPr>
          <w:spacing w:val="-2"/>
          <w:sz w:val="24"/>
        </w:rPr>
        <w:t>Regulation</w:t>
      </w:r>
    </w:p>
    <w:p>
      <w:pPr>
        <w:pStyle w:val="ListParagraph"/>
        <w:spacing w:after="0" w:line="240" w:lineRule="auto"/>
        <w:jc w:val="both"/>
        <w:rPr>
          <w:sz w:val="24"/>
        </w:rPr>
        <w:sectPr>
          <w:pgSz w:w="11910" w:h="16840"/>
          <w:pgMar w:header="1065" w:footer="1194" w:top="1500" w:bottom="1380" w:left="360" w:right="360"/>
        </w:sectPr>
      </w:pPr>
    </w:p>
    <w:p>
      <w:pPr>
        <w:pStyle w:val="Heading6"/>
        <w:numPr>
          <w:ilvl w:val="0"/>
          <w:numId w:val="138"/>
        </w:numPr>
        <w:tabs>
          <w:tab w:pos="2364" w:val="left" w:leader="none"/>
        </w:tabs>
        <w:spacing w:line="240" w:lineRule="auto" w:before="247" w:after="0"/>
        <w:ind w:left="2364" w:right="0" w:hanging="302"/>
        <w:jc w:val="both"/>
        <w:rPr>
          <w:b w:val="0"/>
          <w:i w:val="0"/>
        </w:rPr>
      </w:pPr>
      <w:r>
        <w:rPr/>
        <w:t>Total</w:t>
      </w:r>
      <w:r>
        <w:rPr>
          <w:spacing w:val="-3"/>
        </w:rPr>
        <w:t> </w:t>
      </w:r>
      <w:r>
        <w:rPr/>
        <w:t>Permissible</w:t>
      </w:r>
      <w:r>
        <w:rPr>
          <w:spacing w:val="-2"/>
        </w:rPr>
        <w:t> </w:t>
      </w:r>
      <w:r>
        <w:rPr/>
        <w:t>FSI</w:t>
      </w:r>
      <w:r>
        <w:rPr>
          <w:spacing w:val="-3"/>
        </w:rPr>
        <w:t> </w:t>
      </w:r>
      <w:r>
        <w:rPr/>
        <w:t>for</w:t>
      </w:r>
      <w:r>
        <w:rPr>
          <w:spacing w:val="-2"/>
        </w:rPr>
        <w:t> </w:t>
      </w:r>
      <w:r>
        <w:rPr>
          <w:i w:val="0"/>
          <w:color w:val="000000"/>
          <w:spacing w:val="-4"/>
          <w:shd w:fill="FFCCFF" w:color="auto" w:val="clear"/>
        </w:rPr>
        <w:t>CDS</w:t>
      </w:r>
      <w:r>
        <w:rPr>
          <w:color w:val="000000"/>
          <w:spacing w:val="-4"/>
          <w:shd w:fill="FFCCFF" w:color="auto" w:val="clear"/>
        </w:rPr>
        <w:t>:</w:t>
      </w:r>
    </w:p>
    <w:p>
      <w:pPr>
        <w:pStyle w:val="ListParagraph"/>
        <w:numPr>
          <w:ilvl w:val="0"/>
          <w:numId w:val="166"/>
        </w:numPr>
        <w:tabs>
          <w:tab w:pos="2344" w:val="left" w:leader="none"/>
        </w:tabs>
        <w:spacing w:line="240" w:lineRule="auto" w:before="243" w:after="0"/>
        <w:ind w:left="2062" w:right="766" w:firstLine="0"/>
        <w:jc w:val="both"/>
        <w:rPr>
          <w:sz w:val="24"/>
        </w:rPr>
      </w:pPr>
      <w:r>
        <w:rPr>
          <w:sz w:val="24"/>
        </w:rPr>
        <w:t>The</w:t>
      </w:r>
      <w:r>
        <w:rPr>
          <w:spacing w:val="-8"/>
          <w:sz w:val="24"/>
        </w:rPr>
        <w:t> </w:t>
      </w:r>
      <w:r>
        <w:rPr>
          <w:sz w:val="24"/>
        </w:rPr>
        <w:t>total</w:t>
      </w:r>
      <w:r>
        <w:rPr>
          <w:spacing w:val="-8"/>
          <w:sz w:val="24"/>
        </w:rPr>
        <w:t> </w:t>
      </w:r>
      <w:r>
        <w:rPr>
          <w:sz w:val="24"/>
        </w:rPr>
        <w:t>permissible</w:t>
      </w:r>
      <w:r>
        <w:rPr>
          <w:spacing w:val="-8"/>
          <w:sz w:val="24"/>
        </w:rPr>
        <w:t> </w:t>
      </w:r>
      <w:r>
        <w:rPr>
          <w:sz w:val="24"/>
        </w:rPr>
        <w:t>FSI</w:t>
      </w:r>
      <w:r>
        <w:rPr>
          <w:spacing w:val="-8"/>
          <w:sz w:val="24"/>
        </w:rPr>
        <w:t> </w:t>
      </w:r>
      <w:r>
        <w:rPr>
          <w:sz w:val="24"/>
        </w:rPr>
        <w:t>for</w:t>
      </w:r>
      <w:r>
        <w:rPr>
          <w:spacing w:val="-8"/>
          <w:sz w:val="24"/>
        </w:rPr>
        <w:t> </w:t>
      </w:r>
      <w:r>
        <w:rPr>
          <w:sz w:val="24"/>
        </w:rPr>
        <w:t>an</w:t>
      </w:r>
      <w:r>
        <w:rPr>
          <w:spacing w:val="-10"/>
          <w:sz w:val="24"/>
        </w:rPr>
        <w:t> </w:t>
      </w:r>
      <w:r>
        <w:rPr>
          <w:color w:val="000000"/>
          <w:sz w:val="24"/>
          <w:shd w:fill="FFCCFF" w:color="auto" w:val="clear"/>
        </w:rPr>
        <w:t>CDS</w:t>
      </w:r>
      <w:r>
        <w:rPr>
          <w:color w:val="000000"/>
          <w:spacing w:val="-8"/>
          <w:sz w:val="24"/>
        </w:rPr>
        <w:t> </w:t>
      </w:r>
      <w:r>
        <w:rPr>
          <w:color w:val="000000"/>
          <w:sz w:val="24"/>
        </w:rPr>
        <w:t>shall</w:t>
      </w:r>
      <w:r>
        <w:rPr>
          <w:color w:val="000000"/>
          <w:spacing w:val="-8"/>
          <w:sz w:val="24"/>
        </w:rPr>
        <w:t> </w:t>
      </w:r>
      <w:r>
        <w:rPr>
          <w:color w:val="000000"/>
          <w:sz w:val="24"/>
        </w:rPr>
        <w:t>be</w:t>
      </w:r>
      <w:r>
        <w:rPr>
          <w:color w:val="000000"/>
          <w:spacing w:val="-8"/>
          <w:sz w:val="24"/>
        </w:rPr>
        <w:t> </w:t>
      </w:r>
      <w:r>
        <w:rPr>
          <w:color w:val="000000"/>
          <w:sz w:val="24"/>
        </w:rPr>
        <w:t>4.00</w:t>
      </w:r>
      <w:r>
        <w:rPr>
          <w:color w:val="000000"/>
          <w:spacing w:val="-8"/>
          <w:sz w:val="24"/>
        </w:rPr>
        <w:t> </w:t>
      </w:r>
      <w:r>
        <w:rPr>
          <w:color w:val="000000"/>
          <w:sz w:val="24"/>
        </w:rPr>
        <w:t>on</w:t>
      </w:r>
      <w:r>
        <w:rPr>
          <w:color w:val="000000"/>
          <w:spacing w:val="-11"/>
          <w:sz w:val="24"/>
        </w:rPr>
        <w:t> </w:t>
      </w:r>
      <w:r>
        <w:rPr>
          <w:color w:val="000000"/>
          <w:sz w:val="24"/>
        </w:rPr>
        <w:t>gross</w:t>
      </w:r>
      <w:r>
        <w:rPr>
          <w:color w:val="000000"/>
          <w:spacing w:val="-11"/>
          <w:sz w:val="24"/>
        </w:rPr>
        <w:t> </w:t>
      </w:r>
      <w:r>
        <w:rPr>
          <w:color w:val="000000"/>
          <w:sz w:val="24"/>
        </w:rPr>
        <w:t>plot</w:t>
      </w:r>
      <w:r>
        <w:rPr>
          <w:color w:val="000000"/>
          <w:spacing w:val="-8"/>
          <w:sz w:val="24"/>
        </w:rPr>
        <w:t> </w:t>
      </w:r>
      <w:r>
        <w:rPr>
          <w:color w:val="000000"/>
          <w:sz w:val="24"/>
        </w:rPr>
        <w:t>area, but excluding the reservations/ existing amenity, road set back, area under existing Municipal Roads but including the BUA under reservation/designation,</w:t>
      </w:r>
      <w:r>
        <w:rPr>
          <w:color w:val="000000"/>
          <w:spacing w:val="-20"/>
          <w:sz w:val="24"/>
        </w:rPr>
        <w:t> </w:t>
      </w:r>
      <w:r>
        <w:rPr>
          <w:color w:val="000000"/>
          <w:sz w:val="24"/>
        </w:rPr>
        <w:t>road</w:t>
      </w:r>
      <w:r>
        <w:rPr>
          <w:color w:val="000000"/>
          <w:spacing w:val="-19"/>
          <w:sz w:val="24"/>
        </w:rPr>
        <w:t> </w:t>
      </w:r>
      <w:r>
        <w:rPr>
          <w:color w:val="000000"/>
          <w:sz w:val="24"/>
        </w:rPr>
        <w:t>set</w:t>
      </w:r>
      <w:r>
        <w:rPr>
          <w:color w:val="000000"/>
          <w:spacing w:val="-19"/>
          <w:sz w:val="24"/>
        </w:rPr>
        <w:t> </w:t>
      </w:r>
      <w:r>
        <w:rPr>
          <w:color w:val="000000"/>
          <w:sz w:val="24"/>
        </w:rPr>
        <w:t>back</w:t>
      </w:r>
      <w:r>
        <w:rPr>
          <w:color w:val="000000"/>
          <w:spacing w:val="-19"/>
          <w:sz w:val="24"/>
        </w:rPr>
        <w:t> </w:t>
      </w:r>
      <w:r>
        <w:rPr>
          <w:color w:val="000000"/>
          <w:sz w:val="24"/>
        </w:rPr>
        <w:t>or</w:t>
      </w:r>
      <w:r>
        <w:rPr>
          <w:color w:val="000000"/>
          <w:spacing w:val="-19"/>
          <w:sz w:val="24"/>
        </w:rPr>
        <w:t> </w:t>
      </w:r>
      <w:r>
        <w:rPr>
          <w:color w:val="000000"/>
          <w:sz w:val="24"/>
        </w:rPr>
        <w:t>sum</w:t>
      </w:r>
      <w:r>
        <w:rPr>
          <w:color w:val="000000"/>
          <w:spacing w:val="-20"/>
          <w:sz w:val="24"/>
        </w:rPr>
        <w:t> </w:t>
      </w:r>
      <w:r>
        <w:rPr>
          <w:color w:val="000000"/>
          <w:sz w:val="24"/>
        </w:rPr>
        <w:t>total</w:t>
      </w:r>
      <w:r>
        <w:rPr>
          <w:color w:val="000000"/>
          <w:spacing w:val="-19"/>
          <w:sz w:val="24"/>
        </w:rPr>
        <w:t> </w:t>
      </w:r>
      <w:r>
        <w:rPr>
          <w:color w:val="000000"/>
          <w:sz w:val="24"/>
        </w:rPr>
        <w:t>of</w:t>
      </w:r>
      <w:r>
        <w:rPr>
          <w:color w:val="000000"/>
          <w:spacing w:val="-19"/>
          <w:sz w:val="24"/>
        </w:rPr>
        <w:t> </w:t>
      </w:r>
      <w:r>
        <w:rPr>
          <w:color w:val="000000"/>
          <w:sz w:val="24"/>
        </w:rPr>
        <w:t>the</w:t>
      </w:r>
      <w:r>
        <w:rPr>
          <w:color w:val="000000"/>
          <w:spacing w:val="-19"/>
          <w:sz w:val="24"/>
        </w:rPr>
        <w:t> </w:t>
      </w:r>
      <w:r>
        <w:rPr>
          <w:color w:val="000000"/>
          <w:sz w:val="24"/>
        </w:rPr>
        <w:t>Rehabilitation FSI + Incentive FSI, whichever is more.</w:t>
      </w:r>
    </w:p>
    <w:p>
      <w:pPr>
        <w:pStyle w:val="BodyText"/>
        <w:spacing w:before="79"/>
        <w:jc w:val="left"/>
      </w:pPr>
    </w:p>
    <w:p>
      <w:pPr>
        <w:pStyle w:val="BodyText"/>
        <w:ind w:left="2062"/>
        <w:jc w:val="left"/>
      </w:pPr>
      <w:r>
        <w:rPr/>
        <w:t>Provided</w:t>
      </w:r>
      <w:r>
        <w:rPr>
          <w:spacing w:val="71"/>
        </w:rPr>
        <w:t> </w:t>
      </w:r>
      <w:r>
        <w:rPr/>
        <w:t>that</w:t>
      </w:r>
      <w:r>
        <w:rPr>
          <w:spacing w:val="70"/>
        </w:rPr>
        <w:t> </w:t>
      </w:r>
      <w:r>
        <w:rPr/>
        <w:t>the</w:t>
      </w:r>
      <w:r>
        <w:rPr>
          <w:spacing w:val="72"/>
        </w:rPr>
        <w:t> </w:t>
      </w:r>
      <w:r>
        <w:rPr/>
        <w:t>aforesaid</w:t>
      </w:r>
      <w:r>
        <w:rPr>
          <w:spacing w:val="71"/>
        </w:rPr>
        <w:t> </w:t>
      </w:r>
      <w:r>
        <w:rPr/>
        <w:t>FSI</w:t>
      </w:r>
      <w:r>
        <w:rPr>
          <w:spacing w:val="72"/>
        </w:rPr>
        <w:t> </w:t>
      </w:r>
      <w:r>
        <w:rPr/>
        <w:t>shall</w:t>
      </w:r>
      <w:r>
        <w:rPr>
          <w:spacing w:val="40"/>
        </w:rPr>
        <w:t> </w:t>
      </w:r>
      <w:r>
        <w:rPr/>
        <w:t>be</w:t>
      </w:r>
      <w:r>
        <w:rPr>
          <w:spacing w:val="71"/>
        </w:rPr>
        <w:t> </w:t>
      </w:r>
      <w:r>
        <w:rPr/>
        <w:t>exclusive</w:t>
      </w:r>
      <w:r>
        <w:rPr>
          <w:spacing w:val="70"/>
        </w:rPr>
        <w:t> </w:t>
      </w:r>
      <w:r>
        <w:rPr/>
        <w:t>of</w:t>
      </w:r>
      <w:r>
        <w:rPr>
          <w:spacing w:val="71"/>
        </w:rPr>
        <w:t> </w:t>
      </w:r>
      <w:r>
        <w:rPr/>
        <w:t>the</w:t>
      </w:r>
      <w:r>
        <w:rPr>
          <w:spacing w:val="70"/>
        </w:rPr>
        <w:t> </w:t>
      </w:r>
      <w:r>
        <w:rPr/>
        <w:t>Fungible Compensatory area admissible under the provision of DCR 31(3).</w:t>
      </w:r>
    </w:p>
    <w:p>
      <w:pPr>
        <w:pStyle w:val="ListParagraph"/>
        <w:numPr>
          <w:ilvl w:val="0"/>
          <w:numId w:val="166"/>
        </w:numPr>
        <w:tabs>
          <w:tab w:pos="2511" w:val="left" w:leader="none"/>
        </w:tabs>
        <w:spacing w:line="240" w:lineRule="auto" w:before="241" w:after="0"/>
        <w:ind w:left="2062" w:right="767" w:firstLine="0"/>
        <w:jc w:val="both"/>
        <w:rPr>
          <w:sz w:val="24"/>
        </w:rPr>
      </w:pPr>
      <w:r>
        <w:rPr>
          <w:sz w:val="24"/>
        </w:rPr>
        <w:t>The incentive FSI admissible against the FSI required for rehabilitation</w:t>
      </w:r>
      <w:r>
        <w:rPr>
          <w:spacing w:val="-20"/>
          <w:sz w:val="24"/>
        </w:rPr>
        <w:t> </w:t>
      </w:r>
      <w:r>
        <w:rPr>
          <w:sz w:val="24"/>
        </w:rPr>
        <w:t>shall</w:t>
      </w:r>
      <w:r>
        <w:rPr>
          <w:spacing w:val="-19"/>
          <w:sz w:val="24"/>
        </w:rPr>
        <w:t> </w:t>
      </w:r>
      <w:r>
        <w:rPr>
          <w:sz w:val="24"/>
        </w:rPr>
        <w:t>be</w:t>
      </w:r>
      <w:r>
        <w:rPr>
          <w:spacing w:val="-19"/>
          <w:sz w:val="24"/>
        </w:rPr>
        <w:t> </w:t>
      </w:r>
      <w:r>
        <w:rPr>
          <w:sz w:val="24"/>
        </w:rPr>
        <w:t>based</w:t>
      </w:r>
      <w:r>
        <w:rPr>
          <w:spacing w:val="-19"/>
          <w:sz w:val="24"/>
        </w:rPr>
        <w:t> </w:t>
      </w:r>
      <w:r>
        <w:rPr>
          <w:sz w:val="24"/>
        </w:rPr>
        <w:t>on</w:t>
      </w:r>
      <w:r>
        <w:rPr>
          <w:spacing w:val="-19"/>
          <w:sz w:val="24"/>
        </w:rPr>
        <w:t> </w:t>
      </w:r>
      <w:r>
        <w:rPr>
          <w:sz w:val="24"/>
        </w:rPr>
        <w:t>the</w:t>
      </w:r>
      <w:r>
        <w:rPr>
          <w:spacing w:val="-20"/>
          <w:sz w:val="24"/>
        </w:rPr>
        <w:t> </w:t>
      </w:r>
      <w:r>
        <w:rPr>
          <w:sz w:val="24"/>
        </w:rPr>
        <w:t>ratio</w:t>
      </w:r>
      <w:r>
        <w:rPr>
          <w:spacing w:val="-19"/>
          <w:sz w:val="24"/>
        </w:rPr>
        <w:t> </w:t>
      </w:r>
      <w:r>
        <w:rPr>
          <w:sz w:val="24"/>
        </w:rPr>
        <w:t>(hereinafter</w:t>
      </w:r>
      <w:r>
        <w:rPr>
          <w:spacing w:val="-19"/>
          <w:sz w:val="24"/>
        </w:rPr>
        <w:t> </w:t>
      </w:r>
      <w:r>
        <w:rPr>
          <w:sz w:val="24"/>
        </w:rPr>
        <w:t>referred</w:t>
      </w:r>
      <w:r>
        <w:rPr>
          <w:spacing w:val="-19"/>
          <w:sz w:val="24"/>
        </w:rPr>
        <w:t> </w:t>
      </w:r>
      <w:r>
        <w:rPr>
          <w:sz w:val="24"/>
        </w:rPr>
        <w:t>to</w:t>
      </w:r>
      <w:r>
        <w:rPr>
          <w:spacing w:val="-19"/>
          <w:sz w:val="24"/>
        </w:rPr>
        <w:t> </w:t>
      </w:r>
      <w:r>
        <w:rPr>
          <w:sz w:val="24"/>
        </w:rPr>
        <w:t>as</w:t>
      </w:r>
      <w:r>
        <w:rPr>
          <w:spacing w:val="-20"/>
          <w:sz w:val="24"/>
        </w:rPr>
        <w:t> </w:t>
      </w:r>
      <w:r>
        <w:rPr>
          <w:sz w:val="24"/>
        </w:rPr>
        <w:t>Basic Ratio)</w:t>
      </w:r>
      <w:r>
        <w:rPr>
          <w:spacing w:val="-12"/>
          <w:sz w:val="24"/>
        </w:rPr>
        <w:t> </w:t>
      </w:r>
      <w:r>
        <w:rPr>
          <w:sz w:val="24"/>
        </w:rPr>
        <w:t>of</w:t>
      </w:r>
      <w:r>
        <w:rPr>
          <w:spacing w:val="-12"/>
          <w:sz w:val="24"/>
        </w:rPr>
        <w:t> </w:t>
      </w:r>
      <w:r>
        <w:rPr>
          <w:sz w:val="24"/>
        </w:rPr>
        <w:t>Land</w:t>
      </w:r>
      <w:r>
        <w:rPr>
          <w:spacing w:val="-12"/>
          <w:sz w:val="24"/>
        </w:rPr>
        <w:t> </w:t>
      </w:r>
      <w:r>
        <w:rPr>
          <w:sz w:val="24"/>
        </w:rPr>
        <w:t>Rate</w:t>
      </w:r>
      <w:r>
        <w:rPr>
          <w:spacing w:val="-12"/>
          <w:sz w:val="24"/>
        </w:rPr>
        <w:t> </w:t>
      </w:r>
      <w:r>
        <w:rPr>
          <w:sz w:val="24"/>
        </w:rPr>
        <w:t>(LR),</w:t>
      </w:r>
      <w:r>
        <w:rPr>
          <w:spacing w:val="-12"/>
          <w:sz w:val="24"/>
        </w:rPr>
        <w:t> </w:t>
      </w:r>
      <w:r>
        <w:rPr>
          <w:sz w:val="24"/>
        </w:rPr>
        <w:t>in</w:t>
      </w:r>
      <w:r>
        <w:rPr>
          <w:spacing w:val="-12"/>
          <w:sz w:val="24"/>
        </w:rPr>
        <w:t> </w:t>
      </w:r>
      <w:r>
        <w:rPr>
          <w:sz w:val="24"/>
        </w:rPr>
        <w:t>Rs/sq.</w:t>
      </w:r>
      <w:r>
        <w:rPr>
          <w:spacing w:val="-12"/>
          <w:sz w:val="24"/>
        </w:rPr>
        <w:t> </w:t>
      </w:r>
      <w:r>
        <w:rPr>
          <w:sz w:val="24"/>
        </w:rPr>
        <w:t>m.,</w:t>
      </w:r>
      <w:r>
        <w:rPr>
          <w:spacing w:val="-12"/>
          <w:sz w:val="24"/>
        </w:rPr>
        <w:t> </w:t>
      </w:r>
      <w:r>
        <w:rPr>
          <w:sz w:val="24"/>
        </w:rPr>
        <w:t>of</w:t>
      </w:r>
      <w:r>
        <w:rPr>
          <w:spacing w:val="-10"/>
          <w:sz w:val="24"/>
        </w:rPr>
        <w:t> </w:t>
      </w:r>
      <w:r>
        <w:rPr>
          <w:sz w:val="24"/>
        </w:rPr>
        <w:t>the</w:t>
      </w:r>
      <w:r>
        <w:rPr>
          <w:spacing w:val="-12"/>
          <w:sz w:val="24"/>
        </w:rPr>
        <w:t> </w:t>
      </w:r>
      <w:r>
        <w:rPr>
          <w:sz w:val="24"/>
        </w:rPr>
        <w:t>lands</w:t>
      </w:r>
      <w:r>
        <w:rPr>
          <w:spacing w:val="-12"/>
          <w:sz w:val="24"/>
        </w:rPr>
        <w:t> </w:t>
      </w:r>
      <w:r>
        <w:rPr>
          <w:sz w:val="24"/>
        </w:rPr>
        <w:t>included</w:t>
      </w:r>
      <w:r>
        <w:rPr>
          <w:spacing w:val="-12"/>
          <w:sz w:val="24"/>
        </w:rPr>
        <w:t> </w:t>
      </w:r>
      <w:r>
        <w:rPr>
          <w:sz w:val="24"/>
        </w:rPr>
        <w:t>in</w:t>
      </w:r>
      <w:r>
        <w:rPr>
          <w:spacing w:val="-12"/>
          <w:sz w:val="24"/>
        </w:rPr>
        <w:t> </w:t>
      </w:r>
      <w:r>
        <w:rPr>
          <w:sz w:val="24"/>
        </w:rPr>
        <w:t>the</w:t>
      </w:r>
      <w:r>
        <w:rPr>
          <w:spacing w:val="-12"/>
          <w:sz w:val="24"/>
        </w:rPr>
        <w:t> </w:t>
      </w:r>
      <w:r>
        <w:rPr>
          <w:sz w:val="24"/>
        </w:rPr>
        <w:t>URC; as per the ASR and Rate of Construction (RC)* in Rs/sq. m, applicable to</w:t>
      </w:r>
      <w:r>
        <w:rPr>
          <w:spacing w:val="-2"/>
          <w:sz w:val="24"/>
        </w:rPr>
        <w:t> </w:t>
      </w:r>
      <w:r>
        <w:rPr>
          <w:sz w:val="24"/>
        </w:rPr>
        <w:t>the</w:t>
      </w:r>
      <w:r>
        <w:rPr>
          <w:spacing w:val="-2"/>
          <w:sz w:val="24"/>
        </w:rPr>
        <w:t> </w:t>
      </w:r>
      <w:r>
        <w:rPr>
          <w:sz w:val="24"/>
        </w:rPr>
        <w:t>area</w:t>
      </w:r>
      <w:r>
        <w:rPr>
          <w:spacing w:val="-2"/>
          <w:sz w:val="24"/>
        </w:rPr>
        <w:t> </w:t>
      </w:r>
      <w:r>
        <w:rPr>
          <w:sz w:val="24"/>
        </w:rPr>
        <w:t>as</w:t>
      </w:r>
      <w:r>
        <w:rPr>
          <w:spacing w:val="-2"/>
          <w:sz w:val="24"/>
        </w:rPr>
        <w:t> </w:t>
      </w:r>
      <w:r>
        <w:rPr>
          <w:sz w:val="24"/>
        </w:rPr>
        <w:t>per</w:t>
      </w:r>
      <w:r>
        <w:rPr>
          <w:spacing w:val="-2"/>
          <w:sz w:val="24"/>
        </w:rPr>
        <w:t> </w:t>
      </w:r>
      <w:r>
        <w:rPr>
          <w:sz w:val="24"/>
        </w:rPr>
        <w:t>the</w:t>
      </w:r>
      <w:r>
        <w:rPr>
          <w:spacing w:val="-2"/>
          <w:sz w:val="24"/>
        </w:rPr>
        <w:t> </w:t>
      </w:r>
      <w:r>
        <w:rPr>
          <w:sz w:val="24"/>
        </w:rPr>
        <w:t>ASR</w:t>
      </w:r>
      <w:r>
        <w:rPr>
          <w:spacing w:val="-2"/>
          <w:sz w:val="24"/>
        </w:rPr>
        <w:t> </w:t>
      </w:r>
      <w:r>
        <w:rPr>
          <w:sz w:val="24"/>
        </w:rPr>
        <w:t>and</w:t>
      </w:r>
      <w:r>
        <w:rPr>
          <w:spacing w:val="-2"/>
          <w:sz w:val="24"/>
        </w:rPr>
        <w:t> </w:t>
      </w:r>
      <w:r>
        <w:rPr>
          <w:sz w:val="24"/>
        </w:rPr>
        <w:t>shall</w:t>
      </w:r>
      <w:r>
        <w:rPr>
          <w:spacing w:val="-2"/>
          <w:sz w:val="24"/>
        </w:rPr>
        <w:t> </w:t>
      </w:r>
      <w:r>
        <w:rPr>
          <w:sz w:val="24"/>
        </w:rPr>
        <w:t>be</w:t>
      </w:r>
      <w:r>
        <w:rPr>
          <w:spacing w:val="-2"/>
          <w:sz w:val="24"/>
        </w:rPr>
        <w:t> </w:t>
      </w:r>
      <w:r>
        <w:rPr>
          <w:sz w:val="24"/>
        </w:rPr>
        <w:t>given</w:t>
      </w:r>
      <w:r>
        <w:rPr>
          <w:spacing w:val="-2"/>
          <w:sz w:val="24"/>
        </w:rPr>
        <w:t> </w:t>
      </w:r>
      <w:r>
        <w:rPr>
          <w:sz w:val="24"/>
        </w:rPr>
        <w:t>as</w:t>
      </w:r>
      <w:r>
        <w:rPr>
          <w:spacing w:val="-2"/>
          <w:sz w:val="24"/>
        </w:rPr>
        <w:t> </w:t>
      </w:r>
      <w:r>
        <w:rPr>
          <w:sz w:val="24"/>
        </w:rPr>
        <w:t>per</w:t>
      </w:r>
      <w:r>
        <w:rPr>
          <w:spacing w:val="-2"/>
          <w:sz w:val="24"/>
        </w:rPr>
        <w:t> </w:t>
      </w:r>
      <w:r>
        <w:rPr>
          <w:sz w:val="24"/>
        </w:rPr>
        <w:t>the</w:t>
      </w:r>
      <w:r>
        <w:rPr>
          <w:spacing w:val="-2"/>
          <w:sz w:val="24"/>
        </w:rPr>
        <w:t> </w:t>
      </w:r>
      <w:r>
        <w:rPr>
          <w:sz w:val="24"/>
        </w:rPr>
        <w:t>Table-B</w:t>
      </w:r>
      <w:r>
        <w:rPr>
          <w:spacing w:val="-2"/>
          <w:sz w:val="24"/>
        </w:rPr>
        <w:t> </w:t>
      </w:r>
      <w:r>
        <w:rPr>
          <w:sz w:val="24"/>
        </w:rPr>
        <w:t>below:</w:t>
      </w:r>
    </w:p>
    <w:p>
      <w:pPr>
        <w:pStyle w:val="BodyText"/>
        <w:spacing w:before="238"/>
        <w:ind w:left="2062"/>
        <w:jc w:val="left"/>
      </w:pPr>
      <w:r>
        <w:rPr>
          <w:spacing w:val="-2"/>
        </w:rPr>
        <w:t>Table-</w:t>
      </w:r>
      <w:r>
        <w:rPr>
          <w:spacing w:val="-10"/>
        </w:rPr>
        <w:t>B</w:t>
      </w:r>
    </w:p>
    <w:p>
      <w:pPr>
        <w:pStyle w:val="BodyText"/>
        <w:spacing w:before="7"/>
        <w:jc w:val="left"/>
        <w:rPr>
          <w:sz w:val="20"/>
        </w:rPr>
      </w:pPr>
    </w:p>
    <w:tbl>
      <w:tblPr>
        <w:tblW w:w="0" w:type="auto"/>
        <w:jc w:val="left"/>
        <w:tblInd w:w="1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985"/>
        <w:gridCol w:w="1558"/>
        <w:gridCol w:w="1702"/>
        <w:gridCol w:w="1400"/>
      </w:tblGrid>
      <w:tr>
        <w:trPr>
          <w:trHeight w:val="854" w:hRule="atLeast"/>
        </w:trPr>
        <w:tc>
          <w:tcPr>
            <w:tcW w:w="1260" w:type="dxa"/>
            <w:shd w:val="clear" w:color="auto" w:fill="EDEBE0"/>
          </w:tcPr>
          <w:p>
            <w:pPr>
              <w:pStyle w:val="TableParagraph"/>
              <w:spacing w:before="39"/>
              <w:ind w:left="107" w:right="45"/>
              <w:rPr>
                <w:sz w:val="22"/>
              </w:rPr>
            </w:pPr>
            <w:r>
              <w:rPr>
                <w:spacing w:val="-2"/>
                <w:sz w:val="22"/>
              </w:rPr>
              <w:t>Basic Ratio (LR/RC)*</w:t>
            </w:r>
          </w:p>
        </w:tc>
        <w:tc>
          <w:tcPr>
            <w:tcW w:w="6645" w:type="dxa"/>
            <w:gridSpan w:val="4"/>
            <w:shd w:val="clear" w:color="auto" w:fill="EDEBE0"/>
          </w:tcPr>
          <w:p>
            <w:pPr>
              <w:pStyle w:val="TableParagraph"/>
              <w:spacing w:before="37"/>
              <w:ind w:left="107"/>
              <w:rPr>
                <w:sz w:val="22"/>
              </w:rPr>
            </w:pPr>
            <w:r>
              <w:rPr>
                <w:sz w:val="22"/>
              </w:rPr>
              <w:t>Incentive</w:t>
            </w:r>
            <w:r>
              <w:rPr>
                <w:spacing w:val="-7"/>
                <w:sz w:val="22"/>
              </w:rPr>
              <w:t> </w:t>
            </w:r>
            <w:r>
              <w:rPr>
                <w:sz w:val="22"/>
              </w:rPr>
              <w:t>(As</w:t>
            </w:r>
            <w:r>
              <w:rPr>
                <w:spacing w:val="-4"/>
                <w:sz w:val="22"/>
              </w:rPr>
              <w:t> </w:t>
            </w:r>
            <w:r>
              <w:rPr>
                <w:sz w:val="22"/>
              </w:rPr>
              <w:t>%</w:t>
            </w:r>
            <w:r>
              <w:rPr>
                <w:spacing w:val="-5"/>
                <w:sz w:val="22"/>
              </w:rPr>
              <w:t> </w:t>
            </w:r>
            <w:r>
              <w:rPr>
                <w:sz w:val="22"/>
              </w:rPr>
              <w:t>of</w:t>
            </w:r>
            <w:r>
              <w:rPr>
                <w:spacing w:val="-9"/>
                <w:sz w:val="22"/>
              </w:rPr>
              <w:t> </w:t>
            </w:r>
            <w:r>
              <w:rPr>
                <w:sz w:val="22"/>
              </w:rPr>
              <w:t>Admissible</w:t>
            </w:r>
            <w:r>
              <w:rPr>
                <w:spacing w:val="-4"/>
                <w:sz w:val="22"/>
              </w:rPr>
              <w:t> </w:t>
            </w:r>
            <w:r>
              <w:rPr>
                <w:sz w:val="22"/>
              </w:rPr>
              <w:t>Rehabilitation</w:t>
            </w:r>
            <w:r>
              <w:rPr>
                <w:spacing w:val="-6"/>
                <w:sz w:val="22"/>
              </w:rPr>
              <w:t> </w:t>
            </w:r>
            <w:r>
              <w:rPr>
                <w:spacing w:val="-2"/>
                <w:sz w:val="22"/>
              </w:rPr>
              <w:t>Area)</w:t>
            </w:r>
          </w:p>
        </w:tc>
      </w:tr>
      <w:tr>
        <w:trPr>
          <w:trHeight w:val="853" w:hRule="atLeast"/>
        </w:trPr>
        <w:tc>
          <w:tcPr>
            <w:tcW w:w="1260" w:type="dxa"/>
          </w:tcPr>
          <w:p>
            <w:pPr>
              <w:pStyle w:val="TableParagraph"/>
              <w:rPr>
                <w:rFonts w:ascii="Times New Roman"/>
                <w:sz w:val="22"/>
              </w:rPr>
            </w:pPr>
          </w:p>
        </w:tc>
        <w:tc>
          <w:tcPr>
            <w:tcW w:w="1985" w:type="dxa"/>
          </w:tcPr>
          <w:p>
            <w:pPr>
              <w:pStyle w:val="TableParagraph"/>
              <w:spacing w:before="39"/>
              <w:ind w:left="107" w:right="70"/>
              <w:rPr>
                <w:sz w:val="22"/>
              </w:rPr>
            </w:pPr>
            <w:r>
              <w:rPr>
                <w:sz w:val="22"/>
              </w:rPr>
              <w:t>For 0.4ha up to 1 ha</w:t>
            </w:r>
          </w:p>
        </w:tc>
        <w:tc>
          <w:tcPr>
            <w:tcW w:w="1558" w:type="dxa"/>
          </w:tcPr>
          <w:p>
            <w:pPr>
              <w:pStyle w:val="TableParagraph"/>
              <w:spacing w:before="39"/>
              <w:ind w:left="108" w:right="90"/>
              <w:jc w:val="both"/>
              <w:rPr>
                <w:sz w:val="22"/>
              </w:rPr>
            </w:pPr>
            <w:r>
              <w:rPr>
                <w:sz w:val="22"/>
              </w:rPr>
              <w:t>More</w:t>
            </w:r>
            <w:r>
              <w:rPr>
                <w:spacing w:val="-3"/>
                <w:sz w:val="22"/>
              </w:rPr>
              <w:t> </w:t>
            </w:r>
            <w:r>
              <w:rPr>
                <w:sz w:val="22"/>
              </w:rPr>
              <w:t>than</w:t>
            </w:r>
            <w:r>
              <w:rPr>
                <w:spacing w:val="-3"/>
                <w:sz w:val="22"/>
              </w:rPr>
              <w:t> </w:t>
            </w:r>
            <w:r>
              <w:rPr>
                <w:sz w:val="22"/>
              </w:rPr>
              <w:t>1 ha up to 5 </w:t>
            </w:r>
            <w:r>
              <w:rPr>
                <w:spacing w:val="-6"/>
                <w:sz w:val="22"/>
              </w:rPr>
              <w:t>ha</w:t>
            </w:r>
          </w:p>
        </w:tc>
        <w:tc>
          <w:tcPr>
            <w:tcW w:w="1702" w:type="dxa"/>
          </w:tcPr>
          <w:p>
            <w:pPr>
              <w:pStyle w:val="TableParagraph"/>
              <w:spacing w:before="39"/>
              <w:ind w:left="108" w:right="93"/>
              <w:jc w:val="both"/>
              <w:rPr>
                <w:sz w:val="22"/>
              </w:rPr>
            </w:pPr>
            <w:r>
              <w:rPr>
                <w:sz w:val="22"/>
              </w:rPr>
              <w:t>More than 5 ha up to </w:t>
            </w:r>
            <w:r>
              <w:rPr>
                <w:sz w:val="22"/>
              </w:rPr>
              <w:t>10 </w:t>
            </w:r>
            <w:r>
              <w:rPr>
                <w:spacing w:val="-4"/>
                <w:sz w:val="22"/>
              </w:rPr>
              <w:t>ha.</w:t>
            </w:r>
          </w:p>
        </w:tc>
        <w:tc>
          <w:tcPr>
            <w:tcW w:w="1400" w:type="dxa"/>
          </w:tcPr>
          <w:p>
            <w:pPr>
              <w:pStyle w:val="TableParagraph"/>
              <w:tabs>
                <w:tab w:pos="751" w:val="left" w:leader="none"/>
              </w:tabs>
              <w:spacing w:before="39"/>
              <w:ind w:left="108" w:right="93"/>
              <w:rPr>
                <w:sz w:val="22"/>
              </w:rPr>
            </w:pPr>
            <w:r>
              <w:rPr>
                <w:spacing w:val="-4"/>
                <w:sz w:val="22"/>
              </w:rPr>
              <w:t>For</w:t>
            </w:r>
            <w:r>
              <w:rPr>
                <w:sz w:val="22"/>
              </w:rPr>
              <w:tab/>
            </w:r>
            <w:r>
              <w:rPr>
                <w:spacing w:val="-4"/>
                <w:sz w:val="22"/>
              </w:rPr>
              <w:t>more </w:t>
            </w:r>
            <w:r>
              <w:rPr>
                <w:sz w:val="22"/>
              </w:rPr>
              <w:t>than</w:t>
            </w:r>
            <w:r>
              <w:rPr>
                <w:spacing w:val="-5"/>
                <w:sz w:val="22"/>
              </w:rPr>
              <w:t> </w:t>
            </w:r>
            <w:r>
              <w:rPr>
                <w:sz w:val="22"/>
              </w:rPr>
              <w:t>10</w:t>
            </w:r>
            <w:r>
              <w:rPr>
                <w:spacing w:val="-5"/>
                <w:sz w:val="22"/>
              </w:rPr>
              <w:t> ha</w:t>
            </w:r>
          </w:p>
        </w:tc>
      </w:tr>
      <w:tr>
        <w:trPr>
          <w:trHeight w:val="597" w:hRule="atLeast"/>
        </w:trPr>
        <w:tc>
          <w:tcPr>
            <w:tcW w:w="1260" w:type="dxa"/>
          </w:tcPr>
          <w:p>
            <w:pPr>
              <w:pStyle w:val="TableParagraph"/>
              <w:spacing w:before="42"/>
              <w:ind w:left="107" w:right="494"/>
              <w:rPr>
                <w:sz w:val="22"/>
              </w:rPr>
            </w:pPr>
            <w:r>
              <w:rPr>
                <w:spacing w:val="-2"/>
                <w:sz w:val="22"/>
              </w:rPr>
              <w:t>Above </w:t>
            </w:r>
            <w:r>
              <w:rPr>
                <w:spacing w:val="-4"/>
                <w:sz w:val="22"/>
              </w:rPr>
              <w:t>6.00</w:t>
            </w:r>
          </w:p>
        </w:tc>
        <w:tc>
          <w:tcPr>
            <w:tcW w:w="1985" w:type="dxa"/>
          </w:tcPr>
          <w:p>
            <w:pPr>
              <w:pStyle w:val="TableParagraph"/>
              <w:spacing w:before="40"/>
              <w:ind w:left="10"/>
              <w:jc w:val="center"/>
              <w:rPr>
                <w:sz w:val="22"/>
              </w:rPr>
            </w:pPr>
            <w:r>
              <w:rPr>
                <w:spacing w:val="-5"/>
                <w:sz w:val="22"/>
              </w:rPr>
              <w:t>55%</w:t>
            </w:r>
          </w:p>
        </w:tc>
        <w:tc>
          <w:tcPr>
            <w:tcW w:w="1558" w:type="dxa"/>
          </w:tcPr>
          <w:p>
            <w:pPr>
              <w:pStyle w:val="TableParagraph"/>
              <w:spacing w:before="40"/>
              <w:ind w:left="14"/>
              <w:jc w:val="center"/>
              <w:rPr>
                <w:sz w:val="22"/>
              </w:rPr>
            </w:pPr>
            <w:r>
              <w:rPr>
                <w:spacing w:val="-5"/>
                <w:sz w:val="22"/>
              </w:rPr>
              <w:t>60%</w:t>
            </w:r>
          </w:p>
        </w:tc>
        <w:tc>
          <w:tcPr>
            <w:tcW w:w="1702" w:type="dxa"/>
          </w:tcPr>
          <w:p>
            <w:pPr>
              <w:pStyle w:val="TableParagraph"/>
              <w:spacing w:before="40"/>
              <w:ind w:left="9"/>
              <w:jc w:val="center"/>
              <w:rPr>
                <w:sz w:val="22"/>
              </w:rPr>
            </w:pPr>
            <w:r>
              <w:rPr>
                <w:spacing w:val="-5"/>
                <w:sz w:val="22"/>
              </w:rPr>
              <w:t>65%</w:t>
            </w:r>
          </w:p>
        </w:tc>
        <w:tc>
          <w:tcPr>
            <w:tcW w:w="1400" w:type="dxa"/>
          </w:tcPr>
          <w:p>
            <w:pPr>
              <w:pStyle w:val="TableParagraph"/>
              <w:spacing w:before="40"/>
              <w:ind w:left="11" w:right="2"/>
              <w:jc w:val="center"/>
              <w:rPr>
                <w:sz w:val="22"/>
              </w:rPr>
            </w:pPr>
            <w:r>
              <w:rPr>
                <w:spacing w:val="-5"/>
                <w:sz w:val="22"/>
              </w:rPr>
              <w:t>70%</w:t>
            </w:r>
          </w:p>
        </w:tc>
      </w:tr>
      <w:tr>
        <w:trPr>
          <w:trHeight w:val="853" w:hRule="atLeast"/>
        </w:trPr>
        <w:tc>
          <w:tcPr>
            <w:tcW w:w="1260" w:type="dxa"/>
          </w:tcPr>
          <w:p>
            <w:pPr>
              <w:pStyle w:val="TableParagraph"/>
              <w:spacing w:before="39"/>
              <w:ind w:left="107"/>
              <w:rPr>
                <w:sz w:val="22"/>
              </w:rPr>
            </w:pPr>
            <w:r>
              <w:rPr>
                <w:spacing w:val="-2"/>
                <w:sz w:val="22"/>
              </w:rPr>
              <w:t>Above</w:t>
            </w:r>
          </w:p>
          <w:p>
            <w:pPr>
              <w:pStyle w:val="TableParagraph"/>
              <w:spacing w:line="258" w:lineRule="exact" w:before="1"/>
              <w:ind w:left="107"/>
              <w:rPr>
                <w:sz w:val="22"/>
              </w:rPr>
            </w:pPr>
            <w:r>
              <w:rPr>
                <w:sz w:val="22"/>
              </w:rPr>
              <w:t>4.00</w:t>
            </w:r>
            <w:r>
              <w:rPr>
                <w:spacing w:val="79"/>
                <w:sz w:val="22"/>
              </w:rPr>
              <w:t> </w:t>
            </w:r>
            <w:r>
              <w:rPr>
                <w:spacing w:val="-5"/>
                <w:sz w:val="22"/>
              </w:rPr>
              <w:t>and</w:t>
            </w:r>
          </w:p>
          <w:p>
            <w:pPr>
              <w:pStyle w:val="TableParagraph"/>
              <w:spacing w:line="258" w:lineRule="exact"/>
              <w:ind w:left="107"/>
              <w:rPr>
                <w:sz w:val="22"/>
              </w:rPr>
            </w:pPr>
            <w:r>
              <w:rPr>
                <w:sz w:val="22"/>
              </w:rPr>
              <w:t>upto</w:t>
            </w:r>
            <w:r>
              <w:rPr>
                <w:spacing w:val="-3"/>
                <w:sz w:val="22"/>
              </w:rPr>
              <w:t> </w:t>
            </w:r>
            <w:r>
              <w:rPr>
                <w:spacing w:val="-4"/>
                <w:sz w:val="22"/>
              </w:rPr>
              <w:t>6.00</w:t>
            </w:r>
          </w:p>
        </w:tc>
        <w:tc>
          <w:tcPr>
            <w:tcW w:w="1985" w:type="dxa"/>
          </w:tcPr>
          <w:p>
            <w:pPr>
              <w:pStyle w:val="TableParagraph"/>
              <w:spacing w:before="37"/>
              <w:ind w:left="10"/>
              <w:jc w:val="center"/>
              <w:rPr>
                <w:sz w:val="22"/>
              </w:rPr>
            </w:pPr>
            <w:r>
              <w:rPr>
                <w:spacing w:val="-5"/>
                <w:sz w:val="22"/>
              </w:rPr>
              <w:t>65%</w:t>
            </w:r>
          </w:p>
        </w:tc>
        <w:tc>
          <w:tcPr>
            <w:tcW w:w="1558" w:type="dxa"/>
          </w:tcPr>
          <w:p>
            <w:pPr>
              <w:pStyle w:val="TableParagraph"/>
              <w:spacing w:before="37"/>
              <w:ind w:left="14"/>
              <w:jc w:val="center"/>
              <w:rPr>
                <w:sz w:val="22"/>
              </w:rPr>
            </w:pPr>
            <w:r>
              <w:rPr>
                <w:spacing w:val="-5"/>
                <w:sz w:val="22"/>
              </w:rPr>
              <w:t>70%</w:t>
            </w:r>
          </w:p>
        </w:tc>
        <w:tc>
          <w:tcPr>
            <w:tcW w:w="1702" w:type="dxa"/>
          </w:tcPr>
          <w:p>
            <w:pPr>
              <w:pStyle w:val="TableParagraph"/>
              <w:spacing w:before="37"/>
              <w:ind w:left="9"/>
              <w:jc w:val="center"/>
              <w:rPr>
                <w:sz w:val="22"/>
              </w:rPr>
            </w:pPr>
            <w:r>
              <w:rPr>
                <w:spacing w:val="-5"/>
                <w:sz w:val="22"/>
              </w:rPr>
              <w:t>75%</w:t>
            </w:r>
          </w:p>
        </w:tc>
        <w:tc>
          <w:tcPr>
            <w:tcW w:w="1400" w:type="dxa"/>
          </w:tcPr>
          <w:p>
            <w:pPr>
              <w:pStyle w:val="TableParagraph"/>
              <w:spacing w:before="37"/>
              <w:ind w:left="11" w:right="2"/>
              <w:jc w:val="center"/>
              <w:rPr>
                <w:sz w:val="22"/>
              </w:rPr>
            </w:pPr>
            <w:r>
              <w:rPr>
                <w:spacing w:val="-5"/>
                <w:sz w:val="22"/>
              </w:rPr>
              <w:t>80%</w:t>
            </w:r>
          </w:p>
        </w:tc>
      </w:tr>
      <w:tr>
        <w:trPr>
          <w:trHeight w:val="856" w:hRule="atLeast"/>
        </w:trPr>
        <w:tc>
          <w:tcPr>
            <w:tcW w:w="1260" w:type="dxa"/>
          </w:tcPr>
          <w:p>
            <w:pPr>
              <w:pStyle w:val="TableParagraph"/>
              <w:spacing w:line="258" w:lineRule="exact" w:before="42"/>
              <w:ind w:left="107"/>
              <w:rPr>
                <w:sz w:val="22"/>
              </w:rPr>
            </w:pPr>
            <w:r>
              <w:rPr>
                <w:spacing w:val="-2"/>
                <w:sz w:val="22"/>
              </w:rPr>
              <w:t>Above</w:t>
            </w:r>
          </w:p>
          <w:p>
            <w:pPr>
              <w:pStyle w:val="TableParagraph"/>
              <w:spacing w:line="258" w:lineRule="exact"/>
              <w:ind w:left="107"/>
              <w:rPr>
                <w:sz w:val="22"/>
              </w:rPr>
            </w:pPr>
            <w:r>
              <w:rPr>
                <w:sz w:val="22"/>
              </w:rPr>
              <w:t>2.00</w:t>
            </w:r>
            <w:r>
              <w:rPr>
                <w:spacing w:val="79"/>
                <w:sz w:val="22"/>
              </w:rPr>
              <w:t> </w:t>
            </w:r>
            <w:r>
              <w:rPr>
                <w:spacing w:val="-5"/>
                <w:sz w:val="22"/>
              </w:rPr>
              <w:t>and</w:t>
            </w:r>
          </w:p>
          <w:p>
            <w:pPr>
              <w:pStyle w:val="TableParagraph"/>
              <w:spacing w:before="1"/>
              <w:ind w:left="107"/>
              <w:rPr>
                <w:sz w:val="22"/>
              </w:rPr>
            </w:pPr>
            <w:r>
              <w:rPr>
                <w:sz w:val="22"/>
              </w:rPr>
              <w:t>upto</w:t>
            </w:r>
            <w:r>
              <w:rPr>
                <w:spacing w:val="-3"/>
                <w:sz w:val="22"/>
              </w:rPr>
              <w:t> </w:t>
            </w:r>
            <w:r>
              <w:rPr>
                <w:spacing w:val="-4"/>
                <w:sz w:val="22"/>
              </w:rPr>
              <w:t>4.00</w:t>
            </w:r>
          </w:p>
        </w:tc>
        <w:tc>
          <w:tcPr>
            <w:tcW w:w="1985" w:type="dxa"/>
          </w:tcPr>
          <w:p>
            <w:pPr>
              <w:pStyle w:val="TableParagraph"/>
              <w:spacing w:before="39"/>
              <w:ind w:left="10"/>
              <w:jc w:val="center"/>
              <w:rPr>
                <w:sz w:val="22"/>
              </w:rPr>
            </w:pPr>
            <w:r>
              <w:rPr>
                <w:spacing w:val="-5"/>
                <w:sz w:val="22"/>
              </w:rPr>
              <w:t>75%</w:t>
            </w:r>
          </w:p>
        </w:tc>
        <w:tc>
          <w:tcPr>
            <w:tcW w:w="1558" w:type="dxa"/>
          </w:tcPr>
          <w:p>
            <w:pPr>
              <w:pStyle w:val="TableParagraph"/>
              <w:spacing w:before="39"/>
              <w:ind w:left="14"/>
              <w:jc w:val="center"/>
              <w:rPr>
                <w:sz w:val="22"/>
              </w:rPr>
            </w:pPr>
            <w:r>
              <w:rPr>
                <w:spacing w:val="-5"/>
                <w:sz w:val="22"/>
              </w:rPr>
              <w:t>80%</w:t>
            </w:r>
          </w:p>
        </w:tc>
        <w:tc>
          <w:tcPr>
            <w:tcW w:w="1702" w:type="dxa"/>
          </w:tcPr>
          <w:p>
            <w:pPr>
              <w:pStyle w:val="TableParagraph"/>
              <w:spacing w:before="39"/>
              <w:ind w:left="9"/>
              <w:jc w:val="center"/>
              <w:rPr>
                <w:sz w:val="22"/>
              </w:rPr>
            </w:pPr>
            <w:r>
              <w:rPr>
                <w:spacing w:val="-5"/>
                <w:sz w:val="22"/>
              </w:rPr>
              <w:t>85%</w:t>
            </w:r>
          </w:p>
        </w:tc>
        <w:tc>
          <w:tcPr>
            <w:tcW w:w="1400" w:type="dxa"/>
          </w:tcPr>
          <w:p>
            <w:pPr>
              <w:pStyle w:val="TableParagraph"/>
              <w:spacing w:before="39"/>
              <w:ind w:left="11" w:right="2"/>
              <w:jc w:val="center"/>
              <w:rPr>
                <w:sz w:val="22"/>
              </w:rPr>
            </w:pPr>
            <w:r>
              <w:rPr>
                <w:spacing w:val="-5"/>
                <w:sz w:val="22"/>
              </w:rPr>
              <w:t>90%</w:t>
            </w:r>
          </w:p>
        </w:tc>
      </w:tr>
      <w:tr>
        <w:trPr>
          <w:trHeight w:val="597" w:hRule="atLeast"/>
        </w:trPr>
        <w:tc>
          <w:tcPr>
            <w:tcW w:w="1260" w:type="dxa"/>
          </w:tcPr>
          <w:p>
            <w:pPr>
              <w:pStyle w:val="TableParagraph"/>
              <w:spacing w:before="39"/>
              <w:ind w:left="107" w:right="298"/>
              <w:rPr>
                <w:sz w:val="22"/>
              </w:rPr>
            </w:pPr>
            <w:r>
              <w:rPr>
                <w:spacing w:val="-4"/>
                <w:sz w:val="22"/>
              </w:rPr>
              <w:t>Upto 2.00</w:t>
            </w:r>
          </w:p>
        </w:tc>
        <w:tc>
          <w:tcPr>
            <w:tcW w:w="1985" w:type="dxa"/>
          </w:tcPr>
          <w:p>
            <w:pPr>
              <w:pStyle w:val="TableParagraph"/>
              <w:spacing w:before="37"/>
              <w:ind w:left="10"/>
              <w:jc w:val="center"/>
              <w:rPr>
                <w:sz w:val="22"/>
              </w:rPr>
            </w:pPr>
            <w:r>
              <w:rPr>
                <w:spacing w:val="-5"/>
                <w:sz w:val="22"/>
              </w:rPr>
              <w:t>85%</w:t>
            </w:r>
          </w:p>
        </w:tc>
        <w:tc>
          <w:tcPr>
            <w:tcW w:w="1558" w:type="dxa"/>
          </w:tcPr>
          <w:p>
            <w:pPr>
              <w:pStyle w:val="TableParagraph"/>
              <w:spacing w:before="37"/>
              <w:ind w:left="14"/>
              <w:jc w:val="center"/>
              <w:rPr>
                <w:sz w:val="22"/>
              </w:rPr>
            </w:pPr>
            <w:r>
              <w:rPr>
                <w:spacing w:val="-5"/>
                <w:sz w:val="22"/>
              </w:rPr>
              <w:t>90%</w:t>
            </w:r>
          </w:p>
        </w:tc>
        <w:tc>
          <w:tcPr>
            <w:tcW w:w="1702" w:type="dxa"/>
          </w:tcPr>
          <w:p>
            <w:pPr>
              <w:pStyle w:val="TableParagraph"/>
              <w:spacing w:before="37"/>
              <w:ind w:left="9"/>
              <w:jc w:val="center"/>
              <w:rPr>
                <w:sz w:val="22"/>
              </w:rPr>
            </w:pPr>
            <w:r>
              <w:rPr>
                <w:spacing w:val="-5"/>
                <w:sz w:val="22"/>
              </w:rPr>
              <w:t>95%</w:t>
            </w:r>
          </w:p>
        </w:tc>
        <w:tc>
          <w:tcPr>
            <w:tcW w:w="1400" w:type="dxa"/>
          </w:tcPr>
          <w:p>
            <w:pPr>
              <w:pStyle w:val="TableParagraph"/>
              <w:spacing w:before="37"/>
              <w:ind w:left="11"/>
              <w:jc w:val="center"/>
              <w:rPr>
                <w:sz w:val="22"/>
              </w:rPr>
            </w:pPr>
            <w:r>
              <w:rPr>
                <w:spacing w:val="-4"/>
                <w:sz w:val="22"/>
              </w:rPr>
              <w:t>100%</w:t>
            </w:r>
          </w:p>
        </w:tc>
      </w:tr>
    </w:tbl>
    <w:p>
      <w:pPr>
        <w:pStyle w:val="BodyText"/>
        <w:spacing w:before="2"/>
        <w:ind w:left="2062"/>
        <w:jc w:val="left"/>
      </w:pPr>
      <w:r>
        <w:rPr/>
        <w:t>Explanation: </w:t>
      </w:r>
      <w:r>
        <w:rPr>
          <w:spacing w:val="-10"/>
        </w:rPr>
        <w:t>-</w:t>
      </w:r>
    </w:p>
    <w:p>
      <w:pPr>
        <w:pStyle w:val="BodyText"/>
        <w:spacing w:before="239"/>
        <w:ind w:left="2062" w:right="768"/>
      </w:pPr>
      <w:r>
        <w:rPr/>
        <w:t>(i) *RC is rate of construction in respect of RCC Construction andLand Rate (LR) is the rate of Open Land for FSI 1.</w:t>
      </w:r>
    </w:p>
    <w:p>
      <w:pPr>
        <w:pStyle w:val="BodyText"/>
        <w:spacing w:before="121"/>
        <w:ind w:left="2062" w:right="766" w:firstLine="720"/>
      </w:pPr>
      <w:r>
        <w:rPr/>
        <w:t>Provided further that in case there is more than one land rate applicable to different parts of the plot under the CDS, a weighted average of all the applicable rates shall be taken for calculating the Average Land Rate and the Basic Ratio.</w:t>
      </w:r>
    </w:p>
    <w:p>
      <w:pPr>
        <w:pStyle w:val="BodyText"/>
        <w:spacing w:before="119"/>
        <w:ind w:left="2062" w:right="768" w:firstLine="720"/>
      </w:pPr>
      <w:r>
        <w:rPr/>
        <w:t>Provided further that for calculation of the Basic Ratio, the Land Rate (LR) and the Rate of Construction (RC) shall be taken for the year in</w:t>
      </w:r>
      <w:r>
        <w:rPr>
          <w:spacing w:val="-10"/>
        </w:rPr>
        <w:t> </w:t>
      </w:r>
      <w:r>
        <w:rPr/>
        <w:t>which</w:t>
      </w:r>
      <w:r>
        <w:rPr>
          <w:spacing w:val="-9"/>
        </w:rPr>
        <w:t> </w:t>
      </w:r>
      <w:r>
        <w:rPr/>
        <w:t>the</w:t>
      </w:r>
      <w:r>
        <w:rPr>
          <w:spacing w:val="-9"/>
        </w:rPr>
        <w:t> </w:t>
      </w:r>
      <w:r>
        <w:rPr/>
        <w:t>Cluster</w:t>
      </w:r>
      <w:r>
        <w:rPr>
          <w:spacing w:val="-7"/>
        </w:rPr>
        <w:t> </w:t>
      </w:r>
      <w:r>
        <w:rPr/>
        <w:t>Development</w:t>
      </w:r>
      <w:r>
        <w:rPr>
          <w:spacing w:val="-9"/>
        </w:rPr>
        <w:t> </w:t>
      </w:r>
      <w:r>
        <w:rPr/>
        <w:t>Project</w:t>
      </w:r>
      <w:r>
        <w:rPr>
          <w:spacing w:val="-9"/>
        </w:rPr>
        <w:t> </w:t>
      </w:r>
      <w:r>
        <w:rPr/>
        <w:t>is</w:t>
      </w:r>
      <w:r>
        <w:rPr>
          <w:spacing w:val="-9"/>
        </w:rPr>
        <w:t> </w:t>
      </w:r>
      <w:r>
        <w:rPr/>
        <w:t>approved</w:t>
      </w:r>
      <w:r>
        <w:rPr>
          <w:spacing w:val="-10"/>
        </w:rPr>
        <w:t> </w:t>
      </w:r>
      <w:r>
        <w:rPr/>
        <w:t>and</w:t>
      </w:r>
      <w:r>
        <w:rPr>
          <w:spacing w:val="-9"/>
        </w:rPr>
        <w:t> </w:t>
      </w:r>
      <w:r>
        <w:rPr/>
        <w:t>LOI</w:t>
      </w:r>
      <w:r>
        <w:rPr>
          <w:spacing w:val="-6"/>
        </w:rPr>
        <w:t> </w:t>
      </w:r>
      <w:r>
        <w:rPr/>
        <w:t>is</w:t>
      </w:r>
      <w:r>
        <w:rPr>
          <w:spacing w:val="-9"/>
        </w:rPr>
        <w:t> </w:t>
      </w:r>
      <w:r>
        <w:rPr>
          <w:spacing w:val="-2"/>
        </w:rPr>
        <w:t>issued</w:t>
      </w:r>
    </w:p>
    <w:p>
      <w:pPr>
        <w:pStyle w:val="BodyText"/>
        <w:spacing w:after="0"/>
        <w:sectPr>
          <w:pgSz w:w="11910" w:h="16840"/>
          <w:pgMar w:header="1065" w:footer="1194" w:top="1500" w:bottom="1380" w:left="360" w:right="360"/>
        </w:sectPr>
      </w:pPr>
    </w:p>
    <w:p>
      <w:pPr>
        <w:pStyle w:val="BodyText"/>
        <w:spacing w:before="249"/>
        <w:ind w:left="2062" w:right="768"/>
      </w:pPr>
      <w:r>
        <w:rPr/>
        <w:t>by</w:t>
      </w:r>
      <w:r>
        <w:rPr>
          <w:spacing w:val="-13"/>
        </w:rPr>
        <w:t> </w:t>
      </w:r>
      <w:r>
        <w:rPr/>
        <w:t>the</w:t>
      </w:r>
      <w:r>
        <w:rPr>
          <w:spacing w:val="-13"/>
        </w:rPr>
        <w:t> </w:t>
      </w:r>
      <w:r>
        <w:rPr/>
        <w:t>Authority</w:t>
      </w:r>
      <w:r>
        <w:rPr>
          <w:spacing w:val="-13"/>
        </w:rPr>
        <w:t> </w:t>
      </w:r>
      <w:r>
        <w:rPr/>
        <w:t>competent</w:t>
      </w:r>
      <w:r>
        <w:rPr>
          <w:spacing w:val="-13"/>
        </w:rPr>
        <w:t> </w:t>
      </w:r>
      <w:r>
        <w:rPr/>
        <w:t>to</w:t>
      </w:r>
      <w:r>
        <w:rPr>
          <w:spacing w:val="-13"/>
        </w:rPr>
        <w:t> </w:t>
      </w:r>
      <w:r>
        <w:rPr/>
        <w:t>approve</w:t>
      </w:r>
      <w:r>
        <w:rPr>
          <w:spacing w:val="-13"/>
        </w:rPr>
        <w:t> </w:t>
      </w:r>
      <w:r>
        <w:rPr/>
        <w:t>it</w:t>
      </w:r>
      <w:r>
        <w:rPr>
          <w:spacing w:val="-11"/>
        </w:rPr>
        <w:t> </w:t>
      </w:r>
      <w:r>
        <w:rPr/>
        <w:t>and</w:t>
      </w:r>
      <w:r>
        <w:rPr>
          <w:spacing w:val="-13"/>
        </w:rPr>
        <w:t> </w:t>
      </w:r>
      <w:r>
        <w:rPr/>
        <w:t>the</w:t>
      </w:r>
      <w:r>
        <w:rPr>
          <w:spacing w:val="-13"/>
        </w:rPr>
        <w:t> </w:t>
      </w:r>
      <w:r>
        <w:rPr/>
        <w:t>said</w:t>
      </w:r>
      <w:r>
        <w:rPr>
          <w:spacing w:val="-13"/>
        </w:rPr>
        <w:t> </w:t>
      </w:r>
      <w:r>
        <w:rPr/>
        <w:t>ratio</w:t>
      </w:r>
      <w:r>
        <w:rPr>
          <w:spacing w:val="-13"/>
        </w:rPr>
        <w:t> </w:t>
      </w:r>
      <w:r>
        <w:rPr/>
        <w:t>shall</w:t>
      </w:r>
      <w:r>
        <w:rPr>
          <w:spacing w:val="-13"/>
        </w:rPr>
        <w:t> </w:t>
      </w:r>
      <w:r>
        <w:rPr/>
        <w:t>remain unchanged</w:t>
      </w:r>
      <w:r>
        <w:rPr>
          <w:spacing w:val="-11"/>
        </w:rPr>
        <w:t> </w:t>
      </w:r>
      <w:r>
        <w:rPr/>
        <w:t>even</w:t>
      </w:r>
      <w:r>
        <w:rPr>
          <w:spacing w:val="-11"/>
        </w:rPr>
        <w:t> </w:t>
      </w:r>
      <w:r>
        <w:rPr/>
        <w:t>if</w:t>
      </w:r>
      <w:r>
        <w:rPr>
          <w:spacing w:val="-11"/>
        </w:rPr>
        <w:t> </w:t>
      </w:r>
      <w:r>
        <w:rPr/>
        <w:t>such</w:t>
      </w:r>
      <w:r>
        <w:rPr>
          <w:spacing w:val="-11"/>
        </w:rPr>
        <w:t> </w:t>
      </w:r>
      <w:r>
        <w:rPr/>
        <w:t>Scheme</w:t>
      </w:r>
      <w:r>
        <w:rPr>
          <w:spacing w:val="-11"/>
        </w:rPr>
        <w:t> </w:t>
      </w:r>
      <w:r>
        <w:rPr/>
        <w:t>undergoes</w:t>
      </w:r>
      <w:r>
        <w:rPr>
          <w:spacing w:val="-11"/>
        </w:rPr>
        <w:t> </w:t>
      </w:r>
      <w:r>
        <w:rPr/>
        <w:t>any</w:t>
      </w:r>
      <w:r>
        <w:rPr>
          <w:spacing w:val="-11"/>
        </w:rPr>
        <w:t> </w:t>
      </w:r>
      <w:r>
        <w:rPr/>
        <w:t>revision</w:t>
      </w:r>
      <w:r>
        <w:rPr>
          <w:spacing w:val="-11"/>
        </w:rPr>
        <w:t> </w:t>
      </w:r>
      <w:r>
        <w:rPr/>
        <w:t>or</w:t>
      </w:r>
      <w:r>
        <w:rPr>
          <w:spacing w:val="-11"/>
        </w:rPr>
        <w:t> </w:t>
      </w:r>
      <w:r>
        <w:rPr/>
        <w:t>modification subsequently during its course of completion.</w:t>
      </w:r>
    </w:p>
    <w:p>
      <w:pPr>
        <w:pStyle w:val="BodyText"/>
        <w:spacing w:before="122"/>
        <w:ind w:left="2062" w:right="766" w:firstLine="720"/>
      </w:pPr>
      <w:r>
        <w:rPr/>
        <w:t>Provided</w:t>
      </w:r>
      <w:r>
        <w:rPr>
          <w:spacing w:val="-2"/>
        </w:rPr>
        <w:t> </w:t>
      </w:r>
      <w:r>
        <w:rPr/>
        <w:t>further</w:t>
      </w:r>
      <w:r>
        <w:rPr>
          <w:spacing w:val="-2"/>
        </w:rPr>
        <w:t> </w:t>
      </w:r>
      <w:r>
        <w:rPr/>
        <w:t>that</w:t>
      </w:r>
      <w:r>
        <w:rPr>
          <w:spacing w:val="-2"/>
        </w:rPr>
        <w:t> </w:t>
      </w:r>
      <w:r>
        <w:rPr/>
        <w:t>if</w:t>
      </w:r>
      <w:r>
        <w:rPr>
          <w:spacing w:val="-2"/>
        </w:rPr>
        <w:t> </w:t>
      </w:r>
      <w:r>
        <w:rPr/>
        <w:t>any</w:t>
      </w:r>
      <w:r>
        <w:rPr>
          <w:spacing w:val="-2"/>
        </w:rPr>
        <w:t> </w:t>
      </w:r>
      <w:r>
        <w:rPr/>
        <w:t>new area</w:t>
      </w:r>
      <w:r>
        <w:rPr>
          <w:spacing w:val="-2"/>
        </w:rPr>
        <w:t> </w:t>
      </w:r>
      <w:r>
        <w:rPr/>
        <w:t>is allowed</w:t>
      </w:r>
      <w:r>
        <w:rPr>
          <w:spacing w:val="-2"/>
        </w:rPr>
        <w:t> </w:t>
      </w:r>
      <w:r>
        <w:rPr/>
        <w:t>to</w:t>
      </w:r>
      <w:r>
        <w:rPr>
          <w:spacing w:val="-2"/>
        </w:rPr>
        <w:t> </w:t>
      </w:r>
      <w:r>
        <w:rPr/>
        <w:t>be</w:t>
      </w:r>
      <w:r>
        <w:rPr>
          <w:spacing w:val="-2"/>
        </w:rPr>
        <w:t> </w:t>
      </w:r>
      <w:r>
        <w:rPr/>
        <w:t>added to</w:t>
      </w:r>
      <w:r>
        <w:rPr>
          <w:spacing w:val="-2"/>
        </w:rPr>
        <w:t> </w:t>
      </w:r>
      <w:r>
        <w:rPr/>
        <w:t>or deleted</w:t>
      </w:r>
      <w:r>
        <w:rPr>
          <w:spacing w:val="-13"/>
        </w:rPr>
        <w:t> </w:t>
      </w:r>
      <w:r>
        <w:rPr/>
        <w:t>from</w:t>
      </w:r>
      <w:r>
        <w:rPr>
          <w:spacing w:val="-13"/>
        </w:rPr>
        <w:t> </w:t>
      </w:r>
      <w:r>
        <w:rPr/>
        <w:t>the</w:t>
      </w:r>
      <w:r>
        <w:rPr>
          <w:spacing w:val="-13"/>
        </w:rPr>
        <w:t> </w:t>
      </w:r>
      <w:r>
        <w:rPr/>
        <w:t>CDS</w:t>
      </w:r>
      <w:r>
        <w:rPr>
          <w:spacing w:val="-13"/>
        </w:rPr>
        <w:t> </w:t>
      </w:r>
      <w:r>
        <w:rPr/>
        <w:t>after</w:t>
      </w:r>
      <w:r>
        <w:rPr>
          <w:spacing w:val="-13"/>
        </w:rPr>
        <w:t> </w:t>
      </w:r>
      <w:r>
        <w:rPr/>
        <w:t>such</w:t>
      </w:r>
      <w:r>
        <w:rPr>
          <w:spacing w:val="-13"/>
        </w:rPr>
        <w:t> </w:t>
      </w:r>
      <w:r>
        <w:rPr/>
        <w:t>Scheme</w:t>
      </w:r>
      <w:r>
        <w:rPr>
          <w:spacing w:val="-18"/>
        </w:rPr>
        <w:t> </w:t>
      </w:r>
      <w:r>
        <w:rPr/>
        <w:t>has</w:t>
      </w:r>
      <w:r>
        <w:rPr>
          <w:spacing w:val="-13"/>
        </w:rPr>
        <w:t> </w:t>
      </w:r>
      <w:r>
        <w:rPr/>
        <w:t>been</w:t>
      </w:r>
      <w:r>
        <w:rPr>
          <w:spacing w:val="-13"/>
        </w:rPr>
        <w:t> </w:t>
      </w:r>
      <w:r>
        <w:rPr/>
        <w:t>approved</w:t>
      </w:r>
      <w:r>
        <w:rPr>
          <w:spacing w:val="-13"/>
        </w:rPr>
        <w:t> </w:t>
      </w:r>
      <w:r>
        <w:rPr/>
        <w:t>and</w:t>
      </w:r>
      <w:r>
        <w:rPr>
          <w:spacing w:val="-13"/>
        </w:rPr>
        <w:t> </w:t>
      </w:r>
      <w:r>
        <w:rPr/>
        <w:t>if</w:t>
      </w:r>
      <w:r>
        <w:rPr>
          <w:spacing w:val="-13"/>
        </w:rPr>
        <w:t> </w:t>
      </w:r>
      <w:r>
        <w:rPr/>
        <w:t>there is change in the slab prescribed above, the incentive FSI for the total area of the revised Scheme shall be determined as per the new slab.Provided</w:t>
      </w:r>
      <w:r>
        <w:rPr>
          <w:spacing w:val="-6"/>
        </w:rPr>
        <w:t> </w:t>
      </w:r>
      <w:r>
        <w:rPr/>
        <w:t>further</w:t>
      </w:r>
      <w:r>
        <w:rPr>
          <w:spacing w:val="-6"/>
        </w:rPr>
        <w:t> </w:t>
      </w:r>
      <w:r>
        <w:rPr/>
        <w:t>that</w:t>
      </w:r>
      <w:r>
        <w:rPr>
          <w:spacing w:val="-6"/>
        </w:rPr>
        <w:t> </w:t>
      </w:r>
      <w:r>
        <w:rPr/>
        <w:t>any</w:t>
      </w:r>
      <w:r>
        <w:rPr>
          <w:spacing w:val="-6"/>
        </w:rPr>
        <w:t> </w:t>
      </w:r>
      <w:r>
        <w:rPr/>
        <w:t>new</w:t>
      </w:r>
      <w:r>
        <w:rPr>
          <w:spacing w:val="-6"/>
        </w:rPr>
        <w:t> </w:t>
      </w:r>
      <w:r>
        <w:rPr/>
        <w:t>area</w:t>
      </w:r>
      <w:r>
        <w:rPr>
          <w:spacing w:val="-10"/>
        </w:rPr>
        <w:t> </w:t>
      </w:r>
      <w:r>
        <w:rPr/>
        <w:t>being</w:t>
      </w:r>
      <w:r>
        <w:rPr>
          <w:spacing w:val="-6"/>
        </w:rPr>
        <w:t> </w:t>
      </w:r>
      <w:r>
        <w:rPr/>
        <w:t>added</w:t>
      </w:r>
      <w:r>
        <w:rPr>
          <w:spacing w:val="-6"/>
        </w:rPr>
        <w:t> </w:t>
      </w:r>
      <w:r>
        <w:rPr/>
        <w:t>to</w:t>
      </w:r>
      <w:r>
        <w:rPr>
          <w:spacing w:val="-6"/>
        </w:rPr>
        <w:t> </w:t>
      </w:r>
      <w:r>
        <w:rPr/>
        <w:t>a</w:t>
      </w:r>
      <w:r>
        <w:rPr>
          <w:spacing w:val="-5"/>
        </w:rPr>
        <w:t> </w:t>
      </w:r>
      <w:r>
        <w:rPr/>
        <w:t>CDS</w:t>
      </w:r>
      <w:r>
        <w:rPr>
          <w:spacing w:val="-6"/>
        </w:rPr>
        <w:t> </w:t>
      </w:r>
      <w:r>
        <w:rPr/>
        <w:t>shall</w:t>
      </w:r>
      <w:r>
        <w:rPr>
          <w:spacing w:val="-6"/>
        </w:rPr>
        <w:t> </w:t>
      </w:r>
      <w:r>
        <w:rPr/>
        <w:t>not be less than 75% of the minimum area required for CDS.</w:t>
      </w:r>
    </w:p>
    <w:p>
      <w:pPr>
        <w:pStyle w:val="BodyText"/>
        <w:spacing w:before="119"/>
        <w:ind w:left="2062" w:right="768" w:firstLine="720"/>
      </w:pPr>
      <w:r>
        <w:rPr/>
        <w:t>Provided further that augmentation of area of CD shall not be allowed after further CC has been issued in respect of more than 75% of</w:t>
      </w:r>
      <w:r>
        <w:rPr>
          <w:spacing w:val="-4"/>
        </w:rPr>
        <w:t> </w:t>
      </w:r>
      <w:r>
        <w:rPr/>
        <w:t>the</w:t>
      </w:r>
      <w:r>
        <w:rPr>
          <w:spacing w:val="-5"/>
        </w:rPr>
        <w:t> </w:t>
      </w:r>
      <w:r>
        <w:rPr/>
        <w:t>total</w:t>
      </w:r>
      <w:r>
        <w:rPr>
          <w:spacing w:val="-4"/>
        </w:rPr>
        <w:t> </w:t>
      </w:r>
      <w:r>
        <w:rPr/>
        <w:t>permissible</w:t>
      </w:r>
      <w:r>
        <w:rPr>
          <w:spacing w:val="-4"/>
        </w:rPr>
        <w:t> </w:t>
      </w:r>
      <w:r>
        <w:rPr/>
        <w:t>BUA</w:t>
      </w:r>
      <w:r>
        <w:rPr>
          <w:spacing w:val="-4"/>
        </w:rPr>
        <w:t> </w:t>
      </w:r>
      <w:r>
        <w:rPr/>
        <w:t>sanctioned</w:t>
      </w:r>
      <w:r>
        <w:rPr>
          <w:spacing w:val="-4"/>
        </w:rPr>
        <w:t> </w:t>
      </w:r>
      <w:r>
        <w:rPr/>
        <w:t>under</w:t>
      </w:r>
      <w:r>
        <w:rPr>
          <w:spacing w:val="-4"/>
        </w:rPr>
        <w:t> </w:t>
      </w:r>
      <w:r>
        <w:rPr/>
        <w:t>the</w:t>
      </w:r>
      <w:r>
        <w:rPr>
          <w:spacing w:val="-4"/>
        </w:rPr>
        <w:t> </w:t>
      </w:r>
      <w:r>
        <w:rPr/>
        <w:t>original</w:t>
      </w:r>
      <w:r>
        <w:rPr>
          <w:spacing w:val="-4"/>
        </w:rPr>
        <w:t> </w:t>
      </w:r>
      <w:r>
        <w:rPr/>
        <w:t>Scheme</w:t>
      </w:r>
      <w:r>
        <w:rPr>
          <w:spacing w:val="-4"/>
        </w:rPr>
        <w:t> </w:t>
      </w:r>
      <w:r>
        <w:rPr/>
        <w:t>and there shall be no revision of individual areas as a result of such amalgamation of area. However, deletion of area from a sanctioned scheme will be permissible, provided the construction of rehabilitation component has not commenced and such deletion does not break the contiguity of the area under CDS.</w:t>
      </w:r>
    </w:p>
    <w:p>
      <w:pPr>
        <w:pStyle w:val="ListParagraph"/>
        <w:numPr>
          <w:ilvl w:val="0"/>
          <w:numId w:val="166"/>
        </w:numPr>
        <w:tabs>
          <w:tab w:pos="2062" w:val="left" w:leader="none"/>
        </w:tabs>
        <w:spacing w:line="240" w:lineRule="auto" w:before="121" w:after="0"/>
        <w:ind w:left="2062" w:right="767" w:hanging="360"/>
        <w:jc w:val="both"/>
        <w:rPr>
          <w:sz w:val="24"/>
        </w:rPr>
      </w:pPr>
      <w:r>
        <w:rPr>
          <w:sz w:val="24"/>
        </w:rPr>
        <w:t>If the total of rehabilitation FSI + incentive FSI is less than 4.00, then the Balance FSI over and above total of "rehabilitation FSI + incentive FSI" as per (b) above upto the limit of 4.00 shall be shared in terms of BUAbetween MHADA and the Promoter/Developer in accordance with Table-C below:</w:t>
      </w:r>
    </w:p>
    <w:p>
      <w:pPr>
        <w:pStyle w:val="BodyText"/>
        <w:spacing w:before="281"/>
        <w:ind w:left="1342"/>
        <w:jc w:val="left"/>
      </w:pPr>
      <w:r>
        <w:rPr>
          <w:spacing w:val="-2"/>
        </w:rPr>
        <w:t>Table-</w:t>
      </w:r>
      <w:r>
        <w:rPr>
          <w:spacing w:val="-10"/>
        </w:rPr>
        <w:t>C</w:t>
      </w:r>
    </w:p>
    <w:p>
      <w:pPr>
        <w:pStyle w:val="BodyText"/>
        <w:spacing w:before="7" w:after="1"/>
        <w:jc w:val="left"/>
        <w:rPr>
          <w:sz w:val="20"/>
        </w:rPr>
      </w:pPr>
    </w:p>
    <w:tbl>
      <w:tblPr>
        <w:tblW w:w="0" w:type="auto"/>
        <w:jc w:val="left"/>
        <w:tblInd w:w="20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5"/>
        <w:gridCol w:w="3334"/>
        <w:gridCol w:w="2386"/>
      </w:tblGrid>
      <w:tr>
        <w:trPr>
          <w:trHeight w:val="362" w:hRule="atLeast"/>
        </w:trPr>
        <w:tc>
          <w:tcPr>
            <w:tcW w:w="1945" w:type="dxa"/>
            <w:vMerge w:val="restart"/>
            <w:shd w:val="clear" w:color="auto" w:fill="EDEBE0"/>
          </w:tcPr>
          <w:p>
            <w:pPr>
              <w:pStyle w:val="TableParagraph"/>
              <w:spacing w:line="276" w:lineRule="auto" w:before="37"/>
              <w:ind w:left="107" w:right="154"/>
              <w:rPr>
                <w:sz w:val="24"/>
              </w:rPr>
            </w:pPr>
            <w:r>
              <w:rPr>
                <w:sz w:val="24"/>
              </w:rPr>
              <w:t>Basic</w:t>
            </w:r>
            <w:r>
              <w:rPr>
                <w:spacing w:val="-20"/>
                <w:sz w:val="24"/>
              </w:rPr>
              <w:t> </w:t>
            </w:r>
            <w:r>
              <w:rPr>
                <w:sz w:val="24"/>
              </w:rPr>
              <w:t>Ratio (LR / RC)*</w:t>
            </w:r>
          </w:p>
        </w:tc>
        <w:tc>
          <w:tcPr>
            <w:tcW w:w="5720" w:type="dxa"/>
            <w:gridSpan w:val="2"/>
            <w:shd w:val="clear" w:color="auto" w:fill="EDEBE0"/>
          </w:tcPr>
          <w:p>
            <w:pPr>
              <w:pStyle w:val="TableParagraph"/>
              <w:spacing w:before="37"/>
              <w:ind w:left="107"/>
              <w:rPr>
                <w:sz w:val="24"/>
              </w:rPr>
            </w:pPr>
            <w:r>
              <w:rPr>
                <w:sz w:val="24"/>
              </w:rPr>
              <w:t>Sharing of Balance </w:t>
            </w:r>
            <w:r>
              <w:rPr>
                <w:spacing w:val="-5"/>
                <w:sz w:val="24"/>
              </w:rPr>
              <w:t>FSI</w:t>
            </w:r>
          </w:p>
        </w:tc>
      </w:tr>
      <w:tr>
        <w:trPr>
          <w:trHeight w:val="359" w:hRule="atLeast"/>
        </w:trPr>
        <w:tc>
          <w:tcPr>
            <w:tcW w:w="1945" w:type="dxa"/>
            <w:vMerge/>
            <w:tcBorders>
              <w:top w:val="nil"/>
            </w:tcBorders>
            <w:shd w:val="clear" w:color="auto" w:fill="EDEBE0"/>
          </w:tcPr>
          <w:p>
            <w:pPr>
              <w:rPr>
                <w:sz w:val="2"/>
                <w:szCs w:val="2"/>
              </w:rPr>
            </w:pPr>
          </w:p>
        </w:tc>
        <w:tc>
          <w:tcPr>
            <w:tcW w:w="3334" w:type="dxa"/>
            <w:shd w:val="clear" w:color="auto" w:fill="EDEBE0"/>
          </w:tcPr>
          <w:p>
            <w:pPr>
              <w:pStyle w:val="TableParagraph"/>
              <w:spacing w:before="37"/>
              <w:ind w:left="8"/>
              <w:jc w:val="center"/>
              <w:rPr>
                <w:sz w:val="24"/>
              </w:rPr>
            </w:pPr>
            <w:r>
              <w:rPr>
                <w:sz w:val="24"/>
              </w:rPr>
              <w:t>Promoter/Developer</w:t>
            </w:r>
            <w:r>
              <w:rPr>
                <w:spacing w:val="-12"/>
                <w:sz w:val="24"/>
              </w:rPr>
              <w:t> </w:t>
            </w:r>
            <w:r>
              <w:rPr>
                <w:spacing w:val="-2"/>
                <w:sz w:val="24"/>
              </w:rPr>
              <w:t>Share</w:t>
            </w:r>
          </w:p>
        </w:tc>
        <w:tc>
          <w:tcPr>
            <w:tcW w:w="2386" w:type="dxa"/>
            <w:shd w:val="clear" w:color="auto" w:fill="EDEBE0"/>
          </w:tcPr>
          <w:p>
            <w:pPr>
              <w:pStyle w:val="TableParagraph"/>
              <w:spacing w:before="37"/>
              <w:ind w:left="107"/>
              <w:rPr>
                <w:sz w:val="24"/>
              </w:rPr>
            </w:pPr>
            <w:r>
              <w:rPr>
                <w:sz w:val="24"/>
              </w:rPr>
              <w:t>MHADA</w:t>
            </w:r>
            <w:r>
              <w:rPr>
                <w:spacing w:val="-4"/>
                <w:sz w:val="24"/>
              </w:rPr>
              <w:t> </w:t>
            </w:r>
            <w:r>
              <w:rPr>
                <w:spacing w:val="-2"/>
                <w:sz w:val="24"/>
              </w:rPr>
              <w:t>Share</w:t>
            </w:r>
          </w:p>
        </w:tc>
      </w:tr>
      <w:tr>
        <w:trPr>
          <w:trHeight w:val="362" w:hRule="atLeast"/>
        </w:trPr>
        <w:tc>
          <w:tcPr>
            <w:tcW w:w="1945" w:type="dxa"/>
          </w:tcPr>
          <w:p>
            <w:pPr>
              <w:pStyle w:val="TableParagraph"/>
              <w:spacing w:before="40"/>
              <w:ind w:left="107"/>
              <w:rPr>
                <w:sz w:val="24"/>
              </w:rPr>
            </w:pPr>
            <w:r>
              <w:rPr>
                <w:sz w:val="24"/>
              </w:rPr>
              <w:t>Above </w:t>
            </w:r>
            <w:r>
              <w:rPr>
                <w:spacing w:val="-4"/>
                <w:sz w:val="24"/>
              </w:rPr>
              <w:t>6.00</w:t>
            </w:r>
          </w:p>
        </w:tc>
        <w:tc>
          <w:tcPr>
            <w:tcW w:w="3334" w:type="dxa"/>
          </w:tcPr>
          <w:p>
            <w:pPr>
              <w:pStyle w:val="TableParagraph"/>
              <w:spacing w:before="40"/>
              <w:ind w:left="8" w:right="2"/>
              <w:jc w:val="center"/>
              <w:rPr>
                <w:sz w:val="24"/>
              </w:rPr>
            </w:pPr>
            <w:r>
              <w:rPr>
                <w:spacing w:val="-5"/>
                <w:sz w:val="24"/>
              </w:rPr>
              <w:t>30%</w:t>
            </w:r>
          </w:p>
        </w:tc>
        <w:tc>
          <w:tcPr>
            <w:tcW w:w="2386" w:type="dxa"/>
          </w:tcPr>
          <w:p>
            <w:pPr>
              <w:pStyle w:val="TableParagraph"/>
              <w:spacing w:before="40"/>
              <w:ind w:left="8"/>
              <w:jc w:val="center"/>
              <w:rPr>
                <w:sz w:val="24"/>
              </w:rPr>
            </w:pPr>
            <w:r>
              <w:rPr>
                <w:spacing w:val="-5"/>
                <w:sz w:val="24"/>
              </w:rPr>
              <w:t>70%</w:t>
            </w:r>
          </w:p>
        </w:tc>
      </w:tr>
      <w:tr>
        <w:trPr>
          <w:trHeight w:val="645" w:hRule="atLeast"/>
        </w:trPr>
        <w:tc>
          <w:tcPr>
            <w:tcW w:w="1945" w:type="dxa"/>
          </w:tcPr>
          <w:p>
            <w:pPr>
              <w:pStyle w:val="TableParagraph"/>
              <w:tabs>
                <w:tab w:pos="1312" w:val="left" w:leader="none"/>
              </w:tabs>
              <w:spacing w:line="281" w:lineRule="exact" w:before="42"/>
              <w:ind w:left="107"/>
              <w:rPr>
                <w:sz w:val="24"/>
              </w:rPr>
            </w:pPr>
            <w:r>
              <w:rPr>
                <w:spacing w:val="-2"/>
                <w:sz w:val="24"/>
              </w:rPr>
              <w:t>Above</w:t>
            </w:r>
            <w:r>
              <w:rPr>
                <w:sz w:val="24"/>
              </w:rPr>
              <w:tab/>
            </w:r>
            <w:r>
              <w:rPr>
                <w:spacing w:val="-4"/>
                <w:sz w:val="24"/>
              </w:rPr>
              <w:t>4.00</w:t>
            </w:r>
          </w:p>
          <w:p>
            <w:pPr>
              <w:pStyle w:val="TableParagraph"/>
              <w:spacing w:line="281" w:lineRule="exact"/>
              <w:ind w:left="107"/>
              <w:rPr>
                <w:sz w:val="24"/>
              </w:rPr>
            </w:pPr>
            <w:r>
              <w:rPr>
                <w:sz w:val="24"/>
              </w:rPr>
              <w:t>and</w:t>
            </w:r>
            <w:r>
              <w:rPr>
                <w:spacing w:val="-5"/>
                <w:sz w:val="24"/>
              </w:rPr>
              <w:t> </w:t>
            </w:r>
            <w:r>
              <w:rPr>
                <w:sz w:val="24"/>
              </w:rPr>
              <w:t>up</w:t>
            </w:r>
            <w:r>
              <w:rPr>
                <w:spacing w:val="-4"/>
                <w:sz w:val="24"/>
              </w:rPr>
              <w:t> </w:t>
            </w:r>
            <w:r>
              <w:rPr>
                <w:sz w:val="24"/>
              </w:rPr>
              <w:t>to</w:t>
            </w:r>
            <w:r>
              <w:rPr>
                <w:spacing w:val="-4"/>
                <w:sz w:val="24"/>
              </w:rPr>
              <w:t> 6.00</w:t>
            </w:r>
          </w:p>
        </w:tc>
        <w:tc>
          <w:tcPr>
            <w:tcW w:w="3334" w:type="dxa"/>
          </w:tcPr>
          <w:p>
            <w:pPr>
              <w:pStyle w:val="TableParagraph"/>
              <w:spacing w:before="40"/>
              <w:ind w:left="8" w:right="2"/>
              <w:jc w:val="center"/>
              <w:rPr>
                <w:sz w:val="24"/>
              </w:rPr>
            </w:pPr>
            <w:r>
              <w:rPr>
                <w:spacing w:val="-5"/>
                <w:sz w:val="24"/>
              </w:rPr>
              <w:t>35%</w:t>
            </w:r>
          </w:p>
        </w:tc>
        <w:tc>
          <w:tcPr>
            <w:tcW w:w="2386" w:type="dxa"/>
          </w:tcPr>
          <w:p>
            <w:pPr>
              <w:pStyle w:val="TableParagraph"/>
              <w:spacing w:before="40"/>
              <w:ind w:left="8"/>
              <w:jc w:val="center"/>
              <w:rPr>
                <w:sz w:val="24"/>
              </w:rPr>
            </w:pPr>
            <w:r>
              <w:rPr>
                <w:spacing w:val="-5"/>
                <w:sz w:val="24"/>
              </w:rPr>
              <w:t>65%</w:t>
            </w:r>
          </w:p>
        </w:tc>
      </w:tr>
      <w:tr>
        <w:trPr>
          <w:trHeight w:val="642" w:hRule="atLeast"/>
        </w:trPr>
        <w:tc>
          <w:tcPr>
            <w:tcW w:w="1945" w:type="dxa"/>
          </w:tcPr>
          <w:p>
            <w:pPr>
              <w:pStyle w:val="TableParagraph"/>
              <w:tabs>
                <w:tab w:pos="1312" w:val="left" w:leader="none"/>
              </w:tabs>
              <w:spacing w:line="281" w:lineRule="exact" w:before="40"/>
              <w:ind w:left="107"/>
              <w:rPr>
                <w:sz w:val="24"/>
              </w:rPr>
            </w:pPr>
            <w:r>
              <w:rPr>
                <w:spacing w:val="-2"/>
                <w:sz w:val="24"/>
              </w:rPr>
              <w:t>Above</w:t>
            </w:r>
            <w:r>
              <w:rPr>
                <w:sz w:val="24"/>
              </w:rPr>
              <w:tab/>
            </w:r>
            <w:r>
              <w:rPr>
                <w:spacing w:val="-4"/>
                <w:sz w:val="24"/>
              </w:rPr>
              <w:t>2.00</w:t>
            </w:r>
          </w:p>
          <w:p>
            <w:pPr>
              <w:pStyle w:val="TableParagraph"/>
              <w:spacing w:line="281" w:lineRule="exact"/>
              <w:ind w:left="107"/>
              <w:rPr>
                <w:sz w:val="24"/>
              </w:rPr>
            </w:pPr>
            <w:r>
              <w:rPr>
                <w:sz w:val="24"/>
              </w:rPr>
              <w:t>and</w:t>
            </w:r>
            <w:r>
              <w:rPr>
                <w:spacing w:val="-3"/>
                <w:sz w:val="24"/>
              </w:rPr>
              <w:t> </w:t>
            </w:r>
            <w:r>
              <w:rPr>
                <w:sz w:val="24"/>
              </w:rPr>
              <w:t>upto</w:t>
            </w:r>
            <w:r>
              <w:rPr>
                <w:spacing w:val="-2"/>
                <w:sz w:val="24"/>
              </w:rPr>
              <w:t> </w:t>
            </w:r>
            <w:r>
              <w:rPr>
                <w:spacing w:val="-4"/>
                <w:sz w:val="24"/>
              </w:rPr>
              <w:t>4.00</w:t>
            </w:r>
          </w:p>
        </w:tc>
        <w:tc>
          <w:tcPr>
            <w:tcW w:w="3334" w:type="dxa"/>
          </w:tcPr>
          <w:p>
            <w:pPr>
              <w:pStyle w:val="TableParagraph"/>
              <w:spacing w:before="37"/>
              <w:ind w:left="8" w:right="2"/>
              <w:jc w:val="center"/>
              <w:rPr>
                <w:sz w:val="24"/>
              </w:rPr>
            </w:pPr>
            <w:r>
              <w:rPr>
                <w:spacing w:val="-5"/>
                <w:sz w:val="24"/>
              </w:rPr>
              <w:t>40%</w:t>
            </w:r>
          </w:p>
        </w:tc>
        <w:tc>
          <w:tcPr>
            <w:tcW w:w="2386" w:type="dxa"/>
          </w:tcPr>
          <w:p>
            <w:pPr>
              <w:pStyle w:val="TableParagraph"/>
              <w:spacing w:before="37"/>
              <w:ind w:left="8"/>
              <w:jc w:val="center"/>
              <w:rPr>
                <w:sz w:val="24"/>
              </w:rPr>
            </w:pPr>
            <w:r>
              <w:rPr>
                <w:spacing w:val="-5"/>
                <w:sz w:val="24"/>
              </w:rPr>
              <w:t>60%</w:t>
            </w:r>
          </w:p>
        </w:tc>
      </w:tr>
      <w:tr>
        <w:trPr>
          <w:trHeight w:val="362" w:hRule="atLeast"/>
        </w:trPr>
        <w:tc>
          <w:tcPr>
            <w:tcW w:w="1945" w:type="dxa"/>
          </w:tcPr>
          <w:p>
            <w:pPr>
              <w:pStyle w:val="TableParagraph"/>
              <w:spacing w:before="37"/>
              <w:ind w:left="107"/>
              <w:rPr>
                <w:sz w:val="24"/>
              </w:rPr>
            </w:pPr>
            <w:r>
              <w:rPr>
                <w:sz w:val="24"/>
              </w:rPr>
              <w:t>Upto</w:t>
            </w:r>
            <w:r>
              <w:rPr>
                <w:spacing w:val="-3"/>
                <w:sz w:val="24"/>
              </w:rPr>
              <w:t> </w:t>
            </w:r>
            <w:r>
              <w:rPr>
                <w:spacing w:val="-4"/>
                <w:sz w:val="24"/>
              </w:rPr>
              <w:t>2.00</w:t>
            </w:r>
          </w:p>
        </w:tc>
        <w:tc>
          <w:tcPr>
            <w:tcW w:w="3334" w:type="dxa"/>
          </w:tcPr>
          <w:p>
            <w:pPr>
              <w:pStyle w:val="TableParagraph"/>
              <w:spacing w:before="37"/>
              <w:ind w:left="8" w:right="2"/>
              <w:jc w:val="center"/>
              <w:rPr>
                <w:sz w:val="24"/>
              </w:rPr>
            </w:pPr>
            <w:r>
              <w:rPr>
                <w:spacing w:val="-5"/>
                <w:sz w:val="24"/>
              </w:rPr>
              <w:t>45%</w:t>
            </w:r>
          </w:p>
        </w:tc>
        <w:tc>
          <w:tcPr>
            <w:tcW w:w="2386" w:type="dxa"/>
          </w:tcPr>
          <w:p>
            <w:pPr>
              <w:pStyle w:val="TableParagraph"/>
              <w:spacing w:before="37"/>
              <w:ind w:left="8"/>
              <w:jc w:val="center"/>
              <w:rPr>
                <w:sz w:val="24"/>
              </w:rPr>
            </w:pPr>
            <w:r>
              <w:rPr>
                <w:spacing w:val="-5"/>
                <w:sz w:val="24"/>
              </w:rPr>
              <w:t>55%</w:t>
            </w:r>
          </w:p>
        </w:tc>
      </w:tr>
    </w:tbl>
    <w:p>
      <w:pPr>
        <w:pStyle w:val="BodyText"/>
        <w:ind w:left="2050" w:right="770"/>
      </w:pPr>
      <w:r>
        <w:rPr/>
        <w:t>Provided that at the option of or with the approval of MHADA, the tenements coming to the share of MHADA can also be provided by the Promoter/Developer elsewhere within the sameor adjoining Municipal Ward as per the following formula:</w:t>
      </w:r>
    </w:p>
    <w:p>
      <w:pPr>
        <w:pStyle w:val="BodyText"/>
        <w:spacing w:before="240"/>
        <w:ind w:left="2062" w:right="766"/>
      </w:pPr>
      <w:r>
        <w:rPr/>
        <w:t>Area of tenements coming to MHADA's share at location 'B' in CDS = Area of tenements coming to MHADA's share at location 'A' in CDS X land</w:t>
      </w:r>
      <w:r>
        <w:rPr>
          <w:spacing w:val="-5"/>
        </w:rPr>
        <w:t> </w:t>
      </w:r>
      <w:r>
        <w:rPr/>
        <w:t>rate</w:t>
      </w:r>
      <w:r>
        <w:rPr>
          <w:spacing w:val="-5"/>
        </w:rPr>
        <w:t> </w:t>
      </w:r>
      <w:r>
        <w:rPr/>
        <w:t>as</w:t>
      </w:r>
      <w:r>
        <w:rPr>
          <w:spacing w:val="-5"/>
        </w:rPr>
        <w:t> </w:t>
      </w:r>
      <w:r>
        <w:rPr/>
        <w:t>per</w:t>
      </w:r>
      <w:r>
        <w:rPr>
          <w:spacing w:val="-5"/>
        </w:rPr>
        <w:t> </w:t>
      </w:r>
      <w:r>
        <w:rPr/>
        <w:t>ASR</w:t>
      </w:r>
      <w:r>
        <w:rPr>
          <w:spacing w:val="-7"/>
        </w:rPr>
        <w:t> </w:t>
      </w:r>
      <w:r>
        <w:rPr/>
        <w:t>value</w:t>
      </w:r>
      <w:r>
        <w:rPr>
          <w:spacing w:val="-5"/>
        </w:rPr>
        <w:t> </w:t>
      </w:r>
      <w:r>
        <w:rPr/>
        <w:t>of</w:t>
      </w:r>
      <w:r>
        <w:rPr>
          <w:spacing w:val="-5"/>
        </w:rPr>
        <w:t> </w:t>
      </w:r>
      <w:r>
        <w:rPr/>
        <w:t>location</w:t>
      </w:r>
      <w:r>
        <w:rPr>
          <w:spacing w:val="-5"/>
        </w:rPr>
        <w:t> </w:t>
      </w:r>
      <w:r>
        <w:rPr/>
        <w:t>'A'/</w:t>
      </w:r>
      <w:r>
        <w:rPr>
          <w:spacing w:val="-5"/>
        </w:rPr>
        <w:t> </w:t>
      </w:r>
      <w:r>
        <w:rPr/>
        <w:t>land</w:t>
      </w:r>
      <w:r>
        <w:rPr>
          <w:spacing w:val="-5"/>
        </w:rPr>
        <w:t> </w:t>
      </w:r>
      <w:r>
        <w:rPr/>
        <w:t>rate</w:t>
      </w:r>
      <w:r>
        <w:rPr>
          <w:spacing w:val="-5"/>
        </w:rPr>
        <w:t> </w:t>
      </w:r>
      <w:r>
        <w:rPr/>
        <w:t>as</w:t>
      </w:r>
      <w:r>
        <w:rPr>
          <w:spacing w:val="-5"/>
        </w:rPr>
        <w:t> </w:t>
      </w:r>
      <w:r>
        <w:rPr/>
        <w:t>per</w:t>
      </w:r>
      <w:r>
        <w:rPr>
          <w:spacing w:val="-5"/>
        </w:rPr>
        <w:t> </w:t>
      </w:r>
      <w:r>
        <w:rPr/>
        <w:t>ASR</w:t>
      </w:r>
      <w:r>
        <w:rPr>
          <w:spacing w:val="-5"/>
        </w:rPr>
        <w:t> </w:t>
      </w:r>
      <w:r>
        <w:rPr/>
        <w:t>value</w:t>
      </w:r>
      <w:r>
        <w:rPr>
          <w:spacing w:val="-3"/>
        </w:rPr>
        <w:t> </w:t>
      </w:r>
      <w:r>
        <w:rPr/>
        <w:t>of location 'B'</w:t>
      </w:r>
    </w:p>
    <w:p>
      <w:pPr>
        <w:pStyle w:val="BodyText"/>
        <w:spacing w:after="0"/>
        <w:sectPr>
          <w:pgSz w:w="11910" w:h="16840"/>
          <w:pgMar w:header="1065" w:footer="1194" w:top="1500" w:bottom="1380" w:left="360" w:right="360"/>
        </w:sectPr>
      </w:pPr>
    </w:p>
    <w:p>
      <w:pPr>
        <w:pStyle w:val="BodyText"/>
        <w:spacing w:before="8"/>
        <w:jc w:val="left"/>
        <w:rPr>
          <w:sz w:val="12"/>
        </w:rPr>
      </w:pPr>
    </w:p>
    <w:p>
      <w:pPr>
        <w:pStyle w:val="BodyText"/>
        <w:spacing w:after="0"/>
        <w:jc w:val="left"/>
        <w:rPr>
          <w:sz w:val="12"/>
        </w:rPr>
        <w:sectPr>
          <w:pgSz w:w="11910" w:h="16840"/>
          <w:pgMar w:header="1065" w:footer="1194" w:top="1500" w:bottom="1380" w:left="360" w:right="360"/>
        </w:sectPr>
      </w:pPr>
    </w:p>
    <w:p>
      <w:pPr>
        <w:pStyle w:val="BodyText"/>
        <w:jc w:val="left"/>
      </w:pPr>
    </w:p>
    <w:p>
      <w:pPr>
        <w:pStyle w:val="BodyText"/>
        <w:jc w:val="left"/>
      </w:pPr>
    </w:p>
    <w:p>
      <w:pPr>
        <w:pStyle w:val="BodyText"/>
        <w:jc w:val="left"/>
      </w:pPr>
    </w:p>
    <w:p>
      <w:pPr>
        <w:pStyle w:val="BodyText"/>
        <w:spacing w:before="60"/>
        <w:jc w:val="left"/>
      </w:pPr>
    </w:p>
    <w:p>
      <w:pPr>
        <w:pStyle w:val="BodyText"/>
        <w:ind w:left="1342"/>
        <w:jc w:val="left"/>
      </w:pPr>
      <w:r>
        <w:rPr>
          <w:spacing w:val="-2"/>
        </w:rPr>
        <w:t>given.</w:t>
      </w:r>
    </w:p>
    <w:p>
      <w:pPr>
        <w:pStyle w:val="BodyText"/>
        <w:spacing w:before="100"/>
        <w:ind w:left="11" w:right="768"/>
      </w:pPr>
      <w:r>
        <w:rPr/>
        <w:br w:type="column"/>
      </w:r>
      <w:r>
        <w:rPr/>
        <w:t>Where location 'A' refers to the location where tenements coming to MHADA's share under the Scheme are required to be given.</w:t>
      </w:r>
    </w:p>
    <w:p>
      <w:pPr>
        <w:pStyle w:val="BodyText"/>
        <w:spacing w:before="241"/>
        <w:ind w:left="11"/>
      </w:pPr>
      <w:r>
        <w:rPr/>
        <w:t>Location</w:t>
      </w:r>
      <w:r>
        <w:rPr>
          <w:spacing w:val="-8"/>
        </w:rPr>
        <w:t> </w:t>
      </w:r>
      <w:r>
        <w:rPr/>
        <w:t>'B'</w:t>
      </w:r>
      <w:r>
        <w:rPr>
          <w:spacing w:val="-7"/>
        </w:rPr>
        <w:t> </w:t>
      </w:r>
      <w:r>
        <w:rPr/>
        <w:t>is</w:t>
      </w:r>
      <w:r>
        <w:rPr>
          <w:spacing w:val="-8"/>
        </w:rPr>
        <w:t> </w:t>
      </w:r>
      <w:r>
        <w:rPr/>
        <w:t>the</w:t>
      </w:r>
      <w:r>
        <w:rPr>
          <w:spacing w:val="-7"/>
        </w:rPr>
        <w:t> </w:t>
      </w:r>
      <w:r>
        <w:rPr/>
        <w:t>new</w:t>
      </w:r>
      <w:r>
        <w:rPr>
          <w:spacing w:val="-8"/>
        </w:rPr>
        <w:t> </w:t>
      </w:r>
      <w:r>
        <w:rPr/>
        <w:t>location</w:t>
      </w:r>
      <w:r>
        <w:rPr>
          <w:spacing w:val="-7"/>
        </w:rPr>
        <w:t> </w:t>
      </w:r>
      <w:r>
        <w:rPr/>
        <w:t>where</w:t>
      </w:r>
      <w:r>
        <w:rPr>
          <w:spacing w:val="-7"/>
        </w:rPr>
        <w:t> </w:t>
      </w:r>
      <w:r>
        <w:rPr/>
        <w:t>such</w:t>
      </w:r>
      <w:r>
        <w:rPr>
          <w:spacing w:val="-8"/>
        </w:rPr>
        <w:t> </w:t>
      </w:r>
      <w:r>
        <w:rPr/>
        <w:t>tenements</w:t>
      </w:r>
      <w:r>
        <w:rPr>
          <w:spacing w:val="-7"/>
        </w:rPr>
        <w:t> </w:t>
      </w:r>
      <w:r>
        <w:rPr/>
        <w:t>are</w:t>
      </w:r>
      <w:r>
        <w:rPr>
          <w:spacing w:val="-8"/>
        </w:rPr>
        <w:t> </w:t>
      </w:r>
      <w:r>
        <w:rPr/>
        <w:t>allowed</w:t>
      </w:r>
      <w:r>
        <w:rPr>
          <w:spacing w:val="-7"/>
        </w:rPr>
        <w:t> </w:t>
      </w:r>
      <w:r>
        <w:rPr/>
        <w:t>to</w:t>
      </w:r>
      <w:r>
        <w:rPr>
          <w:spacing w:val="-7"/>
        </w:rPr>
        <w:t> </w:t>
      </w:r>
      <w:r>
        <w:rPr>
          <w:spacing w:val="-5"/>
        </w:rPr>
        <w:t>be</w:t>
      </w:r>
    </w:p>
    <w:p>
      <w:pPr>
        <w:pStyle w:val="BodyText"/>
        <w:spacing w:before="240"/>
        <w:jc w:val="left"/>
      </w:pPr>
    </w:p>
    <w:p>
      <w:pPr>
        <w:pStyle w:val="BodyText"/>
        <w:ind w:left="11" w:right="766"/>
      </w:pPr>
      <w:r>
        <w:rPr/>
        <w:t>Provided further that the tenements so received by MHADA under its share</w:t>
      </w:r>
      <w:r>
        <w:rPr>
          <w:spacing w:val="-14"/>
        </w:rPr>
        <w:t> </w:t>
      </w:r>
      <w:r>
        <w:rPr/>
        <w:t>shall</w:t>
      </w:r>
      <w:r>
        <w:rPr>
          <w:spacing w:val="-15"/>
        </w:rPr>
        <w:t> </w:t>
      </w:r>
      <w:r>
        <w:rPr/>
        <w:t>first</w:t>
      </w:r>
      <w:r>
        <w:rPr>
          <w:spacing w:val="-14"/>
        </w:rPr>
        <w:t> </w:t>
      </w:r>
      <w:r>
        <w:rPr/>
        <w:t>be</w:t>
      </w:r>
      <w:r>
        <w:rPr>
          <w:spacing w:val="-12"/>
        </w:rPr>
        <w:t> </w:t>
      </w:r>
      <w:r>
        <w:rPr/>
        <w:t>offered</w:t>
      </w:r>
      <w:r>
        <w:rPr>
          <w:spacing w:val="-14"/>
        </w:rPr>
        <w:t> </w:t>
      </w:r>
      <w:r>
        <w:rPr/>
        <w:t>free</w:t>
      </w:r>
      <w:r>
        <w:rPr>
          <w:spacing w:val="-14"/>
        </w:rPr>
        <w:t> </w:t>
      </w:r>
      <w:r>
        <w:rPr/>
        <w:t>of</w:t>
      </w:r>
      <w:r>
        <w:rPr>
          <w:spacing w:val="-14"/>
        </w:rPr>
        <w:t> </w:t>
      </w:r>
      <w:r>
        <w:rPr/>
        <w:t>cost</w:t>
      </w:r>
      <w:r>
        <w:rPr>
          <w:spacing w:val="-12"/>
        </w:rPr>
        <w:t> </w:t>
      </w:r>
      <w:r>
        <w:rPr/>
        <w:t>to</w:t>
      </w:r>
      <w:r>
        <w:rPr>
          <w:spacing w:val="-14"/>
        </w:rPr>
        <w:t> </w:t>
      </w:r>
      <w:r>
        <w:rPr/>
        <w:t>the</w:t>
      </w:r>
      <w:r>
        <w:rPr>
          <w:spacing w:val="-14"/>
        </w:rPr>
        <w:t> </w:t>
      </w:r>
      <w:r>
        <w:rPr/>
        <w:t>MCGM</w:t>
      </w:r>
      <w:r>
        <w:rPr>
          <w:spacing w:val="-14"/>
        </w:rPr>
        <w:t> </w:t>
      </w:r>
      <w:r>
        <w:rPr/>
        <w:t>and</w:t>
      </w:r>
      <w:r>
        <w:rPr>
          <w:spacing w:val="-14"/>
        </w:rPr>
        <w:t> </w:t>
      </w:r>
      <w:r>
        <w:rPr/>
        <w:t>MMRDA</w:t>
      </w:r>
      <w:r>
        <w:rPr>
          <w:spacing w:val="-14"/>
        </w:rPr>
        <w:t> </w:t>
      </w:r>
      <w:r>
        <w:rPr/>
        <w:t>for</w:t>
      </w:r>
      <w:r>
        <w:rPr>
          <w:spacing w:val="-14"/>
        </w:rPr>
        <w:t> </w:t>
      </w:r>
      <w:r>
        <w:rPr/>
        <w:t>use as PAP tenements or as transit accommodation. If the MCGM and MMRDA do not require such tenements for PAP's or as transit accommodation, then the tenements received under its share shall be used</w:t>
      </w:r>
      <w:r>
        <w:rPr>
          <w:spacing w:val="-6"/>
        </w:rPr>
        <w:t> </w:t>
      </w:r>
      <w:r>
        <w:rPr/>
        <w:t>by</w:t>
      </w:r>
      <w:r>
        <w:rPr>
          <w:spacing w:val="-6"/>
        </w:rPr>
        <w:t> </w:t>
      </w:r>
      <w:r>
        <w:rPr/>
        <w:t>MHADA</w:t>
      </w:r>
      <w:r>
        <w:rPr>
          <w:spacing w:val="-5"/>
        </w:rPr>
        <w:t> </w:t>
      </w:r>
      <w:r>
        <w:rPr/>
        <w:t>for</w:t>
      </w:r>
      <w:r>
        <w:rPr>
          <w:spacing w:val="-3"/>
        </w:rPr>
        <w:t> </w:t>
      </w:r>
      <w:r>
        <w:rPr/>
        <w:t>PAPs</w:t>
      </w:r>
      <w:r>
        <w:rPr>
          <w:spacing w:val="-6"/>
        </w:rPr>
        <w:t> </w:t>
      </w:r>
      <w:r>
        <w:rPr/>
        <w:t>or</w:t>
      </w:r>
      <w:r>
        <w:rPr>
          <w:spacing w:val="-6"/>
        </w:rPr>
        <w:t> </w:t>
      </w:r>
      <w:r>
        <w:rPr/>
        <w:t>Transit</w:t>
      </w:r>
      <w:r>
        <w:rPr>
          <w:spacing w:val="-4"/>
        </w:rPr>
        <w:t> </w:t>
      </w:r>
      <w:r>
        <w:rPr/>
        <w:t>Accommodation</w:t>
      </w:r>
      <w:r>
        <w:rPr>
          <w:spacing w:val="-6"/>
        </w:rPr>
        <w:t> </w:t>
      </w:r>
      <w:r>
        <w:rPr/>
        <w:t>or</w:t>
      </w:r>
      <w:r>
        <w:rPr>
          <w:spacing w:val="-6"/>
        </w:rPr>
        <w:t> </w:t>
      </w:r>
      <w:r>
        <w:rPr/>
        <w:t>shall</w:t>
      </w:r>
      <w:r>
        <w:rPr>
          <w:spacing w:val="-3"/>
        </w:rPr>
        <w:t> </w:t>
      </w:r>
      <w:r>
        <w:rPr/>
        <w:t>be</w:t>
      </w:r>
      <w:r>
        <w:rPr>
          <w:spacing w:val="-6"/>
        </w:rPr>
        <w:t> </w:t>
      </w:r>
      <w:r>
        <w:rPr/>
        <w:t>sold</w:t>
      </w:r>
      <w:r>
        <w:rPr>
          <w:spacing w:val="-6"/>
        </w:rPr>
        <w:t> </w:t>
      </w:r>
      <w:r>
        <w:rPr/>
        <w:t>as AHwith prior permission of the Govt.</w:t>
      </w:r>
    </w:p>
    <w:p>
      <w:pPr>
        <w:pStyle w:val="ListParagraph"/>
        <w:numPr>
          <w:ilvl w:val="0"/>
          <w:numId w:val="166"/>
        </w:numPr>
        <w:tabs>
          <w:tab w:pos="229" w:val="left" w:leader="none"/>
        </w:tabs>
        <w:spacing w:line="240" w:lineRule="auto" w:before="242" w:after="0"/>
        <w:ind w:left="11" w:right="769" w:firstLine="0"/>
        <w:jc w:val="both"/>
        <w:rPr>
          <w:sz w:val="22"/>
        </w:rPr>
      </w:pPr>
      <w:r>
        <w:rPr>
          <w:sz w:val="24"/>
        </w:rPr>
        <w:t>"tolerated</w:t>
      </w:r>
      <w:r>
        <w:rPr>
          <w:spacing w:val="-10"/>
          <w:sz w:val="24"/>
        </w:rPr>
        <w:t> </w:t>
      </w:r>
      <w:r>
        <w:rPr>
          <w:sz w:val="24"/>
        </w:rPr>
        <w:t>structures"</w:t>
      </w:r>
      <w:r>
        <w:rPr>
          <w:spacing w:val="-11"/>
          <w:sz w:val="24"/>
        </w:rPr>
        <w:t> </w:t>
      </w:r>
      <w:r>
        <w:rPr>
          <w:sz w:val="24"/>
        </w:rPr>
        <w:t>encroaching</w:t>
      </w:r>
      <w:r>
        <w:rPr>
          <w:spacing w:val="-11"/>
          <w:sz w:val="24"/>
        </w:rPr>
        <w:t> </w:t>
      </w:r>
      <w:r>
        <w:rPr>
          <w:sz w:val="24"/>
        </w:rPr>
        <w:t>upon</w:t>
      </w:r>
      <w:r>
        <w:rPr>
          <w:spacing w:val="-10"/>
          <w:sz w:val="24"/>
        </w:rPr>
        <w:t> </w:t>
      </w:r>
      <w:r>
        <w:rPr>
          <w:sz w:val="24"/>
        </w:rPr>
        <w:t>roads</w:t>
      </w:r>
      <w:r>
        <w:rPr>
          <w:spacing w:val="-11"/>
          <w:sz w:val="24"/>
        </w:rPr>
        <w:t> </w:t>
      </w:r>
      <w:r>
        <w:rPr>
          <w:sz w:val="24"/>
        </w:rPr>
        <w:t>in</w:t>
      </w:r>
      <w:r>
        <w:rPr>
          <w:spacing w:val="-11"/>
          <w:sz w:val="24"/>
        </w:rPr>
        <w:t> </w:t>
      </w:r>
      <w:r>
        <w:rPr>
          <w:sz w:val="24"/>
        </w:rPr>
        <w:t>nearby</w:t>
      </w:r>
      <w:r>
        <w:rPr>
          <w:spacing w:val="-11"/>
          <w:sz w:val="24"/>
        </w:rPr>
        <w:t> </w:t>
      </w:r>
      <w:r>
        <w:rPr>
          <w:sz w:val="24"/>
        </w:rPr>
        <w:t>vicinity</w:t>
      </w:r>
      <w:r>
        <w:rPr>
          <w:spacing w:val="-11"/>
          <w:sz w:val="24"/>
        </w:rPr>
        <w:t> </w:t>
      </w:r>
      <w:r>
        <w:rPr>
          <w:sz w:val="24"/>
        </w:rPr>
        <w:t>shall be allowed to be included in the CDS and its BUA shall be included in rehabilitation</w:t>
      </w:r>
      <w:r>
        <w:rPr>
          <w:spacing w:val="-14"/>
          <w:sz w:val="24"/>
        </w:rPr>
        <w:t> </w:t>
      </w:r>
      <w:r>
        <w:rPr>
          <w:sz w:val="24"/>
        </w:rPr>
        <w:t>area,</w:t>
      </w:r>
      <w:r>
        <w:rPr>
          <w:spacing w:val="-14"/>
          <w:sz w:val="24"/>
        </w:rPr>
        <w:t> </w:t>
      </w:r>
      <w:r>
        <w:rPr>
          <w:sz w:val="24"/>
        </w:rPr>
        <w:t>provided</w:t>
      </w:r>
      <w:r>
        <w:rPr>
          <w:spacing w:val="-14"/>
          <w:sz w:val="24"/>
        </w:rPr>
        <w:t> </w:t>
      </w:r>
      <w:r>
        <w:rPr>
          <w:sz w:val="24"/>
        </w:rPr>
        <w:t>such</w:t>
      </w:r>
      <w:r>
        <w:rPr>
          <w:spacing w:val="-14"/>
          <w:sz w:val="24"/>
        </w:rPr>
        <w:t> </w:t>
      </w:r>
      <w:r>
        <w:rPr>
          <w:sz w:val="24"/>
        </w:rPr>
        <w:t>structures</w:t>
      </w:r>
      <w:r>
        <w:rPr>
          <w:spacing w:val="-14"/>
          <w:sz w:val="24"/>
        </w:rPr>
        <w:t> </w:t>
      </w:r>
      <w:r>
        <w:rPr>
          <w:sz w:val="24"/>
        </w:rPr>
        <w:t>are</w:t>
      </w:r>
      <w:r>
        <w:rPr>
          <w:spacing w:val="-14"/>
          <w:sz w:val="24"/>
        </w:rPr>
        <w:t> </w:t>
      </w:r>
      <w:r>
        <w:rPr>
          <w:sz w:val="24"/>
        </w:rPr>
        <w:t>permanently</w:t>
      </w:r>
      <w:r>
        <w:rPr>
          <w:spacing w:val="-12"/>
          <w:sz w:val="24"/>
        </w:rPr>
        <w:t> </w:t>
      </w:r>
      <w:r>
        <w:rPr>
          <w:sz w:val="24"/>
        </w:rPr>
        <w:t>removed.</w:t>
      </w:r>
    </w:p>
    <w:p>
      <w:pPr>
        <w:pStyle w:val="BodyText"/>
        <w:spacing w:before="239"/>
        <w:ind w:left="11" w:right="767"/>
      </w:pPr>
      <w:r>
        <w:rPr/>
        <w:t>Explanation: The term "tolerated structure" means structure used for residential or non-residential purpose and existing prior to 17</w:t>
      </w:r>
      <w:r>
        <w:rPr>
          <w:position w:val="6"/>
          <w:sz w:val="16"/>
        </w:rPr>
        <w:t>th</w:t>
      </w:r>
      <w:r>
        <w:rPr>
          <w:spacing w:val="40"/>
          <w:position w:val="6"/>
          <w:sz w:val="16"/>
        </w:rPr>
        <w:t> </w:t>
      </w:r>
      <w:r>
        <w:rPr/>
        <w:t>April 1964 or 1</w:t>
      </w:r>
      <w:r>
        <w:rPr>
          <w:position w:val="6"/>
          <w:sz w:val="16"/>
        </w:rPr>
        <w:t>st</w:t>
      </w:r>
      <w:r>
        <w:rPr>
          <w:spacing w:val="38"/>
          <w:position w:val="6"/>
          <w:sz w:val="16"/>
        </w:rPr>
        <w:t> </w:t>
      </w:r>
      <w:r>
        <w:rPr/>
        <w:t>April 1962 respectively or date as decided by Govt.</w:t>
      </w:r>
    </w:p>
    <w:p>
      <w:pPr>
        <w:pStyle w:val="ListParagraph"/>
        <w:numPr>
          <w:ilvl w:val="0"/>
          <w:numId w:val="166"/>
        </w:numPr>
        <w:tabs>
          <w:tab w:pos="308" w:val="left" w:leader="none"/>
        </w:tabs>
        <w:spacing w:line="240" w:lineRule="auto" w:before="240" w:after="0"/>
        <w:ind w:left="11" w:right="766" w:firstLine="0"/>
        <w:jc w:val="both"/>
        <w:rPr>
          <w:sz w:val="24"/>
        </w:rPr>
      </w:pPr>
      <w:r>
        <w:rPr>
          <w:color w:val="000000"/>
          <w:sz w:val="24"/>
        </w:rPr>
        <w:t>It shall be permissible to implement the sanctioned CDS in phases provided the area of CD is more than 8000 sq. m</w:t>
      </w:r>
      <w:r>
        <w:rPr>
          <w:color w:val="000000"/>
          <w:spacing w:val="40"/>
          <w:sz w:val="24"/>
        </w:rPr>
        <w:t> </w:t>
      </w:r>
      <w:r>
        <w:rPr>
          <w:color w:val="000000"/>
          <w:sz w:val="24"/>
        </w:rPr>
        <w:t>in Island City and 12000 sq. m. in Suburbs and Extended Suburbs and the development in</w:t>
      </w:r>
      <w:r>
        <w:rPr>
          <w:color w:val="000000"/>
          <w:spacing w:val="-15"/>
          <w:sz w:val="24"/>
        </w:rPr>
        <w:t> </w:t>
      </w:r>
      <w:r>
        <w:rPr>
          <w:color w:val="000000"/>
          <w:sz w:val="24"/>
        </w:rPr>
        <w:t>each</w:t>
      </w:r>
      <w:r>
        <w:rPr>
          <w:color w:val="000000"/>
          <w:spacing w:val="-15"/>
          <w:sz w:val="24"/>
        </w:rPr>
        <w:t> </w:t>
      </w:r>
      <w:r>
        <w:rPr>
          <w:color w:val="000000"/>
          <w:sz w:val="24"/>
        </w:rPr>
        <w:t>phase</w:t>
      </w:r>
      <w:r>
        <w:rPr>
          <w:color w:val="000000"/>
          <w:spacing w:val="-15"/>
          <w:sz w:val="24"/>
        </w:rPr>
        <w:t> </w:t>
      </w:r>
      <w:r>
        <w:rPr>
          <w:color w:val="000000"/>
          <w:sz w:val="24"/>
        </w:rPr>
        <w:t>is</w:t>
      </w:r>
      <w:r>
        <w:rPr>
          <w:color w:val="000000"/>
          <w:spacing w:val="-15"/>
          <w:sz w:val="24"/>
        </w:rPr>
        <w:t> </w:t>
      </w:r>
      <w:r>
        <w:rPr>
          <w:color w:val="000000"/>
          <w:sz w:val="24"/>
        </w:rPr>
        <w:t>strictly</w:t>
      </w:r>
      <w:r>
        <w:rPr>
          <w:color w:val="000000"/>
          <w:spacing w:val="-15"/>
          <w:sz w:val="24"/>
        </w:rPr>
        <w:t> </w:t>
      </w:r>
      <w:r>
        <w:rPr>
          <w:color w:val="000000"/>
          <w:sz w:val="24"/>
        </w:rPr>
        <w:t>in</w:t>
      </w:r>
      <w:r>
        <w:rPr>
          <w:color w:val="000000"/>
          <w:spacing w:val="-15"/>
          <w:sz w:val="24"/>
        </w:rPr>
        <w:t> </w:t>
      </w:r>
      <w:r>
        <w:rPr>
          <w:color w:val="000000"/>
          <w:sz w:val="24"/>
        </w:rPr>
        <w:t>conformity</w:t>
      </w:r>
      <w:r>
        <w:rPr>
          <w:color w:val="000000"/>
          <w:spacing w:val="-15"/>
          <w:sz w:val="24"/>
        </w:rPr>
        <w:t> </w:t>
      </w:r>
      <w:r>
        <w:rPr>
          <w:color w:val="000000"/>
          <w:sz w:val="24"/>
        </w:rPr>
        <w:t>with</w:t>
      </w:r>
      <w:r>
        <w:rPr>
          <w:color w:val="000000"/>
          <w:spacing w:val="-15"/>
          <w:sz w:val="24"/>
        </w:rPr>
        <w:t> </w:t>
      </w:r>
      <w:r>
        <w:rPr>
          <w:color w:val="000000"/>
          <w:sz w:val="24"/>
        </w:rPr>
        <w:t>the</w:t>
      </w:r>
      <w:r>
        <w:rPr>
          <w:color w:val="000000"/>
          <w:spacing w:val="-15"/>
          <w:sz w:val="24"/>
        </w:rPr>
        <w:t> </w:t>
      </w:r>
      <w:r>
        <w:rPr>
          <w:color w:val="000000"/>
          <w:sz w:val="24"/>
        </w:rPr>
        <w:t>Master</w:t>
      </w:r>
      <w:r>
        <w:rPr>
          <w:color w:val="000000"/>
          <w:spacing w:val="-15"/>
          <w:sz w:val="24"/>
        </w:rPr>
        <w:t> </w:t>
      </w:r>
      <w:r>
        <w:rPr>
          <w:color w:val="000000"/>
          <w:sz w:val="24"/>
        </w:rPr>
        <w:t>Plan/Layout</w:t>
      </w:r>
      <w:r>
        <w:rPr>
          <w:color w:val="000000"/>
          <w:spacing w:val="-15"/>
          <w:sz w:val="24"/>
        </w:rPr>
        <w:t> </w:t>
      </w:r>
      <w:r>
        <w:rPr>
          <w:color w:val="000000"/>
          <w:sz w:val="24"/>
        </w:rPr>
        <w:t>Plan approved for the entire CDS.</w:t>
      </w:r>
    </w:p>
    <w:p>
      <w:pPr>
        <w:pStyle w:val="BodyText"/>
        <w:spacing w:before="241"/>
        <w:ind w:left="11" w:right="770"/>
      </w:pPr>
      <w:r>
        <w:rPr/>
        <w:t>Subject to the master plan for the whole cluster being followed, phase wise</w:t>
      </w:r>
      <w:r>
        <w:rPr>
          <w:spacing w:val="-10"/>
        </w:rPr>
        <w:t> </w:t>
      </w:r>
      <w:r>
        <w:rPr/>
        <w:t>implementation</w:t>
      </w:r>
      <w:r>
        <w:rPr>
          <w:spacing w:val="-10"/>
        </w:rPr>
        <w:t> </w:t>
      </w:r>
      <w:r>
        <w:rPr/>
        <w:t>of</w:t>
      </w:r>
      <w:r>
        <w:rPr>
          <w:spacing w:val="-8"/>
        </w:rPr>
        <w:t> </w:t>
      </w:r>
      <w:r>
        <w:rPr/>
        <w:t>CDS</w:t>
      </w:r>
      <w:r>
        <w:rPr>
          <w:spacing w:val="-10"/>
        </w:rPr>
        <w:t> </w:t>
      </w:r>
      <w:r>
        <w:rPr/>
        <w:t>may</w:t>
      </w:r>
      <w:r>
        <w:rPr>
          <w:spacing w:val="-7"/>
        </w:rPr>
        <w:t> </w:t>
      </w:r>
      <w:r>
        <w:rPr/>
        <w:t>be</w:t>
      </w:r>
      <w:r>
        <w:rPr>
          <w:spacing w:val="-10"/>
        </w:rPr>
        <w:t> </w:t>
      </w:r>
      <w:r>
        <w:rPr/>
        <w:t>allowed,</w:t>
      </w:r>
      <w:r>
        <w:rPr>
          <w:spacing w:val="-10"/>
        </w:rPr>
        <w:t> </w:t>
      </w:r>
      <w:r>
        <w:rPr/>
        <w:t>with</w:t>
      </w:r>
      <w:r>
        <w:rPr>
          <w:spacing w:val="-10"/>
        </w:rPr>
        <w:t> </w:t>
      </w:r>
      <w:r>
        <w:rPr/>
        <w:t>pro</w:t>
      </w:r>
      <w:r>
        <w:rPr>
          <w:spacing w:val="-10"/>
        </w:rPr>
        <w:t> </w:t>
      </w:r>
      <w:r>
        <w:rPr/>
        <w:t>rata</w:t>
      </w:r>
      <w:r>
        <w:rPr>
          <w:spacing w:val="-8"/>
        </w:rPr>
        <w:t> </w:t>
      </w:r>
      <w:r>
        <w:rPr/>
        <w:t>utilization</w:t>
      </w:r>
      <w:r>
        <w:rPr>
          <w:spacing w:val="-10"/>
        </w:rPr>
        <w:t> </w:t>
      </w:r>
      <w:r>
        <w:rPr/>
        <w:t>of the total admissible FSI.</w:t>
      </w:r>
    </w:p>
    <w:p>
      <w:pPr>
        <w:pStyle w:val="BodyText"/>
        <w:spacing w:before="239"/>
        <w:ind w:left="11" w:right="771"/>
      </w:pPr>
      <w:r>
        <w:rPr/>
        <w:t>Provided further that, while giving permission for phased implementation of the CDS, the time frame for implementation of each phase shall also be given.</w:t>
      </w:r>
    </w:p>
    <w:p>
      <w:pPr>
        <w:pStyle w:val="BodyText"/>
        <w:spacing w:before="240"/>
        <w:ind w:right="767"/>
      </w:pPr>
      <w:r>
        <w:rPr/>
        <w:t>The minimum area for each phase shall be 4000sq. m. in Island City and 6000 sq. m. in Suburbs and Extended Suburbs.</w:t>
      </w:r>
    </w:p>
    <w:p>
      <w:pPr>
        <w:pStyle w:val="BodyText"/>
        <w:spacing w:before="241"/>
        <w:ind w:left="11" w:right="767"/>
      </w:pPr>
      <w:r>
        <w:rPr/>
        <w:t>Provided further that, while giving permission for phased implementation of </w:t>
      </w:r>
      <w:r>
        <w:rPr>
          <w:color w:val="000000"/>
          <w:shd w:fill="FFCCFF" w:color="auto" w:val="clear"/>
        </w:rPr>
        <w:t>CDS</w:t>
      </w:r>
      <w:r>
        <w:rPr>
          <w:color w:val="000000"/>
        </w:rPr>
        <w:t>, the incentive FSI as per Table-B shall be first released</w:t>
      </w:r>
      <w:r>
        <w:rPr>
          <w:color w:val="000000"/>
          <w:spacing w:val="-12"/>
        </w:rPr>
        <w:t> </w:t>
      </w:r>
      <w:r>
        <w:rPr>
          <w:color w:val="000000"/>
        </w:rPr>
        <w:t>as</w:t>
      </w:r>
      <w:r>
        <w:rPr>
          <w:color w:val="000000"/>
          <w:spacing w:val="-12"/>
        </w:rPr>
        <w:t> </w:t>
      </w:r>
      <w:r>
        <w:rPr>
          <w:color w:val="000000"/>
        </w:rPr>
        <w:t>per</w:t>
      </w:r>
      <w:r>
        <w:rPr>
          <w:color w:val="000000"/>
          <w:spacing w:val="-12"/>
        </w:rPr>
        <w:t> </w:t>
      </w:r>
      <w:r>
        <w:rPr>
          <w:color w:val="000000"/>
        </w:rPr>
        <w:t>the</w:t>
      </w:r>
      <w:r>
        <w:rPr>
          <w:color w:val="000000"/>
          <w:spacing w:val="-10"/>
        </w:rPr>
        <w:t> </w:t>
      </w:r>
      <w:r>
        <w:rPr>
          <w:color w:val="000000"/>
        </w:rPr>
        <w:t>area</w:t>
      </w:r>
      <w:r>
        <w:rPr>
          <w:color w:val="000000"/>
          <w:spacing w:val="-12"/>
        </w:rPr>
        <w:t> </w:t>
      </w:r>
      <w:r>
        <w:rPr>
          <w:color w:val="000000"/>
        </w:rPr>
        <w:t>of</w:t>
      </w:r>
      <w:r>
        <w:rPr>
          <w:color w:val="000000"/>
          <w:spacing w:val="-12"/>
        </w:rPr>
        <w:t> </w:t>
      </w:r>
      <w:r>
        <w:rPr>
          <w:color w:val="000000"/>
        </w:rPr>
        <w:t>the</w:t>
      </w:r>
      <w:r>
        <w:rPr>
          <w:color w:val="000000"/>
          <w:spacing w:val="-12"/>
        </w:rPr>
        <w:t> </w:t>
      </w:r>
      <w:r>
        <w:rPr>
          <w:color w:val="000000"/>
        </w:rPr>
        <w:t>plot</w:t>
      </w:r>
      <w:r>
        <w:rPr>
          <w:color w:val="000000"/>
          <w:spacing w:val="-10"/>
        </w:rPr>
        <w:t> </w:t>
      </w:r>
      <w:r>
        <w:rPr>
          <w:color w:val="000000"/>
        </w:rPr>
        <w:t>under</w:t>
      </w:r>
      <w:r>
        <w:rPr>
          <w:color w:val="000000"/>
          <w:spacing w:val="-10"/>
        </w:rPr>
        <w:t> </w:t>
      </w:r>
      <w:r>
        <w:rPr>
          <w:color w:val="000000"/>
        </w:rPr>
        <w:t>a</w:t>
      </w:r>
      <w:r>
        <w:rPr>
          <w:color w:val="000000"/>
          <w:spacing w:val="-12"/>
        </w:rPr>
        <w:t> </w:t>
      </w:r>
      <w:r>
        <w:rPr>
          <w:color w:val="000000"/>
        </w:rPr>
        <w:t>given</w:t>
      </w:r>
      <w:r>
        <w:rPr>
          <w:color w:val="000000"/>
          <w:spacing w:val="-12"/>
        </w:rPr>
        <w:t> </w:t>
      </w:r>
      <w:r>
        <w:rPr>
          <w:color w:val="000000"/>
        </w:rPr>
        <w:t>phase</w:t>
      </w:r>
      <w:r>
        <w:rPr>
          <w:color w:val="000000"/>
          <w:spacing w:val="-12"/>
        </w:rPr>
        <w:t> </w:t>
      </w:r>
      <w:r>
        <w:rPr>
          <w:color w:val="000000"/>
        </w:rPr>
        <w:t>and</w:t>
      </w:r>
      <w:r>
        <w:rPr>
          <w:color w:val="000000"/>
          <w:spacing w:val="-10"/>
        </w:rPr>
        <w:t> </w:t>
      </w:r>
      <w:r>
        <w:rPr>
          <w:color w:val="000000"/>
        </w:rPr>
        <w:t>the</w:t>
      </w:r>
      <w:r>
        <w:rPr>
          <w:color w:val="000000"/>
          <w:spacing w:val="-12"/>
        </w:rPr>
        <w:t> </w:t>
      </w:r>
      <w:r>
        <w:rPr>
          <w:color w:val="000000"/>
        </w:rPr>
        <w:t>balance incentive FSI shall be released while giving approval to the last phase.</w:t>
      </w:r>
    </w:p>
    <w:p>
      <w:pPr>
        <w:pStyle w:val="ListParagraph"/>
        <w:numPr>
          <w:ilvl w:val="0"/>
          <w:numId w:val="138"/>
        </w:numPr>
        <w:tabs>
          <w:tab w:pos="368" w:val="left" w:leader="none"/>
        </w:tabs>
        <w:spacing w:line="240" w:lineRule="auto" w:before="241" w:after="0"/>
        <w:ind w:left="11" w:right="766" w:firstLine="0"/>
        <w:jc w:val="both"/>
        <w:rPr>
          <w:sz w:val="24"/>
        </w:rPr>
      </w:pPr>
      <w:r>
        <w:rPr>
          <w:sz w:val="24"/>
        </w:rPr>
        <w:t>From the total FSI available under Clause 6, entire FSI towards rehabilitation component and MHADA's share shall have to be utilized on plot/plots under the Scheme. In case a part of incentive FSI is not proposed</w:t>
      </w:r>
      <w:r>
        <w:rPr>
          <w:spacing w:val="40"/>
          <w:sz w:val="24"/>
        </w:rPr>
        <w:t> </w:t>
      </w:r>
      <w:r>
        <w:rPr>
          <w:sz w:val="24"/>
        </w:rPr>
        <w:t>to</w:t>
      </w:r>
      <w:r>
        <w:rPr>
          <w:spacing w:val="40"/>
          <w:sz w:val="24"/>
        </w:rPr>
        <w:t> </w:t>
      </w:r>
      <w:r>
        <w:rPr>
          <w:sz w:val="24"/>
        </w:rPr>
        <w:t>be</w:t>
      </w:r>
      <w:r>
        <w:rPr>
          <w:spacing w:val="40"/>
          <w:sz w:val="24"/>
        </w:rPr>
        <w:t> </w:t>
      </w:r>
      <w:r>
        <w:rPr>
          <w:sz w:val="24"/>
        </w:rPr>
        <w:t>utilized</w:t>
      </w:r>
      <w:r>
        <w:rPr>
          <w:spacing w:val="40"/>
          <w:sz w:val="24"/>
        </w:rPr>
        <w:t> </w:t>
      </w:r>
      <w:r>
        <w:rPr>
          <w:sz w:val="24"/>
        </w:rPr>
        <w:t>on</w:t>
      </w:r>
      <w:r>
        <w:rPr>
          <w:spacing w:val="40"/>
          <w:sz w:val="24"/>
        </w:rPr>
        <w:t> </w:t>
      </w:r>
      <w:r>
        <w:rPr>
          <w:sz w:val="24"/>
        </w:rPr>
        <w:t>the</w:t>
      </w:r>
      <w:r>
        <w:rPr>
          <w:spacing w:val="40"/>
          <w:sz w:val="24"/>
        </w:rPr>
        <w:t> </w:t>
      </w:r>
      <w:r>
        <w:rPr>
          <w:sz w:val="24"/>
        </w:rPr>
        <w:t>same</w:t>
      </w:r>
      <w:r>
        <w:rPr>
          <w:spacing w:val="40"/>
          <w:sz w:val="24"/>
        </w:rPr>
        <w:t> </w:t>
      </w:r>
      <w:r>
        <w:rPr>
          <w:sz w:val="24"/>
        </w:rPr>
        <w:t>plot,</w:t>
      </w:r>
      <w:r>
        <w:rPr>
          <w:spacing w:val="40"/>
          <w:sz w:val="24"/>
        </w:rPr>
        <w:t> </w:t>
      </w:r>
      <w:r>
        <w:rPr>
          <w:sz w:val="24"/>
        </w:rPr>
        <w:t>the</w:t>
      </w:r>
      <w:r>
        <w:rPr>
          <w:spacing w:val="40"/>
          <w:sz w:val="24"/>
        </w:rPr>
        <w:t> </w:t>
      </w:r>
      <w:r>
        <w:rPr>
          <w:sz w:val="24"/>
        </w:rPr>
        <w:t>benefit</w:t>
      </w:r>
      <w:r>
        <w:rPr>
          <w:spacing w:val="40"/>
          <w:sz w:val="24"/>
        </w:rPr>
        <w:t> </w:t>
      </w:r>
      <w:r>
        <w:rPr>
          <w:sz w:val="24"/>
        </w:rPr>
        <w:t>of</w:t>
      </w:r>
      <w:r>
        <w:rPr>
          <w:spacing w:val="40"/>
          <w:sz w:val="24"/>
        </w:rPr>
        <w:t> </w:t>
      </w:r>
      <w:r>
        <w:rPr>
          <w:sz w:val="24"/>
        </w:rPr>
        <w:t>TDR</w:t>
      </w:r>
      <w:r>
        <w:rPr>
          <w:spacing w:val="40"/>
          <w:sz w:val="24"/>
        </w:rPr>
        <w:t> </w:t>
      </w:r>
      <w:r>
        <w:rPr>
          <w:sz w:val="24"/>
        </w:rPr>
        <w:t>as</w:t>
      </w:r>
      <w:r>
        <w:rPr>
          <w:spacing w:val="40"/>
          <w:sz w:val="24"/>
        </w:rPr>
        <w:t> </w:t>
      </w:r>
      <w:r>
        <w:rPr>
          <w:sz w:val="24"/>
        </w:rPr>
        <w:t>per</w:t>
      </w:r>
    </w:p>
    <w:p>
      <w:pPr>
        <w:pStyle w:val="ListParagraph"/>
        <w:spacing w:after="0" w:line="240" w:lineRule="auto"/>
        <w:jc w:val="both"/>
        <w:rPr>
          <w:sz w:val="24"/>
        </w:rPr>
        <w:sectPr>
          <w:type w:val="continuous"/>
          <w:pgSz w:w="11910" w:h="16840"/>
          <w:pgMar w:header="1065" w:footer="1194" w:top="1360" w:bottom="280" w:left="360" w:right="360"/>
          <w:cols w:num="2" w:equalWidth="0">
            <w:col w:w="2029" w:space="21"/>
            <w:col w:w="9140"/>
          </w:cols>
        </w:sectPr>
      </w:pPr>
    </w:p>
    <w:p>
      <w:pPr>
        <w:pStyle w:val="BodyText"/>
        <w:spacing w:before="249"/>
        <w:ind w:left="2062" w:right="766"/>
      </w:pPr>
      <w:r>
        <w:rPr/>
        <w:t>Regulation</w:t>
      </w:r>
      <w:r>
        <w:rPr>
          <w:spacing w:val="-8"/>
        </w:rPr>
        <w:t> </w:t>
      </w:r>
      <w:r>
        <w:rPr/>
        <w:t>No</w:t>
      </w:r>
      <w:r>
        <w:rPr>
          <w:spacing w:val="-7"/>
        </w:rPr>
        <w:t> </w:t>
      </w:r>
      <w:r>
        <w:rPr/>
        <w:t>32</w:t>
      </w:r>
      <w:r>
        <w:rPr>
          <w:spacing w:val="-8"/>
        </w:rPr>
        <w:t> </w:t>
      </w:r>
      <w:r>
        <w:rPr/>
        <w:t>shall</w:t>
      </w:r>
      <w:r>
        <w:rPr>
          <w:spacing w:val="-8"/>
        </w:rPr>
        <w:t> </w:t>
      </w:r>
      <w:r>
        <w:rPr/>
        <w:t>be</w:t>
      </w:r>
      <w:r>
        <w:rPr>
          <w:spacing w:val="-8"/>
        </w:rPr>
        <w:t> </w:t>
      </w:r>
      <w:r>
        <w:rPr/>
        <w:t>given.</w:t>
      </w:r>
      <w:r>
        <w:rPr>
          <w:spacing w:val="-8"/>
        </w:rPr>
        <w:t> </w:t>
      </w:r>
      <w:r>
        <w:rPr/>
        <w:t>However,</w:t>
      </w:r>
      <w:r>
        <w:rPr>
          <w:spacing w:val="-8"/>
        </w:rPr>
        <w:t> </w:t>
      </w:r>
      <w:r>
        <w:rPr/>
        <w:t>the</w:t>
      </w:r>
      <w:r>
        <w:rPr>
          <w:spacing w:val="-8"/>
        </w:rPr>
        <w:t> </w:t>
      </w:r>
      <w:r>
        <w:rPr/>
        <w:t>quantum</w:t>
      </w:r>
      <w:r>
        <w:rPr>
          <w:spacing w:val="-8"/>
        </w:rPr>
        <w:t> </w:t>
      </w:r>
      <w:r>
        <w:rPr/>
        <w:t>of</w:t>
      </w:r>
      <w:r>
        <w:rPr>
          <w:spacing w:val="-6"/>
        </w:rPr>
        <w:t> </w:t>
      </w:r>
      <w:r>
        <w:rPr/>
        <w:t>TDR</w:t>
      </w:r>
      <w:r>
        <w:rPr>
          <w:spacing w:val="-8"/>
        </w:rPr>
        <w:t> </w:t>
      </w:r>
      <w:r>
        <w:rPr/>
        <w:t>shall</w:t>
      </w:r>
      <w:r>
        <w:rPr>
          <w:spacing w:val="-8"/>
        </w:rPr>
        <w:t> </w:t>
      </w:r>
      <w:r>
        <w:rPr/>
        <w:t>be governed by the following formula.</w:t>
      </w:r>
    </w:p>
    <w:p>
      <w:pPr>
        <w:pStyle w:val="BodyText"/>
        <w:spacing w:before="241"/>
        <w:ind w:left="2062"/>
      </w:pPr>
      <w:r>
        <w:rPr/>
        <w:t>Incentive</w:t>
      </w:r>
      <w:r>
        <w:rPr>
          <w:spacing w:val="-3"/>
        </w:rPr>
        <w:t> </w:t>
      </w:r>
      <w:r>
        <w:rPr/>
        <w:t>FSI at</w:t>
      </w:r>
      <w:r>
        <w:rPr>
          <w:spacing w:val="-3"/>
        </w:rPr>
        <w:t> </w:t>
      </w:r>
      <w:r>
        <w:rPr/>
        <w:t>location</w:t>
      </w:r>
      <w:r>
        <w:rPr>
          <w:spacing w:val="-2"/>
        </w:rPr>
        <w:t> </w:t>
      </w:r>
      <w:r>
        <w:rPr/>
        <w:t>'B'</w:t>
      </w:r>
      <w:r>
        <w:rPr>
          <w:spacing w:val="-2"/>
        </w:rPr>
        <w:t> </w:t>
      </w:r>
      <w:r>
        <w:rPr/>
        <w:t>in</w:t>
      </w:r>
      <w:r>
        <w:rPr>
          <w:spacing w:val="-1"/>
        </w:rPr>
        <w:t> </w:t>
      </w:r>
      <w:r>
        <w:rPr>
          <w:color w:val="000000"/>
          <w:spacing w:val="-5"/>
          <w:shd w:fill="FFCCFF" w:color="auto" w:val="clear"/>
        </w:rPr>
        <w:t>CDS</w:t>
      </w:r>
    </w:p>
    <w:p>
      <w:pPr>
        <w:pStyle w:val="BodyText"/>
        <w:spacing w:before="241"/>
        <w:ind w:left="2062" w:right="771"/>
      </w:pPr>
      <w:r>
        <w:rPr/>
        <w:t>= Incentive FSI at location ‘A’ in </w:t>
      </w:r>
      <w:r>
        <w:rPr>
          <w:color w:val="000000"/>
          <w:shd w:fill="FFCCFF" w:color="auto" w:val="clear"/>
        </w:rPr>
        <w:t>CDS</w:t>
      </w:r>
      <w:r>
        <w:rPr>
          <w:color w:val="000000"/>
        </w:rPr>
        <w:t> X ASR value of Land at location ‘A’/ASR value of Land at location ‘B’</w:t>
      </w:r>
    </w:p>
    <w:p>
      <w:pPr>
        <w:pStyle w:val="BodyText"/>
        <w:spacing w:before="238"/>
        <w:ind w:left="2050" w:right="838" w:firstLine="720"/>
        <w:jc w:val="left"/>
      </w:pPr>
      <w:r>
        <w:rPr/>
        <w:t>Where, location ‘A’ refers to the location where incentive FSI in</w:t>
      </w:r>
      <w:r>
        <w:rPr>
          <w:spacing w:val="40"/>
        </w:rPr>
        <w:t> </w:t>
      </w:r>
      <w:r>
        <w:rPr>
          <w:color w:val="000000"/>
          <w:shd w:fill="FFCCFF" w:color="auto" w:val="clear"/>
        </w:rPr>
        <w:t>CDS</w:t>
      </w:r>
      <w:r>
        <w:rPr>
          <w:color w:val="000000"/>
        </w:rPr>
        <w:t> is generated.</w:t>
      </w:r>
    </w:p>
    <w:p>
      <w:pPr>
        <w:pStyle w:val="BodyText"/>
        <w:spacing w:before="241"/>
        <w:ind w:left="2062"/>
      </w:pPr>
      <w:r>
        <w:rPr>
          <w:spacing w:val="-2"/>
        </w:rPr>
        <w:t>Location</w:t>
      </w:r>
      <w:r>
        <w:rPr>
          <w:spacing w:val="-13"/>
        </w:rPr>
        <w:t> </w:t>
      </w:r>
      <w:r>
        <w:rPr>
          <w:spacing w:val="-2"/>
        </w:rPr>
        <w:t>‘B’</w:t>
      </w:r>
      <w:r>
        <w:rPr>
          <w:spacing w:val="-13"/>
        </w:rPr>
        <w:t> </w:t>
      </w:r>
      <w:r>
        <w:rPr>
          <w:spacing w:val="-2"/>
        </w:rPr>
        <w:t>is</w:t>
      </w:r>
      <w:r>
        <w:rPr>
          <w:spacing w:val="-13"/>
        </w:rPr>
        <w:t> </w:t>
      </w:r>
      <w:r>
        <w:rPr>
          <w:spacing w:val="-2"/>
        </w:rPr>
        <w:t>the</w:t>
      </w:r>
      <w:r>
        <w:rPr>
          <w:spacing w:val="-12"/>
        </w:rPr>
        <w:t> </w:t>
      </w:r>
      <w:r>
        <w:rPr>
          <w:spacing w:val="-2"/>
        </w:rPr>
        <w:t>new</w:t>
      </w:r>
      <w:r>
        <w:rPr>
          <w:spacing w:val="-13"/>
        </w:rPr>
        <w:t> </w:t>
      </w:r>
      <w:r>
        <w:rPr>
          <w:spacing w:val="-2"/>
        </w:rPr>
        <w:t>location</w:t>
      </w:r>
      <w:r>
        <w:rPr>
          <w:spacing w:val="-13"/>
        </w:rPr>
        <w:t> </w:t>
      </w:r>
      <w:r>
        <w:rPr>
          <w:spacing w:val="-2"/>
        </w:rPr>
        <w:t>where</w:t>
      </w:r>
      <w:r>
        <w:rPr>
          <w:spacing w:val="-13"/>
        </w:rPr>
        <w:t> </w:t>
      </w:r>
      <w:r>
        <w:rPr>
          <w:spacing w:val="-2"/>
        </w:rPr>
        <w:t>such</w:t>
      </w:r>
      <w:r>
        <w:rPr>
          <w:spacing w:val="-13"/>
        </w:rPr>
        <w:t> </w:t>
      </w:r>
      <w:r>
        <w:rPr>
          <w:spacing w:val="-2"/>
        </w:rPr>
        <w:t>incentive</w:t>
      </w:r>
      <w:r>
        <w:rPr>
          <w:spacing w:val="-12"/>
        </w:rPr>
        <w:t> </w:t>
      </w:r>
      <w:r>
        <w:rPr>
          <w:spacing w:val="-2"/>
        </w:rPr>
        <w:t>FSI</w:t>
      </w:r>
      <w:r>
        <w:rPr>
          <w:spacing w:val="-10"/>
        </w:rPr>
        <w:t> </w:t>
      </w:r>
      <w:r>
        <w:rPr>
          <w:spacing w:val="-2"/>
        </w:rPr>
        <w:t>is</w:t>
      </w:r>
      <w:r>
        <w:rPr>
          <w:spacing w:val="-12"/>
        </w:rPr>
        <w:t> </w:t>
      </w:r>
      <w:r>
        <w:rPr>
          <w:spacing w:val="-2"/>
        </w:rPr>
        <w:t>to</w:t>
      </w:r>
      <w:r>
        <w:rPr>
          <w:spacing w:val="-10"/>
        </w:rPr>
        <w:t> </w:t>
      </w:r>
      <w:r>
        <w:rPr>
          <w:spacing w:val="-2"/>
        </w:rPr>
        <w:t>be</w:t>
      </w:r>
      <w:r>
        <w:rPr>
          <w:spacing w:val="-12"/>
        </w:rPr>
        <w:t> </w:t>
      </w:r>
      <w:r>
        <w:rPr>
          <w:spacing w:val="-2"/>
        </w:rPr>
        <w:t>utilized.</w:t>
      </w:r>
    </w:p>
    <w:p>
      <w:pPr>
        <w:pStyle w:val="Heading5"/>
        <w:numPr>
          <w:ilvl w:val="0"/>
          <w:numId w:val="138"/>
        </w:numPr>
        <w:tabs>
          <w:tab w:pos="2364" w:val="left" w:leader="none"/>
        </w:tabs>
        <w:spacing w:line="240" w:lineRule="auto" w:before="242" w:after="0"/>
        <w:ind w:left="2364" w:right="0" w:hanging="302"/>
        <w:jc w:val="both"/>
        <w:rPr>
          <w:b w:val="0"/>
        </w:rPr>
      </w:pPr>
      <w:r>
        <w:rPr/>
        <w:t>Development</w:t>
      </w:r>
      <w:r>
        <w:rPr>
          <w:spacing w:val="-1"/>
        </w:rPr>
        <w:t> </w:t>
      </w:r>
      <w:r>
        <w:rPr/>
        <w:t>of DP </w:t>
      </w:r>
      <w:r>
        <w:rPr>
          <w:spacing w:val="-2"/>
        </w:rPr>
        <w:t>Reservations:</w:t>
      </w:r>
    </w:p>
    <w:p>
      <w:pPr>
        <w:pStyle w:val="BodyText"/>
        <w:spacing w:before="239"/>
        <w:ind w:left="2062" w:right="769"/>
      </w:pPr>
      <w:r>
        <w:rPr/>
        <w:t>Construction or reconstruction of slums/buildings falling under Reservations</w:t>
      </w:r>
      <w:r>
        <w:rPr>
          <w:spacing w:val="-14"/>
        </w:rPr>
        <w:t> </w:t>
      </w:r>
      <w:r>
        <w:rPr/>
        <w:t>contemplated</w:t>
      </w:r>
      <w:r>
        <w:rPr>
          <w:spacing w:val="-14"/>
        </w:rPr>
        <w:t> </w:t>
      </w:r>
      <w:r>
        <w:rPr/>
        <w:t>in</w:t>
      </w:r>
      <w:r>
        <w:rPr>
          <w:spacing w:val="-14"/>
        </w:rPr>
        <w:t> </w:t>
      </w:r>
      <w:r>
        <w:rPr/>
        <w:t>the</w:t>
      </w:r>
      <w:r>
        <w:rPr>
          <w:spacing w:val="-13"/>
        </w:rPr>
        <w:t> </w:t>
      </w:r>
      <w:r>
        <w:rPr/>
        <w:t>DP</w:t>
      </w:r>
      <w:r>
        <w:rPr>
          <w:spacing w:val="-14"/>
        </w:rPr>
        <w:t> </w:t>
      </w:r>
      <w:r>
        <w:rPr/>
        <w:t>shall</w:t>
      </w:r>
      <w:r>
        <w:rPr>
          <w:spacing w:val="-14"/>
        </w:rPr>
        <w:t> </w:t>
      </w:r>
      <w:r>
        <w:rPr/>
        <w:t>be</w:t>
      </w:r>
      <w:r>
        <w:rPr>
          <w:spacing w:val="-14"/>
        </w:rPr>
        <w:t> </w:t>
      </w:r>
      <w:r>
        <w:rPr/>
        <w:t>permissible</w:t>
      </w:r>
      <w:r>
        <w:rPr>
          <w:spacing w:val="-14"/>
        </w:rPr>
        <w:t> </w:t>
      </w:r>
      <w:r>
        <w:rPr/>
        <w:t>as</w:t>
      </w:r>
      <w:r>
        <w:rPr>
          <w:spacing w:val="-14"/>
        </w:rPr>
        <w:t> </w:t>
      </w:r>
      <w:r>
        <w:rPr>
          <w:color w:val="000000"/>
          <w:shd w:fill="FFCCFF" w:color="auto" w:val="clear"/>
        </w:rPr>
        <w:t>-stipulated</w:t>
      </w:r>
      <w:r>
        <w:rPr>
          <w:color w:val="000000"/>
        </w:rPr>
        <w:t> </w:t>
      </w:r>
      <w:r>
        <w:rPr>
          <w:color w:val="000000"/>
          <w:shd w:fill="FFCCFF" w:color="auto" w:val="clear"/>
        </w:rPr>
        <w:t>in the Regulation No.17(3)(C)(I)</w:t>
      </w:r>
    </w:p>
    <w:p>
      <w:pPr>
        <w:pStyle w:val="ListParagraph"/>
        <w:numPr>
          <w:ilvl w:val="0"/>
          <w:numId w:val="167"/>
        </w:numPr>
        <w:tabs>
          <w:tab w:pos="2364" w:val="left" w:leader="none"/>
        </w:tabs>
        <w:spacing w:line="240" w:lineRule="auto" w:before="240" w:after="0"/>
        <w:ind w:left="2062" w:right="766" w:firstLine="0"/>
        <w:jc w:val="both"/>
        <w:rPr>
          <w:sz w:val="24"/>
        </w:rPr>
      </w:pPr>
      <w:r>
        <w:rPr>
          <w:sz w:val="24"/>
        </w:rPr>
        <w:t>Where a proposed DP Road or Regular line of street passes through the CDS area, the entire FSI admissible under this Regulation for the area of the road may be given in the same Scheme.</w:t>
      </w:r>
    </w:p>
    <w:p>
      <w:pPr>
        <w:pStyle w:val="BodyText"/>
        <w:spacing w:before="239"/>
        <w:ind w:left="2062" w:right="768"/>
      </w:pPr>
      <w:r>
        <w:rPr/>
        <w:t>The</w:t>
      </w:r>
      <w:r>
        <w:rPr>
          <w:spacing w:val="-14"/>
        </w:rPr>
        <w:t> </w:t>
      </w:r>
      <w:r>
        <w:rPr/>
        <w:t>location</w:t>
      </w:r>
      <w:r>
        <w:rPr>
          <w:spacing w:val="-13"/>
        </w:rPr>
        <w:t> </w:t>
      </w:r>
      <w:r>
        <w:rPr/>
        <w:t>of</w:t>
      </w:r>
      <w:r>
        <w:rPr>
          <w:spacing w:val="-14"/>
        </w:rPr>
        <w:t> </w:t>
      </w:r>
      <w:r>
        <w:rPr/>
        <w:t>and</w:t>
      </w:r>
      <w:r>
        <w:rPr>
          <w:spacing w:val="-13"/>
        </w:rPr>
        <w:t> </w:t>
      </w:r>
      <w:r>
        <w:rPr/>
        <w:t>the</w:t>
      </w:r>
      <w:r>
        <w:rPr>
          <w:spacing w:val="-14"/>
        </w:rPr>
        <w:t> </w:t>
      </w:r>
      <w:r>
        <w:rPr/>
        <w:t>area</w:t>
      </w:r>
      <w:r>
        <w:rPr>
          <w:spacing w:val="-14"/>
        </w:rPr>
        <w:t> </w:t>
      </w:r>
      <w:r>
        <w:rPr/>
        <w:t>under</w:t>
      </w:r>
      <w:r>
        <w:rPr>
          <w:spacing w:val="-14"/>
        </w:rPr>
        <w:t> </w:t>
      </w:r>
      <w:r>
        <w:rPr/>
        <w:t>DP</w:t>
      </w:r>
      <w:r>
        <w:rPr>
          <w:spacing w:val="-13"/>
        </w:rPr>
        <w:t> </w:t>
      </w:r>
      <w:r>
        <w:rPr/>
        <w:t>road/</w:t>
      </w:r>
      <w:r>
        <w:rPr>
          <w:spacing w:val="-14"/>
        </w:rPr>
        <w:t> </w:t>
      </w:r>
      <w:r>
        <w:rPr/>
        <w:t>existing</w:t>
      </w:r>
      <w:r>
        <w:rPr>
          <w:spacing w:val="-14"/>
        </w:rPr>
        <w:t> </w:t>
      </w:r>
      <w:r>
        <w:rPr/>
        <w:t>roads</w:t>
      </w:r>
      <w:r>
        <w:rPr>
          <w:spacing w:val="-14"/>
        </w:rPr>
        <w:t> </w:t>
      </w:r>
      <w:r>
        <w:rPr/>
        <w:t>falling</w:t>
      </w:r>
      <w:r>
        <w:rPr>
          <w:spacing w:val="-14"/>
        </w:rPr>
        <w:t> </w:t>
      </w:r>
      <w:r>
        <w:rPr/>
        <w:t>in</w:t>
      </w:r>
      <w:r>
        <w:rPr>
          <w:spacing w:val="-14"/>
        </w:rPr>
        <w:t> </w:t>
      </w:r>
      <w:r>
        <w:rPr/>
        <w:t>the CDS may be allowed to rearranged based on the comprehensive traffic study without affecting the continuity of the existing traffic </w:t>
      </w:r>
      <w:r>
        <w:rPr/>
        <w:t>movement and</w:t>
      </w:r>
      <w:r>
        <w:rPr>
          <w:spacing w:val="-10"/>
        </w:rPr>
        <w:t> </w:t>
      </w:r>
      <w:r>
        <w:rPr/>
        <w:t>without</w:t>
      </w:r>
      <w:r>
        <w:rPr>
          <w:spacing w:val="-10"/>
        </w:rPr>
        <w:t> </w:t>
      </w:r>
      <w:r>
        <w:rPr/>
        <w:t>reducing</w:t>
      </w:r>
      <w:r>
        <w:rPr>
          <w:spacing w:val="-10"/>
        </w:rPr>
        <w:t> </w:t>
      </w:r>
      <w:r>
        <w:rPr/>
        <w:t>the</w:t>
      </w:r>
      <w:r>
        <w:rPr>
          <w:spacing w:val="-10"/>
        </w:rPr>
        <w:t> </w:t>
      </w:r>
      <w:r>
        <w:rPr/>
        <w:t>total</w:t>
      </w:r>
      <w:r>
        <w:rPr>
          <w:spacing w:val="-10"/>
        </w:rPr>
        <w:t> </w:t>
      </w:r>
      <w:r>
        <w:rPr/>
        <w:t>area</w:t>
      </w:r>
      <w:r>
        <w:rPr>
          <w:spacing w:val="-10"/>
        </w:rPr>
        <w:t> </w:t>
      </w:r>
      <w:r>
        <w:rPr/>
        <w:t>of</w:t>
      </w:r>
      <w:r>
        <w:rPr>
          <w:spacing w:val="-10"/>
        </w:rPr>
        <w:t> </w:t>
      </w:r>
      <w:r>
        <w:rPr/>
        <w:t>the</w:t>
      </w:r>
      <w:r>
        <w:rPr>
          <w:spacing w:val="-10"/>
        </w:rPr>
        <w:t> </w:t>
      </w:r>
      <w:r>
        <w:rPr/>
        <w:t>existing</w:t>
      </w:r>
      <w:r>
        <w:rPr>
          <w:spacing w:val="-10"/>
        </w:rPr>
        <w:t> </w:t>
      </w:r>
      <w:r>
        <w:rPr/>
        <w:t>road</w:t>
      </w:r>
      <w:r>
        <w:rPr>
          <w:spacing w:val="-10"/>
        </w:rPr>
        <w:t> </w:t>
      </w:r>
      <w:r>
        <w:rPr/>
        <w:t>&amp;</w:t>
      </w:r>
      <w:r>
        <w:rPr>
          <w:spacing w:val="-10"/>
        </w:rPr>
        <w:t> </w:t>
      </w:r>
      <w:r>
        <w:rPr/>
        <w:t>DP</w:t>
      </w:r>
      <w:r>
        <w:rPr>
          <w:spacing w:val="-6"/>
        </w:rPr>
        <w:t> </w:t>
      </w:r>
      <w:r>
        <w:rPr/>
        <w:t>Road.</w:t>
      </w:r>
      <w:r>
        <w:rPr>
          <w:spacing w:val="-10"/>
        </w:rPr>
        <w:t> </w:t>
      </w:r>
      <w:r>
        <w:rPr/>
        <w:t>The existing roads may be realigned or relocated as per provisions of MMC </w:t>
      </w:r>
      <w:r>
        <w:rPr>
          <w:spacing w:val="-4"/>
        </w:rPr>
        <w:t>Act.</w:t>
      </w:r>
    </w:p>
    <w:p>
      <w:pPr>
        <w:pStyle w:val="ListParagraph"/>
        <w:numPr>
          <w:ilvl w:val="0"/>
          <w:numId w:val="167"/>
        </w:numPr>
        <w:tabs>
          <w:tab w:pos="2406" w:val="left" w:leader="none"/>
        </w:tabs>
        <w:spacing w:line="240" w:lineRule="auto" w:before="242" w:after="0"/>
        <w:ind w:left="2062" w:right="768" w:firstLine="0"/>
        <w:jc w:val="both"/>
        <w:rPr>
          <w:sz w:val="24"/>
        </w:rPr>
      </w:pPr>
      <w:r>
        <w:rPr>
          <w:sz w:val="24"/>
        </w:rPr>
        <w:t>No premium shall be charged for the fungible compensatory area admissible</w:t>
      </w:r>
      <w:r>
        <w:rPr>
          <w:spacing w:val="-6"/>
          <w:sz w:val="24"/>
        </w:rPr>
        <w:t> </w:t>
      </w:r>
      <w:r>
        <w:rPr>
          <w:sz w:val="24"/>
        </w:rPr>
        <w:t>as</w:t>
      </w:r>
      <w:r>
        <w:rPr>
          <w:spacing w:val="-6"/>
          <w:sz w:val="24"/>
        </w:rPr>
        <w:t> </w:t>
      </w:r>
      <w:r>
        <w:rPr>
          <w:sz w:val="24"/>
        </w:rPr>
        <w:t>per</w:t>
      </w:r>
      <w:r>
        <w:rPr>
          <w:spacing w:val="-6"/>
          <w:sz w:val="24"/>
        </w:rPr>
        <w:t> </w:t>
      </w:r>
      <w:r>
        <w:rPr>
          <w:sz w:val="24"/>
        </w:rPr>
        <w:t>Regulation</w:t>
      </w:r>
      <w:r>
        <w:rPr>
          <w:spacing w:val="-5"/>
          <w:sz w:val="24"/>
        </w:rPr>
        <w:t> </w:t>
      </w:r>
      <w:r>
        <w:rPr>
          <w:sz w:val="24"/>
        </w:rPr>
        <w:t>31(3)</w:t>
      </w:r>
      <w:r>
        <w:rPr>
          <w:spacing w:val="-6"/>
          <w:sz w:val="24"/>
        </w:rPr>
        <w:t> </w:t>
      </w:r>
      <w:r>
        <w:rPr>
          <w:sz w:val="24"/>
        </w:rPr>
        <w:t>for</w:t>
      </w:r>
      <w:r>
        <w:rPr>
          <w:spacing w:val="-6"/>
          <w:sz w:val="24"/>
        </w:rPr>
        <w:t> </w:t>
      </w:r>
      <w:r>
        <w:rPr>
          <w:sz w:val="24"/>
        </w:rPr>
        <w:t>rehabilitation</w:t>
      </w:r>
      <w:r>
        <w:rPr>
          <w:spacing w:val="-6"/>
          <w:sz w:val="24"/>
        </w:rPr>
        <w:t> </w:t>
      </w:r>
      <w:r>
        <w:rPr>
          <w:sz w:val="24"/>
        </w:rPr>
        <w:t>component</w:t>
      </w:r>
      <w:r>
        <w:rPr>
          <w:spacing w:val="-6"/>
          <w:sz w:val="24"/>
        </w:rPr>
        <w:t> </w:t>
      </w:r>
      <w:r>
        <w:rPr>
          <w:sz w:val="24"/>
        </w:rPr>
        <w:t>of</w:t>
      </w:r>
      <w:r>
        <w:rPr>
          <w:spacing w:val="-6"/>
          <w:sz w:val="24"/>
        </w:rPr>
        <w:t> </w:t>
      </w:r>
      <w:r>
        <w:rPr>
          <w:sz w:val="24"/>
        </w:rPr>
        <w:t>CDS as sanctioned by HPC and for the tenements to be handed over to MHADA and for the areas of reservation to be handed over to MCGM/Appropriate Authority. This fungiblecompensatory area admissible to the rehabilitation tenements shall be utilized for rehabilitation</w:t>
      </w:r>
      <w:r>
        <w:rPr>
          <w:spacing w:val="-12"/>
          <w:sz w:val="24"/>
        </w:rPr>
        <w:t> </w:t>
      </w:r>
      <w:r>
        <w:rPr>
          <w:sz w:val="24"/>
        </w:rPr>
        <w:t>component</w:t>
      </w:r>
      <w:r>
        <w:rPr>
          <w:spacing w:val="-12"/>
          <w:sz w:val="24"/>
        </w:rPr>
        <w:t> </w:t>
      </w:r>
      <w:r>
        <w:rPr>
          <w:sz w:val="24"/>
        </w:rPr>
        <w:t>only.</w:t>
      </w:r>
      <w:r>
        <w:rPr>
          <w:spacing w:val="-12"/>
          <w:sz w:val="24"/>
        </w:rPr>
        <w:t> </w:t>
      </w:r>
      <w:r>
        <w:rPr>
          <w:sz w:val="24"/>
        </w:rPr>
        <w:t>Its</w:t>
      </w:r>
      <w:r>
        <w:rPr>
          <w:spacing w:val="-12"/>
          <w:sz w:val="24"/>
        </w:rPr>
        <w:t> </w:t>
      </w:r>
      <w:r>
        <w:rPr>
          <w:sz w:val="24"/>
        </w:rPr>
        <w:t>utilization</w:t>
      </w:r>
      <w:r>
        <w:rPr>
          <w:spacing w:val="-12"/>
          <w:sz w:val="24"/>
        </w:rPr>
        <w:t> </w:t>
      </w:r>
      <w:r>
        <w:rPr>
          <w:sz w:val="24"/>
        </w:rPr>
        <w:t>for</w:t>
      </w:r>
      <w:r>
        <w:rPr>
          <w:spacing w:val="-12"/>
          <w:sz w:val="24"/>
        </w:rPr>
        <w:t> </w:t>
      </w:r>
      <w:r>
        <w:rPr>
          <w:sz w:val="24"/>
        </w:rPr>
        <w:t>Sale</w:t>
      </w:r>
      <w:r>
        <w:rPr>
          <w:spacing w:val="-12"/>
          <w:sz w:val="24"/>
        </w:rPr>
        <w:t> </w:t>
      </w:r>
      <w:r>
        <w:rPr>
          <w:sz w:val="24"/>
        </w:rPr>
        <w:t>Component</w:t>
      </w:r>
      <w:r>
        <w:rPr>
          <w:spacing w:val="-12"/>
          <w:sz w:val="24"/>
        </w:rPr>
        <w:t> </w:t>
      </w:r>
      <w:r>
        <w:rPr>
          <w:sz w:val="24"/>
        </w:rPr>
        <w:t>under the URS shall not be permissible.</w:t>
      </w:r>
    </w:p>
    <w:p>
      <w:pPr>
        <w:pStyle w:val="ListParagraph"/>
        <w:numPr>
          <w:ilvl w:val="0"/>
          <w:numId w:val="138"/>
        </w:numPr>
        <w:tabs>
          <w:tab w:pos="2361" w:val="left" w:leader="none"/>
        </w:tabs>
        <w:spacing w:line="240" w:lineRule="auto" w:before="241" w:after="0"/>
        <w:ind w:left="2062" w:right="768" w:firstLine="0"/>
        <w:jc w:val="both"/>
        <w:rPr>
          <w:sz w:val="24"/>
        </w:rPr>
      </w:pPr>
      <w:r>
        <w:rPr>
          <w:sz w:val="24"/>
        </w:rPr>
        <w:t>30%</w:t>
      </w:r>
      <w:r>
        <w:rPr>
          <w:spacing w:val="-6"/>
          <w:sz w:val="24"/>
        </w:rPr>
        <w:t> </w:t>
      </w:r>
      <w:r>
        <w:rPr>
          <w:sz w:val="24"/>
        </w:rPr>
        <w:t>of</w:t>
      </w:r>
      <w:r>
        <w:rPr>
          <w:spacing w:val="-6"/>
          <w:sz w:val="24"/>
        </w:rPr>
        <w:t> </w:t>
      </w:r>
      <w:r>
        <w:rPr>
          <w:sz w:val="24"/>
        </w:rPr>
        <w:t>the</w:t>
      </w:r>
      <w:r>
        <w:rPr>
          <w:spacing w:val="-6"/>
          <w:sz w:val="24"/>
        </w:rPr>
        <w:t> </w:t>
      </w:r>
      <w:r>
        <w:rPr>
          <w:sz w:val="24"/>
        </w:rPr>
        <w:t>incentive</w:t>
      </w:r>
      <w:r>
        <w:rPr>
          <w:spacing w:val="-6"/>
          <w:sz w:val="24"/>
        </w:rPr>
        <w:t> </w:t>
      </w:r>
      <w:r>
        <w:rPr>
          <w:sz w:val="24"/>
        </w:rPr>
        <w:t>FSI</w:t>
      </w:r>
      <w:r>
        <w:rPr>
          <w:spacing w:val="-4"/>
          <w:sz w:val="24"/>
        </w:rPr>
        <w:t> </w:t>
      </w:r>
      <w:r>
        <w:rPr>
          <w:sz w:val="24"/>
        </w:rPr>
        <w:t>can</w:t>
      </w:r>
      <w:r>
        <w:rPr>
          <w:spacing w:val="-6"/>
          <w:sz w:val="24"/>
        </w:rPr>
        <w:t> </w:t>
      </w:r>
      <w:r>
        <w:rPr>
          <w:sz w:val="24"/>
        </w:rPr>
        <w:t>be</w:t>
      </w:r>
      <w:r>
        <w:rPr>
          <w:spacing w:val="-8"/>
          <w:sz w:val="24"/>
        </w:rPr>
        <w:t> </w:t>
      </w:r>
      <w:r>
        <w:rPr>
          <w:sz w:val="24"/>
        </w:rPr>
        <w:t>used</w:t>
      </w:r>
      <w:r>
        <w:rPr>
          <w:spacing w:val="-6"/>
          <w:sz w:val="24"/>
        </w:rPr>
        <w:t> </w:t>
      </w:r>
      <w:r>
        <w:rPr>
          <w:sz w:val="24"/>
        </w:rPr>
        <w:t>for</w:t>
      </w:r>
      <w:r>
        <w:rPr>
          <w:spacing w:val="-6"/>
          <w:sz w:val="24"/>
        </w:rPr>
        <w:t> </w:t>
      </w:r>
      <w:r>
        <w:rPr>
          <w:sz w:val="24"/>
        </w:rPr>
        <w:t>non-residential</w:t>
      </w:r>
      <w:r>
        <w:rPr>
          <w:spacing w:val="-6"/>
          <w:sz w:val="24"/>
        </w:rPr>
        <w:t> </w:t>
      </w:r>
      <w:r>
        <w:rPr>
          <w:sz w:val="24"/>
        </w:rPr>
        <w:t>purposes</w:t>
      </w:r>
      <w:r>
        <w:rPr>
          <w:spacing w:val="-6"/>
          <w:sz w:val="24"/>
        </w:rPr>
        <w:t> </w:t>
      </w:r>
      <w:r>
        <w:rPr>
          <w:sz w:val="24"/>
        </w:rPr>
        <w:t>as otherwisepermissible under the DCR.</w:t>
      </w:r>
    </w:p>
    <w:p>
      <w:pPr>
        <w:pStyle w:val="ListParagraph"/>
        <w:numPr>
          <w:ilvl w:val="0"/>
          <w:numId w:val="138"/>
        </w:numPr>
        <w:tabs>
          <w:tab w:pos="2694" w:val="left" w:leader="none"/>
        </w:tabs>
        <w:spacing w:line="240" w:lineRule="auto" w:before="238" w:after="0"/>
        <w:ind w:left="2062" w:right="847" w:firstLine="0"/>
        <w:jc w:val="both"/>
        <w:rPr>
          <w:sz w:val="24"/>
        </w:rPr>
      </w:pPr>
      <w:r>
        <w:rPr>
          <w:sz w:val="24"/>
        </w:rPr>
        <w:t>Development cess at the rate of 100%of Development Charge, subject to a minimum of Rs 5000 per sq. m. for BUA over and above the existing BUA(excludingfungible compensatory area/BUA), for the rehabilitation and free sale component, shall be leviable in respect of any CDS by the MCGM and in accordance with the time schedule for such</w:t>
      </w:r>
      <w:r>
        <w:rPr>
          <w:spacing w:val="-15"/>
          <w:sz w:val="24"/>
        </w:rPr>
        <w:t> </w:t>
      </w:r>
      <w:r>
        <w:rPr>
          <w:sz w:val="24"/>
        </w:rPr>
        <w:t>payment</w:t>
      </w:r>
      <w:r>
        <w:rPr>
          <w:spacing w:val="-15"/>
          <w:sz w:val="24"/>
        </w:rPr>
        <w:t> </w:t>
      </w:r>
      <w:r>
        <w:rPr>
          <w:sz w:val="24"/>
        </w:rPr>
        <w:t>as</w:t>
      </w:r>
      <w:r>
        <w:rPr>
          <w:spacing w:val="-13"/>
          <w:sz w:val="24"/>
        </w:rPr>
        <w:t> </w:t>
      </w:r>
      <w:r>
        <w:rPr>
          <w:sz w:val="24"/>
        </w:rPr>
        <w:t>may</w:t>
      </w:r>
      <w:r>
        <w:rPr>
          <w:spacing w:val="-15"/>
          <w:sz w:val="24"/>
        </w:rPr>
        <w:t> </w:t>
      </w:r>
      <w:r>
        <w:rPr>
          <w:sz w:val="24"/>
        </w:rPr>
        <w:t>be</w:t>
      </w:r>
      <w:r>
        <w:rPr>
          <w:spacing w:val="-15"/>
          <w:sz w:val="24"/>
        </w:rPr>
        <w:t> </w:t>
      </w:r>
      <w:r>
        <w:rPr>
          <w:sz w:val="24"/>
        </w:rPr>
        <w:t>laid</w:t>
      </w:r>
      <w:r>
        <w:rPr>
          <w:spacing w:val="-15"/>
          <w:sz w:val="24"/>
        </w:rPr>
        <w:t> </w:t>
      </w:r>
      <w:r>
        <w:rPr>
          <w:sz w:val="24"/>
        </w:rPr>
        <w:t>down</w:t>
      </w:r>
      <w:r>
        <w:rPr>
          <w:spacing w:val="-13"/>
          <w:sz w:val="24"/>
        </w:rPr>
        <w:t> </w:t>
      </w:r>
      <w:r>
        <w:rPr>
          <w:sz w:val="24"/>
        </w:rPr>
        <w:t>by</w:t>
      </w:r>
      <w:r>
        <w:rPr>
          <w:spacing w:val="-15"/>
          <w:sz w:val="24"/>
        </w:rPr>
        <w:t> </w:t>
      </w:r>
      <w:r>
        <w:rPr>
          <w:sz w:val="24"/>
        </w:rPr>
        <w:t>the</w:t>
      </w:r>
      <w:r>
        <w:rPr>
          <w:spacing w:val="-13"/>
          <w:sz w:val="24"/>
        </w:rPr>
        <w:t> </w:t>
      </w:r>
      <w:r>
        <w:rPr>
          <w:sz w:val="24"/>
        </w:rPr>
        <w:t>Commissioner.</w:t>
      </w:r>
      <w:r>
        <w:rPr>
          <w:spacing w:val="-14"/>
          <w:sz w:val="24"/>
        </w:rPr>
        <w:t> </w:t>
      </w:r>
      <w:r>
        <w:rPr>
          <w:sz w:val="24"/>
        </w:rPr>
        <w:t>Development</w:t>
      </w:r>
    </w:p>
    <w:p>
      <w:pPr>
        <w:pStyle w:val="ListParagraph"/>
        <w:spacing w:after="0" w:line="240" w:lineRule="auto"/>
        <w:jc w:val="both"/>
        <w:rPr>
          <w:sz w:val="24"/>
        </w:rPr>
        <w:sectPr>
          <w:pgSz w:w="11910" w:h="16840"/>
          <w:pgMar w:header="1065" w:footer="1194" w:top="1500" w:bottom="1380" w:left="360" w:right="360"/>
        </w:sectPr>
      </w:pPr>
    </w:p>
    <w:p>
      <w:pPr>
        <w:spacing w:before="247"/>
        <w:ind w:left="2062" w:right="854" w:firstLine="0"/>
        <w:jc w:val="both"/>
        <w:rPr>
          <w:rFonts w:ascii="Calibri"/>
          <w:sz w:val="22"/>
        </w:rPr>
      </w:pPr>
      <w:r>
        <w:rPr>
          <w:sz w:val="24"/>
        </w:rPr>
        <w:t>cess </w:t>
      </w:r>
      <w:r>
        <w:rPr>
          <w:rFonts w:ascii="Calibri"/>
          <w:sz w:val="22"/>
        </w:rPr>
        <w:t>shall be in addition to development charges levied as per section 124 of MR&amp;TP Act </w:t>
      </w:r>
      <w:r>
        <w:rPr>
          <w:rFonts w:ascii="Calibri"/>
          <w:spacing w:val="-2"/>
          <w:sz w:val="22"/>
        </w:rPr>
        <w:t>1966.</w:t>
      </w:r>
    </w:p>
    <w:p>
      <w:pPr>
        <w:pStyle w:val="BodyText"/>
        <w:spacing w:before="242"/>
        <w:ind w:left="2062" w:right="768"/>
      </w:pPr>
      <w:r>
        <w:rPr/>
        <w:t>This</w:t>
      </w:r>
      <w:r>
        <w:rPr>
          <w:spacing w:val="-1"/>
        </w:rPr>
        <w:t> </w:t>
      </w:r>
      <w:r>
        <w:rPr/>
        <w:t>development</w:t>
      </w:r>
      <w:r>
        <w:rPr>
          <w:spacing w:val="-1"/>
        </w:rPr>
        <w:t> </w:t>
      </w:r>
      <w:r>
        <w:rPr/>
        <w:t>cess shall</w:t>
      </w:r>
      <w:r>
        <w:rPr>
          <w:spacing w:val="-1"/>
        </w:rPr>
        <w:t> </w:t>
      </w:r>
      <w:r>
        <w:rPr/>
        <w:t>not</w:t>
      </w:r>
      <w:r>
        <w:rPr>
          <w:spacing w:val="-1"/>
        </w:rPr>
        <w:t> </w:t>
      </w:r>
      <w:r>
        <w:rPr/>
        <w:t>be</w:t>
      </w:r>
      <w:r>
        <w:rPr>
          <w:spacing w:val="-1"/>
        </w:rPr>
        <w:t> </w:t>
      </w:r>
      <w:r>
        <w:rPr/>
        <w:t>applicable</w:t>
      </w:r>
      <w:r>
        <w:rPr>
          <w:spacing w:val="-1"/>
        </w:rPr>
        <w:t> </w:t>
      </w:r>
      <w:r>
        <w:rPr/>
        <w:t>to</w:t>
      </w:r>
      <w:r>
        <w:rPr>
          <w:spacing w:val="-1"/>
        </w:rPr>
        <w:t> </w:t>
      </w:r>
      <w:r>
        <w:rPr/>
        <w:t>the</w:t>
      </w:r>
      <w:r>
        <w:rPr>
          <w:spacing w:val="-1"/>
        </w:rPr>
        <w:t> </w:t>
      </w:r>
      <w:r>
        <w:rPr/>
        <w:t>BUA to</w:t>
      </w:r>
      <w:r>
        <w:rPr>
          <w:spacing w:val="-1"/>
        </w:rPr>
        <w:t> </w:t>
      </w:r>
      <w:r>
        <w:rPr/>
        <w:t>be</w:t>
      </w:r>
      <w:r>
        <w:rPr>
          <w:spacing w:val="-1"/>
        </w:rPr>
        <w:t> </w:t>
      </w:r>
      <w:r>
        <w:rPr/>
        <w:t>handed over</w:t>
      </w:r>
      <w:r>
        <w:rPr>
          <w:spacing w:val="-13"/>
        </w:rPr>
        <w:t> </w:t>
      </w:r>
      <w:r>
        <w:rPr/>
        <w:t>to</w:t>
      </w:r>
      <w:r>
        <w:rPr>
          <w:spacing w:val="-13"/>
        </w:rPr>
        <w:t> </w:t>
      </w:r>
      <w:r>
        <w:rPr/>
        <w:t>the</w:t>
      </w:r>
      <w:r>
        <w:rPr>
          <w:spacing w:val="-13"/>
        </w:rPr>
        <w:t> </w:t>
      </w:r>
      <w:r>
        <w:rPr/>
        <w:t>MCGM</w:t>
      </w:r>
      <w:r>
        <w:rPr>
          <w:spacing w:val="-15"/>
        </w:rPr>
        <w:t> </w:t>
      </w:r>
      <w:r>
        <w:rPr/>
        <w:t>or</w:t>
      </w:r>
      <w:r>
        <w:rPr>
          <w:spacing w:val="-15"/>
        </w:rPr>
        <w:t> </w:t>
      </w:r>
      <w:r>
        <w:rPr/>
        <w:t>any</w:t>
      </w:r>
      <w:r>
        <w:rPr>
          <w:spacing w:val="-13"/>
        </w:rPr>
        <w:t> </w:t>
      </w:r>
      <w:r>
        <w:rPr/>
        <w:t>Public</w:t>
      </w:r>
      <w:r>
        <w:rPr>
          <w:spacing w:val="-13"/>
        </w:rPr>
        <w:t> </w:t>
      </w:r>
      <w:r>
        <w:rPr/>
        <w:t>Authority</w:t>
      </w:r>
      <w:r>
        <w:rPr>
          <w:spacing w:val="-13"/>
        </w:rPr>
        <w:t> </w:t>
      </w:r>
      <w:r>
        <w:rPr/>
        <w:t>in</w:t>
      </w:r>
      <w:r>
        <w:rPr>
          <w:spacing w:val="-13"/>
        </w:rPr>
        <w:t> </w:t>
      </w:r>
      <w:r>
        <w:rPr/>
        <w:t>lieu</w:t>
      </w:r>
      <w:r>
        <w:rPr>
          <w:spacing w:val="-13"/>
        </w:rPr>
        <w:t> </w:t>
      </w:r>
      <w:r>
        <w:rPr/>
        <w:t>of</w:t>
      </w:r>
      <w:r>
        <w:rPr>
          <w:spacing w:val="-15"/>
        </w:rPr>
        <w:t> </w:t>
      </w:r>
      <w:r>
        <w:rPr/>
        <w:t>reservation</w:t>
      </w:r>
      <w:r>
        <w:rPr>
          <w:spacing w:val="-13"/>
        </w:rPr>
        <w:t> </w:t>
      </w:r>
      <w:r>
        <w:rPr/>
        <w:t>or</w:t>
      </w:r>
      <w:r>
        <w:rPr>
          <w:spacing w:val="-13"/>
        </w:rPr>
        <w:t> </w:t>
      </w:r>
      <w:r>
        <w:rPr/>
        <w:t>to</w:t>
      </w:r>
      <w:r>
        <w:rPr>
          <w:spacing w:val="-13"/>
        </w:rPr>
        <w:t> </w:t>
      </w:r>
      <w:r>
        <w:rPr/>
        <w:t>the amenity areas to be handed over to the MCGM as per the requirement indicated by the MCGM or the HPC.</w:t>
      </w:r>
    </w:p>
    <w:p>
      <w:pPr>
        <w:pStyle w:val="ListParagraph"/>
        <w:numPr>
          <w:ilvl w:val="0"/>
          <w:numId w:val="138"/>
        </w:numPr>
        <w:tabs>
          <w:tab w:pos="2579" w:val="left" w:leader="none"/>
        </w:tabs>
        <w:spacing w:line="240" w:lineRule="auto" w:before="242" w:after="0"/>
        <w:ind w:left="2062" w:right="766" w:firstLine="0"/>
        <w:jc w:val="both"/>
        <w:rPr>
          <w:sz w:val="24"/>
        </w:rPr>
      </w:pPr>
      <w:r>
        <w:rPr>
          <w:sz w:val="24"/>
        </w:rPr>
        <w:t>Temporary transit camps may be permitted in the same CDor elsewhere</w:t>
      </w:r>
      <w:r>
        <w:rPr>
          <w:spacing w:val="-14"/>
          <w:sz w:val="24"/>
        </w:rPr>
        <w:t> </w:t>
      </w:r>
      <w:r>
        <w:rPr>
          <w:sz w:val="24"/>
        </w:rPr>
        <w:t>in</w:t>
      </w:r>
      <w:r>
        <w:rPr>
          <w:spacing w:val="-14"/>
          <w:sz w:val="24"/>
        </w:rPr>
        <w:t> </w:t>
      </w:r>
      <w:r>
        <w:rPr>
          <w:sz w:val="24"/>
        </w:rPr>
        <w:t>MCGM</w:t>
      </w:r>
      <w:r>
        <w:rPr>
          <w:spacing w:val="-16"/>
          <w:sz w:val="24"/>
        </w:rPr>
        <w:t> </w:t>
      </w:r>
      <w:r>
        <w:rPr>
          <w:sz w:val="24"/>
        </w:rPr>
        <w:t>limits</w:t>
      </w:r>
      <w:r>
        <w:rPr>
          <w:spacing w:val="-14"/>
          <w:sz w:val="24"/>
        </w:rPr>
        <w:t> </w:t>
      </w:r>
      <w:r>
        <w:rPr>
          <w:sz w:val="24"/>
        </w:rPr>
        <w:t>on</w:t>
      </w:r>
      <w:r>
        <w:rPr>
          <w:spacing w:val="-14"/>
          <w:sz w:val="24"/>
        </w:rPr>
        <w:t> </w:t>
      </w:r>
      <w:r>
        <w:rPr>
          <w:sz w:val="24"/>
        </w:rPr>
        <w:t>land</w:t>
      </w:r>
      <w:r>
        <w:rPr>
          <w:spacing w:val="-14"/>
          <w:sz w:val="24"/>
        </w:rPr>
        <w:t> </w:t>
      </w:r>
      <w:r>
        <w:rPr>
          <w:sz w:val="24"/>
        </w:rPr>
        <w:t>belonging</w:t>
      </w:r>
      <w:r>
        <w:rPr>
          <w:spacing w:val="-14"/>
          <w:sz w:val="24"/>
        </w:rPr>
        <w:t> </w:t>
      </w:r>
      <w:r>
        <w:rPr>
          <w:sz w:val="24"/>
        </w:rPr>
        <w:t>to</w:t>
      </w:r>
      <w:r>
        <w:rPr>
          <w:spacing w:val="-14"/>
          <w:sz w:val="24"/>
        </w:rPr>
        <w:t> </w:t>
      </w:r>
      <w:r>
        <w:rPr>
          <w:sz w:val="24"/>
        </w:rPr>
        <w:t>the</w:t>
      </w:r>
      <w:r>
        <w:rPr>
          <w:spacing w:val="-14"/>
          <w:sz w:val="24"/>
        </w:rPr>
        <w:t> </w:t>
      </w:r>
      <w:r>
        <w:rPr>
          <w:sz w:val="24"/>
        </w:rPr>
        <w:t>Promoter/Developer up to 4.00 FSI with the concessions permissible under SRA Scheme under Regulation 33(10). Such transit camps shall have to be demolished after full occupation certificate is granted to the Rehabilitation Component by the Corporation for the reconstructed building.</w:t>
      </w:r>
      <w:r>
        <w:rPr>
          <w:spacing w:val="-6"/>
          <w:sz w:val="24"/>
        </w:rPr>
        <w:t> </w:t>
      </w:r>
      <w:r>
        <w:rPr>
          <w:sz w:val="24"/>
        </w:rPr>
        <w:t>Till</w:t>
      </w:r>
      <w:r>
        <w:rPr>
          <w:spacing w:val="-4"/>
          <w:sz w:val="24"/>
        </w:rPr>
        <w:t> </w:t>
      </w:r>
      <w:r>
        <w:rPr>
          <w:sz w:val="24"/>
        </w:rPr>
        <w:t>the</w:t>
      </w:r>
      <w:r>
        <w:rPr>
          <w:spacing w:val="-6"/>
          <w:sz w:val="24"/>
        </w:rPr>
        <w:t> </w:t>
      </w:r>
      <w:r>
        <w:rPr>
          <w:sz w:val="24"/>
        </w:rPr>
        <w:t>transit</w:t>
      </w:r>
      <w:r>
        <w:rPr>
          <w:spacing w:val="-6"/>
          <w:sz w:val="24"/>
        </w:rPr>
        <w:t> </w:t>
      </w:r>
      <w:r>
        <w:rPr>
          <w:sz w:val="24"/>
        </w:rPr>
        <w:t>camps</w:t>
      </w:r>
      <w:r>
        <w:rPr>
          <w:spacing w:val="-6"/>
          <w:sz w:val="24"/>
        </w:rPr>
        <w:t> </w:t>
      </w:r>
      <w:r>
        <w:rPr>
          <w:sz w:val="24"/>
        </w:rPr>
        <w:t>are</w:t>
      </w:r>
      <w:r>
        <w:rPr>
          <w:spacing w:val="-6"/>
          <w:sz w:val="24"/>
        </w:rPr>
        <w:t> </w:t>
      </w:r>
      <w:r>
        <w:rPr>
          <w:sz w:val="24"/>
        </w:rPr>
        <w:t>fully</w:t>
      </w:r>
      <w:r>
        <w:rPr>
          <w:spacing w:val="-3"/>
          <w:sz w:val="24"/>
        </w:rPr>
        <w:t> </w:t>
      </w:r>
      <w:r>
        <w:rPr>
          <w:sz w:val="24"/>
        </w:rPr>
        <w:t>demolished,</w:t>
      </w:r>
      <w:r>
        <w:rPr>
          <w:spacing w:val="-6"/>
          <w:sz w:val="24"/>
        </w:rPr>
        <w:t> </w:t>
      </w:r>
      <w:r>
        <w:rPr>
          <w:sz w:val="24"/>
        </w:rPr>
        <w:t>the</w:t>
      </w:r>
      <w:r>
        <w:rPr>
          <w:spacing w:val="-6"/>
          <w:sz w:val="24"/>
        </w:rPr>
        <w:t> </w:t>
      </w:r>
      <w:r>
        <w:rPr>
          <w:sz w:val="24"/>
        </w:rPr>
        <w:t>Commissioner shall not release FSI for the free sale area under the CDS in excess of 75% of the total admissible Incentive FSI.</w:t>
      </w:r>
    </w:p>
    <w:p>
      <w:pPr>
        <w:pStyle w:val="ListParagraph"/>
        <w:numPr>
          <w:ilvl w:val="0"/>
          <w:numId w:val="138"/>
        </w:numPr>
        <w:tabs>
          <w:tab w:pos="2515" w:val="left" w:leader="none"/>
        </w:tabs>
        <w:spacing w:line="240" w:lineRule="auto" w:before="239" w:after="0"/>
        <w:ind w:left="2062" w:right="769" w:firstLine="0"/>
        <w:jc w:val="both"/>
        <w:rPr>
          <w:sz w:val="24"/>
        </w:rPr>
      </w:pPr>
      <w:r>
        <w:rPr>
          <w:sz w:val="24"/>
        </w:rPr>
        <w:t>Non-conforming</w:t>
      </w:r>
      <w:r>
        <w:rPr>
          <w:spacing w:val="-1"/>
          <w:sz w:val="24"/>
        </w:rPr>
        <w:t> </w:t>
      </w:r>
      <w:r>
        <w:rPr>
          <w:sz w:val="24"/>
        </w:rPr>
        <w:t>Activities:</w:t>
      </w:r>
      <w:r>
        <w:rPr>
          <w:spacing w:val="40"/>
          <w:sz w:val="24"/>
        </w:rPr>
        <w:t> </w:t>
      </w:r>
      <w:r>
        <w:rPr>
          <w:sz w:val="24"/>
        </w:rPr>
        <w:t>All</w:t>
      </w:r>
      <w:r>
        <w:rPr>
          <w:spacing w:val="-2"/>
          <w:sz w:val="24"/>
        </w:rPr>
        <w:t> </w:t>
      </w:r>
      <w:r>
        <w:rPr>
          <w:sz w:val="24"/>
        </w:rPr>
        <w:t>activities</w:t>
      </w:r>
      <w:r>
        <w:rPr>
          <w:spacing w:val="-2"/>
          <w:sz w:val="24"/>
        </w:rPr>
        <w:t> </w:t>
      </w:r>
      <w:r>
        <w:rPr>
          <w:sz w:val="24"/>
        </w:rPr>
        <w:t>which</w:t>
      </w:r>
      <w:r>
        <w:rPr>
          <w:spacing w:val="-2"/>
          <w:sz w:val="24"/>
        </w:rPr>
        <w:t> </w:t>
      </w:r>
      <w:r>
        <w:rPr>
          <w:sz w:val="24"/>
        </w:rPr>
        <w:t>are</w:t>
      </w:r>
      <w:r>
        <w:rPr>
          <w:spacing w:val="-2"/>
          <w:sz w:val="24"/>
        </w:rPr>
        <w:t> </w:t>
      </w:r>
      <w:r>
        <w:rPr>
          <w:sz w:val="24"/>
        </w:rPr>
        <w:t>existing</w:t>
      </w:r>
      <w:r>
        <w:rPr>
          <w:spacing w:val="-2"/>
          <w:sz w:val="24"/>
        </w:rPr>
        <w:t> </w:t>
      </w:r>
      <w:r>
        <w:rPr>
          <w:sz w:val="24"/>
        </w:rPr>
        <w:t>shall</w:t>
      </w:r>
      <w:r>
        <w:rPr>
          <w:spacing w:val="-2"/>
          <w:sz w:val="24"/>
        </w:rPr>
        <w:t> </w:t>
      </w:r>
      <w:r>
        <w:rPr>
          <w:sz w:val="24"/>
        </w:rPr>
        <w:t>be allowed to be re-accommodated regardless of the non-conforming nature</w:t>
      </w:r>
      <w:r>
        <w:rPr>
          <w:spacing w:val="-4"/>
          <w:sz w:val="24"/>
        </w:rPr>
        <w:t> </w:t>
      </w:r>
      <w:r>
        <w:rPr>
          <w:sz w:val="24"/>
        </w:rPr>
        <w:t>of</w:t>
      </w:r>
      <w:r>
        <w:rPr>
          <w:spacing w:val="-4"/>
          <w:sz w:val="24"/>
        </w:rPr>
        <w:t> </w:t>
      </w:r>
      <w:r>
        <w:rPr>
          <w:sz w:val="24"/>
        </w:rPr>
        <w:t>such</w:t>
      </w:r>
      <w:r>
        <w:rPr>
          <w:spacing w:val="-4"/>
          <w:sz w:val="24"/>
        </w:rPr>
        <w:t> </w:t>
      </w:r>
      <w:r>
        <w:rPr>
          <w:sz w:val="24"/>
        </w:rPr>
        <w:t>activities</w:t>
      </w:r>
      <w:r>
        <w:rPr>
          <w:spacing w:val="-4"/>
          <w:sz w:val="24"/>
        </w:rPr>
        <w:t> </w:t>
      </w:r>
      <w:r>
        <w:rPr>
          <w:sz w:val="24"/>
        </w:rPr>
        <w:t>excepting</w:t>
      </w:r>
      <w:r>
        <w:rPr>
          <w:spacing w:val="-4"/>
          <w:sz w:val="24"/>
        </w:rPr>
        <w:t> </w:t>
      </w:r>
      <w:r>
        <w:rPr>
          <w:sz w:val="24"/>
        </w:rPr>
        <w:t>those</w:t>
      </w:r>
      <w:r>
        <w:rPr>
          <w:spacing w:val="-7"/>
          <w:sz w:val="24"/>
        </w:rPr>
        <w:t> </w:t>
      </w:r>
      <w:r>
        <w:rPr>
          <w:sz w:val="24"/>
        </w:rPr>
        <w:t>that</w:t>
      </w:r>
      <w:r>
        <w:rPr>
          <w:spacing w:val="-4"/>
          <w:sz w:val="24"/>
        </w:rPr>
        <w:t> </w:t>
      </w:r>
      <w:r>
        <w:rPr>
          <w:sz w:val="24"/>
        </w:rPr>
        <w:t>are</w:t>
      </w:r>
      <w:r>
        <w:rPr>
          <w:spacing w:val="-4"/>
          <w:sz w:val="24"/>
        </w:rPr>
        <w:t> </w:t>
      </w:r>
      <w:r>
        <w:rPr>
          <w:sz w:val="24"/>
        </w:rPr>
        <w:t>hazardous</w:t>
      </w:r>
      <w:r>
        <w:rPr>
          <w:spacing w:val="-4"/>
          <w:sz w:val="24"/>
        </w:rPr>
        <w:t> </w:t>
      </w:r>
      <w:r>
        <w:rPr>
          <w:sz w:val="24"/>
        </w:rPr>
        <w:t>and</w:t>
      </w:r>
      <w:r>
        <w:rPr>
          <w:spacing w:val="-4"/>
          <w:sz w:val="24"/>
        </w:rPr>
        <w:t> </w:t>
      </w:r>
      <w:r>
        <w:rPr>
          <w:sz w:val="24"/>
        </w:rPr>
        <w:t>highly polluting and those where alternative accommodation has to be provided elsewhere by the Promoter/Developer/MCGM.</w:t>
      </w:r>
    </w:p>
    <w:p>
      <w:pPr>
        <w:pStyle w:val="Heading6"/>
        <w:numPr>
          <w:ilvl w:val="0"/>
          <w:numId w:val="138"/>
        </w:numPr>
        <w:tabs>
          <w:tab w:pos="2512" w:val="left" w:leader="none"/>
        </w:tabs>
        <w:spacing w:line="240" w:lineRule="auto" w:before="238" w:after="0"/>
        <w:ind w:left="2512" w:right="0" w:hanging="450"/>
        <w:jc w:val="both"/>
        <w:rPr>
          <w:b w:val="0"/>
          <w:i w:val="0"/>
        </w:rPr>
      </w:pPr>
      <w:r>
        <w:rPr/>
        <w:t>Relaxation</w:t>
      </w:r>
      <w:r>
        <w:rPr>
          <w:spacing w:val="-4"/>
        </w:rPr>
        <w:t> </w:t>
      </w:r>
      <w:r>
        <w:rPr/>
        <w:t>in</w:t>
      </w:r>
      <w:r>
        <w:rPr>
          <w:spacing w:val="-4"/>
        </w:rPr>
        <w:t> </w:t>
      </w:r>
      <w:r>
        <w:rPr/>
        <w:t>Building</w:t>
      </w:r>
      <w:r>
        <w:rPr>
          <w:spacing w:val="-3"/>
        </w:rPr>
        <w:t> </w:t>
      </w:r>
      <w:r>
        <w:rPr/>
        <w:t>and</w:t>
      </w:r>
      <w:r>
        <w:rPr>
          <w:spacing w:val="-4"/>
        </w:rPr>
        <w:t> </w:t>
      </w:r>
      <w:r>
        <w:rPr/>
        <w:t>other</w:t>
      </w:r>
      <w:r>
        <w:rPr>
          <w:spacing w:val="-3"/>
        </w:rPr>
        <w:t> </w:t>
      </w:r>
      <w:r>
        <w:rPr>
          <w:spacing w:val="-2"/>
        </w:rPr>
        <w:t>requirements:</w:t>
      </w:r>
    </w:p>
    <w:p>
      <w:pPr>
        <w:pStyle w:val="BodyText"/>
        <w:spacing w:before="244"/>
        <w:ind w:left="2062" w:right="766"/>
      </w:pPr>
      <w:r>
        <w:rPr/>
        <w:t>In case of tenements of 27.88 sq. m Carpet area for rehabilitation or tenements to be given to MHADA, towards its share and the BUA to be handed over to the Planning Authority/Appropriate Authority, the following shall be applicable.</w:t>
      </w:r>
    </w:p>
    <w:p>
      <w:pPr>
        <w:pStyle w:val="ListParagraph"/>
        <w:numPr>
          <w:ilvl w:val="1"/>
          <w:numId w:val="138"/>
        </w:numPr>
        <w:tabs>
          <w:tab w:pos="2687" w:val="left" w:leader="none"/>
        </w:tabs>
        <w:spacing w:line="240" w:lineRule="auto" w:before="239" w:after="0"/>
        <w:ind w:left="2062" w:right="766" w:firstLine="0"/>
        <w:jc w:val="both"/>
        <w:rPr>
          <w:sz w:val="24"/>
        </w:rPr>
      </w:pPr>
      <w:r>
        <w:rPr>
          <w:sz w:val="24"/>
        </w:rPr>
        <w:t>Calculation of FSI for all purposes shall be on gross area of the CDS.Provision of </w:t>
      </w:r>
      <w:r>
        <w:rPr>
          <w:color w:val="000000"/>
          <w:sz w:val="24"/>
          <w:shd w:fill="FFCCFF" w:color="auto" w:val="clear"/>
        </w:rPr>
        <w:t>LOS</w:t>
      </w:r>
      <w:r>
        <w:rPr>
          <w:color w:val="000000"/>
          <w:sz w:val="24"/>
        </w:rPr>
        <w:t>, to be kept on the site as per prevailing D.C. </w:t>
      </w:r>
      <w:r>
        <w:rPr>
          <w:color w:val="000000"/>
          <w:spacing w:val="-2"/>
          <w:sz w:val="24"/>
        </w:rPr>
        <w:t>Regulations.</w:t>
      </w:r>
    </w:p>
    <w:p>
      <w:pPr>
        <w:pStyle w:val="ListParagraph"/>
        <w:numPr>
          <w:ilvl w:val="1"/>
          <w:numId w:val="138"/>
        </w:numPr>
        <w:tabs>
          <w:tab w:pos="2656" w:val="left" w:leader="none"/>
        </w:tabs>
        <w:spacing w:line="240" w:lineRule="auto" w:before="240" w:after="0"/>
        <w:ind w:left="2062" w:right="768" w:firstLine="0"/>
        <w:jc w:val="both"/>
        <w:rPr>
          <w:sz w:val="24"/>
        </w:rPr>
      </w:pPr>
      <w:r>
        <w:rPr>
          <w:sz w:val="24"/>
        </w:rPr>
        <w:t>Notwithstanding</w:t>
      </w:r>
      <w:r>
        <w:rPr>
          <w:spacing w:val="-7"/>
          <w:sz w:val="24"/>
        </w:rPr>
        <w:t> </w:t>
      </w:r>
      <w:r>
        <w:rPr>
          <w:sz w:val="24"/>
        </w:rPr>
        <w:t>anything</w:t>
      </w:r>
      <w:r>
        <w:rPr>
          <w:spacing w:val="-7"/>
          <w:sz w:val="24"/>
        </w:rPr>
        <w:t> </w:t>
      </w:r>
      <w:r>
        <w:rPr>
          <w:sz w:val="24"/>
        </w:rPr>
        <w:t>contained</w:t>
      </w:r>
      <w:r>
        <w:rPr>
          <w:spacing w:val="-7"/>
          <w:sz w:val="24"/>
        </w:rPr>
        <w:t> </w:t>
      </w:r>
      <w:r>
        <w:rPr>
          <w:sz w:val="24"/>
        </w:rPr>
        <w:t>in</w:t>
      </w:r>
      <w:r>
        <w:rPr>
          <w:spacing w:val="-7"/>
          <w:sz w:val="24"/>
        </w:rPr>
        <w:t> </w:t>
      </w:r>
      <w:r>
        <w:rPr>
          <w:sz w:val="24"/>
        </w:rPr>
        <w:t>Regulation</w:t>
      </w:r>
      <w:r>
        <w:rPr>
          <w:spacing w:val="-4"/>
          <w:sz w:val="24"/>
        </w:rPr>
        <w:t> </w:t>
      </w:r>
      <w:r>
        <w:rPr>
          <w:sz w:val="24"/>
        </w:rPr>
        <w:t>No.31(1),</w:t>
      </w:r>
      <w:r>
        <w:rPr>
          <w:spacing w:val="-7"/>
          <w:sz w:val="24"/>
        </w:rPr>
        <w:t> </w:t>
      </w:r>
      <w:r>
        <w:rPr>
          <w:sz w:val="24"/>
        </w:rPr>
        <w:t>areas of</w:t>
      </w:r>
      <w:r>
        <w:rPr>
          <w:spacing w:val="-6"/>
          <w:sz w:val="24"/>
        </w:rPr>
        <w:t> </w:t>
      </w:r>
      <w:r>
        <w:rPr>
          <w:sz w:val="24"/>
        </w:rPr>
        <w:t>common</w:t>
      </w:r>
      <w:r>
        <w:rPr>
          <w:spacing w:val="-5"/>
          <w:sz w:val="24"/>
        </w:rPr>
        <w:t> </w:t>
      </w:r>
      <w:r>
        <w:rPr>
          <w:sz w:val="24"/>
        </w:rPr>
        <w:t>passages</w:t>
      </w:r>
      <w:r>
        <w:rPr>
          <w:spacing w:val="-4"/>
          <w:sz w:val="24"/>
        </w:rPr>
        <w:t> </w:t>
      </w:r>
      <w:r>
        <w:rPr>
          <w:sz w:val="24"/>
        </w:rPr>
        <w:t>not</w:t>
      </w:r>
      <w:r>
        <w:rPr>
          <w:spacing w:val="-6"/>
          <w:sz w:val="24"/>
        </w:rPr>
        <w:t> </w:t>
      </w:r>
      <w:r>
        <w:rPr>
          <w:sz w:val="24"/>
        </w:rPr>
        <w:t>exceeding</w:t>
      </w:r>
      <w:r>
        <w:rPr>
          <w:spacing w:val="-6"/>
          <w:sz w:val="24"/>
        </w:rPr>
        <w:t> </w:t>
      </w:r>
      <w:r>
        <w:rPr>
          <w:sz w:val="24"/>
        </w:rPr>
        <w:t>2.00</w:t>
      </w:r>
      <w:r>
        <w:rPr>
          <w:spacing w:val="-1"/>
          <w:sz w:val="24"/>
        </w:rPr>
        <w:t> </w:t>
      </w:r>
      <w:r>
        <w:rPr>
          <w:sz w:val="24"/>
        </w:rPr>
        <w:t>m</w:t>
      </w:r>
      <w:r>
        <w:rPr>
          <w:spacing w:val="-5"/>
          <w:sz w:val="24"/>
        </w:rPr>
        <w:t> </w:t>
      </w:r>
      <w:r>
        <w:rPr>
          <w:sz w:val="24"/>
        </w:rPr>
        <w:t>in</w:t>
      </w:r>
      <w:r>
        <w:rPr>
          <w:spacing w:val="-6"/>
          <w:sz w:val="24"/>
        </w:rPr>
        <w:t> </w:t>
      </w:r>
      <w:r>
        <w:rPr>
          <w:sz w:val="24"/>
        </w:rPr>
        <w:t>width,</w:t>
      </w:r>
      <w:r>
        <w:rPr>
          <w:spacing w:val="-6"/>
          <w:sz w:val="24"/>
        </w:rPr>
        <w:t> </w:t>
      </w:r>
      <w:r>
        <w:rPr>
          <w:sz w:val="24"/>
        </w:rPr>
        <w:t>provided</w:t>
      </w:r>
      <w:r>
        <w:rPr>
          <w:spacing w:val="-4"/>
          <w:sz w:val="24"/>
        </w:rPr>
        <w:t> </w:t>
      </w:r>
      <w:r>
        <w:rPr>
          <w:sz w:val="24"/>
        </w:rPr>
        <w:t>for</w:t>
      </w:r>
      <w:r>
        <w:rPr>
          <w:spacing w:val="-6"/>
          <w:sz w:val="24"/>
        </w:rPr>
        <w:t> </w:t>
      </w:r>
      <w:r>
        <w:rPr>
          <w:sz w:val="24"/>
        </w:rPr>
        <w:t>giving access</w:t>
      </w:r>
      <w:r>
        <w:rPr>
          <w:spacing w:val="-13"/>
          <w:sz w:val="24"/>
        </w:rPr>
        <w:t> </w:t>
      </w:r>
      <w:r>
        <w:rPr>
          <w:sz w:val="24"/>
        </w:rPr>
        <w:t>to</w:t>
      </w:r>
      <w:r>
        <w:rPr>
          <w:spacing w:val="-13"/>
          <w:sz w:val="24"/>
        </w:rPr>
        <w:t> </w:t>
      </w:r>
      <w:r>
        <w:rPr>
          <w:sz w:val="24"/>
        </w:rPr>
        <w:t>the</w:t>
      </w:r>
      <w:r>
        <w:rPr>
          <w:spacing w:val="-13"/>
          <w:sz w:val="24"/>
        </w:rPr>
        <w:t> </w:t>
      </w:r>
      <w:r>
        <w:rPr>
          <w:sz w:val="24"/>
        </w:rPr>
        <w:t>tenements</w:t>
      </w:r>
      <w:r>
        <w:rPr>
          <w:spacing w:val="-13"/>
          <w:sz w:val="24"/>
        </w:rPr>
        <w:t> </w:t>
      </w:r>
      <w:r>
        <w:rPr>
          <w:sz w:val="24"/>
        </w:rPr>
        <w:t>in</w:t>
      </w:r>
      <w:r>
        <w:rPr>
          <w:spacing w:val="-13"/>
          <w:sz w:val="24"/>
        </w:rPr>
        <w:t> </w:t>
      </w:r>
      <w:r>
        <w:rPr>
          <w:sz w:val="24"/>
        </w:rPr>
        <w:t>rehabilitation</w:t>
      </w:r>
      <w:r>
        <w:rPr>
          <w:spacing w:val="-11"/>
          <w:sz w:val="24"/>
        </w:rPr>
        <w:t> </w:t>
      </w:r>
      <w:r>
        <w:rPr>
          <w:sz w:val="24"/>
        </w:rPr>
        <w:t>component</w:t>
      </w:r>
      <w:r>
        <w:rPr>
          <w:spacing w:val="-13"/>
          <w:sz w:val="24"/>
        </w:rPr>
        <w:t> </w:t>
      </w:r>
      <w:r>
        <w:rPr>
          <w:sz w:val="24"/>
        </w:rPr>
        <w:t>and</w:t>
      </w:r>
      <w:r>
        <w:rPr>
          <w:spacing w:val="-13"/>
          <w:sz w:val="24"/>
        </w:rPr>
        <w:t> </w:t>
      </w:r>
      <w:r>
        <w:rPr>
          <w:sz w:val="24"/>
        </w:rPr>
        <w:t>the</w:t>
      </w:r>
      <w:r>
        <w:rPr>
          <w:spacing w:val="-13"/>
          <w:sz w:val="24"/>
        </w:rPr>
        <w:t> </w:t>
      </w:r>
      <w:r>
        <w:rPr>
          <w:sz w:val="24"/>
        </w:rPr>
        <w:t>tenements to</w:t>
      </w:r>
      <w:r>
        <w:rPr>
          <w:spacing w:val="-11"/>
          <w:sz w:val="24"/>
        </w:rPr>
        <w:t> </w:t>
      </w:r>
      <w:r>
        <w:rPr>
          <w:sz w:val="24"/>
        </w:rPr>
        <w:t>be</w:t>
      </w:r>
      <w:r>
        <w:rPr>
          <w:spacing w:val="-11"/>
          <w:sz w:val="24"/>
        </w:rPr>
        <w:t> </w:t>
      </w:r>
      <w:r>
        <w:rPr>
          <w:sz w:val="24"/>
        </w:rPr>
        <w:t>handed</w:t>
      </w:r>
      <w:r>
        <w:rPr>
          <w:spacing w:val="-11"/>
          <w:sz w:val="24"/>
        </w:rPr>
        <w:t> </w:t>
      </w:r>
      <w:r>
        <w:rPr>
          <w:sz w:val="24"/>
        </w:rPr>
        <w:t>over</w:t>
      </w:r>
      <w:r>
        <w:rPr>
          <w:spacing w:val="-11"/>
          <w:sz w:val="24"/>
        </w:rPr>
        <w:t> </w:t>
      </w:r>
      <w:r>
        <w:rPr>
          <w:sz w:val="24"/>
        </w:rPr>
        <w:t>against</w:t>
      </w:r>
      <w:r>
        <w:rPr>
          <w:spacing w:val="-11"/>
          <w:sz w:val="24"/>
        </w:rPr>
        <w:t> </w:t>
      </w:r>
      <w:r>
        <w:rPr>
          <w:sz w:val="24"/>
        </w:rPr>
        <w:t>reservation</w:t>
      </w:r>
      <w:r>
        <w:rPr>
          <w:spacing w:val="-11"/>
          <w:sz w:val="24"/>
        </w:rPr>
        <w:t> </w:t>
      </w:r>
      <w:r>
        <w:rPr>
          <w:sz w:val="24"/>
        </w:rPr>
        <w:t>and</w:t>
      </w:r>
      <w:r>
        <w:rPr>
          <w:spacing w:val="-11"/>
          <w:sz w:val="24"/>
        </w:rPr>
        <w:t> </w:t>
      </w:r>
      <w:r>
        <w:rPr>
          <w:sz w:val="24"/>
        </w:rPr>
        <w:t>MHADA</w:t>
      </w:r>
      <w:r>
        <w:rPr>
          <w:spacing w:val="-11"/>
          <w:sz w:val="24"/>
        </w:rPr>
        <w:t> </w:t>
      </w:r>
      <w:r>
        <w:rPr>
          <w:sz w:val="24"/>
        </w:rPr>
        <w:t>component</w:t>
      </w:r>
      <w:r>
        <w:rPr>
          <w:spacing w:val="-11"/>
          <w:sz w:val="24"/>
        </w:rPr>
        <w:t> </w:t>
      </w:r>
      <w:r>
        <w:rPr>
          <w:sz w:val="24"/>
        </w:rPr>
        <w:t>shall</w:t>
      </w:r>
      <w:r>
        <w:rPr>
          <w:spacing w:val="-11"/>
          <w:sz w:val="24"/>
        </w:rPr>
        <w:t> </w:t>
      </w:r>
      <w:r>
        <w:rPr>
          <w:sz w:val="24"/>
        </w:rPr>
        <w:t>not be counted towards FSI.</w:t>
      </w:r>
    </w:p>
    <w:p>
      <w:pPr>
        <w:pStyle w:val="ListParagraph"/>
        <w:numPr>
          <w:ilvl w:val="1"/>
          <w:numId w:val="138"/>
        </w:numPr>
        <w:tabs>
          <w:tab w:pos="2675" w:val="left" w:leader="none"/>
        </w:tabs>
        <w:spacing w:line="240" w:lineRule="auto" w:before="240" w:after="0"/>
        <w:ind w:left="2062" w:right="766" w:firstLine="0"/>
        <w:jc w:val="both"/>
        <w:rPr>
          <w:sz w:val="24"/>
        </w:rPr>
      </w:pPr>
      <w:r>
        <w:rPr>
          <w:sz w:val="24"/>
        </w:rPr>
        <w:t>Front and marginal open spaces, for a building having height up to</w:t>
      </w:r>
      <w:r>
        <w:rPr>
          <w:spacing w:val="-20"/>
          <w:sz w:val="24"/>
        </w:rPr>
        <w:t> </w:t>
      </w:r>
      <w:r>
        <w:rPr>
          <w:sz w:val="24"/>
        </w:rPr>
        <w:t>32.0</w:t>
      </w:r>
      <w:r>
        <w:rPr>
          <w:spacing w:val="-19"/>
          <w:sz w:val="24"/>
        </w:rPr>
        <w:t> </w:t>
      </w:r>
      <w:r>
        <w:rPr>
          <w:sz w:val="24"/>
        </w:rPr>
        <w:t>m.</w:t>
      </w:r>
      <w:r>
        <w:rPr>
          <w:spacing w:val="-19"/>
          <w:sz w:val="24"/>
        </w:rPr>
        <w:t> </w:t>
      </w:r>
      <w:r>
        <w:rPr>
          <w:sz w:val="24"/>
        </w:rPr>
        <w:t>in</w:t>
      </w:r>
      <w:r>
        <w:rPr>
          <w:spacing w:val="-19"/>
          <w:sz w:val="24"/>
        </w:rPr>
        <w:t> </w:t>
      </w:r>
      <w:r>
        <w:rPr>
          <w:sz w:val="24"/>
        </w:rPr>
        <w:t>the</w:t>
      </w:r>
      <w:r>
        <w:rPr>
          <w:spacing w:val="-19"/>
          <w:sz w:val="24"/>
        </w:rPr>
        <w:t> </w:t>
      </w:r>
      <w:r>
        <w:rPr>
          <w:sz w:val="24"/>
        </w:rPr>
        <w:t>rehabilitation</w:t>
      </w:r>
      <w:r>
        <w:rPr>
          <w:spacing w:val="-20"/>
          <w:sz w:val="24"/>
        </w:rPr>
        <w:t> </w:t>
      </w:r>
      <w:r>
        <w:rPr>
          <w:sz w:val="24"/>
        </w:rPr>
        <w:t>component</w:t>
      </w:r>
      <w:r>
        <w:rPr>
          <w:spacing w:val="-19"/>
          <w:sz w:val="24"/>
        </w:rPr>
        <w:t> </w:t>
      </w:r>
      <w:r>
        <w:rPr>
          <w:sz w:val="24"/>
        </w:rPr>
        <w:t>or</w:t>
      </w:r>
      <w:r>
        <w:rPr>
          <w:spacing w:val="-19"/>
          <w:sz w:val="24"/>
        </w:rPr>
        <w:t> </w:t>
      </w:r>
      <w:r>
        <w:rPr>
          <w:sz w:val="24"/>
        </w:rPr>
        <w:t>a</w:t>
      </w:r>
      <w:r>
        <w:rPr>
          <w:spacing w:val="-19"/>
          <w:sz w:val="24"/>
        </w:rPr>
        <w:t> </w:t>
      </w:r>
      <w:r>
        <w:rPr>
          <w:sz w:val="24"/>
        </w:rPr>
        <w:t>composite</w:t>
      </w:r>
      <w:r>
        <w:rPr>
          <w:spacing w:val="-19"/>
          <w:sz w:val="24"/>
        </w:rPr>
        <w:t> </w:t>
      </w:r>
      <w:r>
        <w:rPr>
          <w:sz w:val="24"/>
        </w:rPr>
        <w:t>building,</w:t>
      </w:r>
      <w:r>
        <w:rPr>
          <w:spacing w:val="-20"/>
          <w:sz w:val="24"/>
        </w:rPr>
        <w:t> </w:t>
      </w:r>
      <w:r>
        <w:rPr>
          <w:sz w:val="24"/>
        </w:rPr>
        <w:t>shall be 3.0 and 4.5 m respectively.</w:t>
      </w:r>
    </w:p>
    <w:p>
      <w:pPr>
        <w:pStyle w:val="BodyText"/>
        <w:spacing w:before="240"/>
        <w:ind w:left="2062" w:right="769"/>
      </w:pPr>
      <w:r>
        <w:rPr/>
        <w:t>Provided that for a building having height more than 32.0 m and up to 70</w:t>
      </w:r>
      <w:r>
        <w:rPr>
          <w:spacing w:val="-12"/>
        </w:rPr>
        <w:t> </w:t>
      </w:r>
      <w:r>
        <w:rPr/>
        <w:t>m,</w:t>
      </w:r>
      <w:r>
        <w:rPr>
          <w:spacing w:val="-12"/>
        </w:rPr>
        <w:t> </w:t>
      </w:r>
      <w:r>
        <w:rPr/>
        <w:t>open</w:t>
      </w:r>
      <w:r>
        <w:rPr>
          <w:spacing w:val="-12"/>
        </w:rPr>
        <w:t> </w:t>
      </w:r>
      <w:r>
        <w:rPr/>
        <w:t>space</w:t>
      </w:r>
      <w:r>
        <w:rPr>
          <w:spacing w:val="-12"/>
        </w:rPr>
        <w:t> </w:t>
      </w:r>
      <w:r>
        <w:rPr/>
        <w:t>of</w:t>
      </w:r>
      <w:r>
        <w:rPr>
          <w:spacing w:val="-12"/>
        </w:rPr>
        <w:t> </w:t>
      </w:r>
      <w:r>
        <w:rPr/>
        <w:t>the</w:t>
      </w:r>
      <w:r>
        <w:rPr>
          <w:spacing w:val="-12"/>
        </w:rPr>
        <w:t> </w:t>
      </w:r>
      <w:r>
        <w:rPr/>
        <w:t>width</w:t>
      </w:r>
      <w:r>
        <w:rPr>
          <w:spacing w:val="-12"/>
        </w:rPr>
        <w:t> </w:t>
      </w:r>
      <w:r>
        <w:rPr/>
        <w:t>of</w:t>
      </w:r>
      <w:r>
        <w:rPr>
          <w:spacing w:val="-12"/>
        </w:rPr>
        <w:t> </w:t>
      </w:r>
      <w:r>
        <w:rPr/>
        <w:t>6</w:t>
      </w:r>
      <w:r>
        <w:rPr>
          <w:spacing w:val="-12"/>
        </w:rPr>
        <w:t> </w:t>
      </w:r>
      <w:r>
        <w:rPr/>
        <w:t>m</w:t>
      </w:r>
      <w:r>
        <w:rPr>
          <w:spacing w:val="-11"/>
        </w:rPr>
        <w:t> </w:t>
      </w:r>
      <w:r>
        <w:rPr/>
        <w:t>at</w:t>
      </w:r>
      <w:r>
        <w:rPr>
          <w:spacing w:val="-12"/>
        </w:rPr>
        <w:t> </w:t>
      </w:r>
      <w:r>
        <w:rPr/>
        <w:t>least</w:t>
      </w:r>
      <w:r>
        <w:rPr>
          <w:spacing w:val="-12"/>
        </w:rPr>
        <w:t> </w:t>
      </w:r>
      <w:r>
        <w:rPr/>
        <w:t>on</w:t>
      </w:r>
      <w:r>
        <w:rPr>
          <w:spacing w:val="-12"/>
        </w:rPr>
        <w:t> </w:t>
      </w:r>
      <w:r>
        <w:rPr/>
        <w:t>one</w:t>
      </w:r>
      <w:r>
        <w:rPr>
          <w:spacing w:val="-12"/>
        </w:rPr>
        <w:t> </w:t>
      </w:r>
      <w:r>
        <w:rPr/>
        <w:t>side</w:t>
      </w:r>
      <w:r>
        <w:rPr>
          <w:spacing w:val="-12"/>
        </w:rPr>
        <w:t> </w:t>
      </w:r>
      <w:r>
        <w:rPr/>
        <w:t>at</w:t>
      </w:r>
      <w:r>
        <w:rPr>
          <w:spacing w:val="-12"/>
        </w:rPr>
        <w:t> </w:t>
      </w:r>
      <w:r>
        <w:rPr/>
        <w:t>ground</w:t>
      </w:r>
      <w:r>
        <w:rPr>
          <w:spacing w:val="-12"/>
        </w:rPr>
        <w:t> </w:t>
      </w:r>
      <w:r>
        <w:rPr/>
        <w:t>level within</w:t>
      </w:r>
      <w:r>
        <w:rPr>
          <w:spacing w:val="64"/>
          <w:w w:val="150"/>
        </w:rPr>
        <w:t> </w:t>
      </w:r>
      <w:r>
        <w:rPr/>
        <w:t>the</w:t>
      </w:r>
      <w:r>
        <w:rPr>
          <w:spacing w:val="65"/>
          <w:w w:val="150"/>
        </w:rPr>
        <w:t> </w:t>
      </w:r>
      <w:r>
        <w:rPr/>
        <w:t>plot,</w:t>
      </w:r>
      <w:r>
        <w:rPr>
          <w:spacing w:val="65"/>
          <w:w w:val="150"/>
        </w:rPr>
        <w:t> </w:t>
      </w:r>
      <w:r>
        <w:rPr/>
        <w:t>accessible</w:t>
      </w:r>
      <w:r>
        <w:rPr>
          <w:spacing w:val="65"/>
          <w:w w:val="150"/>
        </w:rPr>
        <w:t> </w:t>
      </w:r>
      <w:r>
        <w:rPr/>
        <w:t>from</w:t>
      </w:r>
      <w:r>
        <w:rPr>
          <w:spacing w:val="65"/>
          <w:w w:val="150"/>
        </w:rPr>
        <w:t> </w:t>
      </w:r>
      <w:r>
        <w:rPr/>
        <w:t>the</w:t>
      </w:r>
      <w:r>
        <w:rPr>
          <w:spacing w:val="65"/>
          <w:w w:val="150"/>
        </w:rPr>
        <w:t> </w:t>
      </w:r>
      <w:r>
        <w:rPr/>
        <w:t>road</w:t>
      </w:r>
      <w:r>
        <w:rPr>
          <w:spacing w:val="65"/>
          <w:w w:val="150"/>
        </w:rPr>
        <w:t> </w:t>
      </w:r>
      <w:r>
        <w:rPr/>
        <w:t>side</w:t>
      </w:r>
      <w:r>
        <w:rPr>
          <w:spacing w:val="65"/>
          <w:w w:val="150"/>
        </w:rPr>
        <w:t> </w:t>
      </w:r>
      <w:r>
        <w:rPr/>
        <w:t>shall</w:t>
      </w:r>
      <w:r>
        <w:rPr>
          <w:spacing w:val="65"/>
          <w:w w:val="150"/>
        </w:rPr>
        <w:t> </w:t>
      </w:r>
      <w:r>
        <w:rPr/>
        <w:t>have</w:t>
      </w:r>
      <w:r>
        <w:rPr>
          <w:spacing w:val="64"/>
          <w:w w:val="150"/>
        </w:rPr>
        <w:t> </w:t>
      </w:r>
      <w:r>
        <w:rPr/>
        <w:t>to</w:t>
      </w:r>
      <w:r>
        <w:rPr>
          <w:spacing w:val="65"/>
          <w:w w:val="150"/>
        </w:rPr>
        <w:t> </w:t>
      </w:r>
      <w:r>
        <w:rPr>
          <w:spacing w:val="-5"/>
        </w:rPr>
        <w:t>be</w:t>
      </w:r>
    </w:p>
    <w:p>
      <w:pPr>
        <w:pStyle w:val="BodyText"/>
        <w:spacing w:after="0"/>
        <w:sectPr>
          <w:pgSz w:w="11910" w:h="16840"/>
          <w:pgMar w:header="1065" w:footer="1194" w:top="1500" w:bottom="1380" w:left="360" w:right="360"/>
        </w:sectPr>
      </w:pPr>
    </w:p>
    <w:p>
      <w:pPr>
        <w:pStyle w:val="BodyText"/>
        <w:spacing w:before="249"/>
        <w:ind w:left="2062" w:right="768"/>
      </w:pPr>
      <w:r>
        <w:rPr/>
        <w:t>maintained</w:t>
      </w:r>
      <w:r>
        <w:rPr>
          <w:spacing w:val="-4"/>
        </w:rPr>
        <w:t> </w:t>
      </w:r>
      <w:r>
        <w:rPr/>
        <w:t>for</w:t>
      </w:r>
      <w:r>
        <w:rPr>
          <w:spacing w:val="-4"/>
        </w:rPr>
        <w:t> </w:t>
      </w:r>
      <w:r>
        <w:rPr/>
        <w:t>the</w:t>
      </w:r>
      <w:r>
        <w:rPr>
          <w:spacing w:val="-7"/>
        </w:rPr>
        <w:t> </w:t>
      </w:r>
      <w:r>
        <w:rPr/>
        <w:t>maneuverability</w:t>
      </w:r>
      <w:r>
        <w:rPr>
          <w:spacing w:val="-4"/>
        </w:rPr>
        <w:t> </w:t>
      </w:r>
      <w:r>
        <w:rPr/>
        <w:t>of</w:t>
      </w:r>
      <w:r>
        <w:rPr>
          <w:spacing w:val="-4"/>
        </w:rPr>
        <w:t> </w:t>
      </w:r>
      <w:r>
        <w:rPr/>
        <w:t>a</w:t>
      </w:r>
      <w:r>
        <w:rPr>
          <w:spacing w:val="-7"/>
        </w:rPr>
        <w:t> </w:t>
      </w:r>
      <w:r>
        <w:rPr/>
        <w:t>fire</w:t>
      </w:r>
      <w:r>
        <w:rPr>
          <w:spacing w:val="-4"/>
        </w:rPr>
        <w:t> </w:t>
      </w:r>
      <w:r>
        <w:rPr/>
        <w:t>engine,</w:t>
      </w:r>
      <w:r>
        <w:rPr>
          <w:spacing w:val="-4"/>
        </w:rPr>
        <w:t> </w:t>
      </w:r>
      <w:r>
        <w:rPr/>
        <w:t>unless</w:t>
      </w:r>
      <w:r>
        <w:rPr>
          <w:spacing w:val="-7"/>
        </w:rPr>
        <w:t> </w:t>
      </w:r>
      <w:r>
        <w:rPr/>
        <w:t>the</w:t>
      </w:r>
      <w:r>
        <w:rPr>
          <w:spacing w:val="-4"/>
        </w:rPr>
        <w:t> </w:t>
      </w:r>
      <w:r>
        <w:rPr/>
        <w:t>building abuts two roads of 6 m or more on two sides, or another access of 6 m to the building is available, apart from the road abutting the building.</w:t>
      </w:r>
    </w:p>
    <w:p>
      <w:pPr>
        <w:pStyle w:val="ListParagraph"/>
        <w:numPr>
          <w:ilvl w:val="1"/>
          <w:numId w:val="138"/>
        </w:numPr>
        <w:tabs>
          <w:tab w:pos="2666" w:val="left" w:leader="none"/>
        </w:tabs>
        <w:spacing w:line="240" w:lineRule="auto" w:before="242" w:after="0"/>
        <w:ind w:left="2062" w:right="766" w:firstLine="0"/>
        <w:jc w:val="both"/>
        <w:rPr>
          <w:sz w:val="24"/>
        </w:rPr>
      </w:pPr>
      <w:r>
        <w:rPr>
          <w:sz w:val="24"/>
        </w:rPr>
        <w:t>Notwithstanding the provisions in Regulation No 41 (Table No 18) where</w:t>
      </w:r>
      <w:r>
        <w:rPr>
          <w:spacing w:val="-5"/>
          <w:sz w:val="24"/>
        </w:rPr>
        <w:t> </w:t>
      </w:r>
      <w:r>
        <w:rPr>
          <w:sz w:val="24"/>
        </w:rPr>
        <w:t>the</w:t>
      </w:r>
      <w:r>
        <w:rPr>
          <w:spacing w:val="-5"/>
          <w:sz w:val="24"/>
        </w:rPr>
        <w:t> </w:t>
      </w:r>
      <w:r>
        <w:rPr>
          <w:sz w:val="24"/>
        </w:rPr>
        <w:t>location</w:t>
      </w:r>
      <w:r>
        <w:rPr>
          <w:spacing w:val="-5"/>
          <w:sz w:val="24"/>
        </w:rPr>
        <w:t> </w:t>
      </w:r>
      <w:r>
        <w:rPr>
          <w:sz w:val="24"/>
        </w:rPr>
        <w:t>of</w:t>
      </w:r>
      <w:r>
        <w:rPr>
          <w:spacing w:val="-7"/>
          <w:sz w:val="24"/>
        </w:rPr>
        <w:t> </w:t>
      </w:r>
      <w:r>
        <w:rPr>
          <w:sz w:val="24"/>
        </w:rPr>
        <w:t>the</w:t>
      </w:r>
      <w:r>
        <w:rPr>
          <w:spacing w:val="-4"/>
          <w:sz w:val="24"/>
        </w:rPr>
        <w:t> </w:t>
      </w:r>
      <w:r>
        <w:rPr>
          <w:sz w:val="24"/>
        </w:rPr>
        <w:t>CD</w:t>
      </w:r>
      <w:r>
        <w:rPr>
          <w:spacing w:val="-5"/>
          <w:sz w:val="24"/>
        </w:rPr>
        <w:t> </w:t>
      </w:r>
      <w:r>
        <w:rPr>
          <w:sz w:val="24"/>
        </w:rPr>
        <w:t>plot</w:t>
      </w:r>
      <w:r>
        <w:rPr>
          <w:spacing w:val="-5"/>
          <w:sz w:val="24"/>
        </w:rPr>
        <w:t> </w:t>
      </w:r>
      <w:r>
        <w:rPr>
          <w:sz w:val="24"/>
        </w:rPr>
        <w:t>abuts</w:t>
      </w:r>
      <w:r>
        <w:rPr>
          <w:spacing w:val="-5"/>
          <w:sz w:val="24"/>
        </w:rPr>
        <w:t> </w:t>
      </w:r>
      <w:r>
        <w:rPr>
          <w:sz w:val="24"/>
        </w:rPr>
        <w:t>a</w:t>
      </w:r>
      <w:r>
        <w:rPr>
          <w:spacing w:val="-9"/>
          <w:sz w:val="24"/>
        </w:rPr>
        <w:t> </w:t>
      </w:r>
      <w:r>
        <w:rPr>
          <w:sz w:val="24"/>
        </w:rPr>
        <w:t>DP</w:t>
      </w:r>
      <w:r>
        <w:rPr>
          <w:spacing w:val="-5"/>
          <w:sz w:val="24"/>
        </w:rPr>
        <w:t> </w:t>
      </w:r>
      <w:r>
        <w:rPr>
          <w:sz w:val="24"/>
        </w:rPr>
        <w:t>Road</w:t>
      </w:r>
      <w:r>
        <w:rPr>
          <w:spacing w:val="-5"/>
          <w:sz w:val="24"/>
        </w:rPr>
        <w:t> </w:t>
      </w:r>
      <w:r>
        <w:rPr>
          <w:sz w:val="24"/>
        </w:rPr>
        <w:t>having</w:t>
      </w:r>
      <w:r>
        <w:rPr>
          <w:spacing w:val="-5"/>
          <w:sz w:val="24"/>
        </w:rPr>
        <w:t> </w:t>
      </w:r>
      <w:r>
        <w:rPr>
          <w:sz w:val="24"/>
        </w:rPr>
        <w:t>width</w:t>
      </w:r>
      <w:r>
        <w:rPr>
          <w:spacing w:val="-5"/>
          <w:sz w:val="24"/>
        </w:rPr>
        <w:t> </w:t>
      </w:r>
      <w:r>
        <w:rPr>
          <w:sz w:val="24"/>
        </w:rPr>
        <w:t>of</w:t>
      </w:r>
      <w:r>
        <w:rPr>
          <w:spacing w:val="-5"/>
          <w:sz w:val="24"/>
        </w:rPr>
        <w:t> </w:t>
      </w:r>
      <w:r>
        <w:rPr>
          <w:sz w:val="24"/>
        </w:rPr>
        <w:t>18.3 m</w:t>
      </w:r>
      <w:r>
        <w:rPr>
          <w:spacing w:val="-3"/>
          <w:sz w:val="24"/>
        </w:rPr>
        <w:t> </w:t>
      </w:r>
      <w:r>
        <w:rPr>
          <w:sz w:val="24"/>
        </w:rPr>
        <w:t>and</w:t>
      </w:r>
      <w:r>
        <w:rPr>
          <w:spacing w:val="-3"/>
          <w:sz w:val="24"/>
        </w:rPr>
        <w:t> </w:t>
      </w:r>
      <w:r>
        <w:rPr>
          <w:sz w:val="24"/>
        </w:rPr>
        <w:t>above.</w:t>
      </w:r>
      <w:r>
        <w:rPr>
          <w:spacing w:val="-3"/>
          <w:sz w:val="24"/>
        </w:rPr>
        <w:t> </w:t>
      </w:r>
      <w:r>
        <w:rPr>
          <w:sz w:val="24"/>
        </w:rPr>
        <w:t>The</w:t>
      </w:r>
      <w:r>
        <w:rPr>
          <w:spacing w:val="-3"/>
          <w:sz w:val="24"/>
        </w:rPr>
        <w:t> </w:t>
      </w:r>
      <w:r>
        <w:rPr>
          <w:sz w:val="24"/>
        </w:rPr>
        <w:t>front</w:t>
      </w:r>
      <w:r>
        <w:rPr>
          <w:spacing w:val="-3"/>
          <w:sz w:val="24"/>
        </w:rPr>
        <w:t> </w:t>
      </w:r>
      <w:r>
        <w:rPr>
          <w:sz w:val="24"/>
        </w:rPr>
        <w:t>marginal</w:t>
      </w:r>
      <w:r>
        <w:rPr>
          <w:spacing w:val="-3"/>
          <w:sz w:val="24"/>
        </w:rPr>
        <w:t> </w:t>
      </w:r>
      <w:r>
        <w:rPr>
          <w:sz w:val="24"/>
        </w:rPr>
        <w:t>open</w:t>
      </w:r>
      <w:r>
        <w:rPr>
          <w:spacing w:val="-3"/>
          <w:sz w:val="24"/>
        </w:rPr>
        <w:t> </w:t>
      </w:r>
      <w:r>
        <w:rPr>
          <w:sz w:val="24"/>
        </w:rPr>
        <w:t>space</w:t>
      </w:r>
      <w:r>
        <w:rPr>
          <w:spacing w:val="-3"/>
          <w:sz w:val="24"/>
        </w:rPr>
        <w:t> </w:t>
      </w:r>
      <w:r>
        <w:rPr>
          <w:sz w:val="24"/>
        </w:rPr>
        <w:t>shall</w:t>
      </w:r>
      <w:r>
        <w:rPr>
          <w:spacing w:val="-3"/>
          <w:sz w:val="24"/>
        </w:rPr>
        <w:t> </w:t>
      </w:r>
      <w:r>
        <w:rPr>
          <w:sz w:val="24"/>
        </w:rPr>
        <w:t>not</w:t>
      </w:r>
      <w:r>
        <w:rPr>
          <w:spacing w:val="-3"/>
          <w:sz w:val="24"/>
        </w:rPr>
        <w:t> </w:t>
      </w:r>
      <w:r>
        <w:rPr>
          <w:sz w:val="24"/>
        </w:rPr>
        <w:t>be</w:t>
      </w:r>
      <w:r>
        <w:rPr>
          <w:spacing w:val="-3"/>
          <w:sz w:val="24"/>
        </w:rPr>
        <w:t> </w:t>
      </w:r>
      <w:r>
        <w:rPr>
          <w:sz w:val="24"/>
        </w:rPr>
        <w:t>insisted</w:t>
      </w:r>
      <w:r>
        <w:rPr>
          <w:spacing w:val="-3"/>
          <w:sz w:val="24"/>
        </w:rPr>
        <w:t> </w:t>
      </w:r>
      <w:r>
        <w:rPr>
          <w:sz w:val="24"/>
        </w:rPr>
        <w:t>upon beyond 3.0 m provided such road is not an Express Highway or a road wider than 52 m.</w:t>
      </w:r>
    </w:p>
    <w:p>
      <w:pPr>
        <w:pStyle w:val="ListParagraph"/>
        <w:numPr>
          <w:ilvl w:val="1"/>
          <w:numId w:val="138"/>
        </w:numPr>
        <w:tabs>
          <w:tab w:pos="2711" w:val="left" w:leader="none"/>
        </w:tabs>
        <w:spacing w:line="240" w:lineRule="auto" w:before="240" w:after="0"/>
        <w:ind w:left="2062" w:right="768" w:firstLine="0"/>
        <w:jc w:val="both"/>
        <w:rPr>
          <w:sz w:val="24"/>
        </w:rPr>
      </w:pPr>
      <w:r>
        <w:rPr>
          <w:sz w:val="24"/>
        </w:rPr>
        <w:t>Where the location of the CD plot abuts a trained nallah, the marginal open space along the nallah shall be 6.0 m from the edge of the trained nallah,</w:t>
      </w:r>
    </w:p>
    <w:p>
      <w:pPr>
        <w:pStyle w:val="ListParagraph"/>
        <w:numPr>
          <w:ilvl w:val="1"/>
          <w:numId w:val="138"/>
        </w:numPr>
        <w:tabs>
          <w:tab w:pos="2663" w:val="left" w:leader="none"/>
        </w:tabs>
        <w:spacing w:line="240" w:lineRule="auto" w:before="241" w:after="0"/>
        <w:ind w:left="2062" w:right="772" w:firstLine="0"/>
        <w:jc w:val="both"/>
        <w:rPr>
          <w:sz w:val="24"/>
        </w:rPr>
      </w:pPr>
      <w:r>
        <w:rPr>
          <w:sz w:val="24"/>
        </w:rPr>
        <w:t>The</w:t>
      </w:r>
      <w:r>
        <w:rPr>
          <w:spacing w:val="-1"/>
          <w:sz w:val="24"/>
        </w:rPr>
        <w:t> </w:t>
      </w:r>
      <w:r>
        <w:rPr>
          <w:sz w:val="24"/>
        </w:rPr>
        <w:t>distance</w:t>
      </w:r>
      <w:r>
        <w:rPr>
          <w:spacing w:val="-1"/>
          <w:sz w:val="24"/>
        </w:rPr>
        <w:t> </w:t>
      </w:r>
      <w:r>
        <w:rPr>
          <w:sz w:val="24"/>
        </w:rPr>
        <w:t>between</w:t>
      </w:r>
      <w:r>
        <w:rPr>
          <w:spacing w:val="-1"/>
          <w:sz w:val="24"/>
        </w:rPr>
        <w:t> </w:t>
      </w:r>
      <w:r>
        <w:rPr>
          <w:sz w:val="24"/>
        </w:rPr>
        <w:t>any</w:t>
      </w:r>
      <w:r>
        <w:rPr>
          <w:spacing w:val="-1"/>
          <w:sz w:val="24"/>
        </w:rPr>
        <w:t> </w:t>
      </w:r>
      <w:r>
        <w:rPr>
          <w:sz w:val="24"/>
        </w:rPr>
        <w:t>two</w:t>
      </w:r>
      <w:r>
        <w:rPr>
          <w:spacing w:val="-1"/>
          <w:sz w:val="24"/>
        </w:rPr>
        <w:t> </w:t>
      </w:r>
      <w:r>
        <w:rPr>
          <w:sz w:val="24"/>
        </w:rPr>
        <w:t>rehabilitation</w:t>
      </w:r>
      <w:r>
        <w:rPr>
          <w:spacing w:val="-1"/>
          <w:sz w:val="24"/>
        </w:rPr>
        <w:t> </w:t>
      </w:r>
      <w:r>
        <w:rPr>
          <w:sz w:val="24"/>
        </w:rPr>
        <w:t>buildings</w:t>
      </w:r>
      <w:r>
        <w:rPr>
          <w:spacing w:val="-1"/>
          <w:sz w:val="24"/>
        </w:rPr>
        <w:t> </w:t>
      </w:r>
      <w:r>
        <w:rPr>
          <w:sz w:val="24"/>
        </w:rPr>
        <w:t>up</w:t>
      </w:r>
      <w:r>
        <w:rPr>
          <w:spacing w:val="-1"/>
          <w:sz w:val="24"/>
        </w:rPr>
        <w:t> </w:t>
      </w:r>
      <w:r>
        <w:rPr>
          <w:sz w:val="24"/>
        </w:rPr>
        <w:t>to</w:t>
      </w:r>
      <w:r>
        <w:rPr>
          <w:spacing w:val="-1"/>
          <w:sz w:val="24"/>
        </w:rPr>
        <w:t> </w:t>
      </w:r>
      <w:r>
        <w:rPr>
          <w:sz w:val="24"/>
        </w:rPr>
        <w:t>32 m height shall not be less than 6.00 m</w:t>
      </w:r>
    </w:p>
    <w:p>
      <w:pPr>
        <w:pStyle w:val="ListParagraph"/>
        <w:numPr>
          <w:ilvl w:val="1"/>
          <w:numId w:val="138"/>
        </w:numPr>
        <w:tabs>
          <w:tab w:pos="2666" w:val="left" w:leader="none"/>
        </w:tabs>
        <w:spacing w:line="240" w:lineRule="auto" w:before="238" w:after="0"/>
        <w:ind w:left="2666" w:right="0" w:hanging="604"/>
        <w:jc w:val="both"/>
        <w:rPr>
          <w:sz w:val="24"/>
        </w:rPr>
      </w:pPr>
      <w:r>
        <w:rPr>
          <w:sz w:val="24"/>
        </w:rPr>
        <w:t>If</w:t>
      </w:r>
      <w:r>
        <w:rPr>
          <w:spacing w:val="6"/>
          <w:sz w:val="24"/>
        </w:rPr>
        <w:t> </w:t>
      </w:r>
      <w:r>
        <w:rPr>
          <w:sz w:val="24"/>
        </w:rPr>
        <w:t>the</w:t>
      </w:r>
      <w:r>
        <w:rPr>
          <w:spacing w:val="6"/>
          <w:sz w:val="24"/>
        </w:rPr>
        <w:t> </w:t>
      </w:r>
      <w:r>
        <w:rPr>
          <w:sz w:val="24"/>
        </w:rPr>
        <w:t>height</w:t>
      </w:r>
      <w:r>
        <w:rPr>
          <w:spacing w:val="3"/>
          <w:sz w:val="24"/>
        </w:rPr>
        <w:t> </w:t>
      </w:r>
      <w:r>
        <w:rPr>
          <w:sz w:val="24"/>
        </w:rPr>
        <w:t>of</w:t>
      </w:r>
      <w:r>
        <w:rPr>
          <w:spacing w:val="3"/>
          <w:sz w:val="24"/>
        </w:rPr>
        <w:t> </w:t>
      </w:r>
      <w:r>
        <w:rPr>
          <w:sz w:val="24"/>
        </w:rPr>
        <w:t>any</w:t>
      </w:r>
      <w:r>
        <w:rPr>
          <w:spacing w:val="6"/>
          <w:sz w:val="24"/>
        </w:rPr>
        <w:t> </w:t>
      </w:r>
      <w:r>
        <w:rPr>
          <w:sz w:val="24"/>
        </w:rPr>
        <w:t>building</w:t>
      </w:r>
      <w:r>
        <w:rPr>
          <w:spacing w:val="6"/>
          <w:sz w:val="24"/>
        </w:rPr>
        <w:t> </w:t>
      </w:r>
      <w:r>
        <w:rPr>
          <w:sz w:val="24"/>
        </w:rPr>
        <w:t>constructed</w:t>
      </w:r>
      <w:r>
        <w:rPr>
          <w:spacing w:val="5"/>
          <w:sz w:val="24"/>
        </w:rPr>
        <w:t> </w:t>
      </w:r>
      <w:r>
        <w:rPr>
          <w:sz w:val="24"/>
        </w:rPr>
        <w:t>under</w:t>
      </w:r>
      <w:r>
        <w:rPr>
          <w:spacing w:val="9"/>
          <w:sz w:val="24"/>
        </w:rPr>
        <w:t> </w:t>
      </w:r>
      <w:r>
        <w:rPr>
          <w:sz w:val="24"/>
        </w:rPr>
        <w:t>CDS</w:t>
      </w:r>
      <w:r>
        <w:rPr>
          <w:spacing w:val="6"/>
          <w:sz w:val="24"/>
        </w:rPr>
        <w:t> </w:t>
      </w:r>
      <w:r>
        <w:rPr>
          <w:sz w:val="24"/>
        </w:rPr>
        <w:t>is</w:t>
      </w:r>
      <w:r>
        <w:rPr>
          <w:spacing w:val="3"/>
          <w:sz w:val="24"/>
        </w:rPr>
        <w:t> </w:t>
      </w:r>
      <w:r>
        <w:rPr>
          <w:sz w:val="24"/>
        </w:rPr>
        <w:t>more</w:t>
      </w:r>
      <w:r>
        <w:rPr>
          <w:spacing w:val="7"/>
          <w:sz w:val="24"/>
        </w:rPr>
        <w:t> </w:t>
      </w:r>
      <w:r>
        <w:rPr>
          <w:spacing w:val="-4"/>
          <w:sz w:val="24"/>
        </w:rPr>
        <w:t>than</w:t>
      </w:r>
    </w:p>
    <w:p>
      <w:pPr>
        <w:pStyle w:val="BodyText"/>
        <w:spacing w:before="1"/>
        <w:ind w:left="2062"/>
      </w:pPr>
      <w:r>
        <w:rPr/>
        <w:t>32.0</w:t>
      </w:r>
      <w:r>
        <w:rPr>
          <w:spacing w:val="-2"/>
        </w:rPr>
        <w:t> </w:t>
      </w:r>
      <w:r>
        <w:rPr/>
        <w:t>m,</w:t>
      </w:r>
      <w:r>
        <w:rPr>
          <w:spacing w:val="-1"/>
        </w:rPr>
        <w:t> </w:t>
      </w:r>
      <w:r>
        <w:rPr/>
        <w:t>marginal</w:t>
      </w:r>
      <w:r>
        <w:rPr>
          <w:spacing w:val="-1"/>
        </w:rPr>
        <w:t> </w:t>
      </w:r>
      <w:r>
        <w:rPr/>
        <w:t>open</w:t>
      </w:r>
      <w:r>
        <w:rPr>
          <w:spacing w:val="-1"/>
        </w:rPr>
        <w:t> </w:t>
      </w:r>
      <w:r>
        <w:rPr/>
        <w:t>space</w:t>
      </w:r>
      <w:r>
        <w:rPr>
          <w:spacing w:val="-2"/>
        </w:rPr>
        <w:t> </w:t>
      </w:r>
      <w:r>
        <w:rPr/>
        <w:t>shall</w:t>
      </w:r>
      <w:r>
        <w:rPr>
          <w:spacing w:val="-1"/>
        </w:rPr>
        <w:t> </w:t>
      </w:r>
      <w:r>
        <w:rPr/>
        <w:t>be</w:t>
      </w:r>
      <w:r>
        <w:rPr>
          <w:spacing w:val="-1"/>
        </w:rPr>
        <w:t> </w:t>
      </w:r>
      <w:r>
        <w:rPr/>
        <w:t>as</w:t>
      </w:r>
      <w:r>
        <w:rPr>
          <w:spacing w:val="-1"/>
        </w:rPr>
        <w:t> </w:t>
      </w:r>
      <w:r>
        <w:rPr/>
        <w:t>per</w:t>
      </w:r>
      <w:r>
        <w:rPr>
          <w:spacing w:val="-2"/>
        </w:rPr>
        <w:t> </w:t>
      </w:r>
      <w:r>
        <w:rPr/>
        <w:t>the</w:t>
      </w:r>
      <w:r>
        <w:rPr>
          <w:spacing w:val="-1"/>
        </w:rPr>
        <w:t> </w:t>
      </w:r>
      <w:r>
        <w:rPr/>
        <w:t>Regulation</w:t>
      </w:r>
      <w:r>
        <w:rPr>
          <w:spacing w:val="-1"/>
        </w:rPr>
        <w:t> </w:t>
      </w:r>
      <w:r>
        <w:rPr/>
        <w:t>No</w:t>
      </w:r>
      <w:r>
        <w:rPr>
          <w:spacing w:val="-1"/>
        </w:rPr>
        <w:t> </w:t>
      </w:r>
      <w:r>
        <w:rPr>
          <w:spacing w:val="-2"/>
        </w:rPr>
        <w:t>41(5).</w:t>
      </w:r>
    </w:p>
    <w:p>
      <w:pPr>
        <w:pStyle w:val="ListParagraph"/>
        <w:numPr>
          <w:ilvl w:val="1"/>
          <w:numId w:val="138"/>
        </w:numPr>
        <w:tabs>
          <w:tab w:pos="2666" w:val="left" w:leader="none"/>
        </w:tabs>
        <w:spacing w:line="240" w:lineRule="auto" w:before="239" w:after="0"/>
        <w:ind w:left="2062" w:right="768" w:firstLine="0"/>
        <w:jc w:val="both"/>
        <w:rPr>
          <w:sz w:val="24"/>
        </w:rPr>
      </w:pPr>
      <w:r>
        <w:rPr>
          <w:sz w:val="24"/>
        </w:rPr>
        <w:t>A composite building under CDS shall have at least 50 percent of BUA as rehabilitation component.</w:t>
      </w:r>
    </w:p>
    <w:p>
      <w:pPr>
        <w:pStyle w:val="ListParagraph"/>
        <w:numPr>
          <w:ilvl w:val="1"/>
          <w:numId w:val="138"/>
        </w:numPr>
        <w:tabs>
          <w:tab w:pos="2699" w:val="left" w:leader="none"/>
        </w:tabs>
        <w:spacing w:line="240" w:lineRule="auto" w:before="241" w:after="0"/>
        <w:ind w:left="2062" w:right="768" w:firstLine="0"/>
        <w:jc w:val="both"/>
        <w:rPr>
          <w:sz w:val="24"/>
        </w:rPr>
      </w:pPr>
      <w:r>
        <w:rPr>
          <w:sz w:val="24"/>
        </w:rPr>
        <w:t>Wherever more than minimum front and marginal spaces have been provided, such additional area provided may be considered wherever</w:t>
      </w:r>
      <w:r>
        <w:rPr>
          <w:spacing w:val="-9"/>
          <w:sz w:val="24"/>
        </w:rPr>
        <w:t> </w:t>
      </w:r>
      <w:r>
        <w:rPr>
          <w:sz w:val="24"/>
        </w:rPr>
        <w:t>necessary,</w:t>
      </w:r>
      <w:r>
        <w:rPr>
          <w:spacing w:val="-11"/>
          <w:sz w:val="24"/>
        </w:rPr>
        <w:t> </w:t>
      </w:r>
      <w:r>
        <w:rPr>
          <w:sz w:val="24"/>
        </w:rPr>
        <w:t>as</w:t>
      </w:r>
      <w:r>
        <w:rPr>
          <w:spacing w:val="-9"/>
          <w:sz w:val="24"/>
        </w:rPr>
        <w:t> </w:t>
      </w:r>
      <w:r>
        <w:rPr>
          <w:sz w:val="24"/>
        </w:rPr>
        <w:t>part</w:t>
      </w:r>
      <w:r>
        <w:rPr>
          <w:spacing w:val="-9"/>
          <w:sz w:val="24"/>
        </w:rPr>
        <w:t> </w:t>
      </w:r>
      <w:r>
        <w:rPr>
          <w:sz w:val="24"/>
        </w:rPr>
        <w:t>of</w:t>
      </w:r>
      <w:r>
        <w:rPr>
          <w:spacing w:val="-9"/>
          <w:sz w:val="24"/>
        </w:rPr>
        <w:t> </w:t>
      </w:r>
      <w:r>
        <w:rPr>
          <w:sz w:val="24"/>
        </w:rPr>
        <w:t>the</w:t>
      </w:r>
      <w:r>
        <w:rPr>
          <w:spacing w:val="-9"/>
          <w:sz w:val="24"/>
        </w:rPr>
        <w:t> </w:t>
      </w:r>
      <w:r>
        <w:rPr>
          <w:sz w:val="24"/>
        </w:rPr>
        <w:t>AOS</w:t>
      </w:r>
      <w:r>
        <w:rPr>
          <w:spacing w:val="-11"/>
          <w:sz w:val="24"/>
        </w:rPr>
        <w:t> </w:t>
      </w:r>
      <w:r>
        <w:rPr>
          <w:sz w:val="24"/>
        </w:rPr>
        <w:t>under</w:t>
      </w:r>
      <w:r>
        <w:rPr>
          <w:spacing w:val="-9"/>
          <w:sz w:val="24"/>
        </w:rPr>
        <w:t> </w:t>
      </w:r>
      <w:r>
        <w:rPr>
          <w:sz w:val="24"/>
        </w:rPr>
        <w:t>the</w:t>
      </w:r>
      <w:r>
        <w:rPr>
          <w:spacing w:val="-9"/>
          <w:sz w:val="24"/>
        </w:rPr>
        <w:t> </w:t>
      </w:r>
      <w:r>
        <w:rPr>
          <w:sz w:val="24"/>
        </w:rPr>
        <w:t>CDS</w:t>
      </w:r>
      <w:r>
        <w:rPr>
          <w:spacing w:val="-9"/>
          <w:sz w:val="24"/>
        </w:rPr>
        <w:t> </w:t>
      </w:r>
      <w:r>
        <w:rPr>
          <w:sz w:val="24"/>
        </w:rPr>
        <w:t>comprising</w:t>
      </w:r>
      <w:r>
        <w:rPr>
          <w:spacing w:val="-9"/>
          <w:sz w:val="24"/>
        </w:rPr>
        <w:t> </w:t>
      </w:r>
      <w:r>
        <w:rPr>
          <w:sz w:val="24"/>
        </w:rPr>
        <w:t>both rehabilitation and free sale components, without charging any premium, in relaxation of the stipulation in Regulation No. 27.</w:t>
      </w:r>
    </w:p>
    <w:p>
      <w:pPr>
        <w:pStyle w:val="ListParagraph"/>
        <w:numPr>
          <w:ilvl w:val="1"/>
          <w:numId w:val="138"/>
        </w:numPr>
        <w:tabs>
          <w:tab w:pos="2794" w:val="left" w:leader="none"/>
        </w:tabs>
        <w:spacing w:line="240" w:lineRule="auto" w:before="240" w:after="0"/>
        <w:ind w:left="2062" w:right="766" w:firstLine="0"/>
        <w:jc w:val="both"/>
        <w:rPr>
          <w:sz w:val="24"/>
        </w:rPr>
      </w:pPr>
      <w:r>
        <w:rPr>
          <w:sz w:val="24"/>
        </w:rPr>
        <w:t>The</w:t>
      </w:r>
      <w:r>
        <w:rPr>
          <w:spacing w:val="-13"/>
          <w:sz w:val="24"/>
        </w:rPr>
        <w:t> </w:t>
      </w:r>
      <w:r>
        <w:rPr>
          <w:sz w:val="24"/>
        </w:rPr>
        <w:t>means</w:t>
      </w:r>
      <w:r>
        <w:rPr>
          <w:spacing w:val="-15"/>
          <w:sz w:val="24"/>
        </w:rPr>
        <w:t> </w:t>
      </w:r>
      <w:r>
        <w:rPr>
          <w:sz w:val="24"/>
        </w:rPr>
        <w:t>of</w:t>
      </w:r>
      <w:r>
        <w:rPr>
          <w:spacing w:val="-13"/>
          <w:sz w:val="24"/>
        </w:rPr>
        <w:t> </w:t>
      </w:r>
      <w:r>
        <w:rPr>
          <w:sz w:val="24"/>
        </w:rPr>
        <w:t>access</w:t>
      </w:r>
      <w:r>
        <w:rPr>
          <w:spacing w:val="-15"/>
          <w:sz w:val="24"/>
        </w:rPr>
        <w:t> </w:t>
      </w:r>
      <w:r>
        <w:rPr>
          <w:sz w:val="24"/>
        </w:rPr>
        <w:t>shall</w:t>
      </w:r>
      <w:r>
        <w:rPr>
          <w:spacing w:val="-15"/>
          <w:sz w:val="24"/>
        </w:rPr>
        <w:t> </w:t>
      </w:r>
      <w:r>
        <w:rPr>
          <w:sz w:val="24"/>
        </w:rPr>
        <w:t>be</w:t>
      </w:r>
      <w:r>
        <w:rPr>
          <w:spacing w:val="-15"/>
          <w:sz w:val="24"/>
        </w:rPr>
        <w:t> </w:t>
      </w:r>
      <w:r>
        <w:rPr>
          <w:sz w:val="24"/>
        </w:rPr>
        <w:t>normally</w:t>
      </w:r>
      <w:r>
        <w:rPr>
          <w:spacing w:val="-15"/>
          <w:sz w:val="24"/>
        </w:rPr>
        <w:t> </w:t>
      </w:r>
      <w:r>
        <w:rPr>
          <w:sz w:val="24"/>
        </w:rPr>
        <w:t>governed</w:t>
      </w:r>
      <w:r>
        <w:rPr>
          <w:spacing w:val="-15"/>
          <w:sz w:val="24"/>
        </w:rPr>
        <w:t> </w:t>
      </w:r>
      <w:r>
        <w:rPr>
          <w:sz w:val="24"/>
        </w:rPr>
        <w:t>by</w:t>
      </w:r>
      <w:r>
        <w:rPr>
          <w:spacing w:val="-15"/>
          <w:sz w:val="24"/>
        </w:rPr>
        <w:t> </w:t>
      </w:r>
      <w:r>
        <w:rPr>
          <w:sz w:val="24"/>
        </w:rPr>
        <w:t>the</w:t>
      </w:r>
      <w:r>
        <w:rPr>
          <w:spacing w:val="-13"/>
          <w:sz w:val="24"/>
        </w:rPr>
        <w:t> </w:t>
      </w:r>
      <w:r>
        <w:rPr>
          <w:sz w:val="24"/>
        </w:rPr>
        <w:t>provisions of Regulation No. 23 However, in the CDS, wherever the design of the buildings</w:t>
      </w:r>
      <w:r>
        <w:rPr>
          <w:spacing w:val="-13"/>
          <w:sz w:val="24"/>
        </w:rPr>
        <w:t> </w:t>
      </w:r>
      <w:r>
        <w:rPr>
          <w:sz w:val="24"/>
        </w:rPr>
        <w:t>up</w:t>
      </w:r>
      <w:r>
        <w:rPr>
          <w:spacing w:val="-13"/>
          <w:sz w:val="24"/>
        </w:rPr>
        <w:t> </w:t>
      </w:r>
      <w:r>
        <w:rPr>
          <w:sz w:val="24"/>
        </w:rPr>
        <w:t>to</w:t>
      </w:r>
      <w:r>
        <w:rPr>
          <w:spacing w:val="-12"/>
          <w:sz w:val="24"/>
        </w:rPr>
        <w:t> </w:t>
      </w:r>
      <w:r>
        <w:rPr>
          <w:sz w:val="24"/>
        </w:rPr>
        <w:t>32.0</w:t>
      </w:r>
      <w:r>
        <w:rPr>
          <w:spacing w:val="-15"/>
          <w:sz w:val="24"/>
        </w:rPr>
        <w:t> </w:t>
      </w:r>
      <w:r>
        <w:rPr>
          <w:sz w:val="24"/>
        </w:rPr>
        <w:t>m</w:t>
      </w:r>
      <w:r>
        <w:rPr>
          <w:spacing w:val="-13"/>
          <w:sz w:val="24"/>
        </w:rPr>
        <w:t> </w:t>
      </w:r>
      <w:r>
        <w:rPr>
          <w:sz w:val="24"/>
        </w:rPr>
        <w:t>height</w:t>
      </w:r>
      <w:r>
        <w:rPr>
          <w:spacing w:val="-13"/>
          <w:sz w:val="24"/>
        </w:rPr>
        <w:t> </w:t>
      </w:r>
      <w:r>
        <w:rPr>
          <w:sz w:val="24"/>
        </w:rPr>
        <w:t>requires</w:t>
      </w:r>
      <w:r>
        <w:rPr>
          <w:spacing w:val="-13"/>
          <w:sz w:val="24"/>
        </w:rPr>
        <w:t> </w:t>
      </w:r>
      <w:r>
        <w:rPr>
          <w:sz w:val="24"/>
        </w:rPr>
        <w:t>relaxation</w:t>
      </w:r>
      <w:r>
        <w:rPr>
          <w:spacing w:val="-13"/>
          <w:sz w:val="24"/>
        </w:rPr>
        <w:t> </w:t>
      </w:r>
      <w:r>
        <w:rPr>
          <w:sz w:val="24"/>
        </w:rPr>
        <w:t>in</w:t>
      </w:r>
      <w:r>
        <w:rPr>
          <w:spacing w:val="-13"/>
          <w:sz w:val="24"/>
        </w:rPr>
        <w:t> </w:t>
      </w:r>
      <w:r>
        <w:rPr>
          <w:sz w:val="24"/>
        </w:rPr>
        <w:t>the</w:t>
      </w:r>
      <w:r>
        <w:rPr>
          <w:spacing w:val="-13"/>
          <w:sz w:val="24"/>
        </w:rPr>
        <w:t> </w:t>
      </w:r>
      <w:r>
        <w:rPr>
          <w:sz w:val="24"/>
        </w:rPr>
        <w:t>width</w:t>
      </w:r>
      <w:r>
        <w:rPr>
          <w:spacing w:val="-15"/>
          <w:sz w:val="24"/>
        </w:rPr>
        <w:t> </w:t>
      </w:r>
      <w:r>
        <w:rPr>
          <w:sz w:val="24"/>
        </w:rPr>
        <w:t>of</w:t>
      </w:r>
      <w:r>
        <w:rPr>
          <w:spacing w:val="-13"/>
          <w:sz w:val="24"/>
        </w:rPr>
        <w:t> </w:t>
      </w:r>
      <w:r>
        <w:rPr>
          <w:sz w:val="24"/>
        </w:rPr>
        <w:t>access, the same may be given. However, high rise buildings shall </w:t>
      </w:r>
      <w:r>
        <w:rPr>
          <w:sz w:val="24"/>
        </w:rPr>
        <w:t>be permissible as per Regulation No 19.</w:t>
      </w:r>
    </w:p>
    <w:p>
      <w:pPr>
        <w:pStyle w:val="ListParagraph"/>
        <w:numPr>
          <w:ilvl w:val="1"/>
          <w:numId w:val="138"/>
        </w:numPr>
        <w:tabs>
          <w:tab w:pos="2834" w:val="left" w:leader="none"/>
        </w:tabs>
        <w:spacing w:line="240" w:lineRule="auto" w:before="241" w:after="0"/>
        <w:ind w:left="2062" w:right="766" w:firstLine="0"/>
        <w:jc w:val="both"/>
        <w:rPr>
          <w:sz w:val="24"/>
        </w:rPr>
      </w:pPr>
      <w:r>
        <w:rPr>
          <w:sz w:val="24"/>
        </w:rPr>
        <w:t>Even if the LOS is reduced to make the project CDS viable, at least 10 percent of CD plot area shall be provided as LOS. In addition, 10 percent of CD plot area shall be earmarked for LOS which can be adjusted against the DP reservation/land component of built up amenity, to be handed over to MCGM, if any, existing on such plot.</w:t>
      </w:r>
    </w:p>
    <w:p>
      <w:pPr>
        <w:pStyle w:val="ListParagraph"/>
        <w:numPr>
          <w:ilvl w:val="1"/>
          <w:numId w:val="138"/>
        </w:numPr>
        <w:tabs>
          <w:tab w:pos="2822" w:val="left" w:leader="none"/>
        </w:tabs>
        <w:spacing w:line="240" w:lineRule="auto" w:before="240" w:after="0"/>
        <w:ind w:left="2062" w:right="770" w:firstLine="0"/>
        <w:jc w:val="both"/>
        <w:rPr>
          <w:sz w:val="24"/>
        </w:rPr>
      </w:pPr>
      <w:r>
        <w:rPr>
          <w:sz w:val="24"/>
        </w:rPr>
        <w:t>Premium shall not be charged for exclusion of staircase and lift well etc. as covered under the provisions of Regulation 31(1)</w:t>
      </w:r>
    </w:p>
    <w:p>
      <w:pPr>
        <w:pStyle w:val="ListParagraph"/>
        <w:numPr>
          <w:ilvl w:val="1"/>
          <w:numId w:val="138"/>
        </w:numPr>
        <w:tabs>
          <w:tab w:pos="2837" w:val="left" w:leader="none"/>
        </w:tabs>
        <w:spacing w:line="240" w:lineRule="auto" w:before="241" w:after="0"/>
        <w:ind w:left="2062" w:right="767" w:firstLine="0"/>
        <w:jc w:val="both"/>
        <w:rPr>
          <w:sz w:val="24"/>
        </w:rPr>
      </w:pPr>
      <w:r>
        <w:rPr>
          <w:sz w:val="24"/>
        </w:rPr>
        <w:t>In order to make the CDS viable, the Municipal Commissioner shall be competent to sanction any relaxation in marginal open spaces except front marginal open space and parking requirements wherever necessary</w:t>
      </w:r>
      <w:r>
        <w:rPr>
          <w:spacing w:val="62"/>
          <w:sz w:val="24"/>
        </w:rPr>
        <w:t> </w:t>
      </w:r>
      <w:r>
        <w:rPr>
          <w:sz w:val="24"/>
        </w:rPr>
        <w:t>due</w:t>
      </w:r>
      <w:r>
        <w:rPr>
          <w:spacing w:val="62"/>
          <w:sz w:val="24"/>
        </w:rPr>
        <w:t> </w:t>
      </w:r>
      <w:r>
        <w:rPr>
          <w:sz w:val="24"/>
        </w:rPr>
        <w:t>to</w:t>
      </w:r>
      <w:r>
        <w:rPr>
          <w:spacing w:val="62"/>
          <w:sz w:val="24"/>
        </w:rPr>
        <w:t> </w:t>
      </w:r>
      <w:r>
        <w:rPr>
          <w:sz w:val="24"/>
        </w:rPr>
        <w:t>bonafide</w:t>
      </w:r>
      <w:r>
        <w:rPr>
          <w:spacing w:val="62"/>
          <w:sz w:val="24"/>
        </w:rPr>
        <w:t> </w:t>
      </w:r>
      <w:r>
        <w:rPr>
          <w:sz w:val="24"/>
        </w:rPr>
        <w:t>hardship,</w:t>
      </w:r>
      <w:r>
        <w:rPr>
          <w:spacing w:val="62"/>
          <w:sz w:val="24"/>
        </w:rPr>
        <w:t> </w:t>
      </w:r>
      <w:r>
        <w:rPr>
          <w:sz w:val="24"/>
        </w:rPr>
        <w:t>for</w:t>
      </w:r>
      <w:r>
        <w:rPr>
          <w:spacing w:val="62"/>
          <w:sz w:val="24"/>
        </w:rPr>
        <w:t> </w:t>
      </w:r>
      <w:r>
        <w:rPr>
          <w:sz w:val="24"/>
        </w:rPr>
        <w:t>reasons</w:t>
      </w:r>
      <w:r>
        <w:rPr>
          <w:spacing w:val="62"/>
          <w:sz w:val="24"/>
        </w:rPr>
        <w:t> </w:t>
      </w:r>
      <w:r>
        <w:rPr>
          <w:sz w:val="24"/>
        </w:rPr>
        <w:t>to</w:t>
      </w:r>
      <w:r>
        <w:rPr>
          <w:spacing w:val="62"/>
          <w:sz w:val="24"/>
        </w:rPr>
        <w:t> </w:t>
      </w:r>
      <w:r>
        <w:rPr>
          <w:sz w:val="24"/>
        </w:rPr>
        <w:t>be</w:t>
      </w:r>
      <w:r>
        <w:rPr>
          <w:spacing w:val="62"/>
          <w:sz w:val="24"/>
        </w:rPr>
        <w:t> </w:t>
      </w:r>
      <w:r>
        <w:rPr>
          <w:sz w:val="24"/>
        </w:rPr>
        <w:t>recorded</w:t>
      </w:r>
      <w:r>
        <w:rPr>
          <w:spacing w:val="62"/>
          <w:sz w:val="24"/>
        </w:rPr>
        <w:t> </w:t>
      </w:r>
      <w:r>
        <w:rPr>
          <w:sz w:val="24"/>
        </w:rPr>
        <w:t>in</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68"/>
      </w:pPr>
      <w:r>
        <w:rPr/>
        <w:t>writing which shall not affect general health, fire and safety requirements. However, the Govt. shall have the power to relax any of the provisions in these Regulations.</w:t>
      </w:r>
    </w:p>
    <w:p>
      <w:pPr>
        <w:pStyle w:val="ListParagraph"/>
        <w:numPr>
          <w:ilvl w:val="1"/>
          <w:numId w:val="138"/>
        </w:numPr>
        <w:tabs>
          <w:tab w:pos="2730" w:val="left" w:leader="none"/>
        </w:tabs>
        <w:spacing w:line="240" w:lineRule="auto" w:before="242" w:after="0"/>
        <w:ind w:left="2062" w:right="767" w:firstLine="0"/>
        <w:jc w:val="both"/>
        <w:rPr>
          <w:sz w:val="24"/>
        </w:rPr>
      </w:pPr>
      <w:r>
        <w:rPr>
          <w:sz w:val="24"/>
        </w:rPr>
        <w:t>All relaxations outlined hereinabove shall be admissible only in respect of the rehabilitation component and the composite buildings under the CDS. Premium shall not be charged for all or any of the relaxations</w:t>
      </w:r>
      <w:r>
        <w:rPr>
          <w:spacing w:val="-7"/>
          <w:sz w:val="24"/>
        </w:rPr>
        <w:t> </w:t>
      </w:r>
      <w:r>
        <w:rPr>
          <w:sz w:val="24"/>
        </w:rPr>
        <w:t>given</w:t>
      </w:r>
      <w:r>
        <w:rPr>
          <w:spacing w:val="-7"/>
          <w:sz w:val="24"/>
        </w:rPr>
        <w:t> </w:t>
      </w:r>
      <w:r>
        <w:rPr>
          <w:sz w:val="24"/>
        </w:rPr>
        <w:t>hereinabove</w:t>
      </w:r>
      <w:r>
        <w:rPr>
          <w:spacing w:val="-7"/>
          <w:sz w:val="24"/>
        </w:rPr>
        <w:t> </w:t>
      </w:r>
      <w:r>
        <w:rPr>
          <w:sz w:val="24"/>
        </w:rPr>
        <w:t>or</w:t>
      </w:r>
      <w:r>
        <w:rPr>
          <w:spacing w:val="-7"/>
          <w:sz w:val="24"/>
        </w:rPr>
        <w:t> </w:t>
      </w:r>
      <w:r>
        <w:rPr>
          <w:sz w:val="24"/>
        </w:rPr>
        <w:t>for</w:t>
      </w:r>
      <w:r>
        <w:rPr>
          <w:spacing w:val="-7"/>
          <w:sz w:val="24"/>
        </w:rPr>
        <w:t> </w:t>
      </w:r>
      <w:r>
        <w:rPr>
          <w:sz w:val="24"/>
        </w:rPr>
        <w:t>any</w:t>
      </w:r>
      <w:r>
        <w:rPr>
          <w:spacing w:val="-7"/>
          <w:sz w:val="24"/>
        </w:rPr>
        <w:t> </w:t>
      </w:r>
      <w:r>
        <w:rPr>
          <w:sz w:val="24"/>
        </w:rPr>
        <w:t>other</w:t>
      </w:r>
      <w:r>
        <w:rPr>
          <w:spacing w:val="-7"/>
          <w:sz w:val="24"/>
        </w:rPr>
        <w:t> </w:t>
      </w:r>
      <w:r>
        <w:rPr>
          <w:sz w:val="24"/>
        </w:rPr>
        <w:t>relaxations</w:t>
      </w:r>
      <w:r>
        <w:rPr>
          <w:spacing w:val="-7"/>
          <w:sz w:val="24"/>
        </w:rPr>
        <w:t> </w:t>
      </w:r>
      <w:r>
        <w:rPr>
          <w:sz w:val="24"/>
        </w:rPr>
        <w:t>mentioned</w:t>
      </w:r>
      <w:r>
        <w:rPr>
          <w:spacing w:val="-7"/>
          <w:sz w:val="24"/>
        </w:rPr>
        <w:t> </w:t>
      </w:r>
      <w:r>
        <w:rPr>
          <w:sz w:val="24"/>
        </w:rPr>
        <w:t>in Regulation No 31(1).Provided that if any further relaxation in open spaces is granted by Municipal Commissioner then the same shall be subject to compliance of CFO requirement and recovery of premium at the rate 2.5% of ASR.</w:t>
      </w:r>
    </w:p>
    <w:p>
      <w:pPr>
        <w:pStyle w:val="BodyText"/>
        <w:spacing w:before="241"/>
        <w:ind w:left="2062" w:right="768"/>
      </w:pPr>
      <w:r>
        <w:rPr/>
        <w:t>If any relaxation in open spaces except front open space in sale component</w:t>
      </w:r>
      <w:r>
        <w:rPr>
          <w:spacing w:val="-7"/>
        </w:rPr>
        <w:t> </w:t>
      </w:r>
      <w:r>
        <w:rPr/>
        <w:t>is</w:t>
      </w:r>
      <w:r>
        <w:rPr>
          <w:spacing w:val="-7"/>
        </w:rPr>
        <w:t> </w:t>
      </w:r>
      <w:r>
        <w:rPr/>
        <w:t>granted</w:t>
      </w:r>
      <w:r>
        <w:rPr>
          <w:spacing w:val="-7"/>
        </w:rPr>
        <w:t> </w:t>
      </w:r>
      <w:r>
        <w:rPr/>
        <w:t>by</w:t>
      </w:r>
      <w:r>
        <w:rPr>
          <w:spacing w:val="-7"/>
        </w:rPr>
        <w:t> </w:t>
      </w:r>
      <w:r>
        <w:rPr/>
        <w:t>Municipal</w:t>
      </w:r>
      <w:r>
        <w:rPr>
          <w:spacing w:val="-7"/>
        </w:rPr>
        <w:t> </w:t>
      </w:r>
      <w:r>
        <w:rPr/>
        <w:t>Commissioner,</w:t>
      </w:r>
      <w:r>
        <w:rPr>
          <w:spacing w:val="-7"/>
        </w:rPr>
        <w:t> </w:t>
      </w:r>
      <w:r>
        <w:rPr/>
        <w:t>then</w:t>
      </w:r>
      <w:r>
        <w:rPr>
          <w:spacing w:val="-7"/>
        </w:rPr>
        <w:t> </w:t>
      </w:r>
      <w:r>
        <w:rPr/>
        <w:t>the</w:t>
      </w:r>
      <w:r>
        <w:rPr>
          <w:spacing w:val="-9"/>
        </w:rPr>
        <w:t> </w:t>
      </w:r>
      <w:r>
        <w:rPr/>
        <w:t>same</w:t>
      </w:r>
      <w:r>
        <w:rPr>
          <w:spacing w:val="-7"/>
        </w:rPr>
        <w:t> </w:t>
      </w:r>
      <w:r>
        <w:rPr/>
        <w:t>shall be subject to compliance of CFO requirement and recovery of premium at the rate 2.5% of ASR.</w:t>
      </w:r>
    </w:p>
    <w:p>
      <w:pPr>
        <w:pStyle w:val="ListParagraph"/>
        <w:numPr>
          <w:ilvl w:val="0"/>
          <w:numId w:val="138"/>
        </w:numPr>
        <w:tabs>
          <w:tab w:pos="2534" w:val="left" w:leader="none"/>
        </w:tabs>
        <w:spacing w:line="240" w:lineRule="auto" w:before="238" w:after="0"/>
        <w:ind w:left="2062" w:right="769" w:firstLine="0"/>
        <w:jc w:val="both"/>
        <w:rPr>
          <w:sz w:val="24"/>
        </w:rPr>
      </w:pPr>
      <w:r>
        <w:rPr>
          <w:sz w:val="24"/>
        </w:rPr>
        <w:t>The approving/sanctioning authority for the building plans under the</w:t>
      </w:r>
      <w:r>
        <w:rPr>
          <w:spacing w:val="-3"/>
          <w:sz w:val="24"/>
        </w:rPr>
        <w:t> </w:t>
      </w:r>
      <w:r>
        <w:rPr>
          <w:sz w:val="24"/>
        </w:rPr>
        <w:t>CDS</w:t>
      </w:r>
      <w:r>
        <w:rPr>
          <w:spacing w:val="-3"/>
          <w:sz w:val="24"/>
        </w:rPr>
        <w:t> </w:t>
      </w:r>
      <w:r>
        <w:rPr>
          <w:sz w:val="24"/>
        </w:rPr>
        <w:t>shall</w:t>
      </w:r>
      <w:r>
        <w:rPr>
          <w:spacing w:val="-3"/>
          <w:sz w:val="24"/>
        </w:rPr>
        <w:t> </w:t>
      </w:r>
      <w:r>
        <w:rPr>
          <w:sz w:val="24"/>
        </w:rPr>
        <w:t>be</w:t>
      </w:r>
      <w:r>
        <w:rPr>
          <w:spacing w:val="-3"/>
          <w:sz w:val="24"/>
        </w:rPr>
        <w:t> </w:t>
      </w:r>
      <w:r>
        <w:rPr>
          <w:sz w:val="24"/>
        </w:rPr>
        <w:t>the</w:t>
      </w:r>
      <w:r>
        <w:rPr>
          <w:spacing w:val="-3"/>
          <w:sz w:val="24"/>
        </w:rPr>
        <w:t> </w:t>
      </w:r>
      <w:r>
        <w:rPr>
          <w:sz w:val="24"/>
        </w:rPr>
        <w:t>Municipal</w:t>
      </w:r>
      <w:r>
        <w:rPr>
          <w:spacing w:val="-3"/>
          <w:sz w:val="24"/>
        </w:rPr>
        <w:t> </w:t>
      </w:r>
      <w:r>
        <w:rPr>
          <w:sz w:val="24"/>
        </w:rPr>
        <w:t>Commissioner</w:t>
      </w:r>
      <w:r>
        <w:rPr>
          <w:spacing w:val="-3"/>
          <w:sz w:val="24"/>
        </w:rPr>
        <w:t> </w:t>
      </w:r>
      <w:r>
        <w:rPr>
          <w:sz w:val="24"/>
        </w:rPr>
        <w:t>as</w:t>
      </w:r>
      <w:r>
        <w:rPr>
          <w:spacing w:val="-3"/>
          <w:sz w:val="24"/>
        </w:rPr>
        <w:t> </w:t>
      </w:r>
      <w:r>
        <w:rPr>
          <w:sz w:val="24"/>
        </w:rPr>
        <w:t>per</w:t>
      </w:r>
      <w:r>
        <w:rPr>
          <w:spacing w:val="-3"/>
          <w:sz w:val="24"/>
        </w:rPr>
        <w:t> </w:t>
      </w:r>
      <w:r>
        <w:rPr>
          <w:sz w:val="24"/>
        </w:rPr>
        <w:t>the</w:t>
      </w:r>
      <w:r>
        <w:rPr>
          <w:spacing w:val="-3"/>
          <w:sz w:val="24"/>
        </w:rPr>
        <w:t> </w:t>
      </w:r>
      <w:r>
        <w:rPr>
          <w:sz w:val="24"/>
        </w:rPr>
        <w:t>MMC</w:t>
      </w:r>
      <w:r>
        <w:rPr>
          <w:spacing w:val="-3"/>
          <w:sz w:val="24"/>
        </w:rPr>
        <w:t> </w:t>
      </w:r>
      <w:r>
        <w:rPr>
          <w:sz w:val="24"/>
        </w:rPr>
        <w:t>Act</w:t>
      </w:r>
      <w:r>
        <w:rPr>
          <w:spacing w:val="-3"/>
          <w:sz w:val="24"/>
        </w:rPr>
        <w:t> </w:t>
      </w:r>
      <w:r>
        <w:rPr>
          <w:sz w:val="24"/>
        </w:rPr>
        <w:t>and MRTP Act, 1966 even if the CDS partly consists of declared slums/slums on Municipal/ Govt. lands existing prior to 1st January 2000 or such/other reference date notified by the Government.</w:t>
      </w:r>
    </w:p>
    <w:p>
      <w:pPr>
        <w:pStyle w:val="ListParagraph"/>
        <w:numPr>
          <w:ilvl w:val="0"/>
          <w:numId w:val="138"/>
        </w:numPr>
        <w:tabs>
          <w:tab w:pos="2857" w:val="left" w:leader="none"/>
        </w:tabs>
        <w:spacing w:line="240" w:lineRule="auto" w:before="240" w:after="0"/>
        <w:ind w:left="2062" w:right="769" w:firstLine="0"/>
        <w:jc w:val="both"/>
        <w:rPr>
          <w:sz w:val="24"/>
        </w:rPr>
      </w:pPr>
      <w:r>
        <w:rPr>
          <w:sz w:val="24"/>
        </w:rPr>
        <w:t>Religious structures existing on the site of CDSprior to redevelopment, if allowed to be redeveloped in accordance with the guidelines</w:t>
      </w:r>
      <w:r>
        <w:rPr>
          <w:spacing w:val="-20"/>
          <w:sz w:val="24"/>
        </w:rPr>
        <w:t> </w:t>
      </w:r>
      <w:r>
        <w:rPr>
          <w:sz w:val="24"/>
        </w:rPr>
        <w:t>issued</w:t>
      </w:r>
      <w:r>
        <w:rPr>
          <w:spacing w:val="-19"/>
          <w:sz w:val="24"/>
        </w:rPr>
        <w:t> </w:t>
      </w:r>
      <w:r>
        <w:rPr>
          <w:sz w:val="24"/>
        </w:rPr>
        <w:t>by</w:t>
      </w:r>
      <w:r>
        <w:rPr>
          <w:spacing w:val="-19"/>
          <w:sz w:val="24"/>
        </w:rPr>
        <w:t> </w:t>
      </w:r>
      <w:r>
        <w:rPr>
          <w:sz w:val="24"/>
        </w:rPr>
        <w:t>the</w:t>
      </w:r>
      <w:r>
        <w:rPr>
          <w:spacing w:val="-19"/>
          <w:sz w:val="24"/>
        </w:rPr>
        <w:t> </w:t>
      </w:r>
      <w:r>
        <w:rPr>
          <w:sz w:val="24"/>
        </w:rPr>
        <w:t>Govt</w:t>
      </w:r>
      <w:r>
        <w:rPr>
          <w:spacing w:val="-19"/>
          <w:sz w:val="24"/>
        </w:rPr>
        <w:t> </w:t>
      </w:r>
      <w:r>
        <w:rPr>
          <w:sz w:val="24"/>
        </w:rPr>
        <w:t>from</w:t>
      </w:r>
      <w:r>
        <w:rPr>
          <w:spacing w:val="-20"/>
          <w:sz w:val="24"/>
        </w:rPr>
        <w:t> </w:t>
      </w:r>
      <w:r>
        <w:rPr>
          <w:sz w:val="24"/>
        </w:rPr>
        <w:t>time</w:t>
      </w:r>
      <w:r>
        <w:rPr>
          <w:spacing w:val="-19"/>
          <w:sz w:val="24"/>
        </w:rPr>
        <w:t> </w:t>
      </w:r>
      <w:r>
        <w:rPr>
          <w:sz w:val="24"/>
        </w:rPr>
        <w:t>to</w:t>
      </w:r>
      <w:r>
        <w:rPr>
          <w:spacing w:val="-19"/>
          <w:sz w:val="24"/>
        </w:rPr>
        <w:t> </w:t>
      </w:r>
      <w:r>
        <w:rPr>
          <w:sz w:val="24"/>
        </w:rPr>
        <w:t>time,</w:t>
      </w:r>
      <w:r>
        <w:rPr>
          <w:spacing w:val="-19"/>
          <w:sz w:val="24"/>
        </w:rPr>
        <w:t> </w:t>
      </w:r>
      <w:r>
        <w:rPr>
          <w:sz w:val="24"/>
        </w:rPr>
        <w:t>shall</w:t>
      </w:r>
      <w:r>
        <w:rPr>
          <w:spacing w:val="-19"/>
          <w:sz w:val="24"/>
        </w:rPr>
        <w:t> </w:t>
      </w:r>
      <w:r>
        <w:rPr>
          <w:sz w:val="24"/>
        </w:rPr>
        <w:t>not,</w:t>
      </w:r>
      <w:r>
        <w:rPr>
          <w:spacing w:val="-20"/>
          <w:sz w:val="24"/>
        </w:rPr>
        <w:t> </w:t>
      </w:r>
      <w:r>
        <w:rPr>
          <w:sz w:val="24"/>
        </w:rPr>
        <w:t>following</w:t>
      </w:r>
      <w:r>
        <w:rPr>
          <w:spacing w:val="-19"/>
          <w:sz w:val="24"/>
        </w:rPr>
        <w:t> </w:t>
      </w:r>
      <w:r>
        <w:rPr>
          <w:sz w:val="24"/>
        </w:rPr>
        <w:t>such redevelopment, have area exceeding their area prior to redevelopment.</w:t>
      </w:r>
    </w:p>
    <w:p>
      <w:pPr>
        <w:pStyle w:val="ListParagraph"/>
        <w:numPr>
          <w:ilvl w:val="0"/>
          <w:numId w:val="138"/>
        </w:numPr>
        <w:tabs>
          <w:tab w:pos="2503" w:val="left" w:leader="none"/>
        </w:tabs>
        <w:spacing w:line="240" w:lineRule="auto" w:before="242" w:after="0"/>
        <w:ind w:left="2062" w:right="768" w:firstLine="0"/>
        <w:jc w:val="both"/>
        <w:rPr>
          <w:sz w:val="24"/>
        </w:rPr>
      </w:pPr>
      <w:r>
        <w:rPr>
          <w:sz w:val="24"/>
        </w:rPr>
        <w:t>Restriction</w:t>
      </w:r>
      <w:r>
        <w:rPr>
          <w:spacing w:val="-13"/>
          <w:sz w:val="24"/>
        </w:rPr>
        <w:t> </w:t>
      </w:r>
      <w:r>
        <w:rPr>
          <w:sz w:val="24"/>
        </w:rPr>
        <w:t>on</w:t>
      </w:r>
      <w:r>
        <w:rPr>
          <w:spacing w:val="-13"/>
          <w:sz w:val="24"/>
        </w:rPr>
        <w:t> </w:t>
      </w:r>
      <w:r>
        <w:rPr>
          <w:sz w:val="24"/>
        </w:rPr>
        <w:t>transfer</w:t>
      </w:r>
      <w:r>
        <w:rPr>
          <w:spacing w:val="-13"/>
          <w:sz w:val="24"/>
        </w:rPr>
        <w:t> </w:t>
      </w:r>
      <w:r>
        <w:rPr>
          <w:sz w:val="24"/>
        </w:rPr>
        <w:t>of</w:t>
      </w:r>
      <w:r>
        <w:rPr>
          <w:spacing w:val="-13"/>
          <w:sz w:val="24"/>
        </w:rPr>
        <w:t> </w:t>
      </w:r>
      <w:r>
        <w:rPr>
          <w:sz w:val="24"/>
        </w:rPr>
        <w:t>tenements</w:t>
      </w:r>
      <w:r>
        <w:rPr>
          <w:spacing w:val="-11"/>
          <w:sz w:val="24"/>
        </w:rPr>
        <w:t> </w:t>
      </w:r>
      <w:r>
        <w:rPr>
          <w:sz w:val="24"/>
        </w:rPr>
        <w:t>shall</w:t>
      </w:r>
      <w:r>
        <w:rPr>
          <w:spacing w:val="-13"/>
          <w:sz w:val="24"/>
        </w:rPr>
        <w:t> </w:t>
      </w:r>
      <w:r>
        <w:rPr>
          <w:sz w:val="24"/>
        </w:rPr>
        <w:t>be</w:t>
      </w:r>
      <w:r>
        <w:rPr>
          <w:spacing w:val="-13"/>
          <w:sz w:val="24"/>
        </w:rPr>
        <w:t> </w:t>
      </w:r>
      <w:r>
        <w:rPr>
          <w:sz w:val="24"/>
        </w:rPr>
        <w:t>governed</w:t>
      </w:r>
      <w:r>
        <w:rPr>
          <w:spacing w:val="-13"/>
          <w:sz w:val="24"/>
        </w:rPr>
        <w:t> </w:t>
      </w:r>
      <w:r>
        <w:rPr>
          <w:sz w:val="24"/>
        </w:rPr>
        <w:t>by</w:t>
      </w:r>
      <w:r>
        <w:rPr>
          <w:spacing w:val="-8"/>
          <w:sz w:val="24"/>
        </w:rPr>
        <w:t> </w:t>
      </w:r>
      <w:r>
        <w:rPr>
          <w:sz w:val="24"/>
        </w:rPr>
        <w:t>provisions of Maharashtra Rent Control Act, till such time that a Co-op. Housing Society is formed and thereafter the same shall be governed by the provision of Maharashtra Co-op. Societies Act. However, tenements constructed</w:t>
      </w:r>
      <w:r>
        <w:rPr>
          <w:spacing w:val="-15"/>
          <w:sz w:val="24"/>
        </w:rPr>
        <w:t> </w:t>
      </w:r>
      <w:r>
        <w:rPr>
          <w:sz w:val="24"/>
        </w:rPr>
        <w:t>for</w:t>
      </w:r>
      <w:r>
        <w:rPr>
          <w:spacing w:val="-15"/>
          <w:sz w:val="24"/>
        </w:rPr>
        <w:t> </w:t>
      </w:r>
      <w:r>
        <w:rPr>
          <w:sz w:val="24"/>
        </w:rPr>
        <w:t>slum</w:t>
      </w:r>
      <w:r>
        <w:rPr>
          <w:spacing w:val="-15"/>
          <w:sz w:val="24"/>
        </w:rPr>
        <w:t> </w:t>
      </w:r>
      <w:r>
        <w:rPr>
          <w:sz w:val="24"/>
        </w:rPr>
        <w:t>rehabilitation</w:t>
      </w:r>
      <w:r>
        <w:rPr>
          <w:spacing w:val="-15"/>
          <w:sz w:val="24"/>
        </w:rPr>
        <w:t> </w:t>
      </w:r>
      <w:r>
        <w:rPr>
          <w:sz w:val="24"/>
        </w:rPr>
        <w:t>shall</w:t>
      </w:r>
      <w:r>
        <w:rPr>
          <w:spacing w:val="-13"/>
          <w:sz w:val="24"/>
        </w:rPr>
        <w:t> </w:t>
      </w:r>
      <w:r>
        <w:rPr>
          <w:sz w:val="24"/>
        </w:rPr>
        <w:t>not</w:t>
      </w:r>
      <w:r>
        <w:rPr>
          <w:spacing w:val="-15"/>
          <w:sz w:val="24"/>
        </w:rPr>
        <w:t> </w:t>
      </w:r>
      <w:r>
        <w:rPr>
          <w:sz w:val="24"/>
        </w:rPr>
        <w:t>be</w:t>
      </w:r>
      <w:r>
        <w:rPr>
          <w:spacing w:val="-15"/>
          <w:sz w:val="24"/>
        </w:rPr>
        <w:t> </w:t>
      </w:r>
      <w:r>
        <w:rPr>
          <w:sz w:val="24"/>
        </w:rPr>
        <w:t>transferable</w:t>
      </w:r>
      <w:r>
        <w:rPr>
          <w:spacing w:val="-15"/>
          <w:sz w:val="24"/>
        </w:rPr>
        <w:t> </w:t>
      </w:r>
      <w:r>
        <w:rPr>
          <w:sz w:val="24"/>
        </w:rPr>
        <w:t>for</w:t>
      </w:r>
      <w:r>
        <w:rPr>
          <w:spacing w:val="-15"/>
          <w:sz w:val="24"/>
        </w:rPr>
        <w:t> </w:t>
      </w:r>
      <w:r>
        <w:rPr>
          <w:sz w:val="24"/>
        </w:rPr>
        <w:t>a</w:t>
      </w:r>
      <w:r>
        <w:rPr>
          <w:spacing w:val="-15"/>
          <w:sz w:val="24"/>
        </w:rPr>
        <w:t> </w:t>
      </w:r>
      <w:r>
        <w:rPr>
          <w:sz w:val="24"/>
        </w:rPr>
        <w:t>period of 10 years.</w:t>
      </w:r>
    </w:p>
    <w:p>
      <w:pPr>
        <w:pStyle w:val="ListParagraph"/>
        <w:numPr>
          <w:ilvl w:val="0"/>
          <w:numId w:val="138"/>
        </w:numPr>
        <w:tabs>
          <w:tab w:pos="2512" w:val="left" w:leader="none"/>
        </w:tabs>
        <w:spacing w:line="240" w:lineRule="auto" w:before="239" w:after="0"/>
        <w:ind w:left="2062" w:right="766" w:firstLine="0"/>
        <w:jc w:val="both"/>
        <w:rPr>
          <w:sz w:val="24"/>
        </w:rPr>
      </w:pPr>
      <w:r>
        <w:rPr>
          <w:sz w:val="24"/>
        </w:rPr>
        <w:t>Corpus</w:t>
      </w:r>
      <w:r>
        <w:rPr>
          <w:spacing w:val="-4"/>
          <w:sz w:val="24"/>
        </w:rPr>
        <w:t> </w:t>
      </w:r>
      <w:r>
        <w:rPr>
          <w:sz w:val="24"/>
        </w:rPr>
        <w:t>Fund:</w:t>
      </w:r>
      <w:r>
        <w:rPr>
          <w:spacing w:val="-4"/>
          <w:sz w:val="24"/>
        </w:rPr>
        <w:t> </w:t>
      </w:r>
      <w:r>
        <w:rPr>
          <w:sz w:val="24"/>
        </w:rPr>
        <w:t>An</w:t>
      </w:r>
      <w:r>
        <w:rPr>
          <w:spacing w:val="-4"/>
          <w:sz w:val="24"/>
        </w:rPr>
        <w:t> </w:t>
      </w:r>
      <w:r>
        <w:rPr>
          <w:sz w:val="24"/>
        </w:rPr>
        <w:t>amount</w:t>
      </w:r>
      <w:r>
        <w:rPr>
          <w:spacing w:val="-4"/>
          <w:sz w:val="24"/>
        </w:rPr>
        <w:t> </w:t>
      </w:r>
      <w:r>
        <w:rPr>
          <w:sz w:val="24"/>
        </w:rPr>
        <w:t>of</w:t>
      </w:r>
      <w:r>
        <w:rPr>
          <w:spacing w:val="-4"/>
          <w:sz w:val="24"/>
        </w:rPr>
        <w:t> </w:t>
      </w:r>
      <w:r>
        <w:rPr>
          <w:sz w:val="24"/>
        </w:rPr>
        <w:t>minimum</w:t>
      </w:r>
      <w:r>
        <w:rPr>
          <w:spacing w:val="-4"/>
          <w:sz w:val="24"/>
        </w:rPr>
        <w:t> </w:t>
      </w:r>
      <w:r>
        <w:rPr>
          <w:sz w:val="24"/>
        </w:rPr>
        <w:t>Rs</w:t>
      </w:r>
      <w:r>
        <w:rPr>
          <w:spacing w:val="-4"/>
          <w:sz w:val="24"/>
        </w:rPr>
        <w:t> </w:t>
      </w:r>
      <w:r>
        <w:rPr>
          <w:sz w:val="24"/>
        </w:rPr>
        <w:t>50,000/-</w:t>
      </w:r>
      <w:r>
        <w:rPr>
          <w:spacing w:val="-4"/>
          <w:sz w:val="24"/>
        </w:rPr>
        <w:t> </w:t>
      </w:r>
      <w:r>
        <w:rPr>
          <w:sz w:val="24"/>
        </w:rPr>
        <w:t>per</w:t>
      </w:r>
      <w:r>
        <w:rPr>
          <w:spacing w:val="-7"/>
          <w:sz w:val="24"/>
        </w:rPr>
        <w:t> </w:t>
      </w:r>
      <w:r>
        <w:rPr>
          <w:sz w:val="24"/>
        </w:rPr>
        <w:t>tenementor as</w:t>
      </w:r>
      <w:r>
        <w:rPr>
          <w:spacing w:val="-8"/>
          <w:sz w:val="24"/>
        </w:rPr>
        <w:t> </w:t>
      </w:r>
      <w:r>
        <w:rPr>
          <w:sz w:val="24"/>
        </w:rPr>
        <w:t>directed</w:t>
      </w:r>
      <w:r>
        <w:rPr>
          <w:spacing w:val="-8"/>
          <w:sz w:val="24"/>
        </w:rPr>
        <w:t> </w:t>
      </w:r>
      <w:r>
        <w:rPr>
          <w:sz w:val="24"/>
        </w:rPr>
        <w:t>by</w:t>
      </w:r>
      <w:r>
        <w:rPr>
          <w:spacing w:val="-8"/>
          <w:sz w:val="24"/>
        </w:rPr>
        <w:t> </w:t>
      </w:r>
      <w:r>
        <w:rPr>
          <w:sz w:val="24"/>
        </w:rPr>
        <w:t>the</w:t>
      </w:r>
      <w:r>
        <w:rPr>
          <w:spacing w:val="-8"/>
          <w:sz w:val="24"/>
        </w:rPr>
        <w:t> </w:t>
      </w:r>
      <w:r>
        <w:rPr>
          <w:sz w:val="24"/>
        </w:rPr>
        <w:t>HPC</w:t>
      </w:r>
      <w:r>
        <w:rPr>
          <w:spacing w:val="-8"/>
          <w:sz w:val="24"/>
        </w:rPr>
        <w:t> </w:t>
      </w:r>
      <w:r>
        <w:rPr>
          <w:sz w:val="24"/>
        </w:rPr>
        <w:t>shall</w:t>
      </w:r>
      <w:r>
        <w:rPr>
          <w:spacing w:val="-8"/>
          <w:sz w:val="24"/>
        </w:rPr>
        <w:t> </w:t>
      </w:r>
      <w:r>
        <w:rPr>
          <w:sz w:val="24"/>
        </w:rPr>
        <w:t>be</w:t>
      </w:r>
      <w:r>
        <w:rPr>
          <w:spacing w:val="-8"/>
          <w:sz w:val="24"/>
        </w:rPr>
        <w:t> </w:t>
      </w:r>
      <w:r>
        <w:rPr>
          <w:sz w:val="24"/>
        </w:rPr>
        <w:t>created</w:t>
      </w:r>
      <w:r>
        <w:rPr>
          <w:spacing w:val="-11"/>
          <w:sz w:val="24"/>
        </w:rPr>
        <w:t> </w:t>
      </w:r>
      <w:r>
        <w:rPr>
          <w:sz w:val="24"/>
        </w:rPr>
        <w:t>by</w:t>
      </w:r>
      <w:r>
        <w:rPr>
          <w:spacing w:val="-8"/>
          <w:sz w:val="24"/>
        </w:rPr>
        <w:t> </w:t>
      </w:r>
      <w:r>
        <w:rPr>
          <w:sz w:val="24"/>
        </w:rPr>
        <w:t>the</w:t>
      </w:r>
      <w:r>
        <w:rPr>
          <w:spacing w:val="-8"/>
          <w:sz w:val="24"/>
        </w:rPr>
        <w:t> </w:t>
      </w:r>
      <w:r>
        <w:rPr>
          <w:sz w:val="24"/>
        </w:rPr>
        <w:t>Promoter/Developer</w:t>
      </w:r>
      <w:r>
        <w:rPr>
          <w:spacing w:val="-8"/>
          <w:sz w:val="24"/>
        </w:rPr>
        <w:t> </w:t>
      </w:r>
      <w:r>
        <w:rPr>
          <w:sz w:val="24"/>
        </w:rPr>
        <w:t>as</w:t>
      </w:r>
      <w:r>
        <w:rPr>
          <w:spacing w:val="-8"/>
          <w:sz w:val="24"/>
        </w:rPr>
        <w:t> </w:t>
      </w:r>
      <w:r>
        <w:rPr>
          <w:sz w:val="24"/>
        </w:rPr>
        <w:t>a Corpus</w:t>
      </w:r>
      <w:r>
        <w:rPr>
          <w:spacing w:val="-18"/>
          <w:sz w:val="24"/>
        </w:rPr>
        <w:t> </w:t>
      </w:r>
      <w:r>
        <w:rPr>
          <w:sz w:val="24"/>
        </w:rPr>
        <w:t>fund,</w:t>
      </w:r>
      <w:r>
        <w:rPr>
          <w:spacing w:val="-18"/>
          <w:sz w:val="24"/>
        </w:rPr>
        <w:t> </w:t>
      </w:r>
      <w:r>
        <w:rPr>
          <w:sz w:val="24"/>
        </w:rPr>
        <w:t>which</w:t>
      </w:r>
      <w:r>
        <w:rPr>
          <w:spacing w:val="-15"/>
          <w:sz w:val="24"/>
        </w:rPr>
        <w:t> </w:t>
      </w:r>
      <w:r>
        <w:rPr>
          <w:sz w:val="24"/>
        </w:rPr>
        <w:t>will</w:t>
      </w:r>
      <w:r>
        <w:rPr>
          <w:spacing w:val="-18"/>
          <w:sz w:val="24"/>
        </w:rPr>
        <w:t> </w:t>
      </w:r>
      <w:r>
        <w:rPr>
          <w:sz w:val="24"/>
        </w:rPr>
        <w:t>be</w:t>
      </w:r>
      <w:r>
        <w:rPr>
          <w:spacing w:val="-18"/>
          <w:sz w:val="24"/>
        </w:rPr>
        <w:t> </w:t>
      </w:r>
      <w:r>
        <w:rPr>
          <w:sz w:val="24"/>
        </w:rPr>
        <w:t>utilised</w:t>
      </w:r>
      <w:r>
        <w:rPr>
          <w:spacing w:val="-18"/>
          <w:sz w:val="24"/>
        </w:rPr>
        <w:t> </w:t>
      </w:r>
      <w:r>
        <w:rPr>
          <w:sz w:val="24"/>
        </w:rPr>
        <w:t>for</w:t>
      </w:r>
      <w:r>
        <w:rPr>
          <w:spacing w:val="-18"/>
          <w:sz w:val="24"/>
        </w:rPr>
        <w:t> </w:t>
      </w:r>
      <w:r>
        <w:rPr>
          <w:sz w:val="24"/>
        </w:rPr>
        <w:t>maintenance</w:t>
      </w:r>
      <w:r>
        <w:rPr>
          <w:spacing w:val="-18"/>
          <w:sz w:val="24"/>
        </w:rPr>
        <w:t> </w:t>
      </w:r>
      <w:r>
        <w:rPr>
          <w:sz w:val="24"/>
        </w:rPr>
        <w:t>of</w:t>
      </w:r>
      <w:r>
        <w:rPr>
          <w:spacing w:val="-18"/>
          <w:sz w:val="24"/>
        </w:rPr>
        <w:t> </w:t>
      </w:r>
      <w:r>
        <w:rPr>
          <w:sz w:val="24"/>
        </w:rPr>
        <w:t>the</w:t>
      </w:r>
      <w:r>
        <w:rPr>
          <w:spacing w:val="-18"/>
          <w:sz w:val="24"/>
        </w:rPr>
        <w:t> </w:t>
      </w:r>
      <w:r>
        <w:rPr>
          <w:sz w:val="24"/>
        </w:rPr>
        <w:t>rehabilitation buildings for a period of 10 years.</w:t>
      </w:r>
    </w:p>
    <w:p>
      <w:pPr>
        <w:pStyle w:val="ListParagraph"/>
        <w:numPr>
          <w:ilvl w:val="0"/>
          <w:numId w:val="138"/>
        </w:numPr>
        <w:tabs>
          <w:tab w:pos="2588" w:val="left" w:leader="none"/>
        </w:tabs>
        <w:spacing w:line="240" w:lineRule="auto" w:before="242" w:after="0"/>
        <w:ind w:left="2062" w:right="766" w:firstLine="0"/>
        <w:jc w:val="both"/>
        <w:rPr>
          <w:sz w:val="24"/>
        </w:rPr>
      </w:pPr>
      <w:r>
        <w:rPr>
          <w:sz w:val="24"/>
        </w:rPr>
        <w:t>Any ongoing scheme under Regulation 33(7) which fulfills the criteria under this Regulation can be included in the proposal under Regulation 33 (9) for approval or converted into a CDS under this Regulation 33(9). However, all dilutions of reservations under Regulation 33(7) shall have to be restored as per this Regulation.</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66"/>
      </w:pPr>
      <w:r>
        <w:rPr/>
        <w:t>19, Heritage buildings of Grade-I and II as well as authorized and structurally</w:t>
      </w:r>
      <w:r>
        <w:rPr>
          <w:spacing w:val="-6"/>
        </w:rPr>
        <w:t> </w:t>
      </w:r>
      <w:r>
        <w:rPr/>
        <w:t>sound</w:t>
      </w:r>
      <w:r>
        <w:rPr>
          <w:spacing w:val="-6"/>
        </w:rPr>
        <w:t> </w:t>
      </w:r>
      <w:r>
        <w:rPr/>
        <w:t>retainable</w:t>
      </w:r>
      <w:r>
        <w:rPr>
          <w:spacing w:val="-6"/>
        </w:rPr>
        <w:t> </w:t>
      </w:r>
      <w:r>
        <w:rPr/>
        <w:t>buildings</w:t>
      </w:r>
      <w:r>
        <w:rPr>
          <w:spacing w:val="-6"/>
        </w:rPr>
        <w:t> </w:t>
      </w:r>
      <w:r>
        <w:rPr/>
        <w:t>may</w:t>
      </w:r>
      <w:r>
        <w:rPr>
          <w:spacing w:val="-6"/>
        </w:rPr>
        <w:t> </w:t>
      </w:r>
      <w:r>
        <w:rPr/>
        <w:t>be</w:t>
      </w:r>
      <w:r>
        <w:rPr>
          <w:spacing w:val="-6"/>
        </w:rPr>
        <w:t> </w:t>
      </w:r>
      <w:r>
        <w:rPr/>
        <w:t>included</w:t>
      </w:r>
      <w:r>
        <w:rPr>
          <w:spacing w:val="-6"/>
        </w:rPr>
        <w:t> </w:t>
      </w:r>
      <w:r>
        <w:rPr/>
        <w:t>in</w:t>
      </w:r>
      <w:r>
        <w:rPr>
          <w:spacing w:val="-6"/>
        </w:rPr>
        <w:t> </w:t>
      </w:r>
      <w:r>
        <w:rPr/>
        <w:t>the</w:t>
      </w:r>
      <w:r>
        <w:rPr>
          <w:spacing w:val="-5"/>
        </w:rPr>
        <w:t> </w:t>
      </w:r>
      <w:r>
        <w:rPr/>
        <w:t>CD,</w:t>
      </w:r>
      <w:r>
        <w:rPr>
          <w:spacing w:val="-6"/>
        </w:rPr>
        <w:t> </w:t>
      </w:r>
      <w:r>
        <w:rPr/>
        <w:t>but shall</w:t>
      </w:r>
      <w:r>
        <w:rPr>
          <w:spacing w:val="-10"/>
        </w:rPr>
        <w:t> </w:t>
      </w:r>
      <w:r>
        <w:rPr/>
        <w:t>have</w:t>
      </w:r>
      <w:r>
        <w:rPr>
          <w:spacing w:val="-10"/>
        </w:rPr>
        <w:t> </w:t>
      </w:r>
      <w:r>
        <w:rPr/>
        <w:t>to</w:t>
      </w:r>
      <w:r>
        <w:rPr>
          <w:spacing w:val="-10"/>
        </w:rPr>
        <w:t> </w:t>
      </w:r>
      <w:r>
        <w:rPr/>
        <w:t>be</w:t>
      </w:r>
      <w:r>
        <w:rPr>
          <w:spacing w:val="-10"/>
        </w:rPr>
        <w:t> </w:t>
      </w:r>
      <w:r>
        <w:rPr/>
        <w:t>kept</w:t>
      </w:r>
      <w:r>
        <w:rPr>
          <w:spacing w:val="-7"/>
        </w:rPr>
        <w:t> </w:t>
      </w:r>
      <w:r>
        <w:rPr/>
        <w:t>as</w:t>
      </w:r>
      <w:r>
        <w:rPr>
          <w:spacing w:val="-10"/>
        </w:rPr>
        <w:t> </w:t>
      </w:r>
      <w:r>
        <w:rPr/>
        <w:t>they</w:t>
      </w:r>
      <w:r>
        <w:rPr>
          <w:spacing w:val="-10"/>
        </w:rPr>
        <w:t> </w:t>
      </w:r>
      <w:r>
        <w:rPr/>
        <w:t>are,</w:t>
      </w:r>
      <w:r>
        <w:rPr>
          <w:spacing w:val="-9"/>
        </w:rPr>
        <w:t> </w:t>
      </w:r>
      <w:r>
        <w:rPr/>
        <w:t>along</w:t>
      </w:r>
      <w:r>
        <w:rPr>
          <w:spacing w:val="-10"/>
        </w:rPr>
        <w:t> </w:t>
      </w:r>
      <w:r>
        <w:rPr/>
        <w:t>with</w:t>
      </w:r>
      <w:r>
        <w:rPr>
          <w:spacing w:val="-9"/>
        </w:rPr>
        <w:t> </w:t>
      </w:r>
      <w:r>
        <w:rPr/>
        <w:t>land</w:t>
      </w:r>
      <w:r>
        <w:rPr>
          <w:spacing w:val="-10"/>
        </w:rPr>
        <w:t> </w:t>
      </w:r>
      <w:r>
        <w:rPr/>
        <w:t>appurtenant,</w:t>
      </w:r>
      <w:r>
        <w:rPr>
          <w:spacing w:val="-10"/>
        </w:rPr>
        <w:t> </w:t>
      </w:r>
      <w:r>
        <w:rPr/>
        <w:t>and</w:t>
      </w:r>
      <w:r>
        <w:rPr>
          <w:spacing w:val="-10"/>
        </w:rPr>
        <w:t> </w:t>
      </w:r>
      <w:r>
        <w:rPr/>
        <w:t>this area</w:t>
      </w:r>
      <w:r>
        <w:rPr>
          <w:spacing w:val="-10"/>
        </w:rPr>
        <w:t> </w:t>
      </w:r>
      <w:r>
        <w:rPr/>
        <w:t>shall</w:t>
      </w:r>
      <w:r>
        <w:rPr>
          <w:spacing w:val="-10"/>
        </w:rPr>
        <w:t> </w:t>
      </w:r>
      <w:r>
        <w:rPr/>
        <w:t>be</w:t>
      </w:r>
      <w:r>
        <w:rPr>
          <w:spacing w:val="-10"/>
        </w:rPr>
        <w:t> </w:t>
      </w:r>
      <w:r>
        <w:rPr/>
        <w:t>counted</w:t>
      </w:r>
      <w:r>
        <w:rPr>
          <w:spacing w:val="-10"/>
        </w:rPr>
        <w:t> </w:t>
      </w:r>
      <w:r>
        <w:rPr/>
        <w:t>towards</w:t>
      </w:r>
      <w:r>
        <w:rPr>
          <w:spacing w:val="-10"/>
        </w:rPr>
        <w:t> </w:t>
      </w:r>
      <w:r>
        <w:rPr/>
        <w:t>the</w:t>
      </w:r>
      <w:r>
        <w:rPr>
          <w:spacing w:val="-10"/>
        </w:rPr>
        <w:t> </w:t>
      </w:r>
      <w:r>
        <w:rPr/>
        <w:t>slab</w:t>
      </w:r>
      <w:r>
        <w:rPr>
          <w:spacing w:val="-10"/>
        </w:rPr>
        <w:t> </w:t>
      </w:r>
      <w:r>
        <w:rPr/>
        <w:t>of</w:t>
      </w:r>
      <w:r>
        <w:rPr>
          <w:spacing w:val="-12"/>
        </w:rPr>
        <w:t> </w:t>
      </w:r>
      <w:r>
        <w:rPr/>
        <w:t>Incentive</w:t>
      </w:r>
      <w:r>
        <w:rPr>
          <w:spacing w:val="-10"/>
        </w:rPr>
        <w:t> </w:t>
      </w:r>
      <w:r>
        <w:rPr/>
        <w:t>FSI,</w:t>
      </w:r>
      <w:r>
        <w:rPr>
          <w:spacing w:val="-12"/>
        </w:rPr>
        <w:t> </w:t>
      </w:r>
      <w:r>
        <w:rPr/>
        <w:t>but</w:t>
      </w:r>
      <w:r>
        <w:rPr>
          <w:spacing w:val="-10"/>
        </w:rPr>
        <w:t> </w:t>
      </w:r>
      <w:r>
        <w:rPr/>
        <w:t>shall</w:t>
      </w:r>
      <w:r>
        <w:rPr>
          <w:spacing w:val="-10"/>
        </w:rPr>
        <w:t> </w:t>
      </w:r>
      <w:r>
        <w:rPr/>
        <w:t>not</w:t>
      </w:r>
      <w:r>
        <w:rPr>
          <w:spacing w:val="-10"/>
        </w:rPr>
        <w:t> </w:t>
      </w:r>
      <w:r>
        <w:rPr/>
        <w:t>be considered for FSI under this Regulation. As regards such Heritage Structures, the Promoter/Developer shall have to contribute Heritage Cess at 5% of ASR on the basis of BUA of the Heritage structure. Existing</w:t>
      </w:r>
      <w:r>
        <w:rPr>
          <w:spacing w:val="-11"/>
        </w:rPr>
        <w:t> </w:t>
      </w:r>
      <w:r>
        <w:rPr/>
        <w:t>provisions</w:t>
      </w:r>
      <w:r>
        <w:rPr>
          <w:spacing w:val="-11"/>
        </w:rPr>
        <w:t> </w:t>
      </w:r>
      <w:r>
        <w:rPr/>
        <w:t>under</w:t>
      </w:r>
      <w:r>
        <w:rPr>
          <w:spacing w:val="-11"/>
        </w:rPr>
        <w:t> </w:t>
      </w:r>
      <w:r>
        <w:rPr/>
        <w:t>the</w:t>
      </w:r>
      <w:r>
        <w:rPr>
          <w:spacing w:val="-11"/>
        </w:rPr>
        <w:t> </w:t>
      </w:r>
      <w:r>
        <w:rPr/>
        <w:t>DCPR</w:t>
      </w:r>
      <w:r>
        <w:rPr>
          <w:spacing w:val="-11"/>
        </w:rPr>
        <w:t> </w:t>
      </w:r>
      <w:r>
        <w:rPr/>
        <w:t>shall</w:t>
      </w:r>
      <w:r>
        <w:rPr>
          <w:spacing w:val="-11"/>
        </w:rPr>
        <w:t> </w:t>
      </w:r>
      <w:r>
        <w:rPr/>
        <w:t>apply</w:t>
      </w:r>
      <w:r>
        <w:rPr>
          <w:spacing w:val="-11"/>
        </w:rPr>
        <w:t> </w:t>
      </w:r>
      <w:r>
        <w:rPr/>
        <w:t>to</w:t>
      </w:r>
      <w:r>
        <w:rPr>
          <w:spacing w:val="-11"/>
        </w:rPr>
        <w:t> </w:t>
      </w:r>
      <w:r>
        <w:rPr/>
        <w:t>Heritage</w:t>
      </w:r>
      <w:r>
        <w:rPr>
          <w:spacing w:val="-11"/>
        </w:rPr>
        <w:t> </w:t>
      </w:r>
      <w:r>
        <w:rPr/>
        <w:t>Buildings</w:t>
      </w:r>
      <w:r>
        <w:rPr>
          <w:spacing w:val="-11"/>
        </w:rPr>
        <w:t> </w:t>
      </w:r>
      <w:r>
        <w:rPr/>
        <w:t>of Grade-III and buildings in heritage precincts. However, if the URS contains Grade I structure, the HPC shall consult the MHCC before granting approval.</w:t>
      </w:r>
    </w:p>
    <w:p>
      <w:pPr>
        <w:pStyle w:val="ListParagraph"/>
        <w:numPr>
          <w:ilvl w:val="0"/>
          <w:numId w:val="168"/>
        </w:numPr>
        <w:tabs>
          <w:tab w:pos="2754" w:val="left" w:leader="none"/>
        </w:tabs>
        <w:spacing w:line="240" w:lineRule="auto" w:before="242" w:after="0"/>
        <w:ind w:left="2062" w:right="769" w:firstLine="0"/>
        <w:jc w:val="both"/>
        <w:rPr>
          <w:sz w:val="24"/>
        </w:rPr>
      </w:pPr>
      <w:r>
        <w:rPr>
          <w:sz w:val="24"/>
        </w:rPr>
        <w:t>If HPC approves areas for amenities such as Fire Stations/Hospitals/Police Stations/Schools, etc. other than reservations/designations under theDP, such amenities shall be handed over to the concerned Authority free of cost. The BUA of such amenity shall be considered towards rehabilitation FSI, and incentive FSI as admissible under this Regulation shall be permissible.</w:t>
      </w:r>
    </w:p>
    <w:p>
      <w:pPr>
        <w:pStyle w:val="ListParagraph"/>
        <w:numPr>
          <w:ilvl w:val="0"/>
          <w:numId w:val="168"/>
        </w:numPr>
        <w:tabs>
          <w:tab w:pos="2534" w:val="left" w:leader="none"/>
        </w:tabs>
        <w:spacing w:line="240" w:lineRule="auto" w:before="240" w:after="0"/>
        <w:ind w:left="2062" w:right="768" w:firstLine="0"/>
        <w:jc w:val="both"/>
        <w:rPr>
          <w:sz w:val="24"/>
        </w:rPr>
      </w:pPr>
      <w:r>
        <w:rPr>
          <w:sz w:val="24"/>
        </w:rPr>
        <w:t>HPC, headed by Municipal Commissioner and</w:t>
      </w:r>
      <w:r>
        <w:rPr>
          <w:spacing w:val="40"/>
          <w:sz w:val="24"/>
        </w:rPr>
        <w:t> </w:t>
      </w:r>
      <w:r>
        <w:rPr>
          <w:sz w:val="24"/>
        </w:rPr>
        <w:t>constituted by the Govt., shall be competent to approve the</w:t>
      </w:r>
      <w:r>
        <w:rPr>
          <w:spacing w:val="40"/>
          <w:sz w:val="24"/>
        </w:rPr>
        <w:t> </w:t>
      </w:r>
      <w:r>
        <w:rPr>
          <w:sz w:val="24"/>
        </w:rPr>
        <w:t>CDS with the previous sanction of the Govt under this Regulation. On approval by HPC, the proposal</w:t>
      </w:r>
      <w:r>
        <w:rPr>
          <w:spacing w:val="-8"/>
          <w:sz w:val="24"/>
        </w:rPr>
        <w:t> </w:t>
      </w:r>
      <w:r>
        <w:rPr>
          <w:sz w:val="24"/>
        </w:rPr>
        <w:t>shall</w:t>
      </w:r>
      <w:r>
        <w:rPr>
          <w:spacing w:val="-8"/>
          <w:sz w:val="24"/>
        </w:rPr>
        <w:t> </w:t>
      </w:r>
      <w:r>
        <w:rPr>
          <w:sz w:val="24"/>
        </w:rPr>
        <w:t>be</w:t>
      </w:r>
      <w:r>
        <w:rPr>
          <w:spacing w:val="-8"/>
          <w:sz w:val="24"/>
        </w:rPr>
        <w:t> </w:t>
      </w:r>
      <w:r>
        <w:rPr>
          <w:sz w:val="24"/>
        </w:rPr>
        <w:t>submitted</w:t>
      </w:r>
      <w:r>
        <w:rPr>
          <w:spacing w:val="-8"/>
          <w:sz w:val="24"/>
        </w:rPr>
        <w:t> </w:t>
      </w:r>
      <w:r>
        <w:rPr>
          <w:sz w:val="24"/>
        </w:rPr>
        <w:t>to</w:t>
      </w:r>
      <w:r>
        <w:rPr>
          <w:spacing w:val="-8"/>
          <w:sz w:val="24"/>
        </w:rPr>
        <w:t> </w:t>
      </w:r>
      <w:r>
        <w:rPr>
          <w:sz w:val="24"/>
        </w:rPr>
        <w:t>the</w:t>
      </w:r>
      <w:r>
        <w:rPr>
          <w:spacing w:val="-8"/>
          <w:sz w:val="24"/>
        </w:rPr>
        <w:t> </w:t>
      </w:r>
      <w:r>
        <w:rPr>
          <w:sz w:val="24"/>
        </w:rPr>
        <w:t>Municipal</w:t>
      </w:r>
      <w:r>
        <w:rPr>
          <w:spacing w:val="-8"/>
          <w:sz w:val="24"/>
        </w:rPr>
        <w:t> </w:t>
      </w:r>
      <w:r>
        <w:rPr>
          <w:sz w:val="24"/>
        </w:rPr>
        <w:t>Commissioner,</w:t>
      </w:r>
      <w:r>
        <w:rPr>
          <w:spacing w:val="-8"/>
          <w:sz w:val="24"/>
        </w:rPr>
        <w:t> </w:t>
      </w:r>
      <w:r>
        <w:rPr>
          <w:sz w:val="24"/>
        </w:rPr>
        <w:t>MCGM</w:t>
      </w:r>
      <w:r>
        <w:rPr>
          <w:spacing w:val="-8"/>
          <w:sz w:val="24"/>
        </w:rPr>
        <w:t> </w:t>
      </w:r>
      <w:r>
        <w:rPr>
          <w:sz w:val="24"/>
        </w:rPr>
        <w:t>for approval of plans.The decision of HPC shall be appealable as if it is an appeal under section 47 of the MR&amp;TP Act, 1966.</w:t>
      </w:r>
    </w:p>
    <w:p>
      <w:pPr>
        <w:pStyle w:val="BodyText"/>
        <w:spacing w:before="78"/>
        <w:jc w:val="left"/>
      </w:pPr>
    </w:p>
    <w:p>
      <w:pPr>
        <w:pStyle w:val="BodyText"/>
        <w:ind w:left="2062" w:right="766"/>
      </w:pPr>
      <w:r>
        <w:rPr/>
        <w:t>Provided</w:t>
      </w:r>
      <w:r>
        <w:rPr>
          <w:spacing w:val="-15"/>
        </w:rPr>
        <w:t> </w:t>
      </w:r>
      <w:r>
        <w:rPr/>
        <w:t>that</w:t>
      </w:r>
      <w:r>
        <w:rPr>
          <w:spacing w:val="-15"/>
        </w:rPr>
        <w:t> </w:t>
      </w:r>
      <w:r>
        <w:rPr/>
        <w:t>no</w:t>
      </w:r>
      <w:r>
        <w:rPr>
          <w:spacing w:val="-15"/>
        </w:rPr>
        <w:t> </w:t>
      </w:r>
      <w:r>
        <w:rPr/>
        <w:t>CDS</w:t>
      </w:r>
      <w:r>
        <w:rPr>
          <w:spacing w:val="-15"/>
        </w:rPr>
        <w:t> </w:t>
      </w:r>
      <w:r>
        <w:rPr/>
        <w:t>shall</w:t>
      </w:r>
      <w:r>
        <w:rPr>
          <w:spacing w:val="-16"/>
        </w:rPr>
        <w:t> </w:t>
      </w:r>
      <w:r>
        <w:rPr/>
        <w:t>be</w:t>
      </w:r>
      <w:r>
        <w:rPr>
          <w:spacing w:val="-15"/>
        </w:rPr>
        <w:t> </w:t>
      </w:r>
      <w:r>
        <w:rPr/>
        <w:t>sanctioned</w:t>
      </w:r>
      <w:r>
        <w:rPr>
          <w:spacing w:val="-15"/>
        </w:rPr>
        <w:t> </w:t>
      </w:r>
      <w:r>
        <w:rPr/>
        <w:t>by</w:t>
      </w:r>
      <w:r>
        <w:rPr>
          <w:spacing w:val="-15"/>
        </w:rPr>
        <w:t> </w:t>
      </w:r>
      <w:r>
        <w:rPr/>
        <w:t>the</w:t>
      </w:r>
      <w:r>
        <w:rPr>
          <w:spacing w:val="-15"/>
        </w:rPr>
        <w:t> </w:t>
      </w:r>
      <w:r>
        <w:rPr/>
        <w:t>Govtwithout</w:t>
      </w:r>
      <w:r>
        <w:rPr>
          <w:spacing w:val="-15"/>
        </w:rPr>
        <w:t> </w:t>
      </w:r>
      <w:r>
        <w:rPr/>
        <w:t>giving</w:t>
      </w:r>
      <w:r>
        <w:rPr>
          <w:spacing w:val="-15"/>
        </w:rPr>
        <w:t> </w:t>
      </w:r>
      <w:r>
        <w:rPr/>
        <w:t>due regard to the Impact</w:t>
      </w:r>
      <w:r>
        <w:rPr>
          <w:spacing w:val="-1"/>
        </w:rPr>
        <w:t> </w:t>
      </w:r>
      <w:r>
        <w:rPr/>
        <w:t>Assessment study referred to in clause 1.1 above.</w:t>
      </w:r>
    </w:p>
    <w:p>
      <w:pPr>
        <w:pStyle w:val="BodyText"/>
        <w:spacing w:before="78"/>
        <w:jc w:val="left"/>
      </w:pPr>
    </w:p>
    <w:p>
      <w:pPr>
        <w:pStyle w:val="ListParagraph"/>
        <w:numPr>
          <w:ilvl w:val="0"/>
          <w:numId w:val="168"/>
        </w:numPr>
        <w:tabs>
          <w:tab w:pos="2505" w:val="left" w:leader="none"/>
        </w:tabs>
        <w:spacing w:line="240" w:lineRule="auto" w:before="1" w:after="0"/>
        <w:ind w:left="2062" w:right="768" w:firstLine="0"/>
        <w:jc w:val="both"/>
        <w:rPr>
          <w:sz w:val="24"/>
        </w:rPr>
      </w:pPr>
      <w:r>
        <w:rPr>
          <w:sz w:val="24"/>
        </w:rPr>
        <w:t>Regardless</w:t>
      </w:r>
      <w:r>
        <w:rPr>
          <w:spacing w:val="-11"/>
          <w:sz w:val="24"/>
        </w:rPr>
        <w:t> </w:t>
      </w:r>
      <w:r>
        <w:rPr>
          <w:sz w:val="24"/>
        </w:rPr>
        <w:t>of</w:t>
      </w:r>
      <w:r>
        <w:rPr>
          <w:spacing w:val="-11"/>
          <w:sz w:val="24"/>
        </w:rPr>
        <w:t> </w:t>
      </w:r>
      <w:r>
        <w:rPr>
          <w:sz w:val="24"/>
        </w:rPr>
        <w:t>its</w:t>
      </w:r>
      <w:r>
        <w:rPr>
          <w:spacing w:val="-8"/>
          <w:sz w:val="24"/>
        </w:rPr>
        <w:t> </w:t>
      </w:r>
      <w:r>
        <w:rPr>
          <w:sz w:val="24"/>
        </w:rPr>
        <w:t>area,</w:t>
      </w:r>
      <w:r>
        <w:rPr>
          <w:spacing w:val="-10"/>
          <w:sz w:val="24"/>
        </w:rPr>
        <w:t> </w:t>
      </w:r>
      <w:r>
        <w:rPr>
          <w:sz w:val="24"/>
        </w:rPr>
        <w:t>any</w:t>
      </w:r>
      <w:r>
        <w:rPr>
          <w:spacing w:val="-11"/>
          <w:sz w:val="24"/>
        </w:rPr>
        <w:t> </w:t>
      </w:r>
      <w:r>
        <w:rPr>
          <w:sz w:val="24"/>
        </w:rPr>
        <w:t>Cluster</w:t>
      </w:r>
      <w:r>
        <w:rPr>
          <w:spacing w:val="-11"/>
          <w:sz w:val="24"/>
        </w:rPr>
        <w:t> </w:t>
      </w:r>
      <w:r>
        <w:rPr>
          <w:sz w:val="24"/>
        </w:rPr>
        <w:t>Renewal</w:t>
      </w:r>
      <w:r>
        <w:rPr>
          <w:spacing w:val="-11"/>
          <w:sz w:val="24"/>
        </w:rPr>
        <w:t> </w:t>
      </w:r>
      <w:r>
        <w:rPr>
          <w:sz w:val="24"/>
        </w:rPr>
        <w:t>Scheme</w:t>
      </w:r>
      <w:r>
        <w:rPr>
          <w:spacing w:val="-11"/>
          <w:sz w:val="24"/>
        </w:rPr>
        <w:t> </w:t>
      </w:r>
      <w:r>
        <w:rPr>
          <w:sz w:val="24"/>
        </w:rPr>
        <w:t>(CRS)</w:t>
      </w:r>
      <w:r>
        <w:rPr>
          <w:spacing w:val="-8"/>
          <w:sz w:val="24"/>
        </w:rPr>
        <w:t> </w:t>
      </w:r>
      <w:r>
        <w:rPr>
          <w:sz w:val="24"/>
        </w:rPr>
        <w:t>for</w:t>
      </w:r>
      <w:r>
        <w:rPr>
          <w:spacing w:val="-11"/>
          <w:sz w:val="24"/>
        </w:rPr>
        <w:t> </w:t>
      </w:r>
      <w:r>
        <w:rPr>
          <w:sz w:val="24"/>
        </w:rPr>
        <w:t>which LOI has been issued under Regulation 33(9) of DCR 1991 prior to the date of coming into force of this Regulation can be allowed to be converted</w:t>
      </w:r>
      <w:r>
        <w:rPr>
          <w:spacing w:val="40"/>
          <w:sz w:val="24"/>
        </w:rPr>
        <w:t> </w:t>
      </w:r>
      <w:r>
        <w:rPr>
          <w:sz w:val="24"/>
        </w:rPr>
        <w:t>as per this Regulation at the request of the Promoter/Developer, with the prior approval of the State Govt.</w:t>
      </w:r>
    </w:p>
    <w:p>
      <w:pPr>
        <w:pStyle w:val="BodyText"/>
        <w:spacing w:before="240"/>
        <w:ind w:left="2062"/>
      </w:pPr>
      <w:r>
        <w:rPr/>
        <w:t>Provided</w:t>
      </w:r>
      <w:r>
        <w:rPr>
          <w:spacing w:val="-7"/>
        </w:rPr>
        <w:t> </w:t>
      </w:r>
      <w:r>
        <w:rPr>
          <w:spacing w:val="-2"/>
        </w:rPr>
        <w:t>that:</w:t>
      </w:r>
    </w:p>
    <w:p>
      <w:pPr>
        <w:pStyle w:val="ListParagraph"/>
        <w:numPr>
          <w:ilvl w:val="1"/>
          <w:numId w:val="168"/>
        </w:numPr>
        <w:tabs>
          <w:tab w:pos="2359" w:val="left" w:leader="none"/>
        </w:tabs>
        <w:spacing w:line="240" w:lineRule="auto" w:before="239" w:after="0"/>
        <w:ind w:left="2062" w:right="767" w:firstLine="0"/>
        <w:jc w:val="both"/>
        <w:rPr>
          <w:sz w:val="24"/>
        </w:rPr>
      </w:pPr>
      <w:r>
        <w:rPr>
          <w:sz w:val="24"/>
        </w:rPr>
        <w:t>For the purpose of calculation of Basic Ratio, as specified in Clause 6(b)</w:t>
      </w:r>
      <w:r>
        <w:rPr>
          <w:spacing w:val="-5"/>
          <w:sz w:val="24"/>
        </w:rPr>
        <w:t> </w:t>
      </w:r>
      <w:r>
        <w:rPr>
          <w:sz w:val="24"/>
        </w:rPr>
        <w:t>above,</w:t>
      </w:r>
      <w:r>
        <w:rPr>
          <w:spacing w:val="-5"/>
          <w:sz w:val="24"/>
        </w:rPr>
        <w:t> </w:t>
      </w:r>
      <w:r>
        <w:rPr>
          <w:sz w:val="24"/>
        </w:rPr>
        <w:t>the</w:t>
      </w:r>
      <w:r>
        <w:rPr>
          <w:spacing w:val="-5"/>
          <w:sz w:val="24"/>
        </w:rPr>
        <w:t> </w:t>
      </w:r>
      <w:r>
        <w:rPr>
          <w:sz w:val="24"/>
        </w:rPr>
        <w:t>land</w:t>
      </w:r>
      <w:r>
        <w:rPr>
          <w:spacing w:val="-5"/>
          <w:sz w:val="24"/>
        </w:rPr>
        <w:t> </w:t>
      </w:r>
      <w:r>
        <w:rPr>
          <w:sz w:val="24"/>
        </w:rPr>
        <w:t>rate</w:t>
      </w:r>
      <w:r>
        <w:rPr>
          <w:spacing w:val="-5"/>
          <w:sz w:val="24"/>
        </w:rPr>
        <w:t> </w:t>
      </w:r>
      <w:r>
        <w:rPr>
          <w:sz w:val="24"/>
        </w:rPr>
        <w:t>(LC)</w:t>
      </w:r>
      <w:r>
        <w:rPr>
          <w:spacing w:val="-5"/>
          <w:sz w:val="24"/>
        </w:rPr>
        <w:t> </w:t>
      </w:r>
      <w:r>
        <w:rPr>
          <w:sz w:val="24"/>
        </w:rPr>
        <w:t>and</w:t>
      </w:r>
      <w:r>
        <w:rPr>
          <w:spacing w:val="-5"/>
          <w:sz w:val="24"/>
        </w:rPr>
        <w:t> </w:t>
      </w:r>
      <w:r>
        <w:rPr>
          <w:sz w:val="24"/>
        </w:rPr>
        <w:t>the</w:t>
      </w:r>
      <w:r>
        <w:rPr>
          <w:spacing w:val="-5"/>
          <w:sz w:val="24"/>
        </w:rPr>
        <w:t> </w:t>
      </w:r>
      <w:r>
        <w:rPr>
          <w:sz w:val="24"/>
        </w:rPr>
        <w:t>Rate</w:t>
      </w:r>
      <w:r>
        <w:rPr>
          <w:spacing w:val="-5"/>
          <w:sz w:val="24"/>
        </w:rPr>
        <w:t> </w:t>
      </w:r>
      <w:r>
        <w:rPr>
          <w:sz w:val="24"/>
        </w:rPr>
        <w:t>of</w:t>
      </w:r>
      <w:r>
        <w:rPr>
          <w:spacing w:val="-5"/>
          <w:sz w:val="24"/>
        </w:rPr>
        <w:t> </w:t>
      </w:r>
      <w:r>
        <w:rPr>
          <w:sz w:val="24"/>
        </w:rPr>
        <w:t>construction</w:t>
      </w:r>
      <w:r>
        <w:rPr>
          <w:spacing w:val="-5"/>
          <w:sz w:val="24"/>
        </w:rPr>
        <w:t> </w:t>
      </w:r>
      <w:r>
        <w:rPr>
          <w:sz w:val="24"/>
        </w:rPr>
        <w:t>(RC)</w:t>
      </w:r>
      <w:r>
        <w:rPr>
          <w:spacing w:val="-5"/>
          <w:sz w:val="24"/>
        </w:rPr>
        <w:t> </w:t>
      </w:r>
      <w:r>
        <w:rPr>
          <w:sz w:val="24"/>
        </w:rPr>
        <w:t>shall</w:t>
      </w:r>
      <w:r>
        <w:rPr>
          <w:spacing w:val="-5"/>
          <w:sz w:val="24"/>
        </w:rPr>
        <w:t> </w:t>
      </w:r>
      <w:r>
        <w:rPr>
          <w:sz w:val="24"/>
        </w:rPr>
        <w:t>be taken</w:t>
      </w:r>
      <w:r>
        <w:rPr>
          <w:spacing w:val="-12"/>
          <w:sz w:val="24"/>
        </w:rPr>
        <w:t> </w:t>
      </w:r>
      <w:r>
        <w:rPr>
          <w:sz w:val="24"/>
        </w:rPr>
        <w:t>for</w:t>
      </w:r>
      <w:r>
        <w:rPr>
          <w:spacing w:val="-12"/>
          <w:sz w:val="24"/>
        </w:rPr>
        <w:t> </w:t>
      </w:r>
      <w:r>
        <w:rPr>
          <w:sz w:val="24"/>
        </w:rPr>
        <w:t>the</w:t>
      </w:r>
      <w:r>
        <w:rPr>
          <w:spacing w:val="-12"/>
          <w:sz w:val="24"/>
        </w:rPr>
        <w:t> </w:t>
      </w:r>
      <w:r>
        <w:rPr>
          <w:sz w:val="24"/>
        </w:rPr>
        <w:t>year</w:t>
      </w:r>
      <w:r>
        <w:rPr>
          <w:spacing w:val="-10"/>
          <w:sz w:val="24"/>
        </w:rPr>
        <w:t> </w:t>
      </w:r>
      <w:r>
        <w:rPr>
          <w:sz w:val="24"/>
        </w:rPr>
        <w:t>in</w:t>
      </w:r>
      <w:r>
        <w:rPr>
          <w:spacing w:val="-10"/>
          <w:sz w:val="24"/>
        </w:rPr>
        <w:t> </w:t>
      </w:r>
      <w:r>
        <w:rPr>
          <w:sz w:val="24"/>
        </w:rPr>
        <w:t>which</w:t>
      </w:r>
      <w:r>
        <w:rPr>
          <w:spacing w:val="-12"/>
          <w:sz w:val="24"/>
        </w:rPr>
        <w:t> </w:t>
      </w:r>
      <w:r>
        <w:rPr>
          <w:sz w:val="24"/>
        </w:rPr>
        <w:t>such</w:t>
      </w:r>
      <w:r>
        <w:rPr>
          <w:spacing w:val="-12"/>
          <w:sz w:val="24"/>
        </w:rPr>
        <w:t> </w:t>
      </w:r>
      <w:r>
        <w:rPr>
          <w:sz w:val="24"/>
        </w:rPr>
        <w:t>CRS</w:t>
      </w:r>
      <w:r>
        <w:rPr>
          <w:spacing w:val="-12"/>
          <w:sz w:val="24"/>
        </w:rPr>
        <w:t> </w:t>
      </w:r>
      <w:r>
        <w:rPr>
          <w:sz w:val="24"/>
        </w:rPr>
        <w:t>was</w:t>
      </w:r>
      <w:r>
        <w:rPr>
          <w:spacing w:val="-10"/>
          <w:sz w:val="24"/>
        </w:rPr>
        <w:t> </w:t>
      </w:r>
      <w:r>
        <w:rPr>
          <w:sz w:val="24"/>
        </w:rPr>
        <w:t>approved</w:t>
      </w:r>
      <w:r>
        <w:rPr>
          <w:spacing w:val="-12"/>
          <w:sz w:val="24"/>
        </w:rPr>
        <w:t> </w:t>
      </w:r>
      <w:r>
        <w:rPr>
          <w:sz w:val="24"/>
        </w:rPr>
        <w:t>and</w:t>
      </w:r>
      <w:r>
        <w:rPr>
          <w:spacing w:val="-10"/>
          <w:sz w:val="24"/>
        </w:rPr>
        <w:t> </w:t>
      </w:r>
      <w:r>
        <w:rPr>
          <w:sz w:val="24"/>
        </w:rPr>
        <w:t>LOI</w:t>
      </w:r>
      <w:r>
        <w:rPr>
          <w:spacing w:val="-10"/>
          <w:sz w:val="24"/>
        </w:rPr>
        <w:t> </w:t>
      </w:r>
      <w:r>
        <w:rPr>
          <w:sz w:val="24"/>
        </w:rPr>
        <w:t>was</w:t>
      </w:r>
      <w:r>
        <w:rPr>
          <w:spacing w:val="-12"/>
          <w:sz w:val="24"/>
        </w:rPr>
        <w:t> </w:t>
      </w:r>
      <w:r>
        <w:rPr>
          <w:sz w:val="24"/>
        </w:rPr>
        <w:t>issued by the competent authority.</w:t>
      </w:r>
    </w:p>
    <w:p>
      <w:pPr>
        <w:pStyle w:val="ListParagraph"/>
        <w:numPr>
          <w:ilvl w:val="1"/>
          <w:numId w:val="168"/>
        </w:numPr>
        <w:tabs>
          <w:tab w:pos="2432" w:val="left" w:leader="none"/>
        </w:tabs>
        <w:spacing w:line="240" w:lineRule="auto" w:before="242" w:after="0"/>
        <w:ind w:left="2062" w:right="766" w:firstLine="0"/>
        <w:jc w:val="both"/>
        <w:rPr>
          <w:sz w:val="24"/>
        </w:rPr>
      </w:pPr>
      <w:r>
        <w:rPr>
          <w:sz w:val="24"/>
        </w:rPr>
        <w:t>The surcharge on development leviable on such</w:t>
      </w:r>
      <w:r>
        <w:rPr>
          <w:spacing w:val="40"/>
          <w:sz w:val="24"/>
        </w:rPr>
        <w:t> </w:t>
      </w:r>
      <w:r>
        <w:rPr>
          <w:sz w:val="24"/>
        </w:rPr>
        <w:t>CDS after its conversion</w:t>
      </w:r>
      <w:r>
        <w:rPr>
          <w:spacing w:val="-17"/>
          <w:sz w:val="24"/>
        </w:rPr>
        <w:t> </w:t>
      </w:r>
      <w:r>
        <w:rPr>
          <w:sz w:val="24"/>
        </w:rPr>
        <w:t>under</w:t>
      </w:r>
      <w:r>
        <w:rPr>
          <w:spacing w:val="-17"/>
          <w:sz w:val="24"/>
        </w:rPr>
        <w:t> </w:t>
      </w:r>
      <w:r>
        <w:rPr>
          <w:sz w:val="24"/>
        </w:rPr>
        <w:t>this</w:t>
      </w:r>
      <w:r>
        <w:rPr>
          <w:spacing w:val="-17"/>
          <w:sz w:val="24"/>
        </w:rPr>
        <w:t> </w:t>
      </w:r>
      <w:r>
        <w:rPr>
          <w:sz w:val="24"/>
        </w:rPr>
        <w:t>regulation,</w:t>
      </w:r>
      <w:r>
        <w:rPr>
          <w:spacing w:val="-17"/>
          <w:sz w:val="24"/>
        </w:rPr>
        <w:t> </w:t>
      </w:r>
      <w:r>
        <w:rPr>
          <w:sz w:val="24"/>
        </w:rPr>
        <w:t>shall</w:t>
      </w:r>
      <w:r>
        <w:rPr>
          <w:spacing w:val="-17"/>
          <w:sz w:val="24"/>
        </w:rPr>
        <w:t> </w:t>
      </w:r>
      <w:r>
        <w:rPr>
          <w:sz w:val="24"/>
        </w:rPr>
        <w:t>be</w:t>
      </w:r>
      <w:r>
        <w:rPr>
          <w:spacing w:val="-16"/>
          <w:sz w:val="24"/>
        </w:rPr>
        <w:t> </w:t>
      </w:r>
      <w:r>
        <w:rPr>
          <w:sz w:val="24"/>
        </w:rPr>
        <w:t>calculated</w:t>
      </w:r>
      <w:r>
        <w:rPr>
          <w:spacing w:val="-17"/>
          <w:sz w:val="24"/>
        </w:rPr>
        <w:t> </w:t>
      </w:r>
      <w:r>
        <w:rPr>
          <w:sz w:val="24"/>
        </w:rPr>
        <w:t>in</w:t>
      </w:r>
      <w:r>
        <w:rPr>
          <w:spacing w:val="-17"/>
          <w:sz w:val="24"/>
        </w:rPr>
        <w:t> </w:t>
      </w:r>
      <w:r>
        <w:rPr>
          <w:sz w:val="24"/>
        </w:rPr>
        <w:t>accordance</w:t>
      </w:r>
      <w:r>
        <w:rPr>
          <w:spacing w:val="-17"/>
          <w:sz w:val="24"/>
        </w:rPr>
        <w:t> </w:t>
      </w:r>
      <w:r>
        <w:rPr>
          <w:sz w:val="24"/>
        </w:rPr>
        <w:t>with the date on which the development cess had been paid and shall be recovered</w:t>
      </w:r>
      <w:r>
        <w:rPr>
          <w:spacing w:val="31"/>
          <w:sz w:val="24"/>
        </w:rPr>
        <w:t> </w:t>
      </w:r>
      <w:r>
        <w:rPr>
          <w:sz w:val="24"/>
        </w:rPr>
        <w:t>before</w:t>
      </w:r>
      <w:r>
        <w:rPr>
          <w:spacing w:val="31"/>
          <w:sz w:val="24"/>
        </w:rPr>
        <w:t> </w:t>
      </w:r>
      <w:r>
        <w:rPr>
          <w:sz w:val="24"/>
        </w:rPr>
        <w:t>issuing</w:t>
      </w:r>
      <w:r>
        <w:rPr>
          <w:spacing w:val="31"/>
          <w:sz w:val="24"/>
        </w:rPr>
        <w:t> </w:t>
      </w:r>
      <w:r>
        <w:rPr>
          <w:sz w:val="24"/>
        </w:rPr>
        <w:t>CC</w:t>
      </w:r>
      <w:r>
        <w:rPr>
          <w:spacing w:val="31"/>
          <w:sz w:val="24"/>
        </w:rPr>
        <w:t> </w:t>
      </w:r>
      <w:r>
        <w:rPr>
          <w:sz w:val="24"/>
        </w:rPr>
        <w:t>after</w:t>
      </w:r>
      <w:r>
        <w:rPr>
          <w:spacing w:val="31"/>
          <w:sz w:val="24"/>
        </w:rPr>
        <w:t> </w:t>
      </w:r>
      <w:r>
        <w:rPr>
          <w:sz w:val="24"/>
        </w:rPr>
        <w:t>the</w:t>
      </w:r>
      <w:r>
        <w:rPr>
          <w:spacing w:val="33"/>
          <w:sz w:val="24"/>
        </w:rPr>
        <w:t> </w:t>
      </w:r>
      <w:r>
        <w:rPr>
          <w:sz w:val="24"/>
        </w:rPr>
        <w:t>conversion</w:t>
      </w:r>
      <w:r>
        <w:rPr>
          <w:spacing w:val="31"/>
          <w:sz w:val="24"/>
        </w:rPr>
        <w:t> </w:t>
      </w:r>
      <w:r>
        <w:rPr>
          <w:sz w:val="24"/>
        </w:rPr>
        <w:t>of</w:t>
      </w:r>
      <w:r>
        <w:rPr>
          <w:spacing w:val="31"/>
          <w:sz w:val="24"/>
        </w:rPr>
        <w:t> </w:t>
      </w:r>
      <w:r>
        <w:rPr>
          <w:sz w:val="24"/>
        </w:rPr>
        <w:t>the</w:t>
      </w:r>
      <w:r>
        <w:rPr>
          <w:spacing w:val="31"/>
          <w:sz w:val="24"/>
        </w:rPr>
        <w:t> </w:t>
      </w:r>
      <w:r>
        <w:rPr>
          <w:sz w:val="24"/>
        </w:rPr>
        <w:t>Scheme.</w:t>
      </w:r>
      <w:r>
        <w:rPr>
          <w:spacing w:val="31"/>
          <w:sz w:val="24"/>
        </w:rPr>
        <w:t> </w:t>
      </w:r>
      <w:r>
        <w:rPr>
          <w:sz w:val="24"/>
        </w:rPr>
        <w:t>Any</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69"/>
      </w:pPr>
      <w:r>
        <w:rPr/>
        <w:t>excess amount paid towards Development Cess shall be adjusted against any other charges due, but shall not be refunded.</w:t>
      </w:r>
    </w:p>
    <w:p>
      <w:pPr>
        <w:pStyle w:val="ListParagraph"/>
        <w:numPr>
          <w:ilvl w:val="1"/>
          <w:numId w:val="168"/>
        </w:numPr>
        <w:tabs>
          <w:tab w:pos="2323" w:val="left" w:leader="none"/>
        </w:tabs>
        <w:spacing w:line="240" w:lineRule="auto" w:before="241" w:after="0"/>
        <w:ind w:left="2062" w:right="767" w:firstLine="0"/>
        <w:jc w:val="left"/>
        <w:rPr>
          <w:sz w:val="24"/>
        </w:rPr>
      </w:pPr>
      <w:r>
        <w:rPr>
          <w:sz w:val="24"/>
        </w:rPr>
        <w:t>Conversion</w:t>
      </w:r>
      <w:r>
        <w:rPr>
          <w:spacing w:val="-15"/>
          <w:sz w:val="24"/>
        </w:rPr>
        <w:t> </w:t>
      </w:r>
      <w:r>
        <w:rPr>
          <w:sz w:val="24"/>
        </w:rPr>
        <w:t>of</w:t>
      </w:r>
      <w:r>
        <w:rPr>
          <w:spacing w:val="-15"/>
          <w:sz w:val="24"/>
        </w:rPr>
        <w:t> </w:t>
      </w:r>
      <w:r>
        <w:rPr>
          <w:sz w:val="24"/>
        </w:rPr>
        <w:t>such</w:t>
      </w:r>
      <w:r>
        <w:rPr>
          <w:spacing w:val="-15"/>
          <w:sz w:val="24"/>
        </w:rPr>
        <w:t> </w:t>
      </w:r>
      <w:r>
        <w:rPr>
          <w:sz w:val="24"/>
        </w:rPr>
        <w:t>CDS,</w:t>
      </w:r>
      <w:r>
        <w:rPr>
          <w:spacing w:val="-15"/>
          <w:sz w:val="24"/>
        </w:rPr>
        <w:t> </w:t>
      </w:r>
      <w:r>
        <w:rPr>
          <w:sz w:val="24"/>
        </w:rPr>
        <w:t>which</w:t>
      </w:r>
      <w:r>
        <w:rPr>
          <w:spacing w:val="-15"/>
          <w:sz w:val="24"/>
        </w:rPr>
        <w:t> </w:t>
      </w:r>
      <w:r>
        <w:rPr>
          <w:sz w:val="24"/>
        </w:rPr>
        <w:t>has</w:t>
      </w:r>
      <w:r>
        <w:rPr>
          <w:spacing w:val="-15"/>
          <w:sz w:val="24"/>
        </w:rPr>
        <w:t> </w:t>
      </w:r>
      <w:r>
        <w:rPr>
          <w:sz w:val="24"/>
        </w:rPr>
        <w:t>not</w:t>
      </w:r>
      <w:r>
        <w:rPr>
          <w:spacing w:val="40"/>
          <w:sz w:val="24"/>
        </w:rPr>
        <w:t> </w:t>
      </w:r>
      <w:r>
        <w:rPr>
          <w:sz w:val="24"/>
        </w:rPr>
        <w:t>been</w:t>
      </w:r>
      <w:r>
        <w:rPr>
          <w:spacing w:val="-15"/>
          <w:sz w:val="24"/>
        </w:rPr>
        <w:t> </w:t>
      </w:r>
      <w:r>
        <w:rPr>
          <w:sz w:val="24"/>
        </w:rPr>
        <w:t>sanctioned</w:t>
      </w:r>
      <w:r>
        <w:rPr>
          <w:spacing w:val="-15"/>
          <w:sz w:val="24"/>
        </w:rPr>
        <w:t> </w:t>
      </w:r>
      <w:r>
        <w:rPr>
          <w:sz w:val="24"/>
        </w:rPr>
        <w:t>by</w:t>
      </w:r>
      <w:r>
        <w:rPr>
          <w:spacing w:val="-15"/>
          <w:sz w:val="24"/>
        </w:rPr>
        <w:t> </w:t>
      </w:r>
      <w:r>
        <w:rPr>
          <w:sz w:val="24"/>
        </w:rPr>
        <w:t>the</w:t>
      </w:r>
      <w:r>
        <w:rPr>
          <w:spacing w:val="-15"/>
          <w:sz w:val="24"/>
        </w:rPr>
        <w:t> </w:t>
      </w:r>
      <w:r>
        <w:rPr>
          <w:sz w:val="24"/>
        </w:rPr>
        <w:t>Govt. earlier, shall</w:t>
      </w:r>
      <w:r>
        <w:rPr>
          <w:spacing w:val="40"/>
          <w:sz w:val="24"/>
        </w:rPr>
        <w:t> </w:t>
      </w:r>
      <w:r>
        <w:rPr>
          <w:sz w:val="24"/>
        </w:rPr>
        <w:t>require Govt. approval.</w:t>
      </w:r>
    </w:p>
    <w:p>
      <w:pPr>
        <w:pStyle w:val="BodyText"/>
        <w:spacing w:before="78"/>
        <w:jc w:val="left"/>
      </w:pPr>
    </w:p>
    <w:p>
      <w:pPr>
        <w:pStyle w:val="BodyText"/>
        <w:ind w:left="2062" w:right="766"/>
      </w:pPr>
      <w:r>
        <w:rPr/>
        <w:t>Provided</w:t>
      </w:r>
      <w:r>
        <w:rPr>
          <w:spacing w:val="-13"/>
        </w:rPr>
        <w:t> </w:t>
      </w:r>
      <w:r>
        <w:rPr/>
        <w:t>further</w:t>
      </w:r>
      <w:r>
        <w:rPr>
          <w:spacing w:val="-13"/>
        </w:rPr>
        <w:t> </w:t>
      </w:r>
      <w:r>
        <w:rPr/>
        <w:t>that</w:t>
      </w:r>
      <w:r>
        <w:rPr>
          <w:spacing w:val="-11"/>
        </w:rPr>
        <w:t> </w:t>
      </w:r>
      <w:r>
        <w:rPr/>
        <w:t>after</w:t>
      </w:r>
      <w:r>
        <w:rPr>
          <w:spacing w:val="-13"/>
        </w:rPr>
        <w:t> </w:t>
      </w:r>
      <w:r>
        <w:rPr/>
        <w:t>the</w:t>
      </w:r>
      <w:r>
        <w:rPr>
          <w:spacing w:val="-13"/>
        </w:rPr>
        <w:t> </w:t>
      </w:r>
      <w:r>
        <w:rPr/>
        <w:t>coming</w:t>
      </w:r>
      <w:r>
        <w:rPr>
          <w:spacing w:val="-11"/>
        </w:rPr>
        <w:t> </w:t>
      </w:r>
      <w:r>
        <w:rPr/>
        <w:t>into</w:t>
      </w:r>
      <w:r>
        <w:rPr>
          <w:spacing w:val="-13"/>
        </w:rPr>
        <w:t> </w:t>
      </w:r>
      <w:r>
        <w:rPr/>
        <w:t>force</w:t>
      </w:r>
      <w:r>
        <w:rPr>
          <w:spacing w:val="-13"/>
        </w:rPr>
        <w:t> </w:t>
      </w:r>
      <w:r>
        <w:rPr/>
        <w:t>of</w:t>
      </w:r>
      <w:r>
        <w:rPr>
          <w:spacing w:val="-11"/>
        </w:rPr>
        <w:t> </w:t>
      </w:r>
      <w:r>
        <w:rPr/>
        <w:t>this</w:t>
      </w:r>
      <w:r>
        <w:rPr>
          <w:spacing w:val="-11"/>
        </w:rPr>
        <w:t> </w:t>
      </w:r>
      <w:r>
        <w:rPr/>
        <w:t>Regulation,</w:t>
      </w:r>
      <w:r>
        <w:rPr>
          <w:spacing w:val="-13"/>
        </w:rPr>
        <w:t> </w:t>
      </w:r>
      <w:r>
        <w:rPr/>
        <w:t>land pooling</w:t>
      </w:r>
      <w:r>
        <w:rPr>
          <w:spacing w:val="-13"/>
        </w:rPr>
        <w:t> </w:t>
      </w:r>
      <w:r>
        <w:rPr/>
        <w:t>and</w:t>
      </w:r>
      <w:r>
        <w:rPr>
          <w:spacing w:val="-13"/>
        </w:rPr>
        <w:t> </w:t>
      </w:r>
      <w:r>
        <w:rPr/>
        <w:t>the</w:t>
      </w:r>
      <w:r>
        <w:rPr>
          <w:spacing w:val="-13"/>
        </w:rPr>
        <w:t> </w:t>
      </w:r>
      <w:r>
        <w:rPr/>
        <w:t>development</w:t>
      </w:r>
      <w:r>
        <w:rPr>
          <w:spacing w:val="-13"/>
        </w:rPr>
        <w:t> </w:t>
      </w:r>
      <w:r>
        <w:rPr/>
        <w:t>of</w:t>
      </w:r>
      <w:r>
        <w:rPr>
          <w:spacing w:val="-14"/>
        </w:rPr>
        <w:t> </w:t>
      </w:r>
      <w:r>
        <w:rPr/>
        <w:t>buildable</w:t>
      </w:r>
      <w:r>
        <w:rPr>
          <w:spacing w:val="-12"/>
        </w:rPr>
        <w:t> </w:t>
      </w:r>
      <w:r>
        <w:rPr/>
        <w:t>reservations</w:t>
      </w:r>
      <w:r>
        <w:rPr>
          <w:spacing w:val="-13"/>
        </w:rPr>
        <w:t> </w:t>
      </w:r>
      <w:r>
        <w:rPr/>
        <w:t>and</w:t>
      </w:r>
      <w:r>
        <w:rPr>
          <w:spacing w:val="-13"/>
        </w:rPr>
        <w:t> </w:t>
      </w:r>
      <w:r>
        <w:rPr/>
        <w:t>construction of</w:t>
      </w:r>
      <w:r>
        <w:rPr>
          <w:spacing w:val="-6"/>
        </w:rPr>
        <w:t> </w:t>
      </w:r>
      <w:r>
        <w:rPr/>
        <w:t>Transit</w:t>
      </w:r>
      <w:r>
        <w:rPr>
          <w:spacing w:val="-6"/>
        </w:rPr>
        <w:t> </w:t>
      </w:r>
      <w:r>
        <w:rPr/>
        <w:t>Camps</w:t>
      </w:r>
      <w:r>
        <w:rPr>
          <w:spacing w:val="-6"/>
        </w:rPr>
        <w:t> </w:t>
      </w:r>
      <w:r>
        <w:rPr/>
        <w:t>in</w:t>
      </w:r>
      <w:r>
        <w:rPr>
          <w:spacing w:val="-5"/>
        </w:rPr>
        <w:t> </w:t>
      </w:r>
      <w:r>
        <w:rPr/>
        <w:t>the</w:t>
      </w:r>
      <w:r>
        <w:rPr>
          <w:spacing w:val="40"/>
        </w:rPr>
        <w:t> </w:t>
      </w:r>
      <w:r>
        <w:rPr/>
        <w:t>CDS</w:t>
      </w:r>
      <w:r>
        <w:rPr>
          <w:spacing w:val="-6"/>
        </w:rPr>
        <w:t> </w:t>
      </w:r>
      <w:r>
        <w:rPr/>
        <w:t>approved</w:t>
      </w:r>
      <w:r>
        <w:rPr>
          <w:spacing w:val="-6"/>
        </w:rPr>
        <w:t> </w:t>
      </w:r>
      <w:r>
        <w:rPr/>
        <w:t>prior</w:t>
      </w:r>
      <w:r>
        <w:rPr>
          <w:spacing w:val="-6"/>
        </w:rPr>
        <w:t> </w:t>
      </w:r>
      <w:r>
        <w:rPr/>
        <w:t>to</w:t>
      </w:r>
      <w:r>
        <w:rPr>
          <w:spacing w:val="-6"/>
        </w:rPr>
        <w:t> </w:t>
      </w:r>
      <w:r>
        <w:rPr/>
        <w:t>the</w:t>
      </w:r>
      <w:r>
        <w:rPr>
          <w:spacing w:val="-6"/>
        </w:rPr>
        <w:t> </w:t>
      </w:r>
      <w:r>
        <w:rPr/>
        <w:t>coming</w:t>
      </w:r>
      <w:r>
        <w:rPr>
          <w:spacing w:val="-6"/>
        </w:rPr>
        <w:t> </w:t>
      </w:r>
      <w:r>
        <w:rPr/>
        <w:t>into</w:t>
      </w:r>
      <w:r>
        <w:rPr>
          <w:spacing w:val="-6"/>
        </w:rPr>
        <w:t> </w:t>
      </w:r>
      <w:r>
        <w:rPr/>
        <w:t>force</w:t>
      </w:r>
      <w:r>
        <w:rPr>
          <w:spacing w:val="-6"/>
        </w:rPr>
        <w:t> </w:t>
      </w:r>
      <w:r>
        <w:rPr/>
        <w:t>of this Regulation may be done as per the provisions of this Regulation, if the</w:t>
      </w:r>
      <w:r>
        <w:rPr>
          <w:spacing w:val="-7"/>
        </w:rPr>
        <w:t> </w:t>
      </w:r>
      <w:r>
        <w:rPr/>
        <w:t>same</w:t>
      </w:r>
      <w:r>
        <w:rPr>
          <w:spacing w:val="-7"/>
        </w:rPr>
        <w:t> </w:t>
      </w:r>
      <w:r>
        <w:rPr/>
        <w:t>has</w:t>
      </w:r>
      <w:r>
        <w:rPr>
          <w:spacing w:val="-7"/>
        </w:rPr>
        <w:t> </w:t>
      </w:r>
      <w:r>
        <w:rPr/>
        <w:t>not</w:t>
      </w:r>
      <w:r>
        <w:rPr>
          <w:spacing w:val="-7"/>
        </w:rPr>
        <w:t> </w:t>
      </w:r>
      <w:r>
        <w:rPr/>
        <w:t>been</w:t>
      </w:r>
      <w:r>
        <w:rPr>
          <w:spacing w:val="-7"/>
        </w:rPr>
        <w:t> </w:t>
      </w:r>
      <w:r>
        <w:rPr/>
        <w:t>completed</w:t>
      </w:r>
      <w:r>
        <w:rPr>
          <w:spacing w:val="-7"/>
        </w:rPr>
        <w:t> </w:t>
      </w:r>
      <w:r>
        <w:rPr/>
        <w:t>so</w:t>
      </w:r>
      <w:r>
        <w:rPr>
          <w:spacing w:val="-7"/>
        </w:rPr>
        <w:t> </w:t>
      </w:r>
      <w:r>
        <w:rPr/>
        <w:t>far,</w:t>
      </w:r>
      <w:r>
        <w:rPr>
          <w:spacing w:val="-7"/>
        </w:rPr>
        <w:t> </w:t>
      </w:r>
      <w:r>
        <w:rPr/>
        <w:t>even</w:t>
      </w:r>
      <w:r>
        <w:rPr>
          <w:spacing w:val="-7"/>
        </w:rPr>
        <w:t> </w:t>
      </w:r>
      <w:r>
        <w:rPr/>
        <w:t>where</w:t>
      </w:r>
      <w:r>
        <w:rPr>
          <w:spacing w:val="-7"/>
        </w:rPr>
        <w:t> </w:t>
      </w:r>
      <w:r>
        <w:rPr/>
        <w:t>such</w:t>
      </w:r>
      <w:r>
        <w:rPr>
          <w:spacing w:val="40"/>
        </w:rPr>
        <w:t> </w:t>
      </w:r>
      <w:r>
        <w:rPr/>
        <w:t>CDS</w:t>
      </w:r>
      <w:r>
        <w:rPr>
          <w:spacing w:val="-7"/>
        </w:rPr>
        <w:t> </w:t>
      </w:r>
      <w:r>
        <w:rPr/>
        <w:t>has</w:t>
      </w:r>
      <w:r>
        <w:rPr>
          <w:spacing w:val="-7"/>
        </w:rPr>
        <w:t> </w:t>
      </w:r>
      <w:r>
        <w:rPr/>
        <w:t>not been converted to be developed as per this Regulation.</w:t>
      </w:r>
    </w:p>
    <w:p>
      <w:pPr>
        <w:pStyle w:val="BodyText"/>
        <w:spacing w:before="76"/>
        <w:jc w:val="left"/>
      </w:pPr>
    </w:p>
    <w:p>
      <w:pPr>
        <w:spacing w:before="0"/>
        <w:ind w:left="2062" w:right="0" w:firstLine="0"/>
        <w:jc w:val="both"/>
        <w:rPr>
          <w:b/>
          <w:i/>
          <w:sz w:val="24"/>
        </w:rPr>
      </w:pPr>
      <w:r>
        <w:rPr>
          <w:b/>
          <w:sz w:val="24"/>
        </w:rPr>
        <w:t>33</w:t>
      </w:r>
      <w:r>
        <w:rPr>
          <w:b/>
          <w:spacing w:val="-2"/>
          <w:sz w:val="24"/>
        </w:rPr>
        <w:t> </w:t>
      </w:r>
      <w:r>
        <w:rPr>
          <w:b/>
          <w:sz w:val="24"/>
        </w:rPr>
        <w:t>(9)</w:t>
      </w:r>
      <w:r>
        <w:rPr>
          <w:b/>
          <w:spacing w:val="-2"/>
          <w:sz w:val="24"/>
        </w:rPr>
        <w:t> </w:t>
      </w:r>
      <w:r>
        <w:rPr>
          <w:b/>
          <w:sz w:val="24"/>
        </w:rPr>
        <w:t>(A</w:t>
      </w:r>
      <w:r>
        <w:rPr>
          <w:b/>
          <w:i/>
          <w:sz w:val="24"/>
        </w:rPr>
        <w:t>)</w:t>
      </w:r>
      <w:r>
        <w:rPr>
          <w:b/>
          <w:i/>
          <w:spacing w:val="-1"/>
          <w:sz w:val="24"/>
        </w:rPr>
        <w:t> </w:t>
      </w:r>
      <w:r>
        <w:rPr>
          <w:b/>
          <w:i/>
          <w:sz w:val="24"/>
        </w:rPr>
        <w:t>Regulations</w:t>
      </w:r>
      <w:r>
        <w:rPr>
          <w:b/>
          <w:i/>
          <w:spacing w:val="-2"/>
          <w:sz w:val="24"/>
        </w:rPr>
        <w:t> </w:t>
      </w:r>
      <w:r>
        <w:rPr>
          <w:b/>
          <w:i/>
          <w:sz w:val="24"/>
        </w:rPr>
        <w:t>for</w:t>
      </w:r>
      <w:r>
        <w:rPr>
          <w:b/>
          <w:i/>
          <w:spacing w:val="-2"/>
          <w:sz w:val="24"/>
        </w:rPr>
        <w:t> </w:t>
      </w:r>
      <w:r>
        <w:rPr>
          <w:b/>
          <w:i/>
          <w:sz w:val="24"/>
        </w:rPr>
        <w:t>Dharavi</w:t>
      </w:r>
      <w:r>
        <w:rPr>
          <w:b/>
          <w:i/>
          <w:spacing w:val="-1"/>
          <w:sz w:val="24"/>
        </w:rPr>
        <w:t> </w:t>
      </w:r>
      <w:r>
        <w:rPr>
          <w:b/>
          <w:i/>
          <w:sz w:val="24"/>
        </w:rPr>
        <w:t>Notified</w:t>
      </w:r>
      <w:r>
        <w:rPr>
          <w:b/>
          <w:i/>
          <w:spacing w:val="-2"/>
          <w:sz w:val="24"/>
        </w:rPr>
        <w:t> </w:t>
      </w:r>
      <w:r>
        <w:rPr>
          <w:b/>
          <w:i/>
          <w:sz w:val="24"/>
        </w:rPr>
        <w:t>Area</w:t>
      </w:r>
      <w:r>
        <w:rPr>
          <w:b/>
          <w:i/>
          <w:spacing w:val="-1"/>
          <w:sz w:val="24"/>
        </w:rPr>
        <w:t> </w:t>
      </w:r>
      <w:r>
        <w:rPr>
          <w:b/>
          <w:i/>
          <w:spacing w:val="-2"/>
          <w:sz w:val="24"/>
        </w:rPr>
        <w:t>(DNA)</w:t>
      </w:r>
    </w:p>
    <w:p>
      <w:pPr>
        <w:pStyle w:val="Heading5"/>
        <w:spacing w:before="244"/>
        <w:ind w:left="1342" w:right="838" w:firstLine="719"/>
        <w:rPr>
          <w:b w:val="0"/>
        </w:rPr>
      </w:pPr>
      <w:r>
        <w:rPr/>
        <w:t>Urban</w:t>
      </w:r>
      <w:r>
        <w:rPr>
          <w:spacing w:val="80"/>
        </w:rPr>
        <w:t> </w:t>
      </w:r>
      <w:r>
        <w:rPr/>
        <w:t>Renewal</w:t>
      </w:r>
      <w:r>
        <w:rPr>
          <w:spacing w:val="80"/>
        </w:rPr>
        <w:t> </w:t>
      </w:r>
      <w:r>
        <w:rPr/>
        <w:t>Scheme</w:t>
      </w:r>
      <w:r>
        <w:rPr>
          <w:spacing w:val="80"/>
        </w:rPr>
        <w:t> </w:t>
      </w:r>
      <w:r>
        <w:rPr/>
        <w:t>under</w:t>
      </w:r>
      <w:r>
        <w:rPr>
          <w:spacing w:val="80"/>
        </w:rPr>
        <w:t> </w:t>
      </w:r>
      <w:r>
        <w:rPr/>
        <w:t>Dharavi</w:t>
      </w:r>
      <w:r>
        <w:rPr>
          <w:spacing w:val="80"/>
        </w:rPr>
        <w:t> </w:t>
      </w:r>
      <w:r>
        <w:rPr/>
        <w:t>Redevelopment</w:t>
      </w:r>
      <w:r>
        <w:rPr>
          <w:spacing w:val="80"/>
        </w:rPr>
        <w:t> </w:t>
      </w:r>
      <w:r>
        <w:rPr/>
        <w:t>Project </w:t>
      </w:r>
      <w:r>
        <w:rPr>
          <w:spacing w:val="-2"/>
        </w:rPr>
        <w:t>(DRP)</w:t>
      </w:r>
      <w:r>
        <w:rPr>
          <w:b w:val="0"/>
          <w:spacing w:val="-2"/>
        </w:rPr>
        <w:t>:</w:t>
      </w:r>
    </w:p>
    <w:p>
      <w:pPr>
        <w:pStyle w:val="BodyText"/>
        <w:spacing w:before="238"/>
        <w:ind w:left="2062" w:right="766" w:firstLine="60"/>
      </w:pPr>
      <w:r>
        <w:rPr/>
        <w:t>Areas</w:t>
      </w:r>
      <w:r>
        <w:rPr>
          <w:spacing w:val="-11"/>
        </w:rPr>
        <w:t> </w:t>
      </w:r>
      <w:r>
        <w:rPr/>
        <w:t>undertaken</w:t>
      </w:r>
      <w:r>
        <w:rPr>
          <w:spacing w:val="-11"/>
        </w:rPr>
        <w:t> </w:t>
      </w:r>
      <w:r>
        <w:rPr/>
        <w:t>by</w:t>
      </w:r>
      <w:r>
        <w:rPr>
          <w:spacing w:val="-11"/>
        </w:rPr>
        <w:t> </w:t>
      </w:r>
      <w:r>
        <w:rPr/>
        <w:t>SRA</w:t>
      </w:r>
      <w:r>
        <w:rPr>
          <w:spacing w:val="-11"/>
        </w:rPr>
        <w:t> </w:t>
      </w:r>
      <w:r>
        <w:rPr/>
        <w:t>under</w:t>
      </w:r>
      <w:r>
        <w:rPr>
          <w:spacing w:val="-11"/>
        </w:rPr>
        <w:t> </w:t>
      </w:r>
      <w:r>
        <w:rPr/>
        <w:t>DRP</w:t>
      </w:r>
      <w:r>
        <w:rPr>
          <w:spacing w:val="-11"/>
        </w:rPr>
        <w:t> </w:t>
      </w:r>
      <w:r>
        <w:rPr/>
        <w:t>for</w:t>
      </w:r>
      <w:r>
        <w:rPr>
          <w:spacing w:val="-13"/>
        </w:rPr>
        <w:t> </w:t>
      </w:r>
      <w:r>
        <w:rPr/>
        <w:t>renewal</w:t>
      </w:r>
      <w:r>
        <w:rPr>
          <w:spacing w:val="-11"/>
        </w:rPr>
        <w:t> </w:t>
      </w:r>
      <w:r>
        <w:rPr/>
        <w:t>and</w:t>
      </w:r>
      <w:r>
        <w:rPr>
          <w:spacing w:val="-10"/>
        </w:rPr>
        <w:t> </w:t>
      </w:r>
      <w:r>
        <w:rPr/>
        <w:t>redevelopment</w:t>
      </w:r>
      <w:r>
        <w:rPr>
          <w:spacing w:val="-11"/>
        </w:rPr>
        <w:t> </w:t>
      </w:r>
      <w:r>
        <w:rPr/>
        <w:t>of buildings/chawls including cessed buildings situated on non-slum areas within DNA, shall be a part of the entire DRP Area which shall have an overall FSI of 4.00. The entitlement of FSI on that particular plot shall be 4.00 or the FSI required for rehabilitation of existing tenants/occupiers plus incentive FSI and would be in accordance with the guidelines laid down below.</w:t>
      </w:r>
    </w:p>
    <w:p>
      <w:pPr>
        <w:pStyle w:val="Heading5"/>
        <w:numPr>
          <w:ilvl w:val="0"/>
          <w:numId w:val="169"/>
        </w:numPr>
        <w:tabs>
          <w:tab w:pos="2421" w:val="left" w:leader="none"/>
        </w:tabs>
        <w:spacing w:line="240" w:lineRule="auto" w:before="241" w:after="0"/>
        <w:ind w:left="2421" w:right="0" w:hanging="359"/>
        <w:jc w:val="left"/>
      </w:pPr>
      <w:r>
        <w:rPr/>
        <w:t>Applicability</w:t>
      </w:r>
      <w:r>
        <w:rPr>
          <w:spacing w:val="-5"/>
        </w:rPr>
        <w:t> </w:t>
      </w:r>
      <w:r>
        <w:rPr/>
        <w:t>of</w:t>
      </w:r>
      <w:r>
        <w:rPr>
          <w:spacing w:val="-5"/>
        </w:rPr>
        <w:t> </w:t>
      </w:r>
      <w:r>
        <w:rPr/>
        <w:t>the</w:t>
      </w:r>
      <w:r>
        <w:rPr>
          <w:spacing w:val="-4"/>
        </w:rPr>
        <w:t> </w:t>
      </w:r>
      <w:r>
        <w:rPr>
          <w:spacing w:val="-2"/>
        </w:rPr>
        <w:t>provisions:</w:t>
      </w:r>
    </w:p>
    <w:p>
      <w:pPr>
        <w:pStyle w:val="BodyText"/>
        <w:spacing w:before="242"/>
        <w:ind w:left="2107" w:right="769"/>
      </w:pPr>
      <w:r>
        <w:rPr/>
        <w:t>For achieving comprehensive planning and development of non-slum areas of DNA through sectoral layouts of DRP, the provisions in this Regulation shall apply to the renewal and redevelopment of buildings/chawls including cessed properties and such schemes on areas which are part of DRP Area undertaken by DRP (SRA) through a developer by following competitive bidding process for DRP (SRA) through the developer or through Public Authority or any manner as may</w:t>
      </w:r>
      <w:r>
        <w:rPr>
          <w:spacing w:val="-13"/>
        </w:rPr>
        <w:t> </w:t>
      </w:r>
      <w:r>
        <w:rPr/>
        <w:t>be</w:t>
      </w:r>
      <w:r>
        <w:rPr>
          <w:spacing w:val="-13"/>
        </w:rPr>
        <w:t> </w:t>
      </w:r>
      <w:r>
        <w:rPr/>
        <w:t>decided</w:t>
      </w:r>
      <w:r>
        <w:rPr>
          <w:spacing w:val="-13"/>
        </w:rPr>
        <w:t> </w:t>
      </w:r>
      <w:r>
        <w:rPr/>
        <w:t>by</w:t>
      </w:r>
      <w:r>
        <w:rPr>
          <w:spacing w:val="-13"/>
        </w:rPr>
        <w:t> </w:t>
      </w:r>
      <w:r>
        <w:rPr/>
        <w:t>Government</w:t>
      </w:r>
      <w:r>
        <w:rPr>
          <w:spacing w:val="-13"/>
        </w:rPr>
        <w:t> </w:t>
      </w:r>
      <w:r>
        <w:rPr/>
        <w:t>from</w:t>
      </w:r>
      <w:r>
        <w:rPr>
          <w:spacing w:val="-13"/>
        </w:rPr>
        <w:t> </w:t>
      </w:r>
      <w:r>
        <w:rPr/>
        <w:t>time</w:t>
      </w:r>
      <w:r>
        <w:rPr>
          <w:spacing w:val="-13"/>
        </w:rPr>
        <w:t> </w:t>
      </w:r>
      <w:r>
        <w:rPr/>
        <w:t>to</w:t>
      </w:r>
      <w:r>
        <w:rPr>
          <w:spacing w:val="-13"/>
        </w:rPr>
        <w:t> </w:t>
      </w:r>
      <w:r>
        <w:rPr/>
        <w:t>time.</w:t>
      </w:r>
      <w:r>
        <w:rPr>
          <w:spacing w:val="-13"/>
        </w:rPr>
        <w:t> </w:t>
      </w:r>
      <w:r>
        <w:rPr/>
        <w:t>The</w:t>
      </w:r>
      <w:r>
        <w:rPr>
          <w:spacing w:val="-13"/>
        </w:rPr>
        <w:t> </w:t>
      </w:r>
      <w:r>
        <w:rPr/>
        <w:t>properties</w:t>
      </w:r>
      <w:r>
        <w:rPr>
          <w:spacing w:val="-13"/>
        </w:rPr>
        <w:t> </w:t>
      </w:r>
      <w:r>
        <w:rPr/>
        <w:t>which are not part of DRP Area as defined above shall be developed in accordance with DCR 30.</w:t>
      </w:r>
    </w:p>
    <w:p>
      <w:pPr>
        <w:pStyle w:val="BodyText"/>
        <w:spacing w:before="238"/>
        <w:ind w:left="2107" w:right="767" w:hanging="46"/>
      </w:pPr>
      <w:r>
        <w:rPr/>
        <w:t>For purpose of existing "Carpet area"/ equivalent “carpet area” means the net usable floor area within a tenement excluding that covered by the</w:t>
      </w:r>
      <w:r>
        <w:rPr>
          <w:spacing w:val="-20"/>
        </w:rPr>
        <w:t> </w:t>
      </w:r>
      <w:r>
        <w:rPr/>
        <w:t>walls</w:t>
      </w:r>
      <w:r>
        <w:rPr>
          <w:spacing w:val="-19"/>
        </w:rPr>
        <w:t> </w:t>
      </w:r>
      <w:r>
        <w:rPr/>
        <w:t>or</w:t>
      </w:r>
      <w:r>
        <w:rPr>
          <w:spacing w:val="-19"/>
        </w:rPr>
        <w:t> </w:t>
      </w:r>
      <w:r>
        <w:rPr/>
        <w:t>any</w:t>
      </w:r>
      <w:r>
        <w:rPr>
          <w:spacing w:val="-19"/>
        </w:rPr>
        <w:t> </w:t>
      </w:r>
      <w:r>
        <w:rPr/>
        <w:t>other</w:t>
      </w:r>
      <w:r>
        <w:rPr>
          <w:spacing w:val="-19"/>
        </w:rPr>
        <w:t> </w:t>
      </w:r>
      <w:r>
        <w:rPr/>
        <w:t>areas</w:t>
      </w:r>
      <w:r>
        <w:rPr>
          <w:spacing w:val="-20"/>
        </w:rPr>
        <w:t> </w:t>
      </w:r>
      <w:r>
        <w:rPr/>
        <w:t>specifically</w:t>
      </w:r>
      <w:r>
        <w:rPr>
          <w:spacing w:val="-19"/>
        </w:rPr>
        <w:t> </w:t>
      </w:r>
      <w:r>
        <w:rPr/>
        <w:t>exempted</w:t>
      </w:r>
      <w:r>
        <w:rPr>
          <w:spacing w:val="-19"/>
        </w:rPr>
        <w:t> </w:t>
      </w:r>
      <w:r>
        <w:rPr/>
        <w:t>from</w:t>
      </w:r>
      <w:r>
        <w:rPr>
          <w:spacing w:val="-19"/>
        </w:rPr>
        <w:t> </w:t>
      </w:r>
      <w:r>
        <w:rPr/>
        <w:t>floor</w:t>
      </w:r>
      <w:r>
        <w:rPr>
          <w:spacing w:val="-19"/>
        </w:rPr>
        <w:t> </w:t>
      </w:r>
      <w:r>
        <w:rPr/>
        <w:t>space</w:t>
      </w:r>
      <w:r>
        <w:rPr>
          <w:spacing w:val="-20"/>
        </w:rPr>
        <w:t> </w:t>
      </w:r>
      <w:r>
        <w:rPr/>
        <w:t>index computation</w:t>
      </w:r>
      <w:r>
        <w:rPr>
          <w:spacing w:val="-7"/>
        </w:rPr>
        <w:t> </w:t>
      </w:r>
      <w:r>
        <w:rPr/>
        <w:t>as</w:t>
      </w:r>
      <w:r>
        <w:rPr>
          <w:spacing w:val="-7"/>
        </w:rPr>
        <w:t> </w:t>
      </w:r>
      <w:r>
        <w:rPr/>
        <w:t>per</w:t>
      </w:r>
      <w:r>
        <w:rPr>
          <w:spacing w:val="-7"/>
        </w:rPr>
        <w:t> </w:t>
      </w:r>
      <w:r>
        <w:rPr/>
        <w:t>then/prevailing</w:t>
      </w:r>
      <w:r>
        <w:rPr>
          <w:spacing w:val="-7"/>
        </w:rPr>
        <w:t> </w:t>
      </w:r>
      <w:r>
        <w:rPr/>
        <w:t>Regulation</w:t>
      </w:r>
      <w:r>
        <w:rPr>
          <w:spacing w:val="-7"/>
        </w:rPr>
        <w:t> </w:t>
      </w:r>
      <w:r>
        <w:rPr/>
        <w:t>but</w:t>
      </w:r>
      <w:r>
        <w:rPr>
          <w:spacing w:val="-7"/>
        </w:rPr>
        <w:t> </w:t>
      </w:r>
      <w:r>
        <w:rPr/>
        <w:t>including</w:t>
      </w:r>
      <w:r>
        <w:rPr>
          <w:spacing w:val="-9"/>
        </w:rPr>
        <w:t> </w:t>
      </w:r>
      <w:r>
        <w:rPr/>
        <w:t>the</w:t>
      </w:r>
      <w:r>
        <w:rPr>
          <w:spacing w:val="-7"/>
        </w:rPr>
        <w:t> </w:t>
      </w:r>
      <w:r>
        <w:rPr/>
        <w:t>areas of balcony if allowed free of FSI as per then Regulation.</w:t>
      </w:r>
    </w:p>
    <w:p>
      <w:pPr>
        <w:pStyle w:val="ListParagraph"/>
        <w:numPr>
          <w:ilvl w:val="0"/>
          <w:numId w:val="169"/>
        </w:numPr>
        <w:tabs>
          <w:tab w:pos="2107" w:val="left" w:leader="none"/>
          <w:tab w:pos="2534" w:val="left" w:leader="none"/>
          <w:tab w:pos="3766" w:val="left" w:leader="none"/>
          <w:tab w:pos="4209" w:val="left" w:leader="none"/>
          <w:tab w:pos="6235" w:val="left" w:leader="none"/>
          <w:tab w:pos="7289" w:val="left" w:leader="none"/>
          <w:tab w:pos="8822" w:val="left" w:leader="none"/>
          <w:tab w:pos="9350" w:val="left" w:leader="none"/>
          <w:tab w:pos="10098" w:val="left" w:leader="none"/>
        </w:tabs>
        <w:spacing w:line="240" w:lineRule="auto" w:before="241" w:after="0"/>
        <w:ind w:left="2107" w:right="768" w:hanging="46"/>
        <w:jc w:val="left"/>
        <w:rPr>
          <w:sz w:val="24"/>
        </w:rPr>
      </w:pPr>
      <w:r>
        <w:rPr>
          <w:spacing w:val="-2"/>
          <w:sz w:val="24"/>
        </w:rPr>
        <w:t>Renewal</w:t>
      </w:r>
      <w:r>
        <w:rPr>
          <w:sz w:val="24"/>
        </w:rPr>
        <w:tab/>
      </w:r>
      <w:r>
        <w:rPr>
          <w:spacing w:val="-10"/>
          <w:sz w:val="24"/>
        </w:rPr>
        <w:t>&amp;</w:t>
      </w:r>
      <w:r>
        <w:rPr>
          <w:sz w:val="24"/>
        </w:rPr>
        <w:tab/>
      </w:r>
      <w:r>
        <w:rPr>
          <w:spacing w:val="-2"/>
          <w:sz w:val="24"/>
        </w:rPr>
        <w:t>Redevelopment</w:t>
      </w:r>
      <w:r>
        <w:rPr>
          <w:sz w:val="24"/>
        </w:rPr>
        <w:tab/>
      </w:r>
      <w:r>
        <w:rPr>
          <w:spacing w:val="-2"/>
          <w:sz w:val="24"/>
        </w:rPr>
        <w:t>project</w:t>
      </w:r>
      <w:r>
        <w:rPr>
          <w:sz w:val="24"/>
        </w:rPr>
        <w:tab/>
      </w:r>
      <w:r>
        <w:rPr>
          <w:spacing w:val="-2"/>
          <w:sz w:val="24"/>
        </w:rPr>
        <w:t>formulated</w:t>
      </w:r>
      <w:r>
        <w:rPr>
          <w:sz w:val="24"/>
        </w:rPr>
        <w:tab/>
      </w:r>
      <w:r>
        <w:rPr>
          <w:spacing w:val="-6"/>
          <w:sz w:val="24"/>
        </w:rPr>
        <w:t>by</w:t>
      </w:r>
      <w:r>
        <w:rPr>
          <w:sz w:val="24"/>
        </w:rPr>
        <w:tab/>
      </w:r>
      <w:r>
        <w:rPr>
          <w:spacing w:val="-4"/>
          <w:sz w:val="24"/>
        </w:rPr>
        <w:t>SRA</w:t>
      </w:r>
      <w:r>
        <w:rPr>
          <w:sz w:val="24"/>
        </w:rPr>
        <w:tab/>
      </w:r>
      <w:r>
        <w:rPr>
          <w:spacing w:val="-4"/>
          <w:sz w:val="24"/>
        </w:rPr>
        <w:t>for </w:t>
      </w:r>
      <w:r>
        <w:rPr>
          <w:sz w:val="24"/>
        </w:rPr>
        <w:t>buildings/chawls including cessed properties shall be with FSI of 1.72</w:t>
      </w:r>
    </w:p>
    <w:p>
      <w:pPr>
        <w:pStyle w:val="ListParagraph"/>
        <w:spacing w:after="0" w:line="240" w:lineRule="auto"/>
        <w:jc w:val="left"/>
        <w:rPr>
          <w:sz w:val="24"/>
        </w:rPr>
        <w:sectPr>
          <w:pgSz w:w="11910" w:h="16840"/>
          <w:pgMar w:header="1065" w:footer="1194" w:top="1500" w:bottom="1380" w:left="360" w:right="360"/>
        </w:sectPr>
      </w:pPr>
    </w:p>
    <w:p>
      <w:pPr>
        <w:pStyle w:val="BodyText"/>
        <w:spacing w:before="249"/>
        <w:ind w:left="2107" w:right="766"/>
      </w:pPr>
      <w:r>
        <w:rPr/>
        <w:t>or the FSI required for rehabilitation of existing eligible occupants, whichever</w:t>
      </w:r>
      <w:r>
        <w:rPr>
          <w:spacing w:val="-11"/>
        </w:rPr>
        <w:t> </w:t>
      </w:r>
      <w:r>
        <w:rPr/>
        <w:t>is</w:t>
      </w:r>
      <w:r>
        <w:rPr>
          <w:spacing w:val="-11"/>
        </w:rPr>
        <w:t> </w:t>
      </w:r>
      <w:r>
        <w:rPr/>
        <w:t>more.</w:t>
      </w:r>
      <w:r>
        <w:rPr>
          <w:spacing w:val="-11"/>
        </w:rPr>
        <w:t> </w:t>
      </w:r>
      <w:r>
        <w:rPr/>
        <w:t>This</w:t>
      </w:r>
      <w:r>
        <w:rPr>
          <w:spacing w:val="-11"/>
        </w:rPr>
        <w:t> </w:t>
      </w:r>
      <w:r>
        <w:rPr/>
        <w:t>shall</w:t>
      </w:r>
      <w:r>
        <w:rPr>
          <w:spacing w:val="-11"/>
        </w:rPr>
        <w:t> </w:t>
      </w:r>
      <w:r>
        <w:rPr/>
        <w:t>exclusively</w:t>
      </w:r>
      <w:r>
        <w:rPr>
          <w:spacing w:val="-11"/>
        </w:rPr>
        <w:t> </w:t>
      </w:r>
      <w:r>
        <w:rPr/>
        <w:t>be</w:t>
      </w:r>
      <w:r>
        <w:rPr>
          <w:spacing w:val="-11"/>
        </w:rPr>
        <w:t> </w:t>
      </w:r>
      <w:r>
        <w:rPr/>
        <w:t>used</w:t>
      </w:r>
      <w:r>
        <w:rPr>
          <w:spacing w:val="-11"/>
        </w:rPr>
        <w:t> </w:t>
      </w:r>
      <w:r>
        <w:rPr/>
        <w:t>for</w:t>
      </w:r>
      <w:r>
        <w:rPr>
          <w:spacing w:val="-11"/>
        </w:rPr>
        <w:t> </w:t>
      </w:r>
      <w:r>
        <w:rPr/>
        <w:t>rehousing</w:t>
      </w:r>
      <w:r>
        <w:rPr>
          <w:spacing w:val="-10"/>
        </w:rPr>
        <w:t> </w:t>
      </w:r>
      <w:r>
        <w:rPr/>
        <w:t>existing eligible occupants and for generating additional tenements/units. The BUA</w:t>
      </w:r>
      <w:r>
        <w:rPr>
          <w:spacing w:val="-17"/>
        </w:rPr>
        <w:t> </w:t>
      </w:r>
      <w:r>
        <w:rPr/>
        <w:t>of</w:t>
      </w:r>
      <w:r>
        <w:rPr>
          <w:spacing w:val="-17"/>
        </w:rPr>
        <w:t> </w:t>
      </w:r>
      <w:r>
        <w:rPr/>
        <w:t>such</w:t>
      </w:r>
      <w:r>
        <w:rPr>
          <w:spacing w:val="-17"/>
        </w:rPr>
        <w:t> </w:t>
      </w:r>
      <w:r>
        <w:rPr/>
        <w:t>construction</w:t>
      </w:r>
      <w:r>
        <w:rPr>
          <w:spacing w:val="-17"/>
        </w:rPr>
        <w:t> </w:t>
      </w:r>
      <w:r>
        <w:rPr/>
        <w:t>with</w:t>
      </w:r>
      <w:r>
        <w:rPr>
          <w:spacing w:val="-17"/>
        </w:rPr>
        <w:t> </w:t>
      </w:r>
      <w:r>
        <w:rPr/>
        <w:t>1.72</w:t>
      </w:r>
      <w:r>
        <w:rPr>
          <w:spacing w:val="-17"/>
        </w:rPr>
        <w:t> </w:t>
      </w:r>
      <w:r>
        <w:rPr/>
        <w:t>FSI</w:t>
      </w:r>
      <w:r>
        <w:rPr>
          <w:spacing w:val="-16"/>
        </w:rPr>
        <w:t> </w:t>
      </w:r>
      <w:r>
        <w:rPr/>
        <w:t>or</w:t>
      </w:r>
      <w:r>
        <w:rPr>
          <w:spacing w:val="-17"/>
        </w:rPr>
        <w:t> </w:t>
      </w:r>
      <w:r>
        <w:rPr/>
        <w:t>more</w:t>
      </w:r>
      <w:r>
        <w:rPr>
          <w:spacing w:val="-17"/>
        </w:rPr>
        <w:t> </w:t>
      </w:r>
      <w:r>
        <w:rPr/>
        <w:t>shall</w:t>
      </w:r>
      <w:r>
        <w:rPr>
          <w:spacing w:val="-17"/>
        </w:rPr>
        <w:t> </w:t>
      </w:r>
      <w:r>
        <w:rPr/>
        <w:t>be</w:t>
      </w:r>
      <w:r>
        <w:rPr>
          <w:spacing w:val="-17"/>
        </w:rPr>
        <w:t> </w:t>
      </w:r>
      <w:r>
        <w:rPr/>
        <w:t>termed</w:t>
      </w:r>
      <w:r>
        <w:rPr>
          <w:spacing w:val="-17"/>
        </w:rPr>
        <w:t> </w:t>
      </w:r>
      <w:r>
        <w:rPr/>
        <w:t>as</w:t>
      </w:r>
      <w:r>
        <w:rPr>
          <w:spacing w:val="-17"/>
        </w:rPr>
        <w:t> </w:t>
      </w:r>
      <w:r>
        <w:rPr/>
        <w:t>RRC</w:t>
      </w:r>
    </w:p>
    <w:p>
      <w:pPr>
        <w:pStyle w:val="ListParagraph"/>
        <w:numPr>
          <w:ilvl w:val="0"/>
          <w:numId w:val="169"/>
        </w:numPr>
        <w:tabs>
          <w:tab w:pos="2359" w:val="left" w:leader="none"/>
        </w:tabs>
        <w:spacing w:line="240" w:lineRule="auto" w:before="241" w:after="0"/>
        <w:ind w:left="2062" w:right="766" w:firstLine="0"/>
        <w:jc w:val="both"/>
        <w:rPr>
          <w:sz w:val="24"/>
        </w:rPr>
      </w:pPr>
      <w:r>
        <w:rPr>
          <w:sz w:val="24"/>
        </w:rPr>
        <w:t>(a) If areas redeveloped earlier under SRD/SRA schemes are included in the DRP Area for renewal and redevelopment under DRP, the</w:t>
      </w:r>
      <w:r>
        <w:rPr>
          <w:spacing w:val="-10"/>
          <w:sz w:val="24"/>
        </w:rPr>
        <w:t> </w:t>
      </w:r>
      <w:r>
        <w:rPr>
          <w:sz w:val="24"/>
        </w:rPr>
        <w:t>TDR</w:t>
      </w:r>
      <w:r>
        <w:rPr>
          <w:spacing w:val="-10"/>
          <w:sz w:val="24"/>
        </w:rPr>
        <w:t> </w:t>
      </w:r>
      <w:r>
        <w:rPr>
          <w:sz w:val="24"/>
        </w:rPr>
        <w:t>generated</w:t>
      </w:r>
      <w:r>
        <w:rPr>
          <w:spacing w:val="-8"/>
          <w:sz w:val="24"/>
        </w:rPr>
        <w:t> </w:t>
      </w:r>
      <w:r>
        <w:rPr>
          <w:sz w:val="24"/>
        </w:rPr>
        <w:t>from</w:t>
      </w:r>
      <w:r>
        <w:rPr>
          <w:spacing w:val="-10"/>
          <w:sz w:val="24"/>
        </w:rPr>
        <w:t> </w:t>
      </w:r>
      <w:r>
        <w:rPr>
          <w:sz w:val="24"/>
        </w:rPr>
        <w:t>the</w:t>
      </w:r>
      <w:r>
        <w:rPr>
          <w:spacing w:val="-10"/>
          <w:sz w:val="24"/>
        </w:rPr>
        <w:t> </w:t>
      </w:r>
      <w:r>
        <w:rPr>
          <w:sz w:val="24"/>
        </w:rPr>
        <w:t>plot</w:t>
      </w:r>
      <w:r>
        <w:rPr>
          <w:spacing w:val="-10"/>
          <w:sz w:val="24"/>
        </w:rPr>
        <w:t> </w:t>
      </w:r>
      <w:r>
        <w:rPr>
          <w:sz w:val="24"/>
        </w:rPr>
        <w:t>in</w:t>
      </w:r>
      <w:r>
        <w:rPr>
          <w:spacing w:val="-10"/>
          <w:sz w:val="24"/>
        </w:rPr>
        <w:t> </w:t>
      </w:r>
      <w:r>
        <w:rPr>
          <w:sz w:val="24"/>
        </w:rPr>
        <w:t>the</w:t>
      </w:r>
      <w:r>
        <w:rPr>
          <w:spacing w:val="-10"/>
          <w:sz w:val="24"/>
        </w:rPr>
        <w:t> </w:t>
      </w:r>
      <w:r>
        <w:rPr>
          <w:sz w:val="24"/>
        </w:rPr>
        <w:t>said</w:t>
      </w:r>
      <w:r>
        <w:rPr>
          <w:spacing w:val="-10"/>
          <w:sz w:val="24"/>
        </w:rPr>
        <w:t> </w:t>
      </w:r>
      <w:r>
        <w:rPr>
          <w:sz w:val="24"/>
        </w:rPr>
        <w:t>SRD/SRA</w:t>
      </w:r>
      <w:r>
        <w:rPr>
          <w:spacing w:val="-10"/>
          <w:sz w:val="24"/>
        </w:rPr>
        <w:t> </w:t>
      </w:r>
      <w:r>
        <w:rPr>
          <w:sz w:val="24"/>
        </w:rPr>
        <w:t>scheme</w:t>
      </w:r>
      <w:r>
        <w:rPr>
          <w:spacing w:val="-10"/>
          <w:sz w:val="24"/>
        </w:rPr>
        <w:t> </w:t>
      </w:r>
      <w:r>
        <w:rPr>
          <w:sz w:val="24"/>
        </w:rPr>
        <w:t>would</w:t>
      </w:r>
      <w:r>
        <w:rPr>
          <w:spacing w:val="-10"/>
          <w:sz w:val="24"/>
        </w:rPr>
        <w:t> </w:t>
      </w:r>
      <w:r>
        <w:rPr>
          <w:sz w:val="24"/>
        </w:rPr>
        <w:t>be deducted from overall calculation of FSI 4.00.</w:t>
      </w:r>
    </w:p>
    <w:p>
      <w:pPr>
        <w:pStyle w:val="BodyText"/>
        <w:spacing w:before="241"/>
        <w:ind w:left="2078" w:right="768" w:firstLine="76"/>
      </w:pPr>
      <w:r>
        <w:rPr/>
        <w:t>(b)</w:t>
      </w:r>
      <w:r>
        <w:rPr>
          <w:spacing w:val="-17"/>
        </w:rPr>
        <w:t> </w:t>
      </w:r>
      <w:r>
        <w:rPr/>
        <w:t>For</w:t>
      </w:r>
      <w:r>
        <w:rPr>
          <w:spacing w:val="-17"/>
        </w:rPr>
        <w:t> </w:t>
      </w:r>
      <w:r>
        <w:rPr/>
        <w:t>private</w:t>
      </w:r>
      <w:r>
        <w:rPr>
          <w:spacing w:val="-17"/>
        </w:rPr>
        <w:t> </w:t>
      </w:r>
      <w:r>
        <w:rPr/>
        <w:t>unencumbered</w:t>
      </w:r>
      <w:r>
        <w:rPr>
          <w:spacing w:val="-17"/>
        </w:rPr>
        <w:t> </w:t>
      </w:r>
      <w:r>
        <w:rPr/>
        <w:t>plot/s</w:t>
      </w:r>
      <w:r>
        <w:rPr>
          <w:spacing w:val="-17"/>
        </w:rPr>
        <w:t> </w:t>
      </w:r>
      <w:r>
        <w:rPr/>
        <w:t>situated</w:t>
      </w:r>
      <w:r>
        <w:rPr>
          <w:spacing w:val="-17"/>
        </w:rPr>
        <w:t> </w:t>
      </w:r>
      <w:r>
        <w:rPr/>
        <w:t>within</w:t>
      </w:r>
      <w:r>
        <w:rPr>
          <w:spacing w:val="-17"/>
        </w:rPr>
        <w:t> </w:t>
      </w:r>
      <w:r>
        <w:rPr/>
        <w:t>DNA</w:t>
      </w:r>
      <w:r>
        <w:rPr>
          <w:spacing w:val="-17"/>
        </w:rPr>
        <w:t> </w:t>
      </w:r>
      <w:r>
        <w:rPr/>
        <w:t>but</w:t>
      </w:r>
      <w:r>
        <w:rPr>
          <w:spacing w:val="-17"/>
        </w:rPr>
        <w:t> </w:t>
      </w:r>
      <w:r>
        <w:rPr/>
        <w:t>presently excluded,</w:t>
      </w:r>
      <w:r>
        <w:rPr>
          <w:spacing w:val="-13"/>
        </w:rPr>
        <w:t> </w:t>
      </w:r>
      <w:r>
        <w:rPr/>
        <w:t>the</w:t>
      </w:r>
      <w:r>
        <w:rPr>
          <w:spacing w:val="-13"/>
        </w:rPr>
        <w:t> </w:t>
      </w:r>
      <w:r>
        <w:rPr/>
        <w:t>FSI</w:t>
      </w:r>
      <w:r>
        <w:rPr>
          <w:spacing w:val="-13"/>
        </w:rPr>
        <w:t> </w:t>
      </w:r>
      <w:r>
        <w:rPr/>
        <w:t>shall</w:t>
      </w:r>
      <w:r>
        <w:rPr>
          <w:spacing w:val="-13"/>
        </w:rPr>
        <w:t> </w:t>
      </w:r>
      <w:r>
        <w:rPr/>
        <w:t>be</w:t>
      </w:r>
      <w:r>
        <w:rPr>
          <w:spacing w:val="-13"/>
        </w:rPr>
        <w:t> </w:t>
      </w:r>
      <w:r>
        <w:rPr/>
        <w:t>4.00</w:t>
      </w:r>
      <w:r>
        <w:rPr>
          <w:spacing w:val="-13"/>
        </w:rPr>
        <w:t> </w:t>
      </w:r>
      <w:r>
        <w:rPr/>
        <w:t>on</w:t>
      </w:r>
      <w:r>
        <w:rPr>
          <w:spacing w:val="-13"/>
        </w:rPr>
        <w:t> </w:t>
      </w:r>
      <w:r>
        <w:rPr/>
        <w:t>their</w:t>
      </w:r>
      <w:r>
        <w:rPr>
          <w:spacing w:val="-13"/>
        </w:rPr>
        <w:t> </w:t>
      </w:r>
      <w:r>
        <w:rPr/>
        <w:t>inclusion</w:t>
      </w:r>
      <w:r>
        <w:rPr>
          <w:spacing w:val="-13"/>
        </w:rPr>
        <w:t> </w:t>
      </w:r>
      <w:r>
        <w:rPr/>
        <w:t>in</w:t>
      </w:r>
      <w:r>
        <w:rPr>
          <w:spacing w:val="-13"/>
        </w:rPr>
        <w:t> </w:t>
      </w:r>
      <w:r>
        <w:rPr/>
        <w:t>DRP.</w:t>
      </w:r>
      <w:r>
        <w:rPr>
          <w:spacing w:val="-13"/>
        </w:rPr>
        <w:t> </w:t>
      </w:r>
      <w:r>
        <w:rPr/>
        <w:t>The</w:t>
      </w:r>
      <w:r>
        <w:rPr>
          <w:spacing w:val="-13"/>
        </w:rPr>
        <w:t> </w:t>
      </w:r>
      <w:r>
        <w:rPr/>
        <w:t>developer however, shall have to pay premium as decided by DRP on BUA equivalent to 2.67 FSI of that plot upon which he couldgo up to BUA equivalent to 4.00 FSI in his free sale component.</w:t>
      </w:r>
    </w:p>
    <w:p>
      <w:pPr>
        <w:pStyle w:val="ListParagraph"/>
        <w:numPr>
          <w:ilvl w:val="0"/>
          <w:numId w:val="169"/>
        </w:numPr>
        <w:tabs>
          <w:tab w:pos="2281" w:val="left" w:leader="none"/>
        </w:tabs>
        <w:spacing w:line="240" w:lineRule="auto" w:before="239" w:after="0"/>
        <w:ind w:left="2062" w:right="766" w:firstLine="0"/>
        <w:jc w:val="both"/>
        <w:rPr>
          <w:sz w:val="24"/>
        </w:rPr>
      </w:pPr>
      <w:r>
        <w:rPr>
          <w:sz w:val="24"/>
        </w:rPr>
        <w:t>The construction of RRC will be carried out by the developer so appointed</w:t>
      </w:r>
      <w:r>
        <w:rPr>
          <w:spacing w:val="-12"/>
          <w:sz w:val="24"/>
        </w:rPr>
        <w:t> </w:t>
      </w:r>
      <w:r>
        <w:rPr>
          <w:sz w:val="24"/>
        </w:rPr>
        <w:t>under</w:t>
      </w:r>
      <w:r>
        <w:rPr>
          <w:spacing w:val="-12"/>
          <w:sz w:val="24"/>
        </w:rPr>
        <w:t> </w:t>
      </w:r>
      <w:r>
        <w:rPr>
          <w:sz w:val="24"/>
        </w:rPr>
        <w:t>DRP</w:t>
      </w:r>
      <w:r>
        <w:rPr>
          <w:spacing w:val="-12"/>
          <w:sz w:val="24"/>
        </w:rPr>
        <w:t> </w:t>
      </w:r>
      <w:r>
        <w:rPr>
          <w:sz w:val="24"/>
        </w:rPr>
        <w:t>at</w:t>
      </w:r>
      <w:r>
        <w:rPr>
          <w:spacing w:val="-12"/>
          <w:sz w:val="24"/>
        </w:rPr>
        <w:t> </w:t>
      </w:r>
      <w:r>
        <w:rPr>
          <w:sz w:val="24"/>
        </w:rPr>
        <w:t>his</w:t>
      </w:r>
      <w:r>
        <w:rPr>
          <w:spacing w:val="-12"/>
          <w:sz w:val="24"/>
        </w:rPr>
        <w:t> </w:t>
      </w:r>
      <w:r>
        <w:rPr>
          <w:sz w:val="24"/>
        </w:rPr>
        <w:t>cost</w:t>
      </w:r>
      <w:r>
        <w:rPr>
          <w:spacing w:val="-12"/>
          <w:sz w:val="24"/>
        </w:rPr>
        <w:t> </w:t>
      </w:r>
      <w:r>
        <w:rPr>
          <w:sz w:val="24"/>
        </w:rPr>
        <w:t>as</w:t>
      </w:r>
      <w:r>
        <w:rPr>
          <w:spacing w:val="-12"/>
          <w:sz w:val="24"/>
        </w:rPr>
        <w:t> </w:t>
      </w:r>
      <w:r>
        <w:rPr>
          <w:sz w:val="24"/>
        </w:rPr>
        <w:t>per</w:t>
      </w:r>
      <w:r>
        <w:rPr>
          <w:spacing w:val="-12"/>
          <w:sz w:val="24"/>
        </w:rPr>
        <w:t> </w:t>
      </w:r>
      <w:r>
        <w:rPr>
          <w:sz w:val="24"/>
        </w:rPr>
        <w:t>the</w:t>
      </w:r>
      <w:r>
        <w:rPr>
          <w:spacing w:val="-12"/>
          <w:sz w:val="24"/>
        </w:rPr>
        <w:t> </w:t>
      </w:r>
      <w:r>
        <w:rPr>
          <w:sz w:val="24"/>
        </w:rPr>
        <w:t>specifications,</w:t>
      </w:r>
      <w:r>
        <w:rPr>
          <w:spacing w:val="-12"/>
          <w:sz w:val="24"/>
        </w:rPr>
        <w:t> </w:t>
      </w:r>
      <w:r>
        <w:rPr>
          <w:sz w:val="24"/>
        </w:rPr>
        <w:t>planning</w:t>
      </w:r>
      <w:r>
        <w:rPr>
          <w:spacing w:val="-12"/>
          <w:sz w:val="24"/>
        </w:rPr>
        <w:t> </w:t>
      </w:r>
      <w:r>
        <w:rPr>
          <w:sz w:val="24"/>
        </w:rPr>
        <w:t>and requirements</w:t>
      </w:r>
      <w:r>
        <w:rPr>
          <w:spacing w:val="-20"/>
          <w:sz w:val="24"/>
        </w:rPr>
        <w:t> </w:t>
      </w:r>
      <w:r>
        <w:rPr>
          <w:sz w:val="24"/>
        </w:rPr>
        <w:t>of</w:t>
      </w:r>
      <w:r>
        <w:rPr>
          <w:spacing w:val="-19"/>
          <w:sz w:val="24"/>
        </w:rPr>
        <w:t> </w:t>
      </w:r>
      <w:r>
        <w:rPr>
          <w:sz w:val="24"/>
        </w:rPr>
        <w:t>DRP</w:t>
      </w:r>
      <w:r>
        <w:rPr>
          <w:spacing w:val="-19"/>
          <w:sz w:val="24"/>
        </w:rPr>
        <w:t> </w:t>
      </w:r>
      <w:r>
        <w:rPr>
          <w:sz w:val="24"/>
        </w:rPr>
        <w:t>(SRA).</w:t>
      </w:r>
      <w:r>
        <w:rPr>
          <w:spacing w:val="-19"/>
          <w:sz w:val="24"/>
        </w:rPr>
        <w:t> </w:t>
      </w:r>
      <w:r>
        <w:rPr>
          <w:sz w:val="24"/>
        </w:rPr>
        <w:t>Each</w:t>
      </w:r>
      <w:r>
        <w:rPr>
          <w:spacing w:val="-19"/>
          <w:sz w:val="24"/>
        </w:rPr>
        <w:t> </w:t>
      </w:r>
      <w:r>
        <w:rPr>
          <w:sz w:val="24"/>
        </w:rPr>
        <w:t>eligible</w:t>
      </w:r>
      <w:r>
        <w:rPr>
          <w:spacing w:val="-20"/>
          <w:sz w:val="24"/>
        </w:rPr>
        <w:t> </w:t>
      </w:r>
      <w:r>
        <w:rPr>
          <w:sz w:val="24"/>
        </w:rPr>
        <w:t>occupant</w:t>
      </w:r>
      <w:r>
        <w:rPr>
          <w:spacing w:val="-19"/>
          <w:sz w:val="24"/>
        </w:rPr>
        <w:t> </w:t>
      </w:r>
      <w:r>
        <w:rPr>
          <w:sz w:val="24"/>
        </w:rPr>
        <w:t>shall</w:t>
      </w:r>
      <w:r>
        <w:rPr>
          <w:spacing w:val="-19"/>
          <w:sz w:val="24"/>
        </w:rPr>
        <w:t> </w:t>
      </w:r>
      <w:r>
        <w:rPr>
          <w:sz w:val="24"/>
        </w:rPr>
        <w:t>be</w:t>
      </w:r>
      <w:r>
        <w:rPr>
          <w:spacing w:val="-19"/>
          <w:sz w:val="24"/>
        </w:rPr>
        <w:t> </w:t>
      </w:r>
      <w:r>
        <w:rPr>
          <w:sz w:val="24"/>
        </w:rPr>
        <w:t>rehabilitated and</w:t>
      </w:r>
      <w:r>
        <w:rPr>
          <w:spacing w:val="-13"/>
          <w:sz w:val="24"/>
        </w:rPr>
        <w:t> </w:t>
      </w:r>
      <w:r>
        <w:rPr>
          <w:sz w:val="24"/>
        </w:rPr>
        <w:t>given</w:t>
      </w:r>
      <w:r>
        <w:rPr>
          <w:spacing w:val="-13"/>
          <w:sz w:val="24"/>
        </w:rPr>
        <w:t> </w:t>
      </w:r>
      <w:r>
        <w:rPr>
          <w:sz w:val="24"/>
        </w:rPr>
        <w:t>the</w:t>
      </w:r>
      <w:r>
        <w:rPr>
          <w:spacing w:val="-13"/>
          <w:sz w:val="24"/>
        </w:rPr>
        <w:t> </w:t>
      </w:r>
      <w:r>
        <w:rPr>
          <w:sz w:val="24"/>
        </w:rPr>
        <w:t>carpet</w:t>
      </w:r>
      <w:r>
        <w:rPr>
          <w:spacing w:val="-15"/>
          <w:sz w:val="24"/>
        </w:rPr>
        <w:t> </w:t>
      </w:r>
      <w:r>
        <w:rPr>
          <w:sz w:val="24"/>
        </w:rPr>
        <w:t>area</w:t>
      </w:r>
      <w:r>
        <w:rPr>
          <w:spacing w:val="-13"/>
          <w:sz w:val="24"/>
        </w:rPr>
        <w:t> </w:t>
      </w:r>
      <w:r>
        <w:rPr>
          <w:sz w:val="24"/>
        </w:rPr>
        <w:t>occupied</w:t>
      </w:r>
      <w:r>
        <w:rPr>
          <w:spacing w:val="-13"/>
          <w:sz w:val="24"/>
        </w:rPr>
        <w:t> </w:t>
      </w:r>
      <w:r>
        <w:rPr>
          <w:sz w:val="24"/>
        </w:rPr>
        <w:t>by</w:t>
      </w:r>
      <w:r>
        <w:rPr>
          <w:spacing w:val="-13"/>
          <w:sz w:val="24"/>
        </w:rPr>
        <w:t> </w:t>
      </w:r>
      <w:r>
        <w:rPr>
          <w:sz w:val="24"/>
        </w:rPr>
        <w:t>him</w:t>
      </w:r>
      <w:r>
        <w:rPr>
          <w:spacing w:val="-13"/>
          <w:sz w:val="24"/>
        </w:rPr>
        <w:t> </w:t>
      </w:r>
      <w:r>
        <w:rPr>
          <w:sz w:val="24"/>
        </w:rPr>
        <w:t>for</w:t>
      </w:r>
      <w:r>
        <w:rPr>
          <w:spacing w:val="-13"/>
          <w:sz w:val="24"/>
        </w:rPr>
        <w:t> </w:t>
      </w:r>
      <w:r>
        <w:rPr>
          <w:sz w:val="24"/>
        </w:rPr>
        <w:t>residential</w:t>
      </w:r>
      <w:r>
        <w:rPr>
          <w:spacing w:val="-13"/>
          <w:sz w:val="24"/>
        </w:rPr>
        <w:t> </w:t>
      </w:r>
      <w:r>
        <w:rPr>
          <w:sz w:val="24"/>
        </w:rPr>
        <w:t>purpose</w:t>
      </w:r>
      <w:r>
        <w:rPr>
          <w:spacing w:val="-13"/>
          <w:sz w:val="24"/>
        </w:rPr>
        <w:t> </w:t>
      </w:r>
      <w:r>
        <w:rPr>
          <w:sz w:val="24"/>
        </w:rPr>
        <w:t>in</w:t>
      </w:r>
      <w:r>
        <w:rPr>
          <w:spacing w:val="-13"/>
          <w:sz w:val="24"/>
        </w:rPr>
        <w:t> </w:t>
      </w:r>
      <w:r>
        <w:rPr>
          <w:sz w:val="24"/>
        </w:rPr>
        <w:t>the old building subject to the minimum fixed carpet area of 27.88 sq. m (300 sq. ft.) and maximum area equivalent to the area occupied in the old building. The carpet area upto 70 sq. m shall be part of RRC and shall be provided free of cost. However, area above 70 sq. m will be at construction</w:t>
      </w:r>
      <w:r>
        <w:rPr>
          <w:spacing w:val="-19"/>
          <w:sz w:val="24"/>
        </w:rPr>
        <w:t> </w:t>
      </w:r>
      <w:r>
        <w:rPr>
          <w:sz w:val="24"/>
        </w:rPr>
        <w:t>cost</w:t>
      </w:r>
      <w:r>
        <w:rPr>
          <w:spacing w:val="-17"/>
          <w:sz w:val="24"/>
        </w:rPr>
        <w:t> </w:t>
      </w:r>
      <w:r>
        <w:rPr>
          <w:sz w:val="24"/>
        </w:rPr>
        <w:t>to</w:t>
      </w:r>
      <w:r>
        <w:rPr>
          <w:spacing w:val="-20"/>
          <w:sz w:val="24"/>
        </w:rPr>
        <w:t> </w:t>
      </w:r>
      <w:r>
        <w:rPr>
          <w:sz w:val="24"/>
        </w:rPr>
        <w:t>be</w:t>
      </w:r>
      <w:r>
        <w:rPr>
          <w:spacing w:val="-17"/>
          <w:sz w:val="24"/>
        </w:rPr>
        <w:t> </w:t>
      </w:r>
      <w:r>
        <w:rPr>
          <w:sz w:val="24"/>
        </w:rPr>
        <w:t>determined</w:t>
      </w:r>
      <w:r>
        <w:rPr>
          <w:spacing w:val="-18"/>
          <w:sz w:val="24"/>
        </w:rPr>
        <w:t> </w:t>
      </w:r>
      <w:r>
        <w:rPr>
          <w:sz w:val="24"/>
        </w:rPr>
        <w:t>by</w:t>
      </w:r>
      <w:r>
        <w:rPr>
          <w:spacing w:val="-17"/>
          <w:sz w:val="24"/>
        </w:rPr>
        <w:t> </w:t>
      </w:r>
      <w:r>
        <w:rPr>
          <w:sz w:val="24"/>
        </w:rPr>
        <w:t>OSD,</w:t>
      </w:r>
      <w:r>
        <w:rPr>
          <w:spacing w:val="-18"/>
          <w:sz w:val="24"/>
        </w:rPr>
        <w:t> </w:t>
      </w:r>
      <w:r>
        <w:rPr>
          <w:sz w:val="24"/>
        </w:rPr>
        <w:t>DRP</w:t>
      </w:r>
      <w:r>
        <w:rPr>
          <w:spacing w:val="-18"/>
          <w:sz w:val="24"/>
        </w:rPr>
        <w:t> </w:t>
      </w:r>
      <w:r>
        <w:rPr>
          <w:sz w:val="24"/>
        </w:rPr>
        <w:t>(SRA)</w:t>
      </w:r>
      <w:r>
        <w:rPr>
          <w:spacing w:val="-18"/>
          <w:sz w:val="24"/>
        </w:rPr>
        <w:t> </w:t>
      </w:r>
      <w:r>
        <w:rPr>
          <w:sz w:val="24"/>
        </w:rPr>
        <w:t>and</w:t>
      </w:r>
      <w:r>
        <w:rPr>
          <w:spacing w:val="-18"/>
          <w:sz w:val="24"/>
        </w:rPr>
        <w:t> </w:t>
      </w:r>
      <w:r>
        <w:rPr>
          <w:sz w:val="24"/>
        </w:rPr>
        <w:t>the</w:t>
      </w:r>
      <w:r>
        <w:rPr>
          <w:spacing w:val="-18"/>
          <w:sz w:val="24"/>
        </w:rPr>
        <w:t> </w:t>
      </w:r>
      <w:r>
        <w:rPr>
          <w:sz w:val="24"/>
        </w:rPr>
        <w:t>said</w:t>
      </w:r>
      <w:r>
        <w:rPr>
          <w:spacing w:val="-18"/>
          <w:sz w:val="24"/>
        </w:rPr>
        <w:t> </w:t>
      </w:r>
      <w:r>
        <w:rPr>
          <w:sz w:val="24"/>
        </w:rPr>
        <w:t>cost to be paid by the respective occupant to the developer. Such surplus residential</w:t>
      </w:r>
      <w:r>
        <w:rPr>
          <w:spacing w:val="-1"/>
          <w:sz w:val="24"/>
        </w:rPr>
        <w:t> </w:t>
      </w:r>
      <w:r>
        <w:rPr>
          <w:sz w:val="24"/>
        </w:rPr>
        <w:t>renewal</w:t>
      </w:r>
      <w:r>
        <w:rPr>
          <w:spacing w:val="-1"/>
          <w:sz w:val="24"/>
        </w:rPr>
        <w:t> </w:t>
      </w:r>
      <w:r>
        <w:rPr>
          <w:sz w:val="24"/>
        </w:rPr>
        <w:t>area</w:t>
      </w:r>
      <w:r>
        <w:rPr>
          <w:spacing w:val="-1"/>
          <w:sz w:val="24"/>
        </w:rPr>
        <w:t> </w:t>
      </w:r>
      <w:r>
        <w:rPr>
          <w:sz w:val="24"/>
        </w:rPr>
        <w:t>shall</w:t>
      </w:r>
      <w:r>
        <w:rPr>
          <w:spacing w:val="-1"/>
          <w:sz w:val="24"/>
        </w:rPr>
        <w:t> </w:t>
      </w:r>
      <w:r>
        <w:rPr>
          <w:sz w:val="24"/>
        </w:rPr>
        <w:t>not</w:t>
      </w:r>
      <w:r>
        <w:rPr>
          <w:spacing w:val="-1"/>
          <w:sz w:val="24"/>
        </w:rPr>
        <w:t> </w:t>
      </w:r>
      <w:r>
        <w:rPr>
          <w:sz w:val="24"/>
        </w:rPr>
        <w:t>qualify</w:t>
      </w:r>
      <w:r>
        <w:rPr>
          <w:spacing w:val="-1"/>
          <w:sz w:val="24"/>
        </w:rPr>
        <w:t> </w:t>
      </w:r>
      <w:r>
        <w:rPr>
          <w:sz w:val="24"/>
        </w:rPr>
        <w:t>for</w:t>
      </w:r>
      <w:r>
        <w:rPr>
          <w:spacing w:val="-1"/>
          <w:sz w:val="24"/>
        </w:rPr>
        <w:t> </w:t>
      </w:r>
      <w:r>
        <w:rPr>
          <w:sz w:val="24"/>
        </w:rPr>
        <w:t>calculating</w:t>
      </w:r>
      <w:r>
        <w:rPr>
          <w:spacing w:val="-1"/>
          <w:sz w:val="24"/>
        </w:rPr>
        <w:t> </w:t>
      </w:r>
      <w:r>
        <w:rPr>
          <w:sz w:val="24"/>
        </w:rPr>
        <w:t>incentive</w:t>
      </w:r>
      <w:r>
        <w:rPr>
          <w:spacing w:val="-1"/>
          <w:sz w:val="24"/>
        </w:rPr>
        <w:t> </w:t>
      </w:r>
      <w:r>
        <w:rPr>
          <w:sz w:val="24"/>
        </w:rPr>
        <w:t>RSC.</w:t>
      </w:r>
    </w:p>
    <w:p>
      <w:pPr>
        <w:pStyle w:val="BodyText"/>
        <w:spacing w:before="242"/>
        <w:ind w:left="2062" w:right="768"/>
      </w:pPr>
      <w:r>
        <w:rPr/>
        <w:t>In case of non-residential occupier, the area to be given will be equivalent to the area occupied in the old building. The renewal tenements in the so completed buildings shall be handed over to the respective eligible occupiers of the old building as certified by </w:t>
      </w:r>
      <w:r>
        <w:rPr/>
        <w:t>the concerned Competent Authority free of encumbrances.</w:t>
      </w:r>
    </w:p>
    <w:p>
      <w:pPr>
        <w:pStyle w:val="ListParagraph"/>
        <w:numPr>
          <w:ilvl w:val="0"/>
          <w:numId w:val="169"/>
        </w:numPr>
        <w:tabs>
          <w:tab w:pos="2359" w:val="left" w:leader="none"/>
        </w:tabs>
        <w:spacing w:line="240" w:lineRule="auto" w:before="240" w:after="0"/>
        <w:ind w:left="2359" w:right="0" w:hanging="297"/>
        <w:jc w:val="both"/>
        <w:rPr>
          <w:sz w:val="24"/>
        </w:rPr>
      </w:pPr>
      <w:r>
        <w:rPr>
          <w:sz w:val="24"/>
        </w:rPr>
        <w:t>Eligibility</w:t>
      </w:r>
      <w:r>
        <w:rPr>
          <w:spacing w:val="-1"/>
          <w:sz w:val="24"/>
        </w:rPr>
        <w:t> </w:t>
      </w:r>
      <w:r>
        <w:rPr>
          <w:sz w:val="24"/>
        </w:rPr>
        <w:t>for</w:t>
      </w:r>
      <w:r>
        <w:rPr>
          <w:spacing w:val="-1"/>
          <w:sz w:val="24"/>
        </w:rPr>
        <w:t> </w:t>
      </w:r>
      <w:r>
        <w:rPr>
          <w:sz w:val="24"/>
        </w:rPr>
        <w:t>Renewal</w:t>
      </w:r>
      <w:r>
        <w:rPr>
          <w:spacing w:val="-1"/>
          <w:sz w:val="24"/>
        </w:rPr>
        <w:t> </w:t>
      </w:r>
      <w:r>
        <w:rPr>
          <w:sz w:val="24"/>
        </w:rPr>
        <w:t>Rehab</w:t>
      </w:r>
      <w:r>
        <w:rPr>
          <w:spacing w:val="-1"/>
          <w:sz w:val="24"/>
        </w:rPr>
        <w:t> </w:t>
      </w:r>
      <w:r>
        <w:rPr>
          <w:spacing w:val="-2"/>
          <w:sz w:val="24"/>
        </w:rPr>
        <w:t>Tenements:</w:t>
      </w:r>
    </w:p>
    <w:p>
      <w:pPr>
        <w:pStyle w:val="BodyText"/>
        <w:spacing w:before="239"/>
        <w:ind w:left="2062" w:right="767"/>
      </w:pPr>
      <w:r>
        <w:rPr/>
        <w:t>For URS, the existing tenants/occupants residing as on 1</w:t>
      </w:r>
      <w:r>
        <w:rPr>
          <w:position w:val="6"/>
          <w:sz w:val="16"/>
        </w:rPr>
        <w:t>st</w:t>
      </w:r>
      <w:r>
        <w:rPr>
          <w:spacing w:val="40"/>
          <w:position w:val="6"/>
          <w:sz w:val="16"/>
        </w:rPr>
        <w:t> </w:t>
      </w:r>
      <w:r>
        <w:rPr/>
        <w:t>January, 2000 shall be considered eligible. A certified inspection extract of the MCGM</w:t>
      </w:r>
      <w:r>
        <w:rPr>
          <w:spacing w:val="-6"/>
        </w:rPr>
        <w:t> </w:t>
      </w:r>
      <w:r>
        <w:rPr/>
        <w:t>for</w:t>
      </w:r>
      <w:r>
        <w:rPr>
          <w:spacing w:val="-6"/>
        </w:rPr>
        <w:t> </w:t>
      </w:r>
      <w:r>
        <w:rPr/>
        <w:t>the</w:t>
      </w:r>
      <w:r>
        <w:rPr>
          <w:spacing w:val="-6"/>
        </w:rPr>
        <w:t> </w:t>
      </w:r>
      <w:r>
        <w:rPr/>
        <w:t>year</w:t>
      </w:r>
      <w:r>
        <w:rPr>
          <w:spacing w:val="-6"/>
        </w:rPr>
        <w:t> </w:t>
      </w:r>
      <w:r>
        <w:rPr/>
        <w:t>1999-2000</w:t>
      </w:r>
      <w:r>
        <w:rPr>
          <w:spacing w:val="-6"/>
        </w:rPr>
        <w:t> </w:t>
      </w:r>
      <w:r>
        <w:rPr/>
        <w:t>or</w:t>
      </w:r>
      <w:r>
        <w:rPr>
          <w:spacing w:val="-6"/>
        </w:rPr>
        <w:t> </w:t>
      </w:r>
      <w:r>
        <w:rPr/>
        <w:t>Courts</w:t>
      </w:r>
      <w:r>
        <w:rPr>
          <w:spacing w:val="-8"/>
        </w:rPr>
        <w:t> </w:t>
      </w:r>
      <w:r>
        <w:rPr/>
        <w:t>Order</w:t>
      </w:r>
      <w:r>
        <w:rPr>
          <w:spacing w:val="-6"/>
        </w:rPr>
        <w:t> </w:t>
      </w:r>
      <w:r>
        <w:rPr/>
        <w:t>proving</w:t>
      </w:r>
      <w:r>
        <w:rPr>
          <w:spacing w:val="-6"/>
        </w:rPr>
        <w:t> </w:t>
      </w:r>
      <w:r>
        <w:rPr/>
        <w:t>the</w:t>
      </w:r>
      <w:r>
        <w:rPr>
          <w:spacing w:val="-6"/>
        </w:rPr>
        <w:t> </w:t>
      </w:r>
      <w:r>
        <w:rPr/>
        <w:t>existence</w:t>
      </w:r>
      <w:r>
        <w:rPr>
          <w:spacing w:val="-6"/>
        </w:rPr>
        <w:t> </w:t>
      </w:r>
      <w:r>
        <w:rPr/>
        <w:t>of tenements prior to 1.1.2000 shall be considered adequate evidence to establish number and size of tenements. No new tenancy/occupancy created after 1.1.2000 shall be considered. Further unauthorized construction made in buildings/chawls, and unauthorized extensions to the tenements shall not be considered for any computation.</w:t>
      </w:r>
    </w:p>
    <w:p>
      <w:pPr>
        <w:pStyle w:val="ListParagraph"/>
        <w:numPr>
          <w:ilvl w:val="0"/>
          <w:numId w:val="169"/>
        </w:numPr>
        <w:tabs>
          <w:tab w:pos="2503" w:val="left" w:leader="none"/>
        </w:tabs>
        <w:spacing w:line="240" w:lineRule="auto" w:before="241" w:after="0"/>
        <w:ind w:left="2062" w:right="768" w:firstLine="0"/>
        <w:jc w:val="both"/>
        <w:rPr>
          <w:sz w:val="24"/>
        </w:rPr>
      </w:pPr>
      <w:r>
        <w:rPr>
          <w:sz w:val="24"/>
        </w:rPr>
        <w:t>(a) An area equal to 13.33 sq. m BUA as Renewal Sale Component(RSC) shall be made available against the RRC of 10 sq. m for</w:t>
      </w:r>
      <w:r>
        <w:rPr>
          <w:spacing w:val="22"/>
          <w:sz w:val="24"/>
        </w:rPr>
        <w:t> </w:t>
      </w:r>
      <w:r>
        <w:rPr>
          <w:sz w:val="24"/>
        </w:rPr>
        <w:t>disposal</w:t>
      </w:r>
      <w:r>
        <w:rPr>
          <w:spacing w:val="22"/>
          <w:sz w:val="24"/>
        </w:rPr>
        <w:t> </w:t>
      </w:r>
      <w:r>
        <w:rPr>
          <w:sz w:val="24"/>
        </w:rPr>
        <w:t>in</w:t>
      </w:r>
      <w:r>
        <w:rPr>
          <w:spacing w:val="22"/>
          <w:sz w:val="24"/>
        </w:rPr>
        <w:t> </w:t>
      </w:r>
      <w:r>
        <w:rPr>
          <w:sz w:val="24"/>
        </w:rPr>
        <w:t>the</w:t>
      </w:r>
      <w:r>
        <w:rPr>
          <w:spacing w:val="22"/>
          <w:sz w:val="24"/>
        </w:rPr>
        <w:t> </w:t>
      </w:r>
      <w:r>
        <w:rPr>
          <w:sz w:val="24"/>
        </w:rPr>
        <w:t>open</w:t>
      </w:r>
      <w:r>
        <w:rPr>
          <w:spacing w:val="22"/>
          <w:sz w:val="24"/>
        </w:rPr>
        <w:t> </w:t>
      </w:r>
      <w:r>
        <w:rPr>
          <w:sz w:val="24"/>
        </w:rPr>
        <w:t>market.</w:t>
      </w:r>
      <w:r>
        <w:rPr>
          <w:spacing w:val="22"/>
          <w:sz w:val="24"/>
        </w:rPr>
        <w:t> </w:t>
      </w:r>
      <w:r>
        <w:rPr>
          <w:sz w:val="24"/>
        </w:rPr>
        <w:t>RSC</w:t>
      </w:r>
      <w:r>
        <w:rPr>
          <w:spacing w:val="22"/>
          <w:sz w:val="24"/>
        </w:rPr>
        <w:t> </w:t>
      </w:r>
      <w:r>
        <w:rPr>
          <w:sz w:val="24"/>
        </w:rPr>
        <w:t>can</w:t>
      </w:r>
      <w:r>
        <w:rPr>
          <w:spacing w:val="22"/>
          <w:sz w:val="24"/>
        </w:rPr>
        <w:t> </w:t>
      </w:r>
      <w:r>
        <w:rPr>
          <w:sz w:val="24"/>
        </w:rPr>
        <w:t>be</w:t>
      </w:r>
      <w:r>
        <w:rPr>
          <w:spacing w:val="22"/>
          <w:sz w:val="24"/>
        </w:rPr>
        <w:t> </w:t>
      </w:r>
      <w:r>
        <w:rPr>
          <w:sz w:val="24"/>
        </w:rPr>
        <w:t>clubbed</w:t>
      </w:r>
      <w:r>
        <w:rPr>
          <w:spacing w:val="22"/>
          <w:sz w:val="24"/>
        </w:rPr>
        <w:t> </w:t>
      </w:r>
      <w:r>
        <w:rPr>
          <w:sz w:val="24"/>
        </w:rPr>
        <w:t>with</w:t>
      </w:r>
      <w:r>
        <w:rPr>
          <w:spacing w:val="22"/>
          <w:sz w:val="24"/>
        </w:rPr>
        <w:t> </w:t>
      </w:r>
      <w:r>
        <w:rPr>
          <w:sz w:val="24"/>
        </w:rPr>
        <w:t>Slum</w:t>
      </w:r>
      <w:r>
        <w:rPr>
          <w:spacing w:val="22"/>
          <w:sz w:val="24"/>
        </w:rPr>
        <w:t> </w:t>
      </w:r>
      <w:r>
        <w:rPr>
          <w:sz w:val="24"/>
        </w:rPr>
        <w:t>Sale</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pPr>
      <w:r>
        <w:rPr/>
        <w:t>Component</w:t>
      </w:r>
      <w:r>
        <w:rPr>
          <w:spacing w:val="-2"/>
        </w:rPr>
        <w:t> </w:t>
      </w:r>
      <w:r>
        <w:rPr/>
        <w:t>and</w:t>
      </w:r>
      <w:r>
        <w:rPr>
          <w:spacing w:val="-2"/>
        </w:rPr>
        <w:t> </w:t>
      </w:r>
      <w:r>
        <w:rPr/>
        <w:t>Amenity</w:t>
      </w:r>
      <w:r>
        <w:rPr>
          <w:spacing w:val="-1"/>
        </w:rPr>
        <w:t> </w:t>
      </w:r>
      <w:r>
        <w:rPr/>
        <w:t>Sale</w:t>
      </w:r>
      <w:r>
        <w:rPr>
          <w:spacing w:val="-2"/>
        </w:rPr>
        <w:t> </w:t>
      </w:r>
      <w:r>
        <w:rPr/>
        <w:t>Component</w:t>
      </w:r>
      <w:r>
        <w:rPr>
          <w:spacing w:val="-1"/>
        </w:rPr>
        <w:t> </w:t>
      </w:r>
      <w:r>
        <w:rPr/>
        <w:t>generated</w:t>
      </w:r>
      <w:r>
        <w:rPr>
          <w:spacing w:val="-2"/>
        </w:rPr>
        <w:t> </w:t>
      </w:r>
      <w:r>
        <w:rPr/>
        <w:t>under</w:t>
      </w:r>
      <w:r>
        <w:rPr>
          <w:spacing w:val="-4"/>
        </w:rPr>
        <w:t> </w:t>
      </w:r>
      <w:r>
        <w:rPr/>
        <w:t>DCR</w:t>
      </w:r>
      <w:r>
        <w:rPr>
          <w:spacing w:val="-1"/>
        </w:rPr>
        <w:t> </w:t>
      </w:r>
      <w:r>
        <w:rPr>
          <w:spacing w:val="-2"/>
        </w:rPr>
        <w:t>33(10)</w:t>
      </w:r>
    </w:p>
    <w:p>
      <w:pPr>
        <w:pStyle w:val="BodyText"/>
        <w:spacing w:before="1"/>
        <w:ind w:left="2062"/>
        <w:jc w:val="left"/>
      </w:pPr>
      <w:r>
        <w:rPr/>
        <w:t>(A)</w:t>
      </w:r>
      <w:r>
        <w:rPr>
          <w:spacing w:val="-1"/>
        </w:rPr>
        <w:t> </w:t>
      </w:r>
      <w:r>
        <w:rPr/>
        <w:t>within</w:t>
      </w:r>
      <w:r>
        <w:rPr>
          <w:spacing w:val="-1"/>
        </w:rPr>
        <w:t> </w:t>
      </w:r>
      <w:r>
        <w:rPr/>
        <w:t>the</w:t>
      </w:r>
      <w:r>
        <w:rPr>
          <w:spacing w:val="-1"/>
        </w:rPr>
        <w:t> </w:t>
      </w:r>
      <w:r>
        <w:rPr/>
        <w:t>same</w:t>
      </w:r>
      <w:r>
        <w:rPr>
          <w:spacing w:val="-1"/>
        </w:rPr>
        <w:t> </w:t>
      </w:r>
      <w:r>
        <w:rPr/>
        <w:t>planning</w:t>
      </w:r>
      <w:r>
        <w:rPr>
          <w:spacing w:val="-1"/>
        </w:rPr>
        <w:t> </w:t>
      </w:r>
      <w:r>
        <w:rPr>
          <w:spacing w:val="-2"/>
        </w:rPr>
        <w:t>sector.</w:t>
      </w:r>
    </w:p>
    <w:p>
      <w:pPr>
        <w:pStyle w:val="BodyText"/>
        <w:spacing w:before="240"/>
        <w:ind w:left="2062" w:right="768" w:firstLine="384"/>
      </w:pPr>
      <w:r>
        <w:rPr/>
        <w:t>(b)</w:t>
      </w:r>
      <w:r>
        <w:rPr>
          <w:spacing w:val="-8"/>
        </w:rPr>
        <w:t> </w:t>
      </w:r>
      <w:r>
        <w:rPr/>
        <w:t>If</w:t>
      </w:r>
      <w:r>
        <w:rPr>
          <w:spacing w:val="-8"/>
        </w:rPr>
        <w:t> </w:t>
      </w:r>
      <w:r>
        <w:rPr/>
        <w:t>the</w:t>
      </w:r>
      <w:r>
        <w:rPr>
          <w:spacing w:val="-8"/>
        </w:rPr>
        <w:t> </w:t>
      </w:r>
      <w:r>
        <w:rPr/>
        <w:t>FSI</w:t>
      </w:r>
      <w:r>
        <w:rPr>
          <w:spacing w:val="-6"/>
        </w:rPr>
        <w:t> </w:t>
      </w:r>
      <w:r>
        <w:rPr/>
        <w:t>required</w:t>
      </w:r>
      <w:r>
        <w:rPr>
          <w:spacing w:val="-8"/>
        </w:rPr>
        <w:t> </w:t>
      </w:r>
      <w:r>
        <w:rPr/>
        <w:t>for</w:t>
      </w:r>
      <w:r>
        <w:rPr>
          <w:spacing w:val="-8"/>
        </w:rPr>
        <w:t> </w:t>
      </w:r>
      <w:r>
        <w:rPr/>
        <w:t>rehabilitation</w:t>
      </w:r>
      <w:r>
        <w:rPr>
          <w:spacing w:val="-8"/>
        </w:rPr>
        <w:t> </w:t>
      </w:r>
      <w:r>
        <w:rPr/>
        <w:t>of</w:t>
      </w:r>
      <w:r>
        <w:rPr>
          <w:spacing w:val="-8"/>
        </w:rPr>
        <w:t> </w:t>
      </w:r>
      <w:r>
        <w:rPr/>
        <w:t>existing</w:t>
      </w:r>
      <w:r>
        <w:rPr>
          <w:spacing w:val="-8"/>
        </w:rPr>
        <w:t> </w:t>
      </w:r>
      <w:r>
        <w:rPr/>
        <w:t>eligible</w:t>
      </w:r>
      <w:r>
        <w:rPr>
          <w:spacing w:val="-6"/>
        </w:rPr>
        <w:t> </w:t>
      </w:r>
      <w:r>
        <w:rPr/>
        <w:t>occupants plus RSC exceeds FSI 4.00 of a particular plot, such excess quantum shall get absorbed while calculating overall FSI of 4.00 on entire DRP </w:t>
      </w:r>
      <w:r>
        <w:rPr>
          <w:spacing w:val="-2"/>
        </w:rPr>
        <w:t>Area.</w:t>
      </w:r>
    </w:p>
    <w:p>
      <w:pPr>
        <w:pStyle w:val="ListParagraph"/>
        <w:numPr>
          <w:ilvl w:val="0"/>
          <w:numId w:val="169"/>
        </w:numPr>
        <w:tabs>
          <w:tab w:pos="2281" w:val="left" w:leader="none"/>
        </w:tabs>
        <w:spacing w:line="240" w:lineRule="auto" w:before="241" w:after="0"/>
        <w:ind w:left="2062" w:right="775" w:firstLine="0"/>
        <w:jc w:val="both"/>
        <w:rPr>
          <w:sz w:val="24"/>
        </w:rPr>
      </w:pPr>
      <w:r>
        <w:rPr>
          <w:sz w:val="24"/>
        </w:rPr>
        <w:t>Non-Residential User as permissible in R and C zones as per Regulation No. 34 shall be allowed in Free Sale Components.</w:t>
      </w:r>
    </w:p>
    <w:p>
      <w:pPr>
        <w:pStyle w:val="ListParagraph"/>
        <w:numPr>
          <w:ilvl w:val="0"/>
          <w:numId w:val="169"/>
        </w:numPr>
        <w:tabs>
          <w:tab w:pos="2281" w:val="left" w:leader="none"/>
        </w:tabs>
        <w:spacing w:line="240" w:lineRule="auto" w:before="240" w:after="0"/>
        <w:ind w:left="2062" w:right="766" w:firstLine="0"/>
        <w:jc w:val="both"/>
        <w:rPr>
          <w:sz w:val="24"/>
        </w:rPr>
      </w:pPr>
      <w:r>
        <w:rPr>
          <w:sz w:val="24"/>
        </w:rPr>
        <w:t>RRC shall be located at a suitable location within the respective planning sector layout and not necessarily be on the plot where they exist</w:t>
      </w:r>
      <w:r>
        <w:rPr>
          <w:spacing w:val="-20"/>
          <w:sz w:val="24"/>
        </w:rPr>
        <w:t> </w:t>
      </w:r>
      <w:r>
        <w:rPr>
          <w:sz w:val="24"/>
        </w:rPr>
        <w:t>at</w:t>
      </w:r>
      <w:r>
        <w:rPr>
          <w:spacing w:val="-19"/>
          <w:sz w:val="24"/>
        </w:rPr>
        <w:t> </w:t>
      </w:r>
      <w:r>
        <w:rPr>
          <w:sz w:val="24"/>
        </w:rPr>
        <w:t>present.</w:t>
      </w:r>
      <w:r>
        <w:rPr>
          <w:spacing w:val="-19"/>
          <w:sz w:val="24"/>
        </w:rPr>
        <w:t> </w:t>
      </w:r>
      <w:r>
        <w:rPr>
          <w:sz w:val="24"/>
        </w:rPr>
        <w:t>In</w:t>
      </w:r>
      <w:r>
        <w:rPr>
          <w:spacing w:val="-19"/>
          <w:sz w:val="24"/>
        </w:rPr>
        <w:t> </w:t>
      </w:r>
      <w:r>
        <w:rPr>
          <w:sz w:val="24"/>
        </w:rPr>
        <w:t>case</w:t>
      </w:r>
      <w:r>
        <w:rPr>
          <w:spacing w:val="-19"/>
          <w:sz w:val="24"/>
        </w:rPr>
        <w:t> </w:t>
      </w:r>
      <w:r>
        <w:rPr>
          <w:sz w:val="24"/>
        </w:rPr>
        <w:t>of</w:t>
      </w:r>
      <w:r>
        <w:rPr>
          <w:spacing w:val="-20"/>
          <w:sz w:val="24"/>
        </w:rPr>
        <w:t> </w:t>
      </w:r>
      <w:r>
        <w:rPr>
          <w:sz w:val="24"/>
        </w:rPr>
        <w:t>any</w:t>
      </w:r>
      <w:r>
        <w:rPr>
          <w:spacing w:val="-19"/>
          <w:sz w:val="24"/>
        </w:rPr>
        <w:t> </w:t>
      </w:r>
      <w:r>
        <w:rPr>
          <w:sz w:val="24"/>
        </w:rPr>
        <w:t>site</w:t>
      </w:r>
      <w:r>
        <w:rPr>
          <w:spacing w:val="-19"/>
          <w:sz w:val="24"/>
        </w:rPr>
        <w:t> </w:t>
      </w:r>
      <w:r>
        <w:rPr>
          <w:sz w:val="24"/>
        </w:rPr>
        <w:t>constraints,</w:t>
      </w:r>
      <w:r>
        <w:rPr>
          <w:spacing w:val="-19"/>
          <w:sz w:val="24"/>
        </w:rPr>
        <w:t> </w:t>
      </w:r>
      <w:r>
        <w:rPr>
          <w:sz w:val="24"/>
        </w:rPr>
        <w:t>the</w:t>
      </w:r>
      <w:r>
        <w:rPr>
          <w:spacing w:val="-19"/>
          <w:sz w:val="24"/>
        </w:rPr>
        <w:t> </w:t>
      </w:r>
      <w:r>
        <w:rPr>
          <w:sz w:val="24"/>
        </w:rPr>
        <w:t>same</w:t>
      </w:r>
      <w:r>
        <w:rPr>
          <w:spacing w:val="-20"/>
          <w:sz w:val="24"/>
        </w:rPr>
        <w:t> </w:t>
      </w:r>
      <w:r>
        <w:rPr>
          <w:sz w:val="24"/>
        </w:rPr>
        <w:t>may</w:t>
      </w:r>
      <w:r>
        <w:rPr>
          <w:spacing w:val="-19"/>
          <w:sz w:val="24"/>
        </w:rPr>
        <w:t> </w:t>
      </w:r>
      <w:r>
        <w:rPr>
          <w:sz w:val="24"/>
        </w:rPr>
        <w:t>be</w:t>
      </w:r>
      <w:r>
        <w:rPr>
          <w:spacing w:val="-19"/>
          <w:sz w:val="24"/>
        </w:rPr>
        <w:t> </w:t>
      </w:r>
      <w:r>
        <w:rPr>
          <w:sz w:val="24"/>
        </w:rPr>
        <w:t>allowed to be located outside the particular sector layout, but within the DNA, with the special permission of OSD, DRP(SRA).</w:t>
      </w:r>
    </w:p>
    <w:p>
      <w:pPr>
        <w:pStyle w:val="ListParagraph"/>
        <w:numPr>
          <w:ilvl w:val="0"/>
          <w:numId w:val="169"/>
        </w:numPr>
        <w:tabs>
          <w:tab w:pos="2281" w:val="left" w:leader="none"/>
        </w:tabs>
        <w:spacing w:line="240" w:lineRule="auto" w:before="239" w:after="0"/>
        <w:ind w:left="2062" w:right="770" w:firstLine="0"/>
        <w:jc w:val="both"/>
        <w:rPr>
          <w:sz w:val="24"/>
        </w:rPr>
      </w:pPr>
      <w:r>
        <w:rPr>
          <w:sz w:val="24"/>
        </w:rPr>
        <w:t>After</w:t>
      </w:r>
      <w:r>
        <w:rPr>
          <w:spacing w:val="-18"/>
          <w:sz w:val="24"/>
        </w:rPr>
        <w:t> </w:t>
      </w:r>
      <w:r>
        <w:rPr>
          <w:sz w:val="24"/>
        </w:rPr>
        <w:t>the</w:t>
      </w:r>
      <w:r>
        <w:rPr>
          <w:spacing w:val="-18"/>
          <w:sz w:val="24"/>
        </w:rPr>
        <w:t> </w:t>
      </w:r>
      <w:r>
        <w:rPr>
          <w:sz w:val="24"/>
        </w:rPr>
        <w:t>proposed</w:t>
      </w:r>
      <w:r>
        <w:rPr>
          <w:spacing w:val="-15"/>
          <w:sz w:val="24"/>
        </w:rPr>
        <w:t> </w:t>
      </w:r>
      <w:r>
        <w:rPr>
          <w:sz w:val="24"/>
        </w:rPr>
        <w:t>RRC</w:t>
      </w:r>
      <w:r>
        <w:rPr>
          <w:spacing w:val="-17"/>
          <w:sz w:val="24"/>
        </w:rPr>
        <w:t> </w:t>
      </w:r>
      <w:r>
        <w:rPr>
          <w:sz w:val="24"/>
        </w:rPr>
        <w:t>buildings</w:t>
      </w:r>
      <w:r>
        <w:rPr>
          <w:spacing w:val="-18"/>
          <w:sz w:val="24"/>
        </w:rPr>
        <w:t> </w:t>
      </w:r>
      <w:r>
        <w:rPr>
          <w:sz w:val="24"/>
        </w:rPr>
        <w:t>are</w:t>
      </w:r>
      <w:r>
        <w:rPr>
          <w:spacing w:val="-18"/>
          <w:sz w:val="24"/>
        </w:rPr>
        <w:t> </w:t>
      </w:r>
      <w:r>
        <w:rPr>
          <w:sz w:val="24"/>
        </w:rPr>
        <w:t>constructed</w:t>
      </w:r>
      <w:r>
        <w:rPr>
          <w:spacing w:val="-18"/>
          <w:sz w:val="24"/>
        </w:rPr>
        <w:t> </w:t>
      </w:r>
      <w:r>
        <w:rPr>
          <w:sz w:val="24"/>
        </w:rPr>
        <w:t>in</w:t>
      </w:r>
      <w:r>
        <w:rPr>
          <w:spacing w:val="-18"/>
          <w:sz w:val="24"/>
        </w:rPr>
        <w:t> </w:t>
      </w:r>
      <w:r>
        <w:rPr>
          <w:sz w:val="24"/>
        </w:rPr>
        <w:t>the</w:t>
      </w:r>
      <w:r>
        <w:rPr>
          <w:spacing w:val="-18"/>
          <w:sz w:val="24"/>
        </w:rPr>
        <w:t> </w:t>
      </w:r>
      <w:r>
        <w:rPr>
          <w:sz w:val="24"/>
        </w:rPr>
        <w:t>sector</w:t>
      </w:r>
      <w:r>
        <w:rPr>
          <w:spacing w:val="-18"/>
          <w:sz w:val="24"/>
        </w:rPr>
        <w:t> </w:t>
      </w:r>
      <w:r>
        <w:rPr>
          <w:sz w:val="24"/>
        </w:rPr>
        <w:t>layout, at approved location, in all respect including amenities such as water supply, sewerage lines, electricity etc., the present occupiers of </w:t>
      </w:r>
      <w:r>
        <w:rPr>
          <w:sz w:val="24"/>
        </w:rPr>
        <w:t>the respective buildings, chawls, tenanted properties etc. of the concerned authorities</w:t>
      </w:r>
      <w:r>
        <w:rPr>
          <w:spacing w:val="-2"/>
          <w:sz w:val="24"/>
        </w:rPr>
        <w:t> </w:t>
      </w:r>
      <w:r>
        <w:rPr>
          <w:sz w:val="24"/>
        </w:rPr>
        <w:t>shall</w:t>
      </w:r>
      <w:r>
        <w:rPr>
          <w:spacing w:val="-2"/>
          <w:sz w:val="24"/>
        </w:rPr>
        <w:t> </w:t>
      </w:r>
      <w:r>
        <w:rPr>
          <w:sz w:val="24"/>
        </w:rPr>
        <w:t>be</w:t>
      </w:r>
      <w:r>
        <w:rPr>
          <w:spacing w:val="-4"/>
          <w:sz w:val="24"/>
        </w:rPr>
        <w:t> </w:t>
      </w:r>
      <w:r>
        <w:rPr>
          <w:sz w:val="24"/>
        </w:rPr>
        <w:t>shifted</w:t>
      </w:r>
      <w:r>
        <w:rPr>
          <w:spacing w:val="-2"/>
          <w:sz w:val="24"/>
        </w:rPr>
        <w:t> </w:t>
      </w:r>
      <w:r>
        <w:rPr>
          <w:sz w:val="24"/>
        </w:rPr>
        <w:t>to</w:t>
      </w:r>
      <w:r>
        <w:rPr>
          <w:spacing w:val="-2"/>
          <w:sz w:val="24"/>
        </w:rPr>
        <w:t> </w:t>
      </w:r>
      <w:r>
        <w:rPr>
          <w:sz w:val="24"/>
        </w:rPr>
        <w:t>their</w:t>
      </w:r>
      <w:r>
        <w:rPr>
          <w:spacing w:val="-2"/>
          <w:sz w:val="24"/>
        </w:rPr>
        <w:t> </w:t>
      </w:r>
      <w:r>
        <w:rPr>
          <w:sz w:val="24"/>
        </w:rPr>
        <w:t>respective</w:t>
      </w:r>
      <w:r>
        <w:rPr>
          <w:spacing w:val="-2"/>
          <w:sz w:val="24"/>
        </w:rPr>
        <w:t> </w:t>
      </w:r>
      <w:r>
        <w:rPr>
          <w:sz w:val="24"/>
        </w:rPr>
        <w:t>newly</w:t>
      </w:r>
      <w:r>
        <w:rPr>
          <w:spacing w:val="-2"/>
          <w:sz w:val="24"/>
        </w:rPr>
        <w:t> </w:t>
      </w:r>
      <w:r>
        <w:rPr>
          <w:sz w:val="24"/>
        </w:rPr>
        <w:t>built</w:t>
      </w:r>
      <w:r>
        <w:rPr>
          <w:spacing w:val="-2"/>
          <w:sz w:val="24"/>
        </w:rPr>
        <w:t> </w:t>
      </w:r>
      <w:r>
        <w:rPr>
          <w:sz w:val="24"/>
        </w:rPr>
        <w:t>tenements</w:t>
      </w:r>
      <w:r>
        <w:rPr>
          <w:spacing w:val="-2"/>
          <w:sz w:val="24"/>
        </w:rPr>
        <w:t> </w:t>
      </w:r>
      <w:r>
        <w:rPr>
          <w:sz w:val="24"/>
        </w:rPr>
        <w:t>as per the allotment to be finalized by the concerned authorities.</w:t>
      </w:r>
    </w:p>
    <w:p>
      <w:pPr>
        <w:pStyle w:val="ListParagraph"/>
        <w:numPr>
          <w:ilvl w:val="0"/>
          <w:numId w:val="169"/>
        </w:numPr>
        <w:tabs>
          <w:tab w:pos="2430" w:val="left" w:leader="none"/>
        </w:tabs>
        <w:spacing w:line="240" w:lineRule="auto" w:before="241" w:after="0"/>
        <w:ind w:left="2062" w:right="766" w:firstLine="0"/>
        <w:jc w:val="both"/>
        <w:rPr>
          <w:sz w:val="24"/>
        </w:rPr>
      </w:pPr>
      <w:r>
        <w:rPr>
          <w:sz w:val="24"/>
        </w:rPr>
        <w:t>An individual agreement shall be made by the Land-Owning Authority/SRA/the developer so appointed by DRP (SRA) with the eligible</w:t>
      </w:r>
      <w:r>
        <w:rPr>
          <w:spacing w:val="-3"/>
          <w:sz w:val="24"/>
        </w:rPr>
        <w:t> </w:t>
      </w:r>
      <w:r>
        <w:rPr>
          <w:sz w:val="24"/>
        </w:rPr>
        <w:t>occupier</w:t>
      </w:r>
      <w:r>
        <w:rPr>
          <w:spacing w:val="-3"/>
          <w:sz w:val="24"/>
        </w:rPr>
        <w:t> </w:t>
      </w:r>
      <w:r>
        <w:rPr>
          <w:sz w:val="24"/>
        </w:rPr>
        <w:t>of</w:t>
      </w:r>
      <w:r>
        <w:rPr>
          <w:spacing w:val="-3"/>
          <w:sz w:val="24"/>
        </w:rPr>
        <w:t> </w:t>
      </w:r>
      <w:r>
        <w:rPr>
          <w:sz w:val="24"/>
        </w:rPr>
        <w:t>each</w:t>
      </w:r>
      <w:r>
        <w:rPr>
          <w:spacing w:val="-3"/>
          <w:sz w:val="24"/>
        </w:rPr>
        <w:t> </w:t>
      </w:r>
      <w:r>
        <w:rPr>
          <w:sz w:val="24"/>
        </w:rPr>
        <w:t>tenement</w:t>
      </w:r>
      <w:r>
        <w:rPr>
          <w:spacing w:val="-3"/>
          <w:sz w:val="24"/>
        </w:rPr>
        <w:t> </w:t>
      </w:r>
      <w:r>
        <w:rPr>
          <w:sz w:val="24"/>
        </w:rPr>
        <w:t>/unit</w:t>
      </w:r>
      <w:r>
        <w:rPr>
          <w:spacing w:val="-3"/>
          <w:sz w:val="24"/>
        </w:rPr>
        <w:t> </w:t>
      </w:r>
      <w:r>
        <w:rPr>
          <w:sz w:val="24"/>
        </w:rPr>
        <w:t>in</w:t>
      </w:r>
      <w:r>
        <w:rPr>
          <w:spacing w:val="-3"/>
          <w:sz w:val="24"/>
        </w:rPr>
        <w:t> </w:t>
      </w:r>
      <w:r>
        <w:rPr>
          <w:sz w:val="24"/>
        </w:rPr>
        <w:t>the</w:t>
      </w:r>
      <w:r>
        <w:rPr>
          <w:spacing w:val="-3"/>
          <w:sz w:val="24"/>
        </w:rPr>
        <w:t> </w:t>
      </w:r>
      <w:r>
        <w:rPr>
          <w:sz w:val="24"/>
        </w:rPr>
        <w:t>joint</w:t>
      </w:r>
      <w:r>
        <w:rPr>
          <w:spacing w:val="-3"/>
          <w:sz w:val="24"/>
        </w:rPr>
        <w:t> </w:t>
      </w:r>
      <w:r>
        <w:rPr>
          <w:sz w:val="24"/>
        </w:rPr>
        <w:t>names</w:t>
      </w:r>
      <w:r>
        <w:rPr>
          <w:spacing w:val="-3"/>
          <w:sz w:val="24"/>
        </w:rPr>
        <w:t> </w:t>
      </w:r>
      <w:r>
        <w:rPr>
          <w:sz w:val="24"/>
        </w:rPr>
        <w:t>of</w:t>
      </w:r>
      <w:r>
        <w:rPr>
          <w:spacing w:val="-3"/>
          <w:sz w:val="24"/>
        </w:rPr>
        <w:t> </w:t>
      </w:r>
      <w:r>
        <w:rPr>
          <w:sz w:val="24"/>
        </w:rPr>
        <w:t>pramukh occupier and spouse for every structure on the renewal plots.</w:t>
      </w:r>
    </w:p>
    <w:p>
      <w:pPr>
        <w:pStyle w:val="ListParagraph"/>
        <w:numPr>
          <w:ilvl w:val="0"/>
          <w:numId w:val="169"/>
        </w:numPr>
        <w:tabs>
          <w:tab w:pos="2429" w:val="left" w:leader="none"/>
        </w:tabs>
        <w:spacing w:line="240" w:lineRule="auto" w:before="239" w:after="0"/>
        <w:ind w:left="2062" w:right="766" w:firstLine="0"/>
        <w:jc w:val="both"/>
        <w:rPr>
          <w:sz w:val="24"/>
        </w:rPr>
      </w:pPr>
      <w:r>
        <w:rPr>
          <w:sz w:val="24"/>
        </w:rPr>
        <w:t>Tenements having a differently abled person or female-headed households shall be given first preference in allotment of tenements. Thereafter lots shall be drawn for allotment of tenements from the remaining tenements to the other occupiers. 12)In respect of </w:t>
      </w:r>
      <w:r>
        <w:rPr>
          <w:sz w:val="24"/>
        </w:rPr>
        <w:t>those eligible occupiers on site who do not join the project willingly the provisions laid down under Regulation No.33</w:t>
      </w:r>
      <w:r>
        <w:rPr>
          <w:spacing w:val="40"/>
          <w:sz w:val="24"/>
        </w:rPr>
        <w:t> </w:t>
      </w:r>
      <w:r>
        <w:rPr>
          <w:sz w:val="24"/>
        </w:rPr>
        <w:t>(9) (A) and provisions of MHADA Act. 1977 shall be applicable.</w:t>
      </w:r>
    </w:p>
    <w:p>
      <w:pPr>
        <w:pStyle w:val="ListParagraph"/>
        <w:numPr>
          <w:ilvl w:val="0"/>
          <w:numId w:val="170"/>
        </w:numPr>
        <w:tabs>
          <w:tab w:pos="2429" w:val="left" w:leader="none"/>
        </w:tabs>
        <w:spacing w:line="240" w:lineRule="auto" w:before="241" w:after="0"/>
        <w:ind w:left="2062" w:right="767" w:firstLine="0"/>
        <w:jc w:val="both"/>
        <w:rPr>
          <w:sz w:val="24"/>
        </w:rPr>
      </w:pPr>
      <w:r>
        <w:rPr>
          <w:sz w:val="24"/>
        </w:rPr>
        <w:t>The Managing Committee of the proposed Co-operative housing society of occupants to be formed after allotment of reconstructed tenements shall have women to the extent of one-third of the total strength of actual members on the committee at any time.</w:t>
      </w:r>
    </w:p>
    <w:p>
      <w:pPr>
        <w:pStyle w:val="ListParagraph"/>
        <w:numPr>
          <w:ilvl w:val="0"/>
          <w:numId w:val="170"/>
        </w:numPr>
        <w:tabs>
          <w:tab w:pos="2429" w:val="left" w:leader="none"/>
        </w:tabs>
        <w:spacing w:line="240" w:lineRule="auto" w:before="242" w:after="0"/>
        <w:ind w:left="2062" w:right="768" w:firstLine="0"/>
        <w:jc w:val="both"/>
        <w:rPr>
          <w:sz w:val="24"/>
        </w:rPr>
      </w:pPr>
      <w:r>
        <w:rPr>
          <w:sz w:val="24"/>
        </w:rPr>
        <w:t>The tenement obtained under this scheme cannot be sold/leased/ assigned</w:t>
      </w:r>
      <w:r>
        <w:rPr>
          <w:spacing w:val="-10"/>
          <w:sz w:val="24"/>
        </w:rPr>
        <w:t> </w:t>
      </w:r>
      <w:r>
        <w:rPr>
          <w:sz w:val="24"/>
        </w:rPr>
        <w:t>or</w:t>
      </w:r>
      <w:r>
        <w:rPr>
          <w:spacing w:val="-10"/>
          <w:sz w:val="24"/>
        </w:rPr>
        <w:t> </w:t>
      </w:r>
      <w:r>
        <w:rPr>
          <w:sz w:val="24"/>
        </w:rPr>
        <w:t>transferred</w:t>
      </w:r>
      <w:r>
        <w:rPr>
          <w:spacing w:val="-10"/>
          <w:sz w:val="24"/>
        </w:rPr>
        <w:t> </w:t>
      </w:r>
      <w:r>
        <w:rPr>
          <w:sz w:val="24"/>
        </w:rPr>
        <w:t>in</w:t>
      </w:r>
      <w:r>
        <w:rPr>
          <w:spacing w:val="-10"/>
          <w:sz w:val="24"/>
        </w:rPr>
        <w:t> </w:t>
      </w:r>
      <w:r>
        <w:rPr>
          <w:sz w:val="24"/>
        </w:rPr>
        <w:t>any</w:t>
      </w:r>
      <w:r>
        <w:rPr>
          <w:spacing w:val="-10"/>
          <w:sz w:val="24"/>
        </w:rPr>
        <w:t> </w:t>
      </w:r>
      <w:r>
        <w:rPr>
          <w:sz w:val="24"/>
        </w:rPr>
        <w:t>manner</w:t>
      </w:r>
      <w:r>
        <w:rPr>
          <w:spacing w:val="-10"/>
          <w:sz w:val="24"/>
        </w:rPr>
        <w:t> </w:t>
      </w:r>
      <w:r>
        <w:rPr>
          <w:sz w:val="24"/>
        </w:rPr>
        <w:t>for</w:t>
      </w:r>
      <w:r>
        <w:rPr>
          <w:spacing w:val="-12"/>
          <w:sz w:val="24"/>
        </w:rPr>
        <w:t> </w:t>
      </w:r>
      <w:r>
        <w:rPr>
          <w:sz w:val="24"/>
        </w:rPr>
        <w:t>a</w:t>
      </w:r>
      <w:r>
        <w:rPr>
          <w:spacing w:val="-10"/>
          <w:sz w:val="24"/>
        </w:rPr>
        <w:t> </w:t>
      </w:r>
      <w:r>
        <w:rPr>
          <w:sz w:val="24"/>
        </w:rPr>
        <w:t>period</w:t>
      </w:r>
      <w:r>
        <w:rPr>
          <w:spacing w:val="-10"/>
          <w:sz w:val="24"/>
        </w:rPr>
        <w:t> </w:t>
      </w:r>
      <w:r>
        <w:rPr>
          <w:sz w:val="24"/>
        </w:rPr>
        <w:t>of</w:t>
      </w:r>
      <w:r>
        <w:rPr>
          <w:spacing w:val="-10"/>
          <w:sz w:val="24"/>
        </w:rPr>
        <w:t> </w:t>
      </w:r>
      <w:r>
        <w:rPr>
          <w:sz w:val="24"/>
        </w:rPr>
        <w:t>ten</w:t>
      </w:r>
      <w:r>
        <w:rPr>
          <w:spacing w:val="-10"/>
          <w:sz w:val="24"/>
        </w:rPr>
        <w:t> </w:t>
      </w:r>
      <w:r>
        <w:rPr>
          <w:sz w:val="24"/>
        </w:rPr>
        <w:t>years</w:t>
      </w:r>
      <w:r>
        <w:rPr>
          <w:spacing w:val="-12"/>
          <w:sz w:val="24"/>
        </w:rPr>
        <w:t> </w:t>
      </w:r>
      <w:r>
        <w:rPr>
          <w:sz w:val="24"/>
        </w:rPr>
        <w:t>from</w:t>
      </w:r>
      <w:r>
        <w:rPr>
          <w:spacing w:val="-10"/>
          <w:sz w:val="24"/>
        </w:rPr>
        <w:t> </w:t>
      </w:r>
      <w:r>
        <w:rPr>
          <w:sz w:val="24"/>
        </w:rPr>
        <w:t>the date of allotment/possession of the tenement.</w:t>
      </w:r>
      <w:r>
        <w:rPr>
          <w:spacing w:val="40"/>
          <w:sz w:val="24"/>
        </w:rPr>
        <w:t> </w:t>
      </w:r>
      <w:r>
        <w:rPr>
          <w:sz w:val="24"/>
        </w:rPr>
        <w:t>In case of breach of conditions,</w:t>
      </w:r>
      <w:r>
        <w:rPr>
          <w:spacing w:val="-10"/>
          <w:sz w:val="24"/>
        </w:rPr>
        <w:t> </w:t>
      </w:r>
      <w:r>
        <w:rPr>
          <w:sz w:val="24"/>
        </w:rPr>
        <w:t>except</w:t>
      </w:r>
      <w:r>
        <w:rPr>
          <w:spacing w:val="-10"/>
          <w:sz w:val="24"/>
        </w:rPr>
        <w:t> </w:t>
      </w:r>
      <w:r>
        <w:rPr>
          <w:sz w:val="24"/>
        </w:rPr>
        <w:t>transfer</w:t>
      </w:r>
      <w:r>
        <w:rPr>
          <w:spacing w:val="-10"/>
          <w:sz w:val="24"/>
        </w:rPr>
        <w:t> </w:t>
      </w:r>
      <w:r>
        <w:rPr>
          <w:sz w:val="24"/>
        </w:rPr>
        <w:t>to</w:t>
      </w:r>
      <w:r>
        <w:rPr>
          <w:spacing w:val="-10"/>
          <w:sz w:val="24"/>
        </w:rPr>
        <w:t> </w:t>
      </w:r>
      <w:r>
        <w:rPr>
          <w:sz w:val="24"/>
        </w:rPr>
        <w:t>legal</w:t>
      </w:r>
      <w:r>
        <w:rPr>
          <w:spacing w:val="-10"/>
          <w:sz w:val="24"/>
        </w:rPr>
        <w:t> </w:t>
      </w:r>
      <w:r>
        <w:rPr>
          <w:sz w:val="24"/>
        </w:rPr>
        <w:t>heir,</w:t>
      </w:r>
      <w:r>
        <w:rPr>
          <w:spacing w:val="-7"/>
          <w:sz w:val="24"/>
        </w:rPr>
        <w:t> </w:t>
      </w:r>
      <w:r>
        <w:rPr>
          <w:sz w:val="24"/>
        </w:rPr>
        <w:t>the</w:t>
      </w:r>
      <w:r>
        <w:rPr>
          <w:spacing w:val="-10"/>
          <w:sz w:val="24"/>
        </w:rPr>
        <w:t> </w:t>
      </w:r>
      <w:r>
        <w:rPr>
          <w:sz w:val="24"/>
        </w:rPr>
        <w:t>tenement</w:t>
      </w:r>
      <w:r>
        <w:rPr>
          <w:spacing w:val="-10"/>
          <w:sz w:val="24"/>
        </w:rPr>
        <w:t> </w:t>
      </w:r>
      <w:r>
        <w:rPr>
          <w:sz w:val="24"/>
        </w:rPr>
        <w:t>will</w:t>
      </w:r>
      <w:r>
        <w:rPr>
          <w:spacing w:val="-10"/>
          <w:sz w:val="24"/>
        </w:rPr>
        <w:t> </w:t>
      </w:r>
      <w:r>
        <w:rPr>
          <w:sz w:val="24"/>
        </w:rPr>
        <w:t>be</w:t>
      </w:r>
      <w:r>
        <w:rPr>
          <w:spacing w:val="-7"/>
          <w:sz w:val="24"/>
        </w:rPr>
        <w:t> </w:t>
      </w:r>
      <w:r>
        <w:rPr>
          <w:sz w:val="24"/>
        </w:rPr>
        <w:t>taken</w:t>
      </w:r>
      <w:r>
        <w:rPr>
          <w:spacing w:val="-10"/>
          <w:sz w:val="24"/>
        </w:rPr>
        <w:t> </w:t>
      </w:r>
      <w:r>
        <w:rPr>
          <w:sz w:val="24"/>
        </w:rPr>
        <w:t>over by DRP (SRA).</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0"/>
          <w:numId w:val="170"/>
        </w:numPr>
        <w:tabs>
          <w:tab w:pos="2429" w:val="left" w:leader="none"/>
        </w:tabs>
        <w:spacing w:line="240" w:lineRule="auto" w:before="249" w:after="0"/>
        <w:ind w:left="2062" w:right="767" w:firstLine="0"/>
        <w:jc w:val="both"/>
        <w:rPr>
          <w:sz w:val="24"/>
        </w:rPr>
      </w:pPr>
      <w:r>
        <w:rPr>
          <w:sz w:val="24"/>
        </w:rPr>
        <w:t>Building</w:t>
      </w:r>
      <w:r>
        <w:rPr>
          <w:spacing w:val="-16"/>
          <w:sz w:val="24"/>
        </w:rPr>
        <w:t> </w:t>
      </w:r>
      <w:r>
        <w:rPr>
          <w:sz w:val="24"/>
        </w:rPr>
        <w:t>permissions</w:t>
      </w:r>
      <w:r>
        <w:rPr>
          <w:spacing w:val="-16"/>
          <w:sz w:val="24"/>
        </w:rPr>
        <w:t> </w:t>
      </w:r>
      <w:r>
        <w:rPr>
          <w:sz w:val="24"/>
        </w:rPr>
        <w:t>for</w:t>
      </w:r>
      <w:r>
        <w:rPr>
          <w:spacing w:val="-16"/>
          <w:sz w:val="24"/>
        </w:rPr>
        <w:t> </w:t>
      </w:r>
      <w:r>
        <w:rPr>
          <w:sz w:val="24"/>
        </w:rPr>
        <w:t>the</w:t>
      </w:r>
      <w:r>
        <w:rPr>
          <w:spacing w:val="-16"/>
          <w:sz w:val="24"/>
        </w:rPr>
        <w:t> </w:t>
      </w:r>
      <w:r>
        <w:rPr>
          <w:sz w:val="24"/>
        </w:rPr>
        <w:t>Urban</w:t>
      </w:r>
      <w:r>
        <w:rPr>
          <w:spacing w:val="-16"/>
          <w:sz w:val="24"/>
        </w:rPr>
        <w:t> </w:t>
      </w:r>
      <w:r>
        <w:rPr>
          <w:sz w:val="24"/>
        </w:rPr>
        <w:t>Renewal</w:t>
      </w:r>
      <w:r>
        <w:rPr>
          <w:spacing w:val="-16"/>
          <w:sz w:val="24"/>
        </w:rPr>
        <w:t> </w:t>
      </w:r>
      <w:r>
        <w:rPr>
          <w:sz w:val="24"/>
        </w:rPr>
        <w:t>development</w:t>
      </w:r>
      <w:r>
        <w:rPr>
          <w:spacing w:val="-16"/>
          <w:sz w:val="24"/>
        </w:rPr>
        <w:t> </w:t>
      </w:r>
      <w:r>
        <w:rPr>
          <w:sz w:val="24"/>
        </w:rPr>
        <w:t>shall</w:t>
      </w:r>
      <w:r>
        <w:rPr>
          <w:spacing w:val="-16"/>
          <w:sz w:val="24"/>
        </w:rPr>
        <w:t> </w:t>
      </w:r>
      <w:r>
        <w:rPr>
          <w:sz w:val="24"/>
        </w:rPr>
        <w:t>be</w:t>
      </w:r>
      <w:r>
        <w:rPr>
          <w:spacing w:val="-16"/>
          <w:sz w:val="24"/>
        </w:rPr>
        <w:t> </w:t>
      </w:r>
      <w:r>
        <w:rPr>
          <w:sz w:val="24"/>
        </w:rPr>
        <w:t>as per the procedure laid down under clause no. 2.1 to 2.8 of Regulation No.33(10) A.</w:t>
      </w:r>
    </w:p>
    <w:p>
      <w:pPr>
        <w:pStyle w:val="ListParagraph"/>
        <w:numPr>
          <w:ilvl w:val="0"/>
          <w:numId w:val="170"/>
        </w:numPr>
        <w:tabs>
          <w:tab w:pos="2429" w:val="left" w:leader="none"/>
        </w:tabs>
        <w:spacing w:line="240" w:lineRule="auto" w:before="242" w:after="0"/>
        <w:ind w:left="2062" w:right="766" w:firstLine="0"/>
        <w:jc w:val="both"/>
        <w:rPr>
          <w:sz w:val="24"/>
        </w:rPr>
      </w:pPr>
      <w:r>
        <w:rPr>
          <w:sz w:val="24"/>
        </w:rPr>
        <w:t>Temporary transit accommodation shall be provided within DNA. If it</w:t>
      </w:r>
      <w:r>
        <w:rPr>
          <w:spacing w:val="-20"/>
          <w:sz w:val="24"/>
        </w:rPr>
        <w:t> </w:t>
      </w:r>
      <w:r>
        <w:rPr>
          <w:sz w:val="24"/>
        </w:rPr>
        <w:t>falls</w:t>
      </w:r>
      <w:r>
        <w:rPr>
          <w:spacing w:val="-19"/>
          <w:sz w:val="24"/>
        </w:rPr>
        <w:t> </w:t>
      </w:r>
      <w:r>
        <w:rPr>
          <w:sz w:val="24"/>
        </w:rPr>
        <w:t>on</w:t>
      </w:r>
      <w:r>
        <w:rPr>
          <w:spacing w:val="-19"/>
          <w:sz w:val="24"/>
        </w:rPr>
        <w:t> </w:t>
      </w:r>
      <w:r>
        <w:rPr>
          <w:sz w:val="24"/>
        </w:rPr>
        <w:t>the</w:t>
      </w:r>
      <w:r>
        <w:rPr>
          <w:spacing w:val="-19"/>
          <w:sz w:val="24"/>
        </w:rPr>
        <w:t> </w:t>
      </w:r>
      <w:r>
        <w:rPr>
          <w:sz w:val="24"/>
        </w:rPr>
        <w:t>area</w:t>
      </w:r>
      <w:r>
        <w:rPr>
          <w:spacing w:val="-19"/>
          <w:sz w:val="24"/>
        </w:rPr>
        <w:t> </w:t>
      </w:r>
      <w:r>
        <w:rPr>
          <w:sz w:val="24"/>
        </w:rPr>
        <w:t>of</w:t>
      </w:r>
      <w:r>
        <w:rPr>
          <w:spacing w:val="-20"/>
          <w:sz w:val="24"/>
        </w:rPr>
        <w:t> </w:t>
      </w:r>
      <w:r>
        <w:rPr>
          <w:sz w:val="24"/>
        </w:rPr>
        <w:t>amenity</w:t>
      </w:r>
      <w:r>
        <w:rPr>
          <w:spacing w:val="-19"/>
          <w:sz w:val="24"/>
        </w:rPr>
        <w:t> </w:t>
      </w:r>
      <w:r>
        <w:rPr>
          <w:sz w:val="24"/>
        </w:rPr>
        <w:t>open</w:t>
      </w:r>
      <w:r>
        <w:rPr>
          <w:spacing w:val="-19"/>
          <w:sz w:val="24"/>
        </w:rPr>
        <w:t> </w:t>
      </w:r>
      <w:r>
        <w:rPr>
          <w:sz w:val="24"/>
        </w:rPr>
        <w:t>space</w:t>
      </w:r>
      <w:r>
        <w:rPr>
          <w:spacing w:val="-19"/>
          <w:sz w:val="24"/>
        </w:rPr>
        <w:t> </w:t>
      </w:r>
      <w:r>
        <w:rPr>
          <w:sz w:val="24"/>
        </w:rPr>
        <w:t>excluding</w:t>
      </w:r>
      <w:r>
        <w:rPr>
          <w:spacing w:val="-19"/>
          <w:sz w:val="24"/>
        </w:rPr>
        <w:t> </w:t>
      </w:r>
      <w:r>
        <w:rPr>
          <w:sz w:val="24"/>
        </w:rPr>
        <w:t>D</w:t>
      </w:r>
      <w:r>
        <w:rPr>
          <w:spacing w:val="-20"/>
          <w:sz w:val="24"/>
        </w:rPr>
        <w:t> </w:t>
      </w:r>
      <w:r>
        <w:rPr>
          <w:sz w:val="24"/>
        </w:rPr>
        <w:t>P</w:t>
      </w:r>
      <w:r>
        <w:rPr>
          <w:spacing w:val="-19"/>
          <w:sz w:val="24"/>
        </w:rPr>
        <w:t> </w:t>
      </w:r>
      <w:r>
        <w:rPr>
          <w:sz w:val="24"/>
        </w:rPr>
        <w:t>road/open</w:t>
      </w:r>
      <w:r>
        <w:rPr>
          <w:spacing w:val="-19"/>
          <w:sz w:val="24"/>
        </w:rPr>
        <w:t> </w:t>
      </w:r>
      <w:r>
        <w:rPr>
          <w:sz w:val="24"/>
        </w:rPr>
        <w:t>space reservation in accordance with the procedure laid down underRegulation No. 4 of 33(10) (A).</w:t>
      </w:r>
    </w:p>
    <w:p>
      <w:pPr>
        <w:pStyle w:val="ListParagraph"/>
        <w:numPr>
          <w:ilvl w:val="0"/>
          <w:numId w:val="170"/>
        </w:numPr>
        <w:tabs>
          <w:tab w:pos="2430" w:val="left" w:leader="none"/>
        </w:tabs>
        <w:spacing w:line="240" w:lineRule="auto" w:before="239" w:after="0"/>
        <w:ind w:left="2062" w:right="770" w:firstLine="0"/>
        <w:jc w:val="both"/>
        <w:rPr>
          <w:sz w:val="24"/>
        </w:rPr>
      </w:pPr>
      <w:r>
        <w:rPr>
          <w:spacing w:val="-2"/>
          <w:sz w:val="24"/>
        </w:rPr>
        <w:t>Relaxation</w:t>
      </w:r>
      <w:r>
        <w:rPr>
          <w:spacing w:val="-10"/>
          <w:sz w:val="24"/>
        </w:rPr>
        <w:t> </w:t>
      </w:r>
      <w:r>
        <w:rPr>
          <w:spacing w:val="-2"/>
          <w:sz w:val="24"/>
        </w:rPr>
        <w:t>in</w:t>
      </w:r>
      <w:r>
        <w:rPr>
          <w:spacing w:val="-10"/>
          <w:sz w:val="24"/>
        </w:rPr>
        <w:t> </w:t>
      </w:r>
      <w:r>
        <w:rPr>
          <w:spacing w:val="-2"/>
          <w:sz w:val="24"/>
        </w:rPr>
        <w:t>building</w:t>
      </w:r>
      <w:r>
        <w:rPr>
          <w:spacing w:val="-10"/>
          <w:sz w:val="24"/>
        </w:rPr>
        <w:t> </w:t>
      </w:r>
      <w:r>
        <w:rPr>
          <w:spacing w:val="-2"/>
          <w:sz w:val="24"/>
        </w:rPr>
        <w:t>and</w:t>
      </w:r>
      <w:r>
        <w:rPr>
          <w:spacing w:val="-10"/>
          <w:sz w:val="24"/>
        </w:rPr>
        <w:t> </w:t>
      </w:r>
      <w:r>
        <w:rPr>
          <w:spacing w:val="-2"/>
          <w:sz w:val="24"/>
        </w:rPr>
        <w:t>other</w:t>
      </w:r>
      <w:r>
        <w:rPr>
          <w:spacing w:val="-10"/>
          <w:sz w:val="24"/>
        </w:rPr>
        <w:t> </w:t>
      </w:r>
      <w:r>
        <w:rPr>
          <w:spacing w:val="-2"/>
          <w:sz w:val="24"/>
        </w:rPr>
        <w:t>requirements</w:t>
      </w:r>
      <w:r>
        <w:rPr>
          <w:spacing w:val="-10"/>
          <w:sz w:val="24"/>
        </w:rPr>
        <w:t> </w:t>
      </w:r>
      <w:r>
        <w:rPr>
          <w:spacing w:val="-2"/>
          <w:sz w:val="24"/>
        </w:rPr>
        <w:t>for</w:t>
      </w:r>
      <w:r>
        <w:rPr>
          <w:spacing w:val="-10"/>
          <w:sz w:val="24"/>
        </w:rPr>
        <w:t> </w:t>
      </w:r>
      <w:r>
        <w:rPr>
          <w:spacing w:val="-2"/>
          <w:sz w:val="24"/>
        </w:rPr>
        <w:t>the</w:t>
      </w:r>
      <w:r>
        <w:rPr>
          <w:spacing w:val="-10"/>
          <w:sz w:val="24"/>
        </w:rPr>
        <w:t> </w:t>
      </w:r>
      <w:r>
        <w:rPr>
          <w:spacing w:val="-2"/>
          <w:sz w:val="24"/>
        </w:rPr>
        <w:t>Urban</w:t>
      </w:r>
      <w:r>
        <w:rPr>
          <w:spacing w:val="-10"/>
          <w:sz w:val="24"/>
        </w:rPr>
        <w:t> </w:t>
      </w:r>
      <w:r>
        <w:rPr>
          <w:spacing w:val="-2"/>
          <w:sz w:val="24"/>
        </w:rPr>
        <w:t>Renewal </w:t>
      </w:r>
      <w:r>
        <w:rPr>
          <w:sz w:val="24"/>
        </w:rPr>
        <w:t>development shall be as per the provisions laid down under clause no.</w:t>
      </w:r>
    </w:p>
    <w:p>
      <w:pPr>
        <w:pStyle w:val="BodyText"/>
        <w:ind w:left="2062"/>
      </w:pPr>
      <w:r>
        <w:rPr/>
        <w:t>6.1</w:t>
      </w:r>
      <w:r>
        <w:rPr>
          <w:spacing w:val="-5"/>
        </w:rPr>
        <w:t> </w:t>
      </w:r>
      <w:r>
        <w:rPr/>
        <w:t>to</w:t>
      </w:r>
      <w:r>
        <w:rPr>
          <w:spacing w:val="-2"/>
        </w:rPr>
        <w:t> </w:t>
      </w:r>
      <w:r>
        <w:rPr/>
        <w:t>6.17</w:t>
      </w:r>
      <w:r>
        <w:rPr>
          <w:spacing w:val="-2"/>
        </w:rPr>
        <w:t> </w:t>
      </w:r>
      <w:r>
        <w:rPr/>
        <w:t>of</w:t>
      </w:r>
      <w:r>
        <w:rPr>
          <w:spacing w:val="-2"/>
        </w:rPr>
        <w:t> </w:t>
      </w:r>
      <w:r>
        <w:rPr/>
        <w:t>Regulation</w:t>
      </w:r>
      <w:r>
        <w:rPr>
          <w:spacing w:val="-2"/>
        </w:rPr>
        <w:t> </w:t>
      </w:r>
      <w:r>
        <w:rPr/>
        <w:t>No.</w:t>
      </w:r>
      <w:r>
        <w:rPr>
          <w:spacing w:val="-2"/>
        </w:rPr>
        <w:t> </w:t>
      </w:r>
      <w:r>
        <w:rPr/>
        <w:t>33(10)</w:t>
      </w:r>
      <w:r>
        <w:rPr>
          <w:spacing w:val="-2"/>
        </w:rPr>
        <w:t> </w:t>
      </w:r>
      <w:r>
        <w:rPr>
          <w:spacing w:val="-4"/>
        </w:rPr>
        <w:t>(A).</w:t>
      </w:r>
    </w:p>
    <w:p>
      <w:pPr>
        <w:pStyle w:val="ListParagraph"/>
        <w:numPr>
          <w:ilvl w:val="0"/>
          <w:numId w:val="170"/>
        </w:numPr>
        <w:tabs>
          <w:tab w:pos="2429" w:val="left" w:leader="none"/>
        </w:tabs>
        <w:spacing w:line="240" w:lineRule="auto" w:before="240" w:after="0"/>
        <w:ind w:left="2062" w:right="773" w:firstLine="0"/>
        <w:jc w:val="both"/>
        <w:rPr>
          <w:sz w:val="24"/>
        </w:rPr>
      </w:pPr>
      <w:r>
        <w:rPr>
          <w:sz w:val="24"/>
        </w:rPr>
        <w:t>Urban Renewal Development and DP Reservations shall be as per the provisions laid down under clause no. 7.1 to 7.9 of Regulation No.33(10) A.</w:t>
      </w:r>
    </w:p>
    <w:p>
      <w:pPr>
        <w:pStyle w:val="ListParagraph"/>
        <w:numPr>
          <w:ilvl w:val="0"/>
          <w:numId w:val="170"/>
        </w:numPr>
        <w:tabs>
          <w:tab w:pos="2574" w:val="left" w:leader="none"/>
        </w:tabs>
        <w:spacing w:line="240" w:lineRule="auto" w:before="240" w:after="0"/>
        <w:ind w:left="2062" w:right="766" w:firstLine="76"/>
        <w:jc w:val="both"/>
        <w:rPr>
          <w:sz w:val="24"/>
        </w:rPr>
      </w:pPr>
      <w:r>
        <w:rPr>
          <w:i/>
          <w:sz w:val="24"/>
        </w:rPr>
        <w:t>The</w:t>
      </w:r>
      <w:r>
        <w:rPr>
          <w:i/>
          <w:spacing w:val="-8"/>
          <w:sz w:val="24"/>
        </w:rPr>
        <w:t> </w:t>
      </w:r>
      <w:r>
        <w:rPr>
          <w:sz w:val="24"/>
        </w:rPr>
        <w:t>concerned</w:t>
      </w:r>
      <w:r>
        <w:rPr>
          <w:spacing w:val="-11"/>
          <w:sz w:val="24"/>
        </w:rPr>
        <w:t> </w:t>
      </w:r>
      <w:r>
        <w:rPr>
          <w:sz w:val="24"/>
        </w:rPr>
        <w:t>land</w:t>
      </w:r>
      <w:r>
        <w:rPr>
          <w:spacing w:val="-11"/>
          <w:sz w:val="24"/>
        </w:rPr>
        <w:t> </w:t>
      </w:r>
      <w:r>
        <w:rPr>
          <w:sz w:val="24"/>
        </w:rPr>
        <w:t>owning</w:t>
      </w:r>
      <w:r>
        <w:rPr>
          <w:spacing w:val="-11"/>
          <w:sz w:val="24"/>
        </w:rPr>
        <w:t> </w:t>
      </w:r>
      <w:r>
        <w:rPr>
          <w:sz w:val="24"/>
        </w:rPr>
        <w:t>authority</w:t>
      </w:r>
      <w:r>
        <w:rPr>
          <w:spacing w:val="-11"/>
          <w:sz w:val="24"/>
        </w:rPr>
        <w:t> </w:t>
      </w:r>
      <w:r>
        <w:rPr>
          <w:sz w:val="24"/>
        </w:rPr>
        <w:t>shall</w:t>
      </w:r>
      <w:r>
        <w:rPr>
          <w:spacing w:val="-11"/>
          <w:sz w:val="24"/>
        </w:rPr>
        <w:t> </w:t>
      </w:r>
      <w:r>
        <w:rPr>
          <w:sz w:val="24"/>
        </w:rPr>
        <w:t>give</w:t>
      </w:r>
      <w:r>
        <w:rPr>
          <w:spacing w:val="-13"/>
          <w:sz w:val="24"/>
        </w:rPr>
        <w:t> </w:t>
      </w:r>
      <w:r>
        <w:rPr>
          <w:sz w:val="24"/>
        </w:rPr>
        <w:t>DRs</w:t>
      </w:r>
      <w:r>
        <w:rPr>
          <w:spacing w:val="-10"/>
          <w:sz w:val="24"/>
        </w:rPr>
        <w:t> </w:t>
      </w:r>
      <w:r>
        <w:rPr>
          <w:sz w:val="24"/>
        </w:rPr>
        <w:t>of</w:t>
      </w:r>
      <w:r>
        <w:rPr>
          <w:spacing w:val="-11"/>
          <w:sz w:val="24"/>
        </w:rPr>
        <w:t> </w:t>
      </w:r>
      <w:r>
        <w:rPr>
          <w:sz w:val="24"/>
        </w:rPr>
        <w:t>their</w:t>
      </w:r>
      <w:r>
        <w:rPr>
          <w:spacing w:val="-11"/>
          <w:sz w:val="24"/>
        </w:rPr>
        <w:t> </w:t>
      </w:r>
      <w:r>
        <w:rPr>
          <w:sz w:val="24"/>
        </w:rPr>
        <w:t>land</w:t>
      </w:r>
      <w:r>
        <w:rPr>
          <w:spacing w:val="-11"/>
          <w:sz w:val="24"/>
        </w:rPr>
        <w:t> </w:t>
      </w:r>
      <w:r>
        <w:rPr>
          <w:sz w:val="24"/>
        </w:rPr>
        <w:t>to DRP (SRA) in lieu of 70% of net premium that is payable by the developers, proportionate to the RRC generated on the said land.</w:t>
      </w:r>
      <w:r>
        <w:rPr>
          <w:spacing w:val="40"/>
          <w:sz w:val="24"/>
        </w:rPr>
        <w:t> </w:t>
      </w:r>
      <w:r>
        <w:rPr>
          <w:sz w:val="24"/>
        </w:rPr>
        <w:t>In case project is to be undertaken by Public Authority, the premium payable shall be as decided by the Government.</w:t>
      </w:r>
    </w:p>
    <w:p>
      <w:pPr>
        <w:pStyle w:val="ListParagraph"/>
        <w:numPr>
          <w:ilvl w:val="0"/>
          <w:numId w:val="170"/>
        </w:numPr>
        <w:tabs>
          <w:tab w:pos="2429" w:val="left" w:leader="none"/>
        </w:tabs>
        <w:spacing w:line="240" w:lineRule="auto" w:before="240" w:after="0"/>
        <w:ind w:left="2062" w:right="767" w:firstLine="0"/>
        <w:jc w:val="both"/>
        <w:rPr>
          <w:sz w:val="24"/>
        </w:rPr>
      </w:pPr>
      <w:r>
        <w:rPr>
          <w:sz w:val="24"/>
        </w:rPr>
        <w:t>Ownership and Terms of lease –</w:t>
      </w:r>
      <w:r>
        <w:rPr>
          <w:spacing w:val="-2"/>
          <w:sz w:val="24"/>
        </w:rPr>
        <w:t> </w:t>
      </w:r>
      <w:r>
        <w:rPr>
          <w:sz w:val="24"/>
        </w:rPr>
        <w:t>If land on which the RRC of DRP is to be constructed is part of Govt./MCGM/MHADA/MMRDA/Any Undertaking</w:t>
      </w:r>
      <w:r>
        <w:rPr>
          <w:spacing w:val="-13"/>
          <w:sz w:val="24"/>
        </w:rPr>
        <w:t> </w:t>
      </w:r>
      <w:r>
        <w:rPr>
          <w:sz w:val="24"/>
        </w:rPr>
        <w:t>land,</w:t>
      </w:r>
      <w:r>
        <w:rPr>
          <w:spacing w:val="-13"/>
          <w:sz w:val="24"/>
        </w:rPr>
        <w:t> </w:t>
      </w:r>
      <w:r>
        <w:rPr>
          <w:sz w:val="24"/>
        </w:rPr>
        <w:t>the</w:t>
      </w:r>
      <w:r>
        <w:rPr>
          <w:spacing w:val="-13"/>
          <w:sz w:val="24"/>
        </w:rPr>
        <w:t> </w:t>
      </w:r>
      <w:r>
        <w:rPr>
          <w:sz w:val="24"/>
        </w:rPr>
        <w:t>same</w:t>
      </w:r>
      <w:r>
        <w:rPr>
          <w:spacing w:val="-13"/>
          <w:sz w:val="24"/>
        </w:rPr>
        <w:t> </w:t>
      </w:r>
      <w:r>
        <w:rPr>
          <w:sz w:val="24"/>
        </w:rPr>
        <w:t>shall</w:t>
      </w:r>
      <w:r>
        <w:rPr>
          <w:spacing w:val="-13"/>
          <w:sz w:val="24"/>
        </w:rPr>
        <w:t> </w:t>
      </w:r>
      <w:r>
        <w:rPr>
          <w:sz w:val="24"/>
        </w:rPr>
        <w:t>be</w:t>
      </w:r>
      <w:r>
        <w:rPr>
          <w:spacing w:val="-11"/>
          <w:sz w:val="24"/>
        </w:rPr>
        <w:t> </w:t>
      </w:r>
      <w:r>
        <w:rPr>
          <w:sz w:val="24"/>
        </w:rPr>
        <w:t>leased</w:t>
      </w:r>
      <w:r>
        <w:rPr>
          <w:spacing w:val="-13"/>
          <w:sz w:val="24"/>
        </w:rPr>
        <w:t> </w:t>
      </w:r>
      <w:r>
        <w:rPr>
          <w:sz w:val="24"/>
        </w:rPr>
        <w:t>to</w:t>
      </w:r>
      <w:r>
        <w:rPr>
          <w:spacing w:val="-13"/>
          <w:sz w:val="24"/>
        </w:rPr>
        <w:t> </w:t>
      </w:r>
      <w:r>
        <w:rPr>
          <w:sz w:val="24"/>
        </w:rPr>
        <w:t>the</w:t>
      </w:r>
      <w:r>
        <w:rPr>
          <w:spacing w:val="-13"/>
          <w:sz w:val="24"/>
        </w:rPr>
        <w:t> </w:t>
      </w:r>
      <w:r>
        <w:rPr>
          <w:sz w:val="24"/>
        </w:rPr>
        <w:t>Co-operative</w:t>
      </w:r>
      <w:r>
        <w:rPr>
          <w:spacing w:val="-11"/>
          <w:sz w:val="24"/>
        </w:rPr>
        <w:t> </w:t>
      </w:r>
      <w:r>
        <w:rPr>
          <w:sz w:val="24"/>
        </w:rPr>
        <w:t>Housing Society of the occupants on 30 years’ lease with a rent as decided by GoM</w:t>
      </w:r>
      <w:r>
        <w:rPr>
          <w:spacing w:val="-7"/>
          <w:sz w:val="24"/>
        </w:rPr>
        <w:t> </w:t>
      </w:r>
      <w:r>
        <w:rPr>
          <w:sz w:val="24"/>
        </w:rPr>
        <w:t>from</w:t>
      </w:r>
      <w:r>
        <w:rPr>
          <w:spacing w:val="-7"/>
          <w:sz w:val="24"/>
        </w:rPr>
        <w:t> </w:t>
      </w:r>
      <w:r>
        <w:rPr>
          <w:sz w:val="24"/>
        </w:rPr>
        <w:t>time</w:t>
      </w:r>
      <w:r>
        <w:rPr>
          <w:spacing w:val="-7"/>
          <w:sz w:val="24"/>
        </w:rPr>
        <w:t> </w:t>
      </w:r>
      <w:r>
        <w:rPr>
          <w:sz w:val="24"/>
        </w:rPr>
        <w:t>to</w:t>
      </w:r>
      <w:r>
        <w:rPr>
          <w:spacing w:val="-7"/>
          <w:sz w:val="24"/>
        </w:rPr>
        <w:t> </w:t>
      </w:r>
      <w:r>
        <w:rPr>
          <w:sz w:val="24"/>
        </w:rPr>
        <w:t>time</w:t>
      </w:r>
      <w:r>
        <w:rPr>
          <w:spacing w:val="-6"/>
          <w:sz w:val="24"/>
        </w:rPr>
        <w:t> </w:t>
      </w:r>
      <w:r>
        <w:rPr>
          <w:sz w:val="24"/>
        </w:rPr>
        <w:t>and</w:t>
      </w:r>
      <w:r>
        <w:rPr>
          <w:spacing w:val="-7"/>
          <w:sz w:val="24"/>
        </w:rPr>
        <w:t> </w:t>
      </w:r>
      <w:r>
        <w:rPr>
          <w:sz w:val="24"/>
        </w:rPr>
        <w:t>shall</w:t>
      </w:r>
      <w:r>
        <w:rPr>
          <w:spacing w:val="-7"/>
          <w:sz w:val="24"/>
        </w:rPr>
        <w:t> </w:t>
      </w:r>
      <w:r>
        <w:rPr>
          <w:sz w:val="24"/>
        </w:rPr>
        <w:t>be</w:t>
      </w:r>
      <w:r>
        <w:rPr>
          <w:spacing w:val="-7"/>
          <w:sz w:val="24"/>
        </w:rPr>
        <w:t> </w:t>
      </w:r>
      <w:r>
        <w:rPr>
          <w:sz w:val="24"/>
        </w:rPr>
        <w:t>renewable</w:t>
      </w:r>
      <w:r>
        <w:rPr>
          <w:spacing w:val="-7"/>
          <w:sz w:val="24"/>
        </w:rPr>
        <w:t> </w:t>
      </w:r>
      <w:r>
        <w:rPr>
          <w:sz w:val="24"/>
        </w:rPr>
        <w:t>for</w:t>
      </w:r>
      <w:r>
        <w:rPr>
          <w:spacing w:val="-7"/>
          <w:sz w:val="24"/>
        </w:rPr>
        <w:t> </w:t>
      </w:r>
      <w:r>
        <w:rPr>
          <w:sz w:val="24"/>
        </w:rPr>
        <w:t>a</w:t>
      </w:r>
      <w:r>
        <w:rPr>
          <w:spacing w:val="-7"/>
          <w:sz w:val="24"/>
        </w:rPr>
        <w:t> </w:t>
      </w:r>
      <w:r>
        <w:rPr>
          <w:sz w:val="24"/>
        </w:rPr>
        <w:t>further</w:t>
      </w:r>
      <w:r>
        <w:rPr>
          <w:spacing w:val="-7"/>
          <w:sz w:val="24"/>
        </w:rPr>
        <w:t> </w:t>
      </w:r>
      <w:r>
        <w:rPr>
          <w:sz w:val="24"/>
        </w:rPr>
        <w:t>period</w:t>
      </w:r>
      <w:r>
        <w:rPr>
          <w:spacing w:val="-7"/>
          <w:sz w:val="24"/>
        </w:rPr>
        <w:t> </w:t>
      </w:r>
      <w:r>
        <w:rPr>
          <w:sz w:val="24"/>
        </w:rPr>
        <w:t>of</w:t>
      </w:r>
      <w:r>
        <w:rPr>
          <w:spacing w:val="-7"/>
          <w:sz w:val="24"/>
        </w:rPr>
        <w:t> </w:t>
      </w:r>
      <w:r>
        <w:rPr>
          <w:sz w:val="24"/>
        </w:rPr>
        <w:t>30 years.</w:t>
      </w:r>
      <w:r>
        <w:rPr>
          <w:spacing w:val="40"/>
          <w:sz w:val="24"/>
        </w:rPr>
        <w:t> </w:t>
      </w:r>
      <w:r>
        <w:rPr>
          <w:sz w:val="24"/>
        </w:rPr>
        <w:t>The same conditions shall prevail for land under the free sale component and the land shall be leased directly to the Society/Association of the purchasers in the free sale component and not through the society of renewal rehab occupants.</w:t>
      </w:r>
    </w:p>
    <w:p>
      <w:pPr>
        <w:pStyle w:val="ListParagraph"/>
        <w:numPr>
          <w:ilvl w:val="0"/>
          <w:numId w:val="170"/>
        </w:numPr>
        <w:tabs>
          <w:tab w:pos="2429" w:val="left" w:leader="none"/>
        </w:tabs>
        <w:spacing w:line="240" w:lineRule="auto" w:before="241" w:after="0"/>
        <w:ind w:left="2062" w:right="766" w:firstLine="0"/>
        <w:jc w:val="both"/>
        <w:rPr>
          <w:sz w:val="24"/>
        </w:rPr>
      </w:pPr>
      <w:r>
        <w:rPr>
          <w:sz w:val="24"/>
        </w:rPr>
        <w:t>As soon as the approval is given to the Project, the no objection certificate</w:t>
      </w:r>
      <w:r>
        <w:rPr>
          <w:spacing w:val="-7"/>
          <w:sz w:val="24"/>
        </w:rPr>
        <w:t> </w:t>
      </w:r>
      <w:r>
        <w:rPr>
          <w:sz w:val="24"/>
        </w:rPr>
        <w:t>for</w:t>
      </w:r>
      <w:r>
        <w:rPr>
          <w:spacing w:val="-7"/>
          <w:sz w:val="24"/>
        </w:rPr>
        <w:t> </w:t>
      </w:r>
      <w:r>
        <w:rPr>
          <w:sz w:val="24"/>
        </w:rPr>
        <w:t>building</w:t>
      </w:r>
      <w:r>
        <w:rPr>
          <w:spacing w:val="-7"/>
          <w:sz w:val="24"/>
        </w:rPr>
        <w:t> </w:t>
      </w:r>
      <w:r>
        <w:rPr>
          <w:sz w:val="24"/>
        </w:rPr>
        <w:t>permission</w:t>
      </w:r>
      <w:r>
        <w:rPr>
          <w:spacing w:val="-7"/>
          <w:sz w:val="24"/>
        </w:rPr>
        <w:t> </w:t>
      </w:r>
      <w:r>
        <w:rPr>
          <w:sz w:val="24"/>
        </w:rPr>
        <w:t>of</w:t>
      </w:r>
      <w:r>
        <w:rPr>
          <w:spacing w:val="-7"/>
          <w:sz w:val="24"/>
        </w:rPr>
        <w:t> </w:t>
      </w:r>
      <w:r>
        <w:rPr>
          <w:sz w:val="24"/>
        </w:rPr>
        <w:t>the</w:t>
      </w:r>
      <w:r>
        <w:rPr>
          <w:spacing w:val="-5"/>
          <w:sz w:val="24"/>
        </w:rPr>
        <w:t> </w:t>
      </w:r>
      <w:r>
        <w:rPr>
          <w:sz w:val="24"/>
        </w:rPr>
        <w:t>land-owning</w:t>
      </w:r>
      <w:r>
        <w:rPr>
          <w:spacing w:val="-7"/>
          <w:sz w:val="24"/>
        </w:rPr>
        <w:t> </w:t>
      </w:r>
      <w:r>
        <w:rPr>
          <w:sz w:val="24"/>
        </w:rPr>
        <w:t>authority</w:t>
      </w:r>
      <w:r>
        <w:rPr>
          <w:spacing w:val="-7"/>
          <w:sz w:val="24"/>
        </w:rPr>
        <w:t> </w:t>
      </w:r>
      <w:r>
        <w:rPr>
          <w:sz w:val="24"/>
        </w:rPr>
        <w:t>shall</w:t>
      </w:r>
      <w:r>
        <w:rPr>
          <w:spacing w:val="-7"/>
          <w:sz w:val="24"/>
        </w:rPr>
        <w:t> </w:t>
      </w:r>
      <w:r>
        <w:rPr>
          <w:sz w:val="24"/>
        </w:rPr>
        <w:t>be given in respect of that property to be developed under this Urban Renewal Scheme on lands belonging to any department, undertaking, agency of the State Government including MHADA, or any local self – Government</w:t>
      </w:r>
      <w:r>
        <w:rPr>
          <w:spacing w:val="-16"/>
          <w:sz w:val="24"/>
        </w:rPr>
        <w:t> </w:t>
      </w:r>
      <w:r>
        <w:rPr>
          <w:sz w:val="24"/>
        </w:rPr>
        <w:t>such</w:t>
      </w:r>
      <w:r>
        <w:rPr>
          <w:spacing w:val="-16"/>
          <w:sz w:val="24"/>
        </w:rPr>
        <w:t> </w:t>
      </w:r>
      <w:r>
        <w:rPr>
          <w:sz w:val="24"/>
        </w:rPr>
        <w:t>as</w:t>
      </w:r>
      <w:r>
        <w:rPr>
          <w:spacing w:val="-16"/>
          <w:sz w:val="24"/>
        </w:rPr>
        <w:t> </w:t>
      </w:r>
      <w:r>
        <w:rPr>
          <w:sz w:val="24"/>
        </w:rPr>
        <w:t>the</w:t>
      </w:r>
      <w:r>
        <w:rPr>
          <w:spacing w:val="-16"/>
          <w:sz w:val="24"/>
        </w:rPr>
        <w:t> </w:t>
      </w:r>
      <w:r>
        <w:rPr>
          <w:sz w:val="24"/>
        </w:rPr>
        <w:t>Municipal</w:t>
      </w:r>
      <w:r>
        <w:rPr>
          <w:spacing w:val="-16"/>
          <w:sz w:val="24"/>
        </w:rPr>
        <w:t> </w:t>
      </w:r>
      <w:r>
        <w:rPr>
          <w:sz w:val="24"/>
        </w:rPr>
        <w:t>Corporation</w:t>
      </w:r>
      <w:r>
        <w:rPr>
          <w:spacing w:val="-16"/>
          <w:sz w:val="24"/>
        </w:rPr>
        <w:t> </w:t>
      </w:r>
      <w:r>
        <w:rPr>
          <w:sz w:val="24"/>
        </w:rPr>
        <w:t>within</w:t>
      </w:r>
      <w:r>
        <w:rPr>
          <w:spacing w:val="-10"/>
          <w:sz w:val="24"/>
        </w:rPr>
        <w:t> </w:t>
      </w:r>
      <w:r>
        <w:rPr>
          <w:b/>
          <w:sz w:val="24"/>
        </w:rPr>
        <w:t>60days</w:t>
      </w:r>
      <w:r>
        <w:rPr>
          <w:b/>
          <w:spacing w:val="-17"/>
          <w:sz w:val="24"/>
        </w:rPr>
        <w:t> </w:t>
      </w:r>
      <w:r>
        <w:rPr>
          <w:sz w:val="24"/>
        </w:rPr>
        <w:t>after</w:t>
      </w:r>
      <w:r>
        <w:rPr>
          <w:spacing w:val="-16"/>
          <w:sz w:val="24"/>
        </w:rPr>
        <w:t> </w:t>
      </w:r>
      <w:r>
        <w:rPr>
          <w:sz w:val="24"/>
        </w:rPr>
        <w:t>the intimation</w:t>
      </w:r>
      <w:r>
        <w:rPr>
          <w:spacing w:val="-17"/>
          <w:sz w:val="24"/>
        </w:rPr>
        <w:t> </w:t>
      </w:r>
      <w:r>
        <w:rPr>
          <w:sz w:val="24"/>
        </w:rPr>
        <w:t>of</w:t>
      </w:r>
      <w:r>
        <w:rPr>
          <w:spacing w:val="-17"/>
          <w:sz w:val="24"/>
        </w:rPr>
        <w:t> </w:t>
      </w:r>
      <w:r>
        <w:rPr>
          <w:sz w:val="24"/>
        </w:rPr>
        <w:t>such</w:t>
      </w:r>
      <w:r>
        <w:rPr>
          <w:spacing w:val="-17"/>
          <w:sz w:val="24"/>
        </w:rPr>
        <w:t> </w:t>
      </w:r>
      <w:r>
        <w:rPr>
          <w:sz w:val="24"/>
        </w:rPr>
        <w:t>approval</w:t>
      </w:r>
      <w:r>
        <w:rPr>
          <w:spacing w:val="-17"/>
          <w:sz w:val="24"/>
        </w:rPr>
        <w:t> </w:t>
      </w:r>
      <w:r>
        <w:rPr>
          <w:sz w:val="24"/>
        </w:rPr>
        <w:t>to</w:t>
      </w:r>
      <w:r>
        <w:rPr>
          <w:spacing w:val="-17"/>
          <w:sz w:val="24"/>
        </w:rPr>
        <w:t> </w:t>
      </w:r>
      <w:r>
        <w:rPr>
          <w:sz w:val="24"/>
        </w:rPr>
        <w:t>the</w:t>
      </w:r>
      <w:r>
        <w:rPr>
          <w:spacing w:val="-17"/>
          <w:sz w:val="24"/>
        </w:rPr>
        <w:t> </w:t>
      </w:r>
      <w:r>
        <w:rPr>
          <w:sz w:val="24"/>
        </w:rPr>
        <w:t>Project</w:t>
      </w:r>
      <w:r>
        <w:rPr>
          <w:spacing w:val="-17"/>
          <w:sz w:val="24"/>
        </w:rPr>
        <w:t> </w:t>
      </w:r>
      <w:r>
        <w:rPr>
          <w:sz w:val="24"/>
        </w:rPr>
        <w:t>is</w:t>
      </w:r>
      <w:r>
        <w:rPr>
          <w:spacing w:val="-17"/>
          <w:sz w:val="24"/>
        </w:rPr>
        <w:t> </w:t>
      </w:r>
      <w:r>
        <w:rPr>
          <w:sz w:val="24"/>
        </w:rPr>
        <w:t>communicated.</w:t>
      </w:r>
      <w:r>
        <w:rPr>
          <w:spacing w:val="-17"/>
          <w:sz w:val="24"/>
        </w:rPr>
        <w:t> </w:t>
      </w:r>
      <w:r>
        <w:rPr>
          <w:sz w:val="24"/>
        </w:rPr>
        <w:t>In</w:t>
      </w:r>
      <w:r>
        <w:rPr>
          <w:spacing w:val="-17"/>
          <w:sz w:val="24"/>
        </w:rPr>
        <w:t> </w:t>
      </w:r>
      <w:r>
        <w:rPr>
          <w:sz w:val="24"/>
        </w:rPr>
        <w:t>the</w:t>
      </w:r>
      <w:r>
        <w:rPr>
          <w:spacing w:val="-17"/>
          <w:sz w:val="24"/>
        </w:rPr>
        <w:t> </w:t>
      </w:r>
      <w:r>
        <w:rPr>
          <w:sz w:val="24"/>
        </w:rPr>
        <w:t>event of its refusal to grant NOC, reasons thereof shall be stated and in the eventnot been given within the period, it shall be deemed to have been </w:t>
      </w:r>
      <w:r>
        <w:rPr>
          <w:spacing w:val="-2"/>
          <w:sz w:val="24"/>
        </w:rPr>
        <w:t>given.</w:t>
      </w:r>
    </w:p>
    <w:p>
      <w:pPr>
        <w:pStyle w:val="ListParagraph"/>
        <w:numPr>
          <w:ilvl w:val="0"/>
          <w:numId w:val="170"/>
        </w:numPr>
        <w:tabs>
          <w:tab w:pos="2417" w:val="left" w:leader="none"/>
        </w:tabs>
        <w:spacing w:line="276" w:lineRule="auto" w:before="239" w:after="0"/>
        <w:ind w:left="2050" w:right="770" w:firstLine="0"/>
        <w:jc w:val="both"/>
        <w:rPr>
          <w:sz w:val="24"/>
        </w:rPr>
      </w:pPr>
      <w:r>
        <w:rPr>
          <w:sz w:val="24"/>
        </w:rPr>
        <w:t>An amount of Rs40,000/-or such an amount as may be decided by the</w:t>
      </w:r>
      <w:r>
        <w:rPr>
          <w:spacing w:val="-10"/>
          <w:sz w:val="24"/>
        </w:rPr>
        <w:t> </w:t>
      </w:r>
      <w:r>
        <w:rPr>
          <w:sz w:val="24"/>
        </w:rPr>
        <w:t>Govt.</w:t>
      </w:r>
      <w:r>
        <w:rPr>
          <w:spacing w:val="-10"/>
          <w:sz w:val="24"/>
        </w:rPr>
        <w:t> </w:t>
      </w:r>
      <w:r>
        <w:rPr>
          <w:sz w:val="24"/>
        </w:rPr>
        <w:t>from</w:t>
      </w:r>
      <w:r>
        <w:rPr>
          <w:spacing w:val="-10"/>
          <w:sz w:val="24"/>
        </w:rPr>
        <w:t> </w:t>
      </w:r>
      <w:r>
        <w:rPr>
          <w:sz w:val="24"/>
        </w:rPr>
        <w:t>time</w:t>
      </w:r>
      <w:r>
        <w:rPr>
          <w:spacing w:val="-10"/>
          <w:sz w:val="24"/>
        </w:rPr>
        <w:t> </w:t>
      </w:r>
      <w:r>
        <w:rPr>
          <w:sz w:val="24"/>
        </w:rPr>
        <w:t>to</w:t>
      </w:r>
      <w:r>
        <w:rPr>
          <w:spacing w:val="-10"/>
          <w:sz w:val="24"/>
        </w:rPr>
        <w:t> </w:t>
      </w:r>
      <w:r>
        <w:rPr>
          <w:sz w:val="24"/>
        </w:rPr>
        <w:t>time</w:t>
      </w:r>
      <w:r>
        <w:rPr>
          <w:spacing w:val="-10"/>
          <w:sz w:val="24"/>
        </w:rPr>
        <w:t> </w:t>
      </w:r>
      <w:r>
        <w:rPr>
          <w:sz w:val="24"/>
        </w:rPr>
        <w:t>per</w:t>
      </w:r>
      <w:r>
        <w:rPr>
          <w:spacing w:val="-10"/>
          <w:sz w:val="24"/>
        </w:rPr>
        <w:t> </w:t>
      </w:r>
      <w:r>
        <w:rPr>
          <w:sz w:val="24"/>
        </w:rPr>
        <w:t>tenement/</w:t>
      </w:r>
      <w:r>
        <w:rPr>
          <w:spacing w:val="-10"/>
          <w:sz w:val="24"/>
        </w:rPr>
        <w:t> </w:t>
      </w:r>
      <w:r>
        <w:rPr>
          <w:sz w:val="24"/>
        </w:rPr>
        <w:t>unit</w:t>
      </w:r>
      <w:r>
        <w:rPr>
          <w:spacing w:val="-10"/>
          <w:sz w:val="24"/>
        </w:rPr>
        <w:t> </w:t>
      </w:r>
      <w:r>
        <w:rPr>
          <w:sz w:val="24"/>
        </w:rPr>
        <w:t>will</w:t>
      </w:r>
      <w:r>
        <w:rPr>
          <w:spacing w:val="-10"/>
          <w:sz w:val="24"/>
        </w:rPr>
        <w:t> </w:t>
      </w:r>
      <w:r>
        <w:rPr>
          <w:sz w:val="24"/>
        </w:rPr>
        <w:t>have</w:t>
      </w:r>
      <w:r>
        <w:rPr>
          <w:spacing w:val="-10"/>
          <w:sz w:val="24"/>
        </w:rPr>
        <w:t> </w:t>
      </w:r>
      <w:r>
        <w:rPr>
          <w:sz w:val="24"/>
        </w:rPr>
        <w:t>to</w:t>
      </w:r>
      <w:r>
        <w:rPr>
          <w:spacing w:val="-10"/>
          <w:sz w:val="24"/>
        </w:rPr>
        <w:t> </w:t>
      </w:r>
      <w:r>
        <w:rPr>
          <w:sz w:val="24"/>
        </w:rPr>
        <w:t>be</w:t>
      </w:r>
      <w:r>
        <w:rPr>
          <w:spacing w:val="-12"/>
          <w:sz w:val="24"/>
        </w:rPr>
        <w:t> </w:t>
      </w:r>
      <w:r>
        <w:rPr>
          <w:sz w:val="24"/>
        </w:rPr>
        <w:t>deposited by</w:t>
      </w:r>
      <w:r>
        <w:rPr>
          <w:spacing w:val="21"/>
          <w:sz w:val="24"/>
        </w:rPr>
        <w:t> </w:t>
      </w:r>
      <w:r>
        <w:rPr>
          <w:sz w:val="24"/>
        </w:rPr>
        <w:t>the</w:t>
      </w:r>
      <w:r>
        <w:rPr>
          <w:spacing w:val="21"/>
          <w:sz w:val="24"/>
        </w:rPr>
        <w:t> </w:t>
      </w:r>
      <w:r>
        <w:rPr>
          <w:sz w:val="24"/>
        </w:rPr>
        <w:t>developer</w:t>
      </w:r>
      <w:r>
        <w:rPr>
          <w:spacing w:val="21"/>
          <w:sz w:val="24"/>
        </w:rPr>
        <w:t> </w:t>
      </w:r>
      <w:r>
        <w:rPr>
          <w:sz w:val="24"/>
        </w:rPr>
        <w:t>with</w:t>
      </w:r>
      <w:r>
        <w:rPr>
          <w:spacing w:val="21"/>
          <w:sz w:val="24"/>
        </w:rPr>
        <w:t> </w:t>
      </w:r>
      <w:r>
        <w:rPr>
          <w:sz w:val="24"/>
        </w:rPr>
        <w:t>DRP</w:t>
      </w:r>
      <w:r>
        <w:rPr>
          <w:spacing w:val="21"/>
          <w:sz w:val="24"/>
        </w:rPr>
        <w:t> </w:t>
      </w:r>
      <w:r>
        <w:rPr>
          <w:sz w:val="24"/>
        </w:rPr>
        <w:t>as</w:t>
      </w:r>
      <w:r>
        <w:rPr>
          <w:spacing w:val="21"/>
          <w:sz w:val="24"/>
        </w:rPr>
        <w:t> </w:t>
      </w:r>
      <w:r>
        <w:rPr>
          <w:sz w:val="24"/>
        </w:rPr>
        <w:t>a</w:t>
      </w:r>
      <w:r>
        <w:rPr>
          <w:spacing w:val="24"/>
          <w:sz w:val="24"/>
        </w:rPr>
        <w:t> </w:t>
      </w:r>
      <w:r>
        <w:rPr>
          <w:sz w:val="24"/>
        </w:rPr>
        <w:t>corpus</w:t>
      </w:r>
      <w:r>
        <w:rPr>
          <w:spacing w:val="24"/>
          <w:sz w:val="24"/>
        </w:rPr>
        <w:t> </w:t>
      </w:r>
      <w:r>
        <w:rPr>
          <w:sz w:val="24"/>
        </w:rPr>
        <w:t>fund</w:t>
      </w:r>
      <w:r>
        <w:rPr>
          <w:spacing w:val="21"/>
          <w:sz w:val="24"/>
        </w:rPr>
        <w:t> </w:t>
      </w:r>
      <w:r>
        <w:rPr>
          <w:sz w:val="24"/>
        </w:rPr>
        <w:t>for</w:t>
      </w:r>
      <w:r>
        <w:rPr>
          <w:spacing w:val="21"/>
          <w:sz w:val="24"/>
        </w:rPr>
        <w:t> </w:t>
      </w:r>
      <w:r>
        <w:rPr>
          <w:sz w:val="24"/>
        </w:rPr>
        <w:t>utilization</w:t>
      </w:r>
      <w:r>
        <w:rPr>
          <w:spacing w:val="24"/>
          <w:sz w:val="24"/>
        </w:rPr>
        <w:t> </w:t>
      </w:r>
      <w:r>
        <w:rPr>
          <w:sz w:val="24"/>
        </w:rPr>
        <w:t>by</w:t>
      </w:r>
      <w:r>
        <w:rPr>
          <w:spacing w:val="21"/>
          <w:sz w:val="24"/>
        </w:rPr>
        <w:t> </w:t>
      </w:r>
      <w:r>
        <w:rPr>
          <w:sz w:val="24"/>
        </w:rPr>
        <w:t>the</w:t>
      </w:r>
      <w:r>
        <w:rPr>
          <w:spacing w:val="21"/>
          <w:sz w:val="24"/>
        </w:rPr>
        <w:t> </w:t>
      </w:r>
      <w:r>
        <w:rPr>
          <w:sz w:val="24"/>
        </w:rPr>
        <w:t>co-</w:t>
      </w:r>
    </w:p>
    <w:p>
      <w:pPr>
        <w:pStyle w:val="ListParagraph"/>
        <w:spacing w:after="0" w:line="276" w:lineRule="auto"/>
        <w:jc w:val="both"/>
        <w:rPr>
          <w:sz w:val="24"/>
        </w:rPr>
        <w:sectPr>
          <w:pgSz w:w="11910" w:h="16840"/>
          <w:pgMar w:header="1065" w:footer="1194" w:top="1500" w:bottom="1380" w:left="360" w:right="360"/>
        </w:sectPr>
      </w:pPr>
    </w:p>
    <w:p>
      <w:pPr>
        <w:pStyle w:val="BodyText"/>
        <w:spacing w:line="276" w:lineRule="auto" w:before="247"/>
        <w:ind w:left="2050" w:right="766"/>
      </w:pPr>
      <w:r>
        <w:rPr/>
        <w:t>operative housing society of the renewal rehab occupants for the purpose</w:t>
      </w:r>
      <w:r>
        <w:rPr>
          <w:spacing w:val="-10"/>
        </w:rPr>
        <w:t> </w:t>
      </w:r>
      <w:r>
        <w:rPr/>
        <w:t>of</w:t>
      </w:r>
      <w:r>
        <w:rPr>
          <w:spacing w:val="-10"/>
        </w:rPr>
        <w:t> </w:t>
      </w:r>
      <w:r>
        <w:rPr/>
        <w:t>maintenance,</w:t>
      </w:r>
      <w:r>
        <w:rPr>
          <w:spacing w:val="-10"/>
        </w:rPr>
        <w:t> </w:t>
      </w:r>
      <w:r>
        <w:rPr/>
        <w:t>in</w:t>
      </w:r>
      <w:r>
        <w:rPr>
          <w:spacing w:val="-10"/>
        </w:rPr>
        <w:t> </w:t>
      </w:r>
      <w:r>
        <w:rPr/>
        <w:t>accordance</w:t>
      </w:r>
      <w:r>
        <w:rPr>
          <w:spacing w:val="-10"/>
        </w:rPr>
        <w:t> </w:t>
      </w:r>
      <w:r>
        <w:rPr/>
        <w:t>with</w:t>
      </w:r>
      <w:r>
        <w:rPr>
          <w:spacing w:val="-10"/>
        </w:rPr>
        <w:t> </w:t>
      </w:r>
      <w:r>
        <w:rPr/>
        <w:t>the</w:t>
      </w:r>
      <w:r>
        <w:rPr>
          <w:spacing w:val="-10"/>
        </w:rPr>
        <w:t> </w:t>
      </w:r>
      <w:r>
        <w:rPr/>
        <w:t>time-schedule</w:t>
      </w:r>
      <w:r>
        <w:rPr>
          <w:spacing w:val="-10"/>
        </w:rPr>
        <w:t> </w:t>
      </w:r>
      <w:r>
        <w:rPr/>
        <w:t>for</w:t>
      </w:r>
      <w:r>
        <w:rPr>
          <w:spacing w:val="-10"/>
        </w:rPr>
        <w:t> </w:t>
      </w:r>
      <w:r>
        <w:rPr/>
        <w:t>such payment</w:t>
      </w:r>
      <w:r>
        <w:rPr>
          <w:spacing w:val="-11"/>
        </w:rPr>
        <w:t> </w:t>
      </w:r>
      <w:r>
        <w:rPr/>
        <w:t>as</w:t>
      </w:r>
      <w:r>
        <w:rPr>
          <w:spacing w:val="-11"/>
        </w:rPr>
        <w:t> </w:t>
      </w:r>
      <w:r>
        <w:rPr/>
        <w:t>may</w:t>
      </w:r>
      <w:r>
        <w:rPr>
          <w:spacing w:val="-11"/>
        </w:rPr>
        <w:t> </w:t>
      </w:r>
      <w:r>
        <w:rPr/>
        <w:t>be</w:t>
      </w:r>
      <w:r>
        <w:rPr>
          <w:spacing w:val="-13"/>
        </w:rPr>
        <w:t> </w:t>
      </w:r>
      <w:r>
        <w:rPr/>
        <w:t>laid</w:t>
      </w:r>
      <w:r>
        <w:rPr>
          <w:spacing w:val="-11"/>
        </w:rPr>
        <w:t> </w:t>
      </w:r>
      <w:r>
        <w:rPr/>
        <w:t>down</w:t>
      </w:r>
      <w:r>
        <w:rPr>
          <w:spacing w:val="-11"/>
        </w:rPr>
        <w:t> </w:t>
      </w:r>
      <w:r>
        <w:rPr/>
        <w:t>by</w:t>
      </w:r>
      <w:r>
        <w:rPr>
          <w:spacing w:val="-11"/>
        </w:rPr>
        <w:t> </w:t>
      </w:r>
      <w:r>
        <w:rPr/>
        <w:t>OSD,</w:t>
      </w:r>
      <w:r>
        <w:rPr>
          <w:spacing w:val="-13"/>
        </w:rPr>
        <w:t> </w:t>
      </w:r>
      <w:r>
        <w:rPr/>
        <w:t>DRP</w:t>
      </w:r>
      <w:r>
        <w:rPr>
          <w:spacing w:val="-11"/>
        </w:rPr>
        <w:t> </w:t>
      </w:r>
      <w:r>
        <w:rPr/>
        <w:t>(SRA).</w:t>
      </w:r>
      <w:r>
        <w:rPr>
          <w:spacing w:val="-10"/>
        </w:rPr>
        <w:t> </w:t>
      </w:r>
      <w:r>
        <w:rPr/>
        <w:t>However,</w:t>
      </w:r>
      <w:r>
        <w:rPr>
          <w:spacing w:val="-13"/>
        </w:rPr>
        <w:t> </w:t>
      </w:r>
      <w:r>
        <w:rPr/>
        <w:t>by</w:t>
      </w:r>
      <w:r>
        <w:rPr>
          <w:spacing w:val="-11"/>
        </w:rPr>
        <w:t> </w:t>
      </w:r>
      <w:r>
        <w:rPr/>
        <w:t>the</w:t>
      </w:r>
      <w:r>
        <w:rPr>
          <w:spacing w:val="-11"/>
        </w:rPr>
        <w:t> </w:t>
      </w:r>
      <w:r>
        <w:rPr/>
        <w:t>time of completion of construction for occupation of tenements by the hutment</w:t>
      </w:r>
      <w:r>
        <w:rPr>
          <w:spacing w:val="-16"/>
        </w:rPr>
        <w:t> </w:t>
      </w:r>
      <w:r>
        <w:rPr/>
        <w:t>dwellers,</w:t>
      </w:r>
      <w:r>
        <w:rPr>
          <w:spacing w:val="-15"/>
        </w:rPr>
        <w:t> </w:t>
      </w:r>
      <w:r>
        <w:rPr/>
        <w:t>thetotal</w:t>
      </w:r>
      <w:r>
        <w:rPr>
          <w:spacing w:val="-15"/>
        </w:rPr>
        <w:t> </w:t>
      </w:r>
      <w:r>
        <w:rPr/>
        <w:t>amount</w:t>
      </w:r>
      <w:r>
        <w:rPr>
          <w:spacing w:val="-15"/>
        </w:rPr>
        <w:t> </w:t>
      </w:r>
      <w:r>
        <w:rPr/>
        <w:t>at</w:t>
      </w:r>
      <w:r>
        <w:rPr>
          <w:spacing w:val="-15"/>
        </w:rPr>
        <w:t> </w:t>
      </w:r>
      <w:r>
        <w:rPr/>
        <w:t>the</w:t>
      </w:r>
      <w:r>
        <w:rPr>
          <w:spacing w:val="-20"/>
        </w:rPr>
        <w:t> </w:t>
      </w:r>
      <w:r>
        <w:rPr/>
        <w:t>rate</w:t>
      </w:r>
      <w:r>
        <w:rPr>
          <w:spacing w:val="-14"/>
        </w:rPr>
        <w:t> </w:t>
      </w:r>
      <w:r>
        <w:rPr/>
        <w:t>of</w:t>
      </w:r>
      <w:r>
        <w:rPr>
          <w:spacing w:val="-15"/>
        </w:rPr>
        <w:t> </w:t>
      </w:r>
      <w:r>
        <w:rPr/>
        <w:t>Rs</w:t>
      </w:r>
      <w:r>
        <w:rPr>
          <w:spacing w:val="-15"/>
        </w:rPr>
        <w:t> </w:t>
      </w:r>
      <w:r>
        <w:rPr/>
        <w:t>40000</w:t>
      </w:r>
      <w:r>
        <w:rPr>
          <w:spacing w:val="-15"/>
        </w:rPr>
        <w:t> </w:t>
      </w:r>
      <w:r>
        <w:rPr/>
        <w:t>per</w:t>
      </w:r>
      <w:r>
        <w:rPr>
          <w:spacing w:val="-20"/>
        </w:rPr>
        <w:t> </w:t>
      </w:r>
      <w:r>
        <w:rPr/>
        <w:t>tenement completed should have been deposited in full.</w:t>
      </w:r>
    </w:p>
    <w:p>
      <w:pPr>
        <w:pStyle w:val="BodyText"/>
        <w:spacing w:before="204"/>
        <w:ind w:left="2062" w:right="770"/>
      </w:pPr>
      <w:r>
        <w:rPr/>
        <w:t>The building permission for the last 25 percent of the free sale component would be given only after the entire required amount is deposited in full with DRP (SRA).</w:t>
      </w:r>
    </w:p>
    <w:p>
      <w:pPr>
        <w:pStyle w:val="ListParagraph"/>
        <w:numPr>
          <w:ilvl w:val="0"/>
          <w:numId w:val="170"/>
        </w:numPr>
        <w:tabs>
          <w:tab w:pos="2430" w:val="left" w:leader="none"/>
        </w:tabs>
        <w:spacing w:line="240" w:lineRule="auto" w:before="239" w:after="0"/>
        <w:ind w:left="2062" w:right="766" w:firstLine="0"/>
        <w:jc w:val="both"/>
        <w:rPr>
          <w:sz w:val="24"/>
        </w:rPr>
      </w:pPr>
      <w:r>
        <w:rPr>
          <w:sz w:val="24"/>
        </w:rPr>
        <w:t>An amount</w:t>
      </w:r>
      <w:r>
        <w:rPr>
          <w:spacing w:val="40"/>
          <w:sz w:val="24"/>
        </w:rPr>
        <w:t> </w:t>
      </w:r>
      <w:r>
        <w:rPr>
          <w:sz w:val="24"/>
        </w:rPr>
        <w:t>of</w:t>
      </w:r>
      <w:r>
        <w:rPr>
          <w:spacing w:val="40"/>
          <w:sz w:val="24"/>
        </w:rPr>
        <w:t> </w:t>
      </w:r>
      <w:r>
        <w:rPr>
          <w:sz w:val="24"/>
        </w:rPr>
        <w:t>Rs. 840/- per Sq. mt.</w:t>
      </w:r>
      <w:r>
        <w:rPr>
          <w:spacing w:val="-4"/>
          <w:sz w:val="24"/>
        </w:rPr>
        <w:t> </w:t>
      </w:r>
      <w:r>
        <w:rPr>
          <w:sz w:val="24"/>
        </w:rPr>
        <w:t>shall be paid by the</w:t>
      </w:r>
      <w:r>
        <w:rPr>
          <w:spacing w:val="-3"/>
          <w:sz w:val="24"/>
        </w:rPr>
        <w:t> </w:t>
      </w:r>
      <w:r>
        <w:rPr>
          <w:sz w:val="24"/>
        </w:rPr>
        <w:t>Developer for the BUA over and above the Zonal (basic) FSI, for the rehabilitation and free sale components.</w:t>
      </w:r>
      <w:r>
        <w:rPr>
          <w:spacing w:val="40"/>
          <w:sz w:val="24"/>
        </w:rPr>
        <w:t> </w:t>
      </w:r>
      <w:r>
        <w:rPr>
          <w:sz w:val="24"/>
        </w:rPr>
        <w:t>This amount shall be paid to DRP(SRA) in accordance with the time schedule for such payment as may be laid down by OSD,DRP(SRA), provided the installments shall not exceed beyond</w:t>
      </w:r>
      <w:r>
        <w:rPr>
          <w:spacing w:val="-6"/>
          <w:sz w:val="24"/>
        </w:rPr>
        <w:t> </w:t>
      </w:r>
      <w:r>
        <w:rPr>
          <w:sz w:val="24"/>
        </w:rPr>
        <w:t>the</w:t>
      </w:r>
      <w:r>
        <w:rPr>
          <w:spacing w:val="-6"/>
          <w:sz w:val="24"/>
        </w:rPr>
        <w:t> </w:t>
      </w:r>
      <w:r>
        <w:rPr>
          <w:sz w:val="24"/>
        </w:rPr>
        <w:t>completion</w:t>
      </w:r>
      <w:r>
        <w:rPr>
          <w:spacing w:val="-6"/>
          <w:sz w:val="24"/>
        </w:rPr>
        <w:t> </w:t>
      </w:r>
      <w:r>
        <w:rPr>
          <w:sz w:val="24"/>
        </w:rPr>
        <w:t>of</w:t>
      </w:r>
      <w:r>
        <w:rPr>
          <w:spacing w:val="-6"/>
          <w:sz w:val="24"/>
        </w:rPr>
        <w:t> </w:t>
      </w:r>
      <w:r>
        <w:rPr>
          <w:sz w:val="24"/>
        </w:rPr>
        <w:t>construction.</w:t>
      </w:r>
      <w:r>
        <w:rPr>
          <w:spacing w:val="40"/>
          <w:sz w:val="24"/>
        </w:rPr>
        <w:t> </w:t>
      </w:r>
      <w:r>
        <w:rPr>
          <w:sz w:val="24"/>
        </w:rPr>
        <w:t>This</w:t>
      </w:r>
      <w:r>
        <w:rPr>
          <w:spacing w:val="-6"/>
          <w:sz w:val="24"/>
        </w:rPr>
        <w:t> </w:t>
      </w:r>
      <w:r>
        <w:rPr>
          <w:sz w:val="24"/>
        </w:rPr>
        <w:t>entire</w:t>
      </w:r>
      <w:r>
        <w:rPr>
          <w:spacing w:val="-4"/>
          <w:sz w:val="24"/>
        </w:rPr>
        <w:t> </w:t>
      </w:r>
      <w:r>
        <w:rPr>
          <w:sz w:val="24"/>
        </w:rPr>
        <w:t>amount</w:t>
      </w:r>
      <w:r>
        <w:rPr>
          <w:spacing w:val="-3"/>
          <w:sz w:val="24"/>
        </w:rPr>
        <w:t> </w:t>
      </w:r>
      <w:r>
        <w:rPr>
          <w:sz w:val="24"/>
        </w:rPr>
        <w:t>will</w:t>
      </w:r>
      <w:r>
        <w:rPr>
          <w:spacing w:val="-6"/>
          <w:sz w:val="24"/>
        </w:rPr>
        <w:t> </w:t>
      </w:r>
      <w:r>
        <w:rPr>
          <w:sz w:val="24"/>
        </w:rPr>
        <w:t>remain with</w:t>
      </w:r>
      <w:r>
        <w:rPr>
          <w:spacing w:val="-7"/>
          <w:sz w:val="24"/>
        </w:rPr>
        <w:t> </w:t>
      </w:r>
      <w:r>
        <w:rPr>
          <w:sz w:val="24"/>
        </w:rPr>
        <w:t>DRP</w:t>
      </w:r>
      <w:r>
        <w:rPr>
          <w:spacing w:val="-7"/>
          <w:sz w:val="24"/>
        </w:rPr>
        <w:t> </w:t>
      </w:r>
      <w:r>
        <w:rPr>
          <w:sz w:val="24"/>
        </w:rPr>
        <w:t>(SRA)</w:t>
      </w:r>
      <w:r>
        <w:rPr>
          <w:spacing w:val="-7"/>
          <w:sz w:val="24"/>
        </w:rPr>
        <w:t> </w:t>
      </w:r>
      <w:r>
        <w:rPr>
          <w:sz w:val="24"/>
        </w:rPr>
        <w:t>and</w:t>
      </w:r>
      <w:r>
        <w:rPr>
          <w:spacing w:val="-3"/>
          <w:sz w:val="24"/>
        </w:rPr>
        <w:t> </w:t>
      </w:r>
      <w:r>
        <w:rPr>
          <w:sz w:val="24"/>
        </w:rPr>
        <w:t>the</w:t>
      </w:r>
      <w:r>
        <w:rPr>
          <w:spacing w:val="-7"/>
          <w:sz w:val="24"/>
        </w:rPr>
        <w:t> </w:t>
      </w:r>
      <w:r>
        <w:rPr>
          <w:sz w:val="24"/>
        </w:rPr>
        <w:t>same</w:t>
      </w:r>
      <w:r>
        <w:rPr>
          <w:spacing w:val="-7"/>
          <w:sz w:val="24"/>
        </w:rPr>
        <w:t> </w:t>
      </w:r>
      <w:r>
        <w:rPr>
          <w:sz w:val="24"/>
        </w:rPr>
        <w:t>shall</w:t>
      </w:r>
      <w:r>
        <w:rPr>
          <w:spacing w:val="-7"/>
          <w:sz w:val="24"/>
        </w:rPr>
        <w:t> </w:t>
      </w:r>
      <w:r>
        <w:rPr>
          <w:sz w:val="24"/>
        </w:rPr>
        <w:t>be</w:t>
      </w:r>
      <w:r>
        <w:rPr>
          <w:spacing w:val="-5"/>
          <w:sz w:val="24"/>
        </w:rPr>
        <w:t> </w:t>
      </w:r>
      <w:r>
        <w:rPr>
          <w:sz w:val="24"/>
        </w:rPr>
        <w:t>used</w:t>
      </w:r>
      <w:r>
        <w:rPr>
          <w:spacing w:val="-7"/>
          <w:sz w:val="24"/>
        </w:rPr>
        <w:t> </w:t>
      </w:r>
      <w:r>
        <w:rPr>
          <w:sz w:val="24"/>
        </w:rPr>
        <w:t>for</w:t>
      </w:r>
      <w:r>
        <w:rPr>
          <w:spacing w:val="-7"/>
          <w:sz w:val="24"/>
        </w:rPr>
        <w:t> </w:t>
      </w:r>
      <w:r>
        <w:rPr>
          <w:sz w:val="24"/>
        </w:rPr>
        <w:t>Schemes</w:t>
      </w:r>
      <w:r>
        <w:rPr>
          <w:spacing w:val="-7"/>
          <w:sz w:val="24"/>
        </w:rPr>
        <w:t> </w:t>
      </w:r>
      <w:r>
        <w:rPr>
          <w:sz w:val="24"/>
        </w:rPr>
        <w:t>to</w:t>
      </w:r>
      <w:r>
        <w:rPr>
          <w:spacing w:val="-5"/>
          <w:sz w:val="24"/>
        </w:rPr>
        <w:t> </w:t>
      </w:r>
      <w:r>
        <w:rPr>
          <w:sz w:val="24"/>
        </w:rPr>
        <w:t>be</w:t>
      </w:r>
      <w:r>
        <w:rPr>
          <w:spacing w:val="-5"/>
          <w:sz w:val="24"/>
        </w:rPr>
        <w:t> </w:t>
      </w:r>
      <w:r>
        <w:rPr>
          <w:sz w:val="24"/>
        </w:rPr>
        <w:t>prepared for the improvement of infrastructure within Dharavi Redevelopment Project Areas.</w:t>
      </w:r>
    </w:p>
    <w:p>
      <w:pPr>
        <w:pStyle w:val="BodyText"/>
        <w:spacing w:before="240"/>
        <w:ind w:left="2062" w:right="768"/>
      </w:pPr>
      <w:r>
        <w:rPr/>
        <w:t>24. SRA, after consultation with the concerned authorities may add, alter</w:t>
      </w:r>
      <w:r>
        <w:rPr>
          <w:spacing w:val="-20"/>
        </w:rPr>
        <w:t> </w:t>
      </w:r>
      <w:r>
        <w:rPr/>
        <w:t>or</w:t>
      </w:r>
      <w:r>
        <w:rPr>
          <w:spacing w:val="-19"/>
        </w:rPr>
        <w:t> </w:t>
      </w:r>
      <w:r>
        <w:rPr/>
        <w:t>amend</w:t>
      </w:r>
      <w:r>
        <w:rPr>
          <w:spacing w:val="-19"/>
        </w:rPr>
        <w:t> </w:t>
      </w:r>
      <w:r>
        <w:rPr/>
        <w:t>the</w:t>
      </w:r>
      <w:r>
        <w:rPr>
          <w:spacing w:val="-19"/>
        </w:rPr>
        <w:t> </w:t>
      </w:r>
      <w:r>
        <w:rPr/>
        <w:t>conditions</w:t>
      </w:r>
      <w:r>
        <w:rPr>
          <w:spacing w:val="-19"/>
        </w:rPr>
        <w:t> </w:t>
      </w:r>
      <w:r>
        <w:rPr/>
        <w:t>under</w:t>
      </w:r>
      <w:r>
        <w:rPr>
          <w:spacing w:val="-20"/>
        </w:rPr>
        <w:t> </w:t>
      </w:r>
      <w:r>
        <w:rPr/>
        <w:t>these</w:t>
      </w:r>
      <w:r>
        <w:rPr>
          <w:spacing w:val="-19"/>
        </w:rPr>
        <w:t> </w:t>
      </w:r>
      <w:r>
        <w:rPr/>
        <w:t>Regulations</w:t>
      </w:r>
      <w:r>
        <w:rPr>
          <w:spacing w:val="-19"/>
        </w:rPr>
        <w:t> </w:t>
      </w:r>
      <w:r>
        <w:rPr/>
        <w:t>with</w:t>
      </w:r>
      <w:r>
        <w:rPr>
          <w:spacing w:val="-19"/>
        </w:rPr>
        <w:t> </w:t>
      </w:r>
      <w:r>
        <w:rPr/>
        <w:t>the</w:t>
      </w:r>
      <w:r>
        <w:rPr>
          <w:spacing w:val="-19"/>
        </w:rPr>
        <w:t> </w:t>
      </w:r>
      <w:r>
        <w:rPr/>
        <w:t>previous approval of the Govt.</w:t>
      </w:r>
    </w:p>
    <w:p>
      <w:pPr>
        <w:pStyle w:val="Heading6"/>
        <w:spacing w:before="240"/>
        <w:ind w:left="2062"/>
      </w:pPr>
      <w:r>
        <w:rPr>
          <w:spacing w:val="-2"/>
        </w:rPr>
        <w:t>Note:-</w:t>
      </w:r>
    </w:p>
    <w:p>
      <w:pPr>
        <w:pStyle w:val="BodyText"/>
        <w:spacing w:before="241"/>
        <w:ind w:left="2062" w:right="766"/>
      </w:pPr>
      <w:r>
        <w:rPr/>
        <w:t>The</w:t>
      </w:r>
      <w:r>
        <w:rPr>
          <w:spacing w:val="-6"/>
        </w:rPr>
        <w:t> </w:t>
      </w:r>
      <w:r>
        <w:rPr/>
        <w:t>provisions</w:t>
      </w:r>
      <w:r>
        <w:rPr>
          <w:spacing w:val="-6"/>
        </w:rPr>
        <w:t> </w:t>
      </w:r>
      <w:r>
        <w:rPr/>
        <w:t>of</w:t>
      </w:r>
      <w:r>
        <w:rPr>
          <w:spacing w:val="-6"/>
        </w:rPr>
        <w:t> </w:t>
      </w:r>
      <w:r>
        <w:rPr/>
        <w:t>the</w:t>
      </w:r>
      <w:r>
        <w:rPr>
          <w:spacing w:val="-6"/>
        </w:rPr>
        <w:t> </w:t>
      </w:r>
      <w:r>
        <w:rPr/>
        <w:t>DCR</w:t>
      </w:r>
      <w:r>
        <w:rPr>
          <w:spacing w:val="-5"/>
        </w:rPr>
        <w:t> </w:t>
      </w:r>
      <w:r>
        <w:rPr/>
        <w:t>for</w:t>
      </w:r>
      <w:r>
        <w:rPr>
          <w:spacing w:val="-6"/>
        </w:rPr>
        <w:t> </w:t>
      </w:r>
      <w:r>
        <w:rPr/>
        <w:t>Greater</w:t>
      </w:r>
      <w:r>
        <w:rPr>
          <w:spacing w:val="-6"/>
        </w:rPr>
        <w:t> </w:t>
      </w:r>
      <w:r>
        <w:rPr/>
        <w:t>Mumbai,</w:t>
      </w:r>
      <w:r>
        <w:rPr>
          <w:spacing w:val="-6"/>
        </w:rPr>
        <w:t> </w:t>
      </w:r>
      <w:r>
        <w:rPr/>
        <w:t>and</w:t>
      </w:r>
      <w:r>
        <w:rPr>
          <w:spacing w:val="-6"/>
        </w:rPr>
        <w:t> </w:t>
      </w:r>
      <w:r>
        <w:rPr/>
        <w:t>all</w:t>
      </w:r>
      <w:r>
        <w:rPr>
          <w:spacing w:val="-6"/>
        </w:rPr>
        <w:t> </w:t>
      </w:r>
      <w:r>
        <w:rPr/>
        <w:t>other</w:t>
      </w:r>
      <w:r>
        <w:rPr>
          <w:spacing w:val="-6"/>
        </w:rPr>
        <w:t> </w:t>
      </w:r>
      <w:r>
        <w:rPr/>
        <w:t>applicable sections</w:t>
      </w:r>
      <w:r>
        <w:rPr>
          <w:spacing w:val="-1"/>
        </w:rPr>
        <w:t> </w:t>
      </w:r>
      <w:r>
        <w:rPr/>
        <w:t>of</w:t>
      </w:r>
      <w:r>
        <w:rPr>
          <w:spacing w:val="-1"/>
        </w:rPr>
        <w:t> </w:t>
      </w:r>
      <w:r>
        <w:rPr/>
        <w:t>the</w:t>
      </w:r>
      <w:r>
        <w:rPr>
          <w:spacing w:val="-1"/>
        </w:rPr>
        <w:t> </w:t>
      </w:r>
      <w:r>
        <w:rPr/>
        <w:t>MR &amp; TP Act,</w:t>
      </w:r>
      <w:r>
        <w:rPr>
          <w:spacing w:val="-1"/>
        </w:rPr>
        <w:t> </w:t>
      </w:r>
      <w:r>
        <w:rPr/>
        <w:t>1966, shall apply </w:t>
      </w:r>
      <w:r>
        <w:rPr>
          <w:i/>
        </w:rPr>
        <w:t>mutatis mutandis </w:t>
      </w:r>
      <w:r>
        <w:rPr/>
        <w:t>to the development of land with the modification that the expressions "Municipal Corporation of Greater Mumbai" and "Municipal Commissioner" shall be substituted by the expressions "Slum Rehabilitation Authority" and "Officer on Special Duty, DRP (SRA)” </w:t>
      </w:r>
      <w:r>
        <w:rPr>
          <w:spacing w:val="-2"/>
        </w:rPr>
        <w:t>respectively.</w:t>
      </w:r>
    </w:p>
    <w:p>
      <w:pPr>
        <w:pStyle w:val="Heading6"/>
        <w:spacing w:before="239"/>
        <w:ind w:left="2050" w:right="769"/>
        <w:jc w:val="both"/>
      </w:pPr>
      <w:r>
        <w:rPr/>
        <w:t>33(9) (B): Reconstruction or redevelopment of Cluster of BDD chawls</w:t>
      </w:r>
      <w:r>
        <w:rPr>
          <w:spacing w:val="-17"/>
        </w:rPr>
        <w:t> </w:t>
      </w:r>
      <w:r>
        <w:rPr/>
        <w:t>at</w:t>
      </w:r>
      <w:r>
        <w:rPr>
          <w:spacing w:val="-17"/>
        </w:rPr>
        <w:t> </w:t>
      </w:r>
      <w:r>
        <w:rPr/>
        <w:t>Naigaon,</w:t>
      </w:r>
      <w:r>
        <w:rPr>
          <w:spacing w:val="-17"/>
        </w:rPr>
        <w:t> </w:t>
      </w:r>
      <w:r>
        <w:rPr/>
        <w:t>Worli,</w:t>
      </w:r>
      <w:r>
        <w:rPr>
          <w:spacing w:val="-17"/>
        </w:rPr>
        <w:t> </w:t>
      </w:r>
      <w:r>
        <w:rPr/>
        <w:t>N.M.Joshi</w:t>
      </w:r>
      <w:r>
        <w:rPr>
          <w:spacing w:val="-17"/>
        </w:rPr>
        <w:t> </w:t>
      </w:r>
      <w:r>
        <w:rPr/>
        <w:t>Marg</w:t>
      </w:r>
      <w:r>
        <w:rPr>
          <w:spacing w:val="-17"/>
        </w:rPr>
        <w:t> </w:t>
      </w:r>
      <w:r>
        <w:rPr/>
        <w:t>and</w:t>
      </w:r>
      <w:r>
        <w:rPr>
          <w:spacing w:val="-17"/>
        </w:rPr>
        <w:t> </w:t>
      </w:r>
      <w:r>
        <w:rPr/>
        <w:t>Shivdi</w:t>
      </w:r>
      <w:r>
        <w:rPr>
          <w:spacing w:val="-17"/>
        </w:rPr>
        <w:t> </w:t>
      </w:r>
      <w:r>
        <w:rPr/>
        <w:t>under</w:t>
      </w:r>
      <w:r>
        <w:rPr>
          <w:spacing w:val="-17"/>
        </w:rPr>
        <w:t> </w:t>
      </w:r>
      <w:r>
        <w:rPr/>
        <w:t>Urban Renewal Scheme(s).</w:t>
      </w:r>
    </w:p>
    <w:p>
      <w:pPr>
        <w:pStyle w:val="BodyText"/>
        <w:spacing w:before="1"/>
        <w:jc w:val="left"/>
        <w:rPr>
          <w:b/>
          <w:i/>
        </w:rPr>
      </w:pPr>
    </w:p>
    <w:p>
      <w:pPr>
        <w:pStyle w:val="BodyText"/>
        <w:ind w:left="2050" w:right="770"/>
      </w:pPr>
      <w:r>
        <w:rPr/>
        <w:t>For reconstruction or redevelopment of Cluster(s) of buildings under Urban Renewal Scheme(s) in the Island</w:t>
      </w:r>
      <w:r>
        <w:rPr>
          <w:spacing w:val="-1"/>
        </w:rPr>
        <w:t> </w:t>
      </w:r>
      <w:r>
        <w:rPr/>
        <w:t>City of Mumbai undertaken by the Planning Authority, the FSI shall be 4.00 or the FSI required for rehabilitation of existing tenants/occupiers certified by competent Authority</w:t>
      </w:r>
      <w:r>
        <w:rPr>
          <w:spacing w:val="-12"/>
        </w:rPr>
        <w:t> </w:t>
      </w:r>
      <w:r>
        <w:rPr/>
        <w:t>appointed</w:t>
      </w:r>
      <w:r>
        <w:rPr>
          <w:spacing w:val="-14"/>
        </w:rPr>
        <w:t> </w:t>
      </w:r>
      <w:r>
        <w:rPr/>
        <w:t>by</w:t>
      </w:r>
      <w:r>
        <w:rPr>
          <w:spacing w:val="-12"/>
        </w:rPr>
        <w:t> </w:t>
      </w:r>
      <w:r>
        <w:rPr/>
        <w:t>Government</w:t>
      </w:r>
      <w:r>
        <w:rPr>
          <w:spacing w:val="-12"/>
        </w:rPr>
        <w:t> </w:t>
      </w:r>
      <w:r>
        <w:rPr/>
        <w:t>for</w:t>
      </w:r>
      <w:r>
        <w:rPr>
          <w:spacing w:val="-11"/>
        </w:rPr>
        <w:t> </w:t>
      </w:r>
      <w:r>
        <w:rPr/>
        <w:t>this</w:t>
      </w:r>
      <w:r>
        <w:rPr>
          <w:spacing w:val="-12"/>
        </w:rPr>
        <w:t> </w:t>
      </w:r>
      <w:r>
        <w:rPr/>
        <w:t>purpose,</w:t>
      </w:r>
      <w:r>
        <w:rPr>
          <w:spacing w:val="-12"/>
        </w:rPr>
        <w:t> </w:t>
      </w:r>
      <w:r>
        <w:rPr/>
        <w:t>plus</w:t>
      </w:r>
      <w:r>
        <w:rPr>
          <w:spacing w:val="-14"/>
        </w:rPr>
        <w:t> </w:t>
      </w:r>
      <w:r>
        <w:rPr/>
        <w:t>Incentive</w:t>
      </w:r>
      <w:r>
        <w:rPr>
          <w:spacing w:val="-12"/>
        </w:rPr>
        <w:t> </w:t>
      </w:r>
      <w:r>
        <w:rPr/>
        <w:t>FSI as per the provisions of </w:t>
      </w:r>
      <w:r>
        <w:rPr>
          <w:b/>
        </w:rPr>
        <w:t>Appendix </w:t>
      </w:r>
      <w:r>
        <w:rPr/>
        <w:t>whichever is more.</w:t>
      </w:r>
    </w:p>
    <w:p>
      <w:pPr>
        <w:pStyle w:val="Heading6"/>
        <w:spacing w:before="280"/>
        <w:ind w:left="2050"/>
      </w:pPr>
      <w:r>
        <w:rPr>
          <w:spacing w:val="-2"/>
        </w:rPr>
        <w:t>Appendix</w:t>
      </w:r>
    </w:p>
    <w:p>
      <w:pPr>
        <w:pStyle w:val="Heading6"/>
        <w:spacing w:after="0"/>
        <w:sectPr>
          <w:pgSz w:w="11910" w:h="16840"/>
          <w:pgMar w:header="1065" w:footer="1194" w:top="1500" w:bottom="1380" w:left="360" w:right="360"/>
        </w:sectPr>
      </w:pPr>
    </w:p>
    <w:p>
      <w:pPr>
        <w:spacing w:before="247"/>
        <w:ind w:left="2050" w:right="766" w:firstLine="0"/>
        <w:jc w:val="both"/>
        <w:rPr>
          <w:b/>
          <w:i/>
          <w:sz w:val="24"/>
        </w:rPr>
      </w:pPr>
      <w:r>
        <w:rPr>
          <w:b/>
          <w:i/>
          <w:sz w:val="24"/>
        </w:rPr>
        <w:t>Regulation for Reconstruction or Redevelopment of Cluster(s) of BDD chawls at Naigaon, Worli, N.M.Joshi Marg and Shivdi by implementing Urban Renewal Scheme(s).</w:t>
      </w:r>
    </w:p>
    <w:p>
      <w:pPr>
        <w:pStyle w:val="BodyText"/>
        <w:spacing w:before="3"/>
        <w:jc w:val="left"/>
        <w:rPr>
          <w:b/>
          <w:i/>
        </w:rPr>
      </w:pPr>
    </w:p>
    <w:p>
      <w:pPr>
        <w:pStyle w:val="ListParagraph"/>
        <w:numPr>
          <w:ilvl w:val="1"/>
          <w:numId w:val="171"/>
        </w:numPr>
        <w:tabs>
          <w:tab w:pos="2618" w:val="left" w:leader="none"/>
        </w:tabs>
        <w:spacing w:line="240" w:lineRule="auto" w:before="0" w:after="0"/>
        <w:ind w:left="2050" w:right="769" w:firstLine="0"/>
        <w:jc w:val="both"/>
        <w:rPr>
          <w:b/>
          <w:sz w:val="24"/>
        </w:rPr>
      </w:pPr>
      <w:r>
        <w:rPr>
          <w:sz w:val="24"/>
        </w:rPr>
        <w:t>“Urban Renewal</w:t>
      </w:r>
      <w:r>
        <w:rPr>
          <w:spacing w:val="40"/>
          <w:sz w:val="24"/>
        </w:rPr>
        <w:t> </w:t>
      </w:r>
      <w:r>
        <w:rPr>
          <w:sz w:val="24"/>
        </w:rPr>
        <w:t>Scheme” (URS) of BDD Chawls means a scheme for</w:t>
      </w:r>
      <w:r>
        <w:rPr>
          <w:spacing w:val="-20"/>
          <w:sz w:val="24"/>
        </w:rPr>
        <w:t> </w:t>
      </w:r>
      <w:r>
        <w:rPr>
          <w:sz w:val="24"/>
        </w:rPr>
        <w:t>redevelopment</w:t>
      </w:r>
      <w:r>
        <w:rPr>
          <w:spacing w:val="-19"/>
          <w:sz w:val="24"/>
        </w:rPr>
        <w:t> </w:t>
      </w:r>
      <w:r>
        <w:rPr>
          <w:sz w:val="24"/>
        </w:rPr>
        <w:t>of</w:t>
      </w:r>
      <w:r>
        <w:rPr>
          <w:spacing w:val="-19"/>
          <w:sz w:val="24"/>
        </w:rPr>
        <w:t> </w:t>
      </w:r>
      <w:r>
        <w:rPr>
          <w:sz w:val="24"/>
        </w:rPr>
        <w:t>the</w:t>
      </w:r>
      <w:r>
        <w:rPr>
          <w:spacing w:val="-19"/>
          <w:sz w:val="24"/>
        </w:rPr>
        <w:t> </w:t>
      </w:r>
      <w:r>
        <w:rPr>
          <w:sz w:val="24"/>
        </w:rPr>
        <w:t>cluster</w:t>
      </w:r>
      <w:r>
        <w:rPr>
          <w:spacing w:val="-19"/>
          <w:sz w:val="24"/>
        </w:rPr>
        <w:t> </w:t>
      </w:r>
      <w:r>
        <w:rPr>
          <w:sz w:val="24"/>
        </w:rPr>
        <w:t>of</w:t>
      </w:r>
      <w:r>
        <w:rPr>
          <w:spacing w:val="-20"/>
          <w:sz w:val="24"/>
        </w:rPr>
        <w:t> </w:t>
      </w:r>
      <w:r>
        <w:rPr>
          <w:sz w:val="24"/>
        </w:rPr>
        <w:t>buildings</w:t>
      </w:r>
      <w:r>
        <w:rPr>
          <w:spacing w:val="18"/>
          <w:sz w:val="24"/>
        </w:rPr>
        <w:t> </w:t>
      </w:r>
      <w:r>
        <w:rPr>
          <w:sz w:val="24"/>
        </w:rPr>
        <w:t>and</w:t>
      </w:r>
      <w:r>
        <w:rPr>
          <w:spacing w:val="-20"/>
          <w:sz w:val="24"/>
        </w:rPr>
        <w:t> </w:t>
      </w:r>
      <w:r>
        <w:rPr>
          <w:sz w:val="24"/>
        </w:rPr>
        <w:t>structures</w:t>
      </w:r>
      <w:r>
        <w:rPr>
          <w:spacing w:val="-19"/>
          <w:sz w:val="24"/>
        </w:rPr>
        <w:t> </w:t>
      </w:r>
      <w:r>
        <w:rPr>
          <w:sz w:val="24"/>
        </w:rPr>
        <w:t>constructed by Bombay Development Division in the</w:t>
      </w:r>
      <w:r>
        <w:rPr>
          <w:spacing w:val="-1"/>
          <w:sz w:val="24"/>
        </w:rPr>
        <w:t> </w:t>
      </w:r>
      <w:r>
        <w:rPr>
          <w:sz w:val="24"/>
        </w:rPr>
        <w:t>Island</w:t>
      </w:r>
      <w:r>
        <w:rPr>
          <w:spacing w:val="-1"/>
          <w:sz w:val="24"/>
        </w:rPr>
        <w:t> </w:t>
      </w:r>
      <w:r>
        <w:rPr>
          <w:sz w:val="24"/>
        </w:rPr>
        <w:t>City of Mumbai, at four locations</w:t>
      </w:r>
      <w:r>
        <w:rPr>
          <w:spacing w:val="-15"/>
          <w:sz w:val="24"/>
        </w:rPr>
        <w:t> </w:t>
      </w:r>
      <w:r>
        <w:rPr>
          <w:sz w:val="24"/>
        </w:rPr>
        <w:t>and</w:t>
      </w:r>
      <w:r>
        <w:rPr>
          <w:spacing w:val="-15"/>
          <w:sz w:val="24"/>
        </w:rPr>
        <w:t> </w:t>
      </w:r>
      <w:r>
        <w:rPr>
          <w:sz w:val="24"/>
        </w:rPr>
        <w:t>boundaries</w:t>
      </w:r>
      <w:r>
        <w:rPr>
          <w:spacing w:val="-15"/>
          <w:sz w:val="24"/>
        </w:rPr>
        <w:t> </w:t>
      </w:r>
      <w:r>
        <w:rPr>
          <w:sz w:val="24"/>
        </w:rPr>
        <w:t>of</w:t>
      </w:r>
      <w:r>
        <w:rPr>
          <w:spacing w:val="-15"/>
          <w:sz w:val="24"/>
        </w:rPr>
        <w:t> </w:t>
      </w:r>
      <w:r>
        <w:rPr>
          <w:sz w:val="24"/>
        </w:rPr>
        <w:t>the</w:t>
      </w:r>
      <w:r>
        <w:rPr>
          <w:spacing w:val="-15"/>
          <w:sz w:val="24"/>
        </w:rPr>
        <w:t> </w:t>
      </w:r>
      <w:r>
        <w:rPr>
          <w:sz w:val="24"/>
        </w:rPr>
        <w:t>area</w:t>
      </w:r>
      <w:r>
        <w:rPr>
          <w:spacing w:val="-14"/>
          <w:sz w:val="24"/>
        </w:rPr>
        <w:t> </w:t>
      </w:r>
      <w:r>
        <w:rPr>
          <w:sz w:val="24"/>
        </w:rPr>
        <w:t>as</w:t>
      </w:r>
      <w:r>
        <w:rPr>
          <w:spacing w:val="-15"/>
          <w:sz w:val="24"/>
        </w:rPr>
        <w:t> </w:t>
      </w:r>
      <w:r>
        <w:rPr>
          <w:sz w:val="24"/>
        </w:rPr>
        <w:t>shown</w:t>
      </w:r>
      <w:r>
        <w:rPr>
          <w:spacing w:val="-15"/>
          <w:sz w:val="24"/>
        </w:rPr>
        <w:t> </w:t>
      </w:r>
      <w:r>
        <w:rPr>
          <w:sz w:val="24"/>
        </w:rPr>
        <w:t>in</w:t>
      </w:r>
      <w:r>
        <w:rPr>
          <w:spacing w:val="-15"/>
          <w:sz w:val="24"/>
        </w:rPr>
        <w:t> </w:t>
      </w:r>
      <w:r>
        <w:rPr>
          <w:sz w:val="24"/>
        </w:rPr>
        <w:t>DPhereinafter</w:t>
      </w:r>
      <w:r>
        <w:rPr>
          <w:spacing w:val="-15"/>
          <w:sz w:val="24"/>
        </w:rPr>
        <w:t> </w:t>
      </w:r>
      <w:r>
        <w:rPr>
          <w:sz w:val="24"/>
        </w:rPr>
        <w:t>referred to</w:t>
      </w:r>
      <w:r>
        <w:rPr>
          <w:spacing w:val="-3"/>
          <w:sz w:val="24"/>
        </w:rPr>
        <w:t> </w:t>
      </w:r>
      <w:r>
        <w:rPr>
          <w:sz w:val="24"/>
        </w:rPr>
        <w:t>as</w:t>
      </w:r>
      <w:r>
        <w:rPr>
          <w:spacing w:val="-3"/>
          <w:sz w:val="24"/>
        </w:rPr>
        <w:t> </w:t>
      </w:r>
      <w:r>
        <w:rPr>
          <w:sz w:val="24"/>
        </w:rPr>
        <w:t>"</w:t>
      </w:r>
      <w:r>
        <w:rPr>
          <w:spacing w:val="-3"/>
          <w:sz w:val="24"/>
        </w:rPr>
        <w:t> </w:t>
      </w:r>
      <w:r>
        <w:rPr>
          <w:sz w:val="24"/>
        </w:rPr>
        <w:t>Urban</w:t>
      </w:r>
      <w:r>
        <w:rPr>
          <w:spacing w:val="-3"/>
          <w:sz w:val="24"/>
        </w:rPr>
        <w:t> </w:t>
      </w:r>
      <w:r>
        <w:rPr>
          <w:sz w:val="24"/>
        </w:rPr>
        <w:t>Renewal</w:t>
      </w:r>
      <w:r>
        <w:rPr>
          <w:spacing w:val="-3"/>
          <w:sz w:val="24"/>
        </w:rPr>
        <w:t> </w:t>
      </w:r>
      <w:r>
        <w:rPr>
          <w:sz w:val="24"/>
        </w:rPr>
        <w:t>Cluster</w:t>
      </w:r>
      <w:r>
        <w:rPr>
          <w:spacing w:val="-3"/>
          <w:sz w:val="24"/>
        </w:rPr>
        <w:t> </w:t>
      </w:r>
      <w:r>
        <w:rPr>
          <w:sz w:val="24"/>
        </w:rPr>
        <w:t>or</w:t>
      </w:r>
      <w:r>
        <w:rPr>
          <w:spacing w:val="-3"/>
          <w:sz w:val="24"/>
        </w:rPr>
        <w:t> </w:t>
      </w:r>
      <w:r>
        <w:rPr>
          <w:sz w:val="24"/>
        </w:rPr>
        <w:t>URC</w:t>
      </w:r>
      <w:r>
        <w:rPr>
          <w:spacing w:val="-3"/>
          <w:sz w:val="24"/>
        </w:rPr>
        <w:t> </w:t>
      </w:r>
      <w:r>
        <w:rPr>
          <w:sz w:val="24"/>
        </w:rPr>
        <w:t>"</w:t>
      </w:r>
      <w:r>
        <w:rPr>
          <w:spacing w:val="40"/>
          <w:sz w:val="24"/>
        </w:rPr>
        <w:t> </w:t>
      </w:r>
      <w:r>
        <w:rPr>
          <w:sz w:val="24"/>
        </w:rPr>
        <w:t>shall</w:t>
      </w:r>
      <w:r>
        <w:rPr>
          <w:spacing w:val="-3"/>
          <w:sz w:val="24"/>
        </w:rPr>
        <w:t> </w:t>
      </w:r>
      <w:r>
        <w:rPr>
          <w:sz w:val="24"/>
        </w:rPr>
        <w:t>be</w:t>
      </w:r>
      <w:r>
        <w:rPr>
          <w:spacing w:val="-3"/>
          <w:sz w:val="24"/>
        </w:rPr>
        <w:t> </w:t>
      </w:r>
      <w:r>
        <w:rPr>
          <w:sz w:val="24"/>
        </w:rPr>
        <w:t>a</w:t>
      </w:r>
      <w:r>
        <w:rPr>
          <w:spacing w:val="-3"/>
          <w:sz w:val="24"/>
        </w:rPr>
        <w:t> </w:t>
      </w:r>
      <w:r>
        <w:rPr>
          <w:sz w:val="24"/>
        </w:rPr>
        <w:t>cluster</w:t>
      </w:r>
      <w:r>
        <w:rPr>
          <w:spacing w:val="-3"/>
          <w:sz w:val="24"/>
        </w:rPr>
        <w:t> </w:t>
      </w:r>
      <w:r>
        <w:rPr>
          <w:sz w:val="24"/>
        </w:rPr>
        <w:t>identified</w:t>
      </w:r>
      <w:r>
        <w:rPr>
          <w:spacing w:val="-3"/>
          <w:sz w:val="24"/>
        </w:rPr>
        <w:t> </w:t>
      </w:r>
      <w:r>
        <w:rPr>
          <w:sz w:val="24"/>
        </w:rPr>
        <w:t>for urban renewal :--</w:t>
      </w:r>
    </w:p>
    <w:p>
      <w:pPr>
        <w:pStyle w:val="BodyText"/>
        <w:spacing w:before="1"/>
        <w:jc w:val="left"/>
      </w:pPr>
    </w:p>
    <w:p>
      <w:pPr>
        <w:pStyle w:val="ListParagraph"/>
        <w:numPr>
          <w:ilvl w:val="0"/>
          <w:numId w:val="172"/>
        </w:numPr>
        <w:tabs>
          <w:tab w:pos="2781" w:val="left" w:leader="none"/>
        </w:tabs>
        <w:spacing w:line="240" w:lineRule="auto" w:before="0" w:after="0"/>
        <w:ind w:left="2050" w:right="773" w:firstLine="0"/>
        <w:jc w:val="both"/>
        <w:rPr>
          <w:sz w:val="24"/>
        </w:rPr>
      </w:pPr>
      <w:r>
        <w:rPr>
          <w:sz w:val="24"/>
        </w:rPr>
        <w:t>Under the Development Plan (DP) , where the DP contains such well-defined Clusters;</w:t>
      </w:r>
      <w:r>
        <w:rPr>
          <w:spacing w:val="40"/>
          <w:sz w:val="24"/>
        </w:rPr>
        <w:t> </w:t>
      </w:r>
      <w:r>
        <w:rPr>
          <w:sz w:val="24"/>
        </w:rPr>
        <w:t>or</w:t>
      </w:r>
    </w:p>
    <w:p>
      <w:pPr>
        <w:pStyle w:val="BodyText"/>
        <w:jc w:val="left"/>
      </w:pPr>
    </w:p>
    <w:p>
      <w:pPr>
        <w:pStyle w:val="ListParagraph"/>
        <w:numPr>
          <w:ilvl w:val="0"/>
          <w:numId w:val="172"/>
        </w:numPr>
        <w:tabs>
          <w:tab w:pos="2781" w:val="left" w:leader="none"/>
        </w:tabs>
        <w:spacing w:line="240" w:lineRule="auto" w:before="0" w:after="0"/>
        <w:ind w:left="2050" w:right="770" w:firstLine="0"/>
        <w:jc w:val="both"/>
        <w:rPr>
          <w:sz w:val="24"/>
        </w:rPr>
      </w:pPr>
      <w:r>
        <w:rPr>
          <w:sz w:val="24"/>
        </w:rPr>
        <w:t>Under the</w:t>
      </w:r>
      <w:r>
        <w:rPr>
          <w:spacing w:val="40"/>
          <w:sz w:val="24"/>
        </w:rPr>
        <w:t> </w:t>
      </w:r>
      <w:r>
        <w:rPr>
          <w:sz w:val="24"/>
        </w:rPr>
        <w:t>Urban Renewal Plan (URP) for the concerned area, prepared and notified</w:t>
      </w:r>
      <w:r>
        <w:rPr>
          <w:spacing w:val="40"/>
          <w:sz w:val="24"/>
        </w:rPr>
        <w:t> </w:t>
      </w:r>
      <w:r>
        <w:rPr>
          <w:sz w:val="24"/>
        </w:rPr>
        <w:t>by the</w:t>
      </w:r>
      <w:r>
        <w:rPr>
          <w:spacing w:val="40"/>
          <w:sz w:val="24"/>
        </w:rPr>
        <w:t> </w:t>
      </w:r>
      <w:r>
        <w:rPr>
          <w:sz w:val="24"/>
        </w:rPr>
        <w:t>Officer appointed by the Planning Authority, who may revise the same as and when required; or</w:t>
      </w:r>
    </w:p>
    <w:p>
      <w:pPr>
        <w:pStyle w:val="ListParagraph"/>
        <w:numPr>
          <w:ilvl w:val="0"/>
          <w:numId w:val="172"/>
        </w:numPr>
        <w:tabs>
          <w:tab w:pos="2781" w:val="left" w:leader="none"/>
        </w:tabs>
        <w:spacing w:line="240" w:lineRule="auto" w:before="281" w:after="0"/>
        <w:ind w:left="2050" w:right="772" w:firstLine="0"/>
        <w:jc w:val="both"/>
        <w:rPr>
          <w:sz w:val="24"/>
        </w:rPr>
      </w:pPr>
      <w:r>
        <w:rPr>
          <w:sz w:val="24"/>
        </w:rPr>
        <w:t>By Planning Authority, where such clusters of BDD Chawls are not shown on the DP and the URP is yet to be prepared.</w:t>
      </w:r>
    </w:p>
    <w:p>
      <w:pPr>
        <w:pStyle w:val="BodyText"/>
        <w:spacing w:before="1"/>
        <w:jc w:val="left"/>
      </w:pPr>
    </w:p>
    <w:p>
      <w:pPr>
        <w:pStyle w:val="BodyText"/>
        <w:spacing w:before="1"/>
        <w:ind w:left="2050" w:right="770"/>
      </w:pPr>
      <w:r>
        <w:rPr/>
        <w:t>Provided</w:t>
      </w:r>
      <w:r>
        <w:rPr>
          <w:spacing w:val="-16"/>
        </w:rPr>
        <w:t> </w:t>
      </w:r>
      <w:r>
        <w:rPr/>
        <w:t>that</w:t>
      </w:r>
      <w:r>
        <w:rPr>
          <w:spacing w:val="-16"/>
        </w:rPr>
        <w:t> </w:t>
      </w:r>
      <w:r>
        <w:rPr/>
        <w:t>no</w:t>
      </w:r>
      <w:r>
        <w:rPr>
          <w:spacing w:val="-16"/>
        </w:rPr>
        <w:t> </w:t>
      </w:r>
      <w:r>
        <w:rPr/>
        <w:t>cluster</w:t>
      </w:r>
      <w:r>
        <w:rPr>
          <w:spacing w:val="-16"/>
        </w:rPr>
        <w:t> </w:t>
      </w:r>
      <w:r>
        <w:rPr/>
        <w:t>or</w:t>
      </w:r>
      <w:r>
        <w:rPr>
          <w:spacing w:val="-16"/>
        </w:rPr>
        <w:t> </w:t>
      </w:r>
      <w:r>
        <w:rPr/>
        <w:t>clusters</w:t>
      </w:r>
      <w:r>
        <w:rPr>
          <w:spacing w:val="-16"/>
        </w:rPr>
        <w:t> </w:t>
      </w:r>
      <w:r>
        <w:rPr/>
        <w:t>shall</w:t>
      </w:r>
      <w:r>
        <w:rPr>
          <w:spacing w:val="-16"/>
        </w:rPr>
        <w:t> </w:t>
      </w:r>
      <w:r>
        <w:rPr/>
        <w:t>be</w:t>
      </w:r>
      <w:r>
        <w:rPr>
          <w:spacing w:val="-16"/>
        </w:rPr>
        <w:t> </w:t>
      </w:r>
      <w:r>
        <w:rPr/>
        <w:t>identified</w:t>
      </w:r>
      <w:r>
        <w:rPr>
          <w:spacing w:val="-16"/>
        </w:rPr>
        <w:t> </w:t>
      </w:r>
      <w:r>
        <w:rPr/>
        <w:t>for</w:t>
      </w:r>
      <w:r>
        <w:rPr>
          <w:spacing w:val="-16"/>
        </w:rPr>
        <w:t> </w:t>
      </w:r>
      <w:r>
        <w:rPr/>
        <w:t>redevelopment or implementation of Urban Renewal Scheme by the Officer appointed by the Planning Authority without carrying out an Impact </w:t>
      </w:r>
      <w:r>
        <w:rPr/>
        <w:t>Assessment Study regarding the impact on the city and sector level infrastructure and</w:t>
      </w:r>
      <w:r>
        <w:rPr>
          <w:spacing w:val="-4"/>
        </w:rPr>
        <w:t> </w:t>
      </w:r>
      <w:r>
        <w:rPr/>
        <w:t>amenities</w:t>
      </w:r>
      <w:r>
        <w:rPr>
          <w:spacing w:val="-4"/>
        </w:rPr>
        <w:t> </w:t>
      </w:r>
      <w:r>
        <w:rPr/>
        <w:t>as</w:t>
      </w:r>
      <w:r>
        <w:rPr>
          <w:spacing w:val="-4"/>
        </w:rPr>
        <w:t> </w:t>
      </w:r>
      <w:r>
        <w:rPr/>
        <w:t>well</w:t>
      </w:r>
      <w:r>
        <w:rPr>
          <w:spacing w:val="-4"/>
        </w:rPr>
        <w:t> </w:t>
      </w:r>
      <w:r>
        <w:rPr/>
        <w:t>as</w:t>
      </w:r>
      <w:r>
        <w:rPr>
          <w:spacing w:val="-4"/>
        </w:rPr>
        <w:t> </w:t>
      </w:r>
      <w:r>
        <w:rPr/>
        <w:t>traffic</w:t>
      </w:r>
      <w:r>
        <w:rPr>
          <w:spacing w:val="-4"/>
        </w:rPr>
        <w:t> </w:t>
      </w:r>
      <w:r>
        <w:rPr/>
        <w:t>and</w:t>
      </w:r>
      <w:r>
        <w:rPr>
          <w:spacing w:val="-4"/>
        </w:rPr>
        <w:t> </w:t>
      </w:r>
      <w:r>
        <w:rPr/>
        <w:t>environment</w:t>
      </w:r>
      <w:r>
        <w:rPr>
          <w:spacing w:val="-4"/>
        </w:rPr>
        <w:t> </w:t>
      </w:r>
      <w:r>
        <w:rPr/>
        <w:t>of</w:t>
      </w:r>
      <w:r>
        <w:rPr>
          <w:spacing w:val="-4"/>
        </w:rPr>
        <w:t> </w:t>
      </w:r>
      <w:r>
        <w:rPr/>
        <w:t>the</w:t>
      </w:r>
      <w:r>
        <w:rPr>
          <w:spacing w:val="-4"/>
        </w:rPr>
        <w:t> </w:t>
      </w:r>
      <w:r>
        <w:rPr/>
        <w:t>implementation of URS on such cluster or clusters.</w:t>
      </w:r>
    </w:p>
    <w:p>
      <w:pPr>
        <w:pStyle w:val="BodyText"/>
        <w:spacing w:before="280"/>
        <w:ind w:left="2050"/>
        <w:jc w:val="left"/>
      </w:pPr>
      <w:r>
        <w:rPr>
          <w:spacing w:val="-2"/>
        </w:rPr>
        <w:t>Explanation—</w:t>
      </w:r>
    </w:p>
    <w:p>
      <w:pPr>
        <w:pStyle w:val="ListParagraph"/>
        <w:numPr>
          <w:ilvl w:val="0"/>
          <w:numId w:val="173"/>
        </w:numPr>
        <w:tabs>
          <w:tab w:pos="2405" w:val="left" w:leader="none"/>
        </w:tabs>
        <w:spacing w:line="240" w:lineRule="auto" w:before="2" w:after="0"/>
        <w:ind w:left="2050" w:right="766" w:firstLine="0"/>
        <w:jc w:val="both"/>
        <w:rPr>
          <w:sz w:val="24"/>
        </w:rPr>
      </w:pPr>
      <w:r>
        <w:rPr>
          <w:sz w:val="24"/>
        </w:rPr>
        <w:t>The</w:t>
      </w:r>
      <w:r>
        <w:rPr>
          <w:spacing w:val="-16"/>
          <w:sz w:val="24"/>
        </w:rPr>
        <w:t> </w:t>
      </w:r>
      <w:r>
        <w:rPr>
          <w:sz w:val="24"/>
        </w:rPr>
        <w:t>land</w:t>
      </w:r>
      <w:r>
        <w:rPr>
          <w:spacing w:val="-16"/>
          <w:sz w:val="24"/>
        </w:rPr>
        <w:t> </w:t>
      </w:r>
      <w:r>
        <w:rPr>
          <w:sz w:val="24"/>
        </w:rPr>
        <w:t>under</w:t>
      </w:r>
      <w:r>
        <w:rPr>
          <w:spacing w:val="-16"/>
          <w:sz w:val="24"/>
        </w:rPr>
        <w:t> </w:t>
      </w:r>
      <w:r>
        <w:rPr>
          <w:sz w:val="24"/>
        </w:rPr>
        <w:t>URS,</w:t>
      </w:r>
      <w:r>
        <w:rPr>
          <w:spacing w:val="-16"/>
          <w:sz w:val="24"/>
        </w:rPr>
        <w:t> </w:t>
      </w:r>
      <w:r>
        <w:rPr>
          <w:sz w:val="24"/>
        </w:rPr>
        <w:t>irrespective</w:t>
      </w:r>
      <w:r>
        <w:rPr>
          <w:spacing w:val="-16"/>
          <w:sz w:val="24"/>
        </w:rPr>
        <w:t> </w:t>
      </w:r>
      <w:r>
        <w:rPr>
          <w:sz w:val="24"/>
        </w:rPr>
        <w:t>of</w:t>
      </w:r>
      <w:r>
        <w:rPr>
          <w:spacing w:val="-16"/>
          <w:sz w:val="24"/>
        </w:rPr>
        <w:t> </w:t>
      </w:r>
      <w:r>
        <w:rPr>
          <w:sz w:val="24"/>
        </w:rPr>
        <w:t>the</w:t>
      </w:r>
      <w:r>
        <w:rPr>
          <w:spacing w:val="-16"/>
          <w:sz w:val="24"/>
        </w:rPr>
        <w:t> </w:t>
      </w:r>
      <w:r>
        <w:rPr>
          <w:sz w:val="24"/>
        </w:rPr>
        <w:t>tenure</w:t>
      </w:r>
      <w:r>
        <w:rPr>
          <w:spacing w:val="-16"/>
          <w:sz w:val="24"/>
        </w:rPr>
        <w:t> </w:t>
      </w:r>
      <w:r>
        <w:rPr>
          <w:sz w:val="24"/>
        </w:rPr>
        <w:t>of</w:t>
      </w:r>
      <w:r>
        <w:rPr>
          <w:spacing w:val="-16"/>
          <w:sz w:val="24"/>
        </w:rPr>
        <w:t> </w:t>
      </w:r>
      <w:r>
        <w:rPr>
          <w:sz w:val="24"/>
        </w:rPr>
        <w:t>the</w:t>
      </w:r>
      <w:r>
        <w:rPr>
          <w:spacing w:val="-19"/>
          <w:sz w:val="24"/>
        </w:rPr>
        <w:t> </w:t>
      </w:r>
      <w:r>
        <w:rPr>
          <w:sz w:val="24"/>
        </w:rPr>
        <w:t>plots</w:t>
      </w:r>
      <w:r>
        <w:rPr>
          <w:spacing w:val="-19"/>
          <w:sz w:val="24"/>
        </w:rPr>
        <w:t> </w:t>
      </w:r>
      <w:r>
        <w:rPr>
          <w:sz w:val="24"/>
        </w:rPr>
        <w:t>comprised therein, shall be treated as one plot for the purpose of FSI and computation of marginal distances.</w:t>
      </w:r>
    </w:p>
    <w:p>
      <w:pPr>
        <w:pStyle w:val="ListParagraph"/>
        <w:numPr>
          <w:ilvl w:val="0"/>
          <w:numId w:val="174"/>
        </w:numPr>
        <w:tabs>
          <w:tab w:pos="2590" w:val="left" w:leader="none"/>
        </w:tabs>
        <w:spacing w:line="240" w:lineRule="auto" w:before="280" w:after="0"/>
        <w:ind w:left="2050" w:right="768" w:firstLine="0"/>
        <w:jc w:val="both"/>
        <w:rPr>
          <w:sz w:val="24"/>
        </w:rPr>
      </w:pPr>
      <w:r>
        <w:rPr>
          <w:sz w:val="24"/>
        </w:rPr>
        <w:t>In specific cases where URS is not bounded by roads, nallas and Railway</w:t>
      </w:r>
      <w:r>
        <w:rPr>
          <w:spacing w:val="-14"/>
          <w:sz w:val="24"/>
        </w:rPr>
        <w:t> </w:t>
      </w:r>
      <w:r>
        <w:rPr>
          <w:sz w:val="24"/>
        </w:rPr>
        <w:t>lines,</w:t>
      </w:r>
      <w:r>
        <w:rPr>
          <w:spacing w:val="-14"/>
          <w:sz w:val="24"/>
        </w:rPr>
        <w:t> </w:t>
      </w:r>
      <w:r>
        <w:rPr>
          <w:sz w:val="24"/>
        </w:rPr>
        <w:t>the</w:t>
      </w:r>
      <w:r>
        <w:rPr>
          <w:spacing w:val="-14"/>
          <w:sz w:val="24"/>
        </w:rPr>
        <w:t> </w:t>
      </w:r>
      <w:r>
        <w:rPr>
          <w:sz w:val="24"/>
        </w:rPr>
        <w:t>boundary</w:t>
      </w:r>
      <w:r>
        <w:rPr>
          <w:spacing w:val="-14"/>
          <w:sz w:val="24"/>
        </w:rPr>
        <w:t> </w:t>
      </w:r>
      <w:r>
        <w:rPr>
          <w:sz w:val="24"/>
        </w:rPr>
        <w:t>of</w:t>
      </w:r>
      <w:r>
        <w:rPr>
          <w:spacing w:val="-14"/>
          <w:sz w:val="24"/>
        </w:rPr>
        <w:t> </w:t>
      </w:r>
      <w:r>
        <w:rPr>
          <w:sz w:val="24"/>
        </w:rPr>
        <w:t>the</w:t>
      </w:r>
      <w:r>
        <w:rPr>
          <w:spacing w:val="-14"/>
          <w:sz w:val="24"/>
        </w:rPr>
        <w:t> </w:t>
      </w:r>
      <w:r>
        <w:rPr>
          <w:sz w:val="24"/>
        </w:rPr>
        <w:t>Cluster</w:t>
      </w:r>
      <w:r>
        <w:rPr>
          <w:spacing w:val="-14"/>
          <w:sz w:val="24"/>
        </w:rPr>
        <w:t> </w:t>
      </w:r>
      <w:r>
        <w:rPr>
          <w:sz w:val="24"/>
        </w:rPr>
        <w:t>may</w:t>
      </w:r>
      <w:r>
        <w:rPr>
          <w:spacing w:val="-14"/>
          <w:sz w:val="24"/>
        </w:rPr>
        <w:t> </w:t>
      </w:r>
      <w:r>
        <w:rPr>
          <w:sz w:val="24"/>
        </w:rPr>
        <w:t>be</w:t>
      </w:r>
      <w:r>
        <w:rPr>
          <w:spacing w:val="-14"/>
          <w:sz w:val="24"/>
        </w:rPr>
        <w:t> </w:t>
      </w:r>
      <w:r>
        <w:rPr>
          <w:sz w:val="24"/>
        </w:rPr>
        <w:t>decided</w:t>
      </w:r>
      <w:r>
        <w:rPr>
          <w:spacing w:val="-13"/>
          <w:sz w:val="24"/>
        </w:rPr>
        <w:t> </w:t>
      </w:r>
      <w:r>
        <w:rPr>
          <w:sz w:val="24"/>
        </w:rPr>
        <w:t>by</w:t>
      </w:r>
      <w:r>
        <w:rPr>
          <w:spacing w:val="-13"/>
          <w:sz w:val="24"/>
        </w:rPr>
        <w:t> </w:t>
      </w:r>
      <w:r>
        <w:rPr>
          <w:sz w:val="24"/>
        </w:rPr>
        <w:t>the</w:t>
      </w:r>
      <w:r>
        <w:rPr>
          <w:spacing w:val="-14"/>
          <w:sz w:val="24"/>
        </w:rPr>
        <w:t> </w:t>
      </w:r>
      <w:r>
        <w:rPr>
          <w:sz w:val="24"/>
        </w:rPr>
        <w:t>Officer appointed by the Planning Authority.</w:t>
      </w:r>
    </w:p>
    <w:p>
      <w:pPr>
        <w:pStyle w:val="BodyText"/>
        <w:spacing w:before="1"/>
        <w:jc w:val="left"/>
      </w:pPr>
    </w:p>
    <w:p>
      <w:pPr>
        <w:pStyle w:val="ListParagraph"/>
        <w:numPr>
          <w:ilvl w:val="1"/>
          <w:numId w:val="171"/>
        </w:numPr>
        <w:tabs>
          <w:tab w:pos="2525" w:val="left" w:leader="none"/>
        </w:tabs>
        <w:spacing w:line="240" w:lineRule="auto" w:before="0" w:after="0"/>
        <w:ind w:left="2050" w:right="772" w:firstLine="0"/>
        <w:jc w:val="both"/>
        <w:rPr>
          <w:sz w:val="24"/>
        </w:rPr>
      </w:pPr>
      <w:r>
        <w:rPr>
          <w:sz w:val="24"/>
        </w:rPr>
        <w:t>The Urban Renewal Cluster may consist of a mix of structures of different characteristics such as –</w:t>
      </w:r>
    </w:p>
    <w:p>
      <w:pPr>
        <w:pStyle w:val="BodyText"/>
        <w:jc w:val="left"/>
      </w:pPr>
    </w:p>
    <w:p>
      <w:pPr>
        <w:pStyle w:val="ListParagraph"/>
        <w:numPr>
          <w:ilvl w:val="0"/>
          <w:numId w:val="175"/>
        </w:numPr>
        <w:tabs>
          <w:tab w:pos="2399" w:val="left" w:leader="none"/>
        </w:tabs>
        <w:spacing w:line="240" w:lineRule="auto" w:before="0" w:after="0"/>
        <w:ind w:left="2050" w:right="771" w:firstLine="14"/>
        <w:jc w:val="both"/>
        <w:rPr>
          <w:sz w:val="24"/>
        </w:rPr>
      </w:pPr>
      <w:r>
        <w:rPr>
          <w:sz w:val="24"/>
        </w:rPr>
        <w:t>Cessed buildings in Island City, which attract</w:t>
      </w:r>
      <w:r>
        <w:rPr>
          <w:spacing w:val="80"/>
          <w:sz w:val="24"/>
        </w:rPr>
        <w:t> </w:t>
      </w:r>
      <w:r>
        <w:rPr>
          <w:sz w:val="24"/>
        </w:rPr>
        <w:t>the provisions of MHAD Act, 1976.</w:t>
      </w:r>
    </w:p>
    <w:p>
      <w:pPr>
        <w:pStyle w:val="BodyText"/>
        <w:jc w:val="left"/>
      </w:pPr>
    </w:p>
    <w:p>
      <w:pPr>
        <w:pStyle w:val="ListParagraph"/>
        <w:numPr>
          <w:ilvl w:val="0"/>
          <w:numId w:val="175"/>
        </w:numPr>
        <w:tabs>
          <w:tab w:pos="2781" w:val="left" w:leader="none"/>
        </w:tabs>
        <w:spacing w:line="281" w:lineRule="exact" w:before="0" w:after="0"/>
        <w:ind w:left="2781" w:right="0" w:hanging="731"/>
        <w:jc w:val="both"/>
        <w:rPr>
          <w:sz w:val="24"/>
        </w:rPr>
      </w:pPr>
      <w:r>
        <w:rPr>
          <w:sz w:val="24"/>
        </w:rPr>
        <w:t>(a)</w:t>
      </w:r>
      <w:r>
        <w:rPr>
          <w:spacing w:val="75"/>
          <w:sz w:val="24"/>
        </w:rPr>
        <w:t> </w:t>
      </w:r>
      <w:r>
        <w:rPr>
          <w:sz w:val="24"/>
        </w:rPr>
        <w:t>Buildings</w:t>
      </w:r>
      <w:r>
        <w:rPr>
          <w:spacing w:val="-1"/>
          <w:sz w:val="24"/>
        </w:rPr>
        <w:t> </w:t>
      </w:r>
      <w:r>
        <w:rPr>
          <w:sz w:val="24"/>
        </w:rPr>
        <w:t>at</w:t>
      </w:r>
      <w:r>
        <w:rPr>
          <w:spacing w:val="-1"/>
          <w:sz w:val="24"/>
        </w:rPr>
        <w:t> </w:t>
      </w:r>
      <w:r>
        <w:rPr>
          <w:sz w:val="24"/>
        </w:rPr>
        <w:t>least</w:t>
      </w:r>
      <w:r>
        <w:rPr>
          <w:spacing w:val="-1"/>
          <w:sz w:val="24"/>
        </w:rPr>
        <w:t> </w:t>
      </w:r>
      <w:r>
        <w:rPr>
          <w:sz w:val="24"/>
        </w:rPr>
        <w:t>30 years</w:t>
      </w:r>
      <w:r>
        <w:rPr>
          <w:spacing w:val="-1"/>
          <w:sz w:val="24"/>
        </w:rPr>
        <w:t> </w:t>
      </w:r>
      <w:r>
        <w:rPr>
          <w:sz w:val="24"/>
        </w:rPr>
        <w:t>of</w:t>
      </w:r>
      <w:r>
        <w:rPr>
          <w:spacing w:val="-1"/>
          <w:sz w:val="24"/>
        </w:rPr>
        <w:t> </w:t>
      </w:r>
      <w:r>
        <w:rPr>
          <w:sz w:val="24"/>
        </w:rPr>
        <w:t>age</w:t>
      </w:r>
      <w:r>
        <w:rPr>
          <w:spacing w:val="-1"/>
          <w:sz w:val="24"/>
        </w:rPr>
        <w:t> </w:t>
      </w:r>
      <w:r>
        <w:rPr>
          <w:sz w:val="24"/>
        </w:rPr>
        <w:t>and</w:t>
      </w:r>
      <w:r>
        <w:rPr>
          <w:spacing w:val="76"/>
          <w:sz w:val="24"/>
        </w:rPr>
        <w:t> </w:t>
      </w:r>
      <w:r>
        <w:rPr>
          <w:sz w:val="24"/>
        </w:rPr>
        <w:t>acquired</w:t>
      </w:r>
      <w:r>
        <w:rPr>
          <w:spacing w:val="-1"/>
          <w:sz w:val="24"/>
        </w:rPr>
        <w:t> </w:t>
      </w:r>
      <w:r>
        <w:rPr>
          <w:sz w:val="24"/>
        </w:rPr>
        <w:t>by</w:t>
      </w:r>
      <w:r>
        <w:rPr>
          <w:spacing w:val="-1"/>
          <w:sz w:val="24"/>
        </w:rPr>
        <w:t> </w:t>
      </w:r>
      <w:r>
        <w:rPr>
          <w:spacing w:val="-2"/>
          <w:sz w:val="24"/>
        </w:rPr>
        <w:t>MHADA</w:t>
      </w:r>
    </w:p>
    <w:p>
      <w:pPr>
        <w:pStyle w:val="BodyText"/>
        <w:tabs>
          <w:tab w:pos="3122" w:val="left" w:leader="none"/>
        </w:tabs>
        <w:ind w:left="2902" w:right="838" w:hanging="284"/>
        <w:jc w:val="left"/>
      </w:pPr>
      <w:r>
        <w:rPr>
          <w:spacing w:val="-4"/>
        </w:rPr>
        <w:t>(b)</w:t>
      </w:r>
      <w:r>
        <w:rPr/>
        <w:tab/>
        <w:tab/>
        <w:t>Authorized buildings at least 30 years of age constructed by Bombay Development Division (BDD).</w:t>
      </w:r>
    </w:p>
    <w:p>
      <w:pPr>
        <w:pStyle w:val="BodyText"/>
        <w:spacing w:after="0"/>
        <w:jc w:val="left"/>
        <w:sectPr>
          <w:pgSz w:w="11910" w:h="16840"/>
          <w:pgMar w:header="1065" w:footer="1194" w:top="1500" w:bottom="1380" w:left="360" w:right="360"/>
        </w:sectPr>
      </w:pPr>
    </w:p>
    <w:p>
      <w:pPr>
        <w:pStyle w:val="BodyText"/>
        <w:spacing w:before="249"/>
        <w:ind w:left="2050" w:right="766" w:firstLine="583"/>
      </w:pPr>
      <w:r>
        <w:rPr/>
        <w:t>Explanation. -- Age of a building shall be as on the 1st of January of</w:t>
      </w:r>
      <w:r>
        <w:rPr>
          <w:spacing w:val="-10"/>
        </w:rPr>
        <w:t> </w:t>
      </w:r>
      <w:r>
        <w:rPr/>
        <w:t>the</w:t>
      </w:r>
      <w:r>
        <w:rPr>
          <w:spacing w:val="-10"/>
        </w:rPr>
        <w:t> </w:t>
      </w:r>
      <w:r>
        <w:rPr/>
        <w:t>year</w:t>
      </w:r>
      <w:r>
        <w:rPr>
          <w:spacing w:val="-10"/>
        </w:rPr>
        <w:t> </w:t>
      </w:r>
      <w:r>
        <w:rPr/>
        <w:t>in</w:t>
      </w:r>
      <w:r>
        <w:rPr>
          <w:spacing w:val="-10"/>
        </w:rPr>
        <w:t> </w:t>
      </w:r>
      <w:r>
        <w:rPr/>
        <w:t>which</w:t>
      </w:r>
      <w:r>
        <w:rPr>
          <w:spacing w:val="-7"/>
        </w:rPr>
        <w:t> </w:t>
      </w:r>
      <w:r>
        <w:rPr/>
        <w:t>redevelopment</w:t>
      </w:r>
      <w:r>
        <w:rPr>
          <w:spacing w:val="-10"/>
        </w:rPr>
        <w:t> </w:t>
      </w:r>
      <w:r>
        <w:rPr/>
        <w:t>proposal</w:t>
      </w:r>
      <w:r>
        <w:rPr>
          <w:spacing w:val="-10"/>
        </w:rPr>
        <w:t> </w:t>
      </w:r>
      <w:r>
        <w:rPr/>
        <w:t>for</w:t>
      </w:r>
      <w:r>
        <w:rPr>
          <w:spacing w:val="-10"/>
        </w:rPr>
        <w:t> </w:t>
      </w:r>
      <w:r>
        <w:rPr/>
        <w:t>the</w:t>
      </w:r>
      <w:r>
        <w:rPr>
          <w:spacing w:val="-10"/>
        </w:rPr>
        <w:t> </w:t>
      </w:r>
      <w:r>
        <w:rPr/>
        <w:t>URC</w:t>
      </w:r>
      <w:r>
        <w:rPr>
          <w:spacing w:val="-10"/>
        </w:rPr>
        <w:t> </w:t>
      </w:r>
      <w:r>
        <w:rPr/>
        <w:t>complete</w:t>
      </w:r>
      <w:r>
        <w:rPr>
          <w:spacing w:val="-10"/>
        </w:rPr>
        <w:t> </w:t>
      </w:r>
      <w:r>
        <w:rPr/>
        <w:t>in</w:t>
      </w:r>
      <w:r>
        <w:rPr>
          <w:spacing w:val="-10"/>
        </w:rPr>
        <w:t> </w:t>
      </w:r>
      <w:r>
        <w:rPr/>
        <w:t>all respects,</w:t>
      </w:r>
      <w:r>
        <w:rPr>
          <w:spacing w:val="-20"/>
        </w:rPr>
        <w:t> </w:t>
      </w:r>
      <w:r>
        <w:rPr/>
        <w:t>is</w:t>
      </w:r>
      <w:r>
        <w:rPr>
          <w:spacing w:val="-19"/>
        </w:rPr>
        <w:t> </w:t>
      </w:r>
      <w:r>
        <w:rPr/>
        <w:t>submitted</w:t>
      </w:r>
      <w:r>
        <w:rPr>
          <w:spacing w:val="-19"/>
        </w:rPr>
        <w:t> </w:t>
      </w:r>
      <w:r>
        <w:rPr/>
        <w:t>to</w:t>
      </w:r>
      <w:r>
        <w:rPr>
          <w:spacing w:val="-19"/>
        </w:rPr>
        <w:t> </w:t>
      </w:r>
      <w:r>
        <w:rPr/>
        <w:t>the</w:t>
      </w:r>
      <w:r>
        <w:rPr>
          <w:spacing w:val="-19"/>
        </w:rPr>
        <w:t> </w:t>
      </w:r>
      <w:r>
        <w:rPr/>
        <w:t>Officer</w:t>
      </w:r>
      <w:r>
        <w:rPr>
          <w:spacing w:val="-20"/>
        </w:rPr>
        <w:t> </w:t>
      </w:r>
      <w:r>
        <w:rPr/>
        <w:t>appointed</w:t>
      </w:r>
      <w:r>
        <w:rPr>
          <w:spacing w:val="-19"/>
        </w:rPr>
        <w:t> </w:t>
      </w:r>
      <w:r>
        <w:rPr/>
        <w:t>by</w:t>
      </w:r>
      <w:r>
        <w:rPr>
          <w:spacing w:val="-19"/>
        </w:rPr>
        <w:t> </w:t>
      </w:r>
      <w:r>
        <w:rPr/>
        <w:t>the</w:t>
      </w:r>
      <w:r>
        <w:rPr>
          <w:spacing w:val="-19"/>
        </w:rPr>
        <w:t> </w:t>
      </w:r>
      <w:r>
        <w:rPr/>
        <w:t>Planning</w:t>
      </w:r>
      <w:r>
        <w:rPr>
          <w:spacing w:val="-19"/>
        </w:rPr>
        <w:t> </w:t>
      </w:r>
      <w:r>
        <w:rPr/>
        <w:t>Authority and</w:t>
      </w:r>
      <w:r>
        <w:rPr>
          <w:spacing w:val="-1"/>
        </w:rPr>
        <w:t> </w:t>
      </w:r>
      <w:r>
        <w:rPr/>
        <w:t>shall</w:t>
      </w:r>
      <w:r>
        <w:rPr>
          <w:spacing w:val="-1"/>
        </w:rPr>
        <w:t> </w:t>
      </w:r>
      <w:r>
        <w:rPr/>
        <w:t>be</w:t>
      </w:r>
      <w:r>
        <w:rPr>
          <w:spacing w:val="-1"/>
        </w:rPr>
        <w:t> </w:t>
      </w:r>
      <w:r>
        <w:rPr/>
        <w:t>calculated</w:t>
      </w:r>
      <w:r>
        <w:rPr>
          <w:spacing w:val="-1"/>
        </w:rPr>
        <w:t> </w:t>
      </w:r>
      <w:r>
        <w:rPr/>
        <w:t>from</w:t>
      </w:r>
      <w:r>
        <w:rPr>
          <w:spacing w:val="-1"/>
        </w:rPr>
        <w:t> </w:t>
      </w:r>
      <w:r>
        <w:rPr/>
        <w:t>the</w:t>
      </w:r>
      <w:r>
        <w:rPr>
          <w:spacing w:val="-1"/>
        </w:rPr>
        <w:t> </w:t>
      </w:r>
      <w:r>
        <w:rPr/>
        <w:t>date</w:t>
      </w:r>
      <w:r>
        <w:rPr>
          <w:spacing w:val="-1"/>
        </w:rPr>
        <w:t> </w:t>
      </w:r>
      <w:r>
        <w:rPr/>
        <w:t>of</w:t>
      </w:r>
      <w:r>
        <w:rPr>
          <w:spacing w:val="-1"/>
        </w:rPr>
        <w:t> </w:t>
      </w:r>
      <w:r>
        <w:rPr/>
        <w:t>occupation</w:t>
      </w:r>
      <w:r>
        <w:rPr>
          <w:spacing w:val="-1"/>
        </w:rPr>
        <w:t> </w:t>
      </w:r>
      <w:r>
        <w:rPr/>
        <w:t>certificate</w:t>
      </w:r>
      <w:r>
        <w:rPr>
          <w:spacing w:val="-1"/>
        </w:rPr>
        <w:t> </w:t>
      </w:r>
      <w:r>
        <w:rPr/>
        <w:t>or</w:t>
      </w:r>
      <w:r>
        <w:rPr>
          <w:spacing w:val="-1"/>
        </w:rPr>
        <w:t> </w:t>
      </w:r>
      <w:r>
        <w:rPr/>
        <w:t>where such occupation certificate is not available, from the first date of assessment as per the property tax record in respect of such building, available with the PWD.</w:t>
      </w:r>
    </w:p>
    <w:p>
      <w:pPr>
        <w:pStyle w:val="BodyText"/>
        <w:spacing w:before="2"/>
        <w:jc w:val="left"/>
      </w:pPr>
    </w:p>
    <w:p>
      <w:pPr>
        <w:pStyle w:val="ListParagraph"/>
        <w:numPr>
          <w:ilvl w:val="0"/>
          <w:numId w:val="175"/>
        </w:numPr>
        <w:tabs>
          <w:tab w:pos="2781" w:val="left" w:leader="none"/>
        </w:tabs>
        <w:spacing w:line="240" w:lineRule="auto" w:before="0" w:after="0"/>
        <w:ind w:left="2050" w:right="772" w:firstLine="0"/>
        <w:jc w:val="both"/>
        <w:rPr>
          <w:sz w:val="24"/>
        </w:rPr>
      </w:pPr>
      <w:r>
        <w:rPr>
          <w:sz w:val="24"/>
        </w:rPr>
        <w:t>(a) Buildings belonging to the State Government and Central </w:t>
      </w:r>
      <w:r>
        <w:rPr>
          <w:spacing w:val="-2"/>
          <w:sz w:val="24"/>
        </w:rPr>
        <w:t>Government</w:t>
      </w:r>
    </w:p>
    <w:p>
      <w:pPr>
        <w:pStyle w:val="BodyText"/>
        <w:ind w:left="2050" w:right="768"/>
      </w:pPr>
      <w:r>
        <w:rPr/>
        <w:t>(b) Any land belonging to the State Government, any semi-Government Organization, MCGM and MHADA (either vacant or built upon) which falls within the area of the proposed Urban Renewal Scheme including that</w:t>
      </w:r>
      <w:r>
        <w:rPr>
          <w:spacing w:val="-19"/>
        </w:rPr>
        <w:t> </w:t>
      </w:r>
      <w:r>
        <w:rPr/>
        <w:t>which</w:t>
      </w:r>
      <w:r>
        <w:rPr>
          <w:spacing w:val="-19"/>
        </w:rPr>
        <w:t> </w:t>
      </w:r>
      <w:r>
        <w:rPr/>
        <w:t>has</w:t>
      </w:r>
      <w:r>
        <w:rPr>
          <w:spacing w:val="-19"/>
        </w:rPr>
        <w:t> </w:t>
      </w:r>
      <w:r>
        <w:rPr/>
        <w:t>been</w:t>
      </w:r>
      <w:r>
        <w:rPr>
          <w:spacing w:val="-18"/>
        </w:rPr>
        <w:t> </w:t>
      </w:r>
      <w:r>
        <w:rPr/>
        <w:t>given</w:t>
      </w:r>
      <w:r>
        <w:rPr>
          <w:spacing w:val="-19"/>
        </w:rPr>
        <w:t> </w:t>
      </w:r>
      <w:r>
        <w:rPr/>
        <w:t>on</w:t>
      </w:r>
      <w:r>
        <w:rPr>
          <w:spacing w:val="-19"/>
        </w:rPr>
        <w:t> </w:t>
      </w:r>
      <w:r>
        <w:rPr/>
        <w:t>lease</w:t>
      </w:r>
      <w:r>
        <w:rPr>
          <w:spacing w:val="-19"/>
        </w:rPr>
        <w:t> </w:t>
      </w:r>
      <w:r>
        <w:rPr/>
        <w:t>or</w:t>
      </w:r>
      <w:r>
        <w:rPr>
          <w:spacing w:val="-19"/>
        </w:rPr>
        <w:t> </w:t>
      </w:r>
      <w:r>
        <w:rPr/>
        <w:t>granted</w:t>
      </w:r>
      <w:r>
        <w:rPr>
          <w:spacing w:val="-19"/>
        </w:rPr>
        <w:t> </w:t>
      </w:r>
      <w:r>
        <w:rPr/>
        <w:t>on</w:t>
      </w:r>
      <w:r>
        <w:rPr>
          <w:spacing w:val="-19"/>
        </w:rPr>
        <w:t> </w:t>
      </w:r>
      <w:r>
        <w:rPr/>
        <w:t>the</w:t>
      </w:r>
      <w:r>
        <w:rPr>
          <w:spacing w:val="-19"/>
        </w:rPr>
        <w:t> </w:t>
      </w:r>
      <w:r>
        <w:rPr/>
        <w:t>tenure</w:t>
      </w:r>
      <w:r>
        <w:rPr>
          <w:spacing w:val="-19"/>
        </w:rPr>
        <w:t> </w:t>
      </w:r>
      <w:r>
        <w:rPr/>
        <w:t>of</w:t>
      </w:r>
      <w:r>
        <w:rPr>
          <w:spacing w:val="-16"/>
        </w:rPr>
        <w:t> </w:t>
      </w:r>
      <w:r>
        <w:rPr/>
        <w:t>Occupant Class II.</w:t>
      </w:r>
    </w:p>
    <w:p>
      <w:pPr>
        <w:pStyle w:val="BodyText"/>
        <w:ind w:left="2050" w:right="768" w:firstLine="1690"/>
      </w:pPr>
      <w:r>
        <w:rPr/>
        <w:t>Provided that in case of buildings or lands belonging to the Central Govt., the State Government, Semi-</w:t>
      </w:r>
      <w:r>
        <w:rPr/>
        <w:t>Government Organizations and MCGM or MHADA, prior consent of the concerned Department</w:t>
      </w:r>
      <w:r>
        <w:rPr>
          <w:spacing w:val="40"/>
        </w:rPr>
        <w:t> </w:t>
      </w:r>
      <w:r>
        <w:rPr/>
        <w:t>shall have to be obtained for including</w:t>
      </w:r>
      <w:r>
        <w:rPr>
          <w:spacing w:val="40"/>
        </w:rPr>
        <w:t> </w:t>
      </w:r>
      <w:r>
        <w:rPr/>
        <w:t>such buildings or lands in any proposal of Urban Renewal Scheme.</w:t>
      </w:r>
    </w:p>
    <w:p>
      <w:pPr>
        <w:pStyle w:val="BodyText"/>
        <w:spacing w:before="1"/>
        <w:jc w:val="left"/>
      </w:pPr>
    </w:p>
    <w:p>
      <w:pPr>
        <w:pStyle w:val="ListParagraph"/>
        <w:numPr>
          <w:ilvl w:val="0"/>
          <w:numId w:val="175"/>
        </w:numPr>
        <w:tabs>
          <w:tab w:pos="2682" w:val="left" w:leader="none"/>
        </w:tabs>
        <w:spacing w:line="240" w:lineRule="auto" w:before="0" w:after="0"/>
        <w:ind w:left="2050" w:right="768" w:firstLine="0"/>
        <w:jc w:val="both"/>
        <w:rPr>
          <w:sz w:val="24"/>
        </w:rPr>
      </w:pPr>
      <w:r>
        <w:rPr>
          <w:sz w:val="24"/>
        </w:rPr>
        <w:t>Other buildings which by reasons of dis-repair or because of structural/sanitary defects, are</w:t>
      </w:r>
      <w:r>
        <w:rPr>
          <w:spacing w:val="80"/>
          <w:sz w:val="24"/>
        </w:rPr>
        <w:t> </w:t>
      </w:r>
      <w:r>
        <w:rPr>
          <w:sz w:val="24"/>
        </w:rPr>
        <w:t>unfit for human habitation or by reasons of their bad configuration or the narrowness of streets are dangerous or injurious to the health or safety of the inhabitants of the area,</w:t>
      </w:r>
      <w:r>
        <w:rPr>
          <w:spacing w:val="-20"/>
          <w:sz w:val="24"/>
        </w:rPr>
        <w:t> </w:t>
      </w:r>
      <w:r>
        <w:rPr>
          <w:sz w:val="24"/>
        </w:rPr>
        <w:t>as</w:t>
      </w:r>
      <w:r>
        <w:rPr>
          <w:spacing w:val="-19"/>
          <w:sz w:val="24"/>
        </w:rPr>
        <w:t> </w:t>
      </w:r>
      <w:r>
        <w:rPr>
          <w:sz w:val="24"/>
        </w:rPr>
        <w:t>certified</w:t>
      </w:r>
      <w:r>
        <w:rPr>
          <w:spacing w:val="-18"/>
          <w:sz w:val="24"/>
        </w:rPr>
        <w:t> </w:t>
      </w:r>
      <w:r>
        <w:rPr>
          <w:sz w:val="24"/>
        </w:rPr>
        <w:t>by</w:t>
      </w:r>
      <w:r>
        <w:rPr>
          <w:spacing w:val="-19"/>
          <w:sz w:val="24"/>
        </w:rPr>
        <w:t> </w:t>
      </w:r>
      <w:r>
        <w:rPr>
          <w:sz w:val="24"/>
        </w:rPr>
        <w:t>the</w:t>
      </w:r>
      <w:r>
        <w:rPr>
          <w:spacing w:val="-20"/>
          <w:sz w:val="24"/>
        </w:rPr>
        <w:t> </w:t>
      </w:r>
      <w:r>
        <w:rPr>
          <w:sz w:val="24"/>
        </w:rPr>
        <w:t>Officer</w:t>
      </w:r>
      <w:r>
        <w:rPr>
          <w:spacing w:val="-19"/>
          <w:sz w:val="24"/>
        </w:rPr>
        <w:t> </w:t>
      </w:r>
      <w:r>
        <w:rPr>
          <w:sz w:val="24"/>
        </w:rPr>
        <w:t>or</w:t>
      </w:r>
      <w:r>
        <w:rPr>
          <w:spacing w:val="-19"/>
          <w:sz w:val="24"/>
        </w:rPr>
        <w:t> </w:t>
      </w:r>
      <w:r>
        <w:rPr>
          <w:sz w:val="24"/>
        </w:rPr>
        <w:t>the</w:t>
      </w:r>
      <w:r>
        <w:rPr>
          <w:spacing w:val="-19"/>
          <w:sz w:val="24"/>
        </w:rPr>
        <w:t> </w:t>
      </w:r>
      <w:r>
        <w:rPr>
          <w:sz w:val="24"/>
        </w:rPr>
        <w:t>Agency</w:t>
      </w:r>
      <w:r>
        <w:rPr>
          <w:spacing w:val="-19"/>
          <w:sz w:val="24"/>
        </w:rPr>
        <w:t> </w:t>
      </w:r>
      <w:r>
        <w:rPr>
          <w:sz w:val="24"/>
        </w:rPr>
        <w:t>designated</w:t>
      </w:r>
      <w:r>
        <w:rPr>
          <w:spacing w:val="-20"/>
          <w:sz w:val="24"/>
        </w:rPr>
        <w:t> </w:t>
      </w:r>
      <w:r>
        <w:rPr>
          <w:sz w:val="24"/>
        </w:rPr>
        <w:t>for</w:t>
      </w:r>
      <w:r>
        <w:rPr>
          <w:spacing w:val="-19"/>
          <w:sz w:val="24"/>
        </w:rPr>
        <w:t> </w:t>
      </w:r>
      <w:r>
        <w:rPr>
          <w:sz w:val="24"/>
        </w:rPr>
        <w:t>this</w:t>
      </w:r>
      <w:r>
        <w:rPr>
          <w:spacing w:val="-17"/>
          <w:sz w:val="24"/>
        </w:rPr>
        <w:t> </w:t>
      </w:r>
      <w:r>
        <w:rPr>
          <w:sz w:val="24"/>
        </w:rPr>
        <w:t>purpose by Planning Authority.</w:t>
      </w:r>
    </w:p>
    <w:p>
      <w:pPr>
        <w:pStyle w:val="ListParagraph"/>
        <w:numPr>
          <w:ilvl w:val="0"/>
          <w:numId w:val="175"/>
        </w:numPr>
        <w:tabs>
          <w:tab w:pos="2528" w:val="left" w:leader="none"/>
        </w:tabs>
        <w:spacing w:line="276" w:lineRule="auto" w:before="278" w:after="0"/>
        <w:ind w:left="2050" w:right="766" w:firstLine="0"/>
        <w:jc w:val="both"/>
        <w:rPr>
          <w:sz w:val="24"/>
        </w:rPr>
      </w:pPr>
      <w:r>
        <w:rPr>
          <w:sz w:val="24"/>
        </w:rPr>
        <w:t>All dwelling structures, as defined in Section 3 X of Maharashtra Slums Area (Improvement, Clearance and Redevelopment) Act, 1971, existing</w:t>
      </w:r>
      <w:r>
        <w:rPr>
          <w:spacing w:val="40"/>
          <w:sz w:val="24"/>
        </w:rPr>
        <w:t>  </w:t>
      </w:r>
      <w:r>
        <w:rPr>
          <w:sz w:val="24"/>
        </w:rPr>
        <w:t>prior 1-1-2000</w:t>
      </w:r>
    </w:p>
    <w:p>
      <w:pPr>
        <w:pStyle w:val="BodyText"/>
        <w:spacing w:before="42"/>
        <w:jc w:val="left"/>
      </w:pPr>
    </w:p>
    <w:p>
      <w:pPr>
        <w:pStyle w:val="BodyText"/>
        <w:spacing w:line="276" w:lineRule="auto"/>
        <w:ind w:left="2050" w:right="769"/>
      </w:pPr>
      <w:r>
        <w:rPr/>
        <w:t>Explanation: If some areas are previously developed/or are in the process of development under different provisions of the DCPR, such areas can be included in the urban renewal cluster only for planning purposes. However, such areas shall be excluded for calculation of FSI under</w:t>
      </w:r>
      <w:r>
        <w:rPr>
          <w:spacing w:val="-6"/>
        </w:rPr>
        <w:t> </w:t>
      </w:r>
      <w:r>
        <w:rPr/>
        <w:t>this</w:t>
      </w:r>
      <w:r>
        <w:rPr>
          <w:spacing w:val="-6"/>
        </w:rPr>
        <w:t> </w:t>
      </w:r>
      <w:r>
        <w:rPr/>
        <w:t>Regulation</w:t>
      </w:r>
      <w:r>
        <w:rPr>
          <w:spacing w:val="-6"/>
        </w:rPr>
        <w:t> </w:t>
      </w:r>
      <w:r>
        <w:rPr/>
        <w:t>and</w:t>
      </w:r>
      <w:r>
        <w:rPr>
          <w:spacing w:val="-6"/>
        </w:rPr>
        <w:t> </w:t>
      </w:r>
      <w:r>
        <w:rPr/>
        <w:t>the</w:t>
      </w:r>
      <w:r>
        <w:rPr>
          <w:spacing w:val="-6"/>
        </w:rPr>
        <w:t> </w:t>
      </w:r>
      <w:r>
        <w:rPr/>
        <w:t>admissible</w:t>
      </w:r>
      <w:r>
        <w:rPr>
          <w:spacing w:val="-8"/>
        </w:rPr>
        <w:t> </w:t>
      </w:r>
      <w:r>
        <w:rPr/>
        <w:t>FSI</w:t>
      </w:r>
      <w:r>
        <w:rPr>
          <w:spacing w:val="-6"/>
        </w:rPr>
        <w:t> </w:t>
      </w:r>
      <w:r>
        <w:rPr/>
        <w:t>shall</w:t>
      </w:r>
      <w:r>
        <w:rPr>
          <w:spacing w:val="-6"/>
        </w:rPr>
        <w:t> </w:t>
      </w:r>
      <w:r>
        <w:rPr/>
        <w:t>be</w:t>
      </w:r>
      <w:r>
        <w:rPr>
          <w:spacing w:val="-8"/>
        </w:rPr>
        <w:t> </w:t>
      </w:r>
      <w:r>
        <w:rPr/>
        <w:t>calculated</w:t>
      </w:r>
      <w:r>
        <w:rPr>
          <w:spacing w:val="-6"/>
        </w:rPr>
        <w:t> </w:t>
      </w:r>
      <w:r>
        <w:rPr/>
        <w:t>as</w:t>
      </w:r>
      <w:r>
        <w:rPr>
          <w:spacing w:val="-6"/>
        </w:rPr>
        <w:t> </w:t>
      </w:r>
      <w:r>
        <w:rPr/>
        <w:t>per the relevant provisions of the DCPR under which such areas are developed or are being developed.</w:t>
      </w:r>
    </w:p>
    <w:p>
      <w:pPr>
        <w:pStyle w:val="Heading6"/>
        <w:numPr>
          <w:ilvl w:val="0"/>
          <w:numId w:val="173"/>
        </w:numPr>
        <w:tabs>
          <w:tab w:pos="2351" w:val="left" w:leader="none"/>
        </w:tabs>
        <w:spacing w:line="240" w:lineRule="auto" w:before="200" w:after="0"/>
        <w:ind w:left="2050" w:right="773" w:firstLine="0"/>
        <w:jc w:val="both"/>
        <w:rPr>
          <w:i w:val="0"/>
        </w:rPr>
      </w:pPr>
      <w:r>
        <w:rPr/>
        <w:t>Eligibility</w:t>
      </w:r>
      <w:r>
        <w:rPr>
          <w:spacing w:val="-21"/>
        </w:rPr>
        <w:t> </w:t>
      </w:r>
      <w:r>
        <w:rPr/>
        <w:t>of</w:t>
      </w:r>
      <w:r>
        <w:rPr>
          <w:spacing w:val="-20"/>
        </w:rPr>
        <w:t> </w:t>
      </w:r>
      <w:r>
        <w:rPr/>
        <w:t>Occupants</w:t>
      </w:r>
      <w:r>
        <w:rPr>
          <w:spacing w:val="-21"/>
        </w:rPr>
        <w:t> </w:t>
      </w:r>
      <w:r>
        <w:rPr/>
        <w:t>for</w:t>
      </w:r>
      <w:r>
        <w:rPr>
          <w:spacing w:val="-20"/>
        </w:rPr>
        <w:t> </w:t>
      </w:r>
      <w:r>
        <w:rPr/>
        <w:t>Rehabilitation</w:t>
      </w:r>
      <w:r>
        <w:rPr>
          <w:spacing w:val="-20"/>
        </w:rPr>
        <w:t> </w:t>
      </w:r>
      <w:r>
        <w:rPr/>
        <w:t>under</w:t>
      </w:r>
      <w:r>
        <w:rPr>
          <w:spacing w:val="-21"/>
        </w:rPr>
        <w:t> </w:t>
      </w:r>
      <w:r>
        <w:rPr/>
        <w:t>Urban</w:t>
      </w:r>
      <w:r>
        <w:rPr>
          <w:spacing w:val="-20"/>
        </w:rPr>
        <w:t> </w:t>
      </w:r>
      <w:r>
        <w:rPr/>
        <w:t>Renewal Scheme (URS)</w:t>
      </w:r>
    </w:p>
    <w:p>
      <w:pPr>
        <w:pStyle w:val="BodyText"/>
        <w:spacing w:before="5"/>
        <w:jc w:val="left"/>
        <w:rPr>
          <w:b/>
          <w:i/>
        </w:rPr>
      </w:pPr>
    </w:p>
    <w:p>
      <w:pPr>
        <w:pStyle w:val="ListParagraph"/>
        <w:numPr>
          <w:ilvl w:val="1"/>
          <w:numId w:val="173"/>
        </w:numPr>
        <w:tabs>
          <w:tab w:pos="2433" w:val="left" w:leader="none"/>
        </w:tabs>
        <w:spacing w:line="240" w:lineRule="auto" w:before="0" w:after="0"/>
        <w:ind w:left="2433" w:right="0" w:hanging="383"/>
        <w:jc w:val="both"/>
        <w:rPr>
          <w:sz w:val="24"/>
        </w:rPr>
      </w:pPr>
      <w:r>
        <w:rPr>
          <w:sz w:val="24"/>
        </w:rPr>
        <w:t>For</w:t>
      </w:r>
      <w:r>
        <w:rPr>
          <w:spacing w:val="-1"/>
          <w:sz w:val="24"/>
        </w:rPr>
        <w:t> </w:t>
      </w:r>
      <w:r>
        <w:rPr>
          <w:sz w:val="24"/>
        </w:rPr>
        <w:t>Buildings -</w:t>
      </w:r>
      <w:r>
        <w:rPr>
          <w:spacing w:val="-10"/>
          <w:sz w:val="24"/>
        </w:rPr>
        <w:t>-</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2"/>
          <w:numId w:val="173"/>
        </w:numPr>
        <w:tabs>
          <w:tab w:pos="2808" w:val="left" w:leader="none"/>
        </w:tabs>
        <w:spacing w:line="240" w:lineRule="auto" w:before="249" w:after="0"/>
        <w:ind w:left="2050" w:right="768" w:firstLine="0"/>
        <w:jc w:val="both"/>
        <w:rPr>
          <w:sz w:val="24"/>
        </w:rPr>
      </w:pPr>
      <w:r>
        <w:rPr>
          <w:sz w:val="24"/>
        </w:rPr>
        <w:t>No new tenancy created after 13/6/1996 shall be considered. Further,</w:t>
      </w:r>
      <w:r>
        <w:rPr>
          <w:spacing w:val="-2"/>
          <w:sz w:val="24"/>
        </w:rPr>
        <w:t> </w:t>
      </w:r>
      <w:r>
        <w:rPr>
          <w:sz w:val="24"/>
        </w:rPr>
        <w:t>unauthorized</w:t>
      </w:r>
      <w:r>
        <w:rPr>
          <w:spacing w:val="-2"/>
          <w:sz w:val="24"/>
        </w:rPr>
        <w:t> </w:t>
      </w:r>
      <w:r>
        <w:rPr>
          <w:sz w:val="24"/>
        </w:rPr>
        <w:t>construction</w:t>
      </w:r>
      <w:r>
        <w:rPr>
          <w:spacing w:val="-2"/>
          <w:sz w:val="24"/>
        </w:rPr>
        <w:t> </w:t>
      </w:r>
      <w:r>
        <w:rPr>
          <w:sz w:val="24"/>
        </w:rPr>
        <w:t>made in</w:t>
      </w:r>
      <w:r>
        <w:rPr>
          <w:spacing w:val="-2"/>
          <w:sz w:val="24"/>
        </w:rPr>
        <w:t> </w:t>
      </w:r>
      <w:r>
        <w:rPr>
          <w:sz w:val="24"/>
        </w:rPr>
        <w:t>buildings</w:t>
      </w:r>
      <w:r>
        <w:rPr>
          <w:spacing w:val="-2"/>
          <w:sz w:val="24"/>
        </w:rPr>
        <w:t> </w:t>
      </w:r>
      <w:r>
        <w:rPr>
          <w:sz w:val="24"/>
        </w:rPr>
        <w:t>for</w:t>
      </w:r>
      <w:r>
        <w:rPr>
          <w:spacing w:val="-2"/>
          <w:sz w:val="24"/>
        </w:rPr>
        <w:t> </w:t>
      </w:r>
      <w:r>
        <w:rPr>
          <w:sz w:val="24"/>
        </w:rPr>
        <w:t>creating</w:t>
      </w:r>
      <w:r>
        <w:rPr>
          <w:spacing w:val="-2"/>
          <w:sz w:val="24"/>
        </w:rPr>
        <w:t> </w:t>
      </w:r>
      <w:r>
        <w:rPr>
          <w:sz w:val="24"/>
        </w:rPr>
        <w:t>new tenancy in the existing tenancies shall not be considered while computing existing FSI. A certified inspection extract of the Competent Authority/MCGM prior to 13/6/1996</w:t>
      </w:r>
      <w:r>
        <w:rPr>
          <w:spacing w:val="40"/>
          <w:sz w:val="24"/>
        </w:rPr>
        <w:t> </w:t>
      </w:r>
      <w:r>
        <w:rPr>
          <w:sz w:val="24"/>
        </w:rPr>
        <w:t>and certification by</w:t>
      </w:r>
      <w:r>
        <w:rPr>
          <w:spacing w:val="40"/>
          <w:sz w:val="24"/>
        </w:rPr>
        <w:t> </w:t>
      </w:r>
      <w:r>
        <w:rPr>
          <w:sz w:val="24"/>
        </w:rPr>
        <w:t>Competent Authority appointed by Government for this purpose as decided by GR dated 30/03/2016 proving the existence of tenements prior to 13/6/1996 shall be considered adequate evidence to establish the number of tenements and tenants/occupants of such tenements. However, the Govt. in Housing Department, if necessary may issue comprehensive guidelines for determination of eligibility of occupiers and tenants therein.</w:t>
      </w:r>
    </w:p>
    <w:p>
      <w:pPr>
        <w:pStyle w:val="BodyText"/>
        <w:jc w:val="left"/>
      </w:pPr>
    </w:p>
    <w:p>
      <w:pPr>
        <w:pStyle w:val="ListParagraph"/>
        <w:numPr>
          <w:ilvl w:val="2"/>
          <w:numId w:val="173"/>
        </w:numPr>
        <w:tabs>
          <w:tab w:pos="2430" w:val="left" w:leader="none"/>
        </w:tabs>
        <w:spacing w:line="240" w:lineRule="auto" w:before="1" w:after="0"/>
        <w:ind w:left="2050" w:right="769" w:firstLine="81"/>
        <w:jc w:val="both"/>
        <w:rPr>
          <w:sz w:val="24"/>
        </w:rPr>
      </w:pPr>
      <w:r>
        <w:rPr>
          <w:sz w:val="24"/>
        </w:rPr>
        <w:t>The</w:t>
      </w:r>
      <w:r>
        <w:rPr>
          <w:spacing w:val="-1"/>
          <w:sz w:val="24"/>
        </w:rPr>
        <w:t> </w:t>
      </w:r>
      <w:r>
        <w:rPr>
          <w:sz w:val="24"/>
        </w:rPr>
        <w:t>list of</w:t>
      </w:r>
      <w:r>
        <w:rPr>
          <w:spacing w:val="-1"/>
          <w:sz w:val="24"/>
        </w:rPr>
        <w:t> </w:t>
      </w:r>
      <w:r>
        <w:rPr>
          <w:sz w:val="24"/>
        </w:rPr>
        <w:t>eligible tenants</w:t>
      </w:r>
      <w:r>
        <w:rPr>
          <w:spacing w:val="-1"/>
          <w:sz w:val="24"/>
        </w:rPr>
        <w:t> </w:t>
      </w:r>
      <w:r>
        <w:rPr>
          <w:sz w:val="24"/>
        </w:rPr>
        <w:t>and the</w:t>
      </w:r>
      <w:r>
        <w:rPr>
          <w:spacing w:val="-1"/>
          <w:sz w:val="24"/>
        </w:rPr>
        <w:t> </w:t>
      </w:r>
      <w:r>
        <w:rPr>
          <w:sz w:val="24"/>
        </w:rPr>
        <w:t>area</w:t>
      </w:r>
      <w:r>
        <w:rPr>
          <w:spacing w:val="-1"/>
          <w:sz w:val="24"/>
        </w:rPr>
        <w:t> </w:t>
      </w:r>
      <w:r>
        <w:rPr>
          <w:sz w:val="24"/>
        </w:rPr>
        <w:t>occupied</w:t>
      </w:r>
      <w:r>
        <w:rPr>
          <w:spacing w:val="-1"/>
          <w:sz w:val="24"/>
        </w:rPr>
        <w:t> </w:t>
      </w:r>
      <w:r>
        <w:rPr>
          <w:sz w:val="24"/>
        </w:rPr>
        <w:t>by</w:t>
      </w:r>
      <w:r>
        <w:rPr>
          <w:spacing w:val="-1"/>
          <w:sz w:val="24"/>
        </w:rPr>
        <w:t> </w:t>
      </w:r>
      <w:r>
        <w:rPr>
          <w:sz w:val="24"/>
        </w:rPr>
        <w:t>each of</w:t>
      </w:r>
      <w:r>
        <w:rPr>
          <w:spacing w:val="-1"/>
          <w:sz w:val="24"/>
        </w:rPr>
        <w:t> </w:t>
      </w:r>
      <w:r>
        <w:rPr>
          <w:sz w:val="24"/>
        </w:rPr>
        <w:t>them</w:t>
      </w:r>
      <w:r>
        <w:rPr>
          <w:spacing w:val="-1"/>
          <w:sz w:val="24"/>
        </w:rPr>
        <w:t> </w:t>
      </w:r>
      <w:r>
        <w:rPr>
          <w:sz w:val="24"/>
        </w:rPr>
        <w:t>in BDD</w:t>
      </w:r>
      <w:r>
        <w:rPr>
          <w:spacing w:val="-13"/>
          <w:sz w:val="24"/>
        </w:rPr>
        <w:t> </w:t>
      </w:r>
      <w:r>
        <w:rPr>
          <w:sz w:val="24"/>
        </w:rPr>
        <w:t>Chawls</w:t>
      </w:r>
      <w:r>
        <w:rPr>
          <w:spacing w:val="-13"/>
          <w:sz w:val="24"/>
        </w:rPr>
        <w:t> </w:t>
      </w:r>
      <w:r>
        <w:rPr>
          <w:sz w:val="24"/>
        </w:rPr>
        <w:t>shall</w:t>
      </w:r>
      <w:r>
        <w:rPr>
          <w:spacing w:val="-13"/>
          <w:sz w:val="24"/>
        </w:rPr>
        <w:t> </w:t>
      </w:r>
      <w:r>
        <w:rPr>
          <w:sz w:val="24"/>
        </w:rPr>
        <w:t>be</w:t>
      </w:r>
      <w:r>
        <w:rPr>
          <w:spacing w:val="-13"/>
          <w:sz w:val="24"/>
        </w:rPr>
        <w:t> </w:t>
      </w:r>
      <w:r>
        <w:rPr>
          <w:sz w:val="24"/>
        </w:rPr>
        <w:t>certified</w:t>
      </w:r>
      <w:r>
        <w:rPr>
          <w:spacing w:val="-13"/>
          <w:sz w:val="24"/>
        </w:rPr>
        <w:t> </w:t>
      </w:r>
      <w:r>
        <w:rPr>
          <w:sz w:val="24"/>
        </w:rPr>
        <w:t>by</w:t>
      </w:r>
      <w:r>
        <w:rPr>
          <w:spacing w:val="-13"/>
          <w:sz w:val="24"/>
        </w:rPr>
        <w:t> </w:t>
      </w:r>
      <w:r>
        <w:rPr>
          <w:sz w:val="24"/>
        </w:rPr>
        <w:t>the</w:t>
      </w:r>
      <w:r>
        <w:rPr>
          <w:spacing w:val="-13"/>
          <w:sz w:val="24"/>
        </w:rPr>
        <w:t> </w:t>
      </w:r>
      <w:r>
        <w:rPr>
          <w:sz w:val="24"/>
        </w:rPr>
        <w:t>Competent</w:t>
      </w:r>
      <w:r>
        <w:rPr>
          <w:spacing w:val="-13"/>
          <w:sz w:val="24"/>
        </w:rPr>
        <w:t> </w:t>
      </w:r>
      <w:r>
        <w:rPr>
          <w:sz w:val="24"/>
        </w:rPr>
        <w:t>Authority</w:t>
      </w:r>
      <w:r>
        <w:rPr>
          <w:spacing w:val="-13"/>
          <w:sz w:val="24"/>
        </w:rPr>
        <w:t> </w:t>
      </w:r>
      <w:r>
        <w:rPr>
          <w:sz w:val="24"/>
        </w:rPr>
        <w:t>appointed</w:t>
      </w:r>
      <w:r>
        <w:rPr>
          <w:spacing w:val="-13"/>
          <w:sz w:val="24"/>
        </w:rPr>
        <w:t> </w:t>
      </w:r>
      <w:r>
        <w:rPr>
          <w:sz w:val="24"/>
        </w:rPr>
        <w:t>by Government for this purpose.</w:t>
      </w:r>
    </w:p>
    <w:p>
      <w:pPr>
        <w:pStyle w:val="Heading6"/>
        <w:numPr>
          <w:ilvl w:val="0"/>
          <w:numId w:val="176"/>
        </w:numPr>
        <w:tabs>
          <w:tab w:pos="2356" w:val="left" w:leader="none"/>
        </w:tabs>
        <w:spacing w:line="278" w:lineRule="auto" w:before="278" w:after="0"/>
        <w:ind w:left="2050" w:right="770" w:firstLine="0"/>
        <w:jc w:val="both"/>
      </w:pPr>
      <w:r>
        <w:rPr/>
        <w:t>For</w:t>
      </w:r>
      <w:r>
        <w:rPr>
          <w:spacing w:val="-14"/>
        </w:rPr>
        <w:t> </w:t>
      </w:r>
      <w:r>
        <w:rPr/>
        <w:t>Dwelling</w:t>
      </w:r>
      <w:r>
        <w:rPr>
          <w:spacing w:val="-13"/>
        </w:rPr>
        <w:t> </w:t>
      </w:r>
      <w:r>
        <w:rPr/>
        <w:t>Structures</w:t>
      </w:r>
      <w:r>
        <w:rPr>
          <w:spacing w:val="-14"/>
        </w:rPr>
        <w:t> </w:t>
      </w:r>
      <w:r>
        <w:rPr/>
        <w:t>(other</w:t>
      </w:r>
      <w:r>
        <w:rPr>
          <w:spacing w:val="-14"/>
        </w:rPr>
        <w:t> </w:t>
      </w:r>
      <w:r>
        <w:rPr/>
        <w:t>than</w:t>
      </w:r>
      <w:r>
        <w:rPr>
          <w:spacing w:val="-12"/>
        </w:rPr>
        <w:t> </w:t>
      </w:r>
      <w:r>
        <w:rPr/>
        <w:t>tenements</w:t>
      </w:r>
      <w:r>
        <w:rPr>
          <w:spacing w:val="-14"/>
        </w:rPr>
        <w:t> </w:t>
      </w:r>
      <w:r>
        <w:rPr/>
        <w:t>in</w:t>
      </w:r>
      <w:r>
        <w:rPr>
          <w:spacing w:val="-14"/>
        </w:rPr>
        <w:t> </w:t>
      </w:r>
      <w:r>
        <w:rPr/>
        <w:t>B.D.D.</w:t>
      </w:r>
      <w:r>
        <w:rPr>
          <w:spacing w:val="-14"/>
        </w:rPr>
        <w:t> </w:t>
      </w:r>
      <w:r>
        <w:rPr/>
        <w:t>Chawls </w:t>
      </w:r>
      <w:r>
        <w:rPr>
          <w:spacing w:val="-2"/>
        </w:rPr>
        <w:t>buildings)</w:t>
      </w:r>
    </w:p>
    <w:p>
      <w:pPr>
        <w:pStyle w:val="ListParagraph"/>
        <w:numPr>
          <w:ilvl w:val="1"/>
          <w:numId w:val="176"/>
        </w:numPr>
        <w:tabs>
          <w:tab w:pos="2567" w:val="left" w:leader="none"/>
        </w:tabs>
        <w:spacing w:line="276" w:lineRule="auto" w:before="196" w:after="0"/>
        <w:ind w:left="2194" w:right="768" w:firstLine="0"/>
        <w:jc w:val="both"/>
        <w:rPr>
          <w:sz w:val="24"/>
        </w:rPr>
      </w:pPr>
      <w:r>
        <w:rPr>
          <w:sz w:val="24"/>
        </w:rPr>
        <w:t>Dwelling Structures means all dwelling structures, as defined in Section</w:t>
      </w:r>
      <w:r>
        <w:rPr>
          <w:spacing w:val="-2"/>
          <w:sz w:val="24"/>
        </w:rPr>
        <w:t> </w:t>
      </w:r>
      <w:r>
        <w:rPr>
          <w:sz w:val="24"/>
        </w:rPr>
        <w:t>3</w:t>
      </w:r>
      <w:r>
        <w:rPr>
          <w:spacing w:val="-2"/>
          <w:sz w:val="24"/>
        </w:rPr>
        <w:t> </w:t>
      </w:r>
      <w:r>
        <w:rPr>
          <w:sz w:val="24"/>
        </w:rPr>
        <w:t>X</w:t>
      </w:r>
      <w:r>
        <w:rPr>
          <w:spacing w:val="-2"/>
          <w:sz w:val="24"/>
        </w:rPr>
        <w:t> </w:t>
      </w:r>
      <w:r>
        <w:rPr>
          <w:sz w:val="24"/>
        </w:rPr>
        <w:t>of</w:t>
      </w:r>
      <w:r>
        <w:rPr>
          <w:spacing w:val="-2"/>
          <w:sz w:val="24"/>
        </w:rPr>
        <w:t> </w:t>
      </w:r>
      <w:r>
        <w:rPr>
          <w:sz w:val="24"/>
        </w:rPr>
        <w:t>Maharashtra Slums</w:t>
      </w:r>
      <w:r>
        <w:rPr>
          <w:spacing w:val="-2"/>
          <w:sz w:val="24"/>
        </w:rPr>
        <w:t> </w:t>
      </w:r>
      <w:r>
        <w:rPr>
          <w:sz w:val="24"/>
        </w:rPr>
        <w:t>Area</w:t>
      </w:r>
      <w:r>
        <w:rPr>
          <w:spacing w:val="-1"/>
          <w:sz w:val="24"/>
        </w:rPr>
        <w:t> </w:t>
      </w:r>
      <w:r>
        <w:rPr>
          <w:sz w:val="24"/>
        </w:rPr>
        <w:t>(Improvement,</w:t>
      </w:r>
      <w:r>
        <w:rPr>
          <w:spacing w:val="-1"/>
          <w:sz w:val="24"/>
        </w:rPr>
        <w:t> </w:t>
      </w:r>
      <w:r>
        <w:rPr>
          <w:sz w:val="24"/>
        </w:rPr>
        <w:t>Clearance</w:t>
      </w:r>
      <w:r>
        <w:rPr>
          <w:spacing w:val="-2"/>
          <w:sz w:val="24"/>
        </w:rPr>
        <w:t> </w:t>
      </w:r>
      <w:r>
        <w:rPr>
          <w:sz w:val="24"/>
        </w:rPr>
        <w:t>and Redevelopment) Act, 1971, existing prior 1-1-2000.</w:t>
      </w:r>
    </w:p>
    <w:p>
      <w:pPr>
        <w:pStyle w:val="ListParagraph"/>
        <w:numPr>
          <w:ilvl w:val="1"/>
          <w:numId w:val="176"/>
        </w:numPr>
        <w:tabs>
          <w:tab w:pos="2497" w:val="left" w:leader="none"/>
        </w:tabs>
        <w:spacing w:line="276" w:lineRule="auto" w:before="0" w:after="0"/>
        <w:ind w:left="2194" w:right="771" w:firstLine="0"/>
        <w:jc w:val="both"/>
        <w:rPr>
          <w:sz w:val="24"/>
        </w:rPr>
      </w:pPr>
      <w:r>
        <w:rPr>
          <w:sz w:val="24"/>
        </w:rPr>
        <w:t>The eligibility of the participants will be certified by the Competent Authorities appointed by Government.</w:t>
      </w:r>
    </w:p>
    <w:p>
      <w:pPr>
        <w:pStyle w:val="ListParagraph"/>
        <w:numPr>
          <w:ilvl w:val="1"/>
          <w:numId w:val="176"/>
        </w:numPr>
        <w:tabs>
          <w:tab w:pos="2606" w:val="left" w:leader="none"/>
        </w:tabs>
        <w:spacing w:line="240" w:lineRule="auto" w:before="3" w:after="0"/>
        <w:ind w:left="2194" w:right="768" w:firstLine="0"/>
        <w:jc w:val="both"/>
        <w:rPr>
          <w:sz w:val="24"/>
        </w:rPr>
      </w:pPr>
      <w:r>
        <w:rPr>
          <w:sz w:val="24"/>
        </w:rPr>
        <w:t>The eligibility of such occupiers including transferee under </w:t>
      </w:r>
      <w:r>
        <w:rPr>
          <w:sz w:val="24"/>
        </w:rPr>
        <w:t>this project shall be established in accordance with Chapter 1-B of Maharashtra</w:t>
      </w:r>
      <w:r>
        <w:rPr>
          <w:spacing w:val="-20"/>
          <w:sz w:val="24"/>
        </w:rPr>
        <w:t> </w:t>
      </w:r>
      <w:r>
        <w:rPr>
          <w:sz w:val="24"/>
        </w:rPr>
        <w:t>Slum</w:t>
      </w:r>
      <w:r>
        <w:rPr>
          <w:spacing w:val="-19"/>
          <w:sz w:val="24"/>
        </w:rPr>
        <w:t> </w:t>
      </w:r>
      <w:r>
        <w:rPr>
          <w:sz w:val="24"/>
        </w:rPr>
        <w:t>Area</w:t>
      </w:r>
      <w:r>
        <w:rPr>
          <w:spacing w:val="-19"/>
          <w:sz w:val="24"/>
        </w:rPr>
        <w:t> </w:t>
      </w:r>
      <w:r>
        <w:rPr>
          <w:sz w:val="24"/>
        </w:rPr>
        <w:t>(Improvement,</w:t>
      </w:r>
      <w:r>
        <w:rPr>
          <w:spacing w:val="-19"/>
          <w:sz w:val="24"/>
        </w:rPr>
        <w:t> </w:t>
      </w:r>
      <w:r>
        <w:rPr>
          <w:sz w:val="24"/>
        </w:rPr>
        <w:t>Clearance,Redevelopment)</w:t>
      </w:r>
      <w:r>
        <w:rPr>
          <w:spacing w:val="-19"/>
          <w:sz w:val="24"/>
        </w:rPr>
        <w:t> </w:t>
      </w:r>
      <w:r>
        <w:rPr>
          <w:sz w:val="24"/>
        </w:rPr>
        <w:t>Act, 1971 and orders issued there under.</w:t>
      </w:r>
    </w:p>
    <w:p>
      <w:pPr>
        <w:pStyle w:val="Heading6"/>
        <w:numPr>
          <w:ilvl w:val="0"/>
          <w:numId w:val="173"/>
        </w:numPr>
        <w:tabs>
          <w:tab w:pos="2457" w:val="left" w:leader="none"/>
        </w:tabs>
        <w:spacing w:line="240" w:lineRule="auto" w:before="279" w:after="0"/>
        <w:ind w:left="2457" w:right="0" w:hanging="407"/>
        <w:jc w:val="both"/>
      </w:pPr>
      <w:r>
        <w:rPr/>
        <w:t>Rehabilitation</w:t>
      </w:r>
      <w:r>
        <w:rPr>
          <w:spacing w:val="-13"/>
        </w:rPr>
        <w:t> </w:t>
      </w:r>
      <w:r>
        <w:rPr>
          <w:spacing w:val="-2"/>
        </w:rPr>
        <w:t>Entitlements:-</w:t>
      </w:r>
    </w:p>
    <w:p>
      <w:pPr>
        <w:pStyle w:val="BodyText"/>
        <w:spacing w:before="3"/>
        <w:jc w:val="left"/>
        <w:rPr>
          <w:b/>
          <w:i/>
        </w:rPr>
      </w:pPr>
    </w:p>
    <w:p>
      <w:pPr>
        <w:pStyle w:val="ListParagraph"/>
        <w:numPr>
          <w:ilvl w:val="0"/>
          <w:numId w:val="177"/>
        </w:numPr>
        <w:tabs>
          <w:tab w:pos="2781" w:val="left" w:leader="none"/>
        </w:tabs>
        <w:spacing w:line="240" w:lineRule="auto" w:before="0" w:after="0"/>
        <w:ind w:left="2050" w:right="768" w:firstLine="0"/>
        <w:jc w:val="both"/>
        <w:rPr>
          <w:sz w:val="24"/>
        </w:rPr>
      </w:pPr>
      <w:r>
        <w:rPr>
          <w:sz w:val="24"/>
        </w:rPr>
        <w:t>Each certified residential tenant/occupant shall be rehabilitated and</w:t>
      </w:r>
      <w:r>
        <w:rPr>
          <w:spacing w:val="-5"/>
          <w:sz w:val="24"/>
        </w:rPr>
        <w:t> </w:t>
      </w:r>
      <w:r>
        <w:rPr>
          <w:sz w:val="24"/>
        </w:rPr>
        <w:t>given</w:t>
      </w:r>
      <w:r>
        <w:rPr>
          <w:spacing w:val="80"/>
          <w:sz w:val="24"/>
        </w:rPr>
        <w:t> </w:t>
      </w:r>
      <w:r>
        <w:rPr>
          <w:sz w:val="24"/>
        </w:rPr>
        <w:t>on</w:t>
      </w:r>
      <w:r>
        <w:rPr>
          <w:spacing w:val="-3"/>
          <w:sz w:val="24"/>
        </w:rPr>
        <w:t> </w:t>
      </w:r>
      <w:r>
        <w:rPr>
          <w:sz w:val="24"/>
        </w:rPr>
        <w:t>ownership</w:t>
      </w:r>
      <w:r>
        <w:rPr>
          <w:spacing w:val="-5"/>
          <w:sz w:val="24"/>
        </w:rPr>
        <w:t> </w:t>
      </w:r>
      <w:r>
        <w:rPr>
          <w:sz w:val="24"/>
        </w:rPr>
        <w:t>basis,</w:t>
      </w:r>
      <w:r>
        <w:rPr>
          <w:spacing w:val="-5"/>
          <w:sz w:val="24"/>
        </w:rPr>
        <w:t> </w:t>
      </w:r>
      <w:r>
        <w:rPr>
          <w:sz w:val="24"/>
        </w:rPr>
        <w:t>a</w:t>
      </w:r>
      <w:r>
        <w:rPr>
          <w:spacing w:val="-3"/>
          <w:sz w:val="24"/>
        </w:rPr>
        <w:t> </w:t>
      </w:r>
      <w:r>
        <w:rPr>
          <w:sz w:val="24"/>
        </w:rPr>
        <w:t>tenement</w:t>
      </w:r>
      <w:r>
        <w:rPr>
          <w:spacing w:val="-5"/>
          <w:sz w:val="24"/>
        </w:rPr>
        <w:t> </w:t>
      </w:r>
      <w:r>
        <w:rPr>
          <w:sz w:val="24"/>
        </w:rPr>
        <w:t>of</w:t>
      </w:r>
      <w:r>
        <w:rPr>
          <w:spacing w:val="-5"/>
          <w:sz w:val="24"/>
        </w:rPr>
        <w:t> </w:t>
      </w:r>
      <w:r>
        <w:rPr>
          <w:sz w:val="24"/>
        </w:rPr>
        <w:t>Carpet</w:t>
      </w:r>
      <w:r>
        <w:rPr>
          <w:spacing w:val="-5"/>
          <w:sz w:val="24"/>
        </w:rPr>
        <w:t> </w:t>
      </w:r>
      <w:r>
        <w:rPr>
          <w:sz w:val="24"/>
        </w:rPr>
        <w:t>area</w:t>
      </w:r>
      <w:r>
        <w:rPr>
          <w:spacing w:val="-5"/>
          <w:sz w:val="24"/>
        </w:rPr>
        <w:t> </w:t>
      </w:r>
      <w:r>
        <w:rPr>
          <w:sz w:val="24"/>
        </w:rPr>
        <w:t>46.45</w:t>
      </w:r>
      <w:r>
        <w:rPr>
          <w:spacing w:val="-5"/>
          <w:sz w:val="24"/>
        </w:rPr>
        <w:t> </w:t>
      </w:r>
      <w:r>
        <w:rPr>
          <w:sz w:val="24"/>
        </w:rPr>
        <w:t>sq.</w:t>
      </w:r>
      <w:r>
        <w:rPr>
          <w:spacing w:val="-5"/>
          <w:sz w:val="24"/>
        </w:rPr>
        <w:t> </w:t>
      </w:r>
      <w:r>
        <w:rPr>
          <w:sz w:val="24"/>
        </w:rPr>
        <w:t>m. This entitlement is consolidated entitlement of rehab area.</w:t>
      </w:r>
      <w:r>
        <w:rPr>
          <w:spacing w:val="40"/>
          <w:sz w:val="24"/>
        </w:rPr>
        <w:t> </w:t>
      </w:r>
      <w:r>
        <w:rPr>
          <w:sz w:val="24"/>
        </w:rPr>
        <w:t>No further compensatory or other FSI would be available.</w:t>
      </w:r>
    </w:p>
    <w:p>
      <w:pPr>
        <w:pStyle w:val="ListParagraph"/>
        <w:numPr>
          <w:ilvl w:val="0"/>
          <w:numId w:val="177"/>
        </w:numPr>
        <w:tabs>
          <w:tab w:pos="2781" w:val="left" w:leader="none"/>
        </w:tabs>
        <w:spacing w:line="240" w:lineRule="auto" w:before="0" w:after="0"/>
        <w:ind w:left="2050" w:right="771" w:firstLine="0"/>
        <w:jc w:val="both"/>
        <w:rPr>
          <w:sz w:val="24"/>
        </w:rPr>
      </w:pPr>
      <w:r>
        <w:rPr>
          <w:sz w:val="24"/>
        </w:rPr>
        <w:t>Eligible</w:t>
      </w:r>
      <w:r>
        <w:rPr>
          <w:spacing w:val="-19"/>
          <w:sz w:val="24"/>
        </w:rPr>
        <w:t> </w:t>
      </w:r>
      <w:r>
        <w:rPr>
          <w:sz w:val="24"/>
        </w:rPr>
        <w:t>Religious</w:t>
      </w:r>
      <w:r>
        <w:rPr>
          <w:spacing w:val="-19"/>
          <w:sz w:val="24"/>
        </w:rPr>
        <w:t> </w:t>
      </w:r>
      <w:r>
        <w:rPr>
          <w:sz w:val="24"/>
        </w:rPr>
        <w:t>structure/Eligible</w:t>
      </w:r>
      <w:r>
        <w:rPr>
          <w:spacing w:val="-19"/>
          <w:sz w:val="24"/>
        </w:rPr>
        <w:t> </w:t>
      </w:r>
      <w:r>
        <w:rPr>
          <w:sz w:val="24"/>
        </w:rPr>
        <w:t>onsite</w:t>
      </w:r>
      <w:r>
        <w:rPr>
          <w:spacing w:val="-19"/>
          <w:sz w:val="24"/>
        </w:rPr>
        <w:t> </w:t>
      </w:r>
      <w:r>
        <w:rPr>
          <w:sz w:val="24"/>
        </w:rPr>
        <w:t>amenities/Eligible</w:t>
      </w:r>
      <w:r>
        <w:rPr>
          <w:spacing w:val="-19"/>
          <w:sz w:val="24"/>
        </w:rPr>
        <w:t> </w:t>
      </w:r>
      <w:r>
        <w:rPr>
          <w:sz w:val="24"/>
        </w:rPr>
        <w:t>any other</w:t>
      </w:r>
      <w:r>
        <w:rPr>
          <w:spacing w:val="-4"/>
          <w:sz w:val="24"/>
        </w:rPr>
        <w:t> </w:t>
      </w:r>
      <w:r>
        <w:rPr>
          <w:sz w:val="24"/>
        </w:rPr>
        <w:t>non-residential</w:t>
      </w:r>
      <w:r>
        <w:rPr>
          <w:spacing w:val="-4"/>
          <w:sz w:val="24"/>
        </w:rPr>
        <w:t> </w:t>
      </w:r>
      <w:r>
        <w:rPr>
          <w:sz w:val="24"/>
        </w:rPr>
        <w:t>structure</w:t>
      </w:r>
      <w:r>
        <w:rPr>
          <w:spacing w:val="-4"/>
          <w:sz w:val="24"/>
        </w:rPr>
        <w:t> </w:t>
      </w:r>
      <w:r>
        <w:rPr>
          <w:sz w:val="24"/>
        </w:rPr>
        <w:t>shall</w:t>
      </w:r>
      <w:r>
        <w:rPr>
          <w:spacing w:val="-4"/>
          <w:sz w:val="24"/>
        </w:rPr>
        <w:t> </w:t>
      </w:r>
      <w:r>
        <w:rPr>
          <w:sz w:val="24"/>
        </w:rPr>
        <w:t>be</w:t>
      </w:r>
      <w:r>
        <w:rPr>
          <w:spacing w:val="-4"/>
          <w:sz w:val="24"/>
        </w:rPr>
        <w:t> </w:t>
      </w:r>
      <w:r>
        <w:rPr>
          <w:sz w:val="24"/>
        </w:rPr>
        <w:t>given</w:t>
      </w:r>
      <w:r>
        <w:rPr>
          <w:spacing w:val="-4"/>
          <w:sz w:val="24"/>
        </w:rPr>
        <w:t> </w:t>
      </w:r>
      <w:r>
        <w:rPr>
          <w:sz w:val="24"/>
        </w:rPr>
        <w:t>existing</w:t>
      </w:r>
      <w:r>
        <w:rPr>
          <w:spacing w:val="-4"/>
          <w:sz w:val="24"/>
        </w:rPr>
        <w:t> </w:t>
      </w:r>
      <w:r>
        <w:rPr>
          <w:sz w:val="24"/>
        </w:rPr>
        <w:t>carpet</w:t>
      </w:r>
      <w:r>
        <w:rPr>
          <w:spacing w:val="-4"/>
          <w:sz w:val="24"/>
        </w:rPr>
        <w:t> </w:t>
      </w:r>
      <w:r>
        <w:rPr>
          <w:sz w:val="24"/>
        </w:rPr>
        <w:t>area</w:t>
      </w:r>
      <w:r>
        <w:rPr>
          <w:spacing w:val="-4"/>
          <w:sz w:val="24"/>
        </w:rPr>
        <w:t> </w:t>
      </w:r>
      <w:r>
        <w:rPr>
          <w:sz w:val="24"/>
        </w:rPr>
        <w:t>or</w:t>
      </w:r>
      <w:r>
        <w:rPr>
          <w:spacing w:val="-4"/>
          <w:sz w:val="24"/>
        </w:rPr>
        <w:t> </w:t>
      </w:r>
      <w:r>
        <w:rPr>
          <w:sz w:val="24"/>
        </w:rPr>
        <w:t>as decided by the Government.</w:t>
      </w:r>
    </w:p>
    <w:p>
      <w:pPr>
        <w:pStyle w:val="ListParagraph"/>
        <w:numPr>
          <w:ilvl w:val="0"/>
          <w:numId w:val="177"/>
        </w:numPr>
        <w:tabs>
          <w:tab w:pos="2781" w:val="left" w:leader="none"/>
        </w:tabs>
        <w:spacing w:line="240" w:lineRule="auto" w:before="1" w:after="0"/>
        <w:ind w:left="2050" w:right="771" w:firstLine="0"/>
        <w:jc w:val="both"/>
        <w:rPr>
          <w:sz w:val="24"/>
        </w:rPr>
      </w:pPr>
      <w:r>
        <w:rPr>
          <w:sz w:val="24"/>
        </w:rPr>
        <w:t>Each eligible slum dweller shall be entailed to a tenement of carpet area of 25 sq. m (269 sq.ft.)</w:t>
      </w:r>
    </w:p>
    <w:p>
      <w:pPr>
        <w:pStyle w:val="Heading6"/>
        <w:numPr>
          <w:ilvl w:val="0"/>
          <w:numId w:val="173"/>
        </w:numPr>
        <w:tabs>
          <w:tab w:pos="2371" w:val="left" w:leader="none"/>
        </w:tabs>
        <w:spacing w:line="240" w:lineRule="auto" w:before="279" w:after="0"/>
        <w:ind w:left="2371" w:right="0" w:hanging="321"/>
        <w:jc w:val="both"/>
        <w:rPr>
          <w:i w:val="0"/>
        </w:rPr>
      </w:pPr>
      <w:r>
        <w:rPr/>
        <w:t>Total</w:t>
      </w:r>
      <w:r>
        <w:rPr>
          <w:spacing w:val="-3"/>
        </w:rPr>
        <w:t> </w:t>
      </w:r>
      <w:r>
        <w:rPr/>
        <w:t>Permissible</w:t>
      </w:r>
      <w:r>
        <w:rPr>
          <w:spacing w:val="-2"/>
        </w:rPr>
        <w:t> </w:t>
      </w:r>
      <w:r>
        <w:rPr/>
        <w:t>FSI</w:t>
      </w:r>
      <w:r>
        <w:rPr>
          <w:spacing w:val="-3"/>
        </w:rPr>
        <w:t> </w:t>
      </w:r>
      <w:r>
        <w:rPr/>
        <w:t>for</w:t>
      </w:r>
      <w:r>
        <w:rPr>
          <w:spacing w:val="-2"/>
        </w:rPr>
        <w:t> URS:-</w:t>
      </w:r>
    </w:p>
    <w:p>
      <w:pPr>
        <w:pStyle w:val="BodyText"/>
        <w:spacing w:before="3"/>
        <w:jc w:val="left"/>
        <w:rPr>
          <w:b/>
          <w:i/>
        </w:rPr>
      </w:pPr>
    </w:p>
    <w:p>
      <w:pPr>
        <w:pStyle w:val="ListParagraph"/>
        <w:numPr>
          <w:ilvl w:val="0"/>
          <w:numId w:val="178"/>
        </w:numPr>
        <w:tabs>
          <w:tab w:pos="386" w:val="left" w:leader="none"/>
        </w:tabs>
        <w:spacing w:line="281" w:lineRule="exact" w:before="0" w:after="0"/>
        <w:ind w:left="386" w:right="770" w:hanging="386"/>
        <w:jc w:val="right"/>
        <w:rPr>
          <w:sz w:val="24"/>
        </w:rPr>
      </w:pPr>
      <w:r>
        <w:rPr>
          <w:sz w:val="24"/>
        </w:rPr>
        <w:t>The</w:t>
      </w:r>
      <w:r>
        <w:rPr>
          <w:spacing w:val="10"/>
          <w:sz w:val="24"/>
        </w:rPr>
        <w:t> </w:t>
      </w:r>
      <w:r>
        <w:rPr>
          <w:sz w:val="24"/>
        </w:rPr>
        <w:t>total</w:t>
      </w:r>
      <w:r>
        <w:rPr>
          <w:spacing w:val="59"/>
          <w:w w:val="150"/>
          <w:sz w:val="24"/>
        </w:rPr>
        <w:t> </w:t>
      </w:r>
      <w:r>
        <w:rPr>
          <w:sz w:val="24"/>
        </w:rPr>
        <w:t>permissible</w:t>
      </w:r>
      <w:r>
        <w:rPr>
          <w:spacing w:val="10"/>
          <w:sz w:val="24"/>
        </w:rPr>
        <w:t> </w:t>
      </w:r>
      <w:r>
        <w:rPr>
          <w:sz w:val="24"/>
        </w:rPr>
        <w:t>FSI</w:t>
      </w:r>
      <w:r>
        <w:rPr>
          <w:spacing w:val="10"/>
          <w:sz w:val="24"/>
        </w:rPr>
        <w:t> </w:t>
      </w:r>
      <w:r>
        <w:rPr>
          <w:sz w:val="24"/>
        </w:rPr>
        <w:t>for</w:t>
      </w:r>
      <w:r>
        <w:rPr>
          <w:spacing w:val="10"/>
          <w:sz w:val="24"/>
        </w:rPr>
        <w:t> </w:t>
      </w:r>
      <w:r>
        <w:rPr>
          <w:sz w:val="24"/>
        </w:rPr>
        <w:t>an</w:t>
      </w:r>
      <w:r>
        <w:rPr>
          <w:spacing w:val="10"/>
          <w:sz w:val="24"/>
        </w:rPr>
        <w:t> </w:t>
      </w:r>
      <w:r>
        <w:rPr>
          <w:sz w:val="24"/>
        </w:rPr>
        <w:t>Urban</w:t>
      </w:r>
      <w:r>
        <w:rPr>
          <w:spacing w:val="11"/>
          <w:sz w:val="24"/>
        </w:rPr>
        <w:t> </w:t>
      </w:r>
      <w:r>
        <w:rPr>
          <w:sz w:val="24"/>
        </w:rPr>
        <w:t>Renewal</w:t>
      </w:r>
      <w:r>
        <w:rPr>
          <w:spacing w:val="10"/>
          <w:sz w:val="24"/>
        </w:rPr>
        <w:t> </w:t>
      </w:r>
      <w:r>
        <w:rPr>
          <w:sz w:val="24"/>
        </w:rPr>
        <w:t>Scheme</w:t>
      </w:r>
      <w:r>
        <w:rPr>
          <w:spacing w:val="10"/>
          <w:sz w:val="24"/>
        </w:rPr>
        <w:t> </w:t>
      </w:r>
      <w:r>
        <w:rPr>
          <w:sz w:val="24"/>
        </w:rPr>
        <w:t>shall</w:t>
      </w:r>
      <w:r>
        <w:rPr>
          <w:spacing w:val="10"/>
          <w:sz w:val="24"/>
        </w:rPr>
        <w:t> </w:t>
      </w:r>
      <w:r>
        <w:rPr>
          <w:spacing w:val="-5"/>
          <w:sz w:val="24"/>
        </w:rPr>
        <w:t>be</w:t>
      </w:r>
    </w:p>
    <w:p>
      <w:pPr>
        <w:pStyle w:val="BodyText"/>
        <w:spacing w:line="281" w:lineRule="exact"/>
        <w:ind w:right="773"/>
        <w:jc w:val="right"/>
      </w:pPr>
      <w:r>
        <w:rPr/>
        <w:t>4.00</w:t>
      </w:r>
      <w:r>
        <w:rPr>
          <w:spacing w:val="53"/>
          <w:w w:val="150"/>
        </w:rPr>
        <w:t> </w:t>
      </w:r>
      <w:r>
        <w:rPr/>
        <w:t>on</w:t>
      </w:r>
      <w:r>
        <w:rPr>
          <w:spacing w:val="8"/>
        </w:rPr>
        <w:t> </w:t>
      </w:r>
      <w:r>
        <w:rPr/>
        <w:t>gross</w:t>
      </w:r>
      <w:r>
        <w:rPr>
          <w:spacing w:val="8"/>
        </w:rPr>
        <w:t> </w:t>
      </w:r>
      <w:r>
        <w:rPr/>
        <w:t>plot</w:t>
      </w:r>
      <w:r>
        <w:rPr>
          <w:spacing w:val="8"/>
        </w:rPr>
        <w:t> </w:t>
      </w:r>
      <w:r>
        <w:rPr/>
        <w:t>area,</w:t>
      </w:r>
      <w:r>
        <w:rPr>
          <w:spacing w:val="54"/>
          <w:w w:val="150"/>
        </w:rPr>
        <w:t> </w:t>
      </w:r>
      <w:r>
        <w:rPr/>
        <w:t>but</w:t>
      </w:r>
      <w:r>
        <w:rPr>
          <w:spacing w:val="8"/>
        </w:rPr>
        <w:t> </w:t>
      </w:r>
      <w:r>
        <w:rPr/>
        <w:t>excluding</w:t>
      </w:r>
      <w:r>
        <w:rPr>
          <w:spacing w:val="8"/>
        </w:rPr>
        <w:t> </w:t>
      </w:r>
      <w:r>
        <w:rPr/>
        <w:t>the</w:t>
      </w:r>
      <w:r>
        <w:rPr>
          <w:spacing w:val="8"/>
        </w:rPr>
        <w:t> </w:t>
      </w:r>
      <w:r>
        <w:rPr>
          <w:spacing w:val="-2"/>
        </w:rPr>
        <w:t>reservations/designations,</w:t>
      </w:r>
    </w:p>
    <w:p>
      <w:pPr>
        <w:pStyle w:val="BodyText"/>
        <w:spacing w:after="0" w:line="281" w:lineRule="exact"/>
        <w:jc w:val="right"/>
        <w:sectPr>
          <w:pgSz w:w="11910" w:h="16840"/>
          <w:pgMar w:header="1065" w:footer="1194" w:top="1500" w:bottom="1380" w:left="360" w:right="360"/>
        </w:sectPr>
      </w:pPr>
    </w:p>
    <w:p>
      <w:pPr>
        <w:pStyle w:val="BodyText"/>
        <w:spacing w:before="249"/>
        <w:ind w:left="2050" w:right="770"/>
      </w:pPr>
      <w:r>
        <w:rPr/>
        <w:t>Road</w:t>
      </w:r>
      <w:r>
        <w:rPr>
          <w:spacing w:val="-5"/>
        </w:rPr>
        <w:t> </w:t>
      </w:r>
      <w:r>
        <w:rPr/>
        <w:t>set</w:t>
      </w:r>
      <w:r>
        <w:rPr>
          <w:spacing w:val="-5"/>
        </w:rPr>
        <w:t> </w:t>
      </w:r>
      <w:r>
        <w:rPr/>
        <w:t>back,</w:t>
      </w:r>
      <w:r>
        <w:rPr>
          <w:spacing w:val="40"/>
        </w:rPr>
        <w:t> </w:t>
      </w:r>
      <w:r>
        <w:rPr/>
        <w:t>area</w:t>
      </w:r>
      <w:r>
        <w:rPr>
          <w:spacing w:val="-3"/>
        </w:rPr>
        <w:t> </w:t>
      </w:r>
      <w:r>
        <w:rPr/>
        <w:t>under</w:t>
      </w:r>
      <w:r>
        <w:rPr>
          <w:spacing w:val="-5"/>
        </w:rPr>
        <w:t> </w:t>
      </w:r>
      <w:r>
        <w:rPr/>
        <w:t>existing</w:t>
      </w:r>
      <w:r>
        <w:rPr>
          <w:spacing w:val="-5"/>
        </w:rPr>
        <w:t> </w:t>
      </w:r>
      <w:r>
        <w:rPr/>
        <w:t>Municipal</w:t>
      </w:r>
      <w:r>
        <w:rPr>
          <w:spacing w:val="40"/>
        </w:rPr>
        <w:t> </w:t>
      </w:r>
      <w:r>
        <w:rPr/>
        <w:t>Roads</w:t>
      </w:r>
      <w:r>
        <w:rPr>
          <w:spacing w:val="-5"/>
        </w:rPr>
        <w:t> </w:t>
      </w:r>
      <w:r>
        <w:rPr/>
        <w:t>but</w:t>
      </w:r>
      <w:r>
        <w:rPr>
          <w:spacing w:val="-3"/>
        </w:rPr>
        <w:t> </w:t>
      </w:r>
      <w:r>
        <w:rPr/>
        <w:t>including</w:t>
      </w:r>
      <w:r>
        <w:rPr>
          <w:spacing w:val="-5"/>
        </w:rPr>
        <w:t> </w:t>
      </w:r>
      <w:r>
        <w:rPr/>
        <w:t>the built</w:t>
      </w:r>
      <w:r>
        <w:rPr>
          <w:spacing w:val="-20"/>
        </w:rPr>
        <w:t> </w:t>
      </w:r>
      <w:r>
        <w:rPr/>
        <w:t>up</w:t>
      </w:r>
      <w:r>
        <w:rPr>
          <w:spacing w:val="-19"/>
        </w:rPr>
        <w:t> </w:t>
      </w:r>
      <w:r>
        <w:rPr/>
        <w:t>area</w:t>
      </w:r>
      <w:r>
        <w:rPr>
          <w:spacing w:val="-19"/>
        </w:rPr>
        <w:t> </w:t>
      </w:r>
      <w:r>
        <w:rPr/>
        <w:t>under</w:t>
      </w:r>
      <w:r>
        <w:rPr>
          <w:spacing w:val="-19"/>
        </w:rPr>
        <w:t> </w:t>
      </w:r>
      <w:r>
        <w:rPr/>
        <w:t>reservation/designation,</w:t>
      </w:r>
      <w:r>
        <w:rPr>
          <w:spacing w:val="-19"/>
        </w:rPr>
        <w:t> </w:t>
      </w:r>
      <w:r>
        <w:rPr/>
        <w:t>Road</w:t>
      </w:r>
      <w:r>
        <w:rPr>
          <w:spacing w:val="-20"/>
        </w:rPr>
        <w:t> </w:t>
      </w:r>
      <w:r>
        <w:rPr/>
        <w:t>set</w:t>
      </w:r>
      <w:r>
        <w:rPr>
          <w:spacing w:val="-19"/>
        </w:rPr>
        <w:t> </w:t>
      </w:r>
      <w:r>
        <w:rPr/>
        <w:t>back</w:t>
      </w:r>
      <w:r>
        <w:rPr>
          <w:spacing w:val="7"/>
        </w:rPr>
        <w:t> </w:t>
      </w:r>
      <w:r>
        <w:rPr/>
        <w:t>or</w:t>
      </w:r>
      <w:r>
        <w:rPr>
          <w:spacing w:val="-19"/>
        </w:rPr>
        <w:t> </w:t>
      </w:r>
      <w:r>
        <w:rPr/>
        <w:t>sum</w:t>
      </w:r>
      <w:r>
        <w:rPr>
          <w:spacing w:val="-20"/>
        </w:rPr>
        <w:t> </w:t>
      </w:r>
      <w:r>
        <w:rPr/>
        <w:t>total of the Rehabilitation FSI + Incentive FSI,</w:t>
      </w:r>
      <w:r>
        <w:rPr>
          <w:spacing w:val="40"/>
        </w:rPr>
        <w:t> </w:t>
      </w:r>
      <w:r>
        <w:rPr/>
        <w:t>whichever is more.</w:t>
      </w:r>
    </w:p>
    <w:p>
      <w:pPr>
        <w:pStyle w:val="BodyText"/>
        <w:spacing w:before="2"/>
        <w:ind w:left="2050" w:right="772" w:firstLine="144"/>
      </w:pPr>
      <w:r>
        <w:rPr/>
        <w:t>Provided that the aforesaid FSI shall be exclusive of the Fungible FSI admissible under the provision of DCPR 31 (3).</w:t>
      </w:r>
    </w:p>
    <w:p>
      <w:pPr>
        <w:pStyle w:val="ListParagraph"/>
        <w:numPr>
          <w:ilvl w:val="0"/>
          <w:numId w:val="178"/>
        </w:numPr>
        <w:tabs>
          <w:tab w:pos="2781" w:val="left" w:leader="none"/>
        </w:tabs>
        <w:spacing w:line="240" w:lineRule="auto" w:before="281" w:after="0"/>
        <w:ind w:left="2050" w:right="768" w:firstLine="144"/>
        <w:jc w:val="both"/>
        <w:rPr>
          <w:b/>
          <w:sz w:val="24"/>
        </w:rPr>
      </w:pPr>
      <w:r>
        <w:rPr>
          <w:sz w:val="24"/>
        </w:rPr>
        <w:t>The FSI for Urban Renewal Schemes in CRZ area shall be governed by the MOEF Notifications issued from time to time.</w:t>
      </w:r>
    </w:p>
    <w:p>
      <w:pPr>
        <w:pStyle w:val="BodyText"/>
        <w:jc w:val="left"/>
      </w:pPr>
    </w:p>
    <w:p>
      <w:pPr>
        <w:pStyle w:val="ListParagraph"/>
        <w:numPr>
          <w:ilvl w:val="0"/>
          <w:numId w:val="178"/>
        </w:numPr>
        <w:tabs>
          <w:tab w:pos="2781" w:val="left" w:leader="none"/>
        </w:tabs>
        <w:spacing w:line="240" w:lineRule="auto" w:before="0" w:after="0"/>
        <w:ind w:left="2050" w:right="766" w:firstLine="144"/>
        <w:jc w:val="both"/>
        <w:rPr>
          <w:b/>
          <w:sz w:val="24"/>
        </w:rPr>
      </w:pPr>
      <w:r>
        <w:rPr>
          <w:sz w:val="24"/>
        </w:rPr>
        <w:t>The incentive FSI admissible against the FSI required</w:t>
      </w:r>
      <w:r>
        <w:rPr>
          <w:spacing w:val="40"/>
          <w:sz w:val="24"/>
        </w:rPr>
        <w:t> </w:t>
      </w:r>
      <w:r>
        <w:rPr>
          <w:sz w:val="24"/>
        </w:rPr>
        <w:t>for rehabilitation, shall be based on the ratio (hereinafter referred to as Basic Ratio ) of Land Rate (LR ), in Rs/sq. m, of the lands included in the</w:t>
      </w:r>
      <w:r>
        <w:rPr>
          <w:spacing w:val="-15"/>
          <w:sz w:val="24"/>
        </w:rPr>
        <w:t> </w:t>
      </w:r>
      <w:r>
        <w:rPr>
          <w:sz w:val="24"/>
        </w:rPr>
        <w:t>Urban</w:t>
      </w:r>
      <w:r>
        <w:rPr>
          <w:spacing w:val="-15"/>
          <w:sz w:val="24"/>
        </w:rPr>
        <w:t> </w:t>
      </w:r>
      <w:r>
        <w:rPr>
          <w:sz w:val="24"/>
        </w:rPr>
        <w:t>Renewal</w:t>
      </w:r>
      <w:r>
        <w:rPr>
          <w:spacing w:val="-18"/>
          <w:sz w:val="24"/>
        </w:rPr>
        <w:t> </w:t>
      </w:r>
      <w:r>
        <w:rPr>
          <w:sz w:val="24"/>
        </w:rPr>
        <w:t>Cluster,</w:t>
      </w:r>
      <w:r>
        <w:rPr>
          <w:spacing w:val="40"/>
          <w:sz w:val="24"/>
        </w:rPr>
        <w:t> </w:t>
      </w:r>
      <w:r>
        <w:rPr>
          <w:sz w:val="24"/>
        </w:rPr>
        <w:t>as</w:t>
      </w:r>
      <w:r>
        <w:rPr>
          <w:spacing w:val="-18"/>
          <w:sz w:val="24"/>
        </w:rPr>
        <w:t> </w:t>
      </w:r>
      <w:r>
        <w:rPr>
          <w:sz w:val="24"/>
        </w:rPr>
        <w:t>per</w:t>
      </w:r>
      <w:r>
        <w:rPr>
          <w:spacing w:val="-15"/>
          <w:sz w:val="24"/>
        </w:rPr>
        <w:t> </w:t>
      </w:r>
      <w:r>
        <w:rPr>
          <w:sz w:val="24"/>
        </w:rPr>
        <w:t>the</w:t>
      </w:r>
      <w:r>
        <w:rPr>
          <w:spacing w:val="-15"/>
          <w:sz w:val="24"/>
        </w:rPr>
        <w:t> </w:t>
      </w:r>
      <w:r>
        <w:rPr>
          <w:sz w:val="24"/>
        </w:rPr>
        <w:t>Annual</w:t>
      </w:r>
      <w:r>
        <w:rPr>
          <w:spacing w:val="-15"/>
          <w:sz w:val="24"/>
        </w:rPr>
        <w:t> </w:t>
      </w:r>
      <w:r>
        <w:rPr>
          <w:sz w:val="24"/>
        </w:rPr>
        <w:t>Statement</w:t>
      </w:r>
      <w:r>
        <w:rPr>
          <w:spacing w:val="40"/>
          <w:sz w:val="24"/>
        </w:rPr>
        <w:t> </w:t>
      </w:r>
      <w:r>
        <w:rPr>
          <w:sz w:val="24"/>
        </w:rPr>
        <w:t>of</w:t>
      </w:r>
      <w:r>
        <w:rPr>
          <w:spacing w:val="-20"/>
          <w:sz w:val="24"/>
        </w:rPr>
        <w:t> </w:t>
      </w:r>
      <w:r>
        <w:rPr>
          <w:sz w:val="24"/>
        </w:rPr>
        <w:t>Rates</w:t>
      </w:r>
      <w:r>
        <w:rPr>
          <w:spacing w:val="-14"/>
          <w:sz w:val="24"/>
        </w:rPr>
        <w:t> </w:t>
      </w:r>
      <w:r>
        <w:rPr>
          <w:sz w:val="24"/>
        </w:rPr>
        <w:t>(ASR</w:t>
      </w:r>
    </w:p>
    <w:p>
      <w:pPr>
        <w:pStyle w:val="BodyText"/>
        <w:ind w:left="2050" w:right="769"/>
      </w:pPr>
      <w:r>
        <w:rPr/>
        <w:t>)</w:t>
      </w:r>
      <w:r>
        <w:rPr>
          <w:spacing w:val="-7"/>
        </w:rPr>
        <w:t> </w:t>
      </w:r>
      <w:r>
        <w:rPr/>
        <w:t>and</w:t>
      </w:r>
      <w:r>
        <w:rPr>
          <w:spacing w:val="-7"/>
        </w:rPr>
        <w:t> </w:t>
      </w:r>
      <w:r>
        <w:rPr/>
        <w:t>Rate</w:t>
      </w:r>
      <w:r>
        <w:rPr>
          <w:spacing w:val="-7"/>
        </w:rPr>
        <w:t> </w:t>
      </w:r>
      <w:r>
        <w:rPr/>
        <w:t>of</w:t>
      </w:r>
      <w:r>
        <w:rPr>
          <w:spacing w:val="-7"/>
        </w:rPr>
        <w:t> </w:t>
      </w:r>
      <w:r>
        <w:rPr/>
        <w:t>Construction</w:t>
      </w:r>
      <w:r>
        <w:rPr>
          <w:spacing w:val="-7"/>
        </w:rPr>
        <w:t> </w:t>
      </w:r>
      <w:r>
        <w:rPr/>
        <w:t>(RC</w:t>
      </w:r>
      <w:r>
        <w:rPr>
          <w:spacing w:val="-7"/>
        </w:rPr>
        <w:t> </w:t>
      </w:r>
      <w:r>
        <w:rPr/>
        <w:t>)*</w:t>
      </w:r>
      <w:r>
        <w:rPr>
          <w:spacing w:val="-7"/>
        </w:rPr>
        <w:t> </w:t>
      </w:r>
      <w:r>
        <w:rPr/>
        <w:t>in</w:t>
      </w:r>
      <w:r>
        <w:rPr>
          <w:spacing w:val="-7"/>
        </w:rPr>
        <w:t> </w:t>
      </w:r>
      <w:r>
        <w:rPr/>
        <w:t>Rs/sq.</w:t>
      </w:r>
      <w:r>
        <w:rPr>
          <w:spacing w:val="-7"/>
        </w:rPr>
        <w:t> </w:t>
      </w:r>
      <w:r>
        <w:rPr/>
        <w:t>m.,</w:t>
      </w:r>
      <w:r>
        <w:rPr>
          <w:spacing w:val="-7"/>
        </w:rPr>
        <w:t> </w:t>
      </w:r>
      <w:r>
        <w:rPr/>
        <w:t>applicable</w:t>
      </w:r>
      <w:r>
        <w:rPr>
          <w:spacing w:val="-7"/>
        </w:rPr>
        <w:t> </w:t>
      </w:r>
      <w:r>
        <w:rPr/>
        <w:t>to</w:t>
      </w:r>
      <w:r>
        <w:rPr>
          <w:spacing w:val="-7"/>
        </w:rPr>
        <w:t> </w:t>
      </w:r>
      <w:r>
        <w:rPr/>
        <w:t>the</w:t>
      </w:r>
      <w:r>
        <w:rPr>
          <w:spacing w:val="-7"/>
        </w:rPr>
        <w:t> </w:t>
      </w:r>
      <w:r>
        <w:rPr/>
        <w:t>area</w:t>
      </w:r>
      <w:r>
        <w:rPr>
          <w:spacing w:val="-7"/>
        </w:rPr>
        <w:t> </w:t>
      </w:r>
      <w:r>
        <w:rPr/>
        <w:t>as per the ASR and shall be given as per the Table-B below :-</w:t>
      </w:r>
    </w:p>
    <w:p>
      <w:pPr>
        <w:pStyle w:val="BodyText"/>
        <w:spacing w:before="1"/>
        <w:jc w:val="left"/>
      </w:pPr>
    </w:p>
    <w:p>
      <w:pPr>
        <w:pStyle w:val="BodyText"/>
        <w:ind w:left="1417"/>
        <w:jc w:val="center"/>
      </w:pPr>
      <w:r>
        <w:rPr/>
        <w:t>Table</w:t>
      </w:r>
      <w:r>
        <w:rPr>
          <w:spacing w:val="-3"/>
        </w:rPr>
        <w:t> </w:t>
      </w:r>
      <w:r>
        <w:rPr>
          <w:spacing w:val="-10"/>
        </w:rPr>
        <w:t>B</w:t>
      </w:r>
    </w:p>
    <w:tbl>
      <w:tblPr>
        <w:tblW w:w="0" w:type="auto"/>
        <w:jc w:val="left"/>
        <w:tblInd w:w="2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5"/>
        <w:gridCol w:w="1700"/>
        <w:gridCol w:w="1703"/>
        <w:gridCol w:w="1703"/>
        <w:gridCol w:w="1275"/>
      </w:tblGrid>
      <w:tr>
        <w:trPr>
          <w:trHeight w:val="563" w:hRule="atLeast"/>
        </w:trPr>
        <w:tc>
          <w:tcPr>
            <w:tcW w:w="1885" w:type="dxa"/>
          </w:tcPr>
          <w:p>
            <w:pPr>
              <w:pStyle w:val="TableParagraph"/>
              <w:spacing w:line="281" w:lineRule="exact"/>
              <w:ind w:left="105"/>
              <w:rPr>
                <w:sz w:val="24"/>
              </w:rPr>
            </w:pPr>
            <w:r>
              <w:rPr>
                <w:sz w:val="24"/>
              </w:rPr>
              <w:t>Basic </w:t>
            </w:r>
            <w:r>
              <w:rPr>
                <w:spacing w:val="-2"/>
                <w:sz w:val="24"/>
              </w:rPr>
              <w:t>Ratio</w:t>
            </w:r>
          </w:p>
          <w:p>
            <w:pPr>
              <w:pStyle w:val="TableParagraph"/>
              <w:spacing w:line="261" w:lineRule="exact" w:before="1"/>
              <w:ind w:left="105"/>
              <w:rPr>
                <w:sz w:val="24"/>
              </w:rPr>
            </w:pPr>
            <w:r>
              <w:rPr>
                <w:sz w:val="24"/>
              </w:rPr>
              <w:t>( </w:t>
            </w:r>
            <w:r>
              <w:rPr>
                <w:spacing w:val="-2"/>
                <w:sz w:val="24"/>
              </w:rPr>
              <w:t>LR/RC)*</w:t>
            </w:r>
          </w:p>
        </w:tc>
        <w:tc>
          <w:tcPr>
            <w:tcW w:w="6381" w:type="dxa"/>
            <w:gridSpan w:val="4"/>
          </w:tcPr>
          <w:p>
            <w:pPr>
              <w:pStyle w:val="TableParagraph"/>
              <w:spacing w:line="281" w:lineRule="exact"/>
              <w:ind w:left="812"/>
              <w:rPr>
                <w:sz w:val="24"/>
              </w:rPr>
            </w:pPr>
            <w:r>
              <w:rPr>
                <w:spacing w:val="-2"/>
                <w:sz w:val="24"/>
              </w:rPr>
              <w:t>Incentive</w:t>
            </w:r>
          </w:p>
          <w:p>
            <w:pPr>
              <w:pStyle w:val="TableParagraph"/>
              <w:spacing w:line="261" w:lineRule="exact" w:before="1"/>
              <w:ind w:left="812"/>
              <w:rPr>
                <w:sz w:val="24"/>
              </w:rPr>
            </w:pPr>
            <w:r>
              <w:rPr>
                <w:sz w:val="24"/>
              </w:rPr>
              <w:t>(</w:t>
            </w:r>
            <w:r>
              <w:rPr>
                <w:spacing w:val="-3"/>
                <w:sz w:val="24"/>
              </w:rPr>
              <w:t> </w:t>
            </w:r>
            <w:r>
              <w:rPr>
                <w:sz w:val="24"/>
              </w:rPr>
              <w:t>As</w:t>
            </w:r>
            <w:r>
              <w:rPr>
                <w:spacing w:val="-2"/>
                <w:sz w:val="24"/>
              </w:rPr>
              <w:t> </w:t>
            </w:r>
            <w:r>
              <w:rPr>
                <w:sz w:val="24"/>
              </w:rPr>
              <w:t>%</w:t>
            </w:r>
            <w:r>
              <w:rPr>
                <w:spacing w:val="-2"/>
                <w:sz w:val="24"/>
              </w:rPr>
              <w:t> </w:t>
            </w:r>
            <w:r>
              <w:rPr>
                <w:sz w:val="24"/>
              </w:rPr>
              <w:t>of</w:t>
            </w:r>
            <w:r>
              <w:rPr>
                <w:spacing w:val="-3"/>
                <w:sz w:val="24"/>
              </w:rPr>
              <w:t> </w:t>
            </w:r>
            <w:r>
              <w:rPr>
                <w:sz w:val="24"/>
              </w:rPr>
              <w:t>Admissible</w:t>
            </w:r>
            <w:r>
              <w:rPr>
                <w:spacing w:val="-2"/>
                <w:sz w:val="24"/>
              </w:rPr>
              <w:t> </w:t>
            </w:r>
            <w:r>
              <w:rPr>
                <w:sz w:val="24"/>
              </w:rPr>
              <w:t>Rehabilitation</w:t>
            </w:r>
            <w:r>
              <w:rPr>
                <w:spacing w:val="-2"/>
                <w:sz w:val="24"/>
              </w:rPr>
              <w:t> </w:t>
            </w:r>
            <w:r>
              <w:rPr>
                <w:sz w:val="24"/>
              </w:rPr>
              <w:t>Area</w:t>
            </w:r>
            <w:r>
              <w:rPr>
                <w:spacing w:val="-2"/>
                <w:sz w:val="24"/>
              </w:rPr>
              <w:t> </w:t>
            </w:r>
            <w:r>
              <w:rPr>
                <w:spacing w:val="-10"/>
                <w:sz w:val="24"/>
              </w:rPr>
              <w:t>)</w:t>
            </w:r>
          </w:p>
        </w:tc>
      </w:tr>
      <w:tr>
        <w:trPr>
          <w:trHeight w:val="844" w:hRule="atLeast"/>
        </w:trPr>
        <w:tc>
          <w:tcPr>
            <w:tcW w:w="1885" w:type="dxa"/>
          </w:tcPr>
          <w:p>
            <w:pPr>
              <w:pStyle w:val="TableParagraph"/>
              <w:rPr>
                <w:rFonts w:ascii="Times New Roman"/>
                <w:sz w:val="22"/>
              </w:rPr>
            </w:pPr>
          </w:p>
        </w:tc>
        <w:tc>
          <w:tcPr>
            <w:tcW w:w="1700" w:type="dxa"/>
          </w:tcPr>
          <w:p>
            <w:pPr>
              <w:pStyle w:val="TableParagraph"/>
              <w:tabs>
                <w:tab w:pos="918" w:val="left" w:leader="none"/>
              </w:tabs>
              <w:ind w:left="105" w:right="97"/>
              <w:rPr>
                <w:sz w:val="24"/>
              </w:rPr>
            </w:pPr>
            <w:r>
              <w:rPr>
                <w:spacing w:val="-4"/>
                <w:sz w:val="24"/>
              </w:rPr>
              <w:t>For</w:t>
            </w:r>
            <w:r>
              <w:rPr>
                <w:sz w:val="24"/>
              </w:rPr>
              <w:tab/>
            </w:r>
            <w:r>
              <w:rPr>
                <w:spacing w:val="-2"/>
                <w:sz w:val="24"/>
              </w:rPr>
              <w:t>0.4ha </w:t>
            </w:r>
            <w:r>
              <w:rPr>
                <w:sz w:val="24"/>
              </w:rPr>
              <w:t>to1.0 ha.</w:t>
            </w:r>
          </w:p>
        </w:tc>
        <w:tc>
          <w:tcPr>
            <w:tcW w:w="1703" w:type="dxa"/>
          </w:tcPr>
          <w:p>
            <w:pPr>
              <w:pStyle w:val="TableParagraph"/>
              <w:spacing w:line="280" w:lineRule="exact"/>
              <w:ind w:left="107"/>
              <w:rPr>
                <w:sz w:val="24"/>
              </w:rPr>
            </w:pPr>
            <w:r>
              <w:rPr>
                <w:sz w:val="24"/>
              </w:rPr>
              <w:t>For</w:t>
            </w:r>
            <w:r>
              <w:rPr>
                <w:spacing w:val="-15"/>
                <w:sz w:val="24"/>
              </w:rPr>
              <w:t> </w:t>
            </w:r>
            <w:r>
              <w:rPr>
                <w:sz w:val="24"/>
              </w:rPr>
              <w:t>1.0</w:t>
            </w:r>
            <w:r>
              <w:rPr>
                <w:spacing w:val="-13"/>
                <w:sz w:val="24"/>
              </w:rPr>
              <w:t> </w:t>
            </w:r>
            <w:r>
              <w:rPr>
                <w:sz w:val="24"/>
              </w:rPr>
              <w:t>ha</w:t>
            </w:r>
            <w:r>
              <w:rPr>
                <w:spacing w:val="-13"/>
                <w:sz w:val="24"/>
              </w:rPr>
              <w:t> </w:t>
            </w:r>
            <w:r>
              <w:rPr>
                <w:spacing w:val="-5"/>
                <w:sz w:val="24"/>
              </w:rPr>
              <w:t>to</w:t>
            </w:r>
          </w:p>
          <w:p>
            <w:pPr>
              <w:pStyle w:val="TableParagraph"/>
              <w:spacing w:line="281" w:lineRule="exact"/>
              <w:ind w:left="107"/>
              <w:rPr>
                <w:sz w:val="24"/>
              </w:rPr>
            </w:pPr>
            <w:r>
              <w:rPr>
                <w:sz w:val="24"/>
              </w:rPr>
              <w:t>5.0</w:t>
            </w:r>
            <w:r>
              <w:rPr>
                <w:spacing w:val="-2"/>
                <w:sz w:val="24"/>
              </w:rPr>
              <w:t> </w:t>
            </w:r>
            <w:r>
              <w:rPr>
                <w:spacing w:val="-5"/>
                <w:sz w:val="24"/>
              </w:rPr>
              <w:t>ha</w:t>
            </w:r>
          </w:p>
        </w:tc>
        <w:tc>
          <w:tcPr>
            <w:tcW w:w="1703" w:type="dxa"/>
          </w:tcPr>
          <w:p>
            <w:pPr>
              <w:pStyle w:val="TableParagraph"/>
              <w:spacing w:line="280" w:lineRule="exact"/>
              <w:ind w:left="105"/>
              <w:rPr>
                <w:sz w:val="24"/>
              </w:rPr>
            </w:pPr>
            <w:r>
              <w:rPr>
                <w:sz w:val="24"/>
              </w:rPr>
              <w:t>For</w:t>
            </w:r>
            <w:r>
              <w:rPr>
                <w:spacing w:val="-15"/>
                <w:sz w:val="24"/>
              </w:rPr>
              <w:t> </w:t>
            </w:r>
            <w:r>
              <w:rPr>
                <w:sz w:val="24"/>
              </w:rPr>
              <w:t>5.0</w:t>
            </w:r>
            <w:r>
              <w:rPr>
                <w:spacing w:val="-13"/>
                <w:sz w:val="24"/>
              </w:rPr>
              <w:t> </w:t>
            </w:r>
            <w:r>
              <w:rPr>
                <w:sz w:val="24"/>
              </w:rPr>
              <w:t>ha</w:t>
            </w:r>
            <w:r>
              <w:rPr>
                <w:spacing w:val="-13"/>
                <w:sz w:val="24"/>
              </w:rPr>
              <w:t> </w:t>
            </w:r>
            <w:r>
              <w:rPr>
                <w:spacing w:val="-5"/>
                <w:sz w:val="24"/>
              </w:rPr>
              <w:t>to</w:t>
            </w:r>
          </w:p>
          <w:p>
            <w:pPr>
              <w:pStyle w:val="TableParagraph"/>
              <w:spacing w:line="281" w:lineRule="exact"/>
              <w:ind w:left="105"/>
              <w:rPr>
                <w:sz w:val="24"/>
              </w:rPr>
            </w:pPr>
            <w:r>
              <w:rPr>
                <w:sz w:val="24"/>
              </w:rPr>
              <w:t>10.0</w:t>
            </w:r>
            <w:r>
              <w:rPr>
                <w:spacing w:val="-3"/>
                <w:sz w:val="24"/>
              </w:rPr>
              <w:t> </w:t>
            </w:r>
            <w:r>
              <w:rPr>
                <w:spacing w:val="-5"/>
                <w:sz w:val="24"/>
              </w:rPr>
              <w:t>ha</w:t>
            </w:r>
          </w:p>
        </w:tc>
        <w:tc>
          <w:tcPr>
            <w:tcW w:w="1275" w:type="dxa"/>
          </w:tcPr>
          <w:p>
            <w:pPr>
              <w:pStyle w:val="TableParagraph"/>
              <w:ind w:left="104" w:right="95"/>
              <w:rPr>
                <w:sz w:val="24"/>
              </w:rPr>
            </w:pPr>
            <w:r>
              <w:rPr>
                <w:sz w:val="24"/>
              </w:rPr>
              <w:t>For</w:t>
            </w:r>
            <w:r>
              <w:rPr>
                <w:spacing w:val="-20"/>
                <w:sz w:val="24"/>
              </w:rPr>
              <w:t> </w:t>
            </w:r>
            <w:r>
              <w:rPr>
                <w:sz w:val="24"/>
              </w:rPr>
              <w:t>10ha </w:t>
            </w:r>
            <w:r>
              <w:rPr>
                <w:spacing w:val="-4"/>
                <w:sz w:val="24"/>
              </w:rPr>
              <w:t>and</w:t>
            </w:r>
          </w:p>
          <w:p>
            <w:pPr>
              <w:pStyle w:val="TableParagraph"/>
              <w:spacing w:line="261" w:lineRule="exact"/>
              <w:ind w:left="104"/>
              <w:rPr>
                <w:sz w:val="24"/>
              </w:rPr>
            </w:pPr>
            <w:r>
              <w:rPr>
                <w:spacing w:val="-2"/>
                <w:sz w:val="24"/>
              </w:rPr>
              <w:t>above</w:t>
            </w:r>
          </w:p>
        </w:tc>
      </w:tr>
      <w:tr>
        <w:trPr>
          <w:trHeight w:val="294" w:hRule="atLeast"/>
        </w:trPr>
        <w:tc>
          <w:tcPr>
            <w:tcW w:w="1885" w:type="dxa"/>
          </w:tcPr>
          <w:p>
            <w:pPr>
              <w:pStyle w:val="TableParagraph"/>
              <w:spacing w:line="275" w:lineRule="exact"/>
              <w:ind w:left="105"/>
              <w:rPr>
                <w:sz w:val="24"/>
              </w:rPr>
            </w:pPr>
            <w:r>
              <w:rPr>
                <w:sz w:val="24"/>
              </w:rPr>
              <w:t>Above </w:t>
            </w:r>
            <w:r>
              <w:rPr>
                <w:spacing w:val="-4"/>
                <w:sz w:val="24"/>
              </w:rPr>
              <w:t>6.00</w:t>
            </w:r>
          </w:p>
        </w:tc>
        <w:tc>
          <w:tcPr>
            <w:tcW w:w="1700" w:type="dxa"/>
          </w:tcPr>
          <w:p>
            <w:pPr>
              <w:pStyle w:val="TableParagraph"/>
              <w:spacing w:line="275" w:lineRule="exact"/>
              <w:ind w:right="361"/>
              <w:jc w:val="right"/>
              <w:rPr>
                <w:sz w:val="24"/>
              </w:rPr>
            </w:pPr>
            <w:r>
              <w:rPr>
                <w:spacing w:val="-5"/>
                <w:sz w:val="24"/>
              </w:rPr>
              <w:t>55%</w:t>
            </w:r>
          </w:p>
        </w:tc>
        <w:tc>
          <w:tcPr>
            <w:tcW w:w="1703" w:type="dxa"/>
          </w:tcPr>
          <w:p>
            <w:pPr>
              <w:pStyle w:val="TableParagraph"/>
              <w:spacing w:line="275" w:lineRule="exact"/>
              <w:ind w:right="362"/>
              <w:jc w:val="right"/>
              <w:rPr>
                <w:sz w:val="24"/>
              </w:rPr>
            </w:pPr>
            <w:r>
              <w:rPr>
                <w:spacing w:val="-5"/>
                <w:sz w:val="24"/>
              </w:rPr>
              <w:t>60%</w:t>
            </w:r>
          </w:p>
        </w:tc>
        <w:tc>
          <w:tcPr>
            <w:tcW w:w="1703" w:type="dxa"/>
          </w:tcPr>
          <w:p>
            <w:pPr>
              <w:pStyle w:val="TableParagraph"/>
              <w:spacing w:line="275" w:lineRule="exact"/>
              <w:ind w:right="363"/>
              <w:jc w:val="right"/>
              <w:rPr>
                <w:sz w:val="24"/>
              </w:rPr>
            </w:pPr>
            <w:r>
              <w:rPr>
                <w:spacing w:val="-5"/>
                <w:sz w:val="24"/>
              </w:rPr>
              <w:t>65%</w:t>
            </w:r>
          </w:p>
        </w:tc>
        <w:tc>
          <w:tcPr>
            <w:tcW w:w="1275" w:type="dxa"/>
          </w:tcPr>
          <w:p>
            <w:pPr>
              <w:pStyle w:val="TableParagraph"/>
              <w:spacing w:line="275" w:lineRule="exact"/>
              <w:ind w:left="104"/>
              <w:rPr>
                <w:sz w:val="24"/>
              </w:rPr>
            </w:pPr>
            <w:r>
              <w:rPr>
                <w:spacing w:val="-5"/>
                <w:sz w:val="24"/>
              </w:rPr>
              <w:t>70%</w:t>
            </w:r>
          </w:p>
        </w:tc>
      </w:tr>
      <w:tr>
        <w:trPr>
          <w:trHeight w:val="561" w:hRule="atLeast"/>
        </w:trPr>
        <w:tc>
          <w:tcPr>
            <w:tcW w:w="1885" w:type="dxa"/>
          </w:tcPr>
          <w:p>
            <w:pPr>
              <w:pStyle w:val="TableParagraph"/>
              <w:tabs>
                <w:tab w:pos="1249" w:val="left" w:leader="none"/>
              </w:tabs>
              <w:spacing w:line="280" w:lineRule="exact"/>
              <w:ind w:left="105"/>
              <w:rPr>
                <w:sz w:val="24"/>
              </w:rPr>
            </w:pPr>
            <w:r>
              <w:rPr>
                <w:spacing w:val="-2"/>
                <w:sz w:val="24"/>
              </w:rPr>
              <w:t>Above</w:t>
            </w:r>
            <w:r>
              <w:rPr>
                <w:sz w:val="24"/>
              </w:rPr>
              <w:tab/>
            </w:r>
            <w:r>
              <w:rPr>
                <w:spacing w:val="-4"/>
                <w:sz w:val="24"/>
              </w:rPr>
              <w:t>4.00</w:t>
            </w:r>
          </w:p>
          <w:p>
            <w:pPr>
              <w:pStyle w:val="TableParagraph"/>
              <w:spacing w:line="261" w:lineRule="exact"/>
              <w:ind w:left="105"/>
              <w:rPr>
                <w:sz w:val="24"/>
              </w:rPr>
            </w:pPr>
            <w:r>
              <w:rPr>
                <w:sz w:val="24"/>
              </w:rPr>
              <w:t>and</w:t>
            </w:r>
            <w:r>
              <w:rPr>
                <w:spacing w:val="-3"/>
                <w:sz w:val="24"/>
              </w:rPr>
              <w:t> </w:t>
            </w:r>
            <w:r>
              <w:rPr>
                <w:sz w:val="24"/>
              </w:rPr>
              <w:t>upto</w:t>
            </w:r>
            <w:r>
              <w:rPr>
                <w:spacing w:val="-2"/>
                <w:sz w:val="24"/>
              </w:rPr>
              <w:t> </w:t>
            </w:r>
            <w:r>
              <w:rPr>
                <w:spacing w:val="-4"/>
                <w:sz w:val="24"/>
              </w:rPr>
              <w:t>6.00</w:t>
            </w:r>
          </w:p>
        </w:tc>
        <w:tc>
          <w:tcPr>
            <w:tcW w:w="1700" w:type="dxa"/>
          </w:tcPr>
          <w:p>
            <w:pPr>
              <w:pStyle w:val="TableParagraph"/>
              <w:spacing w:line="281" w:lineRule="exact"/>
              <w:ind w:right="361"/>
              <w:jc w:val="right"/>
              <w:rPr>
                <w:sz w:val="24"/>
              </w:rPr>
            </w:pPr>
            <w:r>
              <w:rPr>
                <w:spacing w:val="-5"/>
                <w:sz w:val="24"/>
              </w:rPr>
              <w:t>65%</w:t>
            </w:r>
          </w:p>
        </w:tc>
        <w:tc>
          <w:tcPr>
            <w:tcW w:w="1703" w:type="dxa"/>
          </w:tcPr>
          <w:p>
            <w:pPr>
              <w:pStyle w:val="TableParagraph"/>
              <w:spacing w:line="281" w:lineRule="exact"/>
              <w:ind w:right="362"/>
              <w:jc w:val="right"/>
              <w:rPr>
                <w:sz w:val="24"/>
              </w:rPr>
            </w:pPr>
            <w:r>
              <w:rPr>
                <w:spacing w:val="-5"/>
                <w:sz w:val="24"/>
              </w:rPr>
              <w:t>70%</w:t>
            </w:r>
          </w:p>
        </w:tc>
        <w:tc>
          <w:tcPr>
            <w:tcW w:w="1703" w:type="dxa"/>
          </w:tcPr>
          <w:p>
            <w:pPr>
              <w:pStyle w:val="TableParagraph"/>
              <w:spacing w:line="281" w:lineRule="exact"/>
              <w:ind w:right="363"/>
              <w:jc w:val="right"/>
              <w:rPr>
                <w:sz w:val="24"/>
              </w:rPr>
            </w:pPr>
            <w:r>
              <w:rPr>
                <w:spacing w:val="-5"/>
                <w:sz w:val="24"/>
              </w:rPr>
              <w:t>75%</w:t>
            </w:r>
          </w:p>
        </w:tc>
        <w:tc>
          <w:tcPr>
            <w:tcW w:w="1275" w:type="dxa"/>
          </w:tcPr>
          <w:p>
            <w:pPr>
              <w:pStyle w:val="TableParagraph"/>
              <w:spacing w:line="281" w:lineRule="exact"/>
              <w:ind w:left="104"/>
              <w:rPr>
                <w:sz w:val="24"/>
              </w:rPr>
            </w:pPr>
            <w:r>
              <w:rPr>
                <w:spacing w:val="-5"/>
                <w:sz w:val="24"/>
              </w:rPr>
              <w:t>80%</w:t>
            </w:r>
          </w:p>
        </w:tc>
      </w:tr>
      <w:tr>
        <w:trPr>
          <w:trHeight w:val="564" w:hRule="atLeast"/>
        </w:trPr>
        <w:tc>
          <w:tcPr>
            <w:tcW w:w="1885" w:type="dxa"/>
          </w:tcPr>
          <w:p>
            <w:pPr>
              <w:pStyle w:val="TableParagraph"/>
              <w:tabs>
                <w:tab w:pos="1249" w:val="left" w:leader="none"/>
              </w:tabs>
              <w:spacing w:line="281" w:lineRule="exact" w:before="2"/>
              <w:ind w:left="105"/>
              <w:rPr>
                <w:sz w:val="24"/>
              </w:rPr>
            </w:pPr>
            <w:r>
              <w:rPr>
                <w:spacing w:val="-2"/>
                <w:sz w:val="24"/>
              </w:rPr>
              <w:t>Above</w:t>
            </w:r>
            <w:r>
              <w:rPr>
                <w:sz w:val="24"/>
              </w:rPr>
              <w:tab/>
            </w:r>
            <w:r>
              <w:rPr>
                <w:spacing w:val="-4"/>
                <w:sz w:val="24"/>
              </w:rPr>
              <w:t>2.00</w:t>
            </w:r>
          </w:p>
          <w:p>
            <w:pPr>
              <w:pStyle w:val="TableParagraph"/>
              <w:spacing w:line="261" w:lineRule="exact"/>
              <w:ind w:left="105"/>
              <w:rPr>
                <w:sz w:val="24"/>
              </w:rPr>
            </w:pPr>
            <w:r>
              <w:rPr>
                <w:sz w:val="24"/>
              </w:rPr>
              <w:t>and</w:t>
            </w:r>
            <w:r>
              <w:rPr>
                <w:spacing w:val="-3"/>
                <w:sz w:val="24"/>
              </w:rPr>
              <w:t> </w:t>
            </w:r>
            <w:r>
              <w:rPr>
                <w:sz w:val="24"/>
              </w:rPr>
              <w:t>upto</w:t>
            </w:r>
            <w:r>
              <w:rPr>
                <w:spacing w:val="-2"/>
                <w:sz w:val="24"/>
              </w:rPr>
              <w:t> </w:t>
            </w:r>
            <w:r>
              <w:rPr>
                <w:spacing w:val="-4"/>
                <w:sz w:val="24"/>
              </w:rPr>
              <w:t>4.00</w:t>
            </w:r>
          </w:p>
        </w:tc>
        <w:tc>
          <w:tcPr>
            <w:tcW w:w="1700" w:type="dxa"/>
          </w:tcPr>
          <w:p>
            <w:pPr>
              <w:pStyle w:val="TableParagraph"/>
              <w:spacing w:before="2"/>
              <w:ind w:right="361"/>
              <w:jc w:val="right"/>
              <w:rPr>
                <w:sz w:val="24"/>
              </w:rPr>
            </w:pPr>
            <w:r>
              <w:rPr>
                <w:spacing w:val="-5"/>
                <w:sz w:val="24"/>
              </w:rPr>
              <w:t>75%</w:t>
            </w:r>
          </w:p>
        </w:tc>
        <w:tc>
          <w:tcPr>
            <w:tcW w:w="1703" w:type="dxa"/>
          </w:tcPr>
          <w:p>
            <w:pPr>
              <w:pStyle w:val="TableParagraph"/>
              <w:spacing w:before="2"/>
              <w:ind w:right="362"/>
              <w:jc w:val="right"/>
              <w:rPr>
                <w:sz w:val="24"/>
              </w:rPr>
            </w:pPr>
            <w:r>
              <w:rPr>
                <w:spacing w:val="-5"/>
                <w:sz w:val="24"/>
              </w:rPr>
              <w:t>80%</w:t>
            </w:r>
          </w:p>
        </w:tc>
        <w:tc>
          <w:tcPr>
            <w:tcW w:w="1703" w:type="dxa"/>
          </w:tcPr>
          <w:p>
            <w:pPr>
              <w:pStyle w:val="TableParagraph"/>
              <w:spacing w:before="2"/>
              <w:ind w:right="363"/>
              <w:jc w:val="right"/>
              <w:rPr>
                <w:sz w:val="24"/>
              </w:rPr>
            </w:pPr>
            <w:r>
              <w:rPr>
                <w:spacing w:val="-5"/>
                <w:sz w:val="24"/>
              </w:rPr>
              <w:t>85%</w:t>
            </w:r>
          </w:p>
        </w:tc>
        <w:tc>
          <w:tcPr>
            <w:tcW w:w="1275" w:type="dxa"/>
          </w:tcPr>
          <w:p>
            <w:pPr>
              <w:pStyle w:val="TableParagraph"/>
              <w:spacing w:before="2"/>
              <w:ind w:left="104"/>
              <w:rPr>
                <w:sz w:val="24"/>
              </w:rPr>
            </w:pPr>
            <w:r>
              <w:rPr>
                <w:spacing w:val="-5"/>
                <w:sz w:val="24"/>
              </w:rPr>
              <w:t>90%</w:t>
            </w:r>
          </w:p>
        </w:tc>
      </w:tr>
      <w:tr>
        <w:trPr>
          <w:trHeight w:val="282" w:hRule="atLeast"/>
        </w:trPr>
        <w:tc>
          <w:tcPr>
            <w:tcW w:w="1885" w:type="dxa"/>
          </w:tcPr>
          <w:p>
            <w:pPr>
              <w:pStyle w:val="TableParagraph"/>
              <w:spacing w:line="261" w:lineRule="exact" w:before="1"/>
              <w:ind w:left="105"/>
              <w:rPr>
                <w:sz w:val="24"/>
              </w:rPr>
            </w:pPr>
            <w:r>
              <w:rPr>
                <w:sz w:val="24"/>
              </w:rPr>
              <w:t>Upto</w:t>
            </w:r>
            <w:r>
              <w:rPr>
                <w:spacing w:val="-3"/>
                <w:sz w:val="24"/>
              </w:rPr>
              <w:t> </w:t>
            </w:r>
            <w:r>
              <w:rPr>
                <w:spacing w:val="-4"/>
                <w:sz w:val="24"/>
              </w:rPr>
              <w:t>2.00</w:t>
            </w:r>
          </w:p>
        </w:tc>
        <w:tc>
          <w:tcPr>
            <w:tcW w:w="1700" w:type="dxa"/>
          </w:tcPr>
          <w:p>
            <w:pPr>
              <w:pStyle w:val="TableParagraph"/>
              <w:spacing w:line="261" w:lineRule="exact" w:before="1"/>
              <w:ind w:right="361"/>
              <w:jc w:val="right"/>
              <w:rPr>
                <w:sz w:val="24"/>
              </w:rPr>
            </w:pPr>
            <w:r>
              <w:rPr>
                <w:spacing w:val="-5"/>
                <w:sz w:val="24"/>
              </w:rPr>
              <w:t>85%</w:t>
            </w:r>
          </w:p>
        </w:tc>
        <w:tc>
          <w:tcPr>
            <w:tcW w:w="1703" w:type="dxa"/>
          </w:tcPr>
          <w:p>
            <w:pPr>
              <w:pStyle w:val="TableParagraph"/>
              <w:spacing w:line="261" w:lineRule="exact" w:before="1"/>
              <w:ind w:right="362"/>
              <w:jc w:val="right"/>
              <w:rPr>
                <w:sz w:val="24"/>
              </w:rPr>
            </w:pPr>
            <w:r>
              <w:rPr>
                <w:spacing w:val="-5"/>
                <w:sz w:val="24"/>
              </w:rPr>
              <w:t>90%</w:t>
            </w:r>
          </w:p>
        </w:tc>
        <w:tc>
          <w:tcPr>
            <w:tcW w:w="1703" w:type="dxa"/>
          </w:tcPr>
          <w:p>
            <w:pPr>
              <w:pStyle w:val="TableParagraph"/>
              <w:spacing w:line="261" w:lineRule="exact" w:before="1"/>
              <w:ind w:right="363"/>
              <w:jc w:val="right"/>
              <w:rPr>
                <w:sz w:val="24"/>
              </w:rPr>
            </w:pPr>
            <w:r>
              <w:rPr>
                <w:spacing w:val="-5"/>
                <w:sz w:val="24"/>
              </w:rPr>
              <w:t>95%</w:t>
            </w:r>
          </w:p>
        </w:tc>
        <w:tc>
          <w:tcPr>
            <w:tcW w:w="1275" w:type="dxa"/>
          </w:tcPr>
          <w:p>
            <w:pPr>
              <w:pStyle w:val="TableParagraph"/>
              <w:spacing w:line="261" w:lineRule="exact" w:before="1"/>
              <w:ind w:left="104"/>
              <w:rPr>
                <w:sz w:val="24"/>
              </w:rPr>
            </w:pPr>
            <w:r>
              <w:rPr>
                <w:spacing w:val="-4"/>
                <w:sz w:val="24"/>
              </w:rPr>
              <w:t>100%</w:t>
            </w:r>
          </w:p>
        </w:tc>
      </w:tr>
    </w:tbl>
    <w:p>
      <w:pPr>
        <w:pStyle w:val="Heading6"/>
        <w:spacing w:before="280"/>
        <w:ind w:left="1870"/>
        <w:rPr>
          <w:b w:val="0"/>
          <w:i w:val="0"/>
        </w:rPr>
      </w:pPr>
      <w:r>
        <w:rPr>
          <w:spacing w:val="-2"/>
        </w:rPr>
        <w:t>Explanation:</w:t>
      </w:r>
      <w:r>
        <w:rPr>
          <w:b w:val="0"/>
          <w:i w:val="0"/>
          <w:spacing w:val="-2"/>
        </w:rPr>
        <w:t>-</w:t>
      </w:r>
    </w:p>
    <w:p>
      <w:pPr>
        <w:pStyle w:val="BodyText"/>
        <w:spacing w:before="4"/>
        <w:ind w:left="2050" w:right="766"/>
      </w:pPr>
      <w:r>
        <w:rPr/>
        <w:t>(i) *RC is the rate of construction in respect of R.C.C. Construction, as published by the Chief Controlling Revenue Authority &amp; Inspector General</w:t>
      </w:r>
      <w:r>
        <w:rPr>
          <w:spacing w:val="-6"/>
        </w:rPr>
        <w:t> </w:t>
      </w:r>
      <w:r>
        <w:rPr/>
        <w:t>of</w:t>
      </w:r>
      <w:r>
        <w:rPr>
          <w:spacing w:val="-6"/>
        </w:rPr>
        <w:t> </w:t>
      </w:r>
      <w:r>
        <w:rPr/>
        <w:t>Registration,</w:t>
      </w:r>
      <w:r>
        <w:rPr>
          <w:spacing w:val="-6"/>
        </w:rPr>
        <w:t> </w:t>
      </w:r>
      <w:r>
        <w:rPr/>
        <w:t>Maharashtra</w:t>
      </w:r>
      <w:r>
        <w:rPr>
          <w:spacing w:val="-6"/>
        </w:rPr>
        <w:t> </w:t>
      </w:r>
      <w:r>
        <w:rPr/>
        <w:t>State</w:t>
      </w:r>
      <w:r>
        <w:rPr>
          <w:spacing w:val="-6"/>
        </w:rPr>
        <w:t> </w:t>
      </w:r>
      <w:r>
        <w:rPr/>
        <w:t>in</w:t>
      </w:r>
      <w:r>
        <w:rPr>
          <w:spacing w:val="-6"/>
        </w:rPr>
        <w:t> </w:t>
      </w:r>
      <w:r>
        <w:rPr/>
        <w:t>the</w:t>
      </w:r>
      <w:r>
        <w:rPr>
          <w:spacing w:val="-6"/>
        </w:rPr>
        <w:t> </w:t>
      </w:r>
      <w:r>
        <w:rPr/>
        <w:t>Annual</w:t>
      </w:r>
      <w:r>
        <w:rPr>
          <w:spacing w:val="-6"/>
        </w:rPr>
        <w:t> </w:t>
      </w:r>
      <w:r>
        <w:rPr/>
        <w:t>Statement</w:t>
      </w:r>
      <w:r>
        <w:rPr>
          <w:spacing w:val="40"/>
        </w:rPr>
        <w:t> </w:t>
      </w:r>
      <w:r>
        <w:rPr/>
        <w:t>of </w:t>
      </w:r>
      <w:r>
        <w:rPr>
          <w:spacing w:val="-2"/>
        </w:rPr>
        <w:t>Rates.</w:t>
      </w:r>
    </w:p>
    <w:p>
      <w:pPr>
        <w:pStyle w:val="BodyText"/>
        <w:jc w:val="left"/>
      </w:pPr>
    </w:p>
    <w:p>
      <w:pPr>
        <w:pStyle w:val="BodyText"/>
        <w:ind w:left="2050" w:right="769"/>
      </w:pPr>
      <w:r>
        <w:rPr/>
        <w:t>Provided further that in case there are more than one land rates applicable to different parts of the plot under the Urban Renewal Scheme,</w:t>
      </w:r>
      <w:r>
        <w:rPr>
          <w:spacing w:val="-10"/>
        </w:rPr>
        <w:t> </w:t>
      </w:r>
      <w:r>
        <w:rPr/>
        <w:t>a</w:t>
      </w:r>
      <w:r>
        <w:rPr>
          <w:spacing w:val="-10"/>
        </w:rPr>
        <w:t> </w:t>
      </w:r>
      <w:r>
        <w:rPr/>
        <w:t>weighted</w:t>
      </w:r>
      <w:r>
        <w:rPr>
          <w:spacing w:val="-7"/>
        </w:rPr>
        <w:t> </w:t>
      </w:r>
      <w:r>
        <w:rPr/>
        <w:t>average</w:t>
      </w:r>
      <w:r>
        <w:rPr>
          <w:spacing w:val="-10"/>
        </w:rPr>
        <w:t> </w:t>
      </w:r>
      <w:r>
        <w:rPr/>
        <w:t>of</w:t>
      </w:r>
      <w:r>
        <w:rPr>
          <w:spacing w:val="-10"/>
        </w:rPr>
        <w:t> </w:t>
      </w:r>
      <w:r>
        <w:rPr/>
        <w:t>all</w:t>
      </w:r>
      <w:r>
        <w:rPr>
          <w:spacing w:val="-9"/>
        </w:rPr>
        <w:t> </w:t>
      </w:r>
      <w:r>
        <w:rPr/>
        <w:t>the</w:t>
      </w:r>
      <w:r>
        <w:rPr>
          <w:spacing w:val="-10"/>
        </w:rPr>
        <w:t> </w:t>
      </w:r>
      <w:r>
        <w:rPr/>
        <w:t>applicable</w:t>
      </w:r>
      <w:r>
        <w:rPr>
          <w:spacing w:val="-10"/>
        </w:rPr>
        <w:t> </w:t>
      </w:r>
      <w:r>
        <w:rPr/>
        <w:t>rates</w:t>
      </w:r>
      <w:r>
        <w:rPr>
          <w:spacing w:val="-10"/>
        </w:rPr>
        <w:t> </w:t>
      </w:r>
      <w:r>
        <w:rPr/>
        <w:t>shall</w:t>
      </w:r>
      <w:r>
        <w:rPr>
          <w:spacing w:val="-10"/>
        </w:rPr>
        <w:t> </w:t>
      </w:r>
      <w:r>
        <w:rPr/>
        <w:t>be</w:t>
      </w:r>
      <w:r>
        <w:rPr>
          <w:spacing w:val="-10"/>
        </w:rPr>
        <w:t> </w:t>
      </w:r>
      <w:r>
        <w:rPr/>
        <w:t>taken</w:t>
      </w:r>
      <w:r>
        <w:rPr>
          <w:spacing w:val="-10"/>
        </w:rPr>
        <w:t> </w:t>
      </w:r>
      <w:r>
        <w:rPr/>
        <w:t>for calculating the Average Land Rate and the Basic Ratio.</w:t>
      </w:r>
    </w:p>
    <w:p>
      <w:pPr>
        <w:pStyle w:val="BodyText"/>
        <w:spacing w:before="1"/>
        <w:jc w:val="left"/>
      </w:pPr>
    </w:p>
    <w:p>
      <w:pPr>
        <w:pStyle w:val="BodyText"/>
        <w:ind w:left="2050" w:right="767"/>
      </w:pPr>
      <w:r>
        <w:rPr/>
        <w:t>Provided further that for calculation of the Basic Ratio, the Land Rate (LR) and the Rate of Construction (RC) shall be taken for the year in which</w:t>
      </w:r>
      <w:r>
        <w:rPr>
          <w:spacing w:val="-13"/>
        </w:rPr>
        <w:t> </w:t>
      </w:r>
      <w:r>
        <w:rPr/>
        <w:t>the</w:t>
      </w:r>
      <w:r>
        <w:rPr>
          <w:spacing w:val="-13"/>
        </w:rPr>
        <w:t> </w:t>
      </w:r>
      <w:r>
        <w:rPr/>
        <w:t>Cluster</w:t>
      </w:r>
      <w:r>
        <w:rPr>
          <w:spacing w:val="-13"/>
        </w:rPr>
        <w:t> </w:t>
      </w:r>
      <w:r>
        <w:rPr/>
        <w:t>Development</w:t>
      </w:r>
      <w:r>
        <w:rPr>
          <w:spacing w:val="-13"/>
        </w:rPr>
        <w:t> </w:t>
      </w:r>
      <w:r>
        <w:rPr/>
        <w:t>Project</w:t>
      </w:r>
      <w:r>
        <w:rPr>
          <w:spacing w:val="-13"/>
        </w:rPr>
        <w:t> </w:t>
      </w:r>
      <w:r>
        <w:rPr/>
        <w:t>is</w:t>
      </w:r>
      <w:r>
        <w:rPr>
          <w:spacing w:val="-13"/>
        </w:rPr>
        <w:t> </w:t>
      </w:r>
      <w:r>
        <w:rPr/>
        <w:t>approved</w:t>
      </w:r>
      <w:r>
        <w:rPr>
          <w:spacing w:val="-13"/>
        </w:rPr>
        <w:t> </w:t>
      </w:r>
      <w:r>
        <w:rPr/>
        <w:t>and</w:t>
      </w:r>
      <w:r>
        <w:rPr>
          <w:spacing w:val="-13"/>
        </w:rPr>
        <w:t> </w:t>
      </w:r>
      <w:r>
        <w:rPr/>
        <w:t>LOI</w:t>
      </w:r>
      <w:r>
        <w:rPr>
          <w:spacing w:val="-11"/>
        </w:rPr>
        <w:t> </w:t>
      </w:r>
      <w:r>
        <w:rPr/>
        <w:t>is</w:t>
      </w:r>
      <w:r>
        <w:rPr>
          <w:spacing w:val="-15"/>
        </w:rPr>
        <w:t> </w:t>
      </w:r>
      <w:r>
        <w:rPr/>
        <w:t>issued</w:t>
      </w:r>
      <w:r>
        <w:rPr>
          <w:spacing w:val="-13"/>
        </w:rPr>
        <w:t> </w:t>
      </w:r>
      <w:r>
        <w:rPr/>
        <w:t>by the Authority competent to approve it and the said ratio shall remain unchanged</w:t>
      </w:r>
      <w:r>
        <w:rPr>
          <w:spacing w:val="-9"/>
        </w:rPr>
        <w:t> </w:t>
      </w:r>
      <w:r>
        <w:rPr/>
        <w:t>even</w:t>
      </w:r>
      <w:r>
        <w:rPr>
          <w:spacing w:val="-9"/>
        </w:rPr>
        <w:t> </w:t>
      </w:r>
      <w:r>
        <w:rPr/>
        <w:t>if</w:t>
      </w:r>
      <w:r>
        <w:rPr>
          <w:spacing w:val="-9"/>
        </w:rPr>
        <w:t> </w:t>
      </w:r>
      <w:r>
        <w:rPr/>
        <w:t>such</w:t>
      </w:r>
      <w:r>
        <w:rPr>
          <w:spacing w:val="-9"/>
        </w:rPr>
        <w:t> </w:t>
      </w:r>
      <w:r>
        <w:rPr/>
        <w:t>Scheme</w:t>
      </w:r>
      <w:r>
        <w:rPr>
          <w:spacing w:val="-9"/>
        </w:rPr>
        <w:t> </w:t>
      </w:r>
      <w:r>
        <w:rPr/>
        <w:t>undergoes</w:t>
      </w:r>
      <w:r>
        <w:rPr>
          <w:spacing w:val="-9"/>
        </w:rPr>
        <w:t> </w:t>
      </w:r>
      <w:r>
        <w:rPr/>
        <w:t>any</w:t>
      </w:r>
      <w:r>
        <w:rPr>
          <w:spacing w:val="-9"/>
        </w:rPr>
        <w:t> </w:t>
      </w:r>
      <w:r>
        <w:rPr/>
        <w:t>revision</w:t>
      </w:r>
      <w:r>
        <w:rPr>
          <w:spacing w:val="-9"/>
        </w:rPr>
        <w:t> </w:t>
      </w:r>
      <w:r>
        <w:rPr/>
        <w:t>or</w:t>
      </w:r>
      <w:r>
        <w:rPr>
          <w:spacing w:val="-12"/>
        </w:rPr>
        <w:t> </w:t>
      </w:r>
      <w:r>
        <w:rPr/>
        <w:t>modification subsequently during its course of completion.</w:t>
      </w:r>
    </w:p>
    <w:p>
      <w:pPr>
        <w:pStyle w:val="BodyText"/>
        <w:spacing w:after="0"/>
        <w:sectPr>
          <w:pgSz w:w="11910" w:h="16840"/>
          <w:pgMar w:header="1065" w:footer="1194" w:top="1500" w:bottom="1380" w:left="360" w:right="360"/>
        </w:sectPr>
      </w:pPr>
    </w:p>
    <w:p>
      <w:pPr>
        <w:pStyle w:val="ListParagraph"/>
        <w:numPr>
          <w:ilvl w:val="0"/>
          <w:numId w:val="178"/>
        </w:numPr>
        <w:tabs>
          <w:tab w:pos="2050" w:val="left" w:leader="none"/>
        </w:tabs>
        <w:spacing w:line="240" w:lineRule="auto" w:before="249" w:after="0"/>
        <w:ind w:left="2050" w:right="770" w:hanging="360"/>
        <w:jc w:val="both"/>
        <w:rPr>
          <w:b/>
          <w:sz w:val="24"/>
        </w:rPr>
      </w:pPr>
      <w:r>
        <w:rPr>
          <w:sz w:val="24"/>
        </w:rPr>
        <w:t>"tolerated structures" encroaching upon the roads in nearby vicinity shall be</w:t>
      </w:r>
      <w:r>
        <w:rPr>
          <w:spacing w:val="40"/>
          <w:sz w:val="24"/>
        </w:rPr>
        <w:t> </w:t>
      </w:r>
      <w:r>
        <w:rPr>
          <w:sz w:val="24"/>
        </w:rPr>
        <w:t>allowed to be included in the</w:t>
      </w:r>
      <w:r>
        <w:rPr>
          <w:spacing w:val="40"/>
          <w:sz w:val="24"/>
        </w:rPr>
        <w:t> </w:t>
      </w:r>
      <w:r>
        <w:rPr>
          <w:sz w:val="24"/>
        </w:rPr>
        <w:t>Urban Renewal Scheme and its BUA</w:t>
      </w:r>
      <w:r>
        <w:rPr>
          <w:spacing w:val="-2"/>
          <w:sz w:val="24"/>
        </w:rPr>
        <w:t> </w:t>
      </w:r>
      <w:r>
        <w:rPr>
          <w:sz w:val="24"/>
        </w:rPr>
        <w:t>shall</w:t>
      </w:r>
      <w:r>
        <w:rPr>
          <w:spacing w:val="-2"/>
          <w:sz w:val="24"/>
        </w:rPr>
        <w:t> </w:t>
      </w:r>
      <w:r>
        <w:rPr>
          <w:sz w:val="24"/>
        </w:rPr>
        <w:t>be</w:t>
      </w:r>
      <w:r>
        <w:rPr>
          <w:spacing w:val="-2"/>
          <w:sz w:val="24"/>
        </w:rPr>
        <w:t> </w:t>
      </w:r>
      <w:r>
        <w:rPr>
          <w:sz w:val="24"/>
        </w:rPr>
        <w:t>included</w:t>
      </w:r>
      <w:r>
        <w:rPr>
          <w:spacing w:val="-2"/>
          <w:sz w:val="24"/>
        </w:rPr>
        <w:t> </w:t>
      </w:r>
      <w:r>
        <w:rPr>
          <w:sz w:val="24"/>
        </w:rPr>
        <w:t>in</w:t>
      </w:r>
      <w:r>
        <w:rPr>
          <w:spacing w:val="-2"/>
          <w:sz w:val="24"/>
        </w:rPr>
        <w:t> </w:t>
      </w:r>
      <w:r>
        <w:rPr>
          <w:sz w:val="24"/>
        </w:rPr>
        <w:t>rehabilitation</w:t>
      </w:r>
      <w:r>
        <w:rPr>
          <w:spacing w:val="-2"/>
          <w:sz w:val="24"/>
        </w:rPr>
        <w:t> </w:t>
      </w:r>
      <w:r>
        <w:rPr>
          <w:sz w:val="24"/>
        </w:rPr>
        <w:t>area,</w:t>
      </w:r>
      <w:r>
        <w:rPr>
          <w:spacing w:val="-2"/>
          <w:sz w:val="24"/>
        </w:rPr>
        <w:t> </w:t>
      </w:r>
      <w:r>
        <w:rPr>
          <w:sz w:val="24"/>
        </w:rPr>
        <w:t>provided</w:t>
      </w:r>
      <w:r>
        <w:rPr>
          <w:spacing w:val="-2"/>
          <w:sz w:val="24"/>
        </w:rPr>
        <w:t> </w:t>
      </w:r>
      <w:r>
        <w:rPr>
          <w:sz w:val="24"/>
        </w:rPr>
        <w:t>such</w:t>
      </w:r>
      <w:r>
        <w:rPr>
          <w:spacing w:val="40"/>
          <w:sz w:val="24"/>
        </w:rPr>
        <w:t> </w:t>
      </w:r>
      <w:r>
        <w:rPr>
          <w:sz w:val="24"/>
        </w:rPr>
        <w:t>structures are permanently removed.</w:t>
      </w:r>
    </w:p>
    <w:p>
      <w:pPr>
        <w:pStyle w:val="BodyText"/>
        <w:spacing w:line="242" w:lineRule="auto" w:before="280"/>
        <w:ind w:left="2050" w:right="769"/>
      </w:pPr>
      <w:r>
        <w:rPr>
          <w:b/>
          <w:i/>
        </w:rPr>
        <w:t>Explanation</w:t>
      </w:r>
      <w:r>
        <w:rPr>
          <w:b/>
        </w:rPr>
        <w:t>:</w:t>
      </w:r>
      <w:r>
        <w:rPr>
          <w:b/>
          <w:spacing w:val="-16"/>
        </w:rPr>
        <w:t> </w:t>
      </w:r>
      <w:r>
        <w:rPr>
          <w:b/>
        </w:rPr>
        <w:t>-</w:t>
      </w:r>
      <w:r>
        <w:rPr/>
        <w:t>The</w:t>
      </w:r>
      <w:r>
        <w:rPr>
          <w:spacing w:val="-14"/>
        </w:rPr>
        <w:t> </w:t>
      </w:r>
      <w:r>
        <w:rPr/>
        <w:t>term</w:t>
      </w:r>
      <w:r>
        <w:rPr>
          <w:spacing w:val="-16"/>
        </w:rPr>
        <w:t> </w:t>
      </w:r>
      <w:r>
        <w:rPr/>
        <w:t>“tolerated</w:t>
      </w:r>
      <w:r>
        <w:rPr>
          <w:spacing w:val="-16"/>
        </w:rPr>
        <w:t> </w:t>
      </w:r>
      <w:r>
        <w:rPr/>
        <w:t>structure”</w:t>
      </w:r>
      <w:r>
        <w:rPr>
          <w:spacing w:val="-16"/>
        </w:rPr>
        <w:t> </w:t>
      </w:r>
      <w:r>
        <w:rPr/>
        <w:t>means</w:t>
      </w:r>
      <w:r>
        <w:rPr>
          <w:spacing w:val="-16"/>
        </w:rPr>
        <w:t> </w:t>
      </w:r>
      <w:r>
        <w:rPr/>
        <w:t>the</w:t>
      </w:r>
      <w:r>
        <w:rPr>
          <w:spacing w:val="-16"/>
        </w:rPr>
        <w:t> </w:t>
      </w:r>
      <w:r>
        <w:rPr/>
        <w:t>structure</w:t>
      </w:r>
      <w:r>
        <w:rPr>
          <w:spacing w:val="-16"/>
        </w:rPr>
        <w:t> </w:t>
      </w:r>
      <w:r>
        <w:rPr/>
        <w:t>used for</w:t>
      </w:r>
      <w:r>
        <w:rPr>
          <w:spacing w:val="-20"/>
        </w:rPr>
        <w:t> </w:t>
      </w:r>
      <w:r>
        <w:rPr/>
        <w:t>residential</w:t>
      </w:r>
      <w:r>
        <w:rPr>
          <w:spacing w:val="-19"/>
        </w:rPr>
        <w:t> </w:t>
      </w:r>
      <w:r>
        <w:rPr/>
        <w:t>or</w:t>
      </w:r>
      <w:r>
        <w:rPr>
          <w:spacing w:val="-19"/>
        </w:rPr>
        <w:t> </w:t>
      </w:r>
      <w:r>
        <w:rPr/>
        <w:t>non-residential</w:t>
      </w:r>
      <w:r>
        <w:rPr>
          <w:spacing w:val="-19"/>
        </w:rPr>
        <w:t> </w:t>
      </w:r>
      <w:r>
        <w:rPr/>
        <w:t>purpose</w:t>
      </w:r>
      <w:r>
        <w:rPr>
          <w:spacing w:val="-19"/>
        </w:rPr>
        <w:t> </w:t>
      </w:r>
      <w:r>
        <w:rPr/>
        <w:t>and</w:t>
      </w:r>
      <w:r>
        <w:rPr>
          <w:spacing w:val="-20"/>
        </w:rPr>
        <w:t> </w:t>
      </w:r>
      <w:r>
        <w:rPr/>
        <w:t>existing</w:t>
      </w:r>
      <w:r>
        <w:rPr>
          <w:spacing w:val="-19"/>
        </w:rPr>
        <w:t> </w:t>
      </w:r>
      <w:r>
        <w:rPr/>
        <w:t>prior</w:t>
      </w:r>
      <w:r>
        <w:rPr>
          <w:spacing w:val="-19"/>
        </w:rPr>
        <w:t> </w:t>
      </w:r>
      <w:r>
        <w:rPr/>
        <w:t>to</w:t>
      </w:r>
      <w:r>
        <w:rPr>
          <w:spacing w:val="-19"/>
        </w:rPr>
        <w:t> </w:t>
      </w:r>
      <w:r>
        <w:rPr/>
        <w:t>17th</w:t>
      </w:r>
      <w:r>
        <w:rPr>
          <w:spacing w:val="-19"/>
        </w:rPr>
        <w:t> </w:t>
      </w:r>
      <w:r>
        <w:rPr/>
        <w:t>April 1964 or 1st April 1962</w:t>
      </w:r>
      <w:r>
        <w:rPr>
          <w:spacing w:val="80"/>
          <w:w w:val="150"/>
        </w:rPr>
        <w:t> </w:t>
      </w:r>
      <w:r>
        <w:rPr/>
        <w:t>respectively.</w:t>
      </w:r>
    </w:p>
    <w:p>
      <w:pPr>
        <w:pStyle w:val="ListParagraph"/>
        <w:numPr>
          <w:ilvl w:val="0"/>
          <w:numId w:val="178"/>
        </w:numPr>
        <w:tabs>
          <w:tab w:pos="2050" w:val="left" w:leader="none"/>
          <w:tab w:pos="2353" w:val="left" w:leader="none"/>
        </w:tabs>
        <w:spacing w:line="240" w:lineRule="auto" w:before="276" w:after="0"/>
        <w:ind w:left="2050" w:right="769" w:hanging="180"/>
        <w:jc w:val="both"/>
        <w:rPr>
          <w:sz w:val="24"/>
        </w:rPr>
      </w:pPr>
      <w:r>
        <w:rPr>
          <w:sz w:val="24"/>
        </w:rPr>
        <w:t>It shall be permissible to implement the sanctioned Urban Renewal Scheme in phases.</w:t>
      </w:r>
      <w:r>
        <w:rPr>
          <w:spacing w:val="40"/>
          <w:sz w:val="24"/>
        </w:rPr>
        <w:t> </w:t>
      </w:r>
      <w:r>
        <w:rPr>
          <w:sz w:val="24"/>
        </w:rPr>
        <w:t>The development in each phase is strictly in conformity with the Master Plan/Layout Plan approved for the entire Urban Renewal Scheme.</w:t>
      </w:r>
    </w:p>
    <w:p>
      <w:pPr>
        <w:pStyle w:val="BodyText"/>
        <w:spacing w:before="1"/>
        <w:jc w:val="left"/>
      </w:pPr>
    </w:p>
    <w:p>
      <w:pPr>
        <w:pStyle w:val="BodyText"/>
        <w:ind w:left="2050" w:right="772" w:firstLine="614"/>
      </w:pPr>
      <w:r>
        <w:rPr/>
        <w:t>Subject</w:t>
      </w:r>
      <w:r>
        <w:rPr>
          <w:spacing w:val="40"/>
        </w:rPr>
        <w:t> </w:t>
      </w:r>
      <w:r>
        <w:rPr/>
        <w:t>to the master plan</w:t>
      </w:r>
      <w:r>
        <w:rPr>
          <w:spacing w:val="40"/>
        </w:rPr>
        <w:t> </w:t>
      </w:r>
      <w:r>
        <w:rPr/>
        <w:t>for the whole</w:t>
      </w:r>
      <w:r>
        <w:rPr>
          <w:spacing w:val="40"/>
        </w:rPr>
        <w:t> </w:t>
      </w:r>
      <w:r>
        <w:rPr/>
        <w:t>cluster being followed, phase wise implementation of Urban Renewal Scheme may be allowed, with pro rata</w:t>
      </w:r>
      <w:r>
        <w:rPr>
          <w:spacing w:val="40"/>
        </w:rPr>
        <w:t> </w:t>
      </w:r>
      <w:r>
        <w:rPr/>
        <w:t>utilization of the</w:t>
      </w:r>
      <w:r>
        <w:rPr>
          <w:spacing w:val="40"/>
        </w:rPr>
        <w:t> </w:t>
      </w:r>
      <w:r>
        <w:rPr/>
        <w:t>total admissible FSI for rehab and incentive component simultaneously.</w:t>
      </w:r>
    </w:p>
    <w:p>
      <w:pPr>
        <w:pStyle w:val="BodyText"/>
        <w:jc w:val="left"/>
      </w:pPr>
    </w:p>
    <w:p>
      <w:pPr>
        <w:pStyle w:val="BodyText"/>
        <w:ind w:left="2050" w:right="766"/>
      </w:pPr>
      <w:r>
        <w:rPr/>
        <w:t>Provided, further that, while giving permission for phased implementation of the Urban Renewal Scheme, the time frame for implementation of each phase shall also be given. The minimum area for each phase shall be as decided by the Planning Authority.</w:t>
      </w:r>
    </w:p>
    <w:p>
      <w:pPr>
        <w:pStyle w:val="Heading6"/>
        <w:numPr>
          <w:ilvl w:val="0"/>
          <w:numId w:val="173"/>
        </w:numPr>
        <w:tabs>
          <w:tab w:pos="2539" w:val="left" w:leader="none"/>
        </w:tabs>
        <w:spacing w:line="240" w:lineRule="auto" w:before="280" w:after="0"/>
        <w:ind w:left="2539" w:right="0" w:hanging="489"/>
        <w:jc w:val="both"/>
      </w:pPr>
      <w:r>
        <w:rPr/>
        <w:t>Development</w:t>
      </w:r>
      <w:r>
        <w:rPr>
          <w:spacing w:val="-3"/>
        </w:rPr>
        <w:t> </w:t>
      </w:r>
      <w:r>
        <w:rPr/>
        <w:t>of</w:t>
      </w:r>
      <w:r>
        <w:rPr>
          <w:spacing w:val="-1"/>
        </w:rPr>
        <w:t> </w:t>
      </w:r>
      <w:r>
        <w:rPr/>
        <w:t>DP Reservations:-</w:t>
      </w:r>
      <w:r>
        <w:rPr>
          <w:spacing w:val="-10"/>
        </w:rPr>
        <w:t>-</w:t>
      </w:r>
    </w:p>
    <w:p>
      <w:pPr>
        <w:pStyle w:val="BodyText"/>
        <w:spacing w:before="2"/>
        <w:ind w:left="2050" w:right="769"/>
      </w:pPr>
      <w:r>
        <w:rPr/>
        <w:t>Construction or reconstruction of slums/buildings falling under Reservations contemplated in the Development Plan shall be permissible asper Regulation No17(3)(C)(II)</w:t>
      </w:r>
    </w:p>
    <w:p>
      <w:pPr>
        <w:pStyle w:val="BodyText"/>
        <w:spacing w:before="1"/>
        <w:jc w:val="left"/>
      </w:pPr>
    </w:p>
    <w:p>
      <w:pPr>
        <w:pStyle w:val="BodyText"/>
        <w:ind w:left="2050" w:right="771"/>
      </w:pPr>
      <w:r>
        <w:rPr>
          <w:b/>
        </w:rPr>
        <w:t>6.</w:t>
      </w:r>
      <w:r>
        <w:rPr/>
        <w:t>30%</w:t>
      </w:r>
      <w:r>
        <w:rPr>
          <w:spacing w:val="-1"/>
        </w:rPr>
        <w:t> </w:t>
      </w:r>
      <w:r>
        <w:rPr/>
        <w:t>of</w:t>
      </w:r>
      <w:r>
        <w:rPr>
          <w:spacing w:val="-1"/>
        </w:rPr>
        <w:t> </w:t>
      </w:r>
      <w:r>
        <w:rPr/>
        <w:t>the</w:t>
      </w:r>
      <w:r>
        <w:rPr>
          <w:spacing w:val="-1"/>
        </w:rPr>
        <w:t> </w:t>
      </w:r>
      <w:r>
        <w:rPr/>
        <w:t>Incentive FSI can</w:t>
      </w:r>
      <w:r>
        <w:rPr>
          <w:spacing w:val="-1"/>
        </w:rPr>
        <w:t> </w:t>
      </w:r>
      <w:r>
        <w:rPr/>
        <w:t>be</w:t>
      </w:r>
      <w:r>
        <w:rPr>
          <w:spacing w:val="-1"/>
        </w:rPr>
        <w:t> </w:t>
      </w:r>
      <w:r>
        <w:rPr/>
        <w:t>used</w:t>
      </w:r>
      <w:r>
        <w:rPr>
          <w:spacing w:val="-1"/>
        </w:rPr>
        <w:t> </w:t>
      </w:r>
      <w:r>
        <w:rPr/>
        <w:t>for</w:t>
      </w:r>
      <w:r>
        <w:rPr>
          <w:spacing w:val="-1"/>
        </w:rPr>
        <w:t> </w:t>
      </w:r>
      <w:r>
        <w:rPr/>
        <w:t>non-residential</w:t>
      </w:r>
      <w:r>
        <w:rPr>
          <w:spacing w:val="-1"/>
        </w:rPr>
        <w:t> </w:t>
      </w:r>
      <w:r>
        <w:rPr/>
        <w:t>purposes</w:t>
      </w:r>
      <w:r>
        <w:rPr>
          <w:spacing w:val="-1"/>
        </w:rPr>
        <w:t> </w:t>
      </w:r>
      <w:r>
        <w:rPr/>
        <w:t>as otherwise permissible under the DCPR.</w:t>
      </w:r>
    </w:p>
    <w:p>
      <w:pPr>
        <w:pStyle w:val="BodyText"/>
        <w:spacing w:before="105"/>
        <w:jc w:val="left"/>
      </w:pPr>
    </w:p>
    <w:p>
      <w:pPr>
        <w:pStyle w:val="ListParagraph"/>
        <w:numPr>
          <w:ilvl w:val="0"/>
          <w:numId w:val="179"/>
        </w:numPr>
        <w:tabs>
          <w:tab w:pos="2483" w:val="left" w:leader="none"/>
        </w:tabs>
        <w:spacing w:line="276" w:lineRule="auto" w:before="0" w:after="0"/>
        <w:ind w:left="2050" w:right="766" w:firstLine="0"/>
        <w:jc w:val="both"/>
        <w:rPr>
          <w:sz w:val="22"/>
        </w:rPr>
      </w:pPr>
      <w:r>
        <w:rPr>
          <w:sz w:val="24"/>
        </w:rPr>
        <w:t>Development cessat the rate of 100% of Development charge otherwise</w:t>
      </w:r>
      <w:r>
        <w:rPr>
          <w:spacing w:val="-6"/>
          <w:sz w:val="24"/>
        </w:rPr>
        <w:t> </w:t>
      </w:r>
      <w:r>
        <w:rPr>
          <w:sz w:val="24"/>
        </w:rPr>
        <w:t>applicable</w:t>
      </w:r>
      <w:r>
        <w:rPr>
          <w:spacing w:val="-6"/>
          <w:sz w:val="24"/>
        </w:rPr>
        <w:t> </w:t>
      </w:r>
      <w:r>
        <w:rPr>
          <w:sz w:val="24"/>
        </w:rPr>
        <w:t>subject</w:t>
      </w:r>
      <w:r>
        <w:rPr>
          <w:spacing w:val="-6"/>
          <w:sz w:val="24"/>
        </w:rPr>
        <w:t> </w:t>
      </w:r>
      <w:r>
        <w:rPr>
          <w:sz w:val="24"/>
        </w:rPr>
        <w:t>to</w:t>
      </w:r>
      <w:r>
        <w:rPr>
          <w:spacing w:val="-6"/>
          <w:sz w:val="24"/>
        </w:rPr>
        <w:t> </w:t>
      </w:r>
      <w:r>
        <w:rPr>
          <w:sz w:val="24"/>
        </w:rPr>
        <w:t>a</w:t>
      </w:r>
      <w:r>
        <w:rPr>
          <w:spacing w:val="-8"/>
          <w:sz w:val="24"/>
        </w:rPr>
        <w:t> </w:t>
      </w:r>
      <w:r>
        <w:rPr>
          <w:sz w:val="24"/>
        </w:rPr>
        <w:t>minimum</w:t>
      </w:r>
      <w:r>
        <w:rPr>
          <w:spacing w:val="-6"/>
          <w:sz w:val="24"/>
        </w:rPr>
        <w:t> </w:t>
      </w:r>
      <w:r>
        <w:rPr>
          <w:sz w:val="24"/>
        </w:rPr>
        <w:t>of</w:t>
      </w:r>
      <w:r>
        <w:rPr>
          <w:spacing w:val="-6"/>
          <w:sz w:val="24"/>
        </w:rPr>
        <w:t> </w:t>
      </w:r>
      <w:r>
        <w:rPr>
          <w:sz w:val="24"/>
        </w:rPr>
        <w:t>Rs</w:t>
      </w:r>
      <w:r>
        <w:rPr>
          <w:spacing w:val="-6"/>
          <w:sz w:val="24"/>
        </w:rPr>
        <w:t> </w:t>
      </w:r>
      <w:r>
        <w:rPr>
          <w:sz w:val="24"/>
        </w:rPr>
        <w:t>5000</w:t>
      </w:r>
      <w:r>
        <w:rPr>
          <w:spacing w:val="-8"/>
          <w:sz w:val="24"/>
        </w:rPr>
        <w:t> </w:t>
      </w:r>
      <w:r>
        <w:rPr>
          <w:sz w:val="24"/>
        </w:rPr>
        <w:t>per</w:t>
      </w:r>
      <w:r>
        <w:rPr>
          <w:spacing w:val="-6"/>
          <w:sz w:val="24"/>
        </w:rPr>
        <w:t> </w:t>
      </w:r>
      <w:r>
        <w:rPr>
          <w:sz w:val="24"/>
        </w:rPr>
        <w:t>sq.</w:t>
      </w:r>
      <w:r>
        <w:rPr>
          <w:spacing w:val="-8"/>
          <w:sz w:val="24"/>
        </w:rPr>
        <w:t> </w:t>
      </w:r>
      <w:r>
        <w:rPr>
          <w:sz w:val="24"/>
        </w:rPr>
        <w:t>m</w:t>
      </w:r>
      <w:r>
        <w:rPr>
          <w:spacing w:val="-6"/>
          <w:sz w:val="24"/>
        </w:rPr>
        <w:t> </w:t>
      </w:r>
      <w:r>
        <w:rPr>
          <w:sz w:val="24"/>
        </w:rPr>
        <w:t>for</w:t>
      </w:r>
      <w:r>
        <w:rPr>
          <w:spacing w:val="-6"/>
          <w:sz w:val="24"/>
        </w:rPr>
        <w:t> </w:t>
      </w:r>
      <w:r>
        <w:rPr>
          <w:sz w:val="24"/>
        </w:rPr>
        <w:t>the BUA over and above the Zonal (basic) FSI, for the rehabilitation and incentive</w:t>
      </w:r>
      <w:r>
        <w:rPr>
          <w:spacing w:val="-7"/>
          <w:sz w:val="24"/>
        </w:rPr>
        <w:t> </w:t>
      </w:r>
      <w:r>
        <w:rPr>
          <w:sz w:val="24"/>
        </w:rPr>
        <w:t>sale</w:t>
      </w:r>
      <w:r>
        <w:rPr>
          <w:spacing w:val="-7"/>
          <w:sz w:val="24"/>
        </w:rPr>
        <w:t> </w:t>
      </w:r>
      <w:r>
        <w:rPr>
          <w:sz w:val="24"/>
        </w:rPr>
        <w:t>component,</w:t>
      </w:r>
      <w:r>
        <w:rPr>
          <w:spacing w:val="-7"/>
          <w:sz w:val="24"/>
        </w:rPr>
        <w:t> </w:t>
      </w:r>
      <w:r>
        <w:rPr>
          <w:sz w:val="24"/>
        </w:rPr>
        <w:t>shall</w:t>
      </w:r>
      <w:r>
        <w:rPr>
          <w:spacing w:val="-7"/>
          <w:sz w:val="24"/>
        </w:rPr>
        <w:t> </w:t>
      </w:r>
      <w:r>
        <w:rPr>
          <w:sz w:val="24"/>
        </w:rPr>
        <w:t>be</w:t>
      </w:r>
      <w:r>
        <w:rPr>
          <w:spacing w:val="-7"/>
          <w:sz w:val="24"/>
        </w:rPr>
        <w:t> </w:t>
      </w:r>
      <w:r>
        <w:rPr>
          <w:sz w:val="24"/>
        </w:rPr>
        <w:t>leviable</w:t>
      </w:r>
      <w:r>
        <w:rPr>
          <w:spacing w:val="-7"/>
          <w:sz w:val="24"/>
        </w:rPr>
        <w:t> </w:t>
      </w:r>
      <w:r>
        <w:rPr>
          <w:sz w:val="24"/>
        </w:rPr>
        <w:t>in</w:t>
      </w:r>
      <w:r>
        <w:rPr>
          <w:spacing w:val="-7"/>
          <w:sz w:val="24"/>
        </w:rPr>
        <w:t> </w:t>
      </w:r>
      <w:r>
        <w:rPr>
          <w:sz w:val="24"/>
        </w:rPr>
        <w:t>respect</w:t>
      </w:r>
      <w:r>
        <w:rPr>
          <w:spacing w:val="-7"/>
          <w:sz w:val="24"/>
        </w:rPr>
        <w:t> </w:t>
      </w:r>
      <w:r>
        <w:rPr>
          <w:sz w:val="24"/>
        </w:rPr>
        <w:t>of</w:t>
      </w:r>
      <w:r>
        <w:rPr>
          <w:spacing w:val="-7"/>
          <w:sz w:val="24"/>
        </w:rPr>
        <w:t> </w:t>
      </w:r>
      <w:r>
        <w:rPr>
          <w:sz w:val="24"/>
        </w:rPr>
        <w:t>any</w:t>
      </w:r>
      <w:r>
        <w:rPr>
          <w:spacing w:val="-7"/>
          <w:sz w:val="24"/>
        </w:rPr>
        <w:t> </w:t>
      </w:r>
      <w:r>
        <w:rPr>
          <w:sz w:val="24"/>
        </w:rPr>
        <w:t>URS</w:t>
      </w:r>
      <w:r>
        <w:rPr>
          <w:spacing w:val="-7"/>
          <w:sz w:val="24"/>
        </w:rPr>
        <w:t> </w:t>
      </w:r>
      <w:r>
        <w:rPr>
          <w:sz w:val="24"/>
        </w:rPr>
        <w:t>by</w:t>
      </w:r>
      <w:r>
        <w:rPr>
          <w:spacing w:val="-7"/>
          <w:sz w:val="24"/>
        </w:rPr>
        <w:t> </w:t>
      </w:r>
      <w:r>
        <w:rPr>
          <w:sz w:val="24"/>
        </w:rPr>
        <w:t>the MCGM in accordance with the time schedule for such payment as may be</w:t>
      </w:r>
      <w:r>
        <w:rPr>
          <w:spacing w:val="-5"/>
          <w:sz w:val="24"/>
        </w:rPr>
        <w:t> </w:t>
      </w:r>
      <w:r>
        <w:rPr>
          <w:sz w:val="24"/>
        </w:rPr>
        <w:t>laid</w:t>
      </w:r>
      <w:r>
        <w:rPr>
          <w:spacing w:val="-5"/>
          <w:sz w:val="24"/>
        </w:rPr>
        <w:t> </w:t>
      </w:r>
      <w:r>
        <w:rPr>
          <w:sz w:val="24"/>
        </w:rPr>
        <w:t>down</w:t>
      </w:r>
      <w:r>
        <w:rPr>
          <w:spacing w:val="-5"/>
          <w:sz w:val="24"/>
        </w:rPr>
        <w:t> </w:t>
      </w:r>
      <w:r>
        <w:rPr>
          <w:sz w:val="24"/>
        </w:rPr>
        <w:t>by</w:t>
      </w:r>
      <w:r>
        <w:rPr>
          <w:spacing w:val="-5"/>
          <w:sz w:val="24"/>
        </w:rPr>
        <w:t> </w:t>
      </w:r>
      <w:r>
        <w:rPr>
          <w:sz w:val="24"/>
        </w:rPr>
        <w:t>the</w:t>
      </w:r>
      <w:r>
        <w:rPr>
          <w:spacing w:val="-7"/>
          <w:sz w:val="24"/>
        </w:rPr>
        <w:t> </w:t>
      </w:r>
      <w:r>
        <w:rPr>
          <w:sz w:val="24"/>
        </w:rPr>
        <w:t>Commissioner,</w:t>
      </w:r>
      <w:r>
        <w:rPr>
          <w:spacing w:val="-5"/>
          <w:sz w:val="24"/>
        </w:rPr>
        <w:t> </w:t>
      </w:r>
      <w:r>
        <w:rPr>
          <w:sz w:val="24"/>
        </w:rPr>
        <w:t>MCGM.</w:t>
      </w:r>
      <w:r>
        <w:rPr>
          <w:spacing w:val="80"/>
          <w:sz w:val="24"/>
        </w:rPr>
        <w:t> </w:t>
      </w:r>
      <w:r>
        <w:rPr>
          <w:sz w:val="24"/>
        </w:rPr>
        <w:t>This</w:t>
      </w:r>
      <w:r>
        <w:rPr>
          <w:spacing w:val="-5"/>
          <w:sz w:val="24"/>
        </w:rPr>
        <w:t> </w:t>
      </w:r>
      <w:r>
        <w:rPr>
          <w:sz w:val="24"/>
        </w:rPr>
        <w:t>amount</w:t>
      </w:r>
      <w:r>
        <w:rPr>
          <w:spacing w:val="-5"/>
          <w:sz w:val="24"/>
        </w:rPr>
        <w:t> </w:t>
      </w:r>
      <w:r>
        <w:rPr>
          <w:sz w:val="24"/>
        </w:rPr>
        <w:t>shall</w:t>
      </w:r>
      <w:r>
        <w:rPr>
          <w:spacing w:val="-5"/>
          <w:sz w:val="24"/>
        </w:rPr>
        <w:t> </w:t>
      </w:r>
      <w:r>
        <w:rPr>
          <w:sz w:val="24"/>
        </w:rPr>
        <w:t>be</w:t>
      </w:r>
      <w:r>
        <w:rPr>
          <w:spacing w:val="-5"/>
          <w:sz w:val="24"/>
        </w:rPr>
        <w:t> </w:t>
      </w:r>
      <w:r>
        <w:rPr>
          <w:sz w:val="24"/>
        </w:rPr>
        <w:t>kept in a separate account and shall be used for the improvement of off-site infrastructure</w:t>
      </w:r>
      <w:r>
        <w:rPr>
          <w:spacing w:val="-19"/>
          <w:sz w:val="24"/>
        </w:rPr>
        <w:t> </w:t>
      </w:r>
      <w:r>
        <w:rPr>
          <w:sz w:val="24"/>
        </w:rPr>
        <w:t>around</w:t>
      </w:r>
      <w:r>
        <w:rPr>
          <w:spacing w:val="-19"/>
          <w:sz w:val="24"/>
        </w:rPr>
        <w:t> </w:t>
      </w:r>
      <w:r>
        <w:rPr>
          <w:sz w:val="24"/>
        </w:rPr>
        <w:t>the</w:t>
      </w:r>
      <w:r>
        <w:rPr>
          <w:spacing w:val="-19"/>
          <w:sz w:val="24"/>
        </w:rPr>
        <w:t> </w:t>
      </w:r>
      <w:r>
        <w:rPr>
          <w:sz w:val="24"/>
        </w:rPr>
        <w:t>urban</w:t>
      </w:r>
      <w:r>
        <w:rPr>
          <w:spacing w:val="-19"/>
          <w:sz w:val="24"/>
        </w:rPr>
        <w:t> </w:t>
      </w:r>
      <w:r>
        <w:rPr>
          <w:sz w:val="24"/>
        </w:rPr>
        <w:t>renewal</w:t>
      </w:r>
      <w:r>
        <w:rPr>
          <w:spacing w:val="-16"/>
          <w:sz w:val="24"/>
        </w:rPr>
        <w:t> </w:t>
      </w:r>
      <w:r>
        <w:rPr>
          <w:sz w:val="24"/>
        </w:rPr>
        <w:t>cluster.</w:t>
      </w:r>
      <w:r>
        <w:rPr>
          <w:spacing w:val="-18"/>
          <w:sz w:val="24"/>
        </w:rPr>
        <w:t> </w:t>
      </w:r>
      <w:r>
        <w:rPr>
          <w:sz w:val="24"/>
        </w:rPr>
        <w:t>Development</w:t>
      </w:r>
      <w:r>
        <w:rPr>
          <w:spacing w:val="-19"/>
          <w:sz w:val="24"/>
        </w:rPr>
        <w:t> </w:t>
      </w:r>
      <w:r>
        <w:rPr>
          <w:sz w:val="24"/>
        </w:rPr>
        <w:t>cess</w:t>
      </w:r>
      <w:r>
        <w:rPr>
          <w:sz w:val="22"/>
        </w:rPr>
        <w:t>shall be</w:t>
      </w:r>
      <w:r>
        <w:rPr>
          <w:spacing w:val="-3"/>
          <w:sz w:val="22"/>
        </w:rPr>
        <w:t> </w:t>
      </w:r>
      <w:r>
        <w:rPr>
          <w:sz w:val="22"/>
        </w:rPr>
        <w:t>in</w:t>
      </w:r>
      <w:r>
        <w:rPr>
          <w:spacing w:val="-3"/>
          <w:sz w:val="22"/>
        </w:rPr>
        <w:t> </w:t>
      </w:r>
      <w:r>
        <w:rPr>
          <w:sz w:val="22"/>
        </w:rPr>
        <w:t>addition</w:t>
      </w:r>
      <w:r>
        <w:rPr>
          <w:spacing w:val="-5"/>
          <w:sz w:val="22"/>
        </w:rPr>
        <w:t> </w:t>
      </w:r>
      <w:r>
        <w:rPr>
          <w:sz w:val="22"/>
        </w:rPr>
        <w:t>to</w:t>
      </w:r>
      <w:r>
        <w:rPr>
          <w:spacing w:val="-2"/>
          <w:sz w:val="22"/>
        </w:rPr>
        <w:t> </w:t>
      </w:r>
      <w:r>
        <w:rPr>
          <w:sz w:val="22"/>
        </w:rPr>
        <w:t>development</w:t>
      </w:r>
      <w:r>
        <w:rPr>
          <w:spacing w:val="-3"/>
          <w:sz w:val="22"/>
        </w:rPr>
        <w:t> </w:t>
      </w:r>
      <w:r>
        <w:rPr>
          <w:sz w:val="22"/>
        </w:rPr>
        <w:t>charges</w:t>
      </w:r>
      <w:r>
        <w:rPr>
          <w:spacing w:val="-5"/>
          <w:sz w:val="22"/>
        </w:rPr>
        <w:t> </w:t>
      </w:r>
      <w:r>
        <w:rPr>
          <w:sz w:val="22"/>
        </w:rPr>
        <w:t>levied</w:t>
      </w:r>
      <w:r>
        <w:rPr>
          <w:spacing w:val="-6"/>
          <w:sz w:val="22"/>
        </w:rPr>
        <w:t> </w:t>
      </w:r>
      <w:r>
        <w:rPr>
          <w:sz w:val="22"/>
        </w:rPr>
        <w:t>as</w:t>
      </w:r>
      <w:r>
        <w:rPr>
          <w:spacing w:val="-3"/>
          <w:sz w:val="22"/>
        </w:rPr>
        <w:t> </w:t>
      </w:r>
      <w:r>
        <w:rPr>
          <w:sz w:val="22"/>
        </w:rPr>
        <w:t>per</w:t>
      </w:r>
      <w:r>
        <w:rPr>
          <w:spacing w:val="-4"/>
          <w:sz w:val="22"/>
        </w:rPr>
        <w:t> </w:t>
      </w:r>
      <w:r>
        <w:rPr>
          <w:sz w:val="22"/>
        </w:rPr>
        <w:t>section</w:t>
      </w:r>
      <w:r>
        <w:rPr>
          <w:spacing w:val="-3"/>
          <w:sz w:val="22"/>
        </w:rPr>
        <w:t> </w:t>
      </w:r>
      <w:r>
        <w:rPr>
          <w:sz w:val="22"/>
        </w:rPr>
        <w:t>124</w:t>
      </w:r>
      <w:r>
        <w:rPr>
          <w:spacing w:val="-6"/>
          <w:sz w:val="22"/>
        </w:rPr>
        <w:t> </w:t>
      </w:r>
      <w:r>
        <w:rPr>
          <w:sz w:val="22"/>
        </w:rPr>
        <w:t>of</w:t>
      </w:r>
      <w:r>
        <w:rPr>
          <w:spacing w:val="-7"/>
          <w:sz w:val="22"/>
        </w:rPr>
        <w:t> </w:t>
      </w:r>
      <w:r>
        <w:rPr>
          <w:sz w:val="22"/>
        </w:rPr>
        <w:t>MR&amp;TP</w:t>
      </w:r>
      <w:r>
        <w:rPr>
          <w:spacing w:val="-3"/>
          <w:sz w:val="22"/>
        </w:rPr>
        <w:t> </w:t>
      </w:r>
      <w:r>
        <w:rPr>
          <w:sz w:val="22"/>
        </w:rPr>
        <w:t>Act </w:t>
      </w:r>
      <w:r>
        <w:rPr>
          <w:spacing w:val="-2"/>
          <w:sz w:val="22"/>
        </w:rPr>
        <w:t>1966.</w:t>
      </w:r>
    </w:p>
    <w:p>
      <w:pPr>
        <w:pStyle w:val="BodyText"/>
        <w:spacing w:line="276" w:lineRule="auto" w:before="199"/>
        <w:ind w:left="2050" w:right="768" w:firstLine="792"/>
        <w:jc w:val="left"/>
      </w:pPr>
      <w:r>
        <w:rPr/>
        <w:t>This surcharge shall not be applicable to the BUA to be handed over</w:t>
      </w:r>
      <w:r>
        <w:rPr>
          <w:spacing w:val="-12"/>
        </w:rPr>
        <w:t> </w:t>
      </w:r>
      <w:r>
        <w:rPr/>
        <w:t>to</w:t>
      </w:r>
      <w:r>
        <w:rPr>
          <w:spacing w:val="-11"/>
        </w:rPr>
        <w:t> </w:t>
      </w:r>
      <w:r>
        <w:rPr/>
        <w:t>the</w:t>
      </w:r>
      <w:r>
        <w:rPr>
          <w:spacing w:val="-11"/>
        </w:rPr>
        <w:t> </w:t>
      </w:r>
      <w:r>
        <w:rPr/>
        <w:t>MCGM</w:t>
      </w:r>
      <w:r>
        <w:rPr>
          <w:spacing w:val="-11"/>
        </w:rPr>
        <w:t> </w:t>
      </w:r>
      <w:r>
        <w:rPr/>
        <w:t>or</w:t>
      </w:r>
      <w:r>
        <w:rPr>
          <w:spacing w:val="-11"/>
        </w:rPr>
        <w:t> </w:t>
      </w:r>
      <w:r>
        <w:rPr/>
        <w:t>any</w:t>
      </w:r>
      <w:r>
        <w:rPr>
          <w:spacing w:val="-11"/>
        </w:rPr>
        <w:t> </w:t>
      </w:r>
      <w:r>
        <w:rPr/>
        <w:t>Public</w:t>
      </w:r>
      <w:r>
        <w:rPr>
          <w:spacing w:val="-11"/>
        </w:rPr>
        <w:t> </w:t>
      </w:r>
      <w:r>
        <w:rPr/>
        <w:t>Authority</w:t>
      </w:r>
      <w:r>
        <w:rPr>
          <w:spacing w:val="-12"/>
        </w:rPr>
        <w:t> </w:t>
      </w:r>
      <w:r>
        <w:rPr/>
        <w:t>in</w:t>
      </w:r>
      <w:r>
        <w:rPr>
          <w:spacing w:val="-11"/>
        </w:rPr>
        <w:t> </w:t>
      </w:r>
      <w:r>
        <w:rPr/>
        <w:t>lieu</w:t>
      </w:r>
      <w:r>
        <w:rPr>
          <w:spacing w:val="-11"/>
        </w:rPr>
        <w:t> </w:t>
      </w:r>
      <w:r>
        <w:rPr/>
        <w:t>of</w:t>
      </w:r>
      <w:r>
        <w:rPr>
          <w:spacing w:val="-11"/>
        </w:rPr>
        <w:t> </w:t>
      </w:r>
      <w:r>
        <w:rPr/>
        <w:t>reservation</w:t>
      </w:r>
      <w:r>
        <w:rPr>
          <w:spacing w:val="-11"/>
        </w:rPr>
        <w:t> </w:t>
      </w:r>
      <w:r>
        <w:rPr/>
        <w:t>or</w:t>
      </w:r>
      <w:r>
        <w:rPr>
          <w:spacing w:val="-11"/>
        </w:rPr>
        <w:t> </w:t>
      </w:r>
      <w:r>
        <w:rPr/>
        <w:t>to</w:t>
      </w:r>
      <w:r>
        <w:rPr>
          <w:spacing w:val="-11"/>
        </w:rPr>
        <w:t> </w:t>
      </w:r>
      <w:r>
        <w:rPr>
          <w:spacing w:val="-5"/>
        </w:rPr>
        <w:t>the</w:t>
      </w:r>
    </w:p>
    <w:p>
      <w:pPr>
        <w:pStyle w:val="BodyText"/>
        <w:spacing w:after="0" w:line="276" w:lineRule="auto"/>
        <w:jc w:val="left"/>
        <w:sectPr>
          <w:pgSz w:w="11910" w:h="16840"/>
          <w:pgMar w:header="1065" w:footer="1194" w:top="1500" w:bottom="1380" w:left="360" w:right="360"/>
        </w:sectPr>
      </w:pPr>
    </w:p>
    <w:p>
      <w:pPr>
        <w:pStyle w:val="BodyText"/>
        <w:spacing w:line="278" w:lineRule="auto" w:before="247"/>
        <w:ind w:left="2050" w:right="773"/>
      </w:pPr>
      <w:r>
        <w:rPr/>
        <w:t>amenity areas to be handed over to the MCGM as per the requirement indicated by the MCGM or the Empowered Power Committee.</w:t>
      </w:r>
    </w:p>
    <w:p>
      <w:pPr>
        <w:pStyle w:val="ListParagraph"/>
        <w:numPr>
          <w:ilvl w:val="0"/>
          <w:numId w:val="179"/>
        </w:numPr>
        <w:tabs>
          <w:tab w:pos="2289" w:val="left" w:leader="none"/>
        </w:tabs>
        <w:spacing w:line="276" w:lineRule="auto" w:before="196" w:after="0"/>
        <w:ind w:left="2050" w:right="766" w:firstLine="0"/>
        <w:jc w:val="both"/>
        <w:rPr>
          <w:sz w:val="24"/>
        </w:rPr>
      </w:pPr>
      <w:r>
        <w:rPr>
          <w:sz w:val="24"/>
        </w:rPr>
        <w:t>The temporary transit camps may be permitted in the same Urban Renewal Cluster or elsewhere in MCGM limits on land belonging to the Planning Authority</w:t>
      </w:r>
      <w:r>
        <w:rPr>
          <w:spacing w:val="80"/>
          <w:sz w:val="24"/>
        </w:rPr>
        <w:t> </w:t>
      </w:r>
      <w:r>
        <w:rPr>
          <w:sz w:val="24"/>
        </w:rPr>
        <w:t>up to 4.00 FSI with the concessions permissible under SRA. Scheme under Regulation 33(10) of these DCPR. Such transit camps shall have to be demolished after full occupation certificate is granted to the Rehabilitation Component by the Officer appointed</w:t>
      </w:r>
      <w:r>
        <w:rPr>
          <w:spacing w:val="-5"/>
          <w:sz w:val="24"/>
        </w:rPr>
        <w:t> </w:t>
      </w:r>
      <w:r>
        <w:rPr>
          <w:sz w:val="24"/>
        </w:rPr>
        <w:t>by</w:t>
      </w:r>
      <w:r>
        <w:rPr>
          <w:spacing w:val="-5"/>
          <w:sz w:val="24"/>
        </w:rPr>
        <w:t> </w:t>
      </w:r>
      <w:r>
        <w:rPr>
          <w:sz w:val="24"/>
        </w:rPr>
        <w:t>the</w:t>
      </w:r>
      <w:r>
        <w:rPr>
          <w:spacing w:val="-5"/>
          <w:sz w:val="24"/>
        </w:rPr>
        <w:t> </w:t>
      </w:r>
      <w:r>
        <w:rPr>
          <w:sz w:val="24"/>
        </w:rPr>
        <w:t>Planning</w:t>
      </w:r>
      <w:r>
        <w:rPr>
          <w:spacing w:val="-5"/>
          <w:sz w:val="24"/>
        </w:rPr>
        <w:t> </w:t>
      </w:r>
      <w:r>
        <w:rPr>
          <w:sz w:val="24"/>
        </w:rPr>
        <w:t>Authority</w:t>
      </w:r>
      <w:r>
        <w:rPr>
          <w:spacing w:val="-5"/>
          <w:sz w:val="24"/>
        </w:rPr>
        <w:t> </w:t>
      </w:r>
      <w:r>
        <w:rPr>
          <w:sz w:val="24"/>
        </w:rPr>
        <w:t>for</w:t>
      </w:r>
      <w:r>
        <w:rPr>
          <w:spacing w:val="-5"/>
          <w:sz w:val="24"/>
        </w:rPr>
        <w:t> </w:t>
      </w:r>
      <w:r>
        <w:rPr>
          <w:sz w:val="24"/>
        </w:rPr>
        <w:t>the</w:t>
      </w:r>
      <w:r>
        <w:rPr>
          <w:spacing w:val="-5"/>
          <w:sz w:val="24"/>
        </w:rPr>
        <w:t> </w:t>
      </w:r>
      <w:r>
        <w:rPr>
          <w:sz w:val="24"/>
        </w:rPr>
        <w:t>reconstructed</w:t>
      </w:r>
      <w:r>
        <w:rPr>
          <w:spacing w:val="-5"/>
          <w:sz w:val="24"/>
        </w:rPr>
        <w:t> </w:t>
      </w:r>
      <w:r>
        <w:rPr>
          <w:sz w:val="24"/>
        </w:rPr>
        <w:t>building.</w:t>
      </w:r>
      <w:r>
        <w:rPr>
          <w:spacing w:val="-5"/>
          <w:sz w:val="24"/>
        </w:rPr>
        <w:t> </w:t>
      </w:r>
      <w:r>
        <w:rPr>
          <w:sz w:val="24"/>
        </w:rPr>
        <w:t>Till the transit camps are fully demolished, the Officer appointed by the Planning Authority shall not release FSI for the Incentive component area under the URS in excess of 75% of the total admissible Incentive </w:t>
      </w:r>
      <w:r>
        <w:rPr>
          <w:spacing w:val="-4"/>
          <w:sz w:val="24"/>
        </w:rPr>
        <w:t>FSI.</w:t>
      </w:r>
    </w:p>
    <w:p>
      <w:pPr>
        <w:pStyle w:val="ListParagraph"/>
        <w:numPr>
          <w:ilvl w:val="0"/>
          <w:numId w:val="179"/>
        </w:numPr>
        <w:tabs>
          <w:tab w:pos="2289" w:val="left" w:leader="none"/>
        </w:tabs>
        <w:spacing w:line="240" w:lineRule="auto" w:before="202" w:after="0"/>
        <w:ind w:left="2050" w:right="769" w:firstLine="0"/>
        <w:jc w:val="both"/>
        <w:rPr>
          <w:sz w:val="24"/>
        </w:rPr>
      </w:pPr>
      <w:r>
        <w:rPr>
          <w:sz w:val="24"/>
        </w:rPr>
        <w:t>In the case of specific designations/reservations in the Development Plan, the Officer appointed by the Planning Authority, may shift, interchange the designation/reservation in the same cluster, to which an</w:t>
      </w:r>
      <w:r>
        <w:rPr>
          <w:spacing w:val="-20"/>
          <w:sz w:val="24"/>
        </w:rPr>
        <w:t> </w:t>
      </w:r>
      <w:r>
        <w:rPr>
          <w:sz w:val="24"/>
        </w:rPr>
        <w:t>access</w:t>
      </w:r>
      <w:r>
        <w:rPr>
          <w:spacing w:val="-19"/>
          <w:sz w:val="24"/>
        </w:rPr>
        <w:t> </w:t>
      </w:r>
      <w:r>
        <w:rPr>
          <w:sz w:val="24"/>
        </w:rPr>
        <w:t>is</w:t>
      </w:r>
      <w:r>
        <w:rPr>
          <w:spacing w:val="-19"/>
          <w:sz w:val="24"/>
        </w:rPr>
        <w:t> </w:t>
      </w:r>
      <w:r>
        <w:rPr>
          <w:sz w:val="24"/>
        </w:rPr>
        <w:t>available</w:t>
      </w:r>
      <w:r>
        <w:rPr>
          <w:spacing w:val="-19"/>
          <w:sz w:val="24"/>
        </w:rPr>
        <w:t> </w:t>
      </w:r>
      <w:r>
        <w:rPr>
          <w:sz w:val="24"/>
        </w:rPr>
        <w:t>from</w:t>
      </w:r>
      <w:r>
        <w:rPr>
          <w:spacing w:val="-19"/>
          <w:sz w:val="24"/>
        </w:rPr>
        <w:t> </w:t>
      </w:r>
      <w:r>
        <w:rPr>
          <w:sz w:val="24"/>
        </w:rPr>
        <w:t>peripheral</w:t>
      </w:r>
      <w:r>
        <w:rPr>
          <w:spacing w:val="-20"/>
          <w:sz w:val="24"/>
        </w:rPr>
        <w:t> </w:t>
      </w:r>
      <w:r>
        <w:rPr>
          <w:sz w:val="24"/>
        </w:rPr>
        <w:t>or</w:t>
      </w:r>
      <w:r>
        <w:rPr>
          <w:spacing w:val="-19"/>
          <w:sz w:val="24"/>
        </w:rPr>
        <w:t> </w:t>
      </w:r>
      <w:r>
        <w:rPr>
          <w:sz w:val="24"/>
        </w:rPr>
        <w:t>outer</w:t>
      </w:r>
      <w:r>
        <w:rPr>
          <w:spacing w:val="-19"/>
          <w:sz w:val="24"/>
        </w:rPr>
        <w:t> </w:t>
      </w:r>
      <w:r>
        <w:rPr>
          <w:sz w:val="24"/>
        </w:rPr>
        <w:t>road</w:t>
      </w:r>
      <w:r>
        <w:rPr>
          <w:spacing w:val="-19"/>
          <w:sz w:val="24"/>
        </w:rPr>
        <w:t> </w:t>
      </w:r>
      <w:r>
        <w:rPr>
          <w:sz w:val="24"/>
        </w:rPr>
        <w:t>or</w:t>
      </w:r>
      <w:r>
        <w:rPr>
          <w:spacing w:val="-19"/>
          <w:sz w:val="24"/>
        </w:rPr>
        <w:t> </w:t>
      </w:r>
      <w:r>
        <w:rPr>
          <w:sz w:val="24"/>
        </w:rPr>
        <w:t>has</w:t>
      </w:r>
      <w:r>
        <w:rPr>
          <w:spacing w:val="-20"/>
          <w:sz w:val="24"/>
        </w:rPr>
        <w:t> </w:t>
      </w:r>
      <w:r>
        <w:rPr>
          <w:sz w:val="24"/>
        </w:rPr>
        <w:t>to</w:t>
      </w:r>
      <w:r>
        <w:rPr>
          <w:spacing w:val="-19"/>
          <w:sz w:val="24"/>
        </w:rPr>
        <w:t> </w:t>
      </w:r>
      <w:r>
        <w:rPr>
          <w:sz w:val="24"/>
        </w:rPr>
        <w:t>be</w:t>
      </w:r>
      <w:r>
        <w:rPr>
          <w:spacing w:val="-19"/>
          <w:sz w:val="24"/>
        </w:rPr>
        <w:t> </w:t>
      </w:r>
      <w:r>
        <w:rPr>
          <w:sz w:val="24"/>
        </w:rPr>
        <w:t>provided and the same is not encumbered, provided that the area of such designation /reservation is not reduced.</w:t>
      </w:r>
    </w:p>
    <w:p>
      <w:pPr>
        <w:pStyle w:val="BodyText"/>
        <w:spacing w:before="1"/>
        <w:jc w:val="left"/>
      </w:pPr>
    </w:p>
    <w:p>
      <w:pPr>
        <w:pStyle w:val="ListParagraph"/>
        <w:numPr>
          <w:ilvl w:val="0"/>
          <w:numId w:val="179"/>
        </w:numPr>
        <w:tabs>
          <w:tab w:pos="2446" w:val="left" w:leader="none"/>
        </w:tabs>
        <w:spacing w:line="240" w:lineRule="auto" w:before="0" w:after="0"/>
        <w:ind w:left="2050" w:right="770" w:firstLine="0"/>
        <w:jc w:val="both"/>
        <w:rPr>
          <w:sz w:val="24"/>
        </w:rPr>
      </w:pPr>
      <w:r>
        <w:rPr>
          <w:b/>
          <w:sz w:val="24"/>
        </w:rPr>
        <w:t>Non-conforming Activities </w:t>
      </w:r>
      <w:r>
        <w:rPr>
          <w:sz w:val="24"/>
        </w:rPr>
        <w:t>– All activities which are existing shall be allowed to be re-accommodated regardless of the nonconforming nature of such activities</w:t>
      </w:r>
      <w:r>
        <w:rPr>
          <w:spacing w:val="40"/>
          <w:sz w:val="24"/>
        </w:rPr>
        <w:t> </w:t>
      </w:r>
      <w:r>
        <w:rPr>
          <w:sz w:val="24"/>
        </w:rPr>
        <w:t>excepting those which are hazardous and highly polluting and those where alternative accommodation has to be provided elsewhere by the Planning Authority.</w:t>
      </w:r>
    </w:p>
    <w:p>
      <w:pPr>
        <w:pStyle w:val="BodyText"/>
        <w:jc w:val="left"/>
      </w:pPr>
    </w:p>
    <w:p>
      <w:pPr>
        <w:pStyle w:val="BodyText"/>
        <w:jc w:val="left"/>
      </w:pPr>
    </w:p>
    <w:p>
      <w:pPr>
        <w:pStyle w:val="BodyText"/>
        <w:jc w:val="left"/>
      </w:pPr>
    </w:p>
    <w:p>
      <w:pPr>
        <w:pStyle w:val="BodyText"/>
        <w:jc w:val="left"/>
      </w:pPr>
    </w:p>
    <w:p>
      <w:pPr>
        <w:pStyle w:val="BodyText"/>
        <w:spacing w:before="111"/>
        <w:jc w:val="left"/>
      </w:pPr>
    </w:p>
    <w:p>
      <w:pPr>
        <w:pStyle w:val="Heading5"/>
        <w:numPr>
          <w:ilvl w:val="0"/>
          <w:numId w:val="179"/>
        </w:numPr>
        <w:tabs>
          <w:tab w:pos="2530" w:val="left" w:leader="none"/>
        </w:tabs>
        <w:spacing w:line="240" w:lineRule="auto" w:before="0" w:after="0"/>
        <w:ind w:left="2530" w:right="0" w:hanging="480"/>
        <w:jc w:val="both"/>
      </w:pPr>
      <w:r>
        <w:rPr/>
        <w:t>Relaxation</w:t>
      </w:r>
      <w:r>
        <w:rPr>
          <w:spacing w:val="3"/>
        </w:rPr>
        <w:t> </w:t>
      </w:r>
      <w:r>
        <w:rPr/>
        <w:t>in</w:t>
      </w:r>
      <w:r>
        <w:rPr>
          <w:spacing w:val="4"/>
        </w:rPr>
        <w:t> </w:t>
      </w:r>
      <w:r>
        <w:rPr/>
        <w:t>Building</w:t>
      </w:r>
      <w:r>
        <w:rPr>
          <w:spacing w:val="3"/>
        </w:rPr>
        <w:t> </w:t>
      </w:r>
      <w:r>
        <w:rPr/>
        <w:t>and</w:t>
      </w:r>
      <w:r>
        <w:rPr>
          <w:spacing w:val="4"/>
        </w:rPr>
        <w:t> </w:t>
      </w:r>
      <w:r>
        <w:rPr/>
        <w:t>other</w:t>
      </w:r>
      <w:r>
        <w:rPr>
          <w:spacing w:val="4"/>
        </w:rPr>
        <w:t> </w:t>
      </w:r>
      <w:r>
        <w:rPr>
          <w:spacing w:val="-2"/>
        </w:rPr>
        <w:t>requirements:-</w:t>
      </w:r>
    </w:p>
    <w:p>
      <w:pPr>
        <w:pStyle w:val="BodyText"/>
        <w:spacing w:line="278" w:lineRule="auto" w:before="239"/>
        <w:ind w:left="2050" w:right="769" w:firstLine="614"/>
      </w:pPr>
      <w:r>
        <w:rPr/>
        <w:t>In case of tenements of 46.45 sq. m carpet areafor rehabilitation or</w:t>
      </w:r>
      <w:r>
        <w:rPr>
          <w:spacing w:val="-8"/>
        </w:rPr>
        <w:t> </w:t>
      </w:r>
      <w:r>
        <w:rPr/>
        <w:t>tenements</w:t>
      </w:r>
      <w:r>
        <w:rPr>
          <w:spacing w:val="-8"/>
        </w:rPr>
        <w:t> </w:t>
      </w:r>
      <w:r>
        <w:rPr/>
        <w:t>to</w:t>
      </w:r>
      <w:r>
        <w:rPr>
          <w:spacing w:val="-8"/>
        </w:rPr>
        <w:t> </w:t>
      </w:r>
      <w:r>
        <w:rPr/>
        <w:t>be</w:t>
      </w:r>
      <w:r>
        <w:rPr>
          <w:spacing w:val="-8"/>
        </w:rPr>
        <w:t> </w:t>
      </w:r>
      <w:r>
        <w:rPr/>
        <w:t>handed</w:t>
      </w:r>
      <w:r>
        <w:rPr>
          <w:spacing w:val="-8"/>
        </w:rPr>
        <w:t> </w:t>
      </w:r>
      <w:r>
        <w:rPr/>
        <w:t>over</w:t>
      </w:r>
      <w:r>
        <w:rPr>
          <w:spacing w:val="-8"/>
        </w:rPr>
        <w:t> </w:t>
      </w:r>
      <w:r>
        <w:rPr/>
        <w:t>to</w:t>
      </w:r>
      <w:r>
        <w:rPr>
          <w:spacing w:val="-7"/>
        </w:rPr>
        <w:t> </w:t>
      </w:r>
      <w:r>
        <w:rPr/>
        <w:t>the</w:t>
      </w:r>
      <w:r>
        <w:rPr>
          <w:spacing w:val="-8"/>
        </w:rPr>
        <w:t> </w:t>
      </w:r>
      <w:r>
        <w:rPr/>
        <w:t>Planning</w:t>
      </w:r>
      <w:r>
        <w:rPr>
          <w:spacing w:val="-8"/>
        </w:rPr>
        <w:t> </w:t>
      </w:r>
      <w:r>
        <w:rPr/>
        <w:t>Authority,</w:t>
      </w:r>
      <w:r>
        <w:rPr>
          <w:spacing w:val="-8"/>
        </w:rPr>
        <w:t> </w:t>
      </w:r>
      <w:r>
        <w:rPr/>
        <w:t>the</w:t>
      </w:r>
      <w:r>
        <w:rPr>
          <w:spacing w:val="-8"/>
        </w:rPr>
        <w:t> </w:t>
      </w:r>
      <w:r>
        <w:rPr/>
        <w:t>following shall be applicable.</w:t>
      </w:r>
    </w:p>
    <w:p>
      <w:pPr>
        <w:pStyle w:val="ListParagraph"/>
        <w:numPr>
          <w:ilvl w:val="1"/>
          <w:numId w:val="179"/>
        </w:numPr>
        <w:tabs>
          <w:tab w:pos="2569" w:val="left" w:leader="none"/>
        </w:tabs>
        <w:spacing w:line="240" w:lineRule="auto" w:before="192" w:after="0"/>
        <w:ind w:left="2569" w:right="0" w:hanging="519"/>
        <w:jc w:val="both"/>
        <w:rPr>
          <w:sz w:val="24"/>
        </w:rPr>
      </w:pPr>
      <w:r>
        <w:rPr>
          <w:sz w:val="24"/>
        </w:rPr>
        <w:t>Calculation</w:t>
      </w:r>
      <w:r>
        <w:rPr>
          <w:spacing w:val="-15"/>
          <w:sz w:val="24"/>
        </w:rPr>
        <w:t> </w:t>
      </w:r>
      <w:r>
        <w:rPr>
          <w:sz w:val="24"/>
        </w:rPr>
        <w:t>of</w:t>
      </w:r>
      <w:r>
        <w:rPr>
          <w:spacing w:val="-13"/>
          <w:sz w:val="24"/>
        </w:rPr>
        <w:t> </w:t>
      </w:r>
      <w:r>
        <w:rPr>
          <w:sz w:val="24"/>
        </w:rPr>
        <w:t>FSI</w:t>
      </w:r>
      <w:r>
        <w:rPr>
          <w:spacing w:val="-12"/>
          <w:sz w:val="24"/>
        </w:rPr>
        <w:t> </w:t>
      </w:r>
      <w:r>
        <w:rPr>
          <w:sz w:val="24"/>
        </w:rPr>
        <w:t>for</w:t>
      </w:r>
      <w:r>
        <w:rPr>
          <w:spacing w:val="-13"/>
          <w:sz w:val="24"/>
        </w:rPr>
        <w:t> </w:t>
      </w:r>
      <w:r>
        <w:rPr>
          <w:sz w:val="24"/>
        </w:rPr>
        <w:t>all</w:t>
      </w:r>
      <w:r>
        <w:rPr>
          <w:spacing w:val="-12"/>
          <w:sz w:val="24"/>
        </w:rPr>
        <w:t> </w:t>
      </w:r>
      <w:r>
        <w:rPr>
          <w:sz w:val="24"/>
        </w:rPr>
        <w:t>purposes</w:t>
      </w:r>
      <w:r>
        <w:rPr>
          <w:spacing w:val="-13"/>
          <w:sz w:val="24"/>
        </w:rPr>
        <w:t> </w:t>
      </w:r>
      <w:r>
        <w:rPr>
          <w:sz w:val="24"/>
        </w:rPr>
        <w:t>shall</w:t>
      </w:r>
      <w:r>
        <w:rPr>
          <w:spacing w:val="-13"/>
          <w:sz w:val="24"/>
        </w:rPr>
        <w:t> </w:t>
      </w:r>
      <w:r>
        <w:rPr>
          <w:sz w:val="24"/>
        </w:rPr>
        <w:t>be</w:t>
      </w:r>
      <w:r>
        <w:rPr>
          <w:spacing w:val="-13"/>
          <w:sz w:val="24"/>
        </w:rPr>
        <w:t> </w:t>
      </w:r>
      <w:r>
        <w:rPr>
          <w:sz w:val="24"/>
        </w:rPr>
        <w:t>on</w:t>
      </w:r>
      <w:r>
        <w:rPr>
          <w:spacing w:val="-13"/>
          <w:sz w:val="24"/>
        </w:rPr>
        <w:t> </w:t>
      </w:r>
      <w:r>
        <w:rPr>
          <w:sz w:val="24"/>
        </w:rPr>
        <w:t>gross</w:t>
      </w:r>
      <w:r>
        <w:rPr>
          <w:spacing w:val="-13"/>
          <w:sz w:val="24"/>
        </w:rPr>
        <w:t> </w:t>
      </w:r>
      <w:r>
        <w:rPr>
          <w:sz w:val="24"/>
        </w:rPr>
        <w:t>area</w:t>
      </w:r>
      <w:r>
        <w:rPr>
          <w:spacing w:val="-11"/>
          <w:sz w:val="24"/>
        </w:rPr>
        <w:t> </w:t>
      </w:r>
      <w:r>
        <w:rPr>
          <w:sz w:val="24"/>
        </w:rPr>
        <w:t>of</w:t>
      </w:r>
      <w:r>
        <w:rPr>
          <w:spacing w:val="-13"/>
          <w:sz w:val="24"/>
        </w:rPr>
        <w:t> </w:t>
      </w:r>
      <w:r>
        <w:rPr>
          <w:sz w:val="24"/>
        </w:rPr>
        <w:t>the</w:t>
      </w:r>
      <w:r>
        <w:rPr>
          <w:spacing w:val="-13"/>
          <w:sz w:val="24"/>
        </w:rPr>
        <w:t> </w:t>
      </w:r>
      <w:r>
        <w:rPr>
          <w:spacing w:val="-5"/>
          <w:sz w:val="24"/>
        </w:rPr>
        <w:t>URS</w:t>
      </w:r>
    </w:p>
    <w:p>
      <w:pPr>
        <w:pStyle w:val="BodyText"/>
        <w:spacing w:line="276" w:lineRule="auto" w:before="42"/>
        <w:ind w:left="2050" w:right="772"/>
      </w:pPr>
      <w:r>
        <w:rPr/>
        <w:t>i.e. without deducting any percentage for recreational open space. This shall not affect the requirement of physical recreational open space, to be kept on the site as per prevailing DCPR</w:t>
      </w:r>
    </w:p>
    <w:p>
      <w:pPr>
        <w:pStyle w:val="ListParagraph"/>
        <w:numPr>
          <w:ilvl w:val="1"/>
          <w:numId w:val="179"/>
        </w:numPr>
        <w:tabs>
          <w:tab w:pos="2658" w:val="left" w:leader="none"/>
        </w:tabs>
        <w:spacing w:line="276" w:lineRule="auto" w:before="199" w:after="0"/>
        <w:ind w:left="2050" w:right="769" w:firstLine="0"/>
        <w:jc w:val="both"/>
        <w:rPr>
          <w:sz w:val="24"/>
        </w:rPr>
      </w:pPr>
      <w:r>
        <w:rPr>
          <w:sz w:val="24"/>
        </w:rPr>
        <w:t>The provision in Regulation 37(20) relating to balcony shall apply to the URS with the following specifications: -Balcony shall not reduce</w:t>
      </w:r>
    </w:p>
    <w:p>
      <w:pPr>
        <w:pStyle w:val="ListParagraph"/>
        <w:spacing w:after="0" w:line="276" w:lineRule="auto"/>
        <w:jc w:val="both"/>
        <w:rPr>
          <w:sz w:val="24"/>
        </w:rPr>
        <w:sectPr>
          <w:pgSz w:w="11910" w:h="16840"/>
          <w:pgMar w:header="1065" w:footer="1194" w:top="1500" w:bottom="1380" w:left="360" w:right="360"/>
        </w:sectPr>
      </w:pPr>
    </w:p>
    <w:p>
      <w:pPr>
        <w:pStyle w:val="BodyText"/>
        <w:spacing w:line="278" w:lineRule="auto" w:before="247"/>
        <w:ind w:left="2050" w:right="766"/>
      </w:pPr>
      <w:r>
        <w:rPr/>
        <w:t>marginal open space to less than 3.00 m. However, at ground level, minimum 4.5 m clear margin shall be maintained.</w:t>
      </w:r>
    </w:p>
    <w:p>
      <w:pPr>
        <w:pStyle w:val="ListParagraph"/>
        <w:numPr>
          <w:ilvl w:val="1"/>
          <w:numId w:val="179"/>
        </w:numPr>
        <w:tabs>
          <w:tab w:pos="2720" w:val="left" w:leader="none"/>
        </w:tabs>
        <w:spacing w:line="276" w:lineRule="auto" w:before="196" w:after="0"/>
        <w:ind w:left="2050" w:right="768" w:firstLine="0"/>
        <w:jc w:val="both"/>
        <w:rPr>
          <w:sz w:val="24"/>
        </w:rPr>
      </w:pPr>
      <w:r>
        <w:rPr>
          <w:sz w:val="24"/>
        </w:rPr>
        <w:t>Notwithstanding anything contained in Regulation 31(3)of the DCPR, areas of common passages not exceeding 2.0 m. in width, provided</w:t>
      </w:r>
      <w:r>
        <w:rPr>
          <w:spacing w:val="-8"/>
          <w:sz w:val="24"/>
        </w:rPr>
        <w:t> </w:t>
      </w:r>
      <w:r>
        <w:rPr>
          <w:sz w:val="24"/>
        </w:rPr>
        <w:t>for</w:t>
      </w:r>
      <w:r>
        <w:rPr>
          <w:spacing w:val="-8"/>
          <w:sz w:val="24"/>
        </w:rPr>
        <w:t> </w:t>
      </w:r>
      <w:r>
        <w:rPr>
          <w:sz w:val="24"/>
        </w:rPr>
        <w:t>giving</w:t>
      </w:r>
      <w:r>
        <w:rPr>
          <w:spacing w:val="-8"/>
          <w:sz w:val="24"/>
        </w:rPr>
        <w:t> </w:t>
      </w:r>
      <w:r>
        <w:rPr>
          <w:sz w:val="24"/>
        </w:rPr>
        <w:t>access</w:t>
      </w:r>
      <w:r>
        <w:rPr>
          <w:spacing w:val="-8"/>
          <w:sz w:val="24"/>
        </w:rPr>
        <w:t> </w:t>
      </w:r>
      <w:r>
        <w:rPr>
          <w:sz w:val="24"/>
        </w:rPr>
        <w:t>to</w:t>
      </w:r>
      <w:r>
        <w:rPr>
          <w:spacing w:val="-8"/>
          <w:sz w:val="24"/>
        </w:rPr>
        <w:t> </w:t>
      </w:r>
      <w:r>
        <w:rPr>
          <w:sz w:val="24"/>
        </w:rPr>
        <w:t>the</w:t>
      </w:r>
      <w:r>
        <w:rPr>
          <w:spacing w:val="-8"/>
          <w:sz w:val="24"/>
        </w:rPr>
        <w:t> </w:t>
      </w:r>
      <w:r>
        <w:rPr>
          <w:sz w:val="24"/>
        </w:rPr>
        <w:t>tenements</w:t>
      </w:r>
      <w:r>
        <w:rPr>
          <w:spacing w:val="-8"/>
          <w:sz w:val="24"/>
        </w:rPr>
        <w:t> </w:t>
      </w:r>
      <w:r>
        <w:rPr>
          <w:sz w:val="24"/>
        </w:rPr>
        <w:t>in</w:t>
      </w:r>
      <w:r>
        <w:rPr>
          <w:spacing w:val="-8"/>
          <w:sz w:val="24"/>
        </w:rPr>
        <w:t> </w:t>
      </w:r>
      <w:r>
        <w:rPr>
          <w:sz w:val="24"/>
        </w:rPr>
        <w:t>rehabilitation</w:t>
      </w:r>
      <w:r>
        <w:rPr>
          <w:spacing w:val="-8"/>
          <w:sz w:val="24"/>
        </w:rPr>
        <w:t> </w:t>
      </w:r>
      <w:r>
        <w:rPr>
          <w:sz w:val="24"/>
        </w:rPr>
        <w:t>component and the tenements to be handed over against reservation and Planning Authority component shall not be counted towards FSI.</w:t>
      </w:r>
    </w:p>
    <w:p>
      <w:pPr>
        <w:pStyle w:val="ListParagraph"/>
        <w:numPr>
          <w:ilvl w:val="1"/>
          <w:numId w:val="179"/>
        </w:numPr>
        <w:tabs>
          <w:tab w:pos="2806" w:val="left" w:leader="none"/>
        </w:tabs>
        <w:spacing w:line="276" w:lineRule="auto" w:before="199" w:after="0"/>
        <w:ind w:left="2050" w:right="769" w:firstLine="0"/>
        <w:jc w:val="both"/>
        <w:rPr>
          <w:sz w:val="24"/>
        </w:rPr>
      </w:pPr>
      <w:r>
        <w:rPr>
          <w:sz w:val="24"/>
        </w:rPr>
        <w:t>Front</w:t>
      </w:r>
      <w:r>
        <w:rPr>
          <w:spacing w:val="-1"/>
          <w:sz w:val="24"/>
        </w:rPr>
        <w:t> </w:t>
      </w:r>
      <w:r>
        <w:rPr>
          <w:sz w:val="24"/>
        </w:rPr>
        <w:t>and</w:t>
      </w:r>
      <w:r>
        <w:rPr>
          <w:spacing w:val="-1"/>
          <w:sz w:val="24"/>
        </w:rPr>
        <w:t> </w:t>
      </w:r>
      <w:r>
        <w:rPr>
          <w:sz w:val="24"/>
        </w:rPr>
        <w:t>marginal</w:t>
      </w:r>
      <w:r>
        <w:rPr>
          <w:spacing w:val="-1"/>
          <w:sz w:val="24"/>
        </w:rPr>
        <w:t> </w:t>
      </w:r>
      <w:r>
        <w:rPr>
          <w:sz w:val="24"/>
        </w:rPr>
        <w:t>open</w:t>
      </w:r>
      <w:r>
        <w:rPr>
          <w:spacing w:val="-1"/>
          <w:sz w:val="24"/>
        </w:rPr>
        <w:t> </w:t>
      </w:r>
      <w:r>
        <w:rPr>
          <w:sz w:val="24"/>
        </w:rPr>
        <w:t>spaces,</w:t>
      </w:r>
      <w:r>
        <w:rPr>
          <w:spacing w:val="-1"/>
          <w:sz w:val="24"/>
        </w:rPr>
        <w:t> </w:t>
      </w:r>
      <w:r>
        <w:rPr>
          <w:sz w:val="24"/>
        </w:rPr>
        <w:t>for a</w:t>
      </w:r>
      <w:r>
        <w:rPr>
          <w:spacing w:val="-1"/>
          <w:sz w:val="24"/>
        </w:rPr>
        <w:t> </w:t>
      </w:r>
      <w:r>
        <w:rPr>
          <w:sz w:val="24"/>
        </w:rPr>
        <w:t>building</w:t>
      </w:r>
      <w:r>
        <w:rPr>
          <w:spacing w:val="-1"/>
          <w:sz w:val="24"/>
        </w:rPr>
        <w:t> </w:t>
      </w:r>
      <w:r>
        <w:rPr>
          <w:sz w:val="24"/>
        </w:rPr>
        <w:t>having</w:t>
      </w:r>
      <w:r>
        <w:rPr>
          <w:spacing w:val="-1"/>
          <w:sz w:val="24"/>
        </w:rPr>
        <w:t> </w:t>
      </w:r>
      <w:r>
        <w:rPr>
          <w:sz w:val="24"/>
        </w:rPr>
        <w:t>height</w:t>
      </w:r>
      <w:r>
        <w:rPr>
          <w:spacing w:val="-1"/>
          <w:sz w:val="24"/>
        </w:rPr>
        <w:t> </w:t>
      </w:r>
      <w:r>
        <w:rPr>
          <w:sz w:val="24"/>
        </w:rPr>
        <w:t>up to32.0</w:t>
      </w:r>
      <w:r>
        <w:rPr>
          <w:spacing w:val="-15"/>
          <w:sz w:val="24"/>
        </w:rPr>
        <w:t> </w:t>
      </w:r>
      <w:r>
        <w:rPr>
          <w:sz w:val="24"/>
        </w:rPr>
        <w:t>m.</w:t>
      </w:r>
      <w:r>
        <w:rPr>
          <w:spacing w:val="-15"/>
          <w:sz w:val="24"/>
        </w:rPr>
        <w:t> </w:t>
      </w:r>
      <w:r>
        <w:rPr>
          <w:sz w:val="24"/>
        </w:rPr>
        <w:t>in</w:t>
      </w:r>
      <w:r>
        <w:rPr>
          <w:spacing w:val="-15"/>
          <w:sz w:val="24"/>
        </w:rPr>
        <w:t> </w:t>
      </w:r>
      <w:r>
        <w:rPr>
          <w:sz w:val="24"/>
        </w:rPr>
        <w:t>the</w:t>
      </w:r>
      <w:r>
        <w:rPr>
          <w:spacing w:val="-13"/>
          <w:sz w:val="24"/>
        </w:rPr>
        <w:t> </w:t>
      </w:r>
      <w:r>
        <w:rPr>
          <w:sz w:val="24"/>
        </w:rPr>
        <w:t>rehabilitation</w:t>
      </w:r>
      <w:r>
        <w:rPr>
          <w:spacing w:val="-15"/>
          <w:sz w:val="24"/>
        </w:rPr>
        <w:t> </w:t>
      </w:r>
      <w:r>
        <w:rPr>
          <w:sz w:val="24"/>
        </w:rPr>
        <w:t>component</w:t>
      </w:r>
      <w:r>
        <w:rPr>
          <w:spacing w:val="-13"/>
          <w:sz w:val="24"/>
        </w:rPr>
        <w:t> </w:t>
      </w:r>
      <w:r>
        <w:rPr>
          <w:sz w:val="24"/>
        </w:rPr>
        <w:t>or</w:t>
      </w:r>
      <w:r>
        <w:rPr>
          <w:spacing w:val="-15"/>
          <w:sz w:val="24"/>
        </w:rPr>
        <w:t> </w:t>
      </w:r>
      <w:r>
        <w:rPr>
          <w:sz w:val="24"/>
        </w:rPr>
        <w:t>a</w:t>
      </w:r>
      <w:r>
        <w:rPr>
          <w:spacing w:val="-15"/>
          <w:sz w:val="24"/>
        </w:rPr>
        <w:t> </w:t>
      </w:r>
      <w:r>
        <w:rPr>
          <w:sz w:val="24"/>
        </w:rPr>
        <w:t>composite</w:t>
      </w:r>
      <w:r>
        <w:rPr>
          <w:spacing w:val="-13"/>
          <w:sz w:val="24"/>
        </w:rPr>
        <w:t> </w:t>
      </w:r>
      <w:r>
        <w:rPr>
          <w:sz w:val="24"/>
        </w:rPr>
        <w:t>building,</w:t>
      </w:r>
      <w:r>
        <w:rPr>
          <w:spacing w:val="-15"/>
          <w:sz w:val="24"/>
        </w:rPr>
        <w:t> </w:t>
      </w:r>
      <w:r>
        <w:rPr>
          <w:sz w:val="24"/>
        </w:rPr>
        <w:t>shall be 4.5 m.</w:t>
      </w:r>
    </w:p>
    <w:p>
      <w:pPr>
        <w:pStyle w:val="BodyText"/>
        <w:spacing w:line="276" w:lineRule="auto" w:before="200"/>
        <w:ind w:left="2050" w:right="772"/>
      </w:pPr>
      <w:r>
        <w:rPr/>
        <w:t>Provided</w:t>
      </w:r>
      <w:r>
        <w:rPr>
          <w:spacing w:val="-10"/>
        </w:rPr>
        <w:t> </w:t>
      </w:r>
      <w:r>
        <w:rPr/>
        <w:t>that</w:t>
      </w:r>
      <w:r>
        <w:rPr>
          <w:spacing w:val="-10"/>
        </w:rPr>
        <w:t> </w:t>
      </w:r>
      <w:r>
        <w:rPr/>
        <w:t>open</w:t>
      </w:r>
      <w:r>
        <w:rPr>
          <w:spacing w:val="-10"/>
        </w:rPr>
        <w:t> </w:t>
      </w:r>
      <w:r>
        <w:rPr/>
        <w:t>space</w:t>
      </w:r>
      <w:r>
        <w:rPr>
          <w:spacing w:val="-10"/>
        </w:rPr>
        <w:t> </w:t>
      </w:r>
      <w:r>
        <w:rPr/>
        <w:t>of</w:t>
      </w:r>
      <w:r>
        <w:rPr>
          <w:spacing w:val="-10"/>
        </w:rPr>
        <w:t> </w:t>
      </w:r>
      <w:r>
        <w:rPr/>
        <w:t>the</w:t>
      </w:r>
      <w:r>
        <w:rPr>
          <w:spacing w:val="-10"/>
        </w:rPr>
        <w:t> </w:t>
      </w:r>
      <w:r>
        <w:rPr/>
        <w:t>width</w:t>
      </w:r>
      <w:r>
        <w:rPr>
          <w:spacing w:val="-10"/>
        </w:rPr>
        <w:t> </w:t>
      </w:r>
      <w:r>
        <w:rPr/>
        <w:t>of</w:t>
      </w:r>
      <w:r>
        <w:rPr>
          <w:spacing w:val="-7"/>
        </w:rPr>
        <w:t> </w:t>
      </w:r>
      <w:r>
        <w:rPr/>
        <w:t>6</w:t>
      </w:r>
      <w:r>
        <w:rPr>
          <w:spacing w:val="-10"/>
        </w:rPr>
        <w:t> </w:t>
      </w:r>
      <w:r>
        <w:rPr/>
        <w:t>meters</w:t>
      </w:r>
      <w:r>
        <w:rPr>
          <w:spacing w:val="-10"/>
        </w:rPr>
        <w:t> </w:t>
      </w:r>
      <w:r>
        <w:rPr/>
        <w:t>at</w:t>
      </w:r>
      <w:r>
        <w:rPr>
          <w:spacing w:val="-10"/>
        </w:rPr>
        <w:t> </w:t>
      </w:r>
      <w:r>
        <w:rPr/>
        <w:t>least</w:t>
      </w:r>
      <w:r>
        <w:rPr>
          <w:spacing w:val="-10"/>
        </w:rPr>
        <w:t> </w:t>
      </w:r>
      <w:r>
        <w:rPr/>
        <w:t>on</w:t>
      </w:r>
      <w:r>
        <w:rPr>
          <w:spacing w:val="-7"/>
        </w:rPr>
        <w:t> </w:t>
      </w:r>
      <w:r>
        <w:rPr/>
        <w:t>one</w:t>
      </w:r>
      <w:r>
        <w:rPr>
          <w:spacing w:val="-10"/>
        </w:rPr>
        <w:t> </w:t>
      </w:r>
      <w:r>
        <w:rPr/>
        <w:t>side</w:t>
      </w:r>
      <w:r>
        <w:rPr>
          <w:spacing w:val="-10"/>
        </w:rPr>
        <w:t> </w:t>
      </w:r>
      <w:r>
        <w:rPr/>
        <w:t>at ground</w:t>
      </w:r>
      <w:r>
        <w:rPr>
          <w:spacing w:val="-3"/>
        </w:rPr>
        <w:t> </w:t>
      </w:r>
      <w:r>
        <w:rPr/>
        <w:t>level</w:t>
      </w:r>
      <w:r>
        <w:rPr>
          <w:spacing w:val="-3"/>
        </w:rPr>
        <w:t> </w:t>
      </w:r>
      <w:r>
        <w:rPr/>
        <w:t>within</w:t>
      </w:r>
      <w:r>
        <w:rPr>
          <w:spacing w:val="-3"/>
        </w:rPr>
        <w:t> </w:t>
      </w:r>
      <w:r>
        <w:rPr/>
        <w:t>the</w:t>
      </w:r>
      <w:r>
        <w:rPr>
          <w:spacing w:val="-3"/>
        </w:rPr>
        <w:t> </w:t>
      </w:r>
      <w:r>
        <w:rPr/>
        <w:t>plot,</w:t>
      </w:r>
      <w:r>
        <w:rPr>
          <w:spacing w:val="-3"/>
        </w:rPr>
        <w:t> </w:t>
      </w:r>
      <w:r>
        <w:rPr/>
        <w:t>accessible</w:t>
      </w:r>
      <w:r>
        <w:rPr>
          <w:spacing w:val="-3"/>
        </w:rPr>
        <w:t> </w:t>
      </w:r>
      <w:r>
        <w:rPr/>
        <w:t>from</w:t>
      </w:r>
      <w:r>
        <w:rPr>
          <w:spacing w:val="-3"/>
        </w:rPr>
        <w:t> </w:t>
      </w:r>
      <w:r>
        <w:rPr/>
        <w:t>the</w:t>
      </w:r>
      <w:r>
        <w:rPr>
          <w:spacing w:val="-3"/>
        </w:rPr>
        <w:t> </w:t>
      </w:r>
      <w:r>
        <w:rPr/>
        <w:t>road</w:t>
      </w:r>
      <w:r>
        <w:rPr>
          <w:spacing w:val="-3"/>
        </w:rPr>
        <w:t> </w:t>
      </w:r>
      <w:r>
        <w:rPr/>
        <w:t>side</w:t>
      </w:r>
      <w:r>
        <w:rPr>
          <w:spacing w:val="-1"/>
        </w:rPr>
        <w:t> </w:t>
      </w:r>
      <w:r>
        <w:rPr/>
        <w:t>shall</w:t>
      </w:r>
      <w:r>
        <w:rPr>
          <w:spacing w:val="-3"/>
        </w:rPr>
        <w:t> </w:t>
      </w:r>
      <w:r>
        <w:rPr/>
        <w:t>have</w:t>
      </w:r>
      <w:r>
        <w:rPr>
          <w:spacing w:val="-3"/>
        </w:rPr>
        <w:t> </w:t>
      </w:r>
      <w:r>
        <w:rPr/>
        <w:t>to be maintained for the maneuverability of a fire engine, unless the building abuts two roads of 6 meters or more on two sides, or another access of 6 meters to the building is available, apart from the road abutting the building.</w:t>
      </w:r>
    </w:p>
    <w:p>
      <w:pPr>
        <w:pStyle w:val="ListParagraph"/>
        <w:numPr>
          <w:ilvl w:val="1"/>
          <w:numId w:val="179"/>
        </w:numPr>
        <w:tabs>
          <w:tab w:pos="2848" w:val="left" w:leader="none"/>
        </w:tabs>
        <w:spacing w:line="276" w:lineRule="auto" w:before="202" w:after="0"/>
        <w:ind w:left="2050" w:right="768" w:firstLine="0"/>
        <w:jc w:val="both"/>
        <w:rPr>
          <w:sz w:val="24"/>
        </w:rPr>
      </w:pPr>
      <w:r>
        <w:rPr>
          <w:sz w:val="24"/>
        </w:rPr>
        <w:t>Notwithstanding</w:t>
      </w:r>
      <w:r>
        <w:rPr>
          <w:spacing w:val="-12"/>
          <w:sz w:val="24"/>
        </w:rPr>
        <w:t> </w:t>
      </w:r>
      <w:r>
        <w:rPr>
          <w:sz w:val="24"/>
        </w:rPr>
        <w:t>the</w:t>
      </w:r>
      <w:r>
        <w:rPr>
          <w:spacing w:val="-12"/>
          <w:sz w:val="24"/>
        </w:rPr>
        <w:t> </w:t>
      </w:r>
      <w:r>
        <w:rPr>
          <w:sz w:val="24"/>
        </w:rPr>
        <w:t>provisions</w:t>
      </w:r>
      <w:r>
        <w:rPr>
          <w:spacing w:val="-11"/>
          <w:sz w:val="24"/>
        </w:rPr>
        <w:t> </w:t>
      </w:r>
      <w:r>
        <w:rPr>
          <w:sz w:val="24"/>
        </w:rPr>
        <w:t>in</w:t>
      </w:r>
      <w:r>
        <w:rPr>
          <w:spacing w:val="-9"/>
          <w:sz w:val="24"/>
        </w:rPr>
        <w:t> </w:t>
      </w:r>
      <w:r>
        <w:rPr>
          <w:sz w:val="24"/>
        </w:rPr>
        <w:t>Regulation41</w:t>
      </w:r>
      <w:r>
        <w:rPr>
          <w:spacing w:val="-11"/>
          <w:sz w:val="24"/>
        </w:rPr>
        <w:t> </w:t>
      </w:r>
      <w:r>
        <w:rPr>
          <w:sz w:val="24"/>
        </w:rPr>
        <w:t>(Table</w:t>
      </w:r>
      <w:r>
        <w:rPr>
          <w:spacing w:val="-9"/>
          <w:sz w:val="24"/>
        </w:rPr>
        <w:t> </w:t>
      </w:r>
      <w:r>
        <w:rPr>
          <w:sz w:val="24"/>
        </w:rPr>
        <w:t>18)</w:t>
      </w:r>
      <w:r>
        <w:rPr>
          <w:spacing w:val="-12"/>
          <w:sz w:val="24"/>
        </w:rPr>
        <w:t> </w:t>
      </w:r>
      <w:r>
        <w:rPr>
          <w:sz w:val="24"/>
        </w:rPr>
        <w:t>where the location of the URC plot abuts a DP Road having width of 18.3 m and above. The front marginal open space shall not be insisted upon beyond</w:t>
      </w:r>
      <w:r>
        <w:rPr>
          <w:spacing w:val="-3"/>
          <w:sz w:val="24"/>
        </w:rPr>
        <w:t> </w:t>
      </w:r>
      <w:r>
        <w:rPr>
          <w:sz w:val="24"/>
        </w:rPr>
        <w:t>4.5</w:t>
      </w:r>
      <w:r>
        <w:rPr>
          <w:spacing w:val="-3"/>
          <w:sz w:val="24"/>
        </w:rPr>
        <w:t> </w:t>
      </w:r>
      <w:r>
        <w:rPr>
          <w:sz w:val="24"/>
        </w:rPr>
        <w:t>m</w:t>
      </w:r>
      <w:r>
        <w:rPr>
          <w:spacing w:val="-3"/>
          <w:sz w:val="24"/>
        </w:rPr>
        <w:t> </w:t>
      </w:r>
      <w:r>
        <w:rPr>
          <w:sz w:val="24"/>
        </w:rPr>
        <w:t>provided,</w:t>
      </w:r>
      <w:r>
        <w:rPr>
          <w:spacing w:val="-3"/>
          <w:sz w:val="24"/>
        </w:rPr>
        <w:t> </w:t>
      </w:r>
      <w:r>
        <w:rPr>
          <w:sz w:val="24"/>
        </w:rPr>
        <w:t>such</w:t>
      </w:r>
      <w:r>
        <w:rPr>
          <w:spacing w:val="-3"/>
          <w:sz w:val="24"/>
        </w:rPr>
        <w:t> </w:t>
      </w:r>
      <w:r>
        <w:rPr>
          <w:sz w:val="24"/>
        </w:rPr>
        <w:t>road</w:t>
      </w:r>
      <w:r>
        <w:rPr>
          <w:spacing w:val="-3"/>
          <w:sz w:val="24"/>
        </w:rPr>
        <w:t> </w:t>
      </w:r>
      <w:r>
        <w:rPr>
          <w:sz w:val="24"/>
        </w:rPr>
        <w:t>is</w:t>
      </w:r>
      <w:r>
        <w:rPr>
          <w:spacing w:val="-3"/>
          <w:sz w:val="24"/>
        </w:rPr>
        <w:t> </w:t>
      </w:r>
      <w:r>
        <w:rPr>
          <w:sz w:val="24"/>
        </w:rPr>
        <w:t>not</w:t>
      </w:r>
      <w:r>
        <w:rPr>
          <w:spacing w:val="-1"/>
          <w:sz w:val="24"/>
        </w:rPr>
        <w:t> </w:t>
      </w:r>
      <w:r>
        <w:rPr>
          <w:sz w:val="24"/>
        </w:rPr>
        <w:t>an</w:t>
      </w:r>
      <w:r>
        <w:rPr>
          <w:spacing w:val="-3"/>
          <w:sz w:val="24"/>
        </w:rPr>
        <w:t> </w:t>
      </w:r>
      <w:r>
        <w:rPr>
          <w:sz w:val="24"/>
        </w:rPr>
        <w:t>Express</w:t>
      </w:r>
      <w:r>
        <w:rPr>
          <w:spacing w:val="-3"/>
          <w:sz w:val="24"/>
        </w:rPr>
        <w:t> </w:t>
      </w:r>
      <w:r>
        <w:rPr>
          <w:sz w:val="24"/>
        </w:rPr>
        <w:t>Highway</w:t>
      </w:r>
      <w:r>
        <w:rPr>
          <w:spacing w:val="-3"/>
          <w:sz w:val="24"/>
        </w:rPr>
        <w:t> </w:t>
      </w:r>
      <w:r>
        <w:rPr>
          <w:sz w:val="24"/>
        </w:rPr>
        <w:t>or</w:t>
      </w:r>
      <w:r>
        <w:rPr>
          <w:spacing w:val="-3"/>
          <w:sz w:val="24"/>
        </w:rPr>
        <w:t> </w:t>
      </w:r>
      <w:r>
        <w:rPr>
          <w:sz w:val="24"/>
        </w:rPr>
        <w:t>a</w:t>
      </w:r>
      <w:r>
        <w:rPr>
          <w:spacing w:val="-3"/>
          <w:sz w:val="24"/>
        </w:rPr>
        <w:t> </w:t>
      </w:r>
      <w:r>
        <w:rPr>
          <w:sz w:val="24"/>
        </w:rPr>
        <w:t>road wider than 52 m</w:t>
      </w:r>
    </w:p>
    <w:p>
      <w:pPr>
        <w:pStyle w:val="ListParagraph"/>
        <w:numPr>
          <w:ilvl w:val="1"/>
          <w:numId w:val="179"/>
        </w:numPr>
        <w:tabs>
          <w:tab w:pos="2864" w:val="left" w:leader="none"/>
        </w:tabs>
        <w:spacing w:line="276" w:lineRule="auto" w:before="199" w:after="0"/>
        <w:ind w:left="2050" w:right="770" w:firstLine="0"/>
        <w:jc w:val="both"/>
        <w:rPr>
          <w:sz w:val="24"/>
        </w:rPr>
      </w:pPr>
      <w:r>
        <w:rPr>
          <w:sz w:val="24"/>
        </w:rPr>
        <w:t>Where the location of the URC plot abuts a trained nallah, the marginal open space along the nallah shall be 6.0 m from the edge of the trained nallah, or as required by SWD Department of MCGM, whichever is greater.</w:t>
      </w:r>
    </w:p>
    <w:p>
      <w:pPr>
        <w:pStyle w:val="ListParagraph"/>
        <w:numPr>
          <w:ilvl w:val="1"/>
          <w:numId w:val="179"/>
        </w:numPr>
        <w:tabs>
          <w:tab w:pos="2644" w:val="left" w:leader="none"/>
        </w:tabs>
        <w:spacing w:line="278" w:lineRule="auto" w:before="200" w:after="0"/>
        <w:ind w:left="2050" w:right="771" w:firstLine="0"/>
        <w:jc w:val="both"/>
        <w:rPr>
          <w:sz w:val="24"/>
        </w:rPr>
      </w:pPr>
      <w:r>
        <w:rPr>
          <w:sz w:val="24"/>
        </w:rPr>
        <w:t>The</w:t>
      </w:r>
      <w:r>
        <w:rPr>
          <w:spacing w:val="-8"/>
          <w:sz w:val="24"/>
        </w:rPr>
        <w:t> </w:t>
      </w:r>
      <w:r>
        <w:rPr>
          <w:sz w:val="24"/>
        </w:rPr>
        <w:t>distance</w:t>
      </w:r>
      <w:r>
        <w:rPr>
          <w:spacing w:val="-6"/>
          <w:sz w:val="24"/>
        </w:rPr>
        <w:t> </w:t>
      </w:r>
      <w:r>
        <w:rPr>
          <w:sz w:val="24"/>
        </w:rPr>
        <w:t>between</w:t>
      </w:r>
      <w:r>
        <w:rPr>
          <w:spacing w:val="-8"/>
          <w:sz w:val="24"/>
        </w:rPr>
        <w:t> </w:t>
      </w:r>
      <w:r>
        <w:rPr>
          <w:sz w:val="24"/>
        </w:rPr>
        <w:t>any</w:t>
      </w:r>
      <w:r>
        <w:rPr>
          <w:spacing w:val="-8"/>
          <w:sz w:val="24"/>
        </w:rPr>
        <w:t> </w:t>
      </w:r>
      <w:r>
        <w:rPr>
          <w:sz w:val="24"/>
        </w:rPr>
        <w:t>two</w:t>
      </w:r>
      <w:r>
        <w:rPr>
          <w:spacing w:val="-8"/>
          <w:sz w:val="24"/>
        </w:rPr>
        <w:t> </w:t>
      </w:r>
      <w:r>
        <w:rPr>
          <w:sz w:val="24"/>
        </w:rPr>
        <w:t>rehabilitation</w:t>
      </w:r>
      <w:r>
        <w:rPr>
          <w:spacing w:val="-8"/>
          <w:sz w:val="24"/>
        </w:rPr>
        <w:t> </w:t>
      </w:r>
      <w:r>
        <w:rPr>
          <w:sz w:val="24"/>
        </w:rPr>
        <w:t>buildings</w:t>
      </w:r>
      <w:r>
        <w:rPr>
          <w:spacing w:val="-5"/>
          <w:sz w:val="24"/>
        </w:rPr>
        <w:t> </w:t>
      </w:r>
      <w:r>
        <w:rPr>
          <w:sz w:val="24"/>
        </w:rPr>
        <w:t>shall</w:t>
      </w:r>
      <w:r>
        <w:rPr>
          <w:spacing w:val="-8"/>
          <w:sz w:val="24"/>
        </w:rPr>
        <w:t> </w:t>
      </w:r>
      <w:r>
        <w:rPr>
          <w:sz w:val="24"/>
        </w:rPr>
        <w:t>not</w:t>
      </w:r>
      <w:r>
        <w:rPr>
          <w:spacing w:val="-8"/>
          <w:sz w:val="24"/>
        </w:rPr>
        <w:t> </w:t>
      </w:r>
      <w:r>
        <w:rPr>
          <w:sz w:val="24"/>
        </w:rPr>
        <w:t>be less than 6.00 m</w:t>
      </w:r>
    </w:p>
    <w:p>
      <w:pPr>
        <w:pStyle w:val="ListParagraph"/>
        <w:numPr>
          <w:ilvl w:val="1"/>
          <w:numId w:val="179"/>
        </w:numPr>
        <w:tabs>
          <w:tab w:pos="2785" w:val="left" w:leader="none"/>
        </w:tabs>
        <w:spacing w:line="278" w:lineRule="auto" w:before="196" w:after="0"/>
        <w:ind w:left="2050" w:right="768" w:firstLine="0"/>
        <w:jc w:val="both"/>
        <w:rPr>
          <w:sz w:val="24"/>
        </w:rPr>
      </w:pPr>
      <w:r>
        <w:rPr>
          <w:sz w:val="24"/>
        </w:rPr>
        <w:t>If</w:t>
      </w:r>
      <w:r>
        <w:rPr>
          <w:spacing w:val="-7"/>
          <w:sz w:val="24"/>
        </w:rPr>
        <w:t> </w:t>
      </w:r>
      <w:r>
        <w:rPr>
          <w:sz w:val="24"/>
        </w:rPr>
        <w:t>the</w:t>
      </w:r>
      <w:r>
        <w:rPr>
          <w:spacing w:val="-7"/>
          <w:sz w:val="24"/>
        </w:rPr>
        <w:t> </w:t>
      </w:r>
      <w:r>
        <w:rPr>
          <w:sz w:val="24"/>
        </w:rPr>
        <w:t>height</w:t>
      </w:r>
      <w:r>
        <w:rPr>
          <w:spacing w:val="-5"/>
          <w:sz w:val="24"/>
        </w:rPr>
        <w:t> </w:t>
      </w:r>
      <w:r>
        <w:rPr>
          <w:sz w:val="24"/>
        </w:rPr>
        <w:t>of</w:t>
      </w:r>
      <w:r>
        <w:rPr>
          <w:spacing w:val="-5"/>
          <w:sz w:val="24"/>
        </w:rPr>
        <w:t> </w:t>
      </w:r>
      <w:r>
        <w:rPr>
          <w:sz w:val="24"/>
        </w:rPr>
        <w:t>any</w:t>
      </w:r>
      <w:r>
        <w:rPr>
          <w:spacing w:val="-7"/>
          <w:sz w:val="24"/>
        </w:rPr>
        <w:t> </w:t>
      </w:r>
      <w:r>
        <w:rPr>
          <w:sz w:val="24"/>
        </w:rPr>
        <w:t>building</w:t>
      </w:r>
      <w:r>
        <w:rPr>
          <w:spacing w:val="-7"/>
          <w:sz w:val="24"/>
        </w:rPr>
        <w:t> </w:t>
      </w:r>
      <w:r>
        <w:rPr>
          <w:sz w:val="24"/>
        </w:rPr>
        <w:t>constructed</w:t>
      </w:r>
      <w:r>
        <w:rPr>
          <w:spacing w:val="-7"/>
          <w:sz w:val="24"/>
        </w:rPr>
        <w:t> </w:t>
      </w:r>
      <w:r>
        <w:rPr>
          <w:sz w:val="24"/>
        </w:rPr>
        <w:t>under</w:t>
      </w:r>
      <w:r>
        <w:rPr>
          <w:spacing w:val="-7"/>
          <w:sz w:val="24"/>
        </w:rPr>
        <w:t> </w:t>
      </w:r>
      <w:r>
        <w:rPr>
          <w:sz w:val="24"/>
        </w:rPr>
        <w:t>URS</w:t>
      </w:r>
      <w:r>
        <w:rPr>
          <w:spacing w:val="-5"/>
          <w:sz w:val="24"/>
        </w:rPr>
        <w:t> </w:t>
      </w:r>
      <w:r>
        <w:rPr>
          <w:sz w:val="24"/>
        </w:rPr>
        <w:t>is</w:t>
      </w:r>
      <w:r>
        <w:rPr>
          <w:spacing w:val="-5"/>
          <w:sz w:val="24"/>
        </w:rPr>
        <w:t> </w:t>
      </w:r>
      <w:r>
        <w:rPr>
          <w:sz w:val="24"/>
        </w:rPr>
        <w:t>more</w:t>
      </w:r>
      <w:r>
        <w:rPr>
          <w:spacing w:val="-7"/>
          <w:sz w:val="24"/>
        </w:rPr>
        <w:t> </w:t>
      </w:r>
      <w:r>
        <w:rPr>
          <w:sz w:val="24"/>
        </w:rPr>
        <w:t>than 32 m, marginal open space of 6 m or as required by CFO whichever is greater shall be maintained.</w:t>
      </w:r>
    </w:p>
    <w:p>
      <w:pPr>
        <w:pStyle w:val="ListParagraph"/>
        <w:numPr>
          <w:ilvl w:val="1"/>
          <w:numId w:val="179"/>
        </w:numPr>
        <w:tabs>
          <w:tab w:pos="2908" w:val="left" w:leader="none"/>
        </w:tabs>
        <w:spacing w:line="276" w:lineRule="auto" w:before="191" w:after="0"/>
        <w:ind w:left="2050" w:right="769" w:firstLine="0"/>
        <w:jc w:val="both"/>
        <w:rPr>
          <w:sz w:val="24"/>
        </w:rPr>
      </w:pPr>
      <w:r>
        <w:rPr>
          <w:sz w:val="24"/>
        </w:rPr>
        <w:t>Wherever more than the minimum front and marginal spaces have been provided, such additional area provided may be considered wherever necessary, as part of the amenity open space under the URS comprising both rehabilitation and incentive FSI components, without charging</w:t>
      </w:r>
      <w:r>
        <w:rPr>
          <w:spacing w:val="-16"/>
          <w:sz w:val="24"/>
        </w:rPr>
        <w:t> </w:t>
      </w:r>
      <w:r>
        <w:rPr>
          <w:sz w:val="24"/>
        </w:rPr>
        <w:t>any</w:t>
      </w:r>
      <w:r>
        <w:rPr>
          <w:spacing w:val="-16"/>
          <w:sz w:val="24"/>
        </w:rPr>
        <w:t> </w:t>
      </w:r>
      <w:r>
        <w:rPr>
          <w:sz w:val="24"/>
        </w:rPr>
        <w:t>premium,</w:t>
      </w:r>
      <w:r>
        <w:rPr>
          <w:spacing w:val="-16"/>
          <w:sz w:val="24"/>
        </w:rPr>
        <w:t> </w:t>
      </w:r>
      <w:r>
        <w:rPr>
          <w:sz w:val="24"/>
        </w:rPr>
        <w:t>in</w:t>
      </w:r>
      <w:r>
        <w:rPr>
          <w:spacing w:val="-16"/>
          <w:sz w:val="24"/>
        </w:rPr>
        <w:t> </w:t>
      </w:r>
      <w:r>
        <w:rPr>
          <w:sz w:val="24"/>
        </w:rPr>
        <w:t>relaxation</w:t>
      </w:r>
      <w:r>
        <w:rPr>
          <w:spacing w:val="-16"/>
          <w:sz w:val="24"/>
        </w:rPr>
        <w:t> </w:t>
      </w:r>
      <w:r>
        <w:rPr>
          <w:sz w:val="24"/>
        </w:rPr>
        <w:t>of</w:t>
      </w:r>
      <w:r>
        <w:rPr>
          <w:spacing w:val="-16"/>
          <w:sz w:val="24"/>
        </w:rPr>
        <w:t> </w:t>
      </w:r>
      <w:r>
        <w:rPr>
          <w:sz w:val="24"/>
        </w:rPr>
        <w:t>the</w:t>
      </w:r>
      <w:r>
        <w:rPr>
          <w:spacing w:val="-16"/>
          <w:sz w:val="24"/>
        </w:rPr>
        <w:t> </w:t>
      </w:r>
      <w:r>
        <w:rPr>
          <w:sz w:val="24"/>
        </w:rPr>
        <w:t>stipulation</w:t>
      </w:r>
      <w:r>
        <w:rPr>
          <w:spacing w:val="-16"/>
          <w:sz w:val="24"/>
        </w:rPr>
        <w:t> </w:t>
      </w:r>
      <w:r>
        <w:rPr>
          <w:sz w:val="24"/>
        </w:rPr>
        <w:t>in</w:t>
      </w:r>
      <w:r>
        <w:rPr>
          <w:spacing w:val="-16"/>
          <w:sz w:val="24"/>
        </w:rPr>
        <w:t> </w:t>
      </w:r>
      <w:r>
        <w:rPr>
          <w:sz w:val="24"/>
        </w:rPr>
        <w:t>Regulation</w:t>
      </w:r>
      <w:r>
        <w:rPr>
          <w:spacing w:val="-16"/>
          <w:sz w:val="24"/>
        </w:rPr>
        <w:t> </w:t>
      </w:r>
      <w:r>
        <w:rPr>
          <w:sz w:val="24"/>
        </w:rPr>
        <w:t>No. </w:t>
      </w:r>
      <w:r>
        <w:rPr>
          <w:spacing w:val="-4"/>
          <w:sz w:val="24"/>
        </w:rPr>
        <w:t>27.</w:t>
      </w:r>
    </w:p>
    <w:p>
      <w:pPr>
        <w:pStyle w:val="ListParagraph"/>
        <w:spacing w:after="0" w:line="276" w:lineRule="auto"/>
        <w:jc w:val="both"/>
        <w:rPr>
          <w:sz w:val="24"/>
        </w:rPr>
        <w:sectPr>
          <w:headerReference w:type="default" r:id="rId43"/>
          <w:footerReference w:type="default" r:id="rId44"/>
          <w:pgSz w:w="11910" w:h="16840"/>
          <w:pgMar w:header="1065" w:footer="1194" w:top="1500" w:bottom="1380" w:left="360" w:right="360"/>
        </w:sectPr>
      </w:pPr>
    </w:p>
    <w:p>
      <w:pPr>
        <w:pStyle w:val="ListParagraph"/>
        <w:numPr>
          <w:ilvl w:val="1"/>
          <w:numId w:val="179"/>
        </w:numPr>
        <w:tabs>
          <w:tab w:pos="3072" w:val="left" w:leader="none"/>
        </w:tabs>
        <w:spacing w:line="278" w:lineRule="auto" w:before="247" w:after="0"/>
        <w:ind w:left="2050" w:right="770" w:firstLine="0"/>
        <w:jc w:val="both"/>
        <w:rPr>
          <w:sz w:val="24"/>
        </w:rPr>
      </w:pPr>
      <w:r>
        <w:rPr>
          <w:sz w:val="24"/>
        </w:rPr>
        <w:t>Pathways and Means of Access.—the ratio between the length of the pathway and the width thereof shall be as follows:</w:t>
      </w:r>
    </w:p>
    <w:p>
      <w:pPr>
        <w:pStyle w:val="BodyText"/>
        <w:spacing w:before="11"/>
        <w:jc w:val="left"/>
        <w:rPr>
          <w:sz w:val="16"/>
        </w:rPr>
      </w:pPr>
    </w:p>
    <w:tbl>
      <w:tblPr>
        <w:tblW w:w="0" w:type="auto"/>
        <w:jc w:val="left"/>
        <w:tblInd w:w="4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6"/>
        <w:gridCol w:w="1802"/>
      </w:tblGrid>
      <w:tr>
        <w:trPr>
          <w:trHeight w:val="280" w:hRule="atLeast"/>
        </w:trPr>
        <w:tc>
          <w:tcPr>
            <w:tcW w:w="2026" w:type="dxa"/>
          </w:tcPr>
          <w:p>
            <w:pPr>
              <w:pStyle w:val="TableParagraph"/>
              <w:spacing w:line="260" w:lineRule="exact"/>
              <w:ind w:left="4"/>
              <w:jc w:val="center"/>
              <w:rPr>
                <w:sz w:val="24"/>
              </w:rPr>
            </w:pPr>
            <w:r>
              <w:rPr>
                <w:spacing w:val="-2"/>
                <w:sz w:val="24"/>
              </w:rPr>
              <w:t>Length</w:t>
            </w:r>
          </w:p>
        </w:tc>
        <w:tc>
          <w:tcPr>
            <w:tcW w:w="1802" w:type="dxa"/>
          </w:tcPr>
          <w:p>
            <w:pPr>
              <w:pStyle w:val="TableParagraph"/>
              <w:spacing w:line="260" w:lineRule="exact"/>
              <w:ind w:left="7"/>
              <w:jc w:val="center"/>
              <w:rPr>
                <w:sz w:val="24"/>
              </w:rPr>
            </w:pPr>
            <w:r>
              <w:rPr>
                <w:spacing w:val="-2"/>
                <w:sz w:val="24"/>
              </w:rPr>
              <w:t>Width</w:t>
            </w:r>
          </w:p>
        </w:tc>
      </w:tr>
      <w:tr>
        <w:trPr>
          <w:trHeight w:val="282" w:hRule="atLeast"/>
        </w:trPr>
        <w:tc>
          <w:tcPr>
            <w:tcW w:w="2026" w:type="dxa"/>
          </w:tcPr>
          <w:p>
            <w:pPr>
              <w:pStyle w:val="TableParagraph"/>
              <w:spacing w:line="261" w:lineRule="exact" w:before="1"/>
              <w:ind w:left="4"/>
              <w:jc w:val="center"/>
              <w:rPr>
                <w:sz w:val="24"/>
              </w:rPr>
            </w:pPr>
            <w:r>
              <w:rPr>
                <w:sz w:val="24"/>
              </w:rPr>
              <w:t>Upto</w:t>
            </w:r>
            <w:r>
              <w:rPr>
                <w:spacing w:val="-2"/>
                <w:sz w:val="24"/>
              </w:rPr>
              <w:t> </w:t>
            </w:r>
            <w:r>
              <w:rPr>
                <w:sz w:val="24"/>
              </w:rPr>
              <w:t>20</w:t>
            </w:r>
            <w:r>
              <w:rPr>
                <w:spacing w:val="-1"/>
                <w:sz w:val="24"/>
              </w:rPr>
              <w:t> </w:t>
            </w:r>
            <w:r>
              <w:rPr>
                <w:spacing w:val="-10"/>
                <w:sz w:val="24"/>
              </w:rPr>
              <w:t>m</w:t>
            </w:r>
          </w:p>
        </w:tc>
        <w:tc>
          <w:tcPr>
            <w:tcW w:w="1802" w:type="dxa"/>
          </w:tcPr>
          <w:p>
            <w:pPr>
              <w:pStyle w:val="TableParagraph"/>
              <w:spacing w:line="261" w:lineRule="exact" w:before="1"/>
              <w:ind w:left="7"/>
              <w:jc w:val="center"/>
              <w:rPr>
                <w:sz w:val="24"/>
              </w:rPr>
            </w:pPr>
            <w:r>
              <w:rPr>
                <w:spacing w:val="-4"/>
                <w:sz w:val="24"/>
              </w:rPr>
              <w:t>1.5m</w:t>
            </w:r>
          </w:p>
        </w:tc>
      </w:tr>
      <w:tr>
        <w:trPr>
          <w:trHeight w:val="280" w:hRule="atLeast"/>
        </w:trPr>
        <w:tc>
          <w:tcPr>
            <w:tcW w:w="2026" w:type="dxa"/>
          </w:tcPr>
          <w:p>
            <w:pPr>
              <w:pStyle w:val="TableParagraph"/>
              <w:spacing w:line="260" w:lineRule="exact"/>
              <w:ind w:left="4"/>
              <w:jc w:val="center"/>
              <w:rPr>
                <w:sz w:val="24"/>
              </w:rPr>
            </w:pPr>
            <w:r>
              <w:rPr>
                <w:sz w:val="24"/>
              </w:rPr>
              <w:t>21</w:t>
            </w:r>
            <w:r>
              <w:rPr>
                <w:spacing w:val="-1"/>
                <w:sz w:val="24"/>
              </w:rPr>
              <w:t> </w:t>
            </w:r>
            <w:r>
              <w:rPr>
                <w:sz w:val="24"/>
              </w:rPr>
              <w:t>to</w:t>
            </w:r>
            <w:r>
              <w:rPr>
                <w:spacing w:val="-1"/>
                <w:sz w:val="24"/>
              </w:rPr>
              <w:t> </w:t>
            </w:r>
            <w:r>
              <w:rPr>
                <w:sz w:val="24"/>
              </w:rPr>
              <w:t>30</w:t>
            </w:r>
            <w:r>
              <w:rPr>
                <w:spacing w:val="-1"/>
                <w:sz w:val="24"/>
              </w:rPr>
              <w:t> </w:t>
            </w:r>
            <w:r>
              <w:rPr>
                <w:spacing w:val="-5"/>
                <w:sz w:val="24"/>
              </w:rPr>
              <w:t>m.</w:t>
            </w:r>
          </w:p>
        </w:tc>
        <w:tc>
          <w:tcPr>
            <w:tcW w:w="1802" w:type="dxa"/>
          </w:tcPr>
          <w:p>
            <w:pPr>
              <w:pStyle w:val="TableParagraph"/>
              <w:spacing w:line="260" w:lineRule="exact"/>
              <w:ind w:left="7"/>
              <w:jc w:val="center"/>
              <w:rPr>
                <w:sz w:val="24"/>
              </w:rPr>
            </w:pPr>
            <w:r>
              <w:rPr>
                <w:spacing w:val="-4"/>
                <w:sz w:val="24"/>
              </w:rPr>
              <w:t>2.0m</w:t>
            </w:r>
          </w:p>
        </w:tc>
      </w:tr>
      <w:tr>
        <w:trPr>
          <w:trHeight w:val="282" w:hRule="atLeast"/>
        </w:trPr>
        <w:tc>
          <w:tcPr>
            <w:tcW w:w="2026" w:type="dxa"/>
          </w:tcPr>
          <w:p>
            <w:pPr>
              <w:pStyle w:val="TableParagraph"/>
              <w:spacing w:line="261" w:lineRule="exact" w:before="1"/>
              <w:ind w:left="4"/>
              <w:jc w:val="center"/>
              <w:rPr>
                <w:sz w:val="24"/>
              </w:rPr>
            </w:pPr>
            <w:r>
              <w:rPr>
                <w:sz w:val="24"/>
              </w:rPr>
              <w:t>31</w:t>
            </w:r>
            <w:r>
              <w:rPr>
                <w:spacing w:val="-1"/>
                <w:sz w:val="24"/>
              </w:rPr>
              <w:t> </w:t>
            </w:r>
            <w:r>
              <w:rPr>
                <w:sz w:val="24"/>
              </w:rPr>
              <w:t>to</w:t>
            </w:r>
            <w:r>
              <w:rPr>
                <w:spacing w:val="-1"/>
                <w:sz w:val="24"/>
              </w:rPr>
              <w:t> </w:t>
            </w:r>
            <w:r>
              <w:rPr>
                <w:sz w:val="24"/>
              </w:rPr>
              <w:t>40</w:t>
            </w:r>
            <w:r>
              <w:rPr>
                <w:spacing w:val="-1"/>
                <w:sz w:val="24"/>
              </w:rPr>
              <w:t> </w:t>
            </w:r>
            <w:r>
              <w:rPr>
                <w:spacing w:val="-5"/>
                <w:sz w:val="24"/>
              </w:rPr>
              <w:t>m.</w:t>
            </w:r>
          </w:p>
        </w:tc>
        <w:tc>
          <w:tcPr>
            <w:tcW w:w="1802" w:type="dxa"/>
          </w:tcPr>
          <w:p>
            <w:pPr>
              <w:pStyle w:val="TableParagraph"/>
              <w:spacing w:line="261" w:lineRule="exact" w:before="1"/>
              <w:ind w:left="7"/>
              <w:jc w:val="center"/>
              <w:rPr>
                <w:sz w:val="24"/>
              </w:rPr>
            </w:pPr>
            <w:r>
              <w:rPr>
                <w:spacing w:val="-4"/>
                <w:sz w:val="24"/>
              </w:rPr>
              <w:t>2.5m</w:t>
            </w:r>
          </w:p>
        </w:tc>
      </w:tr>
      <w:tr>
        <w:trPr>
          <w:trHeight w:val="282" w:hRule="atLeast"/>
        </w:trPr>
        <w:tc>
          <w:tcPr>
            <w:tcW w:w="2026" w:type="dxa"/>
          </w:tcPr>
          <w:p>
            <w:pPr>
              <w:pStyle w:val="TableParagraph"/>
              <w:spacing w:line="263" w:lineRule="exact"/>
              <w:ind w:left="4"/>
              <w:jc w:val="center"/>
              <w:rPr>
                <w:sz w:val="24"/>
              </w:rPr>
            </w:pPr>
            <w:r>
              <w:rPr>
                <w:sz w:val="24"/>
              </w:rPr>
              <w:t>41</w:t>
            </w:r>
            <w:r>
              <w:rPr>
                <w:spacing w:val="-1"/>
                <w:sz w:val="24"/>
              </w:rPr>
              <w:t> </w:t>
            </w:r>
            <w:r>
              <w:rPr>
                <w:sz w:val="24"/>
              </w:rPr>
              <w:t>to</w:t>
            </w:r>
            <w:r>
              <w:rPr>
                <w:spacing w:val="-1"/>
                <w:sz w:val="24"/>
              </w:rPr>
              <w:t> </w:t>
            </w:r>
            <w:r>
              <w:rPr>
                <w:sz w:val="24"/>
              </w:rPr>
              <w:t>59</w:t>
            </w:r>
            <w:r>
              <w:rPr>
                <w:spacing w:val="-1"/>
                <w:sz w:val="24"/>
              </w:rPr>
              <w:t> </w:t>
            </w:r>
            <w:r>
              <w:rPr>
                <w:spacing w:val="-10"/>
                <w:sz w:val="24"/>
              </w:rPr>
              <w:t>m</w:t>
            </w:r>
          </w:p>
        </w:tc>
        <w:tc>
          <w:tcPr>
            <w:tcW w:w="1802" w:type="dxa"/>
          </w:tcPr>
          <w:p>
            <w:pPr>
              <w:pStyle w:val="TableParagraph"/>
              <w:spacing w:line="263" w:lineRule="exact"/>
              <w:ind w:left="7"/>
              <w:jc w:val="center"/>
              <w:rPr>
                <w:sz w:val="24"/>
              </w:rPr>
            </w:pPr>
            <w:r>
              <w:rPr>
                <w:spacing w:val="-4"/>
                <w:sz w:val="24"/>
              </w:rPr>
              <w:t>3.0m</w:t>
            </w:r>
          </w:p>
        </w:tc>
      </w:tr>
    </w:tbl>
    <w:p>
      <w:pPr>
        <w:pStyle w:val="BodyText"/>
        <w:spacing w:before="82"/>
        <w:jc w:val="left"/>
      </w:pPr>
    </w:p>
    <w:p>
      <w:pPr>
        <w:pStyle w:val="ListParagraph"/>
        <w:numPr>
          <w:ilvl w:val="1"/>
          <w:numId w:val="179"/>
        </w:numPr>
        <w:tabs>
          <w:tab w:pos="2777" w:val="left" w:leader="none"/>
        </w:tabs>
        <w:spacing w:line="276" w:lineRule="auto" w:before="0" w:after="0"/>
        <w:ind w:left="2050" w:right="769" w:firstLine="0"/>
        <w:jc w:val="both"/>
        <w:rPr>
          <w:sz w:val="24"/>
        </w:rPr>
      </w:pPr>
      <w:r>
        <w:rPr>
          <w:sz w:val="24"/>
        </w:rPr>
        <w:t>Between the dimensions prescribed for the pathway and the marginal</w:t>
      </w:r>
      <w:r>
        <w:rPr>
          <w:spacing w:val="-20"/>
          <w:sz w:val="24"/>
        </w:rPr>
        <w:t> </w:t>
      </w:r>
      <w:r>
        <w:rPr>
          <w:sz w:val="24"/>
        </w:rPr>
        <w:t>distances,</w:t>
      </w:r>
      <w:r>
        <w:rPr>
          <w:spacing w:val="-19"/>
          <w:sz w:val="24"/>
        </w:rPr>
        <w:t> </w:t>
      </w:r>
      <w:r>
        <w:rPr>
          <w:sz w:val="24"/>
        </w:rPr>
        <w:t>the</w:t>
      </w:r>
      <w:r>
        <w:rPr>
          <w:spacing w:val="-19"/>
          <w:sz w:val="24"/>
        </w:rPr>
        <w:t> </w:t>
      </w:r>
      <w:r>
        <w:rPr>
          <w:sz w:val="24"/>
        </w:rPr>
        <w:t>larger</w:t>
      </w:r>
      <w:r>
        <w:rPr>
          <w:spacing w:val="-19"/>
          <w:sz w:val="24"/>
        </w:rPr>
        <w:t> </w:t>
      </w:r>
      <w:r>
        <w:rPr>
          <w:sz w:val="24"/>
        </w:rPr>
        <w:t>of</w:t>
      </w:r>
      <w:r>
        <w:rPr>
          <w:spacing w:val="-19"/>
          <w:sz w:val="24"/>
        </w:rPr>
        <w:t> </w:t>
      </w:r>
      <w:r>
        <w:rPr>
          <w:sz w:val="24"/>
        </w:rPr>
        <w:t>the</w:t>
      </w:r>
      <w:r>
        <w:rPr>
          <w:spacing w:val="-20"/>
          <w:sz w:val="24"/>
        </w:rPr>
        <w:t> </w:t>
      </w:r>
      <w:r>
        <w:rPr>
          <w:sz w:val="24"/>
        </w:rPr>
        <w:t>two</w:t>
      </w:r>
      <w:r>
        <w:rPr>
          <w:spacing w:val="-19"/>
          <w:sz w:val="24"/>
        </w:rPr>
        <w:t> </w:t>
      </w:r>
      <w:r>
        <w:rPr>
          <w:sz w:val="24"/>
        </w:rPr>
        <w:t>shall</w:t>
      </w:r>
      <w:r>
        <w:rPr>
          <w:spacing w:val="-19"/>
          <w:sz w:val="24"/>
        </w:rPr>
        <w:t> </w:t>
      </w:r>
      <w:r>
        <w:rPr>
          <w:sz w:val="24"/>
        </w:rPr>
        <w:t>prevail.</w:t>
      </w:r>
      <w:r>
        <w:rPr>
          <w:spacing w:val="-19"/>
          <w:sz w:val="24"/>
        </w:rPr>
        <w:t> </w:t>
      </w:r>
      <w:r>
        <w:rPr>
          <w:sz w:val="24"/>
        </w:rPr>
        <w:t>The</w:t>
      </w:r>
      <w:r>
        <w:rPr>
          <w:spacing w:val="-19"/>
          <w:sz w:val="24"/>
        </w:rPr>
        <w:t> </w:t>
      </w:r>
      <w:r>
        <w:rPr>
          <w:sz w:val="24"/>
        </w:rPr>
        <w:t>pathway</w:t>
      </w:r>
      <w:r>
        <w:rPr>
          <w:spacing w:val="-20"/>
          <w:sz w:val="24"/>
        </w:rPr>
        <w:t> </w:t>
      </w:r>
      <w:r>
        <w:rPr>
          <w:sz w:val="24"/>
        </w:rPr>
        <w:t>shall act as access wherever necessary. The building shall be permitted to touch pathways.</w:t>
      </w:r>
    </w:p>
    <w:p>
      <w:pPr>
        <w:pStyle w:val="ListParagraph"/>
        <w:numPr>
          <w:ilvl w:val="1"/>
          <w:numId w:val="179"/>
        </w:numPr>
        <w:tabs>
          <w:tab w:pos="3312" w:val="left" w:leader="none"/>
        </w:tabs>
        <w:spacing w:line="276" w:lineRule="auto" w:before="200" w:after="0"/>
        <w:ind w:left="2050" w:right="766" w:firstLine="0"/>
        <w:jc w:val="both"/>
        <w:rPr>
          <w:sz w:val="24"/>
        </w:rPr>
      </w:pPr>
      <w:r>
        <w:rPr>
          <w:sz w:val="24"/>
        </w:rPr>
        <w:t>The means of access shall be normally governed by the provisions of Regulation No. 23. However, in the URS, wherever the design of the buildings up to 32 m. height requires relaxation in the width of access, the same may be given. However, high rise building shall be permissible only on access having width of 9 m. and above.</w:t>
      </w:r>
    </w:p>
    <w:p>
      <w:pPr>
        <w:pStyle w:val="ListParagraph"/>
        <w:numPr>
          <w:ilvl w:val="1"/>
          <w:numId w:val="179"/>
        </w:numPr>
        <w:tabs>
          <w:tab w:pos="3168" w:val="left" w:leader="none"/>
        </w:tabs>
        <w:spacing w:line="276" w:lineRule="auto" w:before="200" w:after="0"/>
        <w:ind w:left="2050" w:right="768" w:firstLine="0"/>
        <w:jc w:val="both"/>
        <w:rPr>
          <w:sz w:val="24"/>
        </w:rPr>
      </w:pPr>
      <w:r>
        <w:rPr>
          <w:sz w:val="24"/>
        </w:rPr>
        <w:t>Even if the recreational open space is reduced to make the project URS viable, at least 10 % of URC plot area shall be provided as recreational</w:t>
      </w:r>
      <w:r>
        <w:rPr>
          <w:spacing w:val="-3"/>
          <w:sz w:val="24"/>
        </w:rPr>
        <w:t> </w:t>
      </w:r>
      <w:r>
        <w:rPr>
          <w:sz w:val="24"/>
        </w:rPr>
        <w:t>open</w:t>
      </w:r>
      <w:r>
        <w:rPr>
          <w:spacing w:val="-3"/>
          <w:sz w:val="24"/>
        </w:rPr>
        <w:t> </w:t>
      </w:r>
      <w:r>
        <w:rPr>
          <w:sz w:val="24"/>
        </w:rPr>
        <w:t>space.</w:t>
      </w:r>
      <w:r>
        <w:rPr>
          <w:spacing w:val="-3"/>
          <w:sz w:val="24"/>
        </w:rPr>
        <w:t> </w:t>
      </w:r>
      <w:r>
        <w:rPr>
          <w:sz w:val="24"/>
        </w:rPr>
        <w:t>In</w:t>
      </w:r>
      <w:r>
        <w:rPr>
          <w:spacing w:val="-3"/>
          <w:sz w:val="24"/>
        </w:rPr>
        <w:t> </w:t>
      </w:r>
      <w:r>
        <w:rPr>
          <w:sz w:val="24"/>
        </w:rPr>
        <w:t>addition</w:t>
      </w:r>
      <w:r>
        <w:rPr>
          <w:spacing w:val="-3"/>
          <w:sz w:val="24"/>
        </w:rPr>
        <w:t> </w:t>
      </w:r>
      <w:r>
        <w:rPr>
          <w:sz w:val="24"/>
        </w:rPr>
        <w:t>to</w:t>
      </w:r>
      <w:r>
        <w:rPr>
          <w:spacing w:val="-3"/>
          <w:sz w:val="24"/>
        </w:rPr>
        <w:t> </w:t>
      </w:r>
      <w:r>
        <w:rPr>
          <w:sz w:val="24"/>
        </w:rPr>
        <w:t>this,</w:t>
      </w:r>
      <w:r>
        <w:rPr>
          <w:spacing w:val="-3"/>
          <w:sz w:val="24"/>
        </w:rPr>
        <w:t> </w:t>
      </w:r>
      <w:r>
        <w:rPr>
          <w:sz w:val="24"/>
        </w:rPr>
        <w:t>10%</w:t>
      </w:r>
      <w:r>
        <w:rPr>
          <w:spacing w:val="-3"/>
          <w:sz w:val="24"/>
        </w:rPr>
        <w:t> </w:t>
      </w:r>
      <w:r>
        <w:rPr>
          <w:sz w:val="24"/>
        </w:rPr>
        <w:t>of</w:t>
      </w:r>
      <w:r>
        <w:rPr>
          <w:spacing w:val="-3"/>
          <w:sz w:val="24"/>
        </w:rPr>
        <w:t> </w:t>
      </w:r>
      <w:r>
        <w:rPr>
          <w:sz w:val="24"/>
        </w:rPr>
        <w:t>URC</w:t>
      </w:r>
      <w:r>
        <w:rPr>
          <w:spacing w:val="-3"/>
          <w:sz w:val="24"/>
        </w:rPr>
        <w:t> </w:t>
      </w:r>
      <w:r>
        <w:rPr>
          <w:sz w:val="24"/>
        </w:rPr>
        <w:t>plot</w:t>
      </w:r>
      <w:r>
        <w:rPr>
          <w:spacing w:val="-1"/>
          <w:sz w:val="24"/>
        </w:rPr>
        <w:t> </w:t>
      </w:r>
      <w:r>
        <w:rPr>
          <w:sz w:val="24"/>
        </w:rPr>
        <w:t>area</w:t>
      </w:r>
      <w:r>
        <w:rPr>
          <w:spacing w:val="-3"/>
          <w:sz w:val="24"/>
        </w:rPr>
        <w:t> </w:t>
      </w:r>
      <w:r>
        <w:rPr>
          <w:sz w:val="24"/>
        </w:rPr>
        <w:t>shall be</w:t>
      </w:r>
      <w:r>
        <w:rPr>
          <w:spacing w:val="-10"/>
          <w:sz w:val="24"/>
        </w:rPr>
        <w:t> </w:t>
      </w:r>
      <w:r>
        <w:rPr>
          <w:sz w:val="24"/>
        </w:rPr>
        <w:t>earmarked</w:t>
      </w:r>
      <w:r>
        <w:rPr>
          <w:spacing w:val="-10"/>
          <w:sz w:val="24"/>
        </w:rPr>
        <w:t> </w:t>
      </w:r>
      <w:r>
        <w:rPr>
          <w:sz w:val="24"/>
        </w:rPr>
        <w:t>for</w:t>
      </w:r>
      <w:r>
        <w:rPr>
          <w:spacing w:val="-10"/>
          <w:sz w:val="24"/>
        </w:rPr>
        <w:t> </w:t>
      </w:r>
      <w:r>
        <w:rPr>
          <w:sz w:val="24"/>
        </w:rPr>
        <w:t>amenity</w:t>
      </w:r>
      <w:r>
        <w:rPr>
          <w:spacing w:val="-10"/>
          <w:sz w:val="24"/>
        </w:rPr>
        <w:t> </w:t>
      </w:r>
      <w:r>
        <w:rPr>
          <w:sz w:val="24"/>
        </w:rPr>
        <w:t>space</w:t>
      </w:r>
      <w:r>
        <w:rPr>
          <w:spacing w:val="-10"/>
          <w:sz w:val="24"/>
        </w:rPr>
        <w:t> </w:t>
      </w:r>
      <w:r>
        <w:rPr>
          <w:sz w:val="24"/>
        </w:rPr>
        <w:t>which</w:t>
      </w:r>
      <w:r>
        <w:rPr>
          <w:spacing w:val="-10"/>
          <w:sz w:val="24"/>
        </w:rPr>
        <w:t> </w:t>
      </w:r>
      <w:r>
        <w:rPr>
          <w:sz w:val="24"/>
        </w:rPr>
        <w:t>can</w:t>
      </w:r>
      <w:r>
        <w:rPr>
          <w:spacing w:val="-10"/>
          <w:sz w:val="24"/>
        </w:rPr>
        <w:t> </w:t>
      </w:r>
      <w:r>
        <w:rPr>
          <w:sz w:val="24"/>
        </w:rPr>
        <w:t>be</w:t>
      </w:r>
      <w:r>
        <w:rPr>
          <w:spacing w:val="-10"/>
          <w:sz w:val="24"/>
        </w:rPr>
        <w:t> </w:t>
      </w:r>
      <w:r>
        <w:rPr>
          <w:sz w:val="24"/>
        </w:rPr>
        <w:t>adjusted</w:t>
      </w:r>
      <w:r>
        <w:rPr>
          <w:spacing w:val="-10"/>
          <w:sz w:val="24"/>
        </w:rPr>
        <w:t> </w:t>
      </w:r>
      <w:r>
        <w:rPr>
          <w:sz w:val="24"/>
        </w:rPr>
        <w:t>against</w:t>
      </w:r>
      <w:r>
        <w:rPr>
          <w:spacing w:val="-10"/>
          <w:sz w:val="24"/>
        </w:rPr>
        <w:t> </w:t>
      </w:r>
      <w:r>
        <w:rPr>
          <w:sz w:val="24"/>
        </w:rPr>
        <w:t>the</w:t>
      </w:r>
      <w:r>
        <w:rPr>
          <w:spacing w:val="-10"/>
          <w:sz w:val="24"/>
        </w:rPr>
        <w:t> </w:t>
      </w:r>
      <w:r>
        <w:rPr>
          <w:sz w:val="24"/>
        </w:rPr>
        <w:t>D.P. reservation if any, existing on such plot.</w:t>
      </w:r>
      <w:r>
        <w:rPr>
          <w:spacing w:val="80"/>
          <w:sz w:val="24"/>
        </w:rPr>
        <w:t> </w:t>
      </w:r>
      <w:r>
        <w:rPr>
          <w:sz w:val="24"/>
        </w:rPr>
        <w:t>The type or location of the amenity to be decided by Officer appointed by the Planning Authority and</w:t>
      </w:r>
      <w:r>
        <w:rPr>
          <w:spacing w:val="-5"/>
          <w:sz w:val="24"/>
        </w:rPr>
        <w:t> </w:t>
      </w:r>
      <w:r>
        <w:rPr>
          <w:sz w:val="24"/>
        </w:rPr>
        <w:t>shall</w:t>
      </w:r>
      <w:r>
        <w:rPr>
          <w:spacing w:val="-5"/>
          <w:sz w:val="24"/>
        </w:rPr>
        <w:t> </w:t>
      </w:r>
      <w:r>
        <w:rPr>
          <w:sz w:val="24"/>
        </w:rPr>
        <w:t>be</w:t>
      </w:r>
      <w:r>
        <w:rPr>
          <w:spacing w:val="-5"/>
          <w:sz w:val="24"/>
        </w:rPr>
        <w:t> </w:t>
      </w:r>
      <w:r>
        <w:rPr>
          <w:sz w:val="24"/>
        </w:rPr>
        <w:t>handed</w:t>
      </w:r>
      <w:r>
        <w:rPr>
          <w:spacing w:val="-3"/>
          <w:sz w:val="24"/>
        </w:rPr>
        <w:t> </w:t>
      </w:r>
      <w:r>
        <w:rPr>
          <w:sz w:val="24"/>
        </w:rPr>
        <w:t>over</w:t>
      </w:r>
      <w:r>
        <w:rPr>
          <w:spacing w:val="-5"/>
          <w:sz w:val="24"/>
        </w:rPr>
        <w:t> </w:t>
      </w:r>
      <w:r>
        <w:rPr>
          <w:sz w:val="24"/>
        </w:rPr>
        <w:t>free</w:t>
      </w:r>
      <w:r>
        <w:rPr>
          <w:spacing w:val="-5"/>
          <w:sz w:val="24"/>
        </w:rPr>
        <w:t> </w:t>
      </w:r>
      <w:r>
        <w:rPr>
          <w:sz w:val="24"/>
        </w:rPr>
        <w:t>of</w:t>
      </w:r>
      <w:r>
        <w:rPr>
          <w:spacing w:val="-5"/>
          <w:sz w:val="24"/>
        </w:rPr>
        <w:t> </w:t>
      </w:r>
      <w:r>
        <w:rPr>
          <w:sz w:val="24"/>
        </w:rPr>
        <w:t>cost</w:t>
      </w:r>
      <w:r>
        <w:rPr>
          <w:spacing w:val="-5"/>
          <w:sz w:val="24"/>
        </w:rPr>
        <w:t> </w:t>
      </w:r>
      <w:r>
        <w:rPr>
          <w:sz w:val="24"/>
        </w:rPr>
        <w:t>to</w:t>
      </w:r>
      <w:r>
        <w:rPr>
          <w:spacing w:val="-5"/>
          <w:sz w:val="24"/>
        </w:rPr>
        <w:t> </w:t>
      </w:r>
      <w:r>
        <w:rPr>
          <w:sz w:val="24"/>
        </w:rPr>
        <w:t>Planning</w:t>
      </w:r>
      <w:r>
        <w:rPr>
          <w:spacing w:val="-4"/>
          <w:sz w:val="24"/>
        </w:rPr>
        <w:t> </w:t>
      </w:r>
      <w:r>
        <w:rPr>
          <w:sz w:val="24"/>
        </w:rPr>
        <w:t>Authority.</w:t>
      </w:r>
      <w:r>
        <w:rPr>
          <w:spacing w:val="-5"/>
          <w:sz w:val="24"/>
        </w:rPr>
        <w:t> </w:t>
      </w:r>
      <w:r>
        <w:rPr>
          <w:sz w:val="24"/>
        </w:rPr>
        <w:t>The</w:t>
      </w:r>
      <w:r>
        <w:rPr>
          <w:spacing w:val="-5"/>
          <w:sz w:val="24"/>
        </w:rPr>
        <w:t> </w:t>
      </w:r>
      <w:r>
        <w:rPr>
          <w:sz w:val="24"/>
        </w:rPr>
        <w:t>BUA</w:t>
      </w:r>
      <w:r>
        <w:rPr>
          <w:spacing w:val="-5"/>
          <w:sz w:val="24"/>
        </w:rPr>
        <w:t> </w:t>
      </w:r>
      <w:r>
        <w:rPr>
          <w:sz w:val="24"/>
        </w:rPr>
        <w:t>of such</w:t>
      </w:r>
      <w:r>
        <w:rPr>
          <w:spacing w:val="-5"/>
          <w:sz w:val="24"/>
        </w:rPr>
        <w:t> </w:t>
      </w:r>
      <w:r>
        <w:rPr>
          <w:sz w:val="24"/>
        </w:rPr>
        <w:t>amenity</w:t>
      </w:r>
      <w:r>
        <w:rPr>
          <w:spacing w:val="-5"/>
          <w:sz w:val="24"/>
        </w:rPr>
        <w:t> </w:t>
      </w:r>
      <w:r>
        <w:rPr>
          <w:sz w:val="24"/>
        </w:rPr>
        <w:t>shall</w:t>
      </w:r>
      <w:r>
        <w:rPr>
          <w:spacing w:val="-5"/>
          <w:sz w:val="24"/>
        </w:rPr>
        <w:t> </w:t>
      </w:r>
      <w:r>
        <w:rPr>
          <w:sz w:val="24"/>
        </w:rPr>
        <w:t>be</w:t>
      </w:r>
      <w:r>
        <w:rPr>
          <w:spacing w:val="-4"/>
          <w:sz w:val="24"/>
        </w:rPr>
        <w:t> </w:t>
      </w:r>
      <w:r>
        <w:rPr>
          <w:sz w:val="24"/>
        </w:rPr>
        <w:t>added</w:t>
      </w:r>
      <w:r>
        <w:rPr>
          <w:spacing w:val="-5"/>
          <w:sz w:val="24"/>
        </w:rPr>
        <w:t> </w:t>
      </w:r>
      <w:r>
        <w:rPr>
          <w:sz w:val="24"/>
        </w:rPr>
        <w:t>to</w:t>
      </w:r>
      <w:r>
        <w:rPr>
          <w:spacing w:val="-5"/>
          <w:sz w:val="24"/>
        </w:rPr>
        <w:t> </w:t>
      </w:r>
      <w:r>
        <w:rPr>
          <w:sz w:val="24"/>
        </w:rPr>
        <w:t>the</w:t>
      </w:r>
      <w:r>
        <w:rPr>
          <w:spacing w:val="-3"/>
          <w:sz w:val="24"/>
        </w:rPr>
        <w:t> </w:t>
      </w:r>
      <w:r>
        <w:rPr>
          <w:sz w:val="24"/>
        </w:rPr>
        <w:t>Rehab</w:t>
      </w:r>
      <w:r>
        <w:rPr>
          <w:spacing w:val="-5"/>
          <w:sz w:val="24"/>
        </w:rPr>
        <w:t> </w:t>
      </w:r>
      <w:r>
        <w:rPr>
          <w:sz w:val="24"/>
        </w:rPr>
        <w:t>component</w:t>
      </w:r>
      <w:r>
        <w:rPr>
          <w:spacing w:val="-5"/>
          <w:sz w:val="24"/>
        </w:rPr>
        <w:t> </w:t>
      </w:r>
      <w:r>
        <w:rPr>
          <w:sz w:val="24"/>
        </w:rPr>
        <w:t>while</w:t>
      </w:r>
      <w:r>
        <w:rPr>
          <w:spacing w:val="-5"/>
          <w:sz w:val="24"/>
        </w:rPr>
        <w:t> </w:t>
      </w:r>
      <w:r>
        <w:rPr>
          <w:sz w:val="24"/>
        </w:rPr>
        <w:t>calculating the share of incentive component.</w:t>
      </w:r>
    </w:p>
    <w:p>
      <w:pPr>
        <w:pStyle w:val="ListParagraph"/>
        <w:numPr>
          <w:ilvl w:val="1"/>
          <w:numId w:val="179"/>
        </w:numPr>
        <w:tabs>
          <w:tab w:pos="3015" w:val="left" w:leader="none"/>
        </w:tabs>
        <w:spacing w:line="278" w:lineRule="auto" w:before="200" w:after="0"/>
        <w:ind w:left="2050" w:right="768" w:firstLine="0"/>
        <w:jc w:val="both"/>
        <w:rPr>
          <w:sz w:val="24"/>
        </w:rPr>
      </w:pPr>
      <w:r>
        <w:rPr>
          <w:sz w:val="24"/>
        </w:rPr>
        <w:t>Premium</w:t>
      </w:r>
      <w:r>
        <w:rPr>
          <w:spacing w:val="-9"/>
          <w:sz w:val="24"/>
        </w:rPr>
        <w:t> </w:t>
      </w:r>
      <w:r>
        <w:rPr>
          <w:sz w:val="24"/>
        </w:rPr>
        <w:t>shall</w:t>
      </w:r>
      <w:r>
        <w:rPr>
          <w:spacing w:val="-7"/>
          <w:sz w:val="24"/>
        </w:rPr>
        <w:t> </w:t>
      </w:r>
      <w:r>
        <w:rPr>
          <w:sz w:val="24"/>
        </w:rPr>
        <w:t>not</w:t>
      </w:r>
      <w:r>
        <w:rPr>
          <w:spacing w:val="-7"/>
          <w:sz w:val="24"/>
        </w:rPr>
        <w:t> </w:t>
      </w:r>
      <w:r>
        <w:rPr>
          <w:sz w:val="24"/>
        </w:rPr>
        <w:t>be</w:t>
      </w:r>
      <w:r>
        <w:rPr>
          <w:spacing w:val="-7"/>
          <w:sz w:val="24"/>
        </w:rPr>
        <w:t> </w:t>
      </w:r>
      <w:r>
        <w:rPr>
          <w:sz w:val="24"/>
        </w:rPr>
        <w:t>charged</w:t>
      </w:r>
      <w:r>
        <w:rPr>
          <w:spacing w:val="-7"/>
          <w:sz w:val="24"/>
        </w:rPr>
        <w:t> </w:t>
      </w:r>
      <w:r>
        <w:rPr>
          <w:sz w:val="24"/>
        </w:rPr>
        <w:t>for</w:t>
      </w:r>
      <w:r>
        <w:rPr>
          <w:spacing w:val="-7"/>
          <w:sz w:val="24"/>
        </w:rPr>
        <w:t> </w:t>
      </w:r>
      <w:r>
        <w:rPr>
          <w:sz w:val="24"/>
        </w:rPr>
        <w:t>exclusion</w:t>
      </w:r>
      <w:r>
        <w:rPr>
          <w:spacing w:val="-7"/>
          <w:sz w:val="24"/>
        </w:rPr>
        <w:t> </w:t>
      </w:r>
      <w:r>
        <w:rPr>
          <w:sz w:val="24"/>
        </w:rPr>
        <w:t>of</w:t>
      </w:r>
      <w:r>
        <w:rPr>
          <w:spacing w:val="-7"/>
          <w:sz w:val="24"/>
        </w:rPr>
        <w:t> </w:t>
      </w:r>
      <w:r>
        <w:rPr>
          <w:sz w:val="24"/>
        </w:rPr>
        <w:t>staircase</w:t>
      </w:r>
      <w:r>
        <w:rPr>
          <w:spacing w:val="-7"/>
          <w:sz w:val="24"/>
        </w:rPr>
        <w:t> </w:t>
      </w:r>
      <w:r>
        <w:rPr>
          <w:sz w:val="24"/>
        </w:rPr>
        <w:t>and</w:t>
      </w:r>
      <w:r>
        <w:rPr>
          <w:spacing w:val="-7"/>
          <w:sz w:val="24"/>
        </w:rPr>
        <w:t> </w:t>
      </w:r>
      <w:r>
        <w:rPr>
          <w:sz w:val="24"/>
        </w:rPr>
        <w:t>lift well etc. as covered under the provisions of Regulation No 31(1)</w:t>
      </w:r>
    </w:p>
    <w:p>
      <w:pPr>
        <w:pStyle w:val="ListParagraph"/>
        <w:numPr>
          <w:ilvl w:val="1"/>
          <w:numId w:val="179"/>
        </w:numPr>
        <w:tabs>
          <w:tab w:pos="3015" w:val="left" w:leader="none"/>
        </w:tabs>
        <w:spacing w:line="276" w:lineRule="auto" w:before="193" w:after="0"/>
        <w:ind w:left="2050" w:right="766" w:firstLine="0"/>
        <w:jc w:val="both"/>
        <w:rPr>
          <w:sz w:val="24"/>
        </w:rPr>
      </w:pPr>
      <w:r>
        <w:rPr>
          <w:sz w:val="24"/>
        </w:rPr>
        <w:t>In</w:t>
      </w:r>
      <w:r>
        <w:rPr>
          <w:spacing w:val="-5"/>
          <w:sz w:val="24"/>
        </w:rPr>
        <w:t> </w:t>
      </w:r>
      <w:r>
        <w:rPr>
          <w:sz w:val="24"/>
        </w:rPr>
        <w:t>order</w:t>
      </w:r>
      <w:r>
        <w:rPr>
          <w:spacing w:val="-5"/>
          <w:sz w:val="24"/>
        </w:rPr>
        <w:t> </w:t>
      </w:r>
      <w:r>
        <w:rPr>
          <w:sz w:val="24"/>
        </w:rPr>
        <w:t>to</w:t>
      </w:r>
      <w:r>
        <w:rPr>
          <w:spacing w:val="-2"/>
          <w:sz w:val="24"/>
        </w:rPr>
        <w:t> </w:t>
      </w:r>
      <w:r>
        <w:rPr>
          <w:sz w:val="24"/>
        </w:rPr>
        <w:t>make</w:t>
      </w:r>
      <w:r>
        <w:rPr>
          <w:spacing w:val="-5"/>
          <w:sz w:val="24"/>
        </w:rPr>
        <w:t> </w:t>
      </w:r>
      <w:r>
        <w:rPr>
          <w:sz w:val="24"/>
        </w:rPr>
        <w:t>the</w:t>
      </w:r>
      <w:r>
        <w:rPr>
          <w:spacing w:val="-5"/>
          <w:sz w:val="24"/>
        </w:rPr>
        <w:t> </w:t>
      </w:r>
      <w:r>
        <w:rPr>
          <w:sz w:val="24"/>
        </w:rPr>
        <w:t>Urban</w:t>
      </w:r>
      <w:r>
        <w:rPr>
          <w:spacing w:val="-5"/>
          <w:sz w:val="24"/>
        </w:rPr>
        <w:t> </w:t>
      </w:r>
      <w:r>
        <w:rPr>
          <w:sz w:val="24"/>
        </w:rPr>
        <w:t>Renewal</w:t>
      </w:r>
      <w:r>
        <w:rPr>
          <w:spacing w:val="-5"/>
          <w:sz w:val="24"/>
        </w:rPr>
        <w:t> </w:t>
      </w:r>
      <w:r>
        <w:rPr>
          <w:sz w:val="24"/>
        </w:rPr>
        <w:t>Scheme</w:t>
      </w:r>
      <w:r>
        <w:rPr>
          <w:spacing w:val="-5"/>
          <w:sz w:val="24"/>
        </w:rPr>
        <w:t> </w:t>
      </w:r>
      <w:r>
        <w:rPr>
          <w:sz w:val="24"/>
        </w:rPr>
        <w:t>viable,</w:t>
      </w:r>
      <w:r>
        <w:rPr>
          <w:spacing w:val="-2"/>
          <w:sz w:val="24"/>
        </w:rPr>
        <w:t> </w:t>
      </w:r>
      <w:r>
        <w:rPr>
          <w:sz w:val="24"/>
        </w:rPr>
        <w:t>the</w:t>
      </w:r>
      <w:r>
        <w:rPr>
          <w:spacing w:val="-5"/>
          <w:sz w:val="24"/>
        </w:rPr>
        <w:t> </w:t>
      </w:r>
      <w:r>
        <w:rPr>
          <w:sz w:val="24"/>
        </w:rPr>
        <w:t>Officer appointed</w:t>
      </w:r>
      <w:r>
        <w:rPr>
          <w:spacing w:val="-12"/>
          <w:sz w:val="24"/>
        </w:rPr>
        <w:t> </w:t>
      </w:r>
      <w:r>
        <w:rPr>
          <w:sz w:val="24"/>
        </w:rPr>
        <w:t>by</w:t>
      </w:r>
      <w:r>
        <w:rPr>
          <w:spacing w:val="-12"/>
          <w:sz w:val="24"/>
        </w:rPr>
        <w:t> </w:t>
      </w:r>
      <w:r>
        <w:rPr>
          <w:sz w:val="24"/>
        </w:rPr>
        <w:t>the</w:t>
      </w:r>
      <w:r>
        <w:rPr>
          <w:spacing w:val="-12"/>
          <w:sz w:val="24"/>
        </w:rPr>
        <w:t> </w:t>
      </w:r>
      <w:r>
        <w:rPr>
          <w:sz w:val="24"/>
        </w:rPr>
        <w:t>Planning</w:t>
      </w:r>
      <w:r>
        <w:rPr>
          <w:spacing w:val="-12"/>
          <w:sz w:val="24"/>
        </w:rPr>
        <w:t> </w:t>
      </w:r>
      <w:r>
        <w:rPr>
          <w:sz w:val="24"/>
        </w:rPr>
        <w:t>Authority</w:t>
      </w:r>
      <w:r>
        <w:rPr>
          <w:spacing w:val="-12"/>
          <w:sz w:val="24"/>
        </w:rPr>
        <w:t> </w:t>
      </w:r>
      <w:r>
        <w:rPr>
          <w:sz w:val="24"/>
        </w:rPr>
        <w:t>shall</w:t>
      </w:r>
      <w:r>
        <w:rPr>
          <w:spacing w:val="-12"/>
          <w:sz w:val="24"/>
        </w:rPr>
        <w:t> </w:t>
      </w:r>
      <w:r>
        <w:rPr>
          <w:sz w:val="24"/>
        </w:rPr>
        <w:t>be</w:t>
      </w:r>
      <w:r>
        <w:rPr>
          <w:spacing w:val="-12"/>
          <w:sz w:val="24"/>
        </w:rPr>
        <w:t> </w:t>
      </w:r>
      <w:r>
        <w:rPr>
          <w:sz w:val="24"/>
        </w:rPr>
        <w:t>competent</w:t>
      </w:r>
      <w:r>
        <w:rPr>
          <w:spacing w:val="-12"/>
          <w:sz w:val="24"/>
        </w:rPr>
        <w:t> </w:t>
      </w:r>
      <w:r>
        <w:rPr>
          <w:sz w:val="24"/>
        </w:rPr>
        <w:t>to</w:t>
      </w:r>
      <w:r>
        <w:rPr>
          <w:spacing w:val="-12"/>
          <w:sz w:val="24"/>
        </w:rPr>
        <w:t> </w:t>
      </w:r>
      <w:r>
        <w:rPr>
          <w:sz w:val="24"/>
        </w:rPr>
        <w:t>sanction</w:t>
      </w:r>
      <w:r>
        <w:rPr>
          <w:spacing w:val="-12"/>
          <w:sz w:val="24"/>
        </w:rPr>
        <w:t> </w:t>
      </w:r>
      <w:r>
        <w:rPr>
          <w:sz w:val="24"/>
        </w:rPr>
        <w:t>any relaxation in marginal open spaces except front marginal open spaces and parking requirements wherever necessary due to </w:t>
      </w:r>
      <w:r>
        <w:rPr>
          <w:sz w:val="24"/>
        </w:rPr>
        <w:t>bonafide hardship, for reasons to be recorded in writing which shall not affect general health, fire and safety requirements. However the Govt. or Empowered Committee shall have the power to relax any of the provisions in these Regulations.</w:t>
      </w:r>
    </w:p>
    <w:p>
      <w:pPr>
        <w:pStyle w:val="ListParagraph"/>
        <w:spacing w:after="0" w:line="276" w:lineRule="auto"/>
        <w:jc w:val="both"/>
        <w:rPr>
          <w:sz w:val="24"/>
        </w:rPr>
        <w:sectPr>
          <w:pgSz w:w="11910" w:h="16840"/>
          <w:pgMar w:header="1065" w:footer="1194" w:top="1500" w:bottom="1380" w:left="360" w:right="360"/>
        </w:sectPr>
      </w:pPr>
    </w:p>
    <w:p>
      <w:pPr>
        <w:pStyle w:val="ListParagraph"/>
        <w:numPr>
          <w:ilvl w:val="1"/>
          <w:numId w:val="179"/>
        </w:numPr>
        <w:tabs>
          <w:tab w:pos="2912" w:val="left" w:leader="none"/>
        </w:tabs>
        <w:spacing w:line="276" w:lineRule="auto" w:before="247" w:after="0"/>
        <w:ind w:left="2050" w:right="767" w:firstLine="0"/>
        <w:jc w:val="both"/>
        <w:rPr>
          <w:sz w:val="24"/>
        </w:rPr>
      </w:pPr>
      <w:r>
        <w:rPr>
          <w:sz w:val="24"/>
        </w:rPr>
        <w:t>All</w:t>
      </w:r>
      <w:r>
        <w:rPr>
          <w:spacing w:val="-16"/>
          <w:sz w:val="24"/>
        </w:rPr>
        <w:t> </w:t>
      </w:r>
      <w:r>
        <w:rPr>
          <w:sz w:val="24"/>
        </w:rPr>
        <w:t>relaxations</w:t>
      </w:r>
      <w:r>
        <w:rPr>
          <w:spacing w:val="-16"/>
          <w:sz w:val="24"/>
        </w:rPr>
        <w:t> </w:t>
      </w:r>
      <w:r>
        <w:rPr>
          <w:sz w:val="24"/>
        </w:rPr>
        <w:t>outlined</w:t>
      </w:r>
      <w:r>
        <w:rPr>
          <w:spacing w:val="-16"/>
          <w:sz w:val="24"/>
        </w:rPr>
        <w:t> </w:t>
      </w:r>
      <w:r>
        <w:rPr>
          <w:sz w:val="24"/>
        </w:rPr>
        <w:t>hereinabove</w:t>
      </w:r>
      <w:r>
        <w:rPr>
          <w:spacing w:val="-16"/>
          <w:sz w:val="24"/>
        </w:rPr>
        <w:t> </w:t>
      </w:r>
      <w:r>
        <w:rPr>
          <w:sz w:val="24"/>
        </w:rPr>
        <w:t>shall</w:t>
      </w:r>
      <w:r>
        <w:rPr>
          <w:spacing w:val="-16"/>
          <w:sz w:val="24"/>
        </w:rPr>
        <w:t> </w:t>
      </w:r>
      <w:r>
        <w:rPr>
          <w:sz w:val="24"/>
        </w:rPr>
        <w:t>be</w:t>
      </w:r>
      <w:r>
        <w:rPr>
          <w:spacing w:val="-16"/>
          <w:sz w:val="24"/>
        </w:rPr>
        <w:t> </w:t>
      </w:r>
      <w:r>
        <w:rPr>
          <w:sz w:val="24"/>
        </w:rPr>
        <w:t>admissible</w:t>
      </w:r>
      <w:r>
        <w:rPr>
          <w:spacing w:val="-16"/>
          <w:sz w:val="24"/>
        </w:rPr>
        <w:t> </w:t>
      </w:r>
      <w:r>
        <w:rPr>
          <w:sz w:val="24"/>
        </w:rPr>
        <w:t>to</w:t>
      </w:r>
      <w:r>
        <w:rPr>
          <w:spacing w:val="-16"/>
          <w:sz w:val="24"/>
        </w:rPr>
        <w:t> </w:t>
      </w:r>
      <w:r>
        <w:rPr>
          <w:sz w:val="24"/>
        </w:rPr>
        <w:t>entire project</w:t>
      </w:r>
      <w:r>
        <w:rPr>
          <w:spacing w:val="-11"/>
          <w:sz w:val="24"/>
        </w:rPr>
        <w:t> </w:t>
      </w:r>
      <w:r>
        <w:rPr>
          <w:sz w:val="24"/>
        </w:rPr>
        <w:t>area</w:t>
      </w:r>
      <w:r>
        <w:rPr>
          <w:spacing w:val="-11"/>
          <w:sz w:val="24"/>
        </w:rPr>
        <w:t> </w:t>
      </w:r>
      <w:r>
        <w:rPr>
          <w:sz w:val="24"/>
        </w:rPr>
        <w:t>under</w:t>
      </w:r>
      <w:r>
        <w:rPr>
          <w:spacing w:val="-11"/>
          <w:sz w:val="24"/>
        </w:rPr>
        <w:t> </w:t>
      </w:r>
      <w:r>
        <w:rPr>
          <w:sz w:val="24"/>
        </w:rPr>
        <w:t>the</w:t>
      </w:r>
      <w:r>
        <w:rPr>
          <w:spacing w:val="-11"/>
          <w:sz w:val="24"/>
        </w:rPr>
        <w:t> </w:t>
      </w:r>
      <w:r>
        <w:rPr>
          <w:sz w:val="24"/>
        </w:rPr>
        <w:t>URS.</w:t>
      </w:r>
      <w:r>
        <w:rPr>
          <w:spacing w:val="-11"/>
          <w:sz w:val="24"/>
        </w:rPr>
        <w:t> </w:t>
      </w:r>
      <w:r>
        <w:rPr>
          <w:sz w:val="24"/>
        </w:rPr>
        <w:t>Premium</w:t>
      </w:r>
      <w:r>
        <w:rPr>
          <w:spacing w:val="-11"/>
          <w:sz w:val="24"/>
        </w:rPr>
        <w:t> </w:t>
      </w:r>
      <w:r>
        <w:rPr>
          <w:sz w:val="24"/>
        </w:rPr>
        <w:t>shall</w:t>
      </w:r>
      <w:r>
        <w:rPr>
          <w:spacing w:val="-11"/>
          <w:sz w:val="24"/>
        </w:rPr>
        <w:t> </w:t>
      </w:r>
      <w:r>
        <w:rPr>
          <w:sz w:val="24"/>
        </w:rPr>
        <w:t>not</w:t>
      </w:r>
      <w:r>
        <w:rPr>
          <w:spacing w:val="-11"/>
          <w:sz w:val="24"/>
        </w:rPr>
        <w:t> </w:t>
      </w:r>
      <w:r>
        <w:rPr>
          <w:sz w:val="24"/>
        </w:rPr>
        <w:t>be</w:t>
      </w:r>
      <w:r>
        <w:rPr>
          <w:spacing w:val="-11"/>
          <w:sz w:val="24"/>
        </w:rPr>
        <w:t> </w:t>
      </w:r>
      <w:r>
        <w:rPr>
          <w:sz w:val="24"/>
        </w:rPr>
        <w:t>charged</w:t>
      </w:r>
      <w:r>
        <w:rPr>
          <w:spacing w:val="-11"/>
          <w:sz w:val="24"/>
        </w:rPr>
        <w:t> </w:t>
      </w:r>
      <w:r>
        <w:rPr>
          <w:sz w:val="24"/>
        </w:rPr>
        <w:t>for</w:t>
      </w:r>
      <w:r>
        <w:rPr>
          <w:spacing w:val="-11"/>
          <w:sz w:val="24"/>
        </w:rPr>
        <w:t> </w:t>
      </w:r>
      <w:r>
        <w:rPr>
          <w:sz w:val="24"/>
        </w:rPr>
        <w:t>all</w:t>
      </w:r>
      <w:r>
        <w:rPr>
          <w:spacing w:val="-11"/>
          <w:sz w:val="24"/>
        </w:rPr>
        <w:t> </w:t>
      </w:r>
      <w:r>
        <w:rPr>
          <w:sz w:val="24"/>
        </w:rPr>
        <w:t>or</w:t>
      </w:r>
      <w:r>
        <w:rPr>
          <w:spacing w:val="-11"/>
          <w:sz w:val="24"/>
        </w:rPr>
        <w:t> </w:t>
      </w:r>
      <w:r>
        <w:rPr>
          <w:sz w:val="24"/>
        </w:rPr>
        <w:t>any of the relaxations given hereinabove or for any other relaxations mentioned in Regulation No 31(1).</w:t>
      </w:r>
    </w:p>
    <w:p>
      <w:pPr>
        <w:pStyle w:val="ListParagraph"/>
        <w:numPr>
          <w:ilvl w:val="1"/>
          <w:numId w:val="179"/>
        </w:numPr>
        <w:tabs>
          <w:tab w:pos="2817" w:val="left" w:leader="none"/>
        </w:tabs>
        <w:spacing w:line="278" w:lineRule="auto" w:before="201" w:after="0"/>
        <w:ind w:left="2050" w:right="772" w:firstLine="0"/>
        <w:jc w:val="both"/>
        <w:rPr>
          <w:sz w:val="24"/>
        </w:rPr>
      </w:pPr>
      <w:r>
        <w:rPr>
          <w:sz w:val="24"/>
        </w:rPr>
        <w:t>The parking in the scheme shall be provided as per Regulation </w:t>
      </w:r>
      <w:r>
        <w:rPr>
          <w:spacing w:val="-2"/>
          <w:sz w:val="24"/>
        </w:rPr>
        <w:t>No.44.</w:t>
      </w:r>
    </w:p>
    <w:p>
      <w:pPr>
        <w:pStyle w:val="ListParagraph"/>
        <w:numPr>
          <w:ilvl w:val="0"/>
          <w:numId w:val="179"/>
        </w:numPr>
        <w:tabs>
          <w:tab w:pos="2050" w:val="left" w:leader="none"/>
          <w:tab w:pos="2427" w:val="left" w:leader="none"/>
        </w:tabs>
        <w:spacing w:line="276" w:lineRule="auto" w:before="194" w:after="0"/>
        <w:ind w:left="2050" w:right="770" w:hanging="20"/>
        <w:jc w:val="both"/>
        <w:rPr>
          <w:sz w:val="24"/>
        </w:rPr>
      </w:pPr>
      <w:r>
        <w:rPr>
          <w:sz w:val="24"/>
        </w:rPr>
        <w:t>The approving / sanctioning authority for the building plans under the URS shall be the</w:t>
      </w:r>
      <w:r>
        <w:rPr>
          <w:spacing w:val="80"/>
          <w:w w:val="150"/>
          <w:sz w:val="24"/>
        </w:rPr>
        <w:t> </w:t>
      </w:r>
      <w:r>
        <w:rPr>
          <w:sz w:val="24"/>
        </w:rPr>
        <w:t>Officer appointed by the Planning Authority as per the MRTP Act, 1966 even if the URS partly consists/of declared slums/slums on Municipal/Govt. lands existing prior to 1st January 2000 or such/other reference date notified by the Government.</w:t>
      </w:r>
    </w:p>
    <w:p>
      <w:pPr>
        <w:pStyle w:val="ListParagraph"/>
        <w:numPr>
          <w:ilvl w:val="0"/>
          <w:numId w:val="179"/>
        </w:numPr>
        <w:tabs>
          <w:tab w:pos="2446" w:val="left" w:leader="none"/>
        </w:tabs>
        <w:spacing w:line="276" w:lineRule="auto" w:before="197" w:after="0"/>
        <w:ind w:left="2050" w:right="769" w:firstLine="0"/>
        <w:jc w:val="both"/>
        <w:rPr>
          <w:sz w:val="24"/>
        </w:rPr>
      </w:pPr>
      <w:r>
        <w:rPr>
          <w:sz w:val="24"/>
        </w:rPr>
        <w:t>Religious structures existing on the site of URS prior to redevelopment, if allowed to be redeveloped in accordance with the guidelines issued by the Government from time to time, shall not, following such redevelopment, have area exceeding their area prior to </w:t>
      </w:r>
      <w:r>
        <w:rPr>
          <w:spacing w:val="-2"/>
          <w:sz w:val="24"/>
        </w:rPr>
        <w:t>redevelopment.</w:t>
      </w:r>
    </w:p>
    <w:p>
      <w:pPr>
        <w:pStyle w:val="ListParagraph"/>
        <w:numPr>
          <w:ilvl w:val="0"/>
          <w:numId w:val="179"/>
        </w:numPr>
        <w:tabs>
          <w:tab w:pos="2050" w:val="left" w:leader="none"/>
          <w:tab w:pos="2427" w:val="left" w:leader="none"/>
        </w:tabs>
        <w:spacing w:line="276" w:lineRule="auto" w:before="205" w:after="0"/>
        <w:ind w:left="2050" w:right="769" w:hanging="20"/>
        <w:jc w:val="both"/>
        <w:rPr>
          <w:sz w:val="24"/>
        </w:rPr>
      </w:pPr>
      <w:r>
        <w:rPr>
          <w:sz w:val="24"/>
        </w:rPr>
        <w:t>Restriction on transfer of tenements shall be governed by the provisions</w:t>
      </w:r>
      <w:r>
        <w:rPr>
          <w:spacing w:val="-7"/>
          <w:sz w:val="24"/>
        </w:rPr>
        <w:t> </w:t>
      </w:r>
      <w:r>
        <w:rPr>
          <w:sz w:val="24"/>
        </w:rPr>
        <w:t>of</w:t>
      </w:r>
      <w:r>
        <w:rPr>
          <w:spacing w:val="-7"/>
          <w:sz w:val="24"/>
        </w:rPr>
        <w:t> </w:t>
      </w:r>
      <w:r>
        <w:rPr>
          <w:sz w:val="24"/>
        </w:rPr>
        <w:t>Maharashtra</w:t>
      </w:r>
      <w:r>
        <w:rPr>
          <w:spacing w:val="-7"/>
          <w:sz w:val="24"/>
        </w:rPr>
        <w:t> </w:t>
      </w:r>
      <w:r>
        <w:rPr>
          <w:sz w:val="24"/>
        </w:rPr>
        <w:t>Rent</w:t>
      </w:r>
      <w:r>
        <w:rPr>
          <w:spacing w:val="-6"/>
          <w:sz w:val="24"/>
        </w:rPr>
        <w:t> </w:t>
      </w:r>
      <w:r>
        <w:rPr>
          <w:sz w:val="24"/>
        </w:rPr>
        <w:t>Control</w:t>
      </w:r>
      <w:r>
        <w:rPr>
          <w:spacing w:val="-7"/>
          <w:sz w:val="24"/>
        </w:rPr>
        <w:t> </w:t>
      </w:r>
      <w:r>
        <w:rPr>
          <w:sz w:val="24"/>
        </w:rPr>
        <w:t>Act,</w:t>
      </w:r>
      <w:r>
        <w:rPr>
          <w:spacing w:val="-7"/>
          <w:sz w:val="24"/>
        </w:rPr>
        <w:t> </w:t>
      </w:r>
      <w:r>
        <w:rPr>
          <w:sz w:val="24"/>
        </w:rPr>
        <w:t>till</w:t>
      </w:r>
      <w:r>
        <w:rPr>
          <w:spacing w:val="-7"/>
          <w:sz w:val="24"/>
        </w:rPr>
        <w:t> </w:t>
      </w:r>
      <w:r>
        <w:rPr>
          <w:sz w:val="24"/>
        </w:rPr>
        <w:t>Co-op.</w:t>
      </w:r>
      <w:r>
        <w:rPr>
          <w:spacing w:val="-7"/>
          <w:sz w:val="24"/>
        </w:rPr>
        <w:t> </w:t>
      </w:r>
      <w:r>
        <w:rPr>
          <w:sz w:val="24"/>
        </w:rPr>
        <w:t>Housing</w:t>
      </w:r>
      <w:r>
        <w:rPr>
          <w:spacing w:val="-7"/>
          <w:sz w:val="24"/>
        </w:rPr>
        <w:t> </w:t>
      </w:r>
      <w:r>
        <w:rPr>
          <w:sz w:val="24"/>
        </w:rPr>
        <w:t>Society is</w:t>
      </w:r>
      <w:r>
        <w:rPr>
          <w:spacing w:val="-1"/>
          <w:sz w:val="24"/>
        </w:rPr>
        <w:t> </w:t>
      </w:r>
      <w:r>
        <w:rPr>
          <w:sz w:val="24"/>
        </w:rPr>
        <w:t>formed</w:t>
      </w:r>
      <w:r>
        <w:rPr>
          <w:spacing w:val="-1"/>
          <w:sz w:val="24"/>
        </w:rPr>
        <w:t> </w:t>
      </w:r>
      <w:r>
        <w:rPr>
          <w:sz w:val="24"/>
        </w:rPr>
        <w:t>and</w:t>
      </w:r>
      <w:r>
        <w:rPr>
          <w:spacing w:val="-1"/>
          <w:sz w:val="24"/>
        </w:rPr>
        <w:t> </w:t>
      </w:r>
      <w:r>
        <w:rPr>
          <w:sz w:val="24"/>
        </w:rPr>
        <w:t>thereafter</w:t>
      </w:r>
      <w:r>
        <w:rPr>
          <w:spacing w:val="-1"/>
          <w:sz w:val="24"/>
        </w:rPr>
        <w:t> </w:t>
      </w:r>
      <w:r>
        <w:rPr>
          <w:sz w:val="24"/>
        </w:rPr>
        <w:t>the</w:t>
      </w:r>
      <w:r>
        <w:rPr>
          <w:spacing w:val="-1"/>
          <w:sz w:val="24"/>
        </w:rPr>
        <w:t> </w:t>
      </w:r>
      <w:r>
        <w:rPr>
          <w:sz w:val="24"/>
        </w:rPr>
        <w:t>same</w:t>
      </w:r>
      <w:r>
        <w:rPr>
          <w:spacing w:val="-1"/>
          <w:sz w:val="24"/>
        </w:rPr>
        <w:t> </w:t>
      </w:r>
      <w:r>
        <w:rPr>
          <w:sz w:val="24"/>
        </w:rPr>
        <w:t>shall</w:t>
      </w:r>
      <w:r>
        <w:rPr>
          <w:spacing w:val="-1"/>
          <w:sz w:val="24"/>
        </w:rPr>
        <w:t> </w:t>
      </w:r>
      <w:r>
        <w:rPr>
          <w:sz w:val="24"/>
        </w:rPr>
        <w:t>be</w:t>
      </w:r>
      <w:r>
        <w:rPr>
          <w:spacing w:val="-1"/>
          <w:sz w:val="24"/>
        </w:rPr>
        <w:t> </w:t>
      </w:r>
      <w:r>
        <w:rPr>
          <w:sz w:val="24"/>
        </w:rPr>
        <w:t>governed</w:t>
      </w:r>
      <w:r>
        <w:rPr>
          <w:spacing w:val="-1"/>
          <w:sz w:val="24"/>
        </w:rPr>
        <w:t> </w:t>
      </w:r>
      <w:r>
        <w:rPr>
          <w:sz w:val="24"/>
        </w:rPr>
        <w:t>by</w:t>
      </w:r>
      <w:r>
        <w:rPr>
          <w:spacing w:val="-1"/>
          <w:sz w:val="24"/>
        </w:rPr>
        <w:t> </w:t>
      </w:r>
      <w:r>
        <w:rPr>
          <w:sz w:val="24"/>
        </w:rPr>
        <w:t>the</w:t>
      </w:r>
      <w:r>
        <w:rPr>
          <w:spacing w:val="-1"/>
          <w:sz w:val="24"/>
        </w:rPr>
        <w:t> </w:t>
      </w:r>
      <w:r>
        <w:rPr>
          <w:sz w:val="24"/>
        </w:rPr>
        <w:t>provision</w:t>
      </w:r>
      <w:r>
        <w:rPr>
          <w:spacing w:val="-1"/>
          <w:sz w:val="24"/>
        </w:rPr>
        <w:t> </w:t>
      </w:r>
      <w:r>
        <w:rPr>
          <w:sz w:val="24"/>
        </w:rPr>
        <w:t>of Maharashtra Co-op. Societies Act. However, tenements constructed for slum rehabilitation shall not be transferable for a period of 10 years. Transfer fee and period for tenants and other beneficiary shall be as decided by Government.</w:t>
      </w:r>
    </w:p>
    <w:p>
      <w:pPr>
        <w:pStyle w:val="ListParagraph"/>
        <w:numPr>
          <w:ilvl w:val="0"/>
          <w:numId w:val="179"/>
        </w:numPr>
        <w:tabs>
          <w:tab w:pos="2050" w:val="left" w:leader="none"/>
          <w:tab w:pos="2427" w:val="left" w:leader="none"/>
        </w:tabs>
        <w:spacing w:line="276" w:lineRule="auto" w:before="199" w:after="0"/>
        <w:ind w:left="2050" w:right="770" w:hanging="20"/>
        <w:jc w:val="both"/>
        <w:rPr>
          <w:sz w:val="24"/>
        </w:rPr>
      </w:pPr>
      <w:r>
        <w:rPr>
          <w:sz w:val="24"/>
        </w:rPr>
        <w:t>CORPUS FUND.—A Corpus fund shall be created by the Planning Authority as directed by the Empowered Committee, which will </w:t>
      </w:r>
      <w:r>
        <w:rPr>
          <w:sz w:val="24"/>
        </w:rPr>
        <w:t>be utilised for maintenance of the rehabilitation buildings for a period of 10 years.</w:t>
      </w:r>
    </w:p>
    <w:p>
      <w:pPr>
        <w:pStyle w:val="ListParagraph"/>
        <w:numPr>
          <w:ilvl w:val="0"/>
          <w:numId w:val="179"/>
        </w:numPr>
        <w:tabs>
          <w:tab w:pos="2434" w:val="left" w:leader="none"/>
        </w:tabs>
        <w:spacing w:line="276" w:lineRule="auto" w:before="200" w:after="0"/>
        <w:ind w:left="2050" w:right="768" w:firstLine="0"/>
        <w:jc w:val="both"/>
        <w:rPr>
          <w:sz w:val="24"/>
        </w:rPr>
      </w:pPr>
      <w:r>
        <w:rPr>
          <w:sz w:val="24"/>
        </w:rPr>
        <w:t>If Empowered Committee as per Govt. GR dated 30/03/2016 approves areas for amenities such as Fire Stations/Hospitals/Police Stations/Schools, etc. other than the reservations/designations under the Development Plan, such amenities shall be handed over to the Planning Authority free of cost and the BUA of such amenity shall be considered</w:t>
      </w:r>
      <w:r>
        <w:rPr>
          <w:spacing w:val="-14"/>
          <w:sz w:val="24"/>
        </w:rPr>
        <w:t> </w:t>
      </w:r>
      <w:r>
        <w:rPr>
          <w:sz w:val="24"/>
        </w:rPr>
        <w:t>towards</w:t>
      </w:r>
      <w:r>
        <w:rPr>
          <w:spacing w:val="-14"/>
          <w:sz w:val="24"/>
        </w:rPr>
        <w:t> </w:t>
      </w:r>
      <w:r>
        <w:rPr>
          <w:sz w:val="24"/>
        </w:rPr>
        <w:t>rehabilitation</w:t>
      </w:r>
      <w:r>
        <w:rPr>
          <w:spacing w:val="-14"/>
          <w:sz w:val="24"/>
        </w:rPr>
        <w:t> </w:t>
      </w:r>
      <w:r>
        <w:rPr>
          <w:sz w:val="24"/>
        </w:rPr>
        <w:t>F.S.I,</w:t>
      </w:r>
      <w:r>
        <w:rPr>
          <w:spacing w:val="-12"/>
          <w:sz w:val="24"/>
        </w:rPr>
        <w:t> </w:t>
      </w:r>
      <w:r>
        <w:rPr>
          <w:sz w:val="24"/>
        </w:rPr>
        <w:t>and</w:t>
      </w:r>
      <w:r>
        <w:rPr>
          <w:spacing w:val="-14"/>
          <w:sz w:val="24"/>
        </w:rPr>
        <w:t> </w:t>
      </w:r>
      <w:r>
        <w:rPr>
          <w:sz w:val="24"/>
        </w:rPr>
        <w:t>Incentive</w:t>
      </w:r>
      <w:r>
        <w:rPr>
          <w:spacing w:val="-14"/>
          <w:sz w:val="24"/>
        </w:rPr>
        <w:t> </w:t>
      </w:r>
      <w:r>
        <w:rPr>
          <w:sz w:val="24"/>
        </w:rPr>
        <w:t>FSI</w:t>
      </w:r>
      <w:r>
        <w:rPr>
          <w:spacing w:val="-12"/>
          <w:sz w:val="24"/>
        </w:rPr>
        <w:t> </w:t>
      </w:r>
      <w:r>
        <w:rPr>
          <w:sz w:val="24"/>
        </w:rPr>
        <w:t>as</w:t>
      </w:r>
      <w:r>
        <w:rPr>
          <w:spacing w:val="-14"/>
          <w:sz w:val="24"/>
        </w:rPr>
        <w:t> </w:t>
      </w:r>
      <w:r>
        <w:rPr>
          <w:sz w:val="24"/>
        </w:rPr>
        <w:t>admissible under this Regulation shall be permissible.</w:t>
      </w:r>
    </w:p>
    <w:p>
      <w:pPr>
        <w:pStyle w:val="ListParagraph"/>
        <w:numPr>
          <w:ilvl w:val="0"/>
          <w:numId w:val="179"/>
        </w:numPr>
        <w:tabs>
          <w:tab w:pos="2781" w:val="left" w:leader="none"/>
        </w:tabs>
        <w:spacing w:line="276" w:lineRule="auto" w:before="200" w:after="0"/>
        <w:ind w:left="2050" w:right="768" w:firstLine="0"/>
        <w:jc w:val="both"/>
        <w:rPr>
          <w:sz w:val="24"/>
        </w:rPr>
      </w:pPr>
      <w:r>
        <w:rPr>
          <w:sz w:val="24"/>
        </w:rPr>
        <w:t>Upon the recommendation by Planning Authority , the Empowered</w:t>
      </w:r>
      <w:r>
        <w:rPr>
          <w:spacing w:val="-7"/>
          <w:sz w:val="24"/>
        </w:rPr>
        <w:t> </w:t>
      </w:r>
      <w:r>
        <w:rPr>
          <w:sz w:val="24"/>
        </w:rPr>
        <w:t>Committee</w:t>
      </w:r>
      <w:r>
        <w:rPr>
          <w:spacing w:val="-7"/>
          <w:sz w:val="24"/>
        </w:rPr>
        <w:t> </w:t>
      </w:r>
      <w:r>
        <w:rPr>
          <w:sz w:val="24"/>
        </w:rPr>
        <w:t>constituted</w:t>
      </w:r>
      <w:r>
        <w:rPr>
          <w:spacing w:val="-7"/>
          <w:sz w:val="24"/>
        </w:rPr>
        <w:t> </w:t>
      </w:r>
      <w:r>
        <w:rPr>
          <w:sz w:val="24"/>
        </w:rPr>
        <w:t>vide</w:t>
      </w:r>
      <w:r>
        <w:rPr>
          <w:spacing w:val="-7"/>
          <w:sz w:val="24"/>
        </w:rPr>
        <w:t> </w:t>
      </w:r>
      <w:r>
        <w:rPr>
          <w:sz w:val="24"/>
        </w:rPr>
        <w:t>GR</w:t>
      </w:r>
      <w:r>
        <w:rPr>
          <w:spacing w:val="-7"/>
          <w:sz w:val="24"/>
        </w:rPr>
        <w:t> </w:t>
      </w:r>
      <w:r>
        <w:rPr>
          <w:sz w:val="24"/>
        </w:rPr>
        <w:t>dated</w:t>
      </w:r>
      <w:r>
        <w:rPr>
          <w:spacing w:val="-7"/>
          <w:sz w:val="24"/>
        </w:rPr>
        <w:t> </w:t>
      </w:r>
      <w:r>
        <w:rPr>
          <w:sz w:val="24"/>
        </w:rPr>
        <w:t>30/03/2016</w:t>
      </w:r>
      <w:r>
        <w:rPr>
          <w:spacing w:val="-7"/>
          <w:sz w:val="24"/>
        </w:rPr>
        <w:t> </w:t>
      </w:r>
      <w:r>
        <w:rPr>
          <w:sz w:val="24"/>
        </w:rPr>
        <w:t>shall</w:t>
      </w:r>
      <w:r>
        <w:rPr>
          <w:spacing w:val="-7"/>
          <w:sz w:val="24"/>
        </w:rPr>
        <w:t> </w:t>
      </w:r>
      <w:r>
        <w:rPr>
          <w:sz w:val="24"/>
        </w:rPr>
        <w:t>be</w:t>
      </w:r>
    </w:p>
    <w:p>
      <w:pPr>
        <w:pStyle w:val="ListParagraph"/>
        <w:spacing w:after="0" w:line="276" w:lineRule="auto"/>
        <w:jc w:val="both"/>
        <w:rPr>
          <w:sz w:val="24"/>
        </w:rPr>
        <w:sectPr>
          <w:pgSz w:w="11910" w:h="16840"/>
          <w:pgMar w:header="1065" w:footer="1194" w:top="1500" w:bottom="1380" w:left="360" w:right="360"/>
        </w:sectPr>
      </w:pPr>
    </w:p>
    <w:p>
      <w:pPr>
        <w:pStyle w:val="BodyText"/>
        <w:spacing w:line="276" w:lineRule="auto" w:before="247"/>
        <w:ind w:left="2050" w:right="766"/>
      </w:pPr>
      <w:r>
        <w:rPr/>
        <w:t>competent to approve the schematic plans of Urban Renewal Schemes under this Regulation. On approval by the Empowered Committee, the Officer appointed by the Planning Authority shall sanction the final plans of URS.</w:t>
      </w:r>
    </w:p>
    <w:p>
      <w:pPr>
        <w:pStyle w:val="BodyText"/>
        <w:spacing w:line="276" w:lineRule="auto" w:before="201"/>
        <w:ind w:left="2050" w:right="770"/>
      </w:pPr>
      <w:r>
        <w:rPr/>
        <w:t>Provided that no Urban Renewal Scheme shall be sanctioned by the Empowered</w:t>
      </w:r>
      <w:r>
        <w:rPr>
          <w:spacing w:val="-19"/>
        </w:rPr>
        <w:t> </w:t>
      </w:r>
      <w:r>
        <w:rPr/>
        <w:t>Committee</w:t>
      </w:r>
      <w:r>
        <w:rPr>
          <w:spacing w:val="-19"/>
        </w:rPr>
        <w:t> </w:t>
      </w:r>
      <w:r>
        <w:rPr/>
        <w:t>as</w:t>
      </w:r>
      <w:r>
        <w:rPr>
          <w:spacing w:val="-19"/>
        </w:rPr>
        <w:t> </w:t>
      </w:r>
      <w:r>
        <w:rPr/>
        <w:t>per</w:t>
      </w:r>
      <w:r>
        <w:rPr>
          <w:spacing w:val="-19"/>
        </w:rPr>
        <w:t> </w:t>
      </w:r>
      <w:r>
        <w:rPr/>
        <w:t>GR</w:t>
      </w:r>
      <w:r>
        <w:rPr>
          <w:spacing w:val="-19"/>
        </w:rPr>
        <w:t> </w:t>
      </w:r>
      <w:r>
        <w:rPr/>
        <w:t>dated</w:t>
      </w:r>
      <w:r>
        <w:rPr>
          <w:spacing w:val="-19"/>
        </w:rPr>
        <w:t> </w:t>
      </w:r>
      <w:r>
        <w:rPr/>
        <w:t>30/03/2016</w:t>
      </w:r>
      <w:r>
        <w:rPr>
          <w:spacing w:val="-17"/>
        </w:rPr>
        <w:t> </w:t>
      </w:r>
      <w:r>
        <w:rPr/>
        <w:t>without</w:t>
      </w:r>
      <w:r>
        <w:rPr>
          <w:spacing w:val="-19"/>
        </w:rPr>
        <w:t> </w:t>
      </w:r>
      <w:r>
        <w:rPr/>
        <w:t>giving</w:t>
      </w:r>
      <w:r>
        <w:rPr>
          <w:spacing w:val="-19"/>
        </w:rPr>
        <w:t> </w:t>
      </w:r>
      <w:r>
        <w:rPr/>
        <w:t>due regard to the Impact Assessment study referred to in clause 1.1 of this </w:t>
      </w:r>
      <w:r>
        <w:rPr>
          <w:spacing w:val="-2"/>
        </w:rPr>
        <w:t>Appendix.</w:t>
      </w:r>
    </w:p>
    <w:p>
      <w:pPr>
        <w:spacing w:before="200"/>
        <w:ind w:left="0" w:right="437" w:firstLine="0"/>
        <w:jc w:val="center"/>
        <w:rPr>
          <w:b/>
          <w:i/>
          <w:sz w:val="24"/>
        </w:rPr>
      </w:pPr>
      <w:r>
        <w:rPr>
          <w:b/>
          <w:sz w:val="24"/>
        </w:rPr>
        <w:t>33</w:t>
      </w:r>
      <w:r>
        <w:rPr>
          <w:b/>
          <w:spacing w:val="59"/>
          <w:sz w:val="24"/>
        </w:rPr>
        <w:t> </w:t>
      </w:r>
      <w:r>
        <w:rPr>
          <w:b/>
          <w:sz w:val="24"/>
        </w:rPr>
        <w:t>(10)</w:t>
      </w:r>
      <w:r>
        <w:rPr>
          <w:b/>
          <w:spacing w:val="62"/>
          <w:sz w:val="24"/>
        </w:rPr>
        <w:t> </w:t>
      </w:r>
      <w:r>
        <w:rPr>
          <w:b/>
          <w:i/>
          <w:sz w:val="24"/>
        </w:rPr>
        <w:t>Redevelopment</w:t>
      </w:r>
      <w:r>
        <w:rPr>
          <w:b/>
          <w:i/>
          <w:spacing w:val="59"/>
          <w:sz w:val="24"/>
        </w:rPr>
        <w:t> </w:t>
      </w:r>
      <w:r>
        <w:rPr>
          <w:b/>
          <w:i/>
          <w:sz w:val="24"/>
        </w:rPr>
        <w:t>for</w:t>
      </w:r>
      <w:r>
        <w:rPr>
          <w:b/>
          <w:i/>
          <w:spacing w:val="64"/>
          <w:sz w:val="24"/>
        </w:rPr>
        <w:t> </w:t>
      </w:r>
      <w:r>
        <w:rPr>
          <w:b/>
          <w:i/>
          <w:sz w:val="24"/>
        </w:rPr>
        <w:t>Rehabilitation</w:t>
      </w:r>
      <w:r>
        <w:rPr>
          <w:b/>
          <w:i/>
          <w:spacing w:val="59"/>
          <w:sz w:val="24"/>
        </w:rPr>
        <w:t> </w:t>
      </w:r>
      <w:r>
        <w:rPr>
          <w:b/>
          <w:i/>
          <w:sz w:val="24"/>
        </w:rPr>
        <w:t>of</w:t>
      </w:r>
      <w:r>
        <w:rPr>
          <w:b/>
          <w:i/>
          <w:spacing w:val="59"/>
          <w:sz w:val="24"/>
        </w:rPr>
        <w:t> </w:t>
      </w:r>
      <w:r>
        <w:rPr>
          <w:b/>
          <w:i/>
          <w:sz w:val="24"/>
        </w:rPr>
        <w:t>Slum</w:t>
      </w:r>
      <w:r>
        <w:rPr>
          <w:b/>
          <w:i/>
          <w:spacing w:val="64"/>
          <w:sz w:val="24"/>
        </w:rPr>
        <w:t> </w:t>
      </w:r>
      <w:r>
        <w:rPr>
          <w:b/>
          <w:i/>
          <w:spacing w:val="7"/>
          <w:sz w:val="24"/>
        </w:rPr>
        <w:t>Dwellers:</w:t>
      </w:r>
    </w:p>
    <w:p>
      <w:pPr>
        <w:pStyle w:val="Heading5"/>
        <w:spacing w:before="242"/>
        <w:ind w:left="2062"/>
        <w:jc w:val="both"/>
        <w:rPr>
          <w:b w:val="0"/>
        </w:rPr>
      </w:pPr>
      <w:r>
        <w:rPr/>
        <w:t>I</w:t>
      </w:r>
      <w:r>
        <w:rPr>
          <w:spacing w:val="74"/>
        </w:rPr>
        <w:t> </w:t>
      </w:r>
      <w:r>
        <w:rPr/>
        <w:t>Eligibility</w:t>
      </w:r>
      <w:r>
        <w:rPr>
          <w:spacing w:val="39"/>
          <w:w w:val="150"/>
        </w:rPr>
        <w:t> </w:t>
      </w:r>
      <w:r>
        <w:rPr/>
        <w:t>for</w:t>
      </w:r>
      <w:r>
        <w:rPr>
          <w:spacing w:val="73"/>
        </w:rPr>
        <w:t> </w:t>
      </w:r>
      <w:r>
        <w:rPr/>
        <w:t>redevelopment</w:t>
      </w:r>
      <w:r>
        <w:rPr>
          <w:spacing w:val="74"/>
        </w:rPr>
        <w:t> </w:t>
      </w:r>
      <w:r>
        <w:rPr>
          <w:spacing w:val="7"/>
        </w:rPr>
        <w:t>scheme</w:t>
      </w:r>
      <w:r>
        <w:rPr>
          <w:b w:val="0"/>
          <w:spacing w:val="7"/>
        </w:rPr>
        <w:t>:</w:t>
      </w:r>
    </w:p>
    <w:p>
      <w:pPr>
        <w:pStyle w:val="ListParagraph"/>
        <w:numPr>
          <w:ilvl w:val="0"/>
          <w:numId w:val="180"/>
        </w:numPr>
        <w:tabs>
          <w:tab w:pos="2437" w:val="left" w:leader="none"/>
        </w:tabs>
        <w:spacing w:line="240" w:lineRule="auto" w:before="241" w:after="0"/>
        <w:ind w:left="2062" w:right="769" w:firstLine="0"/>
        <w:jc w:val="both"/>
        <w:rPr>
          <w:sz w:val="24"/>
        </w:rPr>
      </w:pPr>
      <w:r>
        <w:rPr>
          <w:sz w:val="24"/>
        </w:rPr>
        <w:t>A person eligible for redevelopment scheme shall mean a protected occupier as defined in Chapter IB of Maharashtra Slums Areas (Improvement, Clearance and Redevelopment) Act, 1971 as amended time</w:t>
      </w:r>
      <w:r>
        <w:rPr>
          <w:spacing w:val="-15"/>
          <w:sz w:val="24"/>
        </w:rPr>
        <w:t> </w:t>
      </w:r>
      <w:r>
        <w:rPr>
          <w:sz w:val="24"/>
        </w:rPr>
        <w:t>to</w:t>
      </w:r>
      <w:r>
        <w:rPr>
          <w:spacing w:val="-15"/>
          <w:sz w:val="24"/>
        </w:rPr>
        <w:t> </w:t>
      </w:r>
      <w:r>
        <w:rPr>
          <w:sz w:val="24"/>
        </w:rPr>
        <w:t>time,</w:t>
      </w:r>
      <w:r>
        <w:rPr>
          <w:spacing w:val="-15"/>
          <w:sz w:val="24"/>
        </w:rPr>
        <w:t> </w:t>
      </w:r>
      <w:r>
        <w:rPr>
          <w:sz w:val="24"/>
        </w:rPr>
        <w:t>hereinafter</w:t>
      </w:r>
      <w:r>
        <w:rPr>
          <w:spacing w:val="-15"/>
          <w:sz w:val="24"/>
        </w:rPr>
        <w:t> </w:t>
      </w:r>
      <w:r>
        <w:rPr>
          <w:sz w:val="24"/>
        </w:rPr>
        <w:t>referred</w:t>
      </w:r>
      <w:r>
        <w:rPr>
          <w:spacing w:val="-15"/>
          <w:sz w:val="24"/>
        </w:rPr>
        <w:t> </w:t>
      </w:r>
      <w:r>
        <w:rPr>
          <w:sz w:val="24"/>
        </w:rPr>
        <w:t>to</w:t>
      </w:r>
      <w:r>
        <w:rPr>
          <w:spacing w:val="-15"/>
          <w:sz w:val="24"/>
        </w:rPr>
        <w:t> </w:t>
      </w:r>
      <w:r>
        <w:rPr>
          <w:sz w:val="24"/>
        </w:rPr>
        <w:t>as</w:t>
      </w:r>
      <w:r>
        <w:rPr>
          <w:spacing w:val="-15"/>
          <w:sz w:val="24"/>
        </w:rPr>
        <w:t> </w:t>
      </w:r>
      <w:r>
        <w:rPr>
          <w:sz w:val="24"/>
        </w:rPr>
        <w:t>Slum</w:t>
      </w:r>
      <w:r>
        <w:rPr>
          <w:spacing w:val="-15"/>
          <w:sz w:val="24"/>
        </w:rPr>
        <w:t> </w:t>
      </w:r>
      <w:r>
        <w:rPr>
          <w:sz w:val="24"/>
        </w:rPr>
        <w:t>Act</w:t>
      </w:r>
      <w:r>
        <w:rPr>
          <w:spacing w:val="-15"/>
          <w:sz w:val="24"/>
        </w:rPr>
        <w:t> </w:t>
      </w:r>
      <w:r>
        <w:rPr>
          <w:sz w:val="24"/>
        </w:rPr>
        <w:t>and</w:t>
      </w:r>
      <w:r>
        <w:rPr>
          <w:spacing w:val="-15"/>
          <w:sz w:val="24"/>
        </w:rPr>
        <w:t> </w:t>
      </w:r>
      <w:r>
        <w:rPr>
          <w:sz w:val="24"/>
        </w:rPr>
        <w:t>orders</w:t>
      </w:r>
      <w:r>
        <w:rPr>
          <w:spacing w:val="-15"/>
          <w:sz w:val="24"/>
        </w:rPr>
        <w:t> </w:t>
      </w:r>
      <w:r>
        <w:rPr>
          <w:sz w:val="24"/>
        </w:rPr>
        <w:t>issued</w:t>
      </w:r>
      <w:r>
        <w:rPr>
          <w:spacing w:val="-15"/>
          <w:sz w:val="24"/>
        </w:rPr>
        <w:t> </w:t>
      </w:r>
      <w:r>
        <w:rPr>
          <w:sz w:val="24"/>
        </w:rPr>
        <w:t>there </w:t>
      </w:r>
      <w:r>
        <w:rPr>
          <w:spacing w:val="-2"/>
          <w:sz w:val="24"/>
        </w:rPr>
        <w:t>under.</w:t>
      </w:r>
    </w:p>
    <w:p>
      <w:pPr>
        <w:pStyle w:val="ListParagraph"/>
        <w:numPr>
          <w:ilvl w:val="0"/>
          <w:numId w:val="180"/>
        </w:numPr>
        <w:tabs>
          <w:tab w:pos="2363" w:val="left" w:leader="none"/>
        </w:tabs>
        <w:spacing w:line="240" w:lineRule="auto" w:before="240" w:after="0"/>
        <w:ind w:left="2062" w:right="768" w:firstLine="0"/>
        <w:jc w:val="both"/>
        <w:rPr>
          <w:sz w:val="24"/>
        </w:rPr>
      </w:pPr>
      <w:r>
        <w:rPr>
          <w:sz w:val="24"/>
        </w:rPr>
        <w:t>Subject to the foregoing provisions, only the actual occupants of the hutment shall be held eligible, and the so-called structure-owner other than the actual occupant if any, even if his name is shown in the electoral roll for the structure, shall have no right whatsoever to the reconstructed tenement against that structure.</w:t>
      </w:r>
    </w:p>
    <w:p>
      <w:pPr>
        <w:pStyle w:val="Heading5"/>
        <w:numPr>
          <w:ilvl w:val="0"/>
          <w:numId w:val="181"/>
        </w:numPr>
        <w:tabs>
          <w:tab w:pos="2335" w:val="left" w:leader="none"/>
        </w:tabs>
        <w:spacing w:line="240" w:lineRule="auto" w:before="241" w:after="0"/>
        <w:ind w:left="2335" w:right="0" w:hanging="273"/>
        <w:jc w:val="both"/>
        <w:rPr>
          <w:b w:val="0"/>
        </w:rPr>
      </w:pPr>
      <w:r>
        <w:rPr/>
        <w:t>Definition</w:t>
      </w:r>
      <w:r>
        <w:rPr>
          <w:spacing w:val="-3"/>
        </w:rPr>
        <w:t> </w:t>
      </w:r>
      <w:r>
        <w:rPr/>
        <w:t>of</w:t>
      </w:r>
      <w:r>
        <w:rPr>
          <w:spacing w:val="-3"/>
        </w:rPr>
        <w:t> </w:t>
      </w:r>
      <w:r>
        <w:rPr/>
        <w:t>Slum,</w:t>
      </w:r>
      <w:r>
        <w:rPr>
          <w:spacing w:val="-3"/>
        </w:rPr>
        <w:t> </w:t>
      </w:r>
      <w:r>
        <w:rPr/>
        <w:t>Pavement,</w:t>
      </w:r>
      <w:r>
        <w:rPr>
          <w:spacing w:val="-2"/>
        </w:rPr>
        <w:t> </w:t>
      </w:r>
      <w:r>
        <w:rPr/>
        <w:t>and</w:t>
      </w:r>
      <w:r>
        <w:rPr>
          <w:spacing w:val="-3"/>
        </w:rPr>
        <w:t> </w:t>
      </w:r>
      <w:r>
        <w:rPr/>
        <w:t>Structure</w:t>
      </w:r>
      <w:r>
        <w:rPr>
          <w:spacing w:val="-3"/>
        </w:rPr>
        <w:t> </w:t>
      </w:r>
      <w:r>
        <w:rPr/>
        <w:t>of</w:t>
      </w:r>
      <w:r>
        <w:rPr>
          <w:spacing w:val="-2"/>
        </w:rPr>
        <w:t> </w:t>
      </w:r>
      <w:r>
        <w:rPr>
          <w:spacing w:val="-4"/>
        </w:rPr>
        <w:t>hut</w:t>
      </w:r>
      <w:r>
        <w:rPr>
          <w:b w:val="0"/>
          <w:spacing w:val="-4"/>
        </w:rPr>
        <w:t>:</w:t>
      </w:r>
    </w:p>
    <w:p>
      <w:pPr>
        <w:pStyle w:val="ListParagraph"/>
        <w:numPr>
          <w:ilvl w:val="1"/>
          <w:numId w:val="181"/>
        </w:numPr>
        <w:tabs>
          <w:tab w:pos="2380" w:val="left" w:leader="none"/>
        </w:tabs>
        <w:spacing w:line="240" w:lineRule="auto" w:before="239" w:after="0"/>
        <w:ind w:left="2062" w:right="769" w:firstLine="0"/>
        <w:jc w:val="both"/>
        <w:rPr>
          <w:sz w:val="24"/>
        </w:rPr>
      </w:pPr>
      <w:r>
        <w:rPr>
          <w:sz w:val="24"/>
        </w:rPr>
        <w:t>Slums shall mean those censused, or declared and notified, in the past or hereafter under the Slum Act. Slum shall also mean area/pavement</w:t>
      </w:r>
      <w:r>
        <w:rPr>
          <w:spacing w:val="-8"/>
          <w:sz w:val="24"/>
        </w:rPr>
        <w:t> </w:t>
      </w:r>
      <w:r>
        <w:rPr>
          <w:sz w:val="24"/>
        </w:rPr>
        <w:t>stretches</w:t>
      </w:r>
      <w:r>
        <w:rPr>
          <w:spacing w:val="-8"/>
          <w:sz w:val="24"/>
        </w:rPr>
        <w:t> </w:t>
      </w:r>
      <w:r>
        <w:rPr>
          <w:sz w:val="24"/>
        </w:rPr>
        <w:t>hereafter</w:t>
      </w:r>
      <w:r>
        <w:rPr>
          <w:spacing w:val="-8"/>
          <w:sz w:val="24"/>
        </w:rPr>
        <w:t> </w:t>
      </w:r>
      <w:r>
        <w:rPr>
          <w:sz w:val="24"/>
        </w:rPr>
        <w:t>notified</w:t>
      </w:r>
      <w:r>
        <w:rPr>
          <w:spacing w:val="-8"/>
          <w:sz w:val="24"/>
        </w:rPr>
        <w:t> </w:t>
      </w:r>
      <w:r>
        <w:rPr>
          <w:sz w:val="24"/>
        </w:rPr>
        <w:t>or</w:t>
      </w:r>
      <w:r>
        <w:rPr>
          <w:spacing w:val="-8"/>
          <w:sz w:val="24"/>
        </w:rPr>
        <w:t> </w:t>
      </w:r>
      <w:r>
        <w:rPr>
          <w:sz w:val="24"/>
        </w:rPr>
        <w:t>deemed</w:t>
      </w:r>
      <w:r>
        <w:rPr>
          <w:spacing w:val="-8"/>
          <w:sz w:val="24"/>
        </w:rPr>
        <w:t> </w:t>
      </w:r>
      <w:r>
        <w:rPr>
          <w:sz w:val="24"/>
        </w:rPr>
        <w:t>to</w:t>
      </w:r>
      <w:r>
        <w:rPr>
          <w:spacing w:val="-8"/>
          <w:sz w:val="24"/>
        </w:rPr>
        <w:t> </w:t>
      </w:r>
      <w:r>
        <w:rPr>
          <w:sz w:val="24"/>
        </w:rPr>
        <w:t>be</w:t>
      </w:r>
      <w:r>
        <w:rPr>
          <w:spacing w:val="-8"/>
          <w:sz w:val="24"/>
        </w:rPr>
        <w:t> </w:t>
      </w:r>
      <w:r>
        <w:rPr>
          <w:sz w:val="24"/>
        </w:rPr>
        <w:t>and</w:t>
      </w:r>
      <w:r>
        <w:rPr>
          <w:spacing w:val="-8"/>
          <w:sz w:val="24"/>
        </w:rPr>
        <w:t> </w:t>
      </w:r>
      <w:r>
        <w:rPr>
          <w:sz w:val="24"/>
        </w:rPr>
        <w:t>treated as Slum Rehabilitation Areas.</w:t>
      </w:r>
    </w:p>
    <w:p>
      <w:pPr>
        <w:pStyle w:val="ListParagraph"/>
        <w:numPr>
          <w:ilvl w:val="1"/>
          <w:numId w:val="181"/>
        </w:numPr>
        <w:tabs>
          <w:tab w:pos="2447" w:val="left" w:leader="none"/>
        </w:tabs>
        <w:spacing w:line="240" w:lineRule="auto" w:before="241" w:after="0"/>
        <w:ind w:left="2062" w:right="767" w:firstLine="0"/>
        <w:jc w:val="both"/>
        <w:rPr>
          <w:sz w:val="24"/>
        </w:rPr>
      </w:pPr>
      <w:r>
        <w:rPr>
          <w:sz w:val="24"/>
        </w:rPr>
        <w:t>If any area fulfils the condition laid down in section 4 of the Slum Act, to qualify as slum area and has been censused or declared and notified</w:t>
      </w:r>
      <w:r>
        <w:rPr>
          <w:spacing w:val="-16"/>
          <w:sz w:val="24"/>
        </w:rPr>
        <w:t> </w:t>
      </w:r>
      <w:r>
        <w:rPr>
          <w:sz w:val="24"/>
        </w:rPr>
        <w:t>shall</w:t>
      </w:r>
      <w:r>
        <w:rPr>
          <w:spacing w:val="-16"/>
          <w:sz w:val="24"/>
        </w:rPr>
        <w:t> </w:t>
      </w:r>
      <w:r>
        <w:rPr>
          <w:sz w:val="24"/>
        </w:rPr>
        <w:t>be</w:t>
      </w:r>
      <w:r>
        <w:rPr>
          <w:spacing w:val="-16"/>
          <w:sz w:val="24"/>
        </w:rPr>
        <w:t> </w:t>
      </w:r>
      <w:r>
        <w:rPr>
          <w:sz w:val="24"/>
        </w:rPr>
        <w:t>deemed</w:t>
      </w:r>
      <w:r>
        <w:rPr>
          <w:spacing w:val="-16"/>
          <w:sz w:val="24"/>
        </w:rPr>
        <w:t> </w:t>
      </w:r>
      <w:r>
        <w:rPr>
          <w:sz w:val="24"/>
        </w:rPr>
        <w:t>to</w:t>
      </w:r>
      <w:r>
        <w:rPr>
          <w:spacing w:val="-16"/>
          <w:sz w:val="24"/>
        </w:rPr>
        <w:t> </w:t>
      </w:r>
      <w:r>
        <w:rPr>
          <w:sz w:val="24"/>
        </w:rPr>
        <w:t>be</w:t>
      </w:r>
      <w:r>
        <w:rPr>
          <w:spacing w:val="-16"/>
          <w:sz w:val="24"/>
        </w:rPr>
        <w:t> </w:t>
      </w:r>
      <w:r>
        <w:rPr>
          <w:sz w:val="24"/>
        </w:rPr>
        <w:t>and</w:t>
      </w:r>
      <w:r>
        <w:rPr>
          <w:spacing w:val="-19"/>
          <w:sz w:val="24"/>
        </w:rPr>
        <w:t> </w:t>
      </w:r>
      <w:r>
        <w:rPr>
          <w:sz w:val="24"/>
        </w:rPr>
        <w:t>treated</w:t>
      </w:r>
      <w:r>
        <w:rPr>
          <w:spacing w:val="-15"/>
          <w:sz w:val="24"/>
        </w:rPr>
        <w:t> </w:t>
      </w:r>
      <w:r>
        <w:rPr>
          <w:sz w:val="24"/>
        </w:rPr>
        <w:t>as</w:t>
      </w:r>
      <w:r>
        <w:rPr>
          <w:spacing w:val="-16"/>
          <w:sz w:val="24"/>
        </w:rPr>
        <w:t> </w:t>
      </w:r>
      <w:r>
        <w:rPr>
          <w:sz w:val="24"/>
        </w:rPr>
        <w:t>Slum</w:t>
      </w:r>
      <w:r>
        <w:rPr>
          <w:spacing w:val="-16"/>
          <w:sz w:val="24"/>
        </w:rPr>
        <w:t> </w:t>
      </w:r>
      <w:r>
        <w:rPr>
          <w:sz w:val="24"/>
        </w:rPr>
        <w:t>Rehabilitation</w:t>
      </w:r>
      <w:r>
        <w:rPr>
          <w:spacing w:val="-16"/>
          <w:sz w:val="24"/>
        </w:rPr>
        <w:t> </w:t>
      </w:r>
      <w:r>
        <w:rPr>
          <w:sz w:val="24"/>
        </w:rPr>
        <w:t>Areas.</w:t>
      </w:r>
    </w:p>
    <w:p>
      <w:pPr>
        <w:pStyle w:val="ListParagraph"/>
        <w:numPr>
          <w:ilvl w:val="1"/>
          <w:numId w:val="181"/>
        </w:numPr>
        <w:tabs>
          <w:tab w:pos="2490" w:val="left" w:leader="none"/>
        </w:tabs>
        <w:spacing w:line="240" w:lineRule="auto" w:before="240" w:after="0"/>
        <w:ind w:left="2062" w:right="770" w:firstLine="0"/>
        <w:jc w:val="both"/>
        <w:rPr>
          <w:sz w:val="24"/>
        </w:rPr>
      </w:pPr>
      <w:r>
        <w:rPr>
          <w:sz w:val="24"/>
        </w:rPr>
        <w:t>Slum</w:t>
      </w:r>
      <w:r>
        <w:rPr>
          <w:spacing w:val="-10"/>
          <w:sz w:val="24"/>
        </w:rPr>
        <w:t> </w:t>
      </w:r>
      <w:r>
        <w:rPr>
          <w:sz w:val="24"/>
        </w:rPr>
        <w:t>Rehabilitation</w:t>
      </w:r>
      <w:r>
        <w:rPr>
          <w:spacing w:val="-10"/>
          <w:sz w:val="24"/>
        </w:rPr>
        <w:t> </w:t>
      </w:r>
      <w:r>
        <w:rPr>
          <w:sz w:val="24"/>
        </w:rPr>
        <w:t>area</w:t>
      </w:r>
      <w:r>
        <w:rPr>
          <w:spacing w:val="-10"/>
          <w:sz w:val="24"/>
        </w:rPr>
        <w:t> </w:t>
      </w:r>
      <w:r>
        <w:rPr>
          <w:sz w:val="24"/>
        </w:rPr>
        <w:t>shall</w:t>
      </w:r>
      <w:r>
        <w:rPr>
          <w:spacing w:val="-10"/>
          <w:sz w:val="24"/>
        </w:rPr>
        <w:t> </w:t>
      </w:r>
      <w:r>
        <w:rPr>
          <w:sz w:val="24"/>
        </w:rPr>
        <w:t>also</w:t>
      </w:r>
      <w:r>
        <w:rPr>
          <w:spacing w:val="-10"/>
          <w:sz w:val="24"/>
        </w:rPr>
        <w:t> </w:t>
      </w:r>
      <w:r>
        <w:rPr>
          <w:sz w:val="24"/>
        </w:rPr>
        <w:t>mean</w:t>
      </w:r>
      <w:r>
        <w:rPr>
          <w:spacing w:val="-10"/>
          <w:sz w:val="24"/>
        </w:rPr>
        <w:t> </w:t>
      </w:r>
      <w:r>
        <w:rPr>
          <w:sz w:val="24"/>
        </w:rPr>
        <w:t>any</w:t>
      </w:r>
      <w:r>
        <w:rPr>
          <w:spacing w:val="-10"/>
          <w:sz w:val="24"/>
        </w:rPr>
        <w:t> </w:t>
      </w:r>
      <w:r>
        <w:rPr>
          <w:sz w:val="24"/>
        </w:rPr>
        <w:t>area</w:t>
      </w:r>
      <w:r>
        <w:rPr>
          <w:spacing w:val="-10"/>
          <w:sz w:val="24"/>
        </w:rPr>
        <w:t> </w:t>
      </w:r>
      <w:r>
        <w:rPr>
          <w:sz w:val="24"/>
        </w:rPr>
        <w:t>declared</w:t>
      </w:r>
      <w:r>
        <w:rPr>
          <w:spacing w:val="-10"/>
          <w:sz w:val="24"/>
        </w:rPr>
        <w:t> </w:t>
      </w:r>
      <w:r>
        <w:rPr>
          <w:sz w:val="24"/>
        </w:rPr>
        <w:t>as</w:t>
      </w:r>
      <w:r>
        <w:rPr>
          <w:spacing w:val="-10"/>
          <w:sz w:val="24"/>
        </w:rPr>
        <w:t> </w:t>
      </w:r>
      <w:r>
        <w:rPr>
          <w:sz w:val="24"/>
        </w:rPr>
        <w:t>such by the SRA though preferably fulfilling conditions laid down in section</w:t>
      </w:r>
    </w:p>
    <w:p>
      <w:pPr>
        <w:pStyle w:val="BodyText"/>
        <w:spacing w:before="1"/>
        <w:ind w:left="2062" w:right="769"/>
      </w:pPr>
      <w:r>
        <w:rPr/>
        <w:t>4 of the Slum Act, to qualify as slum area and/or required for implementation of any slum rehabilitation project. Any area where a project</w:t>
      </w:r>
      <w:r>
        <w:rPr>
          <w:spacing w:val="-4"/>
        </w:rPr>
        <w:t> </w:t>
      </w:r>
      <w:r>
        <w:rPr/>
        <w:t>under</w:t>
      </w:r>
      <w:r>
        <w:rPr>
          <w:spacing w:val="-4"/>
        </w:rPr>
        <w:t> </w:t>
      </w:r>
      <w:r>
        <w:rPr/>
        <w:t>Slum</w:t>
      </w:r>
      <w:r>
        <w:rPr>
          <w:spacing w:val="-2"/>
        </w:rPr>
        <w:t> </w:t>
      </w:r>
      <w:r>
        <w:rPr/>
        <w:t>Rehabilitation</w:t>
      </w:r>
      <w:r>
        <w:rPr>
          <w:spacing w:val="-4"/>
        </w:rPr>
        <w:t> </w:t>
      </w:r>
      <w:r>
        <w:rPr/>
        <w:t>Scheme</w:t>
      </w:r>
      <w:r>
        <w:rPr>
          <w:spacing w:val="-4"/>
        </w:rPr>
        <w:t> </w:t>
      </w:r>
      <w:r>
        <w:rPr/>
        <w:t>(SRS)</w:t>
      </w:r>
      <w:r>
        <w:rPr>
          <w:spacing w:val="-4"/>
        </w:rPr>
        <w:t> </w:t>
      </w:r>
      <w:r>
        <w:rPr/>
        <w:t>has</w:t>
      </w:r>
      <w:r>
        <w:rPr>
          <w:spacing w:val="-4"/>
        </w:rPr>
        <w:t> </w:t>
      </w:r>
      <w:r>
        <w:rPr/>
        <w:t>been</w:t>
      </w:r>
      <w:r>
        <w:rPr>
          <w:spacing w:val="-2"/>
        </w:rPr>
        <w:t> </w:t>
      </w:r>
      <w:r>
        <w:rPr/>
        <w:t>approved</w:t>
      </w:r>
      <w:r>
        <w:rPr>
          <w:spacing w:val="-4"/>
        </w:rPr>
        <w:t> </w:t>
      </w:r>
      <w:r>
        <w:rPr/>
        <w:t>by CEO, SRA shall be a deemed slum rehabilitation area.</w:t>
      </w:r>
    </w:p>
    <w:p>
      <w:pPr>
        <w:pStyle w:val="ListParagraph"/>
        <w:numPr>
          <w:ilvl w:val="1"/>
          <w:numId w:val="181"/>
        </w:numPr>
        <w:tabs>
          <w:tab w:pos="2781" w:val="left" w:leader="none"/>
        </w:tabs>
        <w:spacing w:line="240" w:lineRule="auto" w:before="239" w:after="0"/>
        <w:ind w:left="2062" w:right="772" w:firstLine="0"/>
        <w:jc w:val="both"/>
        <w:rPr>
          <w:sz w:val="24"/>
        </w:rPr>
      </w:pPr>
      <w:r>
        <w:rPr>
          <w:sz w:val="24"/>
        </w:rPr>
        <w:t>Any area required or proposed for the purpose of construction of temporary or permanent transit camps and so approved by the SRA shall</w:t>
      </w:r>
      <w:r>
        <w:rPr>
          <w:spacing w:val="20"/>
          <w:sz w:val="24"/>
        </w:rPr>
        <w:t> </w:t>
      </w:r>
      <w:r>
        <w:rPr>
          <w:sz w:val="24"/>
        </w:rPr>
        <w:t>also</w:t>
      </w:r>
      <w:r>
        <w:rPr>
          <w:spacing w:val="20"/>
          <w:sz w:val="24"/>
        </w:rPr>
        <w:t> </w:t>
      </w:r>
      <w:r>
        <w:rPr>
          <w:sz w:val="24"/>
        </w:rPr>
        <w:t>be</w:t>
      </w:r>
      <w:r>
        <w:rPr>
          <w:spacing w:val="20"/>
          <w:sz w:val="24"/>
        </w:rPr>
        <w:t> </w:t>
      </w:r>
      <w:r>
        <w:rPr>
          <w:sz w:val="24"/>
        </w:rPr>
        <w:t>deemed</w:t>
      </w:r>
      <w:r>
        <w:rPr>
          <w:spacing w:val="20"/>
          <w:sz w:val="24"/>
        </w:rPr>
        <w:t> </w:t>
      </w:r>
      <w:r>
        <w:rPr>
          <w:sz w:val="24"/>
        </w:rPr>
        <w:t>to</w:t>
      </w:r>
      <w:r>
        <w:rPr>
          <w:spacing w:val="20"/>
          <w:sz w:val="24"/>
        </w:rPr>
        <w:t> </w:t>
      </w:r>
      <w:r>
        <w:rPr>
          <w:sz w:val="24"/>
        </w:rPr>
        <w:t>be</w:t>
      </w:r>
      <w:r>
        <w:rPr>
          <w:spacing w:val="20"/>
          <w:sz w:val="24"/>
        </w:rPr>
        <w:t> </w:t>
      </w:r>
      <w:r>
        <w:rPr>
          <w:sz w:val="24"/>
        </w:rPr>
        <w:t>and</w:t>
      </w:r>
      <w:r>
        <w:rPr>
          <w:spacing w:val="20"/>
          <w:sz w:val="24"/>
        </w:rPr>
        <w:t> </w:t>
      </w:r>
      <w:r>
        <w:rPr>
          <w:sz w:val="24"/>
        </w:rPr>
        <w:t>treated</w:t>
      </w:r>
      <w:r>
        <w:rPr>
          <w:spacing w:val="20"/>
          <w:sz w:val="24"/>
        </w:rPr>
        <w:t> </w:t>
      </w:r>
      <w:r>
        <w:rPr>
          <w:sz w:val="24"/>
        </w:rPr>
        <w:t>as</w:t>
      </w:r>
      <w:r>
        <w:rPr>
          <w:spacing w:val="20"/>
          <w:sz w:val="24"/>
        </w:rPr>
        <w:t> </w:t>
      </w:r>
      <w:r>
        <w:rPr>
          <w:sz w:val="24"/>
        </w:rPr>
        <w:t>Slum</w:t>
      </w:r>
      <w:r>
        <w:rPr>
          <w:spacing w:val="20"/>
          <w:sz w:val="24"/>
        </w:rPr>
        <w:t> </w:t>
      </w:r>
      <w:r>
        <w:rPr>
          <w:sz w:val="24"/>
        </w:rPr>
        <w:t>Rehabilitation</w:t>
      </w:r>
      <w:r>
        <w:rPr>
          <w:spacing w:val="20"/>
          <w:sz w:val="24"/>
        </w:rPr>
        <w:t> </w:t>
      </w:r>
      <w:r>
        <w:rPr>
          <w:sz w:val="24"/>
        </w:rPr>
        <w:t>Areas,</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66"/>
      </w:pPr>
      <w:r>
        <w:rPr/>
        <w:t>and projects approved in such areas by the SRA shall be deemed to be Slum Rehabilitation Projects.</w:t>
      </w:r>
    </w:p>
    <w:p>
      <w:pPr>
        <w:pStyle w:val="ListParagraph"/>
        <w:numPr>
          <w:ilvl w:val="1"/>
          <w:numId w:val="181"/>
        </w:numPr>
        <w:tabs>
          <w:tab w:pos="2781" w:val="left" w:leader="none"/>
        </w:tabs>
        <w:spacing w:line="240" w:lineRule="auto" w:before="241" w:after="0"/>
        <w:ind w:left="2062" w:right="768" w:firstLine="0"/>
        <w:jc w:val="both"/>
        <w:rPr>
          <w:sz w:val="24"/>
        </w:rPr>
      </w:pPr>
      <w:r>
        <w:rPr>
          <w:sz w:val="24"/>
        </w:rPr>
        <w:t>A pavement shall mean any Municipal/Govt. /Semi-Govt. pavement,</w:t>
      </w:r>
      <w:r>
        <w:rPr>
          <w:spacing w:val="-3"/>
          <w:sz w:val="24"/>
        </w:rPr>
        <w:t> </w:t>
      </w:r>
      <w:r>
        <w:rPr>
          <w:sz w:val="24"/>
        </w:rPr>
        <w:t>and</w:t>
      </w:r>
      <w:r>
        <w:rPr>
          <w:spacing w:val="-3"/>
          <w:sz w:val="24"/>
        </w:rPr>
        <w:t> </w:t>
      </w:r>
      <w:r>
        <w:rPr>
          <w:sz w:val="24"/>
        </w:rPr>
        <w:t>shall</w:t>
      </w:r>
      <w:r>
        <w:rPr>
          <w:spacing w:val="-3"/>
          <w:sz w:val="24"/>
        </w:rPr>
        <w:t> </w:t>
      </w:r>
      <w:r>
        <w:rPr>
          <w:sz w:val="24"/>
        </w:rPr>
        <w:t>include</w:t>
      </w:r>
      <w:r>
        <w:rPr>
          <w:spacing w:val="-3"/>
          <w:sz w:val="24"/>
        </w:rPr>
        <w:t> </w:t>
      </w:r>
      <w:r>
        <w:rPr>
          <w:sz w:val="24"/>
        </w:rPr>
        <w:t>any</w:t>
      </w:r>
      <w:r>
        <w:rPr>
          <w:spacing w:val="-3"/>
          <w:sz w:val="24"/>
        </w:rPr>
        <w:t> </w:t>
      </w:r>
      <w:r>
        <w:rPr>
          <w:sz w:val="24"/>
        </w:rPr>
        <w:t>viable</w:t>
      </w:r>
      <w:r>
        <w:rPr>
          <w:spacing w:val="-3"/>
          <w:sz w:val="24"/>
        </w:rPr>
        <w:t> </w:t>
      </w:r>
      <w:r>
        <w:rPr>
          <w:sz w:val="24"/>
        </w:rPr>
        <w:t>stretch</w:t>
      </w:r>
      <w:r>
        <w:rPr>
          <w:spacing w:val="-3"/>
          <w:sz w:val="24"/>
        </w:rPr>
        <w:t> </w:t>
      </w:r>
      <w:r>
        <w:rPr>
          <w:sz w:val="24"/>
        </w:rPr>
        <w:t>of</w:t>
      </w:r>
      <w:r>
        <w:rPr>
          <w:spacing w:val="-3"/>
          <w:sz w:val="24"/>
        </w:rPr>
        <w:t> </w:t>
      </w:r>
      <w:r>
        <w:rPr>
          <w:sz w:val="24"/>
        </w:rPr>
        <w:t>the</w:t>
      </w:r>
      <w:r>
        <w:rPr>
          <w:spacing w:val="-3"/>
          <w:sz w:val="24"/>
        </w:rPr>
        <w:t> </w:t>
      </w:r>
      <w:r>
        <w:rPr>
          <w:sz w:val="24"/>
        </w:rPr>
        <w:t>pavement</w:t>
      </w:r>
      <w:r>
        <w:rPr>
          <w:spacing w:val="-3"/>
          <w:sz w:val="24"/>
        </w:rPr>
        <w:t> </w:t>
      </w:r>
      <w:r>
        <w:rPr>
          <w:sz w:val="24"/>
        </w:rPr>
        <w:t>as</w:t>
      </w:r>
      <w:r>
        <w:rPr>
          <w:spacing w:val="-3"/>
          <w:sz w:val="24"/>
        </w:rPr>
        <w:t> </w:t>
      </w:r>
      <w:r>
        <w:rPr>
          <w:sz w:val="24"/>
        </w:rPr>
        <w:t>may be considered viable for the purpose of SRS.</w:t>
      </w:r>
    </w:p>
    <w:p>
      <w:pPr>
        <w:pStyle w:val="ListParagraph"/>
        <w:numPr>
          <w:ilvl w:val="1"/>
          <w:numId w:val="181"/>
        </w:numPr>
        <w:tabs>
          <w:tab w:pos="2398" w:val="left" w:leader="none"/>
        </w:tabs>
        <w:spacing w:line="240" w:lineRule="auto" w:before="239" w:after="0"/>
        <w:ind w:left="2062" w:right="768" w:firstLine="0"/>
        <w:jc w:val="both"/>
        <w:rPr>
          <w:sz w:val="24"/>
        </w:rPr>
      </w:pPr>
      <w:r>
        <w:rPr>
          <w:sz w:val="24"/>
        </w:rPr>
        <w:t>A structure shall mean all the dwelling area of a protected occupier as defined in Chapter I-B of Slums Act, and orders issued thereunder.</w:t>
      </w:r>
    </w:p>
    <w:p>
      <w:pPr>
        <w:pStyle w:val="ListParagraph"/>
        <w:numPr>
          <w:ilvl w:val="1"/>
          <w:numId w:val="181"/>
        </w:numPr>
        <w:tabs>
          <w:tab w:pos="2555" w:val="left" w:leader="none"/>
        </w:tabs>
        <w:spacing w:line="240" w:lineRule="auto" w:before="241" w:after="0"/>
        <w:ind w:left="2062" w:right="770" w:firstLine="0"/>
        <w:jc w:val="both"/>
        <w:rPr>
          <w:sz w:val="24"/>
        </w:rPr>
      </w:pPr>
      <w:r>
        <w:rPr>
          <w:sz w:val="24"/>
        </w:rPr>
        <w:t>A composite building shall mean a</w:t>
      </w:r>
      <w:r>
        <w:rPr>
          <w:spacing w:val="-2"/>
          <w:sz w:val="24"/>
        </w:rPr>
        <w:t> </w:t>
      </w:r>
      <w:r>
        <w:rPr>
          <w:sz w:val="24"/>
        </w:rPr>
        <w:t>building comprising both rehab and free-sale components and part thereof in the same building.</w:t>
      </w:r>
    </w:p>
    <w:p>
      <w:pPr>
        <w:pStyle w:val="ListParagraph"/>
        <w:numPr>
          <w:ilvl w:val="1"/>
          <w:numId w:val="181"/>
        </w:numPr>
        <w:tabs>
          <w:tab w:pos="2649" w:val="left" w:leader="none"/>
        </w:tabs>
        <w:spacing w:line="240" w:lineRule="auto" w:before="241" w:after="0"/>
        <w:ind w:left="2062" w:right="767" w:firstLine="0"/>
        <w:jc w:val="both"/>
        <w:rPr>
          <w:sz w:val="24"/>
        </w:rPr>
      </w:pPr>
      <w:r>
        <w:rPr>
          <w:sz w:val="24"/>
        </w:rPr>
        <w:t>Censused shall mean those slums located on lands belonging to Govt., any undertaking of Govt., or MCGM and incorporated in the records</w:t>
      </w:r>
      <w:r>
        <w:rPr>
          <w:spacing w:val="-4"/>
          <w:sz w:val="24"/>
        </w:rPr>
        <w:t> </w:t>
      </w:r>
      <w:r>
        <w:rPr>
          <w:sz w:val="24"/>
        </w:rPr>
        <w:t>of</w:t>
      </w:r>
      <w:r>
        <w:rPr>
          <w:spacing w:val="-4"/>
          <w:sz w:val="24"/>
        </w:rPr>
        <w:t> </w:t>
      </w:r>
      <w:r>
        <w:rPr>
          <w:sz w:val="24"/>
        </w:rPr>
        <w:t>the</w:t>
      </w:r>
      <w:r>
        <w:rPr>
          <w:spacing w:val="-4"/>
          <w:sz w:val="24"/>
        </w:rPr>
        <w:t> </w:t>
      </w:r>
      <w:r>
        <w:rPr>
          <w:sz w:val="24"/>
        </w:rPr>
        <w:t>land-owning</w:t>
      </w:r>
      <w:r>
        <w:rPr>
          <w:spacing w:val="-4"/>
          <w:sz w:val="24"/>
        </w:rPr>
        <w:t> </w:t>
      </w:r>
      <w:r>
        <w:rPr>
          <w:sz w:val="24"/>
        </w:rPr>
        <w:t>authority</w:t>
      </w:r>
      <w:r>
        <w:rPr>
          <w:spacing w:val="-4"/>
          <w:sz w:val="24"/>
        </w:rPr>
        <w:t> </w:t>
      </w:r>
      <w:r>
        <w:rPr>
          <w:sz w:val="24"/>
        </w:rPr>
        <w:t>as</w:t>
      </w:r>
      <w:r>
        <w:rPr>
          <w:spacing w:val="-4"/>
          <w:sz w:val="24"/>
        </w:rPr>
        <w:t> </w:t>
      </w:r>
      <w:r>
        <w:rPr>
          <w:sz w:val="24"/>
        </w:rPr>
        <w:t>having</w:t>
      </w:r>
      <w:r>
        <w:rPr>
          <w:spacing w:val="-4"/>
          <w:sz w:val="24"/>
        </w:rPr>
        <w:t> </w:t>
      </w:r>
      <w:r>
        <w:rPr>
          <w:sz w:val="24"/>
        </w:rPr>
        <w:t>been</w:t>
      </w:r>
      <w:r>
        <w:rPr>
          <w:spacing w:val="-4"/>
          <w:sz w:val="24"/>
        </w:rPr>
        <w:t> </w:t>
      </w:r>
      <w:r>
        <w:rPr>
          <w:sz w:val="24"/>
        </w:rPr>
        <w:t>censused</w:t>
      </w:r>
      <w:r>
        <w:rPr>
          <w:spacing w:val="-7"/>
          <w:sz w:val="24"/>
        </w:rPr>
        <w:t> </w:t>
      </w:r>
      <w:r>
        <w:rPr>
          <w:sz w:val="24"/>
        </w:rPr>
        <w:t>in</w:t>
      </w:r>
      <w:r>
        <w:rPr>
          <w:spacing w:val="-4"/>
          <w:sz w:val="24"/>
        </w:rPr>
        <w:t> </w:t>
      </w:r>
      <w:r>
        <w:rPr>
          <w:sz w:val="24"/>
        </w:rPr>
        <w:t>1976, 1980, or 1985 or prior to 1st January, 1995, and 1st Jan 2000</w:t>
      </w:r>
    </w:p>
    <w:p>
      <w:pPr>
        <w:pStyle w:val="ListParagraph"/>
        <w:numPr>
          <w:ilvl w:val="0"/>
          <w:numId w:val="181"/>
        </w:numPr>
        <w:tabs>
          <w:tab w:pos="2423" w:val="left" w:leader="none"/>
        </w:tabs>
        <w:spacing w:line="240" w:lineRule="auto" w:before="239" w:after="0"/>
        <w:ind w:left="2062" w:right="767" w:firstLine="0"/>
        <w:jc w:val="both"/>
        <w:rPr>
          <w:sz w:val="24"/>
        </w:rPr>
      </w:pPr>
      <w:r>
        <w:rPr>
          <w:b/>
          <w:sz w:val="24"/>
        </w:rPr>
        <w:t>Joint</w:t>
      </w:r>
      <w:r>
        <w:rPr>
          <w:b/>
          <w:spacing w:val="-11"/>
          <w:sz w:val="24"/>
        </w:rPr>
        <w:t> </w:t>
      </w:r>
      <w:r>
        <w:rPr>
          <w:b/>
          <w:sz w:val="24"/>
        </w:rPr>
        <w:t>ownership</w:t>
      </w:r>
      <w:r>
        <w:rPr>
          <w:b/>
          <w:spacing w:val="-11"/>
          <w:sz w:val="24"/>
        </w:rPr>
        <w:t> </w:t>
      </w:r>
      <w:r>
        <w:rPr>
          <w:b/>
          <w:sz w:val="24"/>
        </w:rPr>
        <w:t>with</w:t>
      </w:r>
      <w:r>
        <w:rPr>
          <w:b/>
          <w:spacing w:val="-11"/>
          <w:sz w:val="24"/>
        </w:rPr>
        <w:t> </w:t>
      </w:r>
      <w:r>
        <w:rPr>
          <w:b/>
          <w:sz w:val="24"/>
        </w:rPr>
        <w:t>spouse</w:t>
      </w:r>
      <w:r>
        <w:rPr>
          <w:sz w:val="24"/>
        </w:rPr>
        <w:t>:</w:t>
      </w:r>
      <w:r>
        <w:rPr>
          <w:spacing w:val="-11"/>
          <w:sz w:val="24"/>
        </w:rPr>
        <w:t> </w:t>
      </w:r>
      <w:r>
        <w:rPr>
          <w:sz w:val="24"/>
        </w:rPr>
        <w:t>The</w:t>
      </w:r>
      <w:r>
        <w:rPr>
          <w:spacing w:val="-11"/>
          <w:sz w:val="24"/>
        </w:rPr>
        <w:t> </w:t>
      </w:r>
      <w:r>
        <w:rPr>
          <w:sz w:val="24"/>
        </w:rPr>
        <w:t>reconstructed</w:t>
      </w:r>
      <w:r>
        <w:rPr>
          <w:spacing w:val="-11"/>
          <w:sz w:val="24"/>
        </w:rPr>
        <w:t> </w:t>
      </w:r>
      <w:r>
        <w:rPr>
          <w:sz w:val="24"/>
        </w:rPr>
        <w:t>tenement</w:t>
      </w:r>
      <w:r>
        <w:rPr>
          <w:spacing w:val="-11"/>
          <w:sz w:val="24"/>
        </w:rPr>
        <w:t> </w:t>
      </w:r>
      <w:r>
        <w:rPr>
          <w:sz w:val="24"/>
        </w:rPr>
        <w:t>shall</w:t>
      </w:r>
      <w:r>
        <w:rPr>
          <w:spacing w:val="-11"/>
          <w:sz w:val="24"/>
        </w:rPr>
        <w:t> </w:t>
      </w:r>
      <w:r>
        <w:rPr>
          <w:sz w:val="24"/>
        </w:rPr>
        <w:t>be of the ownership of the hutment dweller and spouse conjointly, and shall</w:t>
      </w:r>
      <w:r>
        <w:rPr>
          <w:spacing w:val="-9"/>
          <w:sz w:val="24"/>
        </w:rPr>
        <w:t> </w:t>
      </w:r>
      <w:r>
        <w:rPr>
          <w:sz w:val="24"/>
        </w:rPr>
        <w:t>be</w:t>
      </w:r>
      <w:r>
        <w:rPr>
          <w:spacing w:val="-9"/>
          <w:sz w:val="24"/>
        </w:rPr>
        <w:t> </w:t>
      </w:r>
      <w:r>
        <w:rPr>
          <w:sz w:val="24"/>
        </w:rPr>
        <w:t>so</w:t>
      </w:r>
      <w:r>
        <w:rPr>
          <w:spacing w:val="-9"/>
          <w:sz w:val="24"/>
        </w:rPr>
        <w:t> </w:t>
      </w:r>
      <w:r>
        <w:rPr>
          <w:sz w:val="24"/>
        </w:rPr>
        <w:t>entered</w:t>
      </w:r>
      <w:r>
        <w:rPr>
          <w:spacing w:val="-7"/>
          <w:sz w:val="24"/>
        </w:rPr>
        <w:t> </w:t>
      </w:r>
      <w:r>
        <w:rPr>
          <w:sz w:val="24"/>
        </w:rPr>
        <w:t>and</w:t>
      </w:r>
      <w:r>
        <w:rPr>
          <w:spacing w:val="-9"/>
          <w:sz w:val="24"/>
        </w:rPr>
        <w:t> </w:t>
      </w:r>
      <w:r>
        <w:rPr>
          <w:sz w:val="24"/>
        </w:rPr>
        <w:t>be</w:t>
      </w:r>
      <w:r>
        <w:rPr>
          <w:spacing w:val="-9"/>
          <w:sz w:val="24"/>
        </w:rPr>
        <w:t> </w:t>
      </w:r>
      <w:r>
        <w:rPr>
          <w:sz w:val="24"/>
        </w:rPr>
        <w:t>deemed</w:t>
      </w:r>
      <w:r>
        <w:rPr>
          <w:spacing w:val="-9"/>
          <w:sz w:val="24"/>
        </w:rPr>
        <w:t> </w:t>
      </w:r>
      <w:r>
        <w:rPr>
          <w:sz w:val="24"/>
        </w:rPr>
        <w:t>to</w:t>
      </w:r>
      <w:r>
        <w:rPr>
          <w:spacing w:val="-7"/>
          <w:sz w:val="24"/>
        </w:rPr>
        <w:t> </w:t>
      </w:r>
      <w:r>
        <w:rPr>
          <w:sz w:val="24"/>
        </w:rPr>
        <w:t>be</w:t>
      </w:r>
      <w:r>
        <w:rPr>
          <w:spacing w:val="-9"/>
          <w:sz w:val="24"/>
        </w:rPr>
        <w:t> </w:t>
      </w:r>
      <w:r>
        <w:rPr>
          <w:sz w:val="24"/>
        </w:rPr>
        <w:t>so</w:t>
      </w:r>
      <w:r>
        <w:rPr>
          <w:spacing w:val="-9"/>
          <w:sz w:val="24"/>
        </w:rPr>
        <w:t> </w:t>
      </w:r>
      <w:r>
        <w:rPr>
          <w:sz w:val="24"/>
        </w:rPr>
        <w:t>entered</w:t>
      </w:r>
      <w:r>
        <w:rPr>
          <w:spacing w:val="-9"/>
          <w:sz w:val="24"/>
        </w:rPr>
        <w:t> </w:t>
      </w:r>
      <w:r>
        <w:rPr>
          <w:sz w:val="24"/>
        </w:rPr>
        <w:t>in</w:t>
      </w:r>
      <w:r>
        <w:rPr>
          <w:spacing w:val="-9"/>
          <w:sz w:val="24"/>
        </w:rPr>
        <w:t> </w:t>
      </w:r>
      <w:r>
        <w:rPr>
          <w:sz w:val="24"/>
        </w:rPr>
        <w:t>the</w:t>
      </w:r>
      <w:r>
        <w:rPr>
          <w:spacing w:val="-6"/>
          <w:sz w:val="24"/>
        </w:rPr>
        <w:t> </w:t>
      </w:r>
      <w:r>
        <w:rPr>
          <w:sz w:val="24"/>
        </w:rPr>
        <w:t>records</w:t>
      </w:r>
      <w:r>
        <w:rPr>
          <w:spacing w:val="-9"/>
          <w:sz w:val="24"/>
        </w:rPr>
        <w:t> </w:t>
      </w:r>
      <w:r>
        <w:rPr>
          <w:sz w:val="24"/>
        </w:rPr>
        <w:t>of</w:t>
      </w:r>
      <w:r>
        <w:rPr>
          <w:spacing w:val="-9"/>
          <w:sz w:val="24"/>
        </w:rPr>
        <w:t> </w:t>
      </w:r>
      <w:r>
        <w:rPr>
          <w:sz w:val="24"/>
        </w:rPr>
        <w:t>the co-operative</w:t>
      </w:r>
      <w:r>
        <w:rPr>
          <w:spacing w:val="-17"/>
          <w:sz w:val="24"/>
        </w:rPr>
        <w:t> </w:t>
      </w:r>
      <w:r>
        <w:rPr>
          <w:sz w:val="24"/>
        </w:rPr>
        <w:t>housing</w:t>
      </w:r>
      <w:r>
        <w:rPr>
          <w:spacing w:val="-17"/>
          <w:sz w:val="24"/>
        </w:rPr>
        <w:t> </w:t>
      </w:r>
      <w:r>
        <w:rPr>
          <w:sz w:val="24"/>
        </w:rPr>
        <w:t>society,</w:t>
      </w:r>
      <w:r>
        <w:rPr>
          <w:spacing w:val="-17"/>
          <w:sz w:val="24"/>
        </w:rPr>
        <w:t> </w:t>
      </w:r>
      <w:r>
        <w:rPr>
          <w:sz w:val="24"/>
        </w:rPr>
        <w:t>including</w:t>
      </w:r>
      <w:r>
        <w:rPr>
          <w:spacing w:val="-17"/>
          <w:sz w:val="24"/>
        </w:rPr>
        <w:t> </w:t>
      </w:r>
      <w:r>
        <w:rPr>
          <w:sz w:val="24"/>
        </w:rPr>
        <w:t>the</w:t>
      </w:r>
      <w:r>
        <w:rPr>
          <w:spacing w:val="-17"/>
          <w:sz w:val="24"/>
        </w:rPr>
        <w:t> </w:t>
      </w:r>
      <w:r>
        <w:rPr>
          <w:sz w:val="24"/>
        </w:rPr>
        <w:t>share</w:t>
      </w:r>
      <w:r>
        <w:rPr>
          <w:spacing w:val="-17"/>
          <w:sz w:val="24"/>
        </w:rPr>
        <w:t> </w:t>
      </w:r>
      <w:r>
        <w:rPr>
          <w:sz w:val="24"/>
        </w:rPr>
        <w:t>certificates</w:t>
      </w:r>
      <w:r>
        <w:rPr>
          <w:spacing w:val="-17"/>
          <w:sz w:val="24"/>
        </w:rPr>
        <w:t> </w:t>
      </w:r>
      <w:r>
        <w:rPr>
          <w:sz w:val="24"/>
        </w:rPr>
        <w:t>or</w:t>
      </w:r>
      <w:r>
        <w:rPr>
          <w:spacing w:val="-17"/>
          <w:sz w:val="24"/>
        </w:rPr>
        <w:t> </w:t>
      </w:r>
      <w:r>
        <w:rPr>
          <w:sz w:val="24"/>
        </w:rPr>
        <w:t>all</w:t>
      </w:r>
      <w:r>
        <w:rPr>
          <w:spacing w:val="-17"/>
          <w:sz w:val="24"/>
        </w:rPr>
        <w:t> </w:t>
      </w:r>
      <w:r>
        <w:rPr>
          <w:sz w:val="24"/>
        </w:rPr>
        <w:t>other relevant documents.</w:t>
      </w:r>
    </w:p>
    <w:p>
      <w:pPr>
        <w:pStyle w:val="ListParagraph"/>
        <w:numPr>
          <w:ilvl w:val="0"/>
          <w:numId w:val="181"/>
        </w:numPr>
        <w:tabs>
          <w:tab w:pos="2504" w:val="left" w:leader="none"/>
        </w:tabs>
        <w:spacing w:line="240" w:lineRule="auto" w:before="240" w:after="0"/>
        <w:ind w:left="2062" w:right="770" w:firstLine="0"/>
        <w:jc w:val="both"/>
        <w:rPr>
          <w:sz w:val="24"/>
        </w:rPr>
      </w:pPr>
      <w:r>
        <w:rPr>
          <w:b/>
          <w:sz w:val="24"/>
        </w:rPr>
        <w:t>Denotification as Slum Rehabilitation Area</w:t>
      </w:r>
      <w:r>
        <w:rPr>
          <w:sz w:val="24"/>
        </w:rPr>
        <w:t>:</w:t>
      </w:r>
      <w:r>
        <w:rPr>
          <w:spacing w:val="40"/>
          <w:sz w:val="24"/>
        </w:rPr>
        <w:t> </w:t>
      </w:r>
      <w:r>
        <w:rPr>
          <w:sz w:val="24"/>
        </w:rPr>
        <w:t>SRA on being satisfied</w:t>
      </w:r>
      <w:r>
        <w:rPr>
          <w:spacing w:val="-19"/>
          <w:sz w:val="24"/>
        </w:rPr>
        <w:t> </w:t>
      </w:r>
      <w:r>
        <w:rPr>
          <w:sz w:val="24"/>
        </w:rPr>
        <w:t>that</w:t>
      </w:r>
      <w:r>
        <w:rPr>
          <w:spacing w:val="-19"/>
          <w:sz w:val="24"/>
        </w:rPr>
        <w:t> </w:t>
      </w:r>
      <w:r>
        <w:rPr>
          <w:sz w:val="24"/>
        </w:rPr>
        <w:t>it</w:t>
      </w:r>
      <w:r>
        <w:rPr>
          <w:spacing w:val="-19"/>
          <w:sz w:val="24"/>
        </w:rPr>
        <w:t> </w:t>
      </w:r>
      <w:r>
        <w:rPr>
          <w:sz w:val="24"/>
        </w:rPr>
        <w:t>is</w:t>
      </w:r>
      <w:r>
        <w:rPr>
          <w:spacing w:val="-19"/>
          <w:sz w:val="24"/>
        </w:rPr>
        <w:t> </w:t>
      </w:r>
      <w:r>
        <w:rPr>
          <w:sz w:val="24"/>
        </w:rPr>
        <w:t>necessary</w:t>
      </w:r>
      <w:r>
        <w:rPr>
          <w:spacing w:val="-19"/>
          <w:sz w:val="24"/>
        </w:rPr>
        <w:t> </w:t>
      </w:r>
      <w:r>
        <w:rPr>
          <w:sz w:val="24"/>
        </w:rPr>
        <w:t>so</w:t>
      </w:r>
      <w:r>
        <w:rPr>
          <w:spacing w:val="-19"/>
          <w:sz w:val="24"/>
        </w:rPr>
        <w:t> </w:t>
      </w:r>
      <w:r>
        <w:rPr>
          <w:sz w:val="24"/>
        </w:rPr>
        <w:t>to</w:t>
      </w:r>
      <w:r>
        <w:rPr>
          <w:spacing w:val="-19"/>
          <w:sz w:val="24"/>
        </w:rPr>
        <w:t> </w:t>
      </w:r>
      <w:r>
        <w:rPr>
          <w:sz w:val="24"/>
        </w:rPr>
        <w:t>do,</w:t>
      </w:r>
      <w:r>
        <w:rPr>
          <w:spacing w:val="-19"/>
          <w:sz w:val="24"/>
        </w:rPr>
        <w:t> </w:t>
      </w:r>
      <w:r>
        <w:rPr>
          <w:sz w:val="24"/>
        </w:rPr>
        <w:t>or</w:t>
      </w:r>
      <w:r>
        <w:rPr>
          <w:spacing w:val="-17"/>
          <w:sz w:val="24"/>
        </w:rPr>
        <w:t> </w:t>
      </w:r>
      <w:r>
        <w:rPr>
          <w:sz w:val="24"/>
        </w:rPr>
        <w:t>when</w:t>
      </w:r>
      <w:r>
        <w:rPr>
          <w:spacing w:val="-19"/>
          <w:sz w:val="24"/>
        </w:rPr>
        <w:t> </w:t>
      </w:r>
      <w:r>
        <w:rPr>
          <w:sz w:val="24"/>
        </w:rPr>
        <w:t>directed</w:t>
      </w:r>
      <w:r>
        <w:rPr>
          <w:spacing w:val="-19"/>
          <w:sz w:val="24"/>
        </w:rPr>
        <w:t> </w:t>
      </w:r>
      <w:r>
        <w:rPr>
          <w:sz w:val="24"/>
        </w:rPr>
        <w:t>by</w:t>
      </w:r>
      <w:r>
        <w:rPr>
          <w:spacing w:val="-19"/>
          <w:sz w:val="24"/>
        </w:rPr>
        <w:t> </w:t>
      </w:r>
      <w:r>
        <w:rPr>
          <w:sz w:val="24"/>
        </w:rPr>
        <w:t>the</w:t>
      </w:r>
      <w:r>
        <w:rPr>
          <w:spacing w:val="-19"/>
          <w:sz w:val="24"/>
        </w:rPr>
        <w:t> </w:t>
      </w:r>
      <w:r>
        <w:rPr>
          <w:sz w:val="24"/>
        </w:rPr>
        <w:t>State</w:t>
      </w:r>
      <w:r>
        <w:rPr>
          <w:spacing w:val="-19"/>
          <w:sz w:val="24"/>
        </w:rPr>
        <w:t> </w:t>
      </w:r>
      <w:r>
        <w:rPr>
          <w:sz w:val="24"/>
        </w:rPr>
        <w:t>Govt, shall denotify the Slum Rehabilitation Area.</w:t>
      </w:r>
    </w:p>
    <w:p>
      <w:pPr>
        <w:pStyle w:val="ListParagraph"/>
        <w:numPr>
          <w:ilvl w:val="0"/>
          <w:numId w:val="181"/>
        </w:numPr>
        <w:tabs>
          <w:tab w:pos="2597" w:val="left" w:leader="none"/>
        </w:tabs>
        <w:spacing w:line="240" w:lineRule="auto" w:before="242" w:after="0"/>
        <w:ind w:left="2062" w:right="767" w:firstLine="0"/>
        <w:jc w:val="both"/>
        <w:rPr>
          <w:sz w:val="24"/>
        </w:rPr>
      </w:pPr>
      <w:r>
        <w:rPr>
          <w:b/>
          <w:sz w:val="24"/>
        </w:rPr>
        <w:t>Applicability</w:t>
      </w:r>
      <w:r>
        <w:rPr>
          <w:sz w:val="24"/>
        </w:rPr>
        <w:t>: The following provisions will apply for redevelopment/construction</w:t>
      </w:r>
      <w:r>
        <w:rPr>
          <w:spacing w:val="-20"/>
          <w:sz w:val="24"/>
        </w:rPr>
        <w:t> </w:t>
      </w:r>
      <w:r>
        <w:rPr>
          <w:sz w:val="24"/>
        </w:rPr>
        <w:t>of</w:t>
      </w:r>
      <w:r>
        <w:rPr>
          <w:spacing w:val="-19"/>
          <w:sz w:val="24"/>
        </w:rPr>
        <w:t> </w:t>
      </w:r>
      <w:r>
        <w:rPr>
          <w:sz w:val="24"/>
        </w:rPr>
        <w:t>accommodation</w:t>
      </w:r>
      <w:r>
        <w:rPr>
          <w:spacing w:val="-19"/>
          <w:sz w:val="24"/>
        </w:rPr>
        <w:t> </w:t>
      </w:r>
      <w:r>
        <w:rPr>
          <w:sz w:val="24"/>
        </w:rPr>
        <w:t>for</w:t>
      </w:r>
      <w:r>
        <w:rPr>
          <w:spacing w:val="-19"/>
          <w:sz w:val="24"/>
        </w:rPr>
        <w:t> </w:t>
      </w:r>
      <w:r>
        <w:rPr>
          <w:sz w:val="24"/>
        </w:rPr>
        <w:t>hutment/pavement- dwellers through owners/developers/co-operative housing societies of hutment/pavement-dwellers/public authorities such as MHADA, MIDC,</w:t>
      </w:r>
      <w:r>
        <w:rPr>
          <w:spacing w:val="-12"/>
          <w:sz w:val="24"/>
        </w:rPr>
        <w:t> </w:t>
      </w:r>
      <w:r>
        <w:rPr>
          <w:sz w:val="24"/>
        </w:rPr>
        <w:t>MMRDA</w:t>
      </w:r>
      <w:r>
        <w:rPr>
          <w:spacing w:val="-15"/>
          <w:sz w:val="24"/>
        </w:rPr>
        <w:t> </w:t>
      </w:r>
      <w:r>
        <w:rPr>
          <w:sz w:val="24"/>
        </w:rPr>
        <w:t>etc./Non-Governmental</w:t>
      </w:r>
      <w:r>
        <w:rPr>
          <w:spacing w:val="-12"/>
          <w:sz w:val="24"/>
        </w:rPr>
        <w:t> </w:t>
      </w:r>
      <w:r>
        <w:rPr>
          <w:sz w:val="24"/>
        </w:rPr>
        <w:t>Organizations</w:t>
      </w:r>
      <w:r>
        <w:rPr>
          <w:spacing w:val="-12"/>
          <w:sz w:val="24"/>
        </w:rPr>
        <w:t> </w:t>
      </w:r>
      <w:r>
        <w:rPr>
          <w:sz w:val="24"/>
        </w:rPr>
        <w:t>anywhere</w:t>
      </w:r>
      <w:r>
        <w:rPr>
          <w:spacing w:val="-12"/>
          <w:sz w:val="24"/>
        </w:rPr>
        <w:t> </w:t>
      </w:r>
      <w:r>
        <w:rPr>
          <w:sz w:val="24"/>
        </w:rPr>
        <w:t>within the limits of MCGM. However, NGO should be registered under the Maharashtra Public Charitable Trusts Act, 1961 and the Societies Registration Act, 1960 at least for the last five years should also be got approved by SRA.</w:t>
      </w:r>
    </w:p>
    <w:p>
      <w:pPr>
        <w:pStyle w:val="Heading5"/>
        <w:numPr>
          <w:ilvl w:val="0"/>
          <w:numId w:val="181"/>
        </w:numPr>
        <w:tabs>
          <w:tab w:pos="2443" w:val="left" w:leader="none"/>
        </w:tabs>
        <w:spacing w:line="240" w:lineRule="auto" w:before="237" w:after="0"/>
        <w:ind w:left="2443" w:right="0" w:hanging="381"/>
        <w:jc w:val="both"/>
        <w:rPr>
          <w:i/>
        </w:rPr>
      </w:pPr>
      <w:r>
        <w:rPr/>
        <w:t>Right</w:t>
      </w:r>
      <w:r>
        <w:rPr>
          <w:spacing w:val="49"/>
        </w:rPr>
        <w:t> </w:t>
      </w:r>
      <w:r>
        <w:rPr/>
        <w:t>of</w:t>
      </w:r>
      <w:r>
        <w:rPr>
          <w:spacing w:val="49"/>
        </w:rPr>
        <w:t> </w:t>
      </w:r>
      <w:r>
        <w:rPr/>
        <w:t>the</w:t>
      </w:r>
      <w:r>
        <w:rPr>
          <w:spacing w:val="49"/>
        </w:rPr>
        <w:t> </w:t>
      </w:r>
      <w:r>
        <w:rPr/>
        <w:t>Hutment</w:t>
      </w:r>
      <w:r>
        <w:rPr>
          <w:spacing w:val="50"/>
        </w:rPr>
        <w:t> </w:t>
      </w:r>
      <w:r>
        <w:rPr>
          <w:spacing w:val="-2"/>
        </w:rPr>
        <w:t>Dwellers</w:t>
      </w:r>
      <w:r>
        <w:rPr>
          <w:i/>
          <w:spacing w:val="-2"/>
        </w:rPr>
        <w:t>:</w:t>
      </w:r>
    </w:p>
    <w:p>
      <w:pPr>
        <w:pStyle w:val="ListParagraph"/>
        <w:numPr>
          <w:ilvl w:val="1"/>
          <w:numId w:val="182"/>
        </w:numPr>
        <w:tabs>
          <w:tab w:pos="2577" w:val="left" w:leader="none"/>
        </w:tabs>
        <w:spacing w:line="240" w:lineRule="auto" w:before="242" w:after="0"/>
        <w:ind w:left="2062" w:right="766" w:firstLine="0"/>
        <w:jc w:val="both"/>
        <w:rPr>
          <w:sz w:val="24"/>
        </w:rPr>
      </w:pPr>
      <w:r>
        <w:rPr>
          <w:sz w:val="24"/>
        </w:rPr>
        <w:t>Hutment-dwellers, in the slum or on the pavement, eligible in accordance</w:t>
      </w:r>
      <w:r>
        <w:rPr>
          <w:spacing w:val="-3"/>
          <w:sz w:val="24"/>
        </w:rPr>
        <w:t> </w:t>
      </w:r>
      <w:r>
        <w:rPr>
          <w:sz w:val="24"/>
        </w:rPr>
        <w:t>with</w:t>
      </w:r>
      <w:r>
        <w:rPr>
          <w:spacing w:val="-3"/>
          <w:sz w:val="24"/>
        </w:rPr>
        <w:t> </w:t>
      </w:r>
      <w:r>
        <w:rPr>
          <w:sz w:val="24"/>
        </w:rPr>
        <w:t>the</w:t>
      </w:r>
      <w:r>
        <w:rPr>
          <w:spacing w:val="-1"/>
          <w:sz w:val="24"/>
        </w:rPr>
        <w:t> </w:t>
      </w:r>
      <w:r>
        <w:rPr>
          <w:sz w:val="24"/>
        </w:rPr>
        <w:t>provisions</w:t>
      </w:r>
      <w:r>
        <w:rPr>
          <w:spacing w:val="-3"/>
          <w:sz w:val="24"/>
        </w:rPr>
        <w:t> </w:t>
      </w:r>
      <w:r>
        <w:rPr>
          <w:sz w:val="24"/>
        </w:rPr>
        <w:t>of</w:t>
      </w:r>
      <w:r>
        <w:rPr>
          <w:spacing w:val="80"/>
          <w:sz w:val="24"/>
        </w:rPr>
        <w:t> </w:t>
      </w:r>
      <w:r>
        <w:rPr>
          <w:sz w:val="24"/>
        </w:rPr>
        <w:t>this</w:t>
      </w:r>
      <w:r>
        <w:rPr>
          <w:spacing w:val="-2"/>
          <w:sz w:val="24"/>
        </w:rPr>
        <w:t> </w:t>
      </w:r>
      <w:r>
        <w:rPr>
          <w:sz w:val="24"/>
        </w:rPr>
        <w:t>Regulation</w:t>
      </w:r>
      <w:r>
        <w:rPr>
          <w:spacing w:val="-3"/>
          <w:sz w:val="24"/>
        </w:rPr>
        <w:t> </w:t>
      </w:r>
      <w:r>
        <w:rPr>
          <w:sz w:val="24"/>
        </w:rPr>
        <w:t>shall</w:t>
      </w:r>
      <w:r>
        <w:rPr>
          <w:spacing w:val="-3"/>
          <w:sz w:val="24"/>
        </w:rPr>
        <w:t> </w:t>
      </w:r>
      <w:r>
        <w:rPr>
          <w:sz w:val="24"/>
        </w:rPr>
        <w:t>in</w:t>
      </w:r>
      <w:r>
        <w:rPr>
          <w:spacing w:val="-3"/>
          <w:sz w:val="24"/>
        </w:rPr>
        <w:t> </w:t>
      </w:r>
      <w:r>
        <w:rPr>
          <w:sz w:val="24"/>
        </w:rPr>
        <w:t>exchange</w:t>
      </w:r>
      <w:r>
        <w:rPr>
          <w:spacing w:val="-3"/>
          <w:sz w:val="24"/>
        </w:rPr>
        <w:t> </w:t>
      </w:r>
      <w:r>
        <w:rPr>
          <w:sz w:val="24"/>
        </w:rPr>
        <w:t>of the protected dwelling structure, be given free of cost a residential tenement</w:t>
      </w:r>
      <w:r>
        <w:rPr>
          <w:spacing w:val="-2"/>
          <w:sz w:val="24"/>
        </w:rPr>
        <w:t> </w:t>
      </w:r>
      <w:r>
        <w:rPr>
          <w:sz w:val="24"/>
        </w:rPr>
        <w:t>having</w:t>
      </w:r>
      <w:r>
        <w:rPr>
          <w:spacing w:val="-2"/>
          <w:sz w:val="24"/>
        </w:rPr>
        <w:t> </w:t>
      </w:r>
      <w:r>
        <w:rPr>
          <w:sz w:val="24"/>
        </w:rPr>
        <w:t>a</w:t>
      </w:r>
      <w:r>
        <w:rPr>
          <w:spacing w:val="-2"/>
          <w:sz w:val="24"/>
        </w:rPr>
        <w:t> </w:t>
      </w:r>
      <w:r>
        <w:rPr>
          <w:sz w:val="24"/>
        </w:rPr>
        <w:t>carpet</w:t>
      </w:r>
      <w:r>
        <w:rPr>
          <w:spacing w:val="-2"/>
          <w:sz w:val="24"/>
        </w:rPr>
        <w:t> </w:t>
      </w:r>
      <w:r>
        <w:rPr>
          <w:sz w:val="24"/>
        </w:rPr>
        <w:t>area</w:t>
      </w:r>
      <w:r>
        <w:rPr>
          <w:spacing w:val="-2"/>
          <w:sz w:val="24"/>
        </w:rPr>
        <w:t> </w:t>
      </w:r>
      <w:r>
        <w:rPr>
          <w:sz w:val="24"/>
        </w:rPr>
        <w:t>of 27.88</w:t>
      </w:r>
      <w:r>
        <w:rPr>
          <w:spacing w:val="-2"/>
          <w:sz w:val="24"/>
        </w:rPr>
        <w:t> </w:t>
      </w:r>
      <w:r>
        <w:rPr>
          <w:sz w:val="24"/>
        </w:rPr>
        <w:t>sq.</w:t>
      </w:r>
      <w:r>
        <w:rPr>
          <w:spacing w:val="-2"/>
          <w:sz w:val="24"/>
        </w:rPr>
        <w:t> </w:t>
      </w:r>
      <w:r>
        <w:rPr>
          <w:sz w:val="24"/>
        </w:rPr>
        <w:t>m</w:t>
      </w:r>
      <w:r>
        <w:rPr>
          <w:spacing w:val="-2"/>
          <w:sz w:val="24"/>
        </w:rPr>
        <w:t> </w:t>
      </w:r>
      <w:r>
        <w:rPr>
          <w:sz w:val="24"/>
        </w:rPr>
        <w:t>including</w:t>
      </w:r>
      <w:r>
        <w:rPr>
          <w:spacing w:val="-2"/>
          <w:sz w:val="24"/>
        </w:rPr>
        <w:t> </w:t>
      </w:r>
      <w:r>
        <w:rPr>
          <w:sz w:val="24"/>
        </w:rPr>
        <w:t>balcony,</w:t>
      </w:r>
      <w:r>
        <w:rPr>
          <w:spacing w:val="-1"/>
          <w:sz w:val="24"/>
        </w:rPr>
        <w:t> </w:t>
      </w:r>
      <w:r>
        <w:rPr>
          <w:sz w:val="24"/>
        </w:rPr>
        <w:t>,</w:t>
      </w:r>
      <w:r>
        <w:rPr>
          <w:spacing w:val="-2"/>
          <w:sz w:val="24"/>
        </w:rPr>
        <w:t> </w:t>
      </w:r>
      <w:r>
        <w:rPr>
          <w:sz w:val="24"/>
        </w:rPr>
        <w:t>bath and water closet, but excluding common areas.</w:t>
      </w:r>
    </w:p>
    <w:p>
      <w:pPr>
        <w:pStyle w:val="BodyText"/>
        <w:spacing w:line="276" w:lineRule="auto" w:before="238"/>
        <w:ind w:left="2050" w:right="768" w:firstLine="801"/>
        <w:jc w:val="left"/>
      </w:pPr>
      <w:r>
        <w:rPr/>
        <w:t>For</w:t>
      </w:r>
      <w:r>
        <w:rPr>
          <w:spacing w:val="-8"/>
        </w:rPr>
        <w:t> </w:t>
      </w:r>
      <w:r>
        <w:rPr/>
        <w:t>this</w:t>
      </w:r>
      <w:r>
        <w:rPr>
          <w:spacing w:val="-8"/>
        </w:rPr>
        <w:t> </w:t>
      </w:r>
      <w:r>
        <w:rPr/>
        <w:t>purpose</w:t>
      </w:r>
      <w:r>
        <w:rPr>
          <w:spacing w:val="-8"/>
        </w:rPr>
        <w:t> </w:t>
      </w:r>
      <w:r>
        <w:rPr/>
        <w:t>of</w:t>
      </w:r>
      <w:r>
        <w:rPr>
          <w:spacing w:val="-6"/>
        </w:rPr>
        <w:t> </w:t>
      </w:r>
      <w:r>
        <w:rPr/>
        <w:t>“carpet</w:t>
      </w:r>
      <w:r>
        <w:rPr>
          <w:spacing w:val="-8"/>
        </w:rPr>
        <w:t> </w:t>
      </w:r>
      <w:r>
        <w:rPr/>
        <w:t>area”</w:t>
      </w:r>
      <w:r>
        <w:rPr>
          <w:spacing w:val="-8"/>
        </w:rPr>
        <w:t> </w:t>
      </w:r>
      <w:r>
        <w:rPr/>
        <w:t>means</w:t>
      </w:r>
      <w:r>
        <w:rPr>
          <w:spacing w:val="-6"/>
        </w:rPr>
        <w:t> </w:t>
      </w:r>
      <w:r>
        <w:rPr/>
        <w:t>the</w:t>
      </w:r>
      <w:r>
        <w:rPr>
          <w:spacing w:val="-8"/>
        </w:rPr>
        <w:t> </w:t>
      </w:r>
      <w:r>
        <w:rPr/>
        <w:t>net</w:t>
      </w:r>
      <w:r>
        <w:rPr>
          <w:spacing w:val="-8"/>
        </w:rPr>
        <w:t> </w:t>
      </w:r>
      <w:r>
        <w:rPr/>
        <w:t>usable</w:t>
      </w:r>
      <w:r>
        <w:rPr>
          <w:spacing w:val="-8"/>
        </w:rPr>
        <w:t> </w:t>
      </w:r>
      <w:r>
        <w:rPr/>
        <w:t>floor</w:t>
      </w:r>
      <w:r>
        <w:rPr>
          <w:spacing w:val="-6"/>
        </w:rPr>
        <w:t> </w:t>
      </w:r>
      <w:r>
        <w:rPr/>
        <w:t>area within</w:t>
      </w:r>
      <w:r>
        <w:rPr>
          <w:spacing w:val="-20"/>
        </w:rPr>
        <w:t> </w:t>
      </w:r>
      <w:r>
        <w:rPr/>
        <w:t>a</w:t>
      </w:r>
      <w:r>
        <w:rPr>
          <w:spacing w:val="-18"/>
        </w:rPr>
        <w:t> </w:t>
      </w:r>
      <w:r>
        <w:rPr/>
        <w:t>tenement</w:t>
      </w:r>
      <w:r>
        <w:rPr>
          <w:spacing w:val="-18"/>
        </w:rPr>
        <w:t> </w:t>
      </w:r>
      <w:r>
        <w:rPr/>
        <w:t>excluding</w:t>
      </w:r>
      <w:r>
        <w:rPr>
          <w:spacing w:val="-18"/>
        </w:rPr>
        <w:t> </w:t>
      </w:r>
      <w:r>
        <w:rPr/>
        <w:t>that</w:t>
      </w:r>
      <w:r>
        <w:rPr>
          <w:spacing w:val="-18"/>
        </w:rPr>
        <w:t> </w:t>
      </w:r>
      <w:r>
        <w:rPr/>
        <w:t>covered</w:t>
      </w:r>
      <w:r>
        <w:rPr>
          <w:spacing w:val="-16"/>
        </w:rPr>
        <w:t> </w:t>
      </w:r>
      <w:r>
        <w:rPr/>
        <w:t>by</w:t>
      </w:r>
      <w:r>
        <w:rPr>
          <w:spacing w:val="-18"/>
        </w:rPr>
        <w:t> </w:t>
      </w:r>
      <w:r>
        <w:rPr/>
        <w:t>the</w:t>
      </w:r>
      <w:r>
        <w:rPr>
          <w:spacing w:val="-18"/>
        </w:rPr>
        <w:t> </w:t>
      </w:r>
      <w:r>
        <w:rPr/>
        <w:t>walls</w:t>
      </w:r>
      <w:r>
        <w:rPr>
          <w:spacing w:val="-18"/>
        </w:rPr>
        <w:t> </w:t>
      </w:r>
      <w:r>
        <w:rPr/>
        <w:t>or</w:t>
      </w:r>
      <w:r>
        <w:rPr>
          <w:spacing w:val="-18"/>
        </w:rPr>
        <w:t> </w:t>
      </w:r>
      <w:r>
        <w:rPr/>
        <w:t>any</w:t>
      </w:r>
      <w:r>
        <w:rPr>
          <w:spacing w:val="-18"/>
        </w:rPr>
        <w:t> </w:t>
      </w:r>
      <w:r>
        <w:rPr/>
        <w:t>other</w:t>
      </w:r>
      <w:r>
        <w:rPr>
          <w:spacing w:val="-17"/>
        </w:rPr>
        <w:t> </w:t>
      </w:r>
      <w:r>
        <w:rPr>
          <w:spacing w:val="-2"/>
        </w:rPr>
        <w:t>areas</w:t>
      </w:r>
    </w:p>
    <w:p>
      <w:pPr>
        <w:pStyle w:val="BodyText"/>
        <w:spacing w:after="0" w:line="276" w:lineRule="auto"/>
        <w:jc w:val="left"/>
        <w:sectPr>
          <w:pgSz w:w="11910" w:h="16840"/>
          <w:pgMar w:header="1065" w:footer="1194" w:top="1500" w:bottom="1380" w:left="360" w:right="360"/>
        </w:sectPr>
      </w:pPr>
    </w:p>
    <w:p>
      <w:pPr>
        <w:pStyle w:val="BodyText"/>
        <w:spacing w:line="278" w:lineRule="auto" w:before="247"/>
        <w:ind w:left="2050"/>
        <w:jc w:val="left"/>
      </w:pPr>
      <w:r>
        <w:rPr/>
        <w:t>specifically</w:t>
      </w:r>
      <w:r>
        <w:rPr>
          <w:spacing w:val="80"/>
        </w:rPr>
        <w:t> </w:t>
      </w:r>
      <w:r>
        <w:rPr/>
        <w:t>exempted</w:t>
      </w:r>
      <w:r>
        <w:rPr>
          <w:spacing w:val="80"/>
        </w:rPr>
        <w:t> </w:t>
      </w:r>
      <w:r>
        <w:rPr/>
        <w:t>from</w:t>
      </w:r>
      <w:r>
        <w:rPr>
          <w:spacing w:val="80"/>
        </w:rPr>
        <w:t> </w:t>
      </w:r>
      <w:r>
        <w:rPr/>
        <w:t>floor</w:t>
      </w:r>
      <w:r>
        <w:rPr>
          <w:spacing w:val="80"/>
        </w:rPr>
        <w:t> </w:t>
      </w:r>
      <w:r>
        <w:rPr/>
        <w:t>space</w:t>
      </w:r>
      <w:r>
        <w:rPr>
          <w:spacing w:val="80"/>
        </w:rPr>
        <w:t> </w:t>
      </w:r>
      <w:r>
        <w:rPr/>
        <w:t>index</w:t>
      </w:r>
      <w:r>
        <w:rPr>
          <w:spacing w:val="80"/>
        </w:rPr>
        <w:t> </w:t>
      </w:r>
      <w:r>
        <w:rPr/>
        <w:t>computation</w:t>
      </w:r>
      <w:r>
        <w:rPr>
          <w:spacing w:val="80"/>
        </w:rPr>
        <w:t> </w:t>
      </w:r>
      <w:r>
        <w:rPr/>
        <w:t>as</w:t>
      </w:r>
      <w:r>
        <w:rPr>
          <w:spacing w:val="80"/>
        </w:rPr>
        <w:t> </w:t>
      </w:r>
      <w:r>
        <w:rPr/>
        <w:t>per prevailing Regulation.</w:t>
      </w:r>
    </w:p>
    <w:p>
      <w:pPr>
        <w:pStyle w:val="ListParagraph"/>
        <w:numPr>
          <w:ilvl w:val="1"/>
          <w:numId w:val="182"/>
        </w:numPr>
        <w:tabs>
          <w:tab w:pos="2539" w:val="left" w:leader="none"/>
        </w:tabs>
        <w:spacing w:line="240" w:lineRule="auto" w:before="198" w:after="0"/>
        <w:ind w:left="2062" w:right="769" w:firstLine="0"/>
        <w:jc w:val="both"/>
        <w:rPr>
          <w:sz w:val="24"/>
        </w:rPr>
      </w:pPr>
      <w:r>
        <w:rPr>
          <w:sz w:val="24"/>
        </w:rPr>
        <w:t>Even those protected dwelling structures having residential areas more than 27.88</w:t>
      </w:r>
      <w:r>
        <w:rPr>
          <w:spacing w:val="40"/>
          <w:sz w:val="24"/>
        </w:rPr>
        <w:t> </w:t>
      </w:r>
      <w:r>
        <w:rPr>
          <w:sz w:val="24"/>
        </w:rPr>
        <w:t>sq. m will be eligible only for 27.88 sq. m of carpet area where Carpet area means area of tenements exclusive of all areas under walls including partition walls if any in the tenement.</w:t>
      </w:r>
    </w:p>
    <w:p>
      <w:pPr>
        <w:pStyle w:val="ListParagraph"/>
        <w:numPr>
          <w:ilvl w:val="1"/>
          <w:numId w:val="182"/>
        </w:numPr>
        <w:tabs>
          <w:tab w:pos="2506" w:val="left" w:leader="none"/>
        </w:tabs>
        <w:spacing w:line="240" w:lineRule="auto" w:before="239" w:after="0"/>
        <w:ind w:left="2062" w:right="771" w:firstLine="0"/>
        <w:jc w:val="both"/>
        <w:rPr>
          <w:sz w:val="24"/>
        </w:rPr>
      </w:pPr>
      <w:r>
        <w:rPr>
          <w:sz w:val="24"/>
        </w:rPr>
        <w:t>All</w:t>
      </w:r>
      <w:r>
        <w:rPr>
          <w:spacing w:val="-7"/>
          <w:sz w:val="24"/>
        </w:rPr>
        <w:t> </w:t>
      </w:r>
      <w:r>
        <w:rPr>
          <w:sz w:val="24"/>
        </w:rPr>
        <w:t>eligible</w:t>
      </w:r>
      <w:r>
        <w:rPr>
          <w:spacing w:val="-7"/>
          <w:sz w:val="24"/>
        </w:rPr>
        <w:t> </w:t>
      </w:r>
      <w:r>
        <w:rPr>
          <w:sz w:val="24"/>
        </w:rPr>
        <w:t>hutment</w:t>
      </w:r>
      <w:r>
        <w:rPr>
          <w:spacing w:val="-7"/>
          <w:sz w:val="24"/>
        </w:rPr>
        <w:t> </w:t>
      </w:r>
      <w:r>
        <w:rPr>
          <w:sz w:val="24"/>
        </w:rPr>
        <w:t>dwellers</w:t>
      </w:r>
      <w:r>
        <w:rPr>
          <w:spacing w:val="-7"/>
          <w:sz w:val="24"/>
        </w:rPr>
        <w:t> </w:t>
      </w:r>
      <w:r>
        <w:rPr>
          <w:sz w:val="24"/>
        </w:rPr>
        <w:t>taking</w:t>
      </w:r>
      <w:r>
        <w:rPr>
          <w:spacing w:val="-7"/>
          <w:sz w:val="24"/>
        </w:rPr>
        <w:t> </w:t>
      </w:r>
      <w:r>
        <w:rPr>
          <w:sz w:val="24"/>
        </w:rPr>
        <w:t>part</w:t>
      </w:r>
      <w:r>
        <w:rPr>
          <w:spacing w:val="-7"/>
          <w:sz w:val="24"/>
        </w:rPr>
        <w:t> </w:t>
      </w:r>
      <w:r>
        <w:rPr>
          <w:sz w:val="24"/>
        </w:rPr>
        <w:t>in</w:t>
      </w:r>
      <w:r>
        <w:rPr>
          <w:spacing w:val="-7"/>
          <w:sz w:val="24"/>
        </w:rPr>
        <w:t> </w:t>
      </w:r>
      <w:r>
        <w:rPr>
          <w:sz w:val="24"/>
        </w:rPr>
        <w:t>the</w:t>
      </w:r>
      <w:r>
        <w:rPr>
          <w:spacing w:val="-7"/>
          <w:sz w:val="24"/>
        </w:rPr>
        <w:t> </w:t>
      </w:r>
      <w:r>
        <w:rPr>
          <w:sz w:val="24"/>
        </w:rPr>
        <w:t>SRS</w:t>
      </w:r>
      <w:r>
        <w:rPr>
          <w:spacing w:val="-5"/>
          <w:sz w:val="24"/>
        </w:rPr>
        <w:t> </w:t>
      </w:r>
      <w:r>
        <w:rPr>
          <w:sz w:val="24"/>
        </w:rPr>
        <w:t>shall</w:t>
      </w:r>
      <w:r>
        <w:rPr>
          <w:spacing w:val="-5"/>
          <w:sz w:val="24"/>
        </w:rPr>
        <w:t> </w:t>
      </w:r>
      <w:r>
        <w:rPr>
          <w:sz w:val="24"/>
        </w:rPr>
        <w:t>have</w:t>
      </w:r>
      <w:r>
        <w:rPr>
          <w:spacing w:val="-7"/>
          <w:sz w:val="24"/>
        </w:rPr>
        <w:t> </w:t>
      </w:r>
      <w:r>
        <w:rPr>
          <w:sz w:val="24"/>
        </w:rPr>
        <w:t>to</w:t>
      </w:r>
      <w:r>
        <w:rPr>
          <w:spacing w:val="-7"/>
          <w:sz w:val="24"/>
        </w:rPr>
        <w:t> </w:t>
      </w:r>
      <w:r>
        <w:rPr>
          <w:sz w:val="24"/>
        </w:rPr>
        <w:t>be rehabilitated in accordance with the provisions of this Regulation. It may be in situ and in the same scheme as far as possible.</w:t>
      </w:r>
    </w:p>
    <w:p>
      <w:pPr>
        <w:pStyle w:val="ListParagraph"/>
        <w:numPr>
          <w:ilvl w:val="1"/>
          <w:numId w:val="182"/>
        </w:numPr>
        <w:tabs>
          <w:tab w:pos="2579" w:val="left" w:leader="none"/>
        </w:tabs>
        <w:spacing w:line="240" w:lineRule="auto" w:before="239" w:after="0"/>
        <w:ind w:left="2062" w:right="770" w:firstLine="0"/>
        <w:jc w:val="both"/>
        <w:rPr>
          <w:sz w:val="24"/>
        </w:rPr>
      </w:pPr>
      <w:r>
        <w:rPr>
          <w:sz w:val="24"/>
        </w:rPr>
        <w:t>Pavement dwellers and hutment dwellers in the slum on land required for vital public purpose or such location which are otherwise unsuitable</w:t>
      </w:r>
      <w:r>
        <w:rPr>
          <w:spacing w:val="-8"/>
          <w:sz w:val="24"/>
        </w:rPr>
        <w:t> </w:t>
      </w:r>
      <w:r>
        <w:rPr>
          <w:sz w:val="24"/>
        </w:rPr>
        <w:t>for</w:t>
      </w:r>
      <w:r>
        <w:rPr>
          <w:spacing w:val="-8"/>
          <w:sz w:val="24"/>
        </w:rPr>
        <w:t> </w:t>
      </w:r>
      <w:r>
        <w:rPr>
          <w:sz w:val="24"/>
        </w:rPr>
        <w:t>human</w:t>
      </w:r>
      <w:r>
        <w:rPr>
          <w:spacing w:val="-8"/>
          <w:sz w:val="24"/>
        </w:rPr>
        <w:t> </w:t>
      </w:r>
      <w:r>
        <w:rPr>
          <w:sz w:val="24"/>
        </w:rPr>
        <w:t>habitation</w:t>
      </w:r>
      <w:r>
        <w:rPr>
          <w:spacing w:val="-8"/>
          <w:sz w:val="24"/>
        </w:rPr>
        <w:t> </w:t>
      </w:r>
      <w:r>
        <w:rPr>
          <w:sz w:val="24"/>
        </w:rPr>
        <w:t>or</w:t>
      </w:r>
      <w:r>
        <w:rPr>
          <w:spacing w:val="-8"/>
          <w:sz w:val="24"/>
        </w:rPr>
        <w:t> </w:t>
      </w:r>
      <w:r>
        <w:rPr>
          <w:sz w:val="24"/>
        </w:rPr>
        <w:t>non-suitable</w:t>
      </w:r>
      <w:r>
        <w:rPr>
          <w:spacing w:val="-8"/>
          <w:sz w:val="24"/>
        </w:rPr>
        <w:t> </w:t>
      </w:r>
      <w:r>
        <w:rPr>
          <w:sz w:val="24"/>
        </w:rPr>
        <w:t>due</w:t>
      </w:r>
      <w:r>
        <w:rPr>
          <w:spacing w:val="-8"/>
          <w:sz w:val="24"/>
        </w:rPr>
        <w:t> </w:t>
      </w:r>
      <w:r>
        <w:rPr>
          <w:sz w:val="24"/>
        </w:rPr>
        <w:t>to</w:t>
      </w:r>
      <w:r>
        <w:rPr>
          <w:spacing w:val="-8"/>
          <w:sz w:val="24"/>
        </w:rPr>
        <w:t> </w:t>
      </w:r>
      <w:r>
        <w:rPr>
          <w:sz w:val="24"/>
        </w:rPr>
        <w:t>other</w:t>
      </w:r>
      <w:r>
        <w:rPr>
          <w:spacing w:val="-6"/>
          <w:sz w:val="24"/>
        </w:rPr>
        <w:t> </w:t>
      </w:r>
      <w:r>
        <w:rPr>
          <w:sz w:val="24"/>
        </w:rPr>
        <w:t>statutory restriction shall not be rehabilitated in-situ but in other available location and in accordance with these Regulations. Competent Authority appointed by the State Government in Housing Department shall on the basis of verification of documents as may be prescribed shall decide on the eligibility of hutment dwellers.</w:t>
      </w:r>
    </w:p>
    <w:p>
      <w:pPr>
        <w:pStyle w:val="ListParagraph"/>
        <w:numPr>
          <w:ilvl w:val="1"/>
          <w:numId w:val="182"/>
        </w:numPr>
        <w:tabs>
          <w:tab w:pos="2511" w:val="left" w:leader="none"/>
        </w:tabs>
        <w:spacing w:line="240" w:lineRule="auto" w:before="243" w:after="0"/>
        <w:ind w:left="2062" w:right="770" w:firstLine="0"/>
        <w:jc w:val="both"/>
        <w:rPr>
          <w:sz w:val="24"/>
        </w:rPr>
      </w:pPr>
      <w:r>
        <w:rPr>
          <w:sz w:val="24"/>
        </w:rPr>
        <w:t>The</w:t>
      </w:r>
      <w:r>
        <w:rPr>
          <w:spacing w:val="-4"/>
          <w:sz w:val="24"/>
        </w:rPr>
        <w:t> </w:t>
      </w:r>
      <w:r>
        <w:rPr>
          <w:sz w:val="24"/>
        </w:rPr>
        <w:t>eligibility</w:t>
      </w:r>
      <w:r>
        <w:rPr>
          <w:spacing w:val="-4"/>
          <w:sz w:val="24"/>
        </w:rPr>
        <w:t> </w:t>
      </w:r>
      <w:r>
        <w:rPr>
          <w:sz w:val="24"/>
        </w:rPr>
        <w:t>of</w:t>
      </w:r>
      <w:r>
        <w:rPr>
          <w:spacing w:val="-4"/>
          <w:sz w:val="24"/>
        </w:rPr>
        <w:t> </w:t>
      </w:r>
      <w:r>
        <w:rPr>
          <w:sz w:val="24"/>
        </w:rPr>
        <w:t>a</w:t>
      </w:r>
      <w:r>
        <w:rPr>
          <w:spacing w:val="-4"/>
          <w:sz w:val="24"/>
        </w:rPr>
        <w:t> </w:t>
      </w:r>
      <w:r>
        <w:rPr>
          <w:sz w:val="24"/>
        </w:rPr>
        <w:t>person</w:t>
      </w:r>
      <w:r>
        <w:rPr>
          <w:spacing w:val="-4"/>
          <w:sz w:val="24"/>
        </w:rPr>
        <w:t> </w:t>
      </w:r>
      <w:r>
        <w:rPr>
          <w:sz w:val="24"/>
        </w:rPr>
        <w:t>including</w:t>
      </w:r>
      <w:r>
        <w:rPr>
          <w:spacing w:val="-4"/>
          <w:sz w:val="24"/>
        </w:rPr>
        <w:t> </w:t>
      </w:r>
      <w:r>
        <w:rPr>
          <w:sz w:val="24"/>
        </w:rPr>
        <w:t>a</w:t>
      </w:r>
      <w:r>
        <w:rPr>
          <w:spacing w:val="-4"/>
          <w:sz w:val="24"/>
        </w:rPr>
        <w:t> </w:t>
      </w:r>
      <w:r>
        <w:rPr>
          <w:sz w:val="24"/>
        </w:rPr>
        <w:t>transferee,</w:t>
      </w:r>
      <w:r>
        <w:rPr>
          <w:spacing w:val="-4"/>
          <w:sz w:val="24"/>
        </w:rPr>
        <w:t> </w:t>
      </w:r>
      <w:r>
        <w:rPr>
          <w:sz w:val="24"/>
        </w:rPr>
        <w:t>under</w:t>
      </w:r>
      <w:r>
        <w:rPr>
          <w:spacing w:val="-4"/>
          <w:sz w:val="24"/>
        </w:rPr>
        <w:t> </w:t>
      </w:r>
      <w:r>
        <w:rPr>
          <w:sz w:val="24"/>
        </w:rPr>
        <w:t>a</w:t>
      </w:r>
      <w:r>
        <w:rPr>
          <w:spacing w:val="-6"/>
          <w:sz w:val="24"/>
        </w:rPr>
        <w:t> </w:t>
      </w:r>
      <w:r>
        <w:rPr>
          <w:sz w:val="24"/>
        </w:rPr>
        <w:t>scheme</w:t>
      </w:r>
      <w:r>
        <w:rPr>
          <w:spacing w:val="-4"/>
          <w:sz w:val="24"/>
        </w:rPr>
        <w:t> </w:t>
      </w:r>
      <w:r>
        <w:rPr>
          <w:sz w:val="24"/>
        </w:rPr>
        <w:t>of Slum redevelopment shall be established in accordance with Chapter I B of Slum Act, and orders issued thereunder.</w:t>
      </w:r>
    </w:p>
    <w:p>
      <w:pPr>
        <w:pStyle w:val="ListParagraph"/>
        <w:numPr>
          <w:ilvl w:val="1"/>
          <w:numId w:val="182"/>
        </w:numPr>
        <w:tabs>
          <w:tab w:pos="2704" w:val="left" w:leader="none"/>
        </w:tabs>
        <w:spacing w:line="240" w:lineRule="auto" w:before="240" w:after="0"/>
        <w:ind w:left="2062" w:right="769" w:firstLine="0"/>
        <w:jc w:val="both"/>
        <w:rPr>
          <w:sz w:val="24"/>
        </w:rPr>
      </w:pPr>
      <w:r>
        <w:rPr>
          <w:sz w:val="24"/>
        </w:rPr>
        <w:t>An individual agreement shall be entered into by the owner/developer/co-operative housing society/NGO with the eligible hutment-dwellers in the slum/pavement.1.7 An individual agreement entered into between hutment-dweller and the owner/developer/co- operative</w:t>
      </w:r>
      <w:r>
        <w:rPr>
          <w:spacing w:val="-15"/>
          <w:sz w:val="24"/>
        </w:rPr>
        <w:t> </w:t>
      </w:r>
      <w:r>
        <w:rPr>
          <w:sz w:val="24"/>
        </w:rPr>
        <w:t>society/</w:t>
      </w:r>
      <w:r>
        <w:rPr>
          <w:spacing w:val="-15"/>
          <w:sz w:val="24"/>
        </w:rPr>
        <w:t> </w:t>
      </w:r>
      <w:r>
        <w:rPr>
          <w:sz w:val="24"/>
        </w:rPr>
        <w:t>NGO</w:t>
      </w:r>
      <w:r>
        <w:rPr>
          <w:spacing w:val="-15"/>
          <w:sz w:val="24"/>
        </w:rPr>
        <w:t> </w:t>
      </w:r>
      <w:r>
        <w:rPr>
          <w:sz w:val="24"/>
        </w:rPr>
        <w:t>shall</w:t>
      </w:r>
      <w:r>
        <w:rPr>
          <w:spacing w:val="-15"/>
          <w:sz w:val="24"/>
        </w:rPr>
        <w:t> </w:t>
      </w:r>
      <w:r>
        <w:rPr>
          <w:sz w:val="24"/>
        </w:rPr>
        <w:t>be</w:t>
      </w:r>
      <w:r>
        <w:rPr>
          <w:spacing w:val="-15"/>
          <w:sz w:val="24"/>
        </w:rPr>
        <w:t> </w:t>
      </w:r>
      <w:r>
        <w:rPr>
          <w:sz w:val="24"/>
        </w:rPr>
        <w:t>in</w:t>
      </w:r>
      <w:r>
        <w:rPr>
          <w:spacing w:val="-15"/>
          <w:sz w:val="24"/>
        </w:rPr>
        <w:t> </w:t>
      </w:r>
      <w:r>
        <w:rPr>
          <w:sz w:val="24"/>
        </w:rPr>
        <w:t>the</w:t>
      </w:r>
      <w:r>
        <w:rPr>
          <w:spacing w:val="-15"/>
          <w:sz w:val="24"/>
        </w:rPr>
        <w:t> </w:t>
      </w:r>
      <w:r>
        <w:rPr>
          <w:sz w:val="24"/>
        </w:rPr>
        <w:t>joint</w:t>
      </w:r>
      <w:r>
        <w:rPr>
          <w:spacing w:val="-15"/>
          <w:sz w:val="24"/>
        </w:rPr>
        <w:t> </w:t>
      </w:r>
      <w:r>
        <w:rPr>
          <w:sz w:val="24"/>
        </w:rPr>
        <w:t>names</w:t>
      </w:r>
      <w:r>
        <w:rPr>
          <w:spacing w:val="-15"/>
          <w:sz w:val="24"/>
        </w:rPr>
        <w:t> </w:t>
      </w:r>
      <w:r>
        <w:rPr>
          <w:sz w:val="24"/>
        </w:rPr>
        <w:t>of</w:t>
      </w:r>
      <w:r>
        <w:rPr>
          <w:spacing w:val="-15"/>
          <w:sz w:val="24"/>
        </w:rPr>
        <w:t> </w:t>
      </w:r>
      <w:r>
        <w:rPr>
          <w:sz w:val="24"/>
        </w:rPr>
        <w:t>pramukh</w:t>
      </w:r>
      <w:r>
        <w:rPr>
          <w:spacing w:val="-15"/>
          <w:sz w:val="24"/>
        </w:rPr>
        <w:t> </w:t>
      </w:r>
      <w:r>
        <w:rPr>
          <w:sz w:val="24"/>
        </w:rPr>
        <w:t>hutment dweller and spouse for every protected dwelling structure</w:t>
      </w:r>
    </w:p>
    <w:p>
      <w:pPr>
        <w:pStyle w:val="BodyText"/>
        <w:spacing w:before="240"/>
        <w:ind w:left="2062" w:right="766"/>
      </w:pPr>
      <w:r>
        <w:rPr/>
        <w:t>1.8 Hutments dwellers in category having a differently abled person or female</w:t>
      </w:r>
      <w:r>
        <w:rPr>
          <w:spacing w:val="-9"/>
        </w:rPr>
        <w:t> </w:t>
      </w:r>
      <w:r>
        <w:rPr/>
        <w:t>headed</w:t>
      </w:r>
      <w:r>
        <w:rPr>
          <w:spacing w:val="-9"/>
        </w:rPr>
        <w:t> </w:t>
      </w:r>
      <w:r>
        <w:rPr/>
        <w:t>households</w:t>
      </w:r>
      <w:r>
        <w:rPr>
          <w:spacing w:val="-9"/>
        </w:rPr>
        <w:t> </w:t>
      </w:r>
      <w:r>
        <w:rPr/>
        <w:t>shall</w:t>
      </w:r>
      <w:r>
        <w:rPr>
          <w:spacing w:val="-9"/>
        </w:rPr>
        <w:t> </w:t>
      </w:r>
      <w:r>
        <w:rPr/>
        <w:t>be</w:t>
      </w:r>
      <w:r>
        <w:rPr>
          <w:spacing w:val="-9"/>
        </w:rPr>
        <w:t> </w:t>
      </w:r>
      <w:r>
        <w:rPr/>
        <w:t>given</w:t>
      </w:r>
      <w:r>
        <w:rPr>
          <w:spacing w:val="-12"/>
        </w:rPr>
        <w:t> </w:t>
      </w:r>
      <w:r>
        <w:rPr/>
        <w:t>first</w:t>
      </w:r>
      <w:r>
        <w:rPr>
          <w:spacing w:val="-9"/>
        </w:rPr>
        <w:t> </w:t>
      </w:r>
      <w:r>
        <w:rPr/>
        <w:t>preference</w:t>
      </w:r>
      <w:r>
        <w:rPr>
          <w:spacing w:val="-9"/>
        </w:rPr>
        <w:t> </w:t>
      </w:r>
      <w:r>
        <w:rPr/>
        <w:t>in</w:t>
      </w:r>
      <w:r>
        <w:rPr>
          <w:spacing w:val="-9"/>
        </w:rPr>
        <w:t> </w:t>
      </w:r>
      <w:r>
        <w:rPr/>
        <w:t>allotment</w:t>
      </w:r>
      <w:r>
        <w:rPr>
          <w:spacing w:val="-9"/>
        </w:rPr>
        <w:t> </w:t>
      </w:r>
      <w:r>
        <w:rPr/>
        <w:t>of tenements. Thereafter lots shall be drawn for allotment of tenements from the remaining tenements to the other eligible hutment-</w:t>
      </w:r>
      <w:r>
        <w:rPr/>
        <w:t>dwellers before grant of O.C.to rehab Building.1.9 Transfer of Photopasses- Since, only the actual occupant at present will be eligible for redevelopment, there shall be no need to regularize the transfers of photopasses that have occurred so far. A photopass will be given after the new tenement has been occupied.</w:t>
      </w:r>
    </w:p>
    <w:p>
      <w:pPr>
        <w:pStyle w:val="ListParagraph"/>
        <w:numPr>
          <w:ilvl w:val="1"/>
          <w:numId w:val="183"/>
        </w:numPr>
        <w:tabs>
          <w:tab w:pos="2644" w:val="left" w:leader="none"/>
        </w:tabs>
        <w:spacing w:line="240" w:lineRule="auto" w:before="239" w:after="0"/>
        <w:ind w:left="2062" w:right="770" w:firstLine="0"/>
        <w:jc w:val="both"/>
        <w:rPr>
          <w:sz w:val="24"/>
        </w:rPr>
      </w:pPr>
      <w:r>
        <w:rPr>
          <w:sz w:val="24"/>
        </w:rPr>
        <w:t>Any</w:t>
      </w:r>
      <w:r>
        <w:rPr>
          <w:spacing w:val="-18"/>
          <w:sz w:val="24"/>
        </w:rPr>
        <w:t> </w:t>
      </w:r>
      <w:r>
        <w:rPr>
          <w:sz w:val="24"/>
        </w:rPr>
        <w:t>person</w:t>
      </w:r>
      <w:r>
        <w:rPr>
          <w:spacing w:val="-17"/>
          <w:sz w:val="24"/>
        </w:rPr>
        <w:t> </w:t>
      </w:r>
      <w:r>
        <w:rPr>
          <w:sz w:val="24"/>
        </w:rPr>
        <w:t>who</w:t>
      </w:r>
      <w:r>
        <w:rPr>
          <w:spacing w:val="-18"/>
          <w:sz w:val="24"/>
        </w:rPr>
        <w:t> </w:t>
      </w:r>
      <w:r>
        <w:rPr>
          <w:sz w:val="24"/>
        </w:rPr>
        <w:t>owns</w:t>
      </w:r>
      <w:r>
        <w:rPr>
          <w:spacing w:val="-18"/>
          <w:sz w:val="24"/>
        </w:rPr>
        <w:t> </w:t>
      </w:r>
      <w:r>
        <w:rPr>
          <w:sz w:val="24"/>
        </w:rPr>
        <w:t>a</w:t>
      </w:r>
      <w:r>
        <w:rPr>
          <w:spacing w:val="-18"/>
          <w:sz w:val="24"/>
        </w:rPr>
        <w:t> </w:t>
      </w:r>
      <w:r>
        <w:rPr>
          <w:sz w:val="24"/>
        </w:rPr>
        <w:t>dwelling</w:t>
      </w:r>
      <w:r>
        <w:rPr>
          <w:spacing w:val="-18"/>
          <w:sz w:val="24"/>
        </w:rPr>
        <w:t> </w:t>
      </w:r>
      <w:r>
        <w:rPr>
          <w:sz w:val="24"/>
        </w:rPr>
        <w:t>unit</w:t>
      </w:r>
      <w:r>
        <w:rPr>
          <w:spacing w:val="-18"/>
          <w:sz w:val="24"/>
        </w:rPr>
        <w:t> </w:t>
      </w:r>
      <w:r>
        <w:rPr>
          <w:sz w:val="24"/>
        </w:rPr>
        <w:t>on</w:t>
      </w:r>
      <w:r>
        <w:rPr>
          <w:spacing w:val="-18"/>
          <w:sz w:val="24"/>
        </w:rPr>
        <w:t> </w:t>
      </w:r>
      <w:r>
        <w:rPr>
          <w:sz w:val="24"/>
        </w:rPr>
        <w:t>ownership</w:t>
      </w:r>
      <w:r>
        <w:rPr>
          <w:spacing w:val="-18"/>
          <w:sz w:val="24"/>
        </w:rPr>
        <w:t> </w:t>
      </w:r>
      <w:r>
        <w:rPr>
          <w:sz w:val="24"/>
        </w:rPr>
        <w:t>basis</w:t>
      </w:r>
      <w:r>
        <w:rPr>
          <w:spacing w:val="-18"/>
          <w:sz w:val="24"/>
        </w:rPr>
        <w:t> </w:t>
      </w:r>
      <w:r>
        <w:rPr>
          <w:sz w:val="24"/>
        </w:rPr>
        <w:t>in</w:t>
      </w:r>
      <w:r>
        <w:rPr>
          <w:spacing w:val="-18"/>
          <w:sz w:val="24"/>
        </w:rPr>
        <w:t> </w:t>
      </w:r>
      <w:r>
        <w:rPr>
          <w:sz w:val="24"/>
        </w:rPr>
        <w:t>MCGM area, shall not be</w:t>
      </w:r>
      <w:r>
        <w:rPr>
          <w:spacing w:val="-1"/>
          <w:sz w:val="24"/>
        </w:rPr>
        <w:t> </w:t>
      </w:r>
      <w:r>
        <w:rPr>
          <w:sz w:val="24"/>
        </w:rPr>
        <w:t>held eligible under this</w:t>
      </w:r>
      <w:r>
        <w:rPr>
          <w:spacing w:val="-1"/>
          <w:sz w:val="24"/>
        </w:rPr>
        <w:t> </w:t>
      </w:r>
      <w:r>
        <w:rPr>
          <w:sz w:val="24"/>
        </w:rPr>
        <w:t>scheme. Any person</w:t>
      </w:r>
      <w:r>
        <w:rPr>
          <w:spacing w:val="-1"/>
          <w:sz w:val="24"/>
        </w:rPr>
        <w:t> </w:t>
      </w:r>
      <w:r>
        <w:rPr>
          <w:sz w:val="24"/>
        </w:rPr>
        <w:t>who can be held eligible under more than one SRS, shall be held eligible in only one scheme.</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1"/>
          <w:numId w:val="183"/>
        </w:numPr>
        <w:tabs>
          <w:tab w:pos="2773" w:val="left" w:leader="none"/>
        </w:tabs>
        <w:spacing w:line="240" w:lineRule="auto" w:before="249" w:after="0"/>
        <w:ind w:left="2062" w:right="766" w:firstLine="0"/>
        <w:jc w:val="both"/>
        <w:rPr>
          <w:sz w:val="24"/>
        </w:rPr>
      </w:pPr>
      <w:r>
        <w:rPr>
          <w:sz w:val="24"/>
        </w:rPr>
        <w:t>Premium for ownership and terms of lease-. That part of Government/MCGM/MHADA land on which the rehabilitation component of the SRS will be constructed shall be leased to the Co- operative Housing Society of the slum-dwellers on 30 years. Annual lease rent of Rs. 1001 for 4000 per sq. m. of land or part thereof and lease shall be renewable for a further period of 30 years at a time simultaneously</w:t>
      </w:r>
      <w:r>
        <w:rPr>
          <w:spacing w:val="-3"/>
          <w:sz w:val="24"/>
        </w:rPr>
        <w:t> </w:t>
      </w:r>
      <w:r>
        <w:rPr>
          <w:sz w:val="24"/>
        </w:rPr>
        <w:t>land</w:t>
      </w:r>
      <w:r>
        <w:rPr>
          <w:spacing w:val="-1"/>
          <w:sz w:val="24"/>
        </w:rPr>
        <w:t> </w:t>
      </w:r>
      <w:r>
        <w:rPr>
          <w:sz w:val="24"/>
        </w:rPr>
        <w:t>under</w:t>
      </w:r>
      <w:r>
        <w:rPr>
          <w:spacing w:val="-3"/>
          <w:sz w:val="24"/>
        </w:rPr>
        <w:t> </w:t>
      </w:r>
      <w:r>
        <w:rPr>
          <w:sz w:val="24"/>
        </w:rPr>
        <w:t>free</w:t>
      </w:r>
      <w:r>
        <w:rPr>
          <w:spacing w:val="-3"/>
          <w:sz w:val="24"/>
        </w:rPr>
        <w:t> </w:t>
      </w:r>
      <w:r>
        <w:rPr>
          <w:sz w:val="24"/>
        </w:rPr>
        <w:t>sale</w:t>
      </w:r>
      <w:r>
        <w:rPr>
          <w:spacing w:val="-1"/>
          <w:sz w:val="24"/>
        </w:rPr>
        <w:t> </w:t>
      </w:r>
      <w:r>
        <w:rPr>
          <w:sz w:val="24"/>
        </w:rPr>
        <w:t>component</w:t>
      </w:r>
      <w:r>
        <w:rPr>
          <w:spacing w:val="-3"/>
          <w:sz w:val="24"/>
        </w:rPr>
        <w:t> </w:t>
      </w:r>
      <w:r>
        <w:rPr>
          <w:sz w:val="24"/>
        </w:rPr>
        <w:t>shall</w:t>
      </w:r>
      <w:r>
        <w:rPr>
          <w:spacing w:val="-3"/>
          <w:sz w:val="24"/>
        </w:rPr>
        <w:t> </w:t>
      </w:r>
      <w:r>
        <w:rPr>
          <w:sz w:val="24"/>
        </w:rPr>
        <w:t>be</w:t>
      </w:r>
      <w:r>
        <w:rPr>
          <w:spacing w:val="-3"/>
          <w:sz w:val="24"/>
        </w:rPr>
        <w:t> </w:t>
      </w:r>
      <w:r>
        <w:rPr>
          <w:sz w:val="24"/>
        </w:rPr>
        <w:t>leased</w:t>
      </w:r>
      <w:r>
        <w:rPr>
          <w:spacing w:val="-3"/>
          <w:sz w:val="24"/>
        </w:rPr>
        <w:t> </w:t>
      </w:r>
      <w:r>
        <w:rPr>
          <w:sz w:val="24"/>
        </w:rPr>
        <w:t>directly to</w:t>
      </w:r>
      <w:r>
        <w:rPr>
          <w:spacing w:val="-9"/>
          <w:sz w:val="24"/>
        </w:rPr>
        <w:t> </w:t>
      </w:r>
      <w:r>
        <w:rPr>
          <w:sz w:val="24"/>
        </w:rPr>
        <w:t>the</w:t>
      </w:r>
      <w:r>
        <w:rPr>
          <w:spacing w:val="-9"/>
          <w:sz w:val="24"/>
        </w:rPr>
        <w:t> </w:t>
      </w:r>
      <w:r>
        <w:rPr>
          <w:sz w:val="24"/>
        </w:rPr>
        <w:t>Society/Association</w:t>
      </w:r>
      <w:r>
        <w:rPr>
          <w:spacing w:val="-9"/>
          <w:sz w:val="24"/>
        </w:rPr>
        <w:t> </w:t>
      </w:r>
      <w:r>
        <w:rPr>
          <w:sz w:val="24"/>
        </w:rPr>
        <w:t>of</w:t>
      </w:r>
      <w:r>
        <w:rPr>
          <w:spacing w:val="-9"/>
          <w:sz w:val="24"/>
        </w:rPr>
        <w:t> </w:t>
      </w:r>
      <w:r>
        <w:rPr>
          <w:sz w:val="24"/>
        </w:rPr>
        <w:t>the</w:t>
      </w:r>
      <w:r>
        <w:rPr>
          <w:spacing w:val="-9"/>
          <w:sz w:val="24"/>
        </w:rPr>
        <w:t> </w:t>
      </w:r>
      <w:r>
        <w:rPr>
          <w:sz w:val="24"/>
        </w:rPr>
        <w:t>purchasers</w:t>
      </w:r>
      <w:r>
        <w:rPr>
          <w:spacing w:val="-9"/>
          <w:sz w:val="24"/>
        </w:rPr>
        <w:t> </w:t>
      </w:r>
      <w:r>
        <w:rPr>
          <w:sz w:val="24"/>
        </w:rPr>
        <w:t>of</w:t>
      </w:r>
      <w:r>
        <w:rPr>
          <w:spacing w:val="-9"/>
          <w:sz w:val="24"/>
        </w:rPr>
        <w:t> </w:t>
      </w:r>
      <w:r>
        <w:rPr>
          <w:sz w:val="24"/>
        </w:rPr>
        <w:t>the</w:t>
      </w:r>
      <w:r>
        <w:rPr>
          <w:spacing w:val="-9"/>
          <w:sz w:val="24"/>
        </w:rPr>
        <w:t> </w:t>
      </w:r>
      <w:r>
        <w:rPr>
          <w:sz w:val="24"/>
        </w:rPr>
        <w:t>tenement</w:t>
      </w:r>
      <w:r>
        <w:rPr>
          <w:spacing w:val="-13"/>
          <w:sz w:val="24"/>
        </w:rPr>
        <w:t> </w:t>
      </w:r>
      <w:r>
        <w:rPr>
          <w:sz w:val="24"/>
        </w:rPr>
        <w:t>under</w:t>
      </w:r>
      <w:r>
        <w:rPr>
          <w:spacing w:val="-9"/>
          <w:sz w:val="24"/>
        </w:rPr>
        <w:t> </w:t>
      </w:r>
      <w:r>
        <w:rPr>
          <w:sz w:val="24"/>
        </w:rPr>
        <w:t>free sale</w:t>
      </w:r>
      <w:r>
        <w:rPr>
          <w:spacing w:val="-17"/>
          <w:sz w:val="24"/>
        </w:rPr>
        <w:t> </w:t>
      </w:r>
      <w:r>
        <w:rPr>
          <w:sz w:val="24"/>
        </w:rPr>
        <w:t>component.</w:t>
      </w:r>
      <w:r>
        <w:rPr>
          <w:spacing w:val="-17"/>
          <w:sz w:val="24"/>
        </w:rPr>
        <w:t> </w:t>
      </w:r>
      <w:r>
        <w:rPr>
          <w:sz w:val="24"/>
        </w:rPr>
        <w:t>Pending</w:t>
      </w:r>
      <w:r>
        <w:rPr>
          <w:spacing w:val="-17"/>
          <w:sz w:val="24"/>
        </w:rPr>
        <w:t> </w:t>
      </w:r>
      <w:r>
        <w:rPr>
          <w:sz w:val="24"/>
        </w:rPr>
        <w:t>the</w:t>
      </w:r>
      <w:r>
        <w:rPr>
          <w:spacing w:val="-17"/>
          <w:sz w:val="24"/>
        </w:rPr>
        <w:t> </w:t>
      </w:r>
      <w:r>
        <w:rPr>
          <w:sz w:val="24"/>
        </w:rPr>
        <w:t>formation</w:t>
      </w:r>
      <w:r>
        <w:rPr>
          <w:spacing w:val="-17"/>
          <w:sz w:val="24"/>
        </w:rPr>
        <w:t> </w:t>
      </w:r>
      <w:r>
        <w:rPr>
          <w:sz w:val="24"/>
        </w:rPr>
        <w:t>of</w:t>
      </w:r>
      <w:r>
        <w:rPr>
          <w:spacing w:val="-15"/>
          <w:sz w:val="24"/>
        </w:rPr>
        <w:t> </w:t>
      </w:r>
      <w:r>
        <w:rPr>
          <w:sz w:val="24"/>
        </w:rPr>
        <w:t>the</w:t>
      </w:r>
      <w:r>
        <w:rPr>
          <w:spacing w:val="-17"/>
          <w:sz w:val="24"/>
        </w:rPr>
        <w:t> </w:t>
      </w:r>
      <w:r>
        <w:rPr>
          <w:sz w:val="24"/>
        </w:rPr>
        <w:t>Society/Association</w:t>
      </w:r>
      <w:r>
        <w:rPr>
          <w:spacing w:val="-17"/>
          <w:sz w:val="24"/>
        </w:rPr>
        <w:t> </w:t>
      </w:r>
      <w:r>
        <w:rPr>
          <w:sz w:val="24"/>
        </w:rPr>
        <w:t>of</w:t>
      </w:r>
      <w:r>
        <w:rPr>
          <w:spacing w:val="-17"/>
          <w:sz w:val="24"/>
        </w:rPr>
        <w:t> </w:t>
      </w:r>
      <w:r>
        <w:rPr>
          <w:sz w:val="24"/>
        </w:rPr>
        <w:t>the purchasers in the free sale component with a provision for further renewal</w:t>
      </w:r>
      <w:r>
        <w:rPr>
          <w:spacing w:val="-12"/>
          <w:sz w:val="24"/>
        </w:rPr>
        <w:t> </w:t>
      </w:r>
      <w:r>
        <w:rPr>
          <w:sz w:val="24"/>
        </w:rPr>
        <w:t>for</w:t>
      </w:r>
      <w:r>
        <w:rPr>
          <w:spacing w:val="-12"/>
          <w:sz w:val="24"/>
        </w:rPr>
        <w:t> </w:t>
      </w:r>
      <w:r>
        <w:rPr>
          <w:sz w:val="24"/>
        </w:rPr>
        <w:t>a</w:t>
      </w:r>
      <w:r>
        <w:rPr>
          <w:spacing w:val="-12"/>
          <w:sz w:val="24"/>
        </w:rPr>
        <w:t> </w:t>
      </w:r>
      <w:r>
        <w:rPr>
          <w:sz w:val="24"/>
        </w:rPr>
        <w:t>period</w:t>
      </w:r>
      <w:r>
        <w:rPr>
          <w:spacing w:val="-12"/>
          <w:sz w:val="24"/>
        </w:rPr>
        <w:t> </w:t>
      </w:r>
      <w:r>
        <w:rPr>
          <w:sz w:val="24"/>
        </w:rPr>
        <w:t>of</w:t>
      </w:r>
      <w:r>
        <w:rPr>
          <w:spacing w:val="-12"/>
          <w:sz w:val="24"/>
        </w:rPr>
        <w:t> </w:t>
      </w:r>
      <w:r>
        <w:rPr>
          <w:sz w:val="24"/>
        </w:rPr>
        <w:t>30</w:t>
      </w:r>
      <w:r>
        <w:rPr>
          <w:spacing w:val="-12"/>
          <w:sz w:val="24"/>
        </w:rPr>
        <w:t> </w:t>
      </w:r>
      <w:r>
        <w:rPr>
          <w:sz w:val="24"/>
        </w:rPr>
        <w:t>years</w:t>
      </w:r>
      <w:r>
        <w:rPr>
          <w:spacing w:val="-12"/>
          <w:sz w:val="24"/>
        </w:rPr>
        <w:t> </w:t>
      </w:r>
      <w:r>
        <w:rPr>
          <w:sz w:val="24"/>
        </w:rPr>
        <w:t>at</w:t>
      </w:r>
      <w:r>
        <w:rPr>
          <w:spacing w:val="-12"/>
          <w:sz w:val="24"/>
        </w:rPr>
        <w:t> </w:t>
      </w:r>
      <w:r>
        <w:rPr>
          <w:sz w:val="24"/>
        </w:rPr>
        <w:t>a</w:t>
      </w:r>
      <w:r>
        <w:rPr>
          <w:spacing w:val="-12"/>
          <w:sz w:val="24"/>
        </w:rPr>
        <w:t> </w:t>
      </w:r>
      <w:r>
        <w:rPr>
          <w:sz w:val="24"/>
        </w:rPr>
        <w:t>time.</w:t>
      </w:r>
      <w:r>
        <w:rPr>
          <w:spacing w:val="-12"/>
          <w:sz w:val="24"/>
        </w:rPr>
        <w:t> </w:t>
      </w:r>
      <w:r>
        <w:rPr>
          <w:sz w:val="24"/>
        </w:rPr>
        <w:t>The</w:t>
      </w:r>
      <w:r>
        <w:rPr>
          <w:spacing w:val="-12"/>
          <w:sz w:val="24"/>
        </w:rPr>
        <w:t> </w:t>
      </w:r>
      <w:r>
        <w:rPr>
          <w:sz w:val="24"/>
        </w:rPr>
        <w:t>lease</w:t>
      </w:r>
      <w:r>
        <w:rPr>
          <w:spacing w:val="-12"/>
          <w:sz w:val="24"/>
        </w:rPr>
        <w:t> </w:t>
      </w:r>
      <w:r>
        <w:rPr>
          <w:sz w:val="24"/>
        </w:rPr>
        <w:t>rent</w:t>
      </w:r>
      <w:r>
        <w:rPr>
          <w:spacing w:val="-12"/>
          <w:sz w:val="24"/>
        </w:rPr>
        <w:t> </w:t>
      </w:r>
      <w:r>
        <w:rPr>
          <w:sz w:val="24"/>
        </w:rPr>
        <w:t>for</w:t>
      </w:r>
      <w:r>
        <w:rPr>
          <w:spacing w:val="-12"/>
          <w:sz w:val="24"/>
        </w:rPr>
        <w:t> </w:t>
      </w:r>
      <w:r>
        <w:rPr>
          <w:sz w:val="24"/>
        </w:rPr>
        <w:t>the</w:t>
      </w:r>
      <w:r>
        <w:rPr>
          <w:spacing w:val="-12"/>
          <w:sz w:val="24"/>
        </w:rPr>
        <w:t> </w:t>
      </w:r>
      <w:r>
        <w:rPr>
          <w:sz w:val="24"/>
        </w:rPr>
        <w:t>free</w:t>
      </w:r>
      <w:r>
        <w:rPr>
          <w:spacing w:val="-12"/>
          <w:sz w:val="24"/>
        </w:rPr>
        <w:t> </w:t>
      </w:r>
      <w:r>
        <w:rPr>
          <w:sz w:val="24"/>
        </w:rPr>
        <w:t>sale component shall be fixed by SRA.</w:t>
      </w:r>
    </w:p>
    <w:p>
      <w:pPr>
        <w:pStyle w:val="BodyText"/>
        <w:spacing w:before="242"/>
        <w:ind w:left="2062" w:right="766"/>
      </w:pPr>
      <w:r>
        <w:rPr/>
        <w:t>In addition to above, the Developer/Co-op. Housing Society shall pay premium</w:t>
      </w:r>
      <w:r>
        <w:rPr>
          <w:spacing w:val="-10"/>
        </w:rPr>
        <w:t> </w:t>
      </w:r>
      <w:r>
        <w:rPr/>
        <w:t>at</w:t>
      </w:r>
      <w:r>
        <w:rPr>
          <w:spacing w:val="-10"/>
        </w:rPr>
        <w:t> </w:t>
      </w:r>
      <w:r>
        <w:rPr/>
        <w:t>the</w:t>
      </w:r>
      <w:r>
        <w:rPr>
          <w:spacing w:val="-10"/>
        </w:rPr>
        <w:t> </w:t>
      </w:r>
      <w:r>
        <w:rPr/>
        <w:t>rate</w:t>
      </w:r>
      <w:r>
        <w:rPr>
          <w:spacing w:val="-12"/>
        </w:rPr>
        <w:t> </w:t>
      </w:r>
      <w:r>
        <w:rPr/>
        <w:t>of</w:t>
      </w:r>
      <w:r>
        <w:rPr>
          <w:spacing w:val="-10"/>
        </w:rPr>
        <w:t> </w:t>
      </w:r>
      <w:r>
        <w:rPr/>
        <w:t>25%</w:t>
      </w:r>
      <w:r>
        <w:rPr>
          <w:spacing w:val="-10"/>
        </w:rPr>
        <w:t> </w:t>
      </w:r>
      <w:r>
        <w:rPr/>
        <w:t>of</w:t>
      </w:r>
      <w:r>
        <w:rPr>
          <w:spacing w:val="-10"/>
        </w:rPr>
        <w:t> </w:t>
      </w:r>
      <w:r>
        <w:rPr/>
        <w:t>ASR</w:t>
      </w:r>
      <w:r>
        <w:rPr>
          <w:spacing w:val="-9"/>
        </w:rPr>
        <w:t> </w:t>
      </w:r>
      <w:r>
        <w:rPr/>
        <w:t>of</w:t>
      </w:r>
      <w:r>
        <w:rPr>
          <w:spacing w:val="-10"/>
        </w:rPr>
        <w:t> </w:t>
      </w:r>
      <w:r>
        <w:rPr/>
        <w:t>the</w:t>
      </w:r>
      <w:r>
        <w:rPr>
          <w:spacing w:val="-12"/>
        </w:rPr>
        <w:t> </w:t>
      </w:r>
      <w:r>
        <w:rPr/>
        <w:t>year</w:t>
      </w:r>
      <w:r>
        <w:rPr>
          <w:spacing w:val="-10"/>
        </w:rPr>
        <w:t> </w:t>
      </w:r>
      <w:r>
        <w:rPr/>
        <w:t>of</w:t>
      </w:r>
      <w:r>
        <w:rPr>
          <w:spacing w:val="-10"/>
        </w:rPr>
        <w:t> </w:t>
      </w:r>
      <w:r>
        <w:rPr/>
        <w:t>issue</w:t>
      </w:r>
      <w:r>
        <w:rPr>
          <w:spacing w:val="-10"/>
        </w:rPr>
        <w:t> </w:t>
      </w:r>
      <w:r>
        <w:rPr/>
        <w:t>of</w:t>
      </w:r>
      <w:r>
        <w:rPr>
          <w:spacing w:val="-10"/>
        </w:rPr>
        <w:t> </w:t>
      </w:r>
      <w:r>
        <w:rPr/>
        <w:t>LOI,</w:t>
      </w:r>
      <w:r>
        <w:rPr>
          <w:spacing w:val="-9"/>
        </w:rPr>
        <w:t> </w:t>
      </w:r>
      <w:r>
        <w:rPr/>
        <w:t>in</w:t>
      </w:r>
      <w:r>
        <w:rPr>
          <w:spacing w:val="-10"/>
        </w:rPr>
        <w:t> </w:t>
      </w:r>
      <w:r>
        <w:rPr/>
        <w:t>respect of SRS proposed to be undertaken on lands owned by Government, Semi-Government undertakings and Local Bodies and premium shall go</w:t>
      </w:r>
      <w:r>
        <w:rPr>
          <w:spacing w:val="-19"/>
        </w:rPr>
        <w:t> </w:t>
      </w:r>
      <w:r>
        <w:rPr/>
        <w:t>to</w:t>
      </w:r>
      <w:r>
        <w:rPr>
          <w:spacing w:val="-19"/>
        </w:rPr>
        <w:t> </w:t>
      </w:r>
      <w:r>
        <w:rPr/>
        <w:t>land</w:t>
      </w:r>
      <w:r>
        <w:rPr>
          <w:spacing w:val="-19"/>
        </w:rPr>
        <w:t> </w:t>
      </w:r>
      <w:r>
        <w:rPr/>
        <w:t>owing</w:t>
      </w:r>
      <w:r>
        <w:rPr>
          <w:spacing w:val="-19"/>
        </w:rPr>
        <w:t> </w:t>
      </w:r>
      <w:r>
        <w:rPr/>
        <w:t>authority</w:t>
      </w:r>
      <w:r>
        <w:rPr>
          <w:spacing w:val="-18"/>
        </w:rPr>
        <w:t> </w:t>
      </w:r>
      <w:r>
        <w:rPr/>
        <w:t>such</w:t>
      </w:r>
      <w:r>
        <w:rPr>
          <w:spacing w:val="-19"/>
        </w:rPr>
        <w:t> </w:t>
      </w:r>
      <w:r>
        <w:rPr/>
        <w:t>as</w:t>
      </w:r>
      <w:r>
        <w:rPr>
          <w:spacing w:val="-19"/>
        </w:rPr>
        <w:t> </w:t>
      </w:r>
      <w:r>
        <w:rPr/>
        <w:t>MHADA,</w:t>
      </w:r>
      <w:r>
        <w:rPr>
          <w:spacing w:val="-19"/>
        </w:rPr>
        <w:t> </w:t>
      </w:r>
      <w:r>
        <w:rPr/>
        <w:t>MCGM,</w:t>
      </w:r>
      <w:r>
        <w:rPr>
          <w:spacing w:val="-19"/>
        </w:rPr>
        <w:t> </w:t>
      </w:r>
      <w:r>
        <w:rPr/>
        <w:t>MMRDA</w:t>
      </w:r>
      <w:r>
        <w:rPr>
          <w:spacing w:val="-19"/>
        </w:rPr>
        <w:t> </w:t>
      </w:r>
      <w:r>
        <w:rPr/>
        <w:t>as</w:t>
      </w:r>
      <w:r>
        <w:rPr>
          <w:spacing w:val="-19"/>
        </w:rPr>
        <w:t> </w:t>
      </w:r>
      <w:r>
        <w:rPr/>
        <w:t>the</w:t>
      </w:r>
      <w:r>
        <w:rPr>
          <w:spacing w:val="-19"/>
        </w:rPr>
        <w:t> </w:t>
      </w:r>
      <w:r>
        <w:rPr/>
        <w:t>case may be as prescribed by the land-owning authority. The premium installment so recovered shall be remitted to concern land owing authority within 30 days from the date recovery.</w:t>
      </w:r>
    </w:p>
    <w:p>
      <w:pPr>
        <w:pStyle w:val="BodyText"/>
        <w:spacing w:before="239"/>
        <w:ind w:left="2062"/>
      </w:pPr>
      <w:r>
        <w:rPr/>
        <w:t>In</w:t>
      </w:r>
      <w:r>
        <w:rPr>
          <w:spacing w:val="-15"/>
        </w:rPr>
        <w:t> </w:t>
      </w:r>
      <w:r>
        <w:rPr/>
        <w:t>the</w:t>
      </w:r>
      <w:r>
        <w:rPr>
          <w:spacing w:val="-13"/>
        </w:rPr>
        <w:t> </w:t>
      </w:r>
      <w:r>
        <w:rPr/>
        <w:t>case</w:t>
      </w:r>
      <w:r>
        <w:rPr>
          <w:spacing w:val="-12"/>
        </w:rPr>
        <w:t> </w:t>
      </w:r>
      <w:r>
        <w:rPr/>
        <w:t>of</w:t>
      </w:r>
      <w:r>
        <w:rPr>
          <w:spacing w:val="-13"/>
        </w:rPr>
        <w:t> </w:t>
      </w:r>
      <w:r>
        <w:rPr/>
        <w:t>Govt.</w:t>
      </w:r>
      <w:r>
        <w:rPr>
          <w:spacing w:val="-13"/>
        </w:rPr>
        <w:t> </w:t>
      </w:r>
      <w:r>
        <w:rPr/>
        <w:t>land</w:t>
      </w:r>
      <w:r>
        <w:rPr>
          <w:spacing w:val="-12"/>
        </w:rPr>
        <w:t> </w:t>
      </w:r>
      <w:r>
        <w:rPr/>
        <w:t>the</w:t>
      </w:r>
      <w:r>
        <w:rPr>
          <w:spacing w:val="-13"/>
        </w:rPr>
        <w:t> </w:t>
      </w:r>
      <w:r>
        <w:rPr/>
        <w:t>premium</w:t>
      </w:r>
      <w:r>
        <w:rPr>
          <w:spacing w:val="-13"/>
        </w:rPr>
        <w:t> </w:t>
      </w:r>
      <w:r>
        <w:rPr/>
        <w:t>shall</w:t>
      </w:r>
      <w:r>
        <w:rPr>
          <w:spacing w:val="-12"/>
        </w:rPr>
        <w:t> </w:t>
      </w:r>
      <w:r>
        <w:rPr/>
        <w:t>be</w:t>
      </w:r>
      <w:r>
        <w:rPr>
          <w:spacing w:val="-13"/>
        </w:rPr>
        <w:t> </w:t>
      </w:r>
      <w:r>
        <w:rPr/>
        <w:t>deposited</w:t>
      </w:r>
      <w:r>
        <w:rPr>
          <w:spacing w:val="-13"/>
        </w:rPr>
        <w:t> </w:t>
      </w:r>
      <w:r>
        <w:rPr/>
        <w:t>in</w:t>
      </w:r>
      <w:r>
        <w:rPr>
          <w:spacing w:val="-11"/>
        </w:rPr>
        <w:t> </w:t>
      </w:r>
      <w:r>
        <w:rPr>
          <w:spacing w:val="-2"/>
        </w:rPr>
        <w:t>NivaraNidhi.</w:t>
      </w:r>
    </w:p>
    <w:p>
      <w:pPr>
        <w:pStyle w:val="BodyText"/>
        <w:spacing w:before="242"/>
        <w:ind w:left="2062" w:right="770"/>
      </w:pPr>
      <w:r>
        <w:rPr/>
        <w:t>The amount of premium shall be recovered in installment as may be prescribed by Govt. from time to time. Land owning authority such as MCGM, MMRDA, MHADA shall not recover land premium in any other form. Proposals for SRS on land owned by Central Govt shall not be accepted unless NOC for the scheme is obtained from Central Govt.</w:t>
      </w:r>
    </w:p>
    <w:p>
      <w:pPr>
        <w:pStyle w:val="ListParagraph"/>
        <w:numPr>
          <w:ilvl w:val="1"/>
          <w:numId w:val="183"/>
        </w:numPr>
        <w:tabs>
          <w:tab w:pos="2675" w:val="left" w:leader="none"/>
        </w:tabs>
        <w:spacing w:line="240" w:lineRule="auto" w:before="238" w:after="0"/>
        <w:ind w:left="2062" w:right="766" w:firstLine="0"/>
        <w:jc w:val="both"/>
        <w:rPr>
          <w:sz w:val="24"/>
        </w:rPr>
      </w:pPr>
      <w:r>
        <w:rPr>
          <w:sz w:val="24"/>
        </w:rPr>
        <w:t>Automatic cancellation of Vacant Land Tenure and leases- If any land or part of any land on which slum is located is under vacant land tenure, the said tenure/lease created by MCGM or Municipal Commissioner</w:t>
      </w:r>
      <w:r>
        <w:rPr>
          <w:spacing w:val="-7"/>
          <w:sz w:val="24"/>
        </w:rPr>
        <w:t> </w:t>
      </w:r>
      <w:r>
        <w:rPr>
          <w:sz w:val="24"/>
        </w:rPr>
        <w:t>shall</w:t>
      </w:r>
      <w:r>
        <w:rPr>
          <w:spacing w:val="-7"/>
          <w:sz w:val="24"/>
        </w:rPr>
        <w:t> </w:t>
      </w:r>
      <w:r>
        <w:rPr>
          <w:sz w:val="24"/>
        </w:rPr>
        <w:t>stand</w:t>
      </w:r>
      <w:r>
        <w:rPr>
          <w:spacing w:val="-7"/>
          <w:sz w:val="24"/>
        </w:rPr>
        <w:t> </w:t>
      </w:r>
      <w:r>
        <w:rPr>
          <w:sz w:val="24"/>
        </w:rPr>
        <w:t>automatically</w:t>
      </w:r>
      <w:r>
        <w:rPr>
          <w:spacing w:val="-7"/>
          <w:sz w:val="24"/>
        </w:rPr>
        <w:t> </w:t>
      </w:r>
      <w:r>
        <w:rPr>
          <w:sz w:val="24"/>
        </w:rPr>
        <w:t>terminated</w:t>
      </w:r>
      <w:r>
        <w:rPr>
          <w:spacing w:val="-7"/>
          <w:sz w:val="24"/>
        </w:rPr>
        <w:t> </w:t>
      </w:r>
      <w:r>
        <w:rPr>
          <w:sz w:val="24"/>
        </w:rPr>
        <w:t>as</w:t>
      </w:r>
      <w:r>
        <w:rPr>
          <w:spacing w:val="-7"/>
          <w:sz w:val="24"/>
        </w:rPr>
        <w:t> </w:t>
      </w:r>
      <w:r>
        <w:rPr>
          <w:sz w:val="24"/>
        </w:rPr>
        <w:t>soon</w:t>
      </w:r>
      <w:r>
        <w:rPr>
          <w:spacing w:val="-7"/>
          <w:sz w:val="24"/>
        </w:rPr>
        <w:t> </w:t>
      </w:r>
      <w:r>
        <w:rPr>
          <w:sz w:val="24"/>
        </w:rPr>
        <w:t>as</w:t>
      </w:r>
      <w:r>
        <w:rPr>
          <w:spacing w:val="-5"/>
          <w:sz w:val="24"/>
        </w:rPr>
        <w:t> </w:t>
      </w:r>
      <w:r>
        <w:rPr>
          <w:sz w:val="24"/>
        </w:rPr>
        <w:t>letter</w:t>
      </w:r>
      <w:r>
        <w:rPr>
          <w:spacing w:val="-7"/>
          <w:sz w:val="24"/>
        </w:rPr>
        <w:t> </w:t>
      </w:r>
      <w:r>
        <w:rPr>
          <w:sz w:val="24"/>
        </w:rPr>
        <w:t>of Intent is issued by SRA for a SRS, which is a public purpose, on such land</w:t>
      </w:r>
      <w:r>
        <w:rPr>
          <w:spacing w:val="-1"/>
          <w:sz w:val="24"/>
        </w:rPr>
        <w:t> </w:t>
      </w:r>
      <w:r>
        <w:rPr>
          <w:sz w:val="24"/>
        </w:rPr>
        <w:t>is</w:t>
      </w:r>
      <w:r>
        <w:rPr>
          <w:spacing w:val="-1"/>
          <w:sz w:val="24"/>
        </w:rPr>
        <w:t> </w:t>
      </w:r>
      <w:r>
        <w:rPr>
          <w:sz w:val="24"/>
        </w:rPr>
        <w:t>prepared</w:t>
      </w:r>
      <w:r>
        <w:rPr>
          <w:spacing w:val="-1"/>
          <w:sz w:val="24"/>
        </w:rPr>
        <w:t> </w:t>
      </w:r>
      <w:r>
        <w:rPr>
          <w:sz w:val="24"/>
        </w:rPr>
        <w:t>and</w:t>
      </w:r>
      <w:r>
        <w:rPr>
          <w:spacing w:val="-1"/>
          <w:sz w:val="24"/>
        </w:rPr>
        <w:t> </w:t>
      </w:r>
      <w:r>
        <w:rPr>
          <w:sz w:val="24"/>
        </w:rPr>
        <w:t>submitted</w:t>
      </w:r>
      <w:r>
        <w:rPr>
          <w:spacing w:val="-1"/>
          <w:sz w:val="24"/>
        </w:rPr>
        <w:t> </w:t>
      </w:r>
      <w:r>
        <w:rPr>
          <w:sz w:val="24"/>
        </w:rPr>
        <w:t>for</w:t>
      </w:r>
      <w:r>
        <w:rPr>
          <w:spacing w:val="-1"/>
          <w:sz w:val="24"/>
        </w:rPr>
        <w:t> </w:t>
      </w:r>
      <w:r>
        <w:rPr>
          <w:sz w:val="24"/>
        </w:rPr>
        <w:t>approval</w:t>
      </w:r>
      <w:r>
        <w:rPr>
          <w:spacing w:val="-1"/>
          <w:sz w:val="24"/>
        </w:rPr>
        <w:t> </w:t>
      </w:r>
      <w:r>
        <w:rPr>
          <w:sz w:val="24"/>
        </w:rPr>
        <w:t>to</w:t>
      </w:r>
      <w:r>
        <w:rPr>
          <w:spacing w:val="-1"/>
          <w:sz w:val="24"/>
        </w:rPr>
        <w:t> </w:t>
      </w:r>
      <w:r>
        <w:rPr>
          <w:sz w:val="24"/>
        </w:rPr>
        <w:t>the</w:t>
      </w:r>
      <w:r>
        <w:rPr>
          <w:spacing w:val="-1"/>
          <w:sz w:val="24"/>
        </w:rPr>
        <w:t> </w:t>
      </w:r>
      <w:r>
        <w:rPr>
          <w:sz w:val="24"/>
        </w:rPr>
        <w:t>SRA.</w:t>
      </w:r>
      <w:r>
        <w:rPr>
          <w:spacing w:val="-1"/>
          <w:sz w:val="24"/>
        </w:rPr>
        <w:t> </w:t>
      </w:r>
      <w:r>
        <w:rPr>
          <w:sz w:val="24"/>
        </w:rPr>
        <w:t>Any</w:t>
      </w:r>
      <w:r>
        <w:rPr>
          <w:spacing w:val="-3"/>
          <w:sz w:val="24"/>
        </w:rPr>
        <w:t> </w:t>
      </w:r>
      <w:r>
        <w:rPr>
          <w:sz w:val="24"/>
        </w:rPr>
        <w:t>arrears</w:t>
      </w:r>
      <w:r>
        <w:rPr>
          <w:spacing w:val="-1"/>
          <w:sz w:val="24"/>
        </w:rPr>
        <w:t> </w:t>
      </w:r>
      <w:r>
        <w:rPr>
          <w:sz w:val="24"/>
        </w:rPr>
        <w:t>of dues to be collected by MCGM shall not be linked to the issue of any certificate or NOC relating to the Slum Rehabilitation Scheme.</w:t>
      </w:r>
    </w:p>
    <w:p>
      <w:pPr>
        <w:pStyle w:val="BodyText"/>
        <w:spacing w:before="243"/>
        <w:ind w:left="2062" w:right="769"/>
      </w:pPr>
      <w:r>
        <w:rPr/>
        <w:t>On</w:t>
      </w:r>
      <w:r>
        <w:rPr>
          <w:spacing w:val="-13"/>
        </w:rPr>
        <w:t> </w:t>
      </w:r>
      <w:r>
        <w:rPr/>
        <w:t>sanction</w:t>
      </w:r>
      <w:r>
        <w:rPr>
          <w:spacing w:val="-13"/>
        </w:rPr>
        <w:t> </w:t>
      </w:r>
      <w:r>
        <w:rPr/>
        <w:t>of</w:t>
      </w:r>
      <w:r>
        <w:rPr>
          <w:spacing w:val="-13"/>
        </w:rPr>
        <w:t> </w:t>
      </w:r>
      <w:r>
        <w:rPr/>
        <w:t>SRS,</w:t>
      </w:r>
      <w:r>
        <w:rPr>
          <w:spacing w:val="-13"/>
        </w:rPr>
        <w:t> </w:t>
      </w:r>
      <w:r>
        <w:rPr/>
        <w:t>rights</w:t>
      </w:r>
      <w:r>
        <w:rPr>
          <w:spacing w:val="-13"/>
        </w:rPr>
        <w:t> </w:t>
      </w:r>
      <w:r>
        <w:rPr/>
        <w:t>of</w:t>
      </w:r>
      <w:r>
        <w:rPr>
          <w:spacing w:val="-13"/>
        </w:rPr>
        <w:t> </w:t>
      </w:r>
      <w:r>
        <w:rPr/>
        <w:t>imlamalik,</w:t>
      </w:r>
      <w:r>
        <w:rPr>
          <w:spacing w:val="-13"/>
        </w:rPr>
        <w:t> </w:t>
      </w:r>
      <w:r>
        <w:rPr/>
        <w:t>municipal</w:t>
      </w:r>
      <w:r>
        <w:rPr>
          <w:spacing w:val="-13"/>
        </w:rPr>
        <w:t> </w:t>
      </w:r>
      <w:r>
        <w:rPr/>
        <w:t>tenants</w:t>
      </w:r>
      <w:r>
        <w:rPr>
          <w:spacing w:val="-13"/>
        </w:rPr>
        <w:t> </w:t>
      </w:r>
      <w:r>
        <w:rPr/>
        <w:t>or</w:t>
      </w:r>
      <w:r>
        <w:rPr>
          <w:spacing w:val="-13"/>
        </w:rPr>
        <w:t> </w:t>
      </w:r>
      <w:r>
        <w:rPr/>
        <w:t>any</w:t>
      </w:r>
      <w:r>
        <w:rPr>
          <w:spacing w:val="-13"/>
        </w:rPr>
        <w:t> </w:t>
      </w:r>
      <w:r>
        <w:rPr/>
        <w:t>other tenancy shall stand terminated in respect of the sanctioned SRS.</w:t>
      </w:r>
    </w:p>
    <w:p>
      <w:pPr>
        <w:pStyle w:val="ListParagraph"/>
        <w:numPr>
          <w:ilvl w:val="1"/>
          <w:numId w:val="183"/>
        </w:numPr>
        <w:tabs>
          <w:tab w:pos="2715" w:val="left" w:leader="none"/>
        </w:tabs>
        <w:spacing w:line="240" w:lineRule="auto" w:before="238" w:after="0"/>
        <w:ind w:left="2062" w:right="767" w:firstLine="0"/>
        <w:jc w:val="both"/>
        <w:rPr>
          <w:sz w:val="24"/>
        </w:rPr>
      </w:pPr>
      <w:r>
        <w:rPr>
          <w:sz w:val="24"/>
        </w:rPr>
        <w:t>Recovery of pending dues such as assessment, compensation, occupational charges, non-agricultural tax/dues etc. pending with public</w:t>
      </w:r>
      <w:r>
        <w:rPr>
          <w:spacing w:val="-1"/>
          <w:sz w:val="24"/>
        </w:rPr>
        <w:t> </w:t>
      </w:r>
      <w:r>
        <w:rPr>
          <w:sz w:val="24"/>
        </w:rPr>
        <w:t>authorities</w:t>
      </w:r>
      <w:r>
        <w:rPr>
          <w:spacing w:val="-1"/>
          <w:sz w:val="24"/>
        </w:rPr>
        <w:t> </w:t>
      </w:r>
      <w:r>
        <w:rPr>
          <w:sz w:val="24"/>
        </w:rPr>
        <w:t>such</w:t>
      </w:r>
      <w:r>
        <w:rPr>
          <w:spacing w:val="-1"/>
          <w:sz w:val="24"/>
        </w:rPr>
        <w:t> </w:t>
      </w:r>
      <w:r>
        <w:rPr>
          <w:sz w:val="24"/>
        </w:rPr>
        <w:t>as</w:t>
      </w:r>
      <w:r>
        <w:rPr>
          <w:spacing w:val="-1"/>
          <w:sz w:val="24"/>
        </w:rPr>
        <w:t> </w:t>
      </w:r>
      <w:r>
        <w:rPr>
          <w:sz w:val="24"/>
        </w:rPr>
        <w:t>State</w:t>
      </w:r>
      <w:r>
        <w:rPr>
          <w:spacing w:val="-1"/>
          <w:sz w:val="24"/>
        </w:rPr>
        <w:t> </w:t>
      </w:r>
      <w:r>
        <w:rPr>
          <w:sz w:val="24"/>
        </w:rPr>
        <w:t>Govt,</w:t>
      </w:r>
      <w:r>
        <w:rPr>
          <w:spacing w:val="-1"/>
          <w:sz w:val="24"/>
        </w:rPr>
        <w:t> </w:t>
      </w:r>
      <w:r>
        <w:rPr>
          <w:sz w:val="24"/>
        </w:rPr>
        <w:t>MHADA,</w:t>
      </w:r>
      <w:r>
        <w:rPr>
          <w:spacing w:val="-1"/>
          <w:sz w:val="24"/>
        </w:rPr>
        <w:t> </w:t>
      </w:r>
      <w:r>
        <w:rPr>
          <w:sz w:val="24"/>
        </w:rPr>
        <w:t>and/or</w:t>
      </w:r>
      <w:r>
        <w:rPr>
          <w:spacing w:val="-1"/>
          <w:sz w:val="24"/>
        </w:rPr>
        <w:t> </w:t>
      </w:r>
      <w:r>
        <w:rPr>
          <w:sz w:val="24"/>
        </w:rPr>
        <w:t>MCGM</w:t>
      </w:r>
      <w:r>
        <w:rPr>
          <w:spacing w:val="-1"/>
          <w:sz w:val="24"/>
        </w:rPr>
        <w:t> </w:t>
      </w:r>
      <w:r>
        <w:rPr>
          <w:sz w:val="24"/>
        </w:rPr>
        <w:t>shall</w:t>
      </w:r>
      <w:r>
        <w:rPr>
          <w:spacing w:val="-1"/>
          <w:sz w:val="24"/>
        </w:rPr>
        <w:t> </w:t>
      </w:r>
      <w:r>
        <w:rPr>
          <w:sz w:val="24"/>
        </w:rPr>
        <w:t>be dealt</w:t>
      </w:r>
      <w:r>
        <w:rPr>
          <w:spacing w:val="-1"/>
          <w:sz w:val="24"/>
        </w:rPr>
        <w:t> </w:t>
      </w:r>
      <w:r>
        <w:rPr>
          <w:sz w:val="24"/>
        </w:rPr>
        <w:t>with</w:t>
      </w:r>
      <w:r>
        <w:rPr>
          <w:spacing w:val="-1"/>
          <w:sz w:val="24"/>
        </w:rPr>
        <w:t> </w:t>
      </w:r>
      <w:r>
        <w:rPr>
          <w:sz w:val="24"/>
        </w:rPr>
        <w:t>separately and</w:t>
      </w:r>
      <w:r>
        <w:rPr>
          <w:spacing w:val="-1"/>
          <w:sz w:val="24"/>
        </w:rPr>
        <w:t> </w:t>
      </w:r>
      <w:r>
        <w:rPr>
          <w:sz w:val="24"/>
        </w:rPr>
        <w:t>not</w:t>
      </w:r>
      <w:r>
        <w:rPr>
          <w:spacing w:val="-1"/>
          <w:sz w:val="24"/>
        </w:rPr>
        <w:t> </w:t>
      </w:r>
      <w:r>
        <w:rPr>
          <w:sz w:val="24"/>
        </w:rPr>
        <w:t>be</w:t>
      </w:r>
      <w:r>
        <w:rPr>
          <w:spacing w:val="-1"/>
          <w:sz w:val="24"/>
        </w:rPr>
        <w:t> </w:t>
      </w:r>
      <w:r>
        <w:rPr>
          <w:sz w:val="24"/>
        </w:rPr>
        <w:t>linked to grant</w:t>
      </w:r>
      <w:r>
        <w:rPr>
          <w:spacing w:val="-1"/>
          <w:sz w:val="24"/>
        </w:rPr>
        <w:t> </w:t>
      </w:r>
      <w:r>
        <w:rPr>
          <w:sz w:val="24"/>
        </w:rPr>
        <w:t>of</w:t>
      </w:r>
      <w:r>
        <w:rPr>
          <w:spacing w:val="-1"/>
          <w:sz w:val="24"/>
        </w:rPr>
        <w:t> </w:t>
      </w:r>
      <w:r>
        <w:rPr>
          <w:sz w:val="24"/>
        </w:rPr>
        <w:t>approval</w:t>
      </w:r>
      <w:r>
        <w:rPr>
          <w:spacing w:val="-1"/>
          <w:sz w:val="24"/>
        </w:rPr>
        <w:t> </w:t>
      </w:r>
      <w:r>
        <w:rPr>
          <w:sz w:val="24"/>
        </w:rPr>
        <w:t>or building permission to the slum rehabilitation projects.</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1"/>
          <w:numId w:val="183"/>
        </w:numPr>
        <w:tabs>
          <w:tab w:pos="2659" w:val="left" w:leader="none"/>
        </w:tabs>
        <w:spacing w:line="240" w:lineRule="auto" w:before="249" w:after="0"/>
        <w:ind w:left="2062" w:right="769" w:firstLine="0"/>
        <w:jc w:val="both"/>
        <w:rPr>
          <w:sz w:val="24"/>
        </w:rPr>
      </w:pPr>
      <w:r>
        <w:rPr>
          <w:sz w:val="24"/>
        </w:rPr>
        <w:t>A</w:t>
      </w:r>
      <w:r>
        <w:rPr>
          <w:spacing w:val="-4"/>
          <w:sz w:val="24"/>
        </w:rPr>
        <w:t> </w:t>
      </w:r>
      <w:r>
        <w:rPr>
          <w:sz w:val="24"/>
        </w:rPr>
        <w:t>Slum</w:t>
      </w:r>
      <w:r>
        <w:rPr>
          <w:spacing w:val="-4"/>
          <w:sz w:val="24"/>
        </w:rPr>
        <w:t> </w:t>
      </w:r>
      <w:r>
        <w:rPr>
          <w:sz w:val="24"/>
        </w:rPr>
        <w:t>Rehabilitation</w:t>
      </w:r>
      <w:r>
        <w:rPr>
          <w:spacing w:val="-4"/>
          <w:sz w:val="24"/>
        </w:rPr>
        <w:t> </w:t>
      </w:r>
      <w:r>
        <w:rPr>
          <w:sz w:val="24"/>
        </w:rPr>
        <w:t>Project</w:t>
      </w:r>
      <w:r>
        <w:rPr>
          <w:spacing w:val="-4"/>
          <w:sz w:val="24"/>
        </w:rPr>
        <w:t> </w:t>
      </w:r>
      <w:r>
        <w:rPr>
          <w:sz w:val="24"/>
        </w:rPr>
        <w:t>shall</w:t>
      </w:r>
      <w:r>
        <w:rPr>
          <w:spacing w:val="-7"/>
          <w:sz w:val="24"/>
        </w:rPr>
        <w:t> </w:t>
      </w:r>
      <w:r>
        <w:rPr>
          <w:sz w:val="24"/>
        </w:rPr>
        <w:t>be</w:t>
      </w:r>
      <w:r>
        <w:rPr>
          <w:spacing w:val="-4"/>
          <w:sz w:val="24"/>
        </w:rPr>
        <w:t> </w:t>
      </w:r>
      <w:r>
        <w:rPr>
          <w:sz w:val="24"/>
        </w:rPr>
        <w:t>considered</w:t>
      </w:r>
      <w:r>
        <w:rPr>
          <w:spacing w:val="-4"/>
          <w:sz w:val="24"/>
        </w:rPr>
        <w:t> </w:t>
      </w:r>
      <w:r>
        <w:rPr>
          <w:sz w:val="24"/>
        </w:rPr>
        <w:t>preferably</w:t>
      </w:r>
      <w:r>
        <w:rPr>
          <w:spacing w:val="-4"/>
          <w:sz w:val="24"/>
        </w:rPr>
        <w:t> </w:t>
      </w:r>
      <w:r>
        <w:rPr>
          <w:sz w:val="24"/>
        </w:rPr>
        <w:t>when submitted through a proposed or registered co-operative housing society</w:t>
      </w:r>
      <w:r>
        <w:rPr>
          <w:spacing w:val="-15"/>
          <w:sz w:val="24"/>
        </w:rPr>
        <w:t> </w:t>
      </w:r>
      <w:r>
        <w:rPr>
          <w:sz w:val="24"/>
        </w:rPr>
        <w:t>of</w:t>
      </w:r>
      <w:r>
        <w:rPr>
          <w:spacing w:val="-15"/>
          <w:sz w:val="24"/>
        </w:rPr>
        <w:t> </w:t>
      </w:r>
      <w:r>
        <w:rPr>
          <w:sz w:val="24"/>
        </w:rPr>
        <w:t>hutment</w:t>
      </w:r>
      <w:r>
        <w:rPr>
          <w:spacing w:val="-15"/>
          <w:sz w:val="24"/>
        </w:rPr>
        <w:t> </w:t>
      </w:r>
      <w:r>
        <w:rPr>
          <w:sz w:val="24"/>
        </w:rPr>
        <w:t>dwellers</w:t>
      </w:r>
      <w:r>
        <w:rPr>
          <w:spacing w:val="-15"/>
          <w:sz w:val="24"/>
        </w:rPr>
        <w:t> </w:t>
      </w:r>
      <w:r>
        <w:rPr>
          <w:sz w:val="24"/>
        </w:rPr>
        <w:t>on</w:t>
      </w:r>
      <w:r>
        <w:rPr>
          <w:spacing w:val="-15"/>
          <w:sz w:val="24"/>
        </w:rPr>
        <w:t> </w:t>
      </w:r>
      <w:r>
        <w:rPr>
          <w:sz w:val="24"/>
        </w:rPr>
        <w:t>site.</w:t>
      </w:r>
      <w:r>
        <w:rPr>
          <w:spacing w:val="-15"/>
          <w:sz w:val="24"/>
        </w:rPr>
        <w:t> </w:t>
      </w:r>
      <w:r>
        <w:rPr>
          <w:sz w:val="24"/>
        </w:rPr>
        <w:t>The</w:t>
      </w:r>
      <w:r>
        <w:rPr>
          <w:spacing w:val="-15"/>
          <w:sz w:val="24"/>
        </w:rPr>
        <w:t> </w:t>
      </w:r>
      <w:r>
        <w:rPr>
          <w:sz w:val="24"/>
        </w:rPr>
        <w:t>said</w:t>
      </w:r>
      <w:r>
        <w:rPr>
          <w:spacing w:val="-15"/>
          <w:sz w:val="24"/>
        </w:rPr>
        <w:t> </w:t>
      </w:r>
      <w:r>
        <w:rPr>
          <w:sz w:val="24"/>
        </w:rPr>
        <w:t>society</w:t>
      </w:r>
      <w:r>
        <w:rPr>
          <w:spacing w:val="-15"/>
          <w:sz w:val="24"/>
        </w:rPr>
        <w:t> </w:t>
      </w:r>
      <w:r>
        <w:rPr>
          <w:sz w:val="24"/>
        </w:rPr>
        <w:t>shall</w:t>
      </w:r>
      <w:r>
        <w:rPr>
          <w:spacing w:val="-15"/>
          <w:sz w:val="24"/>
        </w:rPr>
        <w:t> </w:t>
      </w:r>
      <w:r>
        <w:rPr>
          <w:sz w:val="24"/>
        </w:rPr>
        <w:t>include</w:t>
      </w:r>
      <w:r>
        <w:rPr>
          <w:spacing w:val="-15"/>
          <w:sz w:val="24"/>
        </w:rPr>
        <w:t> </w:t>
      </w:r>
      <w:r>
        <w:rPr>
          <w:sz w:val="24"/>
        </w:rPr>
        <w:t>all</w:t>
      </w:r>
      <w:r>
        <w:rPr>
          <w:spacing w:val="-15"/>
          <w:sz w:val="24"/>
        </w:rPr>
        <w:t> </w:t>
      </w:r>
      <w:r>
        <w:rPr>
          <w:sz w:val="24"/>
        </w:rPr>
        <w:t>the eligible hutment on site while submitting the S.R. Scheme and give an undertaking to that effect to SRA.</w:t>
      </w:r>
    </w:p>
    <w:p>
      <w:pPr>
        <w:pStyle w:val="ListParagraph"/>
        <w:numPr>
          <w:ilvl w:val="1"/>
          <w:numId w:val="183"/>
        </w:numPr>
        <w:tabs>
          <w:tab w:pos="2661" w:val="left" w:leader="none"/>
        </w:tabs>
        <w:spacing w:line="240" w:lineRule="auto" w:before="240" w:after="0"/>
        <w:ind w:left="2062" w:right="767" w:firstLine="0"/>
        <w:jc w:val="both"/>
        <w:rPr>
          <w:sz w:val="24"/>
        </w:rPr>
      </w:pPr>
      <w:r>
        <w:rPr>
          <w:sz w:val="24"/>
        </w:rPr>
        <w:t>Where</w:t>
      </w:r>
      <w:r>
        <w:rPr>
          <w:spacing w:val="80"/>
          <w:sz w:val="24"/>
        </w:rPr>
        <w:t> </w:t>
      </w:r>
      <w:r>
        <w:rPr>
          <w:sz w:val="24"/>
        </w:rPr>
        <w:t>51%</w:t>
      </w:r>
      <w:r>
        <w:rPr>
          <w:spacing w:val="-1"/>
          <w:sz w:val="24"/>
        </w:rPr>
        <w:t> </w:t>
      </w:r>
      <w:r>
        <w:rPr>
          <w:sz w:val="24"/>
        </w:rPr>
        <w:t>percent</w:t>
      </w:r>
      <w:r>
        <w:rPr>
          <w:spacing w:val="-1"/>
          <w:sz w:val="24"/>
        </w:rPr>
        <w:t> </w:t>
      </w:r>
      <w:r>
        <w:rPr>
          <w:sz w:val="24"/>
        </w:rPr>
        <w:t>or</w:t>
      </w:r>
      <w:r>
        <w:rPr>
          <w:spacing w:val="-1"/>
          <w:sz w:val="24"/>
        </w:rPr>
        <w:t> </w:t>
      </w:r>
      <w:r>
        <w:rPr>
          <w:sz w:val="24"/>
        </w:rPr>
        <w:t>more</w:t>
      </w:r>
      <w:r>
        <w:rPr>
          <w:spacing w:val="-1"/>
          <w:sz w:val="24"/>
        </w:rPr>
        <w:t> </w:t>
      </w:r>
      <w:r>
        <w:rPr>
          <w:sz w:val="24"/>
        </w:rPr>
        <w:t>of</w:t>
      </w:r>
      <w:r>
        <w:rPr>
          <w:spacing w:val="-1"/>
          <w:sz w:val="24"/>
        </w:rPr>
        <w:t> </w:t>
      </w:r>
      <w:r>
        <w:rPr>
          <w:sz w:val="24"/>
        </w:rPr>
        <w:t>the</w:t>
      </w:r>
      <w:r>
        <w:rPr>
          <w:spacing w:val="-3"/>
          <w:sz w:val="24"/>
        </w:rPr>
        <w:t> </w:t>
      </w:r>
      <w:r>
        <w:rPr>
          <w:sz w:val="24"/>
        </w:rPr>
        <w:t>eligible</w:t>
      </w:r>
      <w:r>
        <w:rPr>
          <w:spacing w:val="-1"/>
          <w:sz w:val="24"/>
        </w:rPr>
        <w:t> </w:t>
      </w:r>
      <w:r>
        <w:rPr>
          <w:sz w:val="24"/>
        </w:rPr>
        <w:t>hutment-dwellers</w:t>
      </w:r>
      <w:r>
        <w:rPr>
          <w:spacing w:val="-1"/>
          <w:sz w:val="24"/>
        </w:rPr>
        <w:t> </w:t>
      </w:r>
      <w:r>
        <w:rPr>
          <w:sz w:val="24"/>
        </w:rPr>
        <w:t>in</w:t>
      </w:r>
      <w:r>
        <w:rPr>
          <w:spacing w:val="-1"/>
          <w:sz w:val="24"/>
        </w:rPr>
        <w:t> </w:t>
      </w:r>
      <w:r>
        <w:rPr>
          <w:sz w:val="24"/>
        </w:rPr>
        <w:t>a slum</w:t>
      </w:r>
      <w:r>
        <w:rPr>
          <w:spacing w:val="-17"/>
          <w:sz w:val="24"/>
        </w:rPr>
        <w:t> </w:t>
      </w:r>
      <w:r>
        <w:rPr>
          <w:sz w:val="24"/>
        </w:rPr>
        <w:t>and</w:t>
      </w:r>
      <w:r>
        <w:rPr>
          <w:spacing w:val="-17"/>
          <w:sz w:val="24"/>
        </w:rPr>
        <w:t> </w:t>
      </w:r>
      <w:r>
        <w:rPr>
          <w:sz w:val="24"/>
        </w:rPr>
        <w:t>stretch</w:t>
      </w:r>
      <w:r>
        <w:rPr>
          <w:spacing w:val="-17"/>
          <w:sz w:val="24"/>
        </w:rPr>
        <w:t> </w:t>
      </w:r>
      <w:r>
        <w:rPr>
          <w:sz w:val="24"/>
        </w:rPr>
        <w:t>of</w:t>
      </w:r>
      <w:r>
        <w:rPr>
          <w:spacing w:val="-17"/>
          <w:sz w:val="24"/>
        </w:rPr>
        <w:t> </w:t>
      </w:r>
      <w:r>
        <w:rPr>
          <w:sz w:val="24"/>
        </w:rPr>
        <w:t>road</w:t>
      </w:r>
      <w:r>
        <w:rPr>
          <w:spacing w:val="-17"/>
          <w:sz w:val="24"/>
        </w:rPr>
        <w:t> </w:t>
      </w:r>
      <w:r>
        <w:rPr>
          <w:sz w:val="24"/>
        </w:rPr>
        <w:t>or</w:t>
      </w:r>
      <w:r>
        <w:rPr>
          <w:spacing w:val="-16"/>
          <w:sz w:val="24"/>
        </w:rPr>
        <w:t> </w:t>
      </w:r>
      <w:r>
        <w:rPr>
          <w:sz w:val="24"/>
        </w:rPr>
        <w:t>pavement</w:t>
      </w:r>
      <w:r>
        <w:rPr>
          <w:spacing w:val="-17"/>
          <w:sz w:val="24"/>
        </w:rPr>
        <w:t> </w:t>
      </w:r>
      <w:r>
        <w:rPr>
          <w:sz w:val="24"/>
        </w:rPr>
        <w:t>contiguous</w:t>
      </w:r>
      <w:r>
        <w:rPr>
          <w:spacing w:val="-17"/>
          <w:sz w:val="24"/>
        </w:rPr>
        <w:t> </w:t>
      </w:r>
      <w:r>
        <w:rPr>
          <w:sz w:val="24"/>
        </w:rPr>
        <w:t>to</w:t>
      </w:r>
      <w:r>
        <w:rPr>
          <w:spacing w:val="-17"/>
          <w:sz w:val="24"/>
        </w:rPr>
        <w:t> </w:t>
      </w:r>
      <w:r>
        <w:rPr>
          <w:sz w:val="24"/>
        </w:rPr>
        <w:t>it</w:t>
      </w:r>
      <w:r>
        <w:rPr>
          <w:spacing w:val="-17"/>
          <w:sz w:val="24"/>
        </w:rPr>
        <w:t> </w:t>
      </w:r>
      <w:r>
        <w:rPr>
          <w:sz w:val="24"/>
        </w:rPr>
        <w:t>at</w:t>
      </w:r>
      <w:r>
        <w:rPr>
          <w:spacing w:val="-17"/>
          <w:sz w:val="24"/>
        </w:rPr>
        <w:t> </w:t>
      </w:r>
      <w:r>
        <w:rPr>
          <w:sz w:val="24"/>
        </w:rPr>
        <w:t>one</w:t>
      </w:r>
      <w:r>
        <w:rPr>
          <w:spacing w:val="-17"/>
          <w:sz w:val="24"/>
        </w:rPr>
        <w:t> </w:t>
      </w:r>
      <w:r>
        <w:rPr>
          <w:sz w:val="24"/>
        </w:rPr>
        <w:t>place</w:t>
      </w:r>
      <w:r>
        <w:rPr>
          <w:spacing w:val="-17"/>
          <w:sz w:val="24"/>
        </w:rPr>
        <w:t> </w:t>
      </w:r>
      <w:r>
        <w:rPr>
          <w:sz w:val="24"/>
        </w:rPr>
        <w:t>agree to join a rehabilitation scheme, it may be considered for approval, subject to submission of irrecoverable written agreements of eligible hutment-dwellers before LOI. Provided that nothing contained herein shall apply to Slum Rehabilitation Projects undertaken by the State Government</w:t>
      </w:r>
      <w:r>
        <w:rPr>
          <w:spacing w:val="-10"/>
          <w:sz w:val="24"/>
        </w:rPr>
        <w:t> </w:t>
      </w:r>
      <w:r>
        <w:rPr>
          <w:sz w:val="24"/>
        </w:rPr>
        <w:t>or</w:t>
      </w:r>
      <w:r>
        <w:rPr>
          <w:spacing w:val="-10"/>
          <w:sz w:val="24"/>
        </w:rPr>
        <w:t> </w:t>
      </w:r>
      <w:r>
        <w:rPr>
          <w:sz w:val="24"/>
        </w:rPr>
        <w:t>Public</w:t>
      </w:r>
      <w:r>
        <w:rPr>
          <w:spacing w:val="-10"/>
          <w:sz w:val="24"/>
        </w:rPr>
        <w:t> </w:t>
      </w:r>
      <w:r>
        <w:rPr>
          <w:sz w:val="24"/>
        </w:rPr>
        <w:t>authority</w:t>
      </w:r>
      <w:r>
        <w:rPr>
          <w:spacing w:val="-10"/>
          <w:sz w:val="24"/>
        </w:rPr>
        <w:t> </w:t>
      </w:r>
      <w:r>
        <w:rPr>
          <w:sz w:val="24"/>
        </w:rPr>
        <w:t>or</w:t>
      </w:r>
      <w:r>
        <w:rPr>
          <w:spacing w:val="-10"/>
          <w:sz w:val="24"/>
        </w:rPr>
        <w:t> </w:t>
      </w:r>
      <w:r>
        <w:rPr>
          <w:sz w:val="24"/>
        </w:rPr>
        <w:t>as</w:t>
      </w:r>
      <w:r>
        <w:rPr>
          <w:spacing w:val="-10"/>
          <w:sz w:val="24"/>
        </w:rPr>
        <w:t> </w:t>
      </w:r>
      <w:r>
        <w:rPr>
          <w:sz w:val="24"/>
        </w:rPr>
        <w:t>the</w:t>
      </w:r>
      <w:r>
        <w:rPr>
          <w:spacing w:val="-14"/>
          <w:sz w:val="24"/>
        </w:rPr>
        <w:t> </w:t>
      </w:r>
      <w:r>
        <w:rPr>
          <w:sz w:val="24"/>
        </w:rPr>
        <w:t>case</w:t>
      </w:r>
      <w:r>
        <w:rPr>
          <w:spacing w:val="-10"/>
          <w:sz w:val="24"/>
        </w:rPr>
        <w:t> </w:t>
      </w:r>
      <w:r>
        <w:rPr>
          <w:sz w:val="24"/>
        </w:rPr>
        <w:t>may</w:t>
      </w:r>
      <w:r>
        <w:rPr>
          <w:spacing w:val="-10"/>
          <w:sz w:val="24"/>
        </w:rPr>
        <w:t> </w:t>
      </w:r>
      <w:r>
        <w:rPr>
          <w:sz w:val="24"/>
        </w:rPr>
        <w:t>be</w:t>
      </w:r>
      <w:r>
        <w:rPr>
          <w:spacing w:val="-10"/>
          <w:sz w:val="24"/>
        </w:rPr>
        <w:t> </w:t>
      </w:r>
      <w:r>
        <w:rPr>
          <w:sz w:val="24"/>
        </w:rPr>
        <w:t>a</w:t>
      </w:r>
      <w:r>
        <w:rPr>
          <w:spacing w:val="-10"/>
          <w:sz w:val="24"/>
        </w:rPr>
        <w:t> </w:t>
      </w:r>
      <w:r>
        <w:rPr>
          <w:sz w:val="24"/>
        </w:rPr>
        <w:t>Govt.</w:t>
      </w:r>
      <w:r>
        <w:rPr>
          <w:spacing w:val="-14"/>
          <w:sz w:val="24"/>
        </w:rPr>
        <w:t> </w:t>
      </w:r>
      <w:r>
        <w:rPr>
          <w:sz w:val="24"/>
        </w:rPr>
        <w:t>Company as defined in Sec. 617 of the Companies Act 1956 and being owned &amp; controlled by the State Government</w:t>
      </w:r>
    </w:p>
    <w:p>
      <w:pPr>
        <w:pStyle w:val="ListParagraph"/>
        <w:numPr>
          <w:ilvl w:val="1"/>
          <w:numId w:val="183"/>
        </w:numPr>
        <w:tabs>
          <w:tab w:pos="2687" w:val="left" w:leader="none"/>
        </w:tabs>
        <w:spacing w:line="240" w:lineRule="auto" w:before="242" w:after="0"/>
        <w:ind w:left="2062" w:right="770" w:firstLine="0"/>
        <w:jc w:val="both"/>
        <w:rPr>
          <w:sz w:val="24"/>
        </w:rPr>
      </w:pPr>
      <w:r>
        <w:rPr>
          <w:sz w:val="24"/>
        </w:rPr>
        <w:t>In respect of those eligible hutment-dwellers on site who do not join the Project willingly the following steps shall be taken:</w:t>
      </w:r>
    </w:p>
    <w:p>
      <w:pPr>
        <w:pStyle w:val="ListParagraph"/>
        <w:numPr>
          <w:ilvl w:val="0"/>
          <w:numId w:val="184"/>
        </w:numPr>
        <w:tabs>
          <w:tab w:pos="2274" w:val="left" w:leader="none"/>
        </w:tabs>
        <w:spacing w:line="240" w:lineRule="auto" w:before="241" w:after="0"/>
        <w:ind w:left="2062" w:right="770" w:firstLine="0"/>
        <w:jc w:val="both"/>
        <w:rPr>
          <w:sz w:val="24"/>
        </w:rPr>
      </w:pPr>
      <w:r>
        <w:rPr>
          <w:sz w:val="24"/>
        </w:rPr>
        <w:t>Provision</w:t>
      </w:r>
      <w:r>
        <w:rPr>
          <w:spacing w:val="-18"/>
          <w:sz w:val="24"/>
        </w:rPr>
        <w:t> </w:t>
      </w:r>
      <w:r>
        <w:rPr>
          <w:sz w:val="24"/>
        </w:rPr>
        <w:t>for</w:t>
      </w:r>
      <w:r>
        <w:rPr>
          <w:spacing w:val="-18"/>
          <w:sz w:val="24"/>
        </w:rPr>
        <w:t> </w:t>
      </w:r>
      <w:r>
        <w:rPr>
          <w:sz w:val="24"/>
        </w:rPr>
        <w:t>all</w:t>
      </w:r>
      <w:r>
        <w:rPr>
          <w:spacing w:val="-18"/>
          <w:sz w:val="24"/>
        </w:rPr>
        <w:t> </w:t>
      </w:r>
      <w:r>
        <w:rPr>
          <w:sz w:val="24"/>
        </w:rPr>
        <w:t>of</w:t>
      </w:r>
      <w:r>
        <w:rPr>
          <w:spacing w:val="-18"/>
          <w:sz w:val="24"/>
        </w:rPr>
        <w:t> </w:t>
      </w:r>
      <w:r>
        <w:rPr>
          <w:sz w:val="24"/>
        </w:rPr>
        <w:t>them</w:t>
      </w:r>
      <w:r>
        <w:rPr>
          <w:spacing w:val="-18"/>
          <w:sz w:val="24"/>
        </w:rPr>
        <w:t> </w:t>
      </w:r>
      <w:r>
        <w:rPr>
          <w:sz w:val="24"/>
        </w:rPr>
        <w:t>shall</w:t>
      </w:r>
      <w:r>
        <w:rPr>
          <w:spacing w:val="-18"/>
          <w:sz w:val="24"/>
        </w:rPr>
        <w:t> </w:t>
      </w:r>
      <w:r>
        <w:rPr>
          <w:sz w:val="24"/>
        </w:rPr>
        <w:t>be</w:t>
      </w:r>
      <w:r>
        <w:rPr>
          <w:spacing w:val="-18"/>
          <w:sz w:val="24"/>
        </w:rPr>
        <w:t> </w:t>
      </w:r>
      <w:r>
        <w:rPr>
          <w:sz w:val="24"/>
        </w:rPr>
        <w:t>made</w:t>
      </w:r>
      <w:r>
        <w:rPr>
          <w:spacing w:val="-18"/>
          <w:sz w:val="24"/>
        </w:rPr>
        <w:t> </w:t>
      </w:r>
      <w:r>
        <w:rPr>
          <w:sz w:val="24"/>
        </w:rPr>
        <w:t>in</w:t>
      </w:r>
      <w:r>
        <w:rPr>
          <w:spacing w:val="-18"/>
          <w:sz w:val="24"/>
        </w:rPr>
        <w:t> </w:t>
      </w:r>
      <w:r>
        <w:rPr>
          <w:sz w:val="24"/>
        </w:rPr>
        <w:t>the</w:t>
      </w:r>
      <w:r>
        <w:rPr>
          <w:spacing w:val="-18"/>
          <w:sz w:val="24"/>
        </w:rPr>
        <w:t> </w:t>
      </w:r>
      <w:r>
        <w:rPr>
          <w:sz w:val="24"/>
        </w:rPr>
        <w:t>rehabilitation</w:t>
      </w:r>
      <w:r>
        <w:rPr>
          <w:spacing w:val="-18"/>
          <w:sz w:val="24"/>
        </w:rPr>
        <w:t> </w:t>
      </w:r>
      <w:r>
        <w:rPr>
          <w:sz w:val="24"/>
        </w:rPr>
        <w:t>component of the scheme.</w:t>
      </w:r>
    </w:p>
    <w:p>
      <w:pPr>
        <w:pStyle w:val="BodyText"/>
        <w:spacing w:before="76"/>
        <w:jc w:val="left"/>
      </w:pPr>
    </w:p>
    <w:p>
      <w:pPr>
        <w:pStyle w:val="ListParagraph"/>
        <w:numPr>
          <w:ilvl w:val="0"/>
          <w:numId w:val="184"/>
        </w:numPr>
        <w:tabs>
          <w:tab w:pos="2345" w:val="left" w:leader="none"/>
        </w:tabs>
        <w:spacing w:line="240" w:lineRule="auto" w:before="0" w:after="0"/>
        <w:ind w:left="2062" w:right="768" w:firstLine="0"/>
        <w:jc w:val="both"/>
        <w:rPr>
          <w:sz w:val="24"/>
        </w:rPr>
      </w:pPr>
      <w:r>
        <w:rPr>
          <w:sz w:val="24"/>
        </w:rPr>
        <w:t>The details of the tenement that would be given to them by way of allotment by drawing lots for them on the same basis as for those who have</w:t>
      </w:r>
      <w:r>
        <w:rPr>
          <w:spacing w:val="-4"/>
          <w:sz w:val="24"/>
        </w:rPr>
        <w:t> </w:t>
      </w:r>
      <w:r>
        <w:rPr>
          <w:sz w:val="24"/>
        </w:rPr>
        <w:t>joined</w:t>
      </w:r>
      <w:r>
        <w:rPr>
          <w:spacing w:val="-4"/>
          <w:sz w:val="24"/>
        </w:rPr>
        <w:t> </w:t>
      </w:r>
      <w:r>
        <w:rPr>
          <w:sz w:val="24"/>
        </w:rPr>
        <w:t>the</w:t>
      </w:r>
      <w:r>
        <w:rPr>
          <w:spacing w:val="-4"/>
          <w:sz w:val="24"/>
        </w:rPr>
        <w:t> </w:t>
      </w:r>
      <w:r>
        <w:rPr>
          <w:sz w:val="24"/>
        </w:rPr>
        <w:t>Project,</w:t>
      </w:r>
      <w:r>
        <w:rPr>
          <w:spacing w:val="-4"/>
          <w:sz w:val="24"/>
        </w:rPr>
        <w:t> </w:t>
      </w:r>
      <w:r>
        <w:rPr>
          <w:sz w:val="24"/>
        </w:rPr>
        <w:t>will</w:t>
      </w:r>
      <w:r>
        <w:rPr>
          <w:spacing w:val="-4"/>
          <w:sz w:val="24"/>
        </w:rPr>
        <w:t> </w:t>
      </w:r>
      <w:r>
        <w:rPr>
          <w:sz w:val="24"/>
        </w:rPr>
        <w:t>be</w:t>
      </w:r>
      <w:r>
        <w:rPr>
          <w:spacing w:val="-7"/>
          <w:sz w:val="24"/>
        </w:rPr>
        <w:t> </w:t>
      </w:r>
      <w:r>
        <w:rPr>
          <w:sz w:val="24"/>
        </w:rPr>
        <w:t>communicated</w:t>
      </w:r>
      <w:r>
        <w:rPr>
          <w:spacing w:val="-4"/>
          <w:sz w:val="24"/>
        </w:rPr>
        <w:t> </w:t>
      </w:r>
      <w:r>
        <w:rPr>
          <w:sz w:val="24"/>
        </w:rPr>
        <w:t>to</w:t>
      </w:r>
      <w:r>
        <w:rPr>
          <w:spacing w:val="-4"/>
          <w:sz w:val="24"/>
        </w:rPr>
        <w:t> </w:t>
      </w:r>
      <w:r>
        <w:rPr>
          <w:sz w:val="24"/>
        </w:rPr>
        <w:t>them</w:t>
      </w:r>
      <w:r>
        <w:rPr>
          <w:spacing w:val="-4"/>
          <w:sz w:val="24"/>
        </w:rPr>
        <w:t> </w:t>
      </w:r>
      <w:r>
        <w:rPr>
          <w:sz w:val="24"/>
        </w:rPr>
        <w:t>in</w:t>
      </w:r>
      <w:r>
        <w:rPr>
          <w:spacing w:val="-7"/>
          <w:sz w:val="24"/>
        </w:rPr>
        <w:t> </w:t>
      </w:r>
      <w:r>
        <w:rPr>
          <w:sz w:val="24"/>
        </w:rPr>
        <w:t>writing</w:t>
      </w:r>
      <w:r>
        <w:rPr>
          <w:spacing w:val="-4"/>
          <w:sz w:val="24"/>
        </w:rPr>
        <w:t> </w:t>
      </w:r>
      <w:r>
        <w:rPr>
          <w:sz w:val="24"/>
        </w:rPr>
        <w:t>by</w:t>
      </w:r>
      <w:r>
        <w:rPr>
          <w:spacing w:val="-4"/>
          <w:sz w:val="24"/>
        </w:rPr>
        <w:t> </w:t>
      </w:r>
      <w:r>
        <w:rPr>
          <w:sz w:val="24"/>
        </w:rPr>
        <w:t>the Managing Committee of the Cooperative Housing Society if it </w:t>
      </w:r>
      <w:r>
        <w:rPr>
          <w:sz w:val="24"/>
        </w:rPr>
        <w:t>is registered,</w:t>
      </w:r>
      <w:r>
        <w:rPr>
          <w:spacing w:val="-18"/>
          <w:sz w:val="24"/>
        </w:rPr>
        <w:t> </w:t>
      </w:r>
      <w:r>
        <w:rPr>
          <w:sz w:val="24"/>
        </w:rPr>
        <w:t>or</w:t>
      </w:r>
      <w:r>
        <w:rPr>
          <w:spacing w:val="-18"/>
          <w:sz w:val="24"/>
        </w:rPr>
        <w:t> </w:t>
      </w:r>
      <w:r>
        <w:rPr>
          <w:sz w:val="24"/>
        </w:rPr>
        <w:t>the</w:t>
      </w:r>
      <w:r>
        <w:rPr>
          <w:spacing w:val="-18"/>
          <w:sz w:val="24"/>
        </w:rPr>
        <w:t> </w:t>
      </w:r>
      <w:r>
        <w:rPr>
          <w:sz w:val="24"/>
        </w:rPr>
        <w:t>developer.</w:t>
      </w:r>
      <w:r>
        <w:rPr>
          <w:spacing w:val="-18"/>
          <w:sz w:val="24"/>
        </w:rPr>
        <w:t> </w:t>
      </w:r>
      <w:r>
        <w:rPr>
          <w:sz w:val="24"/>
        </w:rPr>
        <w:t>In</w:t>
      </w:r>
      <w:r>
        <w:rPr>
          <w:spacing w:val="-18"/>
          <w:sz w:val="24"/>
        </w:rPr>
        <w:t> </w:t>
      </w:r>
      <w:r>
        <w:rPr>
          <w:sz w:val="24"/>
        </w:rPr>
        <w:t>case</w:t>
      </w:r>
      <w:r>
        <w:rPr>
          <w:spacing w:val="-18"/>
          <w:sz w:val="24"/>
        </w:rPr>
        <w:t> </w:t>
      </w:r>
      <w:r>
        <w:rPr>
          <w:sz w:val="24"/>
        </w:rPr>
        <w:t>of</w:t>
      </w:r>
      <w:r>
        <w:rPr>
          <w:spacing w:val="-18"/>
          <w:sz w:val="24"/>
        </w:rPr>
        <w:t> </w:t>
      </w:r>
      <w:r>
        <w:rPr>
          <w:sz w:val="24"/>
        </w:rPr>
        <w:t>dispute,</w:t>
      </w:r>
      <w:r>
        <w:rPr>
          <w:spacing w:val="-18"/>
          <w:sz w:val="24"/>
        </w:rPr>
        <w:t> </w:t>
      </w:r>
      <w:r>
        <w:rPr>
          <w:sz w:val="24"/>
        </w:rPr>
        <w:t>decision</w:t>
      </w:r>
      <w:r>
        <w:rPr>
          <w:spacing w:val="-18"/>
          <w:sz w:val="24"/>
        </w:rPr>
        <w:t> </w:t>
      </w:r>
      <w:r>
        <w:rPr>
          <w:sz w:val="24"/>
        </w:rPr>
        <w:t>of</w:t>
      </w:r>
      <w:r>
        <w:rPr>
          <w:spacing w:val="-18"/>
          <w:sz w:val="24"/>
        </w:rPr>
        <w:t> </w:t>
      </w:r>
      <w:r>
        <w:rPr>
          <w:sz w:val="24"/>
        </w:rPr>
        <w:t>the</w:t>
      </w:r>
      <w:r>
        <w:rPr>
          <w:spacing w:val="-20"/>
          <w:sz w:val="24"/>
        </w:rPr>
        <w:t> </w:t>
      </w:r>
      <w:r>
        <w:rPr>
          <w:sz w:val="24"/>
        </w:rPr>
        <w:t>CEO/SRA shall be final and binding on all the parties concerned.</w:t>
      </w:r>
    </w:p>
    <w:p>
      <w:pPr>
        <w:pStyle w:val="BodyText"/>
        <w:spacing w:before="80"/>
        <w:jc w:val="left"/>
      </w:pPr>
    </w:p>
    <w:p>
      <w:pPr>
        <w:pStyle w:val="ListParagraph"/>
        <w:numPr>
          <w:ilvl w:val="0"/>
          <w:numId w:val="184"/>
        </w:numPr>
        <w:tabs>
          <w:tab w:pos="2416" w:val="left" w:leader="none"/>
        </w:tabs>
        <w:spacing w:line="240" w:lineRule="auto" w:before="1" w:after="0"/>
        <w:ind w:left="2062" w:right="769" w:firstLine="0"/>
        <w:jc w:val="both"/>
        <w:rPr>
          <w:sz w:val="24"/>
        </w:rPr>
      </w:pPr>
      <w:r>
        <w:rPr>
          <w:sz w:val="24"/>
        </w:rPr>
        <w:t>The transit tenement that would be allotted to them or rent payable would also be indicated along with those who have joined the Project.</w:t>
      </w:r>
    </w:p>
    <w:p>
      <w:pPr>
        <w:pStyle w:val="BodyText"/>
        <w:spacing w:before="76"/>
        <w:jc w:val="left"/>
      </w:pPr>
    </w:p>
    <w:p>
      <w:pPr>
        <w:pStyle w:val="ListParagraph"/>
        <w:numPr>
          <w:ilvl w:val="0"/>
          <w:numId w:val="184"/>
        </w:numPr>
        <w:tabs>
          <w:tab w:pos="2402" w:val="left" w:leader="none"/>
        </w:tabs>
        <w:spacing w:line="240" w:lineRule="auto" w:before="0" w:after="0"/>
        <w:ind w:left="2062" w:right="766" w:firstLine="0"/>
        <w:jc w:val="both"/>
        <w:rPr>
          <w:sz w:val="24"/>
        </w:rPr>
      </w:pPr>
      <w:r>
        <w:rPr>
          <w:sz w:val="24"/>
        </w:rPr>
        <w:t>If they do not join the scheme within 15 days after the approval has been given to the Slum Rehabilitation Project on that site, then action under the relevant provision including sections 33,33(A) and 38 of the Slum Act, as amended from time to time, shall be taken and their hutments will be removed, and it shall be ensured that no obstruction is caused to the scheme of the majority</w:t>
      </w:r>
      <w:r>
        <w:rPr>
          <w:spacing w:val="-3"/>
          <w:sz w:val="24"/>
        </w:rPr>
        <w:t> </w:t>
      </w:r>
      <w:r>
        <w:rPr>
          <w:sz w:val="24"/>
        </w:rPr>
        <w:t>of persons who have joined the scheme willingly.</w:t>
      </w:r>
    </w:p>
    <w:p>
      <w:pPr>
        <w:pStyle w:val="BodyText"/>
        <w:spacing w:before="79"/>
        <w:jc w:val="left"/>
      </w:pPr>
    </w:p>
    <w:p>
      <w:pPr>
        <w:pStyle w:val="ListParagraph"/>
        <w:numPr>
          <w:ilvl w:val="0"/>
          <w:numId w:val="184"/>
        </w:numPr>
        <w:tabs>
          <w:tab w:pos="2330" w:val="left" w:leader="none"/>
        </w:tabs>
        <w:spacing w:line="240" w:lineRule="auto" w:before="1" w:after="0"/>
        <w:ind w:left="2062" w:right="768" w:firstLine="0"/>
        <w:jc w:val="both"/>
        <w:rPr>
          <w:sz w:val="24"/>
        </w:rPr>
      </w:pPr>
      <w:r>
        <w:rPr>
          <w:sz w:val="24"/>
        </w:rPr>
        <w:t>After this action under the foregoing clause is initiated, they will not be eligible for transit tenement along with the others, and they will not be eligible for the reconstructed tenement by lots, but they will still be entitled</w:t>
      </w:r>
      <w:r>
        <w:rPr>
          <w:spacing w:val="-11"/>
          <w:sz w:val="24"/>
        </w:rPr>
        <w:t> </w:t>
      </w:r>
      <w:r>
        <w:rPr>
          <w:sz w:val="24"/>
        </w:rPr>
        <w:t>only</w:t>
      </w:r>
      <w:r>
        <w:rPr>
          <w:spacing w:val="-11"/>
          <w:sz w:val="24"/>
        </w:rPr>
        <w:t> </w:t>
      </w:r>
      <w:r>
        <w:rPr>
          <w:sz w:val="24"/>
        </w:rPr>
        <w:t>to</w:t>
      </w:r>
      <w:r>
        <w:rPr>
          <w:spacing w:val="-11"/>
          <w:sz w:val="24"/>
        </w:rPr>
        <w:t> </w:t>
      </w:r>
      <w:r>
        <w:rPr>
          <w:sz w:val="24"/>
        </w:rPr>
        <w:t>what</w:t>
      </w:r>
      <w:r>
        <w:rPr>
          <w:spacing w:val="-13"/>
          <w:sz w:val="24"/>
        </w:rPr>
        <w:t> </w:t>
      </w:r>
      <w:r>
        <w:rPr>
          <w:sz w:val="24"/>
        </w:rPr>
        <w:t>is</w:t>
      </w:r>
      <w:r>
        <w:rPr>
          <w:spacing w:val="-11"/>
          <w:sz w:val="24"/>
        </w:rPr>
        <w:t> </w:t>
      </w:r>
      <w:r>
        <w:rPr>
          <w:sz w:val="24"/>
        </w:rPr>
        <w:t>available</w:t>
      </w:r>
      <w:r>
        <w:rPr>
          <w:spacing w:val="-11"/>
          <w:sz w:val="24"/>
        </w:rPr>
        <w:t> </w:t>
      </w:r>
      <w:r>
        <w:rPr>
          <w:sz w:val="24"/>
        </w:rPr>
        <w:t>after</w:t>
      </w:r>
      <w:r>
        <w:rPr>
          <w:spacing w:val="-11"/>
          <w:sz w:val="24"/>
        </w:rPr>
        <w:t> </w:t>
      </w:r>
      <w:r>
        <w:rPr>
          <w:sz w:val="24"/>
        </w:rPr>
        <w:t>others</w:t>
      </w:r>
      <w:r>
        <w:rPr>
          <w:spacing w:val="-11"/>
          <w:sz w:val="24"/>
        </w:rPr>
        <w:t> </w:t>
      </w:r>
      <w:r>
        <w:rPr>
          <w:sz w:val="24"/>
        </w:rPr>
        <w:t>have</w:t>
      </w:r>
      <w:r>
        <w:rPr>
          <w:spacing w:val="-11"/>
          <w:sz w:val="24"/>
        </w:rPr>
        <w:t> </w:t>
      </w:r>
      <w:r>
        <w:rPr>
          <w:sz w:val="24"/>
        </w:rPr>
        <w:t>chosen</w:t>
      </w:r>
      <w:r>
        <w:rPr>
          <w:spacing w:val="-11"/>
          <w:sz w:val="24"/>
        </w:rPr>
        <w:t> </w:t>
      </w:r>
      <w:r>
        <w:rPr>
          <w:sz w:val="24"/>
        </w:rPr>
        <w:t>which</w:t>
      </w:r>
      <w:r>
        <w:rPr>
          <w:spacing w:val="-11"/>
          <w:sz w:val="24"/>
        </w:rPr>
        <w:t> </w:t>
      </w:r>
      <w:r>
        <w:rPr>
          <w:sz w:val="24"/>
        </w:rPr>
        <w:t>may</w:t>
      </w:r>
      <w:r>
        <w:rPr>
          <w:spacing w:val="-11"/>
          <w:sz w:val="24"/>
        </w:rPr>
        <w:t> </w:t>
      </w:r>
      <w:r>
        <w:rPr>
          <w:sz w:val="24"/>
        </w:rPr>
        <w:t>be on the same or some other site.</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0"/>
          <w:numId w:val="184"/>
        </w:numPr>
        <w:tabs>
          <w:tab w:pos="2402" w:val="left" w:leader="none"/>
        </w:tabs>
        <w:spacing w:line="240" w:lineRule="auto" w:before="249" w:after="0"/>
        <w:ind w:left="2062" w:right="766" w:firstLine="0"/>
        <w:jc w:val="both"/>
        <w:rPr>
          <w:sz w:val="24"/>
        </w:rPr>
      </w:pPr>
      <w:r>
        <w:rPr>
          <w:sz w:val="24"/>
        </w:rPr>
        <w:t>If they do</w:t>
      </w:r>
      <w:r>
        <w:rPr>
          <w:spacing w:val="-3"/>
          <w:sz w:val="24"/>
        </w:rPr>
        <w:t> </w:t>
      </w:r>
      <w:r>
        <w:rPr>
          <w:sz w:val="24"/>
        </w:rPr>
        <w:t>not join</w:t>
      </w:r>
      <w:r>
        <w:rPr>
          <w:spacing w:val="-3"/>
          <w:sz w:val="24"/>
        </w:rPr>
        <w:t> </w:t>
      </w:r>
      <w:r>
        <w:rPr>
          <w:sz w:val="24"/>
        </w:rPr>
        <w:t>till the building permission to the Project is given, they will completely lose the right to any built-up tenement, and their tenement shall be taken over by the SRA, and used for the purpose of accommodating</w:t>
      </w:r>
      <w:r>
        <w:rPr>
          <w:spacing w:val="-20"/>
          <w:sz w:val="24"/>
        </w:rPr>
        <w:t> </w:t>
      </w:r>
      <w:r>
        <w:rPr>
          <w:sz w:val="24"/>
        </w:rPr>
        <w:t>pavement-dwellers</w:t>
      </w:r>
      <w:r>
        <w:rPr>
          <w:spacing w:val="-19"/>
          <w:sz w:val="24"/>
        </w:rPr>
        <w:t> </w:t>
      </w:r>
      <w:r>
        <w:rPr>
          <w:sz w:val="24"/>
        </w:rPr>
        <w:t>and</w:t>
      </w:r>
      <w:r>
        <w:rPr>
          <w:spacing w:val="-19"/>
          <w:sz w:val="24"/>
        </w:rPr>
        <w:t> </w:t>
      </w:r>
      <w:r>
        <w:rPr>
          <w:sz w:val="24"/>
        </w:rPr>
        <w:t>other</w:t>
      </w:r>
      <w:r>
        <w:rPr>
          <w:spacing w:val="-19"/>
          <w:sz w:val="24"/>
        </w:rPr>
        <w:t> </w:t>
      </w:r>
      <w:r>
        <w:rPr>
          <w:sz w:val="24"/>
        </w:rPr>
        <w:t>slum</w:t>
      </w:r>
      <w:r>
        <w:rPr>
          <w:spacing w:val="-19"/>
          <w:sz w:val="24"/>
        </w:rPr>
        <w:t> </w:t>
      </w:r>
      <w:r>
        <w:rPr>
          <w:sz w:val="24"/>
        </w:rPr>
        <w:t>dwellers</w:t>
      </w:r>
      <w:r>
        <w:rPr>
          <w:spacing w:val="-20"/>
          <w:sz w:val="24"/>
        </w:rPr>
        <w:t> </w:t>
      </w:r>
      <w:r>
        <w:rPr>
          <w:sz w:val="24"/>
        </w:rPr>
        <w:t>who</w:t>
      </w:r>
      <w:r>
        <w:rPr>
          <w:spacing w:val="-19"/>
          <w:sz w:val="24"/>
        </w:rPr>
        <w:t> </w:t>
      </w:r>
      <w:r>
        <w:rPr>
          <w:sz w:val="24"/>
        </w:rPr>
        <w:t>cannot be accommodated in-situ etc.</w:t>
      </w:r>
    </w:p>
    <w:p>
      <w:pPr>
        <w:pStyle w:val="ListParagraph"/>
        <w:numPr>
          <w:ilvl w:val="1"/>
          <w:numId w:val="183"/>
        </w:numPr>
        <w:tabs>
          <w:tab w:pos="2581" w:val="left" w:leader="none"/>
        </w:tabs>
        <w:spacing w:line="240" w:lineRule="auto" w:before="240" w:after="0"/>
        <w:ind w:left="2062" w:right="768" w:firstLine="0"/>
        <w:jc w:val="both"/>
        <w:rPr>
          <w:sz w:val="24"/>
        </w:rPr>
      </w:pPr>
      <w:r>
        <w:rPr>
          <w:sz w:val="24"/>
        </w:rPr>
        <w:t>The</w:t>
      </w:r>
      <w:r>
        <w:rPr>
          <w:spacing w:val="-2"/>
          <w:sz w:val="24"/>
        </w:rPr>
        <w:t> </w:t>
      </w:r>
      <w:r>
        <w:rPr>
          <w:sz w:val="24"/>
        </w:rPr>
        <w:t>Managing</w:t>
      </w:r>
      <w:r>
        <w:rPr>
          <w:spacing w:val="-2"/>
          <w:sz w:val="24"/>
        </w:rPr>
        <w:t> </w:t>
      </w:r>
      <w:r>
        <w:rPr>
          <w:sz w:val="24"/>
        </w:rPr>
        <w:t>Committee</w:t>
      </w:r>
      <w:r>
        <w:rPr>
          <w:spacing w:val="-2"/>
          <w:sz w:val="24"/>
        </w:rPr>
        <w:t> </w:t>
      </w:r>
      <w:r>
        <w:rPr>
          <w:sz w:val="24"/>
        </w:rPr>
        <w:t>of</w:t>
      </w:r>
      <w:r>
        <w:rPr>
          <w:spacing w:val="-2"/>
          <w:sz w:val="24"/>
        </w:rPr>
        <w:t> </w:t>
      </w:r>
      <w:r>
        <w:rPr>
          <w:sz w:val="24"/>
        </w:rPr>
        <w:t>the</w:t>
      </w:r>
      <w:r>
        <w:rPr>
          <w:spacing w:val="-2"/>
          <w:sz w:val="24"/>
        </w:rPr>
        <w:t> </w:t>
      </w:r>
      <w:r>
        <w:rPr>
          <w:sz w:val="24"/>
        </w:rPr>
        <w:t>proposed</w:t>
      </w:r>
      <w:r>
        <w:rPr>
          <w:spacing w:val="-2"/>
          <w:sz w:val="24"/>
        </w:rPr>
        <w:t> </w:t>
      </w:r>
      <w:r>
        <w:rPr>
          <w:sz w:val="24"/>
        </w:rPr>
        <w:t>as</w:t>
      </w:r>
      <w:r>
        <w:rPr>
          <w:spacing w:val="-2"/>
          <w:sz w:val="24"/>
        </w:rPr>
        <w:t> </w:t>
      </w:r>
      <w:r>
        <w:rPr>
          <w:sz w:val="24"/>
        </w:rPr>
        <w:t>well</w:t>
      </w:r>
      <w:r>
        <w:rPr>
          <w:spacing w:val="-2"/>
          <w:sz w:val="24"/>
        </w:rPr>
        <w:t> </w:t>
      </w:r>
      <w:r>
        <w:rPr>
          <w:sz w:val="24"/>
        </w:rPr>
        <w:t>as</w:t>
      </w:r>
      <w:r>
        <w:rPr>
          <w:spacing w:val="-4"/>
          <w:sz w:val="24"/>
        </w:rPr>
        <w:t> </w:t>
      </w:r>
      <w:r>
        <w:rPr>
          <w:sz w:val="24"/>
        </w:rPr>
        <w:t>registered</w:t>
      </w:r>
      <w:r>
        <w:rPr>
          <w:spacing w:val="-2"/>
          <w:sz w:val="24"/>
        </w:rPr>
        <w:t> </w:t>
      </w:r>
      <w:r>
        <w:rPr>
          <w:sz w:val="24"/>
        </w:rPr>
        <w:t>Co- operative housing society of hutment dwellers shall have women to the extent of one-third of the total strength of actual members on the committee at any time.</w:t>
      </w:r>
    </w:p>
    <w:p>
      <w:pPr>
        <w:pStyle w:val="ListParagraph"/>
        <w:numPr>
          <w:ilvl w:val="1"/>
          <w:numId w:val="183"/>
        </w:numPr>
        <w:tabs>
          <w:tab w:pos="2639" w:val="left" w:leader="none"/>
        </w:tabs>
        <w:spacing w:line="240" w:lineRule="auto" w:before="241" w:after="0"/>
        <w:ind w:left="2062" w:right="769" w:firstLine="0"/>
        <w:jc w:val="both"/>
        <w:rPr>
          <w:sz w:val="24"/>
        </w:rPr>
      </w:pPr>
      <w:r>
        <w:rPr>
          <w:sz w:val="24"/>
        </w:rPr>
        <w:t>Restriction</w:t>
      </w:r>
      <w:r>
        <w:rPr>
          <w:spacing w:val="-20"/>
          <w:sz w:val="24"/>
        </w:rPr>
        <w:t> </w:t>
      </w:r>
      <w:r>
        <w:rPr>
          <w:sz w:val="24"/>
        </w:rPr>
        <w:t>on</w:t>
      </w:r>
      <w:r>
        <w:rPr>
          <w:spacing w:val="-19"/>
          <w:sz w:val="24"/>
        </w:rPr>
        <w:t> </w:t>
      </w:r>
      <w:r>
        <w:rPr>
          <w:sz w:val="24"/>
        </w:rPr>
        <w:t>Transfer</w:t>
      </w:r>
      <w:r>
        <w:rPr>
          <w:spacing w:val="-19"/>
          <w:sz w:val="24"/>
        </w:rPr>
        <w:t> </w:t>
      </w:r>
      <w:r>
        <w:rPr>
          <w:sz w:val="24"/>
        </w:rPr>
        <w:t>of</w:t>
      </w:r>
      <w:r>
        <w:rPr>
          <w:spacing w:val="-19"/>
          <w:sz w:val="24"/>
        </w:rPr>
        <w:t> </w:t>
      </w:r>
      <w:r>
        <w:rPr>
          <w:sz w:val="24"/>
        </w:rPr>
        <w:t>Tenements;</w:t>
      </w:r>
      <w:r>
        <w:rPr>
          <w:spacing w:val="-19"/>
          <w:sz w:val="24"/>
        </w:rPr>
        <w:t> </w:t>
      </w:r>
      <w:r>
        <w:rPr>
          <w:sz w:val="24"/>
        </w:rPr>
        <w:t>the</w:t>
      </w:r>
      <w:r>
        <w:rPr>
          <w:spacing w:val="-20"/>
          <w:sz w:val="24"/>
        </w:rPr>
        <w:t> </w:t>
      </w:r>
      <w:r>
        <w:rPr>
          <w:sz w:val="24"/>
        </w:rPr>
        <w:t>tenement</w:t>
      </w:r>
      <w:r>
        <w:rPr>
          <w:spacing w:val="-19"/>
          <w:sz w:val="24"/>
        </w:rPr>
        <w:t> </w:t>
      </w:r>
      <w:r>
        <w:rPr>
          <w:sz w:val="24"/>
        </w:rPr>
        <w:t>obtained</w:t>
      </w:r>
      <w:r>
        <w:rPr>
          <w:spacing w:val="-19"/>
          <w:sz w:val="24"/>
        </w:rPr>
        <w:t> </w:t>
      </w:r>
      <w:r>
        <w:rPr>
          <w:sz w:val="24"/>
        </w:rPr>
        <w:t>under this scheme cannot be sold/leased/assigned or transferred (except to legal heir) in any manner for a period of ten years from the date of allotment/possession of the tenement. In case of breach of conditions, except transfer to legal heir, the tenement will be taken over by SRA.</w:t>
      </w:r>
    </w:p>
    <w:p>
      <w:pPr>
        <w:pStyle w:val="Heading5"/>
        <w:numPr>
          <w:ilvl w:val="0"/>
          <w:numId w:val="28"/>
        </w:numPr>
        <w:tabs>
          <w:tab w:pos="2629" w:val="left" w:leader="none"/>
        </w:tabs>
        <w:spacing w:line="240" w:lineRule="auto" w:before="241" w:after="0"/>
        <w:ind w:left="2629" w:right="0" w:hanging="567"/>
        <w:jc w:val="both"/>
      </w:pPr>
      <w:r>
        <w:rPr/>
        <w:t>Building</w:t>
      </w:r>
      <w:r>
        <w:rPr>
          <w:spacing w:val="42"/>
          <w:w w:val="150"/>
        </w:rPr>
        <w:t> </w:t>
      </w:r>
      <w:r>
        <w:rPr/>
        <w:t>Permission</w:t>
      </w:r>
      <w:r>
        <w:rPr>
          <w:spacing w:val="43"/>
          <w:w w:val="150"/>
        </w:rPr>
        <w:t> </w:t>
      </w:r>
      <w:r>
        <w:rPr/>
        <w:t>for</w:t>
      </w:r>
      <w:r>
        <w:rPr>
          <w:spacing w:val="40"/>
          <w:w w:val="150"/>
        </w:rPr>
        <w:t> </w:t>
      </w:r>
      <w:r>
        <w:rPr/>
        <w:t>Slum</w:t>
      </w:r>
      <w:r>
        <w:rPr>
          <w:spacing w:val="43"/>
          <w:w w:val="150"/>
        </w:rPr>
        <w:t> </w:t>
      </w:r>
      <w:r>
        <w:rPr/>
        <w:t>Rehabilitation</w:t>
      </w:r>
      <w:r>
        <w:rPr>
          <w:spacing w:val="43"/>
          <w:w w:val="150"/>
        </w:rPr>
        <w:t> </w:t>
      </w:r>
      <w:r>
        <w:rPr>
          <w:spacing w:val="-2"/>
        </w:rPr>
        <w:t>Project</w:t>
      </w:r>
      <w:r>
        <w:rPr>
          <w:b w:val="0"/>
          <w:spacing w:val="-2"/>
        </w:rPr>
        <w:t>:</w:t>
      </w:r>
    </w:p>
    <w:p>
      <w:pPr>
        <w:pStyle w:val="ListParagraph"/>
        <w:numPr>
          <w:ilvl w:val="1"/>
          <w:numId w:val="174"/>
        </w:numPr>
        <w:tabs>
          <w:tab w:pos="2780" w:val="left" w:leader="none"/>
        </w:tabs>
        <w:spacing w:line="240" w:lineRule="auto" w:before="239" w:after="0"/>
        <w:ind w:left="2062" w:right="769" w:firstLine="0"/>
        <w:jc w:val="both"/>
        <w:rPr>
          <w:sz w:val="24"/>
        </w:rPr>
      </w:pPr>
      <w:r>
        <w:rPr>
          <w:sz w:val="24"/>
        </w:rPr>
        <w:t>The proposal for each Slum Rehabilitation Project shall be submitted to the SRA with all the necessary documents, no-objection certificates, and the plans as may be decided by the SRA from time to </w:t>
      </w:r>
      <w:r>
        <w:rPr>
          <w:spacing w:val="-2"/>
          <w:sz w:val="24"/>
        </w:rPr>
        <w:t>time.</w:t>
      </w:r>
    </w:p>
    <w:p>
      <w:pPr>
        <w:pStyle w:val="BodyText"/>
        <w:spacing w:before="79"/>
        <w:jc w:val="left"/>
      </w:pPr>
    </w:p>
    <w:p>
      <w:pPr>
        <w:pStyle w:val="ListParagraph"/>
        <w:numPr>
          <w:ilvl w:val="1"/>
          <w:numId w:val="174"/>
        </w:numPr>
        <w:tabs>
          <w:tab w:pos="2779" w:val="left" w:leader="none"/>
        </w:tabs>
        <w:spacing w:line="240" w:lineRule="auto" w:before="1" w:after="0"/>
        <w:ind w:left="2062" w:right="766" w:firstLine="0"/>
        <w:jc w:val="both"/>
        <w:rPr>
          <w:sz w:val="24"/>
        </w:rPr>
      </w:pPr>
      <w:r>
        <w:rPr>
          <w:sz w:val="24"/>
        </w:rPr>
        <w:t>Approval to the Project shall be given by the SRA within a period of</w:t>
      </w:r>
      <w:r>
        <w:rPr>
          <w:spacing w:val="-10"/>
          <w:sz w:val="24"/>
        </w:rPr>
        <w:t> </w:t>
      </w:r>
      <w:r>
        <w:rPr>
          <w:sz w:val="24"/>
        </w:rPr>
        <w:t>60</w:t>
      </w:r>
      <w:r>
        <w:rPr>
          <w:spacing w:val="-10"/>
          <w:sz w:val="24"/>
        </w:rPr>
        <w:t> </w:t>
      </w:r>
      <w:r>
        <w:rPr>
          <w:sz w:val="24"/>
        </w:rPr>
        <w:t>days</w:t>
      </w:r>
      <w:r>
        <w:rPr>
          <w:spacing w:val="-10"/>
          <w:sz w:val="24"/>
        </w:rPr>
        <w:t> </w:t>
      </w:r>
      <w:r>
        <w:rPr>
          <w:sz w:val="24"/>
        </w:rPr>
        <w:t>from</w:t>
      </w:r>
      <w:r>
        <w:rPr>
          <w:spacing w:val="-10"/>
          <w:sz w:val="24"/>
        </w:rPr>
        <w:t> </w:t>
      </w:r>
      <w:r>
        <w:rPr>
          <w:sz w:val="24"/>
        </w:rPr>
        <w:t>the</w:t>
      </w:r>
      <w:r>
        <w:rPr>
          <w:spacing w:val="-12"/>
          <w:sz w:val="24"/>
        </w:rPr>
        <w:t> </w:t>
      </w:r>
      <w:r>
        <w:rPr>
          <w:sz w:val="24"/>
        </w:rPr>
        <w:t>date</w:t>
      </w:r>
      <w:r>
        <w:rPr>
          <w:spacing w:val="-10"/>
          <w:sz w:val="24"/>
        </w:rPr>
        <w:t> </w:t>
      </w:r>
      <w:r>
        <w:rPr>
          <w:sz w:val="24"/>
        </w:rPr>
        <w:t>of</w:t>
      </w:r>
      <w:r>
        <w:rPr>
          <w:spacing w:val="-10"/>
          <w:sz w:val="24"/>
        </w:rPr>
        <w:t> </w:t>
      </w:r>
      <w:r>
        <w:rPr>
          <w:sz w:val="24"/>
        </w:rPr>
        <w:t>submission</w:t>
      </w:r>
      <w:r>
        <w:rPr>
          <w:spacing w:val="-10"/>
          <w:sz w:val="24"/>
        </w:rPr>
        <w:t> </w:t>
      </w:r>
      <w:r>
        <w:rPr>
          <w:sz w:val="24"/>
        </w:rPr>
        <w:t>of</w:t>
      </w:r>
      <w:r>
        <w:rPr>
          <w:spacing w:val="-10"/>
          <w:sz w:val="24"/>
        </w:rPr>
        <w:t> </w:t>
      </w:r>
      <w:r>
        <w:rPr>
          <w:sz w:val="24"/>
        </w:rPr>
        <w:t>all</w:t>
      </w:r>
      <w:r>
        <w:rPr>
          <w:spacing w:val="-10"/>
          <w:sz w:val="24"/>
        </w:rPr>
        <w:t> </w:t>
      </w:r>
      <w:r>
        <w:rPr>
          <w:sz w:val="24"/>
        </w:rPr>
        <w:t>relevant</w:t>
      </w:r>
      <w:r>
        <w:rPr>
          <w:spacing w:val="-10"/>
          <w:sz w:val="24"/>
        </w:rPr>
        <w:t> </w:t>
      </w:r>
      <w:r>
        <w:rPr>
          <w:sz w:val="24"/>
        </w:rPr>
        <w:t>documents.</w:t>
      </w:r>
      <w:r>
        <w:rPr>
          <w:spacing w:val="-10"/>
          <w:sz w:val="24"/>
        </w:rPr>
        <w:t> </w:t>
      </w:r>
      <w:r>
        <w:rPr>
          <w:sz w:val="24"/>
        </w:rPr>
        <w:t>In</w:t>
      </w:r>
      <w:r>
        <w:rPr>
          <w:spacing w:val="-10"/>
          <w:sz w:val="24"/>
        </w:rPr>
        <w:t> </w:t>
      </w:r>
      <w:r>
        <w:rPr>
          <w:sz w:val="24"/>
        </w:rPr>
        <w:t>the event of failure by SRA to do so, the said approval shall be deemed to have been given, provided the Project is in accordance with the provisions of these Regulations.</w:t>
      </w:r>
    </w:p>
    <w:p>
      <w:pPr>
        <w:pStyle w:val="BodyText"/>
        <w:spacing w:before="78"/>
        <w:jc w:val="left"/>
      </w:pPr>
    </w:p>
    <w:p>
      <w:pPr>
        <w:pStyle w:val="ListParagraph"/>
        <w:numPr>
          <w:ilvl w:val="1"/>
          <w:numId w:val="174"/>
        </w:numPr>
        <w:tabs>
          <w:tab w:pos="2779" w:val="left" w:leader="none"/>
        </w:tabs>
        <w:spacing w:line="240" w:lineRule="auto" w:before="1" w:after="0"/>
        <w:ind w:left="2062" w:right="775" w:firstLine="0"/>
        <w:jc w:val="both"/>
        <w:rPr>
          <w:sz w:val="24"/>
        </w:rPr>
      </w:pPr>
      <w:r>
        <w:rPr>
          <w:sz w:val="24"/>
        </w:rPr>
        <w:t>The SRA while giving the approval may lay down terms and conditions as may be necessary.</w:t>
      </w:r>
    </w:p>
    <w:p>
      <w:pPr>
        <w:pStyle w:val="BodyText"/>
        <w:spacing w:before="76"/>
        <w:jc w:val="left"/>
      </w:pPr>
    </w:p>
    <w:p>
      <w:pPr>
        <w:pStyle w:val="ListParagraph"/>
        <w:numPr>
          <w:ilvl w:val="1"/>
          <w:numId w:val="174"/>
        </w:numPr>
        <w:tabs>
          <w:tab w:pos="2779" w:val="left" w:leader="none"/>
        </w:tabs>
        <w:spacing w:line="240" w:lineRule="auto" w:before="0" w:after="0"/>
        <w:ind w:left="2062" w:right="771" w:firstLine="0"/>
        <w:jc w:val="both"/>
        <w:rPr>
          <w:sz w:val="24"/>
        </w:rPr>
      </w:pPr>
      <w:r>
        <w:rPr>
          <w:sz w:val="24"/>
        </w:rPr>
        <w:t>The</w:t>
      </w:r>
      <w:r>
        <w:rPr>
          <w:spacing w:val="-10"/>
          <w:sz w:val="24"/>
        </w:rPr>
        <w:t> </w:t>
      </w:r>
      <w:r>
        <w:rPr>
          <w:sz w:val="24"/>
        </w:rPr>
        <w:t>SRA</w:t>
      </w:r>
      <w:r>
        <w:rPr>
          <w:spacing w:val="-8"/>
          <w:sz w:val="24"/>
        </w:rPr>
        <w:t> </w:t>
      </w:r>
      <w:r>
        <w:rPr>
          <w:sz w:val="24"/>
        </w:rPr>
        <w:t>shall</w:t>
      </w:r>
      <w:r>
        <w:rPr>
          <w:spacing w:val="-10"/>
          <w:sz w:val="24"/>
        </w:rPr>
        <w:t> </w:t>
      </w:r>
      <w:r>
        <w:rPr>
          <w:sz w:val="24"/>
        </w:rPr>
        <w:t>adopt</w:t>
      </w:r>
      <w:r>
        <w:rPr>
          <w:spacing w:val="-5"/>
          <w:sz w:val="24"/>
        </w:rPr>
        <w:t> </w:t>
      </w:r>
      <w:r>
        <w:rPr>
          <w:sz w:val="24"/>
        </w:rPr>
        <w:t>the</w:t>
      </w:r>
      <w:r>
        <w:rPr>
          <w:spacing w:val="-10"/>
          <w:sz w:val="24"/>
        </w:rPr>
        <w:t> </w:t>
      </w:r>
      <w:r>
        <w:rPr>
          <w:sz w:val="24"/>
        </w:rPr>
        <w:t>procedure</w:t>
      </w:r>
      <w:r>
        <w:rPr>
          <w:spacing w:val="-10"/>
          <w:sz w:val="24"/>
        </w:rPr>
        <w:t> </w:t>
      </w:r>
      <w:r>
        <w:rPr>
          <w:sz w:val="24"/>
        </w:rPr>
        <w:t>laid</w:t>
      </w:r>
      <w:r>
        <w:rPr>
          <w:spacing w:val="-10"/>
          <w:sz w:val="24"/>
        </w:rPr>
        <w:t> </w:t>
      </w:r>
      <w:r>
        <w:rPr>
          <w:sz w:val="24"/>
        </w:rPr>
        <w:t>down</w:t>
      </w:r>
      <w:r>
        <w:rPr>
          <w:spacing w:val="-10"/>
          <w:sz w:val="24"/>
        </w:rPr>
        <w:t> </w:t>
      </w:r>
      <w:r>
        <w:rPr>
          <w:sz w:val="24"/>
        </w:rPr>
        <w:t>in</w:t>
      </w:r>
      <w:r>
        <w:rPr>
          <w:spacing w:val="-10"/>
          <w:sz w:val="24"/>
        </w:rPr>
        <w:t> </w:t>
      </w:r>
      <w:r>
        <w:rPr>
          <w:sz w:val="24"/>
        </w:rPr>
        <w:t>the</w:t>
      </w:r>
      <w:r>
        <w:rPr>
          <w:spacing w:val="-10"/>
          <w:sz w:val="24"/>
        </w:rPr>
        <w:t> </w:t>
      </w:r>
      <w:r>
        <w:rPr>
          <w:sz w:val="24"/>
        </w:rPr>
        <w:t>MR</w:t>
      </w:r>
      <w:r>
        <w:rPr>
          <w:spacing w:val="-8"/>
          <w:sz w:val="24"/>
        </w:rPr>
        <w:t> </w:t>
      </w:r>
      <w:r>
        <w:rPr>
          <w:sz w:val="24"/>
        </w:rPr>
        <w:t>&amp;</w:t>
      </w:r>
      <w:r>
        <w:rPr>
          <w:spacing w:val="-7"/>
          <w:sz w:val="24"/>
        </w:rPr>
        <w:t> </w:t>
      </w:r>
      <w:r>
        <w:rPr>
          <w:sz w:val="24"/>
        </w:rPr>
        <w:t>TP</w:t>
      </w:r>
      <w:r>
        <w:rPr>
          <w:spacing w:val="-7"/>
          <w:sz w:val="24"/>
        </w:rPr>
        <w:t> </w:t>
      </w:r>
      <w:r>
        <w:rPr>
          <w:sz w:val="24"/>
        </w:rPr>
        <w:t>Act, 1966 for giving building permission to any Slum Rehabilitation Project under this Scheme.</w:t>
      </w:r>
    </w:p>
    <w:p>
      <w:pPr>
        <w:pStyle w:val="BodyText"/>
        <w:spacing w:before="81"/>
        <w:jc w:val="left"/>
      </w:pPr>
    </w:p>
    <w:p>
      <w:pPr>
        <w:pStyle w:val="ListParagraph"/>
        <w:numPr>
          <w:ilvl w:val="1"/>
          <w:numId w:val="174"/>
        </w:numPr>
        <w:tabs>
          <w:tab w:pos="2779" w:val="left" w:leader="none"/>
        </w:tabs>
        <w:spacing w:line="240" w:lineRule="auto" w:before="0" w:after="0"/>
        <w:ind w:left="2062" w:right="766" w:firstLine="0"/>
        <w:jc w:val="both"/>
        <w:rPr>
          <w:sz w:val="24"/>
        </w:rPr>
      </w:pPr>
      <w:r>
        <w:rPr>
          <w:sz w:val="24"/>
        </w:rPr>
        <w:t>On compliance with the terms and conditions, the building permission shall be given, in accordance with the provisions under section 45 of the MR &amp; TP Act, 1966 to the Project under the SRS, first to the Rehabilitation component and thereafter to the free-sale component subject to the provisions in clause below.</w:t>
      </w:r>
    </w:p>
    <w:p>
      <w:pPr>
        <w:pStyle w:val="ListParagraph"/>
        <w:numPr>
          <w:ilvl w:val="1"/>
          <w:numId w:val="174"/>
        </w:numPr>
        <w:tabs>
          <w:tab w:pos="2779" w:val="left" w:leader="none"/>
        </w:tabs>
        <w:spacing w:line="240" w:lineRule="auto" w:before="240" w:after="0"/>
        <w:ind w:left="2062" w:right="769" w:firstLine="0"/>
        <w:jc w:val="both"/>
        <w:rPr>
          <w:sz w:val="24"/>
        </w:rPr>
      </w:pPr>
      <w:r>
        <w:rPr>
          <w:sz w:val="24"/>
        </w:rPr>
        <w:t>Correlation between Rehabilitation and free-sale components: Building permission, for 10 percent of BUA of both the rehab and free-</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72"/>
      </w:pPr>
      <w:r>
        <w:rPr/>
        <w:t>sale components may be given simultaneously and thereafter proportionately or as may be decided by the CEO, SRA.</w:t>
      </w:r>
    </w:p>
    <w:p>
      <w:pPr>
        <w:pStyle w:val="ListParagraph"/>
        <w:numPr>
          <w:ilvl w:val="1"/>
          <w:numId w:val="174"/>
        </w:numPr>
        <w:tabs>
          <w:tab w:pos="2779" w:val="left" w:leader="none"/>
        </w:tabs>
        <w:spacing w:line="240" w:lineRule="auto" w:before="241" w:after="0"/>
        <w:ind w:left="2062" w:right="766" w:firstLine="0"/>
        <w:jc w:val="both"/>
        <w:rPr>
          <w:sz w:val="24"/>
        </w:rPr>
      </w:pPr>
      <w:r>
        <w:rPr>
          <w:sz w:val="24"/>
        </w:rPr>
        <w:t>Where the Project is being implemented directly by an NGO approved by SRA, CEO (SRA) may sanction 20 percent of the free-sale component without waiting for any expenditure on the rehabilitation component.</w:t>
      </w:r>
      <w:r>
        <w:rPr>
          <w:spacing w:val="-10"/>
          <w:sz w:val="24"/>
        </w:rPr>
        <w:t> </w:t>
      </w:r>
      <w:r>
        <w:rPr>
          <w:sz w:val="24"/>
        </w:rPr>
        <w:t>The</w:t>
      </w:r>
      <w:r>
        <w:rPr>
          <w:spacing w:val="-10"/>
          <w:sz w:val="24"/>
        </w:rPr>
        <w:t> </w:t>
      </w:r>
      <w:r>
        <w:rPr>
          <w:sz w:val="24"/>
        </w:rPr>
        <w:t>approval</w:t>
      </w:r>
      <w:r>
        <w:rPr>
          <w:spacing w:val="-10"/>
          <w:sz w:val="24"/>
        </w:rPr>
        <w:t> </w:t>
      </w:r>
      <w:r>
        <w:rPr>
          <w:sz w:val="24"/>
        </w:rPr>
        <w:t>for</w:t>
      </w:r>
      <w:r>
        <w:rPr>
          <w:spacing w:val="-10"/>
          <w:sz w:val="24"/>
        </w:rPr>
        <w:t> </w:t>
      </w:r>
      <w:r>
        <w:rPr>
          <w:sz w:val="24"/>
        </w:rPr>
        <w:t>remaining</w:t>
      </w:r>
      <w:r>
        <w:rPr>
          <w:spacing w:val="-10"/>
          <w:sz w:val="24"/>
        </w:rPr>
        <w:t> </w:t>
      </w:r>
      <w:r>
        <w:rPr>
          <w:sz w:val="24"/>
        </w:rPr>
        <w:t>part</w:t>
      </w:r>
      <w:r>
        <w:rPr>
          <w:spacing w:val="-10"/>
          <w:sz w:val="24"/>
        </w:rPr>
        <w:t> </w:t>
      </w:r>
      <w:r>
        <w:rPr>
          <w:sz w:val="24"/>
        </w:rPr>
        <w:t>of</w:t>
      </w:r>
      <w:r>
        <w:rPr>
          <w:spacing w:val="-10"/>
          <w:sz w:val="24"/>
        </w:rPr>
        <w:t> </w:t>
      </w:r>
      <w:r>
        <w:rPr>
          <w:sz w:val="24"/>
        </w:rPr>
        <w:t>free-sale</w:t>
      </w:r>
      <w:r>
        <w:rPr>
          <w:spacing w:val="-10"/>
          <w:sz w:val="24"/>
        </w:rPr>
        <w:t> </w:t>
      </w:r>
      <w:r>
        <w:rPr>
          <w:sz w:val="24"/>
        </w:rPr>
        <w:t>component</w:t>
      </w:r>
      <w:r>
        <w:rPr>
          <w:spacing w:val="-10"/>
          <w:sz w:val="24"/>
        </w:rPr>
        <w:t> </w:t>
      </w:r>
      <w:r>
        <w:rPr>
          <w:sz w:val="24"/>
        </w:rPr>
        <w:t>will be given only after at least 30 percent of rehabilitation component is completed on site.</w:t>
      </w:r>
    </w:p>
    <w:p>
      <w:pPr>
        <w:pStyle w:val="ListParagraph"/>
        <w:numPr>
          <w:ilvl w:val="1"/>
          <w:numId w:val="174"/>
        </w:numPr>
        <w:tabs>
          <w:tab w:pos="2779" w:val="left" w:leader="none"/>
        </w:tabs>
        <w:spacing w:line="240" w:lineRule="auto" w:before="241" w:after="0"/>
        <w:ind w:left="2062" w:right="768" w:firstLine="0"/>
        <w:jc w:val="both"/>
        <w:rPr>
          <w:sz w:val="24"/>
        </w:rPr>
      </w:pPr>
      <w:r>
        <w:rPr>
          <w:sz w:val="24"/>
        </w:rPr>
        <w:t>As soon as the approval is given to the Project, the NOC for building permission of the landowning authority shall be given in respect of that slum located on lands belonging to any department, undertaking, agency of the State Govt. including MHADA, or any local self-Government</w:t>
      </w:r>
      <w:r>
        <w:rPr>
          <w:spacing w:val="-11"/>
          <w:sz w:val="24"/>
        </w:rPr>
        <w:t> </w:t>
      </w:r>
      <w:r>
        <w:rPr>
          <w:sz w:val="24"/>
        </w:rPr>
        <w:t>such</w:t>
      </w:r>
      <w:r>
        <w:rPr>
          <w:spacing w:val="-11"/>
          <w:sz w:val="24"/>
        </w:rPr>
        <w:t> </w:t>
      </w:r>
      <w:r>
        <w:rPr>
          <w:sz w:val="24"/>
        </w:rPr>
        <w:t>as</w:t>
      </w:r>
      <w:r>
        <w:rPr>
          <w:spacing w:val="-11"/>
          <w:sz w:val="24"/>
        </w:rPr>
        <w:t> </w:t>
      </w:r>
      <w:r>
        <w:rPr>
          <w:sz w:val="24"/>
        </w:rPr>
        <w:t>the</w:t>
      </w:r>
      <w:r>
        <w:rPr>
          <w:spacing w:val="-11"/>
          <w:sz w:val="24"/>
        </w:rPr>
        <w:t> </w:t>
      </w:r>
      <w:r>
        <w:rPr>
          <w:sz w:val="24"/>
        </w:rPr>
        <w:t>MCGM</w:t>
      </w:r>
      <w:r>
        <w:rPr>
          <w:spacing w:val="-11"/>
          <w:sz w:val="24"/>
        </w:rPr>
        <w:t> </w:t>
      </w:r>
      <w:r>
        <w:rPr>
          <w:sz w:val="24"/>
        </w:rPr>
        <w:t>within</w:t>
      </w:r>
      <w:r>
        <w:rPr>
          <w:spacing w:val="-11"/>
          <w:sz w:val="24"/>
        </w:rPr>
        <w:t> </w:t>
      </w:r>
      <w:r>
        <w:rPr>
          <w:sz w:val="24"/>
        </w:rPr>
        <w:t>60</w:t>
      </w:r>
      <w:r>
        <w:rPr>
          <w:spacing w:val="-11"/>
          <w:sz w:val="24"/>
        </w:rPr>
        <w:t> </w:t>
      </w:r>
      <w:r>
        <w:rPr>
          <w:sz w:val="24"/>
        </w:rPr>
        <w:t>days</w:t>
      </w:r>
      <w:r>
        <w:rPr>
          <w:spacing w:val="-11"/>
          <w:sz w:val="24"/>
        </w:rPr>
        <w:t> </w:t>
      </w:r>
      <w:r>
        <w:rPr>
          <w:sz w:val="24"/>
        </w:rPr>
        <w:t>after</w:t>
      </w:r>
      <w:r>
        <w:rPr>
          <w:spacing w:val="-11"/>
          <w:sz w:val="24"/>
        </w:rPr>
        <w:t> </w:t>
      </w:r>
      <w:r>
        <w:rPr>
          <w:sz w:val="24"/>
        </w:rPr>
        <w:t>the</w:t>
      </w:r>
      <w:r>
        <w:rPr>
          <w:spacing w:val="-11"/>
          <w:sz w:val="24"/>
        </w:rPr>
        <w:t> </w:t>
      </w:r>
      <w:r>
        <w:rPr>
          <w:sz w:val="24"/>
        </w:rPr>
        <w:t>intimation of such approval to the Project is communicated. In the event of its refusal</w:t>
      </w:r>
      <w:r>
        <w:rPr>
          <w:spacing w:val="-11"/>
          <w:sz w:val="24"/>
        </w:rPr>
        <w:t> </w:t>
      </w:r>
      <w:r>
        <w:rPr>
          <w:sz w:val="24"/>
        </w:rPr>
        <w:t>to</w:t>
      </w:r>
      <w:r>
        <w:rPr>
          <w:spacing w:val="-11"/>
          <w:sz w:val="24"/>
        </w:rPr>
        <w:t> </w:t>
      </w:r>
      <w:r>
        <w:rPr>
          <w:sz w:val="24"/>
        </w:rPr>
        <w:t>grant</w:t>
      </w:r>
      <w:r>
        <w:rPr>
          <w:spacing w:val="-11"/>
          <w:sz w:val="24"/>
        </w:rPr>
        <w:t> </w:t>
      </w:r>
      <w:r>
        <w:rPr>
          <w:sz w:val="24"/>
        </w:rPr>
        <w:t>NOC,</w:t>
      </w:r>
      <w:r>
        <w:rPr>
          <w:spacing w:val="-11"/>
          <w:sz w:val="24"/>
        </w:rPr>
        <w:t> </w:t>
      </w:r>
      <w:r>
        <w:rPr>
          <w:sz w:val="24"/>
        </w:rPr>
        <w:t>reasons</w:t>
      </w:r>
      <w:r>
        <w:rPr>
          <w:spacing w:val="-11"/>
          <w:sz w:val="24"/>
        </w:rPr>
        <w:t> </w:t>
      </w:r>
      <w:r>
        <w:rPr>
          <w:sz w:val="24"/>
        </w:rPr>
        <w:t>thereof</w:t>
      </w:r>
      <w:r>
        <w:rPr>
          <w:spacing w:val="-11"/>
          <w:sz w:val="24"/>
        </w:rPr>
        <w:t> </w:t>
      </w:r>
      <w:r>
        <w:rPr>
          <w:sz w:val="24"/>
        </w:rPr>
        <w:t>shall</w:t>
      </w:r>
      <w:r>
        <w:rPr>
          <w:spacing w:val="-11"/>
          <w:sz w:val="24"/>
        </w:rPr>
        <w:t> </w:t>
      </w:r>
      <w:r>
        <w:rPr>
          <w:sz w:val="24"/>
        </w:rPr>
        <w:t>be</w:t>
      </w:r>
      <w:r>
        <w:rPr>
          <w:spacing w:val="-11"/>
          <w:sz w:val="24"/>
        </w:rPr>
        <w:t> </w:t>
      </w:r>
      <w:r>
        <w:rPr>
          <w:sz w:val="24"/>
        </w:rPr>
        <w:t>stated</w:t>
      </w:r>
      <w:r>
        <w:rPr>
          <w:spacing w:val="-11"/>
          <w:sz w:val="24"/>
        </w:rPr>
        <w:t> </w:t>
      </w:r>
      <w:r>
        <w:rPr>
          <w:sz w:val="24"/>
        </w:rPr>
        <w:t>and</w:t>
      </w:r>
      <w:r>
        <w:rPr>
          <w:spacing w:val="-11"/>
          <w:sz w:val="24"/>
        </w:rPr>
        <w:t> </w:t>
      </w:r>
      <w:r>
        <w:rPr>
          <w:sz w:val="24"/>
        </w:rPr>
        <w:t>in</w:t>
      </w:r>
      <w:r>
        <w:rPr>
          <w:spacing w:val="-11"/>
          <w:sz w:val="24"/>
        </w:rPr>
        <w:t> </w:t>
      </w:r>
      <w:r>
        <w:rPr>
          <w:sz w:val="24"/>
        </w:rPr>
        <w:t>the</w:t>
      </w:r>
      <w:r>
        <w:rPr>
          <w:spacing w:val="-11"/>
          <w:sz w:val="24"/>
        </w:rPr>
        <w:t> </w:t>
      </w:r>
      <w:r>
        <w:rPr>
          <w:sz w:val="24"/>
        </w:rPr>
        <w:t>event</w:t>
      </w:r>
      <w:r>
        <w:rPr>
          <w:spacing w:val="-11"/>
          <w:sz w:val="24"/>
        </w:rPr>
        <w:t> </w:t>
      </w:r>
      <w:r>
        <w:rPr>
          <w:sz w:val="24"/>
        </w:rPr>
        <w:t>of its not being given within the period, it shall be deemed to have been </w:t>
      </w:r>
      <w:r>
        <w:rPr>
          <w:spacing w:val="-2"/>
          <w:sz w:val="24"/>
        </w:rPr>
        <w:t>given’.</w:t>
      </w:r>
    </w:p>
    <w:p>
      <w:pPr>
        <w:pStyle w:val="ListParagraph"/>
        <w:numPr>
          <w:ilvl w:val="1"/>
          <w:numId w:val="174"/>
        </w:numPr>
        <w:tabs>
          <w:tab w:pos="2779" w:val="left" w:leader="none"/>
        </w:tabs>
        <w:spacing w:line="240" w:lineRule="auto" w:before="240" w:after="0"/>
        <w:ind w:left="2062" w:right="766" w:firstLine="0"/>
        <w:jc w:val="both"/>
        <w:rPr>
          <w:sz w:val="24"/>
        </w:rPr>
      </w:pPr>
      <w:r>
        <w:rPr>
          <w:sz w:val="24"/>
        </w:rPr>
        <w:t>Occupation certificate shall not be held up only for want of lease documents to be executed, in all slum rehabilitation projects taken up on</w:t>
      </w:r>
      <w:r>
        <w:rPr>
          <w:spacing w:val="-12"/>
          <w:sz w:val="24"/>
        </w:rPr>
        <w:t> </w:t>
      </w:r>
      <w:r>
        <w:rPr>
          <w:sz w:val="24"/>
        </w:rPr>
        <w:t>lands</w:t>
      </w:r>
      <w:r>
        <w:rPr>
          <w:spacing w:val="-12"/>
          <w:sz w:val="24"/>
        </w:rPr>
        <w:t> </w:t>
      </w:r>
      <w:r>
        <w:rPr>
          <w:sz w:val="24"/>
        </w:rPr>
        <w:t>belonging</w:t>
      </w:r>
      <w:r>
        <w:rPr>
          <w:spacing w:val="-12"/>
          <w:sz w:val="24"/>
        </w:rPr>
        <w:t> </w:t>
      </w:r>
      <w:r>
        <w:rPr>
          <w:sz w:val="24"/>
        </w:rPr>
        <w:t>to</w:t>
      </w:r>
      <w:r>
        <w:rPr>
          <w:spacing w:val="-11"/>
          <w:sz w:val="24"/>
        </w:rPr>
        <w:t> </w:t>
      </w:r>
      <w:r>
        <w:rPr>
          <w:sz w:val="24"/>
        </w:rPr>
        <w:t>any</w:t>
      </w:r>
      <w:r>
        <w:rPr>
          <w:spacing w:val="-12"/>
          <w:sz w:val="24"/>
        </w:rPr>
        <w:t> </w:t>
      </w:r>
      <w:r>
        <w:rPr>
          <w:sz w:val="24"/>
        </w:rPr>
        <w:t>department,</w:t>
      </w:r>
      <w:r>
        <w:rPr>
          <w:spacing w:val="-12"/>
          <w:sz w:val="24"/>
        </w:rPr>
        <w:t> </w:t>
      </w:r>
      <w:r>
        <w:rPr>
          <w:sz w:val="24"/>
        </w:rPr>
        <w:t>undertaking,</w:t>
      </w:r>
      <w:r>
        <w:rPr>
          <w:spacing w:val="-12"/>
          <w:sz w:val="24"/>
        </w:rPr>
        <w:t> </w:t>
      </w:r>
      <w:r>
        <w:rPr>
          <w:sz w:val="24"/>
        </w:rPr>
        <w:t>agency</w:t>
      </w:r>
      <w:r>
        <w:rPr>
          <w:spacing w:val="-12"/>
          <w:sz w:val="24"/>
        </w:rPr>
        <w:t> </w:t>
      </w:r>
      <w:r>
        <w:rPr>
          <w:sz w:val="24"/>
        </w:rPr>
        <w:t>of</w:t>
      </w:r>
      <w:r>
        <w:rPr>
          <w:spacing w:val="-12"/>
          <w:sz w:val="24"/>
        </w:rPr>
        <w:t> </w:t>
      </w:r>
      <w:r>
        <w:rPr>
          <w:sz w:val="24"/>
        </w:rPr>
        <w:t>the</w:t>
      </w:r>
      <w:r>
        <w:rPr>
          <w:spacing w:val="-12"/>
          <w:sz w:val="24"/>
        </w:rPr>
        <w:t> </w:t>
      </w:r>
      <w:r>
        <w:rPr>
          <w:sz w:val="24"/>
        </w:rPr>
        <w:t>State Govt., including MHADA, and any local self-Government such as the </w:t>
      </w:r>
      <w:r>
        <w:rPr>
          <w:spacing w:val="-2"/>
          <w:sz w:val="24"/>
        </w:rPr>
        <w:t>MCGM.</w:t>
      </w:r>
    </w:p>
    <w:p>
      <w:pPr>
        <w:pStyle w:val="Heading5"/>
        <w:numPr>
          <w:ilvl w:val="0"/>
          <w:numId w:val="28"/>
        </w:numPr>
        <w:tabs>
          <w:tab w:pos="2734" w:val="left" w:leader="none"/>
        </w:tabs>
        <w:spacing w:line="240" w:lineRule="auto" w:before="240" w:after="0"/>
        <w:ind w:left="2734" w:right="0" w:hanging="672"/>
        <w:jc w:val="both"/>
      </w:pPr>
      <w:r>
        <w:rPr/>
        <w:t>Rehabilitation</w:t>
      </w:r>
      <w:r>
        <w:rPr>
          <w:spacing w:val="76"/>
        </w:rPr>
        <w:t> </w:t>
      </w:r>
      <w:r>
        <w:rPr/>
        <w:t>and</w:t>
      </w:r>
      <w:r>
        <w:rPr>
          <w:spacing w:val="77"/>
        </w:rPr>
        <w:t> </w:t>
      </w:r>
      <w:r>
        <w:rPr>
          <w:spacing w:val="9"/>
        </w:rPr>
        <w:t>Free-</w:t>
      </w:r>
      <w:r>
        <w:rPr/>
        <w:t>Sale</w:t>
      </w:r>
      <w:r>
        <w:rPr>
          <w:spacing w:val="75"/>
        </w:rPr>
        <w:t> </w:t>
      </w:r>
      <w:r>
        <w:rPr>
          <w:spacing w:val="-2"/>
        </w:rPr>
        <w:t>Component</w:t>
      </w:r>
      <w:r>
        <w:rPr>
          <w:b w:val="0"/>
          <w:spacing w:val="-2"/>
        </w:rPr>
        <w:t>:</w:t>
      </w:r>
    </w:p>
    <w:p>
      <w:pPr>
        <w:pStyle w:val="ListParagraph"/>
        <w:numPr>
          <w:ilvl w:val="1"/>
          <w:numId w:val="172"/>
        </w:numPr>
        <w:tabs>
          <w:tab w:pos="2575" w:val="left" w:leader="none"/>
        </w:tabs>
        <w:spacing w:line="240" w:lineRule="auto" w:before="239" w:after="0"/>
        <w:ind w:left="2062" w:right="769" w:firstLine="0"/>
        <w:jc w:val="both"/>
        <w:rPr>
          <w:sz w:val="24"/>
        </w:rPr>
      </w:pPr>
      <w:r>
        <w:rPr>
          <w:sz w:val="24"/>
        </w:rPr>
        <w:t>FSI for rehabilitation of eligible slum/pavement-dwellers includes the FSI for the rehab component, and for the free-sale component. The ratio between the two components shall be as laid down herein below.</w:t>
      </w:r>
    </w:p>
    <w:p>
      <w:pPr>
        <w:pStyle w:val="ListParagraph"/>
        <w:numPr>
          <w:ilvl w:val="1"/>
          <w:numId w:val="172"/>
        </w:numPr>
        <w:tabs>
          <w:tab w:pos="2491" w:val="left" w:leader="none"/>
        </w:tabs>
        <w:spacing w:line="240" w:lineRule="auto" w:before="240" w:after="0"/>
        <w:ind w:left="2062" w:right="771" w:firstLine="0"/>
        <w:jc w:val="both"/>
        <w:rPr>
          <w:sz w:val="24"/>
        </w:rPr>
      </w:pPr>
      <w:r>
        <w:rPr>
          <w:spacing w:val="-2"/>
          <w:sz w:val="24"/>
        </w:rPr>
        <w:t>BUA</w:t>
      </w:r>
      <w:r>
        <w:rPr>
          <w:spacing w:val="-9"/>
          <w:sz w:val="24"/>
        </w:rPr>
        <w:t> </w:t>
      </w:r>
      <w:r>
        <w:rPr>
          <w:spacing w:val="-2"/>
          <w:sz w:val="24"/>
        </w:rPr>
        <w:t>for</w:t>
      </w:r>
      <w:r>
        <w:rPr>
          <w:spacing w:val="-9"/>
          <w:sz w:val="24"/>
        </w:rPr>
        <w:t> </w:t>
      </w:r>
      <w:r>
        <w:rPr>
          <w:spacing w:val="-2"/>
          <w:sz w:val="24"/>
        </w:rPr>
        <w:t>rehabilitation</w:t>
      </w:r>
      <w:r>
        <w:rPr>
          <w:spacing w:val="-9"/>
          <w:sz w:val="24"/>
        </w:rPr>
        <w:t> </w:t>
      </w:r>
      <w:r>
        <w:rPr>
          <w:spacing w:val="-2"/>
          <w:sz w:val="24"/>
        </w:rPr>
        <w:t>component</w:t>
      </w:r>
      <w:r>
        <w:rPr>
          <w:spacing w:val="-9"/>
          <w:sz w:val="24"/>
        </w:rPr>
        <w:t> </w:t>
      </w:r>
      <w:r>
        <w:rPr>
          <w:spacing w:val="-2"/>
          <w:sz w:val="24"/>
        </w:rPr>
        <w:t>shall</w:t>
      </w:r>
      <w:r>
        <w:rPr>
          <w:spacing w:val="-9"/>
          <w:sz w:val="24"/>
        </w:rPr>
        <w:t> </w:t>
      </w:r>
      <w:r>
        <w:rPr>
          <w:spacing w:val="-2"/>
          <w:sz w:val="24"/>
        </w:rPr>
        <w:t>mean</w:t>
      </w:r>
      <w:r>
        <w:rPr>
          <w:spacing w:val="-9"/>
          <w:sz w:val="24"/>
        </w:rPr>
        <w:t> </w:t>
      </w:r>
      <w:r>
        <w:rPr>
          <w:spacing w:val="-2"/>
          <w:sz w:val="24"/>
        </w:rPr>
        <w:t>total</w:t>
      </w:r>
      <w:r>
        <w:rPr>
          <w:spacing w:val="-9"/>
          <w:sz w:val="24"/>
        </w:rPr>
        <w:t> </w:t>
      </w:r>
      <w:r>
        <w:rPr>
          <w:spacing w:val="-2"/>
          <w:sz w:val="24"/>
        </w:rPr>
        <w:t>construction</w:t>
      </w:r>
      <w:r>
        <w:rPr>
          <w:spacing w:val="-9"/>
          <w:sz w:val="24"/>
        </w:rPr>
        <w:t> </w:t>
      </w:r>
      <w:r>
        <w:rPr>
          <w:spacing w:val="-2"/>
          <w:sz w:val="24"/>
        </w:rPr>
        <w:t>area </w:t>
      </w:r>
      <w:r>
        <w:rPr>
          <w:sz w:val="24"/>
        </w:rPr>
        <w:t>of rehabilitation component, excluding what is set down in 31 (1) of D.</w:t>
      </w:r>
    </w:p>
    <w:p>
      <w:pPr>
        <w:pStyle w:val="BodyText"/>
        <w:spacing w:before="1"/>
        <w:ind w:left="2062" w:right="767"/>
      </w:pPr>
      <w:r>
        <w:rPr/>
        <w:t>C.</w:t>
      </w:r>
      <w:r>
        <w:rPr>
          <w:spacing w:val="-7"/>
        </w:rPr>
        <w:t> </w:t>
      </w:r>
      <w:r>
        <w:rPr/>
        <w:t>Regulations,</w:t>
      </w:r>
      <w:r>
        <w:rPr>
          <w:spacing w:val="-7"/>
        </w:rPr>
        <w:t> </w:t>
      </w:r>
      <w:r>
        <w:rPr/>
        <w:t>but</w:t>
      </w:r>
      <w:r>
        <w:rPr>
          <w:spacing w:val="-7"/>
        </w:rPr>
        <w:t> </w:t>
      </w:r>
      <w:r>
        <w:rPr/>
        <w:t>including</w:t>
      </w:r>
      <w:r>
        <w:rPr>
          <w:spacing w:val="-7"/>
        </w:rPr>
        <w:t> </w:t>
      </w:r>
      <w:r>
        <w:rPr/>
        <w:t>areas</w:t>
      </w:r>
      <w:r>
        <w:rPr>
          <w:spacing w:val="-7"/>
        </w:rPr>
        <w:t> </w:t>
      </w:r>
      <w:r>
        <w:rPr/>
        <w:t>under</w:t>
      </w:r>
      <w:r>
        <w:rPr>
          <w:spacing w:val="-7"/>
        </w:rPr>
        <w:t> </w:t>
      </w:r>
      <w:r>
        <w:rPr/>
        <w:t>passages,</w:t>
      </w:r>
      <w:r>
        <w:rPr>
          <w:spacing w:val="-7"/>
        </w:rPr>
        <w:t> </w:t>
      </w:r>
      <w:r>
        <w:rPr/>
        <w:t>aaganwadi,</w:t>
      </w:r>
      <w:r>
        <w:rPr>
          <w:spacing w:val="-7"/>
        </w:rPr>
        <w:t> </w:t>
      </w:r>
      <w:r>
        <w:rPr/>
        <w:t>health centre / outpost, community hall /gymnasium / fitness centre, skill development centre, women entrepreneurship centre, yuvakendra/ library,</w:t>
      </w:r>
      <w:r>
        <w:rPr>
          <w:spacing w:val="-20"/>
        </w:rPr>
        <w:t> </w:t>
      </w:r>
      <w:r>
        <w:rPr/>
        <w:t>Balwadi/s</w:t>
      </w:r>
      <w:r>
        <w:rPr>
          <w:spacing w:val="-19"/>
        </w:rPr>
        <w:t> </w:t>
      </w:r>
      <w:r>
        <w:rPr/>
        <w:t>society</w:t>
      </w:r>
      <w:r>
        <w:rPr>
          <w:spacing w:val="-18"/>
        </w:rPr>
        <w:t> </w:t>
      </w:r>
      <w:r>
        <w:rPr/>
        <w:t>office,</w:t>
      </w:r>
      <w:r>
        <w:rPr>
          <w:spacing w:val="-19"/>
        </w:rPr>
        <w:t> </w:t>
      </w:r>
      <w:r>
        <w:rPr/>
        <w:t>religious</w:t>
      </w:r>
      <w:r>
        <w:rPr>
          <w:spacing w:val="-20"/>
        </w:rPr>
        <w:t> </w:t>
      </w:r>
      <w:r>
        <w:rPr/>
        <w:t>structures</w:t>
      </w:r>
      <w:r>
        <w:rPr>
          <w:spacing w:val="-18"/>
        </w:rPr>
        <w:t> </w:t>
      </w:r>
      <w:r>
        <w:rPr/>
        <w:t>as</w:t>
      </w:r>
      <w:r>
        <w:rPr>
          <w:spacing w:val="-19"/>
        </w:rPr>
        <w:t> </w:t>
      </w:r>
      <w:r>
        <w:rPr/>
        <w:t>permitted</w:t>
      </w:r>
      <w:r>
        <w:rPr>
          <w:spacing w:val="-19"/>
        </w:rPr>
        <w:t> </w:t>
      </w:r>
      <w:r>
        <w:rPr/>
        <w:t>under Government Home Department Resolution dt. 05/05/2011 and 18/11/2015, other social infrastructure like School, Dispensary, Gymnasium run by Public Authority or Charitable Trust, 5 percent incentive</w:t>
      </w:r>
      <w:r>
        <w:rPr>
          <w:spacing w:val="-11"/>
        </w:rPr>
        <w:t> </w:t>
      </w:r>
      <w:r>
        <w:rPr/>
        <w:t>commercial</w:t>
      </w:r>
      <w:r>
        <w:rPr>
          <w:spacing w:val="-8"/>
        </w:rPr>
        <w:t> </w:t>
      </w:r>
      <w:r>
        <w:rPr/>
        <w:t>areas</w:t>
      </w:r>
      <w:r>
        <w:rPr>
          <w:spacing w:val="-8"/>
        </w:rPr>
        <w:t> </w:t>
      </w:r>
      <w:r>
        <w:rPr/>
        <w:t>for</w:t>
      </w:r>
      <w:r>
        <w:rPr>
          <w:spacing w:val="-9"/>
        </w:rPr>
        <w:t> </w:t>
      </w:r>
      <w:r>
        <w:rPr/>
        <w:t>the</w:t>
      </w:r>
      <w:r>
        <w:rPr>
          <w:spacing w:val="-8"/>
        </w:rPr>
        <w:t> </w:t>
      </w:r>
      <w:r>
        <w:rPr/>
        <w:t>Co-operative</w:t>
      </w:r>
      <w:r>
        <w:rPr>
          <w:spacing w:val="-8"/>
        </w:rPr>
        <w:t> </w:t>
      </w:r>
      <w:r>
        <w:rPr/>
        <w:t>society,</w:t>
      </w:r>
      <w:r>
        <w:rPr>
          <w:spacing w:val="-9"/>
        </w:rPr>
        <w:t> </w:t>
      </w:r>
      <w:r>
        <w:rPr/>
        <w:t>and</w:t>
      </w:r>
      <w:r>
        <w:rPr>
          <w:spacing w:val="-8"/>
        </w:rPr>
        <w:t> </w:t>
      </w:r>
      <w:r>
        <w:rPr/>
        <w:t>the</w:t>
      </w:r>
      <w:r>
        <w:rPr>
          <w:spacing w:val="-8"/>
        </w:rPr>
        <w:t> </w:t>
      </w:r>
      <w:r>
        <w:rPr>
          <w:spacing w:val="-2"/>
        </w:rPr>
        <w:t>further</w:t>
      </w:r>
    </w:p>
    <w:p>
      <w:pPr>
        <w:pStyle w:val="BodyText"/>
        <w:ind w:left="2062" w:right="771"/>
      </w:pPr>
      <w:r>
        <w:rPr/>
        <w:t>5 percent incentive commercial area for the NGO, Govt./Public Authority/Govt. Company wherever eligible.</w:t>
      </w:r>
    </w:p>
    <w:p>
      <w:pPr>
        <w:pStyle w:val="BodyText"/>
        <w:spacing w:before="241"/>
        <w:ind w:left="2062" w:right="769"/>
      </w:pPr>
      <w:r>
        <w:rPr/>
        <w:t>The incentive FSI/BUA shall depend on size of the scheme and</w:t>
      </w:r>
      <w:r>
        <w:rPr>
          <w:spacing w:val="40"/>
        </w:rPr>
        <w:t> </w:t>
      </w:r>
      <w:r>
        <w:rPr/>
        <w:t>rate of developed</w:t>
      </w:r>
      <w:r>
        <w:rPr>
          <w:spacing w:val="-12"/>
        </w:rPr>
        <w:t> </w:t>
      </w:r>
      <w:r>
        <w:rPr/>
        <w:t>land</w:t>
      </w:r>
      <w:r>
        <w:rPr>
          <w:spacing w:val="-12"/>
        </w:rPr>
        <w:t> </w:t>
      </w:r>
      <w:r>
        <w:rPr/>
        <w:t>and</w:t>
      </w:r>
      <w:r>
        <w:rPr>
          <w:spacing w:val="-12"/>
        </w:rPr>
        <w:t> </w:t>
      </w:r>
      <w:r>
        <w:rPr/>
        <w:t>rate</w:t>
      </w:r>
      <w:r>
        <w:rPr>
          <w:spacing w:val="-12"/>
        </w:rPr>
        <w:t> </w:t>
      </w:r>
      <w:r>
        <w:rPr/>
        <w:t>of</w:t>
      </w:r>
      <w:r>
        <w:rPr>
          <w:spacing w:val="-12"/>
        </w:rPr>
        <w:t> </w:t>
      </w:r>
      <w:r>
        <w:rPr/>
        <w:t>construction</w:t>
      </w:r>
      <w:r>
        <w:rPr>
          <w:spacing w:val="-12"/>
        </w:rPr>
        <w:t> </w:t>
      </w:r>
      <w:r>
        <w:rPr/>
        <w:t>as</w:t>
      </w:r>
      <w:r>
        <w:rPr>
          <w:spacing w:val="-12"/>
        </w:rPr>
        <w:t> </w:t>
      </w:r>
      <w:r>
        <w:rPr/>
        <w:t>per</w:t>
      </w:r>
      <w:r>
        <w:rPr>
          <w:spacing w:val="-12"/>
        </w:rPr>
        <w:t> </w:t>
      </w:r>
      <w:r>
        <w:rPr/>
        <w:t>ASR</w:t>
      </w:r>
      <w:r>
        <w:rPr>
          <w:spacing w:val="-12"/>
        </w:rPr>
        <w:t> </w:t>
      </w:r>
      <w:r>
        <w:rPr/>
        <w:t>of</w:t>
      </w:r>
      <w:r>
        <w:rPr>
          <w:spacing w:val="-12"/>
        </w:rPr>
        <w:t> </w:t>
      </w:r>
      <w:r>
        <w:rPr/>
        <w:t>year</w:t>
      </w:r>
      <w:r>
        <w:rPr>
          <w:spacing w:val="-10"/>
        </w:rPr>
        <w:t> </w:t>
      </w:r>
      <w:r>
        <w:rPr/>
        <w:t>in</w:t>
      </w:r>
      <w:r>
        <w:rPr>
          <w:spacing w:val="-10"/>
        </w:rPr>
        <w:t> </w:t>
      </w:r>
      <w:r>
        <w:rPr/>
        <w:t>which</w:t>
      </w:r>
      <w:r>
        <w:rPr>
          <w:spacing w:val="-12"/>
        </w:rPr>
        <w:t> </w:t>
      </w:r>
      <w:r>
        <w:rPr/>
        <w:t>LOI is sanctioned.</w:t>
      </w:r>
    </w:p>
    <w:p>
      <w:pPr>
        <w:pStyle w:val="BodyText"/>
        <w:spacing w:after="0"/>
        <w:sectPr>
          <w:pgSz w:w="11910" w:h="16840"/>
          <w:pgMar w:header="1065" w:footer="1194" w:top="1500" w:bottom="1380" w:left="360" w:right="360"/>
        </w:sectPr>
      </w:pPr>
    </w:p>
    <w:p>
      <w:pPr>
        <w:pStyle w:val="BodyText"/>
        <w:spacing w:before="14" w:after="1"/>
        <w:jc w:val="left"/>
        <w:rPr>
          <w:sz w:val="20"/>
        </w:rPr>
      </w:pPr>
    </w:p>
    <w:tbl>
      <w:tblPr>
        <w:tblW w:w="0" w:type="auto"/>
        <w:jc w:val="left"/>
        <w:tblInd w:w="2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1"/>
        <w:gridCol w:w="924"/>
        <w:gridCol w:w="1024"/>
        <w:gridCol w:w="955"/>
        <w:gridCol w:w="818"/>
        <w:gridCol w:w="955"/>
        <w:gridCol w:w="1433"/>
      </w:tblGrid>
      <w:tr>
        <w:trPr>
          <w:trHeight w:val="1209" w:hRule="atLeast"/>
        </w:trPr>
        <w:tc>
          <w:tcPr>
            <w:tcW w:w="931" w:type="dxa"/>
          </w:tcPr>
          <w:p>
            <w:pPr>
              <w:pStyle w:val="TableParagraph"/>
              <w:spacing w:before="42"/>
              <w:ind w:left="107" w:right="105"/>
              <w:jc w:val="both"/>
              <w:rPr>
                <w:sz w:val="24"/>
              </w:rPr>
            </w:pPr>
            <w:r>
              <w:rPr>
                <w:spacing w:val="-2"/>
                <w:sz w:val="24"/>
              </w:rPr>
              <w:t>Basic Ratio (LR/R</w:t>
            </w:r>
          </w:p>
          <w:p>
            <w:pPr>
              <w:pStyle w:val="TableParagraph"/>
              <w:spacing w:line="279" w:lineRule="exact"/>
              <w:ind w:left="107"/>
              <w:rPr>
                <w:sz w:val="24"/>
              </w:rPr>
            </w:pPr>
            <w:r>
              <w:rPr>
                <w:spacing w:val="-5"/>
                <w:sz w:val="24"/>
              </w:rPr>
              <w:t>C)*</w:t>
            </w:r>
          </w:p>
        </w:tc>
        <w:tc>
          <w:tcPr>
            <w:tcW w:w="6109" w:type="dxa"/>
            <w:gridSpan w:val="6"/>
          </w:tcPr>
          <w:p>
            <w:pPr>
              <w:pStyle w:val="TableParagraph"/>
              <w:spacing w:before="40"/>
              <w:ind w:left="105"/>
              <w:rPr>
                <w:sz w:val="24"/>
              </w:rPr>
            </w:pPr>
            <w:r>
              <w:rPr>
                <w:sz w:val="24"/>
              </w:rPr>
              <w:t>Incentive</w:t>
            </w:r>
            <w:r>
              <w:rPr>
                <w:spacing w:val="-3"/>
                <w:sz w:val="24"/>
              </w:rPr>
              <w:t> </w:t>
            </w:r>
            <w:r>
              <w:rPr>
                <w:sz w:val="24"/>
              </w:rPr>
              <w:t>as per area</w:t>
            </w:r>
            <w:r>
              <w:rPr>
                <w:spacing w:val="-3"/>
                <w:sz w:val="24"/>
              </w:rPr>
              <w:t> </w:t>
            </w:r>
            <w:r>
              <w:rPr>
                <w:sz w:val="24"/>
              </w:rPr>
              <w:t>of </w:t>
            </w:r>
            <w:r>
              <w:rPr>
                <w:spacing w:val="-2"/>
                <w:sz w:val="24"/>
              </w:rPr>
              <w:t>scheme</w:t>
            </w:r>
          </w:p>
        </w:tc>
      </w:tr>
      <w:tr>
        <w:trPr>
          <w:trHeight w:val="1768" w:hRule="atLeast"/>
        </w:trPr>
        <w:tc>
          <w:tcPr>
            <w:tcW w:w="931" w:type="dxa"/>
          </w:tcPr>
          <w:p>
            <w:pPr>
              <w:pStyle w:val="TableParagraph"/>
              <w:rPr>
                <w:rFonts w:ascii="Times New Roman"/>
                <w:sz w:val="22"/>
              </w:rPr>
            </w:pPr>
          </w:p>
        </w:tc>
        <w:tc>
          <w:tcPr>
            <w:tcW w:w="924" w:type="dxa"/>
          </w:tcPr>
          <w:p>
            <w:pPr>
              <w:pStyle w:val="TableParagraph"/>
              <w:spacing w:before="40"/>
              <w:ind w:left="105"/>
              <w:rPr>
                <w:sz w:val="24"/>
              </w:rPr>
            </w:pPr>
            <w:r>
              <w:rPr>
                <w:sz w:val="24"/>
              </w:rPr>
              <w:t>up</w:t>
            </w:r>
            <w:r>
              <w:rPr>
                <w:spacing w:val="40"/>
                <w:sz w:val="24"/>
              </w:rPr>
              <w:t> </w:t>
            </w:r>
            <w:r>
              <w:rPr>
                <w:sz w:val="24"/>
              </w:rPr>
              <w:t>to </w:t>
            </w:r>
            <w:r>
              <w:rPr>
                <w:spacing w:val="-4"/>
                <w:sz w:val="24"/>
              </w:rPr>
              <w:t>0.40</w:t>
            </w:r>
          </w:p>
          <w:p>
            <w:pPr>
              <w:pStyle w:val="TableParagraph"/>
              <w:spacing w:line="280" w:lineRule="exact"/>
              <w:ind w:left="105"/>
              <w:rPr>
                <w:sz w:val="24"/>
              </w:rPr>
            </w:pPr>
            <w:r>
              <w:rPr>
                <w:spacing w:val="-5"/>
                <w:sz w:val="24"/>
              </w:rPr>
              <w:t>ha</w:t>
            </w:r>
          </w:p>
        </w:tc>
        <w:tc>
          <w:tcPr>
            <w:tcW w:w="1024" w:type="dxa"/>
          </w:tcPr>
          <w:p>
            <w:pPr>
              <w:pStyle w:val="TableParagraph"/>
              <w:spacing w:before="40"/>
              <w:ind w:left="108" w:right="163" w:firstLine="153"/>
              <w:rPr>
                <w:sz w:val="24"/>
              </w:rPr>
            </w:pPr>
            <w:r>
              <w:rPr>
                <w:spacing w:val="-4"/>
                <w:sz w:val="24"/>
              </w:rPr>
              <w:t>More than</w:t>
            </w:r>
          </w:p>
          <w:p>
            <w:pPr>
              <w:pStyle w:val="TableParagraph"/>
              <w:spacing w:line="280" w:lineRule="exact"/>
              <w:ind w:left="108"/>
              <w:rPr>
                <w:sz w:val="24"/>
              </w:rPr>
            </w:pPr>
            <w:r>
              <w:rPr>
                <w:sz w:val="24"/>
              </w:rPr>
              <w:t>0.4</w:t>
            </w:r>
            <w:r>
              <w:rPr>
                <w:spacing w:val="55"/>
                <w:sz w:val="24"/>
              </w:rPr>
              <w:t> </w:t>
            </w:r>
            <w:r>
              <w:rPr>
                <w:spacing w:val="-7"/>
                <w:sz w:val="24"/>
              </w:rPr>
              <w:t>ha</w:t>
            </w:r>
          </w:p>
          <w:p>
            <w:pPr>
              <w:pStyle w:val="TableParagraph"/>
              <w:spacing w:before="1"/>
              <w:ind w:left="108" w:right="91"/>
              <w:rPr>
                <w:sz w:val="24"/>
              </w:rPr>
            </w:pPr>
            <w:r>
              <w:rPr>
                <w:spacing w:val="-2"/>
                <w:sz w:val="24"/>
              </w:rPr>
              <w:t>up</w:t>
            </w:r>
            <w:r>
              <w:rPr>
                <w:spacing w:val="-18"/>
                <w:sz w:val="24"/>
              </w:rPr>
              <w:t> </w:t>
            </w:r>
            <w:r>
              <w:rPr>
                <w:spacing w:val="-2"/>
                <w:sz w:val="24"/>
              </w:rPr>
              <w:t>to</w:t>
            </w:r>
            <w:r>
              <w:rPr>
                <w:spacing w:val="-17"/>
                <w:sz w:val="24"/>
              </w:rPr>
              <w:t> </w:t>
            </w:r>
            <w:r>
              <w:rPr>
                <w:spacing w:val="-2"/>
                <w:sz w:val="24"/>
              </w:rPr>
              <w:t>1 </w:t>
            </w:r>
            <w:r>
              <w:rPr>
                <w:spacing w:val="-6"/>
                <w:sz w:val="24"/>
              </w:rPr>
              <w:t>ha</w:t>
            </w:r>
          </w:p>
        </w:tc>
        <w:tc>
          <w:tcPr>
            <w:tcW w:w="955" w:type="dxa"/>
          </w:tcPr>
          <w:p>
            <w:pPr>
              <w:pStyle w:val="TableParagraph"/>
              <w:spacing w:before="40"/>
              <w:ind w:left="109" w:right="246"/>
              <w:rPr>
                <w:sz w:val="24"/>
              </w:rPr>
            </w:pPr>
            <w:r>
              <w:rPr>
                <w:spacing w:val="-4"/>
                <w:sz w:val="24"/>
              </w:rPr>
              <w:t>More than</w:t>
            </w:r>
          </w:p>
          <w:p>
            <w:pPr>
              <w:pStyle w:val="TableParagraph"/>
              <w:tabs>
                <w:tab w:pos="550" w:val="left" w:leader="none"/>
              </w:tabs>
              <w:spacing w:line="280" w:lineRule="exact"/>
              <w:ind w:left="109"/>
              <w:rPr>
                <w:sz w:val="24"/>
              </w:rPr>
            </w:pPr>
            <w:r>
              <w:rPr>
                <w:spacing w:val="-10"/>
                <w:sz w:val="24"/>
              </w:rPr>
              <w:t>1</w:t>
            </w:r>
            <w:r>
              <w:rPr>
                <w:sz w:val="24"/>
              </w:rPr>
              <w:tab/>
            </w:r>
            <w:r>
              <w:rPr>
                <w:spacing w:val="-5"/>
                <w:sz w:val="24"/>
              </w:rPr>
              <w:t>ha</w:t>
            </w:r>
          </w:p>
          <w:p>
            <w:pPr>
              <w:pStyle w:val="TableParagraph"/>
              <w:tabs>
                <w:tab w:pos="622" w:val="left" w:leader="none"/>
              </w:tabs>
              <w:spacing w:before="1"/>
              <w:ind w:left="109" w:right="94"/>
              <w:rPr>
                <w:sz w:val="24"/>
              </w:rPr>
            </w:pPr>
            <w:r>
              <w:rPr>
                <w:spacing w:val="-6"/>
                <w:sz w:val="24"/>
              </w:rPr>
              <w:t>up</w:t>
            </w:r>
            <w:r>
              <w:rPr>
                <w:sz w:val="24"/>
              </w:rPr>
              <w:tab/>
            </w:r>
            <w:r>
              <w:rPr>
                <w:spacing w:val="-6"/>
                <w:sz w:val="24"/>
              </w:rPr>
              <w:t>to </w:t>
            </w:r>
            <w:r>
              <w:rPr>
                <w:sz w:val="24"/>
              </w:rPr>
              <w:t>5 ha</w:t>
            </w:r>
          </w:p>
        </w:tc>
        <w:tc>
          <w:tcPr>
            <w:tcW w:w="818" w:type="dxa"/>
          </w:tcPr>
          <w:p>
            <w:pPr>
              <w:pStyle w:val="TableParagraph"/>
              <w:spacing w:before="40"/>
              <w:ind w:left="110" w:right="108"/>
              <w:rPr>
                <w:sz w:val="24"/>
              </w:rPr>
            </w:pPr>
            <w:r>
              <w:rPr>
                <w:spacing w:val="-4"/>
                <w:sz w:val="24"/>
              </w:rPr>
              <w:t>More than</w:t>
            </w:r>
          </w:p>
          <w:p>
            <w:pPr>
              <w:pStyle w:val="TableParagraph"/>
              <w:ind w:left="110" w:right="93"/>
              <w:jc w:val="both"/>
              <w:rPr>
                <w:sz w:val="24"/>
              </w:rPr>
            </w:pPr>
            <w:r>
              <w:rPr>
                <w:sz w:val="24"/>
              </w:rPr>
              <w:t>5 </w:t>
            </w:r>
            <w:r>
              <w:rPr>
                <w:sz w:val="24"/>
              </w:rPr>
              <w:t>h</w:t>
            </w:r>
            <w:r>
              <w:rPr>
                <w:sz w:val="24"/>
              </w:rPr>
              <w:t>a</w:t>
            </w:r>
            <w:r>
              <w:rPr>
                <w:sz w:val="24"/>
              </w:rPr>
              <w:t> </w:t>
            </w:r>
            <w:r>
              <w:rPr>
                <w:spacing w:val="-2"/>
                <w:sz w:val="24"/>
              </w:rPr>
              <w:t>up</w:t>
            </w:r>
            <w:r>
              <w:rPr>
                <w:spacing w:val="-18"/>
                <w:sz w:val="24"/>
              </w:rPr>
              <w:t> </w:t>
            </w:r>
            <w:r>
              <w:rPr>
                <w:spacing w:val="-2"/>
                <w:sz w:val="24"/>
              </w:rPr>
              <w:t>t</w:t>
            </w:r>
            <w:r>
              <w:rPr>
                <w:spacing w:val="-2"/>
                <w:sz w:val="24"/>
              </w:rPr>
              <w:t>o</w:t>
            </w:r>
            <w:r>
              <w:rPr>
                <w:spacing w:val="-2"/>
                <w:sz w:val="24"/>
              </w:rPr>
              <w:t> </w:t>
            </w:r>
            <w:r>
              <w:rPr>
                <w:spacing w:val="-6"/>
                <w:sz w:val="24"/>
              </w:rPr>
              <w:t>10</w:t>
            </w:r>
          </w:p>
          <w:p>
            <w:pPr>
              <w:pStyle w:val="TableParagraph"/>
              <w:spacing w:line="281" w:lineRule="exact"/>
              <w:ind w:left="110"/>
              <w:rPr>
                <w:sz w:val="24"/>
              </w:rPr>
            </w:pPr>
            <w:r>
              <w:rPr>
                <w:spacing w:val="-5"/>
                <w:sz w:val="24"/>
              </w:rPr>
              <w:t>ha.</w:t>
            </w:r>
          </w:p>
        </w:tc>
        <w:tc>
          <w:tcPr>
            <w:tcW w:w="955" w:type="dxa"/>
          </w:tcPr>
          <w:p>
            <w:pPr>
              <w:pStyle w:val="TableParagraph"/>
              <w:spacing w:before="40"/>
              <w:ind w:left="110" w:right="240"/>
              <w:rPr>
                <w:sz w:val="24"/>
              </w:rPr>
            </w:pPr>
            <w:r>
              <w:rPr>
                <w:spacing w:val="-4"/>
                <w:sz w:val="24"/>
              </w:rPr>
              <w:t>For more than</w:t>
            </w:r>
          </w:p>
          <w:p>
            <w:pPr>
              <w:pStyle w:val="TableParagraph"/>
              <w:ind w:left="110" w:right="35"/>
              <w:rPr>
                <w:sz w:val="24"/>
              </w:rPr>
            </w:pPr>
            <w:r>
              <w:rPr>
                <w:sz w:val="24"/>
              </w:rPr>
              <w:t>10</w:t>
            </w:r>
            <w:r>
              <w:rPr>
                <w:spacing w:val="29"/>
                <w:sz w:val="24"/>
              </w:rPr>
              <w:t> </w:t>
            </w:r>
            <w:r>
              <w:rPr>
                <w:sz w:val="24"/>
              </w:rPr>
              <w:t>h</w:t>
            </w:r>
            <w:r>
              <w:rPr>
                <w:sz w:val="24"/>
              </w:rPr>
              <w:t>a</w:t>
            </w:r>
            <w:r>
              <w:rPr>
                <w:sz w:val="24"/>
              </w:rPr>
              <w:t> </w:t>
            </w:r>
            <w:r>
              <w:rPr>
                <w:spacing w:val="-4"/>
                <w:sz w:val="24"/>
              </w:rPr>
              <w:t>upto </w:t>
            </w:r>
            <w:r>
              <w:rPr>
                <w:sz w:val="24"/>
              </w:rPr>
              <w:t>20 ha</w:t>
            </w:r>
          </w:p>
        </w:tc>
        <w:tc>
          <w:tcPr>
            <w:tcW w:w="1433" w:type="dxa"/>
          </w:tcPr>
          <w:p>
            <w:pPr>
              <w:pStyle w:val="TableParagraph"/>
              <w:spacing w:before="40"/>
              <w:ind w:left="110" w:right="93"/>
              <w:jc w:val="both"/>
              <w:rPr>
                <w:sz w:val="24"/>
              </w:rPr>
            </w:pPr>
            <w:r>
              <w:rPr>
                <w:sz w:val="24"/>
              </w:rPr>
              <w:t>For </w:t>
            </w:r>
            <w:r>
              <w:rPr>
                <w:sz w:val="24"/>
              </w:rPr>
              <w:t>more than 20 </w:t>
            </w:r>
            <w:r>
              <w:rPr>
                <w:spacing w:val="-6"/>
                <w:sz w:val="24"/>
              </w:rPr>
              <w:t>ha</w:t>
            </w:r>
          </w:p>
        </w:tc>
      </w:tr>
      <w:tr>
        <w:trPr>
          <w:trHeight w:val="645" w:hRule="atLeast"/>
        </w:trPr>
        <w:tc>
          <w:tcPr>
            <w:tcW w:w="931" w:type="dxa"/>
          </w:tcPr>
          <w:p>
            <w:pPr>
              <w:pStyle w:val="TableParagraph"/>
              <w:spacing w:before="40"/>
              <w:ind w:left="107" w:right="107"/>
              <w:rPr>
                <w:sz w:val="24"/>
              </w:rPr>
            </w:pPr>
            <w:r>
              <w:rPr>
                <w:spacing w:val="-2"/>
                <w:sz w:val="24"/>
              </w:rPr>
              <w:t>Above </w:t>
            </w:r>
            <w:r>
              <w:rPr>
                <w:spacing w:val="-4"/>
                <w:sz w:val="24"/>
              </w:rPr>
              <w:t>6.00</w:t>
            </w:r>
          </w:p>
        </w:tc>
        <w:tc>
          <w:tcPr>
            <w:tcW w:w="924" w:type="dxa"/>
          </w:tcPr>
          <w:p>
            <w:pPr>
              <w:pStyle w:val="TableParagraph"/>
              <w:spacing w:before="37"/>
              <w:ind w:left="8"/>
              <w:jc w:val="center"/>
              <w:rPr>
                <w:sz w:val="24"/>
              </w:rPr>
            </w:pPr>
            <w:r>
              <w:rPr>
                <w:spacing w:val="-5"/>
                <w:sz w:val="24"/>
              </w:rPr>
              <w:t>0.8</w:t>
            </w:r>
          </w:p>
        </w:tc>
        <w:tc>
          <w:tcPr>
            <w:tcW w:w="1024" w:type="dxa"/>
          </w:tcPr>
          <w:p>
            <w:pPr>
              <w:pStyle w:val="TableParagraph"/>
              <w:spacing w:before="37"/>
              <w:ind w:left="9"/>
              <w:jc w:val="center"/>
              <w:rPr>
                <w:sz w:val="24"/>
              </w:rPr>
            </w:pPr>
            <w:r>
              <w:rPr>
                <w:spacing w:val="-4"/>
                <w:sz w:val="24"/>
              </w:rPr>
              <w:t>0.85</w:t>
            </w:r>
          </w:p>
        </w:tc>
        <w:tc>
          <w:tcPr>
            <w:tcW w:w="955" w:type="dxa"/>
          </w:tcPr>
          <w:p>
            <w:pPr>
              <w:pStyle w:val="TableParagraph"/>
              <w:spacing w:before="37"/>
              <w:ind w:left="14" w:right="2"/>
              <w:jc w:val="center"/>
              <w:rPr>
                <w:sz w:val="24"/>
              </w:rPr>
            </w:pPr>
            <w:r>
              <w:rPr>
                <w:spacing w:val="-4"/>
                <w:sz w:val="24"/>
              </w:rPr>
              <w:t>0.90</w:t>
            </w:r>
          </w:p>
        </w:tc>
        <w:tc>
          <w:tcPr>
            <w:tcW w:w="818" w:type="dxa"/>
          </w:tcPr>
          <w:p>
            <w:pPr>
              <w:pStyle w:val="TableParagraph"/>
              <w:spacing w:before="37"/>
              <w:ind w:left="11"/>
              <w:jc w:val="center"/>
              <w:rPr>
                <w:sz w:val="24"/>
              </w:rPr>
            </w:pPr>
            <w:r>
              <w:rPr>
                <w:spacing w:val="-4"/>
                <w:sz w:val="24"/>
              </w:rPr>
              <w:t>0.95</w:t>
            </w:r>
          </w:p>
        </w:tc>
        <w:tc>
          <w:tcPr>
            <w:tcW w:w="955" w:type="dxa"/>
          </w:tcPr>
          <w:p>
            <w:pPr>
              <w:pStyle w:val="TableParagraph"/>
              <w:spacing w:before="37"/>
              <w:ind w:left="14"/>
              <w:jc w:val="center"/>
              <w:rPr>
                <w:sz w:val="24"/>
              </w:rPr>
            </w:pPr>
            <w:r>
              <w:rPr>
                <w:spacing w:val="-5"/>
                <w:sz w:val="24"/>
              </w:rPr>
              <w:t>1.0</w:t>
            </w:r>
          </w:p>
        </w:tc>
        <w:tc>
          <w:tcPr>
            <w:tcW w:w="1433" w:type="dxa"/>
          </w:tcPr>
          <w:p>
            <w:pPr>
              <w:pStyle w:val="TableParagraph"/>
              <w:spacing w:before="37"/>
              <w:ind w:left="12"/>
              <w:jc w:val="center"/>
              <w:rPr>
                <w:sz w:val="24"/>
              </w:rPr>
            </w:pPr>
            <w:r>
              <w:rPr>
                <w:spacing w:val="-4"/>
                <w:sz w:val="24"/>
              </w:rPr>
              <w:t>1.05</w:t>
            </w:r>
          </w:p>
        </w:tc>
      </w:tr>
      <w:tr>
        <w:trPr>
          <w:trHeight w:val="1487" w:hRule="atLeast"/>
        </w:trPr>
        <w:tc>
          <w:tcPr>
            <w:tcW w:w="931" w:type="dxa"/>
          </w:tcPr>
          <w:p>
            <w:pPr>
              <w:pStyle w:val="TableParagraph"/>
              <w:spacing w:before="40"/>
              <w:ind w:left="107" w:right="107"/>
              <w:rPr>
                <w:sz w:val="24"/>
              </w:rPr>
            </w:pPr>
            <w:r>
              <w:rPr>
                <w:spacing w:val="-2"/>
                <w:sz w:val="24"/>
              </w:rPr>
              <w:t>Above </w:t>
            </w:r>
            <w:r>
              <w:rPr>
                <w:spacing w:val="-4"/>
                <w:sz w:val="24"/>
              </w:rPr>
              <w:t>4.00</w:t>
            </w:r>
          </w:p>
          <w:p>
            <w:pPr>
              <w:pStyle w:val="TableParagraph"/>
              <w:ind w:left="107" w:right="272"/>
              <w:rPr>
                <w:sz w:val="24"/>
              </w:rPr>
            </w:pPr>
            <w:r>
              <w:rPr>
                <w:spacing w:val="-4"/>
                <w:sz w:val="24"/>
              </w:rPr>
              <w:t>and upto 6.00</w:t>
            </w:r>
          </w:p>
        </w:tc>
        <w:tc>
          <w:tcPr>
            <w:tcW w:w="924" w:type="dxa"/>
          </w:tcPr>
          <w:p>
            <w:pPr>
              <w:pStyle w:val="TableParagraph"/>
              <w:spacing w:before="37"/>
              <w:ind w:left="8"/>
              <w:jc w:val="center"/>
              <w:rPr>
                <w:sz w:val="24"/>
              </w:rPr>
            </w:pPr>
            <w:r>
              <w:rPr>
                <w:spacing w:val="-4"/>
                <w:sz w:val="24"/>
              </w:rPr>
              <w:t>0.90</w:t>
            </w:r>
          </w:p>
        </w:tc>
        <w:tc>
          <w:tcPr>
            <w:tcW w:w="1024" w:type="dxa"/>
          </w:tcPr>
          <w:p>
            <w:pPr>
              <w:pStyle w:val="TableParagraph"/>
              <w:spacing w:before="37"/>
              <w:ind w:left="9"/>
              <w:jc w:val="center"/>
              <w:rPr>
                <w:sz w:val="24"/>
              </w:rPr>
            </w:pPr>
            <w:r>
              <w:rPr>
                <w:spacing w:val="-4"/>
                <w:sz w:val="24"/>
              </w:rPr>
              <w:t>0.95</w:t>
            </w:r>
          </w:p>
        </w:tc>
        <w:tc>
          <w:tcPr>
            <w:tcW w:w="955" w:type="dxa"/>
          </w:tcPr>
          <w:p>
            <w:pPr>
              <w:pStyle w:val="TableParagraph"/>
              <w:spacing w:before="37"/>
              <w:ind w:left="14" w:right="2"/>
              <w:jc w:val="center"/>
              <w:rPr>
                <w:sz w:val="24"/>
              </w:rPr>
            </w:pPr>
            <w:r>
              <w:rPr>
                <w:spacing w:val="-5"/>
                <w:sz w:val="24"/>
              </w:rPr>
              <w:t>1.0</w:t>
            </w:r>
          </w:p>
        </w:tc>
        <w:tc>
          <w:tcPr>
            <w:tcW w:w="818" w:type="dxa"/>
          </w:tcPr>
          <w:p>
            <w:pPr>
              <w:pStyle w:val="TableParagraph"/>
              <w:spacing w:before="37"/>
              <w:ind w:left="11"/>
              <w:jc w:val="center"/>
              <w:rPr>
                <w:sz w:val="24"/>
              </w:rPr>
            </w:pPr>
            <w:r>
              <w:rPr>
                <w:spacing w:val="-4"/>
                <w:sz w:val="24"/>
              </w:rPr>
              <w:t>1.05</w:t>
            </w:r>
          </w:p>
        </w:tc>
        <w:tc>
          <w:tcPr>
            <w:tcW w:w="955" w:type="dxa"/>
          </w:tcPr>
          <w:p>
            <w:pPr>
              <w:pStyle w:val="TableParagraph"/>
              <w:spacing w:before="37"/>
              <w:ind w:left="14"/>
              <w:jc w:val="center"/>
              <w:rPr>
                <w:sz w:val="24"/>
              </w:rPr>
            </w:pPr>
            <w:r>
              <w:rPr>
                <w:spacing w:val="-5"/>
                <w:sz w:val="24"/>
              </w:rPr>
              <w:t>1.1</w:t>
            </w:r>
          </w:p>
        </w:tc>
        <w:tc>
          <w:tcPr>
            <w:tcW w:w="1433" w:type="dxa"/>
          </w:tcPr>
          <w:p>
            <w:pPr>
              <w:pStyle w:val="TableParagraph"/>
              <w:spacing w:before="37"/>
              <w:ind w:left="12"/>
              <w:jc w:val="center"/>
              <w:rPr>
                <w:sz w:val="24"/>
              </w:rPr>
            </w:pPr>
            <w:r>
              <w:rPr>
                <w:spacing w:val="-4"/>
                <w:sz w:val="24"/>
              </w:rPr>
              <w:t>1.15</w:t>
            </w:r>
          </w:p>
        </w:tc>
      </w:tr>
      <w:tr>
        <w:trPr>
          <w:trHeight w:val="1487" w:hRule="atLeast"/>
        </w:trPr>
        <w:tc>
          <w:tcPr>
            <w:tcW w:w="931" w:type="dxa"/>
          </w:tcPr>
          <w:p>
            <w:pPr>
              <w:pStyle w:val="TableParagraph"/>
              <w:spacing w:before="40"/>
              <w:ind w:left="107" w:right="107"/>
              <w:rPr>
                <w:sz w:val="24"/>
              </w:rPr>
            </w:pPr>
            <w:r>
              <w:rPr>
                <w:spacing w:val="-2"/>
                <w:sz w:val="24"/>
              </w:rPr>
              <w:t>Above </w:t>
            </w:r>
            <w:r>
              <w:rPr>
                <w:spacing w:val="-4"/>
                <w:sz w:val="24"/>
              </w:rPr>
              <w:t>2.00</w:t>
            </w:r>
          </w:p>
          <w:p>
            <w:pPr>
              <w:pStyle w:val="TableParagraph"/>
              <w:ind w:left="107" w:right="272"/>
              <w:rPr>
                <w:sz w:val="24"/>
              </w:rPr>
            </w:pPr>
            <w:r>
              <w:rPr>
                <w:spacing w:val="-4"/>
                <w:sz w:val="24"/>
              </w:rPr>
              <w:t>and upto 4.00</w:t>
            </w:r>
          </w:p>
        </w:tc>
        <w:tc>
          <w:tcPr>
            <w:tcW w:w="924" w:type="dxa"/>
          </w:tcPr>
          <w:p>
            <w:pPr>
              <w:pStyle w:val="TableParagraph"/>
              <w:spacing w:before="37"/>
              <w:ind w:left="8"/>
              <w:jc w:val="center"/>
              <w:rPr>
                <w:sz w:val="24"/>
              </w:rPr>
            </w:pPr>
            <w:r>
              <w:rPr>
                <w:spacing w:val="-5"/>
                <w:sz w:val="24"/>
              </w:rPr>
              <w:t>1.0</w:t>
            </w:r>
          </w:p>
        </w:tc>
        <w:tc>
          <w:tcPr>
            <w:tcW w:w="1024" w:type="dxa"/>
          </w:tcPr>
          <w:p>
            <w:pPr>
              <w:pStyle w:val="TableParagraph"/>
              <w:spacing w:before="37"/>
              <w:ind w:left="9"/>
              <w:jc w:val="center"/>
              <w:rPr>
                <w:sz w:val="24"/>
              </w:rPr>
            </w:pPr>
            <w:r>
              <w:rPr>
                <w:spacing w:val="-4"/>
                <w:sz w:val="24"/>
              </w:rPr>
              <w:t>1.05</w:t>
            </w:r>
          </w:p>
        </w:tc>
        <w:tc>
          <w:tcPr>
            <w:tcW w:w="955" w:type="dxa"/>
          </w:tcPr>
          <w:p>
            <w:pPr>
              <w:pStyle w:val="TableParagraph"/>
              <w:spacing w:before="37"/>
              <w:ind w:left="14" w:right="2"/>
              <w:jc w:val="center"/>
              <w:rPr>
                <w:sz w:val="24"/>
              </w:rPr>
            </w:pPr>
            <w:r>
              <w:rPr>
                <w:spacing w:val="-5"/>
                <w:sz w:val="24"/>
              </w:rPr>
              <w:t>1.1</w:t>
            </w:r>
          </w:p>
        </w:tc>
        <w:tc>
          <w:tcPr>
            <w:tcW w:w="818" w:type="dxa"/>
          </w:tcPr>
          <w:p>
            <w:pPr>
              <w:pStyle w:val="TableParagraph"/>
              <w:spacing w:before="37"/>
              <w:ind w:left="11"/>
              <w:jc w:val="center"/>
              <w:rPr>
                <w:sz w:val="24"/>
              </w:rPr>
            </w:pPr>
            <w:r>
              <w:rPr>
                <w:spacing w:val="-4"/>
                <w:sz w:val="24"/>
              </w:rPr>
              <w:t>1.15</w:t>
            </w:r>
          </w:p>
        </w:tc>
        <w:tc>
          <w:tcPr>
            <w:tcW w:w="955" w:type="dxa"/>
          </w:tcPr>
          <w:p>
            <w:pPr>
              <w:pStyle w:val="TableParagraph"/>
              <w:spacing w:before="37"/>
              <w:ind w:left="14"/>
              <w:jc w:val="center"/>
              <w:rPr>
                <w:sz w:val="24"/>
              </w:rPr>
            </w:pPr>
            <w:r>
              <w:rPr>
                <w:spacing w:val="-5"/>
                <w:sz w:val="24"/>
              </w:rPr>
              <w:t>1.2</w:t>
            </w:r>
          </w:p>
        </w:tc>
        <w:tc>
          <w:tcPr>
            <w:tcW w:w="1433" w:type="dxa"/>
          </w:tcPr>
          <w:p>
            <w:pPr>
              <w:pStyle w:val="TableParagraph"/>
              <w:spacing w:before="37"/>
              <w:ind w:left="12"/>
              <w:jc w:val="center"/>
              <w:rPr>
                <w:sz w:val="24"/>
              </w:rPr>
            </w:pPr>
            <w:r>
              <w:rPr>
                <w:spacing w:val="-4"/>
                <w:sz w:val="24"/>
              </w:rPr>
              <w:t>1.25</w:t>
            </w:r>
          </w:p>
        </w:tc>
      </w:tr>
      <w:tr>
        <w:trPr>
          <w:trHeight w:val="645" w:hRule="atLeast"/>
        </w:trPr>
        <w:tc>
          <w:tcPr>
            <w:tcW w:w="931" w:type="dxa"/>
          </w:tcPr>
          <w:p>
            <w:pPr>
              <w:pStyle w:val="TableParagraph"/>
              <w:spacing w:before="42"/>
              <w:ind w:left="107" w:right="248"/>
              <w:rPr>
                <w:sz w:val="24"/>
              </w:rPr>
            </w:pPr>
            <w:r>
              <w:rPr>
                <w:spacing w:val="-4"/>
                <w:sz w:val="24"/>
              </w:rPr>
              <w:t>Upto 2.00</w:t>
            </w:r>
          </w:p>
        </w:tc>
        <w:tc>
          <w:tcPr>
            <w:tcW w:w="924" w:type="dxa"/>
          </w:tcPr>
          <w:p>
            <w:pPr>
              <w:pStyle w:val="TableParagraph"/>
              <w:spacing w:before="40"/>
              <w:ind w:left="8"/>
              <w:jc w:val="center"/>
              <w:rPr>
                <w:sz w:val="24"/>
              </w:rPr>
            </w:pPr>
            <w:r>
              <w:rPr>
                <w:spacing w:val="-4"/>
                <w:sz w:val="24"/>
              </w:rPr>
              <w:t>1.10</w:t>
            </w:r>
          </w:p>
        </w:tc>
        <w:tc>
          <w:tcPr>
            <w:tcW w:w="1024" w:type="dxa"/>
          </w:tcPr>
          <w:p>
            <w:pPr>
              <w:pStyle w:val="TableParagraph"/>
              <w:spacing w:before="40"/>
              <w:ind w:left="9"/>
              <w:jc w:val="center"/>
              <w:rPr>
                <w:sz w:val="24"/>
              </w:rPr>
            </w:pPr>
            <w:r>
              <w:rPr>
                <w:spacing w:val="-4"/>
                <w:sz w:val="24"/>
              </w:rPr>
              <w:t>1.15</w:t>
            </w:r>
          </w:p>
        </w:tc>
        <w:tc>
          <w:tcPr>
            <w:tcW w:w="955" w:type="dxa"/>
          </w:tcPr>
          <w:p>
            <w:pPr>
              <w:pStyle w:val="TableParagraph"/>
              <w:spacing w:before="40"/>
              <w:ind w:left="14" w:right="2"/>
              <w:jc w:val="center"/>
              <w:rPr>
                <w:sz w:val="24"/>
              </w:rPr>
            </w:pPr>
            <w:r>
              <w:rPr>
                <w:spacing w:val="-5"/>
                <w:sz w:val="24"/>
              </w:rPr>
              <w:t>1.2</w:t>
            </w:r>
          </w:p>
        </w:tc>
        <w:tc>
          <w:tcPr>
            <w:tcW w:w="818" w:type="dxa"/>
          </w:tcPr>
          <w:p>
            <w:pPr>
              <w:pStyle w:val="TableParagraph"/>
              <w:spacing w:before="40"/>
              <w:ind w:left="11"/>
              <w:jc w:val="center"/>
              <w:rPr>
                <w:sz w:val="24"/>
              </w:rPr>
            </w:pPr>
            <w:r>
              <w:rPr>
                <w:spacing w:val="-4"/>
                <w:sz w:val="24"/>
              </w:rPr>
              <w:t>1.25</w:t>
            </w:r>
          </w:p>
        </w:tc>
        <w:tc>
          <w:tcPr>
            <w:tcW w:w="955" w:type="dxa"/>
          </w:tcPr>
          <w:p>
            <w:pPr>
              <w:pStyle w:val="TableParagraph"/>
              <w:spacing w:before="40"/>
              <w:ind w:left="14"/>
              <w:jc w:val="center"/>
              <w:rPr>
                <w:sz w:val="24"/>
              </w:rPr>
            </w:pPr>
            <w:r>
              <w:rPr>
                <w:spacing w:val="-5"/>
                <w:sz w:val="24"/>
              </w:rPr>
              <w:t>1.3</w:t>
            </w:r>
          </w:p>
        </w:tc>
        <w:tc>
          <w:tcPr>
            <w:tcW w:w="1433" w:type="dxa"/>
          </w:tcPr>
          <w:p>
            <w:pPr>
              <w:pStyle w:val="TableParagraph"/>
              <w:spacing w:before="40"/>
              <w:ind w:left="12"/>
              <w:jc w:val="center"/>
              <w:rPr>
                <w:sz w:val="24"/>
              </w:rPr>
            </w:pPr>
            <w:r>
              <w:rPr>
                <w:spacing w:val="-4"/>
                <w:sz w:val="24"/>
              </w:rPr>
              <w:t>1.35</w:t>
            </w:r>
          </w:p>
        </w:tc>
      </w:tr>
    </w:tbl>
    <w:p>
      <w:pPr>
        <w:pStyle w:val="BodyText"/>
        <w:spacing w:before="2"/>
        <w:ind w:left="2422" w:right="838"/>
        <w:jc w:val="left"/>
      </w:pPr>
      <w:r>
        <w:rPr/>
        <w:t>*RC</w:t>
      </w:r>
      <w:r>
        <w:rPr>
          <w:spacing w:val="40"/>
        </w:rPr>
        <w:t> </w:t>
      </w:r>
      <w:r>
        <w:rPr/>
        <w:t>is</w:t>
      </w:r>
      <w:r>
        <w:rPr>
          <w:spacing w:val="40"/>
        </w:rPr>
        <w:t> </w:t>
      </w:r>
      <w:r>
        <w:rPr/>
        <w:t>the</w:t>
      </w:r>
      <w:r>
        <w:rPr>
          <w:spacing w:val="40"/>
        </w:rPr>
        <w:t> </w:t>
      </w:r>
      <w:r>
        <w:rPr/>
        <w:t>rate</w:t>
      </w:r>
      <w:r>
        <w:rPr>
          <w:spacing w:val="40"/>
        </w:rPr>
        <w:t> </w:t>
      </w:r>
      <w:r>
        <w:rPr/>
        <w:t>of</w:t>
      </w:r>
      <w:r>
        <w:rPr>
          <w:spacing w:val="40"/>
        </w:rPr>
        <w:t> </w:t>
      </w:r>
      <w:r>
        <w:rPr/>
        <w:t>construction</w:t>
      </w:r>
      <w:r>
        <w:rPr>
          <w:spacing w:val="40"/>
        </w:rPr>
        <w:t> </w:t>
      </w:r>
      <w:r>
        <w:rPr/>
        <w:t>in</w:t>
      </w:r>
      <w:r>
        <w:rPr>
          <w:spacing w:val="40"/>
        </w:rPr>
        <w:t> </w:t>
      </w:r>
      <w:r>
        <w:rPr/>
        <w:t>respect</w:t>
      </w:r>
      <w:r>
        <w:rPr>
          <w:spacing w:val="40"/>
        </w:rPr>
        <w:t> </w:t>
      </w:r>
      <w:r>
        <w:rPr/>
        <w:t>of</w:t>
      </w:r>
      <w:r>
        <w:rPr>
          <w:spacing w:val="40"/>
        </w:rPr>
        <w:t> </w:t>
      </w:r>
      <w:r>
        <w:rPr/>
        <w:t>RCC</w:t>
      </w:r>
      <w:r>
        <w:rPr>
          <w:spacing w:val="40"/>
        </w:rPr>
        <w:t> </w:t>
      </w:r>
      <w:r>
        <w:rPr/>
        <w:t>Construction</w:t>
      </w:r>
      <w:r>
        <w:rPr>
          <w:spacing w:val="40"/>
        </w:rPr>
        <w:t> </w:t>
      </w:r>
      <w:r>
        <w:rPr/>
        <w:t>and</w:t>
      </w:r>
      <w:r>
        <w:rPr>
          <w:spacing w:val="40"/>
        </w:rPr>
        <w:t> </w:t>
      </w:r>
      <w:r>
        <w:rPr/>
        <w:t>Land</w:t>
      </w:r>
      <w:r>
        <w:rPr>
          <w:spacing w:val="40"/>
        </w:rPr>
        <w:t> </w:t>
      </w:r>
      <w:r>
        <w:rPr/>
        <w:t>Rate</w:t>
      </w:r>
      <w:r>
        <w:rPr>
          <w:spacing w:val="40"/>
        </w:rPr>
        <w:t> </w:t>
      </w:r>
      <w:r>
        <w:rPr/>
        <w:t>(LR)</w:t>
      </w:r>
      <w:r>
        <w:rPr>
          <w:spacing w:val="40"/>
        </w:rPr>
        <w:t> </w:t>
      </w:r>
      <w:r>
        <w:rPr/>
        <w:t>is</w:t>
      </w:r>
      <w:r>
        <w:rPr>
          <w:spacing w:val="40"/>
        </w:rPr>
        <w:t> </w:t>
      </w:r>
      <w:r>
        <w:rPr/>
        <w:t>the</w:t>
      </w:r>
      <w:r>
        <w:rPr>
          <w:spacing w:val="40"/>
        </w:rPr>
        <w:t> </w:t>
      </w:r>
      <w:r>
        <w:rPr/>
        <w:t>rate</w:t>
      </w:r>
      <w:r>
        <w:rPr>
          <w:spacing w:val="40"/>
        </w:rPr>
        <w:t> </w:t>
      </w:r>
      <w:r>
        <w:rPr/>
        <w:t>of</w:t>
      </w:r>
      <w:r>
        <w:rPr>
          <w:spacing w:val="40"/>
        </w:rPr>
        <w:t> </w:t>
      </w:r>
      <w:r>
        <w:rPr/>
        <w:t>open</w:t>
      </w:r>
      <w:r>
        <w:rPr>
          <w:spacing w:val="40"/>
        </w:rPr>
        <w:t> </w:t>
      </w:r>
      <w:r>
        <w:rPr/>
        <w:t>Land</w:t>
      </w:r>
      <w:r>
        <w:rPr>
          <w:spacing w:val="40"/>
        </w:rPr>
        <w:t> </w:t>
      </w:r>
      <w:r>
        <w:rPr/>
        <w:t>for</w:t>
      </w:r>
      <w:r>
        <w:rPr>
          <w:spacing w:val="40"/>
        </w:rPr>
        <w:t> </w:t>
      </w:r>
      <w:r>
        <w:rPr/>
        <w:t>FSI</w:t>
      </w:r>
      <w:r>
        <w:rPr>
          <w:spacing w:val="40"/>
        </w:rPr>
        <w:t> </w:t>
      </w:r>
      <w:r>
        <w:rPr/>
        <w:t>1.</w:t>
      </w:r>
    </w:p>
    <w:p>
      <w:pPr>
        <w:pStyle w:val="BodyText"/>
        <w:jc w:val="left"/>
      </w:pPr>
    </w:p>
    <w:p>
      <w:pPr>
        <w:pStyle w:val="BodyText"/>
        <w:spacing w:before="239"/>
        <w:jc w:val="left"/>
      </w:pPr>
    </w:p>
    <w:p>
      <w:pPr>
        <w:pStyle w:val="ListParagraph"/>
        <w:numPr>
          <w:ilvl w:val="1"/>
          <w:numId w:val="185"/>
        </w:numPr>
        <w:tabs>
          <w:tab w:pos="2932" w:val="left" w:leader="none"/>
        </w:tabs>
        <w:spacing w:line="240" w:lineRule="auto" w:before="0" w:after="0"/>
        <w:ind w:left="2062" w:right="770" w:firstLine="0"/>
        <w:jc w:val="both"/>
        <w:rPr>
          <w:sz w:val="24"/>
        </w:rPr>
      </w:pPr>
      <w:r>
        <w:rPr>
          <w:sz w:val="24"/>
        </w:rPr>
        <w:t>FSI to be sanctioned on a Slum Rehabilitation scheme site may exceed 3.</w:t>
      </w:r>
    </w:p>
    <w:p>
      <w:pPr>
        <w:pStyle w:val="BodyText"/>
        <w:spacing w:before="182"/>
        <w:jc w:val="left"/>
      </w:pPr>
    </w:p>
    <w:p>
      <w:pPr>
        <w:pStyle w:val="ListParagraph"/>
        <w:numPr>
          <w:ilvl w:val="1"/>
          <w:numId w:val="185"/>
        </w:numPr>
        <w:tabs>
          <w:tab w:pos="2925" w:val="left" w:leader="none"/>
        </w:tabs>
        <w:spacing w:line="259" w:lineRule="auto" w:before="0" w:after="0"/>
        <w:ind w:left="2050" w:right="766" w:firstLine="0"/>
        <w:jc w:val="both"/>
        <w:rPr>
          <w:sz w:val="24"/>
        </w:rPr>
      </w:pPr>
      <w:r>
        <w:rPr>
          <w:sz w:val="24"/>
        </w:rPr>
        <w:t>Maximum</w:t>
      </w:r>
      <w:r>
        <w:rPr>
          <w:spacing w:val="-8"/>
          <w:sz w:val="24"/>
        </w:rPr>
        <w:t> </w:t>
      </w:r>
      <w:r>
        <w:rPr>
          <w:sz w:val="24"/>
        </w:rPr>
        <w:t>FSI</w:t>
      </w:r>
      <w:r>
        <w:rPr>
          <w:spacing w:val="-6"/>
          <w:sz w:val="24"/>
        </w:rPr>
        <w:t> </w:t>
      </w:r>
      <w:r>
        <w:rPr>
          <w:sz w:val="24"/>
        </w:rPr>
        <w:t>Permissible</w:t>
      </w:r>
      <w:r>
        <w:rPr>
          <w:spacing w:val="-8"/>
          <w:sz w:val="24"/>
        </w:rPr>
        <w:t> </w:t>
      </w:r>
      <w:r>
        <w:rPr>
          <w:sz w:val="24"/>
        </w:rPr>
        <w:t>for</w:t>
      </w:r>
      <w:r>
        <w:rPr>
          <w:spacing w:val="-8"/>
          <w:sz w:val="24"/>
        </w:rPr>
        <w:t> </w:t>
      </w:r>
      <w:r>
        <w:rPr>
          <w:sz w:val="24"/>
        </w:rPr>
        <w:t>consumption</w:t>
      </w:r>
      <w:r>
        <w:rPr>
          <w:spacing w:val="-8"/>
          <w:sz w:val="24"/>
        </w:rPr>
        <w:t> </w:t>
      </w:r>
      <w:r>
        <w:rPr>
          <w:sz w:val="24"/>
        </w:rPr>
        <w:t>on</w:t>
      </w:r>
      <w:r>
        <w:rPr>
          <w:spacing w:val="-8"/>
          <w:sz w:val="24"/>
        </w:rPr>
        <w:t> </w:t>
      </w:r>
      <w:r>
        <w:rPr>
          <w:sz w:val="24"/>
        </w:rPr>
        <w:t>the</w:t>
      </w:r>
      <w:r>
        <w:rPr>
          <w:spacing w:val="-8"/>
          <w:sz w:val="24"/>
        </w:rPr>
        <w:t> </w:t>
      </w:r>
      <w:r>
        <w:rPr>
          <w:sz w:val="24"/>
        </w:rPr>
        <w:t>Plot:</w:t>
      </w:r>
      <w:r>
        <w:rPr>
          <w:spacing w:val="-8"/>
          <w:sz w:val="24"/>
        </w:rPr>
        <w:t> </w:t>
      </w:r>
      <w:r>
        <w:rPr>
          <w:sz w:val="24"/>
        </w:rPr>
        <w:t>FSI</w:t>
      </w:r>
      <w:r>
        <w:rPr>
          <w:spacing w:val="-6"/>
          <w:sz w:val="24"/>
        </w:rPr>
        <w:t> </w:t>
      </w:r>
      <w:r>
        <w:rPr>
          <w:sz w:val="24"/>
        </w:rPr>
        <w:t>that can be</w:t>
      </w:r>
      <w:r>
        <w:rPr>
          <w:spacing w:val="40"/>
          <w:sz w:val="24"/>
        </w:rPr>
        <w:t> </w:t>
      </w:r>
      <w:r>
        <w:rPr>
          <w:sz w:val="24"/>
        </w:rPr>
        <w:t>sanctioned</w:t>
      </w:r>
      <w:r>
        <w:rPr>
          <w:spacing w:val="40"/>
          <w:sz w:val="24"/>
        </w:rPr>
        <w:t> </w:t>
      </w:r>
      <w:r>
        <w:rPr>
          <w:sz w:val="24"/>
        </w:rPr>
        <w:t>on any slum site shall be 4</w:t>
      </w:r>
      <w:r>
        <w:rPr>
          <w:spacing w:val="40"/>
          <w:sz w:val="24"/>
        </w:rPr>
        <w:t> </w:t>
      </w:r>
      <w:r>
        <w:rPr>
          <w:sz w:val="24"/>
        </w:rPr>
        <w:t>or sum total of rehabilitation FSI plus incentive FSI whichever is more with Minimum Tenement Density of</w:t>
      </w:r>
      <w:r>
        <w:rPr>
          <w:spacing w:val="40"/>
          <w:sz w:val="24"/>
        </w:rPr>
        <w:t> </w:t>
      </w:r>
      <w:r>
        <w:rPr>
          <w:sz w:val="24"/>
        </w:rPr>
        <w:t>650</w:t>
      </w:r>
      <w:r>
        <w:rPr>
          <w:spacing w:val="40"/>
          <w:sz w:val="24"/>
        </w:rPr>
        <w:t> </w:t>
      </w:r>
      <w:r>
        <w:rPr>
          <w:sz w:val="24"/>
        </w:rPr>
        <w:t>per Net Hectare. Due to local planning constraints and viability of the Slum Rehabilitation Project the density norms of 650 per net hectare may be reduced up to 25% by Chief Executive</w:t>
      </w:r>
      <w:r>
        <w:rPr>
          <w:spacing w:val="-12"/>
          <w:sz w:val="24"/>
        </w:rPr>
        <w:t> </w:t>
      </w:r>
      <w:r>
        <w:rPr>
          <w:sz w:val="24"/>
        </w:rPr>
        <w:t>Officer,</w:t>
      </w:r>
      <w:r>
        <w:rPr>
          <w:spacing w:val="-12"/>
          <w:sz w:val="24"/>
        </w:rPr>
        <w:t> </w:t>
      </w:r>
      <w:r>
        <w:rPr>
          <w:sz w:val="24"/>
        </w:rPr>
        <w:t>SRA</w:t>
      </w:r>
      <w:r>
        <w:rPr>
          <w:spacing w:val="-12"/>
          <w:sz w:val="24"/>
        </w:rPr>
        <w:t> </w:t>
      </w:r>
      <w:r>
        <w:rPr>
          <w:sz w:val="24"/>
        </w:rPr>
        <w:t>subject</w:t>
      </w:r>
      <w:r>
        <w:rPr>
          <w:spacing w:val="-12"/>
          <w:sz w:val="24"/>
        </w:rPr>
        <w:t> </w:t>
      </w:r>
      <w:r>
        <w:rPr>
          <w:sz w:val="24"/>
        </w:rPr>
        <w:t>to</w:t>
      </w:r>
      <w:r>
        <w:rPr>
          <w:spacing w:val="-12"/>
          <w:sz w:val="24"/>
        </w:rPr>
        <w:t> </w:t>
      </w:r>
      <w:r>
        <w:rPr>
          <w:sz w:val="24"/>
        </w:rPr>
        <w:t>minimum</w:t>
      </w:r>
      <w:r>
        <w:rPr>
          <w:spacing w:val="-12"/>
          <w:sz w:val="24"/>
        </w:rPr>
        <w:t> </w:t>
      </w:r>
      <w:r>
        <w:rPr>
          <w:sz w:val="24"/>
        </w:rPr>
        <w:t>tenement</w:t>
      </w:r>
      <w:r>
        <w:rPr>
          <w:spacing w:val="-12"/>
          <w:sz w:val="24"/>
        </w:rPr>
        <w:t> </w:t>
      </w:r>
      <w:r>
        <w:rPr>
          <w:sz w:val="24"/>
        </w:rPr>
        <w:t>density</w:t>
      </w:r>
      <w:r>
        <w:rPr>
          <w:spacing w:val="-10"/>
          <w:sz w:val="24"/>
        </w:rPr>
        <w:t> </w:t>
      </w:r>
      <w:r>
        <w:rPr>
          <w:sz w:val="24"/>
        </w:rPr>
        <w:t>of</w:t>
      </w:r>
      <w:r>
        <w:rPr>
          <w:spacing w:val="-12"/>
          <w:sz w:val="24"/>
        </w:rPr>
        <w:t> </w:t>
      </w:r>
      <w:r>
        <w:rPr>
          <w:sz w:val="24"/>
        </w:rPr>
        <w:t>500</w:t>
      </w:r>
      <w:r>
        <w:rPr>
          <w:spacing w:val="-12"/>
          <w:sz w:val="24"/>
        </w:rPr>
        <w:t> </w:t>
      </w:r>
      <w:r>
        <w:rPr>
          <w:sz w:val="24"/>
        </w:rPr>
        <w:t>per net</w:t>
      </w:r>
      <w:r>
        <w:rPr>
          <w:spacing w:val="-16"/>
          <w:sz w:val="24"/>
        </w:rPr>
        <w:t> </w:t>
      </w:r>
      <w:r>
        <w:rPr>
          <w:sz w:val="24"/>
        </w:rPr>
        <w:t>hectare.</w:t>
      </w:r>
      <w:r>
        <w:rPr>
          <w:spacing w:val="-16"/>
          <w:sz w:val="24"/>
        </w:rPr>
        <w:t> </w:t>
      </w:r>
      <w:r>
        <w:rPr>
          <w:sz w:val="24"/>
        </w:rPr>
        <w:t>In</w:t>
      </w:r>
      <w:r>
        <w:rPr>
          <w:spacing w:val="-19"/>
          <w:sz w:val="24"/>
        </w:rPr>
        <w:t> </w:t>
      </w:r>
      <w:r>
        <w:rPr>
          <w:sz w:val="24"/>
        </w:rPr>
        <w:t>such</w:t>
      </w:r>
      <w:r>
        <w:rPr>
          <w:spacing w:val="-19"/>
          <w:sz w:val="24"/>
        </w:rPr>
        <w:t> </w:t>
      </w:r>
      <w:r>
        <w:rPr>
          <w:sz w:val="24"/>
        </w:rPr>
        <w:t>cases,</w:t>
      </w:r>
      <w:r>
        <w:rPr>
          <w:spacing w:val="-16"/>
          <w:sz w:val="24"/>
        </w:rPr>
        <w:t> </w:t>
      </w:r>
      <w:r>
        <w:rPr>
          <w:sz w:val="24"/>
        </w:rPr>
        <w:t>maximum</w:t>
      </w:r>
      <w:r>
        <w:rPr>
          <w:spacing w:val="-16"/>
          <w:sz w:val="24"/>
        </w:rPr>
        <w:t> </w:t>
      </w:r>
      <w:r>
        <w:rPr>
          <w:sz w:val="24"/>
        </w:rPr>
        <w:t>permissible</w:t>
      </w:r>
      <w:r>
        <w:rPr>
          <w:spacing w:val="-16"/>
          <w:sz w:val="24"/>
        </w:rPr>
        <w:t> </w:t>
      </w:r>
      <w:r>
        <w:rPr>
          <w:sz w:val="24"/>
        </w:rPr>
        <w:t>in-situ/total</w:t>
      </w:r>
      <w:r>
        <w:rPr>
          <w:spacing w:val="-16"/>
          <w:sz w:val="24"/>
        </w:rPr>
        <w:t> </w:t>
      </w:r>
      <w:r>
        <w:rPr>
          <w:sz w:val="24"/>
        </w:rPr>
        <w:t>FSI</w:t>
      </w:r>
      <w:r>
        <w:rPr>
          <w:spacing w:val="-16"/>
          <w:sz w:val="24"/>
        </w:rPr>
        <w:t> </w:t>
      </w:r>
      <w:r>
        <w:rPr>
          <w:sz w:val="24"/>
        </w:rPr>
        <w:t>shall be restricted to sum of rehabilitation and incentive BUA which may be generated</w:t>
      </w:r>
      <w:r>
        <w:rPr>
          <w:spacing w:val="-9"/>
          <w:sz w:val="24"/>
        </w:rPr>
        <w:t> </w:t>
      </w:r>
      <w:r>
        <w:rPr>
          <w:sz w:val="24"/>
        </w:rPr>
        <w:t>in</w:t>
      </w:r>
      <w:r>
        <w:rPr>
          <w:spacing w:val="-9"/>
          <w:sz w:val="24"/>
        </w:rPr>
        <w:t> </w:t>
      </w:r>
      <w:r>
        <w:rPr>
          <w:sz w:val="24"/>
        </w:rPr>
        <w:t>the</w:t>
      </w:r>
      <w:r>
        <w:rPr>
          <w:spacing w:val="-9"/>
          <w:sz w:val="24"/>
        </w:rPr>
        <w:t> </w:t>
      </w:r>
      <w:r>
        <w:rPr>
          <w:sz w:val="24"/>
        </w:rPr>
        <w:t>scheme</w:t>
      </w:r>
      <w:r>
        <w:rPr>
          <w:spacing w:val="-9"/>
          <w:sz w:val="24"/>
        </w:rPr>
        <w:t> </w:t>
      </w:r>
      <w:r>
        <w:rPr>
          <w:sz w:val="24"/>
        </w:rPr>
        <w:t>after</w:t>
      </w:r>
      <w:r>
        <w:rPr>
          <w:spacing w:val="-9"/>
          <w:sz w:val="24"/>
        </w:rPr>
        <w:t> </w:t>
      </w:r>
      <w:r>
        <w:rPr>
          <w:sz w:val="24"/>
        </w:rPr>
        <w:t>such</w:t>
      </w:r>
      <w:r>
        <w:rPr>
          <w:spacing w:val="-9"/>
          <w:sz w:val="24"/>
        </w:rPr>
        <w:t> </w:t>
      </w:r>
      <w:r>
        <w:rPr>
          <w:sz w:val="24"/>
        </w:rPr>
        <w:t>relaxation</w:t>
      </w:r>
      <w:r>
        <w:rPr>
          <w:spacing w:val="-9"/>
          <w:sz w:val="24"/>
        </w:rPr>
        <w:t> </w:t>
      </w:r>
      <w:r>
        <w:rPr>
          <w:sz w:val="24"/>
        </w:rPr>
        <w:t>of</w:t>
      </w:r>
      <w:r>
        <w:rPr>
          <w:spacing w:val="-9"/>
          <w:sz w:val="24"/>
        </w:rPr>
        <w:t> </w:t>
      </w:r>
      <w:r>
        <w:rPr>
          <w:sz w:val="24"/>
        </w:rPr>
        <w:t>tenement</w:t>
      </w:r>
      <w:r>
        <w:rPr>
          <w:spacing w:val="-9"/>
          <w:sz w:val="24"/>
        </w:rPr>
        <w:t> </w:t>
      </w:r>
      <w:r>
        <w:rPr>
          <w:sz w:val="24"/>
        </w:rPr>
        <w:t>density</w:t>
      </w:r>
      <w:r>
        <w:rPr>
          <w:spacing w:val="-8"/>
          <w:sz w:val="24"/>
        </w:rPr>
        <w:t> </w:t>
      </w:r>
      <w:r>
        <w:rPr>
          <w:sz w:val="24"/>
        </w:rPr>
        <w:t>.</w:t>
      </w:r>
      <w:r>
        <w:rPr>
          <w:spacing w:val="-9"/>
          <w:sz w:val="24"/>
        </w:rPr>
        <w:t> </w:t>
      </w:r>
      <w:r>
        <w:rPr>
          <w:sz w:val="24"/>
        </w:rPr>
        <w:t>The computation</w:t>
      </w:r>
      <w:r>
        <w:rPr>
          <w:spacing w:val="72"/>
          <w:w w:val="150"/>
          <w:sz w:val="24"/>
        </w:rPr>
        <w:t> </w:t>
      </w:r>
      <w:r>
        <w:rPr>
          <w:sz w:val="24"/>
        </w:rPr>
        <w:t>of</w:t>
      </w:r>
      <w:r>
        <w:rPr>
          <w:spacing w:val="72"/>
          <w:w w:val="150"/>
          <w:sz w:val="24"/>
        </w:rPr>
        <w:t> </w:t>
      </w:r>
      <w:r>
        <w:rPr>
          <w:sz w:val="24"/>
        </w:rPr>
        <w:t>FSI</w:t>
      </w:r>
      <w:r>
        <w:rPr>
          <w:spacing w:val="75"/>
          <w:w w:val="150"/>
          <w:sz w:val="24"/>
        </w:rPr>
        <w:t> </w:t>
      </w:r>
      <w:r>
        <w:rPr>
          <w:sz w:val="24"/>
        </w:rPr>
        <w:t>shall</w:t>
      </w:r>
      <w:r>
        <w:rPr>
          <w:spacing w:val="72"/>
          <w:w w:val="150"/>
          <w:sz w:val="24"/>
        </w:rPr>
        <w:t> </w:t>
      </w:r>
      <w:r>
        <w:rPr>
          <w:sz w:val="24"/>
        </w:rPr>
        <w:t>be</w:t>
      </w:r>
      <w:r>
        <w:rPr>
          <w:spacing w:val="72"/>
          <w:w w:val="150"/>
          <w:sz w:val="24"/>
        </w:rPr>
        <w:t> </w:t>
      </w:r>
      <w:r>
        <w:rPr>
          <w:sz w:val="24"/>
        </w:rPr>
        <w:t>done</w:t>
      </w:r>
      <w:r>
        <w:rPr>
          <w:spacing w:val="72"/>
          <w:w w:val="150"/>
          <w:sz w:val="24"/>
        </w:rPr>
        <w:t> </w:t>
      </w:r>
      <w:r>
        <w:rPr>
          <w:sz w:val="24"/>
        </w:rPr>
        <w:t>for</w:t>
      </w:r>
      <w:r>
        <w:rPr>
          <w:spacing w:val="72"/>
          <w:w w:val="150"/>
          <w:sz w:val="24"/>
        </w:rPr>
        <w:t> </w:t>
      </w:r>
      <w:r>
        <w:rPr>
          <w:sz w:val="24"/>
        </w:rPr>
        <w:t>both</w:t>
      </w:r>
      <w:r>
        <w:rPr>
          <w:spacing w:val="72"/>
          <w:w w:val="150"/>
          <w:sz w:val="24"/>
        </w:rPr>
        <w:t> </w:t>
      </w:r>
      <w:r>
        <w:rPr>
          <w:sz w:val="24"/>
        </w:rPr>
        <w:t>rehab</w:t>
      </w:r>
      <w:r>
        <w:rPr>
          <w:spacing w:val="72"/>
          <w:w w:val="150"/>
          <w:sz w:val="24"/>
        </w:rPr>
        <w:t> </w:t>
      </w:r>
      <w:r>
        <w:rPr>
          <w:sz w:val="24"/>
        </w:rPr>
        <w:t>and</w:t>
      </w:r>
      <w:r>
        <w:rPr>
          <w:spacing w:val="72"/>
          <w:w w:val="150"/>
          <w:sz w:val="24"/>
        </w:rPr>
        <w:t> </w:t>
      </w:r>
      <w:r>
        <w:rPr>
          <w:sz w:val="24"/>
        </w:rPr>
        <w:t>free-sale</w:t>
      </w:r>
    </w:p>
    <w:p>
      <w:pPr>
        <w:pStyle w:val="ListParagraph"/>
        <w:spacing w:after="0" w:line="259" w:lineRule="auto"/>
        <w:jc w:val="both"/>
        <w:rPr>
          <w:sz w:val="24"/>
        </w:rPr>
        <w:sectPr>
          <w:pgSz w:w="11910" w:h="16840"/>
          <w:pgMar w:header="1065" w:footer="1194" w:top="1500" w:bottom="1380" w:left="360" w:right="360"/>
        </w:sectPr>
      </w:pPr>
    </w:p>
    <w:p>
      <w:pPr>
        <w:pStyle w:val="BodyText"/>
        <w:spacing w:line="259" w:lineRule="auto" w:before="249"/>
        <w:ind w:left="2050" w:right="768"/>
      </w:pPr>
      <w:r>
        <w:rPr/>
        <w:t>components in the normal manner, that is giving the benefit of what is set down in Regulation No. 31(1). While the areas referred in sub regulations No</w:t>
      </w:r>
      <w:r>
        <w:rPr>
          <w:spacing w:val="40"/>
        </w:rPr>
        <w:t> </w:t>
      </w:r>
      <w:r>
        <w:rPr/>
        <w:t>6.6 and 8.2 of this Regulation shall not be included for computation of FSI the said areas shall be included for computation of the</w:t>
      </w:r>
      <w:r>
        <w:rPr>
          <w:spacing w:val="-17"/>
        </w:rPr>
        <w:t> </w:t>
      </w:r>
      <w:r>
        <w:rPr/>
        <w:t>rehab</w:t>
      </w:r>
      <w:r>
        <w:rPr>
          <w:spacing w:val="-17"/>
        </w:rPr>
        <w:t> </w:t>
      </w:r>
      <w:r>
        <w:rPr/>
        <w:t>component</w:t>
      </w:r>
      <w:r>
        <w:rPr>
          <w:spacing w:val="-17"/>
        </w:rPr>
        <w:t> </w:t>
      </w:r>
      <w:r>
        <w:rPr/>
        <w:t>.</w:t>
      </w:r>
      <w:r>
        <w:rPr>
          <w:spacing w:val="-17"/>
        </w:rPr>
        <w:t> </w:t>
      </w:r>
      <w:r>
        <w:rPr/>
        <w:t>In</w:t>
      </w:r>
      <w:r>
        <w:rPr>
          <w:spacing w:val="-17"/>
        </w:rPr>
        <w:t> </w:t>
      </w:r>
      <w:r>
        <w:rPr/>
        <w:t>all</w:t>
      </w:r>
      <w:r>
        <w:rPr>
          <w:spacing w:val="40"/>
        </w:rPr>
        <w:t> </w:t>
      </w:r>
      <w:r>
        <w:rPr/>
        <w:t>cases</w:t>
      </w:r>
      <w:r>
        <w:rPr>
          <w:spacing w:val="-17"/>
        </w:rPr>
        <w:t> </w:t>
      </w:r>
      <w:r>
        <w:rPr/>
        <w:t>where</w:t>
      </w:r>
      <w:r>
        <w:rPr>
          <w:spacing w:val="-18"/>
        </w:rPr>
        <w:t> </w:t>
      </w:r>
      <w:r>
        <w:rPr/>
        <w:t>permissible</w:t>
      </w:r>
      <w:r>
        <w:rPr>
          <w:spacing w:val="-17"/>
        </w:rPr>
        <w:t> </w:t>
      </w:r>
      <w:r>
        <w:rPr/>
        <w:t>in-situ</w:t>
      </w:r>
      <w:r>
        <w:rPr>
          <w:spacing w:val="-17"/>
        </w:rPr>
        <w:t> </w:t>
      </w:r>
      <w:r>
        <w:rPr/>
        <w:t>FSI</w:t>
      </w:r>
      <w:r>
        <w:rPr>
          <w:spacing w:val="-15"/>
        </w:rPr>
        <w:t> </w:t>
      </w:r>
      <w:r>
        <w:rPr/>
        <w:t>cannot be</w:t>
      </w:r>
      <w:r>
        <w:rPr>
          <w:spacing w:val="-5"/>
        </w:rPr>
        <w:t> </w:t>
      </w:r>
      <w:r>
        <w:rPr/>
        <w:t>utilised</w:t>
      </w:r>
      <w:r>
        <w:rPr>
          <w:spacing w:val="-5"/>
        </w:rPr>
        <w:t> </w:t>
      </w:r>
      <w:r>
        <w:rPr/>
        <w:t>in</w:t>
      </w:r>
      <w:r>
        <w:rPr>
          <w:spacing w:val="-5"/>
        </w:rPr>
        <w:t> </w:t>
      </w:r>
      <w:r>
        <w:rPr/>
        <w:t>situ</w:t>
      </w:r>
      <w:r>
        <w:rPr>
          <w:spacing w:val="40"/>
        </w:rPr>
        <w:t> </w:t>
      </w:r>
      <w:r>
        <w:rPr/>
        <w:t>the</w:t>
      </w:r>
      <w:r>
        <w:rPr>
          <w:spacing w:val="-5"/>
        </w:rPr>
        <w:t> </w:t>
      </w:r>
      <w:r>
        <w:rPr/>
        <w:t>difference</w:t>
      </w:r>
      <w:r>
        <w:rPr>
          <w:spacing w:val="-5"/>
        </w:rPr>
        <w:t> </w:t>
      </w:r>
      <w:r>
        <w:rPr/>
        <w:t>between</w:t>
      </w:r>
      <w:r>
        <w:rPr>
          <w:spacing w:val="40"/>
        </w:rPr>
        <w:t> </w:t>
      </w:r>
      <w:r>
        <w:rPr/>
        <w:t>permissible</w:t>
      </w:r>
      <w:r>
        <w:rPr>
          <w:spacing w:val="-5"/>
        </w:rPr>
        <w:t> </w:t>
      </w:r>
      <w:r>
        <w:rPr/>
        <w:t>FSI</w:t>
      </w:r>
      <w:r>
        <w:rPr>
          <w:spacing w:val="-3"/>
        </w:rPr>
        <w:t> </w:t>
      </w:r>
      <w:r>
        <w:rPr/>
        <w:t>and</w:t>
      </w:r>
      <w:r>
        <w:rPr>
          <w:spacing w:val="-5"/>
        </w:rPr>
        <w:t> </w:t>
      </w:r>
      <w:r>
        <w:rPr/>
        <w:t>that</w:t>
      </w:r>
      <w:r>
        <w:rPr>
          <w:spacing w:val="-5"/>
        </w:rPr>
        <w:t> </w:t>
      </w:r>
      <w:r>
        <w:rPr/>
        <w:t>can be constructed in-situ, will be made available in the form of TDR in accordance with the provisions of Regulation No. 32.Provided that permissible in-situ FSI shall be as below</w:t>
      </w:r>
    </w:p>
    <w:p>
      <w:pPr>
        <w:pStyle w:val="BodyText"/>
        <w:jc w:val="left"/>
        <w:rPr>
          <w:sz w:val="20"/>
        </w:rPr>
      </w:pPr>
    </w:p>
    <w:p>
      <w:pPr>
        <w:pStyle w:val="BodyText"/>
        <w:spacing w:before="155"/>
        <w:jc w:val="left"/>
        <w:rPr>
          <w:sz w:val="20"/>
        </w:rPr>
      </w:pPr>
    </w:p>
    <w:tbl>
      <w:tblPr>
        <w:tblW w:w="0" w:type="auto"/>
        <w:jc w:val="left"/>
        <w:tblInd w:w="2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99"/>
        <w:gridCol w:w="3899"/>
      </w:tblGrid>
      <w:tr>
        <w:trPr>
          <w:trHeight w:val="521" w:hRule="atLeast"/>
        </w:trPr>
        <w:tc>
          <w:tcPr>
            <w:tcW w:w="3899" w:type="dxa"/>
          </w:tcPr>
          <w:p>
            <w:pPr>
              <w:pStyle w:val="TableParagraph"/>
              <w:spacing w:line="281" w:lineRule="exact"/>
              <w:ind w:left="107"/>
              <w:rPr>
                <w:sz w:val="24"/>
              </w:rPr>
            </w:pPr>
            <w:r>
              <w:rPr>
                <w:spacing w:val="-2"/>
                <w:sz w:val="24"/>
              </w:rPr>
              <w:t>Criteria</w:t>
            </w:r>
          </w:p>
        </w:tc>
        <w:tc>
          <w:tcPr>
            <w:tcW w:w="3899" w:type="dxa"/>
          </w:tcPr>
          <w:p>
            <w:pPr>
              <w:pStyle w:val="TableParagraph"/>
              <w:spacing w:line="281" w:lineRule="exact"/>
              <w:ind w:left="107"/>
              <w:rPr>
                <w:sz w:val="24"/>
              </w:rPr>
            </w:pPr>
            <w:r>
              <w:rPr>
                <w:sz w:val="24"/>
              </w:rPr>
              <w:t>Permissible</w:t>
            </w:r>
            <w:r>
              <w:rPr>
                <w:spacing w:val="-2"/>
                <w:sz w:val="24"/>
              </w:rPr>
              <w:t> </w:t>
            </w:r>
            <w:r>
              <w:rPr>
                <w:sz w:val="24"/>
              </w:rPr>
              <w:t>in</w:t>
            </w:r>
            <w:r>
              <w:rPr>
                <w:spacing w:val="-1"/>
                <w:sz w:val="24"/>
              </w:rPr>
              <w:t> </w:t>
            </w:r>
            <w:r>
              <w:rPr>
                <w:sz w:val="24"/>
              </w:rPr>
              <w:t>situ</w:t>
            </w:r>
            <w:r>
              <w:rPr>
                <w:spacing w:val="-1"/>
                <w:sz w:val="24"/>
              </w:rPr>
              <w:t> </w:t>
            </w:r>
            <w:r>
              <w:rPr>
                <w:spacing w:val="-5"/>
                <w:sz w:val="24"/>
              </w:rPr>
              <w:t>FSI</w:t>
            </w:r>
          </w:p>
        </w:tc>
      </w:tr>
      <w:tr>
        <w:trPr>
          <w:trHeight w:val="1367" w:hRule="atLeast"/>
        </w:trPr>
        <w:tc>
          <w:tcPr>
            <w:tcW w:w="3899" w:type="dxa"/>
          </w:tcPr>
          <w:p>
            <w:pPr>
              <w:pStyle w:val="TableParagraph"/>
              <w:ind w:left="107"/>
              <w:rPr>
                <w:sz w:val="24"/>
              </w:rPr>
            </w:pPr>
            <w:r>
              <w:rPr>
                <w:sz w:val="24"/>
              </w:rPr>
              <w:t>Access</w:t>
            </w:r>
            <w:r>
              <w:rPr>
                <w:spacing w:val="-13"/>
                <w:sz w:val="24"/>
              </w:rPr>
              <w:t> </w:t>
            </w:r>
            <w:r>
              <w:rPr>
                <w:sz w:val="24"/>
              </w:rPr>
              <w:t>road</w:t>
            </w:r>
            <w:r>
              <w:rPr>
                <w:spacing w:val="-13"/>
                <w:sz w:val="24"/>
              </w:rPr>
              <w:t> </w:t>
            </w:r>
            <w:r>
              <w:rPr>
                <w:sz w:val="24"/>
              </w:rPr>
              <w:t>of</w:t>
            </w:r>
            <w:r>
              <w:rPr>
                <w:spacing w:val="-13"/>
                <w:sz w:val="24"/>
              </w:rPr>
              <w:t> </w:t>
            </w:r>
            <w:r>
              <w:rPr>
                <w:sz w:val="24"/>
              </w:rPr>
              <w:t>9.0m.</w:t>
            </w:r>
            <w:r>
              <w:rPr>
                <w:spacing w:val="-13"/>
                <w:sz w:val="24"/>
              </w:rPr>
              <w:t> </w:t>
            </w:r>
            <w:r>
              <w:rPr>
                <w:sz w:val="24"/>
              </w:rPr>
              <w:t>and</w:t>
            </w:r>
            <w:r>
              <w:rPr>
                <w:spacing w:val="-13"/>
                <w:sz w:val="24"/>
              </w:rPr>
              <w:t> </w:t>
            </w:r>
            <w:r>
              <w:rPr>
                <w:sz w:val="24"/>
              </w:rPr>
              <w:t>above but less than 13.0 m.</w:t>
            </w:r>
          </w:p>
        </w:tc>
        <w:tc>
          <w:tcPr>
            <w:tcW w:w="3899" w:type="dxa"/>
          </w:tcPr>
          <w:p>
            <w:pPr>
              <w:pStyle w:val="TableParagraph"/>
              <w:ind w:left="107" w:right="95"/>
              <w:jc w:val="both"/>
              <w:rPr>
                <w:sz w:val="24"/>
              </w:rPr>
            </w:pPr>
            <w:r>
              <w:rPr>
                <w:sz w:val="24"/>
              </w:rPr>
              <w:t>3.0</w:t>
            </w:r>
            <w:r>
              <w:rPr>
                <w:spacing w:val="-20"/>
                <w:sz w:val="24"/>
              </w:rPr>
              <w:t> </w:t>
            </w:r>
            <w:r>
              <w:rPr>
                <w:sz w:val="24"/>
              </w:rPr>
              <w:t>or</w:t>
            </w:r>
            <w:r>
              <w:rPr>
                <w:spacing w:val="-17"/>
                <w:sz w:val="24"/>
              </w:rPr>
              <w:t> </w:t>
            </w:r>
            <w:r>
              <w:rPr>
                <w:sz w:val="24"/>
              </w:rPr>
              <w:t>up</w:t>
            </w:r>
            <w:r>
              <w:rPr>
                <w:spacing w:val="-11"/>
                <w:sz w:val="24"/>
              </w:rPr>
              <w:t> </w:t>
            </w:r>
            <w:r>
              <w:rPr>
                <w:sz w:val="24"/>
              </w:rPr>
              <w:t>to</w:t>
            </w:r>
            <w:r>
              <w:rPr>
                <w:spacing w:val="-11"/>
                <w:sz w:val="24"/>
              </w:rPr>
              <w:t> </w:t>
            </w:r>
            <w:r>
              <w:rPr>
                <w:sz w:val="24"/>
              </w:rPr>
              <w:t>the</w:t>
            </w:r>
            <w:r>
              <w:rPr>
                <w:spacing w:val="40"/>
                <w:sz w:val="24"/>
              </w:rPr>
              <w:t> </w:t>
            </w:r>
            <w:r>
              <w:rPr>
                <w:sz w:val="24"/>
              </w:rPr>
              <w:t>sanctioned</w:t>
            </w:r>
            <w:r>
              <w:rPr>
                <w:spacing w:val="-11"/>
                <w:sz w:val="24"/>
              </w:rPr>
              <w:t> </w:t>
            </w:r>
            <w:r>
              <w:rPr>
                <w:sz w:val="24"/>
              </w:rPr>
              <w:t>FSI of</w:t>
            </w:r>
            <w:r>
              <w:rPr>
                <w:spacing w:val="-9"/>
                <w:sz w:val="24"/>
              </w:rPr>
              <w:t> </w:t>
            </w:r>
            <w:r>
              <w:rPr>
                <w:sz w:val="24"/>
              </w:rPr>
              <w:t>scheme,</w:t>
            </w:r>
            <w:r>
              <w:rPr>
                <w:spacing w:val="-9"/>
                <w:sz w:val="24"/>
              </w:rPr>
              <w:t> </w:t>
            </w:r>
            <w:r>
              <w:rPr>
                <w:sz w:val="24"/>
              </w:rPr>
              <w:t>whichever</w:t>
            </w:r>
            <w:r>
              <w:rPr>
                <w:spacing w:val="-9"/>
                <w:sz w:val="24"/>
              </w:rPr>
              <w:t> </w:t>
            </w:r>
            <w:r>
              <w:rPr>
                <w:sz w:val="24"/>
              </w:rPr>
              <w:t>is</w:t>
            </w:r>
            <w:r>
              <w:rPr>
                <w:spacing w:val="-9"/>
                <w:sz w:val="24"/>
              </w:rPr>
              <w:t> </w:t>
            </w:r>
            <w:r>
              <w:rPr>
                <w:sz w:val="24"/>
              </w:rPr>
              <w:t>higher, subject to the observance of building</w:t>
            </w:r>
            <w:r>
              <w:rPr>
                <w:spacing w:val="-13"/>
                <w:sz w:val="24"/>
              </w:rPr>
              <w:t> </w:t>
            </w:r>
            <w:r>
              <w:rPr>
                <w:sz w:val="24"/>
              </w:rPr>
              <w:t>height</w:t>
            </w:r>
            <w:r>
              <w:rPr>
                <w:spacing w:val="-13"/>
                <w:sz w:val="24"/>
              </w:rPr>
              <w:t> </w:t>
            </w:r>
            <w:r>
              <w:rPr>
                <w:sz w:val="24"/>
              </w:rPr>
              <w:t>under</w:t>
            </w:r>
            <w:r>
              <w:rPr>
                <w:spacing w:val="-13"/>
                <w:sz w:val="24"/>
              </w:rPr>
              <w:t> </w:t>
            </w:r>
            <w:r>
              <w:rPr>
                <w:sz w:val="24"/>
              </w:rPr>
              <w:t>reg.</w:t>
            </w:r>
            <w:r>
              <w:rPr>
                <w:spacing w:val="-12"/>
                <w:sz w:val="24"/>
              </w:rPr>
              <w:t> </w:t>
            </w:r>
            <w:r>
              <w:rPr>
                <w:spacing w:val="-2"/>
                <w:sz w:val="24"/>
              </w:rPr>
              <w:t>19(2</w:t>
            </w:r>
            <w:r>
              <w:rPr>
                <w:spacing w:val="-2"/>
                <w:sz w:val="24"/>
              </w:rPr>
              <w:t>)</w:t>
            </w:r>
          </w:p>
        </w:tc>
      </w:tr>
      <w:tr>
        <w:trPr>
          <w:trHeight w:val="7001" w:hRule="atLeast"/>
        </w:trPr>
        <w:tc>
          <w:tcPr>
            <w:tcW w:w="3899" w:type="dxa"/>
          </w:tcPr>
          <w:p>
            <w:pPr>
              <w:pStyle w:val="TableParagraph"/>
              <w:tabs>
                <w:tab w:pos="1115" w:val="left" w:leader="none"/>
                <w:tab w:pos="1864" w:val="left" w:leader="none"/>
                <w:tab w:pos="2295" w:val="left" w:leader="none"/>
                <w:tab w:pos="3342" w:val="left" w:leader="none"/>
              </w:tabs>
              <w:ind w:left="107" w:right="98"/>
              <w:rPr>
                <w:sz w:val="24"/>
              </w:rPr>
            </w:pPr>
            <w:r>
              <w:rPr>
                <w:spacing w:val="-2"/>
                <w:sz w:val="24"/>
              </w:rPr>
              <w:t>Access</w:t>
            </w:r>
            <w:r>
              <w:rPr>
                <w:sz w:val="24"/>
              </w:rPr>
              <w:tab/>
            </w:r>
            <w:r>
              <w:rPr>
                <w:spacing w:val="-4"/>
                <w:sz w:val="24"/>
              </w:rPr>
              <w:t>road</w:t>
            </w:r>
            <w:r>
              <w:rPr>
                <w:sz w:val="24"/>
              </w:rPr>
              <w:tab/>
            </w:r>
            <w:r>
              <w:rPr>
                <w:spacing w:val="-6"/>
                <w:sz w:val="24"/>
              </w:rPr>
              <w:t>of</w:t>
            </w:r>
            <w:r>
              <w:rPr>
                <w:sz w:val="24"/>
              </w:rPr>
              <w:tab/>
            </w:r>
            <w:r>
              <w:rPr>
                <w:spacing w:val="-2"/>
                <w:sz w:val="24"/>
              </w:rPr>
              <w:t>13.0m.</w:t>
            </w:r>
            <w:r>
              <w:rPr>
                <w:sz w:val="24"/>
              </w:rPr>
              <w:tab/>
            </w:r>
            <w:r>
              <w:rPr>
                <w:spacing w:val="-4"/>
                <w:sz w:val="24"/>
              </w:rPr>
              <w:t>and </w:t>
            </w:r>
            <w:r>
              <w:rPr>
                <w:spacing w:val="-2"/>
                <w:sz w:val="24"/>
              </w:rPr>
              <w:t>above</w:t>
            </w:r>
          </w:p>
        </w:tc>
        <w:tc>
          <w:tcPr>
            <w:tcW w:w="3899" w:type="dxa"/>
          </w:tcPr>
          <w:p>
            <w:pPr>
              <w:pStyle w:val="TableParagraph"/>
              <w:tabs>
                <w:tab w:pos="2655" w:val="left" w:leader="none"/>
                <w:tab w:pos="3355" w:val="left" w:leader="none"/>
              </w:tabs>
              <w:ind w:left="107" w:right="95"/>
              <w:jc w:val="both"/>
              <w:rPr>
                <w:i/>
                <w:sz w:val="20"/>
              </w:rPr>
            </w:pPr>
            <w:r>
              <w:rPr>
                <w:sz w:val="24"/>
              </w:rPr>
              <w:t>4.00</w:t>
            </w:r>
            <w:r>
              <w:rPr>
                <w:spacing w:val="-11"/>
                <w:sz w:val="24"/>
              </w:rPr>
              <w:t> </w:t>
            </w:r>
            <w:r>
              <w:rPr>
                <w:sz w:val="24"/>
              </w:rPr>
              <w:t>or</w:t>
            </w:r>
            <w:r>
              <w:rPr>
                <w:spacing w:val="40"/>
                <w:sz w:val="24"/>
              </w:rPr>
              <w:t> </w:t>
            </w:r>
            <w:r>
              <w:rPr>
                <w:sz w:val="24"/>
              </w:rPr>
              <w:t>up</w:t>
            </w:r>
            <w:r>
              <w:rPr>
                <w:spacing w:val="-11"/>
                <w:sz w:val="24"/>
              </w:rPr>
              <w:t> </w:t>
            </w:r>
            <w:r>
              <w:rPr>
                <w:sz w:val="24"/>
              </w:rPr>
              <w:t>to</w:t>
            </w:r>
            <w:r>
              <w:rPr>
                <w:spacing w:val="-11"/>
                <w:sz w:val="24"/>
              </w:rPr>
              <w:t> </w:t>
            </w:r>
            <w:r>
              <w:rPr>
                <w:sz w:val="24"/>
              </w:rPr>
              <w:t>sanctioned</w:t>
            </w:r>
            <w:r>
              <w:rPr>
                <w:spacing w:val="-11"/>
                <w:sz w:val="24"/>
              </w:rPr>
              <w:t> </w:t>
            </w:r>
            <w:r>
              <w:rPr>
                <w:sz w:val="24"/>
              </w:rPr>
              <w:t>FSI</w:t>
            </w:r>
            <w:r>
              <w:rPr>
                <w:spacing w:val="-9"/>
                <w:sz w:val="24"/>
              </w:rPr>
              <w:t> </w:t>
            </w:r>
            <w:r>
              <w:rPr>
                <w:sz w:val="24"/>
              </w:rPr>
              <w:t>of the scheme, whichever </w:t>
            </w:r>
            <w:r>
              <w:rPr>
                <w:sz w:val="24"/>
              </w:rPr>
              <w:t>is higher. Relaxation in marginal open spaces as required under regulation 41(5)(a)(iii) shall be granted</w:t>
            </w:r>
            <w:r>
              <w:rPr>
                <w:spacing w:val="-20"/>
                <w:sz w:val="24"/>
              </w:rPr>
              <w:t> </w:t>
            </w:r>
            <w:r>
              <w:rPr>
                <w:sz w:val="24"/>
              </w:rPr>
              <w:t>by</w:t>
            </w:r>
            <w:r>
              <w:rPr>
                <w:spacing w:val="-19"/>
                <w:sz w:val="24"/>
              </w:rPr>
              <w:t> </w:t>
            </w:r>
            <w:r>
              <w:rPr>
                <w:sz w:val="24"/>
              </w:rPr>
              <w:t>CEO</w:t>
            </w:r>
            <w:r>
              <w:rPr>
                <w:spacing w:val="-19"/>
                <w:sz w:val="24"/>
              </w:rPr>
              <w:t> </w:t>
            </w:r>
            <w:r>
              <w:rPr>
                <w:sz w:val="24"/>
              </w:rPr>
              <w:t>(SRA)</w:t>
            </w:r>
            <w:r>
              <w:rPr>
                <w:spacing w:val="-19"/>
                <w:sz w:val="24"/>
              </w:rPr>
              <w:t> </w:t>
            </w:r>
            <w:r>
              <w:rPr>
                <w:sz w:val="24"/>
              </w:rPr>
              <w:t>in</w:t>
            </w:r>
            <w:r>
              <w:rPr>
                <w:spacing w:val="-19"/>
                <w:sz w:val="24"/>
              </w:rPr>
              <w:t> </w:t>
            </w:r>
            <w:r>
              <w:rPr>
                <w:sz w:val="24"/>
              </w:rPr>
              <w:t>case</w:t>
            </w:r>
            <w:r>
              <w:rPr>
                <w:spacing w:val="-20"/>
                <w:sz w:val="24"/>
              </w:rPr>
              <w:t> </w:t>
            </w:r>
            <w:r>
              <w:rPr>
                <w:sz w:val="24"/>
              </w:rPr>
              <w:t>of </w:t>
            </w:r>
            <w:r>
              <w:rPr>
                <w:spacing w:val="-2"/>
                <w:sz w:val="24"/>
              </w:rPr>
              <w:t>demonstrable</w:t>
            </w:r>
            <w:r>
              <w:rPr>
                <w:sz w:val="24"/>
              </w:rPr>
              <w:tab/>
            </w:r>
            <w:r>
              <w:rPr>
                <w:spacing w:val="-2"/>
                <w:sz w:val="24"/>
              </w:rPr>
              <w:t>hardship</w:t>
            </w:r>
            <w:r>
              <w:rPr>
                <w:spacing w:val="-2"/>
                <w:sz w:val="24"/>
              </w:rPr>
              <w:t>.</w:t>
            </w:r>
            <w:r>
              <w:rPr>
                <w:spacing w:val="-2"/>
                <w:sz w:val="24"/>
              </w:rPr>
              <w:t> </w:t>
            </w:r>
            <w:r>
              <w:rPr>
                <w:sz w:val="24"/>
              </w:rPr>
              <w:t>However,</w:t>
            </w:r>
            <w:r>
              <w:rPr>
                <w:spacing w:val="-7"/>
                <w:sz w:val="24"/>
              </w:rPr>
              <w:t> </w:t>
            </w:r>
            <w:r>
              <w:rPr>
                <w:sz w:val="24"/>
              </w:rPr>
              <w:t>minimum</w:t>
            </w:r>
            <w:r>
              <w:rPr>
                <w:spacing w:val="-7"/>
                <w:sz w:val="24"/>
              </w:rPr>
              <w:t> </w:t>
            </w:r>
            <w:r>
              <w:rPr>
                <w:sz w:val="24"/>
              </w:rPr>
              <w:t>Joint</w:t>
            </w:r>
            <w:r>
              <w:rPr>
                <w:spacing w:val="-7"/>
                <w:sz w:val="24"/>
              </w:rPr>
              <w:t> </w:t>
            </w:r>
            <w:r>
              <w:rPr>
                <w:sz w:val="24"/>
              </w:rPr>
              <w:t>Open Space of 9m for </w:t>
            </w:r>
            <w:r>
              <w:rPr>
                <w:sz w:val="24"/>
              </w:rPr>
              <w:t>buildings having height above 32m &amp; </w:t>
            </w:r>
            <w:r>
              <w:rPr>
                <w:sz w:val="24"/>
              </w:rPr>
              <w:t>u</w:t>
            </w:r>
            <w:r>
              <w:rPr>
                <w:sz w:val="24"/>
              </w:rPr>
              <w:t>p</w:t>
            </w:r>
            <w:r>
              <w:rPr>
                <w:sz w:val="24"/>
              </w:rPr>
              <w:t> to 70m and 12m between two adjacent</w:t>
            </w:r>
            <w:r>
              <w:rPr>
                <w:spacing w:val="-20"/>
                <w:sz w:val="24"/>
              </w:rPr>
              <w:t> </w:t>
            </w:r>
            <w:r>
              <w:rPr>
                <w:sz w:val="24"/>
              </w:rPr>
              <w:t>buildings</w:t>
            </w:r>
            <w:r>
              <w:rPr>
                <w:spacing w:val="-19"/>
                <w:sz w:val="24"/>
              </w:rPr>
              <w:t> </w:t>
            </w:r>
            <w:r>
              <w:rPr>
                <w:sz w:val="24"/>
              </w:rPr>
              <w:t>for</w:t>
            </w:r>
            <w:r>
              <w:rPr>
                <w:spacing w:val="-19"/>
                <w:sz w:val="24"/>
              </w:rPr>
              <w:t> </w:t>
            </w:r>
            <w:r>
              <w:rPr>
                <w:sz w:val="24"/>
              </w:rPr>
              <w:t>buildings having height above 70m </w:t>
            </w:r>
            <w:r>
              <w:rPr>
                <w:sz w:val="24"/>
              </w:rPr>
              <w:t>but below 120 m shall be insisted. For buildings having </w:t>
            </w:r>
            <w:r>
              <w:rPr>
                <w:sz w:val="24"/>
              </w:rPr>
              <w:t>height above120 m, joint open space between</w:t>
            </w:r>
            <w:r>
              <w:rPr>
                <w:spacing w:val="-15"/>
                <w:sz w:val="24"/>
              </w:rPr>
              <w:t> </w:t>
            </w:r>
            <w:r>
              <w:rPr>
                <w:sz w:val="24"/>
              </w:rPr>
              <w:t>two</w:t>
            </w:r>
            <w:r>
              <w:rPr>
                <w:spacing w:val="-15"/>
                <w:sz w:val="24"/>
              </w:rPr>
              <w:t> </w:t>
            </w:r>
            <w:r>
              <w:rPr>
                <w:sz w:val="24"/>
              </w:rPr>
              <w:t>adjacent</w:t>
            </w:r>
            <w:r>
              <w:rPr>
                <w:spacing w:val="-15"/>
                <w:sz w:val="24"/>
              </w:rPr>
              <w:t> </w:t>
            </w:r>
            <w:r>
              <w:rPr>
                <w:sz w:val="24"/>
              </w:rPr>
              <w:t>buildings shall be 15 m, however </w:t>
            </w:r>
            <w:r>
              <w:rPr>
                <w:sz w:val="24"/>
              </w:rPr>
              <w:t>CEO (SRA) shall in case of hardship relax it to 12m after recording reasons</w:t>
            </w:r>
            <w:r>
              <w:rPr>
                <w:spacing w:val="80"/>
                <w:sz w:val="24"/>
              </w:rPr>
              <w:t> </w:t>
            </w:r>
            <w:r>
              <w:rPr>
                <w:sz w:val="24"/>
              </w:rPr>
              <w:t>in</w:t>
            </w:r>
            <w:r>
              <w:rPr>
                <w:spacing w:val="80"/>
                <w:sz w:val="24"/>
              </w:rPr>
              <w:t> </w:t>
            </w:r>
            <w:r>
              <w:rPr>
                <w:sz w:val="24"/>
              </w:rPr>
              <w:t>writing.</w:t>
              <w:tab/>
              <w:tab/>
            </w:r>
            <w:r>
              <w:rPr>
                <w:spacing w:val="-4"/>
                <w:sz w:val="24"/>
              </w:rPr>
              <w:t>Th</w:t>
            </w:r>
            <w:r>
              <w:rPr>
                <w:spacing w:val="-4"/>
                <w:sz w:val="24"/>
              </w:rPr>
              <w:t>e</w:t>
            </w:r>
            <w:r>
              <w:rPr>
                <w:spacing w:val="-4"/>
                <w:sz w:val="24"/>
              </w:rPr>
              <w:t> </w:t>
            </w:r>
            <w:r>
              <w:rPr>
                <w:sz w:val="24"/>
              </w:rPr>
              <w:t>relaxations granted shall be subject to compliance </w:t>
            </w:r>
            <w:r>
              <w:rPr>
                <w:sz w:val="24"/>
              </w:rPr>
              <w:t>of requirements of CFO’s NOC</w:t>
            </w:r>
            <w:r>
              <w:rPr>
                <w:i/>
                <w:sz w:val="20"/>
              </w:rPr>
              <w:t>.</w:t>
            </w:r>
          </w:p>
        </w:tc>
      </w:tr>
    </w:tbl>
    <w:p>
      <w:pPr>
        <w:pStyle w:val="TableParagraph"/>
        <w:spacing w:after="0"/>
        <w:jc w:val="both"/>
        <w:rPr>
          <w:i/>
          <w:sz w:val="20"/>
        </w:rPr>
        <w:sectPr>
          <w:pgSz w:w="11910" w:h="16840"/>
          <w:pgMar w:header="1065" w:footer="1194" w:top="1500" w:bottom="1380" w:left="360" w:right="360"/>
        </w:sectPr>
      </w:pPr>
    </w:p>
    <w:p>
      <w:pPr>
        <w:pStyle w:val="BodyText"/>
        <w:spacing w:line="259" w:lineRule="auto" w:before="249"/>
        <w:ind w:left="2050" w:right="772"/>
      </w:pPr>
      <w:r>
        <w:rPr/>
        <w:t>Provided that the aforesaid FSI shall be exclusive of the Fungible compensatory area admissible under the provision of DCR 31(3).</w:t>
      </w:r>
    </w:p>
    <w:p>
      <w:pPr>
        <w:pStyle w:val="ListParagraph"/>
        <w:numPr>
          <w:ilvl w:val="1"/>
          <w:numId w:val="185"/>
        </w:numPr>
        <w:tabs>
          <w:tab w:pos="2793" w:val="left" w:leader="none"/>
        </w:tabs>
        <w:spacing w:line="240" w:lineRule="auto" w:before="162" w:after="0"/>
        <w:ind w:left="2062" w:right="767" w:firstLine="0"/>
        <w:jc w:val="both"/>
        <w:rPr>
          <w:sz w:val="24"/>
        </w:rPr>
      </w:pPr>
      <w:r>
        <w:rPr>
          <w:sz w:val="24"/>
        </w:rPr>
        <w:t>Notwithstanding the provisions in 3.8 above, the slum dweller society/NGO/Developer</w:t>
      </w:r>
      <w:r>
        <w:rPr>
          <w:spacing w:val="-5"/>
          <w:sz w:val="24"/>
        </w:rPr>
        <w:t> </w:t>
      </w:r>
      <w:r>
        <w:rPr>
          <w:sz w:val="24"/>
        </w:rPr>
        <w:t>undertaking</w:t>
      </w:r>
      <w:r>
        <w:rPr>
          <w:spacing w:val="-5"/>
          <w:sz w:val="24"/>
        </w:rPr>
        <w:t> </w:t>
      </w:r>
      <w:r>
        <w:rPr>
          <w:sz w:val="24"/>
        </w:rPr>
        <w:t>the</w:t>
      </w:r>
      <w:r>
        <w:rPr>
          <w:spacing w:val="-7"/>
          <w:sz w:val="24"/>
        </w:rPr>
        <w:t> </w:t>
      </w:r>
      <w:r>
        <w:rPr>
          <w:sz w:val="24"/>
        </w:rPr>
        <w:t>scheme</w:t>
      </w:r>
      <w:r>
        <w:rPr>
          <w:spacing w:val="-5"/>
          <w:sz w:val="24"/>
        </w:rPr>
        <w:t> </w:t>
      </w:r>
      <w:r>
        <w:rPr>
          <w:sz w:val="24"/>
        </w:rPr>
        <w:t>may</w:t>
      </w:r>
      <w:r>
        <w:rPr>
          <w:spacing w:val="-5"/>
          <w:sz w:val="24"/>
        </w:rPr>
        <w:t> </w:t>
      </w:r>
      <w:r>
        <w:rPr>
          <w:sz w:val="24"/>
        </w:rPr>
        <w:t>opt</w:t>
      </w:r>
      <w:r>
        <w:rPr>
          <w:spacing w:val="-5"/>
          <w:sz w:val="24"/>
        </w:rPr>
        <w:t> </w:t>
      </w:r>
      <w:r>
        <w:rPr>
          <w:sz w:val="24"/>
        </w:rPr>
        <w:t>to</w:t>
      </w:r>
      <w:r>
        <w:rPr>
          <w:spacing w:val="-5"/>
          <w:sz w:val="24"/>
        </w:rPr>
        <w:t> </w:t>
      </w:r>
      <w:r>
        <w:rPr>
          <w:sz w:val="24"/>
        </w:rPr>
        <w:t>claim</w:t>
      </w:r>
      <w:r>
        <w:rPr>
          <w:spacing w:val="-5"/>
          <w:sz w:val="24"/>
        </w:rPr>
        <w:t> </w:t>
      </w:r>
      <w:r>
        <w:rPr>
          <w:sz w:val="24"/>
        </w:rPr>
        <w:t>TDR in lieu of sale component available for the scheme, on account of constraints such as height restrictions, uneconomical site conditions, etc.; if the full permissible FSI cannot be used on the same site, TDR may be allowed as may be necessary</w:t>
      </w:r>
      <w:r>
        <w:rPr>
          <w:spacing w:val="40"/>
          <w:sz w:val="24"/>
        </w:rPr>
        <w:t> </w:t>
      </w:r>
      <w:r>
        <w:rPr>
          <w:sz w:val="24"/>
        </w:rPr>
        <w:t>without consuming permissible FSI</w:t>
      </w:r>
      <w:r>
        <w:rPr>
          <w:spacing w:val="-18"/>
          <w:sz w:val="24"/>
        </w:rPr>
        <w:t> </w:t>
      </w:r>
      <w:r>
        <w:rPr>
          <w:sz w:val="24"/>
        </w:rPr>
        <w:t>on</w:t>
      </w:r>
      <w:r>
        <w:rPr>
          <w:spacing w:val="-19"/>
          <w:sz w:val="24"/>
        </w:rPr>
        <w:t> </w:t>
      </w:r>
      <w:r>
        <w:rPr>
          <w:sz w:val="24"/>
        </w:rPr>
        <w:t>the</w:t>
      </w:r>
      <w:r>
        <w:rPr>
          <w:spacing w:val="-19"/>
          <w:sz w:val="24"/>
        </w:rPr>
        <w:t> </w:t>
      </w:r>
      <w:r>
        <w:rPr>
          <w:sz w:val="24"/>
        </w:rPr>
        <w:t>same</w:t>
      </w:r>
      <w:r>
        <w:rPr>
          <w:spacing w:val="-20"/>
          <w:sz w:val="24"/>
        </w:rPr>
        <w:t> </w:t>
      </w:r>
      <w:r>
        <w:rPr>
          <w:sz w:val="24"/>
        </w:rPr>
        <w:t>site.</w:t>
      </w:r>
      <w:r>
        <w:rPr>
          <w:spacing w:val="-19"/>
          <w:sz w:val="24"/>
        </w:rPr>
        <w:t> </w:t>
      </w:r>
      <w:r>
        <w:rPr>
          <w:sz w:val="24"/>
        </w:rPr>
        <w:t>However,</w:t>
      </w:r>
      <w:r>
        <w:rPr>
          <w:spacing w:val="-19"/>
          <w:sz w:val="24"/>
        </w:rPr>
        <w:t> </w:t>
      </w:r>
      <w:r>
        <w:rPr>
          <w:sz w:val="24"/>
        </w:rPr>
        <w:t>TDR</w:t>
      </w:r>
      <w:r>
        <w:rPr>
          <w:spacing w:val="-17"/>
          <w:sz w:val="24"/>
        </w:rPr>
        <w:t> </w:t>
      </w:r>
      <w:r>
        <w:rPr>
          <w:sz w:val="24"/>
        </w:rPr>
        <w:t>may</w:t>
      </w:r>
      <w:r>
        <w:rPr>
          <w:spacing w:val="-18"/>
          <w:sz w:val="24"/>
        </w:rPr>
        <w:t> </w:t>
      </w:r>
      <w:r>
        <w:rPr>
          <w:sz w:val="24"/>
        </w:rPr>
        <w:t>be</w:t>
      </w:r>
      <w:r>
        <w:rPr>
          <w:spacing w:val="-19"/>
          <w:sz w:val="24"/>
        </w:rPr>
        <w:t> </w:t>
      </w:r>
      <w:r>
        <w:rPr>
          <w:sz w:val="24"/>
        </w:rPr>
        <w:t>allowed</w:t>
      </w:r>
      <w:r>
        <w:rPr>
          <w:spacing w:val="-19"/>
          <w:sz w:val="24"/>
        </w:rPr>
        <w:t> </w:t>
      </w:r>
      <w:r>
        <w:rPr>
          <w:sz w:val="24"/>
        </w:rPr>
        <w:t>only</w:t>
      </w:r>
      <w:r>
        <w:rPr>
          <w:spacing w:val="-20"/>
          <w:sz w:val="24"/>
        </w:rPr>
        <w:t> </w:t>
      </w:r>
      <w:r>
        <w:rPr>
          <w:sz w:val="24"/>
        </w:rPr>
        <w:t>when</w:t>
      </w:r>
      <w:r>
        <w:rPr>
          <w:spacing w:val="-19"/>
          <w:sz w:val="24"/>
        </w:rPr>
        <w:t> </w:t>
      </w:r>
      <w:r>
        <w:rPr>
          <w:sz w:val="24"/>
        </w:rPr>
        <w:t>the</w:t>
      </w:r>
      <w:r>
        <w:rPr>
          <w:spacing w:val="-19"/>
          <w:sz w:val="24"/>
        </w:rPr>
        <w:t> </w:t>
      </w:r>
      <w:r>
        <w:rPr>
          <w:sz w:val="24"/>
        </w:rPr>
        <w:t>frame work for one complete building in rehab component is constructed or when 10% of the rehab component has been constructed on site and the said TDR will not exceed 50 percent of the construction of rehab component</w:t>
      </w:r>
      <w:r>
        <w:rPr>
          <w:spacing w:val="-5"/>
          <w:sz w:val="24"/>
        </w:rPr>
        <w:t> </w:t>
      </w:r>
      <w:r>
        <w:rPr>
          <w:sz w:val="24"/>
        </w:rPr>
        <w:t>at</w:t>
      </w:r>
      <w:r>
        <w:rPr>
          <w:spacing w:val="-5"/>
          <w:sz w:val="24"/>
        </w:rPr>
        <w:t> </w:t>
      </w:r>
      <w:r>
        <w:rPr>
          <w:sz w:val="24"/>
        </w:rPr>
        <w:t>any</w:t>
      </w:r>
      <w:r>
        <w:rPr>
          <w:spacing w:val="-5"/>
          <w:sz w:val="24"/>
        </w:rPr>
        <w:t> </w:t>
      </w:r>
      <w:r>
        <w:rPr>
          <w:sz w:val="24"/>
        </w:rPr>
        <w:t>point</w:t>
      </w:r>
      <w:r>
        <w:rPr>
          <w:spacing w:val="-5"/>
          <w:sz w:val="24"/>
        </w:rPr>
        <w:t> </w:t>
      </w:r>
      <w:r>
        <w:rPr>
          <w:sz w:val="24"/>
        </w:rPr>
        <w:t>of</w:t>
      </w:r>
      <w:r>
        <w:rPr>
          <w:spacing w:val="-5"/>
          <w:sz w:val="24"/>
        </w:rPr>
        <w:t> </w:t>
      </w:r>
      <w:r>
        <w:rPr>
          <w:sz w:val="24"/>
        </w:rPr>
        <w:t>time</w:t>
      </w:r>
      <w:r>
        <w:rPr>
          <w:spacing w:val="-5"/>
          <w:sz w:val="24"/>
        </w:rPr>
        <w:t> </w:t>
      </w:r>
      <w:r>
        <w:rPr>
          <w:sz w:val="24"/>
        </w:rPr>
        <w:t>till</w:t>
      </w:r>
      <w:r>
        <w:rPr>
          <w:spacing w:val="-5"/>
          <w:sz w:val="24"/>
        </w:rPr>
        <w:t> </w:t>
      </w:r>
      <w:r>
        <w:rPr>
          <w:sz w:val="24"/>
        </w:rPr>
        <w:t>the</w:t>
      </w:r>
      <w:r>
        <w:rPr>
          <w:spacing w:val="-5"/>
          <w:sz w:val="24"/>
        </w:rPr>
        <w:t> </w:t>
      </w:r>
      <w:r>
        <w:rPr>
          <w:sz w:val="24"/>
        </w:rPr>
        <w:t>total</w:t>
      </w:r>
      <w:r>
        <w:rPr>
          <w:spacing w:val="-5"/>
          <w:sz w:val="24"/>
        </w:rPr>
        <w:t> </w:t>
      </w:r>
      <w:r>
        <w:rPr>
          <w:sz w:val="24"/>
        </w:rPr>
        <w:t>rehab</w:t>
      </w:r>
      <w:r>
        <w:rPr>
          <w:spacing w:val="-5"/>
          <w:sz w:val="24"/>
        </w:rPr>
        <w:t> </w:t>
      </w:r>
      <w:r>
        <w:rPr>
          <w:sz w:val="24"/>
        </w:rPr>
        <w:t>component</w:t>
      </w:r>
      <w:r>
        <w:rPr>
          <w:spacing w:val="-5"/>
          <w:sz w:val="24"/>
        </w:rPr>
        <w:t> </w:t>
      </w:r>
      <w:r>
        <w:rPr>
          <w:sz w:val="24"/>
        </w:rPr>
        <w:t>has</w:t>
      </w:r>
      <w:r>
        <w:rPr>
          <w:spacing w:val="-5"/>
          <w:sz w:val="24"/>
        </w:rPr>
        <w:t> </w:t>
      </w:r>
      <w:r>
        <w:rPr>
          <w:sz w:val="24"/>
        </w:rPr>
        <w:t>been completed. On completion of the total rehab component balance TDR will be allowed.</w:t>
      </w:r>
    </w:p>
    <w:p>
      <w:pPr>
        <w:pStyle w:val="ListParagraph"/>
        <w:numPr>
          <w:ilvl w:val="1"/>
          <w:numId w:val="185"/>
        </w:numPr>
        <w:tabs>
          <w:tab w:pos="2778" w:val="left" w:leader="none"/>
        </w:tabs>
        <w:spacing w:line="240" w:lineRule="auto" w:before="281" w:after="0"/>
        <w:ind w:left="2062" w:right="766" w:firstLine="0"/>
        <w:jc w:val="both"/>
        <w:rPr>
          <w:sz w:val="24"/>
        </w:rPr>
      </w:pPr>
      <w:r>
        <w:rPr>
          <w:sz w:val="24"/>
        </w:rPr>
        <w:t>The rehabilitation component shall mean all residential tenements</w:t>
      </w:r>
      <w:r>
        <w:rPr>
          <w:spacing w:val="-18"/>
          <w:sz w:val="24"/>
        </w:rPr>
        <w:t> </w:t>
      </w:r>
      <w:r>
        <w:rPr>
          <w:sz w:val="24"/>
        </w:rPr>
        <w:t>as</w:t>
      </w:r>
      <w:r>
        <w:rPr>
          <w:spacing w:val="-18"/>
          <w:sz w:val="24"/>
        </w:rPr>
        <w:t> </w:t>
      </w:r>
      <w:r>
        <w:rPr>
          <w:sz w:val="24"/>
        </w:rPr>
        <w:t>well</w:t>
      </w:r>
      <w:r>
        <w:rPr>
          <w:spacing w:val="-18"/>
          <w:sz w:val="24"/>
        </w:rPr>
        <w:t> </w:t>
      </w:r>
      <w:r>
        <w:rPr>
          <w:sz w:val="24"/>
        </w:rPr>
        <w:t>as</w:t>
      </w:r>
      <w:r>
        <w:rPr>
          <w:spacing w:val="-16"/>
          <w:sz w:val="24"/>
        </w:rPr>
        <w:t> </w:t>
      </w:r>
      <w:r>
        <w:rPr>
          <w:sz w:val="24"/>
        </w:rPr>
        <w:t>non-residential</w:t>
      </w:r>
      <w:r>
        <w:rPr>
          <w:spacing w:val="-18"/>
          <w:sz w:val="24"/>
        </w:rPr>
        <w:t> </w:t>
      </w:r>
      <w:r>
        <w:rPr>
          <w:sz w:val="24"/>
        </w:rPr>
        <w:t>built-up</w:t>
      </w:r>
      <w:r>
        <w:rPr>
          <w:spacing w:val="-18"/>
          <w:sz w:val="24"/>
        </w:rPr>
        <w:t> </w:t>
      </w:r>
      <w:r>
        <w:rPr>
          <w:sz w:val="24"/>
        </w:rPr>
        <w:t>premises</w:t>
      </w:r>
      <w:r>
        <w:rPr>
          <w:spacing w:val="-18"/>
          <w:sz w:val="24"/>
        </w:rPr>
        <w:t> </w:t>
      </w:r>
      <w:r>
        <w:rPr>
          <w:sz w:val="24"/>
        </w:rPr>
        <w:t>given</w:t>
      </w:r>
      <w:r>
        <w:rPr>
          <w:spacing w:val="-18"/>
          <w:sz w:val="24"/>
        </w:rPr>
        <w:t> </w:t>
      </w:r>
      <w:r>
        <w:rPr>
          <w:sz w:val="24"/>
        </w:rPr>
        <w:t>free</w:t>
      </w:r>
      <w:r>
        <w:rPr>
          <w:spacing w:val="-18"/>
          <w:sz w:val="24"/>
        </w:rPr>
        <w:t> </w:t>
      </w:r>
      <w:r>
        <w:rPr>
          <w:sz w:val="24"/>
        </w:rPr>
        <w:t>of</w:t>
      </w:r>
      <w:r>
        <w:rPr>
          <w:spacing w:val="-18"/>
          <w:sz w:val="24"/>
        </w:rPr>
        <w:t> </w:t>
      </w:r>
      <w:r>
        <w:rPr>
          <w:sz w:val="24"/>
        </w:rPr>
        <w:t>cost in</w:t>
      </w:r>
      <w:r>
        <w:rPr>
          <w:spacing w:val="-13"/>
          <w:sz w:val="24"/>
        </w:rPr>
        <w:t> </w:t>
      </w:r>
      <w:r>
        <w:rPr>
          <w:sz w:val="24"/>
        </w:rPr>
        <w:t>accordance</w:t>
      </w:r>
      <w:r>
        <w:rPr>
          <w:spacing w:val="-13"/>
          <w:sz w:val="24"/>
        </w:rPr>
        <w:t> </w:t>
      </w:r>
      <w:r>
        <w:rPr>
          <w:sz w:val="24"/>
        </w:rPr>
        <w:t>with</w:t>
      </w:r>
      <w:r>
        <w:rPr>
          <w:spacing w:val="-13"/>
          <w:sz w:val="24"/>
        </w:rPr>
        <w:t> </w:t>
      </w:r>
      <w:r>
        <w:rPr>
          <w:sz w:val="24"/>
        </w:rPr>
        <w:t>the</w:t>
      </w:r>
      <w:r>
        <w:rPr>
          <w:spacing w:val="-13"/>
          <w:sz w:val="24"/>
        </w:rPr>
        <w:t> </w:t>
      </w:r>
      <w:r>
        <w:rPr>
          <w:sz w:val="24"/>
        </w:rPr>
        <w:t>provisions</w:t>
      </w:r>
      <w:r>
        <w:rPr>
          <w:spacing w:val="-13"/>
          <w:sz w:val="24"/>
        </w:rPr>
        <w:t> </w:t>
      </w:r>
      <w:r>
        <w:rPr>
          <w:sz w:val="24"/>
        </w:rPr>
        <w:t>of</w:t>
      </w:r>
      <w:r>
        <w:rPr>
          <w:spacing w:val="-13"/>
          <w:sz w:val="24"/>
        </w:rPr>
        <w:t> </w:t>
      </w:r>
      <w:r>
        <w:rPr>
          <w:sz w:val="24"/>
        </w:rPr>
        <w:t>the</w:t>
      </w:r>
      <w:r>
        <w:rPr>
          <w:spacing w:val="-13"/>
          <w:sz w:val="24"/>
        </w:rPr>
        <w:t> </w:t>
      </w:r>
      <w:r>
        <w:rPr>
          <w:sz w:val="24"/>
        </w:rPr>
        <w:t>SRS</w:t>
      </w:r>
      <w:r>
        <w:rPr>
          <w:spacing w:val="-13"/>
          <w:sz w:val="24"/>
        </w:rPr>
        <w:t> </w:t>
      </w:r>
      <w:r>
        <w:rPr>
          <w:sz w:val="24"/>
        </w:rPr>
        <w:t>outlined</w:t>
      </w:r>
      <w:r>
        <w:rPr>
          <w:spacing w:val="-13"/>
          <w:sz w:val="24"/>
        </w:rPr>
        <w:t> </w:t>
      </w:r>
      <w:r>
        <w:rPr>
          <w:sz w:val="24"/>
        </w:rPr>
        <w:t>in</w:t>
      </w:r>
      <w:r>
        <w:rPr>
          <w:spacing w:val="-13"/>
          <w:sz w:val="24"/>
        </w:rPr>
        <w:t> </w:t>
      </w:r>
      <w:r>
        <w:rPr>
          <w:sz w:val="24"/>
        </w:rPr>
        <w:t>this</w:t>
      </w:r>
      <w:r>
        <w:rPr>
          <w:spacing w:val="-13"/>
          <w:sz w:val="24"/>
        </w:rPr>
        <w:t> </w:t>
      </w:r>
      <w:r>
        <w:rPr>
          <w:sz w:val="24"/>
        </w:rPr>
        <w:t>Regulation excluding what is set down in Regulation No.31(1) and including aaganwadi, health centre / outpost, community hall /gymnasium / fitness centre, skill development centre, women entrepreneurship centre,</w:t>
      </w:r>
      <w:r>
        <w:rPr>
          <w:spacing w:val="-7"/>
          <w:sz w:val="24"/>
        </w:rPr>
        <w:t> </w:t>
      </w:r>
      <w:r>
        <w:rPr>
          <w:sz w:val="24"/>
        </w:rPr>
        <w:t>yuvakendra</w:t>
      </w:r>
      <w:r>
        <w:rPr>
          <w:spacing w:val="-4"/>
          <w:sz w:val="24"/>
        </w:rPr>
        <w:t> </w:t>
      </w:r>
      <w:r>
        <w:rPr>
          <w:sz w:val="24"/>
        </w:rPr>
        <w:t>/library</w:t>
      </w:r>
      <w:r>
        <w:rPr>
          <w:spacing w:val="-7"/>
          <w:sz w:val="24"/>
        </w:rPr>
        <w:t> </w:t>
      </w:r>
      <w:r>
        <w:rPr>
          <w:sz w:val="24"/>
        </w:rPr>
        <w:t>existing</w:t>
      </w:r>
      <w:r>
        <w:rPr>
          <w:spacing w:val="-6"/>
          <w:sz w:val="24"/>
        </w:rPr>
        <w:t> </w:t>
      </w:r>
      <w:r>
        <w:rPr>
          <w:sz w:val="24"/>
        </w:rPr>
        <w:t>eligible</w:t>
      </w:r>
      <w:r>
        <w:rPr>
          <w:spacing w:val="-7"/>
          <w:sz w:val="24"/>
        </w:rPr>
        <w:t> </w:t>
      </w:r>
      <w:r>
        <w:rPr>
          <w:sz w:val="24"/>
        </w:rPr>
        <w:t>religious</w:t>
      </w:r>
      <w:r>
        <w:rPr>
          <w:spacing w:val="-7"/>
          <w:sz w:val="24"/>
        </w:rPr>
        <w:t> </w:t>
      </w:r>
      <w:r>
        <w:rPr>
          <w:sz w:val="24"/>
        </w:rPr>
        <w:t>structure,</w:t>
      </w:r>
      <w:r>
        <w:rPr>
          <w:spacing w:val="-7"/>
          <w:sz w:val="24"/>
        </w:rPr>
        <w:t> </w:t>
      </w:r>
      <w:r>
        <w:rPr>
          <w:sz w:val="24"/>
        </w:rPr>
        <w:t>school, dispensary,</w:t>
      </w:r>
      <w:r>
        <w:rPr>
          <w:spacing w:val="-6"/>
          <w:sz w:val="24"/>
        </w:rPr>
        <w:t> </w:t>
      </w:r>
      <w:r>
        <w:rPr>
          <w:sz w:val="24"/>
        </w:rPr>
        <w:t>gymnasium</w:t>
      </w:r>
      <w:r>
        <w:rPr>
          <w:spacing w:val="-6"/>
          <w:sz w:val="24"/>
        </w:rPr>
        <w:t> </w:t>
      </w:r>
      <w:r>
        <w:rPr>
          <w:sz w:val="24"/>
        </w:rPr>
        <w:t>run</w:t>
      </w:r>
      <w:r>
        <w:rPr>
          <w:spacing w:val="-6"/>
          <w:sz w:val="24"/>
        </w:rPr>
        <w:t> </w:t>
      </w:r>
      <w:r>
        <w:rPr>
          <w:sz w:val="24"/>
        </w:rPr>
        <w:t>by</w:t>
      </w:r>
      <w:r>
        <w:rPr>
          <w:spacing w:val="-6"/>
          <w:sz w:val="24"/>
        </w:rPr>
        <w:t> </w:t>
      </w:r>
      <w:r>
        <w:rPr>
          <w:sz w:val="24"/>
        </w:rPr>
        <w:t>Public</w:t>
      </w:r>
      <w:r>
        <w:rPr>
          <w:spacing w:val="-6"/>
          <w:sz w:val="24"/>
        </w:rPr>
        <w:t> </w:t>
      </w:r>
      <w:r>
        <w:rPr>
          <w:sz w:val="24"/>
        </w:rPr>
        <w:t>Authority</w:t>
      </w:r>
      <w:r>
        <w:rPr>
          <w:spacing w:val="-6"/>
          <w:sz w:val="24"/>
        </w:rPr>
        <w:t> </w:t>
      </w:r>
      <w:r>
        <w:rPr>
          <w:sz w:val="24"/>
        </w:rPr>
        <w:t>or</w:t>
      </w:r>
      <w:r>
        <w:rPr>
          <w:spacing w:val="-6"/>
          <w:sz w:val="24"/>
        </w:rPr>
        <w:t> </w:t>
      </w:r>
      <w:r>
        <w:rPr>
          <w:sz w:val="24"/>
        </w:rPr>
        <w:t>charitable</w:t>
      </w:r>
      <w:r>
        <w:rPr>
          <w:spacing w:val="-3"/>
          <w:sz w:val="24"/>
        </w:rPr>
        <w:t> </w:t>
      </w:r>
      <w:r>
        <w:rPr>
          <w:sz w:val="24"/>
        </w:rPr>
        <w:t>trust</w:t>
      </w:r>
      <w:r>
        <w:rPr>
          <w:spacing w:val="-6"/>
          <w:sz w:val="24"/>
        </w:rPr>
        <w:t> </w:t>
      </w:r>
      <w:r>
        <w:rPr>
          <w:sz w:val="24"/>
        </w:rPr>
        <w:t>etc. as per provision of 8.1 &amp; 8.2 but excluding built-up area given for buildable DP reservations.</w:t>
      </w:r>
    </w:p>
    <w:p>
      <w:pPr>
        <w:pStyle w:val="ListParagraph"/>
        <w:numPr>
          <w:ilvl w:val="0"/>
          <w:numId w:val="186"/>
        </w:numPr>
        <w:tabs>
          <w:tab w:pos="2781" w:val="left" w:leader="none"/>
        </w:tabs>
        <w:spacing w:line="240" w:lineRule="auto" w:before="241" w:after="0"/>
        <w:ind w:left="2062" w:right="767" w:firstLine="0"/>
        <w:jc w:val="both"/>
        <w:rPr>
          <w:sz w:val="24"/>
        </w:rPr>
      </w:pPr>
      <w:r>
        <w:rPr>
          <w:sz w:val="24"/>
        </w:rPr>
        <w:t>3.11 Notwithstanding anything contained in this regulation,</w:t>
      </w:r>
      <w:r>
        <w:rPr>
          <w:spacing w:val="40"/>
          <w:sz w:val="24"/>
        </w:rPr>
        <w:t> </w:t>
      </w:r>
      <w:r>
        <w:rPr>
          <w:sz w:val="24"/>
        </w:rPr>
        <w:t>if rehabilitation project of a slum located on land belonging to public authority</w:t>
      </w:r>
      <w:r>
        <w:rPr>
          <w:spacing w:val="-7"/>
          <w:sz w:val="24"/>
        </w:rPr>
        <w:t> </w:t>
      </w:r>
      <w:r>
        <w:rPr>
          <w:sz w:val="24"/>
        </w:rPr>
        <w:t>and</w:t>
      </w:r>
      <w:r>
        <w:rPr>
          <w:spacing w:val="-7"/>
          <w:sz w:val="24"/>
        </w:rPr>
        <w:t> </w:t>
      </w:r>
      <w:r>
        <w:rPr>
          <w:sz w:val="24"/>
        </w:rPr>
        <w:t>needed</w:t>
      </w:r>
      <w:r>
        <w:rPr>
          <w:spacing w:val="-7"/>
          <w:sz w:val="24"/>
        </w:rPr>
        <w:t> </w:t>
      </w:r>
      <w:r>
        <w:rPr>
          <w:sz w:val="24"/>
        </w:rPr>
        <w:t>for</w:t>
      </w:r>
      <w:r>
        <w:rPr>
          <w:spacing w:val="-7"/>
          <w:sz w:val="24"/>
        </w:rPr>
        <w:t> </w:t>
      </w:r>
      <w:r>
        <w:rPr>
          <w:sz w:val="24"/>
        </w:rPr>
        <w:t>a</w:t>
      </w:r>
      <w:r>
        <w:rPr>
          <w:spacing w:val="-7"/>
          <w:sz w:val="24"/>
        </w:rPr>
        <w:t> </w:t>
      </w:r>
      <w:r>
        <w:rPr>
          <w:sz w:val="24"/>
        </w:rPr>
        <w:t>vital</w:t>
      </w:r>
      <w:r>
        <w:rPr>
          <w:spacing w:val="-9"/>
          <w:sz w:val="24"/>
        </w:rPr>
        <w:t> </w:t>
      </w:r>
      <w:r>
        <w:rPr>
          <w:sz w:val="24"/>
        </w:rPr>
        <w:t>public</w:t>
      </w:r>
      <w:r>
        <w:rPr>
          <w:spacing w:val="-7"/>
          <w:sz w:val="24"/>
        </w:rPr>
        <w:t> </w:t>
      </w:r>
      <w:r>
        <w:rPr>
          <w:sz w:val="24"/>
        </w:rPr>
        <w:t>purpose</w:t>
      </w:r>
      <w:r>
        <w:rPr>
          <w:spacing w:val="-7"/>
          <w:sz w:val="24"/>
        </w:rPr>
        <w:t> </w:t>
      </w:r>
      <w:r>
        <w:rPr>
          <w:sz w:val="24"/>
        </w:rPr>
        <w:t>and</w:t>
      </w:r>
      <w:r>
        <w:rPr>
          <w:spacing w:val="-7"/>
          <w:sz w:val="24"/>
        </w:rPr>
        <w:t> </w:t>
      </w:r>
      <w:r>
        <w:rPr>
          <w:sz w:val="24"/>
        </w:rPr>
        <w:t>where</w:t>
      </w:r>
      <w:r>
        <w:rPr>
          <w:spacing w:val="-7"/>
          <w:sz w:val="24"/>
        </w:rPr>
        <w:t> </w:t>
      </w:r>
      <w:r>
        <w:rPr>
          <w:sz w:val="24"/>
        </w:rPr>
        <w:t>eligible</w:t>
      </w:r>
      <w:r>
        <w:rPr>
          <w:spacing w:val="-7"/>
          <w:sz w:val="24"/>
        </w:rPr>
        <w:t> </w:t>
      </w:r>
      <w:r>
        <w:rPr>
          <w:sz w:val="24"/>
        </w:rPr>
        <w:t>slum dwellers which cannot be accommodated in the in-situ SRS of land under</w:t>
      </w:r>
      <w:r>
        <w:rPr>
          <w:spacing w:val="-20"/>
          <w:sz w:val="24"/>
        </w:rPr>
        <w:t> </w:t>
      </w:r>
      <w:r>
        <w:rPr>
          <w:sz w:val="24"/>
        </w:rPr>
        <w:t>non-buildable</w:t>
      </w:r>
      <w:r>
        <w:rPr>
          <w:spacing w:val="-20"/>
          <w:sz w:val="24"/>
        </w:rPr>
        <w:t> </w:t>
      </w:r>
      <w:r>
        <w:rPr>
          <w:sz w:val="24"/>
        </w:rPr>
        <w:t>reservations,</w:t>
      </w:r>
      <w:r>
        <w:rPr>
          <w:spacing w:val="-20"/>
          <w:sz w:val="24"/>
        </w:rPr>
        <w:t> </w:t>
      </w:r>
      <w:r>
        <w:rPr>
          <w:sz w:val="24"/>
        </w:rPr>
        <w:t>is</w:t>
      </w:r>
      <w:r>
        <w:rPr>
          <w:spacing w:val="-20"/>
          <w:sz w:val="24"/>
        </w:rPr>
        <w:t> </w:t>
      </w:r>
      <w:r>
        <w:rPr>
          <w:sz w:val="24"/>
        </w:rPr>
        <w:t>taken</w:t>
      </w:r>
      <w:r>
        <w:rPr>
          <w:spacing w:val="-20"/>
          <w:sz w:val="24"/>
        </w:rPr>
        <w:t> </w:t>
      </w:r>
      <w:r>
        <w:rPr>
          <w:sz w:val="24"/>
        </w:rPr>
        <w:t>up</w:t>
      </w:r>
      <w:r>
        <w:rPr>
          <w:spacing w:val="-20"/>
          <w:sz w:val="24"/>
        </w:rPr>
        <w:t> </w:t>
      </w:r>
      <w:r>
        <w:rPr>
          <w:sz w:val="24"/>
        </w:rPr>
        <w:t>on</w:t>
      </w:r>
      <w:r>
        <w:rPr>
          <w:spacing w:val="-20"/>
          <w:sz w:val="24"/>
        </w:rPr>
        <w:t> </w:t>
      </w:r>
      <w:r>
        <w:rPr>
          <w:sz w:val="24"/>
        </w:rPr>
        <w:t>an</w:t>
      </w:r>
      <w:r>
        <w:rPr>
          <w:spacing w:val="-19"/>
          <w:sz w:val="24"/>
        </w:rPr>
        <w:t> </w:t>
      </w:r>
      <w:r>
        <w:rPr>
          <w:sz w:val="24"/>
        </w:rPr>
        <w:t>unencumbered</w:t>
      </w:r>
      <w:r>
        <w:rPr>
          <w:spacing w:val="-20"/>
          <w:sz w:val="24"/>
        </w:rPr>
        <w:t> </w:t>
      </w:r>
      <w:r>
        <w:rPr>
          <w:sz w:val="24"/>
        </w:rPr>
        <w:t>plot</w:t>
      </w:r>
    </w:p>
    <w:p>
      <w:pPr>
        <w:pStyle w:val="BodyText"/>
        <w:ind w:left="2062" w:right="767"/>
      </w:pPr>
      <w:r>
        <w:rPr/>
        <w:t>,</w:t>
      </w:r>
      <w:r>
        <w:rPr>
          <w:spacing w:val="-5"/>
        </w:rPr>
        <w:t> </w:t>
      </w:r>
      <w:r>
        <w:rPr/>
        <w:t>TDR</w:t>
      </w:r>
      <w:r>
        <w:rPr>
          <w:spacing w:val="-5"/>
        </w:rPr>
        <w:t> </w:t>
      </w:r>
      <w:r>
        <w:rPr/>
        <w:t>as</w:t>
      </w:r>
      <w:r>
        <w:rPr>
          <w:spacing w:val="-5"/>
        </w:rPr>
        <w:t> </w:t>
      </w:r>
      <w:r>
        <w:rPr/>
        <w:t>per</w:t>
      </w:r>
      <w:r>
        <w:rPr>
          <w:spacing w:val="-5"/>
        </w:rPr>
        <w:t> </w:t>
      </w:r>
      <w:r>
        <w:rPr/>
        <w:t>regulation</w:t>
      </w:r>
      <w:r>
        <w:rPr>
          <w:spacing w:val="-5"/>
        </w:rPr>
        <w:t> </w:t>
      </w:r>
      <w:r>
        <w:rPr/>
        <w:t>32table</w:t>
      </w:r>
      <w:r>
        <w:rPr>
          <w:spacing w:val="-5"/>
        </w:rPr>
        <w:t> </w:t>
      </w:r>
      <w:r>
        <w:rPr/>
        <w:t>12(A)</w:t>
      </w:r>
      <w:r>
        <w:rPr>
          <w:spacing w:val="-5"/>
        </w:rPr>
        <w:t> </w:t>
      </w:r>
      <w:r>
        <w:rPr/>
        <w:t>for</w:t>
      </w:r>
      <w:r>
        <w:rPr>
          <w:spacing w:val="-5"/>
        </w:rPr>
        <w:t> </w:t>
      </w:r>
      <w:r>
        <w:rPr/>
        <w:t>the</w:t>
      </w:r>
      <w:r>
        <w:rPr>
          <w:spacing w:val="-5"/>
        </w:rPr>
        <w:t> </w:t>
      </w:r>
      <w:r>
        <w:rPr/>
        <w:t>area</w:t>
      </w:r>
      <w:r>
        <w:rPr>
          <w:spacing w:val="-5"/>
        </w:rPr>
        <w:t> </w:t>
      </w:r>
      <w:r>
        <w:rPr/>
        <w:t>of</w:t>
      </w:r>
      <w:r>
        <w:rPr>
          <w:spacing w:val="-5"/>
        </w:rPr>
        <w:t> </w:t>
      </w:r>
      <w:r>
        <w:rPr/>
        <w:t>the</w:t>
      </w:r>
      <w:r>
        <w:rPr>
          <w:spacing w:val="-5"/>
        </w:rPr>
        <w:t> </w:t>
      </w:r>
      <w:r>
        <w:rPr/>
        <w:t>land</w:t>
      </w:r>
      <w:r>
        <w:rPr>
          <w:spacing w:val="-7"/>
        </w:rPr>
        <w:t> </w:t>
      </w:r>
      <w:r>
        <w:rPr/>
        <w:t>spared</w:t>
      </w:r>
      <w:r>
        <w:rPr>
          <w:spacing w:val="-5"/>
        </w:rPr>
        <w:t> </w:t>
      </w:r>
      <w:r>
        <w:rPr/>
        <w:t>for this purpose shall</w:t>
      </w:r>
      <w:r>
        <w:rPr>
          <w:spacing w:val="40"/>
        </w:rPr>
        <w:t> </w:t>
      </w:r>
      <w:r>
        <w:rPr/>
        <w:t>be sanctioned for the owner of the said unencumbered</w:t>
      </w:r>
      <w:r>
        <w:rPr>
          <w:spacing w:val="-19"/>
        </w:rPr>
        <w:t> </w:t>
      </w:r>
      <w:r>
        <w:rPr/>
        <w:t>plot</w:t>
      </w:r>
      <w:r>
        <w:rPr>
          <w:spacing w:val="-17"/>
        </w:rPr>
        <w:t> </w:t>
      </w:r>
      <w:r>
        <w:rPr/>
        <w:t>and</w:t>
      </w:r>
      <w:r>
        <w:rPr>
          <w:spacing w:val="-19"/>
        </w:rPr>
        <w:t> </w:t>
      </w:r>
      <w:r>
        <w:rPr/>
        <w:t>the</w:t>
      </w:r>
      <w:r>
        <w:rPr>
          <w:spacing w:val="-17"/>
        </w:rPr>
        <w:t> </w:t>
      </w:r>
      <w:r>
        <w:rPr/>
        <w:t>TDR</w:t>
      </w:r>
      <w:r>
        <w:rPr>
          <w:spacing w:val="-19"/>
        </w:rPr>
        <w:t> </w:t>
      </w:r>
      <w:r>
        <w:rPr/>
        <w:t>in</w:t>
      </w:r>
      <w:r>
        <w:rPr>
          <w:spacing w:val="-17"/>
        </w:rPr>
        <w:t> </w:t>
      </w:r>
      <w:r>
        <w:rPr/>
        <w:t>due</w:t>
      </w:r>
      <w:r>
        <w:rPr>
          <w:spacing w:val="-19"/>
        </w:rPr>
        <w:t> </w:t>
      </w:r>
      <w:r>
        <w:rPr/>
        <w:t>lieu</w:t>
      </w:r>
      <w:r>
        <w:rPr>
          <w:spacing w:val="-19"/>
        </w:rPr>
        <w:t> </w:t>
      </w:r>
      <w:r>
        <w:rPr/>
        <w:t>of</w:t>
      </w:r>
      <w:r>
        <w:rPr>
          <w:spacing w:val="-19"/>
        </w:rPr>
        <w:t> </w:t>
      </w:r>
      <w:r>
        <w:rPr/>
        <w:t>cost</w:t>
      </w:r>
      <w:r>
        <w:rPr>
          <w:spacing w:val="-19"/>
        </w:rPr>
        <w:t> </w:t>
      </w:r>
      <w:r>
        <w:rPr/>
        <w:t>of</w:t>
      </w:r>
      <w:r>
        <w:rPr>
          <w:spacing w:val="-17"/>
        </w:rPr>
        <w:t> </w:t>
      </w:r>
      <w:r>
        <w:rPr/>
        <w:t>construction</w:t>
      </w:r>
      <w:r>
        <w:rPr>
          <w:spacing w:val="40"/>
        </w:rPr>
        <w:t> </w:t>
      </w:r>
      <w:r>
        <w:rPr/>
        <w:t>BUA as per 4.2 of regulation 32(A) shall be permissible</w:t>
      </w:r>
      <w:r>
        <w:rPr>
          <w:b/>
        </w:rPr>
        <w:t>. </w:t>
      </w:r>
      <w:r>
        <w:rPr/>
        <w:t>For the purpose of this</w:t>
      </w:r>
      <w:r>
        <w:rPr>
          <w:spacing w:val="-2"/>
        </w:rPr>
        <w:t> </w:t>
      </w:r>
      <w:r>
        <w:rPr/>
        <w:t>regulation</w:t>
      </w:r>
      <w:r>
        <w:rPr>
          <w:spacing w:val="-2"/>
        </w:rPr>
        <w:t> </w:t>
      </w:r>
      <w:r>
        <w:rPr/>
        <w:t>BUA</w:t>
      </w:r>
      <w:r>
        <w:rPr>
          <w:spacing w:val="-2"/>
        </w:rPr>
        <w:t> </w:t>
      </w:r>
      <w:r>
        <w:rPr/>
        <w:t>shall</w:t>
      </w:r>
      <w:r>
        <w:rPr>
          <w:spacing w:val="-2"/>
        </w:rPr>
        <w:t> </w:t>
      </w:r>
      <w:r>
        <w:rPr/>
        <w:t>be</w:t>
      </w:r>
      <w:r>
        <w:rPr>
          <w:spacing w:val="-2"/>
        </w:rPr>
        <w:t> </w:t>
      </w:r>
      <w:r>
        <w:rPr/>
        <w:t>as</w:t>
      </w:r>
      <w:r>
        <w:rPr>
          <w:spacing w:val="-2"/>
        </w:rPr>
        <w:t> </w:t>
      </w:r>
      <w:r>
        <w:rPr/>
        <w:t>clause</w:t>
      </w:r>
      <w:r>
        <w:rPr>
          <w:spacing w:val="-2"/>
        </w:rPr>
        <w:t> </w:t>
      </w:r>
      <w:r>
        <w:rPr/>
        <w:t>3.2</w:t>
      </w:r>
      <w:r>
        <w:rPr>
          <w:spacing w:val="-2"/>
        </w:rPr>
        <w:t> </w:t>
      </w:r>
      <w:r>
        <w:rPr/>
        <w:t>of</w:t>
      </w:r>
      <w:r>
        <w:rPr>
          <w:spacing w:val="-2"/>
        </w:rPr>
        <w:t> </w:t>
      </w:r>
      <w:r>
        <w:rPr/>
        <w:t>this</w:t>
      </w:r>
      <w:r>
        <w:rPr>
          <w:spacing w:val="-2"/>
        </w:rPr>
        <w:t> </w:t>
      </w:r>
      <w:r>
        <w:rPr/>
        <w:t>Regulation</w:t>
      </w:r>
      <w:r>
        <w:rPr>
          <w:b/>
        </w:rPr>
        <w:t>. </w:t>
      </w:r>
      <w:r>
        <w:rPr/>
        <w:t>No</w:t>
      </w:r>
      <w:r>
        <w:rPr>
          <w:spacing w:val="80"/>
          <w:w w:val="150"/>
        </w:rPr>
        <w:t> </w:t>
      </w:r>
      <w:r>
        <w:rPr/>
        <w:t>sale component shall be permissible.</w:t>
      </w:r>
      <w:r>
        <w:rPr>
          <w:spacing w:val="80"/>
        </w:rPr>
        <w:t> </w:t>
      </w:r>
      <w:r>
        <w:rPr/>
        <w:t>. The Rehabilitation Project is approved by the SRA.</w:t>
      </w:r>
    </w:p>
    <w:p>
      <w:pPr>
        <w:pStyle w:val="ListParagraph"/>
        <w:numPr>
          <w:ilvl w:val="0"/>
          <w:numId w:val="186"/>
        </w:numPr>
        <w:tabs>
          <w:tab w:pos="2781" w:val="left" w:leader="none"/>
        </w:tabs>
        <w:spacing w:line="240" w:lineRule="auto" w:before="239" w:after="0"/>
        <w:ind w:left="2062" w:right="770" w:firstLine="0"/>
        <w:jc w:val="both"/>
        <w:rPr>
          <w:sz w:val="24"/>
        </w:rPr>
      </w:pPr>
      <w:r>
        <w:rPr>
          <w:sz w:val="24"/>
        </w:rPr>
        <w:t>The tenements so constructed in execution of the Project are offered to slum dwellers located on land belonging to Govt. or Public Authority</w:t>
      </w:r>
      <w:r>
        <w:rPr>
          <w:spacing w:val="-11"/>
          <w:sz w:val="24"/>
        </w:rPr>
        <w:t> </w:t>
      </w:r>
      <w:r>
        <w:rPr>
          <w:sz w:val="24"/>
        </w:rPr>
        <w:t>and</w:t>
      </w:r>
      <w:r>
        <w:rPr>
          <w:spacing w:val="-11"/>
          <w:sz w:val="24"/>
        </w:rPr>
        <w:t> </w:t>
      </w:r>
      <w:r>
        <w:rPr>
          <w:sz w:val="24"/>
        </w:rPr>
        <w:t>needed</w:t>
      </w:r>
      <w:r>
        <w:rPr>
          <w:spacing w:val="-11"/>
          <w:sz w:val="24"/>
        </w:rPr>
        <w:t> </w:t>
      </w:r>
      <w:r>
        <w:rPr>
          <w:sz w:val="24"/>
        </w:rPr>
        <w:t>for</w:t>
      </w:r>
      <w:r>
        <w:rPr>
          <w:spacing w:val="-11"/>
          <w:sz w:val="24"/>
        </w:rPr>
        <w:t> </w:t>
      </w:r>
      <w:r>
        <w:rPr>
          <w:sz w:val="24"/>
        </w:rPr>
        <w:t>vital</w:t>
      </w:r>
      <w:r>
        <w:rPr>
          <w:spacing w:val="-11"/>
          <w:sz w:val="24"/>
        </w:rPr>
        <w:t> </w:t>
      </w:r>
      <w:r>
        <w:rPr>
          <w:sz w:val="24"/>
        </w:rPr>
        <w:t>public</w:t>
      </w:r>
      <w:r>
        <w:rPr>
          <w:spacing w:val="-13"/>
          <w:sz w:val="24"/>
        </w:rPr>
        <w:t> </w:t>
      </w:r>
      <w:r>
        <w:rPr>
          <w:sz w:val="24"/>
        </w:rPr>
        <w:t>purpose</w:t>
      </w:r>
      <w:r>
        <w:rPr>
          <w:spacing w:val="-11"/>
          <w:sz w:val="24"/>
        </w:rPr>
        <w:t> </w:t>
      </w:r>
      <w:r>
        <w:rPr>
          <w:sz w:val="24"/>
        </w:rPr>
        <w:t>and</w:t>
      </w:r>
      <w:r>
        <w:rPr>
          <w:spacing w:val="-11"/>
          <w:sz w:val="24"/>
        </w:rPr>
        <w:t> </w:t>
      </w:r>
      <w:r>
        <w:rPr>
          <w:sz w:val="24"/>
        </w:rPr>
        <w:t>within</w:t>
      </w:r>
      <w:r>
        <w:rPr>
          <w:spacing w:val="-11"/>
          <w:sz w:val="24"/>
        </w:rPr>
        <w:t> </w:t>
      </w:r>
      <w:r>
        <w:rPr>
          <w:sz w:val="24"/>
        </w:rPr>
        <w:t>270</w:t>
      </w:r>
      <w:r>
        <w:rPr>
          <w:spacing w:val="-15"/>
          <w:sz w:val="24"/>
        </w:rPr>
        <w:t> </w:t>
      </w:r>
      <w:r>
        <w:rPr>
          <w:sz w:val="24"/>
        </w:rPr>
        <w:t>days</w:t>
      </w:r>
      <w:r>
        <w:rPr>
          <w:spacing w:val="-11"/>
          <w:sz w:val="24"/>
        </w:rPr>
        <w:t> </w:t>
      </w:r>
      <w:r>
        <w:rPr>
          <w:sz w:val="24"/>
        </w:rPr>
        <w:t>from the date of issue of LOI the Agency shall identify the slum dwellers.</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0"/>
          <w:numId w:val="186"/>
        </w:numPr>
        <w:tabs>
          <w:tab w:pos="2781" w:val="left" w:leader="none"/>
        </w:tabs>
        <w:spacing w:line="240" w:lineRule="auto" w:before="249" w:after="0"/>
        <w:ind w:left="2062" w:right="770" w:firstLine="0"/>
        <w:jc w:val="both"/>
        <w:rPr>
          <w:sz w:val="24"/>
        </w:rPr>
      </w:pPr>
      <w:r>
        <w:rPr>
          <w:sz w:val="24"/>
        </w:rPr>
        <w:t>If the Agency fails to identify the slum dwellers needed to be shifted for a vital public purpose, as above, then the tenements so constructed shall be offered;</w:t>
      </w:r>
    </w:p>
    <w:p>
      <w:pPr>
        <w:pStyle w:val="ListParagraph"/>
        <w:numPr>
          <w:ilvl w:val="1"/>
          <w:numId w:val="186"/>
        </w:numPr>
        <w:tabs>
          <w:tab w:pos="2781" w:val="left" w:leader="none"/>
        </w:tabs>
        <w:spacing w:line="240" w:lineRule="auto" w:before="242" w:after="0"/>
        <w:ind w:left="2062" w:right="770" w:firstLine="0"/>
        <w:jc w:val="both"/>
        <w:rPr>
          <w:sz w:val="24"/>
        </w:rPr>
      </w:pPr>
      <w:r>
        <w:rPr>
          <w:sz w:val="24"/>
        </w:rPr>
        <w:t>to the slum dwellers</w:t>
      </w:r>
      <w:r>
        <w:rPr>
          <w:spacing w:val="-2"/>
          <w:sz w:val="24"/>
        </w:rPr>
        <w:t> </w:t>
      </w:r>
      <w:r>
        <w:rPr>
          <w:sz w:val="24"/>
        </w:rPr>
        <w:t>located on land belonging to Government or Public Authority within a distance of 2 km. from the land on which the Project is undertaken, or</w:t>
      </w:r>
    </w:p>
    <w:p>
      <w:pPr>
        <w:pStyle w:val="ListParagraph"/>
        <w:numPr>
          <w:ilvl w:val="1"/>
          <w:numId w:val="186"/>
        </w:numPr>
        <w:tabs>
          <w:tab w:pos="2781" w:val="left" w:leader="none"/>
        </w:tabs>
        <w:spacing w:line="240" w:lineRule="auto" w:before="240" w:after="0"/>
        <w:ind w:left="2062" w:right="775" w:firstLine="0"/>
        <w:jc w:val="both"/>
        <w:rPr>
          <w:sz w:val="24"/>
        </w:rPr>
      </w:pPr>
      <w:r>
        <w:rPr>
          <w:sz w:val="24"/>
        </w:rPr>
        <w:t>to the slum dwellers located anywhere in Greater Mumbai on lands belonging to Govt. or Public Authority, or</w:t>
      </w:r>
    </w:p>
    <w:p>
      <w:pPr>
        <w:pStyle w:val="ListParagraph"/>
        <w:numPr>
          <w:ilvl w:val="0"/>
          <w:numId w:val="186"/>
        </w:numPr>
        <w:tabs>
          <w:tab w:pos="2781" w:val="left" w:leader="none"/>
        </w:tabs>
        <w:spacing w:line="240" w:lineRule="auto" w:before="240" w:after="0"/>
        <w:ind w:left="2062" w:right="766" w:firstLine="0"/>
        <w:jc w:val="both"/>
        <w:rPr>
          <w:sz w:val="24"/>
        </w:rPr>
      </w:pPr>
      <w:r>
        <w:rPr>
          <w:sz w:val="24"/>
        </w:rPr>
        <w:t>Further provided that in all above cases the relocation of. slum dwellers</w:t>
      </w:r>
      <w:r>
        <w:rPr>
          <w:spacing w:val="-17"/>
          <w:sz w:val="24"/>
        </w:rPr>
        <w:t> </w:t>
      </w:r>
      <w:r>
        <w:rPr>
          <w:sz w:val="24"/>
        </w:rPr>
        <w:t>in</w:t>
      </w:r>
      <w:r>
        <w:rPr>
          <w:spacing w:val="-17"/>
          <w:sz w:val="24"/>
        </w:rPr>
        <w:t> </w:t>
      </w:r>
      <w:r>
        <w:rPr>
          <w:sz w:val="24"/>
        </w:rPr>
        <w:t>any</w:t>
      </w:r>
      <w:r>
        <w:rPr>
          <w:spacing w:val="-17"/>
          <w:sz w:val="24"/>
        </w:rPr>
        <w:t> </w:t>
      </w:r>
      <w:r>
        <w:rPr>
          <w:sz w:val="24"/>
        </w:rPr>
        <w:t>case</w:t>
      </w:r>
      <w:r>
        <w:rPr>
          <w:spacing w:val="-12"/>
          <w:sz w:val="24"/>
        </w:rPr>
        <w:t> </w:t>
      </w:r>
      <w:r>
        <w:rPr>
          <w:sz w:val="24"/>
        </w:rPr>
        <w:t>will</w:t>
      </w:r>
      <w:r>
        <w:rPr>
          <w:spacing w:val="-17"/>
          <w:sz w:val="24"/>
        </w:rPr>
        <w:t> </w:t>
      </w:r>
      <w:r>
        <w:rPr>
          <w:sz w:val="24"/>
        </w:rPr>
        <w:t>be</w:t>
      </w:r>
      <w:r>
        <w:rPr>
          <w:spacing w:val="-17"/>
          <w:sz w:val="24"/>
        </w:rPr>
        <w:t> </w:t>
      </w:r>
      <w:r>
        <w:rPr>
          <w:sz w:val="24"/>
        </w:rPr>
        <w:t>undertaken</w:t>
      </w:r>
      <w:r>
        <w:rPr>
          <w:spacing w:val="-17"/>
          <w:sz w:val="24"/>
        </w:rPr>
        <w:t> </w:t>
      </w:r>
      <w:r>
        <w:rPr>
          <w:sz w:val="24"/>
        </w:rPr>
        <w:t>not</w:t>
      </w:r>
      <w:r>
        <w:rPr>
          <w:spacing w:val="-17"/>
          <w:sz w:val="24"/>
        </w:rPr>
        <w:t> </w:t>
      </w:r>
      <w:r>
        <w:rPr>
          <w:sz w:val="24"/>
        </w:rPr>
        <w:t>with</w:t>
      </w:r>
      <w:r>
        <w:rPr>
          <w:spacing w:val="-17"/>
          <w:sz w:val="24"/>
        </w:rPr>
        <w:t> </w:t>
      </w:r>
      <w:r>
        <w:rPr>
          <w:sz w:val="24"/>
        </w:rPr>
        <w:t>reference</w:t>
      </w:r>
      <w:r>
        <w:rPr>
          <w:spacing w:val="-17"/>
          <w:sz w:val="24"/>
        </w:rPr>
        <w:t> </w:t>
      </w:r>
      <w:r>
        <w:rPr>
          <w:sz w:val="24"/>
        </w:rPr>
        <w:t>to</w:t>
      </w:r>
      <w:r>
        <w:rPr>
          <w:spacing w:val="-17"/>
          <w:sz w:val="24"/>
        </w:rPr>
        <w:t> </w:t>
      </w:r>
      <w:r>
        <w:rPr>
          <w:sz w:val="24"/>
        </w:rPr>
        <w:t>individuals but reference to assembly of slum dwellers for the purpose of releasing the plot of land wholly from slums and not only the patches of land.</w:t>
      </w:r>
    </w:p>
    <w:p>
      <w:pPr>
        <w:pStyle w:val="BodyText"/>
        <w:spacing w:before="240"/>
        <w:ind w:left="2062" w:right="769"/>
      </w:pPr>
      <w:r>
        <w:rPr/>
        <w:t>Provided that notwithstanding anything mentioned above, project affected persons ) due to any vital Public Projects undertaken by MMRDA including PAP’s under Mumbai Urban Transport Project (MUTP)being resettled as per the provisions contained in Government Resolution, Housing and Special Assistance Department, by order no. 700/CR 31/slum-2 dated 12/12/2000 and certified by the Project Director,</w:t>
      </w:r>
      <w:r>
        <w:rPr>
          <w:spacing w:val="-20"/>
        </w:rPr>
        <w:t> </w:t>
      </w:r>
      <w:r>
        <w:rPr/>
        <w:t>MUTP</w:t>
      </w:r>
      <w:r>
        <w:rPr>
          <w:spacing w:val="-19"/>
        </w:rPr>
        <w:t> </w:t>
      </w:r>
      <w:r>
        <w:rPr/>
        <w:t>will</w:t>
      </w:r>
      <w:r>
        <w:rPr>
          <w:spacing w:val="-19"/>
        </w:rPr>
        <w:t> </w:t>
      </w:r>
      <w:r>
        <w:rPr/>
        <w:t>also</w:t>
      </w:r>
      <w:r>
        <w:rPr>
          <w:spacing w:val="-19"/>
        </w:rPr>
        <w:t> </w:t>
      </w:r>
      <w:r>
        <w:rPr/>
        <w:t>be</w:t>
      </w:r>
      <w:r>
        <w:rPr>
          <w:spacing w:val="-19"/>
        </w:rPr>
        <w:t> </w:t>
      </w:r>
      <w:r>
        <w:rPr/>
        <w:t>eligible</w:t>
      </w:r>
      <w:r>
        <w:rPr>
          <w:spacing w:val="-20"/>
        </w:rPr>
        <w:t> </w:t>
      </w:r>
      <w:r>
        <w:rPr/>
        <w:t>for</w:t>
      </w:r>
      <w:r>
        <w:rPr>
          <w:spacing w:val="-19"/>
        </w:rPr>
        <w:t> </w:t>
      </w:r>
      <w:r>
        <w:rPr/>
        <w:t>redevelopment</w:t>
      </w:r>
      <w:r>
        <w:rPr>
          <w:spacing w:val="-19"/>
        </w:rPr>
        <w:t> </w:t>
      </w:r>
      <w:r>
        <w:rPr/>
        <w:t>scheme</w:t>
      </w:r>
      <w:r>
        <w:rPr>
          <w:spacing w:val="-19"/>
        </w:rPr>
        <w:t> </w:t>
      </w:r>
      <w:r>
        <w:rPr/>
        <w:t>under</w:t>
      </w:r>
      <w:r>
        <w:rPr>
          <w:spacing w:val="-19"/>
        </w:rPr>
        <w:t> </w:t>
      </w:r>
      <w:r>
        <w:rPr/>
        <w:t>this Regulation, as amended from time to time.</w:t>
      </w:r>
    </w:p>
    <w:p>
      <w:pPr>
        <w:pStyle w:val="BodyText"/>
        <w:spacing w:before="239"/>
        <w:ind w:left="2062" w:right="766"/>
      </w:pPr>
      <w:r>
        <w:rPr/>
        <w:t>Provided</w:t>
      </w:r>
      <w:r>
        <w:rPr>
          <w:spacing w:val="-18"/>
        </w:rPr>
        <w:t> </w:t>
      </w:r>
      <w:r>
        <w:rPr/>
        <w:t>further</w:t>
      </w:r>
      <w:r>
        <w:rPr>
          <w:spacing w:val="-18"/>
        </w:rPr>
        <w:t> </w:t>
      </w:r>
      <w:r>
        <w:rPr/>
        <w:t>that</w:t>
      </w:r>
      <w:r>
        <w:rPr>
          <w:spacing w:val="-17"/>
        </w:rPr>
        <w:t> </w:t>
      </w:r>
      <w:r>
        <w:rPr/>
        <w:t>in</w:t>
      </w:r>
      <w:r>
        <w:rPr>
          <w:spacing w:val="-18"/>
        </w:rPr>
        <w:t> </w:t>
      </w:r>
      <w:r>
        <w:rPr/>
        <w:t>case</w:t>
      </w:r>
      <w:r>
        <w:rPr>
          <w:spacing w:val="-18"/>
        </w:rPr>
        <w:t> </w:t>
      </w:r>
      <w:r>
        <w:rPr/>
        <w:t>of</w:t>
      </w:r>
      <w:r>
        <w:rPr>
          <w:spacing w:val="-18"/>
        </w:rPr>
        <w:t> </w:t>
      </w:r>
      <w:r>
        <w:rPr/>
        <w:t>the</w:t>
      </w:r>
      <w:r>
        <w:rPr>
          <w:spacing w:val="-18"/>
        </w:rPr>
        <w:t> </w:t>
      </w:r>
      <w:r>
        <w:rPr/>
        <w:t>ongoing</w:t>
      </w:r>
      <w:r>
        <w:rPr>
          <w:spacing w:val="-18"/>
        </w:rPr>
        <w:t> </w:t>
      </w:r>
      <w:r>
        <w:rPr/>
        <w:t>scheme</w:t>
      </w:r>
      <w:r>
        <w:rPr>
          <w:spacing w:val="-18"/>
        </w:rPr>
        <w:t> </w:t>
      </w:r>
      <w:r>
        <w:rPr/>
        <w:t>as</w:t>
      </w:r>
      <w:r>
        <w:rPr>
          <w:spacing w:val="-18"/>
        </w:rPr>
        <w:t> </w:t>
      </w:r>
      <w:r>
        <w:rPr/>
        <w:t>per</w:t>
      </w:r>
      <w:r>
        <w:rPr>
          <w:spacing w:val="-18"/>
        </w:rPr>
        <w:t> </w:t>
      </w:r>
      <w:r>
        <w:rPr/>
        <w:t>this</w:t>
      </w:r>
      <w:r>
        <w:rPr>
          <w:spacing w:val="-20"/>
        </w:rPr>
        <w:t> </w:t>
      </w:r>
      <w:r>
        <w:rPr/>
        <w:t>provision and where the work as per tenements of size 20.90 sq. m or less</w:t>
      </w:r>
      <w:r>
        <w:rPr>
          <w:spacing w:val="80"/>
        </w:rPr>
        <w:t> </w:t>
      </w:r>
      <w:r>
        <w:rPr/>
        <w:t>for which full commencement certificate/occupation permission is issued/work</w:t>
      </w:r>
      <w:r>
        <w:rPr>
          <w:spacing w:val="-1"/>
        </w:rPr>
        <w:t> </w:t>
      </w:r>
      <w:r>
        <w:rPr/>
        <w:t>competed</w:t>
      </w:r>
      <w:r>
        <w:rPr>
          <w:spacing w:val="40"/>
        </w:rPr>
        <w:t> </w:t>
      </w:r>
      <w:r>
        <w:rPr/>
        <w:t>and</w:t>
      </w:r>
      <w:r>
        <w:rPr>
          <w:spacing w:val="-1"/>
        </w:rPr>
        <w:t> </w:t>
      </w:r>
      <w:r>
        <w:rPr/>
        <w:t>where</w:t>
      </w:r>
      <w:r>
        <w:rPr>
          <w:spacing w:val="-1"/>
        </w:rPr>
        <w:t> </w:t>
      </w:r>
      <w:r>
        <w:rPr/>
        <w:t>the</w:t>
      </w:r>
      <w:r>
        <w:rPr>
          <w:spacing w:val="-1"/>
        </w:rPr>
        <w:t> </w:t>
      </w:r>
      <w:r>
        <w:rPr/>
        <w:t>TDR</w:t>
      </w:r>
      <w:r>
        <w:rPr>
          <w:spacing w:val="-1"/>
        </w:rPr>
        <w:t> </w:t>
      </w:r>
      <w:r>
        <w:rPr/>
        <w:t>in</w:t>
      </w:r>
      <w:r>
        <w:rPr>
          <w:spacing w:val="-1"/>
        </w:rPr>
        <w:t> </w:t>
      </w:r>
      <w:r>
        <w:rPr/>
        <w:t>lieu</w:t>
      </w:r>
      <w:r>
        <w:rPr>
          <w:spacing w:val="-1"/>
        </w:rPr>
        <w:t> </w:t>
      </w:r>
      <w:r>
        <w:rPr/>
        <w:t>of</w:t>
      </w:r>
      <w:r>
        <w:rPr>
          <w:spacing w:val="-1"/>
        </w:rPr>
        <w:t> </w:t>
      </w:r>
      <w:r>
        <w:rPr/>
        <w:t>this rehab</w:t>
      </w:r>
      <w:r>
        <w:rPr>
          <w:spacing w:val="-1"/>
        </w:rPr>
        <w:t> </w:t>
      </w:r>
      <w:r>
        <w:rPr/>
        <w:t>area</w:t>
      </w:r>
      <w:r>
        <w:rPr>
          <w:spacing w:val="-1"/>
        </w:rPr>
        <w:t> </w:t>
      </w:r>
      <w:r>
        <w:rPr/>
        <w:t>is already availed; in such cases at the option of owner/developer </w:t>
      </w:r>
      <w:r>
        <w:rPr>
          <w:sz w:val="22"/>
        </w:rPr>
        <w:t>with consent of occupants </w:t>
      </w:r>
      <w:r>
        <w:rPr/>
        <w:t>and with the approval of CEO(SRA), </w:t>
      </w:r>
      <w:r>
        <w:rPr>
          <w:sz w:val="22"/>
        </w:rPr>
        <w:t>developer </w:t>
      </w:r>
      <w:r>
        <w:rPr/>
        <w:t>may convert</w:t>
      </w:r>
      <w:r>
        <w:rPr>
          <w:spacing w:val="40"/>
        </w:rPr>
        <w:t> </w:t>
      </w:r>
      <w:r>
        <w:rPr/>
        <w:t>these</w:t>
      </w:r>
      <w:r>
        <w:rPr>
          <w:spacing w:val="40"/>
        </w:rPr>
        <w:t> </w:t>
      </w:r>
      <w:r>
        <w:rPr/>
        <w:t>tenements</w:t>
      </w:r>
      <w:r>
        <w:rPr>
          <w:spacing w:val="-1"/>
        </w:rPr>
        <w:t> </w:t>
      </w:r>
      <w:r>
        <w:rPr/>
        <w:t>as</w:t>
      </w:r>
      <w:r>
        <w:rPr>
          <w:spacing w:val="-1"/>
        </w:rPr>
        <w:t> </w:t>
      </w:r>
      <w:r>
        <w:rPr/>
        <w:t>per</w:t>
      </w:r>
      <w:r>
        <w:rPr>
          <w:spacing w:val="-1"/>
        </w:rPr>
        <w:t> </w:t>
      </w:r>
      <w:r>
        <w:rPr/>
        <w:t>this</w:t>
      </w:r>
      <w:r>
        <w:rPr>
          <w:spacing w:val="-1"/>
        </w:rPr>
        <w:t> </w:t>
      </w:r>
      <w:r>
        <w:rPr/>
        <w:t>regulation (</w:t>
      </w:r>
      <w:r>
        <w:rPr>
          <w:spacing w:val="-1"/>
        </w:rPr>
        <w:t> </w:t>
      </w:r>
      <w:r>
        <w:rPr/>
        <w:t>and</w:t>
      </w:r>
      <w:r>
        <w:rPr>
          <w:spacing w:val="-1"/>
        </w:rPr>
        <w:t> </w:t>
      </w:r>
      <w:r>
        <w:rPr/>
        <w:t>then</w:t>
      </w:r>
      <w:r>
        <w:rPr>
          <w:spacing w:val="-1"/>
        </w:rPr>
        <w:t> </w:t>
      </w:r>
      <w:r>
        <w:rPr/>
        <w:t>the</w:t>
      </w:r>
      <w:r>
        <w:rPr>
          <w:spacing w:val="-1"/>
        </w:rPr>
        <w:t> </w:t>
      </w:r>
      <w:r>
        <w:rPr/>
        <w:t>TDR for difference of</w:t>
      </w:r>
      <w:r>
        <w:rPr>
          <w:spacing w:val="40"/>
        </w:rPr>
        <w:t> </w:t>
      </w:r>
      <w:r>
        <w:rPr/>
        <w:t>carpet area may be made permissible (while granting the additional TDR as per this regulation, the land TDR shall not be permissible ).</w:t>
      </w:r>
    </w:p>
    <w:p>
      <w:pPr>
        <w:pStyle w:val="BodyText"/>
        <w:spacing w:before="241"/>
        <w:ind w:left="2062" w:right="768"/>
      </w:pPr>
      <w:r>
        <w:rPr/>
        <w:t>This</w:t>
      </w:r>
      <w:r>
        <w:rPr>
          <w:spacing w:val="-8"/>
        </w:rPr>
        <w:t> </w:t>
      </w:r>
      <w:r>
        <w:rPr/>
        <w:t>proviso</w:t>
      </w:r>
      <w:r>
        <w:rPr>
          <w:spacing w:val="-8"/>
        </w:rPr>
        <w:t> </w:t>
      </w:r>
      <w:r>
        <w:rPr/>
        <w:t>is</w:t>
      </w:r>
      <w:r>
        <w:rPr>
          <w:spacing w:val="-6"/>
        </w:rPr>
        <w:t> </w:t>
      </w:r>
      <w:r>
        <w:rPr/>
        <w:t>also</w:t>
      </w:r>
      <w:r>
        <w:rPr>
          <w:spacing w:val="-8"/>
        </w:rPr>
        <w:t> </w:t>
      </w:r>
      <w:r>
        <w:rPr/>
        <w:t>applicable</w:t>
      </w:r>
      <w:r>
        <w:rPr>
          <w:spacing w:val="-8"/>
        </w:rPr>
        <w:t> </w:t>
      </w:r>
      <w:r>
        <w:rPr/>
        <w:t>to</w:t>
      </w:r>
      <w:r>
        <w:rPr>
          <w:spacing w:val="-8"/>
        </w:rPr>
        <w:t> </w:t>
      </w:r>
      <w:r>
        <w:rPr/>
        <w:t>other</w:t>
      </w:r>
      <w:r>
        <w:rPr>
          <w:spacing w:val="-8"/>
        </w:rPr>
        <w:t> </w:t>
      </w:r>
      <w:r>
        <w:rPr/>
        <w:t>scheme</w:t>
      </w:r>
      <w:r>
        <w:rPr>
          <w:spacing w:val="-8"/>
        </w:rPr>
        <w:t> </w:t>
      </w:r>
      <w:r>
        <w:rPr/>
        <w:t>under</w:t>
      </w:r>
      <w:r>
        <w:rPr>
          <w:spacing w:val="-8"/>
        </w:rPr>
        <w:t> </w:t>
      </w:r>
      <w:r>
        <w:rPr/>
        <w:t>Regulation</w:t>
      </w:r>
      <w:r>
        <w:rPr>
          <w:spacing w:val="-8"/>
        </w:rPr>
        <w:t> </w:t>
      </w:r>
      <w:r>
        <w:rPr/>
        <w:t>33(10) werein the buildings are declared dangerous and dilapidated.</w:t>
      </w:r>
    </w:p>
    <w:p>
      <w:pPr>
        <w:pStyle w:val="BodyText"/>
        <w:spacing w:before="241"/>
        <w:ind w:left="2062" w:right="769"/>
      </w:pPr>
      <w:r>
        <w:rPr/>
        <w:t>Provided further that, for rehabilitation of adivasi in</w:t>
      </w:r>
      <w:r>
        <w:rPr>
          <w:spacing w:val="40"/>
        </w:rPr>
        <w:t> </w:t>
      </w:r>
      <w:r>
        <w:rPr/>
        <w:t>Sanjay Gandhi National Park and</w:t>
      </w:r>
      <w:r>
        <w:rPr>
          <w:spacing w:val="80"/>
        </w:rPr>
        <w:t> </w:t>
      </w:r>
      <w:r>
        <w:rPr/>
        <w:t>Adivasi/ encroacher in AAREY Colony Govt. Land, if undertaken on Govt. land by the developer, shall be eligible for TDR in lieu of construction of rehabilitation and resettlement tenements through</w:t>
      </w:r>
      <w:r>
        <w:rPr>
          <w:spacing w:val="-6"/>
        </w:rPr>
        <w:t> </w:t>
      </w:r>
      <w:r>
        <w:rPr/>
        <w:t>a</w:t>
      </w:r>
      <w:r>
        <w:rPr>
          <w:spacing w:val="-6"/>
        </w:rPr>
        <w:t> </w:t>
      </w:r>
      <w:r>
        <w:rPr/>
        <w:t>competitive</w:t>
      </w:r>
      <w:r>
        <w:rPr>
          <w:spacing w:val="-6"/>
        </w:rPr>
        <w:t> </w:t>
      </w:r>
      <w:r>
        <w:rPr/>
        <w:t>Tender</w:t>
      </w:r>
      <w:r>
        <w:rPr>
          <w:spacing w:val="-6"/>
        </w:rPr>
        <w:t> </w:t>
      </w:r>
      <w:r>
        <w:rPr/>
        <w:t>process</w:t>
      </w:r>
      <w:r>
        <w:rPr>
          <w:spacing w:val="-6"/>
        </w:rPr>
        <w:t> </w:t>
      </w:r>
      <w:r>
        <w:rPr/>
        <w:t>by</w:t>
      </w:r>
      <w:r>
        <w:rPr>
          <w:spacing w:val="-3"/>
        </w:rPr>
        <w:t> </w:t>
      </w:r>
      <w:r>
        <w:rPr/>
        <w:t>the</w:t>
      </w:r>
      <w:r>
        <w:rPr>
          <w:spacing w:val="-6"/>
        </w:rPr>
        <w:t> </w:t>
      </w:r>
      <w:r>
        <w:rPr/>
        <w:t>Govt.</w:t>
      </w:r>
      <w:r>
        <w:rPr>
          <w:spacing w:val="-6"/>
        </w:rPr>
        <w:t> </w:t>
      </w:r>
      <w:r>
        <w:rPr/>
        <w:t>or</w:t>
      </w:r>
      <w:r>
        <w:rPr>
          <w:spacing w:val="-6"/>
        </w:rPr>
        <w:t> </w:t>
      </w:r>
      <w:r>
        <w:rPr/>
        <w:t>the</w:t>
      </w:r>
      <w:r>
        <w:rPr>
          <w:spacing w:val="-6"/>
        </w:rPr>
        <w:t> </w:t>
      </w:r>
      <w:r>
        <w:rPr/>
        <w:t>implementing Govt. agency.</w:t>
      </w:r>
    </w:p>
    <w:p>
      <w:pPr>
        <w:pStyle w:val="BodyText"/>
        <w:spacing w:before="240"/>
        <w:ind w:left="2062" w:right="773"/>
      </w:pPr>
      <w:r>
        <w:rPr/>
        <w:t>Provided further that, these provisions are also applicable to lands belonging</w:t>
      </w:r>
      <w:r>
        <w:rPr>
          <w:spacing w:val="39"/>
        </w:rPr>
        <w:t> </w:t>
      </w:r>
      <w:r>
        <w:rPr/>
        <w:t>to</w:t>
      </w:r>
      <w:r>
        <w:rPr>
          <w:spacing w:val="42"/>
        </w:rPr>
        <w:t> </w:t>
      </w:r>
      <w:r>
        <w:rPr/>
        <w:t>or</w:t>
      </w:r>
      <w:r>
        <w:rPr>
          <w:spacing w:val="42"/>
        </w:rPr>
        <w:t> </w:t>
      </w:r>
      <w:r>
        <w:rPr/>
        <w:t>leased</w:t>
      </w:r>
      <w:r>
        <w:rPr>
          <w:spacing w:val="41"/>
        </w:rPr>
        <w:t> </w:t>
      </w:r>
      <w:r>
        <w:rPr/>
        <w:t>out</w:t>
      </w:r>
      <w:r>
        <w:rPr>
          <w:spacing w:val="42"/>
        </w:rPr>
        <w:t> </w:t>
      </w:r>
      <w:r>
        <w:rPr/>
        <w:t>to</w:t>
      </w:r>
      <w:r>
        <w:rPr>
          <w:spacing w:val="42"/>
        </w:rPr>
        <w:t> </w:t>
      </w:r>
      <w:r>
        <w:rPr/>
        <w:t>or</w:t>
      </w:r>
      <w:r>
        <w:rPr>
          <w:spacing w:val="43"/>
        </w:rPr>
        <w:t> </w:t>
      </w:r>
      <w:r>
        <w:rPr/>
        <w:t>leased</w:t>
      </w:r>
      <w:r>
        <w:rPr>
          <w:spacing w:val="44"/>
        </w:rPr>
        <w:t> </w:t>
      </w:r>
      <w:r>
        <w:rPr/>
        <w:t>out</w:t>
      </w:r>
      <w:r>
        <w:rPr>
          <w:spacing w:val="42"/>
        </w:rPr>
        <w:t> </w:t>
      </w:r>
      <w:r>
        <w:rPr/>
        <w:t>by</w:t>
      </w:r>
      <w:r>
        <w:rPr>
          <w:spacing w:val="41"/>
        </w:rPr>
        <w:t> </w:t>
      </w:r>
      <w:r>
        <w:rPr/>
        <w:t>a</w:t>
      </w:r>
      <w:r>
        <w:rPr>
          <w:spacing w:val="44"/>
        </w:rPr>
        <w:t> </w:t>
      </w:r>
      <w:r>
        <w:rPr/>
        <w:t>Public</w:t>
      </w:r>
      <w:r>
        <w:rPr>
          <w:spacing w:val="42"/>
        </w:rPr>
        <w:t> </w:t>
      </w:r>
      <w:r>
        <w:rPr/>
        <w:t>Authority,</w:t>
      </w:r>
      <w:r>
        <w:rPr>
          <w:spacing w:val="42"/>
        </w:rPr>
        <w:t> </w:t>
      </w:r>
      <w:r>
        <w:rPr>
          <w:spacing w:val="-10"/>
        </w:rPr>
        <w:t>a</w:t>
      </w:r>
    </w:p>
    <w:p>
      <w:pPr>
        <w:pStyle w:val="BodyText"/>
        <w:spacing w:after="0"/>
        <w:sectPr>
          <w:pgSz w:w="11910" w:h="16840"/>
          <w:pgMar w:header="1065" w:footer="1194" w:top="1500" w:bottom="1380" w:left="360" w:right="360"/>
        </w:sectPr>
      </w:pPr>
    </w:p>
    <w:p>
      <w:pPr>
        <w:pStyle w:val="BodyText"/>
        <w:spacing w:before="249"/>
        <w:ind w:left="2062" w:right="769"/>
      </w:pPr>
      <w:r>
        <w:rPr/>
        <w:t>Statutory Authority, a Public Sector undertaking or any Department of Government of India and a Joint Venture with any of them, subject to </w:t>
      </w:r>
      <w:r>
        <w:rPr>
          <w:spacing w:val="-2"/>
        </w:rPr>
        <w:t>payment</w:t>
      </w:r>
      <w:r>
        <w:rPr>
          <w:spacing w:val="-9"/>
        </w:rPr>
        <w:t> </w:t>
      </w:r>
      <w:r>
        <w:rPr>
          <w:spacing w:val="-2"/>
        </w:rPr>
        <w:t>of</w:t>
      </w:r>
      <w:r>
        <w:rPr>
          <w:spacing w:val="-9"/>
        </w:rPr>
        <w:t> </w:t>
      </w:r>
      <w:r>
        <w:rPr>
          <w:spacing w:val="-2"/>
        </w:rPr>
        <w:t>premium</w:t>
      </w:r>
      <w:r>
        <w:rPr>
          <w:spacing w:val="-9"/>
        </w:rPr>
        <w:t> </w:t>
      </w:r>
      <w:r>
        <w:rPr>
          <w:spacing w:val="-2"/>
        </w:rPr>
        <w:t>for</w:t>
      </w:r>
      <w:r>
        <w:rPr>
          <w:spacing w:val="-9"/>
        </w:rPr>
        <w:t> </w:t>
      </w:r>
      <w:r>
        <w:rPr>
          <w:spacing w:val="-2"/>
        </w:rPr>
        <w:t>infrastructure</w:t>
      </w:r>
      <w:r>
        <w:rPr>
          <w:spacing w:val="-9"/>
        </w:rPr>
        <w:t> </w:t>
      </w:r>
      <w:r>
        <w:rPr>
          <w:spacing w:val="-2"/>
        </w:rPr>
        <w:t>development</w:t>
      </w:r>
      <w:r>
        <w:rPr>
          <w:spacing w:val="-9"/>
        </w:rPr>
        <w:t> </w:t>
      </w:r>
      <w:r>
        <w:rPr>
          <w:spacing w:val="-2"/>
        </w:rPr>
        <w:t>as</w:t>
      </w:r>
      <w:r>
        <w:rPr>
          <w:spacing w:val="-9"/>
        </w:rPr>
        <w:t> </w:t>
      </w:r>
      <w:r>
        <w:rPr>
          <w:spacing w:val="-2"/>
        </w:rPr>
        <w:t>applicable</w:t>
      </w:r>
      <w:r>
        <w:rPr>
          <w:spacing w:val="-9"/>
        </w:rPr>
        <w:t> </w:t>
      </w:r>
      <w:r>
        <w:rPr>
          <w:spacing w:val="-2"/>
        </w:rPr>
        <w:t>under </w:t>
      </w:r>
      <w:r>
        <w:rPr/>
        <w:t>clause 9.2 of this Regulation.</w:t>
      </w:r>
    </w:p>
    <w:p>
      <w:pPr>
        <w:pStyle w:val="BodyText"/>
        <w:jc w:val="left"/>
      </w:pPr>
    </w:p>
    <w:p>
      <w:pPr>
        <w:pStyle w:val="BodyText"/>
        <w:spacing w:before="54"/>
        <w:jc w:val="left"/>
      </w:pPr>
    </w:p>
    <w:p>
      <w:pPr>
        <w:pStyle w:val="ListParagraph"/>
        <w:numPr>
          <w:ilvl w:val="1"/>
          <w:numId w:val="187"/>
        </w:numPr>
        <w:tabs>
          <w:tab w:pos="2768" w:val="left" w:leader="none"/>
        </w:tabs>
        <w:spacing w:line="276" w:lineRule="auto" w:before="0" w:after="0"/>
        <w:ind w:left="2062" w:right="766" w:firstLine="0"/>
        <w:jc w:val="both"/>
        <w:rPr>
          <w:sz w:val="24"/>
        </w:rPr>
      </w:pPr>
      <w:r>
        <w:rPr>
          <w:sz w:val="24"/>
        </w:rPr>
        <w:t>All non-residential built-up areas shall be included in the computation of minimum density but on the scale of 27.88</w:t>
      </w:r>
      <w:r>
        <w:rPr>
          <w:spacing w:val="40"/>
          <w:sz w:val="24"/>
        </w:rPr>
        <w:t> </w:t>
      </w:r>
      <w:r>
        <w:rPr>
          <w:sz w:val="24"/>
        </w:rPr>
        <w:t>sq. m of carpet area being one tenement. In slums where the existing tenement density is already more than 650 per net ha, the calculation of FSI for all purposes shall be on gross area, that is, without deducting any percentage for recreational open space. This shall not affect the requirement of keeping aside the said recreational open space on site, subject to the provisions in these Regulations.</w:t>
      </w:r>
    </w:p>
    <w:p>
      <w:pPr>
        <w:pStyle w:val="BodyText"/>
        <w:spacing w:line="259" w:lineRule="auto" w:before="205"/>
        <w:ind w:left="2050" w:right="768"/>
      </w:pPr>
      <w:r>
        <w:rPr/>
        <w:t>3.12(A) Minimum Density on the Plot Including Non-Residential Units: The minimum density of rehabilitation so as to generate adequate number of additional rehabilitation tenements and affordable tenements in situ under any Slum Rehabilitation Project will be</w:t>
      </w:r>
      <w:r>
        <w:rPr>
          <w:spacing w:val="40"/>
        </w:rPr>
        <w:t> </w:t>
      </w:r>
      <w:r>
        <w:rPr/>
        <w:t>650 tenements per net hectare ,</w:t>
      </w:r>
      <w:r>
        <w:rPr>
          <w:spacing w:val="40"/>
        </w:rPr>
        <w:t> </w:t>
      </w:r>
      <w:r>
        <w:rPr/>
        <w:t>i. e.</w:t>
      </w:r>
      <w:r>
        <w:rPr>
          <w:spacing w:val="40"/>
        </w:rPr>
        <w:t> </w:t>
      </w:r>
      <w:r>
        <w:rPr/>
        <w:t>after deducting all </w:t>
      </w:r>
      <w:r>
        <w:rPr/>
        <w:t>reservations actually implemented on site including the land appurtenant thereto, but not deducting the recreational/amenity open space on the remaining area. However, in slum rehabilitation schemes where permissible in-situ FSI is restricted to</w:t>
      </w:r>
      <w:r>
        <w:rPr>
          <w:spacing w:val="80"/>
        </w:rPr>
        <w:t> </w:t>
      </w:r>
      <w:r>
        <w:rPr/>
        <w:t>3.00 or sanctioned FSI of the scheme as per Clause 3.8 hereinabove, minimum tenement density shall be 500 per net hectare If the number of tenements to be provided to</w:t>
      </w:r>
      <w:r>
        <w:rPr>
          <w:spacing w:val="-16"/>
        </w:rPr>
        <w:t> </w:t>
      </w:r>
      <w:r>
        <w:rPr/>
        <w:t>all</w:t>
      </w:r>
      <w:r>
        <w:rPr>
          <w:spacing w:val="-16"/>
        </w:rPr>
        <w:t> </w:t>
      </w:r>
      <w:r>
        <w:rPr/>
        <w:t>eligible</w:t>
      </w:r>
      <w:r>
        <w:rPr>
          <w:spacing w:val="-16"/>
        </w:rPr>
        <w:t> </w:t>
      </w:r>
      <w:r>
        <w:rPr/>
        <w:t>hutment</w:t>
      </w:r>
      <w:r>
        <w:rPr>
          <w:spacing w:val="-16"/>
        </w:rPr>
        <w:t> </w:t>
      </w:r>
      <w:r>
        <w:rPr/>
        <w:t>dwellers</w:t>
      </w:r>
      <w:r>
        <w:rPr>
          <w:spacing w:val="-16"/>
        </w:rPr>
        <w:t> </w:t>
      </w:r>
      <w:r>
        <w:rPr/>
        <w:t>is</w:t>
      </w:r>
      <w:r>
        <w:rPr>
          <w:spacing w:val="-16"/>
        </w:rPr>
        <w:t> </w:t>
      </w:r>
      <w:r>
        <w:rPr/>
        <w:t>less</w:t>
      </w:r>
      <w:r>
        <w:rPr>
          <w:spacing w:val="-16"/>
        </w:rPr>
        <w:t> </w:t>
      </w:r>
      <w:r>
        <w:rPr/>
        <w:t>than</w:t>
      </w:r>
      <w:r>
        <w:rPr>
          <w:spacing w:val="-16"/>
        </w:rPr>
        <w:t> </w:t>
      </w:r>
      <w:r>
        <w:rPr/>
        <w:t>the</w:t>
      </w:r>
      <w:r>
        <w:rPr>
          <w:spacing w:val="-16"/>
        </w:rPr>
        <w:t> </w:t>
      </w:r>
      <w:r>
        <w:rPr/>
        <w:t>minimum</w:t>
      </w:r>
      <w:r>
        <w:rPr>
          <w:spacing w:val="-16"/>
        </w:rPr>
        <w:t> </w:t>
      </w:r>
      <w:r>
        <w:rPr/>
        <w:t>so</w:t>
      </w:r>
      <w:r>
        <w:rPr>
          <w:spacing w:val="-16"/>
        </w:rPr>
        <w:t> </w:t>
      </w:r>
      <w:r>
        <w:rPr/>
        <w:t>constructed as per minimum density of 650 or 500 tenements per net hector</w:t>
      </w:r>
      <w:r>
        <w:rPr>
          <w:spacing w:val="-4"/>
        </w:rPr>
        <w:t> </w:t>
      </w:r>
      <w:r>
        <w:rPr/>
        <w:t>as the case may be, the balance shall be handed over free of cost to the SRA. The</w:t>
      </w:r>
      <w:r>
        <w:rPr>
          <w:spacing w:val="-3"/>
        </w:rPr>
        <w:t> </w:t>
      </w:r>
      <w:r>
        <w:rPr/>
        <w:t>Authority</w:t>
      </w:r>
      <w:r>
        <w:rPr>
          <w:spacing w:val="-6"/>
        </w:rPr>
        <w:t> </w:t>
      </w:r>
      <w:r>
        <w:rPr/>
        <w:t>shall</w:t>
      </w:r>
      <w:r>
        <w:rPr>
          <w:spacing w:val="-3"/>
        </w:rPr>
        <w:t> </w:t>
      </w:r>
      <w:r>
        <w:rPr/>
        <w:t>use</w:t>
      </w:r>
      <w:r>
        <w:rPr>
          <w:spacing w:val="-6"/>
        </w:rPr>
        <w:t> </w:t>
      </w:r>
      <w:r>
        <w:rPr/>
        <w:t>them</w:t>
      </w:r>
      <w:r>
        <w:rPr>
          <w:spacing w:val="-6"/>
        </w:rPr>
        <w:t> </w:t>
      </w:r>
      <w:r>
        <w:rPr/>
        <w:t>for</w:t>
      </w:r>
      <w:r>
        <w:rPr>
          <w:spacing w:val="-6"/>
        </w:rPr>
        <w:t> </w:t>
      </w:r>
      <w:r>
        <w:rPr/>
        <w:t>the</w:t>
      </w:r>
      <w:r>
        <w:rPr>
          <w:spacing w:val="-4"/>
        </w:rPr>
        <w:t> </w:t>
      </w:r>
      <w:r>
        <w:rPr/>
        <w:t>purpose</w:t>
      </w:r>
      <w:r>
        <w:rPr>
          <w:spacing w:val="-6"/>
        </w:rPr>
        <w:t> </w:t>
      </w:r>
      <w:r>
        <w:rPr/>
        <w:t>of</w:t>
      </w:r>
      <w:r>
        <w:rPr>
          <w:spacing w:val="-6"/>
        </w:rPr>
        <w:t> </w:t>
      </w:r>
      <w:r>
        <w:rPr/>
        <w:t>transit</w:t>
      </w:r>
      <w:r>
        <w:rPr>
          <w:spacing w:val="-4"/>
        </w:rPr>
        <w:t> </w:t>
      </w:r>
      <w:r>
        <w:rPr/>
        <w:t>accommodation or</w:t>
      </w:r>
      <w:r>
        <w:rPr>
          <w:spacing w:val="-2"/>
        </w:rPr>
        <w:t> </w:t>
      </w:r>
      <w:r>
        <w:rPr/>
        <w:t>Project-affected</w:t>
      </w:r>
      <w:r>
        <w:rPr>
          <w:spacing w:val="-2"/>
        </w:rPr>
        <w:t> </w:t>
      </w:r>
      <w:r>
        <w:rPr/>
        <w:t>persons</w:t>
      </w:r>
      <w:r>
        <w:rPr>
          <w:spacing w:val="-1"/>
        </w:rPr>
        <w:t> </w:t>
      </w:r>
      <w:r>
        <w:rPr/>
        <w:t>or</w:t>
      </w:r>
      <w:r>
        <w:rPr>
          <w:spacing w:val="-2"/>
        </w:rPr>
        <w:t> </w:t>
      </w:r>
      <w:r>
        <w:rPr/>
        <w:t>pavement-dwellers</w:t>
      </w:r>
      <w:r>
        <w:rPr>
          <w:spacing w:val="-2"/>
        </w:rPr>
        <w:t> </w:t>
      </w:r>
      <w:r>
        <w:rPr/>
        <w:t>or</w:t>
      </w:r>
      <w:r>
        <w:rPr>
          <w:spacing w:val="-2"/>
        </w:rPr>
        <w:t> </w:t>
      </w:r>
      <w:r>
        <w:rPr/>
        <w:t>slum</w:t>
      </w:r>
      <w:r>
        <w:rPr>
          <w:spacing w:val="-2"/>
        </w:rPr>
        <w:t> </w:t>
      </w:r>
      <w:r>
        <w:rPr/>
        <w:t>dwellers</w:t>
      </w:r>
      <w:r>
        <w:rPr>
          <w:spacing w:val="-2"/>
        </w:rPr>
        <w:t> </w:t>
      </w:r>
      <w:r>
        <w:rPr/>
        <w:t>from other slums or distribution would be done as per policy decided by the </w:t>
      </w:r>
      <w:r>
        <w:rPr>
          <w:spacing w:val="-4"/>
        </w:rPr>
        <w:t>GOM.</w:t>
      </w:r>
    </w:p>
    <w:p>
      <w:pPr>
        <w:pStyle w:val="BodyText"/>
        <w:jc w:val="left"/>
      </w:pPr>
    </w:p>
    <w:p>
      <w:pPr>
        <w:pStyle w:val="BodyText"/>
        <w:spacing w:before="115"/>
        <w:jc w:val="left"/>
      </w:pPr>
    </w:p>
    <w:p>
      <w:pPr>
        <w:pStyle w:val="BodyText"/>
        <w:spacing w:line="259" w:lineRule="auto"/>
        <w:ind w:left="2050" w:right="770" w:firstLine="153"/>
      </w:pPr>
      <w:r>
        <w:rPr/>
        <w:t>(B) If there is balance FSI available in a slum scheme, after in situ development of rehab as</w:t>
      </w:r>
      <w:r>
        <w:rPr>
          <w:spacing w:val="40"/>
        </w:rPr>
        <w:t>  </w:t>
      </w:r>
      <w:r>
        <w:rPr/>
        <w:t>well as sale component, development of additional tenements for the purpose of rehabilitation of slum dwellers on untenable land or for any other category as per policy &amp; priority decided by Government, may be allowed in the scheme up to an extent such that this development and corresponding sale component development remains within the limit of maximum permissible FSI in the said scheme.</w:t>
      </w:r>
    </w:p>
    <w:p>
      <w:pPr>
        <w:pStyle w:val="BodyText"/>
        <w:spacing w:after="0" w:line="259" w:lineRule="auto"/>
        <w:sectPr>
          <w:pgSz w:w="11910" w:h="16840"/>
          <w:pgMar w:header="1065" w:footer="1194" w:top="1500" w:bottom="1380" w:left="360" w:right="360"/>
        </w:sectPr>
      </w:pPr>
    </w:p>
    <w:p>
      <w:pPr>
        <w:pStyle w:val="BodyText"/>
        <w:spacing w:before="249"/>
        <w:ind w:left="2062" w:right="768"/>
      </w:pPr>
      <w:r>
        <w:rPr/>
        <w:t>Provided that any ongoing Slum Rehabilitation Scheme where the eligibility of Slum Dwellers is revised and certified in accordance with guidelines contained in Government Resolutions zopudho- 100/C.R.125/14/ zopasu-1, dt 16/05/2015, the scheme parameters shall be revised in accordance with above norms on certification of structural stability from competent Government/ Semi- Government Reputed Technical institutions such as IIT, VJTI etc.</w:t>
      </w:r>
    </w:p>
    <w:p>
      <w:pPr>
        <w:pStyle w:val="BodyText"/>
        <w:spacing w:line="259" w:lineRule="auto" w:before="241"/>
        <w:ind w:left="2050" w:right="767"/>
      </w:pPr>
      <w:r>
        <w:rPr/>
        <w:t>Provided</w:t>
      </w:r>
      <w:r>
        <w:rPr>
          <w:spacing w:val="-4"/>
        </w:rPr>
        <w:t> </w:t>
      </w:r>
      <w:r>
        <w:rPr/>
        <w:t>further</w:t>
      </w:r>
      <w:r>
        <w:rPr>
          <w:spacing w:val="-4"/>
        </w:rPr>
        <w:t> </w:t>
      </w:r>
      <w:r>
        <w:rPr/>
        <w:t>that</w:t>
      </w:r>
      <w:r>
        <w:rPr>
          <w:spacing w:val="-4"/>
        </w:rPr>
        <w:t> </w:t>
      </w:r>
      <w:r>
        <w:rPr/>
        <w:t>in</w:t>
      </w:r>
      <w:r>
        <w:rPr>
          <w:spacing w:val="-4"/>
        </w:rPr>
        <w:t> </w:t>
      </w:r>
      <w:r>
        <w:rPr/>
        <w:t>case</w:t>
      </w:r>
      <w:r>
        <w:rPr>
          <w:spacing w:val="-4"/>
        </w:rPr>
        <w:t> </w:t>
      </w:r>
      <w:r>
        <w:rPr/>
        <w:t>of</w:t>
      </w:r>
      <w:r>
        <w:rPr>
          <w:spacing w:val="-7"/>
        </w:rPr>
        <w:t> </w:t>
      </w:r>
      <w:r>
        <w:rPr/>
        <w:t>slum</w:t>
      </w:r>
      <w:r>
        <w:rPr>
          <w:spacing w:val="-4"/>
        </w:rPr>
        <w:t> </w:t>
      </w:r>
      <w:r>
        <w:rPr/>
        <w:t>redevelopment</w:t>
      </w:r>
      <w:r>
        <w:rPr>
          <w:spacing w:val="-4"/>
        </w:rPr>
        <w:t> </w:t>
      </w:r>
      <w:r>
        <w:rPr/>
        <w:t>where</w:t>
      </w:r>
      <w:r>
        <w:rPr>
          <w:spacing w:val="-4"/>
        </w:rPr>
        <w:t> </w:t>
      </w:r>
      <w:r>
        <w:rPr/>
        <w:t>there</w:t>
      </w:r>
      <w:r>
        <w:rPr>
          <w:spacing w:val="-4"/>
        </w:rPr>
        <w:t> </w:t>
      </w:r>
      <w:r>
        <w:rPr/>
        <w:t>are</w:t>
      </w:r>
      <w:r>
        <w:rPr>
          <w:spacing w:val="-4"/>
        </w:rPr>
        <w:t> </w:t>
      </w:r>
      <w:r>
        <w:rPr/>
        <w:t>no eligible commercial slum dwellers and where it is possible to provide commercial tenements on ground floor, then in such cases commercial PAP tenements of size of carpet area 20.90 sq. m (225 sq. ft.) or of required</w:t>
      </w:r>
      <w:r>
        <w:rPr>
          <w:spacing w:val="-8"/>
        </w:rPr>
        <w:t> </w:t>
      </w:r>
      <w:r>
        <w:rPr/>
        <w:t>size</w:t>
      </w:r>
      <w:r>
        <w:rPr>
          <w:spacing w:val="40"/>
        </w:rPr>
        <w:t> </w:t>
      </w:r>
      <w:r>
        <w:rPr/>
        <w:t>shall</w:t>
      </w:r>
      <w:r>
        <w:rPr>
          <w:spacing w:val="-11"/>
        </w:rPr>
        <w:t> </w:t>
      </w:r>
      <w:r>
        <w:rPr/>
        <w:t>be</w:t>
      </w:r>
      <w:r>
        <w:rPr>
          <w:spacing w:val="-8"/>
        </w:rPr>
        <w:t> </w:t>
      </w:r>
      <w:r>
        <w:rPr/>
        <w:t>provided</w:t>
      </w:r>
      <w:r>
        <w:rPr>
          <w:spacing w:val="-8"/>
        </w:rPr>
        <w:t> </w:t>
      </w:r>
      <w:r>
        <w:rPr/>
        <w:t>as</w:t>
      </w:r>
      <w:r>
        <w:rPr>
          <w:spacing w:val="-8"/>
        </w:rPr>
        <w:t> </w:t>
      </w:r>
      <w:r>
        <w:rPr/>
        <w:t>decided</w:t>
      </w:r>
      <w:r>
        <w:rPr>
          <w:spacing w:val="-8"/>
        </w:rPr>
        <w:t> </w:t>
      </w:r>
      <w:r>
        <w:rPr/>
        <w:t>by</w:t>
      </w:r>
      <w:r>
        <w:rPr>
          <w:spacing w:val="-8"/>
        </w:rPr>
        <w:t> </w:t>
      </w:r>
      <w:r>
        <w:rPr/>
        <w:t>CEO(SRA)</w:t>
      </w:r>
      <w:r>
        <w:rPr>
          <w:spacing w:val="-8"/>
        </w:rPr>
        <w:t> </w:t>
      </w:r>
      <w:r>
        <w:rPr/>
        <w:t>and</w:t>
      </w:r>
      <w:r>
        <w:rPr>
          <w:spacing w:val="-13"/>
        </w:rPr>
        <w:t> </w:t>
      </w:r>
      <w:r>
        <w:rPr/>
        <w:t>same</w:t>
      </w:r>
      <w:r>
        <w:rPr>
          <w:spacing w:val="-8"/>
        </w:rPr>
        <w:t> </w:t>
      </w:r>
      <w:r>
        <w:rPr/>
        <w:t>shall be handed over free of cost to SRA.’</w:t>
      </w:r>
    </w:p>
    <w:p>
      <w:pPr>
        <w:pStyle w:val="BodyText"/>
        <w:spacing w:before="160"/>
        <w:ind w:left="2062" w:right="767"/>
      </w:pPr>
      <w:r>
        <w:rPr/>
        <w:t>Provided</w:t>
      </w:r>
      <w:r>
        <w:rPr>
          <w:spacing w:val="-8"/>
        </w:rPr>
        <w:t> </w:t>
      </w:r>
      <w:r>
        <w:rPr/>
        <w:t>if</w:t>
      </w:r>
      <w:r>
        <w:rPr>
          <w:spacing w:val="-8"/>
        </w:rPr>
        <w:t> </w:t>
      </w:r>
      <w:r>
        <w:rPr/>
        <w:t>SRS</w:t>
      </w:r>
      <w:r>
        <w:rPr>
          <w:spacing w:val="-8"/>
        </w:rPr>
        <w:t> </w:t>
      </w:r>
      <w:r>
        <w:rPr/>
        <w:t>is</w:t>
      </w:r>
      <w:r>
        <w:rPr>
          <w:spacing w:val="-8"/>
        </w:rPr>
        <w:t> </w:t>
      </w:r>
      <w:r>
        <w:rPr/>
        <w:t>undertaken</w:t>
      </w:r>
      <w:r>
        <w:rPr>
          <w:spacing w:val="-8"/>
        </w:rPr>
        <w:t> </w:t>
      </w:r>
      <w:r>
        <w:rPr/>
        <w:t>by</w:t>
      </w:r>
      <w:r>
        <w:rPr>
          <w:spacing w:val="-8"/>
        </w:rPr>
        <w:t> </w:t>
      </w:r>
      <w:r>
        <w:rPr/>
        <w:t>a</w:t>
      </w:r>
      <w:r>
        <w:rPr>
          <w:spacing w:val="-8"/>
        </w:rPr>
        <w:t> </w:t>
      </w:r>
      <w:r>
        <w:rPr/>
        <w:t>Federation,</w:t>
      </w:r>
      <w:r>
        <w:rPr>
          <w:spacing w:val="-8"/>
        </w:rPr>
        <w:t> </w:t>
      </w:r>
      <w:r>
        <w:rPr/>
        <w:t>Co-</w:t>
      </w:r>
      <w:r>
        <w:rPr>
          <w:spacing w:val="-8"/>
        </w:rPr>
        <w:t> </w:t>
      </w:r>
      <w:r>
        <w:rPr/>
        <w:t>Op.</w:t>
      </w:r>
      <w:r>
        <w:rPr>
          <w:spacing w:val="-8"/>
        </w:rPr>
        <w:t> </w:t>
      </w:r>
      <w:r>
        <w:rPr/>
        <w:t>Housing</w:t>
      </w:r>
      <w:r>
        <w:rPr>
          <w:spacing w:val="-8"/>
        </w:rPr>
        <w:t> </w:t>
      </w:r>
      <w:r>
        <w:rPr/>
        <w:t>society consisting of members who are serving or retired State Govt. Employees/Employees of the State Govt. Undertakings/Employees of local</w:t>
      </w:r>
      <w:r>
        <w:rPr>
          <w:spacing w:val="-3"/>
        </w:rPr>
        <w:t> </w:t>
      </w:r>
      <w:r>
        <w:rPr/>
        <w:t>bodies</w:t>
      </w:r>
      <w:r>
        <w:rPr>
          <w:spacing w:val="-3"/>
        </w:rPr>
        <w:t> </w:t>
      </w:r>
      <w:r>
        <w:rPr/>
        <w:t>of</w:t>
      </w:r>
      <w:r>
        <w:rPr>
          <w:spacing w:val="-3"/>
        </w:rPr>
        <w:t> </w:t>
      </w:r>
      <w:r>
        <w:rPr/>
        <w:t>State Government</w:t>
      </w:r>
      <w:r>
        <w:rPr>
          <w:spacing w:val="-3"/>
        </w:rPr>
        <w:t> </w:t>
      </w:r>
      <w:r>
        <w:rPr/>
        <w:t>for</w:t>
      </w:r>
      <w:r>
        <w:rPr>
          <w:spacing w:val="-3"/>
        </w:rPr>
        <w:t> </w:t>
      </w:r>
      <w:r>
        <w:rPr/>
        <w:t>providing</w:t>
      </w:r>
      <w:r>
        <w:rPr>
          <w:spacing w:val="-3"/>
        </w:rPr>
        <w:t> </w:t>
      </w:r>
      <w:r>
        <w:rPr/>
        <w:t>housing</w:t>
      </w:r>
      <w:r>
        <w:rPr>
          <w:spacing w:val="-3"/>
        </w:rPr>
        <w:t> </w:t>
      </w:r>
      <w:r>
        <w:rPr/>
        <w:t>to</w:t>
      </w:r>
      <w:r>
        <w:rPr>
          <w:spacing w:val="-3"/>
        </w:rPr>
        <w:t> </w:t>
      </w:r>
      <w:r>
        <w:rPr/>
        <w:t>its </w:t>
      </w:r>
      <w:r>
        <w:rPr/>
        <w:t>members, such tenements which are generated over and above the tenements to be provided to the existing eligible hutment dwellers, shall be handed over back to the said Federation/Co.-operative Housing Society for providing housing to its above mentioned members and subject to further additional terms and conditions as would be imposed by the CEO, SRA to ensure adequate membership of class III and class IV </w:t>
      </w:r>
      <w:r>
        <w:rPr>
          <w:spacing w:val="-2"/>
        </w:rPr>
        <w:t>employees.</w:t>
      </w:r>
    </w:p>
    <w:p>
      <w:pPr>
        <w:pStyle w:val="ListParagraph"/>
        <w:numPr>
          <w:ilvl w:val="0"/>
          <w:numId w:val="176"/>
        </w:numPr>
        <w:tabs>
          <w:tab w:pos="2332" w:val="left" w:leader="none"/>
        </w:tabs>
        <w:spacing w:line="276" w:lineRule="auto" w:before="237" w:after="0"/>
        <w:ind w:left="2050" w:right="769" w:firstLine="0"/>
        <w:jc w:val="both"/>
        <w:rPr>
          <w:sz w:val="22"/>
        </w:rPr>
      </w:pPr>
      <w:r>
        <w:rPr>
          <w:sz w:val="24"/>
        </w:rPr>
        <w:t>To</w:t>
      </w:r>
      <w:r>
        <w:rPr>
          <w:spacing w:val="-20"/>
          <w:sz w:val="24"/>
        </w:rPr>
        <w:t> </w:t>
      </w:r>
      <w:r>
        <w:rPr>
          <w:sz w:val="24"/>
        </w:rPr>
        <w:t>achieve</w:t>
      </w:r>
      <w:r>
        <w:rPr>
          <w:spacing w:val="-19"/>
          <w:sz w:val="24"/>
        </w:rPr>
        <w:t> </w:t>
      </w:r>
      <w:r>
        <w:rPr>
          <w:sz w:val="24"/>
        </w:rPr>
        <w:t>rehabilitation</w:t>
      </w:r>
      <w:r>
        <w:rPr>
          <w:spacing w:val="-19"/>
          <w:sz w:val="24"/>
        </w:rPr>
        <w:t> </w:t>
      </w:r>
      <w:r>
        <w:rPr>
          <w:sz w:val="24"/>
        </w:rPr>
        <w:t>of</w:t>
      </w:r>
      <w:r>
        <w:rPr>
          <w:spacing w:val="-19"/>
          <w:sz w:val="24"/>
        </w:rPr>
        <w:t> </w:t>
      </w:r>
      <w:r>
        <w:rPr>
          <w:sz w:val="22"/>
        </w:rPr>
        <w:t>all</w:t>
      </w:r>
      <w:r>
        <w:rPr>
          <w:spacing w:val="23"/>
          <w:sz w:val="22"/>
        </w:rPr>
        <w:t> </w:t>
      </w:r>
      <w:r>
        <w:rPr>
          <w:sz w:val="24"/>
        </w:rPr>
        <w:t>slum</w:t>
      </w:r>
      <w:r>
        <w:rPr>
          <w:spacing w:val="-20"/>
          <w:sz w:val="24"/>
        </w:rPr>
        <w:t> </w:t>
      </w:r>
      <w:r>
        <w:rPr>
          <w:sz w:val="24"/>
        </w:rPr>
        <w:t>dwellers</w:t>
      </w:r>
      <w:r>
        <w:rPr>
          <w:spacing w:val="36"/>
          <w:sz w:val="24"/>
        </w:rPr>
        <w:t> </w:t>
      </w:r>
      <w:r>
        <w:rPr>
          <w:sz w:val="24"/>
        </w:rPr>
        <w:t>together</w:t>
      </w:r>
      <w:r>
        <w:rPr>
          <w:spacing w:val="-20"/>
          <w:sz w:val="24"/>
        </w:rPr>
        <w:t> </w:t>
      </w:r>
      <w:r>
        <w:rPr>
          <w:sz w:val="24"/>
        </w:rPr>
        <w:t>including</w:t>
      </w:r>
      <w:r>
        <w:rPr>
          <w:spacing w:val="-19"/>
          <w:sz w:val="24"/>
        </w:rPr>
        <w:t> </w:t>
      </w:r>
      <w:r>
        <w:rPr>
          <w:sz w:val="24"/>
        </w:rPr>
        <w:t>those declared eligible at the later stages by Competent or Appellate Authorities and for speedy implementation of the scheme the Slum Rehabilitation Scheme shall be sanctioned by taking into account all Slum dwellers as per certified slum plan, and Draft Annexure-II.</w:t>
      </w:r>
    </w:p>
    <w:p>
      <w:pPr>
        <w:pStyle w:val="BodyText"/>
        <w:spacing w:line="276" w:lineRule="auto" w:before="199"/>
        <w:ind w:left="2062" w:right="769"/>
        <w:rPr>
          <w:sz w:val="22"/>
        </w:rPr>
      </w:pPr>
      <w:r>
        <w:rPr/>
        <w:t>Provided that if number of slum dwellers declared eligible finally by Competent</w:t>
      </w:r>
      <w:r>
        <w:rPr>
          <w:spacing w:val="-13"/>
        </w:rPr>
        <w:t> </w:t>
      </w:r>
      <w:r>
        <w:rPr/>
        <w:t>or</w:t>
      </w:r>
      <w:r>
        <w:rPr>
          <w:spacing w:val="-13"/>
        </w:rPr>
        <w:t> </w:t>
      </w:r>
      <w:r>
        <w:rPr/>
        <w:t>Appellate</w:t>
      </w:r>
      <w:r>
        <w:rPr>
          <w:spacing w:val="-13"/>
        </w:rPr>
        <w:t> </w:t>
      </w:r>
      <w:r>
        <w:rPr/>
        <w:t>Authority</w:t>
      </w:r>
      <w:r>
        <w:rPr>
          <w:spacing w:val="-13"/>
        </w:rPr>
        <w:t> </w:t>
      </w:r>
      <w:r>
        <w:rPr/>
        <w:t>are</w:t>
      </w:r>
      <w:r>
        <w:rPr>
          <w:spacing w:val="-13"/>
        </w:rPr>
        <w:t> </w:t>
      </w:r>
      <w:r>
        <w:rPr/>
        <w:t>less</w:t>
      </w:r>
      <w:r>
        <w:rPr>
          <w:spacing w:val="-13"/>
        </w:rPr>
        <w:t> </w:t>
      </w:r>
      <w:r>
        <w:rPr/>
        <w:t>than</w:t>
      </w:r>
      <w:r>
        <w:rPr>
          <w:spacing w:val="-13"/>
        </w:rPr>
        <w:t> </w:t>
      </w:r>
      <w:r>
        <w:rPr/>
        <w:t>less</w:t>
      </w:r>
      <w:r>
        <w:rPr>
          <w:spacing w:val="-13"/>
        </w:rPr>
        <w:t> </w:t>
      </w:r>
      <w:r>
        <w:rPr/>
        <w:t>rehab</w:t>
      </w:r>
      <w:r>
        <w:rPr>
          <w:spacing w:val="-13"/>
        </w:rPr>
        <w:t> </w:t>
      </w:r>
      <w:r>
        <w:rPr/>
        <w:t>tenements</w:t>
      </w:r>
      <w:r>
        <w:rPr>
          <w:spacing w:val="-13"/>
        </w:rPr>
        <w:t> </w:t>
      </w:r>
      <w:r>
        <w:rPr/>
        <w:t>so constructed under any Slum Rehabilitation Scheme, then remaining tenements shall be used by Slum Rehabilitation Authority for the purpose of rehabilitating non-protected occupants before 1st January 2011</w:t>
      </w:r>
      <w:r>
        <w:rPr>
          <w:sz w:val="22"/>
        </w:rPr>
        <w:t>. </w:t>
      </w:r>
      <w:r>
        <w:rPr/>
        <w:t>Thereafter remaining tenements if any, shall be used for the purpose of transit or PAP or pavement dwellers in slum rehabilitation area or non-protected occupants 1st January, 2011 from other slums and its distribution </w:t>
      </w:r>
      <w:r>
        <w:rPr>
          <w:sz w:val="22"/>
        </w:rPr>
        <w:t>may be done as per policy decided by Government of Maharashtra</w:t>
      </w:r>
      <w:r>
        <w:rPr>
          <w:spacing w:val="-4"/>
          <w:sz w:val="22"/>
        </w:rPr>
        <w:t> </w:t>
      </w:r>
      <w:r>
        <w:rPr/>
        <w:t>or</w:t>
      </w:r>
      <w:r>
        <w:rPr>
          <w:spacing w:val="-3"/>
        </w:rPr>
        <w:t> </w:t>
      </w:r>
      <w:r>
        <w:rPr/>
        <w:t>slum</w:t>
      </w:r>
      <w:r>
        <w:rPr>
          <w:spacing w:val="-1"/>
        </w:rPr>
        <w:t> </w:t>
      </w:r>
      <w:r>
        <w:rPr/>
        <w:t>dwellers</w:t>
      </w:r>
      <w:r>
        <w:rPr>
          <w:spacing w:val="-3"/>
        </w:rPr>
        <w:t> </w:t>
      </w:r>
      <w:r>
        <w:rPr/>
        <w:t>from</w:t>
      </w:r>
      <w:r>
        <w:rPr>
          <w:spacing w:val="-3"/>
        </w:rPr>
        <w:t> </w:t>
      </w:r>
      <w:r>
        <w:rPr/>
        <w:t>other</w:t>
      </w:r>
      <w:r>
        <w:rPr>
          <w:spacing w:val="-1"/>
        </w:rPr>
        <w:t> </w:t>
      </w:r>
      <w:r>
        <w:rPr/>
        <w:t>areas</w:t>
      </w:r>
      <w:r>
        <w:rPr>
          <w:spacing w:val="-3"/>
        </w:rPr>
        <w:t> </w:t>
      </w:r>
      <w:r>
        <w:rPr/>
        <w:t>and</w:t>
      </w:r>
      <w:r>
        <w:rPr>
          <w:spacing w:val="-3"/>
        </w:rPr>
        <w:t> </w:t>
      </w:r>
      <w:r>
        <w:rPr/>
        <w:t>its</w:t>
      </w:r>
      <w:r>
        <w:rPr>
          <w:spacing w:val="-3"/>
        </w:rPr>
        <w:t> </w:t>
      </w:r>
      <w:r>
        <w:rPr/>
        <w:t>distribution</w:t>
      </w:r>
      <w:r>
        <w:rPr>
          <w:spacing w:val="-3"/>
        </w:rPr>
        <w:t> </w:t>
      </w:r>
      <w:r>
        <w:rPr/>
        <w:t>may be done as per policy decided by Government of Maharashtra</w:t>
      </w:r>
      <w:r>
        <w:rPr>
          <w:sz w:val="22"/>
        </w:rPr>
        <w:t>.</w:t>
      </w:r>
      <w:r>
        <w:rPr>
          <w:spacing w:val="40"/>
          <w:sz w:val="22"/>
        </w:rPr>
        <w:t> </w:t>
      </w:r>
      <w:r>
        <w:rPr>
          <w:sz w:val="22"/>
        </w:rPr>
        <w:t>.</w:t>
      </w:r>
    </w:p>
    <w:p>
      <w:pPr>
        <w:pStyle w:val="BodyText"/>
        <w:spacing w:after="0" w:line="276" w:lineRule="auto"/>
        <w:rPr>
          <w:sz w:val="22"/>
        </w:rPr>
        <w:sectPr>
          <w:pgSz w:w="11910" w:h="16840"/>
          <w:pgMar w:header="1065" w:footer="1194" w:top="1500" w:bottom="1380" w:left="360" w:right="360"/>
        </w:sectPr>
      </w:pPr>
    </w:p>
    <w:p>
      <w:pPr>
        <w:pStyle w:val="ListParagraph"/>
        <w:numPr>
          <w:ilvl w:val="1"/>
          <w:numId w:val="187"/>
        </w:numPr>
        <w:tabs>
          <w:tab w:pos="2654" w:val="left" w:leader="none"/>
        </w:tabs>
        <w:spacing w:line="240" w:lineRule="auto" w:before="249" w:after="0"/>
        <w:ind w:left="2062" w:right="768" w:firstLine="0"/>
        <w:jc w:val="both"/>
        <w:rPr>
          <w:sz w:val="24"/>
        </w:rPr>
      </w:pPr>
      <w:r>
        <w:rPr>
          <w:sz w:val="24"/>
        </w:rPr>
        <w:t>Amalgamation/Subdivision</w:t>
      </w:r>
      <w:r>
        <w:rPr>
          <w:spacing w:val="-9"/>
          <w:sz w:val="24"/>
        </w:rPr>
        <w:t> </w:t>
      </w:r>
      <w:r>
        <w:rPr>
          <w:sz w:val="24"/>
        </w:rPr>
        <w:t>of</w:t>
      </w:r>
      <w:r>
        <w:rPr>
          <w:spacing w:val="-9"/>
          <w:sz w:val="24"/>
        </w:rPr>
        <w:t> </w:t>
      </w:r>
      <w:r>
        <w:rPr>
          <w:sz w:val="24"/>
        </w:rPr>
        <w:t>Plots</w:t>
      </w:r>
      <w:r>
        <w:rPr>
          <w:spacing w:val="-7"/>
          <w:sz w:val="24"/>
        </w:rPr>
        <w:t> </w:t>
      </w:r>
      <w:r>
        <w:rPr>
          <w:sz w:val="24"/>
        </w:rPr>
        <w:t>and</w:t>
      </w:r>
      <w:r>
        <w:rPr>
          <w:spacing w:val="-9"/>
          <w:sz w:val="24"/>
        </w:rPr>
        <w:t> </w:t>
      </w:r>
      <w:r>
        <w:rPr>
          <w:sz w:val="24"/>
        </w:rPr>
        <w:t>Balancing</w:t>
      </w:r>
      <w:r>
        <w:rPr>
          <w:spacing w:val="-9"/>
          <w:sz w:val="24"/>
        </w:rPr>
        <w:t> </w:t>
      </w:r>
      <w:r>
        <w:rPr>
          <w:sz w:val="24"/>
        </w:rPr>
        <w:t>of</w:t>
      </w:r>
      <w:r>
        <w:rPr>
          <w:spacing w:val="-9"/>
          <w:sz w:val="24"/>
        </w:rPr>
        <w:t> </w:t>
      </w:r>
      <w:r>
        <w:rPr>
          <w:sz w:val="24"/>
        </w:rPr>
        <w:t>FSI</w:t>
      </w:r>
      <w:r>
        <w:rPr>
          <w:spacing w:val="-7"/>
          <w:sz w:val="24"/>
        </w:rPr>
        <w:t> </w:t>
      </w:r>
      <w:r>
        <w:rPr>
          <w:sz w:val="24"/>
        </w:rPr>
        <w:t>Thereon: Any land declared as slum rehabilitation area or on which slum rehabilitation</w:t>
      </w:r>
      <w:r>
        <w:rPr>
          <w:spacing w:val="-20"/>
          <w:sz w:val="24"/>
        </w:rPr>
        <w:t> </w:t>
      </w:r>
      <w:r>
        <w:rPr>
          <w:sz w:val="24"/>
        </w:rPr>
        <w:t>project</w:t>
      </w:r>
      <w:r>
        <w:rPr>
          <w:spacing w:val="-19"/>
          <w:sz w:val="24"/>
        </w:rPr>
        <w:t> </w:t>
      </w:r>
      <w:r>
        <w:rPr>
          <w:sz w:val="24"/>
        </w:rPr>
        <w:t>has</w:t>
      </w:r>
      <w:r>
        <w:rPr>
          <w:spacing w:val="-19"/>
          <w:sz w:val="24"/>
        </w:rPr>
        <w:t> </w:t>
      </w:r>
      <w:r>
        <w:rPr>
          <w:sz w:val="24"/>
        </w:rPr>
        <w:t>been</w:t>
      </w:r>
      <w:r>
        <w:rPr>
          <w:spacing w:val="-19"/>
          <w:sz w:val="24"/>
        </w:rPr>
        <w:t> </w:t>
      </w:r>
      <w:r>
        <w:rPr>
          <w:sz w:val="24"/>
        </w:rPr>
        <w:t>sanctioned,</w:t>
      </w:r>
      <w:r>
        <w:rPr>
          <w:spacing w:val="-19"/>
          <w:sz w:val="24"/>
        </w:rPr>
        <w:t> </w:t>
      </w:r>
      <w:r>
        <w:rPr>
          <w:sz w:val="24"/>
        </w:rPr>
        <w:t>if</w:t>
      </w:r>
      <w:r>
        <w:rPr>
          <w:spacing w:val="-20"/>
          <w:sz w:val="24"/>
        </w:rPr>
        <w:t> </w:t>
      </w:r>
      <w:r>
        <w:rPr>
          <w:sz w:val="24"/>
        </w:rPr>
        <w:t>it</w:t>
      </w:r>
      <w:r>
        <w:rPr>
          <w:spacing w:val="-19"/>
          <w:sz w:val="24"/>
        </w:rPr>
        <w:t> </w:t>
      </w:r>
      <w:r>
        <w:rPr>
          <w:sz w:val="24"/>
        </w:rPr>
        <w:t>is</w:t>
      </w:r>
      <w:r>
        <w:rPr>
          <w:spacing w:val="-19"/>
          <w:sz w:val="24"/>
        </w:rPr>
        <w:t> </w:t>
      </w:r>
      <w:r>
        <w:rPr>
          <w:sz w:val="24"/>
        </w:rPr>
        <w:t>spread</w:t>
      </w:r>
      <w:r>
        <w:rPr>
          <w:spacing w:val="-19"/>
          <w:sz w:val="24"/>
        </w:rPr>
        <w:t> </w:t>
      </w:r>
      <w:r>
        <w:rPr>
          <w:sz w:val="24"/>
        </w:rPr>
        <w:t>on</w:t>
      </w:r>
      <w:r>
        <w:rPr>
          <w:spacing w:val="-19"/>
          <w:sz w:val="24"/>
        </w:rPr>
        <w:t> </w:t>
      </w:r>
      <w:r>
        <w:rPr>
          <w:sz w:val="24"/>
        </w:rPr>
        <w:t>part</w:t>
      </w:r>
      <w:r>
        <w:rPr>
          <w:spacing w:val="-20"/>
          <w:sz w:val="24"/>
        </w:rPr>
        <w:t> </w:t>
      </w:r>
      <w:r>
        <w:rPr>
          <w:sz w:val="24"/>
        </w:rPr>
        <w:t>or</w:t>
      </w:r>
      <w:r>
        <w:rPr>
          <w:spacing w:val="-19"/>
          <w:sz w:val="24"/>
        </w:rPr>
        <w:t> </w:t>
      </w:r>
      <w:r>
        <w:rPr>
          <w:sz w:val="24"/>
        </w:rPr>
        <w:t>parts of</w:t>
      </w:r>
      <w:r>
        <w:rPr>
          <w:spacing w:val="-17"/>
          <w:sz w:val="24"/>
        </w:rPr>
        <w:t> </w:t>
      </w:r>
      <w:r>
        <w:rPr>
          <w:sz w:val="24"/>
        </w:rPr>
        <w:t>C.S.</w:t>
      </w:r>
      <w:r>
        <w:rPr>
          <w:spacing w:val="-17"/>
          <w:sz w:val="24"/>
        </w:rPr>
        <w:t> </w:t>
      </w:r>
      <w:r>
        <w:rPr>
          <w:sz w:val="24"/>
        </w:rPr>
        <w:t>Nos.</w:t>
      </w:r>
      <w:r>
        <w:rPr>
          <w:spacing w:val="-17"/>
          <w:sz w:val="24"/>
        </w:rPr>
        <w:t> </w:t>
      </w:r>
      <w:r>
        <w:rPr>
          <w:sz w:val="24"/>
        </w:rPr>
        <w:t>or</w:t>
      </w:r>
      <w:r>
        <w:rPr>
          <w:spacing w:val="-17"/>
          <w:sz w:val="24"/>
        </w:rPr>
        <w:t> </w:t>
      </w:r>
      <w:r>
        <w:rPr>
          <w:sz w:val="24"/>
        </w:rPr>
        <w:t>CTS</w:t>
      </w:r>
      <w:r>
        <w:rPr>
          <w:spacing w:val="-17"/>
          <w:sz w:val="24"/>
        </w:rPr>
        <w:t> </w:t>
      </w:r>
      <w:r>
        <w:rPr>
          <w:sz w:val="24"/>
        </w:rPr>
        <w:t>Nos.</w:t>
      </w:r>
      <w:r>
        <w:rPr>
          <w:spacing w:val="-17"/>
          <w:sz w:val="24"/>
        </w:rPr>
        <w:t> </w:t>
      </w:r>
      <w:r>
        <w:rPr>
          <w:sz w:val="24"/>
        </w:rPr>
        <w:t>or</w:t>
      </w:r>
      <w:r>
        <w:rPr>
          <w:spacing w:val="-17"/>
          <w:sz w:val="24"/>
        </w:rPr>
        <w:t> </w:t>
      </w:r>
      <w:r>
        <w:rPr>
          <w:sz w:val="24"/>
        </w:rPr>
        <w:t>S.</w:t>
      </w:r>
      <w:r>
        <w:rPr>
          <w:spacing w:val="-17"/>
          <w:sz w:val="24"/>
        </w:rPr>
        <w:t> </w:t>
      </w:r>
      <w:r>
        <w:rPr>
          <w:sz w:val="24"/>
        </w:rPr>
        <w:t>Nos</w:t>
      </w:r>
      <w:r>
        <w:rPr>
          <w:spacing w:val="-17"/>
          <w:sz w:val="24"/>
        </w:rPr>
        <w:t> </w:t>
      </w:r>
      <w:r>
        <w:rPr>
          <w:sz w:val="24"/>
        </w:rPr>
        <w:t>or</w:t>
      </w:r>
      <w:r>
        <w:rPr>
          <w:spacing w:val="-17"/>
          <w:sz w:val="24"/>
        </w:rPr>
        <w:t> </w:t>
      </w:r>
      <w:r>
        <w:rPr>
          <w:sz w:val="24"/>
        </w:rPr>
        <w:t>F.</w:t>
      </w:r>
      <w:r>
        <w:rPr>
          <w:spacing w:val="-17"/>
          <w:sz w:val="24"/>
        </w:rPr>
        <w:t> </w:t>
      </w:r>
      <w:r>
        <w:rPr>
          <w:sz w:val="24"/>
        </w:rPr>
        <w:t>P.</w:t>
      </w:r>
      <w:r>
        <w:rPr>
          <w:spacing w:val="-19"/>
          <w:sz w:val="24"/>
        </w:rPr>
        <w:t> </w:t>
      </w:r>
      <w:r>
        <w:rPr>
          <w:sz w:val="24"/>
        </w:rPr>
        <w:t>Nos</w:t>
      </w:r>
      <w:r>
        <w:rPr>
          <w:spacing w:val="-17"/>
          <w:sz w:val="24"/>
        </w:rPr>
        <w:t> </w:t>
      </w:r>
      <w:r>
        <w:rPr>
          <w:sz w:val="24"/>
        </w:rPr>
        <w:t>shall</w:t>
      </w:r>
      <w:r>
        <w:rPr>
          <w:spacing w:val="-17"/>
          <w:sz w:val="24"/>
        </w:rPr>
        <w:t> </w:t>
      </w:r>
      <w:r>
        <w:rPr>
          <w:sz w:val="24"/>
        </w:rPr>
        <w:t>be</w:t>
      </w:r>
      <w:r>
        <w:rPr>
          <w:spacing w:val="-17"/>
          <w:sz w:val="24"/>
        </w:rPr>
        <w:t> </w:t>
      </w:r>
      <w:r>
        <w:rPr>
          <w:sz w:val="24"/>
        </w:rPr>
        <w:t>treated</w:t>
      </w:r>
      <w:r>
        <w:rPr>
          <w:spacing w:val="-17"/>
          <w:sz w:val="24"/>
        </w:rPr>
        <w:t> </w:t>
      </w:r>
      <w:r>
        <w:rPr>
          <w:sz w:val="24"/>
        </w:rPr>
        <w:t>as</w:t>
      </w:r>
      <w:r>
        <w:rPr>
          <w:spacing w:val="-17"/>
          <w:sz w:val="24"/>
        </w:rPr>
        <w:t> </w:t>
      </w:r>
      <w:r>
        <w:rPr>
          <w:sz w:val="24"/>
        </w:rPr>
        <w:t>natural amalgamation/subdivision/s of that C.S. or CTS or S. No. or F.P. No. for which no separate approval for amalgamation/subdivision of land would be necessary.</w:t>
      </w:r>
    </w:p>
    <w:p>
      <w:pPr>
        <w:pStyle w:val="ListParagraph"/>
        <w:numPr>
          <w:ilvl w:val="1"/>
          <w:numId w:val="187"/>
        </w:numPr>
        <w:tabs>
          <w:tab w:pos="2656" w:val="left" w:leader="none"/>
        </w:tabs>
        <w:spacing w:line="240" w:lineRule="auto" w:before="241" w:after="0"/>
        <w:ind w:left="2062" w:right="769" w:firstLine="0"/>
        <w:jc w:val="both"/>
        <w:rPr>
          <w:sz w:val="24"/>
        </w:rPr>
      </w:pPr>
      <w:r>
        <w:rPr>
          <w:sz w:val="24"/>
        </w:rPr>
        <w:t>Boundaries</w:t>
      </w:r>
      <w:r>
        <w:rPr>
          <w:spacing w:val="-6"/>
          <w:sz w:val="24"/>
        </w:rPr>
        <w:t> </w:t>
      </w:r>
      <w:r>
        <w:rPr>
          <w:sz w:val="24"/>
        </w:rPr>
        <w:t>and</w:t>
      </w:r>
      <w:r>
        <w:rPr>
          <w:spacing w:val="-6"/>
          <w:sz w:val="24"/>
        </w:rPr>
        <w:t> </w:t>
      </w:r>
      <w:r>
        <w:rPr>
          <w:sz w:val="24"/>
        </w:rPr>
        <w:t>the</w:t>
      </w:r>
      <w:r>
        <w:rPr>
          <w:spacing w:val="-6"/>
          <w:sz w:val="24"/>
        </w:rPr>
        <w:t> </w:t>
      </w:r>
      <w:r>
        <w:rPr>
          <w:sz w:val="24"/>
        </w:rPr>
        <w:t>Slum</w:t>
      </w:r>
      <w:r>
        <w:rPr>
          <w:spacing w:val="-6"/>
          <w:sz w:val="24"/>
        </w:rPr>
        <w:t> </w:t>
      </w:r>
      <w:r>
        <w:rPr>
          <w:sz w:val="24"/>
        </w:rPr>
        <w:t>Rehabilitation</w:t>
      </w:r>
      <w:r>
        <w:rPr>
          <w:spacing w:val="-6"/>
          <w:sz w:val="24"/>
        </w:rPr>
        <w:t> </w:t>
      </w:r>
      <w:r>
        <w:rPr>
          <w:sz w:val="24"/>
        </w:rPr>
        <w:t>Area</w:t>
      </w:r>
      <w:r>
        <w:rPr>
          <w:spacing w:val="-4"/>
          <w:sz w:val="24"/>
        </w:rPr>
        <w:t> </w:t>
      </w:r>
      <w:r>
        <w:rPr>
          <w:sz w:val="24"/>
        </w:rPr>
        <w:t>shall</w:t>
      </w:r>
      <w:r>
        <w:rPr>
          <w:spacing w:val="-6"/>
          <w:sz w:val="24"/>
        </w:rPr>
        <w:t> </w:t>
      </w:r>
      <w:r>
        <w:rPr>
          <w:sz w:val="24"/>
        </w:rPr>
        <w:t>be</w:t>
      </w:r>
      <w:r>
        <w:rPr>
          <w:spacing w:val="-4"/>
          <w:sz w:val="24"/>
        </w:rPr>
        <w:t> </w:t>
      </w:r>
      <w:r>
        <w:rPr>
          <w:sz w:val="24"/>
        </w:rPr>
        <w:t>declared</w:t>
      </w:r>
      <w:r>
        <w:rPr>
          <w:spacing w:val="-6"/>
          <w:sz w:val="24"/>
        </w:rPr>
        <w:t> </w:t>
      </w:r>
      <w:r>
        <w:rPr>
          <w:sz w:val="24"/>
        </w:rPr>
        <w:t>by the competent authority after actual measurement of plot area on site and the same shall be adopted for planning purpose for calculation of density and floor space index.</w:t>
      </w:r>
    </w:p>
    <w:p>
      <w:pPr>
        <w:pStyle w:val="ListParagraph"/>
        <w:numPr>
          <w:ilvl w:val="1"/>
          <w:numId w:val="187"/>
        </w:numPr>
        <w:tabs>
          <w:tab w:pos="2690" w:val="left" w:leader="none"/>
        </w:tabs>
        <w:spacing w:line="240" w:lineRule="auto" w:before="242" w:after="0"/>
        <w:ind w:left="2062" w:right="771" w:firstLine="0"/>
        <w:jc w:val="both"/>
        <w:rPr>
          <w:sz w:val="24"/>
        </w:rPr>
      </w:pPr>
      <w:r>
        <w:rPr>
          <w:sz w:val="24"/>
        </w:rPr>
        <w:t>The CEO, SRA may if required, adjust the boundary of the plot declared as slum rehabilitation area so as to suit the building design and provide proper access to these Scheme. Provided further that the encumbered area under D P Road/Sanctioned Regular line road abutting the SRS shall be included in the scheme to be developed.</w:t>
      </w:r>
    </w:p>
    <w:p>
      <w:pPr>
        <w:pStyle w:val="ListParagraph"/>
        <w:numPr>
          <w:ilvl w:val="1"/>
          <w:numId w:val="187"/>
        </w:numPr>
        <w:tabs>
          <w:tab w:pos="2649" w:val="left" w:leader="none"/>
        </w:tabs>
        <w:spacing w:line="240" w:lineRule="auto" w:before="240" w:after="0"/>
        <w:ind w:left="2062" w:right="767" w:firstLine="0"/>
        <w:jc w:val="both"/>
        <w:rPr>
          <w:sz w:val="24"/>
        </w:rPr>
      </w:pPr>
      <w:r>
        <w:rPr>
          <w:sz w:val="24"/>
        </w:rPr>
        <w:t>After</w:t>
      </w:r>
      <w:r>
        <w:rPr>
          <w:spacing w:val="-13"/>
          <w:sz w:val="24"/>
        </w:rPr>
        <w:t> </w:t>
      </w:r>
      <w:r>
        <w:rPr>
          <w:sz w:val="24"/>
        </w:rPr>
        <w:t>approval</w:t>
      </w:r>
      <w:r>
        <w:rPr>
          <w:spacing w:val="-13"/>
          <w:sz w:val="24"/>
        </w:rPr>
        <w:t> </w:t>
      </w:r>
      <w:r>
        <w:rPr>
          <w:sz w:val="24"/>
        </w:rPr>
        <w:t>is</w:t>
      </w:r>
      <w:r>
        <w:rPr>
          <w:spacing w:val="-13"/>
          <w:sz w:val="24"/>
        </w:rPr>
        <w:t> </w:t>
      </w:r>
      <w:r>
        <w:rPr>
          <w:sz w:val="24"/>
        </w:rPr>
        <w:t>given</w:t>
      </w:r>
      <w:r>
        <w:rPr>
          <w:spacing w:val="-13"/>
          <w:sz w:val="24"/>
        </w:rPr>
        <w:t> </w:t>
      </w:r>
      <w:r>
        <w:rPr>
          <w:sz w:val="24"/>
        </w:rPr>
        <w:t>to</w:t>
      </w:r>
      <w:r>
        <w:rPr>
          <w:spacing w:val="-13"/>
          <w:sz w:val="24"/>
        </w:rPr>
        <w:t> </w:t>
      </w:r>
      <w:r>
        <w:rPr>
          <w:sz w:val="24"/>
        </w:rPr>
        <w:t>the</w:t>
      </w:r>
      <w:r>
        <w:rPr>
          <w:spacing w:val="-13"/>
          <w:sz w:val="24"/>
        </w:rPr>
        <w:t> </w:t>
      </w:r>
      <w:r>
        <w:rPr>
          <w:sz w:val="24"/>
        </w:rPr>
        <w:t>Slum</w:t>
      </w:r>
      <w:r>
        <w:rPr>
          <w:spacing w:val="-13"/>
          <w:sz w:val="24"/>
        </w:rPr>
        <w:t> </w:t>
      </w:r>
      <w:r>
        <w:rPr>
          <w:sz w:val="24"/>
        </w:rPr>
        <w:t>Rehabilitation</w:t>
      </w:r>
      <w:r>
        <w:rPr>
          <w:spacing w:val="-13"/>
          <w:sz w:val="24"/>
        </w:rPr>
        <w:t> </w:t>
      </w:r>
      <w:r>
        <w:rPr>
          <w:sz w:val="24"/>
        </w:rPr>
        <w:t>scheme,</w:t>
      </w:r>
      <w:r>
        <w:rPr>
          <w:spacing w:val="-13"/>
          <w:sz w:val="24"/>
        </w:rPr>
        <w:t> </w:t>
      </w:r>
      <w:r>
        <w:rPr>
          <w:sz w:val="24"/>
        </w:rPr>
        <w:t>the</w:t>
      </w:r>
      <w:r>
        <w:rPr>
          <w:spacing w:val="-13"/>
          <w:sz w:val="24"/>
        </w:rPr>
        <w:t> </w:t>
      </w:r>
      <w:r>
        <w:rPr>
          <w:sz w:val="24"/>
        </w:rPr>
        <w:t>area may</w:t>
      </w:r>
      <w:r>
        <w:rPr>
          <w:spacing w:val="-17"/>
          <w:sz w:val="24"/>
        </w:rPr>
        <w:t> </w:t>
      </w:r>
      <w:r>
        <w:rPr>
          <w:sz w:val="24"/>
        </w:rPr>
        <w:t>be</w:t>
      </w:r>
      <w:r>
        <w:rPr>
          <w:spacing w:val="-16"/>
          <w:sz w:val="24"/>
        </w:rPr>
        <w:t> </w:t>
      </w:r>
      <w:r>
        <w:rPr>
          <w:sz w:val="24"/>
        </w:rPr>
        <w:t>further</w:t>
      </w:r>
      <w:r>
        <w:rPr>
          <w:spacing w:val="-16"/>
          <w:sz w:val="24"/>
        </w:rPr>
        <w:t> </w:t>
      </w:r>
      <w:r>
        <w:rPr>
          <w:sz w:val="24"/>
        </w:rPr>
        <w:t>subdivided</w:t>
      </w:r>
      <w:r>
        <w:rPr>
          <w:spacing w:val="-16"/>
          <w:sz w:val="24"/>
        </w:rPr>
        <w:t> </w:t>
      </w:r>
      <w:r>
        <w:rPr>
          <w:sz w:val="24"/>
        </w:rPr>
        <w:t>if</w:t>
      </w:r>
      <w:r>
        <w:rPr>
          <w:spacing w:val="-16"/>
          <w:sz w:val="24"/>
        </w:rPr>
        <w:t> </w:t>
      </w:r>
      <w:r>
        <w:rPr>
          <w:sz w:val="24"/>
        </w:rPr>
        <w:t>necessary</w:t>
      </w:r>
      <w:r>
        <w:rPr>
          <w:spacing w:val="-16"/>
          <w:sz w:val="24"/>
        </w:rPr>
        <w:t> </w:t>
      </w:r>
      <w:r>
        <w:rPr>
          <w:sz w:val="24"/>
        </w:rPr>
        <w:t>to</w:t>
      </w:r>
      <w:r>
        <w:rPr>
          <w:spacing w:val="-20"/>
          <w:sz w:val="24"/>
        </w:rPr>
        <w:t> </w:t>
      </w:r>
      <w:r>
        <w:rPr>
          <w:sz w:val="24"/>
        </w:rPr>
        <w:t>earmark</w:t>
      </w:r>
      <w:r>
        <w:rPr>
          <w:spacing w:val="-15"/>
          <w:sz w:val="24"/>
        </w:rPr>
        <w:t> </w:t>
      </w:r>
      <w:r>
        <w:rPr>
          <w:sz w:val="24"/>
        </w:rPr>
        <w:t>separate</w:t>
      </w:r>
      <w:r>
        <w:rPr>
          <w:spacing w:val="-16"/>
          <w:sz w:val="24"/>
        </w:rPr>
        <w:t> </w:t>
      </w:r>
      <w:r>
        <w:rPr>
          <w:sz w:val="24"/>
        </w:rPr>
        <w:t>plots</w:t>
      </w:r>
      <w:r>
        <w:rPr>
          <w:spacing w:val="-16"/>
          <w:sz w:val="24"/>
        </w:rPr>
        <w:t> </w:t>
      </w:r>
      <w:r>
        <w:rPr>
          <w:sz w:val="24"/>
        </w:rPr>
        <w:t>for</w:t>
      </w:r>
      <w:r>
        <w:rPr>
          <w:spacing w:val="-16"/>
          <w:sz w:val="24"/>
        </w:rPr>
        <w:t> </w:t>
      </w:r>
      <w:r>
        <w:rPr>
          <w:sz w:val="24"/>
        </w:rPr>
        <w:t>the rehab component and the free sale component. The Plot area and the built-up area in terms of square meters on the said plot shall be separately mentioned in the lease agreements and Record of Rights.</w:t>
      </w:r>
    </w:p>
    <w:p>
      <w:pPr>
        <w:pStyle w:val="ListParagraph"/>
        <w:numPr>
          <w:ilvl w:val="1"/>
          <w:numId w:val="187"/>
        </w:numPr>
        <w:tabs>
          <w:tab w:pos="2661" w:val="left" w:leader="none"/>
        </w:tabs>
        <w:spacing w:line="240" w:lineRule="auto" w:before="240" w:after="0"/>
        <w:ind w:left="2062" w:right="770" w:firstLine="0"/>
        <w:jc w:val="both"/>
        <w:rPr>
          <w:sz w:val="24"/>
        </w:rPr>
      </w:pPr>
      <w:r>
        <w:rPr>
          <w:sz w:val="24"/>
        </w:rPr>
        <w:t>The CTSO/SLR, of the district on payment of such fees as may be decided by the Govt. ensure that the City Survey sheet and property cards</w:t>
      </w:r>
      <w:r>
        <w:rPr>
          <w:spacing w:val="-9"/>
          <w:sz w:val="24"/>
        </w:rPr>
        <w:t> </w:t>
      </w:r>
      <w:r>
        <w:rPr>
          <w:sz w:val="24"/>
        </w:rPr>
        <w:t>are</w:t>
      </w:r>
      <w:r>
        <w:rPr>
          <w:spacing w:val="-9"/>
          <w:sz w:val="24"/>
        </w:rPr>
        <w:t> </w:t>
      </w:r>
      <w:r>
        <w:rPr>
          <w:sz w:val="24"/>
        </w:rPr>
        <w:t>corrected</w:t>
      </w:r>
      <w:r>
        <w:rPr>
          <w:spacing w:val="-9"/>
          <w:sz w:val="24"/>
        </w:rPr>
        <w:t> </w:t>
      </w:r>
      <w:r>
        <w:rPr>
          <w:sz w:val="24"/>
        </w:rPr>
        <w:t>accordingly</w:t>
      </w:r>
      <w:r>
        <w:rPr>
          <w:spacing w:val="-9"/>
          <w:sz w:val="24"/>
        </w:rPr>
        <w:t> </w:t>
      </w:r>
      <w:r>
        <w:rPr>
          <w:sz w:val="24"/>
        </w:rPr>
        <w:t>and</w:t>
      </w:r>
      <w:r>
        <w:rPr>
          <w:spacing w:val="-9"/>
          <w:sz w:val="24"/>
        </w:rPr>
        <w:t> </w:t>
      </w:r>
      <w:r>
        <w:rPr>
          <w:sz w:val="24"/>
        </w:rPr>
        <w:t>fresh</w:t>
      </w:r>
      <w:r>
        <w:rPr>
          <w:spacing w:val="-9"/>
          <w:sz w:val="24"/>
        </w:rPr>
        <w:t> </w:t>
      </w:r>
      <w:r>
        <w:rPr>
          <w:sz w:val="24"/>
        </w:rPr>
        <w:t>property</w:t>
      </w:r>
      <w:r>
        <w:rPr>
          <w:spacing w:val="-9"/>
          <w:sz w:val="24"/>
        </w:rPr>
        <w:t> </w:t>
      </w:r>
      <w:r>
        <w:rPr>
          <w:sz w:val="24"/>
        </w:rPr>
        <w:t>cards</w:t>
      </w:r>
      <w:r>
        <w:rPr>
          <w:spacing w:val="-9"/>
          <w:sz w:val="24"/>
        </w:rPr>
        <w:t> </w:t>
      </w:r>
      <w:r>
        <w:rPr>
          <w:sz w:val="24"/>
        </w:rPr>
        <w:t>are</w:t>
      </w:r>
      <w:r>
        <w:rPr>
          <w:spacing w:val="-9"/>
          <w:sz w:val="24"/>
        </w:rPr>
        <w:t> </w:t>
      </w:r>
      <w:r>
        <w:rPr>
          <w:sz w:val="24"/>
        </w:rPr>
        <w:t>opened</w:t>
      </w:r>
      <w:r>
        <w:rPr>
          <w:spacing w:val="-9"/>
          <w:sz w:val="24"/>
        </w:rPr>
        <w:t> </w:t>
      </w:r>
      <w:r>
        <w:rPr>
          <w:sz w:val="24"/>
        </w:rPr>
        <w:t>for each of the plots giving details regarding the area of the plots and the total area of the floors of the built-up property and TDR given that is, the FSI used on that plot.</w:t>
      </w:r>
    </w:p>
    <w:p>
      <w:pPr>
        <w:pStyle w:val="Heading5"/>
        <w:numPr>
          <w:ilvl w:val="0"/>
          <w:numId w:val="188"/>
        </w:numPr>
        <w:tabs>
          <w:tab w:pos="2872" w:val="left" w:leader="none"/>
        </w:tabs>
        <w:spacing w:line="240" w:lineRule="auto" w:before="240" w:after="0"/>
        <w:ind w:left="2872" w:right="0" w:hanging="810"/>
        <w:jc w:val="both"/>
        <w:rPr>
          <w:b w:val="0"/>
        </w:rPr>
      </w:pPr>
      <w:r>
        <w:rPr/>
        <w:t>Temporary</w:t>
      </w:r>
      <w:r>
        <w:rPr>
          <w:spacing w:val="43"/>
          <w:w w:val="150"/>
        </w:rPr>
        <w:t> </w:t>
      </w:r>
      <w:r>
        <w:rPr/>
        <w:t>Transit</w:t>
      </w:r>
      <w:r>
        <w:rPr>
          <w:spacing w:val="43"/>
          <w:w w:val="150"/>
        </w:rPr>
        <w:t> </w:t>
      </w:r>
      <w:r>
        <w:rPr>
          <w:spacing w:val="-2"/>
        </w:rPr>
        <w:t>Camps</w:t>
      </w:r>
      <w:r>
        <w:rPr>
          <w:b w:val="0"/>
          <w:spacing w:val="-2"/>
        </w:rPr>
        <w:t>:</w:t>
      </w:r>
    </w:p>
    <w:p>
      <w:pPr>
        <w:pStyle w:val="ListParagraph"/>
        <w:numPr>
          <w:ilvl w:val="1"/>
          <w:numId w:val="188"/>
        </w:numPr>
        <w:tabs>
          <w:tab w:pos="2571" w:val="left" w:leader="none"/>
        </w:tabs>
        <w:spacing w:line="240" w:lineRule="auto" w:before="239" w:after="0"/>
        <w:ind w:left="2062" w:right="768" w:firstLine="0"/>
        <w:jc w:val="both"/>
        <w:rPr>
          <w:sz w:val="24"/>
        </w:rPr>
      </w:pPr>
      <w:r>
        <w:rPr>
          <w:sz w:val="24"/>
        </w:rPr>
        <w:t>The multistoried temporary transit camp shall be provided on the site</w:t>
      </w:r>
      <w:r>
        <w:rPr>
          <w:spacing w:val="-10"/>
          <w:sz w:val="24"/>
        </w:rPr>
        <w:t> </w:t>
      </w:r>
      <w:r>
        <w:rPr>
          <w:sz w:val="24"/>
        </w:rPr>
        <w:t>itself</w:t>
      </w:r>
      <w:r>
        <w:rPr>
          <w:spacing w:val="-10"/>
          <w:sz w:val="24"/>
        </w:rPr>
        <w:t> </w:t>
      </w:r>
      <w:r>
        <w:rPr>
          <w:sz w:val="24"/>
        </w:rPr>
        <w:t>or</w:t>
      </w:r>
      <w:r>
        <w:rPr>
          <w:spacing w:val="-10"/>
          <w:sz w:val="24"/>
        </w:rPr>
        <w:t> </w:t>
      </w:r>
      <w:r>
        <w:rPr>
          <w:sz w:val="24"/>
        </w:rPr>
        <w:t>outside</w:t>
      </w:r>
      <w:r>
        <w:rPr>
          <w:spacing w:val="-10"/>
          <w:sz w:val="24"/>
        </w:rPr>
        <w:t> </w:t>
      </w:r>
      <w:r>
        <w:rPr>
          <w:sz w:val="24"/>
        </w:rPr>
        <w:t>the</w:t>
      </w:r>
      <w:r>
        <w:rPr>
          <w:spacing w:val="80"/>
          <w:sz w:val="24"/>
        </w:rPr>
        <w:t> </w:t>
      </w:r>
      <w:r>
        <w:rPr>
          <w:sz w:val="24"/>
        </w:rPr>
        <w:t>SRA</w:t>
      </w:r>
      <w:r>
        <w:rPr>
          <w:spacing w:val="-10"/>
          <w:sz w:val="24"/>
        </w:rPr>
        <w:t> </w:t>
      </w:r>
      <w:r>
        <w:rPr>
          <w:sz w:val="24"/>
        </w:rPr>
        <w:t>project</w:t>
      </w:r>
      <w:r>
        <w:rPr>
          <w:spacing w:val="-10"/>
          <w:sz w:val="24"/>
        </w:rPr>
        <w:t> </w:t>
      </w:r>
      <w:r>
        <w:rPr>
          <w:sz w:val="24"/>
        </w:rPr>
        <w:t>site</w:t>
      </w:r>
      <w:r>
        <w:rPr>
          <w:spacing w:val="-7"/>
          <w:sz w:val="24"/>
        </w:rPr>
        <w:t> </w:t>
      </w:r>
      <w:r>
        <w:rPr>
          <w:sz w:val="24"/>
        </w:rPr>
        <w:t>on</w:t>
      </w:r>
      <w:r>
        <w:rPr>
          <w:spacing w:val="-10"/>
          <w:sz w:val="24"/>
        </w:rPr>
        <w:t> </w:t>
      </w:r>
      <w:r>
        <w:rPr>
          <w:sz w:val="24"/>
        </w:rPr>
        <w:t>portion</w:t>
      </w:r>
      <w:r>
        <w:rPr>
          <w:spacing w:val="-10"/>
          <w:sz w:val="24"/>
        </w:rPr>
        <w:t> </w:t>
      </w:r>
      <w:r>
        <w:rPr>
          <w:sz w:val="24"/>
        </w:rPr>
        <w:t>of</w:t>
      </w:r>
      <w:r>
        <w:rPr>
          <w:spacing w:val="-10"/>
          <w:sz w:val="24"/>
        </w:rPr>
        <w:t> </w:t>
      </w:r>
      <w:r>
        <w:rPr>
          <w:sz w:val="24"/>
        </w:rPr>
        <w:t>plot</w:t>
      </w:r>
      <w:r>
        <w:rPr>
          <w:spacing w:val="-10"/>
          <w:sz w:val="24"/>
        </w:rPr>
        <w:t> </w:t>
      </w:r>
      <w:r>
        <w:rPr>
          <w:sz w:val="24"/>
        </w:rPr>
        <w:t>which</w:t>
      </w:r>
      <w:r>
        <w:rPr>
          <w:spacing w:val="-10"/>
          <w:sz w:val="24"/>
        </w:rPr>
        <w:t> </w:t>
      </w:r>
      <w:r>
        <w:rPr>
          <w:sz w:val="24"/>
        </w:rPr>
        <w:t>is</w:t>
      </w:r>
      <w:r>
        <w:rPr>
          <w:spacing w:val="-10"/>
          <w:sz w:val="24"/>
        </w:rPr>
        <w:t> </w:t>
      </w:r>
      <w:r>
        <w:rPr>
          <w:sz w:val="24"/>
        </w:rPr>
        <w:t>not designated/reserved</w:t>
      </w:r>
      <w:r>
        <w:rPr>
          <w:spacing w:val="-17"/>
          <w:sz w:val="24"/>
        </w:rPr>
        <w:t> </w:t>
      </w:r>
      <w:r>
        <w:rPr>
          <w:sz w:val="24"/>
        </w:rPr>
        <w:t>for</w:t>
      </w:r>
      <w:r>
        <w:rPr>
          <w:spacing w:val="-16"/>
          <w:sz w:val="24"/>
        </w:rPr>
        <w:t> </w:t>
      </w:r>
      <w:r>
        <w:rPr>
          <w:sz w:val="24"/>
        </w:rPr>
        <w:t>public</w:t>
      </w:r>
      <w:r>
        <w:rPr>
          <w:spacing w:val="-16"/>
          <w:sz w:val="24"/>
        </w:rPr>
        <w:t> </w:t>
      </w:r>
      <w:r>
        <w:rPr>
          <w:sz w:val="24"/>
        </w:rPr>
        <w:t>purpose</w:t>
      </w:r>
      <w:r>
        <w:rPr>
          <w:spacing w:val="-16"/>
          <w:sz w:val="24"/>
        </w:rPr>
        <w:t> </w:t>
      </w:r>
      <w:r>
        <w:rPr>
          <w:sz w:val="24"/>
        </w:rPr>
        <w:t>or</w:t>
      </w:r>
      <w:r>
        <w:rPr>
          <w:spacing w:val="-19"/>
          <w:sz w:val="24"/>
        </w:rPr>
        <w:t> </w:t>
      </w:r>
      <w:r>
        <w:rPr>
          <w:sz w:val="24"/>
        </w:rPr>
        <w:t>not</w:t>
      </w:r>
      <w:r>
        <w:rPr>
          <w:spacing w:val="-16"/>
          <w:sz w:val="24"/>
        </w:rPr>
        <w:t> </w:t>
      </w:r>
      <w:r>
        <w:rPr>
          <w:sz w:val="24"/>
        </w:rPr>
        <w:t>affected</w:t>
      </w:r>
      <w:r>
        <w:rPr>
          <w:spacing w:val="-16"/>
          <w:sz w:val="24"/>
        </w:rPr>
        <w:t> </w:t>
      </w:r>
      <w:r>
        <w:rPr>
          <w:sz w:val="24"/>
        </w:rPr>
        <w:t>by</w:t>
      </w:r>
      <w:r>
        <w:rPr>
          <w:spacing w:val="-16"/>
          <w:sz w:val="24"/>
        </w:rPr>
        <w:t> </w:t>
      </w:r>
      <w:r>
        <w:rPr>
          <w:sz w:val="24"/>
        </w:rPr>
        <w:t>road</w:t>
      </w:r>
      <w:r>
        <w:rPr>
          <w:spacing w:val="-20"/>
          <w:sz w:val="24"/>
        </w:rPr>
        <w:t> </w:t>
      </w:r>
      <w:r>
        <w:rPr>
          <w:sz w:val="24"/>
        </w:rPr>
        <w:t>widening and is preferably close to the site.</w:t>
      </w:r>
    </w:p>
    <w:p>
      <w:pPr>
        <w:pStyle w:val="ListParagraph"/>
        <w:numPr>
          <w:ilvl w:val="1"/>
          <w:numId w:val="188"/>
        </w:numPr>
        <w:tabs>
          <w:tab w:pos="2433" w:val="left" w:leader="none"/>
        </w:tabs>
        <w:spacing w:line="240" w:lineRule="auto" w:before="241" w:after="0"/>
        <w:ind w:left="2062" w:right="770" w:firstLine="0"/>
        <w:jc w:val="both"/>
        <w:rPr>
          <w:sz w:val="24"/>
        </w:rPr>
      </w:pPr>
      <w:r>
        <w:rPr>
          <w:sz w:val="24"/>
        </w:rPr>
        <w:t>The</w:t>
      </w:r>
      <w:r>
        <w:rPr>
          <w:spacing w:val="-11"/>
          <w:sz w:val="24"/>
        </w:rPr>
        <w:t> </w:t>
      </w:r>
      <w:r>
        <w:rPr>
          <w:sz w:val="24"/>
        </w:rPr>
        <w:t>eligible</w:t>
      </w:r>
      <w:r>
        <w:rPr>
          <w:spacing w:val="-11"/>
          <w:sz w:val="24"/>
        </w:rPr>
        <w:t> </w:t>
      </w:r>
      <w:r>
        <w:rPr>
          <w:sz w:val="24"/>
        </w:rPr>
        <w:t>slum</w:t>
      </w:r>
      <w:r>
        <w:rPr>
          <w:spacing w:val="-8"/>
          <w:sz w:val="24"/>
        </w:rPr>
        <w:t> </w:t>
      </w:r>
      <w:r>
        <w:rPr>
          <w:sz w:val="24"/>
        </w:rPr>
        <w:t>dwellers</w:t>
      </w:r>
      <w:r>
        <w:rPr>
          <w:spacing w:val="-11"/>
          <w:sz w:val="24"/>
        </w:rPr>
        <w:t> </w:t>
      </w:r>
      <w:r>
        <w:rPr>
          <w:sz w:val="24"/>
        </w:rPr>
        <w:t>shall</w:t>
      </w:r>
      <w:r>
        <w:rPr>
          <w:spacing w:val="-11"/>
          <w:sz w:val="24"/>
        </w:rPr>
        <w:t> </w:t>
      </w:r>
      <w:r>
        <w:rPr>
          <w:sz w:val="24"/>
        </w:rPr>
        <w:t>be</w:t>
      </w:r>
      <w:r>
        <w:rPr>
          <w:spacing w:val="-11"/>
          <w:sz w:val="24"/>
        </w:rPr>
        <w:t> </w:t>
      </w:r>
      <w:r>
        <w:rPr>
          <w:sz w:val="24"/>
        </w:rPr>
        <w:t>shifted</w:t>
      </w:r>
      <w:r>
        <w:rPr>
          <w:spacing w:val="-11"/>
          <w:sz w:val="24"/>
        </w:rPr>
        <w:t> </w:t>
      </w:r>
      <w:r>
        <w:rPr>
          <w:sz w:val="24"/>
        </w:rPr>
        <w:t>to</w:t>
      </w:r>
      <w:r>
        <w:rPr>
          <w:spacing w:val="-11"/>
          <w:sz w:val="24"/>
        </w:rPr>
        <w:t> </w:t>
      </w:r>
      <w:r>
        <w:rPr>
          <w:sz w:val="24"/>
        </w:rPr>
        <w:t>temporary</w:t>
      </w:r>
      <w:r>
        <w:rPr>
          <w:spacing w:val="-11"/>
          <w:sz w:val="24"/>
        </w:rPr>
        <w:t> </w:t>
      </w:r>
      <w:r>
        <w:rPr>
          <w:sz w:val="24"/>
        </w:rPr>
        <w:t>transit</w:t>
      </w:r>
      <w:r>
        <w:rPr>
          <w:spacing w:val="-11"/>
          <w:sz w:val="24"/>
        </w:rPr>
        <w:t> </w:t>
      </w:r>
      <w:r>
        <w:rPr>
          <w:sz w:val="24"/>
        </w:rPr>
        <w:t>camp or on rent as may be mutually decided between the proposed society and developer.</w:t>
      </w:r>
    </w:p>
    <w:p>
      <w:pPr>
        <w:pStyle w:val="ListParagraph"/>
        <w:numPr>
          <w:ilvl w:val="1"/>
          <w:numId w:val="188"/>
        </w:numPr>
        <w:tabs>
          <w:tab w:pos="2433" w:val="left" w:leader="none"/>
        </w:tabs>
        <w:spacing w:line="240" w:lineRule="auto" w:before="120" w:after="0"/>
        <w:ind w:left="2062" w:right="767" w:firstLine="0"/>
        <w:jc w:val="both"/>
        <w:rPr>
          <w:sz w:val="24"/>
        </w:rPr>
      </w:pPr>
      <w:r>
        <w:rPr>
          <w:sz w:val="24"/>
        </w:rPr>
        <w:t>The area of temporary transit tenements shall be excluded from the computation of FSI, but the safety of the structure shall be ensured by a</w:t>
      </w:r>
      <w:r>
        <w:rPr>
          <w:spacing w:val="-20"/>
          <w:sz w:val="24"/>
        </w:rPr>
        <w:t> </w:t>
      </w:r>
      <w:r>
        <w:rPr>
          <w:sz w:val="24"/>
        </w:rPr>
        <w:t>license</w:t>
      </w:r>
      <w:r>
        <w:rPr>
          <w:spacing w:val="-19"/>
          <w:sz w:val="24"/>
        </w:rPr>
        <w:t> </w:t>
      </w:r>
      <w:r>
        <w:rPr>
          <w:sz w:val="24"/>
        </w:rPr>
        <w:t>structural</w:t>
      </w:r>
      <w:r>
        <w:rPr>
          <w:spacing w:val="-19"/>
          <w:sz w:val="24"/>
        </w:rPr>
        <w:t> </w:t>
      </w:r>
      <w:r>
        <w:rPr>
          <w:sz w:val="24"/>
        </w:rPr>
        <w:t>consultants.</w:t>
      </w:r>
      <w:r>
        <w:rPr>
          <w:spacing w:val="-19"/>
          <w:sz w:val="24"/>
        </w:rPr>
        <w:t> </w:t>
      </w:r>
      <w:r>
        <w:rPr>
          <w:sz w:val="24"/>
        </w:rPr>
        <w:t>The</w:t>
      </w:r>
      <w:r>
        <w:rPr>
          <w:spacing w:val="-19"/>
          <w:sz w:val="24"/>
        </w:rPr>
        <w:t> </w:t>
      </w:r>
      <w:r>
        <w:rPr>
          <w:sz w:val="24"/>
        </w:rPr>
        <w:t>minimum</w:t>
      </w:r>
      <w:r>
        <w:rPr>
          <w:spacing w:val="-20"/>
          <w:sz w:val="24"/>
        </w:rPr>
        <w:t> </w:t>
      </w:r>
      <w:r>
        <w:rPr>
          <w:sz w:val="24"/>
        </w:rPr>
        <w:t>area</w:t>
      </w:r>
      <w:r>
        <w:rPr>
          <w:spacing w:val="-19"/>
          <w:sz w:val="24"/>
        </w:rPr>
        <w:t> </w:t>
      </w:r>
      <w:r>
        <w:rPr>
          <w:sz w:val="24"/>
        </w:rPr>
        <w:t>of</w:t>
      </w:r>
      <w:r>
        <w:rPr>
          <w:spacing w:val="-19"/>
          <w:sz w:val="24"/>
        </w:rPr>
        <w:t> </w:t>
      </w:r>
      <w:r>
        <w:rPr>
          <w:sz w:val="24"/>
        </w:rPr>
        <w:t>individual</w:t>
      </w:r>
      <w:r>
        <w:rPr>
          <w:spacing w:val="-19"/>
          <w:sz w:val="24"/>
        </w:rPr>
        <w:t> </w:t>
      </w:r>
      <w:r>
        <w:rPr>
          <w:sz w:val="24"/>
        </w:rPr>
        <w:t>transit tenement shall be 14.5 sq. m.</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1"/>
          <w:numId w:val="188"/>
        </w:numPr>
        <w:tabs>
          <w:tab w:pos="2433" w:val="left" w:leader="none"/>
        </w:tabs>
        <w:spacing w:line="240" w:lineRule="auto" w:before="249" w:after="0"/>
        <w:ind w:left="2062" w:right="770" w:firstLine="0"/>
        <w:jc w:val="both"/>
        <w:rPr>
          <w:sz w:val="24"/>
        </w:rPr>
      </w:pPr>
      <w:r>
        <w:rPr>
          <w:sz w:val="24"/>
        </w:rPr>
        <w:t>Such</w:t>
      </w:r>
      <w:r>
        <w:rPr>
          <w:spacing w:val="-19"/>
          <w:sz w:val="24"/>
        </w:rPr>
        <w:t> </w:t>
      </w:r>
      <w:r>
        <w:rPr>
          <w:sz w:val="24"/>
        </w:rPr>
        <w:t>building</w:t>
      </w:r>
      <w:r>
        <w:rPr>
          <w:spacing w:val="-19"/>
          <w:sz w:val="24"/>
        </w:rPr>
        <w:t> </w:t>
      </w:r>
      <w:r>
        <w:rPr>
          <w:sz w:val="24"/>
        </w:rPr>
        <w:t>permission</w:t>
      </w:r>
      <w:r>
        <w:rPr>
          <w:spacing w:val="-19"/>
          <w:sz w:val="24"/>
        </w:rPr>
        <w:t> </w:t>
      </w:r>
      <w:r>
        <w:rPr>
          <w:sz w:val="24"/>
        </w:rPr>
        <w:t>shall</w:t>
      </w:r>
      <w:r>
        <w:rPr>
          <w:spacing w:val="-19"/>
          <w:sz w:val="24"/>
        </w:rPr>
        <w:t> </w:t>
      </w:r>
      <w:r>
        <w:rPr>
          <w:sz w:val="24"/>
        </w:rPr>
        <w:t>be</w:t>
      </w:r>
      <w:r>
        <w:rPr>
          <w:spacing w:val="-19"/>
          <w:sz w:val="24"/>
        </w:rPr>
        <w:t> </w:t>
      </w:r>
      <w:r>
        <w:rPr>
          <w:sz w:val="24"/>
        </w:rPr>
        <w:t>given</w:t>
      </w:r>
      <w:r>
        <w:rPr>
          <w:spacing w:val="-19"/>
          <w:sz w:val="24"/>
        </w:rPr>
        <w:t> </w:t>
      </w:r>
      <w:r>
        <w:rPr>
          <w:sz w:val="24"/>
        </w:rPr>
        <w:t>within</w:t>
      </w:r>
      <w:r>
        <w:rPr>
          <w:spacing w:val="-19"/>
          <w:sz w:val="24"/>
        </w:rPr>
        <w:t> </w:t>
      </w:r>
      <w:r>
        <w:rPr>
          <w:sz w:val="24"/>
        </w:rPr>
        <w:t>15</w:t>
      </w:r>
      <w:r>
        <w:rPr>
          <w:spacing w:val="-19"/>
          <w:sz w:val="24"/>
        </w:rPr>
        <w:t> </w:t>
      </w:r>
      <w:r>
        <w:rPr>
          <w:sz w:val="24"/>
        </w:rPr>
        <w:t>days</w:t>
      </w:r>
      <w:r>
        <w:rPr>
          <w:spacing w:val="-19"/>
          <w:sz w:val="24"/>
        </w:rPr>
        <w:t> </w:t>
      </w:r>
      <w:r>
        <w:rPr>
          <w:sz w:val="24"/>
        </w:rPr>
        <w:t>from</w:t>
      </w:r>
      <w:r>
        <w:rPr>
          <w:spacing w:val="-19"/>
          <w:sz w:val="24"/>
        </w:rPr>
        <w:t> </w:t>
      </w:r>
      <w:r>
        <w:rPr>
          <w:sz w:val="24"/>
        </w:rPr>
        <w:t>the</w:t>
      </w:r>
      <w:r>
        <w:rPr>
          <w:spacing w:val="-19"/>
          <w:sz w:val="24"/>
        </w:rPr>
        <w:t> </w:t>
      </w:r>
      <w:r>
        <w:rPr>
          <w:sz w:val="24"/>
        </w:rPr>
        <w:t>date of application and after approval to the project by Slum Rehabilitation Authority, failing which it shall be deemed to be given.</w:t>
      </w:r>
    </w:p>
    <w:p>
      <w:pPr>
        <w:pStyle w:val="ListParagraph"/>
        <w:numPr>
          <w:ilvl w:val="1"/>
          <w:numId w:val="188"/>
        </w:numPr>
        <w:tabs>
          <w:tab w:pos="2779" w:val="left" w:leader="none"/>
        </w:tabs>
        <w:spacing w:line="240" w:lineRule="auto" w:before="122" w:after="0"/>
        <w:ind w:left="2062" w:right="767" w:firstLine="0"/>
        <w:jc w:val="both"/>
        <w:rPr>
          <w:sz w:val="24"/>
        </w:rPr>
      </w:pPr>
      <w:r>
        <w:rPr>
          <w:sz w:val="24"/>
        </w:rPr>
        <w:t>On any nearby vacant site without any reservation in the DP construction</w:t>
      </w:r>
      <w:r>
        <w:rPr>
          <w:spacing w:val="-14"/>
          <w:sz w:val="24"/>
        </w:rPr>
        <w:t> </w:t>
      </w:r>
      <w:r>
        <w:rPr>
          <w:sz w:val="24"/>
        </w:rPr>
        <w:t>of</w:t>
      </w:r>
      <w:r>
        <w:rPr>
          <w:spacing w:val="-14"/>
          <w:sz w:val="24"/>
        </w:rPr>
        <w:t> </w:t>
      </w:r>
      <w:r>
        <w:rPr>
          <w:sz w:val="24"/>
        </w:rPr>
        <w:t>temporary</w:t>
      </w:r>
      <w:r>
        <w:rPr>
          <w:spacing w:val="-14"/>
          <w:sz w:val="24"/>
        </w:rPr>
        <w:t> </w:t>
      </w:r>
      <w:r>
        <w:rPr>
          <w:sz w:val="24"/>
        </w:rPr>
        <w:t>transit</w:t>
      </w:r>
      <w:r>
        <w:rPr>
          <w:spacing w:val="-14"/>
          <w:sz w:val="24"/>
        </w:rPr>
        <w:t> </w:t>
      </w:r>
      <w:r>
        <w:rPr>
          <w:sz w:val="24"/>
        </w:rPr>
        <w:t>tenements</w:t>
      </w:r>
      <w:r>
        <w:rPr>
          <w:spacing w:val="-14"/>
          <w:sz w:val="24"/>
        </w:rPr>
        <w:t> </w:t>
      </w:r>
      <w:r>
        <w:rPr>
          <w:sz w:val="24"/>
        </w:rPr>
        <w:t>made</w:t>
      </w:r>
      <w:r>
        <w:rPr>
          <w:spacing w:val="-14"/>
          <w:sz w:val="24"/>
        </w:rPr>
        <w:t> </w:t>
      </w:r>
      <w:r>
        <w:rPr>
          <w:sz w:val="24"/>
        </w:rPr>
        <w:t>of</w:t>
      </w:r>
      <w:r>
        <w:rPr>
          <w:spacing w:val="-14"/>
          <w:sz w:val="24"/>
        </w:rPr>
        <w:t> </w:t>
      </w:r>
      <w:r>
        <w:rPr>
          <w:sz w:val="24"/>
        </w:rPr>
        <w:t>light</w:t>
      </w:r>
      <w:r>
        <w:rPr>
          <w:spacing w:val="-16"/>
          <w:sz w:val="24"/>
        </w:rPr>
        <w:t> </w:t>
      </w:r>
      <w:r>
        <w:rPr>
          <w:sz w:val="24"/>
        </w:rPr>
        <w:t>material</w:t>
      </w:r>
      <w:r>
        <w:rPr>
          <w:spacing w:val="-14"/>
          <w:sz w:val="24"/>
        </w:rPr>
        <w:t> </w:t>
      </w:r>
      <w:r>
        <w:rPr>
          <w:sz w:val="24"/>
        </w:rPr>
        <w:t>with the consent of the land-owners, shall be</w:t>
      </w:r>
      <w:r>
        <w:rPr>
          <w:spacing w:val="-1"/>
          <w:sz w:val="24"/>
        </w:rPr>
        <w:t> </w:t>
      </w:r>
      <w:r>
        <w:rPr>
          <w:sz w:val="24"/>
        </w:rPr>
        <w:t>allowed uptoan FSI of 4.0 and this</w:t>
      </w:r>
      <w:r>
        <w:rPr>
          <w:spacing w:val="-20"/>
          <w:sz w:val="24"/>
        </w:rPr>
        <w:t> </w:t>
      </w:r>
      <w:r>
        <w:rPr>
          <w:sz w:val="24"/>
        </w:rPr>
        <w:t>shall</w:t>
      </w:r>
      <w:r>
        <w:rPr>
          <w:spacing w:val="-19"/>
          <w:sz w:val="24"/>
        </w:rPr>
        <w:t> </w:t>
      </w:r>
      <w:r>
        <w:rPr>
          <w:sz w:val="24"/>
        </w:rPr>
        <w:t>be</w:t>
      </w:r>
      <w:r>
        <w:rPr>
          <w:spacing w:val="-19"/>
          <w:sz w:val="24"/>
        </w:rPr>
        <w:t> </w:t>
      </w:r>
      <w:r>
        <w:rPr>
          <w:sz w:val="24"/>
        </w:rPr>
        <w:t>applicable</w:t>
      </w:r>
      <w:r>
        <w:rPr>
          <w:spacing w:val="-19"/>
          <w:sz w:val="24"/>
        </w:rPr>
        <w:t> </w:t>
      </w:r>
      <w:r>
        <w:rPr>
          <w:sz w:val="24"/>
        </w:rPr>
        <w:t>in</w:t>
      </w:r>
      <w:r>
        <w:rPr>
          <w:spacing w:val="-19"/>
          <w:sz w:val="24"/>
        </w:rPr>
        <w:t> </w:t>
      </w:r>
      <w:r>
        <w:rPr>
          <w:sz w:val="24"/>
        </w:rPr>
        <w:t>Island</w:t>
      </w:r>
      <w:r>
        <w:rPr>
          <w:spacing w:val="-20"/>
          <w:sz w:val="24"/>
        </w:rPr>
        <w:t> </w:t>
      </w:r>
      <w:r>
        <w:rPr>
          <w:sz w:val="24"/>
        </w:rPr>
        <w:t>City</w:t>
      </w:r>
      <w:r>
        <w:rPr>
          <w:spacing w:val="-19"/>
          <w:sz w:val="24"/>
        </w:rPr>
        <w:t> </w:t>
      </w:r>
      <w:r>
        <w:rPr>
          <w:sz w:val="24"/>
        </w:rPr>
        <w:t>as</w:t>
      </w:r>
      <w:r>
        <w:rPr>
          <w:spacing w:val="-19"/>
          <w:sz w:val="24"/>
        </w:rPr>
        <w:t> </w:t>
      </w:r>
      <w:r>
        <w:rPr>
          <w:sz w:val="24"/>
        </w:rPr>
        <w:t>well</w:t>
      </w:r>
      <w:r>
        <w:rPr>
          <w:spacing w:val="-19"/>
          <w:sz w:val="24"/>
        </w:rPr>
        <w:t> </w:t>
      </w:r>
      <w:r>
        <w:rPr>
          <w:sz w:val="24"/>
        </w:rPr>
        <w:t>as</w:t>
      </w:r>
      <w:r>
        <w:rPr>
          <w:spacing w:val="-19"/>
          <w:sz w:val="24"/>
        </w:rPr>
        <w:t> </w:t>
      </w:r>
      <w:r>
        <w:rPr>
          <w:sz w:val="24"/>
        </w:rPr>
        <w:t>in</w:t>
      </w:r>
      <w:r>
        <w:rPr>
          <w:spacing w:val="-20"/>
          <w:sz w:val="24"/>
        </w:rPr>
        <w:t> </w:t>
      </w:r>
      <w:r>
        <w:rPr>
          <w:sz w:val="24"/>
        </w:rPr>
        <w:t>suburbs</w:t>
      </w:r>
      <w:r>
        <w:rPr>
          <w:spacing w:val="-19"/>
          <w:sz w:val="24"/>
        </w:rPr>
        <w:t> </w:t>
      </w:r>
      <w:r>
        <w:rPr>
          <w:sz w:val="24"/>
        </w:rPr>
        <w:t>and</w:t>
      </w:r>
      <w:r>
        <w:rPr>
          <w:spacing w:val="-19"/>
          <w:sz w:val="24"/>
        </w:rPr>
        <w:t> </w:t>
      </w:r>
      <w:r>
        <w:rPr>
          <w:sz w:val="24"/>
        </w:rPr>
        <w:t>extended suburbs. Temporary shall mean made of detachable material such as tubular/prefabricated light structures.</w:t>
      </w:r>
    </w:p>
    <w:p>
      <w:pPr>
        <w:pStyle w:val="ListParagraph"/>
        <w:numPr>
          <w:ilvl w:val="1"/>
          <w:numId w:val="188"/>
        </w:numPr>
        <w:tabs>
          <w:tab w:pos="2522" w:val="left" w:leader="none"/>
        </w:tabs>
        <w:spacing w:line="240" w:lineRule="auto" w:before="119" w:after="0"/>
        <w:ind w:left="2062" w:right="769" w:firstLine="0"/>
        <w:jc w:val="both"/>
        <w:rPr>
          <w:sz w:val="24"/>
        </w:rPr>
      </w:pPr>
      <w:r>
        <w:rPr>
          <w:sz w:val="24"/>
        </w:rPr>
        <w:t>In all such cases where the temporary transit camp is erected, the condition shall be that the structures shall be demolished by the Developer/Society/NGO within 30 days of granting Occupation Certificate to the rehab buildings and the site should be brought back to the original state. Till the transit camps are fully demolished, development rights for the free sale area shall not be permitted to be used beyond 75% of the total admissible free sale area permissible under this Regulation.</w:t>
      </w:r>
    </w:p>
    <w:p>
      <w:pPr>
        <w:pStyle w:val="Heading5"/>
        <w:numPr>
          <w:ilvl w:val="0"/>
          <w:numId w:val="189"/>
        </w:numPr>
        <w:tabs>
          <w:tab w:pos="2433" w:val="left" w:leader="none"/>
        </w:tabs>
        <w:spacing w:line="237" w:lineRule="auto" w:before="123" w:after="0"/>
        <w:ind w:left="2062" w:right="780" w:firstLine="0"/>
        <w:jc w:val="both"/>
        <w:rPr>
          <w:b w:val="0"/>
        </w:rPr>
      </w:pPr>
      <w:r>
        <w:rPr/>
        <w:t>Commercial</w:t>
      </w:r>
      <w:r>
        <w:rPr>
          <w:spacing w:val="40"/>
        </w:rPr>
        <w:t> </w:t>
      </w:r>
      <w:r>
        <w:rPr/>
        <w:t>/</w:t>
      </w:r>
      <w:r>
        <w:rPr>
          <w:spacing w:val="40"/>
        </w:rPr>
        <w:t> </w:t>
      </w:r>
      <w:r>
        <w:rPr/>
        <w:t>Office</w:t>
      </w:r>
      <w:r>
        <w:rPr>
          <w:spacing w:val="40"/>
        </w:rPr>
        <w:t> </w:t>
      </w:r>
      <w:r>
        <w:rPr/>
        <w:t>/</w:t>
      </w:r>
      <w:r>
        <w:rPr>
          <w:spacing w:val="40"/>
        </w:rPr>
        <w:t> </w:t>
      </w:r>
      <w:r>
        <w:rPr/>
        <w:t>Shop</w:t>
      </w:r>
      <w:r>
        <w:rPr>
          <w:spacing w:val="40"/>
        </w:rPr>
        <w:t> </w:t>
      </w:r>
      <w:r>
        <w:rPr/>
        <w:t>/</w:t>
      </w:r>
      <w:r>
        <w:rPr>
          <w:spacing w:val="40"/>
        </w:rPr>
        <w:t> </w:t>
      </w:r>
      <w:r>
        <w:rPr/>
        <w:t>Economic</w:t>
      </w:r>
      <w:r>
        <w:rPr>
          <w:spacing w:val="40"/>
        </w:rPr>
        <w:t> </w:t>
      </w:r>
      <w:r>
        <w:rPr/>
        <w:t>Activity</w:t>
      </w:r>
      <w:r>
        <w:rPr>
          <w:spacing w:val="40"/>
        </w:rPr>
        <w:t> </w:t>
      </w:r>
      <w:r>
        <w:rPr/>
        <w:t>Free</w:t>
      </w:r>
      <w:r>
        <w:rPr>
          <w:spacing w:val="40"/>
        </w:rPr>
        <w:t> </w:t>
      </w:r>
      <w:r>
        <w:rPr/>
        <w:t>of </w:t>
      </w:r>
      <w:r>
        <w:rPr>
          <w:spacing w:val="-2"/>
        </w:rPr>
        <w:t>Cost</w:t>
      </w:r>
      <w:r>
        <w:rPr>
          <w:i/>
          <w:spacing w:val="-2"/>
        </w:rPr>
        <w:t>:</w:t>
      </w:r>
    </w:p>
    <w:p>
      <w:pPr>
        <w:pStyle w:val="ListParagraph"/>
        <w:numPr>
          <w:ilvl w:val="1"/>
          <w:numId w:val="189"/>
        </w:numPr>
        <w:tabs>
          <w:tab w:pos="2684" w:val="left" w:leader="none"/>
        </w:tabs>
        <w:spacing w:line="240" w:lineRule="auto" w:before="124" w:after="0"/>
        <w:ind w:left="2062" w:right="767" w:firstLine="0"/>
        <w:jc w:val="both"/>
        <w:rPr>
          <w:sz w:val="24"/>
        </w:rPr>
      </w:pPr>
      <w:r>
        <w:rPr>
          <w:sz w:val="24"/>
        </w:rPr>
        <w:t>The eligible existing area under commercial/office/economic activity shall be computed on actual measurement/inspection, and/or on</w:t>
      </w:r>
      <w:r>
        <w:rPr>
          <w:spacing w:val="-10"/>
          <w:sz w:val="24"/>
        </w:rPr>
        <w:t> </w:t>
      </w:r>
      <w:r>
        <w:rPr>
          <w:sz w:val="24"/>
        </w:rPr>
        <w:t>the</w:t>
      </w:r>
      <w:r>
        <w:rPr>
          <w:spacing w:val="-10"/>
          <w:sz w:val="24"/>
        </w:rPr>
        <w:t> </w:t>
      </w:r>
      <w:r>
        <w:rPr>
          <w:sz w:val="24"/>
        </w:rPr>
        <w:t>basis</w:t>
      </w:r>
      <w:r>
        <w:rPr>
          <w:spacing w:val="-10"/>
          <w:sz w:val="24"/>
        </w:rPr>
        <w:t> </w:t>
      </w:r>
      <w:r>
        <w:rPr>
          <w:sz w:val="24"/>
        </w:rPr>
        <w:t>of</w:t>
      </w:r>
      <w:r>
        <w:rPr>
          <w:spacing w:val="-10"/>
          <w:sz w:val="24"/>
        </w:rPr>
        <w:t> </w:t>
      </w:r>
      <w:r>
        <w:rPr>
          <w:sz w:val="24"/>
        </w:rPr>
        <w:t>official</w:t>
      </w:r>
      <w:r>
        <w:rPr>
          <w:spacing w:val="-10"/>
          <w:sz w:val="24"/>
        </w:rPr>
        <w:t> </w:t>
      </w:r>
      <w:r>
        <w:rPr>
          <w:sz w:val="24"/>
        </w:rPr>
        <w:t>documents</w:t>
      </w:r>
      <w:r>
        <w:rPr>
          <w:spacing w:val="-10"/>
          <w:sz w:val="24"/>
        </w:rPr>
        <w:t> </w:t>
      </w:r>
      <w:r>
        <w:rPr>
          <w:sz w:val="24"/>
        </w:rPr>
        <w:t>such</w:t>
      </w:r>
      <w:r>
        <w:rPr>
          <w:spacing w:val="-10"/>
          <w:sz w:val="24"/>
        </w:rPr>
        <w:t> </w:t>
      </w:r>
      <w:r>
        <w:rPr>
          <w:sz w:val="24"/>
        </w:rPr>
        <w:t>as</w:t>
      </w:r>
      <w:r>
        <w:rPr>
          <w:spacing w:val="-10"/>
          <w:sz w:val="24"/>
        </w:rPr>
        <w:t> </w:t>
      </w:r>
      <w:r>
        <w:rPr>
          <w:sz w:val="24"/>
        </w:rPr>
        <w:t>License</w:t>
      </w:r>
      <w:r>
        <w:rPr>
          <w:spacing w:val="-10"/>
          <w:sz w:val="24"/>
        </w:rPr>
        <w:t> </w:t>
      </w:r>
      <w:r>
        <w:rPr>
          <w:sz w:val="24"/>
        </w:rPr>
        <w:t>under</w:t>
      </w:r>
      <w:r>
        <w:rPr>
          <w:spacing w:val="-10"/>
          <w:sz w:val="24"/>
        </w:rPr>
        <w:t> </w:t>
      </w:r>
      <w:r>
        <w:rPr>
          <w:sz w:val="24"/>
        </w:rPr>
        <w:t>the</w:t>
      </w:r>
      <w:r>
        <w:rPr>
          <w:spacing w:val="-7"/>
          <w:sz w:val="24"/>
        </w:rPr>
        <w:t> </w:t>
      </w:r>
      <w:r>
        <w:rPr>
          <w:sz w:val="24"/>
        </w:rPr>
        <w:t>Shops</w:t>
      </w:r>
      <w:r>
        <w:rPr>
          <w:spacing w:val="-10"/>
          <w:sz w:val="24"/>
        </w:rPr>
        <w:t> </w:t>
      </w:r>
      <w:r>
        <w:rPr>
          <w:sz w:val="24"/>
        </w:rPr>
        <w:t>and Establishment Act, Electricity bills, Photo pass etc.</w:t>
      </w:r>
    </w:p>
    <w:p>
      <w:pPr>
        <w:pStyle w:val="ListParagraph"/>
        <w:numPr>
          <w:ilvl w:val="1"/>
          <w:numId w:val="189"/>
        </w:numPr>
        <w:tabs>
          <w:tab w:pos="2779" w:val="left" w:leader="none"/>
        </w:tabs>
        <w:spacing w:line="240" w:lineRule="auto" w:before="119" w:after="0"/>
        <w:ind w:left="2062" w:right="766" w:firstLine="0"/>
        <w:jc w:val="both"/>
        <w:rPr>
          <w:sz w:val="24"/>
        </w:rPr>
      </w:pPr>
      <w:r>
        <w:rPr>
          <w:sz w:val="24"/>
        </w:rPr>
        <w:t>In the rehabilitation component, the BUA for commercial/office/shop/economic</w:t>
      </w:r>
      <w:r>
        <w:rPr>
          <w:spacing w:val="-13"/>
          <w:sz w:val="24"/>
        </w:rPr>
        <w:t> </w:t>
      </w:r>
      <w:r>
        <w:rPr>
          <w:sz w:val="24"/>
        </w:rPr>
        <w:t>activity</w:t>
      </w:r>
      <w:r>
        <w:rPr>
          <w:spacing w:val="-13"/>
          <w:sz w:val="24"/>
        </w:rPr>
        <w:t> </w:t>
      </w:r>
      <w:r>
        <w:rPr>
          <w:sz w:val="24"/>
        </w:rPr>
        <w:t>that</w:t>
      </w:r>
      <w:r>
        <w:rPr>
          <w:spacing w:val="-13"/>
          <w:sz w:val="24"/>
        </w:rPr>
        <w:t> </w:t>
      </w:r>
      <w:r>
        <w:rPr>
          <w:sz w:val="24"/>
        </w:rPr>
        <w:t>existed</w:t>
      </w:r>
      <w:r>
        <w:rPr>
          <w:spacing w:val="-13"/>
          <w:sz w:val="24"/>
        </w:rPr>
        <w:t> </w:t>
      </w:r>
      <w:r>
        <w:rPr>
          <w:sz w:val="24"/>
        </w:rPr>
        <w:t>prior</w:t>
      </w:r>
      <w:r>
        <w:rPr>
          <w:spacing w:val="-15"/>
          <w:sz w:val="24"/>
        </w:rPr>
        <w:t> </w:t>
      </w:r>
      <w:r>
        <w:rPr>
          <w:sz w:val="24"/>
        </w:rPr>
        <w:t>to</w:t>
      </w:r>
      <w:r>
        <w:rPr>
          <w:spacing w:val="-12"/>
          <w:sz w:val="24"/>
        </w:rPr>
        <w:t> </w:t>
      </w:r>
      <w:r>
        <w:rPr>
          <w:sz w:val="24"/>
        </w:rPr>
        <w:t>the</w:t>
      </w:r>
      <w:r>
        <w:rPr>
          <w:spacing w:val="-13"/>
          <w:sz w:val="24"/>
        </w:rPr>
        <w:t> </w:t>
      </w:r>
      <w:r>
        <w:rPr>
          <w:sz w:val="24"/>
        </w:rPr>
        <w:t>date as decided by the Govt.subject to the provisions in the sub-regulation below, shall be given. Where a person has both residential and commercial premises without common wall between residential and commercial premises, for commercial/office/shop/economic activity in the slum/ pavement, he shall be considered eligible for a residential/Commercial unit including BUA for commercial/office/shop/economic</w:t>
      </w:r>
      <w:r>
        <w:rPr>
          <w:spacing w:val="-4"/>
          <w:sz w:val="24"/>
        </w:rPr>
        <w:t> </w:t>
      </w:r>
      <w:r>
        <w:rPr>
          <w:sz w:val="24"/>
        </w:rPr>
        <w:t>activity,</w:t>
      </w:r>
      <w:r>
        <w:rPr>
          <w:spacing w:val="-4"/>
          <w:sz w:val="24"/>
        </w:rPr>
        <w:t> </w:t>
      </w:r>
      <w:r>
        <w:rPr>
          <w:sz w:val="24"/>
        </w:rPr>
        <w:t>both</w:t>
      </w:r>
      <w:r>
        <w:rPr>
          <w:spacing w:val="-4"/>
          <w:sz w:val="24"/>
        </w:rPr>
        <w:t> </w:t>
      </w:r>
      <w:r>
        <w:rPr>
          <w:sz w:val="24"/>
        </w:rPr>
        <w:t>free</w:t>
      </w:r>
      <w:r>
        <w:rPr>
          <w:spacing w:val="-4"/>
          <w:sz w:val="24"/>
        </w:rPr>
        <w:t> </w:t>
      </w:r>
      <w:r>
        <w:rPr>
          <w:sz w:val="24"/>
        </w:rPr>
        <w:t>of</w:t>
      </w:r>
      <w:r>
        <w:rPr>
          <w:spacing w:val="-4"/>
          <w:sz w:val="24"/>
        </w:rPr>
        <w:t> </w:t>
      </w:r>
      <w:r>
        <w:rPr>
          <w:sz w:val="24"/>
        </w:rPr>
        <w:t>cost</w:t>
      </w:r>
      <w:r>
        <w:rPr>
          <w:spacing w:val="-2"/>
          <w:sz w:val="24"/>
        </w:rPr>
        <w:t> </w:t>
      </w:r>
      <w:r>
        <w:rPr>
          <w:sz w:val="24"/>
        </w:rPr>
        <w:t>and</w:t>
      </w:r>
      <w:r>
        <w:rPr>
          <w:spacing w:val="-4"/>
          <w:sz w:val="24"/>
        </w:rPr>
        <w:t> </w:t>
      </w:r>
      <w:r>
        <w:rPr>
          <w:sz w:val="24"/>
        </w:rPr>
        <w:t>carpet area of such unit shall not exceed</w:t>
      </w:r>
      <w:r>
        <w:rPr>
          <w:spacing w:val="80"/>
          <w:sz w:val="24"/>
        </w:rPr>
        <w:t> </w:t>
      </w:r>
      <w:r>
        <w:rPr>
          <w:sz w:val="24"/>
        </w:rPr>
        <w:t>27.88</w:t>
      </w:r>
      <w:r>
        <w:rPr>
          <w:spacing w:val="80"/>
          <w:w w:val="150"/>
          <w:sz w:val="24"/>
        </w:rPr>
        <w:t> </w:t>
      </w:r>
      <w:r>
        <w:rPr>
          <w:sz w:val="24"/>
        </w:rPr>
        <w:t>sq. m.</w:t>
      </w:r>
    </w:p>
    <w:p>
      <w:pPr>
        <w:pStyle w:val="ListParagraph"/>
        <w:numPr>
          <w:ilvl w:val="1"/>
          <w:numId w:val="189"/>
        </w:numPr>
        <w:tabs>
          <w:tab w:pos="2779" w:val="left" w:leader="none"/>
        </w:tabs>
        <w:spacing w:line="240" w:lineRule="auto" w:before="121" w:after="0"/>
        <w:ind w:left="2062" w:right="766" w:firstLine="0"/>
        <w:jc w:val="both"/>
        <w:rPr>
          <w:sz w:val="24"/>
        </w:rPr>
      </w:pPr>
      <w:r>
        <w:rPr>
          <w:sz w:val="24"/>
        </w:rPr>
        <w:t>BUA for commercial/office/shop/economic activity upto 20.90 sq.</w:t>
      </w:r>
      <w:r>
        <w:rPr>
          <w:spacing w:val="-3"/>
          <w:sz w:val="24"/>
        </w:rPr>
        <w:t> </w:t>
      </w:r>
      <w:r>
        <w:rPr>
          <w:sz w:val="24"/>
        </w:rPr>
        <w:t>m.</w:t>
      </w:r>
      <w:r>
        <w:rPr>
          <w:spacing w:val="-3"/>
          <w:sz w:val="24"/>
        </w:rPr>
        <w:t> </w:t>
      </w:r>
      <w:r>
        <w:rPr>
          <w:sz w:val="24"/>
        </w:rPr>
        <w:t>(225</w:t>
      </w:r>
      <w:r>
        <w:rPr>
          <w:spacing w:val="-3"/>
          <w:sz w:val="24"/>
        </w:rPr>
        <w:t> </w:t>
      </w:r>
      <w:r>
        <w:rPr>
          <w:sz w:val="24"/>
        </w:rPr>
        <w:t>sq.</w:t>
      </w:r>
      <w:r>
        <w:rPr>
          <w:spacing w:val="-3"/>
          <w:sz w:val="24"/>
        </w:rPr>
        <w:t> </w:t>
      </w:r>
      <w:r>
        <w:rPr>
          <w:sz w:val="24"/>
        </w:rPr>
        <w:t>ft.)</w:t>
      </w:r>
      <w:r>
        <w:rPr>
          <w:spacing w:val="-3"/>
          <w:sz w:val="24"/>
        </w:rPr>
        <w:t> </w:t>
      </w:r>
      <w:r>
        <w:rPr>
          <w:sz w:val="24"/>
        </w:rPr>
        <w:t>carpet</w:t>
      </w:r>
      <w:r>
        <w:rPr>
          <w:spacing w:val="-3"/>
          <w:sz w:val="24"/>
        </w:rPr>
        <w:t> </w:t>
      </w:r>
      <w:r>
        <w:rPr>
          <w:sz w:val="24"/>
        </w:rPr>
        <w:t>area</w:t>
      </w:r>
      <w:r>
        <w:rPr>
          <w:spacing w:val="-3"/>
          <w:sz w:val="24"/>
        </w:rPr>
        <w:t> </w:t>
      </w:r>
      <w:r>
        <w:rPr>
          <w:sz w:val="24"/>
        </w:rPr>
        <w:t>or</w:t>
      </w:r>
      <w:r>
        <w:rPr>
          <w:spacing w:val="-3"/>
          <w:sz w:val="24"/>
        </w:rPr>
        <w:t> </w:t>
      </w:r>
      <w:r>
        <w:rPr>
          <w:sz w:val="24"/>
        </w:rPr>
        <w:t>actual</w:t>
      </w:r>
      <w:r>
        <w:rPr>
          <w:spacing w:val="-3"/>
          <w:sz w:val="24"/>
        </w:rPr>
        <w:t> </w:t>
      </w:r>
      <w:r>
        <w:rPr>
          <w:sz w:val="24"/>
        </w:rPr>
        <w:t>area</w:t>
      </w:r>
      <w:r>
        <w:rPr>
          <w:spacing w:val="-3"/>
          <w:sz w:val="24"/>
        </w:rPr>
        <w:t> </w:t>
      </w:r>
      <w:r>
        <w:rPr>
          <w:sz w:val="24"/>
        </w:rPr>
        <w:t>whichever</w:t>
      </w:r>
      <w:r>
        <w:rPr>
          <w:spacing w:val="-3"/>
          <w:sz w:val="24"/>
        </w:rPr>
        <w:t> </w:t>
      </w:r>
      <w:r>
        <w:rPr>
          <w:sz w:val="24"/>
        </w:rPr>
        <w:t>is</w:t>
      </w:r>
      <w:r>
        <w:rPr>
          <w:spacing w:val="-3"/>
          <w:sz w:val="24"/>
        </w:rPr>
        <w:t> </w:t>
      </w:r>
      <w:r>
        <w:rPr>
          <w:sz w:val="24"/>
        </w:rPr>
        <w:t>less,</w:t>
      </w:r>
      <w:r>
        <w:rPr>
          <w:spacing w:val="-3"/>
          <w:sz w:val="24"/>
        </w:rPr>
        <w:t> </w:t>
      </w:r>
      <w:r>
        <w:rPr>
          <w:sz w:val="24"/>
        </w:rPr>
        <w:t>shall</w:t>
      </w:r>
      <w:r>
        <w:rPr>
          <w:spacing w:val="-3"/>
          <w:sz w:val="24"/>
        </w:rPr>
        <w:t> </w:t>
      </w:r>
      <w:r>
        <w:rPr>
          <w:sz w:val="24"/>
        </w:rPr>
        <w:t>be provided to the eligible person free of cost as part of the rehabilitation project. Any area in excess of 20.90 sq. m to the extent of existing area may,</w:t>
      </w:r>
      <w:r>
        <w:rPr>
          <w:spacing w:val="-10"/>
          <w:sz w:val="24"/>
        </w:rPr>
        <w:t> </w:t>
      </w:r>
      <w:r>
        <w:rPr>
          <w:sz w:val="24"/>
        </w:rPr>
        <w:t>if</w:t>
      </w:r>
      <w:r>
        <w:rPr>
          <w:spacing w:val="-10"/>
          <w:sz w:val="24"/>
        </w:rPr>
        <w:t> </w:t>
      </w:r>
      <w:r>
        <w:rPr>
          <w:sz w:val="24"/>
        </w:rPr>
        <w:t>required,</w:t>
      </w:r>
      <w:r>
        <w:rPr>
          <w:spacing w:val="-10"/>
          <w:sz w:val="24"/>
        </w:rPr>
        <w:t> </w:t>
      </w:r>
      <w:r>
        <w:rPr>
          <w:sz w:val="24"/>
        </w:rPr>
        <w:t>be</w:t>
      </w:r>
      <w:r>
        <w:rPr>
          <w:spacing w:val="-8"/>
          <w:sz w:val="24"/>
        </w:rPr>
        <w:t> </w:t>
      </w:r>
      <w:r>
        <w:rPr>
          <w:sz w:val="24"/>
        </w:rPr>
        <w:t>sold</w:t>
      </w:r>
      <w:r>
        <w:rPr>
          <w:spacing w:val="-10"/>
          <w:sz w:val="24"/>
        </w:rPr>
        <w:t> </w:t>
      </w:r>
      <w:r>
        <w:rPr>
          <w:sz w:val="24"/>
        </w:rPr>
        <w:t>on</w:t>
      </w:r>
      <w:r>
        <w:rPr>
          <w:spacing w:val="-10"/>
          <w:sz w:val="24"/>
        </w:rPr>
        <w:t> </w:t>
      </w:r>
      <w:r>
        <w:rPr>
          <w:sz w:val="24"/>
        </w:rPr>
        <w:t>preferential</w:t>
      </w:r>
      <w:r>
        <w:rPr>
          <w:spacing w:val="-8"/>
          <w:sz w:val="24"/>
        </w:rPr>
        <w:t> </w:t>
      </w:r>
      <w:r>
        <w:rPr>
          <w:sz w:val="24"/>
        </w:rPr>
        <w:t>basis</w:t>
      </w:r>
      <w:r>
        <w:rPr>
          <w:spacing w:val="-10"/>
          <w:sz w:val="24"/>
        </w:rPr>
        <w:t> </w:t>
      </w:r>
      <w:r>
        <w:rPr>
          <w:sz w:val="24"/>
        </w:rPr>
        <w:t>at</w:t>
      </w:r>
      <w:r>
        <w:rPr>
          <w:spacing w:val="-10"/>
          <w:sz w:val="24"/>
        </w:rPr>
        <w:t> </w:t>
      </w:r>
      <w:r>
        <w:rPr>
          <w:sz w:val="24"/>
        </w:rPr>
        <w:t>the</w:t>
      </w:r>
      <w:r>
        <w:rPr>
          <w:spacing w:val="-10"/>
          <w:sz w:val="24"/>
        </w:rPr>
        <w:t> </w:t>
      </w:r>
      <w:r>
        <w:rPr>
          <w:sz w:val="24"/>
        </w:rPr>
        <w:t>rate</w:t>
      </w:r>
      <w:r>
        <w:rPr>
          <w:spacing w:val="-10"/>
          <w:sz w:val="24"/>
        </w:rPr>
        <w:t> </w:t>
      </w:r>
      <w:r>
        <w:rPr>
          <w:sz w:val="24"/>
        </w:rPr>
        <w:t>for</w:t>
      </w:r>
      <w:r>
        <w:rPr>
          <w:spacing w:val="-8"/>
          <w:sz w:val="24"/>
        </w:rPr>
        <w:t> </w:t>
      </w:r>
      <w:r>
        <w:rPr>
          <w:sz w:val="24"/>
        </w:rPr>
        <w:t>commercial area in the free-sale component.</w:t>
      </w:r>
    </w:p>
    <w:p>
      <w:pPr>
        <w:pStyle w:val="BodyText"/>
        <w:spacing w:line="276" w:lineRule="auto" w:before="117"/>
        <w:ind w:left="2050" w:right="772" w:firstLine="384"/>
        <w:rPr>
          <w:sz w:val="22"/>
        </w:rPr>
      </w:pPr>
      <w:r>
        <w:rPr/>
        <w:t>For</w:t>
      </w:r>
      <w:r>
        <w:rPr>
          <w:spacing w:val="-12"/>
        </w:rPr>
        <w:t> </w:t>
      </w:r>
      <w:r>
        <w:rPr/>
        <w:t>this</w:t>
      </w:r>
      <w:r>
        <w:rPr>
          <w:spacing w:val="-12"/>
        </w:rPr>
        <w:t> </w:t>
      </w:r>
      <w:r>
        <w:rPr/>
        <w:t>purpose</w:t>
      </w:r>
      <w:r>
        <w:rPr>
          <w:spacing w:val="-10"/>
        </w:rPr>
        <w:t> </w:t>
      </w:r>
      <w:r>
        <w:rPr/>
        <w:t>of</w:t>
      </w:r>
      <w:r>
        <w:rPr>
          <w:spacing w:val="-12"/>
        </w:rPr>
        <w:t> </w:t>
      </w:r>
      <w:r>
        <w:rPr/>
        <w:t>“carpet</w:t>
      </w:r>
      <w:r>
        <w:rPr>
          <w:spacing w:val="-12"/>
        </w:rPr>
        <w:t> </w:t>
      </w:r>
      <w:r>
        <w:rPr/>
        <w:t>area”</w:t>
      </w:r>
      <w:r>
        <w:rPr>
          <w:spacing w:val="-12"/>
        </w:rPr>
        <w:t> </w:t>
      </w:r>
      <w:r>
        <w:rPr/>
        <w:t>as</w:t>
      </w:r>
      <w:r>
        <w:rPr>
          <w:spacing w:val="-12"/>
        </w:rPr>
        <w:t> </w:t>
      </w:r>
      <w:r>
        <w:rPr/>
        <w:t>per</w:t>
      </w:r>
      <w:r>
        <w:rPr>
          <w:spacing w:val="-12"/>
        </w:rPr>
        <w:t> </w:t>
      </w:r>
      <w:r>
        <w:rPr/>
        <w:t>5.2</w:t>
      </w:r>
      <w:r>
        <w:rPr>
          <w:spacing w:val="-12"/>
        </w:rPr>
        <w:t> </w:t>
      </w:r>
      <w:r>
        <w:rPr/>
        <w:t>and</w:t>
      </w:r>
      <w:r>
        <w:rPr>
          <w:spacing w:val="-12"/>
        </w:rPr>
        <w:t> </w:t>
      </w:r>
      <w:r>
        <w:rPr/>
        <w:t>5.3</w:t>
      </w:r>
      <w:r>
        <w:rPr>
          <w:spacing w:val="-12"/>
        </w:rPr>
        <w:t> </w:t>
      </w:r>
      <w:r>
        <w:rPr/>
        <w:t>above</w:t>
      </w:r>
      <w:r>
        <w:rPr>
          <w:spacing w:val="-10"/>
        </w:rPr>
        <w:t> </w:t>
      </w:r>
      <w:r>
        <w:rPr/>
        <w:t>means</w:t>
      </w:r>
      <w:r>
        <w:rPr>
          <w:spacing w:val="-12"/>
        </w:rPr>
        <w:t> </w:t>
      </w:r>
      <w:r>
        <w:rPr/>
        <w:t>the net usable floor area within a tenement excluding that covered by the walls or any other areas specifically exempted from floor space index computation as per prevailing Regulation</w:t>
      </w:r>
      <w:r>
        <w:rPr>
          <w:sz w:val="22"/>
        </w:rPr>
        <w:t>.</w:t>
      </w:r>
    </w:p>
    <w:p>
      <w:pPr>
        <w:pStyle w:val="BodyText"/>
        <w:spacing w:after="0" w:line="276" w:lineRule="auto"/>
        <w:rPr>
          <w:sz w:val="22"/>
        </w:rPr>
        <w:sectPr>
          <w:pgSz w:w="11910" w:h="16840"/>
          <w:pgMar w:header="1065" w:footer="1194" w:top="1500" w:bottom="1380" w:left="360" w:right="360"/>
        </w:sectPr>
      </w:pPr>
    </w:p>
    <w:p>
      <w:pPr>
        <w:pStyle w:val="ListParagraph"/>
        <w:numPr>
          <w:ilvl w:val="1"/>
          <w:numId w:val="189"/>
        </w:numPr>
        <w:tabs>
          <w:tab w:pos="2779" w:val="left" w:leader="none"/>
        </w:tabs>
        <w:spacing w:line="240" w:lineRule="auto" w:before="249" w:after="0"/>
        <w:ind w:left="2062" w:right="767" w:firstLine="0"/>
        <w:jc w:val="both"/>
        <w:rPr>
          <w:sz w:val="24"/>
        </w:rPr>
      </w:pPr>
      <w:r>
        <w:rPr>
          <w:sz w:val="24"/>
        </w:rPr>
        <w:t>Such area may be allowed on any side of the plot abutting 3.0 m wide pathway and deriving access from 3.0 m wide pathway/open space. Back-to-back shopping on ground</w:t>
      </w:r>
      <w:r>
        <w:rPr>
          <w:spacing w:val="-1"/>
          <w:sz w:val="24"/>
        </w:rPr>
        <w:t> </w:t>
      </w:r>
      <w:r>
        <w:rPr>
          <w:sz w:val="24"/>
        </w:rPr>
        <w:t>floor shall also</w:t>
      </w:r>
      <w:r>
        <w:rPr>
          <w:spacing w:val="-1"/>
          <w:sz w:val="24"/>
        </w:rPr>
        <w:t> </w:t>
      </w:r>
      <w:r>
        <w:rPr>
          <w:sz w:val="24"/>
        </w:rPr>
        <w:t>be allowed for the purpose of rehabilitation. After exhausting these provisions, it may be allowed on the first floor to the extent necessary.</w:t>
      </w:r>
    </w:p>
    <w:p>
      <w:pPr>
        <w:pStyle w:val="ListParagraph"/>
        <w:numPr>
          <w:ilvl w:val="1"/>
          <w:numId w:val="189"/>
        </w:numPr>
        <w:tabs>
          <w:tab w:pos="2779" w:val="left" w:leader="none"/>
        </w:tabs>
        <w:spacing w:line="240" w:lineRule="auto" w:before="120" w:after="0"/>
        <w:ind w:left="2062" w:right="768" w:firstLine="0"/>
        <w:jc w:val="both"/>
        <w:rPr>
          <w:sz w:val="24"/>
        </w:rPr>
      </w:pPr>
      <w:r>
        <w:rPr>
          <w:sz w:val="24"/>
        </w:rPr>
        <w:t>Non-Conforming Activities: All activities which were previously existing shall be allowed to be relocated regardless of the non- conforming nature of the activities, except those which are hazardous and highly polluting, and except in cases where the alternative accommodation has already been allotted elsewhere by the MCGM.</w:t>
      </w:r>
    </w:p>
    <w:p>
      <w:pPr>
        <w:pStyle w:val="ListParagraph"/>
        <w:numPr>
          <w:ilvl w:val="1"/>
          <w:numId w:val="189"/>
        </w:numPr>
        <w:tabs>
          <w:tab w:pos="2779" w:val="left" w:leader="none"/>
        </w:tabs>
        <w:spacing w:line="240" w:lineRule="auto" w:before="0" w:after="0"/>
        <w:ind w:left="2062" w:right="769" w:firstLine="0"/>
        <w:jc w:val="both"/>
        <w:rPr>
          <w:sz w:val="24"/>
        </w:rPr>
      </w:pPr>
      <w:r>
        <w:rPr>
          <w:sz w:val="24"/>
        </w:rPr>
        <w:t>Convenience Shopping in Free-Sale Component: Convenience shopping in the free-sale component vide DCR 2(IV) 32 shall be permitted along the layout roads. The CEO, SRA may add to alter or amend the said list for convenience shopping.</w:t>
      </w:r>
    </w:p>
    <w:p>
      <w:pPr>
        <w:pStyle w:val="ListParagraph"/>
        <w:numPr>
          <w:ilvl w:val="1"/>
          <w:numId w:val="189"/>
        </w:numPr>
        <w:tabs>
          <w:tab w:pos="2779" w:val="left" w:leader="none"/>
        </w:tabs>
        <w:spacing w:line="281" w:lineRule="exact" w:before="122" w:after="0"/>
        <w:ind w:left="2779" w:right="0" w:hanging="717"/>
        <w:jc w:val="both"/>
        <w:rPr>
          <w:sz w:val="24"/>
        </w:rPr>
      </w:pPr>
      <w:r>
        <w:rPr>
          <w:sz w:val="24"/>
        </w:rPr>
        <w:t>Incentive</w:t>
      </w:r>
      <w:r>
        <w:rPr>
          <w:spacing w:val="-1"/>
          <w:sz w:val="24"/>
        </w:rPr>
        <w:t> </w:t>
      </w:r>
      <w:r>
        <w:rPr>
          <w:sz w:val="24"/>
        </w:rPr>
        <w:t>Commercial Areas</w:t>
      </w:r>
      <w:r>
        <w:rPr>
          <w:spacing w:val="-1"/>
          <w:sz w:val="24"/>
        </w:rPr>
        <w:t> </w:t>
      </w:r>
      <w:r>
        <w:rPr>
          <w:sz w:val="24"/>
        </w:rPr>
        <w:t>for Society</w:t>
      </w:r>
      <w:r>
        <w:rPr>
          <w:spacing w:val="-1"/>
          <w:sz w:val="24"/>
        </w:rPr>
        <w:t> </w:t>
      </w:r>
      <w:r>
        <w:rPr>
          <w:sz w:val="24"/>
        </w:rPr>
        <w:t>and </w:t>
      </w:r>
      <w:r>
        <w:rPr>
          <w:spacing w:val="-5"/>
          <w:sz w:val="24"/>
        </w:rPr>
        <w:t>NGO</w:t>
      </w:r>
    </w:p>
    <w:p>
      <w:pPr>
        <w:pStyle w:val="ListParagraph"/>
        <w:numPr>
          <w:ilvl w:val="0"/>
          <w:numId w:val="190"/>
        </w:numPr>
        <w:tabs>
          <w:tab w:pos="2421" w:val="left" w:leader="none"/>
        </w:tabs>
        <w:spacing w:line="240" w:lineRule="auto" w:before="0" w:after="0"/>
        <w:ind w:left="2062" w:right="767" w:firstLine="0"/>
        <w:jc w:val="both"/>
        <w:rPr>
          <w:sz w:val="24"/>
        </w:rPr>
      </w:pPr>
      <w:r>
        <w:rPr>
          <w:sz w:val="24"/>
        </w:rPr>
        <w:t>The</w:t>
      </w:r>
      <w:r>
        <w:rPr>
          <w:spacing w:val="-4"/>
          <w:sz w:val="24"/>
        </w:rPr>
        <w:t> </w:t>
      </w:r>
      <w:r>
        <w:rPr>
          <w:sz w:val="24"/>
        </w:rPr>
        <w:t>scheme,</w:t>
      </w:r>
      <w:r>
        <w:rPr>
          <w:spacing w:val="-2"/>
          <w:sz w:val="24"/>
        </w:rPr>
        <w:t> </w:t>
      </w:r>
      <w:r>
        <w:rPr>
          <w:sz w:val="24"/>
        </w:rPr>
        <w:t>when</w:t>
      </w:r>
      <w:r>
        <w:rPr>
          <w:spacing w:val="-4"/>
          <w:sz w:val="24"/>
        </w:rPr>
        <w:t> </w:t>
      </w:r>
      <w:r>
        <w:rPr>
          <w:sz w:val="24"/>
        </w:rPr>
        <w:t>undertaken</w:t>
      </w:r>
      <w:r>
        <w:rPr>
          <w:spacing w:val="-4"/>
          <w:sz w:val="24"/>
        </w:rPr>
        <w:t> </w:t>
      </w:r>
      <w:r>
        <w:rPr>
          <w:sz w:val="24"/>
        </w:rPr>
        <w:t>by</w:t>
      </w:r>
      <w:r>
        <w:rPr>
          <w:spacing w:val="-4"/>
          <w:sz w:val="24"/>
        </w:rPr>
        <w:t> </w:t>
      </w:r>
      <w:r>
        <w:rPr>
          <w:sz w:val="24"/>
        </w:rPr>
        <w:t>a</w:t>
      </w:r>
      <w:r>
        <w:rPr>
          <w:spacing w:val="-4"/>
          <w:sz w:val="24"/>
        </w:rPr>
        <w:t> </w:t>
      </w:r>
      <w:r>
        <w:rPr>
          <w:sz w:val="24"/>
        </w:rPr>
        <w:t>Co-operative</w:t>
      </w:r>
      <w:r>
        <w:rPr>
          <w:spacing w:val="-4"/>
          <w:sz w:val="24"/>
        </w:rPr>
        <w:t> </w:t>
      </w:r>
      <w:r>
        <w:rPr>
          <w:sz w:val="24"/>
        </w:rPr>
        <w:t>Housing</w:t>
      </w:r>
      <w:r>
        <w:rPr>
          <w:spacing w:val="-4"/>
          <w:sz w:val="24"/>
        </w:rPr>
        <w:t> </w:t>
      </w:r>
      <w:r>
        <w:rPr>
          <w:sz w:val="24"/>
        </w:rPr>
        <w:t>Society</w:t>
      </w:r>
      <w:r>
        <w:rPr>
          <w:spacing w:val="-4"/>
          <w:sz w:val="24"/>
        </w:rPr>
        <w:t> </w:t>
      </w:r>
      <w:r>
        <w:rPr>
          <w:sz w:val="24"/>
        </w:rPr>
        <w:t>of slum dwellers, may provide an additional 5 per cent built-up area on the rehabilitation area free of cost for commercial purpose. This area will be at the disposal of the Co-operative Housing Society of the hutment-dwellers. The corpus amount shall not be spent, but </w:t>
      </w:r>
      <w:r>
        <w:rPr>
          <w:sz w:val="24"/>
        </w:rPr>
        <w:t>the income</w:t>
      </w:r>
      <w:r>
        <w:rPr>
          <w:spacing w:val="-5"/>
          <w:sz w:val="24"/>
        </w:rPr>
        <w:t> </w:t>
      </w:r>
      <w:r>
        <w:rPr>
          <w:sz w:val="24"/>
        </w:rPr>
        <w:t>from</w:t>
      </w:r>
      <w:r>
        <w:rPr>
          <w:spacing w:val="-5"/>
          <w:sz w:val="24"/>
        </w:rPr>
        <w:t> </w:t>
      </w:r>
      <w:r>
        <w:rPr>
          <w:sz w:val="24"/>
        </w:rPr>
        <w:t>the</w:t>
      </w:r>
      <w:r>
        <w:rPr>
          <w:spacing w:val="-5"/>
          <w:sz w:val="24"/>
        </w:rPr>
        <w:t> </w:t>
      </w:r>
      <w:r>
        <w:rPr>
          <w:sz w:val="24"/>
        </w:rPr>
        <w:t>property/corpus</w:t>
      </w:r>
      <w:r>
        <w:rPr>
          <w:spacing w:val="-5"/>
          <w:sz w:val="24"/>
        </w:rPr>
        <w:t> </w:t>
      </w:r>
      <w:r>
        <w:rPr>
          <w:sz w:val="24"/>
        </w:rPr>
        <w:t>alone</w:t>
      </w:r>
      <w:r>
        <w:rPr>
          <w:spacing w:val="-5"/>
          <w:sz w:val="24"/>
        </w:rPr>
        <w:t> </w:t>
      </w:r>
      <w:r>
        <w:rPr>
          <w:sz w:val="24"/>
        </w:rPr>
        <w:t>shall</w:t>
      </w:r>
      <w:r>
        <w:rPr>
          <w:spacing w:val="-5"/>
          <w:sz w:val="24"/>
        </w:rPr>
        <w:t> </w:t>
      </w:r>
      <w:r>
        <w:rPr>
          <w:sz w:val="24"/>
        </w:rPr>
        <w:t>be</w:t>
      </w:r>
      <w:r>
        <w:rPr>
          <w:spacing w:val="-5"/>
          <w:sz w:val="24"/>
        </w:rPr>
        <w:t> </w:t>
      </w:r>
      <w:r>
        <w:rPr>
          <w:sz w:val="24"/>
        </w:rPr>
        <w:t>used</w:t>
      </w:r>
      <w:r>
        <w:rPr>
          <w:spacing w:val="-5"/>
          <w:sz w:val="24"/>
        </w:rPr>
        <w:t> </w:t>
      </w:r>
      <w:r>
        <w:rPr>
          <w:sz w:val="24"/>
        </w:rPr>
        <w:t>by</w:t>
      </w:r>
      <w:r>
        <w:rPr>
          <w:spacing w:val="-5"/>
          <w:sz w:val="24"/>
        </w:rPr>
        <w:t> </w:t>
      </w:r>
      <w:r>
        <w:rPr>
          <w:sz w:val="24"/>
        </w:rPr>
        <w:t>the</w:t>
      </w:r>
      <w:r>
        <w:rPr>
          <w:spacing w:val="-2"/>
          <w:sz w:val="24"/>
        </w:rPr>
        <w:t> </w:t>
      </w:r>
      <w:r>
        <w:rPr>
          <w:sz w:val="24"/>
        </w:rPr>
        <w:t>Society</w:t>
      </w:r>
      <w:r>
        <w:rPr>
          <w:spacing w:val="-5"/>
          <w:sz w:val="24"/>
        </w:rPr>
        <w:t> </w:t>
      </w:r>
      <w:r>
        <w:rPr>
          <w:sz w:val="24"/>
        </w:rPr>
        <w:t>for maintenance</w:t>
      </w:r>
      <w:r>
        <w:rPr>
          <w:spacing w:val="-6"/>
          <w:sz w:val="24"/>
        </w:rPr>
        <w:t> </w:t>
      </w:r>
      <w:r>
        <w:rPr>
          <w:sz w:val="24"/>
        </w:rPr>
        <w:t>of</w:t>
      </w:r>
      <w:r>
        <w:rPr>
          <w:spacing w:val="-5"/>
          <w:sz w:val="24"/>
        </w:rPr>
        <w:t> </w:t>
      </w:r>
      <w:r>
        <w:rPr>
          <w:sz w:val="24"/>
        </w:rPr>
        <w:t>the</w:t>
      </w:r>
      <w:r>
        <w:rPr>
          <w:spacing w:val="-8"/>
          <w:sz w:val="24"/>
        </w:rPr>
        <w:t> </w:t>
      </w:r>
      <w:r>
        <w:rPr>
          <w:sz w:val="24"/>
        </w:rPr>
        <w:t>building</w:t>
      </w:r>
      <w:r>
        <w:rPr>
          <w:spacing w:val="-6"/>
          <w:sz w:val="24"/>
        </w:rPr>
        <w:t> </w:t>
      </w:r>
      <w:r>
        <w:rPr>
          <w:sz w:val="24"/>
        </w:rPr>
        <w:t>and</w:t>
      </w:r>
      <w:r>
        <w:rPr>
          <w:spacing w:val="-6"/>
          <w:sz w:val="24"/>
        </w:rPr>
        <w:t> </w:t>
      </w:r>
      <w:r>
        <w:rPr>
          <w:sz w:val="24"/>
        </w:rPr>
        <w:t>premises,</w:t>
      </w:r>
      <w:r>
        <w:rPr>
          <w:spacing w:val="-6"/>
          <w:sz w:val="24"/>
        </w:rPr>
        <w:t> </w:t>
      </w:r>
      <w:r>
        <w:rPr>
          <w:sz w:val="24"/>
        </w:rPr>
        <w:t>and</w:t>
      </w:r>
      <w:r>
        <w:rPr>
          <w:spacing w:val="-6"/>
          <w:sz w:val="24"/>
        </w:rPr>
        <w:t> </w:t>
      </w:r>
      <w:r>
        <w:rPr>
          <w:sz w:val="24"/>
        </w:rPr>
        <w:t>such</w:t>
      </w:r>
      <w:r>
        <w:rPr>
          <w:spacing w:val="-6"/>
          <w:sz w:val="24"/>
        </w:rPr>
        <w:t> </w:t>
      </w:r>
      <w:r>
        <w:rPr>
          <w:sz w:val="24"/>
        </w:rPr>
        <w:t>other</w:t>
      </w:r>
      <w:r>
        <w:rPr>
          <w:spacing w:val="-6"/>
          <w:sz w:val="24"/>
        </w:rPr>
        <w:t> </w:t>
      </w:r>
      <w:r>
        <w:rPr>
          <w:sz w:val="24"/>
        </w:rPr>
        <w:t>purposes</w:t>
      </w:r>
      <w:r>
        <w:rPr>
          <w:spacing w:val="-6"/>
          <w:sz w:val="24"/>
        </w:rPr>
        <w:t> </w:t>
      </w:r>
      <w:r>
        <w:rPr>
          <w:sz w:val="24"/>
        </w:rPr>
        <w:t>as may be laid down by the SRA.</w:t>
      </w:r>
    </w:p>
    <w:p>
      <w:pPr>
        <w:pStyle w:val="ListParagraph"/>
        <w:numPr>
          <w:ilvl w:val="0"/>
          <w:numId w:val="190"/>
        </w:numPr>
        <w:tabs>
          <w:tab w:pos="2354" w:val="left" w:leader="none"/>
        </w:tabs>
        <w:spacing w:line="240" w:lineRule="auto" w:before="120" w:after="0"/>
        <w:ind w:left="2062" w:right="767" w:firstLine="0"/>
        <w:jc w:val="both"/>
        <w:rPr>
          <w:sz w:val="24"/>
        </w:rPr>
      </w:pPr>
      <w:r>
        <w:rPr>
          <w:sz w:val="24"/>
        </w:rPr>
        <w:t>Where</w:t>
      </w:r>
      <w:r>
        <w:rPr>
          <w:spacing w:val="-9"/>
          <w:sz w:val="24"/>
        </w:rPr>
        <w:t> </w:t>
      </w:r>
      <w:r>
        <w:rPr>
          <w:sz w:val="24"/>
        </w:rPr>
        <w:t>the</w:t>
      </w:r>
      <w:r>
        <w:rPr>
          <w:spacing w:val="-9"/>
          <w:sz w:val="24"/>
        </w:rPr>
        <w:t> </w:t>
      </w:r>
      <w:r>
        <w:rPr>
          <w:sz w:val="24"/>
        </w:rPr>
        <w:t>scheme</w:t>
      </w:r>
      <w:r>
        <w:rPr>
          <w:spacing w:val="-12"/>
          <w:sz w:val="24"/>
        </w:rPr>
        <w:t> </w:t>
      </w:r>
      <w:r>
        <w:rPr>
          <w:sz w:val="24"/>
        </w:rPr>
        <w:t>is</w:t>
      </w:r>
      <w:r>
        <w:rPr>
          <w:spacing w:val="-9"/>
          <w:sz w:val="24"/>
        </w:rPr>
        <w:t> </w:t>
      </w:r>
      <w:r>
        <w:rPr>
          <w:sz w:val="24"/>
        </w:rPr>
        <w:t>undertaken</w:t>
      </w:r>
      <w:r>
        <w:rPr>
          <w:spacing w:val="-9"/>
          <w:sz w:val="24"/>
        </w:rPr>
        <w:t> </w:t>
      </w:r>
      <w:r>
        <w:rPr>
          <w:sz w:val="24"/>
        </w:rPr>
        <w:t>by</w:t>
      </w:r>
      <w:r>
        <w:rPr>
          <w:spacing w:val="-12"/>
          <w:sz w:val="24"/>
        </w:rPr>
        <w:t> </w:t>
      </w:r>
      <w:r>
        <w:rPr>
          <w:sz w:val="24"/>
        </w:rPr>
        <w:t>a</w:t>
      </w:r>
      <w:r>
        <w:rPr>
          <w:spacing w:val="-12"/>
          <w:sz w:val="24"/>
        </w:rPr>
        <w:t> </w:t>
      </w:r>
      <w:r>
        <w:rPr>
          <w:sz w:val="24"/>
        </w:rPr>
        <w:t>Non-Government</w:t>
      </w:r>
      <w:r>
        <w:rPr>
          <w:spacing w:val="-9"/>
          <w:sz w:val="24"/>
        </w:rPr>
        <w:t> </w:t>
      </w:r>
      <w:r>
        <w:rPr>
          <w:sz w:val="24"/>
        </w:rPr>
        <w:t>Organization Govt. or Public Authority or Govt. Company another additional 5 per cent BUA on the rehabilitation area may be given free of cost for commercial purpose. This area shall be at the disposal of the Non- Governmental</w:t>
      </w:r>
      <w:r>
        <w:rPr>
          <w:spacing w:val="-16"/>
          <w:sz w:val="24"/>
        </w:rPr>
        <w:t> </w:t>
      </w:r>
      <w:r>
        <w:rPr>
          <w:sz w:val="24"/>
        </w:rPr>
        <w:t>Organization</w:t>
      </w:r>
      <w:r>
        <w:rPr>
          <w:spacing w:val="-16"/>
          <w:sz w:val="24"/>
        </w:rPr>
        <w:t> </w:t>
      </w:r>
      <w:r>
        <w:rPr>
          <w:sz w:val="24"/>
        </w:rPr>
        <w:t>Govt.</w:t>
      </w:r>
      <w:r>
        <w:rPr>
          <w:spacing w:val="-16"/>
          <w:sz w:val="24"/>
        </w:rPr>
        <w:t> </w:t>
      </w:r>
      <w:r>
        <w:rPr>
          <w:sz w:val="24"/>
        </w:rPr>
        <w:t>or</w:t>
      </w:r>
      <w:r>
        <w:rPr>
          <w:spacing w:val="-16"/>
          <w:sz w:val="24"/>
        </w:rPr>
        <w:t> </w:t>
      </w:r>
      <w:r>
        <w:rPr>
          <w:sz w:val="24"/>
        </w:rPr>
        <w:t>Public</w:t>
      </w:r>
      <w:r>
        <w:rPr>
          <w:spacing w:val="-16"/>
          <w:sz w:val="24"/>
        </w:rPr>
        <w:t> </w:t>
      </w:r>
      <w:r>
        <w:rPr>
          <w:sz w:val="24"/>
        </w:rPr>
        <w:t>Authority</w:t>
      </w:r>
      <w:r>
        <w:rPr>
          <w:spacing w:val="-16"/>
          <w:sz w:val="24"/>
        </w:rPr>
        <w:t> </w:t>
      </w:r>
      <w:r>
        <w:rPr>
          <w:sz w:val="24"/>
        </w:rPr>
        <w:t>or</w:t>
      </w:r>
      <w:r>
        <w:rPr>
          <w:spacing w:val="-16"/>
          <w:sz w:val="24"/>
        </w:rPr>
        <w:t> </w:t>
      </w:r>
      <w:r>
        <w:rPr>
          <w:sz w:val="24"/>
        </w:rPr>
        <w:t>Govt.</w:t>
      </w:r>
      <w:r>
        <w:rPr>
          <w:spacing w:val="-14"/>
          <w:sz w:val="24"/>
        </w:rPr>
        <w:t> </w:t>
      </w:r>
      <w:r>
        <w:rPr>
          <w:sz w:val="24"/>
        </w:rPr>
        <w:t>Company in consultation with the cooperative housing society.</w:t>
      </w:r>
    </w:p>
    <w:p>
      <w:pPr>
        <w:pStyle w:val="Heading5"/>
        <w:numPr>
          <w:ilvl w:val="0"/>
          <w:numId w:val="189"/>
        </w:numPr>
        <w:tabs>
          <w:tab w:pos="2781" w:val="left" w:leader="none"/>
        </w:tabs>
        <w:spacing w:line="240" w:lineRule="auto" w:before="122" w:after="0"/>
        <w:ind w:left="2781" w:right="0" w:hanging="719"/>
        <w:jc w:val="both"/>
        <w:rPr>
          <w:b w:val="0"/>
        </w:rPr>
      </w:pPr>
      <w:r>
        <w:rPr/>
        <w:t>Relaxation</w:t>
      </w:r>
      <w:r>
        <w:rPr>
          <w:spacing w:val="59"/>
        </w:rPr>
        <w:t> </w:t>
      </w:r>
      <w:r>
        <w:rPr/>
        <w:t>in</w:t>
      </w:r>
      <w:r>
        <w:rPr>
          <w:spacing w:val="64"/>
        </w:rPr>
        <w:t> </w:t>
      </w:r>
      <w:r>
        <w:rPr/>
        <w:t>Building</w:t>
      </w:r>
      <w:r>
        <w:rPr>
          <w:spacing w:val="59"/>
        </w:rPr>
        <w:t> </w:t>
      </w:r>
      <w:r>
        <w:rPr/>
        <w:t>and</w:t>
      </w:r>
      <w:r>
        <w:rPr>
          <w:spacing w:val="64"/>
        </w:rPr>
        <w:t> </w:t>
      </w:r>
      <w:r>
        <w:rPr/>
        <w:t>Other</w:t>
      </w:r>
      <w:r>
        <w:rPr>
          <w:spacing w:val="64"/>
        </w:rPr>
        <w:t> </w:t>
      </w:r>
      <w:r>
        <w:rPr>
          <w:spacing w:val="7"/>
        </w:rPr>
        <w:t>Requirements</w:t>
      </w:r>
      <w:r>
        <w:rPr>
          <w:b w:val="0"/>
          <w:spacing w:val="7"/>
        </w:rPr>
        <w:t>:</w:t>
      </w:r>
    </w:p>
    <w:p>
      <w:pPr>
        <w:pStyle w:val="BodyText"/>
        <w:spacing w:before="2"/>
        <w:jc w:val="left"/>
        <w:rPr>
          <w:sz w:val="10"/>
        </w:rPr>
      </w:pPr>
    </w:p>
    <w:tbl>
      <w:tblPr>
        <w:tblW w:w="0" w:type="auto"/>
        <w:jc w:val="left"/>
        <w:tblInd w:w="1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1"/>
      </w:tblGrid>
      <w:tr>
        <w:trPr>
          <w:trHeight w:val="361" w:hRule="atLeast"/>
        </w:trPr>
        <w:tc>
          <w:tcPr>
            <w:tcW w:w="8781" w:type="dxa"/>
          </w:tcPr>
          <w:p>
            <w:pPr>
              <w:pStyle w:val="TableParagraph"/>
              <w:spacing w:before="37"/>
              <w:ind w:left="184"/>
              <w:rPr>
                <w:sz w:val="24"/>
              </w:rPr>
            </w:pPr>
            <w:r>
              <w:rPr>
                <w:spacing w:val="-2"/>
                <w:sz w:val="24"/>
              </w:rPr>
              <w:t>Provision</w:t>
            </w:r>
          </w:p>
        </w:tc>
      </w:tr>
      <w:tr>
        <w:trPr>
          <w:trHeight w:val="1206" w:hRule="atLeast"/>
        </w:trPr>
        <w:tc>
          <w:tcPr>
            <w:tcW w:w="8781" w:type="dxa"/>
          </w:tcPr>
          <w:p>
            <w:pPr>
              <w:pStyle w:val="TableParagraph"/>
              <w:spacing w:before="40"/>
              <w:ind w:left="827" w:right="96"/>
              <w:jc w:val="both"/>
              <w:rPr>
                <w:sz w:val="24"/>
              </w:rPr>
            </w:pPr>
            <w:r>
              <w:rPr>
                <w:sz w:val="24"/>
              </w:rPr>
              <w:t>6.1</w:t>
            </w:r>
            <w:r>
              <w:rPr>
                <w:spacing w:val="-12"/>
                <w:sz w:val="24"/>
              </w:rPr>
              <w:t> </w:t>
            </w:r>
            <w:r>
              <w:rPr>
                <w:sz w:val="24"/>
              </w:rPr>
              <w:t>Separate</w:t>
            </w:r>
            <w:r>
              <w:rPr>
                <w:spacing w:val="-12"/>
                <w:sz w:val="24"/>
              </w:rPr>
              <w:t> </w:t>
            </w:r>
            <w:r>
              <w:rPr>
                <w:sz w:val="24"/>
              </w:rPr>
              <w:t>kitchen</w:t>
            </w:r>
            <w:r>
              <w:rPr>
                <w:spacing w:val="-14"/>
                <w:sz w:val="24"/>
              </w:rPr>
              <w:t> </w:t>
            </w:r>
            <w:r>
              <w:rPr>
                <w:sz w:val="24"/>
              </w:rPr>
              <w:t>shall</w:t>
            </w:r>
            <w:r>
              <w:rPr>
                <w:spacing w:val="-12"/>
                <w:sz w:val="24"/>
              </w:rPr>
              <w:t> </w:t>
            </w:r>
            <w:r>
              <w:rPr>
                <w:sz w:val="24"/>
              </w:rPr>
              <w:t>not</w:t>
            </w:r>
            <w:r>
              <w:rPr>
                <w:spacing w:val="-12"/>
                <w:sz w:val="24"/>
              </w:rPr>
              <w:t> </w:t>
            </w:r>
            <w:r>
              <w:rPr>
                <w:sz w:val="24"/>
              </w:rPr>
              <w:t>be</w:t>
            </w:r>
            <w:r>
              <w:rPr>
                <w:spacing w:val="-12"/>
                <w:sz w:val="24"/>
              </w:rPr>
              <w:t> </w:t>
            </w:r>
            <w:r>
              <w:rPr>
                <w:sz w:val="24"/>
              </w:rPr>
              <w:t>necessary.</w:t>
            </w:r>
            <w:r>
              <w:rPr>
                <w:spacing w:val="-12"/>
                <w:sz w:val="24"/>
              </w:rPr>
              <w:t> </w:t>
            </w:r>
            <w:r>
              <w:rPr>
                <w:sz w:val="24"/>
              </w:rPr>
              <w:t>Cooking</w:t>
            </w:r>
            <w:r>
              <w:rPr>
                <w:spacing w:val="-12"/>
                <w:sz w:val="24"/>
              </w:rPr>
              <w:t> </w:t>
            </w:r>
            <w:r>
              <w:rPr>
                <w:sz w:val="24"/>
              </w:rPr>
              <w:t>space</w:t>
            </w:r>
            <w:r>
              <w:rPr>
                <w:spacing w:val="-12"/>
                <w:sz w:val="24"/>
              </w:rPr>
              <w:t> </w:t>
            </w:r>
            <w:r>
              <w:rPr>
                <w:sz w:val="24"/>
              </w:rPr>
              <w:t>(alcove) shall be allowed without any minimum size restrictions. Where a kitchen is provided, the minimum area shall be 5 sq. m provided the width shall be at least 1.5 m.</w:t>
            </w:r>
          </w:p>
        </w:tc>
      </w:tr>
      <w:tr>
        <w:trPr>
          <w:trHeight w:val="1207" w:hRule="atLeast"/>
        </w:trPr>
        <w:tc>
          <w:tcPr>
            <w:tcW w:w="8781" w:type="dxa"/>
          </w:tcPr>
          <w:p>
            <w:pPr>
              <w:pStyle w:val="TableParagraph"/>
              <w:spacing w:before="40"/>
              <w:ind w:left="827" w:right="98"/>
              <w:jc w:val="both"/>
              <w:rPr>
                <w:sz w:val="24"/>
              </w:rPr>
            </w:pPr>
            <w:r>
              <w:rPr>
                <w:sz w:val="24"/>
              </w:rPr>
              <w:t>6.2 There shall be no size restriction for bath or water closet unit. Moreover, for bathroom, water closet or kitchen, there shall be no stipulation</w:t>
            </w:r>
            <w:r>
              <w:rPr>
                <w:spacing w:val="-10"/>
                <w:sz w:val="24"/>
              </w:rPr>
              <w:t> </w:t>
            </w:r>
            <w:r>
              <w:rPr>
                <w:sz w:val="24"/>
              </w:rPr>
              <w:t>of</w:t>
            </w:r>
            <w:r>
              <w:rPr>
                <w:spacing w:val="-10"/>
                <w:sz w:val="24"/>
              </w:rPr>
              <w:t> </w:t>
            </w:r>
            <w:r>
              <w:rPr>
                <w:sz w:val="24"/>
              </w:rPr>
              <w:t>one</w:t>
            </w:r>
            <w:r>
              <w:rPr>
                <w:spacing w:val="-10"/>
                <w:sz w:val="24"/>
              </w:rPr>
              <w:t> </w:t>
            </w:r>
            <w:r>
              <w:rPr>
                <w:sz w:val="24"/>
              </w:rPr>
              <w:t>wall</w:t>
            </w:r>
            <w:r>
              <w:rPr>
                <w:spacing w:val="-10"/>
                <w:sz w:val="24"/>
              </w:rPr>
              <w:t> </w:t>
            </w:r>
            <w:r>
              <w:rPr>
                <w:sz w:val="24"/>
              </w:rPr>
              <w:t>abutting</w:t>
            </w:r>
            <w:r>
              <w:rPr>
                <w:spacing w:val="-10"/>
                <w:sz w:val="24"/>
              </w:rPr>
              <w:t> </w:t>
            </w:r>
            <w:r>
              <w:rPr>
                <w:sz w:val="24"/>
              </w:rPr>
              <w:t>open</w:t>
            </w:r>
            <w:r>
              <w:rPr>
                <w:spacing w:val="-10"/>
                <w:sz w:val="24"/>
              </w:rPr>
              <w:t> </w:t>
            </w:r>
            <w:r>
              <w:rPr>
                <w:sz w:val="24"/>
              </w:rPr>
              <w:t>space,</w:t>
            </w:r>
            <w:r>
              <w:rPr>
                <w:spacing w:val="-10"/>
                <w:sz w:val="24"/>
              </w:rPr>
              <w:t> </w:t>
            </w:r>
            <w:r>
              <w:rPr>
                <w:sz w:val="24"/>
              </w:rPr>
              <w:t>etc.</w:t>
            </w:r>
            <w:r>
              <w:rPr>
                <w:spacing w:val="-10"/>
                <w:sz w:val="24"/>
              </w:rPr>
              <w:t> </w:t>
            </w:r>
            <w:r>
              <w:rPr>
                <w:sz w:val="24"/>
              </w:rPr>
              <w:t>as</w:t>
            </w:r>
            <w:r>
              <w:rPr>
                <w:spacing w:val="-10"/>
                <w:sz w:val="24"/>
              </w:rPr>
              <w:t> </w:t>
            </w:r>
            <w:r>
              <w:rPr>
                <w:sz w:val="24"/>
              </w:rPr>
              <w:t>long</w:t>
            </w:r>
            <w:r>
              <w:rPr>
                <w:spacing w:val="-10"/>
                <w:sz w:val="24"/>
              </w:rPr>
              <w:t> </w:t>
            </w:r>
            <w:r>
              <w:rPr>
                <w:sz w:val="24"/>
              </w:rPr>
              <w:t>as</w:t>
            </w:r>
            <w:r>
              <w:rPr>
                <w:spacing w:val="-10"/>
                <w:sz w:val="24"/>
              </w:rPr>
              <w:t> </w:t>
            </w:r>
            <w:r>
              <w:rPr>
                <w:sz w:val="24"/>
              </w:rPr>
              <w:t>artificial light &amp; ventilation through any means are provided.</w:t>
            </w:r>
          </w:p>
        </w:tc>
      </w:tr>
      <w:tr>
        <w:trPr>
          <w:trHeight w:val="642" w:hRule="atLeast"/>
        </w:trPr>
        <w:tc>
          <w:tcPr>
            <w:tcW w:w="8781" w:type="dxa"/>
          </w:tcPr>
          <w:p>
            <w:pPr>
              <w:pStyle w:val="TableParagraph"/>
              <w:spacing w:before="40"/>
              <w:ind w:left="827"/>
              <w:rPr>
                <w:sz w:val="24"/>
              </w:rPr>
            </w:pPr>
            <w:r>
              <w:rPr>
                <w:sz w:val="24"/>
              </w:rPr>
              <w:t>6.3</w:t>
            </w:r>
            <w:r>
              <w:rPr>
                <w:spacing w:val="-18"/>
                <w:sz w:val="24"/>
              </w:rPr>
              <w:t> </w:t>
            </w:r>
            <w:r>
              <w:rPr>
                <w:sz w:val="24"/>
              </w:rPr>
              <w:t>In</w:t>
            </w:r>
            <w:r>
              <w:rPr>
                <w:spacing w:val="-18"/>
                <w:sz w:val="24"/>
              </w:rPr>
              <w:t> </w:t>
            </w:r>
            <w:r>
              <w:rPr>
                <w:sz w:val="24"/>
              </w:rPr>
              <w:t>water</w:t>
            </w:r>
            <w:r>
              <w:rPr>
                <w:spacing w:val="-18"/>
                <w:sz w:val="24"/>
              </w:rPr>
              <w:t> </w:t>
            </w:r>
            <w:r>
              <w:rPr>
                <w:sz w:val="24"/>
              </w:rPr>
              <w:t>closet</w:t>
            </w:r>
            <w:r>
              <w:rPr>
                <w:spacing w:val="-18"/>
                <w:sz w:val="24"/>
              </w:rPr>
              <w:t> </w:t>
            </w:r>
            <w:r>
              <w:rPr>
                <w:sz w:val="24"/>
              </w:rPr>
              <w:t>flushing</w:t>
            </w:r>
            <w:r>
              <w:rPr>
                <w:spacing w:val="-18"/>
                <w:sz w:val="24"/>
              </w:rPr>
              <w:t> </w:t>
            </w:r>
            <w:r>
              <w:rPr>
                <w:sz w:val="24"/>
              </w:rPr>
              <w:t>system</w:t>
            </w:r>
            <w:r>
              <w:rPr>
                <w:spacing w:val="-18"/>
                <w:sz w:val="24"/>
              </w:rPr>
              <w:t> </w:t>
            </w:r>
            <w:r>
              <w:rPr>
                <w:sz w:val="24"/>
              </w:rPr>
              <w:t>shall</w:t>
            </w:r>
            <w:r>
              <w:rPr>
                <w:spacing w:val="-15"/>
                <w:sz w:val="24"/>
              </w:rPr>
              <w:t> </w:t>
            </w:r>
            <w:r>
              <w:rPr>
                <w:sz w:val="24"/>
              </w:rPr>
              <w:t>be</w:t>
            </w:r>
            <w:r>
              <w:rPr>
                <w:spacing w:val="-18"/>
                <w:sz w:val="24"/>
              </w:rPr>
              <w:t> </w:t>
            </w:r>
            <w:r>
              <w:rPr>
                <w:sz w:val="24"/>
              </w:rPr>
              <w:t>provided</w:t>
            </w:r>
            <w:r>
              <w:rPr>
                <w:spacing w:val="-18"/>
                <w:sz w:val="24"/>
              </w:rPr>
              <w:t> </w:t>
            </w:r>
            <w:r>
              <w:rPr>
                <w:sz w:val="24"/>
              </w:rPr>
              <w:t>with</w:t>
            </w:r>
            <w:r>
              <w:rPr>
                <w:spacing w:val="-18"/>
                <w:sz w:val="24"/>
              </w:rPr>
              <w:t> </w:t>
            </w:r>
            <w:r>
              <w:rPr>
                <w:sz w:val="24"/>
              </w:rPr>
              <w:t>minimum seat size of 0.46 m (18 inches).</w:t>
            </w:r>
          </w:p>
        </w:tc>
      </w:tr>
    </w:tbl>
    <w:p>
      <w:pPr>
        <w:pStyle w:val="TableParagraph"/>
        <w:spacing w:after="0"/>
        <w:rPr>
          <w:sz w:val="24"/>
        </w:rPr>
        <w:sectPr>
          <w:pgSz w:w="11910" w:h="16840"/>
          <w:pgMar w:header="1065" w:footer="1194" w:top="1500" w:bottom="1380" w:left="360" w:right="360"/>
        </w:sectPr>
      </w:pPr>
    </w:p>
    <w:p>
      <w:pPr>
        <w:pStyle w:val="BodyText"/>
        <w:spacing w:before="14" w:after="1"/>
        <w:jc w:val="left"/>
        <w:rPr>
          <w:sz w:val="20"/>
        </w:rPr>
      </w:pPr>
    </w:p>
    <w:tbl>
      <w:tblPr>
        <w:tblW w:w="0" w:type="auto"/>
        <w:jc w:val="left"/>
        <w:tblInd w:w="1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1"/>
      </w:tblGrid>
      <w:tr>
        <w:trPr>
          <w:trHeight w:val="926" w:hRule="atLeast"/>
        </w:trPr>
        <w:tc>
          <w:tcPr>
            <w:tcW w:w="8781" w:type="dxa"/>
          </w:tcPr>
          <w:p>
            <w:pPr>
              <w:pStyle w:val="TableParagraph"/>
              <w:spacing w:before="42"/>
              <w:ind w:left="827" w:right="100"/>
              <w:jc w:val="both"/>
              <w:rPr>
                <w:sz w:val="24"/>
              </w:rPr>
            </w:pPr>
            <w:r>
              <w:rPr>
                <w:sz w:val="24"/>
              </w:rPr>
              <w:t>6.4</w:t>
            </w:r>
            <w:r>
              <w:rPr>
                <w:spacing w:val="-13"/>
                <w:sz w:val="24"/>
              </w:rPr>
              <w:t> </w:t>
            </w:r>
            <w:r>
              <w:rPr>
                <w:sz w:val="24"/>
              </w:rPr>
              <w:t>A</w:t>
            </w:r>
            <w:r>
              <w:rPr>
                <w:spacing w:val="-13"/>
                <w:sz w:val="24"/>
              </w:rPr>
              <w:t> </w:t>
            </w:r>
            <w:r>
              <w:rPr>
                <w:sz w:val="24"/>
              </w:rPr>
              <w:t>septic</w:t>
            </w:r>
            <w:r>
              <w:rPr>
                <w:spacing w:val="-13"/>
                <w:sz w:val="24"/>
              </w:rPr>
              <w:t> </w:t>
            </w:r>
            <w:r>
              <w:rPr>
                <w:sz w:val="24"/>
              </w:rPr>
              <w:t>tank</w:t>
            </w:r>
            <w:r>
              <w:rPr>
                <w:spacing w:val="-13"/>
                <w:sz w:val="24"/>
              </w:rPr>
              <w:t> </w:t>
            </w:r>
            <w:r>
              <w:rPr>
                <w:sz w:val="24"/>
              </w:rPr>
              <w:t>filter</w:t>
            </w:r>
            <w:r>
              <w:rPr>
                <w:spacing w:val="-13"/>
                <w:sz w:val="24"/>
              </w:rPr>
              <w:t> </w:t>
            </w:r>
            <w:r>
              <w:rPr>
                <w:sz w:val="24"/>
              </w:rPr>
              <w:t>bed</w:t>
            </w:r>
            <w:r>
              <w:rPr>
                <w:spacing w:val="-13"/>
                <w:sz w:val="24"/>
              </w:rPr>
              <w:t> </w:t>
            </w:r>
            <w:r>
              <w:rPr>
                <w:sz w:val="24"/>
              </w:rPr>
              <w:t>shall</w:t>
            </w:r>
            <w:r>
              <w:rPr>
                <w:spacing w:val="-13"/>
                <w:sz w:val="24"/>
              </w:rPr>
              <w:t> </w:t>
            </w:r>
            <w:r>
              <w:rPr>
                <w:sz w:val="24"/>
              </w:rPr>
              <w:t>be</w:t>
            </w:r>
            <w:r>
              <w:rPr>
                <w:spacing w:val="-13"/>
                <w:sz w:val="24"/>
              </w:rPr>
              <w:t> </w:t>
            </w:r>
            <w:r>
              <w:rPr>
                <w:sz w:val="24"/>
              </w:rPr>
              <w:t>permitted</w:t>
            </w:r>
            <w:r>
              <w:rPr>
                <w:spacing w:val="-13"/>
                <w:sz w:val="24"/>
              </w:rPr>
              <w:t> </w:t>
            </w:r>
            <w:r>
              <w:rPr>
                <w:sz w:val="24"/>
              </w:rPr>
              <w:t>with</w:t>
            </w:r>
            <w:r>
              <w:rPr>
                <w:spacing w:val="-13"/>
                <w:sz w:val="24"/>
              </w:rPr>
              <w:t> </w:t>
            </w:r>
            <w:r>
              <w:rPr>
                <w:sz w:val="24"/>
              </w:rPr>
              <w:t>a</w:t>
            </w:r>
            <w:r>
              <w:rPr>
                <w:spacing w:val="-13"/>
                <w:sz w:val="24"/>
              </w:rPr>
              <w:t> </w:t>
            </w:r>
            <w:r>
              <w:rPr>
                <w:sz w:val="24"/>
              </w:rPr>
              <w:t>capacity</w:t>
            </w:r>
            <w:r>
              <w:rPr>
                <w:spacing w:val="-15"/>
                <w:sz w:val="24"/>
              </w:rPr>
              <w:t> </w:t>
            </w:r>
            <w:r>
              <w:rPr>
                <w:sz w:val="24"/>
              </w:rPr>
              <w:t>of</w:t>
            </w:r>
            <w:r>
              <w:rPr>
                <w:spacing w:val="-13"/>
                <w:sz w:val="24"/>
              </w:rPr>
              <w:t> </w:t>
            </w:r>
            <w:r>
              <w:rPr>
                <w:sz w:val="24"/>
              </w:rPr>
              <w:t>150 liters per capita, where the municipal services are likely to be available within 4-5 years</w:t>
            </w:r>
          </w:p>
        </w:tc>
      </w:tr>
      <w:tr>
        <w:trPr>
          <w:trHeight w:val="642" w:hRule="atLeast"/>
        </w:trPr>
        <w:tc>
          <w:tcPr>
            <w:tcW w:w="8781" w:type="dxa"/>
          </w:tcPr>
          <w:p>
            <w:pPr>
              <w:pStyle w:val="TableParagraph"/>
              <w:spacing w:before="40"/>
              <w:ind w:left="827"/>
              <w:rPr>
                <w:sz w:val="24"/>
              </w:rPr>
            </w:pPr>
            <w:r>
              <w:rPr>
                <w:sz w:val="24"/>
              </w:rPr>
              <w:t>6.5</w:t>
            </w:r>
            <w:r>
              <w:rPr>
                <w:spacing w:val="-4"/>
                <w:sz w:val="24"/>
              </w:rPr>
              <w:t> </w:t>
            </w:r>
            <w:r>
              <w:rPr>
                <w:sz w:val="24"/>
              </w:rPr>
              <w:t>In</w:t>
            </w:r>
            <w:r>
              <w:rPr>
                <w:spacing w:val="-4"/>
                <w:sz w:val="24"/>
              </w:rPr>
              <w:t> </w:t>
            </w:r>
            <w:r>
              <w:rPr>
                <w:sz w:val="24"/>
              </w:rPr>
              <w:t>the</w:t>
            </w:r>
            <w:r>
              <w:rPr>
                <w:spacing w:val="-7"/>
                <w:sz w:val="24"/>
              </w:rPr>
              <w:t> </w:t>
            </w:r>
            <w:r>
              <w:rPr>
                <w:sz w:val="24"/>
              </w:rPr>
              <w:t>rehabilitation</w:t>
            </w:r>
            <w:r>
              <w:rPr>
                <w:spacing w:val="-4"/>
                <w:sz w:val="24"/>
              </w:rPr>
              <w:t> </w:t>
            </w:r>
            <w:r>
              <w:rPr>
                <w:sz w:val="24"/>
              </w:rPr>
              <w:t>component,</w:t>
            </w:r>
            <w:r>
              <w:rPr>
                <w:spacing w:val="-4"/>
                <w:sz w:val="24"/>
              </w:rPr>
              <w:t> </w:t>
            </w:r>
            <w:r>
              <w:rPr>
                <w:sz w:val="24"/>
              </w:rPr>
              <w:t>lift</w:t>
            </w:r>
            <w:r>
              <w:rPr>
                <w:spacing w:val="-4"/>
                <w:sz w:val="24"/>
              </w:rPr>
              <w:t> </w:t>
            </w:r>
            <w:r>
              <w:rPr>
                <w:sz w:val="24"/>
              </w:rPr>
              <w:t>shall</w:t>
            </w:r>
            <w:r>
              <w:rPr>
                <w:spacing w:val="-4"/>
                <w:sz w:val="24"/>
              </w:rPr>
              <w:t> </w:t>
            </w:r>
            <w:r>
              <w:rPr>
                <w:sz w:val="24"/>
              </w:rPr>
              <w:t>not</w:t>
            </w:r>
            <w:r>
              <w:rPr>
                <w:spacing w:val="-4"/>
                <w:sz w:val="24"/>
              </w:rPr>
              <w:t> </w:t>
            </w:r>
            <w:r>
              <w:rPr>
                <w:sz w:val="24"/>
              </w:rPr>
              <w:t>be</w:t>
            </w:r>
            <w:r>
              <w:rPr>
                <w:spacing w:val="-4"/>
                <w:sz w:val="24"/>
              </w:rPr>
              <w:t> </w:t>
            </w:r>
            <w:r>
              <w:rPr>
                <w:sz w:val="24"/>
              </w:rPr>
              <w:t>insisted</w:t>
            </w:r>
            <w:r>
              <w:rPr>
                <w:spacing w:val="-7"/>
                <w:sz w:val="24"/>
              </w:rPr>
              <w:t> </w:t>
            </w:r>
            <w:r>
              <w:rPr>
                <w:sz w:val="24"/>
              </w:rPr>
              <w:t>upon, upto ground plus five floors.</w:t>
            </w:r>
          </w:p>
        </w:tc>
      </w:tr>
      <w:tr>
        <w:trPr>
          <w:trHeight w:val="1206" w:hRule="atLeast"/>
        </w:trPr>
        <w:tc>
          <w:tcPr>
            <w:tcW w:w="8781" w:type="dxa"/>
          </w:tcPr>
          <w:p>
            <w:pPr>
              <w:pStyle w:val="TableParagraph"/>
              <w:spacing w:before="42"/>
              <w:ind w:left="827" w:right="97"/>
              <w:jc w:val="both"/>
              <w:rPr>
                <w:sz w:val="24"/>
              </w:rPr>
            </w:pPr>
            <w:r>
              <w:rPr>
                <w:sz w:val="24"/>
              </w:rPr>
              <w:t>6.6 Notwithstanding</w:t>
            </w:r>
            <w:r>
              <w:rPr>
                <w:spacing w:val="-2"/>
                <w:sz w:val="24"/>
              </w:rPr>
              <w:t> </w:t>
            </w:r>
            <w:r>
              <w:rPr>
                <w:sz w:val="24"/>
              </w:rPr>
              <w:t>anything</w:t>
            </w:r>
            <w:r>
              <w:rPr>
                <w:spacing w:val="-4"/>
                <w:sz w:val="24"/>
              </w:rPr>
              <w:t> </w:t>
            </w:r>
            <w:r>
              <w:rPr>
                <w:sz w:val="24"/>
              </w:rPr>
              <w:t>contained</w:t>
            </w:r>
            <w:r>
              <w:rPr>
                <w:spacing w:val="-1"/>
                <w:sz w:val="24"/>
              </w:rPr>
              <w:t> </w:t>
            </w:r>
            <w:r>
              <w:rPr>
                <w:sz w:val="24"/>
              </w:rPr>
              <w:t>in</w:t>
            </w:r>
            <w:r>
              <w:rPr>
                <w:spacing w:val="-4"/>
                <w:sz w:val="24"/>
              </w:rPr>
              <w:t> </w:t>
            </w:r>
            <w:r>
              <w:rPr>
                <w:sz w:val="24"/>
              </w:rPr>
              <w:t>this</w:t>
            </w:r>
            <w:r>
              <w:rPr>
                <w:spacing w:val="-4"/>
                <w:sz w:val="24"/>
              </w:rPr>
              <w:t> </w:t>
            </w:r>
            <w:r>
              <w:rPr>
                <w:sz w:val="24"/>
              </w:rPr>
              <w:t>regulation</w:t>
            </w:r>
            <w:r>
              <w:rPr>
                <w:spacing w:val="-4"/>
                <w:sz w:val="24"/>
              </w:rPr>
              <w:t> </w:t>
            </w:r>
            <w:r>
              <w:rPr>
                <w:sz w:val="24"/>
              </w:rPr>
              <w:t>areas</w:t>
            </w:r>
            <w:r>
              <w:rPr>
                <w:spacing w:val="-4"/>
                <w:sz w:val="24"/>
              </w:rPr>
              <w:t> </w:t>
            </w:r>
            <w:r>
              <w:rPr>
                <w:sz w:val="24"/>
              </w:rPr>
              <w:t>of common passages not exceeding 2.0 m in width provided in rehabilitation component to give access shall not be counted towards FSI even while computing FSI on site.</w:t>
            </w:r>
          </w:p>
        </w:tc>
      </w:tr>
      <w:tr>
        <w:trPr>
          <w:trHeight w:val="1207" w:hRule="atLeast"/>
        </w:trPr>
        <w:tc>
          <w:tcPr>
            <w:tcW w:w="8781" w:type="dxa"/>
          </w:tcPr>
          <w:p>
            <w:pPr>
              <w:pStyle w:val="TableParagraph"/>
              <w:spacing w:before="42"/>
              <w:ind w:left="827" w:right="96"/>
              <w:jc w:val="both"/>
              <w:rPr>
                <w:sz w:val="24"/>
              </w:rPr>
            </w:pPr>
            <w:r>
              <w:rPr>
                <w:sz w:val="24"/>
              </w:rPr>
              <w:t>6.7Where</w:t>
            </w:r>
            <w:r>
              <w:rPr>
                <w:spacing w:val="-8"/>
                <w:sz w:val="24"/>
              </w:rPr>
              <w:t> </w:t>
            </w:r>
            <w:r>
              <w:rPr>
                <w:sz w:val="24"/>
              </w:rPr>
              <w:t>the</w:t>
            </w:r>
            <w:r>
              <w:rPr>
                <w:spacing w:val="-8"/>
                <w:sz w:val="24"/>
              </w:rPr>
              <w:t> </w:t>
            </w:r>
            <w:r>
              <w:rPr>
                <w:sz w:val="24"/>
              </w:rPr>
              <w:t>location</w:t>
            </w:r>
            <w:r>
              <w:rPr>
                <w:spacing w:val="-8"/>
                <w:sz w:val="24"/>
              </w:rPr>
              <w:t> </w:t>
            </w:r>
            <w:r>
              <w:rPr>
                <w:sz w:val="24"/>
              </w:rPr>
              <w:t>of</w:t>
            </w:r>
            <w:r>
              <w:rPr>
                <w:spacing w:val="-8"/>
                <w:sz w:val="24"/>
              </w:rPr>
              <w:t> </w:t>
            </w:r>
            <w:r>
              <w:rPr>
                <w:sz w:val="24"/>
              </w:rPr>
              <w:t>the</w:t>
            </w:r>
            <w:r>
              <w:rPr>
                <w:spacing w:val="-8"/>
                <w:sz w:val="24"/>
              </w:rPr>
              <w:t> </w:t>
            </w:r>
            <w:r>
              <w:rPr>
                <w:sz w:val="24"/>
              </w:rPr>
              <w:t>plot</w:t>
            </w:r>
            <w:r>
              <w:rPr>
                <w:spacing w:val="-8"/>
                <w:sz w:val="24"/>
              </w:rPr>
              <w:t> </w:t>
            </w:r>
            <w:r>
              <w:rPr>
                <w:sz w:val="24"/>
              </w:rPr>
              <w:t>abuts</w:t>
            </w:r>
            <w:r>
              <w:rPr>
                <w:spacing w:val="-10"/>
                <w:sz w:val="24"/>
              </w:rPr>
              <w:t> </w:t>
            </w:r>
            <w:r>
              <w:rPr>
                <w:sz w:val="24"/>
              </w:rPr>
              <w:t>a</w:t>
            </w:r>
            <w:r>
              <w:rPr>
                <w:spacing w:val="-10"/>
                <w:sz w:val="24"/>
              </w:rPr>
              <w:t> </w:t>
            </w:r>
            <w:r>
              <w:rPr>
                <w:sz w:val="24"/>
              </w:rPr>
              <w:t>nallah,</w:t>
            </w:r>
            <w:r>
              <w:rPr>
                <w:spacing w:val="-8"/>
                <w:sz w:val="24"/>
              </w:rPr>
              <w:t> </w:t>
            </w:r>
            <w:r>
              <w:rPr>
                <w:sz w:val="24"/>
              </w:rPr>
              <w:t>the</w:t>
            </w:r>
            <w:r>
              <w:rPr>
                <w:spacing w:val="-8"/>
                <w:sz w:val="24"/>
              </w:rPr>
              <w:t> </w:t>
            </w:r>
            <w:r>
              <w:rPr>
                <w:sz w:val="24"/>
              </w:rPr>
              <w:t>marginal</w:t>
            </w:r>
            <w:r>
              <w:rPr>
                <w:spacing w:val="-10"/>
                <w:sz w:val="24"/>
              </w:rPr>
              <w:t> </w:t>
            </w:r>
            <w:r>
              <w:rPr>
                <w:sz w:val="24"/>
              </w:rPr>
              <w:t>open space along the nallah shall not be insisted upon beyond 3m from the edge of the trained nallah provided at least on one side of nalla,</w:t>
            </w:r>
            <w:r>
              <w:rPr>
                <w:spacing w:val="40"/>
                <w:sz w:val="24"/>
              </w:rPr>
              <w:t> </w:t>
            </w:r>
            <w:r>
              <w:rPr>
                <w:sz w:val="24"/>
              </w:rPr>
              <w:t>marginal</w:t>
            </w:r>
            <w:r>
              <w:rPr>
                <w:spacing w:val="40"/>
                <w:sz w:val="24"/>
              </w:rPr>
              <w:t> </w:t>
            </w:r>
            <w:r>
              <w:rPr>
                <w:sz w:val="24"/>
              </w:rPr>
              <w:t>open</w:t>
            </w:r>
            <w:r>
              <w:rPr>
                <w:spacing w:val="40"/>
                <w:sz w:val="24"/>
              </w:rPr>
              <w:t> </w:t>
            </w:r>
            <w:r>
              <w:rPr>
                <w:sz w:val="24"/>
              </w:rPr>
              <w:t>space</w:t>
            </w:r>
            <w:r>
              <w:rPr>
                <w:spacing w:val="40"/>
                <w:sz w:val="24"/>
              </w:rPr>
              <w:t> </w:t>
            </w:r>
            <w:r>
              <w:rPr>
                <w:sz w:val="24"/>
              </w:rPr>
              <w:t>of</w:t>
            </w:r>
            <w:r>
              <w:rPr>
                <w:spacing w:val="40"/>
                <w:sz w:val="24"/>
              </w:rPr>
              <w:t> </w:t>
            </w:r>
            <w:r>
              <w:rPr>
                <w:sz w:val="24"/>
              </w:rPr>
              <w:t>6</w:t>
            </w:r>
            <w:r>
              <w:rPr>
                <w:spacing w:val="40"/>
                <w:sz w:val="24"/>
              </w:rPr>
              <w:t> </w:t>
            </w:r>
            <w:r>
              <w:rPr>
                <w:sz w:val="24"/>
              </w:rPr>
              <w:t>m</w:t>
            </w:r>
            <w:r>
              <w:rPr>
                <w:spacing w:val="40"/>
                <w:sz w:val="24"/>
              </w:rPr>
              <w:t> </w:t>
            </w:r>
            <w:r>
              <w:rPr>
                <w:sz w:val="24"/>
              </w:rPr>
              <w:t>is</w:t>
            </w:r>
            <w:r>
              <w:rPr>
                <w:spacing w:val="40"/>
                <w:sz w:val="24"/>
              </w:rPr>
              <w:t> </w:t>
            </w:r>
            <w:r>
              <w:rPr>
                <w:spacing w:val="9"/>
                <w:sz w:val="24"/>
              </w:rPr>
              <w:t>provided.</w:t>
            </w:r>
          </w:p>
        </w:tc>
      </w:tr>
      <w:tr>
        <w:trPr>
          <w:trHeight w:val="645" w:hRule="atLeast"/>
        </w:trPr>
        <w:tc>
          <w:tcPr>
            <w:tcW w:w="8781" w:type="dxa"/>
          </w:tcPr>
          <w:p>
            <w:pPr>
              <w:pStyle w:val="TableParagraph"/>
              <w:spacing w:before="42"/>
              <w:ind w:left="827"/>
              <w:rPr>
                <w:sz w:val="24"/>
              </w:rPr>
            </w:pPr>
            <w:r>
              <w:rPr>
                <w:sz w:val="24"/>
              </w:rPr>
              <w:t>6.8The</w:t>
            </w:r>
            <w:r>
              <w:rPr>
                <w:spacing w:val="-4"/>
                <w:sz w:val="24"/>
              </w:rPr>
              <w:t> </w:t>
            </w:r>
            <w:r>
              <w:rPr>
                <w:sz w:val="24"/>
              </w:rPr>
              <w:t>distance</w:t>
            </w:r>
            <w:r>
              <w:rPr>
                <w:spacing w:val="-4"/>
                <w:sz w:val="24"/>
              </w:rPr>
              <w:t> </w:t>
            </w:r>
            <w:r>
              <w:rPr>
                <w:sz w:val="24"/>
              </w:rPr>
              <w:t>between</w:t>
            </w:r>
            <w:r>
              <w:rPr>
                <w:spacing w:val="-4"/>
                <w:sz w:val="24"/>
              </w:rPr>
              <w:t> </w:t>
            </w:r>
            <w:r>
              <w:rPr>
                <w:sz w:val="24"/>
              </w:rPr>
              <w:t>any</w:t>
            </w:r>
            <w:r>
              <w:rPr>
                <w:spacing w:val="-3"/>
                <w:sz w:val="24"/>
              </w:rPr>
              <w:t> </w:t>
            </w:r>
            <w:r>
              <w:rPr>
                <w:sz w:val="24"/>
              </w:rPr>
              <w:t>two</w:t>
            </w:r>
            <w:r>
              <w:rPr>
                <w:spacing w:val="-4"/>
                <w:sz w:val="24"/>
              </w:rPr>
              <w:t> </w:t>
            </w:r>
            <w:r>
              <w:rPr>
                <w:sz w:val="24"/>
              </w:rPr>
              <w:t>rehab/composite</w:t>
            </w:r>
            <w:r>
              <w:rPr>
                <w:spacing w:val="-4"/>
                <w:sz w:val="24"/>
              </w:rPr>
              <w:t> </w:t>
            </w:r>
            <w:r>
              <w:rPr>
                <w:sz w:val="24"/>
              </w:rPr>
              <w:t>buildings</w:t>
            </w:r>
            <w:r>
              <w:rPr>
                <w:spacing w:val="-4"/>
                <w:sz w:val="24"/>
              </w:rPr>
              <w:t> </w:t>
            </w:r>
            <w:r>
              <w:rPr>
                <w:sz w:val="24"/>
              </w:rPr>
              <w:t>up</w:t>
            </w:r>
            <w:r>
              <w:rPr>
                <w:spacing w:val="-4"/>
                <w:sz w:val="24"/>
              </w:rPr>
              <w:t> </w:t>
            </w:r>
            <w:r>
              <w:rPr>
                <w:sz w:val="24"/>
              </w:rPr>
              <w:t>to height of 32 m shall not be less than 6 m</w:t>
            </w:r>
          </w:p>
        </w:tc>
      </w:tr>
      <w:tr>
        <w:trPr>
          <w:trHeight w:val="642" w:hRule="atLeast"/>
        </w:trPr>
        <w:tc>
          <w:tcPr>
            <w:tcW w:w="8781" w:type="dxa"/>
          </w:tcPr>
          <w:p>
            <w:pPr>
              <w:pStyle w:val="TableParagraph"/>
              <w:spacing w:before="40"/>
              <w:ind w:left="827" w:right="97"/>
              <w:rPr>
                <w:sz w:val="24"/>
              </w:rPr>
            </w:pPr>
            <w:r>
              <w:rPr>
                <w:sz w:val="24"/>
              </w:rPr>
              <w:t>6.9A</w:t>
            </w:r>
            <w:r>
              <w:rPr>
                <w:spacing w:val="37"/>
                <w:sz w:val="24"/>
              </w:rPr>
              <w:t> </w:t>
            </w:r>
            <w:r>
              <w:rPr>
                <w:sz w:val="24"/>
              </w:rPr>
              <w:t>composite</w:t>
            </w:r>
            <w:r>
              <w:rPr>
                <w:spacing w:val="37"/>
                <w:sz w:val="24"/>
              </w:rPr>
              <w:t> </w:t>
            </w:r>
            <w:r>
              <w:rPr>
                <w:sz w:val="24"/>
              </w:rPr>
              <w:t>building</w:t>
            </w:r>
            <w:r>
              <w:rPr>
                <w:spacing w:val="37"/>
                <w:sz w:val="24"/>
              </w:rPr>
              <w:t> </w:t>
            </w:r>
            <w:r>
              <w:rPr>
                <w:sz w:val="24"/>
              </w:rPr>
              <w:t>shall</w:t>
            </w:r>
            <w:r>
              <w:rPr>
                <w:spacing w:val="37"/>
                <w:sz w:val="24"/>
              </w:rPr>
              <w:t> </w:t>
            </w:r>
            <w:r>
              <w:rPr>
                <w:sz w:val="24"/>
              </w:rPr>
              <w:t>contain</w:t>
            </w:r>
            <w:r>
              <w:rPr>
                <w:spacing w:val="37"/>
                <w:sz w:val="24"/>
              </w:rPr>
              <w:t> </w:t>
            </w:r>
            <w:r>
              <w:rPr>
                <w:sz w:val="24"/>
              </w:rPr>
              <w:t>at</w:t>
            </w:r>
            <w:r>
              <w:rPr>
                <w:spacing w:val="37"/>
                <w:sz w:val="24"/>
              </w:rPr>
              <w:t> </w:t>
            </w:r>
            <w:r>
              <w:rPr>
                <w:sz w:val="24"/>
              </w:rPr>
              <w:t>least</w:t>
            </w:r>
            <w:r>
              <w:rPr>
                <w:spacing w:val="37"/>
                <w:sz w:val="24"/>
              </w:rPr>
              <w:t> </w:t>
            </w:r>
            <w:r>
              <w:rPr>
                <w:sz w:val="24"/>
              </w:rPr>
              <w:t>50</w:t>
            </w:r>
            <w:r>
              <w:rPr>
                <w:spacing w:val="37"/>
                <w:sz w:val="24"/>
              </w:rPr>
              <w:t> </w:t>
            </w:r>
            <w:r>
              <w:rPr>
                <w:sz w:val="24"/>
              </w:rPr>
              <w:t>percent</w:t>
            </w:r>
            <w:r>
              <w:rPr>
                <w:spacing w:val="34"/>
                <w:sz w:val="24"/>
              </w:rPr>
              <w:t> </w:t>
            </w:r>
            <w:r>
              <w:rPr>
                <w:sz w:val="24"/>
              </w:rPr>
              <w:t>of</w:t>
            </w:r>
            <w:r>
              <w:rPr>
                <w:spacing w:val="37"/>
                <w:sz w:val="24"/>
              </w:rPr>
              <w:t> </w:t>
            </w:r>
            <w:r>
              <w:rPr>
                <w:sz w:val="24"/>
              </w:rPr>
              <w:t>the built-up area as rehabilitation components</w:t>
            </w:r>
          </w:p>
        </w:tc>
      </w:tr>
      <w:tr>
        <w:trPr>
          <w:trHeight w:val="1487" w:hRule="atLeast"/>
        </w:trPr>
        <w:tc>
          <w:tcPr>
            <w:tcW w:w="8781" w:type="dxa"/>
          </w:tcPr>
          <w:p>
            <w:pPr>
              <w:pStyle w:val="TableParagraph"/>
              <w:spacing w:before="40"/>
              <w:ind w:left="827" w:right="94"/>
              <w:jc w:val="both"/>
              <w:rPr>
                <w:sz w:val="24"/>
              </w:rPr>
            </w:pPr>
            <w:r>
              <w:rPr>
                <w:sz w:val="24"/>
              </w:rPr>
              <w:t>6.10 Wherever more</w:t>
            </w:r>
            <w:r>
              <w:rPr>
                <w:spacing w:val="-2"/>
                <w:sz w:val="24"/>
              </w:rPr>
              <w:t> </w:t>
            </w:r>
            <w:r>
              <w:rPr>
                <w:sz w:val="24"/>
              </w:rPr>
              <w:t>than the minimum front and marginal spaces have been provided, such additional area provided may be considered as part of the amenity open space in the project comprising both rehabilitation and free sale components, and without</w:t>
            </w:r>
            <w:r>
              <w:rPr>
                <w:spacing w:val="-5"/>
                <w:sz w:val="24"/>
              </w:rPr>
              <w:t> </w:t>
            </w:r>
            <w:r>
              <w:rPr>
                <w:sz w:val="24"/>
              </w:rPr>
              <w:t>charging</w:t>
            </w:r>
            <w:r>
              <w:rPr>
                <w:spacing w:val="-5"/>
                <w:sz w:val="24"/>
              </w:rPr>
              <w:t> </w:t>
            </w:r>
            <w:r>
              <w:rPr>
                <w:sz w:val="24"/>
              </w:rPr>
              <w:t>any</w:t>
            </w:r>
            <w:r>
              <w:rPr>
                <w:spacing w:val="-3"/>
                <w:sz w:val="24"/>
              </w:rPr>
              <w:t> </w:t>
            </w:r>
            <w:r>
              <w:rPr>
                <w:sz w:val="24"/>
              </w:rPr>
              <w:t>premium</w:t>
            </w:r>
            <w:r>
              <w:rPr>
                <w:spacing w:val="-5"/>
                <w:sz w:val="24"/>
              </w:rPr>
              <w:t> </w:t>
            </w:r>
            <w:r>
              <w:rPr>
                <w:sz w:val="24"/>
              </w:rPr>
              <w:t>for,</w:t>
            </w:r>
            <w:r>
              <w:rPr>
                <w:spacing w:val="65"/>
                <w:sz w:val="24"/>
              </w:rPr>
              <w:t> </w:t>
            </w:r>
            <w:r>
              <w:rPr>
                <w:sz w:val="24"/>
              </w:rPr>
              <w:t>relaxation</w:t>
            </w:r>
            <w:r>
              <w:rPr>
                <w:spacing w:val="-4"/>
                <w:sz w:val="24"/>
              </w:rPr>
              <w:t> </w:t>
            </w:r>
            <w:r>
              <w:rPr>
                <w:sz w:val="24"/>
              </w:rPr>
              <w:t>as</w:t>
            </w:r>
            <w:r>
              <w:rPr>
                <w:spacing w:val="-5"/>
                <w:sz w:val="24"/>
              </w:rPr>
              <w:t> </w:t>
            </w:r>
            <w:r>
              <w:rPr>
                <w:sz w:val="24"/>
              </w:rPr>
              <w:t>per</w:t>
            </w:r>
            <w:r>
              <w:rPr>
                <w:spacing w:val="-4"/>
                <w:sz w:val="24"/>
              </w:rPr>
              <w:t> </w:t>
            </w:r>
            <w:r>
              <w:rPr>
                <w:sz w:val="24"/>
              </w:rPr>
              <w:t>clause</w:t>
            </w:r>
            <w:r>
              <w:rPr>
                <w:spacing w:val="-9"/>
                <w:sz w:val="24"/>
              </w:rPr>
              <w:t> </w:t>
            </w:r>
            <w:r>
              <w:rPr>
                <w:sz w:val="24"/>
              </w:rPr>
              <w:t>6.11</w:t>
            </w:r>
            <w:r>
              <w:rPr>
                <w:spacing w:val="68"/>
                <w:sz w:val="24"/>
              </w:rPr>
              <w:t> </w:t>
            </w:r>
            <w:r>
              <w:rPr>
                <w:spacing w:val="-10"/>
                <w:sz w:val="24"/>
              </w:rPr>
              <w:t>,</w:t>
            </w:r>
          </w:p>
        </w:tc>
      </w:tr>
      <w:tr>
        <w:trPr>
          <w:trHeight w:val="926" w:hRule="atLeast"/>
        </w:trPr>
        <w:tc>
          <w:tcPr>
            <w:tcW w:w="8781" w:type="dxa"/>
          </w:tcPr>
          <w:p>
            <w:pPr>
              <w:pStyle w:val="TableParagraph"/>
              <w:spacing w:before="42"/>
              <w:ind w:left="827" w:right="96"/>
              <w:jc w:val="both"/>
              <w:rPr>
                <w:sz w:val="24"/>
              </w:rPr>
            </w:pPr>
            <w:r>
              <w:rPr>
                <w:sz w:val="24"/>
              </w:rPr>
              <w:t>6.11</w:t>
            </w:r>
            <w:r>
              <w:rPr>
                <w:spacing w:val="-18"/>
                <w:sz w:val="24"/>
              </w:rPr>
              <w:t> </w:t>
            </w:r>
            <w:r>
              <w:rPr>
                <w:sz w:val="24"/>
              </w:rPr>
              <w:t>Even</w:t>
            </w:r>
            <w:r>
              <w:rPr>
                <w:spacing w:val="-18"/>
                <w:sz w:val="24"/>
              </w:rPr>
              <w:t> </w:t>
            </w:r>
            <w:r>
              <w:rPr>
                <w:sz w:val="24"/>
              </w:rPr>
              <w:t>if</w:t>
            </w:r>
            <w:r>
              <w:rPr>
                <w:spacing w:val="-18"/>
                <w:sz w:val="24"/>
              </w:rPr>
              <w:t> </w:t>
            </w:r>
            <w:r>
              <w:rPr>
                <w:sz w:val="24"/>
              </w:rPr>
              <w:t>the</w:t>
            </w:r>
            <w:r>
              <w:rPr>
                <w:spacing w:val="-18"/>
                <w:sz w:val="24"/>
              </w:rPr>
              <w:t> </w:t>
            </w:r>
            <w:r>
              <w:rPr>
                <w:sz w:val="24"/>
              </w:rPr>
              <w:t>amenity</w:t>
            </w:r>
            <w:r>
              <w:rPr>
                <w:spacing w:val="-18"/>
                <w:sz w:val="24"/>
              </w:rPr>
              <w:t> </w:t>
            </w:r>
            <w:r>
              <w:rPr>
                <w:sz w:val="24"/>
              </w:rPr>
              <w:t>space</w:t>
            </w:r>
            <w:r>
              <w:rPr>
                <w:spacing w:val="-18"/>
                <w:sz w:val="24"/>
              </w:rPr>
              <w:t> </w:t>
            </w:r>
            <w:r>
              <w:rPr>
                <w:sz w:val="24"/>
              </w:rPr>
              <w:t>is</w:t>
            </w:r>
            <w:r>
              <w:rPr>
                <w:spacing w:val="-18"/>
                <w:sz w:val="24"/>
              </w:rPr>
              <w:t> </w:t>
            </w:r>
            <w:r>
              <w:rPr>
                <w:sz w:val="24"/>
              </w:rPr>
              <w:t>reduced</w:t>
            </w:r>
            <w:r>
              <w:rPr>
                <w:spacing w:val="-16"/>
                <w:sz w:val="24"/>
              </w:rPr>
              <w:t> </w:t>
            </w:r>
            <w:r>
              <w:rPr>
                <w:sz w:val="24"/>
              </w:rPr>
              <w:t>to</w:t>
            </w:r>
            <w:r>
              <w:rPr>
                <w:spacing w:val="-18"/>
                <w:sz w:val="24"/>
              </w:rPr>
              <w:t> </w:t>
            </w:r>
            <w:r>
              <w:rPr>
                <w:sz w:val="24"/>
              </w:rPr>
              <w:t>make</w:t>
            </w:r>
            <w:r>
              <w:rPr>
                <w:spacing w:val="-18"/>
                <w:sz w:val="24"/>
              </w:rPr>
              <w:t> </w:t>
            </w:r>
            <w:r>
              <w:rPr>
                <w:sz w:val="24"/>
              </w:rPr>
              <w:t>the</w:t>
            </w:r>
            <w:r>
              <w:rPr>
                <w:spacing w:val="-18"/>
                <w:sz w:val="24"/>
              </w:rPr>
              <w:t> </w:t>
            </w:r>
            <w:r>
              <w:rPr>
                <w:sz w:val="24"/>
              </w:rPr>
              <w:t>project</w:t>
            </w:r>
            <w:r>
              <w:rPr>
                <w:spacing w:val="-15"/>
                <w:sz w:val="24"/>
              </w:rPr>
              <w:t> </w:t>
            </w:r>
            <w:r>
              <w:rPr>
                <w:sz w:val="24"/>
              </w:rPr>
              <w:t>viable a minimum of at least 8% of amenity open space</w:t>
            </w:r>
            <w:r>
              <w:rPr>
                <w:spacing w:val="40"/>
                <w:sz w:val="24"/>
              </w:rPr>
              <w:t> </w:t>
            </w:r>
            <w:r>
              <w:rPr>
                <w:sz w:val="24"/>
              </w:rPr>
              <w:t>shall be maintained at ground level.</w:t>
            </w:r>
          </w:p>
        </w:tc>
      </w:tr>
      <w:tr>
        <w:trPr>
          <w:trHeight w:val="1206" w:hRule="atLeast"/>
        </w:trPr>
        <w:tc>
          <w:tcPr>
            <w:tcW w:w="8781" w:type="dxa"/>
          </w:tcPr>
          <w:p>
            <w:pPr>
              <w:pStyle w:val="TableParagraph"/>
              <w:spacing w:before="40"/>
              <w:ind w:left="827" w:right="94"/>
              <w:jc w:val="both"/>
              <w:rPr>
                <w:sz w:val="24"/>
              </w:rPr>
            </w:pPr>
            <w:r>
              <w:rPr>
                <w:sz w:val="24"/>
              </w:rPr>
              <w:t>6.12 Between the dimensions prescribed for the pathway and marginal</w:t>
            </w:r>
            <w:r>
              <w:rPr>
                <w:spacing w:val="-16"/>
                <w:sz w:val="24"/>
              </w:rPr>
              <w:t> </w:t>
            </w:r>
            <w:r>
              <w:rPr>
                <w:sz w:val="24"/>
              </w:rPr>
              <w:t>distances,</w:t>
            </w:r>
            <w:r>
              <w:rPr>
                <w:spacing w:val="-16"/>
                <w:sz w:val="24"/>
              </w:rPr>
              <w:t> </w:t>
            </w:r>
            <w:r>
              <w:rPr>
                <w:sz w:val="24"/>
              </w:rPr>
              <w:t>the</w:t>
            </w:r>
            <w:r>
              <w:rPr>
                <w:spacing w:val="-16"/>
                <w:sz w:val="24"/>
              </w:rPr>
              <w:t> </w:t>
            </w:r>
            <w:r>
              <w:rPr>
                <w:sz w:val="24"/>
              </w:rPr>
              <w:t>larger</w:t>
            </w:r>
            <w:r>
              <w:rPr>
                <w:spacing w:val="-16"/>
                <w:sz w:val="24"/>
              </w:rPr>
              <w:t> </w:t>
            </w:r>
            <w:r>
              <w:rPr>
                <w:sz w:val="24"/>
              </w:rPr>
              <w:t>of</w:t>
            </w:r>
            <w:r>
              <w:rPr>
                <w:spacing w:val="-16"/>
                <w:sz w:val="24"/>
              </w:rPr>
              <w:t> </w:t>
            </w:r>
            <w:r>
              <w:rPr>
                <w:sz w:val="24"/>
              </w:rPr>
              <w:t>the</w:t>
            </w:r>
            <w:r>
              <w:rPr>
                <w:spacing w:val="-16"/>
                <w:sz w:val="24"/>
              </w:rPr>
              <w:t> </w:t>
            </w:r>
            <w:r>
              <w:rPr>
                <w:sz w:val="24"/>
              </w:rPr>
              <w:t>two</w:t>
            </w:r>
            <w:r>
              <w:rPr>
                <w:spacing w:val="-16"/>
                <w:sz w:val="24"/>
              </w:rPr>
              <w:t> </w:t>
            </w:r>
            <w:r>
              <w:rPr>
                <w:sz w:val="24"/>
              </w:rPr>
              <w:t>shall</w:t>
            </w:r>
            <w:r>
              <w:rPr>
                <w:spacing w:val="-16"/>
                <w:sz w:val="24"/>
              </w:rPr>
              <w:t> </w:t>
            </w:r>
            <w:r>
              <w:rPr>
                <w:sz w:val="24"/>
              </w:rPr>
              <w:t>prevail.</w:t>
            </w:r>
            <w:r>
              <w:rPr>
                <w:spacing w:val="40"/>
                <w:sz w:val="24"/>
              </w:rPr>
              <w:t> </w:t>
            </w:r>
            <w:r>
              <w:rPr>
                <w:sz w:val="24"/>
              </w:rPr>
              <w:t>The</w:t>
            </w:r>
            <w:r>
              <w:rPr>
                <w:spacing w:val="-16"/>
                <w:sz w:val="24"/>
              </w:rPr>
              <w:t> </w:t>
            </w:r>
            <w:r>
              <w:rPr>
                <w:sz w:val="24"/>
              </w:rPr>
              <w:t>pathway shall act as access wherever necessary.</w:t>
            </w:r>
            <w:r>
              <w:rPr>
                <w:spacing w:val="40"/>
                <w:sz w:val="24"/>
              </w:rPr>
              <w:t> </w:t>
            </w:r>
            <w:r>
              <w:rPr>
                <w:sz w:val="24"/>
              </w:rPr>
              <w:t>The building shall be permitted to touch pathways.</w:t>
            </w:r>
          </w:p>
        </w:tc>
      </w:tr>
      <w:tr>
        <w:trPr>
          <w:trHeight w:val="2335" w:hRule="atLeast"/>
        </w:trPr>
        <w:tc>
          <w:tcPr>
            <w:tcW w:w="8781" w:type="dxa"/>
          </w:tcPr>
          <w:p>
            <w:pPr>
              <w:pStyle w:val="TableParagraph"/>
              <w:spacing w:before="40"/>
              <w:ind w:left="827" w:right="95"/>
              <w:jc w:val="both"/>
              <w:rPr>
                <w:sz w:val="24"/>
              </w:rPr>
            </w:pPr>
            <w:r>
              <w:rPr>
                <w:sz w:val="24"/>
              </w:rPr>
              <w:t>6.13 The means of access shall be normally governed by the provisions</w:t>
            </w:r>
            <w:r>
              <w:rPr>
                <w:spacing w:val="-1"/>
                <w:sz w:val="24"/>
              </w:rPr>
              <w:t> </w:t>
            </w:r>
            <w:r>
              <w:rPr>
                <w:sz w:val="24"/>
              </w:rPr>
              <w:t>of</w:t>
            </w:r>
            <w:r>
              <w:rPr>
                <w:spacing w:val="-1"/>
                <w:sz w:val="24"/>
              </w:rPr>
              <w:t> </w:t>
            </w:r>
            <w:r>
              <w:rPr>
                <w:sz w:val="24"/>
              </w:rPr>
              <w:t>Regulation</w:t>
            </w:r>
            <w:r>
              <w:rPr>
                <w:spacing w:val="-1"/>
                <w:sz w:val="24"/>
              </w:rPr>
              <w:t> </w:t>
            </w:r>
            <w:r>
              <w:rPr>
                <w:sz w:val="24"/>
              </w:rPr>
              <w:t>No.</w:t>
            </w:r>
            <w:r>
              <w:rPr>
                <w:spacing w:val="-1"/>
                <w:sz w:val="24"/>
              </w:rPr>
              <w:t> </w:t>
            </w:r>
            <w:r>
              <w:rPr>
                <w:sz w:val="24"/>
              </w:rPr>
              <w:t>23.</w:t>
            </w:r>
            <w:r>
              <w:rPr>
                <w:spacing w:val="40"/>
                <w:sz w:val="24"/>
              </w:rPr>
              <w:t> </w:t>
            </w:r>
            <w:r>
              <w:rPr>
                <w:sz w:val="24"/>
              </w:rPr>
              <w:t>However,</w:t>
            </w:r>
            <w:r>
              <w:rPr>
                <w:spacing w:val="-1"/>
                <w:sz w:val="24"/>
              </w:rPr>
              <w:t> </w:t>
            </w:r>
            <w:r>
              <w:rPr>
                <w:sz w:val="24"/>
              </w:rPr>
              <w:t>in</w:t>
            </w:r>
            <w:r>
              <w:rPr>
                <w:spacing w:val="-1"/>
                <w:sz w:val="24"/>
              </w:rPr>
              <w:t> </w:t>
            </w:r>
            <w:r>
              <w:rPr>
                <w:sz w:val="24"/>
              </w:rPr>
              <w:t>the</w:t>
            </w:r>
            <w:r>
              <w:rPr>
                <w:spacing w:val="-1"/>
                <w:sz w:val="24"/>
              </w:rPr>
              <w:t> </w:t>
            </w:r>
            <w:r>
              <w:rPr>
                <w:sz w:val="24"/>
              </w:rPr>
              <w:t>project, wherever the design of the buildings in the same land requires relaxation, it may be given.</w:t>
            </w:r>
            <w:r>
              <w:rPr>
                <w:spacing w:val="40"/>
                <w:sz w:val="24"/>
              </w:rPr>
              <w:t> </w:t>
            </w:r>
            <w:r>
              <w:rPr>
                <w:sz w:val="24"/>
              </w:rPr>
              <w:t>Access through existing pathways including the roads</w:t>
            </w:r>
            <w:r>
              <w:rPr>
                <w:spacing w:val="-6"/>
                <w:sz w:val="24"/>
              </w:rPr>
              <w:t> </w:t>
            </w:r>
            <w:r>
              <w:rPr>
                <w:sz w:val="24"/>
              </w:rPr>
              <w:t>maintained</w:t>
            </w:r>
            <w:r>
              <w:rPr>
                <w:spacing w:val="-6"/>
                <w:sz w:val="24"/>
              </w:rPr>
              <w:t> </w:t>
            </w:r>
            <w:r>
              <w:rPr>
                <w:sz w:val="24"/>
              </w:rPr>
              <w:t>under</w:t>
            </w:r>
            <w:r>
              <w:rPr>
                <w:spacing w:val="-6"/>
                <w:sz w:val="24"/>
              </w:rPr>
              <w:t> </w:t>
            </w:r>
            <w:r>
              <w:rPr>
                <w:sz w:val="24"/>
              </w:rPr>
              <w:t>section</w:t>
            </w:r>
            <w:r>
              <w:rPr>
                <w:spacing w:val="-6"/>
                <w:sz w:val="24"/>
              </w:rPr>
              <w:t> </w:t>
            </w:r>
            <w:r>
              <w:rPr>
                <w:sz w:val="24"/>
              </w:rPr>
              <w:t>63K</w:t>
            </w:r>
            <w:r>
              <w:rPr>
                <w:spacing w:val="-6"/>
                <w:sz w:val="24"/>
              </w:rPr>
              <w:t> </w:t>
            </w:r>
            <w:r>
              <w:rPr>
                <w:sz w:val="24"/>
              </w:rPr>
              <w:t>of</w:t>
            </w:r>
            <w:r>
              <w:rPr>
                <w:spacing w:val="-6"/>
                <w:sz w:val="24"/>
              </w:rPr>
              <w:t> </w:t>
            </w:r>
            <w:r>
              <w:rPr>
                <w:sz w:val="24"/>
              </w:rPr>
              <w:t>the</w:t>
            </w:r>
            <w:r>
              <w:rPr>
                <w:spacing w:val="-6"/>
                <w:sz w:val="24"/>
              </w:rPr>
              <w:t> </w:t>
            </w:r>
            <w:r>
              <w:rPr>
                <w:sz w:val="24"/>
              </w:rPr>
              <w:t>MMC</w:t>
            </w:r>
            <w:r>
              <w:rPr>
                <w:spacing w:val="-6"/>
                <w:sz w:val="24"/>
              </w:rPr>
              <w:t> </w:t>
            </w:r>
            <w:r>
              <w:rPr>
                <w:sz w:val="24"/>
              </w:rPr>
              <w:t>Act,</w:t>
            </w:r>
            <w:r>
              <w:rPr>
                <w:spacing w:val="-6"/>
                <w:sz w:val="24"/>
              </w:rPr>
              <w:t> </w:t>
            </w:r>
            <w:r>
              <w:rPr>
                <w:sz w:val="24"/>
              </w:rPr>
              <w:t>1888</w:t>
            </w:r>
            <w:r>
              <w:rPr>
                <w:spacing w:val="-6"/>
                <w:sz w:val="24"/>
              </w:rPr>
              <w:t> </w:t>
            </w:r>
            <w:r>
              <w:rPr>
                <w:sz w:val="24"/>
              </w:rPr>
              <w:t>but</w:t>
            </w:r>
            <w:r>
              <w:rPr>
                <w:spacing w:val="-6"/>
                <w:sz w:val="24"/>
              </w:rPr>
              <w:t> </w:t>
            </w:r>
            <w:r>
              <w:rPr>
                <w:sz w:val="24"/>
              </w:rPr>
              <w:t>not less</w:t>
            </w:r>
            <w:r>
              <w:rPr>
                <w:spacing w:val="-15"/>
                <w:sz w:val="24"/>
              </w:rPr>
              <w:t> </w:t>
            </w:r>
            <w:r>
              <w:rPr>
                <w:sz w:val="24"/>
              </w:rPr>
              <w:t>than</w:t>
            </w:r>
            <w:r>
              <w:rPr>
                <w:spacing w:val="-15"/>
                <w:sz w:val="24"/>
              </w:rPr>
              <w:t> </w:t>
            </w:r>
            <w:r>
              <w:rPr>
                <w:sz w:val="24"/>
              </w:rPr>
              <w:t>3.6</w:t>
            </w:r>
            <w:r>
              <w:rPr>
                <w:spacing w:val="-15"/>
                <w:sz w:val="24"/>
              </w:rPr>
              <w:t> </w:t>
            </w:r>
            <w:r>
              <w:rPr>
                <w:sz w:val="24"/>
              </w:rPr>
              <w:t>m</w:t>
            </w:r>
            <w:r>
              <w:rPr>
                <w:spacing w:val="-15"/>
                <w:sz w:val="24"/>
              </w:rPr>
              <w:t> </w:t>
            </w:r>
            <w:r>
              <w:rPr>
                <w:sz w:val="24"/>
              </w:rPr>
              <w:t>in</w:t>
            </w:r>
            <w:r>
              <w:rPr>
                <w:spacing w:val="-15"/>
                <w:sz w:val="24"/>
              </w:rPr>
              <w:t> </w:t>
            </w:r>
            <w:r>
              <w:rPr>
                <w:sz w:val="24"/>
              </w:rPr>
              <w:t>width,</w:t>
            </w:r>
            <w:r>
              <w:rPr>
                <w:spacing w:val="-15"/>
                <w:sz w:val="24"/>
              </w:rPr>
              <w:t> </w:t>
            </w:r>
            <w:r>
              <w:rPr>
                <w:sz w:val="24"/>
              </w:rPr>
              <w:t>shall</w:t>
            </w:r>
            <w:r>
              <w:rPr>
                <w:spacing w:val="-15"/>
                <w:sz w:val="24"/>
              </w:rPr>
              <w:t> </w:t>
            </w:r>
            <w:r>
              <w:rPr>
                <w:sz w:val="24"/>
              </w:rPr>
              <w:t>be</w:t>
            </w:r>
            <w:r>
              <w:rPr>
                <w:spacing w:val="-15"/>
                <w:sz w:val="24"/>
              </w:rPr>
              <w:t> </w:t>
            </w:r>
            <w:r>
              <w:rPr>
                <w:sz w:val="24"/>
              </w:rPr>
              <w:t>considered</w:t>
            </w:r>
            <w:r>
              <w:rPr>
                <w:spacing w:val="-15"/>
                <w:sz w:val="24"/>
              </w:rPr>
              <w:t> </w:t>
            </w:r>
            <w:r>
              <w:rPr>
                <w:sz w:val="24"/>
              </w:rPr>
              <w:t>adequate</w:t>
            </w:r>
            <w:r>
              <w:rPr>
                <w:spacing w:val="-15"/>
                <w:sz w:val="24"/>
              </w:rPr>
              <w:t> </w:t>
            </w:r>
            <w:r>
              <w:rPr>
                <w:sz w:val="24"/>
              </w:rPr>
              <w:t>for</w:t>
            </w:r>
            <w:r>
              <w:rPr>
                <w:spacing w:val="-15"/>
                <w:sz w:val="24"/>
              </w:rPr>
              <w:t> </w:t>
            </w:r>
            <w:r>
              <w:rPr>
                <w:sz w:val="24"/>
              </w:rPr>
              <w:t>any</w:t>
            </w:r>
            <w:r>
              <w:rPr>
                <w:spacing w:val="-15"/>
                <w:sz w:val="24"/>
              </w:rPr>
              <w:t> </w:t>
            </w:r>
            <w:r>
              <w:rPr>
                <w:sz w:val="24"/>
              </w:rPr>
              <w:t>slum rehabilitation project, containing buildings having height up to 32 m including stilts</w:t>
            </w:r>
          </w:p>
        </w:tc>
      </w:tr>
      <w:tr>
        <w:trPr>
          <w:trHeight w:val="642" w:hRule="atLeast"/>
        </w:trPr>
        <w:tc>
          <w:tcPr>
            <w:tcW w:w="8781" w:type="dxa"/>
          </w:tcPr>
          <w:p>
            <w:pPr>
              <w:pStyle w:val="TableParagraph"/>
              <w:spacing w:before="40"/>
              <w:ind w:left="827" w:right="100"/>
              <w:rPr>
                <w:sz w:val="24"/>
              </w:rPr>
            </w:pPr>
            <w:r>
              <w:rPr>
                <w:sz w:val="24"/>
              </w:rPr>
              <w:t>6.14 Premium shall not be charged for exclusion of staircase and lift-well etc. as covered under the provisions of DCR 31(1).</w:t>
            </w:r>
          </w:p>
        </w:tc>
      </w:tr>
      <w:tr>
        <w:trPr>
          <w:trHeight w:val="1127" w:hRule="atLeast"/>
        </w:trPr>
        <w:tc>
          <w:tcPr>
            <w:tcW w:w="8781" w:type="dxa"/>
          </w:tcPr>
          <w:p>
            <w:pPr>
              <w:pStyle w:val="TableParagraph"/>
              <w:ind w:left="846"/>
              <w:rPr>
                <w:sz w:val="24"/>
              </w:rPr>
            </w:pPr>
            <w:r>
              <w:rPr>
                <w:sz w:val="24"/>
              </w:rPr>
              <w:t>6.15</w:t>
            </w:r>
            <w:r>
              <w:rPr>
                <w:spacing w:val="40"/>
                <w:sz w:val="24"/>
              </w:rPr>
              <w:t> </w:t>
            </w:r>
            <w:r>
              <w:rPr>
                <w:sz w:val="24"/>
              </w:rPr>
              <w:t>All</w:t>
            </w:r>
            <w:r>
              <w:rPr>
                <w:spacing w:val="40"/>
                <w:sz w:val="24"/>
              </w:rPr>
              <w:t> </w:t>
            </w:r>
            <w:r>
              <w:rPr>
                <w:sz w:val="24"/>
              </w:rPr>
              <w:t>relaxations</w:t>
            </w:r>
            <w:r>
              <w:rPr>
                <w:spacing w:val="40"/>
                <w:sz w:val="24"/>
              </w:rPr>
              <w:t> </w:t>
            </w:r>
            <w:r>
              <w:rPr>
                <w:sz w:val="24"/>
              </w:rPr>
              <w:t>outlined</w:t>
            </w:r>
            <w:r>
              <w:rPr>
                <w:spacing w:val="40"/>
                <w:sz w:val="24"/>
              </w:rPr>
              <w:t> </w:t>
            </w:r>
            <w:r>
              <w:rPr>
                <w:sz w:val="24"/>
              </w:rPr>
              <w:t>hereinabove</w:t>
            </w:r>
            <w:r>
              <w:rPr>
                <w:spacing w:val="40"/>
                <w:sz w:val="24"/>
              </w:rPr>
              <w:t> </w:t>
            </w:r>
            <w:r>
              <w:rPr>
                <w:sz w:val="24"/>
              </w:rPr>
              <w:t>shall</w:t>
            </w:r>
            <w:r>
              <w:rPr>
                <w:spacing w:val="40"/>
                <w:sz w:val="24"/>
              </w:rPr>
              <w:t> </w:t>
            </w:r>
            <w:r>
              <w:rPr>
                <w:sz w:val="24"/>
              </w:rPr>
              <w:t>be</w:t>
            </w:r>
            <w:r>
              <w:rPr>
                <w:spacing w:val="40"/>
                <w:sz w:val="24"/>
              </w:rPr>
              <w:t> </w:t>
            </w:r>
            <w:r>
              <w:rPr>
                <w:sz w:val="24"/>
              </w:rPr>
              <w:t>given</w:t>
            </w:r>
            <w:r>
              <w:rPr>
                <w:spacing w:val="40"/>
                <w:sz w:val="24"/>
              </w:rPr>
              <w:t> </w:t>
            </w:r>
            <w:r>
              <w:rPr>
                <w:sz w:val="24"/>
              </w:rPr>
              <w:t>to</w:t>
            </w:r>
            <w:r>
              <w:rPr>
                <w:spacing w:val="40"/>
                <w:sz w:val="24"/>
              </w:rPr>
              <w:t> </w:t>
            </w:r>
            <w:r>
              <w:rPr>
                <w:sz w:val="24"/>
              </w:rPr>
              <w:t>the rehabilitation</w:t>
            </w:r>
            <w:r>
              <w:rPr>
                <w:spacing w:val="23"/>
                <w:sz w:val="24"/>
              </w:rPr>
              <w:t> </w:t>
            </w:r>
            <w:r>
              <w:rPr>
                <w:sz w:val="24"/>
              </w:rPr>
              <w:t>component,</w:t>
            </w:r>
            <w:r>
              <w:rPr>
                <w:spacing w:val="25"/>
                <w:sz w:val="24"/>
              </w:rPr>
              <w:t> </w:t>
            </w:r>
            <w:r>
              <w:rPr>
                <w:sz w:val="24"/>
              </w:rPr>
              <w:t>and</w:t>
            </w:r>
            <w:r>
              <w:rPr>
                <w:spacing w:val="25"/>
                <w:sz w:val="24"/>
              </w:rPr>
              <w:t> </w:t>
            </w:r>
            <w:r>
              <w:rPr>
                <w:sz w:val="24"/>
              </w:rPr>
              <w:t>also</w:t>
            </w:r>
            <w:r>
              <w:rPr>
                <w:spacing w:val="26"/>
                <w:sz w:val="24"/>
              </w:rPr>
              <w:t> </w:t>
            </w:r>
            <w:r>
              <w:rPr>
                <w:sz w:val="24"/>
              </w:rPr>
              <w:t>to</w:t>
            </w:r>
            <w:r>
              <w:rPr>
                <w:spacing w:val="25"/>
                <w:sz w:val="24"/>
              </w:rPr>
              <w:t> </w:t>
            </w:r>
            <w:r>
              <w:rPr>
                <w:sz w:val="24"/>
              </w:rPr>
              <w:t>the</w:t>
            </w:r>
            <w:r>
              <w:rPr>
                <w:spacing w:val="25"/>
                <w:sz w:val="24"/>
              </w:rPr>
              <w:t> </w:t>
            </w:r>
            <w:r>
              <w:rPr>
                <w:sz w:val="24"/>
              </w:rPr>
              <w:t>composite</w:t>
            </w:r>
            <w:r>
              <w:rPr>
                <w:spacing w:val="25"/>
                <w:sz w:val="24"/>
              </w:rPr>
              <w:t> </w:t>
            </w:r>
            <w:r>
              <w:rPr>
                <w:sz w:val="24"/>
              </w:rPr>
              <w:t>buildings</w:t>
            </w:r>
            <w:r>
              <w:rPr>
                <w:spacing w:val="26"/>
                <w:sz w:val="24"/>
              </w:rPr>
              <w:t> </w:t>
            </w:r>
            <w:r>
              <w:rPr>
                <w:spacing w:val="-5"/>
                <w:sz w:val="24"/>
              </w:rPr>
              <w:t>in</w:t>
            </w:r>
          </w:p>
          <w:p>
            <w:pPr>
              <w:pStyle w:val="TableParagraph"/>
              <w:tabs>
                <w:tab w:pos="2444" w:val="left" w:leader="none"/>
                <w:tab w:pos="5095" w:val="left" w:leader="none"/>
              </w:tabs>
              <w:spacing w:line="280" w:lineRule="exact"/>
              <w:ind w:left="846" w:right="100"/>
              <w:rPr>
                <w:sz w:val="24"/>
              </w:rPr>
            </w:pPr>
            <w:r>
              <w:rPr>
                <w:sz w:val="24"/>
              </w:rPr>
              <w:t>the project.</w:t>
              <w:tab/>
              <w:t>Premium</w:t>
            </w:r>
            <w:r>
              <w:rPr>
                <w:spacing w:val="34"/>
                <w:sz w:val="24"/>
              </w:rPr>
              <w:t> </w:t>
            </w:r>
            <w:r>
              <w:rPr>
                <w:sz w:val="24"/>
              </w:rPr>
              <w:t>shall</w:t>
            </w:r>
            <w:r>
              <w:rPr>
                <w:spacing w:val="34"/>
                <w:sz w:val="24"/>
              </w:rPr>
              <w:t> </w:t>
            </w:r>
            <w:r>
              <w:rPr>
                <w:sz w:val="24"/>
              </w:rPr>
              <w:t>not</w:t>
            </w:r>
            <w:r>
              <w:rPr>
                <w:spacing w:val="34"/>
                <w:sz w:val="24"/>
              </w:rPr>
              <w:t> </w:t>
            </w:r>
            <w:r>
              <w:rPr>
                <w:sz w:val="24"/>
              </w:rPr>
              <w:t>be</w:t>
            </w:r>
            <w:r>
              <w:rPr>
                <w:spacing w:val="34"/>
                <w:sz w:val="24"/>
              </w:rPr>
              <w:t> </w:t>
            </w:r>
            <w:r>
              <w:rPr>
                <w:sz w:val="24"/>
              </w:rPr>
              <w:t>charged</w:t>
            </w:r>
            <w:r>
              <w:rPr>
                <w:spacing w:val="34"/>
                <w:sz w:val="24"/>
              </w:rPr>
              <w:t> </w:t>
            </w:r>
            <w:r>
              <w:rPr>
                <w:sz w:val="24"/>
              </w:rPr>
              <w:t>for</w:t>
            </w:r>
            <w:r>
              <w:rPr>
                <w:spacing w:val="34"/>
                <w:sz w:val="24"/>
              </w:rPr>
              <w:t> </w:t>
            </w:r>
            <w:r>
              <w:rPr>
                <w:sz w:val="24"/>
              </w:rPr>
              <w:t>all</w:t>
            </w:r>
            <w:r>
              <w:rPr>
                <w:spacing w:val="34"/>
                <w:sz w:val="24"/>
              </w:rPr>
              <w:t> </w:t>
            </w:r>
            <w:r>
              <w:rPr>
                <w:sz w:val="24"/>
              </w:rPr>
              <w:t>or</w:t>
            </w:r>
            <w:r>
              <w:rPr>
                <w:spacing w:val="34"/>
                <w:sz w:val="24"/>
              </w:rPr>
              <w:t> </w:t>
            </w:r>
            <w:r>
              <w:rPr>
                <w:sz w:val="24"/>
              </w:rPr>
              <w:t>any</w:t>
            </w:r>
            <w:r>
              <w:rPr>
                <w:spacing w:val="34"/>
                <w:sz w:val="24"/>
              </w:rPr>
              <w:t> </w:t>
            </w:r>
            <w:r>
              <w:rPr>
                <w:sz w:val="24"/>
              </w:rPr>
              <w:t>of</w:t>
            </w:r>
            <w:r>
              <w:rPr>
                <w:spacing w:val="34"/>
                <w:sz w:val="24"/>
              </w:rPr>
              <w:t> </w:t>
            </w:r>
            <w:r>
              <w:rPr>
                <w:sz w:val="24"/>
              </w:rPr>
              <w:t>the relaxations</w:t>
            </w:r>
            <w:r>
              <w:rPr>
                <w:spacing w:val="50"/>
                <w:w w:val="150"/>
                <w:sz w:val="24"/>
              </w:rPr>
              <w:t> </w:t>
            </w:r>
            <w:r>
              <w:rPr>
                <w:sz w:val="24"/>
              </w:rPr>
              <w:t>given</w:t>
            </w:r>
            <w:r>
              <w:rPr>
                <w:spacing w:val="51"/>
                <w:w w:val="150"/>
                <w:sz w:val="24"/>
              </w:rPr>
              <w:t> </w:t>
            </w:r>
            <w:r>
              <w:rPr>
                <w:sz w:val="24"/>
              </w:rPr>
              <w:t>herein</w:t>
            </w:r>
            <w:r>
              <w:rPr>
                <w:spacing w:val="50"/>
                <w:w w:val="150"/>
                <w:sz w:val="24"/>
              </w:rPr>
              <w:t> </w:t>
            </w:r>
            <w:r>
              <w:rPr>
                <w:spacing w:val="-2"/>
                <w:sz w:val="24"/>
              </w:rPr>
              <w:t>above.</w:t>
            </w:r>
            <w:r>
              <w:rPr>
                <w:sz w:val="24"/>
              </w:rPr>
              <w:tab/>
              <w:t>Provided</w:t>
            </w:r>
            <w:r>
              <w:rPr>
                <w:spacing w:val="51"/>
                <w:w w:val="150"/>
                <w:sz w:val="24"/>
              </w:rPr>
              <w:t> </w:t>
            </w:r>
            <w:r>
              <w:rPr>
                <w:sz w:val="24"/>
              </w:rPr>
              <w:t>that</w:t>
            </w:r>
            <w:r>
              <w:rPr>
                <w:spacing w:val="52"/>
                <w:w w:val="150"/>
                <w:sz w:val="24"/>
              </w:rPr>
              <w:t> </w:t>
            </w:r>
            <w:r>
              <w:rPr>
                <w:sz w:val="24"/>
              </w:rPr>
              <w:t>if</w:t>
            </w:r>
            <w:r>
              <w:rPr>
                <w:spacing w:val="52"/>
                <w:w w:val="150"/>
                <w:sz w:val="24"/>
              </w:rPr>
              <w:t> </w:t>
            </w:r>
            <w:r>
              <w:rPr>
                <w:sz w:val="24"/>
              </w:rPr>
              <w:t>any</w:t>
            </w:r>
            <w:r>
              <w:rPr>
                <w:spacing w:val="52"/>
                <w:w w:val="150"/>
                <w:sz w:val="24"/>
              </w:rPr>
              <w:t> </w:t>
            </w:r>
            <w:r>
              <w:rPr>
                <w:spacing w:val="-2"/>
                <w:sz w:val="24"/>
              </w:rPr>
              <w:t>further</w:t>
            </w:r>
          </w:p>
        </w:tc>
      </w:tr>
    </w:tbl>
    <w:p>
      <w:pPr>
        <w:pStyle w:val="TableParagraph"/>
        <w:spacing w:after="0" w:line="280" w:lineRule="exact"/>
        <w:rPr>
          <w:sz w:val="24"/>
        </w:rPr>
        <w:sectPr>
          <w:pgSz w:w="11910" w:h="16840"/>
          <w:pgMar w:header="1065" w:footer="1194" w:top="1500" w:bottom="1380" w:left="360" w:right="360"/>
        </w:sectPr>
      </w:pPr>
    </w:p>
    <w:p>
      <w:pPr>
        <w:pStyle w:val="BodyText"/>
        <w:spacing w:before="14" w:after="1"/>
        <w:jc w:val="left"/>
        <w:rPr>
          <w:sz w:val="20"/>
        </w:rPr>
      </w:pPr>
    </w:p>
    <w:tbl>
      <w:tblPr>
        <w:tblW w:w="0" w:type="auto"/>
        <w:jc w:val="left"/>
        <w:tblInd w:w="1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1"/>
      </w:tblGrid>
      <w:tr>
        <w:trPr>
          <w:trHeight w:val="3340" w:hRule="atLeast"/>
        </w:trPr>
        <w:tc>
          <w:tcPr>
            <w:tcW w:w="8781" w:type="dxa"/>
          </w:tcPr>
          <w:p>
            <w:pPr>
              <w:pStyle w:val="TableParagraph"/>
              <w:spacing w:before="2"/>
              <w:ind w:left="846" w:right="97"/>
              <w:jc w:val="both"/>
              <w:rPr>
                <w:sz w:val="24"/>
              </w:rPr>
            </w:pPr>
            <w:r>
              <w:rPr>
                <w:sz w:val="24"/>
              </w:rPr>
              <w:t>relaxation</w:t>
            </w:r>
            <w:r>
              <w:rPr>
                <w:spacing w:val="-16"/>
                <w:sz w:val="24"/>
              </w:rPr>
              <w:t> </w:t>
            </w:r>
            <w:r>
              <w:rPr>
                <w:sz w:val="24"/>
              </w:rPr>
              <w:t>in</w:t>
            </w:r>
            <w:r>
              <w:rPr>
                <w:spacing w:val="-16"/>
                <w:sz w:val="24"/>
              </w:rPr>
              <w:t> </w:t>
            </w:r>
            <w:r>
              <w:rPr>
                <w:sz w:val="24"/>
              </w:rPr>
              <w:t>open</w:t>
            </w:r>
            <w:r>
              <w:rPr>
                <w:spacing w:val="-16"/>
                <w:sz w:val="24"/>
              </w:rPr>
              <w:t> </w:t>
            </w:r>
            <w:r>
              <w:rPr>
                <w:sz w:val="24"/>
              </w:rPr>
              <w:t>spaces</w:t>
            </w:r>
            <w:r>
              <w:rPr>
                <w:spacing w:val="-16"/>
                <w:sz w:val="24"/>
              </w:rPr>
              <w:t> </w:t>
            </w:r>
            <w:r>
              <w:rPr>
                <w:sz w:val="24"/>
              </w:rPr>
              <w:t>is</w:t>
            </w:r>
            <w:r>
              <w:rPr>
                <w:spacing w:val="-16"/>
                <w:sz w:val="24"/>
              </w:rPr>
              <w:t> </w:t>
            </w:r>
            <w:r>
              <w:rPr>
                <w:sz w:val="24"/>
              </w:rPr>
              <w:t>granted</w:t>
            </w:r>
            <w:r>
              <w:rPr>
                <w:spacing w:val="-16"/>
                <w:sz w:val="24"/>
              </w:rPr>
              <w:t> </w:t>
            </w:r>
            <w:r>
              <w:rPr>
                <w:sz w:val="24"/>
              </w:rPr>
              <w:t>by</w:t>
            </w:r>
            <w:r>
              <w:rPr>
                <w:spacing w:val="-16"/>
                <w:sz w:val="24"/>
              </w:rPr>
              <w:t> </w:t>
            </w:r>
            <w:r>
              <w:rPr>
                <w:sz w:val="24"/>
              </w:rPr>
              <w:t>Chief</w:t>
            </w:r>
            <w:r>
              <w:rPr>
                <w:spacing w:val="-16"/>
                <w:sz w:val="24"/>
              </w:rPr>
              <w:t> </w:t>
            </w:r>
            <w:r>
              <w:rPr>
                <w:sz w:val="24"/>
              </w:rPr>
              <w:t>Executive</w:t>
            </w:r>
            <w:r>
              <w:rPr>
                <w:spacing w:val="-16"/>
                <w:sz w:val="24"/>
              </w:rPr>
              <w:t> </w:t>
            </w:r>
            <w:r>
              <w:rPr>
                <w:sz w:val="24"/>
              </w:rPr>
              <w:t>Officer</w:t>
            </w:r>
            <w:r>
              <w:rPr>
                <w:spacing w:val="-16"/>
                <w:sz w:val="24"/>
              </w:rPr>
              <w:t> </w:t>
            </w:r>
            <w:r>
              <w:rPr>
                <w:sz w:val="24"/>
              </w:rPr>
              <w:t>then the same shall be subject to compliance of CFO requirement and recovery of premium at the rate 2.5% of ASR. . In case of Slum Rehabilitation Schemes under this regulation, the amount of premium shall be computed as per the ASR rate prevailing at the time of issue of IOA and the same shall be recovered at the time of grant of full occupation permission to the respective building. However,</w:t>
            </w:r>
            <w:r>
              <w:rPr>
                <w:spacing w:val="-6"/>
                <w:sz w:val="24"/>
              </w:rPr>
              <w:t> </w:t>
            </w:r>
            <w:r>
              <w:rPr>
                <w:sz w:val="24"/>
              </w:rPr>
              <w:t>this</w:t>
            </w:r>
            <w:r>
              <w:rPr>
                <w:spacing w:val="-6"/>
                <w:sz w:val="24"/>
              </w:rPr>
              <w:t> </w:t>
            </w:r>
            <w:r>
              <w:rPr>
                <w:sz w:val="24"/>
              </w:rPr>
              <w:t>mode</w:t>
            </w:r>
            <w:r>
              <w:rPr>
                <w:spacing w:val="-3"/>
                <w:sz w:val="24"/>
              </w:rPr>
              <w:t> </w:t>
            </w:r>
            <w:r>
              <w:rPr>
                <w:sz w:val="24"/>
              </w:rPr>
              <w:t>of</w:t>
            </w:r>
            <w:r>
              <w:rPr>
                <w:spacing w:val="-6"/>
                <w:sz w:val="24"/>
              </w:rPr>
              <w:t> </w:t>
            </w:r>
            <w:r>
              <w:rPr>
                <w:sz w:val="24"/>
              </w:rPr>
              <w:t>payment</w:t>
            </w:r>
            <w:r>
              <w:rPr>
                <w:spacing w:val="-6"/>
                <w:sz w:val="24"/>
              </w:rPr>
              <w:t> </w:t>
            </w:r>
            <w:r>
              <w:rPr>
                <w:sz w:val="24"/>
              </w:rPr>
              <w:t>of</w:t>
            </w:r>
            <w:r>
              <w:rPr>
                <w:spacing w:val="-6"/>
                <w:sz w:val="24"/>
              </w:rPr>
              <w:t> </w:t>
            </w:r>
            <w:r>
              <w:rPr>
                <w:sz w:val="24"/>
              </w:rPr>
              <w:t>premium</w:t>
            </w:r>
            <w:r>
              <w:rPr>
                <w:spacing w:val="-6"/>
                <w:sz w:val="24"/>
              </w:rPr>
              <w:t> </w:t>
            </w:r>
            <w:r>
              <w:rPr>
                <w:sz w:val="24"/>
              </w:rPr>
              <w:t>shall</w:t>
            </w:r>
            <w:r>
              <w:rPr>
                <w:spacing w:val="-6"/>
                <w:sz w:val="24"/>
              </w:rPr>
              <w:t> </w:t>
            </w:r>
            <w:r>
              <w:rPr>
                <w:sz w:val="24"/>
              </w:rPr>
              <w:t>not</w:t>
            </w:r>
            <w:r>
              <w:rPr>
                <w:spacing w:val="-6"/>
                <w:sz w:val="24"/>
              </w:rPr>
              <w:t> </w:t>
            </w:r>
            <w:r>
              <w:rPr>
                <w:sz w:val="24"/>
              </w:rPr>
              <w:t>be</w:t>
            </w:r>
            <w:r>
              <w:rPr>
                <w:spacing w:val="-4"/>
                <w:sz w:val="24"/>
              </w:rPr>
              <w:t> </w:t>
            </w:r>
            <w:r>
              <w:rPr>
                <w:sz w:val="24"/>
              </w:rPr>
              <w:t>applicable for any other redevelopment scheme other than that under Regulation 33(10). All other redevelopment schemes shall be governed by their respective regulations.</w:t>
            </w:r>
          </w:p>
        </w:tc>
      </w:tr>
      <w:tr>
        <w:trPr>
          <w:trHeight w:val="1819" w:hRule="atLeast"/>
        </w:trPr>
        <w:tc>
          <w:tcPr>
            <w:tcW w:w="8781" w:type="dxa"/>
          </w:tcPr>
          <w:p>
            <w:pPr>
              <w:pStyle w:val="TableParagraph"/>
              <w:spacing w:line="276" w:lineRule="auto"/>
              <w:ind w:left="844" w:right="97"/>
              <w:jc w:val="both"/>
              <w:rPr>
                <w:sz w:val="24"/>
              </w:rPr>
            </w:pPr>
            <w:r>
              <w:rPr>
                <w:sz w:val="24"/>
              </w:rPr>
              <w:t>6.16Relaxations</w:t>
            </w:r>
            <w:r>
              <w:rPr>
                <w:spacing w:val="-14"/>
                <w:sz w:val="24"/>
              </w:rPr>
              <w:t> </w:t>
            </w:r>
            <w:r>
              <w:rPr>
                <w:sz w:val="24"/>
              </w:rPr>
              <w:t>for</w:t>
            </w:r>
            <w:r>
              <w:rPr>
                <w:spacing w:val="-14"/>
                <w:sz w:val="24"/>
              </w:rPr>
              <w:t> </w:t>
            </w:r>
            <w:r>
              <w:rPr>
                <w:sz w:val="24"/>
              </w:rPr>
              <w:t>the</w:t>
            </w:r>
            <w:r>
              <w:rPr>
                <w:spacing w:val="-14"/>
                <w:sz w:val="24"/>
              </w:rPr>
              <w:t> </w:t>
            </w:r>
            <w:r>
              <w:rPr>
                <w:sz w:val="24"/>
              </w:rPr>
              <w:t>free</w:t>
            </w:r>
            <w:r>
              <w:rPr>
                <w:spacing w:val="-14"/>
                <w:sz w:val="24"/>
              </w:rPr>
              <w:t> </w:t>
            </w:r>
            <w:r>
              <w:rPr>
                <w:sz w:val="24"/>
              </w:rPr>
              <w:t>sale</w:t>
            </w:r>
            <w:r>
              <w:rPr>
                <w:spacing w:val="-14"/>
                <w:sz w:val="24"/>
              </w:rPr>
              <w:t> </w:t>
            </w:r>
            <w:r>
              <w:rPr>
                <w:sz w:val="24"/>
              </w:rPr>
              <w:t>component</w:t>
            </w:r>
            <w:r>
              <w:rPr>
                <w:spacing w:val="-13"/>
                <w:sz w:val="24"/>
              </w:rPr>
              <w:t> </w:t>
            </w:r>
            <w:r>
              <w:rPr>
                <w:sz w:val="24"/>
              </w:rPr>
              <w:t>–</w:t>
            </w:r>
            <w:r>
              <w:rPr>
                <w:spacing w:val="-14"/>
                <w:sz w:val="24"/>
              </w:rPr>
              <w:t> </w:t>
            </w:r>
            <w:r>
              <w:rPr>
                <w:sz w:val="24"/>
              </w:rPr>
              <w:t>Relaxation</w:t>
            </w:r>
            <w:r>
              <w:rPr>
                <w:spacing w:val="-14"/>
                <w:sz w:val="24"/>
              </w:rPr>
              <w:t> </w:t>
            </w:r>
            <w:r>
              <w:rPr>
                <w:sz w:val="24"/>
              </w:rPr>
              <w:t>contained in sub regulation No. 6.9 above, as well as other necessary relaxation</w:t>
            </w:r>
            <w:r>
              <w:rPr>
                <w:spacing w:val="-11"/>
                <w:sz w:val="24"/>
              </w:rPr>
              <w:t> </w:t>
            </w:r>
            <w:r>
              <w:rPr>
                <w:sz w:val="24"/>
              </w:rPr>
              <w:t>shall</w:t>
            </w:r>
            <w:r>
              <w:rPr>
                <w:spacing w:val="-11"/>
                <w:sz w:val="24"/>
              </w:rPr>
              <w:t> </w:t>
            </w:r>
            <w:r>
              <w:rPr>
                <w:sz w:val="24"/>
              </w:rPr>
              <w:t>be</w:t>
            </w:r>
            <w:r>
              <w:rPr>
                <w:spacing w:val="-10"/>
                <w:sz w:val="24"/>
              </w:rPr>
              <w:t> </w:t>
            </w:r>
            <w:r>
              <w:rPr>
                <w:sz w:val="24"/>
              </w:rPr>
              <w:t>given</w:t>
            </w:r>
            <w:r>
              <w:rPr>
                <w:spacing w:val="-11"/>
                <w:sz w:val="24"/>
              </w:rPr>
              <w:t> </w:t>
            </w:r>
            <w:r>
              <w:rPr>
                <w:sz w:val="24"/>
              </w:rPr>
              <w:t>to</w:t>
            </w:r>
            <w:r>
              <w:rPr>
                <w:spacing w:val="-11"/>
                <w:sz w:val="24"/>
              </w:rPr>
              <w:t> </w:t>
            </w:r>
            <w:r>
              <w:rPr>
                <w:sz w:val="24"/>
              </w:rPr>
              <w:t>the</w:t>
            </w:r>
            <w:r>
              <w:rPr>
                <w:spacing w:val="-11"/>
                <w:sz w:val="24"/>
              </w:rPr>
              <w:t> </w:t>
            </w:r>
            <w:r>
              <w:rPr>
                <w:sz w:val="24"/>
              </w:rPr>
              <w:t>free</w:t>
            </w:r>
            <w:r>
              <w:rPr>
                <w:spacing w:val="-11"/>
                <w:sz w:val="24"/>
              </w:rPr>
              <w:t> </w:t>
            </w:r>
            <w:r>
              <w:rPr>
                <w:sz w:val="24"/>
              </w:rPr>
              <w:t>sale</w:t>
            </w:r>
            <w:r>
              <w:rPr>
                <w:spacing w:val="-11"/>
                <w:sz w:val="24"/>
              </w:rPr>
              <w:t> </w:t>
            </w:r>
            <w:r>
              <w:rPr>
                <w:sz w:val="24"/>
              </w:rPr>
              <w:t>components</w:t>
            </w:r>
            <w:r>
              <w:rPr>
                <w:spacing w:val="-11"/>
                <w:sz w:val="24"/>
              </w:rPr>
              <w:t> </w:t>
            </w:r>
            <w:r>
              <w:rPr>
                <w:sz w:val="24"/>
              </w:rPr>
              <w:t>on</w:t>
            </w:r>
            <w:r>
              <w:rPr>
                <w:spacing w:val="-11"/>
                <w:sz w:val="24"/>
              </w:rPr>
              <w:t> </w:t>
            </w:r>
            <w:r>
              <w:rPr>
                <w:sz w:val="24"/>
              </w:rPr>
              <w:t>payment</w:t>
            </w:r>
            <w:r>
              <w:rPr>
                <w:spacing w:val="-11"/>
                <w:sz w:val="24"/>
              </w:rPr>
              <w:t> </w:t>
            </w:r>
            <w:r>
              <w:rPr>
                <w:sz w:val="24"/>
              </w:rPr>
              <w:t>of premium at the rate of 2.5% of Ready Reckoner Rate or 10% </w:t>
            </w:r>
            <w:r>
              <w:rPr>
                <w:sz w:val="24"/>
              </w:rPr>
              <w:t>of normal premium whichever is more.</w:t>
            </w:r>
          </w:p>
        </w:tc>
      </w:tr>
      <w:tr>
        <w:trPr>
          <w:trHeight w:val="926" w:hRule="atLeast"/>
        </w:trPr>
        <w:tc>
          <w:tcPr>
            <w:tcW w:w="8781" w:type="dxa"/>
          </w:tcPr>
          <w:p>
            <w:pPr>
              <w:pStyle w:val="TableParagraph"/>
              <w:spacing w:before="40"/>
              <w:ind w:left="827" w:right="98"/>
              <w:jc w:val="both"/>
              <w:rPr>
                <w:sz w:val="24"/>
              </w:rPr>
            </w:pPr>
            <w:r>
              <w:rPr>
                <w:sz w:val="24"/>
              </w:rPr>
              <w:t>6.17 In order to make the SRS viable, the CEO of SRA shall be competent to make any relaxation wherever necessary for reasons to be recorded in writing.</w:t>
            </w:r>
          </w:p>
        </w:tc>
      </w:tr>
      <w:tr>
        <w:trPr>
          <w:trHeight w:val="1490" w:hRule="atLeast"/>
        </w:trPr>
        <w:tc>
          <w:tcPr>
            <w:tcW w:w="8781" w:type="dxa"/>
          </w:tcPr>
          <w:p>
            <w:pPr>
              <w:pStyle w:val="TableParagraph"/>
              <w:spacing w:before="40"/>
              <w:ind w:left="827" w:right="94"/>
              <w:jc w:val="both"/>
              <w:rPr>
                <w:sz w:val="24"/>
              </w:rPr>
            </w:pPr>
            <w:r>
              <w:rPr>
                <w:sz w:val="24"/>
              </w:rPr>
              <w:t>6.18</w:t>
            </w:r>
            <w:r>
              <w:rPr>
                <w:spacing w:val="40"/>
                <w:sz w:val="24"/>
              </w:rPr>
              <w:t> </w:t>
            </w:r>
            <w:r>
              <w:rPr>
                <w:sz w:val="24"/>
              </w:rPr>
              <w:t>For rehabilitation tenements under regulation 33 (10) car parking at the rate mentioned in Regulation 44 table 21</w:t>
            </w:r>
            <w:r>
              <w:rPr>
                <w:spacing w:val="40"/>
                <w:sz w:val="24"/>
              </w:rPr>
              <w:t> </w:t>
            </w:r>
            <w:r>
              <w:rPr>
                <w:sz w:val="24"/>
              </w:rPr>
              <w:t>shall be provided</w:t>
            </w:r>
            <w:r>
              <w:rPr>
                <w:spacing w:val="40"/>
                <w:sz w:val="24"/>
              </w:rPr>
              <w:t> </w:t>
            </w:r>
            <w:r>
              <w:rPr>
                <w:sz w:val="24"/>
              </w:rPr>
              <w:t>or</w:t>
            </w:r>
            <w:r>
              <w:rPr>
                <w:spacing w:val="40"/>
                <w:sz w:val="24"/>
              </w:rPr>
              <w:t> </w:t>
            </w:r>
            <w:r>
              <w:rPr>
                <w:sz w:val="24"/>
              </w:rPr>
              <w:t>one parking spaces - per tenement for two-wheeler shall</w:t>
            </w:r>
            <w:r>
              <w:rPr>
                <w:spacing w:val="-18"/>
                <w:sz w:val="24"/>
              </w:rPr>
              <w:t> </w:t>
            </w:r>
            <w:r>
              <w:rPr>
                <w:sz w:val="24"/>
              </w:rPr>
              <w:t>be</w:t>
            </w:r>
            <w:r>
              <w:rPr>
                <w:spacing w:val="-18"/>
                <w:sz w:val="24"/>
              </w:rPr>
              <w:t> </w:t>
            </w:r>
            <w:r>
              <w:rPr>
                <w:sz w:val="24"/>
              </w:rPr>
              <w:t>provided.</w:t>
            </w:r>
            <w:r>
              <w:rPr>
                <w:spacing w:val="-15"/>
                <w:sz w:val="24"/>
              </w:rPr>
              <w:t> </w:t>
            </w:r>
            <w:r>
              <w:rPr>
                <w:sz w:val="24"/>
              </w:rPr>
              <w:t>The</w:t>
            </w:r>
            <w:r>
              <w:rPr>
                <w:spacing w:val="-18"/>
                <w:sz w:val="24"/>
              </w:rPr>
              <w:t> </w:t>
            </w:r>
            <w:r>
              <w:rPr>
                <w:sz w:val="24"/>
              </w:rPr>
              <w:t>above</w:t>
            </w:r>
            <w:r>
              <w:rPr>
                <w:spacing w:val="-18"/>
                <w:sz w:val="24"/>
              </w:rPr>
              <w:t> </w:t>
            </w:r>
            <w:r>
              <w:rPr>
                <w:sz w:val="24"/>
              </w:rPr>
              <w:t>parking</w:t>
            </w:r>
            <w:r>
              <w:rPr>
                <w:spacing w:val="-18"/>
                <w:sz w:val="24"/>
              </w:rPr>
              <w:t> </w:t>
            </w:r>
            <w:r>
              <w:rPr>
                <w:sz w:val="24"/>
              </w:rPr>
              <w:t>spaces</w:t>
            </w:r>
            <w:r>
              <w:rPr>
                <w:spacing w:val="-18"/>
                <w:sz w:val="24"/>
              </w:rPr>
              <w:t> </w:t>
            </w:r>
            <w:r>
              <w:rPr>
                <w:sz w:val="24"/>
              </w:rPr>
              <w:t>may</w:t>
            </w:r>
            <w:r>
              <w:rPr>
                <w:spacing w:val="-18"/>
                <w:sz w:val="24"/>
              </w:rPr>
              <w:t> </w:t>
            </w:r>
            <w:r>
              <w:rPr>
                <w:sz w:val="24"/>
              </w:rPr>
              <w:t>be</w:t>
            </w:r>
            <w:r>
              <w:rPr>
                <w:spacing w:val="-18"/>
                <w:sz w:val="24"/>
              </w:rPr>
              <w:t> </w:t>
            </w:r>
            <w:r>
              <w:rPr>
                <w:sz w:val="24"/>
              </w:rPr>
              <w:t>provided</w:t>
            </w:r>
            <w:r>
              <w:rPr>
                <w:spacing w:val="-18"/>
                <w:sz w:val="24"/>
              </w:rPr>
              <w:t> </w:t>
            </w:r>
            <w:r>
              <w:rPr>
                <w:sz w:val="24"/>
              </w:rPr>
              <w:t>in</w:t>
            </w:r>
            <w:r>
              <w:rPr>
                <w:spacing w:val="-18"/>
                <w:sz w:val="24"/>
              </w:rPr>
              <w:t> </w:t>
            </w:r>
            <w:r>
              <w:rPr>
                <w:sz w:val="24"/>
              </w:rPr>
              <w:t>any </w:t>
            </w:r>
            <w:r>
              <w:rPr>
                <w:spacing w:val="-2"/>
                <w:sz w:val="24"/>
              </w:rPr>
              <w:t>combination.</w:t>
            </w:r>
          </w:p>
        </w:tc>
      </w:tr>
    </w:tbl>
    <w:p>
      <w:pPr>
        <w:pStyle w:val="BodyText"/>
        <w:spacing w:before="237"/>
        <w:jc w:val="left"/>
      </w:pPr>
    </w:p>
    <w:p>
      <w:pPr>
        <w:pStyle w:val="ListParagraph"/>
        <w:numPr>
          <w:ilvl w:val="0"/>
          <w:numId w:val="189"/>
        </w:numPr>
        <w:tabs>
          <w:tab w:pos="2780" w:val="left" w:leader="none"/>
        </w:tabs>
        <w:spacing w:line="240" w:lineRule="auto" w:before="0" w:after="0"/>
        <w:ind w:left="2780" w:right="0" w:hanging="718"/>
        <w:jc w:val="both"/>
        <w:rPr>
          <w:b/>
          <w:sz w:val="24"/>
        </w:rPr>
      </w:pPr>
      <w:r>
        <w:rPr>
          <w:b/>
          <w:sz w:val="24"/>
        </w:rPr>
        <w:t>Slums</w:t>
      </w:r>
      <w:r>
        <w:rPr>
          <w:b/>
          <w:spacing w:val="-4"/>
          <w:sz w:val="24"/>
        </w:rPr>
        <w:t> </w:t>
      </w:r>
      <w:r>
        <w:rPr>
          <w:b/>
          <w:sz w:val="24"/>
        </w:rPr>
        <w:t>and</w:t>
      </w:r>
      <w:r>
        <w:rPr>
          <w:b/>
          <w:spacing w:val="-1"/>
          <w:sz w:val="24"/>
        </w:rPr>
        <w:t> </w:t>
      </w:r>
      <w:r>
        <w:rPr>
          <w:b/>
          <w:sz w:val="24"/>
        </w:rPr>
        <w:t>Development</w:t>
      </w:r>
      <w:r>
        <w:rPr>
          <w:b/>
          <w:spacing w:val="-1"/>
          <w:sz w:val="24"/>
        </w:rPr>
        <w:t> </w:t>
      </w:r>
      <w:r>
        <w:rPr>
          <w:b/>
          <w:sz w:val="24"/>
        </w:rPr>
        <w:t>Plan</w:t>
      </w:r>
      <w:r>
        <w:rPr>
          <w:b/>
          <w:spacing w:val="-1"/>
          <w:sz w:val="24"/>
        </w:rPr>
        <w:t> </w:t>
      </w:r>
      <w:r>
        <w:rPr>
          <w:b/>
          <w:spacing w:val="-2"/>
          <w:sz w:val="24"/>
        </w:rPr>
        <w:t>Reservations</w:t>
      </w:r>
      <w:r>
        <w:rPr>
          <w:b/>
          <w:i/>
          <w:spacing w:val="-2"/>
          <w:sz w:val="24"/>
        </w:rPr>
        <w:t>:</w:t>
      </w:r>
    </w:p>
    <w:p>
      <w:pPr>
        <w:pStyle w:val="BodyText"/>
        <w:spacing w:before="241"/>
        <w:ind w:left="2062" w:right="768"/>
      </w:pPr>
      <w:r>
        <w:rPr/>
        <w:t>Slums</w:t>
      </w:r>
      <w:r>
        <w:rPr>
          <w:spacing w:val="-8"/>
        </w:rPr>
        <w:t> </w:t>
      </w:r>
      <w:r>
        <w:rPr/>
        <w:t>situated</w:t>
      </w:r>
      <w:r>
        <w:rPr>
          <w:spacing w:val="-8"/>
        </w:rPr>
        <w:t> </w:t>
      </w:r>
      <w:r>
        <w:rPr/>
        <w:t>in</w:t>
      </w:r>
      <w:r>
        <w:rPr>
          <w:spacing w:val="-8"/>
        </w:rPr>
        <w:t> </w:t>
      </w:r>
      <w:r>
        <w:rPr/>
        <w:t>lands</w:t>
      </w:r>
      <w:r>
        <w:rPr>
          <w:spacing w:val="-8"/>
        </w:rPr>
        <w:t> </w:t>
      </w:r>
      <w:r>
        <w:rPr/>
        <w:t>falling</w:t>
      </w:r>
      <w:r>
        <w:rPr>
          <w:spacing w:val="-8"/>
        </w:rPr>
        <w:t> </w:t>
      </w:r>
      <w:r>
        <w:rPr/>
        <w:t>under</w:t>
      </w:r>
      <w:r>
        <w:rPr>
          <w:spacing w:val="-8"/>
        </w:rPr>
        <w:t> </w:t>
      </w:r>
      <w:r>
        <w:rPr/>
        <w:t>various</w:t>
      </w:r>
      <w:r>
        <w:rPr>
          <w:spacing w:val="-8"/>
        </w:rPr>
        <w:t> </w:t>
      </w:r>
      <w:r>
        <w:rPr/>
        <w:t>reservations/zones</w:t>
      </w:r>
      <w:r>
        <w:rPr>
          <w:spacing w:val="-8"/>
        </w:rPr>
        <w:t> </w:t>
      </w:r>
      <w:r>
        <w:rPr/>
        <w:t>in</w:t>
      </w:r>
      <w:r>
        <w:rPr>
          <w:spacing w:val="-8"/>
        </w:rPr>
        <w:t> </w:t>
      </w:r>
      <w:r>
        <w:rPr/>
        <w:t>the DP</w:t>
      </w:r>
      <w:r>
        <w:rPr>
          <w:spacing w:val="18"/>
        </w:rPr>
        <w:t> </w:t>
      </w:r>
      <w:r>
        <w:rPr/>
        <w:t>shall</w:t>
      </w:r>
      <w:r>
        <w:rPr>
          <w:spacing w:val="21"/>
        </w:rPr>
        <w:t> </w:t>
      </w:r>
      <w:r>
        <w:rPr/>
        <w:t>be</w:t>
      </w:r>
      <w:r>
        <w:rPr>
          <w:spacing w:val="21"/>
        </w:rPr>
        <w:t> </w:t>
      </w:r>
      <w:r>
        <w:rPr/>
        <w:t>developed</w:t>
      </w:r>
      <w:r>
        <w:rPr>
          <w:spacing w:val="20"/>
        </w:rPr>
        <w:t> </w:t>
      </w:r>
      <w:r>
        <w:rPr/>
        <w:t>in</w:t>
      </w:r>
      <w:r>
        <w:rPr>
          <w:spacing w:val="21"/>
        </w:rPr>
        <w:t> </w:t>
      </w:r>
      <w:r>
        <w:rPr/>
        <w:t>accordance</w:t>
      </w:r>
      <w:r>
        <w:rPr>
          <w:spacing w:val="24"/>
        </w:rPr>
        <w:t> </w:t>
      </w:r>
      <w:r>
        <w:rPr/>
        <w:t>with</w:t>
      </w:r>
      <w:r>
        <w:rPr>
          <w:spacing w:val="20"/>
        </w:rPr>
        <w:t> </w:t>
      </w:r>
      <w:r>
        <w:rPr/>
        <w:t>the</w:t>
      </w:r>
      <w:r>
        <w:rPr>
          <w:spacing w:val="22"/>
        </w:rPr>
        <w:t> </w:t>
      </w:r>
      <w:r>
        <w:rPr/>
        <w:t>Regulation</w:t>
      </w:r>
      <w:r>
        <w:rPr>
          <w:spacing w:val="21"/>
        </w:rPr>
        <w:t> </w:t>
      </w:r>
      <w:r>
        <w:rPr/>
        <w:t>No</w:t>
      </w:r>
      <w:r>
        <w:rPr>
          <w:spacing w:val="21"/>
        </w:rPr>
        <w:t> </w:t>
      </w:r>
      <w:r>
        <w:rPr>
          <w:spacing w:val="-2"/>
        </w:rPr>
        <w:t>17(3)(D).</w:t>
      </w:r>
    </w:p>
    <w:p>
      <w:pPr>
        <w:pStyle w:val="ListParagraph"/>
        <w:numPr>
          <w:ilvl w:val="1"/>
          <w:numId w:val="189"/>
        </w:numPr>
        <w:tabs>
          <w:tab w:pos="2508" w:val="left" w:leader="none"/>
        </w:tabs>
        <w:spacing w:line="240" w:lineRule="auto" w:before="1" w:after="0"/>
        <w:ind w:left="2062" w:right="766" w:firstLine="0"/>
        <w:jc w:val="both"/>
        <w:rPr>
          <w:sz w:val="24"/>
        </w:rPr>
      </w:pPr>
      <w:r>
        <w:rPr>
          <w:sz w:val="24"/>
        </w:rPr>
        <w:t>Wherever</w:t>
      </w:r>
      <w:r>
        <w:rPr>
          <w:spacing w:val="-7"/>
          <w:sz w:val="24"/>
        </w:rPr>
        <w:t> </w:t>
      </w:r>
      <w:r>
        <w:rPr>
          <w:sz w:val="24"/>
        </w:rPr>
        <w:t>slum</w:t>
      </w:r>
      <w:r>
        <w:rPr>
          <w:spacing w:val="-7"/>
          <w:sz w:val="24"/>
        </w:rPr>
        <w:t> </w:t>
      </w:r>
      <w:r>
        <w:rPr>
          <w:sz w:val="24"/>
        </w:rPr>
        <w:t>and</w:t>
      </w:r>
      <w:r>
        <w:rPr>
          <w:spacing w:val="-7"/>
          <w:sz w:val="24"/>
        </w:rPr>
        <w:t> </w:t>
      </w:r>
      <w:r>
        <w:rPr>
          <w:sz w:val="24"/>
        </w:rPr>
        <w:t>municipal/MHADA</w:t>
      </w:r>
      <w:r>
        <w:rPr>
          <w:spacing w:val="-7"/>
          <w:sz w:val="24"/>
        </w:rPr>
        <w:t> </w:t>
      </w:r>
      <w:r>
        <w:rPr>
          <w:sz w:val="24"/>
        </w:rPr>
        <w:t>property</w:t>
      </w:r>
      <w:r>
        <w:rPr>
          <w:spacing w:val="-7"/>
          <w:sz w:val="24"/>
        </w:rPr>
        <w:t> </w:t>
      </w:r>
      <w:r>
        <w:rPr>
          <w:sz w:val="24"/>
        </w:rPr>
        <w:t>are</w:t>
      </w:r>
      <w:r>
        <w:rPr>
          <w:spacing w:val="-7"/>
          <w:sz w:val="24"/>
        </w:rPr>
        <w:t> </w:t>
      </w:r>
      <w:r>
        <w:rPr>
          <w:sz w:val="24"/>
        </w:rPr>
        <w:t>found</w:t>
      </w:r>
      <w:r>
        <w:rPr>
          <w:spacing w:val="-7"/>
          <w:sz w:val="24"/>
        </w:rPr>
        <w:t> </w:t>
      </w:r>
      <w:r>
        <w:rPr>
          <w:sz w:val="24"/>
        </w:rPr>
        <w:t>together or adjoining, it would be eligible for redevelopment using provisions of both</w:t>
      </w:r>
      <w:r>
        <w:rPr>
          <w:spacing w:val="-18"/>
          <w:sz w:val="24"/>
        </w:rPr>
        <w:t> </w:t>
      </w:r>
      <w:r>
        <w:rPr>
          <w:sz w:val="24"/>
        </w:rPr>
        <w:t>DCR</w:t>
      </w:r>
      <w:r>
        <w:rPr>
          <w:spacing w:val="-18"/>
          <w:sz w:val="24"/>
        </w:rPr>
        <w:t> </w:t>
      </w:r>
      <w:r>
        <w:rPr>
          <w:sz w:val="24"/>
        </w:rPr>
        <w:t>33(7)</w:t>
      </w:r>
      <w:r>
        <w:rPr>
          <w:spacing w:val="-18"/>
          <w:sz w:val="24"/>
        </w:rPr>
        <w:t> </w:t>
      </w:r>
      <w:r>
        <w:rPr>
          <w:sz w:val="24"/>
        </w:rPr>
        <w:t>and</w:t>
      </w:r>
      <w:r>
        <w:rPr>
          <w:spacing w:val="-18"/>
          <w:sz w:val="24"/>
        </w:rPr>
        <w:t> </w:t>
      </w:r>
      <w:r>
        <w:rPr>
          <w:sz w:val="24"/>
        </w:rPr>
        <w:t>of</w:t>
      </w:r>
      <w:r>
        <w:rPr>
          <w:spacing w:val="-18"/>
          <w:sz w:val="24"/>
        </w:rPr>
        <w:t> </w:t>
      </w:r>
      <w:r>
        <w:rPr>
          <w:sz w:val="24"/>
        </w:rPr>
        <w:t>DCR</w:t>
      </w:r>
      <w:r>
        <w:rPr>
          <w:spacing w:val="-18"/>
          <w:sz w:val="24"/>
        </w:rPr>
        <w:t> </w:t>
      </w:r>
      <w:r>
        <w:rPr>
          <w:sz w:val="24"/>
        </w:rPr>
        <w:t>33(10)</w:t>
      </w:r>
      <w:r>
        <w:rPr>
          <w:spacing w:val="-18"/>
          <w:sz w:val="24"/>
        </w:rPr>
        <w:t> </w:t>
      </w:r>
      <w:r>
        <w:rPr>
          <w:sz w:val="24"/>
        </w:rPr>
        <w:t>Development</w:t>
      </w:r>
      <w:r>
        <w:rPr>
          <w:spacing w:val="-18"/>
          <w:sz w:val="24"/>
        </w:rPr>
        <w:t> </w:t>
      </w:r>
      <w:r>
        <w:rPr>
          <w:sz w:val="24"/>
        </w:rPr>
        <w:t>of</w:t>
      </w:r>
      <w:r>
        <w:rPr>
          <w:spacing w:val="-18"/>
          <w:sz w:val="24"/>
        </w:rPr>
        <w:t> </w:t>
      </w:r>
      <w:r>
        <w:rPr>
          <w:sz w:val="24"/>
        </w:rPr>
        <w:t>slum</w:t>
      </w:r>
      <w:r>
        <w:rPr>
          <w:spacing w:val="-18"/>
          <w:sz w:val="24"/>
        </w:rPr>
        <w:t> </w:t>
      </w:r>
      <w:r>
        <w:rPr>
          <w:sz w:val="24"/>
        </w:rPr>
        <w:t>and</w:t>
      </w:r>
      <w:r>
        <w:rPr>
          <w:spacing w:val="-18"/>
          <w:sz w:val="24"/>
        </w:rPr>
        <w:t> </w:t>
      </w:r>
      <w:r>
        <w:rPr>
          <w:sz w:val="24"/>
        </w:rPr>
        <w:t>contiguous non-slum</w:t>
      </w:r>
      <w:r>
        <w:rPr>
          <w:spacing w:val="-18"/>
          <w:sz w:val="24"/>
        </w:rPr>
        <w:t> </w:t>
      </w:r>
      <w:r>
        <w:rPr>
          <w:sz w:val="24"/>
        </w:rPr>
        <w:t>area</w:t>
      </w:r>
      <w:r>
        <w:rPr>
          <w:spacing w:val="-17"/>
          <w:sz w:val="24"/>
        </w:rPr>
        <w:t> </w:t>
      </w:r>
      <w:r>
        <w:rPr>
          <w:sz w:val="24"/>
        </w:rPr>
        <w:t>provided</w:t>
      </w:r>
      <w:r>
        <w:rPr>
          <w:spacing w:val="-18"/>
          <w:sz w:val="24"/>
        </w:rPr>
        <w:t> </w:t>
      </w:r>
      <w:r>
        <w:rPr>
          <w:sz w:val="24"/>
        </w:rPr>
        <w:t>slum</w:t>
      </w:r>
      <w:r>
        <w:rPr>
          <w:spacing w:val="-18"/>
          <w:sz w:val="24"/>
        </w:rPr>
        <w:t> </w:t>
      </w:r>
      <w:r>
        <w:rPr>
          <w:sz w:val="24"/>
        </w:rPr>
        <w:t>area</w:t>
      </w:r>
      <w:r>
        <w:rPr>
          <w:spacing w:val="-18"/>
          <w:sz w:val="24"/>
        </w:rPr>
        <w:t> </w:t>
      </w:r>
      <w:r>
        <w:rPr>
          <w:sz w:val="24"/>
        </w:rPr>
        <w:t>shall</w:t>
      </w:r>
      <w:r>
        <w:rPr>
          <w:spacing w:val="-19"/>
          <w:sz w:val="24"/>
        </w:rPr>
        <w:t> </w:t>
      </w:r>
      <w:r>
        <w:rPr>
          <w:sz w:val="24"/>
        </w:rPr>
        <w:t>be</w:t>
      </w:r>
      <w:r>
        <w:rPr>
          <w:spacing w:val="-18"/>
          <w:sz w:val="24"/>
        </w:rPr>
        <w:t> </w:t>
      </w:r>
      <w:r>
        <w:rPr>
          <w:sz w:val="24"/>
        </w:rPr>
        <w:t>more</w:t>
      </w:r>
      <w:r>
        <w:rPr>
          <w:spacing w:val="-18"/>
          <w:sz w:val="24"/>
        </w:rPr>
        <w:t> </w:t>
      </w:r>
      <w:r>
        <w:rPr>
          <w:sz w:val="24"/>
        </w:rPr>
        <w:t>than</w:t>
      </w:r>
      <w:r>
        <w:rPr>
          <w:spacing w:val="40"/>
          <w:sz w:val="24"/>
        </w:rPr>
        <w:t> </w:t>
      </w:r>
      <w:r>
        <w:rPr>
          <w:sz w:val="24"/>
        </w:rPr>
        <w:t>51</w:t>
      </w:r>
      <w:r>
        <w:rPr>
          <w:spacing w:val="40"/>
          <w:sz w:val="24"/>
        </w:rPr>
        <w:t> </w:t>
      </w:r>
      <w:r>
        <w:rPr>
          <w:sz w:val="24"/>
        </w:rPr>
        <w:t>of</w:t>
      </w:r>
      <w:r>
        <w:rPr>
          <w:spacing w:val="-18"/>
          <w:sz w:val="24"/>
        </w:rPr>
        <w:t> </w:t>
      </w:r>
      <w:r>
        <w:rPr>
          <w:sz w:val="24"/>
        </w:rPr>
        <w:t>the</w:t>
      </w:r>
      <w:r>
        <w:rPr>
          <w:spacing w:val="-18"/>
          <w:sz w:val="24"/>
        </w:rPr>
        <w:t> </w:t>
      </w:r>
      <w:r>
        <w:rPr>
          <w:sz w:val="24"/>
        </w:rPr>
        <w:t>scheme area</w:t>
      </w:r>
      <w:r>
        <w:rPr>
          <w:spacing w:val="-3"/>
          <w:sz w:val="24"/>
        </w:rPr>
        <w:t> </w:t>
      </w:r>
      <w:r>
        <w:rPr>
          <w:sz w:val="24"/>
        </w:rPr>
        <w:t>under</w:t>
      </w:r>
      <w:r>
        <w:rPr>
          <w:spacing w:val="-3"/>
          <w:sz w:val="24"/>
        </w:rPr>
        <w:t> </w:t>
      </w:r>
      <w:r>
        <w:rPr>
          <w:sz w:val="24"/>
        </w:rPr>
        <w:t>any</w:t>
      </w:r>
      <w:r>
        <w:rPr>
          <w:spacing w:val="-3"/>
          <w:sz w:val="24"/>
        </w:rPr>
        <w:t> </w:t>
      </w:r>
      <w:r>
        <w:rPr>
          <w:sz w:val="24"/>
        </w:rPr>
        <w:t>other</w:t>
      </w:r>
      <w:r>
        <w:rPr>
          <w:spacing w:val="-3"/>
          <w:sz w:val="24"/>
        </w:rPr>
        <w:t> </w:t>
      </w:r>
      <w:r>
        <w:rPr>
          <w:sz w:val="24"/>
        </w:rPr>
        <w:t>provisions</w:t>
      </w:r>
      <w:r>
        <w:rPr>
          <w:spacing w:val="-3"/>
          <w:sz w:val="24"/>
        </w:rPr>
        <w:t> </w:t>
      </w:r>
      <w:r>
        <w:rPr>
          <w:sz w:val="24"/>
        </w:rPr>
        <w:t>of</w:t>
      </w:r>
      <w:r>
        <w:rPr>
          <w:spacing w:val="-3"/>
          <w:sz w:val="24"/>
        </w:rPr>
        <w:t> </w:t>
      </w:r>
      <w:r>
        <w:rPr>
          <w:sz w:val="24"/>
        </w:rPr>
        <w:t>regulations</w:t>
      </w:r>
      <w:r>
        <w:rPr>
          <w:spacing w:val="-3"/>
          <w:sz w:val="24"/>
        </w:rPr>
        <w:t> </w:t>
      </w:r>
      <w:r>
        <w:rPr>
          <w:sz w:val="24"/>
        </w:rPr>
        <w:t>may</w:t>
      </w:r>
      <w:r>
        <w:rPr>
          <w:spacing w:val="-3"/>
          <w:sz w:val="24"/>
        </w:rPr>
        <w:t> </w:t>
      </w:r>
      <w:r>
        <w:rPr>
          <w:sz w:val="24"/>
        </w:rPr>
        <w:t>be</w:t>
      </w:r>
      <w:r>
        <w:rPr>
          <w:spacing w:val="-3"/>
          <w:sz w:val="24"/>
        </w:rPr>
        <w:t> </w:t>
      </w:r>
      <w:r>
        <w:rPr>
          <w:sz w:val="24"/>
        </w:rPr>
        <w:t>allowed</w:t>
      </w:r>
      <w:r>
        <w:rPr>
          <w:spacing w:val="-3"/>
          <w:sz w:val="24"/>
        </w:rPr>
        <w:t> </w:t>
      </w:r>
      <w:r>
        <w:rPr>
          <w:sz w:val="24"/>
        </w:rPr>
        <w:t>together in order to promote flexibility of design as well as to raise more resources. Provided that the FSI of non-slum quantum of area shall be restricted to that permissible in the surrounding zone, inclusive of admissible TDR on non-slum area including the plans for admissible TDR</w:t>
      </w:r>
      <w:r>
        <w:rPr>
          <w:spacing w:val="-3"/>
          <w:sz w:val="24"/>
        </w:rPr>
        <w:t> </w:t>
      </w:r>
      <w:r>
        <w:rPr>
          <w:sz w:val="24"/>
        </w:rPr>
        <w:t>shall</w:t>
      </w:r>
      <w:r>
        <w:rPr>
          <w:spacing w:val="-3"/>
          <w:sz w:val="24"/>
        </w:rPr>
        <w:t> </w:t>
      </w:r>
      <w:r>
        <w:rPr>
          <w:sz w:val="24"/>
        </w:rPr>
        <w:t>be</w:t>
      </w:r>
      <w:r>
        <w:rPr>
          <w:spacing w:val="-3"/>
          <w:sz w:val="24"/>
        </w:rPr>
        <w:t> </w:t>
      </w:r>
      <w:r>
        <w:rPr>
          <w:sz w:val="24"/>
        </w:rPr>
        <w:t>approved</w:t>
      </w:r>
      <w:r>
        <w:rPr>
          <w:spacing w:val="-3"/>
          <w:sz w:val="24"/>
        </w:rPr>
        <w:t> </w:t>
      </w:r>
      <w:r>
        <w:rPr>
          <w:sz w:val="24"/>
        </w:rPr>
        <w:t>by</w:t>
      </w:r>
      <w:r>
        <w:rPr>
          <w:spacing w:val="-3"/>
          <w:sz w:val="24"/>
        </w:rPr>
        <w:t> </w:t>
      </w:r>
      <w:r>
        <w:rPr>
          <w:sz w:val="24"/>
        </w:rPr>
        <w:t>CEO,</w:t>
      </w:r>
      <w:r>
        <w:rPr>
          <w:spacing w:val="-3"/>
          <w:sz w:val="24"/>
        </w:rPr>
        <w:t> </w:t>
      </w:r>
      <w:r>
        <w:rPr>
          <w:sz w:val="24"/>
        </w:rPr>
        <w:t>SRA.</w:t>
      </w:r>
      <w:r>
        <w:rPr>
          <w:spacing w:val="-3"/>
          <w:sz w:val="24"/>
        </w:rPr>
        <w:t> </w:t>
      </w:r>
      <w:r>
        <w:rPr>
          <w:sz w:val="24"/>
        </w:rPr>
        <w:t>The</w:t>
      </w:r>
      <w:r>
        <w:rPr>
          <w:spacing w:val="-3"/>
          <w:sz w:val="24"/>
        </w:rPr>
        <w:t> </w:t>
      </w:r>
      <w:r>
        <w:rPr>
          <w:sz w:val="24"/>
        </w:rPr>
        <w:t>power</w:t>
      </w:r>
      <w:r>
        <w:rPr>
          <w:spacing w:val="-3"/>
          <w:sz w:val="24"/>
        </w:rPr>
        <w:t> </w:t>
      </w:r>
      <w:r>
        <w:rPr>
          <w:sz w:val="24"/>
        </w:rPr>
        <w:t>under</w:t>
      </w:r>
      <w:r>
        <w:rPr>
          <w:spacing w:val="-3"/>
          <w:sz w:val="24"/>
        </w:rPr>
        <w:t> </w:t>
      </w:r>
      <w:r>
        <w:rPr>
          <w:sz w:val="24"/>
        </w:rPr>
        <w:t>D.C.</w:t>
      </w:r>
      <w:r>
        <w:rPr>
          <w:spacing w:val="-6"/>
          <w:sz w:val="24"/>
        </w:rPr>
        <w:t> </w:t>
      </w:r>
      <w:r>
        <w:rPr>
          <w:sz w:val="24"/>
        </w:rPr>
        <w:t>Regulation 13(6) for shifting and/or interchanging the purpose of designations/reservations</w:t>
      </w:r>
      <w:r>
        <w:rPr>
          <w:spacing w:val="-20"/>
          <w:sz w:val="24"/>
        </w:rPr>
        <w:t> </w:t>
      </w:r>
      <w:r>
        <w:rPr>
          <w:sz w:val="24"/>
        </w:rPr>
        <w:t>shall</w:t>
      </w:r>
      <w:r>
        <w:rPr>
          <w:spacing w:val="-19"/>
          <w:sz w:val="24"/>
        </w:rPr>
        <w:t> </w:t>
      </w:r>
      <w:r>
        <w:rPr>
          <w:sz w:val="24"/>
        </w:rPr>
        <w:t>be</w:t>
      </w:r>
      <w:r>
        <w:rPr>
          <w:spacing w:val="-19"/>
          <w:sz w:val="24"/>
        </w:rPr>
        <w:t> </w:t>
      </w:r>
      <w:r>
        <w:rPr>
          <w:sz w:val="24"/>
        </w:rPr>
        <w:t>exercised</w:t>
      </w:r>
      <w:r>
        <w:rPr>
          <w:spacing w:val="-19"/>
          <w:sz w:val="24"/>
        </w:rPr>
        <w:t> </w:t>
      </w:r>
      <w:r>
        <w:rPr>
          <w:sz w:val="24"/>
        </w:rPr>
        <w:t>by</w:t>
      </w:r>
      <w:r>
        <w:rPr>
          <w:spacing w:val="-19"/>
          <w:sz w:val="24"/>
        </w:rPr>
        <w:t> </w:t>
      </w:r>
      <w:r>
        <w:rPr>
          <w:sz w:val="24"/>
        </w:rPr>
        <w:t>the</w:t>
      </w:r>
      <w:r>
        <w:rPr>
          <w:spacing w:val="-20"/>
          <w:sz w:val="24"/>
        </w:rPr>
        <w:t> </w:t>
      </w:r>
      <w:r>
        <w:rPr>
          <w:sz w:val="24"/>
        </w:rPr>
        <w:t>CEO,</w:t>
      </w:r>
      <w:r>
        <w:rPr>
          <w:spacing w:val="-19"/>
          <w:sz w:val="24"/>
        </w:rPr>
        <w:t> </w:t>
      </w:r>
      <w:r>
        <w:rPr>
          <w:sz w:val="24"/>
        </w:rPr>
        <w:t>SRA.</w:t>
      </w:r>
      <w:r>
        <w:rPr>
          <w:spacing w:val="-19"/>
          <w:sz w:val="24"/>
        </w:rPr>
        <w:t> </w:t>
      </w:r>
      <w:r>
        <w:rPr>
          <w:sz w:val="24"/>
        </w:rPr>
        <w:t>However, in case of shifting of the alignment of Road /D P Road, same shall be done in consultation with MCGM.</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66"/>
      </w:pPr>
      <w:r>
        <w:rPr/>
        <w:t>Whenever a non-slum land other than SDZ where zonal (basic) FSI offered</w:t>
      </w:r>
      <w:r>
        <w:rPr>
          <w:spacing w:val="-3"/>
        </w:rPr>
        <w:t> </w:t>
      </w:r>
      <w:r>
        <w:rPr/>
        <w:t>is</w:t>
      </w:r>
      <w:r>
        <w:rPr>
          <w:spacing w:val="-3"/>
        </w:rPr>
        <w:t> </w:t>
      </w:r>
      <w:r>
        <w:rPr/>
        <w:t>less</w:t>
      </w:r>
      <w:r>
        <w:rPr>
          <w:spacing w:val="-3"/>
        </w:rPr>
        <w:t> </w:t>
      </w:r>
      <w:r>
        <w:rPr/>
        <w:t>than</w:t>
      </w:r>
      <w:r>
        <w:rPr>
          <w:spacing w:val="-3"/>
        </w:rPr>
        <w:t> </w:t>
      </w:r>
      <w:r>
        <w:rPr/>
        <w:t>one</w:t>
      </w:r>
      <w:r>
        <w:rPr>
          <w:spacing w:val="-2"/>
        </w:rPr>
        <w:t> </w:t>
      </w:r>
      <w:r>
        <w:rPr/>
        <w:t>in</w:t>
      </w:r>
      <w:r>
        <w:rPr>
          <w:spacing w:val="-3"/>
        </w:rPr>
        <w:t> </w:t>
      </w:r>
      <w:r>
        <w:rPr/>
        <w:t>residential</w:t>
      </w:r>
      <w:r>
        <w:rPr>
          <w:spacing w:val="-3"/>
        </w:rPr>
        <w:t> </w:t>
      </w:r>
      <w:r>
        <w:rPr/>
        <w:t>zone,</w:t>
      </w:r>
      <w:r>
        <w:rPr>
          <w:spacing w:val="-3"/>
        </w:rPr>
        <w:t> </w:t>
      </w:r>
      <w:r>
        <w:rPr/>
        <w:t>is</w:t>
      </w:r>
      <w:r>
        <w:rPr>
          <w:spacing w:val="-3"/>
        </w:rPr>
        <w:t> </w:t>
      </w:r>
      <w:r>
        <w:rPr/>
        <w:t>contiguous</w:t>
      </w:r>
      <w:r>
        <w:rPr>
          <w:spacing w:val="-3"/>
        </w:rPr>
        <w:t> </w:t>
      </w:r>
      <w:r>
        <w:rPr/>
        <w:t>to</w:t>
      </w:r>
      <w:r>
        <w:rPr>
          <w:spacing w:val="-3"/>
        </w:rPr>
        <w:t> </w:t>
      </w:r>
      <w:r>
        <w:rPr/>
        <w:t>a</w:t>
      </w:r>
      <w:r>
        <w:rPr>
          <w:spacing w:val="-6"/>
        </w:rPr>
        <w:t> </w:t>
      </w:r>
      <w:r>
        <w:rPr/>
        <w:t>slum</w:t>
      </w:r>
      <w:r>
        <w:rPr>
          <w:spacing w:val="-3"/>
        </w:rPr>
        <w:t> </w:t>
      </w:r>
      <w:r>
        <w:rPr/>
        <w:t>plot getting developed under 33(10) &amp; is needed for better planning, SRA may sanction the amalgamation of the said plot with the scheme provided that 30% of the area of non-slum plot is handed over free of cost</w:t>
      </w:r>
      <w:r>
        <w:rPr>
          <w:spacing w:val="-19"/>
        </w:rPr>
        <w:t> </w:t>
      </w:r>
      <w:r>
        <w:rPr/>
        <w:t>&amp;</w:t>
      </w:r>
      <w:r>
        <w:rPr>
          <w:spacing w:val="-19"/>
        </w:rPr>
        <w:t> </w:t>
      </w:r>
      <w:r>
        <w:rPr/>
        <w:t>encumbrances</w:t>
      </w:r>
      <w:r>
        <w:rPr>
          <w:spacing w:val="-19"/>
        </w:rPr>
        <w:t> </w:t>
      </w:r>
      <w:r>
        <w:rPr/>
        <w:t>to</w:t>
      </w:r>
      <w:r>
        <w:rPr>
          <w:spacing w:val="-19"/>
        </w:rPr>
        <w:t> </w:t>
      </w:r>
      <w:r>
        <w:rPr/>
        <w:t>the</w:t>
      </w:r>
      <w:r>
        <w:rPr>
          <w:spacing w:val="-19"/>
        </w:rPr>
        <w:t> </w:t>
      </w:r>
      <w:r>
        <w:rPr/>
        <w:t>Corporation</w:t>
      </w:r>
      <w:r>
        <w:rPr>
          <w:spacing w:val="-19"/>
        </w:rPr>
        <w:t> </w:t>
      </w:r>
      <w:r>
        <w:rPr/>
        <w:t>for</w:t>
      </w:r>
      <w:r>
        <w:rPr>
          <w:spacing w:val="-18"/>
        </w:rPr>
        <w:t> </w:t>
      </w:r>
      <w:r>
        <w:rPr/>
        <w:t>purposes</w:t>
      </w:r>
      <w:r>
        <w:rPr>
          <w:spacing w:val="-19"/>
        </w:rPr>
        <w:t> </w:t>
      </w:r>
      <w:r>
        <w:rPr/>
        <w:t>of</w:t>
      </w:r>
      <w:r>
        <w:rPr>
          <w:spacing w:val="-19"/>
        </w:rPr>
        <w:t> </w:t>
      </w:r>
      <w:r>
        <w:rPr/>
        <w:t>POS</w:t>
      </w:r>
      <w:r>
        <w:rPr>
          <w:spacing w:val="-19"/>
        </w:rPr>
        <w:t> </w:t>
      </w:r>
      <w:r>
        <w:rPr/>
        <w:t>or</w:t>
      </w:r>
      <w:r>
        <w:rPr>
          <w:spacing w:val="-19"/>
        </w:rPr>
        <w:t> </w:t>
      </w:r>
      <w:r>
        <w:rPr/>
        <w:t>amenity open space. On such amalgamation 70% of the area getting appended to the slum scheme shall be treated at par with non-slum residential plot that are attached to the scheme. However, utilization of ‘TDR’ or ‘Additional FSI on payment of premium’ on such non-slum plot shall not be permissible.</w:t>
      </w:r>
    </w:p>
    <w:p>
      <w:pPr>
        <w:pStyle w:val="ListParagraph"/>
        <w:numPr>
          <w:ilvl w:val="1"/>
          <w:numId w:val="189"/>
        </w:numPr>
        <w:tabs>
          <w:tab w:pos="2539" w:val="left" w:leader="none"/>
        </w:tabs>
        <w:spacing w:line="240" w:lineRule="auto" w:before="122" w:after="0"/>
        <w:ind w:left="2062" w:right="768" w:firstLine="0"/>
        <w:jc w:val="both"/>
        <w:rPr>
          <w:sz w:val="24"/>
        </w:rPr>
      </w:pPr>
      <w:r>
        <w:rPr>
          <w:sz w:val="24"/>
        </w:rPr>
        <w:t>Slum Rehabilitation Permissible on Town Planning Scheme Plots: Slum</w:t>
      </w:r>
      <w:r>
        <w:rPr>
          <w:spacing w:val="-6"/>
          <w:sz w:val="24"/>
        </w:rPr>
        <w:t> </w:t>
      </w:r>
      <w:r>
        <w:rPr>
          <w:sz w:val="24"/>
        </w:rPr>
        <w:t>Rehabilitation</w:t>
      </w:r>
      <w:r>
        <w:rPr>
          <w:spacing w:val="-6"/>
          <w:sz w:val="24"/>
        </w:rPr>
        <w:t> </w:t>
      </w:r>
      <w:r>
        <w:rPr>
          <w:sz w:val="24"/>
        </w:rPr>
        <w:t>Project</w:t>
      </w:r>
      <w:r>
        <w:rPr>
          <w:spacing w:val="-6"/>
          <w:sz w:val="24"/>
        </w:rPr>
        <w:t> </w:t>
      </w:r>
      <w:r>
        <w:rPr>
          <w:sz w:val="24"/>
        </w:rPr>
        <w:t>can</w:t>
      </w:r>
      <w:r>
        <w:rPr>
          <w:spacing w:val="-6"/>
          <w:sz w:val="24"/>
        </w:rPr>
        <w:t> </w:t>
      </w:r>
      <w:r>
        <w:rPr>
          <w:sz w:val="24"/>
        </w:rPr>
        <w:t>be</w:t>
      </w:r>
      <w:r>
        <w:rPr>
          <w:spacing w:val="-6"/>
          <w:sz w:val="24"/>
        </w:rPr>
        <w:t> </w:t>
      </w:r>
      <w:r>
        <w:rPr>
          <w:sz w:val="24"/>
        </w:rPr>
        <w:t>taken</w:t>
      </w:r>
      <w:r>
        <w:rPr>
          <w:spacing w:val="-8"/>
          <w:sz w:val="24"/>
        </w:rPr>
        <w:t> </w:t>
      </w:r>
      <w:r>
        <w:rPr>
          <w:sz w:val="24"/>
        </w:rPr>
        <w:t>up</w:t>
      </w:r>
      <w:r>
        <w:rPr>
          <w:spacing w:val="-6"/>
          <w:sz w:val="24"/>
        </w:rPr>
        <w:t> </w:t>
      </w:r>
      <w:r>
        <w:rPr>
          <w:sz w:val="24"/>
        </w:rPr>
        <w:t>on</w:t>
      </w:r>
      <w:r>
        <w:rPr>
          <w:spacing w:val="-6"/>
          <w:sz w:val="24"/>
        </w:rPr>
        <w:t> </w:t>
      </w:r>
      <w:r>
        <w:rPr>
          <w:sz w:val="24"/>
        </w:rPr>
        <w:t>Town</w:t>
      </w:r>
      <w:r>
        <w:rPr>
          <w:spacing w:val="-6"/>
          <w:sz w:val="24"/>
        </w:rPr>
        <w:t> </w:t>
      </w:r>
      <w:r>
        <w:rPr>
          <w:sz w:val="24"/>
        </w:rPr>
        <w:t>Planning</w:t>
      </w:r>
      <w:r>
        <w:rPr>
          <w:spacing w:val="-6"/>
          <w:sz w:val="24"/>
        </w:rPr>
        <w:t> </w:t>
      </w:r>
      <w:r>
        <w:rPr>
          <w:sz w:val="24"/>
        </w:rPr>
        <w:t>Scheme plots also, after they are declared as slums/slum rehabilitation areas.</w:t>
      </w:r>
    </w:p>
    <w:p>
      <w:pPr>
        <w:pStyle w:val="ListParagraph"/>
        <w:numPr>
          <w:ilvl w:val="1"/>
          <w:numId w:val="189"/>
        </w:numPr>
        <w:tabs>
          <w:tab w:pos="2506" w:val="left" w:leader="none"/>
        </w:tabs>
        <w:spacing w:line="240" w:lineRule="auto" w:before="120" w:after="0"/>
        <w:ind w:left="2062" w:right="767" w:firstLine="0"/>
        <w:jc w:val="both"/>
        <w:rPr>
          <w:sz w:val="24"/>
        </w:rPr>
      </w:pPr>
      <w:r>
        <w:rPr>
          <w:sz w:val="24"/>
        </w:rPr>
        <w:t>Contravening</w:t>
      </w:r>
      <w:r>
        <w:rPr>
          <w:spacing w:val="-9"/>
          <w:sz w:val="24"/>
        </w:rPr>
        <w:t> </w:t>
      </w:r>
      <w:r>
        <w:rPr>
          <w:sz w:val="24"/>
        </w:rPr>
        <w:t>structures</w:t>
      </w:r>
      <w:r>
        <w:rPr>
          <w:spacing w:val="-9"/>
          <w:sz w:val="24"/>
        </w:rPr>
        <w:t> </w:t>
      </w:r>
      <w:r>
        <w:rPr>
          <w:sz w:val="24"/>
        </w:rPr>
        <w:t>in</w:t>
      </w:r>
      <w:r>
        <w:rPr>
          <w:spacing w:val="-9"/>
          <w:sz w:val="24"/>
        </w:rPr>
        <w:t> </w:t>
      </w:r>
      <w:r>
        <w:rPr>
          <w:sz w:val="24"/>
        </w:rPr>
        <w:t>the</w:t>
      </w:r>
      <w:r>
        <w:rPr>
          <w:spacing w:val="-9"/>
          <w:sz w:val="24"/>
        </w:rPr>
        <w:t> </w:t>
      </w:r>
      <w:r>
        <w:rPr>
          <w:sz w:val="24"/>
        </w:rPr>
        <w:t>adjoining</w:t>
      </w:r>
      <w:r>
        <w:rPr>
          <w:spacing w:val="-9"/>
          <w:sz w:val="24"/>
        </w:rPr>
        <w:t> </w:t>
      </w:r>
      <w:r>
        <w:rPr>
          <w:sz w:val="24"/>
        </w:rPr>
        <w:t>final</w:t>
      </w:r>
      <w:r>
        <w:rPr>
          <w:spacing w:val="-9"/>
          <w:sz w:val="24"/>
        </w:rPr>
        <w:t> </w:t>
      </w:r>
      <w:r>
        <w:rPr>
          <w:sz w:val="24"/>
        </w:rPr>
        <w:t>plots,</w:t>
      </w:r>
      <w:r>
        <w:rPr>
          <w:spacing w:val="-9"/>
          <w:sz w:val="24"/>
        </w:rPr>
        <w:t> </w:t>
      </w:r>
      <w:r>
        <w:rPr>
          <w:sz w:val="24"/>
        </w:rPr>
        <w:t>if</w:t>
      </w:r>
      <w:r>
        <w:rPr>
          <w:spacing w:val="-9"/>
          <w:sz w:val="24"/>
        </w:rPr>
        <w:t> </w:t>
      </w:r>
      <w:r>
        <w:rPr>
          <w:sz w:val="24"/>
        </w:rPr>
        <w:t>declared</w:t>
      </w:r>
      <w:r>
        <w:rPr>
          <w:spacing w:val="-9"/>
          <w:sz w:val="24"/>
        </w:rPr>
        <w:t> </w:t>
      </w:r>
      <w:r>
        <w:rPr>
          <w:sz w:val="24"/>
        </w:rPr>
        <w:t>as</w:t>
      </w:r>
      <w:r>
        <w:rPr>
          <w:spacing w:val="-9"/>
          <w:sz w:val="24"/>
        </w:rPr>
        <w:t> </w:t>
      </w:r>
      <w:r>
        <w:rPr>
          <w:sz w:val="24"/>
        </w:rPr>
        <w:t>a slum rehabilitation area by the competent authority, may be included in</w:t>
      </w:r>
      <w:r>
        <w:rPr>
          <w:spacing w:val="-16"/>
          <w:sz w:val="24"/>
        </w:rPr>
        <w:t> </w:t>
      </w:r>
      <w:r>
        <w:rPr>
          <w:sz w:val="24"/>
        </w:rPr>
        <w:t>the</w:t>
      </w:r>
      <w:r>
        <w:rPr>
          <w:spacing w:val="-16"/>
          <w:sz w:val="24"/>
        </w:rPr>
        <w:t> </w:t>
      </w:r>
      <w:r>
        <w:rPr>
          <w:sz w:val="24"/>
        </w:rPr>
        <w:t>Slum</w:t>
      </w:r>
      <w:r>
        <w:rPr>
          <w:spacing w:val="-16"/>
          <w:sz w:val="24"/>
        </w:rPr>
        <w:t> </w:t>
      </w:r>
      <w:r>
        <w:rPr>
          <w:sz w:val="24"/>
        </w:rPr>
        <w:t>Rehabilitation</w:t>
      </w:r>
      <w:r>
        <w:rPr>
          <w:spacing w:val="-16"/>
          <w:sz w:val="24"/>
        </w:rPr>
        <w:t> </w:t>
      </w:r>
      <w:r>
        <w:rPr>
          <w:sz w:val="24"/>
        </w:rPr>
        <w:t>Scheme</w:t>
      </w:r>
      <w:r>
        <w:rPr>
          <w:spacing w:val="-16"/>
          <w:sz w:val="24"/>
        </w:rPr>
        <w:t> </w:t>
      </w:r>
      <w:r>
        <w:rPr>
          <w:sz w:val="24"/>
        </w:rPr>
        <w:t>in</w:t>
      </w:r>
      <w:r>
        <w:rPr>
          <w:spacing w:val="-16"/>
          <w:sz w:val="24"/>
        </w:rPr>
        <w:t> </w:t>
      </w:r>
      <w:r>
        <w:rPr>
          <w:sz w:val="24"/>
        </w:rPr>
        <w:t>the</w:t>
      </w:r>
      <w:r>
        <w:rPr>
          <w:spacing w:val="-18"/>
          <w:sz w:val="24"/>
        </w:rPr>
        <w:t> </w:t>
      </w:r>
      <w:r>
        <w:rPr>
          <w:sz w:val="24"/>
        </w:rPr>
        <w:t>relevant</w:t>
      </w:r>
      <w:r>
        <w:rPr>
          <w:spacing w:val="-16"/>
          <w:sz w:val="24"/>
        </w:rPr>
        <w:t> </w:t>
      </w:r>
      <w:r>
        <w:rPr>
          <w:sz w:val="24"/>
        </w:rPr>
        <w:t>Final</w:t>
      </w:r>
      <w:r>
        <w:rPr>
          <w:spacing w:val="-16"/>
          <w:sz w:val="24"/>
        </w:rPr>
        <w:t> </w:t>
      </w:r>
      <w:r>
        <w:rPr>
          <w:sz w:val="24"/>
        </w:rPr>
        <w:t>Plot</w:t>
      </w:r>
      <w:r>
        <w:rPr>
          <w:spacing w:val="-18"/>
          <w:sz w:val="24"/>
        </w:rPr>
        <w:t> </w:t>
      </w:r>
      <w:r>
        <w:rPr>
          <w:sz w:val="24"/>
        </w:rPr>
        <w:t>of</w:t>
      </w:r>
      <w:r>
        <w:rPr>
          <w:spacing w:val="-18"/>
          <w:sz w:val="24"/>
        </w:rPr>
        <w:t> </w:t>
      </w:r>
      <w:r>
        <w:rPr>
          <w:sz w:val="24"/>
        </w:rPr>
        <w:t>the</w:t>
      </w:r>
      <w:r>
        <w:rPr>
          <w:spacing w:val="-16"/>
          <w:sz w:val="24"/>
        </w:rPr>
        <w:t> </w:t>
      </w:r>
      <w:r>
        <w:rPr>
          <w:sz w:val="24"/>
        </w:rPr>
        <w:t>Town Planning Scheme.</w:t>
      </w:r>
    </w:p>
    <w:p>
      <w:pPr>
        <w:pStyle w:val="ListParagraph"/>
        <w:numPr>
          <w:ilvl w:val="1"/>
          <w:numId w:val="189"/>
        </w:numPr>
        <w:tabs>
          <w:tab w:pos="2527" w:val="left" w:leader="none"/>
        </w:tabs>
        <w:spacing w:line="240" w:lineRule="auto" w:before="119" w:after="0"/>
        <w:ind w:left="2062" w:right="771" w:firstLine="0"/>
        <w:jc w:val="both"/>
        <w:rPr>
          <w:sz w:val="24"/>
        </w:rPr>
      </w:pPr>
      <w:r>
        <w:rPr>
          <w:sz w:val="24"/>
        </w:rPr>
        <w:t>In case of a slum rehabilitation project adjoining railway tracks, a boundary wall of minimum 2.4 m in height shall be constructed.</w:t>
      </w:r>
    </w:p>
    <w:p>
      <w:pPr>
        <w:pStyle w:val="Heading5"/>
        <w:numPr>
          <w:ilvl w:val="0"/>
          <w:numId w:val="189"/>
        </w:numPr>
        <w:tabs>
          <w:tab w:pos="2545" w:val="left" w:leader="none"/>
        </w:tabs>
        <w:spacing w:line="240" w:lineRule="auto" w:before="120" w:after="0"/>
        <w:ind w:left="2545" w:right="0" w:hanging="483"/>
        <w:jc w:val="both"/>
        <w:rPr>
          <w:b w:val="0"/>
        </w:rPr>
      </w:pPr>
      <w:r>
        <w:rPr/>
        <w:t>Aaganwadi,</w:t>
      </w:r>
      <w:r>
        <w:rPr>
          <w:spacing w:val="49"/>
        </w:rPr>
        <w:t>  </w:t>
      </w:r>
      <w:r>
        <w:rPr/>
        <w:t>Health</w:t>
      </w:r>
      <w:r>
        <w:rPr>
          <w:spacing w:val="50"/>
        </w:rPr>
        <w:t>  </w:t>
      </w:r>
      <w:r>
        <w:rPr/>
        <w:t>Centre</w:t>
      </w:r>
      <w:r>
        <w:rPr>
          <w:spacing w:val="50"/>
        </w:rPr>
        <w:t>  </w:t>
      </w:r>
      <w:r>
        <w:rPr/>
        <w:t>/</w:t>
      </w:r>
      <w:r>
        <w:rPr>
          <w:spacing w:val="48"/>
        </w:rPr>
        <w:t>  </w:t>
      </w:r>
      <w:r>
        <w:rPr/>
        <w:t>Outpost,</w:t>
      </w:r>
      <w:r>
        <w:rPr>
          <w:spacing w:val="50"/>
        </w:rPr>
        <w:t>  </w:t>
      </w:r>
      <w:r>
        <w:rPr/>
        <w:t>Community</w:t>
      </w:r>
      <w:r>
        <w:rPr>
          <w:spacing w:val="50"/>
        </w:rPr>
        <w:t>  </w:t>
      </w:r>
      <w:r>
        <w:rPr>
          <w:spacing w:val="-4"/>
        </w:rPr>
        <w:t>Hall</w:t>
      </w:r>
    </w:p>
    <w:p>
      <w:pPr>
        <w:spacing w:line="237" w:lineRule="auto" w:before="4"/>
        <w:ind w:left="2062" w:right="769" w:firstLine="0"/>
        <w:jc w:val="both"/>
        <w:rPr>
          <w:b/>
          <w:i/>
          <w:sz w:val="24"/>
        </w:rPr>
      </w:pPr>
      <w:r>
        <w:rPr>
          <w:b/>
          <w:sz w:val="24"/>
        </w:rPr>
        <w:t>/Gymnasium / Fitness Centre, Skill Development Centre, Women Entrepreneurship Centre, Yuva Kendra / Library Society Office, and Religious Structures</w:t>
      </w:r>
      <w:r>
        <w:rPr>
          <w:b/>
          <w:i/>
          <w:sz w:val="24"/>
        </w:rPr>
        <w:t>:</w:t>
      </w:r>
    </w:p>
    <w:p>
      <w:pPr>
        <w:pStyle w:val="ListParagraph"/>
        <w:numPr>
          <w:ilvl w:val="1"/>
          <w:numId w:val="189"/>
        </w:numPr>
        <w:tabs>
          <w:tab w:pos="2692" w:val="left" w:leader="none"/>
        </w:tabs>
        <w:spacing w:line="276" w:lineRule="auto" w:before="244" w:after="0"/>
        <w:ind w:left="2194" w:right="766" w:firstLine="0"/>
        <w:jc w:val="both"/>
        <w:rPr>
          <w:sz w:val="24"/>
        </w:rPr>
      </w:pPr>
      <w:r>
        <w:rPr>
          <w:sz w:val="24"/>
        </w:rPr>
        <w:t>There shall be Balwadi, Welfare hall and any of two amenities mentioned above.There shall be health Centre/ outpost, Aaganwadi, skill</w:t>
      </w:r>
      <w:r>
        <w:rPr>
          <w:spacing w:val="-18"/>
          <w:sz w:val="24"/>
        </w:rPr>
        <w:t> </w:t>
      </w:r>
      <w:r>
        <w:rPr>
          <w:sz w:val="24"/>
        </w:rPr>
        <w:t>development</w:t>
      </w:r>
      <w:r>
        <w:rPr>
          <w:spacing w:val="-18"/>
          <w:sz w:val="24"/>
        </w:rPr>
        <w:t> </w:t>
      </w:r>
      <w:r>
        <w:rPr>
          <w:sz w:val="24"/>
        </w:rPr>
        <w:t>centre,</w:t>
      </w:r>
      <w:r>
        <w:rPr>
          <w:spacing w:val="-18"/>
          <w:sz w:val="24"/>
        </w:rPr>
        <w:t> </w:t>
      </w:r>
      <w:r>
        <w:rPr>
          <w:sz w:val="24"/>
        </w:rPr>
        <w:t>women</w:t>
      </w:r>
      <w:r>
        <w:rPr>
          <w:spacing w:val="-18"/>
          <w:sz w:val="24"/>
        </w:rPr>
        <w:t> </w:t>
      </w:r>
      <w:r>
        <w:rPr>
          <w:sz w:val="24"/>
        </w:rPr>
        <w:t>entrepreneurship</w:t>
      </w:r>
      <w:r>
        <w:rPr>
          <w:spacing w:val="-18"/>
          <w:sz w:val="24"/>
        </w:rPr>
        <w:t> </w:t>
      </w:r>
      <w:r>
        <w:rPr>
          <w:sz w:val="24"/>
        </w:rPr>
        <w:t>centre,</w:t>
      </w:r>
      <w:r>
        <w:rPr>
          <w:spacing w:val="-18"/>
          <w:sz w:val="24"/>
        </w:rPr>
        <w:t> </w:t>
      </w:r>
      <w:r>
        <w:rPr>
          <w:sz w:val="24"/>
        </w:rPr>
        <w:t>yuvakendra</w:t>
      </w:r>
    </w:p>
    <w:p>
      <w:pPr>
        <w:pStyle w:val="BodyText"/>
        <w:spacing w:line="276" w:lineRule="auto"/>
        <w:ind w:left="2194" w:right="766"/>
      </w:pPr>
      <w:r>
        <w:rPr/>
        <w:t>/</w:t>
      </w:r>
      <w:r>
        <w:rPr>
          <w:spacing w:val="-10"/>
        </w:rPr>
        <w:t> </w:t>
      </w:r>
      <w:r>
        <w:rPr/>
        <w:t>library</w:t>
      </w:r>
      <w:r>
        <w:rPr>
          <w:spacing w:val="-10"/>
        </w:rPr>
        <w:t> </w:t>
      </w:r>
      <w:r>
        <w:rPr/>
        <w:t>of</w:t>
      </w:r>
      <w:r>
        <w:rPr>
          <w:spacing w:val="-10"/>
        </w:rPr>
        <w:t> </w:t>
      </w:r>
      <w:r>
        <w:rPr/>
        <w:t>size</w:t>
      </w:r>
      <w:r>
        <w:rPr>
          <w:spacing w:val="40"/>
        </w:rPr>
        <w:t> </w:t>
      </w:r>
      <w:r>
        <w:rPr/>
        <w:t>27.88</w:t>
      </w:r>
      <w:r>
        <w:rPr>
          <w:spacing w:val="40"/>
        </w:rPr>
        <w:t> </w:t>
      </w:r>
      <w:r>
        <w:rPr/>
        <w:t>sq.</w:t>
      </w:r>
      <w:r>
        <w:rPr>
          <w:spacing w:val="-10"/>
        </w:rPr>
        <w:t> </w:t>
      </w:r>
      <w:r>
        <w:rPr/>
        <w:t>m</w:t>
      </w:r>
      <w:r>
        <w:rPr>
          <w:spacing w:val="-10"/>
        </w:rPr>
        <w:t> </w:t>
      </w:r>
      <w:r>
        <w:rPr/>
        <w:t>for</w:t>
      </w:r>
      <w:r>
        <w:rPr>
          <w:spacing w:val="-10"/>
        </w:rPr>
        <w:t> </w:t>
      </w:r>
      <w:r>
        <w:rPr/>
        <w:t>every</w:t>
      </w:r>
      <w:r>
        <w:rPr>
          <w:spacing w:val="-10"/>
        </w:rPr>
        <w:t> </w:t>
      </w:r>
      <w:r>
        <w:rPr/>
        <w:t>multiple</w:t>
      </w:r>
      <w:r>
        <w:rPr>
          <w:spacing w:val="-9"/>
        </w:rPr>
        <w:t> </w:t>
      </w:r>
      <w:r>
        <w:rPr/>
        <w:t>or</w:t>
      </w:r>
      <w:r>
        <w:rPr>
          <w:spacing w:val="-10"/>
        </w:rPr>
        <w:t> </w:t>
      </w:r>
      <w:r>
        <w:rPr/>
        <w:t>part</w:t>
      </w:r>
      <w:r>
        <w:rPr>
          <w:spacing w:val="-10"/>
        </w:rPr>
        <w:t> </w:t>
      </w:r>
      <w:r>
        <w:rPr/>
        <w:t>of</w:t>
      </w:r>
      <w:r>
        <w:rPr>
          <w:spacing w:val="-10"/>
        </w:rPr>
        <w:t> </w:t>
      </w:r>
      <w:r>
        <w:rPr/>
        <w:t>250</w:t>
      </w:r>
      <w:r>
        <w:rPr>
          <w:spacing w:val="-8"/>
        </w:rPr>
        <w:t> </w:t>
      </w:r>
      <w:r>
        <w:rPr/>
        <w:t>hutment dwellers. In case of misuse, it shall be taken over by the SRA which will</w:t>
      </w:r>
      <w:r>
        <w:rPr>
          <w:spacing w:val="53"/>
          <w:w w:val="150"/>
        </w:rPr>
        <w:t> </w:t>
      </w:r>
      <w:r>
        <w:rPr/>
        <w:t>be</w:t>
      </w:r>
      <w:r>
        <w:rPr>
          <w:spacing w:val="54"/>
          <w:w w:val="150"/>
        </w:rPr>
        <w:t> </w:t>
      </w:r>
      <w:r>
        <w:rPr/>
        <w:t>competent</w:t>
      </w:r>
      <w:r>
        <w:rPr>
          <w:spacing w:val="52"/>
          <w:w w:val="150"/>
        </w:rPr>
        <w:t> </w:t>
      </w:r>
      <w:r>
        <w:rPr/>
        <w:t>to</w:t>
      </w:r>
      <w:r>
        <w:rPr>
          <w:spacing w:val="53"/>
          <w:w w:val="150"/>
        </w:rPr>
        <w:t> </w:t>
      </w:r>
      <w:r>
        <w:rPr/>
        <w:t>allot</w:t>
      </w:r>
      <w:r>
        <w:rPr>
          <w:spacing w:val="54"/>
          <w:w w:val="150"/>
        </w:rPr>
        <w:t> </w:t>
      </w:r>
      <w:r>
        <w:rPr/>
        <w:t>the</w:t>
      </w:r>
      <w:r>
        <w:rPr>
          <w:spacing w:val="53"/>
          <w:w w:val="150"/>
        </w:rPr>
        <w:t> </w:t>
      </w:r>
      <w:r>
        <w:rPr/>
        <w:t>same</w:t>
      </w:r>
      <w:r>
        <w:rPr>
          <w:spacing w:val="51"/>
          <w:w w:val="150"/>
        </w:rPr>
        <w:t> </w:t>
      </w:r>
      <w:r>
        <w:rPr/>
        <w:t>to</w:t>
      </w:r>
      <w:r>
        <w:rPr>
          <w:spacing w:val="54"/>
          <w:w w:val="150"/>
        </w:rPr>
        <w:t> </w:t>
      </w:r>
      <w:r>
        <w:rPr/>
        <w:t>some</w:t>
      </w:r>
      <w:r>
        <w:rPr>
          <w:spacing w:val="53"/>
          <w:w w:val="150"/>
        </w:rPr>
        <w:t> </w:t>
      </w:r>
      <w:r>
        <w:rPr/>
        <w:t>other</w:t>
      </w:r>
      <w:r>
        <w:rPr>
          <w:spacing w:val="54"/>
          <w:w w:val="150"/>
        </w:rPr>
        <w:t> </w:t>
      </w:r>
      <w:r>
        <w:rPr>
          <w:spacing w:val="-2"/>
        </w:rPr>
        <w:t>organization</w:t>
      </w:r>
    </w:p>
    <w:p>
      <w:pPr>
        <w:pStyle w:val="BodyText"/>
        <w:spacing w:line="276" w:lineRule="auto"/>
        <w:ind w:left="2194" w:right="766"/>
      </w:pPr>
      <w:r>
        <w:rPr/>
        <w:t>/institution for public use. Balwadi shall also be provided for on a similar scale. An office for the Co-operative housing society shall be also</w:t>
      </w:r>
      <w:r>
        <w:rPr>
          <w:spacing w:val="-20"/>
        </w:rPr>
        <w:t> </w:t>
      </w:r>
      <w:r>
        <w:rPr/>
        <w:t>constructed</w:t>
      </w:r>
      <w:r>
        <w:rPr>
          <w:spacing w:val="-19"/>
        </w:rPr>
        <w:t> </w:t>
      </w:r>
      <w:r>
        <w:rPr/>
        <w:t>for</w:t>
      </w:r>
      <w:r>
        <w:rPr>
          <w:spacing w:val="-19"/>
        </w:rPr>
        <w:t> </w:t>
      </w:r>
      <w:r>
        <w:rPr/>
        <w:t>every</w:t>
      </w:r>
      <w:r>
        <w:rPr>
          <w:spacing w:val="-19"/>
        </w:rPr>
        <w:t> </w:t>
      </w:r>
      <w:r>
        <w:rPr/>
        <w:t>100</w:t>
      </w:r>
      <w:r>
        <w:rPr>
          <w:spacing w:val="-19"/>
        </w:rPr>
        <w:t> </w:t>
      </w:r>
      <w:r>
        <w:rPr/>
        <w:t>rehab</w:t>
      </w:r>
      <w:r>
        <w:rPr>
          <w:spacing w:val="-20"/>
        </w:rPr>
        <w:t> </w:t>
      </w:r>
      <w:r>
        <w:rPr/>
        <w:t>tenements</w:t>
      </w:r>
      <w:r>
        <w:rPr>
          <w:spacing w:val="-19"/>
        </w:rPr>
        <w:t> </w:t>
      </w:r>
      <w:r>
        <w:rPr/>
        <w:t>in</w:t>
      </w:r>
      <w:r>
        <w:rPr>
          <w:spacing w:val="-19"/>
        </w:rPr>
        <w:t> </w:t>
      </w:r>
      <w:r>
        <w:rPr/>
        <w:t>accordance</w:t>
      </w:r>
      <w:r>
        <w:rPr>
          <w:spacing w:val="-19"/>
        </w:rPr>
        <w:t> </w:t>
      </w:r>
      <w:r>
        <w:rPr/>
        <w:t>will</w:t>
      </w:r>
      <w:r>
        <w:rPr>
          <w:spacing w:val="-19"/>
        </w:rPr>
        <w:t> </w:t>
      </w:r>
      <w:r>
        <w:rPr/>
        <w:t>D.C. Regulations No. 37(9). However, if the number of rehab tenements exceeds 100 then for every 100 rehab tenements such additional society</w:t>
      </w:r>
      <w:r>
        <w:rPr>
          <w:spacing w:val="-10"/>
        </w:rPr>
        <w:t> </w:t>
      </w:r>
      <w:r>
        <w:rPr/>
        <w:t>office</w:t>
      </w:r>
      <w:r>
        <w:rPr>
          <w:spacing w:val="-10"/>
        </w:rPr>
        <w:t> </w:t>
      </w:r>
      <w:r>
        <w:rPr/>
        <w:t>shall</w:t>
      </w:r>
      <w:r>
        <w:rPr>
          <w:spacing w:val="-10"/>
        </w:rPr>
        <w:t> </w:t>
      </w:r>
      <w:r>
        <w:rPr/>
        <w:t>be</w:t>
      </w:r>
      <w:r>
        <w:rPr>
          <w:spacing w:val="-10"/>
        </w:rPr>
        <w:t> </w:t>
      </w:r>
      <w:r>
        <w:rPr/>
        <w:t>constructed.</w:t>
      </w:r>
      <w:r>
        <w:rPr>
          <w:spacing w:val="-7"/>
        </w:rPr>
        <w:t> </w:t>
      </w:r>
      <w:r>
        <w:rPr/>
        <w:t>There</w:t>
      </w:r>
      <w:r>
        <w:rPr>
          <w:spacing w:val="-7"/>
        </w:rPr>
        <w:t> </w:t>
      </w:r>
      <w:r>
        <w:rPr/>
        <w:t>shall</w:t>
      </w:r>
      <w:r>
        <w:rPr>
          <w:spacing w:val="-10"/>
        </w:rPr>
        <w:t> </w:t>
      </w:r>
      <w:r>
        <w:rPr/>
        <w:t>be</w:t>
      </w:r>
      <w:r>
        <w:rPr>
          <w:spacing w:val="-10"/>
        </w:rPr>
        <w:t> </w:t>
      </w:r>
      <w:r>
        <w:rPr/>
        <w:t>a</w:t>
      </w:r>
      <w:r>
        <w:rPr>
          <w:spacing w:val="-8"/>
        </w:rPr>
        <w:t> </w:t>
      </w:r>
      <w:r>
        <w:rPr/>
        <w:t>community</w:t>
      </w:r>
      <w:r>
        <w:rPr>
          <w:spacing w:val="-10"/>
        </w:rPr>
        <w:t> </w:t>
      </w:r>
      <w:r>
        <w:rPr/>
        <w:t>hall</w:t>
      </w:r>
      <w:r>
        <w:rPr>
          <w:spacing w:val="-10"/>
        </w:rPr>
        <w:t> </w:t>
      </w:r>
      <w:r>
        <w:rPr/>
        <w:t>for rehab bldg. of the Project as a part of the rehabilitation component. The area of such hall shall be 2% of rehab built up area of all the buildings or 200 sq. m whichever is less.</w:t>
      </w:r>
    </w:p>
    <w:p>
      <w:pPr>
        <w:pStyle w:val="BodyText"/>
        <w:spacing w:line="259" w:lineRule="auto" w:before="203"/>
        <w:ind w:left="2194" w:right="771"/>
      </w:pPr>
      <w:r>
        <w:rPr/>
        <w:t>Religious structures existing prior to redevelopment, if allowed in accordance</w:t>
      </w:r>
      <w:r>
        <w:rPr>
          <w:spacing w:val="20"/>
        </w:rPr>
        <w:t> </w:t>
      </w:r>
      <w:r>
        <w:rPr/>
        <w:t>with</w:t>
      </w:r>
      <w:r>
        <w:rPr>
          <w:spacing w:val="22"/>
        </w:rPr>
        <w:t> </w:t>
      </w:r>
      <w:r>
        <w:rPr/>
        <w:t>the</w:t>
      </w:r>
      <w:r>
        <w:rPr>
          <w:spacing w:val="22"/>
        </w:rPr>
        <w:t> </w:t>
      </w:r>
      <w:r>
        <w:rPr/>
        <w:t>guidelines</w:t>
      </w:r>
      <w:r>
        <w:rPr>
          <w:spacing w:val="22"/>
        </w:rPr>
        <w:t> </w:t>
      </w:r>
      <w:r>
        <w:rPr/>
        <w:t>issued</w:t>
      </w:r>
      <w:r>
        <w:rPr>
          <w:spacing w:val="22"/>
        </w:rPr>
        <w:t> </w:t>
      </w:r>
      <w:r>
        <w:rPr/>
        <w:t>by</w:t>
      </w:r>
      <w:r>
        <w:rPr>
          <w:spacing w:val="23"/>
        </w:rPr>
        <w:t> </w:t>
      </w:r>
      <w:r>
        <w:rPr/>
        <w:t>Govt.</w:t>
      </w:r>
      <w:r>
        <w:rPr>
          <w:spacing w:val="22"/>
        </w:rPr>
        <w:t> </w:t>
      </w:r>
      <w:r>
        <w:rPr/>
        <w:t>from</w:t>
      </w:r>
      <w:r>
        <w:rPr>
          <w:spacing w:val="22"/>
        </w:rPr>
        <w:t> </w:t>
      </w:r>
      <w:r>
        <w:rPr/>
        <w:t>time</w:t>
      </w:r>
      <w:r>
        <w:rPr>
          <w:spacing w:val="22"/>
        </w:rPr>
        <w:t> </w:t>
      </w:r>
      <w:r>
        <w:rPr/>
        <w:t>to</w:t>
      </w:r>
      <w:r>
        <w:rPr>
          <w:spacing w:val="22"/>
        </w:rPr>
        <w:t> </w:t>
      </w:r>
      <w:r>
        <w:rPr/>
        <w:t>time</w:t>
      </w:r>
      <w:r>
        <w:rPr>
          <w:spacing w:val="23"/>
        </w:rPr>
        <w:t> </w:t>
      </w:r>
      <w:r>
        <w:rPr>
          <w:spacing w:val="-5"/>
        </w:rPr>
        <w:t>as</w:t>
      </w:r>
    </w:p>
    <w:p>
      <w:pPr>
        <w:pStyle w:val="BodyText"/>
        <w:spacing w:after="0" w:line="259" w:lineRule="auto"/>
        <w:sectPr>
          <w:pgSz w:w="11910" w:h="16840"/>
          <w:pgMar w:header="1065" w:footer="1194" w:top="1500" w:bottom="1380" w:left="360" w:right="360"/>
        </w:sectPr>
      </w:pPr>
    </w:p>
    <w:p>
      <w:pPr>
        <w:pStyle w:val="BodyText"/>
        <w:spacing w:line="259" w:lineRule="auto" w:before="249"/>
        <w:ind w:left="2194" w:right="769"/>
      </w:pPr>
      <w:r>
        <w:rPr/>
        <w:t>part of redevelopment shall not exceed the area that existed prior to </w:t>
      </w:r>
      <w:r>
        <w:rPr>
          <w:spacing w:val="-2"/>
        </w:rPr>
        <w:t>redevelopment.</w:t>
      </w:r>
      <w:r>
        <w:rPr>
          <w:spacing w:val="-6"/>
        </w:rPr>
        <w:t> </w:t>
      </w:r>
      <w:r>
        <w:rPr>
          <w:spacing w:val="-2"/>
        </w:rPr>
        <w:t>Other</w:t>
      </w:r>
      <w:r>
        <w:rPr>
          <w:spacing w:val="-6"/>
        </w:rPr>
        <w:t> </w:t>
      </w:r>
      <w:r>
        <w:rPr>
          <w:spacing w:val="-2"/>
        </w:rPr>
        <w:t>social</w:t>
      </w:r>
      <w:r>
        <w:rPr>
          <w:spacing w:val="-6"/>
        </w:rPr>
        <w:t> </w:t>
      </w:r>
      <w:r>
        <w:rPr>
          <w:spacing w:val="-2"/>
        </w:rPr>
        <w:t>infrastructure</w:t>
      </w:r>
      <w:r>
        <w:rPr>
          <w:spacing w:val="-6"/>
        </w:rPr>
        <w:t> </w:t>
      </w:r>
      <w:r>
        <w:rPr>
          <w:spacing w:val="-2"/>
        </w:rPr>
        <w:t>like</w:t>
      </w:r>
      <w:r>
        <w:rPr>
          <w:spacing w:val="-6"/>
        </w:rPr>
        <w:t> </w:t>
      </w:r>
      <w:r>
        <w:rPr>
          <w:spacing w:val="-2"/>
        </w:rPr>
        <w:t>School,</w:t>
      </w:r>
      <w:r>
        <w:rPr>
          <w:spacing w:val="-6"/>
        </w:rPr>
        <w:t> </w:t>
      </w:r>
      <w:r>
        <w:rPr>
          <w:spacing w:val="-2"/>
        </w:rPr>
        <w:t>Dispensary</w:t>
      </w:r>
      <w:r>
        <w:rPr>
          <w:spacing w:val="-6"/>
        </w:rPr>
        <w:t> </w:t>
      </w:r>
      <w:r>
        <w:rPr>
          <w:spacing w:val="-2"/>
        </w:rPr>
        <w:t>and </w:t>
      </w:r>
      <w:r>
        <w:rPr/>
        <w:t>Gymnasium run by Public Authority or Charitable Trust that existed prior</w:t>
      </w:r>
      <w:r>
        <w:rPr>
          <w:spacing w:val="-19"/>
        </w:rPr>
        <w:t> </w:t>
      </w:r>
      <w:r>
        <w:rPr/>
        <w:t>to</w:t>
      </w:r>
      <w:r>
        <w:rPr>
          <w:spacing w:val="-19"/>
        </w:rPr>
        <w:t> </w:t>
      </w:r>
      <w:r>
        <w:rPr/>
        <w:t>the</w:t>
      </w:r>
      <w:r>
        <w:rPr>
          <w:spacing w:val="-19"/>
        </w:rPr>
        <w:t> </w:t>
      </w:r>
      <w:r>
        <w:rPr/>
        <w:t>redevelopment</w:t>
      </w:r>
      <w:r>
        <w:rPr>
          <w:spacing w:val="-19"/>
        </w:rPr>
        <w:t> </w:t>
      </w:r>
      <w:r>
        <w:rPr/>
        <w:t>shall</w:t>
      </w:r>
      <w:r>
        <w:rPr>
          <w:spacing w:val="-19"/>
        </w:rPr>
        <w:t> </w:t>
      </w:r>
      <w:r>
        <w:rPr/>
        <w:t>be</w:t>
      </w:r>
      <w:r>
        <w:rPr>
          <w:spacing w:val="-19"/>
        </w:rPr>
        <w:t> </w:t>
      </w:r>
      <w:r>
        <w:rPr/>
        <w:t>allowed</w:t>
      </w:r>
      <w:r>
        <w:rPr>
          <w:spacing w:val="-19"/>
        </w:rPr>
        <w:t> </w:t>
      </w:r>
      <w:r>
        <w:rPr/>
        <w:t>without</w:t>
      </w:r>
      <w:r>
        <w:rPr>
          <w:spacing w:val="-19"/>
        </w:rPr>
        <w:t> </w:t>
      </w:r>
      <w:r>
        <w:rPr/>
        <w:t>increase</w:t>
      </w:r>
      <w:r>
        <w:rPr>
          <w:spacing w:val="-19"/>
        </w:rPr>
        <w:t> </w:t>
      </w:r>
      <w:r>
        <w:rPr/>
        <w:t>in</w:t>
      </w:r>
      <w:r>
        <w:rPr>
          <w:spacing w:val="-19"/>
        </w:rPr>
        <w:t> </w:t>
      </w:r>
      <w:r>
        <w:rPr/>
        <w:t>existing </w:t>
      </w:r>
      <w:r>
        <w:rPr>
          <w:spacing w:val="-2"/>
        </w:rPr>
        <w:t>area.</w:t>
      </w:r>
    </w:p>
    <w:p>
      <w:pPr>
        <w:pStyle w:val="BodyText"/>
        <w:spacing w:line="259" w:lineRule="auto" w:before="161"/>
        <w:ind w:left="2194" w:right="766"/>
      </w:pPr>
      <w:r>
        <w:rPr/>
        <w:t>However, it is provided that in the slum rehabilitation project of less than 250 hutments, there shall be Balwadi, Welfare hall and any of two amenities mentioned above, as decided by co-operative housing society of slum dwellers, of size of 25 sq.mt and office for the Co- operative housing society in accordance with D.C. Regulations No. 37(9).CEO,</w:t>
      </w:r>
      <w:r>
        <w:rPr>
          <w:spacing w:val="-5"/>
        </w:rPr>
        <w:t> </w:t>
      </w:r>
      <w:r>
        <w:rPr/>
        <w:t>SRA</w:t>
      </w:r>
      <w:r>
        <w:rPr>
          <w:spacing w:val="-5"/>
        </w:rPr>
        <w:t> </w:t>
      </w:r>
      <w:r>
        <w:rPr/>
        <w:t>may</w:t>
      </w:r>
      <w:r>
        <w:rPr>
          <w:spacing w:val="-5"/>
        </w:rPr>
        <w:t> </w:t>
      </w:r>
      <w:r>
        <w:rPr/>
        <w:t>permit</w:t>
      </w:r>
      <w:r>
        <w:rPr>
          <w:spacing w:val="-5"/>
        </w:rPr>
        <w:t> </w:t>
      </w:r>
      <w:r>
        <w:rPr/>
        <w:t>accumulation</w:t>
      </w:r>
      <w:r>
        <w:rPr>
          <w:spacing w:val="-5"/>
        </w:rPr>
        <w:t> </w:t>
      </w:r>
      <w:r>
        <w:rPr/>
        <w:t>of</w:t>
      </w:r>
      <w:r>
        <w:rPr>
          <w:spacing w:val="-5"/>
        </w:rPr>
        <w:t> </w:t>
      </w:r>
      <w:r>
        <w:rPr/>
        <w:t>the</w:t>
      </w:r>
      <w:r>
        <w:rPr>
          <w:spacing w:val="-5"/>
        </w:rPr>
        <w:t> </w:t>
      </w:r>
      <w:r>
        <w:rPr/>
        <w:t>amenities</w:t>
      </w:r>
      <w:r>
        <w:rPr>
          <w:spacing w:val="-5"/>
        </w:rPr>
        <w:t> </w:t>
      </w:r>
      <w:r>
        <w:rPr/>
        <w:t>mentioned above but ensure that it shall serve equitably to the rehab area.</w:t>
      </w:r>
    </w:p>
    <w:p>
      <w:pPr>
        <w:pStyle w:val="ListParagraph"/>
        <w:numPr>
          <w:ilvl w:val="1"/>
          <w:numId w:val="189"/>
        </w:numPr>
        <w:tabs>
          <w:tab w:pos="2596" w:val="left" w:leader="none"/>
        </w:tabs>
        <w:spacing w:line="240" w:lineRule="auto" w:before="158" w:after="0"/>
        <w:ind w:left="2062" w:right="765" w:firstLine="0"/>
        <w:jc w:val="both"/>
        <w:rPr>
          <w:sz w:val="24"/>
        </w:rPr>
      </w:pPr>
      <w:r>
        <w:rPr>
          <w:sz w:val="24"/>
        </w:rPr>
        <w:t>All the areas underlying Aaganwadi, health centre / outpost, communityhall /gymnasium / fitness centre, skill development centre, women entrepreneurship centre, yuvakendra / library community hall/s, society office, balwadi/s, religious structure/s, social infrastructure like School, Dispensary, Gymnasium run by Public Authority or Charitable Trust, the commercial areas given by way of incentives to the co-operative society and the nongovernmental organisation shall be free of cost and shall form part of rehabilitation component and it is on this basis the free-sale component will be computed.</w:t>
      </w:r>
      <w:r>
        <w:rPr>
          <w:spacing w:val="-18"/>
          <w:sz w:val="24"/>
        </w:rPr>
        <w:t> </w:t>
      </w:r>
      <w:r>
        <w:rPr>
          <w:sz w:val="24"/>
        </w:rPr>
        <w:t>These</w:t>
      </w:r>
      <w:r>
        <w:rPr>
          <w:spacing w:val="-18"/>
          <w:sz w:val="24"/>
        </w:rPr>
        <w:t> </w:t>
      </w:r>
      <w:r>
        <w:rPr>
          <w:sz w:val="24"/>
        </w:rPr>
        <w:t>provisions</w:t>
      </w:r>
      <w:r>
        <w:rPr>
          <w:spacing w:val="-18"/>
          <w:sz w:val="24"/>
        </w:rPr>
        <w:t> </w:t>
      </w:r>
      <w:r>
        <w:rPr>
          <w:sz w:val="24"/>
        </w:rPr>
        <w:t>shall</w:t>
      </w:r>
      <w:r>
        <w:rPr>
          <w:spacing w:val="-18"/>
          <w:sz w:val="24"/>
        </w:rPr>
        <w:t> </w:t>
      </w:r>
      <w:r>
        <w:rPr>
          <w:sz w:val="24"/>
        </w:rPr>
        <w:t>apply</w:t>
      </w:r>
      <w:r>
        <w:rPr>
          <w:spacing w:val="-18"/>
          <w:sz w:val="24"/>
        </w:rPr>
        <w:t> </w:t>
      </w:r>
      <w:r>
        <w:rPr>
          <w:sz w:val="24"/>
        </w:rPr>
        <w:t>to</w:t>
      </w:r>
      <w:r>
        <w:rPr>
          <w:spacing w:val="-18"/>
          <w:sz w:val="24"/>
        </w:rPr>
        <w:t> </w:t>
      </w:r>
      <w:r>
        <w:rPr>
          <w:sz w:val="24"/>
        </w:rPr>
        <w:t>construction</w:t>
      </w:r>
      <w:r>
        <w:rPr>
          <w:spacing w:val="-18"/>
          <w:sz w:val="24"/>
        </w:rPr>
        <w:t> </w:t>
      </w:r>
      <w:r>
        <w:rPr>
          <w:sz w:val="24"/>
        </w:rPr>
        <w:t>of</w:t>
      </w:r>
      <w:r>
        <w:rPr>
          <w:spacing w:val="-18"/>
          <w:sz w:val="24"/>
        </w:rPr>
        <w:t> </w:t>
      </w:r>
      <w:r>
        <w:rPr>
          <w:sz w:val="24"/>
        </w:rPr>
        <w:t>transit</w:t>
      </w:r>
      <w:r>
        <w:rPr>
          <w:spacing w:val="-18"/>
          <w:sz w:val="24"/>
        </w:rPr>
        <w:t> </w:t>
      </w:r>
      <w:r>
        <w:rPr>
          <w:sz w:val="24"/>
        </w:rPr>
        <w:t>camps under DC Regulations 33(11) also.</w:t>
      </w:r>
    </w:p>
    <w:p>
      <w:pPr>
        <w:pStyle w:val="BodyText"/>
        <w:spacing w:before="78"/>
        <w:jc w:val="left"/>
      </w:pPr>
    </w:p>
    <w:p>
      <w:pPr>
        <w:pStyle w:val="ListParagraph"/>
        <w:numPr>
          <w:ilvl w:val="1"/>
          <w:numId w:val="189"/>
        </w:numPr>
        <w:tabs>
          <w:tab w:pos="2503" w:val="left" w:leader="none"/>
        </w:tabs>
        <w:spacing w:line="240" w:lineRule="auto" w:before="0" w:after="0"/>
        <w:ind w:left="2062" w:right="766" w:firstLine="0"/>
        <w:jc w:val="both"/>
        <w:rPr>
          <w:sz w:val="24"/>
        </w:rPr>
      </w:pPr>
      <w:r>
        <w:rPr>
          <w:sz w:val="24"/>
        </w:rPr>
        <w:t>Aaganwadi,</w:t>
      </w:r>
      <w:r>
        <w:rPr>
          <w:spacing w:val="-12"/>
          <w:sz w:val="24"/>
        </w:rPr>
        <w:t> </w:t>
      </w:r>
      <w:r>
        <w:rPr>
          <w:sz w:val="24"/>
        </w:rPr>
        <w:t>health</w:t>
      </w:r>
      <w:r>
        <w:rPr>
          <w:spacing w:val="-12"/>
          <w:sz w:val="24"/>
        </w:rPr>
        <w:t> </w:t>
      </w:r>
      <w:r>
        <w:rPr>
          <w:sz w:val="24"/>
        </w:rPr>
        <w:t>centre</w:t>
      </w:r>
      <w:r>
        <w:rPr>
          <w:spacing w:val="-12"/>
          <w:sz w:val="24"/>
        </w:rPr>
        <w:t> </w:t>
      </w:r>
      <w:r>
        <w:rPr>
          <w:sz w:val="24"/>
        </w:rPr>
        <w:t>/</w:t>
      </w:r>
      <w:r>
        <w:rPr>
          <w:spacing w:val="-12"/>
          <w:sz w:val="24"/>
        </w:rPr>
        <w:t> </w:t>
      </w:r>
      <w:r>
        <w:rPr>
          <w:sz w:val="24"/>
        </w:rPr>
        <w:t>outpost,</w:t>
      </w:r>
      <w:r>
        <w:rPr>
          <w:spacing w:val="-12"/>
          <w:sz w:val="24"/>
        </w:rPr>
        <w:t> </w:t>
      </w:r>
      <w:r>
        <w:rPr>
          <w:sz w:val="24"/>
        </w:rPr>
        <w:t>community</w:t>
      </w:r>
      <w:r>
        <w:rPr>
          <w:spacing w:val="-12"/>
          <w:sz w:val="24"/>
        </w:rPr>
        <w:t> </w:t>
      </w:r>
      <w:r>
        <w:rPr>
          <w:sz w:val="24"/>
        </w:rPr>
        <w:t>hall</w:t>
      </w:r>
      <w:r>
        <w:rPr>
          <w:spacing w:val="-12"/>
          <w:sz w:val="24"/>
        </w:rPr>
        <w:t> </w:t>
      </w:r>
      <w:r>
        <w:rPr>
          <w:sz w:val="24"/>
        </w:rPr>
        <w:t>/gymnasium</w:t>
      </w:r>
      <w:r>
        <w:rPr>
          <w:spacing w:val="-12"/>
          <w:sz w:val="24"/>
        </w:rPr>
        <w:t> </w:t>
      </w:r>
      <w:r>
        <w:rPr>
          <w:sz w:val="24"/>
        </w:rPr>
        <w:t>/ fitness centre, skill development centre, women entrepreneurship centre, yuvakendra / library society office, Balwadi/s and religious structures, social infrastructure like School, Dispensary and Gymnasium run by Public Authority or Charitable Trust in the rehab component</w:t>
      </w:r>
      <w:r>
        <w:rPr>
          <w:spacing w:val="-1"/>
          <w:sz w:val="24"/>
        </w:rPr>
        <w:t> </w:t>
      </w:r>
      <w:r>
        <w:rPr>
          <w:sz w:val="24"/>
        </w:rPr>
        <w:t>shall</w:t>
      </w:r>
      <w:r>
        <w:rPr>
          <w:spacing w:val="-1"/>
          <w:sz w:val="24"/>
        </w:rPr>
        <w:t> </w:t>
      </w:r>
      <w:r>
        <w:rPr>
          <w:sz w:val="24"/>
        </w:rPr>
        <w:t>not</w:t>
      </w:r>
      <w:r>
        <w:rPr>
          <w:spacing w:val="-1"/>
          <w:sz w:val="24"/>
        </w:rPr>
        <w:t> </w:t>
      </w:r>
      <w:r>
        <w:rPr>
          <w:sz w:val="24"/>
        </w:rPr>
        <w:t>be</w:t>
      </w:r>
      <w:r>
        <w:rPr>
          <w:spacing w:val="-1"/>
          <w:sz w:val="24"/>
        </w:rPr>
        <w:t> </w:t>
      </w:r>
      <w:r>
        <w:rPr>
          <w:sz w:val="24"/>
        </w:rPr>
        <w:t>counted towards</w:t>
      </w:r>
      <w:r>
        <w:rPr>
          <w:spacing w:val="-4"/>
          <w:sz w:val="24"/>
        </w:rPr>
        <w:t> </w:t>
      </w:r>
      <w:r>
        <w:rPr>
          <w:sz w:val="24"/>
        </w:rPr>
        <w:t>the</w:t>
      </w:r>
      <w:r>
        <w:rPr>
          <w:spacing w:val="-1"/>
          <w:sz w:val="24"/>
        </w:rPr>
        <w:t> </w:t>
      </w:r>
      <w:r>
        <w:rPr>
          <w:sz w:val="24"/>
        </w:rPr>
        <w:t>FSI</w:t>
      </w:r>
      <w:r>
        <w:rPr>
          <w:spacing w:val="-1"/>
          <w:sz w:val="24"/>
        </w:rPr>
        <w:t> </w:t>
      </w:r>
      <w:r>
        <w:rPr>
          <w:sz w:val="24"/>
        </w:rPr>
        <w:t>even</w:t>
      </w:r>
      <w:r>
        <w:rPr>
          <w:spacing w:val="-1"/>
          <w:sz w:val="24"/>
        </w:rPr>
        <w:t> </w:t>
      </w:r>
      <w:r>
        <w:rPr>
          <w:sz w:val="24"/>
        </w:rPr>
        <w:t>while</w:t>
      </w:r>
      <w:r>
        <w:rPr>
          <w:spacing w:val="-1"/>
          <w:sz w:val="24"/>
        </w:rPr>
        <w:t> </w:t>
      </w:r>
      <w:r>
        <w:rPr>
          <w:sz w:val="24"/>
        </w:rPr>
        <w:t>computing permissible FSI on site.</w:t>
      </w:r>
    </w:p>
    <w:p>
      <w:pPr>
        <w:pStyle w:val="BodyText"/>
        <w:spacing w:before="77"/>
        <w:jc w:val="left"/>
      </w:pPr>
    </w:p>
    <w:p>
      <w:pPr>
        <w:pStyle w:val="Heading5"/>
        <w:numPr>
          <w:ilvl w:val="0"/>
          <w:numId w:val="189"/>
        </w:numPr>
        <w:tabs>
          <w:tab w:pos="2364" w:val="left" w:leader="none"/>
        </w:tabs>
        <w:spacing w:line="240" w:lineRule="auto" w:before="0" w:after="0"/>
        <w:ind w:left="2364" w:right="0" w:hanging="302"/>
        <w:jc w:val="both"/>
        <w:rPr>
          <w:b w:val="0"/>
        </w:rPr>
      </w:pPr>
      <w:r>
        <w:rPr/>
        <w:t>Payments</w:t>
      </w:r>
      <w:r>
        <w:rPr>
          <w:spacing w:val="-4"/>
        </w:rPr>
        <w:t> </w:t>
      </w:r>
      <w:r>
        <w:rPr/>
        <w:t>to</w:t>
      </w:r>
      <w:r>
        <w:rPr>
          <w:spacing w:val="-1"/>
        </w:rPr>
        <w:t> </w:t>
      </w:r>
      <w:r>
        <w:rPr/>
        <w:t>be</w:t>
      </w:r>
      <w:r>
        <w:rPr>
          <w:spacing w:val="-2"/>
        </w:rPr>
        <w:t> </w:t>
      </w:r>
      <w:r>
        <w:rPr/>
        <w:t>made</w:t>
      </w:r>
      <w:r>
        <w:rPr>
          <w:spacing w:val="-1"/>
        </w:rPr>
        <w:t> </w:t>
      </w:r>
      <w:r>
        <w:rPr/>
        <w:t>to</w:t>
      </w:r>
      <w:r>
        <w:rPr>
          <w:spacing w:val="-2"/>
        </w:rPr>
        <w:t> </w:t>
      </w:r>
      <w:r>
        <w:rPr/>
        <w:t>SRA and</w:t>
      </w:r>
      <w:r>
        <w:rPr>
          <w:spacing w:val="-1"/>
        </w:rPr>
        <w:t> </w:t>
      </w:r>
      <w:r>
        <w:rPr>
          <w:spacing w:val="-2"/>
        </w:rPr>
        <w:t>Instalments</w:t>
      </w:r>
      <w:r>
        <w:rPr>
          <w:i/>
          <w:spacing w:val="-2"/>
        </w:rPr>
        <w:t>:</w:t>
      </w:r>
    </w:p>
    <w:p>
      <w:pPr>
        <w:pStyle w:val="ListParagraph"/>
        <w:numPr>
          <w:ilvl w:val="1"/>
          <w:numId w:val="189"/>
        </w:numPr>
        <w:tabs>
          <w:tab w:pos="2522" w:val="left" w:leader="none"/>
        </w:tabs>
        <w:spacing w:line="240" w:lineRule="auto" w:before="241" w:after="0"/>
        <w:ind w:left="2062" w:right="766" w:firstLine="0"/>
        <w:jc w:val="both"/>
        <w:rPr>
          <w:sz w:val="24"/>
        </w:rPr>
      </w:pPr>
      <w:r>
        <w:rPr>
          <w:sz w:val="24"/>
        </w:rPr>
        <w:t>An amount of Rs. 40,000/- or such an amount as may be decided by</w:t>
      </w:r>
      <w:r>
        <w:rPr>
          <w:spacing w:val="-7"/>
          <w:sz w:val="24"/>
        </w:rPr>
        <w:t> </w:t>
      </w:r>
      <w:r>
        <w:rPr>
          <w:sz w:val="24"/>
        </w:rPr>
        <w:t>the</w:t>
      </w:r>
      <w:r>
        <w:rPr>
          <w:spacing w:val="-7"/>
          <w:sz w:val="24"/>
        </w:rPr>
        <w:t> </w:t>
      </w:r>
      <w:r>
        <w:rPr>
          <w:sz w:val="24"/>
        </w:rPr>
        <w:t>Planning</w:t>
      </w:r>
      <w:r>
        <w:rPr>
          <w:spacing w:val="-7"/>
          <w:sz w:val="24"/>
        </w:rPr>
        <w:t> </w:t>
      </w:r>
      <w:r>
        <w:rPr>
          <w:sz w:val="24"/>
        </w:rPr>
        <w:t>Authority</w:t>
      </w:r>
      <w:r>
        <w:rPr>
          <w:spacing w:val="-7"/>
          <w:sz w:val="24"/>
        </w:rPr>
        <w:t> </w:t>
      </w:r>
      <w:r>
        <w:rPr>
          <w:sz w:val="24"/>
        </w:rPr>
        <w:t>from</w:t>
      </w:r>
      <w:r>
        <w:rPr>
          <w:spacing w:val="-7"/>
          <w:sz w:val="24"/>
        </w:rPr>
        <w:t> </w:t>
      </w:r>
      <w:r>
        <w:rPr>
          <w:sz w:val="24"/>
        </w:rPr>
        <w:t>time</w:t>
      </w:r>
      <w:r>
        <w:rPr>
          <w:spacing w:val="-7"/>
          <w:sz w:val="24"/>
        </w:rPr>
        <w:t> </w:t>
      </w:r>
      <w:r>
        <w:rPr>
          <w:sz w:val="24"/>
        </w:rPr>
        <w:t>to</w:t>
      </w:r>
      <w:r>
        <w:rPr>
          <w:spacing w:val="-8"/>
          <w:sz w:val="24"/>
        </w:rPr>
        <w:t> </w:t>
      </w:r>
      <w:r>
        <w:rPr>
          <w:sz w:val="24"/>
        </w:rPr>
        <w:t>time</w:t>
      </w:r>
      <w:r>
        <w:rPr>
          <w:spacing w:val="-7"/>
          <w:sz w:val="24"/>
        </w:rPr>
        <w:t> </w:t>
      </w:r>
      <w:r>
        <w:rPr>
          <w:sz w:val="24"/>
        </w:rPr>
        <w:t>per</w:t>
      </w:r>
      <w:r>
        <w:rPr>
          <w:spacing w:val="-7"/>
          <w:sz w:val="24"/>
        </w:rPr>
        <w:t> </w:t>
      </w:r>
      <w:r>
        <w:rPr>
          <w:sz w:val="24"/>
        </w:rPr>
        <w:t>tenement</w:t>
      </w:r>
      <w:r>
        <w:rPr>
          <w:spacing w:val="-7"/>
          <w:sz w:val="24"/>
        </w:rPr>
        <w:t> </w:t>
      </w:r>
      <w:r>
        <w:rPr>
          <w:sz w:val="24"/>
        </w:rPr>
        <w:t>including</w:t>
      </w:r>
      <w:r>
        <w:rPr>
          <w:spacing w:val="-7"/>
          <w:sz w:val="24"/>
        </w:rPr>
        <w:t> </w:t>
      </w:r>
      <w:r>
        <w:rPr>
          <w:sz w:val="24"/>
        </w:rPr>
        <w:t>the welfare hall and balwadi in the rehab component as well as in the case of permanent transit camp tenements will have to be deposited by the owner/developer/society with the Slum Rehabilitation Authority, in accordance with the time-schedule for such payment as may be laid down by the CEO, SRA. However, by the time of completion of construction for occupation of tenements by the hutment dwellers, the total</w:t>
      </w:r>
      <w:r>
        <w:rPr>
          <w:spacing w:val="-14"/>
          <w:sz w:val="24"/>
        </w:rPr>
        <w:t> </w:t>
      </w:r>
      <w:r>
        <w:rPr>
          <w:sz w:val="24"/>
        </w:rPr>
        <w:t>amount</w:t>
      </w:r>
      <w:r>
        <w:rPr>
          <w:spacing w:val="-14"/>
          <w:sz w:val="24"/>
        </w:rPr>
        <w:t> </w:t>
      </w:r>
      <w:r>
        <w:rPr>
          <w:sz w:val="24"/>
        </w:rPr>
        <w:t>at</w:t>
      </w:r>
      <w:r>
        <w:rPr>
          <w:spacing w:val="-14"/>
          <w:sz w:val="24"/>
        </w:rPr>
        <w:t> </w:t>
      </w:r>
      <w:r>
        <w:rPr>
          <w:sz w:val="24"/>
        </w:rPr>
        <w:t>the</w:t>
      </w:r>
      <w:r>
        <w:rPr>
          <w:spacing w:val="-13"/>
          <w:sz w:val="24"/>
        </w:rPr>
        <w:t> </w:t>
      </w:r>
      <w:r>
        <w:rPr>
          <w:sz w:val="24"/>
        </w:rPr>
        <w:t>rate</w:t>
      </w:r>
      <w:r>
        <w:rPr>
          <w:spacing w:val="-14"/>
          <w:sz w:val="24"/>
        </w:rPr>
        <w:t> </w:t>
      </w:r>
      <w:r>
        <w:rPr>
          <w:sz w:val="24"/>
        </w:rPr>
        <w:t>of</w:t>
      </w:r>
      <w:r>
        <w:rPr>
          <w:spacing w:val="-14"/>
          <w:sz w:val="24"/>
        </w:rPr>
        <w:t> </w:t>
      </w:r>
      <w:r>
        <w:rPr>
          <w:sz w:val="24"/>
        </w:rPr>
        <w:t>Rs.</w:t>
      </w:r>
      <w:r>
        <w:rPr>
          <w:spacing w:val="-14"/>
          <w:sz w:val="24"/>
        </w:rPr>
        <w:t> </w:t>
      </w:r>
      <w:r>
        <w:rPr>
          <w:sz w:val="24"/>
        </w:rPr>
        <w:t>40,000/-</w:t>
      </w:r>
      <w:r>
        <w:rPr>
          <w:spacing w:val="-13"/>
          <w:sz w:val="24"/>
        </w:rPr>
        <w:t> </w:t>
      </w:r>
      <w:r>
        <w:rPr>
          <w:sz w:val="24"/>
        </w:rPr>
        <w:t>per</w:t>
      </w:r>
      <w:r>
        <w:rPr>
          <w:spacing w:val="-14"/>
          <w:sz w:val="24"/>
        </w:rPr>
        <w:t> </w:t>
      </w:r>
      <w:r>
        <w:rPr>
          <w:sz w:val="24"/>
        </w:rPr>
        <w:t>tenement</w:t>
      </w:r>
      <w:r>
        <w:rPr>
          <w:spacing w:val="-14"/>
          <w:sz w:val="24"/>
        </w:rPr>
        <w:t> </w:t>
      </w:r>
      <w:r>
        <w:rPr>
          <w:sz w:val="24"/>
        </w:rPr>
        <w:t>completed</w:t>
      </w:r>
      <w:r>
        <w:rPr>
          <w:spacing w:val="-14"/>
          <w:sz w:val="24"/>
        </w:rPr>
        <w:t> </w:t>
      </w:r>
      <w:r>
        <w:rPr>
          <w:sz w:val="24"/>
        </w:rPr>
        <w:t>should have</w:t>
      </w:r>
      <w:r>
        <w:rPr>
          <w:spacing w:val="40"/>
          <w:sz w:val="24"/>
        </w:rPr>
        <w:t> </w:t>
      </w:r>
      <w:r>
        <w:rPr>
          <w:sz w:val="24"/>
        </w:rPr>
        <w:t>been</w:t>
      </w:r>
      <w:r>
        <w:rPr>
          <w:spacing w:val="40"/>
          <w:sz w:val="24"/>
        </w:rPr>
        <w:t> </w:t>
      </w:r>
      <w:r>
        <w:rPr>
          <w:sz w:val="24"/>
        </w:rPr>
        <w:t>deposited</w:t>
      </w:r>
      <w:r>
        <w:rPr>
          <w:spacing w:val="40"/>
          <w:sz w:val="24"/>
        </w:rPr>
        <w:t> </w:t>
      </w:r>
      <w:r>
        <w:rPr>
          <w:sz w:val="24"/>
        </w:rPr>
        <w:t>in</w:t>
      </w:r>
      <w:r>
        <w:rPr>
          <w:spacing w:val="40"/>
          <w:sz w:val="24"/>
        </w:rPr>
        <w:t> </w:t>
      </w:r>
      <w:r>
        <w:rPr>
          <w:sz w:val="24"/>
        </w:rPr>
        <w:t>full.</w:t>
      </w:r>
      <w:r>
        <w:rPr>
          <w:spacing w:val="40"/>
          <w:sz w:val="24"/>
        </w:rPr>
        <w:t> </w:t>
      </w:r>
      <w:r>
        <w:rPr>
          <w:sz w:val="24"/>
        </w:rPr>
        <w:t>The</w:t>
      </w:r>
      <w:r>
        <w:rPr>
          <w:spacing w:val="40"/>
          <w:sz w:val="24"/>
        </w:rPr>
        <w:t> </w:t>
      </w:r>
      <w:r>
        <w:rPr>
          <w:sz w:val="24"/>
        </w:rPr>
        <w:t>building</w:t>
      </w:r>
      <w:r>
        <w:rPr>
          <w:spacing w:val="40"/>
          <w:sz w:val="24"/>
        </w:rPr>
        <w:t> </w:t>
      </w:r>
      <w:r>
        <w:rPr>
          <w:sz w:val="24"/>
        </w:rPr>
        <w:t>permission</w:t>
      </w:r>
      <w:r>
        <w:rPr>
          <w:spacing w:val="40"/>
          <w:sz w:val="24"/>
        </w:rPr>
        <w:t> </w:t>
      </w:r>
      <w:r>
        <w:rPr>
          <w:sz w:val="24"/>
        </w:rPr>
        <w:t>for</w:t>
      </w:r>
      <w:r>
        <w:rPr>
          <w:spacing w:val="40"/>
          <w:sz w:val="24"/>
        </w:rPr>
        <w:t> </w:t>
      </w:r>
      <w:r>
        <w:rPr>
          <w:sz w:val="24"/>
        </w:rPr>
        <w:t>the</w:t>
      </w:r>
      <w:r>
        <w:rPr>
          <w:spacing w:val="40"/>
          <w:sz w:val="24"/>
        </w:rPr>
        <w:t> </w:t>
      </w:r>
      <w:r>
        <w:rPr>
          <w:sz w:val="24"/>
        </w:rPr>
        <w:t>last</w:t>
      </w:r>
      <w:r>
        <w:rPr>
          <w:spacing w:val="40"/>
          <w:sz w:val="24"/>
        </w:rPr>
        <w:t> </w:t>
      </w:r>
      <w:r>
        <w:rPr>
          <w:sz w:val="24"/>
        </w:rPr>
        <w:t>25</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jc w:val="left"/>
      </w:pPr>
      <w:r>
        <w:rPr/>
        <w:t>percent</w:t>
      </w:r>
      <w:r>
        <w:rPr>
          <w:spacing w:val="40"/>
        </w:rPr>
        <w:t> </w:t>
      </w:r>
      <w:r>
        <w:rPr/>
        <w:t>of</w:t>
      </w:r>
      <w:r>
        <w:rPr>
          <w:spacing w:val="40"/>
        </w:rPr>
        <w:t> </w:t>
      </w:r>
      <w:r>
        <w:rPr/>
        <w:t>the</w:t>
      </w:r>
      <w:r>
        <w:rPr>
          <w:spacing w:val="40"/>
        </w:rPr>
        <w:t> </w:t>
      </w:r>
      <w:r>
        <w:rPr/>
        <w:t>free-sale</w:t>
      </w:r>
      <w:r>
        <w:rPr>
          <w:spacing w:val="40"/>
        </w:rPr>
        <w:t> </w:t>
      </w:r>
      <w:r>
        <w:rPr/>
        <w:t>component</w:t>
      </w:r>
      <w:r>
        <w:rPr>
          <w:spacing w:val="40"/>
        </w:rPr>
        <w:t> </w:t>
      </w:r>
      <w:r>
        <w:rPr/>
        <w:t>would</w:t>
      </w:r>
      <w:r>
        <w:rPr>
          <w:spacing w:val="40"/>
        </w:rPr>
        <w:t> </w:t>
      </w:r>
      <w:r>
        <w:rPr/>
        <w:t>be</w:t>
      </w:r>
      <w:r>
        <w:rPr>
          <w:spacing w:val="40"/>
        </w:rPr>
        <w:t> </w:t>
      </w:r>
      <w:r>
        <w:rPr/>
        <w:t>given</w:t>
      </w:r>
      <w:r>
        <w:rPr>
          <w:spacing w:val="40"/>
        </w:rPr>
        <w:t> </w:t>
      </w:r>
      <w:r>
        <w:rPr/>
        <w:t>only</w:t>
      </w:r>
      <w:r>
        <w:rPr>
          <w:spacing w:val="40"/>
        </w:rPr>
        <w:t> </w:t>
      </w:r>
      <w:r>
        <w:rPr/>
        <w:t>after</w:t>
      </w:r>
      <w:r>
        <w:rPr>
          <w:spacing w:val="40"/>
        </w:rPr>
        <w:t> </w:t>
      </w:r>
      <w:r>
        <w:rPr/>
        <w:t>all</w:t>
      </w:r>
      <w:r>
        <w:rPr>
          <w:spacing w:val="40"/>
        </w:rPr>
        <w:t> </w:t>
      </w:r>
      <w:r>
        <w:rPr/>
        <w:t>the required amount is deposited in full with SRA.</w:t>
      </w:r>
    </w:p>
    <w:p>
      <w:pPr>
        <w:pStyle w:val="BodyText"/>
        <w:spacing w:before="241"/>
        <w:ind w:left="2062" w:right="845"/>
      </w:pPr>
      <w:r>
        <w:rPr/>
        <w:t>9.2. An</w:t>
      </w:r>
      <w:r>
        <w:rPr>
          <w:spacing w:val="-1"/>
        </w:rPr>
        <w:t> </w:t>
      </w:r>
      <w:r>
        <w:rPr/>
        <w:t>amount</w:t>
      </w:r>
      <w:r>
        <w:rPr>
          <w:spacing w:val="-1"/>
        </w:rPr>
        <w:t> </w:t>
      </w:r>
      <w:r>
        <w:rPr/>
        <w:t>at</w:t>
      </w:r>
      <w:r>
        <w:rPr>
          <w:spacing w:val="-1"/>
        </w:rPr>
        <w:t> </w:t>
      </w:r>
      <w:r>
        <w:rPr/>
        <w:t>the</w:t>
      </w:r>
      <w:r>
        <w:rPr>
          <w:spacing w:val="-1"/>
        </w:rPr>
        <w:t> </w:t>
      </w:r>
      <w:r>
        <w:rPr/>
        <w:t>rate</w:t>
      </w:r>
      <w:r>
        <w:rPr>
          <w:spacing w:val="-1"/>
        </w:rPr>
        <w:t> </w:t>
      </w:r>
      <w:r>
        <w:rPr/>
        <w:t>of</w:t>
      </w:r>
      <w:r>
        <w:rPr>
          <w:spacing w:val="80"/>
        </w:rPr>
        <w:t> </w:t>
      </w:r>
      <w:r>
        <w:rPr/>
        <w:t>2%</w:t>
      </w:r>
      <w:r>
        <w:rPr>
          <w:spacing w:val="-1"/>
        </w:rPr>
        <w:t> </w:t>
      </w:r>
      <w:r>
        <w:rPr/>
        <w:t>of</w:t>
      </w:r>
      <w:r>
        <w:rPr>
          <w:spacing w:val="-4"/>
        </w:rPr>
        <w:t> </w:t>
      </w:r>
      <w:r>
        <w:rPr/>
        <w:t>ready</w:t>
      </w:r>
      <w:r>
        <w:rPr>
          <w:spacing w:val="-1"/>
        </w:rPr>
        <w:t> </w:t>
      </w:r>
      <w:r>
        <w:rPr/>
        <w:t>reckoner</w:t>
      </w:r>
      <w:r>
        <w:rPr>
          <w:spacing w:val="-1"/>
        </w:rPr>
        <w:t> </w:t>
      </w:r>
      <w:r>
        <w:rPr/>
        <w:t>rate</w:t>
      </w:r>
      <w:r>
        <w:rPr>
          <w:spacing w:val="-1"/>
        </w:rPr>
        <w:t> </w:t>
      </w:r>
      <w:r>
        <w:rPr/>
        <w:t>as</w:t>
      </w:r>
      <w:r>
        <w:rPr>
          <w:spacing w:val="-6"/>
        </w:rPr>
        <w:t> </w:t>
      </w:r>
      <w:r>
        <w:rPr/>
        <w:t>prevailing on the date of issue of LOI per sq. mor such an amount as may be decided by GOM from time to time shall be paid by the Owner/Developer/Society/NGO for the BUA over and above the Zonal (basic) FSI (excluding fungible compensatory area), for the rehabilitation and free-sale components. Similarly, it shall be paid for the built-up area over and above the normally permissible FSI for construction of permanent transit camps in accordance with the provisions</w:t>
      </w:r>
      <w:r>
        <w:rPr>
          <w:spacing w:val="-3"/>
        </w:rPr>
        <w:t> </w:t>
      </w:r>
      <w:r>
        <w:rPr/>
        <w:t>under</w:t>
      </w:r>
      <w:r>
        <w:rPr>
          <w:spacing w:val="-3"/>
        </w:rPr>
        <w:t> </w:t>
      </w:r>
      <w:r>
        <w:rPr/>
        <w:t>DCR</w:t>
      </w:r>
      <w:r>
        <w:rPr>
          <w:spacing w:val="-3"/>
        </w:rPr>
        <w:t> </w:t>
      </w:r>
      <w:r>
        <w:rPr/>
        <w:t>33(11).</w:t>
      </w:r>
      <w:r>
        <w:rPr>
          <w:spacing w:val="-3"/>
        </w:rPr>
        <w:t> </w:t>
      </w:r>
      <w:r>
        <w:rPr/>
        <w:t>This</w:t>
      </w:r>
      <w:r>
        <w:rPr>
          <w:spacing w:val="-3"/>
        </w:rPr>
        <w:t> </w:t>
      </w:r>
      <w:r>
        <w:rPr/>
        <w:t>amount</w:t>
      </w:r>
      <w:r>
        <w:rPr>
          <w:spacing w:val="-3"/>
        </w:rPr>
        <w:t> </w:t>
      </w:r>
      <w:r>
        <w:rPr/>
        <w:t>shall</w:t>
      </w:r>
      <w:r>
        <w:rPr>
          <w:spacing w:val="-3"/>
        </w:rPr>
        <w:t> </w:t>
      </w:r>
      <w:r>
        <w:rPr/>
        <w:t>be</w:t>
      </w:r>
      <w:r>
        <w:rPr>
          <w:spacing w:val="-3"/>
        </w:rPr>
        <w:t> </w:t>
      </w:r>
      <w:r>
        <w:rPr/>
        <w:t>paid</w:t>
      </w:r>
      <w:r>
        <w:rPr>
          <w:spacing w:val="-3"/>
        </w:rPr>
        <w:t> </w:t>
      </w:r>
      <w:r>
        <w:rPr/>
        <w:t>to</w:t>
      </w:r>
      <w:r>
        <w:rPr>
          <w:spacing w:val="-3"/>
        </w:rPr>
        <w:t> </w:t>
      </w:r>
      <w:r>
        <w:rPr/>
        <w:t>the</w:t>
      </w:r>
      <w:r>
        <w:rPr>
          <w:spacing w:val="-3"/>
        </w:rPr>
        <w:t> </w:t>
      </w:r>
      <w:r>
        <w:rPr/>
        <w:t>SRA</w:t>
      </w:r>
      <w:r>
        <w:rPr>
          <w:spacing w:val="-3"/>
        </w:rPr>
        <w:t> </w:t>
      </w:r>
      <w:r>
        <w:rPr/>
        <w:t>in accordance with the time-schedule for such payment as may be laid down by the CEO, SRA provided the installments shall not exceed beyond the completion of construction. This amount shall be used for Schemes</w:t>
      </w:r>
      <w:r>
        <w:rPr>
          <w:spacing w:val="-2"/>
        </w:rPr>
        <w:t> </w:t>
      </w:r>
      <w:r>
        <w:rPr/>
        <w:t>to</w:t>
      </w:r>
      <w:r>
        <w:rPr>
          <w:spacing w:val="-2"/>
        </w:rPr>
        <w:t> </w:t>
      </w:r>
      <w:r>
        <w:rPr/>
        <w:t>be</w:t>
      </w:r>
      <w:r>
        <w:rPr>
          <w:spacing w:val="-2"/>
        </w:rPr>
        <w:t> </w:t>
      </w:r>
      <w:r>
        <w:rPr/>
        <w:t>prepared</w:t>
      </w:r>
      <w:r>
        <w:rPr>
          <w:spacing w:val="-2"/>
        </w:rPr>
        <w:t> </w:t>
      </w:r>
      <w:r>
        <w:rPr/>
        <w:t>for</w:t>
      </w:r>
      <w:r>
        <w:rPr>
          <w:spacing w:val="-2"/>
        </w:rPr>
        <w:t> </w:t>
      </w:r>
      <w:r>
        <w:rPr/>
        <w:t>the</w:t>
      </w:r>
      <w:r>
        <w:rPr>
          <w:spacing w:val="-2"/>
        </w:rPr>
        <w:t> </w:t>
      </w:r>
      <w:r>
        <w:rPr/>
        <w:t>improvement</w:t>
      </w:r>
      <w:r>
        <w:rPr>
          <w:spacing w:val="-2"/>
        </w:rPr>
        <w:t> </w:t>
      </w:r>
      <w:r>
        <w:rPr/>
        <w:t>of</w:t>
      </w:r>
      <w:r>
        <w:rPr>
          <w:spacing w:val="-2"/>
        </w:rPr>
        <w:t> </w:t>
      </w:r>
      <w:r>
        <w:rPr/>
        <w:t>infrastructure</w:t>
      </w:r>
      <w:r>
        <w:rPr>
          <w:spacing w:val="-2"/>
        </w:rPr>
        <w:t> </w:t>
      </w:r>
      <w:r>
        <w:rPr/>
        <w:t>in</w:t>
      </w:r>
      <w:r>
        <w:rPr>
          <w:spacing w:val="-2"/>
        </w:rPr>
        <w:t> </w:t>
      </w:r>
      <w:r>
        <w:rPr/>
        <w:t>slum or slum rehabilitation areas. These infrastructural charges shall be in addition to development charges levied as per section 124 of MR&amp;TP Act 1966.</w:t>
      </w:r>
    </w:p>
    <w:p>
      <w:pPr>
        <w:pStyle w:val="BodyText"/>
        <w:spacing w:before="240"/>
        <w:ind w:left="2062" w:right="838"/>
        <w:jc w:val="left"/>
      </w:pPr>
      <w:r>
        <w:rPr/>
        <w:t>Provided that out of amount so recovered as Infrastructural charges,</w:t>
      </w:r>
      <w:r>
        <w:rPr>
          <w:spacing w:val="40"/>
        </w:rPr>
        <w:t> </w:t>
      </w:r>
      <w:r>
        <w:rPr/>
        <w:t>90% amount will go to MCGM and 10% amount will remain with SRA.</w:t>
      </w:r>
    </w:p>
    <w:p>
      <w:pPr>
        <w:spacing w:before="238"/>
        <w:ind w:left="2062" w:right="0" w:firstLine="0"/>
        <w:jc w:val="left"/>
        <w:rPr>
          <w:b/>
          <w:i/>
          <w:sz w:val="24"/>
        </w:rPr>
      </w:pPr>
      <w:r>
        <w:rPr>
          <w:sz w:val="24"/>
        </w:rPr>
        <w:t>10</w:t>
      </w:r>
      <w:r>
        <w:rPr>
          <w:spacing w:val="-1"/>
          <w:sz w:val="24"/>
        </w:rPr>
        <w:t> </w:t>
      </w:r>
      <w:r>
        <w:rPr>
          <w:b/>
          <w:i/>
          <w:spacing w:val="-2"/>
          <w:sz w:val="24"/>
        </w:rPr>
        <w:t>Clubbing:</w:t>
      </w:r>
    </w:p>
    <w:p>
      <w:pPr>
        <w:pStyle w:val="BodyText"/>
        <w:spacing w:before="241"/>
        <w:jc w:val="left"/>
        <w:rPr>
          <w:b/>
          <w:i/>
        </w:rPr>
      </w:pPr>
    </w:p>
    <w:p>
      <w:pPr>
        <w:pStyle w:val="BodyText"/>
        <w:ind w:left="2126"/>
        <w:jc w:val="left"/>
      </w:pPr>
      <w:r>
        <w:rPr/>
        <w:t>This</w:t>
      </w:r>
      <w:r>
        <w:rPr>
          <w:spacing w:val="19"/>
        </w:rPr>
        <w:t> </w:t>
      </w:r>
      <w:r>
        <w:rPr/>
        <w:t>provision</w:t>
      </w:r>
      <w:r>
        <w:rPr>
          <w:spacing w:val="24"/>
        </w:rPr>
        <w:t> </w:t>
      </w:r>
      <w:r>
        <w:rPr/>
        <w:t>shall</w:t>
      </w:r>
      <w:r>
        <w:rPr>
          <w:spacing w:val="24"/>
        </w:rPr>
        <w:t> </w:t>
      </w:r>
      <w:r>
        <w:rPr/>
        <w:t>not</w:t>
      </w:r>
      <w:r>
        <w:rPr>
          <w:spacing w:val="22"/>
        </w:rPr>
        <w:t> </w:t>
      </w:r>
      <w:r>
        <w:rPr/>
        <w:t>apply</w:t>
      </w:r>
      <w:r>
        <w:rPr>
          <w:spacing w:val="21"/>
        </w:rPr>
        <w:t> </w:t>
      </w:r>
      <w:r>
        <w:rPr/>
        <w:t>to</w:t>
      </w:r>
      <w:r>
        <w:rPr>
          <w:spacing w:val="22"/>
        </w:rPr>
        <w:t> </w:t>
      </w:r>
      <w:r>
        <w:rPr/>
        <w:t>the</w:t>
      </w:r>
      <w:r>
        <w:rPr>
          <w:spacing w:val="22"/>
        </w:rPr>
        <w:t> </w:t>
      </w:r>
      <w:r>
        <w:rPr/>
        <w:t>plots</w:t>
      </w:r>
      <w:r>
        <w:rPr>
          <w:spacing w:val="21"/>
        </w:rPr>
        <w:t> </w:t>
      </w:r>
      <w:r>
        <w:rPr/>
        <w:t>wherein</w:t>
      </w:r>
      <w:r>
        <w:rPr>
          <w:spacing w:val="22"/>
        </w:rPr>
        <w:t> </w:t>
      </w:r>
      <w:r>
        <w:rPr/>
        <w:t>permissible</w:t>
      </w:r>
      <w:r>
        <w:rPr>
          <w:spacing w:val="22"/>
        </w:rPr>
        <w:t> </w:t>
      </w:r>
      <w:r>
        <w:rPr>
          <w:spacing w:val="-2"/>
        </w:rPr>
        <w:t>Zonal</w:t>
      </w:r>
    </w:p>
    <w:p>
      <w:pPr>
        <w:pStyle w:val="BodyText"/>
        <w:spacing w:before="45"/>
        <w:ind w:left="2050"/>
      </w:pPr>
      <w:r>
        <w:rPr/>
        <w:t>F.S.I.</w:t>
      </w:r>
      <w:r>
        <w:rPr>
          <w:spacing w:val="-1"/>
        </w:rPr>
        <w:t> </w:t>
      </w:r>
      <w:r>
        <w:rPr/>
        <w:t>is less than </w:t>
      </w:r>
      <w:r>
        <w:rPr>
          <w:spacing w:val="-4"/>
        </w:rPr>
        <w:t>1.00.</w:t>
      </w:r>
    </w:p>
    <w:p>
      <w:pPr>
        <w:pStyle w:val="BodyText"/>
        <w:spacing w:line="276" w:lineRule="auto" w:before="239"/>
        <w:ind w:left="2050" w:right="769"/>
      </w:pPr>
      <w:r>
        <w:rPr/>
        <w:t>The entire rehabilitation components for resettlement &amp; rehabilitation of</w:t>
      </w:r>
      <w:r>
        <w:rPr>
          <w:spacing w:val="-6"/>
        </w:rPr>
        <w:t> </w:t>
      </w:r>
      <w:r>
        <w:rPr/>
        <w:t>slum</w:t>
      </w:r>
      <w:r>
        <w:rPr>
          <w:spacing w:val="-6"/>
        </w:rPr>
        <w:t> </w:t>
      </w:r>
      <w:r>
        <w:rPr/>
        <w:t>as</w:t>
      </w:r>
      <w:r>
        <w:rPr>
          <w:spacing w:val="-6"/>
        </w:rPr>
        <w:t> </w:t>
      </w:r>
      <w:r>
        <w:rPr/>
        <w:t>applicable</w:t>
      </w:r>
      <w:r>
        <w:rPr>
          <w:spacing w:val="40"/>
        </w:rPr>
        <w:t> </w:t>
      </w:r>
      <w:r>
        <w:rPr/>
        <w:t>and</w:t>
      </w:r>
      <w:r>
        <w:rPr>
          <w:spacing w:val="-6"/>
        </w:rPr>
        <w:t> </w:t>
      </w:r>
      <w:r>
        <w:rPr/>
        <w:t>the</w:t>
      </w:r>
      <w:r>
        <w:rPr>
          <w:spacing w:val="-6"/>
        </w:rPr>
        <w:t> </w:t>
      </w:r>
      <w:r>
        <w:rPr/>
        <w:t>corresponding</w:t>
      </w:r>
      <w:r>
        <w:rPr>
          <w:spacing w:val="-6"/>
        </w:rPr>
        <w:t> </w:t>
      </w:r>
      <w:r>
        <w:rPr/>
        <w:t>sale</w:t>
      </w:r>
      <w:r>
        <w:rPr>
          <w:spacing w:val="-6"/>
        </w:rPr>
        <w:t> </w:t>
      </w:r>
      <w:r>
        <w:rPr/>
        <w:t>components</w:t>
      </w:r>
      <w:r>
        <w:rPr>
          <w:spacing w:val="-6"/>
        </w:rPr>
        <w:t> </w:t>
      </w:r>
      <w:r>
        <w:rPr/>
        <w:t>from</w:t>
      </w:r>
      <w:r>
        <w:rPr>
          <w:spacing w:val="-6"/>
        </w:rPr>
        <w:t> </w:t>
      </w:r>
      <w:r>
        <w:rPr/>
        <w:t>the additional</w:t>
      </w:r>
      <w:r>
        <w:rPr>
          <w:spacing w:val="-3"/>
        </w:rPr>
        <w:t> </w:t>
      </w:r>
      <w:r>
        <w:rPr/>
        <w:t>FSI</w:t>
      </w:r>
      <w:r>
        <w:rPr>
          <w:spacing w:val="-1"/>
        </w:rPr>
        <w:t> </w:t>
      </w:r>
      <w:r>
        <w:rPr/>
        <w:t>amongst</w:t>
      </w:r>
      <w:r>
        <w:rPr>
          <w:spacing w:val="-3"/>
        </w:rPr>
        <w:t> </w:t>
      </w:r>
      <w:r>
        <w:rPr/>
        <w:t>two</w:t>
      </w:r>
      <w:r>
        <w:rPr>
          <w:spacing w:val="-3"/>
        </w:rPr>
        <w:t> </w:t>
      </w:r>
      <w:r>
        <w:rPr/>
        <w:t>or</w:t>
      </w:r>
      <w:r>
        <w:rPr>
          <w:spacing w:val="-3"/>
        </w:rPr>
        <w:t> </w:t>
      </w:r>
      <w:r>
        <w:rPr/>
        <w:t>more</w:t>
      </w:r>
      <w:r>
        <w:rPr>
          <w:spacing w:val="-1"/>
        </w:rPr>
        <w:t> </w:t>
      </w:r>
      <w:r>
        <w:rPr/>
        <w:t>schemes</w:t>
      </w:r>
      <w:r>
        <w:rPr>
          <w:spacing w:val="-3"/>
        </w:rPr>
        <w:t> </w:t>
      </w:r>
      <w:r>
        <w:rPr/>
        <w:t>under</w:t>
      </w:r>
      <w:r>
        <w:rPr>
          <w:spacing w:val="-3"/>
        </w:rPr>
        <w:t> </w:t>
      </w:r>
      <w:r>
        <w:rPr/>
        <w:t>this</w:t>
      </w:r>
      <w:r>
        <w:rPr>
          <w:spacing w:val="-3"/>
        </w:rPr>
        <w:t> </w:t>
      </w:r>
      <w:r>
        <w:rPr/>
        <w:t>regulation</w:t>
      </w:r>
      <w:r>
        <w:rPr>
          <w:spacing w:val="-3"/>
        </w:rPr>
        <w:t> </w:t>
      </w:r>
      <w:r>
        <w:rPr/>
        <w:t>can be permitted to be interchanged. A developer / developers making an application</w:t>
      </w:r>
      <w:r>
        <w:rPr>
          <w:spacing w:val="-20"/>
        </w:rPr>
        <w:t> </w:t>
      </w:r>
      <w:r>
        <w:rPr/>
        <w:t>under</w:t>
      </w:r>
      <w:r>
        <w:rPr>
          <w:spacing w:val="-19"/>
        </w:rPr>
        <w:t> </w:t>
      </w:r>
      <w:r>
        <w:rPr/>
        <w:t>this</w:t>
      </w:r>
      <w:r>
        <w:rPr>
          <w:spacing w:val="-19"/>
        </w:rPr>
        <w:t> </w:t>
      </w:r>
      <w:r>
        <w:rPr/>
        <w:t>regulation</w:t>
      </w:r>
      <w:r>
        <w:rPr>
          <w:spacing w:val="-19"/>
        </w:rPr>
        <w:t> </w:t>
      </w:r>
      <w:r>
        <w:rPr/>
        <w:t>may</w:t>
      </w:r>
      <w:r>
        <w:rPr>
          <w:spacing w:val="-19"/>
        </w:rPr>
        <w:t> </w:t>
      </w:r>
      <w:r>
        <w:rPr/>
        <w:t>club</w:t>
      </w:r>
      <w:r>
        <w:rPr>
          <w:spacing w:val="-20"/>
        </w:rPr>
        <w:t> </w:t>
      </w:r>
      <w:r>
        <w:rPr/>
        <w:t>more</w:t>
      </w:r>
      <w:r>
        <w:rPr>
          <w:spacing w:val="-19"/>
        </w:rPr>
        <w:t> </w:t>
      </w:r>
      <w:r>
        <w:rPr/>
        <w:t>than</w:t>
      </w:r>
      <w:r>
        <w:rPr>
          <w:spacing w:val="-19"/>
        </w:rPr>
        <w:t> </w:t>
      </w:r>
      <w:r>
        <w:rPr/>
        <w:t>one</w:t>
      </w:r>
      <w:r>
        <w:rPr>
          <w:spacing w:val="-19"/>
        </w:rPr>
        <w:t> </w:t>
      </w:r>
      <w:r>
        <w:rPr/>
        <w:t>plot</w:t>
      </w:r>
      <w:r>
        <w:rPr>
          <w:spacing w:val="-19"/>
        </w:rPr>
        <w:t> </w:t>
      </w:r>
      <w:r>
        <w:rPr/>
        <w:t>belonging to</w:t>
      </w:r>
      <w:r>
        <w:rPr>
          <w:spacing w:val="-1"/>
        </w:rPr>
        <w:t> </w:t>
      </w:r>
      <w:r>
        <w:rPr/>
        <w:t>single</w:t>
      </w:r>
      <w:r>
        <w:rPr>
          <w:spacing w:val="-1"/>
        </w:rPr>
        <w:t> </w:t>
      </w:r>
      <w:r>
        <w:rPr/>
        <w:t>or</w:t>
      </w:r>
      <w:r>
        <w:rPr>
          <w:spacing w:val="-1"/>
        </w:rPr>
        <w:t> </w:t>
      </w:r>
      <w:r>
        <w:rPr/>
        <w:t>multiple</w:t>
      </w:r>
      <w:r>
        <w:rPr>
          <w:spacing w:val="-1"/>
        </w:rPr>
        <w:t> </w:t>
      </w:r>
      <w:r>
        <w:rPr/>
        <w:t>owners</w:t>
      </w:r>
      <w:r>
        <w:rPr>
          <w:spacing w:val="-1"/>
        </w:rPr>
        <w:t> </w:t>
      </w:r>
      <w:r>
        <w:rPr/>
        <w:t>and</w:t>
      </w:r>
      <w:r>
        <w:rPr>
          <w:spacing w:val="-1"/>
        </w:rPr>
        <w:t> </w:t>
      </w:r>
      <w:r>
        <w:rPr/>
        <w:t>offer</w:t>
      </w:r>
      <w:r>
        <w:rPr>
          <w:spacing w:val="-1"/>
        </w:rPr>
        <w:t> </w:t>
      </w:r>
      <w:r>
        <w:rPr/>
        <w:t>permanent</w:t>
      </w:r>
      <w:r>
        <w:rPr>
          <w:spacing w:val="-1"/>
        </w:rPr>
        <w:t> </w:t>
      </w:r>
      <w:r>
        <w:rPr/>
        <w:t>transit</w:t>
      </w:r>
      <w:r>
        <w:rPr>
          <w:spacing w:val="-1"/>
        </w:rPr>
        <w:t> </w:t>
      </w:r>
      <w:r>
        <w:rPr/>
        <w:t>component</w:t>
      </w:r>
      <w:r>
        <w:rPr>
          <w:spacing w:val="-1"/>
        </w:rPr>
        <w:t> </w:t>
      </w:r>
      <w:r>
        <w:rPr/>
        <w:t>on a single plot while shifting sale component as well as base FSI of </w:t>
      </w:r>
      <w:r>
        <w:rPr/>
        <w:t>the plot to other plots provided all right holders of these plots agree and make a joint application. However, clubbing shall be allowed only if it leads</w:t>
      </w:r>
      <w:r>
        <w:rPr>
          <w:spacing w:val="-1"/>
        </w:rPr>
        <w:t> </w:t>
      </w:r>
      <w:r>
        <w:rPr/>
        <w:t>to</w:t>
      </w:r>
      <w:r>
        <w:rPr>
          <w:spacing w:val="-1"/>
        </w:rPr>
        <w:t> </w:t>
      </w:r>
      <w:r>
        <w:rPr/>
        <w:t>an</w:t>
      </w:r>
      <w:r>
        <w:rPr>
          <w:spacing w:val="-1"/>
        </w:rPr>
        <w:t> </w:t>
      </w:r>
      <w:r>
        <w:rPr/>
        <w:t>independent</w:t>
      </w:r>
      <w:r>
        <w:rPr>
          <w:spacing w:val="-1"/>
        </w:rPr>
        <w:t> </w:t>
      </w:r>
      <w:r>
        <w:rPr/>
        <w:t>plot</w:t>
      </w:r>
      <w:r>
        <w:rPr>
          <w:spacing w:val="-1"/>
        </w:rPr>
        <w:t> </w:t>
      </w:r>
      <w:r>
        <w:rPr/>
        <w:t>/</w:t>
      </w:r>
      <w:r>
        <w:rPr>
          <w:spacing w:val="-1"/>
        </w:rPr>
        <w:t> </w:t>
      </w:r>
      <w:r>
        <w:rPr/>
        <w:t>building</w:t>
      </w:r>
      <w:r>
        <w:rPr>
          <w:spacing w:val="-1"/>
        </w:rPr>
        <w:t> </w:t>
      </w:r>
      <w:r>
        <w:rPr/>
        <w:t>/</w:t>
      </w:r>
      <w:r>
        <w:rPr>
          <w:spacing w:val="-4"/>
        </w:rPr>
        <w:t> </w:t>
      </w:r>
      <w:r>
        <w:rPr/>
        <w:t>wing</w:t>
      </w:r>
      <w:r>
        <w:rPr>
          <w:spacing w:val="-1"/>
        </w:rPr>
        <w:t> </w:t>
      </w:r>
      <w:r>
        <w:rPr/>
        <w:t>as</w:t>
      </w:r>
      <w:r>
        <w:rPr>
          <w:spacing w:val="-1"/>
        </w:rPr>
        <w:t> </w:t>
      </w:r>
      <w:r>
        <w:rPr/>
        <w:t>the</w:t>
      </w:r>
      <w:r>
        <w:rPr>
          <w:spacing w:val="-4"/>
        </w:rPr>
        <w:t> </w:t>
      </w:r>
      <w:r>
        <w:rPr/>
        <w:t>case</w:t>
      </w:r>
      <w:r>
        <w:rPr>
          <w:spacing w:val="-1"/>
        </w:rPr>
        <w:t> </w:t>
      </w:r>
      <w:r>
        <w:rPr/>
        <w:t>may</w:t>
      </w:r>
      <w:r>
        <w:rPr>
          <w:spacing w:val="-1"/>
        </w:rPr>
        <w:t> </w:t>
      </w:r>
      <w:r>
        <w:rPr/>
        <w:t>be</w:t>
      </w:r>
      <w:r>
        <w:rPr>
          <w:spacing w:val="-1"/>
        </w:rPr>
        <w:t> </w:t>
      </w:r>
      <w:r>
        <w:rPr/>
        <w:t>with tenements</w:t>
      </w:r>
      <w:r>
        <w:rPr>
          <w:spacing w:val="40"/>
        </w:rPr>
        <w:t> </w:t>
      </w:r>
      <w:r>
        <w:rPr/>
        <w:t>being handed over to Planning Authority.</w:t>
      </w:r>
    </w:p>
    <w:p>
      <w:pPr>
        <w:pStyle w:val="BodyText"/>
        <w:tabs>
          <w:tab w:pos="3579" w:val="left" w:leader="none"/>
        </w:tabs>
        <w:spacing w:line="276" w:lineRule="auto" w:before="200"/>
        <w:ind w:left="2050" w:right="768"/>
      </w:pPr>
      <w:r>
        <w:rPr/>
        <w:t>The</w:t>
      </w:r>
      <w:r>
        <w:rPr>
          <w:spacing w:val="-4"/>
        </w:rPr>
        <w:t> </w:t>
      </w:r>
      <w:r>
        <w:rPr/>
        <w:t>developer</w:t>
      </w:r>
      <w:r>
        <w:rPr>
          <w:spacing w:val="-4"/>
        </w:rPr>
        <w:t> </w:t>
      </w:r>
      <w:r>
        <w:rPr/>
        <w:t>shall</w:t>
      </w:r>
      <w:r>
        <w:rPr>
          <w:spacing w:val="-2"/>
        </w:rPr>
        <w:t> </w:t>
      </w:r>
      <w:r>
        <w:rPr/>
        <w:t>have</w:t>
      </w:r>
      <w:r>
        <w:rPr>
          <w:spacing w:val="-4"/>
        </w:rPr>
        <w:t> </w:t>
      </w:r>
      <w:r>
        <w:rPr/>
        <w:t>to</w:t>
      </w:r>
      <w:r>
        <w:rPr>
          <w:spacing w:val="-4"/>
        </w:rPr>
        <w:t> </w:t>
      </w:r>
      <w:r>
        <w:rPr/>
        <w:t>pay</w:t>
      </w:r>
      <w:r>
        <w:rPr>
          <w:spacing w:val="-4"/>
        </w:rPr>
        <w:t> </w:t>
      </w:r>
      <w:r>
        <w:rPr/>
        <w:t>premium</w:t>
      </w:r>
      <w:r>
        <w:rPr>
          <w:spacing w:val="-4"/>
        </w:rPr>
        <w:t> </w:t>
      </w:r>
      <w:r>
        <w:rPr/>
        <w:t>as</w:t>
      </w:r>
      <w:r>
        <w:rPr>
          <w:spacing w:val="-4"/>
        </w:rPr>
        <w:t> </w:t>
      </w:r>
      <w:r>
        <w:rPr/>
        <w:t>an</w:t>
      </w:r>
      <w:r>
        <w:rPr>
          <w:spacing w:val="-4"/>
        </w:rPr>
        <w:t> </w:t>
      </w:r>
      <w:r>
        <w:rPr/>
        <w:t>unearned</w:t>
      </w:r>
      <w:r>
        <w:rPr>
          <w:spacing w:val="-4"/>
        </w:rPr>
        <w:t> </w:t>
      </w:r>
      <w:r>
        <w:rPr/>
        <w:t>income</w:t>
      </w:r>
      <w:r>
        <w:rPr>
          <w:spacing w:val="-10"/>
        </w:rPr>
        <w:t> </w:t>
      </w:r>
      <w:r>
        <w:rPr/>
        <w:t>equal to</w:t>
      </w:r>
      <w:r>
        <w:rPr>
          <w:spacing w:val="40"/>
        </w:rPr>
        <w:t> </w:t>
      </w:r>
      <w:r>
        <w:rPr/>
        <w:t>30% of</w:t>
      </w:r>
      <w:r>
        <w:rPr>
          <w:spacing w:val="40"/>
        </w:rPr>
        <w:t> </w:t>
      </w:r>
      <w:r>
        <w:rPr/>
        <w:t>sale value of interchanged BUA of Sale component as per ASR .</w:t>
        <w:tab/>
        <w:t>Provided further that, if</w:t>
      </w:r>
      <w:r>
        <w:rPr>
          <w:spacing w:val="40"/>
        </w:rPr>
        <w:t> </w:t>
      </w:r>
      <w:r>
        <w:rPr/>
        <w:t>Scheme under this Regulation is clubbed</w:t>
      </w:r>
      <w:r>
        <w:rPr>
          <w:spacing w:val="-10"/>
        </w:rPr>
        <w:t> </w:t>
      </w:r>
      <w:r>
        <w:rPr/>
        <w:t>with</w:t>
      </w:r>
      <w:r>
        <w:rPr>
          <w:spacing w:val="-10"/>
        </w:rPr>
        <w:t> </w:t>
      </w:r>
      <w:r>
        <w:rPr/>
        <w:t>Scheme</w:t>
      </w:r>
      <w:r>
        <w:rPr>
          <w:spacing w:val="-10"/>
        </w:rPr>
        <w:t> </w:t>
      </w:r>
      <w:r>
        <w:rPr/>
        <w:t>under</w:t>
      </w:r>
      <w:r>
        <w:rPr>
          <w:spacing w:val="-10"/>
        </w:rPr>
        <w:t> </w:t>
      </w:r>
      <w:r>
        <w:rPr/>
        <w:t>clause</w:t>
      </w:r>
      <w:r>
        <w:rPr>
          <w:spacing w:val="-10"/>
        </w:rPr>
        <w:t> </w:t>
      </w:r>
      <w:r>
        <w:rPr/>
        <w:t>3.11</w:t>
      </w:r>
      <w:r>
        <w:rPr>
          <w:spacing w:val="-7"/>
        </w:rPr>
        <w:t> </w:t>
      </w:r>
      <w:r>
        <w:rPr/>
        <w:t>of</w:t>
      </w:r>
      <w:r>
        <w:rPr>
          <w:spacing w:val="57"/>
        </w:rPr>
        <w:t> </w:t>
      </w:r>
      <w:r>
        <w:rPr/>
        <w:t>Regulation</w:t>
      </w:r>
      <w:r>
        <w:rPr>
          <w:spacing w:val="-10"/>
        </w:rPr>
        <w:t> </w:t>
      </w:r>
      <w:r>
        <w:rPr/>
        <w:t>33(10)</w:t>
      </w:r>
      <w:r>
        <w:rPr>
          <w:spacing w:val="-7"/>
        </w:rPr>
        <w:t> </w:t>
      </w:r>
      <w:r>
        <w:rPr/>
        <w:t>or</w:t>
      </w:r>
      <w:r>
        <w:rPr>
          <w:spacing w:val="-9"/>
        </w:rPr>
        <w:t> </w:t>
      </w:r>
      <w:r>
        <w:rPr>
          <w:spacing w:val="-2"/>
        </w:rPr>
        <w:t>33(11),</w:t>
      </w:r>
    </w:p>
    <w:p>
      <w:pPr>
        <w:pStyle w:val="BodyText"/>
        <w:spacing w:after="0" w:line="276" w:lineRule="auto"/>
        <w:sectPr>
          <w:pgSz w:w="11910" w:h="16840"/>
          <w:pgMar w:header="1065" w:footer="1194" w:top="1500" w:bottom="1380" w:left="360" w:right="360"/>
        </w:sectPr>
      </w:pPr>
    </w:p>
    <w:p>
      <w:pPr>
        <w:pStyle w:val="BodyText"/>
        <w:spacing w:line="276" w:lineRule="auto" w:before="247"/>
        <w:ind w:left="2050" w:right="771"/>
      </w:pPr>
      <w:r>
        <w:rPr/>
        <w:t>then the premium as unearned income at the rate of 40% of Sale of interchanged</w:t>
      </w:r>
      <w:r>
        <w:rPr>
          <w:spacing w:val="-20"/>
        </w:rPr>
        <w:t> </w:t>
      </w:r>
      <w:r>
        <w:rPr/>
        <w:t>BUA</w:t>
      </w:r>
      <w:r>
        <w:rPr>
          <w:spacing w:val="-19"/>
        </w:rPr>
        <w:t> </w:t>
      </w:r>
      <w:r>
        <w:rPr/>
        <w:t>of</w:t>
      </w:r>
      <w:r>
        <w:rPr>
          <w:spacing w:val="-19"/>
        </w:rPr>
        <w:t> </w:t>
      </w:r>
      <w:r>
        <w:rPr/>
        <w:t>Sale</w:t>
      </w:r>
      <w:r>
        <w:rPr>
          <w:spacing w:val="-19"/>
        </w:rPr>
        <w:t> </w:t>
      </w:r>
      <w:r>
        <w:rPr/>
        <w:t>component</w:t>
      </w:r>
      <w:r>
        <w:rPr>
          <w:spacing w:val="-19"/>
        </w:rPr>
        <w:t> </w:t>
      </w:r>
      <w:r>
        <w:rPr/>
        <w:t>as</w:t>
      </w:r>
      <w:r>
        <w:rPr>
          <w:spacing w:val="-20"/>
        </w:rPr>
        <w:t> </w:t>
      </w:r>
      <w:r>
        <w:rPr/>
        <w:t>per</w:t>
      </w:r>
      <w:r>
        <w:rPr>
          <w:spacing w:val="-19"/>
        </w:rPr>
        <w:t> </w:t>
      </w:r>
      <w:r>
        <w:rPr/>
        <w:t>ASR</w:t>
      </w:r>
      <w:r>
        <w:rPr>
          <w:spacing w:val="-19"/>
        </w:rPr>
        <w:t> </w:t>
      </w:r>
      <w:r>
        <w:rPr/>
        <w:t>shall</w:t>
      </w:r>
      <w:r>
        <w:rPr>
          <w:spacing w:val="-19"/>
        </w:rPr>
        <w:t> </w:t>
      </w:r>
      <w:r>
        <w:rPr/>
        <w:t>be</w:t>
      </w:r>
      <w:r>
        <w:rPr>
          <w:spacing w:val="-19"/>
        </w:rPr>
        <w:t> </w:t>
      </w:r>
      <w:r>
        <w:rPr/>
        <w:t>recovered</w:t>
      </w:r>
      <w:r>
        <w:rPr>
          <w:spacing w:val="-20"/>
        </w:rPr>
        <w:t> </w:t>
      </w:r>
      <w:r>
        <w:rPr/>
        <w:t>from the developer.</w:t>
      </w:r>
    </w:p>
    <w:p>
      <w:pPr>
        <w:pStyle w:val="BodyText"/>
        <w:spacing w:line="276" w:lineRule="auto" w:before="201"/>
        <w:ind w:left="2050" w:right="770" w:firstLine="420"/>
      </w:pPr>
      <w:r>
        <w:rPr/>
        <w:t>Provided</w:t>
      </w:r>
      <w:r>
        <w:rPr>
          <w:spacing w:val="-3"/>
        </w:rPr>
        <w:t> </w:t>
      </w:r>
      <w:r>
        <w:rPr/>
        <w:t>further</w:t>
      </w:r>
      <w:r>
        <w:rPr>
          <w:spacing w:val="-1"/>
        </w:rPr>
        <w:t> </w:t>
      </w:r>
      <w:r>
        <w:rPr/>
        <w:t>that,</w:t>
      </w:r>
      <w:r>
        <w:rPr>
          <w:spacing w:val="-3"/>
        </w:rPr>
        <w:t> </w:t>
      </w:r>
      <w:r>
        <w:rPr/>
        <w:t>in</w:t>
      </w:r>
      <w:r>
        <w:rPr>
          <w:spacing w:val="-3"/>
        </w:rPr>
        <w:t> </w:t>
      </w:r>
      <w:r>
        <w:rPr/>
        <w:t>case</w:t>
      </w:r>
      <w:r>
        <w:rPr>
          <w:spacing w:val="-3"/>
        </w:rPr>
        <w:t> </w:t>
      </w:r>
      <w:r>
        <w:rPr/>
        <w:t>of</w:t>
      </w:r>
      <w:r>
        <w:rPr>
          <w:spacing w:val="-3"/>
        </w:rPr>
        <w:t> </w:t>
      </w:r>
      <w:r>
        <w:rPr/>
        <w:t>the</w:t>
      </w:r>
      <w:r>
        <w:rPr>
          <w:spacing w:val="-3"/>
        </w:rPr>
        <w:t> </w:t>
      </w:r>
      <w:r>
        <w:rPr/>
        <w:t>non-viable</w:t>
      </w:r>
      <w:r>
        <w:rPr>
          <w:spacing w:val="-3"/>
        </w:rPr>
        <w:t> </w:t>
      </w:r>
      <w:r>
        <w:rPr/>
        <w:t>scheme</w:t>
      </w:r>
      <w:r>
        <w:rPr>
          <w:spacing w:val="-3"/>
        </w:rPr>
        <w:t> </w:t>
      </w:r>
      <w:r>
        <w:rPr/>
        <w:t>if</w:t>
      </w:r>
      <w:r>
        <w:rPr>
          <w:spacing w:val="-3"/>
        </w:rPr>
        <w:t> </w:t>
      </w:r>
      <w:r>
        <w:rPr/>
        <w:t>CEO,</w:t>
      </w:r>
      <w:r>
        <w:rPr>
          <w:spacing w:val="-3"/>
        </w:rPr>
        <w:t> </w:t>
      </w:r>
      <w:r>
        <w:rPr/>
        <w:t>SRA directs to club compulsorily with</w:t>
      </w:r>
      <w:r>
        <w:rPr>
          <w:spacing w:val="40"/>
        </w:rPr>
        <w:t> </w:t>
      </w:r>
      <w:r>
        <w:rPr/>
        <w:t>other scheme under this Regulation then same shall be allowed by charging premium at the rate of 20% of the ASR.</w:t>
      </w:r>
    </w:p>
    <w:p>
      <w:pPr>
        <w:pStyle w:val="BodyText"/>
        <w:spacing w:line="276" w:lineRule="auto" w:before="200"/>
        <w:ind w:left="2050" w:right="769"/>
      </w:pPr>
      <w:r>
        <w:rPr/>
        <w:t>Such</w:t>
      </w:r>
      <w:r>
        <w:rPr>
          <w:spacing w:val="-16"/>
        </w:rPr>
        <w:t> </w:t>
      </w:r>
      <w:r>
        <w:rPr/>
        <w:t>clubbing</w:t>
      </w:r>
      <w:r>
        <w:rPr>
          <w:spacing w:val="-16"/>
        </w:rPr>
        <w:t> </w:t>
      </w:r>
      <w:r>
        <w:rPr/>
        <w:t>can</w:t>
      </w:r>
      <w:r>
        <w:rPr>
          <w:spacing w:val="-16"/>
        </w:rPr>
        <w:t> </w:t>
      </w:r>
      <w:r>
        <w:rPr/>
        <w:t>be</w:t>
      </w:r>
      <w:r>
        <w:rPr>
          <w:spacing w:val="-16"/>
        </w:rPr>
        <w:t> </w:t>
      </w:r>
      <w:r>
        <w:rPr/>
        <w:t>allowed</w:t>
      </w:r>
      <w:r>
        <w:rPr>
          <w:spacing w:val="-16"/>
        </w:rPr>
        <w:t> </w:t>
      </w:r>
      <w:r>
        <w:rPr/>
        <w:t>for</w:t>
      </w:r>
      <w:r>
        <w:rPr>
          <w:spacing w:val="-16"/>
        </w:rPr>
        <w:t> </w:t>
      </w:r>
      <w:r>
        <w:rPr/>
        <w:t>the</w:t>
      </w:r>
      <w:r>
        <w:rPr>
          <w:spacing w:val="-16"/>
        </w:rPr>
        <w:t> </w:t>
      </w:r>
      <w:r>
        <w:rPr/>
        <w:t>schemes</w:t>
      </w:r>
      <w:r>
        <w:rPr>
          <w:spacing w:val="-16"/>
        </w:rPr>
        <w:t> </w:t>
      </w:r>
      <w:r>
        <w:rPr/>
        <w:t>falling</w:t>
      </w:r>
      <w:r>
        <w:rPr>
          <w:spacing w:val="-16"/>
        </w:rPr>
        <w:t> </w:t>
      </w:r>
      <w:r>
        <w:rPr/>
        <w:t>within</w:t>
      </w:r>
      <w:r>
        <w:rPr>
          <w:spacing w:val="-16"/>
        </w:rPr>
        <w:t> </w:t>
      </w:r>
      <w:r>
        <w:rPr/>
        <w:t>‘Island</w:t>
      </w:r>
      <w:r>
        <w:rPr>
          <w:spacing w:val="-16"/>
        </w:rPr>
        <w:t> </w:t>
      </w:r>
      <w:r>
        <w:rPr/>
        <w:t>City’ with schemes in ‘Island City’ and within</w:t>
      </w:r>
      <w:r>
        <w:rPr>
          <w:spacing w:val="-1"/>
        </w:rPr>
        <w:t> </w:t>
      </w:r>
      <w:r>
        <w:rPr/>
        <w:t>‘Western Suburbs</w:t>
      </w:r>
      <w:r>
        <w:rPr>
          <w:spacing w:val="-1"/>
        </w:rPr>
        <w:t> </w:t>
      </w:r>
      <w:r>
        <w:rPr/>
        <w:t>&amp; Extended Suburbs’</w:t>
      </w:r>
      <w:r>
        <w:rPr>
          <w:spacing w:val="-1"/>
        </w:rPr>
        <w:t> </w:t>
      </w:r>
      <w:r>
        <w:rPr/>
        <w:t>with</w:t>
      </w:r>
      <w:r>
        <w:rPr>
          <w:spacing w:val="-1"/>
        </w:rPr>
        <w:t> </w:t>
      </w:r>
      <w:r>
        <w:rPr/>
        <w:t>schemes</w:t>
      </w:r>
      <w:r>
        <w:rPr>
          <w:spacing w:val="-1"/>
        </w:rPr>
        <w:t> </w:t>
      </w:r>
      <w:r>
        <w:rPr/>
        <w:t>in</w:t>
      </w:r>
      <w:r>
        <w:rPr>
          <w:spacing w:val="-1"/>
        </w:rPr>
        <w:t> </w:t>
      </w:r>
      <w:r>
        <w:rPr/>
        <w:t>‘Western</w:t>
      </w:r>
      <w:r>
        <w:rPr>
          <w:spacing w:val="-1"/>
        </w:rPr>
        <w:t> </w:t>
      </w:r>
      <w:r>
        <w:rPr/>
        <w:t>Suburbs</w:t>
      </w:r>
      <w:r>
        <w:rPr>
          <w:spacing w:val="-1"/>
        </w:rPr>
        <w:t> </w:t>
      </w:r>
      <w:r>
        <w:rPr/>
        <w:t>&amp;</w:t>
      </w:r>
      <w:r>
        <w:rPr>
          <w:spacing w:val="-1"/>
        </w:rPr>
        <w:t> </w:t>
      </w:r>
      <w:r>
        <w:rPr/>
        <w:t>Extended</w:t>
      </w:r>
      <w:r>
        <w:rPr>
          <w:spacing w:val="-1"/>
        </w:rPr>
        <w:t> </w:t>
      </w:r>
      <w:r>
        <w:rPr/>
        <w:t>Suburbs’</w:t>
      </w:r>
      <w:r>
        <w:rPr>
          <w:spacing w:val="-1"/>
        </w:rPr>
        <w:t> </w:t>
      </w:r>
      <w:r>
        <w:rPr/>
        <w:t>and within</w:t>
      </w:r>
      <w:r>
        <w:rPr>
          <w:spacing w:val="-18"/>
        </w:rPr>
        <w:t> </w:t>
      </w:r>
      <w:r>
        <w:rPr/>
        <w:t>‘Eastern</w:t>
      </w:r>
      <w:r>
        <w:rPr>
          <w:spacing w:val="-18"/>
        </w:rPr>
        <w:t> </w:t>
      </w:r>
      <w:r>
        <w:rPr/>
        <w:t>Suburbs</w:t>
      </w:r>
      <w:r>
        <w:rPr>
          <w:spacing w:val="-18"/>
        </w:rPr>
        <w:t> </w:t>
      </w:r>
      <w:r>
        <w:rPr/>
        <w:t>&amp;</w:t>
      </w:r>
      <w:r>
        <w:rPr>
          <w:spacing w:val="-17"/>
        </w:rPr>
        <w:t> </w:t>
      </w:r>
      <w:r>
        <w:rPr/>
        <w:t>Extended</w:t>
      </w:r>
      <w:r>
        <w:rPr>
          <w:spacing w:val="-18"/>
        </w:rPr>
        <w:t> </w:t>
      </w:r>
      <w:r>
        <w:rPr/>
        <w:t>Suburbs’</w:t>
      </w:r>
      <w:r>
        <w:rPr>
          <w:spacing w:val="-18"/>
        </w:rPr>
        <w:t> </w:t>
      </w:r>
      <w:r>
        <w:rPr/>
        <w:t>with</w:t>
      </w:r>
      <w:r>
        <w:rPr>
          <w:spacing w:val="-18"/>
        </w:rPr>
        <w:t> </w:t>
      </w:r>
      <w:r>
        <w:rPr/>
        <w:t>schemes</w:t>
      </w:r>
      <w:r>
        <w:rPr>
          <w:spacing w:val="-18"/>
        </w:rPr>
        <w:t> </w:t>
      </w:r>
      <w:r>
        <w:rPr/>
        <w:t>in</w:t>
      </w:r>
      <w:r>
        <w:rPr>
          <w:spacing w:val="-18"/>
        </w:rPr>
        <w:t> </w:t>
      </w:r>
      <w:r>
        <w:rPr/>
        <w:t>‘Eastern Suburbs &amp; Extended Suburbs’ .</w:t>
      </w:r>
    </w:p>
    <w:p>
      <w:pPr>
        <w:pStyle w:val="BodyText"/>
        <w:spacing w:before="202"/>
        <w:ind w:left="2050" w:firstLine="12"/>
        <w:jc w:val="left"/>
      </w:pPr>
      <w:r>
        <w:rPr/>
        <w:t>Provided</w:t>
      </w:r>
      <w:r>
        <w:rPr>
          <w:spacing w:val="40"/>
        </w:rPr>
        <w:t> </w:t>
      </w:r>
      <w:r>
        <w:rPr/>
        <w:t>that</w:t>
      </w:r>
      <w:r>
        <w:rPr>
          <w:spacing w:val="40"/>
        </w:rPr>
        <w:t> </w:t>
      </w:r>
      <w:r>
        <w:rPr/>
        <w:t>such</w:t>
      </w:r>
      <w:r>
        <w:rPr>
          <w:spacing w:val="40"/>
        </w:rPr>
        <w:t> </w:t>
      </w:r>
      <w:r>
        <w:rPr/>
        <w:t>clubbing</w:t>
      </w:r>
      <w:r>
        <w:rPr>
          <w:spacing w:val="40"/>
        </w:rPr>
        <w:t> </w:t>
      </w:r>
      <w:r>
        <w:rPr/>
        <w:t>will</w:t>
      </w:r>
      <w:r>
        <w:rPr>
          <w:spacing w:val="40"/>
        </w:rPr>
        <w:t> </w:t>
      </w:r>
      <w:r>
        <w:rPr/>
        <w:t>also</w:t>
      </w:r>
      <w:r>
        <w:rPr>
          <w:spacing w:val="40"/>
        </w:rPr>
        <w:t> </w:t>
      </w:r>
      <w:r>
        <w:rPr/>
        <w:t>be</w:t>
      </w:r>
      <w:r>
        <w:rPr>
          <w:spacing w:val="40"/>
        </w:rPr>
        <w:t> </w:t>
      </w:r>
      <w:r>
        <w:rPr/>
        <w:t>allowed</w:t>
      </w:r>
      <w:r>
        <w:rPr>
          <w:spacing w:val="40"/>
        </w:rPr>
        <w:t> </w:t>
      </w:r>
      <w:r>
        <w:rPr/>
        <w:t>in</w:t>
      </w:r>
      <w:r>
        <w:rPr>
          <w:spacing w:val="40"/>
        </w:rPr>
        <w:t> </w:t>
      </w:r>
      <w:r>
        <w:rPr/>
        <w:t>adjoining</w:t>
      </w:r>
      <w:r>
        <w:rPr>
          <w:spacing w:val="40"/>
        </w:rPr>
        <w:t> </w:t>
      </w:r>
      <w:r>
        <w:rPr/>
        <w:t>ward irrespective of location.</w:t>
      </w:r>
    </w:p>
    <w:p>
      <w:pPr>
        <w:pStyle w:val="BodyText"/>
        <w:spacing w:line="276" w:lineRule="auto" w:before="238"/>
        <w:ind w:left="2050" w:right="769"/>
      </w:pPr>
      <w:r>
        <w:rPr/>
        <w:t>Provided that, for a scheme were clubbing has been permitted by the earlier DCR, the same can be continue for the slum dwellers</w:t>
      </w:r>
      <w:r>
        <w:rPr>
          <w:spacing w:val="40"/>
        </w:rPr>
        <w:t> </w:t>
      </w:r>
      <w:r>
        <w:rPr/>
        <w:t>who become eligible at latter stage.</w:t>
      </w:r>
    </w:p>
    <w:p>
      <w:pPr>
        <w:spacing w:before="202"/>
        <w:ind w:left="2050" w:right="0" w:firstLine="0"/>
        <w:jc w:val="left"/>
        <w:rPr>
          <w:sz w:val="24"/>
        </w:rPr>
      </w:pPr>
      <w:r>
        <w:rPr>
          <w:spacing w:val="-10"/>
          <w:sz w:val="24"/>
        </w:rPr>
        <w:t>.</w:t>
      </w:r>
    </w:p>
    <w:p>
      <w:pPr>
        <w:pStyle w:val="BodyText"/>
        <w:spacing w:line="278" w:lineRule="auto" w:before="242"/>
        <w:ind w:left="2050" w:right="773"/>
        <w:rPr>
          <w:sz w:val="22"/>
        </w:rPr>
      </w:pPr>
      <w:r>
        <w:rPr/>
        <w:t>Note (I) This provision shall not apply to the plots wherein permissible Zonal F.S.I. is less than 1.00</w:t>
      </w:r>
      <w:r>
        <w:rPr>
          <w:sz w:val="22"/>
        </w:rPr>
        <w:t>.</w:t>
      </w:r>
    </w:p>
    <w:p>
      <w:pPr>
        <w:pStyle w:val="BodyText"/>
        <w:spacing w:before="196"/>
        <w:ind w:left="2062" w:right="769" w:firstLine="76"/>
      </w:pPr>
      <w:r>
        <w:rPr/>
        <w:t>(II) The premium amount so collected under rehabilitation scheme under</w:t>
      </w:r>
      <w:r>
        <w:rPr>
          <w:spacing w:val="-16"/>
        </w:rPr>
        <w:t> </w:t>
      </w:r>
      <w:r>
        <w:rPr/>
        <w:t>this</w:t>
      </w:r>
      <w:r>
        <w:rPr>
          <w:spacing w:val="-16"/>
        </w:rPr>
        <w:t> </w:t>
      </w:r>
      <w:r>
        <w:rPr/>
        <w:t>regulation</w:t>
      </w:r>
      <w:r>
        <w:rPr>
          <w:spacing w:val="-16"/>
        </w:rPr>
        <w:t> </w:t>
      </w:r>
      <w:r>
        <w:rPr/>
        <w:t>shall</w:t>
      </w:r>
      <w:r>
        <w:rPr>
          <w:spacing w:val="-16"/>
        </w:rPr>
        <w:t> </w:t>
      </w:r>
      <w:r>
        <w:rPr/>
        <w:t>be</w:t>
      </w:r>
      <w:r>
        <w:rPr>
          <w:spacing w:val="-16"/>
        </w:rPr>
        <w:t> </w:t>
      </w:r>
      <w:r>
        <w:rPr/>
        <w:t>kept</w:t>
      </w:r>
      <w:r>
        <w:rPr>
          <w:spacing w:val="-18"/>
        </w:rPr>
        <w:t> </w:t>
      </w:r>
      <w:r>
        <w:rPr/>
        <w:t>in</w:t>
      </w:r>
      <w:r>
        <w:rPr>
          <w:spacing w:val="-16"/>
        </w:rPr>
        <w:t> </w:t>
      </w:r>
      <w:r>
        <w:rPr/>
        <w:t>the</w:t>
      </w:r>
      <w:r>
        <w:rPr>
          <w:spacing w:val="-18"/>
        </w:rPr>
        <w:t> </w:t>
      </w:r>
      <w:r>
        <w:rPr/>
        <w:t>separate</w:t>
      </w:r>
      <w:r>
        <w:rPr>
          <w:spacing w:val="-16"/>
        </w:rPr>
        <w:t> </w:t>
      </w:r>
      <w:r>
        <w:rPr/>
        <w:t>account</w:t>
      </w:r>
      <w:r>
        <w:rPr>
          <w:spacing w:val="-16"/>
        </w:rPr>
        <w:t> </w:t>
      </w:r>
      <w:r>
        <w:rPr/>
        <w:t>to</w:t>
      </w:r>
      <w:r>
        <w:rPr>
          <w:spacing w:val="-20"/>
        </w:rPr>
        <w:t> </w:t>
      </w:r>
      <w:r>
        <w:rPr/>
        <w:t>be</w:t>
      </w:r>
      <w:r>
        <w:rPr>
          <w:spacing w:val="-15"/>
        </w:rPr>
        <w:t> </w:t>
      </w:r>
      <w:r>
        <w:rPr/>
        <w:t>utilized as shelter fund for the State of Maharashtra.</w:t>
      </w:r>
    </w:p>
    <w:p>
      <w:pPr>
        <w:pStyle w:val="BodyText"/>
        <w:spacing w:before="77"/>
        <w:jc w:val="left"/>
      </w:pPr>
    </w:p>
    <w:p>
      <w:pPr>
        <w:pStyle w:val="Heading5"/>
        <w:numPr>
          <w:ilvl w:val="0"/>
          <w:numId w:val="191"/>
        </w:numPr>
        <w:tabs>
          <w:tab w:pos="2558" w:val="left" w:leader="none"/>
        </w:tabs>
        <w:spacing w:line="240" w:lineRule="auto" w:before="1" w:after="0"/>
        <w:ind w:left="2558" w:right="0" w:hanging="496"/>
        <w:jc w:val="both"/>
      </w:pPr>
      <w:r>
        <w:rPr/>
        <w:t>Conversion</w:t>
      </w:r>
      <w:r>
        <w:rPr>
          <w:spacing w:val="61"/>
        </w:rPr>
        <w:t> </w:t>
      </w:r>
      <w:r>
        <w:rPr/>
        <w:t>of</w:t>
      </w:r>
      <w:r>
        <w:rPr>
          <w:spacing w:val="57"/>
        </w:rPr>
        <w:t> </w:t>
      </w:r>
      <w:r>
        <w:rPr/>
        <w:t>Old</w:t>
      </w:r>
      <w:r>
        <w:rPr>
          <w:spacing w:val="54"/>
        </w:rPr>
        <w:t> </w:t>
      </w:r>
      <w:r>
        <w:rPr/>
        <w:t>Project</w:t>
      </w:r>
      <w:r>
        <w:rPr>
          <w:spacing w:val="55"/>
        </w:rPr>
        <w:t> </w:t>
      </w:r>
      <w:r>
        <w:rPr/>
        <w:t>into</w:t>
      </w:r>
      <w:r>
        <w:rPr>
          <w:spacing w:val="54"/>
        </w:rPr>
        <w:t> </w:t>
      </w:r>
      <w:r>
        <w:rPr/>
        <w:t>New</w:t>
      </w:r>
      <w:r>
        <w:rPr>
          <w:spacing w:val="54"/>
        </w:rPr>
        <w:t> </w:t>
      </w:r>
      <w:r>
        <w:rPr>
          <w:spacing w:val="-2"/>
        </w:rPr>
        <w:t>Project:</w:t>
      </w:r>
    </w:p>
    <w:p>
      <w:pPr>
        <w:pStyle w:val="BodyText"/>
        <w:spacing w:before="79"/>
        <w:jc w:val="left"/>
        <w:rPr>
          <w:b/>
        </w:rPr>
      </w:pPr>
    </w:p>
    <w:p>
      <w:pPr>
        <w:pStyle w:val="ListParagraph"/>
        <w:numPr>
          <w:ilvl w:val="1"/>
          <w:numId w:val="191"/>
        </w:numPr>
        <w:tabs>
          <w:tab w:pos="2708" w:val="left" w:leader="none"/>
        </w:tabs>
        <w:spacing w:line="240" w:lineRule="auto" w:before="0" w:after="0"/>
        <w:ind w:left="2708" w:right="0" w:hanging="646"/>
        <w:jc w:val="both"/>
        <w:rPr>
          <w:sz w:val="24"/>
        </w:rPr>
      </w:pPr>
      <w:r>
        <w:rPr>
          <w:sz w:val="24"/>
        </w:rPr>
        <w:t>Provision</w:t>
      </w:r>
      <w:r>
        <w:rPr>
          <w:spacing w:val="52"/>
          <w:sz w:val="24"/>
        </w:rPr>
        <w:t> </w:t>
      </w:r>
      <w:r>
        <w:rPr>
          <w:sz w:val="24"/>
        </w:rPr>
        <w:t>of</w:t>
      </w:r>
      <w:r>
        <w:rPr>
          <w:spacing w:val="50"/>
          <w:sz w:val="24"/>
        </w:rPr>
        <w:t> </w:t>
      </w:r>
      <w:r>
        <w:rPr>
          <w:sz w:val="24"/>
        </w:rPr>
        <w:t>the</w:t>
      </w:r>
      <w:r>
        <w:rPr>
          <w:spacing w:val="49"/>
          <w:sz w:val="24"/>
        </w:rPr>
        <w:t> </w:t>
      </w:r>
      <w:r>
        <w:rPr>
          <w:sz w:val="24"/>
        </w:rPr>
        <w:t>Regulation</w:t>
      </w:r>
      <w:r>
        <w:rPr>
          <w:spacing w:val="53"/>
          <w:sz w:val="24"/>
        </w:rPr>
        <w:t> </w:t>
      </w:r>
      <w:r>
        <w:rPr>
          <w:sz w:val="24"/>
        </w:rPr>
        <w:t>9</w:t>
      </w:r>
      <w:r>
        <w:rPr>
          <w:spacing w:val="49"/>
          <w:sz w:val="24"/>
        </w:rPr>
        <w:t> </w:t>
      </w:r>
      <w:r>
        <w:rPr>
          <w:sz w:val="24"/>
        </w:rPr>
        <w:t>(6)</w:t>
      </w:r>
      <w:r>
        <w:rPr>
          <w:spacing w:val="52"/>
          <w:sz w:val="24"/>
        </w:rPr>
        <w:t> </w:t>
      </w:r>
      <w:r>
        <w:rPr>
          <w:sz w:val="24"/>
        </w:rPr>
        <w:t>shall</w:t>
      </w:r>
      <w:r>
        <w:rPr>
          <w:spacing w:val="50"/>
          <w:sz w:val="24"/>
        </w:rPr>
        <w:t> </w:t>
      </w:r>
      <w:r>
        <w:rPr>
          <w:sz w:val="24"/>
        </w:rPr>
        <w:t>be</w:t>
      </w:r>
      <w:r>
        <w:rPr>
          <w:spacing w:val="49"/>
          <w:sz w:val="24"/>
        </w:rPr>
        <w:t> </w:t>
      </w:r>
      <w:r>
        <w:rPr>
          <w:spacing w:val="-2"/>
          <w:sz w:val="24"/>
        </w:rPr>
        <w:t>applicable.</w:t>
      </w:r>
    </w:p>
    <w:p>
      <w:pPr>
        <w:pStyle w:val="BodyText"/>
        <w:spacing w:before="239"/>
        <w:ind w:left="2062" w:right="766"/>
      </w:pPr>
      <w:r>
        <w:rPr>
          <w:i/>
        </w:rPr>
        <w:t>Provided further that </w:t>
      </w:r>
      <w:r>
        <w:rPr/>
        <w:t>Projects, where LOI has been granted, shall be treated as per the DCR provisions existing on the date of LOI. In case such a project comes up for revised LOI or change of developer or any other</w:t>
      </w:r>
      <w:r>
        <w:rPr>
          <w:spacing w:val="-2"/>
        </w:rPr>
        <w:t> </w:t>
      </w:r>
      <w:r>
        <w:rPr/>
        <w:t>change,</w:t>
      </w:r>
      <w:r>
        <w:rPr>
          <w:spacing w:val="-2"/>
        </w:rPr>
        <w:t> </w:t>
      </w:r>
      <w:r>
        <w:rPr/>
        <w:t>including</w:t>
      </w:r>
      <w:r>
        <w:rPr>
          <w:spacing w:val="-2"/>
        </w:rPr>
        <w:t> </w:t>
      </w:r>
      <w:r>
        <w:rPr/>
        <w:t>recording</w:t>
      </w:r>
      <w:r>
        <w:rPr>
          <w:spacing w:val="-2"/>
        </w:rPr>
        <w:t> </w:t>
      </w:r>
      <w:r>
        <w:rPr/>
        <w:t>and</w:t>
      </w:r>
      <w:r>
        <w:rPr>
          <w:spacing w:val="-2"/>
        </w:rPr>
        <w:t> </w:t>
      </w:r>
      <w:r>
        <w:rPr/>
        <w:t>resubmission</w:t>
      </w:r>
      <w:r>
        <w:rPr>
          <w:spacing w:val="-2"/>
        </w:rPr>
        <w:t> </w:t>
      </w:r>
      <w:r>
        <w:rPr/>
        <w:t>without</w:t>
      </w:r>
      <w:r>
        <w:rPr>
          <w:spacing w:val="-2"/>
        </w:rPr>
        <w:t> </w:t>
      </w:r>
      <w:r>
        <w:rPr/>
        <w:t>change</w:t>
      </w:r>
      <w:r>
        <w:rPr>
          <w:spacing w:val="-2"/>
        </w:rPr>
        <w:t> </w:t>
      </w:r>
      <w:r>
        <w:rPr/>
        <w:t>in slum</w:t>
      </w:r>
      <w:r>
        <w:rPr>
          <w:spacing w:val="-19"/>
        </w:rPr>
        <w:t> </w:t>
      </w:r>
      <w:r>
        <w:rPr/>
        <w:t>boundary,</w:t>
      </w:r>
      <w:r>
        <w:rPr>
          <w:spacing w:val="-19"/>
        </w:rPr>
        <w:t> </w:t>
      </w:r>
      <w:r>
        <w:rPr/>
        <w:t>prevailing</w:t>
      </w:r>
      <w:r>
        <w:rPr>
          <w:spacing w:val="-19"/>
        </w:rPr>
        <w:t> </w:t>
      </w:r>
      <w:r>
        <w:rPr/>
        <w:t>DCR</w:t>
      </w:r>
      <w:r>
        <w:rPr>
          <w:spacing w:val="-19"/>
        </w:rPr>
        <w:t> </w:t>
      </w:r>
      <w:r>
        <w:rPr/>
        <w:t>provisions</w:t>
      </w:r>
      <w:r>
        <w:rPr>
          <w:spacing w:val="-19"/>
        </w:rPr>
        <w:t> </w:t>
      </w:r>
      <w:r>
        <w:rPr/>
        <w:t>shall</w:t>
      </w:r>
      <w:r>
        <w:rPr>
          <w:spacing w:val="-19"/>
        </w:rPr>
        <w:t> </w:t>
      </w:r>
      <w:r>
        <w:rPr/>
        <w:t>apply.</w:t>
      </w:r>
      <w:r>
        <w:rPr>
          <w:spacing w:val="40"/>
        </w:rPr>
        <w:t> </w:t>
      </w:r>
      <w:r>
        <w:rPr/>
        <w:t>Provided</w:t>
      </w:r>
      <w:r>
        <w:rPr>
          <w:spacing w:val="-19"/>
        </w:rPr>
        <w:t> </w:t>
      </w:r>
      <w:r>
        <w:rPr/>
        <w:t>further that</w:t>
      </w:r>
      <w:r>
        <w:rPr>
          <w:spacing w:val="-5"/>
        </w:rPr>
        <w:t> </w:t>
      </w:r>
      <w:r>
        <w:rPr/>
        <w:t>for</w:t>
      </w:r>
      <w:r>
        <w:rPr>
          <w:spacing w:val="-4"/>
        </w:rPr>
        <w:t> </w:t>
      </w:r>
      <w:r>
        <w:rPr/>
        <w:t>clubbing</w:t>
      </w:r>
      <w:r>
        <w:rPr>
          <w:spacing w:val="-4"/>
        </w:rPr>
        <w:t> </w:t>
      </w:r>
      <w:r>
        <w:rPr/>
        <w:t>of</w:t>
      </w:r>
      <w:r>
        <w:rPr>
          <w:spacing w:val="-7"/>
        </w:rPr>
        <w:t> </w:t>
      </w:r>
      <w:r>
        <w:rPr/>
        <w:t>schemes</w:t>
      </w:r>
      <w:r>
        <w:rPr>
          <w:spacing w:val="-4"/>
        </w:rPr>
        <w:t> </w:t>
      </w:r>
      <w:r>
        <w:rPr/>
        <w:t>or</w:t>
      </w:r>
      <w:r>
        <w:rPr>
          <w:spacing w:val="-4"/>
        </w:rPr>
        <w:t> </w:t>
      </w:r>
      <w:r>
        <w:rPr/>
        <w:t>amalgamation</w:t>
      </w:r>
      <w:r>
        <w:rPr>
          <w:spacing w:val="-4"/>
        </w:rPr>
        <w:t> </w:t>
      </w:r>
      <w:r>
        <w:rPr/>
        <w:t>of</w:t>
      </w:r>
      <w:r>
        <w:rPr>
          <w:spacing w:val="-4"/>
        </w:rPr>
        <w:t> </w:t>
      </w:r>
      <w:r>
        <w:rPr/>
        <w:t>schemes</w:t>
      </w:r>
      <w:r>
        <w:rPr>
          <w:spacing w:val="-4"/>
        </w:rPr>
        <w:t> </w:t>
      </w:r>
      <w:r>
        <w:rPr/>
        <w:t>being</w:t>
      </w:r>
      <w:r>
        <w:rPr>
          <w:spacing w:val="-4"/>
        </w:rPr>
        <w:t> </w:t>
      </w:r>
      <w:r>
        <w:rPr/>
        <w:t>sought and for schemes that have been sanctioned under different regulations (earlier as well as current one), FSI calculations shall apply as per the DCR regulations as on LOI dates of different schemes.</w:t>
      </w:r>
    </w:p>
    <w:p>
      <w:pPr>
        <w:pStyle w:val="BodyText"/>
        <w:spacing w:after="0"/>
        <w:sectPr>
          <w:pgSz w:w="11910" w:h="16840"/>
          <w:pgMar w:header="1065" w:footer="1194" w:top="1500" w:bottom="1380" w:left="360" w:right="360"/>
        </w:sectPr>
      </w:pPr>
    </w:p>
    <w:p>
      <w:pPr>
        <w:pStyle w:val="ListParagraph"/>
        <w:numPr>
          <w:ilvl w:val="0"/>
          <w:numId w:val="192"/>
        </w:numPr>
        <w:tabs>
          <w:tab w:pos="2781" w:val="left" w:leader="none"/>
        </w:tabs>
        <w:spacing w:line="240" w:lineRule="auto" w:before="249" w:after="0"/>
        <w:ind w:left="2062" w:right="770" w:firstLine="0"/>
        <w:jc w:val="both"/>
        <w:rPr>
          <w:sz w:val="24"/>
        </w:rPr>
      </w:pPr>
      <w:r>
        <w:rPr>
          <w:sz w:val="24"/>
        </w:rPr>
        <w:t>11.2 Exceptions</w:t>
      </w:r>
      <w:r>
        <w:rPr>
          <w:spacing w:val="80"/>
          <w:sz w:val="24"/>
        </w:rPr>
        <w:t> </w:t>
      </w:r>
      <w:r>
        <w:rPr>
          <w:sz w:val="24"/>
        </w:rPr>
        <w:t>Schemes</w:t>
      </w:r>
      <w:r>
        <w:rPr>
          <w:spacing w:val="-8"/>
          <w:sz w:val="24"/>
        </w:rPr>
        <w:t> </w:t>
      </w:r>
      <w:r>
        <w:rPr>
          <w:sz w:val="24"/>
        </w:rPr>
        <w:t>approved</w:t>
      </w:r>
      <w:r>
        <w:rPr>
          <w:spacing w:val="-8"/>
          <w:sz w:val="24"/>
        </w:rPr>
        <w:t> </w:t>
      </w:r>
      <w:r>
        <w:rPr>
          <w:sz w:val="24"/>
        </w:rPr>
        <w:t>prior</w:t>
      </w:r>
      <w:r>
        <w:rPr>
          <w:spacing w:val="-8"/>
          <w:sz w:val="24"/>
        </w:rPr>
        <w:t> </w:t>
      </w:r>
      <w:r>
        <w:rPr>
          <w:sz w:val="24"/>
        </w:rPr>
        <w:t>to</w:t>
      </w:r>
      <w:r>
        <w:rPr>
          <w:spacing w:val="-8"/>
          <w:sz w:val="24"/>
        </w:rPr>
        <w:t> </w:t>
      </w:r>
      <w:r>
        <w:rPr>
          <w:sz w:val="24"/>
        </w:rPr>
        <w:t>coming</w:t>
      </w:r>
      <w:r>
        <w:rPr>
          <w:spacing w:val="-8"/>
          <w:sz w:val="24"/>
        </w:rPr>
        <w:t> </w:t>
      </w:r>
      <w:r>
        <w:rPr>
          <w:sz w:val="24"/>
        </w:rPr>
        <w:t>into</w:t>
      </w:r>
      <w:r>
        <w:rPr>
          <w:spacing w:val="-8"/>
          <w:sz w:val="24"/>
        </w:rPr>
        <w:t> </w:t>
      </w:r>
      <w:r>
        <w:rPr>
          <w:sz w:val="24"/>
        </w:rPr>
        <w:t>force</w:t>
      </w:r>
      <w:r>
        <w:rPr>
          <w:spacing w:val="-8"/>
          <w:sz w:val="24"/>
        </w:rPr>
        <w:t> </w:t>
      </w:r>
      <w:r>
        <w:rPr>
          <w:sz w:val="24"/>
        </w:rPr>
        <w:t>of these Regulation:</w:t>
      </w:r>
    </w:p>
    <w:p>
      <w:pPr>
        <w:pStyle w:val="BodyText"/>
        <w:spacing w:before="241"/>
        <w:ind w:left="2062" w:right="766"/>
      </w:pPr>
      <w:r>
        <w:rPr/>
        <w:t>The</w:t>
      </w:r>
      <w:r>
        <w:rPr>
          <w:spacing w:val="-14"/>
        </w:rPr>
        <w:t> </w:t>
      </w:r>
      <w:r>
        <w:rPr/>
        <w:t>slum</w:t>
      </w:r>
      <w:r>
        <w:rPr>
          <w:spacing w:val="-12"/>
        </w:rPr>
        <w:t> </w:t>
      </w:r>
      <w:r>
        <w:rPr/>
        <w:t>rehab</w:t>
      </w:r>
      <w:r>
        <w:rPr>
          <w:spacing w:val="-14"/>
        </w:rPr>
        <w:t> </w:t>
      </w:r>
      <w:r>
        <w:rPr/>
        <w:t>schemes</w:t>
      </w:r>
      <w:r>
        <w:rPr>
          <w:spacing w:val="-14"/>
        </w:rPr>
        <w:t> </w:t>
      </w:r>
      <w:r>
        <w:rPr/>
        <w:t>where</w:t>
      </w:r>
      <w:r>
        <w:rPr>
          <w:spacing w:val="-14"/>
        </w:rPr>
        <w:t> </w:t>
      </w:r>
      <w:r>
        <w:rPr/>
        <w:t>LOI</w:t>
      </w:r>
      <w:r>
        <w:rPr>
          <w:spacing w:val="-12"/>
        </w:rPr>
        <w:t> </w:t>
      </w:r>
      <w:r>
        <w:rPr/>
        <w:t>has</w:t>
      </w:r>
      <w:r>
        <w:rPr>
          <w:spacing w:val="-14"/>
        </w:rPr>
        <w:t> </w:t>
      </w:r>
      <w:r>
        <w:rPr/>
        <w:t>been</w:t>
      </w:r>
      <w:r>
        <w:rPr>
          <w:spacing w:val="-14"/>
        </w:rPr>
        <w:t> </w:t>
      </w:r>
      <w:r>
        <w:rPr/>
        <w:t>issued</w:t>
      </w:r>
      <w:r>
        <w:rPr>
          <w:spacing w:val="-14"/>
        </w:rPr>
        <w:t> </w:t>
      </w:r>
      <w:r>
        <w:rPr/>
        <w:t>by</w:t>
      </w:r>
      <w:r>
        <w:rPr>
          <w:spacing w:val="-14"/>
        </w:rPr>
        <w:t> </w:t>
      </w:r>
      <w:r>
        <w:rPr/>
        <w:t>SRA</w:t>
      </w:r>
      <w:r>
        <w:rPr>
          <w:spacing w:val="-12"/>
        </w:rPr>
        <w:t> </w:t>
      </w:r>
      <w:r>
        <w:rPr/>
        <w:t>prior</w:t>
      </w:r>
      <w:r>
        <w:rPr>
          <w:spacing w:val="-14"/>
        </w:rPr>
        <w:t> </w:t>
      </w:r>
      <w:r>
        <w:rPr/>
        <w:t>to</w:t>
      </w:r>
      <w:r>
        <w:rPr>
          <w:spacing w:val="-14"/>
        </w:rPr>
        <w:t> </w:t>
      </w:r>
      <w:r>
        <w:rPr/>
        <w:t>the date of coming into force of these Regulations and which is valid may continue to be governed by the regulation applicable prior to these </w:t>
      </w:r>
      <w:r>
        <w:rPr>
          <w:spacing w:val="-2"/>
        </w:rPr>
        <w:t>Regulations.</w:t>
      </w:r>
    </w:p>
    <w:p>
      <w:pPr>
        <w:pStyle w:val="ListParagraph"/>
        <w:numPr>
          <w:ilvl w:val="0"/>
          <w:numId w:val="192"/>
        </w:numPr>
        <w:tabs>
          <w:tab w:pos="2781" w:val="left" w:leader="none"/>
        </w:tabs>
        <w:spacing w:line="240" w:lineRule="auto" w:before="241" w:after="0"/>
        <w:ind w:left="2062" w:right="768" w:firstLine="0"/>
        <w:jc w:val="both"/>
        <w:rPr>
          <w:sz w:val="24"/>
        </w:rPr>
      </w:pPr>
      <w:r>
        <w:rPr>
          <w:sz w:val="24"/>
        </w:rPr>
        <w:t>Wherever the S.R. Scheme sanctioned by CEO (SRA) is under progress on reservations as per sanctioned scheme , shall be valid &amp; </w:t>
      </w:r>
      <w:r>
        <w:rPr>
          <w:spacing w:val="-2"/>
          <w:sz w:val="24"/>
        </w:rPr>
        <w:t>continue.</w:t>
      </w:r>
    </w:p>
    <w:p>
      <w:pPr>
        <w:pStyle w:val="Heading6"/>
        <w:spacing w:before="237"/>
        <w:ind w:left="3322" w:right="838" w:hanging="1260"/>
      </w:pPr>
      <w:r>
        <w:rPr>
          <w:i w:val="0"/>
        </w:rPr>
        <w:t>33 (10) </w:t>
      </w:r>
      <w:r>
        <w:rPr/>
        <w:t>(A) Slum Rehabilitation Scheme </w:t>
      </w:r>
      <w:r>
        <w:rPr>
          <w:i w:val="0"/>
        </w:rPr>
        <w:t>within </w:t>
      </w:r>
      <w:r>
        <w:rPr/>
        <w:t>Dharavi Notified</w:t>
      </w:r>
      <w:r>
        <w:rPr>
          <w:spacing w:val="80"/>
        </w:rPr>
        <w:t> </w:t>
      </w:r>
      <w:r>
        <w:rPr/>
        <w:t>Area (DNA) for Dharavi Redevelopment Project (DRP):</w:t>
      </w:r>
    </w:p>
    <w:p>
      <w:pPr>
        <w:pStyle w:val="BodyText"/>
        <w:spacing w:before="244"/>
        <w:ind w:left="2062" w:right="838"/>
        <w:jc w:val="left"/>
        <w:rPr>
          <w:b/>
        </w:rPr>
      </w:pPr>
      <w:r>
        <w:rPr/>
        <w:t>Areas undertaken by Slum Rehabilitation Authority under DRP for redevelopment</w:t>
      </w:r>
      <w:r>
        <w:rPr>
          <w:spacing w:val="-2"/>
        </w:rPr>
        <w:t> </w:t>
      </w:r>
      <w:r>
        <w:rPr/>
        <w:t>of</w:t>
      </w:r>
      <w:r>
        <w:rPr>
          <w:spacing w:val="-2"/>
        </w:rPr>
        <w:t> </w:t>
      </w:r>
      <w:r>
        <w:rPr/>
        <w:t>hutments</w:t>
      </w:r>
      <w:r>
        <w:rPr>
          <w:spacing w:val="-2"/>
        </w:rPr>
        <w:t> </w:t>
      </w:r>
      <w:r>
        <w:rPr/>
        <w:t>situated</w:t>
      </w:r>
      <w:r>
        <w:rPr>
          <w:spacing w:val="-2"/>
        </w:rPr>
        <w:t> </w:t>
      </w:r>
      <w:r>
        <w:rPr/>
        <w:t>on</w:t>
      </w:r>
      <w:r>
        <w:rPr>
          <w:spacing w:val="-2"/>
        </w:rPr>
        <w:t> </w:t>
      </w:r>
      <w:r>
        <w:rPr/>
        <w:t>slum</w:t>
      </w:r>
      <w:r>
        <w:rPr>
          <w:spacing w:val="-2"/>
        </w:rPr>
        <w:t> </w:t>
      </w:r>
      <w:r>
        <w:rPr/>
        <w:t>areas</w:t>
      </w:r>
      <w:r>
        <w:rPr>
          <w:spacing w:val="-2"/>
        </w:rPr>
        <w:t> </w:t>
      </w:r>
      <w:r>
        <w:rPr/>
        <w:t>within</w:t>
      </w:r>
      <w:r>
        <w:rPr>
          <w:spacing w:val="-2"/>
        </w:rPr>
        <w:t> </w:t>
      </w:r>
      <w:r>
        <w:rPr/>
        <w:t>DNA</w:t>
      </w:r>
      <w:r>
        <w:rPr>
          <w:spacing w:val="-2"/>
        </w:rPr>
        <w:t> </w:t>
      </w:r>
      <w:r>
        <w:rPr/>
        <w:t>shall be</w:t>
      </w:r>
      <w:r>
        <w:rPr>
          <w:spacing w:val="-2"/>
        </w:rPr>
        <w:t> </w:t>
      </w:r>
      <w:r>
        <w:rPr/>
        <w:t>part</w:t>
      </w:r>
      <w:r>
        <w:rPr>
          <w:spacing w:val="-1"/>
        </w:rPr>
        <w:t> </w:t>
      </w:r>
      <w:r>
        <w:rPr/>
        <w:t>of</w:t>
      </w:r>
      <w:r>
        <w:rPr>
          <w:spacing w:val="-1"/>
        </w:rPr>
        <w:t> </w:t>
      </w:r>
      <w:r>
        <w:rPr/>
        <w:t>entire</w:t>
      </w:r>
      <w:r>
        <w:rPr>
          <w:spacing w:val="-1"/>
        </w:rPr>
        <w:t> </w:t>
      </w:r>
      <w:r>
        <w:rPr/>
        <w:t>DRP</w:t>
      </w:r>
      <w:r>
        <w:rPr>
          <w:spacing w:val="-1"/>
        </w:rPr>
        <w:t> </w:t>
      </w:r>
      <w:r>
        <w:rPr/>
        <w:t>Area.The</w:t>
      </w:r>
      <w:r>
        <w:rPr>
          <w:spacing w:val="-1"/>
        </w:rPr>
        <w:t> </w:t>
      </w:r>
      <w:r>
        <w:rPr/>
        <w:t>DRP</w:t>
      </w:r>
      <w:r>
        <w:rPr>
          <w:spacing w:val="-1"/>
        </w:rPr>
        <w:t> </w:t>
      </w:r>
      <w:r>
        <w:rPr/>
        <w:t>area</w:t>
      </w:r>
      <w:r>
        <w:rPr>
          <w:spacing w:val="1"/>
        </w:rPr>
        <w:t> </w:t>
      </w:r>
      <w:r>
        <w:rPr/>
        <w:t>shall</w:t>
      </w:r>
      <w:r>
        <w:rPr>
          <w:spacing w:val="-1"/>
        </w:rPr>
        <w:t> </w:t>
      </w:r>
      <w:r>
        <w:rPr/>
        <w:t>have</w:t>
      </w:r>
      <w:r>
        <w:rPr>
          <w:spacing w:val="-1"/>
        </w:rPr>
        <w:t> </w:t>
      </w:r>
      <w:r>
        <w:rPr/>
        <w:t>an</w:t>
      </w:r>
      <w:r>
        <w:rPr>
          <w:spacing w:val="-1"/>
        </w:rPr>
        <w:t> </w:t>
      </w:r>
      <w:r>
        <w:rPr/>
        <w:t>overall</w:t>
      </w:r>
      <w:r>
        <w:rPr>
          <w:spacing w:val="-1"/>
        </w:rPr>
        <w:t> </w:t>
      </w:r>
      <w:r>
        <w:rPr>
          <w:b/>
        </w:rPr>
        <w:t>FSI</w:t>
      </w:r>
      <w:r>
        <w:rPr>
          <w:b/>
          <w:spacing w:val="-1"/>
        </w:rPr>
        <w:t> </w:t>
      </w:r>
      <w:r>
        <w:rPr>
          <w:b/>
          <w:spacing w:val="-5"/>
        </w:rPr>
        <w:t>of</w:t>
      </w:r>
    </w:p>
    <w:p>
      <w:pPr>
        <w:pStyle w:val="BodyText"/>
        <w:ind w:left="2062" w:right="838"/>
        <w:jc w:val="left"/>
      </w:pPr>
      <w:r>
        <w:rPr>
          <w:b/>
        </w:rPr>
        <w:t>4.00</w:t>
      </w:r>
      <w:r>
        <w:rPr/>
        <w:t>.</w:t>
      </w:r>
      <w:r>
        <w:rPr>
          <w:spacing w:val="-4"/>
        </w:rPr>
        <w:t> </w:t>
      </w:r>
      <w:r>
        <w:rPr/>
        <w:t>The</w:t>
      </w:r>
      <w:r>
        <w:rPr>
          <w:spacing w:val="-4"/>
        </w:rPr>
        <w:t> </w:t>
      </w:r>
      <w:r>
        <w:rPr/>
        <w:t>entitlement</w:t>
      </w:r>
      <w:r>
        <w:rPr>
          <w:spacing w:val="-4"/>
        </w:rPr>
        <w:t> </w:t>
      </w:r>
      <w:r>
        <w:rPr/>
        <w:t>of</w:t>
      </w:r>
      <w:r>
        <w:rPr>
          <w:spacing w:val="-4"/>
        </w:rPr>
        <w:t> </w:t>
      </w:r>
      <w:r>
        <w:rPr/>
        <w:t>FSI</w:t>
      </w:r>
      <w:r>
        <w:rPr>
          <w:spacing w:val="-2"/>
        </w:rPr>
        <w:t> </w:t>
      </w:r>
      <w:r>
        <w:rPr/>
        <w:t>on</w:t>
      </w:r>
      <w:r>
        <w:rPr>
          <w:spacing w:val="-4"/>
        </w:rPr>
        <w:t> </w:t>
      </w:r>
      <w:r>
        <w:rPr/>
        <w:t>that</w:t>
      </w:r>
      <w:r>
        <w:rPr>
          <w:spacing w:val="-4"/>
        </w:rPr>
        <w:t> </w:t>
      </w:r>
      <w:r>
        <w:rPr/>
        <w:t>particular</w:t>
      </w:r>
      <w:r>
        <w:rPr>
          <w:spacing w:val="-4"/>
        </w:rPr>
        <w:t> </w:t>
      </w:r>
      <w:r>
        <w:rPr/>
        <w:t>plot</w:t>
      </w:r>
      <w:r>
        <w:rPr>
          <w:spacing w:val="-4"/>
        </w:rPr>
        <w:t> </w:t>
      </w:r>
      <w:r>
        <w:rPr/>
        <w:t>would</w:t>
      </w:r>
      <w:r>
        <w:rPr>
          <w:spacing w:val="-4"/>
        </w:rPr>
        <w:t> </w:t>
      </w:r>
      <w:r>
        <w:rPr/>
        <w:t>be</w:t>
      </w:r>
      <w:r>
        <w:rPr>
          <w:spacing w:val="-4"/>
        </w:rPr>
        <w:t> </w:t>
      </w:r>
      <w:r>
        <w:rPr/>
        <w:t>in accordance with the guidelines given below</w:t>
      </w:r>
    </w:p>
    <w:p>
      <w:pPr>
        <w:pStyle w:val="Heading5"/>
        <w:numPr>
          <w:ilvl w:val="0"/>
          <w:numId w:val="193"/>
        </w:numPr>
        <w:tabs>
          <w:tab w:pos="2781" w:val="left" w:leader="none"/>
        </w:tabs>
        <w:spacing w:line="240" w:lineRule="auto" w:before="240" w:after="0"/>
        <w:ind w:left="2781" w:right="0" w:hanging="719"/>
        <w:jc w:val="left"/>
      </w:pPr>
      <w:r>
        <w:rPr/>
        <w:t>Eligibility</w:t>
      </w:r>
      <w:r>
        <w:rPr>
          <w:spacing w:val="-3"/>
        </w:rPr>
        <w:t> </w:t>
      </w:r>
      <w:r>
        <w:rPr/>
        <w:t>for</w:t>
      </w:r>
      <w:r>
        <w:rPr>
          <w:spacing w:val="-3"/>
        </w:rPr>
        <w:t> </w:t>
      </w:r>
      <w:r>
        <w:rPr/>
        <w:t>redevelopment</w:t>
      </w:r>
      <w:r>
        <w:rPr>
          <w:spacing w:val="-3"/>
        </w:rPr>
        <w:t> </w:t>
      </w:r>
      <w:r>
        <w:rPr>
          <w:spacing w:val="-2"/>
        </w:rPr>
        <w:t>scheme</w:t>
      </w:r>
    </w:p>
    <w:p>
      <w:pPr>
        <w:pStyle w:val="ListParagraph"/>
        <w:numPr>
          <w:ilvl w:val="1"/>
          <w:numId w:val="193"/>
        </w:numPr>
        <w:tabs>
          <w:tab w:pos="2781" w:val="left" w:leader="none"/>
        </w:tabs>
        <w:spacing w:line="240" w:lineRule="auto" w:before="239" w:after="0"/>
        <w:ind w:left="2062" w:right="769" w:firstLine="0"/>
        <w:jc w:val="both"/>
        <w:rPr>
          <w:sz w:val="24"/>
        </w:rPr>
      </w:pPr>
      <w:r>
        <w:rPr>
          <w:sz w:val="24"/>
        </w:rPr>
        <w:t>For redevelopment of slums including pavements, </w:t>
      </w:r>
      <w:r>
        <w:rPr>
          <w:sz w:val="24"/>
        </w:rPr>
        <w:t>whose inhabitant’s</w:t>
      </w:r>
      <w:r>
        <w:rPr>
          <w:spacing w:val="-5"/>
          <w:sz w:val="24"/>
        </w:rPr>
        <w:t> </w:t>
      </w:r>
      <w:r>
        <w:rPr>
          <w:sz w:val="24"/>
        </w:rPr>
        <w:t>names</w:t>
      </w:r>
      <w:r>
        <w:rPr>
          <w:spacing w:val="-3"/>
          <w:sz w:val="24"/>
        </w:rPr>
        <w:t> </w:t>
      </w:r>
      <w:r>
        <w:rPr>
          <w:sz w:val="24"/>
        </w:rPr>
        <w:t>and</w:t>
      </w:r>
      <w:r>
        <w:rPr>
          <w:spacing w:val="-6"/>
          <w:sz w:val="24"/>
        </w:rPr>
        <w:t> </w:t>
      </w:r>
      <w:r>
        <w:rPr>
          <w:sz w:val="24"/>
        </w:rPr>
        <w:t>structures</w:t>
      </w:r>
      <w:r>
        <w:rPr>
          <w:spacing w:val="-6"/>
          <w:sz w:val="24"/>
        </w:rPr>
        <w:t> </w:t>
      </w:r>
      <w:r>
        <w:rPr>
          <w:sz w:val="24"/>
        </w:rPr>
        <w:t>appear</w:t>
      </w:r>
      <w:r>
        <w:rPr>
          <w:spacing w:val="-6"/>
          <w:sz w:val="24"/>
        </w:rPr>
        <w:t> </w:t>
      </w:r>
      <w:r>
        <w:rPr>
          <w:sz w:val="24"/>
        </w:rPr>
        <w:t>in</w:t>
      </w:r>
      <w:r>
        <w:rPr>
          <w:spacing w:val="-6"/>
          <w:sz w:val="24"/>
        </w:rPr>
        <w:t> </w:t>
      </w:r>
      <w:r>
        <w:rPr>
          <w:sz w:val="24"/>
        </w:rPr>
        <w:t>the</w:t>
      </w:r>
      <w:r>
        <w:rPr>
          <w:spacing w:val="-6"/>
          <w:sz w:val="24"/>
        </w:rPr>
        <w:t> </w:t>
      </w:r>
      <w:r>
        <w:rPr>
          <w:sz w:val="24"/>
        </w:rPr>
        <w:t>electoral</w:t>
      </w:r>
      <w:r>
        <w:rPr>
          <w:spacing w:val="-6"/>
          <w:sz w:val="24"/>
        </w:rPr>
        <w:t> </w:t>
      </w:r>
      <w:r>
        <w:rPr>
          <w:sz w:val="24"/>
        </w:rPr>
        <w:t>roll</w:t>
      </w:r>
      <w:r>
        <w:rPr>
          <w:spacing w:val="-6"/>
          <w:sz w:val="24"/>
        </w:rPr>
        <w:t> </w:t>
      </w:r>
      <w:r>
        <w:rPr>
          <w:sz w:val="24"/>
        </w:rPr>
        <w:t>prepared with reference to 1</w:t>
      </w:r>
      <w:r>
        <w:rPr>
          <w:position w:val="6"/>
          <w:sz w:val="16"/>
        </w:rPr>
        <w:t>st</w:t>
      </w:r>
      <w:r>
        <w:rPr>
          <w:spacing w:val="40"/>
          <w:position w:val="6"/>
          <w:sz w:val="16"/>
        </w:rPr>
        <w:t> </w:t>
      </w:r>
      <w:r>
        <w:rPr>
          <w:sz w:val="24"/>
        </w:rPr>
        <w:t>Jan, 2000 or a date prior thereto, but where the inhabitants stay at present in the structure, the provisions of this Regulation shall apply on the basis of a tenement in exchange for an independently numbered structure.</w:t>
      </w:r>
    </w:p>
    <w:p>
      <w:pPr>
        <w:pStyle w:val="ListParagraph"/>
        <w:numPr>
          <w:ilvl w:val="1"/>
          <w:numId w:val="193"/>
        </w:numPr>
        <w:tabs>
          <w:tab w:pos="2442" w:val="left" w:leader="none"/>
        </w:tabs>
        <w:spacing w:line="240" w:lineRule="auto" w:before="239" w:after="0"/>
        <w:ind w:left="2062" w:right="766" w:firstLine="0"/>
        <w:jc w:val="both"/>
        <w:rPr>
          <w:sz w:val="24"/>
        </w:rPr>
      </w:pPr>
      <w:r>
        <w:rPr>
          <w:sz w:val="24"/>
        </w:rPr>
        <w:t>Subject to the foregoing provision, only the actual occupants of the hutments</w:t>
      </w:r>
      <w:r>
        <w:rPr>
          <w:spacing w:val="-19"/>
          <w:sz w:val="24"/>
        </w:rPr>
        <w:t> </w:t>
      </w:r>
      <w:r>
        <w:rPr>
          <w:sz w:val="24"/>
        </w:rPr>
        <w:t>shall</w:t>
      </w:r>
      <w:r>
        <w:rPr>
          <w:spacing w:val="-19"/>
          <w:sz w:val="24"/>
        </w:rPr>
        <w:t> </w:t>
      </w:r>
      <w:r>
        <w:rPr>
          <w:sz w:val="24"/>
        </w:rPr>
        <w:t>be</w:t>
      </w:r>
      <w:r>
        <w:rPr>
          <w:spacing w:val="-19"/>
          <w:sz w:val="24"/>
        </w:rPr>
        <w:t> </w:t>
      </w:r>
      <w:r>
        <w:rPr>
          <w:sz w:val="24"/>
        </w:rPr>
        <w:t>considered</w:t>
      </w:r>
      <w:r>
        <w:rPr>
          <w:spacing w:val="-19"/>
          <w:sz w:val="24"/>
        </w:rPr>
        <w:t> </w:t>
      </w:r>
      <w:r>
        <w:rPr>
          <w:sz w:val="24"/>
        </w:rPr>
        <w:t>eligible,</w:t>
      </w:r>
      <w:r>
        <w:rPr>
          <w:spacing w:val="-19"/>
          <w:sz w:val="24"/>
        </w:rPr>
        <w:t> </w:t>
      </w:r>
      <w:r>
        <w:rPr>
          <w:sz w:val="24"/>
        </w:rPr>
        <w:t>and</w:t>
      </w:r>
      <w:r>
        <w:rPr>
          <w:spacing w:val="-19"/>
          <w:sz w:val="24"/>
        </w:rPr>
        <w:t> </w:t>
      </w:r>
      <w:r>
        <w:rPr>
          <w:sz w:val="24"/>
        </w:rPr>
        <w:t>the</w:t>
      </w:r>
      <w:r>
        <w:rPr>
          <w:spacing w:val="-19"/>
          <w:sz w:val="24"/>
        </w:rPr>
        <w:t> </w:t>
      </w:r>
      <w:r>
        <w:rPr>
          <w:sz w:val="24"/>
        </w:rPr>
        <w:t>so-called</w:t>
      </w:r>
      <w:r>
        <w:rPr>
          <w:spacing w:val="-18"/>
          <w:sz w:val="24"/>
        </w:rPr>
        <w:t> </w:t>
      </w:r>
      <w:r>
        <w:rPr>
          <w:sz w:val="24"/>
        </w:rPr>
        <w:t>structure</w:t>
      </w:r>
      <w:r>
        <w:rPr>
          <w:spacing w:val="-19"/>
          <w:sz w:val="24"/>
        </w:rPr>
        <w:t> </w:t>
      </w:r>
      <w:r>
        <w:rPr>
          <w:sz w:val="24"/>
        </w:rPr>
        <w:t>owner other</w:t>
      </w:r>
      <w:r>
        <w:rPr>
          <w:spacing w:val="-1"/>
          <w:sz w:val="24"/>
        </w:rPr>
        <w:t> </w:t>
      </w:r>
      <w:r>
        <w:rPr>
          <w:sz w:val="24"/>
        </w:rPr>
        <w:t>than</w:t>
      </w:r>
      <w:r>
        <w:rPr>
          <w:spacing w:val="-1"/>
          <w:sz w:val="24"/>
        </w:rPr>
        <w:t> </w:t>
      </w:r>
      <w:r>
        <w:rPr>
          <w:sz w:val="24"/>
        </w:rPr>
        <w:t>the</w:t>
      </w:r>
      <w:r>
        <w:rPr>
          <w:spacing w:val="-1"/>
          <w:sz w:val="24"/>
        </w:rPr>
        <w:t> </w:t>
      </w:r>
      <w:r>
        <w:rPr>
          <w:sz w:val="24"/>
        </w:rPr>
        <w:t>actual</w:t>
      </w:r>
      <w:r>
        <w:rPr>
          <w:spacing w:val="-1"/>
          <w:sz w:val="24"/>
        </w:rPr>
        <w:t> </w:t>
      </w:r>
      <w:r>
        <w:rPr>
          <w:sz w:val="24"/>
        </w:rPr>
        <w:t>occupant</w:t>
      </w:r>
      <w:r>
        <w:rPr>
          <w:spacing w:val="-1"/>
          <w:sz w:val="24"/>
        </w:rPr>
        <w:t> </w:t>
      </w:r>
      <w:r>
        <w:rPr>
          <w:sz w:val="24"/>
        </w:rPr>
        <w:t>if</w:t>
      </w:r>
      <w:r>
        <w:rPr>
          <w:spacing w:val="-1"/>
          <w:sz w:val="24"/>
        </w:rPr>
        <w:t> </w:t>
      </w:r>
      <w:r>
        <w:rPr>
          <w:sz w:val="24"/>
        </w:rPr>
        <w:t>any,</w:t>
      </w:r>
      <w:r>
        <w:rPr>
          <w:spacing w:val="-1"/>
          <w:sz w:val="24"/>
        </w:rPr>
        <w:t> </w:t>
      </w:r>
      <w:r>
        <w:rPr>
          <w:sz w:val="24"/>
        </w:rPr>
        <w:t>even</w:t>
      </w:r>
      <w:r>
        <w:rPr>
          <w:spacing w:val="-1"/>
          <w:sz w:val="24"/>
        </w:rPr>
        <w:t> </w:t>
      </w:r>
      <w:r>
        <w:rPr>
          <w:sz w:val="24"/>
        </w:rPr>
        <w:t>if</w:t>
      </w:r>
      <w:r>
        <w:rPr>
          <w:spacing w:val="-1"/>
          <w:sz w:val="24"/>
        </w:rPr>
        <w:t> </w:t>
      </w:r>
      <w:r>
        <w:rPr>
          <w:sz w:val="24"/>
        </w:rPr>
        <w:t>his</w:t>
      </w:r>
      <w:r>
        <w:rPr>
          <w:spacing w:val="-1"/>
          <w:sz w:val="24"/>
        </w:rPr>
        <w:t> </w:t>
      </w:r>
      <w:r>
        <w:rPr>
          <w:sz w:val="24"/>
        </w:rPr>
        <w:t>name</w:t>
      </w:r>
      <w:r>
        <w:rPr>
          <w:spacing w:val="-1"/>
          <w:sz w:val="24"/>
        </w:rPr>
        <w:t> </w:t>
      </w:r>
      <w:r>
        <w:rPr>
          <w:sz w:val="24"/>
        </w:rPr>
        <w:t>is</w:t>
      </w:r>
      <w:r>
        <w:rPr>
          <w:spacing w:val="-1"/>
          <w:sz w:val="24"/>
        </w:rPr>
        <w:t> </w:t>
      </w:r>
      <w:r>
        <w:rPr>
          <w:sz w:val="24"/>
        </w:rPr>
        <w:t>shown</w:t>
      </w:r>
      <w:r>
        <w:rPr>
          <w:spacing w:val="-1"/>
          <w:sz w:val="24"/>
        </w:rPr>
        <w:t> </w:t>
      </w:r>
      <w:r>
        <w:rPr>
          <w:sz w:val="24"/>
        </w:rPr>
        <w:t>in</w:t>
      </w:r>
      <w:r>
        <w:rPr>
          <w:spacing w:val="-1"/>
          <w:sz w:val="24"/>
        </w:rPr>
        <w:t> </w:t>
      </w:r>
      <w:r>
        <w:rPr>
          <w:sz w:val="24"/>
        </w:rPr>
        <w:t>the electoral roll for the structure, shall have no right whatsoever to the reconstructed tenement against that structure.</w:t>
      </w:r>
    </w:p>
    <w:p>
      <w:pPr>
        <w:pStyle w:val="Heading5"/>
        <w:numPr>
          <w:ilvl w:val="0"/>
          <w:numId w:val="193"/>
        </w:numPr>
        <w:tabs>
          <w:tab w:pos="2781" w:val="left" w:leader="none"/>
        </w:tabs>
        <w:spacing w:line="240" w:lineRule="auto" w:before="241" w:after="0"/>
        <w:ind w:left="2062" w:right="769" w:firstLine="0"/>
        <w:jc w:val="left"/>
      </w:pPr>
      <w:r>
        <w:rPr/>
        <w:t>Definition</w:t>
      </w:r>
      <w:r>
        <w:rPr>
          <w:spacing w:val="40"/>
        </w:rPr>
        <w:t> </w:t>
      </w:r>
      <w:r>
        <w:rPr/>
        <w:t>of</w:t>
      </w:r>
      <w:r>
        <w:rPr>
          <w:spacing w:val="40"/>
        </w:rPr>
        <w:t> </w:t>
      </w:r>
      <w:r>
        <w:rPr/>
        <w:t>Slum,</w:t>
      </w:r>
      <w:r>
        <w:rPr>
          <w:spacing w:val="40"/>
        </w:rPr>
        <w:t> </w:t>
      </w:r>
      <w:r>
        <w:rPr/>
        <w:t>Pavement,</w:t>
      </w:r>
      <w:r>
        <w:rPr>
          <w:spacing w:val="40"/>
        </w:rPr>
        <w:t> </w:t>
      </w:r>
      <w:r>
        <w:rPr/>
        <w:t>Structure</w:t>
      </w:r>
      <w:r>
        <w:rPr>
          <w:spacing w:val="40"/>
        </w:rPr>
        <w:t> </w:t>
      </w:r>
      <w:r>
        <w:rPr/>
        <w:t>of</w:t>
      </w:r>
      <w:r>
        <w:rPr>
          <w:spacing w:val="40"/>
        </w:rPr>
        <w:t> </w:t>
      </w:r>
      <w:r>
        <w:rPr/>
        <w:t>hut,</w:t>
      </w:r>
      <w:r>
        <w:rPr>
          <w:spacing w:val="40"/>
        </w:rPr>
        <w:t> </w:t>
      </w:r>
      <w:r>
        <w:rPr/>
        <w:t>planning sectors and related terms:</w:t>
      </w:r>
    </w:p>
    <w:p>
      <w:pPr>
        <w:pStyle w:val="ListParagraph"/>
        <w:numPr>
          <w:ilvl w:val="0"/>
          <w:numId w:val="194"/>
        </w:numPr>
        <w:tabs>
          <w:tab w:pos="2780" w:val="left" w:leader="none"/>
        </w:tabs>
        <w:spacing w:line="240" w:lineRule="auto" w:before="241" w:after="0"/>
        <w:ind w:left="2062" w:right="766" w:firstLine="0"/>
        <w:jc w:val="both"/>
        <w:rPr>
          <w:sz w:val="24"/>
        </w:rPr>
      </w:pPr>
      <w:r>
        <w:rPr>
          <w:sz w:val="24"/>
        </w:rPr>
        <w:t>For this purpose, slums shall mean those censused, or declared and</w:t>
      </w:r>
      <w:r>
        <w:rPr>
          <w:spacing w:val="-18"/>
          <w:sz w:val="24"/>
        </w:rPr>
        <w:t> </w:t>
      </w:r>
      <w:r>
        <w:rPr>
          <w:sz w:val="24"/>
        </w:rPr>
        <w:t>notified,</w:t>
      </w:r>
      <w:r>
        <w:rPr>
          <w:spacing w:val="-18"/>
          <w:sz w:val="24"/>
        </w:rPr>
        <w:t> </w:t>
      </w:r>
      <w:r>
        <w:rPr>
          <w:sz w:val="24"/>
        </w:rPr>
        <w:t>in</w:t>
      </w:r>
      <w:r>
        <w:rPr>
          <w:spacing w:val="-18"/>
          <w:sz w:val="24"/>
        </w:rPr>
        <w:t> </w:t>
      </w:r>
      <w:r>
        <w:rPr>
          <w:sz w:val="24"/>
        </w:rPr>
        <w:t>the</w:t>
      </w:r>
      <w:r>
        <w:rPr>
          <w:spacing w:val="-18"/>
          <w:sz w:val="24"/>
        </w:rPr>
        <w:t> </w:t>
      </w:r>
      <w:r>
        <w:rPr>
          <w:sz w:val="24"/>
        </w:rPr>
        <w:t>past</w:t>
      </w:r>
      <w:r>
        <w:rPr>
          <w:spacing w:val="-18"/>
          <w:sz w:val="24"/>
        </w:rPr>
        <w:t> </w:t>
      </w:r>
      <w:r>
        <w:rPr>
          <w:sz w:val="24"/>
        </w:rPr>
        <w:t>or</w:t>
      </w:r>
      <w:r>
        <w:rPr>
          <w:spacing w:val="-18"/>
          <w:sz w:val="24"/>
        </w:rPr>
        <w:t> </w:t>
      </w:r>
      <w:r>
        <w:rPr>
          <w:sz w:val="24"/>
        </w:rPr>
        <w:t>hereafter</w:t>
      </w:r>
      <w:r>
        <w:rPr>
          <w:spacing w:val="-18"/>
          <w:sz w:val="24"/>
        </w:rPr>
        <w:t> </w:t>
      </w:r>
      <w:r>
        <w:rPr>
          <w:sz w:val="24"/>
        </w:rPr>
        <w:t>under</w:t>
      </w:r>
      <w:r>
        <w:rPr>
          <w:spacing w:val="-18"/>
          <w:sz w:val="24"/>
        </w:rPr>
        <w:t> </w:t>
      </w:r>
      <w:r>
        <w:rPr>
          <w:sz w:val="24"/>
        </w:rPr>
        <w:t>the</w:t>
      </w:r>
      <w:r>
        <w:rPr>
          <w:spacing w:val="-18"/>
          <w:sz w:val="24"/>
        </w:rPr>
        <w:t> </w:t>
      </w:r>
      <w:r>
        <w:rPr>
          <w:sz w:val="24"/>
        </w:rPr>
        <w:t>Maharashtra</w:t>
      </w:r>
      <w:r>
        <w:rPr>
          <w:spacing w:val="-18"/>
          <w:sz w:val="24"/>
        </w:rPr>
        <w:t> </w:t>
      </w:r>
      <w:r>
        <w:rPr>
          <w:sz w:val="24"/>
        </w:rPr>
        <w:t>Slum</w:t>
      </w:r>
      <w:r>
        <w:rPr>
          <w:spacing w:val="-18"/>
          <w:sz w:val="24"/>
        </w:rPr>
        <w:t> </w:t>
      </w:r>
      <w:r>
        <w:rPr>
          <w:sz w:val="24"/>
        </w:rPr>
        <w:t>Areas (Improvement, Clearance and Redevelopment) Act. 1971 as amended time</w:t>
      </w:r>
      <w:r>
        <w:rPr>
          <w:spacing w:val="-10"/>
          <w:sz w:val="24"/>
        </w:rPr>
        <w:t> </w:t>
      </w:r>
      <w:r>
        <w:rPr>
          <w:sz w:val="24"/>
        </w:rPr>
        <w:t>to</w:t>
      </w:r>
      <w:r>
        <w:rPr>
          <w:spacing w:val="-10"/>
          <w:sz w:val="24"/>
        </w:rPr>
        <w:t> </w:t>
      </w:r>
      <w:r>
        <w:rPr>
          <w:sz w:val="24"/>
        </w:rPr>
        <w:t>time,</w:t>
      </w:r>
      <w:r>
        <w:rPr>
          <w:spacing w:val="-10"/>
          <w:sz w:val="24"/>
        </w:rPr>
        <w:t> </w:t>
      </w:r>
      <w:r>
        <w:rPr>
          <w:sz w:val="24"/>
        </w:rPr>
        <w:t>hereinafter</w:t>
      </w:r>
      <w:r>
        <w:rPr>
          <w:spacing w:val="-10"/>
          <w:sz w:val="24"/>
        </w:rPr>
        <w:t> </w:t>
      </w:r>
      <w:r>
        <w:rPr>
          <w:sz w:val="24"/>
        </w:rPr>
        <w:t>referred</w:t>
      </w:r>
      <w:r>
        <w:rPr>
          <w:spacing w:val="-10"/>
          <w:sz w:val="24"/>
        </w:rPr>
        <w:t> </w:t>
      </w:r>
      <w:r>
        <w:rPr>
          <w:sz w:val="24"/>
        </w:rPr>
        <w:t>to</w:t>
      </w:r>
      <w:r>
        <w:rPr>
          <w:spacing w:val="-10"/>
          <w:sz w:val="24"/>
        </w:rPr>
        <w:t> </w:t>
      </w:r>
      <w:r>
        <w:rPr>
          <w:sz w:val="24"/>
        </w:rPr>
        <w:t>as</w:t>
      </w:r>
      <w:r>
        <w:rPr>
          <w:spacing w:val="-10"/>
          <w:sz w:val="24"/>
        </w:rPr>
        <w:t> </w:t>
      </w:r>
      <w:r>
        <w:rPr>
          <w:sz w:val="24"/>
        </w:rPr>
        <w:t>Slum</w:t>
      </w:r>
      <w:r>
        <w:rPr>
          <w:spacing w:val="-10"/>
          <w:sz w:val="24"/>
        </w:rPr>
        <w:t> </w:t>
      </w:r>
      <w:r>
        <w:rPr>
          <w:sz w:val="24"/>
        </w:rPr>
        <w:t>Act.</w:t>
      </w:r>
      <w:r>
        <w:rPr>
          <w:spacing w:val="-10"/>
          <w:sz w:val="24"/>
        </w:rPr>
        <w:t> </w:t>
      </w:r>
      <w:r>
        <w:rPr>
          <w:sz w:val="24"/>
        </w:rPr>
        <w:t>Slums</w:t>
      </w:r>
      <w:r>
        <w:rPr>
          <w:spacing w:val="-10"/>
          <w:sz w:val="24"/>
        </w:rPr>
        <w:t> </w:t>
      </w:r>
      <w:r>
        <w:rPr>
          <w:sz w:val="24"/>
        </w:rPr>
        <w:t>shall</w:t>
      </w:r>
      <w:r>
        <w:rPr>
          <w:spacing w:val="-12"/>
          <w:sz w:val="24"/>
        </w:rPr>
        <w:t> </w:t>
      </w:r>
      <w:r>
        <w:rPr>
          <w:sz w:val="24"/>
        </w:rPr>
        <w:t>also</w:t>
      </w:r>
      <w:r>
        <w:rPr>
          <w:spacing w:val="-10"/>
          <w:sz w:val="24"/>
        </w:rPr>
        <w:t> </w:t>
      </w:r>
      <w:r>
        <w:rPr>
          <w:sz w:val="24"/>
        </w:rPr>
        <w:t>mean areas/portions of pavement stretches, existing &amp; proposed roads, Railway Lands, area under electric H.T. power lines, Nalla banks hereafter notified or deemed to be and treated as DRP Area.</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0"/>
          <w:numId w:val="194"/>
        </w:numPr>
        <w:tabs>
          <w:tab w:pos="2781" w:val="left" w:leader="none"/>
        </w:tabs>
        <w:spacing w:line="240" w:lineRule="auto" w:before="249" w:after="0"/>
        <w:ind w:left="2062" w:right="768" w:firstLine="0"/>
        <w:jc w:val="both"/>
        <w:rPr>
          <w:sz w:val="24"/>
        </w:rPr>
      </w:pPr>
      <w:r>
        <w:rPr>
          <w:sz w:val="24"/>
        </w:rPr>
        <w:t>If</w:t>
      </w:r>
      <w:r>
        <w:rPr>
          <w:spacing w:val="-13"/>
          <w:sz w:val="24"/>
        </w:rPr>
        <w:t> </w:t>
      </w:r>
      <w:r>
        <w:rPr>
          <w:sz w:val="24"/>
        </w:rPr>
        <w:t>any</w:t>
      </w:r>
      <w:r>
        <w:rPr>
          <w:spacing w:val="-15"/>
          <w:sz w:val="24"/>
        </w:rPr>
        <w:t> </w:t>
      </w:r>
      <w:r>
        <w:rPr>
          <w:sz w:val="24"/>
        </w:rPr>
        <w:t>area</w:t>
      </w:r>
      <w:r>
        <w:rPr>
          <w:spacing w:val="-13"/>
          <w:sz w:val="24"/>
        </w:rPr>
        <w:t> </w:t>
      </w:r>
      <w:r>
        <w:rPr>
          <w:sz w:val="24"/>
        </w:rPr>
        <w:t>fulfills</w:t>
      </w:r>
      <w:r>
        <w:rPr>
          <w:spacing w:val="-13"/>
          <w:sz w:val="24"/>
        </w:rPr>
        <w:t> </w:t>
      </w:r>
      <w:r>
        <w:rPr>
          <w:sz w:val="24"/>
        </w:rPr>
        <w:t>the</w:t>
      </w:r>
      <w:r>
        <w:rPr>
          <w:spacing w:val="-13"/>
          <w:sz w:val="24"/>
        </w:rPr>
        <w:t> </w:t>
      </w:r>
      <w:r>
        <w:rPr>
          <w:sz w:val="24"/>
        </w:rPr>
        <w:t>condition</w:t>
      </w:r>
      <w:r>
        <w:rPr>
          <w:spacing w:val="-13"/>
          <w:sz w:val="24"/>
        </w:rPr>
        <w:t> </w:t>
      </w:r>
      <w:r>
        <w:rPr>
          <w:sz w:val="24"/>
        </w:rPr>
        <w:t>laid</w:t>
      </w:r>
      <w:r>
        <w:rPr>
          <w:spacing w:val="-13"/>
          <w:sz w:val="24"/>
        </w:rPr>
        <w:t> </w:t>
      </w:r>
      <w:r>
        <w:rPr>
          <w:sz w:val="24"/>
        </w:rPr>
        <w:t>down</w:t>
      </w:r>
      <w:r>
        <w:rPr>
          <w:spacing w:val="-13"/>
          <w:sz w:val="24"/>
        </w:rPr>
        <w:t> </w:t>
      </w:r>
      <w:r>
        <w:rPr>
          <w:sz w:val="24"/>
        </w:rPr>
        <w:t>in</w:t>
      </w:r>
      <w:r>
        <w:rPr>
          <w:spacing w:val="-13"/>
          <w:sz w:val="24"/>
        </w:rPr>
        <w:t> </w:t>
      </w:r>
      <w:r>
        <w:rPr>
          <w:sz w:val="24"/>
        </w:rPr>
        <w:t>section</w:t>
      </w:r>
      <w:r>
        <w:rPr>
          <w:spacing w:val="-13"/>
          <w:sz w:val="24"/>
        </w:rPr>
        <w:t> </w:t>
      </w:r>
      <w:r>
        <w:rPr>
          <w:sz w:val="24"/>
        </w:rPr>
        <w:t>4</w:t>
      </w:r>
      <w:r>
        <w:rPr>
          <w:spacing w:val="-13"/>
          <w:sz w:val="24"/>
        </w:rPr>
        <w:t> </w:t>
      </w:r>
      <w:r>
        <w:rPr>
          <w:sz w:val="24"/>
        </w:rPr>
        <w:t>of</w:t>
      </w:r>
      <w:r>
        <w:rPr>
          <w:spacing w:val="-13"/>
          <w:sz w:val="24"/>
        </w:rPr>
        <w:t> </w:t>
      </w:r>
      <w:r>
        <w:rPr>
          <w:sz w:val="24"/>
        </w:rPr>
        <w:t>the</w:t>
      </w:r>
      <w:r>
        <w:rPr>
          <w:spacing w:val="-15"/>
          <w:sz w:val="24"/>
        </w:rPr>
        <w:t> </w:t>
      </w:r>
      <w:r>
        <w:rPr>
          <w:sz w:val="24"/>
        </w:rPr>
        <w:t>Slum Act to qualify as a slum area and has been censused or declared and notified shall be deemed to be and treated as DRP Area.</w:t>
      </w:r>
    </w:p>
    <w:p>
      <w:pPr>
        <w:pStyle w:val="ListParagraph"/>
        <w:numPr>
          <w:ilvl w:val="0"/>
          <w:numId w:val="194"/>
        </w:numPr>
        <w:tabs>
          <w:tab w:pos="2349" w:val="left" w:leader="none"/>
        </w:tabs>
        <w:spacing w:line="240" w:lineRule="auto" w:before="242" w:after="0"/>
        <w:ind w:left="2062" w:right="766" w:firstLine="0"/>
        <w:jc w:val="both"/>
        <w:rPr>
          <w:sz w:val="24"/>
        </w:rPr>
      </w:pPr>
      <w:r>
        <w:rPr>
          <w:sz w:val="24"/>
        </w:rPr>
        <w:t>DRP Area shall also mean any area declared as such by the SRA though</w:t>
      </w:r>
      <w:r>
        <w:rPr>
          <w:spacing w:val="-18"/>
          <w:sz w:val="24"/>
        </w:rPr>
        <w:t> </w:t>
      </w:r>
      <w:r>
        <w:rPr>
          <w:sz w:val="24"/>
        </w:rPr>
        <w:t>preferably</w:t>
      </w:r>
      <w:r>
        <w:rPr>
          <w:spacing w:val="-18"/>
          <w:sz w:val="24"/>
        </w:rPr>
        <w:t> </w:t>
      </w:r>
      <w:r>
        <w:rPr>
          <w:sz w:val="24"/>
        </w:rPr>
        <w:t>fulfilling</w:t>
      </w:r>
      <w:r>
        <w:rPr>
          <w:spacing w:val="-18"/>
          <w:sz w:val="24"/>
        </w:rPr>
        <w:t> </w:t>
      </w:r>
      <w:r>
        <w:rPr>
          <w:sz w:val="24"/>
        </w:rPr>
        <w:t>conditions</w:t>
      </w:r>
      <w:r>
        <w:rPr>
          <w:spacing w:val="-18"/>
          <w:sz w:val="24"/>
        </w:rPr>
        <w:t> </w:t>
      </w:r>
      <w:r>
        <w:rPr>
          <w:sz w:val="24"/>
        </w:rPr>
        <w:t>laid</w:t>
      </w:r>
      <w:r>
        <w:rPr>
          <w:spacing w:val="-18"/>
          <w:sz w:val="24"/>
        </w:rPr>
        <w:t> </w:t>
      </w:r>
      <w:r>
        <w:rPr>
          <w:sz w:val="24"/>
        </w:rPr>
        <w:t>down</w:t>
      </w:r>
      <w:r>
        <w:rPr>
          <w:spacing w:val="-18"/>
          <w:sz w:val="24"/>
        </w:rPr>
        <w:t> </w:t>
      </w:r>
      <w:r>
        <w:rPr>
          <w:sz w:val="24"/>
        </w:rPr>
        <w:t>in</w:t>
      </w:r>
      <w:r>
        <w:rPr>
          <w:spacing w:val="-18"/>
          <w:sz w:val="24"/>
        </w:rPr>
        <w:t> </w:t>
      </w:r>
      <w:r>
        <w:rPr>
          <w:sz w:val="24"/>
        </w:rPr>
        <w:t>section</w:t>
      </w:r>
      <w:r>
        <w:rPr>
          <w:spacing w:val="-18"/>
          <w:sz w:val="24"/>
        </w:rPr>
        <w:t> </w:t>
      </w:r>
      <w:r>
        <w:rPr>
          <w:sz w:val="24"/>
        </w:rPr>
        <w:t>4</w:t>
      </w:r>
      <w:r>
        <w:rPr>
          <w:spacing w:val="-18"/>
          <w:sz w:val="24"/>
        </w:rPr>
        <w:t> </w:t>
      </w:r>
      <w:r>
        <w:rPr>
          <w:sz w:val="24"/>
        </w:rPr>
        <w:t>of</w:t>
      </w:r>
      <w:r>
        <w:rPr>
          <w:spacing w:val="-20"/>
          <w:sz w:val="24"/>
        </w:rPr>
        <w:t> </w:t>
      </w:r>
      <w:r>
        <w:rPr>
          <w:sz w:val="24"/>
        </w:rPr>
        <w:t>the</w:t>
      </w:r>
      <w:r>
        <w:rPr>
          <w:spacing w:val="-17"/>
          <w:sz w:val="24"/>
        </w:rPr>
        <w:t> </w:t>
      </w:r>
      <w:r>
        <w:rPr>
          <w:sz w:val="24"/>
        </w:rPr>
        <w:t>Slum Act</w:t>
      </w:r>
      <w:r>
        <w:rPr>
          <w:spacing w:val="-18"/>
          <w:sz w:val="24"/>
        </w:rPr>
        <w:t> </w:t>
      </w:r>
      <w:r>
        <w:rPr>
          <w:sz w:val="24"/>
        </w:rPr>
        <w:t>to</w:t>
      </w:r>
      <w:r>
        <w:rPr>
          <w:spacing w:val="-18"/>
          <w:sz w:val="24"/>
        </w:rPr>
        <w:t> </w:t>
      </w:r>
      <w:r>
        <w:rPr>
          <w:sz w:val="24"/>
        </w:rPr>
        <w:t>qualify</w:t>
      </w:r>
      <w:r>
        <w:rPr>
          <w:spacing w:val="-18"/>
          <w:sz w:val="24"/>
        </w:rPr>
        <w:t> </w:t>
      </w:r>
      <w:r>
        <w:rPr>
          <w:sz w:val="24"/>
        </w:rPr>
        <w:t>as</w:t>
      </w:r>
      <w:r>
        <w:rPr>
          <w:spacing w:val="-18"/>
          <w:sz w:val="24"/>
        </w:rPr>
        <w:t> </w:t>
      </w:r>
      <w:r>
        <w:rPr>
          <w:sz w:val="24"/>
        </w:rPr>
        <w:t>slum</w:t>
      </w:r>
      <w:r>
        <w:rPr>
          <w:spacing w:val="-18"/>
          <w:sz w:val="24"/>
        </w:rPr>
        <w:t> </w:t>
      </w:r>
      <w:r>
        <w:rPr>
          <w:sz w:val="24"/>
        </w:rPr>
        <w:t>area</w:t>
      </w:r>
      <w:r>
        <w:rPr>
          <w:spacing w:val="-18"/>
          <w:sz w:val="24"/>
        </w:rPr>
        <w:t> </w:t>
      </w:r>
      <w:r>
        <w:rPr>
          <w:sz w:val="24"/>
        </w:rPr>
        <w:t>and/or</w:t>
      </w:r>
      <w:r>
        <w:rPr>
          <w:spacing w:val="-18"/>
          <w:sz w:val="24"/>
        </w:rPr>
        <w:t> </w:t>
      </w:r>
      <w:r>
        <w:rPr>
          <w:sz w:val="24"/>
        </w:rPr>
        <w:t>required</w:t>
      </w:r>
      <w:r>
        <w:rPr>
          <w:spacing w:val="-18"/>
          <w:sz w:val="24"/>
        </w:rPr>
        <w:t> </w:t>
      </w:r>
      <w:r>
        <w:rPr>
          <w:sz w:val="24"/>
        </w:rPr>
        <w:t>for</w:t>
      </w:r>
      <w:r>
        <w:rPr>
          <w:spacing w:val="-18"/>
          <w:sz w:val="24"/>
        </w:rPr>
        <w:t> </w:t>
      </w:r>
      <w:r>
        <w:rPr>
          <w:sz w:val="24"/>
        </w:rPr>
        <w:t>implementation</w:t>
      </w:r>
      <w:r>
        <w:rPr>
          <w:spacing w:val="-18"/>
          <w:sz w:val="24"/>
        </w:rPr>
        <w:t> </w:t>
      </w:r>
      <w:r>
        <w:rPr>
          <w:sz w:val="24"/>
        </w:rPr>
        <w:t>of</w:t>
      </w:r>
      <w:r>
        <w:rPr>
          <w:spacing w:val="-18"/>
          <w:sz w:val="24"/>
        </w:rPr>
        <w:t> </w:t>
      </w:r>
      <w:r>
        <w:rPr>
          <w:sz w:val="24"/>
        </w:rPr>
        <w:t>(DRP). Any area where a scheme under DRP within DNA has been approved byOfficer</w:t>
      </w:r>
      <w:r>
        <w:rPr>
          <w:spacing w:val="-13"/>
          <w:sz w:val="24"/>
        </w:rPr>
        <w:t> </w:t>
      </w:r>
      <w:r>
        <w:rPr>
          <w:sz w:val="24"/>
        </w:rPr>
        <w:t>on</w:t>
      </w:r>
      <w:r>
        <w:rPr>
          <w:spacing w:val="-13"/>
          <w:sz w:val="24"/>
        </w:rPr>
        <w:t> </w:t>
      </w:r>
      <w:r>
        <w:rPr>
          <w:sz w:val="24"/>
        </w:rPr>
        <w:t>Special</w:t>
      </w:r>
      <w:r>
        <w:rPr>
          <w:spacing w:val="-11"/>
          <w:sz w:val="24"/>
        </w:rPr>
        <w:t> </w:t>
      </w:r>
      <w:r>
        <w:rPr>
          <w:sz w:val="24"/>
        </w:rPr>
        <w:t>Duty</w:t>
      </w:r>
      <w:r>
        <w:rPr>
          <w:spacing w:val="-13"/>
          <w:sz w:val="24"/>
        </w:rPr>
        <w:t> </w:t>
      </w:r>
      <w:r>
        <w:rPr>
          <w:sz w:val="24"/>
        </w:rPr>
        <w:t>(OSD),DRP</w:t>
      </w:r>
      <w:r>
        <w:rPr>
          <w:spacing w:val="-13"/>
          <w:sz w:val="24"/>
        </w:rPr>
        <w:t> </w:t>
      </w:r>
      <w:r>
        <w:rPr>
          <w:sz w:val="24"/>
        </w:rPr>
        <w:t>(SRA)shall</w:t>
      </w:r>
      <w:r>
        <w:rPr>
          <w:spacing w:val="-13"/>
          <w:sz w:val="24"/>
        </w:rPr>
        <w:t> </w:t>
      </w:r>
      <w:r>
        <w:rPr>
          <w:sz w:val="24"/>
        </w:rPr>
        <w:t>be</w:t>
      </w:r>
      <w:r>
        <w:rPr>
          <w:spacing w:val="-13"/>
          <w:sz w:val="24"/>
        </w:rPr>
        <w:t> </w:t>
      </w:r>
      <w:r>
        <w:rPr>
          <w:sz w:val="24"/>
        </w:rPr>
        <w:t>a</w:t>
      </w:r>
      <w:r>
        <w:rPr>
          <w:spacing w:val="-13"/>
          <w:sz w:val="24"/>
        </w:rPr>
        <w:t> </w:t>
      </w:r>
      <w:r>
        <w:rPr>
          <w:sz w:val="24"/>
        </w:rPr>
        <w:t>deemed</w:t>
      </w:r>
      <w:r>
        <w:rPr>
          <w:spacing w:val="-11"/>
          <w:sz w:val="24"/>
        </w:rPr>
        <w:t> </w:t>
      </w:r>
      <w:r>
        <w:rPr>
          <w:sz w:val="24"/>
        </w:rPr>
        <w:t>DRP</w:t>
      </w:r>
      <w:r>
        <w:rPr>
          <w:spacing w:val="-13"/>
          <w:sz w:val="24"/>
        </w:rPr>
        <w:t> </w:t>
      </w:r>
      <w:r>
        <w:rPr>
          <w:sz w:val="24"/>
        </w:rPr>
        <w:t>Area.</w:t>
      </w:r>
    </w:p>
    <w:p>
      <w:pPr>
        <w:pStyle w:val="ListParagraph"/>
        <w:numPr>
          <w:ilvl w:val="0"/>
          <w:numId w:val="194"/>
        </w:numPr>
        <w:tabs>
          <w:tab w:pos="2858" w:val="left" w:leader="none"/>
        </w:tabs>
        <w:spacing w:line="240" w:lineRule="auto" w:before="240" w:after="0"/>
        <w:ind w:left="2062" w:right="766" w:firstLine="0"/>
        <w:jc w:val="both"/>
        <w:rPr>
          <w:sz w:val="24"/>
        </w:rPr>
      </w:pPr>
      <w:r>
        <w:rPr>
          <w:sz w:val="24"/>
        </w:rPr>
        <w:t>Any</w:t>
      </w:r>
      <w:r>
        <w:rPr>
          <w:spacing w:val="-5"/>
          <w:sz w:val="24"/>
        </w:rPr>
        <w:t> </w:t>
      </w:r>
      <w:r>
        <w:rPr>
          <w:sz w:val="24"/>
        </w:rPr>
        <w:t>area</w:t>
      </w:r>
      <w:r>
        <w:rPr>
          <w:spacing w:val="-5"/>
          <w:sz w:val="24"/>
        </w:rPr>
        <w:t> </w:t>
      </w:r>
      <w:r>
        <w:rPr>
          <w:sz w:val="24"/>
        </w:rPr>
        <w:t>required</w:t>
      </w:r>
      <w:r>
        <w:rPr>
          <w:spacing w:val="-5"/>
          <w:sz w:val="24"/>
        </w:rPr>
        <w:t> </w:t>
      </w:r>
      <w:r>
        <w:rPr>
          <w:sz w:val="24"/>
        </w:rPr>
        <w:t>or</w:t>
      </w:r>
      <w:r>
        <w:rPr>
          <w:spacing w:val="-5"/>
          <w:sz w:val="24"/>
        </w:rPr>
        <w:t> </w:t>
      </w:r>
      <w:r>
        <w:rPr>
          <w:sz w:val="24"/>
        </w:rPr>
        <w:t>proposed</w:t>
      </w:r>
      <w:r>
        <w:rPr>
          <w:spacing w:val="-5"/>
          <w:sz w:val="24"/>
        </w:rPr>
        <w:t> </w:t>
      </w:r>
      <w:r>
        <w:rPr>
          <w:sz w:val="24"/>
        </w:rPr>
        <w:t>for</w:t>
      </w:r>
      <w:r>
        <w:rPr>
          <w:spacing w:val="-5"/>
          <w:sz w:val="24"/>
        </w:rPr>
        <w:t> </w:t>
      </w:r>
      <w:r>
        <w:rPr>
          <w:sz w:val="24"/>
        </w:rPr>
        <w:t>the</w:t>
      </w:r>
      <w:r>
        <w:rPr>
          <w:spacing w:val="-3"/>
          <w:sz w:val="24"/>
        </w:rPr>
        <w:t> </w:t>
      </w:r>
      <w:r>
        <w:rPr>
          <w:sz w:val="24"/>
        </w:rPr>
        <w:t>purpose</w:t>
      </w:r>
      <w:r>
        <w:rPr>
          <w:spacing w:val="-5"/>
          <w:sz w:val="24"/>
        </w:rPr>
        <w:t> </w:t>
      </w:r>
      <w:r>
        <w:rPr>
          <w:sz w:val="24"/>
        </w:rPr>
        <w:t>of</w:t>
      </w:r>
      <w:r>
        <w:rPr>
          <w:spacing w:val="-5"/>
          <w:sz w:val="24"/>
        </w:rPr>
        <w:t> </w:t>
      </w:r>
      <w:r>
        <w:rPr>
          <w:sz w:val="24"/>
        </w:rPr>
        <w:t>construction</w:t>
      </w:r>
      <w:r>
        <w:rPr>
          <w:spacing w:val="-5"/>
          <w:sz w:val="24"/>
        </w:rPr>
        <w:t> </w:t>
      </w:r>
      <w:r>
        <w:rPr>
          <w:sz w:val="24"/>
        </w:rPr>
        <w:t>of temporary or permanent transit camps and projects on any/adjacent land</w:t>
      </w:r>
      <w:r>
        <w:rPr>
          <w:spacing w:val="-20"/>
          <w:sz w:val="24"/>
        </w:rPr>
        <w:t> </w:t>
      </w:r>
      <w:r>
        <w:rPr>
          <w:sz w:val="24"/>
        </w:rPr>
        <w:t>for</w:t>
      </w:r>
      <w:r>
        <w:rPr>
          <w:spacing w:val="-19"/>
          <w:sz w:val="24"/>
        </w:rPr>
        <w:t> </w:t>
      </w:r>
      <w:r>
        <w:rPr>
          <w:sz w:val="24"/>
        </w:rPr>
        <w:t>the</w:t>
      </w:r>
      <w:r>
        <w:rPr>
          <w:spacing w:val="-19"/>
          <w:sz w:val="24"/>
        </w:rPr>
        <w:t> </w:t>
      </w:r>
      <w:r>
        <w:rPr>
          <w:sz w:val="24"/>
        </w:rPr>
        <w:t>amalgamated</w:t>
      </w:r>
      <w:r>
        <w:rPr>
          <w:spacing w:val="-19"/>
          <w:sz w:val="24"/>
        </w:rPr>
        <w:t> </w:t>
      </w:r>
      <w:r>
        <w:rPr>
          <w:sz w:val="24"/>
        </w:rPr>
        <w:t>land</w:t>
      </w:r>
      <w:r>
        <w:rPr>
          <w:spacing w:val="-19"/>
          <w:sz w:val="24"/>
        </w:rPr>
        <w:t> </w:t>
      </w:r>
      <w:r>
        <w:rPr>
          <w:sz w:val="24"/>
        </w:rPr>
        <w:t>for</w:t>
      </w:r>
      <w:r>
        <w:rPr>
          <w:spacing w:val="-20"/>
          <w:sz w:val="24"/>
        </w:rPr>
        <w:t> </w:t>
      </w:r>
      <w:r>
        <w:rPr>
          <w:sz w:val="24"/>
        </w:rPr>
        <w:t>developments</w:t>
      </w:r>
      <w:r>
        <w:rPr>
          <w:spacing w:val="-19"/>
          <w:sz w:val="24"/>
        </w:rPr>
        <w:t> </w:t>
      </w:r>
      <w:r>
        <w:rPr>
          <w:sz w:val="24"/>
        </w:rPr>
        <w:t>so</w:t>
      </w:r>
      <w:r>
        <w:rPr>
          <w:spacing w:val="-19"/>
          <w:sz w:val="24"/>
        </w:rPr>
        <w:t> </w:t>
      </w:r>
      <w:r>
        <w:rPr>
          <w:sz w:val="24"/>
        </w:rPr>
        <w:t>approved</w:t>
      </w:r>
      <w:r>
        <w:rPr>
          <w:spacing w:val="-19"/>
          <w:sz w:val="24"/>
        </w:rPr>
        <w:t> </w:t>
      </w:r>
      <w:r>
        <w:rPr>
          <w:sz w:val="24"/>
        </w:rPr>
        <w:t>by</w:t>
      </w:r>
      <w:r>
        <w:rPr>
          <w:spacing w:val="-19"/>
          <w:sz w:val="24"/>
        </w:rPr>
        <w:t> </w:t>
      </w:r>
      <w:r>
        <w:rPr>
          <w:sz w:val="24"/>
        </w:rPr>
        <w:t>the</w:t>
      </w:r>
      <w:r>
        <w:rPr>
          <w:spacing w:val="-20"/>
          <w:sz w:val="24"/>
        </w:rPr>
        <w:t> </w:t>
      </w:r>
      <w:r>
        <w:rPr>
          <w:sz w:val="24"/>
        </w:rPr>
        <w:t>SRA shall also be deemed to be and treated as DRP Area, and projects approved in such area by the DRP cell of SRA shall be deemed to be </w:t>
      </w:r>
      <w:r>
        <w:rPr>
          <w:spacing w:val="-4"/>
          <w:sz w:val="24"/>
        </w:rPr>
        <w:t>DRP.</w:t>
      </w:r>
    </w:p>
    <w:p>
      <w:pPr>
        <w:pStyle w:val="ListParagraph"/>
        <w:numPr>
          <w:ilvl w:val="0"/>
          <w:numId w:val="194"/>
        </w:numPr>
        <w:tabs>
          <w:tab w:pos="3038" w:val="left" w:leader="none"/>
        </w:tabs>
        <w:spacing w:line="240" w:lineRule="auto" w:before="240" w:after="0"/>
        <w:ind w:left="2062" w:right="768" w:firstLine="0"/>
        <w:jc w:val="both"/>
        <w:rPr>
          <w:sz w:val="24"/>
        </w:rPr>
      </w:pPr>
      <w:r>
        <w:rPr>
          <w:sz w:val="24"/>
        </w:rPr>
        <w:t>A pavement shall mean any Municipal/Govt./Semi–Govt. pavement and shall include any viable stretch of the pavement as may be considered viable for the purpose of DRP scheme.</w:t>
      </w:r>
    </w:p>
    <w:p>
      <w:pPr>
        <w:pStyle w:val="ListParagraph"/>
        <w:numPr>
          <w:ilvl w:val="0"/>
          <w:numId w:val="194"/>
        </w:numPr>
        <w:tabs>
          <w:tab w:pos="2961" w:val="left" w:leader="none"/>
        </w:tabs>
        <w:spacing w:line="240" w:lineRule="auto" w:before="240" w:after="0"/>
        <w:ind w:left="2062" w:right="771" w:firstLine="0"/>
        <w:jc w:val="both"/>
        <w:rPr>
          <w:sz w:val="24"/>
        </w:rPr>
      </w:pPr>
      <w:r>
        <w:rPr>
          <w:sz w:val="24"/>
        </w:rPr>
        <w:t>A structure shall mean by all dwelling areas of all persons who were</w:t>
      </w:r>
      <w:r>
        <w:rPr>
          <w:spacing w:val="-1"/>
          <w:sz w:val="24"/>
        </w:rPr>
        <w:t> </w:t>
      </w:r>
      <w:r>
        <w:rPr>
          <w:sz w:val="24"/>
        </w:rPr>
        <w:t>enumerated</w:t>
      </w:r>
      <w:r>
        <w:rPr>
          <w:spacing w:val="-1"/>
          <w:sz w:val="24"/>
        </w:rPr>
        <w:t> </w:t>
      </w:r>
      <w:r>
        <w:rPr>
          <w:sz w:val="24"/>
        </w:rPr>
        <w:t>as living</w:t>
      </w:r>
      <w:r>
        <w:rPr>
          <w:spacing w:val="-1"/>
          <w:sz w:val="24"/>
        </w:rPr>
        <w:t> </w:t>
      </w:r>
      <w:r>
        <w:rPr>
          <w:sz w:val="24"/>
        </w:rPr>
        <w:t>in</w:t>
      </w:r>
      <w:r>
        <w:rPr>
          <w:spacing w:val="-1"/>
          <w:sz w:val="24"/>
        </w:rPr>
        <w:t> </w:t>
      </w:r>
      <w:r>
        <w:rPr>
          <w:sz w:val="24"/>
        </w:rPr>
        <w:t>that</w:t>
      </w:r>
      <w:r>
        <w:rPr>
          <w:spacing w:val="-1"/>
          <w:sz w:val="24"/>
        </w:rPr>
        <w:t> </w:t>
      </w:r>
      <w:r>
        <w:rPr>
          <w:sz w:val="24"/>
        </w:rPr>
        <w:t>one numbered</w:t>
      </w:r>
      <w:r>
        <w:rPr>
          <w:spacing w:val="-1"/>
          <w:sz w:val="24"/>
        </w:rPr>
        <w:t> </w:t>
      </w:r>
      <w:r>
        <w:rPr>
          <w:sz w:val="24"/>
        </w:rPr>
        <w:t>house</w:t>
      </w:r>
      <w:r>
        <w:rPr>
          <w:spacing w:val="-1"/>
          <w:sz w:val="24"/>
        </w:rPr>
        <w:t> </w:t>
      </w:r>
      <w:r>
        <w:rPr>
          <w:sz w:val="24"/>
        </w:rPr>
        <w:t>in the electoral roll of the latest date, up to 1</w:t>
      </w:r>
      <w:r>
        <w:rPr>
          <w:position w:val="6"/>
          <w:sz w:val="16"/>
        </w:rPr>
        <w:t>st</w:t>
      </w:r>
      <w:r>
        <w:rPr>
          <w:spacing w:val="26"/>
          <w:position w:val="6"/>
          <w:sz w:val="16"/>
        </w:rPr>
        <w:t> </w:t>
      </w:r>
      <w:r>
        <w:rPr>
          <w:sz w:val="24"/>
        </w:rPr>
        <w:t>Jan 2000</w:t>
      </w:r>
      <w:r>
        <w:rPr>
          <w:spacing w:val="-3"/>
          <w:sz w:val="24"/>
        </w:rPr>
        <w:t> </w:t>
      </w:r>
      <w:r>
        <w:rPr>
          <w:sz w:val="24"/>
        </w:rPr>
        <w:t>and regardless of the number of persons, or location of rooms or access.</w:t>
      </w:r>
    </w:p>
    <w:p>
      <w:pPr>
        <w:pStyle w:val="ListParagraph"/>
        <w:numPr>
          <w:ilvl w:val="0"/>
          <w:numId w:val="194"/>
        </w:numPr>
        <w:tabs>
          <w:tab w:pos="3037" w:val="left" w:leader="none"/>
        </w:tabs>
        <w:spacing w:line="240" w:lineRule="auto" w:before="241" w:after="0"/>
        <w:ind w:left="2062" w:right="770" w:firstLine="0"/>
        <w:jc w:val="both"/>
        <w:rPr>
          <w:sz w:val="24"/>
        </w:rPr>
      </w:pPr>
      <w:r>
        <w:rPr>
          <w:sz w:val="24"/>
        </w:rPr>
        <w:t>A composite building shall mean a building comprising both rehab and free-sale components and part thereof along with built up amenity, if proposed, in the same building.</w:t>
      </w:r>
    </w:p>
    <w:p>
      <w:pPr>
        <w:pStyle w:val="ListParagraph"/>
        <w:numPr>
          <w:ilvl w:val="0"/>
          <w:numId w:val="194"/>
        </w:numPr>
        <w:tabs>
          <w:tab w:pos="2961" w:val="left" w:leader="none"/>
        </w:tabs>
        <w:spacing w:line="240" w:lineRule="auto" w:before="240" w:after="0"/>
        <w:ind w:left="2062" w:right="768" w:firstLine="0"/>
        <w:jc w:val="both"/>
        <w:rPr>
          <w:sz w:val="24"/>
        </w:rPr>
      </w:pPr>
      <w:r>
        <w:rPr>
          <w:sz w:val="24"/>
        </w:rPr>
        <w:t>Censused</w:t>
      </w:r>
      <w:r>
        <w:rPr>
          <w:spacing w:val="-12"/>
          <w:sz w:val="24"/>
        </w:rPr>
        <w:t> </w:t>
      </w:r>
      <w:r>
        <w:rPr>
          <w:sz w:val="24"/>
        </w:rPr>
        <w:t>shall</w:t>
      </w:r>
      <w:r>
        <w:rPr>
          <w:spacing w:val="-12"/>
          <w:sz w:val="24"/>
        </w:rPr>
        <w:t> </w:t>
      </w:r>
      <w:r>
        <w:rPr>
          <w:sz w:val="24"/>
        </w:rPr>
        <w:t>mean</w:t>
      </w:r>
      <w:r>
        <w:rPr>
          <w:spacing w:val="-12"/>
          <w:sz w:val="24"/>
        </w:rPr>
        <w:t> </w:t>
      </w:r>
      <w:r>
        <w:rPr>
          <w:sz w:val="24"/>
        </w:rPr>
        <w:t>those</w:t>
      </w:r>
      <w:r>
        <w:rPr>
          <w:spacing w:val="-12"/>
          <w:sz w:val="24"/>
        </w:rPr>
        <w:t> </w:t>
      </w:r>
      <w:r>
        <w:rPr>
          <w:sz w:val="24"/>
        </w:rPr>
        <w:t>slums</w:t>
      </w:r>
      <w:r>
        <w:rPr>
          <w:spacing w:val="-12"/>
          <w:sz w:val="24"/>
        </w:rPr>
        <w:t> </w:t>
      </w:r>
      <w:r>
        <w:rPr>
          <w:sz w:val="24"/>
        </w:rPr>
        <w:t>located</w:t>
      </w:r>
      <w:r>
        <w:rPr>
          <w:spacing w:val="-11"/>
          <w:sz w:val="24"/>
        </w:rPr>
        <w:t> </w:t>
      </w:r>
      <w:r>
        <w:rPr>
          <w:sz w:val="24"/>
        </w:rPr>
        <w:t>on</w:t>
      </w:r>
      <w:r>
        <w:rPr>
          <w:spacing w:val="-12"/>
          <w:sz w:val="24"/>
        </w:rPr>
        <w:t> </w:t>
      </w:r>
      <w:r>
        <w:rPr>
          <w:sz w:val="24"/>
        </w:rPr>
        <w:t>lands</w:t>
      </w:r>
      <w:r>
        <w:rPr>
          <w:spacing w:val="-12"/>
          <w:sz w:val="24"/>
        </w:rPr>
        <w:t> </w:t>
      </w:r>
      <w:r>
        <w:rPr>
          <w:sz w:val="24"/>
        </w:rPr>
        <w:t>belonging</w:t>
      </w:r>
      <w:r>
        <w:rPr>
          <w:spacing w:val="-13"/>
          <w:sz w:val="24"/>
        </w:rPr>
        <w:t> </w:t>
      </w:r>
      <w:r>
        <w:rPr>
          <w:sz w:val="24"/>
        </w:rPr>
        <w:t>to Govt., any undertaking of Govt., or MCGM and incorporated in the records of land owning authority as having been censused in 1976, 1980, 1985, 1995 or prior to 1</w:t>
      </w:r>
      <w:r>
        <w:rPr>
          <w:position w:val="6"/>
          <w:sz w:val="16"/>
        </w:rPr>
        <w:t>st</w:t>
      </w:r>
      <w:r>
        <w:rPr>
          <w:spacing w:val="40"/>
          <w:position w:val="6"/>
          <w:sz w:val="16"/>
        </w:rPr>
        <w:t> </w:t>
      </w:r>
      <w:r>
        <w:rPr>
          <w:sz w:val="24"/>
        </w:rPr>
        <w:t>Jan 2000.</w:t>
      </w:r>
    </w:p>
    <w:p>
      <w:pPr>
        <w:pStyle w:val="ListParagraph"/>
        <w:numPr>
          <w:ilvl w:val="0"/>
          <w:numId w:val="194"/>
        </w:numPr>
        <w:tabs>
          <w:tab w:pos="2961" w:val="left" w:leader="none"/>
        </w:tabs>
        <w:spacing w:line="240" w:lineRule="auto" w:before="239" w:after="0"/>
        <w:ind w:left="2062" w:right="768" w:firstLine="0"/>
        <w:jc w:val="both"/>
        <w:rPr>
          <w:sz w:val="24"/>
        </w:rPr>
      </w:pPr>
      <w:r>
        <w:rPr>
          <w:sz w:val="24"/>
        </w:rPr>
        <w:t>“Dharavi</w:t>
      </w:r>
      <w:r>
        <w:rPr>
          <w:spacing w:val="-14"/>
          <w:sz w:val="24"/>
        </w:rPr>
        <w:t> </w:t>
      </w:r>
      <w:r>
        <w:rPr>
          <w:sz w:val="24"/>
        </w:rPr>
        <w:t>Notified</w:t>
      </w:r>
      <w:r>
        <w:rPr>
          <w:spacing w:val="-14"/>
          <w:sz w:val="24"/>
        </w:rPr>
        <w:t> </w:t>
      </w:r>
      <w:r>
        <w:rPr>
          <w:sz w:val="24"/>
        </w:rPr>
        <w:t>Area</w:t>
      </w:r>
      <w:r>
        <w:rPr>
          <w:spacing w:val="-14"/>
          <w:sz w:val="24"/>
        </w:rPr>
        <w:t> </w:t>
      </w:r>
      <w:r>
        <w:rPr>
          <w:sz w:val="24"/>
        </w:rPr>
        <w:t>(DNA)”</w:t>
      </w:r>
      <w:r>
        <w:rPr>
          <w:spacing w:val="-14"/>
          <w:sz w:val="24"/>
        </w:rPr>
        <w:t> </w:t>
      </w:r>
      <w:r>
        <w:rPr>
          <w:sz w:val="24"/>
        </w:rPr>
        <w:t>shall</w:t>
      </w:r>
      <w:r>
        <w:rPr>
          <w:spacing w:val="-14"/>
          <w:sz w:val="24"/>
        </w:rPr>
        <w:t> </w:t>
      </w:r>
      <w:r>
        <w:rPr>
          <w:sz w:val="24"/>
        </w:rPr>
        <w:t>mean</w:t>
      </w:r>
      <w:r>
        <w:rPr>
          <w:spacing w:val="-16"/>
          <w:sz w:val="24"/>
        </w:rPr>
        <w:t> </w:t>
      </w:r>
      <w:r>
        <w:rPr>
          <w:sz w:val="24"/>
        </w:rPr>
        <w:t>the</w:t>
      </w:r>
      <w:r>
        <w:rPr>
          <w:spacing w:val="-14"/>
          <w:sz w:val="24"/>
        </w:rPr>
        <w:t> </w:t>
      </w:r>
      <w:r>
        <w:rPr>
          <w:sz w:val="24"/>
        </w:rPr>
        <w:t>area</w:t>
      </w:r>
      <w:r>
        <w:rPr>
          <w:spacing w:val="-14"/>
          <w:sz w:val="24"/>
        </w:rPr>
        <w:t> </w:t>
      </w:r>
      <w:r>
        <w:rPr>
          <w:sz w:val="24"/>
        </w:rPr>
        <w:t>of</w:t>
      </w:r>
      <w:r>
        <w:rPr>
          <w:spacing w:val="-14"/>
          <w:sz w:val="24"/>
        </w:rPr>
        <w:t> </w:t>
      </w:r>
      <w:r>
        <w:rPr>
          <w:sz w:val="24"/>
        </w:rPr>
        <w:t>Dharavi</w:t>
      </w:r>
      <w:r>
        <w:rPr>
          <w:spacing w:val="-14"/>
          <w:sz w:val="24"/>
        </w:rPr>
        <w:t> </w:t>
      </w:r>
      <w:r>
        <w:rPr>
          <w:sz w:val="24"/>
        </w:rPr>
        <w:t>for which GoM, by exercising the powers conferred by sub-section(1B) of section 40 of MR &amp; TP Act, 1966, have appointed ‘SRA’ as SPA for Planning</w:t>
      </w:r>
      <w:r>
        <w:rPr>
          <w:spacing w:val="-8"/>
          <w:sz w:val="24"/>
        </w:rPr>
        <w:t> </w:t>
      </w:r>
      <w:r>
        <w:rPr>
          <w:sz w:val="24"/>
        </w:rPr>
        <w:t>&amp;</w:t>
      </w:r>
      <w:r>
        <w:rPr>
          <w:spacing w:val="-8"/>
          <w:sz w:val="24"/>
        </w:rPr>
        <w:t> </w:t>
      </w:r>
      <w:r>
        <w:rPr>
          <w:sz w:val="24"/>
        </w:rPr>
        <w:t>Development</w:t>
      </w:r>
      <w:r>
        <w:rPr>
          <w:spacing w:val="-8"/>
          <w:sz w:val="24"/>
        </w:rPr>
        <w:t> </w:t>
      </w:r>
      <w:r>
        <w:rPr>
          <w:sz w:val="24"/>
        </w:rPr>
        <w:t>and</w:t>
      </w:r>
      <w:r>
        <w:rPr>
          <w:spacing w:val="-8"/>
          <w:sz w:val="24"/>
        </w:rPr>
        <w:t> </w:t>
      </w:r>
      <w:r>
        <w:rPr>
          <w:sz w:val="24"/>
        </w:rPr>
        <w:t>which</w:t>
      </w:r>
      <w:r>
        <w:rPr>
          <w:spacing w:val="-8"/>
          <w:sz w:val="24"/>
        </w:rPr>
        <w:t> </w:t>
      </w:r>
      <w:r>
        <w:rPr>
          <w:sz w:val="24"/>
        </w:rPr>
        <w:t>is</w:t>
      </w:r>
      <w:r>
        <w:rPr>
          <w:spacing w:val="-8"/>
          <w:sz w:val="24"/>
        </w:rPr>
        <w:t> </w:t>
      </w:r>
      <w:r>
        <w:rPr>
          <w:sz w:val="24"/>
        </w:rPr>
        <w:t>specifically</w:t>
      </w:r>
      <w:r>
        <w:rPr>
          <w:spacing w:val="-8"/>
          <w:sz w:val="24"/>
        </w:rPr>
        <w:t> </w:t>
      </w:r>
      <w:r>
        <w:rPr>
          <w:sz w:val="24"/>
        </w:rPr>
        <w:t>defined</w:t>
      </w:r>
      <w:r>
        <w:rPr>
          <w:spacing w:val="-8"/>
          <w:sz w:val="24"/>
        </w:rPr>
        <w:t> </w:t>
      </w:r>
      <w:r>
        <w:rPr>
          <w:sz w:val="24"/>
        </w:rPr>
        <w:t>in</w:t>
      </w:r>
      <w:r>
        <w:rPr>
          <w:spacing w:val="-8"/>
          <w:sz w:val="24"/>
        </w:rPr>
        <w:t> </w:t>
      </w:r>
      <w:r>
        <w:rPr>
          <w:sz w:val="24"/>
        </w:rPr>
        <w:t>the</w:t>
      </w:r>
      <w:r>
        <w:rPr>
          <w:spacing w:val="-8"/>
          <w:sz w:val="24"/>
        </w:rPr>
        <w:t> </w:t>
      </w:r>
      <w:r>
        <w:rPr>
          <w:sz w:val="24"/>
        </w:rPr>
        <w:t>Govt.’s notification no.TPB-4304/322/CR-56/04/UD-11 dt. 9/3/2005. and no.TPB-4308/3499/CR-83/09/UD-11 dtd. 25.6.2009.</w:t>
      </w:r>
    </w:p>
    <w:p>
      <w:pPr>
        <w:pStyle w:val="ListParagraph"/>
        <w:numPr>
          <w:ilvl w:val="0"/>
          <w:numId w:val="194"/>
        </w:numPr>
        <w:tabs>
          <w:tab w:pos="2961" w:val="left" w:leader="none"/>
        </w:tabs>
        <w:spacing w:line="240" w:lineRule="auto" w:before="242" w:after="0"/>
        <w:ind w:left="2062" w:right="770" w:firstLine="0"/>
        <w:jc w:val="both"/>
        <w:rPr>
          <w:sz w:val="24"/>
        </w:rPr>
      </w:pPr>
      <w:r>
        <w:rPr>
          <w:sz w:val="24"/>
        </w:rPr>
        <w:t>“Planning sector” shall mean the plot of lands comprising C.S. Nos. /CTS Nos. partly or wholly derived from DNA and which will be bounded</w:t>
      </w:r>
      <w:r>
        <w:rPr>
          <w:spacing w:val="-14"/>
          <w:sz w:val="24"/>
        </w:rPr>
        <w:t> </w:t>
      </w:r>
      <w:r>
        <w:rPr>
          <w:sz w:val="24"/>
        </w:rPr>
        <w:t>mainly</w:t>
      </w:r>
      <w:r>
        <w:rPr>
          <w:spacing w:val="-14"/>
          <w:sz w:val="24"/>
        </w:rPr>
        <w:t> </w:t>
      </w:r>
      <w:r>
        <w:rPr>
          <w:sz w:val="24"/>
        </w:rPr>
        <w:t>by</w:t>
      </w:r>
      <w:r>
        <w:rPr>
          <w:spacing w:val="-14"/>
          <w:sz w:val="24"/>
        </w:rPr>
        <w:t> </w:t>
      </w:r>
      <w:r>
        <w:rPr>
          <w:sz w:val="24"/>
        </w:rPr>
        <w:t>existing</w:t>
      </w:r>
      <w:r>
        <w:rPr>
          <w:spacing w:val="-14"/>
          <w:sz w:val="24"/>
        </w:rPr>
        <w:t> </w:t>
      </w:r>
      <w:r>
        <w:rPr>
          <w:sz w:val="24"/>
        </w:rPr>
        <w:t>major</w:t>
      </w:r>
      <w:r>
        <w:rPr>
          <w:spacing w:val="-14"/>
          <w:sz w:val="24"/>
        </w:rPr>
        <w:t> </w:t>
      </w:r>
      <w:r>
        <w:rPr>
          <w:sz w:val="24"/>
        </w:rPr>
        <w:t>roads,</w:t>
      </w:r>
      <w:r>
        <w:rPr>
          <w:spacing w:val="-16"/>
          <w:sz w:val="24"/>
        </w:rPr>
        <w:t> </w:t>
      </w:r>
      <w:r>
        <w:rPr>
          <w:sz w:val="24"/>
        </w:rPr>
        <w:t>railway</w:t>
      </w:r>
      <w:r>
        <w:rPr>
          <w:spacing w:val="-14"/>
          <w:sz w:val="24"/>
        </w:rPr>
        <w:t> </w:t>
      </w:r>
      <w:r>
        <w:rPr>
          <w:sz w:val="24"/>
        </w:rPr>
        <w:t>lines,</w:t>
      </w:r>
      <w:r>
        <w:rPr>
          <w:spacing w:val="-14"/>
          <w:sz w:val="24"/>
        </w:rPr>
        <w:t> </w:t>
      </w:r>
      <w:r>
        <w:rPr>
          <w:sz w:val="24"/>
        </w:rPr>
        <w:t>village</w:t>
      </w:r>
      <w:r>
        <w:rPr>
          <w:spacing w:val="-16"/>
          <w:sz w:val="24"/>
        </w:rPr>
        <w:t> </w:t>
      </w:r>
      <w:r>
        <w:rPr>
          <w:sz w:val="24"/>
        </w:rPr>
        <w:t>boundary and the proposed major roads so as to achieve well planned and controlled development of DRP along with various amenities and facilities</w:t>
      </w:r>
      <w:r>
        <w:rPr>
          <w:spacing w:val="-15"/>
          <w:sz w:val="24"/>
        </w:rPr>
        <w:t> </w:t>
      </w:r>
      <w:r>
        <w:rPr>
          <w:sz w:val="24"/>
        </w:rPr>
        <w:t>to</w:t>
      </w:r>
      <w:r>
        <w:rPr>
          <w:spacing w:val="-15"/>
          <w:sz w:val="24"/>
        </w:rPr>
        <w:t> </w:t>
      </w:r>
      <w:r>
        <w:rPr>
          <w:sz w:val="24"/>
        </w:rPr>
        <w:t>be</w:t>
      </w:r>
      <w:r>
        <w:rPr>
          <w:spacing w:val="-15"/>
          <w:sz w:val="24"/>
        </w:rPr>
        <w:t> </w:t>
      </w:r>
      <w:r>
        <w:rPr>
          <w:sz w:val="24"/>
        </w:rPr>
        <w:t>provided</w:t>
      </w:r>
      <w:r>
        <w:rPr>
          <w:spacing w:val="-15"/>
          <w:sz w:val="24"/>
        </w:rPr>
        <w:t> </w:t>
      </w:r>
      <w:r>
        <w:rPr>
          <w:sz w:val="24"/>
        </w:rPr>
        <w:t>for</w:t>
      </w:r>
      <w:r>
        <w:rPr>
          <w:spacing w:val="-15"/>
          <w:sz w:val="24"/>
        </w:rPr>
        <w:t> </w:t>
      </w:r>
      <w:r>
        <w:rPr>
          <w:sz w:val="24"/>
        </w:rPr>
        <w:t>people</w:t>
      </w:r>
      <w:r>
        <w:rPr>
          <w:spacing w:val="-15"/>
          <w:sz w:val="24"/>
        </w:rPr>
        <w:t> </w:t>
      </w:r>
      <w:r>
        <w:rPr>
          <w:sz w:val="24"/>
        </w:rPr>
        <w:t>at</w:t>
      </w:r>
      <w:r>
        <w:rPr>
          <w:spacing w:val="-15"/>
          <w:sz w:val="24"/>
        </w:rPr>
        <w:t> </w:t>
      </w:r>
      <w:r>
        <w:rPr>
          <w:sz w:val="24"/>
        </w:rPr>
        <w:t>large</w:t>
      </w:r>
      <w:r>
        <w:rPr>
          <w:spacing w:val="-13"/>
          <w:sz w:val="24"/>
        </w:rPr>
        <w:t> </w:t>
      </w:r>
      <w:r>
        <w:rPr>
          <w:sz w:val="24"/>
        </w:rPr>
        <w:t>within</w:t>
      </w:r>
      <w:r>
        <w:rPr>
          <w:spacing w:val="-15"/>
          <w:sz w:val="24"/>
        </w:rPr>
        <w:t> </w:t>
      </w:r>
      <w:r>
        <w:rPr>
          <w:sz w:val="24"/>
        </w:rPr>
        <w:t>the</w:t>
      </w:r>
      <w:r>
        <w:rPr>
          <w:spacing w:val="-15"/>
          <w:sz w:val="24"/>
        </w:rPr>
        <w:t> </w:t>
      </w:r>
      <w:r>
        <w:rPr>
          <w:sz w:val="24"/>
        </w:rPr>
        <w:t>boundaries</w:t>
      </w:r>
      <w:r>
        <w:rPr>
          <w:spacing w:val="-15"/>
          <w:sz w:val="24"/>
        </w:rPr>
        <w:t> </w:t>
      </w:r>
      <w:r>
        <w:rPr>
          <w:sz w:val="24"/>
        </w:rPr>
        <w:t>of</w:t>
      </w:r>
      <w:r>
        <w:rPr>
          <w:spacing w:val="-15"/>
          <w:sz w:val="24"/>
        </w:rPr>
        <w:t> </w:t>
      </w:r>
      <w:r>
        <w:rPr>
          <w:sz w:val="24"/>
        </w:rPr>
        <w:t>such</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70"/>
      </w:pPr>
      <w:r>
        <w:rPr/>
        <w:t>plots/areas. Such divided plots/areas are termed as planning sectors. The extent of area and number of planning sectors shall be as per approval obtained from the Committee of Secretaries appointed to monitor DRP vide Government Resolution of Housing Department No. SRA/2003/CR-189/SI-1A dt. 4.2.2004 (hereinafter referred to as “Committee of Secretaries”).</w:t>
      </w:r>
    </w:p>
    <w:p>
      <w:pPr>
        <w:pStyle w:val="ListParagraph"/>
        <w:numPr>
          <w:ilvl w:val="0"/>
          <w:numId w:val="193"/>
        </w:numPr>
        <w:tabs>
          <w:tab w:pos="2781" w:val="left" w:leader="none"/>
        </w:tabs>
        <w:spacing w:line="240" w:lineRule="auto" w:before="242" w:after="0"/>
        <w:ind w:left="2062" w:right="768" w:firstLine="0"/>
        <w:jc w:val="both"/>
        <w:rPr>
          <w:sz w:val="24"/>
        </w:rPr>
      </w:pPr>
      <w:r>
        <w:rPr>
          <w:b/>
          <w:sz w:val="24"/>
        </w:rPr>
        <w:t>Joint</w:t>
      </w:r>
      <w:r>
        <w:rPr>
          <w:b/>
          <w:spacing w:val="-15"/>
          <w:sz w:val="24"/>
        </w:rPr>
        <w:t> </w:t>
      </w:r>
      <w:r>
        <w:rPr>
          <w:b/>
          <w:sz w:val="24"/>
        </w:rPr>
        <w:t>ownership</w:t>
      </w:r>
      <w:r>
        <w:rPr>
          <w:b/>
          <w:spacing w:val="-15"/>
          <w:sz w:val="24"/>
        </w:rPr>
        <w:t> </w:t>
      </w:r>
      <w:r>
        <w:rPr>
          <w:b/>
          <w:sz w:val="24"/>
        </w:rPr>
        <w:t>with</w:t>
      </w:r>
      <w:r>
        <w:rPr>
          <w:b/>
          <w:spacing w:val="-15"/>
          <w:sz w:val="24"/>
        </w:rPr>
        <w:t> </w:t>
      </w:r>
      <w:r>
        <w:rPr>
          <w:b/>
          <w:sz w:val="24"/>
        </w:rPr>
        <w:t>spouse</w:t>
      </w:r>
      <w:r>
        <w:rPr>
          <w:sz w:val="24"/>
        </w:rPr>
        <w:t>:</w:t>
      </w:r>
      <w:r>
        <w:rPr>
          <w:spacing w:val="-12"/>
          <w:sz w:val="24"/>
        </w:rPr>
        <w:t> </w:t>
      </w:r>
      <w:r>
        <w:rPr>
          <w:sz w:val="24"/>
        </w:rPr>
        <w:t>The</w:t>
      </w:r>
      <w:r>
        <w:rPr>
          <w:spacing w:val="-14"/>
          <w:sz w:val="24"/>
        </w:rPr>
        <w:t> </w:t>
      </w:r>
      <w:r>
        <w:rPr>
          <w:sz w:val="24"/>
        </w:rPr>
        <w:t>reconstructed</w:t>
      </w:r>
      <w:r>
        <w:rPr>
          <w:spacing w:val="-14"/>
          <w:sz w:val="24"/>
        </w:rPr>
        <w:t> </w:t>
      </w:r>
      <w:r>
        <w:rPr>
          <w:sz w:val="24"/>
        </w:rPr>
        <w:t>tenement</w:t>
      </w:r>
      <w:r>
        <w:rPr>
          <w:spacing w:val="-12"/>
          <w:sz w:val="24"/>
        </w:rPr>
        <w:t> </w:t>
      </w:r>
      <w:r>
        <w:rPr>
          <w:sz w:val="24"/>
        </w:rPr>
        <w:t>shall be of the ownership of the hutment dweller and spouse co-jointly, and shall</w:t>
      </w:r>
      <w:r>
        <w:rPr>
          <w:spacing w:val="-9"/>
          <w:sz w:val="24"/>
        </w:rPr>
        <w:t> </w:t>
      </w:r>
      <w:r>
        <w:rPr>
          <w:sz w:val="24"/>
        </w:rPr>
        <w:t>be</w:t>
      </w:r>
      <w:r>
        <w:rPr>
          <w:spacing w:val="-9"/>
          <w:sz w:val="24"/>
        </w:rPr>
        <w:t> </w:t>
      </w:r>
      <w:r>
        <w:rPr>
          <w:sz w:val="24"/>
        </w:rPr>
        <w:t>so</w:t>
      </w:r>
      <w:r>
        <w:rPr>
          <w:spacing w:val="-9"/>
          <w:sz w:val="24"/>
        </w:rPr>
        <w:t> </w:t>
      </w:r>
      <w:r>
        <w:rPr>
          <w:sz w:val="24"/>
        </w:rPr>
        <w:t>entered</w:t>
      </w:r>
      <w:r>
        <w:rPr>
          <w:spacing w:val="-7"/>
          <w:sz w:val="24"/>
        </w:rPr>
        <w:t> </w:t>
      </w:r>
      <w:r>
        <w:rPr>
          <w:sz w:val="24"/>
        </w:rPr>
        <w:t>and</w:t>
      </w:r>
      <w:r>
        <w:rPr>
          <w:spacing w:val="-9"/>
          <w:sz w:val="24"/>
        </w:rPr>
        <w:t> </w:t>
      </w:r>
      <w:r>
        <w:rPr>
          <w:sz w:val="24"/>
        </w:rPr>
        <w:t>be</w:t>
      </w:r>
      <w:r>
        <w:rPr>
          <w:spacing w:val="-9"/>
          <w:sz w:val="24"/>
        </w:rPr>
        <w:t> </w:t>
      </w:r>
      <w:r>
        <w:rPr>
          <w:sz w:val="24"/>
        </w:rPr>
        <w:t>deemed</w:t>
      </w:r>
      <w:r>
        <w:rPr>
          <w:spacing w:val="-9"/>
          <w:sz w:val="24"/>
        </w:rPr>
        <w:t> </w:t>
      </w:r>
      <w:r>
        <w:rPr>
          <w:sz w:val="24"/>
        </w:rPr>
        <w:t>to</w:t>
      </w:r>
      <w:r>
        <w:rPr>
          <w:spacing w:val="-7"/>
          <w:sz w:val="24"/>
        </w:rPr>
        <w:t> </w:t>
      </w:r>
      <w:r>
        <w:rPr>
          <w:sz w:val="24"/>
        </w:rPr>
        <w:t>be</w:t>
      </w:r>
      <w:r>
        <w:rPr>
          <w:spacing w:val="-9"/>
          <w:sz w:val="24"/>
        </w:rPr>
        <w:t> </w:t>
      </w:r>
      <w:r>
        <w:rPr>
          <w:sz w:val="24"/>
        </w:rPr>
        <w:t>so</w:t>
      </w:r>
      <w:r>
        <w:rPr>
          <w:spacing w:val="-9"/>
          <w:sz w:val="24"/>
        </w:rPr>
        <w:t> </w:t>
      </w:r>
      <w:r>
        <w:rPr>
          <w:sz w:val="24"/>
        </w:rPr>
        <w:t>entered</w:t>
      </w:r>
      <w:r>
        <w:rPr>
          <w:spacing w:val="-9"/>
          <w:sz w:val="24"/>
        </w:rPr>
        <w:t> </w:t>
      </w:r>
      <w:r>
        <w:rPr>
          <w:sz w:val="24"/>
        </w:rPr>
        <w:t>in</w:t>
      </w:r>
      <w:r>
        <w:rPr>
          <w:spacing w:val="-9"/>
          <w:sz w:val="24"/>
        </w:rPr>
        <w:t> </w:t>
      </w:r>
      <w:r>
        <w:rPr>
          <w:sz w:val="24"/>
        </w:rPr>
        <w:t>the</w:t>
      </w:r>
      <w:r>
        <w:rPr>
          <w:spacing w:val="-6"/>
          <w:sz w:val="24"/>
        </w:rPr>
        <w:t> </w:t>
      </w:r>
      <w:r>
        <w:rPr>
          <w:sz w:val="24"/>
        </w:rPr>
        <w:t>records</w:t>
      </w:r>
      <w:r>
        <w:rPr>
          <w:spacing w:val="-9"/>
          <w:sz w:val="24"/>
        </w:rPr>
        <w:t> </w:t>
      </w:r>
      <w:r>
        <w:rPr>
          <w:sz w:val="24"/>
        </w:rPr>
        <w:t>of</w:t>
      </w:r>
      <w:r>
        <w:rPr>
          <w:spacing w:val="-9"/>
          <w:sz w:val="24"/>
        </w:rPr>
        <w:t> </w:t>
      </w:r>
      <w:r>
        <w:rPr>
          <w:sz w:val="24"/>
        </w:rPr>
        <w:t>the co-operative housing society to be formed after getting allotment in the completed rehab building through Asst. Register of societies (SRA), including the share certificates or all other relevant documents.</w:t>
      </w:r>
    </w:p>
    <w:p>
      <w:pPr>
        <w:pStyle w:val="ListParagraph"/>
        <w:numPr>
          <w:ilvl w:val="0"/>
          <w:numId w:val="193"/>
        </w:numPr>
        <w:tabs>
          <w:tab w:pos="2378" w:val="left" w:leader="none"/>
        </w:tabs>
        <w:spacing w:line="240" w:lineRule="auto" w:before="240" w:after="0"/>
        <w:ind w:left="2062" w:right="766" w:firstLine="0"/>
        <w:jc w:val="both"/>
        <w:rPr>
          <w:sz w:val="24"/>
        </w:rPr>
      </w:pPr>
      <w:r>
        <w:rPr>
          <w:b/>
          <w:sz w:val="24"/>
        </w:rPr>
        <w:t>Denotification</w:t>
      </w:r>
      <w:r>
        <w:rPr>
          <w:b/>
          <w:spacing w:val="-19"/>
          <w:sz w:val="24"/>
        </w:rPr>
        <w:t> </w:t>
      </w:r>
      <w:r>
        <w:rPr>
          <w:b/>
          <w:sz w:val="24"/>
        </w:rPr>
        <w:t>as</w:t>
      </w:r>
      <w:r>
        <w:rPr>
          <w:b/>
          <w:spacing w:val="-21"/>
          <w:sz w:val="24"/>
        </w:rPr>
        <w:t> </w:t>
      </w:r>
      <w:r>
        <w:rPr>
          <w:b/>
          <w:sz w:val="24"/>
        </w:rPr>
        <w:t>DRP</w:t>
      </w:r>
      <w:r>
        <w:rPr>
          <w:b/>
          <w:spacing w:val="-18"/>
          <w:sz w:val="24"/>
        </w:rPr>
        <w:t> </w:t>
      </w:r>
      <w:r>
        <w:rPr>
          <w:b/>
          <w:sz w:val="24"/>
        </w:rPr>
        <w:t>Area</w:t>
      </w:r>
      <w:r>
        <w:rPr>
          <w:sz w:val="24"/>
        </w:rPr>
        <w:t>:</w:t>
      </w:r>
      <w:r>
        <w:rPr>
          <w:spacing w:val="-16"/>
          <w:sz w:val="24"/>
        </w:rPr>
        <w:t> </w:t>
      </w:r>
      <w:r>
        <w:rPr>
          <w:sz w:val="24"/>
        </w:rPr>
        <w:t>OSD,</w:t>
      </w:r>
      <w:r>
        <w:rPr>
          <w:spacing w:val="-16"/>
          <w:sz w:val="24"/>
        </w:rPr>
        <w:t> </w:t>
      </w:r>
      <w:r>
        <w:rPr>
          <w:sz w:val="24"/>
        </w:rPr>
        <w:t>DRP</w:t>
      </w:r>
      <w:r>
        <w:rPr>
          <w:spacing w:val="-16"/>
          <w:sz w:val="24"/>
        </w:rPr>
        <w:t> </w:t>
      </w:r>
      <w:r>
        <w:rPr>
          <w:sz w:val="24"/>
        </w:rPr>
        <w:t>(SRA)</w:t>
      </w:r>
      <w:r>
        <w:rPr>
          <w:spacing w:val="-16"/>
          <w:sz w:val="24"/>
        </w:rPr>
        <w:t> </w:t>
      </w:r>
      <w:r>
        <w:rPr>
          <w:sz w:val="24"/>
        </w:rPr>
        <w:t>on</w:t>
      </w:r>
      <w:r>
        <w:rPr>
          <w:spacing w:val="-16"/>
          <w:sz w:val="24"/>
        </w:rPr>
        <w:t> </w:t>
      </w:r>
      <w:r>
        <w:rPr>
          <w:sz w:val="24"/>
        </w:rPr>
        <w:t>being</w:t>
      </w:r>
      <w:r>
        <w:rPr>
          <w:spacing w:val="-16"/>
          <w:sz w:val="24"/>
        </w:rPr>
        <w:t> </w:t>
      </w:r>
      <w:r>
        <w:rPr>
          <w:sz w:val="24"/>
        </w:rPr>
        <w:t>satisfied</w:t>
      </w:r>
      <w:r>
        <w:rPr>
          <w:spacing w:val="-16"/>
          <w:sz w:val="24"/>
        </w:rPr>
        <w:t> </w:t>
      </w:r>
      <w:r>
        <w:rPr>
          <w:sz w:val="24"/>
        </w:rPr>
        <w:t>that it</w:t>
      </w:r>
      <w:r>
        <w:rPr>
          <w:spacing w:val="-20"/>
          <w:sz w:val="24"/>
        </w:rPr>
        <w:t> </w:t>
      </w:r>
      <w:r>
        <w:rPr>
          <w:sz w:val="24"/>
        </w:rPr>
        <w:t>is</w:t>
      </w:r>
      <w:r>
        <w:rPr>
          <w:spacing w:val="-19"/>
          <w:sz w:val="24"/>
        </w:rPr>
        <w:t> </w:t>
      </w:r>
      <w:r>
        <w:rPr>
          <w:sz w:val="24"/>
        </w:rPr>
        <w:t>necessary</w:t>
      </w:r>
      <w:r>
        <w:rPr>
          <w:spacing w:val="-19"/>
          <w:sz w:val="24"/>
        </w:rPr>
        <w:t> </w:t>
      </w:r>
      <w:r>
        <w:rPr>
          <w:sz w:val="24"/>
        </w:rPr>
        <w:t>so</w:t>
      </w:r>
      <w:r>
        <w:rPr>
          <w:spacing w:val="-19"/>
          <w:sz w:val="24"/>
        </w:rPr>
        <w:t> </w:t>
      </w:r>
      <w:r>
        <w:rPr>
          <w:sz w:val="24"/>
        </w:rPr>
        <w:t>to</w:t>
      </w:r>
      <w:r>
        <w:rPr>
          <w:spacing w:val="-19"/>
          <w:sz w:val="24"/>
        </w:rPr>
        <w:t> </w:t>
      </w:r>
      <w:r>
        <w:rPr>
          <w:sz w:val="24"/>
        </w:rPr>
        <w:t>do,</w:t>
      </w:r>
      <w:r>
        <w:rPr>
          <w:spacing w:val="-20"/>
          <w:sz w:val="24"/>
        </w:rPr>
        <w:t> </w:t>
      </w:r>
      <w:r>
        <w:rPr>
          <w:sz w:val="24"/>
        </w:rPr>
        <w:t>or</w:t>
      </w:r>
      <w:r>
        <w:rPr>
          <w:spacing w:val="-19"/>
          <w:sz w:val="24"/>
        </w:rPr>
        <w:t> </w:t>
      </w:r>
      <w:r>
        <w:rPr>
          <w:sz w:val="24"/>
        </w:rPr>
        <w:t>when</w:t>
      </w:r>
      <w:r>
        <w:rPr>
          <w:spacing w:val="-19"/>
          <w:sz w:val="24"/>
        </w:rPr>
        <w:t> </w:t>
      </w:r>
      <w:r>
        <w:rPr>
          <w:sz w:val="24"/>
        </w:rPr>
        <w:t>directed</w:t>
      </w:r>
      <w:r>
        <w:rPr>
          <w:spacing w:val="-19"/>
          <w:sz w:val="24"/>
        </w:rPr>
        <w:t> </w:t>
      </w:r>
      <w:r>
        <w:rPr>
          <w:sz w:val="24"/>
        </w:rPr>
        <w:t>by</w:t>
      </w:r>
      <w:r>
        <w:rPr>
          <w:spacing w:val="-19"/>
          <w:sz w:val="24"/>
        </w:rPr>
        <w:t> </w:t>
      </w:r>
      <w:r>
        <w:rPr>
          <w:sz w:val="24"/>
        </w:rPr>
        <w:t>the</w:t>
      </w:r>
      <w:r>
        <w:rPr>
          <w:spacing w:val="-20"/>
          <w:sz w:val="24"/>
        </w:rPr>
        <w:t> </w:t>
      </w:r>
      <w:r>
        <w:rPr>
          <w:sz w:val="24"/>
        </w:rPr>
        <w:t>state</w:t>
      </w:r>
      <w:r>
        <w:rPr>
          <w:spacing w:val="-19"/>
          <w:sz w:val="24"/>
        </w:rPr>
        <w:t> </w:t>
      </w:r>
      <w:r>
        <w:rPr>
          <w:sz w:val="24"/>
        </w:rPr>
        <w:t>GoM,</w:t>
      </w:r>
      <w:r>
        <w:rPr>
          <w:spacing w:val="-19"/>
          <w:sz w:val="24"/>
        </w:rPr>
        <w:t> </w:t>
      </w:r>
      <w:r>
        <w:rPr>
          <w:sz w:val="24"/>
        </w:rPr>
        <w:t>shall</w:t>
      </w:r>
      <w:r>
        <w:rPr>
          <w:spacing w:val="-19"/>
          <w:sz w:val="24"/>
        </w:rPr>
        <w:t> </w:t>
      </w:r>
      <w:r>
        <w:rPr>
          <w:sz w:val="24"/>
        </w:rPr>
        <w:t>denotify the DRP Area.</w:t>
      </w:r>
    </w:p>
    <w:p>
      <w:pPr>
        <w:pStyle w:val="Heading6"/>
        <w:numPr>
          <w:ilvl w:val="0"/>
          <w:numId w:val="195"/>
        </w:numPr>
        <w:tabs>
          <w:tab w:pos="2781" w:val="left" w:leader="none"/>
        </w:tabs>
        <w:spacing w:line="240" w:lineRule="auto" w:before="237" w:after="0"/>
        <w:ind w:left="2781" w:right="0" w:hanging="719"/>
        <w:jc w:val="both"/>
        <w:rPr>
          <w:i w:val="0"/>
        </w:rPr>
      </w:pPr>
      <w:r>
        <w:rPr/>
        <w:t>Applicability</w:t>
      </w:r>
      <w:r>
        <w:rPr>
          <w:spacing w:val="-3"/>
        </w:rPr>
        <w:t> </w:t>
      </w:r>
      <w:r>
        <w:rPr/>
        <w:t>of</w:t>
      </w:r>
      <w:r>
        <w:rPr>
          <w:spacing w:val="-2"/>
        </w:rPr>
        <w:t> </w:t>
      </w:r>
      <w:r>
        <w:rPr/>
        <w:t>the</w:t>
      </w:r>
      <w:r>
        <w:rPr>
          <w:spacing w:val="-2"/>
        </w:rPr>
        <w:t> </w:t>
      </w:r>
      <w:r>
        <w:rPr/>
        <w:t>provisions</w:t>
      </w:r>
      <w:r>
        <w:rPr>
          <w:spacing w:val="-3"/>
        </w:rPr>
        <w:t> </w:t>
      </w:r>
      <w:r>
        <w:rPr/>
        <w:t>of</w:t>
      </w:r>
      <w:r>
        <w:rPr>
          <w:spacing w:val="-2"/>
        </w:rPr>
        <w:t> </w:t>
      </w:r>
      <w:r>
        <w:rPr/>
        <w:t>this</w:t>
      </w:r>
      <w:r>
        <w:rPr>
          <w:spacing w:val="-2"/>
        </w:rPr>
        <w:t> appendix:</w:t>
      </w:r>
    </w:p>
    <w:p>
      <w:pPr>
        <w:pStyle w:val="BodyText"/>
        <w:spacing w:before="244"/>
        <w:ind w:left="2062" w:right="766"/>
      </w:pPr>
      <w:r>
        <w:rPr/>
        <w:t>The following provisions will apply for redevelopment/construction of accommodation</w:t>
      </w:r>
      <w:r>
        <w:rPr>
          <w:spacing w:val="-15"/>
        </w:rPr>
        <w:t> </w:t>
      </w:r>
      <w:r>
        <w:rPr/>
        <w:t>for</w:t>
      </w:r>
      <w:r>
        <w:rPr>
          <w:spacing w:val="-17"/>
        </w:rPr>
        <w:t> </w:t>
      </w:r>
      <w:r>
        <w:rPr/>
        <w:t>hutment/pavement</w:t>
      </w:r>
      <w:r>
        <w:rPr>
          <w:spacing w:val="-14"/>
        </w:rPr>
        <w:t> </w:t>
      </w:r>
      <w:r>
        <w:rPr/>
        <w:t>–dwellers</w:t>
      </w:r>
      <w:r>
        <w:rPr>
          <w:spacing w:val="-15"/>
        </w:rPr>
        <w:t> </w:t>
      </w:r>
      <w:r>
        <w:rPr/>
        <w:t>which</w:t>
      </w:r>
      <w:r>
        <w:rPr>
          <w:spacing w:val="-15"/>
        </w:rPr>
        <w:t> </w:t>
      </w:r>
      <w:r>
        <w:rPr/>
        <w:t>are</w:t>
      </w:r>
      <w:r>
        <w:rPr>
          <w:spacing w:val="-17"/>
        </w:rPr>
        <w:t> </w:t>
      </w:r>
      <w:r>
        <w:rPr/>
        <w:t>part</w:t>
      </w:r>
      <w:r>
        <w:rPr>
          <w:spacing w:val="-15"/>
        </w:rPr>
        <w:t> </w:t>
      </w:r>
      <w:r>
        <w:rPr/>
        <w:t>of</w:t>
      </w:r>
      <w:r>
        <w:rPr>
          <w:spacing w:val="-15"/>
        </w:rPr>
        <w:t> </w:t>
      </w:r>
      <w:r>
        <w:rPr/>
        <w:t>DRP undertaken by DRP (SRA) through the developer to be appointed by DRP(SRA) with the prior approval of the committee formed by the Housing Department Resolution no. Zopuyo 2003/CR-189/Zopsu-1 dt.4.2.2004 by following competitive bidding process for DRP (SRA) through the developer or through Public Authority or as decided by Government from time to time. This Regulation is not applicable to the properties which are not part of DRP.</w:t>
      </w:r>
    </w:p>
    <w:p>
      <w:pPr>
        <w:pStyle w:val="BodyText"/>
        <w:spacing w:before="239"/>
        <w:ind w:left="2062" w:right="770"/>
      </w:pPr>
      <w:r>
        <w:rPr/>
        <w:t>The properties which are not part of DRP as defined above shall be developed in accordance with Regulation No 30 only. The other provisions of DCR allowing higher FSI which are permitted under Regulation No 33 shall not be applicable to such properties which are not part of DRP.</w:t>
      </w:r>
    </w:p>
    <w:p>
      <w:pPr>
        <w:pStyle w:val="Heading5"/>
        <w:spacing w:before="240"/>
        <w:ind w:left="2062"/>
        <w:jc w:val="both"/>
      </w:pPr>
      <w:r>
        <w:rPr/>
        <w:t>Right</w:t>
      </w:r>
      <w:r>
        <w:rPr>
          <w:spacing w:val="-1"/>
        </w:rPr>
        <w:t> </w:t>
      </w:r>
      <w:r>
        <w:rPr/>
        <w:t>of the Hutment</w:t>
      </w:r>
      <w:r>
        <w:rPr>
          <w:spacing w:val="40"/>
        </w:rPr>
        <w:t>  </w:t>
      </w:r>
      <w:r>
        <w:rPr>
          <w:spacing w:val="-2"/>
        </w:rPr>
        <w:t>Dwellers:</w:t>
      </w:r>
    </w:p>
    <w:p>
      <w:pPr>
        <w:pStyle w:val="ListParagraph"/>
        <w:numPr>
          <w:ilvl w:val="1"/>
          <w:numId w:val="195"/>
        </w:numPr>
        <w:tabs>
          <w:tab w:pos="2779" w:val="left" w:leader="none"/>
        </w:tabs>
        <w:spacing w:line="240" w:lineRule="auto" w:before="239" w:after="0"/>
        <w:ind w:left="2062" w:right="768" w:firstLine="0"/>
        <w:jc w:val="both"/>
        <w:rPr>
          <w:sz w:val="24"/>
        </w:rPr>
      </w:pPr>
      <w:r>
        <w:rPr>
          <w:sz w:val="24"/>
        </w:rPr>
        <w:t>Hutment-dwellers having existing carpet areas upto 27.88 sq. m (300</w:t>
      </w:r>
      <w:r>
        <w:rPr>
          <w:spacing w:val="-10"/>
          <w:sz w:val="24"/>
        </w:rPr>
        <w:t> </w:t>
      </w:r>
      <w:r>
        <w:rPr>
          <w:sz w:val="24"/>
        </w:rPr>
        <w:t>sq.</w:t>
      </w:r>
      <w:r>
        <w:rPr>
          <w:spacing w:val="-10"/>
          <w:sz w:val="24"/>
        </w:rPr>
        <w:t> </w:t>
      </w:r>
      <w:r>
        <w:rPr>
          <w:sz w:val="24"/>
        </w:rPr>
        <w:t>ft.),</w:t>
      </w:r>
      <w:r>
        <w:rPr>
          <w:spacing w:val="-10"/>
          <w:sz w:val="24"/>
        </w:rPr>
        <w:t> </w:t>
      </w:r>
      <w:r>
        <w:rPr>
          <w:sz w:val="24"/>
        </w:rPr>
        <w:t>in</w:t>
      </w:r>
      <w:r>
        <w:rPr>
          <w:spacing w:val="-10"/>
          <w:sz w:val="24"/>
        </w:rPr>
        <w:t> </w:t>
      </w:r>
      <w:r>
        <w:rPr>
          <w:sz w:val="24"/>
        </w:rPr>
        <w:t>the</w:t>
      </w:r>
      <w:r>
        <w:rPr>
          <w:spacing w:val="-10"/>
          <w:sz w:val="24"/>
        </w:rPr>
        <w:t> </w:t>
      </w:r>
      <w:r>
        <w:rPr>
          <w:sz w:val="24"/>
        </w:rPr>
        <w:t>slum</w:t>
      </w:r>
      <w:r>
        <w:rPr>
          <w:spacing w:val="-10"/>
          <w:sz w:val="24"/>
        </w:rPr>
        <w:t> </w:t>
      </w:r>
      <w:r>
        <w:rPr>
          <w:sz w:val="24"/>
        </w:rPr>
        <w:t>or</w:t>
      </w:r>
      <w:r>
        <w:rPr>
          <w:spacing w:val="-10"/>
          <w:sz w:val="24"/>
        </w:rPr>
        <w:t> </w:t>
      </w:r>
      <w:r>
        <w:rPr>
          <w:sz w:val="24"/>
        </w:rPr>
        <w:t>on</w:t>
      </w:r>
      <w:r>
        <w:rPr>
          <w:spacing w:val="-10"/>
          <w:sz w:val="24"/>
        </w:rPr>
        <w:t> </w:t>
      </w:r>
      <w:r>
        <w:rPr>
          <w:sz w:val="24"/>
        </w:rPr>
        <w:t>the</w:t>
      </w:r>
      <w:r>
        <w:rPr>
          <w:spacing w:val="-10"/>
          <w:sz w:val="24"/>
        </w:rPr>
        <w:t> </w:t>
      </w:r>
      <w:r>
        <w:rPr>
          <w:sz w:val="24"/>
        </w:rPr>
        <w:t>pavement,</w:t>
      </w:r>
      <w:r>
        <w:rPr>
          <w:spacing w:val="-10"/>
          <w:sz w:val="24"/>
        </w:rPr>
        <w:t> </w:t>
      </w:r>
      <w:r>
        <w:rPr>
          <w:sz w:val="24"/>
        </w:rPr>
        <w:t>eligible</w:t>
      </w:r>
      <w:r>
        <w:rPr>
          <w:spacing w:val="-10"/>
          <w:sz w:val="24"/>
        </w:rPr>
        <w:t> </w:t>
      </w:r>
      <w:r>
        <w:rPr>
          <w:sz w:val="24"/>
        </w:rPr>
        <w:t>in</w:t>
      </w:r>
      <w:r>
        <w:rPr>
          <w:spacing w:val="-10"/>
          <w:sz w:val="24"/>
        </w:rPr>
        <w:t> </w:t>
      </w:r>
      <w:r>
        <w:rPr>
          <w:sz w:val="24"/>
        </w:rPr>
        <w:t>accordance</w:t>
      </w:r>
      <w:r>
        <w:rPr>
          <w:spacing w:val="-10"/>
          <w:sz w:val="24"/>
        </w:rPr>
        <w:t> </w:t>
      </w:r>
      <w:r>
        <w:rPr>
          <w:sz w:val="24"/>
        </w:rPr>
        <w:t>with the provisions of DCR 33(10) (A) shall in exchange for their </w:t>
      </w:r>
      <w:r>
        <w:rPr>
          <w:sz w:val="24"/>
        </w:rPr>
        <w:t>structure, be</w:t>
      </w:r>
      <w:r>
        <w:rPr>
          <w:spacing w:val="-11"/>
          <w:sz w:val="24"/>
        </w:rPr>
        <w:t> </w:t>
      </w:r>
      <w:r>
        <w:rPr>
          <w:sz w:val="24"/>
        </w:rPr>
        <w:t>given</w:t>
      </w:r>
      <w:r>
        <w:rPr>
          <w:spacing w:val="-11"/>
          <w:sz w:val="24"/>
        </w:rPr>
        <w:t> </w:t>
      </w:r>
      <w:r>
        <w:rPr>
          <w:sz w:val="24"/>
        </w:rPr>
        <w:t>free</w:t>
      </w:r>
      <w:r>
        <w:rPr>
          <w:spacing w:val="-11"/>
          <w:sz w:val="24"/>
        </w:rPr>
        <w:t> </w:t>
      </w:r>
      <w:r>
        <w:rPr>
          <w:sz w:val="24"/>
        </w:rPr>
        <w:t>of</w:t>
      </w:r>
      <w:r>
        <w:rPr>
          <w:spacing w:val="-11"/>
          <w:sz w:val="24"/>
        </w:rPr>
        <w:t> </w:t>
      </w:r>
      <w:r>
        <w:rPr>
          <w:sz w:val="24"/>
        </w:rPr>
        <w:t>cost</w:t>
      </w:r>
      <w:r>
        <w:rPr>
          <w:spacing w:val="-15"/>
          <w:sz w:val="24"/>
        </w:rPr>
        <w:t> </w:t>
      </w:r>
      <w:r>
        <w:rPr>
          <w:sz w:val="24"/>
        </w:rPr>
        <w:t>a</w:t>
      </w:r>
      <w:r>
        <w:rPr>
          <w:spacing w:val="-11"/>
          <w:sz w:val="24"/>
        </w:rPr>
        <w:t> </w:t>
      </w:r>
      <w:r>
        <w:rPr>
          <w:sz w:val="24"/>
        </w:rPr>
        <w:t>residential</w:t>
      </w:r>
      <w:r>
        <w:rPr>
          <w:spacing w:val="-11"/>
          <w:sz w:val="24"/>
        </w:rPr>
        <w:t> </w:t>
      </w:r>
      <w:r>
        <w:rPr>
          <w:sz w:val="24"/>
        </w:rPr>
        <w:t>tenement</w:t>
      </w:r>
      <w:r>
        <w:rPr>
          <w:spacing w:val="-11"/>
          <w:sz w:val="24"/>
        </w:rPr>
        <w:t> </w:t>
      </w:r>
      <w:r>
        <w:rPr>
          <w:sz w:val="24"/>
        </w:rPr>
        <w:t>having</w:t>
      </w:r>
      <w:r>
        <w:rPr>
          <w:spacing w:val="-11"/>
          <w:sz w:val="24"/>
        </w:rPr>
        <w:t> </w:t>
      </w:r>
      <w:r>
        <w:rPr>
          <w:sz w:val="24"/>
        </w:rPr>
        <w:t>a</w:t>
      </w:r>
      <w:r>
        <w:rPr>
          <w:spacing w:val="-11"/>
          <w:sz w:val="24"/>
        </w:rPr>
        <w:t> </w:t>
      </w:r>
      <w:r>
        <w:rPr>
          <w:sz w:val="24"/>
        </w:rPr>
        <w:t>carpet</w:t>
      </w:r>
      <w:r>
        <w:rPr>
          <w:spacing w:val="-11"/>
          <w:sz w:val="24"/>
        </w:rPr>
        <w:t> </w:t>
      </w:r>
      <w:r>
        <w:rPr>
          <w:sz w:val="24"/>
        </w:rPr>
        <w:t>area</w:t>
      </w:r>
      <w:r>
        <w:rPr>
          <w:spacing w:val="-11"/>
          <w:sz w:val="24"/>
        </w:rPr>
        <w:t> </w:t>
      </w:r>
      <w:r>
        <w:rPr>
          <w:sz w:val="24"/>
        </w:rPr>
        <w:t>totaling to 27.88 sq. m (300 sq. ft.) with a separate living room, kitchen, bedroom, bath and water closet, but excluding common areas. Carpet area shall mean exclusive of all areas under walls including partition walls if any in the tenement.</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1"/>
          <w:numId w:val="195"/>
        </w:numPr>
        <w:tabs>
          <w:tab w:pos="2779" w:val="left" w:leader="none"/>
        </w:tabs>
        <w:spacing w:line="240" w:lineRule="auto" w:before="249" w:after="0"/>
        <w:ind w:left="2062" w:right="768" w:firstLine="0"/>
        <w:jc w:val="both"/>
        <w:rPr>
          <w:sz w:val="24"/>
        </w:rPr>
      </w:pPr>
      <w:r>
        <w:rPr>
          <w:sz w:val="24"/>
        </w:rPr>
        <w:t>For</w:t>
      </w:r>
      <w:r>
        <w:rPr>
          <w:spacing w:val="-15"/>
          <w:sz w:val="24"/>
        </w:rPr>
        <w:t> </w:t>
      </w:r>
      <w:r>
        <w:rPr>
          <w:sz w:val="24"/>
        </w:rPr>
        <w:t>those</w:t>
      </w:r>
      <w:r>
        <w:rPr>
          <w:spacing w:val="-15"/>
          <w:sz w:val="24"/>
        </w:rPr>
        <w:t> </w:t>
      </w:r>
      <w:r>
        <w:rPr>
          <w:sz w:val="24"/>
        </w:rPr>
        <w:t>structures</w:t>
      </w:r>
      <w:r>
        <w:rPr>
          <w:spacing w:val="-15"/>
          <w:sz w:val="24"/>
        </w:rPr>
        <w:t> </w:t>
      </w:r>
      <w:r>
        <w:rPr>
          <w:sz w:val="24"/>
        </w:rPr>
        <w:t>having</w:t>
      </w:r>
      <w:r>
        <w:rPr>
          <w:spacing w:val="-15"/>
          <w:sz w:val="24"/>
        </w:rPr>
        <w:t> </w:t>
      </w:r>
      <w:r>
        <w:rPr>
          <w:sz w:val="24"/>
        </w:rPr>
        <w:t>residential</w:t>
      </w:r>
      <w:r>
        <w:rPr>
          <w:spacing w:val="-15"/>
          <w:sz w:val="24"/>
        </w:rPr>
        <w:t> </w:t>
      </w:r>
      <w:r>
        <w:rPr>
          <w:sz w:val="24"/>
        </w:rPr>
        <w:t>areas</w:t>
      </w:r>
      <w:r>
        <w:rPr>
          <w:spacing w:val="-15"/>
          <w:sz w:val="24"/>
        </w:rPr>
        <w:t> </w:t>
      </w:r>
      <w:r>
        <w:rPr>
          <w:sz w:val="24"/>
        </w:rPr>
        <w:t>more</w:t>
      </w:r>
      <w:r>
        <w:rPr>
          <w:spacing w:val="-15"/>
          <w:sz w:val="24"/>
        </w:rPr>
        <w:t> </w:t>
      </w:r>
      <w:r>
        <w:rPr>
          <w:sz w:val="24"/>
        </w:rPr>
        <w:t>than</w:t>
      </w:r>
      <w:r>
        <w:rPr>
          <w:spacing w:val="-15"/>
          <w:sz w:val="24"/>
        </w:rPr>
        <w:t> </w:t>
      </w:r>
      <w:r>
        <w:rPr>
          <w:sz w:val="24"/>
        </w:rPr>
        <w:t>27.88</w:t>
      </w:r>
      <w:r>
        <w:rPr>
          <w:spacing w:val="-15"/>
          <w:sz w:val="24"/>
        </w:rPr>
        <w:t> </w:t>
      </w:r>
      <w:r>
        <w:rPr>
          <w:sz w:val="24"/>
        </w:rPr>
        <w:t>sq. m</w:t>
      </w:r>
      <w:r>
        <w:rPr>
          <w:spacing w:val="-15"/>
          <w:sz w:val="24"/>
        </w:rPr>
        <w:t> </w:t>
      </w:r>
      <w:r>
        <w:rPr>
          <w:sz w:val="24"/>
        </w:rPr>
        <w:t>(300</w:t>
      </w:r>
      <w:r>
        <w:rPr>
          <w:spacing w:val="-15"/>
          <w:sz w:val="24"/>
        </w:rPr>
        <w:t> </w:t>
      </w:r>
      <w:r>
        <w:rPr>
          <w:sz w:val="24"/>
        </w:rPr>
        <w:t>sq.</w:t>
      </w:r>
      <w:r>
        <w:rPr>
          <w:spacing w:val="-15"/>
          <w:sz w:val="24"/>
        </w:rPr>
        <w:t> </w:t>
      </w:r>
      <w:r>
        <w:rPr>
          <w:sz w:val="24"/>
        </w:rPr>
        <w:t>ft.)</w:t>
      </w:r>
      <w:r>
        <w:rPr>
          <w:spacing w:val="-15"/>
          <w:sz w:val="24"/>
        </w:rPr>
        <w:t> </w:t>
      </w:r>
      <w:r>
        <w:rPr>
          <w:sz w:val="24"/>
        </w:rPr>
        <w:t>will</w:t>
      </w:r>
      <w:r>
        <w:rPr>
          <w:spacing w:val="-15"/>
          <w:sz w:val="24"/>
        </w:rPr>
        <w:t> </w:t>
      </w:r>
      <w:r>
        <w:rPr>
          <w:sz w:val="24"/>
        </w:rPr>
        <w:t>be</w:t>
      </w:r>
      <w:r>
        <w:rPr>
          <w:spacing w:val="-13"/>
          <w:sz w:val="24"/>
        </w:rPr>
        <w:t> </w:t>
      </w:r>
      <w:r>
        <w:rPr>
          <w:sz w:val="24"/>
        </w:rPr>
        <w:t>eligible</w:t>
      </w:r>
      <w:r>
        <w:rPr>
          <w:spacing w:val="-15"/>
          <w:sz w:val="24"/>
        </w:rPr>
        <w:t> </w:t>
      </w:r>
      <w:r>
        <w:rPr>
          <w:sz w:val="24"/>
        </w:rPr>
        <w:t>for</w:t>
      </w:r>
      <w:r>
        <w:rPr>
          <w:spacing w:val="-15"/>
          <w:sz w:val="24"/>
        </w:rPr>
        <w:t> </w:t>
      </w:r>
      <w:r>
        <w:rPr>
          <w:sz w:val="24"/>
        </w:rPr>
        <w:t>residential</w:t>
      </w:r>
      <w:r>
        <w:rPr>
          <w:spacing w:val="-15"/>
          <w:sz w:val="24"/>
        </w:rPr>
        <w:t> </w:t>
      </w:r>
      <w:r>
        <w:rPr>
          <w:sz w:val="24"/>
        </w:rPr>
        <w:t>tenement</w:t>
      </w:r>
      <w:r>
        <w:rPr>
          <w:spacing w:val="-15"/>
          <w:sz w:val="24"/>
        </w:rPr>
        <w:t> </w:t>
      </w:r>
      <w:r>
        <w:rPr>
          <w:sz w:val="24"/>
        </w:rPr>
        <w:t>having</w:t>
      </w:r>
      <w:r>
        <w:rPr>
          <w:spacing w:val="-15"/>
          <w:sz w:val="24"/>
        </w:rPr>
        <w:t> </w:t>
      </w:r>
      <w:r>
        <w:rPr>
          <w:sz w:val="24"/>
        </w:rPr>
        <w:t>carpet</w:t>
      </w:r>
      <w:r>
        <w:rPr>
          <w:spacing w:val="-15"/>
          <w:sz w:val="24"/>
        </w:rPr>
        <w:t> </w:t>
      </w:r>
      <w:r>
        <w:rPr>
          <w:sz w:val="24"/>
        </w:rPr>
        <w:t>area totaling to 37.16 sq. m (400 sq. ft.). Out of this total 37.16 sq. m area,</w:t>
      </w:r>
    </w:p>
    <w:p>
      <w:pPr>
        <w:pStyle w:val="BodyText"/>
        <w:spacing w:before="2"/>
        <w:ind w:left="2062" w:right="768"/>
      </w:pPr>
      <w:r>
        <w:rPr/>
        <w:t>27.88 sq. m (300 sq. ft.) area will be free of cost and area above 27.88 sq. m (300 sq. ft.) admeasuring 9.29 sq. m (100 sq. ft.) will be at construction</w:t>
      </w:r>
      <w:r>
        <w:rPr>
          <w:spacing w:val="-19"/>
        </w:rPr>
        <w:t> </w:t>
      </w:r>
      <w:r>
        <w:rPr/>
        <w:t>cost</w:t>
      </w:r>
      <w:r>
        <w:rPr>
          <w:spacing w:val="-18"/>
        </w:rPr>
        <w:t> </w:t>
      </w:r>
      <w:r>
        <w:rPr/>
        <w:t>to</w:t>
      </w:r>
      <w:r>
        <w:rPr>
          <w:spacing w:val="-20"/>
        </w:rPr>
        <w:t> </w:t>
      </w:r>
      <w:r>
        <w:rPr/>
        <w:t>be</w:t>
      </w:r>
      <w:r>
        <w:rPr>
          <w:spacing w:val="-17"/>
        </w:rPr>
        <w:t> </w:t>
      </w:r>
      <w:r>
        <w:rPr/>
        <w:t>determined</w:t>
      </w:r>
      <w:r>
        <w:rPr>
          <w:spacing w:val="-18"/>
        </w:rPr>
        <w:t> </w:t>
      </w:r>
      <w:r>
        <w:rPr/>
        <w:t>by</w:t>
      </w:r>
      <w:r>
        <w:rPr>
          <w:spacing w:val="-18"/>
        </w:rPr>
        <w:t> </w:t>
      </w:r>
      <w:r>
        <w:rPr/>
        <w:t>OSD,</w:t>
      </w:r>
      <w:r>
        <w:rPr>
          <w:spacing w:val="-18"/>
        </w:rPr>
        <w:t> </w:t>
      </w:r>
      <w:r>
        <w:rPr/>
        <w:t>DRP</w:t>
      </w:r>
      <w:r>
        <w:rPr>
          <w:spacing w:val="-18"/>
        </w:rPr>
        <w:t> </w:t>
      </w:r>
      <w:r>
        <w:rPr/>
        <w:t>(SRA)</w:t>
      </w:r>
      <w:r>
        <w:rPr>
          <w:spacing w:val="-18"/>
        </w:rPr>
        <w:t> </w:t>
      </w:r>
      <w:r>
        <w:rPr/>
        <w:t>and</w:t>
      </w:r>
      <w:r>
        <w:rPr>
          <w:spacing w:val="-18"/>
        </w:rPr>
        <w:t> </w:t>
      </w:r>
      <w:r>
        <w:rPr/>
        <w:t>the</w:t>
      </w:r>
      <w:r>
        <w:rPr>
          <w:spacing w:val="-18"/>
        </w:rPr>
        <w:t> </w:t>
      </w:r>
      <w:r>
        <w:rPr/>
        <w:t>said</w:t>
      </w:r>
      <w:r>
        <w:rPr>
          <w:spacing w:val="-18"/>
        </w:rPr>
        <w:t> </w:t>
      </w:r>
      <w:r>
        <w:rPr/>
        <w:t>cost to be paid by the hutment dweller to the developer. Carpet area shall mean exclusive of all areas under walls including partition walls if any in</w:t>
      </w:r>
      <w:r>
        <w:rPr>
          <w:spacing w:val="-14"/>
        </w:rPr>
        <w:t> </w:t>
      </w:r>
      <w:r>
        <w:rPr/>
        <w:t>the</w:t>
      </w:r>
      <w:r>
        <w:rPr>
          <w:spacing w:val="-14"/>
        </w:rPr>
        <w:t> </w:t>
      </w:r>
      <w:r>
        <w:rPr/>
        <w:t>tenement.</w:t>
      </w:r>
      <w:r>
        <w:rPr>
          <w:spacing w:val="-14"/>
        </w:rPr>
        <w:t> </w:t>
      </w:r>
      <w:r>
        <w:rPr/>
        <w:t>Only</w:t>
      </w:r>
      <w:r>
        <w:rPr>
          <w:spacing w:val="-14"/>
        </w:rPr>
        <w:t> </w:t>
      </w:r>
      <w:r>
        <w:rPr/>
        <w:t>37.16</w:t>
      </w:r>
      <w:r>
        <w:rPr>
          <w:spacing w:val="-14"/>
        </w:rPr>
        <w:t> </w:t>
      </w:r>
      <w:r>
        <w:rPr/>
        <w:t>sq.</w:t>
      </w:r>
      <w:r>
        <w:rPr>
          <w:spacing w:val="-14"/>
        </w:rPr>
        <w:t> </w:t>
      </w:r>
      <w:r>
        <w:rPr/>
        <w:t>m</w:t>
      </w:r>
      <w:r>
        <w:rPr>
          <w:spacing w:val="-14"/>
        </w:rPr>
        <w:t> </w:t>
      </w:r>
      <w:r>
        <w:rPr/>
        <w:t>(400</w:t>
      </w:r>
      <w:r>
        <w:rPr>
          <w:spacing w:val="-14"/>
        </w:rPr>
        <w:t> </w:t>
      </w:r>
      <w:r>
        <w:rPr/>
        <w:t>sq.</w:t>
      </w:r>
      <w:r>
        <w:rPr>
          <w:spacing w:val="-14"/>
        </w:rPr>
        <w:t> </w:t>
      </w:r>
      <w:r>
        <w:rPr/>
        <w:t>ft.)</w:t>
      </w:r>
      <w:r>
        <w:rPr>
          <w:spacing w:val="-14"/>
        </w:rPr>
        <w:t> </w:t>
      </w:r>
      <w:r>
        <w:rPr/>
        <w:t>carpet</w:t>
      </w:r>
      <w:r>
        <w:rPr>
          <w:spacing w:val="-14"/>
        </w:rPr>
        <w:t> </w:t>
      </w:r>
      <w:r>
        <w:rPr/>
        <w:t>area</w:t>
      </w:r>
      <w:r>
        <w:rPr>
          <w:spacing w:val="-14"/>
        </w:rPr>
        <w:t> </w:t>
      </w:r>
      <w:r>
        <w:rPr/>
        <w:t>shall</w:t>
      </w:r>
      <w:r>
        <w:rPr>
          <w:spacing w:val="-14"/>
        </w:rPr>
        <w:t> </w:t>
      </w:r>
      <w:r>
        <w:rPr/>
        <w:t>be</w:t>
      </w:r>
      <w:r>
        <w:rPr>
          <w:spacing w:val="-14"/>
        </w:rPr>
        <w:t> </w:t>
      </w:r>
      <w:r>
        <w:rPr/>
        <w:t>given and if proposal contains more area, it shall not be taken up for </w:t>
      </w:r>
      <w:r>
        <w:rPr>
          <w:spacing w:val="-2"/>
        </w:rPr>
        <w:t>consideration.</w:t>
      </w:r>
    </w:p>
    <w:p>
      <w:pPr>
        <w:pStyle w:val="BodyText"/>
        <w:spacing w:before="240"/>
        <w:ind w:left="2062" w:right="769"/>
      </w:pPr>
      <w:r>
        <w:rPr/>
        <w:t>For the purpose of, "Carpet area" as per 1.1 &amp;1.2 above means the </w:t>
      </w:r>
      <w:r>
        <w:rPr/>
        <w:t>net usable</w:t>
      </w:r>
      <w:r>
        <w:rPr>
          <w:spacing w:val="-5"/>
        </w:rPr>
        <w:t> </w:t>
      </w:r>
      <w:r>
        <w:rPr/>
        <w:t>floor</w:t>
      </w:r>
      <w:r>
        <w:rPr>
          <w:spacing w:val="-5"/>
        </w:rPr>
        <w:t> </w:t>
      </w:r>
      <w:r>
        <w:rPr/>
        <w:t>area</w:t>
      </w:r>
      <w:r>
        <w:rPr>
          <w:spacing w:val="-5"/>
        </w:rPr>
        <w:t> </w:t>
      </w:r>
      <w:r>
        <w:rPr/>
        <w:t>within</w:t>
      </w:r>
      <w:r>
        <w:rPr>
          <w:spacing w:val="-5"/>
        </w:rPr>
        <w:t> </w:t>
      </w:r>
      <w:r>
        <w:rPr/>
        <w:t>a</w:t>
      </w:r>
      <w:r>
        <w:rPr>
          <w:spacing w:val="-5"/>
        </w:rPr>
        <w:t> </w:t>
      </w:r>
      <w:r>
        <w:rPr/>
        <w:t>tenement</w:t>
      </w:r>
      <w:r>
        <w:rPr>
          <w:spacing w:val="-5"/>
        </w:rPr>
        <w:t> </w:t>
      </w:r>
      <w:r>
        <w:rPr/>
        <w:t>excluding</w:t>
      </w:r>
      <w:r>
        <w:rPr>
          <w:spacing w:val="-5"/>
        </w:rPr>
        <w:t> </w:t>
      </w:r>
      <w:r>
        <w:rPr/>
        <w:t>that</w:t>
      </w:r>
      <w:r>
        <w:rPr>
          <w:spacing w:val="-5"/>
        </w:rPr>
        <w:t> </w:t>
      </w:r>
      <w:r>
        <w:rPr/>
        <w:t>covered</w:t>
      </w:r>
      <w:r>
        <w:rPr>
          <w:spacing w:val="-5"/>
        </w:rPr>
        <w:t> </w:t>
      </w:r>
      <w:r>
        <w:rPr/>
        <w:t>by</w:t>
      </w:r>
      <w:r>
        <w:rPr>
          <w:spacing w:val="-5"/>
        </w:rPr>
        <w:t> </w:t>
      </w:r>
      <w:r>
        <w:rPr/>
        <w:t>the</w:t>
      </w:r>
      <w:r>
        <w:rPr>
          <w:spacing w:val="-5"/>
        </w:rPr>
        <w:t> </w:t>
      </w:r>
      <w:r>
        <w:rPr/>
        <w:t>walls or any other areas specifically exempted from floor space index computation</w:t>
      </w:r>
      <w:r>
        <w:rPr>
          <w:spacing w:val="-2"/>
        </w:rPr>
        <w:t> </w:t>
      </w:r>
      <w:r>
        <w:rPr/>
        <w:t>as</w:t>
      </w:r>
      <w:r>
        <w:rPr>
          <w:spacing w:val="-2"/>
        </w:rPr>
        <w:t> </w:t>
      </w:r>
      <w:r>
        <w:rPr/>
        <w:t>per</w:t>
      </w:r>
      <w:r>
        <w:rPr>
          <w:spacing w:val="-2"/>
        </w:rPr>
        <w:t> </w:t>
      </w:r>
      <w:r>
        <w:rPr/>
        <w:t>then/prevailing</w:t>
      </w:r>
      <w:r>
        <w:rPr>
          <w:spacing w:val="-2"/>
        </w:rPr>
        <w:t> </w:t>
      </w:r>
      <w:r>
        <w:rPr/>
        <w:t>Regulation</w:t>
      </w:r>
      <w:r>
        <w:rPr>
          <w:spacing w:val="-2"/>
        </w:rPr>
        <w:t> </w:t>
      </w:r>
      <w:r>
        <w:rPr/>
        <w:t>but</w:t>
      </w:r>
      <w:r>
        <w:rPr>
          <w:spacing w:val="-2"/>
        </w:rPr>
        <w:t> </w:t>
      </w:r>
      <w:r>
        <w:rPr/>
        <w:t>including</w:t>
      </w:r>
      <w:r>
        <w:rPr>
          <w:spacing w:val="-2"/>
        </w:rPr>
        <w:t> </w:t>
      </w:r>
      <w:r>
        <w:rPr/>
        <w:t>the</w:t>
      </w:r>
      <w:r>
        <w:rPr>
          <w:spacing w:val="-2"/>
        </w:rPr>
        <w:t> </w:t>
      </w:r>
      <w:r>
        <w:rPr/>
        <w:t>areas of balcony if allowed free of FSI as per then Regulation</w:t>
      </w:r>
    </w:p>
    <w:p>
      <w:pPr>
        <w:pStyle w:val="ListParagraph"/>
        <w:numPr>
          <w:ilvl w:val="1"/>
          <w:numId w:val="195"/>
        </w:numPr>
        <w:tabs>
          <w:tab w:pos="2779" w:val="left" w:leader="none"/>
        </w:tabs>
        <w:spacing w:line="240" w:lineRule="auto" w:before="241" w:after="0"/>
        <w:ind w:left="2062" w:right="769" w:firstLine="0"/>
        <w:jc w:val="both"/>
        <w:rPr>
          <w:sz w:val="24"/>
        </w:rPr>
      </w:pPr>
      <w:r>
        <w:rPr>
          <w:sz w:val="24"/>
        </w:rPr>
        <w:t>All</w:t>
      </w:r>
      <w:r>
        <w:rPr>
          <w:spacing w:val="-3"/>
          <w:sz w:val="24"/>
        </w:rPr>
        <w:t> </w:t>
      </w:r>
      <w:r>
        <w:rPr>
          <w:sz w:val="24"/>
        </w:rPr>
        <w:t>eligible</w:t>
      </w:r>
      <w:r>
        <w:rPr>
          <w:spacing w:val="-3"/>
          <w:sz w:val="24"/>
        </w:rPr>
        <w:t> </w:t>
      </w:r>
      <w:r>
        <w:rPr>
          <w:sz w:val="24"/>
        </w:rPr>
        <w:t>hutment</w:t>
      </w:r>
      <w:r>
        <w:rPr>
          <w:spacing w:val="-1"/>
          <w:sz w:val="24"/>
        </w:rPr>
        <w:t> </w:t>
      </w:r>
      <w:r>
        <w:rPr>
          <w:sz w:val="24"/>
        </w:rPr>
        <w:t>dwellers</w:t>
      </w:r>
      <w:r>
        <w:rPr>
          <w:spacing w:val="-3"/>
          <w:sz w:val="24"/>
        </w:rPr>
        <w:t> </w:t>
      </w:r>
      <w:r>
        <w:rPr>
          <w:sz w:val="24"/>
        </w:rPr>
        <w:t>taking</w:t>
      </w:r>
      <w:r>
        <w:rPr>
          <w:spacing w:val="-3"/>
          <w:sz w:val="24"/>
        </w:rPr>
        <w:t> </w:t>
      </w:r>
      <w:r>
        <w:rPr>
          <w:sz w:val="24"/>
        </w:rPr>
        <w:t>part</w:t>
      </w:r>
      <w:r>
        <w:rPr>
          <w:spacing w:val="-1"/>
          <w:sz w:val="24"/>
        </w:rPr>
        <w:t> </w:t>
      </w:r>
      <w:r>
        <w:rPr>
          <w:sz w:val="24"/>
        </w:rPr>
        <w:t>in</w:t>
      </w:r>
      <w:r>
        <w:rPr>
          <w:spacing w:val="-3"/>
          <w:sz w:val="24"/>
        </w:rPr>
        <w:t> </w:t>
      </w:r>
      <w:r>
        <w:rPr>
          <w:sz w:val="24"/>
        </w:rPr>
        <w:t>the</w:t>
      </w:r>
      <w:r>
        <w:rPr>
          <w:spacing w:val="-3"/>
          <w:sz w:val="24"/>
        </w:rPr>
        <w:t> </w:t>
      </w:r>
      <w:r>
        <w:rPr>
          <w:sz w:val="24"/>
        </w:rPr>
        <w:t>DRP</w:t>
      </w:r>
      <w:r>
        <w:rPr>
          <w:spacing w:val="-3"/>
          <w:sz w:val="24"/>
        </w:rPr>
        <w:t> </w:t>
      </w:r>
      <w:r>
        <w:rPr>
          <w:sz w:val="24"/>
        </w:rPr>
        <w:t>shall</w:t>
      </w:r>
      <w:r>
        <w:rPr>
          <w:spacing w:val="-1"/>
          <w:sz w:val="24"/>
        </w:rPr>
        <w:t> </w:t>
      </w:r>
      <w:r>
        <w:rPr>
          <w:sz w:val="24"/>
        </w:rPr>
        <w:t>have</w:t>
      </w:r>
      <w:r>
        <w:rPr>
          <w:spacing w:val="-3"/>
          <w:sz w:val="24"/>
        </w:rPr>
        <w:t> </w:t>
      </w:r>
      <w:r>
        <w:rPr>
          <w:sz w:val="24"/>
        </w:rPr>
        <w:t>to be rehabilitated according to the provisions in this Regulation. It may be in the same sector or other sectors within the jurisdiction of DRP.</w:t>
      </w:r>
    </w:p>
    <w:p>
      <w:pPr>
        <w:pStyle w:val="ListParagraph"/>
        <w:numPr>
          <w:ilvl w:val="1"/>
          <w:numId w:val="195"/>
        </w:numPr>
        <w:tabs>
          <w:tab w:pos="2855" w:val="left" w:leader="none"/>
        </w:tabs>
        <w:spacing w:line="240" w:lineRule="auto" w:before="239" w:after="0"/>
        <w:ind w:left="2062" w:right="766" w:firstLine="0"/>
        <w:jc w:val="both"/>
        <w:rPr>
          <w:sz w:val="24"/>
        </w:rPr>
      </w:pPr>
      <w:r>
        <w:rPr>
          <w:sz w:val="24"/>
        </w:rPr>
        <w:t>Pavement</w:t>
      </w:r>
      <w:r>
        <w:rPr>
          <w:spacing w:val="-13"/>
          <w:sz w:val="24"/>
        </w:rPr>
        <w:t> </w:t>
      </w:r>
      <w:r>
        <w:rPr>
          <w:sz w:val="24"/>
        </w:rPr>
        <w:t>dwellers</w:t>
      </w:r>
      <w:r>
        <w:rPr>
          <w:spacing w:val="-13"/>
          <w:sz w:val="24"/>
        </w:rPr>
        <w:t> </w:t>
      </w:r>
      <w:r>
        <w:rPr>
          <w:sz w:val="24"/>
        </w:rPr>
        <w:t>and</w:t>
      </w:r>
      <w:r>
        <w:rPr>
          <w:spacing w:val="-13"/>
          <w:sz w:val="24"/>
        </w:rPr>
        <w:t> </w:t>
      </w:r>
      <w:r>
        <w:rPr>
          <w:sz w:val="24"/>
        </w:rPr>
        <w:t>hutment</w:t>
      </w:r>
      <w:r>
        <w:rPr>
          <w:spacing w:val="-13"/>
          <w:sz w:val="24"/>
        </w:rPr>
        <w:t> </w:t>
      </w:r>
      <w:r>
        <w:rPr>
          <w:sz w:val="24"/>
        </w:rPr>
        <w:t>dwellers</w:t>
      </w:r>
      <w:r>
        <w:rPr>
          <w:spacing w:val="-15"/>
          <w:sz w:val="24"/>
        </w:rPr>
        <w:t> </w:t>
      </w:r>
      <w:r>
        <w:rPr>
          <w:sz w:val="24"/>
        </w:rPr>
        <w:t>in</w:t>
      </w:r>
      <w:r>
        <w:rPr>
          <w:spacing w:val="-13"/>
          <w:sz w:val="24"/>
        </w:rPr>
        <w:t> </w:t>
      </w:r>
      <w:r>
        <w:rPr>
          <w:sz w:val="24"/>
        </w:rPr>
        <w:t>the</w:t>
      </w:r>
      <w:r>
        <w:rPr>
          <w:spacing w:val="-13"/>
          <w:sz w:val="24"/>
        </w:rPr>
        <w:t> </w:t>
      </w:r>
      <w:r>
        <w:rPr>
          <w:sz w:val="24"/>
        </w:rPr>
        <w:t>slum</w:t>
      </w:r>
      <w:r>
        <w:rPr>
          <w:spacing w:val="-15"/>
          <w:sz w:val="24"/>
        </w:rPr>
        <w:t> </w:t>
      </w:r>
      <w:r>
        <w:rPr>
          <w:sz w:val="24"/>
        </w:rPr>
        <w:t>on</w:t>
      </w:r>
      <w:r>
        <w:rPr>
          <w:spacing w:val="-13"/>
          <w:sz w:val="24"/>
        </w:rPr>
        <w:t> </w:t>
      </w:r>
      <w:r>
        <w:rPr>
          <w:sz w:val="24"/>
        </w:rPr>
        <w:t>the</w:t>
      </w:r>
      <w:r>
        <w:rPr>
          <w:spacing w:val="-13"/>
          <w:sz w:val="24"/>
        </w:rPr>
        <w:t> </w:t>
      </w:r>
      <w:r>
        <w:rPr>
          <w:sz w:val="24"/>
        </w:rPr>
        <w:t>land required for vital urgent public utility/purpose or on the hazardous location or affected by DP proposals shall not be rehabilitated in-situ but in other available plots within jurisdiction of DRP.</w:t>
      </w:r>
    </w:p>
    <w:p>
      <w:pPr>
        <w:pStyle w:val="ListParagraph"/>
        <w:numPr>
          <w:ilvl w:val="1"/>
          <w:numId w:val="195"/>
        </w:numPr>
        <w:tabs>
          <w:tab w:pos="2779" w:val="left" w:leader="none"/>
        </w:tabs>
        <w:spacing w:line="240" w:lineRule="auto" w:before="239" w:after="0"/>
        <w:ind w:left="2062" w:right="768" w:firstLine="0"/>
        <w:jc w:val="both"/>
        <w:rPr>
          <w:sz w:val="24"/>
        </w:rPr>
      </w:pPr>
      <w:r>
        <w:rPr>
          <w:sz w:val="24"/>
        </w:rPr>
        <w:t>A</w:t>
      </w:r>
      <w:r>
        <w:rPr>
          <w:spacing w:val="-8"/>
          <w:sz w:val="24"/>
        </w:rPr>
        <w:t> </w:t>
      </w:r>
      <w:r>
        <w:rPr>
          <w:sz w:val="24"/>
        </w:rPr>
        <w:t>certified</w:t>
      </w:r>
      <w:r>
        <w:rPr>
          <w:spacing w:val="-8"/>
          <w:sz w:val="24"/>
        </w:rPr>
        <w:t> </w:t>
      </w:r>
      <w:r>
        <w:rPr>
          <w:sz w:val="24"/>
        </w:rPr>
        <w:t>extract</w:t>
      </w:r>
      <w:r>
        <w:rPr>
          <w:spacing w:val="-8"/>
          <w:sz w:val="24"/>
        </w:rPr>
        <w:t> </w:t>
      </w:r>
      <w:r>
        <w:rPr>
          <w:sz w:val="24"/>
        </w:rPr>
        <w:t>of</w:t>
      </w:r>
      <w:r>
        <w:rPr>
          <w:spacing w:val="-13"/>
          <w:sz w:val="24"/>
        </w:rPr>
        <w:t> </w:t>
      </w:r>
      <w:r>
        <w:rPr>
          <w:sz w:val="24"/>
        </w:rPr>
        <w:t>the</w:t>
      </w:r>
      <w:r>
        <w:rPr>
          <w:spacing w:val="-8"/>
          <w:sz w:val="24"/>
        </w:rPr>
        <w:t> </w:t>
      </w:r>
      <w:r>
        <w:rPr>
          <w:sz w:val="24"/>
        </w:rPr>
        <w:t>relevant</w:t>
      </w:r>
      <w:r>
        <w:rPr>
          <w:spacing w:val="-8"/>
          <w:sz w:val="24"/>
        </w:rPr>
        <w:t> </w:t>
      </w:r>
      <w:r>
        <w:rPr>
          <w:sz w:val="24"/>
        </w:rPr>
        <w:t>electoral</w:t>
      </w:r>
      <w:r>
        <w:rPr>
          <w:spacing w:val="-11"/>
          <w:sz w:val="24"/>
        </w:rPr>
        <w:t> </w:t>
      </w:r>
      <w:r>
        <w:rPr>
          <w:sz w:val="24"/>
        </w:rPr>
        <w:t>roll</w:t>
      </w:r>
      <w:r>
        <w:rPr>
          <w:spacing w:val="-8"/>
          <w:sz w:val="24"/>
        </w:rPr>
        <w:t> </w:t>
      </w:r>
      <w:r>
        <w:rPr>
          <w:sz w:val="24"/>
        </w:rPr>
        <w:t>shall</w:t>
      </w:r>
      <w:r>
        <w:rPr>
          <w:spacing w:val="-8"/>
          <w:sz w:val="24"/>
        </w:rPr>
        <w:t> </w:t>
      </w:r>
      <w:r>
        <w:rPr>
          <w:sz w:val="24"/>
        </w:rPr>
        <w:t>be</w:t>
      </w:r>
      <w:r>
        <w:rPr>
          <w:spacing w:val="-11"/>
          <w:sz w:val="24"/>
        </w:rPr>
        <w:t> </w:t>
      </w:r>
      <w:r>
        <w:rPr>
          <w:sz w:val="24"/>
        </w:rPr>
        <w:t>considered adequate evidence to establish the eligibility of a person provided he is found</w:t>
      </w:r>
      <w:r>
        <w:rPr>
          <w:spacing w:val="-20"/>
          <w:sz w:val="24"/>
        </w:rPr>
        <w:t> </w:t>
      </w:r>
      <w:r>
        <w:rPr>
          <w:sz w:val="24"/>
        </w:rPr>
        <w:t>residing</w:t>
      </w:r>
      <w:r>
        <w:rPr>
          <w:spacing w:val="-19"/>
          <w:sz w:val="24"/>
        </w:rPr>
        <w:t> </w:t>
      </w:r>
      <w:r>
        <w:rPr>
          <w:sz w:val="24"/>
        </w:rPr>
        <w:t>in</w:t>
      </w:r>
      <w:r>
        <w:rPr>
          <w:spacing w:val="-19"/>
          <w:sz w:val="24"/>
        </w:rPr>
        <w:t> </w:t>
      </w:r>
      <w:r>
        <w:rPr>
          <w:sz w:val="24"/>
        </w:rPr>
        <w:t>the</w:t>
      </w:r>
      <w:r>
        <w:rPr>
          <w:spacing w:val="-19"/>
          <w:sz w:val="24"/>
        </w:rPr>
        <w:t> </w:t>
      </w:r>
      <w:r>
        <w:rPr>
          <w:sz w:val="24"/>
        </w:rPr>
        <w:t>structure.</w:t>
      </w:r>
      <w:r>
        <w:rPr>
          <w:spacing w:val="-19"/>
          <w:sz w:val="24"/>
        </w:rPr>
        <w:t> </w:t>
      </w:r>
      <w:r>
        <w:rPr>
          <w:sz w:val="24"/>
        </w:rPr>
        <w:t>This</w:t>
      </w:r>
      <w:r>
        <w:rPr>
          <w:spacing w:val="-20"/>
          <w:sz w:val="24"/>
        </w:rPr>
        <w:t> </w:t>
      </w:r>
      <w:r>
        <w:rPr>
          <w:sz w:val="24"/>
        </w:rPr>
        <w:t>is</w:t>
      </w:r>
      <w:r>
        <w:rPr>
          <w:spacing w:val="-19"/>
          <w:sz w:val="24"/>
        </w:rPr>
        <w:t> </w:t>
      </w:r>
      <w:r>
        <w:rPr>
          <w:sz w:val="24"/>
        </w:rPr>
        <w:t>to</w:t>
      </w:r>
      <w:r>
        <w:rPr>
          <w:spacing w:val="-19"/>
          <w:sz w:val="24"/>
        </w:rPr>
        <w:t> </w:t>
      </w:r>
      <w:r>
        <w:rPr>
          <w:sz w:val="24"/>
        </w:rPr>
        <w:t>avoid</w:t>
      </w:r>
      <w:r>
        <w:rPr>
          <w:spacing w:val="-19"/>
          <w:sz w:val="24"/>
        </w:rPr>
        <w:t> </w:t>
      </w:r>
      <w:r>
        <w:rPr>
          <w:sz w:val="24"/>
        </w:rPr>
        <w:t>the</w:t>
      </w:r>
      <w:r>
        <w:rPr>
          <w:spacing w:val="-19"/>
          <w:sz w:val="24"/>
        </w:rPr>
        <w:t> </w:t>
      </w:r>
      <w:r>
        <w:rPr>
          <w:sz w:val="24"/>
        </w:rPr>
        <w:t>possibility</w:t>
      </w:r>
      <w:r>
        <w:rPr>
          <w:spacing w:val="-20"/>
          <w:sz w:val="24"/>
        </w:rPr>
        <w:t> </w:t>
      </w:r>
      <w:r>
        <w:rPr>
          <w:sz w:val="24"/>
        </w:rPr>
        <w:t>of</w:t>
      </w:r>
      <w:r>
        <w:rPr>
          <w:spacing w:val="-19"/>
          <w:sz w:val="24"/>
        </w:rPr>
        <w:t> </w:t>
      </w:r>
      <w:r>
        <w:rPr>
          <w:sz w:val="24"/>
        </w:rPr>
        <w:t>persons who have left the structure coming back to claim free tenement under the scheme even though they have in the normal course left the slum and gone away into a proper non-slum area or out of DRP Area. If the hutment dwellers are found resident in the structure, but the names are on the electoral roll on or prior to 1st Jan 2000, at another slum/pavement</w:t>
      </w:r>
      <w:r>
        <w:rPr>
          <w:spacing w:val="-19"/>
          <w:sz w:val="24"/>
        </w:rPr>
        <w:t> </w:t>
      </w:r>
      <w:r>
        <w:rPr>
          <w:sz w:val="24"/>
        </w:rPr>
        <w:t>site</w:t>
      </w:r>
      <w:r>
        <w:rPr>
          <w:spacing w:val="-19"/>
          <w:sz w:val="24"/>
        </w:rPr>
        <w:t> </w:t>
      </w:r>
      <w:r>
        <w:rPr>
          <w:sz w:val="24"/>
        </w:rPr>
        <w:t>in</w:t>
      </w:r>
      <w:r>
        <w:rPr>
          <w:spacing w:val="-19"/>
          <w:sz w:val="24"/>
        </w:rPr>
        <w:t> </w:t>
      </w:r>
      <w:r>
        <w:rPr>
          <w:sz w:val="24"/>
        </w:rPr>
        <w:t>Brihan</w:t>
      </w:r>
      <w:r>
        <w:rPr>
          <w:spacing w:val="-19"/>
          <w:sz w:val="24"/>
        </w:rPr>
        <w:t> </w:t>
      </w:r>
      <w:r>
        <w:rPr>
          <w:sz w:val="24"/>
        </w:rPr>
        <w:t>Mumbai,</w:t>
      </w:r>
      <w:r>
        <w:rPr>
          <w:spacing w:val="-19"/>
          <w:sz w:val="24"/>
        </w:rPr>
        <w:t> </w:t>
      </w:r>
      <w:r>
        <w:rPr>
          <w:sz w:val="24"/>
        </w:rPr>
        <w:t>they</w:t>
      </w:r>
      <w:r>
        <w:rPr>
          <w:spacing w:val="-19"/>
          <w:sz w:val="24"/>
        </w:rPr>
        <w:t> </w:t>
      </w:r>
      <w:r>
        <w:rPr>
          <w:sz w:val="24"/>
        </w:rPr>
        <w:t>shall</w:t>
      </w:r>
      <w:r>
        <w:rPr>
          <w:spacing w:val="-19"/>
          <w:sz w:val="24"/>
        </w:rPr>
        <w:t> </w:t>
      </w:r>
      <w:r>
        <w:rPr>
          <w:sz w:val="24"/>
        </w:rPr>
        <w:t>be</w:t>
      </w:r>
      <w:r>
        <w:rPr>
          <w:spacing w:val="-19"/>
          <w:sz w:val="24"/>
        </w:rPr>
        <w:t> </w:t>
      </w:r>
      <w:r>
        <w:rPr>
          <w:sz w:val="24"/>
        </w:rPr>
        <w:t>considered</w:t>
      </w:r>
      <w:r>
        <w:rPr>
          <w:spacing w:val="-19"/>
          <w:sz w:val="24"/>
        </w:rPr>
        <w:t> </w:t>
      </w:r>
      <w:r>
        <w:rPr>
          <w:sz w:val="24"/>
        </w:rPr>
        <w:t>eligible but only at the place of present residence. In case of doubt or dispute, the decision</w:t>
      </w:r>
      <w:r>
        <w:rPr>
          <w:spacing w:val="-1"/>
          <w:sz w:val="24"/>
        </w:rPr>
        <w:t> </w:t>
      </w:r>
      <w:r>
        <w:rPr>
          <w:sz w:val="24"/>
        </w:rPr>
        <w:t>of the</w:t>
      </w:r>
      <w:r>
        <w:rPr>
          <w:spacing w:val="-1"/>
          <w:sz w:val="24"/>
        </w:rPr>
        <w:t> </w:t>
      </w:r>
      <w:r>
        <w:rPr>
          <w:sz w:val="24"/>
        </w:rPr>
        <w:t>Competent Authority</w:t>
      </w:r>
      <w:r>
        <w:rPr>
          <w:spacing w:val="-1"/>
          <w:sz w:val="24"/>
        </w:rPr>
        <w:t> </w:t>
      </w:r>
      <w:r>
        <w:rPr>
          <w:sz w:val="24"/>
        </w:rPr>
        <w:t>to be</w:t>
      </w:r>
      <w:r>
        <w:rPr>
          <w:spacing w:val="-1"/>
          <w:sz w:val="24"/>
        </w:rPr>
        <w:t> </w:t>
      </w:r>
      <w:r>
        <w:rPr>
          <w:sz w:val="24"/>
        </w:rPr>
        <w:t>appointed by</w:t>
      </w:r>
      <w:r>
        <w:rPr>
          <w:spacing w:val="-1"/>
          <w:sz w:val="24"/>
        </w:rPr>
        <w:t> </w:t>
      </w:r>
      <w:r>
        <w:rPr>
          <w:sz w:val="24"/>
        </w:rPr>
        <w:t>the Govt in Housing Department shall be final and binding on all the parties </w:t>
      </w:r>
      <w:r>
        <w:rPr>
          <w:spacing w:val="-2"/>
          <w:sz w:val="24"/>
        </w:rPr>
        <w:t>concerned.</w:t>
      </w:r>
    </w:p>
    <w:p>
      <w:pPr>
        <w:pStyle w:val="ListParagraph"/>
        <w:numPr>
          <w:ilvl w:val="1"/>
          <w:numId w:val="195"/>
        </w:numPr>
        <w:tabs>
          <w:tab w:pos="2779" w:val="left" w:leader="none"/>
        </w:tabs>
        <w:spacing w:line="240" w:lineRule="auto" w:before="241" w:after="0"/>
        <w:ind w:left="2062" w:right="768" w:firstLine="0"/>
        <w:jc w:val="both"/>
        <w:rPr>
          <w:sz w:val="24"/>
        </w:rPr>
      </w:pPr>
      <w:r>
        <w:rPr>
          <w:sz w:val="24"/>
        </w:rPr>
        <w:t>An</w:t>
      </w:r>
      <w:r>
        <w:rPr>
          <w:spacing w:val="-8"/>
          <w:sz w:val="24"/>
        </w:rPr>
        <w:t> </w:t>
      </w:r>
      <w:r>
        <w:rPr>
          <w:sz w:val="24"/>
        </w:rPr>
        <w:t>individual</w:t>
      </w:r>
      <w:r>
        <w:rPr>
          <w:spacing w:val="-8"/>
          <w:sz w:val="24"/>
        </w:rPr>
        <w:t> </w:t>
      </w:r>
      <w:r>
        <w:rPr>
          <w:sz w:val="24"/>
        </w:rPr>
        <w:t>agreement</w:t>
      </w:r>
      <w:r>
        <w:rPr>
          <w:spacing w:val="-8"/>
          <w:sz w:val="24"/>
        </w:rPr>
        <w:t> </w:t>
      </w:r>
      <w:r>
        <w:rPr>
          <w:sz w:val="24"/>
        </w:rPr>
        <w:t>shall</w:t>
      </w:r>
      <w:r>
        <w:rPr>
          <w:spacing w:val="-8"/>
          <w:sz w:val="24"/>
        </w:rPr>
        <w:t> </w:t>
      </w:r>
      <w:r>
        <w:rPr>
          <w:sz w:val="24"/>
        </w:rPr>
        <w:t>be</w:t>
      </w:r>
      <w:r>
        <w:rPr>
          <w:spacing w:val="-8"/>
          <w:sz w:val="24"/>
        </w:rPr>
        <w:t> </w:t>
      </w:r>
      <w:r>
        <w:rPr>
          <w:sz w:val="24"/>
        </w:rPr>
        <w:t>entered</w:t>
      </w:r>
      <w:r>
        <w:rPr>
          <w:spacing w:val="-8"/>
          <w:sz w:val="24"/>
        </w:rPr>
        <w:t> </w:t>
      </w:r>
      <w:r>
        <w:rPr>
          <w:sz w:val="24"/>
        </w:rPr>
        <w:t>into</w:t>
      </w:r>
      <w:r>
        <w:rPr>
          <w:spacing w:val="-8"/>
          <w:sz w:val="24"/>
        </w:rPr>
        <w:t> </w:t>
      </w:r>
      <w:r>
        <w:rPr>
          <w:sz w:val="24"/>
        </w:rPr>
        <w:t>by</w:t>
      </w:r>
      <w:r>
        <w:rPr>
          <w:spacing w:val="-8"/>
          <w:sz w:val="24"/>
        </w:rPr>
        <w:t> </w:t>
      </w:r>
      <w:r>
        <w:rPr>
          <w:sz w:val="24"/>
        </w:rPr>
        <w:t>the</w:t>
      </w:r>
      <w:r>
        <w:rPr>
          <w:spacing w:val="-8"/>
          <w:sz w:val="24"/>
        </w:rPr>
        <w:t> </w:t>
      </w:r>
      <w:r>
        <w:rPr>
          <w:sz w:val="24"/>
        </w:rPr>
        <w:t>developer</w:t>
      </w:r>
      <w:r>
        <w:rPr>
          <w:spacing w:val="-8"/>
          <w:sz w:val="24"/>
        </w:rPr>
        <w:t> </w:t>
      </w:r>
      <w:r>
        <w:rPr>
          <w:sz w:val="24"/>
        </w:rPr>
        <w:t>so appointed under DRP by DRP (SRA) with the eligible hutment dwellers of each structure in the slum/pavement.</w:t>
      </w:r>
    </w:p>
    <w:p>
      <w:pPr>
        <w:pStyle w:val="ListParagraph"/>
        <w:numPr>
          <w:ilvl w:val="1"/>
          <w:numId w:val="195"/>
        </w:numPr>
        <w:tabs>
          <w:tab w:pos="2779" w:val="left" w:leader="none"/>
        </w:tabs>
        <w:spacing w:line="240" w:lineRule="auto" w:before="240" w:after="0"/>
        <w:ind w:left="2062" w:right="767" w:firstLine="0"/>
        <w:jc w:val="both"/>
        <w:rPr>
          <w:sz w:val="24"/>
        </w:rPr>
      </w:pPr>
      <w:r>
        <w:rPr>
          <w:sz w:val="24"/>
        </w:rPr>
        <w:t>The</w:t>
      </w:r>
      <w:r>
        <w:rPr>
          <w:spacing w:val="-4"/>
          <w:sz w:val="24"/>
        </w:rPr>
        <w:t> </w:t>
      </w:r>
      <w:r>
        <w:rPr>
          <w:sz w:val="24"/>
        </w:rPr>
        <w:t>individual</w:t>
      </w:r>
      <w:r>
        <w:rPr>
          <w:spacing w:val="-4"/>
          <w:sz w:val="24"/>
        </w:rPr>
        <w:t> </w:t>
      </w:r>
      <w:r>
        <w:rPr>
          <w:sz w:val="24"/>
        </w:rPr>
        <w:t>agreement</w:t>
      </w:r>
      <w:r>
        <w:rPr>
          <w:spacing w:val="-4"/>
          <w:sz w:val="24"/>
        </w:rPr>
        <w:t> </w:t>
      </w:r>
      <w:r>
        <w:rPr>
          <w:sz w:val="24"/>
        </w:rPr>
        <w:t>entered</w:t>
      </w:r>
      <w:r>
        <w:rPr>
          <w:spacing w:val="-4"/>
          <w:sz w:val="24"/>
        </w:rPr>
        <w:t> </w:t>
      </w:r>
      <w:r>
        <w:rPr>
          <w:sz w:val="24"/>
        </w:rPr>
        <w:t>into</w:t>
      </w:r>
      <w:r>
        <w:rPr>
          <w:spacing w:val="-4"/>
          <w:sz w:val="24"/>
        </w:rPr>
        <w:t> </w:t>
      </w:r>
      <w:r>
        <w:rPr>
          <w:sz w:val="24"/>
        </w:rPr>
        <w:t>between</w:t>
      </w:r>
      <w:r>
        <w:rPr>
          <w:spacing w:val="-4"/>
          <w:sz w:val="24"/>
        </w:rPr>
        <w:t> </w:t>
      </w:r>
      <w:r>
        <w:rPr>
          <w:sz w:val="24"/>
        </w:rPr>
        <w:t>hutment</w:t>
      </w:r>
      <w:r>
        <w:rPr>
          <w:spacing w:val="-4"/>
          <w:sz w:val="24"/>
        </w:rPr>
        <w:t> </w:t>
      </w:r>
      <w:r>
        <w:rPr>
          <w:sz w:val="24"/>
        </w:rPr>
        <w:t>dwellers and the land-owning authority/SRA/developer shall be in the joint names of pramukh hutment dweller and spouse for every structure.</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1"/>
          <w:numId w:val="195"/>
        </w:numPr>
        <w:tabs>
          <w:tab w:pos="2779" w:val="left" w:leader="none"/>
        </w:tabs>
        <w:spacing w:line="240" w:lineRule="auto" w:before="249" w:after="0"/>
        <w:ind w:left="2062" w:right="768" w:firstLine="0"/>
        <w:jc w:val="both"/>
        <w:rPr>
          <w:sz w:val="24"/>
        </w:rPr>
      </w:pPr>
      <w:r>
        <w:rPr>
          <w:sz w:val="24"/>
        </w:rPr>
        <w:t>Hutments having a physically handicapped person or female- headed households shall be given first preference in allotment of tenements</w:t>
      </w:r>
      <w:r>
        <w:rPr>
          <w:spacing w:val="-18"/>
          <w:sz w:val="24"/>
        </w:rPr>
        <w:t> </w:t>
      </w:r>
      <w:r>
        <w:rPr>
          <w:sz w:val="24"/>
        </w:rPr>
        <w:t>to</w:t>
      </w:r>
      <w:r>
        <w:rPr>
          <w:spacing w:val="-18"/>
          <w:sz w:val="24"/>
        </w:rPr>
        <w:t> </w:t>
      </w:r>
      <w:r>
        <w:rPr>
          <w:sz w:val="24"/>
        </w:rPr>
        <w:t>the</w:t>
      </w:r>
      <w:r>
        <w:rPr>
          <w:spacing w:val="-18"/>
          <w:sz w:val="24"/>
        </w:rPr>
        <w:t> </w:t>
      </w:r>
      <w:r>
        <w:rPr>
          <w:sz w:val="24"/>
        </w:rPr>
        <w:t>other</w:t>
      </w:r>
      <w:r>
        <w:rPr>
          <w:spacing w:val="-18"/>
          <w:sz w:val="24"/>
        </w:rPr>
        <w:t> </w:t>
      </w:r>
      <w:r>
        <w:rPr>
          <w:sz w:val="24"/>
        </w:rPr>
        <w:t>hutment-dwellers.</w:t>
      </w:r>
      <w:r>
        <w:rPr>
          <w:spacing w:val="-18"/>
          <w:sz w:val="24"/>
        </w:rPr>
        <w:t> </w:t>
      </w:r>
      <w:r>
        <w:rPr>
          <w:sz w:val="24"/>
        </w:rPr>
        <w:t>Thereafter</w:t>
      </w:r>
      <w:r>
        <w:rPr>
          <w:spacing w:val="-18"/>
          <w:sz w:val="24"/>
        </w:rPr>
        <w:t> </w:t>
      </w:r>
      <w:r>
        <w:rPr>
          <w:sz w:val="24"/>
        </w:rPr>
        <w:t>lots</w:t>
      </w:r>
      <w:r>
        <w:rPr>
          <w:spacing w:val="-17"/>
          <w:sz w:val="24"/>
        </w:rPr>
        <w:t> </w:t>
      </w:r>
      <w:r>
        <w:rPr>
          <w:sz w:val="24"/>
        </w:rPr>
        <w:t>shall</w:t>
      </w:r>
      <w:r>
        <w:rPr>
          <w:spacing w:val="-16"/>
          <w:sz w:val="24"/>
        </w:rPr>
        <w:t> </w:t>
      </w:r>
      <w:r>
        <w:rPr>
          <w:sz w:val="24"/>
        </w:rPr>
        <w:t>be</w:t>
      </w:r>
      <w:r>
        <w:rPr>
          <w:spacing w:val="-18"/>
          <w:sz w:val="24"/>
        </w:rPr>
        <w:t> </w:t>
      </w:r>
      <w:r>
        <w:rPr>
          <w:sz w:val="24"/>
        </w:rPr>
        <w:t>drawn for allotment of tenements from the remaining tenements to the </w:t>
      </w:r>
      <w:r>
        <w:rPr>
          <w:sz w:val="24"/>
        </w:rPr>
        <w:t>other </w:t>
      </w:r>
      <w:r>
        <w:rPr>
          <w:spacing w:val="-2"/>
          <w:sz w:val="24"/>
        </w:rPr>
        <w:t>hutment-dwellers.</w:t>
      </w:r>
    </w:p>
    <w:p>
      <w:pPr>
        <w:pStyle w:val="ListParagraph"/>
        <w:numPr>
          <w:ilvl w:val="1"/>
          <w:numId w:val="195"/>
        </w:numPr>
        <w:tabs>
          <w:tab w:pos="2779" w:val="left" w:leader="none"/>
        </w:tabs>
        <w:spacing w:line="240" w:lineRule="auto" w:before="240" w:after="0"/>
        <w:ind w:left="2062" w:right="769" w:firstLine="0"/>
        <w:jc w:val="both"/>
        <w:rPr>
          <w:sz w:val="24"/>
        </w:rPr>
      </w:pPr>
      <w:r>
        <w:rPr>
          <w:sz w:val="24"/>
        </w:rPr>
        <w:t>Transfer of Photo passes – Since only the actual occupant at present will be eligible for redevelopment, there shall be no need to regularize the transfers of photo passes that have occurred so far.</w:t>
      </w:r>
    </w:p>
    <w:p>
      <w:pPr>
        <w:pStyle w:val="ListParagraph"/>
        <w:numPr>
          <w:ilvl w:val="1"/>
          <w:numId w:val="195"/>
        </w:numPr>
        <w:tabs>
          <w:tab w:pos="2778" w:val="left" w:leader="none"/>
        </w:tabs>
        <w:spacing w:line="240" w:lineRule="auto" w:before="242" w:after="0"/>
        <w:ind w:left="2062" w:right="767" w:firstLine="0"/>
        <w:jc w:val="both"/>
        <w:rPr>
          <w:sz w:val="24"/>
        </w:rPr>
      </w:pPr>
      <w:r>
        <w:rPr>
          <w:sz w:val="24"/>
        </w:rPr>
        <w:t>Any</w:t>
      </w:r>
      <w:r>
        <w:rPr>
          <w:spacing w:val="-6"/>
          <w:sz w:val="24"/>
        </w:rPr>
        <w:t> </w:t>
      </w:r>
      <w:r>
        <w:rPr>
          <w:sz w:val="24"/>
        </w:rPr>
        <w:t>person</w:t>
      </w:r>
      <w:r>
        <w:rPr>
          <w:spacing w:val="-6"/>
          <w:sz w:val="24"/>
        </w:rPr>
        <w:t> </w:t>
      </w:r>
      <w:r>
        <w:rPr>
          <w:sz w:val="24"/>
        </w:rPr>
        <w:t>whose</w:t>
      </w:r>
      <w:r>
        <w:rPr>
          <w:spacing w:val="-6"/>
          <w:sz w:val="24"/>
        </w:rPr>
        <w:t> </w:t>
      </w:r>
      <w:r>
        <w:rPr>
          <w:sz w:val="24"/>
        </w:rPr>
        <w:t>name</w:t>
      </w:r>
      <w:r>
        <w:rPr>
          <w:spacing w:val="-6"/>
          <w:sz w:val="24"/>
        </w:rPr>
        <w:t> </w:t>
      </w:r>
      <w:r>
        <w:rPr>
          <w:sz w:val="24"/>
        </w:rPr>
        <w:t>is</w:t>
      </w:r>
      <w:r>
        <w:rPr>
          <w:spacing w:val="-6"/>
          <w:sz w:val="24"/>
        </w:rPr>
        <w:t> </w:t>
      </w:r>
      <w:r>
        <w:rPr>
          <w:sz w:val="24"/>
        </w:rPr>
        <w:t>enrolled</w:t>
      </w:r>
      <w:r>
        <w:rPr>
          <w:spacing w:val="-6"/>
          <w:sz w:val="24"/>
        </w:rPr>
        <w:t> </w:t>
      </w:r>
      <w:r>
        <w:rPr>
          <w:sz w:val="24"/>
        </w:rPr>
        <w:t>in</w:t>
      </w:r>
      <w:r>
        <w:rPr>
          <w:spacing w:val="-6"/>
          <w:sz w:val="24"/>
        </w:rPr>
        <w:t> </w:t>
      </w:r>
      <w:r>
        <w:rPr>
          <w:sz w:val="24"/>
        </w:rPr>
        <w:t>a</w:t>
      </w:r>
      <w:r>
        <w:rPr>
          <w:spacing w:val="-6"/>
          <w:sz w:val="24"/>
        </w:rPr>
        <w:t> </w:t>
      </w:r>
      <w:r>
        <w:rPr>
          <w:sz w:val="24"/>
        </w:rPr>
        <w:t>non-slum</w:t>
      </w:r>
      <w:r>
        <w:rPr>
          <w:spacing w:val="-6"/>
          <w:sz w:val="24"/>
        </w:rPr>
        <w:t> </w:t>
      </w:r>
      <w:r>
        <w:rPr>
          <w:sz w:val="24"/>
        </w:rPr>
        <w:t>area</w:t>
      </w:r>
      <w:r>
        <w:rPr>
          <w:spacing w:val="-6"/>
          <w:sz w:val="24"/>
        </w:rPr>
        <w:t> </w:t>
      </w:r>
      <w:r>
        <w:rPr>
          <w:sz w:val="24"/>
        </w:rPr>
        <w:t>in</w:t>
      </w:r>
      <w:r>
        <w:rPr>
          <w:spacing w:val="-6"/>
          <w:sz w:val="24"/>
        </w:rPr>
        <w:t> </w:t>
      </w:r>
      <w:r>
        <w:rPr>
          <w:sz w:val="24"/>
        </w:rPr>
        <w:t>Brihan Mumbai but has purchased a hutment in DRP area and therefore got his</w:t>
      </w:r>
      <w:r>
        <w:rPr>
          <w:spacing w:val="-9"/>
          <w:sz w:val="24"/>
        </w:rPr>
        <w:t> </w:t>
      </w:r>
      <w:r>
        <w:rPr>
          <w:sz w:val="24"/>
        </w:rPr>
        <w:t>name</w:t>
      </w:r>
      <w:r>
        <w:rPr>
          <w:spacing w:val="-9"/>
          <w:sz w:val="24"/>
        </w:rPr>
        <w:t> </w:t>
      </w:r>
      <w:r>
        <w:rPr>
          <w:sz w:val="24"/>
        </w:rPr>
        <w:t>also</w:t>
      </w:r>
      <w:r>
        <w:rPr>
          <w:spacing w:val="-9"/>
          <w:sz w:val="24"/>
        </w:rPr>
        <w:t> </w:t>
      </w:r>
      <w:r>
        <w:rPr>
          <w:sz w:val="24"/>
        </w:rPr>
        <w:t>included</w:t>
      </w:r>
      <w:r>
        <w:rPr>
          <w:spacing w:val="-9"/>
          <w:sz w:val="24"/>
        </w:rPr>
        <w:t> </w:t>
      </w:r>
      <w:r>
        <w:rPr>
          <w:sz w:val="24"/>
        </w:rPr>
        <w:t>in</w:t>
      </w:r>
      <w:r>
        <w:rPr>
          <w:spacing w:val="-9"/>
          <w:sz w:val="24"/>
        </w:rPr>
        <w:t> </w:t>
      </w:r>
      <w:r>
        <w:rPr>
          <w:sz w:val="24"/>
        </w:rPr>
        <w:t>electoral</w:t>
      </w:r>
      <w:r>
        <w:rPr>
          <w:spacing w:val="-9"/>
          <w:sz w:val="24"/>
        </w:rPr>
        <w:t> </w:t>
      </w:r>
      <w:r>
        <w:rPr>
          <w:sz w:val="24"/>
        </w:rPr>
        <w:t>roll</w:t>
      </w:r>
      <w:r>
        <w:rPr>
          <w:spacing w:val="-7"/>
          <w:sz w:val="24"/>
        </w:rPr>
        <w:t> </w:t>
      </w:r>
      <w:r>
        <w:rPr>
          <w:sz w:val="24"/>
        </w:rPr>
        <w:t>for</w:t>
      </w:r>
      <w:r>
        <w:rPr>
          <w:spacing w:val="-9"/>
          <w:sz w:val="24"/>
        </w:rPr>
        <w:t> </w:t>
      </w:r>
      <w:r>
        <w:rPr>
          <w:sz w:val="24"/>
        </w:rPr>
        <w:t>the</w:t>
      </w:r>
      <w:r>
        <w:rPr>
          <w:spacing w:val="-9"/>
          <w:sz w:val="24"/>
        </w:rPr>
        <w:t> </w:t>
      </w:r>
      <w:r>
        <w:rPr>
          <w:sz w:val="24"/>
        </w:rPr>
        <w:t>slum</w:t>
      </w:r>
      <w:r>
        <w:rPr>
          <w:spacing w:val="-9"/>
          <w:sz w:val="24"/>
        </w:rPr>
        <w:t> </w:t>
      </w:r>
      <w:r>
        <w:rPr>
          <w:sz w:val="24"/>
        </w:rPr>
        <w:t>area,</w:t>
      </w:r>
      <w:r>
        <w:rPr>
          <w:spacing w:val="-7"/>
          <w:sz w:val="24"/>
        </w:rPr>
        <w:t> </w:t>
      </w:r>
      <w:r>
        <w:rPr>
          <w:sz w:val="24"/>
        </w:rPr>
        <w:t>i.e.</w:t>
      </w:r>
      <w:r>
        <w:rPr>
          <w:spacing w:val="-7"/>
          <w:sz w:val="24"/>
        </w:rPr>
        <w:t> </w:t>
      </w:r>
      <w:r>
        <w:rPr>
          <w:sz w:val="24"/>
        </w:rPr>
        <w:t>he</w:t>
      </w:r>
      <w:r>
        <w:rPr>
          <w:spacing w:val="-9"/>
          <w:sz w:val="24"/>
        </w:rPr>
        <w:t> </w:t>
      </w:r>
      <w:r>
        <w:rPr>
          <w:sz w:val="24"/>
        </w:rPr>
        <w:t>has</w:t>
      </w:r>
      <w:r>
        <w:rPr>
          <w:spacing w:val="-9"/>
          <w:sz w:val="24"/>
        </w:rPr>
        <w:t> </w:t>
      </w:r>
      <w:r>
        <w:rPr>
          <w:sz w:val="24"/>
        </w:rPr>
        <w:t>his name in the electoral roll at two places, he shall not be eligible for the </w:t>
      </w:r>
      <w:r>
        <w:rPr>
          <w:spacing w:val="-2"/>
          <w:sz w:val="24"/>
        </w:rPr>
        <w:t>scheme.</w:t>
      </w:r>
    </w:p>
    <w:p>
      <w:pPr>
        <w:pStyle w:val="ListParagraph"/>
        <w:numPr>
          <w:ilvl w:val="1"/>
          <w:numId w:val="195"/>
        </w:numPr>
        <w:tabs>
          <w:tab w:pos="2581" w:val="left" w:leader="none"/>
        </w:tabs>
        <w:spacing w:line="240" w:lineRule="auto" w:before="239" w:after="0"/>
        <w:ind w:left="2581" w:right="0" w:hanging="519"/>
        <w:jc w:val="left"/>
        <w:rPr>
          <w:sz w:val="24"/>
        </w:rPr>
      </w:pPr>
    </w:p>
    <w:p>
      <w:pPr>
        <w:pStyle w:val="BodyText"/>
        <w:spacing w:before="241"/>
        <w:ind w:left="2062" w:right="767"/>
      </w:pPr>
      <w:r>
        <w:rPr/>
        <w:t>‘Premium for ownership and terms of lease-. That part of Government/MCGM/MHADA land on which the rehabilitation component of the SRS will be constructed shall be leased to the Co- operative Housing Society of the slum-dwellers for 30 years. Annual lease rent of Rs. 1001 for 4000 per sq. m. of land or part thereof and lease shall be renewable for a further period of 30 years at a time. Simultaneously,</w:t>
      </w:r>
      <w:r>
        <w:rPr>
          <w:spacing w:val="-15"/>
        </w:rPr>
        <w:t> </w:t>
      </w:r>
      <w:r>
        <w:rPr/>
        <w:t>land</w:t>
      </w:r>
      <w:r>
        <w:rPr>
          <w:spacing w:val="-15"/>
        </w:rPr>
        <w:t> </w:t>
      </w:r>
      <w:r>
        <w:rPr/>
        <w:t>under</w:t>
      </w:r>
      <w:r>
        <w:rPr>
          <w:spacing w:val="-15"/>
        </w:rPr>
        <w:t> </w:t>
      </w:r>
      <w:r>
        <w:rPr/>
        <w:t>free</w:t>
      </w:r>
      <w:r>
        <w:rPr>
          <w:spacing w:val="-15"/>
        </w:rPr>
        <w:t> </w:t>
      </w:r>
      <w:r>
        <w:rPr/>
        <w:t>sale</w:t>
      </w:r>
      <w:r>
        <w:rPr>
          <w:spacing w:val="-15"/>
        </w:rPr>
        <w:t> </w:t>
      </w:r>
      <w:r>
        <w:rPr/>
        <w:t>component</w:t>
      </w:r>
      <w:r>
        <w:rPr>
          <w:spacing w:val="-15"/>
        </w:rPr>
        <w:t> </w:t>
      </w:r>
      <w:r>
        <w:rPr/>
        <w:t>shall</w:t>
      </w:r>
      <w:r>
        <w:rPr>
          <w:spacing w:val="-15"/>
        </w:rPr>
        <w:t> </w:t>
      </w:r>
      <w:r>
        <w:rPr/>
        <w:t>be</w:t>
      </w:r>
      <w:r>
        <w:rPr>
          <w:spacing w:val="-15"/>
        </w:rPr>
        <w:t> </w:t>
      </w:r>
      <w:r>
        <w:rPr/>
        <w:t>leased</w:t>
      </w:r>
      <w:r>
        <w:rPr>
          <w:spacing w:val="-15"/>
        </w:rPr>
        <w:t> </w:t>
      </w:r>
      <w:r>
        <w:rPr/>
        <w:t>directly to</w:t>
      </w:r>
      <w:r>
        <w:rPr>
          <w:spacing w:val="-9"/>
        </w:rPr>
        <w:t> </w:t>
      </w:r>
      <w:r>
        <w:rPr/>
        <w:t>the</w:t>
      </w:r>
      <w:r>
        <w:rPr>
          <w:spacing w:val="-9"/>
        </w:rPr>
        <w:t> </w:t>
      </w:r>
      <w:r>
        <w:rPr/>
        <w:t>Society/Association</w:t>
      </w:r>
      <w:r>
        <w:rPr>
          <w:spacing w:val="-9"/>
        </w:rPr>
        <w:t> </w:t>
      </w:r>
      <w:r>
        <w:rPr/>
        <w:t>of</w:t>
      </w:r>
      <w:r>
        <w:rPr>
          <w:spacing w:val="-9"/>
        </w:rPr>
        <w:t> </w:t>
      </w:r>
      <w:r>
        <w:rPr/>
        <w:t>the</w:t>
      </w:r>
      <w:r>
        <w:rPr>
          <w:spacing w:val="-9"/>
        </w:rPr>
        <w:t> </w:t>
      </w:r>
      <w:r>
        <w:rPr/>
        <w:t>purchasers</w:t>
      </w:r>
      <w:r>
        <w:rPr>
          <w:spacing w:val="-9"/>
        </w:rPr>
        <w:t> </w:t>
      </w:r>
      <w:r>
        <w:rPr/>
        <w:t>of</w:t>
      </w:r>
      <w:r>
        <w:rPr>
          <w:spacing w:val="-9"/>
        </w:rPr>
        <w:t> </w:t>
      </w:r>
      <w:r>
        <w:rPr/>
        <w:t>the</w:t>
      </w:r>
      <w:r>
        <w:rPr>
          <w:spacing w:val="-9"/>
        </w:rPr>
        <w:t> </w:t>
      </w:r>
      <w:r>
        <w:rPr/>
        <w:t>tenement</w:t>
      </w:r>
      <w:r>
        <w:rPr>
          <w:spacing w:val="-14"/>
        </w:rPr>
        <w:t> </w:t>
      </w:r>
      <w:r>
        <w:rPr/>
        <w:t>under</w:t>
      </w:r>
      <w:r>
        <w:rPr>
          <w:spacing w:val="-9"/>
        </w:rPr>
        <w:t> </w:t>
      </w:r>
      <w:r>
        <w:rPr/>
        <w:t>free sale</w:t>
      </w:r>
      <w:r>
        <w:rPr>
          <w:spacing w:val="-17"/>
        </w:rPr>
        <w:t> </w:t>
      </w:r>
      <w:r>
        <w:rPr/>
        <w:t>component.</w:t>
      </w:r>
      <w:r>
        <w:rPr>
          <w:spacing w:val="-17"/>
        </w:rPr>
        <w:t> </w:t>
      </w:r>
      <w:r>
        <w:rPr/>
        <w:t>Pending</w:t>
      </w:r>
      <w:r>
        <w:rPr>
          <w:spacing w:val="-17"/>
        </w:rPr>
        <w:t> </w:t>
      </w:r>
      <w:r>
        <w:rPr/>
        <w:t>the</w:t>
      </w:r>
      <w:r>
        <w:rPr>
          <w:spacing w:val="-17"/>
        </w:rPr>
        <w:t> </w:t>
      </w:r>
      <w:r>
        <w:rPr/>
        <w:t>formation</w:t>
      </w:r>
      <w:r>
        <w:rPr>
          <w:spacing w:val="-17"/>
        </w:rPr>
        <w:t> </w:t>
      </w:r>
      <w:r>
        <w:rPr/>
        <w:t>of</w:t>
      </w:r>
      <w:r>
        <w:rPr>
          <w:spacing w:val="-16"/>
        </w:rPr>
        <w:t> </w:t>
      </w:r>
      <w:r>
        <w:rPr/>
        <w:t>the</w:t>
      </w:r>
      <w:r>
        <w:rPr>
          <w:spacing w:val="-17"/>
        </w:rPr>
        <w:t> </w:t>
      </w:r>
      <w:r>
        <w:rPr/>
        <w:t>Society/Association</w:t>
      </w:r>
      <w:r>
        <w:rPr>
          <w:spacing w:val="-17"/>
        </w:rPr>
        <w:t> </w:t>
      </w:r>
      <w:r>
        <w:rPr/>
        <w:t>of</w:t>
      </w:r>
      <w:r>
        <w:rPr>
          <w:spacing w:val="-17"/>
        </w:rPr>
        <w:t> </w:t>
      </w:r>
      <w:r>
        <w:rPr/>
        <w:t>the purchasers in the free sale component with a provision for further renewal</w:t>
      </w:r>
      <w:r>
        <w:rPr>
          <w:spacing w:val="-12"/>
        </w:rPr>
        <w:t> </w:t>
      </w:r>
      <w:r>
        <w:rPr/>
        <w:t>for</w:t>
      </w:r>
      <w:r>
        <w:rPr>
          <w:spacing w:val="-12"/>
        </w:rPr>
        <w:t> </w:t>
      </w:r>
      <w:r>
        <w:rPr/>
        <w:t>a</w:t>
      </w:r>
      <w:r>
        <w:rPr>
          <w:spacing w:val="-12"/>
        </w:rPr>
        <w:t> </w:t>
      </w:r>
      <w:r>
        <w:rPr/>
        <w:t>period</w:t>
      </w:r>
      <w:r>
        <w:rPr>
          <w:spacing w:val="-12"/>
        </w:rPr>
        <w:t> </w:t>
      </w:r>
      <w:r>
        <w:rPr/>
        <w:t>of</w:t>
      </w:r>
      <w:r>
        <w:rPr>
          <w:spacing w:val="-12"/>
        </w:rPr>
        <w:t> </w:t>
      </w:r>
      <w:r>
        <w:rPr/>
        <w:t>30</w:t>
      </w:r>
      <w:r>
        <w:rPr>
          <w:spacing w:val="-12"/>
        </w:rPr>
        <w:t> </w:t>
      </w:r>
      <w:r>
        <w:rPr/>
        <w:t>years</w:t>
      </w:r>
      <w:r>
        <w:rPr>
          <w:spacing w:val="-12"/>
        </w:rPr>
        <w:t> </w:t>
      </w:r>
      <w:r>
        <w:rPr/>
        <w:t>at</w:t>
      </w:r>
      <w:r>
        <w:rPr>
          <w:spacing w:val="-12"/>
        </w:rPr>
        <w:t> </w:t>
      </w:r>
      <w:r>
        <w:rPr/>
        <w:t>a</w:t>
      </w:r>
      <w:r>
        <w:rPr>
          <w:spacing w:val="-12"/>
        </w:rPr>
        <w:t> </w:t>
      </w:r>
      <w:r>
        <w:rPr/>
        <w:t>time.</w:t>
      </w:r>
      <w:r>
        <w:rPr>
          <w:spacing w:val="-12"/>
        </w:rPr>
        <w:t> </w:t>
      </w:r>
      <w:r>
        <w:rPr/>
        <w:t>The</w:t>
      </w:r>
      <w:r>
        <w:rPr>
          <w:spacing w:val="-12"/>
        </w:rPr>
        <w:t> </w:t>
      </w:r>
      <w:r>
        <w:rPr/>
        <w:t>lease</w:t>
      </w:r>
      <w:r>
        <w:rPr>
          <w:spacing w:val="-12"/>
        </w:rPr>
        <w:t> </w:t>
      </w:r>
      <w:r>
        <w:rPr/>
        <w:t>rent</w:t>
      </w:r>
      <w:r>
        <w:rPr>
          <w:spacing w:val="-12"/>
        </w:rPr>
        <w:t> </w:t>
      </w:r>
      <w:r>
        <w:rPr/>
        <w:t>for</w:t>
      </w:r>
      <w:r>
        <w:rPr>
          <w:spacing w:val="-12"/>
        </w:rPr>
        <w:t> </w:t>
      </w:r>
      <w:r>
        <w:rPr/>
        <w:t>the</w:t>
      </w:r>
      <w:r>
        <w:rPr>
          <w:spacing w:val="-12"/>
        </w:rPr>
        <w:t> </w:t>
      </w:r>
      <w:r>
        <w:rPr/>
        <w:t>free</w:t>
      </w:r>
      <w:r>
        <w:rPr>
          <w:spacing w:val="-12"/>
        </w:rPr>
        <w:t> </w:t>
      </w:r>
      <w:r>
        <w:rPr/>
        <w:t>sale component shall be fixed by SRA.</w:t>
      </w:r>
    </w:p>
    <w:p>
      <w:pPr>
        <w:pStyle w:val="BodyText"/>
        <w:spacing w:before="239"/>
        <w:ind w:left="2062" w:right="767"/>
      </w:pPr>
      <w:r>
        <w:rPr/>
        <w:t>In addition to above, the Developer/Co-op. Housing Society shall pay premium at the rate of 25% of ASR in respect of SRS proposed to be undertaken on lands owned by Government, Semi-Government undertakings and Local Bodies and premium shall go to land owing authority such as MHADA, MCGM, MMRDA as the case may be. The premium installment so recovered shall be remitted to concerned land owing authority within 30 days from the date of recovery.</w:t>
      </w:r>
    </w:p>
    <w:p>
      <w:pPr>
        <w:pStyle w:val="BodyText"/>
        <w:spacing w:before="241"/>
        <w:ind w:left="2062" w:right="771"/>
      </w:pPr>
      <w:r>
        <w:rPr/>
        <w:t>In the case of Govt. land, the premium shall be deposited in Nivara </w:t>
      </w:r>
      <w:r>
        <w:rPr>
          <w:spacing w:val="-2"/>
        </w:rPr>
        <w:t>Nidhi.</w:t>
      </w:r>
    </w:p>
    <w:p>
      <w:pPr>
        <w:pStyle w:val="BodyText"/>
        <w:spacing w:before="241"/>
        <w:ind w:left="2062" w:right="766"/>
      </w:pPr>
      <w:r>
        <w:rPr/>
        <w:t>The amount of premium shall be recovered in installment as may be prescribed by Govt. from time to time. Land owning authority such as MCGM, MMRDA, MHADA shall not recover land premium in any other form. Proposals for SRS on land owned by Central Govt shall be accepted</w:t>
      </w:r>
      <w:r>
        <w:rPr>
          <w:spacing w:val="-3"/>
        </w:rPr>
        <w:t> </w:t>
      </w:r>
      <w:r>
        <w:rPr/>
        <w:t>only</w:t>
      </w:r>
      <w:r>
        <w:rPr>
          <w:spacing w:val="-3"/>
        </w:rPr>
        <w:t> </w:t>
      </w:r>
      <w:r>
        <w:rPr/>
        <w:t>after</w:t>
      </w:r>
      <w:r>
        <w:rPr>
          <w:spacing w:val="-5"/>
        </w:rPr>
        <w:t> </w:t>
      </w:r>
      <w:r>
        <w:rPr/>
        <w:t>NOC</w:t>
      </w:r>
      <w:r>
        <w:rPr>
          <w:spacing w:val="-3"/>
        </w:rPr>
        <w:t> </w:t>
      </w:r>
      <w:r>
        <w:rPr/>
        <w:t>for</w:t>
      </w:r>
      <w:r>
        <w:rPr>
          <w:spacing w:val="-3"/>
        </w:rPr>
        <w:t> </w:t>
      </w:r>
      <w:r>
        <w:rPr/>
        <w:t>the</w:t>
      </w:r>
      <w:r>
        <w:rPr>
          <w:spacing w:val="-3"/>
        </w:rPr>
        <w:t> </w:t>
      </w:r>
      <w:r>
        <w:rPr/>
        <w:t>scheme</w:t>
      </w:r>
      <w:r>
        <w:rPr>
          <w:spacing w:val="-5"/>
        </w:rPr>
        <w:t> </w:t>
      </w:r>
      <w:r>
        <w:rPr/>
        <w:t>is</w:t>
      </w:r>
      <w:r>
        <w:rPr>
          <w:spacing w:val="-3"/>
        </w:rPr>
        <w:t> </w:t>
      </w:r>
      <w:r>
        <w:rPr/>
        <w:t>obtained</w:t>
      </w:r>
      <w:r>
        <w:rPr>
          <w:spacing w:val="-3"/>
        </w:rPr>
        <w:t> </w:t>
      </w:r>
      <w:r>
        <w:rPr/>
        <w:t>from</w:t>
      </w:r>
      <w:r>
        <w:rPr>
          <w:spacing w:val="-3"/>
        </w:rPr>
        <w:t> </w:t>
      </w:r>
      <w:r>
        <w:rPr/>
        <w:t>the</w:t>
      </w:r>
      <w:r>
        <w:rPr>
          <w:spacing w:val="-6"/>
        </w:rPr>
        <w:t> </w:t>
      </w:r>
      <w:r>
        <w:rPr/>
        <w:t>concerned Central Govt. Department.</w:t>
      </w:r>
    </w:p>
    <w:p>
      <w:pPr>
        <w:pStyle w:val="BodyText"/>
        <w:spacing w:after="0"/>
        <w:sectPr>
          <w:headerReference w:type="default" r:id="rId45"/>
          <w:footerReference w:type="default" r:id="rId46"/>
          <w:pgSz w:w="11910" w:h="16840"/>
          <w:pgMar w:header="1065" w:footer="1194" w:top="1500" w:bottom="1380" w:left="360" w:right="360"/>
        </w:sectPr>
      </w:pPr>
    </w:p>
    <w:p>
      <w:pPr>
        <w:pStyle w:val="ListParagraph"/>
        <w:numPr>
          <w:ilvl w:val="1"/>
          <w:numId w:val="195"/>
        </w:numPr>
        <w:tabs>
          <w:tab w:pos="2955" w:val="left" w:leader="none"/>
        </w:tabs>
        <w:spacing w:line="240" w:lineRule="auto" w:before="249" w:after="0"/>
        <w:ind w:left="2062" w:right="766" w:firstLine="0"/>
        <w:jc w:val="both"/>
        <w:rPr>
          <w:sz w:val="24"/>
        </w:rPr>
      </w:pPr>
      <w:r>
        <w:rPr>
          <w:sz w:val="24"/>
        </w:rPr>
        <w:t>Automatic cancellation of Vacant Land Tenure – If any land or part of any land on which slum is located is under vacant land tenure the said tenure/lease created by MCGM or Municipal Commissioner shall</w:t>
      </w:r>
      <w:r>
        <w:rPr>
          <w:spacing w:val="-6"/>
          <w:sz w:val="24"/>
        </w:rPr>
        <w:t> </w:t>
      </w:r>
      <w:r>
        <w:rPr>
          <w:sz w:val="24"/>
        </w:rPr>
        <w:t>stand</w:t>
      </w:r>
      <w:r>
        <w:rPr>
          <w:spacing w:val="-6"/>
          <w:sz w:val="24"/>
        </w:rPr>
        <w:t> </w:t>
      </w:r>
      <w:r>
        <w:rPr>
          <w:sz w:val="24"/>
        </w:rPr>
        <w:t>automatically</w:t>
      </w:r>
      <w:r>
        <w:rPr>
          <w:spacing w:val="-6"/>
          <w:sz w:val="24"/>
        </w:rPr>
        <w:t> </w:t>
      </w:r>
      <w:r>
        <w:rPr>
          <w:sz w:val="24"/>
        </w:rPr>
        <w:t>terminated</w:t>
      </w:r>
      <w:r>
        <w:rPr>
          <w:spacing w:val="-6"/>
          <w:sz w:val="24"/>
        </w:rPr>
        <w:t> </w:t>
      </w:r>
      <w:r>
        <w:rPr>
          <w:sz w:val="24"/>
        </w:rPr>
        <w:t>as</w:t>
      </w:r>
      <w:r>
        <w:rPr>
          <w:spacing w:val="-6"/>
          <w:sz w:val="24"/>
        </w:rPr>
        <w:t> </w:t>
      </w:r>
      <w:r>
        <w:rPr>
          <w:sz w:val="24"/>
        </w:rPr>
        <w:t>soon</w:t>
      </w:r>
      <w:r>
        <w:rPr>
          <w:spacing w:val="-5"/>
          <w:sz w:val="24"/>
        </w:rPr>
        <w:t> </w:t>
      </w:r>
      <w:r>
        <w:rPr>
          <w:sz w:val="24"/>
        </w:rPr>
        <w:t>as</w:t>
      </w:r>
      <w:r>
        <w:rPr>
          <w:spacing w:val="-6"/>
          <w:sz w:val="24"/>
        </w:rPr>
        <w:t> </w:t>
      </w:r>
      <w:r>
        <w:rPr>
          <w:sz w:val="24"/>
        </w:rPr>
        <w:t>DRP,</w:t>
      </w:r>
      <w:r>
        <w:rPr>
          <w:spacing w:val="-6"/>
          <w:sz w:val="24"/>
        </w:rPr>
        <w:t> </w:t>
      </w:r>
      <w:r>
        <w:rPr>
          <w:sz w:val="24"/>
        </w:rPr>
        <w:t>which</w:t>
      </w:r>
      <w:r>
        <w:rPr>
          <w:spacing w:val="-6"/>
          <w:sz w:val="24"/>
        </w:rPr>
        <w:t> </w:t>
      </w:r>
      <w:r>
        <w:rPr>
          <w:sz w:val="24"/>
        </w:rPr>
        <w:t>is</w:t>
      </w:r>
      <w:r>
        <w:rPr>
          <w:spacing w:val="-6"/>
          <w:sz w:val="24"/>
        </w:rPr>
        <w:t> </w:t>
      </w:r>
      <w:r>
        <w:rPr>
          <w:sz w:val="24"/>
        </w:rPr>
        <w:t>a</w:t>
      </w:r>
      <w:r>
        <w:rPr>
          <w:spacing w:val="-6"/>
          <w:sz w:val="24"/>
        </w:rPr>
        <w:t> </w:t>
      </w:r>
      <w:r>
        <w:rPr>
          <w:sz w:val="24"/>
        </w:rPr>
        <w:t>public purpose, on such land is prepared and submitted for approval to the DRP</w:t>
      </w:r>
      <w:r>
        <w:rPr>
          <w:spacing w:val="-5"/>
          <w:sz w:val="24"/>
        </w:rPr>
        <w:t> </w:t>
      </w:r>
      <w:r>
        <w:rPr>
          <w:sz w:val="24"/>
        </w:rPr>
        <w:t>cell</w:t>
      </w:r>
      <w:r>
        <w:rPr>
          <w:spacing w:val="-5"/>
          <w:sz w:val="24"/>
        </w:rPr>
        <w:t> </w:t>
      </w:r>
      <w:r>
        <w:rPr>
          <w:sz w:val="24"/>
        </w:rPr>
        <w:t>of</w:t>
      </w:r>
      <w:r>
        <w:rPr>
          <w:spacing w:val="-5"/>
          <w:sz w:val="24"/>
        </w:rPr>
        <w:t> </w:t>
      </w:r>
      <w:r>
        <w:rPr>
          <w:sz w:val="24"/>
        </w:rPr>
        <w:t>SRA.</w:t>
      </w:r>
      <w:r>
        <w:rPr>
          <w:spacing w:val="-5"/>
          <w:sz w:val="24"/>
        </w:rPr>
        <w:t> </w:t>
      </w:r>
      <w:r>
        <w:rPr>
          <w:sz w:val="24"/>
        </w:rPr>
        <w:t>Any</w:t>
      </w:r>
      <w:r>
        <w:rPr>
          <w:spacing w:val="-5"/>
          <w:sz w:val="24"/>
        </w:rPr>
        <w:t> </w:t>
      </w:r>
      <w:r>
        <w:rPr>
          <w:sz w:val="24"/>
        </w:rPr>
        <w:t>arrears</w:t>
      </w:r>
      <w:r>
        <w:rPr>
          <w:spacing w:val="-5"/>
          <w:sz w:val="24"/>
        </w:rPr>
        <w:t> </w:t>
      </w:r>
      <w:r>
        <w:rPr>
          <w:sz w:val="24"/>
        </w:rPr>
        <w:t>of</w:t>
      </w:r>
      <w:r>
        <w:rPr>
          <w:spacing w:val="-5"/>
          <w:sz w:val="24"/>
        </w:rPr>
        <w:t> </w:t>
      </w:r>
      <w:r>
        <w:rPr>
          <w:sz w:val="24"/>
        </w:rPr>
        <w:t>dues</w:t>
      </w:r>
      <w:r>
        <w:rPr>
          <w:spacing w:val="-5"/>
          <w:sz w:val="24"/>
        </w:rPr>
        <w:t> </w:t>
      </w:r>
      <w:r>
        <w:rPr>
          <w:sz w:val="24"/>
        </w:rPr>
        <w:t>to</w:t>
      </w:r>
      <w:r>
        <w:rPr>
          <w:spacing w:val="-5"/>
          <w:sz w:val="24"/>
        </w:rPr>
        <w:t> </w:t>
      </w:r>
      <w:r>
        <w:rPr>
          <w:sz w:val="24"/>
        </w:rPr>
        <w:t>be</w:t>
      </w:r>
      <w:r>
        <w:rPr>
          <w:spacing w:val="-5"/>
          <w:sz w:val="24"/>
        </w:rPr>
        <w:t> </w:t>
      </w:r>
      <w:r>
        <w:rPr>
          <w:sz w:val="24"/>
        </w:rPr>
        <w:t>collected</w:t>
      </w:r>
      <w:r>
        <w:rPr>
          <w:spacing w:val="-5"/>
          <w:sz w:val="24"/>
        </w:rPr>
        <w:t> </w:t>
      </w:r>
      <w:r>
        <w:rPr>
          <w:sz w:val="24"/>
        </w:rPr>
        <w:t>by</w:t>
      </w:r>
      <w:r>
        <w:rPr>
          <w:spacing w:val="-5"/>
          <w:sz w:val="24"/>
        </w:rPr>
        <w:t> </w:t>
      </w:r>
      <w:r>
        <w:rPr>
          <w:sz w:val="24"/>
        </w:rPr>
        <w:t>MCGM</w:t>
      </w:r>
      <w:r>
        <w:rPr>
          <w:spacing w:val="-5"/>
          <w:sz w:val="24"/>
        </w:rPr>
        <w:t> </w:t>
      </w:r>
      <w:r>
        <w:rPr>
          <w:sz w:val="24"/>
        </w:rPr>
        <w:t>shall</w:t>
      </w:r>
      <w:r>
        <w:rPr>
          <w:spacing w:val="-5"/>
          <w:sz w:val="24"/>
        </w:rPr>
        <w:t> </w:t>
      </w:r>
      <w:r>
        <w:rPr>
          <w:sz w:val="24"/>
        </w:rPr>
        <w:t>not be linked to the issue of any certificate or NOC relating to the DRP.</w:t>
      </w:r>
    </w:p>
    <w:p>
      <w:pPr>
        <w:pStyle w:val="ListParagraph"/>
        <w:numPr>
          <w:ilvl w:val="1"/>
          <w:numId w:val="195"/>
        </w:numPr>
        <w:tabs>
          <w:tab w:pos="2974" w:val="left" w:leader="none"/>
        </w:tabs>
        <w:spacing w:line="240" w:lineRule="auto" w:before="241" w:after="0"/>
        <w:ind w:left="2062" w:right="767" w:firstLine="0"/>
        <w:jc w:val="both"/>
        <w:rPr>
          <w:sz w:val="24"/>
        </w:rPr>
      </w:pPr>
      <w:r>
        <w:rPr>
          <w:sz w:val="24"/>
        </w:rPr>
        <w:t>Recovery of pending dues such as assessment, compensation, occupational charges, non-agricultural tax/dues etc. pending with public</w:t>
      </w:r>
      <w:r>
        <w:rPr>
          <w:spacing w:val="-1"/>
          <w:sz w:val="24"/>
        </w:rPr>
        <w:t> </w:t>
      </w:r>
      <w:r>
        <w:rPr>
          <w:sz w:val="24"/>
        </w:rPr>
        <w:t>authorities</w:t>
      </w:r>
      <w:r>
        <w:rPr>
          <w:spacing w:val="-1"/>
          <w:sz w:val="24"/>
        </w:rPr>
        <w:t> </w:t>
      </w:r>
      <w:r>
        <w:rPr>
          <w:sz w:val="24"/>
        </w:rPr>
        <w:t>such</w:t>
      </w:r>
      <w:r>
        <w:rPr>
          <w:spacing w:val="-1"/>
          <w:sz w:val="24"/>
        </w:rPr>
        <w:t> </w:t>
      </w:r>
      <w:r>
        <w:rPr>
          <w:sz w:val="24"/>
        </w:rPr>
        <w:t>as State</w:t>
      </w:r>
      <w:r>
        <w:rPr>
          <w:spacing w:val="-1"/>
          <w:sz w:val="24"/>
        </w:rPr>
        <w:t> </w:t>
      </w:r>
      <w:r>
        <w:rPr>
          <w:sz w:val="24"/>
        </w:rPr>
        <w:t>Govt,</w:t>
      </w:r>
      <w:r>
        <w:rPr>
          <w:spacing w:val="-1"/>
          <w:sz w:val="24"/>
        </w:rPr>
        <w:t> </w:t>
      </w:r>
      <w:r>
        <w:rPr>
          <w:sz w:val="24"/>
        </w:rPr>
        <w:t>MHADA,</w:t>
      </w:r>
      <w:r>
        <w:rPr>
          <w:spacing w:val="-1"/>
          <w:sz w:val="24"/>
        </w:rPr>
        <w:t> </w:t>
      </w:r>
      <w:r>
        <w:rPr>
          <w:sz w:val="24"/>
        </w:rPr>
        <w:t>and/or</w:t>
      </w:r>
      <w:r>
        <w:rPr>
          <w:spacing w:val="-1"/>
          <w:sz w:val="24"/>
        </w:rPr>
        <w:t> </w:t>
      </w:r>
      <w:r>
        <w:rPr>
          <w:sz w:val="24"/>
        </w:rPr>
        <w:t>MCGM shall</w:t>
      </w:r>
      <w:r>
        <w:rPr>
          <w:spacing w:val="-1"/>
          <w:sz w:val="24"/>
        </w:rPr>
        <w:t> </w:t>
      </w:r>
      <w:r>
        <w:rPr>
          <w:sz w:val="24"/>
        </w:rPr>
        <w:t>be dealt</w:t>
      </w:r>
      <w:r>
        <w:rPr>
          <w:spacing w:val="-1"/>
          <w:sz w:val="24"/>
        </w:rPr>
        <w:t> </w:t>
      </w:r>
      <w:r>
        <w:rPr>
          <w:sz w:val="24"/>
        </w:rPr>
        <w:t>with</w:t>
      </w:r>
      <w:r>
        <w:rPr>
          <w:spacing w:val="-1"/>
          <w:sz w:val="24"/>
        </w:rPr>
        <w:t> </w:t>
      </w:r>
      <w:r>
        <w:rPr>
          <w:sz w:val="24"/>
        </w:rPr>
        <w:t>separately and</w:t>
      </w:r>
      <w:r>
        <w:rPr>
          <w:spacing w:val="-1"/>
          <w:sz w:val="24"/>
        </w:rPr>
        <w:t> </w:t>
      </w:r>
      <w:r>
        <w:rPr>
          <w:sz w:val="24"/>
        </w:rPr>
        <w:t>not</w:t>
      </w:r>
      <w:r>
        <w:rPr>
          <w:spacing w:val="-1"/>
          <w:sz w:val="24"/>
        </w:rPr>
        <w:t> </w:t>
      </w:r>
      <w:r>
        <w:rPr>
          <w:sz w:val="24"/>
        </w:rPr>
        <w:t>be</w:t>
      </w:r>
      <w:r>
        <w:rPr>
          <w:spacing w:val="-1"/>
          <w:sz w:val="24"/>
        </w:rPr>
        <w:t> </w:t>
      </w:r>
      <w:r>
        <w:rPr>
          <w:sz w:val="24"/>
        </w:rPr>
        <w:t>linked to grant</w:t>
      </w:r>
      <w:r>
        <w:rPr>
          <w:spacing w:val="-1"/>
          <w:sz w:val="24"/>
        </w:rPr>
        <w:t> </w:t>
      </w:r>
      <w:r>
        <w:rPr>
          <w:sz w:val="24"/>
        </w:rPr>
        <w:t>of</w:t>
      </w:r>
      <w:r>
        <w:rPr>
          <w:spacing w:val="-1"/>
          <w:sz w:val="24"/>
        </w:rPr>
        <w:t> </w:t>
      </w:r>
      <w:r>
        <w:rPr>
          <w:sz w:val="24"/>
        </w:rPr>
        <w:t>approval</w:t>
      </w:r>
      <w:r>
        <w:rPr>
          <w:spacing w:val="-1"/>
          <w:sz w:val="24"/>
        </w:rPr>
        <w:t> </w:t>
      </w:r>
      <w:r>
        <w:rPr>
          <w:sz w:val="24"/>
        </w:rPr>
        <w:t>or building permission to the DRP.</w:t>
      </w:r>
    </w:p>
    <w:p>
      <w:pPr>
        <w:pStyle w:val="ListParagraph"/>
        <w:numPr>
          <w:ilvl w:val="1"/>
          <w:numId w:val="195"/>
        </w:numPr>
        <w:tabs>
          <w:tab w:pos="2778" w:val="left" w:leader="none"/>
        </w:tabs>
        <w:spacing w:line="240" w:lineRule="auto" w:before="241" w:after="0"/>
        <w:ind w:left="2062" w:right="773" w:firstLine="0"/>
        <w:jc w:val="both"/>
        <w:rPr>
          <w:sz w:val="24"/>
        </w:rPr>
      </w:pPr>
      <w:r>
        <w:rPr>
          <w:sz w:val="24"/>
        </w:rPr>
        <w:t>In respect of those eligible hutment dwellers on site who do not join the Project willingly the following steps shall be taken:</w:t>
      </w:r>
    </w:p>
    <w:p>
      <w:pPr>
        <w:pStyle w:val="ListParagraph"/>
        <w:numPr>
          <w:ilvl w:val="0"/>
          <w:numId w:val="196"/>
        </w:numPr>
        <w:tabs>
          <w:tab w:pos="2780" w:val="left" w:leader="none"/>
        </w:tabs>
        <w:spacing w:line="240" w:lineRule="auto" w:before="240" w:after="0"/>
        <w:ind w:left="2062" w:right="772" w:firstLine="0"/>
        <w:jc w:val="both"/>
        <w:rPr>
          <w:sz w:val="24"/>
        </w:rPr>
      </w:pPr>
      <w:r>
        <w:rPr>
          <w:sz w:val="24"/>
        </w:rPr>
        <w:t>Provision for all of them shall be made in the renewal/rehabilitation component of the scheme.</w:t>
      </w:r>
    </w:p>
    <w:p>
      <w:pPr>
        <w:pStyle w:val="ListParagraph"/>
        <w:numPr>
          <w:ilvl w:val="0"/>
          <w:numId w:val="196"/>
        </w:numPr>
        <w:tabs>
          <w:tab w:pos="2781" w:val="left" w:leader="none"/>
        </w:tabs>
        <w:spacing w:line="240" w:lineRule="auto" w:before="241" w:after="0"/>
        <w:ind w:left="2062" w:right="771" w:firstLine="0"/>
        <w:jc w:val="both"/>
        <w:rPr>
          <w:sz w:val="24"/>
        </w:rPr>
      </w:pPr>
      <w:r>
        <w:rPr>
          <w:sz w:val="24"/>
        </w:rPr>
        <w:t>The transit tenement that would be allotted to them would also be indicated along with those who have joined the Project</w:t>
      </w:r>
    </w:p>
    <w:p>
      <w:pPr>
        <w:pStyle w:val="ListParagraph"/>
        <w:numPr>
          <w:ilvl w:val="0"/>
          <w:numId w:val="196"/>
        </w:numPr>
        <w:tabs>
          <w:tab w:pos="2781" w:val="left" w:leader="none"/>
        </w:tabs>
        <w:spacing w:line="240" w:lineRule="auto" w:before="238" w:after="0"/>
        <w:ind w:left="2062" w:right="769" w:firstLine="0"/>
        <w:jc w:val="both"/>
        <w:rPr>
          <w:sz w:val="24"/>
        </w:rPr>
      </w:pPr>
      <w:r>
        <w:rPr>
          <w:sz w:val="24"/>
        </w:rPr>
        <w:t>If they do not join the scheme within 15 days after the developer informs OSD, DRP (SRA) of the unwillingness of the said dweller, then action</w:t>
      </w:r>
      <w:r>
        <w:rPr>
          <w:spacing w:val="-13"/>
          <w:sz w:val="24"/>
        </w:rPr>
        <w:t> </w:t>
      </w:r>
      <w:r>
        <w:rPr>
          <w:sz w:val="24"/>
        </w:rPr>
        <w:t>under</w:t>
      </w:r>
      <w:r>
        <w:rPr>
          <w:spacing w:val="-13"/>
          <w:sz w:val="24"/>
        </w:rPr>
        <w:t> </w:t>
      </w:r>
      <w:r>
        <w:rPr>
          <w:sz w:val="24"/>
        </w:rPr>
        <w:t>the</w:t>
      </w:r>
      <w:r>
        <w:rPr>
          <w:spacing w:val="-13"/>
          <w:sz w:val="24"/>
        </w:rPr>
        <w:t> </w:t>
      </w:r>
      <w:r>
        <w:rPr>
          <w:sz w:val="24"/>
        </w:rPr>
        <w:t>relevant</w:t>
      </w:r>
      <w:r>
        <w:rPr>
          <w:spacing w:val="-13"/>
          <w:sz w:val="24"/>
        </w:rPr>
        <w:t> </w:t>
      </w:r>
      <w:r>
        <w:rPr>
          <w:sz w:val="24"/>
        </w:rPr>
        <w:t>provisions</w:t>
      </w:r>
      <w:r>
        <w:rPr>
          <w:spacing w:val="-13"/>
          <w:sz w:val="24"/>
        </w:rPr>
        <w:t> </w:t>
      </w:r>
      <w:r>
        <w:rPr>
          <w:sz w:val="24"/>
        </w:rPr>
        <w:t>of</w:t>
      </w:r>
      <w:r>
        <w:rPr>
          <w:spacing w:val="-13"/>
          <w:sz w:val="24"/>
        </w:rPr>
        <w:t> </w:t>
      </w:r>
      <w:r>
        <w:rPr>
          <w:sz w:val="24"/>
        </w:rPr>
        <w:t>the</w:t>
      </w:r>
      <w:r>
        <w:rPr>
          <w:spacing w:val="-13"/>
          <w:sz w:val="24"/>
        </w:rPr>
        <w:t> </w:t>
      </w:r>
      <w:r>
        <w:rPr>
          <w:sz w:val="24"/>
        </w:rPr>
        <w:t>Slum</w:t>
      </w:r>
      <w:r>
        <w:rPr>
          <w:spacing w:val="-13"/>
          <w:sz w:val="24"/>
        </w:rPr>
        <w:t> </w:t>
      </w:r>
      <w:r>
        <w:rPr>
          <w:sz w:val="24"/>
        </w:rPr>
        <w:t>Act,</w:t>
      </w:r>
      <w:r>
        <w:rPr>
          <w:spacing w:val="-13"/>
          <w:sz w:val="24"/>
        </w:rPr>
        <w:t> </w:t>
      </w:r>
      <w:r>
        <w:rPr>
          <w:sz w:val="24"/>
        </w:rPr>
        <w:t>shall</w:t>
      </w:r>
      <w:r>
        <w:rPr>
          <w:spacing w:val="-13"/>
          <w:sz w:val="24"/>
        </w:rPr>
        <w:t> </w:t>
      </w:r>
      <w:r>
        <w:rPr>
          <w:sz w:val="24"/>
        </w:rPr>
        <w:t>be</w:t>
      </w:r>
      <w:r>
        <w:rPr>
          <w:spacing w:val="-13"/>
          <w:sz w:val="24"/>
        </w:rPr>
        <w:t> </w:t>
      </w:r>
      <w:r>
        <w:rPr>
          <w:sz w:val="24"/>
        </w:rPr>
        <w:t>taken</w:t>
      </w:r>
      <w:r>
        <w:rPr>
          <w:spacing w:val="-13"/>
          <w:sz w:val="24"/>
        </w:rPr>
        <w:t> </w:t>
      </w:r>
      <w:r>
        <w:rPr>
          <w:sz w:val="24"/>
        </w:rPr>
        <w:t>and their structures will be removed, and it shall be ensured that no obstruction</w:t>
      </w:r>
      <w:r>
        <w:rPr>
          <w:spacing w:val="-15"/>
          <w:sz w:val="24"/>
        </w:rPr>
        <w:t> </w:t>
      </w:r>
      <w:r>
        <w:rPr>
          <w:sz w:val="24"/>
        </w:rPr>
        <w:t>is</w:t>
      </w:r>
      <w:r>
        <w:rPr>
          <w:spacing w:val="-15"/>
          <w:sz w:val="24"/>
        </w:rPr>
        <w:t> </w:t>
      </w:r>
      <w:r>
        <w:rPr>
          <w:sz w:val="24"/>
        </w:rPr>
        <w:t>caused</w:t>
      </w:r>
      <w:r>
        <w:rPr>
          <w:spacing w:val="-15"/>
          <w:sz w:val="24"/>
        </w:rPr>
        <w:t> </w:t>
      </w:r>
      <w:r>
        <w:rPr>
          <w:sz w:val="24"/>
        </w:rPr>
        <w:t>to</w:t>
      </w:r>
      <w:r>
        <w:rPr>
          <w:spacing w:val="-15"/>
          <w:sz w:val="24"/>
        </w:rPr>
        <w:t> </w:t>
      </w:r>
      <w:r>
        <w:rPr>
          <w:sz w:val="24"/>
        </w:rPr>
        <w:t>the</w:t>
      </w:r>
      <w:r>
        <w:rPr>
          <w:spacing w:val="-15"/>
          <w:sz w:val="24"/>
        </w:rPr>
        <w:t> </w:t>
      </w:r>
      <w:r>
        <w:rPr>
          <w:sz w:val="24"/>
        </w:rPr>
        <w:t>scheme</w:t>
      </w:r>
      <w:r>
        <w:rPr>
          <w:spacing w:val="-15"/>
          <w:sz w:val="24"/>
        </w:rPr>
        <w:t> </w:t>
      </w:r>
      <w:r>
        <w:rPr>
          <w:sz w:val="24"/>
        </w:rPr>
        <w:t>of</w:t>
      </w:r>
      <w:r>
        <w:rPr>
          <w:spacing w:val="-15"/>
          <w:sz w:val="24"/>
        </w:rPr>
        <w:t> </w:t>
      </w:r>
      <w:r>
        <w:rPr>
          <w:sz w:val="24"/>
        </w:rPr>
        <w:t>the</w:t>
      </w:r>
      <w:r>
        <w:rPr>
          <w:spacing w:val="-15"/>
          <w:sz w:val="24"/>
        </w:rPr>
        <w:t> </w:t>
      </w:r>
      <w:r>
        <w:rPr>
          <w:sz w:val="24"/>
        </w:rPr>
        <w:t>majority</w:t>
      </w:r>
      <w:r>
        <w:rPr>
          <w:spacing w:val="-15"/>
          <w:sz w:val="24"/>
        </w:rPr>
        <w:t> </w:t>
      </w:r>
      <w:r>
        <w:rPr>
          <w:sz w:val="24"/>
        </w:rPr>
        <w:t>of</w:t>
      </w:r>
      <w:r>
        <w:rPr>
          <w:spacing w:val="-15"/>
          <w:sz w:val="24"/>
        </w:rPr>
        <w:t> </w:t>
      </w:r>
      <w:r>
        <w:rPr>
          <w:sz w:val="24"/>
        </w:rPr>
        <w:t>persons</w:t>
      </w:r>
      <w:r>
        <w:rPr>
          <w:spacing w:val="-13"/>
          <w:sz w:val="24"/>
        </w:rPr>
        <w:t> </w:t>
      </w:r>
      <w:r>
        <w:rPr>
          <w:sz w:val="24"/>
        </w:rPr>
        <w:t>who</w:t>
      </w:r>
      <w:r>
        <w:rPr>
          <w:spacing w:val="-15"/>
          <w:sz w:val="24"/>
        </w:rPr>
        <w:t> </w:t>
      </w:r>
      <w:r>
        <w:rPr>
          <w:sz w:val="24"/>
        </w:rPr>
        <w:t>have joined the scheme willingly.</w:t>
      </w:r>
    </w:p>
    <w:p>
      <w:pPr>
        <w:pStyle w:val="ListParagraph"/>
        <w:numPr>
          <w:ilvl w:val="0"/>
          <w:numId w:val="196"/>
        </w:numPr>
        <w:tabs>
          <w:tab w:pos="2781" w:val="left" w:leader="none"/>
        </w:tabs>
        <w:spacing w:line="240" w:lineRule="auto" w:before="242" w:after="0"/>
        <w:ind w:left="2062" w:right="768" w:firstLine="0"/>
        <w:jc w:val="both"/>
        <w:rPr>
          <w:sz w:val="24"/>
        </w:rPr>
      </w:pPr>
      <w:r>
        <w:rPr>
          <w:sz w:val="24"/>
        </w:rPr>
        <w:t>After this action under the foregoing clause is initiated, they will not be eligible for transit tenement along with the others, and they will not</w:t>
      </w:r>
      <w:r>
        <w:rPr>
          <w:spacing w:val="-1"/>
          <w:sz w:val="24"/>
        </w:rPr>
        <w:t> </w:t>
      </w:r>
      <w:r>
        <w:rPr>
          <w:sz w:val="24"/>
        </w:rPr>
        <w:t>be</w:t>
      </w:r>
      <w:r>
        <w:rPr>
          <w:spacing w:val="-1"/>
          <w:sz w:val="24"/>
        </w:rPr>
        <w:t> </w:t>
      </w:r>
      <w:r>
        <w:rPr>
          <w:sz w:val="24"/>
        </w:rPr>
        <w:t>eligible</w:t>
      </w:r>
      <w:r>
        <w:rPr>
          <w:spacing w:val="-1"/>
          <w:sz w:val="24"/>
        </w:rPr>
        <w:t> </w:t>
      </w:r>
      <w:r>
        <w:rPr>
          <w:sz w:val="24"/>
        </w:rPr>
        <w:t>for</w:t>
      </w:r>
      <w:r>
        <w:rPr>
          <w:spacing w:val="-1"/>
          <w:sz w:val="24"/>
        </w:rPr>
        <w:t> </w:t>
      </w:r>
      <w:r>
        <w:rPr>
          <w:sz w:val="24"/>
        </w:rPr>
        <w:t>the</w:t>
      </w:r>
      <w:r>
        <w:rPr>
          <w:spacing w:val="-1"/>
          <w:sz w:val="24"/>
        </w:rPr>
        <w:t> </w:t>
      </w:r>
      <w:r>
        <w:rPr>
          <w:sz w:val="24"/>
        </w:rPr>
        <w:t>reconstructed</w:t>
      </w:r>
      <w:r>
        <w:rPr>
          <w:spacing w:val="-1"/>
          <w:sz w:val="24"/>
        </w:rPr>
        <w:t> </w:t>
      </w:r>
      <w:r>
        <w:rPr>
          <w:sz w:val="24"/>
        </w:rPr>
        <w:t>tenement</w:t>
      </w:r>
      <w:r>
        <w:rPr>
          <w:spacing w:val="-1"/>
          <w:sz w:val="24"/>
        </w:rPr>
        <w:t> </w:t>
      </w:r>
      <w:r>
        <w:rPr>
          <w:sz w:val="24"/>
        </w:rPr>
        <w:t>by</w:t>
      </w:r>
      <w:r>
        <w:rPr>
          <w:spacing w:val="-1"/>
          <w:sz w:val="24"/>
        </w:rPr>
        <w:t> </w:t>
      </w:r>
      <w:r>
        <w:rPr>
          <w:sz w:val="24"/>
        </w:rPr>
        <w:t>lots,</w:t>
      </w:r>
      <w:r>
        <w:rPr>
          <w:spacing w:val="-1"/>
          <w:sz w:val="24"/>
        </w:rPr>
        <w:t> </w:t>
      </w:r>
      <w:r>
        <w:rPr>
          <w:sz w:val="24"/>
        </w:rPr>
        <w:t>but</w:t>
      </w:r>
      <w:r>
        <w:rPr>
          <w:spacing w:val="-1"/>
          <w:sz w:val="24"/>
        </w:rPr>
        <w:t> </w:t>
      </w:r>
      <w:r>
        <w:rPr>
          <w:sz w:val="24"/>
        </w:rPr>
        <w:t>they</w:t>
      </w:r>
      <w:r>
        <w:rPr>
          <w:spacing w:val="-1"/>
          <w:sz w:val="24"/>
        </w:rPr>
        <w:t> </w:t>
      </w:r>
      <w:r>
        <w:rPr>
          <w:sz w:val="24"/>
        </w:rPr>
        <w:t>will</w:t>
      </w:r>
      <w:r>
        <w:rPr>
          <w:spacing w:val="-1"/>
          <w:sz w:val="24"/>
        </w:rPr>
        <w:t> </w:t>
      </w:r>
      <w:r>
        <w:rPr>
          <w:sz w:val="24"/>
        </w:rPr>
        <w:t>still be</w:t>
      </w:r>
      <w:r>
        <w:rPr>
          <w:spacing w:val="-11"/>
          <w:sz w:val="24"/>
        </w:rPr>
        <w:t> </w:t>
      </w:r>
      <w:r>
        <w:rPr>
          <w:sz w:val="24"/>
        </w:rPr>
        <w:t>entitled</w:t>
      </w:r>
      <w:r>
        <w:rPr>
          <w:spacing w:val="-11"/>
          <w:sz w:val="24"/>
        </w:rPr>
        <w:t> </w:t>
      </w:r>
      <w:r>
        <w:rPr>
          <w:sz w:val="24"/>
        </w:rPr>
        <w:t>only</w:t>
      </w:r>
      <w:r>
        <w:rPr>
          <w:spacing w:val="-11"/>
          <w:sz w:val="24"/>
        </w:rPr>
        <w:t> </w:t>
      </w:r>
      <w:r>
        <w:rPr>
          <w:sz w:val="24"/>
        </w:rPr>
        <w:t>to</w:t>
      </w:r>
      <w:r>
        <w:rPr>
          <w:spacing w:val="-11"/>
          <w:sz w:val="24"/>
        </w:rPr>
        <w:t> </w:t>
      </w:r>
      <w:r>
        <w:rPr>
          <w:sz w:val="24"/>
        </w:rPr>
        <w:t>what</w:t>
      </w:r>
      <w:r>
        <w:rPr>
          <w:spacing w:val="-11"/>
          <w:sz w:val="24"/>
        </w:rPr>
        <w:t> </w:t>
      </w:r>
      <w:r>
        <w:rPr>
          <w:sz w:val="24"/>
        </w:rPr>
        <w:t>is</w:t>
      </w:r>
      <w:r>
        <w:rPr>
          <w:spacing w:val="-11"/>
          <w:sz w:val="24"/>
        </w:rPr>
        <w:t> </w:t>
      </w:r>
      <w:r>
        <w:rPr>
          <w:sz w:val="24"/>
        </w:rPr>
        <w:t>available</w:t>
      </w:r>
      <w:r>
        <w:rPr>
          <w:spacing w:val="-11"/>
          <w:sz w:val="24"/>
        </w:rPr>
        <w:t> </w:t>
      </w:r>
      <w:r>
        <w:rPr>
          <w:sz w:val="24"/>
        </w:rPr>
        <w:t>after</w:t>
      </w:r>
      <w:r>
        <w:rPr>
          <w:spacing w:val="-13"/>
          <w:sz w:val="24"/>
        </w:rPr>
        <w:t> </w:t>
      </w:r>
      <w:r>
        <w:rPr>
          <w:sz w:val="24"/>
        </w:rPr>
        <w:t>others</w:t>
      </w:r>
      <w:r>
        <w:rPr>
          <w:spacing w:val="-11"/>
          <w:sz w:val="24"/>
        </w:rPr>
        <w:t> </w:t>
      </w:r>
      <w:r>
        <w:rPr>
          <w:sz w:val="24"/>
        </w:rPr>
        <w:t>have</w:t>
      </w:r>
      <w:r>
        <w:rPr>
          <w:spacing w:val="-11"/>
          <w:sz w:val="24"/>
        </w:rPr>
        <w:t> </w:t>
      </w:r>
      <w:r>
        <w:rPr>
          <w:sz w:val="24"/>
        </w:rPr>
        <w:t>chosen</w:t>
      </w:r>
      <w:r>
        <w:rPr>
          <w:spacing w:val="-13"/>
          <w:sz w:val="24"/>
        </w:rPr>
        <w:t> </w:t>
      </w:r>
      <w:r>
        <w:rPr>
          <w:sz w:val="24"/>
        </w:rPr>
        <w:t>which</w:t>
      </w:r>
      <w:r>
        <w:rPr>
          <w:spacing w:val="-11"/>
          <w:sz w:val="24"/>
        </w:rPr>
        <w:t> </w:t>
      </w:r>
      <w:r>
        <w:rPr>
          <w:sz w:val="24"/>
        </w:rPr>
        <w:t>may be on the same or some other site.</w:t>
      </w:r>
    </w:p>
    <w:p>
      <w:pPr>
        <w:pStyle w:val="ListParagraph"/>
        <w:numPr>
          <w:ilvl w:val="0"/>
          <w:numId w:val="196"/>
        </w:numPr>
        <w:tabs>
          <w:tab w:pos="2781" w:val="left" w:leader="none"/>
        </w:tabs>
        <w:spacing w:line="240" w:lineRule="auto" w:before="120" w:after="0"/>
        <w:ind w:left="2062" w:right="768" w:firstLine="0"/>
        <w:jc w:val="both"/>
        <w:rPr>
          <w:sz w:val="24"/>
        </w:rPr>
      </w:pPr>
      <w:r>
        <w:rPr>
          <w:sz w:val="24"/>
        </w:rPr>
        <w:t>If they do not join till the building permission to the Project is given, they will completely lose the right to any built-up tenement, and their</w:t>
      </w:r>
      <w:r>
        <w:rPr>
          <w:spacing w:val="-10"/>
          <w:sz w:val="24"/>
        </w:rPr>
        <w:t> </w:t>
      </w:r>
      <w:r>
        <w:rPr>
          <w:sz w:val="24"/>
        </w:rPr>
        <w:t>tenement</w:t>
      </w:r>
      <w:r>
        <w:rPr>
          <w:spacing w:val="-9"/>
          <w:sz w:val="24"/>
        </w:rPr>
        <w:t> </w:t>
      </w:r>
      <w:r>
        <w:rPr>
          <w:sz w:val="24"/>
        </w:rPr>
        <w:t>shall</w:t>
      </w:r>
      <w:r>
        <w:rPr>
          <w:spacing w:val="-7"/>
          <w:sz w:val="24"/>
        </w:rPr>
        <w:t> </w:t>
      </w:r>
      <w:r>
        <w:rPr>
          <w:sz w:val="24"/>
        </w:rPr>
        <w:t>be</w:t>
      </w:r>
      <w:r>
        <w:rPr>
          <w:spacing w:val="-10"/>
          <w:sz w:val="24"/>
        </w:rPr>
        <w:t> </w:t>
      </w:r>
      <w:r>
        <w:rPr>
          <w:sz w:val="24"/>
        </w:rPr>
        <w:t>taken</w:t>
      </w:r>
      <w:r>
        <w:rPr>
          <w:spacing w:val="-10"/>
          <w:sz w:val="24"/>
        </w:rPr>
        <w:t> </w:t>
      </w:r>
      <w:r>
        <w:rPr>
          <w:sz w:val="24"/>
        </w:rPr>
        <w:t>over</w:t>
      </w:r>
      <w:r>
        <w:rPr>
          <w:spacing w:val="-10"/>
          <w:sz w:val="24"/>
        </w:rPr>
        <w:t> </w:t>
      </w:r>
      <w:r>
        <w:rPr>
          <w:sz w:val="24"/>
        </w:rPr>
        <w:t>by</w:t>
      </w:r>
      <w:r>
        <w:rPr>
          <w:spacing w:val="-10"/>
          <w:sz w:val="24"/>
        </w:rPr>
        <w:t> </w:t>
      </w:r>
      <w:r>
        <w:rPr>
          <w:sz w:val="24"/>
        </w:rPr>
        <w:t>the</w:t>
      </w:r>
      <w:r>
        <w:rPr>
          <w:spacing w:val="-7"/>
          <w:sz w:val="24"/>
        </w:rPr>
        <w:t> </w:t>
      </w:r>
      <w:r>
        <w:rPr>
          <w:sz w:val="24"/>
        </w:rPr>
        <w:t>SRA</w:t>
      </w:r>
      <w:r>
        <w:rPr>
          <w:spacing w:val="-9"/>
          <w:sz w:val="24"/>
        </w:rPr>
        <w:t> </w:t>
      </w:r>
      <w:r>
        <w:rPr>
          <w:sz w:val="24"/>
        </w:rPr>
        <w:t>and</w:t>
      </w:r>
      <w:r>
        <w:rPr>
          <w:spacing w:val="-10"/>
          <w:sz w:val="24"/>
        </w:rPr>
        <w:t> </w:t>
      </w:r>
      <w:r>
        <w:rPr>
          <w:sz w:val="24"/>
        </w:rPr>
        <w:t>used</w:t>
      </w:r>
      <w:r>
        <w:rPr>
          <w:spacing w:val="-10"/>
          <w:sz w:val="24"/>
        </w:rPr>
        <w:t> </w:t>
      </w:r>
      <w:r>
        <w:rPr>
          <w:sz w:val="24"/>
        </w:rPr>
        <w:t>for</w:t>
      </w:r>
      <w:r>
        <w:rPr>
          <w:spacing w:val="-10"/>
          <w:sz w:val="24"/>
        </w:rPr>
        <w:t> </w:t>
      </w:r>
      <w:r>
        <w:rPr>
          <w:sz w:val="24"/>
        </w:rPr>
        <w:t>the</w:t>
      </w:r>
      <w:r>
        <w:rPr>
          <w:spacing w:val="-10"/>
          <w:sz w:val="24"/>
        </w:rPr>
        <w:t> </w:t>
      </w:r>
      <w:r>
        <w:rPr>
          <w:sz w:val="24"/>
        </w:rPr>
        <w:t>purpose of accommodating pavement dwellers and other slum dwellers who cannot be accommodated in situ etc.</w:t>
      </w:r>
    </w:p>
    <w:p>
      <w:pPr>
        <w:pStyle w:val="ListParagraph"/>
        <w:numPr>
          <w:ilvl w:val="0"/>
          <w:numId w:val="196"/>
        </w:numPr>
        <w:tabs>
          <w:tab w:pos="2858" w:val="left" w:leader="none"/>
        </w:tabs>
        <w:spacing w:line="240" w:lineRule="auto" w:before="121" w:after="0"/>
        <w:ind w:left="2062" w:right="771" w:firstLine="0"/>
        <w:jc w:val="both"/>
        <w:rPr>
          <w:sz w:val="24"/>
        </w:rPr>
      </w:pPr>
      <w:r>
        <w:rPr>
          <w:sz w:val="24"/>
        </w:rPr>
        <w:t>A pitch of about 3m x 3.5m will be given elsewhere if and when available, and construction therein will have to be done on their own.</w:t>
      </w:r>
    </w:p>
    <w:p>
      <w:pPr>
        <w:pStyle w:val="ListParagraph"/>
        <w:numPr>
          <w:ilvl w:val="1"/>
          <w:numId w:val="195"/>
        </w:numPr>
        <w:tabs>
          <w:tab w:pos="2778" w:val="left" w:leader="none"/>
        </w:tabs>
        <w:spacing w:line="240" w:lineRule="auto" w:before="118" w:after="0"/>
        <w:ind w:left="2062" w:right="767" w:firstLine="0"/>
        <w:jc w:val="both"/>
        <w:rPr>
          <w:sz w:val="24"/>
        </w:rPr>
      </w:pPr>
      <w:r>
        <w:rPr>
          <w:sz w:val="24"/>
        </w:rPr>
        <w:t>The Managing Committee of the Co-operative Housing Society of hutment dwellers to be formed after allotment of reconstructed tenements shall have women to the extent of one-third of the total strength of actual members on the committee at any time.</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1"/>
          <w:numId w:val="195"/>
        </w:numPr>
        <w:tabs>
          <w:tab w:pos="2778" w:val="left" w:leader="none"/>
        </w:tabs>
        <w:spacing w:line="240" w:lineRule="auto" w:before="249" w:after="0"/>
        <w:ind w:left="2062" w:right="768" w:firstLine="0"/>
        <w:jc w:val="both"/>
        <w:rPr>
          <w:sz w:val="24"/>
        </w:rPr>
      </w:pPr>
      <w:r>
        <w:rPr>
          <w:sz w:val="24"/>
        </w:rPr>
        <w:t>Restriction on Transfer of Tenements: The tenement obtained under this scheme cannot be sold/leased/assigned or transferred in any manner for a period of ten years from the date of allotment/ possession of the tenement.</w:t>
      </w:r>
      <w:r>
        <w:rPr>
          <w:spacing w:val="40"/>
          <w:sz w:val="24"/>
        </w:rPr>
        <w:t> </w:t>
      </w:r>
      <w:r>
        <w:rPr>
          <w:sz w:val="24"/>
        </w:rPr>
        <w:t>In case of breach of conditions, except transfer to legal heir, the tenement will be taken over by Slum Rehabilitation Authority.</w:t>
      </w:r>
    </w:p>
    <w:p>
      <w:pPr>
        <w:pStyle w:val="BodyText"/>
        <w:spacing w:before="242"/>
        <w:ind w:left="2062" w:right="767"/>
      </w:pPr>
      <w:r>
        <w:rPr/>
        <w:t>1“The concerned land owning authority shall give development</w:t>
      </w:r>
      <w:r>
        <w:rPr>
          <w:spacing w:val="40"/>
        </w:rPr>
        <w:t> </w:t>
      </w:r>
      <w:r>
        <w:rPr/>
        <w:t>rights on</w:t>
      </w:r>
      <w:r>
        <w:rPr>
          <w:spacing w:val="-20"/>
        </w:rPr>
        <w:t> </w:t>
      </w:r>
      <w:r>
        <w:rPr/>
        <w:t>their</w:t>
      </w:r>
      <w:r>
        <w:rPr>
          <w:spacing w:val="-19"/>
        </w:rPr>
        <w:t> </w:t>
      </w:r>
      <w:r>
        <w:rPr/>
        <w:t>land</w:t>
      </w:r>
      <w:r>
        <w:rPr>
          <w:spacing w:val="21"/>
        </w:rPr>
        <w:t> </w:t>
      </w:r>
      <w:r>
        <w:rPr/>
        <w:t>to</w:t>
      </w:r>
      <w:r>
        <w:rPr>
          <w:spacing w:val="-19"/>
        </w:rPr>
        <w:t> </w:t>
      </w:r>
      <w:r>
        <w:rPr/>
        <w:t>DRP</w:t>
      </w:r>
      <w:r>
        <w:rPr>
          <w:spacing w:val="-18"/>
        </w:rPr>
        <w:t> </w:t>
      </w:r>
      <w:r>
        <w:rPr/>
        <w:t>(SRA)</w:t>
      </w:r>
      <w:r>
        <w:rPr>
          <w:spacing w:val="-20"/>
        </w:rPr>
        <w:t> </w:t>
      </w:r>
      <w:r>
        <w:rPr/>
        <w:t>in</w:t>
      </w:r>
      <w:r>
        <w:rPr>
          <w:spacing w:val="-19"/>
        </w:rPr>
        <w:t> </w:t>
      </w:r>
      <w:r>
        <w:rPr/>
        <w:t>lieu</w:t>
      </w:r>
      <w:r>
        <w:rPr>
          <w:spacing w:val="-19"/>
        </w:rPr>
        <w:t> </w:t>
      </w:r>
      <w:r>
        <w:rPr/>
        <w:t>of</w:t>
      </w:r>
      <w:r>
        <w:rPr>
          <w:spacing w:val="-19"/>
        </w:rPr>
        <w:t> </w:t>
      </w:r>
      <w:r>
        <w:rPr/>
        <w:t>70%</w:t>
      </w:r>
      <w:r>
        <w:rPr>
          <w:spacing w:val="-18"/>
        </w:rPr>
        <w:t> </w:t>
      </w:r>
      <w:r>
        <w:rPr/>
        <w:t>of</w:t>
      </w:r>
      <w:r>
        <w:rPr>
          <w:spacing w:val="-20"/>
        </w:rPr>
        <w:t> </w:t>
      </w:r>
      <w:r>
        <w:rPr/>
        <w:t>net</w:t>
      </w:r>
      <w:r>
        <w:rPr>
          <w:spacing w:val="36"/>
        </w:rPr>
        <w:t> </w:t>
      </w:r>
      <w:r>
        <w:rPr/>
        <w:t>premium</w:t>
      </w:r>
      <w:r>
        <w:rPr>
          <w:spacing w:val="-20"/>
        </w:rPr>
        <w:t> </w:t>
      </w:r>
      <w:r>
        <w:rPr/>
        <w:t>that</w:t>
      </w:r>
      <w:r>
        <w:rPr>
          <w:spacing w:val="-18"/>
        </w:rPr>
        <w:t> </w:t>
      </w:r>
      <w:r>
        <w:rPr/>
        <w:t>is</w:t>
      </w:r>
      <w:r>
        <w:rPr>
          <w:spacing w:val="-20"/>
        </w:rPr>
        <w:t> </w:t>
      </w:r>
      <w:r>
        <w:rPr/>
        <w:t>payable by</w:t>
      </w:r>
      <w:r>
        <w:rPr>
          <w:spacing w:val="-7"/>
        </w:rPr>
        <w:t> </w:t>
      </w:r>
      <w:r>
        <w:rPr/>
        <w:t>the</w:t>
      </w:r>
      <w:r>
        <w:rPr>
          <w:spacing w:val="-7"/>
        </w:rPr>
        <w:t> </w:t>
      </w:r>
      <w:r>
        <w:rPr/>
        <w:t>developers,</w:t>
      </w:r>
      <w:r>
        <w:rPr>
          <w:spacing w:val="-7"/>
        </w:rPr>
        <w:t> </w:t>
      </w:r>
      <w:r>
        <w:rPr/>
        <w:t>proportionate</w:t>
      </w:r>
      <w:r>
        <w:rPr>
          <w:spacing w:val="-7"/>
        </w:rPr>
        <w:t> </w:t>
      </w:r>
      <w:r>
        <w:rPr/>
        <w:t>to</w:t>
      </w:r>
      <w:r>
        <w:rPr>
          <w:spacing w:val="-7"/>
        </w:rPr>
        <w:t> </w:t>
      </w:r>
      <w:r>
        <w:rPr/>
        <w:t>the</w:t>
      </w:r>
      <w:r>
        <w:rPr>
          <w:spacing w:val="-7"/>
        </w:rPr>
        <w:t> </w:t>
      </w:r>
      <w:r>
        <w:rPr/>
        <w:t>Rehab</w:t>
      </w:r>
      <w:r>
        <w:rPr>
          <w:spacing w:val="-7"/>
        </w:rPr>
        <w:t> </w:t>
      </w:r>
      <w:r>
        <w:rPr/>
        <w:t>Component</w:t>
      </w:r>
      <w:r>
        <w:rPr>
          <w:spacing w:val="-7"/>
        </w:rPr>
        <w:t> </w:t>
      </w:r>
      <w:r>
        <w:rPr/>
        <w:t>generated</w:t>
      </w:r>
      <w:r>
        <w:rPr>
          <w:spacing w:val="-7"/>
        </w:rPr>
        <w:t> </w:t>
      </w:r>
      <w:r>
        <w:rPr/>
        <w:t>on the</w:t>
      </w:r>
      <w:r>
        <w:rPr>
          <w:spacing w:val="-10"/>
        </w:rPr>
        <w:t> </w:t>
      </w:r>
      <w:r>
        <w:rPr/>
        <w:t>said</w:t>
      </w:r>
      <w:r>
        <w:rPr>
          <w:spacing w:val="-10"/>
        </w:rPr>
        <w:t> </w:t>
      </w:r>
      <w:r>
        <w:rPr/>
        <w:t>land.</w:t>
      </w:r>
      <w:r>
        <w:rPr>
          <w:spacing w:val="40"/>
        </w:rPr>
        <w:t> </w:t>
      </w:r>
      <w:r>
        <w:rPr/>
        <w:t>In</w:t>
      </w:r>
      <w:r>
        <w:rPr>
          <w:spacing w:val="-10"/>
        </w:rPr>
        <w:t> </w:t>
      </w:r>
      <w:r>
        <w:rPr/>
        <w:t>case</w:t>
      </w:r>
      <w:r>
        <w:rPr>
          <w:spacing w:val="-10"/>
        </w:rPr>
        <w:t> </w:t>
      </w:r>
      <w:r>
        <w:rPr/>
        <w:t>project</w:t>
      </w:r>
      <w:r>
        <w:rPr>
          <w:spacing w:val="-10"/>
        </w:rPr>
        <w:t> </w:t>
      </w:r>
      <w:r>
        <w:rPr/>
        <w:t>to</w:t>
      </w:r>
      <w:r>
        <w:rPr>
          <w:spacing w:val="-10"/>
        </w:rPr>
        <w:t> </w:t>
      </w:r>
      <w:r>
        <w:rPr/>
        <w:t>be</w:t>
      </w:r>
      <w:r>
        <w:rPr>
          <w:spacing w:val="-10"/>
        </w:rPr>
        <w:t> </w:t>
      </w:r>
      <w:r>
        <w:rPr/>
        <w:t>undertaken</w:t>
      </w:r>
      <w:r>
        <w:rPr>
          <w:spacing w:val="-10"/>
        </w:rPr>
        <w:t> </w:t>
      </w:r>
      <w:r>
        <w:rPr/>
        <w:t>by</w:t>
      </w:r>
      <w:r>
        <w:rPr>
          <w:spacing w:val="-10"/>
        </w:rPr>
        <w:t> </w:t>
      </w:r>
      <w:r>
        <w:rPr/>
        <w:t>the</w:t>
      </w:r>
      <w:r>
        <w:rPr>
          <w:spacing w:val="-10"/>
        </w:rPr>
        <w:t> </w:t>
      </w:r>
      <w:r>
        <w:rPr/>
        <w:t>Public</w:t>
      </w:r>
      <w:r>
        <w:rPr>
          <w:spacing w:val="-7"/>
        </w:rPr>
        <w:t> </w:t>
      </w:r>
      <w:r>
        <w:rPr/>
        <w:t>Authority, the</w:t>
      </w:r>
      <w:r>
        <w:rPr>
          <w:spacing w:val="-5"/>
        </w:rPr>
        <w:t> </w:t>
      </w:r>
      <w:r>
        <w:rPr/>
        <w:t>premium</w:t>
      </w:r>
      <w:r>
        <w:rPr>
          <w:spacing w:val="-5"/>
        </w:rPr>
        <w:t> </w:t>
      </w:r>
      <w:r>
        <w:rPr/>
        <w:t>payable</w:t>
      </w:r>
      <w:r>
        <w:rPr>
          <w:spacing w:val="-5"/>
        </w:rPr>
        <w:t> </w:t>
      </w:r>
      <w:r>
        <w:rPr/>
        <w:t>shall</w:t>
      </w:r>
      <w:r>
        <w:rPr>
          <w:spacing w:val="-5"/>
        </w:rPr>
        <w:t> </w:t>
      </w:r>
      <w:r>
        <w:rPr/>
        <w:t>be</w:t>
      </w:r>
      <w:r>
        <w:rPr>
          <w:spacing w:val="-5"/>
        </w:rPr>
        <w:t> </w:t>
      </w:r>
      <w:r>
        <w:rPr/>
        <w:t>as</w:t>
      </w:r>
      <w:r>
        <w:rPr>
          <w:spacing w:val="-3"/>
        </w:rPr>
        <w:t> </w:t>
      </w:r>
      <w:r>
        <w:rPr/>
        <w:t>per</w:t>
      </w:r>
      <w:r>
        <w:rPr>
          <w:spacing w:val="-5"/>
        </w:rPr>
        <w:t> </w:t>
      </w:r>
      <w:r>
        <w:rPr/>
        <w:t>decision</w:t>
      </w:r>
      <w:r>
        <w:rPr>
          <w:spacing w:val="-5"/>
        </w:rPr>
        <w:t> </w:t>
      </w:r>
      <w:r>
        <w:rPr/>
        <w:t>of</w:t>
      </w:r>
      <w:r>
        <w:rPr>
          <w:spacing w:val="-5"/>
        </w:rPr>
        <w:t> </w:t>
      </w:r>
      <w:r>
        <w:rPr/>
        <w:t>Government.</w:t>
      </w:r>
      <w:r>
        <w:rPr>
          <w:spacing w:val="40"/>
        </w:rPr>
        <w:t> </w:t>
      </w:r>
      <w:r>
        <w:rPr/>
        <w:t>Provided that,</w:t>
      </w:r>
      <w:r>
        <w:rPr>
          <w:spacing w:val="-7"/>
        </w:rPr>
        <w:t> </w:t>
      </w:r>
      <w:r>
        <w:rPr/>
        <w:t>notwithstanding</w:t>
      </w:r>
      <w:r>
        <w:rPr>
          <w:spacing w:val="-7"/>
        </w:rPr>
        <w:t> </w:t>
      </w:r>
      <w:r>
        <w:rPr/>
        <w:t>anything</w:t>
      </w:r>
      <w:r>
        <w:rPr>
          <w:spacing w:val="-7"/>
        </w:rPr>
        <w:t> </w:t>
      </w:r>
      <w:r>
        <w:rPr/>
        <w:t>contained</w:t>
      </w:r>
      <w:r>
        <w:rPr>
          <w:spacing w:val="-7"/>
        </w:rPr>
        <w:t> </w:t>
      </w:r>
      <w:r>
        <w:rPr/>
        <w:t>above,</w:t>
      </w:r>
      <w:r>
        <w:rPr>
          <w:spacing w:val="-7"/>
        </w:rPr>
        <w:t> </w:t>
      </w:r>
      <w:r>
        <w:rPr/>
        <w:t>for</w:t>
      </w:r>
      <w:r>
        <w:rPr>
          <w:spacing w:val="-7"/>
        </w:rPr>
        <w:t> </w:t>
      </w:r>
      <w:r>
        <w:rPr/>
        <w:t>the</w:t>
      </w:r>
      <w:r>
        <w:rPr>
          <w:spacing w:val="-7"/>
        </w:rPr>
        <w:t> </w:t>
      </w:r>
      <w:r>
        <w:rPr/>
        <w:t>land</w:t>
      </w:r>
      <w:r>
        <w:rPr>
          <w:spacing w:val="-9"/>
        </w:rPr>
        <w:t> </w:t>
      </w:r>
      <w:r>
        <w:rPr/>
        <w:t>which</w:t>
      </w:r>
      <w:r>
        <w:rPr>
          <w:spacing w:val="-7"/>
        </w:rPr>
        <w:t> </w:t>
      </w:r>
      <w:r>
        <w:rPr/>
        <w:t>are not usable for building construction but</w:t>
      </w:r>
      <w:r>
        <w:rPr>
          <w:spacing w:val="40"/>
        </w:rPr>
        <w:t> </w:t>
      </w:r>
      <w:r>
        <w:rPr/>
        <w:t>have</w:t>
      </w:r>
      <w:r>
        <w:rPr>
          <w:spacing w:val="40"/>
        </w:rPr>
        <w:t> </w:t>
      </w:r>
      <w:r>
        <w:rPr/>
        <w:t>to be vested with DRP/ SRA</w:t>
      </w:r>
      <w:r>
        <w:rPr>
          <w:spacing w:val="-1"/>
        </w:rPr>
        <w:t> </w:t>
      </w:r>
      <w:r>
        <w:rPr/>
        <w:t>compensation</w:t>
      </w:r>
      <w:r>
        <w:rPr>
          <w:spacing w:val="-1"/>
        </w:rPr>
        <w:t> </w:t>
      </w:r>
      <w:r>
        <w:rPr/>
        <w:t>shall</w:t>
      </w:r>
      <w:r>
        <w:rPr>
          <w:spacing w:val="-1"/>
        </w:rPr>
        <w:t> </w:t>
      </w:r>
      <w:r>
        <w:rPr/>
        <w:t>be</w:t>
      </w:r>
      <w:r>
        <w:rPr>
          <w:spacing w:val="-1"/>
        </w:rPr>
        <w:t> </w:t>
      </w:r>
      <w:r>
        <w:rPr/>
        <w:t>as</w:t>
      </w:r>
      <w:r>
        <w:rPr>
          <w:spacing w:val="-1"/>
        </w:rPr>
        <w:t> </w:t>
      </w:r>
      <w:r>
        <w:rPr/>
        <w:t>decided</w:t>
      </w:r>
      <w:r>
        <w:rPr>
          <w:spacing w:val="-1"/>
        </w:rPr>
        <w:t> </w:t>
      </w:r>
      <w:r>
        <w:rPr/>
        <w:t>by</w:t>
      </w:r>
      <w:r>
        <w:rPr>
          <w:spacing w:val="-1"/>
        </w:rPr>
        <w:t> </w:t>
      </w:r>
      <w:r>
        <w:rPr/>
        <w:t>the</w:t>
      </w:r>
      <w:r>
        <w:rPr>
          <w:spacing w:val="-1"/>
        </w:rPr>
        <w:t> </w:t>
      </w:r>
      <w:r>
        <w:rPr/>
        <w:t>Committee</w:t>
      </w:r>
      <w:r>
        <w:rPr>
          <w:spacing w:val="-1"/>
        </w:rPr>
        <w:t> </w:t>
      </w:r>
      <w:r>
        <w:rPr/>
        <w:t>of Secretaries </w:t>
      </w:r>
      <w:r>
        <w:rPr>
          <w:spacing w:val="-2"/>
        </w:rPr>
        <w:t>(CoS).”</w:t>
      </w:r>
    </w:p>
    <w:p>
      <w:pPr>
        <w:pStyle w:val="BodyText"/>
        <w:jc w:val="left"/>
      </w:pPr>
    </w:p>
    <w:p>
      <w:pPr>
        <w:pStyle w:val="BodyText"/>
        <w:jc w:val="left"/>
      </w:pPr>
    </w:p>
    <w:p>
      <w:pPr>
        <w:pStyle w:val="BodyText"/>
        <w:jc w:val="left"/>
      </w:pPr>
    </w:p>
    <w:p>
      <w:pPr>
        <w:pStyle w:val="BodyText"/>
        <w:spacing w:before="156"/>
        <w:jc w:val="left"/>
      </w:pPr>
    </w:p>
    <w:p>
      <w:pPr>
        <w:pStyle w:val="Heading5"/>
        <w:numPr>
          <w:ilvl w:val="0"/>
          <w:numId w:val="195"/>
        </w:numPr>
        <w:tabs>
          <w:tab w:pos="2781" w:val="left" w:leader="none"/>
        </w:tabs>
        <w:spacing w:line="240" w:lineRule="auto" w:before="0" w:after="0"/>
        <w:ind w:left="2781" w:right="0" w:hanging="719"/>
        <w:jc w:val="both"/>
      </w:pPr>
      <w:r>
        <w:rPr/>
        <w:t>Building</w:t>
      </w:r>
      <w:r>
        <w:rPr>
          <w:spacing w:val="-6"/>
        </w:rPr>
        <w:t> </w:t>
      </w:r>
      <w:r>
        <w:rPr/>
        <w:t>Permission</w:t>
      </w:r>
      <w:r>
        <w:rPr>
          <w:spacing w:val="-3"/>
        </w:rPr>
        <w:t> </w:t>
      </w:r>
      <w:r>
        <w:rPr/>
        <w:t>under</w:t>
      </w:r>
      <w:r>
        <w:rPr>
          <w:spacing w:val="-3"/>
        </w:rPr>
        <w:t> </w:t>
      </w:r>
      <w:r>
        <w:rPr/>
        <w:t>Dharavi</w:t>
      </w:r>
      <w:r>
        <w:rPr>
          <w:spacing w:val="-3"/>
        </w:rPr>
        <w:t> </w:t>
      </w:r>
      <w:r>
        <w:rPr/>
        <w:t>Redevelopment</w:t>
      </w:r>
      <w:r>
        <w:rPr>
          <w:spacing w:val="-3"/>
        </w:rPr>
        <w:t> </w:t>
      </w:r>
      <w:r>
        <w:rPr>
          <w:spacing w:val="-2"/>
        </w:rPr>
        <w:t>Project:</w:t>
      </w:r>
    </w:p>
    <w:p>
      <w:pPr>
        <w:pStyle w:val="ListParagraph"/>
        <w:numPr>
          <w:ilvl w:val="1"/>
          <w:numId w:val="195"/>
        </w:numPr>
        <w:tabs>
          <w:tab w:pos="2779" w:val="left" w:leader="none"/>
        </w:tabs>
        <w:spacing w:line="240" w:lineRule="auto" w:before="239" w:after="0"/>
        <w:ind w:left="2062" w:right="769" w:firstLine="0"/>
        <w:jc w:val="both"/>
        <w:rPr>
          <w:sz w:val="24"/>
        </w:rPr>
      </w:pPr>
      <w:r>
        <w:rPr>
          <w:sz w:val="24"/>
        </w:rPr>
        <w:t>The proposal for each planning sector of DRP shall be submitted to the DRP cell of SRA with all the necessary documents, no-objection certificates and the plans as may be decided by the SRA from time to </w:t>
      </w:r>
      <w:r>
        <w:rPr>
          <w:spacing w:val="-2"/>
          <w:sz w:val="24"/>
        </w:rPr>
        <w:t>time.</w:t>
      </w:r>
    </w:p>
    <w:p>
      <w:pPr>
        <w:pStyle w:val="ListParagraph"/>
        <w:numPr>
          <w:ilvl w:val="1"/>
          <w:numId w:val="195"/>
        </w:numPr>
        <w:tabs>
          <w:tab w:pos="2779" w:val="left" w:leader="none"/>
        </w:tabs>
        <w:spacing w:line="240" w:lineRule="auto" w:before="242" w:after="0"/>
        <w:ind w:left="2062" w:right="766" w:firstLine="0"/>
        <w:jc w:val="both"/>
        <w:rPr>
          <w:sz w:val="24"/>
        </w:rPr>
      </w:pPr>
      <w:r>
        <w:rPr>
          <w:sz w:val="24"/>
        </w:rPr>
        <w:t>The approval to the Project shall be given by the DRPcell of SRA within a period of 60 days from the date of submission of all relevant documents.</w:t>
      </w:r>
      <w:r>
        <w:rPr>
          <w:spacing w:val="40"/>
          <w:sz w:val="24"/>
        </w:rPr>
        <w:t> </w:t>
      </w:r>
      <w:r>
        <w:rPr>
          <w:sz w:val="24"/>
        </w:rPr>
        <w:t>In</w:t>
      </w:r>
      <w:r>
        <w:rPr>
          <w:spacing w:val="-3"/>
          <w:sz w:val="24"/>
        </w:rPr>
        <w:t> </w:t>
      </w:r>
      <w:r>
        <w:rPr>
          <w:sz w:val="24"/>
        </w:rPr>
        <w:t>the</w:t>
      </w:r>
      <w:r>
        <w:rPr>
          <w:spacing w:val="-3"/>
          <w:sz w:val="24"/>
        </w:rPr>
        <w:t> </w:t>
      </w:r>
      <w:r>
        <w:rPr>
          <w:sz w:val="24"/>
        </w:rPr>
        <w:t>event</w:t>
      </w:r>
      <w:r>
        <w:rPr>
          <w:spacing w:val="-3"/>
          <w:sz w:val="24"/>
        </w:rPr>
        <w:t> </w:t>
      </w:r>
      <w:r>
        <w:rPr>
          <w:sz w:val="24"/>
        </w:rPr>
        <w:t>of</w:t>
      </w:r>
      <w:r>
        <w:rPr>
          <w:spacing w:val="-3"/>
          <w:sz w:val="24"/>
        </w:rPr>
        <w:t> </w:t>
      </w:r>
      <w:r>
        <w:rPr>
          <w:sz w:val="24"/>
        </w:rPr>
        <w:t>a</w:t>
      </w:r>
      <w:r>
        <w:rPr>
          <w:spacing w:val="-3"/>
          <w:sz w:val="24"/>
        </w:rPr>
        <w:t> </w:t>
      </w:r>
      <w:r>
        <w:rPr>
          <w:sz w:val="24"/>
        </w:rPr>
        <w:t>failure</w:t>
      </w:r>
      <w:r>
        <w:rPr>
          <w:spacing w:val="-3"/>
          <w:sz w:val="24"/>
        </w:rPr>
        <w:t> </w:t>
      </w:r>
      <w:r>
        <w:rPr>
          <w:sz w:val="24"/>
        </w:rPr>
        <w:t>by</w:t>
      </w:r>
      <w:r>
        <w:rPr>
          <w:spacing w:val="-3"/>
          <w:sz w:val="24"/>
        </w:rPr>
        <w:t> </w:t>
      </w:r>
      <w:r>
        <w:rPr>
          <w:sz w:val="24"/>
        </w:rPr>
        <w:t>SRA</w:t>
      </w:r>
      <w:r>
        <w:rPr>
          <w:spacing w:val="-3"/>
          <w:sz w:val="24"/>
        </w:rPr>
        <w:t> </w:t>
      </w:r>
      <w:r>
        <w:rPr>
          <w:sz w:val="24"/>
        </w:rPr>
        <w:t>to</w:t>
      </w:r>
      <w:r>
        <w:rPr>
          <w:spacing w:val="-3"/>
          <w:sz w:val="24"/>
        </w:rPr>
        <w:t> </w:t>
      </w:r>
      <w:r>
        <w:rPr>
          <w:sz w:val="24"/>
        </w:rPr>
        <w:t>do</w:t>
      </w:r>
      <w:r>
        <w:rPr>
          <w:spacing w:val="-3"/>
          <w:sz w:val="24"/>
        </w:rPr>
        <w:t> </w:t>
      </w:r>
      <w:r>
        <w:rPr>
          <w:sz w:val="24"/>
        </w:rPr>
        <w:t>so,</w:t>
      </w:r>
      <w:r>
        <w:rPr>
          <w:spacing w:val="-3"/>
          <w:sz w:val="24"/>
        </w:rPr>
        <w:t> </w:t>
      </w:r>
      <w:r>
        <w:rPr>
          <w:sz w:val="24"/>
        </w:rPr>
        <w:t>the</w:t>
      </w:r>
      <w:r>
        <w:rPr>
          <w:spacing w:val="-3"/>
          <w:sz w:val="24"/>
        </w:rPr>
        <w:t> </w:t>
      </w:r>
      <w:r>
        <w:rPr>
          <w:sz w:val="24"/>
        </w:rPr>
        <w:t>said</w:t>
      </w:r>
      <w:r>
        <w:rPr>
          <w:spacing w:val="-6"/>
          <w:sz w:val="24"/>
        </w:rPr>
        <w:t> </w:t>
      </w:r>
      <w:r>
        <w:rPr>
          <w:sz w:val="24"/>
        </w:rPr>
        <w:t>approval shall be deemed to have been given, provided the Project is in accordance with the provisions of this Regulation.</w:t>
      </w:r>
    </w:p>
    <w:p>
      <w:pPr>
        <w:pStyle w:val="ListParagraph"/>
        <w:numPr>
          <w:ilvl w:val="1"/>
          <w:numId w:val="195"/>
        </w:numPr>
        <w:tabs>
          <w:tab w:pos="2779" w:val="left" w:leader="none"/>
        </w:tabs>
        <w:spacing w:line="240" w:lineRule="auto" w:before="240" w:after="0"/>
        <w:ind w:left="2062" w:right="771" w:firstLine="0"/>
        <w:jc w:val="both"/>
        <w:rPr>
          <w:sz w:val="24"/>
        </w:rPr>
      </w:pPr>
      <w:r>
        <w:rPr>
          <w:sz w:val="24"/>
        </w:rPr>
        <w:t>For DRP the SRA while giving the approval may lay down terms and conditions as may be necessary.</w:t>
      </w:r>
    </w:p>
    <w:p>
      <w:pPr>
        <w:pStyle w:val="ListParagraph"/>
        <w:numPr>
          <w:ilvl w:val="1"/>
          <w:numId w:val="195"/>
        </w:numPr>
        <w:tabs>
          <w:tab w:pos="2779" w:val="left" w:leader="none"/>
        </w:tabs>
        <w:spacing w:line="240" w:lineRule="auto" w:before="241" w:after="0"/>
        <w:ind w:left="2062" w:right="766" w:firstLine="0"/>
        <w:jc w:val="both"/>
        <w:rPr>
          <w:sz w:val="24"/>
        </w:rPr>
      </w:pPr>
      <w:r>
        <w:rPr>
          <w:sz w:val="24"/>
        </w:rPr>
        <w:t>DRP</w:t>
      </w:r>
      <w:r>
        <w:rPr>
          <w:spacing w:val="-18"/>
          <w:sz w:val="24"/>
        </w:rPr>
        <w:t> </w:t>
      </w:r>
      <w:r>
        <w:rPr>
          <w:sz w:val="24"/>
        </w:rPr>
        <w:t>(SRA)</w:t>
      </w:r>
      <w:r>
        <w:rPr>
          <w:spacing w:val="-18"/>
          <w:sz w:val="24"/>
        </w:rPr>
        <w:t> </w:t>
      </w:r>
      <w:r>
        <w:rPr>
          <w:sz w:val="24"/>
        </w:rPr>
        <w:t>shall</w:t>
      </w:r>
      <w:r>
        <w:rPr>
          <w:spacing w:val="-18"/>
          <w:sz w:val="24"/>
        </w:rPr>
        <w:t> </w:t>
      </w:r>
      <w:r>
        <w:rPr>
          <w:sz w:val="24"/>
        </w:rPr>
        <w:t>adopt</w:t>
      </w:r>
      <w:r>
        <w:rPr>
          <w:spacing w:val="-18"/>
          <w:sz w:val="24"/>
        </w:rPr>
        <w:t> </w:t>
      </w:r>
      <w:r>
        <w:rPr>
          <w:sz w:val="24"/>
        </w:rPr>
        <w:t>the</w:t>
      </w:r>
      <w:r>
        <w:rPr>
          <w:spacing w:val="-18"/>
          <w:sz w:val="24"/>
        </w:rPr>
        <w:t> </w:t>
      </w:r>
      <w:r>
        <w:rPr>
          <w:sz w:val="24"/>
        </w:rPr>
        <w:t>procedure</w:t>
      </w:r>
      <w:r>
        <w:rPr>
          <w:spacing w:val="-18"/>
          <w:sz w:val="24"/>
        </w:rPr>
        <w:t> </w:t>
      </w:r>
      <w:r>
        <w:rPr>
          <w:sz w:val="24"/>
        </w:rPr>
        <w:t>laid</w:t>
      </w:r>
      <w:r>
        <w:rPr>
          <w:spacing w:val="-16"/>
          <w:sz w:val="24"/>
        </w:rPr>
        <w:t> </w:t>
      </w:r>
      <w:r>
        <w:rPr>
          <w:sz w:val="24"/>
        </w:rPr>
        <w:t>down</w:t>
      </w:r>
      <w:r>
        <w:rPr>
          <w:spacing w:val="-18"/>
          <w:sz w:val="24"/>
        </w:rPr>
        <w:t> </w:t>
      </w:r>
      <w:r>
        <w:rPr>
          <w:sz w:val="24"/>
        </w:rPr>
        <w:t>in</w:t>
      </w:r>
      <w:r>
        <w:rPr>
          <w:spacing w:val="-18"/>
          <w:sz w:val="24"/>
        </w:rPr>
        <w:t> </w:t>
      </w:r>
      <w:r>
        <w:rPr>
          <w:sz w:val="24"/>
        </w:rPr>
        <w:t>the</w:t>
      </w:r>
      <w:r>
        <w:rPr>
          <w:spacing w:val="-16"/>
          <w:sz w:val="24"/>
        </w:rPr>
        <w:t> </w:t>
      </w:r>
      <w:r>
        <w:rPr>
          <w:sz w:val="24"/>
        </w:rPr>
        <w:t>MR&amp;TP</w:t>
      </w:r>
      <w:r>
        <w:rPr>
          <w:spacing w:val="-15"/>
          <w:sz w:val="24"/>
        </w:rPr>
        <w:t> </w:t>
      </w:r>
      <w:r>
        <w:rPr>
          <w:sz w:val="24"/>
        </w:rPr>
        <w:t>Act, 1966 for giving building permission to any development in DRP under this Scheme.</w:t>
      </w:r>
    </w:p>
    <w:p>
      <w:pPr>
        <w:pStyle w:val="ListParagraph"/>
        <w:numPr>
          <w:ilvl w:val="1"/>
          <w:numId w:val="195"/>
        </w:numPr>
        <w:tabs>
          <w:tab w:pos="2779" w:val="left" w:leader="none"/>
        </w:tabs>
        <w:spacing w:line="240" w:lineRule="auto" w:before="240" w:after="0"/>
        <w:ind w:left="2062" w:right="766" w:firstLine="0"/>
        <w:jc w:val="both"/>
        <w:rPr>
          <w:sz w:val="24"/>
        </w:rPr>
      </w:pPr>
      <w:r>
        <w:rPr>
          <w:sz w:val="24"/>
        </w:rPr>
        <w:t>On compliance with the terms and conditions, the building permission shall be given in accordance with the provisions under Section 45 of the MR&amp;TP Act, 1966 to the sectoral development under DRP,</w:t>
      </w:r>
      <w:r>
        <w:rPr>
          <w:spacing w:val="-20"/>
          <w:sz w:val="24"/>
        </w:rPr>
        <w:t> </w:t>
      </w:r>
      <w:r>
        <w:rPr>
          <w:sz w:val="24"/>
        </w:rPr>
        <w:t>first</w:t>
      </w:r>
      <w:r>
        <w:rPr>
          <w:spacing w:val="-19"/>
          <w:sz w:val="24"/>
        </w:rPr>
        <w:t> </w:t>
      </w:r>
      <w:r>
        <w:rPr>
          <w:sz w:val="24"/>
        </w:rPr>
        <w:t>to</w:t>
      </w:r>
      <w:r>
        <w:rPr>
          <w:spacing w:val="-19"/>
          <w:sz w:val="24"/>
        </w:rPr>
        <w:t> </w:t>
      </w:r>
      <w:r>
        <w:rPr>
          <w:sz w:val="24"/>
        </w:rPr>
        <w:t>the</w:t>
      </w:r>
      <w:r>
        <w:rPr>
          <w:spacing w:val="-19"/>
          <w:sz w:val="24"/>
        </w:rPr>
        <w:t> </w:t>
      </w:r>
      <w:r>
        <w:rPr>
          <w:sz w:val="24"/>
        </w:rPr>
        <w:t>Rehabilitation</w:t>
      </w:r>
      <w:r>
        <w:rPr>
          <w:spacing w:val="-19"/>
          <w:sz w:val="24"/>
        </w:rPr>
        <w:t> </w:t>
      </w:r>
      <w:r>
        <w:rPr>
          <w:sz w:val="24"/>
        </w:rPr>
        <w:t>component</w:t>
      </w:r>
      <w:r>
        <w:rPr>
          <w:spacing w:val="-20"/>
          <w:sz w:val="24"/>
        </w:rPr>
        <w:t> </w:t>
      </w:r>
      <w:r>
        <w:rPr>
          <w:sz w:val="24"/>
        </w:rPr>
        <w:t>and</w:t>
      </w:r>
      <w:r>
        <w:rPr>
          <w:spacing w:val="-19"/>
          <w:sz w:val="24"/>
        </w:rPr>
        <w:t> </w:t>
      </w:r>
      <w:r>
        <w:rPr>
          <w:sz w:val="24"/>
        </w:rPr>
        <w:t>thereafter</w:t>
      </w:r>
      <w:r>
        <w:rPr>
          <w:spacing w:val="-19"/>
          <w:sz w:val="24"/>
        </w:rPr>
        <w:t> </w:t>
      </w:r>
      <w:r>
        <w:rPr>
          <w:sz w:val="24"/>
        </w:rPr>
        <w:t>to</w:t>
      </w:r>
      <w:r>
        <w:rPr>
          <w:spacing w:val="-19"/>
          <w:sz w:val="24"/>
        </w:rPr>
        <w:t> </w:t>
      </w:r>
      <w:r>
        <w:rPr>
          <w:sz w:val="24"/>
        </w:rPr>
        <w:t>the</w:t>
      </w:r>
      <w:r>
        <w:rPr>
          <w:spacing w:val="-19"/>
          <w:sz w:val="24"/>
        </w:rPr>
        <w:t> </w:t>
      </w:r>
      <w:r>
        <w:rPr>
          <w:sz w:val="24"/>
        </w:rPr>
        <w:t>free</w:t>
      </w:r>
      <w:r>
        <w:rPr>
          <w:spacing w:val="-20"/>
          <w:sz w:val="24"/>
        </w:rPr>
        <w:t> </w:t>
      </w:r>
      <w:r>
        <w:rPr>
          <w:sz w:val="24"/>
        </w:rPr>
        <w:t>sale component subject to the provisions in clause below.</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1"/>
          <w:numId w:val="195"/>
        </w:numPr>
        <w:tabs>
          <w:tab w:pos="2779" w:val="left" w:leader="none"/>
        </w:tabs>
        <w:spacing w:line="240" w:lineRule="auto" w:before="249" w:after="0"/>
        <w:ind w:left="2062" w:right="772" w:firstLine="0"/>
        <w:jc w:val="both"/>
        <w:rPr>
          <w:sz w:val="24"/>
        </w:rPr>
      </w:pPr>
      <w:r>
        <w:rPr>
          <w:sz w:val="24"/>
        </w:rPr>
        <w:t>Correlation between Rehabilitation and Free sale components: Building permission for 10 percent of BUA of both the rehab and free sale components may be given simultaneously and thereafter proportionately or as may be decided by the OSD, DRP, and SRA.</w:t>
      </w:r>
    </w:p>
    <w:p>
      <w:pPr>
        <w:pStyle w:val="ListParagraph"/>
        <w:numPr>
          <w:ilvl w:val="1"/>
          <w:numId w:val="195"/>
        </w:numPr>
        <w:tabs>
          <w:tab w:pos="2779" w:val="left" w:leader="none"/>
        </w:tabs>
        <w:spacing w:line="240" w:lineRule="auto" w:before="241" w:after="0"/>
        <w:ind w:left="2062" w:right="766" w:firstLine="0"/>
        <w:jc w:val="both"/>
        <w:rPr>
          <w:sz w:val="24"/>
        </w:rPr>
      </w:pPr>
      <w:r>
        <w:rPr>
          <w:sz w:val="24"/>
        </w:rPr>
        <w:t>As soon as the approval (Letter of Intent) is given to the Project, the NOC for building permission of the landowning authority shall be given</w:t>
      </w:r>
      <w:r>
        <w:rPr>
          <w:spacing w:val="-20"/>
          <w:sz w:val="24"/>
        </w:rPr>
        <w:t> </w:t>
      </w:r>
      <w:r>
        <w:rPr>
          <w:sz w:val="24"/>
        </w:rPr>
        <w:t>in</w:t>
      </w:r>
      <w:r>
        <w:rPr>
          <w:spacing w:val="-19"/>
          <w:sz w:val="24"/>
        </w:rPr>
        <w:t> </w:t>
      </w:r>
      <w:r>
        <w:rPr>
          <w:sz w:val="24"/>
        </w:rPr>
        <w:t>respect</w:t>
      </w:r>
      <w:r>
        <w:rPr>
          <w:spacing w:val="-19"/>
          <w:sz w:val="24"/>
        </w:rPr>
        <w:t> </w:t>
      </w:r>
      <w:r>
        <w:rPr>
          <w:sz w:val="24"/>
        </w:rPr>
        <w:t>of</w:t>
      </w:r>
      <w:r>
        <w:rPr>
          <w:spacing w:val="-19"/>
          <w:sz w:val="24"/>
        </w:rPr>
        <w:t> </w:t>
      </w:r>
      <w:r>
        <w:rPr>
          <w:sz w:val="24"/>
        </w:rPr>
        <w:t>that</w:t>
      </w:r>
      <w:r>
        <w:rPr>
          <w:spacing w:val="-19"/>
          <w:sz w:val="24"/>
        </w:rPr>
        <w:t> </w:t>
      </w:r>
      <w:r>
        <w:rPr>
          <w:sz w:val="24"/>
        </w:rPr>
        <w:t>lands</w:t>
      </w:r>
      <w:r>
        <w:rPr>
          <w:spacing w:val="-20"/>
          <w:sz w:val="24"/>
        </w:rPr>
        <w:t> </w:t>
      </w:r>
      <w:r>
        <w:rPr>
          <w:sz w:val="24"/>
        </w:rPr>
        <w:t>belonging</w:t>
      </w:r>
      <w:r>
        <w:rPr>
          <w:spacing w:val="-19"/>
          <w:sz w:val="24"/>
        </w:rPr>
        <w:t> </w:t>
      </w:r>
      <w:r>
        <w:rPr>
          <w:sz w:val="24"/>
        </w:rPr>
        <w:t>to</w:t>
      </w:r>
      <w:r>
        <w:rPr>
          <w:spacing w:val="-19"/>
          <w:sz w:val="24"/>
        </w:rPr>
        <w:t> </w:t>
      </w:r>
      <w:r>
        <w:rPr>
          <w:sz w:val="24"/>
        </w:rPr>
        <w:t>any</w:t>
      </w:r>
      <w:r>
        <w:rPr>
          <w:spacing w:val="-19"/>
          <w:sz w:val="24"/>
        </w:rPr>
        <w:t> </w:t>
      </w:r>
      <w:r>
        <w:rPr>
          <w:sz w:val="24"/>
        </w:rPr>
        <w:t>department,</w:t>
      </w:r>
      <w:r>
        <w:rPr>
          <w:spacing w:val="-19"/>
          <w:sz w:val="24"/>
        </w:rPr>
        <w:t> </w:t>
      </w:r>
      <w:r>
        <w:rPr>
          <w:sz w:val="24"/>
        </w:rPr>
        <w:t>undertaking, agency</w:t>
      </w:r>
      <w:r>
        <w:rPr>
          <w:spacing w:val="-13"/>
          <w:sz w:val="24"/>
        </w:rPr>
        <w:t> </w:t>
      </w:r>
      <w:r>
        <w:rPr>
          <w:sz w:val="24"/>
        </w:rPr>
        <w:t>of</w:t>
      </w:r>
      <w:r>
        <w:rPr>
          <w:spacing w:val="-13"/>
          <w:sz w:val="24"/>
        </w:rPr>
        <w:t> </w:t>
      </w:r>
      <w:r>
        <w:rPr>
          <w:sz w:val="24"/>
        </w:rPr>
        <w:t>the</w:t>
      </w:r>
      <w:r>
        <w:rPr>
          <w:spacing w:val="-13"/>
          <w:sz w:val="24"/>
        </w:rPr>
        <w:t> </w:t>
      </w:r>
      <w:r>
        <w:rPr>
          <w:sz w:val="24"/>
        </w:rPr>
        <w:t>State</w:t>
      </w:r>
      <w:r>
        <w:rPr>
          <w:spacing w:val="-13"/>
          <w:sz w:val="24"/>
        </w:rPr>
        <w:t> </w:t>
      </w:r>
      <w:r>
        <w:rPr>
          <w:sz w:val="24"/>
        </w:rPr>
        <w:t>Govt</w:t>
      </w:r>
      <w:r>
        <w:rPr>
          <w:spacing w:val="-13"/>
          <w:sz w:val="24"/>
        </w:rPr>
        <w:t> </w:t>
      </w:r>
      <w:r>
        <w:rPr>
          <w:sz w:val="24"/>
        </w:rPr>
        <w:t>including</w:t>
      </w:r>
      <w:r>
        <w:rPr>
          <w:spacing w:val="-13"/>
          <w:sz w:val="24"/>
        </w:rPr>
        <w:t> </w:t>
      </w:r>
      <w:r>
        <w:rPr>
          <w:sz w:val="24"/>
        </w:rPr>
        <w:t>MHADA,</w:t>
      </w:r>
      <w:r>
        <w:rPr>
          <w:spacing w:val="-13"/>
          <w:sz w:val="24"/>
        </w:rPr>
        <w:t> </w:t>
      </w:r>
      <w:r>
        <w:rPr>
          <w:sz w:val="24"/>
        </w:rPr>
        <w:t>or</w:t>
      </w:r>
      <w:r>
        <w:rPr>
          <w:spacing w:val="-13"/>
          <w:sz w:val="24"/>
        </w:rPr>
        <w:t> </w:t>
      </w:r>
      <w:r>
        <w:rPr>
          <w:sz w:val="24"/>
        </w:rPr>
        <w:t>any</w:t>
      </w:r>
      <w:r>
        <w:rPr>
          <w:spacing w:val="-13"/>
          <w:sz w:val="24"/>
        </w:rPr>
        <w:t> </w:t>
      </w:r>
      <w:r>
        <w:rPr>
          <w:sz w:val="24"/>
        </w:rPr>
        <w:t>local</w:t>
      </w:r>
      <w:r>
        <w:rPr>
          <w:spacing w:val="-13"/>
          <w:sz w:val="24"/>
        </w:rPr>
        <w:t> </w:t>
      </w:r>
      <w:r>
        <w:rPr>
          <w:sz w:val="24"/>
        </w:rPr>
        <w:t>self</w:t>
      </w:r>
      <w:r>
        <w:rPr>
          <w:spacing w:val="-13"/>
          <w:sz w:val="24"/>
        </w:rPr>
        <w:t> </w:t>
      </w:r>
      <w:r>
        <w:rPr>
          <w:sz w:val="24"/>
        </w:rPr>
        <w:t>–</w:t>
      </w:r>
      <w:r>
        <w:rPr>
          <w:spacing w:val="-18"/>
          <w:sz w:val="24"/>
        </w:rPr>
        <w:t> </w:t>
      </w:r>
      <w:r>
        <w:rPr>
          <w:sz w:val="24"/>
        </w:rPr>
        <w:t>Govt</w:t>
      </w:r>
      <w:r>
        <w:rPr>
          <w:spacing w:val="-13"/>
          <w:sz w:val="24"/>
        </w:rPr>
        <w:t> </w:t>
      </w:r>
      <w:r>
        <w:rPr>
          <w:sz w:val="24"/>
        </w:rPr>
        <w:t>such as the MCGM within 60 days after the intimation of such approval to the Project is communicated.</w:t>
      </w:r>
      <w:r>
        <w:rPr>
          <w:spacing w:val="40"/>
          <w:sz w:val="24"/>
        </w:rPr>
        <w:t> </w:t>
      </w:r>
      <w:r>
        <w:rPr>
          <w:sz w:val="24"/>
        </w:rPr>
        <w:t>In the event of its refusal to grant NOC, reasons thereof shall be stated and in the eventof its not been given within the period, it shall be deemed to have been given.</w:t>
      </w:r>
    </w:p>
    <w:p>
      <w:pPr>
        <w:pStyle w:val="ListParagraph"/>
        <w:numPr>
          <w:ilvl w:val="1"/>
          <w:numId w:val="195"/>
        </w:numPr>
        <w:tabs>
          <w:tab w:pos="2779" w:val="left" w:leader="none"/>
        </w:tabs>
        <w:spacing w:line="240" w:lineRule="auto" w:before="241" w:after="0"/>
        <w:ind w:left="2062" w:right="766" w:firstLine="0"/>
        <w:jc w:val="both"/>
        <w:rPr>
          <w:sz w:val="24"/>
        </w:rPr>
      </w:pPr>
      <w:r>
        <w:rPr>
          <w:sz w:val="24"/>
        </w:rPr>
        <w:t>Occupation certificate shall not be held up only for want of lease documents</w:t>
      </w:r>
      <w:r>
        <w:rPr>
          <w:spacing w:val="-20"/>
          <w:sz w:val="24"/>
        </w:rPr>
        <w:t> </w:t>
      </w:r>
      <w:r>
        <w:rPr>
          <w:sz w:val="24"/>
        </w:rPr>
        <w:t>to</w:t>
      </w:r>
      <w:r>
        <w:rPr>
          <w:spacing w:val="-19"/>
          <w:sz w:val="24"/>
        </w:rPr>
        <w:t> </w:t>
      </w:r>
      <w:r>
        <w:rPr>
          <w:sz w:val="24"/>
        </w:rPr>
        <w:t>be</w:t>
      </w:r>
      <w:r>
        <w:rPr>
          <w:spacing w:val="-19"/>
          <w:sz w:val="24"/>
        </w:rPr>
        <w:t> </w:t>
      </w:r>
      <w:r>
        <w:rPr>
          <w:sz w:val="24"/>
        </w:rPr>
        <w:t>executed</w:t>
      </w:r>
      <w:r>
        <w:rPr>
          <w:spacing w:val="-19"/>
          <w:sz w:val="24"/>
        </w:rPr>
        <w:t> </w:t>
      </w:r>
      <w:r>
        <w:rPr>
          <w:sz w:val="24"/>
        </w:rPr>
        <w:t>in</w:t>
      </w:r>
      <w:r>
        <w:rPr>
          <w:spacing w:val="-19"/>
          <w:sz w:val="24"/>
        </w:rPr>
        <w:t> </w:t>
      </w:r>
      <w:r>
        <w:rPr>
          <w:sz w:val="24"/>
        </w:rPr>
        <w:t>all</w:t>
      </w:r>
      <w:r>
        <w:rPr>
          <w:spacing w:val="-20"/>
          <w:sz w:val="24"/>
        </w:rPr>
        <w:t> </w:t>
      </w:r>
      <w:r>
        <w:rPr>
          <w:sz w:val="24"/>
        </w:rPr>
        <w:t>sectoral</w:t>
      </w:r>
      <w:r>
        <w:rPr>
          <w:spacing w:val="-17"/>
          <w:sz w:val="24"/>
        </w:rPr>
        <w:t> </w:t>
      </w:r>
      <w:r>
        <w:rPr>
          <w:sz w:val="24"/>
        </w:rPr>
        <w:t>developments</w:t>
      </w:r>
      <w:r>
        <w:rPr>
          <w:spacing w:val="-19"/>
          <w:sz w:val="24"/>
        </w:rPr>
        <w:t> </w:t>
      </w:r>
      <w:r>
        <w:rPr>
          <w:sz w:val="24"/>
        </w:rPr>
        <w:t>under</w:t>
      </w:r>
      <w:r>
        <w:rPr>
          <w:spacing w:val="-18"/>
          <w:sz w:val="24"/>
        </w:rPr>
        <w:t> </w:t>
      </w:r>
      <w:r>
        <w:rPr>
          <w:sz w:val="24"/>
        </w:rPr>
        <w:t>DRP</w:t>
      </w:r>
      <w:r>
        <w:rPr>
          <w:spacing w:val="-19"/>
          <w:sz w:val="24"/>
        </w:rPr>
        <w:t> </w:t>
      </w:r>
      <w:r>
        <w:rPr>
          <w:sz w:val="24"/>
        </w:rPr>
        <w:t>taken up on lands belonging to any department, undertaking, agency of the State Govt, including MHADA and any local self-Govt such as the </w:t>
      </w:r>
      <w:r>
        <w:rPr>
          <w:spacing w:val="-2"/>
          <w:sz w:val="24"/>
        </w:rPr>
        <w:t>MCGM.</w:t>
      </w:r>
    </w:p>
    <w:p>
      <w:pPr>
        <w:pStyle w:val="BodyText"/>
        <w:jc w:val="left"/>
      </w:pPr>
    </w:p>
    <w:p>
      <w:pPr>
        <w:pStyle w:val="BodyText"/>
        <w:spacing w:before="197"/>
        <w:jc w:val="left"/>
      </w:pPr>
    </w:p>
    <w:p>
      <w:pPr>
        <w:pStyle w:val="Heading5"/>
        <w:numPr>
          <w:ilvl w:val="0"/>
          <w:numId w:val="195"/>
        </w:numPr>
        <w:tabs>
          <w:tab w:pos="2781" w:val="left" w:leader="none"/>
        </w:tabs>
        <w:spacing w:line="240" w:lineRule="auto" w:before="0" w:after="0"/>
        <w:ind w:left="2781" w:right="0" w:hanging="719"/>
        <w:jc w:val="both"/>
      </w:pPr>
      <w:r>
        <w:rPr/>
        <w:t>Rehabilitation</w:t>
      </w:r>
      <w:r>
        <w:rPr>
          <w:spacing w:val="-6"/>
        </w:rPr>
        <w:t> </w:t>
      </w:r>
      <w:r>
        <w:rPr/>
        <w:t>and</w:t>
      </w:r>
      <w:r>
        <w:rPr>
          <w:spacing w:val="-5"/>
        </w:rPr>
        <w:t> </w:t>
      </w:r>
      <w:r>
        <w:rPr/>
        <w:t>Free</w:t>
      </w:r>
      <w:r>
        <w:rPr>
          <w:spacing w:val="-5"/>
        </w:rPr>
        <w:t> </w:t>
      </w:r>
      <w:r>
        <w:rPr/>
        <w:t>Sale</w:t>
      </w:r>
      <w:r>
        <w:rPr>
          <w:spacing w:val="-5"/>
        </w:rPr>
        <w:t> </w:t>
      </w:r>
      <w:r>
        <w:rPr>
          <w:spacing w:val="-2"/>
        </w:rPr>
        <w:t>Component</w:t>
      </w:r>
    </w:p>
    <w:p>
      <w:pPr>
        <w:pStyle w:val="ListParagraph"/>
        <w:numPr>
          <w:ilvl w:val="1"/>
          <w:numId w:val="195"/>
        </w:numPr>
        <w:tabs>
          <w:tab w:pos="2779" w:val="left" w:leader="none"/>
        </w:tabs>
        <w:spacing w:line="240" w:lineRule="auto" w:before="242" w:after="0"/>
        <w:ind w:left="2062" w:right="769" w:firstLine="0"/>
        <w:jc w:val="both"/>
        <w:rPr>
          <w:sz w:val="24"/>
        </w:rPr>
      </w:pPr>
      <w:r>
        <w:rPr>
          <w:sz w:val="24"/>
        </w:rPr>
        <w:t>FSI</w:t>
      </w:r>
      <w:r>
        <w:rPr>
          <w:spacing w:val="-8"/>
          <w:sz w:val="24"/>
        </w:rPr>
        <w:t> </w:t>
      </w:r>
      <w:r>
        <w:rPr>
          <w:sz w:val="24"/>
        </w:rPr>
        <w:t>for</w:t>
      </w:r>
      <w:r>
        <w:rPr>
          <w:spacing w:val="-12"/>
          <w:sz w:val="24"/>
        </w:rPr>
        <w:t> </w:t>
      </w:r>
      <w:r>
        <w:rPr>
          <w:sz w:val="24"/>
        </w:rPr>
        <w:t>rehabilitation</w:t>
      </w:r>
      <w:r>
        <w:rPr>
          <w:spacing w:val="-12"/>
          <w:sz w:val="24"/>
        </w:rPr>
        <w:t> </w:t>
      </w:r>
      <w:r>
        <w:rPr>
          <w:sz w:val="24"/>
        </w:rPr>
        <w:t>of</w:t>
      </w:r>
      <w:r>
        <w:rPr>
          <w:spacing w:val="-10"/>
          <w:sz w:val="24"/>
        </w:rPr>
        <w:t> </w:t>
      </w:r>
      <w:r>
        <w:rPr>
          <w:sz w:val="24"/>
        </w:rPr>
        <w:t>eligible</w:t>
      </w:r>
      <w:r>
        <w:rPr>
          <w:spacing w:val="-10"/>
          <w:sz w:val="24"/>
        </w:rPr>
        <w:t> </w:t>
      </w:r>
      <w:r>
        <w:rPr>
          <w:sz w:val="24"/>
        </w:rPr>
        <w:t>slum/pavement</w:t>
      </w:r>
      <w:r>
        <w:rPr>
          <w:spacing w:val="-10"/>
          <w:sz w:val="24"/>
        </w:rPr>
        <w:t> </w:t>
      </w:r>
      <w:r>
        <w:rPr>
          <w:sz w:val="24"/>
        </w:rPr>
        <w:t>dwellers</w:t>
      </w:r>
      <w:r>
        <w:rPr>
          <w:spacing w:val="-10"/>
          <w:sz w:val="24"/>
        </w:rPr>
        <w:t> </w:t>
      </w:r>
      <w:r>
        <w:rPr>
          <w:sz w:val="24"/>
        </w:rPr>
        <w:t>includes the FSI for the rehab component and for the free sale component.</w:t>
      </w:r>
      <w:r>
        <w:rPr>
          <w:spacing w:val="40"/>
          <w:sz w:val="24"/>
        </w:rPr>
        <w:t> </w:t>
      </w:r>
      <w:r>
        <w:rPr>
          <w:sz w:val="24"/>
        </w:rPr>
        <w:t>The ratio between the two components shall be as laid down herein below.</w:t>
      </w:r>
    </w:p>
    <w:p>
      <w:pPr>
        <w:pStyle w:val="ListParagraph"/>
        <w:numPr>
          <w:ilvl w:val="1"/>
          <w:numId w:val="195"/>
        </w:numPr>
        <w:tabs>
          <w:tab w:pos="2779" w:val="left" w:leader="none"/>
        </w:tabs>
        <w:spacing w:line="240" w:lineRule="auto" w:before="240" w:after="0"/>
        <w:ind w:left="2062" w:right="770" w:firstLine="0"/>
        <w:jc w:val="both"/>
        <w:rPr>
          <w:sz w:val="24"/>
        </w:rPr>
      </w:pPr>
      <w:r>
        <w:rPr>
          <w:sz w:val="24"/>
        </w:rPr>
        <w:t>BUA for rehabilitation component shall mean total construction area</w:t>
      </w:r>
      <w:r>
        <w:rPr>
          <w:spacing w:val="-10"/>
          <w:sz w:val="24"/>
        </w:rPr>
        <w:t> </w:t>
      </w:r>
      <w:r>
        <w:rPr>
          <w:sz w:val="24"/>
        </w:rPr>
        <w:t>of</w:t>
      </w:r>
      <w:r>
        <w:rPr>
          <w:spacing w:val="-10"/>
          <w:sz w:val="24"/>
        </w:rPr>
        <w:t> </w:t>
      </w:r>
      <w:r>
        <w:rPr>
          <w:sz w:val="24"/>
        </w:rPr>
        <w:t>rehabilitation</w:t>
      </w:r>
      <w:r>
        <w:rPr>
          <w:spacing w:val="-8"/>
          <w:sz w:val="24"/>
        </w:rPr>
        <w:t> </w:t>
      </w:r>
      <w:r>
        <w:rPr>
          <w:sz w:val="24"/>
        </w:rPr>
        <w:t>component,</w:t>
      </w:r>
      <w:r>
        <w:rPr>
          <w:spacing w:val="-10"/>
          <w:sz w:val="24"/>
        </w:rPr>
        <w:t> </w:t>
      </w:r>
      <w:r>
        <w:rPr>
          <w:sz w:val="24"/>
        </w:rPr>
        <w:t>excluding</w:t>
      </w:r>
      <w:r>
        <w:rPr>
          <w:spacing w:val="-10"/>
          <w:sz w:val="24"/>
        </w:rPr>
        <w:t> </w:t>
      </w:r>
      <w:r>
        <w:rPr>
          <w:sz w:val="24"/>
        </w:rPr>
        <w:t>what</w:t>
      </w:r>
      <w:r>
        <w:rPr>
          <w:spacing w:val="-10"/>
          <w:sz w:val="24"/>
        </w:rPr>
        <w:t> </w:t>
      </w:r>
      <w:r>
        <w:rPr>
          <w:sz w:val="24"/>
        </w:rPr>
        <w:t>is</w:t>
      </w:r>
      <w:r>
        <w:rPr>
          <w:spacing w:val="-10"/>
          <w:sz w:val="24"/>
        </w:rPr>
        <w:t> </w:t>
      </w:r>
      <w:r>
        <w:rPr>
          <w:sz w:val="24"/>
        </w:rPr>
        <w:t>set</w:t>
      </w:r>
      <w:r>
        <w:rPr>
          <w:spacing w:val="-10"/>
          <w:sz w:val="24"/>
        </w:rPr>
        <w:t> </w:t>
      </w:r>
      <w:r>
        <w:rPr>
          <w:sz w:val="24"/>
        </w:rPr>
        <w:t>down</w:t>
      </w:r>
      <w:r>
        <w:rPr>
          <w:spacing w:val="-10"/>
          <w:sz w:val="24"/>
        </w:rPr>
        <w:t> </w:t>
      </w:r>
      <w:r>
        <w:rPr>
          <w:sz w:val="24"/>
        </w:rPr>
        <w:t>in</w:t>
      </w:r>
      <w:r>
        <w:rPr>
          <w:spacing w:val="-10"/>
          <w:sz w:val="24"/>
        </w:rPr>
        <w:t> </w:t>
      </w:r>
      <w:r>
        <w:rPr>
          <w:sz w:val="24"/>
        </w:rPr>
        <w:t>31(1)</w:t>
      </w:r>
      <w:r>
        <w:rPr>
          <w:spacing w:val="-10"/>
          <w:sz w:val="24"/>
        </w:rPr>
        <w:t> </w:t>
      </w:r>
      <w:r>
        <w:rPr>
          <w:sz w:val="24"/>
        </w:rPr>
        <w:t>of</w:t>
      </w:r>
    </w:p>
    <w:p>
      <w:pPr>
        <w:pStyle w:val="BodyText"/>
        <w:ind w:left="2062" w:right="766"/>
      </w:pPr>
      <w:r>
        <w:rPr/>
        <w:t>D.C. Regulations, including areas under passages, aaganwadi, health centre/outpost, community hall /gymnasium / fitness centre, skill development centre, women entrepreneurship centre, yuvakendra/ library balwadis, welfare centers, society</w:t>
      </w:r>
      <w:r>
        <w:rPr>
          <w:spacing w:val="-1"/>
        </w:rPr>
        <w:t> </w:t>
      </w:r>
      <w:r>
        <w:rPr/>
        <w:t>office, religious structures, </w:t>
      </w:r>
      <w:r>
        <w:rPr/>
        <w:t>as permitted under Government Home Department Resolution dt. 05/05/2011 and 18/11/2015‘other social infrastructure like school, dispensary, Gymnasium run by Public Authority or Charitable trust’5 percent</w:t>
      </w:r>
      <w:r>
        <w:rPr>
          <w:spacing w:val="-17"/>
        </w:rPr>
        <w:t> </w:t>
      </w:r>
      <w:r>
        <w:rPr/>
        <w:t>incentive</w:t>
      </w:r>
      <w:r>
        <w:rPr>
          <w:spacing w:val="-17"/>
        </w:rPr>
        <w:t> </w:t>
      </w:r>
      <w:r>
        <w:rPr/>
        <w:t>commercial</w:t>
      </w:r>
      <w:r>
        <w:rPr>
          <w:spacing w:val="-17"/>
        </w:rPr>
        <w:t> </w:t>
      </w:r>
      <w:r>
        <w:rPr/>
        <w:t>areas</w:t>
      </w:r>
      <w:r>
        <w:rPr>
          <w:spacing w:val="-17"/>
        </w:rPr>
        <w:t> </w:t>
      </w:r>
      <w:r>
        <w:rPr/>
        <w:t>for</w:t>
      </w:r>
      <w:r>
        <w:rPr>
          <w:spacing w:val="-17"/>
        </w:rPr>
        <w:t> </w:t>
      </w:r>
      <w:r>
        <w:rPr/>
        <w:t>the</w:t>
      </w:r>
      <w:r>
        <w:rPr>
          <w:spacing w:val="-17"/>
        </w:rPr>
        <w:t> </w:t>
      </w:r>
      <w:r>
        <w:rPr/>
        <w:t>Co-operative</w:t>
      </w:r>
      <w:r>
        <w:rPr>
          <w:spacing w:val="-17"/>
        </w:rPr>
        <w:t> </w:t>
      </w:r>
      <w:r>
        <w:rPr/>
        <w:t>society,</w:t>
      </w:r>
      <w:r>
        <w:rPr>
          <w:spacing w:val="-17"/>
        </w:rPr>
        <w:t> </w:t>
      </w:r>
      <w:r>
        <w:rPr/>
        <w:t>and</w:t>
      </w:r>
      <w:r>
        <w:rPr>
          <w:spacing w:val="-17"/>
        </w:rPr>
        <w:t> </w:t>
      </w:r>
      <w:r>
        <w:rPr/>
        <w:t>the further 5 percent incentive commercial area for the NGO, Govt./Public Authority/Govt. Company wherever eligible .</w:t>
      </w:r>
    </w:p>
    <w:p>
      <w:pPr>
        <w:pStyle w:val="ListParagraph"/>
        <w:numPr>
          <w:ilvl w:val="1"/>
          <w:numId w:val="195"/>
        </w:numPr>
        <w:tabs>
          <w:tab w:pos="2779" w:val="left" w:leader="none"/>
        </w:tabs>
        <w:spacing w:line="281" w:lineRule="exact" w:before="241" w:after="0"/>
        <w:ind w:left="2779" w:right="0" w:hanging="717"/>
        <w:jc w:val="both"/>
        <w:rPr>
          <w:sz w:val="24"/>
        </w:rPr>
      </w:pPr>
      <w:r>
        <w:rPr>
          <w:sz w:val="24"/>
        </w:rPr>
        <w:t>If</w:t>
      </w:r>
      <w:r>
        <w:rPr>
          <w:spacing w:val="24"/>
          <w:sz w:val="24"/>
        </w:rPr>
        <w:t> </w:t>
      </w:r>
      <w:r>
        <w:rPr>
          <w:sz w:val="24"/>
        </w:rPr>
        <w:t>the</w:t>
      </w:r>
      <w:r>
        <w:rPr>
          <w:spacing w:val="25"/>
          <w:sz w:val="24"/>
        </w:rPr>
        <w:t> </w:t>
      </w:r>
      <w:r>
        <w:rPr>
          <w:sz w:val="24"/>
        </w:rPr>
        <w:t>rehab</w:t>
      </w:r>
      <w:r>
        <w:rPr>
          <w:spacing w:val="24"/>
          <w:sz w:val="24"/>
        </w:rPr>
        <w:t> </w:t>
      </w:r>
      <w:r>
        <w:rPr>
          <w:sz w:val="24"/>
        </w:rPr>
        <w:t>component</w:t>
      </w:r>
      <w:r>
        <w:rPr>
          <w:spacing w:val="25"/>
          <w:sz w:val="24"/>
        </w:rPr>
        <w:t> </w:t>
      </w:r>
      <w:r>
        <w:rPr>
          <w:sz w:val="24"/>
        </w:rPr>
        <w:t>is</w:t>
      </w:r>
      <w:r>
        <w:rPr>
          <w:spacing w:val="24"/>
          <w:sz w:val="24"/>
        </w:rPr>
        <w:t> </w:t>
      </w:r>
      <w:r>
        <w:rPr>
          <w:sz w:val="24"/>
        </w:rPr>
        <w:t>10</w:t>
      </w:r>
      <w:r>
        <w:rPr>
          <w:spacing w:val="25"/>
          <w:sz w:val="24"/>
        </w:rPr>
        <w:t> </w:t>
      </w:r>
      <w:r>
        <w:rPr>
          <w:sz w:val="24"/>
        </w:rPr>
        <w:t>sq.</w:t>
      </w:r>
      <w:r>
        <w:rPr>
          <w:spacing w:val="25"/>
          <w:sz w:val="24"/>
        </w:rPr>
        <w:t> </w:t>
      </w:r>
      <w:r>
        <w:rPr>
          <w:sz w:val="24"/>
        </w:rPr>
        <w:t>m</w:t>
      </w:r>
      <w:r>
        <w:rPr>
          <w:spacing w:val="27"/>
          <w:sz w:val="24"/>
        </w:rPr>
        <w:t> </w:t>
      </w:r>
      <w:r>
        <w:rPr>
          <w:sz w:val="24"/>
        </w:rPr>
        <w:t>of</w:t>
      </w:r>
      <w:r>
        <w:rPr>
          <w:spacing w:val="25"/>
          <w:sz w:val="24"/>
        </w:rPr>
        <w:t> </w:t>
      </w:r>
      <w:r>
        <w:rPr>
          <w:sz w:val="24"/>
        </w:rPr>
        <w:t>BUA,</w:t>
      </w:r>
      <w:r>
        <w:rPr>
          <w:spacing w:val="24"/>
          <w:sz w:val="24"/>
        </w:rPr>
        <w:t> </w:t>
      </w:r>
      <w:r>
        <w:rPr>
          <w:sz w:val="24"/>
        </w:rPr>
        <w:t>then</w:t>
      </w:r>
      <w:r>
        <w:rPr>
          <w:spacing w:val="25"/>
          <w:sz w:val="24"/>
        </w:rPr>
        <w:t> </w:t>
      </w:r>
      <w:r>
        <w:rPr>
          <w:sz w:val="24"/>
        </w:rPr>
        <w:t>an</w:t>
      </w:r>
      <w:r>
        <w:rPr>
          <w:spacing w:val="25"/>
          <w:sz w:val="24"/>
        </w:rPr>
        <w:t> </w:t>
      </w:r>
      <w:r>
        <w:rPr>
          <w:spacing w:val="-2"/>
          <w:sz w:val="24"/>
        </w:rPr>
        <w:t>additional</w:t>
      </w:r>
    </w:p>
    <w:p>
      <w:pPr>
        <w:pStyle w:val="BodyText"/>
        <w:ind w:left="2062" w:right="772"/>
      </w:pPr>
      <w:r>
        <w:rPr/>
        <w:t>13.33 sq. m of BUA will be permitted and this area of additional 13.33 sq. m can be utilized for disposal in the open market and the rehab component subsidized.</w:t>
      </w:r>
    </w:p>
    <w:p>
      <w:pPr>
        <w:pStyle w:val="ListParagraph"/>
        <w:numPr>
          <w:ilvl w:val="1"/>
          <w:numId w:val="195"/>
        </w:numPr>
        <w:tabs>
          <w:tab w:pos="2779" w:val="left" w:leader="none"/>
        </w:tabs>
        <w:spacing w:line="240" w:lineRule="auto" w:before="239" w:after="0"/>
        <w:ind w:left="2062" w:right="772" w:firstLine="0"/>
        <w:jc w:val="both"/>
        <w:rPr>
          <w:sz w:val="24"/>
        </w:rPr>
      </w:pPr>
      <w:r>
        <w:rPr>
          <w:sz w:val="24"/>
        </w:rPr>
        <w:t>(a) If the FSI required for rehabilitation of existing hutment dwellers</w:t>
      </w:r>
      <w:r>
        <w:rPr>
          <w:spacing w:val="-5"/>
          <w:sz w:val="24"/>
        </w:rPr>
        <w:t> </w:t>
      </w:r>
      <w:r>
        <w:rPr>
          <w:sz w:val="24"/>
        </w:rPr>
        <w:t>plus</w:t>
      </w:r>
      <w:r>
        <w:rPr>
          <w:spacing w:val="-5"/>
          <w:sz w:val="24"/>
        </w:rPr>
        <w:t> </w:t>
      </w:r>
      <w:r>
        <w:rPr>
          <w:sz w:val="24"/>
        </w:rPr>
        <w:t>free</w:t>
      </w:r>
      <w:r>
        <w:rPr>
          <w:spacing w:val="-5"/>
          <w:sz w:val="24"/>
        </w:rPr>
        <w:t> </w:t>
      </w:r>
      <w:r>
        <w:rPr>
          <w:sz w:val="24"/>
        </w:rPr>
        <w:t>sale</w:t>
      </w:r>
      <w:r>
        <w:rPr>
          <w:spacing w:val="-5"/>
          <w:sz w:val="24"/>
        </w:rPr>
        <w:t> </w:t>
      </w:r>
      <w:r>
        <w:rPr>
          <w:sz w:val="24"/>
        </w:rPr>
        <w:t>component</w:t>
      </w:r>
      <w:r>
        <w:rPr>
          <w:spacing w:val="-5"/>
          <w:sz w:val="24"/>
        </w:rPr>
        <w:t> </w:t>
      </w:r>
      <w:r>
        <w:rPr>
          <w:sz w:val="24"/>
        </w:rPr>
        <w:t>exceeds</w:t>
      </w:r>
      <w:r>
        <w:rPr>
          <w:spacing w:val="-5"/>
          <w:sz w:val="24"/>
        </w:rPr>
        <w:t> </w:t>
      </w:r>
      <w:r>
        <w:rPr>
          <w:sz w:val="24"/>
        </w:rPr>
        <w:t>FSI</w:t>
      </w:r>
      <w:r>
        <w:rPr>
          <w:spacing w:val="-3"/>
          <w:sz w:val="24"/>
        </w:rPr>
        <w:t> </w:t>
      </w:r>
      <w:r>
        <w:rPr>
          <w:sz w:val="24"/>
        </w:rPr>
        <w:t>4.00</w:t>
      </w:r>
      <w:r>
        <w:rPr>
          <w:spacing w:val="-5"/>
          <w:sz w:val="24"/>
        </w:rPr>
        <w:t> </w:t>
      </w:r>
      <w:r>
        <w:rPr>
          <w:sz w:val="24"/>
        </w:rPr>
        <w:t>of</w:t>
      </w:r>
      <w:r>
        <w:rPr>
          <w:spacing w:val="-5"/>
          <w:sz w:val="24"/>
        </w:rPr>
        <w:t> </w:t>
      </w:r>
      <w:r>
        <w:rPr>
          <w:sz w:val="24"/>
        </w:rPr>
        <w:t>a</w:t>
      </w:r>
      <w:r>
        <w:rPr>
          <w:spacing w:val="-5"/>
          <w:sz w:val="24"/>
        </w:rPr>
        <w:t> </w:t>
      </w:r>
      <w:r>
        <w:rPr>
          <w:sz w:val="24"/>
        </w:rPr>
        <w:t>particular</w:t>
      </w:r>
      <w:r>
        <w:rPr>
          <w:spacing w:val="-5"/>
          <w:sz w:val="24"/>
        </w:rPr>
        <w:t> </w:t>
      </w:r>
      <w:r>
        <w:rPr>
          <w:sz w:val="24"/>
        </w:rPr>
        <w:t>plot,</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pPr>
      <w:r>
        <w:rPr/>
        <w:t>such</w:t>
      </w:r>
      <w:r>
        <w:rPr>
          <w:spacing w:val="-12"/>
        </w:rPr>
        <w:t> </w:t>
      </w:r>
      <w:r>
        <w:rPr/>
        <w:t>excess</w:t>
      </w:r>
      <w:r>
        <w:rPr>
          <w:spacing w:val="-11"/>
        </w:rPr>
        <w:t> </w:t>
      </w:r>
      <w:r>
        <w:rPr/>
        <w:t>quantum</w:t>
      </w:r>
      <w:r>
        <w:rPr>
          <w:spacing w:val="-11"/>
        </w:rPr>
        <w:t> </w:t>
      </w:r>
      <w:r>
        <w:rPr/>
        <w:t>shall</w:t>
      </w:r>
      <w:r>
        <w:rPr>
          <w:spacing w:val="-11"/>
        </w:rPr>
        <w:t> </w:t>
      </w:r>
      <w:r>
        <w:rPr/>
        <w:t>get</w:t>
      </w:r>
      <w:r>
        <w:rPr>
          <w:spacing w:val="-11"/>
        </w:rPr>
        <w:t> </w:t>
      </w:r>
      <w:r>
        <w:rPr/>
        <w:t>absorbed</w:t>
      </w:r>
      <w:r>
        <w:rPr>
          <w:spacing w:val="-9"/>
        </w:rPr>
        <w:t> </w:t>
      </w:r>
      <w:r>
        <w:rPr/>
        <w:t>while</w:t>
      </w:r>
      <w:r>
        <w:rPr>
          <w:spacing w:val="-11"/>
        </w:rPr>
        <w:t> </w:t>
      </w:r>
      <w:r>
        <w:rPr/>
        <w:t>calculating</w:t>
      </w:r>
      <w:r>
        <w:rPr>
          <w:spacing w:val="-11"/>
        </w:rPr>
        <w:t> </w:t>
      </w:r>
      <w:r>
        <w:rPr/>
        <w:t>overall</w:t>
      </w:r>
      <w:r>
        <w:rPr>
          <w:spacing w:val="-11"/>
        </w:rPr>
        <w:t> </w:t>
      </w:r>
      <w:r>
        <w:rPr/>
        <w:t>FSI</w:t>
      </w:r>
      <w:r>
        <w:rPr>
          <w:spacing w:val="-9"/>
        </w:rPr>
        <w:t> </w:t>
      </w:r>
      <w:r>
        <w:rPr>
          <w:spacing w:val="-5"/>
        </w:rPr>
        <w:t>of</w:t>
      </w:r>
    </w:p>
    <w:p>
      <w:pPr>
        <w:pStyle w:val="BodyText"/>
        <w:spacing w:before="1"/>
        <w:ind w:left="2062"/>
      </w:pPr>
      <w:r>
        <w:rPr/>
        <w:t>4.00</w:t>
      </w:r>
      <w:r>
        <w:rPr>
          <w:spacing w:val="-2"/>
        </w:rPr>
        <w:t> </w:t>
      </w:r>
      <w:r>
        <w:rPr/>
        <w:t>on</w:t>
      </w:r>
      <w:r>
        <w:rPr>
          <w:spacing w:val="-1"/>
        </w:rPr>
        <w:t> </w:t>
      </w:r>
      <w:r>
        <w:rPr/>
        <w:t>entire</w:t>
      </w:r>
      <w:r>
        <w:rPr>
          <w:spacing w:val="-2"/>
        </w:rPr>
        <w:t> </w:t>
      </w:r>
      <w:r>
        <w:rPr/>
        <w:t>DRP</w:t>
      </w:r>
      <w:r>
        <w:rPr>
          <w:spacing w:val="-1"/>
        </w:rPr>
        <w:t> </w:t>
      </w:r>
      <w:r>
        <w:rPr>
          <w:spacing w:val="-2"/>
        </w:rPr>
        <w:t>Area.</w:t>
      </w:r>
    </w:p>
    <w:p>
      <w:pPr>
        <w:pStyle w:val="BodyText"/>
        <w:spacing w:before="240"/>
        <w:ind w:left="2062" w:right="768" w:firstLine="720"/>
        <w:jc w:val="left"/>
      </w:pPr>
      <w:r>
        <w:rPr/>
        <w:t>(b)</w:t>
      </w:r>
      <w:r>
        <w:rPr>
          <w:spacing w:val="35"/>
        </w:rPr>
        <w:t> </w:t>
      </w:r>
      <w:r>
        <w:rPr/>
        <w:t>The</w:t>
      </w:r>
      <w:r>
        <w:rPr>
          <w:spacing w:val="35"/>
        </w:rPr>
        <w:t> </w:t>
      </w:r>
      <w:r>
        <w:rPr/>
        <w:t>FSI</w:t>
      </w:r>
      <w:r>
        <w:rPr>
          <w:spacing w:val="36"/>
        </w:rPr>
        <w:t> </w:t>
      </w:r>
      <w:r>
        <w:rPr/>
        <w:t>in</w:t>
      </w:r>
      <w:r>
        <w:rPr>
          <w:spacing w:val="35"/>
        </w:rPr>
        <w:t> </w:t>
      </w:r>
      <w:r>
        <w:rPr/>
        <w:t>CRZ</w:t>
      </w:r>
      <w:r>
        <w:rPr>
          <w:spacing w:val="32"/>
        </w:rPr>
        <w:t> </w:t>
      </w:r>
      <w:r>
        <w:rPr/>
        <w:t>area</w:t>
      </w:r>
      <w:r>
        <w:rPr>
          <w:spacing w:val="35"/>
        </w:rPr>
        <w:t> </w:t>
      </w:r>
      <w:r>
        <w:rPr/>
        <w:t>within</w:t>
      </w:r>
      <w:r>
        <w:rPr>
          <w:spacing w:val="35"/>
        </w:rPr>
        <w:t> </w:t>
      </w:r>
      <w:r>
        <w:rPr/>
        <w:t>DNA,</w:t>
      </w:r>
      <w:r>
        <w:rPr>
          <w:spacing w:val="35"/>
        </w:rPr>
        <w:t> </w:t>
      </w:r>
      <w:r>
        <w:rPr/>
        <w:t>shall</w:t>
      </w:r>
      <w:r>
        <w:rPr>
          <w:spacing w:val="35"/>
        </w:rPr>
        <w:t> </w:t>
      </w:r>
      <w:r>
        <w:rPr/>
        <w:t>be</w:t>
      </w:r>
      <w:r>
        <w:rPr>
          <w:spacing w:val="35"/>
        </w:rPr>
        <w:t> </w:t>
      </w:r>
      <w:r>
        <w:rPr/>
        <w:t>governed</w:t>
      </w:r>
      <w:r>
        <w:rPr>
          <w:spacing w:val="35"/>
        </w:rPr>
        <w:t> </w:t>
      </w:r>
      <w:r>
        <w:rPr/>
        <w:t>by</w:t>
      </w:r>
      <w:r>
        <w:rPr>
          <w:spacing w:val="35"/>
        </w:rPr>
        <w:t> </w:t>
      </w:r>
      <w:r>
        <w:rPr/>
        <w:t>the MOEF notifications issued from time to time.</w:t>
      </w:r>
    </w:p>
    <w:p>
      <w:pPr>
        <w:pStyle w:val="ListParagraph"/>
        <w:numPr>
          <w:ilvl w:val="1"/>
          <w:numId w:val="195"/>
        </w:numPr>
        <w:tabs>
          <w:tab w:pos="2779" w:val="left" w:leader="none"/>
        </w:tabs>
        <w:spacing w:line="240" w:lineRule="auto" w:before="240" w:after="0"/>
        <w:ind w:left="2062" w:right="766" w:firstLine="0"/>
        <w:jc w:val="both"/>
        <w:rPr>
          <w:sz w:val="24"/>
        </w:rPr>
      </w:pPr>
      <w:r>
        <w:rPr>
          <w:sz w:val="24"/>
        </w:rPr>
        <w:t>The rehabilitation component shall mean all residential tenements</w:t>
      </w:r>
      <w:r>
        <w:rPr>
          <w:spacing w:val="-14"/>
          <w:sz w:val="24"/>
        </w:rPr>
        <w:t> </w:t>
      </w:r>
      <w:r>
        <w:rPr>
          <w:sz w:val="24"/>
        </w:rPr>
        <w:t>as</w:t>
      </w:r>
      <w:r>
        <w:rPr>
          <w:spacing w:val="-14"/>
          <w:sz w:val="24"/>
        </w:rPr>
        <w:t> </w:t>
      </w:r>
      <w:r>
        <w:rPr>
          <w:sz w:val="24"/>
        </w:rPr>
        <w:t>well</w:t>
      </w:r>
      <w:r>
        <w:rPr>
          <w:spacing w:val="-14"/>
          <w:sz w:val="24"/>
        </w:rPr>
        <w:t> </w:t>
      </w:r>
      <w:r>
        <w:rPr>
          <w:sz w:val="24"/>
        </w:rPr>
        <w:t>as</w:t>
      </w:r>
      <w:r>
        <w:rPr>
          <w:spacing w:val="-12"/>
          <w:sz w:val="24"/>
        </w:rPr>
        <w:t> </w:t>
      </w:r>
      <w:r>
        <w:rPr>
          <w:sz w:val="24"/>
        </w:rPr>
        <w:t>non-residential</w:t>
      </w:r>
      <w:r>
        <w:rPr>
          <w:spacing w:val="-14"/>
          <w:sz w:val="24"/>
        </w:rPr>
        <w:t> </w:t>
      </w:r>
      <w:r>
        <w:rPr>
          <w:sz w:val="24"/>
        </w:rPr>
        <w:t>built</w:t>
      </w:r>
      <w:r>
        <w:rPr>
          <w:spacing w:val="-14"/>
          <w:sz w:val="24"/>
        </w:rPr>
        <w:t> </w:t>
      </w:r>
      <w:r>
        <w:rPr>
          <w:sz w:val="24"/>
        </w:rPr>
        <w:t>up</w:t>
      </w:r>
      <w:r>
        <w:rPr>
          <w:spacing w:val="-14"/>
          <w:sz w:val="24"/>
        </w:rPr>
        <w:t> </w:t>
      </w:r>
      <w:r>
        <w:rPr>
          <w:sz w:val="24"/>
        </w:rPr>
        <w:t>premises</w:t>
      </w:r>
      <w:r>
        <w:rPr>
          <w:spacing w:val="-14"/>
          <w:sz w:val="24"/>
        </w:rPr>
        <w:t> </w:t>
      </w:r>
      <w:r>
        <w:rPr>
          <w:sz w:val="24"/>
        </w:rPr>
        <w:t>given</w:t>
      </w:r>
      <w:r>
        <w:rPr>
          <w:spacing w:val="-12"/>
          <w:sz w:val="24"/>
        </w:rPr>
        <w:t> </w:t>
      </w:r>
      <w:r>
        <w:rPr>
          <w:sz w:val="24"/>
        </w:rPr>
        <w:t>free</w:t>
      </w:r>
      <w:r>
        <w:rPr>
          <w:spacing w:val="-14"/>
          <w:sz w:val="24"/>
        </w:rPr>
        <w:t> </w:t>
      </w:r>
      <w:r>
        <w:rPr>
          <w:sz w:val="24"/>
        </w:rPr>
        <w:t>of</w:t>
      </w:r>
      <w:r>
        <w:rPr>
          <w:spacing w:val="-14"/>
          <w:sz w:val="24"/>
        </w:rPr>
        <w:t> </w:t>
      </w:r>
      <w:r>
        <w:rPr>
          <w:sz w:val="24"/>
        </w:rPr>
        <w:t>cost in</w:t>
      </w:r>
      <w:r>
        <w:rPr>
          <w:spacing w:val="-15"/>
          <w:sz w:val="24"/>
        </w:rPr>
        <w:t> </w:t>
      </w:r>
      <w:r>
        <w:rPr>
          <w:sz w:val="24"/>
        </w:rPr>
        <w:t>accordance</w:t>
      </w:r>
      <w:r>
        <w:rPr>
          <w:spacing w:val="-15"/>
          <w:sz w:val="24"/>
        </w:rPr>
        <w:t> </w:t>
      </w:r>
      <w:r>
        <w:rPr>
          <w:sz w:val="24"/>
        </w:rPr>
        <w:t>with</w:t>
      </w:r>
      <w:r>
        <w:rPr>
          <w:spacing w:val="-15"/>
          <w:sz w:val="24"/>
        </w:rPr>
        <w:t> </w:t>
      </w:r>
      <w:r>
        <w:rPr>
          <w:sz w:val="24"/>
        </w:rPr>
        <w:t>the</w:t>
      </w:r>
      <w:r>
        <w:rPr>
          <w:spacing w:val="-15"/>
          <w:sz w:val="24"/>
        </w:rPr>
        <w:t> </w:t>
      </w:r>
      <w:r>
        <w:rPr>
          <w:sz w:val="24"/>
        </w:rPr>
        <w:t>provisions</w:t>
      </w:r>
      <w:r>
        <w:rPr>
          <w:spacing w:val="-15"/>
          <w:sz w:val="24"/>
        </w:rPr>
        <w:t> </w:t>
      </w:r>
      <w:r>
        <w:rPr>
          <w:sz w:val="24"/>
        </w:rPr>
        <w:t>of</w:t>
      </w:r>
      <w:r>
        <w:rPr>
          <w:spacing w:val="-15"/>
          <w:sz w:val="24"/>
        </w:rPr>
        <w:t> </w:t>
      </w:r>
      <w:r>
        <w:rPr>
          <w:sz w:val="24"/>
        </w:rPr>
        <w:t>the</w:t>
      </w:r>
      <w:r>
        <w:rPr>
          <w:spacing w:val="-15"/>
          <w:sz w:val="24"/>
        </w:rPr>
        <w:t> </w:t>
      </w:r>
      <w:r>
        <w:rPr>
          <w:sz w:val="24"/>
        </w:rPr>
        <w:t>DRP</w:t>
      </w:r>
      <w:r>
        <w:rPr>
          <w:spacing w:val="-15"/>
          <w:sz w:val="24"/>
        </w:rPr>
        <w:t> </w:t>
      </w:r>
      <w:r>
        <w:rPr>
          <w:sz w:val="24"/>
        </w:rPr>
        <w:t>outlined</w:t>
      </w:r>
      <w:r>
        <w:rPr>
          <w:spacing w:val="-15"/>
          <w:sz w:val="24"/>
        </w:rPr>
        <w:t> </w:t>
      </w:r>
      <w:r>
        <w:rPr>
          <w:sz w:val="24"/>
        </w:rPr>
        <w:t>in</w:t>
      </w:r>
      <w:r>
        <w:rPr>
          <w:spacing w:val="-15"/>
          <w:sz w:val="24"/>
        </w:rPr>
        <w:t> </w:t>
      </w:r>
      <w:r>
        <w:rPr>
          <w:sz w:val="24"/>
        </w:rPr>
        <w:t>this</w:t>
      </w:r>
      <w:r>
        <w:rPr>
          <w:spacing w:val="-15"/>
          <w:sz w:val="24"/>
        </w:rPr>
        <w:t> </w:t>
      </w:r>
      <w:r>
        <w:rPr>
          <w:sz w:val="24"/>
        </w:rPr>
        <w:t>Regulation excluding what is set down in Regulation 31(1) including anganwadi, health centre /outpost, community hall /gymnasium / fitness centre, skill development centre, women entrepreneurship centre, yuvakendra</w:t>
      </w:r>
    </w:p>
    <w:p>
      <w:pPr>
        <w:pStyle w:val="BodyText"/>
        <w:ind w:left="2062" w:right="769"/>
      </w:pPr>
      <w:r>
        <w:rPr/>
        <w:t>/ library existing eligible religious structure, school, dispensary, gymnasium run by Public Authority or Charitable Trust etc. as per provision of 8.1 &amp; 8.2</w:t>
      </w:r>
      <w:r>
        <w:rPr>
          <w:spacing w:val="40"/>
        </w:rPr>
        <w:t> </w:t>
      </w:r>
      <w:r>
        <w:rPr/>
        <w:t>and additional amenities &amp; facilities to be provided as per regulation no. 7.1 below.</w:t>
      </w:r>
    </w:p>
    <w:p>
      <w:pPr>
        <w:pStyle w:val="ListParagraph"/>
        <w:numPr>
          <w:ilvl w:val="1"/>
          <w:numId w:val="195"/>
        </w:numPr>
        <w:tabs>
          <w:tab w:pos="2779" w:val="left" w:leader="none"/>
        </w:tabs>
        <w:spacing w:line="240" w:lineRule="auto" w:before="241" w:after="0"/>
        <w:ind w:left="2062" w:right="767" w:firstLine="0"/>
        <w:jc w:val="both"/>
        <w:rPr>
          <w:sz w:val="24"/>
        </w:rPr>
      </w:pPr>
      <w:r>
        <w:rPr>
          <w:sz w:val="24"/>
        </w:rPr>
        <w:t>Minimum Density on the Plot including Non-Residential Units: The minimum density of rehabilitation component on plot shall be 650 tenements per net ha that is, after deducting all reservations actually implemented on site including the land appurtenant thereto, but not deducting the recreational/amenity open space on the remaining area. If the number of tenements to be provided to the hutment dwellers is less</w:t>
      </w:r>
      <w:r>
        <w:rPr>
          <w:spacing w:val="-8"/>
          <w:sz w:val="24"/>
        </w:rPr>
        <w:t> </w:t>
      </w:r>
      <w:r>
        <w:rPr>
          <w:sz w:val="24"/>
        </w:rPr>
        <w:t>than</w:t>
      </w:r>
      <w:r>
        <w:rPr>
          <w:spacing w:val="-8"/>
          <w:sz w:val="24"/>
        </w:rPr>
        <w:t> </w:t>
      </w:r>
      <w:r>
        <w:rPr>
          <w:sz w:val="24"/>
        </w:rPr>
        <w:t>the</w:t>
      </w:r>
      <w:r>
        <w:rPr>
          <w:spacing w:val="-8"/>
          <w:sz w:val="24"/>
        </w:rPr>
        <w:t> </w:t>
      </w:r>
      <w:r>
        <w:rPr>
          <w:sz w:val="24"/>
        </w:rPr>
        <w:t>minimum,</w:t>
      </w:r>
      <w:r>
        <w:rPr>
          <w:spacing w:val="-8"/>
          <w:sz w:val="24"/>
        </w:rPr>
        <w:t> </w:t>
      </w:r>
      <w:r>
        <w:rPr>
          <w:sz w:val="24"/>
        </w:rPr>
        <w:t>the</w:t>
      </w:r>
      <w:r>
        <w:rPr>
          <w:spacing w:val="-8"/>
          <w:sz w:val="24"/>
        </w:rPr>
        <w:t> </w:t>
      </w:r>
      <w:r>
        <w:rPr>
          <w:sz w:val="24"/>
        </w:rPr>
        <w:t>balance</w:t>
      </w:r>
      <w:r>
        <w:rPr>
          <w:spacing w:val="-8"/>
          <w:sz w:val="24"/>
        </w:rPr>
        <w:t> </w:t>
      </w:r>
      <w:r>
        <w:rPr>
          <w:sz w:val="24"/>
        </w:rPr>
        <w:t>shall</w:t>
      </w:r>
      <w:r>
        <w:rPr>
          <w:spacing w:val="-8"/>
          <w:sz w:val="24"/>
        </w:rPr>
        <w:t> </w:t>
      </w:r>
      <w:r>
        <w:rPr>
          <w:sz w:val="24"/>
        </w:rPr>
        <w:t>be</w:t>
      </w:r>
      <w:r>
        <w:rPr>
          <w:spacing w:val="-8"/>
          <w:sz w:val="24"/>
        </w:rPr>
        <w:t> </w:t>
      </w:r>
      <w:r>
        <w:rPr>
          <w:sz w:val="24"/>
        </w:rPr>
        <w:t>handed</w:t>
      </w:r>
      <w:r>
        <w:rPr>
          <w:spacing w:val="-8"/>
          <w:sz w:val="24"/>
        </w:rPr>
        <w:t> </w:t>
      </w:r>
      <w:r>
        <w:rPr>
          <w:sz w:val="24"/>
        </w:rPr>
        <w:t>over</w:t>
      </w:r>
      <w:r>
        <w:rPr>
          <w:spacing w:val="-8"/>
          <w:sz w:val="24"/>
        </w:rPr>
        <w:t> </w:t>
      </w:r>
      <w:r>
        <w:rPr>
          <w:sz w:val="24"/>
        </w:rPr>
        <w:t>free</w:t>
      </w:r>
      <w:r>
        <w:rPr>
          <w:spacing w:val="-8"/>
          <w:sz w:val="24"/>
        </w:rPr>
        <w:t> </w:t>
      </w:r>
      <w:r>
        <w:rPr>
          <w:sz w:val="24"/>
        </w:rPr>
        <w:t>of</w:t>
      </w:r>
      <w:r>
        <w:rPr>
          <w:spacing w:val="-8"/>
          <w:sz w:val="24"/>
        </w:rPr>
        <w:t> </w:t>
      </w:r>
      <w:r>
        <w:rPr>
          <w:sz w:val="24"/>
        </w:rPr>
        <w:t>cost</w:t>
      </w:r>
      <w:r>
        <w:rPr>
          <w:spacing w:val="-8"/>
          <w:sz w:val="24"/>
        </w:rPr>
        <w:t> </w:t>
      </w:r>
      <w:r>
        <w:rPr>
          <w:sz w:val="24"/>
        </w:rPr>
        <w:t>to the SRA, the Authority shall use them for the purpose of transit or Project affected persons or pavement dwellers or slum dwellers from other slums.</w:t>
      </w:r>
    </w:p>
    <w:p>
      <w:pPr>
        <w:pStyle w:val="ListParagraph"/>
        <w:numPr>
          <w:ilvl w:val="1"/>
          <w:numId w:val="195"/>
        </w:numPr>
        <w:tabs>
          <w:tab w:pos="2779" w:val="left" w:leader="none"/>
        </w:tabs>
        <w:spacing w:line="240" w:lineRule="auto" w:before="241" w:after="0"/>
        <w:ind w:left="2062" w:right="769" w:firstLine="0"/>
        <w:jc w:val="both"/>
        <w:rPr>
          <w:sz w:val="24"/>
        </w:rPr>
      </w:pPr>
      <w:r>
        <w:rPr>
          <w:sz w:val="24"/>
        </w:rPr>
        <w:t>All non-residential BUA shall be included in the computation of minimum density and on the scale</w:t>
      </w:r>
      <w:r>
        <w:rPr>
          <w:spacing w:val="-1"/>
          <w:sz w:val="24"/>
        </w:rPr>
        <w:t> </w:t>
      </w:r>
      <w:r>
        <w:rPr>
          <w:sz w:val="24"/>
        </w:rPr>
        <w:t>of 27.88 sq. m. of</w:t>
      </w:r>
      <w:r>
        <w:rPr>
          <w:spacing w:val="-1"/>
          <w:sz w:val="24"/>
        </w:rPr>
        <w:t> </w:t>
      </w:r>
      <w:r>
        <w:rPr>
          <w:sz w:val="24"/>
        </w:rPr>
        <w:t>carpet area being one tenement. The calculation of FSI for</w:t>
      </w:r>
      <w:r>
        <w:rPr>
          <w:spacing w:val="-1"/>
          <w:sz w:val="24"/>
        </w:rPr>
        <w:t> </w:t>
      </w:r>
      <w:r>
        <w:rPr>
          <w:sz w:val="24"/>
        </w:rPr>
        <w:t>all purposes shall be on gross </w:t>
      </w:r>
      <w:r>
        <w:rPr>
          <w:spacing w:val="-2"/>
          <w:sz w:val="24"/>
        </w:rPr>
        <w:t>area,</w:t>
      </w:r>
      <w:r>
        <w:rPr>
          <w:spacing w:val="-8"/>
          <w:sz w:val="24"/>
        </w:rPr>
        <w:t> </w:t>
      </w:r>
      <w:r>
        <w:rPr>
          <w:spacing w:val="-2"/>
          <w:sz w:val="24"/>
        </w:rPr>
        <w:t>that</w:t>
      </w:r>
      <w:r>
        <w:rPr>
          <w:spacing w:val="-8"/>
          <w:sz w:val="24"/>
        </w:rPr>
        <w:t> </w:t>
      </w:r>
      <w:r>
        <w:rPr>
          <w:spacing w:val="-2"/>
          <w:sz w:val="24"/>
        </w:rPr>
        <w:t>is,</w:t>
      </w:r>
      <w:r>
        <w:rPr>
          <w:spacing w:val="-8"/>
          <w:sz w:val="24"/>
        </w:rPr>
        <w:t> </w:t>
      </w:r>
      <w:r>
        <w:rPr>
          <w:spacing w:val="-2"/>
          <w:sz w:val="24"/>
        </w:rPr>
        <w:t>without</w:t>
      </w:r>
      <w:r>
        <w:rPr>
          <w:spacing w:val="-8"/>
          <w:sz w:val="24"/>
        </w:rPr>
        <w:t> </w:t>
      </w:r>
      <w:r>
        <w:rPr>
          <w:spacing w:val="-2"/>
          <w:sz w:val="24"/>
        </w:rPr>
        <w:t>deducting</w:t>
      </w:r>
      <w:r>
        <w:rPr>
          <w:spacing w:val="-8"/>
          <w:sz w:val="24"/>
        </w:rPr>
        <w:t> </w:t>
      </w:r>
      <w:r>
        <w:rPr>
          <w:spacing w:val="-2"/>
          <w:sz w:val="24"/>
        </w:rPr>
        <w:t>any</w:t>
      </w:r>
      <w:r>
        <w:rPr>
          <w:spacing w:val="-8"/>
          <w:sz w:val="24"/>
        </w:rPr>
        <w:t> </w:t>
      </w:r>
      <w:r>
        <w:rPr>
          <w:spacing w:val="-2"/>
          <w:sz w:val="24"/>
        </w:rPr>
        <w:t>percentage</w:t>
      </w:r>
      <w:r>
        <w:rPr>
          <w:spacing w:val="-8"/>
          <w:sz w:val="24"/>
        </w:rPr>
        <w:t> </w:t>
      </w:r>
      <w:r>
        <w:rPr>
          <w:spacing w:val="-2"/>
          <w:sz w:val="24"/>
        </w:rPr>
        <w:t>for</w:t>
      </w:r>
      <w:r>
        <w:rPr>
          <w:spacing w:val="-8"/>
          <w:sz w:val="24"/>
        </w:rPr>
        <w:t> </w:t>
      </w:r>
      <w:r>
        <w:rPr>
          <w:spacing w:val="-2"/>
          <w:sz w:val="24"/>
        </w:rPr>
        <w:t>recreational/amenity </w:t>
      </w:r>
      <w:r>
        <w:rPr>
          <w:sz w:val="24"/>
        </w:rPr>
        <w:t>open space.</w:t>
      </w:r>
      <w:r>
        <w:rPr>
          <w:spacing w:val="40"/>
          <w:sz w:val="24"/>
        </w:rPr>
        <w:t> </w:t>
      </w:r>
      <w:r>
        <w:rPr>
          <w:sz w:val="24"/>
        </w:rPr>
        <w:t>This shall not affect the requirement of keeping aside the said recreational/amenity open space physically on site, subject to the provisions in this Regulation in that regard.</w:t>
      </w:r>
    </w:p>
    <w:p>
      <w:pPr>
        <w:pStyle w:val="ListParagraph"/>
        <w:numPr>
          <w:ilvl w:val="1"/>
          <w:numId w:val="195"/>
        </w:numPr>
        <w:tabs>
          <w:tab w:pos="2779" w:val="left" w:leader="none"/>
        </w:tabs>
        <w:spacing w:line="240" w:lineRule="auto" w:before="238" w:after="0"/>
        <w:ind w:left="2062" w:right="766" w:firstLine="0"/>
        <w:jc w:val="both"/>
        <w:rPr>
          <w:sz w:val="24"/>
        </w:rPr>
      </w:pPr>
      <w:r>
        <w:rPr>
          <w:sz w:val="24"/>
        </w:rPr>
        <w:t>Amalgamation/Subdivision</w:t>
      </w:r>
      <w:r>
        <w:rPr>
          <w:spacing w:val="-18"/>
          <w:sz w:val="24"/>
        </w:rPr>
        <w:t> </w:t>
      </w:r>
      <w:r>
        <w:rPr>
          <w:sz w:val="24"/>
        </w:rPr>
        <w:t>of</w:t>
      </w:r>
      <w:r>
        <w:rPr>
          <w:spacing w:val="-18"/>
          <w:sz w:val="24"/>
        </w:rPr>
        <w:t> </w:t>
      </w:r>
      <w:r>
        <w:rPr>
          <w:sz w:val="24"/>
        </w:rPr>
        <w:t>Plots</w:t>
      </w:r>
      <w:r>
        <w:rPr>
          <w:spacing w:val="-18"/>
          <w:sz w:val="24"/>
        </w:rPr>
        <w:t> </w:t>
      </w:r>
      <w:r>
        <w:rPr>
          <w:sz w:val="24"/>
        </w:rPr>
        <w:t>and</w:t>
      </w:r>
      <w:r>
        <w:rPr>
          <w:spacing w:val="-18"/>
          <w:sz w:val="24"/>
        </w:rPr>
        <w:t> </w:t>
      </w:r>
      <w:r>
        <w:rPr>
          <w:sz w:val="24"/>
        </w:rPr>
        <w:t>Balancing</w:t>
      </w:r>
      <w:r>
        <w:rPr>
          <w:spacing w:val="-18"/>
          <w:sz w:val="24"/>
        </w:rPr>
        <w:t> </w:t>
      </w:r>
      <w:r>
        <w:rPr>
          <w:sz w:val="24"/>
        </w:rPr>
        <w:t>of</w:t>
      </w:r>
      <w:r>
        <w:rPr>
          <w:spacing w:val="-18"/>
          <w:sz w:val="24"/>
        </w:rPr>
        <w:t> </w:t>
      </w:r>
      <w:r>
        <w:rPr>
          <w:sz w:val="24"/>
        </w:rPr>
        <w:t>FSI</w:t>
      </w:r>
      <w:r>
        <w:rPr>
          <w:spacing w:val="-16"/>
          <w:sz w:val="24"/>
        </w:rPr>
        <w:t> </w:t>
      </w:r>
      <w:r>
        <w:rPr>
          <w:sz w:val="24"/>
        </w:rPr>
        <w:t>thereon: Any land declared as DRP Area or on which DRP has been sanctioned, if</w:t>
      </w:r>
      <w:r>
        <w:rPr>
          <w:spacing w:val="-7"/>
          <w:sz w:val="24"/>
        </w:rPr>
        <w:t> </w:t>
      </w:r>
      <w:r>
        <w:rPr>
          <w:sz w:val="24"/>
        </w:rPr>
        <w:t>it</w:t>
      </w:r>
      <w:r>
        <w:rPr>
          <w:spacing w:val="-7"/>
          <w:sz w:val="24"/>
        </w:rPr>
        <w:t> </w:t>
      </w:r>
      <w:r>
        <w:rPr>
          <w:sz w:val="24"/>
        </w:rPr>
        <w:t>is</w:t>
      </w:r>
      <w:r>
        <w:rPr>
          <w:spacing w:val="-7"/>
          <w:sz w:val="24"/>
        </w:rPr>
        <w:t> </w:t>
      </w:r>
      <w:r>
        <w:rPr>
          <w:sz w:val="24"/>
        </w:rPr>
        <w:t>spread</w:t>
      </w:r>
      <w:r>
        <w:rPr>
          <w:spacing w:val="-7"/>
          <w:sz w:val="24"/>
        </w:rPr>
        <w:t> </w:t>
      </w:r>
      <w:r>
        <w:rPr>
          <w:sz w:val="24"/>
        </w:rPr>
        <w:t>on</w:t>
      </w:r>
      <w:r>
        <w:rPr>
          <w:spacing w:val="-7"/>
          <w:sz w:val="24"/>
        </w:rPr>
        <w:t> </w:t>
      </w:r>
      <w:r>
        <w:rPr>
          <w:sz w:val="24"/>
        </w:rPr>
        <w:t>part</w:t>
      </w:r>
      <w:r>
        <w:rPr>
          <w:spacing w:val="-10"/>
          <w:sz w:val="24"/>
        </w:rPr>
        <w:t> </w:t>
      </w:r>
      <w:r>
        <w:rPr>
          <w:sz w:val="24"/>
        </w:rPr>
        <w:t>or</w:t>
      </w:r>
      <w:r>
        <w:rPr>
          <w:spacing w:val="-7"/>
          <w:sz w:val="24"/>
        </w:rPr>
        <w:t> </w:t>
      </w:r>
      <w:r>
        <w:rPr>
          <w:sz w:val="24"/>
        </w:rPr>
        <w:t>parts</w:t>
      </w:r>
      <w:r>
        <w:rPr>
          <w:spacing w:val="-7"/>
          <w:sz w:val="24"/>
        </w:rPr>
        <w:t> </w:t>
      </w:r>
      <w:r>
        <w:rPr>
          <w:sz w:val="24"/>
        </w:rPr>
        <w:t>of</w:t>
      </w:r>
      <w:r>
        <w:rPr>
          <w:spacing w:val="-7"/>
          <w:sz w:val="24"/>
        </w:rPr>
        <w:t> </w:t>
      </w:r>
      <w:r>
        <w:rPr>
          <w:sz w:val="24"/>
        </w:rPr>
        <w:t>C.S.</w:t>
      </w:r>
      <w:r>
        <w:rPr>
          <w:spacing w:val="-7"/>
          <w:sz w:val="24"/>
        </w:rPr>
        <w:t> </w:t>
      </w:r>
      <w:r>
        <w:rPr>
          <w:sz w:val="24"/>
        </w:rPr>
        <w:t>Nos.</w:t>
      </w:r>
      <w:r>
        <w:rPr>
          <w:spacing w:val="-10"/>
          <w:sz w:val="24"/>
        </w:rPr>
        <w:t> </w:t>
      </w:r>
      <w:r>
        <w:rPr>
          <w:sz w:val="24"/>
        </w:rPr>
        <w:t>or</w:t>
      </w:r>
      <w:r>
        <w:rPr>
          <w:spacing w:val="-7"/>
          <w:sz w:val="24"/>
        </w:rPr>
        <w:t> </w:t>
      </w:r>
      <w:r>
        <w:rPr>
          <w:sz w:val="24"/>
        </w:rPr>
        <w:t>CTS</w:t>
      </w:r>
      <w:r>
        <w:rPr>
          <w:spacing w:val="-7"/>
          <w:sz w:val="24"/>
        </w:rPr>
        <w:t> </w:t>
      </w:r>
      <w:r>
        <w:rPr>
          <w:sz w:val="24"/>
        </w:rPr>
        <w:t>Nos.</w:t>
      </w:r>
      <w:r>
        <w:rPr>
          <w:spacing w:val="-7"/>
          <w:sz w:val="24"/>
        </w:rPr>
        <w:t> </w:t>
      </w:r>
      <w:r>
        <w:rPr>
          <w:sz w:val="24"/>
        </w:rPr>
        <w:t>or</w:t>
      </w:r>
      <w:r>
        <w:rPr>
          <w:spacing w:val="-7"/>
          <w:sz w:val="24"/>
        </w:rPr>
        <w:t> </w:t>
      </w:r>
      <w:r>
        <w:rPr>
          <w:sz w:val="24"/>
        </w:rPr>
        <w:t>S.</w:t>
      </w:r>
      <w:r>
        <w:rPr>
          <w:spacing w:val="-7"/>
          <w:sz w:val="24"/>
        </w:rPr>
        <w:t> </w:t>
      </w:r>
      <w:r>
        <w:rPr>
          <w:sz w:val="24"/>
        </w:rPr>
        <w:t>Nos.</w:t>
      </w:r>
      <w:r>
        <w:rPr>
          <w:spacing w:val="-6"/>
          <w:sz w:val="24"/>
        </w:rPr>
        <w:t> </w:t>
      </w:r>
      <w:r>
        <w:rPr>
          <w:sz w:val="24"/>
        </w:rPr>
        <w:t>or</w:t>
      </w:r>
      <w:r>
        <w:rPr>
          <w:spacing w:val="-7"/>
          <w:sz w:val="24"/>
        </w:rPr>
        <w:t> </w:t>
      </w:r>
      <w:r>
        <w:rPr>
          <w:sz w:val="24"/>
        </w:rPr>
        <w:t>F.P. No</w:t>
      </w:r>
      <w:r>
        <w:rPr>
          <w:spacing w:val="-1"/>
          <w:sz w:val="24"/>
        </w:rPr>
        <w:t> </w:t>
      </w:r>
      <w:r>
        <w:rPr>
          <w:sz w:val="24"/>
        </w:rPr>
        <w:t>shall</w:t>
      </w:r>
      <w:r>
        <w:rPr>
          <w:spacing w:val="-1"/>
          <w:sz w:val="24"/>
        </w:rPr>
        <w:t> </w:t>
      </w:r>
      <w:r>
        <w:rPr>
          <w:sz w:val="24"/>
        </w:rPr>
        <w:t>be</w:t>
      </w:r>
      <w:r>
        <w:rPr>
          <w:spacing w:val="-1"/>
          <w:sz w:val="24"/>
        </w:rPr>
        <w:t> </w:t>
      </w:r>
      <w:r>
        <w:rPr>
          <w:sz w:val="24"/>
        </w:rPr>
        <w:t>treated</w:t>
      </w:r>
      <w:r>
        <w:rPr>
          <w:spacing w:val="-1"/>
          <w:sz w:val="24"/>
        </w:rPr>
        <w:t> </w:t>
      </w:r>
      <w:r>
        <w:rPr>
          <w:sz w:val="24"/>
        </w:rPr>
        <w:t>as</w:t>
      </w:r>
      <w:r>
        <w:rPr>
          <w:spacing w:val="-1"/>
          <w:sz w:val="24"/>
        </w:rPr>
        <w:t> </w:t>
      </w:r>
      <w:r>
        <w:rPr>
          <w:sz w:val="24"/>
        </w:rPr>
        <w:t>natural</w:t>
      </w:r>
      <w:r>
        <w:rPr>
          <w:spacing w:val="-1"/>
          <w:sz w:val="24"/>
        </w:rPr>
        <w:t> </w:t>
      </w:r>
      <w:r>
        <w:rPr>
          <w:sz w:val="24"/>
        </w:rPr>
        <w:t>amalgamation/subdivisions/</w:t>
      </w:r>
      <w:r>
        <w:rPr>
          <w:spacing w:val="-1"/>
          <w:sz w:val="24"/>
        </w:rPr>
        <w:t> </w:t>
      </w:r>
      <w:r>
        <w:rPr>
          <w:sz w:val="24"/>
        </w:rPr>
        <w:t>of</w:t>
      </w:r>
      <w:r>
        <w:rPr>
          <w:spacing w:val="-1"/>
          <w:sz w:val="24"/>
        </w:rPr>
        <w:t> </w:t>
      </w:r>
      <w:r>
        <w:rPr>
          <w:sz w:val="24"/>
        </w:rPr>
        <w:t>that</w:t>
      </w:r>
      <w:r>
        <w:rPr>
          <w:spacing w:val="-1"/>
          <w:sz w:val="24"/>
        </w:rPr>
        <w:t> </w:t>
      </w:r>
      <w:r>
        <w:rPr>
          <w:sz w:val="24"/>
        </w:rPr>
        <w:t>C.S or CTS or S. No. or F.P. No. for which no separate approval for amalgamation/subdivision of land would be necessary.</w:t>
      </w:r>
    </w:p>
    <w:p>
      <w:pPr>
        <w:pStyle w:val="ListParagraph"/>
        <w:numPr>
          <w:ilvl w:val="1"/>
          <w:numId w:val="195"/>
        </w:numPr>
        <w:tabs>
          <w:tab w:pos="2779" w:val="left" w:leader="none"/>
        </w:tabs>
        <w:spacing w:line="240" w:lineRule="auto" w:before="243" w:after="0"/>
        <w:ind w:left="2062" w:right="766" w:firstLine="0"/>
        <w:jc w:val="both"/>
        <w:rPr>
          <w:sz w:val="24"/>
        </w:rPr>
      </w:pPr>
      <w:r>
        <w:rPr>
          <w:sz w:val="24"/>
        </w:rPr>
        <w:t>Boundaries and the measurement of plot areas of the DRP Area shall</w:t>
      </w:r>
      <w:r>
        <w:rPr>
          <w:spacing w:val="-4"/>
          <w:sz w:val="24"/>
        </w:rPr>
        <w:t> </w:t>
      </w:r>
      <w:r>
        <w:rPr>
          <w:sz w:val="24"/>
        </w:rPr>
        <w:t>be</w:t>
      </w:r>
      <w:r>
        <w:rPr>
          <w:spacing w:val="-4"/>
          <w:sz w:val="24"/>
        </w:rPr>
        <w:t> </w:t>
      </w:r>
      <w:r>
        <w:rPr>
          <w:sz w:val="24"/>
        </w:rPr>
        <w:t>declared</w:t>
      </w:r>
      <w:r>
        <w:rPr>
          <w:spacing w:val="-4"/>
          <w:sz w:val="24"/>
        </w:rPr>
        <w:t> </w:t>
      </w:r>
      <w:r>
        <w:rPr>
          <w:sz w:val="24"/>
        </w:rPr>
        <w:t>by</w:t>
      </w:r>
      <w:r>
        <w:rPr>
          <w:spacing w:val="-7"/>
          <w:sz w:val="24"/>
        </w:rPr>
        <w:t> </w:t>
      </w:r>
      <w:r>
        <w:rPr>
          <w:sz w:val="24"/>
        </w:rPr>
        <w:t>the</w:t>
      </w:r>
      <w:r>
        <w:rPr>
          <w:spacing w:val="-4"/>
          <w:sz w:val="24"/>
        </w:rPr>
        <w:t> </w:t>
      </w:r>
      <w:r>
        <w:rPr>
          <w:sz w:val="24"/>
        </w:rPr>
        <w:t>competent</w:t>
      </w:r>
      <w:r>
        <w:rPr>
          <w:spacing w:val="-4"/>
          <w:sz w:val="24"/>
        </w:rPr>
        <w:t> </w:t>
      </w:r>
      <w:r>
        <w:rPr>
          <w:sz w:val="24"/>
        </w:rPr>
        <w:t>authority</w:t>
      </w:r>
      <w:r>
        <w:rPr>
          <w:spacing w:val="-4"/>
          <w:sz w:val="24"/>
        </w:rPr>
        <w:t> </w:t>
      </w:r>
      <w:r>
        <w:rPr>
          <w:sz w:val="24"/>
        </w:rPr>
        <w:t>after</w:t>
      </w:r>
      <w:r>
        <w:rPr>
          <w:spacing w:val="-4"/>
          <w:sz w:val="24"/>
        </w:rPr>
        <w:t> </w:t>
      </w:r>
      <w:r>
        <w:rPr>
          <w:sz w:val="24"/>
        </w:rPr>
        <w:t>actual</w:t>
      </w:r>
      <w:r>
        <w:rPr>
          <w:spacing w:val="-4"/>
          <w:sz w:val="24"/>
        </w:rPr>
        <w:t> </w:t>
      </w:r>
      <w:r>
        <w:rPr>
          <w:sz w:val="24"/>
        </w:rPr>
        <w:t>measurement of</w:t>
      </w:r>
      <w:r>
        <w:rPr>
          <w:spacing w:val="-5"/>
          <w:sz w:val="24"/>
        </w:rPr>
        <w:t> </w:t>
      </w:r>
      <w:r>
        <w:rPr>
          <w:sz w:val="24"/>
        </w:rPr>
        <w:t>plot</w:t>
      </w:r>
      <w:r>
        <w:rPr>
          <w:spacing w:val="-5"/>
          <w:sz w:val="24"/>
        </w:rPr>
        <w:t> </w:t>
      </w:r>
      <w:r>
        <w:rPr>
          <w:sz w:val="24"/>
        </w:rPr>
        <w:t>area</w:t>
      </w:r>
      <w:r>
        <w:rPr>
          <w:spacing w:val="-5"/>
          <w:sz w:val="24"/>
        </w:rPr>
        <w:t> </w:t>
      </w:r>
      <w:r>
        <w:rPr>
          <w:sz w:val="24"/>
        </w:rPr>
        <w:t>on</w:t>
      </w:r>
      <w:r>
        <w:rPr>
          <w:spacing w:val="-5"/>
          <w:sz w:val="24"/>
        </w:rPr>
        <w:t> </w:t>
      </w:r>
      <w:r>
        <w:rPr>
          <w:sz w:val="24"/>
        </w:rPr>
        <w:t>site</w:t>
      </w:r>
      <w:r>
        <w:rPr>
          <w:spacing w:val="-5"/>
          <w:sz w:val="24"/>
        </w:rPr>
        <w:t> </w:t>
      </w:r>
      <w:r>
        <w:rPr>
          <w:sz w:val="24"/>
        </w:rPr>
        <w:t>and</w:t>
      </w:r>
      <w:r>
        <w:rPr>
          <w:spacing w:val="-5"/>
          <w:sz w:val="24"/>
        </w:rPr>
        <w:t> </w:t>
      </w:r>
      <w:r>
        <w:rPr>
          <w:sz w:val="24"/>
        </w:rPr>
        <w:t>the</w:t>
      </w:r>
      <w:r>
        <w:rPr>
          <w:spacing w:val="-5"/>
          <w:sz w:val="24"/>
        </w:rPr>
        <w:t> </w:t>
      </w:r>
      <w:r>
        <w:rPr>
          <w:sz w:val="24"/>
        </w:rPr>
        <w:t>same</w:t>
      </w:r>
      <w:r>
        <w:rPr>
          <w:spacing w:val="-5"/>
          <w:sz w:val="24"/>
        </w:rPr>
        <w:t> </w:t>
      </w:r>
      <w:r>
        <w:rPr>
          <w:sz w:val="24"/>
        </w:rPr>
        <w:t>shall</w:t>
      </w:r>
      <w:r>
        <w:rPr>
          <w:spacing w:val="-5"/>
          <w:sz w:val="24"/>
        </w:rPr>
        <w:t> </w:t>
      </w:r>
      <w:r>
        <w:rPr>
          <w:sz w:val="24"/>
        </w:rPr>
        <w:t>be</w:t>
      </w:r>
      <w:r>
        <w:rPr>
          <w:spacing w:val="-5"/>
          <w:sz w:val="24"/>
        </w:rPr>
        <w:t> </w:t>
      </w:r>
      <w:r>
        <w:rPr>
          <w:sz w:val="24"/>
        </w:rPr>
        <w:t>adopted</w:t>
      </w:r>
      <w:r>
        <w:rPr>
          <w:spacing w:val="-5"/>
          <w:sz w:val="24"/>
        </w:rPr>
        <w:t> </w:t>
      </w:r>
      <w:r>
        <w:rPr>
          <w:sz w:val="24"/>
        </w:rPr>
        <w:t>for</w:t>
      </w:r>
      <w:r>
        <w:rPr>
          <w:spacing w:val="-5"/>
          <w:sz w:val="24"/>
        </w:rPr>
        <w:t> </w:t>
      </w:r>
      <w:r>
        <w:rPr>
          <w:sz w:val="24"/>
        </w:rPr>
        <w:t>planning</w:t>
      </w:r>
      <w:r>
        <w:rPr>
          <w:spacing w:val="-5"/>
          <w:sz w:val="24"/>
        </w:rPr>
        <w:t> </w:t>
      </w:r>
      <w:r>
        <w:rPr>
          <w:sz w:val="24"/>
        </w:rPr>
        <w:t>purpose for calculation of density and floor space index.</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1"/>
          <w:numId w:val="195"/>
        </w:numPr>
        <w:tabs>
          <w:tab w:pos="2778" w:val="left" w:leader="none"/>
        </w:tabs>
        <w:spacing w:line="240" w:lineRule="auto" w:before="249" w:after="0"/>
        <w:ind w:left="2062" w:right="766" w:firstLine="0"/>
        <w:jc w:val="both"/>
        <w:rPr>
          <w:sz w:val="24"/>
        </w:rPr>
      </w:pPr>
      <w:r>
        <w:rPr>
          <w:sz w:val="24"/>
        </w:rPr>
        <w:t>The OSD, DRP(SRA) may if required, adjust the boundary of the plot</w:t>
      </w:r>
      <w:r>
        <w:rPr>
          <w:spacing w:val="-3"/>
          <w:sz w:val="24"/>
        </w:rPr>
        <w:t> </w:t>
      </w:r>
      <w:r>
        <w:rPr>
          <w:sz w:val="24"/>
        </w:rPr>
        <w:t>declared</w:t>
      </w:r>
      <w:r>
        <w:rPr>
          <w:spacing w:val="-3"/>
          <w:sz w:val="24"/>
        </w:rPr>
        <w:t> </w:t>
      </w:r>
      <w:r>
        <w:rPr>
          <w:sz w:val="24"/>
        </w:rPr>
        <w:t>as</w:t>
      </w:r>
      <w:r>
        <w:rPr>
          <w:spacing w:val="-3"/>
          <w:sz w:val="24"/>
        </w:rPr>
        <w:t> </w:t>
      </w:r>
      <w:r>
        <w:rPr>
          <w:sz w:val="24"/>
        </w:rPr>
        <w:t>DRP</w:t>
      </w:r>
      <w:r>
        <w:rPr>
          <w:spacing w:val="-1"/>
          <w:sz w:val="24"/>
        </w:rPr>
        <w:t> </w:t>
      </w:r>
      <w:r>
        <w:rPr>
          <w:sz w:val="24"/>
        </w:rPr>
        <w:t>Area</w:t>
      </w:r>
      <w:r>
        <w:rPr>
          <w:spacing w:val="-3"/>
          <w:sz w:val="24"/>
        </w:rPr>
        <w:t> </w:t>
      </w:r>
      <w:r>
        <w:rPr>
          <w:sz w:val="24"/>
        </w:rPr>
        <w:t>so</w:t>
      </w:r>
      <w:r>
        <w:rPr>
          <w:spacing w:val="-3"/>
          <w:sz w:val="24"/>
        </w:rPr>
        <w:t> </w:t>
      </w:r>
      <w:r>
        <w:rPr>
          <w:sz w:val="24"/>
        </w:rPr>
        <w:t>as</w:t>
      </w:r>
      <w:r>
        <w:rPr>
          <w:spacing w:val="-3"/>
          <w:sz w:val="24"/>
        </w:rPr>
        <w:t> </w:t>
      </w:r>
      <w:r>
        <w:rPr>
          <w:sz w:val="24"/>
        </w:rPr>
        <w:t>to</w:t>
      </w:r>
      <w:r>
        <w:rPr>
          <w:spacing w:val="-3"/>
          <w:sz w:val="24"/>
        </w:rPr>
        <w:t> </w:t>
      </w:r>
      <w:r>
        <w:rPr>
          <w:sz w:val="24"/>
        </w:rPr>
        <w:t>suit</w:t>
      </w:r>
      <w:r>
        <w:rPr>
          <w:spacing w:val="-3"/>
          <w:sz w:val="24"/>
        </w:rPr>
        <w:t> </w:t>
      </w:r>
      <w:r>
        <w:rPr>
          <w:sz w:val="24"/>
        </w:rPr>
        <w:t>the</w:t>
      </w:r>
      <w:r>
        <w:rPr>
          <w:spacing w:val="-3"/>
          <w:sz w:val="24"/>
        </w:rPr>
        <w:t> </w:t>
      </w:r>
      <w:r>
        <w:rPr>
          <w:sz w:val="24"/>
        </w:rPr>
        <w:t>building</w:t>
      </w:r>
      <w:r>
        <w:rPr>
          <w:spacing w:val="-3"/>
          <w:sz w:val="24"/>
        </w:rPr>
        <w:t> </w:t>
      </w:r>
      <w:r>
        <w:rPr>
          <w:sz w:val="24"/>
        </w:rPr>
        <w:t>design</w:t>
      </w:r>
      <w:r>
        <w:rPr>
          <w:spacing w:val="-3"/>
          <w:sz w:val="24"/>
        </w:rPr>
        <w:t> </w:t>
      </w:r>
      <w:r>
        <w:rPr>
          <w:sz w:val="24"/>
        </w:rPr>
        <w:t>and</w:t>
      </w:r>
      <w:r>
        <w:rPr>
          <w:spacing w:val="-3"/>
          <w:sz w:val="24"/>
        </w:rPr>
        <w:t> </w:t>
      </w:r>
      <w:r>
        <w:rPr>
          <w:sz w:val="24"/>
        </w:rPr>
        <w:t>provide proper access to the Project/any other plot/s located within Sector/s.</w:t>
      </w:r>
    </w:p>
    <w:p>
      <w:pPr>
        <w:pStyle w:val="ListParagraph"/>
        <w:numPr>
          <w:ilvl w:val="1"/>
          <w:numId w:val="195"/>
        </w:numPr>
        <w:tabs>
          <w:tab w:pos="2778" w:val="left" w:leader="none"/>
        </w:tabs>
        <w:spacing w:line="240" w:lineRule="auto" w:before="242" w:after="0"/>
        <w:ind w:left="2062" w:right="768" w:firstLine="0"/>
        <w:jc w:val="both"/>
        <w:rPr>
          <w:sz w:val="24"/>
        </w:rPr>
      </w:pPr>
      <w:r>
        <w:rPr>
          <w:sz w:val="24"/>
        </w:rPr>
        <w:t>After approval is given to the DRP, the area may be further subdivided if necessary to earmark separate plots for the rehab component, amenity plot and the free sale component.</w:t>
      </w:r>
      <w:r>
        <w:rPr>
          <w:spacing w:val="40"/>
          <w:sz w:val="24"/>
        </w:rPr>
        <w:t> </w:t>
      </w:r>
      <w:r>
        <w:rPr>
          <w:sz w:val="24"/>
        </w:rPr>
        <w:t>The Plot area and the BUA in terms of square meters on the said plot shall be separately mentioned in the lease agreements and Record of Rights.</w:t>
      </w:r>
    </w:p>
    <w:p>
      <w:pPr>
        <w:pStyle w:val="ListParagraph"/>
        <w:numPr>
          <w:ilvl w:val="1"/>
          <w:numId w:val="195"/>
        </w:numPr>
        <w:tabs>
          <w:tab w:pos="2778" w:val="left" w:leader="none"/>
        </w:tabs>
        <w:spacing w:line="240" w:lineRule="auto" w:before="240" w:after="0"/>
        <w:ind w:left="2062" w:right="767" w:firstLine="0"/>
        <w:jc w:val="both"/>
        <w:rPr>
          <w:sz w:val="24"/>
        </w:rPr>
      </w:pPr>
      <w:r>
        <w:rPr>
          <w:sz w:val="24"/>
        </w:rPr>
        <w:t>The</w:t>
      </w:r>
      <w:r>
        <w:rPr>
          <w:spacing w:val="-5"/>
          <w:sz w:val="24"/>
        </w:rPr>
        <w:t> </w:t>
      </w:r>
      <w:r>
        <w:rPr>
          <w:sz w:val="24"/>
        </w:rPr>
        <w:t>Settlement</w:t>
      </w:r>
      <w:r>
        <w:rPr>
          <w:spacing w:val="-5"/>
          <w:sz w:val="24"/>
        </w:rPr>
        <w:t> </w:t>
      </w:r>
      <w:r>
        <w:rPr>
          <w:sz w:val="24"/>
        </w:rPr>
        <w:t>Commissioner,</w:t>
      </w:r>
      <w:r>
        <w:rPr>
          <w:spacing w:val="-5"/>
          <w:sz w:val="24"/>
        </w:rPr>
        <w:t> </w:t>
      </w:r>
      <w:r>
        <w:rPr>
          <w:sz w:val="24"/>
        </w:rPr>
        <w:t>Maharashtra</w:t>
      </w:r>
      <w:r>
        <w:rPr>
          <w:spacing w:val="-5"/>
          <w:sz w:val="24"/>
        </w:rPr>
        <w:t> </w:t>
      </w:r>
      <w:r>
        <w:rPr>
          <w:sz w:val="24"/>
        </w:rPr>
        <w:t>State</w:t>
      </w:r>
      <w:r>
        <w:rPr>
          <w:spacing w:val="-5"/>
          <w:sz w:val="24"/>
        </w:rPr>
        <w:t> </w:t>
      </w:r>
      <w:r>
        <w:rPr>
          <w:sz w:val="24"/>
        </w:rPr>
        <w:t>on</w:t>
      </w:r>
      <w:r>
        <w:rPr>
          <w:spacing w:val="-5"/>
          <w:sz w:val="24"/>
        </w:rPr>
        <w:t> </w:t>
      </w:r>
      <w:r>
        <w:rPr>
          <w:sz w:val="24"/>
        </w:rPr>
        <w:t>payment</w:t>
      </w:r>
      <w:r>
        <w:rPr>
          <w:spacing w:val="-5"/>
          <w:sz w:val="24"/>
        </w:rPr>
        <w:t> </w:t>
      </w:r>
      <w:r>
        <w:rPr>
          <w:sz w:val="24"/>
        </w:rPr>
        <w:t>of such fees as may be decided by the Govt ensure that the City Survey sheet and property cards are corrected accordingly and fresh property cards are opened for each of the plots giving details regarding the area of the plots and the total area of the floors of the built-up property and TDR given that is, the FSI used on that plot.</w:t>
      </w:r>
    </w:p>
    <w:p>
      <w:pPr>
        <w:pStyle w:val="BodyText"/>
        <w:jc w:val="left"/>
      </w:pPr>
    </w:p>
    <w:p>
      <w:pPr>
        <w:pStyle w:val="BodyText"/>
        <w:spacing w:before="195"/>
        <w:jc w:val="left"/>
      </w:pPr>
    </w:p>
    <w:p>
      <w:pPr>
        <w:pStyle w:val="Heading5"/>
        <w:numPr>
          <w:ilvl w:val="0"/>
          <w:numId w:val="195"/>
        </w:numPr>
        <w:tabs>
          <w:tab w:pos="2781" w:val="left" w:leader="none"/>
        </w:tabs>
        <w:spacing w:line="240" w:lineRule="auto" w:before="0" w:after="0"/>
        <w:ind w:left="2781" w:right="0" w:hanging="719"/>
        <w:jc w:val="both"/>
      </w:pPr>
      <w:r>
        <w:rPr/>
        <w:t>Temporary</w:t>
      </w:r>
      <w:r>
        <w:rPr>
          <w:spacing w:val="-4"/>
        </w:rPr>
        <w:t> </w:t>
      </w:r>
      <w:r>
        <w:rPr/>
        <w:t>Transit</w:t>
      </w:r>
      <w:r>
        <w:rPr>
          <w:spacing w:val="-4"/>
        </w:rPr>
        <w:t> </w:t>
      </w:r>
      <w:r>
        <w:rPr>
          <w:spacing w:val="-2"/>
        </w:rPr>
        <w:t>Camps</w:t>
      </w:r>
      <w:r>
        <w:rPr>
          <w:i/>
          <w:spacing w:val="-2"/>
        </w:rPr>
        <w:t>:</w:t>
      </w:r>
    </w:p>
    <w:p>
      <w:pPr>
        <w:pStyle w:val="ListParagraph"/>
        <w:numPr>
          <w:ilvl w:val="1"/>
          <w:numId w:val="195"/>
        </w:numPr>
        <w:tabs>
          <w:tab w:pos="2779" w:val="left" w:leader="none"/>
        </w:tabs>
        <w:spacing w:line="240" w:lineRule="auto" w:before="124" w:after="0"/>
        <w:ind w:left="2062" w:right="766" w:firstLine="0"/>
        <w:jc w:val="both"/>
        <w:rPr>
          <w:sz w:val="24"/>
        </w:rPr>
      </w:pPr>
      <w:r>
        <w:rPr>
          <w:sz w:val="24"/>
        </w:rPr>
        <w:t>The temporary transit camp/transit accommodation shall be provided within DNA or nearby lands with prior approval of DRP(SRA) and if need be on the area of statutory open space to be left in accordance with Regulation No. 27 on the plot.</w:t>
      </w:r>
    </w:p>
    <w:p>
      <w:pPr>
        <w:pStyle w:val="BodyText"/>
        <w:spacing w:line="276" w:lineRule="auto" w:before="116"/>
        <w:ind w:left="2062" w:right="771" w:firstLine="720"/>
      </w:pPr>
      <w:r>
        <w:rPr/>
        <w:t>Temporary</w:t>
      </w:r>
      <w:r>
        <w:rPr>
          <w:spacing w:val="-5"/>
        </w:rPr>
        <w:t> </w:t>
      </w:r>
      <w:r>
        <w:rPr/>
        <w:t>transit</w:t>
      </w:r>
      <w:r>
        <w:rPr>
          <w:spacing w:val="-5"/>
        </w:rPr>
        <w:t> </w:t>
      </w:r>
      <w:r>
        <w:rPr/>
        <w:t>accommodation</w:t>
      </w:r>
      <w:r>
        <w:rPr>
          <w:spacing w:val="-5"/>
        </w:rPr>
        <w:t> </w:t>
      </w:r>
      <w:r>
        <w:rPr/>
        <w:t>shall</w:t>
      </w:r>
      <w:r>
        <w:rPr>
          <w:spacing w:val="-5"/>
        </w:rPr>
        <w:t> </w:t>
      </w:r>
      <w:r>
        <w:rPr/>
        <w:t>be</w:t>
      </w:r>
      <w:r>
        <w:rPr>
          <w:spacing w:val="-5"/>
        </w:rPr>
        <w:t> </w:t>
      </w:r>
      <w:r>
        <w:rPr/>
        <w:t>provided</w:t>
      </w:r>
      <w:r>
        <w:rPr>
          <w:spacing w:val="-5"/>
        </w:rPr>
        <w:t> </w:t>
      </w:r>
      <w:r>
        <w:rPr/>
        <w:t>within</w:t>
      </w:r>
      <w:r>
        <w:rPr>
          <w:spacing w:val="-5"/>
        </w:rPr>
        <w:t> </w:t>
      </w:r>
      <w:r>
        <w:rPr/>
        <w:t>DNA. If it falls on the area of amenity open space excluding D P road/open space reservation in accordance with the procedure laid down under this Regulation.</w:t>
      </w:r>
    </w:p>
    <w:p>
      <w:pPr>
        <w:spacing w:before="202"/>
        <w:ind w:left="2062" w:right="0" w:firstLine="0"/>
        <w:jc w:val="left"/>
        <w:rPr>
          <w:sz w:val="22"/>
        </w:rPr>
      </w:pPr>
      <w:r>
        <w:rPr>
          <w:sz w:val="22"/>
        </w:rPr>
        <w:t>(EP</w:t>
      </w:r>
      <w:r>
        <w:rPr>
          <w:spacing w:val="-5"/>
          <w:sz w:val="22"/>
        </w:rPr>
        <w:t> </w:t>
      </w:r>
      <w:r>
        <w:rPr>
          <w:sz w:val="22"/>
        </w:rPr>
        <w:t>No</w:t>
      </w:r>
      <w:r>
        <w:rPr>
          <w:spacing w:val="-2"/>
          <w:sz w:val="22"/>
        </w:rPr>
        <w:t> </w:t>
      </w:r>
      <w:r>
        <w:rPr>
          <w:spacing w:val="-4"/>
          <w:sz w:val="22"/>
        </w:rPr>
        <w:t>166)</w:t>
      </w:r>
    </w:p>
    <w:p>
      <w:pPr>
        <w:pStyle w:val="ListParagraph"/>
        <w:numPr>
          <w:ilvl w:val="1"/>
          <w:numId w:val="195"/>
        </w:numPr>
        <w:tabs>
          <w:tab w:pos="2779" w:val="left" w:leader="none"/>
        </w:tabs>
        <w:spacing w:line="240" w:lineRule="auto" w:before="121" w:after="0"/>
        <w:ind w:left="2062" w:right="769" w:firstLine="0"/>
        <w:jc w:val="both"/>
        <w:rPr>
          <w:sz w:val="24"/>
        </w:rPr>
      </w:pPr>
      <w:r>
        <w:rPr>
          <w:sz w:val="24"/>
        </w:rPr>
        <w:t>On</w:t>
      </w:r>
      <w:r>
        <w:rPr>
          <w:spacing w:val="-7"/>
          <w:sz w:val="24"/>
        </w:rPr>
        <w:t> </w:t>
      </w:r>
      <w:r>
        <w:rPr>
          <w:sz w:val="24"/>
        </w:rPr>
        <w:t>the</w:t>
      </w:r>
      <w:r>
        <w:rPr>
          <w:spacing w:val="-7"/>
          <w:sz w:val="24"/>
        </w:rPr>
        <w:t> </w:t>
      </w:r>
      <w:r>
        <w:rPr>
          <w:sz w:val="24"/>
        </w:rPr>
        <w:t>slum</w:t>
      </w:r>
      <w:r>
        <w:rPr>
          <w:spacing w:val="-7"/>
          <w:sz w:val="24"/>
        </w:rPr>
        <w:t> </w:t>
      </w:r>
      <w:r>
        <w:rPr>
          <w:sz w:val="24"/>
        </w:rPr>
        <w:t>site</w:t>
      </w:r>
      <w:r>
        <w:rPr>
          <w:spacing w:val="-7"/>
          <w:sz w:val="24"/>
        </w:rPr>
        <w:t> </w:t>
      </w:r>
      <w:r>
        <w:rPr>
          <w:sz w:val="24"/>
        </w:rPr>
        <w:t>itself</w:t>
      </w:r>
      <w:r>
        <w:rPr>
          <w:spacing w:val="-7"/>
          <w:sz w:val="24"/>
        </w:rPr>
        <w:t> </w:t>
      </w:r>
      <w:r>
        <w:rPr>
          <w:sz w:val="24"/>
        </w:rPr>
        <w:t>approved</w:t>
      </w:r>
      <w:r>
        <w:rPr>
          <w:spacing w:val="-7"/>
          <w:sz w:val="24"/>
        </w:rPr>
        <w:t> </w:t>
      </w:r>
      <w:r>
        <w:rPr>
          <w:sz w:val="24"/>
        </w:rPr>
        <w:t>for</w:t>
      </w:r>
      <w:r>
        <w:rPr>
          <w:spacing w:val="-7"/>
          <w:sz w:val="24"/>
        </w:rPr>
        <w:t> </w:t>
      </w:r>
      <w:r>
        <w:rPr>
          <w:sz w:val="24"/>
        </w:rPr>
        <w:t>rehabilitation,</w:t>
      </w:r>
      <w:r>
        <w:rPr>
          <w:spacing w:val="-7"/>
          <w:sz w:val="24"/>
        </w:rPr>
        <w:t> </w:t>
      </w:r>
      <w:r>
        <w:rPr>
          <w:sz w:val="24"/>
        </w:rPr>
        <w:t>multi-storeyed temporary transit tenement may be allowed to be constructed.</w:t>
      </w:r>
    </w:p>
    <w:p>
      <w:pPr>
        <w:pStyle w:val="ListParagraph"/>
        <w:numPr>
          <w:ilvl w:val="1"/>
          <w:numId w:val="195"/>
        </w:numPr>
        <w:tabs>
          <w:tab w:pos="2779" w:val="left" w:leader="none"/>
        </w:tabs>
        <w:spacing w:line="240" w:lineRule="auto" w:before="121" w:after="0"/>
        <w:ind w:left="2062" w:right="767" w:firstLine="0"/>
        <w:jc w:val="both"/>
        <w:rPr>
          <w:sz w:val="24"/>
        </w:rPr>
      </w:pPr>
      <w:r>
        <w:rPr>
          <w:sz w:val="24"/>
        </w:rPr>
        <w:t>The area of temporary transit tenements shall be excluded from the</w:t>
      </w:r>
      <w:r>
        <w:rPr>
          <w:spacing w:val="-13"/>
          <w:sz w:val="24"/>
        </w:rPr>
        <w:t> </w:t>
      </w:r>
      <w:r>
        <w:rPr>
          <w:sz w:val="24"/>
        </w:rPr>
        <w:t>computation</w:t>
      </w:r>
      <w:r>
        <w:rPr>
          <w:spacing w:val="-13"/>
          <w:sz w:val="24"/>
        </w:rPr>
        <w:t> </w:t>
      </w:r>
      <w:r>
        <w:rPr>
          <w:sz w:val="24"/>
        </w:rPr>
        <w:t>of</w:t>
      </w:r>
      <w:r>
        <w:rPr>
          <w:spacing w:val="-13"/>
          <w:sz w:val="24"/>
        </w:rPr>
        <w:t> </w:t>
      </w:r>
      <w:r>
        <w:rPr>
          <w:sz w:val="24"/>
        </w:rPr>
        <w:t>FSI,</w:t>
      </w:r>
      <w:r>
        <w:rPr>
          <w:spacing w:val="-13"/>
          <w:sz w:val="24"/>
        </w:rPr>
        <w:t> </w:t>
      </w:r>
      <w:r>
        <w:rPr>
          <w:sz w:val="24"/>
        </w:rPr>
        <w:t>but</w:t>
      </w:r>
      <w:r>
        <w:rPr>
          <w:spacing w:val="-13"/>
          <w:sz w:val="24"/>
        </w:rPr>
        <w:t> </w:t>
      </w:r>
      <w:r>
        <w:rPr>
          <w:sz w:val="24"/>
        </w:rPr>
        <w:t>the</w:t>
      </w:r>
      <w:r>
        <w:rPr>
          <w:spacing w:val="-13"/>
          <w:sz w:val="24"/>
        </w:rPr>
        <w:t> </w:t>
      </w:r>
      <w:r>
        <w:rPr>
          <w:sz w:val="24"/>
        </w:rPr>
        <w:t>safety</w:t>
      </w:r>
      <w:r>
        <w:rPr>
          <w:spacing w:val="-15"/>
          <w:sz w:val="24"/>
        </w:rPr>
        <w:t> </w:t>
      </w:r>
      <w:r>
        <w:rPr>
          <w:sz w:val="24"/>
        </w:rPr>
        <w:t>of</w:t>
      </w:r>
      <w:r>
        <w:rPr>
          <w:spacing w:val="-13"/>
          <w:sz w:val="24"/>
        </w:rPr>
        <w:t> </w:t>
      </w:r>
      <w:r>
        <w:rPr>
          <w:sz w:val="24"/>
        </w:rPr>
        <w:t>the</w:t>
      </w:r>
      <w:r>
        <w:rPr>
          <w:spacing w:val="-13"/>
          <w:sz w:val="24"/>
        </w:rPr>
        <w:t> </w:t>
      </w:r>
      <w:r>
        <w:rPr>
          <w:sz w:val="24"/>
        </w:rPr>
        <w:t>structure</w:t>
      </w:r>
      <w:r>
        <w:rPr>
          <w:spacing w:val="-13"/>
          <w:sz w:val="24"/>
        </w:rPr>
        <w:t> </w:t>
      </w:r>
      <w:r>
        <w:rPr>
          <w:sz w:val="24"/>
        </w:rPr>
        <w:t>shall</w:t>
      </w:r>
      <w:r>
        <w:rPr>
          <w:spacing w:val="-13"/>
          <w:sz w:val="24"/>
        </w:rPr>
        <w:t> </w:t>
      </w:r>
      <w:r>
        <w:rPr>
          <w:sz w:val="24"/>
        </w:rPr>
        <w:t>be</w:t>
      </w:r>
      <w:r>
        <w:rPr>
          <w:spacing w:val="-13"/>
          <w:sz w:val="24"/>
        </w:rPr>
        <w:t> </w:t>
      </w:r>
      <w:r>
        <w:rPr>
          <w:sz w:val="24"/>
        </w:rPr>
        <w:t>ensured.</w:t>
      </w:r>
    </w:p>
    <w:p>
      <w:pPr>
        <w:pStyle w:val="ListParagraph"/>
        <w:numPr>
          <w:ilvl w:val="1"/>
          <w:numId w:val="195"/>
        </w:numPr>
        <w:tabs>
          <w:tab w:pos="2779" w:val="left" w:leader="none"/>
        </w:tabs>
        <w:spacing w:line="240" w:lineRule="auto" w:before="120" w:after="0"/>
        <w:ind w:left="2062" w:right="770" w:firstLine="0"/>
        <w:jc w:val="both"/>
        <w:rPr>
          <w:sz w:val="24"/>
        </w:rPr>
      </w:pPr>
      <w:r>
        <w:rPr>
          <w:sz w:val="24"/>
        </w:rPr>
        <w:t>Such building permission shall be given within 15 days from the date of application of the appointed developer of a sector, by OSD, DRP(SRA) failing which it shall be deemed to be given.</w:t>
      </w:r>
    </w:p>
    <w:p>
      <w:pPr>
        <w:pStyle w:val="ListParagraph"/>
        <w:numPr>
          <w:ilvl w:val="1"/>
          <w:numId w:val="195"/>
        </w:numPr>
        <w:tabs>
          <w:tab w:pos="2779" w:val="left" w:leader="none"/>
        </w:tabs>
        <w:spacing w:line="240" w:lineRule="auto" w:before="121" w:after="0"/>
        <w:ind w:left="2062" w:right="768" w:firstLine="0"/>
        <w:jc w:val="both"/>
        <w:rPr>
          <w:sz w:val="24"/>
        </w:rPr>
      </w:pPr>
      <w:r>
        <w:rPr>
          <w:sz w:val="24"/>
        </w:rPr>
        <w:t>On any vacant site without any reservation in the DP Excluding construction</w:t>
      </w:r>
      <w:r>
        <w:rPr>
          <w:spacing w:val="-14"/>
          <w:sz w:val="24"/>
        </w:rPr>
        <w:t> </w:t>
      </w:r>
      <w:r>
        <w:rPr>
          <w:sz w:val="24"/>
        </w:rPr>
        <w:t>of</w:t>
      </w:r>
      <w:r>
        <w:rPr>
          <w:spacing w:val="-14"/>
          <w:sz w:val="24"/>
        </w:rPr>
        <w:t> </w:t>
      </w:r>
      <w:r>
        <w:rPr>
          <w:sz w:val="24"/>
        </w:rPr>
        <w:t>temporary</w:t>
      </w:r>
      <w:r>
        <w:rPr>
          <w:spacing w:val="-14"/>
          <w:sz w:val="24"/>
        </w:rPr>
        <w:t> </w:t>
      </w:r>
      <w:r>
        <w:rPr>
          <w:sz w:val="24"/>
        </w:rPr>
        <w:t>transit</w:t>
      </w:r>
      <w:r>
        <w:rPr>
          <w:spacing w:val="-14"/>
          <w:sz w:val="24"/>
        </w:rPr>
        <w:t> </w:t>
      </w:r>
      <w:r>
        <w:rPr>
          <w:sz w:val="24"/>
        </w:rPr>
        <w:t>tenements</w:t>
      </w:r>
      <w:r>
        <w:rPr>
          <w:spacing w:val="-14"/>
          <w:sz w:val="24"/>
        </w:rPr>
        <w:t> </w:t>
      </w:r>
      <w:r>
        <w:rPr>
          <w:sz w:val="24"/>
        </w:rPr>
        <w:t>made</w:t>
      </w:r>
      <w:r>
        <w:rPr>
          <w:spacing w:val="-14"/>
          <w:sz w:val="24"/>
        </w:rPr>
        <w:t> </w:t>
      </w:r>
      <w:r>
        <w:rPr>
          <w:sz w:val="24"/>
        </w:rPr>
        <w:t>of</w:t>
      </w:r>
      <w:r>
        <w:rPr>
          <w:spacing w:val="-14"/>
          <w:sz w:val="24"/>
        </w:rPr>
        <w:t> </w:t>
      </w:r>
      <w:r>
        <w:rPr>
          <w:sz w:val="24"/>
        </w:rPr>
        <w:t>light</w:t>
      </w:r>
      <w:r>
        <w:rPr>
          <w:spacing w:val="-16"/>
          <w:sz w:val="24"/>
        </w:rPr>
        <w:t> </w:t>
      </w:r>
      <w:r>
        <w:rPr>
          <w:sz w:val="24"/>
        </w:rPr>
        <w:t>material</w:t>
      </w:r>
      <w:r>
        <w:rPr>
          <w:spacing w:val="-14"/>
          <w:sz w:val="24"/>
        </w:rPr>
        <w:t> </w:t>
      </w:r>
      <w:r>
        <w:rPr>
          <w:sz w:val="24"/>
        </w:rPr>
        <w:t>with the consent of the land-owners or concerned govt authority shall be allowed upto the FSI of 4.0 Temporary shall mean made of detachable material such as tubular/prefabricated light structural or any other materials approved by OSD, DRP (SRA) but such structures which are erected temporarily.</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1"/>
          <w:numId w:val="195"/>
        </w:numPr>
        <w:tabs>
          <w:tab w:pos="2779" w:val="left" w:leader="none"/>
        </w:tabs>
        <w:spacing w:line="240" w:lineRule="auto" w:before="249" w:after="0"/>
        <w:ind w:left="2062" w:right="766" w:firstLine="0"/>
        <w:jc w:val="both"/>
        <w:rPr>
          <w:sz w:val="24"/>
        </w:rPr>
      </w:pPr>
      <w:r>
        <w:rPr>
          <w:sz w:val="24"/>
        </w:rPr>
        <w:t>In</w:t>
      </w:r>
      <w:r>
        <w:rPr>
          <w:spacing w:val="-15"/>
          <w:sz w:val="24"/>
        </w:rPr>
        <w:t> </w:t>
      </w:r>
      <w:r>
        <w:rPr>
          <w:sz w:val="24"/>
        </w:rPr>
        <w:t>all</w:t>
      </w:r>
      <w:r>
        <w:rPr>
          <w:spacing w:val="-18"/>
          <w:sz w:val="24"/>
        </w:rPr>
        <w:t> </w:t>
      </w:r>
      <w:r>
        <w:rPr>
          <w:sz w:val="24"/>
        </w:rPr>
        <w:t>such</w:t>
      </w:r>
      <w:r>
        <w:rPr>
          <w:spacing w:val="-15"/>
          <w:sz w:val="24"/>
        </w:rPr>
        <w:t> </w:t>
      </w:r>
      <w:r>
        <w:rPr>
          <w:sz w:val="24"/>
        </w:rPr>
        <w:t>cases</w:t>
      </w:r>
      <w:r>
        <w:rPr>
          <w:spacing w:val="-15"/>
          <w:sz w:val="24"/>
        </w:rPr>
        <w:t> </w:t>
      </w:r>
      <w:r>
        <w:rPr>
          <w:sz w:val="24"/>
        </w:rPr>
        <w:t>where</w:t>
      </w:r>
      <w:r>
        <w:rPr>
          <w:spacing w:val="-15"/>
          <w:sz w:val="24"/>
        </w:rPr>
        <w:t> </w:t>
      </w:r>
      <w:r>
        <w:rPr>
          <w:sz w:val="24"/>
        </w:rPr>
        <w:t>the</w:t>
      </w:r>
      <w:r>
        <w:rPr>
          <w:spacing w:val="-15"/>
          <w:sz w:val="24"/>
        </w:rPr>
        <w:t> </w:t>
      </w:r>
      <w:r>
        <w:rPr>
          <w:sz w:val="24"/>
        </w:rPr>
        <w:t>temporary</w:t>
      </w:r>
      <w:r>
        <w:rPr>
          <w:spacing w:val="-15"/>
          <w:sz w:val="24"/>
        </w:rPr>
        <w:t> </w:t>
      </w:r>
      <w:r>
        <w:rPr>
          <w:sz w:val="24"/>
        </w:rPr>
        <w:t>transit</w:t>
      </w:r>
      <w:r>
        <w:rPr>
          <w:spacing w:val="-15"/>
          <w:sz w:val="24"/>
        </w:rPr>
        <w:t> </w:t>
      </w:r>
      <w:r>
        <w:rPr>
          <w:sz w:val="24"/>
        </w:rPr>
        <w:t>camp</w:t>
      </w:r>
      <w:r>
        <w:rPr>
          <w:spacing w:val="-15"/>
          <w:sz w:val="24"/>
        </w:rPr>
        <w:t> </w:t>
      </w:r>
      <w:r>
        <w:rPr>
          <w:sz w:val="24"/>
        </w:rPr>
        <w:t>is</w:t>
      </w:r>
      <w:r>
        <w:rPr>
          <w:spacing w:val="-15"/>
          <w:sz w:val="24"/>
        </w:rPr>
        <w:t> </w:t>
      </w:r>
      <w:r>
        <w:rPr>
          <w:sz w:val="24"/>
        </w:rPr>
        <w:t>erected,</w:t>
      </w:r>
      <w:r>
        <w:rPr>
          <w:spacing w:val="-15"/>
          <w:sz w:val="24"/>
        </w:rPr>
        <w:t> </w:t>
      </w:r>
      <w:r>
        <w:rPr>
          <w:sz w:val="24"/>
        </w:rPr>
        <w:t>the condition shall be that the structures shall be demolished by the Developer</w:t>
      </w:r>
      <w:r>
        <w:rPr>
          <w:spacing w:val="-11"/>
          <w:sz w:val="24"/>
        </w:rPr>
        <w:t> </w:t>
      </w:r>
      <w:r>
        <w:rPr>
          <w:sz w:val="24"/>
        </w:rPr>
        <w:t>within</w:t>
      </w:r>
      <w:r>
        <w:rPr>
          <w:spacing w:val="-11"/>
          <w:sz w:val="24"/>
        </w:rPr>
        <w:t> </w:t>
      </w:r>
      <w:r>
        <w:rPr>
          <w:sz w:val="24"/>
        </w:rPr>
        <w:t>30</w:t>
      </w:r>
      <w:r>
        <w:rPr>
          <w:spacing w:val="-13"/>
          <w:sz w:val="24"/>
        </w:rPr>
        <w:t> </w:t>
      </w:r>
      <w:r>
        <w:rPr>
          <w:sz w:val="24"/>
        </w:rPr>
        <w:t>days</w:t>
      </w:r>
      <w:r>
        <w:rPr>
          <w:spacing w:val="-11"/>
          <w:sz w:val="24"/>
        </w:rPr>
        <w:t> </w:t>
      </w:r>
      <w:r>
        <w:rPr>
          <w:sz w:val="24"/>
        </w:rPr>
        <w:t>after</w:t>
      </w:r>
      <w:r>
        <w:rPr>
          <w:spacing w:val="-11"/>
          <w:sz w:val="24"/>
        </w:rPr>
        <w:t> </w:t>
      </w:r>
      <w:r>
        <w:rPr>
          <w:sz w:val="24"/>
        </w:rPr>
        <w:t>such</w:t>
      </w:r>
      <w:r>
        <w:rPr>
          <w:spacing w:val="-11"/>
          <w:sz w:val="24"/>
        </w:rPr>
        <w:t> </w:t>
      </w:r>
      <w:r>
        <w:rPr>
          <w:sz w:val="24"/>
        </w:rPr>
        <w:t>intimation</w:t>
      </w:r>
      <w:r>
        <w:rPr>
          <w:spacing w:val="-11"/>
          <w:sz w:val="24"/>
        </w:rPr>
        <w:t> </w:t>
      </w:r>
      <w:r>
        <w:rPr>
          <w:sz w:val="24"/>
        </w:rPr>
        <w:t>given</w:t>
      </w:r>
      <w:r>
        <w:rPr>
          <w:spacing w:val="-11"/>
          <w:sz w:val="24"/>
        </w:rPr>
        <w:t> </w:t>
      </w:r>
      <w:r>
        <w:rPr>
          <w:sz w:val="24"/>
        </w:rPr>
        <w:t>by</w:t>
      </w:r>
      <w:r>
        <w:rPr>
          <w:spacing w:val="-11"/>
          <w:sz w:val="24"/>
        </w:rPr>
        <w:t> </w:t>
      </w:r>
      <w:r>
        <w:rPr>
          <w:sz w:val="24"/>
        </w:rPr>
        <w:t>SRA</w:t>
      </w:r>
      <w:r>
        <w:rPr>
          <w:spacing w:val="-13"/>
          <w:sz w:val="24"/>
        </w:rPr>
        <w:t> </w:t>
      </w:r>
      <w:r>
        <w:rPr>
          <w:sz w:val="24"/>
        </w:rPr>
        <w:t>and</w:t>
      </w:r>
      <w:r>
        <w:rPr>
          <w:spacing w:val="-11"/>
          <w:sz w:val="24"/>
        </w:rPr>
        <w:t> </w:t>
      </w:r>
      <w:r>
        <w:rPr>
          <w:sz w:val="24"/>
        </w:rPr>
        <w:t>as</w:t>
      </w:r>
      <w:r>
        <w:rPr>
          <w:spacing w:val="-11"/>
          <w:sz w:val="24"/>
        </w:rPr>
        <w:t> </w:t>
      </w:r>
      <w:r>
        <w:rPr>
          <w:sz w:val="24"/>
        </w:rPr>
        <w:t>per phase</w:t>
      </w:r>
      <w:r>
        <w:rPr>
          <w:spacing w:val="-6"/>
          <w:sz w:val="24"/>
        </w:rPr>
        <w:t> </w:t>
      </w:r>
      <w:r>
        <w:rPr>
          <w:sz w:val="24"/>
        </w:rPr>
        <w:t>programme</w:t>
      </w:r>
      <w:r>
        <w:rPr>
          <w:spacing w:val="-6"/>
          <w:sz w:val="24"/>
        </w:rPr>
        <w:t> </w:t>
      </w:r>
      <w:r>
        <w:rPr>
          <w:sz w:val="24"/>
        </w:rPr>
        <w:t>of</w:t>
      </w:r>
      <w:r>
        <w:rPr>
          <w:spacing w:val="-6"/>
          <w:sz w:val="24"/>
        </w:rPr>
        <w:t> </w:t>
      </w:r>
      <w:r>
        <w:rPr>
          <w:sz w:val="24"/>
        </w:rPr>
        <w:t>development</w:t>
      </w:r>
      <w:r>
        <w:rPr>
          <w:spacing w:val="-6"/>
          <w:sz w:val="24"/>
        </w:rPr>
        <w:t> </w:t>
      </w:r>
      <w:r>
        <w:rPr>
          <w:sz w:val="24"/>
        </w:rPr>
        <w:t>as</w:t>
      </w:r>
      <w:r>
        <w:rPr>
          <w:spacing w:val="-6"/>
          <w:sz w:val="24"/>
        </w:rPr>
        <w:t> </w:t>
      </w:r>
      <w:r>
        <w:rPr>
          <w:sz w:val="24"/>
        </w:rPr>
        <w:t>approved</w:t>
      </w:r>
      <w:r>
        <w:rPr>
          <w:spacing w:val="-5"/>
          <w:sz w:val="24"/>
        </w:rPr>
        <w:t> </w:t>
      </w:r>
      <w:r>
        <w:rPr>
          <w:sz w:val="24"/>
        </w:rPr>
        <w:t>by</w:t>
      </w:r>
      <w:r>
        <w:rPr>
          <w:spacing w:val="-6"/>
          <w:sz w:val="24"/>
        </w:rPr>
        <w:t> </w:t>
      </w:r>
      <w:r>
        <w:rPr>
          <w:sz w:val="24"/>
        </w:rPr>
        <w:t>DRP</w:t>
      </w:r>
      <w:r>
        <w:rPr>
          <w:spacing w:val="-5"/>
          <w:sz w:val="24"/>
        </w:rPr>
        <w:t> </w:t>
      </w:r>
      <w:r>
        <w:rPr>
          <w:sz w:val="24"/>
        </w:rPr>
        <w:t>Cell</w:t>
      </w:r>
      <w:r>
        <w:rPr>
          <w:spacing w:val="-6"/>
          <w:sz w:val="24"/>
        </w:rPr>
        <w:t> </w:t>
      </w:r>
      <w:r>
        <w:rPr>
          <w:sz w:val="24"/>
        </w:rPr>
        <w:t>and</w:t>
      </w:r>
      <w:r>
        <w:rPr>
          <w:spacing w:val="-6"/>
          <w:sz w:val="24"/>
        </w:rPr>
        <w:t> </w:t>
      </w:r>
      <w:r>
        <w:rPr>
          <w:sz w:val="24"/>
        </w:rPr>
        <w:t>the</w:t>
      </w:r>
      <w:r>
        <w:rPr>
          <w:spacing w:val="-6"/>
          <w:sz w:val="24"/>
        </w:rPr>
        <w:t> </w:t>
      </w:r>
      <w:r>
        <w:rPr>
          <w:sz w:val="24"/>
        </w:rPr>
        <w:t>site should be brought back to the original state.</w:t>
      </w:r>
    </w:p>
    <w:p>
      <w:pPr>
        <w:pStyle w:val="Heading5"/>
        <w:numPr>
          <w:ilvl w:val="0"/>
          <w:numId w:val="195"/>
        </w:numPr>
        <w:tabs>
          <w:tab w:pos="2781" w:val="left" w:leader="none"/>
        </w:tabs>
        <w:spacing w:line="240" w:lineRule="auto" w:before="240" w:after="0"/>
        <w:ind w:left="2062" w:right="769" w:firstLine="0"/>
        <w:jc w:val="both"/>
      </w:pPr>
      <w:r>
        <w:rPr/>
        <w:t>Commercial/Office/Shop/Industrial </w:t>
      </w:r>
      <w:r>
        <w:rPr/>
        <w:t>Structures/Structures for Potters Business Activity Free of Cost</w:t>
      </w:r>
      <w:r>
        <w:rPr>
          <w:i/>
        </w:rPr>
        <w:t>:</w:t>
      </w:r>
    </w:p>
    <w:p>
      <w:pPr>
        <w:pStyle w:val="ListParagraph"/>
        <w:numPr>
          <w:ilvl w:val="1"/>
          <w:numId w:val="195"/>
        </w:numPr>
        <w:tabs>
          <w:tab w:pos="2779" w:val="left" w:leader="none"/>
          <w:tab w:pos="4279" w:val="left" w:leader="none"/>
          <w:tab w:pos="6165" w:val="left" w:leader="none"/>
          <w:tab w:pos="8139" w:val="left" w:leader="none"/>
          <w:tab w:pos="9716" w:val="left" w:leader="none"/>
        </w:tabs>
        <w:spacing w:line="240" w:lineRule="auto" w:before="241" w:after="0"/>
        <w:ind w:left="2062" w:right="769" w:firstLine="0"/>
        <w:jc w:val="both"/>
        <w:rPr>
          <w:sz w:val="24"/>
        </w:rPr>
      </w:pPr>
      <w:r>
        <w:rPr>
          <w:spacing w:val="-4"/>
          <w:sz w:val="24"/>
        </w:rPr>
        <w:t>The</w:t>
      </w:r>
      <w:r>
        <w:rPr>
          <w:sz w:val="24"/>
        </w:rPr>
        <w:tab/>
      </w:r>
      <w:r>
        <w:rPr>
          <w:spacing w:val="-2"/>
          <w:sz w:val="24"/>
        </w:rPr>
        <w:t>eligible</w:t>
      </w:r>
      <w:r>
        <w:rPr>
          <w:sz w:val="24"/>
        </w:rPr>
        <w:tab/>
      </w:r>
      <w:r>
        <w:rPr>
          <w:spacing w:val="-2"/>
          <w:sz w:val="24"/>
        </w:rPr>
        <w:t>existing</w:t>
      </w:r>
      <w:r>
        <w:rPr>
          <w:sz w:val="24"/>
        </w:rPr>
        <w:tab/>
      </w:r>
      <w:r>
        <w:rPr>
          <w:spacing w:val="-4"/>
          <w:sz w:val="24"/>
        </w:rPr>
        <w:t>area</w:t>
      </w:r>
      <w:r>
        <w:rPr>
          <w:sz w:val="24"/>
        </w:rPr>
        <w:tab/>
      </w:r>
      <w:r>
        <w:rPr>
          <w:spacing w:val="-2"/>
          <w:sz w:val="24"/>
        </w:rPr>
        <w:t>under </w:t>
      </w:r>
      <w:r>
        <w:rPr>
          <w:sz w:val="24"/>
        </w:rPr>
        <w:t>commercial/office/shops/industrial establishments/structures for potters business activity shall be computed on actual measurement/inspection, and/or on the basis of official documents such as License under Shops and Establishment Act, Trade License, Factory License, Electricity bills and Photo pass etc.</w:t>
      </w:r>
    </w:p>
    <w:p>
      <w:pPr>
        <w:pStyle w:val="ListParagraph"/>
        <w:numPr>
          <w:ilvl w:val="1"/>
          <w:numId w:val="195"/>
        </w:numPr>
        <w:tabs>
          <w:tab w:pos="2779" w:val="left" w:leader="none"/>
          <w:tab w:pos="7669" w:val="left" w:leader="none"/>
        </w:tabs>
        <w:spacing w:line="240" w:lineRule="auto" w:before="240" w:after="0"/>
        <w:ind w:left="2062" w:right="766" w:firstLine="0"/>
        <w:jc w:val="both"/>
        <w:rPr>
          <w:sz w:val="24"/>
        </w:rPr>
      </w:pPr>
      <w:r>
        <w:rPr>
          <w:sz w:val="24"/>
        </w:rPr>
        <w:t>In the rehabilitation component, the BUA for </w:t>
      </w:r>
      <w:r>
        <w:rPr>
          <w:spacing w:val="-2"/>
          <w:sz w:val="24"/>
        </w:rPr>
        <w:t>commercial/office/shop/Industrial</w:t>
      </w:r>
      <w:r>
        <w:rPr>
          <w:sz w:val="24"/>
        </w:rPr>
        <w:tab/>
      </w:r>
      <w:r>
        <w:rPr>
          <w:spacing w:val="-2"/>
          <w:sz w:val="24"/>
        </w:rPr>
        <w:t>establishments/potters </w:t>
      </w:r>
      <w:r>
        <w:rPr>
          <w:sz w:val="24"/>
        </w:rPr>
        <w:t>structures/economic activity that existed prior to 1</w:t>
      </w:r>
      <w:r>
        <w:rPr>
          <w:position w:val="6"/>
          <w:sz w:val="16"/>
        </w:rPr>
        <w:t>st</w:t>
      </w:r>
      <w:r>
        <w:rPr>
          <w:spacing w:val="40"/>
          <w:position w:val="6"/>
          <w:sz w:val="16"/>
        </w:rPr>
        <w:t> </w:t>
      </w:r>
      <w:r>
        <w:rPr>
          <w:sz w:val="24"/>
        </w:rPr>
        <w:t>January, 2000, subject to the provisions in the sub-regulation below, shall be given. Where a person has residential and commercial premises without common wall between residential and commercial premises, for commercial/office/shop/structures</w:t>
      </w:r>
      <w:r>
        <w:rPr>
          <w:spacing w:val="-9"/>
          <w:sz w:val="24"/>
        </w:rPr>
        <w:t> </w:t>
      </w:r>
      <w:r>
        <w:rPr>
          <w:sz w:val="24"/>
        </w:rPr>
        <w:t>for</w:t>
      </w:r>
      <w:r>
        <w:rPr>
          <w:spacing w:val="-9"/>
          <w:sz w:val="24"/>
        </w:rPr>
        <w:t> </w:t>
      </w:r>
      <w:r>
        <w:rPr>
          <w:sz w:val="24"/>
        </w:rPr>
        <w:t>potter’s</w:t>
      </w:r>
      <w:r>
        <w:rPr>
          <w:spacing w:val="-9"/>
          <w:sz w:val="24"/>
        </w:rPr>
        <w:t> </w:t>
      </w:r>
      <w:r>
        <w:rPr>
          <w:sz w:val="24"/>
        </w:rPr>
        <w:t>economic</w:t>
      </w:r>
      <w:r>
        <w:rPr>
          <w:spacing w:val="-9"/>
          <w:sz w:val="24"/>
        </w:rPr>
        <w:t> </w:t>
      </w:r>
      <w:r>
        <w:rPr>
          <w:sz w:val="24"/>
        </w:rPr>
        <w:t>activity</w:t>
      </w:r>
      <w:r>
        <w:rPr>
          <w:spacing w:val="-9"/>
          <w:sz w:val="24"/>
        </w:rPr>
        <w:t> </w:t>
      </w:r>
      <w:r>
        <w:rPr>
          <w:sz w:val="24"/>
        </w:rPr>
        <w:t>in</w:t>
      </w:r>
      <w:r>
        <w:rPr>
          <w:spacing w:val="-9"/>
          <w:sz w:val="24"/>
        </w:rPr>
        <w:t> </w:t>
      </w:r>
      <w:r>
        <w:rPr>
          <w:sz w:val="24"/>
        </w:rPr>
        <w:t>the slum/pavement,</w:t>
      </w:r>
      <w:r>
        <w:rPr>
          <w:spacing w:val="-4"/>
          <w:sz w:val="24"/>
        </w:rPr>
        <w:t> </w:t>
      </w:r>
      <w:r>
        <w:rPr>
          <w:sz w:val="24"/>
        </w:rPr>
        <w:t>he</w:t>
      </w:r>
      <w:r>
        <w:rPr>
          <w:spacing w:val="-4"/>
          <w:sz w:val="24"/>
        </w:rPr>
        <w:t> </w:t>
      </w:r>
      <w:r>
        <w:rPr>
          <w:sz w:val="24"/>
        </w:rPr>
        <w:t>shall</w:t>
      </w:r>
      <w:r>
        <w:rPr>
          <w:spacing w:val="-4"/>
          <w:sz w:val="24"/>
        </w:rPr>
        <w:t> </w:t>
      </w:r>
      <w:r>
        <w:rPr>
          <w:sz w:val="24"/>
        </w:rPr>
        <w:t>be</w:t>
      </w:r>
      <w:r>
        <w:rPr>
          <w:spacing w:val="-4"/>
          <w:sz w:val="24"/>
        </w:rPr>
        <w:t> </w:t>
      </w:r>
      <w:r>
        <w:rPr>
          <w:sz w:val="24"/>
        </w:rPr>
        <w:t>considered</w:t>
      </w:r>
      <w:r>
        <w:rPr>
          <w:spacing w:val="-4"/>
          <w:sz w:val="24"/>
        </w:rPr>
        <w:t> </w:t>
      </w:r>
      <w:r>
        <w:rPr>
          <w:sz w:val="24"/>
        </w:rPr>
        <w:t>as</w:t>
      </w:r>
      <w:r>
        <w:rPr>
          <w:spacing w:val="-4"/>
          <w:sz w:val="24"/>
        </w:rPr>
        <w:t> </w:t>
      </w:r>
      <w:r>
        <w:rPr>
          <w:sz w:val="24"/>
        </w:rPr>
        <w:t>eligible</w:t>
      </w:r>
      <w:r>
        <w:rPr>
          <w:spacing w:val="-4"/>
          <w:sz w:val="24"/>
        </w:rPr>
        <w:t> </w:t>
      </w:r>
      <w:r>
        <w:rPr>
          <w:sz w:val="24"/>
        </w:rPr>
        <w:t>for</w:t>
      </w:r>
      <w:r>
        <w:rPr>
          <w:spacing w:val="-4"/>
          <w:sz w:val="24"/>
        </w:rPr>
        <w:t> </w:t>
      </w:r>
      <w:r>
        <w:rPr>
          <w:sz w:val="24"/>
        </w:rPr>
        <w:t>a</w:t>
      </w:r>
      <w:r>
        <w:rPr>
          <w:spacing w:val="-4"/>
          <w:sz w:val="24"/>
        </w:rPr>
        <w:t> </w:t>
      </w:r>
      <w:r>
        <w:rPr>
          <w:sz w:val="24"/>
        </w:rPr>
        <w:t>residential</w:t>
      </w:r>
      <w:r>
        <w:rPr>
          <w:spacing w:val="-5"/>
          <w:sz w:val="24"/>
        </w:rPr>
        <w:t> </w:t>
      </w:r>
      <w:r>
        <w:rPr>
          <w:sz w:val="24"/>
        </w:rPr>
        <w:t>unit and also for BUA for commercial/office/shop/Industrial establishments/structures for potter’s/economic activity, both free of </w:t>
      </w:r>
      <w:r>
        <w:rPr>
          <w:spacing w:val="-2"/>
          <w:sz w:val="24"/>
        </w:rPr>
        <w:t>cost.</w:t>
      </w:r>
    </w:p>
    <w:p>
      <w:pPr>
        <w:pStyle w:val="BodyText"/>
        <w:spacing w:before="242"/>
        <w:ind w:left="2062"/>
      </w:pPr>
      <w:r>
        <w:rPr/>
        <w:t>5.3(a)Commercial&amp;</w:t>
      </w:r>
      <w:r>
        <w:rPr>
          <w:spacing w:val="-3"/>
        </w:rPr>
        <w:t> </w:t>
      </w:r>
      <w:r>
        <w:rPr/>
        <w:t>Industrial</w:t>
      </w:r>
      <w:r>
        <w:rPr>
          <w:spacing w:val="-2"/>
        </w:rPr>
        <w:t> Structures:</w:t>
      </w:r>
    </w:p>
    <w:p>
      <w:pPr>
        <w:pStyle w:val="BodyText"/>
        <w:spacing w:before="239"/>
        <w:ind w:left="2062" w:right="769"/>
      </w:pPr>
      <w:r>
        <w:rPr/>
        <w:t>BUA for Commercial and Industrial establishment upto 20.90 sq. m (225 sq. ft.) carpet area or actual area whichever is less, shall be provided to the eligible person free of cost as part of the rehabilitation project. Any area in excess of 20.90 sq. m may, if required, be sold to the extent of area in the following manner:</w:t>
      </w:r>
    </w:p>
    <w:p>
      <w:pPr>
        <w:pStyle w:val="BodyText"/>
        <w:spacing w:before="6"/>
        <w:jc w:val="left"/>
        <w:rPr>
          <w:sz w:val="20"/>
        </w:rPr>
      </w:pPr>
    </w:p>
    <w:tbl>
      <w:tblPr>
        <w:tblW w:w="0" w:type="auto"/>
        <w:jc w:val="left"/>
        <w:tblInd w:w="15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9"/>
        <w:gridCol w:w="1529"/>
        <w:gridCol w:w="1711"/>
        <w:gridCol w:w="1708"/>
        <w:gridCol w:w="2071"/>
      </w:tblGrid>
      <w:tr>
        <w:trPr>
          <w:trHeight w:val="361" w:hRule="atLeast"/>
        </w:trPr>
        <w:tc>
          <w:tcPr>
            <w:tcW w:w="1639" w:type="dxa"/>
            <w:vMerge w:val="restart"/>
            <w:shd w:val="clear" w:color="auto" w:fill="EDEBE0"/>
          </w:tcPr>
          <w:p>
            <w:pPr>
              <w:pStyle w:val="TableParagraph"/>
              <w:spacing w:before="40"/>
              <w:ind w:left="107"/>
              <w:rPr>
                <w:sz w:val="24"/>
              </w:rPr>
            </w:pPr>
            <w:r>
              <w:rPr>
                <w:spacing w:val="-2"/>
                <w:sz w:val="24"/>
              </w:rPr>
              <w:t>Existing </w:t>
            </w:r>
            <w:r>
              <w:rPr>
                <w:sz w:val="24"/>
              </w:rPr>
              <w:t>Carpet</w:t>
            </w:r>
            <w:r>
              <w:rPr>
                <w:spacing w:val="-10"/>
                <w:sz w:val="24"/>
              </w:rPr>
              <w:t> </w:t>
            </w:r>
            <w:r>
              <w:rPr>
                <w:sz w:val="24"/>
              </w:rPr>
              <w:t>Area in</w:t>
            </w:r>
            <w:r>
              <w:rPr>
                <w:spacing w:val="-16"/>
                <w:sz w:val="24"/>
              </w:rPr>
              <w:t> </w:t>
            </w:r>
            <w:r>
              <w:rPr>
                <w:sz w:val="24"/>
              </w:rPr>
              <w:t>the</w:t>
            </w:r>
            <w:r>
              <w:rPr>
                <w:spacing w:val="-16"/>
                <w:sz w:val="24"/>
              </w:rPr>
              <w:t> </w:t>
            </w:r>
            <w:r>
              <w:rPr>
                <w:sz w:val="24"/>
              </w:rPr>
              <w:t>range of …</w:t>
            </w:r>
          </w:p>
          <w:p>
            <w:pPr>
              <w:pStyle w:val="TableParagraph"/>
              <w:spacing w:before="40"/>
              <w:ind w:left="107"/>
              <w:rPr>
                <w:sz w:val="24"/>
              </w:rPr>
            </w:pPr>
            <w:r>
              <w:rPr>
                <w:sz w:val="24"/>
              </w:rPr>
              <w:t>(in</w:t>
            </w:r>
            <w:r>
              <w:rPr>
                <w:spacing w:val="-1"/>
                <w:sz w:val="24"/>
              </w:rPr>
              <w:t> </w:t>
            </w:r>
            <w:r>
              <w:rPr>
                <w:sz w:val="24"/>
              </w:rPr>
              <w:t>sq.</w:t>
            </w:r>
            <w:r>
              <w:rPr>
                <w:spacing w:val="-2"/>
                <w:sz w:val="24"/>
              </w:rPr>
              <w:t> </w:t>
            </w:r>
            <w:r>
              <w:rPr>
                <w:spacing w:val="-4"/>
                <w:sz w:val="24"/>
              </w:rPr>
              <w:t>ft.)</w:t>
            </w:r>
          </w:p>
        </w:tc>
        <w:tc>
          <w:tcPr>
            <w:tcW w:w="7019" w:type="dxa"/>
            <w:gridSpan w:val="4"/>
            <w:shd w:val="clear" w:color="auto" w:fill="EDEBE0"/>
          </w:tcPr>
          <w:p>
            <w:pPr>
              <w:pStyle w:val="TableParagraph"/>
              <w:spacing w:before="37"/>
              <w:ind w:left="105"/>
              <w:rPr>
                <w:sz w:val="24"/>
              </w:rPr>
            </w:pPr>
            <w:r>
              <w:rPr>
                <w:sz w:val="24"/>
              </w:rPr>
              <w:t>Carpet</w:t>
            </w:r>
            <w:r>
              <w:rPr>
                <w:spacing w:val="-4"/>
                <w:sz w:val="24"/>
              </w:rPr>
              <w:t> </w:t>
            </w:r>
            <w:r>
              <w:rPr>
                <w:sz w:val="24"/>
              </w:rPr>
              <w:t>Area</w:t>
            </w:r>
            <w:r>
              <w:rPr>
                <w:spacing w:val="-2"/>
                <w:sz w:val="24"/>
              </w:rPr>
              <w:t> </w:t>
            </w:r>
            <w:r>
              <w:rPr>
                <w:sz w:val="24"/>
              </w:rPr>
              <w:t>to</w:t>
            </w:r>
            <w:r>
              <w:rPr>
                <w:spacing w:val="-2"/>
                <w:sz w:val="24"/>
              </w:rPr>
              <w:t> </w:t>
            </w:r>
            <w:r>
              <w:rPr>
                <w:sz w:val="24"/>
              </w:rPr>
              <w:t>be</w:t>
            </w:r>
            <w:r>
              <w:rPr>
                <w:spacing w:val="-2"/>
                <w:sz w:val="24"/>
              </w:rPr>
              <w:t> </w:t>
            </w:r>
            <w:r>
              <w:rPr>
                <w:sz w:val="24"/>
              </w:rPr>
              <w:t>provided</w:t>
            </w:r>
            <w:r>
              <w:rPr>
                <w:spacing w:val="-2"/>
                <w:sz w:val="24"/>
              </w:rPr>
              <w:t> </w:t>
            </w:r>
            <w:r>
              <w:rPr>
                <w:sz w:val="24"/>
              </w:rPr>
              <w:t>(in</w:t>
            </w:r>
            <w:r>
              <w:rPr>
                <w:spacing w:val="-2"/>
                <w:sz w:val="24"/>
              </w:rPr>
              <w:t> </w:t>
            </w:r>
            <w:r>
              <w:rPr>
                <w:sz w:val="24"/>
              </w:rPr>
              <w:t>sq.</w:t>
            </w:r>
            <w:r>
              <w:rPr>
                <w:spacing w:val="-1"/>
                <w:sz w:val="24"/>
              </w:rPr>
              <w:t> </w:t>
            </w:r>
            <w:r>
              <w:rPr>
                <w:spacing w:val="-4"/>
                <w:sz w:val="24"/>
              </w:rPr>
              <w:t>ft.)</w:t>
            </w:r>
          </w:p>
        </w:tc>
      </w:tr>
      <w:tr>
        <w:trPr>
          <w:trHeight w:val="684" w:hRule="atLeast"/>
        </w:trPr>
        <w:tc>
          <w:tcPr>
            <w:tcW w:w="1639" w:type="dxa"/>
            <w:vMerge/>
            <w:tcBorders>
              <w:top w:val="nil"/>
            </w:tcBorders>
            <w:shd w:val="clear" w:color="auto" w:fill="EDEBE0"/>
          </w:tcPr>
          <w:p>
            <w:pPr>
              <w:rPr>
                <w:sz w:val="2"/>
                <w:szCs w:val="2"/>
              </w:rPr>
            </w:pPr>
          </w:p>
        </w:tc>
        <w:tc>
          <w:tcPr>
            <w:tcW w:w="1529" w:type="dxa"/>
            <w:vMerge w:val="restart"/>
            <w:shd w:val="clear" w:color="auto" w:fill="EDEBE0"/>
          </w:tcPr>
          <w:p>
            <w:pPr>
              <w:pStyle w:val="TableParagraph"/>
              <w:tabs>
                <w:tab w:pos="568" w:val="left" w:leader="none"/>
                <w:tab w:pos="1208" w:val="left" w:leader="none"/>
              </w:tabs>
              <w:spacing w:before="40"/>
              <w:ind w:left="105" w:right="96"/>
              <w:rPr>
                <w:sz w:val="24"/>
              </w:rPr>
            </w:pPr>
            <w:r>
              <w:rPr>
                <w:spacing w:val="-6"/>
                <w:sz w:val="24"/>
              </w:rPr>
              <w:t>At</w:t>
            </w:r>
            <w:r>
              <w:rPr>
                <w:sz w:val="24"/>
              </w:rPr>
              <w:tab/>
            </w:r>
            <w:r>
              <w:rPr>
                <w:spacing w:val="-4"/>
                <w:sz w:val="24"/>
              </w:rPr>
              <w:t>free</w:t>
            </w:r>
            <w:r>
              <w:rPr>
                <w:sz w:val="24"/>
              </w:rPr>
              <w:tab/>
            </w:r>
            <w:r>
              <w:rPr>
                <w:spacing w:val="-6"/>
                <w:sz w:val="24"/>
              </w:rPr>
              <w:t>of </w:t>
            </w:r>
            <w:r>
              <w:rPr>
                <w:sz w:val="24"/>
              </w:rPr>
              <w:t>cost,</w:t>
            </w:r>
            <w:r>
              <w:rPr>
                <w:spacing w:val="40"/>
                <w:sz w:val="24"/>
              </w:rPr>
              <w:t> </w:t>
            </w:r>
            <w:r>
              <w:rPr>
                <w:sz w:val="24"/>
              </w:rPr>
              <w:t>as</w:t>
            </w:r>
            <w:r>
              <w:rPr>
                <w:spacing w:val="40"/>
                <w:sz w:val="24"/>
              </w:rPr>
              <w:t> </w:t>
            </w:r>
            <w:r>
              <w:rPr>
                <w:sz w:val="24"/>
              </w:rPr>
              <w:t>a </w:t>
            </w:r>
            <w:r>
              <w:rPr>
                <w:spacing w:val="-4"/>
                <w:sz w:val="24"/>
              </w:rPr>
              <w:t>part</w:t>
            </w:r>
            <w:r>
              <w:rPr>
                <w:sz w:val="24"/>
              </w:rPr>
              <w:tab/>
            </w:r>
            <w:r>
              <w:rPr>
                <w:spacing w:val="-76"/>
                <w:sz w:val="24"/>
              </w:rPr>
              <w:t> </w:t>
            </w:r>
            <w:r>
              <w:rPr>
                <w:spacing w:val="-6"/>
                <w:sz w:val="24"/>
              </w:rPr>
              <w:t>of </w:t>
            </w:r>
            <w:r>
              <w:rPr>
                <w:spacing w:val="-2"/>
                <w:sz w:val="24"/>
              </w:rPr>
              <w:t>Rehab component</w:t>
            </w:r>
          </w:p>
        </w:tc>
        <w:tc>
          <w:tcPr>
            <w:tcW w:w="5490" w:type="dxa"/>
            <w:gridSpan w:val="3"/>
            <w:shd w:val="clear" w:color="auto" w:fill="EDEBE0"/>
          </w:tcPr>
          <w:p>
            <w:pPr>
              <w:pStyle w:val="TableParagraph"/>
              <w:spacing w:before="37"/>
              <w:ind w:left="1414"/>
              <w:rPr>
                <w:sz w:val="24"/>
              </w:rPr>
            </w:pPr>
            <w:r>
              <w:rPr>
                <w:sz w:val="24"/>
              </w:rPr>
              <w:t>With</w:t>
            </w:r>
            <w:r>
              <w:rPr>
                <w:spacing w:val="-5"/>
                <w:sz w:val="24"/>
              </w:rPr>
              <w:t> </w:t>
            </w:r>
            <w:r>
              <w:rPr>
                <w:spacing w:val="-4"/>
                <w:sz w:val="24"/>
              </w:rPr>
              <w:t>Cost</w:t>
            </w:r>
          </w:p>
          <w:p>
            <w:pPr>
              <w:pStyle w:val="TableParagraph"/>
              <w:spacing w:before="43"/>
              <w:ind w:left="108"/>
              <w:rPr>
                <w:sz w:val="24"/>
              </w:rPr>
            </w:pPr>
            <w:r>
              <w:rPr>
                <w:sz w:val="24"/>
              </w:rPr>
              <w:t>But not as part of incentive sale </w:t>
            </w:r>
            <w:r>
              <w:rPr>
                <w:spacing w:val="-4"/>
                <w:sz w:val="24"/>
              </w:rPr>
              <w:t>area</w:t>
            </w:r>
          </w:p>
        </w:tc>
      </w:tr>
      <w:tr>
        <w:trPr>
          <w:trHeight w:val="794" w:hRule="atLeast"/>
        </w:trPr>
        <w:tc>
          <w:tcPr>
            <w:tcW w:w="1639" w:type="dxa"/>
            <w:vMerge/>
            <w:tcBorders>
              <w:top w:val="nil"/>
            </w:tcBorders>
            <w:shd w:val="clear" w:color="auto" w:fill="EDEBE0"/>
          </w:tcPr>
          <w:p>
            <w:pPr>
              <w:rPr>
                <w:sz w:val="2"/>
                <w:szCs w:val="2"/>
              </w:rPr>
            </w:pPr>
          </w:p>
        </w:tc>
        <w:tc>
          <w:tcPr>
            <w:tcW w:w="1529" w:type="dxa"/>
            <w:vMerge/>
            <w:tcBorders>
              <w:top w:val="nil"/>
            </w:tcBorders>
            <w:shd w:val="clear" w:color="auto" w:fill="EDEBE0"/>
          </w:tcPr>
          <w:p>
            <w:pPr>
              <w:rPr>
                <w:sz w:val="2"/>
                <w:szCs w:val="2"/>
              </w:rPr>
            </w:pPr>
          </w:p>
        </w:tc>
        <w:tc>
          <w:tcPr>
            <w:tcW w:w="1711" w:type="dxa"/>
            <w:shd w:val="clear" w:color="auto" w:fill="EDEBE0"/>
          </w:tcPr>
          <w:p>
            <w:pPr>
              <w:pStyle w:val="TableParagraph"/>
              <w:spacing w:line="276" w:lineRule="auto" w:before="37"/>
              <w:ind w:left="108"/>
              <w:rPr>
                <w:sz w:val="24"/>
              </w:rPr>
            </w:pPr>
            <w:r>
              <w:rPr>
                <w:sz w:val="24"/>
              </w:rPr>
              <w:t>With 10% </w:t>
            </w:r>
            <w:r>
              <w:rPr>
                <w:spacing w:val="-2"/>
                <w:sz w:val="24"/>
              </w:rPr>
              <w:t>Reduction</w:t>
            </w:r>
          </w:p>
        </w:tc>
        <w:tc>
          <w:tcPr>
            <w:tcW w:w="1708" w:type="dxa"/>
            <w:shd w:val="clear" w:color="auto" w:fill="EDEBE0"/>
          </w:tcPr>
          <w:p>
            <w:pPr>
              <w:pStyle w:val="TableParagraph"/>
              <w:spacing w:line="276" w:lineRule="auto" w:before="37"/>
              <w:ind w:left="106"/>
              <w:rPr>
                <w:sz w:val="24"/>
              </w:rPr>
            </w:pPr>
            <w:r>
              <w:rPr>
                <w:sz w:val="24"/>
              </w:rPr>
              <w:t>With 20% </w:t>
            </w:r>
            <w:r>
              <w:rPr>
                <w:spacing w:val="-2"/>
                <w:sz w:val="24"/>
              </w:rPr>
              <w:t>Reduction</w:t>
            </w:r>
          </w:p>
        </w:tc>
        <w:tc>
          <w:tcPr>
            <w:tcW w:w="2071" w:type="dxa"/>
            <w:shd w:val="clear" w:color="auto" w:fill="EDEBE0"/>
          </w:tcPr>
          <w:p>
            <w:pPr>
              <w:pStyle w:val="TableParagraph"/>
              <w:spacing w:line="276" w:lineRule="auto" w:before="37"/>
              <w:ind w:left="109"/>
              <w:rPr>
                <w:sz w:val="24"/>
              </w:rPr>
            </w:pPr>
            <w:r>
              <w:rPr>
                <w:sz w:val="24"/>
              </w:rPr>
              <w:t>With 30% </w:t>
            </w:r>
            <w:r>
              <w:rPr>
                <w:spacing w:val="-2"/>
                <w:sz w:val="24"/>
              </w:rPr>
              <w:t>Reduction</w:t>
            </w:r>
          </w:p>
        </w:tc>
      </w:tr>
      <w:tr>
        <w:trPr>
          <w:trHeight w:val="361" w:hRule="atLeast"/>
        </w:trPr>
        <w:tc>
          <w:tcPr>
            <w:tcW w:w="1639" w:type="dxa"/>
          </w:tcPr>
          <w:p>
            <w:pPr>
              <w:pStyle w:val="TableParagraph"/>
              <w:spacing w:before="37"/>
              <w:ind w:left="107"/>
              <w:rPr>
                <w:sz w:val="24"/>
              </w:rPr>
            </w:pPr>
            <w:r>
              <w:rPr>
                <w:sz w:val="24"/>
              </w:rPr>
              <w:t>225</w:t>
            </w:r>
            <w:r>
              <w:rPr>
                <w:spacing w:val="-4"/>
                <w:sz w:val="24"/>
              </w:rPr>
              <w:t> </w:t>
            </w:r>
            <w:r>
              <w:rPr>
                <w:sz w:val="24"/>
              </w:rPr>
              <w:t>to</w:t>
            </w:r>
            <w:r>
              <w:rPr>
                <w:spacing w:val="-1"/>
                <w:sz w:val="24"/>
              </w:rPr>
              <w:t> </w:t>
            </w:r>
            <w:r>
              <w:rPr>
                <w:spacing w:val="-5"/>
                <w:sz w:val="24"/>
              </w:rPr>
              <w:t>250</w:t>
            </w:r>
          </w:p>
        </w:tc>
        <w:tc>
          <w:tcPr>
            <w:tcW w:w="1529" w:type="dxa"/>
          </w:tcPr>
          <w:p>
            <w:pPr>
              <w:pStyle w:val="TableParagraph"/>
              <w:spacing w:before="37"/>
              <w:ind w:left="61"/>
              <w:jc w:val="center"/>
              <w:rPr>
                <w:sz w:val="24"/>
              </w:rPr>
            </w:pPr>
            <w:r>
              <w:rPr>
                <w:spacing w:val="-5"/>
                <w:sz w:val="24"/>
              </w:rPr>
              <w:t>225</w:t>
            </w:r>
          </w:p>
        </w:tc>
        <w:tc>
          <w:tcPr>
            <w:tcW w:w="1711" w:type="dxa"/>
          </w:tcPr>
          <w:p>
            <w:pPr>
              <w:pStyle w:val="TableParagraph"/>
              <w:spacing w:before="37"/>
              <w:ind w:left="261"/>
              <w:rPr>
                <w:sz w:val="24"/>
              </w:rPr>
            </w:pPr>
            <w:r>
              <w:rPr>
                <w:spacing w:val="-5"/>
                <w:sz w:val="24"/>
              </w:rPr>
              <w:t>Nil</w:t>
            </w:r>
          </w:p>
        </w:tc>
        <w:tc>
          <w:tcPr>
            <w:tcW w:w="1708" w:type="dxa"/>
          </w:tcPr>
          <w:p>
            <w:pPr>
              <w:pStyle w:val="TableParagraph"/>
              <w:spacing w:before="37"/>
              <w:ind w:left="567"/>
              <w:rPr>
                <w:sz w:val="24"/>
              </w:rPr>
            </w:pPr>
            <w:r>
              <w:rPr>
                <w:spacing w:val="-5"/>
                <w:sz w:val="24"/>
              </w:rPr>
              <w:t>Nil</w:t>
            </w:r>
          </w:p>
        </w:tc>
        <w:tc>
          <w:tcPr>
            <w:tcW w:w="2071" w:type="dxa"/>
          </w:tcPr>
          <w:p>
            <w:pPr>
              <w:pStyle w:val="TableParagraph"/>
              <w:spacing w:before="37"/>
              <w:ind w:left="571"/>
              <w:rPr>
                <w:sz w:val="24"/>
              </w:rPr>
            </w:pPr>
            <w:r>
              <w:rPr>
                <w:spacing w:val="-5"/>
                <w:sz w:val="24"/>
              </w:rPr>
              <w:t>Nil</w:t>
            </w:r>
          </w:p>
        </w:tc>
      </w:tr>
      <w:tr>
        <w:trPr>
          <w:trHeight w:val="361" w:hRule="atLeast"/>
        </w:trPr>
        <w:tc>
          <w:tcPr>
            <w:tcW w:w="1639" w:type="dxa"/>
          </w:tcPr>
          <w:p>
            <w:pPr>
              <w:pStyle w:val="TableParagraph"/>
              <w:spacing w:before="37"/>
              <w:ind w:left="107"/>
              <w:rPr>
                <w:sz w:val="24"/>
              </w:rPr>
            </w:pPr>
            <w:r>
              <w:rPr>
                <w:sz w:val="24"/>
              </w:rPr>
              <w:t>251</w:t>
            </w:r>
            <w:r>
              <w:rPr>
                <w:spacing w:val="-2"/>
                <w:sz w:val="24"/>
              </w:rPr>
              <w:t> </w:t>
            </w:r>
            <w:r>
              <w:rPr>
                <w:sz w:val="24"/>
              </w:rPr>
              <w:t>to</w:t>
            </w:r>
            <w:r>
              <w:rPr>
                <w:spacing w:val="-1"/>
                <w:sz w:val="24"/>
              </w:rPr>
              <w:t> </w:t>
            </w:r>
            <w:r>
              <w:rPr>
                <w:spacing w:val="-4"/>
                <w:sz w:val="24"/>
              </w:rPr>
              <w:t>1000</w:t>
            </w:r>
          </w:p>
        </w:tc>
        <w:tc>
          <w:tcPr>
            <w:tcW w:w="1529" w:type="dxa"/>
          </w:tcPr>
          <w:p>
            <w:pPr>
              <w:pStyle w:val="TableParagraph"/>
              <w:spacing w:before="37"/>
              <w:ind w:left="61"/>
              <w:jc w:val="center"/>
              <w:rPr>
                <w:sz w:val="24"/>
              </w:rPr>
            </w:pPr>
            <w:r>
              <w:rPr>
                <w:spacing w:val="-5"/>
                <w:sz w:val="24"/>
              </w:rPr>
              <w:t>225</w:t>
            </w:r>
          </w:p>
        </w:tc>
        <w:tc>
          <w:tcPr>
            <w:tcW w:w="1711" w:type="dxa"/>
          </w:tcPr>
          <w:p>
            <w:pPr>
              <w:pStyle w:val="TableParagraph"/>
              <w:spacing w:before="37"/>
              <w:ind w:left="108"/>
              <w:rPr>
                <w:sz w:val="24"/>
              </w:rPr>
            </w:pPr>
            <w:r>
              <w:rPr>
                <w:sz w:val="24"/>
              </w:rPr>
              <w:t>251</w:t>
            </w:r>
            <w:r>
              <w:rPr>
                <w:spacing w:val="-2"/>
                <w:sz w:val="24"/>
              </w:rPr>
              <w:t> </w:t>
            </w:r>
            <w:r>
              <w:rPr>
                <w:sz w:val="24"/>
              </w:rPr>
              <w:t>to</w:t>
            </w:r>
            <w:r>
              <w:rPr>
                <w:spacing w:val="-1"/>
                <w:sz w:val="24"/>
              </w:rPr>
              <w:t> </w:t>
            </w:r>
            <w:r>
              <w:rPr>
                <w:spacing w:val="-4"/>
                <w:sz w:val="24"/>
              </w:rPr>
              <w:t>1000</w:t>
            </w:r>
          </w:p>
        </w:tc>
        <w:tc>
          <w:tcPr>
            <w:tcW w:w="1708" w:type="dxa"/>
          </w:tcPr>
          <w:p>
            <w:pPr>
              <w:pStyle w:val="TableParagraph"/>
              <w:spacing w:before="37"/>
              <w:ind w:left="567"/>
              <w:rPr>
                <w:sz w:val="24"/>
              </w:rPr>
            </w:pPr>
            <w:r>
              <w:rPr>
                <w:spacing w:val="-5"/>
                <w:sz w:val="24"/>
              </w:rPr>
              <w:t>Nil</w:t>
            </w:r>
          </w:p>
        </w:tc>
        <w:tc>
          <w:tcPr>
            <w:tcW w:w="2071" w:type="dxa"/>
          </w:tcPr>
          <w:p>
            <w:pPr>
              <w:pStyle w:val="TableParagraph"/>
              <w:spacing w:before="37"/>
              <w:ind w:left="571"/>
              <w:rPr>
                <w:sz w:val="24"/>
              </w:rPr>
            </w:pPr>
            <w:r>
              <w:rPr>
                <w:spacing w:val="-5"/>
                <w:sz w:val="24"/>
              </w:rPr>
              <w:t>Nil</w:t>
            </w:r>
          </w:p>
        </w:tc>
      </w:tr>
      <w:tr>
        <w:trPr>
          <w:trHeight w:val="642" w:hRule="atLeast"/>
        </w:trPr>
        <w:tc>
          <w:tcPr>
            <w:tcW w:w="1639" w:type="dxa"/>
          </w:tcPr>
          <w:p>
            <w:pPr>
              <w:pStyle w:val="TableParagraph"/>
              <w:tabs>
                <w:tab w:pos="1302" w:val="left" w:leader="none"/>
              </w:tabs>
              <w:spacing w:line="281" w:lineRule="exact" w:before="40"/>
              <w:ind w:left="107"/>
              <w:rPr>
                <w:sz w:val="24"/>
              </w:rPr>
            </w:pPr>
            <w:r>
              <w:rPr>
                <w:spacing w:val="-4"/>
                <w:sz w:val="24"/>
              </w:rPr>
              <w:t>1001</w:t>
            </w:r>
            <w:r>
              <w:rPr>
                <w:sz w:val="24"/>
              </w:rPr>
              <w:tab/>
            </w:r>
            <w:r>
              <w:rPr>
                <w:spacing w:val="-5"/>
                <w:sz w:val="24"/>
              </w:rPr>
              <w:t>to</w:t>
            </w:r>
          </w:p>
          <w:p>
            <w:pPr>
              <w:pStyle w:val="TableParagraph"/>
              <w:spacing w:line="281" w:lineRule="exact"/>
              <w:ind w:left="107"/>
              <w:rPr>
                <w:sz w:val="24"/>
              </w:rPr>
            </w:pPr>
            <w:r>
              <w:rPr>
                <w:spacing w:val="-4"/>
                <w:sz w:val="24"/>
              </w:rPr>
              <w:t>1500</w:t>
            </w:r>
          </w:p>
        </w:tc>
        <w:tc>
          <w:tcPr>
            <w:tcW w:w="1529" w:type="dxa"/>
          </w:tcPr>
          <w:p>
            <w:pPr>
              <w:pStyle w:val="TableParagraph"/>
              <w:spacing w:before="37"/>
              <w:ind w:left="61"/>
              <w:jc w:val="center"/>
              <w:rPr>
                <w:sz w:val="24"/>
              </w:rPr>
            </w:pPr>
            <w:r>
              <w:rPr>
                <w:spacing w:val="-5"/>
                <w:sz w:val="24"/>
              </w:rPr>
              <w:t>225</w:t>
            </w:r>
          </w:p>
        </w:tc>
        <w:tc>
          <w:tcPr>
            <w:tcW w:w="1711" w:type="dxa"/>
          </w:tcPr>
          <w:p>
            <w:pPr>
              <w:pStyle w:val="TableParagraph"/>
              <w:spacing w:before="37"/>
              <w:ind w:left="108"/>
              <w:rPr>
                <w:sz w:val="24"/>
              </w:rPr>
            </w:pPr>
            <w:r>
              <w:rPr>
                <w:sz w:val="24"/>
              </w:rPr>
              <w:t>251</w:t>
            </w:r>
            <w:r>
              <w:rPr>
                <w:spacing w:val="-2"/>
                <w:sz w:val="24"/>
              </w:rPr>
              <w:t> </w:t>
            </w:r>
            <w:r>
              <w:rPr>
                <w:sz w:val="24"/>
              </w:rPr>
              <w:t>to</w:t>
            </w:r>
            <w:r>
              <w:rPr>
                <w:spacing w:val="-1"/>
                <w:sz w:val="24"/>
              </w:rPr>
              <w:t> </w:t>
            </w:r>
            <w:r>
              <w:rPr>
                <w:spacing w:val="-4"/>
                <w:sz w:val="24"/>
              </w:rPr>
              <w:t>1000</w:t>
            </w:r>
          </w:p>
        </w:tc>
        <w:tc>
          <w:tcPr>
            <w:tcW w:w="1708" w:type="dxa"/>
          </w:tcPr>
          <w:p>
            <w:pPr>
              <w:pStyle w:val="TableParagraph"/>
              <w:tabs>
                <w:tab w:pos="1373" w:val="left" w:leader="none"/>
              </w:tabs>
              <w:spacing w:line="281" w:lineRule="exact" w:before="40"/>
              <w:ind w:left="106"/>
              <w:rPr>
                <w:sz w:val="24"/>
              </w:rPr>
            </w:pPr>
            <w:r>
              <w:rPr>
                <w:spacing w:val="-4"/>
                <w:sz w:val="24"/>
              </w:rPr>
              <w:t>1001</w:t>
            </w:r>
            <w:r>
              <w:rPr>
                <w:sz w:val="24"/>
              </w:rPr>
              <w:tab/>
            </w:r>
            <w:r>
              <w:rPr>
                <w:spacing w:val="-5"/>
                <w:sz w:val="24"/>
              </w:rPr>
              <w:t>to</w:t>
            </w:r>
          </w:p>
          <w:p>
            <w:pPr>
              <w:pStyle w:val="TableParagraph"/>
              <w:spacing w:line="281" w:lineRule="exact"/>
              <w:ind w:left="106"/>
              <w:rPr>
                <w:sz w:val="24"/>
              </w:rPr>
            </w:pPr>
            <w:r>
              <w:rPr>
                <w:spacing w:val="-4"/>
                <w:sz w:val="24"/>
              </w:rPr>
              <w:t>1500</w:t>
            </w:r>
          </w:p>
        </w:tc>
        <w:tc>
          <w:tcPr>
            <w:tcW w:w="2071" w:type="dxa"/>
          </w:tcPr>
          <w:p>
            <w:pPr>
              <w:pStyle w:val="TableParagraph"/>
              <w:spacing w:before="37"/>
              <w:ind w:left="571"/>
              <w:rPr>
                <w:sz w:val="24"/>
              </w:rPr>
            </w:pPr>
            <w:r>
              <w:rPr>
                <w:spacing w:val="-5"/>
                <w:sz w:val="24"/>
              </w:rPr>
              <w:t>Nil</w:t>
            </w:r>
          </w:p>
        </w:tc>
      </w:tr>
    </w:tbl>
    <w:p>
      <w:pPr>
        <w:pStyle w:val="TableParagraph"/>
        <w:spacing w:after="0"/>
        <w:rPr>
          <w:sz w:val="24"/>
        </w:rPr>
        <w:sectPr>
          <w:pgSz w:w="11910" w:h="16840"/>
          <w:pgMar w:header="1065" w:footer="1194" w:top="1500" w:bottom="1380" w:left="360" w:right="360"/>
        </w:sectPr>
      </w:pPr>
    </w:p>
    <w:p>
      <w:pPr>
        <w:pStyle w:val="BodyText"/>
        <w:spacing w:before="14" w:after="1"/>
        <w:jc w:val="left"/>
        <w:rPr>
          <w:sz w:val="20"/>
        </w:rPr>
      </w:pPr>
    </w:p>
    <w:tbl>
      <w:tblPr>
        <w:tblW w:w="0" w:type="auto"/>
        <w:jc w:val="left"/>
        <w:tblInd w:w="15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9"/>
        <w:gridCol w:w="1529"/>
        <w:gridCol w:w="1711"/>
        <w:gridCol w:w="1708"/>
        <w:gridCol w:w="2071"/>
      </w:tblGrid>
      <w:tr>
        <w:trPr>
          <w:trHeight w:val="645" w:hRule="atLeast"/>
        </w:trPr>
        <w:tc>
          <w:tcPr>
            <w:tcW w:w="1639" w:type="dxa"/>
          </w:tcPr>
          <w:p>
            <w:pPr>
              <w:pStyle w:val="TableParagraph"/>
              <w:tabs>
                <w:tab w:pos="1081" w:val="left" w:leader="none"/>
              </w:tabs>
              <w:spacing w:before="42"/>
              <w:ind w:left="107" w:right="98" w:firstLine="76"/>
              <w:rPr>
                <w:sz w:val="24"/>
              </w:rPr>
            </w:pPr>
            <w:r>
              <w:rPr>
                <w:spacing w:val="-4"/>
                <w:sz w:val="24"/>
              </w:rPr>
              <w:t>1501</w:t>
            </w:r>
            <w:r>
              <w:rPr>
                <w:sz w:val="24"/>
              </w:rPr>
              <w:tab/>
            </w:r>
            <w:r>
              <w:rPr>
                <w:spacing w:val="-4"/>
                <w:sz w:val="24"/>
              </w:rPr>
              <w:t>and </w:t>
            </w:r>
            <w:r>
              <w:rPr>
                <w:spacing w:val="-2"/>
                <w:sz w:val="24"/>
              </w:rPr>
              <w:t>above</w:t>
            </w:r>
          </w:p>
        </w:tc>
        <w:tc>
          <w:tcPr>
            <w:tcW w:w="1529" w:type="dxa"/>
          </w:tcPr>
          <w:p>
            <w:pPr>
              <w:pStyle w:val="TableParagraph"/>
              <w:spacing w:before="40"/>
              <w:ind w:left="566"/>
              <w:rPr>
                <w:sz w:val="24"/>
              </w:rPr>
            </w:pPr>
            <w:r>
              <w:rPr>
                <w:spacing w:val="-5"/>
                <w:sz w:val="24"/>
              </w:rPr>
              <w:t>225</w:t>
            </w:r>
          </w:p>
        </w:tc>
        <w:tc>
          <w:tcPr>
            <w:tcW w:w="1711" w:type="dxa"/>
          </w:tcPr>
          <w:p>
            <w:pPr>
              <w:pStyle w:val="TableParagraph"/>
              <w:spacing w:before="40"/>
              <w:ind w:left="108"/>
              <w:rPr>
                <w:sz w:val="24"/>
              </w:rPr>
            </w:pPr>
            <w:r>
              <w:rPr>
                <w:sz w:val="24"/>
              </w:rPr>
              <w:t>251</w:t>
            </w:r>
            <w:r>
              <w:rPr>
                <w:spacing w:val="-2"/>
                <w:sz w:val="24"/>
              </w:rPr>
              <w:t> </w:t>
            </w:r>
            <w:r>
              <w:rPr>
                <w:sz w:val="24"/>
              </w:rPr>
              <w:t>to</w:t>
            </w:r>
            <w:r>
              <w:rPr>
                <w:spacing w:val="-1"/>
                <w:sz w:val="24"/>
              </w:rPr>
              <w:t> </w:t>
            </w:r>
            <w:r>
              <w:rPr>
                <w:spacing w:val="-4"/>
                <w:sz w:val="24"/>
              </w:rPr>
              <w:t>1000</w:t>
            </w:r>
          </w:p>
        </w:tc>
        <w:tc>
          <w:tcPr>
            <w:tcW w:w="1708" w:type="dxa"/>
          </w:tcPr>
          <w:p>
            <w:pPr>
              <w:pStyle w:val="TableParagraph"/>
              <w:tabs>
                <w:tab w:pos="1373" w:val="left" w:leader="none"/>
              </w:tabs>
              <w:spacing w:line="281" w:lineRule="exact" w:before="42"/>
              <w:ind w:left="106"/>
              <w:rPr>
                <w:sz w:val="24"/>
              </w:rPr>
            </w:pPr>
            <w:r>
              <w:rPr>
                <w:spacing w:val="-4"/>
                <w:sz w:val="24"/>
              </w:rPr>
              <w:t>1001</w:t>
            </w:r>
            <w:r>
              <w:rPr>
                <w:sz w:val="24"/>
              </w:rPr>
              <w:tab/>
            </w:r>
            <w:r>
              <w:rPr>
                <w:spacing w:val="-5"/>
                <w:sz w:val="24"/>
              </w:rPr>
              <w:t>to</w:t>
            </w:r>
          </w:p>
          <w:p>
            <w:pPr>
              <w:pStyle w:val="TableParagraph"/>
              <w:spacing w:line="281" w:lineRule="exact"/>
              <w:ind w:left="106"/>
              <w:rPr>
                <w:sz w:val="24"/>
              </w:rPr>
            </w:pPr>
            <w:r>
              <w:rPr>
                <w:spacing w:val="-4"/>
                <w:sz w:val="24"/>
              </w:rPr>
              <w:t>1500</w:t>
            </w:r>
          </w:p>
        </w:tc>
        <w:tc>
          <w:tcPr>
            <w:tcW w:w="2071" w:type="dxa"/>
          </w:tcPr>
          <w:p>
            <w:pPr>
              <w:pStyle w:val="TableParagraph"/>
              <w:spacing w:before="40"/>
              <w:ind w:left="109"/>
              <w:rPr>
                <w:sz w:val="24"/>
              </w:rPr>
            </w:pPr>
            <w:r>
              <w:rPr>
                <w:sz w:val="24"/>
              </w:rPr>
              <w:t>1501</w:t>
            </w:r>
            <w:r>
              <w:rPr>
                <w:spacing w:val="-11"/>
                <w:sz w:val="24"/>
              </w:rPr>
              <w:t> </w:t>
            </w:r>
            <w:r>
              <w:rPr>
                <w:sz w:val="24"/>
              </w:rPr>
              <w:t>and</w:t>
            </w:r>
            <w:r>
              <w:rPr>
                <w:spacing w:val="-10"/>
                <w:sz w:val="24"/>
              </w:rPr>
              <w:t> </w:t>
            </w:r>
            <w:r>
              <w:rPr>
                <w:spacing w:val="-2"/>
                <w:sz w:val="24"/>
              </w:rPr>
              <w:t>above</w:t>
            </w:r>
          </w:p>
        </w:tc>
      </w:tr>
    </w:tbl>
    <w:p>
      <w:pPr>
        <w:pStyle w:val="BodyText"/>
        <w:ind w:left="2062" w:right="767"/>
      </w:pPr>
      <w:r>
        <w:rPr/>
        <w:t>However, only non-polluting and non-hazardous industry can be allowed to be re-accommodated under this scheme. The rehab area in excess of 20.90 sq. m. (225 sq. ft.) will be at construction cost to be determined by OSD, DRP (SRA) and the said cost to be paid by the hutment dweller to the developer.</w:t>
      </w:r>
    </w:p>
    <w:p>
      <w:pPr>
        <w:pStyle w:val="BodyText"/>
        <w:tabs>
          <w:tab w:pos="2781" w:val="left" w:leader="none"/>
        </w:tabs>
        <w:spacing w:line="281" w:lineRule="exact" w:before="239"/>
        <w:ind w:left="2062"/>
        <w:jc w:val="left"/>
      </w:pPr>
      <w:r>
        <w:rPr>
          <w:b/>
          <w:spacing w:val="-5"/>
        </w:rPr>
        <w:t>(b)</w:t>
      </w:r>
      <w:r>
        <w:rPr>
          <w:b/>
        </w:rPr>
        <w:tab/>
      </w:r>
      <w:r>
        <w:rPr/>
        <w:t>Structures</w:t>
      </w:r>
      <w:r>
        <w:rPr>
          <w:spacing w:val="-2"/>
        </w:rPr>
        <w:t> </w:t>
      </w:r>
      <w:r>
        <w:rPr/>
        <w:t>of</w:t>
      </w:r>
      <w:r>
        <w:rPr>
          <w:spacing w:val="-2"/>
        </w:rPr>
        <w:t> </w:t>
      </w:r>
      <w:r>
        <w:rPr/>
        <w:t>Potters’</w:t>
      </w:r>
      <w:r>
        <w:rPr>
          <w:spacing w:val="-2"/>
        </w:rPr>
        <w:t> </w:t>
      </w:r>
      <w:r>
        <w:rPr/>
        <w:t>Business</w:t>
      </w:r>
      <w:r>
        <w:rPr>
          <w:spacing w:val="-1"/>
        </w:rPr>
        <w:t> </w:t>
      </w:r>
      <w:r>
        <w:rPr>
          <w:spacing w:val="-2"/>
        </w:rPr>
        <w:t>Activity:</w:t>
      </w:r>
    </w:p>
    <w:p>
      <w:pPr>
        <w:pStyle w:val="BodyText"/>
        <w:spacing w:line="281" w:lineRule="exact"/>
        <w:ind w:left="4222"/>
        <w:jc w:val="left"/>
      </w:pPr>
      <w:r>
        <w:rPr/>
        <w:t>BUA</w:t>
      </w:r>
      <w:r>
        <w:rPr>
          <w:spacing w:val="-2"/>
        </w:rPr>
        <w:t> </w:t>
      </w:r>
      <w:r>
        <w:rPr/>
        <w:t>Structures</w:t>
      </w:r>
      <w:r>
        <w:rPr>
          <w:spacing w:val="-1"/>
        </w:rPr>
        <w:t> </w:t>
      </w:r>
      <w:r>
        <w:rPr/>
        <w:t>of</w:t>
      </w:r>
      <w:r>
        <w:rPr>
          <w:spacing w:val="-2"/>
        </w:rPr>
        <w:t> </w:t>
      </w:r>
      <w:r>
        <w:rPr/>
        <w:t>Potters’</w:t>
      </w:r>
      <w:r>
        <w:rPr>
          <w:spacing w:val="-1"/>
        </w:rPr>
        <w:t> </w:t>
      </w:r>
      <w:r>
        <w:rPr/>
        <w:t>Business</w:t>
      </w:r>
      <w:r>
        <w:rPr>
          <w:spacing w:val="-2"/>
        </w:rPr>
        <w:t> </w:t>
      </w:r>
      <w:r>
        <w:rPr/>
        <w:t>Activity</w:t>
      </w:r>
      <w:r>
        <w:rPr>
          <w:spacing w:val="-1"/>
        </w:rPr>
        <w:t> </w:t>
      </w:r>
      <w:r>
        <w:rPr/>
        <w:t>up</w:t>
      </w:r>
      <w:r>
        <w:rPr>
          <w:spacing w:val="-1"/>
        </w:rPr>
        <w:t> </w:t>
      </w:r>
      <w:r>
        <w:rPr>
          <w:spacing w:val="-5"/>
        </w:rPr>
        <w:t>to</w:t>
      </w:r>
    </w:p>
    <w:p>
      <w:pPr>
        <w:pStyle w:val="BodyText"/>
        <w:spacing w:before="2"/>
        <w:ind w:left="1973" w:right="838"/>
        <w:jc w:val="left"/>
      </w:pPr>
      <w:r>
        <w:rPr/>
        <w:t>20.90</w:t>
      </w:r>
      <w:r>
        <w:rPr>
          <w:spacing w:val="-3"/>
        </w:rPr>
        <w:t> </w:t>
      </w:r>
      <w:r>
        <w:rPr/>
        <w:t>sq.</w:t>
      </w:r>
      <w:r>
        <w:rPr>
          <w:spacing w:val="-3"/>
        </w:rPr>
        <w:t> </w:t>
      </w:r>
      <w:r>
        <w:rPr/>
        <w:t>m</w:t>
      </w:r>
      <w:r>
        <w:rPr>
          <w:spacing w:val="-3"/>
        </w:rPr>
        <w:t> </w:t>
      </w:r>
      <w:r>
        <w:rPr/>
        <w:t>(225</w:t>
      </w:r>
      <w:r>
        <w:rPr>
          <w:spacing w:val="-3"/>
        </w:rPr>
        <w:t> </w:t>
      </w:r>
      <w:r>
        <w:rPr/>
        <w:t>sq.</w:t>
      </w:r>
      <w:r>
        <w:rPr>
          <w:spacing w:val="-3"/>
        </w:rPr>
        <w:t> </w:t>
      </w:r>
      <w:r>
        <w:rPr/>
        <w:t>ft.)</w:t>
      </w:r>
      <w:r>
        <w:rPr>
          <w:spacing w:val="-3"/>
        </w:rPr>
        <w:t> </w:t>
      </w:r>
      <w:r>
        <w:rPr/>
        <w:t>carpet</w:t>
      </w:r>
      <w:r>
        <w:rPr>
          <w:spacing w:val="-3"/>
        </w:rPr>
        <w:t> </w:t>
      </w:r>
      <w:r>
        <w:rPr/>
        <w:t>area</w:t>
      </w:r>
      <w:r>
        <w:rPr>
          <w:spacing w:val="-3"/>
        </w:rPr>
        <w:t> </w:t>
      </w:r>
      <w:r>
        <w:rPr/>
        <w:t>or</w:t>
      </w:r>
      <w:r>
        <w:rPr>
          <w:spacing w:val="-3"/>
        </w:rPr>
        <w:t> </w:t>
      </w:r>
      <w:r>
        <w:rPr/>
        <w:t>actual</w:t>
      </w:r>
      <w:r>
        <w:rPr>
          <w:spacing w:val="-3"/>
        </w:rPr>
        <w:t> </w:t>
      </w:r>
      <w:r>
        <w:rPr/>
        <w:t>area</w:t>
      </w:r>
      <w:r>
        <w:rPr>
          <w:spacing w:val="-3"/>
        </w:rPr>
        <w:t> </w:t>
      </w:r>
      <w:r>
        <w:rPr/>
        <w:t>whichever</w:t>
      </w:r>
      <w:r>
        <w:rPr>
          <w:spacing w:val="-3"/>
        </w:rPr>
        <w:t> </w:t>
      </w:r>
      <w:r>
        <w:rPr/>
        <w:t>is</w:t>
      </w:r>
      <w:r>
        <w:rPr>
          <w:spacing w:val="-3"/>
        </w:rPr>
        <w:t> </w:t>
      </w:r>
      <w:r>
        <w:rPr/>
        <w:t>less, shall be provided to the eligible person free of cost as part of the rehabilitation project. Any area in excess of 20.90 sq. m may, if required, be sold to the extent of area in the following manner.</w:t>
      </w:r>
    </w:p>
    <w:p>
      <w:pPr>
        <w:pStyle w:val="BodyText"/>
        <w:spacing w:before="5"/>
        <w:jc w:val="left"/>
        <w:rPr>
          <w:sz w:val="20"/>
        </w:rPr>
      </w:pPr>
    </w:p>
    <w:tbl>
      <w:tblPr>
        <w:tblW w:w="0" w:type="auto"/>
        <w:jc w:val="left"/>
        <w:tblInd w:w="15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9"/>
        <w:gridCol w:w="1529"/>
        <w:gridCol w:w="1711"/>
        <w:gridCol w:w="1708"/>
        <w:gridCol w:w="2071"/>
      </w:tblGrid>
      <w:tr>
        <w:trPr>
          <w:trHeight w:val="362" w:hRule="atLeast"/>
        </w:trPr>
        <w:tc>
          <w:tcPr>
            <w:tcW w:w="1639" w:type="dxa"/>
            <w:vMerge w:val="restart"/>
            <w:shd w:val="clear" w:color="auto" w:fill="EDEBE0"/>
          </w:tcPr>
          <w:p>
            <w:pPr>
              <w:pStyle w:val="TableParagraph"/>
              <w:spacing w:before="40"/>
              <w:ind w:left="107"/>
              <w:rPr>
                <w:sz w:val="24"/>
              </w:rPr>
            </w:pPr>
            <w:r>
              <w:rPr>
                <w:spacing w:val="-2"/>
                <w:sz w:val="24"/>
              </w:rPr>
              <w:t>Existing </w:t>
            </w:r>
            <w:r>
              <w:rPr>
                <w:sz w:val="24"/>
              </w:rPr>
              <w:t>Carpet</w:t>
            </w:r>
            <w:r>
              <w:rPr>
                <w:spacing w:val="-10"/>
                <w:sz w:val="24"/>
              </w:rPr>
              <w:t> </w:t>
            </w:r>
            <w:r>
              <w:rPr>
                <w:sz w:val="24"/>
              </w:rPr>
              <w:t>Area in</w:t>
            </w:r>
            <w:r>
              <w:rPr>
                <w:spacing w:val="-16"/>
                <w:sz w:val="24"/>
              </w:rPr>
              <w:t> </w:t>
            </w:r>
            <w:r>
              <w:rPr>
                <w:sz w:val="24"/>
              </w:rPr>
              <w:t>the</w:t>
            </w:r>
            <w:r>
              <w:rPr>
                <w:spacing w:val="-16"/>
                <w:sz w:val="24"/>
              </w:rPr>
              <w:t> </w:t>
            </w:r>
            <w:r>
              <w:rPr>
                <w:sz w:val="24"/>
              </w:rPr>
              <w:t>range of …</w:t>
            </w:r>
          </w:p>
          <w:p>
            <w:pPr>
              <w:pStyle w:val="TableParagraph"/>
              <w:spacing w:before="39"/>
              <w:ind w:left="107"/>
              <w:rPr>
                <w:sz w:val="24"/>
              </w:rPr>
            </w:pPr>
            <w:r>
              <w:rPr>
                <w:sz w:val="24"/>
              </w:rPr>
              <w:t>(in</w:t>
            </w:r>
            <w:r>
              <w:rPr>
                <w:spacing w:val="-3"/>
                <w:sz w:val="24"/>
              </w:rPr>
              <w:t> </w:t>
            </w:r>
            <w:r>
              <w:rPr>
                <w:sz w:val="24"/>
              </w:rPr>
              <w:t>sq.</w:t>
            </w:r>
            <w:r>
              <w:rPr>
                <w:spacing w:val="-1"/>
                <w:sz w:val="24"/>
              </w:rPr>
              <w:t> </w:t>
            </w:r>
            <w:r>
              <w:rPr>
                <w:spacing w:val="-4"/>
                <w:sz w:val="24"/>
              </w:rPr>
              <w:t>ft.)</w:t>
            </w:r>
          </w:p>
        </w:tc>
        <w:tc>
          <w:tcPr>
            <w:tcW w:w="7019" w:type="dxa"/>
            <w:gridSpan w:val="4"/>
            <w:shd w:val="clear" w:color="auto" w:fill="EDEBE0"/>
          </w:tcPr>
          <w:p>
            <w:pPr>
              <w:pStyle w:val="TableParagraph"/>
              <w:spacing w:before="37"/>
              <w:ind w:left="105"/>
              <w:rPr>
                <w:sz w:val="24"/>
              </w:rPr>
            </w:pPr>
            <w:r>
              <w:rPr>
                <w:sz w:val="24"/>
              </w:rPr>
              <w:t>Carpet</w:t>
            </w:r>
            <w:r>
              <w:rPr>
                <w:spacing w:val="-4"/>
                <w:sz w:val="24"/>
              </w:rPr>
              <w:t> </w:t>
            </w:r>
            <w:r>
              <w:rPr>
                <w:sz w:val="24"/>
              </w:rPr>
              <w:t>Area</w:t>
            </w:r>
            <w:r>
              <w:rPr>
                <w:spacing w:val="-2"/>
                <w:sz w:val="24"/>
              </w:rPr>
              <w:t> </w:t>
            </w:r>
            <w:r>
              <w:rPr>
                <w:sz w:val="24"/>
              </w:rPr>
              <w:t>to</w:t>
            </w:r>
            <w:r>
              <w:rPr>
                <w:spacing w:val="-2"/>
                <w:sz w:val="24"/>
              </w:rPr>
              <w:t> </w:t>
            </w:r>
            <w:r>
              <w:rPr>
                <w:sz w:val="24"/>
              </w:rPr>
              <w:t>be</w:t>
            </w:r>
            <w:r>
              <w:rPr>
                <w:spacing w:val="-2"/>
                <w:sz w:val="24"/>
              </w:rPr>
              <w:t> </w:t>
            </w:r>
            <w:r>
              <w:rPr>
                <w:sz w:val="24"/>
              </w:rPr>
              <w:t>provided</w:t>
            </w:r>
            <w:r>
              <w:rPr>
                <w:spacing w:val="-2"/>
                <w:sz w:val="24"/>
              </w:rPr>
              <w:t> </w:t>
            </w:r>
            <w:r>
              <w:rPr>
                <w:sz w:val="24"/>
              </w:rPr>
              <w:t>(in</w:t>
            </w:r>
            <w:r>
              <w:rPr>
                <w:spacing w:val="-2"/>
                <w:sz w:val="24"/>
              </w:rPr>
              <w:t> </w:t>
            </w:r>
            <w:r>
              <w:rPr>
                <w:sz w:val="24"/>
              </w:rPr>
              <w:t>sq.</w:t>
            </w:r>
            <w:r>
              <w:rPr>
                <w:spacing w:val="-1"/>
                <w:sz w:val="24"/>
              </w:rPr>
              <w:t> </w:t>
            </w:r>
            <w:r>
              <w:rPr>
                <w:spacing w:val="-4"/>
                <w:sz w:val="24"/>
              </w:rPr>
              <w:t>ft.)</w:t>
            </w:r>
          </w:p>
        </w:tc>
      </w:tr>
      <w:tr>
        <w:trPr>
          <w:trHeight w:val="683" w:hRule="atLeast"/>
        </w:trPr>
        <w:tc>
          <w:tcPr>
            <w:tcW w:w="1639" w:type="dxa"/>
            <w:vMerge/>
            <w:tcBorders>
              <w:top w:val="nil"/>
            </w:tcBorders>
            <w:shd w:val="clear" w:color="auto" w:fill="EDEBE0"/>
          </w:tcPr>
          <w:p>
            <w:pPr>
              <w:rPr>
                <w:sz w:val="2"/>
                <w:szCs w:val="2"/>
              </w:rPr>
            </w:pPr>
          </w:p>
        </w:tc>
        <w:tc>
          <w:tcPr>
            <w:tcW w:w="1529" w:type="dxa"/>
            <w:vMerge w:val="restart"/>
            <w:shd w:val="clear" w:color="auto" w:fill="EDEBE0"/>
          </w:tcPr>
          <w:p>
            <w:pPr>
              <w:pStyle w:val="TableParagraph"/>
              <w:tabs>
                <w:tab w:pos="568" w:val="left" w:leader="none"/>
                <w:tab w:pos="1208" w:val="left" w:leader="none"/>
              </w:tabs>
              <w:spacing w:before="40"/>
              <w:ind w:left="105" w:right="96"/>
              <w:rPr>
                <w:sz w:val="24"/>
              </w:rPr>
            </w:pPr>
            <w:r>
              <w:rPr>
                <w:spacing w:val="-6"/>
                <w:sz w:val="24"/>
              </w:rPr>
              <w:t>At</w:t>
            </w:r>
            <w:r>
              <w:rPr>
                <w:sz w:val="24"/>
              </w:rPr>
              <w:tab/>
            </w:r>
            <w:r>
              <w:rPr>
                <w:spacing w:val="-4"/>
                <w:sz w:val="24"/>
              </w:rPr>
              <w:t>free</w:t>
            </w:r>
            <w:r>
              <w:rPr>
                <w:sz w:val="24"/>
              </w:rPr>
              <w:tab/>
            </w:r>
            <w:r>
              <w:rPr>
                <w:spacing w:val="-6"/>
                <w:sz w:val="24"/>
              </w:rPr>
              <w:t>of </w:t>
            </w:r>
            <w:r>
              <w:rPr>
                <w:sz w:val="24"/>
              </w:rPr>
              <w:t>cost,</w:t>
            </w:r>
            <w:r>
              <w:rPr>
                <w:spacing w:val="40"/>
                <w:sz w:val="24"/>
              </w:rPr>
              <w:t> </w:t>
            </w:r>
            <w:r>
              <w:rPr>
                <w:sz w:val="24"/>
              </w:rPr>
              <w:t>as</w:t>
            </w:r>
            <w:r>
              <w:rPr>
                <w:spacing w:val="40"/>
                <w:sz w:val="24"/>
              </w:rPr>
              <w:t> </w:t>
            </w:r>
            <w:r>
              <w:rPr>
                <w:sz w:val="24"/>
              </w:rPr>
              <w:t>a </w:t>
            </w:r>
            <w:r>
              <w:rPr>
                <w:spacing w:val="-4"/>
                <w:sz w:val="24"/>
              </w:rPr>
              <w:t>part</w:t>
            </w:r>
            <w:r>
              <w:rPr>
                <w:sz w:val="24"/>
              </w:rPr>
              <w:tab/>
            </w:r>
            <w:r>
              <w:rPr>
                <w:spacing w:val="-76"/>
                <w:sz w:val="24"/>
              </w:rPr>
              <w:t> </w:t>
            </w:r>
            <w:r>
              <w:rPr>
                <w:spacing w:val="-6"/>
                <w:sz w:val="24"/>
              </w:rPr>
              <w:t>of </w:t>
            </w:r>
            <w:r>
              <w:rPr>
                <w:spacing w:val="-2"/>
                <w:sz w:val="24"/>
              </w:rPr>
              <w:t>Rehab component</w:t>
            </w:r>
          </w:p>
        </w:tc>
        <w:tc>
          <w:tcPr>
            <w:tcW w:w="5490" w:type="dxa"/>
            <w:gridSpan w:val="3"/>
            <w:shd w:val="clear" w:color="auto" w:fill="EDEBE0"/>
          </w:tcPr>
          <w:p>
            <w:pPr>
              <w:pStyle w:val="TableParagraph"/>
              <w:spacing w:before="37"/>
              <w:ind w:left="1414"/>
              <w:rPr>
                <w:sz w:val="24"/>
              </w:rPr>
            </w:pPr>
            <w:r>
              <w:rPr>
                <w:sz w:val="24"/>
              </w:rPr>
              <w:t>With</w:t>
            </w:r>
            <w:r>
              <w:rPr>
                <w:spacing w:val="-5"/>
                <w:sz w:val="24"/>
              </w:rPr>
              <w:t> </w:t>
            </w:r>
            <w:r>
              <w:rPr>
                <w:spacing w:val="-4"/>
                <w:sz w:val="24"/>
              </w:rPr>
              <w:t>Cost</w:t>
            </w:r>
          </w:p>
          <w:p>
            <w:pPr>
              <w:pStyle w:val="TableParagraph"/>
              <w:spacing w:before="42"/>
              <w:ind w:left="108"/>
              <w:rPr>
                <w:sz w:val="24"/>
              </w:rPr>
            </w:pPr>
            <w:r>
              <w:rPr>
                <w:sz w:val="24"/>
              </w:rPr>
              <w:t>But not as part of incentive sale </w:t>
            </w:r>
            <w:r>
              <w:rPr>
                <w:spacing w:val="-4"/>
                <w:sz w:val="24"/>
              </w:rPr>
              <w:t>area</w:t>
            </w:r>
          </w:p>
        </w:tc>
      </w:tr>
      <w:tr>
        <w:trPr>
          <w:trHeight w:val="794" w:hRule="atLeast"/>
        </w:trPr>
        <w:tc>
          <w:tcPr>
            <w:tcW w:w="1639" w:type="dxa"/>
            <w:vMerge/>
            <w:tcBorders>
              <w:top w:val="nil"/>
            </w:tcBorders>
            <w:shd w:val="clear" w:color="auto" w:fill="EDEBE0"/>
          </w:tcPr>
          <w:p>
            <w:pPr>
              <w:rPr>
                <w:sz w:val="2"/>
                <w:szCs w:val="2"/>
              </w:rPr>
            </w:pPr>
          </w:p>
        </w:tc>
        <w:tc>
          <w:tcPr>
            <w:tcW w:w="1529" w:type="dxa"/>
            <w:vMerge/>
            <w:tcBorders>
              <w:top w:val="nil"/>
            </w:tcBorders>
            <w:shd w:val="clear" w:color="auto" w:fill="EDEBE0"/>
          </w:tcPr>
          <w:p>
            <w:pPr>
              <w:rPr>
                <w:sz w:val="2"/>
                <w:szCs w:val="2"/>
              </w:rPr>
            </w:pPr>
          </w:p>
        </w:tc>
        <w:tc>
          <w:tcPr>
            <w:tcW w:w="1711" w:type="dxa"/>
            <w:shd w:val="clear" w:color="auto" w:fill="EDEBE0"/>
          </w:tcPr>
          <w:p>
            <w:pPr>
              <w:pStyle w:val="TableParagraph"/>
              <w:spacing w:line="276" w:lineRule="auto" w:before="37"/>
              <w:ind w:left="108"/>
              <w:rPr>
                <w:sz w:val="24"/>
              </w:rPr>
            </w:pPr>
            <w:r>
              <w:rPr>
                <w:sz w:val="24"/>
              </w:rPr>
              <w:t>With 10% </w:t>
            </w:r>
            <w:r>
              <w:rPr>
                <w:spacing w:val="-2"/>
                <w:sz w:val="24"/>
              </w:rPr>
              <w:t>Reduction</w:t>
            </w:r>
          </w:p>
        </w:tc>
        <w:tc>
          <w:tcPr>
            <w:tcW w:w="1708" w:type="dxa"/>
            <w:shd w:val="clear" w:color="auto" w:fill="EDEBE0"/>
          </w:tcPr>
          <w:p>
            <w:pPr>
              <w:pStyle w:val="TableParagraph"/>
              <w:spacing w:line="276" w:lineRule="auto" w:before="37"/>
              <w:ind w:left="106"/>
              <w:rPr>
                <w:sz w:val="24"/>
              </w:rPr>
            </w:pPr>
            <w:r>
              <w:rPr>
                <w:sz w:val="24"/>
              </w:rPr>
              <w:t>With 20% </w:t>
            </w:r>
            <w:r>
              <w:rPr>
                <w:spacing w:val="-2"/>
                <w:sz w:val="24"/>
              </w:rPr>
              <w:t>Reduction</w:t>
            </w:r>
          </w:p>
        </w:tc>
        <w:tc>
          <w:tcPr>
            <w:tcW w:w="2071" w:type="dxa"/>
            <w:shd w:val="clear" w:color="auto" w:fill="EDEBE0"/>
          </w:tcPr>
          <w:p>
            <w:pPr>
              <w:pStyle w:val="TableParagraph"/>
              <w:spacing w:line="276" w:lineRule="auto" w:before="37"/>
              <w:ind w:left="109"/>
              <w:rPr>
                <w:sz w:val="24"/>
              </w:rPr>
            </w:pPr>
            <w:r>
              <w:rPr>
                <w:sz w:val="24"/>
              </w:rPr>
              <w:t>With</w:t>
            </w:r>
            <w:r>
              <w:rPr>
                <w:spacing w:val="-20"/>
                <w:sz w:val="24"/>
              </w:rPr>
              <w:t> </w:t>
            </w:r>
            <w:r>
              <w:rPr>
                <w:sz w:val="24"/>
              </w:rPr>
              <w:t>30% </w:t>
            </w:r>
            <w:r>
              <w:rPr>
                <w:spacing w:val="-2"/>
                <w:sz w:val="24"/>
              </w:rPr>
              <w:t>reduction</w:t>
            </w:r>
          </w:p>
        </w:tc>
      </w:tr>
      <w:tr>
        <w:trPr>
          <w:trHeight w:val="361" w:hRule="atLeast"/>
        </w:trPr>
        <w:tc>
          <w:tcPr>
            <w:tcW w:w="1639" w:type="dxa"/>
          </w:tcPr>
          <w:p>
            <w:pPr>
              <w:pStyle w:val="TableParagraph"/>
              <w:spacing w:before="40"/>
              <w:ind w:left="107"/>
              <w:rPr>
                <w:sz w:val="24"/>
              </w:rPr>
            </w:pPr>
            <w:r>
              <w:rPr>
                <w:sz w:val="24"/>
              </w:rPr>
              <w:t>225</w:t>
            </w:r>
            <w:r>
              <w:rPr>
                <w:spacing w:val="-4"/>
                <w:sz w:val="24"/>
              </w:rPr>
              <w:t> </w:t>
            </w:r>
            <w:r>
              <w:rPr>
                <w:sz w:val="24"/>
              </w:rPr>
              <w:t>to</w:t>
            </w:r>
            <w:r>
              <w:rPr>
                <w:spacing w:val="-1"/>
                <w:sz w:val="24"/>
              </w:rPr>
              <w:t> </w:t>
            </w:r>
            <w:r>
              <w:rPr>
                <w:spacing w:val="-5"/>
                <w:sz w:val="24"/>
              </w:rPr>
              <w:t>250</w:t>
            </w:r>
          </w:p>
        </w:tc>
        <w:tc>
          <w:tcPr>
            <w:tcW w:w="1529" w:type="dxa"/>
          </w:tcPr>
          <w:p>
            <w:pPr>
              <w:pStyle w:val="TableParagraph"/>
              <w:spacing w:before="40"/>
              <w:ind w:left="61"/>
              <w:jc w:val="center"/>
              <w:rPr>
                <w:sz w:val="24"/>
              </w:rPr>
            </w:pPr>
            <w:r>
              <w:rPr>
                <w:spacing w:val="-5"/>
                <w:sz w:val="24"/>
              </w:rPr>
              <w:t>225</w:t>
            </w:r>
          </w:p>
        </w:tc>
        <w:tc>
          <w:tcPr>
            <w:tcW w:w="1711" w:type="dxa"/>
          </w:tcPr>
          <w:p>
            <w:pPr>
              <w:pStyle w:val="TableParagraph"/>
              <w:spacing w:before="40"/>
              <w:ind w:left="261"/>
              <w:rPr>
                <w:sz w:val="24"/>
              </w:rPr>
            </w:pPr>
            <w:r>
              <w:rPr>
                <w:spacing w:val="-5"/>
                <w:sz w:val="24"/>
              </w:rPr>
              <w:t>Nil</w:t>
            </w:r>
          </w:p>
        </w:tc>
        <w:tc>
          <w:tcPr>
            <w:tcW w:w="1708" w:type="dxa"/>
          </w:tcPr>
          <w:p>
            <w:pPr>
              <w:pStyle w:val="TableParagraph"/>
              <w:spacing w:before="40"/>
              <w:ind w:left="567"/>
              <w:rPr>
                <w:sz w:val="24"/>
              </w:rPr>
            </w:pPr>
            <w:r>
              <w:rPr>
                <w:spacing w:val="-5"/>
                <w:sz w:val="24"/>
              </w:rPr>
              <w:t>Nil</w:t>
            </w:r>
          </w:p>
        </w:tc>
        <w:tc>
          <w:tcPr>
            <w:tcW w:w="2071" w:type="dxa"/>
          </w:tcPr>
          <w:p>
            <w:pPr>
              <w:pStyle w:val="TableParagraph"/>
              <w:spacing w:before="40"/>
              <w:ind w:left="571"/>
              <w:rPr>
                <w:sz w:val="24"/>
              </w:rPr>
            </w:pPr>
            <w:r>
              <w:rPr>
                <w:spacing w:val="-5"/>
                <w:sz w:val="24"/>
              </w:rPr>
              <w:t>Nil</w:t>
            </w:r>
          </w:p>
        </w:tc>
      </w:tr>
      <w:tr>
        <w:trPr>
          <w:trHeight w:val="362" w:hRule="atLeast"/>
        </w:trPr>
        <w:tc>
          <w:tcPr>
            <w:tcW w:w="1639" w:type="dxa"/>
          </w:tcPr>
          <w:p>
            <w:pPr>
              <w:pStyle w:val="TableParagraph"/>
              <w:spacing w:before="37"/>
              <w:ind w:left="107"/>
              <w:rPr>
                <w:sz w:val="24"/>
              </w:rPr>
            </w:pPr>
            <w:r>
              <w:rPr>
                <w:sz w:val="24"/>
              </w:rPr>
              <w:t>251</w:t>
            </w:r>
            <w:r>
              <w:rPr>
                <w:spacing w:val="-2"/>
                <w:sz w:val="24"/>
              </w:rPr>
              <w:t> </w:t>
            </w:r>
            <w:r>
              <w:rPr>
                <w:sz w:val="24"/>
              </w:rPr>
              <w:t>to</w:t>
            </w:r>
            <w:r>
              <w:rPr>
                <w:spacing w:val="-1"/>
                <w:sz w:val="24"/>
              </w:rPr>
              <w:t> </w:t>
            </w:r>
            <w:r>
              <w:rPr>
                <w:spacing w:val="-4"/>
                <w:sz w:val="24"/>
              </w:rPr>
              <w:t>1000</w:t>
            </w:r>
          </w:p>
        </w:tc>
        <w:tc>
          <w:tcPr>
            <w:tcW w:w="1529" w:type="dxa"/>
          </w:tcPr>
          <w:p>
            <w:pPr>
              <w:pStyle w:val="TableParagraph"/>
              <w:spacing w:before="37"/>
              <w:ind w:left="61"/>
              <w:jc w:val="center"/>
              <w:rPr>
                <w:sz w:val="24"/>
              </w:rPr>
            </w:pPr>
            <w:r>
              <w:rPr>
                <w:spacing w:val="-5"/>
                <w:sz w:val="24"/>
              </w:rPr>
              <w:t>225</w:t>
            </w:r>
          </w:p>
        </w:tc>
        <w:tc>
          <w:tcPr>
            <w:tcW w:w="1711" w:type="dxa"/>
          </w:tcPr>
          <w:p>
            <w:pPr>
              <w:pStyle w:val="TableParagraph"/>
              <w:spacing w:before="37"/>
              <w:ind w:left="108"/>
              <w:rPr>
                <w:sz w:val="24"/>
              </w:rPr>
            </w:pPr>
            <w:r>
              <w:rPr>
                <w:sz w:val="24"/>
              </w:rPr>
              <w:t>251</w:t>
            </w:r>
            <w:r>
              <w:rPr>
                <w:spacing w:val="-2"/>
                <w:sz w:val="24"/>
              </w:rPr>
              <w:t> </w:t>
            </w:r>
            <w:r>
              <w:rPr>
                <w:sz w:val="24"/>
              </w:rPr>
              <w:t>to</w:t>
            </w:r>
            <w:r>
              <w:rPr>
                <w:spacing w:val="-1"/>
                <w:sz w:val="24"/>
              </w:rPr>
              <w:t> </w:t>
            </w:r>
            <w:r>
              <w:rPr>
                <w:spacing w:val="-4"/>
                <w:sz w:val="24"/>
              </w:rPr>
              <w:t>1000</w:t>
            </w:r>
          </w:p>
        </w:tc>
        <w:tc>
          <w:tcPr>
            <w:tcW w:w="1708" w:type="dxa"/>
          </w:tcPr>
          <w:p>
            <w:pPr>
              <w:pStyle w:val="TableParagraph"/>
              <w:spacing w:before="37"/>
              <w:ind w:left="567"/>
              <w:rPr>
                <w:sz w:val="24"/>
              </w:rPr>
            </w:pPr>
            <w:r>
              <w:rPr>
                <w:spacing w:val="-5"/>
                <w:sz w:val="24"/>
              </w:rPr>
              <w:t>Nil</w:t>
            </w:r>
          </w:p>
        </w:tc>
        <w:tc>
          <w:tcPr>
            <w:tcW w:w="2071" w:type="dxa"/>
          </w:tcPr>
          <w:p>
            <w:pPr>
              <w:pStyle w:val="TableParagraph"/>
              <w:spacing w:before="37"/>
              <w:ind w:left="571"/>
              <w:rPr>
                <w:sz w:val="24"/>
              </w:rPr>
            </w:pPr>
            <w:r>
              <w:rPr>
                <w:spacing w:val="-5"/>
                <w:sz w:val="24"/>
              </w:rPr>
              <w:t>Nil</w:t>
            </w:r>
          </w:p>
        </w:tc>
      </w:tr>
      <w:tr>
        <w:trPr>
          <w:trHeight w:val="643" w:hRule="atLeast"/>
        </w:trPr>
        <w:tc>
          <w:tcPr>
            <w:tcW w:w="1639" w:type="dxa"/>
          </w:tcPr>
          <w:p>
            <w:pPr>
              <w:pStyle w:val="TableParagraph"/>
              <w:tabs>
                <w:tab w:pos="1302" w:val="left" w:leader="none"/>
              </w:tabs>
              <w:spacing w:line="281" w:lineRule="exact" w:before="40"/>
              <w:ind w:left="107"/>
              <w:rPr>
                <w:sz w:val="24"/>
              </w:rPr>
            </w:pPr>
            <w:r>
              <w:rPr>
                <w:spacing w:val="-4"/>
                <w:sz w:val="24"/>
              </w:rPr>
              <w:t>1001</w:t>
            </w:r>
            <w:r>
              <w:rPr>
                <w:sz w:val="24"/>
              </w:rPr>
              <w:tab/>
            </w:r>
            <w:r>
              <w:rPr>
                <w:spacing w:val="-5"/>
                <w:sz w:val="24"/>
              </w:rPr>
              <w:t>to</w:t>
            </w:r>
          </w:p>
          <w:p>
            <w:pPr>
              <w:pStyle w:val="TableParagraph"/>
              <w:spacing w:line="281" w:lineRule="exact"/>
              <w:ind w:left="107"/>
              <w:rPr>
                <w:sz w:val="24"/>
              </w:rPr>
            </w:pPr>
            <w:r>
              <w:rPr>
                <w:spacing w:val="-4"/>
                <w:sz w:val="24"/>
              </w:rPr>
              <w:t>1500</w:t>
            </w:r>
          </w:p>
        </w:tc>
        <w:tc>
          <w:tcPr>
            <w:tcW w:w="1529" w:type="dxa"/>
          </w:tcPr>
          <w:p>
            <w:pPr>
              <w:pStyle w:val="TableParagraph"/>
              <w:spacing w:before="37"/>
              <w:ind w:left="61"/>
              <w:jc w:val="center"/>
              <w:rPr>
                <w:sz w:val="24"/>
              </w:rPr>
            </w:pPr>
            <w:r>
              <w:rPr>
                <w:spacing w:val="-5"/>
                <w:sz w:val="24"/>
              </w:rPr>
              <w:t>225</w:t>
            </w:r>
          </w:p>
        </w:tc>
        <w:tc>
          <w:tcPr>
            <w:tcW w:w="1711" w:type="dxa"/>
          </w:tcPr>
          <w:p>
            <w:pPr>
              <w:pStyle w:val="TableParagraph"/>
              <w:spacing w:before="37"/>
              <w:ind w:left="108"/>
              <w:rPr>
                <w:sz w:val="24"/>
              </w:rPr>
            </w:pPr>
            <w:r>
              <w:rPr>
                <w:sz w:val="24"/>
              </w:rPr>
              <w:t>251</w:t>
            </w:r>
            <w:r>
              <w:rPr>
                <w:spacing w:val="-2"/>
                <w:sz w:val="24"/>
              </w:rPr>
              <w:t> </w:t>
            </w:r>
            <w:r>
              <w:rPr>
                <w:sz w:val="24"/>
              </w:rPr>
              <w:t>to</w:t>
            </w:r>
            <w:r>
              <w:rPr>
                <w:spacing w:val="-1"/>
                <w:sz w:val="24"/>
              </w:rPr>
              <w:t> </w:t>
            </w:r>
            <w:r>
              <w:rPr>
                <w:spacing w:val="-4"/>
                <w:sz w:val="24"/>
              </w:rPr>
              <w:t>1000</w:t>
            </w:r>
          </w:p>
        </w:tc>
        <w:tc>
          <w:tcPr>
            <w:tcW w:w="1708" w:type="dxa"/>
          </w:tcPr>
          <w:p>
            <w:pPr>
              <w:pStyle w:val="TableParagraph"/>
              <w:tabs>
                <w:tab w:pos="1373" w:val="left" w:leader="none"/>
              </w:tabs>
              <w:spacing w:line="281" w:lineRule="exact" w:before="40"/>
              <w:ind w:left="106"/>
              <w:rPr>
                <w:sz w:val="24"/>
              </w:rPr>
            </w:pPr>
            <w:r>
              <w:rPr>
                <w:spacing w:val="-4"/>
                <w:sz w:val="24"/>
              </w:rPr>
              <w:t>1001</w:t>
            </w:r>
            <w:r>
              <w:rPr>
                <w:sz w:val="24"/>
              </w:rPr>
              <w:tab/>
            </w:r>
            <w:r>
              <w:rPr>
                <w:spacing w:val="-5"/>
                <w:sz w:val="24"/>
              </w:rPr>
              <w:t>to</w:t>
            </w:r>
          </w:p>
          <w:p>
            <w:pPr>
              <w:pStyle w:val="TableParagraph"/>
              <w:spacing w:line="281" w:lineRule="exact"/>
              <w:ind w:left="106"/>
              <w:rPr>
                <w:sz w:val="24"/>
              </w:rPr>
            </w:pPr>
            <w:r>
              <w:rPr>
                <w:spacing w:val="-4"/>
                <w:sz w:val="24"/>
              </w:rPr>
              <w:t>1500</w:t>
            </w:r>
          </w:p>
        </w:tc>
        <w:tc>
          <w:tcPr>
            <w:tcW w:w="2071" w:type="dxa"/>
          </w:tcPr>
          <w:p>
            <w:pPr>
              <w:pStyle w:val="TableParagraph"/>
              <w:spacing w:before="37"/>
              <w:ind w:left="571"/>
              <w:rPr>
                <w:sz w:val="24"/>
              </w:rPr>
            </w:pPr>
            <w:r>
              <w:rPr>
                <w:spacing w:val="-5"/>
                <w:sz w:val="24"/>
              </w:rPr>
              <w:t>Nil</w:t>
            </w:r>
          </w:p>
        </w:tc>
      </w:tr>
      <w:tr>
        <w:trPr>
          <w:trHeight w:val="645" w:hRule="atLeast"/>
        </w:trPr>
        <w:tc>
          <w:tcPr>
            <w:tcW w:w="1639" w:type="dxa"/>
          </w:tcPr>
          <w:p>
            <w:pPr>
              <w:pStyle w:val="TableParagraph"/>
              <w:tabs>
                <w:tab w:pos="1081" w:val="left" w:leader="none"/>
              </w:tabs>
              <w:spacing w:before="42"/>
              <w:ind w:left="107" w:right="98" w:firstLine="76"/>
              <w:rPr>
                <w:sz w:val="24"/>
              </w:rPr>
            </w:pPr>
            <w:r>
              <w:rPr>
                <w:spacing w:val="-4"/>
                <w:sz w:val="24"/>
              </w:rPr>
              <w:t>1501</w:t>
            </w:r>
            <w:r>
              <w:rPr>
                <w:sz w:val="24"/>
              </w:rPr>
              <w:tab/>
            </w:r>
            <w:r>
              <w:rPr>
                <w:spacing w:val="-4"/>
                <w:sz w:val="24"/>
              </w:rPr>
              <w:t>and </w:t>
            </w:r>
            <w:r>
              <w:rPr>
                <w:spacing w:val="-2"/>
                <w:sz w:val="24"/>
              </w:rPr>
              <w:t>above</w:t>
            </w:r>
          </w:p>
        </w:tc>
        <w:tc>
          <w:tcPr>
            <w:tcW w:w="1529" w:type="dxa"/>
          </w:tcPr>
          <w:p>
            <w:pPr>
              <w:pStyle w:val="TableParagraph"/>
              <w:spacing w:before="40"/>
              <w:ind w:left="61"/>
              <w:jc w:val="center"/>
              <w:rPr>
                <w:sz w:val="24"/>
              </w:rPr>
            </w:pPr>
            <w:r>
              <w:rPr>
                <w:spacing w:val="-5"/>
                <w:sz w:val="24"/>
              </w:rPr>
              <w:t>225</w:t>
            </w:r>
          </w:p>
        </w:tc>
        <w:tc>
          <w:tcPr>
            <w:tcW w:w="1711" w:type="dxa"/>
          </w:tcPr>
          <w:p>
            <w:pPr>
              <w:pStyle w:val="TableParagraph"/>
              <w:spacing w:before="40"/>
              <w:ind w:left="108"/>
              <w:rPr>
                <w:sz w:val="24"/>
              </w:rPr>
            </w:pPr>
            <w:r>
              <w:rPr>
                <w:sz w:val="24"/>
              </w:rPr>
              <w:t>251</w:t>
            </w:r>
            <w:r>
              <w:rPr>
                <w:spacing w:val="-2"/>
                <w:sz w:val="24"/>
              </w:rPr>
              <w:t> </w:t>
            </w:r>
            <w:r>
              <w:rPr>
                <w:sz w:val="24"/>
              </w:rPr>
              <w:t>to</w:t>
            </w:r>
            <w:r>
              <w:rPr>
                <w:spacing w:val="-1"/>
                <w:sz w:val="24"/>
              </w:rPr>
              <w:t> </w:t>
            </w:r>
            <w:r>
              <w:rPr>
                <w:spacing w:val="-4"/>
                <w:sz w:val="24"/>
              </w:rPr>
              <w:t>1000</w:t>
            </w:r>
          </w:p>
        </w:tc>
        <w:tc>
          <w:tcPr>
            <w:tcW w:w="1708" w:type="dxa"/>
          </w:tcPr>
          <w:p>
            <w:pPr>
              <w:pStyle w:val="TableParagraph"/>
              <w:tabs>
                <w:tab w:pos="1373" w:val="left" w:leader="none"/>
              </w:tabs>
              <w:spacing w:line="281" w:lineRule="exact" w:before="42"/>
              <w:ind w:left="106"/>
              <w:rPr>
                <w:sz w:val="24"/>
              </w:rPr>
            </w:pPr>
            <w:r>
              <w:rPr>
                <w:spacing w:val="-4"/>
                <w:sz w:val="24"/>
              </w:rPr>
              <w:t>1001</w:t>
            </w:r>
            <w:r>
              <w:rPr>
                <w:sz w:val="24"/>
              </w:rPr>
              <w:tab/>
            </w:r>
            <w:r>
              <w:rPr>
                <w:spacing w:val="-5"/>
                <w:sz w:val="24"/>
              </w:rPr>
              <w:t>to</w:t>
            </w:r>
          </w:p>
          <w:p>
            <w:pPr>
              <w:pStyle w:val="TableParagraph"/>
              <w:spacing w:line="281" w:lineRule="exact"/>
              <w:ind w:left="106"/>
              <w:rPr>
                <w:sz w:val="24"/>
              </w:rPr>
            </w:pPr>
            <w:r>
              <w:rPr>
                <w:spacing w:val="-4"/>
                <w:sz w:val="24"/>
              </w:rPr>
              <w:t>1500</w:t>
            </w:r>
          </w:p>
        </w:tc>
        <w:tc>
          <w:tcPr>
            <w:tcW w:w="2071" w:type="dxa"/>
          </w:tcPr>
          <w:p>
            <w:pPr>
              <w:pStyle w:val="TableParagraph"/>
              <w:spacing w:before="40"/>
              <w:ind w:left="109"/>
              <w:rPr>
                <w:sz w:val="24"/>
              </w:rPr>
            </w:pPr>
            <w:r>
              <w:rPr>
                <w:sz w:val="24"/>
              </w:rPr>
              <w:t>1501</w:t>
            </w:r>
            <w:r>
              <w:rPr>
                <w:spacing w:val="-11"/>
                <w:sz w:val="24"/>
              </w:rPr>
              <w:t> </w:t>
            </w:r>
            <w:r>
              <w:rPr>
                <w:sz w:val="24"/>
              </w:rPr>
              <w:t>and</w:t>
            </w:r>
            <w:r>
              <w:rPr>
                <w:spacing w:val="-10"/>
                <w:sz w:val="24"/>
              </w:rPr>
              <w:t> </w:t>
            </w:r>
            <w:r>
              <w:rPr>
                <w:spacing w:val="-2"/>
                <w:sz w:val="24"/>
              </w:rPr>
              <w:t>above</w:t>
            </w:r>
          </w:p>
        </w:tc>
      </w:tr>
    </w:tbl>
    <w:p>
      <w:pPr>
        <w:pStyle w:val="BodyText"/>
        <w:spacing w:before="240"/>
        <w:jc w:val="left"/>
      </w:pPr>
    </w:p>
    <w:p>
      <w:pPr>
        <w:pStyle w:val="BodyText"/>
        <w:ind w:left="2062" w:right="769"/>
      </w:pPr>
      <w:r>
        <w:rPr/>
        <w:t>The rehab area in excess of 20.90 sq. m (225 sq. ft.) will be at construction</w:t>
      </w:r>
      <w:r>
        <w:rPr>
          <w:spacing w:val="-13"/>
        </w:rPr>
        <w:t> </w:t>
      </w:r>
      <w:r>
        <w:rPr/>
        <w:t>cost</w:t>
      </w:r>
      <w:r>
        <w:rPr>
          <w:spacing w:val="-13"/>
        </w:rPr>
        <w:t> </w:t>
      </w:r>
      <w:r>
        <w:rPr/>
        <w:t>to</w:t>
      </w:r>
      <w:r>
        <w:rPr>
          <w:spacing w:val="-13"/>
        </w:rPr>
        <w:t> </w:t>
      </w:r>
      <w:r>
        <w:rPr/>
        <w:t>be</w:t>
      </w:r>
      <w:r>
        <w:rPr>
          <w:spacing w:val="-13"/>
        </w:rPr>
        <w:t> </w:t>
      </w:r>
      <w:r>
        <w:rPr/>
        <w:t>determined</w:t>
      </w:r>
      <w:r>
        <w:rPr>
          <w:spacing w:val="-11"/>
        </w:rPr>
        <w:t> </w:t>
      </w:r>
      <w:r>
        <w:rPr/>
        <w:t>by</w:t>
      </w:r>
      <w:r>
        <w:rPr>
          <w:spacing w:val="-13"/>
        </w:rPr>
        <w:t> </w:t>
      </w:r>
      <w:r>
        <w:rPr/>
        <w:t>OSD,</w:t>
      </w:r>
      <w:r>
        <w:rPr>
          <w:spacing w:val="-13"/>
        </w:rPr>
        <w:t> </w:t>
      </w:r>
      <w:r>
        <w:rPr/>
        <w:t>DRP/SRA</w:t>
      </w:r>
      <w:r>
        <w:rPr>
          <w:spacing w:val="-13"/>
        </w:rPr>
        <w:t> </w:t>
      </w:r>
      <w:r>
        <w:rPr/>
        <w:t>and</w:t>
      </w:r>
      <w:r>
        <w:rPr>
          <w:spacing w:val="-13"/>
        </w:rPr>
        <w:t> </w:t>
      </w:r>
      <w:r>
        <w:rPr/>
        <w:t>the</w:t>
      </w:r>
      <w:r>
        <w:rPr>
          <w:spacing w:val="-13"/>
        </w:rPr>
        <w:t> </w:t>
      </w:r>
      <w:r>
        <w:rPr/>
        <w:t>said</w:t>
      </w:r>
      <w:r>
        <w:rPr>
          <w:spacing w:val="-13"/>
        </w:rPr>
        <w:t> </w:t>
      </w:r>
      <w:r>
        <w:rPr/>
        <w:t>cost to be paid by the hutment dweller to the developer.</w:t>
      </w:r>
    </w:p>
    <w:p>
      <w:pPr>
        <w:pStyle w:val="ListParagraph"/>
        <w:numPr>
          <w:ilvl w:val="1"/>
          <w:numId w:val="197"/>
        </w:numPr>
        <w:tabs>
          <w:tab w:pos="2779" w:val="left" w:leader="none"/>
        </w:tabs>
        <w:spacing w:line="240" w:lineRule="auto" w:before="239" w:after="0"/>
        <w:ind w:left="2779" w:right="0" w:hanging="717"/>
        <w:jc w:val="both"/>
        <w:rPr>
          <w:sz w:val="24"/>
        </w:rPr>
      </w:pPr>
      <w:r>
        <w:rPr>
          <w:sz w:val="24"/>
        </w:rPr>
        <w:t>Such</w:t>
      </w:r>
      <w:r>
        <w:rPr>
          <w:spacing w:val="-11"/>
          <w:sz w:val="24"/>
        </w:rPr>
        <w:t> </w:t>
      </w:r>
      <w:r>
        <w:rPr>
          <w:sz w:val="24"/>
        </w:rPr>
        <w:t>area</w:t>
      </w:r>
      <w:r>
        <w:rPr>
          <w:spacing w:val="-11"/>
          <w:sz w:val="24"/>
        </w:rPr>
        <w:t> </w:t>
      </w:r>
      <w:r>
        <w:rPr>
          <w:sz w:val="24"/>
        </w:rPr>
        <w:t>may</w:t>
      </w:r>
      <w:r>
        <w:rPr>
          <w:spacing w:val="-11"/>
          <w:sz w:val="24"/>
        </w:rPr>
        <w:t> </w:t>
      </w:r>
      <w:r>
        <w:rPr>
          <w:sz w:val="24"/>
        </w:rPr>
        <w:t>be</w:t>
      </w:r>
      <w:r>
        <w:rPr>
          <w:spacing w:val="-11"/>
          <w:sz w:val="24"/>
        </w:rPr>
        <w:t> </w:t>
      </w:r>
      <w:r>
        <w:rPr>
          <w:sz w:val="24"/>
        </w:rPr>
        <w:t>allowed</w:t>
      </w:r>
      <w:r>
        <w:rPr>
          <w:spacing w:val="-11"/>
          <w:sz w:val="24"/>
        </w:rPr>
        <w:t> </w:t>
      </w:r>
      <w:r>
        <w:rPr>
          <w:sz w:val="24"/>
        </w:rPr>
        <w:t>on</w:t>
      </w:r>
      <w:r>
        <w:rPr>
          <w:spacing w:val="-11"/>
          <w:sz w:val="24"/>
        </w:rPr>
        <w:t> </w:t>
      </w:r>
      <w:r>
        <w:rPr>
          <w:sz w:val="24"/>
        </w:rPr>
        <w:t>any</w:t>
      </w:r>
      <w:r>
        <w:rPr>
          <w:spacing w:val="-11"/>
          <w:sz w:val="24"/>
        </w:rPr>
        <w:t> </w:t>
      </w:r>
      <w:r>
        <w:rPr>
          <w:sz w:val="24"/>
        </w:rPr>
        <w:t>side</w:t>
      </w:r>
      <w:r>
        <w:rPr>
          <w:spacing w:val="-11"/>
          <w:sz w:val="24"/>
        </w:rPr>
        <w:t> </w:t>
      </w:r>
      <w:r>
        <w:rPr>
          <w:sz w:val="24"/>
        </w:rPr>
        <w:t>of</w:t>
      </w:r>
      <w:r>
        <w:rPr>
          <w:spacing w:val="-11"/>
          <w:sz w:val="24"/>
        </w:rPr>
        <w:t> </w:t>
      </w:r>
      <w:r>
        <w:rPr>
          <w:sz w:val="24"/>
        </w:rPr>
        <w:t>the</w:t>
      </w:r>
      <w:r>
        <w:rPr>
          <w:spacing w:val="-11"/>
          <w:sz w:val="24"/>
        </w:rPr>
        <w:t> </w:t>
      </w:r>
      <w:r>
        <w:rPr>
          <w:sz w:val="24"/>
        </w:rPr>
        <w:t>plot</w:t>
      </w:r>
      <w:r>
        <w:rPr>
          <w:spacing w:val="-11"/>
          <w:sz w:val="24"/>
        </w:rPr>
        <w:t> </w:t>
      </w:r>
      <w:r>
        <w:rPr>
          <w:sz w:val="24"/>
        </w:rPr>
        <w:t>abutting</w:t>
      </w:r>
      <w:r>
        <w:rPr>
          <w:spacing w:val="-11"/>
          <w:sz w:val="24"/>
        </w:rPr>
        <w:t> </w:t>
      </w:r>
      <w:r>
        <w:rPr>
          <w:sz w:val="24"/>
        </w:rPr>
        <w:t>at</w:t>
      </w:r>
      <w:r>
        <w:rPr>
          <w:spacing w:val="-9"/>
          <w:sz w:val="24"/>
        </w:rPr>
        <w:t> </w:t>
      </w:r>
      <w:r>
        <w:rPr>
          <w:spacing w:val="-2"/>
          <w:sz w:val="24"/>
        </w:rPr>
        <w:t>least</w:t>
      </w:r>
    </w:p>
    <w:p>
      <w:pPr>
        <w:pStyle w:val="BodyText"/>
        <w:spacing w:before="2"/>
        <w:ind w:left="2062" w:right="769"/>
      </w:pPr>
      <w:r>
        <w:rPr/>
        <w:t>6.0 m wide pathway and deriving access from at least 6.0 m wide pathway/open</w:t>
      </w:r>
      <w:r>
        <w:rPr>
          <w:spacing w:val="-18"/>
        </w:rPr>
        <w:t> </w:t>
      </w:r>
      <w:r>
        <w:rPr/>
        <w:t>space.</w:t>
      </w:r>
      <w:r>
        <w:rPr>
          <w:spacing w:val="40"/>
        </w:rPr>
        <w:t> </w:t>
      </w:r>
      <w:r>
        <w:rPr/>
        <w:t>Back-to-back</w:t>
      </w:r>
      <w:r>
        <w:rPr>
          <w:spacing w:val="-18"/>
        </w:rPr>
        <w:t> </w:t>
      </w:r>
      <w:r>
        <w:rPr/>
        <w:t>shopping</w:t>
      </w:r>
      <w:r>
        <w:rPr>
          <w:spacing w:val="-18"/>
        </w:rPr>
        <w:t> </w:t>
      </w:r>
      <w:r>
        <w:rPr/>
        <w:t>on</w:t>
      </w:r>
      <w:r>
        <w:rPr>
          <w:spacing w:val="-18"/>
        </w:rPr>
        <w:t> </w:t>
      </w:r>
      <w:r>
        <w:rPr/>
        <w:t>ground</w:t>
      </w:r>
      <w:r>
        <w:rPr>
          <w:spacing w:val="-18"/>
        </w:rPr>
        <w:t> </w:t>
      </w:r>
      <w:r>
        <w:rPr/>
        <w:t>floor</w:t>
      </w:r>
      <w:r>
        <w:rPr>
          <w:spacing w:val="-13"/>
        </w:rPr>
        <w:t> </w:t>
      </w:r>
      <w:r>
        <w:rPr/>
        <w:t>shall</w:t>
      </w:r>
      <w:r>
        <w:rPr>
          <w:spacing w:val="-18"/>
        </w:rPr>
        <w:t> </w:t>
      </w:r>
      <w:r>
        <w:rPr/>
        <w:t>also be allowed for the purpose of rehabilitation.</w:t>
      </w:r>
      <w:r>
        <w:rPr>
          <w:spacing w:val="40"/>
        </w:rPr>
        <w:t> </w:t>
      </w:r>
      <w:r>
        <w:rPr/>
        <w:t>After exhausting these provisions, it may be allowed on the first floor to the extent necessary.</w:t>
      </w:r>
    </w:p>
    <w:p>
      <w:pPr>
        <w:pStyle w:val="ListParagraph"/>
        <w:numPr>
          <w:ilvl w:val="1"/>
          <w:numId w:val="197"/>
        </w:numPr>
        <w:tabs>
          <w:tab w:pos="2779" w:val="left" w:leader="none"/>
        </w:tabs>
        <w:spacing w:line="240" w:lineRule="auto" w:before="239" w:after="0"/>
        <w:ind w:left="2062" w:right="768" w:firstLine="0"/>
        <w:jc w:val="both"/>
        <w:rPr>
          <w:sz w:val="24"/>
        </w:rPr>
      </w:pPr>
      <w:r>
        <w:rPr>
          <w:b/>
          <w:sz w:val="24"/>
        </w:rPr>
        <w:t>Non-Conforming Activities: </w:t>
      </w:r>
      <w:r>
        <w:rPr>
          <w:sz w:val="24"/>
        </w:rPr>
        <w:t>All activities which previously existed</w:t>
      </w:r>
      <w:r>
        <w:rPr>
          <w:spacing w:val="-20"/>
          <w:sz w:val="24"/>
        </w:rPr>
        <w:t> </w:t>
      </w:r>
      <w:r>
        <w:rPr>
          <w:sz w:val="24"/>
        </w:rPr>
        <w:t>shall</w:t>
      </w:r>
      <w:r>
        <w:rPr>
          <w:spacing w:val="-19"/>
          <w:sz w:val="24"/>
        </w:rPr>
        <w:t> </w:t>
      </w:r>
      <w:r>
        <w:rPr>
          <w:sz w:val="24"/>
        </w:rPr>
        <w:t>be</w:t>
      </w:r>
      <w:r>
        <w:rPr>
          <w:spacing w:val="-19"/>
          <w:sz w:val="24"/>
        </w:rPr>
        <w:t> </w:t>
      </w:r>
      <w:r>
        <w:rPr>
          <w:sz w:val="24"/>
        </w:rPr>
        <w:t>allowed</w:t>
      </w:r>
      <w:r>
        <w:rPr>
          <w:spacing w:val="-19"/>
          <w:sz w:val="24"/>
        </w:rPr>
        <w:t> </w:t>
      </w:r>
      <w:r>
        <w:rPr>
          <w:sz w:val="24"/>
        </w:rPr>
        <w:t>to</w:t>
      </w:r>
      <w:r>
        <w:rPr>
          <w:spacing w:val="-19"/>
          <w:sz w:val="24"/>
        </w:rPr>
        <w:t> </w:t>
      </w:r>
      <w:r>
        <w:rPr>
          <w:sz w:val="24"/>
        </w:rPr>
        <w:t>be</w:t>
      </w:r>
      <w:r>
        <w:rPr>
          <w:spacing w:val="-20"/>
          <w:sz w:val="24"/>
        </w:rPr>
        <w:t> </w:t>
      </w:r>
      <w:r>
        <w:rPr>
          <w:sz w:val="24"/>
        </w:rPr>
        <w:t>relocated</w:t>
      </w:r>
      <w:r>
        <w:rPr>
          <w:spacing w:val="-19"/>
          <w:sz w:val="24"/>
        </w:rPr>
        <w:t> </w:t>
      </w:r>
      <w:r>
        <w:rPr>
          <w:sz w:val="24"/>
        </w:rPr>
        <w:t>regardless</w:t>
      </w:r>
      <w:r>
        <w:rPr>
          <w:spacing w:val="-19"/>
          <w:sz w:val="24"/>
        </w:rPr>
        <w:t> </w:t>
      </w:r>
      <w:r>
        <w:rPr>
          <w:sz w:val="24"/>
        </w:rPr>
        <w:t>of</w:t>
      </w:r>
      <w:r>
        <w:rPr>
          <w:spacing w:val="-19"/>
          <w:sz w:val="24"/>
        </w:rPr>
        <w:t> </w:t>
      </w:r>
      <w:r>
        <w:rPr>
          <w:sz w:val="24"/>
        </w:rPr>
        <w:t>the</w:t>
      </w:r>
      <w:r>
        <w:rPr>
          <w:spacing w:val="-19"/>
          <w:sz w:val="24"/>
        </w:rPr>
        <w:t> </w:t>
      </w:r>
      <w:r>
        <w:rPr>
          <w:sz w:val="24"/>
        </w:rPr>
        <w:t>non-conforming nature of the activities, except those which are hazardous and highly polluting</w:t>
      </w:r>
      <w:r>
        <w:rPr>
          <w:spacing w:val="-9"/>
          <w:sz w:val="24"/>
        </w:rPr>
        <w:t> </w:t>
      </w:r>
      <w:r>
        <w:rPr>
          <w:sz w:val="24"/>
        </w:rPr>
        <w:t>and</w:t>
      </w:r>
      <w:r>
        <w:rPr>
          <w:spacing w:val="-9"/>
          <w:sz w:val="24"/>
        </w:rPr>
        <w:t> </w:t>
      </w:r>
      <w:r>
        <w:rPr>
          <w:sz w:val="24"/>
        </w:rPr>
        <w:t>except</w:t>
      </w:r>
      <w:r>
        <w:rPr>
          <w:spacing w:val="-7"/>
          <w:sz w:val="24"/>
        </w:rPr>
        <w:t> </w:t>
      </w:r>
      <w:r>
        <w:rPr>
          <w:sz w:val="24"/>
        </w:rPr>
        <w:t>in</w:t>
      </w:r>
      <w:r>
        <w:rPr>
          <w:spacing w:val="-9"/>
          <w:sz w:val="24"/>
        </w:rPr>
        <w:t> </w:t>
      </w:r>
      <w:r>
        <w:rPr>
          <w:sz w:val="24"/>
        </w:rPr>
        <w:t>cases</w:t>
      </w:r>
      <w:r>
        <w:rPr>
          <w:spacing w:val="-9"/>
          <w:sz w:val="24"/>
        </w:rPr>
        <w:t> </w:t>
      </w:r>
      <w:r>
        <w:rPr>
          <w:sz w:val="24"/>
        </w:rPr>
        <w:t>where</w:t>
      </w:r>
      <w:r>
        <w:rPr>
          <w:spacing w:val="-9"/>
          <w:sz w:val="24"/>
        </w:rPr>
        <w:t> </w:t>
      </w:r>
      <w:r>
        <w:rPr>
          <w:sz w:val="24"/>
        </w:rPr>
        <w:t>the</w:t>
      </w:r>
      <w:r>
        <w:rPr>
          <w:spacing w:val="-9"/>
          <w:sz w:val="24"/>
        </w:rPr>
        <w:t> </w:t>
      </w:r>
      <w:r>
        <w:rPr>
          <w:sz w:val="24"/>
        </w:rPr>
        <w:t>alternative</w:t>
      </w:r>
      <w:r>
        <w:rPr>
          <w:spacing w:val="-9"/>
          <w:sz w:val="24"/>
        </w:rPr>
        <w:t> </w:t>
      </w:r>
      <w:r>
        <w:rPr>
          <w:sz w:val="24"/>
        </w:rPr>
        <w:t>accommodation</w:t>
      </w:r>
      <w:r>
        <w:rPr>
          <w:spacing w:val="-9"/>
          <w:sz w:val="24"/>
        </w:rPr>
        <w:t> </w:t>
      </w:r>
      <w:r>
        <w:rPr>
          <w:sz w:val="24"/>
        </w:rPr>
        <w:t>has already been allotted elsewhere by the MCGM.</w:t>
      </w:r>
    </w:p>
    <w:p>
      <w:pPr>
        <w:pStyle w:val="ListParagraph"/>
        <w:spacing w:after="0" w:line="240" w:lineRule="auto"/>
        <w:jc w:val="both"/>
        <w:rPr>
          <w:sz w:val="24"/>
        </w:rPr>
        <w:sectPr>
          <w:pgSz w:w="11910" w:h="16840"/>
          <w:pgMar w:header="1065" w:footer="1194" w:top="1500" w:bottom="1380" w:left="360" w:right="360"/>
        </w:sectPr>
      </w:pPr>
    </w:p>
    <w:p>
      <w:pPr>
        <w:pStyle w:val="Heading5"/>
        <w:numPr>
          <w:ilvl w:val="1"/>
          <w:numId w:val="197"/>
        </w:numPr>
        <w:tabs>
          <w:tab w:pos="2779" w:val="left" w:leader="none"/>
        </w:tabs>
        <w:spacing w:line="240" w:lineRule="auto" w:before="249" w:after="0"/>
        <w:ind w:left="2779" w:right="0" w:hanging="717"/>
        <w:jc w:val="both"/>
      </w:pPr>
      <w:r>
        <w:rPr/>
        <w:t>Non-Residential</w:t>
      </w:r>
      <w:r>
        <w:rPr>
          <w:spacing w:val="-4"/>
        </w:rPr>
        <w:t> </w:t>
      </w:r>
      <w:r>
        <w:rPr/>
        <w:t>User</w:t>
      </w:r>
      <w:r>
        <w:rPr>
          <w:spacing w:val="-2"/>
        </w:rPr>
        <w:t> </w:t>
      </w:r>
      <w:r>
        <w:rPr/>
        <w:t>in</w:t>
      </w:r>
      <w:r>
        <w:rPr>
          <w:spacing w:val="-2"/>
        </w:rPr>
        <w:t> </w:t>
      </w:r>
      <w:r>
        <w:rPr/>
        <w:t>Free</w:t>
      </w:r>
      <w:r>
        <w:rPr>
          <w:spacing w:val="-2"/>
        </w:rPr>
        <w:t> </w:t>
      </w:r>
      <w:r>
        <w:rPr/>
        <w:t>Sale</w:t>
      </w:r>
      <w:r>
        <w:rPr>
          <w:spacing w:val="-1"/>
        </w:rPr>
        <w:t> </w:t>
      </w:r>
      <w:r>
        <w:rPr>
          <w:spacing w:val="-2"/>
        </w:rPr>
        <w:t>Component:</w:t>
      </w:r>
    </w:p>
    <w:p>
      <w:pPr>
        <w:pStyle w:val="BodyText"/>
        <w:spacing w:before="1"/>
        <w:ind w:left="2062" w:right="838" w:firstLine="2880"/>
        <w:jc w:val="left"/>
      </w:pPr>
      <w:r>
        <w:rPr/>
        <w:t>Non-Residential User as permissible in R and C zones as per DCR 34 shall be allowed in Free Sale Components.</w:t>
      </w:r>
    </w:p>
    <w:p>
      <w:pPr>
        <w:pStyle w:val="Heading6"/>
        <w:numPr>
          <w:ilvl w:val="0"/>
          <w:numId w:val="195"/>
        </w:numPr>
        <w:tabs>
          <w:tab w:pos="2781" w:val="left" w:leader="none"/>
        </w:tabs>
        <w:spacing w:line="240" w:lineRule="auto" w:before="239" w:after="0"/>
        <w:ind w:left="2781" w:right="0" w:hanging="719"/>
        <w:jc w:val="both"/>
        <w:rPr>
          <w:i w:val="0"/>
        </w:rPr>
      </w:pPr>
      <w:r>
        <w:rPr/>
        <w:t>RELAXATION</w:t>
      </w:r>
      <w:r>
        <w:rPr>
          <w:spacing w:val="-2"/>
        </w:rPr>
        <w:t> </w:t>
      </w:r>
      <w:r>
        <w:rPr/>
        <w:t>IN BUILDING AND OTHER </w:t>
      </w:r>
      <w:r>
        <w:rPr>
          <w:spacing w:val="-2"/>
        </w:rPr>
        <w:t>REQUIREMENTS:</w:t>
      </w:r>
    </w:p>
    <w:p>
      <w:pPr>
        <w:pStyle w:val="ListParagraph"/>
        <w:numPr>
          <w:ilvl w:val="1"/>
          <w:numId w:val="195"/>
        </w:numPr>
        <w:tabs>
          <w:tab w:pos="2779" w:val="left" w:leader="none"/>
        </w:tabs>
        <w:spacing w:line="240" w:lineRule="auto" w:before="241" w:after="0"/>
        <w:ind w:left="2062" w:right="768" w:firstLine="0"/>
        <w:jc w:val="both"/>
        <w:rPr>
          <w:sz w:val="24"/>
        </w:rPr>
      </w:pPr>
      <w:r>
        <w:rPr>
          <w:sz w:val="24"/>
        </w:rPr>
        <w:t>A Residential rehab/renewal tenement shall essentially have a separate living room, kitchen, bedroom, water closet unit, </w:t>
      </w:r>
      <w:r>
        <w:rPr>
          <w:sz w:val="24"/>
        </w:rPr>
        <w:t>bathroom along with enclosed balcony merged in carpet area of the tenement</w:t>
      </w:r>
    </w:p>
    <w:p>
      <w:pPr>
        <w:pStyle w:val="ListParagraph"/>
        <w:numPr>
          <w:ilvl w:val="1"/>
          <w:numId w:val="195"/>
        </w:numPr>
        <w:tabs>
          <w:tab w:pos="2659" w:val="left" w:leader="none"/>
        </w:tabs>
        <w:spacing w:line="240" w:lineRule="auto" w:before="240" w:after="0"/>
        <w:ind w:left="2062" w:right="769" w:firstLine="0"/>
        <w:jc w:val="both"/>
        <w:rPr>
          <w:sz w:val="24"/>
        </w:rPr>
      </w:pPr>
      <w:r>
        <w:rPr>
          <w:sz w:val="24"/>
        </w:rPr>
        <w:t>There</w:t>
      </w:r>
      <w:r>
        <w:rPr>
          <w:spacing w:val="-4"/>
          <w:sz w:val="24"/>
        </w:rPr>
        <w:t> </w:t>
      </w:r>
      <w:r>
        <w:rPr>
          <w:sz w:val="24"/>
        </w:rPr>
        <w:t>shall</w:t>
      </w:r>
      <w:r>
        <w:rPr>
          <w:spacing w:val="-6"/>
          <w:sz w:val="24"/>
        </w:rPr>
        <w:t> </w:t>
      </w:r>
      <w:r>
        <w:rPr>
          <w:sz w:val="24"/>
        </w:rPr>
        <w:t>be</w:t>
      </w:r>
      <w:r>
        <w:rPr>
          <w:spacing w:val="-1"/>
          <w:sz w:val="24"/>
        </w:rPr>
        <w:t> </w:t>
      </w:r>
      <w:r>
        <w:rPr>
          <w:sz w:val="24"/>
        </w:rPr>
        <w:t>no</w:t>
      </w:r>
      <w:r>
        <w:rPr>
          <w:spacing w:val="-6"/>
          <w:sz w:val="24"/>
        </w:rPr>
        <w:t> </w:t>
      </w:r>
      <w:r>
        <w:rPr>
          <w:sz w:val="24"/>
        </w:rPr>
        <w:t>restriction</w:t>
      </w:r>
      <w:r>
        <w:rPr>
          <w:spacing w:val="-6"/>
          <w:sz w:val="24"/>
        </w:rPr>
        <w:t> </w:t>
      </w:r>
      <w:r>
        <w:rPr>
          <w:sz w:val="24"/>
        </w:rPr>
        <w:t>on</w:t>
      </w:r>
      <w:r>
        <w:rPr>
          <w:spacing w:val="-6"/>
          <w:sz w:val="24"/>
        </w:rPr>
        <w:t> </w:t>
      </w:r>
      <w:r>
        <w:rPr>
          <w:sz w:val="24"/>
        </w:rPr>
        <w:t>zone</w:t>
      </w:r>
      <w:r>
        <w:rPr>
          <w:spacing w:val="-6"/>
          <w:sz w:val="24"/>
        </w:rPr>
        <w:t> </w:t>
      </w:r>
      <w:r>
        <w:rPr>
          <w:sz w:val="24"/>
        </w:rPr>
        <w:t>and</w:t>
      </w:r>
      <w:r>
        <w:rPr>
          <w:spacing w:val="-6"/>
          <w:sz w:val="24"/>
        </w:rPr>
        <w:t> </w:t>
      </w:r>
      <w:r>
        <w:rPr>
          <w:sz w:val="24"/>
        </w:rPr>
        <w:t>balcony</w:t>
      </w:r>
      <w:r>
        <w:rPr>
          <w:spacing w:val="-6"/>
          <w:sz w:val="24"/>
        </w:rPr>
        <w:t> </w:t>
      </w:r>
      <w:r>
        <w:rPr>
          <w:sz w:val="24"/>
        </w:rPr>
        <w:t>shall</w:t>
      </w:r>
      <w:r>
        <w:rPr>
          <w:spacing w:val="-1"/>
          <w:sz w:val="24"/>
        </w:rPr>
        <w:t> </w:t>
      </w:r>
      <w:r>
        <w:rPr>
          <w:sz w:val="24"/>
        </w:rPr>
        <w:t>not</w:t>
      </w:r>
      <w:r>
        <w:rPr>
          <w:spacing w:val="-6"/>
          <w:sz w:val="24"/>
        </w:rPr>
        <w:t> </w:t>
      </w:r>
      <w:r>
        <w:rPr>
          <w:sz w:val="24"/>
        </w:rPr>
        <w:t>reduce marginal open space to less than 2.0 m for calculating of area of 27.88 sq.</w:t>
      </w:r>
      <w:r>
        <w:rPr>
          <w:spacing w:val="-1"/>
          <w:sz w:val="24"/>
        </w:rPr>
        <w:t> </w:t>
      </w:r>
      <w:r>
        <w:rPr>
          <w:sz w:val="24"/>
        </w:rPr>
        <w:t>m</w:t>
      </w:r>
      <w:r>
        <w:rPr>
          <w:spacing w:val="-1"/>
          <w:sz w:val="24"/>
        </w:rPr>
        <w:t> </w:t>
      </w:r>
      <w:r>
        <w:rPr>
          <w:sz w:val="24"/>
        </w:rPr>
        <w:t>and</w:t>
      </w:r>
      <w:r>
        <w:rPr>
          <w:spacing w:val="-1"/>
          <w:sz w:val="24"/>
        </w:rPr>
        <w:t> </w:t>
      </w:r>
      <w:r>
        <w:rPr>
          <w:sz w:val="24"/>
        </w:rPr>
        <w:t>37.16</w:t>
      </w:r>
      <w:r>
        <w:rPr>
          <w:spacing w:val="-1"/>
          <w:sz w:val="24"/>
        </w:rPr>
        <w:t> </w:t>
      </w:r>
      <w:r>
        <w:rPr>
          <w:sz w:val="24"/>
        </w:rPr>
        <w:t>sq.</w:t>
      </w:r>
      <w:r>
        <w:rPr>
          <w:spacing w:val="-3"/>
          <w:sz w:val="24"/>
        </w:rPr>
        <w:t> </w:t>
      </w:r>
      <w:r>
        <w:rPr>
          <w:sz w:val="24"/>
        </w:rPr>
        <w:t>m</w:t>
      </w:r>
      <w:r>
        <w:rPr>
          <w:spacing w:val="-1"/>
          <w:sz w:val="24"/>
        </w:rPr>
        <w:t> </w:t>
      </w:r>
      <w:r>
        <w:rPr>
          <w:sz w:val="24"/>
        </w:rPr>
        <w:t>size</w:t>
      </w:r>
      <w:r>
        <w:rPr>
          <w:spacing w:val="-1"/>
          <w:sz w:val="24"/>
        </w:rPr>
        <w:t> </w:t>
      </w:r>
      <w:r>
        <w:rPr>
          <w:sz w:val="24"/>
        </w:rPr>
        <w:t>of</w:t>
      </w:r>
      <w:r>
        <w:rPr>
          <w:spacing w:val="-1"/>
          <w:sz w:val="24"/>
        </w:rPr>
        <w:t> </w:t>
      </w:r>
      <w:r>
        <w:rPr>
          <w:sz w:val="24"/>
        </w:rPr>
        <w:t>rehab</w:t>
      </w:r>
      <w:r>
        <w:rPr>
          <w:spacing w:val="-1"/>
          <w:sz w:val="24"/>
        </w:rPr>
        <w:t> </w:t>
      </w:r>
      <w:r>
        <w:rPr>
          <w:sz w:val="24"/>
        </w:rPr>
        <w:t>tenements,</w:t>
      </w:r>
      <w:r>
        <w:rPr>
          <w:spacing w:val="-1"/>
          <w:sz w:val="24"/>
        </w:rPr>
        <w:t> </w:t>
      </w:r>
      <w:r>
        <w:rPr>
          <w:sz w:val="24"/>
        </w:rPr>
        <w:t>the</w:t>
      </w:r>
      <w:r>
        <w:rPr>
          <w:spacing w:val="-1"/>
          <w:sz w:val="24"/>
        </w:rPr>
        <w:t> </w:t>
      </w:r>
      <w:r>
        <w:rPr>
          <w:sz w:val="24"/>
        </w:rPr>
        <w:t>area</w:t>
      </w:r>
      <w:r>
        <w:rPr>
          <w:spacing w:val="-1"/>
          <w:sz w:val="24"/>
        </w:rPr>
        <w:t> </w:t>
      </w:r>
      <w:r>
        <w:rPr>
          <w:sz w:val="24"/>
        </w:rPr>
        <w:t>of</w:t>
      </w:r>
      <w:r>
        <w:rPr>
          <w:spacing w:val="-1"/>
          <w:sz w:val="24"/>
        </w:rPr>
        <w:t> </w:t>
      </w:r>
      <w:r>
        <w:rPr>
          <w:sz w:val="24"/>
        </w:rPr>
        <w:t>the</w:t>
      </w:r>
      <w:r>
        <w:rPr>
          <w:spacing w:val="-1"/>
          <w:sz w:val="24"/>
        </w:rPr>
        <w:t> </w:t>
      </w:r>
      <w:r>
        <w:rPr>
          <w:sz w:val="24"/>
        </w:rPr>
        <w:t>balcony shall be included.</w:t>
      </w:r>
    </w:p>
    <w:p>
      <w:pPr>
        <w:pStyle w:val="ListParagraph"/>
        <w:numPr>
          <w:ilvl w:val="1"/>
          <w:numId w:val="195"/>
        </w:numPr>
        <w:tabs>
          <w:tab w:pos="2779" w:val="left" w:leader="none"/>
        </w:tabs>
        <w:spacing w:line="240" w:lineRule="auto" w:before="242" w:after="0"/>
        <w:ind w:left="2062" w:right="766" w:firstLine="0"/>
        <w:jc w:val="both"/>
        <w:rPr>
          <w:sz w:val="24"/>
        </w:rPr>
      </w:pPr>
      <w:r>
        <w:rPr>
          <w:sz w:val="24"/>
        </w:rPr>
        <w:t>Notwithstanding anything contained in these Regulations, common passages to be provided in the Rehab Component to give accesses to Residential tenements and Commercial/Industrial units shall not be less than 2.0 m in width. If podium is proposed, the corridors formed under the podium up to 12.00 m in width to be used as passage for Rehab &amp; Renewal Commercial/Industrial units &amp; Amenities,</w:t>
      </w:r>
      <w:r>
        <w:rPr>
          <w:spacing w:val="-11"/>
          <w:sz w:val="24"/>
        </w:rPr>
        <w:t> </w:t>
      </w:r>
      <w:r>
        <w:rPr>
          <w:sz w:val="24"/>
        </w:rPr>
        <w:t>shall</w:t>
      </w:r>
      <w:r>
        <w:rPr>
          <w:spacing w:val="-11"/>
          <w:sz w:val="24"/>
        </w:rPr>
        <w:t> </w:t>
      </w:r>
      <w:r>
        <w:rPr>
          <w:sz w:val="24"/>
        </w:rPr>
        <w:t>not</w:t>
      </w:r>
      <w:r>
        <w:rPr>
          <w:spacing w:val="-8"/>
          <w:sz w:val="24"/>
        </w:rPr>
        <w:t> </w:t>
      </w:r>
      <w:r>
        <w:rPr>
          <w:sz w:val="24"/>
        </w:rPr>
        <w:t>be</w:t>
      </w:r>
      <w:r>
        <w:rPr>
          <w:spacing w:val="-11"/>
          <w:sz w:val="24"/>
        </w:rPr>
        <w:t> </w:t>
      </w:r>
      <w:r>
        <w:rPr>
          <w:sz w:val="24"/>
        </w:rPr>
        <w:t>counted</w:t>
      </w:r>
      <w:r>
        <w:rPr>
          <w:spacing w:val="-11"/>
          <w:sz w:val="24"/>
        </w:rPr>
        <w:t> </w:t>
      </w:r>
      <w:r>
        <w:rPr>
          <w:sz w:val="24"/>
        </w:rPr>
        <w:t>towards</w:t>
      </w:r>
      <w:r>
        <w:rPr>
          <w:spacing w:val="-8"/>
          <w:sz w:val="24"/>
        </w:rPr>
        <w:t> </w:t>
      </w:r>
      <w:r>
        <w:rPr>
          <w:sz w:val="24"/>
        </w:rPr>
        <w:t>FSI</w:t>
      </w:r>
      <w:r>
        <w:rPr>
          <w:spacing w:val="-8"/>
          <w:sz w:val="24"/>
        </w:rPr>
        <w:t> </w:t>
      </w:r>
      <w:r>
        <w:rPr>
          <w:sz w:val="24"/>
        </w:rPr>
        <w:t>even</w:t>
      </w:r>
      <w:r>
        <w:rPr>
          <w:spacing w:val="-11"/>
          <w:sz w:val="24"/>
        </w:rPr>
        <w:t> </w:t>
      </w:r>
      <w:r>
        <w:rPr>
          <w:sz w:val="24"/>
        </w:rPr>
        <w:t>while</w:t>
      </w:r>
      <w:r>
        <w:rPr>
          <w:spacing w:val="-11"/>
          <w:sz w:val="24"/>
        </w:rPr>
        <w:t> </w:t>
      </w:r>
      <w:r>
        <w:rPr>
          <w:sz w:val="24"/>
        </w:rPr>
        <w:t>computing</w:t>
      </w:r>
      <w:r>
        <w:rPr>
          <w:spacing w:val="-11"/>
          <w:sz w:val="24"/>
        </w:rPr>
        <w:t> </w:t>
      </w:r>
      <w:r>
        <w:rPr>
          <w:sz w:val="24"/>
        </w:rPr>
        <w:t>4.00 FSI</w:t>
      </w:r>
      <w:r>
        <w:rPr>
          <w:spacing w:val="-12"/>
          <w:sz w:val="24"/>
        </w:rPr>
        <w:t> </w:t>
      </w:r>
      <w:r>
        <w:rPr>
          <w:sz w:val="24"/>
        </w:rPr>
        <w:t>on</w:t>
      </w:r>
      <w:r>
        <w:rPr>
          <w:spacing w:val="-16"/>
          <w:sz w:val="24"/>
        </w:rPr>
        <w:t> </w:t>
      </w:r>
      <w:r>
        <w:rPr>
          <w:sz w:val="24"/>
        </w:rPr>
        <w:t>site.</w:t>
      </w:r>
      <w:r>
        <w:rPr>
          <w:spacing w:val="-14"/>
          <w:sz w:val="24"/>
        </w:rPr>
        <w:t> </w:t>
      </w:r>
      <w:r>
        <w:rPr>
          <w:sz w:val="24"/>
        </w:rPr>
        <w:t>The</w:t>
      </w:r>
      <w:r>
        <w:rPr>
          <w:spacing w:val="-14"/>
          <w:sz w:val="24"/>
        </w:rPr>
        <w:t> </w:t>
      </w:r>
      <w:r>
        <w:rPr>
          <w:sz w:val="24"/>
        </w:rPr>
        <w:t>areas</w:t>
      </w:r>
      <w:r>
        <w:rPr>
          <w:spacing w:val="-14"/>
          <w:sz w:val="24"/>
        </w:rPr>
        <w:t> </w:t>
      </w:r>
      <w:r>
        <w:rPr>
          <w:sz w:val="24"/>
        </w:rPr>
        <w:t>under</w:t>
      </w:r>
      <w:r>
        <w:rPr>
          <w:spacing w:val="-14"/>
          <w:sz w:val="24"/>
        </w:rPr>
        <w:t> </w:t>
      </w:r>
      <w:r>
        <w:rPr>
          <w:sz w:val="24"/>
        </w:rPr>
        <w:t>such</w:t>
      </w:r>
      <w:r>
        <w:rPr>
          <w:spacing w:val="-14"/>
          <w:sz w:val="24"/>
        </w:rPr>
        <w:t> </w:t>
      </w:r>
      <w:r>
        <w:rPr>
          <w:sz w:val="24"/>
        </w:rPr>
        <w:t>common</w:t>
      </w:r>
      <w:r>
        <w:rPr>
          <w:spacing w:val="-14"/>
          <w:sz w:val="24"/>
        </w:rPr>
        <w:t> </w:t>
      </w:r>
      <w:r>
        <w:rPr>
          <w:sz w:val="24"/>
        </w:rPr>
        <w:t>passages</w:t>
      </w:r>
      <w:r>
        <w:rPr>
          <w:spacing w:val="-14"/>
          <w:sz w:val="24"/>
        </w:rPr>
        <w:t> </w:t>
      </w:r>
      <w:r>
        <w:rPr>
          <w:sz w:val="24"/>
        </w:rPr>
        <w:t>not</w:t>
      </w:r>
      <w:r>
        <w:rPr>
          <w:spacing w:val="-14"/>
          <w:sz w:val="24"/>
        </w:rPr>
        <w:t> </w:t>
      </w:r>
      <w:r>
        <w:rPr>
          <w:sz w:val="24"/>
        </w:rPr>
        <w:t>exceeding</w:t>
      </w:r>
      <w:r>
        <w:rPr>
          <w:spacing w:val="-14"/>
          <w:sz w:val="24"/>
        </w:rPr>
        <w:t> </w:t>
      </w:r>
      <w:r>
        <w:rPr>
          <w:sz w:val="24"/>
        </w:rPr>
        <w:t>2.00 m in width and up to 12.00 m width shall form part of Rehab Component and it is on this basis the free sale component will be </w:t>
      </w:r>
      <w:r>
        <w:rPr>
          <w:spacing w:val="-2"/>
          <w:sz w:val="24"/>
        </w:rPr>
        <w:t>calculated.</w:t>
      </w:r>
    </w:p>
    <w:p>
      <w:pPr>
        <w:pStyle w:val="ListParagraph"/>
        <w:numPr>
          <w:ilvl w:val="1"/>
          <w:numId w:val="195"/>
        </w:numPr>
        <w:tabs>
          <w:tab w:pos="2779" w:val="left" w:leader="none"/>
        </w:tabs>
        <w:spacing w:line="240" w:lineRule="auto" w:before="239" w:after="0"/>
        <w:ind w:left="2062" w:right="771" w:firstLine="0"/>
        <w:jc w:val="both"/>
        <w:rPr>
          <w:sz w:val="24"/>
        </w:rPr>
      </w:pPr>
      <w:r>
        <w:rPr>
          <w:sz w:val="24"/>
        </w:rPr>
        <w:t>Corridors</w:t>
      </w:r>
      <w:r>
        <w:rPr>
          <w:spacing w:val="-14"/>
          <w:sz w:val="24"/>
        </w:rPr>
        <w:t> </w:t>
      </w:r>
      <w:r>
        <w:rPr>
          <w:sz w:val="24"/>
        </w:rPr>
        <w:t>formed</w:t>
      </w:r>
      <w:r>
        <w:rPr>
          <w:spacing w:val="-14"/>
          <w:sz w:val="24"/>
        </w:rPr>
        <w:t> </w:t>
      </w:r>
      <w:r>
        <w:rPr>
          <w:sz w:val="24"/>
        </w:rPr>
        <w:t>under</w:t>
      </w:r>
      <w:r>
        <w:rPr>
          <w:spacing w:val="-14"/>
          <w:sz w:val="24"/>
        </w:rPr>
        <w:t> </w:t>
      </w:r>
      <w:r>
        <w:rPr>
          <w:sz w:val="24"/>
        </w:rPr>
        <w:t>the</w:t>
      </w:r>
      <w:r>
        <w:rPr>
          <w:spacing w:val="-14"/>
          <w:sz w:val="24"/>
        </w:rPr>
        <w:t> </w:t>
      </w:r>
      <w:r>
        <w:rPr>
          <w:sz w:val="24"/>
        </w:rPr>
        <w:t>podium</w:t>
      </w:r>
      <w:r>
        <w:rPr>
          <w:spacing w:val="-14"/>
          <w:sz w:val="24"/>
        </w:rPr>
        <w:t> </w:t>
      </w:r>
      <w:r>
        <w:rPr>
          <w:sz w:val="24"/>
        </w:rPr>
        <w:t>up</w:t>
      </w:r>
      <w:r>
        <w:rPr>
          <w:spacing w:val="-14"/>
          <w:sz w:val="24"/>
        </w:rPr>
        <w:t> </w:t>
      </w:r>
      <w:r>
        <w:rPr>
          <w:sz w:val="24"/>
        </w:rPr>
        <w:t>to</w:t>
      </w:r>
      <w:r>
        <w:rPr>
          <w:spacing w:val="-15"/>
          <w:sz w:val="24"/>
        </w:rPr>
        <w:t> </w:t>
      </w:r>
      <w:r>
        <w:rPr>
          <w:sz w:val="24"/>
        </w:rPr>
        <w:t>12.00</w:t>
      </w:r>
      <w:r>
        <w:rPr>
          <w:spacing w:val="-14"/>
          <w:sz w:val="24"/>
        </w:rPr>
        <w:t> </w:t>
      </w:r>
      <w:r>
        <w:rPr>
          <w:sz w:val="24"/>
        </w:rPr>
        <w:t>m</w:t>
      </w:r>
      <w:r>
        <w:rPr>
          <w:spacing w:val="-14"/>
          <w:sz w:val="24"/>
        </w:rPr>
        <w:t> </w:t>
      </w:r>
      <w:r>
        <w:rPr>
          <w:sz w:val="24"/>
        </w:rPr>
        <w:t>in</w:t>
      </w:r>
      <w:r>
        <w:rPr>
          <w:spacing w:val="-14"/>
          <w:sz w:val="24"/>
        </w:rPr>
        <w:t> </w:t>
      </w:r>
      <w:r>
        <w:rPr>
          <w:sz w:val="24"/>
        </w:rPr>
        <w:t>width</w:t>
      </w:r>
      <w:r>
        <w:rPr>
          <w:spacing w:val="-15"/>
          <w:sz w:val="24"/>
        </w:rPr>
        <w:t> </w:t>
      </w:r>
      <w:r>
        <w:rPr>
          <w:sz w:val="24"/>
        </w:rPr>
        <w:t>giving access to the sale commercial component shall also be considered free of FSI.</w:t>
      </w:r>
    </w:p>
    <w:p>
      <w:pPr>
        <w:pStyle w:val="ListParagraph"/>
        <w:numPr>
          <w:ilvl w:val="1"/>
          <w:numId w:val="195"/>
        </w:numPr>
        <w:tabs>
          <w:tab w:pos="2779" w:val="left" w:leader="none"/>
        </w:tabs>
        <w:spacing w:line="240" w:lineRule="auto" w:before="240" w:after="0"/>
        <w:ind w:left="2062" w:right="769" w:firstLine="0"/>
        <w:jc w:val="both"/>
        <w:rPr>
          <w:sz w:val="24"/>
        </w:rPr>
      </w:pPr>
      <w:r>
        <w:rPr>
          <w:sz w:val="24"/>
        </w:rPr>
        <w:t>Front and marginal open spaces for building having height upto 32m in the rehab component or composite building for the ground + 1 podium to be proposed to accommodate rehab commercial/industrial units</w:t>
      </w:r>
      <w:r>
        <w:rPr>
          <w:spacing w:val="-20"/>
          <w:sz w:val="24"/>
        </w:rPr>
        <w:t> </w:t>
      </w:r>
      <w:r>
        <w:rPr>
          <w:sz w:val="24"/>
        </w:rPr>
        <w:t>as</w:t>
      </w:r>
      <w:r>
        <w:rPr>
          <w:spacing w:val="-19"/>
          <w:sz w:val="24"/>
        </w:rPr>
        <w:t> </w:t>
      </w:r>
      <w:r>
        <w:rPr>
          <w:sz w:val="24"/>
        </w:rPr>
        <w:t>well</w:t>
      </w:r>
      <w:r>
        <w:rPr>
          <w:spacing w:val="-19"/>
          <w:sz w:val="24"/>
        </w:rPr>
        <w:t> </w:t>
      </w:r>
      <w:r>
        <w:rPr>
          <w:sz w:val="24"/>
        </w:rPr>
        <w:t>as</w:t>
      </w:r>
      <w:r>
        <w:rPr>
          <w:spacing w:val="-19"/>
          <w:sz w:val="24"/>
        </w:rPr>
        <w:t> </w:t>
      </w:r>
      <w:r>
        <w:rPr>
          <w:sz w:val="24"/>
        </w:rPr>
        <w:t>sale</w:t>
      </w:r>
      <w:r>
        <w:rPr>
          <w:spacing w:val="-19"/>
          <w:sz w:val="24"/>
        </w:rPr>
        <w:t> </w:t>
      </w:r>
      <w:r>
        <w:rPr>
          <w:sz w:val="24"/>
        </w:rPr>
        <w:t>commercial</w:t>
      </w:r>
      <w:r>
        <w:rPr>
          <w:spacing w:val="-20"/>
          <w:sz w:val="24"/>
        </w:rPr>
        <w:t> </w:t>
      </w:r>
      <w:r>
        <w:rPr>
          <w:sz w:val="24"/>
        </w:rPr>
        <w:t>areas</w:t>
      </w:r>
      <w:r>
        <w:rPr>
          <w:spacing w:val="-19"/>
          <w:sz w:val="24"/>
        </w:rPr>
        <w:t> </w:t>
      </w:r>
      <w:r>
        <w:rPr>
          <w:sz w:val="24"/>
        </w:rPr>
        <w:t>in</w:t>
      </w:r>
      <w:r>
        <w:rPr>
          <w:spacing w:val="-18"/>
          <w:sz w:val="24"/>
        </w:rPr>
        <w:t> </w:t>
      </w:r>
      <w:r>
        <w:rPr>
          <w:sz w:val="24"/>
        </w:rPr>
        <w:t>composite</w:t>
      </w:r>
      <w:r>
        <w:rPr>
          <w:spacing w:val="-19"/>
          <w:sz w:val="24"/>
        </w:rPr>
        <w:t> </w:t>
      </w:r>
      <w:r>
        <w:rPr>
          <w:sz w:val="24"/>
        </w:rPr>
        <w:t>structures,</w:t>
      </w:r>
      <w:r>
        <w:rPr>
          <w:spacing w:val="-19"/>
          <w:sz w:val="24"/>
        </w:rPr>
        <w:t> </w:t>
      </w:r>
      <w:r>
        <w:rPr>
          <w:sz w:val="24"/>
        </w:rPr>
        <w:t>the</w:t>
      </w:r>
      <w:r>
        <w:rPr>
          <w:spacing w:val="-20"/>
          <w:sz w:val="24"/>
        </w:rPr>
        <w:t> </w:t>
      </w:r>
      <w:r>
        <w:rPr>
          <w:sz w:val="24"/>
        </w:rPr>
        <w:t>front and marginal open space shall be at least 3.0 m for these buildings.</w:t>
      </w:r>
    </w:p>
    <w:p>
      <w:pPr>
        <w:pStyle w:val="ListParagraph"/>
        <w:numPr>
          <w:ilvl w:val="1"/>
          <w:numId w:val="195"/>
        </w:numPr>
        <w:tabs>
          <w:tab w:pos="2779" w:val="left" w:leader="none"/>
        </w:tabs>
        <w:spacing w:line="240" w:lineRule="auto" w:before="240" w:after="0"/>
        <w:ind w:left="2062" w:right="770" w:firstLine="0"/>
        <w:jc w:val="both"/>
        <w:rPr>
          <w:sz w:val="24"/>
        </w:rPr>
      </w:pPr>
      <w:r>
        <w:rPr>
          <w:sz w:val="24"/>
        </w:rPr>
        <w:t>Notwithstanding the provisions of Regulation No. 41 Table No</w:t>
      </w:r>
      <w:r>
        <w:rPr>
          <w:spacing w:val="-2"/>
          <w:sz w:val="24"/>
        </w:rPr>
        <w:t> </w:t>
      </w:r>
      <w:r>
        <w:rPr>
          <w:sz w:val="24"/>
        </w:rPr>
        <w:t>18 where the location of the plot abuts DP Road, having width of 18.3 m and above, the front marginal open space shall be at least 3.00 m provided it is not an express highway or road wider than 52 m</w:t>
      </w:r>
    </w:p>
    <w:p>
      <w:pPr>
        <w:pStyle w:val="ListParagraph"/>
        <w:numPr>
          <w:ilvl w:val="1"/>
          <w:numId w:val="195"/>
        </w:numPr>
        <w:tabs>
          <w:tab w:pos="2779" w:val="left" w:leader="none"/>
        </w:tabs>
        <w:spacing w:line="240" w:lineRule="auto" w:before="242" w:after="0"/>
        <w:ind w:left="2062" w:right="766" w:firstLine="0"/>
        <w:jc w:val="both"/>
        <w:rPr>
          <w:sz w:val="24"/>
        </w:rPr>
      </w:pPr>
      <w:r>
        <w:rPr>
          <w:sz w:val="24"/>
        </w:rPr>
        <w:t>Where the location of the plot abuts a nallah, the marginal open space</w:t>
      </w:r>
      <w:r>
        <w:rPr>
          <w:spacing w:val="-3"/>
          <w:sz w:val="24"/>
        </w:rPr>
        <w:t> </w:t>
      </w:r>
      <w:r>
        <w:rPr>
          <w:sz w:val="24"/>
        </w:rPr>
        <w:t>along</w:t>
      </w:r>
      <w:r>
        <w:rPr>
          <w:spacing w:val="-3"/>
          <w:sz w:val="24"/>
        </w:rPr>
        <w:t> </w:t>
      </w:r>
      <w:r>
        <w:rPr>
          <w:sz w:val="24"/>
        </w:rPr>
        <w:t>the</w:t>
      </w:r>
      <w:r>
        <w:rPr>
          <w:spacing w:val="-3"/>
          <w:sz w:val="24"/>
        </w:rPr>
        <w:t> </w:t>
      </w:r>
      <w:r>
        <w:rPr>
          <w:sz w:val="24"/>
        </w:rPr>
        <w:t>nallah</w:t>
      </w:r>
      <w:r>
        <w:rPr>
          <w:spacing w:val="-3"/>
          <w:sz w:val="24"/>
        </w:rPr>
        <w:t> </w:t>
      </w:r>
      <w:r>
        <w:rPr>
          <w:sz w:val="24"/>
        </w:rPr>
        <w:t>shall</w:t>
      </w:r>
      <w:r>
        <w:rPr>
          <w:spacing w:val="-3"/>
          <w:sz w:val="24"/>
        </w:rPr>
        <w:t> </w:t>
      </w:r>
      <w:r>
        <w:rPr>
          <w:sz w:val="24"/>
        </w:rPr>
        <w:t>not</w:t>
      </w:r>
      <w:r>
        <w:rPr>
          <w:spacing w:val="-3"/>
          <w:sz w:val="24"/>
        </w:rPr>
        <w:t> </w:t>
      </w:r>
      <w:r>
        <w:rPr>
          <w:sz w:val="24"/>
        </w:rPr>
        <w:t>be</w:t>
      </w:r>
      <w:r>
        <w:rPr>
          <w:spacing w:val="-6"/>
          <w:sz w:val="24"/>
        </w:rPr>
        <w:t> </w:t>
      </w:r>
      <w:r>
        <w:rPr>
          <w:sz w:val="24"/>
        </w:rPr>
        <w:t>insisted</w:t>
      </w:r>
      <w:r>
        <w:rPr>
          <w:spacing w:val="-3"/>
          <w:sz w:val="24"/>
        </w:rPr>
        <w:t> </w:t>
      </w:r>
      <w:r>
        <w:rPr>
          <w:sz w:val="24"/>
        </w:rPr>
        <w:t>upon</w:t>
      </w:r>
      <w:r>
        <w:rPr>
          <w:spacing w:val="-3"/>
          <w:sz w:val="24"/>
        </w:rPr>
        <w:t> </w:t>
      </w:r>
      <w:r>
        <w:rPr>
          <w:sz w:val="24"/>
        </w:rPr>
        <w:t>beyond</w:t>
      </w:r>
      <w:r>
        <w:rPr>
          <w:spacing w:val="40"/>
          <w:sz w:val="24"/>
        </w:rPr>
        <w:t> </w:t>
      </w:r>
      <w:r>
        <w:rPr>
          <w:sz w:val="24"/>
        </w:rPr>
        <w:t>6</w:t>
      </w:r>
      <w:r>
        <w:rPr>
          <w:spacing w:val="-6"/>
          <w:sz w:val="24"/>
        </w:rPr>
        <w:t> </w:t>
      </w:r>
      <w:r>
        <w:rPr>
          <w:sz w:val="24"/>
        </w:rPr>
        <w:t>m</w:t>
      </w:r>
      <w:r>
        <w:rPr>
          <w:spacing w:val="-3"/>
          <w:sz w:val="24"/>
        </w:rPr>
        <w:t> </w:t>
      </w:r>
      <w:r>
        <w:rPr>
          <w:sz w:val="24"/>
        </w:rPr>
        <w:t>from</w:t>
      </w:r>
      <w:r>
        <w:rPr>
          <w:spacing w:val="-3"/>
          <w:sz w:val="24"/>
        </w:rPr>
        <w:t> </w:t>
      </w:r>
      <w:r>
        <w:rPr>
          <w:sz w:val="24"/>
        </w:rPr>
        <w:t>the edge of the trained nallah.</w:t>
      </w:r>
    </w:p>
    <w:p>
      <w:pPr>
        <w:pStyle w:val="ListParagraph"/>
        <w:numPr>
          <w:ilvl w:val="1"/>
          <w:numId w:val="195"/>
        </w:numPr>
        <w:tabs>
          <w:tab w:pos="2513" w:val="left" w:leader="none"/>
        </w:tabs>
        <w:spacing w:line="240" w:lineRule="auto" w:before="240" w:after="0"/>
        <w:ind w:left="2062" w:right="771" w:firstLine="0"/>
        <w:jc w:val="both"/>
        <w:rPr>
          <w:sz w:val="24"/>
        </w:rPr>
      </w:pPr>
      <w:r>
        <w:rPr>
          <w:sz w:val="24"/>
        </w:rPr>
        <w:t>The distance</w:t>
      </w:r>
      <w:r>
        <w:rPr>
          <w:spacing w:val="-1"/>
          <w:sz w:val="24"/>
        </w:rPr>
        <w:t> </w:t>
      </w:r>
      <w:r>
        <w:rPr>
          <w:sz w:val="24"/>
        </w:rPr>
        <w:t>between</w:t>
      </w:r>
      <w:r>
        <w:rPr>
          <w:spacing w:val="-1"/>
          <w:sz w:val="24"/>
        </w:rPr>
        <w:t> </w:t>
      </w:r>
      <w:r>
        <w:rPr>
          <w:sz w:val="24"/>
        </w:rPr>
        <w:t>any</w:t>
      </w:r>
      <w:r>
        <w:rPr>
          <w:spacing w:val="-1"/>
          <w:sz w:val="24"/>
        </w:rPr>
        <w:t> </w:t>
      </w:r>
      <w:r>
        <w:rPr>
          <w:sz w:val="24"/>
        </w:rPr>
        <w:t>two</w:t>
      </w:r>
      <w:r>
        <w:rPr>
          <w:spacing w:val="-1"/>
          <w:sz w:val="24"/>
        </w:rPr>
        <w:t> </w:t>
      </w:r>
      <w:r>
        <w:rPr>
          <w:sz w:val="24"/>
        </w:rPr>
        <w:t>rehab/composite</w:t>
      </w:r>
      <w:r>
        <w:rPr>
          <w:spacing w:val="-1"/>
          <w:sz w:val="24"/>
        </w:rPr>
        <w:t> </w:t>
      </w:r>
      <w:r>
        <w:rPr>
          <w:sz w:val="24"/>
        </w:rPr>
        <w:t>buildings</w:t>
      </w:r>
      <w:r>
        <w:rPr>
          <w:spacing w:val="-1"/>
          <w:sz w:val="24"/>
        </w:rPr>
        <w:t> </w:t>
      </w:r>
      <w:r>
        <w:rPr>
          <w:sz w:val="24"/>
        </w:rPr>
        <w:t>shall</w:t>
      </w:r>
      <w:r>
        <w:rPr>
          <w:spacing w:val="-1"/>
          <w:sz w:val="24"/>
        </w:rPr>
        <w:t> </w:t>
      </w:r>
      <w:r>
        <w:rPr>
          <w:sz w:val="24"/>
        </w:rPr>
        <w:t>not be</w:t>
      </w:r>
      <w:r>
        <w:rPr>
          <w:spacing w:val="21"/>
          <w:sz w:val="24"/>
        </w:rPr>
        <w:t> </w:t>
      </w:r>
      <w:r>
        <w:rPr>
          <w:sz w:val="24"/>
        </w:rPr>
        <w:t>less</w:t>
      </w:r>
      <w:r>
        <w:rPr>
          <w:spacing w:val="21"/>
          <w:sz w:val="24"/>
        </w:rPr>
        <w:t> </w:t>
      </w:r>
      <w:r>
        <w:rPr>
          <w:sz w:val="24"/>
        </w:rPr>
        <w:t>than</w:t>
      </w:r>
      <w:r>
        <w:rPr>
          <w:spacing w:val="21"/>
          <w:sz w:val="24"/>
        </w:rPr>
        <w:t> </w:t>
      </w:r>
      <w:r>
        <w:rPr>
          <w:sz w:val="24"/>
        </w:rPr>
        <w:t>6</w:t>
      </w:r>
      <w:r>
        <w:rPr>
          <w:spacing w:val="23"/>
          <w:sz w:val="24"/>
        </w:rPr>
        <w:t> </w:t>
      </w:r>
      <w:r>
        <w:rPr>
          <w:sz w:val="24"/>
        </w:rPr>
        <w:t>m</w:t>
      </w:r>
      <w:r>
        <w:rPr>
          <w:spacing w:val="22"/>
          <w:sz w:val="24"/>
        </w:rPr>
        <w:t> </w:t>
      </w:r>
      <w:r>
        <w:rPr>
          <w:sz w:val="24"/>
        </w:rPr>
        <w:t>for</w:t>
      </w:r>
      <w:r>
        <w:rPr>
          <w:spacing w:val="21"/>
          <w:sz w:val="24"/>
        </w:rPr>
        <w:t> </w:t>
      </w:r>
      <w:r>
        <w:rPr>
          <w:sz w:val="24"/>
        </w:rPr>
        <w:t>the</w:t>
      </w:r>
      <w:r>
        <w:rPr>
          <w:spacing w:val="21"/>
          <w:sz w:val="24"/>
        </w:rPr>
        <w:t> </w:t>
      </w:r>
      <w:r>
        <w:rPr>
          <w:sz w:val="24"/>
        </w:rPr>
        <w:t>height</w:t>
      </w:r>
      <w:r>
        <w:rPr>
          <w:spacing w:val="21"/>
          <w:sz w:val="24"/>
        </w:rPr>
        <w:t> </w:t>
      </w:r>
      <w:r>
        <w:rPr>
          <w:sz w:val="24"/>
        </w:rPr>
        <w:t>up</w:t>
      </w:r>
      <w:r>
        <w:rPr>
          <w:spacing w:val="21"/>
          <w:sz w:val="24"/>
        </w:rPr>
        <w:t> </w:t>
      </w:r>
      <w:r>
        <w:rPr>
          <w:sz w:val="24"/>
        </w:rPr>
        <w:t>to</w:t>
      </w:r>
      <w:r>
        <w:rPr>
          <w:spacing w:val="21"/>
          <w:sz w:val="24"/>
        </w:rPr>
        <w:t> </w:t>
      </w:r>
      <w:r>
        <w:rPr>
          <w:sz w:val="24"/>
        </w:rPr>
        <w:t>32</w:t>
      </w:r>
      <w:r>
        <w:rPr>
          <w:spacing w:val="21"/>
          <w:sz w:val="24"/>
        </w:rPr>
        <w:t> </w:t>
      </w:r>
      <w:r>
        <w:rPr>
          <w:sz w:val="24"/>
        </w:rPr>
        <w:t>m</w:t>
      </w:r>
      <w:r>
        <w:rPr>
          <w:spacing w:val="21"/>
          <w:sz w:val="24"/>
        </w:rPr>
        <w:t> </w:t>
      </w:r>
      <w:r>
        <w:rPr>
          <w:sz w:val="24"/>
        </w:rPr>
        <w:t>and</w:t>
      </w:r>
      <w:r>
        <w:rPr>
          <w:spacing w:val="21"/>
          <w:sz w:val="24"/>
        </w:rPr>
        <w:t> </w:t>
      </w:r>
      <w:r>
        <w:rPr>
          <w:sz w:val="24"/>
        </w:rPr>
        <w:t>for</w:t>
      </w:r>
      <w:r>
        <w:rPr>
          <w:spacing w:val="21"/>
          <w:sz w:val="24"/>
        </w:rPr>
        <w:t> </w:t>
      </w:r>
      <w:r>
        <w:rPr>
          <w:sz w:val="24"/>
        </w:rPr>
        <w:t>the</w:t>
      </w:r>
      <w:r>
        <w:rPr>
          <w:spacing w:val="21"/>
          <w:sz w:val="24"/>
        </w:rPr>
        <w:t> </w:t>
      </w:r>
      <w:r>
        <w:rPr>
          <w:sz w:val="24"/>
        </w:rPr>
        <w:t>building</w:t>
      </w:r>
      <w:r>
        <w:rPr>
          <w:spacing w:val="21"/>
          <w:sz w:val="24"/>
        </w:rPr>
        <w:t> </w:t>
      </w:r>
      <w:r>
        <w:rPr>
          <w:sz w:val="24"/>
        </w:rPr>
        <w:t>with</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71"/>
      </w:pPr>
      <w:r>
        <w:rPr/>
        <w:t>height more than 32 m the open spaces shall be as per Regulation No </w:t>
      </w:r>
      <w:r>
        <w:rPr>
          <w:spacing w:val="-2"/>
        </w:rPr>
        <w:t>41(5).</w:t>
      </w:r>
    </w:p>
    <w:p>
      <w:pPr>
        <w:pStyle w:val="ListParagraph"/>
        <w:numPr>
          <w:ilvl w:val="1"/>
          <w:numId w:val="195"/>
        </w:numPr>
        <w:tabs>
          <w:tab w:pos="2780" w:val="left" w:leader="none"/>
        </w:tabs>
        <w:spacing w:line="240" w:lineRule="auto" w:before="241" w:after="0"/>
        <w:ind w:left="2062" w:right="768" w:firstLine="0"/>
        <w:jc w:val="both"/>
        <w:rPr>
          <w:sz w:val="24"/>
        </w:rPr>
      </w:pPr>
      <w:r>
        <w:rPr>
          <w:sz w:val="24"/>
        </w:rPr>
        <w:t>A</w:t>
      </w:r>
      <w:r>
        <w:rPr>
          <w:spacing w:val="-17"/>
          <w:sz w:val="24"/>
        </w:rPr>
        <w:t> </w:t>
      </w:r>
      <w:r>
        <w:rPr>
          <w:sz w:val="24"/>
        </w:rPr>
        <w:t>composite</w:t>
      </w:r>
      <w:r>
        <w:rPr>
          <w:spacing w:val="-17"/>
          <w:sz w:val="24"/>
        </w:rPr>
        <w:t> </w:t>
      </w:r>
      <w:r>
        <w:rPr>
          <w:sz w:val="24"/>
        </w:rPr>
        <w:t>building</w:t>
      </w:r>
      <w:r>
        <w:rPr>
          <w:spacing w:val="-17"/>
          <w:sz w:val="24"/>
        </w:rPr>
        <w:t> </w:t>
      </w:r>
      <w:r>
        <w:rPr>
          <w:sz w:val="24"/>
        </w:rPr>
        <w:t>shall</w:t>
      </w:r>
      <w:r>
        <w:rPr>
          <w:spacing w:val="-17"/>
          <w:sz w:val="24"/>
        </w:rPr>
        <w:t> </w:t>
      </w:r>
      <w:r>
        <w:rPr>
          <w:sz w:val="24"/>
        </w:rPr>
        <w:t>contain</w:t>
      </w:r>
      <w:r>
        <w:rPr>
          <w:spacing w:val="-17"/>
          <w:sz w:val="24"/>
        </w:rPr>
        <w:t> </w:t>
      </w:r>
      <w:r>
        <w:rPr>
          <w:sz w:val="24"/>
        </w:rPr>
        <w:t>at</w:t>
      </w:r>
      <w:r>
        <w:rPr>
          <w:spacing w:val="-17"/>
          <w:sz w:val="24"/>
        </w:rPr>
        <w:t> </w:t>
      </w:r>
      <w:r>
        <w:rPr>
          <w:sz w:val="24"/>
        </w:rPr>
        <w:t>least</w:t>
      </w:r>
      <w:r>
        <w:rPr>
          <w:spacing w:val="-17"/>
          <w:sz w:val="24"/>
        </w:rPr>
        <w:t> </w:t>
      </w:r>
      <w:r>
        <w:rPr>
          <w:sz w:val="24"/>
        </w:rPr>
        <w:t>40</w:t>
      </w:r>
      <w:r>
        <w:rPr>
          <w:spacing w:val="-17"/>
          <w:sz w:val="24"/>
        </w:rPr>
        <w:t> </w:t>
      </w:r>
      <w:r>
        <w:rPr>
          <w:sz w:val="24"/>
        </w:rPr>
        <w:t>percent</w:t>
      </w:r>
      <w:r>
        <w:rPr>
          <w:spacing w:val="-17"/>
          <w:sz w:val="24"/>
        </w:rPr>
        <w:t> </w:t>
      </w:r>
      <w:r>
        <w:rPr>
          <w:sz w:val="24"/>
        </w:rPr>
        <w:t>of</w:t>
      </w:r>
      <w:r>
        <w:rPr>
          <w:spacing w:val="-17"/>
          <w:sz w:val="24"/>
        </w:rPr>
        <w:t> </w:t>
      </w:r>
      <w:r>
        <w:rPr>
          <w:sz w:val="24"/>
        </w:rPr>
        <w:t>the</w:t>
      </w:r>
      <w:r>
        <w:rPr>
          <w:spacing w:val="-15"/>
          <w:sz w:val="24"/>
        </w:rPr>
        <w:t> </w:t>
      </w:r>
      <w:r>
        <w:rPr>
          <w:sz w:val="24"/>
        </w:rPr>
        <w:t>built- up area as rehabilitation components.</w:t>
      </w:r>
    </w:p>
    <w:p>
      <w:pPr>
        <w:pStyle w:val="ListParagraph"/>
        <w:numPr>
          <w:ilvl w:val="1"/>
          <w:numId w:val="195"/>
        </w:numPr>
        <w:tabs>
          <w:tab w:pos="2778" w:val="left" w:leader="none"/>
        </w:tabs>
        <w:spacing w:line="240" w:lineRule="auto" w:before="240" w:after="0"/>
        <w:ind w:left="2062" w:right="769" w:firstLine="0"/>
        <w:jc w:val="both"/>
        <w:rPr>
          <w:sz w:val="24"/>
        </w:rPr>
      </w:pPr>
      <w:r>
        <w:rPr>
          <w:sz w:val="24"/>
        </w:rPr>
        <w:t>Wherever more than the minimum front and marginal spaces have been provided, such additional area provided may be considered as</w:t>
      </w:r>
      <w:r>
        <w:rPr>
          <w:spacing w:val="-13"/>
          <w:sz w:val="24"/>
        </w:rPr>
        <w:t> </w:t>
      </w:r>
      <w:r>
        <w:rPr>
          <w:sz w:val="24"/>
        </w:rPr>
        <w:t>part</w:t>
      </w:r>
      <w:r>
        <w:rPr>
          <w:spacing w:val="-13"/>
          <w:sz w:val="24"/>
        </w:rPr>
        <w:t> </w:t>
      </w:r>
      <w:r>
        <w:rPr>
          <w:sz w:val="24"/>
        </w:rPr>
        <w:t>of</w:t>
      </w:r>
      <w:r>
        <w:rPr>
          <w:spacing w:val="-13"/>
          <w:sz w:val="24"/>
        </w:rPr>
        <w:t> </w:t>
      </w:r>
      <w:r>
        <w:rPr>
          <w:sz w:val="24"/>
        </w:rPr>
        <w:t>the</w:t>
      </w:r>
      <w:r>
        <w:rPr>
          <w:spacing w:val="-13"/>
          <w:sz w:val="24"/>
        </w:rPr>
        <w:t> </w:t>
      </w:r>
      <w:r>
        <w:rPr>
          <w:sz w:val="24"/>
        </w:rPr>
        <w:t>AOS</w:t>
      </w:r>
      <w:r>
        <w:rPr>
          <w:spacing w:val="-13"/>
          <w:sz w:val="24"/>
        </w:rPr>
        <w:t> </w:t>
      </w:r>
      <w:r>
        <w:rPr>
          <w:sz w:val="24"/>
        </w:rPr>
        <w:t>in</w:t>
      </w:r>
      <w:r>
        <w:rPr>
          <w:spacing w:val="-11"/>
          <w:sz w:val="24"/>
        </w:rPr>
        <w:t> </w:t>
      </w:r>
      <w:r>
        <w:rPr>
          <w:sz w:val="24"/>
        </w:rPr>
        <w:t>the</w:t>
      </w:r>
      <w:r>
        <w:rPr>
          <w:spacing w:val="-13"/>
          <w:sz w:val="24"/>
        </w:rPr>
        <w:t> </w:t>
      </w:r>
      <w:r>
        <w:rPr>
          <w:sz w:val="24"/>
        </w:rPr>
        <w:t>project</w:t>
      </w:r>
      <w:r>
        <w:rPr>
          <w:spacing w:val="-13"/>
          <w:sz w:val="24"/>
        </w:rPr>
        <w:t> </w:t>
      </w:r>
      <w:r>
        <w:rPr>
          <w:sz w:val="24"/>
        </w:rPr>
        <w:t>comprising</w:t>
      </w:r>
      <w:r>
        <w:rPr>
          <w:spacing w:val="-13"/>
          <w:sz w:val="24"/>
        </w:rPr>
        <w:t> </w:t>
      </w:r>
      <w:r>
        <w:rPr>
          <w:sz w:val="24"/>
        </w:rPr>
        <w:t>both</w:t>
      </w:r>
      <w:r>
        <w:rPr>
          <w:spacing w:val="-13"/>
          <w:sz w:val="24"/>
        </w:rPr>
        <w:t> </w:t>
      </w:r>
      <w:r>
        <w:rPr>
          <w:sz w:val="24"/>
        </w:rPr>
        <w:t>rehabilitation</w:t>
      </w:r>
      <w:r>
        <w:rPr>
          <w:spacing w:val="-13"/>
          <w:sz w:val="24"/>
        </w:rPr>
        <w:t> </w:t>
      </w:r>
      <w:r>
        <w:rPr>
          <w:sz w:val="24"/>
        </w:rPr>
        <w:t>and</w:t>
      </w:r>
      <w:r>
        <w:rPr>
          <w:spacing w:val="-13"/>
          <w:sz w:val="24"/>
        </w:rPr>
        <w:t> </w:t>
      </w:r>
      <w:r>
        <w:rPr>
          <w:sz w:val="24"/>
        </w:rPr>
        <w:t>free sale components, and without charging any premium in relaxation of the stipulations in DCR No.27, wherever necessary.</w:t>
      </w:r>
    </w:p>
    <w:p>
      <w:pPr>
        <w:pStyle w:val="ListParagraph"/>
        <w:numPr>
          <w:ilvl w:val="1"/>
          <w:numId w:val="195"/>
        </w:numPr>
        <w:tabs>
          <w:tab w:pos="2778" w:val="left" w:leader="none"/>
        </w:tabs>
        <w:spacing w:line="240" w:lineRule="auto" w:before="240" w:after="0"/>
        <w:ind w:left="2062" w:right="774" w:firstLine="0"/>
        <w:jc w:val="both"/>
        <w:rPr>
          <w:sz w:val="24"/>
        </w:rPr>
      </w:pPr>
      <w:r>
        <w:rPr>
          <w:sz w:val="24"/>
        </w:rPr>
        <w:t>The pathway shall act as access wherever necessary.</w:t>
      </w:r>
      <w:r>
        <w:rPr>
          <w:spacing w:val="40"/>
          <w:sz w:val="24"/>
        </w:rPr>
        <w:t> </w:t>
      </w:r>
      <w:r>
        <w:rPr>
          <w:sz w:val="24"/>
        </w:rPr>
        <w:t>The building shall be permitted to touch pathways.</w:t>
      </w:r>
    </w:p>
    <w:p>
      <w:pPr>
        <w:pStyle w:val="ListParagraph"/>
        <w:numPr>
          <w:ilvl w:val="1"/>
          <w:numId w:val="195"/>
        </w:numPr>
        <w:tabs>
          <w:tab w:pos="2581" w:val="left" w:leader="none"/>
        </w:tabs>
        <w:spacing w:line="240" w:lineRule="auto" w:before="242" w:after="0"/>
        <w:ind w:left="2062" w:right="766" w:firstLine="0"/>
        <w:jc w:val="both"/>
        <w:rPr>
          <w:sz w:val="24"/>
        </w:rPr>
      </w:pPr>
      <w:r>
        <w:rPr>
          <w:sz w:val="24"/>
        </w:rPr>
        <w:t>The means of access shall be normally governed by the provisions of</w:t>
      </w:r>
      <w:r>
        <w:rPr>
          <w:spacing w:val="-13"/>
          <w:sz w:val="24"/>
        </w:rPr>
        <w:t> </w:t>
      </w:r>
      <w:r>
        <w:rPr>
          <w:sz w:val="24"/>
        </w:rPr>
        <w:t>Regulation</w:t>
      </w:r>
      <w:r>
        <w:rPr>
          <w:spacing w:val="-12"/>
          <w:sz w:val="24"/>
        </w:rPr>
        <w:t> </w:t>
      </w:r>
      <w:r>
        <w:rPr>
          <w:sz w:val="24"/>
        </w:rPr>
        <w:t>No.</w:t>
      </w:r>
      <w:r>
        <w:rPr>
          <w:spacing w:val="-13"/>
          <w:sz w:val="24"/>
        </w:rPr>
        <w:t> </w:t>
      </w:r>
      <w:r>
        <w:rPr>
          <w:sz w:val="24"/>
        </w:rPr>
        <w:t>23.</w:t>
      </w:r>
      <w:r>
        <w:rPr>
          <w:spacing w:val="-16"/>
          <w:sz w:val="24"/>
        </w:rPr>
        <w:t> </w:t>
      </w:r>
      <w:r>
        <w:rPr>
          <w:sz w:val="24"/>
        </w:rPr>
        <w:t>However,</w:t>
      </w:r>
      <w:r>
        <w:rPr>
          <w:spacing w:val="-13"/>
          <w:sz w:val="24"/>
        </w:rPr>
        <w:t> </w:t>
      </w:r>
      <w:r>
        <w:rPr>
          <w:sz w:val="24"/>
        </w:rPr>
        <w:t>in</w:t>
      </w:r>
      <w:r>
        <w:rPr>
          <w:spacing w:val="-13"/>
          <w:sz w:val="24"/>
        </w:rPr>
        <w:t> </w:t>
      </w:r>
      <w:r>
        <w:rPr>
          <w:sz w:val="24"/>
        </w:rPr>
        <w:t>the</w:t>
      </w:r>
      <w:r>
        <w:rPr>
          <w:spacing w:val="-15"/>
          <w:sz w:val="24"/>
        </w:rPr>
        <w:t> </w:t>
      </w:r>
      <w:r>
        <w:rPr>
          <w:sz w:val="24"/>
        </w:rPr>
        <w:t>project,</w:t>
      </w:r>
      <w:r>
        <w:rPr>
          <w:spacing w:val="-13"/>
          <w:sz w:val="24"/>
        </w:rPr>
        <w:t> </w:t>
      </w:r>
      <w:r>
        <w:rPr>
          <w:sz w:val="24"/>
        </w:rPr>
        <w:t>wherever</w:t>
      </w:r>
      <w:r>
        <w:rPr>
          <w:spacing w:val="-13"/>
          <w:sz w:val="24"/>
        </w:rPr>
        <w:t> </w:t>
      </w:r>
      <w:r>
        <w:rPr>
          <w:sz w:val="24"/>
        </w:rPr>
        <w:t>the</w:t>
      </w:r>
      <w:r>
        <w:rPr>
          <w:spacing w:val="-13"/>
          <w:sz w:val="24"/>
        </w:rPr>
        <w:t> </w:t>
      </w:r>
      <w:r>
        <w:rPr>
          <w:sz w:val="24"/>
        </w:rPr>
        <w:t>design</w:t>
      </w:r>
      <w:r>
        <w:rPr>
          <w:spacing w:val="-13"/>
          <w:sz w:val="24"/>
        </w:rPr>
        <w:t> </w:t>
      </w:r>
      <w:r>
        <w:rPr>
          <w:sz w:val="24"/>
        </w:rPr>
        <w:t>of</w:t>
      </w:r>
      <w:r>
        <w:rPr>
          <w:spacing w:val="-13"/>
          <w:sz w:val="24"/>
        </w:rPr>
        <w:t> </w:t>
      </w:r>
      <w:r>
        <w:rPr>
          <w:sz w:val="24"/>
        </w:rPr>
        <w:t>the buildings</w:t>
      </w:r>
      <w:r>
        <w:rPr>
          <w:spacing w:val="-4"/>
          <w:sz w:val="24"/>
        </w:rPr>
        <w:t> </w:t>
      </w:r>
      <w:r>
        <w:rPr>
          <w:sz w:val="24"/>
        </w:rPr>
        <w:t>in</w:t>
      </w:r>
      <w:r>
        <w:rPr>
          <w:spacing w:val="-4"/>
          <w:sz w:val="24"/>
        </w:rPr>
        <w:t> </w:t>
      </w:r>
      <w:r>
        <w:rPr>
          <w:sz w:val="24"/>
        </w:rPr>
        <w:t>the</w:t>
      </w:r>
      <w:r>
        <w:rPr>
          <w:spacing w:val="-4"/>
          <w:sz w:val="24"/>
        </w:rPr>
        <w:t> </w:t>
      </w:r>
      <w:r>
        <w:rPr>
          <w:sz w:val="24"/>
        </w:rPr>
        <w:t>same</w:t>
      </w:r>
      <w:r>
        <w:rPr>
          <w:spacing w:val="-4"/>
          <w:sz w:val="24"/>
        </w:rPr>
        <w:t> </w:t>
      </w:r>
      <w:r>
        <w:rPr>
          <w:sz w:val="24"/>
        </w:rPr>
        <w:t>land</w:t>
      </w:r>
      <w:r>
        <w:rPr>
          <w:spacing w:val="-4"/>
          <w:sz w:val="24"/>
        </w:rPr>
        <w:t> </w:t>
      </w:r>
      <w:r>
        <w:rPr>
          <w:sz w:val="24"/>
        </w:rPr>
        <w:t>requires</w:t>
      </w:r>
      <w:r>
        <w:rPr>
          <w:spacing w:val="-4"/>
          <w:sz w:val="24"/>
        </w:rPr>
        <w:t> </w:t>
      </w:r>
      <w:r>
        <w:rPr>
          <w:sz w:val="24"/>
        </w:rPr>
        <w:t>relaxation,</w:t>
      </w:r>
      <w:r>
        <w:rPr>
          <w:spacing w:val="-4"/>
          <w:sz w:val="24"/>
        </w:rPr>
        <w:t> </w:t>
      </w:r>
      <w:r>
        <w:rPr>
          <w:sz w:val="24"/>
        </w:rPr>
        <w:t>it</w:t>
      </w:r>
      <w:r>
        <w:rPr>
          <w:spacing w:val="-4"/>
          <w:sz w:val="24"/>
        </w:rPr>
        <w:t> </w:t>
      </w:r>
      <w:r>
        <w:rPr>
          <w:sz w:val="24"/>
        </w:rPr>
        <w:t>may</w:t>
      </w:r>
      <w:r>
        <w:rPr>
          <w:spacing w:val="-4"/>
          <w:sz w:val="24"/>
        </w:rPr>
        <w:t> </w:t>
      </w:r>
      <w:r>
        <w:rPr>
          <w:sz w:val="24"/>
        </w:rPr>
        <w:t>be</w:t>
      </w:r>
      <w:r>
        <w:rPr>
          <w:spacing w:val="-4"/>
          <w:sz w:val="24"/>
        </w:rPr>
        <w:t> </w:t>
      </w:r>
      <w:r>
        <w:rPr>
          <w:sz w:val="24"/>
        </w:rPr>
        <w:t>given.</w:t>
      </w:r>
      <w:r>
        <w:rPr>
          <w:spacing w:val="40"/>
          <w:sz w:val="24"/>
        </w:rPr>
        <w:t> </w:t>
      </w:r>
      <w:r>
        <w:rPr>
          <w:sz w:val="24"/>
        </w:rPr>
        <w:t>Access through existing pathways including the roads maintained under Section 63K of the MMC Act, 1888 but not less than 3.6 m in width, shall be considered adequate for any slum rehabilitation project, containing buildings having height up to 32 m including stilts.</w:t>
      </w:r>
    </w:p>
    <w:p>
      <w:pPr>
        <w:pStyle w:val="ListParagraph"/>
        <w:numPr>
          <w:ilvl w:val="1"/>
          <w:numId w:val="195"/>
        </w:numPr>
        <w:tabs>
          <w:tab w:pos="2582" w:val="left" w:leader="none"/>
        </w:tabs>
        <w:spacing w:line="240" w:lineRule="auto" w:before="238" w:after="0"/>
        <w:ind w:left="2062" w:right="766" w:firstLine="0"/>
        <w:jc w:val="both"/>
        <w:rPr>
          <w:sz w:val="24"/>
        </w:rPr>
      </w:pPr>
      <w:r>
        <w:rPr>
          <w:sz w:val="24"/>
        </w:rPr>
        <w:t>Even</w:t>
      </w:r>
      <w:r>
        <w:rPr>
          <w:spacing w:val="-2"/>
          <w:sz w:val="24"/>
        </w:rPr>
        <w:t> </w:t>
      </w:r>
      <w:r>
        <w:rPr>
          <w:sz w:val="24"/>
        </w:rPr>
        <w:t>if</w:t>
      </w:r>
      <w:r>
        <w:rPr>
          <w:spacing w:val="-2"/>
          <w:sz w:val="24"/>
        </w:rPr>
        <w:t> </w:t>
      </w:r>
      <w:r>
        <w:rPr>
          <w:sz w:val="24"/>
        </w:rPr>
        <w:t>the</w:t>
      </w:r>
      <w:r>
        <w:rPr>
          <w:spacing w:val="-2"/>
          <w:sz w:val="24"/>
        </w:rPr>
        <w:t> </w:t>
      </w:r>
      <w:r>
        <w:rPr>
          <w:sz w:val="24"/>
        </w:rPr>
        <w:t>AOS is</w:t>
      </w:r>
      <w:r>
        <w:rPr>
          <w:spacing w:val="-2"/>
          <w:sz w:val="24"/>
        </w:rPr>
        <w:t> </w:t>
      </w:r>
      <w:r>
        <w:rPr>
          <w:sz w:val="24"/>
        </w:rPr>
        <w:t>reduced</w:t>
      </w:r>
      <w:r>
        <w:rPr>
          <w:spacing w:val="-2"/>
          <w:sz w:val="24"/>
        </w:rPr>
        <w:t> </w:t>
      </w:r>
      <w:r>
        <w:rPr>
          <w:sz w:val="24"/>
        </w:rPr>
        <w:t>to</w:t>
      </w:r>
      <w:r>
        <w:rPr>
          <w:spacing w:val="-2"/>
          <w:sz w:val="24"/>
        </w:rPr>
        <w:t> </w:t>
      </w:r>
      <w:r>
        <w:rPr>
          <w:sz w:val="24"/>
        </w:rPr>
        <w:t>make</w:t>
      </w:r>
      <w:r>
        <w:rPr>
          <w:spacing w:val="-2"/>
          <w:sz w:val="24"/>
        </w:rPr>
        <w:t> </w:t>
      </w:r>
      <w:r>
        <w:rPr>
          <w:sz w:val="24"/>
        </w:rPr>
        <w:t>the</w:t>
      </w:r>
      <w:r>
        <w:rPr>
          <w:spacing w:val="-2"/>
          <w:sz w:val="24"/>
        </w:rPr>
        <w:t> </w:t>
      </w:r>
      <w:r>
        <w:rPr>
          <w:sz w:val="24"/>
        </w:rPr>
        <w:t>planning</w:t>
      </w:r>
      <w:r>
        <w:rPr>
          <w:spacing w:val="-2"/>
          <w:sz w:val="24"/>
        </w:rPr>
        <w:t> </w:t>
      </w:r>
      <w:r>
        <w:rPr>
          <w:sz w:val="24"/>
        </w:rPr>
        <w:t>of</w:t>
      </w:r>
      <w:r>
        <w:rPr>
          <w:spacing w:val="-2"/>
          <w:sz w:val="24"/>
        </w:rPr>
        <w:t> </w:t>
      </w:r>
      <w:r>
        <w:rPr>
          <w:sz w:val="24"/>
        </w:rPr>
        <w:t>the</w:t>
      </w:r>
      <w:r>
        <w:rPr>
          <w:spacing w:val="-2"/>
          <w:sz w:val="24"/>
        </w:rPr>
        <w:t> </w:t>
      </w:r>
      <w:r>
        <w:rPr>
          <w:sz w:val="24"/>
        </w:rPr>
        <w:t>rehab</w:t>
      </w:r>
      <w:r>
        <w:rPr>
          <w:spacing w:val="-2"/>
          <w:sz w:val="24"/>
        </w:rPr>
        <w:t> </w:t>
      </w:r>
      <w:r>
        <w:rPr>
          <w:sz w:val="24"/>
        </w:rPr>
        <w:t>sub- plot viable, a minimum of 15 percent of amenity open space shall be </w:t>
      </w:r>
      <w:r>
        <w:rPr>
          <w:spacing w:val="-2"/>
          <w:sz w:val="24"/>
        </w:rPr>
        <w:t>maintained.</w:t>
      </w:r>
    </w:p>
    <w:p>
      <w:pPr>
        <w:pStyle w:val="ListParagraph"/>
        <w:numPr>
          <w:ilvl w:val="1"/>
          <w:numId w:val="195"/>
        </w:numPr>
        <w:tabs>
          <w:tab w:pos="2778" w:val="left" w:leader="none"/>
        </w:tabs>
        <w:spacing w:line="240" w:lineRule="auto" w:before="242" w:after="0"/>
        <w:ind w:left="2062" w:right="768" w:firstLine="0"/>
        <w:jc w:val="both"/>
        <w:rPr>
          <w:sz w:val="24"/>
        </w:rPr>
      </w:pPr>
      <w:r>
        <w:rPr>
          <w:sz w:val="24"/>
        </w:rPr>
        <w:t>Premium shall not be charged for exclusion of staircase and lift- well etc. as covered under the provisions of DCR 31(1).</w:t>
      </w:r>
    </w:p>
    <w:p>
      <w:pPr>
        <w:pStyle w:val="ListParagraph"/>
        <w:numPr>
          <w:ilvl w:val="1"/>
          <w:numId w:val="195"/>
        </w:numPr>
        <w:tabs>
          <w:tab w:pos="2778" w:val="left" w:leader="none"/>
        </w:tabs>
        <w:spacing w:line="240" w:lineRule="auto" w:before="238" w:after="0"/>
        <w:ind w:left="2062" w:right="770" w:firstLine="0"/>
        <w:jc w:val="both"/>
        <w:rPr>
          <w:sz w:val="24"/>
        </w:rPr>
      </w:pPr>
      <w:r>
        <w:rPr>
          <w:sz w:val="24"/>
        </w:rPr>
        <w:t>All relaxations outlined hereinabove shall be given to the rehabilitation component, and also to the composite buildings in the project.</w:t>
      </w:r>
      <w:r>
        <w:rPr>
          <w:spacing w:val="40"/>
          <w:sz w:val="24"/>
        </w:rPr>
        <w:t> </w:t>
      </w:r>
      <w:r>
        <w:rPr>
          <w:sz w:val="24"/>
        </w:rPr>
        <w:t>Premium shall not be charged for all or any of the relaxations given herein above, or for any other mentioned in DCR 31(1). Provided that</w:t>
      </w:r>
      <w:r>
        <w:rPr>
          <w:spacing w:val="40"/>
          <w:sz w:val="24"/>
        </w:rPr>
        <w:t> </w:t>
      </w:r>
      <w:r>
        <w:rPr>
          <w:sz w:val="24"/>
        </w:rPr>
        <w:t>further</w:t>
      </w:r>
      <w:r>
        <w:rPr>
          <w:spacing w:val="80"/>
          <w:sz w:val="24"/>
        </w:rPr>
        <w:t> </w:t>
      </w:r>
      <w:r>
        <w:rPr>
          <w:sz w:val="24"/>
        </w:rPr>
        <w:t>relaxation</w:t>
      </w:r>
      <w:r>
        <w:rPr>
          <w:spacing w:val="40"/>
          <w:sz w:val="24"/>
        </w:rPr>
        <w:t> </w:t>
      </w:r>
      <w:r>
        <w:rPr>
          <w:sz w:val="24"/>
        </w:rPr>
        <w:t>in</w:t>
      </w:r>
      <w:r>
        <w:rPr>
          <w:spacing w:val="40"/>
          <w:sz w:val="24"/>
        </w:rPr>
        <w:t> </w:t>
      </w:r>
      <w:r>
        <w:rPr>
          <w:sz w:val="24"/>
        </w:rPr>
        <w:t>open</w:t>
      </w:r>
      <w:r>
        <w:rPr>
          <w:spacing w:val="40"/>
          <w:sz w:val="24"/>
        </w:rPr>
        <w:t> </w:t>
      </w:r>
      <w:r>
        <w:rPr>
          <w:sz w:val="24"/>
        </w:rPr>
        <w:t>spaces</w:t>
      </w:r>
      <w:r>
        <w:rPr>
          <w:spacing w:val="40"/>
          <w:sz w:val="24"/>
        </w:rPr>
        <w:t> </w:t>
      </w:r>
      <w:r>
        <w:rPr>
          <w:sz w:val="24"/>
        </w:rPr>
        <w:t>if</w:t>
      </w:r>
      <w:r>
        <w:rPr>
          <w:spacing w:val="80"/>
          <w:sz w:val="24"/>
        </w:rPr>
        <w:t> </w:t>
      </w:r>
      <w:r>
        <w:rPr>
          <w:sz w:val="24"/>
        </w:rPr>
        <w:t>any</w:t>
      </w:r>
      <w:r>
        <w:rPr>
          <w:spacing w:val="80"/>
          <w:sz w:val="24"/>
        </w:rPr>
        <w:t> </w:t>
      </w:r>
      <w:r>
        <w:rPr>
          <w:sz w:val="24"/>
        </w:rPr>
        <w:t>is</w:t>
      </w:r>
      <w:r>
        <w:rPr>
          <w:spacing w:val="40"/>
          <w:sz w:val="24"/>
        </w:rPr>
        <w:t> </w:t>
      </w:r>
      <w:r>
        <w:rPr>
          <w:sz w:val="24"/>
        </w:rPr>
        <w:t>considered,</w:t>
      </w:r>
      <w:r>
        <w:rPr>
          <w:spacing w:val="40"/>
          <w:sz w:val="24"/>
        </w:rPr>
        <w:t> </w:t>
      </w:r>
      <w:r>
        <w:rPr>
          <w:sz w:val="24"/>
        </w:rPr>
        <w:t>then the same shall be subject to compliance of CFO requirement and recovery</w:t>
      </w:r>
      <w:r>
        <w:rPr>
          <w:spacing w:val="40"/>
          <w:sz w:val="24"/>
        </w:rPr>
        <w:t> </w:t>
      </w:r>
      <w:r>
        <w:rPr>
          <w:sz w:val="24"/>
        </w:rPr>
        <w:t>of</w:t>
      </w:r>
      <w:r>
        <w:rPr>
          <w:spacing w:val="40"/>
          <w:sz w:val="24"/>
        </w:rPr>
        <w:t> </w:t>
      </w:r>
      <w:r>
        <w:rPr>
          <w:sz w:val="24"/>
        </w:rPr>
        <w:t>premium</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2.5%</w:t>
      </w:r>
      <w:r>
        <w:rPr>
          <w:spacing w:val="40"/>
          <w:sz w:val="24"/>
        </w:rPr>
        <w:t> </w:t>
      </w:r>
      <w:r>
        <w:rPr>
          <w:sz w:val="24"/>
        </w:rPr>
        <w:t>of</w:t>
      </w:r>
      <w:r>
        <w:rPr>
          <w:spacing w:val="40"/>
          <w:sz w:val="24"/>
        </w:rPr>
        <w:t> </w:t>
      </w:r>
      <w:r>
        <w:rPr>
          <w:sz w:val="24"/>
        </w:rPr>
        <w:t>Annual</w:t>
      </w:r>
      <w:r>
        <w:rPr>
          <w:spacing w:val="40"/>
          <w:sz w:val="24"/>
        </w:rPr>
        <w:t> </w:t>
      </w:r>
      <w:r>
        <w:rPr>
          <w:sz w:val="24"/>
        </w:rPr>
        <w:t>Schedule</w:t>
      </w:r>
      <w:r>
        <w:rPr>
          <w:spacing w:val="40"/>
          <w:sz w:val="24"/>
        </w:rPr>
        <w:t> </w:t>
      </w:r>
      <w:r>
        <w:rPr>
          <w:sz w:val="24"/>
        </w:rPr>
        <w:t>of</w:t>
      </w:r>
      <w:r>
        <w:rPr>
          <w:spacing w:val="40"/>
          <w:sz w:val="24"/>
        </w:rPr>
        <w:t> </w:t>
      </w:r>
      <w:r>
        <w:rPr>
          <w:sz w:val="24"/>
        </w:rPr>
        <w:t>Rate.</w:t>
      </w:r>
    </w:p>
    <w:p>
      <w:pPr>
        <w:pStyle w:val="ListParagraph"/>
        <w:numPr>
          <w:ilvl w:val="1"/>
          <w:numId w:val="195"/>
        </w:numPr>
        <w:tabs>
          <w:tab w:pos="2778" w:val="left" w:leader="none"/>
        </w:tabs>
        <w:spacing w:line="240" w:lineRule="auto" w:before="241" w:after="0"/>
        <w:ind w:left="2062" w:right="768" w:firstLine="0"/>
        <w:jc w:val="both"/>
        <w:rPr>
          <w:sz w:val="24"/>
        </w:rPr>
      </w:pPr>
      <w:r>
        <w:rPr>
          <w:sz w:val="24"/>
        </w:rPr>
        <w:t>Relaxations</w:t>
      </w:r>
      <w:r>
        <w:rPr>
          <w:spacing w:val="-9"/>
          <w:sz w:val="24"/>
        </w:rPr>
        <w:t> </w:t>
      </w:r>
      <w:r>
        <w:rPr>
          <w:sz w:val="24"/>
        </w:rPr>
        <w:t>for</w:t>
      </w:r>
      <w:r>
        <w:rPr>
          <w:spacing w:val="-9"/>
          <w:sz w:val="24"/>
        </w:rPr>
        <w:t> </w:t>
      </w:r>
      <w:r>
        <w:rPr>
          <w:sz w:val="24"/>
        </w:rPr>
        <w:t>the</w:t>
      </w:r>
      <w:r>
        <w:rPr>
          <w:spacing w:val="-9"/>
          <w:sz w:val="24"/>
        </w:rPr>
        <w:t> </w:t>
      </w:r>
      <w:r>
        <w:rPr>
          <w:sz w:val="24"/>
        </w:rPr>
        <w:t>free</w:t>
      </w:r>
      <w:r>
        <w:rPr>
          <w:spacing w:val="-9"/>
          <w:sz w:val="24"/>
        </w:rPr>
        <w:t> </w:t>
      </w:r>
      <w:r>
        <w:rPr>
          <w:sz w:val="24"/>
        </w:rPr>
        <w:t>sale</w:t>
      </w:r>
      <w:r>
        <w:rPr>
          <w:spacing w:val="-9"/>
          <w:sz w:val="24"/>
        </w:rPr>
        <w:t> </w:t>
      </w:r>
      <w:r>
        <w:rPr>
          <w:sz w:val="24"/>
        </w:rPr>
        <w:t>component</w:t>
      </w:r>
      <w:r>
        <w:rPr>
          <w:spacing w:val="-8"/>
          <w:sz w:val="24"/>
        </w:rPr>
        <w:t> </w:t>
      </w:r>
      <w:r>
        <w:rPr>
          <w:sz w:val="24"/>
        </w:rPr>
        <w:t>–</w:t>
      </w:r>
      <w:r>
        <w:rPr>
          <w:spacing w:val="-12"/>
          <w:sz w:val="24"/>
        </w:rPr>
        <w:t> </w:t>
      </w:r>
      <w:r>
        <w:rPr>
          <w:sz w:val="24"/>
        </w:rPr>
        <w:t>Relaxation</w:t>
      </w:r>
      <w:r>
        <w:rPr>
          <w:spacing w:val="-9"/>
          <w:sz w:val="24"/>
        </w:rPr>
        <w:t> </w:t>
      </w:r>
      <w:r>
        <w:rPr>
          <w:sz w:val="24"/>
        </w:rPr>
        <w:t>contained</w:t>
      </w:r>
      <w:r>
        <w:rPr>
          <w:spacing w:val="-9"/>
          <w:sz w:val="24"/>
        </w:rPr>
        <w:t> </w:t>
      </w:r>
      <w:r>
        <w:rPr>
          <w:sz w:val="24"/>
        </w:rPr>
        <w:t>in sub-regulation No.6.6, 6.7, 6.11, 6.12, 6.13 above, other necessary relaxation shall be given to the free sale components for deficient area on payment of premium at the 2.5% rate of ASR for open land (for FSI 1)or 10% of normal premium whichever is more.</w:t>
      </w:r>
    </w:p>
    <w:p>
      <w:pPr>
        <w:pStyle w:val="ListParagraph"/>
        <w:numPr>
          <w:ilvl w:val="1"/>
          <w:numId w:val="195"/>
        </w:numPr>
        <w:tabs>
          <w:tab w:pos="3014" w:val="left" w:leader="none"/>
        </w:tabs>
        <w:spacing w:line="240" w:lineRule="auto" w:before="241" w:after="0"/>
        <w:ind w:left="2062" w:right="768" w:firstLine="0"/>
        <w:jc w:val="both"/>
        <w:rPr>
          <w:sz w:val="24"/>
        </w:rPr>
      </w:pPr>
      <w:r>
        <w:rPr>
          <w:sz w:val="24"/>
        </w:rPr>
        <w:t>In order to make the Slum Rehabilitation Scheme viable, the OSD, DRP shall be competent to make any relaxation wherever necessary</w:t>
      </w:r>
      <w:r>
        <w:rPr>
          <w:spacing w:val="-10"/>
          <w:sz w:val="24"/>
        </w:rPr>
        <w:t> </w:t>
      </w:r>
      <w:r>
        <w:rPr>
          <w:sz w:val="24"/>
        </w:rPr>
        <w:t>for</w:t>
      </w:r>
      <w:r>
        <w:rPr>
          <w:spacing w:val="-10"/>
          <w:sz w:val="24"/>
        </w:rPr>
        <w:t> </w:t>
      </w:r>
      <w:r>
        <w:rPr>
          <w:sz w:val="24"/>
        </w:rPr>
        <w:t>reasons</w:t>
      </w:r>
      <w:r>
        <w:rPr>
          <w:spacing w:val="-10"/>
          <w:sz w:val="24"/>
        </w:rPr>
        <w:t> </w:t>
      </w:r>
      <w:r>
        <w:rPr>
          <w:sz w:val="24"/>
        </w:rPr>
        <w:t>to</w:t>
      </w:r>
      <w:r>
        <w:rPr>
          <w:spacing w:val="-10"/>
          <w:sz w:val="24"/>
        </w:rPr>
        <w:t> </w:t>
      </w:r>
      <w:r>
        <w:rPr>
          <w:sz w:val="24"/>
        </w:rPr>
        <w:t>be</w:t>
      </w:r>
      <w:r>
        <w:rPr>
          <w:spacing w:val="-10"/>
          <w:sz w:val="24"/>
        </w:rPr>
        <w:t> </w:t>
      </w:r>
      <w:r>
        <w:rPr>
          <w:sz w:val="24"/>
        </w:rPr>
        <w:t>recorded</w:t>
      </w:r>
      <w:r>
        <w:rPr>
          <w:spacing w:val="-10"/>
          <w:sz w:val="24"/>
        </w:rPr>
        <w:t> </w:t>
      </w:r>
      <w:r>
        <w:rPr>
          <w:sz w:val="24"/>
        </w:rPr>
        <w:t>in</w:t>
      </w:r>
      <w:r>
        <w:rPr>
          <w:spacing w:val="-8"/>
          <w:sz w:val="24"/>
        </w:rPr>
        <w:t> </w:t>
      </w:r>
      <w:r>
        <w:rPr>
          <w:sz w:val="24"/>
        </w:rPr>
        <w:t>writing</w:t>
      </w:r>
      <w:r>
        <w:rPr>
          <w:spacing w:val="-10"/>
          <w:sz w:val="24"/>
        </w:rPr>
        <w:t> </w:t>
      </w:r>
      <w:r>
        <w:rPr>
          <w:sz w:val="24"/>
        </w:rPr>
        <w:t>by</w:t>
      </w:r>
      <w:r>
        <w:rPr>
          <w:spacing w:val="-10"/>
          <w:sz w:val="24"/>
        </w:rPr>
        <w:t> </w:t>
      </w:r>
      <w:r>
        <w:rPr>
          <w:sz w:val="24"/>
        </w:rPr>
        <w:t>charging</w:t>
      </w:r>
      <w:r>
        <w:rPr>
          <w:spacing w:val="-7"/>
          <w:sz w:val="24"/>
        </w:rPr>
        <w:t> </w:t>
      </w:r>
      <w:r>
        <w:rPr>
          <w:sz w:val="24"/>
        </w:rPr>
        <w:t>2.5%</w:t>
      </w:r>
      <w:r>
        <w:rPr>
          <w:spacing w:val="-10"/>
          <w:sz w:val="24"/>
        </w:rPr>
        <w:t> </w:t>
      </w:r>
      <w:r>
        <w:rPr>
          <w:sz w:val="24"/>
        </w:rPr>
        <w:t>rate</w:t>
      </w:r>
      <w:r>
        <w:rPr>
          <w:spacing w:val="-10"/>
          <w:sz w:val="24"/>
        </w:rPr>
        <w:t> </w:t>
      </w:r>
      <w:r>
        <w:rPr>
          <w:sz w:val="24"/>
        </w:rPr>
        <w:t>of</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69"/>
      </w:pPr>
      <w:r>
        <w:rPr/>
        <w:t>ASR of open land (for FSI 1.)or 10% of normal premium whichever is </w:t>
      </w:r>
      <w:r>
        <w:rPr>
          <w:spacing w:val="-2"/>
        </w:rPr>
        <w:t>more.</w:t>
      </w:r>
    </w:p>
    <w:p>
      <w:pPr>
        <w:pStyle w:val="Heading6"/>
        <w:numPr>
          <w:ilvl w:val="0"/>
          <w:numId w:val="195"/>
        </w:numPr>
        <w:tabs>
          <w:tab w:pos="2781" w:val="left" w:leader="none"/>
        </w:tabs>
        <w:spacing w:line="240" w:lineRule="auto" w:before="238" w:after="0"/>
        <w:ind w:left="2781" w:right="0" w:hanging="719"/>
        <w:jc w:val="both"/>
        <w:rPr>
          <w:i w:val="0"/>
        </w:rPr>
      </w:pPr>
      <w:r>
        <w:rPr/>
        <w:t>SLUMS</w:t>
      </w:r>
      <w:r>
        <w:rPr>
          <w:spacing w:val="-4"/>
        </w:rPr>
        <w:t> </w:t>
      </w:r>
      <w:r>
        <w:rPr/>
        <w:t>AND</w:t>
      </w:r>
      <w:r>
        <w:rPr>
          <w:spacing w:val="-3"/>
        </w:rPr>
        <w:t> </w:t>
      </w:r>
      <w:r>
        <w:rPr/>
        <w:t>DEVELOPMENT</w:t>
      </w:r>
      <w:r>
        <w:rPr>
          <w:spacing w:val="-4"/>
        </w:rPr>
        <w:t> </w:t>
      </w:r>
      <w:r>
        <w:rPr/>
        <w:t>PLAN</w:t>
      </w:r>
      <w:r>
        <w:rPr>
          <w:spacing w:val="-3"/>
        </w:rPr>
        <w:t> </w:t>
      </w:r>
      <w:r>
        <w:rPr>
          <w:spacing w:val="-2"/>
        </w:rPr>
        <w:t>RESERVATIONS:</w:t>
      </w:r>
    </w:p>
    <w:p>
      <w:pPr>
        <w:pStyle w:val="ListParagraph"/>
        <w:numPr>
          <w:ilvl w:val="1"/>
          <w:numId w:val="195"/>
        </w:numPr>
        <w:tabs>
          <w:tab w:pos="2779" w:val="left" w:leader="none"/>
        </w:tabs>
        <w:spacing w:line="240" w:lineRule="auto" w:before="244" w:after="0"/>
        <w:ind w:left="2062" w:right="768" w:firstLine="0"/>
        <w:jc w:val="both"/>
        <w:rPr>
          <w:sz w:val="24"/>
        </w:rPr>
      </w:pPr>
      <w:r>
        <w:rPr>
          <w:sz w:val="24"/>
        </w:rPr>
        <w:t>Reservations in the DP shall be developed to the fullest extent. Additional</w:t>
      </w:r>
      <w:r>
        <w:rPr>
          <w:spacing w:val="-15"/>
          <w:sz w:val="24"/>
        </w:rPr>
        <w:t> </w:t>
      </w:r>
      <w:r>
        <w:rPr>
          <w:sz w:val="24"/>
        </w:rPr>
        <w:t>amenities</w:t>
      </w:r>
      <w:r>
        <w:rPr>
          <w:spacing w:val="-15"/>
          <w:sz w:val="24"/>
        </w:rPr>
        <w:t> </w:t>
      </w:r>
      <w:r>
        <w:rPr>
          <w:sz w:val="24"/>
        </w:rPr>
        <w:t>and</w:t>
      </w:r>
      <w:r>
        <w:rPr>
          <w:spacing w:val="-15"/>
          <w:sz w:val="24"/>
        </w:rPr>
        <w:t> </w:t>
      </w:r>
      <w:r>
        <w:rPr>
          <w:sz w:val="24"/>
        </w:rPr>
        <w:t>facilities</w:t>
      </w:r>
      <w:r>
        <w:rPr>
          <w:spacing w:val="-15"/>
          <w:sz w:val="24"/>
        </w:rPr>
        <w:t> </w:t>
      </w:r>
      <w:r>
        <w:rPr>
          <w:sz w:val="24"/>
        </w:rPr>
        <w:t>shall</w:t>
      </w:r>
      <w:r>
        <w:rPr>
          <w:spacing w:val="-13"/>
          <w:sz w:val="24"/>
        </w:rPr>
        <w:t> </w:t>
      </w:r>
      <w:r>
        <w:rPr>
          <w:sz w:val="24"/>
        </w:rPr>
        <w:t>be</w:t>
      </w:r>
      <w:r>
        <w:rPr>
          <w:spacing w:val="-15"/>
          <w:sz w:val="24"/>
        </w:rPr>
        <w:t> </w:t>
      </w:r>
      <w:r>
        <w:rPr>
          <w:sz w:val="24"/>
        </w:rPr>
        <w:t>provided</w:t>
      </w:r>
      <w:r>
        <w:rPr>
          <w:spacing w:val="-15"/>
          <w:sz w:val="24"/>
        </w:rPr>
        <w:t> </w:t>
      </w:r>
      <w:r>
        <w:rPr>
          <w:sz w:val="24"/>
        </w:rPr>
        <w:t>as</w:t>
      </w:r>
      <w:r>
        <w:rPr>
          <w:spacing w:val="-15"/>
          <w:sz w:val="24"/>
        </w:rPr>
        <w:t> </w:t>
      </w:r>
      <w:r>
        <w:rPr>
          <w:sz w:val="24"/>
        </w:rPr>
        <w:t>per</w:t>
      </w:r>
      <w:r>
        <w:rPr>
          <w:spacing w:val="-13"/>
          <w:sz w:val="24"/>
        </w:rPr>
        <w:t> </w:t>
      </w:r>
      <w:r>
        <w:rPr>
          <w:sz w:val="24"/>
        </w:rPr>
        <w:t>the</w:t>
      </w:r>
      <w:r>
        <w:rPr>
          <w:spacing w:val="-13"/>
          <w:sz w:val="24"/>
        </w:rPr>
        <w:t> </w:t>
      </w:r>
      <w:r>
        <w:rPr>
          <w:sz w:val="24"/>
        </w:rPr>
        <w:t>quantum shown in Annexure – ‘A’ to this Regulation. Relocation of reservations within sector if so required to overcome the sector planning constraint shall be permitted with the special permission of CEO/OSD(DRP) of </w:t>
      </w:r>
      <w:r>
        <w:rPr>
          <w:spacing w:val="-4"/>
          <w:sz w:val="24"/>
        </w:rPr>
        <w:t>SRA.</w:t>
      </w:r>
    </w:p>
    <w:p>
      <w:pPr>
        <w:pStyle w:val="BodyText"/>
        <w:spacing w:before="239"/>
        <w:ind w:left="2062" w:right="766"/>
      </w:pPr>
      <w:r>
        <w:rPr/>
        <w:t>Area of amenities and facilities to be provided as per Annexure-A shall be</w:t>
      </w:r>
      <w:r>
        <w:rPr>
          <w:spacing w:val="-9"/>
        </w:rPr>
        <w:t> </w:t>
      </w:r>
      <w:r>
        <w:rPr/>
        <w:t>inclusive</w:t>
      </w:r>
      <w:r>
        <w:rPr>
          <w:spacing w:val="-9"/>
        </w:rPr>
        <w:t> </w:t>
      </w:r>
      <w:r>
        <w:rPr/>
        <w:t>of</w:t>
      </w:r>
      <w:r>
        <w:rPr>
          <w:spacing w:val="-9"/>
        </w:rPr>
        <w:t> </w:t>
      </w:r>
      <w:r>
        <w:rPr/>
        <w:t>reservations</w:t>
      </w:r>
      <w:r>
        <w:rPr>
          <w:spacing w:val="-9"/>
        </w:rPr>
        <w:t> </w:t>
      </w:r>
      <w:r>
        <w:rPr/>
        <w:t>in</w:t>
      </w:r>
      <w:r>
        <w:rPr>
          <w:spacing w:val="-9"/>
        </w:rPr>
        <w:t> </w:t>
      </w:r>
      <w:r>
        <w:rPr/>
        <w:t>sanctioned</w:t>
      </w:r>
      <w:r>
        <w:rPr>
          <w:spacing w:val="-12"/>
        </w:rPr>
        <w:t> </w:t>
      </w:r>
      <w:r>
        <w:rPr/>
        <w:t>DP.</w:t>
      </w:r>
      <w:r>
        <w:rPr>
          <w:spacing w:val="-9"/>
        </w:rPr>
        <w:t> </w:t>
      </w:r>
      <w:r>
        <w:rPr/>
        <w:t>Types</w:t>
      </w:r>
      <w:r>
        <w:rPr>
          <w:spacing w:val="-9"/>
        </w:rPr>
        <w:t> </w:t>
      </w:r>
      <w:r>
        <w:rPr/>
        <w:t>of</w:t>
      </w:r>
      <w:r>
        <w:rPr>
          <w:spacing w:val="-9"/>
        </w:rPr>
        <w:t> </w:t>
      </w:r>
      <w:r>
        <w:rPr/>
        <w:t>reservations</w:t>
      </w:r>
      <w:r>
        <w:rPr>
          <w:spacing w:val="-9"/>
        </w:rPr>
        <w:t> </w:t>
      </w:r>
      <w:r>
        <w:rPr/>
        <w:t>and area of reservations shall in no case be reduced</w:t>
      </w:r>
    </w:p>
    <w:p>
      <w:pPr>
        <w:pStyle w:val="ListParagraph"/>
        <w:numPr>
          <w:ilvl w:val="1"/>
          <w:numId w:val="195"/>
        </w:numPr>
        <w:tabs>
          <w:tab w:pos="2779" w:val="left" w:leader="none"/>
        </w:tabs>
        <w:spacing w:line="240" w:lineRule="auto" w:before="241" w:after="0"/>
        <w:ind w:left="2062" w:right="766" w:firstLine="0"/>
        <w:jc w:val="both"/>
        <w:rPr>
          <w:sz w:val="24"/>
        </w:rPr>
      </w:pPr>
      <w:r>
        <w:rPr>
          <w:sz w:val="24"/>
        </w:rPr>
        <w:t>Slums/Structures under renewal situated in lands falling under residential(R),</w:t>
      </w:r>
      <w:r>
        <w:rPr>
          <w:spacing w:val="-7"/>
          <w:sz w:val="24"/>
        </w:rPr>
        <w:t> </w:t>
      </w:r>
      <w:r>
        <w:rPr>
          <w:sz w:val="24"/>
        </w:rPr>
        <w:t>commercial(C),</w:t>
      </w:r>
      <w:r>
        <w:rPr>
          <w:spacing w:val="-7"/>
          <w:sz w:val="24"/>
        </w:rPr>
        <w:t> </w:t>
      </w:r>
      <w:r>
        <w:rPr>
          <w:sz w:val="24"/>
        </w:rPr>
        <w:t>industrial</w:t>
      </w:r>
      <w:r>
        <w:rPr>
          <w:spacing w:val="-7"/>
          <w:sz w:val="24"/>
        </w:rPr>
        <w:t> </w:t>
      </w:r>
      <w:r>
        <w:rPr>
          <w:sz w:val="24"/>
        </w:rPr>
        <w:t>(I)</w:t>
      </w:r>
      <w:r>
        <w:rPr>
          <w:spacing w:val="-7"/>
          <w:sz w:val="24"/>
        </w:rPr>
        <w:t> </w:t>
      </w:r>
      <w:r>
        <w:rPr>
          <w:sz w:val="24"/>
        </w:rPr>
        <w:t>zones</w:t>
      </w:r>
      <w:r>
        <w:rPr>
          <w:spacing w:val="-9"/>
          <w:sz w:val="24"/>
        </w:rPr>
        <w:t> </w:t>
      </w:r>
      <w:r>
        <w:rPr>
          <w:sz w:val="24"/>
        </w:rPr>
        <w:t>which</w:t>
      </w:r>
      <w:r>
        <w:rPr>
          <w:spacing w:val="-7"/>
          <w:sz w:val="24"/>
        </w:rPr>
        <w:t> </w:t>
      </w:r>
      <w:r>
        <w:rPr>
          <w:sz w:val="24"/>
        </w:rPr>
        <w:t>are</w:t>
      </w:r>
      <w:r>
        <w:rPr>
          <w:spacing w:val="-9"/>
          <w:sz w:val="24"/>
        </w:rPr>
        <w:t> </w:t>
      </w:r>
      <w:r>
        <w:rPr>
          <w:sz w:val="24"/>
        </w:rPr>
        <w:t>not</w:t>
      </w:r>
      <w:r>
        <w:rPr>
          <w:spacing w:val="-7"/>
          <w:sz w:val="24"/>
        </w:rPr>
        <w:t> </w:t>
      </w:r>
      <w:r>
        <w:rPr>
          <w:sz w:val="24"/>
        </w:rPr>
        <w:t>affected by any other allocations/designations/reservations in the final DP&amp; may be developed subject to the following:</w:t>
      </w:r>
    </w:p>
    <w:p>
      <w:pPr>
        <w:pStyle w:val="ListParagraph"/>
        <w:numPr>
          <w:ilvl w:val="0"/>
          <w:numId w:val="198"/>
        </w:numPr>
        <w:tabs>
          <w:tab w:pos="2780" w:val="left" w:leader="none"/>
        </w:tabs>
        <w:spacing w:line="240" w:lineRule="auto" w:before="241" w:after="0"/>
        <w:ind w:left="2062" w:right="767" w:firstLine="76"/>
        <w:jc w:val="both"/>
        <w:rPr>
          <w:sz w:val="24"/>
        </w:rPr>
      </w:pPr>
      <w:r>
        <w:rPr>
          <w:sz w:val="24"/>
        </w:rPr>
        <w:t>(a)</w:t>
      </w:r>
      <w:r>
        <w:rPr>
          <w:spacing w:val="-4"/>
          <w:sz w:val="24"/>
        </w:rPr>
        <w:t> </w:t>
      </w:r>
      <w:r>
        <w:rPr>
          <w:sz w:val="24"/>
        </w:rPr>
        <w:t>Lands</w:t>
      </w:r>
      <w:r>
        <w:rPr>
          <w:spacing w:val="-4"/>
          <w:sz w:val="24"/>
        </w:rPr>
        <w:t> </w:t>
      </w:r>
      <w:r>
        <w:rPr>
          <w:sz w:val="24"/>
        </w:rPr>
        <w:t>in</w:t>
      </w:r>
      <w:r>
        <w:rPr>
          <w:spacing w:val="-4"/>
          <w:sz w:val="24"/>
        </w:rPr>
        <w:t> </w:t>
      </w:r>
      <w:r>
        <w:rPr>
          <w:sz w:val="24"/>
        </w:rPr>
        <w:t>residential</w:t>
      </w:r>
      <w:r>
        <w:rPr>
          <w:spacing w:val="-4"/>
          <w:sz w:val="24"/>
        </w:rPr>
        <w:t> </w:t>
      </w:r>
      <w:r>
        <w:rPr>
          <w:sz w:val="24"/>
        </w:rPr>
        <w:t>(R)</w:t>
      </w:r>
      <w:r>
        <w:rPr>
          <w:spacing w:val="-4"/>
          <w:sz w:val="24"/>
        </w:rPr>
        <w:t> </w:t>
      </w:r>
      <w:r>
        <w:rPr>
          <w:sz w:val="24"/>
        </w:rPr>
        <w:t>and</w:t>
      </w:r>
      <w:r>
        <w:rPr>
          <w:spacing w:val="-4"/>
          <w:sz w:val="24"/>
        </w:rPr>
        <w:t> </w:t>
      </w:r>
      <w:r>
        <w:rPr>
          <w:sz w:val="24"/>
        </w:rPr>
        <w:t>commercial</w:t>
      </w:r>
      <w:r>
        <w:rPr>
          <w:spacing w:val="-4"/>
          <w:sz w:val="24"/>
        </w:rPr>
        <w:t> </w:t>
      </w:r>
      <w:r>
        <w:rPr>
          <w:sz w:val="24"/>
        </w:rPr>
        <w:t>(C)</w:t>
      </w:r>
      <w:r>
        <w:rPr>
          <w:spacing w:val="-4"/>
          <w:sz w:val="24"/>
        </w:rPr>
        <w:t> </w:t>
      </w:r>
      <w:r>
        <w:rPr>
          <w:sz w:val="24"/>
        </w:rPr>
        <w:t>zones</w:t>
      </w:r>
      <w:r>
        <w:rPr>
          <w:spacing w:val="-4"/>
          <w:sz w:val="24"/>
        </w:rPr>
        <w:t> </w:t>
      </w:r>
      <w:r>
        <w:rPr>
          <w:sz w:val="24"/>
        </w:rPr>
        <w:t>occupied</w:t>
      </w:r>
      <w:r>
        <w:rPr>
          <w:spacing w:val="-4"/>
          <w:sz w:val="24"/>
        </w:rPr>
        <w:t> </w:t>
      </w:r>
      <w:r>
        <w:rPr>
          <w:sz w:val="24"/>
        </w:rPr>
        <w:t>by existing slums/structures under renewal</w:t>
      </w:r>
      <w:r>
        <w:rPr>
          <w:spacing w:val="-2"/>
          <w:sz w:val="24"/>
        </w:rPr>
        <w:t> </w:t>
      </w:r>
      <w:r>
        <w:rPr>
          <w:sz w:val="24"/>
        </w:rPr>
        <w:t>be allowed to</w:t>
      </w:r>
      <w:r>
        <w:rPr>
          <w:spacing w:val="-2"/>
          <w:sz w:val="24"/>
        </w:rPr>
        <w:t> </w:t>
      </w:r>
      <w:r>
        <w:rPr>
          <w:sz w:val="24"/>
        </w:rPr>
        <w:t>be developed in accordance with the provisions contained in this Regulation.</w:t>
      </w:r>
    </w:p>
    <w:p>
      <w:pPr>
        <w:pStyle w:val="BodyText"/>
        <w:spacing w:before="239"/>
        <w:ind w:left="2062" w:right="771"/>
      </w:pPr>
      <w:r>
        <w:rPr/>
        <w:t>(b)</w:t>
      </w:r>
      <w:r>
        <w:rPr>
          <w:spacing w:val="80"/>
        </w:rPr>
        <w:t>  </w:t>
      </w:r>
      <w:r>
        <w:rPr/>
        <w:t>Lands in industrial zones (I)/Industrial estate may be allowed to be</w:t>
      </w:r>
      <w:r>
        <w:rPr>
          <w:spacing w:val="8"/>
        </w:rPr>
        <w:t> </w:t>
      </w:r>
      <w:r>
        <w:rPr/>
        <w:t>converted</w:t>
      </w:r>
      <w:r>
        <w:rPr>
          <w:spacing w:val="9"/>
        </w:rPr>
        <w:t> </w:t>
      </w:r>
      <w:r>
        <w:rPr/>
        <w:t>into</w:t>
      </w:r>
      <w:r>
        <w:rPr>
          <w:spacing w:val="9"/>
        </w:rPr>
        <w:t> </w:t>
      </w:r>
      <w:r>
        <w:rPr/>
        <w:t>residential</w:t>
      </w:r>
      <w:r>
        <w:rPr>
          <w:spacing w:val="9"/>
        </w:rPr>
        <w:t> </w:t>
      </w:r>
      <w:r>
        <w:rPr/>
        <w:t>users</w:t>
      </w:r>
      <w:r>
        <w:rPr>
          <w:spacing w:val="9"/>
        </w:rPr>
        <w:t> </w:t>
      </w:r>
      <w:r>
        <w:rPr/>
        <w:t>in</w:t>
      </w:r>
      <w:r>
        <w:rPr>
          <w:spacing w:val="8"/>
        </w:rPr>
        <w:t> </w:t>
      </w:r>
      <w:r>
        <w:rPr/>
        <w:t>accordance</w:t>
      </w:r>
      <w:r>
        <w:rPr>
          <w:spacing w:val="9"/>
        </w:rPr>
        <w:t> </w:t>
      </w:r>
      <w:r>
        <w:rPr/>
        <w:t>with</w:t>
      </w:r>
      <w:r>
        <w:rPr>
          <w:spacing w:val="52"/>
        </w:rPr>
        <w:t>  </w:t>
      </w:r>
      <w:r>
        <w:rPr/>
        <w:t>Regulation</w:t>
      </w:r>
      <w:r>
        <w:rPr>
          <w:spacing w:val="10"/>
        </w:rPr>
        <w:t> </w:t>
      </w:r>
      <w:r>
        <w:rPr>
          <w:spacing w:val="-5"/>
        </w:rPr>
        <w:t>No</w:t>
      </w:r>
    </w:p>
    <w:p>
      <w:pPr>
        <w:pStyle w:val="BodyText"/>
        <w:spacing w:before="1"/>
        <w:ind w:left="2062" w:right="768"/>
      </w:pPr>
      <w:r>
        <w:rPr/>
        <w:t>14(B).</w:t>
      </w:r>
      <w:r>
        <w:rPr>
          <w:spacing w:val="-19"/>
        </w:rPr>
        <w:t> </w:t>
      </w:r>
      <w:r>
        <w:rPr/>
        <w:t>Such</w:t>
      </w:r>
      <w:r>
        <w:rPr>
          <w:spacing w:val="-19"/>
        </w:rPr>
        <w:t> </w:t>
      </w:r>
      <w:r>
        <w:rPr/>
        <w:t>lands</w:t>
      </w:r>
      <w:r>
        <w:rPr>
          <w:spacing w:val="-20"/>
        </w:rPr>
        <w:t> </w:t>
      </w:r>
      <w:r>
        <w:rPr/>
        <w:t>occupied</w:t>
      </w:r>
      <w:r>
        <w:rPr>
          <w:spacing w:val="-19"/>
        </w:rPr>
        <w:t> </w:t>
      </w:r>
      <w:r>
        <w:rPr/>
        <w:t>by</w:t>
      </w:r>
      <w:r>
        <w:rPr>
          <w:spacing w:val="-19"/>
        </w:rPr>
        <w:t> </w:t>
      </w:r>
      <w:r>
        <w:rPr/>
        <w:t>existing</w:t>
      </w:r>
      <w:r>
        <w:rPr>
          <w:spacing w:val="-19"/>
        </w:rPr>
        <w:t> </w:t>
      </w:r>
      <w:r>
        <w:rPr/>
        <w:t>slums/structures</w:t>
      </w:r>
      <w:r>
        <w:rPr>
          <w:spacing w:val="-19"/>
        </w:rPr>
        <w:t> </w:t>
      </w:r>
      <w:r>
        <w:rPr/>
        <w:t>under</w:t>
      </w:r>
      <w:r>
        <w:rPr>
          <w:spacing w:val="-19"/>
        </w:rPr>
        <w:t> </w:t>
      </w:r>
      <w:r>
        <w:rPr/>
        <w:t>renewal may further be allowed to be developed in accordance with the provisions contained in this Regulation.</w:t>
      </w:r>
    </w:p>
    <w:p>
      <w:pPr>
        <w:pStyle w:val="ListParagraph"/>
        <w:numPr>
          <w:ilvl w:val="0"/>
          <w:numId w:val="198"/>
        </w:numPr>
        <w:tabs>
          <w:tab w:pos="2781" w:val="left" w:leader="none"/>
        </w:tabs>
        <w:spacing w:line="240" w:lineRule="auto" w:before="240" w:after="0"/>
        <w:ind w:left="2062" w:right="769" w:firstLine="0"/>
        <w:jc w:val="both"/>
        <w:rPr>
          <w:sz w:val="24"/>
        </w:rPr>
      </w:pPr>
      <w:r>
        <w:rPr>
          <w:sz w:val="24"/>
        </w:rPr>
        <w:t>Lands</w:t>
      </w:r>
      <w:r>
        <w:rPr>
          <w:spacing w:val="-20"/>
          <w:sz w:val="24"/>
        </w:rPr>
        <w:t> </w:t>
      </w:r>
      <w:r>
        <w:rPr>
          <w:sz w:val="24"/>
        </w:rPr>
        <w:t>in</w:t>
      </w:r>
      <w:r>
        <w:rPr>
          <w:spacing w:val="-19"/>
          <w:sz w:val="24"/>
        </w:rPr>
        <w:t> </w:t>
      </w:r>
      <w:r>
        <w:rPr>
          <w:sz w:val="24"/>
        </w:rPr>
        <w:t>industrial</w:t>
      </w:r>
      <w:r>
        <w:rPr>
          <w:spacing w:val="-19"/>
          <w:sz w:val="24"/>
        </w:rPr>
        <w:t> </w:t>
      </w:r>
      <w:r>
        <w:rPr>
          <w:sz w:val="24"/>
        </w:rPr>
        <w:t>zone</w:t>
      </w:r>
      <w:r>
        <w:rPr>
          <w:spacing w:val="-19"/>
          <w:sz w:val="24"/>
        </w:rPr>
        <w:t> </w:t>
      </w:r>
      <w:r>
        <w:rPr>
          <w:sz w:val="24"/>
        </w:rPr>
        <w:t>(I)</w:t>
      </w:r>
      <w:r>
        <w:rPr>
          <w:spacing w:val="-19"/>
          <w:sz w:val="24"/>
        </w:rPr>
        <w:t> </w:t>
      </w:r>
      <w:r>
        <w:rPr>
          <w:sz w:val="24"/>
        </w:rPr>
        <w:t>occupied</w:t>
      </w:r>
      <w:r>
        <w:rPr>
          <w:spacing w:val="-20"/>
          <w:sz w:val="24"/>
        </w:rPr>
        <w:t> </w:t>
      </w:r>
      <w:r>
        <w:rPr>
          <w:sz w:val="24"/>
        </w:rPr>
        <w:t>by</w:t>
      </w:r>
      <w:r>
        <w:rPr>
          <w:spacing w:val="-19"/>
          <w:sz w:val="24"/>
        </w:rPr>
        <w:t> </w:t>
      </w:r>
      <w:r>
        <w:rPr>
          <w:sz w:val="24"/>
        </w:rPr>
        <w:t>existing</w:t>
      </w:r>
      <w:r>
        <w:rPr>
          <w:spacing w:val="-19"/>
          <w:sz w:val="24"/>
        </w:rPr>
        <w:t> </w:t>
      </w:r>
      <w:r>
        <w:rPr>
          <w:sz w:val="24"/>
        </w:rPr>
        <w:t>slums/structures under renewal shall be allowed to be developed in accordance with the provisions contained in this sub-regulation 33(10) (A) and 33 (9) (A).</w:t>
      </w:r>
    </w:p>
    <w:p>
      <w:pPr>
        <w:pStyle w:val="ListParagraph"/>
        <w:numPr>
          <w:ilvl w:val="0"/>
          <w:numId w:val="198"/>
        </w:numPr>
        <w:tabs>
          <w:tab w:pos="2781" w:val="left" w:leader="none"/>
        </w:tabs>
        <w:spacing w:line="240" w:lineRule="auto" w:before="240" w:after="0"/>
        <w:ind w:left="2062" w:right="769" w:firstLine="0"/>
        <w:jc w:val="both"/>
        <w:rPr>
          <w:sz w:val="24"/>
        </w:rPr>
      </w:pPr>
      <w:r>
        <w:rPr>
          <w:sz w:val="24"/>
        </w:rPr>
        <w:t>As</w:t>
      </w:r>
      <w:r>
        <w:rPr>
          <w:spacing w:val="-13"/>
          <w:sz w:val="24"/>
        </w:rPr>
        <w:t> </w:t>
      </w:r>
      <w:r>
        <w:rPr>
          <w:sz w:val="24"/>
        </w:rPr>
        <w:t>a</w:t>
      </w:r>
      <w:r>
        <w:rPr>
          <w:spacing w:val="-13"/>
          <w:sz w:val="24"/>
        </w:rPr>
        <w:t> </w:t>
      </w:r>
      <w:r>
        <w:rPr>
          <w:sz w:val="24"/>
        </w:rPr>
        <w:t>special</w:t>
      </w:r>
      <w:r>
        <w:rPr>
          <w:spacing w:val="-13"/>
          <w:sz w:val="24"/>
        </w:rPr>
        <w:t> </w:t>
      </w:r>
      <w:r>
        <w:rPr>
          <w:sz w:val="24"/>
        </w:rPr>
        <w:t>case</w:t>
      </w:r>
      <w:r>
        <w:rPr>
          <w:spacing w:val="-10"/>
          <w:sz w:val="24"/>
        </w:rPr>
        <w:t> </w:t>
      </w:r>
      <w:r>
        <w:rPr>
          <w:sz w:val="24"/>
        </w:rPr>
        <w:t>for</w:t>
      </w:r>
      <w:r>
        <w:rPr>
          <w:spacing w:val="-11"/>
          <w:sz w:val="24"/>
        </w:rPr>
        <w:t> </w:t>
      </w:r>
      <w:r>
        <w:rPr>
          <w:sz w:val="24"/>
        </w:rPr>
        <w:t>DRP</w:t>
      </w:r>
      <w:r>
        <w:rPr>
          <w:spacing w:val="-13"/>
          <w:sz w:val="24"/>
        </w:rPr>
        <w:t> </w:t>
      </w:r>
      <w:r>
        <w:rPr>
          <w:sz w:val="24"/>
        </w:rPr>
        <w:t>nonresidential</w:t>
      </w:r>
      <w:r>
        <w:rPr>
          <w:spacing w:val="-11"/>
          <w:sz w:val="24"/>
        </w:rPr>
        <w:t> </w:t>
      </w:r>
      <w:r>
        <w:rPr>
          <w:sz w:val="24"/>
        </w:rPr>
        <w:t>activities</w:t>
      </w:r>
      <w:r>
        <w:rPr>
          <w:spacing w:val="-13"/>
          <w:sz w:val="24"/>
        </w:rPr>
        <w:t> </w:t>
      </w:r>
      <w:r>
        <w:rPr>
          <w:sz w:val="24"/>
        </w:rPr>
        <w:t>to</w:t>
      </w:r>
      <w:r>
        <w:rPr>
          <w:spacing w:val="-13"/>
          <w:sz w:val="24"/>
        </w:rPr>
        <w:t> </w:t>
      </w:r>
      <w:r>
        <w:rPr>
          <w:sz w:val="24"/>
        </w:rPr>
        <w:t>be</w:t>
      </w:r>
      <w:r>
        <w:rPr>
          <w:spacing w:val="-13"/>
          <w:sz w:val="24"/>
        </w:rPr>
        <w:t> </w:t>
      </w:r>
      <w:r>
        <w:rPr>
          <w:sz w:val="24"/>
        </w:rPr>
        <w:t>developed as</w:t>
      </w:r>
      <w:r>
        <w:rPr>
          <w:spacing w:val="-15"/>
          <w:sz w:val="24"/>
        </w:rPr>
        <w:t> </w:t>
      </w:r>
      <w:r>
        <w:rPr>
          <w:sz w:val="24"/>
        </w:rPr>
        <w:t>described</w:t>
      </w:r>
      <w:r>
        <w:rPr>
          <w:spacing w:val="-15"/>
          <w:sz w:val="24"/>
        </w:rPr>
        <w:t> </w:t>
      </w:r>
      <w:r>
        <w:rPr>
          <w:sz w:val="24"/>
        </w:rPr>
        <w:t>under</w:t>
      </w:r>
      <w:r>
        <w:rPr>
          <w:spacing w:val="-15"/>
          <w:sz w:val="24"/>
        </w:rPr>
        <w:t> </w:t>
      </w:r>
      <w:r>
        <w:rPr>
          <w:sz w:val="24"/>
        </w:rPr>
        <w:t>clause</w:t>
      </w:r>
      <w:r>
        <w:rPr>
          <w:spacing w:val="-15"/>
          <w:sz w:val="24"/>
        </w:rPr>
        <w:t> </w:t>
      </w:r>
      <w:r>
        <w:rPr>
          <w:sz w:val="24"/>
        </w:rPr>
        <w:t>no.5.3</w:t>
      </w:r>
      <w:r>
        <w:rPr>
          <w:spacing w:val="-15"/>
          <w:sz w:val="24"/>
        </w:rPr>
        <w:t> </w:t>
      </w:r>
      <w:r>
        <w:rPr>
          <w:sz w:val="24"/>
        </w:rPr>
        <w:t>and</w:t>
      </w:r>
      <w:r>
        <w:rPr>
          <w:spacing w:val="-15"/>
          <w:sz w:val="24"/>
        </w:rPr>
        <w:t> </w:t>
      </w:r>
      <w:r>
        <w:rPr>
          <w:sz w:val="24"/>
        </w:rPr>
        <w:t>5.6</w:t>
      </w:r>
      <w:r>
        <w:rPr>
          <w:spacing w:val="-11"/>
          <w:sz w:val="24"/>
        </w:rPr>
        <w:t> </w:t>
      </w:r>
      <w:r>
        <w:rPr>
          <w:sz w:val="24"/>
        </w:rPr>
        <w:t>of</w:t>
      </w:r>
      <w:r>
        <w:rPr>
          <w:spacing w:val="-15"/>
          <w:sz w:val="24"/>
        </w:rPr>
        <w:t> </w:t>
      </w:r>
      <w:r>
        <w:rPr>
          <w:sz w:val="24"/>
        </w:rPr>
        <w:t>this</w:t>
      </w:r>
      <w:r>
        <w:rPr>
          <w:spacing w:val="-15"/>
          <w:sz w:val="24"/>
        </w:rPr>
        <w:t> </w:t>
      </w:r>
      <w:r>
        <w:rPr>
          <w:sz w:val="24"/>
        </w:rPr>
        <w:t>Regulation&amp;</w:t>
      </w:r>
      <w:r>
        <w:rPr>
          <w:spacing w:val="-15"/>
          <w:sz w:val="24"/>
        </w:rPr>
        <w:t> </w:t>
      </w:r>
      <w:r>
        <w:rPr>
          <w:sz w:val="24"/>
        </w:rPr>
        <w:t>clause</w:t>
      </w:r>
      <w:r>
        <w:rPr>
          <w:spacing w:val="-15"/>
          <w:sz w:val="24"/>
        </w:rPr>
        <w:t> </w:t>
      </w:r>
      <w:r>
        <w:rPr>
          <w:sz w:val="24"/>
        </w:rPr>
        <w:t>no. 4 &amp; 7 Regulation</w:t>
      </w:r>
      <w:r>
        <w:rPr>
          <w:spacing w:val="-1"/>
          <w:sz w:val="24"/>
        </w:rPr>
        <w:t> </w:t>
      </w:r>
      <w:r>
        <w:rPr>
          <w:sz w:val="24"/>
        </w:rPr>
        <w:t>No</w:t>
      </w:r>
      <w:r>
        <w:rPr>
          <w:spacing w:val="-1"/>
          <w:sz w:val="24"/>
        </w:rPr>
        <w:t> </w:t>
      </w:r>
      <w:r>
        <w:rPr>
          <w:sz w:val="24"/>
        </w:rPr>
        <w:t>33 (9) (A)</w:t>
      </w:r>
      <w:r>
        <w:rPr>
          <w:spacing w:val="-1"/>
          <w:sz w:val="24"/>
        </w:rPr>
        <w:t> </w:t>
      </w:r>
      <w:r>
        <w:rPr>
          <w:sz w:val="24"/>
        </w:rPr>
        <w:t>shall be</w:t>
      </w:r>
      <w:r>
        <w:rPr>
          <w:spacing w:val="-1"/>
          <w:sz w:val="24"/>
        </w:rPr>
        <w:t> </w:t>
      </w:r>
      <w:r>
        <w:rPr>
          <w:sz w:val="24"/>
        </w:rPr>
        <w:t>allowed to be developed without going through the process of the change of zone.</w:t>
      </w:r>
    </w:p>
    <w:p>
      <w:pPr>
        <w:pStyle w:val="ListParagraph"/>
        <w:numPr>
          <w:ilvl w:val="1"/>
          <w:numId w:val="195"/>
        </w:numPr>
        <w:tabs>
          <w:tab w:pos="2779" w:val="left" w:leader="none"/>
        </w:tabs>
        <w:spacing w:line="240" w:lineRule="auto" w:before="239" w:after="0"/>
        <w:ind w:left="2062" w:right="768" w:firstLine="0"/>
        <w:jc w:val="both"/>
        <w:rPr>
          <w:sz w:val="24"/>
        </w:rPr>
      </w:pPr>
      <w:r>
        <w:rPr>
          <w:sz w:val="24"/>
        </w:rPr>
        <w:t>Slums/structures under renewal situated on lands reserved/designated/allotted for existing or proposed non-buildable reservations such as</w:t>
      </w:r>
      <w:r>
        <w:rPr>
          <w:spacing w:val="40"/>
          <w:sz w:val="24"/>
        </w:rPr>
        <w:t> </w:t>
      </w:r>
      <w:r>
        <w:rPr>
          <w:sz w:val="24"/>
        </w:rPr>
        <w:t>playground, garden, park and any other open users in the Final DP</w:t>
      </w:r>
      <w:r>
        <w:rPr>
          <w:spacing w:val="40"/>
          <w:sz w:val="24"/>
        </w:rPr>
        <w:t> </w:t>
      </w:r>
      <w:r>
        <w:rPr>
          <w:sz w:val="24"/>
        </w:rPr>
        <w:t>occupied by existing slums/structures under renewal</w:t>
      </w:r>
      <w:r>
        <w:rPr>
          <w:spacing w:val="-5"/>
          <w:sz w:val="24"/>
        </w:rPr>
        <w:t> </w:t>
      </w:r>
      <w:r>
        <w:rPr>
          <w:sz w:val="24"/>
        </w:rPr>
        <w:t>shall</w:t>
      </w:r>
      <w:r>
        <w:rPr>
          <w:spacing w:val="-5"/>
          <w:sz w:val="24"/>
        </w:rPr>
        <w:t> </w:t>
      </w:r>
      <w:r>
        <w:rPr>
          <w:sz w:val="24"/>
        </w:rPr>
        <w:t>be</w:t>
      </w:r>
      <w:r>
        <w:rPr>
          <w:spacing w:val="-5"/>
          <w:sz w:val="24"/>
        </w:rPr>
        <w:t> </w:t>
      </w:r>
      <w:r>
        <w:rPr>
          <w:sz w:val="24"/>
        </w:rPr>
        <w:t>shifted</w:t>
      </w:r>
      <w:r>
        <w:rPr>
          <w:spacing w:val="-5"/>
          <w:sz w:val="24"/>
        </w:rPr>
        <w:t> </w:t>
      </w:r>
      <w:r>
        <w:rPr>
          <w:sz w:val="24"/>
        </w:rPr>
        <w:t>within</w:t>
      </w:r>
      <w:r>
        <w:rPr>
          <w:spacing w:val="-5"/>
          <w:sz w:val="24"/>
        </w:rPr>
        <w:t> </w:t>
      </w:r>
      <w:r>
        <w:rPr>
          <w:sz w:val="24"/>
        </w:rPr>
        <w:t>the</w:t>
      </w:r>
      <w:r>
        <w:rPr>
          <w:spacing w:val="-5"/>
          <w:sz w:val="24"/>
        </w:rPr>
        <w:t> </w:t>
      </w:r>
      <w:r>
        <w:rPr>
          <w:sz w:val="24"/>
        </w:rPr>
        <w:t>same planning</w:t>
      </w:r>
      <w:r>
        <w:rPr>
          <w:spacing w:val="-5"/>
          <w:sz w:val="24"/>
        </w:rPr>
        <w:t> </w:t>
      </w:r>
      <w:r>
        <w:rPr>
          <w:sz w:val="24"/>
        </w:rPr>
        <w:t>sector</w:t>
      </w:r>
      <w:r>
        <w:rPr>
          <w:spacing w:val="-5"/>
          <w:sz w:val="24"/>
        </w:rPr>
        <w:t> </w:t>
      </w:r>
      <w:r>
        <w:rPr>
          <w:sz w:val="24"/>
        </w:rPr>
        <w:t>in</w:t>
      </w:r>
      <w:r>
        <w:rPr>
          <w:spacing w:val="-5"/>
          <w:sz w:val="24"/>
        </w:rPr>
        <w:t> </w:t>
      </w:r>
      <w:r>
        <w:rPr>
          <w:sz w:val="24"/>
        </w:rPr>
        <w:t>which</w:t>
      </w:r>
      <w:r>
        <w:rPr>
          <w:spacing w:val="-5"/>
          <w:sz w:val="24"/>
        </w:rPr>
        <w:t> </w:t>
      </w:r>
      <w:r>
        <w:rPr>
          <w:sz w:val="24"/>
        </w:rPr>
        <w:t>such plots</w:t>
      </w:r>
      <w:r>
        <w:rPr>
          <w:spacing w:val="-1"/>
          <w:sz w:val="24"/>
        </w:rPr>
        <w:t> </w:t>
      </w:r>
      <w:r>
        <w:rPr>
          <w:sz w:val="24"/>
        </w:rPr>
        <w:t>belongs/vests and</w:t>
      </w:r>
      <w:r>
        <w:rPr>
          <w:spacing w:val="-1"/>
          <w:sz w:val="24"/>
        </w:rPr>
        <w:t> </w:t>
      </w:r>
      <w:r>
        <w:rPr>
          <w:sz w:val="24"/>
        </w:rPr>
        <w:t>sites</w:t>
      </w:r>
      <w:r>
        <w:rPr>
          <w:spacing w:val="-1"/>
          <w:sz w:val="24"/>
        </w:rPr>
        <w:t> </w:t>
      </w:r>
      <w:r>
        <w:rPr>
          <w:sz w:val="24"/>
        </w:rPr>
        <w:t>occupied</w:t>
      </w:r>
      <w:r>
        <w:rPr>
          <w:spacing w:val="-1"/>
          <w:sz w:val="24"/>
        </w:rPr>
        <w:t> </w:t>
      </w:r>
      <w:r>
        <w:rPr>
          <w:sz w:val="24"/>
        </w:rPr>
        <w:t>by</w:t>
      </w:r>
      <w:r>
        <w:rPr>
          <w:spacing w:val="-1"/>
          <w:sz w:val="24"/>
        </w:rPr>
        <w:t> </w:t>
      </w:r>
      <w:r>
        <w:rPr>
          <w:sz w:val="24"/>
        </w:rPr>
        <w:t>them</w:t>
      </w:r>
      <w:r>
        <w:rPr>
          <w:spacing w:val="-1"/>
          <w:sz w:val="24"/>
        </w:rPr>
        <w:t> </w:t>
      </w:r>
      <w:r>
        <w:rPr>
          <w:sz w:val="24"/>
        </w:rPr>
        <w:t>shall</w:t>
      </w:r>
      <w:r>
        <w:rPr>
          <w:spacing w:val="-1"/>
          <w:sz w:val="24"/>
        </w:rPr>
        <w:t> </w:t>
      </w:r>
      <w:r>
        <w:rPr>
          <w:sz w:val="24"/>
        </w:rPr>
        <w:t>be</w:t>
      </w:r>
      <w:r>
        <w:rPr>
          <w:spacing w:val="-1"/>
          <w:sz w:val="24"/>
        </w:rPr>
        <w:t> </w:t>
      </w:r>
      <w:r>
        <w:rPr>
          <w:sz w:val="24"/>
        </w:rPr>
        <w:t>cleared</w:t>
      </w:r>
      <w:r>
        <w:rPr>
          <w:spacing w:val="-1"/>
          <w:sz w:val="24"/>
        </w:rPr>
        <w:t> </w:t>
      </w:r>
      <w:r>
        <w:rPr>
          <w:sz w:val="24"/>
        </w:rPr>
        <w:t>for</w:t>
      </w:r>
      <w:r>
        <w:rPr>
          <w:spacing w:val="-1"/>
          <w:sz w:val="24"/>
        </w:rPr>
        <w:t> </w:t>
      </w:r>
      <w:r>
        <w:rPr>
          <w:sz w:val="24"/>
        </w:rPr>
        <w:t>the implementation of DRP in which such quantum of designated/allotted for</w:t>
      </w:r>
      <w:r>
        <w:rPr>
          <w:spacing w:val="70"/>
          <w:w w:val="150"/>
          <w:sz w:val="24"/>
        </w:rPr>
        <w:t> </w:t>
      </w:r>
      <w:r>
        <w:rPr>
          <w:sz w:val="24"/>
        </w:rPr>
        <w:t>existing</w:t>
      </w:r>
      <w:r>
        <w:rPr>
          <w:spacing w:val="70"/>
          <w:w w:val="150"/>
          <w:sz w:val="24"/>
        </w:rPr>
        <w:t> </w:t>
      </w:r>
      <w:r>
        <w:rPr>
          <w:sz w:val="24"/>
        </w:rPr>
        <w:t>or</w:t>
      </w:r>
      <w:r>
        <w:rPr>
          <w:spacing w:val="70"/>
          <w:w w:val="150"/>
          <w:sz w:val="24"/>
        </w:rPr>
        <w:t> </w:t>
      </w:r>
      <w:r>
        <w:rPr>
          <w:sz w:val="24"/>
        </w:rPr>
        <w:t>proposed</w:t>
      </w:r>
      <w:r>
        <w:rPr>
          <w:spacing w:val="70"/>
          <w:w w:val="150"/>
          <w:sz w:val="24"/>
        </w:rPr>
        <w:t> </w:t>
      </w:r>
      <w:r>
        <w:rPr>
          <w:sz w:val="24"/>
        </w:rPr>
        <w:t>non-buildable</w:t>
      </w:r>
      <w:r>
        <w:rPr>
          <w:spacing w:val="70"/>
          <w:w w:val="150"/>
          <w:sz w:val="24"/>
        </w:rPr>
        <w:t> </w:t>
      </w:r>
      <w:r>
        <w:rPr>
          <w:sz w:val="24"/>
        </w:rPr>
        <w:t>reservation</w:t>
      </w:r>
      <w:r>
        <w:rPr>
          <w:spacing w:val="70"/>
          <w:w w:val="150"/>
          <w:sz w:val="24"/>
        </w:rPr>
        <w:t> </w:t>
      </w:r>
      <w:r>
        <w:rPr>
          <w:sz w:val="24"/>
        </w:rPr>
        <w:t>shall</w:t>
      </w:r>
      <w:r>
        <w:rPr>
          <w:spacing w:val="73"/>
          <w:w w:val="150"/>
          <w:sz w:val="24"/>
        </w:rPr>
        <w:t> </w:t>
      </w:r>
      <w:r>
        <w:rPr>
          <w:sz w:val="24"/>
        </w:rPr>
        <w:t>be</w:t>
      </w:r>
      <w:r>
        <w:rPr>
          <w:spacing w:val="70"/>
          <w:w w:val="150"/>
          <w:sz w:val="24"/>
        </w:rPr>
        <w:t> </w:t>
      </w:r>
      <w:r>
        <w:rPr>
          <w:sz w:val="24"/>
        </w:rPr>
        <w:t>fully</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67"/>
      </w:pPr>
      <w:r>
        <w:rPr/>
        <w:t>subsumed in the additional amenities &amp; facilities to be provided under DRP</w:t>
      </w:r>
      <w:r>
        <w:rPr>
          <w:spacing w:val="-10"/>
        </w:rPr>
        <w:t> </w:t>
      </w:r>
      <w:r>
        <w:rPr/>
        <w:t>as</w:t>
      </w:r>
      <w:r>
        <w:rPr>
          <w:spacing w:val="-10"/>
        </w:rPr>
        <w:t> </w:t>
      </w:r>
      <w:r>
        <w:rPr/>
        <w:t>in</w:t>
      </w:r>
      <w:r>
        <w:rPr>
          <w:spacing w:val="-10"/>
        </w:rPr>
        <w:t> </w:t>
      </w:r>
      <w:r>
        <w:rPr/>
        <w:t>clause</w:t>
      </w:r>
      <w:r>
        <w:rPr>
          <w:spacing w:val="-10"/>
        </w:rPr>
        <w:t> </w:t>
      </w:r>
      <w:r>
        <w:rPr/>
        <w:t>no.</w:t>
      </w:r>
      <w:r>
        <w:rPr>
          <w:spacing w:val="-10"/>
        </w:rPr>
        <w:t> </w:t>
      </w:r>
      <w:r>
        <w:rPr/>
        <w:t>7.1</w:t>
      </w:r>
      <w:r>
        <w:rPr>
          <w:spacing w:val="-10"/>
        </w:rPr>
        <w:t> </w:t>
      </w:r>
      <w:r>
        <w:rPr/>
        <w:t>above</w:t>
      </w:r>
      <w:r>
        <w:rPr>
          <w:spacing w:val="-10"/>
        </w:rPr>
        <w:t> </w:t>
      </w:r>
      <w:r>
        <w:rPr/>
        <w:t>as</w:t>
      </w:r>
      <w:r>
        <w:rPr>
          <w:spacing w:val="-10"/>
        </w:rPr>
        <w:t> </w:t>
      </w:r>
      <w:r>
        <w:rPr/>
        <w:t>per</w:t>
      </w:r>
      <w:r>
        <w:rPr>
          <w:spacing w:val="-10"/>
        </w:rPr>
        <w:t> </w:t>
      </w:r>
      <w:r>
        <w:rPr/>
        <w:t>the</w:t>
      </w:r>
      <w:r>
        <w:rPr>
          <w:spacing w:val="-12"/>
        </w:rPr>
        <w:t> </w:t>
      </w:r>
      <w:r>
        <w:rPr/>
        <w:t>specifications</w:t>
      </w:r>
      <w:r>
        <w:rPr>
          <w:spacing w:val="-10"/>
        </w:rPr>
        <w:t> </w:t>
      </w:r>
      <w:r>
        <w:rPr/>
        <w:t>of</w:t>
      </w:r>
      <w:r>
        <w:rPr>
          <w:spacing w:val="-10"/>
        </w:rPr>
        <w:t> </w:t>
      </w:r>
      <w:r>
        <w:rPr/>
        <w:t>DRP</w:t>
      </w:r>
      <w:r>
        <w:rPr>
          <w:spacing w:val="-10"/>
        </w:rPr>
        <w:t> </w:t>
      </w:r>
      <w:r>
        <w:rPr/>
        <w:t>(SRA)</w:t>
      </w:r>
      <w:r>
        <w:rPr>
          <w:spacing w:val="-10"/>
        </w:rPr>
        <w:t> </w:t>
      </w:r>
      <w:r>
        <w:rPr/>
        <w:t>or the</w:t>
      </w:r>
      <w:r>
        <w:rPr>
          <w:spacing w:val="-8"/>
        </w:rPr>
        <w:t> </w:t>
      </w:r>
      <w:r>
        <w:rPr/>
        <w:t>concerned</w:t>
      </w:r>
      <w:r>
        <w:rPr>
          <w:spacing w:val="-8"/>
        </w:rPr>
        <w:t> </w:t>
      </w:r>
      <w:r>
        <w:rPr/>
        <w:t>Govt.</w:t>
      </w:r>
      <w:r>
        <w:rPr>
          <w:spacing w:val="-11"/>
        </w:rPr>
        <w:t> </w:t>
      </w:r>
      <w:r>
        <w:rPr/>
        <w:t>authority</w:t>
      </w:r>
      <w:r>
        <w:rPr>
          <w:spacing w:val="-8"/>
        </w:rPr>
        <w:t> </w:t>
      </w:r>
      <w:r>
        <w:rPr/>
        <w:t>and</w:t>
      </w:r>
      <w:r>
        <w:rPr>
          <w:spacing w:val="-8"/>
        </w:rPr>
        <w:t> </w:t>
      </w:r>
      <w:r>
        <w:rPr/>
        <w:t>shall</w:t>
      </w:r>
      <w:r>
        <w:rPr>
          <w:spacing w:val="-11"/>
        </w:rPr>
        <w:t> </w:t>
      </w:r>
      <w:r>
        <w:rPr/>
        <w:t>be</w:t>
      </w:r>
      <w:r>
        <w:rPr>
          <w:spacing w:val="-8"/>
        </w:rPr>
        <w:t> </w:t>
      </w:r>
      <w:r>
        <w:rPr/>
        <w:t>handed</w:t>
      </w:r>
      <w:r>
        <w:rPr>
          <w:spacing w:val="-8"/>
        </w:rPr>
        <w:t> </w:t>
      </w:r>
      <w:r>
        <w:rPr/>
        <w:t>over</w:t>
      </w:r>
      <w:r>
        <w:rPr>
          <w:spacing w:val="-8"/>
        </w:rPr>
        <w:t> </w:t>
      </w:r>
      <w:r>
        <w:rPr/>
        <w:t>free</w:t>
      </w:r>
      <w:r>
        <w:rPr>
          <w:spacing w:val="-13"/>
        </w:rPr>
        <w:t> </w:t>
      </w:r>
      <w:r>
        <w:rPr/>
        <w:t>of</w:t>
      </w:r>
      <w:r>
        <w:rPr>
          <w:spacing w:val="-8"/>
        </w:rPr>
        <w:t> </w:t>
      </w:r>
      <w:r>
        <w:rPr/>
        <w:t>cost</w:t>
      </w:r>
      <w:r>
        <w:rPr>
          <w:spacing w:val="-8"/>
        </w:rPr>
        <w:t> </w:t>
      </w:r>
      <w:r>
        <w:rPr/>
        <w:t>and charge</w:t>
      </w:r>
      <w:r>
        <w:rPr>
          <w:spacing w:val="-17"/>
        </w:rPr>
        <w:t> </w:t>
      </w:r>
      <w:r>
        <w:rPr/>
        <w:t>to</w:t>
      </w:r>
      <w:r>
        <w:rPr>
          <w:spacing w:val="-17"/>
        </w:rPr>
        <w:t> </w:t>
      </w:r>
      <w:r>
        <w:rPr/>
        <w:t>the</w:t>
      </w:r>
      <w:r>
        <w:rPr>
          <w:spacing w:val="-17"/>
        </w:rPr>
        <w:t> </w:t>
      </w:r>
      <w:r>
        <w:rPr/>
        <w:t>DRP</w:t>
      </w:r>
      <w:r>
        <w:rPr>
          <w:spacing w:val="-17"/>
        </w:rPr>
        <w:t> </w:t>
      </w:r>
      <w:r>
        <w:rPr/>
        <w:t>(SRA)</w:t>
      </w:r>
      <w:r>
        <w:rPr>
          <w:spacing w:val="-17"/>
        </w:rPr>
        <w:t> </w:t>
      </w:r>
      <w:r>
        <w:rPr/>
        <w:t>or</w:t>
      </w:r>
      <w:r>
        <w:rPr>
          <w:spacing w:val="-17"/>
        </w:rPr>
        <w:t> </w:t>
      </w:r>
      <w:r>
        <w:rPr/>
        <w:t>the</w:t>
      </w:r>
      <w:r>
        <w:rPr>
          <w:spacing w:val="-17"/>
        </w:rPr>
        <w:t> </w:t>
      </w:r>
      <w:r>
        <w:rPr/>
        <w:t>concerned</w:t>
      </w:r>
      <w:r>
        <w:rPr>
          <w:spacing w:val="-15"/>
        </w:rPr>
        <w:t> </w:t>
      </w:r>
      <w:r>
        <w:rPr/>
        <w:t>Govt.</w:t>
      </w:r>
      <w:r>
        <w:rPr>
          <w:spacing w:val="-17"/>
        </w:rPr>
        <w:t> </w:t>
      </w:r>
      <w:r>
        <w:rPr/>
        <w:t>authority.</w:t>
      </w:r>
      <w:r>
        <w:rPr>
          <w:spacing w:val="-14"/>
        </w:rPr>
        <w:t> </w:t>
      </w:r>
      <w:r>
        <w:rPr/>
        <w:t>The</w:t>
      </w:r>
      <w:r>
        <w:rPr>
          <w:spacing w:val="-15"/>
        </w:rPr>
        <w:t> </w:t>
      </w:r>
      <w:r>
        <w:rPr/>
        <w:t>land</w:t>
      </w:r>
      <w:r>
        <w:rPr>
          <w:spacing w:val="-17"/>
        </w:rPr>
        <w:t> </w:t>
      </w:r>
      <w:r>
        <w:rPr/>
        <w:t>area under such reservation shall be allowed to be included in the project plot area to be considered for FSI purpose.</w:t>
      </w:r>
    </w:p>
    <w:p>
      <w:pPr>
        <w:pStyle w:val="BodyText"/>
        <w:spacing w:before="242"/>
        <w:ind w:left="2062" w:right="766"/>
      </w:pPr>
      <w:r>
        <w:rPr/>
        <w:t>7.4.(a)</w:t>
      </w:r>
      <w:r>
        <w:rPr>
          <w:spacing w:val="80"/>
        </w:rPr>
        <w:t> </w:t>
      </w:r>
      <w:r>
        <w:rPr/>
        <w:t>Slums/structures under renewal situated on lands reserved/designated/allotted for existing or proposed buildable Public reservations in the Final DP such as Municipal/Private primary or secondary schools, Municipal dispensary, Municipal </w:t>
      </w:r>
      <w:r>
        <w:rPr/>
        <w:t>hospitals, Maternity home, Municipal chowky, Fire brigade, Sewage treatment plant, Pump house, Municipal retail market shall be shifted within the same planning sector in which such plots belong/vest and sites occupied by them shall be cleared for the implementation of DRP in which such quantum of designated/allotted for existing or proposed buildable reservation shall be fully subsumed in the additional amenities &amp; facilities to be provided under DRP as in clause no. 7.1 above as per the specifications of DRP/SRA or the concerned Govt. authority to whom this developed amenity is to be handed over. This developed</w:t>
      </w:r>
      <w:r>
        <w:rPr>
          <w:spacing w:val="-1"/>
        </w:rPr>
        <w:t> </w:t>
      </w:r>
      <w:r>
        <w:rPr/>
        <w:t>buildable</w:t>
      </w:r>
      <w:r>
        <w:rPr>
          <w:spacing w:val="-1"/>
        </w:rPr>
        <w:t> </w:t>
      </w:r>
      <w:r>
        <w:rPr/>
        <w:t>amenity</w:t>
      </w:r>
      <w:r>
        <w:rPr>
          <w:spacing w:val="-1"/>
        </w:rPr>
        <w:t> </w:t>
      </w:r>
      <w:r>
        <w:rPr/>
        <w:t>shall</w:t>
      </w:r>
      <w:r>
        <w:rPr>
          <w:spacing w:val="-1"/>
        </w:rPr>
        <w:t> </w:t>
      </w:r>
      <w:r>
        <w:rPr/>
        <w:t>be</w:t>
      </w:r>
      <w:r>
        <w:rPr>
          <w:spacing w:val="-1"/>
        </w:rPr>
        <w:t> </w:t>
      </w:r>
      <w:r>
        <w:rPr/>
        <w:t>handed</w:t>
      </w:r>
      <w:r>
        <w:rPr>
          <w:spacing w:val="-1"/>
        </w:rPr>
        <w:t> </w:t>
      </w:r>
      <w:r>
        <w:rPr/>
        <w:t>over</w:t>
      </w:r>
      <w:r>
        <w:rPr>
          <w:spacing w:val="-1"/>
        </w:rPr>
        <w:t> </w:t>
      </w:r>
      <w:r>
        <w:rPr/>
        <w:t>free</w:t>
      </w:r>
      <w:r>
        <w:rPr>
          <w:spacing w:val="-1"/>
        </w:rPr>
        <w:t> </w:t>
      </w:r>
      <w:r>
        <w:rPr/>
        <w:t>of</w:t>
      </w:r>
      <w:r>
        <w:rPr>
          <w:spacing w:val="-1"/>
        </w:rPr>
        <w:t> </w:t>
      </w:r>
      <w:r>
        <w:rPr/>
        <w:t>cost</w:t>
      </w:r>
      <w:r>
        <w:rPr>
          <w:spacing w:val="-1"/>
        </w:rPr>
        <w:t> </w:t>
      </w:r>
      <w:r>
        <w:rPr/>
        <w:t>&amp;</w:t>
      </w:r>
      <w:r>
        <w:rPr>
          <w:spacing w:val="-1"/>
        </w:rPr>
        <w:t> </w:t>
      </w:r>
      <w:r>
        <w:rPr/>
        <w:t>charge to the DRP/SRA or the concerned Govt. authority. The BUA of such amenity shall be excluded for the purpose of FSI. Thereafter the full permissible</w:t>
      </w:r>
      <w:r>
        <w:rPr>
          <w:spacing w:val="-8"/>
        </w:rPr>
        <w:t> </w:t>
      </w:r>
      <w:r>
        <w:rPr/>
        <w:t>FSI</w:t>
      </w:r>
      <w:r>
        <w:rPr>
          <w:spacing w:val="-6"/>
        </w:rPr>
        <w:t> </w:t>
      </w:r>
      <w:r>
        <w:rPr/>
        <w:t>of</w:t>
      </w:r>
      <w:r>
        <w:rPr>
          <w:spacing w:val="-8"/>
        </w:rPr>
        <w:t> </w:t>
      </w:r>
      <w:r>
        <w:rPr/>
        <w:t>the</w:t>
      </w:r>
      <w:r>
        <w:rPr>
          <w:spacing w:val="-7"/>
        </w:rPr>
        <w:t> </w:t>
      </w:r>
      <w:r>
        <w:rPr/>
        <w:t>plot</w:t>
      </w:r>
      <w:r>
        <w:rPr>
          <w:spacing w:val="-8"/>
        </w:rPr>
        <w:t> </w:t>
      </w:r>
      <w:r>
        <w:rPr/>
        <w:t>according</w:t>
      </w:r>
      <w:r>
        <w:rPr>
          <w:spacing w:val="-8"/>
        </w:rPr>
        <w:t> </w:t>
      </w:r>
      <w:r>
        <w:rPr/>
        <w:t>to</w:t>
      </w:r>
      <w:r>
        <w:rPr>
          <w:spacing w:val="-8"/>
        </w:rPr>
        <w:t> </w:t>
      </w:r>
      <w:r>
        <w:rPr/>
        <w:t>this</w:t>
      </w:r>
      <w:r>
        <w:rPr>
          <w:spacing w:val="-8"/>
        </w:rPr>
        <w:t> </w:t>
      </w:r>
      <w:r>
        <w:rPr/>
        <w:t>Regulation</w:t>
      </w:r>
      <w:r>
        <w:rPr>
          <w:spacing w:val="-7"/>
        </w:rPr>
        <w:t> </w:t>
      </w:r>
      <w:r>
        <w:rPr/>
        <w:t>shall</w:t>
      </w:r>
      <w:r>
        <w:rPr>
          <w:spacing w:val="-6"/>
        </w:rPr>
        <w:t> </w:t>
      </w:r>
      <w:r>
        <w:rPr/>
        <w:t>be</w:t>
      </w:r>
      <w:r>
        <w:rPr>
          <w:spacing w:val="-8"/>
        </w:rPr>
        <w:t> </w:t>
      </w:r>
      <w:r>
        <w:rPr/>
        <w:t>allowed to</w:t>
      </w:r>
      <w:r>
        <w:rPr>
          <w:spacing w:val="-5"/>
        </w:rPr>
        <w:t> </w:t>
      </w:r>
      <w:r>
        <w:rPr/>
        <w:t>be</w:t>
      </w:r>
      <w:r>
        <w:rPr>
          <w:spacing w:val="-5"/>
        </w:rPr>
        <w:t> </w:t>
      </w:r>
      <w:r>
        <w:rPr/>
        <w:t>included</w:t>
      </w:r>
      <w:r>
        <w:rPr>
          <w:spacing w:val="-4"/>
        </w:rPr>
        <w:t> </w:t>
      </w:r>
      <w:r>
        <w:rPr/>
        <w:t>in</w:t>
      </w:r>
      <w:r>
        <w:rPr>
          <w:spacing w:val="-5"/>
        </w:rPr>
        <w:t> </w:t>
      </w:r>
      <w:r>
        <w:rPr/>
        <w:t>the</w:t>
      </w:r>
      <w:r>
        <w:rPr>
          <w:spacing w:val="-3"/>
        </w:rPr>
        <w:t> </w:t>
      </w:r>
      <w:r>
        <w:rPr/>
        <w:t>project</w:t>
      </w:r>
      <w:r>
        <w:rPr>
          <w:spacing w:val="-4"/>
        </w:rPr>
        <w:t> </w:t>
      </w:r>
      <w:r>
        <w:rPr/>
        <w:t>plot</w:t>
      </w:r>
      <w:r>
        <w:rPr>
          <w:spacing w:val="-5"/>
        </w:rPr>
        <w:t> </w:t>
      </w:r>
      <w:r>
        <w:rPr/>
        <w:t>area</w:t>
      </w:r>
      <w:r>
        <w:rPr>
          <w:spacing w:val="-4"/>
        </w:rPr>
        <w:t> </w:t>
      </w:r>
      <w:r>
        <w:rPr/>
        <w:t>to</w:t>
      </w:r>
      <w:r>
        <w:rPr>
          <w:spacing w:val="-2"/>
        </w:rPr>
        <w:t> </w:t>
      </w:r>
      <w:r>
        <w:rPr/>
        <w:t>be</w:t>
      </w:r>
      <w:r>
        <w:rPr>
          <w:spacing w:val="-5"/>
        </w:rPr>
        <w:t> </w:t>
      </w:r>
      <w:r>
        <w:rPr/>
        <w:t>considered</w:t>
      </w:r>
      <w:r>
        <w:rPr>
          <w:spacing w:val="-4"/>
        </w:rPr>
        <w:t> </w:t>
      </w:r>
      <w:r>
        <w:rPr/>
        <w:t>for</w:t>
      </w:r>
      <w:r>
        <w:rPr>
          <w:spacing w:val="-5"/>
        </w:rPr>
        <w:t> </w:t>
      </w:r>
      <w:r>
        <w:rPr/>
        <w:t>FSI</w:t>
      </w:r>
      <w:r>
        <w:rPr>
          <w:spacing w:val="-2"/>
        </w:rPr>
        <w:t> purpose.</w:t>
      </w:r>
    </w:p>
    <w:p>
      <w:pPr>
        <w:pStyle w:val="ListParagraph"/>
        <w:numPr>
          <w:ilvl w:val="1"/>
          <w:numId w:val="195"/>
        </w:numPr>
        <w:tabs>
          <w:tab w:pos="2511" w:val="left" w:leader="none"/>
        </w:tabs>
        <w:spacing w:line="240" w:lineRule="auto" w:before="241" w:after="0"/>
        <w:ind w:left="2062" w:right="766" w:firstLine="0"/>
        <w:jc w:val="both"/>
        <w:rPr>
          <w:sz w:val="24"/>
        </w:rPr>
      </w:pPr>
      <w:r>
        <w:rPr>
          <w:sz w:val="24"/>
        </w:rPr>
        <w:t>(b)</w:t>
      </w:r>
      <w:r>
        <w:rPr>
          <w:spacing w:val="80"/>
          <w:sz w:val="24"/>
        </w:rPr>
        <w:t>   </w:t>
      </w:r>
      <w:r>
        <w:rPr>
          <w:sz w:val="24"/>
        </w:rPr>
        <w:t>For</w:t>
      </w:r>
      <w:r>
        <w:rPr>
          <w:spacing w:val="-20"/>
          <w:sz w:val="24"/>
        </w:rPr>
        <w:t> </w:t>
      </w:r>
      <w:r>
        <w:rPr>
          <w:sz w:val="24"/>
        </w:rPr>
        <w:t>other</w:t>
      </w:r>
      <w:r>
        <w:rPr>
          <w:spacing w:val="-19"/>
          <w:sz w:val="24"/>
        </w:rPr>
        <w:t> </w:t>
      </w:r>
      <w:r>
        <w:rPr>
          <w:sz w:val="24"/>
        </w:rPr>
        <w:t>buildable</w:t>
      </w:r>
      <w:r>
        <w:rPr>
          <w:spacing w:val="-19"/>
          <w:sz w:val="24"/>
        </w:rPr>
        <w:t> </w:t>
      </w:r>
      <w:r>
        <w:rPr>
          <w:sz w:val="24"/>
        </w:rPr>
        <w:t>reservations</w:t>
      </w:r>
      <w:r>
        <w:rPr>
          <w:spacing w:val="-19"/>
          <w:sz w:val="24"/>
        </w:rPr>
        <w:t> </w:t>
      </w:r>
      <w:r>
        <w:rPr>
          <w:sz w:val="24"/>
        </w:rPr>
        <w:t>on</w:t>
      </w:r>
      <w:r>
        <w:rPr>
          <w:spacing w:val="-19"/>
          <w:sz w:val="24"/>
        </w:rPr>
        <w:t> </w:t>
      </w:r>
      <w:r>
        <w:rPr>
          <w:sz w:val="24"/>
        </w:rPr>
        <w:t>lands</w:t>
      </w:r>
      <w:r>
        <w:rPr>
          <w:spacing w:val="-20"/>
          <w:sz w:val="24"/>
        </w:rPr>
        <w:t> </w:t>
      </w:r>
      <w:r>
        <w:rPr>
          <w:sz w:val="24"/>
        </w:rPr>
        <w:t>under</w:t>
      </w:r>
      <w:r>
        <w:rPr>
          <w:spacing w:val="-19"/>
          <w:sz w:val="24"/>
        </w:rPr>
        <w:t> </w:t>
      </w:r>
      <w:r>
        <w:rPr>
          <w:sz w:val="24"/>
        </w:rPr>
        <w:t>slum</w:t>
      </w:r>
      <w:r>
        <w:rPr>
          <w:spacing w:val="-19"/>
          <w:sz w:val="24"/>
        </w:rPr>
        <w:t> </w:t>
      </w:r>
      <w:r>
        <w:rPr>
          <w:sz w:val="24"/>
        </w:rPr>
        <w:t>which are</w:t>
      </w:r>
      <w:r>
        <w:rPr>
          <w:spacing w:val="-3"/>
          <w:sz w:val="24"/>
        </w:rPr>
        <w:t> </w:t>
      </w:r>
      <w:r>
        <w:rPr>
          <w:sz w:val="24"/>
        </w:rPr>
        <w:t>not</w:t>
      </w:r>
      <w:r>
        <w:rPr>
          <w:spacing w:val="-3"/>
          <w:sz w:val="24"/>
        </w:rPr>
        <w:t> </w:t>
      </w:r>
      <w:r>
        <w:rPr>
          <w:sz w:val="24"/>
        </w:rPr>
        <w:t>covered</w:t>
      </w:r>
      <w:r>
        <w:rPr>
          <w:spacing w:val="-3"/>
          <w:sz w:val="24"/>
        </w:rPr>
        <w:t> </w:t>
      </w:r>
      <w:r>
        <w:rPr>
          <w:sz w:val="24"/>
        </w:rPr>
        <w:t>under</w:t>
      </w:r>
      <w:r>
        <w:rPr>
          <w:spacing w:val="-3"/>
          <w:sz w:val="24"/>
        </w:rPr>
        <w:t> </w:t>
      </w:r>
      <w:r>
        <w:rPr>
          <w:sz w:val="24"/>
        </w:rPr>
        <w:t>clause</w:t>
      </w:r>
      <w:r>
        <w:rPr>
          <w:spacing w:val="-3"/>
          <w:sz w:val="24"/>
        </w:rPr>
        <w:t> </w:t>
      </w:r>
      <w:r>
        <w:rPr>
          <w:sz w:val="24"/>
        </w:rPr>
        <w:t>no.</w:t>
      </w:r>
      <w:r>
        <w:rPr>
          <w:spacing w:val="-3"/>
          <w:sz w:val="24"/>
        </w:rPr>
        <w:t> </w:t>
      </w:r>
      <w:r>
        <w:rPr>
          <w:sz w:val="24"/>
        </w:rPr>
        <w:t>7.4(a)</w:t>
      </w:r>
      <w:r>
        <w:rPr>
          <w:spacing w:val="-3"/>
          <w:sz w:val="24"/>
        </w:rPr>
        <w:t> </w:t>
      </w:r>
      <w:r>
        <w:rPr>
          <w:sz w:val="24"/>
        </w:rPr>
        <w:t>above,</w:t>
      </w:r>
      <w:r>
        <w:rPr>
          <w:spacing w:val="-3"/>
          <w:sz w:val="24"/>
        </w:rPr>
        <w:t> </w:t>
      </w:r>
      <w:r>
        <w:rPr>
          <w:sz w:val="24"/>
        </w:rPr>
        <w:t>BUA</w:t>
      </w:r>
      <w:r>
        <w:rPr>
          <w:spacing w:val="-3"/>
          <w:sz w:val="24"/>
        </w:rPr>
        <w:t> </w:t>
      </w:r>
      <w:r>
        <w:rPr>
          <w:sz w:val="24"/>
        </w:rPr>
        <w:t>equal</w:t>
      </w:r>
      <w:r>
        <w:rPr>
          <w:spacing w:val="-3"/>
          <w:sz w:val="24"/>
        </w:rPr>
        <w:t> </w:t>
      </w:r>
      <w:r>
        <w:rPr>
          <w:sz w:val="24"/>
        </w:rPr>
        <w:t>to</w:t>
      </w:r>
      <w:r>
        <w:rPr>
          <w:spacing w:val="-3"/>
          <w:sz w:val="24"/>
        </w:rPr>
        <w:t> </w:t>
      </w:r>
      <w:r>
        <w:rPr>
          <w:sz w:val="24"/>
        </w:rPr>
        <w:t>25</w:t>
      </w:r>
      <w:r>
        <w:rPr>
          <w:spacing w:val="-3"/>
          <w:sz w:val="24"/>
        </w:rPr>
        <w:t> </w:t>
      </w:r>
      <w:r>
        <w:rPr>
          <w:sz w:val="24"/>
        </w:rPr>
        <w:t>percent of</w:t>
      </w:r>
      <w:r>
        <w:rPr>
          <w:spacing w:val="-9"/>
          <w:sz w:val="24"/>
        </w:rPr>
        <w:t> </w:t>
      </w:r>
      <w:r>
        <w:rPr>
          <w:sz w:val="24"/>
        </w:rPr>
        <w:t>the</w:t>
      </w:r>
      <w:r>
        <w:rPr>
          <w:spacing w:val="-9"/>
          <w:sz w:val="24"/>
        </w:rPr>
        <w:t> </w:t>
      </w:r>
      <w:r>
        <w:rPr>
          <w:sz w:val="24"/>
        </w:rPr>
        <w:t>area</w:t>
      </w:r>
      <w:r>
        <w:rPr>
          <w:spacing w:val="-9"/>
          <w:sz w:val="24"/>
        </w:rPr>
        <w:t> </w:t>
      </w:r>
      <w:r>
        <w:rPr>
          <w:sz w:val="24"/>
        </w:rPr>
        <w:t>under</w:t>
      </w:r>
      <w:r>
        <w:rPr>
          <w:spacing w:val="-9"/>
          <w:sz w:val="24"/>
        </w:rPr>
        <w:t> </w:t>
      </w:r>
      <w:r>
        <w:rPr>
          <w:sz w:val="24"/>
        </w:rPr>
        <w:t>that</w:t>
      </w:r>
      <w:r>
        <w:rPr>
          <w:spacing w:val="-9"/>
          <w:sz w:val="24"/>
        </w:rPr>
        <w:t> </w:t>
      </w:r>
      <w:r>
        <w:rPr>
          <w:sz w:val="24"/>
        </w:rPr>
        <w:t>reservation</w:t>
      </w:r>
      <w:r>
        <w:rPr>
          <w:spacing w:val="-9"/>
          <w:sz w:val="24"/>
        </w:rPr>
        <w:t> </w:t>
      </w:r>
      <w:r>
        <w:rPr>
          <w:sz w:val="24"/>
        </w:rPr>
        <w:t>in</w:t>
      </w:r>
      <w:r>
        <w:rPr>
          <w:spacing w:val="-9"/>
          <w:sz w:val="24"/>
        </w:rPr>
        <w:t> </w:t>
      </w:r>
      <w:r>
        <w:rPr>
          <w:sz w:val="24"/>
        </w:rPr>
        <w:t>that</w:t>
      </w:r>
      <w:r>
        <w:rPr>
          <w:spacing w:val="-9"/>
          <w:sz w:val="24"/>
        </w:rPr>
        <w:t> </w:t>
      </w:r>
      <w:r>
        <w:rPr>
          <w:sz w:val="24"/>
        </w:rPr>
        <w:t>plot</w:t>
      </w:r>
      <w:r>
        <w:rPr>
          <w:spacing w:val="-9"/>
          <w:sz w:val="24"/>
        </w:rPr>
        <w:t> </w:t>
      </w:r>
      <w:r>
        <w:rPr>
          <w:sz w:val="24"/>
        </w:rPr>
        <w:t>shall</w:t>
      </w:r>
      <w:r>
        <w:rPr>
          <w:spacing w:val="-9"/>
          <w:sz w:val="24"/>
        </w:rPr>
        <w:t> </w:t>
      </w:r>
      <w:r>
        <w:rPr>
          <w:sz w:val="24"/>
        </w:rPr>
        <w:t>be</w:t>
      </w:r>
      <w:r>
        <w:rPr>
          <w:spacing w:val="-9"/>
          <w:sz w:val="24"/>
        </w:rPr>
        <w:t> </w:t>
      </w:r>
      <w:r>
        <w:rPr>
          <w:sz w:val="24"/>
        </w:rPr>
        <w:t>demanded</w:t>
      </w:r>
      <w:r>
        <w:rPr>
          <w:spacing w:val="-9"/>
          <w:sz w:val="24"/>
        </w:rPr>
        <w:t> </w:t>
      </w:r>
      <w:r>
        <w:rPr>
          <w:sz w:val="24"/>
        </w:rPr>
        <w:t>free</w:t>
      </w:r>
      <w:r>
        <w:rPr>
          <w:spacing w:val="-9"/>
          <w:sz w:val="24"/>
        </w:rPr>
        <w:t> </w:t>
      </w:r>
      <w:r>
        <w:rPr>
          <w:sz w:val="24"/>
        </w:rPr>
        <w:t>of cost</w:t>
      </w:r>
      <w:r>
        <w:rPr>
          <w:spacing w:val="-13"/>
          <w:sz w:val="24"/>
        </w:rPr>
        <w:t> </w:t>
      </w:r>
      <w:r>
        <w:rPr>
          <w:sz w:val="24"/>
        </w:rPr>
        <w:t>by</w:t>
      </w:r>
      <w:r>
        <w:rPr>
          <w:spacing w:val="-13"/>
          <w:sz w:val="24"/>
        </w:rPr>
        <w:t> </w:t>
      </w:r>
      <w:r>
        <w:rPr>
          <w:sz w:val="24"/>
        </w:rPr>
        <w:t>the</w:t>
      </w:r>
      <w:r>
        <w:rPr>
          <w:spacing w:val="-13"/>
          <w:sz w:val="24"/>
        </w:rPr>
        <w:t> </w:t>
      </w:r>
      <w:r>
        <w:rPr>
          <w:sz w:val="24"/>
        </w:rPr>
        <w:t>SRA</w:t>
      </w:r>
      <w:r>
        <w:rPr>
          <w:spacing w:val="-13"/>
          <w:sz w:val="24"/>
        </w:rPr>
        <w:t> </w:t>
      </w:r>
      <w:r>
        <w:rPr>
          <w:sz w:val="24"/>
        </w:rPr>
        <w:t>for</w:t>
      </w:r>
      <w:r>
        <w:rPr>
          <w:spacing w:val="-8"/>
          <w:sz w:val="24"/>
        </w:rPr>
        <w:t> </w:t>
      </w:r>
      <w:r>
        <w:rPr>
          <w:sz w:val="24"/>
        </w:rPr>
        <w:t>MCGM</w:t>
      </w:r>
      <w:r>
        <w:rPr>
          <w:spacing w:val="-12"/>
          <w:sz w:val="24"/>
        </w:rPr>
        <w:t> </w:t>
      </w:r>
      <w:r>
        <w:rPr>
          <w:sz w:val="24"/>
        </w:rPr>
        <w:t>or</w:t>
      </w:r>
      <w:r>
        <w:rPr>
          <w:spacing w:val="-13"/>
          <w:sz w:val="24"/>
        </w:rPr>
        <w:t> </w:t>
      </w:r>
      <w:r>
        <w:rPr>
          <w:sz w:val="24"/>
        </w:rPr>
        <w:t>any</w:t>
      </w:r>
      <w:r>
        <w:rPr>
          <w:spacing w:val="-13"/>
          <w:sz w:val="24"/>
        </w:rPr>
        <w:t> </w:t>
      </w:r>
      <w:r>
        <w:rPr>
          <w:sz w:val="24"/>
        </w:rPr>
        <w:t>other</w:t>
      </w:r>
      <w:r>
        <w:rPr>
          <w:spacing w:val="-11"/>
          <w:sz w:val="24"/>
        </w:rPr>
        <w:t> </w:t>
      </w:r>
      <w:r>
        <w:rPr>
          <w:sz w:val="24"/>
        </w:rPr>
        <w:t>appropriate</w:t>
      </w:r>
      <w:r>
        <w:rPr>
          <w:spacing w:val="-13"/>
          <w:sz w:val="24"/>
        </w:rPr>
        <w:t> </w:t>
      </w:r>
      <w:r>
        <w:rPr>
          <w:sz w:val="24"/>
        </w:rPr>
        <w:t>Authority.</w:t>
      </w:r>
      <w:r>
        <w:rPr>
          <w:spacing w:val="-13"/>
          <w:sz w:val="24"/>
        </w:rPr>
        <w:t> </w:t>
      </w:r>
      <w:r>
        <w:rPr>
          <w:sz w:val="24"/>
        </w:rPr>
        <w:t>The</w:t>
      </w:r>
      <w:r>
        <w:rPr>
          <w:spacing w:val="-11"/>
          <w:sz w:val="24"/>
        </w:rPr>
        <w:t> </w:t>
      </w:r>
      <w:r>
        <w:rPr>
          <w:sz w:val="24"/>
        </w:rPr>
        <w:t>BUA of such amenity shall be excluded for the purpose of FSI computation. Thereafter the development for DRA be allowed as per the full permissible</w:t>
      </w:r>
      <w:r>
        <w:rPr>
          <w:spacing w:val="-8"/>
          <w:sz w:val="24"/>
        </w:rPr>
        <w:t> </w:t>
      </w:r>
      <w:r>
        <w:rPr>
          <w:sz w:val="24"/>
        </w:rPr>
        <w:t>FSI</w:t>
      </w:r>
      <w:r>
        <w:rPr>
          <w:spacing w:val="-6"/>
          <w:sz w:val="24"/>
        </w:rPr>
        <w:t> </w:t>
      </w:r>
      <w:r>
        <w:rPr>
          <w:sz w:val="24"/>
        </w:rPr>
        <w:t>of</w:t>
      </w:r>
      <w:r>
        <w:rPr>
          <w:spacing w:val="-11"/>
          <w:sz w:val="24"/>
        </w:rPr>
        <w:t> </w:t>
      </w:r>
      <w:r>
        <w:rPr>
          <w:sz w:val="24"/>
        </w:rPr>
        <w:t>the</w:t>
      </w:r>
      <w:r>
        <w:rPr>
          <w:spacing w:val="-8"/>
          <w:sz w:val="24"/>
        </w:rPr>
        <w:t> </w:t>
      </w:r>
      <w:r>
        <w:rPr>
          <w:sz w:val="24"/>
        </w:rPr>
        <w:t>entire</w:t>
      </w:r>
      <w:r>
        <w:rPr>
          <w:spacing w:val="-8"/>
          <w:sz w:val="24"/>
        </w:rPr>
        <w:t> </w:t>
      </w:r>
      <w:r>
        <w:rPr>
          <w:sz w:val="24"/>
        </w:rPr>
        <w:t>plot</w:t>
      </w:r>
      <w:r>
        <w:rPr>
          <w:spacing w:val="-8"/>
          <w:sz w:val="24"/>
        </w:rPr>
        <w:t> </w:t>
      </w:r>
      <w:r>
        <w:rPr>
          <w:sz w:val="24"/>
        </w:rPr>
        <w:t>according</w:t>
      </w:r>
      <w:r>
        <w:rPr>
          <w:spacing w:val="-8"/>
          <w:sz w:val="24"/>
        </w:rPr>
        <w:t> </w:t>
      </w:r>
      <w:r>
        <w:rPr>
          <w:sz w:val="24"/>
        </w:rPr>
        <w:t>to</w:t>
      </w:r>
      <w:r>
        <w:rPr>
          <w:spacing w:val="-8"/>
          <w:sz w:val="24"/>
        </w:rPr>
        <w:t> </w:t>
      </w:r>
      <w:r>
        <w:rPr>
          <w:sz w:val="24"/>
        </w:rPr>
        <w:t>regulation</w:t>
      </w:r>
      <w:r>
        <w:rPr>
          <w:spacing w:val="-8"/>
          <w:sz w:val="24"/>
        </w:rPr>
        <w:t> </w:t>
      </w:r>
      <w:r>
        <w:rPr>
          <w:sz w:val="24"/>
        </w:rPr>
        <w:t>33(10)</w:t>
      </w:r>
      <w:r>
        <w:rPr>
          <w:spacing w:val="-8"/>
          <w:sz w:val="24"/>
        </w:rPr>
        <w:t> </w:t>
      </w:r>
      <w:r>
        <w:rPr>
          <w:sz w:val="24"/>
        </w:rPr>
        <w:t>(A)</w:t>
      </w:r>
      <w:r>
        <w:rPr>
          <w:spacing w:val="-8"/>
          <w:sz w:val="24"/>
        </w:rPr>
        <w:t> </w:t>
      </w:r>
      <w:r>
        <w:rPr>
          <w:sz w:val="24"/>
        </w:rPr>
        <w:t>read with this Regulation and subject to provisions in clause No. 7.1</w:t>
      </w:r>
    </w:p>
    <w:p>
      <w:pPr>
        <w:pStyle w:val="ListParagraph"/>
        <w:numPr>
          <w:ilvl w:val="1"/>
          <w:numId w:val="195"/>
        </w:numPr>
        <w:tabs>
          <w:tab w:pos="2779" w:val="left" w:leader="none"/>
        </w:tabs>
        <w:spacing w:line="240" w:lineRule="auto" w:before="240" w:after="0"/>
        <w:ind w:left="2062" w:right="768" w:firstLine="0"/>
        <w:jc w:val="both"/>
        <w:rPr>
          <w:sz w:val="24"/>
        </w:rPr>
      </w:pPr>
      <w:r>
        <w:rPr>
          <w:sz w:val="24"/>
        </w:rPr>
        <w:t>Where DP road/Proposed road passes through DRP area, the entire</w:t>
      </w:r>
      <w:r>
        <w:rPr>
          <w:spacing w:val="-7"/>
          <w:sz w:val="24"/>
        </w:rPr>
        <w:t> </w:t>
      </w:r>
      <w:r>
        <w:rPr>
          <w:sz w:val="24"/>
        </w:rPr>
        <w:t>100</w:t>
      </w:r>
      <w:r>
        <w:rPr>
          <w:spacing w:val="-7"/>
          <w:sz w:val="24"/>
        </w:rPr>
        <w:t> </w:t>
      </w:r>
      <w:r>
        <w:rPr>
          <w:sz w:val="24"/>
        </w:rPr>
        <w:t>percent</w:t>
      </w:r>
      <w:r>
        <w:rPr>
          <w:spacing w:val="-7"/>
          <w:sz w:val="24"/>
        </w:rPr>
        <w:t> </w:t>
      </w:r>
      <w:r>
        <w:rPr>
          <w:sz w:val="24"/>
        </w:rPr>
        <w:t>FSI</w:t>
      </w:r>
      <w:r>
        <w:rPr>
          <w:spacing w:val="-5"/>
          <w:sz w:val="24"/>
        </w:rPr>
        <w:t> </w:t>
      </w:r>
      <w:r>
        <w:rPr>
          <w:sz w:val="24"/>
        </w:rPr>
        <w:t>of</w:t>
      </w:r>
      <w:r>
        <w:rPr>
          <w:spacing w:val="-7"/>
          <w:sz w:val="24"/>
        </w:rPr>
        <w:t> </w:t>
      </w:r>
      <w:r>
        <w:rPr>
          <w:sz w:val="24"/>
        </w:rPr>
        <w:t>the</w:t>
      </w:r>
      <w:r>
        <w:rPr>
          <w:spacing w:val="-7"/>
          <w:sz w:val="24"/>
        </w:rPr>
        <w:t> </w:t>
      </w:r>
      <w:r>
        <w:rPr>
          <w:sz w:val="24"/>
        </w:rPr>
        <w:t>road</w:t>
      </w:r>
      <w:r>
        <w:rPr>
          <w:spacing w:val="-7"/>
          <w:sz w:val="24"/>
        </w:rPr>
        <w:t> </w:t>
      </w:r>
      <w:r>
        <w:rPr>
          <w:sz w:val="24"/>
        </w:rPr>
        <w:t>may</w:t>
      </w:r>
      <w:r>
        <w:rPr>
          <w:spacing w:val="-7"/>
          <w:sz w:val="24"/>
        </w:rPr>
        <w:t> </w:t>
      </w:r>
      <w:r>
        <w:rPr>
          <w:sz w:val="24"/>
        </w:rPr>
        <w:t>be</w:t>
      </w:r>
      <w:r>
        <w:rPr>
          <w:spacing w:val="-7"/>
          <w:sz w:val="24"/>
        </w:rPr>
        <w:t> </w:t>
      </w:r>
      <w:r>
        <w:rPr>
          <w:sz w:val="24"/>
        </w:rPr>
        <w:t>given</w:t>
      </w:r>
      <w:r>
        <w:rPr>
          <w:spacing w:val="-7"/>
          <w:sz w:val="24"/>
        </w:rPr>
        <w:t> </w:t>
      </w:r>
      <w:r>
        <w:rPr>
          <w:sz w:val="24"/>
        </w:rPr>
        <w:t>in</w:t>
      </w:r>
      <w:r>
        <w:rPr>
          <w:spacing w:val="-7"/>
          <w:sz w:val="24"/>
        </w:rPr>
        <w:t> </w:t>
      </w:r>
      <w:r>
        <w:rPr>
          <w:sz w:val="24"/>
        </w:rPr>
        <w:t>the</w:t>
      </w:r>
      <w:r>
        <w:rPr>
          <w:spacing w:val="-7"/>
          <w:sz w:val="24"/>
        </w:rPr>
        <w:t> </w:t>
      </w:r>
      <w:r>
        <w:rPr>
          <w:sz w:val="24"/>
        </w:rPr>
        <w:t>same</w:t>
      </w:r>
      <w:r>
        <w:rPr>
          <w:spacing w:val="-7"/>
          <w:sz w:val="24"/>
        </w:rPr>
        <w:t> </w:t>
      </w:r>
      <w:r>
        <w:rPr>
          <w:sz w:val="24"/>
        </w:rPr>
        <w:t>site,</w:t>
      </w:r>
      <w:r>
        <w:rPr>
          <w:spacing w:val="-7"/>
          <w:sz w:val="24"/>
        </w:rPr>
        <w:t> </w:t>
      </w:r>
      <w:r>
        <w:rPr>
          <w:sz w:val="24"/>
        </w:rPr>
        <w:t>on</w:t>
      </w:r>
      <w:r>
        <w:rPr>
          <w:spacing w:val="-7"/>
          <w:sz w:val="24"/>
        </w:rPr>
        <w:t> </w:t>
      </w:r>
      <w:r>
        <w:rPr>
          <w:sz w:val="24"/>
        </w:rPr>
        <w:t>the remainder of the plot.</w:t>
      </w:r>
    </w:p>
    <w:p>
      <w:pPr>
        <w:pStyle w:val="ListParagraph"/>
        <w:numPr>
          <w:ilvl w:val="1"/>
          <w:numId w:val="195"/>
        </w:numPr>
        <w:tabs>
          <w:tab w:pos="2779" w:val="left" w:leader="none"/>
        </w:tabs>
        <w:spacing w:line="240" w:lineRule="auto" w:before="240" w:after="0"/>
        <w:ind w:left="2062" w:right="766" w:firstLine="0"/>
        <w:jc w:val="both"/>
        <w:rPr>
          <w:sz w:val="24"/>
        </w:rPr>
      </w:pPr>
      <w:r>
        <w:rPr>
          <w:sz w:val="24"/>
        </w:rPr>
        <w:t>Development of Slum Plots under DCR 33(10) (A) and Urban Renewal</w:t>
      </w:r>
      <w:r>
        <w:rPr>
          <w:spacing w:val="-5"/>
          <w:sz w:val="24"/>
        </w:rPr>
        <w:t> </w:t>
      </w:r>
      <w:r>
        <w:rPr>
          <w:sz w:val="24"/>
        </w:rPr>
        <w:t>plots</w:t>
      </w:r>
      <w:r>
        <w:rPr>
          <w:spacing w:val="-5"/>
          <w:sz w:val="24"/>
        </w:rPr>
        <w:t> </w:t>
      </w:r>
      <w:r>
        <w:rPr>
          <w:sz w:val="24"/>
        </w:rPr>
        <w:t>under</w:t>
      </w:r>
      <w:r>
        <w:rPr>
          <w:spacing w:val="-3"/>
          <w:sz w:val="24"/>
        </w:rPr>
        <w:t> </w:t>
      </w:r>
      <w:r>
        <w:rPr>
          <w:sz w:val="24"/>
        </w:rPr>
        <w:t>DCR</w:t>
      </w:r>
      <w:r>
        <w:rPr>
          <w:spacing w:val="-5"/>
          <w:sz w:val="24"/>
        </w:rPr>
        <w:t> </w:t>
      </w:r>
      <w:r>
        <w:rPr>
          <w:sz w:val="24"/>
        </w:rPr>
        <w:t>33(9)</w:t>
      </w:r>
      <w:r>
        <w:rPr>
          <w:spacing w:val="-5"/>
          <w:sz w:val="24"/>
        </w:rPr>
        <w:t> </w:t>
      </w:r>
      <w:r>
        <w:rPr>
          <w:sz w:val="24"/>
        </w:rPr>
        <w:t>(A)</w:t>
      </w:r>
      <w:r>
        <w:rPr>
          <w:spacing w:val="-5"/>
          <w:sz w:val="24"/>
        </w:rPr>
        <w:t> </w:t>
      </w:r>
      <w:r>
        <w:rPr>
          <w:sz w:val="24"/>
        </w:rPr>
        <w:t>in</w:t>
      </w:r>
      <w:r>
        <w:rPr>
          <w:spacing w:val="-3"/>
          <w:sz w:val="24"/>
        </w:rPr>
        <w:t> </w:t>
      </w:r>
      <w:r>
        <w:rPr>
          <w:sz w:val="24"/>
        </w:rPr>
        <w:t>a</w:t>
      </w:r>
      <w:r>
        <w:rPr>
          <w:spacing w:val="-5"/>
          <w:sz w:val="24"/>
        </w:rPr>
        <w:t> </w:t>
      </w:r>
      <w:r>
        <w:rPr>
          <w:sz w:val="24"/>
        </w:rPr>
        <w:t>planning</w:t>
      </w:r>
      <w:r>
        <w:rPr>
          <w:spacing w:val="-5"/>
          <w:sz w:val="24"/>
        </w:rPr>
        <w:t> </w:t>
      </w:r>
      <w:r>
        <w:rPr>
          <w:sz w:val="24"/>
        </w:rPr>
        <w:t>sector</w:t>
      </w:r>
      <w:r>
        <w:rPr>
          <w:spacing w:val="-5"/>
          <w:sz w:val="24"/>
        </w:rPr>
        <w:t> </w:t>
      </w:r>
      <w:r>
        <w:rPr>
          <w:sz w:val="24"/>
        </w:rPr>
        <w:t>may</w:t>
      </w:r>
      <w:r>
        <w:rPr>
          <w:spacing w:val="-2"/>
          <w:sz w:val="24"/>
        </w:rPr>
        <w:t> </w:t>
      </w:r>
      <w:r>
        <w:rPr>
          <w:sz w:val="24"/>
        </w:rPr>
        <w:t>be</w:t>
      </w:r>
      <w:r>
        <w:rPr>
          <w:spacing w:val="-5"/>
          <w:sz w:val="24"/>
        </w:rPr>
        <w:t> </w:t>
      </w:r>
      <w:r>
        <w:rPr>
          <w:sz w:val="24"/>
        </w:rPr>
        <w:t>allowed to</w:t>
      </w:r>
      <w:r>
        <w:rPr>
          <w:spacing w:val="-1"/>
          <w:sz w:val="24"/>
        </w:rPr>
        <w:t> </w:t>
      </w:r>
      <w:r>
        <w:rPr>
          <w:sz w:val="24"/>
        </w:rPr>
        <w:t>be</w:t>
      </w:r>
      <w:r>
        <w:rPr>
          <w:spacing w:val="-1"/>
          <w:sz w:val="24"/>
        </w:rPr>
        <w:t> </w:t>
      </w:r>
      <w:r>
        <w:rPr>
          <w:sz w:val="24"/>
        </w:rPr>
        <w:t>developed</w:t>
      </w:r>
      <w:r>
        <w:rPr>
          <w:spacing w:val="-1"/>
          <w:sz w:val="24"/>
        </w:rPr>
        <w:t> </w:t>
      </w:r>
      <w:r>
        <w:rPr>
          <w:sz w:val="24"/>
        </w:rPr>
        <w:t>together</w:t>
      </w:r>
      <w:r>
        <w:rPr>
          <w:spacing w:val="-1"/>
          <w:sz w:val="24"/>
        </w:rPr>
        <w:t> </w:t>
      </w:r>
      <w:r>
        <w:rPr>
          <w:sz w:val="24"/>
        </w:rPr>
        <w:t>in</w:t>
      </w:r>
      <w:r>
        <w:rPr>
          <w:spacing w:val="-1"/>
          <w:sz w:val="24"/>
        </w:rPr>
        <w:t> </w:t>
      </w:r>
      <w:r>
        <w:rPr>
          <w:sz w:val="24"/>
        </w:rPr>
        <w:t>order</w:t>
      </w:r>
      <w:r>
        <w:rPr>
          <w:spacing w:val="-1"/>
          <w:sz w:val="24"/>
        </w:rPr>
        <w:t> </w:t>
      </w:r>
      <w:r>
        <w:rPr>
          <w:sz w:val="24"/>
        </w:rPr>
        <w:t>to</w:t>
      </w:r>
      <w:r>
        <w:rPr>
          <w:spacing w:val="-1"/>
          <w:sz w:val="24"/>
        </w:rPr>
        <w:t> </w:t>
      </w:r>
      <w:r>
        <w:rPr>
          <w:sz w:val="24"/>
        </w:rPr>
        <w:t>promote</w:t>
      </w:r>
      <w:r>
        <w:rPr>
          <w:spacing w:val="-1"/>
          <w:sz w:val="24"/>
        </w:rPr>
        <w:t> </w:t>
      </w:r>
      <w:r>
        <w:rPr>
          <w:sz w:val="24"/>
        </w:rPr>
        <w:t>flexibility</w:t>
      </w:r>
      <w:r>
        <w:rPr>
          <w:spacing w:val="-1"/>
          <w:sz w:val="24"/>
        </w:rPr>
        <w:t> </w:t>
      </w:r>
      <w:r>
        <w:rPr>
          <w:sz w:val="24"/>
        </w:rPr>
        <w:t>of</w:t>
      </w:r>
      <w:r>
        <w:rPr>
          <w:spacing w:val="-1"/>
          <w:sz w:val="24"/>
        </w:rPr>
        <w:t> </w:t>
      </w:r>
      <w:r>
        <w:rPr>
          <w:sz w:val="24"/>
        </w:rPr>
        <w:t>design</w:t>
      </w:r>
      <w:r>
        <w:rPr>
          <w:spacing w:val="-1"/>
          <w:sz w:val="24"/>
        </w:rPr>
        <w:t> </w:t>
      </w:r>
      <w:r>
        <w:rPr>
          <w:sz w:val="24"/>
        </w:rPr>
        <w:t>as</w:t>
      </w:r>
      <w:r>
        <w:rPr>
          <w:spacing w:val="-1"/>
          <w:sz w:val="24"/>
        </w:rPr>
        <w:t> </w:t>
      </w:r>
      <w:r>
        <w:rPr>
          <w:sz w:val="24"/>
        </w:rPr>
        <w:t>well as to raise more resources.</w:t>
      </w:r>
      <w:r>
        <w:rPr>
          <w:spacing w:val="40"/>
          <w:sz w:val="24"/>
        </w:rPr>
        <w:t> </w:t>
      </w:r>
      <w:r>
        <w:rPr>
          <w:sz w:val="24"/>
        </w:rPr>
        <w:t>The power under Regulation 13(6) for shifting</w:t>
      </w:r>
      <w:r>
        <w:rPr>
          <w:spacing w:val="-11"/>
          <w:sz w:val="24"/>
        </w:rPr>
        <w:t> </w:t>
      </w:r>
      <w:r>
        <w:rPr>
          <w:sz w:val="24"/>
        </w:rPr>
        <w:t>and/or</w:t>
      </w:r>
      <w:r>
        <w:rPr>
          <w:spacing w:val="-11"/>
          <w:sz w:val="24"/>
        </w:rPr>
        <w:t> </w:t>
      </w:r>
      <w:r>
        <w:rPr>
          <w:sz w:val="24"/>
        </w:rPr>
        <w:t>interchanging</w:t>
      </w:r>
      <w:r>
        <w:rPr>
          <w:spacing w:val="-11"/>
          <w:sz w:val="24"/>
        </w:rPr>
        <w:t> </w:t>
      </w:r>
      <w:r>
        <w:rPr>
          <w:sz w:val="24"/>
        </w:rPr>
        <w:t>the</w:t>
      </w:r>
      <w:r>
        <w:rPr>
          <w:spacing w:val="-11"/>
          <w:sz w:val="24"/>
        </w:rPr>
        <w:t> </w:t>
      </w:r>
      <w:r>
        <w:rPr>
          <w:sz w:val="24"/>
        </w:rPr>
        <w:t>purpose</w:t>
      </w:r>
      <w:r>
        <w:rPr>
          <w:spacing w:val="-11"/>
          <w:sz w:val="24"/>
        </w:rPr>
        <w:t> </w:t>
      </w:r>
      <w:r>
        <w:rPr>
          <w:sz w:val="24"/>
        </w:rPr>
        <w:t>of</w:t>
      </w:r>
      <w:r>
        <w:rPr>
          <w:spacing w:val="-11"/>
          <w:sz w:val="24"/>
        </w:rPr>
        <w:t> </w:t>
      </w:r>
      <w:r>
        <w:rPr>
          <w:sz w:val="24"/>
        </w:rPr>
        <w:t>designations/reservations shall be exercised by the OSD, DRP (SRA) in respect of DNA as a SPA</w:t>
      </w:r>
    </w:p>
    <w:p>
      <w:pPr>
        <w:pStyle w:val="ListParagraph"/>
        <w:numPr>
          <w:ilvl w:val="1"/>
          <w:numId w:val="195"/>
        </w:numPr>
        <w:tabs>
          <w:tab w:pos="2779" w:val="left" w:leader="none"/>
        </w:tabs>
        <w:spacing w:line="240" w:lineRule="auto" w:before="239" w:after="0"/>
        <w:ind w:left="2062" w:right="770" w:firstLine="0"/>
        <w:jc w:val="both"/>
        <w:rPr>
          <w:sz w:val="24"/>
        </w:rPr>
      </w:pPr>
      <w:r>
        <w:rPr>
          <w:sz w:val="24"/>
        </w:rPr>
        <w:t>In case of DRP adjoining railway tracks, a boundary wall of minimum, 2.4 m in height shall be constructed.</w:t>
      </w:r>
    </w:p>
    <w:p>
      <w:pPr>
        <w:pStyle w:val="BodyText"/>
        <w:spacing w:before="94"/>
        <w:jc w:val="left"/>
        <w:rPr>
          <w:sz w:val="14"/>
        </w:rPr>
      </w:pPr>
    </w:p>
    <w:p>
      <w:pPr>
        <w:spacing w:before="1"/>
        <w:ind w:left="0" w:right="483" w:firstLine="0"/>
        <w:jc w:val="right"/>
        <w:rPr>
          <w:rFonts w:ascii="Arial"/>
          <w:b/>
          <w:i/>
          <w:sz w:val="14"/>
        </w:rPr>
      </w:pPr>
      <w:r>
        <w:rPr>
          <w:rFonts w:ascii="Arial"/>
          <w:b/>
          <w:i/>
          <w:sz w:val="14"/>
        </w:rPr>
        <mc:AlternateContent>
          <mc:Choice Requires="wps">
            <w:drawing>
              <wp:anchor distT="0" distB="0" distL="0" distR="0" allowOverlap="1" layoutInCell="1" locked="0" behindDoc="1" simplePos="0" relativeHeight="471350784">
                <wp:simplePos x="0" y="0"/>
                <wp:positionH relativeFrom="page">
                  <wp:posOffset>1080516</wp:posOffset>
                </wp:positionH>
                <wp:positionV relativeFrom="paragraph">
                  <wp:posOffset>27913</wp:posOffset>
                </wp:positionV>
                <wp:extent cx="2514600" cy="197485"/>
                <wp:effectExtent l="0" t="0" r="0" b="0"/>
                <wp:wrapNone/>
                <wp:docPr id="337" name="Graphic 337"/>
                <wp:cNvGraphicFramePr>
                  <a:graphicFrameLocks/>
                </wp:cNvGraphicFramePr>
                <a:graphic>
                  <a:graphicData uri="http://schemas.microsoft.com/office/word/2010/wordprocessingShape">
                    <wps:wsp>
                      <wps:cNvPr id="337" name="Graphic 337"/>
                      <wps:cNvSpPr/>
                      <wps:spPr>
                        <a:xfrm>
                          <a:off x="0" y="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rect style="position:absolute;margin-left:85.080002pt;margin-top:2.197891pt;width:198pt;height:15.55pt;mso-position-horizontal-relative:page;mso-position-vertical-relative:paragraph;z-index:-31965696" id="docshape289" filled="false" stroked="true" strokeweight="1pt" strokecolor="#666666">
                <v:stroke dashstyle="solid"/>
                <w10:wrap type="none"/>
              </v:rect>
            </w:pict>
          </mc:Fallback>
        </mc:AlternateContent>
      </w:r>
      <w:r>
        <w:rPr>
          <w:rFonts w:ascii="Arial"/>
          <w:b/>
          <w:i/>
          <w:sz w:val="14"/>
        </w:rPr>
        <w:t>Development</w:t>
      </w:r>
      <w:r>
        <w:rPr>
          <w:rFonts w:ascii="Arial"/>
          <w:b/>
          <w:i/>
          <w:spacing w:val="-8"/>
          <w:sz w:val="14"/>
        </w:rPr>
        <w:t> </w:t>
      </w:r>
      <w:r>
        <w:rPr>
          <w:rFonts w:ascii="Arial"/>
          <w:b/>
          <w:i/>
          <w:sz w:val="14"/>
        </w:rPr>
        <w:t>Plan</w:t>
      </w:r>
      <w:r>
        <w:rPr>
          <w:rFonts w:ascii="Arial"/>
          <w:b/>
          <w:i/>
          <w:spacing w:val="-9"/>
          <w:sz w:val="14"/>
        </w:rPr>
        <w:t> </w:t>
      </w:r>
      <w:r>
        <w:rPr>
          <w:rFonts w:ascii="Arial"/>
          <w:b/>
          <w:i/>
          <w:spacing w:val="-4"/>
          <w:sz w:val="14"/>
        </w:rPr>
        <w:t>2034</w:t>
      </w:r>
    </w:p>
    <w:p>
      <w:pPr>
        <w:spacing w:after="0"/>
        <w:jc w:val="right"/>
        <w:rPr>
          <w:rFonts w:ascii="Arial"/>
          <w:b/>
          <w:i/>
          <w:sz w:val="14"/>
        </w:rPr>
        <w:sectPr>
          <w:headerReference w:type="default" r:id="rId47"/>
          <w:footerReference w:type="default" r:id="rId48"/>
          <w:pgSz w:w="11910" w:h="16840"/>
          <w:pgMar w:header="1065" w:footer="1066" w:top="1500" w:bottom="1260" w:left="360" w:right="360"/>
        </w:sectPr>
      </w:pPr>
    </w:p>
    <w:p>
      <w:pPr>
        <w:pStyle w:val="ListParagraph"/>
        <w:numPr>
          <w:ilvl w:val="1"/>
          <w:numId w:val="195"/>
        </w:numPr>
        <w:tabs>
          <w:tab w:pos="2779" w:val="left" w:leader="none"/>
        </w:tabs>
        <w:spacing w:line="240" w:lineRule="auto" w:before="249" w:after="0"/>
        <w:ind w:left="2062" w:right="770" w:firstLine="0"/>
        <w:jc w:val="both"/>
        <w:rPr>
          <w:sz w:val="24"/>
        </w:rPr>
      </w:pPr>
      <w:r>
        <w:rPr>
          <w:sz w:val="24"/>
        </w:rPr>
        <w:t>Slums/structures</w:t>
      </w:r>
      <w:r>
        <w:rPr>
          <w:spacing w:val="-12"/>
          <w:sz w:val="24"/>
        </w:rPr>
        <w:t> </w:t>
      </w:r>
      <w:r>
        <w:rPr>
          <w:sz w:val="24"/>
        </w:rPr>
        <w:t>under</w:t>
      </w:r>
      <w:r>
        <w:rPr>
          <w:spacing w:val="-12"/>
          <w:sz w:val="24"/>
        </w:rPr>
        <w:t> </w:t>
      </w:r>
      <w:r>
        <w:rPr>
          <w:sz w:val="24"/>
        </w:rPr>
        <w:t>renewal</w:t>
      </w:r>
      <w:r>
        <w:rPr>
          <w:spacing w:val="-12"/>
          <w:sz w:val="24"/>
        </w:rPr>
        <w:t> </w:t>
      </w:r>
      <w:r>
        <w:rPr>
          <w:sz w:val="24"/>
        </w:rPr>
        <w:t>on</w:t>
      </w:r>
      <w:r>
        <w:rPr>
          <w:spacing w:val="-12"/>
          <w:sz w:val="24"/>
        </w:rPr>
        <w:t> </w:t>
      </w:r>
      <w:r>
        <w:rPr>
          <w:sz w:val="24"/>
        </w:rPr>
        <w:t>lands</w:t>
      </w:r>
      <w:r>
        <w:rPr>
          <w:spacing w:val="-12"/>
          <w:sz w:val="24"/>
        </w:rPr>
        <w:t> </w:t>
      </w:r>
      <w:r>
        <w:rPr>
          <w:sz w:val="24"/>
        </w:rPr>
        <w:t>designated</w:t>
      </w:r>
      <w:r>
        <w:rPr>
          <w:spacing w:val="-12"/>
          <w:sz w:val="24"/>
        </w:rPr>
        <w:t> </w:t>
      </w:r>
      <w:r>
        <w:rPr>
          <w:sz w:val="24"/>
        </w:rPr>
        <w:t>or</w:t>
      </w:r>
      <w:r>
        <w:rPr>
          <w:spacing w:val="-12"/>
          <w:sz w:val="24"/>
        </w:rPr>
        <w:t> </w:t>
      </w:r>
      <w:r>
        <w:rPr>
          <w:sz w:val="24"/>
        </w:rPr>
        <w:t>reserved for</w:t>
      </w:r>
      <w:r>
        <w:rPr>
          <w:spacing w:val="-2"/>
          <w:sz w:val="24"/>
        </w:rPr>
        <w:t> </w:t>
      </w:r>
      <w:r>
        <w:rPr>
          <w:sz w:val="24"/>
        </w:rPr>
        <w:t>purpose</w:t>
      </w:r>
      <w:r>
        <w:rPr>
          <w:spacing w:val="-2"/>
          <w:sz w:val="24"/>
        </w:rPr>
        <w:t> </w:t>
      </w:r>
      <w:r>
        <w:rPr>
          <w:sz w:val="24"/>
        </w:rPr>
        <w:t>of</w:t>
      </w:r>
      <w:r>
        <w:rPr>
          <w:spacing w:val="-2"/>
          <w:sz w:val="24"/>
        </w:rPr>
        <w:t> </w:t>
      </w:r>
      <w:r>
        <w:rPr>
          <w:sz w:val="24"/>
        </w:rPr>
        <w:t>Rehabilitation</w:t>
      </w:r>
      <w:r>
        <w:rPr>
          <w:spacing w:val="-2"/>
          <w:sz w:val="24"/>
        </w:rPr>
        <w:t> </w:t>
      </w:r>
      <w:r>
        <w:rPr>
          <w:sz w:val="24"/>
        </w:rPr>
        <w:t>and</w:t>
      </w:r>
      <w:r>
        <w:rPr>
          <w:spacing w:val="-2"/>
          <w:sz w:val="24"/>
        </w:rPr>
        <w:t> </w:t>
      </w:r>
      <w:r>
        <w:rPr>
          <w:sz w:val="24"/>
        </w:rPr>
        <w:t>Resettlement</w:t>
      </w:r>
      <w:r>
        <w:rPr>
          <w:spacing w:val="-2"/>
          <w:sz w:val="24"/>
        </w:rPr>
        <w:t> </w:t>
      </w:r>
      <w:r>
        <w:rPr>
          <w:sz w:val="24"/>
        </w:rPr>
        <w:t>shall</w:t>
      </w:r>
      <w:r>
        <w:rPr>
          <w:spacing w:val="-2"/>
          <w:sz w:val="24"/>
        </w:rPr>
        <w:t> </w:t>
      </w:r>
      <w:r>
        <w:rPr>
          <w:sz w:val="24"/>
        </w:rPr>
        <w:t>be</w:t>
      </w:r>
      <w:r>
        <w:rPr>
          <w:spacing w:val="-2"/>
          <w:sz w:val="24"/>
        </w:rPr>
        <w:t> </w:t>
      </w:r>
      <w:r>
        <w:rPr>
          <w:sz w:val="24"/>
        </w:rPr>
        <w:t>treated</w:t>
      </w:r>
      <w:r>
        <w:rPr>
          <w:spacing w:val="-2"/>
          <w:sz w:val="24"/>
        </w:rPr>
        <w:t> </w:t>
      </w:r>
      <w:r>
        <w:rPr>
          <w:sz w:val="24"/>
        </w:rPr>
        <w:t>as</w:t>
      </w:r>
      <w:r>
        <w:rPr>
          <w:spacing w:val="-2"/>
          <w:sz w:val="24"/>
        </w:rPr>
        <w:t> </w:t>
      </w:r>
      <w:r>
        <w:rPr>
          <w:sz w:val="24"/>
        </w:rPr>
        <w:t>sites for slum redevelopment and redevelopment to be allowed according to this Regulation.</w:t>
      </w:r>
    </w:p>
    <w:p>
      <w:pPr>
        <w:pStyle w:val="ListParagraph"/>
        <w:numPr>
          <w:ilvl w:val="1"/>
          <w:numId w:val="195"/>
        </w:numPr>
        <w:tabs>
          <w:tab w:pos="2779" w:val="left" w:leader="none"/>
        </w:tabs>
        <w:spacing w:line="240" w:lineRule="auto" w:before="241" w:after="0"/>
        <w:ind w:left="2062" w:right="767" w:firstLine="0"/>
        <w:jc w:val="both"/>
        <w:rPr>
          <w:sz w:val="24"/>
        </w:rPr>
      </w:pPr>
      <w:r>
        <w:rPr>
          <w:sz w:val="24"/>
        </w:rPr>
        <w:t>Existing slums occupying lands/structures under renewal in dangerous locations such as marshy lands, near water bodies, lands abutting railway tracks/in railway lands, NDZ and sites immediately required for the public and semi-public projects may be relocated at other</w:t>
      </w:r>
      <w:r>
        <w:rPr>
          <w:spacing w:val="-13"/>
          <w:sz w:val="24"/>
        </w:rPr>
        <w:t> </w:t>
      </w:r>
      <w:r>
        <w:rPr>
          <w:sz w:val="24"/>
        </w:rPr>
        <w:t>suitable</w:t>
      </w:r>
      <w:r>
        <w:rPr>
          <w:spacing w:val="-13"/>
          <w:sz w:val="24"/>
        </w:rPr>
        <w:t> </w:t>
      </w:r>
      <w:r>
        <w:rPr>
          <w:sz w:val="24"/>
        </w:rPr>
        <w:t>locations</w:t>
      </w:r>
      <w:r>
        <w:rPr>
          <w:spacing w:val="-13"/>
          <w:sz w:val="24"/>
        </w:rPr>
        <w:t> </w:t>
      </w:r>
      <w:r>
        <w:rPr>
          <w:sz w:val="24"/>
        </w:rPr>
        <w:t>within</w:t>
      </w:r>
      <w:r>
        <w:rPr>
          <w:spacing w:val="-13"/>
          <w:sz w:val="24"/>
        </w:rPr>
        <w:t> </w:t>
      </w:r>
      <w:r>
        <w:rPr>
          <w:sz w:val="24"/>
        </w:rPr>
        <w:t>the</w:t>
      </w:r>
      <w:r>
        <w:rPr>
          <w:spacing w:val="-13"/>
          <w:sz w:val="24"/>
        </w:rPr>
        <w:t> </w:t>
      </w:r>
      <w:r>
        <w:rPr>
          <w:sz w:val="24"/>
        </w:rPr>
        <w:t>planning</w:t>
      </w:r>
      <w:r>
        <w:rPr>
          <w:spacing w:val="-13"/>
          <w:sz w:val="24"/>
        </w:rPr>
        <w:t> </w:t>
      </w:r>
      <w:r>
        <w:rPr>
          <w:sz w:val="24"/>
        </w:rPr>
        <w:t>sectors</w:t>
      </w:r>
      <w:r>
        <w:rPr>
          <w:spacing w:val="-13"/>
          <w:sz w:val="24"/>
        </w:rPr>
        <w:t> </w:t>
      </w:r>
      <w:r>
        <w:rPr>
          <w:sz w:val="24"/>
        </w:rPr>
        <w:t>and</w:t>
      </w:r>
      <w:r>
        <w:rPr>
          <w:spacing w:val="-13"/>
          <w:sz w:val="24"/>
        </w:rPr>
        <w:t> </w:t>
      </w:r>
      <w:r>
        <w:rPr>
          <w:sz w:val="24"/>
        </w:rPr>
        <w:t>may</w:t>
      </w:r>
      <w:r>
        <w:rPr>
          <w:spacing w:val="-11"/>
          <w:sz w:val="24"/>
        </w:rPr>
        <w:t> </w:t>
      </w:r>
      <w:r>
        <w:rPr>
          <w:sz w:val="24"/>
        </w:rPr>
        <w:t>be</w:t>
      </w:r>
      <w:r>
        <w:rPr>
          <w:spacing w:val="-11"/>
          <w:sz w:val="24"/>
        </w:rPr>
        <w:t> </w:t>
      </w:r>
      <w:r>
        <w:rPr>
          <w:sz w:val="24"/>
        </w:rPr>
        <w:t>allowed to be developed in accordance with this Regulation.</w:t>
      </w:r>
    </w:p>
    <w:p>
      <w:pPr>
        <w:pStyle w:val="ListParagraph"/>
        <w:numPr>
          <w:ilvl w:val="0"/>
          <w:numId w:val="195"/>
        </w:numPr>
        <w:tabs>
          <w:tab w:pos="2781" w:val="left" w:leader="none"/>
        </w:tabs>
        <w:spacing w:line="240" w:lineRule="auto" w:before="239" w:after="0"/>
        <w:ind w:left="2781" w:right="0" w:hanging="719"/>
        <w:jc w:val="both"/>
        <w:rPr>
          <w:sz w:val="24"/>
        </w:rPr>
      </w:pPr>
      <w:r>
        <w:rPr>
          <w:sz w:val="24"/>
        </w:rPr>
        <w:t>Aaganwadi,</w:t>
      </w:r>
      <w:r>
        <w:rPr>
          <w:spacing w:val="63"/>
          <w:sz w:val="24"/>
        </w:rPr>
        <w:t>  </w:t>
      </w:r>
      <w:r>
        <w:rPr>
          <w:sz w:val="24"/>
        </w:rPr>
        <w:t>Health</w:t>
      </w:r>
      <w:r>
        <w:rPr>
          <w:spacing w:val="64"/>
          <w:sz w:val="24"/>
        </w:rPr>
        <w:t>  </w:t>
      </w:r>
      <w:r>
        <w:rPr>
          <w:sz w:val="24"/>
        </w:rPr>
        <w:t>Centre</w:t>
      </w:r>
      <w:r>
        <w:rPr>
          <w:spacing w:val="64"/>
          <w:sz w:val="24"/>
        </w:rPr>
        <w:t>  </w:t>
      </w:r>
      <w:r>
        <w:rPr>
          <w:sz w:val="24"/>
        </w:rPr>
        <w:t>/</w:t>
      </w:r>
      <w:r>
        <w:rPr>
          <w:spacing w:val="63"/>
          <w:sz w:val="24"/>
        </w:rPr>
        <w:t>  </w:t>
      </w:r>
      <w:r>
        <w:rPr>
          <w:sz w:val="24"/>
        </w:rPr>
        <w:t>Outpost,</w:t>
      </w:r>
      <w:r>
        <w:rPr>
          <w:spacing w:val="64"/>
          <w:sz w:val="24"/>
        </w:rPr>
        <w:t>  </w:t>
      </w:r>
      <w:r>
        <w:rPr>
          <w:sz w:val="24"/>
        </w:rPr>
        <w:t>Community</w:t>
      </w:r>
      <w:r>
        <w:rPr>
          <w:spacing w:val="64"/>
          <w:sz w:val="24"/>
        </w:rPr>
        <w:t>  </w:t>
      </w:r>
      <w:r>
        <w:rPr>
          <w:spacing w:val="-4"/>
          <w:sz w:val="24"/>
        </w:rPr>
        <w:t>Hall</w:t>
      </w:r>
    </w:p>
    <w:p>
      <w:pPr>
        <w:pStyle w:val="BodyText"/>
        <w:spacing w:before="3"/>
        <w:ind w:left="2062" w:right="770"/>
      </w:pPr>
      <w:r>
        <w:rPr/>
        <w:t>/Gymnasium / Fitness Centre, Skill Development Centre, Women Entrepreneurship Centre, Yuva Kendra / Library, Society Office, and Religious Structures:</w:t>
      </w:r>
    </w:p>
    <w:p>
      <w:pPr>
        <w:pStyle w:val="ListParagraph"/>
        <w:numPr>
          <w:ilvl w:val="1"/>
          <w:numId w:val="195"/>
        </w:numPr>
        <w:tabs>
          <w:tab w:pos="2778" w:val="left" w:leader="none"/>
        </w:tabs>
        <w:spacing w:line="276" w:lineRule="auto" w:before="237" w:after="0"/>
        <w:ind w:left="2050" w:right="767" w:firstLine="153"/>
        <w:jc w:val="both"/>
        <w:rPr>
          <w:sz w:val="24"/>
        </w:rPr>
      </w:pPr>
      <w:r>
        <w:rPr>
          <w:sz w:val="24"/>
        </w:rPr>
        <w:t>There shall be Balwadi, Welfare hall and any of two amenities mentioned above.There shall be health Centre/ outpost, Aaganwadi, skill development centre, women entrepreneurship centre, yuvakendra</w:t>
      </w:r>
    </w:p>
    <w:p>
      <w:pPr>
        <w:pStyle w:val="BodyText"/>
        <w:spacing w:line="276" w:lineRule="auto"/>
        <w:ind w:left="2050" w:right="770"/>
      </w:pPr>
      <w:r>
        <w:rPr/>
        <w:t>/ library of size 25. m for every multiple of or part of 250 hutment dwellers.</w:t>
      </w:r>
      <w:r>
        <w:rPr>
          <w:spacing w:val="-19"/>
        </w:rPr>
        <w:t> </w:t>
      </w:r>
      <w:r>
        <w:rPr/>
        <w:t>In</w:t>
      </w:r>
      <w:r>
        <w:rPr>
          <w:spacing w:val="-19"/>
        </w:rPr>
        <w:t> </w:t>
      </w:r>
      <w:r>
        <w:rPr/>
        <w:t>case</w:t>
      </w:r>
      <w:r>
        <w:rPr>
          <w:spacing w:val="-19"/>
        </w:rPr>
        <w:t> </w:t>
      </w:r>
      <w:r>
        <w:rPr/>
        <w:t>of</w:t>
      </w:r>
      <w:r>
        <w:rPr>
          <w:spacing w:val="-19"/>
        </w:rPr>
        <w:t> </w:t>
      </w:r>
      <w:r>
        <w:rPr/>
        <w:t>misuse,</w:t>
      </w:r>
      <w:r>
        <w:rPr>
          <w:spacing w:val="-19"/>
        </w:rPr>
        <w:t> </w:t>
      </w:r>
      <w:r>
        <w:rPr/>
        <w:t>it</w:t>
      </w:r>
      <w:r>
        <w:rPr>
          <w:spacing w:val="-19"/>
        </w:rPr>
        <w:t> </w:t>
      </w:r>
      <w:r>
        <w:rPr/>
        <w:t>shall</w:t>
      </w:r>
      <w:r>
        <w:rPr>
          <w:spacing w:val="-19"/>
        </w:rPr>
        <w:t> </w:t>
      </w:r>
      <w:r>
        <w:rPr/>
        <w:t>be</w:t>
      </w:r>
      <w:r>
        <w:rPr>
          <w:spacing w:val="-19"/>
        </w:rPr>
        <w:t> </w:t>
      </w:r>
      <w:r>
        <w:rPr/>
        <w:t>taken</w:t>
      </w:r>
      <w:r>
        <w:rPr>
          <w:spacing w:val="-19"/>
        </w:rPr>
        <w:t> </w:t>
      </w:r>
      <w:r>
        <w:rPr/>
        <w:t>over</w:t>
      </w:r>
      <w:r>
        <w:rPr>
          <w:spacing w:val="-19"/>
        </w:rPr>
        <w:t> </w:t>
      </w:r>
      <w:r>
        <w:rPr/>
        <w:t>by</w:t>
      </w:r>
      <w:r>
        <w:rPr>
          <w:spacing w:val="-19"/>
        </w:rPr>
        <w:t> </w:t>
      </w:r>
      <w:r>
        <w:rPr/>
        <w:t>the</w:t>
      </w:r>
      <w:r>
        <w:rPr>
          <w:spacing w:val="-19"/>
        </w:rPr>
        <w:t> </w:t>
      </w:r>
      <w:r>
        <w:rPr/>
        <w:t>DRP(SRA)</w:t>
      </w:r>
      <w:r>
        <w:rPr>
          <w:spacing w:val="-19"/>
        </w:rPr>
        <w:t> </w:t>
      </w:r>
      <w:r>
        <w:rPr/>
        <w:t>which will</w:t>
      </w:r>
      <w:r>
        <w:rPr>
          <w:spacing w:val="68"/>
          <w:w w:val="150"/>
        </w:rPr>
        <w:t> </w:t>
      </w:r>
      <w:r>
        <w:rPr/>
        <w:t>be</w:t>
      </w:r>
      <w:r>
        <w:rPr>
          <w:spacing w:val="68"/>
          <w:w w:val="150"/>
        </w:rPr>
        <w:t> </w:t>
      </w:r>
      <w:r>
        <w:rPr/>
        <w:t>competent</w:t>
      </w:r>
      <w:r>
        <w:rPr>
          <w:spacing w:val="66"/>
          <w:w w:val="150"/>
        </w:rPr>
        <w:t> </w:t>
      </w:r>
      <w:r>
        <w:rPr/>
        <w:t>to</w:t>
      </w:r>
      <w:r>
        <w:rPr>
          <w:spacing w:val="68"/>
          <w:w w:val="150"/>
        </w:rPr>
        <w:t> </w:t>
      </w:r>
      <w:r>
        <w:rPr/>
        <w:t>allot</w:t>
      </w:r>
      <w:r>
        <w:rPr>
          <w:spacing w:val="69"/>
          <w:w w:val="150"/>
        </w:rPr>
        <w:t> </w:t>
      </w:r>
      <w:r>
        <w:rPr/>
        <w:t>the</w:t>
      </w:r>
      <w:r>
        <w:rPr>
          <w:spacing w:val="68"/>
          <w:w w:val="150"/>
        </w:rPr>
        <w:t> </w:t>
      </w:r>
      <w:r>
        <w:rPr/>
        <w:t>same</w:t>
      </w:r>
      <w:r>
        <w:rPr>
          <w:spacing w:val="65"/>
          <w:w w:val="150"/>
        </w:rPr>
        <w:t> </w:t>
      </w:r>
      <w:r>
        <w:rPr/>
        <w:t>to</w:t>
      </w:r>
      <w:r>
        <w:rPr>
          <w:spacing w:val="69"/>
          <w:w w:val="150"/>
        </w:rPr>
        <w:t> </w:t>
      </w:r>
      <w:r>
        <w:rPr/>
        <w:t>some</w:t>
      </w:r>
      <w:r>
        <w:rPr>
          <w:spacing w:val="68"/>
          <w:w w:val="150"/>
        </w:rPr>
        <w:t> </w:t>
      </w:r>
      <w:r>
        <w:rPr/>
        <w:t>other</w:t>
      </w:r>
      <w:r>
        <w:rPr>
          <w:spacing w:val="69"/>
          <w:w w:val="150"/>
        </w:rPr>
        <w:t> </w:t>
      </w:r>
      <w:r>
        <w:rPr>
          <w:spacing w:val="-2"/>
        </w:rPr>
        <w:t>organization</w:t>
      </w:r>
    </w:p>
    <w:p>
      <w:pPr>
        <w:pStyle w:val="BodyText"/>
        <w:spacing w:line="276" w:lineRule="auto"/>
        <w:ind w:left="2050" w:right="767"/>
      </w:pPr>
      <w:r>
        <w:rPr/>
        <w:t>/institution for public use. Balwadi shall also be provided for on a similar</w:t>
      </w:r>
      <w:r>
        <w:rPr>
          <w:spacing w:val="-13"/>
        </w:rPr>
        <w:t> </w:t>
      </w:r>
      <w:r>
        <w:rPr/>
        <w:t>scale.</w:t>
      </w:r>
      <w:r>
        <w:rPr>
          <w:spacing w:val="-13"/>
        </w:rPr>
        <w:t> </w:t>
      </w:r>
      <w:r>
        <w:rPr/>
        <w:t>An</w:t>
      </w:r>
      <w:r>
        <w:rPr>
          <w:spacing w:val="-13"/>
        </w:rPr>
        <w:t> </w:t>
      </w:r>
      <w:r>
        <w:rPr/>
        <w:t>office</w:t>
      </w:r>
      <w:r>
        <w:rPr>
          <w:spacing w:val="-13"/>
        </w:rPr>
        <w:t> </w:t>
      </w:r>
      <w:r>
        <w:rPr/>
        <w:t>for</w:t>
      </w:r>
      <w:r>
        <w:rPr>
          <w:spacing w:val="-13"/>
        </w:rPr>
        <w:t> </w:t>
      </w:r>
      <w:r>
        <w:rPr/>
        <w:t>the</w:t>
      </w:r>
      <w:r>
        <w:rPr>
          <w:spacing w:val="-13"/>
        </w:rPr>
        <w:t> </w:t>
      </w:r>
      <w:r>
        <w:rPr/>
        <w:t>Co-operative</w:t>
      </w:r>
      <w:r>
        <w:rPr>
          <w:spacing w:val="-13"/>
        </w:rPr>
        <w:t> </w:t>
      </w:r>
      <w:r>
        <w:rPr/>
        <w:t>housing</w:t>
      </w:r>
      <w:r>
        <w:rPr>
          <w:spacing w:val="-13"/>
        </w:rPr>
        <w:t> </w:t>
      </w:r>
      <w:r>
        <w:rPr/>
        <w:t>society</w:t>
      </w:r>
      <w:r>
        <w:rPr>
          <w:spacing w:val="-13"/>
        </w:rPr>
        <w:t> </w:t>
      </w:r>
      <w:r>
        <w:rPr/>
        <w:t>shall</w:t>
      </w:r>
      <w:r>
        <w:rPr>
          <w:spacing w:val="-13"/>
        </w:rPr>
        <w:t> </w:t>
      </w:r>
      <w:r>
        <w:rPr/>
        <w:t>be</w:t>
      </w:r>
      <w:r>
        <w:rPr>
          <w:spacing w:val="-13"/>
        </w:rPr>
        <w:t> </w:t>
      </w:r>
      <w:r>
        <w:rPr/>
        <w:t>also constructed for every 100 rehab tenements in accordance will D.C. Regulations No. 37(9). However, if the number of rehab tenements exceeds</w:t>
      </w:r>
      <w:r>
        <w:rPr>
          <w:spacing w:val="-15"/>
        </w:rPr>
        <w:t> </w:t>
      </w:r>
      <w:r>
        <w:rPr/>
        <w:t>100</w:t>
      </w:r>
      <w:r>
        <w:rPr>
          <w:spacing w:val="-15"/>
        </w:rPr>
        <w:t> </w:t>
      </w:r>
      <w:r>
        <w:rPr/>
        <w:t>then</w:t>
      </w:r>
      <w:r>
        <w:rPr>
          <w:spacing w:val="-15"/>
        </w:rPr>
        <w:t> </w:t>
      </w:r>
      <w:r>
        <w:rPr/>
        <w:t>for</w:t>
      </w:r>
      <w:r>
        <w:rPr>
          <w:spacing w:val="-13"/>
        </w:rPr>
        <w:t> </w:t>
      </w:r>
      <w:r>
        <w:rPr/>
        <w:t>every</w:t>
      </w:r>
      <w:r>
        <w:rPr>
          <w:spacing w:val="-15"/>
        </w:rPr>
        <w:t> </w:t>
      </w:r>
      <w:r>
        <w:rPr/>
        <w:t>100</w:t>
      </w:r>
      <w:r>
        <w:rPr>
          <w:spacing w:val="-15"/>
        </w:rPr>
        <w:t> </w:t>
      </w:r>
      <w:r>
        <w:rPr/>
        <w:t>rehab</w:t>
      </w:r>
      <w:r>
        <w:rPr>
          <w:spacing w:val="-15"/>
        </w:rPr>
        <w:t> </w:t>
      </w:r>
      <w:r>
        <w:rPr/>
        <w:t>tenements</w:t>
      </w:r>
      <w:r>
        <w:rPr>
          <w:spacing w:val="-15"/>
        </w:rPr>
        <w:t> </w:t>
      </w:r>
      <w:r>
        <w:rPr/>
        <w:t>such</w:t>
      </w:r>
      <w:r>
        <w:rPr>
          <w:spacing w:val="-15"/>
        </w:rPr>
        <w:t> </w:t>
      </w:r>
      <w:r>
        <w:rPr/>
        <w:t>additional</w:t>
      </w:r>
      <w:r>
        <w:rPr>
          <w:spacing w:val="-15"/>
        </w:rPr>
        <w:t> </w:t>
      </w:r>
      <w:r>
        <w:rPr/>
        <w:t>society office shall be constructed. There shall be a community hall for rehab bldg. of the Project as a part of the rehabilitation component. The area of such hall shall be 2% of rehab built up area of all the buildings or 200 sq. m whichever is less.</w:t>
      </w:r>
    </w:p>
    <w:p>
      <w:pPr>
        <w:pStyle w:val="BodyText"/>
        <w:spacing w:line="259" w:lineRule="auto" w:before="202"/>
        <w:ind w:left="2050" w:right="768"/>
      </w:pPr>
      <w:r>
        <w:rPr/>
        <w:t>Religious structures existing prior to redevelopment, if allowed in accordance</w:t>
      </w:r>
      <w:r>
        <w:rPr>
          <w:spacing w:val="-15"/>
        </w:rPr>
        <w:t> </w:t>
      </w:r>
      <w:r>
        <w:rPr/>
        <w:t>with</w:t>
      </w:r>
      <w:r>
        <w:rPr>
          <w:spacing w:val="-15"/>
        </w:rPr>
        <w:t> </w:t>
      </w:r>
      <w:r>
        <w:rPr/>
        <w:t>the</w:t>
      </w:r>
      <w:r>
        <w:rPr>
          <w:spacing w:val="-18"/>
        </w:rPr>
        <w:t> </w:t>
      </w:r>
      <w:r>
        <w:rPr/>
        <w:t>guidelines</w:t>
      </w:r>
      <w:r>
        <w:rPr>
          <w:spacing w:val="-15"/>
        </w:rPr>
        <w:t> </w:t>
      </w:r>
      <w:r>
        <w:rPr/>
        <w:t>issued</w:t>
      </w:r>
      <w:r>
        <w:rPr>
          <w:spacing w:val="-15"/>
        </w:rPr>
        <w:t> </w:t>
      </w:r>
      <w:r>
        <w:rPr/>
        <w:t>by</w:t>
      </w:r>
      <w:r>
        <w:rPr>
          <w:spacing w:val="-18"/>
        </w:rPr>
        <w:t> </w:t>
      </w:r>
      <w:r>
        <w:rPr/>
        <w:t>Govt.</w:t>
      </w:r>
      <w:r>
        <w:rPr>
          <w:spacing w:val="-15"/>
        </w:rPr>
        <w:t> </w:t>
      </w:r>
      <w:r>
        <w:rPr/>
        <w:t>from</w:t>
      </w:r>
      <w:r>
        <w:rPr>
          <w:spacing w:val="-15"/>
        </w:rPr>
        <w:t> </w:t>
      </w:r>
      <w:r>
        <w:rPr/>
        <w:t>time</w:t>
      </w:r>
      <w:r>
        <w:rPr>
          <w:spacing w:val="-15"/>
        </w:rPr>
        <w:t> </w:t>
      </w:r>
      <w:r>
        <w:rPr/>
        <w:t>to</w:t>
      </w:r>
      <w:r>
        <w:rPr>
          <w:spacing w:val="-18"/>
        </w:rPr>
        <w:t> </w:t>
      </w:r>
      <w:r>
        <w:rPr/>
        <w:t>time</w:t>
      </w:r>
      <w:r>
        <w:rPr>
          <w:spacing w:val="-15"/>
        </w:rPr>
        <w:t> </w:t>
      </w:r>
      <w:r>
        <w:rPr/>
        <w:t>as</w:t>
      </w:r>
      <w:r>
        <w:rPr>
          <w:spacing w:val="-15"/>
        </w:rPr>
        <w:t> </w:t>
      </w:r>
      <w:r>
        <w:rPr/>
        <w:t>part of redevelopment shall not exceed the area that existed prior to redevelopment.</w:t>
      </w:r>
      <w:r>
        <w:rPr>
          <w:spacing w:val="-3"/>
        </w:rPr>
        <w:t> </w:t>
      </w:r>
      <w:r>
        <w:rPr/>
        <w:t>Other</w:t>
      </w:r>
      <w:r>
        <w:rPr>
          <w:spacing w:val="-3"/>
        </w:rPr>
        <w:t> </w:t>
      </w:r>
      <w:r>
        <w:rPr/>
        <w:t>social</w:t>
      </w:r>
      <w:r>
        <w:rPr>
          <w:spacing w:val="-3"/>
        </w:rPr>
        <w:t> </w:t>
      </w:r>
      <w:r>
        <w:rPr/>
        <w:t>infrastructure</w:t>
      </w:r>
      <w:r>
        <w:rPr>
          <w:spacing w:val="-3"/>
        </w:rPr>
        <w:t> </w:t>
      </w:r>
      <w:r>
        <w:rPr/>
        <w:t>like</w:t>
      </w:r>
      <w:r>
        <w:rPr>
          <w:spacing w:val="-3"/>
        </w:rPr>
        <w:t> </w:t>
      </w:r>
      <w:r>
        <w:rPr/>
        <w:t>School,</w:t>
      </w:r>
      <w:r>
        <w:rPr>
          <w:spacing w:val="-3"/>
        </w:rPr>
        <w:t> </w:t>
      </w:r>
      <w:r>
        <w:rPr/>
        <w:t>Dispensary</w:t>
      </w:r>
      <w:r>
        <w:rPr>
          <w:spacing w:val="-3"/>
        </w:rPr>
        <w:t> </w:t>
      </w:r>
      <w:r>
        <w:rPr/>
        <w:t>and Gymnasium run by Public Authority or Charitable Trust that existed prior</w:t>
      </w:r>
      <w:r>
        <w:rPr>
          <w:spacing w:val="-4"/>
        </w:rPr>
        <w:t> </w:t>
      </w:r>
      <w:r>
        <w:rPr/>
        <w:t>to</w:t>
      </w:r>
      <w:r>
        <w:rPr>
          <w:spacing w:val="-4"/>
        </w:rPr>
        <w:t> </w:t>
      </w:r>
      <w:r>
        <w:rPr/>
        <w:t>the</w:t>
      </w:r>
      <w:r>
        <w:rPr>
          <w:spacing w:val="-4"/>
        </w:rPr>
        <w:t> </w:t>
      </w:r>
      <w:r>
        <w:rPr/>
        <w:t>redevelopment</w:t>
      </w:r>
      <w:r>
        <w:rPr>
          <w:spacing w:val="-4"/>
        </w:rPr>
        <w:t> </w:t>
      </w:r>
      <w:r>
        <w:rPr/>
        <w:t>shall</w:t>
      </w:r>
      <w:r>
        <w:rPr>
          <w:spacing w:val="-4"/>
        </w:rPr>
        <w:t> </w:t>
      </w:r>
      <w:r>
        <w:rPr/>
        <w:t>be</w:t>
      </w:r>
      <w:r>
        <w:rPr>
          <w:spacing w:val="-4"/>
        </w:rPr>
        <w:t> </w:t>
      </w:r>
      <w:r>
        <w:rPr/>
        <w:t>allowed</w:t>
      </w:r>
      <w:r>
        <w:rPr>
          <w:spacing w:val="-4"/>
        </w:rPr>
        <w:t> </w:t>
      </w:r>
      <w:r>
        <w:rPr/>
        <w:t>without</w:t>
      </w:r>
      <w:r>
        <w:rPr>
          <w:spacing w:val="-4"/>
        </w:rPr>
        <w:t> </w:t>
      </w:r>
      <w:r>
        <w:rPr/>
        <w:t>increase</w:t>
      </w:r>
      <w:r>
        <w:rPr>
          <w:spacing w:val="-4"/>
        </w:rPr>
        <w:t> </w:t>
      </w:r>
      <w:r>
        <w:rPr/>
        <w:t>in</w:t>
      </w:r>
      <w:r>
        <w:rPr>
          <w:spacing w:val="-4"/>
        </w:rPr>
        <w:t> </w:t>
      </w:r>
      <w:r>
        <w:rPr/>
        <w:t>existing </w:t>
      </w:r>
      <w:r>
        <w:rPr>
          <w:spacing w:val="-2"/>
        </w:rPr>
        <w:t>area.</w:t>
      </w:r>
    </w:p>
    <w:p>
      <w:pPr>
        <w:pStyle w:val="BodyText"/>
        <w:spacing w:line="259" w:lineRule="auto" w:before="158"/>
        <w:ind w:left="2050" w:right="766"/>
      </w:pPr>
      <w:r>
        <w:rPr/>
        <w:t>However, it is provided that in the slum rehabilitation project of less than</w:t>
      </w:r>
      <w:r>
        <w:rPr>
          <w:spacing w:val="-6"/>
        </w:rPr>
        <w:t> </w:t>
      </w:r>
      <w:r>
        <w:rPr/>
        <w:t>250</w:t>
      </w:r>
      <w:r>
        <w:rPr>
          <w:spacing w:val="-6"/>
        </w:rPr>
        <w:t> </w:t>
      </w:r>
      <w:r>
        <w:rPr/>
        <w:t>hutments,</w:t>
      </w:r>
      <w:r>
        <w:rPr>
          <w:spacing w:val="-8"/>
        </w:rPr>
        <w:t> </w:t>
      </w:r>
      <w:r>
        <w:rPr/>
        <w:t>there</w:t>
      </w:r>
      <w:r>
        <w:rPr>
          <w:spacing w:val="-6"/>
        </w:rPr>
        <w:t> </w:t>
      </w:r>
      <w:r>
        <w:rPr/>
        <w:t>shall</w:t>
      </w:r>
      <w:r>
        <w:rPr>
          <w:spacing w:val="-6"/>
        </w:rPr>
        <w:t> </w:t>
      </w:r>
      <w:r>
        <w:rPr/>
        <w:t>be</w:t>
      </w:r>
      <w:r>
        <w:rPr>
          <w:spacing w:val="-6"/>
        </w:rPr>
        <w:t> </w:t>
      </w:r>
      <w:r>
        <w:rPr/>
        <w:t>Balwadi,</w:t>
      </w:r>
      <w:r>
        <w:rPr>
          <w:spacing w:val="-6"/>
        </w:rPr>
        <w:t> </w:t>
      </w:r>
      <w:r>
        <w:rPr/>
        <w:t>Welfare</w:t>
      </w:r>
      <w:r>
        <w:rPr>
          <w:spacing w:val="-6"/>
        </w:rPr>
        <w:t> </w:t>
      </w:r>
      <w:r>
        <w:rPr/>
        <w:t>hall</w:t>
      </w:r>
      <w:r>
        <w:rPr>
          <w:spacing w:val="-6"/>
        </w:rPr>
        <w:t> </w:t>
      </w:r>
      <w:r>
        <w:rPr/>
        <w:t>and</w:t>
      </w:r>
      <w:r>
        <w:rPr>
          <w:spacing w:val="-8"/>
        </w:rPr>
        <w:t> </w:t>
      </w:r>
      <w:r>
        <w:rPr/>
        <w:t>any</w:t>
      </w:r>
      <w:r>
        <w:rPr>
          <w:spacing w:val="-6"/>
        </w:rPr>
        <w:t> </w:t>
      </w:r>
      <w:r>
        <w:rPr/>
        <w:t>of</w:t>
      </w:r>
      <w:r>
        <w:rPr>
          <w:spacing w:val="-6"/>
        </w:rPr>
        <w:t> </w:t>
      </w:r>
      <w:r>
        <w:rPr/>
        <w:t>two amenities mentioned above, as decided</w:t>
      </w:r>
      <w:r>
        <w:rPr>
          <w:spacing w:val="-2"/>
        </w:rPr>
        <w:t> </w:t>
      </w:r>
      <w:r>
        <w:rPr/>
        <w:t>by co-operative housing society of</w:t>
      </w:r>
      <w:r>
        <w:rPr>
          <w:spacing w:val="45"/>
        </w:rPr>
        <w:t> </w:t>
      </w:r>
      <w:r>
        <w:rPr/>
        <w:t>slum</w:t>
      </w:r>
      <w:r>
        <w:rPr>
          <w:spacing w:val="47"/>
        </w:rPr>
        <w:t> </w:t>
      </w:r>
      <w:r>
        <w:rPr/>
        <w:t>dwellers,</w:t>
      </w:r>
      <w:r>
        <w:rPr>
          <w:spacing w:val="47"/>
        </w:rPr>
        <w:t> </w:t>
      </w:r>
      <w:r>
        <w:rPr/>
        <w:t>of</w:t>
      </w:r>
      <w:r>
        <w:rPr>
          <w:spacing w:val="47"/>
        </w:rPr>
        <w:t> </w:t>
      </w:r>
      <w:r>
        <w:rPr/>
        <w:t>size</w:t>
      </w:r>
      <w:r>
        <w:rPr>
          <w:spacing w:val="47"/>
        </w:rPr>
        <w:t> </w:t>
      </w:r>
      <w:r>
        <w:rPr/>
        <w:t>of</w:t>
      </w:r>
      <w:r>
        <w:rPr>
          <w:spacing w:val="47"/>
        </w:rPr>
        <w:t> </w:t>
      </w:r>
      <w:r>
        <w:rPr/>
        <w:t>25</w:t>
      </w:r>
      <w:r>
        <w:rPr>
          <w:spacing w:val="47"/>
        </w:rPr>
        <w:t> </w:t>
      </w:r>
      <w:r>
        <w:rPr/>
        <w:t>sq.mt</w:t>
      </w:r>
      <w:r>
        <w:rPr>
          <w:spacing w:val="47"/>
        </w:rPr>
        <w:t> </w:t>
      </w:r>
      <w:r>
        <w:rPr/>
        <w:t>and</w:t>
      </w:r>
      <w:r>
        <w:rPr>
          <w:spacing w:val="47"/>
        </w:rPr>
        <w:t> </w:t>
      </w:r>
      <w:r>
        <w:rPr/>
        <w:t>office</w:t>
      </w:r>
      <w:r>
        <w:rPr>
          <w:spacing w:val="47"/>
        </w:rPr>
        <w:t> </w:t>
      </w:r>
      <w:r>
        <w:rPr/>
        <w:t>for</w:t>
      </w:r>
      <w:r>
        <w:rPr>
          <w:spacing w:val="47"/>
        </w:rPr>
        <w:t> </w:t>
      </w:r>
      <w:r>
        <w:rPr/>
        <w:t>the</w:t>
      </w:r>
      <w:r>
        <w:rPr>
          <w:spacing w:val="47"/>
        </w:rPr>
        <w:t> </w:t>
      </w:r>
      <w:r>
        <w:rPr/>
        <w:t>Co-</w:t>
      </w:r>
      <w:r>
        <w:rPr>
          <w:spacing w:val="-2"/>
        </w:rPr>
        <w:t>operative</w:t>
      </w:r>
    </w:p>
    <w:p>
      <w:pPr>
        <w:pStyle w:val="BodyText"/>
        <w:spacing w:after="0" w:line="259" w:lineRule="auto"/>
        <w:sectPr>
          <w:headerReference w:type="default" r:id="rId49"/>
          <w:footerReference w:type="default" r:id="rId50"/>
          <w:pgSz w:w="11910" w:h="16840"/>
          <w:pgMar w:header="1065" w:footer="1194" w:top="1500" w:bottom="1380" w:left="360" w:right="360"/>
        </w:sectPr>
      </w:pPr>
    </w:p>
    <w:p>
      <w:pPr>
        <w:pStyle w:val="BodyText"/>
        <w:spacing w:line="259" w:lineRule="auto" w:before="249"/>
        <w:ind w:left="2050" w:right="768"/>
      </w:pPr>
      <w:r>
        <w:rPr/>
        <w:t>housing society in accordance with D.C. Regulations No. 37(9).OSD, DRP(SRA)may permit accumulation of the amenities mentioned above but ensure that it shall serve equitably to the rehab area.</w:t>
      </w:r>
    </w:p>
    <w:p>
      <w:pPr>
        <w:pStyle w:val="BodyText"/>
        <w:spacing w:before="160"/>
        <w:ind w:left="2050" w:right="768"/>
      </w:pPr>
      <w:r>
        <w:rPr/>
        <w:t>All</w:t>
      </w:r>
      <w:r>
        <w:rPr>
          <w:spacing w:val="-20"/>
        </w:rPr>
        <w:t> </w:t>
      </w:r>
      <w:r>
        <w:rPr/>
        <w:t>the</w:t>
      </w:r>
      <w:r>
        <w:rPr>
          <w:spacing w:val="-19"/>
        </w:rPr>
        <w:t> </w:t>
      </w:r>
      <w:r>
        <w:rPr/>
        <w:t>areas</w:t>
      </w:r>
      <w:r>
        <w:rPr>
          <w:spacing w:val="-19"/>
        </w:rPr>
        <w:t> </w:t>
      </w:r>
      <w:r>
        <w:rPr/>
        <w:t>underlying</w:t>
      </w:r>
      <w:r>
        <w:rPr>
          <w:spacing w:val="-19"/>
        </w:rPr>
        <w:t> </w:t>
      </w:r>
      <w:r>
        <w:rPr/>
        <w:t>Aaganwadi,</w:t>
      </w:r>
      <w:r>
        <w:rPr>
          <w:spacing w:val="-19"/>
        </w:rPr>
        <w:t> </w:t>
      </w:r>
      <w:r>
        <w:rPr/>
        <w:t>health</w:t>
      </w:r>
      <w:r>
        <w:rPr>
          <w:spacing w:val="-20"/>
        </w:rPr>
        <w:t> </w:t>
      </w:r>
      <w:r>
        <w:rPr/>
        <w:t>centre</w:t>
      </w:r>
      <w:r>
        <w:rPr>
          <w:spacing w:val="-19"/>
        </w:rPr>
        <w:t> </w:t>
      </w:r>
      <w:r>
        <w:rPr/>
        <w:t>/</w:t>
      </w:r>
      <w:r>
        <w:rPr>
          <w:spacing w:val="-19"/>
        </w:rPr>
        <w:t> </w:t>
      </w:r>
      <w:r>
        <w:rPr/>
        <w:t>outpost,</w:t>
      </w:r>
      <w:r>
        <w:rPr>
          <w:spacing w:val="-19"/>
        </w:rPr>
        <w:t> </w:t>
      </w:r>
      <w:r>
        <w:rPr/>
        <w:t>community hall/gymnasium / fitness centre, skill development centre, women entrepreneurship centre, yuvakendra / library community hall/s, society</w:t>
      </w:r>
      <w:r>
        <w:rPr>
          <w:spacing w:val="-17"/>
        </w:rPr>
        <w:t> </w:t>
      </w:r>
      <w:r>
        <w:rPr/>
        <w:t>office,</w:t>
      </w:r>
      <w:r>
        <w:rPr>
          <w:spacing w:val="-17"/>
        </w:rPr>
        <w:t> </w:t>
      </w:r>
      <w:r>
        <w:rPr/>
        <w:t>balwadi/s,</w:t>
      </w:r>
      <w:r>
        <w:rPr>
          <w:spacing w:val="-17"/>
        </w:rPr>
        <w:t> </w:t>
      </w:r>
      <w:r>
        <w:rPr/>
        <w:t>religious</w:t>
      </w:r>
      <w:r>
        <w:rPr>
          <w:spacing w:val="-17"/>
        </w:rPr>
        <w:t> </w:t>
      </w:r>
      <w:r>
        <w:rPr/>
        <w:t>structure/s,</w:t>
      </w:r>
      <w:r>
        <w:rPr>
          <w:spacing w:val="-17"/>
        </w:rPr>
        <w:t> </w:t>
      </w:r>
      <w:r>
        <w:rPr/>
        <w:t>social</w:t>
      </w:r>
      <w:r>
        <w:rPr>
          <w:spacing w:val="-17"/>
        </w:rPr>
        <w:t> </w:t>
      </w:r>
      <w:r>
        <w:rPr/>
        <w:t>infrastructure</w:t>
      </w:r>
      <w:r>
        <w:rPr>
          <w:spacing w:val="-17"/>
        </w:rPr>
        <w:t> </w:t>
      </w:r>
      <w:r>
        <w:rPr/>
        <w:t>like School, Dispensary, Gymnasium run by Public Authority or Charitable Trust, the commercial areas given by way of incentives to the co- operative</w:t>
      </w:r>
      <w:r>
        <w:rPr>
          <w:spacing w:val="-4"/>
        </w:rPr>
        <w:t> </w:t>
      </w:r>
      <w:r>
        <w:rPr/>
        <w:t>society</w:t>
      </w:r>
      <w:r>
        <w:rPr>
          <w:spacing w:val="-4"/>
        </w:rPr>
        <w:t> </w:t>
      </w:r>
      <w:r>
        <w:rPr/>
        <w:t>and</w:t>
      </w:r>
      <w:r>
        <w:rPr>
          <w:spacing w:val="-4"/>
        </w:rPr>
        <w:t> </w:t>
      </w:r>
      <w:r>
        <w:rPr/>
        <w:t>the</w:t>
      </w:r>
      <w:r>
        <w:rPr>
          <w:spacing w:val="-4"/>
        </w:rPr>
        <w:t> </w:t>
      </w:r>
      <w:r>
        <w:rPr/>
        <w:t>nongovernmental</w:t>
      </w:r>
      <w:r>
        <w:rPr>
          <w:spacing w:val="-4"/>
        </w:rPr>
        <w:t> </w:t>
      </w:r>
      <w:r>
        <w:rPr/>
        <w:t>organisation</w:t>
      </w:r>
      <w:r>
        <w:rPr>
          <w:spacing w:val="-4"/>
        </w:rPr>
        <w:t> </w:t>
      </w:r>
      <w:r>
        <w:rPr/>
        <w:t>shall</w:t>
      </w:r>
      <w:r>
        <w:rPr>
          <w:spacing w:val="-4"/>
        </w:rPr>
        <w:t> </w:t>
      </w:r>
      <w:r>
        <w:rPr/>
        <w:t>be</w:t>
      </w:r>
      <w:r>
        <w:rPr>
          <w:spacing w:val="-4"/>
        </w:rPr>
        <w:t> </w:t>
      </w:r>
      <w:r>
        <w:rPr/>
        <w:t>free</w:t>
      </w:r>
      <w:r>
        <w:rPr>
          <w:spacing w:val="-4"/>
        </w:rPr>
        <w:t> </w:t>
      </w:r>
      <w:r>
        <w:rPr/>
        <w:t>of cost and shall form part of rehabilitation component and it is on this basis the free-sale component will be computed.</w:t>
      </w:r>
    </w:p>
    <w:p>
      <w:pPr>
        <w:pStyle w:val="BodyText"/>
        <w:spacing w:before="201"/>
        <w:ind w:left="2050" w:right="768"/>
      </w:pPr>
      <w:r>
        <w:rPr/>
        <w:t>These</w:t>
      </w:r>
      <w:r>
        <w:rPr>
          <w:spacing w:val="-6"/>
        </w:rPr>
        <w:t> </w:t>
      </w:r>
      <w:r>
        <w:rPr/>
        <w:t>provisions</w:t>
      </w:r>
      <w:r>
        <w:rPr>
          <w:spacing w:val="-6"/>
        </w:rPr>
        <w:t> </w:t>
      </w:r>
      <w:r>
        <w:rPr/>
        <w:t>shall</w:t>
      </w:r>
      <w:r>
        <w:rPr>
          <w:spacing w:val="-6"/>
        </w:rPr>
        <w:t> </w:t>
      </w:r>
      <w:r>
        <w:rPr/>
        <w:t>apply</w:t>
      </w:r>
      <w:r>
        <w:rPr>
          <w:spacing w:val="-6"/>
        </w:rPr>
        <w:t> </w:t>
      </w:r>
      <w:r>
        <w:rPr/>
        <w:t>to</w:t>
      </w:r>
      <w:r>
        <w:rPr>
          <w:spacing w:val="-6"/>
        </w:rPr>
        <w:t> </w:t>
      </w:r>
      <w:r>
        <w:rPr/>
        <w:t>construction</w:t>
      </w:r>
      <w:r>
        <w:rPr>
          <w:spacing w:val="-6"/>
        </w:rPr>
        <w:t> </w:t>
      </w:r>
      <w:r>
        <w:rPr/>
        <w:t>of</w:t>
      </w:r>
      <w:r>
        <w:rPr>
          <w:spacing w:val="-6"/>
        </w:rPr>
        <w:t> </w:t>
      </w:r>
      <w:r>
        <w:rPr/>
        <w:t>transit</w:t>
      </w:r>
      <w:r>
        <w:rPr>
          <w:spacing w:val="-6"/>
        </w:rPr>
        <w:t> </w:t>
      </w:r>
      <w:r>
        <w:rPr/>
        <w:t>camps</w:t>
      </w:r>
      <w:r>
        <w:rPr>
          <w:spacing w:val="-6"/>
        </w:rPr>
        <w:t> </w:t>
      </w:r>
      <w:r>
        <w:rPr/>
        <w:t>under</w:t>
      </w:r>
      <w:r>
        <w:rPr>
          <w:spacing w:val="-6"/>
        </w:rPr>
        <w:t> </w:t>
      </w:r>
      <w:r>
        <w:rPr/>
        <w:t>DC Regulations 33(11) also.</w:t>
      </w:r>
    </w:p>
    <w:p>
      <w:pPr>
        <w:pStyle w:val="BodyText"/>
        <w:spacing w:before="200"/>
        <w:ind w:left="2050" w:right="768"/>
      </w:pPr>
      <w:r>
        <w:rPr/>
        <w:t>Aaganwadi, health centre / outpost, community hall /gymnasium / fitness centre, skill development centre, women entrepreneurship centre, yuvakendra / library, society office, Balwadi/s, and religious structures, social infrastructure like School, Dispensary </w:t>
      </w:r>
      <w:r>
        <w:rPr/>
        <w:t>and Gymnasium run by Public Authority or Charitable Trust in the rehab component</w:t>
      </w:r>
      <w:r>
        <w:rPr>
          <w:spacing w:val="-1"/>
        </w:rPr>
        <w:t> </w:t>
      </w:r>
      <w:r>
        <w:rPr/>
        <w:t>shall</w:t>
      </w:r>
      <w:r>
        <w:rPr>
          <w:spacing w:val="-1"/>
        </w:rPr>
        <w:t> </w:t>
      </w:r>
      <w:r>
        <w:rPr/>
        <w:t>not be</w:t>
      </w:r>
      <w:r>
        <w:rPr>
          <w:spacing w:val="-1"/>
        </w:rPr>
        <w:t> </w:t>
      </w:r>
      <w:r>
        <w:rPr/>
        <w:t>counted</w:t>
      </w:r>
      <w:r>
        <w:rPr>
          <w:spacing w:val="-1"/>
        </w:rPr>
        <w:t> </w:t>
      </w:r>
      <w:r>
        <w:rPr/>
        <w:t>towards the</w:t>
      </w:r>
      <w:r>
        <w:rPr>
          <w:spacing w:val="-1"/>
        </w:rPr>
        <w:t> </w:t>
      </w:r>
      <w:r>
        <w:rPr/>
        <w:t>FSI even</w:t>
      </w:r>
      <w:r>
        <w:rPr>
          <w:spacing w:val="-1"/>
        </w:rPr>
        <w:t> </w:t>
      </w:r>
      <w:r>
        <w:rPr/>
        <w:t>while</w:t>
      </w:r>
      <w:r>
        <w:rPr>
          <w:spacing w:val="-1"/>
        </w:rPr>
        <w:t> </w:t>
      </w:r>
      <w:r>
        <w:rPr/>
        <w:t>computing permissible FSI on site.</w:t>
      </w:r>
    </w:p>
    <w:p>
      <w:pPr>
        <w:pStyle w:val="Heading6"/>
        <w:numPr>
          <w:ilvl w:val="0"/>
          <w:numId w:val="195"/>
        </w:numPr>
        <w:tabs>
          <w:tab w:pos="2781" w:val="left" w:leader="none"/>
        </w:tabs>
        <w:spacing w:line="240" w:lineRule="auto" w:before="198" w:after="0"/>
        <w:ind w:left="2781" w:right="0" w:hanging="719"/>
        <w:jc w:val="both"/>
        <w:rPr>
          <w:i w:val="0"/>
        </w:rPr>
      </w:pPr>
      <w:r>
        <w:rPr/>
        <w:t>PAYMENTS</w:t>
      </w:r>
      <w:r>
        <w:rPr>
          <w:spacing w:val="-4"/>
        </w:rPr>
        <w:t> </w:t>
      </w:r>
      <w:r>
        <w:rPr/>
        <w:t>TO</w:t>
      </w:r>
      <w:r>
        <w:rPr>
          <w:spacing w:val="-2"/>
        </w:rPr>
        <w:t> </w:t>
      </w:r>
      <w:r>
        <w:rPr/>
        <w:t>BE</w:t>
      </w:r>
      <w:r>
        <w:rPr>
          <w:spacing w:val="-3"/>
        </w:rPr>
        <w:t> </w:t>
      </w:r>
      <w:r>
        <w:rPr/>
        <w:t>MADE</w:t>
      </w:r>
      <w:r>
        <w:rPr>
          <w:spacing w:val="-3"/>
        </w:rPr>
        <w:t> </w:t>
      </w:r>
      <w:r>
        <w:rPr/>
        <w:t>TO</w:t>
      </w:r>
      <w:r>
        <w:rPr>
          <w:spacing w:val="-2"/>
        </w:rPr>
        <w:t> </w:t>
      </w:r>
      <w:r>
        <w:rPr/>
        <w:t>SRA</w:t>
      </w:r>
      <w:r>
        <w:rPr>
          <w:spacing w:val="-3"/>
        </w:rPr>
        <w:t> </w:t>
      </w:r>
      <w:r>
        <w:rPr/>
        <w:t>AND</w:t>
      </w:r>
      <w:r>
        <w:rPr>
          <w:spacing w:val="-1"/>
        </w:rPr>
        <w:t> </w:t>
      </w:r>
      <w:r>
        <w:rPr>
          <w:spacing w:val="-2"/>
        </w:rPr>
        <w:t>INSTALMENTS</w:t>
      </w:r>
      <w:r>
        <w:rPr>
          <w:b w:val="0"/>
          <w:spacing w:val="-2"/>
        </w:rPr>
        <w:t>:</w:t>
      </w:r>
    </w:p>
    <w:p>
      <w:pPr>
        <w:pStyle w:val="ListParagraph"/>
        <w:numPr>
          <w:ilvl w:val="1"/>
          <w:numId w:val="195"/>
        </w:numPr>
        <w:tabs>
          <w:tab w:pos="2779" w:val="left" w:leader="none"/>
        </w:tabs>
        <w:spacing w:line="240" w:lineRule="auto" w:before="203" w:after="0"/>
        <w:ind w:left="2062" w:right="845" w:firstLine="0"/>
        <w:jc w:val="both"/>
        <w:rPr>
          <w:sz w:val="24"/>
        </w:rPr>
      </w:pPr>
      <w:r>
        <w:rPr>
          <w:sz w:val="24"/>
        </w:rPr>
        <w:t>An amount of of Rs 40000/- or such an amount as may be decided by the Govt from time to time per tenement/unit will have to be</w:t>
      </w:r>
      <w:r>
        <w:rPr>
          <w:spacing w:val="-10"/>
          <w:sz w:val="24"/>
        </w:rPr>
        <w:t> </w:t>
      </w:r>
      <w:r>
        <w:rPr>
          <w:sz w:val="24"/>
        </w:rPr>
        <w:t>deposited</w:t>
      </w:r>
      <w:r>
        <w:rPr>
          <w:spacing w:val="-10"/>
          <w:sz w:val="24"/>
        </w:rPr>
        <w:t> </w:t>
      </w:r>
      <w:r>
        <w:rPr>
          <w:sz w:val="24"/>
        </w:rPr>
        <w:t>by</w:t>
      </w:r>
      <w:r>
        <w:rPr>
          <w:spacing w:val="-10"/>
          <w:sz w:val="24"/>
        </w:rPr>
        <w:t> </w:t>
      </w:r>
      <w:r>
        <w:rPr>
          <w:sz w:val="24"/>
        </w:rPr>
        <w:t>the</w:t>
      </w:r>
      <w:r>
        <w:rPr>
          <w:spacing w:val="-5"/>
          <w:sz w:val="24"/>
        </w:rPr>
        <w:t> </w:t>
      </w:r>
      <w:r>
        <w:rPr>
          <w:sz w:val="24"/>
        </w:rPr>
        <w:t>developer</w:t>
      </w:r>
      <w:r>
        <w:rPr>
          <w:spacing w:val="-10"/>
          <w:sz w:val="24"/>
        </w:rPr>
        <w:t> </w:t>
      </w:r>
      <w:r>
        <w:rPr>
          <w:sz w:val="24"/>
        </w:rPr>
        <w:t>with</w:t>
      </w:r>
      <w:r>
        <w:rPr>
          <w:spacing w:val="-10"/>
          <w:sz w:val="24"/>
        </w:rPr>
        <w:t> </w:t>
      </w:r>
      <w:r>
        <w:rPr>
          <w:sz w:val="24"/>
        </w:rPr>
        <w:t>DRP</w:t>
      </w:r>
      <w:r>
        <w:rPr>
          <w:spacing w:val="-7"/>
          <w:sz w:val="24"/>
        </w:rPr>
        <w:t> </w:t>
      </w:r>
      <w:r>
        <w:rPr>
          <w:sz w:val="24"/>
        </w:rPr>
        <w:t>as</w:t>
      </w:r>
      <w:r>
        <w:rPr>
          <w:spacing w:val="-10"/>
          <w:sz w:val="24"/>
        </w:rPr>
        <w:t> </w:t>
      </w:r>
      <w:r>
        <w:rPr>
          <w:sz w:val="24"/>
        </w:rPr>
        <w:t>a</w:t>
      </w:r>
      <w:r>
        <w:rPr>
          <w:spacing w:val="-10"/>
          <w:sz w:val="24"/>
        </w:rPr>
        <w:t> </w:t>
      </w:r>
      <w:r>
        <w:rPr>
          <w:sz w:val="24"/>
        </w:rPr>
        <w:t>corpus</w:t>
      </w:r>
      <w:r>
        <w:rPr>
          <w:spacing w:val="-10"/>
          <w:sz w:val="24"/>
        </w:rPr>
        <w:t> </w:t>
      </w:r>
      <w:r>
        <w:rPr>
          <w:sz w:val="24"/>
        </w:rPr>
        <w:t>fund</w:t>
      </w:r>
      <w:r>
        <w:rPr>
          <w:spacing w:val="-8"/>
          <w:sz w:val="24"/>
        </w:rPr>
        <w:t> </w:t>
      </w:r>
      <w:r>
        <w:rPr>
          <w:sz w:val="24"/>
        </w:rPr>
        <w:t>for</w:t>
      </w:r>
      <w:r>
        <w:rPr>
          <w:spacing w:val="-7"/>
          <w:sz w:val="24"/>
        </w:rPr>
        <w:t> </w:t>
      </w:r>
      <w:r>
        <w:rPr>
          <w:sz w:val="24"/>
        </w:rPr>
        <w:t>utilization by the co-operative housing society of the rehab residents for the purpose</w:t>
      </w:r>
      <w:r>
        <w:rPr>
          <w:spacing w:val="-20"/>
          <w:sz w:val="24"/>
        </w:rPr>
        <w:t> </w:t>
      </w:r>
      <w:r>
        <w:rPr>
          <w:sz w:val="24"/>
        </w:rPr>
        <w:t>of</w:t>
      </w:r>
      <w:r>
        <w:rPr>
          <w:spacing w:val="-19"/>
          <w:sz w:val="24"/>
        </w:rPr>
        <w:t> </w:t>
      </w:r>
      <w:r>
        <w:rPr>
          <w:sz w:val="24"/>
        </w:rPr>
        <w:t>maintenance,</w:t>
      </w:r>
      <w:r>
        <w:rPr>
          <w:spacing w:val="-19"/>
          <w:sz w:val="24"/>
        </w:rPr>
        <w:t> </w:t>
      </w:r>
      <w:r>
        <w:rPr>
          <w:sz w:val="24"/>
        </w:rPr>
        <w:t>in</w:t>
      </w:r>
      <w:r>
        <w:rPr>
          <w:spacing w:val="-19"/>
          <w:sz w:val="24"/>
        </w:rPr>
        <w:t> </w:t>
      </w:r>
      <w:r>
        <w:rPr>
          <w:sz w:val="24"/>
        </w:rPr>
        <w:t>accordance</w:t>
      </w:r>
      <w:r>
        <w:rPr>
          <w:spacing w:val="-19"/>
          <w:sz w:val="24"/>
        </w:rPr>
        <w:t> </w:t>
      </w:r>
      <w:r>
        <w:rPr>
          <w:sz w:val="24"/>
        </w:rPr>
        <w:t>with</w:t>
      </w:r>
      <w:r>
        <w:rPr>
          <w:spacing w:val="-20"/>
          <w:sz w:val="24"/>
        </w:rPr>
        <w:t> </w:t>
      </w:r>
      <w:r>
        <w:rPr>
          <w:sz w:val="24"/>
        </w:rPr>
        <w:t>the</w:t>
      </w:r>
      <w:r>
        <w:rPr>
          <w:spacing w:val="-19"/>
          <w:sz w:val="24"/>
        </w:rPr>
        <w:t> </w:t>
      </w:r>
      <w:r>
        <w:rPr>
          <w:sz w:val="24"/>
        </w:rPr>
        <w:t>time-schedule</w:t>
      </w:r>
      <w:r>
        <w:rPr>
          <w:spacing w:val="-19"/>
          <w:sz w:val="24"/>
        </w:rPr>
        <w:t> </w:t>
      </w:r>
      <w:r>
        <w:rPr>
          <w:sz w:val="24"/>
        </w:rPr>
        <w:t>for</w:t>
      </w:r>
      <w:r>
        <w:rPr>
          <w:spacing w:val="-19"/>
          <w:sz w:val="24"/>
        </w:rPr>
        <w:t> </w:t>
      </w:r>
      <w:r>
        <w:rPr>
          <w:sz w:val="24"/>
        </w:rPr>
        <w:t>such payment</w:t>
      </w:r>
      <w:r>
        <w:rPr>
          <w:spacing w:val="-18"/>
          <w:sz w:val="24"/>
        </w:rPr>
        <w:t> </w:t>
      </w:r>
      <w:r>
        <w:rPr>
          <w:sz w:val="24"/>
        </w:rPr>
        <w:t>as</w:t>
      </w:r>
      <w:r>
        <w:rPr>
          <w:spacing w:val="-18"/>
          <w:sz w:val="24"/>
        </w:rPr>
        <w:t> </w:t>
      </w:r>
      <w:r>
        <w:rPr>
          <w:sz w:val="24"/>
        </w:rPr>
        <w:t>may</w:t>
      </w:r>
      <w:r>
        <w:rPr>
          <w:spacing w:val="-18"/>
          <w:sz w:val="24"/>
        </w:rPr>
        <w:t> </w:t>
      </w:r>
      <w:r>
        <w:rPr>
          <w:sz w:val="24"/>
        </w:rPr>
        <w:t>be</w:t>
      </w:r>
      <w:r>
        <w:rPr>
          <w:spacing w:val="-20"/>
          <w:sz w:val="24"/>
        </w:rPr>
        <w:t> </w:t>
      </w:r>
      <w:r>
        <w:rPr>
          <w:sz w:val="24"/>
        </w:rPr>
        <w:t>laid</w:t>
      </w:r>
      <w:r>
        <w:rPr>
          <w:spacing w:val="-17"/>
          <w:sz w:val="24"/>
        </w:rPr>
        <w:t> </w:t>
      </w:r>
      <w:r>
        <w:rPr>
          <w:sz w:val="24"/>
        </w:rPr>
        <w:t>down</w:t>
      </w:r>
      <w:r>
        <w:rPr>
          <w:spacing w:val="-18"/>
          <w:sz w:val="24"/>
        </w:rPr>
        <w:t> </w:t>
      </w:r>
      <w:r>
        <w:rPr>
          <w:sz w:val="24"/>
        </w:rPr>
        <w:t>by</w:t>
      </w:r>
      <w:r>
        <w:rPr>
          <w:spacing w:val="-18"/>
          <w:sz w:val="24"/>
        </w:rPr>
        <w:t> </w:t>
      </w:r>
      <w:r>
        <w:rPr>
          <w:sz w:val="24"/>
        </w:rPr>
        <w:t>OSD,</w:t>
      </w:r>
      <w:r>
        <w:rPr>
          <w:spacing w:val="-20"/>
          <w:sz w:val="24"/>
        </w:rPr>
        <w:t> </w:t>
      </w:r>
      <w:r>
        <w:rPr>
          <w:sz w:val="24"/>
        </w:rPr>
        <w:t>DRP</w:t>
      </w:r>
      <w:r>
        <w:rPr>
          <w:spacing w:val="-17"/>
          <w:sz w:val="24"/>
        </w:rPr>
        <w:t> </w:t>
      </w:r>
      <w:r>
        <w:rPr>
          <w:sz w:val="24"/>
        </w:rPr>
        <w:t>(SRA).</w:t>
      </w:r>
      <w:r>
        <w:rPr>
          <w:spacing w:val="-18"/>
          <w:sz w:val="24"/>
        </w:rPr>
        <w:t> </w:t>
      </w:r>
      <w:r>
        <w:rPr>
          <w:sz w:val="24"/>
        </w:rPr>
        <w:t>However,</w:t>
      </w:r>
      <w:r>
        <w:rPr>
          <w:spacing w:val="-18"/>
          <w:sz w:val="24"/>
        </w:rPr>
        <w:t> </w:t>
      </w:r>
      <w:r>
        <w:rPr>
          <w:sz w:val="24"/>
        </w:rPr>
        <w:t>by</w:t>
      </w:r>
      <w:r>
        <w:rPr>
          <w:spacing w:val="-18"/>
          <w:sz w:val="24"/>
        </w:rPr>
        <w:t> </w:t>
      </w:r>
      <w:r>
        <w:rPr>
          <w:sz w:val="24"/>
        </w:rPr>
        <w:t>the</w:t>
      </w:r>
      <w:r>
        <w:rPr>
          <w:spacing w:val="-18"/>
          <w:sz w:val="24"/>
        </w:rPr>
        <w:t> </w:t>
      </w:r>
      <w:r>
        <w:rPr>
          <w:sz w:val="24"/>
        </w:rPr>
        <w:t>time of completion of construction for occupation of tenements by the hutment dwellers, the total amount at the rate of Rs 40000 per tenement completed should have been deposited in full. The building permission</w:t>
      </w:r>
      <w:r>
        <w:rPr>
          <w:spacing w:val="-3"/>
          <w:sz w:val="24"/>
        </w:rPr>
        <w:t> </w:t>
      </w:r>
      <w:r>
        <w:rPr>
          <w:sz w:val="24"/>
        </w:rPr>
        <w:t>for</w:t>
      </w:r>
      <w:r>
        <w:rPr>
          <w:spacing w:val="-3"/>
          <w:sz w:val="24"/>
        </w:rPr>
        <w:t> </w:t>
      </w:r>
      <w:r>
        <w:rPr>
          <w:sz w:val="24"/>
        </w:rPr>
        <w:t>the</w:t>
      </w:r>
      <w:r>
        <w:rPr>
          <w:spacing w:val="-3"/>
          <w:sz w:val="24"/>
        </w:rPr>
        <w:t> </w:t>
      </w:r>
      <w:r>
        <w:rPr>
          <w:sz w:val="24"/>
        </w:rPr>
        <w:t>last</w:t>
      </w:r>
      <w:r>
        <w:rPr>
          <w:spacing w:val="-3"/>
          <w:sz w:val="24"/>
        </w:rPr>
        <w:t> </w:t>
      </w:r>
      <w:r>
        <w:rPr>
          <w:sz w:val="24"/>
        </w:rPr>
        <w:t>25</w:t>
      </w:r>
      <w:r>
        <w:rPr>
          <w:spacing w:val="-3"/>
          <w:sz w:val="24"/>
        </w:rPr>
        <w:t> </w:t>
      </w:r>
      <w:r>
        <w:rPr>
          <w:sz w:val="24"/>
        </w:rPr>
        <w:t>percent</w:t>
      </w:r>
      <w:r>
        <w:rPr>
          <w:spacing w:val="-3"/>
          <w:sz w:val="24"/>
        </w:rPr>
        <w:t> </w:t>
      </w:r>
      <w:r>
        <w:rPr>
          <w:sz w:val="24"/>
        </w:rPr>
        <w:t>of</w:t>
      </w:r>
      <w:r>
        <w:rPr>
          <w:spacing w:val="-3"/>
          <w:sz w:val="24"/>
        </w:rPr>
        <w:t> </w:t>
      </w:r>
      <w:r>
        <w:rPr>
          <w:sz w:val="24"/>
        </w:rPr>
        <w:t>the</w:t>
      </w:r>
      <w:r>
        <w:rPr>
          <w:spacing w:val="-3"/>
          <w:sz w:val="24"/>
        </w:rPr>
        <w:t> </w:t>
      </w:r>
      <w:r>
        <w:rPr>
          <w:sz w:val="24"/>
        </w:rPr>
        <w:t>free</w:t>
      </w:r>
      <w:r>
        <w:rPr>
          <w:spacing w:val="-3"/>
          <w:sz w:val="24"/>
        </w:rPr>
        <w:t> </w:t>
      </w:r>
      <w:r>
        <w:rPr>
          <w:sz w:val="24"/>
        </w:rPr>
        <w:t>sale</w:t>
      </w:r>
      <w:r>
        <w:rPr>
          <w:spacing w:val="-3"/>
          <w:sz w:val="24"/>
        </w:rPr>
        <w:t> </w:t>
      </w:r>
      <w:r>
        <w:rPr>
          <w:sz w:val="24"/>
        </w:rPr>
        <w:t>component</w:t>
      </w:r>
      <w:r>
        <w:rPr>
          <w:spacing w:val="-1"/>
          <w:sz w:val="24"/>
        </w:rPr>
        <w:t> </w:t>
      </w:r>
      <w:r>
        <w:rPr>
          <w:sz w:val="24"/>
        </w:rPr>
        <w:t>would</w:t>
      </w:r>
      <w:r>
        <w:rPr>
          <w:spacing w:val="-3"/>
          <w:sz w:val="24"/>
        </w:rPr>
        <w:t> </w:t>
      </w:r>
      <w:r>
        <w:rPr>
          <w:sz w:val="24"/>
        </w:rPr>
        <w:t>be given</w:t>
      </w:r>
      <w:r>
        <w:rPr>
          <w:spacing w:val="-19"/>
          <w:sz w:val="24"/>
        </w:rPr>
        <w:t> </w:t>
      </w:r>
      <w:r>
        <w:rPr>
          <w:sz w:val="24"/>
        </w:rPr>
        <w:t>only</w:t>
      </w:r>
      <w:r>
        <w:rPr>
          <w:spacing w:val="-19"/>
          <w:sz w:val="24"/>
        </w:rPr>
        <w:t> </w:t>
      </w:r>
      <w:r>
        <w:rPr>
          <w:sz w:val="24"/>
        </w:rPr>
        <w:t>after</w:t>
      </w:r>
      <w:r>
        <w:rPr>
          <w:spacing w:val="-18"/>
          <w:sz w:val="24"/>
        </w:rPr>
        <w:t> </w:t>
      </w:r>
      <w:r>
        <w:rPr>
          <w:sz w:val="24"/>
        </w:rPr>
        <w:t>the</w:t>
      </w:r>
      <w:r>
        <w:rPr>
          <w:spacing w:val="-17"/>
          <w:sz w:val="24"/>
        </w:rPr>
        <w:t> </w:t>
      </w:r>
      <w:r>
        <w:rPr>
          <w:sz w:val="24"/>
        </w:rPr>
        <w:t>entire</w:t>
      </w:r>
      <w:r>
        <w:rPr>
          <w:spacing w:val="-19"/>
          <w:sz w:val="24"/>
        </w:rPr>
        <w:t> </w:t>
      </w:r>
      <w:r>
        <w:rPr>
          <w:sz w:val="24"/>
        </w:rPr>
        <w:t>required</w:t>
      </w:r>
      <w:r>
        <w:rPr>
          <w:spacing w:val="-19"/>
          <w:sz w:val="24"/>
        </w:rPr>
        <w:t> </w:t>
      </w:r>
      <w:r>
        <w:rPr>
          <w:sz w:val="24"/>
        </w:rPr>
        <w:t>amount</w:t>
      </w:r>
      <w:r>
        <w:rPr>
          <w:spacing w:val="-19"/>
          <w:sz w:val="24"/>
        </w:rPr>
        <w:t> </w:t>
      </w:r>
      <w:r>
        <w:rPr>
          <w:sz w:val="24"/>
        </w:rPr>
        <w:t>is</w:t>
      </w:r>
      <w:r>
        <w:rPr>
          <w:spacing w:val="-19"/>
          <w:sz w:val="24"/>
        </w:rPr>
        <w:t> </w:t>
      </w:r>
      <w:r>
        <w:rPr>
          <w:sz w:val="24"/>
        </w:rPr>
        <w:t>deposited</w:t>
      </w:r>
      <w:r>
        <w:rPr>
          <w:spacing w:val="-19"/>
          <w:sz w:val="24"/>
        </w:rPr>
        <w:t> </w:t>
      </w:r>
      <w:r>
        <w:rPr>
          <w:sz w:val="24"/>
        </w:rPr>
        <w:t>in</w:t>
      </w:r>
      <w:r>
        <w:rPr>
          <w:spacing w:val="-17"/>
          <w:sz w:val="24"/>
        </w:rPr>
        <w:t> </w:t>
      </w:r>
      <w:r>
        <w:rPr>
          <w:sz w:val="24"/>
        </w:rPr>
        <w:t>full</w:t>
      </w:r>
      <w:r>
        <w:rPr>
          <w:spacing w:val="-17"/>
          <w:sz w:val="24"/>
        </w:rPr>
        <w:t> </w:t>
      </w:r>
      <w:r>
        <w:rPr>
          <w:sz w:val="24"/>
        </w:rPr>
        <w:t>with</w:t>
      </w:r>
      <w:r>
        <w:rPr>
          <w:spacing w:val="-19"/>
          <w:sz w:val="24"/>
        </w:rPr>
        <w:t> </w:t>
      </w:r>
      <w:r>
        <w:rPr>
          <w:sz w:val="24"/>
        </w:rPr>
        <w:t>DRP (SRA).</w:t>
      </w:r>
      <w:r>
        <w:rPr>
          <w:spacing w:val="-2"/>
          <w:sz w:val="24"/>
        </w:rPr>
        <w:t> </w:t>
      </w:r>
      <w:r>
        <w:rPr>
          <w:sz w:val="24"/>
        </w:rPr>
        <w:t>9.2</w:t>
      </w:r>
      <w:r>
        <w:rPr>
          <w:spacing w:val="80"/>
          <w:w w:val="150"/>
          <w:sz w:val="24"/>
        </w:rPr>
        <w:t> </w:t>
      </w:r>
      <w:r>
        <w:rPr>
          <w:sz w:val="24"/>
        </w:rPr>
        <w:t>An amount at the rate of</w:t>
      </w:r>
      <w:r>
        <w:rPr>
          <w:spacing w:val="80"/>
          <w:sz w:val="24"/>
        </w:rPr>
        <w:t> </w:t>
      </w:r>
      <w:r>
        <w:rPr>
          <w:sz w:val="24"/>
        </w:rPr>
        <w:t>Rs. 840 per sq. m</w:t>
      </w:r>
      <w:r>
        <w:rPr>
          <w:spacing w:val="80"/>
          <w:sz w:val="24"/>
        </w:rPr>
        <w:t> </w:t>
      </w:r>
      <w:r>
        <w:rPr>
          <w:sz w:val="24"/>
        </w:rPr>
        <w:t>for BUA or such an amountas may be decided by Govt from time to time shall be paid by the Developer for the BUA over and above the normally permissible FSI, for the rehabilitation and free sale components. This amount</w:t>
      </w:r>
      <w:r>
        <w:rPr>
          <w:spacing w:val="-3"/>
          <w:sz w:val="24"/>
        </w:rPr>
        <w:t> </w:t>
      </w:r>
      <w:r>
        <w:rPr>
          <w:sz w:val="24"/>
        </w:rPr>
        <w:t>shall</w:t>
      </w:r>
      <w:r>
        <w:rPr>
          <w:spacing w:val="-3"/>
          <w:sz w:val="24"/>
        </w:rPr>
        <w:t> </w:t>
      </w:r>
      <w:r>
        <w:rPr>
          <w:sz w:val="24"/>
        </w:rPr>
        <w:t>be</w:t>
      </w:r>
      <w:r>
        <w:rPr>
          <w:spacing w:val="-3"/>
          <w:sz w:val="24"/>
        </w:rPr>
        <w:t> </w:t>
      </w:r>
      <w:r>
        <w:rPr>
          <w:sz w:val="24"/>
        </w:rPr>
        <w:t>paid</w:t>
      </w:r>
      <w:r>
        <w:rPr>
          <w:spacing w:val="-3"/>
          <w:sz w:val="24"/>
        </w:rPr>
        <w:t> </w:t>
      </w:r>
      <w:r>
        <w:rPr>
          <w:sz w:val="24"/>
        </w:rPr>
        <w:t>to</w:t>
      </w:r>
      <w:r>
        <w:rPr>
          <w:spacing w:val="-3"/>
          <w:sz w:val="24"/>
        </w:rPr>
        <w:t> </w:t>
      </w:r>
      <w:r>
        <w:rPr>
          <w:sz w:val="24"/>
        </w:rPr>
        <w:t>the</w:t>
      </w:r>
      <w:r>
        <w:rPr>
          <w:spacing w:val="-3"/>
          <w:sz w:val="24"/>
        </w:rPr>
        <w:t> </w:t>
      </w:r>
      <w:r>
        <w:rPr>
          <w:sz w:val="24"/>
        </w:rPr>
        <w:t>SRA</w:t>
      </w:r>
      <w:r>
        <w:rPr>
          <w:spacing w:val="-3"/>
          <w:sz w:val="24"/>
        </w:rPr>
        <w:t> </w:t>
      </w:r>
      <w:r>
        <w:rPr>
          <w:sz w:val="24"/>
        </w:rPr>
        <w:t>in</w:t>
      </w:r>
      <w:r>
        <w:rPr>
          <w:spacing w:val="-3"/>
          <w:sz w:val="24"/>
        </w:rPr>
        <w:t> </w:t>
      </w:r>
      <w:r>
        <w:rPr>
          <w:sz w:val="24"/>
        </w:rPr>
        <w:t>accordance</w:t>
      </w:r>
      <w:r>
        <w:rPr>
          <w:spacing w:val="-3"/>
          <w:sz w:val="24"/>
        </w:rPr>
        <w:t> </w:t>
      </w:r>
      <w:r>
        <w:rPr>
          <w:sz w:val="24"/>
        </w:rPr>
        <w:t>with</w:t>
      </w:r>
      <w:r>
        <w:rPr>
          <w:spacing w:val="-3"/>
          <w:sz w:val="24"/>
        </w:rPr>
        <w:t> </w:t>
      </w:r>
      <w:r>
        <w:rPr>
          <w:sz w:val="24"/>
        </w:rPr>
        <w:t>the</w:t>
      </w:r>
      <w:r>
        <w:rPr>
          <w:spacing w:val="-3"/>
          <w:sz w:val="24"/>
        </w:rPr>
        <w:t> </w:t>
      </w:r>
      <w:r>
        <w:rPr>
          <w:sz w:val="24"/>
        </w:rPr>
        <w:t>time</w:t>
      </w:r>
      <w:r>
        <w:rPr>
          <w:spacing w:val="-3"/>
          <w:sz w:val="24"/>
        </w:rPr>
        <w:t> </w:t>
      </w:r>
      <w:r>
        <w:rPr>
          <w:sz w:val="24"/>
        </w:rPr>
        <w:t>schedule for such payment as may be laid down by the OSD, DRP of SRA, provided the installments shall not exceed beyond the completion of construction. These infrastructural charges shall be in addition to development charges levied as per section 124 of MR&amp;TP Act 1966.</w:t>
      </w:r>
    </w:p>
    <w:p>
      <w:pPr>
        <w:pStyle w:val="ListParagraph"/>
        <w:spacing w:after="0" w:line="240" w:lineRule="auto"/>
        <w:jc w:val="both"/>
        <w:rPr>
          <w:sz w:val="24"/>
        </w:rPr>
        <w:sectPr>
          <w:pgSz w:w="11910" w:h="16840"/>
          <w:pgMar w:header="1065" w:footer="1194" w:top="1500" w:bottom="1380" w:left="360" w:right="360"/>
        </w:sectPr>
      </w:pPr>
    </w:p>
    <w:p>
      <w:pPr>
        <w:pStyle w:val="BodyText"/>
        <w:spacing w:line="276" w:lineRule="auto" w:before="247"/>
        <w:ind w:left="2062" w:right="774" w:firstLine="720"/>
        <w:rPr>
          <w:b/>
          <w:sz w:val="22"/>
        </w:rPr>
      </w:pPr>
      <w:r>
        <w:rPr/>
        <w:t>Provided</w:t>
      </w:r>
      <w:r>
        <w:rPr>
          <w:spacing w:val="40"/>
        </w:rPr>
        <w:t> </w:t>
      </w:r>
      <w:r>
        <w:rPr/>
        <w:t>that</w:t>
      </w:r>
      <w:r>
        <w:rPr>
          <w:spacing w:val="40"/>
        </w:rPr>
        <w:t> </w:t>
      </w:r>
      <w:r>
        <w:rPr/>
        <w:t>amount</w:t>
      </w:r>
      <w:r>
        <w:rPr>
          <w:spacing w:val="40"/>
        </w:rPr>
        <w:t> </w:t>
      </w:r>
      <w:r>
        <w:rPr/>
        <w:t>so</w:t>
      </w:r>
      <w:r>
        <w:rPr>
          <w:spacing w:val="40"/>
        </w:rPr>
        <w:t> </w:t>
      </w:r>
      <w:r>
        <w:rPr/>
        <w:t>recovered</w:t>
      </w:r>
      <w:r>
        <w:rPr>
          <w:spacing w:val="40"/>
        </w:rPr>
        <w:t> </w:t>
      </w:r>
      <w:r>
        <w:rPr/>
        <w:t>as</w:t>
      </w:r>
      <w:r>
        <w:rPr>
          <w:spacing w:val="80"/>
          <w:w w:val="150"/>
        </w:rPr>
        <w:t> </w:t>
      </w:r>
      <w:r>
        <w:rPr>
          <w:spacing w:val="9"/>
        </w:rPr>
        <w:t>Infrastructural </w:t>
      </w:r>
      <w:r>
        <w:rPr/>
        <w:t>Charges, will remain with DRP (SRA) and same shall be use for schemes</w:t>
      </w:r>
      <w:r>
        <w:rPr>
          <w:spacing w:val="40"/>
        </w:rPr>
        <w:t> </w:t>
      </w:r>
      <w:r>
        <w:rPr/>
        <w:t>to be prepared for improvement of infrastructure within Dharavi</w:t>
      </w:r>
      <w:r>
        <w:rPr>
          <w:spacing w:val="80"/>
        </w:rPr>
        <w:t> </w:t>
      </w:r>
      <w:r>
        <w:rPr/>
        <w:t>Redevelopment</w:t>
      </w:r>
      <w:r>
        <w:rPr>
          <w:spacing w:val="80"/>
        </w:rPr>
        <w:t> </w:t>
      </w:r>
      <w:r>
        <w:rPr/>
        <w:t>Project</w:t>
      </w:r>
      <w:r>
        <w:rPr>
          <w:spacing w:val="80"/>
        </w:rPr>
        <w:t> </w:t>
      </w:r>
      <w:r>
        <w:rPr/>
        <w:t>Areas</w:t>
      </w:r>
      <w:r>
        <w:rPr>
          <w:b/>
          <w:sz w:val="22"/>
        </w:rPr>
        <w:t>.</w:t>
      </w:r>
    </w:p>
    <w:p>
      <w:pPr>
        <w:pStyle w:val="BodyText"/>
        <w:jc w:val="left"/>
        <w:rPr>
          <w:b/>
        </w:rPr>
      </w:pPr>
    </w:p>
    <w:p>
      <w:pPr>
        <w:pStyle w:val="BodyText"/>
        <w:spacing w:before="161"/>
        <w:jc w:val="left"/>
        <w:rPr>
          <w:b/>
        </w:rPr>
      </w:pPr>
    </w:p>
    <w:p>
      <w:pPr>
        <w:pStyle w:val="BodyText"/>
        <w:ind w:left="2062" w:right="768"/>
      </w:pPr>
      <w:r>
        <w:rPr/>
        <w:t>9.3</w:t>
      </w:r>
      <w:r>
        <w:rPr>
          <w:spacing w:val="80"/>
        </w:rPr>
        <w:t> </w:t>
      </w:r>
      <w:r>
        <w:rPr/>
        <w:t>The</w:t>
      </w:r>
      <w:r>
        <w:rPr>
          <w:spacing w:val="-5"/>
        </w:rPr>
        <w:t> </w:t>
      </w:r>
      <w:r>
        <w:rPr/>
        <w:t>part</w:t>
      </w:r>
      <w:r>
        <w:rPr>
          <w:spacing w:val="-5"/>
        </w:rPr>
        <w:t> </w:t>
      </w:r>
      <w:r>
        <w:rPr/>
        <w:t>of</w:t>
      </w:r>
      <w:r>
        <w:rPr>
          <w:spacing w:val="-5"/>
        </w:rPr>
        <w:t> </w:t>
      </w:r>
      <w:r>
        <w:rPr/>
        <w:t>land</w:t>
      </w:r>
      <w:r>
        <w:rPr>
          <w:spacing w:val="-5"/>
        </w:rPr>
        <w:t> </w:t>
      </w:r>
      <w:r>
        <w:rPr/>
        <w:t>premium</w:t>
      </w:r>
      <w:r>
        <w:rPr>
          <w:spacing w:val="-5"/>
        </w:rPr>
        <w:t> </w:t>
      </w:r>
      <w:r>
        <w:rPr/>
        <w:t>to</w:t>
      </w:r>
      <w:r>
        <w:rPr>
          <w:spacing w:val="-5"/>
        </w:rPr>
        <w:t> </w:t>
      </w:r>
      <w:r>
        <w:rPr/>
        <w:t>be</w:t>
      </w:r>
      <w:r>
        <w:rPr>
          <w:spacing w:val="-5"/>
        </w:rPr>
        <w:t> </w:t>
      </w:r>
      <w:r>
        <w:rPr/>
        <w:t>made</w:t>
      </w:r>
      <w:r>
        <w:rPr>
          <w:spacing w:val="-5"/>
        </w:rPr>
        <w:t> </w:t>
      </w:r>
      <w:r>
        <w:rPr/>
        <w:t>available</w:t>
      </w:r>
      <w:r>
        <w:rPr>
          <w:spacing w:val="-5"/>
        </w:rPr>
        <w:t> </w:t>
      </w:r>
      <w:r>
        <w:rPr/>
        <w:t>to</w:t>
      </w:r>
      <w:r>
        <w:rPr>
          <w:spacing w:val="-5"/>
        </w:rPr>
        <w:t> </w:t>
      </w:r>
      <w:r>
        <w:rPr/>
        <w:t>the</w:t>
      </w:r>
      <w:r>
        <w:rPr>
          <w:spacing w:val="-3"/>
        </w:rPr>
        <w:t> </w:t>
      </w:r>
      <w:r>
        <w:rPr/>
        <w:t>land-owning authority as per rates to be decided by GoM shall be exclusively used for schemes to be prepared for the improvement of infrastructural developments in the benefit of DRP.</w:t>
      </w:r>
    </w:p>
    <w:p>
      <w:pPr>
        <w:pStyle w:val="Heading4"/>
        <w:spacing w:before="242"/>
        <w:ind w:left="2062"/>
        <w:jc w:val="left"/>
      </w:pPr>
      <w:r>
        <w:rPr/>
        <w:t>ANNEXTURE</w:t>
      </w:r>
      <w:r>
        <w:rPr>
          <w:spacing w:val="-7"/>
        </w:rPr>
        <w:t> </w:t>
      </w:r>
      <w:r>
        <w:rPr>
          <w:spacing w:val="-4"/>
        </w:rPr>
        <w:t>–“A”</w:t>
      </w:r>
    </w:p>
    <w:p>
      <w:pPr>
        <w:pStyle w:val="Heading6"/>
        <w:numPr>
          <w:ilvl w:val="0"/>
          <w:numId w:val="195"/>
        </w:numPr>
        <w:tabs>
          <w:tab w:pos="2615" w:val="left" w:leader="none"/>
        </w:tabs>
        <w:spacing w:line="240" w:lineRule="auto" w:before="116" w:after="0"/>
        <w:ind w:left="2062" w:right="771" w:firstLine="76"/>
        <w:jc w:val="both"/>
        <w:rPr>
          <w:b w:val="0"/>
          <w:i w:val="0"/>
        </w:rPr>
      </w:pPr>
      <w:r>
        <w:rPr/>
        <w:t>amenities and facilities to be provided under DRPto be read with clause 7.1 of Regulation no. 33 (10) (A):</w:t>
      </w:r>
    </w:p>
    <w:p>
      <w:pPr>
        <w:pStyle w:val="BodyText"/>
        <w:spacing w:before="9"/>
        <w:jc w:val="left"/>
        <w:rPr>
          <w:b/>
          <w:i/>
          <w:sz w:val="20"/>
        </w:rPr>
      </w:pPr>
    </w:p>
    <w:tbl>
      <w:tblPr>
        <w:tblW w:w="0" w:type="auto"/>
        <w:jc w:val="left"/>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0"/>
        <w:gridCol w:w="1574"/>
        <w:gridCol w:w="946"/>
        <w:gridCol w:w="720"/>
        <w:gridCol w:w="1080"/>
        <w:gridCol w:w="1080"/>
        <w:gridCol w:w="1080"/>
        <w:gridCol w:w="1025"/>
        <w:gridCol w:w="1108"/>
        <w:gridCol w:w="1223"/>
      </w:tblGrid>
      <w:tr>
        <w:trPr>
          <w:trHeight w:val="894" w:hRule="atLeast"/>
        </w:trPr>
        <w:tc>
          <w:tcPr>
            <w:tcW w:w="550" w:type="dxa"/>
          </w:tcPr>
          <w:p>
            <w:pPr>
              <w:pStyle w:val="TableParagraph"/>
              <w:spacing w:before="94"/>
              <w:ind w:left="107" w:right="133"/>
              <w:rPr>
                <w:b/>
                <w:sz w:val="20"/>
              </w:rPr>
            </w:pPr>
            <w:r>
              <w:rPr>
                <w:b/>
                <w:spacing w:val="-4"/>
                <w:sz w:val="20"/>
              </w:rPr>
              <w:t>Sr. </w:t>
            </w:r>
            <w:r>
              <w:rPr>
                <w:b/>
                <w:spacing w:val="-5"/>
                <w:sz w:val="20"/>
              </w:rPr>
              <w:t>No</w:t>
            </w:r>
          </w:p>
          <w:p>
            <w:pPr>
              <w:pStyle w:val="TableParagraph"/>
              <w:spacing w:before="1"/>
              <w:ind w:left="107"/>
              <w:rPr>
                <w:b/>
                <w:sz w:val="20"/>
              </w:rPr>
            </w:pPr>
            <w:r>
              <w:rPr>
                <w:b/>
                <w:spacing w:val="-10"/>
                <w:sz w:val="20"/>
              </w:rPr>
              <w:t>.</w:t>
            </w:r>
          </w:p>
        </w:tc>
        <w:tc>
          <w:tcPr>
            <w:tcW w:w="1574" w:type="dxa"/>
          </w:tcPr>
          <w:p>
            <w:pPr>
              <w:pStyle w:val="TableParagraph"/>
              <w:tabs>
                <w:tab w:pos="1120" w:val="left" w:leader="none"/>
              </w:tabs>
              <w:spacing w:before="94"/>
              <w:ind w:left="107" w:right="98"/>
              <w:rPr>
                <w:b/>
                <w:sz w:val="20"/>
              </w:rPr>
            </w:pPr>
            <w:r>
              <w:rPr>
                <w:b/>
                <w:spacing w:val="-2"/>
                <w:sz w:val="20"/>
              </w:rPr>
              <w:t>Description </w:t>
            </w:r>
            <w:r>
              <w:rPr>
                <w:b/>
                <w:spacing w:val="-6"/>
                <w:sz w:val="20"/>
              </w:rPr>
              <w:t>of</w:t>
            </w:r>
            <w:r>
              <w:rPr>
                <w:b/>
                <w:sz w:val="20"/>
              </w:rPr>
              <w:tab/>
            </w:r>
            <w:r>
              <w:rPr>
                <w:b/>
                <w:spacing w:val="-4"/>
                <w:sz w:val="20"/>
              </w:rPr>
              <w:t>the</w:t>
            </w:r>
          </w:p>
          <w:p>
            <w:pPr>
              <w:pStyle w:val="TableParagraph"/>
              <w:spacing w:before="1"/>
              <w:ind w:left="107"/>
              <w:rPr>
                <w:b/>
                <w:sz w:val="20"/>
              </w:rPr>
            </w:pPr>
            <w:r>
              <w:rPr>
                <w:b/>
                <w:spacing w:val="-2"/>
                <w:sz w:val="20"/>
              </w:rPr>
              <w:t>Amenity</w:t>
            </w:r>
          </w:p>
        </w:tc>
        <w:tc>
          <w:tcPr>
            <w:tcW w:w="946" w:type="dxa"/>
          </w:tcPr>
          <w:p>
            <w:pPr>
              <w:pStyle w:val="TableParagraph"/>
              <w:spacing w:before="212"/>
              <w:ind w:left="108" w:right="205"/>
              <w:rPr>
                <w:b/>
                <w:sz w:val="20"/>
              </w:rPr>
            </w:pPr>
            <w:r>
              <w:rPr>
                <w:b/>
                <w:spacing w:val="-2"/>
                <w:sz w:val="20"/>
              </w:rPr>
              <w:t>Legen </w:t>
            </w:r>
            <w:r>
              <w:rPr>
                <w:b/>
                <w:spacing w:val="-6"/>
                <w:sz w:val="20"/>
              </w:rPr>
              <w:t>ds</w:t>
            </w:r>
          </w:p>
        </w:tc>
        <w:tc>
          <w:tcPr>
            <w:tcW w:w="720" w:type="dxa"/>
          </w:tcPr>
          <w:p>
            <w:pPr>
              <w:pStyle w:val="TableParagraph"/>
              <w:spacing w:before="212"/>
              <w:ind w:left="108" w:right="150"/>
              <w:rPr>
                <w:b/>
                <w:sz w:val="20"/>
              </w:rPr>
            </w:pPr>
            <w:r>
              <w:rPr>
                <w:b/>
                <w:spacing w:val="-4"/>
                <w:sz w:val="20"/>
              </w:rPr>
              <w:t>Unit </w:t>
            </w:r>
            <w:r>
              <w:rPr>
                <w:b/>
                <w:spacing w:val="-10"/>
                <w:sz w:val="20"/>
              </w:rPr>
              <w:t>s</w:t>
            </w:r>
          </w:p>
        </w:tc>
        <w:tc>
          <w:tcPr>
            <w:tcW w:w="6596" w:type="dxa"/>
            <w:gridSpan w:val="6"/>
          </w:tcPr>
          <w:p>
            <w:pPr>
              <w:pStyle w:val="TableParagraph"/>
              <w:spacing w:before="94"/>
              <w:rPr>
                <w:b/>
                <w:i/>
                <w:sz w:val="20"/>
              </w:rPr>
            </w:pPr>
          </w:p>
          <w:p>
            <w:pPr>
              <w:pStyle w:val="TableParagraph"/>
              <w:spacing w:before="1"/>
              <w:ind w:left="175"/>
              <w:rPr>
                <w:b/>
                <w:sz w:val="20"/>
              </w:rPr>
            </w:pPr>
            <w:r>
              <w:rPr>
                <w:b/>
                <w:sz w:val="20"/>
              </w:rPr>
              <w:t>amenities</w:t>
            </w:r>
            <w:r>
              <w:rPr>
                <w:b/>
                <w:spacing w:val="-6"/>
                <w:sz w:val="20"/>
              </w:rPr>
              <w:t> </w:t>
            </w:r>
            <w:r>
              <w:rPr>
                <w:b/>
                <w:sz w:val="20"/>
              </w:rPr>
              <w:t>&amp;</w:t>
            </w:r>
            <w:r>
              <w:rPr>
                <w:b/>
                <w:spacing w:val="-8"/>
                <w:sz w:val="20"/>
              </w:rPr>
              <w:t> </w:t>
            </w:r>
            <w:r>
              <w:rPr>
                <w:b/>
                <w:sz w:val="20"/>
              </w:rPr>
              <w:t>facilities</w:t>
            </w:r>
            <w:r>
              <w:rPr>
                <w:b/>
                <w:spacing w:val="-6"/>
                <w:sz w:val="20"/>
              </w:rPr>
              <w:t> </w:t>
            </w:r>
            <w:r>
              <w:rPr>
                <w:b/>
                <w:sz w:val="20"/>
              </w:rPr>
              <w:t>to</w:t>
            </w:r>
            <w:r>
              <w:rPr>
                <w:b/>
                <w:spacing w:val="-8"/>
                <w:sz w:val="20"/>
              </w:rPr>
              <w:t> </w:t>
            </w:r>
            <w:r>
              <w:rPr>
                <w:b/>
                <w:sz w:val="20"/>
              </w:rPr>
              <w:t>be</w:t>
            </w:r>
            <w:r>
              <w:rPr>
                <w:b/>
                <w:spacing w:val="-5"/>
                <w:sz w:val="20"/>
              </w:rPr>
              <w:t> </w:t>
            </w:r>
            <w:r>
              <w:rPr>
                <w:b/>
                <w:sz w:val="20"/>
              </w:rPr>
              <w:t>provided</w:t>
            </w:r>
            <w:r>
              <w:rPr>
                <w:b/>
                <w:spacing w:val="-6"/>
                <w:sz w:val="20"/>
              </w:rPr>
              <w:t> </w:t>
            </w:r>
            <w:r>
              <w:rPr>
                <w:b/>
                <w:sz w:val="20"/>
              </w:rPr>
              <w:t>under</w:t>
            </w:r>
            <w:r>
              <w:rPr>
                <w:b/>
                <w:spacing w:val="-8"/>
                <w:sz w:val="20"/>
              </w:rPr>
              <w:t> </w:t>
            </w:r>
            <w:r>
              <w:rPr>
                <w:b/>
                <w:spacing w:val="-5"/>
                <w:sz w:val="20"/>
              </w:rPr>
              <w:t>DRP</w:t>
            </w:r>
          </w:p>
        </w:tc>
      </w:tr>
      <w:tr>
        <w:trPr>
          <w:trHeight w:val="662" w:hRule="atLeast"/>
        </w:trPr>
        <w:tc>
          <w:tcPr>
            <w:tcW w:w="550" w:type="dxa"/>
          </w:tcPr>
          <w:p>
            <w:pPr>
              <w:pStyle w:val="TableParagraph"/>
              <w:rPr>
                <w:rFonts w:ascii="Times New Roman"/>
                <w:sz w:val="20"/>
              </w:rPr>
            </w:pPr>
          </w:p>
        </w:tc>
        <w:tc>
          <w:tcPr>
            <w:tcW w:w="1574" w:type="dxa"/>
          </w:tcPr>
          <w:p>
            <w:pPr>
              <w:pStyle w:val="TableParagraph"/>
              <w:rPr>
                <w:rFonts w:ascii="Times New Roman"/>
                <w:sz w:val="20"/>
              </w:rPr>
            </w:pPr>
          </w:p>
        </w:tc>
        <w:tc>
          <w:tcPr>
            <w:tcW w:w="946" w:type="dxa"/>
          </w:tcPr>
          <w:p>
            <w:pPr>
              <w:pStyle w:val="TableParagraph"/>
              <w:rPr>
                <w:rFonts w:ascii="Times New Roman"/>
                <w:sz w:val="20"/>
              </w:rPr>
            </w:pPr>
          </w:p>
        </w:tc>
        <w:tc>
          <w:tcPr>
            <w:tcW w:w="720" w:type="dxa"/>
          </w:tcPr>
          <w:p>
            <w:pPr>
              <w:pStyle w:val="TableParagraph"/>
              <w:rPr>
                <w:rFonts w:ascii="Times New Roman"/>
                <w:sz w:val="20"/>
              </w:rPr>
            </w:pPr>
          </w:p>
        </w:tc>
        <w:tc>
          <w:tcPr>
            <w:tcW w:w="1080" w:type="dxa"/>
          </w:tcPr>
          <w:p>
            <w:pPr>
              <w:pStyle w:val="TableParagraph"/>
              <w:spacing w:before="214"/>
              <w:ind w:left="12" w:right="44"/>
              <w:jc w:val="center"/>
              <w:rPr>
                <w:b/>
                <w:sz w:val="20"/>
              </w:rPr>
            </w:pPr>
            <w:r>
              <w:rPr>
                <w:b/>
                <w:sz w:val="20"/>
              </w:rPr>
              <w:t>Sector</w:t>
            </w:r>
            <w:r>
              <w:rPr>
                <w:b/>
                <w:spacing w:val="-8"/>
                <w:sz w:val="20"/>
              </w:rPr>
              <w:t> </w:t>
            </w:r>
            <w:r>
              <w:rPr>
                <w:b/>
                <w:spacing w:val="-10"/>
                <w:sz w:val="20"/>
              </w:rPr>
              <w:t>I</w:t>
            </w:r>
          </w:p>
        </w:tc>
        <w:tc>
          <w:tcPr>
            <w:tcW w:w="1080" w:type="dxa"/>
          </w:tcPr>
          <w:p>
            <w:pPr>
              <w:pStyle w:val="TableParagraph"/>
              <w:spacing w:before="97"/>
              <w:ind w:left="108" w:right="281"/>
              <w:rPr>
                <w:b/>
                <w:sz w:val="20"/>
              </w:rPr>
            </w:pPr>
            <w:r>
              <w:rPr>
                <w:b/>
                <w:spacing w:val="-2"/>
                <w:sz w:val="20"/>
              </w:rPr>
              <w:t>Sector </w:t>
            </w:r>
            <w:r>
              <w:rPr>
                <w:b/>
                <w:spacing w:val="-6"/>
                <w:sz w:val="20"/>
              </w:rPr>
              <w:t>II</w:t>
            </w:r>
          </w:p>
        </w:tc>
        <w:tc>
          <w:tcPr>
            <w:tcW w:w="1080" w:type="dxa"/>
          </w:tcPr>
          <w:p>
            <w:pPr>
              <w:pStyle w:val="TableParagraph"/>
              <w:spacing w:before="97"/>
              <w:ind w:left="108" w:right="281"/>
              <w:rPr>
                <w:b/>
                <w:sz w:val="20"/>
              </w:rPr>
            </w:pPr>
            <w:r>
              <w:rPr>
                <w:b/>
                <w:spacing w:val="-2"/>
                <w:sz w:val="20"/>
              </w:rPr>
              <w:t>Sector </w:t>
            </w:r>
            <w:r>
              <w:rPr>
                <w:b/>
                <w:spacing w:val="-4"/>
                <w:sz w:val="20"/>
              </w:rPr>
              <w:t>III</w:t>
            </w:r>
          </w:p>
        </w:tc>
        <w:tc>
          <w:tcPr>
            <w:tcW w:w="1025" w:type="dxa"/>
          </w:tcPr>
          <w:p>
            <w:pPr>
              <w:pStyle w:val="TableParagraph"/>
              <w:spacing w:before="97"/>
              <w:ind w:left="108" w:right="226"/>
              <w:rPr>
                <w:b/>
                <w:sz w:val="20"/>
              </w:rPr>
            </w:pPr>
            <w:r>
              <w:rPr>
                <w:b/>
                <w:spacing w:val="-2"/>
                <w:sz w:val="20"/>
              </w:rPr>
              <w:t>Sector </w:t>
            </w:r>
            <w:r>
              <w:rPr>
                <w:b/>
                <w:spacing w:val="-6"/>
                <w:sz w:val="20"/>
              </w:rPr>
              <w:t>IV</w:t>
            </w:r>
          </w:p>
        </w:tc>
        <w:tc>
          <w:tcPr>
            <w:tcW w:w="1108" w:type="dxa"/>
          </w:tcPr>
          <w:p>
            <w:pPr>
              <w:pStyle w:val="TableParagraph"/>
              <w:spacing w:before="214"/>
              <w:ind w:left="109"/>
              <w:rPr>
                <w:b/>
                <w:sz w:val="20"/>
              </w:rPr>
            </w:pPr>
            <w:r>
              <w:rPr>
                <w:b/>
                <w:sz w:val="20"/>
              </w:rPr>
              <w:t>Sector</w:t>
            </w:r>
            <w:r>
              <w:rPr>
                <w:b/>
                <w:spacing w:val="-10"/>
                <w:sz w:val="20"/>
              </w:rPr>
              <w:t> V</w:t>
            </w:r>
          </w:p>
        </w:tc>
        <w:tc>
          <w:tcPr>
            <w:tcW w:w="1223" w:type="dxa"/>
          </w:tcPr>
          <w:p>
            <w:pPr>
              <w:pStyle w:val="TableParagraph"/>
              <w:spacing w:before="97"/>
              <w:ind w:left="110" w:right="20"/>
              <w:rPr>
                <w:b/>
                <w:sz w:val="20"/>
              </w:rPr>
            </w:pPr>
            <w:r>
              <w:rPr>
                <w:b/>
                <w:sz w:val="20"/>
              </w:rPr>
              <w:t>Total</w:t>
            </w:r>
            <w:r>
              <w:rPr>
                <w:b/>
                <w:spacing w:val="-2"/>
                <w:sz w:val="20"/>
              </w:rPr>
              <w:t> </w:t>
            </w:r>
            <w:r>
              <w:rPr>
                <w:b/>
                <w:sz w:val="20"/>
              </w:rPr>
              <w:t>I</w:t>
            </w:r>
            <w:r>
              <w:rPr>
                <w:b/>
                <w:spacing w:val="-2"/>
                <w:sz w:val="20"/>
              </w:rPr>
              <w:t> </w:t>
            </w:r>
            <w:r>
              <w:rPr>
                <w:b/>
                <w:sz w:val="20"/>
              </w:rPr>
              <w:t>to </w:t>
            </w:r>
            <w:r>
              <w:rPr>
                <w:b/>
                <w:spacing w:val="-10"/>
                <w:sz w:val="20"/>
              </w:rPr>
              <w:t>V</w:t>
            </w:r>
          </w:p>
        </w:tc>
      </w:tr>
      <w:tr>
        <w:trPr>
          <w:trHeight w:val="1368" w:hRule="atLeast"/>
        </w:trPr>
        <w:tc>
          <w:tcPr>
            <w:tcW w:w="2124" w:type="dxa"/>
            <w:gridSpan w:val="2"/>
          </w:tcPr>
          <w:p>
            <w:pPr>
              <w:pStyle w:val="TableParagraph"/>
              <w:spacing w:before="94"/>
              <w:ind w:left="107" w:right="99"/>
              <w:jc w:val="both"/>
              <w:rPr>
                <w:b/>
                <w:sz w:val="20"/>
              </w:rPr>
            </w:pPr>
            <w:r>
              <w:rPr>
                <w:b/>
                <w:spacing w:val="-2"/>
                <w:sz w:val="20"/>
              </w:rPr>
              <w:t>Buildable </w:t>
            </w:r>
            <w:r>
              <w:rPr>
                <w:b/>
                <w:sz w:val="20"/>
              </w:rPr>
              <w:t>Amenities</w:t>
            </w:r>
            <w:r>
              <w:rPr>
                <w:b/>
                <w:spacing w:val="69"/>
                <w:sz w:val="20"/>
              </w:rPr>
              <w:t>    </w:t>
            </w:r>
            <w:r>
              <w:rPr>
                <w:b/>
                <w:spacing w:val="-5"/>
                <w:sz w:val="20"/>
              </w:rPr>
              <w:t>for</w:t>
            </w:r>
          </w:p>
          <w:p>
            <w:pPr>
              <w:pStyle w:val="TableParagraph"/>
              <w:tabs>
                <w:tab w:pos="1580" w:val="left" w:leader="none"/>
                <w:tab w:pos="1834" w:val="left" w:leader="none"/>
              </w:tabs>
              <w:spacing w:before="1"/>
              <w:ind w:left="107" w:right="99"/>
              <w:jc w:val="both"/>
              <w:rPr>
                <w:b/>
                <w:sz w:val="20"/>
              </w:rPr>
            </w:pPr>
            <w:r>
              <w:rPr>
                <w:b/>
                <w:spacing w:val="-2"/>
                <w:sz w:val="20"/>
              </w:rPr>
              <w:t>which</w:t>
            </w:r>
            <w:r>
              <w:rPr>
                <w:b/>
                <w:sz w:val="20"/>
              </w:rPr>
              <w:tab/>
            </w:r>
            <w:r>
              <w:rPr>
                <w:b/>
                <w:spacing w:val="-4"/>
                <w:sz w:val="20"/>
              </w:rPr>
              <w:t>Sale </w:t>
            </w:r>
            <w:r>
              <w:rPr>
                <w:b/>
                <w:spacing w:val="-2"/>
                <w:sz w:val="20"/>
              </w:rPr>
              <w:t>Incentive</w:t>
            </w:r>
            <w:r>
              <w:rPr>
                <w:b/>
                <w:sz w:val="20"/>
              </w:rPr>
              <w:tab/>
              <w:tab/>
            </w:r>
            <w:r>
              <w:rPr>
                <w:b/>
                <w:spacing w:val="-6"/>
                <w:sz w:val="20"/>
              </w:rPr>
              <w:t>is </w:t>
            </w:r>
            <w:r>
              <w:rPr>
                <w:b/>
                <w:spacing w:val="-2"/>
                <w:sz w:val="20"/>
              </w:rPr>
              <w:t>available.</w:t>
            </w:r>
          </w:p>
        </w:tc>
        <w:tc>
          <w:tcPr>
            <w:tcW w:w="946" w:type="dxa"/>
          </w:tcPr>
          <w:p>
            <w:pPr>
              <w:pStyle w:val="TableParagraph"/>
              <w:rPr>
                <w:rFonts w:ascii="Times New Roman"/>
                <w:sz w:val="20"/>
              </w:rPr>
            </w:pPr>
          </w:p>
        </w:tc>
        <w:tc>
          <w:tcPr>
            <w:tcW w:w="720" w:type="dxa"/>
          </w:tcPr>
          <w:p>
            <w:pPr>
              <w:pStyle w:val="TableParagraph"/>
              <w:rPr>
                <w:rFonts w:ascii="Times New Roman"/>
                <w:sz w:val="20"/>
              </w:rPr>
            </w:pPr>
          </w:p>
        </w:tc>
        <w:tc>
          <w:tcPr>
            <w:tcW w:w="1080" w:type="dxa"/>
          </w:tcPr>
          <w:p>
            <w:pPr>
              <w:pStyle w:val="TableParagraph"/>
              <w:rPr>
                <w:rFonts w:ascii="Times New Roman"/>
                <w:sz w:val="20"/>
              </w:rPr>
            </w:pPr>
          </w:p>
        </w:tc>
        <w:tc>
          <w:tcPr>
            <w:tcW w:w="1080" w:type="dxa"/>
          </w:tcPr>
          <w:p>
            <w:pPr>
              <w:pStyle w:val="TableParagraph"/>
              <w:rPr>
                <w:rFonts w:ascii="Times New Roman"/>
                <w:sz w:val="20"/>
              </w:rPr>
            </w:pPr>
          </w:p>
        </w:tc>
        <w:tc>
          <w:tcPr>
            <w:tcW w:w="1080" w:type="dxa"/>
          </w:tcPr>
          <w:p>
            <w:pPr>
              <w:pStyle w:val="TableParagraph"/>
              <w:rPr>
                <w:rFonts w:ascii="Times New Roman"/>
                <w:sz w:val="20"/>
              </w:rPr>
            </w:pPr>
          </w:p>
        </w:tc>
        <w:tc>
          <w:tcPr>
            <w:tcW w:w="1025" w:type="dxa"/>
          </w:tcPr>
          <w:p>
            <w:pPr>
              <w:pStyle w:val="TableParagraph"/>
              <w:rPr>
                <w:rFonts w:ascii="Times New Roman"/>
                <w:sz w:val="20"/>
              </w:rPr>
            </w:pPr>
          </w:p>
        </w:tc>
        <w:tc>
          <w:tcPr>
            <w:tcW w:w="1108" w:type="dxa"/>
          </w:tcPr>
          <w:p>
            <w:pPr>
              <w:pStyle w:val="TableParagraph"/>
              <w:rPr>
                <w:rFonts w:ascii="Times New Roman"/>
                <w:sz w:val="20"/>
              </w:rPr>
            </w:pPr>
          </w:p>
        </w:tc>
        <w:tc>
          <w:tcPr>
            <w:tcW w:w="1223" w:type="dxa"/>
          </w:tcPr>
          <w:p>
            <w:pPr>
              <w:pStyle w:val="TableParagraph"/>
              <w:rPr>
                <w:rFonts w:ascii="Times New Roman"/>
                <w:sz w:val="20"/>
              </w:rPr>
            </w:pPr>
          </w:p>
        </w:tc>
      </w:tr>
      <w:tr>
        <w:trPr>
          <w:trHeight w:val="990" w:hRule="atLeast"/>
        </w:trPr>
        <w:tc>
          <w:tcPr>
            <w:tcW w:w="550" w:type="dxa"/>
          </w:tcPr>
          <w:p>
            <w:pPr>
              <w:pStyle w:val="TableParagraph"/>
              <w:spacing w:before="94"/>
              <w:ind w:left="107"/>
              <w:rPr>
                <w:sz w:val="20"/>
              </w:rPr>
            </w:pPr>
            <w:r>
              <w:rPr>
                <w:spacing w:val="-10"/>
                <w:sz w:val="20"/>
              </w:rPr>
              <w:t>1</w:t>
            </w:r>
          </w:p>
        </w:tc>
        <w:tc>
          <w:tcPr>
            <w:tcW w:w="1574" w:type="dxa"/>
          </w:tcPr>
          <w:p>
            <w:pPr>
              <w:pStyle w:val="TableParagraph"/>
              <w:spacing w:before="25"/>
              <w:rPr>
                <w:b/>
                <w:i/>
                <w:sz w:val="20"/>
              </w:rPr>
            </w:pPr>
          </w:p>
          <w:p>
            <w:pPr>
              <w:pStyle w:val="TableParagraph"/>
              <w:ind w:left="107" w:right="97"/>
              <w:rPr>
                <w:sz w:val="20"/>
              </w:rPr>
            </w:pPr>
            <w:r>
              <w:rPr>
                <w:spacing w:val="-2"/>
                <w:sz w:val="20"/>
              </w:rPr>
              <w:t>PrimaryScho </w:t>
            </w:r>
            <w:r>
              <w:rPr>
                <w:spacing w:val="-6"/>
                <w:sz w:val="20"/>
              </w:rPr>
              <w:t>ol</w:t>
            </w:r>
          </w:p>
        </w:tc>
        <w:tc>
          <w:tcPr>
            <w:tcW w:w="946" w:type="dxa"/>
          </w:tcPr>
          <w:p>
            <w:pPr>
              <w:pStyle w:val="TableParagraph"/>
              <w:rPr>
                <w:rFonts w:ascii="Times New Roman"/>
                <w:sz w:val="20"/>
              </w:rPr>
            </w:pPr>
          </w:p>
        </w:tc>
        <w:tc>
          <w:tcPr>
            <w:tcW w:w="720" w:type="dxa"/>
          </w:tcPr>
          <w:p>
            <w:pPr>
              <w:pStyle w:val="TableParagraph"/>
              <w:spacing w:before="25"/>
              <w:rPr>
                <w:b/>
                <w:i/>
                <w:sz w:val="20"/>
              </w:rPr>
            </w:pPr>
          </w:p>
          <w:p>
            <w:pPr>
              <w:pStyle w:val="TableParagraph"/>
              <w:ind w:left="108" w:right="310"/>
              <w:rPr>
                <w:sz w:val="20"/>
              </w:rPr>
            </w:pPr>
            <w:r>
              <w:rPr>
                <w:spacing w:val="-4"/>
                <w:sz w:val="20"/>
              </w:rPr>
              <w:t>sq. </w:t>
            </w:r>
            <w:r>
              <w:rPr>
                <w:spacing w:val="-10"/>
                <w:sz w:val="20"/>
              </w:rPr>
              <w:t>m</w:t>
            </w:r>
          </w:p>
        </w:tc>
        <w:tc>
          <w:tcPr>
            <w:tcW w:w="1080" w:type="dxa"/>
          </w:tcPr>
          <w:p>
            <w:pPr>
              <w:pStyle w:val="TableParagraph"/>
              <w:rPr>
                <w:b/>
                <w:i/>
                <w:sz w:val="20"/>
              </w:rPr>
            </w:pPr>
          </w:p>
          <w:p>
            <w:pPr>
              <w:pStyle w:val="TableParagraph"/>
              <w:spacing w:before="71"/>
              <w:rPr>
                <w:b/>
                <w:i/>
                <w:sz w:val="20"/>
              </w:rPr>
            </w:pPr>
          </w:p>
          <w:p>
            <w:pPr>
              <w:pStyle w:val="TableParagraph"/>
              <w:ind w:right="44"/>
              <w:jc w:val="center"/>
              <w:rPr>
                <w:sz w:val="20"/>
              </w:rPr>
            </w:pPr>
            <w:r>
              <w:rPr>
                <w:spacing w:val="-2"/>
                <w:sz w:val="20"/>
              </w:rPr>
              <w:t>9066.97</w:t>
            </w:r>
          </w:p>
        </w:tc>
        <w:tc>
          <w:tcPr>
            <w:tcW w:w="1080" w:type="dxa"/>
          </w:tcPr>
          <w:p>
            <w:pPr>
              <w:pStyle w:val="TableParagraph"/>
              <w:spacing w:before="190"/>
              <w:rPr>
                <w:b/>
                <w:i/>
                <w:sz w:val="20"/>
              </w:rPr>
            </w:pPr>
          </w:p>
          <w:p>
            <w:pPr>
              <w:pStyle w:val="TableParagraph"/>
              <w:spacing w:line="234" w:lineRule="exact" w:before="1"/>
              <w:ind w:left="108"/>
              <w:rPr>
                <w:sz w:val="20"/>
              </w:rPr>
            </w:pPr>
            <w:r>
              <w:rPr>
                <w:spacing w:val="-2"/>
                <w:sz w:val="20"/>
              </w:rPr>
              <w:t>16433.8</w:t>
            </w:r>
          </w:p>
          <w:p>
            <w:pPr>
              <w:pStyle w:val="TableParagraph"/>
              <w:spacing w:line="234" w:lineRule="exact"/>
              <w:ind w:left="108"/>
              <w:rPr>
                <w:sz w:val="20"/>
              </w:rPr>
            </w:pPr>
            <w:r>
              <w:rPr>
                <w:spacing w:val="-10"/>
                <w:sz w:val="20"/>
              </w:rPr>
              <w:t>9</w:t>
            </w:r>
          </w:p>
        </w:tc>
        <w:tc>
          <w:tcPr>
            <w:tcW w:w="1080" w:type="dxa"/>
          </w:tcPr>
          <w:p>
            <w:pPr>
              <w:pStyle w:val="TableParagraph"/>
              <w:spacing w:before="190"/>
              <w:rPr>
                <w:b/>
                <w:i/>
                <w:sz w:val="20"/>
              </w:rPr>
            </w:pPr>
          </w:p>
          <w:p>
            <w:pPr>
              <w:pStyle w:val="TableParagraph"/>
              <w:spacing w:line="234" w:lineRule="exact" w:before="1"/>
              <w:ind w:left="108"/>
              <w:rPr>
                <w:sz w:val="20"/>
              </w:rPr>
            </w:pPr>
            <w:r>
              <w:rPr>
                <w:spacing w:val="-2"/>
                <w:sz w:val="20"/>
              </w:rPr>
              <w:t>13600.4</w:t>
            </w:r>
          </w:p>
          <w:p>
            <w:pPr>
              <w:pStyle w:val="TableParagraph"/>
              <w:spacing w:line="234" w:lineRule="exact"/>
              <w:ind w:left="108"/>
              <w:rPr>
                <w:sz w:val="20"/>
              </w:rPr>
            </w:pPr>
            <w:r>
              <w:rPr>
                <w:spacing w:val="-10"/>
                <w:sz w:val="20"/>
              </w:rPr>
              <w:t>6</w:t>
            </w:r>
          </w:p>
        </w:tc>
        <w:tc>
          <w:tcPr>
            <w:tcW w:w="1025" w:type="dxa"/>
          </w:tcPr>
          <w:p>
            <w:pPr>
              <w:pStyle w:val="TableParagraph"/>
              <w:spacing w:before="190"/>
              <w:rPr>
                <w:b/>
                <w:i/>
                <w:sz w:val="20"/>
              </w:rPr>
            </w:pPr>
          </w:p>
          <w:p>
            <w:pPr>
              <w:pStyle w:val="TableParagraph"/>
              <w:spacing w:line="234" w:lineRule="exact" w:before="1"/>
              <w:ind w:left="108"/>
              <w:rPr>
                <w:sz w:val="20"/>
              </w:rPr>
            </w:pPr>
            <w:r>
              <w:rPr>
                <w:spacing w:val="-2"/>
                <w:sz w:val="20"/>
              </w:rPr>
              <w:t>12467.</w:t>
            </w:r>
          </w:p>
          <w:p>
            <w:pPr>
              <w:pStyle w:val="TableParagraph"/>
              <w:spacing w:line="234" w:lineRule="exact"/>
              <w:ind w:left="108"/>
              <w:rPr>
                <w:sz w:val="20"/>
              </w:rPr>
            </w:pPr>
            <w:r>
              <w:rPr>
                <w:spacing w:val="-5"/>
                <w:sz w:val="20"/>
              </w:rPr>
              <w:t>09</w:t>
            </w:r>
          </w:p>
        </w:tc>
        <w:tc>
          <w:tcPr>
            <w:tcW w:w="1108" w:type="dxa"/>
          </w:tcPr>
          <w:p>
            <w:pPr>
              <w:pStyle w:val="TableParagraph"/>
              <w:rPr>
                <w:b/>
                <w:i/>
                <w:sz w:val="20"/>
              </w:rPr>
            </w:pPr>
          </w:p>
          <w:p>
            <w:pPr>
              <w:pStyle w:val="TableParagraph"/>
              <w:spacing w:before="71"/>
              <w:rPr>
                <w:b/>
                <w:i/>
                <w:sz w:val="20"/>
              </w:rPr>
            </w:pPr>
          </w:p>
          <w:p>
            <w:pPr>
              <w:pStyle w:val="TableParagraph"/>
              <w:ind w:left="109"/>
              <w:rPr>
                <w:sz w:val="20"/>
              </w:rPr>
            </w:pPr>
            <w:r>
              <w:rPr>
                <w:spacing w:val="-2"/>
                <w:sz w:val="20"/>
              </w:rPr>
              <w:t>5100.17</w:t>
            </w:r>
          </w:p>
        </w:tc>
        <w:tc>
          <w:tcPr>
            <w:tcW w:w="1223" w:type="dxa"/>
          </w:tcPr>
          <w:p>
            <w:pPr>
              <w:pStyle w:val="TableParagraph"/>
              <w:rPr>
                <w:b/>
                <w:i/>
                <w:sz w:val="20"/>
              </w:rPr>
            </w:pPr>
          </w:p>
          <w:p>
            <w:pPr>
              <w:pStyle w:val="TableParagraph"/>
              <w:spacing w:before="71"/>
              <w:rPr>
                <w:b/>
                <w:i/>
                <w:sz w:val="20"/>
              </w:rPr>
            </w:pPr>
          </w:p>
          <w:p>
            <w:pPr>
              <w:pStyle w:val="TableParagraph"/>
              <w:ind w:left="110"/>
              <w:rPr>
                <w:b/>
                <w:sz w:val="20"/>
              </w:rPr>
            </w:pPr>
            <w:r>
              <w:rPr>
                <w:b/>
                <w:spacing w:val="-2"/>
                <w:sz w:val="20"/>
              </w:rPr>
              <w:t>56668.58</w:t>
            </w:r>
          </w:p>
        </w:tc>
      </w:tr>
      <w:tr>
        <w:trPr>
          <w:trHeight w:val="1228" w:hRule="atLeast"/>
        </w:trPr>
        <w:tc>
          <w:tcPr>
            <w:tcW w:w="550" w:type="dxa"/>
          </w:tcPr>
          <w:p>
            <w:pPr>
              <w:pStyle w:val="TableParagraph"/>
              <w:spacing w:before="94"/>
              <w:ind w:left="107"/>
              <w:rPr>
                <w:sz w:val="20"/>
              </w:rPr>
            </w:pPr>
            <w:r>
              <w:rPr>
                <w:spacing w:val="-10"/>
                <w:sz w:val="20"/>
              </w:rPr>
              <w:t>2</w:t>
            </w:r>
          </w:p>
        </w:tc>
        <w:tc>
          <w:tcPr>
            <w:tcW w:w="1574" w:type="dxa"/>
          </w:tcPr>
          <w:p>
            <w:pPr>
              <w:pStyle w:val="TableParagraph"/>
              <w:spacing w:before="142"/>
              <w:rPr>
                <w:b/>
                <w:i/>
                <w:sz w:val="20"/>
              </w:rPr>
            </w:pPr>
          </w:p>
          <w:p>
            <w:pPr>
              <w:pStyle w:val="TableParagraph"/>
              <w:spacing w:before="1"/>
              <w:ind w:left="107" w:right="434"/>
              <w:rPr>
                <w:sz w:val="20"/>
              </w:rPr>
            </w:pPr>
            <w:r>
              <w:rPr>
                <w:spacing w:val="-2"/>
                <w:sz w:val="20"/>
              </w:rPr>
              <w:t>Secondary School</w:t>
            </w:r>
          </w:p>
        </w:tc>
        <w:tc>
          <w:tcPr>
            <w:tcW w:w="946" w:type="dxa"/>
          </w:tcPr>
          <w:p>
            <w:pPr>
              <w:pStyle w:val="TableParagraph"/>
              <w:rPr>
                <w:rFonts w:ascii="Times New Roman"/>
                <w:sz w:val="20"/>
              </w:rPr>
            </w:pPr>
          </w:p>
        </w:tc>
        <w:tc>
          <w:tcPr>
            <w:tcW w:w="720" w:type="dxa"/>
          </w:tcPr>
          <w:p>
            <w:pPr>
              <w:pStyle w:val="TableParagraph"/>
              <w:spacing w:before="142"/>
              <w:rPr>
                <w:b/>
                <w:i/>
                <w:sz w:val="20"/>
              </w:rPr>
            </w:pPr>
          </w:p>
          <w:p>
            <w:pPr>
              <w:pStyle w:val="TableParagraph"/>
              <w:spacing w:before="1"/>
              <w:ind w:left="108" w:right="310"/>
              <w:rPr>
                <w:sz w:val="20"/>
              </w:rPr>
            </w:pPr>
            <w:r>
              <w:rPr>
                <w:spacing w:val="-4"/>
                <w:sz w:val="20"/>
              </w:rPr>
              <w:t>sq. </w:t>
            </w:r>
            <w:r>
              <w:rPr>
                <w:spacing w:val="-10"/>
                <w:sz w:val="20"/>
              </w:rPr>
              <w:t>m</w:t>
            </w:r>
          </w:p>
        </w:tc>
        <w:tc>
          <w:tcPr>
            <w:tcW w:w="1080" w:type="dxa"/>
          </w:tcPr>
          <w:p>
            <w:pPr>
              <w:pStyle w:val="TableParagraph"/>
              <w:rPr>
                <w:b/>
                <w:i/>
                <w:sz w:val="20"/>
              </w:rPr>
            </w:pPr>
          </w:p>
          <w:p>
            <w:pPr>
              <w:pStyle w:val="TableParagraph"/>
              <w:spacing w:before="191"/>
              <w:rPr>
                <w:b/>
                <w:i/>
                <w:sz w:val="20"/>
              </w:rPr>
            </w:pPr>
          </w:p>
          <w:p>
            <w:pPr>
              <w:pStyle w:val="TableParagraph"/>
              <w:ind w:right="44"/>
              <w:jc w:val="center"/>
              <w:rPr>
                <w:sz w:val="20"/>
              </w:rPr>
            </w:pPr>
            <w:r>
              <w:rPr>
                <w:spacing w:val="-2"/>
                <w:sz w:val="20"/>
              </w:rPr>
              <w:t>6066.97</w:t>
            </w:r>
          </w:p>
        </w:tc>
        <w:tc>
          <w:tcPr>
            <w:tcW w:w="1080" w:type="dxa"/>
          </w:tcPr>
          <w:p>
            <w:pPr>
              <w:pStyle w:val="TableParagraph"/>
              <w:rPr>
                <w:b/>
                <w:i/>
                <w:sz w:val="20"/>
              </w:rPr>
            </w:pPr>
          </w:p>
          <w:p>
            <w:pPr>
              <w:pStyle w:val="TableParagraph"/>
              <w:spacing w:before="73"/>
              <w:rPr>
                <w:b/>
                <w:i/>
                <w:sz w:val="20"/>
              </w:rPr>
            </w:pPr>
          </w:p>
          <w:p>
            <w:pPr>
              <w:pStyle w:val="TableParagraph"/>
              <w:ind w:left="108"/>
              <w:rPr>
                <w:sz w:val="20"/>
              </w:rPr>
            </w:pPr>
            <w:r>
              <w:rPr>
                <w:spacing w:val="-2"/>
                <w:sz w:val="20"/>
              </w:rPr>
              <w:t>16433.8</w:t>
            </w:r>
          </w:p>
          <w:p>
            <w:pPr>
              <w:pStyle w:val="TableParagraph"/>
              <w:spacing w:before="1"/>
              <w:ind w:left="108"/>
              <w:rPr>
                <w:sz w:val="20"/>
              </w:rPr>
            </w:pPr>
            <w:r>
              <w:rPr>
                <w:spacing w:val="-10"/>
                <w:sz w:val="20"/>
              </w:rPr>
              <w:t>9</w:t>
            </w:r>
          </w:p>
        </w:tc>
        <w:tc>
          <w:tcPr>
            <w:tcW w:w="1080" w:type="dxa"/>
          </w:tcPr>
          <w:p>
            <w:pPr>
              <w:pStyle w:val="TableParagraph"/>
              <w:rPr>
                <w:b/>
                <w:i/>
                <w:sz w:val="20"/>
              </w:rPr>
            </w:pPr>
          </w:p>
          <w:p>
            <w:pPr>
              <w:pStyle w:val="TableParagraph"/>
              <w:spacing w:before="73"/>
              <w:rPr>
                <w:b/>
                <w:i/>
                <w:sz w:val="20"/>
              </w:rPr>
            </w:pPr>
          </w:p>
          <w:p>
            <w:pPr>
              <w:pStyle w:val="TableParagraph"/>
              <w:ind w:left="108"/>
              <w:rPr>
                <w:sz w:val="20"/>
              </w:rPr>
            </w:pPr>
            <w:r>
              <w:rPr>
                <w:spacing w:val="-2"/>
                <w:sz w:val="20"/>
              </w:rPr>
              <w:t>12650.5</w:t>
            </w:r>
          </w:p>
          <w:p>
            <w:pPr>
              <w:pStyle w:val="TableParagraph"/>
              <w:spacing w:before="1"/>
              <w:ind w:left="108"/>
              <w:rPr>
                <w:sz w:val="20"/>
              </w:rPr>
            </w:pPr>
            <w:r>
              <w:rPr>
                <w:spacing w:val="-10"/>
                <w:sz w:val="20"/>
              </w:rPr>
              <w:t>5</w:t>
            </w:r>
          </w:p>
        </w:tc>
        <w:tc>
          <w:tcPr>
            <w:tcW w:w="1025" w:type="dxa"/>
          </w:tcPr>
          <w:p>
            <w:pPr>
              <w:pStyle w:val="TableParagraph"/>
              <w:rPr>
                <w:b/>
                <w:i/>
                <w:sz w:val="20"/>
              </w:rPr>
            </w:pPr>
          </w:p>
          <w:p>
            <w:pPr>
              <w:pStyle w:val="TableParagraph"/>
              <w:spacing w:before="73"/>
              <w:rPr>
                <w:b/>
                <w:i/>
                <w:sz w:val="20"/>
              </w:rPr>
            </w:pPr>
          </w:p>
          <w:p>
            <w:pPr>
              <w:pStyle w:val="TableParagraph"/>
              <w:ind w:left="108"/>
              <w:rPr>
                <w:sz w:val="20"/>
              </w:rPr>
            </w:pPr>
            <w:r>
              <w:rPr>
                <w:spacing w:val="-2"/>
                <w:sz w:val="20"/>
              </w:rPr>
              <w:t>11517.</w:t>
            </w:r>
          </w:p>
          <w:p>
            <w:pPr>
              <w:pStyle w:val="TableParagraph"/>
              <w:spacing w:before="1"/>
              <w:ind w:left="108"/>
              <w:rPr>
                <w:sz w:val="20"/>
              </w:rPr>
            </w:pPr>
            <w:r>
              <w:rPr>
                <w:spacing w:val="-5"/>
                <w:sz w:val="20"/>
              </w:rPr>
              <w:t>18</w:t>
            </w:r>
          </w:p>
        </w:tc>
        <w:tc>
          <w:tcPr>
            <w:tcW w:w="1108" w:type="dxa"/>
          </w:tcPr>
          <w:p>
            <w:pPr>
              <w:pStyle w:val="TableParagraph"/>
              <w:spacing w:before="94"/>
              <w:ind w:left="109"/>
              <w:rPr>
                <w:sz w:val="20"/>
              </w:rPr>
            </w:pPr>
            <w:r>
              <w:rPr>
                <w:spacing w:val="-2"/>
                <w:sz w:val="20"/>
              </w:rPr>
              <w:t>10000.0</w:t>
            </w:r>
          </w:p>
          <w:p>
            <w:pPr>
              <w:pStyle w:val="TableParagraph"/>
              <w:spacing w:before="1"/>
              <w:ind w:left="109"/>
              <w:rPr>
                <w:sz w:val="20"/>
              </w:rPr>
            </w:pPr>
            <w:r>
              <w:rPr>
                <w:spacing w:val="-10"/>
                <w:sz w:val="20"/>
              </w:rPr>
              <w:t>0</w:t>
            </w:r>
          </w:p>
          <w:p>
            <w:pPr>
              <w:pStyle w:val="TableParagraph"/>
              <w:tabs>
                <w:tab w:pos="878" w:val="left" w:leader="none"/>
              </w:tabs>
              <w:spacing w:before="96"/>
              <w:ind w:left="109" w:right="93"/>
              <w:rPr>
                <w:sz w:val="20"/>
              </w:rPr>
            </w:pPr>
            <w:r>
              <w:rPr>
                <w:spacing w:val="-2"/>
                <w:sz w:val="20"/>
              </w:rPr>
              <w:t>(with</w:t>
            </w:r>
            <w:r>
              <w:rPr>
                <w:sz w:val="20"/>
              </w:rPr>
              <w:tab/>
            </w:r>
            <w:r>
              <w:rPr>
                <w:spacing w:val="-10"/>
                <w:sz w:val="20"/>
              </w:rPr>
              <w:t>2 </w:t>
            </w:r>
            <w:r>
              <w:rPr>
                <w:spacing w:val="-2"/>
                <w:sz w:val="20"/>
              </w:rPr>
              <w:t>colleges)</w:t>
            </w:r>
          </w:p>
        </w:tc>
        <w:tc>
          <w:tcPr>
            <w:tcW w:w="1223" w:type="dxa"/>
          </w:tcPr>
          <w:p>
            <w:pPr>
              <w:pStyle w:val="TableParagraph"/>
              <w:rPr>
                <w:b/>
                <w:i/>
                <w:sz w:val="20"/>
              </w:rPr>
            </w:pPr>
          </w:p>
          <w:p>
            <w:pPr>
              <w:pStyle w:val="TableParagraph"/>
              <w:spacing w:before="191"/>
              <w:rPr>
                <w:b/>
                <w:i/>
                <w:sz w:val="20"/>
              </w:rPr>
            </w:pPr>
          </w:p>
          <w:p>
            <w:pPr>
              <w:pStyle w:val="TableParagraph"/>
              <w:ind w:left="110"/>
              <w:rPr>
                <w:b/>
                <w:sz w:val="20"/>
              </w:rPr>
            </w:pPr>
            <w:r>
              <w:rPr>
                <w:b/>
                <w:spacing w:val="-2"/>
                <w:sz w:val="20"/>
              </w:rPr>
              <w:t>56668.58</w:t>
            </w:r>
          </w:p>
        </w:tc>
      </w:tr>
      <w:tr>
        <w:trPr>
          <w:trHeight w:val="1130" w:hRule="atLeast"/>
        </w:trPr>
        <w:tc>
          <w:tcPr>
            <w:tcW w:w="550" w:type="dxa"/>
          </w:tcPr>
          <w:p>
            <w:pPr>
              <w:pStyle w:val="TableParagraph"/>
              <w:spacing w:before="94"/>
              <w:ind w:left="107"/>
              <w:rPr>
                <w:sz w:val="20"/>
              </w:rPr>
            </w:pPr>
            <w:r>
              <w:rPr>
                <w:spacing w:val="-10"/>
                <w:sz w:val="20"/>
              </w:rPr>
              <w:t>3</w:t>
            </w:r>
          </w:p>
        </w:tc>
        <w:tc>
          <w:tcPr>
            <w:tcW w:w="1574" w:type="dxa"/>
          </w:tcPr>
          <w:p>
            <w:pPr>
              <w:pStyle w:val="TableParagraph"/>
              <w:spacing w:before="94"/>
              <w:ind w:left="107"/>
              <w:rPr>
                <w:sz w:val="20"/>
              </w:rPr>
            </w:pPr>
            <w:r>
              <w:rPr>
                <w:spacing w:val="-2"/>
                <w:sz w:val="20"/>
              </w:rPr>
              <w:t>Dispensary</w:t>
            </w:r>
          </w:p>
          <w:p>
            <w:pPr>
              <w:pStyle w:val="TableParagraph"/>
              <w:spacing w:before="1"/>
              <w:ind w:left="107"/>
              <w:rPr>
                <w:sz w:val="20"/>
              </w:rPr>
            </w:pPr>
            <w:r>
              <w:rPr>
                <w:color w:val="000000"/>
                <w:spacing w:val="-2"/>
                <w:sz w:val="20"/>
                <w:shd w:fill="FFCCFF" w:color="auto" w:val="clear"/>
              </w:rPr>
              <w:t>/&amp;</w:t>
            </w:r>
            <w:r>
              <w:rPr>
                <w:color w:val="000000"/>
                <w:spacing w:val="-2"/>
                <w:sz w:val="20"/>
              </w:rPr>
              <w:t>Maternity Homes</w:t>
            </w:r>
          </w:p>
          <w:p>
            <w:pPr>
              <w:pStyle w:val="TableParagraph"/>
              <w:spacing w:line="234" w:lineRule="exact"/>
              <w:ind w:left="107"/>
              <w:rPr>
                <w:sz w:val="20"/>
              </w:rPr>
            </w:pPr>
            <w:r>
              <w:rPr>
                <w:spacing w:val="-2"/>
                <w:sz w:val="20"/>
              </w:rPr>
              <w:t>/Polyclinics</w:t>
            </w:r>
          </w:p>
        </w:tc>
        <w:tc>
          <w:tcPr>
            <w:tcW w:w="946" w:type="dxa"/>
          </w:tcPr>
          <w:p>
            <w:pPr>
              <w:pStyle w:val="TableParagraph"/>
              <w:rPr>
                <w:rFonts w:ascii="Times New Roman"/>
                <w:sz w:val="20"/>
              </w:rPr>
            </w:pPr>
          </w:p>
        </w:tc>
        <w:tc>
          <w:tcPr>
            <w:tcW w:w="720" w:type="dxa"/>
          </w:tcPr>
          <w:p>
            <w:pPr>
              <w:pStyle w:val="TableParagraph"/>
              <w:spacing w:before="94"/>
              <w:rPr>
                <w:b/>
                <w:i/>
                <w:sz w:val="20"/>
              </w:rPr>
            </w:pPr>
          </w:p>
          <w:p>
            <w:pPr>
              <w:pStyle w:val="TableParagraph"/>
              <w:spacing w:before="1"/>
              <w:ind w:left="108" w:right="310"/>
              <w:rPr>
                <w:sz w:val="20"/>
              </w:rPr>
            </w:pPr>
            <w:r>
              <w:rPr>
                <w:spacing w:val="-4"/>
                <w:sz w:val="20"/>
              </w:rPr>
              <w:t>sq. </w:t>
            </w:r>
            <w:r>
              <w:rPr>
                <w:spacing w:val="-10"/>
                <w:sz w:val="20"/>
              </w:rPr>
              <w:t>m</w:t>
            </w:r>
          </w:p>
        </w:tc>
        <w:tc>
          <w:tcPr>
            <w:tcW w:w="1080" w:type="dxa"/>
          </w:tcPr>
          <w:p>
            <w:pPr>
              <w:pStyle w:val="TableParagraph"/>
              <w:rPr>
                <w:b/>
                <w:i/>
                <w:sz w:val="20"/>
              </w:rPr>
            </w:pPr>
          </w:p>
          <w:p>
            <w:pPr>
              <w:pStyle w:val="TableParagraph"/>
              <w:spacing w:before="140"/>
              <w:rPr>
                <w:b/>
                <w:i/>
                <w:sz w:val="20"/>
              </w:rPr>
            </w:pPr>
          </w:p>
          <w:p>
            <w:pPr>
              <w:pStyle w:val="TableParagraph"/>
              <w:spacing w:before="1"/>
              <w:ind w:right="44"/>
              <w:jc w:val="center"/>
              <w:rPr>
                <w:sz w:val="20"/>
              </w:rPr>
            </w:pPr>
            <w:r>
              <w:rPr>
                <w:spacing w:val="-2"/>
                <w:sz w:val="20"/>
              </w:rPr>
              <w:t>6272.00</w:t>
            </w:r>
          </w:p>
        </w:tc>
        <w:tc>
          <w:tcPr>
            <w:tcW w:w="1080" w:type="dxa"/>
          </w:tcPr>
          <w:p>
            <w:pPr>
              <w:pStyle w:val="TableParagraph"/>
              <w:rPr>
                <w:b/>
                <w:i/>
                <w:sz w:val="20"/>
              </w:rPr>
            </w:pPr>
          </w:p>
          <w:p>
            <w:pPr>
              <w:pStyle w:val="TableParagraph"/>
              <w:spacing w:before="25"/>
              <w:rPr>
                <w:b/>
                <w:i/>
                <w:sz w:val="20"/>
              </w:rPr>
            </w:pPr>
          </w:p>
          <w:p>
            <w:pPr>
              <w:pStyle w:val="TableParagraph"/>
              <w:spacing w:line="234" w:lineRule="exact"/>
              <w:ind w:left="108"/>
              <w:rPr>
                <w:sz w:val="20"/>
              </w:rPr>
            </w:pPr>
            <w:r>
              <w:rPr>
                <w:spacing w:val="-2"/>
                <w:sz w:val="20"/>
              </w:rPr>
              <w:t>11368.0</w:t>
            </w:r>
          </w:p>
          <w:p>
            <w:pPr>
              <w:pStyle w:val="TableParagraph"/>
              <w:spacing w:line="234" w:lineRule="exact"/>
              <w:ind w:left="108"/>
              <w:rPr>
                <w:sz w:val="20"/>
              </w:rPr>
            </w:pPr>
            <w:r>
              <w:rPr>
                <w:spacing w:val="-10"/>
                <w:sz w:val="20"/>
              </w:rPr>
              <w:t>0</w:t>
            </w:r>
          </w:p>
        </w:tc>
        <w:tc>
          <w:tcPr>
            <w:tcW w:w="1080" w:type="dxa"/>
          </w:tcPr>
          <w:p>
            <w:pPr>
              <w:pStyle w:val="TableParagraph"/>
              <w:rPr>
                <w:b/>
                <w:i/>
                <w:sz w:val="20"/>
              </w:rPr>
            </w:pPr>
          </w:p>
          <w:p>
            <w:pPr>
              <w:pStyle w:val="TableParagraph"/>
              <w:spacing w:before="140"/>
              <w:rPr>
                <w:b/>
                <w:i/>
                <w:sz w:val="20"/>
              </w:rPr>
            </w:pPr>
          </w:p>
          <w:p>
            <w:pPr>
              <w:pStyle w:val="TableParagraph"/>
              <w:spacing w:before="1"/>
              <w:ind w:left="1" w:right="44"/>
              <w:jc w:val="center"/>
              <w:rPr>
                <w:sz w:val="20"/>
              </w:rPr>
            </w:pPr>
            <w:r>
              <w:rPr>
                <w:spacing w:val="-2"/>
                <w:sz w:val="20"/>
              </w:rPr>
              <w:t>9408.00</w:t>
            </w:r>
          </w:p>
        </w:tc>
        <w:tc>
          <w:tcPr>
            <w:tcW w:w="1025" w:type="dxa"/>
          </w:tcPr>
          <w:p>
            <w:pPr>
              <w:pStyle w:val="TableParagraph"/>
              <w:rPr>
                <w:b/>
                <w:i/>
                <w:sz w:val="20"/>
              </w:rPr>
            </w:pPr>
          </w:p>
          <w:p>
            <w:pPr>
              <w:pStyle w:val="TableParagraph"/>
              <w:spacing w:before="25"/>
              <w:rPr>
                <w:b/>
                <w:i/>
                <w:sz w:val="20"/>
              </w:rPr>
            </w:pPr>
          </w:p>
          <w:p>
            <w:pPr>
              <w:pStyle w:val="TableParagraph"/>
              <w:spacing w:line="234" w:lineRule="exact"/>
              <w:ind w:left="108"/>
              <w:rPr>
                <w:sz w:val="20"/>
              </w:rPr>
            </w:pPr>
            <w:r>
              <w:rPr>
                <w:spacing w:val="-2"/>
                <w:sz w:val="20"/>
              </w:rPr>
              <w:t>8624.0</w:t>
            </w:r>
          </w:p>
          <w:p>
            <w:pPr>
              <w:pStyle w:val="TableParagraph"/>
              <w:spacing w:line="234" w:lineRule="exact"/>
              <w:ind w:left="108"/>
              <w:rPr>
                <w:sz w:val="20"/>
              </w:rPr>
            </w:pPr>
            <w:r>
              <w:rPr>
                <w:spacing w:val="-10"/>
                <w:sz w:val="20"/>
              </w:rPr>
              <w:t>0</w:t>
            </w:r>
          </w:p>
        </w:tc>
        <w:tc>
          <w:tcPr>
            <w:tcW w:w="1108" w:type="dxa"/>
          </w:tcPr>
          <w:p>
            <w:pPr>
              <w:pStyle w:val="TableParagraph"/>
              <w:rPr>
                <w:b/>
                <w:i/>
                <w:sz w:val="20"/>
              </w:rPr>
            </w:pPr>
          </w:p>
          <w:p>
            <w:pPr>
              <w:pStyle w:val="TableParagraph"/>
              <w:spacing w:before="140"/>
              <w:rPr>
                <w:b/>
                <w:i/>
                <w:sz w:val="20"/>
              </w:rPr>
            </w:pPr>
          </w:p>
          <w:p>
            <w:pPr>
              <w:pStyle w:val="TableParagraph"/>
              <w:spacing w:before="1"/>
              <w:ind w:left="109"/>
              <w:rPr>
                <w:sz w:val="20"/>
              </w:rPr>
            </w:pPr>
            <w:r>
              <w:rPr>
                <w:spacing w:val="-2"/>
                <w:sz w:val="20"/>
              </w:rPr>
              <w:t>3528.00</w:t>
            </w:r>
          </w:p>
        </w:tc>
        <w:tc>
          <w:tcPr>
            <w:tcW w:w="1223" w:type="dxa"/>
          </w:tcPr>
          <w:p>
            <w:pPr>
              <w:pStyle w:val="TableParagraph"/>
              <w:rPr>
                <w:b/>
                <w:i/>
                <w:sz w:val="20"/>
              </w:rPr>
            </w:pPr>
          </w:p>
          <w:p>
            <w:pPr>
              <w:pStyle w:val="TableParagraph"/>
              <w:spacing w:before="140"/>
              <w:rPr>
                <w:b/>
                <w:i/>
                <w:sz w:val="20"/>
              </w:rPr>
            </w:pPr>
          </w:p>
          <w:p>
            <w:pPr>
              <w:pStyle w:val="TableParagraph"/>
              <w:spacing w:before="1"/>
              <w:ind w:left="110"/>
              <w:rPr>
                <w:b/>
                <w:sz w:val="20"/>
              </w:rPr>
            </w:pPr>
            <w:r>
              <w:rPr>
                <w:b/>
                <w:spacing w:val="-2"/>
                <w:sz w:val="20"/>
              </w:rPr>
              <w:t>39200.00</w:t>
            </w:r>
          </w:p>
        </w:tc>
      </w:tr>
      <w:tr>
        <w:trPr>
          <w:trHeight w:val="1365" w:hRule="atLeast"/>
        </w:trPr>
        <w:tc>
          <w:tcPr>
            <w:tcW w:w="550" w:type="dxa"/>
          </w:tcPr>
          <w:p>
            <w:pPr>
              <w:pStyle w:val="TableParagraph"/>
              <w:spacing w:before="94"/>
              <w:ind w:left="107"/>
              <w:rPr>
                <w:sz w:val="20"/>
              </w:rPr>
            </w:pPr>
            <w:r>
              <w:rPr>
                <w:spacing w:val="-10"/>
                <w:sz w:val="20"/>
              </w:rPr>
              <w:t>4</w:t>
            </w:r>
          </w:p>
        </w:tc>
        <w:tc>
          <w:tcPr>
            <w:tcW w:w="1574" w:type="dxa"/>
          </w:tcPr>
          <w:p>
            <w:pPr>
              <w:pStyle w:val="TableParagraph"/>
              <w:tabs>
                <w:tab w:pos="1343" w:val="left" w:leader="none"/>
              </w:tabs>
              <w:spacing w:before="94"/>
              <w:ind w:left="107" w:right="99"/>
              <w:rPr>
                <w:sz w:val="20"/>
              </w:rPr>
            </w:pPr>
            <w:r>
              <w:rPr>
                <w:spacing w:val="-2"/>
                <w:sz w:val="20"/>
              </w:rPr>
              <w:t>Welfare Centres</w:t>
            </w:r>
            <w:r>
              <w:rPr>
                <w:sz w:val="20"/>
              </w:rPr>
              <w:tab/>
            </w:r>
            <w:r>
              <w:rPr>
                <w:spacing w:val="-10"/>
                <w:sz w:val="20"/>
              </w:rPr>
              <w:t>+</w:t>
            </w:r>
          </w:p>
          <w:p>
            <w:pPr>
              <w:pStyle w:val="TableParagraph"/>
              <w:tabs>
                <w:tab w:pos="1343" w:val="left" w:leader="none"/>
              </w:tabs>
              <w:spacing w:before="1"/>
              <w:ind w:left="107"/>
              <w:rPr>
                <w:sz w:val="20"/>
              </w:rPr>
            </w:pPr>
            <w:r>
              <w:rPr>
                <w:spacing w:val="-4"/>
                <w:sz w:val="20"/>
              </w:rPr>
              <w:t>Gysm</w:t>
            </w:r>
            <w:r>
              <w:rPr>
                <w:sz w:val="20"/>
              </w:rPr>
              <w:tab/>
            </w:r>
            <w:r>
              <w:rPr>
                <w:spacing w:val="-10"/>
                <w:sz w:val="20"/>
              </w:rPr>
              <w:t>+</w:t>
            </w:r>
          </w:p>
          <w:p>
            <w:pPr>
              <w:pStyle w:val="TableParagraph"/>
              <w:ind w:left="107"/>
              <w:rPr>
                <w:sz w:val="20"/>
              </w:rPr>
            </w:pPr>
            <w:r>
              <w:rPr>
                <w:spacing w:val="-2"/>
                <w:sz w:val="20"/>
              </w:rPr>
              <w:t>Community </w:t>
            </w:r>
            <w:r>
              <w:rPr>
                <w:spacing w:val="-4"/>
                <w:sz w:val="20"/>
              </w:rPr>
              <w:t>Hall</w:t>
            </w:r>
          </w:p>
        </w:tc>
        <w:tc>
          <w:tcPr>
            <w:tcW w:w="946" w:type="dxa"/>
          </w:tcPr>
          <w:p>
            <w:pPr>
              <w:pStyle w:val="TableParagraph"/>
              <w:rPr>
                <w:rFonts w:ascii="Times New Roman"/>
                <w:sz w:val="20"/>
              </w:rPr>
            </w:pPr>
          </w:p>
        </w:tc>
        <w:tc>
          <w:tcPr>
            <w:tcW w:w="720" w:type="dxa"/>
          </w:tcPr>
          <w:p>
            <w:pPr>
              <w:pStyle w:val="TableParagraph"/>
              <w:spacing w:before="212"/>
              <w:rPr>
                <w:b/>
                <w:i/>
                <w:sz w:val="20"/>
              </w:rPr>
            </w:pPr>
          </w:p>
          <w:p>
            <w:pPr>
              <w:pStyle w:val="TableParagraph"/>
              <w:ind w:left="108" w:right="310"/>
              <w:rPr>
                <w:sz w:val="20"/>
              </w:rPr>
            </w:pPr>
            <w:r>
              <w:rPr>
                <w:spacing w:val="-4"/>
                <w:sz w:val="20"/>
              </w:rPr>
              <w:t>sq. </w:t>
            </w:r>
            <w:r>
              <w:rPr>
                <w:spacing w:val="-10"/>
                <w:sz w:val="20"/>
              </w:rPr>
              <w:t>m</w:t>
            </w:r>
          </w:p>
        </w:tc>
        <w:tc>
          <w:tcPr>
            <w:tcW w:w="1080" w:type="dxa"/>
          </w:tcPr>
          <w:p>
            <w:pPr>
              <w:pStyle w:val="TableParagraph"/>
              <w:rPr>
                <w:b/>
                <w:i/>
                <w:sz w:val="20"/>
              </w:rPr>
            </w:pPr>
          </w:p>
          <w:p>
            <w:pPr>
              <w:pStyle w:val="TableParagraph"/>
              <w:rPr>
                <w:b/>
                <w:i/>
                <w:sz w:val="20"/>
              </w:rPr>
            </w:pPr>
          </w:p>
          <w:p>
            <w:pPr>
              <w:pStyle w:val="TableParagraph"/>
              <w:spacing w:before="26"/>
              <w:rPr>
                <w:b/>
                <w:i/>
                <w:sz w:val="20"/>
              </w:rPr>
            </w:pPr>
          </w:p>
          <w:p>
            <w:pPr>
              <w:pStyle w:val="TableParagraph"/>
              <w:ind w:right="169"/>
              <w:jc w:val="center"/>
              <w:rPr>
                <w:sz w:val="20"/>
              </w:rPr>
            </w:pPr>
            <w:r>
              <w:rPr>
                <w:spacing w:val="-2"/>
                <w:sz w:val="20"/>
              </w:rPr>
              <w:t>200.00</w:t>
            </w:r>
          </w:p>
        </w:tc>
        <w:tc>
          <w:tcPr>
            <w:tcW w:w="1080" w:type="dxa"/>
          </w:tcPr>
          <w:p>
            <w:pPr>
              <w:pStyle w:val="TableParagraph"/>
              <w:rPr>
                <w:b/>
                <w:i/>
                <w:sz w:val="20"/>
              </w:rPr>
            </w:pPr>
          </w:p>
          <w:p>
            <w:pPr>
              <w:pStyle w:val="TableParagraph"/>
              <w:rPr>
                <w:b/>
                <w:i/>
                <w:sz w:val="20"/>
              </w:rPr>
            </w:pPr>
          </w:p>
          <w:p>
            <w:pPr>
              <w:pStyle w:val="TableParagraph"/>
              <w:spacing w:before="26"/>
              <w:rPr>
                <w:b/>
                <w:i/>
                <w:sz w:val="20"/>
              </w:rPr>
            </w:pPr>
          </w:p>
          <w:p>
            <w:pPr>
              <w:pStyle w:val="TableParagraph"/>
              <w:ind w:left="108"/>
              <w:rPr>
                <w:sz w:val="20"/>
              </w:rPr>
            </w:pPr>
            <w:r>
              <w:rPr>
                <w:spacing w:val="-2"/>
                <w:sz w:val="20"/>
              </w:rPr>
              <w:t>200.00</w:t>
            </w:r>
          </w:p>
        </w:tc>
        <w:tc>
          <w:tcPr>
            <w:tcW w:w="1080" w:type="dxa"/>
          </w:tcPr>
          <w:p>
            <w:pPr>
              <w:pStyle w:val="TableParagraph"/>
              <w:rPr>
                <w:b/>
                <w:i/>
                <w:sz w:val="20"/>
              </w:rPr>
            </w:pPr>
          </w:p>
          <w:p>
            <w:pPr>
              <w:pStyle w:val="TableParagraph"/>
              <w:rPr>
                <w:b/>
                <w:i/>
                <w:sz w:val="20"/>
              </w:rPr>
            </w:pPr>
          </w:p>
          <w:p>
            <w:pPr>
              <w:pStyle w:val="TableParagraph"/>
              <w:spacing w:before="26"/>
              <w:rPr>
                <w:b/>
                <w:i/>
                <w:sz w:val="20"/>
              </w:rPr>
            </w:pPr>
          </w:p>
          <w:p>
            <w:pPr>
              <w:pStyle w:val="TableParagraph"/>
              <w:ind w:left="1" w:right="169"/>
              <w:jc w:val="center"/>
              <w:rPr>
                <w:sz w:val="20"/>
              </w:rPr>
            </w:pPr>
            <w:r>
              <w:rPr>
                <w:spacing w:val="-2"/>
                <w:sz w:val="20"/>
              </w:rPr>
              <w:t>200.00</w:t>
            </w:r>
          </w:p>
        </w:tc>
        <w:tc>
          <w:tcPr>
            <w:tcW w:w="1025" w:type="dxa"/>
          </w:tcPr>
          <w:p>
            <w:pPr>
              <w:pStyle w:val="TableParagraph"/>
              <w:rPr>
                <w:b/>
                <w:i/>
                <w:sz w:val="20"/>
              </w:rPr>
            </w:pPr>
          </w:p>
          <w:p>
            <w:pPr>
              <w:pStyle w:val="TableParagraph"/>
              <w:rPr>
                <w:b/>
                <w:i/>
                <w:sz w:val="20"/>
              </w:rPr>
            </w:pPr>
          </w:p>
          <w:p>
            <w:pPr>
              <w:pStyle w:val="TableParagraph"/>
              <w:spacing w:before="26"/>
              <w:rPr>
                <w:b/>
                <w:i/>
                <w:sz w:val="20"/>
              </w:rPr>
            </w:pPr>
          </w:p>
          <w:p>
            <w:pPr>
              <w:pStyle w:val="TableParagraph"/>
              <w:ind w:left="108"/>
              <w:rPr>
                <w:sz w:val="20"/>
              </w:rPr>
            </w:pPr>
            <w:r>
              <w:rPr>
                <w:spacing w:val="-2"/>
                <w:sz w:val="20"/>
              </w:rPr>
              <w:t>200.00</w:t>
            </w:r>
          </w:p>
        </w:tc>
        <w:tc>
          <w:tcPr>
            <w:tcW w:w="1108" w:type="dxa"/>
          </w:tcPr>
          <w:p>
            <w:pPr>
              <w:pStyle w:val="TableParagraph"/>
              <w:rPr>
                <w:b/>
                <w:i/>
                <w:sz w:val="20"/>
              </w:rPr>
            </w:pPr>
          </w:p>
          <w:p>
            <w:pPr>
              <w:pStyle w:val="TableParagraph"/>
              <w:rPr>
                <w:b/>
                <w:i/>
                <w:sz w:val="20"/>
              </w:rPr>
            </w:pPr>
          </w:p>
          <w:p>
            <w:pPr>
              <w:pStyle w:val="TableParagraph"/>
              <w:spacing w:before="26"/>
              <w:rPr>
                <w:b/>
                <w:i/>
                <w:sz w:val="20"/>
              </w:rPr>
            </w:pPr>
          </w:p>
          <w:p>
            <w:pPr>
              <w:pStyle w:val="TableParagraph"/>
              <w:ind w:left="109"/>
              <w:rPr>
                <w:sz w:val="20"/>
              </w:rPr>
            </w:pPr>
            <w:r>
              <w:rPr>
                <w:spacing w:val="-2"/>
                <w:sz w:val="20"/>
              </w:rPr>
              <w:t>200.00</w:t>
            </w:r>
          </w:p>
        </w:tc>
        <w:tc>
          <w:tcPr>
            <w:tcW w:w="1223" w:type="dxa"/>
          </w:tcPr>
          <w:p>
            <w:pPr>
              <w:pStyle w:val="TableParagraph"/>
              <w:rPr>
                <w:b/>
                <w:i/>
                <w:sz w:val="20"/>
              </w:rPr>
            </w:pPr>
          </w:p>
          <w:p>
            <w:pPr>
              <w:pStyle w:val="TableParagraph"/>
              <w:rPr>
                <w:b/>
                <w:i/>
                <w:sz w:val="20"/>
              </w:rPr>
            </w:pPr>
          </w:p>
          <w:p>
            <w:pPr>
              <w:pStyle w:val="TableParagraph"/>
              <w:spacing w:before="26"/>
              <w:rPr>
                <w:b/>
                <w:i/>
                <w:sz w:val="20"/>
              </w:rPr>
            </w:pPr>
          </w:p>
          <w:p>
            <w:pPr>
              <w:pStyle w:val="TableParagraph"/>
              <w:ind w:left="110"/>
              <w:rPr>
                <w:b/>
                <w:sz w:val="20"/>
              </w:rPr>
            </w:pPr>
            <w:r>
              <w:rPr>
                <w:b/>
                <w:spacing w:val="-2"/>
                <w:sz w:val="20"/>
              </w:rPr>
              <w:t>1000.00</w:t>
            </w:r>
          </w:p>
        </w:tc>
      </w:tr>
      <w:tr>
        <w:trPr>
          <w:trHeight w:val="661" w:hRule="atLeast"/>
        </w:trPr>
        <w:tc>
          <w:tcPr>
            <w:tcW w:w="550" w:type="dxa"/>
          </w:tcPr>
          <w:p>
            <w:pPr>
              <w:pStyle w:val="TableParagraph"/>
              <w:spacing w:before="94"/>
              <w:ind w:left="107"/>
              <w:rPr>
                <w:sz w:val="20"/>
              </w:rPr>
            </w:pPr>
            <w:r>
              <w:rPr>
                <w:spacing w:val="-10"/>
                <w:sz w:val="20"/>
              </w:rPr>
              <w:t>5</w:t>
            </w:r>
          </w:p>
        </w:tc>
        <w:tc>
          <w:tcPr>
            <w:tcW w:w="1574" w:type="dxa"/>
          </w:tcPr>
          <w:p>
            <w:pPr>
              <w:pStyle w:val="TableParagraph"/>
              <w:spacing w:before="212"/>
              <w:ind w:left="107"/>
              <w:rPr>
                <w:sz w:val="20"/>
              </w:rPr>
            </w:pPr>
            <w:r>
              <w:rPr>
                <w:spacing w:val="-2"/>
                <w:sz w:val="20"/>
              </w:rPr>
              <w:t>Library</w:t>
            </w:r>
          </w:p>
        </w:tc>
        <w:tc>
          <w:tcPr>
            <w:tcW w:w="946" w:type="dxa"/>
          </w:tcPr>
          <w:p>
            <w:pPr>
              <w:pStyle w:val="TableParagraph"/>
              <w:rPr>
                <w:rFonts w:ascii="Times New Roman"/>
                <w:sz w:val="20"/>
              </w:rPr>
            </w:pPr>
          </w:p>
        </w:tc>
        <w:tc>
          <w:tcPr>
            <w:tcW w:w="720" w:type="dxa"/>
          </w:tcPr>
          <w:p>
            <w:pPr>
              <w:pStyle w:val="TableParagraph"/>
              <w:spacing w:before="94"/>
              <w:ind w:left="108" w:right="310"/>
              <w:rPr>
                <w:sz w:val="20"/>
              </w:rPr>
            </w:pPr>
            <w:r>
              <w:rPr>
                <w:spacing w:val="-4"/>
                <w:sz w:val="20"/>
              </w:rPr>
              <w:t>sq. </w:t>
            </w:r>
            <w:r>
              <w:rPr>
                <w:spacing w:val="-10"/>
                <w:sz w:val="20"/>
              </w:rPr>
              <w:t>m</w:t>
            </w:r>
          </w:p>
        </w:tc>
        <w:tc>
          <w:tcPr>
            <w:tcW w:w="1080" w:type="dxa"/>
          </w:tcPr>
          <w:p>
            <w:pPr>
              <w:pStyle w:val="TableParagraph"/>
              <w:spacing w:before="212"/>
              <w:ind w:right="169"/>
              <w:jc w:val="center"/>
              <w:rPr>
                <w:sz w:val="20"/>
              </w:rPr>
            </w:pPr>
            <w:r>
              <w:rPr>
                <w:spacing w:val="-2"/>
                <w:sz w:val="20"/>
              </w:rPr>
              <w:t>200.00</w:t>
            </w:r>
          </w:p>
        </w:tc>
        <w:tc>
          <w:tcPr>
            <w:tcW w:w="1080" w:type="dxa"/>
          </w:tcPr>
          <w:p>
            <w:pPr>
              <w:pStyle w:val="TableParagraph"/>
              <w:spacing w:before="212"/>
              <w:ind w:left="108"/>
              <w:rPr>
                <w:sz w:val="20"/>
              </w:rPr>
            </w:pPr>
            <w:r>
              <w:rPr>
                <w:spacing w:val="-2"/>
                <w:sz w:val="20"/>
              </w:rPr>
              <w:t>200.00</w:t>
            </w:r>
          </w:p>
        </w:tc>
        <w:tc>
          <w:tcPr>
            <w:tcW w:w="1080" w:type="dxa"/>
          </w:tcPr>
          <w:p>
            <w:pPr>
              <w:pStyle w:val="TableParagraph"/>
              <w:spacing w:before="212"/>
              <w:ind w:left="1" w:right="169"/>
              <w:jc w:val="center"/>
              <w:rPr>
                <w:sz w:val="20"/>
              </w:rPr>
            </w:pPr>
            <w:r>
              <w:rPr>
                <w:spacing w:val="-2"/>
                <w:sz w:val="20"/>
              </w:rPr>
              <w:t>200.00</w:t>
            </w:r>
          </w:p>
        </w:tc>
        <w:tc>
          <w:tcPr>
            <w:tcW w:w="1025" w:type="dxa"/>
          </w:tcPr>
          <w:p>
            <w:pPr>
              <w:pStyle w:val="TableParagraph"/>
              <w:spacing w:before="212"/>
              <w:ind w:left="108"/>
              <w:rPr>
                <w:sz w:val="20"/>
              </w:rPr>
            </w:pPr>
            <w:r>
              <w:rPr>
                <w:spacing w:val="-2"/>
                <w:sz w:val="20"/>
              </w:rPr>
              <w:t>200.00</w:t>
            </w:r>
          </w:p>
        </w:tc>
        <w:tc>
          <w:tcPr>
            <w:tcW w:w="1108" w:type="dxa"/>
          </w:tcPr>
          <w:p>
            <w:pPr>
              <w:pStyle w:val="TableParagraph"/>
              <w:spacing w:before="212"/>
              <w:ind w:left="109"/>
              <w:rPr>
                <w:sz w:val="20"/>
              </w:rPr>
            </w:pPr>
            <w:r>
              <w:rPr>
                <w:spacing w:val="-2"/>
                <w:sz w:val="20"/>
              </w:rPr>
              <w:t>200.00</w:t>
            </w:r>
          </w:p>
        </w:tc>
        <w:tc>
          <w:tcPr>
            <w:tcW w:w="1223" w:type="dxa"/>
          </w:tcPr>
          <w:p>
            <w:pPr>
              <w:pStyle w:val="TableParagraph"/>
              <w:spacing w:before="212"/>
              <w:ind w:left="110"/>
              <w:rPr>
                <w:b/>
                <w:sz w:val="20"/>
              </w:rPr>
            </w:pPr>
            <w:r>
              <w:rPr>
                <w:b/>
                <w:spacing w:val="-2"/>
                <w:sz w:val="20"/>
              </w:rPr>
              <w:t>1000.00</w:t>
            </w:r>
          </w:p>
        </w:tc>
      </w:tr>
    </w:tbl>
    <w:p>
      <w:pPr>
        <w:pStyle w:val="TableParagraph"/>
        <w:spacing w:after="0"/>
        <w:rPr>
          <w:b/>
          <w:sz w:val="20"/>
        </w:rPr>
        <w:sectPr>
          <w:pgSz w:w="11910" w:h="16840"/>
          <w:pgMar w:header="1065" w:footer="1194" w:top="1500" w:bottom="1380" w:left="360" w:right="360"/>
        </w:sectPr>
      </w:pPr>
    </w:p>
    <w:p>
      <w:pPr>
        <w:pStyle w:val="BodyText"/>
        <w:spacing w:before="14" w:after="1"/>
        <w:jc w:val="left"/>
        <w:rPr>
          <w:b/>
          <w:i/>
          <w:sz w:val="20"/>
        </w:rPr>
      </w:pPr>
    </w:p>
    <w:tbl>
      <w:tblPr>
        <w:tblW w:w="0" w:type="auto"/>
        <w:jc w:val="left"/>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0"/>
        <w:gridCol w:w="1574"/>
        <w:gridCol w:w="946"/>
        <w:gridCol w:w="720"/>
        <w:gridCol w:w="1080"/>
        <w:gridCol w:w="1080"/>
        <w:gridCol w:w="1080"/>
        <w:gridCol w:w="1025"/>
        <w:gridCol w:w="1108"/>
        <w:gridCol w:w="1223"/>
      </w:tblGrid>
      <w:tr>
        <w:trPr>
          <w:trHeight w:val="897" w:hRule="atLeast"/>
        </w:trPr>
        <w:tc>
          <w:tcPr>
            <w:tcW w:w="550" w:type="dxa"/>
          </w:tcPr>
          <w:p>
            <w:pPr>
              <w:pStyle w:val="TableParagraph"/>
              <w:spacing w:before="97"/>
              <w:ind w:left="107" w:right="133"/>
              <w:rPr>
                <w:b/>
                <w:sz w:val="20"/>
              </w:rPr>
            </w:pPr>
            <w:r>
              <w:rPr>
                <w:b/>
                <w:spacing w:val="-4"/>
                <w:sz w:val="20"/>
              </w:rPr>
              <w:t>Sr. </w:t>
            </w:r>
            <w:r>
              <w:rPr>
                <w:b/>
                <w:spacing w:val="-5"/>
                <w:sz w:val="20"/>
              </w:rPr>
              <w:t>No</w:t>
            </w:r>
          </w:p>
          <w:p>
            <w:pPr>
              <w:pStyle w:val="TableParagraph"/>
              <w:spacing w:line="233" w:lineRule="exact"/>
              <w:ind w:left="107"/>
              <w:rPr>
                <w:b/>
                <w:sz w:val="20"/>
              </w:rPr>
            </w:pPr>
            <w:r>
              <w:rPr>
                <w:b/>
                <w:spacing w:val="-10"/>
                <w:sz w:val="20"/>
              </w:rPr>
              <w:t>.</w:t>
            </w:r>
          </w:p>
        </w:tc>
        <w:tc>
          <w:tcPr>
            <w:tcW w:w="1574" w:type="dxa"/>
          </w:tcPr>
          <w:p>
            <w:pPr>
              <w:pStyle w:val="TableParagraph"/>
              <w:tabs>
                <w:tab w:pos="1120" w:val="left" w:leader="none"/>
              </w:tabs>
              <w:spacing w:before="97"/>
              <w:ind w:left="107" w:right="98"/>
              <w:rPr>
                <w:b/>
                <w:sz w:val="20"/>
              </w:rPr>
            </w:pPr>
            <w:r>
              <w:rPr>
                <w:b/>
                <w:spacing w:val="-2"/>
                <w:sz w:val="20"/>
              </w:rPr>
              <w:t>Description </w:t>
            </w:r>
            <w:r>
              <w:rPr>
                <w:b/>
                <w:spacing w:val="-6"/>
                <w:sz w:val="20"/>
              </w:rPr>
              <w:t>of</w:t>
            </w:r>
            <w:r>
              <w:rPr>
                <w:b/>
                <w:sz w:val="20"/>
              </w:rPr>
              <w:tab/>
            </w:r>
            <w:r>
              <w:rPr>
                <w:b/>
                <w:spacing w:val="-4"/>
                <w:sz w:val="20"/>
              </w:rPr>
              <w:t>the</w:t>
            </w:r>
          </w:p>
          <w:p>
            <w:pPr>
              <w:pStyle w:val="TableParagraph"/>
              <w:spacing w:line="233" w:lineRule="exact"/>
              <w:ind w:left="107"/>
              <w:rPr>
                <w:b/>
                <w:sz w:val="20"/>
              </w:rPr>
            </w:pPr>
            <w:r>
              <w:rPr>
                <w:b/>
                <w:spacing w:val="-2"/>
                <w:sz w:val="20"/>
              </w:rPr>
              <w:t>Amenity</w:t>
            </w:r>
          </w:p>
        </w:tc>
        <w:tc>
          <w:tcPr>
            <w:tcW w:w="946" w:type="dxa"/>
          </w:tcPr>
          <w:p>
            <w:pPr>
              <w:pStyle w:val="TableParagraph"/>
              <w:spacing w:before="215"/>
              <w:ind w:left="108" w:right="205"/>
              <w:rPr>
                <w:b/>
                <w:sz w:val="20"/>
              </w:rPr>
            </w:pPr>
            <w:r>
              <w:rPr>
                <w:b/>
                <w:spacing w:val="-2"/>
                <w:sz w:val="20"/>
              </w:rPr>
              <w:t>Legen </w:t>
            </w:r>
            <w:r>
              <w:rPr>
                <w:b/>
                <w:spacing w:val="-6"/>
                <w:sz w:val="20"/>
              </w:rPr>
              <w:t>ds</w:t>
            </w:r>
          </w:p>
        </w:tc>
        <w:tc>
          <w:tcPr>
            <w:tcW w:w="720" w:type="dxa"/>
          </w:tcPr>
          <w:p>
            <w:pPr>
              <w:pStyle w:val="TableParagraph"/>
              <w:spacing w:before="215"/>
              <w:ind w:left="108" w:right="150"/>
              <w:rPr>
                <w:b/>
                <w:sz w:val="20"/>
              </w:rPr>
            </w:pPr>
            <w:r>
              <w:rPr>
                <w:b/>
                <w:spacing w:val="-4"/>
                <w:sz w:val="20"/>
              </w:rPr>
              <w:t>Unit </w:t>
            </w:r>
            <w:r>
              <w:rPr>
                <w:b/>
                <w:spacing w:val="-10"/>
                <w:sz w:val="20"/>
              </w:rPr>
              <w:t>s</w:t>
            </w:r>
          </w:p>
        </w:tc>
        <w:tc>
          <w:tcPr>
            <w:tcW w:w="6596" w:type="dxa"/>
            <w:gridSpan w:val="6"/>
          </w:tcPr>
          <w:p>
            <w:pPr>
              <w:pStyle w:val="TableParagraph"/>
              <w:spacing w:before="95"/>
              <w:rPr>
                <w:b/>
                <w:i/>
                <w:sz w:val="20"/>
              </w:rPr>
            </w:pPr>
          </w:p>
          <w:p>
            <w:pPr>
              <w:pStyle w:val="TableParagraph"/>
              <w:ind w:left="175"/>
              <w:rPr>
                <w:b/>
                <w:sz w:val="20"/>
              </w:rPr>
            </w:pPr>
            <w:r>
              <w:rPr>
                <w:b/>
                <w:sz w:val="20"/>
              </w:rPr>
              <w:t>amenities</w:t>
            </w:r>
            <w:r>
              <w:rPr>
                <w:b/>
                <w:spacing w:val="-6"/>
                <w:sz w:val="20"/>
              </w:rPr>
              <w:t> </w:t>
            </w:r>
            <w:r>
              <w:rPr>
                <w:b/>
                <w:sz w:val="20"/>
              </w:rPr>
              <w:t>&amp;</w:t>
            </w:r>
            <w:r>
              <w:rPr>
                <w:b/>
                <w:spacing w:val="-8"/>
                <w:sz w:val="20"/>
              </w:rPr>
              <w:t> </w:t>
            </w:r>
            <w:r>
              <w:rPr>
                <w:b/>
                <w:sz w:val="20"/>
              </w:rPr>
              <w:t>facilities</w:t>
            </w:r>
            <w:r>
              <w:rPr>
                <w:b/>
                <w:spacing w:val="-6"/>
                <w:sz w:val="20"/>
              </w:rPr>
              <w:t> </w:t>
            </w:r>
            <w:r>
              <w:rPr>
                <w:b/>
                <w:sz w:val="20"/>
              </w:rPr>
              <w:t>to</w:t>
            </w:r>
            <w:r>
              <w:rPr>
                <w:b/>
                <w:spacing w:val="-8"/>
                <w:sz w:val="20"/>
              </w:rPr>
              <w:t> </w:t>
            </w:r>
            <w:r>
              <w:rPr>
                <w:b/>
                <w:sz w:val="20"/>
              </w:rPr>
              <w:t>be</w:t>
            </w:r>
            <w:r>
              <w:rPr>
                <w:b/>
                <w:spacing w:val="-5"/>
                <w:sz w:val="20"/>
              </w:rPr>
              <w:t> </w:t>
            </w:r>
            <w:r>
              <w:rPr>
                <w:b/>
                <w:sz w:val="20"/>
              </w:rPr>
              <w:t>provided</w:t>
            </w:r>
            <w:r>
              <w:rPr>
                <w:b/>
                <w:spacing w:val="-6"/>
                <w:sz w:val="20"/>
              </w:rPr>
              <w:t> </w:t>
            </w:r>
            <w:r>
              <w:rPr>
                <w:b/>
                <w:sz w:val="20"/>
              </w:rPr>
              <w:t>under</w:t>
            </w:r>
            <w:r>
              <w:rPr>
                <w:b/>
                <w:spacing w:val="-8"/>
                <w:sz w:val="20"/>
              </w:rPr>
              <w:t> </w:t>
            </w:r>
            <w:r>
              <w:rPr>
                <w:b/>
                <w:spacing w:val="-5"/>
                <w:sz w:val="20"/>
              </w:rPr>
              <w:t>DRP</w:t>
            </w:r>
          </w:p>
        </w:tc>
      </w:tr>
      <w:tr>
        <w:trPr>
          <w:trHeight w:val="662" w:hRule="atLeast"/>
        </w:trPr>
        <w:tc>
          <w:tcPr>
            <w:tcW w:w="550" w:type="dxa"/>
          </w:tcPr>
          <w:p>
            <w:pPr>
              <w:pStyle w:val="TableParagraph"/>
              <w:rPr>
                <w:rFonts w:ascii="Times New Roman"/>
                <w:sz w:val="18"/>
              </w:rPr>
            </w:pPr>
          </w:p>
        </w:tc>
        <w:tc>
          <w:tcPr>
            <w:tcW w:w="1574" w:type="dxa"/>
          </w:tcPr>
          <w:p>
            <w:pPr>
              <w:pStyle w:val="TableParagraph"/>
              <w:rPr>
                <w:rFonts w:ascii="Times New Roman"/>
                <w:sz w:val="18"/>
              </w:rPr>
            </w:pPr>
          </w:p>
        </w:tc>
        <w:tc>
          <w:tcPr>
            <w:tcW w:w="946" w:type="dxa"/>
          </w:tcPr>
          <w:p>
            <w:pPr>
              <w:pStyle w:val="TableParagraph"/>
              <w:rPr>
                <w:rFonts w:ascii="Times New Roman"/>
                <w:sz w:val="18"/>
              </w:rPr>
            </w:pPr>
          </w:p>
        </w:tc>
        <w:tc>
          <w:tcPr>
            <w:tcW w:w="720" w:type="dxa"/>
          </w:tcPr>
          <w:p>
            <w:pPr>
              <w:pStyle w:val="TableParagraph"/>
              <w:rPr>
                <w:rFonts w:ascii="Times New Roman"/>
                <w:sz w:val="18"/>
              </w:rPr>
            </w:pPr>
          </w:p>
        </w:tc>
        <w:tc>
          <w:tcPr>
            <w:tcW w:w="1080" w:type="dxa"/>
          </w:tcPr>
          <w:p>
            <w:pPr>
              <w:pStyle w:val="TableParagraph"/>
              <w:spacing w:before="212"/>
              <w:ind w:left="108"/>
              <w:rPr>
                <w:b/>
                <w:sz w:val="20"/>
              </w:rPr>
            </w:pPr>
            <w:r>
              <w:rPr>
                <w:b/>
                <w:sz w:val="20"/>
              </w:rPr>
              <w:t>Sector</w:t>
            </w:r>
            <w:r>
              <w:rPr>
                <w:b/>
                <w:spacing w:val="-8"/>
                <w:sz w:val="20"/>
              </w:rPr>
              <w:t> </w:t>
            </w:r>
            <w:r>
              <w:rPr>
                <w:b/>
                <w:spacing w:val="-10"/>
                <w:sz w:val="20"/>
              </w:rPr>
              <w:t>I</w:t>
            </w:r>
          </w:p>
        </w:tc>
        <w:tc>
          <w:tcPr>
            <w:tcW w:w="1080" w:type="dxa"/>
          </w:tcPr>
          <w:p>
            <w:pPr>
              <w:pStyle w:val="TableParagraph"/>
              <w:spacing w:before="94"/>
              <w:ind w:left="108" w:right="281"/>
              <w:rPr>
                <w:b/>
                <w:sz w:val="20"/>
              </w:rPr>
            </w:pPr>
            <w:r>
              <w:rPr>
                <w:b/>
                <w:spacing w:val="-2"/>
                <w:sz w:val="20"/>
              </w:rPr>
              <w:t>Sector </w:t>
            </w:r>
            <w:r>
              <w:rPr>
                <w:b/>
                <w:spacing w:val="-6"/>
                <w:sz w:val="20"/>
              </w:rPr>
              <w:t>II</w:t>
            </w:r>
          </w:p>
        </w:tc>
        <w:tc>
          <w:tcPr>
            <w:tcW w:w="1080" w:type="dxa"/>
          </w:tcPr>
          <w:p>
            <w:pPr>
              <w:pStyle w:val="TableParagraph"/>
              <w:spacing w:before="94"/>
              <w:ind w:left="108" w:right="281"/>
              <w:rPr>
                <w:b/>
                <w:sz w:val="20"/>
              </w:rPr>
            </w:pPr>
            <w:r>
              <w:rPr>
                <w:b/>
                <w:spacing w:val="-2"/>
                <w:sz w:val="20"/>
              </w:rPr>
              <w:t>Sector </w:t>
            </w:r>
            <w:r>
              <w:rPr>
                <w:b/>
                <w:spacing w:val="-4"/>
                <w:sz w:val="20"/>
              </w:rPr>
              <w:t>III</w:t>
            </w:r>
          </w:p>
        </w:tc>
        <w:tc>
          <w:tcPr>
            <w:tcW w:w="1025" w:type="dxa"/>
          </w:tcPr>
          <w:p>
            <w:pPr>
              <w:pStyle w:val="TableParagraph"/>
              <w:spacing w:before="94"/>
              <w:ind w:left="108" w:right="226"/>
              <w:rPr>
                <w:b/>
                <w:sz w:val="20"/>
              </w:rPr>
            </w:pPr>
            <w:r>
              <w:rPr>
                <w:b/>
                <w:spacing w:val="-2"/>
                <w:sz w:val="20"/>
              </w:rPr>
              <w:t>Sector </w:t>
            </w:r>
            <w:r>
              <w:rPr>
                <w:b/>
                <w:spacing w:val="-6"/>
                <w:sz w:val="20"/>
              </w:rPr>
              <w:t>IV</w:t>
            </w:r>
          </w:p>
        </w:tc>
        <w:tc>
          <w:tcPr>
            <w:tcW w:w="1108" w:type="dxa"/>
          </w:tcPr>
          <w:p>
            <w:pPr>
              <w:pStyle w:val="TableParagraph"/>
              <w:spacing w:before="212"/>
              <w:ind w:left="109"/>
              <w:rPr>
                <w:b/>
                <w:sz w:val="20"/>
              </w:rPr>
            </w:pPr>
            <w:r>
              <w:rPr>
                <w:b/>
                <w:sz w:val="20"/>
              </w:rPr>
              <w:t>Sector</w:t>
            </w:r>
            <w:r>
              <w:rPr>
                <w:b/>
                <w:spacing w:val="-10"/>
                <w:sz w:val="20"/>
              </w:rPr>
              <w:t> V</w:t>
            </w:r>
          </w:p>
        </w:tc>
        <w:tc>
          <w:tcPr>
            <w:tcW w:w="1223" w:type="dxa"/>
          </w:tcPr>
          <w:p>
            <w:pPr>
              <w:pStyle w:val="TableParagraph"/>
              <w:spacing w:before="94"/>
              <w:ind w:left="110" w:right="20"/>
              <w:rPr>
                <w:b/>
                <w:sz w:val="20"/>
              </w:rPr>
            </w:pPr>
            <w:r>
              <w:rPr>
                <w:b/>
                <w:sz w:val="20"/>
              </w:rPr>
              <w:t>Total</w:t>
            </w:r>
            <w:r>
              <w:rPr>
                <w:b/>
                <w:spacing w:val="-2"/>
                <w:sz w:val="20"/>
              </w:rPr>
              <w:t> </w:t>
            </w:r>
            <w:r>
              <w:rPr>
                <w:b/>
                <w:sz w:val="20"/>
              </w:rPr>
              <w:t>I</w:t>
            </w:r>
            <w:r>
              <w:rPr>
                <w:b/>
                <w:spacing w:val="-2"/>
                <w:sz w:val="20"/>
              </w:rPr>
              <w:t> </w:t>
            </w:r>
            <w:r>
              <w:rPr>
                <w:b/>
                <w:sz w:val="20"/>
              </w:rPr>
              <w:t>to </w:t>
            </w:r>
            <w:r>
              <w:rPr>
                <w:b/>
                <w:spacing w:val="-10"/>
                <w:sz w:val="20"/>
              </w:rPr>
              <w:t>V</w:t>
            </w:r>
          </w:p>
        </w:tc>
      </w:tr>
      <w:tr>
        <w:trPr>
          <w:trHeight w:val="661" w:hRule="atLeast"/>
        </w:trPr>
        <w:tc>
          <w:tcPr>
            <w:tcW w:w="550" w:type="dxa"/>
          </w:tcPr>
          <w:p>
            <w:pPr>
              <w:pStyle w:val="TableParagraph"/>
              <w:spacing w:before="94"/>
              <w:ind w:left="107"/>
              <w:rPr>
                <w:sz w:val="20"/>
              </w:rPr>
            </w:pPr>
            <w:r>
              <w:rPr>
                <w:spacing w:val="-10"/>
                <w:sz w:val="20"/>
              </w:rPr>
              <w:t>6</w:t>
            </w:r>
          </w:p>
        </w:tc>
        <w:tc>
          <w:tcPr>
            <w:tcW w:w="1574" w:type="dxa"/>
          </w:tcPr>
          <w:p>
            <w:pPr>
              <w:pStyle w:val="TableParagraph"/>
              <w:spacing w:before="212"/>
              <w:ind w:left="107"/>
              <w:rPr>
                <w:sz w:val="20"/>
              </w:rPr>
            </w:pPr>
            <w:r>
              <w:rPr>
                <w:sz w:val="20"/>
              </w:rPr>
              <w:t>Fire</w:t>
            </w:r>
            <w:r>
              <w:rPr>
                <w:spacing w:val="-3"/>
                <w:sz w:val="20"/>
              </w:rPr>
              <w:t> </w:t>
            </w:r>
            <w:r>
              <w:rPr>
                <w:spacing w:val="-2"/>
                <w:sz w:val="20"/>
              </w:rPr>
              <w:t>Station</w:t>
            </w:r>
          </w:p>
        </w:tc>
        <w:tc>
          <w:tcPr>
            <w:tcW w:w="946" w:type="dxa"/>
          </w:tcPr>
          <w:p>
            <w:pPr>
              <w:pStyle w:val="TableParagraph"/>
              <w:rPr>
                <w:rFonts w:ascii="Times New Roman"/>
                <w:sz w:val="18"/>
              </w:rPr>
            </w:pPr>
          </w:p>
        </w:tc>
        <w:tc>
          <w:tcPr>
            <w:tcW w:w="720" w:type="dxa"/>
          </w:tcPr>
          <w:p>
            <w:pPr>
              <w:pStyle w:val="TableParagraph"/>
              <w:spacing w:before="94"/>
              <w:ind w:left="108" w:right="310"/>
              <w:rPr>
                <w:sz w:val="20"/>
              </w:rPr>
            </w:pPr>
            <w:r>
              <w:rPr>
                <w:spacing w:val="-4"/>
                <w:sz w:val="20"/>
              </w:rPr>
              <w:t>sq. </w:t>
            </w:r>
            <w:r>
              <w:rPr>
                <w:spacing w:val="-10"/>
                <w:sz w:val="20"/>
              </w:rPr>
              <w:t>m</w:t>
            </w:r>
          </w:p>
        </w:tc>
        <w:tc>
          <w:tcPr>
            <w:tcW w:w="1080" w:type="dxa"/>
          </w:tcPr>
          <w:p>
            <w:pPr>
              <w:pStyle w:val="TableParagraph"/>
              <w:spacing w:before="212"/>
              <w:ind w:left="108"/>
              <w:rPr>
                <w:sz w:val="20"/>
              </w:rPr>
            </w:pPr>
            <w:r>
              <w:rPr>
                <w:spacing w:val="-4"/>
                <w:sz w:val="20"/>
              </w:rPr>
              <w:t>0.00</w:t>
            </w:r>
          </w:p>
        </w:tc>
        <w:tc>
          <w:tcPr>
            <w:tcW w:w="1080" w:type="dxa"/>
          </w:tcPr>
          <w:p>
            <w:pPr>
              <w:pStyle w:val="TableParagraph"/>
              <w:spacing w:before="212"/>
              <w:ind w:left="108"/>
              <w:rPr>
                <w:sz w:val="20"/>
              </w:rPr>
            </w:pPr>
            <w:r>
              <w:rPr>
                <w:spacing w:val="-4"/>
                <w:sz w:val="20"/>
              </w:rPr>
              <w:t>0.00</w:t>
            </w:r>
          </w:p>
        </w:tc>
        <w:tc>
          <w:tcPr>
            <w:tcW w:w="1080" w:type="dxa"/>
          </w:tcPr>
          <w:p>
            <w:pPr>
              <w:pStyle w:val="TableParagraph"/>
              <w:spacing w:before="212"/>
              <w:ind w:left="108"/>
              <w:rPr>
                <w:sz w:val="20"/>
              </w:rPr>
            </w:pPr>
            <w:r>
              <w:rPr>
                <w:spacing w:val="-4"/>
                <w:sz w:val="20"/>
              </w:rPr>
              <w:t>0.00</w:t>
            </w:r>
          </w:p>
        </w:tc>
        <w:tc>
          <w:tcPr>
            <w:tcW w:w="1025" w:type="dxa"/>
          </w:tcPr>
          <w:p>
            <w:pPr>
              <w:pStyle w:val="TableParagraph"/>
              <w:spacing w:before="94"/>
              <w:ind w:left="108"/>
              <w:rPr>
                <w:sz w:val="20"/>
              </w:rPr>
            </w:pPr>
            <w:r>
              <w:rPr>
                <w:spacing w:val="-2"/>
                <w:sz w:val="20"/>
              </w:rPr>
              <w:t>3990.0</w:t>
            </w:r>
          </w:p>
          <w:p>
            <w:pPr>
              <w:pStyle w:val="TableParagraph"/>
              <w:spacing w:before="1"/>
              <w:ind w:left="108"/>
              <w:rPr>
                <w:sz w:val="20"/>
              </w:rPr>
            </w:pPr>
            <w:r>
              <w:rPr>
                <w:spacing w:val="-10"/>
                <w:sz w:val="20"/>
              </w:rPr>
              <w:t>0</w:t>
            </w:r>
          </w:p>
        </w:tc>
        <w:tc>
          <w:tcPr>
            <w:tcW w:w="1108" w:type="dxa"/>
          </w:tcPr>
          <w:p>
            <w:pPr>
              <w:pStyle w:val="TableParagraph"/>
              <w:spacing w:before="212"/>
              <w:ind w:left="109"/>
              <w:rPr>
                <w:sz w:val="20"/>
              </w:rPr>
            </w:pPr>
            <w:r>
              <w:rPr>
                <w:spacing w:val="-4"/>
                <w:sz w:val="20"/>
              </w:rPr>
              <w:t>0.00</w:t>
            </w:r>
          </w:p>
        </w:tc>
        <w:tc>
          <w:tcPr>
            <w:tcW w:w="1223" w:type="dxa"/>
          </w:tcPr>
          <w:p>
            <w:pPr>
              <w:pStyle w:val="TableParagraph"/>
              <w:spacing w:before="212"/>
              <w:ind w:left="110"/>
              <w:rPr>
                <w:b/>
                <w:sz w:val="20"/>
              </w:rPr>
            </w:pPr>
            <w:r>
              <w:rPr>
                <w:b/>
                <w:spacing w:val="-2"/>
                <w:sz w:val="20"/>
              </w:rPr>
              <w:t>3990.00</w:t>
            </w:r>
          </w:p>
        </w:tc>
      </w:tr>
      <w:tr>
        <w:trPr>
          <w:trHeight w:val="662" w:hRule="atLeast"/>
        </w:trPr>
        <w:tc>
          <w:tcPr>
            <w:tcW w:w="550" w:type="dxa"/>
          </w:tcPr>
          <w:p>
            <w:pPr>
              <w:pStyle w:val="TableParagraph"/>
              <w:spacing w:before="94"/>
              <w:ind w:left="107"/>
              <w:rPr>
                <w:sz w:val="20"/>
              </w:rPr>
            </w:pPr>
            <w:r>
              <w:rPr>
                <w:spacing w:val="-10"/>
                <w:sz w:val="20"/>
              </w:rPr>
              <w:t>7</w:t>
            </w:r>
          </w:p>
        </w:tc>
        <w:tc>
          <w:tcPr>
            <w:tcW w:w="1574" w:type="dxa"/>
          </w:tcPr>
          <w:p>
            <w:pPr>
              <w:pStyle w:val="TableParagraph"/>
              <w:spacing w:before="212"/>
              <w:ind w:left="107"/>
              <w:rPr>
                <w:sz w:val="20"/>
              </w:rPr>
            </w:pPr>
            <w:r>
              <w:rPr>
                <w:sz w:val="20"/>
              </w:rPr>
              <w:t>Post</w:t>
            </w:r>
            <w:r>
              <w:rPr>
                <w:spacing w:val="-6"/>
                <w:sz w:val="20"/>
              </w:rPr>
              <w:t> </w:t>
            </w:r>
            <w:r>
              <w:rPr>
                <w:spacing w:val="-2"/>
                <w:sz w:val="20"/>
              </w:rPr>
              <w:t>Office</w:t>
            </w:r>
          </w:p>
        </w:tc>
        <w:tc>
          <w:tcPr>
            <w:tcW w:w="946" w:type="dxa"/>
          </w:tcPr>
          <w:p>
            <w:pPr>
              <w:pStyle w:val="TableParagraph"/>
              <w:rPr>
                <w:rFonts w:ascii="Times New Roman"/>
                <w:sz w:val="18"/>
              </w:rPr>
            </w:pPr>
          </w:p>
        </w:tc>
        <w:tc>
          <w:tcPr>
            <w:tcW w:w="720" w:type="dxa"/>
          </w:tcPr>
          <w:p>
            <w:pPr>
              <w:pStyle w:val="TableParagraph"/>
              <w:spacing w:before="94"/>
              <w:ind w:left="108" w:right="310"/>
              <w:rPr>
                <w:sz w:val="20"/>
              </w:rPr>
            </w:pPr>
            <w:r>
              <w:rPr>
                <w:spacing w:val="-4"/>
                <w:sz w:val="20"/>
              </w:rPr>
              <w:t>sq. </w:t>
            </w:r>
            <w:r>
              <w:rPr>
                <w:spacing w:val="-10"/>
                <w:sz w:val="20"/>
              </w:rPr>
              <w:t>m</w:t>
            </w:r>
          </w:p>
        </w:tc>
        <w:tc>
          <w:tcPr>
            <w:tcW w:w="1080" w:type="dxa"/>
          </w:tcPr>
          <w:p>
            <w:pPr>
              <w:pStyle w:val="TableParagraph"/>
              <w:spacing w:before="212"/>
              <w:ind w:left="108"/>
              <w:rPr>
                <w:sz w:val="20"/>
              </w:rPr>
            </w:pPr>
            <w:r>
              <w:rPr>
                <w:spacing w:val="-2"/>
                <w:sz w:val="20"/>
              </w:rPr>
              <w:t>665.00</w:t>
            </w:r>
          </w:p>
        </w:tc>
        <w:tc>
          <w:tcPr>
            <w:tcW w:w="1080" w:type="dxa"/>
          </w:tcPr>
          <w:p>
            <w:pPr>
              <w:pStyle w:val="TableParagraph"/>
              <w:spacing w:before="212"/>
              <w:ind w:left="108"/>
              <w:rPr>
                <w:sz w:val="20"/>
              </w:rPr>
            </w:pPr>
            <w:r>
              <w:rPr>
                <w:spacing w:val="-4"/>
                <w:sz w:val="20"/>
              </w:rPr>
              <w:t>0.00</w:t>
            </w:r>
          </w:p>
        </w:tc>
        <w:tc>
          <w:tcPr>
            <w:tcW w:w="1080" w:type="dxa"/>
          </w:tcPr>
          <w:p>
            <w:pPr>
              <w:pStyle w:val="TableParagraph"/>
              <w:spacing w:before="212"/>
              <w:ind w:left="108"/>
              <w:rPr>
                <w:sz w:val="20"/>
              </w:rPr>
            </w:pPr>
            <w:r>
              <w:rPr>
                <w:spacing w:val="-4"/>
                <w:sz w:val="20"/>
              </w:rPr>
              <w:t>0.00</w:t>
            </w:r>
          </w:p>
        </w:tc>
        <w:tc>
          <w:tcPr>
            <w:tcW w:w="1025" w:type="dxa"/>
          </w:tcPr>
          <w:p>
            <w:pPr>
              <w:pStyle w:val="TableParagraph"/>
              <w:spacing w:before="212"/>
              <w:ind w:left="108"/>
              <w:rPr>
                <w:sz w:val="20"/>
              </w:rPr>
            </w:pPr>
            <w:r>
              <w:rPr>
                <w:spacing w:val="-2"/>
                <w:sz w:val="20"/>
              </w:rPr>
              <w:t>665.00</w:t>
            </w:r>
          </w:p>
        </w:tc>
        <w:tc>
          <w:tcPr>
            <w:tcW w:w="1108" w:type="dxa"/>
          </w:tcPr>
          <w:p>
            <w:pPr>
              <w:pStyle w:val="TableParagraph"/>
              <w:spacing w:before="212"/>
              <w:ind w:left="109"/>
              <w:rPr>
                <w:sz w:val="20"/>
              </w:rPr>
            </w:pPr>
            <w:r>
              <w:rPr>
                <w:spacing w:val="-4"/>
                <w:sz w:val="20"/>
              </w:rPr>
              <w:t>0.00</w:t>
            </w:r>
          </w:p>
        </w:tc>
        <w:tc>
          <w:tcPr>
            <w:tcW w:w="1223" w:type="dxa"/>
          </w:tcPr>
          <w:p>
            <w:pPr>
              <w:pStyle w:val="TableParagraph"/>
              <w:spacing w:before="212"/>
              <w:ind w:left="110"/>
              <w:rPr>
                <w:b/>
                <w:sz w:val="20"/>
              </w:rPr>
            </w:pPr>
            <w:r>
              <w:rPr>
                <w:b/>
                <w:spacing w:val="-2"/>
                <w:sz w:val="20"/>
              </w:rPr>
              <w:t>1330.00</w:t>
            </w:r>
          </w:p>
        </w:tc>
      </w:tr>
      <w:tr>
        <w:trPr>
          <w:trHeight w:val="660" w:hRule="atLeast"/>
        </w:trPr>
        <w:tc>
          <w:tcPr>
            <w:tcW w:w="550" w:type="dxa"/>
          </w:tcPr>
          <w:p>
            <w:pPr>
              <w:pStyle w:val="TableParagraph"/>
              <w:spacing w:before="94"/>
              <w:ind w:left="107"/>
              <w:rPr>
                <w:sz w:val="20"/>
              </w:rPr>
            </w:pPr>
            <w:r>
              <w:rPr>
                <w:spacing w:val="-10"/>
                <w:sz w:val="20"/>
              </w:rPr>
              <w:t>8</w:t>
            </w:r>
          </w:p>
        </w:tc>
        <w:tc>
          <w:tcPr>
            <w:tcW w:w="1574" w:type="dxa"/>
          </w:tcPr>
          <w:p>
            <w:pPr>
              <w:pStyle w:val="TableParagraph"/>
              <w:spacing w:before="212"/>
              <w:ind w:left="107"/>
              <w:rPr>
                <w:sz w:val="20"/>
              </w:rPr>
            </w:pPr>
            <w:r>
              <w:rPr>
                <w:sz w:val="20"/>
              </w:rPr>
              <w:t>Police</w:t>
            </w:r>
            <w:r>
              <w:rPr>
                <w:spacing w:val="-9"/>
                <w:sz w:val="20"/>
              </w:rPr>
              <w:t> </w:t>
            </w:r>
            <w:r>
              <w:rPr>
                <w:spacing w:val="-2"/>
                <w:sz w:val="20"/>
              </w:rPr>
              <w:t>Station</w:t>
            </w:r>
          </w:p>
        </w:tc>
        <w:tc>
          <w:tcPr>
            <w:tcW w:w="946" w:type="dxa"/>
          </w:tcPr>
          <w:p>
            <w:pPr>
              <w:pStyle w:val="TableParagraph"/>
              <w:rPr>
                <w:rFonts w:ascii="Times New Roman"/>
                <w:sz w:val="18"/>
              </w:rPr>
            </w:pPr>
          </w:p>
        </w:tc>
        <w:tc>
          <w:tcPr>
            <w:tcW w:w="720" w:type="dxa"/>
          </w:tcPr>
          <w:p>
            <w:pPr>
              <w:pStyle w:val="TableParagraph"/>
              <w:spacing w:before="94"/>
              <w:ind w:left="108" w:right="310"/>
              <w:rPr>
                <w:sz w:val="20"/>
              </w:rPr>
            </w:pPr>
            <w:r>
              <w:rPr>
                <w:spacing w:val="-4"/>
                <w:sz w:val="20"/>
              </w:rPr>
              <w:t>sq. </w:t>
            </w:r>
            <w:r>
              <w:rPr>
                <w:spacing w:val="-10"/>
                <w:sz w:val="20"/>
              </w:rPr>
              <w:t>m</w:t>
            </w:r>
          </w:p>
        </w:tc>
        <w:tc>
          <w:tcPr>
            <w:tcW w:w="1080" w:type="dxa"/>
          </w:tcPr>
          <w:p>
            <w:pPr>
              <w:pStyle w:val="TableParagraph"/>
              <w:spacing w:before="212"/>
              <w:ind w:left="108"/>
              <w:rPr>
                <w:sz w:val="20"/>
              </w:rPr>
            </w:pPr>
            <w:r>
              <w:rPr>
                <w:spacing w:val="-2"/>
                <w:sz w:val="20"/>
              </w:rPr>
              <w:t>1995.00</w:t>
            </w:r>
          </w:p>
        </w:tc>
        <w:tc>
          <w:tcPr>
            <w:tcW w:w="1080" w:type="dxa"/>
          </w:tcPr>
          <w:p>
            <w:pPr>
              <w:pStyle w:val="TableParagraph"/>
              <w:spacing w:before="212"/>
              <w:ind w:left="108"/>
              <w:rPr>
                <w:sz w:val="20"/>
              </w:rPr>
            </w:pPr>
            <w:r>
              <w:rPr>
                <w:spacing w:val="-2"/>
                <w:sz w:val="20"/>
              </w:rPr>
              <w:t>1995.00</w:t>
            </w:r>
          </w:p>
        </w:tc>
        <w:tc>
          <w:tcPr>
            <w:tcW w:w="1080" w:type="dxa"/>
          </w:tcPr>
          <w:p>
            <w:pPr>
              <w:pStyle w:val="TableParagraph"/>
              <w:spacing w:before="212"/>
              <w:ind w:left="108"/>
              <w:rPr>
                <w:sz w:val="20"/>
              </w:rPr>
            </w:pPr>
            <w:r>
              <w:rPr>
                <w:spacing w:val="-4"/>
                <w:sz w:val="20"/>
              </w:rPr>
              <w:t>0.00</w:t>
            </w:r>
          </w:p>
        </w:tc>
        <w:tc>
          <w:tcPr>
            <w:tcW w:w="1025" w:type="dxa"/>
          </w:tcPr>
          <w:p>
            <w:pPr>
              <w:pStyle w:val="TableParagraph"/>
              <w:spacing w:before="212"/>
              <w:ind w:left="108"/>
              <w:rPr>
                <w:sz w:val="20"/>
              </w:rPr>
            </w:pPr>
            <w:r>
              <w:rPr>
                <w:spacing w:val="-4"/>
                <w:sz w:val="20"/>
              </w:rPr>
              <w:t>0.00</w:t>
            </w:r>
          </w:p>
        </w:tc>
        <w:tc>
          <w:tcPr>
            <w:tcW w:w="1108" w:type="dxa"/>
          </w:tcPr>
          <w:p>
            <w:pPr>
              <w:pStyle w:val="TableParagraph"/>
              <w:spacing w:before="212"/>
              <w:ind w:left="109"/>
              <w:rPr>
                <w:sz w:val="20"/>
              </w:rPr>
            </w:pPr>
            <w:r>
              <w:rPr>
                <w:spacing w:val="-4"/>
                <w:sz w:val="20"/>
              </w:rPr>
              <w:t>0.00</w:t>
            </w:r>
          </w:p>
        </w:tc>
        <w:tc>
          <w:tcPr>
            <w:tcW w:w="1223" w:type="dxa"/>
          </w:tcPr>
          <w:p>
            <w:pPr>
              <w:pStyle w:val="TableParagraph"/>
              <w:spacing w:before="212"/>
              <w:ind w:left="110"/>
              <w:rPr>
                <w:b/>
                <w:sz w:val="20"/>
              </w:rPr>
            </w:pPr>
            <w:r>
              <w:rPr>
                <w:b/>
                <w:spacing w:val="-2"/>
                <w:sz w:val="20"/>
              </w:rPr>
              <w:t>3990.00</w:t>
            </w:r>
          </w:p>
        </w:tc>
      </w:tr>
      <w:tr>
        <w:trPr>
          <w:trHeight w:val="661" w:hRule="atLeast"/>
        </w:trPr>
        <w:tc>
          <w:tcPr>
            <w:tcW w:w="550" w:type="dxa"/>
          </w:tcPr>
          <w:p>
            <w:pPr>
              <w:pStyle w:val="TableParagraph"/>
              <w:spacing w:before="97"/>
              <w:ind w:left="107"/>
              <w:rPr>
                <w:sz w:val="20"/>
              </w:rPr>
            </w:pPr>
            <w:r>
              <w:rPr>
                <w:spacing w:val="-10"/>
                <w:sz w:val="20"/>
              </w:rPr>
              <w:t>9</w:t>
            </w:r>
          </w:p>
        </w:tc>
        <w:tc>
          <w:tcPr>
            <w:tcW w:w="1574" w:type="dxa"/>
          </w:tcPr>
          <w:p>
            <w:pPr>
              <w:pStyle w:val="TableParagraph"/>
              <w:spacing w:before="212"/>
              <w:ind w:left="107"/>
              <w:rPr>
                <w:sz w:val="20"/>
              </w:rPr>
            </w:pPr>
            <w:r>
              <w:rPr>
                <w:sz w:val="20"/>
              </w:rPr>
              <w:t>Retail</w:t>
            </w:r>
            <w:r>
              <w:rPr>
                <w:spacing w:val="-5"/>
                <w:sz w:val="20"/>
              </w:rPr>
              <w:t> </w:t>
            </w:r>
            <w:r>
              <w:rPr>
                <w:spacing w:val="-2"/>
                <w:sz w:val="20"/>
              </w:rPr>
              <w:t>Market</w:t>
            </w:r>
          </w:p>
        </w:tc>
        <w:tc>
          <w:tcPr>
            <w:tcW w:w="946" w:type="dxa"/>
          </w:tcPr>
          <w:p>
            <w:pPr>
              <w:pStyle w:val="TableParagraph"/>
              <w:rPr>
                <w:rFonts w:ascii="Times New Roman"/>
                <w:sz w:val="18"/>
              </w:rPr>
            </w:pPr>
          </w:p>
        </w:tc>
        <w:tc>
          <w:tcPr>
            <w:tcW w:w="720" w:type="dxa"/>
          </w:tcPr>
          <w:p>
            <w:pPr>
              <w:pStyle w:val="TableParagraph"/>
              <w:spacing w:before="97"/>
              <w:ind w:left="108" w:right="310"/>
              <w:rPr>
                <w:sz w:val="20"/>
              </w:rPr>
            </w:pPr>
            <w:r>
              <w:rPr>
                <w:spacing w:val="-4"/>
                <w:sz w:val="20"/>
              </w:rPr>
              <w:t>sq. </w:t>
            </w:r>
            <w:r>
              <w:rPr>
                <w:spacing w:val="-10"/>
                <w:sz w:val="20"/>
              </w:rPr>
              <w:t>m</w:t>
            </w:r>
          </w:p>
        </w:tc>
        <w:tc>
          <w:tcPr>
            <w:tcW w:w="1080" w:type="dxa"/>
          </w:tcPr>
          <w:p>
            <w:pPr>
              <w:pStyle w:val="TableParagraph"/>
              <w:spacing w:before="212"/>
              <w:ind w:left="108"/>
              <w:rPr>
                <w:sz w:val="20"/>
              </w:rPr>
            </w:pPr>
            <w:r>
              <w:rPr>
                <w:spacing w:val="-2"/>
                <w:sz w:val="20"/>
              </w:rPr>
              <w:t>2511.04</w:t>
            </w:r>
          </w:p>
        </w:tc>
        <w:tc>
          <w:tcPr>
            <w:tcW w:w="1080" w:type="dxa"/>
          </w:tcPr>
          <w:p>
            <w:pPr>
              <w:pStyle w:val="TableParagraph"/>
              <w:spacing w:before="212"/>
              <w:ind w:left="108"/>
              <w:rPr>
                <w:sz w:val="20"/>
              </w:rPr>
            </w:pPr>
            <w:r>
              <w:rPr>
                <w:spacing w:val="-2"/>
                <w:sz w:val="20"/>
              </w:rPr>
              <w:t>4551.26</w:t>
            </w:r>
          </w:p>
        </w:tc>
        <w:tc>
          <w:tcPr>
            <w:tcW w:w="1080" w:type="dxa"/>
          </w:tcPr>
          <w:p>
            <w:pPr>
              <w:pStyle w:val="TableParagraph"/>
              <w:spacing w:before="212"/>
              <w:ind w:left="108"/>
              <w:rPr>
                <w:sz w:val="20"/>
              </w:rPr>
            </w:pPr>
            <w:r>
              <w:rPr>
                <w:spacing w:val="-2"/>
                <w:sz w:val="20"/>
              </w:rPr>
              <w:t>3766.56</w:t>
            </w:r>
          </w:p>
        </w:tc>
        <w:tc>
          <w:tcPr>
            <w:tcW w:w="1025" w:type="dxa"/>
          </w:tcPr>
          <w:p>
            <w:pPr>
              <w:pStyle w:val="TableParagraph"/>
              <w:spacing w:line="234" w:lineRule="exact" w:before="97"/>
              <w:ind w:left="108"/>
              <w:rPr>
                <w:sz w:val="20"/>
              </w:rPr>
            </w:pPr>
            <w:r>
              <w:rPr>
                <w:spacing w:val="-2"/>
                <w:sz w:val="20"/>
              </w:rPr>
              <w:t>3452.6</w:t>
            </w:r>
          </w:p>
          <w:p>
            <w:pPr>
              <w:pStyle w:val="TableParagraph"/>
              <w:spacing w:line="234" w:lineRule="exact"/>
              <w:ind w:left="108"/>
              <w:rPr>
                <w:sz w:val="20"/>
              </w:rPr>
            </w:pPr>
            <w:r>
              <w:rPr>
                <w:spacing w:val="-10"/>
                <w:sz w:val="20"/>
              </w:rPr>
              <w:t>8</w:t>
            </w:r>
          </w:p>
        </w:tc>
        <w:tc>
          <w:tcPr>
            <w:tcW w:w="1108" w:type="dxa"/>
          </w:tcPr>
          <w:p>
            <w:pPr>
              <w:pStyle w:val="TableParagraph"/>
              <w:spacing w:before="212"/>
              <w:ind w:left="109"/>
              <w:rPr>
                <w:sz w:val="20"/>
              </w:rPr>
            </w:pPr>
            <w:r>
              <w:rPr>
                <w:spacing w:val="-2"/>
                <w:sz w:val="20"/>
              </w:rPr>
              <w:t>1412.46</w:t>
            </w:r>
          </w:p>
        </w:tc>
        <w:tc>
          <w:tcPr>
            <w:tcW w:w="1223" w:type="dxa"/>
          </w:tcPr>
          <w:p>
            <w:pPr>
              <w:pStyle w:val="TableParagraph"/>
              <w:spacing w:before="212"/>
              <w:ind w:left="110"/>
              <w:rPr>
                <w:b/>
                <w:sz w:val="20"/>
              </w:rPr>
            </w:pPr>
            <w:r>
              <w:rPr>
                <w:b/>
                <w:spacing w:val="-2"/>
                <w:sz w:val="20"/>
              </w:rPr>
              <w:t>15694.00</w:t>
            </w:r>
          </w:p>
        </w:tc>
      </w:tr>
      <w:tr>
        <w:trPr>
          <w:trHeight w:val="661" w:hRule="atLeast"/>
        </w:trPr>
        <w:tc>
          <w:tcPr>
            <w:tcW w:w="550" w:type="dxa"/>
          </w:tcPr>
          <w:p>
            <w:pPr>
              <w:pStyle w:val="TableParagraph"/>
              <w:spacing w:before="94"/>
              <w:ind w:left="107"/>
              <w:rPr>
                <w:sz w:val="20"/>
              </w:rPr>
            </w:pPr>
            <w:r>
              <w:rPr>
                <w:spacing w:val="-5"/>
                <w:sz w:val="20"/>
              </w:rPr>
              <w:t>10</w:t>
            </w:r>
          </w:p>
        </w:tc>
        <w:tc>
          <w:tcPr>
            <w:tcW w:w="1574" w:type="dxa"/>
          </w:tcPr>
          <w:p>
            <w:pPr>
              <w:pStyle w:val="TableParagraph"/>
              <w:spacing w:before="94"/>
              <w:ind w:left="107" w:right="669"/>
              <w:rPr>
                <w:sz w:val="20"/>
              </w:rPr>
            </w:pPr>
            <w:r>
              <w:rPr>
                <w:spacing w:val="-2"/>
                <w:sz w:val="20"/>
              </w:rPr>
              <w:t>Police Chowky</w:t>
            </w:r>
          </w:p>
        </w:tc>
        <w:tc>
          <w:tcPr>
            <w:tcW w:w="946" w:type="dxa"/>
          </w:tcPr>
          <w:p>
            <w:pPr>
              <w:pStyle w:val="TableParagraph"/>
              <w:rPr>
                <w:rFonts w:ascii="Times New Roman"/>
                <w:sz w:val="18"/>
              </w:rPr>
            </w:pPr>
          </w:p>
        </w:tc>
        <w:tc>
          <w:tcPr>
            <w:tcW w:w="720" w:type="dxa"/>
          </w:tcPr>
          <w:p>
            <w:pPr>
              <w:pStyle w:val="TableParagraph"/>
              <w:spacing w:before="94"/>
              <w:ind w:left="108" w:right="310"/>
              <w:rPr>
                <w:sz w:val="20"/>
              </w:rPr>
            </w:pPr>
            <w:r>
              <w:rPr>
                <w:spacing w:val="-4"/>
                <w:sz w:val="20"/>
              </w:rPr>
              <w:t>sq. </w:t>
            </w:r>
            <w:r>
              <w:rPr>
                <w:spacing w:val="-10"/>
                <w:sz w:val="20"/>
              </w:rPr>
              <w:t>m</w:t>
            </w:r>
          </w:p>
        </w:tc>
        <w:tc>
          <w:tcPr>
            <w:tcW w:w="1080" w:type="dxa"/>
          </w:tcPr>
          <w:p>
            <w:pPr>
              <w:pStyle w:val="TableParagraph"/>
              <w:spacing w:before="212"/>
              <w:ind w:left="108"/>
              <w:rPr>
                <w:sz w:val="20"/>
              </w:rPr>
            </w:pPr>
            <w:r>
              <w:rPr>
                <w:spacing w:val="-2"/>
                <w:sz w:val="20"/>
              </w:rPr>
              <w:t>140.00</w:t>
            </w:r>
          </w:p>
        </w:tc>
        <w:tc>
          <w:tcPr>
            <w:tcW w:w="1080" w:type="dxa"/>
          </w:tcPr>
          <w:p>
            <w:pPr>
              <w:pStyle w:val="TableParagraph"/>
              <w:spacing w:before="212"/>
              <w:ind w:left="108"/>
              <w:rPr>
                <w:sz w:val="20"/>
              </w:rPr>
            </w:pPr>
            <w:r>
              <w:rPr>
                <w:spacing w:val="-2"/>
                <w:sz w:val="20"/>
              </w:rPr>
              <w:t>140.00</w:t>
            </w:r>
          </w:p>
        </w:tc>
        <w:tc>
          <w:tcPr>
            <w:tcW w:w="1080" w:type="dxa"/>
          </w:tcPr>
          <w:p>
            <w:pPr>
              <w:pStyle w:val="TableParagraph"/>
              <w:spacing w:before="212"/>
              <w:ind w:left="108"/>
              <w:rPr>
                <w:sz w:val="20"/>
              </w:rPr>
            </w:pPr>
            <w:r>
              <w:rPr>
                <w:spacing w:val="-2"/>
                <w:sz w:val="20"/>
              </w:rPr>
              <w:t>140.00</w:t>
            </w:r>
          </w:p>
        </w:tc>
        <w:tc>
          <w:tcPr>
            <w:tcW w:w="1025" w:type="dxa"/>
          </w:tcPr>
          <w:p>
            <w:pPr>
              <w:pStyle w:val="TableParagraph"/>
              <w:spacing w:before="212"/>
              <w:ind w:left="108"/>
              <w:rPr>
                <w:sz w:val="20"/>
              </w:rPr>
            </w:pPr>
            <w:r>
              <w:rPr>
                <w:spacing w:val="-2"/>
                <w:sz w:val="20"/>
              </w:rPr>
              <w:t>140.00</w:t>
            </w:r>
          </w:p>
        </w:tc>
        <w:tc>
          <w:tcPr>
            <w:tcW w:w="1108" w:type="dxa"/>
          </w:tcPr>
          <w:p>
            <w:pPr>
              <w:pStyle w:val="TableParagraph"/>
              <w:spacing w:before="212"/>
              <w:ind w:left="109"/>
              <w:rPr>
                <w:sz w:val="20"/>
              </w:rPr>
            </w:pPr>
            <w:r>
              <w:rPr>
                <w:spacing w:val="-2"/>
                <w:sz w:val="20"/>
              </w:rPr>
              <w:t>140.00</w:t>
            </w:r>
          </w:p>
        </w:tc>
        <w:tc>
          <w:tcPr>
            <w:tcW w:w="1223" w:type="dxa"/>
          </w:tcPr>
          <w:p>
            <w:pPr>
              <w:pStyle w:val="TableParagraph"/>
              <w:spacing w:before="212"/>
              <w:ind w:left="110"/>
              <w:rPr>
                <w:b/>
                <w:sz w:val="20"/>
              </w:rPr>
            </w:pPr>
            <w:r>
              <w:rPr>
                <w:b/>
                <w:spacing w:val="-2"/>
                <w:sz w:val="20"/>
              </w:rPr>
              <w:t>700.00</w:t>
            </w:r>
          </w:p>
        </w:tc>
      </w:tr>
      <w:tr>
        <w:trPr>
          <w:trHeight w:val="1130" w:hRule="atLeast"/>
        </w:trPr>
        <w:tc>
          <w:tcPr>
            <w:tcW w:w="550" w:type="dxa"/>
          </w:tcPr>
          <w:p>
            <w:pPr>
              <w:pStyle w:val="TableParagraph"/>
              <w:spacing w:before="94"/>
              <w:ind w:left="107"/>
              <w:rPr>
                <w:sz w:val="20"/>
              </w:rPr>
            </w:pPr>
            <w:r>
              <w:rPr>
                <w:spacing w:val="-5"/>
                <w:sz w:val="20"/>
              </w:rPr>
              <w:t>11</w:t>
            </w:r>
          </w:p>
        </w:tc>
        <w:tc>
          <w:tcPr>
            <w:tcW w:w="1574" w:type="dxa"/>
          </w:tcPr>
          <w:p>
            <w:pPr>
              <w:pStyle w:val="TableParagraph"/>
              <w:spacing w:before="94"/>
              <w:ind w:left="107" w:right="297"/>
              <w:rPr>
                <w:sz w:val="20"/>
              </w:rPr>
            </w:pPr>
            <w:r>
              <w:rPr>
                <w:spacing w:val="-2"/>
                <w:sz w:val="20"/>
              </w:rPr>
              <w:t>Potters Institute (common </w:t>
            </w:r>
            <w:r>
              <w:rPr>
                <w:sz w:val="20"/>
              </w:rPr>
              <w:t>work</w:t>
            </w:r>
            <w:r>
              <w:rPr>
                <w:spacing w:val="-16"/>
                <w:sz w:val="20"/>
              </w:rPr>
              <w:t> </w:t>
            </w:r>
            <w:r>
              <w:rPr>
                <w:sz w:val="20"/>
              </w:rPr>
              <w:t>space)</w:t>
            </w:r>
          </w:p>
        </w:tc>
        <w:tc>
          <w:tcPr>
            <w:tcW w:w="946" w:type="dxa"/>
          </w:tcPr>
          <w:p>
            <w:pPr>
              <w:pStyle w:val="TableParagraph"/>
              <w:spacing w:before="212"/>
              <w:rPr>
                <w:b/>
                <w:i/>
                <w:sz w:val="20"/>
              </w:rPr>
            </w:pPr>
          </w:p>
          <w:p>
            <w:pPr>
              <w:pStyle w:val="TableParagraph"/>
              <w:ind w:left="108"/>
              <w:rPr>
                <w:b/>
                <w:sz w:val="20"/>
              </w:rPr>
            </w:pPr>
            <w:r>
              <w:rPr>
                <w:b/>
                <w:spacing w:val="-10"/>
                <w:sz w:val="20"/>
              </w:rPr>
              <w:t>-</w:t>
            </w:r>
          </w:p>
        </w:tc>
        <w:tc>
          <w:tcPr>
            <w:tcW w:w="720" w:type="dxa"/>
          </w:tcPr>
          <w:p>
            <w:pPr>
              <w:pStyle w:val="TableParagraph"/>
              <w:spacing w:before="94"/>
              <w:rPr>
                <w:b/>
                <w:i/>
                <w:sz w:val="20"/>
              </w:rPr>
            </w:pPr>
          </w:p>
          <w:p>
            <w:pPr>
              <w:pStyle w:val="TableParagraph"/>
              <w:spacing w:before="1"/>
              <w:ind w:left="108" w:right="310"/>
              <w:rPr>
                <w:sz w:val="20"/>
              </w:rPr>
            </w:pPr>
            <w:r>
              <w:rPr>
                <w:spacing w:val="-4"/>
                <w:sz w:val="20"/>
              </w:rPr>
              <w:t>sq. </w:t>
            </w:r>
            <w:r>
              <w:rPr>
                <w:spacing w:val="-10"/>
                <w:sz w:val="20"/>
              </w:rPr>
              <w:t>m</w:t>
            </w:r>
          </w:p>
        </w:tc>
        <w:tc>
          <w:tcPr>
            <w:tcW w:w="1080" w:type="dxa"/>
          </w:tcPr>
          <w:p>
            <w:pPr>
              <w:pStyle w:val="TableParagraph"/>
              <w:spacing w:before="212"/>
              <w:rPr>
                <w:b/>
                <w:i/>
                <w:sz w:val="20"/>
              </w:rPr>
            </w:pPr>
          </w:p>
          <w:p>
            <w:pPr>
              <w:pStyle w:val="TableParagraph"/>
              <w:ind w:left="108"/>
              <w:rPr>
                <w:sz w:val="20"/>
              </w:rPr>
            </w:pPr>
            <w:r>
              <w:rPr>
                <w:spacing w:val="-4"/>
                <w:sz w:val="20"/>
              </w:rPr>
              <w:t>0.00</w:t>
            </w:r>
          </w:p>
        </w:tc>
        <w:tc>
          <w:tcPr>
            <w:tcW w:w="1080" w:type="dxa"/>
          </w:tcPr>
          <w:p>
            <w:pPr>
              <w:pStyle w:val="TableParagraph"/>
              <w:spacing w:before="212"/>
              <w:rPr>
                <w:b/>
                <w:i/>
                <w:sz w:val="20"/>
              </w:rPr>
            </w:pPr>
          </w:p>
          <w:p>
            <w:pPr>
              <w:pStyle w:val="TableParagraph"/>
              <w:ind w:left="108"/>
              <w:rPr>
                <w:sz w:val="20"/>
              </w:rPr>
            </w:pPr>
            <w:r>
              <w:rPr>
                <w:spacing w:val="-2"/>
                <w:sz w:val="20"/>
              </w:rPr>
              <w:t>2230.00</w:t>
            </w:r>
          </w:p>
        </w:tc>
        <w:tc>
          <w:tcPr>
            <w:tcW w:w="1080" w:type="dxa"/>
          </w:tcPr>
          <w:p>
            <w:pPr>
              <w:pStyle w:val="TableParagraph"/>
              <w:spacing w:before="212"/>
              <w:rPr>
                <w:b/>
                <w:i/>
                <w:sz w:val="20"/>
              </w:rPr>
            </w:pPr>
          </w:p>
          <w:p>
            <w:pPr>
              <w:pStyle w:val="TableParagraph"/>
              <w:ind w:left="108"/>
              <w:rPr>
                <w:sz w:val="20"/>
              </w:rPr>
            </w:pPr>
            <w:r>
              <w:rPr>
                <w:spacing w:val="-4"/>
                <w:sz w:val="20"/>
              </w:rPr>
              <w:t>0.00</w:t>
            </w:r>
          </w:p>
        </w:tc>
        <w:tc>
          <w:tcPr>
            <w:tcW w:w="1025" w:type="dxa"/>
          </w:tcPr>
          <w:p>
            <w:pPr>
              <w:pStyle w:val="TableParagraph"/>
              <w:spacing w:before="212"/>
              <w:rPr>
                <w:b/>
                <w:i/>
                <w:sz w:val="20"/>
              </w:rPr>
            </w:pPr>
          </w:p>
          <w:p>
            <w:pPr>
              <w:pStyle w:val="TableParagraph"/>
              <w:ind w:left="108"/>
              <w:rPr>
                <w:sz w:val="20"/>
              </w:rPr>
            </w:pPr>
            <w:r>
              <w:rPr>
                <w:spacing w:val="-4"/>
                <w:sz w:val="20"/>
              </w:rPr>
              <w:t>0.00</w:t>
            </w:r>
          </w:p>
        </w:tc>
        <w:tc>
          <w:tcPr>
            <w:tcW w:w="1108" w:type="dxa"/>
          </w:tcPr>
          <w:p>
            <w:pPr>
              <w:pStyle w:val="TableParagraph"/>
              <w:spacing w:before="212"/>
              <w:rPr>
                <w:b/>
                <w:i/>
                <w:sz w:val="20"/>
              </w:rPr>
            </w:pPr>
          </w:p>
          <w:p>
            <w:pPr>
              <w:pStyle w:val="TableParagraph"/>
              <w:ind w:left="109"/>
              <w:rPr>
                <w:sz w:val="20"/>
              </w:rPr>
            </w:pPr>
            <w:r>
              <w:rPr>
                <w:spacing w:val="-4"/>
                <w:sz w:val="20"/>
              </w:rPr>
              <w:t>0.00</w:t>
            </w:r>
          </w:p>
        </w:tc>
        <w:tc>
          <w:tcPr>
            <w:tcW w:w="1223" w:type="dxa"/>
          </w:tcPr>
          <w:p>
            <w:pPr>
              <w:pStyle w:val="TableParagraph"/>
              <w:spacing w:before="212"/>
              <w:rPr>
                <w:b/>
                <w:i/>
                <w:sz w:val="20"/>
              </w:rPr>
            </w:pPr>
          </w:p>
          <w:p>
            <w:pPr>
              <w:pStyle w:val="TableParagraph"/>
              <w:ind w:left="110"/>
              <w:rPr>
                <w:b/>
                <w:sz w:val="20"/>
              </w:rPr>
            </w:pPr>
            <w:r>
              <w:rPr>
                <w:b/>
                <w:spacing w:val="-2"/>
                <w:sz w:val="20"/>
              </w:rPr>
              <w:t>2230.00</w:t>
            </w:r>
          </w:p>
        </w:tc>
      </w:tr>
      <w:tr>
        <w:trPr>
          <w:trHeight w:val="661" w:hRule="atLeast"/>
        </w:trPr>
        <w:tc>
          <w:tcPr>
            <w:tcW w:w="550" w:type="dxa"/>
          </w:tcPr>
          <w:p>
            <w:pPr>
              <w:pStyle w:val="TableParagraph"/>
              <w:rPr>
                <w:rFonts w:ascii="Times New Roman"/>
                <w:sz w:val="18"/>
              </w:rPr>
            </w:pPr>
          </w:p>
        </w:tc>
        <w:tc>
          <w:tcPr>
            <w:tcW w:w="1574" w:type="dxa"/>
          </w:tcPr>
          <w:p>
            <w:pPr>
              <w:pStyle w:val="TableParagraph"/>
              <w:spacing w:before="212"/>
              <w:ind w:left="107"/>
              <w:rPr>
                <w:b/>
                <w:sz w:val="20"/>
              </w:rPr>
            </w:pPr>
            <w:r>
              <w:rPr>
                <w:b/>
                <w:spacing w:val="-4"/>
                <w:sz w:val="20"/>
              </w:rPr>
              <w:t>Total</w:t>
            </w:r>
          </w:p>
        </w:tc>
        <w:tc>
          <w:tcPr>
            <w:tcW w:w="946" w:type="dxa"/>
          </w:tcPr>
          <w:p>
            <w:pPr>
              <w:pStyle w:val="TableParagraph"/>
              <w:rPr>
                <w:rFonts w:ascii="Times New Roman"/>
                <w:sz w:val="18"/>
              </w:rPr>
            </w:pPr>
          </w:p>
        </w:tc>
        <w:tc>
          <w:tcPr>
            <w:tcW w:w="720" w:type="dxa"/>
          </w:tcPr>
          <w:p>
            <w:pPr>
              <w:pStyle w:val="TableParagraph"/>
              <w:rPr>
                <w:rFonts w:ascii="Times New Roman"/>
                <w:sz w:val="18"/>
              </w:rPr>
            </w:pPr>
          </w:p>
        </w:tc>
        <w:tc>
          <w:tcPr>
            <w:tcW w:w="1080" w:type="dxa"/>
          </w:tcPr>
          <w:p>
            <w:pPr>
              <w:pStyle w:val="TableParagraph"/>
              <w:spacing w:line="234" w:lineRule="exact" w:before="97"/>
              <w:ind w:left="108"/>
              <w:rPr>
                <w:b/>
                <w:sz w:val="20"/>
              </w:rPr>
            </w:pPr>
            <w:r>
              <w:rPr>
                <w:b/>
                <w:spacing w:val="-2"/>
                <w:sz w:val="20"/>
              </w:rPr>
              <w:t>27116.9</w:t>
            </w:r>
          </w:p>
          <w:p>
            <w:pPr>
              <w:pStyle w:val="TableParagraph"/>
              <w:spacing w:line="234" w:lineRule="exact"/>
              <w:ind w:left="108"/>
              <w:rPr>
                <w:b/>
                <w:sz w:val="20"/>
              </w:rPr>
            </w:pPr>
            <w:r>
              <w:rPr>
                <w:b/>
                <w:spacing w:val="-10"/>
                <w:sz w:val="20"/>
              </w:rPr>
              <w:t>9</w:t>
            </w:r>
          </w:p>
        </w:tc>
        <w:tc>
          <w:tcPr>
            <w:tcW w:w="1080" w:type="dxa"/>
          </w:tcPr>
          <w:p>
            <w:pPr>
              <w:pStyle w:val="TableParagraph"/>
              <w:spacing w:line="234" w:lineRule="exact" w:before="97"/>
              <w:ind w:left="108"/>
              <w:rPr>
                <w:b/>
                <w:sz w:val="20"/>
              </w:rPr>
            </w:pPr>
            <w:r>
              <w:rPr>
                <w:b/>
                <w:spacing w:val="-2"/>
                <w:sz w:val="20"/>
              </w:rPr>
              <w:t>53552.0</w:t>
            </w:r>
          </w:p>
          <w:p>
            <w:pPr>
              <w:pStyle w:val="TableParagraph"/>
              <w:spacing w:line="234" w:lineRule="exact"/>
              <w:ind w:left="108"/>
              <w:rPr>
                <w:b/>
                <w:sz w:val="20"/>
              </w:rPr>
            </w:pPr>
            <w:r>
              <w:rPr>
                <w:b/>
                <w:spacing w:val="-10"/>
                <w:sz w:val="20"/>
              </w:rPr>
              <w:t>4</w:t>
            </w:r>
          </w:p>
        </w:tc>
        <w:tc>
          <w:tcPr>
            <w:tcW w:w="1080" w:type="dxa"/>
          </w:tcPr>
          <w:p>
            <w:pPr>
              <w:pStyle w:val="TableParagraph"/>
              <w:spacing w:line="234" w:lineRule="exact" w:before="97"/>
              <w:ind w:left="108"/>
              <w:rPr>
                <w:b/>
                <w:sz w:val="20"/>
              </w:rPr>
            </w:pPr>
            <w:r>
              <w:rPr>
                <w:b/>
                <w:spacing w:val="-2"/>
                <w:sz w:val="20"/>
              </w:rPr>
              <w:t>39965.5</w:t>
            </w:r>
          </w:p>
          <w:p>
            <w:pPr>
              <w:pStyle w:val="TableParagraph"/>
              <w:spacing w:line="234" w:lineRule="exact"/>
              <w:ind w:left="108"/>
              <w:rPr>
                <w:b/>
                <w:sz w:val="20"/>
              </w:rPr>
            </w:pPr>
            <w:r>
              <w:rPr>
                <w:b/>
                <w:spacing w:val="-10"/>
                <w:sz w:val="20"/>
              </w:rPr>
              <w:t>7</w:t>
            </w:r>
          </w:p>
        </w:tc>
        <w:tc>
          <w:tcPr>
            <w:tcW w:w="1025" w:type="dxa"/>
          </w:tcPr>
          <w:p>
            <w:pPr>
              <w:pStyle w:val="TableParagraph"/>
              <w:spacing w:line="234" w:lineRule="exact" w:before="97"/>
              <w:ind w:left="108"/>
              <w:rPr>
                <w:b/>
                <w:sz w:val="20"/>
              </w:rPr>
            </w:pPr>
            <w:r>
              <w:rPr>
                <w:b/>
                <w:spacing w:val="-2"/>
                <w:sz w:val="20"/>
              </w:rPr>
              <w:t>41255.</w:t>
            </w:r>
          </w:p>
          <w:p>
            <w:pPr>
              <w:pStyle w:val="TableParagraph"/>
              <w:spacing w:line="234" w:lineRule="exact"/>
              <w:ind w:left="108"/>
              <w:rPr>
                <w:b/>
                <w:sz w:val="20"/>
              </w:rPr>
            </w:pPr>
            <w:r>
              <w:rPr>
                <w:b/>
                <w:spacing w:val="-5"/>
                <w:sz w:val="20"/>
              </w:rPr>
              <w:t>95</w:t>
            </w:r>
          </w:p>
        </w:tc>
        <w:tc>
          <w:tcPr>
            <w:tcW w:w="1108" w:type="dxa"/>
          </w:tcPr>
          <w:p>
            <w:pPr>
              <w:pStyle w:val="TableParagraph"/>
              <w:spacing w:line="234" w:lineRule="exact" w:before="97"/>
              <w:ind w:left="109"/>
              <w:rPr>
                <w:b/>
                <w:sz w:val="20"/>
              </w:rPr>
            </w:pPr>
            <w:r>
              <w:rPr>
                <w:b/>
                <w:spacing w:val="-2"/>
                <w:sz w:val="20"/>
              </w:rPr>
              <w:t>20580.6</w:t>
            </w:r>
          </w:p>
          <w:p>
            <w:pPr>
              <w:pStyle w:val="TableParagraph"/>
              <w:spacing w:line="234" w:lineRule="exact"/>
              <w:ind w:left="109"/>
              <w:rPr>
                <w:b/>
                <w:sz w:val="20"/>
              </w:rPr>
            </w:pPr>
            <w:r>
              <w:rPr>
                <w:b/>
                <w:spacing w:val="-10"/>
                <w:sz w:val="20"/>
              </w:rPr>
              <w:t>4</w:t>
            </w:r>
          </w:p>
        </w:tc>
        <w:tc>
          <w:tcPr>
            <w:tcW w:w="1223" w:type="dxa"/>
          </w:tcPr>
          <w:p>
            <w:pPr>
              <w:pStyle w:val="TableParagraph"/>
              <w:spacing w:line="234" w:lineRule="exact" w:before="97"/>
              <w:ind w:left="110"/>
              <w:rPr>
                <w:b/>
                <w:sz w:val="20"/>
              </w:rPr>
            </w:pPr>
            <w:r>
              <w:rPr>
                <w:b/>
                <w:spacing w:val="-2"/>
                <w:sz w:val="20"/>
              </w:rPr>
              <w:t>182471.1</w:t>
            </w:r>
          </w:p>
          <w:p>
            <w:pPr>
              <w:pStyle w:val="TableParagraph"/>
              <w:spacing w:line="234" w:lineRule="exact"/>
              <w:ind w:left="110"/>
              <w:rPr>
                <w:b/>
                <w:sz w:val="20"/>
              </w:rPr>
            </w:pPr>
            <w:r>
              <w:rPr>
                <w:b/>
                <w:spacing w:val="-10"/>
                <w:sz w:val="20"/>
              </w:rPr>
              <w:t>7</w:t>
            </w:r>
          </w:p>
        </w:tc>
      </w:tr>
      <w:tr>
        <w:trPr>
          <w:trHeight w:val="1365" w:hRule="atLeast"/>
        </w:trPr>
        <w:tc>
          <w:tcPr>
            <w:tcW w:w="2124" w:type="dxa"/>
            <w:gridSpan w:val="2"/>
          </w:tcPr>
          <w:p>
            <w:pPr>
              <w:pStyle w:val="TableParagraph"/>
              <w:spacing w:before="94"/>
              <w:ind w:left="107" w:right="28"/>
              <w:rPr>
                <w:b/>
                <w:sz w:val="20"/>
              </w:rPr>
            </w:pPr>
            <w:r>
              <w:rPr>
                <w:b/>
                <w:sz w:val="20"/>
              </w:rPr>
              <w:t>Total</w:t>
            </w:r>
            <w:r>
              <w:rPr>
                <w:b/>
                <w:spacing w:val="-17"/>
                <w:sz w:val="20"/>
              </w:rPr>
              <w:t> </w:t>
            </w:r>
            <w:r>
              <w:rPr>
                <w:b/>
                <w:sz w:val="20"/>
              </w:rPr>
              <w:t>Land</w:t>
            </w:r>
            <w:r>
              <w:rPr>
                <w:b/>
                <w:spacing w:val="-17"/>
                <w:sz w:val="20"/>
              </w:rPr>
              <w:t> </w:t>
            </w:r>
            <w:r>
              <w:rPr>
                <w:b/>
                <w:sz w:val="20"/>
              </w:rPr>
              <w:t>Area</w:t>
            </w:r>
            <w:r>
              <w:rPr>
                <w:b/>
                <w:spacing w:val="-17"/>
                <w:sz w:val="20"/>
              </w:rPr>
              <w:t> </w:t>
            </w:r>
            <w:r>
              <w:rPr>
                <w:b/>
                <w:sz w:val="20"/>
              </w:rPr>
              <w:t>of </w:t>
            </w:r>
            <w:r>
              <w:rPr>
                <w:b/>
                <w:spacing w:val="-2"/>
                <w:sz w:val="20"/>
              </w:rPr>
              <w:t>Buildable </w:t>
            </w:r>
            <w:r>
              <w:rPr>
                <w:b/>
                <w:sz w:val="20"/>
              </w:rPr>
              <w:t>Amenities</w:t>
            </w:r>
            <w:r>
              <w:rPr>
                <w:b/>
                <w:spacing w:val="40"/>
                <w:sz w:val="20"/>
              </w:rPr>
              <w:t> </w:t>
            </w:r>
            <w:r>
              <w:rPr>
                <w:b/>
                <w:sz w:val="20"/>
              </w:rPr>
              <w:t>not</w:t>
            </w:r>
            <w:r>
              <w:rPr>
                <w:b/>
                <w:spacing w:val="40"/>
                <w:sz w:val="20"/>
              </w:rPr>
              <w:t> </w:t>
            </w:r>
            <w:r>
              <w:rPr>
                <w:b/>
                <w:sz w:val="20"/>
              </w:rPr>
              <w:t>to be constructed by the developers.</w:t>
            </w:r>
          </w:p>
        </w:tc>
        <w:tc>
          <w:tcPr>
            <w:tcW w:w="946" w:type="dxa"/>
          </w:tcPr>
          <w:p>
            <w:pPr>
              <w:pStyle w:val="TableParagraph"/>
              <w:rPr>
                <w:rFonts w:ascii="Times New Roman"/>
                <w:sz w:val="18"/>
              </w:rPr>
            </w:pPr>
          </w:p>
        </w:tc>
        <w:tc>
          <w:tcPr>
            <w:tcW w:w="720" w:type="dxa"/>
          </w:tcPr>
          <w:p>
            <w:pPr>
              <w:pStyle w:val="TableParagraph"/>
              <w:rPr>
                <w:rFonts w:ascii="Times New Roman"/>
                <w:sz w:val="18"/>
              </w:rPr>
            </w:pPr>
          </w:p>
        </w:tc>
        <w:tc>
          <w:tcPr>
            <w:tcW w:w="1080" w:type="dxa"/>
          </w:tcPr>
          <w:p>
            <w:pPr>
              <w:pStyle w:val="TableParagraph"/>
              <w:rPr>
                <w:rFonts w:ascii="Times New Roman"/>
                <w:sz w:val="18"/>
              </w:rPr>
            </w:pPr>
          </w:p>
        </w:tc>
        <w:tc>
          <w:tcPr>
            <w:tcW w:w="1080" w:type="dxa"/>
          </w:tcPr>
          <w:p>
            <w:pPr>
              <w:pStyle w:val="TableParagraph"/>
              <w:rPr>
                <w:rFonts w:ascii="Times New Roman"/>
                <w:sz w:val="18"/>
              </w:rPr>
            </w:pPr>
          </w:p>
        </w:tc>
        <w:tc>
          <w:tcPr>
            <w:tcW w:w="1080" w:type="dxa"/>
          </w:tcPr>
          <w:p>
            <w:pPr>
              <w:pStyle w:val="TableParagraph"/>
              <w:rPr>
                <w:rFonts w:ascii="Times New Roman"/>
                <w:sz w:val="18"/>
              </w:rPr>
            </w:pPr>
          </w:p>
        </w:tc>
        <w:tc>
          <w:tcPr>
            <w:tcW w:w="1025" w:type="dxa"/>
          </w:tcPr>
          <w:p>
            <w:pPr>
              <w:pStyle w:val="TableParagraph"/>
              <w:rPr>
                <w:rFonts w:ascii="Times New Roman"/>
                <w:sz w:val="18"/>
              </w:rPr>
            </w:pPr>
          </w:p>
        </w:tc>
        <w:tc>
          <w:tcPr>
            <w:tcW w:w="1108" w:type="dxa"/>
          </w:tcPr>
          <w:p>
            <w:pPr>
              <w:pStyle w:val="TableParagraph"/>
              <w:rPr>
                <w:rFonts w:ascii="Times New Roman"/>
                <w:sz w:val="18"/>
              </w:rPr>
            </w:pPr>
          </w:p>
        </w:tc>
        <w:tc>
          <w:tcPr>
            <w:tcW w:w="1223" w:type="dxa"/>
          </w:tcPr>
          <w:p>
            <w:pPr>
              <w:pStyle w:val="TableParagraph"/>
              <w:rPr>
                <w:rFonts w:ascii="Times New Roman"/>
                <w:sz w:val="18"/>
              </w:rPr>
            </w:pPr>
          </w:p>
        </w:tc>
      </w:tr>
      <w:tr>
        <w:trPr>
          <w:trHeight w:val="661" w:hRule="atLeast"/>
        </w:trPr>
        <w:tc>
          <w:tcPr>
            <w:tcW w:w="550" w:type="dxa"/>
          </w:tcPr>
          <w:p>
            <w:pPr>
              <w:pStyle w:val="TableParagraph"/>
              <w:spacing w:before="97"/>
              <w:ind w:left="107"/>
              <w:rPr>
                <w:sz w:val="20"/>
              </w:rPr>
            </w:pPr>
            <w:r>
              <w:rPr>
                <w:spacing w:val="-5"/>
                <w:sz w:val="20"/>
              </w:rPr>
              <w:t>12</w:t>
            </w:r>
          </w:p>
        </w:tc>
        <w:tc>
          <w:tcPr>
            <w:tcW w:w="1574" w:type="dxa"/>
          </w:tcPr>
          <w:p>
            <w:pPr>
              <w:pStyle w:val="TableParagraph"/>
              <w:tabs>
                <w:tab w:pos="1077" w:val="left" w:leader="none"/>
              </w:tabs>
              <w:spacing w:before="97"/>
              <w:ind w:left="107" w:right="98"/>
              <w:rPr>
                <w:sz w:val="20"/>
              </w:rPr>
            </w:pPr>
            <w:r>
              <w:rPr>
                <w:spacing w:val="-4"/>
                <w:sz w:val="20"/>
              </w:rPr>
              <w:t>Best</w:t>
            </w:r>
            <w:r>
              <w:rPr>
                <w:sz w:val="20"/>
              </w:rPr>
              <w:tab/>
            </w:r>
            <w:r>
              <w:rPr>
                <w:spacing w:val="-4"/>
                <w:sz w:val="20"/>
              </w:rPr>
              <w:t>Bus </w:t>
            </w:r>
            <w:r>
              <w:rPr>
                <w:color w:val="000000"/>
                <w:spacing w:val="-2"/>
                <w:sz w:val="20"/>
                <w:shd w:fill="FFCCFF" w:color="auto" w:val="clear"/>
              </w:rPr>
              <w:t>Station</w:t>
            </w:r>
          </w:p>
        </w:tc>
        <w:tc>
          <w:tcPr>
            <w:tcW w:w="946" w:type="dxa"/>
          </w:tcPr>
          <w:p>
            <w:pPr>
              <w:pStyle w:val="TableParagraph"/>
              <w:spacing w:before="214"/>
              <w:ind w:left="175"/>
              <w:rPr>
                <w:b/>
                <w:sz w:val="20"/>
              </w:rPr>
            </w:pPr>
            <w:r>
              <w:rPr>
                <w:b/>
                <w:spacing w:val="-2"/>
                <w:sz w:val="20"/>
              </w:rPr>
              <w:t>RT1.4</w:t>
            </w:r>
          </w:p>
        </w:tc>
        <w:tc>
          <w:tcPr>
            <w:tcW w:w="720" w:type="dxa"/>
          </w:tcPr>
          <w:p>
            <w:pPr>
              <w:pStyle w:val="TableParagraph"/>
              <w:spacing w:before="214"/>
              <w:ind w:left="108"/>
              <w:rPr>
                <w:sz w:val="20"/>
              </w:rPr>
            </w:pPr>
            <w:r>
              <w:rPr>
                <w:spacing w:val="-5"/>
                <w:sz w:val="20"/>
              </w:rPr>
              <w:t>Ha</w:t>
            </w:r>
          </w:p>
        </w:tc>
        <w:tc>
          <w:tcPr>
            <w:tcW w:w="1080" w:type="dxa"/>
          </w:tcPr>
          <w:p>
            <w:pPr>
              <w:pStyle w:val="TableParagraph"/>
              <w:spacing w:before="214"/>
              <w:ind w:left="108"/>
              <w:rPr>
                <w:sz w:val="20"/>
              </w:rPr>
            </w:pPr>
            <w:r>
              <w:rPr>
                <w:spacing w:val="-4"/>
                <w:sz w:val="20"/>
              </w:rPr>
              <w:t>0.00</w:t>
            </w:r>
          </w:p>
        </w:tc>
        <w:tc>
          <w:tcPr>
            <w:tcW w:w="1080" w:type="dxa"/>
          </w:tcPr>
          <w:p>
            <w:pPr>
              <w:pStyle w:val="TableParagraph"/>
              <w:spacing w:before="214"/>
              <w:ind w:left="108"/>
              <w:rPr>
                <w:sz w:val="20"/>
              </w:rPr>
            </w:pPr>
            <w:r>
              <w:rPr>
                <w:spacing w:val="-4"/>
                <w:sz w:val="20"/>
              </w:rPr>
              <w:t>0.00</w:t>
            </w:r>
          </w:p>
        </w:tc>
        <w:tc>
          <w:tcPr>
            <w:tcW w:w="1080" w:type="dxa"/>
          </w:tcPr>
          <w:p>
            <w:pPr>
              <w:pStyle w:val="TableParagraph"/>
              <w:spacing w:before="214"/>
              <w:ind w:left="108"/>
              <w:rPr>
                <w:sz w:val="20"/>
              </w:rPr>
            </w:pPr>
            <w:r>
              <w:rPr>
                <w:spacing w:val="-4"/>
                <w:sz w:val="20"/>
              </w:rPr>
              <w:t>0.06</w:t>
            </w:r>
          </w:p>
        </w:tc>
        <w:tc>
          <w:tcPr>
            <w:tcW w:w="1025" w:type="dxa"/>
          </w:tcPr>
          <w:p>
            <w:pPr>
              <w:pStyle w:val="TableParagraph"/>
              <w:spacing w:before="214"/>
              <w:ind w:left="108"/>
              <w:rPr>
                <w:sz w:val="20"/>
              </w:rPr>
            </w:pPr>
            <w:r>
              <w:rPr>
                <w:spacing w:val="-4"/>
                <w:sz w:val="20"/>
              </w:rPr>
              <w:t>0.00</w:t>
            </w:r>
          </w:p>
        </w:tc>
        <w:tc>
          <w:tcPr>
            <w:tcW w:w="1108" w:type="dxa"/>
          </w:tcPr>
          <w:p>
            <w:pPr>
              <w:pStyle w:val="TableParagraph"/>
              <w:spacing w:before="214"/>
              <w:ind w:left="109"/>
              <w:rPr>
                <w:sz w:val="20"/>
              </w:rPr>
            </w:pPr>
            <w:r>
              <w:rPr>
                <w:spacing w:val="-4"/>
                <w:sz w:val="20"/>
              </w:rPr>
              <w:t>0.00</w:t>
            </w:r>
          </w:p>
        </w:tc>
        <w:tc>
          <w:tcPr>
            <w:tcW w:w="1223" w:type="dxa"/>
          </w:tcPr>
          <w:p>
            <w:pPr>
              <w:pStyle w:val="TableParagraph"/>
              <w:spacing w:before="214"/>
              <w:ind w:left="110"/>
              <w:rPr>
                <w:b/>
                <w:sz w:val="20"/>
              </w:rPr>
            </w:pPr>
            <w:r>
              <w:rPr>
                <w:b/>
                <w:spacing w:val="-4"/>
                <w:sz w:val="20"/>
              </w:rPr>
              <w:t>0.06</w:t>
            </w:r>
          </w:p>
        </w:tc>
      </w:tr>
      <w:tr>
        <w:trPr>
          <w:trHeight w:val="897" w:hRule="atLeast"/>
        </w:trPr>
        <w:tc>
          <w:tcPr>
            <w:tcW w:w="550" w:type="dxa"/>
          </w:tcPr>
          <w:p>
            <w:pPr>
              <w:pStyle w:val="TableParagraph"/>
              <w:spacing w:before="94"/>
              <w:ind w:left="107"/>
              <w:rPr>
                <w:sz w:val="20"/>
              </w:rPr>
            </w:pPr>
            <w:r>
              <w:rPr>
                <w:spacing w:val="-5"/>
                <w:sz w:val="20"/>
              </w:rPr>
              <w:t>13</w:t>
            </w:r>
          </w:p>
        </w:tc>
        <w:tc>
          <w:tcPr>
            <w:tcW w:w="1574" w:type="dxa"/>
          </w:tcPr>
          <w:p>
            <w:pPr>
              <w:pStyle w:val="TableParagraph"/>
              <w:spacing w:before="94"/>
              <w:ind w:left="107" w:right="534"/>
              <w:rPr>
                <w:sz w:val="20"/>
              </w:rPr>
            </w:pPr>
            <w:r>
              <w:rPr>
                <w:spacing w:val="-2"/>
                <w:sz w:val="20"/>
              </w:rPr>
              <w:t>/Tata Receiving Station</w:t>
            </w:r>
          </w:p>
        </w:tc>
        <w:tc>
          <w:tcPr>
            <w:tcW w:w="946" w:type="dxa"/>
          </w:tcPr>
          <w:p>
            <w:pPr>
              <w:pStyle w:val="TableParagraph"/>
              <w:rPr>
                <w:rFonts w:ascii="Times New Roman"/>
                <w:sz w:val="18"/>
              </w:rPr>
            </w:pPr>
          </w:p>
        </w:tc>
        <w:tc>
          <w:tcPr>
            <w:tcW w:w="720" w:type="dxa"/>
          </w:tcPr>
          <w:p>
            <w:pPr>
              <w:pStyle w:val="TableParagraph"/>
              <w:spacing w:before="94"/>
              <w:rPr>
                <w:b/>
                <w:i/>
                <w:sz w:val="20"/>
              </w:rPr>
            </w:pPr>
          </w:p>
          <w:p>
            <w:pPr>
              <w:pStyle w:val="TableParagraph"/>
              <w:spacing w:before="1"/>
              <w:ind w:left="108"/>
              <w:rPr>
                <w:sz w:val="20"/>
              </w:rPr>
            </w:pPr>
            <w:r>
              <w:rPr>
                <w:spacing w:val="-5"/>
                <w:sz w:val="20"/>
              </w:rPr>
              <w:t>ha</w:t>
            </w:r>
          </w:p>
        </w:tc>
        <w:tc>
          <w:tcPr>
            <w:tcW w:w="1080" w:type="dxa"/>
          </w:tcPr>
          <w:p>
            <w:pPr>
              <w:pStyle w:val="TableParagraph"/>
              <w:spacing w:before="94"/>
              <w:rPr>
                <w:b/>
                <w:i/>
                <w:sz w:val="20"/>
              </w:rPr>
            </w:pPr>
          </w:p>
          <w:p>
            <w:pPr>
              <w:pStyle w:val="TableParagraph"/>
              <w:spacing w:before="1"/>
              <w:ind w:left="108"/>
              <w:rPr>
                <w:sz w:val="20"/>
              </w:rPr>
            </w:pPr>
            <w:r>
              <w:rPr>
                <w:spacing w:val="-4"/>
                <w:sz w:val="20"/>
              </w:rPr>
              <w:t>0.00</w:t>
            </w:r>
          </w:p>
        </w:tc>
        <w:tc>
          <w:tcPr>
            <w:tcW w:w="1080" w:type="dxa"/>
          </w:tcPr>
          <w:p>
            <w:pPr>
              <w:pStyle w:val="TableParagraph"/>
              <w:spacing w:before="94"/>
              <w:rPr>
                <w:b/>
                <w:i/>
                <w:sz w:val="20"/>
              </w:rPr>
            </w:pPr>
          </w:p>
          <w:p>
            <w:pPr>
              <w:pStyle w:val="TableParagraph"/>
              <w:spacing w:before="1"/>
              <w:ind w:left="108"/>
              <w:rPr>
                <w:sz w:val="20"/>
              </w:rPr>
            </w:pPr>
            <w:r>
              <w:rPr>
                <w:spacing w:val="-4"/>
                <w:sz w:val="20"/>
              </w:rPr>
              <w:t>1.30</w:t>
            </w:r>
          </w:p>
        </w:tc>
        <w:tc>
          <w:tcPr>
            <w:tcW w:w="1080" w:type="dxa"/>
          </w:tcPr>
          <w:p>
            <w:pPr>
              <w:pStyle w:val="TableParagraph"/>
              <w:spacing w:before="94"/>
              <w:rPr>
                <w:b/>
                <w:i/>
                <w:sz w:val="20"/>
              </w:rPr>
            </w:pPr>
          </w:p>
          <w:p>
            <w:pPr>
              <w:pStyle w:val="TableParagraph"/>
              <w:spacing w:before="1"/>
              <w:ind w:left="108"/>
              <w:rPr>
                <w:sz w:val="20"/>
              </w:rPr>
            </w:pPr>
            <w:r>
              <w:rPr>
                <w:spacing w:val="-4"/>
                <w:sz w:val="20"/>
              </w:rPr>
              <w:t>0.00</w:t>
            </w:r>
          </w:p>
        </w:tc>
        <w:tc>
          <w:tcPr>
            <w:tcW w:w="1025" w:type="dxa"/>
          </w:tcPr>
          <w:p>
            <w:pPr>
              <w:pStyle w:val="TableParagraph"/>
              <w:spacing w:before="94"/>
              <w:rPr>
                <w:b/>
                <w:i/>
                <w:sz w:val="20"/>
              </w:rPr>
            </w:pPr>
          </w:p>
          <w:p>
            <w:pPr>
              <w:pStyle w:val="TableParagraph"/>
              <w:spacing w:before="1"/>
              <w:ind w:left="108"/>
              <w:rPr>
                <w:sz w:val="20"/>
              </w:rPr>
            </w:pPr>
            <w:r>
              <w:rPr>
                <w:spacing w:val="-4"/>
                <w:sz w:val="20"/>
              </w:rPr>
              <w:t>0.00</w:t>
            </w:r>
          </w:p>
        </w:tc>
        <w:tc>
          <w:tcPr>
            <w:tcW w:w="1108" w:type="dxa"/>
          </w:tcPr>
          <w:p>
            <w:pPr>
              <w:pStyle w:val="TableParagraph"/>
              <w:spacing w:before="94"/>
              <w:rPr>
                <w:b/>
                <w:i/>
                <w:sz w:val="20"/>
              </w:rPr>
            </w:pPr>
          </w:p>
          <w:p>
            <w:pPr>
              <w:pStyle w:val="TableParagraph"/>
              <w:spacing w:before="1"/>
              <w:ind w:left="109"/>
              <w:rPr>
                <w:sz w:val="20"/>
              </w:rPr>
            </w:pPr>
            <w:r>
              <w:rPr>
                <w:spacing w:val="-4"/>
                <w:sz w:val="20"/>
              </w:rPr>
              <w:t>0.00</w:t>
            </w:r>
          </w:p>
        </w:tc>
        <w:tc>
          <w:tcPr>
            <w:tcW w:w="1223" w:type="dxa"/>
          </w:tcPr>
          <w:p>
            <w:pPr>
              <w:pStyle w:val="TableParagraph"/>
              <w:spacing w:before="94"/>
              <w:rPr>
                <w:b/>
                <w:i/>
                <w:sz w:val="20"/>
              </w:rPr>
            </w:pPr>
          </w:p>
          <w:p>
            <w:pPr>
              <w:pStyle w:val="TableParagraph"/>
              <w:spacing w:before="1"/>
              <w:ind w:left="110"/>
              <w:rPr>
                <w:b/>
                <w:sz w:val="20"/>
              </w:rPr>
            </w:pPr>
            <w:r>
              <w:rPr>
                <w:b/>
                <w:spacing w:val="-4"/>
                <w:sz w:val="20"/>
              </w:rPr>
              <w:t>1.30</w:t>
            </w:r>
          </w:p>
        </w:tc>
      </w:tr>
      <w:tr>
        <w:trPr>
          <w:trHeight w:val="662" w:hRule="atLeast"/>
        </w:trPr>
        <w:tc>
          <w:tcPr>
            <w:tcW w:w="550" w:type="dxa"/>
          </w:tcPr>
          <w:p>
            <w:pPr>
              <w:pStyle w:val="TableParagraph"/>
              <w:spacing w:before="94"/>
              <w:ind w:left="107"/>
              <w:rPr>
                <w:sz w:val="20"/>
              </w:rPr>
            </w:pPr>
            <w:r>
              <w:rPr>
                <w:spacing w:val="-5"/>
                <w:sz w:val="20"/>
              </w:rPr>
              <w:t>14</w:t>
            </w:r>
          </w:p>
        </w:tc>
        <w:tc>
          <w:tcPr>
            <w:tcW w:w="1574" w:type="dxa"/>
          </w:tcPr>
          <w:p>
            <w:pPr>
              <w:pStyle w:val="TableParagraph"/>
              <w:spacing w:before="94"/>
              <w:ind w:left="107" w:right="578"/>
              <w:rPr>
                <w:sz w:val="20"/>
              </w:rPr>
            </w:pPr>
            <w:r>
              <w:rPr>
                <w:spacing w:val="-2"/>
                <w:sz w:val="20"/>
              </w:rPr>
              <w:t>Pumping station</w:t>
            </w:r>
          </w:p>
        </w:tc>
        <w:tc>
          <w:tcPr>
            <w:tcW w:w="946" w:type="dxa"/>
          </w:tcPr>
          <w:p>
            <w:pPr>
              <w:pStyle w:val="TableParagraph"/>
              <w:rPr>
                <w:rFonts w:ascii="Times New Roman"/>
                <w:sz w:val="18"/>
              </w:rPr>
            </w:pPr>
          </w:p>
        </w:tc>
        <w:tc>
          <w:tcPr>
            <w:tcW w:w="720" w:type="dxa"/>
          </w:tcPr>
          <w:p>
            <w:pPr>
              <w:pStyle w:val="TableParagraph"/>
              <w:spacing w:before="212"/>
              <w:ind w:left="108"/>
              <w:rPr>
                <w:sz w:val="20"/>
              </w:rPr>
            </w:pPr>
            <w:r>
              <w:rPr>
                <w:spacing w:val="-5"/>
                <w:sz w:val="20"/>
              </w:rPr>
              <w:t>Ha</w:t>
            </w:r>
          </w:p>
        </w:tc>
        <w:tc>
          <w:tcPr>
            <w:tcW w:w="1080" w:type="dxa"/>
          </w:tcPr>
          <w:p>
            <w:pPr>
              <w:pStyle w:val="TableParagraph"/>
              <w:spacing w:before="212"/>
              <w:ind w:left="108"/>
              <w:rPr>
                <w:sz w:val="20"/>
              </w:rPr>
            </w:pPr>
            <w:r>
              <w:rPr>
                <w:spacing w:val="-4"/>
                <w:sz w:val="20"/>
              </w:rPr>
              <w:t>0.00</w:t>
            </w:r>
          </w:p>
        </w:tc>
        <w:tc>
          <w:tcPr>
            <w:tcW w:w="1080" w:type="dxa"/>
          </w:tcPr>
          <w:p>
            <w:pPr>
              <w:pStyle w:val="TableParagraph"/>
              <w:spacing w:before="212"/>
              <w:ind w:left="108"/>
              <w:rPr>
                <w:sz w:val="20"/>
              </w:rPr>
            </w:pPr>
            <w:r>
              <w:rPr>
                <w:spacing w:val="-4"/>
                <w:sz w:val="20"/>
              </w:rPr>
              <w:t>0.00</w:t>
            </w:r>
          </w:p>
        </w:tc>
        <w:tc>
          <w:tcPr>
            <w:tcW w:w="1080" w:type="dxa"/>
          </w:tcPr>
          <w:p>
            <w:pPr>
              <w:pStyle w:val="TableParagraph"/>
              <w:spacing w:before="212"/>
              <w:ind w:left="108"/>
              <w:rPr>
                <w:sz w:val="20"/>
              </w:rPr>
            </w:pPr>
            <w:r>
              <w:rPr>
                <w:spacing w:val="-4"/>
                <w:sz w:val="20"/>
              </w:rPr>
              <w:t>0.37</w:t>
            </w:r>
          </w:p>
        </w:tc>
        <w:tc>
          <w:tcPr>
            <w:tcW w:w="1025" w:type="dxa"/>
          </w:tcPr>
          <w:p>
            <w:pPr>
              <w:pStyle w:val="TableParagraph"/>
              <w:spacing w:before="212"/>
              <w:ind w:left="108"/>
              <w:rPr>
                <w:sz w:val="20"/>
              </w:rPr>
            </w:pPr>
            <w:r>
              <w:rPr>
                <w:spacing w:val="-4"/>
                <w:sz w:val="20"/>
              </w:rPr>
              <w:t>0.00</w:t>
            </w:r>
          </w:p>
        </w:tc>
        <w:tc>
          <w:tcPr>
            <w:tcW w:w="1108" w:type="dxa"/>
          </w:tcPr>
          <w:p>
            <w:pPr>
              <w:pStyle w:val="TableParagraph"/>
              <w:spacing w:before="212"/>
              <w:ind w:left="109"/>
              <w:rPr>
                <w:sz w:val="20"/>
              </w:rPr>
            </w:pPr>
            <w:r>
              <w:rPr>
                <w:spacing w:val="-4"/>
                <w:sz w:val="20"/>
              </w:rPr>
              <w:t>0.00</w:t>
            </w:r>
          </w:p>
        </w:tc>
        <w:tc>
          <w:tcPr>
            <w:tcW w:w="1223" w:type="dxa"/>
          </w:tcPr>
          <w:p>
            <w:pPr>
              <w:pStyle w:val="TableParagraph"/>
              <w:spacing w:before="212"/>
              <w:ind w:left="110"/>
              <w:rPr>
                <w:b/>
                <w:sz w:val="20"/>
              </w:rPr>
            </w:pPr>
            <w:r>
              <w:rPr>
                <w:b/>
                <w:spacing w:val="-4"/>
                <w:sz w:val="20"/>
              </w:rPr>
              <w:t>0.37</w:t>
            </w:r>
          </w:p>
        </w:tc>
      </w:tr>
      <w:tr>
        <w:trPr>
          <w:trHeight w:val="991" w:hRule="atLeast"/>
        </w:trPr>
        <w:tc>
          <w:tcPr>
            <w:tcW w:w="550" w:type="dxa"/>
          </w:tcPr>
          <w:p>
            <w:pPr>
              <w:pStyle w:val="TableParagraph"/>
              <w:spacing w:before="94"/>
              <w:ind w:left="107"/>
              <w:rPr>
                <w:sz w:val="20"/>
              </w:rPr>
            </w:pPr>
            <w:r>
              <w:rPr>
                <w:spacing w:val="-5"/>
                <w:sz w:val="20"/>
              </w:rPr>
              <w:t>15</w:t>
            </w:r>
          </w:p>
        </w:tc>
        <w:tc>
          <w:tcPr>
            <w:tcW w:w="1574" w:type="dxa"/>
          </w:tcPr>
          <w:p>
            <w:pPr>
              <w:pStyle w:val="TableParagraph"/>
              <w:spacing w:before="94"/>
              <w:ind w:left="172"/>
              <w:rPr>
                <w:sz w:val="20"/>
              </w:rPr>
            </w:pPr>
            <w:r>
              <w:rPr>
                <w:spacing w:val="-5"/>
                <w:sz w:val="20"/>
              </w:rPr>
              <w:t>ITI</w:t>
            </w:r>
          </w:p>
          <w:p>
            <w:pPr>
              <w:pStyle w:val="TableParagraph"/>
              <w:spacing w:before="97"/>
              <w:ind w:left="107" w:right="392"/>
              <w:rPr>
                <w:sz w:val="20"/>
              </w:rPr>
            </w:pPr>
            <w:r>
              <w:rPr>
                <w:spacing w:val="-2"/>
                <w:sz w:val="20"/>
              </w:rPr>
              <w:t>(Other Education)</w:t>
            </w:r>
          </w:p>
        </w:tc>
        <w:tc>
          <w:tcPr>
            <w:tcW w:w="946" w:type="dxa"/>
          </w:tcPr>
          <w:p>
            <w:pPr>
              <w:pStyle w:val="TableParagraph"/>
              <w:spacing w:before="143"/>
              <w:rPr>
                <w:b/>
                <w:i/>
                <w:sz w:val="20"/>
              </w:rPr>
            </w:pPr>
          </w:p>
          <w:p>
            <w:pPr>
              <w:pStyle w:val="TableParagraph"/>
              <w:ind w:left="175"/>
              <w:rPr>
                <w:b/>
                <w:sz w:val="20"/>
              </w:rPr>
            </w:pPr>
            <w:r>
              <w:rPr>
                <w:b/>
                <w:spacing w:val="-4"/>
                <w:sz w:val="20"/>
              </w:rPr>
              <w:t>RE3.1</w:t>
            </w:r>
          </w:p>
        </w:tc>
        <w:tc>
          <w:tcPr>
            <w:tcW w:w="720" w:type="dxa"/>
          </w:tcPr>
          <w:p>
            <w:pPr>
              <w:pStyle w:val="TableParagraph"/>
              <w:spacing w:before="143"/>
              <w:rPr>
                <w:b/>
                <w:i/>
                <w:sz w:val="20"/>
              </w:rPr>
            </w:pPr>
          </w:p>
          <w:p>
            <w:pPr>
              <w:pStyle w:val="TableParagraph"/>
              <w:ind w:left="108"/>
              <w:rPr>
                <w:sz w:val="20"/>
              </w:rPr>
            </w:pPr>
            <w:r>
              <w:rPr>
                <w:spacing w:val="-5"/>
                <w:sz w:val="20"/>
              </w:rPr>
              <w:t>Ha</w:t>
            </w:r>
          </w:p>
        </w:tc>
        <w:tc>
          <w:tcPr>
            <w:tcW w:w="1080" w:type="dxa"/>
          </w:tcPr>
          <w:p>
            <w:pPr>
              <w:pStyle w:val="TableParagraph"/>
              <w:spacing w:before="143"/>
              <w:rPr>
                <w:b/>
                <w:i/>
                <w:sz w:val="20"/>
              </w:rPr>
            </w:pPr>
          </w:p>
          <w:p>
            <w:pPr>
              <w:pStyle w:val="TableParagraph"/>
              <w:ind w:left="108"/>
              <w:rPr>
                <w:sz w:val="20"/>
              </w:rPr>
            </w:pPr>
            <w:r>
              <w:rPr>
                <w:spacing w:val="-4"/>
                <w:sz w:val="20"/>
              </w:rPr>
              <w:t>0.00</w:t>
            </w:r>
          </w:p>
        </w:tc>
        <w:tc>
          <w:tcPr>
            <w:tcW w:w="1080" w:type="dxa"/>
          </w:tcPr>
          <w:p>
            <w:pPr>
              <w:pStyle w:val="TableParagraph"/>
              <w:rPr>
                <w:rFonts w:ascii="Times New Roman"/>
                <w:sz w:val="18"/>
              </w:rPr>
            </w:pPr>
          </w:p>
        </w:tc>
        <w:tc>
          <w:tcPr>
            <w:tcW w:w="1080" w:type="dxa"/>
          </w:tcPr>
          <w:p>
            <w:pPr>
              <w:pStyle w:val="TableParagraph"/>
              <w:spacing w:before="143"/>
              <w:rPr>
                <w:b/>
                <w:i/>
                <w:sz w:val="20"/>
              </w:rPr>
            </w:pPr>
          </w:p>
          <w:p>
            <w:pPr>
              <w:pStyle w:val="TableParagraph"/>
              <w:ind w:left="108"/>
              <w:rPr>
                <w:sz w:val="20"/>
              </w:rPr>
            </w:pPr>
            <w:r>
              <w:rPr>
                <w:spacing w:val="-4"/>
                <w:sz w:val="20"/>
              </w:rPr>
              <w:t>0.30</w:t>
            </w:r>
          </w:p>
        </w:tc>
        <w:tc>
          <w:tcPr>
            <w:tcW w:w="1025" w:type="dxa"/>
          </w:tcPr>
          <w:p>
            <w:pPr>
              <w:pStyle w:val="TableParagraph"/>
              <w:spacing w:before="143"/>
              <w:rPr>
                <w:b/>
                <w:i/>
                <w:sz w:val="20"/>
              </w:rPr>
            </w:pPr>
          </w:p>
          <w:p>
            <w:pPr>
              <w:pStyle w:val="TableParagraph"/>
              <w:ind w:left="108"/>
              <w:rPr>
                <w:sz w:val="20"/>
              </w:rPr>
            </w:pPr>
            <w:r>
              <w:rPr>
                <w:spacing w:val="-4"/>
                <w:sz w:val="20"/>
              </w:rPr>
              <w:t>0.00</w:t>
            </w:r>
          </w:p>
        </w:tc>
        <w:tc>
          <w:tcPr>
            <w:tcW w:w="1108" w:type="dxa"/>
          </w:tcPr>
          <w:p>
            <w:pPr>
              <w:pStyle w:val="TableParagraph"/>
              <w:spacing w:before="143"/>
              <w:rPr>
                <w:b/>
                <w:i/>
                <w:sz w:val="20"/>
              </w:rPr>
            </w:pPr>
          </w:p>
          <w:p>
            <w:pPr>
              <w:pStyle w:val="TableParagraph"/>
              <w:ind w:left="109"/>
              <w:rPr>
                <w:sz w:val="20"/>
              </w:rPr>
            </w:pPr>
            <w:r>
              <w:rPr>
                <w:spacing w:val="-4"/>
                <w:sz w:val="20"/>
              </w:rPr>
              <w:t>0.00</w:t>
            </w:r>
          </w:p>
        </w:tc>
        <w:tc>
          <w:tcPr>
            <w:tcW w:w="1223" w:type="dxa"/>
          </w:tcPr>
          <w:p>
            <w:pPr>
              <w:pStyle w:val="TableParagraph"/>
              <w:spacing w:before="143"/>
              <w:rPr>
                <w:b/>
                <w:i/>
                <w:sz w:val="20"/>
              </w:rPr>
            </w:pPr>
          </w:p>
          <w:p>
            <w:pPr>
              <w:pStyle w:val="TableParagraph"/>
              <w:ind w:left="110"/>
              <w:rPr>
                <w:b/>
                <w:sz w:val="20"/>
              </w:rPr>
            </w:pPr>
            <w:r>
              <w:rPr>
                <w:b/>
                <w:spacing w:val="-4"/>
                <w:sz w:val="20"/>
              </w:rPr>
              <w:t>0.30</w:t>
            </w:r>
          </w:p>
        </w:tc>
      </w:tr>
      <w:tr>
        <w:trPr>
          <w:trHeight w:val="426" w:hRule="atLeast"/>
        </w:trPr>
        <w:tc>
          <w:tcPr>
            <w:tcW w:w="550" w:type="dxa"/>
          </w:tcPr>
          <w:p>
            <w:pPr>
              <w:pStyle w:val="TableParagraph"/>
              <w:rPr>
                <w:rFonts w:ascii="Times New Roman"/>
                <w:sz w:val="18"/>
              </w:rPr>
            </w:pPr>
          </w:p>
        </w:tc>
        <w:tc>
          <w:tcPr>
            <w:tcW w:w="1574" w:type="dxa"/>
          </w:tcPr>
          <w:p>
            <w:pPr>
              <w:pStyle w:val="TableParagraph"/>
              <w:spacing w:before="94"/>
              <w:ind w:left="107"/>
              <w:rPr>
                <w:b/>
                <w:sz w:val="20"/>
              </w:rPr>
            </w:pPr>
            <w:r>
              <w:rPr>
                <w:b/>
                <w:spacing w:val="-4"/>
                <w:sz w:val="20"/>
              </w:rPr>
              <w:t>Total</w:t>
            </w:r>
          </w:p>
        </w:tc>
        <w:tc>
          <w:tcPr>
            <w:tcW w:w="946" w:type="dxa"/>
          </w:tcPr>
          <w:p>
            <w:pPr>
              <w:pStyle w:val="TableParagraph"/>
              <w:rPr>
                <w:rFonts w:ascii="Times New Roman"/>
                <w:sz w:val="18"/>
              </w:rPr>
            </w:pPr>
          </w:p>
        </w:tc>
        <w:tc>
          <w:tcPr>
            <w:tcW w:w="720" w:type="dxa"/>
          </w:tcPr>
          <w:p>
            <w:pPr>
              <w:pStyle w:val="TableParagraph"/>
              <w:rPr>
                <w:rFonts w:ascii="Times New Roman"/>
                <w:sz w:val="18"/>
              </w:rPr>
            </w:pPr>
          </w:p>
        </w:tc>
        <w:tc>
          <w:tcPr>
            <w:tcW w:w="1080" w:type="dxa"/>
          </w:tcPr>
          <w:p>
            <w:pPr>
              <w:pStyle w:val="TableParagraph"/>
              <w:spacing w:before="94"/>
              <w:ind w:left="108"/>
              <w:rPr>
                <w:b/>
                <w:sz w:val="20"/>
              </w:rPr>
            </w:pPr>
            <w:r>
              <w:rPr>
                <w:b/>
                <w:spacing w:val="-4"/>
                <w:sz w:val="20"/>
              </w:rPr>
              <w:t>0.00</w:t>
            </w:r>
          </w:p>
        </w:tc>
        <w:tc>
          <w:tcPr>
            <w:tcW w:w="1080" w:type="dxa"/>
          </w:tcPr>
          <w:p>
            <w:pPr>
              <w:pStyle w:val="TableParagraph"/>
              <w:spacing w:before="94"/>
              <w:ind w:left="108"/>
              <w:rPr>
                <w:b/>
                <w:sz w:val="20"/>
              </w:rPr>
            </w:pPr>
            <w:r>
              <w:rPr>
                <w:b/>
                <w:spacing w:val="-4"/>
                <w:sz w:val="20"/>
              </w:rPr>
              <w:t>1.30</w:t>
            </w:r>
          </w:p>
        </w:tc>
        <w:tc>
          <w:tcPr>
            <w:tcW w:w="1080" w:type="dxa"/>
          </w:tcPr>
          <w:p>
            <w:pPr>
              <w:pStyle w:val="TableParagraph"/>
              <w:spacing w:before="94"/>
              <w:ind w:left="108"/>
              <w:rPr>
                <w:b/>
                <w:sz w:val="20"/>
              </w:rPr>
            </w:pPr>
            <w:r>
              <w:rPr>
                <w:b/>
                <w:spacing w:val="-4"/>
                <w:sz w:val="20"/>
              </w:rPr>
              <w:t>0.73</w:t>
            </w:r>
          </w:p>
        </w:tc>
        <w:tc>
          <w:tcPr>
            <w:tcW w:w="1025" w:type="dxa"/>
          </w:tcPr>
          <w:p>
            <w:pPr>
              <w:pStyle w:val="TableParagraph"/>
              <w:spacing w:before="94"/>
              <w:ind w:left="108"/>
              <w:rPr>
                <w:b/>
                <w:sz w:val="20"/>
              </w:rPr>
            </w:pPr>
            <w:r>
              <w:rPr>
                <w:b/>
                <w:spacing w:val="-4"/>
                <w:sz w:val="20"/>
              </w:rPr>
              <w:t>0.00</w:t>
            </w:r>
          </w:p>
        </w:tc>
        <w:tc>
          <w:tcPr>
            <w:tcW w:w="1108" w:type="dxa"/>
          </w:tcPr>
          <w:p>
            <w:pPr>
              <w:pStyle w:val="TableParagraph"/>
              <w:spacing w:before="94"/>
              <w:ind w:left="109"/>
              <w:rPr>
                <w:b/>
                <w:sz w:val="20"/>
              </w:rPr>
            </w:pPr>
            <w:r>
              <w:rPr>
                <w:b/>
                <w:spacing w:val="-4"/>
                <w:sz w:val="20"/>
              </w:rPr>
              <w:t>0.00</w:t>
            </w:r>
          </w:p>
        </w:tc>
        <w:tc>
          <w:tcPr>
            <w:tcW w:w="1223" w:type="dxa"/>
          </w:tcPr>
          <w:p>
            <w:pPr>
              <w:pStyle w:val="TableParagraph"/>
              <w:spacing w:before="94"/>
              <w:ind w:left="110"/>
              <w:rPr>
                <w:b/>
                <w:sz w:val="20"/>
              </w:rPr>
            </w:pPr>
            <w:r>
              <w:rPr>
                <w:b/>
                <w:spacing w:val="-4"/>
                <w:sz w:val="20"/>
              </w:rPr>
              <w:t>2.03</w:t>
            </w:r>
          </w:p>
        </w:tc>
      </w:tr>
      <w:tr>
        <w:trPr>
          <w:trHeight w:val="897" w:hRule="atLeast"/>
        </w:trPr>
        <w:tc>
          <w:tcPr>
            <w:tcW w:w="2124" w:type="dxa"/>
            <w:gridSpan w:val="2"/>
          </w:tcPr>
          <w:p>
            <w:pPr>
              <w:pStyle w:val="TableParagraph"/>
              <w:spacing w:before="94"/>
              <w:ind w:left="107" w:right="100"/>
              <w:rPr>
                <w:b/>
                <w:sz w:val="20"/>
              </w:rPr>
            </w:pPr>
            <w:r>
              <w:rPr>
                <w:b/>
                <w:sz w:val="20"/>
              </w:rPr>
              <w:t>Total</w:t>
            </w:r>
            <w:r>
              <w:rPr>
                <w:b/>
                <w:spacing w:val="-17"/>
                <w:sz w:val="20"/>
              </w:rPr>
              <w:t> </w:t>
            </w:r>
            <w:r>
              <w:rPr>
                <w:b/>
                <w:sz w:val="20"/>
              </w:rPr>
              <w:t>Land</w:t>
            </w:r>
            <w:r>
              <w:rPr>
                <w:b/>
                <w:spacing w:val="-17"/>
                <w:sz w:val="20"/>
              </w:rPr>
              <w:t> </w:t>
            </w:r>
            <w:r>
              <w:rPr>
                <w:b/>
                <w:sz w:val="20"/>
              </w:rPr>
              <w:t>Area</w:t>
            </w:r>
            <w:r>
              <w:rPr>
                <w:b/>
                <w:spacing w:val="-17"/>
                <w:sz w:val="20"/>
              </w:rPr>
              <w:t> </w:t>
            </w:r>
            <w:r>
              <w:rPr>
                <w:b/>
                <w:sz w:val="20"/>
              </w:rPr>
              <w:t>of </w:t>
            </w:r>
            <w:r>
              <w:rPr>
                <w:b/>
                <w:spacing w:val="-2"/>
                <w:sz w:val="20"/>
              </w:rPr>
              <w:t>Un-Buildable Amenities</w:t>
            </w:r>
          </w:p>
        </w:tc>
        <w:tc>
          <w:tcPr>
            <w:tcW w:w="946" w:type="dxa"/>
          </w:tcPr>
          <w:p>
            <w:pPr>
              <w:pStyle w:val="TableParagraph"/>
              <w:rPr>
                <w:rFonts w:ascii="Times New Roman"/>
                <w:sz w:val="18"/>
              </w:rPr>
            </w:pPr>
          </w:p>
        </w:tc>
        <w:tc>
          <w:tcPr>
            <w:tcW w:w="720" w:type="dxa"/>
          </w:tcPr>
          <w:p>
            <w:pPr>
              <w:pStyle w:val="TableParagraph"/>
              <w:rPr>
                <w:rFonts w:ascii="Times New Roman"/>
                <w:sz w:val="18"/>
              </w:rPr>
            </w:pPr>
          </w:p>
        </w:tc>
        <w:tc>
          <w:tcPr>
            <w:tcW w:w="1080" w:type="dxa"/>
          </w:tcPr>
          <w:p>
            <w:pPr>
              <w:pStyle w:val="TableParagraph"/>
              <w:rPr>
                <w:rFonts w:ascii="Times New Roman"/>
                <w:sz w:val="18"/>
              </w:rPr>
            </w:pPr>
          </w:p>
        </w:tc>
        <w:tc>
          <w:tcPr>
            <w:tcW w:w="1080" w:type="dxa"/>
          </w:tcPr>
          <w:p>
            <w:pPr>
              <w:pStyle w:val="TableParagraph"/>
              <w:rPr>
                <w:rFonts w:ascii="Times New Roman"/>
                <w:sz w:val="18"/>
              </w:rPr>
            </w:pPr>
          </w:p>
        </w:tc>
        <w:tc>
          <w:tcPr>
            <w:tcW w:w="1080" w:type="dxa"/>
          </w:tcPr>
          <w:p>
            <w:pPr>
              <w:pStyle w:val="TableParagraph"/>
              <w:rPr>
                <w:rFonts w:ascii="Times New Roman"/>
                <w:sz w:val="18"/>
              </w:rPr>
            </w:pPr>
          </w:p>
        </w:tc>
        <w:tc>
          <w:tcPr>
            <w:tcW w:w="1025" w:type="dxa"/>
          </w:tcPr>
          <w:p>
            <w:pPr>
              <w:pStyle w:val="TableParagraph"/>
              <w:rPr>
                <w:rFonts w:ascii="Times New Roman"/>
                <w:sz w:val="18"/>
              </w:rPr>
            </w:pPr>
          </w:p>
        </w:tc>
        <w:tc>
          <w:tcPr>
            <w:tcW w:w="1108" w:type="dxa"/>
          </w:tcPr>
          <w:p>
            <w:pPr>
              <w:pStyle w:val="TableParagraph"/>
              <w:rPr>
                <w:rFonts w:ascii="Times New Roman"/>
                <w:sz w:val="18"/>
              </w:rPr>
            </w:pPr>
          </w:p>
        </w:tc>
        <w:tc>
          <w:tcPr>
            <w:tcW w:w="1223" w:type="dxa"/>
          </w:tcPr>
          <w:p>
            <w:pPr>
              <w:pStyle w:val="TableParagraph"/>
              <w:rPr>
                <w:rFonts w:ascii="Times New Roman"/>
                <w:sz w:val="18"/>
              </w:rPr>
            </w:pPr>
          </w:p>
        </w:tc>
      </w:tr>
      <w:tr>
        <w:trPr>
          <w:trHeight w:val="426" w:hRule="atLeast"/>
        </w:trPr>
        <w:tc>
          <w:tcPr>
            <w:tcW w:w="550" w:type="dxa"/>
          </w:tcPr>
          <w:p>
            <w:pPr>
              <w:pStyle w:val="TableParagraph"/>
              <w:spacing w:before="94"/>
              <w:ind w:left="107"/>
              <w:rPr>
                <w:sz w:val="20"/>
              </w:rPr>
            </w:pPr>
            <w:r>
              <w:rPr>
                <w:spacing w:val="-5"/>
                <w:sz w:val="20"/>
              </w:rPr>
              <w:t>16</w:t>
            </w:r>
          </w:p>
        </w:tc>
        <w:tc>
          <w:tcPr>
            <w:tcW w:w="1574" w:type="dxa"/>
          </w:tcPr>
          <w:p>
            <w:pPr>
              <w:pStyle w:val="TableParagraph"/>
              <w:spacing w:before="94"/>
              <w:ind w:left="107"/>
              <w:rPr>
                <w:sz w:val="20"/>
              </w:rPr>
            </w:pPr>
            <w:r>
              <w:rPr>
                <w:sz w:val="20"/>
              </w:rPr>
              <w:t>Parking</w:t>
            </w:r>
            <w:r>
              <w:rPr>
                <w:spacing w:val="-13"/>
                <w:sz w:val="20"/>
              </w:rPr>
              <w:t> </w:t>
            </w:r>
            <w:r>
              <w:rPr>
                <w:spacing w:val="-5"/>
                <w:sz w:val="20"/>
              </w:rPr>
              <w:t>Lot</w:t>
            </w:r>
          </w:p>
        </w:tc>
        <w:tc>
          <w:tcPr>
            <w:tcW w:w="946" w:type="dxa"/>
          </w:tcPr>
          <w:p>
            <w:pPr>
              <w:pStyle w:val="TableParagraph"/>
              <w:spacing w:before="94"/>
              <w:ind w:left="108"/>
              <w:rPr>
                <w:b/>
                <w:sz w:val="20"/>
              </w:rPr>
            </w:pPr>
            <w:r>
              <w:rPr>
                <w:b/>
                <w:spacing w:val="-2"/>
                <w:sz w:val="20"/>
              </w:rPr>
              <w:t>RT1.6</w:t>
            </w:r>
          </w:p>
        </w:tc>
        <w:tc>
          <w:tcPr>
            <w:tcW w:w="720" w:type="dxa"/>
          </w:tcPr>
          <w:p>
            <w:pPr>
              <w:pStyle w:val="TableParagraph"/>
              <w:spacing w:before="94"/>
              <w:ind w:left="108"/>
              <w:rPr>
                <w:sz w:val="20"/>
              </w:rPr>
            </w:pPr>
            <w:r>
              <w:rPr>
                <w:spacing w:val="-5"/>
                <w:sz w:val="20"/>
              </w:rPr>
              <w:t>ha</w:t>
            </w:r>
          </w:p>
        </w:tc>
        <w:tc>
          <w:tcPr>
            <w:tcW w:w="1080" w:type="dxa"/>
          </w:tcPr>
          <w:p>
            <w:pPr>
              <w:pStyle w:val="TableParagraph"/>
              <w:spacing w:before="94"/>
              <w:ind w:left="108"/>
              <w:rPr>
                <w:sz w:val="20"/>
              </w:rPr>
            </w:pPr>
            <w:r>
              <w:rPr>
                <w:spacing w:val="-4"/>
                <w:sz w:val="20"/>
              </w:rPr>
              <w:t>0.00</w:t>
            </w:r>
          </w:p>
        </w:tc>
        <w:tc>
          <w:tcPr>
            <w:tcW w:w="1080" w:type="dxa"/>
          </w:tcPr>
          <w:p>
            <w:pPr>
              <w:pStyle w:val="TableParagraph"/>
              <w:spacing w:before="94"/>
              <w:ind w:left="108"/>
              <w:rPr>
                <w:sz w:val="20"/>
              </w:rPr>
            </w:pPr>
            <w:r>
              <w:rPr>
                <w:spacing w:val="-4"/>
                <w:sz w:val="20"/>
              </w:rPr>
              <w:t>0.00</w:t>
            </w:r>
          </w:p>
        </w:tc>
        <w:tc>
          <w:tcPr>
            <w:tcW w:w="1080" w:type="dxa"/>
          </w:tcPr>
          <w:p>
            <w:pPr>
              <w:pStyle w:val="TableParagraph"/>
              <w:spacing w:before="94"/>
              <w:ind w:left="108"/>
              <w:rPr>
                <w:sz w:val="20"/>
              </w:rPr>
            </w:pPr>
            <w:r>
              <w:rPr>
                <w:spacing w:val="-4"/>
                <w:sz w:val="20"/>
              </w:rPr>
              <w:t>0.00</w:t>
            </w:r>
          </w:p>
        </w:tc>
        <w:tc>
          <w:tcPr>
            <w:tcW w:w="1025" w:type="dxa"/>
          </w:tcPr>
          <w:p>
            <w:pPr>
              <w:pStyle w:val="TableParagraph"/>
              <w:spacing w:before="94"/>
              <w:ind w:left="108"/>
              <w:rPr>
                <w:sz w:val="20"/>
              </w:rPr>
            </w:pPr>
            <w:r>
              <w:rPr>
                <w:spacing w:val="-4"/>
                <w:sz w:val="20"/>
              </w:rPr>
              <w:t>0.00</w:t>
            </w:r>
          </w:p>
        </w:tc>
        <w:tc>
          <w:tcPr>
            <w:tcW w:w="1108" w:type="dxa"/>
          </w:tcPr>
          <w:p>
            <w:pPr>
              <w:pStyle w:val="TableParagraph"/>
              <w:spacing w:before="94"/>
              <w:ind w:left="109"/>
              <w:rPr>
                <w:sz w:val="20"/>
              </w:rPr>
            </w:pPr>
            <w:r>
              <w:rPr>
                <w:spacing w:val="-4"/>
                <w:sz w:val="20"/>
              </w:rPr>
              <w:t>1.28</w:t>
            </w:r>
          </w:p>
        </w:tc>
        <w:tc>
          <w:tcPr>
            <w:tcW w:w="1223" w:type="dxa"/>
          </w:tcPr>
          <w:p>
            <w:pPr>
              <w:pStyle w:val="TableParagraph"/>
              <w:spacing w:before="94"/>
              <w:ind w:left="110"/>
              <w:rPr>
                <w:sz w:val="20"/>
              </w:rPr>
            </w:pPr>
            <w:r>
              <w:rPr>
                <w:spacing w:val="-4"/>
                <w:sz w:val="20"/>
              </w:rPr>
              <w:t>1.28</w:t>
            </w:r>
          </w:p>
        </w:tc>
      </w:tr>
    </w:tbl>
    <w:p>
      <w:pPr>
        <w:pStyle w:val="TableParagraph"/>
        <w:spacing w:after="0"/>
        <w:rPr>
          <w:sz w:val="20"/>
        </w:rPr>
        <w:sectPr>
          <w:pgSz w:w="11910" w:h="16840"/>
          <w:pgMar w:header="1065" w:footer="1194" w:top="1500" w:bottom="1380" w:left="360" w:right="360"/>
        </w:sectPr>
      </w:pPr>
    </w:p>
    <w:p>
      <w:pPr>
        <w:pStyle w:val="BodyText"/>
        <w:spacing w:before="14" w:after="1"/>
        <w:jc w:val="left"/>
        <w:rPr>
          <w:b/>
          <w:i/>
          <w:sz w:val="20"/>
        </w:rPr>
      </w:pPr>
    </w:p>
    <w:tbl>
      <w:tblPr>
        <w:tblW w:w="0" w:type="auto"/>
        <w:jc w:val="left"/>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0"/>
        <w:gridCol w:w="1574"/>
        <w:gridCol w:w="946"/>
        <w:gridCol w:w="720"/>
        <w:gridCol w:w="1080"/>
        <w:gridCol w:w="1080"/>
        <w:gridCol w:w="1080"/>
        <w:gridCol w:w="1025"/>
        <w:gridCol w:w="1108"/>
        <w:gridCol w:w="1223"/>
      </w:tblGrid>
      <w:tr>
        <w:trPr>
          <w:trHeight w:val="897" w:hRule="atLeast"/>
        </w:trPr>
        <w:tc>
          <w:tcPr>
            <w:tcW w:w="550" w:type="dxa"/>
          </w:tcPr>
          <w:p>
            <w:pPr>
              <w:pStyle w:val="TableParagraph"/>
              <w:spacing w:before="97"/>
              <w:ind w:left="107" w:right="133"/>
              <w:rPr>
                <w:b/>
                <w:sz w:val="20"/>
              </w:rPr>
            </w:pPr>
            <w:r>
              <w:rPr>
                <w:b/>
                <w:spacing w:val="-4"/>
                <w:sz w:val="20"/>
              </w:rPr>
              <w:t>Sr. </w:t>
            </w:r>
            <w:r>
              <w:rPr>
                <w:b/>
                <w:spacing w:val="-5"/>
                <w:sz w:val="20"/>
              </w:rPr>
              <w:t>No</w:t>
            </w:r>
          </w:p>
          <w:p>
            <w:pPr>
              <w:pStyle w:val="TableParagraph"/>
              <w:spacing w:line="233" w:lineRule="exact"/>
              <w:ind w:left="107"/>
              <w:rPr>
                <w:b/>
                <w:sz w:val="20"/>
              </w:rPr>
            </w:pPr>
            <w:r>
              <w:rPr>
                <w:b/>
                <w:spacing w:val="-10"/>
                <w:sz w:val="20"/>
              </w:rPr>
              <w:t>.</w:t>
            </w:r>
          </w:p>
        </w:tc>
        <w:tc>
          <w:tcPr>
            <w:tcW w:w="1574" w:type="dxa"/>
          </w:tcPr>
          <w:p>
            <w:pPr>
              <w:pStyle w:val="TableParagraph"/>
              <w:tabs>
                <w:tab w:pos="1120" w:val="left" w:leader="none"/>
              </w:tabs>
              <w:spacing w:before="97"/>
              <w:ind w:left="107" w:right="98"/>
              <w:rPr>
                <w:b/>
                <w:sz w:val="20"/>
              </w:rPr>
            </w:pPr>
            <w:r>
              <w:rPr>
                <w:b/>
                <w:spacing w:val="-2"/>
                <w:sz w:val="20"/>
              </w:rPr>
              <w:t>Description </w:t>
            </w:r>
            <w:r>
              <w:rPr>
                <w:b/>
                <w:spacing w:val="-6"/>
                <w:sz w:val="20"/>
              </w:rPr>
              <w:t>of</w:t>
            </w:r>
            <w:r>
              <w:rPr>
                <w:b/>
                <w:sz w:val="20"/>
              </w:rPr>
              <w:tab/>
            </w:r>
            <w:r>
              <w:rPr>
                <w:b/>
                <w:spacing w:val="-4"/>
                <w:sz w:val="20"/>
              </w:rPr>
              <w:t>the</w:t>
            </w:r>
          </w:p>
          <w:p>
            <w:pPr>
              <w:pStyle w:val="TableParagraph"/>
              <w:spacing w:line="233" w:lineRule="exact"/>
              <w:ind w:left="107"/>
              <w:rPr>
                <w:b/>
                <w:sz w:val="20"/>
              </w:rPr>
            </w:pPr>
            <w:r>
              <w:rPr>
                <w:b/>
                <w:spacing w:val="-2"/>
                <w:sz w:val="20"/>
              </w:rPr>
              <w:t>Amenity</w:t>
            </w:r>
          </w:p>
        </w:tc>
        <w:tc>
          <w:tcPr>
            <w:tcW w:w="946" w:type="dxa"/>
          </w:tcPr>
          <w:p>
            <w:pPr>
              <w:pStyle w:val="TableParagraph"/>
              <w:spacing w:before="215"/>
              <w:ind w:left="108" w:right="205"/>
              <w:rPr>
                <w:b/>
                <w:sz w:val="20"/>
              </w:rPr>
            </w:pPr>
            <w:r>
              <w:rPr>
                <w:b/>
                <w:spacing w:val="-2"/>
                <w:sz w:val="20"/>
              </w:rPr>
              <w:t>Legen </w:t>
            </w:r>
            <w:r>
              <w:rPr>
                <w:b/>
                <w:spacing w:val="-6"/>
                <w:sz w:val="20"/>
              </w:rPr>
              <w:t>ds</w:t>
            </w:r>
          </w:p>
        </w:tc>
        <w:tc>
          <w:tcPr>
            <w:tcW w:w="720" w:type="dxa"/>
          </w:tcPr>
          <w:p>
            <w:pPr>
              <w:pStyle w:val="TableParagraph"/>
              <w:spacing w:before="215"/>
              <w:ind w:left="108" w:right="150"/>
              <w:rPr>
                <w:b/>
                <w:sz w:val="20"/>
              </w:rPr>
            </w:pPr>
            <w:r>
              <w:rPr>
                <w:b/>
                <w:spacing w:val="-4"/>
                <w:sz w:val="20"/>
              </w:rPr>
              <w:t>Unit </w:t>
            </w:r>
            <w:r>
              <w:rPr>
                <w:b/>
                <w:spacing w:val="-10"/>
                <w:sz w:val="20"/>
              </w:rPr>
              <w:t>s</w:t>
            </w:r>
          </w:p>
        </w:tc>
        <w:tc>
          <w:tcPr>
            <w:tcW w:w="6596" w:type="dxa"/>
            <w:gridSpan w:val="6"/>
          </w:tcPr>
          <w:p>
            <w:pPr>
              <w:pStyle w:val="TableParagraph"/>
              <w:spacing w:before="95"/>
              <w:rPr>
                <w:b/>
                <w:i/>
                <w:sz w:val="20"/>
              </w:rPr>
            </w:pPr>
          </w:p>
          <w:p>
            <w:pPr>
              <w:pStyle w:val="TableParagraph"/>
              <w:ind w:left="175"/>
              <w:rPr>
                <w:b/>
                <w:sz w:val="20"/>
              </w:rPr>
            </w:pPr>
            <w:r>
              <w:rPr>
                <w:b/>
                <w:sz w:val="20"/>
              </w:rPr>
              <w:t>amenities</w:t>
            </w:r>
            <w:r>
              <w:rPr>
                <w:b/>
                <w:spacing w:val="-6"/>
                <w:sz w:val="20"/>
              </w:rPr>
              <w:t> </w:t>
            </w:r>
            <w:r>
              <w:rPr>
                <w:b/>
                <w:sz w:val="20"/>
              </w:rPr>
              <w:t>&amp;</w:t>
            </w:r>
            <w:r>
              <w:rPr>
                <w:b/>
                <w:spacing w:val="-8"/>
                <w:sz w:val="20"/>
              </w:rPr>
              <w:t> </w:t>
            </w:r>
            <w:r>
              <w:rPr>
                <w:b/>
                <w:sz w:val="20"/>
              </w:rPr>
              <w:t>facilities</w:t>
            </w:r>
            <w:r>
              <w:rPr>
                <w:b/>
                <w:spacing w:val="-6"/>
                <w:sz w:val="20"/>
              </w:rPr>
              <w:t> </w:t>
            </w:r>
            <w:r>
              <w:rPr>
                <w:b/>
                <w:sz w:val="20"/>
              </w:rPr>
              <w:t>to</w:t>
            </w:r>
            <w:r>
              <w:rPr>
                <w:b/>
                <w:spacing w:val="-8"/>
                <w:sz w:val="20"/>
              </w:rPr>
              <w:t> </w:t>
            </w:r>
            <w:r>
              <w:rPr>
                <w:b/>
                <w:sz w:val="20"/>
              </w:rPr>
              <w:t>be</w:t>
            </w:r>
            <w:r>
              <w:rPr>
                <w:b/>
                <w:spacing w:val="-5"/>
                <w:sz w:val="20"/>
              </w:rPr>
              <w:t> </w:t>
            </w:r>
            <w:r>
              <w:rPr>
                <w:b/>
                <w:sz w:val="20"/>
              </w:rPr>
              <w:t>provided</w:t>
            </w:r>
            <w:r>
              <w:rPr>
                <w:b/>
                <w:spacing w:val="-6"/>
                <w:sz w:val="20"/>
              </w:rPr>
              <w:t> </w:t>
            </w:r>
            <w:r>
              <w:rPr>
                <w:b/>
                <w:sz w:val="20"/>
              </w:rPr>
              <w:t>under</w:t>
            </w:r>
            <w:r>
              <w:rPr>
                <w:b/>
                <w:spacing w:val="-8"/>
                <w:sz w:val="20"/>
              </w:rPr>
              <w:t> </w:t>
            </w:r>
            <w:r>
              <w:rPr>
                <w:b/>
                <w:spacing w:val="-5"/>
                <w:sz w:val="20"/>
              </w:rPr>
              <w:t>DRP</w:t>
            </w:r>
          </w:p>
        </w:tc>
      </w:tr>
      <w:tr>
        <w:trPr>
          <w:trHeight w:val="662" w:hRule="atLeast"/>
        </w:trPr>
        <w:tc>
          <w:tcPr>
            <w:tcW w:w="550" w:type="dxa"/>
          </w:tcPr>
          <w:p>
            <w:pPr>
              <w:pStyle w:val="TableParagraph"/>
              <w:rPr>
                <w:rFonts w:ascii="Times New Roman"/>
                <w:sz w:val="18"/>
              </w:rPr>
            </w:pPr>
          </w:p>
        </w:tc>
        <w:tc>
          <w:tcPr>
            <w:tcW w:w="1574" w:type="dxa"/>
          </w:tcPr>
          <w:p>
            <w:pPr>
              <w:pStyle w:val="TableParagraph"/>
              <w:rPr>
                <w:rFonts w:ascii="Times New Roman"/>
                <w:sz w:val="18"/>
              </w:rPr>
            </w:pPr>
          </w:p>
        </w:tc>
        <w:tc>
          <w:tcPr>
            <w:tcW w:w="946" w:type="dxa"/>
          </w:tcPr>
          <w:p>
            <w:pPr>
              <w:pStyle w:val="TableParagraph"/>
              <w:rPr>
                <w:rFonts w:ascii="Times New Roman"/>
                <w:sz w:val="18"/>
              </w:rPr>
            </w:pPr>
          </w:p>
        </w:tc>
        <w:tc>
          <w:tcPr>
            <w:tcW w:w="720" w:type="dxa"/>
          </w:tcPr>
          <w:p>
            <w:pPr>
              <w:pStyle w:val="TableParagraph"/>
              <w:rPr>
                <w:rFonts w:ascii="Times New Roman"/>
                <w:sz w:val="18"/>
              </w:rPr>
            </w:pPr>
          </w:p>
        </w:tc>
        <w:tc>
          <w:tcPr>
            <w:tcW w:w="1080" w:type="dxa"/>
          </w:tcPr>
          <w:p>
            <w:pPr>
              <w:pStyle w:val="TableParagraph"/>
              <w:spacing w:before="212"/>
              <w:ind w:left="108"/>
              <w:rPr>
                <w:b/>
                <w:sz w:val="20"/>
              </w:rPr>
            </w:pPr>
            <w:r>
              <w:rPr>
                <w:b/>
                <w:sz w:val="20"/>
              </w:rPr>
              <w:t>Sector</w:t>
            </w:r>
            <w:r>
              <w:rPr>
                <w:b/>
                <w:spacing w:val="-8"/>
                <w:sz w:val="20"/>
              </w:rPr>
              <w:t> </w:t>
            </w:r>
            <w:r>
              <w:rPr>
                <w:b/>
                <w:spacing w:val="-10"/>
                <w:sz w:val="20"/>
              </w:rPr>
              <w:t>I</w:t>
            </w:r>
          </w:p>
        </w:tc>
        <w:tc>
          <w:tcPr>
            <w:tcW w:w="1080" w:type="dxa"/>
          </w:tcPr>
          <w:p>
            <w:pPr>
              <w:pStyle w:val="TableParagraph"/>
              <w:spacing w:before="94"/>
              <w:ind w:left="108" w:right="281"/>
              <w:rPr>
                <w:b/>
                <w:sz w:val="20"/>
              </w:rPr>
            </w:pPr>
            <w:r>
              <w:rPr>
                <w:b/>
                <w:spacing w:val="-2"/>
                <w:sz w:val="20"/>
              </w:rPr>
              <w:t>Sector </w:t>
            </w:r>
            <w:r>
              <w:rPr>
                <w:b/>
                <w:spacing w:val="-6"/>
                <w:sz w:val="20"/>
              </w:rPr>
              <w:t>II</w:t>
            </w:r>
          </w:p>
        </w:tc>
        <w:tc>
          <w:tcPr>
            <w:tcW w:w="1080" w:type="dxa"/>
          </w:tcPr>
          <w:p>
            <w:pPr>
              <w:pStyle w:val="TableParagraph"/>
              <w:spacing w:before="94"/>
              <w:ind w:left="108" w:right="281"/>
              <w:rPr>
                <w:b/>
                <w:sz w:val="20"/>
              </w:rPr>
            </w:pPr>
            <w:r>
              <w:rPr>
                <w:b/>
                <w:spacing w:val="-2"/>
                <w:sz w:val="20"/>
              </w:rPr>
              <w:t>Sector </w:t>
            </w:r>
            <w:r>
              <w:rPr>
                <w:b/>
                <w:spacing w:val="-4"/>
                <w:sz w:val="20"/>
              </w:rPr>
              <w:t>III</w:t>
            </w:r>
          </w:p>
        </w:tc>
        <w:tc>
          <w:tcPr>
            <w:tcW w:w="1025" w:type="dxa"/>
          </w:tcPr>
          <w:p>
            <w:pPr>
              <w:pStyle w:val="TableParagraph"/>
              <w:spacing w:before="94"/>
              <w:ind w:left="108" w:right="226"/>
              <w:rPr>
                <w:b/>
                <w:sz w:val="20"/>
              </w:rPr>
            </w:pPr>
            <w:r>
              <w:rPr>
                <w:b/>
                <w:spacing w:val="-2"/>
                <w:sz w:val="20"/>
              </w:rPr>
              <w:t>Sector </w:t>
            </w:r>
            <w:r>
              <w:rPr>
                <w:b/>
                <w:spacing w:val="-6"/>
                <w:sz w:val="20"/>
              </w:rPr>
              <w:t>IV</w:t>
            </w:r>
          </w:p>
        </w:tc>
        <w:tc>
          <w:tcPr>
            <w:tcW w:w="1108" w:type="dxa"/>
          </w:tcPr>
          <w:p>
            <w:pPr>
              <w:pStyle w:val="TableParagraph"/>
              <w:spacing w:before="212"/>
              <w:ind w:left="109"/>
              <w:rPr>
                <w:b/>
                <w:sz w:val="20"/>
              </w:rPr>
            </w:pPr>
            <w:r>
              <w:rPr>
                <w:b/>
                <w:sz w:val="20"/>
              </w:rPr>
              <w:t>Sector</w:t>
            </w:r>
            <w:r>
              <w:rPr>
                <w:b/>
                <w:spacing w:val="-10"/>
                <w:sz w:val="20"/>
              </w:rPr>
              <w:t> V</w:t>
            </w:r>
          </w:p>
        </w:tc>
        <w:tc>
          <w:tcPr>
            <w:tcW w:w="1223" w:type="dxa"/>
          </w:tcPr>
          <w:p>
            <w:pPr>
              <w:pStyle w:val="TableParagraph"/>
              <w:spacing w:before="94"/>
              <w:ind w:left="110" w:right="20"/>
              <w:rPr>
                <w:b/>
                <w:sz w:val="20"/>
              </w:rPr>
            </w:pPr>
            <w:r>
              <w:rPr>
                <w:b/>
                <w:sz w:val="20"/>
              </w:rPr>
              <w:t>Total</w:t>
            </w:r>
            <w:r>
              <w:rPr>
                <w:b/>
                <w:spacing w:val="-2"/>
                <w:sz w:val="20"/>
              </w:rPr>
              <w:t> </w:t>
            </w:r>
            <w:r>
              <w:rPr>
                <w:b/>
                <w:sz w:val="20"/>
              </w:rPr>
              <w:t>I</w:t>
            </w:r>
            <w:r>
              <w:rPr>
                <w:b/>
                <w:spacing w:val="-2"/>
                <w:sz w:val="20"/>
              </w:rPr>
              <w:t> </w:t>
            </w:r>
            <w:r>
              <w:rPr>
                <w:b/>
                <w:sz w:val="20"/>
              </w:rPr>
              <w:t>to </w:t>
            </w:r>
            <w:r>
              <w:rPr>
                <w:b/>
                <w:spacing w:val="-10"/>
                <w:sz w:val="20"/>
              </w:rPr>
              <w:t>V</w:t>
            </w:r>
          </w:p>
        </w:tc>
      </w:tr>
      <w:tr>
        <w:trPr>
          <w:trHeight w:val="1365" w:hRule="atLeast"/>
        </w:trPr>
        <w:tc>
          <w:tcPr>
            <w:tcW w:w="550" w:type="dxa"/>
          </w:tcPr>
          <w:p>
            <w:pPr>
              <w:pStyle w:val="TableParagraph"/>
              <w:spacing w:before="94"/>
              <w:ind w:right="77"/>
              <w:jc w:val="center"/>
              <w:rPr>
                <w:sz w:val="20"/>
              </w:rPr>
            </w:pPr>
            <w:r>
              <w:rPr>
                <w:spacing w:val="-5"/>
                <w:sz w:val="20"/>
              </w:rPr>
              <w:t>17</w:t>
            </w:r>
          </w:p>
        </w:tc>
        <w:tc>
          <w:tcPr>
            <w:tcW w:w="1574" w:type="dxa"/>
          </w:tcPr>
          <w:p>
            <w:pPr>
              <w:pStyle w:val="TableParagraph"/>
              <w:spacing w:before="94"/>
              <w:ind w:left="107" w:right="98" w:firstLine="64"/>
              <w:jc w:val="both"/>
              <w:rPr>
                <w:sz w:val="20"/>
              </w:rPr>
            </w:pPr>
            <w:r>
              <w:rPr>
                <w:sz w:val="20"/>
              </w:rPr>
              <w:t>Public </w:t>
            </w:r>
            <w:r>
              <w:rPr>
                <w:sz w:val="20"/>
              </w:rPr>
              <w:t>Open Spaces (can be</w:t>
            </w:r>
            <w:r>
              <w:rPr>
                <w:spacing w:val="-15"/>
                <w:sz w:val="20"/>
              </w:rPr>
              <w:t> </w:t>
            </w:r>
            <w:r>
              <w:rPr>
                <w:sz w:val="20"/>
              </w:rPr>
              <w:t>mixed</w:t>
            </w:r>
            <w:r>
              <w:rPr>
                <w:spacing w:val="-13"/>
                <w:sz w:val="20"/>
              </w:rPr>
              <w:t> </w:t>
            </w:r>
            <w:r>
              <w:rPr>
                <w:spacing w:val="-4"/>
                <w:sz w:val="20"/>
              </w:rPr>
              <w:t>user</w:t>
            </w:r>
          </w:p>
          <w:p>
            <w:pPr>
              <w:pStyle w:val="TableParagraph"/>
              <w:spacing w:before="1"/>
              <w:ind w:left="107" w:right="99"/>
              <w:jc w:val="both"/>
              <w:rPr>
                <w:sz w:val="20"/>
              </w:rPr>
            </w:pPr>
            <w:r>
              <w:rPr>
                <w:sz w:val="20"/>
              </w:rPr>
              <w:t>/ part </w:t>
            </w:r>
            <w:r>
              <w:rPr>
                <w:sz w:val="20"/>
              </w:rPr>
              <w:t>of </w:t>
            </w:r>
            <w:r>
              <w:rPr>
                <w:spacing w:val="-2"/>
                <w:sz w:val="20"/>
              </w:rPr>
              <w:t>layout)</w:t>
            </w:r>
          </w:p>
        </w:tc>
        <w:tc>
          <w:tcPr>
            <w:tcW w:w="946" w:type="dxa"/>
          </w:tcPr>
          <w:p>
            <w:pPr>
              <w:pStyle w:val="TableParagraph"/>
              <w:rPr>
                <w:rFonts w:ascii="Times New Roman"/>
                <w:sz w:val="18"/>
              </w:rPr>
            </w:pPr>
          </w:p>
        </w:tc>
        <w:tc>
          <w:tcPr>
            <w:tcW w:w="720" w:type="dxa"/>
          </w:tcPr>
          <w:p>
            <w:pPr>
              <w:pStyle w:val="TableParagraph"/>
              <w:rPr>
                <w:b/>
                <w:i/>
                <w:sz w:val="20"/>
              </w:rPr>
            </w:pPr>
          </w:p>
          <w:p>
            <w:pPr>
              <w:pStyle w:val="TableParagraph"/>
              <w:spacing w:before="95"/>
              <w:rPr>
                <w:b/>
                <w:i/>
                <w:sz w:val="20"/>
              </w:rPr>
            </w:pPr>
          </w:p>
          <w:p>
            <w:pPr>
              <w:pStyle w:val="TableParagraph"/>
              <w:ind w:left="108"/>
              <w:rPr>
                <w:sz w:val="20"/>
              </w:rPr>
            </w:pPr>
            <w:r>
              <w:rPr>
                <w:spacing w:val="-5"/>
                <w:sz w:val="20"/>
              </w:rPr>
              <w:t>ha</w:t>
            </w:r>
          </w:p>
        </w:tc>
        <w:tc>
          <w:tcPr>
            <w:tcW w:w="1080" w:type="dxa"/>
          </w:tcPr>
          <w:p>
            <w:pPr>
              <w:pStyle w:val="TableParagraph"/>
              <w:rPr>
                <w:b/>
                <w:i/>
                <w:sz w:val="20"/>
              </w:rPr>
            </w:pPr>
          </w:p>
          <w:p>
            <w:pPr>
              <w:pStyle w:val="TableParagraph"/>
              <w:spacing w:before="95"/>
              <w:rPr>
                <w:b/>
                <w:i/>
                <w:sz w:val="20"/>
              </w:rPr>
            </w:pPr>
          </w:p>
          <w:p>
            <w:pPr>
              <w:pStyle w:val="TableParagraph"/>
              <w:ind w:left="108"/>
              <w:rPr>
                <w:sz w:val="20"/>
              </w:rPr>
            </w:pPr>
            <w:r>
              <w:rPr>
                <w:spacing w:val="-4"/>
                <w:sz w:val="20"/>
              </w:rPr>
              <w:t>1.58</w:t>
            </w:r>
          </w:p>
        </w:tc>
        <w:tc>
          <w:tcPr>
            <w:tcW w:w="1080" w:type="dxa"/>
          </w:tcPr>
          <w:p>
            <w:pPr>
              <w:pStyle w:val="TableParagraph"/>
              <w:rPr>
                <w:b/>
                <w:i/>
                <w:sz w:val="20"/>
              </w:rPr>
            </w:pPr>
          </w:p>
          <w:p>
            <w:pPr>
              <w:pStyle w:val="TableParagraph"/>
              <w:spacing w:before="95"/>
              <w:rPr>
                <w:b/>
                <w:i/>
                <w:sz w:val="20"/>
              </w:rPr>
            </w:pPr>
          </w:p>
          <w:p>
            <w:pPr>
              <w:pStyle w:val="TableParagraph"/>
              <w:ind w:left="108"/>
              <w:rPr>
                <w:sz w:val="20"/>
              </w:rPr>
            </w:pPr>
            <w:r>
              <w:rPr>
                <w:spacing w:val="-4"/>
                <w:sz w:val="20"/>
              </w:rPr>
              <w:t>0.00</w:t>
            </w:r>
          </w:p>
        </w:tc>
        <w:tc>
          <w:tcPr>
            <w:tcW w:w="1080" w:type="dxa"/>
          </w:tcPr>
          <w:p>
            <w:pPr>
              <w:pStyle w:val="TableParagraph"/>
              <w:rPr>
                <w:b/>
                <w:i/>
                <w:sz w:val="20"/>
              </w:rPr>
            </w:pPr>
          </w:p>
          <w:p>
            <w:pPr>
              <w:pStyle w:val="TableParagraph"/>
              <w:spacing w:before="95"/>
              <w:rPr>
                <w:b/>
                <w:i/>
                <w:sz w:val="20"/>
              </w:rPr>
            </w:pPr>
          </w:p>
          <w:p>
            <w:pPr>
              <w:pStyle w:val="TableParagraph"/>
              <w:ind w:left="108"/>
              <w:rPr>
                <w:sz w:val="20"/>
              </w:rPr>
            </w:pPr>
            <w:r>
              <w:rPr>
                <w:spacing w:val="-4"/>
                <w:sz w:val="20"/>
              </w:rPr>
              <w:t>1.58</w:t>
            </w:r>
          </w:p>
        </w:tc>
        <w:tc>
          <w:tcPr>
            <w:tcW w:w="1025" w:type="dxa"/>
          </w:tcPr>
          <w:p>
            <w:pPr>
              <w:pStyle w:val="TableParagraph"/>
              <w:rPr>
                <w:b/>
                <w:i/>
                <w:sz w:val="20"/>
              </w:rPr>
            </w:pPr>
          </w:p>
          <w:p>
            <w:pPr>
              <w:pStyle w:val="TableParagraph"/>
              <w:spacing w:before="95"/>
              <w:rPr>
                <w:b/>
                <w:i/>
                <w:sz w:val="20"/>
              </w:rPr>
            </w:pPr>
          </w:p>
          <w:p>
            <w:pPr>
              <w:pStyle w:val="TableParagraph"/>
              <w:ind w:left="108"/>
              <w:rPr>
                <w:sz w:val="20"/>
              </w:rPr>
            </w:pPr>
            <w:r>
              <w:rPr>
                <w:spacing w:val="-4"/>
                <w:sz w:val="20"/>
              </w:rPr>
              <w:t>1.58</w:t>
            </w:r>
          </w:p>
        </w:tc>
        <w:tc>
          <w:tcPr>
            <w:tcW w:w="1108" w:type="dxa"/>
          </w:tcPr>
          <w:p>
            <w:pPr>
              <w:pStyle w:val="TableParagraph"/>
              <w:rPr>
                <w:b/>
                <w:i/>
                <w:sz w:val="20"/>
              </w:rPr>
            </w:pPr>
          </w:p>
          <w:p>
            <w:pPr>
              <w:pStyle w:val="TableParagraph"/>
              <w:spacing w:before="95"/>
              <w:rPr>
                <w:b/>
                <w:i/>
                <w:sz w:val="20"/>
              </w:rPr>
            </w:pPr>
          </w:p>
          <w:p>
            <w:pPr>
              <w:pStyle w:val="TableParagraph"/>
              <w:ind w:left="109"/>
              <w:rPr>
                <w:sz w:val="20"/>
              </w:rPr>
            </w:pPr>
            <w:r>
              <w:rPr>
                <w:spacing w:val="-4"/>
                <w:sz w:val="20"/>
              </w:rPr>
              <w:t>1.58</w:t>
            </w:r>
          </w:p>
        </w:tc>
        <w:tc>
          <w:tcPr>
            <w:tcW w:w="1223" w:type="dxa"/>
          </w:tcPr>
          <w:p>
            <w:pPr>
              <w:pStyle w:val="TableParagraph"/>
              <w:rPr>
                <w:b/>
                <w:i/>
                <w:sz w:val="20"/>
              </w:rPr>
            </w:pPr>
          </w:p>
          <w:p>
            <w:pPr>
              <w:pStyle w:val="TableParagraph"/>
              <w:spacing w:before="95"/>
              <w:rPr>
                <w:b/>
                <w:i/>
                <w:sz w:val="20"/>
              </w:rPr>
            </w:pPr>
          </w:p>
          <w:p>
            <w:pPr>
              <w:pStyle w:val="TableParagraph"/>
              <w:ind w:left="110"/>
              <w:rPr>
                <w:b/>
                <w:sz w:val="20"/>
              </w:rPr>
            </w:pPr>
            <w:r>
              <w:rPr>
                <w:b/>
                <w:spacing w:val="-4"/>
                <w:sz w:val="20"/>
              </w:rPr>
              <w:t>6.32</w:t>
            </w:r>
          </w:p>
        </w:tc>
      </w:tr>
      <w:tr>
        <w:trPr>
          <w:trHeight w:val="1836" w:hRule="atLeast"/>
        </w:trPr>
        <w:tc>
          <w:tcPr>
            <w:tcW w:w="550" w:type="dxa"/>
          </w:tcPr>
          <w:p>
            <w:pPr>
              <w:pStyle w:val="TableParagraph"/>
              <w:spacing w:before="94"/>
              <w:ind w:right="77"/>
              <w:jc w:val="center"/>
              <w:rPr>
                <w:sz w:val="20"/>
              </w:rPr>
            </w:pPr>
            <w:r>
              <w:rPr>
                <w:spacing w:val="-5"/>
                <w:sz w:val="20"/>
              </w:rPr>
              <w:t>18</w:t>
            </w:r>
          </w:p>
        </w:tc>
        <w:tc>
          <w:tcPr>
            <w:tcW w:w="1574" w:type="dxa"/>
          </w:tcPr>
          <w:p>
            <w:pPr>
              <w:pStyle w:val="TableParagraph"/>
              <w:spacing w:before="94"/>
              <w:ind w:left="107" w:right="98"/>
              <w:jc w:val="both"/>
              <w:rPr>
                <w:sz w:val="20"/>
              </w:rPr>
            </w:pPr>
            <w:r>
              <w:rPr>
                <w:sz w:val="20"/>
              </w:rPr>
              <w:t>Layout </w:t>
            </w:r>
            <w:r>
              <w:rPr>
                <w:sz w:val="20"/>
              </w:rPr>
              <w:t>RG that</w:t>
            </w:r>
            <w:r>
              <w:rPr>
                <w:spacing w:val="-13"/>
                <w:sz w:val="20"/>
              </w:rPr>
              <w:t> </w:t>
            </w:r>
            <w:r>
              <w:rPr>
                <w:sz w:val="20"/>
              </w:rPr>
              <w:t>would</w:t>
            </w:r>
            <w:r>
              <w:rPr>
                <w:spacing w:val="-13"/>
                <w:sz w:val="20"/>
              </w:rPr>
              <w:t> </w:t>
            </w:r>
            <w:r>
              <w:rPr>
                <w:sz w:val="20"/>
              </w:rPr>
              <w:t>be provided</w:t>
            </w:r>
            <w:r>
              <w:rPr>
                <w:spacing w:val="60"/>
                <w:w w:val="150"/>
                <w:sz w:val="20"/>
              </w:rPr>
              <w:t>  </w:t>
            </w:r>
            <w:r>
              <w:rPr>
                <w:spacing w:val="-5"/>
                <w:sz w:val="20"/>
              </w:rPr>
              <w:t>in</w:t>
            </w:r>
          </w:p>
          <w:p>
            <w:pPr>
              <w:pStyle w:val="TableParagraph"/>
              <w:spacing w:before="2"/>
              <w:ind w:left="107" w:right="97"/>
              <w:jc w:val="both"/>
              <w:rPr>
                <w:sz w:val="20"/>
              </w:rPr>
            </w:pPr>
            <w:r>
              <w:rPr>
                <w:sz w:val="20"/>
              </w:rPr>
              <w:t>sale </w:t>
            </w:r>
            <w:r>
              <w:rPr>
                <w:sz w:val="20"/>
              </w:rPr>
              <w:t>and rehab areas to be multi </w:t>
            </w:r>
            <w:r>
              <w:rPr>
                <w:spacing w:val="-4"/>
                <w:sz w:val="20"/>
              </w:rPr>
              <w:t>used</w:t>
            </w:r>
          </w:p>
        </w:tc>
        <w:tc>
          <w:tcPr>
            <w:tcW w:w="946" w:type="dxa"/>
          </w:tcPr>
          <w:p>
            <w:pPr>
              <w:pStyle w:val="TableParagraph"/>
              <w:rPr>
                <w:rFonts w:ascii="Times New Roman"/>
                <w:sz w:val="18"/>
              </w:rPr>
            </w:pPr>
          </w:p>
        </w:tc>
        <w:tc>
          <w:tcPr>
            <w:tcW w:w="720" w:type="dxa"/>
          </w:tcPr>
          <w:p>
            <w:pPr>
              <w:pStyle w:val="TableParagraph"/>
              <w:rPr>
                <w:b/>
                <w:i/>
                <w:sz w:val="20"/>
              </w:rPr>
            </w:pPr>
          </w:p>
          <w:p>
            <w:pPr>
              <w:pStyle w:val="TableParagraph"/>
              <w:rPr>
                <w:b/>
                <w:i/>
                <w:sz w:val="20"/>
              </w:rPr>
            </w:pPr>
          </w:p>
          <w:p>
            <w:pPr>
              <w:pStyle w:val="TableParagraph"/>
              <w:spacing w:before="96"/>
              <w:rPr>
                <w:b/>
                <w:i/>
                <w:sz w:val="20"/>
              </w:rPr>
            </w:pPr>
          </w:p>
          <w:p>
            <w:pPr>
              <w:pStyle w:val="TableParagraph"/>
              <w:ind w:left="108"/>
              <w:rPr>
                <w:sz w:val="20"/>
              </w:rPr>
            </w:pPr>
            <w:r>
              <w:rPr>
                <w:spacing w:val="-5"/>
                <w:sz w:val="20"/>
              </w:rPr>
              <w:t>ha</w:t>
            </w:r>
          </w:p>
        </w:tc>
        <w:tc>
          <w:tcPr>
            <w:tcW w:w="1080" w:type="dxa"/>
          </w:tcPr>
          <w:p>
            <w:pPr>
              <w:pStyle w:val="TableParagraph"/>
              <w:rPr>
                <w:b/>
                <w:i/>
                <w:sz w:val="20"/>
              </w:rPr>
            </w:pPr>
          </w:p>
          <w:p>
            <w:pPr>
              <w:pStyle w:val="TableParagraph"/>
              <w:rPr>
                <w:b/>
                <w:i/>
                <w:sz w:val="20"/>
              </w:rPr>
            </w:pPr>
          </w:p>
          <w:p>
            <w:pPr>
              <w:pStyle w:val="TableParagraph"/>
              <w:spacing w:before="96"/>
              <w:rPr>
                <w:b/>
                <w:i/>
                <w:sz w:val="20"/>
              </w:rPr>
            </w:pPr>
          </w:p>
          <w:p>
            <w:pPr>
              <w:pStyle w:val="TableParagraph"/>
              <w:ind w:left="108"/>
              <w:rPr>
                <w:sz w:val="20"/>
              </w:rPr>
            </w:pPr>
            <w:r>
              <w:rPr>
                <w:spacing w:val="-4"/>
                <w:sz w:val="20"/>
              </w:rPr>
              <w:t>0.77</w:t>
            </w:r>
          </w:p>
        </w:tc>
        <w:tc>
          <w:tcPr>
            <w:tcW w:w="1080" w:type="dxa"/>
          </w:tcPr>
          <w:p>
            <w:pPr>
              <w:pStyle w:val="TableParagraph"/>
              <w:rPr>
                <w:b/>
                <w:i/>
                <w:sz w:val="20"/>
              </w:rPr>
            </w:pPr>
          </w:p>
          <w:p>
            <w:pPr>
              <w:pStyle w:val="TableParagraph"/>
              <w:rPr>
                <w:b/>
                <w:i/>
                <w:sz w:val="20"/>
              </w:rPr>
            </w:pPr>
          </w:p>
          <w:p>
            <w:pPr>
              <w:pStyle w:val="TableParagraph"/>
              <w:spacing w:before="96"/>
              <w:rPr>
                <w:b/>
                <w:i/>
                <w:sz w:val="20"/>
              </w:rPr>
            </w:pPr>
          </w:p>
          <w:p>
            <w:pPr>
              <w:pStyle w:val="TableParagraph"/>
              <w:ind w:left="108"/>
              <w:rPr>
                <w:sz w:val="20"/>
              </w:rPr>
            </w:pPr>
            <w:r>
              <w:rPr>
                <w:spacing w:val="-4"/>
                <w:sz w:val="20"/>
              </w:rPr>
              <w:t>1.39</w:t>
            </w:r>
          </w:p>
        </w:tc>
        <w:tc>
          <w:tcPr>
            <w:tcW w:w="1080" w:type="dxa"/>
          </w:tcPr>
          <w:p>
            <w:pPr>
              <w:pStyle w:val="TableParagraph"/>
              <w:rPr>
                <w:b/>
                <w:i/>
                <w:sz w:val="20"/>
              </w:rPr>
            </w:pPr>
          </w:p>
          <w:p>
            <w:pPr>
              <w:pStyle w:val="TableParagraph"/>
              <w:rPr>
                <w:b/>
                <w:i/>
                <w:sz w:val="20"/>
              </w:rPr>
            </w:pPr>
          </w:p>
          <w:p>
            <w:pPr>
              <w:pStyle w:val="TableParagraph"/>
              <w:spacing w:before="96"/>
              <w:rPr>
                <w:b/>
                <w:i/>
                <w:sz w:val="20"/>
              </w:rPr>
            </w:pPr>
          </w:p>
          <w:p>
            <w:pPr>
              <w:pStyle w:val="TableParagraph"/>
              <w:ind w:left="108"/>
              <w:rPr>
                <w:sz w:val="20"/>
              </w:rPr>
            </w:pPr>
            <w:r>
              <w:rPr>
                <w:spacing w:val="-4"/>
                <w:sz w:val="20"/>
              </w:rPr>
              <w:t>1.15</w:t>
            </w:r>
          </w:p>
        </w:tc>
        <w:tc>
          <w:tcPr>
            <w:tcW w:w="1025" w:type="dxa"/>
          </w:tcPr>
          <w:p>
            <w:pPr>
              <w:pStyle w:val="TableParagraph"/>
              <w:rPr>
                <w:b/>
                <w:i/>
                <w:sz w:val="20"/>
              </w:rPr>
            </w:pPr>
          </w:p>
          <w:p>
            <w:pPr>
              <w:pStyle w:val="TableParagraph"/>
              <w:rPr>
                <w:b/>
                <w:i/>
                <w:sz w:val="20"/>
              </w:rPr>
            </w:pPr>
          </w:p>
          <w:p>
            <w:pPr>
              <w:pStyle w:val="TableParagraph"/>
              <w:spacing w:before="96"/>
              <w:rPr>
                <w:b/>
                <w:i/>
                <w:sz w:val="20"/>
              </w:rPr>
            </w:pPr>
          </w:p>
          <w:p>
            <w:pPr>
              <w:pStyle w:val="TableParagraph"/>
              <w:ind w:left="108"/>
              <w:rPr>
                <w:sz w:val="20"/>
              </w:rPr>
            </w:pPr>
            <w:r>
              <w:rPr>
                <w:spacing w:val="-4"/>
                <w:sz w:val="20"/>
              </w:rPr>
              <w:t>1.06</w:t>
            </w:r>
          </w:p>
        </w:tc>
        <w:tc>
          <w:tcPr>
            <w:tcW w:w="1108" w:type="dxa"/>
          </w:tcPr>
          <w:p>
            <w:pPr>
              <w:pStyle w:val="TableParagraph"/>
              <w:rPr>
                <w:b/>
                <w:i/>
                <w:sz w:val="20"/>
              </w:rPr>
            </w:pPr>
          </w:p>
          <w:p>
            <w:pPr>
              <w:pStyle w:val="TableParagraph"/>
              <w:rPr>
                <w:b/>
                <w:i/>
                <w:sz w:val="20"/>
              </w:rPr>
            </w:pPr>
          </w:p>
          <w:p>
            <w:pPr>
              <w:pStyle w:val="TableParagraph"/>
              <w:spacing w:before="96"/>
              <w:rPr>
                <w:b/>
                <w:i/>
                <w:sz w:val="20"/>
              </w:rPr>
            </w:pPr>
          </w:p>
          <w:p>
            <w:pPr>
              <w:pStyle w:val="TableParagraph"/>
              <w:ind w:left="109"/>
              <w:rPr>
                <w:sz w:val="20"/>
              </w:rPr>
            </w:pPr>
            <w:r>
              <w:rPr>
                <w:spacing w:val="-4"/>
                <w:sz w:val="20"/>
              </w:rPr>
              <w:t>0.43</w:t>
            </w:r>
          </w:p>
        </w:tc>
        <w:tc>
          <w:tcPr>
            <w:tcW w:w="1223" w:type="dxa"/>
          </w:tcPr>
          <w:p>
            <w:pPr>
              <w:pStyle w:val="TableParagraph"/>
              <w:rPr>
                <w:b/>
                <w:i/>
                <w:sz w:val="20"/>
              </w:rPr>
            </w:pPr>
          </w:p>
          <w:p>
            <w:pPr>
              <w:pStyle w:val="TableParagraph"/>
              <w:rPr>
                <w:b/>
                <w:i/>
                <w:sz w:val="20"/>
              </w:rPr>
            </w:pPr>
          </w:p>
          <w:p>
            <w:pPr>
              <w:pStyle w:val="TableParagraph"/>
              <w:spacing w:before="96"/>
              <w:rPr>
                <w:b/>
                <w:i/>
                <w:sz w:val="20"/>
              </w:rPr>
            </w:pPr>
          </w:p>
          <w:p>
            <w:pPr>
              <w:pStyle w:val="TableParagraph"/>
              <w:ind w:left="110"/>
              <w:rPr>
                <w:b/>
                <w:sz w:val="20"/>
              </w:rPr>
            </w:pPr>
            <w:r>
              <w:rPr>
                <w:b/>
                <w:spacing w:val="-4"/>
                <w:sz w:val="20"/>
              </w:rPr>
              <w:t>4.81</w:t>
            </w:r>
          </w:p>
        </w:tc>
      </w:tr>
      <w:tr>
        <w:trPr>
          <w:trHeight w:val="1365" w:hRule="atLeast"/>
        </w:trPr>
        <w:tc>
          <w:tcPr>
            <w:tcW w:w="550" w:type="dxa"/>
          </w:tcPr>
          <w:p>
            <w:pPr>
              <w:pStyle w:val="TableParagraph"/>
              <w:spacing w:before="94"/>
              <w:ind w:right="77"/>
              <w:jc w:val="center"/>
              <w:rPr>
                <w:sz w:val="20"/>
              </w:rPr>
            </w:pPr>
            <w:r>
              <w:rPr>
                <w:spacing w:val="-5"/>
                <w:sz w:val="20"/>
              </w:rPr>
              <w:t>19</w:t>
            </w:r>
          </w:p>
        </w:tc>
        <w:tc>
          <w:tcPr>
            <w:tcW w:w="1574" w:type="dxa"/>
          </w:tcPr>
          <w:p>
            <w:pPr>
              <w:pStyle w:val="TableParagraph"/>
              <w:tabs>
                <w:tab w:pos="1276" w:val="left" w:leader="none"/>
              </w:tabs>
              <w:spacing w:before="94"/>
              <w:ind w:left="107" w:right="97"/>
              <w:rPr>
                <w:sz w:val="20"/>
              </w:rPr>
            </w:pPr>
            <w:r>
              <w:rPr>
                <w:sz w:val="20"/>
              </w:rPr>
              <w:t>Play</w:t>
            </w:r>
            <w:r>
              <w:rPr>
                <w:spacing w:val="80"/>
                <w:sz w:val="20"/>
              </w:rPr>
              <w:t> </w:t>
            </w:r>
            <w:r>
              <w:rPr>
                <w:sz w:val="20"/>
              </w:rPr>
              <w:t>Ground </w:t>
            </w:r>
            <w:r>
              <w:rPr>
                <w:spacing w:val="-2"/>
                <w:sz w:val="20"/>
              </w:rPr>
              <w:t>attached</w:t>
            </w:r>
            <w:r>
              <w:rPr>
                <w:sz w:val="20"/>
              </w:rPr>
              <w:tab/>
            </w:r>
            <w:r>
              <w:rPr>
                <w:spacing w:val="-6"/>
                <w:sz w:val="20"/>
              </w:rPr>
              <w:t>to </w:t>
            </w:r>
            <w:r>
              <w:rPr>
                <w:spacing w:val="-2"/>
                <w:sz w:val="20"/>
              </w:rPr>
              <w:t>schools </w:t>
            </w:r>
            <w:r>
              <w:rPr>
                <w:sz w:val="20"/>
              </w:rPr>
              <w:t>(mixed</w:t>
            </w:r>
            <w:r>
              <w:rPr>
                <w:spacing w:val="39"/>
                <w:sz w:val="20"/>
              </w:rPr>
              <w:t> </w:t>
            </w:r>
            <w:r>
              <w:rPr>
                <w:sz w:val="20"/>
              </w:rPr>
              <w:t>use</w:t>
            </w:r>
            <w:r>
              <w:rPr>
                <w:spacing w:val="40"/>
                <w:sz w:val="20"/>
              </w:rPr>
              <w:t> </w:t>
            </w:r>
            <w:r>
              <w:rPr>
                <w:sz w:val="20"/>
              </w:rPr>
              <w:t>/ part</w:t>
            </w:r>
            <w:r>
              <w:rPr>
                <w:spacing w:val="-13"/>
                <w:sz w:val="20"/>
              </w:rPr>
              <w:t> </w:t>
            </w:r>
            <w:r>
              <w:rPr>
                <w:sz w:val="20"/>
              </w:rPr>
              <w:t>of</w:t>
            </w:r>
            <w:r>
              <w:rPr>
                <w:spacing w:val="-13"/>
                <w:sz w:val="20"/>
              </w:rPr>
              <w:t> </w:t>
            </w:r>
            <w:r>
              <w:rPr>
                <w:spacing w:val="-2"/>
                <w:sz w:val="20"/>
              </w:rPr>
              <w:t>layout)</w:t>
            </w:r>
          </w:p>
        </w:tc>
        <w:tc>
          <w:tcPr>
            <w:tcW w:w="946" w:type="dxa"/>
          </w:tcPr>
          <w:p>
            <w:pPr>
              <w:pStyle w:val="TableParagraph"/>
              <w:rPr>
                <w:rFonts w:ascii="Times New Roman"/>
                <w:sz w:val="18"/>
              </w:rPr>
            </w:pPr>
          </w:p>
        </w:tc>
        <w:tc>
          <w:tcPr>
            <w:tcW w:w="720" w:type="dxa"/>
          </w:tcPr>
          <w:p>
            <w:pPr>
              <w:pStyle w:val="TableParagraph"/>
              <w:rPr>
                <w:b/>
                <w:i/>
                <w:sz w:val="20"/>
              </w:rPr>
            </w:pPr>
          </w:p>
          <w:p>
            <w:pPr>
              <w:pStyle w:val="TableParagraph"/>
              <w:spacing w:before="95"/>
              <w:rPr>
                <w:b/>
                <w:i/>
                <w:sz w:val="20"/>
              </w:rPr>
            </w:pPr>
          </w:p>
          <w:p>
            <w:pPr>
              <w:pStyle w:val="TableParagraph"/>
              <w:ind w:left="108"/>
              <w:rPr>
                <w:sz w:val="20"/>
              </w:rPr>
            </w:pPr>
            <w:r>
              <w:rPr>
                <w:spacing w:val="-5"/>
                <w:sz w:val="20"/>
              </w:rPr>
              <w:t>Ha</w:t>
            </w:r>
          </w:p>
        </w:tc>
        <w:tc>
          <w:tcPr>
            <w:tcW w:w="1080" w:type="dxa"/>
          </w:tcPr>
          <w:p>
            <w:pPr>
              <w:pStyle w:val="TableParagraph"/>
              <w:rPr>
                <w:b/>
                <w:i/>
                <w:sz w:val="20"/>
              </w:rPr>
            </w:pPr>
          </w:p>
          <w:p>
            <w:pPr>
              <w:pStyle w:val="TableParagraph"/>
              <w:spacing w:before="95"/>
              <w:rPr>
                <w:b/>
                <w:i/>
                <w:sz w:val="20"/>
              </w:rPr>
            </w:pPr>
          </w:p>
          <w:p>
            <w:pPr>
              <w:pStyle w:val="TableParagraph"/>
              <w:ind w:left="108"/>
              <w:rPr>
                <w:sz w:val="20"/>
              </w:rPr>
            </w:pPr>
            <w:r>
              <w:rPr>
                <w:spacing w:val="-4"/>
                <w:sz w:val="20"/>
              </w:rPr>
              <w:t>0.40</w:t>
            </w:r>
          </w:p>
        </w:tc>
        <w:tc>
          <w:tcPr>
            <w:tcW w:w="1080" w:type="dxa"/>
          </w:tcPr>
          <w:p>
            <w:pPr>
              <w:pStyle w:val="TableParagraph"/>
              <w:rPr>
                <w:b/>
                <w:i/>
                <w:sz w:val="20"/>
              </w:rPr>
            </w:pPr>
          </w:p>
          <w:p>
            <w:pPr>
              <w:pStyle w:val="TableParagraph"/>
              <w:spacing w:before="95"/>
              <w:rPr>
                <w:b/>
                <w:i/>
                <w:sz w:val="20"/>
              </w:rPr>
            </w:pPr>
          </w:p>
          <w:p>
            <w:pPr>
              <w:pStyle w:val="TableParagraph"/>
              <w:ind w:left="108"/>
              <w:rPr>
                <w:sz w:val="20"/>
              </w:rPr>
            </w:pPr>
            <w:r>
              <w:rPr>
                <w:spacing w:val="-4"/>
                <w:sz w:val="20"/>
              </w:rPr>
              <w:t>0.73</w:t>
            </w:r>
          </w:p>
        </w:tc>
        <w:tc>
          <w:tcPr>
            <w:tcW w:w="1080" w:type="dxa"/>
          </w:tcPr>
          <w:p>
            <w:pPr>
              <w:pStyle w:val="TableParagraph"/>
              <w:rPr>
                <w:b/>
                <w:i/>
                <w:sz w:val="20"/>
              </w:rPr>
            </w:pPr>
          </w:p>
          <w:p>
            <w:pPr>
              <w:pStyle w:val="TableParagraph"/>
              <w:spacing w:before="95"/>
              <w:rPr>
                <w:b/>
                <w:i/>
                <w:sz w:val="20"/>
              </w:rPr>
            </w:pPr>
          </w:p>
          <w:p>
            <w:pPr>
              <w:pStyle w:val="TableParagraph"/>
              <w:ind w:left="108"/>
              <w:rPr>
                <w:sz w:val="20"/>
              </w:rPr>
            </w:pPr>
            <w:r>
              <w:rPr>
                <w:spacing w:val="-4"/>
                <w:sz w:val="20"/>
              </w:rPr>
              <w:t>0.60</w:t>
            </w:r>
          </w:p>
        </w:tc>
        <w:tc>
          <w:tcPr>
            <w:tcW w:w="1025" w:type="dxa"/>
          </w:tcPr>
          <w:p>
            <w:pPr>
              <w:pStyle w:val="TableParagraph"/>
              <w:rPr>
                <w:b/>
                <w:i/>
                <w:sz w:val="20"/>
              </w:rPr>
            </w:pPr>
          </w:p>
          <w:p>
            <w:pPr>
              <w:pStyle w:val="TableParagraph"/>
              <w:spacing w:before="95"/>
              <w:rPr>
                <w:b/>
                <w:i/>
                <w:sz w:val="20"/>
              </w:rPr>
            </w:pPr>
          </w:p>
          <w:p>
            <w:pPr>
              <w:pStyle w:val="TableParagraph"/>
              <w:ind w:left="108"/>
              <w:rPr>
                <w:sz w:val="20"/>
              </w:rPr>
            </w:pPr>
            <w:r>
              <w:rPr>
                <w:spacing w:val="-4"/>
                <w:sz w:val="20"/>
              </w:rPr>
              <w:t>0.55</w:t>
            </w:r>
          </w:p>
        </w:tc>
        <w:tc>
          <w:tcPr>
            <w:tcW w:w="1108" w:type="dxa"/>
          </w:tcPr>
          <w:p>
            <w:pPr>
              <w:pStyle w:val="TableParagraph"/>
              <w:rPr>
                <w:b/>
                <w:i/>
                <w:sz w:val="20"/>
              </w:rPr>
            </w:pPr>
          </w:p>
          <w:p>
            <w:pPr>
              <w:pStyle w:val="TableParagraph"/>
              <w:spacing w:before="95"/>
              <w:rPr>
                <w:b/>
                <w:i/>
                <w:sz w:val="20"/>
              </w:rPr>
            </w:pPr>
          </w:p>
          <w:p>
            <w:pPr>
              <w:pStyle w:val="TableParagraph"/>
              <w:ind w:left="109"/>
              <w:rPr>
                <w:sz w:val="20"/>
              </w:rPr>
            </w:pPr>
            <w:r>
              <w:rPr>
                <w:spacing w:val="-4"/>
                <w:sz w:val="20"/>
              </w:rPr>
              <w:t>0.23</w:t>
            </w:r>
          </w:p>
        </w:tc>
        <w:tc>
          <w:tcPr>
            <w:tcW w:w="1223" w:type="dxa"/>
          </w:tcPr>
          <w:p>
            <w:pPr>
              <w:pStyle w:val="TableParagraph"/>
              <w:rPr>
                <w:b/>
                <w:i/>
                <w:sz w:val="20"/>
              </w:rPr>
            </w:pPr>
          </w:p>
          <w:p>
            <w:pPr>
              <w:pStyle w:val="TableParagraph"/>
              <w:spacing w:before="95"/>
              <w:rPr>
                <w:b/>
                <w:i/>
                <w:sz w:val="20"/>
              </w:rPr>
            </w:pPr>
          </w:p>
          <w:p>
            <w:pPr>
              <w:pStyle w:val="TableParagraph"/>
              <w:ind w:left="110"/>
              <w:rPr>
                <w:b/>
                <w:sz w:val="20"/>
              </w:rPr>
            </w:pPr>
            <w:r>
              <w:rPr>
                <w:b/>
                <w:spacing w:val="-4"/>
                <w:sz w:val="20"/>
              </w:rPr>
              <w:t>2.50</w:t>
            </w:r>
          </w:p>
        </w:tc>
      </w:tr>
      <w:tr>
        <w:trPr>
          <w:trHeight w:val="2119" w:hRule="atLeast"/>
        </w:trPr>
        <w:tc>
          <w:tcPr>
            <w:tcW w:w="550" w:type="dxa"/>
          </w:tcPr>
          <w:p>
            <w:pPr>
              <w:pStyle w:val="TableParagraph"/>
              <w:spacing w:before="97"/>
              <w:ind w:right="77"/>
              <w:jc w:val="center"/>
              <w:rPr>
                <w:sz w:val="20"/>
              </w:rPr>
            </w:pPr>
            <w:r>
              <w:rPr>
                <w:spacing w:val="-5"/>
                <w:sz w:val="20"/>
              </w:rPr>
              <w:t>20</w:t>
            </w:r>
          </w:p>
        </w:tc>
        <w:tc>
          <w:tcPr>
            <w:tcW w:w="1574" w:type="dxa"/>
          </w:tcPr>
          <w:p>
            <w:pPr>
              <w:pStyle w:val="TableParagraph"/>
              <w:tabs>
                <w:tab w:pos="1012" w:val="left" w:leader="none"/>
                <w:tab w:pos="1093" w:val="left" w:leader="none"/>
              </w:tabs>
              <w:spacing w:before="97"/>
              <w:ind w:left="107" w:right="97"/>
              <w:rPr>
                <w:sz w:val="20"/>
              </w:rPr>
            </w:pPr>
            <w:r>
              <w:rPr>
                <w:spacing w:val="-2"/>
                <w:sz w:val="20"/>
              </w:rPr>
              <w:t>Mahim</w:t>
            </w:r>
            <w:r>
              <w:rPr>
                <w:spacing w:val="40"/>
                <w:sz w:val="20"/>
              </w:rPr>
              <w:t> </w:t>
            </w:r>
            <w:r>
              <w:rPr>
                <w:spacing w:val="-2"/>
                <w:sz w:val="20"/>
              </w:rPr>
              <w:t>Nature</w:t>
            </w:r>
            <w:r>
              <w:rPr>
                <w:sz w:val="20"/>
              </w:rPr>
              <w:tab/>
            </w:r>
            <w:r>
              <w:rPr>
                <w:spacing w:val="-4"/>
                <w:sz w:val="20"/>
              </w:rPr>
              <w:t>Park </w:t>
            </w:r>
            <w:r>
              <w:rPr>
                <w:spacing w:val="-2"/>
                <w:sz w:val="20"/>
              </w:rPr>
              <w:t>Extension </w:t>
            </w:r>
            <w:r>
              <w:rPr>
                <w:b/>
                <w:spacing w:val="-2"/>
                <w:sz w:val="24"/>
              </w:rPr>
              <w:t>(</w:t>
            </w:r>
            <w:r>
              <w:rPr>
                <w:spacing w:val="-2"/>
                <w:sz w:val="20"/>
              </w:rPr>
              <w:t>1.33</w:t>
            </w:r>
            <w:r>
              <w:rPr>
                <w:sz w:val="20"/>
              </w:rPr>
              <w:tab/>
              <w:tab/>
            </w:r>
            <w:r>
              <w:rPr>
                <w:spacing w:val="-4"/>
                <w:sz w:val="20"/>
              </w:rPr>
              <w:t>ha),</w:t>
            </w:r>
          </w:p>
          <w:p>
            <w:pPr>
              <w:pStyle w:val="TableParagraph"/>
              <w:tabs>
                <w:tab w:pos="909" w:val="left" w:leader="none"/>
              </w:tabs>
              <w:ind w:left="107" w:right="97"/>
              <w:rPr>
                <w:sz w:val="20"/>
              </w:rPr>
            </w:pPr>
            <w:r>
              <w:rPr>
                <w:spacing w:val="-2"/>
                <w:sz w:val="20"/>
              </w:rPr>
              <w:t>Afforestation </w:t>
            </w:r>
            <w:r>
              <w:rPr>
                <w:sz w:val="20"/>
              </w:rPr>
              <w:t>(0.83 ha) </w:t>
            </w:r>
            <w:r>
              <w:rPr>
                <w:sz w:val="20"/>
              </w:rPr>
              <w:t>and </w:t>
            </w:r>
            <w:r>
              <w:rPr>
                <w:spacing w:val="-6"/>
                <w:sz w:val="20"/>
              </w:rPr>
              <w:t>RG</w:t>
            </w:r>
            <w:r>
              <w:rPr>
                <w:sz w:val="20"/>
              </w:rPr>
              <w:tab/>
            </w:r>
            <w:r>
              <w:rPr>
                <w:spacing w:val="-2"/>
                <w:sz w:val="20"/>
              </w:rPr>
              <w:t>below </w:t>
            </w:r>
            <w:r>
              <w:rPr>
                <w:sz w:val="20"/>
              </w:rPr>
              <w:t>HTL</w:t>
            </w:r>
            <w:r>
              <w:rPr>
                <w:spacing w:val="-5"/>
                <w:sz w:val="20"/>
              </w:rPr>
              <w:t> </w:t>
            </w:r>
            <w:r>
              <w:rPr>
                <w:sz w:val="20"/>
              </w:rPr>
              <w:t>(1.04</w:t>
            </w:r>
            <w:r>
              <w:rPr>
                <w:spacing w:val="-6"/>
                <w:sz w:val="20"/>
              </w:rPr>
              <w:t> </w:t>
            </w:r>
            <w:r>
              <w:rPr>
                <w:spacing w:val="-5"/>
                <w:sz w:val="20"/>
              </w:rPr>
              <w:t>ha)</w:t>
            </w:r>
          </w:p>
        </w:tc>
        <w:tc>
          <w:tcPr>
            <w:tcW w:w="946" w:type="dxa"/>
          </w:tcPr>
          <w:p>
            <w:pPr>
              <w:pStyle w:val="TableParagraph"/>
              <w:rPr>
                <w:rFonts w:ascii="Times New Roman"/>
                <w:sz w:val="18"/>
              </w:rPr>
            </w:pPr>
          </w:p>
        </w:tc>
        <w:tc>
          <w:tcPr>
            <w:tcW w:w="720" w:type="dxa"/>
          </w:tcPr>
          <w:p>
            <w:pPr>
              <w:pStyle w:val="TableParagraph"/>
              <w:rPr>
                <w:b/>
                <w:i/>
                <w:sz w:val="20"/>
              </w:rPr>
            </w:pPr>
          </w:p>
          <w:p>
            <w:pPr>
              <w:pStyle w:val="TableParagraph"/>
              <w:rPr>
                <w:b/>
                <w:i/>
                <w:sz w:val="20"/>
              </w:rPr>
            </w:pPr>
          </w:p>
          <w:p>
            <w:pPr>
              <w:pStyle w:val="TableParagraph"/>
              <w:rPr>
                <w:b/>
                <w:i/>
                <w:sz w:val="20"/>
              </w:rPr>
            </w:pPr>
          </w:p>
          <w:p>
            <w:pPr>
              <w:pStyle w:val="TableParagraph"/>
              <w:spacing w:before="2"/>
              <w:rPr>
                <w:b/>
                <w:i/>
                <w:sz w:val="20"/>
              </w:rPr>
            </w:pPr>
          </w:p>
          <w:p>
            <w:pPr>
              <w:pStyle w:val="TableParagraph"/>
              <w:spacing w:before="1"/>
              <w:ind w:left="108"/>
              <w:rPr>
                <w:sz w:val="20"/>
              </w:rPr>
            </w:pPr>
            <w:r>
              <w:rPr>
                <w:spacing w:val="-5"/>
                <w:sz w:val="20"/>
              </w:rPr>
              <w:t>Ha</w:t>
            </w:r>
          </w:p>
        </w:tc>
        <w:tc>
          <w:tcPr>
            <w:tcW w:w="1080" w:type="dxa"/>
          </w:tcPr>
          <w:p>
            <w:pPr>
              <w:pStyle w:val="TableParagraph"/>
              <w:rPr>
                <w:b/>
                <w:i/>
                <w:sz w:val="20"/>
              </w:rPr>
            </w:pPr>
          </w:p>
          <w:p>
            <w:pPr>
              <w:pStyle w:val="TableParagraph"/>
              <w:rPr>
                <w:b/>
                <w:i/>
                <w:sz w:val="20"/>
              </w:rPr>
            </w:pPr>
          </w:p>
          <w:p>
            <w:pPr>
              <w:pStyle w:val="TableParagraph"/>
              <w:rPr>
                <w:b/>
                <w:i/>
                <w:sz w:val="20"/>
              </w:rPr>
            </w:pPr>
          </w:p>
          <w:p>
            <w:pPr>
              <w:pStyle w:val="TableParagraph"/>
              <w:spacing w:before="2"/>
              <w:rPr>
                <w:b/>
                <w:i/>
                <w:sz w:val="20"/>
              </w:rPr>
            </w:pPr>
          </w:p>
          <w:p>
            <w:pPr>
              <w:pStyle w:val="TableParagraph"/>
              <w:spacing w:before="1"/>
              <w:ind w:left="108"/>
              <w:rPr>
                <w:sz w:val="20"/>
              </w:rPr>
            </w:pPr>
            <w:r>
              <w:rPr>
                <w:spacing w:val="-4"/>
                <w:sz w:val="20"/>
              </w:rPr>
              <w:t>0.00</w:t>
            </w:r>
          </w:p>
        </w:tc>
        <w:tc>
          <w:tcPr>
            <w:tcW w:w="1080" w:type="dxa"/>
          </w:tcPr>
          <w:p>
            <w:pPr>
              <w:pStyle w:val="TableParagraph"/>
              <w:rPr>
                <w:b/>
                <w:i/>
                <w:sz w:val="20"/>
              </w:rPr>
            </w:pPr>
          </w:p>
          <w:p>
            <w:pPr>
              <w:pStyle w:val="TableParagraph"/>
              <w:rPr>
                <w:b/>
                <w:i/>
                <w:sz w:val="20"/>
              </w:rPr>
            </w:pPr>
          </w:p>
          <w:p>
            <w:pPr>
              <w:pStyle w:val="TableParagraph"/>
              <w:rPr>
                <w:b/>
                <w:i/>
                <w:sz w:val="20"/>
              </w:rPr>
            </w:pPr>
          </w:p>
          <w:p>
            <w:pPr>
              <w:pStyle w:val="TableParagraph"/>
              <w:spacing w:before="2"/>
              <w:rPr>
                <w:b/>
                <w:i/>
                <w:sz w:val="20"/>
              </w:rPr>
            </w:pPr>
          </w:p>
          <w:p>
            <w:pPr>
              <w:pStyle w:val="TableParagraph"/>
              <w:spacing w:before="1"/>
              <w:ind w:left="108"/>
              <w:rPr>
                <w:sz w:val="20"/>
              </w:rPr>
            </w:pPr>
            <w:r>
              <w:rPr>
                <w:spacing w:val="-4"/>
                <w:sz w:val="20"/>
              </w:rPr>
              <w:t>0.00</w:t>
            </w:r>
          </w:p>
        </w:tc>
        <w:tc>
          <w:tcPr>
            <w:tcW w:w="1080" w:type="dxa"/>
          </w:tcPr>
          <w:p>
            <w:pPr>
              <w:pStyle w:val="TableParagraph"/>
              <w:rPr>
                <w:b/>
                <w:i/>
                <w:sz w:val="20"/>
              </w:rPr>
            </w:pPr>
          </w:p>
          <w:p>
            <w:pPr>
              <w:pStyle w:val="TableParagraph"/>
              <w:rPr>
                <w:b/>
                <w:i/>
                <w:sz w:val="20"/>
              </w:rPr>
            </w:pPr>
          </w:p>
          <w:p>
            <w:pPr>
              <w:pStyle w:val="TableParagraph"/>
              <w:rPr>
                <w:b/>
                <w:i/>
                <w:sz w:val="20"/>
              </w:rPr>
            </w:pPr>
          </w:p>
          <w:p>
            <w:pPr>
              <w:pStyle w:val="TableParagraph"/>
              <w:spacing w:before="2"/>
              <w:rPr>
                <w:b/>
                <w:i/>
                <w:sz w:val="20"/>
              </w:rPr>
            </w:pPr>
          </w:p>
          <w:p>
            <w:pPr>
              <w:pStyle w:val="TableParagraph"/>
              <w:spacing w:before="1"/>
              <w:ind w:left="108"/>
              <w:rPr>
                <w:sz w:val="20"/>
              </w:rPr>
            </w:pPr>
            <w:r>
              <w:rPr>
                <w:spacing w:val="-4"/>
                <w:sz w:val="20"/>
              </w:rPr>
              <w:t>0.00</w:t>
            </w:r>
          </w:p>
        </w:tc>
        <w:tc>
          <w:tcPr>
            <w:tcW w:w="1025" w:type="dxa"/>
          </w:tcPr>
          <w:p>
            <w:pPr>
              <w:pStyle w:val="TableParagraph"/>
              <w:rPr>
                <w:b/>
                <w:i/>
                <w:sz w:val="20"/>
              </w:rPr>
            </w:pPr>
          </w:p>
          <w:p>
            <w:pPr>
              <w:pStyle w:val="TableParagraph"/>
              <w:rPr>
                <w:b/>
                <w:i/>
                <w:sz w:val="20"/>
              </w:rPr>
            </w:pPr>
          </w:p>
          <w:p>
            <w:pPr>
              <w:pStyle w:val="TableParagraph"/>
              <w:rPr>
                <w:b/>
                <w:i/>
                <w:sz w:val="20"/>
              </w:rPr>
            </w:pPr>
          </w:p>
          <w:p>
            <w:pPr>
              <w:pStyle w:val="TableParagraph"/>
              <w:spacing w:before="2"/>
              <w:rPr>
                <w:b/>
                <w:i/>
                <w:sz w:val="20"/>
              </w:rPr>
            </w:pPr>
          </w:p>
          <w:p>
            <w:pPr>
              <w:pStyle w:val="TableParagraph"/>
              <w:spacing w:before="1"/>
              <w:ind w:left="108"/>
              <w:rPr>
                <w:sz w:val="20"/>
              </w:rPr>
            </w:pPr>
            <w:r>
              <w:rPr>
                <w:spacing w:val="-4"/>
                <w:sz w:val="20"/>
              </w:rPr>
              <w:t>0.00</w:t>
            </w:r>
          </w:p>
        </w:tc>
        <w:tc>
          <w:tcPr>
            <w:tcW w:w="1108" w:type="dxa"/>
          </w:tcPr>
          <w:p>
            <w:pPr>
              <w:pStyle w:val="TableParagraph"/>
              <w:rPr>
                <w:b/>
                <w:i/>
                <w:sz w:val="20"/>
              </w:rPr>
            </w:pPr>
          </w:p>
          <w:p>
            <w:pPr>
              <w:pStyle w:val="TableParagraph"/>
              <w:rPr>
                <w:b/>
                <w:i/>
                <w:sz w:val="20"/>
              </w:rPr>
            </w:pPr>
          </w:p>
          <w:p>
            <w:pPr>
              <w:pStyle w:val="TableParagraph"/>
              <w:rPr>
                <w:b/>
                <w:i/>
                <w:sz w:val="20"/>
              </w:rPr>
            </w:pPr>
          </w:p>
          <w:p>
            <w:pPr>
              <w:pStyle w:val="TableParagraph"/>
              <w:spacing w:before="2"/>
              <w:rPr>
                <w:b/>
                <w:i/>
                <w:sz w:val="20"/>
              </w:rPr>
            </w:pPr>
          </w:p>
          <w:p>
            <w:pPr>
              <w:pStyle w:val="TableParagraph"/>
              <w:spacing w:before="1"/>
              <w:ind w:left="109"/>
              <w:rPr>
                <w:sz w:val="20"/>
              </w:rPr>
            </w:pPr>
            <w:r>
              <w:rPr>
                <w:spacing w:val="-4"/>
                <w:sz w:val="20"/>
              </w:rPr>
              <w:t>3.20</w:t>
            </w:r>
          </w:p>
        </w:tc>
        <w:tc>
          <w:tcPr>
            <w:tcW w:w="1223" w:type="dxa"/>
          </w:tcPr>
          <w:p>
            <w:pPr>
              <w:pStyle w:val="TableParagraph"/>
              <w:rPr>
                <w:b/>
                <w:i/>
                <w:sz w:val="20"/>
              </w:rPr>
            </w:pPr>
          </w:p>
          <w:p>
            <w:pPr>
              <w:pStyle w:val="TableParagraph"/>
              <w:rPr>
                <w:b/>
                <w:i/>
                <w:sz w:val="20"/>
              </w:rPr>
            </w:pPr>
          </w:p>
          <w:p>
            <w:pPr>
              <w:pStyle w:val="TableParagraph"/>
              <w:rPr>
                <w:b/>
                <w:i/>
                <w:sz w:val="20"/>
              </w:rPr>
            </w:pPr>
          </w:p>
          <w:p>
            <w:pPr>
              <w:pStyle w:val="TableParagraph"/>
              <w:spacing w:before="2"/>
              <w:rPr>
                <w:b/>
                <w:i/>
                <w:sz w:val="20"/>
              </w:rPr>
            </w:pPr>
          </w:p>
          <w:p>
            <w:pPr>
              <w:pStyle w:val="TableParagraph"/>
              <w:spacing w:before="1"/>
              <w:ind w:left="110"/>
              <w:rPr>
                <w:b/>
                <w:sz w:val="20"/>
              </w:rPr>
            </w:pPr>
            <w:r>
              <w:rPr>
                <w:b/>
                <w:spacing w:val="-5"/>
                <w:sz w:val="20"/>
              </w:rPr>
              <w:t>3.2</w:t>
            </w:r>
          </w:p>
        </w:tc>
      </w:tr>
      <w:tr>
        <w:trPr>
          <w:trHeight w:val="1130" w:hRule="atLeast"/>
        </w:trPr>
        <w:tc>
          <w:tcPr>
            <w:tcW w:w="550" w:type="dxa"/>
          </w:tcPr>
          <w:p>
            <w:pPr>
              <w:pStyle w:val="TableParagraph"/>
              <w:spacing w:before="94"/>
              <w:ind w:right="77"/>
              <w:jc w:val="center"/>
              <w:rPr>
                <w:sz w:val="20"/>
              </w:rPr>
            </w:pPr>
            <w:r>
              <w:rPr>
                <w:spacing w:val="-5"/>
                <w:sz w:val="20"/>
              </w:rPr>
              <w:t>21</w:t>
            </w:r>
          </w:p>
        </w:tc>
        <w:tc>
          <w:tcPr>
            <w:tcW w:w="1574" w:type="dxa"/>
          </w:tcPr>
          <w:p>
            <w:pPr>
              <w:pStyle w:val="TableParagraph"/>
              <w:spacing w:before="94"/>
              <w:ind w:left="107" w:right="304"/>
              <w:rPr>
                <w:sz w:val="20"/>
              </w:rPr>
            </w:pPr>
            <w:r>
              <w:rPr>
                <w:spacing w:val="-2"/>
                <w:sz w:val="20"/>
              </w:rPr>
              <w:t>Potters Institute (common </w:t>
            </w:r>
            <w:r>
              <w:rPr>
                <w:sz w:val="20"/>
              </w:rPr>
              <w:t>open</w:t>
            </w:r>
            <w:r>
              <w:rPr>
                <w:spacing w:val="-16"/>
                <w:sz w:val="20"/>
              </w:rPr>
              <w:t> </w:t>
            </w:r>
            <w:r>
              <w:rPr>
                <w:sz w:val="20"/>
              </w:rPr>
              <w:t>space)</w:t>
            </w:r>
          </w:p>
        </w:tc>
        <w:tc>
          <w:tcPr>
            <w:tcW w:w="946" w:type="dxa"/>
          </w:tcPr>
          <w:p>
            <w:pPr>
              <w:pStyle w:val="TableParagraph"/>
              <w:spacing w:before="94"/>
              <w:ind w:left="108"/>
              <w:rPr>
                <w:b/>
                <w:sz w:val="20"/>
              </w:rPr>
            </w:pPr>
            <w:r>
              <w:rPr>
                <w:b/>
                <w:spacing w:val="-10"/>
                <w:sz w:val="20"/>
              </w:rPr>
              <w:t>-</w:t>
            </w:r>
          </w:p>
        </w:tc>
        <w:tc>
          <w:tcPr>
            <w:tcW w:w="720" w:type="dxa"/>
          </w:tcPr>
          <w:p>
            <w:pPr>
              <w:pStyle w:val="TableParagraph"/>
              <w:spacing w:before="94"/>
              <w:ind w:left="108"/>
              <w:rPr>
                <w:sz w:val="20"/>
              </w:rPr>
            </w:pPr>
            <w:r>
              <w:rPr>
                <w:spacing w:val="-5"/>
                <w:sz w:val="20"/>
              </w:rPr>
              <w:t>Ha</w:t>
            </w:r>
          </w:p>
        </w:tc>
        <w:tc>
          <w:tcPr>
            <w:tcW w:w="1080" w:type="dxa"/>
          </w:tcPr>
          <w:p>
            <w:pPr>
              <w:pStyle w:val="TableParagraph"/>
              <w:spacing w:before="94"/>
              <w:ind w:left="108"/>
              <w:rPr>
                <w:sz w:val="20"/>
              </w:rPr>
            </w:pPr>
            <w:r>
              <w:rPr>
                <w:spacing w:val="-4"/>
                <w:sz w:val="20"/>
              </w:rPr>
              <w:t>0.00</w:t>
            </w:r>
          </w:p>
        </w:tc>
        <w:tc>
          <w:tcPr>
            <w:tcW w:w="1080" w:type="dxa"/>
          </w:tcPr>
          <w:p>
            <w:pPr>
              <w:pStyle w:val="TableParagraph"/>
              <w:spacing w:before="94"/>
              <w:ind w:left="108"/>
              <w:rPr>
                <w:sz w:val="20"/>
              </w:rPr>
            </w:pPr>
            <w:r>
              <w:rPr>
                <w:spacing w:val="-4"/>
                <w:sz w:val="20"/>
              </w:rPr>
              <w:t>0.22</w:t>
            </w:r>
          </w:p>
        </w:tc>
        <w:tc>
          <w:tcPr>
            <w:tcW w:w="1080" w:type="dxa"/>
          </w:tcPr>
          <w:p>
            <w:pPr>
              <w:pStyle w:val="TableParagraph"/>
              <w:spacing w:before="94"/>
              <w:ind w:left="108"/>
              <w:rPr>
                <w:sz w:val="20"/>
              </w:rPr>
            </w:pPr>
            <w:r>
              <w:rPr>
                <w:spacing w:val="-4"/>
                <w:sz w:val="20"/>
              </w:rPr>
              <w:t>0.00</w:t>
            </w:r>
          </w:p>
        </w:tc>
        <w:tc>
          <w:tcPr>
            <w:tcW w:w="1025" w:type="dxa"/>
          </w:tcPr>
          <w:p>
            <w:pPr>
              <w:pStyle w:val="TableParagraph"/>
              <w:spacing w:before="94"/>
              <w:ind w:left="108"/>
              <w:rPr>
                <w:sz w:val="20"/>
              </w:rPr>
            </w:pPr>
            <w:r>
              <w:rPr>
                <w:spacing w:val="-4"/>
                <w:sz w:val="20"/>
              </w:rPr>
              <w:t>0.00</w:t>
            </w:r>
          </w:p>
        </w:tc>
        <w:tc>
          <w:tcPr>
            <w:tcW w:w="1108" w:type="dxa"/>
          </w:tcPr>
          <w:p>
            <w:pPr>
              <w:pStyle w:val="TableParagraph"/>
              <w:spacing w:before="94"/>
              <w:ind w:left="109"/>
              <w:rPr>
                <w:sz w:val="20"/>
              </w:rPr>
            </w:pPr>
            <w:r>
              <w:rPr>
                <w:spacing w:val="-4"/>
                <w:sz w:val="20"/>
              </w:rPr>
              <w:t>0.00</w:t>
            </w:r>
          </w:p>
        </w:tc>
        <w:tc>
          <w:tcPr>
            <w:tcW w:w="1223" w:type="dxa"/>
          </w:tcPr>
          <w:p>
            <w:pPr>
              <w:pStyle w:val="TableParagraph"/>
              <w:spacing w:before="94"/>
              <w:ind w:left="110"/>
              <w:rPr>
                <w:b/>
                <w:sz w:val="20"/>
              </w:rPr>
            </w:pPr>
            <w:r>
              <w:rPr>
                <w:b/>
                <w:spacing w:val="-4"/>
                <w:sz w:val="20"/>
              </w:rPr>
              <w:t>0.22</w:t>
            </w:r>
          </w:p>
        </w:tc>
      </w:tr>
      <w:tr>
        <w:trPr>
          <w:trHeight w:val="1132" w:hRule="atLeast"/>
        </w:trPr>
        <w:tc>
          <w:tcPr>
            <w:tcW w:w="550" w:type="dxa"/>
          </w:tcPr>
          <w:p>
            <w:pPr>
              <w:pStyle w:val="TableParagraph"/>
              <w:spacing w:before="94"/>
              <w:ind w:right="77"/>
              <w:jc w:val="center"/>
              <w:rPr>
                <w:sz w:val="20"/>
              </w:rPr>
            </w:pPr>
            <w:r>
              <w:rPr>
                <w:spacing w:val="-5"/>
                <w:sz w:val="20"/>
              </w:rPr>
              <w:t>22</w:t>
            </w:r>
          </w:p>
        </w:tc>
        <w:tc>
          <w:tcPr>
            <w:tcW w:w="1574" w:type="dxa"/>
          </w:tcPr>
          <w:p>
            <w:pPr>
              <w:pStyle w:val="TableParagraph"/>
              <w:tabs>
                <w:tab w:pos="822" w:val="left" w:leader="none"/>
                <w:tab w:pos="1237" w:val="left" w:leader="none"/>
              </w:tabs>
              <w:spacing w:before="94"/>
              <w:ind w:left="107" w:right="98"/>
              <w:rPr>
                <w:sz w:val="20"/>
              </w:rPr>
            </w:pPr>
            <w:r>
              <w:rPr>
                <w:spacing w:val="-4"/>
                <w:sz w:val="20"/>
              </w:rPr>
              <w:t>Land</w:t>
            </w:r>
            <w:r>
              <w:rPr>
                <w:sz w:val="20"/>
              </w:rPr>
              <w:tab/>
            </w:r>
            <w:r>
              <w:rPr>
                <w:spacing w:val="-6"/>
                <w:sz w:val="20"/>
              </w:rPr>
              <w:t>to</w:t>
            </w:r>
            <w:r>
              <w:rPr>
                <w:sz w:val="20"/>
              </w:rPr>
              <w:tab/>
            </w:r>
            <w:r>
              <w:rPr>
                <w:spacing w:val="-6"/>
                <w:sz w:val="20"/>
              </w:rPr>
              <w:t>be </w:t>
            </w:r>
            <w:r>
              <w:rPr>
                <w:sz w:val="20"/>
              </w:rPr>
              <w:t>given</w:t>
            </w:r>
            <w:r>
              <w:rPr>
                <w:spacing w:val="-13"/>
                <w:sz w:val="20"/>
              </w:rPr>
              <w:t> </w:t>
            </w:r>
            <w:r>
              <w:rPr>
                <w:sz w:val="20"/>
              </w:rPr>
              <w:t>to</w:t>
            </w:r>
            <w:r>
              <w:rPr>
                <w:spacing w:val="-13"/>
                <w:sz w:val="20"/>
              </w:rPr>
              <w:t> </w:t>
            </w:r>
            <w:r>
              <w:rPr>
                <w:sz w:val="20"/>
              </w:rPr>
              <w:t>TATA </w:t>
            </w:r>
            <w:r>
              <w:rPr>
                <w:spacing w:val="-4"/>
                <w:sz w:val="20"/>
              </w:rPr>
              <w:t>Power</w:t>
            </w:r>
            <w:r>
              <w:rPr>
                <w:spacing w:val="40"/>
                <w:sz w:val="20"/>
              </w:rPr>
              <w:t> </w:t>
            </w:r>
            <w:r>
              <w:rPr>
                <w:sz w:val="20"/>
              </w:rPr>
              <w:t>Electric Co.</w:t>
            </w:r>
          </w:p>
        </w:tc>
        <w:tc>
          <w:tcPr>
            <w:tcW w:w="946" w:type="dxa"/>
          </w:tcPr>
          <w:p>
            <w:pPr>
              <w:pStyle w:val="TableParagraph"/>
              <w:rPr>
                <w:rFonts w:ascii="Times New Roman"/>
                <w:sz w:val="18"/>
              </w:rPr>
            </w:pPr>
          </w:p>
        </w:tc>
        <w:tc>
          <w:tcPr>
            <w:tcW w:w="720" w:type="dxa"/>
          </w:tcPr>
          <w:p>
            <w:pPr>
              <w:pStyle w:val="TableParagraph"/>
              <w:spacing w:before="94"/>
              <w:ind w:left="108"/>
              <w:rPr>
                <w:sz w:val="20"/>
              </w:rPr>
            </w:pPr>
            <w:r>
              <w:rPr>
                <w:spacing w:val="-5"/>
                <w:sz w:val="20"/>
              </w:rPr>
              <w:t>Ha</w:t>
            </w:r>
          </w:p>
        </w:tc>
        <w:tc>
          <w:tcPr>
            <w:tcW w:w="1080" w:type="dxa"/>
          </w:tcPr>
          <w:p>
            <w:pPr>
              <w:pStyle w:val="TableParagraph"/>
              <w:spacing w:before="94"/>
              <w:ind w:left="108"/>
              <w:rPr>
                <w:sz w:val="20"/>
              </w:rPr>
            </w:pPr>
            <w:r>
              <w:rPr>
                <w:spacing w:val="-4"/>
                <w:sz w:val="20"/>
              </w:rPr>
              <w:t>0.00</w:t>
            </w:r>
          </w:p>
        </w:tc>
        <w:tc>
          <w:tcPr>
            <w:tcW w:w="1080" w:type="dxa"/>
          </w:tcPr>
          <w:p>
            <w:pPr>
              <w:pStyle w:val="TableParagraph"/>
              <w:spacing w:before="94"/>
              <w:ind w:left="108"/>
              <w:rPr>
                <w:sz w:val="20"/>
              </w:rPr>
            </w:pPr>
            <w:r>
              <w:rPr>
                <w:spacing w:val="-4"/>
                <w:sz w:val="20"/>
              </w:rPr>
              <w:t>0.40</w:t>
            </w:r>
          </w:p>
        </w:tc>
        <w:tc>
          <w:tcPr>
            <w:tcW w:w="1080" w:type="dxa"/>
          </w:tcPr>
          <w:p>
            <w:pPr>
              <w:pStyle w:val="TableParagraph"/>
              <w:spacing w:before="94"/>
              <w:ind w:left="108"/>
              <w:rPr>
                <w:sz w:val="20"/>
              </w:rPr>
            </w:pPr>
            <w:r>
              <w:rPr>
                <w:spacing w:val="-4"/>
                <w:sz w:val="20"/>
              </w:rPr>
              <w:t>0.00</w:t>
            </w:r>
          </w:p>
        </w:tc>
        <w:tc>
          <w:tcPr>
            <w:tcW w:w="1025" w:type="dxa"/>
          </w:tcPr>
          <w:p>
            <w:pPr>
              <w:pStyle w:val="TableParagraph"/>
              <w:spacing w:before="94"/>
              <w:ind w:left="108"/>
              <w:rPr>
                <w:sz w:val="20"/>
              </w:rPr>
            </w:pPr>
            <w:r>
              <w:rPr>
                <w:spacing w:val="-4"/>
                <w:sz w:val="20"/>
              </w:rPr>
              <w:t>0.00</w:t>
            </w:r>
          </w:p>
        </w:tc>
        <w:tc>
          <w:tcPr>
            <w:tcW w:w="1108" w:type="dxa"/>
          </w:tcPr>
          <w:p>
            <w:pPr>
              <w:pStyle w:val="TableParagraph"/>
              <w:spacing w:before="94"/>
              <w:ind w:left="109"/>
              <w:rPr>
                <w:sz w:val="20"/>
              </w:rPr>
            </w:pPr>
            <w:r>
              <w:rPr>
                <w:spacing w:val="-4"/>
                <w:sz w:val="20"/>
              </w:rPr>
              <w:t>0.00</w:t>
            </w:r>
          </w:p>
        </w:tc>
        <w:tc>
          <w:tcPr>
            <w:tcW w:w="1223" w:type="dxa"/>
          </w:tcPr>
          <w:p>
            <w:pPr>
              <w:pStyle w:val="TableParagraph"/>
              <w:spacing w:before="94"/>
              <w:ind w:left="110"/>
              <w:rPr>
                <w:b/>
                <w:sz w:val="20"/>
              </w:rPr>
            </w:pPr>
            <w:r>
              <w:rPr>
                <w:b/>
                <w:spacing w:val="-4"/>
                <w:sz w:val="20"/>
              </w:rPr>
              <w:t>0.40</w:t>
            </w:r>
          </w:p>
        </w:tc>
      </w:tr>
      <w:tr>
        <w:trPr>
          <w:trHeight w:val="427" w:hRule="atLeast"/>
        </w:trPr>
        <w:tc>
          <w:tcPr>
            <w:tcW w:w="550" w:type="dxa"/>
          </w:tcPr>
          <w:p>
            <w:pPr>
              <w:pStyle w:val="TableParagraph"/>
              <w:rPr>
                <w:rFonts w:ascii="Times New Roman"/>
                <w:sz w:val="18"/>
              </w:rPr>
            </w:pPr>
          </w:p>
        </w:tc>
        <w:tc>
          <w:tcPr>
            <w:tcW w:w="1574" w:type="dxa"/>
          </w:tcPr>
          <w:p>
            <w:pPr>
              <w:pStyle w:val="TableParagraph"/>
              <w:spacing w:before="95"/>
              <w:ind w:left="107"/>
              <w:rPr>
                <w:b/>
                <w:sz w:val="20"/>
              </w:rPr>
            </w:pPr>
            <w:r>
              <w:rPr>
                <w:b/>
                <w:spacing w:val="-4"/>
                <w:sz w:val="20"/>
              </w:rPr>
              <w:t>Total</w:t>
            </w:r>
          </w:p>
        </w:tc>
        <w:tc>
          <w:tcPr>
            <w:tcW w:w="946" w:type="dxa"/>
          </w:tcPr>
          <w:p>
            <w:pPr>
              <w:pStyle w:val="TableParagraph"/>
              <w:rPr>
                <w:rFonts w:ascii="Times New Roman"/>
                <w:sz w:val="18"/>
              </w:rPr>
            </w:pPr>
          </w:p>
        </w:tc>
        <w:tc>
          <w:tcPr>
            <w:tcW w:w="720" w:type="dxa"/>
          </w:tcPr>
          <w:p>
            <w:pPr>
              <w:pStyle w:val="TableParagraph"/>
              <w:rPr>
                <w:rFonts w:ascii="Times New Roman"/>
                <w:sz w:val="18"/>
              </w:rPr>
            </w:pPr>
          </w:p>
        </w:tc>
        <w:tc>
          <w:tcPr>
            <w:tcW w:w="1080" w:type="dxa"/>
          </w:tcPr>
          <w:p>
            <w:pPr>
              <w:pStyle w:val="TableParagraph"/>
              <w:spacing w:before="95"/>
              <w:ind w:left="108"/>
              <w:rPr>
                <w:b/>
                <w:sz w:val="20"/>
              </w:rPr>
            </w:pPr>
            <w:r>
              <w:rPr>
                <w:b/>
                <w:spacing w:val="-4"/>
                <w:sz w:val="20"/>
              </w:rPr>
              <w:t>2.75</w:t>
            </w:r>
          </w:p>
        </w:tc>
        <w:tc>
          <w:tcPr>
            <w:tcW w:w="1080" w:type="dxa"/>
          </w:tcPr>
          <w:p>
            <w:pPr>
              <w:pStyle w:val="TableParagraph"/>
              <w:spacing w:before="95"/>
              <w:ind w:left="108"/>
              <w:rPr>
                <w:b/>
                <w:sz w:val="20"/>
              </w:rPr>
            </w:pPr>
            <w:r>
              <w:rPr>
                <w:b/>
                <w:spacing w:val="-4"/>
                <w:sz w:val="20"/>
              </w:rPr>
              <w:t>2.74</w:t>
            </w:r>
          </w:p>
        </w:tc>
        <w:tc>
          <w:tcPr>
            <w:tcW w:w="1080" w:type="dxa"/>
          </w:tcPr>
          <w:p>
            <w:pPr>
              <w:pStyle w:val="TableParagraph"/>
              <w:spacing w:before="95"/>
              <w:ind w:left="108"/>
              <w:rPr>
                <w:b/>
                <w:sz w:val="20"/>
              </w:rPr>
            </w:pPr>
            <w:r>
              <w:rPr>
                <w:b/>
                <w:spacing w:val="-4"/>
                <w:sz w:val="20"/>
              </w:rPr>
              <w:t>3.33</w:t>
            </w:r>
          </w:p>
        </w:tc>
        <w:tc>
          <w:tcPr>
            <w:tcW w:w="1025" w:type="dxa"/>
          </w:tcPr>
          <w:p>
            <w:pPr>
              <w:pStyle w:val="TableParagraph"/>
              <w:spacing w:before="95"/>
              <w:ind w:left="108"/>
              <w:rPr>
                <w:b/>
                <w:sz w:val="20"/>
              </w:rPr>
            </w:pPr>
            <w:r>
              <w:rPr>
                <w:b/>
                <w:spacing w:val="-4"/>
                <w:sz w:val="20"/>
              </w:rPr>
              <w:t>3.19</w:t>
            </w:r>
          </w:p>
        </w:tc>
        <w:tc>
          <w:tcPr>
            <w:tcW w:w="1108" w:type="dxa"/>
          </w:tcPr>
          <w:p>
            <w:pPr>
              <w:pStyle w:val="TableParagraph"/>
              <w:spacing w:before="95"/>
              <w:ind w:left="109"/>
              <w:rPr>
                <w:b/>
                <w:sz w:val="20"/>
              </w:rPr>
            </w:pPr>
            <w:r>
              <w:rPr>
                <w:b/>
                <w:spacing w:val="-4"/>
                <w:sz w:val="20"/>
              </w:rPr>
              <w:t>6.72</w:t>
            </w:r>
          </w:p>
        </w:tc>
        <w:tc>
          <w:tcPr>
            <w:tcW w:w="1223" w:type="dxa"/>
          </w:tcPr>
          <w:p>
            <w:pPr>
              <w:pStyle w:val="TableParagraph"/>
              <w:spacing w:before="95"/>
              <w:ind w:left="110"/>
              <w:rPr>
                <w:b/>
                <w:sz w:val="20"/>
              </w:rPr>
            </w:pPr>
            <w:r>
              <w:rPr>
                <w:b/>
                <w:spacing w:val="-4"/>
                <w:sz w:val="20"/>
              </w:rPr>
              <w:t>18.73</w:t>
            </w:r>
          </w:p>
        </w:tc>
      </w:tr>
      <w:tr>
        <w:trPr>
          <w:trHeight w:val="1557" w:hRule="atLeast"/>
        </w:trPr>
        <w:tc>
          <w:tcPr>
            <w:tcW w:w="550" w:type="dxa"/>
          </w:tcPr>
          <w:p>
            <w:pPr>
              <w:pStyle w:val="TableParagraph"/>
              <w:spacing w:before="94"/>
              <w:ind w:left="107" w:right="153"/>
              <w:rPr>
                <w:b/>
                <w:sz w:val="20"/>
              </w:rPr>
            </w:pPr>
            <w:r>
              <w:rPr>
                <w:b/>
                <w:spacing w:val="-6"/>
                <w:sz w:val="20"/>
              </w:rPr>
              <w:t>No te</w:t>
            </w:r>
          </w:p>
        </w:tc>
        <w:tc>
          <w:tcPr>
            <w:tcW w:w="9836" w:type="dxa"/>
            <w:gridSpan w:val="9"/>
          </w:tcPr>
          <w:p>
            <w:pPr>
              <w:pStyle w:val="TableParagraph"/>
              <w:spacing w:before="94"/>
              <w:ind w:left="107"/>
              <w:rPr>
                <w:sz w:val="20"/>
              </w:rPr>
            </w:pPr>
            <w:r>
              <w:rPr>
                <w:sz w:val="20"/>
              </w:rPr>
              <w:t>All</w:t>
            </w:r>
            <w:r>
              <w:rPr>
                <w:spacing w:val="-9"/>
                <w:sz w:val="20"/>
              </w:rPr>
              <w:t> </w:t>
            </w:r>
            <w:r>
              <w:rPr>
                <w:sz w:val="20"/>
              </w:rPr>
              <w:t>the</w:t>
            </w:r>
            <w:r>
              <w:rPr>
                <w:spacing w:val="-10"/>
                <w:sz w:val="20"/>
              </w:rPr>
              <w:t> </w:t>
            </w:r>
            <w:r>
              <w:rPr>
                <w:sz w:val="20"/>
              </w:rPr>
              <w:t>additional</w:t>
            </w:r>
            <w:r>
              <w:rPr>
                <w:spacing w:val="-10"/>
                <w:sz w:val="20"/>
              </w:rPr>
              <w:t> </w:t>
            </w:r>
            <w:r>
              <w:rPr>
                <w:sz w:val="20"/>
              </w:rPr>
              <w:t>amenities</w:t>
            </w:r>
            <w:r>
              <w:rPr>
                <w:spacing w:val="-10"/>
                <w:sz w:val="20"/>
              </w:rPr>
              <w:t> </w:t>
            </w:r>
            <w:r>
              <w:rPr>
                <w:sz w:val="20"/>
              </w:rPr>
              <w:t>and</w:t>
            </w:r>
            <w:r>
              <w:rPr>
                <w:spacing w:val="-11"/>
                <w:sz w:val="20"/>
              </w:rPr>
              <w:t> </w:t>
            </w:r>
            <w:r>
              <w:rPr>
                <w:sz w:val="20"/>
              </w:rPr>
              <w:t>facilities</w:t>
            </w:r>
            <w:r>
              <w:rPr>
                <w:spacing w:val="-10"/>
                <w:sz w:val="20"/>
              </w:rPr>
              <w:t> </w:t>
            </w:r>
            <w:r>
              <w:rPr>
                <w:sz w:val="20"/>
              </w:rPr>
              <w:t>to</w:t>
            </w:r>
            <w:r>
              <w:rPr>
                <w:spacing w:val="-9"/>
                <w:sz w:val="20"/>
              </w:rPr>
              <w:t> </w:t>
            </w:r>
            <w:r>
              <w:rPr>
                <w:sz w:val="20"/>
              </w:rPr>
              <w:t>be</w:t>
            </w:r>
            <w:r>
              <w:rPr>
                <w:spacing w:val="-8"/>
                <w:sz w:val="20"/>
              </w:rPr>
              <w:t> </w:t>
            </w:r>
            <w:r>
              <w:rPr>
                <w:sz w:val="20"/>
              </w:rPr>
              <w:t>provided</w:t>
            </w:r>
            <w:r>
              <w:rPr>
                <w:spacing w:val="-11"/>
                <w:sz w:val="20"/>
              </w:rPr>
              <w:t> </w:t>
            </w:r>
            <w:r>
              <w:rPr>
                <w:sz w:val="20"/>
              </w:rPr>
              <w:t>within</w:t>
            </w:r>
            <w:r>
              <w:rPr>
                <w:spacing w:val="-9"/>
                <w:sz w:val="20"/>
              </w:rPr>
              <w:t> </w:t>
            </w:r>
            <w:r>
              <w:rPr>
                <w:sz w:val="20"/>
              </w:rPr>
              <w:t>DRA</w:t>
            </w:r>
            <w:r>
              <w:rPr>
                <w:spacing w:val="-10"/>
                <w:sz w:val="20"/>
              </w:rPr>
              <w:t> </w:t>
            </w:r>
            <w:r>
              <w:rPr>
                <w:sz w:val="20"/>
              </w:rPr>
              <w:t>are</w:t>
            </w:r>
            <w:r>
              <w:rPr>
                <w:spacing w:val="-10"/>
                <w:sz w:val="20"/>
              </w:rPr>
              <w:t> </w:t>
            </w:r>
            <w:r>
              <w:rPr>
                <w:sz w:val="20"/>
              </w:rPr>
              <w:t>deemed</w:t>
            </w:r>
            <w:r>
              <w:rPr>
                <w:spacing w:val="-12"/>
                <w:sz w:val="20"/>
              </w:rPr>
              <w:t> </w:t>
            </w:r>
            <w:r>
              <w:rPr>
                <w:sz w:val="20"/>
              </w:rPr>
              <w:t>to</w:t>
            </w:r>
            <w:r>
              <w:rPr>
                <w:spacing w:val="-11"/>
                <w:sz w:val="20"/>
              </w:rPr>
              <w:t> </w:t>
            </w:r>
            <w:r>
              <w:rPr>
                <w:sz w:val="20"/>
              </w:rPr>
              <w:t>be</w:t>
            </w:r>
            <w:r>
              <w:rPr>
                <w:spacing w:val="-10"/>
                <w:sz w:val="20"/>
              </w:rPr>
              <w:t> </w:t>
            </w:r>
            <w:r>
              <w:rPr>
                <w:sz w:val="20"/>
              </w:rPr>
              <w:t>treated</w:t>
            </w:r>
            <w:r>
              <w:rPr>
                <w:spacing w:val="-11"/>
                <w:sz w:val="20"/>
              </w:rPr>
              <w:t> </w:t>
            </w:r>
            <w:r>
              <w:rPr>
                <w:sz w:val="20"/>
              </w:rPr>
              <w:t>as</w:t>
            </w:r>
            <w:r>
              <w:rPr>
                <w:spacing w:val="-8"/>
                <w:sz w:val="20"/>
              </w:rPr>
              <w:t> </w:t>
            </w:r>
            <w:r>
              <w:rPr>
                <w:sz w:val="20"/>
              </w:rPr>
              <w:t>DP </w:t>
            </w:r>
            <w:r>
              <w:rPr>
                <w:spacing w:val="-2"/>
                <w:sz w:val="20"/>
              </w:rPr>
              <w:t>Proposals.</w:t>
            </w:r>
          </w:p>
          <w:p>
            <w:pPr>
              <w:pStyle w:val="TableParagraph"/>
              <w:spacing w:before="95"/>
              <w:ind w:left="107"/>
              <w:rPr>
                <w:sz w:val="20"/>
              </w:rPr>
            </w:pPr>
            <w:r>
              <w:rPr>
                <w:sz w:val="20"/>
              </w:rPr>
              <w:t>All</w:t>
            </w:r>
            <w:r>
              <w:rPr>
                <w:spacing w:val="-4"/>
                <w:sz w:val="20"/>
              </w:rPr>
              <w:t> </w:t>
            </w:r>
            <w:r>
              <w:rPr>
                <w:sz w:val="20"/>
              </w:rPr>
              <w:t>proposed</w:t>
            </w:r>
            <w:r>
              <w:rPr>
                <w:spacing w:val="-5"/>
                <w:sz w:val="20"/>
              </w:rPr>
              <w:t> </w:t>
            </w:r>
            <w:r>
              <w:rPr>
                <w:sz w:val="20"/>
              </w:rPr>
              <w:t>roads</w:t>
            </w:r>
            <w:r>
              <w:rPr>
                <w:spacing w:val="-5"/>
                <w:sz w:val="20"/>
              </w:rPr>
              <w:t> </w:t>
            </w:r>
            <w:r>
              <w:rPr>
                <w:sz w:val="20"/>
              </w:rPr>
              <w:t>having</w:t>
            </w:r>
            <w:r>
              <w:rPr>
                <w:spacing w:val="-4"/>
                <w:sz w:val="20"/>
              </w:rPr>
              <w:t> </w:t>
            </w:r>
            <w:r>
              <w:rPr>
                <w:sz w:val="20"/>
              </w:rPr>
              <w:t>width</w:t>
            </w:r>
            <w:r>
              <w:rPr>
                <w:spacing w:val="-4"/>
                <w:sz w:val="20"/>
              </w:rPr>
              <w:t> </w:t>
            </w:r>
            <w:r>
              <w:rPr>
                <w:sz w:val="20"/>
              </w:rPr>
              <w:t>of</w:t>
            </w:r>
            <w:r>
              <w:rPr>
                <w:spacing w:val="-3"/>
                <w:sz w:val="20"/>
              </w:rPr>
              <w:t> </w:t>
            </w:r>
            <w:r>
              <w:rPr>
                <w:sz w:val="20"/>
              </w:rPr>
              <w:t>12</w:t>
            </w:r>
            <w:r>
              <w:rPr>
                <w:spacing w:val="-6"/>
                <w:sz w:val="20"/>
              </w:rPr>
              <w:t> </w:t>
            </w:r>
            <w:r>
              <w:rPr>
                <w:sz w:val="20"/>
              </w:rPr>
              <w:t>m</w:t>
            </w:r>
            <w:r>
              <w:rPr>
                <w:spacing w:val="-4"/>
                <w:sz w:val="20"/>
              </w:rPr>
              <w:t> </w:t>
            </w:r>
            <w:r>
              <w:rPr>
                <w:sz w:val="20"/>
              </w:rPr>
              <w:t>&amp;</w:t>
            </w:r>
            <w:r>
              <w:rPr>
                <w:spacing w:val="-6"/>
                <w:sz w:val="20"/>
              </w:rPr>
              <w:t> </w:t>
            </w:r>
            <w:r>
              <w:rPr>
                <w:sz w:val="20"/>
              </w:rPr>
              <w:t>above</w:t>
            </w:r>
            <w:r>
              <w:rPr>
                <w:spacing w:val="-4"/>
                <w:sz w:val="20"/>
              </w:rPr>
              <w:t> </w:t>
            </w:r>
            <w:r>
              <w:rPr>
                <w:sz w:val="20"/>
              </w:rPr>
              <w:t>are</w:t>
            </w:r>
            <w:r>
              <w:rPr>
                <w:spacing w:val="-5"/>
                <w:sz w:val="20"/>
              </w:rPr>
              <w:t> </w:t>
            </w:r>
            <w:r>
              <w:rPr>
                <w:sz w:val="20"/>
              </w:rPr>
              <w:t>deemed</w:t>
            </w:r>
            <w:r>
              <w:rPr>
                <w:spacing w:val="-5"/>
                <w:sz w:val="20"/>
              </w:rPr>
              <w:t> </w:t>
            </w:r>
            <w:r>
              <w:rPr>
                <w:sz w:val="20"/>
              </w:rPr>
              <w:t>to</w:t>
            </w:r>
            <w:r>
              <w:rPr>
                <w:spacing w:val="-5"/>
                <w:sz w:val="20"/>
              </w:rPr>
              <w:t> </w:t>
            </w:r>
            <w:r>
              <w:rPr>
                <w:sz w:val="20"/>
              </w:rPr>
              <w:t>be</w:t>
            </w:r>
            <w:r>
              <w:rPr>
                <w:spacing w:val="-5"/>
                <w:sz w:val="20"/>
              </w:rPr>
              <w:t> </w:t>
            </w:r>
            <w:r>
              <w:rPr>
                <w:sz w:val="20"/>
              </w:rPr>
              <w:t>treated</w:t>
            </w:r>
            <w:r>
              <w:rPr>
                <w:spacing w:val="-3"/>
                <w:sz w:val="20"/>
              </w:rPr>
              <w:t> </w:t>
            </w:r>
            <w:r>
              <w:rPr>
                <w:sz w:val="20"/>
              </w:rPr>
              <w:t>as</w:t>
            </w:r>
            <w:r>
              <w:rPr>
                <w:spacing w:val="-6"/>
                <w:sz w:val="20"/>
              </w:rPr>
              <w:t> </w:t>
            </w:r>
            <w:r>
              <w:rPr>
                <w:sz w:val="20"/>
              </w:rPr>
              <w:t>DP</w:t>
            </w:r>
            <w:r>
              <w:rPr>
                <w:spacing w:val="-3"/>
                <w:sz w:val="20"/>
              </w:rPr>
              <w:t> </w:t>
            </w:r>
            <w:r>
              <w:rPr>
                <w:spacing w:val="-2"/>
                <w:sz w:val="20"/>
              </w:rPr>
              <w:t>Proposals.</w:t>
            </w:r>
          </w:p>
          <w:p>
            <w:pPr>
              <w:pStyle w:val="TableParagraph"/>
              <w:spacing w:before="96"/>
              <w:ind w:left="107" w:right="75"/>
              <w:rPr>
                <w:sz w:val="20"/>
              </w:rPr>
            </w:pPr>
            <w:r>
              <w:rPr>
                <w:sz w:val="20"/>
              </w:rPr>
              <w:t>The SRA may add, alter or amend category and quantum of additional amenities and facilities to be provided within DNA with the approval of GoM.</w:t>
            </w:r>
          </w:p>
        </w:tc>
      </w:tr>
    </w:tbl>
    <w:p>
      <w:pPr>
        <w:spacing w:before="0"/>
        <w:ind w:left="2062" w:right="0" w:firstLine="0"/>
        <w:jc w:val="left"/>
        <w:rPr>
          <w:b/>
          <w:i/>
          <w:sz w:val="24"/>
        </w:rPr>
      </w:pPr>
      <w:r>
        <w:rPr>
          <w:b/>
          <w:i/>
          <w:spacing w:val="-2"/>
          <w:sz w:val="24"/>
        </w:rPr>
        <w:t>Note:</w:t>
      </w:r>
    </w:p>
    <w:p>
      <w:pPr>
        <w:spacing w:after="0"/>
        <w:jc w:val="left"/>
        <w:rPr>
          <w:b/>
          <w:i/>
          <w:sz w:val="24"/>
        </w:rPr>
        <w:sectPr>
          <w:pgSz w:w="11910" w:h="16840"/>
          <w:pgMar w:header="1065" w:footer="1194" w:top="1500" w:bottom="1380" w:left="360" w:right="360"/>
        </w:sectPr>
      </w:pPr>
    </w:p>
    <w:p>
      <w:pPr>
        <w:pStyle w:val="BodyText"/>
        <w:spacing w:before="249"/>
        <w:ind w:left="2062" w:right="766"/>
      </w:pPr>
      <w:r>
        <w:rPr/>
        <w:t>The provisions of the DC Rules for Greater Mumbai, and all other applicable sections of the MA &amp; TP Act, 1966, shall apply </w:t>
      </w:r>
      <w:r>
        <w:rPr>
          <w:i/>
        </w:rPr>
        <w:t>mutatis mutandis </w:t>
      </w:r>
      <w:r>
        <w:rPr/>
        <w:t>to the development of land with the modification that the expressions "MCGM" and "Municipal Commissioner" shall be substituted by the expressions "SRA" and "OSD, DRP (SRA)” </w:t>
      </w:r>
      <w:r>
        <w:rPr>
          <w:spacing w:val="-2"/>
        </w:rPr>
        <w:t>respectively.</w:t>
      </w:r>
    </w:p>
    <w:p>
      <w:pPr>
        <w:pStyle w:val="Heading6"/>
        <w:spacing w:before="239"/>
        <w:ind w:left="2782" w:right="838" w:hanging="720"/>
      </w:pPr>
      <w:r>
        <w:rPr>
          <w:i w:val="0"/>
        </w:rPr>
        <w:t>33(11)</w:t>
      </w:r>
      <w:r>
        <w:rPr/>
        <w:t>Provisions relating to Permanent Transit Camp tenements for Slum Rehabilitation Scheme:</w:t>
      </w:r>
    </w:p>
    <w:p>
      <w:pPr>
        <w:pStyle w:val="BodyText"/>
        <w:spacing w:before="243"/>
        <w:ind w:left="2062" w:right="771"/>
      </w:pPr>
      <w:r>
        <w:rPr/>
        <w:t>Total FSI on</w:t>
      </w:r>
      <w:r>
        <w:rPr>
          <w:spacing w:val="40"/>
        </w:rPr>
        <w:t> </w:t>
      </w:r>
      <w:r>
        <w:rPr/>
        <w:t>plot area may be allowed to be exceeded up to 4 for construction of Transit Camp tenements for SRA.</w:t>
      </w:r>
    </w:p>
    <w:p>
      <w:pPr>
        <w:pStyle w:val="ListParagraph"/>
        <w:numPr>
          <w:ilvl w:val="0"/>
          <w:numId w:val="199"/>
        </w:numPr>
        <w:tabs>
          <w:tab w:pos="2502" w:val="left" w:leader="none"/>
        </w:tabs>
        <w:spacing w:line="240" w:lineRule="auto" w:before="241" w:after="0"/>
        <w:ind w:left="2062" w:right="773" w:firstLine="0"/>
        <w:jc w:val="left"/>
        <w:rPr>
          <w:sz w:val="24"/>
        </w:rPr>
      </w:pPr>
      <w:r>
        <w:rPr>
          <w:sz w:val="24"/>
        </w:rPr>
        <w:t>The</w:t>
      </w:r>
      <w:r>
        <w:rPr>
          <w:spacing w:val="40"/>
          <w:sz w:val="24"/>
        </w:rPr>
        <w:t> </w:t>
      </w:r>
      <w:r>
        <w:rPr>
          <w:sz w:val="24"/>
        </w:rPr>
        <w:t>FSI</w:t>
      </w:r>
      <w:r>
        <w:rPr>
          <w:spacing w:val="40"/>
          <w:sz w:val="24"/>
        </w:rPr>
        <w:t> </w:t>
      </w:r>
      <w:r>
        <w:rPr>
          <w:sz w:val="24"/>
        </w:rPr>
        <w:t>&amp;</w:t>
      </w:r>
      <w:r>
        <w:rPr>
          <w:spacing w:val="40"/>
          <w:sz w:val="24"/>
        </w:rPr>
        <w:t> </w:t>
      </w:r>
      <w:r>
        <w:rPr>
          <w:sz w:val="24"/>
        </w:rPr>
        <w:t>distribution</w:t>
      </w:r>
      <w:r>
        <w:rPr>
          <w:spacing w:val="40"/>
          <w:sz w:val="24"/>
        </w:rPr>
        <w:t> </w:t>
      </w:r>
      <w:r>
        <w:rPr>
          <w:sz w:val="24"/>
        </w:rPr>
        <w:t>of</w:t>
      </w:r>
      <w:r>
        <w:rPr>
          <w:spacing w:val="40"/>
          <w:sz w:val="24"/>
        </w:rPr>
        <w:t> </w:t>
      </w:r>
      <w:r>
        <w:rPr>
          <w:sz w:val="24"/>
        </w:rPr>
        <w:t>additional</w:t>
      </w:r>
      <w:r>
        <w:rPr>
          <w:spacing w:val="40"/>
          <w:sz w:val="24"/>
        </w:rPr>
        <w:t> </w:t>
      </w:r>
      <w:r>
        <w:rPr>
          <w:sz w:val="24"/>
        </w:rPr>
        <w:t>FSI</w:t>
      </w:r>
      <w:r>
        <w:rPr>
          <w:spacing w:val="40"/>
          <w:sz w:val="24"/>
        </w:rPr>
        <w:t> </w:t>
      </w:r>
      <w:r>
        <w:rPr>
          <w:sz w:val="24"/>
        </w:rPr>
        <w:t>for</w:t>
      </w:r>
      <w:r>
        <w:rPr>
          <w:spacing w:val="40"/>
          <w:sz w:val="24"/>
        </w:rPr>
        <w:t> </w:t>
      </w:r>
      <w:r>
        <w:rPr>
          <w:sz w:val="24"/>
        </w:rPr>
        <w:t>the</w:t>
      </w:r>
      <w:r>
        <w:rPr>
          <w:spacing w:val="40"/>
          <w:sz w:val="24"/>
        </w:rPr>
        <w:t> </w:t>
      </w:r>
      <w:r>
        <w:rPr>
          <w:sz w:val="24"/>
        </w:rPr>
        <w:t>construction</w:t>
      </w:r>
      <w:r>
        <w:rPr>
          <w:spacing w:val="40"/>
          <w:sz w:val="24"/>
        </w:rPr>
        <w:t> </w:t>
      </w:r>
      <w:r>
        <w:rPr>
          <w:sz w:val="24"/>
        </w:rPr>
        <w:t>of Transit Camp Tenements/ shall be as shown below:</w:t>
      </w:r>
    </w:p>
    <w:p>
      <w:pPr>
        <w:pStyle w:val="BodyText"/>
        <w:spacing w:before="4"/>
        <w:jc w:val="left"/>
        <w:rPr>
          <w:sz w:val="20"/>
        </w:rPr>
      </w:pP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2"/>
        <w:gridCol w:w="220"/>
        <w:gridCol w:w="1353"/>
        <w:gridCol w:w="1559"/>
        <w:gridCol w:w="873"/>
        <w:gridCol w:w="1415"/>
        <w:gridCol w:w="1442"/>
        <w:gridCol w:w="1516"/>
      </w:tblGrid>
      <w:tr>
        <w:trPr>
          <w:trHeight w:val="2051" w:hRule="atLeast"/>
        </w:trPr>
        <w:tc>
          <w:tcPr>
            <w:tcW w:w="1322" w:type="dxa"/>
          </w:tcPr>
          <w:p>
            <w:pPr>
              <w:pStyle w:val="TableParagraph"/>
              <w:spacing w:before="37"/>
              <w:ind w:left="107"/>
              <w:rPr>
                <w:sz w:val="24"/>
              </w:rPr>
            </w:pPr>
            <w:r>
              <w:rPr>
                <w:spacing w:val="-2"/>
                <w:sz w:val="24"/>
              </w:rPr>
              <w:t>Location</w:t>
            </w:r>
          </w:p>
        </w:tc>
        <w:tc>
          <w:tcPr>
            <w:tcW w:w="220" w:type="dxa"/>
          </w:tcPr>
          <w:p>
            <w:pPr>
              <w:pStyle w:val="TableParagraph"/>
              <w:rPr>
                <w:rFonts w:ascii="Times New Roman"/>
                <w:sz w:val="22"/>
              </w:rPr>
            </w:pPr>
          </w:p>
        </w:tc>
        <w:tc>
          <w:tcPr>
            <w:tcW w:w="1353" w:type="dxa"/>
          </w:tcPr>
          <w:p>
            <w:pPr>
              <w:pStyle w:val="TableParagraph"/>
              <w:spacing w:before="40"/>
              <w:ind w:left="108" w:right="91"/>
              <w:rPr>
                <w:sz w:val="24"/>
              </w:rPr>
            </w:pPr>
            <w:r>
              <w:rPr>
                <w:spacing w:val="-2"/>
                <w:sz w:val="24"/>
              </w:rPr>
              <w:t>Minimum </w:t>
            </w:r>
            <w:r>
              <w:rPr>
                <w:spacing w:val="-4"/>
                <w:sz w:val="24"/>
              </w:rPr>
              <w:t>Road </w:t>
            </w:r>
            <w:r>
              <w:rPr>
                <w:spacing w:val="-2"/>
                <w:sz w:val="24"/>
              </w:rPr>
              <w:t>Width</w:t>
            </w:r>
          </w:p>
        </w:tc>
        <w:tc>
          <w:tcPr>
            <w:tcW w:w="1559" w:type="dxa"/>
          </w:tcPr>
          <w:p>
            <w:pPr>
              <w:pStyle w:val="TableParagraph"/>
              <w:spacing w:before="40"/>
              <w:ind w:left="110"/>
              <w:rPr>
                <w:sz w:val="24"/>
              </w:rPr>
            </w:pPr>
            <w:r>
              <w:rPr>
                <w:spacing w:val="-2"/>
                <w:sz w:val="24"/>
              </w:rPr>
              <w:t>Total permissible </w:t>
            </w:r>
            <w:r>
              <w:rPr>
                <w:spacing w:val="-4"/>
                <w:sz w:val="24"/>
              </w:rPr>
              <w:t>FSI</w:t>
            </w:r>
          </w:p>
        </w:tc>
        <w:tc>
          <w:tcPr>
            <w:tcW w:w="873" w:type="dxa"/>
          </w:tcPr>
          <w:p>
            <w:pPr>
              <w:pStyle w:val="TableParagraph"/>
              <w:spacing w:before="40"/>
              <w:ind w:left="111" w:right="84"/>
              <w:rPr>
                <w:sz w:val="24"/>
              </w:rPr>
            </w:pPr>
            <w:r>
              <w:rPr>
                <w:spacing w:val="-2"/>
                <w:sz w:val="24"/>
              </w:rPr>
              <w:t>Zonal </w:t>
            </w:r>
            <w:r>
              <w:rPr>
                <w:spacing w:val="-4"/>
                <w:sz w:val="24"/>
              </w:rPr>
              <w:t>FSI</w:t>
            </w:r>
          </w:p>
        </w:tc>
        <w:tc>
          <w:tcPr>
            <w:tcW w:w="1415" w:type="dxa"/>
          </w:tcPr>
          <w:p>
            <w:pPr>
              <w:pStyle w:val="TableParagraph"/>
              <w:spacing w:before="40"/>
              <w:ind w:left="112"/>
              <w:rPr>
                <w:sz w:val="24"/>
              </w:rPr>
            </w:pPr>
            <w:r>
              <w:rPr>
                <w:spacing w:val="-2"/>
                <w:sz w:val="24"/>
              </w:rPr>
              <w:t>Additional </w:t>
            </w:r>
            <w:r>
              <w:rPr>
                <w:spacing w:val="-4"/>
                <w:sz w:val="24"/>
              </w:rPr>
              <w:t>FSI</w:t>
            </w:r>
          </w:p>
        </w:tc>
        <w:tc>
          <w:tcPr>
            <w:tcW w:w="1442" w:type="dxa"/>
          </w:tcPr>
          <w:p>
            <w:pPr>
              <w:pStyle w:val="TableParagraph"/>
              <w:tabs>
                <w:tab w:pos="698" w:val="left" w:leader="none"/>
                <w:tab w:pos="808" w:val="left" w:leader="none"/>
              </w:tabs>
              <w:spacing w:before="40"/>
              <w:ind w:left="113" w:right="90" w:firstLine="2"/>
              <w:rPr>
                <w:sz w:val="24"/>
              </w:rPr>
            </w:pPr>
            <w:r>
              <w:rPr>
                <w:color w:val="000000"/>
                <w:sz w:val="24"/>
                <w:shd w:fill="FFCCFF" w:color="auto" w:val="clear"/>
              </w:rPr>
              <w:t>%</w:t>
            </w:r>
            <w:r>
              <w:rPr>
                <w:color w:val="000000"/>
                <w:spacing w:val="40"/>
                <w:sz w:val="24"/>
                <w:shd w:fill="FFCCFF" w:color="auto" w:val="clear"/>
              </w:rPr>
              <w:t> </w:t>
            </w:r>
            <w:r>
              <w:rPr>
                <w:color w:val="000000"/>
                <w:sz w:val="24"/>
              </w:rPr>
              <w:t>FSI</w:t>
            </w:r>
            <w:r>
              <w:rPr>
                <w:color w:val="000000"/>
                <w:spacing w:val="40"/>
                <w:sz w:val="24"/>
              </w:rPr>
              <w:t> </w:t>
            </w:r>
            <w:r>
              <w:rPr>
                <w:color w:val="000000"/>
                <w:sz w:val="24"/>
              </w:rPr>
              <w:t>for </w:t>
            </w:r>
            <w:r>
              <w:rPr>
                <w:color w:val="000000"/>
                <w:spacing w:val="-2"/>
                <w:sz w:val="24"/>
              </w:rPr>
              <w:t>Transit tenements </w:t>
            </w:r>
            <w:r>
              <w:rPr>
                <w:color w:val="000000"/>
                <w:spacing w:val="-4"/>
                <w:sz w:val="24"/>
              </w:rPr>
              <w:t>for</w:t>
            </w:r>
            <w:r>
              <w:rPr>
                <w:color w:val="000000"/>
                <w:sz w:val="24"/>
              </w:rPr>
              <w:tab/>
            </w:r>
            <w:r>
              <w:rPr>
                <w:color w:val="000000"/>
                <w:spacing w:val="-4"/>
                <w:sz w:val="24"/>
              </w:rPr>
              <w:t>SRA/ </w:t>
            </w:r>
            <w:r>
              <w:rPr>
                <w:color w:val="000000"/>
                <w:spacing w:val="-6"/>
                <w:sz w:val="24"/>
                <w:shd w:fill="FFCCFF" w:color="auto" w:val="clear"/>
              </w:rPr>
              <w:t>of</w:t>
            </w:r>
            <w:r>
              <w:rPr>
                <w:color w:val="000000"/>
                <w:sz w:val="24"/>
                <w:shd w:fill="FFCCFF" w:color="auto" w:val="clear"/>
              </w:rPr>
              <w:tab/>
              <w:tab/>
            </w:r>
            <w:r>
              <w:rPr>
                <w:color w:val="000000"/>
                <w:spacing w:val="-2"/>
                <w:sz w:val="24"/>
                <w:shd w:fill="FFCCFF" w:color="auto" w:val="clear"/>
              </w:rPr>
              <w:t>total</w:t>
            </w:r>
            <w:r>
              <w:rPr>
                <w:color w:val="000000"/>
                <w:spacing w:val="-2"/>
                <w:sz w:val="24"/>
              </w:rPr>
              <w:t> </w:t>
            </w:r>
            <w:r>
              <w:rPr>
                <w:color w:val="000000"/>
                <w:spacing w:val="-2"/>
                <w:sz w:val="24"/>
                <w:shd w:fill="FFCCFF" w:color="auto" w:val="clear"/>
              </w:rPr>
              <w:t>additional</w:t>
            </w:r>
            <w:r>
              <w:rPr>
                <w:color w:val="000000"/>
                <w:spacing w:val="-2"/>
                <w:sz w:val="24"/>
              </w:rPr>
              <w:t> </w:t>
            </w:r>
            <w:r>
              <w:rPr>
                <w:color w:val="000000"/>
                <w:spacing w:val="-4"/>
                <w:sz w:val="24"/>
                <w:shd w:fill="FFCCFF" w:color="auto" w:val="clear"/>
              </w:rPr>
              <w:t>FSI</w:t>
            </w:r>
          </w:p>
        </w:tc>
        <w:tc>
          <w:tcPr>
            <w:tcW w:w="1516" w:type="dxa"/>
          </w:tcPr>
          <w:p>
            <w:pPr>
              <w:pStyle w:val="TableParagraph"/>
              <w:tabs>
                <w:tab w:pos="886" w:val="left" w:leader="none"/>
              </w:tabs>
              <w:spacing w:before="40"/>
              <w:ind w:left="114" w:right="87"/>
              <w:rPr>
                <w:sz w:val="24"/>
              </w:rPr>
            </w:pPr>
            <w:r>
              <w:rPr>
                <w:color w:val="000000"/>
                <w:sz w:val="24"/>
                <w:shd w:fill="FFCCFF" w:color="auto" w:val="clear"/>
              </w:rPr>
              <w:t>%</w:t>
            </w:r>
            <w:r>
              <w:rPr>
                <w:color w:val="000000"/>
                <w:spacing w:val="80"/>
                <w:sz w:val="24"/>
                <w:shd w:fill="FFCCFF" w:color="auto" w:val="clear"/>
              </w:rPr>
              <w:t> </w:t>
            </w:r>
            <w:r>
              <w:rPr>
                <w:color w:val="000000"/>
                <w:sz w:val="24"/>
              </w:rPr>
              <w:t>FSI</w:t>
            </w:r>
            <w:r>
              <w:rPr>
                <w:color w:val="000000"/>
                <w:spacing w:val="80"/>
                <w:sz w:val="24"/>
              </w:rPr>
              <w:t> </w:t>
            </w:r>
            <w:r>
              <w:rPr>
                <w:color w:val="000000"/>
                <w:sz w:val="24"/>
              </w:rPr>
              <w:t>for </w:t>
            </w:r>
            <w:r>
              <w:rPr>
                <w:color w:val="000000"/>
                <w:spacing w:val="-4"/>
                <w:sz w:val="24"/>
              </w:rPr>
              <w:t>sale </w:t>
            </w:r>
            <w:r>
              <w:rPr>
                <w:color w:val="000000"/>
                <w:spacing w:val="-2"/>
                <w:sz w:val="24"/>
              </w:rPr>
              <w:t>component </w:t>
            </w:r>
            <w:r>
              <w:rPr>
                <w:color w:val="000000"/>
                <w:spacing w:val="-6"/>
                <w:sz w:val="24"/>
                <w:shd w:fill="FFCCFF" w:color="auto" w:val="clear"/>
              </w:rPr>
              <w:t>of</w:t>
            </w:r>
            <w:r>
              <w:rPr>
                <w:color w:val="000000"/>
                <w:sz w:val="24"/>
                <w:shd w:fill="FFCCFF" w:color="auto" w:val="clear"/>
              </w:rPr>
              <w:tab/>
            </w:r>
            <w:r>
              <w:rPr>
                <w:color w:val="000000"/>
                <w:spacing w:val="-2"/>
                <w:sz w:val="24"/>
                <w:shd w:fill="FFCCFF" w:color="auto" w:val="clear"/>
              </w:rPr>
              <w:t>total</w:t>
            </w:r>
            <w:r>
              <w:rPr>
                <w:color w:val="000000"/>
                <w:spacing w:val="-2"/>
                <w:sz w:val="24"/>
              </w:rPr>
              <w:t> </w:t>
            </w:r>
            <w:r>
              <w:rPr>
                <w:color w:val="000000"/>
                <w:spacing w:val="-2"/>
                <w:sz w:val="24"/>
                <w:shd w:fill="FFCCFF" w:color="auto" w:val="clear"/>
              </w:rPr>
              <w:t>additional</w:t>
            </w:r>
            <w:r>
              <w:rPr>
                <w:color w:val="000000"/>
                <w:spacing w:val="-2"/>
                <w:sz w:val="24"/>
              </w:rPr>
              <w:t> </w:t>
            </w:r>
            <w:r>
              <w:rPr>
                <w:color w:val="000000"/>
                <w:spacing w:val="-4"/>
                <w:sz w:val="24"/>
                <w:shd w:fill="FFCCFF" w:color="auto" w:val="clear"/>
              </w:rPr>
              <w:t>FSI</w:t>
            </w:r>
          </w:p>
        </w:tc>
      </w:tr>
      <w:tr>
        <w:trPr>
          <w:trHeight w:val="594" w:hRule="atLeast"/>
        </w:trPr>
        <w:tc>
          <w:tcPr>
            <w:tcW w:w="1322" w:type="dxa"/>
          </w:tcPr>
          <w:p>
            <w:pPr>
              <w:pStyle w:val="TableParagraph"/>
              <w:rPr>
                <w:rFonts w:ascii="Times New Roman"/>
                <w:sz w:val="22"/>
              </w:rPr>
            </w:pPr>
          </w:p>
        </w:tc>
        <w:tc>
          <w:tcPr>
            <w:tcW w:w="220" w:type="dxa"/>
          </w:tcPr>
          <w:p>
            <w:pPr>
              <w:pStyle w:val="TableParagraph"/>
              <w:rPr>
                <w:rFonts w:ascii="Times New Roman"/>
                <w:sz w:val="22"/>
              </w:rPr>
            </w:pPr>
          </w:p>
        </w:tc>
        <w:tc>
          <w:tcPr>
            <w:tcW w:w="1353" w:type="dxa"/>
          </w:tcPr>
          <w:p>
            <w:pPr>
              <w:pStyle w:val="TableParagraph"/>
              <w:spacing w:before="40"/>
              <w:ind w:left="108"/>
              <w:rPr>
                <w:sz w:val="24"/>
              </w:rPr>
            </w:pPr>
            <w:r>
              <w:rPr>
                <w:spacing w:val="-10"/>
                <w:sz w:val="24"/>
              </w:rPr>
              <w:t>2</w:t>
            </w:r>
          </w:p>
        </w:tc>
        <w:tc>
          <w:tcPr>
            <w:tcW w:w="1559" w:type="dxa"/>
          </w:tcPr>
          <w:p>
            <w:pPr>
              <w:pStyle w:val="TableParagraph"/>
              <w:spacing w:before="40"/>
              <w:ind w:left="110"/>
              <w:rPr>
                <w:sz w:val="24"/>
              </w:rPr>
            </w:pPr>
            <w:r>
              <w:rPr>
                <w:spacing w:val="-10"/>
                <w:sz w:val="24"/>
              </w:rPr>
              <w:t>3</w:t>
            </w:r>
          </w:p>
        </w:tc>
        <w:tc>
          <w:tcPr>
            <w:tcW w:w="873" w:type="dxa"/>
          </w:tcPr>
          <w:p>
            <w:pPr>
              <w:pStyle w:val="TableParagraph"/>
              <w:spacing w:before="40"/>
              <w:ind w:left="111"/>
              <w:rPr>
                <w:sz w:val="24"/>
              </w:rPr>
            </w:pPr>
            <w:r>
              <w:rPr>
                <w:spacing w:val="-10"/>
                <w:sz w:val="24"/>
              </w:rPr>
              <w:t>4</w:t>
            </w:r>
          </w:p>
        </w:tc>
        <w:tc>
          <w:tcPr>
            <w:tcW w:w="1415" w:type="dxa"/>
          </w:tcPr>
          <w:p>
            <w:pPr>
              <w:pStyle w:val="TableParagraph"/>
              <w:spacing w:before="40"/>
              <w:ind w:left="112"/>
              <w:rPr>
                <w:sz w:val="24"/>
              </w:rPr>
            </w:pPr>
            <w:r>
              <w:rPr>
                <w:spacing w:val="-10"/>
                <w:sz w:val="24"/>
              </w:rPr>
              <w:t>5</w:t>
            </w:r>
          </w:p>
        </w:tc>
        <w:tc>
          <w:tcPr>
            <w:tcW w:w="1442" w:type="dxa"/>
          </w:tcPr>
          <w:p>
            <w:pPr>
              <w:pStyle w:val="TableParagraph"/>
              <w:spacing w:before="40"/>
              <w:ind w:left="115"/>
              <w:rPr>
                <w:sz w:val="24"/>
              </w:rPr>
            </w:pPr>
            <w:r>
              <w:rPr>
                <w:spacing w:val="-10"/>
                <w:sz w:val="24"/>
              </w:rPr>
              <w:t>6</w:t>
            </w:r>
          </w:p>
        </w:tc>
        <w:tc>
          <w:tcPr>
            <w:tcW w:w="1516" w:type="dxa"/>
          </w:tcPr>
          <w:p>
            <w:pPr>
              <w:pStyle w:val="TableParagraph"/>
              <w:spacing w:before="40"/>
              <w:ind w:left="114"/>
              <w:rPr>
                <w:sz w:val="24"/>
              </w:rPr>
            </w:pPr>
            <w:r>
              <w:rPr>
                <w:spacing w:val="-10"/>
                <w:sz w:val="24"/>
              </w:rPr>
              <w:t>7</w:t>
            </w:r>
          </w:p>
        </w:tc>
      </w:tr>
      <w:tr>
        <w:trPr>
          <w:trHeight w:val="643" w:hRule="atLeast"/>
        </w:trPr>
        <w:tc>
          <w:tcPr>
            <w:tcW w:w="1322" w:type="dxa"/>
            <w:vMerge w:val="restart"/>
          </w:tcPr>
          <w:p>
            <w:pPr>
              <w:pStyle w:val="TableParagraph"/>
              <w:spacing w:before="40"/>
              <w:ind w:left="107" w:right="472"/>
              <w:rPr>
                <w:sz w:val="24"/>
              </w:rPr>
            </w:pPr>
            <w:r>
              <w:rPr>
                <w:spacing w:val="-2"/>
                <w:sz w:val="24"/>
              </w:rPr>
              <w:t>Island </w:t>
            </w:r>
            <w:r>
              <w:rPr>
                <w:spacing w:val="-4"/>
                <w:sz w:val="24"/>
              </w:rPr>
              <w:t>City</w:t>
            </w:r>
          </w:p>
        </w:tc>
        <w:tc>
          <w:tcPr>
            <w:tcW w:w="220" w:type="dxa"/>
          </w:tcPr>
          <w:p>
            <w:pPr>
              <w:pStyle w:val="TableParagraph"/>
              <w:rPr>
                <w:rFonts w:ascii="Times New Roman"/>
                <w:sz w:val="22"/>
              </w:rPr>
            </w:pPr>
          </w:p>
        </w:tc>
        <w:tc>
          <w:tcPr>
            <w:tcW w:w="1353" w:type="dxa"/>
          </w:tcPr>
          <w:p>
            <w:pPr>
              <w:pStyle w:val="TableParagraph"/>
              <w:spacing w:before="38"/>
              <w:ind w:right="401"/>
              <w:jc w:val="right"/>
              <w:rPr>
                <w:sz w:val="24"/>
              </w:rPr>
            </w:pPr>
            <w:r>
              <w:rPr>
                <w:spacing w:val="-5"/>
                <w:sz w:val="24"/>
              </w:rPr>
              <w:t>12m</w:t>
            </w:r>
          </w:p>
        </w:tc>
        <w:tc>
          <w:tcPr>
            <w:tcW w:w="1559" w:type="dxa"/>
          </w:tcPr>
          <w:p>
            <w:pPr>
              <w:pStyle w:val="TableParagraph"/>
              <w:spacing w:before="38"/>
              <w:ind w:right="220"/>
              <w:jc w:val="right"/>
              <w:rPr>
                <w:sz w:val="24"/>
              </w:rPr>
            </w:pPr>
            <w:r>
              <w:rPr>
                <w:sz w:val="24"/>
              </w:rPr>
              <w:t>Up</w:t>
            </w:r>
            <w:r>
              <w:rPr>
                <w:spacing w:val="-1"/>
                <w:sz w:val="24"/>
              </w:rPr>
              <w:t> </w:t>
            </w:r>
            <w:r>
              <w:rPr>
                <w:sz w:val="24"/>
              </w:rPr>
              <w:t>to</w:t>
            </w:r>
            <w:r>
              <w:rPr>
                <w:spacing w:val="-1"/>
                <w:sz w:val="24"/>
              </w:rPr>
              <w:t> </w:t>
            </w:r>
            <w:r>
              <w:rPr>
                <w:spacing w:val="-5"/>
                <w:sz w:val="24"/>
              </w:rPr>
              <w:t>3.0</w:t>
            </w:r>
          </w:p>
        </w:tc>
        <w:tc>
          <w:tcPr>
            <w:tcW w:w="873" w:type="dxa"/>
          </w:tcPr>
          <w:p>
            <w:pPr>
              <w:pStyle w:val="TableParagraph"/>
              <w:spacing w:before="38"/>
              <w:ind w:right="159"/>
              <w:jc w:val="right"/>
              <w:rPr>
                <w:sz w:val="24"/>
              </w:rPr>
            </w:pPr>
            <w:r>
              <w:rPr>
                <w:spacing w:val="-4"/>
                <w:sz w:val="24"/>
              </w:rPr>
              <w:t>1.33</w:t>
            </w:r>
          </w:p>
        </w:tc>
        <w:tc>
          <w:tcPr>
            <w:tcW w:w="1415" w:type="dxa"/>
          </w:tcPr>
          <w:p>
            <w:pPr>
              <w:pStyle w:val="TableParagraph"/>
              <w:spacing w:before="40"/>
              <w:ind w:left="450" w:hanging="58"/>
              <w:rPr>
                <w:sz w:val="24"/>
              </w:rPr>
            </w:pPr>
            <w:r>
              <w:rPr>
                <w:sz w:val="24"/>
              </w:rPr>
              <w:t>Up</w:t>
            </w:r>
            <w:r>
              <w:rPr>
                <w:spacing w:val="-20"/>
                <w:sz w:val="24"/>
              </w:rPr>
              <w:t> </w:t>
            </w:r>
            <w:r>
              <w:rPr>
                <w:sz w:val="24"/>
              </w:rPr>
              <w:t>to </w:t>
            </w:r>
            <w:r>
              <w:rPr>
                <w:spacing w:val="-4"/>
                <w:sz w:val="24"/>
              </w:rPr>
              <w:t>1.67</w:t>
            </w:r>
          </w:p>
        </w:tc>
        <w:tc>
          <w:tcPr>
            <w:tcW w:w="1442" w:type="dxa"/>
            <w:vMerge w:val="restart"/>
          </w:tcPr>
          <w:p>
            <w:pPr>
              <w:pStyle w:val="TableParagraph"/>
              <w:spacing w:before="224"/>
              <w:rPr>
                <w:sz w:val="24"/>
              </w:rPr>
            </w:pPr>
          </w:p>
          <w:p>
            <w:pPr>
              <w:pStyle w:val="TableParagraph"/>
              <w:tabs>
                <w:tab w:pos="573" w:val="left" w:leader="none"/>
              </w:tabs>
              <w:ind w:left="113"/>
              <w:rPr>
                <w:sz w:val="24"/>
              </w:rPr>
            </w:pPr>
            <w:r>
              <w:rPr>
                <w:color w:val="000000"/>
                <w:sz w:val="24"/>
                <w:shd w:fill="FFCCFF" w:color="auto" w:val="clear"/>
              </w:rPr>
              <w:tab/>
            </w:r>
            <w:r>
              <w:rPr>
                <w:color w:val="000000"/>
                <w:spacing w:val="-5"/>
                <w:sz w:val="24"/>
                <w:shd w:fill="FFCCFF" w:color="auto" w:val="clear"/>
              </w:rPr>
              <w:t>63%</w:t>
            </w:r>
          </w:p>
        </w:tc>
        <w:tc>
          <w:tcPr>
            <w:tcW w:w="1516" w:type="dxa"/>
            <w:vMerge w:val="restart"/>
          </w:tcPr>
          <w:p>
            <w:pPr>
              <w:pStyle w:val="TableParagraph"/>
              <w:spacing w:before="38"/>
              <w:ind w:left="507"/>
              <w:rPr>
                <w:sz w:val="24"/>
              </w:rPr>
            </w:pPr>
            <w:r>
              <w:rPr>
                <w:color w:val="000000"/>
                <w:spacing w:val="-5"/>
                <w:sz w:val="24"/>
                <w:shd w:fill="FFCCFF" w:color="auto" w:val="clear"/>
              </w:rPr>
              <w:t>37%</w:t>
            </w:r>
          </w:p>
        </w:tc>
      </w:tr>
      <w:tr>
        <w:trPr>
          <w:trHeight w:val="645" w:hRule="atLeast"/>
        </w:trPr>
        <w:tc>
          <w:tcPr>
            <w:tcW w:w="1322" w:type="dxa"/>
            <w:vMerge/>
            <w:tcBorders>
              <w:top w:val="nil"/>
            </w:tcBorders>
          </w:tcPr>
          <w:p>
            <w:pPr>
              <w:rPr>
                <w:sz w:val="2"/>
                <w:szCs w:val="2"/>
              </w:rPr>
            </w:pPr>
          </w:p>
        </w:tc>
        <w:tc>
          <w:tcPr>
            <w:tcW w:w="220" w:type="dxa"/>
          </w:tcPr>
          <w:p>
            <w:pPr>
              <w:pStyle w:val="TableParagraph"/>
              <w:rPr>
                <w:rFonts w:ascii="Times New Roman"/>
                <w:sz w:val="22"/>
              </w:rPr>
            </w:pPr>
          </w:p>
        </w:tc>
        <w:tc>
          <w:tcPr>
            <w:tcW w:w="1353" w:type="dxa"/>
          </w:tcPr>
          <w:p>
            <w:pPr>
              <w:pStyle w:val="TableParagraph"/>
              <w:spacing w:before="40"/>
              <w:ind w:right="401"/>
              <w:jc w:val="right"/>
              <w:rPr>
                <w:sz w:val="24"/>
              </w:rPr>
            </w:pPr>
            <w:r>
              <w:rPr>
                <w:spacing w:val="-5"/>
                <w:sz w:val="24"/>
              </w:rPr>
              <w:t>18m</w:t>
            </w:r>
          </w:p>
        </w:tc>
        <w:tc>
          <w:tcPr>
            <w:tcW w:w="1559" w:type="dxa"/>
          </w:tcPr>
          <w:p>
            <w:pPr>
              <w:pStyle w:val="TableParagraph"/>
              <w:spacing w:before="40"/>
              <w:ind w:right="220"/>
              <w:jc w:val="right"/>
              <w:rPr>
                <w:sz w:val="24"/>
              </w:rPr>
            </w:pPr>
            <w:r>
              <w:rPr>
                <w:color w:val="000000"/>
                <w:sz w:val="24"/>
                <w:shd w:fill="FFCCFF" w:color="auto" w:val="clear"/>
              </w:rPr>
              <w:t>Up</w:t>
            </w:r>
            <w:r>
              <w:rPr>
                <w:color w:val="000000"/>
                <w:spacing w:val="-1"/>
                <w:sz w:val="24"/>
                <w:shd w:fill="FFCCFF" w:color="auto" w:val="clear"/>
              </w:rPr>
              <w:t> </w:t>
            </w:r>
            <w:r>
              <w:rPr>
                <w:color w:val="000000"/>
                <w:sz w:val="24"/>
                <w:shd w:fill="FFCCFF" w:color="auto" w:val="clear"/>
              </w:rPr>
              <w:t>to</w:t>
            </w:r>
            <w:r>
              <w:rPr>
                <w:color w:val="000000"/>
                <w:spacing w:val="-1"/>
                <w:sz w:val="24"/>
                <w:shd w:fill="FFCCFF" w:color="auto" w:val="clear"/>
              </w:rPr>
              <w:t> </w:t>
            </w:r>
            <w:r>
              <w:rPr>
                <w:color w:val="000000"/>
                <w:spacing w:val="-5"/>
                <w:sz w:val="24"/>
              </w:rPr>
              <w:t>4.0</w:t>
            </w:r>
          </w:p>
        </w:tc>
        <w:tc>
          <w:tcPr>
            <w:tcW w:w="873" w:type="dxa"/>
          </w:tcPr>
          <w:p>
            <w:pPr>
              <w:pStyle w:val="TableParagraph"/>
              <w:spacing w:before="40"/>
              <w:ind w:right="159"/>
              <w:jc w:val="right"/>
              <w:rPr>
                <w:sz w:val="24"/>
              </w:rPr>
            </w:pPr>
            <w:r>
              <w:rPr>
                <w:spacing w:val="-4"/>
                <w:sz w:val="24"/>
              </w:rPr>
              <w:t>1.33</w:t>
            </w:r>
          </w:p>
        </w:tc>
        <w:tc>
          <w:tcPr>
            <w:tcW w:w="1415" w:type="dxa"/>
          </w:tcPr>
          <w:p>
            <w:pPr>
              <w:pStyle w:val="TableParagraph"/>
              <w:spacing w:before="42"/>
              <w:ind w:left="450" w:hanging="58"/>
              <w:rPr>
                <w:sz w:val="24"/>
              </w:rPr>
            </w:pPr>
            <w:r>
              <w:rPr>
                <w:color w:val="000000"/>
                <w:sz w:val="24"/>
                <w:shd w:fill="FFCCFF" w:color="auto" w:val="clear"/>
              </w:rPr>
              <w:t>Up</w:t>
            </w:r>
            <w:r>
              <w:rPr>
                <w:color w:val="000000"/>
                <w:spacing w:val="-20"/>
                <w:sz w:val="24"/>
                <w:shd w:fill="FFCCFF" w:color="auto" w:val="clear"/>
              </w:rPr>
              <w:t> </w:t>
            </w:r>
            <w:r>
              <w:rPr>
                <w:color w:val="000000"/>
                <w:sz w:val="24"/>
                <w:shd w:fill="FFCCFF" w:color="auto" w:val="clear"/>
              </w:rPr>
              <w:t>to</w:t>
            </w:r>
            <w:r>
              <w:rPr>
                <w:color w:val="000000"/>
                <w:sz w:val="24"/>
              </w:rPr>
              <w:t> </w:t>
            </w:r>
            <w:r>
              <w:rPr>
                <w:color w:val="000000"/>
                <w:spacing w:val="-4"/>
                <w:sz w:val="24"/>
              </w:rPr>
              <w:t>2.67</w:t>
            </w:r>
          </w:p>
        </w:tc>
        <w:tc>
          <w:tcPr>
            <w:tcW w:w="1442" w:type="dxa"/>
            <w:vMerge/>
            <w:tcBorders>
              <w:top w:val="nil"/>
            </w:tcBorders>
          </w:tcPr>
          <w:p>
            <w:pPr>
              <w:rPr>
                <w:sz w:val="2"/>
                <w:szCs w:val="2"/>
              </w:rPr>
            </w:pPr>
          </w:p>
        </w:tc>
        <w:tc>
          <w:tcPr>
            <w:tcW w:w="1516" w:type="dxa"/>
            <w:vMerge/>
            <w:tcBorders>
              <w:top w:val="nil"/>
            </w:tcBorders>
          </w:tcPr>
          <w:p>
            <w:pPr>
              <w:rPr>
                <w:sz w:val="2"/>
                <w:szCs w:val="2"/>
              </w:rPr>
            </w:pPr>
          </w:p>
        </w:tc>
      </w:tr>
      <w:tr>
        <w:trPr>
          <w:trHeight w:val="621" w:hRule="atLeast"/>
        </w:trPr>
        <w:tc>
          <w:tcPr>
            <w:tcW w:w="1322" w:type="dxa"/>
            <w:vMerge w:val="restart"/>
          </w:tcPr>
          <w:p>
            <w:pPr>
              <w:pStyle w:val="TableParagraph"/>
              <w:spacing w:before="40"/>
              <w:ind w:left="107" w:right="96"/>
              <w:rPr>
                <w:sz w:val="24"/>
              </w:rPr>
            </w:pPr>
            <w:r>
              <w:rPr>
                <w:spacing w:val="-2"/>
                <w:sz w:val="24"/>
              </w:rPr>
              <w:t>Suburbs </w:t>
            </w:r>
            <w:r>
              <w:rPr>
                <w:spacing w:val="-10"/>
                <w:sz w:val="24"/>
              </w:rPr>
              <w:t>&amp; </w:t>
            </w:r>
            <w:r>
              <w:rPr>
                <w:spacing w:val="-2"/>
                <w:sz w:val="24"/>
              </w:rPr>
              <w:t>Extended Suburbs</w:t>
            </w:r>
          </w:p>
        </w:tc>
        <w:tc>
          <w:tcPr>
            <w:tcW w:w="220" w:type="dxa"/>
          </w:tcPr>
          <w:p>
            <w:pPr>
              <w:pStyle w:val="TableParagraph"/>
              <w:rPr>
                <w:rFonts w:ascii="Times New Roman"/>
                <w:sz w:val="22"/>
              </w:rPr>
            </w:pPr>
          </w:p>
        </w:tc>
        <w:tc>
          <w:tcPr>
            <w:tcW w:w="1353" w:type="dxa"/>
          </w:tcPr>
          <w:p>
            <w:pPr>
              <w:pStyle w:val="TableParagraph"/>
              <w:spacing w:before="37"/>
              <w:ind w:right="401"/>
              <w:jc w:val="right"/>
              <w:rPr>
                <w:sz w:val="24"/>
              </w:rPr>
            </w:pPr>
            <w:r>
              <w:rPr>
                <w:spacing w:val="-5"/>
                <w:sz w:val="24"/>
              </w:rPr>
              <w:t>12m</w:t>
            </w:r>
          </w:p>
        </w:tc>
        <w:tc>
          <w:tcPr>
            <w:tcW w:w="1559" w:type="dxa"/>
          </w:tcPr>
          <w:p>
            <w:pPr>
              <w:pStyle w:val="TableParagraph"/>
              <w:spacing w:before="37"/>
              <w:ind w:right="220"/>
              <w:jc w:val="right"/>
              <w:rPr>
                <w:sz w:val="24"/>
              </w:rPr>
            </w:pPr>
            <w:r>
              <w:rPr>
                <w:sz w:val="24"/>
              </w:rPr>
              <w:t>Up</w:t>
            </w:r>
            <w:r>
              <w:rPr>
                <w:spacing w:val="-1"/>
                <w:sz w:val="24"/>
              </w:rPr>
              <w:t> </w:t>
            </w:r>
            <w:r>
              <w:rPr>
                <w:sz w:val="24"/>
              </w:rPr>
              <w:t>to</w:t>
            </w:r>
            <w:r>
              <w:rPr>
                <w:spacing w:val="-1"/>
                <w:sz w:val="24"/>
              </w:rPr>
              <w:t> </w:t>
            </w:r>
            <w:r>
              <w:rPr>
                <w:spacing w:val="-5"/>
                <w:sz w:val="24"/>
              </w:rPr>
              <w:t>3.0</w:t>
            </w:r>
          </w:p>
        </w:tc>
        <w:tc>
          <w:tcPr>
            <w:tcW w:w="873" w:type="dxa"/>
          </w:tcPr>
          <w:p>
            <w:pPr>
              <w:pStyle w:val="TableParagraph"/>
              <w:spacing w:before="37"/>
              <w:ind w:right="159"/>
              <w:jc w:val="right"/>
              <w:rPr>
                <w:sz w:val="24"/>
              </w:rPr>
            </w:pPr>
            <w:r>
              <w:rPr>
                <w:spacing w:val="-4"/>
                <w:sz w:val="24"/>
              </w:rPr>
              <w:t>1.00</w:t>
            </w:r>
          </w:p>
        </w:tc>
        <w:tc>
          <w:tcPr>
            <w:tcW w:w="1415" w:type="dxa"/>
          </w:tcPr>
          <w:p>
            <w:pPr>
              <w:pStyle w:val="TableParagraph"/>
              <w:spacing w:before="37"/>
              <w:ind w:left="167"/>
              <w:rPr>
                <w:sz w:val="24"/>
              </w:rPr>
            </w:pPr>
            <w:r>
              <w:rPr>
                <w:sz w:val="24"/>
              </w:rPr>
              <w:t>Up</w:t>
            </w:r>
            <w:r>
              <w:rPr>
                <w:spacing w:val="-1"/>
                <w:sz w:val="24"/>
              </w:rPr>
              <w:t> </w:t>
            </w:r>
            <w:r>
              <w:rPr>
                <w:sz w:val="24"/>
              </w:rPr>
              <w:t>to</w:t>
            </w:r>
            <w:r>
              <w:rPr>
                <w:spacing w:val="-1"/>
                <w:sz w:val="24"/>
              </w:rPr>
              <w:t> </w:t>
            </w:r>
            <w:r>
              <w:rPr>
                <w:spacing w:val="-5"/>
                <w:sz w:val="24"/>
              </w:rPr>
              <w:t>2.0</w:t>
            </w:r>
          </w:p>
        </w:tc>
        <w:tc>
          <w:tcPr>
            <w:tcW w:w="1442" w:type="dxa"/>
            <w:vMerge w:val="restart"/>
          </w:tcPr>
          <w:p>
            <w:pPr>
              <w:pStyle w:val="TableParagraph"/>
              <w:spacing w:before="37"/>
              <w:ind w:left="468"/>
              <w:rPr>
                <w:sz w:val="24"/>
              </w:rPr>
            </w:pPr>
            <w:r>
              <w:rPr>
                <w:color w:val="000000"/>
                <w:spacing w:val="-5"/>
                <w:sz w:val="24"/>
                <w:shd w:fill="FFCCFF" w:color="auto" w:val="clear"/>
              </w:rPr>
              <w:t>50%</w:t>
            </w:r>
          </w:p>
        </w:tc>
        <w:tc>
          <w:tcPr>
            <w:tcW w:w="1516" w:type="dxa"/>
            <w:vMerge w:val="restart"/>
          </w:tcPr>
          <w:p>
            <w:pPr>
              <w:pStyle w:val="TableParagraph"/>
              <w:spacing w:before="37"/>
              <w:ind w:left="507"/>
              <w:rPr>
                <w:sz w:val="24"/>
              </w:rPr>
            </w:pPr>
            <w:r>
              <w:rPr>
                <w:color w:val="000000"/>
                <w:spacing w:val="-5"/>
                <w:sz w:val="24"/>
                <w:shd w:fill="FFCCFF" w:color="auto" w:val="clear"/>
              </w:rPr>
              <w:t>50%</w:t>
            </w:r>
          </w:p>
        </w:tc>
      </w:tr>
      <w:tr>
        <w:trPr>
          <w:trHeight w:val="645" w:hRule="atLeast"/>
        </w:trPr>
        <w:tc>
          <w:tcPr>
            <w:tcW w:w="1322" w:type="dxa"/>
            <w:vMerge/>
            <w:tcBorders>
              <w:top w:val="nil"/>
            </w:tcBorders>
          </w:tcPr>
          <w:p>
            <w:pPr>
              <w:rPr>
                <w:sz w:val="2"/>
                <w:szCs w:val="2"/>
              </w:rPr>
            </w:pPr>
          </w:p>
        </w:tc>
        <w:tc>
          <w:tcPr>
            <w:tcW w:w="220" w:type="dxa"/>
          </w:tcPr>
          <w:p>
            <w:pPr>
              <w:pStyle w:val="TableParagraph"/>
              <w:rPr>
                <w:rFonts w:ascii="Times New Roman"/>
                <w:sz w:val="22"/>
              </w:rPr>
            </w:pPr>
          </w:p>
        </w:tc>
        <w:tc>
          <w:tcPr>
            <w:tcW w:w="1353" w:type="dxa"/>
          </w:tcPr>
          <w:p>
            <w:pPr>
              <w:pStyle w:val="TableParagraph"/>
              <w:spacing w:before="40"/>
              <w:ind w:right="401"/>
              <w:jc w:val="right"/>
              <w:rPr>
                <w:sz w:val="24"/>
              </w:rPr>
            </w:pPr>
            <w:r>
              <w:rPr>
                <w:spacing w:val="-5"/>
                <w:sz w:val="24"/>
              </w:rPr>
              <w:t>18m</w:t>
            </w:r>
          </w:p>
        </w:tc>
        <w:tc>
          <w:tcPr>
            <w:tcW w:w="1559" w:type="dxa"/>
          </w:tcPr>
          <w:p>
            <w:pPr>
              <w:pStyle w:val="TableParagraph"/>
              <w:spacing w:before="40"/>
              <w:ind w:right="220"/>
              <w:jc w:val="right"/>
              <w:rPr>
                <w:sz w:val="24"/>
              </w:rPr>
            </w:pPr>
            <w:r>
              <w:rPr>
                <w:color w:val="000000"/>
                <w:sz w:val="24"/>
                <w:shd w:fill="FFCCFF" w:color="auto" w:val="clear"/>
              </w:rPr>
              <w:t>Up</w:t>
            </w:r>
            <w:r>
              <w:rPr>
                <w:color w:val="000000"/>
                <w:spacing w:val="-1"/>
                <w:sz w:val="24"/>
                <w:shd w:fill="FFCCFF" w:color="auto" w:val="clear"/>
              </w:rPr>
              <w:t> </w:t>
            </w:r>
            <w:r>
              <w:rPr>
                <w:color w:val="000000"/>
                <w:sz w:val="24"/>
                <w:shd w:fill="FFCCFF" w:color="auto" w:val="clear"/>
              </w:rPr>
              <w:t>to</w:t>
            </w:r>
            <w:r>
              <w:rPr>
                <w:color w:val="000000"/>
                <w:spacing w:val="-1"/>
                <w:sz w:val="24"/>
                <w:shd w:fill="FFCCFF" w:color="auto" w:val="clear"/>
              </w:rPr>
              <w:t> </w:t>
            </w:r>
            <w:r>
              <w:rPr>
                <w:color w:val="000000"/>
                <w:spacing w:val="-5"/>
                <w:sz w:val="24"/>
              </w:rPr>
              <w:t>4.0</w:t>
            </w:r>
          </w:p>
        </w:tc>
        <w:tc>
          <w:tcPr>
            <w:tcW w:w="873" w:type="dxa"/>
          </w:tcPr>
          <w:p>
            <w:pPr>
              <w:pStyle w:val="TableParagraph"/>
              <w:spacing w:before="40"/>
              <w:ind w:right="159"/>
              <w:jc w:val="right"/>
              <w:rPr>
                <w:sz w:val="24"/>
              </w:rPr>
            </w:pPr>
            <w:r>
              <w:rPr>
                <w:spacing w:val="-4"/>
                <w:sz w:val="24"/>
              </w:rPr>
              <w:t>1.00</w:t>
            </w:r>
          </w:p>
        </w:tc>
        <w:tc>
          <w:tcPr>
            <w:tcW w:w="1415" w:type="dxa"/>
          </w:tcPr>
          <w:p>
            <w:pPr>
              <w:pStyle w:val="TableParagraph"/>
              <w:spacing w:before="42"/>
              <w:ind w:left="450" w:hanging="58"/>
              <w:rPr>
                <w:sz w:val="24"/>
              </w:rPr>
            </w:pPr>
            <w:r>
              <w:rPr>
                <w:color w:val="000000"/>
                <w:sz w:val="24"/>
                <w:shd w:fill="FFCCFF" w:color="auto" w:val="clear"/>
              </w:rPr>
              <w:t>Up</w:t>
            </w:r>
            <w:r>
              <w:rPr>
                <w:color w:val="000000"/>
                <w:spacing w:val="-20"/>
                <w:sz w:val="24"/>
                <w:shd w:fill="FFCCFF" w:color="auto" w:val="clear"/>
              </w:rPr>
              <w:t> </w:t>
            </w:r>
            <w:r>
              <w:rPr>
                <w:color w:val="000000"/>
                <w:sz w:val="24"/>
                <w:shd w:fill="FFCCFF" w:color="auto" w:val="clear"/>
              </w:rPr>
              <w:t>to</w:t>
            </w:r>
            <w:r>
              <w:rPr>
                <w:color w:val="000000"/>
                <w:sz w:val="24"/>
              </w:rPr>
              <w:t> </w:t>
            </w:r>
            <w:r>
              <w:rPr>
                <w:color w:val="000000"/>
                <w:spacing w:val="-4"/>
                <w:sz w:val="24"/>
              </w:rPr>
              <w:t>3.00</w:t>
            </w:r>
          </w:p>
        </w:tc>
        <w:tc>
          <w:tcPr>
            <w:tcW w:w="1442" w:type="dxa"/>
            <w:vMerge/>
            <w:tcBorders>
              <w:top w:val="nil"/>
            </w:tcBorders>
          </w:tcPr>
          <w:p>
            <w:pPr>
              <w:rPr>
                <w:sz w:val="2"/>
                <w:szCs w:val="2"/>
              </w:rPr>
            </w:pPr>
          </w:p>
        </w:tc>
        <w:tc>
          <w:tcPr>
            <w:tcW w:w="1516" w:type="dxa"/>
            <w:vMerge/>
            <w:tcBorders>
              <w:top w:val="nil"/>
            </w:tcBorders>
          </w:tcPr>
          <w:p>
            <w:pPr>
              <w:rPr>
                <w:sz w:val="2"/>
                <w:szCs w:val="2"/>
              </w:rPr>
            </w:pPr>
          </w:p>
        </w:tc>
      </w:tr>
    </w:tbl>
    <w:p>
      <w:pPr>
        <w:pStyle w:val="BodyText"/>
        <w:spacing w:before="254"/>
        <w:jc w:val="left"/>
      </w:pPr>
    </w:p>
    <w:p>
      <w:pPr>
        <w:pStyle w:val="BodyText"/>
        <w:spacing w:line="276" w:lineRule="auto"/>
        <w:ind w:left="1908" w:right="770"/>
      </w:pPr>
      <w:r>
        <w:rPr/>
        <w:t>On</w:t>
      </w:r>
      <w:r>
        <w:rPr>
          <w:spacing w:val="-11"/>
        </w:rPr>
        <w:t> </w:t>
      </w:r>
      <w:r>
        <w:rPr/>
        <w:t>the</w:t>
      </w:r>
      <w:r>
        <w:rPr>
          <w:spacing w:val="-11"/>
        </w:rPr>
        <w:t> </w:t>
      </w:r>
      <w:r>
        <w:rPr/>
        <w:t>plot</w:t>
      </w:r>
      <w:r>
        <w:rPr>
          <w:spacing w:val="-11"/>
        </w:rPr>
        <w:t> </w:t>
      </w:r>
      <w:r>
        <w:rPr/>
        <w:t>area</w:t>
      </w:r>
      <w:r>
        <w:rPr>
          <w:spacing w:val="-11"/>
        </w:rPr>
        <w:t> </w:t>
      </w:r>
      <w:r>
        <w:rPr/>
        <w:t>excluding</w:t>
      </w:r>
      <w:r>
        <w:rPr>
          <w:spacing w:val="-11"/>
        </w:rPr>
        <w:t> </w:t>
      </w:r>
      <w:r>
        <w:rPr/>
        <w:t>area</w:t>
      </w:r>
      <w:r>
        <w:rPr>
          <w:spacing w:val="-11"/>
        </w:rPr>
        <w:t> </w:t>
      </w:r>
      <w:r>
        <w:rPr/>
        <w:t>to</w:t>
      </w:r>
      <w:r>
        <w:rPr>
          <w:spacing w:val="-11"/>
        </w:rPr>
        <w:t> </w:t>
      </w:r>
      <w:r>
        <w:rPr/>
        <w:t>be</w:t>
      </w:r>
      <w:r>
        <w:rPr>
          <w:spacing w:val="-11"/>
        </w:rPr>
        <w:t> </w:t>
      </w:r>
      <w:r>
        <w:rPr/>
        <w:t>handed</w:t>
      </w:r>
      <w:r>
        <w:rPr>
          <w:spacing w:val="-11"/>
        </w:rPr>
        <w:t> </w:t>
      </w:r>
      <w:r>
        <w:rPr/>
        <w:t>over</w:t>
      </w:r>
      <w:r>
        <w:rPr>
          <w:spacing w:val="-11"/>
        </w:rPr>
        <w:t> </w:t>
      </w:r>
      <w:r>
        <w:rPr/>
        <w:t>to</w:t>
      </w:r>
      <w:r>
        <w:rPr>
          <w:spacing w:val="-11"/>
        </w:rPr>
        <w:t> </w:t>
      </w:r>
      <w:r>
        <w:rPr/>
        <w:t>MCGM/Appropriate Authority in lieu of Reservation/ Existing amenity in the DP/ proposed DP roads/prescribed RL under MMC Act .</w:t>
      </w:r>
    </w:p>
    <w:p>
      <w:pPr>
        <w:pStyle w:val="ListParagraph"/>
        <w:numPr>
          <w:ilvl w:val="0"/>
          <w:numId w:val="199"/>
        </w:numPr>
        <w:tabs>
          <w:tab w:pos="2383" w:val="left" w:leader="none"/>
        </w:tabs>
        <w:spacing w:line="240" w:lineRule="auto" w:before="243" w:after="0"/>
        <w:ind w:left="2062" w:right="768" w:firstLine="0"/>
        <w:jc w:val="both"/>
        <w:rPr>
          <w:sz w:val="22"/>
        </w:rPr>
      </w:pPr>
      <w:r>
        <w:rPr>
          <w:sz w:val="24"/>
        </w:rPr>
        <w:t>Such Schemes shall not be permissible on lands reserved/existing amenity in the DP&amp; in </w:t>
      </w:r>
      <w:r>
        <w:rPr>
          <w:color w:val="000000"/>
          <w:sz w:val="24"/>
          <w:shd w:fill="FFCCFF" w:color="auto" w:val="clear"/>
        </w:rPr>
        <w:t>SDZ/GZ.</w:t>
      </w:r>
    </w:p>
    <w:p>
      <w:pPr>
        <w:pStyle w:val="ListParagraph"/>
        <w:numPr>
          <w:ilvl w:val="0"/>
          <w:numId w:val="199"/>
        </w:numPr>
        <w:tabs>
          <w:tab w:pos="2383" w:val="left" w:leader="none"/>
        </w:tabs>
        <w:spacing w:line="240" w:lineRule="auto" w:before="239" w:after="0"/>
        <w:ind w:left="2062" w:right="766" w:firstLine="0"/>
        <w:jc w:val="both"/>
        <w:rPr>
          <w:sz w:val="22"/>
        </w:rPr>
      </w:pPr>
      <w:r>
        <w:rPr>
          <w:sz w:val="24"/>
        </w:rPr>
        <w:t>Transit tenements for SRA out of additional FSI could be used for construction</w:t>
      </w:r>
      <w:r>
        <w:rPr>
          <w:spacing w:val="-15"/>
          <w:sz w:val="24"/>
        </w:rPr>
        <w:t> </w:t>
      </w:r>
      <w:r>
        <w:rPr>
          <w:sz w:val="24"/>
        </w:rPr>
        <w:t>o</w:t>
      </w:r>
      <w:r>
        <w:rPr>
          <w:spacing w:val="-14"/>
          <w:sz w:val="24"/>
        </w:rPr>
        <w:t> </w:t>
      </w:r>
      <w:r>
        <w:rPr>
          <w:sz w:val="24"/>
        </w:rPr>
        <w:t>f</w:t>
      </w:r>
      <w:r>
        <w:rPr>
          <w:spacing w:val="-13"/>
          <w:sz w:val="24"/>
        </w:rPr>
        <w:t> </w:t>
      </w:r>
      <w:r>
        <w:rPr>
          <w:sz w:val="24"/>
        </w:rPr>
        <w:t>Transit</w:t>
      </w:r>
      <w:r>
        <w:rPr>
          <w:spacing w:val="-15"/>
          <w:sz w:val="24"/>
        </w:rPr>
        <w:t> </w:t>
      </w:r>
      <w:r>
        <w:rPr>
          <w:sz w:val="24"/>
        </w:rPr>
        <w:t>Camp</w:t>
      </w:r>
      <w:r>
        <w:rPr>
          <w:spacing w:val="-15"/>
          <w:sz w:val="24"/>
        </w:rPr>
        <w:t> </w:t>
      </w:r>
      <w:r>
        <w:rPr>
          <w:sz w:val="24"/>
        </w:rPr>
        <w:t>of</w:t>
      </w:r>
      <w:r>
        <w:rPr>
          <w:spacing w:val="-15"/>
          <w:sz w:val="24"/>
        </w:rPr>
        <w:t> </w:t>
      </w:r>
      <w:r>
        <w:rPr>
          <w:sz w:val="24"/>
        </w:rPr>
        <w:t>tenements</w:t>
      </w:r>
      <w:r>
        <w:rPr>
          <w:spacing w:val="-15"/>
          <w:sz w:val="24"/>
        </w:rPr>
        <w:t> </w:t>
      </w:r>
      <w:r>
        <w:rPr>
          <w:sz w:val="24"/>
        </w:rPr>
        <w:t>having</w:t>
      </w:r>
      <w:r>
        <w:rPr>
          <w:spacing w:val="-15"/>
          <w:sz w:val="24"/>
        </w:rPr>
        <w:t> </w:t>
      </w:r>
      <w:r>
        <w:rPr>
          <w:sz w:val="24"/>
        </w:rPr>
        <w:t>carpet</w:t>
      </w:r>
      <w:r>
        <w:rPr>
          <w:spacing w:val="-15"/>
          <w:sz w:val="24"/>
        </w:rPr>
        <w:t> </w:t>
      </w:r>
      <w:r>
        <w:rPr>
          <w:sz w:val="24"/>
        </w:rPr>
        <w:t>area</w:t>
      </w:r>
      <w:r>
        <w:rPr>
          <w:spacing w:val="-13"/>
          <w:sz w:val="24"/>
        </w:rPr>
        <w:t> </w:t>
      </w:r>
      <w:r>
        <w:rPr>
          <w:sz w:val="24"/>
        </w:rPr>
        <w:t>of</w:t>
      </w:r>
      <w:r>
        <w:rPr>
          <w:spacing w:val="40"/>
          <w:sz w:val="24"/>
        </w:rPr>
        <w:t> </w:t>
      </w:r>
      <w:r>
        <w:rPr>
          <w:sz w:val="24"/>
        </w:rPr>
        <w:t>27.88 sq. m (300 sq. ft.). Ground</w:t>
      </w:r>
      <w:r>
        <w:rPr>
          <w:spacing w:val="40"/>
          <w:sz w:val="24"/>
        </w:rPr>
        <w:t> </w:t>
      </w:r>
      <w:r>
        <w:rPr>
          <w:sz w:val="24"/>
        </w:rPr>
        <w:t>floor</w:t>
      </w:r>
      <w:r>
        <w:rPr>
          <w:spacing w:val="40"/>
          <w:sz w:val="24"/>
        </w:rPr>
        <w:t> </w:t>
      </w:r>
      <w:r>
        <w:rPr>
          <w:sz w:val="24"/>
        </w:rPr>
        <w:t>shall</w:t>
      </w:r>
      <w:r>
        <w:rPr>
          <w:spacing w:val="40"/>
          <w:sz w:val="24"/>
        </w:rPr>
        <w:t> </w:t>
      </w:r>
      <w:r>
        <w:rPr>
          <w:sz w:val="24"/>
        </w:rPr>
        <w:t>be</w:t>
      </w:r>
      <w:r>
        <w:rPr>
          <w:spacing w:val="40"/>
          <w:sz w:val="24"/>
        </w:rPr>
        <w:t> </w:t>
      </w:r>
      <w:r>
        <w:rPr>
          <w:sz w:val="24"/>
        </w:rPr>
        <w:t>used</w:t>
      </w:r>
      <w:r>
        <w:rPr>
          <w:spacing w:val="40"/>
          <w:sz w:val="24"/>
        </w:rPr>
        <w:t> </w:t>
      </w:r>
      <w:r>
        <w:rPr>
          <w:sz w:val="24"/>
        </w:rPr>
        <w:t>for</w:t>
      </w:r>
      <w:r>
        <w:rPr>
          <w:spacing w:val="40"/>
          <w:sz w:val="24"/>
        </w:rPr>
        <w:t> </w:t>
      </w:r>
      <w:r>
        <w:rPr>
          <w:sz w:val="24"/>
        </w:rPr>
        <w:t>commercial tenement</w:t>
      </w:r>
      <w:r>
        <w:rPr>
          <w:spacing w:val="33"/>
          <w:sz w:val="24"/>
        </w:rPr>
        <w:t> </w:t>
      </w:r>
      <w:r>
        <w:rPr>
          <w:sz w:val="24"/>
        </w:rPr>
        <w:t>shaving</w:t>
      </w:r>
      <w:r>
        <w:rPr>
          <w:spacing w:val="36"/>
          <w:sz w:val="24"/>
        </w:rPr>
        <w:t> </w:t>
      </w:r>
      <w:r>
        <w:rPr>
          <w:sz w:val="24"/>
        </w:rPr>
        <w:t>carpet</w:t>
      </w:r>
      <w:r>
        <w:rPr>
          <w:spacing w:val="30"/>
          <w:sz w:val="24"/>
        </w:rPr>
        <w:t> </w:t>
      </w:r>
      <w:r>
        <w:rPr>
          <w:sz w:val="24"/>
        </w:rPr>
        <w:t>area</w:t>
      </w:r>
      <w:r>
        <w:rPr>
          <w:spacing w:val="33"/>
          <w:sz w:val="24"/>
        </w:rPr>
        <w:t> </w:t>
      </w:r>
      <w:r>
        <w:rPr>
          <w:sz w:val="24"/>
        </w:rPr>
        <w:t>of</w:t>
      </w:r>
      <w:r>
        <w:rPr>
          <w:spacing w:val="32"/>
          <w:sz w:val="24"/>
        </w:rPr>
        <w:t> </w:t>
      </w:r>
      <w:r>
        <w:rPr>
          <w:sz w:val="24"/>
        </w:rPr>
        <w:t>20.90</w:t>
      </w:r>
      <w:r>
        <w:rPr>
          <w:spacing w:val="33"/>
          <w:sz w:val="24"/>
        </w:rPr>
        <w:t> </w:t>
      </w:r>
      <w:r>
        <w:rPr>
          <w:sz w:val="24"/>
        </w:rPr>
        <w:t>sq.</w:t>
      </w:r>
      <w:r>
        <w:rPr>
          <w:spacing w:val="30"/>
          <w:sz w:val="24"/>
        </w:rPr>
        <w:t> </w:t>
      </w:r>
      <w:r>
        <w:rPr>
          <w:sz w:val="24"/>
        </w:rPr>
        <w:t>m</w:t>
      </w:r>
      <w:r>
        <w:rPr>
          <w:spacing w:val="33"/>
          <w:sz w:val="24"/>
        </w:rPr>
        <w:t> </w:t>
      </w:r>
      <w:r>
        <w:rPr>
          <w:sz w:val="24"/>
        </w:rPr>
        <w:t>(225</w:t>
      </w:r>
      <w:r>
        <w:rPr>
          <w:spacing w:val="33"/>
          <w:sz w:val="24"/>
        </w:rPr>
        <w:t> </w:t>
      </w:r>
      <w:r>
        <w:rPr>
          <w:sz w:val="24"/>
        </w:rPr>
        <w:t>sq.</w:t>
      </w:r>
      <w:r>
        <w:rPr>
          <w:spacing w:val="33"/>
          <w:sz w:val="24"/>
        </w:rPr>
        <w:t> </w:t>
      </w:r>
      <w:r>
        <w:rPr>
          <w:sz w:val="24"/>
        </w:rPr>
        <w:t>ft.)</w:t>
      </w:r>
      <w:r>
        <w:rPr>
          <w:spacing w:val="40"/>
          <w:sz w:val="24"/>
        </w:rPr>
        <w:t> </w:t>
      </w:r>
      <w:r>
        <w:rPr>
          <w:sz w:val="24"/>
        </w:rPr>
        <w:t>for</w:t>
      </w:r>
      <w:r>
        <w:rPr>
          <w:spacing w:val="30"/>
          <w:sz w:val="24"/>
        </w:rPr>
        <w:t> </w:t>
      </w:r>
      <w:r>
        <w:rPr>
          <w:sz w:val="24"/>
        </w:rPr>
        <w:t>project</w:t>
      </w:r>
    </w:p>
    <w:p>
      <w:pPr>
        <w:pStyle w:val="ListParagraph"/>
        <w:spacing w:after="0" w:line="240" w:lineRule="auto"/>
        <w:jc w:val="both"/>
        <w:rPr>
          <w:sz w:val="22"/>
        </w:rPr>
        <w:sectPr>
          <w:pgSz w:w="11910" w:h="16840"/>
          <w:pgMar w:header="1065" w:footer="1194" w:top="1500" w:bottom="1380" w:left="360" w:right="360"/>
        </w:sectPr>
      </w:pPr>
    </w:p>
    <w:p>
      <w:pPr>
        <w:pStyle w:val="BodyText"/>
        <w:spacing w:before="249"/>
        <w:ind w:left="2062" w:right="768"/>
      </w:pPr>
      <w:r>
        <w:rPr/>
        <w:t>affected</w:t>
      </w:r>
      <w:r>
        <w:rPr>
          <w:spacing w:val="78"/>
        </w:rPr>
        <w:t> </w:t>
      </w:r>
      <w:r>
        <w:rPr/>
        <w:t>commercial</w:t>
      </w:r>
      <w:r>
        <w:rPr>
          <w:spacing w:val="75"/>
        </w:rPr>
        <w:t> </w:t>
      </w:r>
      <w:r>
        <w:rPr/>
        <w:t>tenements</w:t>
      </w:r>
      <w:r>
        <w:rPr>
          <w:spacing w:val="78"/>
        </w:rPr>
        <w:t> </w:t>
      </w:r>
      <w:r>
        <w:rPr/>
        <w:t>&amp;</w:t>
      </w:r>
      <w:r>
        <w:rPr>
          <w:spacing w:val="80"/>
        </w:rPr>
        <w:t> </w:t>
      </w:r>
      <w:r>
        <w:rPr/>
        <w:t>same</w:t>
      </w:r>
      <w:r>
        <w:rPr>
          <w:spacing w:val="74"/>
        </w:rPr>
        <w:t> </w:t>
      </w:r>
      <w:r>
        <w:rPr/>
        <w:t>shall</w:t>
      </w:r>
      <w:r>
        <w:rPr>
          <w:spacing w:val="78"/>
        </w:rPr>
        <w:t> </w:t>
      </w:r>
      <w:r>
        <w:rPr/>
        <w:t>be</w:t>
      </w:r>
      <w:r>
        <w:rPr>
          <w:spacing w:val="80"/>
        </w:rPr>
        <w:t> </w:t>
      </w:r>
      <w:r>
        <w:rPr/>
        <w:t>handed</w:t>
      </w:r>
      <w:r>
        <w:rPr>
          <w:spacing w:val="78"/>
        </w:rPr>
        <w:t> </w:t>
      </w:r>
      <w:r>
        <w:rPr/>
        <w:t>over</w:t>
      </w:r>
      <w:r>
        <w:rPr>
          <w:spacing w:val="74"/>
        </w:rPr>
        <w:t> </w:t>
      </w:r>
      <w:r>
        <w:rPr/>
        <w:t>free of cost to SRA. Alternatively, residential tenements can be used for Govt. Staff Quarters etc.</w:t>
      </w:r>
    </w:p>
    <w:p>
      <w:pPr>
        <w:pStyle w:val="BodyText"/>
        <w:spacing w:before="242"/>
        <w:ind w:left="2050" w:right="771"/>
      </w:pPr>
      <w:r>
        <w:rPr/>
        <w:t>For the purpose of this regulation BUA shall be as clause 3.2 of Regulation 33(10)</w:t>
      </w:r>
    </w:p>
    <w:p>
      <w:pPr>
        <w:pStyle w:val="BodyText"/>
        <w:spacing w:before="240"/>
        <w:jc w:val="left"/>
      </w:pPr>
    </w:p>
    <w:p>
      <w:pPr>
        <w:pStyle w:val="ListParagraph"/>
        <w:numPr>
          <w:ilvl w:val="0"/>
          <w:numId w:val="199"/>
        </w:numPr>
        <w:tabs>
          <w:tab w:pos="2486" w:val="left" w:leader="none"/>
        </w:tabs>
        <w:spacing w:line="240" w:lineRule="auto" w:before="0" w:after="0"/>
        <w:ind w:left="2486" w:right="0" w:hanging="436"/>
        <w:jc w:val="both"/>
        <w:rPr>
          <w:sz w:val="24"/>
        </w:rPr>
      </w:pPr>
      <w:r>
        <w:rPr>
          <w:sz w:val="24"/>
        </w:rPr>
        <w:t>Provisionof</w:t>
      </w:r>
      <w:r>
        <w:rPr>
          <w:spacing w:val="22"/>
          <w:sz w:val="24"/>
        </w:rPr>
        <w:t> </w:t>
      </w:r>
      <w:r>
        <w:rPr>
          <w:sz w:val="24"/>
        </w:rPr>
        <w:t>Aaganwadi,</w:t>
      </w:r>
      <w:r>
        <w:rPr>
          <w:spacing w:val="22"/>
          <w:sz w:val="24"/>
        </w:rPr>
        <w:t> </w:t>
      </w:r>
      <w:r>
        <w:rPr>
          <w:sz w:val="24"/>
        </w:rPr>
        <w:t>Health</w:t>
      </w:r>
      <w:r>
        <w:rPr>
          <w:spacing w:val="22"/>
          <w:sz w:val="24"/>
        </w:rPr>
        <w:t> </w:t>
      </w:r>
      <w:r>
        <w:rPr>
          <w:sz w:val="24"/>
        </w:rPr>
        <w:t>Centre</w:t>
      </w:r>
      <w:r>
        <w:rPr>
          <w:spacing w:val="23"/>
          <w:sz w:val="24"/>
        </w:rPr>
        <w:t> </w:t>
      </w:r>
      <w:r>
        <w:rPr>
          <w:sz w:val="24"/>
        </w:rPr>
        <w:t>/</w:t>
      </w:r>
      <w:r>
        <w:rPr>
          <w:spacing w:val="22"/>
          <w:sz w:val="24"/>
        </w:rPr>
        <w:t> </w:t>
      </w:r>
      <w:r>
        <w:rPr>
          <w:sz w:val="24"/>
        </w:rPr>
        <w:t>Outpost,</w:t>
      </w:r>
      <w:r>
        <w:rPr>
          <w:spacing w:val="22"/>
          <w:sz w:val="24"/>
        </w:rPr>
        <w:t> </w:t>
      </w:r>
      <w:r>
        <w:rPr>
          <w:sz w:val="24"/>
        </w:rPr>
        <w:t>Community</w:t>
      </w:r>
      <w:r>
        <w:rPr>
          <w:spacing w:val="23"/>
          <w:sz w:val="24"/>
        </w:rPr>
        <w:t> </w:t>
      </w:r>
      <w:r>
        <w:rPr>
          <w:spacing w:val="-4"/>
          <w:sz w:val="24"/>
        </w:rPr>
        <w:t>Hall</w:t>
      </w:r>
    </w:p>
    <w:p>
      <w:pPr>
        <w:pStyle w:val="BodyText"/>
        <w:spacing w:line="276" w:lineRule="auto" w:before="42"/>
        <w:ind w:left="2050" w:right="766"/>
      </w:pPr>
      <w:r>
        <w:rPr/>
        <w:t>/Gymnasium / Fitness Centre, Skill Development Centre, Women Entrepreneurship Centre, Yuva Kendra / Library, Society Office, Balwadi,shall be as per sub-regulation 8 of regulation 33(10) to these transit camps.25% of Zonal(basic) FSI shall be exclusively used for the purpose of shops along layout road for use of residential occupants of </w:t>
      </w:r>
      <w:r>
        <w:rPr>
          <w:spacing w:val="-2"/>
        </w:rPr>
        <w:t>layout.</w:t>
      </w:r>
    </w:p>
    <w:p>
      <w:pPr>
        <w:pStyle w:val="ListParagraph"/>
        <w:numPr>
          <w:ilvl w:val="0"/>
          <w:numId w:val="199"/>
        </w:numPr>
        <w:tabs>
          <w:tab w:pos="2451" w:val="left" w:leader="none"/>
        </w:tabs>
        <w:spacing w:line="240" w:lineRule="auto" w:before="202" w:after="0"/>
        <w:ind w:left="2062" w:right="766" w:firstLine="0"/>
        <w:jc w:val="both"/>
        <w:rPr>
          <w:sz w:val="24"/>
        </w:rPr>
      </w:pPr>
      <w:r>
        <w:rPr>
          <w:sz w:val="24"/>
        </w:rPr>
        <w:t>Additional</w:t>
      </w:r>
      <w:r>
        <w:rPr>
          <w:spacing w:val="-6"/>
          <w:sz w:val="24"/>
        </w:rPr>
        <w:t> </w:t>
      </w:r>
      <w:r>
        <w:rPr>
          <w:sz w:val="24"/>
        </w:rPr>
        <w:t>FSI</w:t>
      </w:r>
      <w:r>
        <w:rPr>
          <w:spacing w:val="-4"/>
          <w:sz w:val="24"/>
        </w:rPr>
        <w:t> </w:t>
      </w:r>
      <w:r>
        <w:rPr>
          <w:sz w:val="24"/>
        </w:rPr>
        <w:t>over</w:t>
      </w:r>
      <w:r>
        <w:rPr>
          <w:spacing w:val="-6"/>
          <w:sz w:val="24"/>
        </w:rPr>
        <w:t> </w:t>
      </w:r>
      <w:r>
        <w:rPr>
          <w:sz w:val="24"/>
        </w:rPr>
        <w:t>&amp;</w:t>
      </w:r>
      <w:r>
        <w:rPr>
          <w:spacing w:val="-6"/>
          <w:sz w:val="24"/>
        </w:rPr>
        <w:t> </w:t>
      </w:r>
      <w:r>
        <w:rPr>
          <w:sz w:val="24"/>
        </w:rPr>
        <w:t>above</w:t>
      </w:r>
      <w:r>
        <w:rPr>
          <w:spacing w:val="-6"/>
          <w:sz w:val="24"/>
        </w:rPr>
        <w:t> </w:t>
      </w:r>
      <w:r>
        <w:rPr>
          <w:sz w:val="24"/>
        </w:rPr>
        <w:t>Zonal</w:t>
      </w:r>
      <w:r>
        <w:rPr>
          <w:spacing w:val="-6"/>
          <w:sz w:val="24"/>
        </w:rPr>
        <w:t> </w:t>
      </w:r>
      <w:r>
        <w:rPr>
          <w:sz w:val="24"/>
        </w:rPr>
        <w:t>(basic)</w:t>
      </w:r>
      <w:r>
        <w:rPr>
          <w:spacing w:val="-6"/>
          <w:sz w:val="24"/>
        </w:rPr>
        <w:t> </w:t>
      </w:r>
      <w:r>
        <w:rPr>
          <w:sz w:val="24"/>
        </w:rPr>
        <w:t>FSI</w:t>
      </w:r>
      <w:r>
        <w:rPr>
          <w:spacing w:val="-4"/>
          <w:sz w:val="24"/>
        </w:rPr>
        <w:t> </w:t>
      </w:r>
      <w:r>
        <w:rPr>
          <w:sz w:val="24"/>
        </w:rPr>
        <w:t>may</w:t>
      </w:r>
      <w:r>
        <w:rPr>
          <w:spacing w:val="-6"/>
          <w:sz w:val="24"/>
        </w:rPr>
        <w:t> </w:t>
      </w:r>
      <w:r>
        <w:rPr>
          <w:sz w:val="24"/>
        </w:rPr>
        <w:t>be</w:t>
      </w:r>
      <w:r>
        <w:rPr>
          <w:spacing w:val="-6"/>
          <w:sz w:val="24"/>
        </w:rPr>
        <w:t> </w:t>
      </w:r>
      <w:r>
        <w:rPr>
          <w:sz w:val="24"/>
        </w:rPr>
        <w:t>released</w:t>
      </w:r>
      <w:r>
        <w:rPr>
          <w:spacing w:val="-6"/>
          <w:sz w:val="24"/>
        </w:rPr>
        <w:t> </w:t>
      </w:r>
      <w:r>
        <w:rPr>
          <w:sz w:val="24"/>
        </w:rPr>
        <w:t>in</w:t>
      </w:r>
      <w:r>
        <w:rPr>
          <w:spacing w:val="-6"/>
          <w:sz w:val="24"/>
        </w:rPr>
        <w:t> </w:t>
      </w:r>
      <w:r>
        <w:rPr>
          <w:sz w:val="24"/>
        </w:rPr>
        <w:t>co- relation</w:t>
      </w:r>
      <w:r>
        <w:rPr>
          <w:spacing w:val="-17"/>
          <w:sz w:val="24"/>
        </w:rPr>
        <w:t> </w:t>
      </w:r>
      <w:r>
        <w:rPr>
          <w:sz w:val="24"/>
        </w:rPr>
        <w:t>to</w:t>
      </w:r>
      <w:r>
        <w:rPr>
          <w:spacing w:val="-17"/>
          <w:sz w:val="24"/>
        </w:rPr>
        <w:t> </w:t>
      </w:r>
      <w:r>
        <w:rPr>
          <w:sz w:val="24"/>
        </w:rPr>
        <w:t>the</w:t>
      </w:r>
      <w:r>
        <w:rPr>
          <w:spacing w:val="-16"/>
          <w:sz w:val="24"/>
        </w:rPr>
        <w:t> </w:t>
      </w:r>
      <w:r>
        <w:rPr>
          <w:sz w:val="24"/>
        </w:rPr>
        <w:t>BUA</w:t>
      </w:r>
      <w:r>
        <w:rPr>
          <w:spacing w:val="-17"/>
          <w:sz w:val="24"/>
        </w:rPr>
        <w:t> </w:t>
      </w:r>
      <w:r>
        <w:rPr>
          <w:sz w:val="24"/>
        </w:rPr>
        <w:t>of</w:t>
      </w:r>
      <w:r>
        <w:rPr>
          <w:spacing w:val="-17"/>
          <w:sz w:val="24"/>
        </w:rPr>
        <w:t> </w:t>
      </w:r>
      <w:r>
        <w:rPr>
          <w:sz w:val="24"/>
        </w:rPr>
        <w:t>the</w:t>
      </w:r>
      <w:r>
        <w:rPr>
          <w:spacing w:val="-17"/>
          <w:sz w:val="24"/>
        </w:rPr>
        <w:t> </w:t>
      </w:r>
      <w:r>
        <w:rPr>
          <w:sz w:val="24"/>
        </w:rPr>
        <w:t>tenements</w:t>
      </w:r>
      <w:r>
        <w:rPr>
          <w:spacing w:val="-17"/>
          <w:sz w:val="24"/>
        </w:rPr>
        <w:t> </w:t>
      </w:r>
      <w:r>
        <w:rPr>
          <w:sz w:val="24"/>
        </w:rPr>
        <w:t>that</w:t>
      </w:r>
      <w:r>
        <w:rPr>
          <w:spacing w:val="-14"/>
          <w:sz w:val="24"/>
        </w:rPr>
        <w:t> </w:t>
      </w:r>
      <w:r>
        <w:rPr>
          <w:sz w:val="24"/>
        </w:rPr>
        <w:t>are</w:t>
      </w:r>
      <w:r>
        <w:rPr>
          <w:spacing w:val="-17"/>
          <w:sz w:val="24"/>
        </w:rPr>
        <w:t> </w:t>
      </w:r>
      <w:r>
        <w:rPr>
          <w:sz w:val="24"/>
        </w:rPr>
        <w:t>required</w:t>
      </w:r>
      <w:r>
        <w:rPr>
          <w:spacing w:val="-17"/>
          <w:sz w:val="24"/>
        </w:rPr>
        <w:t> </w:t>
      </w:r>
      <w:r>
        <w:rPr>
          <w:sz w:val="24"/>
        </w:rPr>
        <w:t>to</w:t>
      </w:r>
      <w:r>
        <w:rPr>
          <w:spacing w:val="-17"/>
          <w:sz w:val="24"/>
        </w:rPr>
        <w:t> </w:t>
      </w:r>
      <w:r>
        <w:rPr>
          <w:sz w:val="24"/>
        </w:rPr>
        <w:t>be</w:t>
      </w:r>
      <w:r>
        <w:rPr>
          <w:spacing w:val="-17"/>
          <w:sz w:val="24"/>
        </w:rPr>
        <w:t> </w:t>
      </w:r>
      <w:r>
        <w:rPr>
          <w:sz w:val="24"/>
        </w:rPr>
        <w:t>handed</w:t>
      </w:r>
      <w:r>
        <w:rPr>
          <w:spacing w:val="-17"/>
          <w:sz w:val="24"/>
        </w:rPr>
        <w:t> </w:t>
      </w:r>
      <w:r>
        <w:rPr>
          <w:sz w:val="24"/>
        </w:rPr>
        <w:t>over free of cost to SRA/ MCGM as the case may be. Alternatively, TDR in lieu of unconsumed sale component of additional FSI, as per this Regulation, may be permitted for Permanent Transit Camp (PTCfor which SRA will be the Planning Authority for the purpose of this regulation,</w:t>
      </w:r>
      <w:r>
        <w:rPr>
          <w:spacing w:val="-4"/>
          <w:sz w:val="24"/>
        </w:rPr>
        <w:t> </w:t>
      </w:r>
      <w:r>
        <w:rPr>
          <w:sz w:val="24"/>
        </w:rPr>
        <w:t>BUA</w:t>
      </w:r>
      <w:r>
        <w:rPr>
          <w:spacing w:val="-4"/>
          <w:sz w:val="24"/>
        </w:rPr>
        <w:t> </w:t>
      </w:r>
      <w:r>
        <w:rPr>
          <w:sz w:val="24"/>
        </w:rPr>
        <w:t>of</w:t>
      </w:r>
      <w:r>
        <w:rPr>
          <w:spacing w:val="-4"/>
          <w:sz w:val="24"/>
        </w:rPr>
        <w:t> </w:t>
      </w:r>
      <w:r>
        <w:rPr>
          <w:sz w:val="24"/>
        </w:rPr>
        <w:t>PTC</w:t>
      </w:r>
      <w:r>
        <w:rPr>
          <w:spacing w:val="-4"/>
          <w:sz w:val="24"/>
        </w:rPr>
        <w:t> </w:t>
      </w:r>
      <w:r>
        <w:rPr>
          <w:sz w:val="24"/>
        </w:rPr>
        <w:t>tenements</w:t>
      </w:r>
      <w:r>
        <w:rPr>
          <w:spacing w:val="-4"/>
          <w:sz w:val="24"/>
        </w:rPr>
        <w:t> </w:t>
      </w:r>
      <w:r>
        <w:rPr>
          <w:sz w:val="24"/>
        </w:rPr>
        <w:t>shall</w:t>
      </w:r>
      <w:r>
        <w:rPr>
          <w:spacing w:val="-2"/>
          <w:sz w:val="24"/>
        </w:rPr>
        <w:t> </w:t>
      </w:r>
      <w:r>
        <w:rPr>
          <w:sz w:val="24"/>
        </w:rPr>
        <w:t>be</w:t>
      </w:r>
      <w:r>
        <w:rPr>
          <w:spacing w:val="-4"/>
          <w:sz w:val="24"/>
        </w:rPr>
        <w:t> </w:t>
      </w:r>
      <w:r>
        <w:rPr>
          <w:sz w:val="24"/>
        </w:rPr>
        <w:t>calculated</w:t>
      </w:r>
      <w:r>
        <w:rPr>
          <w:spacing w:val="-4"/>
          <w:sz w:val="24"/>
        </w:rPr>
        <w:t> </w:t>
      </w:r>
      <w:r>
        <w:rPr>
          <w:sz w:val="24"/>
        </w:rPr>
        <w:t>as</w:t>
      </w:r>
      <w:r>
        <w:rPr>
          <w:spacing w:val="-4"/>
          <w:sz w:val="24"/>
        </w:rPr>
        <w:t> </w:t>
      </w:r>
      <w:r>
        <w:rPr>
          <w:sz w:val="24"/>
        </w:rPr>
        <w:t>per</w:t>
      </w:r>
      <w:r>
        <w:rPr>
          <w:spacing w:val="-6"/>
          <w:sz w:val="24"/>
        </w:rPr>
        <w:t> </w:t>
      </w:r>
      <w:r>
        <w:rPr>
          <w:sz w:val="24"/>
        </w:rPr>
        <w:t>clause</w:t>
      </w:r>
      <w:r>
        <w:rPr>
          <w:spacing w:val="-4"/>
          <w:sz w:val="24"/>
        </w:rPr>
        <w:t> </w:t>
      </w:r>
      <w:r>
        <w:rPr>
          <w:sz w:val="24"/>
        </w:rPr>
        <w:t>3.2 of regulation 33(10).</w:t>
      </w:r>
    </w:p>
    <w:p>
      <w:pPr>
        <w:pStyle w:val="ListParagraph"/>
        <w:numPr>
          <w:ilvl w:val="0"/>
          <w:numId w:val="199"/>
        </w:numPr>
        <w:tabs>
          <w:tab w:pos="2459" w:val="left" w:leader="none"/>
        </w:tabs>
        <w:spacing w:line="240" w:lineRule="auto" w:before="241" w:after="0"/>
        <w:ind w:left="2062" w:right="766" w:firstLine="100"/>
        <w:jc w:val="both"/>
        <w:rPr>
          <w:sz w:val="22"/>
        </w:rPr>
      </w:pPr>
      <w:r>
        <w:rPr>
          <w:sz w:val="24"/>
        </w:rPr>
        <w:t>Only</w:t>
      </w:r>
      <w:r>
        <w:rPr>
          <w:spacing w:val="-17"/>
          <w:sz w:val="24"/>
        </w:rPr>
        <w:t> </w:t>
      </w:r>
      <w:r>
        <w:rPr>
          <w:sz w:val="24"/>
        </w:rPr>
        <w:t>after</w:t>
      </w:r>
      <w:r>
        <w:rPr>
          <w:spacing w:val="-17"/>
          <w:sz w:val="24"/>
        </w:rPr>
        <w:t> </w:t>
      </w:r>
      <w:r>
        <w:rPr>
          <w:sz w:val="24"/>
        </w:rPr>
        <w:t>the</w:t>
      </w:r>
      <w:r>
        <w:rPr>
          <w:spacing w:val="-19"/>
          <w:sz w:val="24"/>
        </w:rPr>
        <w:t> </w:t>
      </w:r>
      <w:r>
        <w:rPr>
          <w:sz w:val="24"/>
        </w:rPr>
        <w:t>Transit</w:t>
      </w:r>
      <w:r>
        <w:rPr>
          <w:spacing w:val="-17"/>
          <w:sz w:val="24"/>
        </w:rPr>
        <w:t> </w:t>
      </w:r>
      <w:r>
        <w:rPr>
          <w:sz w:val="24"/>
        </w:rPr>
        <w:t>Camps</w:t>
      </w:r>
      <w:r>
        <w:rPr>
          <w:spacing w:val="-17"/>
          <w:sz w:val="24"/>
        </w:rPr>
        <w:t> </w:t>
      </w:r>
      <w:r>
        <w:rPr>
          <w:sz w:val="24"/>
        </w:rPr>
        <w:t>are</w:t>
      </w:r>
      <w:r>
        <w:rPr>
          <w:spacing w:val="-17"/>
          <w:sz w:val="24"/>
        </w:rPr>
        <w:t> </w:t>
      </w:r>
      <w:r>
        <w:rPr>
          <w:sz w:val="24"/>
        </w:rPr>
        <w:t>handed</w:t>
      </w:r>
      <w:r>
        <w:rPr>
          <w:spacing w:val="-17"/>
          <w:sz w:val="24"/>
        </w:rPr>
        <w:t> </w:t>
      </w:r>
      <w:r>
        <w:rPr>
          <w:sz w:val="24"/>
        </w:rPr>
        <w:t>over</w:t>
      </w:r>
      <w:r>
        <w:rPr>
          <w:spacing w:val="-17"/>
          <w:sz w:val="24"/>
        </w:rPr>
        <w:t> </w:t>
      </w:r>
      <w:r>
        <w:rPr>
          <w:sz w:val="24"/>
        </w:rPr>
        <w:t>free</w:t>
      </w:r>
      <w:r>
        <w:rPr>
          <w:spacing w:val="-17"/>
          <w:sz w:val="24"/>
        </w:rPr>
        <w:t> </w:t>
      </w:r>
      <w:r>
        <w:rPr>
          <w:sz w:val="24"/>
        </w:rPr>
        <w:t>of</w:t>
      </w:r>
      <w:r>
        <w:rPr>
          <w:spacing w:val="-17"/>
          <w:sz w:val="24"/>
        </w:rPr>
        <w:t> </w:t>
      </w:r>
      <w:r>
        <w:rPr>
          <w:sz w:val="24"/>
        </w:rPr>
        <w:t>cost</w:t>
      </w:r>
      <w:r>
        <w:rPr>
          <w:spacing w:val="-17"/>
          <w:sz w:val="24"/>
        </w:rPr>
        <w:t> </w:t>
      </w:r>
      <w:r>
        <w:rPr>
          <w:sz w:val="24"/>
        </w:rPr>
        <w:t>to</w:t>
      </w:r>
      <w:r>
        <w:rPr>
          <w:spacing w:val="-17"/>
          <w:sz w:val="24"/>
        </w:rPr>
        <w:t> </w:t>
      </w:r>
      <w:r>
        <w:rPr>
          <w:sz w:val="24"/>
        </w:rPr>
        <w:t>the</w:t>
      </w:r>
      <w:r>
        <w:rPr>
          <w:spacing w:val="-17"/>
          <w:sz w:val="24"/>
        </w:rPr>
        <w:t> </w:t>
      </w:r>
      <w:r>
        <w:rPr>
          <w:sz w:val="24"/>
        </w:rPr>
        <w:t>SRA, the</w:t>
      </w:r>
      <w:r>
        <w:rPr>
          <w:spacing w:val="-2"/>
          <w:sz w:val="24"/>
        </w:rPr>
        <w:t> </w:t>
      </w:r>
      <w:r>
        <w:rPr>
          <w:sz w:val="24"/>
        </w:rPr>
        <w:t>Occupation</w:t>
      </w:r>
      <w:r>
        <w:rPr>
          <w:spacing w:val="-2"/>
          <w:sz w:val="24"/>
        </w:rPr>
        <w:t> </w:t>
      </w:r>
      <w:r>
        <w:rPr>
          <w:sz w:val="24"/>
        </w:rPr>
        <w:t>Certificate,</w:t>
      </w:r>
      <w:r>
        <w:rPr>
          <w:spacing w:val="-2"/>
          <w:sz w:val="24"/>
        </w:rPr>
        <w:t> </w:t>
      </w:r>
      <w:r>
        <w:rPr>
          <w:sz w:val="24"/>
        </w:rPr>
        <w:t>water</w:t>
      </w:r>
      <w:r>
        <w:rPr>
          <w:spacing w:val="-2"/>
          <w:sz w:val="24"/>
        </w:rPr>
        <w:t> </w:t>
      </w:r>
      <w:r>
        <w:rPr>
          <w:sz w:val="24"/>
        </w:rPr>
        <w:t>connection,</w:t>
      </w:r>
      <w:r>
        <w:rPr>
          <w:spacing w:val="-2"/>
          <w:sz w:val="24"/>
        </w:rPr>
        <w:t> </w:t>
      </w:r>
      <w:r>
        <w:rPr>
          <w:sz w:val="24"/>
        </w:rPr>
        <w:t>power</w:t>
      </w:r>
      <w:r>
        <w:rPr>
          <w:spacing w:val="-2"/>
          <w:sz w:val="24"/>
        </w:rPr>
        <w:t> </w:t>
      </w:r>
      <w:r>
        <w:rPr>
          <w:sz w:val="24"/>
        </w:rPr>
        <w:t>connection</w:t>
      </w:r>
      <w:r>
        <w:rPr>
          <w:spacing w:val="-2"/>
          <w:sz w:val="24"/>
        </w:rPr>
        <w:t> </w:t>
      </w:r>
      <w:r>
        <w:rPr>
          <w:sz w:val="24"/>
        </w:rPr>
        <w:t>etc.</w:t>
      </w:r>
      <w:r>
        <w:rPr>
          <w:spacing w:val="-2"/>
          <w:sz w:val="24"/>
        </w:rPr>
        <w:t> </w:t>
      </w:r>
      <w:r>
        <w:rPr>
          <w:sz w:val="24"/>
        </w:rPr>
        <w:t>for the other portion shall be given by the Appropriate Authority.</w:t>
      </w:r>
    </w:p>
    <w:p>
      <w:pPr>
        <w:pStyle w:val="ListParagraph"/>
        <w:numPr>
          <w:ilvl w:val="0"/>
          <w:numId w:val="199"/>
        </w:numPr>
        <w:tabs>
          <w:tab w:pos="2674" w:val="left" w:leader="none"/>
        </w:tabs>
        <w:spacing w:line="278" w:lineRule="auto" w:before="237" w:after="0"/>
        <w:ind w:left="2050" w:right="769" w:firstLine="153"/>
        <w:jc w:val="left"/>
        <w:rPr>
          <w:b/>
          <w:sz w:val="24"/>
        </w:rPr>
      </w:pPr>
      <w:r>
        <w:rPr>
          <w:sz w:val="24"/>
        </w:rPr>
        <w:t>This</w:t>
      </w:r>
      <w:r>
        <w:rPr>
          <w:spacing w:val="40"/>
          <w:sz w:val="24"/>
        </w:rPr>
        <w:t> </w:t>
      </w:r>
      <w:r>
        <w:rPr>
          <w:sz w:val="24"/>
        </w:rPr>
        <w:t>provision</w:t>
      </w:r>
      <w:r>
        <w:rPr>
          <w:spacing w:val="40"/>
          <w:sz w:val="24"/>
        </w:rPr>
        <w:t> </w:t>
      </w:r>
      <w:r>
        <w:rPr>
          <w:sz w:val="24"/>
        </w:rPr>
        <w:t>shall</w:t>
      </w:r>
      <w:r>
        <w:rPr>
          <w:spacing w:val="40"/>
          <w:sz w:val="24"/>
        </w:rPr>
        <w:t> </w:t>
      </w:r>
      <w:r>
        <w:rPr>
          <w:sz w:val="24"/>
        </w:rPr>
        <w:t>not</w:t>
      </w:r>
      <w:r>
        <w:rPr>
          <w:spacing w:val="40"/>
          <w:sz w:val="24"/>
        </w:rPr>
        <w:t> </w:t>
      </w:r>
      <w:r>
        <w:rPr>
          <w:sz w:val="24"/>
        </w:rPr>
        <w:t>apply</w:t>
      </w:r>
      <w:r>
        <w:rPr>
          <w:spacing w:val="40"/>
          <w:sz w:val="24"/>
        </w:rPr>
        <w:t> </w:t>
      </w:r>
      <w:r>
        <w:rPr>
          <w:sz w:val="24"/>
        </w:rPr>
        <w:t>to</w:t>
      </w:r>
      <w:r>
        <w:rPr>
          <w:spacing w:val="40"/>
          <w:sz w:val="24"/>
        </w:rPr>
        <w:t> </w:t>
      </w:r>
      <w:r>
        <w:rPr>
          <w:sz w:val="24"/>
        </w:rPr>
        <w:t>the</w:t>
      </w:r>
      <w:r>
        <w:rPr>
          <w:spacing w:val="40"/>
          <w:sz w:val="24"/>
        </w:rPr>
        <w:t> </w:t>
      </w:r>
      <w:r>
        <w:rPr>
          <w:sz w:val="24"/>
        </w:rPr>
        <w:t>plots</w:t>
      </w:r>
      <w:r>
        <w:rPr>
          <w:spacing w:val="40"/>
          <w:sz w:val="24"/>
        </w:rPr>
        <w:t> </w:t>
      </w:r>
      <w:r>
        <w:rPr>
          <w:sz w:val="24"/>
        </w:rPr>
        <w:t>wherein</w:t>
      </w:r>
      <w:r>
        <w:rPr>
          <w:spacing w:val="40"/>
          <w:sz w:val="24"/>
        </w:rPr>
        <w:t> </w:t>
      </w:r>
      <w:r>
        <w:rPr>
          <w:sz w:val="24"/>
        </w:rPr>
        <w:t>permissible Zonal F.S.I. is less than 1.00.</w:t>
      </w:r>
    </w:p>
    <w:p>
      <w:pPr>
        <w:pStyle w:val="BodyText"/>
        <w:spacing w:line="276" w:lineRule="auto" w:before="196"/>
        <w:ind w:left="2050" w:right="769"/>
      </w:pPr>
      <w:r>
        <w:rPr/>
        <w:t>The entire Permanent Transit Camp</w:t>
      </w:r>
      <w:r>
        <w:rPr>
          <w:spacing w:val="40"/>
        </w:rPr>
        <w:t> </w:t>
      </w:r>
      <w:r>
        <w:rPr/>
        <w:t>components including Base FSI may be categorized as</w:t>
      </w:r>
      <w:r>
        <w:rPr>
          <w:spacing w:val="40"/>
        </w:rPr>
        <w:t> </w:t>
      </w:r>
      <w:r>
        <w:rPr/>
        <w:t>permanent transit camp component as applicable and the corresponding sale components from the additional FSI amongst two or more schemes under this regulation can be permitted to be interchanged. A developer / developers making an application</w:t>
      </w:r>
      <w:r>
        <w:rPr>
          <w:spacing w:val="-20"/>
        </w:rPr>
        <w:t> </w:t>
      </w:r>
      <w:r>
        <w:rPr/>
        <w:t>under</w:t>
      </w:r>
      <w:r>
        <w:rPr>
          <w:spacing w:val="-19"/>
        </w:rPr>
        <w:t> </w:t>
      </w:r>
      <w:r>
        <w:rPr/>
        <w:t>this</w:t>
      </w:r>
      <w:r>
        <w:rPr>
          <w:spacing w:val="-19"/>
        </w:rPr>
        <w:t> </w:t>
      </w:r>
      <w:r>
        <w:rPr/>
        <w:t>regulation</w:t>
      </w:r>
      <w:r>
        <w:rPr>
          <w:spacing w:val="-19"/>
        </w:rPr>
        <w:t> </w:t>
      </w:r>
      <w:r>
        <w:rPr/>
        <w:t>may</w:t>
      </w:r>
      <w:r>
        <w:rPr>
          <w:spacing w:val="-19"/>
        </w:rPr>
        <w:t> </w:t>
      </w:r>
      <w:r>
        <w:rPr/>
        <w:t>club</w:t>
      </w:r>
      <w:r>
        <w:rPr>
          <w:spacing w:val="-20"/>
        </w:rPr>
        <w:t> </w:t>
      </w:r>
      <w:r>
        <w:rPr/>
        <w:t>more</w:t>
      </w:r>
      <w:r>
        <w:rPr>
          <w:spacing w:val="-19"/>
        </w:rPr>
        <w:t> </w:t>
      </w:r>
      <w:r>
        <w:rPr/>
        <w:t>than</w:t>
      </w:r>
      <w:r>
        <w:rPr>
          <w:spacing w:val="-19"/>
        </w:rPr>
        <w:t> </w:t>
      </w:r>
      <w:r>
        <w:rPr/>
        <w:t>one</w:t>
      </w:r>
      <w:r>
        <w:rPr>
          <w:spacing w:val="-19"/>
        </w:rPr>
        <w:t> </w:t>
      </w:r>
      <w:r>
        <w:rPr/>
        <w:t>plot</w:t>
      </w:r>
      <w:r>
        <w:rPr>
          <w:spacing w:val="-19"/>
        </w:rPr>
        <w:t> </w:t>
      </w:r>
      <w:r>
        <w:rPr/>
        <w:t>belonging to</w:t>
      </w:r>
      <w:r>
        <w:rPr>
          <w:spacing w:val="-1"/>
        </w:rPr>
        <w:t> </w:t>
      </w:r>
      <w:r>
        <w:rPr/>
        <w:t>single</w:t>
      </w:r>
      <w:r>
        <w:rPr>
          <w:spacing w:val="-1"/>
        </w:rPr>
        <w:t> </w:t>
      </w:r>
      <w:r>
        <w:rPr/>
        <w:t>or</w:t>
      </w:r>
      <w:r>
        <w:rPr>
          <w:spacing w:val="-1"/>
        </w:rPr>
        <w:t> </w:t>
      </w:r>
      <w:r>
        <w:rPr/>
        <w:t>multiple</w:t>
      </w:r>
      <w:r>
        <w:rPr>
          <w:spacing w:val="-1"/>
        </w:rPr>
        <w:t> </w:t>
      </w:r>
      <w:r>
        <w:rPr/>
        <w:t>owners</w:t>
      </w:r>
      <w:r>
        <w:rPr>
          <w:spacing w:val="-1"/>
        </w:rPr>
        <w:t> </w:t>
      </w:r>
      <w:r>
        <w:rPr/>
        <w:t>and</w:t>
      </w:r>
      <w:r>
        <w:rPr>
          <w:spacing w:val="-1"/>
        </w:rPr>
        <w:t> </w:t>
      </w:r>
      <w:r>
        <w:rPr/>
        <w:t>offer</w:t>
      </w:r>
      <w:r>
        <w:rPr>
          <w:spacing w:val="-1"/>
        </w:rPr>
        <w:t> </w:t>
      </w:r>
      <w:r>
        <w:rPr/>
        <w:t>permanent</w:t>
      </w:r>
      <w:r>
        <w:rPr>
          <w:spacing w:val="-1"/>
        </w:rPr>
        <w:t> </w:t>
      </w:r>
      <w:r>
        <w:rPr/>
        <w:t>transit</w:t>
      </w:r>
      <w:r>
        <w:rPr>
          <w:spacing w:val="-1"/>
        </w:rPr>
        <w:t> </w:t>
      </w:r>
      <w:r>
        <w:rPr/>
        <w:t>component</w:t>
      </w:r>
      <w:r>
        <w:rPr>
          <w:spacing w:val="-1"/>
        </w:rPr>
        <w:t> </w:t>
      </w:r>
      <w:r>
        <w:rPr/>
        <w:t>on a single plot while shifting sale component as well as base FSI of </w:t>
      </w:r>
      <w:r>
        <w:rPr/>
        <w:t>the plot to other plots provided all right holders of these plots agree and make a joint application.</w:t>
      </w:r>
      <w:r>
        <w:rPr>
          <w:spacing w:val="40"/>
        </w:rPr>
        <w:t> </w:t>
      </w:r>
      <w:r>
        <w:rPr/>
        <w:t>However, clubbing shall be allowed only if it leads</w:t>
      </w:r>
      <w:r>
        <w:rPr>
          <w:spacing w:val="-1"/>
        </w:rPr>
        <w:t> </w:t>
      </w:r>
      <w:r>
        <w:rPr/>
        <w:t>to</w:t>
      </w:r>
      <w:r>
        <w:rPr>
          <w:spacing w:val="-1"/>
        </w:rPr>
        <w:t> </w:t>
      </w:r>
      <w:r>
        <w:rPr/>
        <w:t>an</w:t>
      </w:r>
      <w:r>
        <w:rPr>
          <w:spacing w:val="-1"/>
        </w:rPr>
        <w:t> </w:t>
      </w:r>
      <w:r>
        <w:rPr/>
        <w:t>independent</w:t>
      </w:r>
      <w:r>
        <w:rPr>
          <w:spacing w:val="-1"/>
        </w:rPr>
        <w:t> </w:t>
      </w:r>
      <w:r>
        <w:rPr/>
        <w:t>plot</w:t>
      </w:r>
      <w:r>
        <w:rPr>
          <w:spacing w:val="-1"/>
        </w:rPr>
        <w:t> </w:t>
      </w:r>
      <w:r>
        <w:rPr/>
        <w:t>/</w:t>
      </w:r>
      <w:r>
        <w:rPr>
          <w:spacing w:val="-1"/>
        </w:rPr>
        <w:t> </w:t>
      </w:r>
      <w:r>
        <w:rPr/>
        <w:t>building</w:t>
      </w:r>
      <w:r>
        <w:rPr>
          <w:spacing w:val="-1"/>
        </w:rPr>
        <w:t> </w:t>
      </w:r>
      <w:r>
        <w:rPr/>
        <w:t>/</w:t>
      </w:r>
      <w:r>
        <w:rPr>
          <w:spacing w:val="-4"/>
        </w:rPr>
        <w:t> </w:t>
      </w:r>
      <w:r>
        <w:rPr/>
        <w:t>wing</w:t>
      </w:r>
      <w:r>
        <w:rPr>
          <w:spacing w:val="-1"/>
        </w:rPr>
        <w:t> </w:t>
      </w:r>
      <w:r>
        <w:rPr/>
        <w:t>as</w:t>
      </w:r>
      <w:r>
        <w:rPr>
          <w:spacing w:val="-1"/>
        </w:rPr>
        <w:t> </w:t>
      </w:r>
      <w:r>
        <w:rPr/>
        <w:t>the</w:t>
      </w:r>
      <w:r>
        <w:rPr>
          <w:spacing w:val="-4"/>
        </w:rPr>
        <w:t> </w:t>
      </w:r>
      <w:r>
        <w:rPr/>
        <w:t>case</w:t>
      </w:r>
      <w:r>
        <w:rPr>
          <w:spacing w:val="-1"/>
        </w:rPr>
        <w:t> </w:t>
      </w:r>
      <w:r>
        <w:rPr/>
        <w:t>may</w:t>
      </w:r>
      <w:r>
        <w:rPr>
          <w:spacing w:val="-1"/>
        </w:rPr>
        <w:t> </w:t>
      </w:r>
      <w:r>
        <w:rPr/>
        <w:t>be</w:t>
      </w:r>
      <w:r>
        <w:rPr>
          <w:spacing w:val="-1"/>
        </w:rPr>
        <w:t> </w:t>
      </w:r>
      <w:r>
        <w:rPr/>
        <w:t>with permanent</w:t>
      </w:r>
      <w:r>
        <w:rPr>
          <w:spacing w:val="-11"/>
        </w:rPr>
        <w:t> </w:t>
      </w:r>
      <w:r>
        <w:rPr/>
        <w:t>transit</w:t>
      </w:r>
      <w:r>
        <w:rPr>
          <w:spacing w:val="-9"/>
        </w:rPr>
        <w:t> </w:t>
      </w:r>
      <w:r>
        <w:rPr/>
        <w:t>component</w:t>
      </w:r>
      <w:r>
        <w:rPr>
          <w:spacing w:val="-9"/>
        </w:rPr>
        <w:t> </w:t>
      </w:r>
      <w:r>
        <w:rPr/>
        <w:t>being</w:t>
      </w:r>
      <w:r>
        <w:rPr>
          <w:spacing w:val="-9"/>
        </w:rPr>
        <w:t> </w:t>
      </w:r>
      <w:r>
        <w:rPr/>
        <w:t>handed</w:t>
      </w:r>
      <w:r>
        <w:rPr>
          <w:spacing w:val="-8"/>
        </w:rPr>
        <w:t> </w:t>
      </w:r>
      <w:r>
        <w:rPr/>
        <w:t>over</w:t>
      </w:r>
      <w:r>
        <w:rPr>
          <w:spacing w:val="-9"/>
        </w:rPr>
        <w:t> </w:t>
      </w:r>
      <w:r>
        <w:rPr/>
        <w:t>to</w:t>
      </w:r>
      <w:r>
        <w:rPr>
          <w:spacing w:val="-9"/>
        </w:rPr>
        <w:t> </w:t>
      </w:r>
      <w:r>
        <w:rPr/>
        <w:t>Planning</w:t>
      </w:r>
      <w:r>
        <w:rPr>
          <w:spacing w:val="-10"/>
        </w:rPr>
        <w:t> </w:t>
      </w:r>
      <w:r>
        <w:rPr>
          <w:spacing w:val="-2"/>
        </w:rPr>
        <w:t>Authority.</w:t>
      </w:r>
    </w:p>
    <w:p>
      <w:pPr>
        <w:pStyle w:val="BodyText"/>
        <w:spacing w:after="0" w:line="276" w:lineRule="auto"/>
        <w:sectPr>
          <w:pgSz w:w="11910" w:h="16840"/>
          <w:pgMar w:header="1065" w:footer="1194" w:top="1500" w:bottom="1380" w:left="360" w:right="360"/>
        </w:sectPr>
      </w:pPr>
    </w:p>
    <w:p>
      <w:pPr>
        <w:pStyle w:val="BodyText"/>
        <w:spacing w:line="276" w:lineRule="auto" w:before="247"/>
        <w:ind w:left="2050" w:right="781"/>
      </w:pPr>
      <w:r>
        <w:rPr/>
        <w:t>The developer shall have to pay as</w:t>
      </w:r>
      <w:r>
        <w:rPr>
          <w:spacing w:val="28"/>
        </w:rPr>
        <w:t> </w:t>
      </w:r>
      <w:r>
        <w:rPr/>
        <w:t>an</w:t>
      </w:r>
      <w:r>
        <w:rPr>
          <w:spacing w:val="32"/>
        </w:rPr>
        <w:t> </w:t>
      </w:r>
      <w:r>
        <w:rPr/>
        <w:t>unearned income equal</w:t>
      </w:r>
      <w:r>
        <w:rPr>
          <w:spacing w:val="28"/>
        </w:rPr>
        <w:t> </w:t>
      </w:r>
      <w:r>
        <w:rPr/>
        <w:t>to</w:t>
      </w:r>
      <w:r>
        <w:rPr>
          <w:spacing w:val="30"/>
        </w:rPr>
        <w:t> </w:t>
      </w:r>
      <w:r>
        <w:rPr/>
        <w:t>40% of</w:t>
      </w:r>
      <w:r>
        <w:rPr>
          <w:spacing w:val="40"/>
        </w:rPr>
        <w:t> </w:t>
      </w:r>
      <w:r>
        <w:rPr/>
        <w:t>difference</w:t>
      </w:r>
      <w:r>
        <w:rPr>
          <w:spacing w:val="40"/>
        </w:rPr>
        <w:t> </w:t>
      </w:r>
      <w:r>
        <w:rPr/>
        <w:t>of</w:t>
      </w:r>
      <w:r>
        <w:rPr>
          <w:spacing w:val="40"/>
        </w:rPr>
        <w:t> </w:t>
      </w:r>
      <w:r>
        <w:rPr/>
        <w:t>sale</w:t>
      </w:r>
      <w:r>
        <w:rPr>
          <w:spacing w:val="40"/>
        </w:rPr>
        <w:t> </w:t>
      </w:r>
      <w:r>
        <w:rPr/>
        <w:t>value</w:t>
      </w:r>
      <w:r>
        <w:rPr>
          <w:spacing w:val="40"/>
        </w:rPr>
        <w:t> </w:t>
      </w:r>
      <w:r>
        <w:rPr/>
        <w:t>of</w:t>
      </w:r>
      <w:r>
        <w:rPr>
          <w:spacing w:val="40"/>
        </w:rPr>
        <w:t> </w:t>
      </w:r>
      <w:r>
        <w:rPr/>
        <w:t>shifted</w:t>
      </w:r>
      <w:r>
        <w:rPr>
          <w:spacing w:val="40"/>
        </w:rPr>
        <w:t> </w:t>
      </w:r>
      <w:r>
        <w:rPr/>
        <w:t>built</w:t>
      </w:r>
      <w:r>
        <w:rPr>
          <w:spacing w:val="40"/>
        </w:rPr>
        <w:t> </w:t>
      </w:r>
      <w:r>
        <w:rPr/>
        <w:t>up</w:t>
      </w:r>
      <w:r>
        <w:rPr>
          <w:spacing w:val="40"/>
        </w:rPr>
        <w:t> </w:t>
      </w:r>
      <w:r>
        <w:rPr/>
        <w:t>area</w:t>
      </w:r>
      <w:r>
        <w:rPr>
          <w:spacing w:val="40"/>
        </w:rPr>
        <w:t> </w:t>
      </w:r>
      <w:r>
        <w:rPr/>
        <w:t>of</w:t>
      </w:r>
      <w:r>
        <w:rPr>
          <w:spacing w:val="40"/>
        </w:rPr>
        <w:t> </w:t>
      </w:r>
      <w:r>
        <w:rPr/>
        <w:t>Permanent Transit</w:t>
      </w:r>
      <w:r>
        <w:rPr>
          <w:spacing w:val="40"/>
        </w:rPr>
        <w:t> </w:t>
      </w:r>
      <w:r>
        <w:rPr/>
        <w:t>Camp</w:t>
      </w:r>
      <w:r>
        <w:rPr>
          <w:spacing w:val="40"/>
        </w:rPr>
        <w:t> </w:t>
      </w:r>
      <w:r>
        <w:rPr/>
        <w:t>component</w:t>
      </w:r>
      <w:r>
        <w:rPr>
          <w:spacing w:val="40"/>
        </w:rPr>
        <w:t> </w:t>
      </w:r>
      <w:r>
        <w:rPr/>
        <w:t>as</w:t>
      </w:r>
      <w:r>
        <w:rPr>
          <w:spacing w:val="40"/>
        </w:rPr>
        <w:t> </w:t>
      </w:r>
      <w:r>
        <w:rPr/>
        <w:t>per</w:t>
      </w:r>
      <w:r>
        <w:rPr>
          <w:spacing w:val="40"/>
        </w:rPr>
        <w:t> </w:t>
      </w:r>
      <w:r>
        <w:rPr/>
        <w:t>ASR</w:t>
      </w:r>
      <w:r>
        <w:rPr>
          <w:spacing w:val="40"/>
        </w:rPr>
        <w:t> </w:t>
      </w:r>
      <w:r>
        <w:rPr/>
        <w:t>.</w:t>
      </w:r>
    </w:p>
    <w:p>
      <w:pPr>
        <w:pStyle w:val="BodyText"/>
        <w:spacing w:line="278" w:lineRule="auto" w:before="201"/>
        <w:ind w:left="2050" w:right="769"/>
      </w:pPr>
      <w:r>
        <w:rPr/>
        <w:t>Such clubbing can be allowed for the schemes falling in same ward or adjoining ward or within the distance of 5 km.</w:t>
      </w:r>
    </w:p>
    <w:p>
      <w:pPr>
        <w:spacing w:line="276" w:lineRule="auto" w:before="196"/>
        <w:ind w:left="2050" w:right="771" w:firstLine="0"/>
        <w:jc w:val="both"/>
        <w:rPr>
          <w:sz w:val="24"/>
        </w:rPr>
      </w:pPr>
      <w:r>
        <w:rPr>
          <w:sz w:val="22"/>
        </w:rPr>
        <w:t>The</w:t>
      </w:r>
      <w:r>
        <w:rPr>
          <w:spacing w:val="-4"/>
          <w:sz w:val="22"/>
        </w:rPr>
        <w:t> </w:t>
      </w:r>
      <w:r>
        <w:rPr>
          <w:sz w:val="22"/>
        </w:rPr>
        <w:t>premium</w:t>
      </w:r>
      <w:r>
        <w:rPr>
          <w:spacing w:val="-7"/>
          <w:sz w:val="22"/>
        </w:rPr>
        <w:t> </w:t>
      </w:r>
      <w:r>
        <w:rPr>
          <w:sz w:val="22"/>
        </w:rPr>
        <w:t>shall</w:t>
      </w:r>
      <w:r>
        <w:rPr>
          <w:spacing w:val="-6"/>
          <w:sz w:val="22"/>
        </w:rPr>
        <w:t> </w:t>
      </w:r>
      <w:r>
        <w:rPr>
          <w:sz w:val="22"/>
        </w:rPr>
        <w:t>be</w:t>
      </w:r>
      <w:r>
        <w:rPr>
          <w:spacing w:val="-6"/>
          <w:sz w:val="22"/>
        </w:rPr>
        <w:t> </w:t>
      </w:r>
      <w:r>
        <w:rPr>
          <w:sz w:val="22"/>
        </w:rPr>
        <w:t>paid</w:t>
      </w:r>
      <w:r>
        <w:rPr>
          <w:spacing w:val="-6"/>
          <w:sz w:val="22"/>
        </w:rPr>
        <w:t> </w:t>
      </w:r>
      <w:r>
        <w:rPr>
          <w:sz w:val="22"/>
        </w:rPr>
        <w:t>to</w:t>
      </w:r>
      <w:r>
        <w:rPr>
          <w:spacing w:val="-6"/>
          <w:sz w:val="22"/>
        </w:rPr>
        <w:t> </w:t>
      </w:r>
      <w:r>
        <w:rPr>
          <w:sz w:val="22"/>
        </w:rPr>
        <w:t>the</w:t>
      </w:r>
      <w:r>
        <w:rPr>
          <w:spacing w:val="-1"/>
          <w:sz w:val="22"/>
        </w:rPr>
        <w:t> </w:t>
      </w:r>
      <w:r>
        <w:rPr>
          <w:sz w:val="22"/>
        </w:rPr>
        <w:t>Planning</w:t>
      </w:r>
      <w:r>
        <w:rPr>
          <w:spacing w:val="-6"/>
          <w:sz w:val="22"/>
        </w:rPr>
        <w:t> </w:t>
      </w:r>
      <w:r>
        <w:rPr>
          <w:sz w:val="22"/>
        </w:rPr>
        <w:t>Authority</w:t>
      </w:r>
      <w:r>
        <w:rPr>
          <w:spacing w:val="-6"/>
          <w:sz w:val="22"/>
        </w:rPr>
        <w:t> </w:t>
      </w:r>
      <w:r>
        <w:rPr>
          <w:sz w:val="22"/>
        </w:rPr>
        <w:t>in</w:t>
      </w:r>
      <w:r>
        <w:rPr>
          <w:spacing w:val="-6"/>
          <w:sz w:val="22"/>
        </w:rPr>
        <w:t> </w:t>
      </w:r>
      <w:r>
        <w:rPr>
          <w:sz w:val="22"/>
        </w:rPr>
        <w:t>two</w:t>
      </w:r>
      <w:r>
        <w:rPr>
          <w:spacing w:val="-6"/>
          <w:sz w:val="22"/>
        </w:rPr>
        <w:t> </w:t>
      </w:r>
      <w:r>
        <w:rPr>
          <w:sz w:val="22"/>
        </w:rPr>
        <w:t>stages</w:t>
      </w:r>
      <w:r>
        <w:rPr>
          <w:spacing w:val="-8"/>
          <w:sz w:val="22"/>
        </w:rPr>
        <w:t> </w:t>
      </w:r>
      <w:r>
        <w:rPr>
          <w:sz w:val="22"/>
        </w:rPr>
        <w:t>50%</w:t>
      </w:r>
      <w:r>
        <w:rPr>
          <w:spacing w:val="-6"/>
          <w:sz w:val="22"/>
        </w:rPr>
        <w:t> </w:t>
      </w:r>
      <w:r>
        <w:rPr>
          <w:sz w:val="22"/>
        </w:rPr>
        <w:t>at</w:t>
      </w:r>
      <w:r>
        <w:rPr>
          <w:spacing w:val="-6"/>
          <w:sz w:val="22"/>
        </w:rPr>
        <w:t> </w:t>
      </w:r>
      <w:r>
        <w:rPr>
          <w:sz w:val="22"/>
        </w:rPr>
        <w:t>the time IOA and 50% at the time of issuing C.C. for the incentive FSI. or the developer has to surrender equivalent sale FSI in form of constructed BUA to the extent of premium in the scheme to be valued at ASR rate of sale in the year of such surrender of built up area</w:t>
      </w:r>
      <w:r>
        <w:rPr>
          <w:sz w:val="24"/>
        </w:rPr>
        <w:t>.</w:t>
      </w:r>
    </w:p>
    <w:p>
      <w:pPr>
        <w:pStyle w:val="ListParagraph"/>
        <w:numPr>
          <w:ilvl w:val="0"/>
          <w:numId w:val="199"/>
        </w:numPr>
        <w:tabs>
          <w:tab w:pos="3059" w:val="left" w:leader="none"/>
        </w:tabs>
        <w:spacing w:line="276" w:lineRule="auto" w:before="198" w:after="0"/>
        <w:ind w:left="2050" w:right="768" w:firstLine="0"/>
        <w:jc w:val="both"/>
        <w:rPr>
          <w:sz w:val="24"/>
        </w:rPr>
      </w:pPr>
      <w:r>
        <w:rPr>
          <w:sz w:val="24"/>
        </w:rPr>
        <w:t>Notwithstanding anything contained in these regulations</w:t>
      </w:r>
      <w:r>
        <w:rPr>
          <w:spacing w:val="40"/>
          <w:sz w:val="24"/>
        </w:rPr>
        <w:t> </w:t>
      </w:r>
      <w:r>
        <w:rPr>
          <w:sz w:val="24"/>
        </w:rPr>
        <w:t>for Permanent Transit Camp (PTC) tenements car parking at the rate mentioned in Regulation 44 Table-21 shall be provided or</w:t>
      </w:r>
      <w:r>
        <w:rPr>
          <w:spacing w:val="40"/>
          <w:sz w:val="24"/>
        </w:rPr>
        <w:t> </w:t>
      </w:r>
      <w:r>
        <w:rPr>
          <w:sz w:val="24"/>
        </w:rPr>
        <w:t>one parking space per tenement for two-wheeler shall be provided. The above parking spaces may be provided in any combination.</w:t>
      </w:r>
    </w:p>
    <w:p>
      <w:pPr>
        <w:spacing w:before="204"/>
        <w:ind w:left="2062" w:right="766" w:firstLine="0"/>
        <w:jc w:val="both"/>
        <w:rPr>
          <w:sz w:val="22"/>
        </w:rPr>
      </w:pPr>
      <w:r>
        <w:rPr>
          <w:b/>
          <w:sz w:val="24"/>
        </w:rPr>
        <w:t>Note: </w:t>
      </w:r>
      <w:r>
        <w:rPr>
          <w:sz w:val="24"/>
        </w:rPr>
        <w:t>Out of thetotal premium amount</w:t>
      </w:r>
      <w:r>
        <w:rPr>
          <w:spacing w:val="40"/>
          <w:sz w:val="24"/>
        </w:rPr>
        <w:t> </w:t>
      </w:r>
      <w:r>
        <w:rPr>
          <w:sz w:val="24"/>
        </w:rPr>
        <w:t>collected</w:t>
      </w:r>
      <w:r>
        <w:rPr>
          <w:spacing w:val="40"/>
          <w:sz w:val="24"/>
        </w:rPr>
        <w:t> </w:t>
      </w:r>
      <w:r>
        <w:rPr>
          <w:sz w:val="24"/>
        </w:rPr>
        <w:t>under theseRegulation,2/3shall</w:t>
      </w:r>
      <w:r>
        <w:rPr>
          <w:spacing w:val="-13"/>
          <w:sz w:val="24"/>
        </w:rPr>
        <w:t> </w:t>
      </w:r>
      <w:r>
        <w:rPr>
          <w:sz w:val="24"/>
        </w:rPr>
        <w:t>be</w:t>
      </w:r>
      <w:r>
        <w:rPr>
          <w:spacing w:val="-13"/>
          <w:sz w:val="24"/>
        </w:rPr>
        <w:t> </w:t>
      </w:r>
      <w:r>
        <w:rPr>
          <w:sz w:val="24"/>
        </w:rPr>
        <w:t>kept</w:t>
      </w:r>
      <w:r>
        <w:rPr>
          <w:spacing w:val="-13"/>
          <w:sz w:val="24"/>
        </w:rPr>
        <w:t> </w:t>
      </w:r>
      <w:r>
        <w:rPr>
          <w:sz w:val="24"/>
        </w:rPr>
        <w:t>in</w:t>
      </w:r>
      <w:r>
        <w:rPr>
          <w:spacing w:val="-13"/>
          <w:sz w:val="24"/>
        </w:rPr>
        <w:t> </w:t>
      </w:r>
      <w:r>
        <w:rPr>
          <w:sz w:val="24"/>
        </w:rPr>
        <w:t>a</w:t>
      </w:r>
      <w:r>
        <w:rPr>
          <w:spacing w:val="-13"/>
          <w:sz w:val="24"/>
        </w:rPr>
        <w:t> </w:t>
      </w:r>
      <w:r>
        <w:rPr>
          <w:sz w:val="24"/>
        </w:rPr>
        <w:t>separate</w:t>
      </w:r>
      <w:r>
        <w:rPr>
          <w:spacing w:val="-13"/>
          <w:sz w:val="24"/>
        </w:rPr>
        <w:t> </w:t>
      </w:r>
      <w:r>
        <w:rPr>
          <w:sz w:val="24"/>
        </w:rPr>
        <w:t>account</w:t>
      </w:r>
      <w:r>
        <w:rPr>
          <w:spacing w:val="-13"/>
          <w:sz w:val="24"/>
        </w:rPr>
        <w:t> </w:t>
      </w:r>
      <w:r>
        <w:rPr>
          <w:sz w:val="24"/>
        </w:rPr>
        <w:t>to</w:t>
      </w:r>
      <w:r>
        <w:rPr>
          <w:spacing w:val="-13"/>
          <w:sz w:val="24"/>
        </w:rPr>
        <w:t> </w:t>
      </w:r>
      <w:r>
        <w:rPr>
          <w:sz w:val="24"/>
        </w:rPr>
        <w:t>be</w:t>
      </w:r>
      <w:r>
        <w:rPr>
          <w:spacing w:val="-13"/>
          <w:sz w:val="24"/>
        </w:rPr>
        <w:t> </w:t>
      </w:r>
      <w:r>
        <w:rPr>
          <w:sz w:val="24"/>
        </w:rPr>
        <w:t>utilized</w:t>
      </w:r>
      <w:r>
        <w:rPr>
          <w:spacing w:val="-13"/>
          <w:sz w:val="24"/>
        </w:rPr>
        <w:t> </w:t>
      </w:r>
      <w:r>
        <w:rPr>
          <w:sz w:val="24"/>
        </w:rPr>
        <w:t>as shelter</w:t>
      </w:r>
      <w:r>
        <w:rPr>
          <w:spacing w:val="-10"/>
          <w:sz w:val="24"/>
        </w:rPr>
        <w:t> </w:t>
      </w:r>
      <w:r>
        <w:rPr>
          <w:sz w:val="24"/>
        </w:rPr>
        <w:t>fund</w:t>
      </w:r>
      <w:r>
        <w:rPr>
          <w:spacing w:val="-10"/>
          <w:sz w:val="24"/>
        </w:rPr>
        <w:t> </w:t>
      </w:r>
      <w:r>
        <w:rPr>
          <w:sz w:val="24"/>
        </w:rPr>
        <w:t>for</w:t>
      </w:r>
      <w:r>
        <w:rPr>
          <w:spacing w:val="-10"/>
          <w:sz w:val="24"/>
        </w:rPr>
        <w:t> </w:t>
      </w:r>
      <w:r>
        <w:rPr>
          <w:sz w:val="24"/>
        </w:rPr>
        <w:t>the</w:t>
      </w:r>
      <w:r>
        <w:rPr>
          <w:spacing w:val="-6"/>
          <w:sz w:val="24"/>
        </w:rPr>
        <w:t> </w:t>
      </w:r>
      <w:r>
        <w:rPr>
          <w:sz w:val="24"/>
        </w:rPr>
        <w:t>State</w:t>
      </w:r>
      <w:r>
        <w:rPr>
          <w:spacing w:val="-10"/>
          <w:sz w:val="24"/>
        </w:rPr>
        <w:t> </w:t>
      </w:r>
      <w:r>
        <w:rPr>
          <w:sz w:val="24"/>
        </w:rPr>
        <w:t>of</w:t>
      </w:r>
      <w:r>
        <w:rPr>
          <w:spacing w:val="-10"/>
          <w:sz w:val="24"/>
        </w:rPr>
        <w:t> </w:t>
      </w:r>
      <w:r>
        <w:rPr>
          <w:sz w:val="24"/>
        </w:rPr>
        <w:t>Maharashtra</w:t>
      </w:r>
      <w:r>
        <w:rPr>
          <w:sz w:val="22"/>
        </w:rPr>
        <w:t>and</w:t>
      </w:r>
      <w:r>
        <w:rPr>
          <w:spacing w:val="-8"/>
          <w:sz w:val="22"/>
        </w:rPr>
        <w:t> </w:t>
      </w:r>
      <w:r>
        <w:rPr>
          <w:sz w:val="22"/>
        </w:rPr>
        <w:t>1/3</w:t>
      </w:r>
      <w:r>
        <w:rPr>
          <w:spacing w:val="-9"/>
          <w:sz w:val="22"/>
        </w:rPr>
        <w:t> </w:t>
      </w:r>
      <w:r>
        <w:rPr>
          <w:sz w:val="22"/>
        </w:rPr>
        <w:t>shall</w:t>
      </w:r>
      <w:r>
        <w:rPr>
          <w:spacing w:val="-7"/>
          <w:sz w:val="22"/>
        </w:rPr>
        <w:t> </w:t>
      </w:r>
      <w:r>
        <w:rPr>
          <w:sz w:val="22"/>
        </w:rPr>
        <w:t>be</w:t>
      </w:r>
      <w:r>
        <w:rPr>
          <w:spacing w:val="-6"/>
          <w:sz w:val="22"/>
        </w:rPr>
        <w:t> </w:t>
      </w:r>
      <w:r>
        <w:rPr>
          <w:sz w:val="22"/>
        </w:rPr>
        <w:t>deposited</w:t>
      </w:r>
      <w:r>
        <w:rPr>
          <w:spacing w:val="-8"/>
          <w:sz w:val="22"/>
        </w:rPr>
        <w:t> </w:t>
      </w:r>
      <w:r>
        <w:rPr>
          <w:sz w:val="22"/>
        </w:rPr>
        <w:t>at</w:t>
      </w:r>
      <w:r>
        <w:rPr>
          <w:spacing w:val="-10"/>
          <w:sz w:val="22"/>
        </w:rPr>
        <w:t> </w:t>
      </w:r>
      <w:r>
        <w:rPr>
          <w:sz w:val="22"/>
        </w:rPr>
        <w:t>the Office of the Deputy Director of Town Planning, Greater Mumbai.</w:t>
      </w:r>
    </w:p>
    <w:p>
      <w:pPr>
        <w:pStyle w:val="Heading6"/>
        <w:spacing w:before="236"/>
        <w:ind w:right="768"/>
        <w:jc w:val="both"/>
        <w:rPr>
          <w:i w:val="0"/>
        </w:rPr>
      </w:pPr>
      <w:r>
        <w:rPr>
          <w:i w:val="0"/>
        </w:rPr>
        <w:t>33(12).</w:t>
      </w:r>
      <w:r>
        <w:rPr/>
        <w:t>Redevelopment of contravening structures included in the Final Plot of a Town Planning (TP) Scheme and Removal and re- accommodation</w:t>
      </w:r>
      <w:r>
        <w:rPr>
          <w:spacing w:val="-18"/>
        </w:rPr>
        <w:t> </w:t>
      </w:r>
      <w:r>
        <w:rPr/>
        <w:t>of</w:t>
      </w:r>
      <w:r>
        <w:rPr>
          <w:spacing w:val="-15"/>
        </w:rPr>
        <w:t> </w:t>
      </w:r>
      <w:r>
        <w:rPr/>
        <w:t>tolerated</w:t>
      </w:r>
      <w:r>
        <w:rPr>
          <w:spacing w:val="-15"/>
        </w:rPr>
        <w:t> </w:t>
      </w:r>
      <w:r>
        <w:rPr/>
        <w:t>structures</w:t>
      </w:r>
      <w:r>
        <w:rPr>
          <w:spacing w:val="-15"/>
        </w:rPr>
        <w:t> </w:t>
      </w:r>
      <w:r>
        <w:rPr/>
        <w:t>falling</w:t>
      </w:r>
      <w:r>
        <w:rPr>
          <w:spacing w:val="-16"/>
        </w:rPr>
        <w:t> </w:t>
      </w:r>
      <w:r>
        <w:rPr/>
        <w:t>in</w:t>
      </w:r>
      <w:r>
        <w:rPr>
          <w:spacing w:val="-15"/>
        </w:rPr>
        <w:t> </w:t>
      </w:r>
      <w:r>
        <w:rPr/>
        <w:t>the</w:t>
      </w:r>
      <w:r>
        <w:rPr>
          <w:spacing w:val="-15"/>
        </w:rPr>
        <w:t> </w:t>
      </w:r>
      <w:r>
        <w:rPr/>
        <w:t>alignment</w:t>
      </w:r>
      <w:r>
        <w:rPr>
          <w:spacing w:val="-15"/>
        </w:rPr>
        <w:t> </w:t>
      </w:r>
      <w:r>
        <w:rPr/>
        <w:t>of</w:t>
      </w:r>
      <w:r>
        <w:rPr>
          <w:spacing w:val="-15"/>
        </w:rPr>
        <w:t> </w:t>
      </w:r>
      <w:r>
        <w:rPr>
          <w:spacing w:val="-2"/>
        </w:rPr>
        <w:t>road</w:t>
      </w:r>
      <w:r>
        <w:rPr>
          <w:i w:val="0"/>
          <w:spacing w:val="-2"/>
        </w:rPr>
        <w:t>:</w:t>
      </w:r>
    </w:p>
    <w:p>
      <w:pPr>
        <w:pStyle w:val="ListParagraph"/>
        <w:numPr>
          <w:ilvl w:val="0"/>
          <w:numId w:val="200"/>
        </w:numPr>
        <w:tabs>
          <w:tab w:pos="2421" w:val="left" w:leader="none"/>
        </w:tabs>
        <w:spacing w:line="240" w:lineRule="auto" w:before="242" w:after="0"/>
        <w:ind w:left="2062" w:right="771" w:firstLine="0"/>
        <w:jc w:val="both"/>
        <w:rPr>
          <w:b/>
          <w:i/>
          <w:sz w:val="24"/>
        </w:rPr>
      </w:pPr>
      <w:r>
        <w:rPr>
          <w:b/>
          <w:i/>
          <w:sz w:val="24"/>
        </w:rPr>
        <w:t>Redevelopment</w:t>
      </w:r>
      <w:r>
        <w:rPr>
          <w:b/>
          <w:i/>
          <w:spacing w:val="-21"/>
          <w:sz w:val="24"/>
        </w:rPr>
        <w:t> </w:t>
      </w:r>
      <w:r>
        <w:rPr>
          <w:b/>
          <w:i/>
          <w:sz w:val="24"/>
        </w:rPr>
        <w:t>of</w:t>
      </w:r>
      <w:r>
        <w:rPr>
          <w:b/>
          <w:i/>
          <w:spacing w:val="-20"/>
          <w:sz w:val="24"/>
        </w:rPr>
        <w:t> </w:t>
      </w:r>
      <w:r>
        <w:rPr>
          <w:b/>
          <w:i/>
          <w:sz w:val="24"/>
        </w:rPr>
        <w:t>contravening</w:t>
      </w:r>
      <w:r>
        <w:rPr>
          <w:b/>
          <w:i/>
          <w:spacing w:val="-21"/>
          <w:sz w:val="24"/>
        </w:rPr>
        <w:t> </w:t>
      </w:r>
      <w:r>
        <w:rPr>
          <w:b/>
          <w:i/>
          <w:sz w:val="24"/>
        </w:rPr>
        <w:t>structures</w:t>
      </w:r>
      <w:r>
        <w:rPr>
          <w:b/>
          <w:i/>
          <w:spacing w:val="-20"/>
          <w:sz w:val="24"/>
        </w:rPr>
        <w:t> </w:t>
      </w:r>
      <w:r>
        <w:rPr>
          <w:b/>
          <w:i/>
          <w:sz w:val="24"/>
        </w:rPr>
        <w:t>included</w:t>
      </w:r>
      <w:r>
        <w:rPr>
          <w:b/>
          <w:i/>
          <w:spacing w:val="-20"/>
          <w:sz w:val="24"/>
        </w:rPr>
        <w:t> </w:t>
      </w:r>
      <w:r>
        <w:rPr>
          <w:b/>
          <w:i/>
          <w:sz w:val="24"/>
        </w:rPr>
        <w:t>in</w:t>
      </w:r>
      <w:r>
        <w:rPr>
          <w:b/>
          <w:i/>
          <w:spacing w:val="-21"/>
          <w:sz w:val="24"/>
        </w:rPr>
        <w:t> </w:t>
      </w:r>
      <w:r>
        <w:rPr>
          <w:b/>
          <w:i/>
          <w:sz w:val="24"/>
        </w:rPr>
        <w:t>the</w:t>
      </w:r>
      <w:r>
        <w:rPr>
          <w:b/>
          <w:i/>
          <w:spacing w:val="-20"/>
          <w:sz w:val="24"/>
        </w:rPr>
        <w:t> </w:t>
      </w:r>
      <w:r>
        <w:rPr>
          <w:b/>
          <w:i/>
          <w:sz w:val="24"/>
        </w:rPr>
        <w:t>Final Plot of a TP Scheme</w:t>
      </w:r>
      <w:r>
        <w:rPr>
          <w:b/>
          <w:sz w:val="24"/>
        </w:rPr>
        <w:t>.</w:t>
      </w:r>
    </w:p>
    <w:p>
      <w:pPr>
        <w:pStyle w:val="BodyText"/>
        <w:spacing w:before="241"/>
        <w:ind w:left="2062" w:right="766"/>
      </w:pPr>
      <w:r>
        <w:rPr/>
        <w:t>For the redevelopment/reconstruction of contravening structures situated in TP Schemes, additional FSI over and above permissible FSI prescribed under these Regulations shall be admissible as under:</w:t>
      </w:r>
    </w:p>
    <w:p>
      <w:pPr>
        <w:pStyle w:val="BodyText"/>
        <w:spacing w:before="239"/>
        <w:ind w:left="2062" w:right="767"/>
      </w:pPr>
      <w:r>
        <w:rPr/>
        <w:t>a. In the redevelopment scheme the number of tenants as recorded in the TP Scheme Book and residing in the contravening structures shall be accommodated by giving alternative accommodation in the redevelopment schemes </w:t>
      </w:r>
      <w:r>
        <w:rPr>
          <w:color w:val="000000"/>
          <w:shd w:fill="FFCCFF" w:color="auto" w:val="clear"/>
        </w:rPr>
        <w:t>in the same scheme or in the same</w:t>
      </w:r>
      <w:r>
        <w:rPr>
          <w:color w:val="000000"/>
        </w:rPr>
        <w:t> </w:t>
      </w:r>
      <w:r>
        <w:rPr>
          <w:color w:val="000000"/>
          <w:shd w:fill="FFCCFF" w:color="auto" w:val="clear"/>
        </w:rPr>
        <w:t>administrative</w:t>
      </w:r>
      <w:r>
        <w:rPr>
          <w:color w:val="000000"/>
          <w:spacing w:val="-11"/>
          <w:shd w:fill="FFCCFF" w:color="auto" w:val="clear"/>
        </w:rPr>
        <w:t> </w:t>
      </w:r>
      <w:r>
        <w:rPr>
          <w:color w:val="000000"/>
          <w:shd w:fill="FFCCFF" w:color="auto" w:val="clear"/>
        </w:rPr>
        <w:t>ward</w:t>
      </w:r>
      <w:r>
        <w:rPr>
          <w:color w:val="000000"/>
          <w:spacing w:val="-8"/>
          <w:shd w:fill="FFCCFF" w:color="auto" w:val="clear"/>
        </w:rPr>
        <w:t> </w:t>
      </w:r>
      <w:r>
        <w:rPr>
          <w:color w:val="000000"/>
        </w:rPr>
        <w:t>having</w:t>
      </w:r>
      <w:r>
        <w:rPr>
          <w:color w:val="000000"/>
          <w:spacing w:val="-11"/>
        </w:rPr>
        <w:t> </w:t>
      </w:r>
      <w:r>
        <w:rPr>
          <w:color w:val="000000"/>
        </w:rPr>
        <w:t>carpet</w:t>
      </w:r>
      <w:r>
        <w:rPr>
          <w:color w:val="000000"/>
          <w:spacing w:val="-11"/>
        </w:rPr>
        <w:t> </w:t>
      </w:r>
      <w:r>
        <w:rPr>
          <w:color w:val="000000"/>
        </w:rPr>
        <w:t>area</w:t>
      </w:r>
      <w:r>
        <w:rPr>
          <w:color w:val="000000"/>
          <w:spacing w:val="-11"/>
        </w:rPr>
        <w:t> </w:t>
      </w:r>
      <w:r>
        <w:rPr>
          <w:color w:val="000000"/>
        </w:rPr>
        <w:t>of</w:t>
      </w:r>
      <w:r>
        <w:rPr>
          <w:color w:val="000000"/>
          <w:spacing w:val="40"/>
        </w:rPr>
        <w:t> </w:t>
      </w:r>
      <w:r>
        <w:rPr>
          <w:color w:val="000000"/>
        </w:rPr>
        <w:t>27.88</w:t>
      </w:r>
      <w:r>
        <w:rPr>
          <w:color w:val="000000"/>
          <w:spacing w:val="-11"/>
        </w:rPr>
        <w:t> </w:t>
      </w:r>
      <w:r>
        <w:rPr>
          <w:color w:val="000000"/>
        </w:rPr>
        <w:t>sq.</w:t>
      </w:r>
      <w:r>
        <w:rPr>
          <w:color w:val="000000"/>
          <w:spacing w:val="-11"/>
        </w:rPr>
        <w:t> </w:t>
      </w:r>
      <w:r>
        <w:rPr>
          <w:color w:val="000000"/>
        </w:rPr>
        <w:t>m(300Sq.</w:t>
      </w:r>
      <w:r>
        <w:rPr>
          <w:color w:val="000000"/>
          <w:spacing w:val="-8"/>
        </w:rPr>
        <w:t> </w:t>
      </w:r>
      <w:r>
        <w:rPr>
          <w:color w:val="000000"/>
        </w:rPr>
        <w:t>ft.)</w:t>
      </w:r>
      <w:r>
        <w:rPr>
          <w:color w:val="000000"/>
          <w:spacing w:val="-11"/>
        </w:rPr>
        <w:t> </w:t>
      </w:r>
      <w:r>
        <w:rPr>
          <w:color w:val="000000"/>
        </w:rPr>
        <w:t>each, irrespective of their original holding provided the overall FSI consumption of the Final Plot shall not exceed 4.0.b. The Commercial users may be permitted in the redevelopment scheme to accommodate the existing commercial tenants, provided the commercial area in the redevelopment scheme shall not exceed the original commercial area.</w:t>
      </w:r>
    </w:p>
    <w:p>
      <w:pPr>
        <w:pStyle w:val="BodyText"/>
        <w:spacing w:after="0"/>
        <w:sectPr>
          <w:pgSz w:w="11910" w:h="16840"/>
          <w:pgMar w:header="1065" w:footer="1194" w:top="1500" w:bottom="1380" w:left="360" w:right="360"/>
        </w:sectPr>
      </w:pPr>
    </w:p>
    <w:p>
      <w:pPr>
        <w:pStyle w:val="ListParagraph"/>
        <w:numPr>
          <w:ilvl w:val="0"/>
          <w:numId w:val="201"/>
        </w:numPr>
        <w:tabs>
          <w:tab w:pos="2352" w:val="left" w:leader="none"/>
        </w:tabs>
        <w:spacing w:line="240" w:lineRule="auto" w:before="249" w:after="0"/>
        <w:ind w:left="2062" w:right="768" w:firstLine="0"/>
        <w:jc w:val="both"/>
        <w:rPr>
          <w:sz w:val="24"/>
        </w:rPr>
      </w:pPr>
      <w:r>
        <w:rPr>
          <w:sz w:val="24"/>
        </w:rPr>
        <w:t>The tenants not listed in the records of TP Scheme</w:t>
      </w:r>
      <w:r>
        <w:rPr>
          <w:spacing w:val="80"/>
          <w:sz w:val="24"/>
        </w:rPr>
        <w:t> </w:t>
      </w:r>
      <w:r>
        <w:rPr>
          <w:sz w:val="24"/>
        </w:rPr>
        <w:t>but residing in contravening</w:t>
      </w:r>
      <w:r>
        <w:rPr>
          <w:spacing w:val="-11"/>
          <w:sz w:val="24"/>
        </w:rPr>
        <w:t> </w:t>
      </w:r>
      <w:r>
        <w:rPr>
          <w:sz w:val="24"/>
        </w:rPr>
        <w:t>structure</w:t>
      </w:r>
      <w:r>
        <w:rPr>
          <w:spacing w:val="-11"/>
          <w:sz w:val="24"/>
        </w:rPr>
        <w:t> </w:t>
      </w:r>
      <w:r>
        <w:rPr>
          <w:sz w:val="24"/>
        </w:rPr>
        <w:t>or</w:t>
      </w:r>
      <w:r>
        <w:rPr>
          <w:spacing w:val="-11"/>
          <w:sz w:val="24"/>
        </w:rPr>
        <w:t> </w:t>
      </w:r>
      <w:r>
        <w:rPr>
          <w:sz w:val="24"/>
        </w:rPr>
        <w:t>such</w:t>
      </w:r>
      <w:r>
        <w:rPr>
          <w:spacing w:val="-11"/>
          <w:sz w:val="24"/>
        </w:rPr>
        <w:t> </w:t>
      </w:r>
      <w:r>
        <w:rPr>
          <w:sz w:val="24"/>
        </w:rPr>
        <w:t>structures</w:t>
      </w:r>
      <w:r>
        <w:rPr>
          <w:spacing w:val="-11"/>
          <w:sz w:val="24"/>
        </w:rPr>
        <w:t> </w:t>
      </w:r>
      <w:r>
        <w:rPr>
          <w:sz w:val="24"/>
        </w:rPr>
        <w:t>which</w:t>
      </w:r>
      <w:r>
        <w:rPr>
          <w:spacing w:val="-9"/>
          <w:sz w:val="24"/>
        </w:rPr>
        <w:t> </w:t>
      </w:r>
      <w:r>
        <w:rPr>
          <w:sz w:val="24"/>
        </w:rPr>
        <w:t>have</w:t>
      </w:r>
      <w:r>
        <w:rPr>
          <w:spacing w:val="-11"/>
          <w:sz w:val="24"/>
        </w:rPr>
        <w:t> </w:t>
      </w:r>
      <w:r>
        <w:rPr>
          <w:sz w:val="24"/>
        </w:rPr>
        <w:t>come</w:t>
      </w:r>
      <w:r>
        <w:rPr>
          <w:spacing w:val="-11"/>
          <w:sz w:val="24"/>
        </w:rPr>
        <w:t> </w:t>
      </w:r>
      <w:r>
        <w:rPr>
          <w:sz w:val="24"/>
        </w:rPr>
        <w:t>up</w:t>
      </w:r>
      <w:r>
        <w:rPr>
          <w:spacing w:val="-11"/>
          <w:sz w:val="24"/>
        </w:rPr>
        <w:t> </w:t>
      </w:r>
      <w:r>
        <w:rPr>
          <w:sz w:val="24"/>
        </w:rPr>
        <w:t>after</w:t>
      </w:r>
      <w:r>
        <w:rPr>
          <w:spacing w:val="-11"/>
          <w:sz w:val="24"/>
        </w:rPr>
        <w:t> </w:t>
      </w:r>
      <w:r>
        <w:rPr>
          <w:sz w:val="24"/>
        </w:rPr>
        <w:t>TP Scheme</w:t>
      </w:r>
      <w:r>
        <w:rPr>
          <w:spacing w:val="-17"/>
          <w:sz w:val="24"/>
        </w:rPr>
        <w:t> </w:t>
      </w:r>
      <w:r>
        <w:rPr>
          <w:sz w:val="24"/>
        </w:rPr>
        <w:t>is</w:t>
      </w:r>
      <w:r>
        <w:rPr>
          <w:spacing w:val="-17"/>
          <w:sz w:val="24"/>
        </w:rPr>
        <w:t> </w:t>
      </w:r>
      <w:r>
        <w:rPr>
          <w:sz w:val="24"/>
        </w:rPr>
        <w:t>finalized,</w:t>
      </w:r>
      <w:r>
        <w:rPr>
          <w:spacing w:val="-14"/>
          <w:sz w:val="24"/>
        </w:rPr>
        <w:t> </w:t>
      </w:r>
      <w:r>
        <w:rPr>
          <w:sz w:val="24"/>
        </w:rPr>
        <w:t>but</w:t>
      </w:r>
      <w:r>
        <w:rPr>
          <w:spacing w:val="-17"/>
          <w:sz w:val="24"/>
        </w:rPr>
        <w:t> </w:t>
      </w:r>
      <w:r>
        <w:rPr>
          <w:sz w:val="24"/>
        </w:rPr>
        <w:t>are</w:t>
      </w:r>
      <w:r>
        <w:rPr>
          <w:spacing w:val="-17"/>
          <w:sz w:val="24"/>
        </w:rPr>
        <w:t> </w:t>
      </w:r>
      <w:r>
        <w:rPr>
          <w:sz w:val="24"/>
        </w:rPr>
        <w:t>existing</w:t>
      </w:r>
      <w:r>
        <w:rPr>
          <w:spacing w:val="-16"/>
          <w:sz w:val="24"/>
        </w:rPr>
        <w:t> </w:t>
      </w:r>
      <w:r>
        <w:rPr>
          <w:sz w:val="24"/>
        </w:rPr>
        <w:t>on</w:t>
      </w:r>
      <w:r>
        <w:rPr>
          <w:spacing w:val="-17"/>
          <w:sz w:val="24"/>
        </w:rPr>
        <w:t> </w:t>
      </w:r>
      <w:r>
        <w:rPr>
          <w:sz w:val="24"/>
        </w:rPr>
        <w:t>date</w:t>
      </w:r>
      <w:r>
        <w:rPr>
          <w:spacing w:val="-17"/>
          <w:sz w:val="24"/>
        </w:rPr>
        <w:t> </w:t>
      </w:r>
      <w:r>
        <w:rPr>
          <w:sz w:val="24"/>
        </w:rPr>
        <w:t>as</w:t>
      </w:r>
      <w:r>
        <w:rPr>
          <w:spacing w:val="-17"/>
          <w:sz w:val="24"/>
        </w:rPr>
        <w:t> </w:t>
      </w:r>
      <w:r>
        <w:rPr>
          <w:sz w:val="24"/>
        </w:rPr>
        <w:t>notified</w:t>
      </w:r>
      <w:r>
        <w:rPr>
          <w:spacing w:val="-17"/>
          <w:sz w:val="24"/>
        </w:rPr>
        <w:t> </w:t>
      </w:r>
      <w:r>
        <w:rPr>
          <w:sz w:val="24"/>
        </w:rPr>
        <w:t>by</w:t>
      </w:r>
      <w:r>
        <w:rPr>
          <w:spacing w:val="-17"/>
          <w:sz w:val="24"/>
        </w:rPr>
        <w:t> </w:t>
      </w:r>
      <w:r>
        <w:rPr>
          <w:sz w:val="24"/>
        </w:rPr>
        <w:t>the</w:t>
      </w:r>
      <w:r>
        <w:rPr>
          <w:spacing w:val="-15"/>
          <w:sz w:val="24"/>
        </w:rPr>
        <w:t> </w:t>
      </w:r>
      <w:r>
        <w:rPr>
          <w:sz w:val="24"/>
        </w:rPr>
        <w:t>GoM</w:t>
      </w:r>
      <w:r>
        <w:rPr>
          <w:spacing w:val="-17"/>
          <w:sz w:val="24"/>
        </w:rPr>
        <w:t> </w:t>
      </w:r>
      <w:r>
        <w:rPr>
          <w:sz w:val="24"/>
        </w:rPr>
        <w:t>from time</w:t>
      </w:r>
      <w:r>
        <w:rPr>
          <w:spacing w:val="-9"/>
          <w:sz w:val="24"/>
        </w:rPr>
        <w:t> </w:t>
      </w:r>
      <w:r>
        <w:rPr>
          <w:sz w:val="24"/>
        </w:rPr>
        <w:t>to</w:t>
      </w:r>
      <w:r>
        <w:rPr>
          <w:spacing w:val="-9"/>
          <w:sz w:val="24"/>
        </w:rPr>
        <w:t> </w:t>
      </w:r>
      <w:r>
        <w:rPr>
          <w:sz w:val="24"/>
        </w:rPr>
        <w:t>time</w:t>
      </w:r>
      <w:r>
        <w:rPr>
          <w:spacing w:val="-8"/>
          <w:sz w:val="24"/>
        </w:rPr>
        <w:t> </w:t>
      </w:r>
      <w:r>
        <w:rPr>
          <w:sz w:val="24"/>
        </w:rPr>
        <w:t>and</w:t>
      </w:r>
      <w:r>
        <w:rPr>
          <w:spacing w:val="-12"/>
          <w:sz w:val="24"/>
        </w:rPr>
        <w:t> </w:t>
      </w:r>
      <w:r>
        <w:rPr>
          <w:sz w:val="24"/>
        </w:rPr>
        <w:t>where</w:t>
      </w:r>
      <w:r>
        <w:rPr>
          <w:spacing w:val="-9"/>
          <w:sz w:val="24"/>
        </w:rPr>
        <w:t> </w:t>
      </w:r>
      <w:r>
        <w:rPr>
          <w:sz w:val="24"/>
        </w:rPr>
        <w:t>structures</w:t>
      </w:r>
      <w:r>
        <w:rPr>
          <w:spacing w:val="-9"/>
          <w:sz w:val="24"/>
        </w:rPr>
        <w:t> </w:t>
      </w:r>
      <w:r>
        <w:rPr>
          <w:sz w:val="24"/>
        </w:rPr>
        <w:t>and</w:t>
      </w:r>
      <w:r>
        <w:rPr>
          <w:spacing w:val="-9"/>
          <w:sz w:val="24"/>
        </w:rPr>
        <w:t> </w:t>
      </w:r>
      <w:r>
        <w:rPr>
          <w:sz w:val="24"/>
        </w:rPr>
        <w:t>inhabitants</w:t>
      </w:r>
      <w:r>
        <w:rPr>
          <w:spacing w:val="-9"/>
          <w:sz w:val="24"/>
        </w:rPr>
        <w:t> </w:t>
      </w:r>
      <w:r>
        <w:rPr>
          <w:sz w:val="24"/>
        </w:rPr>
        <w:t>names</w:t>
      </w:r>
      <w:r>
        <w:rPr>
          <w:spacing w:val="-9"/>
          <w:sz w:val="24"/>
        </w:rPr>
        <w:t> </w:t>
      </w:r>
      <w:r>
        <w:rPr>
          <w:sz w:val="24"/>
        </w:rPr>
        <w:t>are</w:t>
      </w:r>
      <w:r>
        <w:rPr>
          <w:spacing w:val="-12"/>
          <w:sz w:val="24"/>
        </w:rPr>
        <w:t> </w:t>
      </w:r>
      <w:r>
        <w:rPr>
          <w:sz w:val="24"/>
        </w:rPr>
        <w:t>appeared in the Legislative Assembly Voter’s List of year as notified by the GoM from time to time shall also be eligible for being included in the Redevelopment Scheme. Such tenants shall also be granted accommodation at the rate of 27.88 sq sq. m. in case of residential/residential cum commercial occupants and in case of commercial occupants, existing area or 20.90 sq. m, whichever is less provided the total FSI of the</w:t>
      </w:r>
      <w:r>
        <w:rPr>
          <w:spacing w:val="40"/>
          <w:sz w:val="24"/>
        </w:rPr>
        <w:t> </w:t>
      </w:r>
      <w:r>
        <w:rPr>
          <w:sz w:val="24"/>
        </w:rPr>
        <w:t>plot does not exceed 4.0.</w:t>
      </w:r>
    </w:p>
    <w:p>
      <w:pPr>
        <w:pStyle w:val="ListParagraph"/>
        <w:numPr>
          <w:ilvl w:val="0"/>
          <w:numId w:val="201"/>
        </w:numPr>
        <w:tabs>
          <w:tab w:pos="2421" w:val="left" w:leader="none"/>
        </w:tabs>
        <w:spacing w:line="240" w:lineRule="auto" w:before="242" w:after="0"/>
        <w:ind w:left="2062" w:right="767" w:firstLine="0"/>
        <w:jc w:val="both"/>
        <w:rPr>
          <w:sz w:val="24"/>
        </w:rPr>
      </w:pPr>
      <w:r>
        <w:rPr>
          <w:sz w:val="24"/>
        </w:rPr>
        <w:t>BUA equivalent to the area held by the tenant or</w:t>
      </w:r>
      <w:r>
        <w:rPr>
          <w:spacing w:val="40"/>
          <w:sz w:val="24"/>
        </w:rPr>
        <w:t> </w:t>
      </w:r>
      <w:r>
        <w:rPr>
          <w:sz w:val="24"/>
        </w:rPr>
        <w:t>27.88 sq. m whichever is less shall be handed over free of cost to the respective tenant</w:t>
      </w:r>
      <w:r>
        <w:rPr>
          <w:spacing w:val="-4"/>
          <w:sz w:val="24"/>
        </w:rPr>
        <w:t> </w:t>
      </w:r>
      <w:r>
        <w:rPr>
          <w:sz w:val="24"/>
        </w:rPr>
        <w:t>by</w:t>
      </w:r>
      <w:r>
        <w:rPr>
          <w:spacing w:val="-4"/>
          <w:sz w:val="24"/>
        </w:rPr>
        <w:t> </w:t>
      </w:r>
      <w:r>
        <w:rPr>
          <w:sz w:val="24"/>
        </w:rPr>
        <w:t>the</w:t>
      </w:r>
      <w:r>
        <w:rPr>
          <w:spacing w:val="-4"/>
          <w:sz w:val="24"/>
        </w:rPr>
        <w:t> </w:t>
      </w:r>
      <w:r>
        <w:rPr>
          <w:sz w:val="24"/>
        </w:rPr>
        <w:t>Developer/Owner,</w:t>
      </w:r>
      <w:r>
        <w:rPr>
          <w:spacing w:val="-4"/>
          <w:sz w:val="24"/>
        </w:rPr>
        <w:t> </w:t>
      </w:r>
      <w:r>
        <w:rPr>
          <w:sz w:val="24"/>
        </w:rPr>
        <w:t>while</w:t>
      </w:r>
      <w:r>
        <w:rPr>
          <w:spacing w:val="-4"/>
          <w:sz w:val="24"/>
        </w:rPr>
        <w:t> </w:t>
      </w:r>
      <w:r>
        <w:rPr>
          <w:sz w:val="24"/>
        </w:rPr>
        <w:t>for</w:t>
      </w:r>
      <w:r>
        <w:rPr>
          <w:spacing w:val="-4"/>
          <w:sz w:val="24"/>
        </w:rPr>
        <w:t> </w:t>
      </w:r>
      <w:r>
        <w:rPr>
          <w:sz w:val="24"/>
        </w:rPr>
        <w:t>the</w:t>
      </w:r>
      <w:r>
        <w:rPr>
          <w:spacing w:val="-4"/>
          <w:sz w:val="24"/>
        </w:rPr>
        <w:t> </w:t>
      </w:r>
      <w:r>
        <w:rPr>
          <w:sz w:val="24"/>
        </w:rPr>
        <w:t>balance</w:t>
      </w:r>
      <w:r>
        <w:rPr>
          <w:spacing w:val="-4"/>
          <w:sz w:val="24"/>
        </w:rPr>
        <w:t> </w:t>
      </w:r>
      <w:r>
        <w:rPr>
          <w:sz w:val="24"/>
        </w:rPr>
        <w:t>BUA,</w:t>
      </w:r>
      <w:r>
        <w:rPr>
          <w:spacing w:val="-4"/>
          <w:sz w:val="24"/>
        </w:rPr>
        <w:t> </w:t>
      </w:r>
      <w:r>
        <w:rPr>
          <w:sz w:val="24"/>
        </w:rPr>
        <w:t>an</w:t>
      </w:r>
      <w:r>
        <w:rPr>
          <w:spacing w:val="-4"/>
          <w:sz w:val="24"/>
        </w:rPr>
        <w:t> </w:t>
      </w:r>
      <w:r>
        <w:rPr>
          <w:sz w:val="24"/>
        </w:rPr>
        <w:t>amount as may be mutually agreed to between tenant and Owner/Developer shall be paid by the tenant. Condition to this effect shall be prescribed by the MCGM while approving redevelopment proposal.</w:t>
      </w:r>
    </w:p>
    <w:p>
      <w:pPr>
        <w:pStyle w:val="ListParagraph"/>
        <w:numPr>
          <w:ilvl w:val="0"/>
          <w:numId w:val="201"/>
        </w:numPr>
        <w:tabs>
          <w:tab w:pos="2340" w:val="left" w:leader="none"/>
        </w:tabs>
        <w:spacing w:line="240" w:lineRule="auto" w:before="240" w:after="0"/>
        <w:ind w:left="2062" w:right="769" w:firstLine="0"/>
        <w:jc w:val="both"/>
        <w:rPr>
          <w:sz w:val="24"/>
        </w:rPr>
      </w:pPr>
      <w:r>
        <w:rPr>
          <w:sz w:val="24"/>
        </w:rPr>
        <w:t>For</w:t>
      </w:r>
      <w:r>
        <w:rPr>
          <w:spacing w:val="-4"/>
          <w:sz w:val="24"/>
        </w:rPr>
        <w:t> </w:t>
      </w:r>
      <w:r>
        <w:rPr>
          <w:sz w:val="24"/>
        </w:rPr>
        <w:t>the</w:t>
      </w:r>
      <w:r>
        <w:rPr>
          <w:spacing w:val="-4"/>
          <w:sz w:val="24"/>
        </w:rPr>
        <w:t> </w:t>
      </w:r>
      <w:r>
        <w:rPr>
          <w:sz w:val="24"/>
        </w:rPr>
        <w:t>purpose</w:t>
      </w:r>
      <w:r>
        <w:rPr>
          <w:spacing w:val="-4"/>
          <w:sz w:val="24"/>
        </w:rPr>
        <w:t> </w:t>
      </w:r>
      <w:r>
        <w:rPr>
          <w:sz w:val="24"/>
        </w:rPr>
        <w:t>of</w:t>
      </w:r>
      <w:r>
        <w:rPr>
          <w:spacing w:val="-4"/>
          <w:sz w:val="24"/>
        </w:rPr>
        <w:t> </w:t>
      </w:r>
      <w:r>
        <w:rPr>
          <w:sz w:val="24"/>
        </w:rPr>
        <w:t>this</w:t>
      </w:r>
      <w:r>
        <w:rPr>
          <w:spacing w:val="-4"/>
          <w:sz w:val="24"/>
        </w:rPr>
        <w:t> </w:t>
      </w:r>
      <w:r>
        <w:rPr>
          <w:sz w:val="24"/>
        </w:rPr>
        <w:t>redevelopment</w:t>
      </w:r>
      <w:r>
        <w:rPr>
          <w:spacing w:val="-4"/>
          <w:sz w:val="24"/>
        </w:rPr>
        <w:t> </w:t>
      </w:r>
      <w:r>
        <w:rPr>
          <w:sz w:val="24"/>
        </w:rPr>
        <w:t>scheme,</w:t>
      </w:r>
      <w:r>
        <w:rPr>
          <w:spacing w:val="-4"/>
          <w:sz w:val="24"/>
        </w:rPr>
        <w:t> </w:t>
      </w:r>
      <w:r>
        <w:rPr>
          <w:sz w:val="24"/>
        </w:rPr>
        <w:t>the</w:t>
      </w:r>
      <w:r>
        <w:rPr>
          <w:spacing w:val="-4"/>
          <w:sz w:val="24"/>
        </w:rPr>
        <w:t> </w:t>
      </w:r>
      <w:r>
        <w:rPr>
          <w:sz w:val="24"/>
        </w:rPr>
        <w:t>owner/</w:t>
      </w:r>
      <w:r>
        <w:rPr>
          <w:spacing w:val="-4"/>
          <w:sz w:val="24"/>
        </w:rPr>
        <w:t> </w:t>
      </w:r>
      <w:r>
        <w:rPr>
          <w:sz w:val="24"/>
        </w:rPr>
        <w:t>developer shall get further additional FSI to the extent of 50% of the area of the structures covered under Sr. No. (a),(b),(c)&amp;(d) above provided further that the overall FSI of the Final Plot shall not exceed 4.0.</w:t>
      </w:r>
    </w:p>
    <w:p>
      <w:pPr>
        <w:pStyle w:val="ListParagraph"/>
        <w:numPr>
          <w:ilvl w:val="0"/>
          <w:numId w:val="201"/>
        </w:numPr>
        <w:tabs>
          <w:tab w:pos="2299" w:val="left" w:leader="none"/>
        </w:tabs>
        <w:spacing w:line="240" w:lineRule="auto" w:before="241" w:after="0"/>
        <w:ind w:left="2062" w:right="770" w:firstLine="0"/>
        <w:jc w:val="both"/>
        <w:rPr>
          <w:sz w:val="24"/>
        </w:rPr>
      </w:pPr>
      <w:r>
        <w:rPr>
          <w:sz w:val="24"/>
        </w:rPr>
        <w:t>The Fungible compensatory area shall be permissible for the </w:t>
      </w:r>
      <w:r>
        <w:rPr>
          <w:sz w:val="24"/>
        </w:rPr>
        <w:t>tenants as recorded in the TP Scheme Book and residing in the contravening structures</w:t>
      </w:r>
      <w:r>
        <w:rPr>
          <w:spacing w:val="40"/>
          <w:sz w:val="24"/>
        </w:rPr>
        <w:t> </w:t>
      </w:r>
      <w:r>
        <w:rPr>
          <w:sz w:val="24"/>
        </w:rPr>
        <w:t>without charging premium and to the incentive BUA by charging premium</w:t>
      </w:r>
    </w:p>
    <w:p>
      <w:pPr>
        <w:pStyle w:val="BodyText"/>
        <w:spacing w:before="239"/>
        <w:ind w:left="2062" w:right="768"/>
        <w:jc w:val="left"/>
      </w:pPr>
      <w:r>
        <w:rPr/>
        <w:t>Notes: For the purpose of this Regulations the contravening structures shall mean:</w:t>
      </w:r>
    </w:p>
    <w:p>
      <w:pPr>
        <w:pStyle w:val="ListParagraph"/>
        <w:numPr>
          <w:ilvl w:val="0"/>
          <w:numId w:val="202"/>
        </w:numPr>
        <w:tabs>
          <w:tab w:pos="2062" w:val="left" w:leader="none"/>
        </w:tabs>
        <w:spacing w:line="240" w:lineRule="auto" w:before="241" w:after="0"/>
        <w:ind w:left="2062" w:right="775" w:hanging="149"/>
        <w:jc w:val="both"/>
        <w:rPr>
          <w:sz w:val="24"/>
        </w:rPr>
      </w:pPr>
      <w:r>
        <w:rPr>
          <w:sz w:val="24"/>
        </w:rPr>
        <w:t>Structure situated outside the original plot but included fully or partly within the final plot allotted to a person in the TP Scheme.</w:t>
      </w:r>
    </w:p>
    <w:p>
      <w:pPr>
        <w:pStyle w:val="ListParagraph"/>
        <w:numPr>
          <w:ilvl w:val="0"/>
          <w:numId w:val="202"/>
        </w:numPr>
        <w:tabs>
          <w:tab w:pos="2062" w:val="left" w:leader="none"/>
        </w:tabs>
        <w:spacing w:line="240" w:lineRule="auto" w:before="240" w:after="0"/>
        <w:ind w:left="2062" w:right="767" w:hanging="221"/>
        <w:jc w:val="both"/>
        <w:rPr>
          <w:sz w:val="24"/>
        </w:rPr>
      </w:pPr>
      <w:r>
        <w:rPr>
          <w:sz w:val="24"/>
        </w:rPr>
        <w:t>Structures</w:t>
      </w:r>
      <w:r>
        <w:rPr>
          <w:spacing w:val="-20"/>
          <w:sz w:val="24"/>
        </w:rPr>
        <w:t> </w:t>
      </w:r>
      <w:r>
        <w:rPr>
          <w:sz w:val="24"/>
        </w:rPr>
        <w:t>which</w:t>
      </w:r>
      <w:r>
        <w:rPr>
          <w:spacing w:val="-19"/>
          <w:sz w:val="24"/>
        </w:rPr>
        <w:t> </w:t>
      </w:r>
      <w:r>
        <w:rPr>
          <w:sz w:val="24"/>
        </w:rPr>
        <w:t>are</w:t>
      </w:r>
      <w:r>
        <w:rPr>
          <w:spacing w:val="-19"/>
          <w:sz w:val="24"/>
        </w:rPr>
        <w:t> </w:t>
      </w:r>
      <w:r>
        <w:rPr>
          <w:sz w:val="24"/>
        </w:rPr>
        <w:t>partly</w:t>
      </w:r>
      <w:r>
        <w:rPr>
          <w:spacing w:val="-19"/>
          <w:sz w:val="24"/>
        </w:rPr>
        <w:t> </w:t>
      </w:r>
      <w:r>
        <w:rPr>
          <w:sz w:val="24"/>
        </w:rPr>
        <w:t>included</w:t>
      </w:r>
      <w:r>
        <w:rPr>
          <w:spacing w:val="-19"/>
          <w:sz w:val="24"/>
        </w:rPr>
        <w:t> </w:t>
      </w:r>
      <w:r>
        <w:rPr>
          <w:sz w:val="24"/>
        </w:rPr>
        <w:t>in</w:t>
      </w:r>
      <w:r>
        <w:rPr>
          <w:spacing w:val="-20"/>
          <w:sz w:val="24"/>
        </w:rPr>
        <w:t> </w:t>
      </w:r>
      <w:r>
        <w:rPr>
          <w:sz w:val="24"/>
        </w:rPr>
        <w:t>the</w:t>
      </w:r>
      <w:r>
        <w:rPr>
          <w:spacing w:val="-19"/>
          <w:sz w:val="24"/>
        </w:rPr>
        <w:t> </w:t>
      </w:r>
      <w:r>
        <w:rPr>
          <w:sz w:val="24"/>
        </w:rPr>
        <w:t>final</w:t>
      </w:r>
      <w:r>
        <w:rPr>
          <w:spacing w:val="-19"/>
          <w:sz w:val="24"/>
        </w:rPr>
        <w:t> </w:t>
      </w:r>
      <w:r>
        <w:rPr>
          <w:sz w:val="24"/>
        </w:rPr>
        <w:t>plot</w:t>
      </w:r>
      <w:r>
        <w:rPr>
          <w:spacing w:val="-19"/>
          <w:sz w:val="24"/>
        </w:rPr>
        <w:t> </w:t>
      </w:r>
      <w:r>
        <w:rPr>
          <w:sz w:val="24"/>
        </w:rPr>
        <w:t>allotted</w:t>
      </w:r>
      <w:r>
        <w:rPr>
          <w:spacing w:val="-19"/>
          <w:sz w:val="24"/>
        </w:rPr>
        <w:t> </w:t>
      </w:r>
      <w:r>
        <w:rPr>
          <w:sz w:val="24"/>
        </w:rPr>
        <w:t>to</w:t>
      </w:r>
      <w:r>
        <w:rPr>
          <w:spacing w:val="-18"/>
          <w:sz w:val="24"/>
        </w:rPr>
        <w:t> </w:t>
      </w:r>
      <w:r>
        <w:rPr>
          <w:sz w:val="24"/>
        </w:rPr>
        <w:t>a</w:t>
      </w:r>
      <w:r>
        <w:rPr>
          <w:spacing w:val="-19"/>
          <w:sz w:val="24"/>
        </w:rPr>
        <w:t> </w:t>
      </w:r>
      <w:r>
        <w:rPr>
          <w:sz w:val="24"/>
        </w:rPr>
        <w:t>person and partly included in the roads sites reserved for public purpose/adjoining final plot.</w:t>
      </w:r>
    </w:p>
    <w:p>
      <w:pPr>
        <w:pStyle w:val="ListParagraph"/>
        <w:numPr>
          <w:ilvl w:val="0"/>
          <w:numId w:val="202"/>
        </w:numPr>
        <w:tabs>
          <w:tab w:pos="2062" w:val="left" w:leader="none"/>
        </w:tabs>
        <w:spacing w:line="240" w:lineRule="auto" w:before="240" w:after="0"/>
        <w:ind w:left="2062" w:right="770" w:hanging="293"/>
        <w:jc w:val="both"/>
        <w:rPr>
          <w:sz w:val="24"/>
        </w:rPr>
      </w:pPr>
      <w:r>
        <w:rPr>
          <w:sz w:val="24"/>
        </w:rPr>
        <w:t>Structures which are included in the TP Scheme area but situated outside the final plot allotted to a person and are affected by sites reserved for public purpose, provided the Planning Authority has no objection for rehabilitation of such structures.</w:t>
      </w:r>
    </w:p>
    <w:p>
      <w:pPr>
        <w:pStyle w:val="ListParagraph"/>
        <w:numPr>
          <w:ilvl w:val="0"/>
          <w:numId w:val="202"/>
        </w:numPr>
        <w:tabs>
          <w:tab w:pos="2062" w:val="left" w:leader="none"/>
        </w:tabs>
        <w:spacing w:line="240" w:lineRule="auto" w:before="239" w:after="0"/>
        <w:ind w:left="2062" w:right="772" w:hanging="274"/>
        <w:jc w:val="both"/>
        <w:rPr>
          <w:sz w:val="24"/>
        </w:rPr>
      </w:pPr>
      <w:r>
        <w:rPr>
          <w:sz w:val="24"/>
        </w:rPr>
        <w:t>However,</w:t>
      </w:r>
      <w:r>
        <w:rPr>
          <w:spacing w:val="-20"/>
          <w:sz w:val="24"/>
        </w:rPr>
        <w:t> </w:t>
      </w:r>
      <w:r>
        <w:rPr>
          <w:sz w:val="24"/>
        </w:rPr>
        <w:t>structures</w:t>
      </w:r>
      <w:r>
        <w:rPr>
          <w:spacing w:val="-19"/>
          <w:sz w:val="24"/>
        </w:rPr>
        <w:t> </w:t>
      </w:r>
      <w:r>
        <w:rPr>
          <w:sz w:val="24"/>
        </w:rPr>
        <w:t>included</w:t>
      </w:r>
      <w:r>
        <w:rPr>
          <w:spacing w:val="-19"/>
          <w:sz w:val="24"/>
        </w:rPr>
        <w:t> </w:t>
      </w:r>
      <w:r>
        <w:rPr>
          <w:sz w:val="24"/>
        </w:rPr>
        <w:t>in</w:t>
      </w:r>
      <w:r>
        <w:rPr>
          <w:spacing w:val="-19"/>
          <w:sz w:val="24"/>
        </w:rPr>
        <w:t> </w:t>
      </w:r>
      <w:r>
        <w:rPr>
          <w:sz w:val="24"/>
        </w:rPr>
        <w:t>the</w:t>
      </w:r>
      <w:r>
        <w:rPr>
          <w:spacing w:val="-19"/>
          <w:sz w:val="24"/>
        </w:rPr>
        <w:t> </w:t>
      </w:r>
      <w:r>
        <w:rPr>
          <w:sz w:val="24"/>
        </w:rPr>
        <w:t>common</w:t>
      </w:r>
      <w:r>
        <w:rPr>
          <w:spacing w:val="-20"/>
          <w:sz w:val="24"/>
        </w:rPr>
        <w:t> </w:t>
      </w:r>
      <w:r>
        <w:rPr>
          <w:sz w:val="24"/>
        </w:rPr>
        <w:t>area</w:t>
      </w:r>
      <w:r>
        <w:rPr>
          <w:spacing w:val="-19"/>
          <w:sz w:val="24"/>
        </w:rPr>
        <w:t> </w:t>
      </w:r>
      <w:r>
        <w:rPr>
          <w:sz w:val="24"/>
        </w:rPr>
        <w:t>comprising</w:t>
      </w:r>
      <w:r>
        <w:rPr>
          <w:spacing w:val="-19"/>
          <w:sz w:val="24"/>
        </w:rPr>
        <w:t> </w:t>
      </w:r>
      <w:r>
        <w:rPr>
          <w:sz w:val="24"/>
        </w:rPr>
        <w:t>of</w:t>
      </w:r>
      <w:r>
        <w:rPr>
          <w:spacing w:val="-19"/>
          <w:sz w:val="24"/>
        </w:rPr>
        <w:t> </w:t>
      </w:r>
      <w:r>
        <w:rPr>
          <w:sz w:val="24"/>
        </w:rPr>
        <w:t>original plots and final plots shall not be treated as contravening structures.</w:t>
      </w:r>
    </w:p>
    <w:p>
      <w:pPr>
        <w:pStyle w:val="ListParagraph"/>
        <w:spacing w:after="0" w:line="240" w:lineRule="auto"/>
        <w:jc w:val="both"/>
        <w:rPr>
          <w:sz w:val="24"/>
        </w:rPr>
        <w:sectPr>
          <w:pgSz w:w="11910" w:h="16840"/>
          <w:pgMar w:header="1065" w:footer="1194" w:top="1500" w:bottom="1380" w:left="360" w:right="360"/>
        </w:sectPr>
      </w:pPr>
    </w:p>
    <w:p>
      <w:pPr>
        <w:pStyle w:val="Heading6"/>
        <w:numPr>
          <w:ilvl w:val="0"/>
          <w:numId w:val="200"/>
        </w:numPr>
        <w:tabs>
          <w:tab w:pos="2628" w:val="left" w:leader="none"/>
        </w:tabs>
        <w:spacing w:line="240" w:lineRule="auto" w:before="247" w:after="0"/>
        <w:ind w:left="2062" w:right="769" w:firstLine="0"/>
        <w:jc w:val="both"/>
        <w:rPr>
          <w:i w:val="0"/>
        </w:rPr>
      </w:pPr>
      <w:r>
        <w:rPr/>
        <w:t>Removal and re-accommodation of tolerated /protected structures falling in the alignment of road: -</w:t>
      </w:r>
    </w:p>
    <w:p>
      <w:pPr>
        <w:pStyle w:val="BodyText"/>
        <w:spacing w:before="243"/>
        <w:ind w:left="2062" w:right="767"/>
      </w:pPr>
      <w:r>
        <w:rPr/>
        <w:t>In a scheme where removal of tolerated/protected structures falling in the alignment of existing road or widening of existing road for which road line has been prescribed or DP Road and re-accommodation of these tolerated/protected structures in the same administrative ward has been proposed for the expeditious removal of bottlenecks, the FSI may</w:t>
      </w:r>
      <w:r>
        <w:rPr>
          <w:spacing w:val="-2"/>
        </w:rPr>
        <w:t> </w:t>
      </w:r>
      <w:r>
        <w:rPr/>
        <w:t>be</w:t>
      </w:r>
      <w:r>
        <w:rPr>
          <w:spacing w:val="-2"/>
        </w:rPr>
        <w:t> </w:t>
      </w:r>
      <w:r>
        <w:rPr/>
        <w:t>allowed</w:t>
      </w:r>
      <w:r>
        <w:rPr>
          <w:spacing w:val="-2"/>
        </w:rPr>
        <w:t> </w:t>
      </w:r>
      <w:r>
        <w:rPr/>
        <w:t>to</w:t>
      </w:r>
      <w:r>
        <w:rPr>
          <w:spacing w:val="-2"/>
        </w:rPr>
        <w:t> </w:t>
      </w:r>
      <w:r>
        <w:rPr/>
        <w:t>be</w:t>
      </w:r>
      <w:r>
        <w:rPr>
          <w:spacing w:val="-2"/>
        </w:rPr>
        <w:t> </w:t>
      </w:r>
      <w:r>
        <w:rPr/>
        <w:t>exceeded</w:t>
      </w:r>
      <w:r>
        <w:rPr>
          <w:spacing w:val="-2"/>
        </w:rPr>
        <w:t> </w:t>
      </w:r>
      <w:r>
        <w:rPr/>
        <w:t>above</w:t>
      </w:r>
      <w:r>
        <w:rPr>
          <w:spacing w:val="-2"/>
        </w:rPr>
        <w:t> </w:t>
      </w:r>
      <w:r>
        <w:rPr/>
        <w:t>the</w:t>
      </w:r>
      <w:r>
        <w:rPr>
          <w:spacing w:val="-2"/>
        </w:rPr>
        <w:t> </w:t>
      </w:r>
      <w:r>
        <w:rPr/>
        <w:t>permissible</w:t>
      </w:r>
      <w:r>
        <w:rPr>
          <w:spacing w:val="-2"/>
        </w:rPr>
        <w:t> </w:t>
      </w:r>
      <w:r>
        <w:rPr/>
        <w:t>FSI as</w:t>
      </w:r>
      <w:r>
        <w:rPr>
          <w:spacing w:val="-3"/>
        </w:rPr>
        <w:t> </w:t>
      </w:r>
      <w:r>
        <w:rPr/>
        <w:t>mentioned below subject to following condition:</w:t>
      </w:r>
    </w:p>
    <w:p>
      <w:pPr>
        <w:pStyle w:val="ListParagraph"/>
        <w:numPr>
          <w:ilvl w:val="1"/>
          <w:numId w:val="200"/>
        </w:numPr>
        <w:tabs>
          <w:tab w:pos="2332" w:val="left" w:leader="none"/>
        </w:tabs>
        <w:spacing w:line="240" w:lineRule="auto" w:before="240" w:after="0"/>
        <w:ind w:left="2062" w:right="769" w:firstLine="0"/>
        <w:jc w:val="both"/>
        <w:rPr>
          <w:sz w:val="24"/>
        </w:rPr>
      </w:pPr>
      <w:r>
        <w:rPr>
          <w:sz w:val="24"/>
        </w:rPr>
        <w:t>The tolerated residential structures shall be existing since prior to 17.04.1964 and non-residential structure shall be existing since prior to 01.04.1962 falling in the alignment of existing road or widening of existing road for which road line has been prescribed or DP Road.</w:t>
      </w:r>
    </w:p>
    <w:p>
      <w:pPr>
        <w:pStyle w:val="ListParagraph"/>
        <w:numPr>
          <w:ilvl w:val="1"/>
          <w:numId w:val="200"/>
        </w:numPr>
        <w:tabs>
          <w:tab w:pos="2332" w:val="left" w:leader="none"/>
        </w:tabs>
        <w:spacing w:line="240" w:lineRule="auto" w:before="0" w:after="0"/>
        <w:ind w:left="2062" w:right="770" w:firstLine="0"/>
        <w:jc w:val="both"/>
        <w:rPr>
          <w:sz w:val="24"/>
        </w:rPr>
      </w:pPr>
      <w:r>
        <w:rPr>
          <w:sz w:val="24"/>
        </w:rPr>
        <w:t>The</w:t>
      </w:r>
      <w:r>
        <w:rPr>
          <w:spacing w:val="-19"/>
          <w:sz w:val="24"/>
        </w:rPr>
        <w:t> </w:t>
      </w:r>
      <w:r>
        <w:rPr>
          <w:sz w:val="24"/>
        </w:rPr>
        <w:t>structures</w:t>
      </w:r>
      <w:r>
        <w:rPr>
          <w:spacing w:val="-19"/>
          <w:sz w:val="24"/>
        </w:rPr>
        <w:t> </w:t>
      </w:r>
      <w:r>
        <w:rPr>
          <w:sz w:val="24"/>
        </w:rPr>
        <w:t>shall</w:t>
      </w:r>
      <w:r>
        <w:rPr>
          <w:spacing w:val="-19"/>
          <w:sz w:val="24"/>
        </w:rPr>
        <w:t> </w:t>
      </w:r>
      <w:r>
        <w:rPr>
          <w:sz w:val="24"/>
        </w:rPr>
        <w:t>be</w:t>
      </w:r>
      <w:r>
        <w:rPr>
          <w:spacing w:val="-19"/>
          <w:sz w:val="24"/>
        </w:rPr>
        <w:t> </w:t>
      </w:r>
      <w:r>
        <w:rPr>
          <w:sz w:val="24"/>
        </w:rPr>
        <w:t>reflected</w:t>
      </w:r>
      <w:r>
        <w:rPr>
          <w:spacing w:val="-19"/>
          <w:sz w:val="24"/>
        </w:rPr>
        <w:t> </w:t>
      </w:r>
      <w:r>
        <w:rPr>
          <w:sz w:val="24"/>
        </w:rPr>
        <w:t>in</w:t>
      </w:r>
      <w:r>
        <w:rPr>
          <w:spacing w:val="-19"/>
          <w:sz w:val="24"/>
        </w:rPr>
        <w:t> </w:t>
      </w:r>
      <w:r>
        <w:rPr>
          <w:sz w:val="24"/>
        </w:rPr>
        <w:t>the</w:t>
      </w:r>
      <w:r>
        <w:rPr>
          <w:spacing w:val="-19"/>
          <w:sz w:val="24"/>
        </w:rPr>
        <w:t> </w:t>
      </w:r>
      <w:r>
        <w:rPr>
          <w:sz w:val="24"/>
        </w:rPr>
        <w:t>true</w:t>
      </w:r>
      <w:r>
        <w:rPr>
          <w:spacing w:val="-19"/>
          <w:sz w:val="24"/>
        </w:rPr>
        <w:t> </w:t>
      </w:r>
      <w:r>
        <w:rPr>
          <w:sz w:val="24"/>
        </w:rPr>
        <w:t>extract</w:t>
      </w:r>
      <w:r>
        <w:rPr>
          <w:spacing w:val="-19"/>
          <w:sz w:val="24"/>
        </w:rPr>
        <w:t> </w:t>
      </w:r>
      <w:r>
        <w:rPr>
          <w:sz w:val="24"/>
        </w:rPr>
        <w:t>of</w:t>
      </w:r>
      <w:r>
        <w:rPr>
          <w:spacing w:val="-19"/>
          <w:sz w:val="24"/>
        </w:rPr>
        <w:t> </w:t>
      </w:r>
      <w:r>
        <w:rPr>
          <w:sz w:val="24"/>
        </w:rPr>
        <w:t>Revenue</w:t>
      </w:r>
      <w:r>
        <w:rPr>
          <w:spacing w:val="-19"/>
          <w:sz w:val="24"/>
        </w:rPr>
        <w:t> </w:t>
      </w:r>
      <w:r>
        <w:rPr>
          <w:sz w:val="24"/>
        </w:rPr>
        <w:t>Record prior to 1961-62 or in the assessment records prior to datum line as mentioned (a) above.</w:t>
      </w:r>
    </w:p>
    <w:p>
      <w:pPr>
        <w:pStyle w:val="BodyText"/>
        <w:spacing w:before="1"/>
        <w:jc w:val="left"/>
      </w:pPr>
    </w:p>
    <w:p>
      <w:pPr>
        <w:pStyle w:val="ListParagraph"/>
        <w:numPr>
          <w:ilvl w:val="1"/>
          <w:numId w:val="200"/>
        </w:numPr>
        <w:tabs>
          <w:tab w:pos="2332" w:val="left" w:leader="none"/>
        </w:tabs>
        <w:spacing w:line="240" w:lineRule="auto" w:before="0" w:after="0"/>
        <w:ind w:left="2062" w:right="770" w:firstLine="0"/>
        <w:jc w:val="both"/>
        <w:rPr>
          <w:sz w:val="24"/>
        </w:rPr>
      </w:pPr>
      <w:r>
        <w:rPr>
          <w:sz w:val="24"/>
        </w:rPr>
        <w:t>The scheme plot and the tolerated structures as mentioned above falling in the alignment of the road shall be relocated in the same administrative ward.</w:t>
      </w:r>
    </w:p>
    <w:p>
      <w:pPr>
        <w:pStyle w:val="BodyText"/>
        <w:spacing w:before="1"/>
        <w:jc w:val="left"/>
      </w:pPr>
    </w:p>
    <w:p>
      <w:pPr>
        <w:pStyle w:val="ListParagraph"/>
        <w:numPr>
          <w:ilvl w:val="1"/>
          <w:numId w:val="200"/>
        </w:numPr>
        <w:tabs>
          <w:tab w:pos="2409" w:val="left" w:leader="none"/>
        </w:tabs>
        <w:spacing w:line="240" w:lineRule="auto" w:before="0" w:after="0"/>
        <w:ind w:left="2062" w:right="766" w:firstLine="0"/>
        <w:jc w:val="both"/>
        <w:rPr>
          <w:sz w:val="24"/>
        </w:rPr>
      </w:pPr>
      <w:r>
        <w:rPr>
          <w:sz w:val="24"/>
        </w:rPr>
        <w:t>The provisions of this Regulation shall not be applicable to the structures where development of plot, where such tolerated/protected structures are situated, is proposed to be undertaken or in progress.</w:t>
      </w:r>
    </w:p>
    <w:p>
      <w:pPr>
        <w:pStyle w:val="ListParagraph"/>
        <w:numPr>
          <w:ilvl w:val="1"/>
          <w:numId w:val="200"/>
        </w:numPr>
        <w:tabs>
          <w:tab w:pos="2409" w:val="left" w:leader="none"/>
        </w:tabs>
        <w:spacing w:line="240" w:lineRule="auto" w:before="0" w:after="0"/>
        <w:ind w:left="2062" w:right="766" w:firstLine="0"/>
        <w:jc w:val="both"/>
        <w:rPr>
          <w:sz w:val="24"/>
        </w:rPr>
      </w:pPr>
      <w:r>
        <w:rPr>
          <w:sz w:val="24"/>
        </w:rPr>
        <w:t>It</w:t>
      </w:r>
      <w:r>
        <w:rPr>
          <w:spacing w:val="-2"/>
          <w:sz w:val="24"/>
        </w:rPr>
        <w:t> </w:t>
      </w:r>
      <w:r>
        <w:rPr>
          <w:sz w:val="24"/>
        </w:rPr>
        <w:t>shall</w:t>
      </w:r>
      <w:r>
        <w:rPr>
          <w:spacing w:val="-2"/>
          <w:sz w:val="24"/>
        </w:rPr>
        <w:t> </w:t>
      </w:r>
      <w:r>
        <w:rPr>
          <w:sz w:val="24"/>
        </w:rPr>
        <w:t>be</w:t>
      </w:r>
      <w:r>
        <w:rPr>
          <w:spacing w:val="-2"/>
          <w:sz w:val="24"/>
        </w:rPr>
        <w:t> </w:t>
      </w:r>
      <w:r>
        <w:rPr>
          <w:sz w:val="24"/>
        </w:rPr>
        <w:t>responsibility</w:t>
      </w:r>
      <w:r>
        <w:rPr>
          <w:spacing w:val="-2"/>
          <w:sz w:val="24"/>
        </w:rPr>
        <w:t> </w:t>
      </w:r>
      <w:r>
        <w:rPr>
          <w:sz w:val="24"/>
        </w:rPr>
        <w:t>of</w:t>
      </w:r>
      <w:r>
        <w:rPr>
          <w:spacing w:val="-2"/>
          <w:sz w:val="24"/>
        </w:rPr>
        <w:t> </w:t>
      </w:r>
      <w:r>
        <w:rPr>
          <w:sz w:val="24"/>
        </w:rPr>
        <w:t>the</w:t>
      </w:r>
      <w:r>
        <w:rPr>
          <w:spacing w:val="-2"/>
          <w:sz w:val="24"/>
        </w:rPr>
        <w:t> </w:t>
      </w:r>
      <w:r>
        <w:rPr>
          <w:sz w:val="24"/>
        </w:rPr>
        <w:t>scheme</w:t>
      </w:r>
      <w:r>
        <w:rPr>
          <w:spacing w:val="-4"/>
          <w:sz w:val="24"/>
        </w:rPr>
        <w:t> </w:t>
      </w:r>
      <w:r>
        <w:rPr>
          <w:sz w:val="24"/>
        </w:rPr>
        <w:t>owner/developer</w:t>
      </w:r>
      <w:r>
        <w:rPr>
          <w:spacing w:val="-2"/>
          <w:sz w:val="24"/>
        </w:rPr>
        <w:t> </w:t>
      </w:r>
      <w:r>
        <w:rPr>
          <w:sz w:val="24"/>
        </w:rPr>
        <w:t>who</w:t>
      </w:r>
      <w:r>
        <w:rPr>
          <w:spacing w:val="-2"/>
          <w:sz w:val="24"/>
        </w:rPr>
        <w:t> </w:t>
      </w:r>
      <w:r>
        <w:rPr>
          <w:sz w:val="24"/>
        </w:rPr>
        <w:t>wishes to seek benefit under this Regulation to execute tri party registered agreement with the owner of the plot where such tolerated/protected structures are situated and with the occupiers of such structures in respect</w:t>
      </w:r>
      <w:r>
        <w:rPr>
          <w:spacing w:val="-15"/>
          <w:sz w:val="24"/>
        </w:rPr>
        <w:t> </w:t>
      </w:r>
      <w:r>
        <w:rPr>
          <w:sz w:val="24"/>
        </w:rPr>
        <w:t>of</w:t>
      </w:r>
      <w:r>
        <w:rPr>
          <w:spacing w:val="-15"/>
          <w:sz w:val="24"/>
        </w:rPr>
        <w:t> </w:t>
      </w:r>
      <w:r>
        <w:rPr>
          <w:sz w:val="24"/>
        </w:rPr>
        <w:t>removal</w:t>
      </w:r>
      <w:r>
        <w:rPr>
          <w:spacing w:val="-15"/>
          <w:sz w:val="24"/>
        </w:rPr>
        <w:t> </w:t>
      </w:r>
      <w:r>
        <w:rPr>
          <w:sz w:val="24"/>
        </w:rPr>
        <w:t>of</w:t>
      </w:r>
      <w:r>
        <w:rPr>
          <w:spacing w:val="-15"/>
          <w:sz w:val="24"/>
        </w:rPr>
        <w:t> </w:t>
      </w:r>
      <w:r>
        <w:rPr>
          <w:sz w:val="24"/>
        </w:rPr>
        <w:t>structures</w:t>
      </w:r>
      <w:r>
        <w:rPr>
          <w:spacing w:val="-15"/>
          <w:sz w:val="24"/>
        </w:rPr>
        <w:t> </w:t>
      </w:r>
      <w:r>
        <w:rPr>
          <w:sz w:val="24"/>
        </w:rPr>
        <w:t>falling</w:t>
      </w:r>
      <w:r>
        <w:rPr>
          <w:spacing w:val="-15"/>
          <w:sz w:val="24"/>
        </w:rPr>
        <w:t> </w:t>
      </w:r>
      <w:r>
        <w:rPr>
          <w:sz w:val="24"/>
        </w:rPr>
        <w:t>on</w:t>
      </w:r>
      <w:r>
        <w:rPr>
          <w:spacing w:val="-15"/>
          <w:sz w:val="24"/>
        </w:rPr>
        <w:t> </w:t>
      </w:r>
      <w:r>
        <w:rPr>
          <w:sz w:val="24"/>
        </w:rPr>
        <w:t>road</w:t>
      </w:r>
      <w:r>
        <w:rPr>
          <w:spacing w:val="-15"/>
          <w:sz w:val="24"/>
        </w:rPr>
        <w:t> </w:t>
      </w:r>
      <w:r>
        <w:rPr>
          <w:sz w:val="24"/>
        </w:rPr>
        <w:t>and</w:t>
      </w:r>
      <w:r>
        <w:rPr>
          <w:spacing w:val="-15"/>
          <w:sz w:val="24"/>
        </w:rPr>
        <w:t> </w:t>
      </w:r>
      <w:r>
        <w:rPr>
          <w:sz w:val="24"/>
        </w:rPr>
        <w:t>the</w:t>
      </w:r>
      <w:r>
        <w:rPr>
          <w:spacing w:val="-15"/>
          <w:sz w:val="24"/>
        </w:rPr>
        <w:t> </w:t>
      </w:r>
      <w:r>
        <w:rPr>
          <w:sz w:val="24"/>
        </w:rPr>
        <w:t>copy</w:t>
      </w:r>
      <w:r>
        <w:rPr>
          <w:spacing w:val="-15"/>
          <w:sz w:val="24"/>
        </w:rPr>
        <w:t> </w:t>
      </w:r>
      <w:r>
        <w:rPr>
          <w:sz w:val="24"/>
        </w:rPr>
        <w:t>of</w:t>
      </w:r>
      <w:r>
        <w:rPr>
          <w:spacing w:val="-15"/>
          <w:sz w:val="24"/>
        </w:rPr>
        <w:t> </w:t>
      </w:r>
      <w:r>
        <w:rPr>
          <w:sz w:val="24"/>
        </w:rPr>
        <w:t>the</w:t>
      </w:r>
      <w:r>
        <w:rPr>
          <w:spacing w:val="-15"/>
          <w:sz w:val="24"/>
        </w:rPr>
        <w:t> </w:t>
      </w:r>
      <w:r>
        <w:rPr>
          <w:sz w:val="24"/>
        </w:rPr>
        <w:t>same shall be submitted to MCGM.</w:t>
      </w:r>
    </w:p>
    <w:p>
      <w:pPr>
        <w:pStyle w:val="ListParagraph"/>
        <w:numPr>
          <w:ilvl w:val="1"/>
          <w:numId w:val="200"/>
        </w:numPr>
        <w:tabs>
          <w:tab w:pos="2781" w:val="left" w:leader="none"/>
        </w:tabs>
        <w:spacing w:line="240" w:lineRule="auto" w:before="280" w:after="0"/>
        <w:ind w:left="2062" w:right="766" w:firstLine="0"/>
        <w:jc w:val="both"/>
        <w:rPr>
          <w:sz w:val="24"/>
        </w:rPr>
      </w:pPr>
      <w:r>
        <w:rPr>
          <w:sz w:val="24"/>
        </w:rPr>
        <w:t>The</w:t>
      </w:r>
      <w:r>
        <w:rPr>
          <w:spacing w:val="-2"/>
          <w:sz w:val="24"/>
        </w:rPr>
        <w:t> </w:t>
      </w:r>
      <w:r>
        <w:rPr>
          <w:sz w:val="24"/>
        </w:rPr>
        <w:t>owner/developer</w:t>
      </w:r>
      <w:r>
        <w:rPr>
          <w:spacing w:val="-1"/>
          <w:sz w:val="24"/>
        </w:rPr>
        <w:t> </w:t>
      </w:r>
      <w:r>
        <w:rPr>
          <w:sz w:val="24"/>
        </w:rPr>
        <w:t>will</w:t>
      </w:r>
      <w:r>
        <w:rPr>
          <w:spacing w:val="-2"/>
          <w:sz w:val="24"/>
        </w:rPr>
        <w:t> </w:t>
      </w:r>
      <w:r>
        <w:rPr>
          <w:sz w:val="24"/>
        </w:rPr>
        <w:t>have</w:t>
      </w:r>
      <w:r>
        <w:rPr>
          <w:spacing w:val="-2"/>
          <w:sz w:val="24"/>
        </w:rPr>
        <w:t> </w:t>
      </w:r>
      <w:r>
        <w:rPr>
          <w:sz w:val="24"/>
        </w:rPr>
        <w:t>to</w:t>
      </w:r>
      <w:r>
        <w:rPr>
          <w:spacing w:val="-2"/>
          <w:sz w:val="24"/>
        </w:rPr>
        <w:t> </w:t>
      </w:r>
      <w:r>
        <w:rPr>
          <w:sz w:val="24"/>
        </w:rPr>
        <w:t>submit</w:t>
      </w:r>
      <w:r>
        <w:rPr>
          <w:spacing w:val="-5"/>
          <w:sz w:val="24"/>
        </w:rPr>
        <w:t> </w:t>
      </w:r>
      <w:r>
        <w:rPr>
          <w:sz w:val="24"/>
        </w:rPr>
        <w:t>the</w:t>
      </w:r>
      <w:r>
        <w:rPr>
          <w:spacing w:val="-2"/>
          <w:sz w:val="24"/>
        </w:rPr>
        <w:t> </w:t>
      </w:r>
      <w:r>
        <w:rPr>
          <w:sz w:val="24"/>
        </w:rPr>
        <w:t>advance possession receipt</w:t>
      </w:r>
      <w:r>
        <w:rPr>
          <w:spacing w:val="-5"/>
          <w:sz w:val="24"/>
        </w:rPr>
        <w:t> </w:t>
      </w:r>
      <w:r>
        <w:rPr>
          <w:sz w:val="24"/>
        </w:rPr>
        <w:t>to</w:t>
      </w:r>
      <w:r>
        <w:rPr>
          <w:spacing w:val="-5"/>
          <w:sz w:val="24"/>
        </w:rPr>
        <w:t> </w:t>
      </w:r>
      <w:r>
        <w:rPr>
          <w:sz w:val="24"/>
        </w:rPr>
        <w:t>MCGM</w:t>
      </w:r>
      <w:r>
        <w:rPr>
          <w:spacing w:val="-5"/>
          <w:sz w:val="24"/>
        </w:rPr>
        <w:t> </w:t>
      </w:r>
      <w:r>
        <w:rPr>
          <w:sz w:val="24"/>
        </w:rPr>
        <w:t>for</w:t>
      </w:r>
      <w:r>
        <w:rPr>
          <w:spacing w:val="-2"/>
          <w:sz w:val="24"/>
        </w:rPr>
        <w:t> </w:t>
      </w:r>
      <w:r>
        <w:rPr>
          <w:sz w:val="24"/>
        </w:rPr>
        <w:t>handing</w:t>
      </w:r>
      <w:r>
        <w:rPr>
          <w:spacing w:val="-5"/>
          <w:sz w:val="24"/>
        </w:rPr>
        <w:t> </w:t>
      </w:r>
      <w:r>
        <w:rPr>
          <w:sz w:val="24"/>
        </w:rPr>
        <w:t>over</w:t>
      </w:r>
      <w:r>
        <w:rPr>
          <w:spacing w:val="-5"/>
          <w:sz w:val="24"/>
        </w:rPr>
        <w:t> </w:t>
      </w:r>
      <w:r>
        <w:rPr>
          <w:sz w:val="24"/>
        </w:rPr>
        <w:t>of</w:t>
      </w:r>
      <w:r>
        <w:rPr>
          <w:spacing w:val="-5"/>
          <w:sz w:val="24"/>
        </w:rPr>
        <w:t> </w:t>
      </w:r>
      <w:r>
        <w:rPr>
          <w:sz w:val="24"/>
        </w:rPr>
        <w:t>such</w:t>
      </w:r>
      <w:r>
        <w:rPr>
          <w:spacing w:val="-5"/>
          <w:sz w:val="24"/>
        </w:rPr>
        <w:t> </w:t>
      </w:r>
      <w:r>
        <w:rPr>
          <w:sz w:val="24"/>
        </w:rPr>
        <w:t>plot</w:t>
      </w:r>
      <w:r>
        <w:rPr>
          <w:spacing w:val="-5"/>
          <w:sz w:val="24"/>
        </w:rPr>
        <w:t> </w:t>
      </w:r>
      <w:r>
        <w:rPr>
          <w:sz w:val="24"/>
        </w:rPr>
        <w:t>affected</w:t>
      </w:r>
      <w:r>
        <w:rPr>
          <w:spacing w:val="-5"/>
          <w:sz w:val="24"/>
        </w:rPr>
        <w:t> </w:t>
      </w:r>
      <w:r>
        <w:rPr>
          <w:sz w:val="24"/>
        </w:rPr>
        <w:t>by</w:t>
      </w:r>
      <w:r>
        <w:rPr>
          <w:spacing w:val="-5"/>
          <w:sz w:val="24"/>
        </w:rPr>
        <w:t> </w:t>
      </w:r>
      <w:r>
        <w:rPr>
          <w:sz w:val="24"/>
        </w:rPr>
        <w:t>road</w:t>
      </w:r>
      <w:r>
        <w:rPr>
          <w:spacing w:val="-5"/>
          <w:sz w:val="24"/>
        </w:rPr>
        <w:t> </w:t>
      </w:r>
      <w:r>
        <w:rPr>
          <w:sz w:val="24"/>
        </w:rPr>
        <w:t>line/DP road having built up structures as detailed above to MCGM.</w:t>
      </w:r>
    </w:p>
    <w:p>
      <w:pPr>
        <w:pStyle w:val="BodyText"/>
        <w:spacing w:before="1"/>
        <w:jc w:val="left"/>
      </w:pPr>
    </w:p>
    <w:p>
      <w:pPr>
        <w:pStyle w:val="ListParagraph"/>
        <w:numPr>
          <w:ilvl w:val="1"/>
          <w:numId w:val="200"/>
        </w:numPr>
        <w:tabs>
          <w:tab w:pos="2781" w:val="left" w:leader="none"/>
        </w:tabs>
        <w:spacing w:line="240" w:lineRule="auto" w:before="0" w:after="0"/>
        <w:ind w:left="2062" w:right="766" w:firstLine="0"/>
        <w:jc w:val="both"/>
        <w:rPr>
          <w:sz w:val="24"/>
        </w:rPr>
      </w:pPr>
      <w:r>
        <w:rPr>
          <w:sz w:val="24"/>
        </w:rPr>
        <w:t>The</w:t>
      </w:r>
      <w:r>
        <w:rPr>
          <w:spacing w:val="-10"/>
          <w:sz w:val="24"/>
        </w:rPr>
        <w:t> </w:t>
      </w:r>
      <w:r>
        <w:rPr>
          <w:sz w:val="24"/>
        </w:rPr>
        <w:t>owner</w:t>
      </w:r>
      <w:r>
        <w:rPr>
          <w:spacing w:val="-8"/>
          <w:sz w:val="24"/>
        </w:rPr>
        <w:t> </w:t>
      </w:r>
      <w:r>
        <w:rPr>
          <w:sz w:val="24"/>
        </w:rPr>
        <w:t>of</w:t>
      </w:r>
      <w:r>
        <w:rPr>
          <w:spacing w:val="-10"/>
          <w:sz w:val="24"/>
        </w:rPr>
        <w:t> </w:t>
      </w:r>
      <w:r>
        <w:rPr>
          <w:sz w:val="24"/>
        </w:rPr>
        <w:t>the</w:t>
      </w:r>
      <w:r>
        <w:rPr>
          <w:spacing w:val="-8"/>
          <w:sz w:val="24"/>
        </w:rPr>
        <w:t> </w:t>
      </w:r>
      <w:r>
        <w:rPr>
          <w:sz w:val="24"/>
        </w:rPr>
        <w:t>plot</w:t>
      </w:r>
      <w:r>
        <w:rPr>
          <w:spacing w:val="-10"/>
          <w:sz w:val="24"/>
        </w:rPr>
        <w:t> </w:t>
      </w:r>
      <w:r>
        <w:rPr>
          <w:sz w:val="24"/>
        </w:rPr>
        <w:t>shall</w:t>
      </w:r>
      <w:r>
        <w:rPr>
          <w:spacing w:val="-9"/>
          <w:sz w:val="24"/>
        </w:rPr>
        <w:t> </w:t>
      </w:r>
      <w:r>
        <w:rPr>
          <w:sz w:val="24"/>
        </w:rPr>
        <w:t>be</w:t>
      </w:r>
      <w:r>
        <w:rPr>
          <w:spacing w:val="-10"/>
          <w:sz w:val="24"/>
        </w:rPr>
        <w:t> </w:t>
      </w:r>
      <w:r>
        <w:rPr>
          <w:sz w:val="24"/>
        </w:rPr>
        <w:t>eligible</w:t>
      </w:r>
      <w:r>
        <w:rPr>
          <w:spacing w:val="-8"/>
          <w:sz w:val="24"/>
        </w:rPr>
        <w:t> </w:t>
      </w:r>
      <w:r>
        <w:rPr>
          <w:sz w:val="24"/>
        </w:rPr>
        <w:t>for</w:t>
      </w:r>
      <w:r>
        <w:rPr>
          <w:spacing w:val="-8"/>
          <w:sz w:val="24"/>
        </w:rPr>
        <w:t> </w:t>
      </w:r>
      <w:r>
        <w:rPr>
          <w:sz w:val="24"/>
        </w:rPr>
        <w:t>TDR</w:t>
      </w:r>
      <w:r>
        <w:rPr>
          <w:spacing w:val="-10"/>
          <w:sz w:val="24"/>
        </w:rPr>
        <w:t> </w:t>
      </w:r>
      <w:r>
        <w:rPr>
          <w:sz w:val="24"/>
        </w:rPr>
        <w:t>as</w:t>
      </w:r>
      <w:r>
        <w:rPr>
          <w:spacing w:val="-8"/>
          <w:sz w:val="24"/>
        </w:rPr>
        <w:t> </w:t>
      </w:r>
      <w:r>
        <w:rPr>
          <w:sz w:val="24"/>
        </w:rPr>
        <w:t>per</w:t>
      </w:r>
      <w:r>
        <w:rPr>
          <w:spacing w:val="-10"/>
          <w:sz w:val="24"/>
        </w:rPr>
        <w:t> </w:t>
      </w:r>
      <w:r>
        <w:rPr>
          <w:sz w:val="24"/>
        </w:rPr>
        <w:t>Zonal</w:t>
      </w:r>
      <w:r>
        <w:rPr>
          <w:spacing w:val="-8"/>
          <w:sz w:val="24"/>
        </w:rPr>
        <w:t> </w:t>
      </w:r>
      <w:r>
        <w:rPr>
          <w:sz w:val="24"/>
        </w:rPr>
        <w:t>(basic) FSI of the plot in lieu of handing over of the land affected by road. TDR for such land shall be issued only when ownership of land has been transferred in PR card in the name of MCGM.</w:t>
      </w:r>
    </w:p>
    <w:p>
      <w:pPr>
        <w:pStyle w:val="BodyText"/>
        <w:spacing w:before="1"/>
        <w:jc w:val="left"/>
      </w:pPr>
    </w:p>
    <w:p>
      <w:pPr>
        <w:pStyle w:val="ListParagraph"/>
        <w:numPr>
          <w:ilvl w:val="1"/>
          <w:numId w:val="200"/>
        </w:numPr>
        <w:tabs>
          <w:tab w:pos="2781" w:val="left" w:leader="none"/>
        </w:tabs>
        <w:spacing w:line="240" w:lineRule="auto" w:before="0" w:after="0"/>
        <w:ind w:left="2062" w:right="766" w:firstLine="0"/>
        <w:jc w:val="both"/>
        <w:rPr>
          <w:sz w:val="24"/>
        </w:rPr>
      </w:pPr>
      <w:r>
        <w:rPr>
          <w:sz w:val="24"/>
        </w:rPr>
        <w:t>The existence of the structure on site, carpet area of the structures and occupancy of the eligible occupants in case of non-cess structures shall be certified as detailed above by the Assistant Commissioner of respective ward and by MHADA in case of cessed </w:t>
      </w:r>
      <w:r>
        <w:rPr>
          <w:spacing w:val="-2"/>
          <w:sz w:val="24"/>
        </w:rPr>
        <w:t>structures.</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50"/>
        <w:jc w:val="left"/>
      </w:pPr>
    </w:p>
    <w:p>
      <w:pPr>
        <w:pStyle w:val="ListParagraph"/>
        <w:numPr>
          <w:ilvl w:val="1"/>
          <w:numId w:val="200"/>
        </w:numPr>
        <w:tabs>
          <w:tab w:pos="2780" w:val="left" w:leader="none"/>
        </w:tabs>
        <w:spacing w:line="240" w:lineRule="auto" w:before="0" w:after="0"/>
        <w:ind w:left="2062" w:right="771" w:firstLine="0"/>
        <w:jc w:val="both"/>
        <w:rPr>
          <w:sz w:val="24"/>
        </w:rPr>
      </w:pPr>
      <w:r>
        <w:rPr>
          <w:sz w:val="24"/>
        </w:rPr>
        <w:t>In</w:t>
      </w:r>
      <w:r>
        <w:rPr>
          <w:spacing w:val="-15"/>
          <w:sz w:val="24"/>
        </w:rPr>
        <w:t> </w:t>
      </w:r>
      <w:r>
        <w:rPr>
          <w:sz w:val="24"/>
        </w:rPr>
        <w:t>case</w:t>
      </w:r>
      <w:r>
        <w:rPr>
          <w:spacing w:val="-15"/>
          <w:sz w:val="24"/>
        </w:rPr>
        <w:t> </w:t>
      </w:r>
      <w:r>
        <w:rPr>
          <w:sz w:val="24"/>
        </w:rPr>
        <w:t>of</w:t>
      </w:r>
      <w:r>
        <w:rPr>
          <w:spacing w:val="-15"/>
          <w:sz w:val="24"/>
        </w:rPr>
        <w:t> </w:t>
      </w:r>
      <w:r>
        <w:rPr>
          <w:sz w:val="24"/>
        </w:rPr>
        <w:t>such</w:t>
      </w:r>
      <w:r>
        <w:rPr>
          <w:spacing w:val="-15"/>
          <w:sz w:val="24"/>
        </w:rPr>
        <w:t> </w:t>
      </w:r>
      <w:r>
        <w:rPr>
          <w:sz w:val="24"/>
        </w:rPr>
        <w:t>area</w:t>
      </w:r>
      <w:r>
        <w:rPr>
          <w:spacing w:val="-15"/>
          <w:sz w:val="24"/>
        </w:rPr>
        <w:t> </w:t>
      </w:r>
      <w:r>
        <w:rPr>
          <w:sz w:val="24"/>
        </w:rPr>
        <w:t>is</w:t>
      </w:r>
      <w:r>
        <w:rPr>
          <w:spacing w:val="-15"/>
          <w:sz w:val="24"/>
        </w:rPr>
        <w:t> </w:t>
      </w:r>
      <w:r>
        <w:rPr>
          <w:sz w:val="24"/>
        </w:rPr>
        <w:t>occupied</w:t>
      </w:r>
      <w:r>
        <w:rPr>
          <w:spacing w:val="-15"/>
          <w:sz w:val="24"/>
        </w:rPr>
        <w:t> </w:t>
      </w:r>
      <w:r>
        <w:rPr>
          <w:sz w:val="24"/>
        </w:rPr>
        <w:t>by</w:t>
      </w:r>
      <w:r>
        <w:rPr>
          <w:spacing w:val="-15"/>
          <w:sz w:val="24"/>
        </w:rPr>
        <w:t> </w:t>
      </w:r>
      <w:r>
        <w:rPr>
          <w:sz w:val="24"/>
        </w:rPr>
        <w:t>cessed</w:t>
      </w:r>
      <w:r>
        <w:rPr>
          <w:spacing w:val="-13"/>
          <w:sz w:val="24"/>
        </w:rPr>
        <w:t> </w:t>
      </w:r>
      <w:r>
        <w:rPr>
          <w:sz w:val="24"/>
        </w:rPr>
        <w:t>structures</w:t>
      </w:r>
      <w:r>
        <w:rPr>
          <w:spacing w:val="-13"/>
          <w:sz w:val="24"/>
        </w:rPr>
        <w:t> </w:t>
      </w:r>
      <w:r>
        <w:rPr>
          <w:sz w:val="24"/>
        </w:rPr>
        <w:t>and</w:t>
      </w:r>
      <w:r>
        <w:rPr>
          <w:spacing w:val="-15"/>
          <w:sz w:val="24"/>
        </w:rPr>
        <w:t> </w:t>
      </w:r>
      <w:r>
        <w:rPr>
          <w:sz w:val="24"/>
        </w:rPr>
        <w:t>affected by road widening/DP Road, NOC from MHADA shall be insisted.</w:t>
      </w:r>
    </w:p>
    <w:p>
      <w:pPr>
        <w:pStyle w:val="BodyText"/>
        <w:jc w:val="left"/>
      </w:pPr>
    </w:p>
    <w:p>
      <w:pPr>
        <w:pStyle w:val="ListParagraph"/>
        <w:numPr>
          <w:ilvl w:val="1"/>
          <w:numId w:val="200"/>
        </w:numPr>
        <w:tabs>
          <w:tab w:pos="2780" w:val="left" w:leader="none"/>
        </w:tabs>
        <w:spacing w:line="240" w:lineRule="auto" w:before="0" w:after="0"/>
        <w:ind w:left="2062" w:right="767" w:firstLine="0"/>
        <w:jc w:val="both"/>
        <w:rPr>
          <w:sz w:val="24"/>
        </w:rPr>
      </w:pPr>
      <w:r>
        <w:rPr>
          <w:sz w:val="24"/>
        </w:rPr>
        <w:t>The eligible residential/residential cum commercial tenant/occupants of tolerated structures shall be entitled for the minimum carpet area of 27.88 sq. m or the area equivalent to existing carpet</w:t>
      </w:r>
      <w:r>
        <w:rPr>
          <w:spacing w:val="-17"/>
          <w:sz w:val="24"/>
        </w:rPr>
        <w:t> </w:t>
      </w:r>
      <w:r>
        <w:rPr>
          <w:sz w:val="24"/>
        </w:rPr>
        <w:t>area</w:t>
      </w:r>
      <w:r>
        <w:rPr>
          <w:spacing w:val="-16"/>
          <w:sz w:val="24"/>
        </w:rPr>
        <w:t> </w:t>
      </w:r>
      <w:r>
        <w:rPr>
          <w:sz w:val="24"/>
        </w:rPr>
        <w:t>and</w:t>
      </w:r>
      <w:r>
        <w:rPr>
          <w:spacing w:val="-16"/>
          <w:sz w:val="24"/>
        </w:rPr>
        <w:t> </w:t>
      </w:r>
      <w:r>
        <w:rPr>
          <w:sz w:val="24"/>
        </w:rPr>
        <w:t>in</w:t>
      </w:r>
      <w:r>
        <w:rPr>
          <w:spacing w:val="-16"/>
          <w:sz w:val="24"/>
        </w:rPr>
        <w:t> </w:t>
      </w:r>
      <w:r>
        <w:rPr>
          <w:sz w:val="24"/>
        </w:rPr>
        <w:t>case</w:t>
      </w:r>
      <w:r>
        <w:rPr>
          <w:spacing w:val="-16"/>
          <w:sz w:val="24"/>
        </w:rPr>
        <w:t> </w:t>
      </w:r>
      <w:r>
        <w:rPr>
          <w:sz w:val="24"/>
        </w:rPr>
        <w:t>of</w:t>
      </w:r>
      <w:r>
        <w:rPr>
          <w:spacing w:val="-16"/>
          <w:sz w:val="24"/>
        </w:rPr>
        <w:t> </w:t>
      </w:r>
      <w:r>
        <w:rPr>
          <w:sz w:val="24"/>
        </w:rPr>
        <w:t>non-residential</w:t>
      </w:r>
      <w:r>
        <w:rPr>
          <w:spacing w:val="-16"/>
          <w:sz w:val="24"/>
        </w:rPr>
        <w:t> </w:t>
      </w:r>
      <w:r>
        <w:rPr>
          <w:sz w:val="24"/>
        </w:rPr>
        <w:t>tenant/occupants,</w:t>
      </w:r>
      <w:r>
        <w:rPr>
          <w:spacing w:val="-16"/>
          <w:sz w:val="24"/>
        </w:rPr>
        <w:t> </w:t>
      </w:r>
      <w:r>
        <w:rPr>
          <w:sz w:val="24"/>
        </w:rPr>
        <w:t>area</w:t>
      </w:r>
      <w:r>
        <w:rPr>
          <w:spacing w:val="-16"/>
          <w:sz w:val="24"/>
        </w:rPr>
        <w:t> </w:t>
      </w:r>
      <w:r>
        <w:rPr>
          <w:sz w:val="24"/>
        </w:rPr>
        <w:t>equal to existing carpet area shall be allotted.</w:t>
      </w:r>
    </w:p>
    <w:p>
      <w:pPr>
        <w:pStyle w:val="ListParagraph"/>
        <w:numPr>
          <w:ilvl w:val="1"/>
          <w:numId w:val="200"/>
        </w:numPr>
        <w:tabs>
          <w:tab w:pos="2781" w:val="left" w:leader="none"/>
        </w:tabs>
        <w:spacing w:line="240" w:lineRule="auto" w:before="281" w:after="0"/>
        <w:ind w:left="2062" w:right="766" w:firstLine="0"/>
        <w:jc w:val="both"/>
        <w:rPr>
          <w:sz w:val="24"/>
        </w:rPr>
      </w:pPr>
      <w:r>
        <w:rPr>
          <w:sz w:val="24"/>
        </w:rPr>
        <w:t>The owner of scheme shall be eligible for the BUA required for rehabilitation of existing tenants/occupants plus incentive BUA to the extent of 50% of BUA required for rehabilitation. However, the FSI on plot/layout shall not be allowed to be exceeded up to 4.0.If the part of the structures is falling in alignment of roads, then such occupants shall, be eligible for the benefit as above. However, TDR equivalent to Zonal (basic) FSI of the land so handed over will be eligible.</w:t>
      </w:r>
    </w:p>
    <w:p>
      <w:pPr>
        <w:pStyle w:val="BodyText"/>
        <w:jc w:val="left"/>
      </w:pPr>
    </w:p>
    <w:p>
      <w:pPr>
        <w:pStyle w:val="ListParagraph"/>
        <w:numPr>
          <w:ilvl w:val="1"/>
          <w:numId w:val="200"/>
        </w:numPr>
        <w:tabs>
          <w:tab w:pos="2780" w:val="left" w:leader="none"/>
        </w:tabs>
        <w:spacing w:line="240" w:lineRule="auto" w:before="1" w:after="0"/>
        <w:ind w:left="2062" w:right="767" w:firstLine="0"/>
        <w:jc w:val="both"/>
        <w:rPr>
          <w:sz w:val="24"/>
        </w:rPr>
      </w:pPr>
      <w:r>
        <w:rPr>
          <w:sz w:val="24"/>
        </w:rPr>
        <w:t>The owner shall be eligible for the commencement certificate for the incentive BUA only after rehabilitation of occupants of affected tolerated structure /removal of structures falling in the alignment of road line/DP Road.</w:t>
      </w:r>
    </w:p>
    <w:p>
      <w:pPr>
        <w:pStyle w:val="BodyText"/>
        <w:jc w:val="left"/>
      </w:pPr>
    </w:p>
    <w:p>
      <w:pPr>
        <w:pStyle w:val="ListParagraph"/>
        <w:numPr>
          <w:ilvl w:val="1"/>
          <w:numId w:val="200"/>
        </w:numPr>
        <w:tabs>
          <w:tab w:pos="2781" w:val="left" w:leader="none"/>
        </w:tabs>
        <w:spacing w:line="240" w:lineRule="auto" w:before="0" w:after="0"/>
        <w:ind w:left="2062" w:right="768" w:firstLine="0"/>
        <w:jc w:val="both"/>
        <w:rPr>
          <w:sz w:val="24"/>
        </w:rPr>
      </w:pPr>
      <w:r>
        <w:rPr>
          <w:sz w:val="24"/>
        </w:rPr>
        <w:t>The fungible compensatory area shall be permissible for rehab without charging premium and to the incentive BUA by charging </w:t>
      </w:r>
      <w:r>
        <w:rPr>
          <w:spacing w:val="-2"/>
          <w:sz w:val="24"/>
        </w:rPr>
        <w:t>premium.</w:t>
      </w:r>
    </w:p>
    <w:p>
      <w:pPr>
        <w:pStyle w:val="BodyText"/>
        <w:spacing w:before="1"/>
        <w:jc w:val="left"/>
      </w:pPr>
    </w:p>
    <w:p>
      <w:pPr>
        <w:pStyle w:val="ListParagraph"/>
        <w:numPr>
          <w:ilvl w:val="1"/>
          <w:numId w:val="200"/>
        </w:numPr>
        <w:tabs>
          <w:tab w:pos="2781" w:val="left" w:leader="none"/>
        </w:tabs>
        <w:spacing w:line="240" w:lineRule="auto" w:before="0" w:after="0"/>
        <w:ind w:left="2062" w:right="769" w:firstLine="0"/>
        <w:jc w:val="both"/>
        <w:rPr>
          <w:sz w:val="24"/>
        </w:rPr>
      </w:pPr>
      <w:r>
        <w:rPr>
          <w:sz w:val="24"/>
        </w:rPr>
        <w:t>The</w:t>
      </w:r>
      <w:r>
        <w:rPr>
          <w:spacing w:val="-15"/>
          <w:sz w:val="24"/>
        </w:rPr>
        <w:t> </w:t>
      </w:r>
      <w:r>
        <w:rPr>
          <w:sz w:val="24"/>
        </w:rPr>
        <w:t>protected</w:t>
      </w:r>
      <w:r>
        <w:rPr>
          <w:spacing w:val="-17"/>
          <w:sz w:val="24"/>
        </w:rPr>
        <w:t> </w:t>
      </w:r>
      <w:r>
        <w:rPr>
          <w:sz w:val="24"/>
        </w:rPr>
        <w:t>structures</w:t>
      </w:r>
      <w:r>
        <w:rPr>
          <w:spacing w:val="-18"/>
          <w:sz w:val="24"/>
        </w:rPr>
        <w:t> </w:t>
      </w:r>
      <w:r>
        <w:rPr>
          <w:sz w:val="24"/>
        </w:rPr>
        <w:t>falling</w:t>
      </w:r>
      <w:r>
        <w:rPr>
          <w:spacing w:val="-18"/>
          <w:sz w:val="24"/>
        </w:rPr>
        <w:t> </w:t>
      </w:r>
      <w:r>
        <w:rPr>
          <w:sz w:val="24"/>
        </w:rPr>
        <w:t>in</w:t>
      </w:r>
      <w:r>
        <w:rPr>
          <w:spacing w:val="-18"/>
          <w:sz w:val="24"/>
        </w:rPr>
        <w:t> </w:t>
      </w:r>
      <w:r>
        <w:rPr>
          <w:sz w:val="24"/>
        </w:rPr>
        <w:t>the</w:t>
      </w:r>
      <w:r>
        <w:rPr>
          <w:spacing w:val="-16"/>
          <w:sz w:val="24"/>
        </w:rPr>
        <w:t> </w:t>
      </w:r>
      <w:r>
        <w:rPr>
          <w:sz w:val="24"/>
        </w:rPr>
        <w:t>alignment</w:t>
      </w:r>
      <w:r>
        <w:rPr>
          <w:spacing w:val="-18"/>
          <w:sz w:val="24"/>
        </w:rPr>
        <w:t> </w:t>
      </w:r>
      <w:r>
        <w:rPr>
          <w:sz w:val="24"/>
        </w:rPr>
        <w:t>of</w:t>
      </w:r>
      <w:r>
        <w:rPr>
          <w:spacing w:val="-18"/>
          <w:sz w:val="24"/>
        </w:rPr>
        <w:t> </w:t>
      </w:r>
      <w:r>
        <w:rPr>
          <w:sz w:val="24"/>
        </w:rPr>
        <w:t>Road/DP</w:t>
      </w:r>
      <w:r>
        <w:rPr>
          <w:spacing w:val="-15"/>
          <w:sz w:val="24"/>
        </w:rPr>
        <w:t> </w:t>
      </w:r>
      <w:r>
        <w:rPr>
          <w:sz w:val="24"/>
        </w:rPr>
        <w:t>road as notified by government from time to time and as certified by competent authority shall also be eligible for the rehabilitation as per this</w:t>
      </w:r>
      <w:r>
        <w:rPr>
          <w:spacing w:val="40"/>
          <w:sz w:val="24"/>
        </w:rPr>
        <w:t> </w:t>
      </w:r>
      <w:r>
        <w:rPr>
          <w:sz w:val="24"/>
        </w:rPr>
        <w:t>regulation</w:t>
      </w:r>
      <w:r>
        <w:rPr>
          <w:spacing w:val="40"/>
          <w:sz w:val="24"/>
        </w:rPr>
        <w:t> </w:t>
      </w:r>
      <w:r>
        <w:rPr>
          <w:sz w:val="24"/>
        </w:rPr>
        <w:t>subject</w:t>
      </w:r>
      <w:r>
        <w:rPr>
          <w:spacing w:val="40"/>
          <w:sz w:val="24"/>
        </w:rPr>
        <w:t> </w:t>
      </w:r>
      <w:r>
        <w:rPr>
          <w:sz w:val="24"/>
        </w:rPr>
        <w:t>to</w:t>
      </w:r>
      <w:r>
        <w:rPr>
          <w:spacing w:val="40"/>
          <w:sz w:val="24"/>
        </w:rPr>
        <w:t> </w:t>
      </w:r>
      <w:r>
        <w:rPr>
          <w:sz w:val="24"/>
        </w:rPr>
        <w:t>condition</w:t>
      </w:r>
      <w:r>
        <w:rPr>
          <w:spacing w:val="40"/>
          <w:sz w:val="24"/>
        </w:rPr>
        <w:t> </w:t>
      </w:r>
      <w:r>
        <w:rPr>
          <w:sz w:val="24"/>
        </w:rPr>
        <w:t>that</w:t>
      </w:r>
      <w:r>
        <w:rPr>
          <w:spacing w:val="40"/>
          <w:sz w:val="24"/>
        </w:rPr>
        <w:t> </w:t>
      </w:r>
      <w:r>
        <w:rPr>
          <w:sz w:val="24"/>
        </w:rPr>
        <w:t>rehabilitation</w:t>
      </w:r>
      <w:r>
        <w:rPr>
          <w:spacing w:val="40"/>
          <w:sz w:val="24"/>
        </w:rPr>
        <w:t> </w:t>
      </w:r>
      <w:r>
        <w:rPr>
          <w:sz w:val="24"/>
        </w:rPr>
        <w:t>area</w:t>
      </w:r>
      <w:r>
        <w:rPr>
          <w:spacing w:val="40"/>
          <w:sz w:val="24"/>
        </w:rPr>
        <w:t> </w:t>
      </w:r>
      <w:r>
        <w:rPr>
          <w:sz w:val="24"/>
        </w:rPr>
        <w:t>shall</w:t>
      </w:r>
      <w:r>
        <w:rPr>
          <w:spacing w:val="40"/>
          <w:sz w:val="24"/>
        </w:rPr>
        <w:t> </w:t>
      </w:r>
      <w:r>
        <w:rPr>
          <w:sz w:val="24"/>
        </w:rPr>
        <w:t>be</w:t>
      </w:r>
    </w:p>
    <w:p>
      <w:pPr>
        <w:pStyle w:val="BodyText"/>
        <w:ind w:left="2062" w:right="769"/>
      </w:pPr>
      <w:r>
        <w:rPr>
          <w:b/>
        </w:rPr>
        <w:t>27.88 </w:t>
      </w:r>
      <w:r>
        <w:rPr/>
        <w:t>sq. m in case of residential/residential cum commercial occupants</w:t>
      </w:r>
      <w:r>
        <w:rPr>
          <w:spacing w:val="-3"/>
        </w:rPr>
        <w:t> </w:t>
      </w:r>
      <w:r>
        <w:rPr/>
        <w:t>and</w:t>
      </w:r>
      <w:r>
        <w:rPr>
          <w:spacing w:val="-3"/>
        </w:rPr>
        <w:t> </w:t>
      </w:r>
      <w:r>
        <w:rPr/>
        <w:t>in</w:t>
      </w:r>
      <w:r>
        <w:rPr>
          <w:spacing w:val="-3"/>
        </w:rPr>
        <w:t> </w:t>
      </w:r>
      <w:r>
        <w:rPr/>
        <w:t>case</w:t>
      </w:r>
      <w:r>
        <w:rPr>
          <w:spacing w:val="-3"/>
        </w:rPr>
        <w:t> </w:t>
      </w:r>
      <w:r>
        <w:rPr/>
        <w:t>of</w:t>
      </w:r>
      <w:r>
        <w:rPr>
          <w:spacing w:val="-3"/>
        </w:rPr>
        <w:t> </w:t>
      </w:r>
      <w:r>
        <w:rPr/>
        <w:t>commercial</w:t>
      </w:r>
      <w:r>
        <w:rPr>
          <w:spacing w:val="-3"/>
        </w:rPr>
        <w:t> </w:t>
      </w:r>
      <w:r>
        <w:rPr/>
        <w:t>occupants,</w:t>
      </w:r>
      <w:r>
        <w:rPr>
          <w:spacing w:val="-4"/>
        </w:rPr>
        <w:t> </w:t>
      </w:r>
      <w:r>
        <w:rPr/>
        <w:t>existing</w:t>
      </w:r>
      <w:r>
        <w:rPr>
          <w:spacing w:val="-3"/>
        </w:rPr>
        <w:t> </w:t>
      </w:r>
      <w:r>
        <w:rPr/>
        <w:t>area</w:t>
      </w:r>
      <w:r>
        <w:rPr>
          <w:spacing w:val="-3"/>
        </w:rPr>
        <w:t> </w:t>
      </w:r>
      <w:r>
        <w:rPr/>
        <w:t>or</w:t>
      </w:r>
      <w:r>
        <w:rPr>
          <w:spacing w:val="-3"/>
        </w:rPr>
        <w:t> </w:t>
      </w:r>
      <w:r>
        <w:rPr/>
        <w:t>20.90 sq. m, whichever is less.</w:t>
      </w:r>
    </w:p>
    <w:p>
      <w:pPr>
        <w:pStyle w:val="Heading6"/>
        <w:spacing w:before="279"/>
        <w:jc w:val="both"/>
      </w:pPr>
      <w:r>
        <w:rPr>
          <w:i w:val="0"/>
        </w:rPr>
        <w:t>33(13)</w:t>
      </w:r>
      <w:r>
        <w:rPr>
          <w:i w:val="0"/>
          <w:spacing w:val="-3"/>
        </w:rPr>
        <w:t> </w:t>
      </w:r>
      <w:r>
        <w:rPr/>
        <w:t>–</w:t>
      </w:r>
      <w:r>
        <w:rPr>
          <w:spacing w:val="-3"/>
        </w:rPr>
        <w:t> </w:t>
      </w:r>
      <w:r>
        <w:rPr/>
        <w:t>Buildings</w:t>
      </w:r>
      <w:r>
        <w:rPr>
          <w:spacing w:val="-3"/>
        </w:rPr>
        <w:t> </w:t>
      </w:r>
      <w:r>
        <w:rPr/>
        <w:t>of</w:t>
      </w:r>
      <w:r>
        <w:rPr>
          <w:spacing w:val="-3"/>
        </w:rPr>
        <w:t> </w:t>
      </w:r>
      <w:r>
        <w:rPr/>
        <w:t>Information</w:t>
      </w:r>
      <w:r>
        <w:rPr>
          <w:spacing w:val="-3"/>
        </w:rPr>
        <w:t> </w:t>
      </w:r>
      <w:r>
        <w:rPr/>
        <w:t>Technology</w:t>
      </w:r>
      <w:r>
        <w:rPr>
          <w:spacing w:val="-3"/>
        </w:rPr>
        <w:t> </w:t>
      </w:r>
      <w:r>
        <w:rPr>
          <w:spacing w:val="-2"/>
        </w:rPr>
        <w:t>Establishments</w:t>
      </w:r>
    </w:p>
    <w:p>
      <w:pPr>
        <w:pStyle w:val="BodyText"/>
        <w:spacing w:before="2"/>
        <w:ind w:left="2062" w:right="766"/>
      </w:pPr>
      <w:r>
        <w:rPr/>
        <w:t>With the Special permission, the Commissioner may permit the floor space indices to be exceeded beyond Zonal (basic) FSI specified in this Regulation No.30 Table No. 12 as given in the following table, to all registered Public &amp; Private IT/ITES Parks/ AVGC Parks/IT SEZs or IT Parks in SEZs/Stand-alone IT/ITES units in public IT Park (including IT/ITES units located in Residential/commercial/Industrial/</w:t>
      </w:r>
      <w:r>
        <w:rPr>
          <w:spacing w:val="40"/>
        </w:rPr>
        <w:t> </w:t>
      </w:r>
      <w:r>
        <w:rPr/>
        <w:t>in which such users are permissible), which have been approved by the Directorate</w:t>
      </w:r>
      <w:r>
        <w:rPr>
          <w:spacing w:val="-5"/>
        </w:rPr>
        <w:t> </w:t>
      </w:r>
      <w:r>
        <w:rPr/>
        <w:t>of</w:t>
      </w:r>
      <w:r>
        <w:rPr>
          <w:spacing w:val="-5"/>
        </w:rPr>
        <w:t> </w:t>
      </w:r>
      <w:r>
        <w:rPr/>
        <w:t>Industries,</w:t>
      </w:r>
      <w:r>
        <w:rPr>
          <w:spacing w:val="-5"/>
        </w:rPr>
        <w:t> </w:t>
      </w:r>
      <w:r>
        <w:rPr/>
        <w:t>proposed</w:t>
      </w:r>
      <w:r>
        <w:rPr>
          <w:spacing w:val="-5"/>
        </w:rPr>
        <w:t> </w:t>
      </w:r>
      <w:r>
        <w:rPr/>
        <w:t>to</w:t>
      </w:r>
      <w:r>
        <w:rPr>
          <w:spacing w:val="-5"/>
        </w:rPr>
        <w:t> </w:t>
      </w:r>
      <w:r>
        <w:rPr/>
        <w:t>be</w:t>
      </w:r>
      <w:r>
        <w:rPr>
          <w:spacing w:val="-7"/>
        </w:rPr>
        <w:t> </w:t>
      </w:r>
      <w:r>
        <w:rPr/>
        <w:t>set</w:t>
      </w:r>
      <w:r>
        <w:rPr>
          <w:spacing w:val="-5"/>
        </w:rPr>
        <w:t> </w:t>
      </w:r>
      <w:r>
        <w:rPr/>
        <w:t>up</w:t>
      </w:r>
      <w:r>
        <w:rPr>
          <w:spacing w:val="-5"/>
        </w:rPr>
        <w:t> </w:t>
      </w:r>
      <w:r>
        <w:rPr/>
        <w:t>or</w:t>
      </w:r>
      <w:r>
        <w:rPr>
          <w:spacing w:val="-5"/>
        </w:rPr>
        <w:t> </w:t>
      </w:r>
      <w:r>
        <w:rPr/>
        <w:t>already</w:t>
      </w:r>
      <w:r>
        <w:rPr>
          <w:spacing w:val="-5"/>
        </w:rPr>
        <w:t> </w:t>
      </w:r>
      <w:r>
        <w:rPr/>
        <w:t>set</w:t>
      </w:r>
      <w:r>
        <w:rPr>
          <w:spacing w:val="-7"/>
        </w:rPr>
        <w:t> </w:t>
      </w:r>
      <w:r>
        <w:rPr/>
        <w:t>up</w:t>
      </w:r>
      <w:r>
        <w:rPr>
          <w:spacing w:val="-5"/>
        </w:rPr>
        <w:t> </w:t>
      </w:r>
      <w:r>
        <w:rPr/>
        <w:t>under present/ previous IT/ITES policies by charging premium as per the conditions specified</w:t>
      </w:r>
      <w:r>
        <w:rPr>
          <w:spacing w:val="40"/>
        </w:rPr>
        <w:t> </w:t>
      </w:r>
      <w:r>
        <w:rPr/>
        <w:t>below this table.</w:t>
      </w:r>
    </w:p>
    <w:p>
      <w:pPr>
        <w:pStyle w:val="BodyText"/>
        <w:spacing w:after="0"/>
        <w:sectPr>
          <w:pgSz w:w="11910" w:h="16840"/>
          <w:pgMar w:header="1065" w:footer="1194" w:top="1500" w:bottom="1380" w:left="360" w:right="360"/>
        </w:sectPr>
      </w:pPr>
    </w:p>
    <w:p>
      <w:pPr>
        <w:pStyle w:val="BodyText"/>
        <w:spacing w:before="14" w:after="1"/>
        <w:jc w:val="left"/>
        <w:rPr>
          <w:sz w:val="20"/>
        </w:rPr>
      </w:pPr>
    </w:p>
    <w:tbl>
      <w:tblPr>
        <w:tblW w:w="0" w:type="auto"/>
        <w:jc w:val="left"/>
        <w:tblInd w:w="3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2"/>
        <w:gridCol w:w="1423"/>
        <w:gridCol w:w="1732"/>
      </w:tblGrid>
      <w:tr>
        <w:trPr>
          <w:trHeight w:val="847" w:hRule="atLeast"/>
        </w:trPr>
        <w:tc>
          <w:tcPr>
            <w:tcW w:w="1262" w:type="dxa"/>
          </w:tcPr>
          <w:p>
            <w:pPr>
              <w:pStyle w:val="TableParagraph"/>
              <w:spacing w:before="2"/>
              <w:ind w:left="110"/>
              <w:rPr>
                <w:sz w:val="24"/>
              </w:rPr>
            </w:pPr>
            <w:r>
              <w:rPr>
                <w:sz w:val="24"/>
              </w:rPr>
              <w:t>Sr</w:t>
            </w:r>
            <w:r>
              <w:rPr>
                <w:spacing w:val="28"/>
                <w:sz w:val="24"/>
              </w:rPr>
              <w:t> </w:t>
            </w:r>
            <w:r>
              <w:rPr>
                <w:spacing w:val="-5"/>
                <w:sz w:val="24"/>
              </w:rPr>
              <w:t>No</w:t>
            </w:r>
          </w:p>
        </w:tc>
        <w:tc>
          <w:tcPr>
            <w:tcW w:w="1423" w:type="dxa"/>
          </w:tcPr>
          <w:p>
            <w:pPr>
              <w:pStyle w:val="TableParagraph"/>
              <w:spacing w:line="280" w:lineRule="exact"/>
              <w:ind w:left="108" w:right="54"/>
              <w:rPr>
                <w:sz w:val="24"/>
              </w:rPr>
            </w:pPr>
            <w:r>
              <w:rPr>
                <w:spacing w:val="-2"/>
                <w:sz w:val="24"/>
              </w:rPr>
              <w:t>Minimum </w:t>
            </w:r>
            <w:r>
              <w:rPr>
                <w:spacing w:val="-4"/>
                <w:sz w:val="24"/>
              </w:rPr>
              <w:t>Road </w:t>
            </w:r>
            <w:r>
              <w:rPr>
                <w:spacing w:val="-2"/>
                <w:sz w:val="24"/>
              </w:rPr>
              <w:t>Width</w:t>
            </w:r>
          </w:p>
        </w:tc>
        <w:tc>
          <w:tcPr>
            <w:tcW w:w="1732" w:type="dxa"/>
          </w:tcPr>
          <w:p>
            <w:pPr>
              <w:pStyle w:val="TableParagraph"/>
              <w:spacing w:line="280" w:lineRule="exact"/>
              <w:ind w:left="108"/>
              <w:rPr>
                <w:sz w:val="24"/>
              </w:rPr>
            </w:pPr>
            <w:r>
              <w:rPr>
                <w:spacing w:val="-2"/>
                <w:sz w:val="24"/>
              </w:rPr>
              <w:t>Maximum </w:t>
            </w:r>
            <w:r>
              <w:rPr>
                <w:spacing w:val="7"/>
                <w:sz w:val="24"/>
              </w:rPr>
              <w:t>Permissible </w:t>
            </w:r>
            <w:r>
              <w:rPr>
                <w:spacing w:val="-4"/>
                <w:sz w:val="24"/>
              </w:rPr>
              <w:t>FSI</w:t>
            </w:r>
          </w:p>
        </w:tc>
      </w:tr>
      <w:tr>
        <w:trPr>
          <w:trHeight w:val="280" w:hRule="atLeast"/>
        </w:trPr>
        <w:tc>
          <w:tcPr>
            <w:tcW w:w="1262" w:type="dxa"/>
          </w:tcPr>
          <w:p>
            <w:pPr>
              <w:pStyle w:val="TableParagraph"/>
              <w:spacing w:line="260" w:lineRule="exact"/>
              <w:jc w:val="center"/>
              <w:rPr>
                <w:sz w:val="24"/>
              </w:rPr>
            </w:pPr>
            <w:r>
              <w:rPr>
                <w:spacing w:val="-10"/>
                <w:sz w:val="24"/>
              </w:rPr>
              <w:t>1</w:t>
            </w:r>
          </w:p>
        </w:tc>
        <w:tc>
          <w:tcPr>
            <w:tcW w:w="1423" w:type="dxa"/>
          </w:tcPr>
          <w:p>
            <w:pPr>
              <w:pStyle w:val="TableParagraph"/>
              <w:spacing w:line="260" w:lineRule="exact"/>
              <w:ind w:left="108"/>
              <w:rPr>
                <w:sz w:val="24"/>
              </w:rPr>
            </w:pPr>
            <w:r>
              <w:rPr>
                <w:spacing w:val="-5"/>
                <w:sz w:val="24"/>
              </w:rPr>
              <w:t>12m</w:t>
            </w:r>
          </w:p>
        </w:tc>
        <w:tc>
          <w:tcPr>
            <w:tcW w:w="1732" w:type="dxa"/>
          </w:tcPr>
          <w:p>
            <w:pPr>
              <w:pStyle w:val="TableParagraph"/>
              <w:spacing w:line="260" w:lineRule="exact"/>
              <w:jc w:val="center"/>
              <w:rPr>
                <w:sz w:val="24"/>
              </w:rPr>
            </w:pPr>
            <w:r>
              <w:rPr>
                <w:sz w:val="24"/>
              </w:rPr>
              <w:t>Up</w:t>
            </w:r>
            <w:r>
              <w:rPr>
                <w:spacing w:val="28"/>
                <w:sz w:val="24"/>
              </w:rPr>
              <w:t> </w:t>
            </w:r>
            <w:r>
              <w:rPr>
                <w:sz w:val="24"/>
              </w:rPr>
              <w:t>to</w:t>
            </w:r>
            <w:r>
              <w:rPr>
                <w:spacing w:val="28"/>
                <w:sz w:val="24"/>
              </w:rPr>
              <w:t> </w:t>
            </w:r>
            <w:r>
              <w:rPr>
                <w:spacing w:val="-10"/>
                <w:sz w:val="24"/>
              </w:rPr>
              <w:t>3</w:t>
            </w:r>
          </w:p>
        </w:tc>
      </w:tr>
      <w:tr>
        <w:trPr>
          <w:trHeight w:val="282" w:hRule="atLeast"/>
        </w:trPr>
        <w:tc>
          <w:tcPr>
            <w:tcW w:w="1262" w:type="dxa"/>
          </w:tcPr>
          <w:p>
            <w:pPr>
              <w:pStyle w:val="TableParagraph"/>
              <w:spacing w:line="261" w:lineRule="exact" w:before="1"/>
              <w:jc w:val="center"/>
              <w:rPr>
                <w:sz w:val="24"/>
              </w:rPr>
            </w:pPr>
            <w:r>
              <w:rPr>
                <w:spacing w:val="-10"/>
                <w:sz w:val="24"/>
              </w:rPr>
              <w:t>2</w:t>
            </w:r>
          </w:p>
        </w:tc>
        <w:tc>
          <w:tcPr>
            <w:tcW w:w="1423" w:type="dxa"/>
          </w:tcPr>
          <w:p>
            <w:pPr>
              <w:pStyle w:val="TableParagraph"/>
              <w:spacing w:line="261" w:lineRule="exact" w:before="1"/>
              <w:ind w:left="108"/>
              <w:rPr>
                <w:sz w:val="24"/>
              </w:rPr>
            </w:pPr>
            <w:r>
              <w:rPr>
                <w:spacing w:val="-5"/>
                <w:sz w:val="24"/>
              </w:rPr>
              <w:t>18m</w:t>
            </w:r>
          </w:p>
        </w:tc>
        <w:tc>
          <w:tcPr>
            <w:tcW w:w="1732" w:type="dxa"/>
          </w:tcPr>
          <w:p>
            <w:pPr>
              <w:pStyle w:val="TableParagraph"/>
              <w:spacing w:line="261" w:lineRule="exact" w:before="1"/>
              <w:jc w:val="center"/>
              <w:rPr>
                <w:sz w:val="24"/>
              </w:rPr>
            </w:pPr>
            <w:r>
              <w:rPr>
                <w:sz w:val="24"/>
              </w:rPr>
              <w:t>Up</w:t>
            </w:r>
            <w:r>
              <w:rPr>
                <w:spacing w:val="28"/>
                <w:sz w:val="24"/>
              </w:rPr>
              <w:t> </w:t>
            </w:r>
            <w:r>
              <w:rPr>
                <w:sz w:val="24"/>
              </w:rPr>
              <w:t>to</w:t>
            </w:r>
            <w:r>
              <w:rPr>
                <w:spacing w:val="28"/>
                <w:sz w:val="24"/>
              </w:rPr>
              <w:t> </w:t>
            </w:r>
            <w:r>
              <w:rPr>
                <w:spacing w:val="-10"/>
                <w:sz w:val="24"/>
              </w:rPr>
              <w:t>4</w:t>
            </w:r>
          </w:p>
        </w:tc>
      </w:tr>
      <w:tr>
        <w:trPr>
          <w:trHeight w:val="282" w:hRule="atLeast"/>
        </w:trPr>
        <w:tc>
          <w:tcPr>
            <w:tcW w:w="1262" w:type="dxa"/>
          </w:tcPr>
          <w:p>
            <w:pPr>
              <w:pStyle w:val="TableParagraph"/>
              <w:spacing w:line="263" w:lineRule="exact"/>
              <w:jc w:val="center"/>
              <w:rPr>
                <w:sz w:val="24"/>
              </w:rPr>
            </w:pPr>
            <w:r>
              <w:rPr>
                <w:spacing w:val="-10"/>
                <w:sz w:val="24"/>
              </w:rPr>
              <w:t>3</w:t>
            </w:r>
          </w:p>
        </w:tc>
        <w:tc>
          <w:tcPr>
            <w:tcW w:w="1423" w:type="dxa"/>
          </w:tcPr>
          <w:p>
            <w:pPr>
              <w:pStyle w:val="TableParagraph"/>
              <w:spacing w:line="263" w:lineRule="exact"/>
              <w:ind w:left="108"/>
              <w:rPr>
                <w:sz w:val="24"/>
              </w:rPr>
            </w:pPr>
            <w:r>
              <w:rPr>
                <w:spacing w:val="-5"/>
                <w:sz w:val="24"/>
              </w:rPr>
              <w:t>27m</w:t>
            </w:r>
          </w:p>
        </w:tc>
        <w:tc>
          <w:tcPr>
            <w:tcW w:w="1732" w:type="dxa"/>
          </w:tcPr>
          <w:p>
            <w:pPr>
              <w:pStyle w:val="TableParagraph"/>
              <w:spacing w:line="263" w:lineRule="exact"/>
              <w:jc w:val="center"/>
              <w:rPr>
                <w:sz w:val="24"/>
              </w:rPr>
            </w:pPr>
            <w:r>
              <w:rPr>
                <w:sz w:val="24"/>
              </w:rPr>
              <w:t>Up</w:t>
            </w:r>
            <w:r>
              <w:rPr>
                <w:spacing w:val="28"/>
                <w:sz w:val="24"/>
              </w:rPr>
              <w:t> </w:t>
            </w:r>
            <w:r>
              <w:rPr>
                <w:sz w:val="24"/>
              </w:rPr>
              <w:t>to</w:t>
            </w:r>
            <w:r>
              <w:rPr>
                <w:spacing w:val="28"/>
                <w:sz w:val="24"/>
              </w:rPr>
              <w:t> </w:t>
            </w:r>
            <w:r>
              <w:rPr>
                <w:spacing w:val="-10"/>
                <w:sz w:val="24"/>
              </w:rPr>
              <w:t>5</w:t>
            </w:r>
          </w:p>
        </w:tc>
      </w:tr>
    </w:tbl>
    <w:p>
      <w:pPr>
        <w:pStyle w:val="BodyText"/>
        <w:spacing w:before="213"/>
        <w:jc w:val="left"/>
      </w:pPr>
    </w:p>
    <w:p>
      <w:pPr>
        <w:pStyle w:val="BodyText"/>
        <w:spacing w:line="276" w:lineRule="auto"/>
        <w:ind w:left="1342" w:right="771" w:firstLine="278"/>
      </w:pPr>
      <w:r>
        <w:rPr/>
        <w:t>On the plot area excluding area to be handed over to MCGM/Appropriate Authority in lieu of Reservation/ Existing amenity in the DP/ proposed DP roads/prescribed RL under MMC Act.</w:t>
      </w:r>
    </w:p>
    <w:p>
      <w:pPr>
        <w:pStyle w:val="BodyText"/>
        <w:spacing w:before="244"/>
        <w:ind w:left="2062"/>
        <w:jc w:val="left"/>
      </w:pPr>
      <w:r>
        <w:rPr/>
        <w:t>The</w:t>
      </w:r>
      <w:r>
        <w:rPr>
          <w:spacing w:val="-4"/>
        </w:rPr>
        <w:t> </w:t>
      </w:r>
      <w:r>
        <w:rPr/>
        <w:t>grant</w:t>
      </w:r>
      <w:r>
        <w:rPr>
          <w:spacing w:val="-4"/>
        </w:rPr>
        <w:t> </w:t>
      </w:r>
      <w:r>
        <w:rPr/>
        <w:t>of</w:t>
      </w:r>
      <w:r>
        <w:rPr>
          <w:spacing w:val="-4"/>
        </w:rPr>
        <w:t> </w:t>
      </w:r>
      <w:r>
        <w:rPr/>
        <w:t>additional</w:t>
      </w:r>
      <w:r>
        <w:rPr>
          <w:spacing w:val="-4"/>
        </w:rPr>
        <w:t> </w:t>
      </w:r>
      <w:r>
        <w:rPr/>
        <w:t>FSI</w:t>
      </w:r>
      <w:r>
        <w:rPr>
          <w:spacing w:val="-4"/>
        </w:rPr>
        <w:t> </w:t>
      </w:r>
      <w:r>
        <w:rPr/>
        <w:t>as</w:t>
      </w:r>
      <w:r>
        <w:rPr>
          <w:spacing w:val="-4"/>
        </w:rPr>
        <w:t> </w:t>
      </w:r>
      <w:r>
        <w:rPr/>
        <w:t>stated</w:t>
      </w:r>
      <w:r>
        <w:rPr>
          <w:spacing w:val="-6"/>
        </w:rPr>
        <w:t> </w:t>
      </w:r>
      <w:r>
        <w:rPr/>
        <w:t>above</w:t>
      </w:r>
      <w:r>
        <w:rPr>
          <w:spacing w:val="-4"/>
        </w:rPr>
        <w:t> </w:t>
      </w:r>
      <w:r>
        <w:rPr/>
        <w:t>shall</w:t>
      </w:r>
      <w:r>
        <w:rPr>
          <w:spacing w:val="-4"/>
        </w:rPr>
        <w:t> </w:t>
      </w:r>
      <w:r>
        <w:rPr/>
        <w:t>be</w:t>
      </w:r>
      <w:r>
        <w:rPr>
          <w:spacing w:val="-4"/>
        </w:rPr>
        <w:t> </w:t>
      </w:r>
      <w:r>
        <w:rPr/>
        <w:t>subject</w:t>
      </w:r>
      <w:r>
        <w:rPr>
          <w:spacing w:val="-8"/>
        </w:rPr>
        <w:t> </w:t>
      </w:r>
      <w:r>
        <w:rPr/>
        <w:t>to</w:t>
      </w:r>
      <w:r>
        <w:rPr>
          <w:spacing w:val="-4"/>
        </w:rPr>
        <w:t> </w:t>
      </w:r>
      <w:r>
        <w:rPr/>
        <w:t>following </w:t>
      </w:r>
      <w:r>
        <w:rPr>
          <w:spacing w:val="-2"/>
        </w:rPr>
        <w:t>conditions,</w:t>
      </w:r>
    </w:p>
    <w:p>
      <w:pPr>
        <w:pStyle w:val="ListParagraph"/>
        <w:numPr>
          <w:ilvl w:val="0"/>
          <w:numId w:val="203"/>
        </w:numPr>
        <w:tabs>
          <w:tab w:pos="2332" w:val="left" w:leader="none"/>
          <w:tab w:pos="2422" w:val="left" w:leader="none"/>
        </w:tabs>
        <w:spacing w:line="240" w:lineRule="auto" w:before="239" w:after="0"/>
        <w:ind w:left="2422" w:right="768" w:hanging="360"/>
        <w:jc w:val="both"/>
        <w:rPr>
          <w:sz w:val="24"/>
        </w:rPr>
      </w:pPr>
      <w:r>
        <w:rPr>
          <w:sz w:val="24"/>
        </w:rPr>
        <w:t>The additional FSI shall be granted beyond permissible FSI as per regulation 30(A)(1)upon the payment of premium. Such premium shall be recovered for the BUA at the rate of</w:t>
      </w:r>
      <w:r>
        <w:rPr>
          <w:spacing w:val="40"/>
          <w:sz w:val="24"/>
        </w:rPr>
        <w:t> </w:t>
      </w:r>
      <w:r>
        <w:rPr>
          <w:sz w:val="24"/>
        </w:rPr>
        <w:t>50% of ASR for open develop land (for FSI 1)</w:t>
      </w:r>
    </w:p>
    <w:p>
      <w:pPr>
        <w:spacing w:before="0"/>
        <w:ind w:left="2062" w:right="0" w:firstLine="0"/>
        <w:jc w:val="left"/>
        <w:rPr>
          <w:sz w:val="24"/>
        </w:rPr>
      </w:pPr>
      <w:r>
        <w:rPr>
          <w:spacing w:val="-10"/>
          <w:sz w:val="24"/>
        </w:rPr>
        <w:t>.</w:t>
      </w:r>
    </w:p>
    <w:p>
      <w:pPr>
        <w:pStyle w:val="ListParagraph"/>
        <w:numPr>
          <w:ilvl w:val="0"/>
          <w:numId w:val="203"/>
        </w:numPr>
        <w:tabs>
          <w:tab w:pos="2332" w:val="left" w:leader="none"/>
        </w:tabs>
        <w:spacing w:line="240" w:lineRule="auto" w:before="1" w:after="0"/>
        <w:ind w:left="2062" w:right="774" w:firstLine="0"/>
        <w:jc w:val="both"/>
        <w:rPr>
          <w:sz w:val="24"/>
        </w:rPr>
      </w:pPr>
      <w:r>
        <w:rPr>
          <w:sz w:val="24"/>
        </w:rPr>
        <w:t>.</w:t>
      </w:r>
      <w:r>
        <w:rPr>
          <w:sz w:val="22"/>
        </w:rPr>
        <w:t>The premium so collected shall be shared between the Planning Authority and</w:t>
      </w:r>
      <w:r>
        <w:rPr>
          <w:spacing w:val="-2"/>
          <w:sz w:val="22"/>
        </w:rPr>
        <w:t> </w:t>
      </w:r>
      <w:r>
        <w:rPr>
          <w:sz w:val="22"/>
        </w:rPr>
        <w:t>the</w:t>
      </w:r>
      <w:r>
        <w:rPr>
          <w:spacing w:val="-2"/>
          <w:sz w:val="22"/>
        </w:rPr>
        <w:t> </w:t>
      </w:r>
      <w:r>
        <w:rPr>
          <w:sz w:val="22"/>
        </w:rPr>
        <w:t>Government</w:t>
      </w:r>
      <w:r>
        <w:rPr>
          <w:spacing w:val="-4"/>
          <w:sz w:val="22"/>
        </w:rPr>
        <w:t> </w:t>
      </w:r>
      <w:r>
        <w:rPr>
          <w:sz w:val="22"/>
        </w:rPr>
        <w:t>in</w:t>
      </w:r>
      <w:r>
        <w:rPr>
          <w:spacing w:val="-2"/>
          <w:sz w:val="22"/>
        </w:rPr>
        <w:t> </w:t>
      </w:r>
      <w:r>
        <w:rPr>
          <w:sz w:val="22"/>
        </w:rPr>
        <w:t>the</w:t>
      </w:r>
      <w:r>
        <w:rPr>
          <w:spacing w:val="-2"/>
          <w:sz w:val="22"/>
        </w:rPr>
        <w:t> </w:t>
      </w:r>
      <w:r>
        <w:rPr>
          <w:sz w:val="22"/>
        </w:rPr>
        <w:t>proportion</w:t>
      </w:r>
      <w:r>
        <w:rPr>
          <w:spacing w:val="-4"/>
          <w:sz w:val="22"/>
        </w:rPr>
        <w:t> </w:t>
      </w:r>
      <w:r>
        <w:rPr>
          <w:sz w:val="22"/>
        </w:rPr>
        <w:t>of</w:t>
      </w:r>
      <w:r>
        <w:rPr>
          <w:spacing w:val="-3"/>
          <w:sz w:val="22"/>
        </w:rPr>
        <w:t> </w:t>
      </w:r>
      <w:r>
        <w:rPr>
          <w:sz w:val="22"/>
        </w:rPr>
        <w:t>50:50.</w:t>
      </w:r>
      <w:r>
        <w:rPr>
          <w:spacing w:val="-3"/>
          <w:sz w:val="22"/>
        </w:rPr>
        <w:t> </w:t>
      </w:r>
      <w:r>
        <w:rPr>
          <w:sz w:val="22"/>
        </w:rPr>
        <w:t>The share of</w:t>
      </w:r>
      <w:r>
        <w:rPr>
          <w:spacing w:val="-3"/>
          <w:sz w:val="22"/>
        </w:rPr>
        <w:t> </w:t>
      </w:r>
      <w:r>
        <w:rPr>
          <w:sz w:val="22"/>
        </w:rPr>
        <w:t>the</w:t>
      </w:r>
      <w:r>
        <w:rPr>
          <w:spacing w:val="-2"/>
          <w:sz w:val="22"/>
        </w:rPr>
        <w:t> </w:t>
      </w:r>
      <w:r>
        <w:rPr>
          <w:sz w:val="22"/>
        </w:rPr>
        <w:t>Government shall be paid to the Deputy Director of Town Planning, Greater Mumbai</w:t>
      </w:r>
      <w:r>
        <w:rPr>
          <w:sz w:val="24"/>
        </w:rPr>
        <w:t>.</w:t>
      </w:r>
    </w:p>
    <w:p>
      <w:pPr>
        <w:pStyle w:val="BodyText"/>
        <w:spacing w:before="24"/>
        <w:jc w:val="left"/>
        <w:rPr>
          <w:sz w:val="22"/>
        </w:rPr>
      </w:pPr>
    </w:p>
    <w:p>
      <w:pPr>
        <w:spacing w:line="360" w:lineRule="auto" w:before="0"/>
        <w:ind w:left="2062" w:right="772" w:firstLine="0"/>
        <w:jc w:val="both"/>
        <w:rPr>
          <w:sz w:val="22"/>
        </w:rPr>
      </w:pPr>
      <w:r>
        <w:rPr>
          <w:sz w:val="22"/>
        </w:rPr>
        <w:t>(Explanation: - Premium charges shall be calculated on the value of lands under such zones, determined by considering the land rates of the said land as</w:t>
      </w:r>
      <w:r>
        <w:rPr>
          <w:spacing w:val="-11"/>
          <w:sz w:val="22"/>
        </w:rPr>
        <w:t> </w:t>
      </w:r>
      <w:r>
        <w:rPr>
          <w:sz w:val="22"/>
        </w:rPr>
        <w:t>prescribed</w:t>
      </w:r>
      <w:r>
        <w:rPr>
          <w:spacing w:val="-14"/>
          <w:sz w:val="22"/>
        </w:rPr>
        <w:t> </w:t>
      </w:r>
      <w:r>
        <w:rPr>
          <w:sz w:val="22"/>
        </w:rPr>
        <w:t>in</w:t>
      </w:r>
      <w:r>
        <w:rPr>
          <w:spacing w:val="-13"/>
          <w:sz w:val="22"/>
        </w:rPr>
        <w:t> </w:t>
      </w:r>
      <w:r>
        <w:rPr>
          <w:sz w:val="22"/>
        </w:rPr>
        <w:t>Annual</w:t>
      </w:r>
      <w:r>
        <w:rPr>
          <w:spacing w:val="-11"/>
          <w:sz w:val="22"/>
        </w:rPr>
        <w:t> </w:t>
      </w:r>
      <w:r>
        <w:rPr>
          <w:sz w:val="22"/>
        </w:rPr>
        <w:t>Statement</w:t>
      </w:r>
      <w:r>
        <w:rPr>
          <w:spacing w:val="-14"/>
          <w:sz w:val="22"/>
        </w:rPr>
        <w:t> </w:t>
      </w:r>
      <w:r>
        <w:rPr>
          <w:sz w:val="22"/>
        </w:rPr>
        <w:t>of</w:t>
      </w:r>
      <w:r>
        <w:rPr>
          <w:spacing w:val="-12"/>
          <w:sz w:val="22"/>
        </w:rPr>
        <w:t> </w:t>
      </w:r>
      <w:r>
        <w:rPr>
          <w:sz w:val="22"/>
        </w:rPr>
        <w:t>Rates</w:t>
      </w:r>
      <w:r>
        <w:rPr>
          <w:spacing w:val="-11"/>
          <w:sz w:val="22"/>
        </w:rPr>
        <w:t> </w:t>
      </w:r>
      <w:r>
        <w:rPr>
          <w:sz w:val="22"/>
        </w:rPr>
        <w:t>(ASR).</w:t>
      </w:r>
      <w:r>
        <w:rPr>
          <w:spacing w:val="-12"/>
          <w:sz w:val="22"/>
        </w:rPr>
        <w:t> </w:t>
      </w:r>
      <w:r>
        <w:rPr>
          <w:sz w:val="22"/>
        </w:rPr>
        <w:t>These</w:t>
      </w:r>
      <w:r>
        <w:rPr>
          <w:spacing w:val="-11"/>
          <w:sz w:val="22"/>
        </w:rPr>
        <w:t> </w:t>
      </w:r>
      <w:r>
        <w:rPr>
          <w:sz w:val="22"/>
        </w:rPr>
        <w:t>charges</w:t>
      </w:r>
      <w:r>
        <w:rPr>
          <w:spacing w:val="-11"/>
          <w:sz w:val="22"/>
        </w:rPr>
        <w:t> </w:t>
      </w:r>
      <w:r>
        <w:rPr>
          <w:sz w:val="22"/>
        </w:rPr>
        <w:t>shall</w:t>
      </w:r>
      <w:r>
        <w:rPr>
          <w:spacing w:val="-13"/>
          <w:sz w:val="22"/>
        </w:rPr>
        <w:t> </w:t>
      </w:r>
      <w:r>
        <w:rPr>
          <w:sz w:val="22"/>
        </w:rPr>
        <w:t>be</w:t>
      </w:r>
      <w:r>
        <w:rPr>
          <w:spacing w:val="-9"/>
          <w:sz w:val="22"/>
        </w:rPr>
        <w:t> </w:t>
      </w:r>
      <w:r>
        <w:rPr>
          <w:sz w:val="22"/>
        </w:rPr>
        <w:t>paid at the time of permitting additional F.S.I. by considering the ASR for the relevant year without applying the guidelines)</w:t>
      </w:r>
    </w:p>
    <w:p>
      <w:pPr>
        <w:pStyle w:val="BodyText"/>
        <w:spacing w:before="23"/>
        <w:jc w:val="left"/>
        <w:rPr>
          <w:sz w:val="22"/>
        </w:rPr>
      </w:pPr>
    </w:p>
    <w:p>
      <w:pPr>
        <w:pStyle w:val="ListParagraph"/>
        <w:numPr>
          <w:ilvl w:val="0"/>
          <w:numId w:val="203"/>
        </w:numPr>
        <w:tabs>
          <w:tab w:pos="2062" w:val="left" w:leader="none"/>
        </w:tabs>
        <w:spacing w:line="360" w:lineRule="auto" w:before="0" w:after="0"/>
        <w:ind w:left="2062" w:right="766" w:hanging="360"/>
        <w:jc w:val="both"/>
        <w:rPr>
          <w:sz w:val="24"/>
        </w:rPr>
      </w:pPr>
      <w:r>
        <w:rPr>
          <w:sz w:val="24"/>
        </w:rPr>
        <w:t>Maximum</w:t>
      </w:r>
      <w:r>
        <w:rPr>
          <w:spacing w:val="-6"/>
          <w:sz w:val="24"/>
        </w:rPr>
        <w:t> </w:t>
      </w:r>
      <w:r>
        <w:rPr>
          <w:sz w:val="24"/>
        </w:rPr>
        <w:t>20%</w:t>
      </w:r>
      <w:r>
        <w:rPr>
          <w:spacing w:val="-6"/>
          <w:sz w:val="24"/>
        </w:rPr>
        <w:t> </w:t>
      </w:r>
      <w:r>
        <w:rPr>
          <w:sz w:val="24"/>
        </w:rPr>
        <w:t>of</w:t>
      </w:r>
      <w:r>
        <w:rPr>
          <w:spacing w:val="-6"/>
          <w:sz w:val="24"/>
        </w:rPr>
        <w:t> </w:t>
      </w:r>
      <w:r>
        <w:rPr>
          <w:sz w:val="24"/>
        </w:rPr>
        <w:t>total</w:t>
      </w:r>
      <w:r>
        <w:rPr>
          <w:spacing w:val="-6"/>
          <w:sz w:val="24"/>
        </w:rPr>
        <w:t> </w:t>
      </w:r>
      <w:r>
        <w:rPr>
          <w:sz w:val="24"/>
        </w:rPr>
        <w:t>proposed</w:t>
      </w:r>
      <w:r>
        <w:rPr>
          <w:spacing w:val="-6"/>
          <w:sz w:val="24"/>
        </w:rPr>
        <w:t> </w:t>
      </w:r>
      <w:r>
        <w:rPr>
          <w:sz w:val="24"/>
        </w:rPr>
        <w:t>Built-up</w:t>
      </w:r>
      <w:r>
        <w:rPr>
          <w:spacing w:val="-6"/>
          <w:sz w:val="24"/>
        </w:rPr>
        <w:t> </w:t>
      </w:r>
      <w:r>
        <w:rPr>
          <w:sz w:val="24"/>
        </w:rPr>
        <w:t>area</w:t>
      </w:r>
      <w:r>
        <w:rPr>
          <w:spacing w:val="-6"/>
          <w:sz w:val="24"/>
        </w:rPr>
        <w:t> </w:t>
      </w:r>
      <w:r>
        <w:rPr>
          <w:sz w:val="24"/>
        </w:rPr>
        <w:t>(excluding</w:t>
      </w:r>
      <w:r>
        <w:rPr>
          <w:spacing w:val="-6"/>
          <w:sz w:val="24"/>
        </w:rPr>
        <w:t> </w:t>
      </w:r>
      <w:r>
        <w:rPr>
          <w:sz w:val="24"/>
        </w:rPr>
        <w:t>parking</w:t>
      </w:r>
      <w:r>
        <w:rPr>
          <w:spacing w:val="-6"/>
          <w:sz w:val="24"/>
        </w:rPr>
        <w:t> </w:t>
      </w:r>
      <w:r>
        <w:rPr>
          <w:sz w:val="24"/>
        </w:rPr>
        <w:t>area) inclusive</w:t>
      </w:r>
      <w:r>
        <w:rPr>
          <w:spacing w:val="-13"/>
          <w:sz w:val="24"/>
        </w:rPr>
        <w:t> </w:t>
      </w:r>
      <w:r>
        <w:rPr>
          <w:sz w:val="24"/>
        </w:rPr>
        <w:t>of</w:t>
      </w:r>
      <w:r>
        <w:rPr>
          <w:spacing w:val="-13"/>
          <w:sz w:val="24"/>
        </w:rPr>
        <w:t> </w:t>
      </w:r>
      <w:r>
        <w:rPr>
          <w:sz w:val="24"/>
        </w:rPr>
        <w:t>such</w:t>
      </w:r>
      <w:r>
        <w:rPr>
          <w:spacing w:val="-13"/>
          <w:sz w:val="24"/>
        </w:rPr>
        <w:t> </w:t>
      </w:r>
      <w:r>
        <w:rPr>
          <w:sz w:val="24"/>
        </w:rPr>
        <w:t>additional</w:t>
      </w:r>
      <w:r>
        <w:rPr>
          <w:spacing w:val="-13"/>
          <w:sz w:val="24"/>
        </w:rPr>
        <w:t> </w:t>
      </w:r>
      <w:r>
        <w:rPr>
          <w:sz w:val="24"/>
        </w:rPr>
        <w:t>F.S.I.</w:t>
      </w:r>
      <w:r>
        <w:rPr>
          <w:spacing w:val="-13"/>
          <w:sz w:val="24"/>
        </w:rPr>
        <w:t> </w:t>
      </w:r>
      <w:r>
        <w:rPr>
          <w:sz w:val="24"/>
        </w:rPr>
        <w:t>may</w:t>
      </w:r>
      <w:r>
        <w:rPr>
          <w:spacing w:val="-12"/>
          <w:sz w:val="24"/>
        </w:rPr>
        <w:t> </w:t>
      </w:r>
      <w:r>
        <w:rPr>
          <w:sz w:val="24"/>
        </w:rPr>
        <w:t>be</w:t>
      </w:r>
      <w:r>
        <w:rPr>
          <w:spacing w:val="-13"/>
          <w:sz w:val="24"/>
        </w:rPr>
        <w:t> </w:t>
      </w:r>
      <w:r>
        <w:rPr>
          <w:sz w:val="24"/>
        </w:rPr>
        <w:t>permitted</w:t>
      </w:r>
      <w:r>
        <w:rPr>
          <w:spacing w:val="-13"/>
          <w:sz w:val="24"/>
        </w:rPr>
        <w:t> </w:t>
      </w:r>
      <w:r>
        <w:rPr>
          <w:sz w:val="24"/>
        </w:rPr>
        <w:t>for</w:t>
      </w:r>
      <w:r>
        <w:rPr>
          <w:spacing w:val="-13"/>
          <w:sz w:val="24"/>
        </w:rPr>
        <w:t> </w:t>
      </w:r>
      <w:r>
        <w:rPr>
          <w:sz w:val="24"/>
        </w:rPr>
        <w:t>support</w:t>
      </w:r>
      <w:r>
        <w:rPr>
          <w:spacing w:val="-12"/>
          <w:sz w:val="24"/>
        </w:rPr>
        <w:t> </w:t>
      </w:r>
      <w:r>
        <w:rPr>
          <w:sz w:val="24"/>
        </w:rPr>
        <w:t>services as defined in IT/ITES Policy 2015, in IT Parks and remaining built-up area shall be utilized for IT/ITES.</w:t>
      </w:r>
    </w:p>
    <w:p>
      <w:pPr>
        <w:pStyle w:val="BodyText"/>
        <w:spacing w:before="42"/>
        <w:jc w:val="left"/>
      </w:pPr>
    </w:p>
    <w:p>
      <w:pPr>
        <w:pStyle w:val="ListParagraph"/>
        <w:numPr>
          <w:ilvl w:val="0"/>
          <w:numId w:val="203"/>
        </w:numPr>
        <w:tabs>
          <w:tab w:pos="2062" w:val="left" w:leader="none"/>
        </w:tabs>
        <w:spacing w:line="360" w:lineRule="auto" w:before="1" w:after="0"/>
        <w:ind w:left="2062" w:right="768" w:hanging="360"/>
        <w:jc w:val="both"/>
        <w:rPr>
          <w:sz w:val="24"/>
        </w:rPr>
      </w:pPr>
      <w:r>
        <w:rPr>
          <w:sz w:val="24"/>
        </w:rPr>
        <w:t>Maximum</w:t>
      </w:r>
      <w:r>
        <w:rPr>
          <w:spacing w:val="-6"/>
          <w:sz w:val="24"/>
        </w:rPr>
        <w:t> </w:t>
      </w:r>
      <w:r>
        <w:rPr>
          <w:sz w:val="24"/>
        </w:rPr>
        <w:t>40%</w:t>
      </w:r>
      <w:r>
        <w:rPr>
          <w:spacing w:val="-6"/>
          <w:sz w:val="24"/>
        </w:rPr>
        <w:t> </w:t>
      </w:r>
      <w:r>
        <w:rPr>
          <w:sz w:val="24"/>
        </w:rPr>
        <w:t>of</w:t>
      </w:r>
      <w:r>
        <w:rPr>
          <w:spacing w:val="-6"/>
          <w:sz w:val="24"/>
        </w:rPr>
        <w:t> </w:t>
      </w:r>
      <w:r>
        <w:rPr>
          <w:sz w:val="24"/>
        </w:rPr>
        <w:t>total</w:t>
      </w:r>
      <w:r>
        <w:rPr>
          <w:spacing w:val="-6"/>
          <w:sz w:val="24"/>
        </w:rPr>
        <w:t> </w:t>
      </w:r>
      <w:r>
        <w:rPr>
          <w:sz w:val="24"/>
        </w:rPr>
        <w:t>proposed</w:t>
      </w:r>
      <w:r>
        <w:rPr>
          <w:spacing w:val="-6"/>
          <w:sz w:val="24"/>
        </w:rPr>
        <w:t> </w:t>
      </w:r>
      <w:r>
        <w:rPr>
          <w:sz w:val="24"/>
        </w:rPr>
        <w:t>Built-up</w:t>
      </w:r>
      <w:r>
        <w:rPr>
          <w:spacing w:val="-6"/>
          <w:sz w:val="24"/>
        </w:rPr>
        <w:t> </w:t>
      </w:r>
      <w:r>
        <w:rPr>
          <w:sz w:val="24"/>
        </w:rPr>
        <w:t>area</w:t>
      </w:r>
      <w:r>
        <w:rPr>
          <w:spacing w:val="-6"/>
          <w:sz w:val="24"/>
        </w:rPr>
        <w:t> </w:t>
      </w:r>
      <w:r>
        <w:rPr>
          <w:sz w:val="24"/>
        </w:rPr>
        <w:t>(excluding</w:t>
      </w:r>
      <w:r>
        <w:rPr>
          <w:spacing w:val="-6"/>
          <w:sz w:val="24"/>
        </w:rPr>
        <w:t> </w:t>
      </w:r>
      <w:r>
        <w:rPr>
          <w:sz w:val="24"/>
        </w:rPr>
        <w:t>parking</w:t>
      </w:r>
      <w:r>
        <w:rPr>
          <w:spacing w:val="-6"/>
          <w:sz w:val="24"/>
        </w:rPr>
        <w:t> </w:t>
      </w:r>
      <w:r>
        <w:rPr>
          <w:sz w:val="24"/>
        </w:rPr>
        <w:t>area) inclusive</w:t>
      </w:r>
      <w:r>
        <w:rPr>
          <w:spacing w:val="-13"/>
          <w:sz w:val="24"/>
        </w:rPr>
        <w:t> </w:t>
      </w:r>
      <w:r>
        <w:rPr>
          <w:sz w:val="24"/>
        </w:rPr>
        <w:t>of</w:t>
      </w:r>
      <w:r>
        <w:rPr>
          <w:spacing w:val="-13"/>
          <w:sz w:val="24"/>
        </w:rPr>
        <w:t> </w:t>
      </w:r>
      <w:r>
        <w:rPr>
          <w:sz w:val="24"/>
        </w:rPr>
        <w:t>such</w:t>
      </w:r>
      <w:r>
        <w:rPr>
          <w:spacing w:val="-13"/>
          <w:sz w:val="24"/>
        </w:rPr>
        <w:t> </w:t>
      </w:r>
      <w:r>
        <w:rPr>
          <w:sz w:val="24"/>
        </w:rPr>
        <w:t>additional</w:t>
      </w:r>
      <w:r>
        <w:rPr>
          <w:spacing w:val="-13"/>
          <w:sz w:val="24"/>
        </w:rPr>
        <w:t> </w:t>
      </w:r>
      <w:r>
        <w:rPr>
          <w:sz w:val="24"/>
        </w:rPr>
        <w:t>F.S.I.</w:t>
      </w:r>
      <w:r>
        <w:rPr>
          <w:spacing w:val="-13"/>
          <w:sz w:val="24"/>
        </w:rPr>
        <w:t> </w:t>
      </w:r>
      <w:r>
        <w:rPr>
          <w:sz w:val="24"/>
        </w:rPr>
        <w:t>may</w:t>
      </w:r>
      <w:r>
        <w:rPr>
          <w:spacing w:val="-12"/>
          <w:sz w:val="24"/>
        </w:rPr>
        <w:t> </w:t>
      </w:r>
      <w:r>
        <w:rPr>
          <w:sz w:val="24"/>
        </w:rPr>
        <w:t>be</w:t>
      </w:r>
      <w:r>
        <w:rPr>
          <w:spacing w:val="-13"/>
          <w:sz w:val="24"/>
        </w:rPr>
        <w:t> </w:t>
      </w:r>
      <w:r>
        <w:rPr>
          <w:sz w:val="24"/>
        </w:rPr>
        <w:t>permitted</w:t>
      </w:r>
      <w:r>
        <w:rPr>
          <w:spacing w:val="-13"/>
          <w:sz w:val="24"/>
        </w:rPr>
        <w:t> </w:t>
      </w:r>
      <w:r>
        <w:rPr>
          <w:sz w:val="24"/>
        </w:rPr>
        <w:t>for</w:t>
      </w:r>
      <w:r>
        <w:rPr>
          <w:spacing w:val="-13"/>
          <w:sz w:val="24"/>
        </w:rPr>
        <w:t> </w:t>
      </w:r>
      <w:r>
        <w:rPr>
          <w:sz w:val="24"/>
        </w:rPr>
        <w:t>support</w:t>
      </w:r>
      <w:r>
        <w:rPr>
          <w:spacing w:val="-13"/>
          <w:sz w:val="24"/>
        </w:rPr>
        <w:t> </w:t>
      </w:r>
      <w:r>
        <w:rPr>
          <w:sz w:val="24"/>
        </w:rPr>
        <w:t>services in IT Parks in Municipal Corporations which are not covered under Serial No. c) above and remaining built-up area shall be utilized for </w:t>
      </w:r>
      <w:r>
        <w:rPr>
          <w:spacing w:val="-2"/>
          <w:sz w:val="24"/>
        </w:rPr>
        <w:t>IT/ITES.</w:t>
      </w:r>
    </w:p>
    <w:p>
      <w:pPr>
        <w:pStyle w:val="ListParagraph"/>
        <w:spacing w:after="0" w:line="360" w:lineRule="auto"/>
        <w:jc w:val="both"/>
        <w:rPr>
          <w:sz w:val="24"/>
        </w:rPr>
        <w:sectPr>
          <w:pgSz w:w="11910" w:h="16840"/>
          <w:pgMar w:header="1065" w:footer="1194" w:top="1500" w:bottom="1380" w:left="360" w:right="360"/>
        </w:sectPr>
      </w:pPr>
    </w:p>
    <w:p>
      <w:pPr>
        <w:pStyle w:val="BodyText"/>
        <w:jc w:val="left"/>
      </w:pPr>
    </w:p>
    <w:p>
      <w:pPr>
        <w:pStyle w:val="BodyText"/>
        <w:spacing w:before="9"/>
        <w:jc w:val="left"/>
      </w:pPr>
    </w:p>
    <w:p>
      <w:pPr>
        <w:pStyle w:val="ListParagraph"/>
        <w:numPr>
          <w:ilvl w:val="0"/>
          <w:numId w:val="203"/>
        </w:numPr>
        <w:tabs>
          <w:tab w:pos="2062" w:val="left" w:leader="none"/>
        </w:tabs>
        <w:spacing w:line="360" w:lineRule="auto" w:before="1" w:after="0"/>
        <w:ind w:left="2062" w:right="766" w:hanging="360"/>
        <w:jc w:val="both"/>
        <w:rPr>
          <w:sz w:val="24"/>
        </w:rPr>
      </w:pPr>
      <w:r>
        <w:rPr>
          <w:sz w:val="24"/>
        </w:rPr>
        <w:t>New said unit shall allocate at least 2% of the total proposed built-up area, for providing incubation facilities for new units. This area would be treated as a part of the Park to be used for IT activities and eligible for additional FSI benefits accordingly.</w:t>
      </w:r>
    </w:p>
    <w:p>
      <w:pPr>
        <w:pStyle w:val="BodyText"/>
        <w:spacing w:before="43"/>
        <w:jc w:val="left"/>
      </w:pPr>
    </w:p>
    <w:p>
      <w:pPr>
        <w:pStyle w:val="ListParagraph"/>
        <w:numPr>
          <w:ilvl w:val="0"/>
          <w:numId w:val="203"/>
        </w:numPr>
        <w:tabs>
          <w:tab w:pos="2060" w:val="left" w:leader="none"/>
          <w:tab w:pos="2062" w:val="left" w:leader="none"/>
        </w:tabs>
        <w:spacing w:line="360" w:lineRule="auto" w:before="1" w:after="0"/>
        <w:ind w:left="2062" w:right="768" w:hanging="360"/>
        <w:jc w:val="both"/>
        <w:rPr>
          <w:sz w:val="24"/>
        </w:rPr>
      </w:pPr>
      <w:r>
        <w:rPr>
          <w:sz w:val="24"/>
        </w:rPr>
        <w:t>Premium to be received by the Planning Authority as per provisions in this regulation shall be deposited in a separate fund viz. "Critical Infrastructure Fund for IT/ITES Industries" and this fund shall be utilized only for creation of Critical Infrastructure for IT/ITES </w:t>
      </w:r>
      <w:r>
        <w:rPr>
          <w:spacing w:val="-2"/>
          <w:sz w:val="24"/>
        </w:rPr>
        <w:t>Industries:</w:t>
      </w:r>
    </w:p>
    <w:p>
      <w:pPr>
        <w:pStyle w:val="BodyText"/>
        <w:spacing w:before="41"/>
        <w:jc w:val="left"/>
      </w:pPr>
    </w:p>
    <w:p>
      <w:pPr>
        <w:pStyle w:val="BodyText"/>
        <w:spacing w:line="360" w:lineRule="auto" w:before="1"/>
        <w:ind w:left="2062" w:right="766" w:firstLine="720"/>
      </w:pPr>
      <w:r>
        <w:rPr/>
        <w:t>Provided that in the event, the developer come forward for providing</w:t>
      </w:r>
      <w:r>
        <w:rPr>
          <w:spacing w:val="-1"/>
        </w:rPr>
        <w:t> </w:t>
      </w:r>
      <w:r>
        <w:rPr/>
        <w:t>such</w:t>
      </w:r>
      <w:r>
        <w:rPr>
          <w:spacing w:val="-1"/>
        </w:rPr>
        <w:t> </w:t>
      </w:r>
      <w:r>
        <w:rPr/>
        <w:t>off</w:t>
      </w:r>
      <w:r>
        <w:rPr>
          <w:spacing w:val="-1"/>
        </w:rPr>
        <w:t> </w:t>
      </w:r>
      <w:r>
        <w:rPr/>
        <w:t>site</w:t>
      </w:r>
      <w:r>
        <w:rPr>
          <w:spacing w:val="-1"/>
        </w:rPr>
        <w:t> </w:t>
      </w:r>
      <w:r>
        <w:rPr/>
        <w:t>infrastructure</w:t>
      </w:r>
      <w:r>
        <w:rPr>
          <w:spacing w:val="-1"/>
        </w:rPr>
        <w:t> </w:t>
      </w:r>
      <w:r>
        <w:rPr/>
        <w:t>at</w:t>
      </w:r>
      <w:r>
        <w:rPr>
          <w:spacing w:val="-1"/>
        </w:rPr>
        <w:t> </w:t>
      </w:r>
      <w:r>
        <w:rPr/>
        <w:t>his</w:t>
      </w:r>
      <w:r>
        <w:rPr>
          <w:spacing w:val="-1"/>
        </w:rPr>
        <w:t> </w:t>
      </w:r>
      <w:r>
        <w:rPr/>
        <w:t>own</w:t>
      </w:r>
      <w:r>
        <w:rPr>
          <w:spacing w:val="-1"/>
        </w:rPr>
        <w:t> </w:t>
      </w:r>
      <w:r>
        <w:rPr/>
        <w:t>cost,</w:t>
      </w:r>
      <w:r>
        <w:rPr>
          <w:spacing w:val="-1"/>
        </w:rPr>
        <w:t> </w:t>
      </w:r>
      <w:r>
        <w:rPr/>
        <w:t>instead</w:t>
      </w:r>
      <w:r>
        <w:rPr>
          <w:spacing w:val="-1"/>
        </w:rPr>
        <w:t> </w:t>
      </w:r>
      <w:r>
        <w:rPr/>
        <w:t>of</w:t>
      </w:r>
      <w:r>
        <w:rPr>
          <w:spacing w:val="-1"/>
        </w:rPr>
        <w:t> </w:t>
      </w:r>
      <w:r>
        <w:rPr/>
        <w:t>paying premium as prescribed above, then the Planning Authority may determine the estimated cost of the work by using rates prescribed in District</w:t>
      </w:r>
      <w:r>
        <w:rPr>
          <w:spacing w:val="-5"/>
        </w:rPr>
        <w:t> </w:t>
      </w:r>
      <w:r>
        <w:rPr/>
        <w:t>Schedule</w:t>
      </w:r>
      <w:r>
        <w:rPr>
          <w:spacing w:val="-5"/>
        </w:rPr>
        <w:t> </w:t>
      </w:r>
      <w:r>
        <w:rPr/>
        <w:t>of</w:t>
      </w:r>
      <w:r>
        <w:rPr>
          <w:spacing w:val="-2"/>
        </w:rPr>
        <w:t> </w:t>
      </w:r>
      <w:r>
        <w:rPr/>
        <w:t>Rates</w:t>
      </w:r>
      <w:r>
        <w:rPr>
          <w:spacing w:val="-5"/>
        </w:rPr>
        <w:t> </w:t>
      </w:r>
      <w:r>
        <w:rPr/>
        <w:t>(DSR)</w:t>
      </w:r>
      <w:r>
        <w:rPr>
          <w:spacing w:val="-5"/>
        </w:rPr>
        <w:t> </w:t>
      </w:r>
      <w:r>
        <w:rPr/>
        <w:t>of</w:t>
      </w:r>
      <w:r>
        <w:rPr>
          <w:spacing w:val="-5"/>
        </w:rPr>
        <w:t> </w:t>
      </w:r>
      <w:r>
        <w:rPr/>
        <w:t>the</w:t>
      </w:r>
      <w:r>
        <w:rPr>
          <w:spacing w:val="-5"/>
        </w:rPr>
        <w:t> </w:t>
      </w:r>
      <w:r>
        <w:rPr/>
        <w:t>relevant</w:t>
      </w:r>
      <w:r>
        <w:rPr>
          <w:spacing w:val="-5"/>
        </w:rPr>
        <w:t> </w:t>
      </w:r>
      <w:r>
        <w:rPr/>
        <w:t>year,</w:t>
      </w:r>
      <w:r>
        <w:rPr>
          <w:spacing w:val="-5"/>
        </w:rPr>
        <w:t> </w:t>
      </w:r>
      <w:r>
        <w:rPr/>
        <w:t>in</w:t>
      </w:r>
      <w:r>
        <w:rPr>
          <w:spacing w:val="-5"/>
        </w:rPr>
        <w:t> </w:t>
      </w:r>
      <w:r>
        <w:rPr/>
        <w:t>which</w:t>
      </w:r>
      <w:r>
        <w:rPr>
          <w:spacing w:val="-3"/>
        </w:rPr>
        <w:t> </w:t>
      </w:r>
      <w:r>
        <w:rPr/>
        <w:t>order</w:t>
      </w:r>
      <w:r>
        <w:rPr>
          <w:spacing w:val="-5"/>
        </w:rPr>
        <w:t> </w:t>
      </w:r>
      <w:r>
        <w:rPr/>
        <w:t>for commencement of such work is issued. The Planning Authority shall also</w:t>
      </w:r>
      <w:r>
        <w:rPr>
          <w:spacing w:val="-17"/>
        </w:rPr>
        <w:t> </w:t>
      </w:r>
      <w:r>
        <w:rPr/>
        <w:t>prescribe</w:t>
      </w:r>
      <w:r>
        <w:rPr>
          <w:spacing w:val="-17"/>
        </w:rPr>
        <w:t> </w:t>
      </w:r>
      <w:r>
        <w:rPr/>
        <w:t>the</w:t>
      </w:r>
      <w:r>
        <w:rPr>
          <w:spacing w:val="-17"/>
        </w:rPr>
        <w:t> </w:t>
      </w:r>
      <w:r>
        <w:rPr/>
        <w:t>standards</w:t>
      </w:r>
      <w:r>
        <w:rPr>
          <w:spacing w:val="-17"/>
        </w:rPr>
        <w:t> </w:t>
      </w:r>
      <w:r>
        <w:rPr/>
        <w:t>for</w:t>
      </w:r>
      <w:r>
        <w:rPr>
          <w:spacing w:val="-17"/>
        </w:rPr>
        <w:t> </w:t>
      </w:r>
      <w:r>
        <w:rPr/>
        <w:t>the</w:t>
      </w:r>
      <w:r>
        <w:rPr>
          <w:spacing w:val="-17"/>
        </w:rPr>
        <w:t> </w:t>
      </w:r>
      <w:r>
        <w:rPr/>
        <w:t>work.</w:t>
      </w:r>
      <w:r>
        <w:rPr>
          <w:spacing w:val="-17"/>
        </w:rPr>
        <w:t> </w:t>
      </w:r>
      <w:r>
        <w:rPr/>
        <w:t>After</w:t>
      </w:r>
      <w:r>
        <w:rPr>
          <w:spacing w:val="-17"/>
        </w:rPr>
        <w:t> </w:t>
      </w:r>
      <w:r>
        <w:rPr/>
        <w:t>completion</w:t>
      </w:r>
      <w:r>
        <w:rPr>
          <w:spacing w:val="-17"/>
        </w:rPr>
        <w:t> </w:t>
      </w:r>
      <w:r>
        <w:rPr/>
        <w:t>of</w:t>
      </w:r>
      <w:r>
        <w:rPr>
          <w:spacing w:val="-15"/>
        </w:rPr>
        <w:t> </w:t>
      </w:r>
      <w:r>
        <w:rPr/>
        <w:t>the</w:t>
      </w:r>
      <w:r>
        <w:rPr>
          <w:spacing w:val="-17"/>
        </w:rPr>
        <w:t> </w:t>
      </w:r>
      <w:r>
        <w:rPr/>
        <w:t>works, the Planning Authority shall verify and satisfy itself that the same is developed</w:t>
      </w:r>
      <w:r>
        <w:rPr>
          <w:spacing w:val="-7"/>
        </w:rPr>
        <w:t> </w:t>
      </w:r>
      <w:r>
        <w:rPr/>
        <w:t>as</w:t>
      </w:r>
      <w:r>
        <w:rPr>
          <w:spacing w:val="-7"/>
        </w:rPr>
        <w:t> </w:t>
      </w:r>
      <w:r>
        <w:rPr/>
        <w:t>per</w:t>
      </w:r>
      <w:r>
        <w:rPr>
          <w:spacing w:val="-7"/>
        </w:rPr>
        <w:t> </w:t>
      </w:r>
      <w:r>
        <w:rPr/>
        <w:t>prescribed</w:t>
      </w:r>
      <w:r>
        <w:rPr>
          <w:spacing w:val="-7"/>
        </w:rPr>
        <w:t> </w:t>
      </w:r>
      <w:r>
        <w:rPr/>
        <w:t>standards</w:t>
      </w:r>
      <w:r>
        <w:rPr>
          <w:spacing w:val="-7"/>
        </w:rPr>
        <w:t> </w:t>
      </w:r>
      <w:r>
        <w:rPr/>
        <w:t>and</w:t>
      </w:r>
      <w:r>
        <w:rPr>
          <w:spacing w:val="-7"/>
        </w:rPr>
        <w:t> </w:t>
      </w:r>
      <w:r>
        <w:rPr/>
        <w:t>thereafter,</w:t>
      </w:r>
      <w:r>
        <w:rPr>
          <w:spacing w:val="-7"/>
        </w:rPr>
        <w:t> </w:t>
      </w:r>
      <w:r>
        <w:rPr/>
        <w:t>by</w:t>
      </w:r>
      <w:r>
        <w:rPr>
          <w:spacing w:val="-7"/>
        </w:rPr>
        <w:t> </w:t>
      </w:r>
      <w:r>
        <w:rPr/>
        <w:t>deducting</w:t>
      </w:r>
      <w:r>
        <w:rPr>
          <w:spacing w:val="-7"/>
        </w:rPr>
        <w:t> </w:t>
      </w:r>
      <w:r>
        <w:rPr/>
        <w:t>the cost of works, the balance amount of premium shall be recovered from such developer before issuing Occupancy Certificate.</w:t>
      </w:r>
    </w:p>
    <w:p>
      <w:pPr>
        <w:pStyle w:val="BodyText"/>
        <w:spacing w:line="360" w:lineRule="auto"/>
        <w:ind w:left="2062" w:right="770" w:firstLine="720"/>
      </w:pPr>
      <w:r>
        <w:rPr/>
        <w:t>Provided</w:t>
      </w:r>
      <w:r>
        <w:rPr>
          <w:spacing w:val="-4"/>
        </w:rPr>
        <w:t> </w:t>
      </w:r>
      <w:r>
        <w:rPr/>
        <w:t>that,</w:t>
      </w:r>
      <w:r>
        <w:rPr>
          <w:spacing w:val="-4"/>
        </w:rPr>
        <w:t> </w:t>
      </w:r>
      <w:r>
        <w:rPr/>
        <w:t>in</w:t>
      </w:r>
      <w:r>
        <w:rPr>
          <w:spacing w:val="-4"/>
        </w:rPr>
        <w:t> </w:t>
      </w:r>
      <w:r>
        <w:rPr/>
        <w:t>case</w:t>
      </w:r>
      <w:r>
        <w:rPr>
          <w:spacing w:val="-4"/>
        </w:rPr>
        <w:t> </w:t>
      </w:r>
      <w:r>
        <w:rPr/>
        <w:t>the</w:t>
      </w:r>
      <w:r>
        <w:rPr>
          <w:spacing w:val="-4"/>
        </w:rPr>
        <w:t> </w:t>
      </w:r>
      <w:r>
        <w:rPr/>
        <w:t>cost</w:t>
      </w:r>
      <w:r>
        <w:rPr>
          <w:spacing w:val="-4"/>
        </w:rPr>
        <w:t> </w:t>
      </w:r>
      <w:r>
        <w:rPr/>
        <w:t>of</w:t>
      </w:r>
      <w:r>
        <w:rPr>
          <w:spacing w:val="-4"/>
        </w:rPr>
        <w:t> </w:t>
      </w:r>
      <w:r>
        <w:rPr/>
        <w:t>work</w:t>
      </w:r>
      <w:r>
        <w:rPr>
          <w:spacing w:val="-6"/>
        </w:rPr>
        <w:t> </w:t>
      </w:r>
      <w:r>
        <w:rPr/>
        <w:t>is</w:t>
      </w:r>
      <w:r>
        <w:rPr>
          <w:spacing w:val="-7"/>
        </w:rPr>
        <w:t> </w:t>
      </w:r>
      <w:r>
        <w:rPr/>
        <w:t>more</w:t>
      </w:r>
      <w:r>
        <w:rPr>
          <w:spacing w:val="-4"/>
        </w:rPr>
        <w:t> </w:t>
      </w:r>
      <w:r>
        <w:rPr/>
        <w:t>than</w:t>
      </w:r>
      <w:r>
        <w:rPr>
          <w:spacing w:val="-4"/>
        </w:rPr>
        <w:t> </w:t>
      </w:r>
      <w:r>
        <w:rPr/>
        <w:t>the</w:t>
      </w:r>
      <w:r>
        <w:rPr>
          <w:spacing w:val="-4"/>
        </w:rPr>
        <w:t> </w:t>
      </w:r>
      <w:r>
        <w:rPr/>
        <w:t>premium to be recovered, such additional cost to be borned by such developer.</w:t>
      </w:r>
    </w:p>
    <w:p>
      <w:pPr>
        <w:pStyle w:val="ListParagraph"/>
        <w:numPr>
          <w:ilvl w:val="0"/>
          <w:numId w:val="203"/>
        </w:numPr>
        <w:tabs>
          <w:tab w:pos="2062" w:val="left" w:leader="none"/>
        </w:tabs>
        <w:spacing w:line="360" w:lineRule="auto" w:before="0" w:after="0"/>
        <w:ind w:left="2062" w:right="770" w:hanging="360"/>
        <w:jc w:val="both"/>
        <w:rPr>
          <w:sz w:val="24"/>
        </w:rPr>
      </w:pPr>
      <w:r>
        <w:rPr>
          <w:sz w:val="24"/>
        </w:rPr>
        <w:t>Permission for erecting towers and antenna upto height permitted by the</w:t>
      </w:r>
      <w:r>
        <w:rPr>
          <w:spacing w:val="-4"/>
          <w:sz w:val="24"/>
        </w:rPr>
        <w:t> </w:t>
      </w:r>
      <w:r>
        <w:rPr>
          <w:sz w:val="24"/>
        </w:rPr>
        <w:t>Civil</w:t>
      </w:r>
      <w:r>
        <w:rPr>
          <w:spacing w:val="-4"/>
          <w:sz w:val="24"/>
        </w:rPr>
        <w:t> </w:t>
      </w:r>
      <w:r>
        <w:rPr>
          <w:sz w:val="24"/>
        </w:rPr>
        <w:t>Aviation</w:t>
      </w:r>
      <w:r>
        <w:rPr>
          <w:spacing w:val="-4"/>
          <w:sz w:val="24"/>
        </w:rPr>
        <w:t> </w:t>
      </w:r>
      <w:r>
        <w:rPr>
          <w:sz w:val="24"/>
        </w:rPr>
        <w:t>Department</w:t>
      </w:r>
      <w:r>
        <w:rPr>
          <w:spacing w:val="-4"/>
          <w:sz w:val="24"/>
        </w:rPr>
        <w:t> </w:t>
      </w:r>
      <w:r>
        <w:rPr>
          <w:sz w:val="24"/>
        </w:rPr>
        <w:t>shall</w:t>
      </w:r>
      <w:r>
        <w:rPr>
          <w:spacing w:val="-4"/>
          <w:sz w:val="24"/>
        </w:rPr>
        <w:t> </w:t>
      </w:r>
      <w:r>
        <w:rPr>
          <w:sz w:val="24"/>
        </w:rPr>
        <w:t>be</w:t>
      </w:r>
      <w:r>
        <w:rPr>
          <w:spacing w:val="-4"/>
          <w:sz w:val="24"/>
        </w:rPr>
        <w:t> </w:t>
      </w:r>
      <w:r>
        <w:rPr>
          <w:sz w:val="24"/>
        </w:rPr>
        <w:t>granted</w:t>
      </w:r>
      <w:r>
        <w:rPr>
          <w:spacing w:val="-4"/>
          <w:sz w:val="24"/>
        </w:rPr>
        <w:t> </w:t>
      </w:r>
      <w:r>
        <w:rPr>
          <w:sz w:val="24"/>
        </w:rPr>
        <w:t>by</w:t>
      </w:r>
      <w:r>
        <w:rPr>
          <w:spacing w:val="-4"/>
          <w:sz w:val="24"/>
        </w:rPr>
        <w:t> </w:t>
      </w:r>
      <w:r>
        <w:rPr>
          <w:sz w:val="24"/>
        </w:rPr>
        <w:t>the</w:t>
      </w:r>
      <w:r>
        <w:rPr>
          <w:spacing w:val="-4"/>
          <w:sz w:val="24"/>
        </w:rPr>
        <w:t> </w:t>
      </w:r>
      <w:r>
        <w:rPr>
          <w:sz w:val="24"/>
        </w:rPr>
        <w:t>Commissioner</w:t>
      </w:r>
      <w:r>
        <w:rPr>
          <w:spacing w:val="-4"/>
          <w:sz w:val="24"/>
        </w:rPr>
        <w:t> </w:t>
      </w:r>
      <w:r>
        <w:rPr>
          <w:sz w:val="24"/>
        </w:rPr>
        <w:t>as per the procedure followed for development permission or otherwise as may he decided by the Government.</w:t>
      </w:r>
    </w:p>
    <w:p>
      <w:pPr>
        <w:pStyle w:val="ListParagraph"/>
        <w:numPr>
          <w:ilvl w:val="0"/>
          <w:numId w:val="203"/>
        </w:numPr>
        <w:tabs>
          <w:tab w:pos="2062" w:val="left" w:leader="none"/>
        </w:tabs>
        <w:spacing w:line="360" w:lineRule="auto" w:before="0" w:after="0"/>
        <w:ind w:left="2062" w:right="772" w:hanging="360"/>
        <w:jc w:val="both"/>
        <w:rPr>
          <w:sz w:val="24"/>
        </w:rPr>
      </w:pPr>
      <w:r>
        <w:rPr>
          <w:sz w:val="24"/>
        </w:rPr>
        <w:t>While developing site for IT/ITES with additional FSI, support services as defined in the IT Policy 2015, shall be allowed.</w:t>
      </w:r>
    </w:p>
    <w:p>
      <w:pPr>
        <w:pStyle w:val="ListParagraph"/>
        <w:spacing w:after="0" w:line="360" w:lineRule="auto"/>
        <w:jc w:val="both"/>
        <w:rPr>
          <w:sz w:val="24"/>
        </w:rPr>
        <w:sectPr>
          <w:pgSz w:w="11910" w:h="16840"/>
          <w:pgMar w:header="1065" w:footer="1194" w:top="1500" w:bottom="1380" w:left="360" w:right="360"/>
        </w:sectPr>
      </w:pPr>
    </w:p>
    <w:p>
      <w:pPr>
        <w:pStyle w:val="ListParagraph"/>
        <w:numPr>
          <w:ilvl w:val="0"/>
          <w:numId w:val="203"/>
        </w:numPr>
        <w:tabs>
          <w:tab w:pos="2062" w:val="left" w:leader="none"/>
        </w:tabs>
        <w:spacing w:line="360" w:lineRule="auto" w:before="249" w:after="0"/>
        <w:ind w:left="2062" w:right="766" w:hanging="360"/>
        <w:jc w:val="both"/>
        <w:rPr>
          <w:sz w:val="24"/>
        </w:rPr>
      </w:pPr>
      <w:r>
        <w:rPr>
          <w:sz w:val="24"/>
        </w:rPr>
        <w:t>Notwithstanding anything contained in these regulations, no amenity space</w:t>
      </w:r>
      <w:r>
        <w:rPr>
          <w:spacing w:val="-8"/>
          <w:sz w:val="24"/>
        </w:rPr>
        <w:t> </w:t>
      </w:r>
      <w:r>
        <w:rPr>
          <w:sz w:val="24"/>
        </w:rPr>
        <w:t>is</w:t>
      </w:r>
      <w:r>
        <w:rPr>
          <w:spacing w:val="-8"/>
          <w:sz w:val="24"/>
        </w:rPr>
        <w:t> </w:t>
      </w:r>
      <w:r>
        <w:rPr>
          <w:sz w:val="24"/>
        </w:rPr>
        <w:t>required</w:t>
      </w:r>
      <w:r>
        <w:rPr>
          <w:spacing w:val="-8"/>
          <w:sz w:val="24"/>
        </w:rPr>
        <w:t> </w:t>
      </w:r>
      <w:r>
        <w:rPr>
          <w:sz w:val="24"/>
        </w:rPr>
        <w:t>to</w:t>
      </w:r>
      <w:r>
        <w:rPr>
          <w:spacing w:val="-11"/>
          <w:sz w:val="24"/>
        </w:rPr>
        <w:t> </w:t>
      </w:r>
      <w:r>
        <w:rPr>
          <w:sz w:val="24"/>
        </w:rPr>
        <w:t>be</w:t>
      </w:r>
      <w:r>
        <w:rPr>
          <w:spacing w:val="-8"/>
          <w:sz w:val="24"/>
        </w:rPr>
        <w:t> </w:t>
      </w:r>
      <w:r>
        <w:rPr>
          <w:sz w:val="24"/>
        </w:rPr>
        <w:t>left</w:t>
      </w:r>
      <w:r>
        <w:rPr>
          <w:spacing w:val="-8"/>
          <w:sz w:val="24"/>
        </w:rPr>
        <w:t> </w:t>
      </w:r>
      <w:r>
        <w:rPr>
          <w:sz w:val="24"/>
        </w:rPr>
        <w:t>for</w:t>
      </w:r>
      <w:r>
        <w:rPr>
          <w:spacing w:val="-8"/>
          <w:sz w:val="24"/>
        </w:rPr>
        <w:t> </w:t>
      </w:r>
      <w:r>
        <w:rPr>
          <w:sz w:val="24"/>
        </w:rPr>
        <w:t>development</w:t>
      </w:r>
      <w:r>
        <w:rPr>
          <w:spacing w:val="-8"/>
          <w:sz w:val="24"/>
        </w:rPr>
        <w:t> </w:t>
      </w:r>
      <w:r>
        <w:rPr>
          <w:sz w:val="24"/>
        </w:rPr>
        <w:t>of</w:t>
      </w:r>
      <w:r>
        <w:rPr>
          <w:spacing w:val="-8"/>
          <w:sz w:val="24"/>
        </w:rPr>
        <w:t> </w:t>
      </w:r>
      <w:r>
        <w:rPr>
          <w:sz w:val="24"/>
        </w:rPr>
        <w:t>plot/land</w:t>
      </w:r>
      <w:r>
        <w:rPr>
          <w:spacing w:val="-8"/>
          <w:sz w:val="24"/>
        </w:rPr>
        <w:t> </w:t>
      </w:r>
      <w:r>
        <w:rPr>
          <w:sz w:val="24"/>
        </w:rPr>
        <w:t>upto</w:t>
      </w:r>
      <w:r>
        <w:rPr>
          <w:spacing w:val="-11"/>
          <w:sz w:val="24"/>
        </w:rPr>
        <w:t> </w:t>
      </w:r>
      <w:r>
        <w:rPr>
          <w:sz w:val="24"/>
        </w:rPr>
        <w:t>2.00</w:t>
      </w:r>
      <w:r>
        <w:rPr>
          <w:spacing w:val="-8"/>
          <w:sz w:val="24"/>
        </w:rPr>
        <w:t> </w:t>
      </w:r>
      <w:r>
        <w:rPr>
          <w:sz w:val="24"/>
        </w:rPr>
        <w:t>Hect. for IT/ITES.</w:t>
      </w:r>
    </w:p>
    <w:p>
      <w:pPr>
        <w:pStyle w:val="ListParagraph"/>
        <w:numPr>
          <w:ilvl w:val="0"/>
          <w:numId w:val="203"/>
        </w:numPr>
        <w:tabs>
          <w:tab w:pos="2062" w:val="left" w:leader="none"/>
        </w:tabs>
        <w:spacing w:line="360" w:lineRule="auto" w:before="2" w:after="0"/>
        <w:ind w:left="2062" w:right="768" w:hanging="360"/>
        <w:jc w:val="both"/>
        <w:rPr>
          <w:sz w:val="24"/>
        </w:rPr>
      </w:pPr>
      <w:r>
        <w:rPr>
          <w:sz w:val="24"/>
        </w:rPr>
        <w:t>The Directorate of industries will develop a web portal on which the developer of every IT park will be bound to provide/update detailed information</w:t>
      </w:r>
      <w:r>
        <w:rPr>
          <w:spacing w:val="-11"/>
          <w:sz w:val="24"/>
        </w:rPr>
        <w:t> </w:t>
      </w:r>
      <w:r>
        <w:rPr>
          <w:sz w:val="24"/>
        </w:rPr>
        <w:t>about</w:t>
      </w:r>
      <w:r>
        <w:rPr>
          <w:spacing w:val="-11"/>
          <w:sz w:val="24"/>
        </w:rPr>
        <w:t> </w:t>
      </w:r>
      <w:r>
        <w:rPr>
          <w:sz w:val="24"/>
        </w:rPr>
        <w:t>names</w:t>
      </w:r>
      <w:r>
        <w:rPr>
          <w:spacing w:val="-11"/>
          <w:sz w:val="24"/>
        </w:rPr>
        <w:t> </w:t>
      </w:r>
      <w:r>
        <w:rPr>
          <w:sz w:val="24"/>
        </w:rPr>
        <w:t>of</w:t>
      </w:r>
      <w:r>
        <w:rPr>
          <w:spacing w:val="-11"/>
          <w:sz w:val="24"/>
        </w:rPr>
        <w:t> </w:t>
      </w:r>
      <w:r>
        <w:rPr>
          <w:sz w:val="24"/>
        </w:rPr>
        <w:t>the</w:t>
      </w:r>
      <w:r>
        <w:rPr>
          <w:spacing w:val="-11"/>
          <w:sz w:val="24"/>
        </w:rPr>
        <w:t> </w:t>
      </w:r>
      <w:r>
        <w:rPr>
          <w:sz w:val="24"/>
        </w:rPr>
        <w:t>units</w:t>
      </w:r>
      <w:r>
        <w:rPr>
          <w:spacing w:val="-11"/>
          <w:sz w:val="24"/>
        </w:rPr>
        <w:t> </w:t>
      </w:r>
      <w:r>
        <w:rPr>
          <w:sz w:val="24"/>
        </w:rPr>
        <w:t>in</w:t>
      </w:r>
      <w:r>
        <w:rPr>
          <w:spacing w:val="-8"/>
          <w:sz w:val="24"/>
        </w:rPr>
        <w:t> </w:t>
      </w:r>
      <w:r>
        <w:rPr>
          <w:sz w:val="24"/>
        </w:rPr>
        <w:t>the</w:t>
      </w:r>
      <w:r>
        <w:rPr>
          <w:spacing w:val="-11"/>
          <w:sz w:val="24"/>
        </w:rPr>
        <w:t> </w:t>
      </w:r>
      <w:r>
        <w:rPr>
          <w:sz w:val="24"/>
        </w:rPr>
        <w:t>park,</w:t>
      </w:r>
      <w:r>
        <w:rPr>
          <w:spacing w:val="-11"/>
          <w:sz w:val="24"/>
        </w:rPr>
        <w:t> </w:t>
      </w:r>
      <w:r>
        <w:rPr>
          <w:sz w:val="24"/>
        </w:rPr>
        <w:t>utilization</w:t>
      </w:r>
      <w:r>
        <w:rPr>
          <w:spacing w:val="-11"/>
          <w:sz w:val="24"/>
        </w:rPr>
        <w:t> </w:t>
      </w:r>
      <w:r>
        <w:rPr>
          <w:sz w:val="24"/>
        </w:rPr>
        <w:t>of</w:t>
      </w:r>
      <w:r>
        <w:rPr>
          <w:spacing w:val="-11"/>
          <w:sz w:val="24"/>
        </w:rPr>
        <w:t> </w:t>
      </w:r>
      <w:r>
        <w:rPr>
          <w:sz w:val="24"/>
        </w:rPr>
        <w:t>built-up area</w:t>
      </w:r>
      <w:r>
        <w:rPr>
          <w:spacing w:val="-9"/>
          <w:sz w:val="24"/>
        </w:rPr>
        <w:t> </w:t>
      </w:r>
      <w:r>
        <w:rPr>
          <w:sz w:val="24"/>
        </w:rPr>
        <w:t>and</w:t>
      </w:r>
      <w:r>
        <w:rPr>
          <w:spacing w:val="-9"/>
          <w:sz w:val="24"/>
        </w:rPr>
        <w:t> </w:t>
      </w:r>
      <w:r>
        <w:rPr>
          <w:sz w:val="24"/>
        </w:rPr>
        <w:t>activities</w:t>
      </w:r>
      <w:r>
        <w:rPr>
          <w:spacing w:val="-9"/>
          <w:sz w:val="24"/>
        </w:rPr>
        <w:t> </w:t>
      </w:r>
      <w:r>
        <w:rPr>
          <w:sz w:val="24"/>
        </w:rPr>
        <w:t>being</w:t>
      </w:r>
      <w:r>
        <w:rPr>
          <w:spacing w:val="-9"/>
          <w:sz w:val="24"/>
        </w:rPr>
        <w:t> </w:t>
      </w:r>
      <w:r>
        <w:rPr>
          <w:sz w:val="24"/>
        </w:rPr>
        <w:t>carried</w:t>
      </w:r>
      <w:r>
        <w:rPr>
          <w:spacing w:val="-9"/>
          <w:sz w:val="24"/>
        </w:rPr>
        <w:t> </w:t>
      </w:r>
      <w:r>
        <w:rPr>
          <w:sz w:val="24"/>
        </w:rPr>
        <w:t>out,</w:t>
      </w:r>
      <w:r>
        <w:rPr>
          <w:spacing w:val="-9"/>
          <w:sz w:val="24"/>
        </w:rPr>
        <w:t> </w:t>
      </w:r>
      <w:r>
        <w:rPr>
          <w:sz w:val="24"/>
        </w:rPr>
        <w:t>manpower</w:t>
      </w:r>
      <w:r>
        <w:rPr>
          <w:spacing w:val="-9"/>
          <w:sz w:val="24"/>
        </w:rPr>
        <w:t> </w:t>
      </w:r>
      <w:r>
        <w:rPr>
          <w:sz w:val="24"/>
        </w:rPr>
        <w:t>employed</w:t>
      </w:r>
      <w:r>
        <w:rPr>
          <w:spacing w:val="-9"/>
          <w:sz w:val="24"/>
        </w:rPr>
        <w:t> </w:t>
      </w:r>
      <w:r>
        <w:rPr>
          <w:sz w:val="24"/>
        </w:rPr>
        <w:t>in</w:t>
      </w:r>
      <w:r>
        <w:rPr>
          <w:spacing w:val="-9"/>
          <w:sz w:val="24"/>
        </w:rPr>
        <w:t> </w:t>
      </w:r>
      <w:r>
        <w:rPr>
          <w:sz w:val="24"/>
        </w:rPr>
        <w:t>the</w:t>
      </w:r>
      <w:r>
        <w:rPr>
          <w:spacing w:val="-9"/>
          <w:sz w:val="24"/>
        </w:rPr>
        <w:t> </w:t>
      </w:r>
      <w:r>
        <w:rPr>
          <w:sz w:val="24"/>
        </w:rPr>
        <w:t>It</w:t>
      </w:r>
      <w:r>
        <w:rPr>
          <w:spacing w:val="-9"/>
          <w:sz w:val="24"/>
        </w:rPr>
        <w:t> </w:t>
      </w:r>
      <w:r>
        <w:rPr>
          <w:sz w:val="24"/>
        </w:rPr>
        <w:t>Park for IT/ITES and support services on yearly basis.</w:t>
      </w:r>
    </w:p>
    <w:p>
      <w:pPr>
        <w:pStyle w:val="BodyText"/>
        <w:spacing w:line="360" w:lineRule="auto"/>
        <w:ind w:left="2062" w:right="766" w:firstLine="720"/>
      </w:pPr>
      <w:r>
        <w:rPr/>
        <w:t>If</w:t>
      </w:r>
      <w:r>
        <w:rPr>
          <w:spacing w:val="-20"/>
        </w:rPr>
        <w:t> </w:t>
      </w:r>
      <w:r>
        <w:rPr/>
        <w:t>a</w:t>
      </w:r>
      <w:r>
        <w:rPr>
          <w:spacing w:val="-19"/>
        </w:rPr>
        <w:t> </w:t>
      </w:r>
      <w:r>
        <w:rPr/>
        <w:t>private</w:t>
      </w:r>
      <w:r>
        <w:rPr>
          <w:spacing w:val="-19"/>
        </w:rPr>
        <w:t> </w:t>
      </w:r>
      <w:r>
        <w:rPr/>
        <w:t>IT</w:t>
      </w:r>
      <w:r>
        <w:rPr>
          <w:spacing w:val="-19"/>
        </w:rPr>
        <w:t> </w:t>
      </w:r>
      <w:r>
        <w:rPr/>
        <w:t>park</w:t>
      </w:r>
      <w:r>
        <w:rPr>
          <w:spacing w:val="-19"/>
        </w:rPr>
        <w:t> </w:t>
      </w:r>
      <w:r>
        <w:rPr/>
        <w:t>has</w:t>
      </w:r>
      <w:r>
        <w:rPr>
          <w:spacing w:val="-20"/>
        </w:rPr>
        <w:t> </w:t>
      </w:r>
      <w:r>
        <w:rPr/>
        <w:t>availed</w:t>
      </w:r>
      <w:r>
        <w:rPr>
          <w:spacing w:val="-19"/>
        </w:rPr>
        <w:t> </w:t>
      </w:r>
      <w:r>
        <w:rPr/>
        <w:t>additional</w:t>
      </w:r>
      <w:r>
        <w:rPr>
          <w:spacing w:val="-19"/>
        </w:rPr>
        <w:t> </w:t>
      </w:r>
      <w:r>
        <w:rPr/>
        <w:t>FSI</w:t>
      </w:r>
      <w:r>
        <w:rPr>
          <w:spacing w:val="-17"/>
        </w:rPr>
        <w:t> </w:t>
      </w:r>
      <w:r>
        <w:rPr/>
        <w:t>as</w:t>
      </w:r>
      <w:r>
        <w:rPr>
          <w:spacing w:val="-19"/>
        </w:rPr>
        <w:t> </w:t>
      </w:r>
      <w:r>
        <w:rPr/>
        <w:t>per</w:t>
      </w:r>
      <w:r>
        <w:rPr>
          <w:spacing w:val="-19"/>
        </w:rPr>
        <w:t> </w:t>
      </w:r>
      <w:r>
        <w:rPr/>
        <w:t>the</w:t>
      </w:r>
      <w:r>
        <w:rPr>
          <w:spacing w:val="-19"/>
        </w:rPr>
        <w:t> </w:t>
      </w:r>
      <w:r>
        <w:rPr/>
        <w:t>provisions of IT/ITES policy and subsequently it is found that the built-up space in the park is being used for non IT/ITES / commercial activities/ any other activity not permitted as per the IT/ITES policy under which the said park was approved, a penal action as below will be taken, the payment</w:t>
      </w:r>
      <w:r>
        <w:rPr>
          <w:spacing w:val="-18"/>
        </w:rPr>
        <w:t> </w:t>
      </w:r>
      <w:r>
        <w:rPr/>
        <w:t>shall</w:t>
      </w:r>
      <w:r>
        <w:rPr>
          <w:spacing w:val="-18"/>
        </w:rPr>
        <w:t> </w:t>
      </w:r>
      <w:r>
        <w:rPr/>
        <w:t>be</w:t>
      </w:r>
      <w:r>
        <w:rPr>
          <w:spacing w:val="-18"/>
        </w:rPr>
        <w:t> </w:t>
      </w:r>
      <w:r>
        <w:rPr/>
        <w:t>shared</w:t>
      </w:r>
      <w:r>
        <w:rPr>
          <w:spacing w:val="-18"/>
        </w:rPr>
        <w:t> </w:t>
      </w:r>
      <w:r>
        <w:rPr/>
        <w:t>between</w:t>
      </w:r>
      <w:r>
        <w:rPr>
          <w:spacing w:val="-18"/>
        </w:rPr>
        <w:t> </w:t>
      </w:r>
      <w:r>
        <w:rPr/>
        <w:t>the</w:t>
      </w:r>
      <w:r>
        <w:rPr>
          <w:spacing w:val="-18"/>
        </w:rPr>
        <w:t> </w:t>
      </w:r>
      <w:r>
        <w:rPr/>
        <w:t>concerned</w:t>
      </w:r>
      <w:r>
        <w:rPr>
          <w:spacing w:val="-18"/>
        </w:rPr>
        <w:t> </w:t>
      </w:r>
      <w:r>
        <w:rPr/>
        <w:t>Planning</w:t>
      </w:r>
      <w:r>
        <w:rPr>
          <w:spacing w:val="-18"/>
        </w:rPr>
        <w:t> </w:t>
      </w:r>
      <w:r>
        <w:rPr/>
        <w:t>Authority</w:t>
      </w:r>
      <w:r>
        <w:rPr>
          <w:spacing w:val="-18"/>
        </w:rPr>
        <w:t> </w:t>
      </w:r>
      <w:r>
        <w:rPr/>
        <w:t>and the Government in the ratio of 3: 1.</w:t>
      </w:r>
    </w:p>
    <w:p>
      <w:pPr>
        <w:pStyle w:val="ListParagraph"/>
        <w:numPr>
          <w:ilvl w:val="1"/>
          <w:numId w:val="203"/>
        </w:numPr>
        <w:tabs>
          <w:tab w:pos="2422" w:val="left" w:leader="none"/>
        </w:tabs>
        <w:spacing w:line="360" w:lineRule="auto" w:before="1" w:after="0"/>
        <w:ind w:left="2422" w:right="769" w:hanging="360"/>
        <w:jc w:val="both"/>
        <w:rPr>
          <w:sz w:val="24"/>
        </w:rPr>
      </w:pPr>
      <w:r>
        <w:rPr>
          <w:sz w:val="24"/>
        </w:rPr>
        <w:t>The misuse shall be ascertained by physical site verification of the said private IT park by a team of officers from the Directorate of industries and the Planning Authority which has approved the building plans of the said private IT park.</w:t>
      </w:r>
    </w:p>
    <w:p>
      <w:pPr>
        <w:pStyle w:val="ListParagraph"/>
        <w:numPr>
          <w:ilvl w:val="1"/>
          <w:numId w:val="203"/>
        </w:numPr>
        <w:tabs>
          <w:tab w:pos="2422" w:val="left" w:leader="none"/>
        </w:tabs>
        <w:spacing w:line="360" w:lineRule="auto" w:before="0" w:after="0"/>
        <w:ind w:left="2422" w:right="766" w:hanging="360"/>
        <w:jc w:val="both"/>
        <w:rPr>
          <w:sz w:val="24"/>
        </w:rPr>
      </w:pPr>
      <w:r>
        <w:rPr>
          <w:sz w:val="24"/>
        </w:rPr>
        <w:t>A per day penalty equal to 0.3% of the prevailing ready reckoner value of the built-up area that has been found to be used for non- IT/ITES activities.</w:t>
      </w:r>
    </w:p>
    <w:p>
      <w:pPr>
        <w:pStyle w:val="ListParagraph"/>
        <w:numPr>
          <w:ilvl w:val="1"/>
          <w:numId w:val="203"/>
        </w:numPr>
        <w:tabs>
          <w:tab w:pos="2422" w:val="left" w:leader="none"/>
        </w:tabs>
        <w:spacing w:line="360" w:lineRule="auto" w:before="0" w:after="0"/>
        <w:ind w:left="2422" w:right="767" w:hanging="360"/>
        <w:jc w:val="both"/>
        <w:rPr>
          <w:sz w:val="24"/>
        </w:rPr>
      </w:pPr>
      <w:r>
        <w:rPr>
          <w:sz w:val="24"/>
        </w:rPr>
        <w:t>The penalty will be recovered from the date of commencement of unauthorized use till the day non IT use continues.</w:t>
      </w:r>
    </w:p>
    <w:p>
      <w:pPr>
        <w:pStyle w:val="BodyText"/>
        <w:spacing w:line="360" w:lineRule="auto"/>
        <w:ind w:left="2062" w:right="768" w:firstLine="720"/>
      </w:pPr>
      <w:r>
        <w:rPr/>
        <w:t>After</w:t>
      </w:r>
      <w:r>
        <w:rPr>
          <w:spacing w:val="-9"/>
        </w:rPr>
        <w:t> </w:t>
      </w:r>
      <w:r>
        <w:rPr/>
        <w:t>payment</w:t>
      </w:r>
      <w:r>
        <w:rPr>
          <w:spacing w:val="-9"/>
        </w:rPr>
        <w:t> </w:t>
      </w:r>
      <w:r>
        <w:rPr/>
        <w:t>of</w:t>
      </w:r>
      <w:r>
        <w:rPr>
          <w:spacing w:val="-9"/>
        </w:rPr>
        <w:t> </w:t>
      </w:r>
      <w:r>
        <w:rPr/>
        <w:t>the</w:t>
      </w:r>
      <w:r>
        <w:rPr>
          <w:spacing w:val="-7"/>
        </w:rPr>
        <w:t> </w:t>
      </w:r>
      <w:r>
        <w:rPr/>
        <w:t>penalty</w:t>
      </w:r>
      <w:r>
        <w:rPr>
          <w:spacing w:val="-9"/>
        </w:rPr>
        <w:t> </w:t>
      </w:r>
      <w:r>
        <w:rPr/>
        <w:t>to</w:t>
      </w:r>
      <w:r>
        <w:rPr>
          <w:spacing w:val="-9"/>
        </w:rPr>
        <w:t> </w:t>
      </w:r>
      <w:r>
        <w:rPr/>
        <w:t>the</w:t>
      </w:r>
      <w:r>
        <w:rPr>
          <w:spacing w:val="-9"/>
        </w:rPr>
        <w:t> </w:t>
      </w:r>
      <w:r>
        <w:rPr/>
        <w:t>concerned</w:t>
      </w:r>
      <w:r>
        <w:rPr>
          <w:spacing w:val="-9"/>
        </w:rPr>
        <w:t> </w:t>
      </w:r>
      <w:r>
        <w:rPr/>
        <w:t>Planning</w:t>
      </w:r>
      <w:r>
        <w:rPr>
          <w:spacing w:val="-9"/>
        </w:rPr>
        <w:t> </w:t>
      </w:r>
      <w:r>
        <w:rPr/>
        <w:t>Authority which has sanctioned the building plans of the concerned private IT park, the said private IT Park will restore the use of premises to the original purpose for which LOI/Registration was granted. If the private IT Park fails to pay penalty and / or restore the use to its original intended</w:t>
      </w:r>
      <w:r>
        <w:rPr>
          <w:spacing w:val="-20"/>
        </w:rPr>
        <w:t> </w:t>
      </w:r>
      <w:r>
        <w:rPr/>
        <w:t>use,</w:t>
      </w:r>
      <w:r>
        <w:rPr>
          <w:spacing w:val="-19"/>
        </w:rPr>
        <w:t> </w:t>
      </w:r>
      <w:r>
        <w:rPr/>
        <w:t>the</w:t>
      </w:r>
      <w:r>
        <w:rPr>
          <w:spacing w:val="-19"/>
        </w:rPr>
        <w:t> </w:t>
      </w:r>
      <w:r>
        <w:rPr/>
        <w:t>concerned</w:t>
      </w:r>
      <w:r>
        <w:rPr>
          <w:spacing w:val="-19"/>
        </w:rPr>
        <w:t> </w:t>
      </w:r>
      <w:r>
        <w:rPr/>
        <w:t>Planning</w:t>
      </w:r>
      <w:r>
        <w:rPr>
          <w:spacing w:val="-19"/>
        </w:rPr>
        <w:t> </w:t>
      </w:r>
      <w:r>
        <w:rPr/>
        <w:t>Authority</w:t>
      </w:r>
      <w:r>
        <w:rPr>
          <w:spacing w:val="-20"/>
        </w:rPr>
        <w:t> </w:t>
      </w:r>
      <w:r>
        <w:rPr/>
        <w:t>will</w:t>
      </w:r>
      <w:r>
        <w:rPr>
          <w:spacing w:val="-19"/>
        </w:rPr>
        <w:t> </w:t>
      </w:r>
      <w:r>
        <w:rPr/>
        <w:t>take</w:t>
      </w:r>
      <w:r>
        <w:rPr>
          <w:spacing w:val="-19"/>
        </w:rPr>
        <w:t> </w:t>
      </w:r>
      <w:r>
        <w:rPr/>
        <w:t>suitable</w:t>
      </w:r>
      <w:r>
        <w:rPr>
          <w:spacing w:val="-19"/>
        </w:rPr>
        <w:t> </w:t>
      </w:r>
      <w:r>
        <w:rPr/>
        <w:t>action under</w:t>
      </w:r>
      <w:r>
        <w:rPr>
          <w:spacing w:val="2"/>
        </w:rPr>
        <w:t> </w:t>
      </w:r>
      <w:r>
        <w:rPr/>
        <w:t>the</w:t>
      </w:r>
      <w:r>
        <w:rPr>
          <w:spacing w:val="3"/>
        </w:rPr>
        <w:t> </w:t>
      </w:r>
      <w:r>
        <w:rPr/>
        <w:t>Maharashtra</w:t>
      </w:r>
      <w:r>
        <w:rPr>
          <w:spacing w:val="2"/>
        </w:rPr>
        <w:t> </w:t>
      </w:r>
      <w:r>
        <w:rPr/>
        <w:t>Regional</w:t>
      </w:r>
      <w:r>
        <w:rPr>
          <w:spacing w:val="3"/>
        </w:rPr>
        <w:t> </w:t>
      </w:r>
      <w:r>
        <w:rPr/>
        <w:t>and</w:t>
      </w:r>
      <w:r>
        <w:rPr>
          <w:spacing w:val="2"/>
        </w:rPr>
        <w:t> </w:t>
      </w:r>
      <w:r>
        <w:rPr/>
        <w:t>Town</w:t>
      </w:r>
      <w:r>
        <w:rPr>
          <w:spacing w:val="3"/>
        </w:rPr>
        <w:t> </w:t>
      </w:r>
      <w:r>
        <w:rPr/>
        <w:t>Planning</w:t>
      </w:r>
      <w:r>
        <w:rPr>
          <w:spacing w:val="2"/>
        </w:rPr>
        <w:t> </w:t>
      </w:r>
      <w:r>
        <w:rPr/>
        <w:t>Act</w:t>
      </w:r>
      <w:r>
        <w:rPr>
          <w:spacing w:val="3"/>
        </w:rPr>
        <w:t> </w:t>
      </w:r>
      <w:r>
        <w:rPr/>
        <w:t>1966,</w:t>
      </w:r>
      <w:r>
        <w:rPr>
          <w:spacing w:val="3"/>
        </w:rPr>
        <w:t> </w:t>
      </w:r>
      <w:r>
        <w:rPr>
          <w:spacing w:val="-2"/>
        </w:rPr>
        <w:t>against</w:t>
      </w:r>
    </w:p>
    <w:p>
      <w:pPr>
        <w:pStyle w:val="BodyText"/>
        <w:spacing w:after="0" w:line="360" w:lineRule="auto"/>
        <w:sectPr>
          <w:pgSz w:w="11910" w:h="16840"/>
          <w:pgMar w:header="1065" w:footer="1194" w:top="1500" w:bottom="1380" w:left="360" w:right="360"/>
        </w:sectPr>
      </w:pPr>
    </w:p>
    <w:p>
      <w:pPr>
        <w:pStyle w:val="BodyText"/>
        <w:spacing w:line="362" w:lineRule="auto" w:before="249"/>
        <w:ind w:left="2062" w:right="770"/>
      </w:pPr>
      <w:r>
        <w:rPr/>
        <w:t>the erring private IT Park under intimation to the Directorate of Industries. This provision will also be applicable to existing IT Parks.</w:t>
      </w:r>
    </w:p>
    <w:p>
      <w:pPr>
        <w:pStyle w:val="BodyText"/>
        <w:spacing w:line="360" w:lineRule="auto"/>
        <w:ind w:left="2062" w:right="838" w:firstLine="720"/>
        <w:jc w:val="left"/>
      </w:pPr>
      <w:r>
        <w:rPr/>
        <w:t>These provisions will be over and above the penal provisions of</w:t>
      </w:r>
      <w:r>
        <w:rPr>
          <w:spacing w:val="40"/>
        </w:rPr>
        <w:t> </w:t>
      </w:r>
      <w:r>
        <w:rPr/>
        <w:t>the MRTP Act. 1966.</w:t>
      </w:r>
    </w:p>
    <w:p>
      <w:pPr>
        <w:pStyle w:val="BodyText"/>
        <w:spacing w:before="33"/>
        <w:jc w:val="left"/>
      </w:pPr>
    </w:p>
    <w:p>
      <w:pPr>
        <w:pStyle w:val="Heading6"/>
        <w:spacing w:before="1"/>
      </w:pPr>
      <w:r>
        <w:rPr/>
        <w:t>33(13)(A)</w:t>
      </w:r>
      <w:r>
        <w:rPr>
          <w:spacing w:val="39"/>
          <w:w w:val="150"/>
        </w:rPr>
        <w:t> </w:t>
      </w:r>
      <w:r>
        <w:rPr/>
        <w:t>Buildings</w:t>
      </w:r>
      <w:r>
        <w:rPr>
          <w:spacing w:val="-1"/>
        </w:rPr>
        <w:t> </w:t>
      </w:r>
      <w:r>
        <w:rPr/>
        <w:t>of</w:t>
      </w:r>
      <w:r>
        <w:rPr>
          <w:spacing w:val="40"/>
          <w:w w:val="150"/>
        </w:rPr>
        <w:t> </w:t>
      </w:r>
      <w:r>
        <w:rPr/>
        <w:t>Smart</w:t>
      </w:r>
      <w:r>
        <w:rPr>
          <w:spacing w:val="-1"/>
        </w:rPr>
        <w:t> </w:t>
      </w:r>
      <w:r>
        <w:rPr/>
        <w:t>Fin Tech</w:t>
      </w:r>
      <w:r>
        <w:rPr>
          <w:spacing w:val="-1"/>
        </w:rPr>
        <w:t> </w:t>
      </w:r>
      <w:r>
        <w:rPr>
          <w:spacing w:val="-2"/>
        </w:rPr>
        <w:t>Centre</w:t>
      </w:r>
    </w:p>
    <w:p>
      <w:pPr>
        <w:pStyle w:val="BodyText"/>
        <w:spacing w:before="86"/>
        <w:jc w:val="left"/>
        <w:rPr>
          <w:b/>
          <w:i/>
        </w:rPr>
      </w:pPr>
    </w:p>
    <w:p>
      <w:pPr>
        <w:pStyle w:val="ListParagraph"/>
        <w:numPr>
          <w:ilvl w:val="0"/>
          <w:numId w:val="204"/>
        </w:numPr>
        <w:tabs>
          <w:tab w:pos="2333" w:val="left" w:leader="none"/>
        </w:tabs>
        <w:spacing w:line="276" w:lineRule="auto" w:before="1" w:after="0"/>
        <w:ind w:left="2333" w:right="766" w:hanging="360"/>
        <w:jc w:val="both"/>
        <w:rPr>
          <w:b/>
          <w:i/>
          <w:sz w:val="24"/>
        </w:rPr>
      </w:pPr>
      <w:r>
        <w:rPr>
          <w:sz w:val="24"/>
        </w:rPr>
        <w:t>The Commissioner may permit additional FSI up to 200 % over and above the basic permissible F.S.I</w:t>
      </w:r>
      <w:r>
        <w:rPr>
          <w:b/>
          <w:i/>
          <w:sz w:val="24"/>
        </w:rPr>
        <w:t>. </w:t>
      </w:r>
      <w:r>
        <w:rPr>
          <w:sz w:val="24"/>
        </w:rPr>
        <w:t>to Smart Fin Tech Centre located in Residential / Industrial/Commercial Zone</w:t>
      </w:r>
      <w:r>
        <w:rPr>
          <w:b/>
          <w:sz w:val="24"/>
        </w:rPr>
        <w:t>, </w:t>
      </w:r>
      <w:r>
        <w:rPr>
          <w:sz w:val="24"/>
        </w:rPr>
        <w:t>which have been approved by the Directorate of Information Technology, proposed to be set up (hereinafter referred to as the "said unit") by charging premium of 40 % of the land rate for the said land as prescribed</w:t>
      </w:r>
      <w:r>
        <w:rPr>
          <w:spacing w:val="40"/>
          <w:sz w:val="24"/>
        </w:rPr>
        <w:t> </w:t>
      </w:r>
      <w:r>
        <w:rPr>
          <w:sz w:val="24"/>
        </w:rPr>
        <w:t>in Annual Statement of Rates</w:t>
      </w:r>
      <w:r>
        <w:rPr>
          <w:spacing w:val="40"/>
          <w:sz w:val="24"/>
        </w:rPr>
        <w:t> </w:t>
      </w:r>
      <w:r>
        <w:rPr>
          <w:sz w:val="24"/>
        </w:rPr>
        <w:t>for the relevant year of granting such additional F.S.I</w:t>
      </w:r>
      <w:r>
        <w:rPr>
          <w:b/>
          <w:i/>
          <w:sz w:val="24"/>
        </w:rPr>
        <w:t>.</w:t>
      </w:r>
    </w:p>
    <w:p>
      <w:pPr>
        <w:pStyle w:val="BodyText"/>
        <w:spacing w:before="42"/>
        <w:jc w:val="left"/>
        <w:rPr>
          <w:b/>
          <w:i/>
        </w:rPr>
      </w:pPr>
    </w:p>
    <w:p>
      <w:pPr>
        <w:pStyle w:val="BodyText"/>
        <w:spacing w:line="276" w:lineRule="auto" w:before="1"/>
        <w:ind w:left="1973" w:right="767"/>
      </w:pPr>
      <w:r>
        <w:rPr/>
        <w:t>Provided</w:t>
      </w:r>
      <w:r>
        <w:rPr>
          <w:spacing w:val="-11"/>
        </w:rPr>
        <w:t> </w:t>
      </w:r>
      <w:r>
        <w:rPr/>
        <w:t>that</w:t>
      </w:r>
      <w:r>
        <w:rPr>
          <w:spacing w:val="-11"/>
        </w:rPr>
        <w:t> </w:t>
      </w:r>
      <w:r>
        <w:rPr/>
        <w:t>additional</w:t>
      </w:r>
      <w:r>
        <w:rPr>
          <w:spacing w:val="-11"/>
        </w:rPr>
        <w:t> </w:t>
      </w:r>
      <w:r>
        <w:rPr/>
        <w:t>FSI</w:t>
      </w:r>
      <w:r>
        <w:rPr>
          <w:spacing w:val="-8"/>
        </w:rPr>
        <w:t> </w:t>
      </w:r>
      <w:r>
        <w:rPr/>
        <w:t>shall</w:t>
      </w:r>
      <w:r>
        <w:rPr>
          <w:spacing w:val="-11"/>
        </w:rPr>
        <w:t> </w:t>
      </w:r>
      <w:r>
        <w:rPr/>
        <w:t>be</w:t>
      </w:r>
      <w:r>
        <w:rPr>
          <w:spacing w:val="-11"/>
        </w:rPr>
        <w:t> </w:t>
      </w:r>
      <w:r>
        <w:rPr/>
        <w:t>permissible</w:t>
      </w:r>
      <w:r>
        <w:rPr>
          <w:spacing w:val="-11"/>
        </w:rPr>
        <w:t> </w:t>
      </w:r>
      <w:r>
        <w:rPr/>
        <w:t>only</w:t>
      </w:r>
      <w:r>
        <w:rPr>
          <w:spacing w:val="-10"/>
        </w:rPr>
        <w:t> </w:t>
      </w:r>
      <w:r>
        <w:rPr/>
        <w:t>on</w:t>
      </w:r>
      <w:r>
        <w:rPr>
          <w:spacing w:val="-11"/>
        </w:rPr>
        <w:t> </w:t>
      </w:r>
      <w:r>
        <w:rPr/>
        <w:t>plots</w:t>
      </w:r>
      <w:r>
        <w:rPr>
          <w:spacing w:val="-11"/>
        </w:rPr>
        <w:t> </w:t>
      </w:r>
      <w:r>
        <w:rPr/>
        <w:t>having</w:t>
      </w:r>
      <w:r>
        <w:rPr>
          <w:spacing w:val="-11"/>
        </w:rPr>
        <w:t> </w:t>
      </w:r>
      <w:r>
        <w:rPr/>
        <w:t>an access road of minimum 18 meters width and subject to approval by committee chaired by the Principal Secretary, Information Technology and comprising representatives of Industries, Finance and Urban Development Department (UD-1).</w:t>
      </w:r>
    </w:p>
    <w:p>
      <w:pPr>
        <w:pStyle w:val="BodyText"/>
        <w:spacing w:line="276" w:lineRule="auto"/>
        <w:ind w:left="1973" w:right="767"/>
      </w:pPr>
      <w:r>
        <w:rPr/>
        <w:t>Provided</w:t>
      </w:r>
      <w:r>
        <w:rPr>
          <w:spacing w:val="-7"/>
        </w:rPr>
        <w:t> </w:t>
      </w:r>
      <w:r>
        <w:rPr/>
        <w:t>further</w:t>
      </w:r>
      <w:r>
        <w:rPr>
          <w:spacing w:val="-7"/>
        </w:rPr>
        <w:t> </w:t>
      </w:r>
      <w:r>
        <w:rPr/>
        <w:t>that,</w:t>
      </w:r>
      <w:r>
        <w:rPr>
          <w:spacing w:val="-6"/>
        </w:rPr>
        <w:t> </w:t>
      </w:r>
      <w:r>
        <w:rPr/>
        <w:t>the</w:t>
      </w:r>
      <w:r>
        <w:rPr>
          <w:spacing w:val="-7"/>
        </w:rPr>
        <w:t> </w:t>
      </w:r>
      <w:r>
        <w:rPr/>
        <w:t>premium</w:t>
      </w:r>
      <w:r>
        <w:rPr>
          <w:spacing w:val="-7"/>
        </w:rPr>
        <w:t> </w:t>
      </w:r>
      <w:r>
        <w:rPr/>
        <w:t>so</w:t>
      </w:r>
      <w:r>
        <w:rPr>
          <w:spacing w:val="-9"/>
        </w:rPr>
        <w:t> </w:t>
      </w:r>
      <w:r>
        <w:rPr/>
        <w:t>collected</w:t>
      </w:r>
      <w:r>
        <w:rPr>
          <w:spacing w:val="-7"/>
        </w:rPr>
        <w:t> </w:t>
      </w:r>
      <w:r>
        <w:rPr/>
        <w:t>shall</w:t>
      </w:r>
      <w:r>
        <w:rPr>
          <w:spacing w:val="-7"/>
        </w:rPr>
        <w:t> </w:t>
      </w:r>
      <w:r>
        <w:rPr/>
        <w:t>be</w:t>
      </w:r>
      <w:r>
        <w:rPr>
          <w:spacing w:val="-7"/>
        </w:rPr>
        <w:t> </w:t>
      </w:r>
      <w:r>
        <w:rPr/>
        <w:t>shared</w:t>
      </w:r>
      <w:r>
        <w:rPr>
          <w:spacing w:val="-7"/>
        </w:rPr>
        <w:t> </w:t>
      </w:r>
      <w:r>
        <w:rPr/>
        <w:t>between the</w:t>
      </w:r>
      <w:r>
        <w:rPr>
          <w:spacing w:val="-8"/>
        </w:rPr>
        <w:t> </w:t>
      </w:r>
      <w:r>
        <w:rPr/>
        <w:t>Planning</w:t>
      </w:r>
      <w:r>
        <w:rPr>
          <w:spacing w:val="-8"/>
        </w:rPr>
        <w:t> </w:t>
      </w:r>
      <w:r>
        <w:rPr/>
        <w:t>Authority</w:t>
      </w:r>
      <w:r>
        <w:rPr>
          <w:spacing w:val="-8"/>
        </w:rPr>
        <w:t> </w:t>
      </w:r>
      <w:r>
        <w:rPr/>
        <w:t>and</w:t>
      </w:r>
      <w:r>
        <w:rPr>
          <w:spacing w:val="-8"/>
        </w:rPr>
        <w:t> </w:t>
      </w:r>
      <w:r>
        <w:rPr/>
        <w:t>the</w:t>
      </w:r>
      <w:r>
        <w:rPr>
          <w:spacing w:val="-8"/>
        </w:rPr>
        <w:t> </w:t>
      </w:r>
      <w:r>
        <w:rPr/>
        <w:t>Government</w:t>
      </w:r>
      <w:r>
        <w:rPr>
          <w:spacing w:val="-8"/>
        </w:rPr>
        <w:t> </w:t>
      </w:r>
      <w:r>
        <w:rPr/>
        <w:t>in</w:t>
      </w:r>
      <w:r>
        <w:rPr>
          <w:spacing w:val="-8"/>
        </w:rPr>
        <w:t> </w:t>
      </w:r>
      <w:r>
        <w:rPr/>
        <w:t>the</w:t>
      </w:r>
      <w:r>
        <w:rPr>
          <w:spacing w:val="-8"/>
        </w:rPr>
        <w:t> </w:t>
      </w:r>
      <w:r>
        <w:rPr/>
        <w:t>proportion</w:t>
      </w:r>
      <w:r>
        <w:rPr>
          <w:spacing w:val="-8"/>
        </w:rPr>
        <w:t> </w:t>
      </w:r>
      <w:r>
        <w:rPr/>
        <w:t>of</w:t>
      </w:r>
      <w:r>
        <w:rPr>
          <w:spacing w:val="-8"/>
        </w:rPr>
        <w:t> </w:t>
      </w:r>
      <w:r>
        <w:rPr/>
        <w:t>50</w:t>
      </w:r>
      <w:r>
        <w:rPr>
          <w:spacing w:val="-8"/>
        </w:rPr>
        <w:t> </w:t>
      </w:r>
      <w:r>
        <w:rPr/>
        <w:t>:</w:t>
      </w:r>
      <w:r>
        <w:rPr>
          <w:spacing w:val="-8"/>
        </w:rPr>
        <w:t> </w:t>
      </w:r>
      <w:r>
        <w:rPr/>
        <w:t>50. The share of the Government shall be deposited in the Fin Tech Corpus fund which is being set up by Director of Information Technology.</w:t>
      </w:r>
    </w:p>
    <w:p>
      <w:pPr>
        <w:pStyle w:val="BodyText"/>
        <w:spacing w:before="42"/>
        <w:jc w:val="left"/>
      </w:pPr>
    </w:p>
    <w:p>
      <w:pPr>
        <w:pStyle w:val="BodyText"/>
        <w:spacing w:line="276" w:lineRule="auto"/>
        <w:ind w:left="1973" w:right="768" w:firstLine="76"/>
      </w:pPr>
      <w:r>
        <w:rPr/>
        <w:t>(Explanation :- Premium charges shall be calculated on the value of lands</w:t>
      </w:r>
      <w:r>
        <w:rPr>
          <w:spacing w:val="-10"/>
        </w:rPr>
        <w:t> </w:t>
      </w:r>
      <w:r>
        <w:rPr/>
        <w:t>under</w:t>
      </w:r>
      <w:r>
        <w:rPr>
          <w:spacing w:val="-10"/>
        </w:rPr>
        <w:t> </w:t>
      </w:r>
      <w:r>
        <w:rPr/>
        <w:t>such</w:t>
      </w:r>
      <w:r>
        <w:rPr>
          <w:spacing w:val="-10"/>
        </w:rPr>
        <w:t> </w:t>
      </w:r>
      <w:r>
        <w:rPr/>
        <w:t>zones,</w:t>
      </w:r>
      <w:r>
        <w:rPr>
          <w:spacing w:val="-10"/>
        </w:rPr>
        <w:t> </w:t>
      </w:r>
      <w:r>
        <w:rPr/>
        <w:t>determined</w:t>
      </w:r>
      <w:r>
        <w:rPr>
          <w:spacing w:val="-10"/>
        </w:rPr>
        <w:t> </w:t>
      </w:r>
      <w:r>
        <w:rPr/>
        <w:t>by</w:t>
      </w:r>
      <w:r>
        <w:rPr>
          <w:spacing w:val="-10"/>
        </w:rPr>
        <w:t> </w:t>
      </w:r>
      <w:r>
        <w:rPr/>
        <w:t>considering</w:t>
      </w:r>
      <w:r>
        <w:rPr>
          <w:spacing w:val="-10"/>
        </w:rPr>
        <w:t> </w:t>
      </w:r>
      <w:r>
        <w:rPr/>
        <w:t>the</w:t>
      </w:r>
      <w:r>
        <w:rPr>
          <w:spacing w:val="-10"/>
        </w:rPr>
        <w:t> </w:t>
      </w:r>
      <w:r>
        <w:rPr/>
        <w:t>land</w:t>
      </w:r>
      <w:r>
        <w:rPr>
          <w:spacing w:val="-10"/>
        </w:rPr>
        <w:t> </w:t>
      </w:r>
      <w:r>
        <w:rPr/>
        <w:t>rates</w:t>
      </w:r>
      <w:r>
        <w:rPr>
          <w:spacing w:val="-10"/>
        </w:rPr>
        <w:t> </w:t>
      </w:r>
      <w:r>
        <w:rPr/>
        <w:t>of</w:t>
      </w:r>
      <w:r>
        <w:rPr>
          <w:spacing w:val="-10"/>
        </w:rPr>
        <w:t> </w:t>
      </w:r>
      <w:r>
        <w:rPr/>
        <w:t>the said land as prescribed in Annual Statement of Rates (ASR).</w:t>
      </w:r>
      <w:r>
        <w:rPr>
          <w:spacing w:val="40"/>
        </w:rPr>
        <w:t> </w:t>
      </w:r>
      <w:r>
        <w:rPr/>
        <w:t>These charges shall be paid at the time of permitting additional F.S.I. by considering the ASR for the relevant year without applying </w:t>
      </w:r>
      <w:r>
        <w:rPr/>
        <w:t>the </w:t>
      </w:r>
      <w:r>
        <w:rPr>
          <w:spacing w:val="-2"/>
        </w:rPr>
        <w:t>guidelines)</w:t>
      </w:r>
    </w:p>
    <w:p>
      <w:pPr>
        <w:pStyle w:val="BodyText"/>
        <w:spacing w:before="41"/>
        <w:jc w:val="left"/>
      </w:pPr>
    </w:p>
    <w:p>
      <w:pPr>
        <w:pStyle w:val="ListParagraph"/>
        <w:numPr>
          <w:ilvl w:val="0"/>
          <w:numId w:val="204"/>
        </w:numPr>
        <w:tabs>
          <w:tab w:pos="2333" w:val="left" w:leader="none"/>
        </w:tabs>
        <w:spacing w:line="276" w:lineRule="auto" w:before="0" w:after="0"/>
        <w:ind w:left="2333" w:right="766" w:hanging="360"/>
        <w:jc w:val="both"/>
        <w:rPr>
          <w:sz w:val="24"/>
        </w:rPr>
      </w:pPr>
      <w:r>
        <w:rPr>
          <w:sz w:val="24"/>
        </w:rPr>
        <w:t>The</w:t>
      </w:r>
      <w:r>
        <w:rPr>
          <w:spacing w:val="-14"/>
          <w:sz w:val="24"/>
        </w:rPr>
        <w:t> </w:t>
      </w:r>
      <w:r>
        <w:rPr>
          <w:sz w:val="24"/>
        </w:rPr>
        <w:t>total</w:t>
      </w:r>
      <w:r>
        <w:rPr>
          <w:spacing w:val="-14"/>
          <w:sz w:val="24"/>
        </w:rPr>
        <w:t> </w:t>
      </w:r>
      <w:r>
        <w:rPr>
          <w:sz w:val="24"/>
        </w:rPr>
        <w:t>maximum</w:t>
      </w:r>
      <w:r>
        <w:rPr>
          <w:spacing w:val="-14"/>
          <w:sz w:val="24"/>
        </w:rPr>
        <w:t> </w:t>
      </w:r>
      <w:r>
        <w:rPr>
          <w:sz w:val="24"/>
        </w:rPr>
        <w:t>permissible</w:t>
      </w:r>
      <w:r>
        <w:rPr>
          <w:spacing w:val="-14"/>
          <w:sz w:val="24"/>
        </w:rPr>
        <w:t> </w:t>
      </w:r>
      <w:r>
        <w:rPr>
          <w:sz w:val="24"/>
        </w:rPr>
        <w:t>F.S.I.</w:t>
      </w:r>
      <w:r>
        <w:rPr>
          <w:spacing w:val="-16"/>
          <w:sz w:val="24"/>
        </w:rPr>
        <w:t> </w:t>
      </w:r>
      <w:r>
        <w:rPr>
          <w:sz w:val="24"/>
        </w:rPr>
        <w:t>shall</w:t>
      </w:r>
      <w:r>
        <w:rPr>
          <w:spacing w:val="-14"/>
          <w:sz w:val="24"/>
        </w:rPr>
        <w:t> </w:t>
      </w:r>
      <w:r>
        <w:rPr>
          <w:sz w:val="24"/>
        </w:rPr>
        <w:t>not</w:t>
      </w:r>
      <w:r>
        <w:rPr>
          <w:spacing w:val="-14"/>
          <w:sz w:val="24"/>
        </w:rPr>
        <w:t> </w:t>
      </w:r>
      <w:r>
        <w:rPr>
          <w:sz w:val="24"/>
        </w:rPr>
        <w:t>exceed</w:t>
      </w:r>
      <w:r>
        <w:rPr>
          <w:spacing w:val="-14"/>
          <w:sz w:val="24"/>
        </w:rPr>
        <w:t> </w:t>
      </w:r>
      <w:r>
        <w:rPr>
          <w:sz w:val="24"/>
        </w:rPr>
        <w:t>limit</w:t>
      </w:r>
      <w:r>
        <w:rPr>
          <w:spacing w:val="-16"/>
          <w:sz w:val="24"/>
        </w:rPr>
        <w:t> </w:t>
      </w:r>
      <w:r>
        <w:rPr>
          <w:sz w:val="24"/>
        </w:rPr>
        <w:t>of</w:t>
      </w:r>
      <w:r>
        <w:rPr>
          <w:spacing w:val="-14"/>
          <w:sz w:val="24"/>
        </w:rPr>
        <w:t> </w:t>
      </w:r>
      <w:r>
        <w:rPr>
          <w:sz w:val="24"/>
        </w:rPr>
        <w:t>3.00.in suburbs and extended suburbs and Mumbai City. In case of plot having area of 2,00,000</w:t>
      </w:r>
      <w:r>
        <w:rPr>
          <w:spacing w:val="40"/>
          <w:sz w:val="24"/>
        </w:rPr>
        <w:t> </w:t>
      </w:r>
      <w:r>
        <w:rPr>
          <w:sz w:val="24"/>
        </w:rPr>
        <w:t>sq.mtr.</w:t>
      </w:r>
      <w:r>
        <w:rPr>
          <w:spacing w:val="80"/>
          <w:sz w:val="24"/>
        </w:rPr>
        <w:t> </w:t>
      </w:r>
      <w:r>
        <w:rPr>
          <w:sz w:val="24"/>
        </w:rPr>
        <w:t>or above,</w:t>
      </w:r>
      <w:r>
        <w:rPr>
          <w:spacing w:val="40"/>
          <w:sz w:val="24"/>
        </w:rPr>
        <w:t> </w:t>
      </w:r>
      <w:r>
        <w:rPr>
          <w:sz w:val="24"/>
        </w:rPr>
        <w:t>which front on roads having width of 24.00m or more, the F.S.I. may be permitted to be exceeded upto 4.00.</w:t>
      </w:r>
    </w:p>
    <w:p>
      <w:pPr>
        <w:pStyle w:val="ListParagraph"/>
        <w:spacing w:after="0" w:line="276" w:lineRule="auto"/>
        <w:jc w:val="both"/>
        <w:rPr>
          <w:sz w:val="24"/>
        </w:rPr>
        <w:sectPr>
          <w:pgSz w:w="11910" w:h="16840"/>
          <w:pgMar w:header="1065" w:footer="1194" w:top="1500" w:bottom="1380" w:left="360" w:right="360"/>
        </w:sectPr>
      </w:pPr>
    </w:p>
    <w:p>
      <w:pPr>
        <w:pStyle w:val="ListParagraph"/>
        <w:numPr>
          <w:ilvl w:val="0"/>
          <w:numId w:val="204"/>
        </w:numPr>
        <w:tabs>
          <w:tab w:pos="2333" w:val="left" w:leader="none"/>
        </w:tabs>
        <w:spacing w:line="276" w:lineRule="auto" w:before="247" w:after="0"/>
        <w:ind w:left="2333" w:right="767" w:hanging="360"/>
        <w:jc w:val="both"/>
        <w:rPr>
          <w:sz w:val="24"/>
        </w:rPr>
      </w:pPr>
      <w:r>
        <w:rPr>
          <w:sz w:val="24"/>
        </w:rPr>
        <w:t>Notwithstanding</w:t>
      </w:r>
      <w:r>
        <w:rPr>
          <w:spacing w:val="-20"/>
          <w:sz w:val="24"/>
        </w:rPr>
        <w:t> </w:t>
      </w:r>
      <w:r>
        <w:rPr>
          <w:sz w:val="24"/>
        </w:rPr>
        <w:t>anything</w:t>
      </w:r>
      <w:r>
        <w:rPr>
          <w:spacing w:val="-19"/>
          <w:sz w:val="24"/>
        </w:rPr>
        <w:t> </w:t>
      </w:r>
      <w:r>
        <w:rPr>
          <w:sz w:val="24"/>
        </w:rPr>
        <w:t>contained</w:t>
      </w:r>
      <w:r>
        <w:rPr>
          <w:spacing w:val="-19"/>
          <w:sz w:val="24"/>
        </w:rPr>
        <w:t> </w:t>
      </w:r>
      <w:r>
        <w:rPr>
          <w:sz w:val="24"/>
        </w:rPr>
        <w:t>in</w:t>
      </w:r>
      <w:r>
        <w:rPr>
          <w:spacing w:val="-19"/>
          <w:sz w:val="24"/>
        </w:rPr>
        <w:t> </w:t>
      </w:r>
      <w:r>
        <w:rPr>
          <w:sz w:val="24"/>
        </w:rPr>
        <w:t>these</w:t>
      </w:r>
      <w:r>
        <w:rPr>
          <w:spacing w:val="-19"/>
          <w:sz w:val="24"/>
        </w:rPr>
        <w:t> </w:t>
      </w:r>
      <w:r>
        <w:rPr>
          <w:sz w:val="24"/>
        </w:rPr>
        <w:t>Regulations,</w:t>
      </w:r>
      <w:r>
        <w:rPr>
          <w:spacing w:val="-20"/>
          <w:sz w:val="24"/>
        </w:rPr>
        <w:t> </w:t>
      </w:r>
      <w:r>
        <w:rPr>
          <w:sz w:val="24"/>
        </w:rPr>
        <w:t>no</w:t>
      </w:r>
      <w:r>
        <w:rPr>
          <w:spacing w:val="-19"/>
          <w:sz w:val="24"/>
        </w:rPr>
        <w:t> </w:t>
      </w:r>
      <w:r>
        <w:rPr>
          <w:sz w:val="24"/>
        </w:rPr>
        <w:t>amenity space is required to be left for development of plot/land up to 2.00 Hectare for Smart Fin Tech Centre.</w:t>
      </w:r>
    </w:p>
    <w:p>
      <w:pPr>
        <w:pStyle w:val="BodyText"/>
        <w:spacing w:before="42"/>
        <w:jc w:val="left"/>
      </w:pPr>
    </w:p>
    <w:p>
      <w:pPr>
        <w:pStyle w:val="ListParagraph"/>
        <w:numPr>
          <w:ilvl w:val="0"/>
          <w:numId w:val="204"/>
        </w:numPr>
        <w:tabs>
          <w:tab w:pos="2333" w:val="left" w:leader="none"/>
        </w:tabs>
        <w:spacing w:line="276" w:lineRule="auto" w:before="0" w:after="0"/>
        <w:ind w:left="2333" w:right="766" w:hanging="360"/>
        <w:jc w:val="both"/>
        <w:rPr>
          <w:sz w:val="24"/>
        </w:rPr>
      </w:pPr>
      <w:r>
        <w:rPr>
          <w:sz w:val="24"/>
        </w:rPr>
        <w:t>At</w:t>
      </w:r>
      <w:r>
        <w:rPr>
          <w:spacing w:val="-3"/>
          <w:sz w:val="24"/>
        </w:rPr>
        <w:t> </w:t>
      </w:r>
      <w:r>
        <w:rPr>
          <w:sz w:val="24"/>
        </w:rPr>
        <w:t>least</w:t>
      </w:r>
      <w:r>
        <w:rPr>
          <w:spacing w:val="-3"/>
          <w:sz w:val="24"/>
        </w:rPr>
        <w:t> </w:t>
      </w:r>
      <w:r>
        <w:rPr>
          <w:sz w:val="24"/>
        </w:rPr>
        <w:t>85%</w:t>
      </w:r>
      <w:r>
        <w:rPr>
          <w:spacing w:val="-3"/>
          <w:sz w:val="24"/>
        </w:rPr>
        <w:t> </w:t>
      </w:r>
      <w:r>
        <w:rPr>
          <w:sz w:val="24"/>
        </w:rPr>
        <w:t>of</w:t>
      </w:r>
      <w:r>
        <w:rPr>
          <w:spacing w:val="-3"/>
          <w:sz w:val="24"/>
        </w:rPr>
        <w:t> </w:t>
      </w:r>
      <w:r>
        <w:rPr>
          <w:sz w:val="24"/>
        </w:rPr>
        <w:t>total proposed</w:t>
      </w:r>
      <w:r>
        <w:rPr>
          <w:spacing w:val="-3"/>
          <w:sz w:val="24"/>
        </w:rPr>
        <w:t> </w:t>
      </w:r>
      <w:r>
        <w:rPr>
          <w:sz w:val="24"/>
        </w:rPr>
        <w:t>Built-up</w:t>
      </w:r>
      <w:r>
        <w:rPr>
          <w:spacing w:val="-3"/>
          <w:sz w:val="24"/>
        </w:rPr>
        <w:t> </w:t>
      </w:r>
      <w:r>
        <w:rPr>
          <w:sz w:val="24"/>
        </w:rPr>
        <w:t>area</w:t>
      </w:r>
      <w:r>
        <w:rPr>
          <w:spacing w:val="-3"/>
          <w:sz w:val="24"/>
        </w:rPr>
        <w:t> </w:t>
      </w:r>
      <w:r>
        <w:rPr>
          <w:sz w:val="24"/>
        </w:rPr>
        <w:t>(excluding</w:t>
      </w:r>
      <w:r>
        <w:rPr>
          <w:spacing w:val="-3"/>
          <w:sz w:val="24"/>
        </w:rPr>
        <w:t> </w:t>
      </w:r>
      <w:r>
        <w:rPr>
          <w:sz w:val="24"/>
        </w:rPr>
        <w:t>parking</w:t>
      </w:r>
      <w:r>
        <w:rPr>
          <w:spacing w:val="-3"/>
          <w:sz w:val="24"/>
        </w:rPr>
        <w:t> </w:t>
      </w:r>
      <w:r>
        <w:rPr>
          <w:sz w:val="24"/>
        </w:rPr>
        <w:t>area) shall be permitted for business of Fin Tech (start-ups, incubators, and accelerators), banking, financial service including NBFC and insurance, and IT/ITES with focus on Fin Tech.</w:t>
      </w:r>
    </w:p>
    <w:p>
      <w:pPr>
        <w:pStyle w:val="BodyText"/>
        <w:spacing w:before="42"/>
        <w:jc w:val="left"/>
      </w:pPr>
    </w:p>
    <w:p>
      <w:pPr>
        <w:pStyle w:val="ListParagraph"/>
        <w:numPr>
          <w:ilvl w:val="0"/>
          <w:numId w:val="204"/>
        </w:numPr>
        <w:tabs>
          <w:tab w:pos="2333" w:val="left" w:leader="none"/>
        </w:tabs>
        <w:spacing w:line="276" w:lineRule="auto" w:before="0" w:after="0"/>
        <w:ind w:left="2333" w:right="768" w:hanging="360"/>
        <w:jc w:val="both"/>
        <w:rPr>
          <w:sz w:val="24"/>
        </w:rPr>
      </w:pPr>
      <w:r>
        <w:rPr>
          <w:sz w:val="24"/>
        </w:rPr>
        <w:t>The Directorate of Information Technology</w:t>
      </w:r>
      <w:r>
        <w:rPr>
          <w:spacing w:val="40"/>
          <w:sz w:val="24"/>
        </w:rPr>
        <w:t> </w:t>
      </w:r>
      <w:r>
        <w:rPr>
          <w:sz w:val="24"/>
        </w:rPr>
        <w:t>will develop a web portal on</w:t>
      </w:r>
      <w:r>
        <w:rPr>
          <w:spacing w:val="-4"/>
          <w:sz w:val="24"/>
        </w:rPr>
        <w:t> </w:t>
      </w:r>
      <w:r>
        <w:rPr>
          <w:sz w:val="24"/>
        </w:rPr>
        <w:t>which</w:t>
      </w:r>
      <w:r>
        <w:rPr>
          <w:spacing w:val="-4"/>
          <w:sz w:val="24"/>
        </w:rPr>
        <w:t> </w:t>
      </w:r>
      <w:r>
        <w:rPr>
          <w:sz w:val="24"/>
        </w:rPr>
        <w:t>the</w:t>
      </w:r>
      <w:r>
        <w:rPr>
          <w:spacing w:val="-4"/>
          <w:sz w:val="24"/>
        </w:rPr>
        <w:t> </w:t>
      </w:r>
      <w:r>
        <w:rPr>
          <w:sz w:val="24"/>
        </w:rPr>
        <w:t>developer</w:t>
      </w:r>
      <w:r>
        <w:rPr>
          <w:spacing w:val="-4"/>
          <w:sz w:val="24"/>
        </w:rPr>
        <w:t> </w:t>
      </w:r>
      <w:r>
        <w:rPr>
          <w:sz w:val="24"/>
        </w:rPr>
        <w:t>of</w:t>
      </w:r>
      <w:r>
        <w:rPr>
          <w:spacing w:val="-4"/>
          <w:sz w:val="24"/>
        </w:rPr>
        <w:t> </w:t>
      </w:r>
      <w:r>
        <w:rPr>
          <w:sz w:val="24"/>
        </w:rPr>
        <w:t>every</w:t>
      </w:r>
      <w:r>
        <w:rPr>
          <w:spacing w:val="-4"/>
          <w:sz w:val="24"/>
        </w:rPr>
        <w:t> </w:t>
      </w:r>
      <w:r>
        <w:rPr>
          <w:sz w:val="24"/>
        </w:rPr>
        <w:t>Smart</w:t>
      </w:r>
      <w:r>
        <w:rPr>
          <w:spacing w:val="-4"/>
          <w:sz w:val="24"/>
        </w:rPr>
        <w:t> </w:t>
      </w:r>
      <w:r>
        <w:rPr>
          <w:sz w:val="24"/>
        </w:rPr>
        <w:t>Fin</w:t>
      </w:r>
      <w:r>
        <w:rPr>
          <w:spacing w:val="-4"/>
          <w:sz w:val="24"/>
        </w:rPr>
        <w:t> </w:t>
      </w:r>
      <w:r>
        <w:rPr>
          <w:sz w:val="24"/>
        </w:rPr>
        <w:t>Tech</w:t>
      </w:r>
      <w:r>
        <w:rPr>
          <w:spacing w:val="-4"/>
          <w:sz w:val="24"/>
        </w:rPr>
        <w:t> </w:t>
      </w:r>
      <w:r>
        <w:rPr>
          <w:sz w:val="24"/>
        </w:rPr>
        <w:t>Centre</w:t>
      </w:r>
      <w:r>
        <w:rPr>
          <w:spacing w:val="-4"/>
          <w:sz w:val="24"/>
        </w:rPr>
        <w:t> </w:t>
      </w:r>
      <w:r>
        <w:rPr>
          <w:sz w:val="24"/>
        </w:rPr>
        <w:t>will</w:t>
      </w:r>
      <w:r>
        <w:rPr>
          <w:spacing w:val="-4"/>
          <w:sz w:val="24"/>
        </w:rPr>
        <w:t> </w:t>
      </w:r>
      <w:r>
        <w:rPr>
          <w:sz w:val="24"/>
        </w:rPr>
        <w:t>be</w:t>
      </w:r>
      <w:r>
        <w:rPr>
          <w:spacing w:val="-4"/>
          <w:sz w:val="24"/>
        </w:rPr>
        <w:t> </w:t>
      </w:r>
      <w:r>
        <w:rPr>
          <w:sz w:val="24"/>
        </w:rPr>
        <w:t>bound to</w:t>
      </w:r>
      <w:r>
        <w:rPr>
          <w:spacing w:val="-1"/>
          <w:sz w:val="24"/>
        </w:rPr>
        <w:t> </w:t>
      </w:r>
      <w:r>
        <w:rPr>
          <w:sz w:val="24"/>
        </w:rPr>
        <w:t>provide</w:t>
      </w:r>
      <w:r>
        <w:rPr>
          <w:spacing w:val="-1"/>
          <w:sz w:val="24"/>
        </w:rPr>
        <w:t> </w:t>
      </w:r>
      <w:r>
        <w:rPr>
          <w:sz w:val="24"/>
        </w:rPr>
        <w:t>/</w:t>
      </w:r>
      <w:r>
        <w:rPr>
          <w:spacing w:val="-1"/>
          <w:sz w:val="24"/>
        </w:rPr>
        <w:t> </w:t>
      </w:r>
      <w:r>
        <w:rPr>
          <w:sz w:val="24"/>
        </w:rPr>
        <w:t>update</w:t>
      </w:r>
      <w:r>
        <w:rPr>
          <w:spacing w:val="-1"/>
          <w:sz w:val="24"/>
        </w:rPr>
        <w:t> </w:t>
      </w:r>
      <w:r>
        <w:rPr>
          <w:sz w:val="24"/>
        </w:rPr>
        <w:t>detailed</w:t>
      </w:r>
      <w:r>
        <w:rPr>
          <w:spacing w:val="-1"/>
          <w:sz w:val="24"/>
        </w:rPr>
        <w:t> </w:t>
      </w:r>
      <w:r>
        <w:rPr>
          <w:sz w:val="24"/>
        </w:rPr>
        <w:t>information</w:t>
      </w:r>
      <w:r>
        <w:rPr>
          <w:spacing w:val="-1"/>
          <w:sz w:val="24"/>
        </w:rPr>
        <w:t> </w:t>
      </w:r>
      <w:r>
        <w:rPr>
          <w:sz w:val="24"/>
        </w:rPr>
        <w:t>about</w:t>
      </w:r>
      <w:r>
        <w:rPr>
          <w:spacing w:val="-1"/>
          <w:sz w:val="24"/>
        </w:rPr>
        <w:t> </w:t>
      </w:r>
      <w:r>
        <w:rPr>
          <w:sz w:val="24"/>
        </w:rPr>
        <w:t>names</w:t>
      </w:r>
      <w:r>
        <w:rPr>
          <w:spacing w:val="-1"/>
          <w:sz w:val="24"/>
        </w:rPr>
        <w:t> </w:t>
      </w:r>
      <w:r>
        <w:rPr>
          <w:sz w:val="24"/>
        </w:rPr>
        <w:t>of</w:t>
      </w:r>
      <w:r>
        <w:rPr>
          <w:spacing w:val="-1"/>
          <w:sz w:val="24"/>
        </w:rPr>
        <w:t> </w:t>
      </w:r>
      <w:r>
        <w:rPr>
          <w:sz w:val="24"/>
        </w:rPr>
        <w:t>the</w:t>
      </w:r>
      <w:r>
        <w:rPr>
          <w:spacing w:val="-1"/>
          <w:sz w:val="24"/>
        </w:rPr>
        <w:t> </w:t>
      </w:r>
      <w:r>
        <w:rPr>
          <w:sz w:val="24"/>
        </w:rPr>
        <w:t>units</w:t>
      </w:r>
      <w:r>
        <w:rPr>
          <w:spacing w:val="-1"/>
          <w:sz w:val="24"/>
        </w:rPr>
        <w:t> </w:t>
      </w:r>
      <w:r>
        <w:rPr>
          <w:sz w:val="24"/>
        </w:rPr>
        <w:t>in the park, utilization of built-up area and</w:t>
      </w:r>
      <w:r>
        <w:rPr>
          <w:spacing w:val="-1"/>
          <w:sz w:val="24"/>
        </w:rPr>
        <w:t> </w:t>
      </w:r>
      <w:r>
        <w:rPr>
          <w:sz w:val="24"/>
        </w:rPr>
        <w:t>activities being carried out, manpower employed in the Smart Fin Tech Centre on yearly basis.</w:t>
      </w:r>
    </w:p>
    <w:p>
      <w:pPr>
        <w:pStyle w:val="ListParagraph"/>
        <w:numPr>
          <w:ilvl w:val="0"/>
          <w:numId w:val="204"/>
        </w:numPr>
        <w:tabs>
          <w:tab w:pos="2333" w:val="left" w:leader="none"/>
        </w:tabs>
        <w:spacing w:line="276" w:lineRule="auto" w:before="1" w:after="0"/>
        <w:ind w:left="2333" w:right="767" w:hanging="360"/>
        <w:jc w:val="both"/>
        <w:rPr>
          <w:sz w:val="24"/>
        </w:rPr>
      </w:pPr>
      <w:r>
        <w:rPr>
          <w:sz w:val="24"/>
        </w:rPr>
        <w:t>If a Smart Fin Tech</w:t>
      </w:r>
      <w:r>
        <w:rPr>
          <w:spacing w:val="40"/>
          <w:sz w:val="24"/>
        </w:rPr>
        <w:t> </w:t>
      </w:r>
      <w:r>
        <w:rPr>
          <w:sz w:val="24"/>
        </w:rPr>
        <w:t>Centre has availed additional FSI as per the provisions of Smart Fin Tech</w:t>
      </w:r>
      <w:r>
        <w:rPr>
          <w:spacing w:val="40"/>
          <w:sz w:val="24"/>
        </w:rPr>
        <w:t> </w:t>
      </w:r>
      <w:r>
        <w:rPr>
          <w:sz w:val="24"/>
        </w:rPr>
        <w:t>Centre policy and subsequently it is found that the built-up space in the Smart Fin Tech</w:t>
      </w:r>
      <w:r>
        <w:rPr>
          <w:spacing w:val="40"/>
          <w:sz w:val="24"/>
        </w:rPr>
        <w:t> </w:t>
      </w:r>
      <w:r>
        <w:rPr>
          <w:sz w:val="24"/>
        </w:rPr>
        <w:t>Centre is being used for non-Fin Tech</w:t>
      </w:r>
      <w:r>
        <w:rPr>
          <w:spacing w:val="40"/>
          <w:sz w:val="24"/>
        </w:rPr>
        <w:t> </w:t>
      </w:r>
      <w:r>
        <w:rPr>
          <w:sz w:val="24"/>
        </w:rPr>
        <w:t>/ commercial activities / any other activity, not</w:t>
      </w:r>
      <w:r>
        <w:rPr>
          <w:spacing w:val="-1"/>
          <w:sz w:val="24"/>
        </w:rPr>
        <w:t> </w:t>
      </w:r>
      <w:r>
        <w:rPr>
          <w:sz w:val="24"/>
        </w:rPr>
        <w:t>permitted</w:t>
      </w:r>
      <w:r>
        <w:rPr>
          <w:spacing w:val="-1"/>
          <w:sz w:val="24"/>
        </w:rPr>
        <w:t> </w:t>
      </w:r>
      <w:r>
        <w:rPr>
          <w:sz w:val="24"/>
        </w:rPr>
        <w:t>as</w:t>
      </w:r>
      <w:r>
        <w:rPr>
          <w:spacing w:val="-1"/>
          <w:sz w:val="24"/>
        </w:rPr>
        <w:t> </w:t>
      </w:r>
      <w:r>
        <w:rPr>
          <w:sz w:val="24"/>
        </w:rPr>
        <w:t>per</w:t>
      </w:r>
      <w:r>
        <w:rPr>
          <w:spacing w:val="-4"/>
          <w:sz w:val="24"/>
        </w:rPr>
        <w:t> </w:t>
      </w:r>
      <w:r>
        <w:rPr>
          <w:sz w:val="24"/>
        </w:rPr>
        <w:t>the</w:t>
      </w:r>
      <w:r>
        <w:rPr>
          <w:spacing w:val="-1"/>
          <w:sz w:val="24"/>
        </w:rPr>
        <w:t> </w:t>
      </w:r>
      <w:r>
        <w:rPr>
          <w:sz w:val="24"/>
        </w:rPr>
        <w:t>Smart</w:t>
      </w:r>
      <w:r>
        <w:rPr>
          <w:spacing w:val="-1"/>
          <w:sz w:val="24"/>
        </w:rPr>
        <w:t> </w:t>
      </w:r>
      <w:r>
        <w:rPr>
          <w:sz w:val="24"/>
        </w:rPr>
        <w:t>Fin</w:t>
      </w:r>
      <w:r>
        <w:rPr>
          <w:spacing w:val="80"/>
          <w:sz w:val="24"/>
        </w:rPr>
        <w:t> </w:t>
      </w:r>
      <w:r>
        <w:rPr>
          <w:sz w:val="24"/>
        </w:rPr>
        <w:t>Tech</w:t>
      </w:r>
      <w:r>
        <w:rPr>
          <w:spacing w:val="-1"/>
          <w:sz w:val="24"/>
        </w:rPr>
        <w:t> </w:t>
      </w:r>
      <w:r>
        <w:rPr>
          <w:sz w:val="24"/>
        </w:rPr>
        <w:t>Centre</w:t>
      </w:r>
      <w:r>
        <w:rPr>
          <w:spacing w:val="-1"/>
          <w:sz w:val="24"/>
        </w:rPr>
        <w:t> </w:t>
      </w:r>
      <w:r>
        <w:rPr>
          <w:sz w:val="24"/>
        </w:rPr>
        <w:t>policy</w:t>
      </w:r>
      <w:r>
        <w:rPr>
          <w:spacing w:val="-1"/>
          <w:sz w:val="24"/>
        </w:rPr>
        <w:t> </w:t>
      </w:r>
      <w:r>
        <w:rPr>
          <w:sz w:val="24"/>
        </w:rPr>
        <w:t>under</w:t>
      </w:r>
      <w:r>
        <w:rPr>
          <w:spacing w:val="-1"/>
          <w:sz w:val="24"/>
        </w:rPr>
        <w:t> </w:t>
      </w:r>
      <w:r>
        <w:rPr>
          <w:sz w:val="24"/>
        </w:rPr>
        <w:t>which the</w:t>
      </w:r>
      <w:r>
        <w:rPr>
          <w:spacing w:val="-4"/>
          <w:sz w:val="24"/>
        </w:rPr>
        <w:t> </w:t>
      </w:r>
      <w:r>
        <w:rPr>
          <w:sz w:val="24"/>
        </w:rPr>
        <w:t>said</w:t>
      </w:r>
      <w:r>
        <w:rPr>
          <w:spacing w:val="-4"/>
          <w:sz w:val="24"/>
        </w:rPr>
        <w:t> </w:t>
      </w:r>
      <w:r>
        <w:rPr>
          <w:sz w:val="24"/>
        </w:rPr>
        <w:t>Centre</w:t>
      </w:r>
      <w:r>
        <w:rPr>
          <w:spacing w:val="40"/>
          <w:sz w:val="24"/>
        </w:rPr>
        <w:t> </w:t>
      </w:r>
      <w:r>
        <w:rPr>
          <w:sz w:val="24"/>
        </w:rPr>
        <w:t>was</w:t>
      </w:r>
      <w:r>
        <w:rPr>
          <w:spacing w:val="-6"/>
          <w:sz w:val="24"/>
        </w:rPr>
        <w:t> </w:t>
      </w:r>
      <w:r>
        <w:rPr>
          <w:sz w:val="24"/>
        </w:rPr>
        <w:t>approved,</w:t>
      </w:r>
      <w:r>
        <w:rPr>
          <w:spacing w:val="-4"/>
          <w:sz w:val="24"/>
        </w:rPr>
        <w:t> </w:t>
      </w:r>
      <w:r>
        <w:rPr>
          <w:sz w:val="24"/>
        </w:rPr>
        <w:t>a</w:t>
      </w:r>
      <w:r>
        <w:rPr>
          <w:spacing w:val="-4"/>
          <w:sz w:val="24"/>
        </w:rPr>
        <w:t> </w:t>
      </w:r>
      <w:r>
        <w:rPr>
          <w:sz w:val="24"/>
        </w:rPr>
        <w:t>penal</w:t>
      </w:r>
      <w:r>
        <w:rPr>
          <w:spacing w:val="-4"/>
          <w:sz w:val="24"/>
        </w:rPr>
        <w:t> </w:t>
      </w:r>
      <w:r>
        <w:rPr>
          <w:sz w:val="24"/>
        </w:rPr>
        <w:t>action</w:t>
      </w:r>
      <w:r>
        <w:rPr>
          <w:spacing w:val="-4"/>
          <w:sz w:val="24"/>
        </w:rPr>
        <w:t> </w:t>
      </w:r>
      <w:r>
        <w:rPr>
          <w:sz w:val="24"/>
        </w:rPr>
        <w:t>as</w:t>
      </w:r>
      <w:r>
        <w:rPr>
          <w:spacing w:val="-4"/>
          <w:sz w:val="24"/>
        </w:rPr>
        <w:t> </w:t>
      </w:r>
      <w:r>
        <w:rPr>
          <w:sz w:val="24"/>
        </w:rPr>
        <w:t>below</w:t>
      </w:r>
      <w:r>
        <w:rPr>
          <w:spacing w:val="-4"/>
          <w:sz w:val="24"/>
        </w:rPr>
        <w:t> </w:t>
      </w:r>
      <w:r>
        <w:rPr>
          <w:sz w:val="24"/>
        </w:rPr>
        <w:t>will</w:t>
      </w:r>
      <w:r>
        <w:rPr>
          <w:spacing w:val="-4"/>
          <w:sz w:val="24"/>
        </w:rPr>
        <w:t> </w:t>
      </w:r>
      <w:r>
        <w:rPr>
          <w:sz w:val="24"/>
        </w:rPr>
        <w:t>be</w:t>
      </w:r>
      <w:r>
        <w:rPr>
          <w:spacing w:val="-4"/>
          <w:sz w:val="24"/>
        </w:rPr>
        <w:t> </w:t>
      </w:r>
      <w:r>
        <w:rPr>
          <w:sz w:val="24"/>
        </w:rPr>
        <w:t>taken, the</w:t>
      </w:r>
      <w:r>
        <w:rPr>
          <w:spacing w:val="-20"/>
          <w:sz w:val="24"/>
        </w:rPr>
        <w:t> </w:t>
      </w:r>
      <w:r>
        <w:rPr>
          <w:sz w:val="24"/>
        </w:rPr>
        <w:t>payment</w:t>
      </w:r>
      <w:r>
        <w:rPr>
          <w:spacing w:val="-19"/>
          <w:sz w:val="24"/>
        </w:rPr>
        <w:t> </w:t>
      </w:r>
      <w:r>
        <w:rPr>
          <w:sz w:val="24"/>
        </w:rPr>
        <w:t>shall</w:t>
      </w:r>
      <w:r>
        <w:rPr>
          <w:spacing w:val="14"/>
          <w:sz w:val="24"/>
        </w:rPr>
        <w:t> </w:t>
      </w:r>
      <w:r>
        <w:rPr>
          <w:sz w:val="24"/>
        </w:rPr>
        <w:t>be</w:t>
      </w:r>
      <w:r>
        <w:rPr>
          <w:spacing w:val="-19"/>
          <w:sz w:val="24"/>
        </w:rPr>
        <w:t> </w:t>
      </w:r>
      <w:r>
        <w:rPr>
          <w:sz w:val="24"/>
        </w:rPr>
        <w:t>shared</w:t>
      </w:r>
      <w:r>
        <w:rPr>
          <w:spacing w:val="-19"/>
          <w:sz w:val="24"/>
        </w:rPr>
        <w:t> </w:t>
      </w:r>
      <w:r>
        <w:rPr>
          <w:sz w:val="24"/>
        </w:rPr>
        <w:t>between</w:t>
      </w:r>
      <w:r>
        <w:rPr>
          <w:spacing w:val="-19"/>
          <w:sz w:val="24"/>
        </w:rPr>
        <w:t> </w:t>
      </w:r>
      <w:r>
        <w:rPr>
          <w:sz w:val="24"/>
        </w:rPr>
        <w:t>the</w:t>
      </w:r>
      <w:r>
        <w:rPr>
          <w:spacing w:val="-19"/>
          <w:sz w:val="24"/>
        </w:rPr>
        <w:t> </w:t>
      </w:r>
      <w:r>
        <w:rPr>
          <w:sz w:val="24"/>
        </w:rPr>
        <w:t>MCGM</w:t>
      </w:r>
      <w:r>
        <w:rPr>
          <w:spacing w:val="-19"/>
          <w:sz w:val="24"/>
        </w:rPr>
        <w:t> </w:t>
      </w:r>
      <w:r>
        <w:rPr>
          <w:sz w:val="24"/>
        </w:rPr>
        <w:t>and</w:t>
      </w:r>
      <w:r>
        <w:rPr>
          <w:spacing w:val="-20"/>
          <w:sz w:val="24"/>
        </w:rPr>
        <w:t> </w:t>
      </w:r>
      <w:r>
        <w:rPr>
          <w:sz w:val="24"/>
        </w:rPr>
        <w:t>the</w:t>
      </w:r>
      <w:r>
        <w:rPr>
          <w:spacing w:val="-19"/>
          <w:sz w:val="24"/>
        </w:rPr>
        <w:t> </w:t>
      </w:r>
      <w:r>
        <w:rPr>
          <w:sz w:val="24"/>
        </w:rPr>
        <w:t>Government in the ratio of 3:1.</w:t>
      </w:r>
    </w:p>
    <w:p>
      <w:pPr>
        <w:pStyle w:val="ListParagraph"/>
        <w:numPr>
          <w:ilvl w:val="1"/>
          <w:numId w:val="204"/>
        </w:numPr>
        <w:tabs>
          <w:tab w:pos="2926" w:val="left" w:leader="none"/>
        </w:tabs>
        <w:spacing w:line="240" w:lineRule="auto" w:before="205" w:after="0"/>
        <w:ind w:left="2333" w:right="768" w:firstLine="0"/>
        <w:jc w:val="both"/>
        <w:rPr>
          <w:sz w:val="24"/>
        </w:rPr>
      </w:pPr>
      <w:r>
        <w:rPr>
          <w:sz w:val="24"/>
        </w:rPr>
        <w:t>The misuse shall be ascertained by physical site verification of the said Smart Fin Tech Centre policy by a team of officers from the Directorate of Information Technology and the MCGM, which has approved the building plans of the said Smart Fin Tech Centre.</w:t>
      </w:r>
    </w:p>
    <w:p>
      <w:pPr>
        <w:pStyle w:val="ListParagraph"/>
        <w:numPr>
          <w:ilvl w:val="1"/>
          <w:numId w:val="204"/>
        </w:numPr>
        <w:tabs>
          <w:tab w:pos="2410" w:val="left" w:leader="none"/>
          <w:tab w:pos="2644" w:val="left" w:leader="none"/>
        </w:tabs>
        <w:spacing w:line="240" w:lineRule="auto" w:before="0" w:after="0"/>
        <w:ind w:left="2410" w:right="768" w:hanging="77"/>
        <w:jc w:val="both"/>
        <w:rPr>
          <w:sz w:val="24"/>
        </w:rPr>
      </w:pPr>
      <w:r>
        <w:rPr>
          <w:sz w:val="24"/>
        </w:rPr>
        <w:t>A per day penalty equal to 0.3%</w:t>
      </w:r>
      <w:r>
        <w:rPr>
          <w:spacing w:val="40"/>
          <w:sz w:val="24"/>
        </w:rPr>
        <w:t> </w:t>
      </w:r>
      <w:r>
        <w:rPr>
          <w:sz w:val="24"/>
        </w:rPr>
        <w:t>of the prevailing ready reckoner value</w:t>
      </w:r>
      <w:r>
        <w:rPr>
          <w:spacing w:val="-12"/>
          <w:sz w:val="24"/>
        </w:rPr>
        <w:t> </w:t>
      </w:r>
      <w:r>
        <w:rPr>
          <w:sz w:val="24"/>
        </w:rPr>
        <w:t>of</w:t>
      </w:r>
      <w:r>
        <w:rPr>
          <w:spacing w:val="-12"/>
          <w:sz w:val="24"/>
        </w:rPr>
        <w:t> </w:t>
      </w:r>
      <w:r>
        <w:rPr>
          <w:sz w:val="24"/>
        </w:rPr>
        <w:t>the</w:t>
      </w:r>
      <w:r>
        <w:rPr>
          <w:spacing w:val="-12"/>
          <w:sz w:val="24"/>
        </w:rPr>
        <w:t> </w:t>
      </w:r>
      <w:r>
        <w:rPr>
          <w:sz w:val="24"/>
        </w:rPr>
        <w:t>built-up</w:t>
      </w:r>
      <w:r>
        <w:rPr>
          <w:spacing w:val="-10"/>
          <w:sz w:val="24"/>
        </w:rPr>
        <w:t> </w:t>
      </w:r>
      <w:r>
        <w:rPr>
          <w:sz w:val="24"/>
        </w:rPr>
        <w:t>area</w:t>
      </w:r>
      <w:r>
        <w:rPr>
          <w:spacing w:val="-12"/>
          <w:sz w:val="24"/>
        </w:rPr>
        <w:t> </w:t>
      </w:r>
      <w:r>
        <w:rPr>
          <w:sz w:val="24"/>
        </w:rPr>
        <w:t>that</w:t>
      </w:r>
      <w:r>
        <w:rPr>
          <w:spacing w:val="-12"/>
          <w:sz w:val="24"/>
        </w:rPr>
        <w:t> </w:t>
      </w:r>
      <w:r>
        <w:rPr>
          <w:sz w:val="24"/>
        </w:rPr>
        <w:t>has</w:t>
      </w:r>
      <w:r>
        <w:rPr>
          <w:spacing w:val="-12"/>
          <w:sz w:val="24"/>
        </w:rPr>
        <w:t> </w:t>
      </w:r>
      <w:r>
        <w:rPr>
          <w:sz w:val="24"/>
        </w:rPr>
        <w:t>been</w:t>
      </w:r>
      <w:r>
        <w:rPr>
          <w:spacing w:val="-12"/>
          <w:sz w:val="24"/>
        </w:rPr>
        <w:t> </w:t>
      </w:r>
      <w:r>
        <w:rPr>
          <w:sz w:val="24"/>
        </w:rPr>
        <w:t>found</w:t>
      </w:r>
      <w:r>
        <w:rPr>
          <w:spacing w:val="-12"/>
          <w:sz w:val="24"/>
        </w:rPr>
        <w:t> </w:t>
      </w:r>
      <w:r>
        <w:rPr>
          <w:sz w:val="24"/>
        </w:rPr>
        <w:t>to</w:t>
      </w:r>
      <w:r>
        <w:rPr>
          <w:spacing w:val="-12"/>
          <w:sz w:val="24"/>
        </w:rPr>
        <w:t> </w:t>
      </w:r>
      <w:r>
        <w:rPr>
          <w:sz w:val="24"/>
        </w:rPr>
        <w:t>be</w:t>
      </w:r>
      <w:r>
        <w:rPr>
          <w:spacing w:val="-12"/>
          <w:sz w:val="24"/>
        </w:rPr>
        <w:t> </w:t>
      </w:r>
      <w:r>
        <w:rPr>
          <w:sz w:val="24"/>
        </w:rPr>
        <w:t>used</w:t>
      </w:r>
      <w:r>
        <w:rPr>
          <w:spacing w:val="-12"/>
          <w:sz w:val="24"/>
        </w:rPr>
        <w:t> </w:t>
      </w:r>
      <w:r>
        <w:rPr>
          <w:sz w:val="24"/>
        </w:rPr>
        <w:t>for</w:t>
      </w:r>
      <w:r>
        <w:rPr>
          <w:spacing w:val="-12"/>
          <w:sz w:val="24"/>
        </w:rPr>
        <w:t> </w:t>
      </w:r>
      <w:r>
        <w:rPr>
          <w:sz w:val="24"/>
        </w:rPr>
        <w:t>non-Fin Tech activities</w:t>
      </w:r>
      <w:r>
        <w:rPr>
          <w:b/>
          <w:i/>
          <w:sz w:val="24"/>
        </w:rPr>
        <w:t>, </w:t>
      </w:r>
      <w:r>
        <w:rPr>
          <w:sz w:val="24"/>
        </w:rPr>
        <w:t>shall be imposed</w:t>
      </w:r>
    </w:p>
    <w:p>
      <w:pPr>
        <w:pStyle w:val="ListParagraph"/>
        <w:numPr>
          <w:ilvl w:val="1"/>
          <w:numId w:val="204"/>
        </w:numPr>
        <w:tabs>
          <w:tab w:pos="2713" w:val="left" w:leader="none"/>
        </w:tabs>
        <w:spacing w:line="240" w:lineRule="auto" w:before="0" w:after="0"/>
        <w:ind w:left="2333" w:right="776" w:firstLine="0"/>
        <w:jc w:val="both"/>
        <w:rPr>
          <w:sz w:val="24"/>
        </w:rPr>
      </w:pPr>
      <w:r>
        <w:rPr>
          <w:sz w:val="24"/>
        </w:rPr>
        <w:t>The penalty will be recovered from the date of commencement of unauthorized use till the day non-Fin Tech activities.</w:t>
      </w:r>
    </w:p>
    <w:p>
      <w:pPr>
        <w:pStyle w:val="BodyText"/>
        <w:spacing w:before="227"/>
        <w:ind w:left="1975" w:right="770"/>
      </w:pPr>
      <w:r>
        <w:rPr/>
        <w:t>After payment of the penalty to the MCGM, which has sanctioned the building plans of the concerned Smart Fin Tech Centre, the said Smart Fin Tech Centre will restore the use of premises to the original purpose for which LOI/ Registration was granted.</w:t>
      </w:r>
      <w:r>
        <w:rPr>
          <w:spacing w:val="40"/>
        </w:rPr>
        <w:t> </w:t>
      </w:r>
      <w:r>
        <w:rPr/>
        <w:t>If the Smart Fin Tech Centre fails</w:t>
      </w:r>
      <w:r>
        <w:rPr>
          <w:spacing w:val="-1"/>
        </w:rPr>
        <w:t> </w:t>
      </w:r>
      <w:r>
        <w:rPr/>
        <w:t>to</w:t>
      </w:r>
      <w:r>
        <w:rPr>
          <w:spacing w:val="-1"/>
        </w:rPr>
        <w:t> </w:t>
      </w:r>
      <w:r>
        <w:rPr/>
        <w:t>pay</w:t>
      </w:r>
      <w:r>
        <w:rPr>
          <w:spacing w:val="-1"/>
        </w:rPr>
        <w:t> </w:t>
      </w:r>
      <w:r>
        <w:rPr/>
        <w:t>penalty</w:t>
      </w:r>
      <w:r>
        <w:rPr>
          <w:spacing w:val="-1"/>
        </w:rPr>
        <w:t> </w:t>
      </w:r>
      <w:r>
        <w:rPr/>
        <w:t>and</w:t>
      </w:r>
      <w:r>
        <w:rPr>
          <w:spacing w:val="-1"/>
        </w:rPr>
        <w:t> </w:t>
      </w:r>
      <w:r>
        <w:rPr/>
        <w:t>/</w:t>
      </w:r>
      <w:r>
        <w:rPr>
          <w:spacing w:val="-1"/>
        </w:rPr>
        <w:t> </w:t>
      </w:r>
      <w:r>
        <w:rPr/>
        <w:t>or</w:t>
      </w:r>
      <w:r>
        <w:rPr>
          <w:spacing w:val="-1"/>
        </w:rPr>
        <w:t> </w:t>
      </w:r>
      <w:r>
        <w:rPr/>
        <w:t>restore</w:t>
      </w:r>
      <w:r>
        <w:rPr>
          <w:spacing w:val="-1"/>
        </w:rPr>
        <w:t> </w:t>
      </w:r>
      <w:r>
        <w:rPr/>
        <w:t>the</w:t>
      </w:r>
      <w:r>
        <w:rPr>
          <w:spacing w:val="-1"/>
        </w:rPr>
        <w:t> </w:t>
      </w:r>
      <w:r>
        <w:rPr/>
        <w:t>use</w:t>
      </w:r>
      <w:r>
        <w:rPr>
          <w:spacing w:val="-1"/>
        </w:rPr>
        <w:t> </w:t>
      </w:r>
      <w:r>
        <w:rPr/>
        <w:t>to</w:t>
      </w:r>
      <w:r>
        <w:rPr>
          <w:spacing w:val="-1"/>
        </w:rPr>
        <w:t> </w:t>
      </w:r>
      <w:r>
        <w:rPr/>
        <w:t>its</w:t>
      </w:r>
      <w:r>
        <w:rPr>
          <w:spacing w:val="-1"/>
        </w:rPr>
        <w:t> </w:t>
      </w:r>
      <w:r>
        <w:rPr/>
        <w:t>original</w:t>
      </w:r>
      <w:r>
        <w:rPr>
          <w:spacing w:val="-1"/>
        </w:rPr>
        <w:t> </w:t>
      </w:r>
      <w:r>
        <w:rPr/>
        <w:t>intended</w:t>
      </w:r>
      <w:r>
        <w:rPr>
          <w:spacing w:val="-1"/>
        </w:rPr>
        <w:t> </w:t>
      </w:r>
      <w:r>
        <w:rPr/>
        <w:t>use, the</w:t>
      </w:r>
      <w:r>
        <w:rPr>
          <w:spacing w:val="-16"/>
        </w:rPr>
        <w:t> </w:t>
      </w:r>
      <w:r>
        <w:rPr/>
        <w:t>MCGM</w:t>
      </w:r>
      <w:r>
        <w:rPr>
          <w:spacing w:val="-16"/>
        </w:rPr>
        <w:t> </w:t>
      </w:r>
      <w:r>
        <w:rPr/>
        <w:t>will</w:t>
      </w:r>
      <w:r>
        <w:rPr>
          <w:spacing w:val="-16"/>
        </w:rPr>
        <w:t> </w:t>
      </w:r>
      <w:r>
        <w:rPr/>
        <w:t>take</w:t>
      </w:r>
      <w:r>
        <w:rPr>
          <w:spacing w:val="-19"/>
        </w:rPr>
        <w:t> </w:t>
      </w:r>
      <w:r>
        <w:rPr/>
        <w:t>suitable</w:t>
      </w:r>
      <w:r>
        <w:rPr>
          <w:spacing w:val="-16"/>
        </w:rPr>
        <w:t> </w:t>
      </w:r>
      <w:r>
        <w:rPr/>
        <w:t>action</w:t>
      </w:r>
      <w:r>
        <w:rPr>
          <w:spacing w:val="-16"/>
        </w:rPr>
        <w:t> </w:t>
      </w:r>
      <w:r>
        <w:rPr/>
        <w:t>under</w:t>
      </w:r>
      <w:r>
        <w:rPr>
          <w:spacing w:val="-16"/>
        </w:rPr>
        <w:t> </w:t>
      </w:r>
      <w:r>
        <w:rPr/>
        <w:t>the</w:t>
      </w:r>
      <w:r>
        <w:rPr>
          <w:spacing w:val="-16"/>
        </w:rPr>
        <w:t> </w:t>
      </w:r>
      <w:r>
        <w:rPr/>
        <w:t>Maharashtra</w:t>
      </w:r>
      <w:r>
        <w:rPr>
          <w:spacing w:val="-16"/>
        </w:rPr>
        <w:t> </w:t>
      </w:r>
      <w:r>
        <w:rPr/>
        <w:t>Regional</w:t>
      </w:r>
      <w:r>
        <w:rPr>
          <w:spacing w:val="-16"/>
        </w:rPr>
        <w:t> </w:t>
      </w:r>
      <w:r>
        <w:rPr/>
        <w:t>and Town Planning</w:t>
      </w:r>
      <w:r>
        <w:rPr>
          <w:spacing w:val="40"/>
        </w:rPr>
        <w:t> </w:t>
      </w:r>
      <w:r>
        <w:rPr/>
        <w:t>Act 1966,</w:t>
      </w:r>
      <w:r>
        <w:rPr>
          <w:spacing w:val="40"/>
        </w:rPr>
        <w:t> </w:t>
      </w:r>
      <w:r>
        <w:rPr/>
        <w:t>against the erring Smart Fin Tech Centre under intimation to the Directorate of Information Technology.</w:t>
      </w:r>
    </w:p>
    <w:p>
      <w:pPr>
        <w:pStyle w:val="BodyText"/>
        <w:spacing w:line="278" w:lineRule="auto" w:before="197"/>
        <w:ind w:left="1973" w:right="838" w:firstLine="828"/>
        <w:jc w:val="left"/>
      </w:pPr>
      <w:r>
        <w:rPr/>
        <w:t>These provisions will be over and above the penal provisions of the MRTP</w:t>
      </w:r>
      <w:r>
        <w:rPr>
          <w:spacing w:val="40"/>
        </w:rPr>
        <w:t> </w:t>
      </w:r>
      <w:r>
        <w:rPr/>
        <w:t>Act, 1966.</w:t>
      </w:r>
    </w:p>
    <w:p>
      <w:pPr>
        <w:pStyle w:val="BodyText"/>
        <w:spacing w:after="0" w:line="278" w:lineRule="auto"/>
        <w:jc w:val="left"/>
        <w:sectPr>
          <w:pgSz w:w="11910" w:h="16840"/>
          <w:pgMar w:header="1065" w:footer="1194" w:top="1500" w:bottom="1380" w:left="360" w:right="360"/>
        </w:sectPr>
      </w:pPr>
    </w:p>
    <w:p>
      <w:pPr>
        <w:pStyle w:val="ListParagraph"/>
        <w:numPr>
          <w:ilvl w:val="0"/>
          <w:numId w:val="204"/>
        </w:numPr>
        <w:tabs>
          <w:tab w:pos="2062" w:val="left" w:leader="none"/>
        </w:tabs>
        <w:spacing w:line="276" w:lineRule="auto" w:before="247" w:after="0"/>
        <w:ind w:left="2062" w:right="766" w:hanging="360"/>
        <w:jc w:val="both"/>
        <w:rPr>
          <w:sz w:val="24"/>
        </w:rPr>
      </w:pPr>
      <w:r>
        <w:rPr>
          <w:sz w:val="24"/>
        </w:rPr>
        <w:t>In this regulation the terms and expression shall have the meaning specified in Fin Tech Policy declared by Directorate of Information Technology vide Govt. Resolution No.DIT-2018/CR-17/D-1/39 dated 16</w:t>
      </w:r>
      <w:r>
        <w:rPr>
          <w:position w:val="6"/>
          <w:sz w:val="16"/>
        </w:rPr>
        <w:t>th </w:t>
      </w:r>
      <w:r>
        <w:rPr>
          <w:sz w:val="24"/>
        </w:rPr>
        <w:t>February 2018</w:t>
      </w:r>
      <w:r>
        <w:rPr>
          <w:b/>
          <w:sz w:val="24"/>
        </w:rPr>
        <w:t>.</w:t>
      </w:r>
      <w:r>
        <w:rPr>
          <w:b/>
          <w:spacing w:val="40"/>
          <w:sz w:val="24"/>
        </w:rPr>
        <w:t> </w:t>
      </w:r>
      <w:r>
        <w:rPr>
          <w:sz w:val="24"/>
        </w:rPr>
        <w:t>Notwithstanding anything contained in the existing regulation, the above provisions shall be applicable for </w:t>
      </w:r>
      <w:r>
        <w:rPr>
          <w:sz w:val="24"/>
        </w:rPr>
        <w:t>Smart Fin</w:t>
      </w:r>
      <w:r>
        <w:rPr>
          <w:spacing w:val="-9"/>
          <w:sz w:val="24"/>
        </w:rPr>
        <w:t> </w:t>
      </w:r>
      <w:r>
        <w:rPr>
          <w:sz w:val="24"/>
        </w:rPr>
        <w:t>Tech</w:t>
      </w:r>
      <w:r>
        <w:rPr>
          <w:spacing w:val="-9"/>
          <w:sz w:val="24"/>
        </w:rPr>
        <w:t> </w:t>
      </w:r>
      <w:r>
        <w:rPr>
          <w:sz w:val="24"/>
        </w:rPr>
        <w:t>Centre.</w:t>
      </w:r>
      <w:r>
        <w:rPr>
          <w:spacing w:val="-9"/>
          <w:sz w:val="24"/>
        </w:rPr>
        <w:t> </w:t>
      </w:r>
      <w:r>
        <w:rPr>
          <w:sz w:val="24"/>
        </w:rPr>
        <w:t>Other</w:t>
      </w:r>
      <w:r>
        <w:rPr>
          <w:spacing w:val="-9"/>
          <w:sz w:val="24"/>
        </w:rPr>
        <w:t> </w:t>
      </w:r>
      <w:r>
        <w:rPr>
          <w:sz w:val="24"/>
        </w:rPr>
        <w:t>provisions</w:t>
      </w:r>
      <w:r>
        <w:rPr>
          <w:spacing w:val="-9"/>
          <w:sz w:val="24"/>
        </w:rPr>
        <w:t> </w:t>
      </w:r>
      <w:r>
        <w:rPr>
          <w:sz w:val="24"/>
        </w:rPr>
        <w:t>of</w:t>
      </w:r>
      <w:r>
        <w:rPr>
          <w:spacing w:val="-9"/>
          <w:sz w:val="24"/>
        </w:rPr>
        <w:t> </w:t>
      </w:r>
      <w:r>
        <w:rPr>
          <w:sz w:val="24"/>
        </w:rPr>
        <w:t>existing</w:t>
      </w:r>
      <w:r>
        <w:rPr>
          <w:spacing w:val="-9"/>
          <w:sz w:val="24"/>
        </w:rPr>
        <w:t> </w:t>
      </w:r>
      <w:r>
        <w:rPr>
          <w:sz w:val="24"/>
        </w:rPr>
        <w:t>regulations,</w:t>
      </w:r>
      <w:r>
        <w:rPr>
          <w:spacing w:val="-9"/>
          <w:sz w:val="24"/>
        </w:rPr>
        <w:t> </w:t>
      </w:r>
      <w:r>
        <w:rPr>
          <w:sz w:val="24"/>
        </w:rPr>
        <w:t>which</w:t>
      </w:r>
      <w:r>
        <w:rPr>
          <w:spacing w:val="-9"/>
          <w:sz w:val="24"/>
        </w:rPr>
        <w:t> </w:t>
      </w:r>
      <w:r>
        <w:rPr>
          <w:sz w:val="24"/>
        </w:rPr>
        <w:t>are</w:t>
      </w:r>
      <w:r>
        <w:rPr>
          <w:spacing w:val="-9"/>
          <w:sz w:val="24"/>
        </w:rPr>
        <w:t> </w:t>
      </w:r>
      <w:r>
        <w:rPr>
          <w:sz w:val="24"/>
        </w:rPr>
        <w:t>not specifically mentioned in this regulation shall be applicable.</w:t>
      </w:r>
    </w:p>
    <w:p>
      <w:pPr>
        <w:pStyle w:val="BodyText"/>
        <w:spacing w:before="241"/>
        <w:jc w:val="left"/>
      </w:pPr>
    </w:p>
    <w:p>
      <w:pPr>
        <w:pStyle w:val="Heading6"/>
      </w:pPr>
      <w:r>
        <w:rPr>
          <w:i w:val="0"/>
        </w:rPr>
        <w:t>33(14)</w:t>
      </w:r>
      <w:r>
        <w:rPr>
          <w:i w:val="0"/>
          <w:spacing w:val="-4"/>
        </w:rPr>
        <w:t> </w:t>
      </w:r>
      <w:r>
        <w:rPr/>
        <w:t>Shifting</w:t>
      </w:r>
      <w:r>
        <w:rPr>
          <w:spacing w:val="-3"/>
        </w:rPr>
        <w:t> </w:t>
      </w:r>
      <w:r>
        <w:rPr/>
        <w:t>of</w:t>
      </w:r>
      <w:r>
        <w:rPr>
          <w:spacing w:val="-2"/>
        </w:rPr>
        <w:t> </w:t>
      </w:r>
      <w:r>
        <w:rPr/>
        <w:t>cattle</w:t>
      </w:r>
      <w:r>
        <w:rPr>
          <w:spacing w:val="-3"/>
        </w:rPr>
        <w:t> </w:t>
      </w:r>
      <w:r>
        <w:rPr/>
        <w:t>sheds</w:t>
      </w:r>
      <w:r>
        <w:rPr>
          <w:spacing w:val="-2"/>
        </w:rPr>
        <w:t> </w:t>
      </w:r>
      <w:r>
        <w:rPr/>
        <w:t>outside</w:t>
      </w:r>
      <w:r>
        <w:rPr>
          <w:spacing w:val="-3"/>
        </w:rPr>
        <w:t> </w:t>
      </w:r>
      <w:r>
        <w:rPr/>
        <w:t>Greater</w:t>
      </w:r>
      <w:r>
        <w:rPr>
          <w:spacing w:val="-2"/>
        </w:rPr>
        <w:t> Mumbai:</w:t>
      </w:r>
    </w:p>
    <w:p>
      <w:pPr>
        <w:pStyle w:val="BodyText"/>
        <w:spacing w:before="242"/>
        <w:ind w:left="2062" w:right="766"/>
      </w:pPr>
      <w:r>
        <w:rPr/>
        <w:t>For</w:t>
      </w:r>
      <w:r>
        <w:rPr>
          <w:spacing w:val="-9"/>
        </w:rPr>
        <w:t> </w:t>
      </w:r>
      <w:r>
        <w:rPr/>
        <w:t>Development</w:t>
      </w:r>
      <w:r>
        <w:rPr>
          <w:spacing w:val="-9"/>
        </w:rPr>
        <w:t> </w:t>
      </w:r>
      <w:r>
        <w:rPr/>
        <w:t>of</w:t>
      </w:r>
      <w:r>
        <w:rPr>
          <w:spacing w:val="-9"/>
        </w:rPr>
        <w:t> </w:t>
      </w:r>
      <w:r>
        <w:rPr/>
        <w:t>lands</w:t>
      </w:r>
      <w:r>
        <w:rPr>
          <w:spacing w:val="-9"/>
        </w:rPr>
        <w:t> </w:t>
      </w:r>
      <w:r>
        <w:rPr/>
        <w:t>becoming</w:t>
      </w:r>
      <w:r>
        <w:rPr>
          <w:spacing w:val="-9"/>
        </w:rPr>
        <w:t> </w:t>
      </w:r>
      <w:r>
        <w:rPr/>
        <w:t>vacant</w:t>
      </w:r>
      <w:r>
        <w:rPr>
          <w:spacing w:val="-9"/>
        </w:rPr>
        <w:t> </w:t>
      </w:r>
      <w:r>
        <w:rPr/>
        <w:t>consequent</w:t>
      </w:r>
      <w:r>
        <w:rPr>
          <w:spacing w:val="-9"/>
        </w:rPr>
        <w:t> </w:t>
      </w:r>
      <w:r>
        <w:rPr/>
        <w:t>upon</w:t>
      </w:r>
      <w:r>
        <w:rPr>
          <w:spacing w:val="-12"/>
        </w:rPr>
        <w:t> </w:t>
      </w:r>
      <w:r>
        <w:rPr/>
        <w:t>shifting</w:t>
      </w:r>
      <w:r>
        <w:rPr>
          <w:spacing w:val="-9"/>
        </w:rPr>
        <w:t> </w:t>
      </w:r>
      <w:r>
        <w:rPr/>
        <w:t>of cattle sheds existing thereon, to places outside Greater Mumbai, additional FSI to the extent of 33% over and above Zonal (basic) permissible FSI, shall be allowed on land occupied by cattle sheds and subject to the following conditions:</w:t>
      </w:r>
    </w:p>
    <w:p>
      <w:pPr>
        <w:pStyle w:val="ListParagraph"/>
        <w:numPr>
          <w:ilvl w:val="0"/>
          <w:numId w:val="205"/>
        </w:numPr>
        <w:tabs>
          <w:tab w:pos="2781" w:val="left" w:leader="none"/>
        </w:tabs>
        <w:spacing w:line="240" w:lineRule="auto" w:before="241" w:after="0"/>
        <w:ind w:left="2062" w:right="766" w:firstLine="0"/>
        <w:jc w:val="both"/>
        <w:rPr>
          <w:sz w:val="24"/>
        </w:rPr>
      </w:pPr>
      <w:r>
        <w:rPr>
          <w:sz w:val="24"/>
        </w:rPr>
        <w:t>Such additional FSI shall be available for authorized /tolerated (existing prior to 01/04/1962) cattle sheds existing in Suburbs &amp; extended Suburbs only;</w:t>
      </w:r>
    </w:p>
    <w:p>
      <w:pPr>
        <w:pStyle w:val="ListParagraph"/>
        <w:numPr>
          <w:ilvl w:val="0"/>
          <w:numId w:val="205"/>
        </w:numPr>
        <w:tabs>
          <w:tab w:pos="2781" w:val="left" w:leader="none"/>
        </w:tabs>
        <w:spacing w:line="240" w:lineRule="auto" w:before="40" w:after="0"/>
        <w:ind w:left="2062" w:right="768" w:firstLine="0"/>
        <w:jc w:val="both"/>
        <w:rPr>
          <w:sz w:val="24"/>
        </w:rPr>
      </w:pPr>
      <w:r>
        <w:rPr>
          <w:sz w:val="24"/>
        </w:rPr>
        <w:t>The development of such lands that have become vacant consequent upon shifting of cattle shall be regulated by the zoning Regulations of the zone in which such lands are situated.</w:t>
      </w:r>
    </w:p>
    <w:p>
      <w:pPr>
        <w:pStyle w:val="ListParagraph"/>
        <w:numPr>
          <w:ilvl w:val="0"/>
          <w:numId w:val="205"/>
        </w:numPr>
        <w:tabs>
          <w:tab w:pos="2781" w:val="left" w:leader="none"/>
        </w:tabs>
        <w:spacing w:line="240" w:lineRule="auto" w:before="40" w:after="42"/>
        <w:ind w:left="2062" w:right="768" w:firstLine="0"/>
        <w:jc w:val="both"/>
        <w:rPr>
          <w:sz w:val="24"/>
        </w:rPr>
      </w:pPr>
      <w:r>
        <w:rPr>
          <w:sz w:val="24"/>
        </w:rPr>
        <w:t>The additional FSI shall be worked out case by case by a Committee comprising of following members as constituted by Govt in Urban Development Department.</w:t>
      </w:r>
    </w:p>
    <w:tbl>
      <w:tblPr>
        <w:tblW w:w="0" w:type="auto"/>
        <w:jc w:val="left"/>
        <w:tblInd w:w="2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6573"/>
        <w:gridCol w:w="1260"/>
      </w:tblGrid>
      <w:tr>
        <w:trPr>
          <w:trHeight w:val="642" w:hRule="atLeast"/>
        </w:trPr>
        <w:tc>
          <w:tcPr>
            <w:tcW w:w="540" w:type="dxa"/>
          </w:tcPr>
          <w:p>
            <w:pPr>
              <w:pStyle w:val="TableParagraph"/>
              <w:spacing w:before="37"/>
              <w:ind w:left="9" w:right="95"/>
              <w:jc w:val="center"/>
              <w:rPr>
                <w:sz w:val="24"/>
              </w:rPr>
            </w:pPr>
            <w:r>
              <w:rPr>
                <w:spacing w:val="-5"/>
                <w:sz w:val="24"/>
              </w:rPr>
              <w:t>1.</w:t>
            </w:r>
          </w:p>
        </w:tc>
        <w:tc>
          <w:tcPr>
            <w:tcW w:w="6573" w:type="dxa"/>
          </w:tcPr>
          <w:p>
            <w:pPr>
              <w:pStyle w:val="TableParagraph"/>
              <w:spacing w:before="40"/>
              <w:ind w:left="107"/>
              <w:rPr>
                <w:sz w:val="24"/>
              </w:rPr>
            </w:pPr>
            <w:r>
              <w:rPr>
                <w:sz w:val="24"/>
              </w:rPr>
              <w:t>The</w:t>
            </w:r>
            <w:r>
              <w:rPr>
                <w:spacing w:val="40"/>
                <w:sz w:val="24"/>
              </w:rPr>
              <w:t> </w:t>
            </w:r>
            <w:r>
              <w:rPr>
                <w:sz w:val="24"/>
              </w:rPr>
              <w:t>Chief</w:t>
            </w:r>
            <w:r>
              <w:rPr>
                <w:spacing w:val="40"/>
                <w:sz w:val="24"/>
              </w:rPr>
              <w:t> </w:t>
            </w:r>
            <w:r>
              <w:rPr>
                <w:sz w:val="24"/>
              </w:rPr>
              <w:t>Engineer</w:t>
            </w:r>
            <w:r>
              <w:rPr>
                <w:spacing w:val="40"/>
                <w:sz w:val="24"/>
              </w:rPr>
              <w:t> </w:t>
            </w:r>
            <w:r>
              <w:rPr>
                <w:sz w:val="24"/>
              </w:rPr>
              <w:t>(D.P),</w:t>
            </w:r>
            <w:r>
              <w:rPr>
                <w:spacing w:val="40"/>
                <w:sz w:val="24"/>
              </w:rPr>
              <w:t> </w:t>
            </w:r>
            <w:r>
              <w:rPr>
                <w:sz w:val="24"/>
              </w:rPr>
              <w:t>Municipal</w:t>
            </w:r>
            <w:r>
              <w:rPr>
                <w:spacing w:val="40"/>
                <w:sz w:val="24"/>
              </w:rPr>
              <w:t> </w:t>
            </w:r>
            <w:r>
              <w:rPr>
                <w:sz w:val="24"/>
              </w:rPr>
              <w:t>Corporation</w:t>
            </w:r>
            <w:r>
              <w:rPr>
                <w:spacing w:val="40"/>
                <w:sz w:val="24"/>
              </w:rPr>
              <w:t> </w:t>
            </w:r>
            <w:r>
              <w:rPr>
                <w:sz w:val="24"/>
              </w:rPr>
              <w:t>of Greater Mumbai, Mumbai</w:t>
            </w:r>
          </w:p>
        </w:tc>
        <w:tc>
          <w:tcPr>
            <w:tcW w:w="1260" w:type="dxa"/>
          </w:tcPr>
          <w:p>
            <w:pPr>
              <w:pStyle w:val="TableParagraph"/>
              <w:spacing w:before="40"/>
              <w:ind w:left="105" w:right="121"/>
              <w:rPr>
                <w:sz w:val="24"/>
              </w:rPr>
            </w:pPr>
            <w:r>
              <w:rPr>
                <w:spacing w:val="-2"/>
                <w:sz w:val="24"/>
              </w:rPr>
              <w:t>Chairma </w:t>
            </w:r>
            <w:r>
              <w:rPr>
                <w:spacing w:val="-10"/>
                <w:sz w:val="24"/>
              </w:rPr>
              <w:t>n</w:t>
            </w:r>
          </w:p>
        </w:tc>
      </w:tr>
      <w:tr>
        <w:trPr>
          <w:trHeight w:val="361" w:hRule="atLeast"/>
        </w:trPr>
        <w:tc>
          <w:tcPr>
            <w:tcW w:w="540" w:type="dxa"/>
          </w:tcPr>
          <w:p>
            <w:pPr>
              <w:pStyle w:val="TableParagraph"/>
              <w:spacing w:before="37"/>
              <w:ind w:left="9" w:right="95"/>
              <w:jc w:val="center"/>
              <w:rPr>
                <w:sz w:val="24"/>
              </w:rPr>
            </w:pPr>
            <w:r>
              <w:rPr>
                <w:spacing w:val="-5"/>
                <w:sz w:val="24"/>
              </w:rPr>
              <w:t>2.</w:t>
            </w:r>
          </w:p>
        </w:tc>
        <w:tc>
          <w:tcPr>
            <w:tcW w:w="6573" w:type="dxa"/>
          </w:tcPr>
          <w:p>
            <w:pPr>
              <w:pStyle w:val="TableParagraph"/>
              <w:spacing w:before="37"/>
              <w:ind w:left="107"/>
              <w:rPr>
                <w:sz w:val="24"/>
              </w:rPr>
            </w:pPr>
            <w:r>
              <w:rPr>
                <w:sz w:val="24"/>
              </w:rPr>
              <w:t>Cattle</w:t>
            </w:r>
            <w:r>
              <w:rPr>
                <w:spacing w:val="-1"/>
                <w:sz w:val="24"/>
              </w:rPr>
              <w:t> </w:t>
            </w:r>
            <w:r>
              <w:rPr>
                <w:sz w:val="24"/>
              </w:rPr>
              <w:t>Controller, ADF</w:t>
            </w:r>
            <w:r>
              <w:rPr>
                <w:spacing w:val="-1"/>
                <w:sz w:val="24"/>
              </w:rPr>
              <w:t> </w:t>
            </w:r>
            <w:r>
              <w:rPr>
                <w:sz w:val="24"/>
              </w:rPr>
              <w:t>Department, </w:t>
            </w:r>
            <w:r>
              <w:rPr>
                <w:spacing w:val="-2"/>
                <w:sz w:val="24"/>
              </w:rPr>
              <w:t>Mumbai</w:t>
            </w:r>
          </w:p>
        </w:tc>
        <w:tc>
          <w:tcPr>
            <w:tcW w:w="1260" w:type="dxa"/>
          </w:tcPr>
          <w:p>
            <w:pPr>
              <w:pStyle w:val="TableParagraph"/>
              <w:spacing w:before="37"/>
              <w:ind w:left="45" w:right="132"/>
              <w:jc w:val="center"/>
              <w:rPr>
                <w:sz w:val="24"/>
              </w:rPr>
            </w:pPr>
            <w:r>
              <w:rPr>
                <w:spacing w:val="-2"/>
                <w:sz w:val="24"/>
              </w:rPr>
              <w:t>Member</w:t>
            </w:r>
          </w:p>
        </w:tc>
      </w:tr>
      <w:tr>
        <w:trPr>
          <w:trHeight w:val="642" w:hRule="atLeast"/>
        </w:trPr>
        <w:tc>
          <w:tcPr>
            <w:tcW w:w="540" w:type="dxa"/>
          </w:tcPr>
          <w:p>
            <w:pPr>
              <w:pStyle w:val="TableParagraph"/>
              <w:spacing w:before="37"/>
              <w:ind w:left="9" w:right="95"/>
              <w:jc w:val="center"/>
              <w:rPr>
                <w:sz w:val="24"/>
              </w:rPr>
            </w:pPr>
            <w:r>
              <w:rPr>
                <w:spacing w:val="-5"/>
                <w:sz w:val="24"/>
              </w:rPr>
              <w:t>3.</w:t>
            </w:r>
          </w:p>
        </w:tc>
        <w:tc>
          <w:tcPr>
            <w:tcW w:w="6573" w:type="dxa"/>
          </w:tcPr>
          <w:p>
            <w:pPr>
              <w:pStyle w:val="TableParagraph"/>
              <w:tabs>
                <w:tab w:pos="765" w:val="left" w:leader="none"/>
                <w:tab w:pos="1842" w:val="left" w:leader="none"/>
                <w:tab w:pos="3020" w:val="left" w:leader="none"/>
                <w:tab w:pos="3459" w:val="left" w:leader="none"/>
                <w:tab w:pos="4313" w:val="left" w:leader="none"/>
                <w:tab w:pos="5578" w:val="left" w:leader="none"/>
              </w:tabs>
              <w:spacing w:before="40"/>
              <w:ind w:left="107" w:right="99"/>
              <w:rPr>
                <w:sz w:val="24"/>
              </w:rPr>
            </w:pPr>
            <w:r>
              <w:rPr>
                <w:spacing w:val="-4"/>
                <w:sz w:val="24"/>
              </w:rPr>
              <w:t>The</w:t>
            </w:r>
            <w:r>
              <w:rPr>
                <w:sz w:val="24"/>
              </w:rPr>
              <w:tab/>
            </w:r>
            <w:r>
              <w:rPr>
                <w:spacing w:val="-2"/>
                <w:sz w:val="24"/>
              </w:rPr>
              <w:t>Deputy</w:t>
            </w:r>
            <w:r>
              <w:rPr>
                <w:sz w:val="24"/>
              </w:rPr>
              <w:tab/>
            </w:r>
            <w:r>
              <w:rPr>
                <w:spacing w:val="-2"/>
                <w:sz w:val="24"/>
              </w:rPr>
              <w:t>Director</w:t>
            </w:r>
            <w:r>
              <w:rPr>
                <w:sz w:val="24"/>
              </w:rPr>
              <w:tab/>
            </w:r>
            <w:r>
              <w:rPr>
                <w:spacing w:val="-6"/>
                <w:sz w:val="24"/>
              </w:rPr>
              <w:t>of</w:t>
            </w:r>
            <w:r>
              <w:rPr>
                <w:sz w:val="24"/>
              </w:rPr>
              <w:tab/>
            </w:r>
            <w:r>
              <w:rPr>
                <w:spacing w:val="-4"/>
                <w:sz w:val="24"/>
              </w:rPr>
              <w:t>Town</w:t>
            </w:r>
            <w:r>
              <w:rPr>
                <w:sz w:val="24"/>
              </w:rPr>
              <w:tab/>
            </w:r>
            <w:r>
              <w:rPr>
                <w:spacing w:val="-2"/>
                <w:sz w:val="24"/>
              </w:rPr>
              <w:t>Planning</w:t>
            </w:r>
            <w:r>
              <w:rPr>
                <w:sz w:val="24"/>
              </w:rPr>
              <w:tab/>
            </w:r>
            <w:r>
              <w:rPr>
                <w:spacing w:val="-2"/>
                <w:sz w:val="24"/>
              </w:rPr>
              <w:t>Greater </w:t>
            </w:r>
            <w:r>
              <w:rPr>
                <w:sz w:val="24"/>
              </w:rPr>
              <w:t>Mumbai, Mumbai</w:t>
            </w:r>
          </w:p>
        </w:tc>
        <w:tc>
          <w:tcPr>
            <w:tcW w:w="1260" w:type="dxa"/>
          </w:tcPr>
          <w:p>
            <w:pPr>
              <w:pStyle w:val="TableParagraph"/>
              <w:spacing w:before="37"/>
              <w:ind w:left="45" w:right="132"/>
              <w:jc w:val="center"/>
              <w:rPr>
                <w:sz w:val="24"/>
              </w:rPr>
            </w:pPr>
            <w:r>
              <w:rPr>
                <w:spacing w:val="-2"/>
                <w:sz w:val="24"/>
              </w:rPr>
              <w:t>Member</w:t>
            </w:r>
          </w:p>
        </w:tc>
      </w:tr>
      <w:tr>
        <w:trPr>
          <w:trHeight w:val="642" w:hRule="atLeast"/>
        </w:trPr>
        <w:tc>
          <w:tcPr>
            <w:tcW w:w="540" w:type="dxa"/>
          </w:tcPr>
          <w:p>
            <w:pPr>
              <w:pStyle w:val="TableParagraph"/>
              <w:spacing w:before="37"/>
              <w:ind w:left="9" w:right="95"/>
              <w:jc w:val="center"/>
              <w:rPr>
                <w:sz w:val="24"/>
              </w:rPr>
            </w:pPr>
            <w:r>
              <w:rPr>
                <w:spacing w:val="-5"/>
                <w:sz w:val="24"/>
              </w:rPr>
              <w:t>4.</w:t>
            </w:r>
          </w:p>
        </w:tc>
        <w:tc>
          <w:tcPr>
            <w:tcW w:w="6573" w:type="dxa"/>
          </w:tcPr>
          <w:p>
            <w:pPr>
              <w:pStyle w:val="TableParagraph"/>
              <w:tabs>
                <w:tab w:pos="799" w:val="left" w:leader="none"/>
                <w:tab w:pos="2891" w:val="left" w:leader="none"/>
                <w:tab w:pos="3364" w:val="left" w:leader="none"/>
                <w:tab w:pos="4215" w:val="left" w:leader="none"/>
                <w:tab w:pos="5491" w:val="left" w:leader="none"/>
              </w:tabs>
              <w:spacing w:before="40"/>
              <w:ind w:left="107" w:right="99"/>
              <w:rPr>
                <w:sz w:val="24"/>
              </w:rPr>
            </w:pPr>
            <w:r>
              <w:rPr>
                <w:spacing w:val="-4"/>
                <w:sz w:val="24"/>
              </w:rPr>
              <w:t>The</w:t>
            </w:r>
            <w:r>
              <w:rPr>
                <w:sz w:val="24"/>
              </w:rPr>
              <w:tab/>
            </w:r>
            <w:r>
              <w:rPr>
                <w:spacing w:val="-2"/>
                <w:sz w:val="24"/>
              </w:rPr>
              <w:t>Superintendent</w:t>
            </w:r>
            <w:r>
              <w:rPr>
                <w:sz w:val="24"/>
              </w:rPr>
              <w:tab/>
            </w:r>
            <w:r>
              <w:rPr>
                <w:spacing w:val="-6"/>
                <w:sz w:val="24"/>
              </w:rPr>
              <w:t>of</w:t>
            </w:r>
            <w:r>
              <w:rPr>
                <w:sz w:val="24"/>
              </w:rPr>
              <w:tab/>
            </w:r>
            <w:r>
              <w:rPr>
                <w:spacing w:val="-4"/>
                <w:sz w:val="24"/>
              </w:rPr>
              <w:t>Land</w:t>
            </w:r>
            <w:r>
              <w:rPr>
                <w:sz w:val="24"/>
              </w:rPr>
              <w:tab/>
            </w:r>
            <w:r>
              <w:rPr>
                <w:spacing w:val="-2"/>
                <w:sz w:val="24"/>
              </w:rPr>
              <w:t>Records,</w:t>
            </w:r>
            <w:r>
              <w:rPr>
                <w:sz w:val="24"/>
              </w:rPr>
              <w:tab/>
            </w:r>
            <w:r>
              <w:rPr>
                <w:spacing w:val="-2"/>
                <w:sz w:val="24"/>
              </w:rPr>
              <w:t>Mumbai </w:t>
            </w:r>
            <w:r>
              <w:rPr>
                <w:sz w:val="24"/>
              </w:rPr>
              <w:t>Suburban District, Mumbai</w:t>
            </w:r>
          </w:p>
        </w:tc>
        <w:tc>
          <w:tcPr>
            <w:tcW w:w="1260" w:type="dxa"/>
          </w:tcPr>
          <w:p>
            <w:pPr>
              <w:pStyle w:val="TableParagraph"/>
              <w:spacing w:before="37"/>
              <w:ind w:left="45" w:right="132"/>
              <w:jc w:val="center"/>
              <w:rPr>
                <w:sz w:val="24"/>
              </w:rPr>
            </w:pPr>
            <w:r>
              <w:rPr>
                <w:spacing w:val="-2"/>
                <w:sz w:val="24"/>
              </w:rPr>
              <w:t>Member</w:t>
            </w:r>
          </w:p>
        </w:tc>
      </w:tr>
    </w:tbl>
    <w:p>
      <w:pPr>
        <w:pStyle w:val="BodyText"/>
        <w:spacing w:before="2"/>
        <w:ind w:left="2062" w:right="770"/>
      </w:pPr>
      <w:r>
        <w:rPr/>
        <w:t>The proposed development shall further be subject to such conditions as may be prescribed by the Committee and payment of such amount of premium as may be fixed by Govt. in Urban Development </w:t>
      </w:r>
      <w:r>
        <w:rPr>
          <w:spacing w:val="-2"/>
        </w:rPr>
        <w:t>Department.</w:t>
      </w:r>
    </w:p>
    <w:p>
      <w:pPr>
        <w:pStyle w:val="Heading6"/>
        <w:spacing w:before="239"/>
        <w:ind w:right="838"/>
      </w:pPr>
      <w:r>
        <w:rPr/>
        <w:t>33(15) - Development of land earmarked for the MHADA/Mill Workers</w:t>
      </w:r>
      <w:r>
        <w:rPr>
          <w:spacing w:val="80"/>
        </w:rPr>
        <w:t> </w:t>
      </w:r>
      <w:r>
        <w:rPr/>
        <w:t>Housing under Regulation No 35.</w:t>
      </w:r>
    </w:p>
    <w:p>
      <w:pPr>
        <w:pStyle w:val="BodyText"/>
        <w:spacing w:before="243"/>
        <w:ind w:left="2062" w:right="838"/>
      </w:pPr>
      <w:r>
        <w:rPr/>
        <w:t>For development of land for transit camp/mill workers housing undertaken by MHADA, FSI up to 4.0including Zonal (basic) FSI shall be</w:t>
      </w:r>
      <w:r>
        <w:rPr>
          <w:spacing w:val="-9"/>
        </w:rPr>
        <w:t> </w:t>
      </w:r>
      <w:r>
        <w:rPr/>
        <w:t>allowed</w:t>
      </w:r>
      <w:r>
        <w:rPr>
          <w:spacing w:val="-9"/>
        </w:rPr>
        <w:t> </w:t>
      </w:r>
      <w:r>
        <w:rPr/>
        <w:t>onland</w:t>
      </w:r>
      <w:r>
        <w:rPr>
          <w:spacing w:val="-8"/>
        </w:rPr>
        <w:t> </w:t>
      </w:r>
      <w:r>
        <w:rPr/>
        <w:t>earmarked</w:t>
      </w:r>
      <w:r>
        <w:rPr>
          <w:spacing w:val="-9"/>
        </w:rPr>
        <w:t> </w:t>
      </w:r>
      <w:r>
        <w:rPr/>
        <w:t>for</w:t>
      </w:r>
      <w:r>
        <w:rPr>
          <w:spacing w:val="-9"/>
        </w:rPr>
        <w:t> </w:t>
      </w:r>
      <w:r>
        <w:rPr/>
        <w:t>MHADA/Mill</w:t>
      </w:r>
      <w:r>
        <w:rPr>
          <w:spacing w:val="-9"/>
        </w:rPr>
        <w:t> </w:t>
      </w:r>
      <w:r>
        <w:rPr/>
        <w:t>Workers</w:t>
      </w:r>
      <w:r>
        <w:rPr>
          <w:spacing w:val="-9"/>
        </w:rPr>
        <w:t> </w:t>
      </w:r>
      <w:r>
        <w:rPr/>
        <w:t>Housing</w:t>
      </w:r>
      <w:r>
        <w:rPr>
          <w:spacing w:val="-9"/>
        </w:rPr>
        <w:t> </w:t>
      </w:r>
      <w:r>
        <w:rPr/>
        <w:t>under Regulation No 35 subject to following conditions -</w:t>
      </w:r>
    </w:p>
    <w:p>
      <w:pPr>
        <w:pStyle w:val="BodyText"/>
        <w:spacing w:after="0"/>
        <w:sectPr>
          <w:headerReference w:type="default" r:id="rId51"/>
          <w:footerReference w:type="default" r:id="rId52"/>
          <w:pgSz w:w="11910" w:h="16840"/>
          <w:pgMar w:header="1065" w:footer="1194" w:top="1500" w:bottom="1380" w:left="360" w:right="360"/>
        </w:sectPr>
      </w:pPr>
    </w:p>
    <w:p>
      <w:pPr>
        <w:pStyle w:val="ListParagraph"/>
        <w:numPr>
          <w:ilvl w:val="0"/>
          <w:numId w:val="206"/>
        </w:numPr>
        <w:tabs>
          <w:tab w:pos="2447" w:val="left" w:leader="none"/>
        </w:tabs>
        <w:spacing w:line="240" w:lineRule="auto" w:before="249" w:after="0"/>
        <w:ind w:left="2062" w:right="773" w:firstLine="0"/>
        <w:jc w:val="both"/>
        <w:rPr>
          <w:sz w:val="24"/>
        </w:rPr>
      </w:pPr>
      <w:r>
        <w:rPr>
          <w:sz w:val="24"/>
        </w:rPr>
        <w:t>The development of land earmarked for mill workers shall be exclusively used for mill workers housing,</w:t>
      </w:r>
    </w:p>
    <w:p>
      <w:pPr>
        <w:pStyle w:val="ListParagraph"/>
        <w:numPr>
          <w:ilvl w:val="0"/>
          <w:numId w:val="206"/>
        </w:numPr>
        <w:tabs>
          <w:tab w:pos="2345" w:val="left" w:leader="none"/>
        </w:tabs>
        <w:spacing w:line="240" w:lineRule="auto" w:before="1" w:after="0"/>
        <w:ind w:left="2062" w:right="769" w:firstLine="0"/>
        <w:jc w:val="both"/>
        <w:rPr>
          <w:sz w:val="24"/>
        </w:rPr>
      </w:pPr>
      <w:r>
        <w:rPr>
          <w:sz w:val="24"/>
        </w:rPr>
        <w:t>The development of land earmarked for MHADA for public housing, at</w:t>
      </w:r>
      <w:r>
        <w:rPr>
          <w:spacing w:val="-4"/>
          <w:sz w:val="24"/>
        </w:rPr>
        <w:t> </w:t>
      </w:r>
      <w:r>
        <w:rPr>
          <w:sz w:val="24"/>
        </w:rPr>
        <w:t>least100%FSI</w:t>
      </w:r>
      <w:r>
        <w:rPr>
          <w:spacing w:val="-2"/>
          <w:sz w:val="24"/>
        </w:rPr>
        <w:t> </w:t>
      </w:r>
      <w:r>
        <w:rPr>
          <w:sz w:val="24"/>
        </w:rPr>
        <w:t>shall</w:t>
      </w:r>
      <w:r>
        <w:rPr>
          <w:spacing w:val="-4"/>
          <w:sz w:val="24"/>
        </w:rPr>
        <w:t> </w:t>
      </w:r>
      <w:r>
        <w:rPr>
          <w:sz w:val="24"/>
        </w:rPr>
        <w:t>be</w:t>
      </w:r>
      <w:r>
        <w:rPr>
          <w:spacing w:val="-4"/>
          <w:sz w:val="24"/>
        </w:rPr>
        <w:t> </w:t>
      </w:r>
      <w:r>
        <w:rPr>
          <w:sz w:val="24"/>
        </w:rPr>
        <w:t>exclusively</w:t>
      </w:r>
      <w:r>
        <w:rPr>
          <w:spacing w:val="-4"/>
          <w:sz w:val="24"/>
        </w:rPr>
        <w:t> </w:t>
      </w:r>
      <w:r>
        <w:rPr>
          <w:sz w:val="24"/>
        </w:rPr>
        <w:t>used</w:t>
      </w:r>
      <w:r>
        <w:rPr>
          <w:spacing w:val="-4"/>
          <w:sz w:val="24"/>
        </w:rPr>
        <w:t> </w:t>
      </w:r>
      <w:r>
        <w:rPr>
          <w:sz w:val="24"/>
        </w:rPr>
        <w:t>for</w:t>
      </w:r>
      <w:r>
        <w:rPr>
          <w:spacing w:val="-4"/>
          <w:sz w:val="24"/>
        </w:rPr>
        <w:t> </w:t>
      </w:r>
      <w:r>
        <w:rPr>
          <w:sz w:val="24"/>
        </w:rPr>
        <w:t>mill</w:t>
      </w:r>
      <w:r>
        <w:rPr>
          <w:spacing w:val="-4"/>
          <w:sz w:val="24"/>
        </w:rPr>
        <w:t> </w:t>
      </w:r>
      <w:r>
        <w:rPr>
          <w:sz w:val="24"/>
        </w:rPr>
        <w:t>workers</w:t>
      </w:r>
      <w:r>
        <w:rPr>
          <w:spacing w:val="-4"/>
          <w:sz w:val="24"/>
        </w:rPr>
        <w:t> </w:t>
      </w:r>
      <w:r>
        <w:rPr>
          <w:sz w:val="24"/>
        </w:rPr>
        <w:t>housing</w:t>
      </w:r>
      <w:r>
        <w:rPr>
          <w:spacing w:val="-4"/>
          <w:sz w:val="24"/>
        </w:rPr>
        <w:t> </w:t>
      </w:r>
      <w:r>
        <w:rPr>
          <w:sz w:val="24"/>
        </w:rPr>
        <w:t>and balance FSI for transit camp only.</w:t>
      </w:r>
    </w:p>
    <w:p>
      <w:pPr>
        <w:pStyle w:val="BodyText"/>
        <w:spacing w:line="281" w:lineRule="exact"/>
        <w:ind w:left="2062"/>
      </w:pPr>
      <w:r>
        <w:rPr/>
        <w:t>Relaxation</w:t>
      </w:r>
      <w:r>
        <w:rPr>
          <w:spacing w:val="-3"/>
        </w:rPr>
        <w:t> </w:t>
      </w:r>
      <w:r>
        <w:rPr/>
        <w:t>in</w:t>
      </w:r>
      <w:r>
        <w:rPr>
          <w:spacing w:val="-2"/>
        </w:rPr>
        <w:t> </w:t>
      </w:r>
      <w:r>
        <w:rPr/>
        <w:t>buildings</w:t>
      </w:r>
      <w:r>
        <w:rPr>
          <w:spacing w:val="-2"/>
        </w:rPr>
        <w:t> </w:t>
      </w:r>
      <w:r>
        <w:rPr/>
        <w:t>and</w:t>
      </w:r>
      <w:r>
        <w:rPr>
          <w:spacing w:val="-2"/>
        </w:rPr>
        <w:t> </w:t>
      </w:r>
      <w:r>
        <w:rPr/>
        <w:t>other</w:t>
      </w:r>
      <w:r>
        <w:rPr>
          <w:spacing w:val="-2"/>
        </w:rPr>
        <w:t> requirements:</w:t>
      </w:r>
    </w:p>
    <w:p>
      <w:pPr>
        <w:pStyle w:val="ListParagraph"/>
        <w:numPr>
          <w:ilvl w:val="1"/>
          <w:numId w:val="206"/>
        </w:numPr>
        <w:tabs>
          <w:tab w:pos="2281" w:val="left" w:leader="none"/>
        </w:tabs>
        <w:spacing w:line="281" w:lineRule="exact" w:before="1" w:after="0"/>
        <w:ind w:left="2281" w:right="0" w:hanging="219"/>
        <w:jc w:val="both"/>
        <w:rPr>
          <w:sz w:val="24"/>
        </w:rPr>
      </w:pPr>
      <w:r>
        <w:rPr>
          <w:sz w:val="24"/>
        </w:rPr>
        <w:t>The</w:t>
      </w:r>
      <w:r>
        <w:rPr>
          <w:spacing w:val="-1"/>
          <w:sz w:val="24"/>
        </w:rPr>
        <w:t> </w:t>
      </w:r>
      <w:r>
        <w:rPr>
          <w:sz w:val="24"/>
        </w:rPr>
        <w:t>permissible</w:t>
      </w:r>
      <w:r>
        <w:rPr>
          <w:spacing w:val="-1"/>
          <w:sz w:val="24"/>
        </w:rPr>
        <w:t> </w:t>
      </w:r>
      <w:r>
        <w:rPr>
          <w:sz w:val="24"/>
        </w:rPr>
        <w:t>FSI</w:t>
      </w:r>
      <w:r>
        <w:rPr>
          <w:spacing w:val="2"/>
          <w:sz w:val="24"/>
        </w:rPr>
        <w:t> </w:t>
      </w:r>
      <w:r>
        <w:rPr>
          <w:sz w:val="24"/>
        </w:rPr>
        <w:t>shall</w:t>
      </w:r>
      <w:r>
        <w:rPr>
          <w:spacing w:val="-1"/>
          <w:sz w:val="24"/>
        </w:rPr>
        <w:t> </w:t>
      </w:r>
      <w:r>
        <w:rPr>
          <w:sz w:val="24"/>
        </w:rPr>
        <w:t>be calculated</w:t>
      </w:r>
      <w:r>
        <w:rPr>
          <w:spacing w:val="-1"/>
          <w:sz w:val="24"/>
        </w:rPr>
        <w:t> </w:t>
      </w:r>
      <w:r>
        <w:rPr>
          <w:sz w:val="24"/>
        </w:rPr>
        <w:t>on gross</w:t>
      </w:r>
      <w:r>
        <w:rPr>
          <w:spacing w:val="-1"/>
          <w:sz w:val="24"/>
        </w:rPr>
        <w:t> </w:t>
      </w:r>
      <w:r>
        <w:rPr>
          <w:sz w:val="24"/>
        </w:rPr>
        <w:t>plot </w:t>
      </w:r>
      <w:r>
        <w:rPr>
          <w:spacing w:val="-2"/>
          <w:sz w:val="24"/>
        </w:rPr>
        <w:t>area.</w:t>
      </w:r>
    </w:p>
    <w:p>
      <w:pPr>
        <w:pStyle w:val="ListParagraph"/>
        <w:numPr>
          <w:ilvl w:val="1"/>
          <w:numId w:val="206"/>
        </w:numPr>
        <w:tabs>
          <w:tab w:pos="2359" w:val="left" w:leader="none"/>
        </w:tabs>
        <w:spacing w:line="240" w:lineRule="auto" w:before="0" w:after="0"/>
        <w:ind w:left="2062" w:right="970" w:firstLine="0"/>
        <w:jc w:val="both"/>
        <w:rPr>
          <w:sz w:val="24"/>
        </w:rPr>
      </w:pPr>
      <w:r>
        <w:rPr>
          <w:sz w:val="24"/>
        </w:rPr>
        <w:t>Recreational Open Spaces up to 8% shall be allowed. 3)Requirement</w:t>
      </w:r>
      <w:r>
        <w:rPr>
          <w:spacing w:val="-3"/>
          <w:sz w:val="24"/>
        </w:rPr>
        <w:t> </w:t>
      </w:r>
      <w:r>
        <w:rPr>
          <w:sz w:val="24"/>
        </w:rPr>
        <w:t>of</w:t>
      </w:r>
      <w:r>
        <w:rPr>
          <w:spacing w:val="-3"/>
          <w:sz w:val="24"/>
        </w:rPr>
        <w:t> </w:t>
      </w:r>
      <w:r>
        <w:rPr>
          <w:sz w:val="24"/>
        </w:rPr>
        <w:t>open</w:t>
      </w:r>
      <w:r>
        <w:rPr>
          <w:spacing w:val="-3"/>
          <w:sz w:val="24"/>
        </w:rPr>
        <w:t> </w:t>
      </w:r>
      <w:r>
        <w:rPr>
          <w:sz w:val="24"/>
        </w:rPr>
        <w:t>spaces</w:t>
      </w:r>
      <w:r>
        <w:rPr>
          <w:spacing w:val="-3"/>
          <w:sz w:val="24"/>
        </w:rPr>
        <w:t> </w:t>
      </w:r>
      <w:r>
        <w:rPr>
          <w:sz w:val="24"/>
        </w:rPr>
        <w:t>shall</w:t>
      </w:r>
      <w:r>
        <w:rPr>
          <w:spacing w:val="-3"/>
          <w:sz w:val="24"/>
        </w:rPr>
        <w:t> </w:t>
      </w:r>
      <w:r>
        <w:rPr>
          <w:sz w:val="24"/>
        </w:rPr>
        <w:t>be</w:t>
      </w:r>
      <w:r>
        <w:rPr>
          <w:spacing w:val="-3"/>
          <w:sz w:val="24"/>
        </w:rPr>
        <w:t> </w:t>
      </w:r>
      <w:r>
        <w:rPr>
          <w:sz w:val="24"/>
        </w:rPr>
        <w:t>as</w:t>
      </w:r>
      <w:r>
        <w:rPr>
          <w:spacing w:val="-3"/>
          <w:sz w:val="24"/>
        </w:rPr>
        <w:t> </w:t>
      </w:r>
      <w:r>
        <w:rPr>
          <w:sz w:val="24"/>
        </w:rPr>
        <w:t>per</w:t>
      </w:r>
      <w:r>
        <w:rPr>
          <w:spacing w:val="-3"/>
          <w:sz w:val="24"/>
        </w:rPr>
        <w:t> </w:t>
      </w:r>
      <w:r>
        <w:rPr>
          <w:sz w:val="24"/>
        </w:rPr>
        <w:t>the</w:t>
      </w:r>
      <w:r>
        <w:rPr>
          <w:spacing w:val="-3"/>
          <w:sz w:val="24"/>
        </w:rPr>
        <w:t> </w:t>
      </w:r>
      <w:r>
        <w:rPr>
          <w:sz w:val="24"/>
        </w:rPr>
        <w:t>Regulation</w:t>
      </w:r>
      <w:r>
        <w:rPr>
          <w:spacing w:val="-3"/>
          <w:sz w:val="24"/>
        </w:rPr>
        <w:t> </w:t>
      </w:r>
      <w:r>
        <w:rPr>
          <w:sz w:val="24"/>
        </w:rPr>
        <w:t>No</w:t>
      </w:r>
      <w:r>
        <w:rPr>
          <w:spacing w:val="-3"/>
          <w:sz w:val="24"/>
        </w:rPr>
        <w:t> </w:t>
      </w:r>
      <w:r>
        <w:rPr>
          <w:sz w:val="24"/>
        </w:rPr>
        <w:t>41(5)</w:t>
      </w:r>
    </w:p>
    <w:p>
      <w:pPr>
        <w:pStyle w:val="BodyText"/>
        <w:jc w:val="left"/>
      </w:pPr>
    </w:p>
    <w:p>
      <w:pPr>
        <w:pStyle w:val="BodyText"/>
        <w:spacing w:before="238"/>
        <w:jc w:val="left"/>
      </w:pPr>
    </w:p>
    <w:p>
      <w:pPr>
        <w:pStyle w:val="Heading6"/>
        <w:tabs>
          <w:tab w:pos="3108" w:val="left" w:leader="none"/>
          <w:tab w:pos="7995" w:val="left" w:leader="none"/>
          <w:tab w:pos="9238" w:val="left" w:leader="none"/>
        </w:tabs>
        <w:ind w:right="768"/>
        <w:rPr>
          <w:i w:val="0"/>
        </w:rPr>
      </w:pPr>
      <w:r>
        <w:rPr>
          <w:spacing w:val="-2"/>
        </w:rPr>
        <w:t>33(16)</w:t>
      </w:r>
      <w:r>
        <w:rPr/>
        <w:tab/>
      </w:r>
      <w:r>
        <w:rPr>
          <w:spacing w:val="-2"/>
        </w:rPr>
        <w:t>Reconstruction/Redevelopment</w:t>
      </w:r>
      <w:r>
        <w:rPr/>
        <w:tab/>
      </w:r>
      <w:r>
        <w:rPr>
          <w:spacing w:val="-6"/>
        </w:rPr>
        <w:t>in</w:t>
      </w:r>
      <w:r>
        <w:rPr/>
        <w:tab/>
      </w:r>
      <w:r>
        <w:rPr>
          <w:spacing w:val="-2"/>
        </w:rPr>
        <w:t>Gaothan/ </w:t>
      </w:r>
      <w:r>
        <w:rPr/>
        <w:t>Koliwada/Adiwasipadaarea </w:t>
      </w:r>
      <w:r>
        <w:rPr>
          <w:i w:val="0"/>
        </w:rPr>
        <w:t>–</w:t>
      </w:r>
    </w:p>
    <w:p>
      <w:pPr>
        <w:pStyle w:val="BodyText"/>
        <w:spacing w:before="241"/>
        <w:ind w:left="2062" w:right="768"/>
      </w:pPr>
      <w:r>
        <w:rPr/>
        <w:t>FSI for reconstruction/redevelopment of any property in gaothan/koliwada/adiwasipada i.e. on land with tenure ‘A’ shall be as </w:t>
      </w:r>
      <w:r>
        <w:rPr>
          <w:spacing w:val="-2"/>
        </w:rPr>
        <w:t>follows:</w:t>
      </w:r>
    </w:p>
    <w:p>
      <w:pPr>
        <w:pStyle w:val="ListParagraph"/>
        <w:numPr>
          <w:ilvl w:val="2"/>
          <w:numId w:val="206"/>
        </w:numPr>
        <w:tabs>
          <w:tab w:pos="2478" w:val="left" w:leader="none"/>
        </w:tabs>
        <w:spacing w:line="240" w:lineRule="auto" w:before="243" w:after="0"/>
        <w:ind w:left="2062" w:right="767" w:firstLine="0"/>
        <w:jc w:val="both"/>
        <w:rPr>
          <w:sz w:val="24"/>
        </w:rPr>
      </w:pPr>
      <w:r>
        <w:rPr>
          <w:sz w:val="24"/>
        </w:rPr>
        <w:t>For plots fronting on roads below 9 m widthbut more than 6.0 m,permissible FSI will be 1.5</w:t>
      </w:r>
    </w:p>
    <w:p>
      <w:pPr>
        <w:pStyle w:val="ListParagraph"/>
        <w:numPr>
          <w:ilvl w:val="2"/>
          <w:numId w:val="206"/>
        </w:numPr>
        <w:tabs>
          <w:tab w:pos="2505" w:val="left" w:leader="none"/>
        </w:tabs>
        <w:spacing w:line="240" w:lineRule="auto" w:before="0" w:after="0"/>
        <w:ind w:left="2062" w:right="770" w:firstLine="0"/>
        <w:jc w:val="both"/>
        <w:rPr>
          <w:sz w:val="24"/>
        </w:rPr>
      </w:pPr>
      <w:r>
        <w:rPr>
          <w:sz w:val="24"/>
        </w:rPr>
        <w:t>for plot fronting on road width of 9 m and above (existing or proposed), additional 0.5 FSI shall be allowed for commercial use subject to condition that margin and parking space as required under these Regulations are provided.</w:t>
      </w:r>
    </w:p>
    <w:p>
      <w:pPr>
        <w:pStyle w:val="BodyText"/>
        <w:ind w:left="2062" w:right="773"/>
      </w:pPr>
      <w:r>
        <w:rPr/>
        <w:t>Provided that for (a) &amp; (b) above, consumed FSI of existing buildings, utilized authorizedly shall be permitted.</w:t>
      </w:r>
    </w:p>
    <w:p>
      <w:pPr>
        <w:pStyle w:val="ListParagraph"/>
        <w:numPr>
          <w:ilvl w:val="2"/>
          <w:numId w:val="206"/>
        </w:numPr>
        <w:tabs>
          <w:tab w:pos="2423" w:val="left" w:leader="none"/>
        </w:tabs>
        <w:spacing w:line="240" w:lineRule="auto" w:before="240" w:after="0"/>
        <w:ind w:left="2062" w:right="768" w:firstLine="0"/>
        <w:jc w:val="both"/>
        <w:rPr>
          <w:sz w:val="24"/>
        </w:rPr>
      </w:pPr>
      <w:r>
        <w:rPr>
          <w:sz w:val="24"/>
        </w:rPr>
        <w:t>The boundaries of Gaothan/ Koliwada/Adiwasipada as finalized by Revenu Department shall be deemed to be reflected as boundaries of Gaothan/ Koliwada/Adiwasipada on the Development Plan.</w:t>
      </w:r>
    </w:p>
    <w:p>
      <w:pPr>
        <w:pStyle w:val="ListParagraph"/>
        <w:numPr>
          <w:ilvl w:val="2"/>
          <w:numId w:val="206"/>
        </w:numPr>
        <w:tabs>
          <w:tab w:pos="2745" w:val="left" w:leader="none"/>
        </w:tabs>
        <w:spacing w:line="240" w:lineRule="auto" w:before="280" w:after="0"/>
        <w:ind w:left="2062" w:right="768" w:firstLine="0"/>
        <w:jc w:val="both"/>
        <w:rPr>
          <w:sz w:val="24"/>
        </w:rPr>
      </w:pPr>
      <w:r>
        <w:rPr>
          <w:sz w:val="24"/>
        </w:rPr>
        <w:t>Independent provision for development of Gaothan/ Koliwada/Adiwasipada areas may be made by Government. (Provision is kept in abeyance)</w:t>
      </w:r>
    </w:p>
    <w:p>
      <w:pPr>
        <w:pStyle w:val="BodyText"/>
        <w:spacing w:before="239"/>
        <w:jc w:val="left"/>
      </w:pPr>
    </w:p>
    <w:p>
      <w:pPr>
        <w:pStyle w:val="Heading6"/>
        <w:rPr>
          <w:i w:val="0"/>
        </w:rPr>
      </w:pPr>
      <w:r>
        <w:rPr>
          <w:i w:val="0"/>
        </w:rPr>
        <w:t>33(17)</w:t>
      </w:r>
      <w:r>
        <w:rPr>
          <w:i w:val="0"/>
          <w:spacing w:val="-4"/>
        </w:rPr>
        <w:t> </w:t>
      </w:r>
      <w:r>
        <w:rPr/>
        <w:t>Buildings</w:t>
      </w:r>
      <w:r>
        <w:rPr>
          <w:spacing w:val="-3"/>
        </w:rPr>
        <w:t> </w:t>
      </w:r>
      <w:r>
        <w:rPr/>
        <w:t>of</w:t>
      </w:r>
      <w:r>
        <w:rPr>
          <w:spacing w:val="-4"/>
        </w:rPr>
        <w:t> </w:t>
      </w:r>
      <w:r>
        <w:rPr/>
        <w:t>Biotechnology</w:t>
      </w:r>
      <w:r>
        <w:rPr>
          <w:spacing w:val="-3"/>
        </w:rPr>
        <w:t> </w:t>
      </w:r>
      <w:r>
        <w:rPr/>
        <w:t>Establishments:</w:t>
      </w:r>
      <w:r>
        <w:rPr>
          <w:spacing w:val="-4"/>
        </w:rPr>
        <w:t> </w:t>
      </w:r>
      <w:r>
        <w:rPr>
          <w:i w:val="0"/>
          <w:spacing w:val="-10"/>
        </w:rPr>
        <w:t>-</w:t>
      </w:r>
    </w:p>
    <w:p>
      <w:pPr>
        <w:pStyle w:val="BodyText"/>
        <w:spacing w:before="242"/>
        <w:ind w:left="2062" w:right="766"/>
      </w:pPr>
      <w:r>
        <w:rPr/>
        <w:t>With the Special permission, the Commissioner may permit the floor space indices to be exceeded beyond Zonal (basic) FSI specified in this Regulation No. 30 Table No. 12 as specified in the following table, in respect of buildings in independent plots for exclusively developing Biotechnology</w:t>
      </w:r>
      <w:r>
        <w:rPr>
          <w:spacing w:val="-20"/>
        </w:rPr>
        <w:t> </w:t>
      </w:r>
      <w:r>
        <w:rPr/>
        <w:t>units</w:t>
      </w:r>
      <w:r>
        <w:rPr>
          <w:spacing w:val="-19"/>
        </w:rPr>
        <w:t> </w:t>
      </w:r>
      <w:r>
        <w:rPr/>
        <w:t>set</w:t>
      </w:r>
      <w:r>
        <w:rPr>
          <w:spacing w:val="-19"/>
        </w:rPr>
        <w:t> </w:t>
      </w:r>
      <w:r>
        <w:rPr/>
        <w:t>up</w:t>
      </w:r>
      <w:r>
        <w:rPr>
          <w:spacing w:val="-19"/>
        </w:rPr>
        <w:t> </w:t>
      </w:r>
      <w:r>
        <w:rPr/>
        <w:t>by</w:t>
      </w:r>
      <w:r>
        <w:rPr>
          <w:spacing w:val="-19"/>
        </w:rPr>
        <w:t> </w:t>
      </w:r>
      <w:r>
        <w:rPr/>
        <w:t>Public</w:t>
      </w:r>
      <w:r>
        <w:rPr>
          <w:spacing w:val="-20"/>
        </w:rPr>
        <w:t> </w:t>
      </w:r>
      <w:r>
        <w:rPr/>
        <w:t>Bodies</w:t>
      </w:r>
      <w:r>
        <w:rPr>
          <w:spacing w:val="-19"/>
        </w:rPr>
        <w:t> </w:t>
      </w:r>
      <w:r>
        <w:rPr/>
        <w:t>like</w:t>
      </w:r>
      <w:r>
        <w:rPr>
          <w:spacing w:val="-19"/>
        </w:rPr>
        <w:t> </w:t>
      </w:r>
      <w:r>
        <w:rPr/>
        <w:t>MHADA,</w:t>
      </w:r>
      <w:r>
        <w:rPr>
          <w:spacing w:val="-19"/>
        </w:rPr>
        <w:t> </w:t>
      </w:r>
      <w:r>
        <w:rPr/>
        <w:t>SEEPZ,</w:t>
      </w:r>
      <w:r>
        <w:rPr>
          <w:spacing w:val="-19"/>
        </w:rPr>
        <w:t> </w:t>
      </w:r>
      <w:r>
        <w:rPr/>
        <w:t>MIDC, SICOM,</w:t>
      </w:r>
      <w:r>
        <w:rPr>
          <w:spacing w:val="-8"/>
        </w:rPr>
        <w:t> </w:t>
      </w:r>
      <w:r>
        <w:rPr/>
        <w:t>CIDCO</w:t>
      </w:r>
      <w:r>
        <w:rPr>
          <w:spacing w:val="-8"/>
        </w:rPr>
        <w:t> </w:t>
      </w:r>
      <w:r>
        <w:rPr/>
        <w:t>or</w:t>
      </w:r>
      <w:r>
        <w:rPr>
          <w:spacing w:val="-8"/>
        </w:rPr>
        <w:t> </w:t>
      </w:r>
      <w:r>
        <w:rPr/>
        <w:t>their</w:t>
      </w:r>
      <w:r>
        <w:rPr>
          <w:spacing w:val="-8"/>
        </w:rPr>
        <w:t> </w:t>
      </w:r>
      <w:r>
        <w:rPr/>
        <w:t>joint</w:t>
      </w:r>
      <w:r>
        <w:rPr>
          <w:spacing w:val="-8"/>
        </w:rPr>
        <w:t> </w:t>
      </w:r>
      <w:r>
        <w:rPr/>
        <w:t>venture</w:t>
      </w:r>
      <w:r>
        <w:rPr>
          <w:spacing w:val="-8"/>
        </w:rPr>
        <w:t> </w:t>
      </w:r>
      <w:r>
        <w:rPr/>
        <w:t>companies</w:t>
      </w:r>
      <w:r>
        <w:rPr>
          <w:spacing w:val="-8"/>
        </w:rPr>
        <w:t> </w:t>
      </w:r>
      <w:r>
        <w:rPr/>
        <w:t>having</w:t>
      </w:r>
      <w:r>
        <w:rPr>
          <w:spacing w:val="-8"/>
        </w:rPr>
        <w:t> </w:t>
      </w:r>
      <w:r>
        <w:rPr/>
        <w:t>more</w:t>
      </w:r>
      <w:r>
        <w:rPr>
          <w:spacing w:val="-8"/>
        </w:rPr>
        <w:t> </w:t>
      </w:r>
      <w:r>
        <w:rPr/>
        <w:t>than</w:t>
      </w:r>
      <w:r>
        <w:rPr>
          <w:spacing w:val="-8"/>
        </w:rPr>
        <w:t> </w:t>
      </w:r>
      <w:r>
        <w:rPr/>
        <w:t>11% stake of these bodies or their lessees.</w:t>
      </w:r>
    </w:p>
    <w:p>
      <w:pPr>
        <w:pStyle w:val="BodyText"/>
        <w:spacing w:after="0"/>
        <w:sectPr>
          <w:pgSz w:w="11910" w:h="16840"/>
          <w:pgMar w:header="1065" w:footer="1194" w:top="1500" w:bottom="1380" w:left="360" w:right="360"/>
        </w:sectPr>
      </w:pPr>
    </w:p>
    <w:p>
      <w:pPr>
        <w:pStyle w:val="BodyText"/>
        <w:spacing w:before="14" w:after="1"/>
        <w:jc w:val="left"/>
        <w:rPr>
          <w:sz w:val="20"/>
        </w:rPr>
      </w:pPr>
    </w:p>
    <w:tbl>
      <w:tblPr>
        <w:tblW w:w="0" w:type="auto"/>
        <w:jc w:val="left"/>
        <w:tblInd w:w="4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1424"/>
        <w:gridCol w:w="1671"/>
      </w:tblGrid>
      <w:tr>
        <w:trPr>
          <w:trHeight w:val="847" w:hRule="atLeast"/>
        </w:trPr>
        <w:tc>
          <w:tcPr>
            <w:tcW w:w="569" w:type="dxa"/>
          </w:tcPr>
          <w:p>
            <w:pPr>
              <w:pStyle w:val="TableParagraph"/>
              <w:spacing w:before="42"/>
              <w:ind w:left="107" w:right="118"/>
              <w:rPr>
                <w:sz w:val="24"/>
              </w:rPr>
            </w:pPr>
            <w:r>
              <w:rPr>
                <w:spacing w:val="-6"/>
                <w:sz w:val="24"/>
              </w:rPr>
              <w:t>Sr </w:t>
            </w:r>
            <w:r>
              <w:rPr>
                <w:spacing w:val="-5"/>
                <w:sz w:val="24"/>
              </w:rPr>
              <w:t>No</w:t>
            </w:r>
          </w:p>
        </w:tc>
        <w:tc>
          <w:tcPr>
            <w:tcW w:w="1424" w:type="dxa"/>
          </w:tcPr>
          <w:p>
            <w:pPr>
              <w:pStyle w:val="TableParagraph"/>
              <w:spacing w:line="280" w:lineRule="exact"/>
              <w:ind w:left="105" w:right="58"/>
              <w:rPr>
                <w:sz w:val="24"/>
              </w:rPr>
            </w:pPr>
            <w:r>
              <w:rPr>
                <w:spacing w:val="-2"/>
                <w:sz w:val="24"/>
              </w:rPr>
              <w:t>Minimum </w:t>
            </w:r>
            <w:r>
              <w:rPr>
                <w:spacing w:val="-4"/>
                <w:sz w:val="24"/>
              </w:rPr>
              <w:t>Road </w:t>
            </w:r>
            <w:r>
              <w:rPr>
                <w:spacing w:val="-2"/>
                <w:sz w:val="24"/>
              </w:rPr>
              <w:t>Width</w:t>
            </w:r>
          </w:p>
        </w:tc>
        <w:tc>
          <w:tcPr>
            <w:tcW w:w="1671" w:type="dxa"/>
          </w:tcPr>
          <w:p>
            <w:pPr>
              <w:pStyle w:val="TableParagraph"/>
              <w:spacing w:line="280" w:lineRule="exact"/>
              <w:ind w:left="107"/>
              <w:rPr>
                <w:sz w:val="24"/>
              </w:rPr>
            </w:pPr>
            <w:r>
              <w:rPr>
                <w:spacing w:val="-2"/>
                <w:sz w:val="24"/>
              </w:rPr>
              <w:t>Maximum </w:t>
            </w:r>
            <w:r>
              <w:rPr>
                <w:spacing w:val="7"/>
                <w:sz w:val="24"/>
              </w:rPr>
              <w:t>Permissible </w:t>
            </w:r>
            <w:r>
              <w:rPr>
                <w:spacing w:val="-4"/>
                <w:sz w:val="24"/>
              </w:rPr>
              <w:t>FSI</w:t>
            </w:r>
          </w:p>
        </w:tc>
      </w:tr>
      <w:tr>
        <w:trPr>
          <w:trHeight w:val="280" w:hRule="atLeast"/>
        </w:trPr>
        <w:tc>
          <w:tcPr>
            <w:tcW w:w="569" w:type="dxa"/>
          </w:tcPr>
          <w:p>
            <w:pPr>
              <w:pStyle w:val="TableParagraph"/>
              <w:spacing w:line="260" w:lineRule="exact"/>
              <w:jc w:val="center"/>
              <w:rPr>
                <w:sz w:val="24"/>
              </w:rPr>
            </w:pPr>
            <w:r>
              <w:rPr>
                <w:spacing w:val="-10"/>
                <w:sz w:val="24"/>
              </w:rPr>
              <w:t>1</w:t>
            </w:r>
          </w:p>
        </w:tc>
        <w:tc>
          <w:tcPr>
            <w:tcW w:w="1424" w:type="dxa"/>
          </w:tcPr>
          <w:p>
            <w:pPr>
              <w:pStyle w:val="TableParagraph"/>
              <w:spacing w:line="260" w:lineRule="exact"/>
              <w:ind w:left="105"/>
              <w:rPr>
                <w:sz w:val="24"/>
              </w:rPr>
            </w:pPr>
            <w:r>
              <w:rPr>
                <w:spacing w:val="-5"/>
                <w:sz w:val="24"/>
              </w:rPr>
              <w:t>12m</w:t>
            </w:r>
          </w:p>
        </w:tc>
        <w:tc>
          <w:tcPr>
            <w:tcW w:w="1671" w:type="dxa"/>
          </w:tcPr>
          <w:p>
            <w:pPr>
              <w:pStyle w:val="TableParagraph"/>
              <w:spacing w:line="260" w:lineRule="exact"/>
              <w:ind w:right="4"/>
              <w:jc w:val="center"/>
              <w:rPr>
                <w:sz w:val="24"/>
              </w:rPr>
            </w:pPr>
            <w:r>
              <w:rPr>
                <w:sz w:val="24"/>
              </w:rPr>
              <w:t>Up</w:t>
            </w:r>
            <w:r>
              <w:rPr>
                <w:spacing w:val="28"/>
                <w:sz w:val="24"/>
              </w:rPr>
              <w:t> </w:t>
            </w:r>
            <w:r>
              <w:rPr>
                <w:sz w:val="24"/>
              </w:rPr>
              <w:t>to</w:t>
            </w:r>
            <w:r>
              <w:rPr>
                <w:spacing w:val="28"/>
                <w:sz w:val="24"/>
              </w:rPr>
              <w:t> </w:t>
            </w:r>
            <w:r>
              <w:rPr>
                <w:spacing w:val="-10"/>
                <w:sz w:val="24"/>
              </w:rPr>
              <w:t>3</w:t>
            </w:r>
          </w:p>
        </w:tc>
      </w:tr>
      <w:tr>
        <w:trPr>
          <w:trHeight w:val="282" w:hRule="atLeast"/>
        </w:trPr>
        <w:tc>
          <w:tcPr>
            <w:tcW w:w="569" w:type="dxa"/>
          </w:tcPr>
          <w:p>
            <w:pPr>
              <w:pStyle w:val="TableParagraph"/>
              <w:spacing w:line="261" w:lineRule="exact" w:before="1"/>
              <w:jc w:val="center"/>
              <w:rPr>
                <w:sz w:val="24"/>
              </w:rPr>
            </w:pPr>
            <w:r>
              <w:rPr>
                <w:spacing w:val="-10"/>
                <w:sz w:val="24"/>
              </w:rPr>
              <w:t>2</w:t>
            </w:r>
          </w:p>
        </w:tc>
        <w:tc>
          <w:tcPr>
            <w:tcW w:w="1424" w:type="dxa"/>
          </w:tcPr>
          <w:p>
            <w:pPr>
              <w:pStyle w:val="TableParagraph"/>
              <w:spacing w:line="261" w:lineRule="exact" w:before="1"/>
              <w:ind w:left="105"/>
              <w:rPr>
                <w:sz w:val="24"/>
              </w:rPr>
            </w:pPr>
            <w:r>
              <w:rPr>
                <w:spacing w:val="-5"/>
                <w:sz w:val="24"/>
              </w:rPr>
              <w:t>18m</w:t>
            </w:r>
          </w:p>
        </w:tc>
        <w:tc>
          <w:tcPr>
            <w:tcW w:w="1671" w:type="dxa"/>
          </w:tcPr>
          <w:p>
            <w:pPr>
              <w:pStyle w:val="TableParagraph"/>
              <w:spacing w:line="261" w:lineRule="exact" w:before="1"/>
              <w:ind w:right="4"/>
              <w:jc w:val="center"/>
              <w:rPr>
                <w:sz w:val="24"/>
              </w:rPr>
            </w:pPr>
            <w:r>
              <w:rPr>
                <w:sz w:val="24"/>
              </w:rPr>
              <w:t>Up</w:t>
            </w:r>
            <w:r>
              <w:rPr>
                <w:spacing w:val="28"/>
                <w:sz w:val="24"/>
              </w:rPr>
              <w:t> </w:t>
            </w:r>
            <w:r>
              <w:rPr>
                <w:sz w:val="24"/>
              </w:rPr>
              <w:t>to</w:t>
            </w:r>
            <w:r>
              <w:rPr>
                <w:spacing w:val="28"/>
                <w:sz w:val="24"/>
              </w:rPr>
              <w:t> </w:t>
            </w:r>
            <w:r>
              <w:rPr>
                <w:spacing w:val="-10"/>
                <w:sz w:val="24"/>
              </w:rPr>
              <w:t>4</w:t>
            </w:r>
          </w:p>
        </w:tc>
      </w:tr>
      <w:tr>
        <w:trPr>
          <w:trHeight w:val="282" w:hRule="atLeast"/>
        </w:trPr>
        <w:tc>
          <w:tcPr>
            <w:tcW w:w="569" w:type="dxa"/>
          </w:tcPr>
          <w:p>
            <w:pPr>
              <w:pStyle w:val="TableParagraph"/>
              <w:spacing w:line="263" w:lineRule="exact"/>
              <w:jc w:val="center"/>
              <w:rPr>
                <w:sz w:val="24"/>
              </w:rPr>
            </w:pPr>
            <w:r>
              <w:rPr>
                <w:spacing w:val="-10"/>
                <w:sz w:val="24"/>
              </w:rPr>
              <w:t>3</w:t>
            </w:r>
          </w:p>
        </w:tc>
        <w:tc>
          <w:tcPr>
            <w:tcW w:w="1424" w:type="dxa"/>
          </w:tcPr>
          <w:p>
            <w:pPr>
              <w:pStyle w:val="TableParagraph"/>
              <w:spacing w:line="263" w:lineRule="exact"/>
              <w:ind w:left="191"/>
              <w:rPr>
                <w:sz w:val="24"/>
              </w:rPr>
            </w:pPr>
            <w:r>
              <w:rPr>
                <w:spacing w:val="-5"/>
                <w:sz w:val="24"/>
              </w:rPr>
              <w:t>27m</w:t>
            </w:r>
          </w:p>
        </w:tc>
        <w:tc>
          <w:tcPr>
            <w:tcW w:w="1671" w:type="dxa"/>
          </w:tcPr>
          <w:p>
            <w:pPr>
              <w:pStyle w:val="TableParagraph"/>
              <w:spacing w:line="263" w:lineRule="exact"/>
              <w:ind w:right="4"/>
              <w:jc w:val="center"/>
              <w:rPr>
                <w:sz w:val="24"/>
              </w:rPr>
            </w:pPr>
            <w:r>
              <w:rPr>
                <w:sz w:val="24"/>
              </w:rPr>
              <w:t>Up</w:t>
            </w:r>
            <w:r>
              <w:rPr>
                <w:spacing w:val="28"/>
                <w:sz w:val="24"/>
              </w:rPr>
              <w:t> </w:t>
            </w:r>
            <w:r>
              <w:rPr>
                <w:sz w:val="24"/>
              </w:rPr>
              <w:t>to</w:t>
            </w:r>
            <w:r>
              <w:rPr>
                <w:spacing w:val="28"/>
                <w:sz w:val="24"/>
              </w:rPr>
              <w:t> </w:t>
            </w:r>
            <w:r>
              <w:rPr>
                <w:spacing w:val="-10"/>
                <w:sz w:val="24"/>
              </w:rPr>
              <w:t>5</w:t>
            </w:r>
          </w:p>
        </w:tc>
      </w:tr>
    </w:tbl>
    <w:p>
      <w:pPr>
        <w:pStyle w:val="BodyText"/>
        <w:spacing w:line="276" w:lineRule="auto"/>
        <w:ind w:left="2050" w:right="770"/>
      </w:pPr>
      <w:r>
        <w:rPr/>
        <w:t>On the plot area excluding area to be handed over to MCGM/Appropriate Authority in lieu of Reservation/ Existing amenity in the DP/ proposed DP roads/prescribed RL under MMC Act.</w:t>
      </w:r>
    </w:p>
    <w:p>
      <w:pPr>
        <w:pStyle w:val="BodyText"/>
        <w:spacing w:before="241"/>
        <w:ind w:left="2138"/>
      </w:pPr>
      <w:r>
        <w:rPr/>
        <w:t>The</w:t>
      </w:r>
      <w:r>
        <w:rPr>
          <w:spacing w:val="-1"/>
        </w:rPr>
        <w:t> </w:t>
      </w:r>
      <w:r>
        <w:rPr/>
        <w:t>Commissioner</w:t>
      </w:r>
      <w:r>
        <w:rPr>
          <w:spacing w:val="1"/>
        </w:rPr>
        <w:t> </w:t>
      </w:r>
      <w:r>
        <w:rPr/>
        <w:t>may</w:t>
      </w:r>
      <w:r>
        <w:rPr>
          <w:spacing w:val="-1"/>
        </w:rPr>
        <w:t> </w:t>
      </w:r>
      <w:r>
        <w:rPr/>
        <w:t>specify</w:t>
      </w:r>
      <w:r>
        <w:rPr>
          <w:spacing w:val="-1"/>
        </w:rPr>
        <w:t> </w:t>
      </w:r>
      <w:r>
        <w:rPr/>
        <w:t>terms</w:t>
      </w:r>
      <w:r>
        <w:rPr>
          <w:spacing w:val="-1"/>
        </w:rPr>
        <w:t> </w:t>
      </w:r>
      <w:r>
        <w:rPr/>
        <w:t>and </w:t>
      </w:r>
      <w:r>
        <w:rPr>
          <w:spacing w:val="-2"/>
        </w:rPr>
        <w:t>conditions.</w:t>
      </w:r>
    </w:p>
    <w:p>
      <w:pPr>
        <w:pStyle w:val="BodyText"/>
        <w:spacing w:before="240"/>
        <w:ind w:left="2062" w:right="766"/>
      </w:pPr>
      <w:r>
        <w:rPr/>
        <w:t>Provided that in the above cited cases of grant of additional FSI for Biotechnology</w:t>
      </w:r>
      <w:r>
        <w:rPr>
          <w:spacing w:val="-11"/>
        </w:rPr>
        <w:t> </w:t>
      </w:r>
      <w:r>
        <w:rPr/>
        <w:t>units,</w:t>
      </w:r>
      <w:r>
        <w:rPr>
          <w:spacing w:val="-11"/>
        </w:rPr>
        <w:t> </w:t>
      </w:r>
      <w:r>
        <w:rPr/>
        <w:t>premium</w:t>
      </w:r>
      <w:r>
        <w:rPr>
          <w:spacing w:val="-11"/>
        </w:rPr>
        <w:t> </w:t>
      </w:r>
      <w:r>
        <w:rPr/>
        <w:t>recovered</w:t>
      </w:r>
      <w:r>
        <w:rPr>
          <w:spacing w:val="-11"/>
        </w:rPr>
        <w:t> </w:t>
      </w:r>
      <w:r>
        <w:rPr/>
        <w:t>for</w:t>
      </w:r>
      <w:r>
        <w:rPr>
          <w:spacing w:val="-11"/>
        </w:rPr>
        <w:t> </w:t>
      </w:r>
      <w:r>
        <w:rPr/>
        <w:t>the</w:t>
      </w:r>
      <w:r>
        <w:rPr>
          <w:spacing w:val="-11"/>
        </w:rPr>
        <w:t> </w:t>
      </w:r>
      <w:r>
        <w:rPr/>
        <w:t>BUA</w:t>
      </w:r>
      <w:r>
        <w:rPr>
          <w:spacing w:val="-11"/>
        </w:rPr>
        <w:t> </w:t>
      </w:r>
      <w:r>
        <w:rPr/>
        <w:t>at</w:t>
      </w:r>
      <w:r>
        <w:rPr>
          <w:spacing w:val="-11"/>
        </w:rPr>
        <w:t> </w:t>
      </w:r>
      <w:r>
        <w:rPr/>
        <w:t>the</w:t>
      </w:r>
      <w:r>
        <w:rPr>
          <w:spacing w:val="-11"/>
        </w:rPr>
        <w:t> </w:t>
      </w:r>
      <w:r>
        <w:rPr/>
        <w:t>rate</w:t>
      </w:r>
      <w:r>
        <w:rPr>
          <w:spacing w:val="-11"/>
        </w:rPr>
        <w:t> </w:t>
      </w:r>
      <w:r>
        <w:rPr/>
        <w:t>of</w:t>
      </w:r>
      <w:r>
        <w:rPr>
          <w:spacing w:val="40"/>
        </w:rPr>
        <w:t> </w:t>
      </w:r>
      <w:r>
        <w:rPr/>
        <w:t>50% of ASR for open develop land (for FSI 1) or as may be determined by Govt. shall be paid to MCGM out of which 50% shall be payable to the </w:t>
      </w:r>
      <w:r>
        <w:rPr>
          <w:spacing w:val="-2"/>
        </w:rPr>
        <w:t>Govt.</w:t>
      </w:r>
    </w:p>
    <w:p>
      <w:pPr>
        <w:pStyle w:val="Heading6"/>
        <w:spacing w:before="237"/>
        <w:rPr>
          <w:i w:val="0"/>
        </w:rPr>
      </w:pPr>
      <w:r>
        <w:rPr>
          <w:i w:val="0"/>
        </w:rPr>
        <w:t>33(18)</w:t>
      </w:r>
      <w:r>
        <w:rPr>
          <w:i w:val="0"/>
          <w:spacing w:val="-3"/>
        </w:rPr>
        <w:t> </w:t>
      </w:r>
      <w:r>
        <w:rPr/>
        <w:t>Development</w:t>
      </w:r>
      <w:r>
        <w:rPr>
          <w:spacing w:val="-3"/>
        </w:rPr>
        <w:t> </w:t>
      </w:r>
      <w:r>
        <w:rPr/>
        <w:t>of</w:t>
      </w:r>
      <w:r>
        <w:rPr>
          <w:spacing w:val="-2"/>
        </w:rPr>
        <w:t> </w:t>
      </w:r>
      <w:r>
        <w:rPr/>
        <w:t>Multi</w:t>
      </w:r>
      <w:r>
        <w:rPr>
          <w:spacing w:val="-3"/>
        </w:rPr>
        <w:t> </w:t>
      </w:r>
      <w:r>
        <w:rPr/>
        <w:t>Storey</w:t>
      </w:r>
      <w:r>
        <w:rPr>
          <w:spacing w:val="-3"/>
        </w:rPr>
        <w:t> </w:t>
      </w:r>
      <w:r>
        <w:rPr/>
        <w:t>Public</w:t>
      </w:r>
      <w:r>
        <w:rPr>
          <w:spacing w:val="-2"/>
        </w:rPr>
        <w:t> </w:t>
      </w:r>
      <w:r>
        <w:rPr/>
        <w:t>Parking</w:t>
      </w:r>
      <w:r>
        <w:rPr>
          <w:spacing w:val="-3"/>
        </w:rPr>
        <w:t> </w:t>
      </w:r>
      <w:r>
        <w:rPr/>
        <w:t>Lots</w:t>
      </w:r>
      <w:r>
        <w:rPr>
          <w:spacing w:val="-2"/>
        </w:rPr>
        <w:t> (PPL)</w:t>
      </w:r>
      <w:r>
        <w:rPr>
          <w:i w:val="0"/>
          <w:spacing w:val="-2"/>
        </w:rPr>
        <w:t>:</w:t>
      </w:r>
    </w:p>
    <w:p>
      <w:pPr>
        <w:pStyle w:val="BodyText"/>
        <w:spacing w:before="242"/>
        <w:ind w:left="2062" w:right="766"/>
      </w:pPr>
      <w:r>
        <w:rPr/>
        <w:t>For development of Multi-storeyed PPL on any plot abutting a road of minimum width of 18m,additional FSI (hereinafter referred to as “Incentive</w:t>
      </w:r>
      <w:r>
        <w:rPr>
          <w:spacing w:val="-13"/>
        </w:rPr>
        <w:t> </w:t>
      </w:r>
      <w:r>
        <w:rPr/>
        <w:t>FSI”)</w:t>
      </w:r>
      <w:r>
        <w:rPr>
          <w:spacing w:val="-13"/>
        </w:rPr>
        <w:t> </w:t>
      </w:r>
      <w:r>
        <w:rPr/>
        <w:t>as</w:t>
      </w:r>
      <w:r>
        <w:rPr>
          <w:spacing w:val="-13"/>
        </w:rPr>
        <w:t> </w:t>
      </w:r>
      <w:r>
        <w:rPr/>
        <w:t>specified</w:t>
      </w:r>
      <w:r>
        <w:rPr>
          <w:spacing w:val="-13"/>
        </w:rPr>
        <w:t> </w:t>
      </w:r>
      <w:r>
        <w:rPr/>
        <w:t>below</w:t>
      </w:r>
      <w:r>
        <w:rPr>
          <w:spacing w:val="-13"/>
        </w:rPr>
        <w:t> </w:t>
      </w:r>
      <w:r>
        <w:rPr/>
        <w:t>on</w:t>
      </w:r>
      <w:r>
        <w:rPr>
          <w:spacing w:val="-13"/>
        </w:rPr>
        <w:t> </w:t>
      </w:r>
      <w:r>
        <w:rPr/>
        <w:t>built</w:t>
      </w:r>
      <w:r>
        <w:rPr>
          <w:spacing w:val="-13"/>
        </w:rPr>
        <w:t> </w:t>
      </w:r>
      <w:r>
        <w:rPr/>
        <w:t>up</w:t>
      </w:r>
      <w:r>
        <w:rPr>
          <w:spacing w:val="-13"/>
        </w:rPr>
        <w:t> </w:t>
      </w:r>
      <w:r>
        <w:rPr/>
        <w:t>parking</w:t>
      </w:r>
      <w:r>
        <w:rPr>
          <w:spacing w:val="-13"/>
        </w:rPr>
        <w:t> </w:t>
      </w:r>
      <w:r>
        <w:rPr/>
        <w:t>area,</w:t>
      </w:r>
      <w:r>
        <w:rPr>
          <w:spacing w:val="-13"/>
        </w:rPr>
        <w:t> </w:t>
      </w:r>
      <w:r>
        <w:rPr/>
        <w:t>created</w:t>
      </w:r>
      <w:r>
        <w:rPr>
          <w:spacing w:val="-13"/>
        </w:rPr>
        <w:t> </w:t>
      </w:r>
      <w:r>
        <w:rPr/>
        <w:t>and handed over to the MCGM free of cost, shall be allowed, on the land belonging</w:t>
      </w:r>
      <w:r>
        <w:rPr>
          <w:spacing w:val="-2"/>
        </w:rPr>
        <w:t> </w:t>
      </w:r>
      <w:r>
        <w:rPr/>
        <w:t>to</w:t>
      </w:r>
      <w:r>
        <w:rPr>
          <w:spacing w:val="-2"/>
        </w:rPr>
        <w:t> </w:t>
      </w:r>
      <w:r>
        <w:rPr/>
        <w:t>a</w:t>
      </w:r>
      <w:r>
        <w:rPr>
          <w:spacing w:val="-2"/>
        </w:rPr>
        <w:t> </w:t>
      </w:r>
      <w:r>
        <w:rPr/>
        <w:t>private</w:t>
      </w:r>
      <w:r>
        <w:rPr>
          <w:spacing w:val="-2"/>
        </w:rPr>
        <w:t> </w:t>
      </w:r>
      <w:r>
        <w:rPr/>
        <w:t>owner/Lease</w:t>
      </w:r>
      <w:r>
        <w:rPr>
          <w:spacing w:val="-2"/>
        </w:rPr>
        <w:t> </w:t>
      </w:r>
      <w:r>
        <w:rPr/>
        <w:t>hold</w:t>
      </w:r>
      <w:r>
        <w:rPr>
          <w:spacing w:val="-4"/>
        </w:rPr>
        <w:t> </w:t>
      </w:r>
      <w:r>
        <w:rPr/>
        <w:t>plots</w:t>
      </w:r>
      <w:r>
        <w:rPr>
          <w:spacing w:val="-2"/>
        </w:rPr>
        <w:t> </w:t>
      </w:r>
      <w:r>
        <w:rPr/>
        <w:t>of</w:t>
      </w:r>
      <w:r>
        <w:rPr>
          <w:spacing w:val="-2"/>
        </w:rPr>
        <w:t> </w:t>
      </w:r>
      <w:r>
        <w:rPr/>
        <w:t>Govt.</w:t>
      </w:r>
      <w:r>
        <w:rPr>
          <w:spacing w:val="-2"/>
        </w:rPr>
        <w:t> </w:t>
      </w:r>
      <w:r>
        <w:rPr/>
        <w:t>and</w:t>
      </w:r>
      <w:r>
        <w:rPr>
          <w:spacing w:val="-4"/>
        </w:rPr>
        <w:t> </w:t>
      </w:r>
      <w:r>
        <w:rPr/>
        <w:t>MCGM with prior consent, which is not reserved for any public purpose, subject to the conditions contained herein below:</w:t>
      </w:r>
    </w:p>
    <w:p>
      <w:pPr>
        <w:pStyle w:val="ListParagraph"/>
        <w:numPr>
          <w:ilvl w:val="3"/>
          <w:numId w:val="206"/>
        </w:numPr>
        <w:tabs>
          <w:tab w:pos="2294" w:val="left" w:leader="none"/>
        </w:tabs>
        <w:spacing w:line="240" w:lineRule="auto" w:before="241" w:after="0"/>
        <w:ind w:left="2062" w:right="766" w:firstLine="0"/>
        <w:jc w:val="both"/>
        <w:rPr>
          <w:sz w:val="24"/>
        </w:rPr>
      </w:pPr>
      <w:r>
        <w:rPr>
          <w:sz w:val="24"/>
        </w:rPr>
        <w:t>The</w:t>
      </w:r>
      <w:r>
        <w:rPr>
          <w:spacing w:val="-8"/>
          <w:sz w:val="24"/>
        </w:rPr>
        <w:t> </w:t>
      </w:r>
      <w:r>
        <w:rPr>
          <w:sz w:val="24"/>
        </w:rPr>
        <w:t>minimum</w:t>
      </w:r>
      <w:r>
        <w:rPr>
          <w:spacing w:val="-8"/>
          <w:sz w:val="24"/>
        </w:rPr>
        <w:t> </w:t>
      </w:r>
      <w:r>
        <w:rPr>
          <w:sz w:val="24"/>
        </w:rPr>
        <w:t>area</w:t>
      </w:r>
      <w:r>
        <w:rPr>
          <w:spacing w:val="-8"/>
          <w:sz w:val="24"/>
        </w:rPr>
        <w:t> </w:t>
      </w:r>
      <w:r>
        <w:rPr>
          <w:sz w:val="24"/>
        </w:rPr>
        <w:t>of</w:t>
      </w:r>
      <w:r>
        <w:rPr>
          <w:spacing w:val="-7"/>
          <w:sz w:val="24"/>
        </w:rPr>
        <w:t> </w:t>
      </w:r>
      <w:r>
        <w:rPr>
          <w:sz w:val="24"/>
        </w:rPr>
        <w:t>plot</w:t>
      </w:r>
      <w:r>
        <w:rPr>
          <w:spacing w:val="-8"/>
          <w:sz w:val="24"/>
        </w:rPr>
        <w:t> </w:t>
      </w:r>
      <w:r>
        <w:rPr>
          <w:sz w:val="24"/>
        </w:rPr>
        <w:t>shall</w:t>
      </w:r>
      <w:r>
        <w:rPr>
          <w:spacing w:val="-8"/>
          <w:sz w:val="24"/>
        </w:rPr>
        <w:t> </w:t>
      </w:r>
      <w:r>
        <w:rPr>
          <w:sz w:val="24"/>
        </w:rPr>
        <w:t>be</w:t>
      </w:r>
      <w:r>
        <w:rPr>
          <w:spacing w:val="-6"/>
          <w:sz w:val="24"/>
        </w:rPr>
        <w:t> </w:t>
      </w:r>
      <w:r>
        <w:rPr>
          <w:sz w:val="24"/>
        </w:rPr>
        <w:t>1000</w:t>
      </w:r>
      <w:r>
        <w:rPr>
          <w:spacing w:val="-8"/>
          <w:sz w:val="24"/>
        </w:rPr>
        <w:t> </w:t>
      </w:r>
      <w:r>
        <w:rPr>
          <w:sz w:val="24"/>
        </w:rPr>
        <w:t>sq.</w:t>
      </w:r>
      <w:r>
        <w:rPr>
          <w:spacing w:val="-8"/>
          <w:sz w:val="24"/>
        </w:rPr>
        <w:t> </w:t>
      </w:r>
      <w:r>
        <w:rPr>
          <w:sz w:val="24"/>
        </w:rPr>
        <w:t>m.The</w:t>
      </w:r>
      <w:r>
        <w:rPr>
          <w:spacing w:val="-8"/>
          <w:sz w:val="24"/>
        </w:rPr>
        <w:t> </w:t>
      </w:r>
      <w:r>
        <w:rPr>
          <w:sz w:val="24"/>
        </w:rPr>
        <w:t>minimum</w:t>
      </w:r>
      <w:r>
        <w:rPr>
          <w:spacing w:val="-8"/>
          <w:sz w:val="24"/>
        </w:rPr>
        <w:t> </w:t>
      </w:r>
      <w:r>
        <w:rPr>
          <w:sz w:val="24"/>
        </w:rPr>
        <w:t>number of Motor Vehicle public parking spaces provided shall not be less than 50 subject to minimum parking space of 700 sq. m. The location of parking spaces can be in basement, ground floor or upper floors, with access through ramp/lift or combination of both subject to clearance from CFO with special emphasis on fire hazard.</w:t>
      </w:r>
    </w:p>
    <w:p>
      <w:pPr>
        <w:pStyle w:val="ListParagraph"/>
        <w:numPr>
          <w:ilvl w:val="3"/>
          <w:numId w:val="206"/>
        </w:numPr>
        <w:tabs>
          <w:tab w:pos="2450" w:val="left" w:leader="none"/>
        </w:tabs>
        <w:spacing w:line="240" w:lineRule="auto" w:before="0" w:after="0"/>
        <w:ind w:left="2062" w:right="766" w:firstLine="0"/>
        <w:jc w:val="both"/>
        <w:rPr>
          <w:sz w:val="24"/>
        </w:rPr>
      </w:pPr>
      <w:r>
        <w:rPr>
          <w:sz w:val="24"/>
        </w:rPr>
        <w:t>Till the formation of Parking Authority, a Committee under the Chairmanship</w:t>
      </w:r>
      <w:r>
        <w:rPr>
          <w:spacing w:val="-20"/>
          <w:sz w:val="24"/>
        </w:rPr>
        <w:t> </w:t>
      </w:r>
      <w:r>
        <w:rPr>
          <w:sz w:val="24"/>
        </w:rPr>
        <w:t>of</w:t>
      </w:r>
      <w:r>
        <w:rPr>
          <w:spacing w:val="-19"/>
          <w:sz w:val="24"/>
        </w:rPr>
        <w:t> </w:t>
      </w:r>
      <w:r>
        <w:rPr>
          <w:sz w:val="24"/>
        </w:rPr>
        <w:t>Municipal</w:t>
      </w:r>
      <w:r>
        <w:rPr>
          <w:spacing w:val="-19"/>
          <w:sz w:val="24"/>
        </w:rPr>
        <w:t> </w:t>
      </w:r>
      <w:r>
        <w:rPr>
          <w:sz w:val="24"/>
        </w:rPr>
        <w:t>Commissioner,</w:t>
      </w:r>
      <w:r>
        <w:rPr>
          <w:spacing w:val="-19"/>
          <w:sz w:val="24"/>
        </w:rPr>
        <w:t> </w:t>
      </w:r>
      <w:r>
        <w:rPr>
          <w:sz w:val="24"/>
        </w:rPr>
        <w:t>MCGM</w:t>
      </w:r>
      <w:r>
        <w:rPr>
          <w:spacing w:val="-19"/>
          <w:sz w:val="24"/>
        </w:rPr>
        <w:t> </w:t>
      </w:r>
      <w:r>
        <w:rPr>
          <w:sz w:val="24"/>
        </w:rPr>
        <w:t>shall</w:t>
      </w:r>
      <w:r>
        <w:rPr>
          <w:spacing w:val="-20"/>
          <w:sz w:val="24"/>
        </w:rPr>
        <w:t> </w:t>
      </w:r>
      <w:r>
        <w:rPr>
          <w:sz w:val="24"/>
        </w:rPr>
        <w:t>earmark/select the plots for public parking, on the basis of their suitability</w:t>
      </w:r>
      <w:r>
        <w:rPr>
          <w:spacing w:val="40"/>
          <w:sz w:val="24"/>
        </w:rPr>
        <w:t> </w:t>
      </w:r>
      <w:r>
        <w:rPr>
          <w:sz w:val="24"/>
        </w:rPr>
        <w:t>The Committee shall comprise the following or their representatives (i) Metropolitan Commissioner, MMRDA. (ii) Joint Commissioner of Police (Traffic), (iii) Dy. Director of Town Planning, Greater Mumbai (iv) Chief Engineer (Road), MCGM (Member Secretary).</w:t>
      </w:r>
    </w:p>
    <w:p>
      <w:pPr>
        <w:pStyle w:val="ListParagraph"/>
        <w:numPr>
          <w:ilvl w:val="3"/>
          <w:numId w:val="206"/>
        </w:numPr>
        <w:tabs>
          <w:tab w:pos="2479" w:val="left" w:leader="none"/>
        </w:tabs>
        <w:spacing w:line="240" w:lineRule="auto" w:before="1" w:after="0"/>
        <w:ind w:left="2062" w:right="771" w:firstLine="0"/>
        <w:jc w:val="both"/>
        <w:rPr>
          <w:sz w:val="24"/>
        </w:rPr>
      </w:pPr>
      <w:r>
        <w:rPr>
          <w:sz w:val="24"/>
        </w:rPr>
        <w:t>The incentive FSI given on this account will be over and above the Zonal</w:t>
      </w:r>
      <w:r>
        <w:rPr>
          <w:spacing w:val="-3"/>
          <w:sz w:val="24"/>
        </w:rPr>
        <w:t> </w:t>
      </w:r>
      <w:r>
        <w:rPr>
          <w:sz w:val="24"/>
        </w:rPr>
        <w:t>(basic)</w:t>
      </w:r>
      <w:r>
        <w:rPr>
          <w:spacing w:val="-3"/>
          <w:sz w:val="24"/>
        </w:rPr>
        <w:t> </w:t>
      </w:r>
      <w:r>
        <w:rPr>
          <w:sz w:val="24"/>
        </w:rPr>
        <w:t>FSI</w:t>
      </w:r>
      <w:r>
        <w:rPr>
          <w:spacing w:val="-1"/>
          <w:sz w:val="24"/>
        </w:rPr>
        <w:t> </w:t>
      </w:r>
      <w:r>
        <w:rPr>
          <w:sz w:val="24"/>
        </w:rPr>
        <w:t>permissible</w:t>
      </w:r>
      <w:r>
        <w:rPr>
          <w:spacing w:val="-3"/>
          <w:sz w:val="24"/>
        </w:rPr>
        <w:t> </w:t>
      </w:r>
      <w:r>
        <w:rPr>
          <w:sz w:val="24"/>
        </w:rPr>
        <w:t>under</w:t>
      </w:r>
      <w:r>
        <w:rPr>
          <w:spacing w:val="-3"/>
          <w:sz w:val="24"/>
        </w:rPr>
        <w:t> </w:t>
      </w:r>
      <w:r>
        <w:rPr>
          <w:sz w:val="24"/>
        </w:rPr>
        <w:t>any</w:t>
      </w:r>
      <w:r>
        <w:rPr>
          <w:spacing w:val="-1"/>
          <w:sz w:val="24"/>
        </w:rPr>
        <w:t> </w:t>
      </w:r>
      <w:r>
        <w:rPr>
          <w:sz w:val="24"/>
        </w:rPr>
        <w:t>other</w:t>
      </w:r>
      <w:r>
        <w:rPr>
          <w:spacing w:val="-3"/>
          <w:sz w:val="24"/>
        </w:rPr>
        <w:t> </w:t>
      </w:r>
      <w:r>
        <w:rPr>
          <w:sz w:val="24"/>
        </w:rPr>
        <w:t>provisions</w:t>
      </w:r>
      <w:r>
        <w:rPr>
          <w:spacing w:val="-3"/>
          <w:sz w:val="24"/>
        </w:rPr>
        <w:t> </w:t>
      </w:r>
      <w:r>
        <w:rPr>
          <w:sz w:val="24"/>
        </w:rPr>
        <w:t>of</w:t>
      </w:r>
      <w:r>
        <w:rPr>
          <w:spacing w:val="-3"/>
          <w:sz w:val="24"/>
        </w:rPr>
        <w:t> </w:t>
      </w:r>
      <w:r>
        <w:rPr>
          <w:sz w:val="24"/>
        </w:rPr>
        <w:t>DCPR.</w:t>
      </w:r>
      <w:r>
        <w:rPr>
          <w:spacing w:val="-3"/>
          <w:sz w:val="24"/>
        </w:rPr>
        <w:t> </w:t>
      </w:r>
      <w:r>
        <w:rPr>
          <w:sz w:val="24"/>
        </w:rPr>
        <w:t>This incentive</w:t>
      </w:r>
      <w:r>
        <w:rPr>
          <w:spacing w:val="-10"/>
          <w:sz w:val="24"/>
        </w:rPr>
        <w:t> </w:t>
      </w:r>
      <w:r>
        <w:rPr>
          <w:sz w:val="24"/>
        </w:rPr>
        <w:t>FSI</w:t>
      </w:r>
      <w:r>
        <w:rPr>
          <w:spacing w:val="-7"/>
          <w:sz w:val="24"/>
        </w:rPr>
        <w:t> </w:t>
      </w:r>
      <w:r>
        <w:rPr>
          <w:sz w:val="24"/>
        </w:rPr>
        <w:t>shall</w:t>
      </w:r>
      <w:r>
        <w:rPr>
          <w:spacing w:val="-10"/>
          <w:sz w:val="24"/>
        </w:rPr>
        <w:t> </w:t>
      </w:r>
      <w:r>
        <w:rPr>
          <w:sz w:val="24"/>
        </w:rPr>
        <w:t>be</w:t>
      </w:r>
      <w:r>
        <w:rPr>
          <w:spacing w:val="-10"/>
          <w:sz w:val="24"/>
        </w:rPr>
        <w:t> </w:t>
      </w:r>
      <w:r>
        <w:rPr>
          <w:sz w:val="24"/>
        </w:rPr>
        <w:t>allowed</w:t>
      </w:r>
      <w:r>
        <w:rPr>
          <w:spacing w:val="-10"/>
          <w:sz w:val="24"/>
        </w:rPr>
        <w:t> </w:t>
      </w:r>
      <w:r>
        <w:rPr>
          <w:sz w:val="24"/>
        </w:rPr>
        <w:t>to</w:t>
      </w:r>
      <w:r>
        <w:rPr>
          <w:spacing w:val="-10"/>
          <w:sz w:val="24"/>
        </w:rPr>
        <w:t> </w:t>
      </w:r>
      <w:r>
        <w:rPr>
          <w:sz w:val="24"/>
        </w:rPr>
        <w:t>be</w:t>
      </w:r>
      <w:r>
        <w:rPr>
          <w:spacing w:val="-7"/>
          <w:sz w:val="24"/>
        </w:rPr>
        <w:t> </w:t>
      </w:r>
      <w:r>
        <w:rPr>
          <w:sz w:val="24"/>
        </w:rPr>
        <w:t>used</w:t>
      </w:r>
      <w:r>
        <w:rPr>
          <w:spacing w:val="-7"/>
          <w:sz w:val="24"/>
        </w:rPr>
        <w:t> </w:t>
      </w:r>
      <w:r>
        <w:rPr>
          <w:sz w:val="24"/>
        </w:rPr>
        <w:t>on</w:t>
      </w:r>
      <w:r>
        <w:rPr>
          <w:spacing w:val="-10"/>
          <w:sz w:val="24"/>
        </w:rPr>
        <w:t> </w:t>
      </w:r>
      <w:r>
        <w:rPr>
          <w:sz w:val="24"/>
        </w:rPr>
        <w:t>the</w:t>
      </w:r>
      <w:r>
        <w:rPr>
          <w:spacing w:val="-10"/>
          <w:sz w:val="24"/>
        </w:rPr>
        <w:t> </w:t>
      </w:r>
      <w:r>
        <w:rPr>
          <w:sz w:val="24"/>
        </w:rPr>
        <w:t>same</w:t>
      </w:r>
      <w:r>
        <w:rPr>
          <w:spacing w:val="-10"/>
          <w:sz w:val="24"/>
        </w:rPr>
        <w:t> </w:t>
      </w:r>
      <w:r>
        <w:rPr>
          <w:sz w:val="24"/>
        </w:rPr>
        <w:t>plot</w:t>
      </w:r>
      <w:r>
        <w:rPr>
          <w:spacing w:val="-7"/>
          <w:sz w:val="24"/>
        </w:rPr>
        <w:t> </w:t>
      </w:r>
      <w:r>
        <w:rPr>
          <w:sz w:val="24"/>
        </w:rPr>
        <w:t>in</w:t>
      </w:r>
      <w:r>
        <w:rPr>
          <w:spacing w:val="-10"/>
          <w:sz w:val="24"/>
        </w:rPr>
        <w:t> </w:t>
      </w:r>
      <w:r>
        <w:rPr>
          <w:sz w:val="24"/>
        </w:rPr>
        <w:t>conformity with DCPR/DP, within the overall cap/limit of total maximum permissible FSI as given at (vii) below.</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3"/>
          <w:numId w:val="206"/>
        </w:numPr>
        <w:tabs>
          <w:tab w:pos="2476" w:val="left" w:leader="none"/>
        </w:tabs>
        <w:spacing w:line="240" w:lineRule="auto" w:before="249" w:after="0"/>
        <w:ind w:left="2062" w:right="767" w:firstLine="0"/>
        <w:jc w:val="both"/>
        <w:rPr>
          <w:sz w:val="24"/>
        </w:rPr>
      </w:pPr>
      <w:r>
        <w:rPr>
          <w:sz w:val="24"/>
        </w:rPr>
        <w:t>The proposed development shall be subject to any other conditions prescribed by the Municipal Commissioner.</w:t>
      </w:r>
    </w:p>
    <w:p>
      <w:pPr>
        <w:pStyle w:val="ListParagraph"/>
        <w:numPr>
          <w:ilvl w:val="3"/>
          <w:numId w:val="206"/>
        </w:numPr>
        <w:tabs>
          <w:tab w:pos="2409" w:val="left" w:leader="none"/>
        </w:tabs>
        <w:spacing w:line="240" w:lineRule="auto" w:before="1" w:after="0"/>
        <w:ind w:left="2062" w:right="773" w:firstLine="0"/>
        <w:jc w:val="both"/>
        <w:rPr>
          <w:sz w:val="24"/>
        </w:rPr>
      </w:pPr>
      <w:r>
        <w:rPr>
          <w:sz w:val="24"/>
        </w:rPr>
        <w:t>Concerned land owner/development/society/company shall not be allowed to operate the public parking.</w:t>
      </w:r>
    </w:p>
    <w:p>
      <w:pPr>
        <w:pStyle w:val="ListParagraph"/>
        <w:numPr>
          <w:ilvl w:val="3"/>
          <w:numId w:val="206"/>
        </w:numPr>
        <w:tabs>
          <w:tab w:pos="2540" w:val="left" w:leader="none"/>
        </w:tabs>
        <w:spacing w:line="240" w:lineRule="auto" w:before="0" w:after="0"/>
        <w:ind w:left="2062" w:right="769" w:firstLine="0"/>
        <w:jc w:val="both"/>
        <w:rPr>
          <w:sz w:val="24"/>
        </w:rPr>
      </w:pPr>
      <w:r>
        <w:rPr>
          <w:sz w:val="24"/>
        </w:rPr>
        <w:t>Area covered under parking shall not be counted towards FSI </w:t>
      </w:r>
      <w:r>
        <w:rPr>
          <w:spacing w:val="-2"/>
          <w:sz w:val="24"/>
        </w:rPr>
        <w:t>consumption.</w:t>
      </w:r>
    </w:p>
    <w:p>
      <w:pPr>
        <w:pStyle w:val="ListParagraph"/>
        <w:numPr>
          <w:ilvl w:val="3"/>
          <w:numId w:val="206"/>
        </w:numPr>
        <w:tabs>
          <w:tab w:pos="2543" w:val="left" w:leader="none"/>
        </w:tabs>
        <w:spacing w:line="240" w:lineRule="auto" w:before="1" w:after="0"/>
        <w:ind w:left="2062" w:right="766" w:firstLine="0"/>
        <w:jc w:val="both"/>
        <w:rPr>
          <w:sz w:val="24"/>
        </w:rPr>
      </w:pPr>
      <w:r>
        <w:rPr>
          <w:sz w:val="24"/>
        </w:rPr>
        <w:t>The</w:t>
      </w:r>
      <w:r>
        <w:rPr>
          <w:spacing w:val="-9"/>
          <w:sz w:val="24"/>
        </w:rPr>
        <w:t> </w:t>
      </w:r>
      <w:r>
        <w:rPr>
          <w:sz w:val="24"/>
        </w:rPr>
        <w:t>incentive</w:t>
      </w:r>
      <w:r>
        <w:rPr>
          <w:spacing w:val="-9"/>
          <w:sz w:val="24"/>
        </w:rPr>
        <w:t> </w:t>
      </w:r>
      <w:r>
        <w:rPr>
          <w:sz w:val="24"/>
        </w:rPr>
        <w:t>FSI</w:t>
      </w:r>
      <w:r>
        <w:rPr>
          <w:spacing w:val="-7"/>
          <w:sz w:val="24"/>
        </w:rPr>
        <w:t> </w:t>
      </w:r>
      <w:r>
        <w:rPr>
          <w:sz w:val="24"/>
        </w:rPr>
        <w:t>permissible</w:t>
      </w:r>
      <w:r>
        <w:rPr>
          <w:spacing w:val="-9"/>
          <w:sz w:val="24"/>
        </w:rPr>
        <w:t> </w:t>
      </w:r>
      <w:r>
        <w:rPr>
          <w:sz w:val="24"/>
        </w:rPr>
        <w:t>under</w:t>
      </w:r>
      <w:r>
        <w:rPr>
          <w:spacing w:val="-9"/>
          <w:sz w:val="24"/>
        </w:rPr>
        <w:t> </w:t>
      </w:r>
      <w:r>
        <w:rPr>
          <w:sz w:val="24"/>
        </w:rPr>
        <w:t>this</w:t>
      </w:r>
      <w:r>
        <w:rPr>
          <w:spacing w:val="-9"/>
          <w:sz w:val="24"/>
        </w:rPr>
        <w:t> </w:t>
      </w:r>
      <w:r>
        <w:rPr>
          <w:sz w:val="24"/>
        </w:rPr>
        <w:t>Regulation</w:t>
      </w:r>
      <w:r>
        <w:rPr>
          <w:spacing w:val="-9"/>
          <w:sz w:val="24"/>
        </w:rPr>
        <w:t> </w:t>
      </w:r>
      <w:r>
        <w:rPr>
          <w:sz w:val="24"/>
        </w:rPr>
        <w:t>against</w:t>
      </w:r>
      <w:r>
        <w:rPr>
          <w:spacing w:val="-9"/>
          <w:sz w:val="24"/>
        </w:rPr>
        <w:t> </w:t>
      </w:r>
      <w:r>
        <w:rPr>
          <w:sz w:val="24"/>
        </w:rPr>
        <w:t>BUA</w:t>
      </w:r>
      <w:r>
        <w:rPr>
          <w:spacing w:val="-8"/>
          <w:sz w:val="24"/>
        </w:rPr>
        <w:t> </w:t>
      </w:r>
      <w:r>
        <w:rPr>
          <w:sz w:val="24"/>
        </w:rPr>
        <w:t>of the PPL, shall be 50% of the BUA of the PPL, such that the total permissible FSI including the incentive FSI under this Regulation does not exceed</w:t>
      </w:r>
      <w:r>
        <w:rPr>
          <w:spacing w:val="40"/>
          <w:sz w:val="24"/>
        </w:rPr>
        <w:t> </w:t>
      </w:r>
      <w:r>
        <w:rPr>
          <w:sz w:val="24"/>
        </w:rPr>
        <w:t>as detailed below: -</w:t>
      </w:r>
    </w:p>
    <w:p>
      <w:pPr>
        <w:pStyle w:val="BodyText"/>
        <w:spacing w:before="47" w:after="1"/>
        <w:jc w:val="left"/>
        <w:rPr>
          <w:sz w:val="20"/>
        </w:rPr>
      </w:pPr>
    </w:p>
    <w:tbl>
      <w:tblPr>
        <w:tblW w:w="0" w:type="auto"/>
        <w:jc w:val="left"/>
        <w:tblInd w:w="2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52"/>
        <w:gridCol w:w="4141"/>
      </w:tblGrid>
      <w:tr>
        <w:trPr>
          <w:trHeight w:val="643" w:hRule="atLeast"/>
        </w:trPr>
        <w:tc>
          <w:tcPr>
            <w:tcW w:w="2852" w:type="dxa"/>
          </w:tcPr>
          <w:p>
            <w:pPr>
              <w:pStyle w:val="TableParagraph"/>
              <w:spacing w:before="37"/>
              <w:ind w:left="1190"/>
              <w:rPr>
                <w:sz w:val="24"/>
              </w:rPr>
            </w:pPr>
            <w:r>
              <w:rPr>
                <w:sz w:val="24"/>
              </w:rPr>
              <w:t>Plot</w:t>
            </w:r>
            <w:r>
              <w:rPr>
                <w:spacing w:val="46"/>
                <w:sz w:val="24"/>
              </w:rPr>
              <w:t> </w:t>
            </w:r>
            <w:r>
              <w:rPr>
                <w:spacing w:val="-4"/>
                <w:sz w:val="24"/>
              </w:rPr>
              <w:t>Area</w:t>
            </w:r>
          </w:p>
        </w:tc>
        <w:tc>
          <w:tcPr>
            <w:tcW w:w="4141" w:type="dxa"/>
          </w:tcPr>
          <w:p>
            <w:pPr>
              <w:pStyle w:val="TableParagraph"/>
              <w:spacing w:line="282" w:lineRule="exact" w:before="40"/>
              <w:ind w:left="1188"/>
              <w:rPr>
                <w:sz w:val="24"/>
              </w:rPr>
            </w:pPr>
            <w:r>
              <w:rPr>
                <w:sz w:val="24"/>
              </w:rPr>
              <w:t>Maximum</w:t>
            </w:r>
            <w:r>
              <w:rPr>
                <w:spacing w:val="24"/>
                <w:sz w:val="24"/>
              </w:rPr>
              <w:t>  </w:t>
            </w:r>
            <w:r>
              <w:rPr>
                <w:spacing w:val="7"/>
                <w:sz w:val="24"/>
              </w:rPr>
              <w:t>permissible</w:t>
            </w:r>
          </w:p>
          <w:p>
            <w:pPr>
              <w:pStyle w:val="TableParagraph"/>
              <w:ind w:left="739"/>
              <w:rPr>
                <w:sz w:val="24"/>
              </w:rPr>
            </w:pPr>
            <w:r>
              <w:rPr>
                <w:spacing w:val="-5"/>
                <w:sz w:val="24"/>
              </w:rPr>
              <w:t>FSI</w:t>
            </w:r>
          </w:p>
        </w:tc>
      </w:tr>
      <w:tr>
        <w:trPr>
          <w:trHeight w:val="453" w:hRule="atLeast"/>
        </w:trPr>
        <w:tc>
          <w:tcPr>
            <w:tcW w:w="2852" w:type="dxa"/>
          </w:tcPr>
          <w:p>
            <w:pPr>
              <w:pStyle w:val="TableParagraph"/>
              <w:spacing w:before="37"/>
              <w:ind w:left="196"/>
              <w:rPr>
                <w:sz w:val="24"/>
              </w:rPr>
            </w:pPr>
            <w:r>
              <w:rPr>
                <w:sz w:val="24"/>
              </w:rPr>
              <w:t>Up</w:t>
            </w:r>
            <w:r>
              <w:rPr>
                <w:spacing w:val="36"/>
                <w:sz w:val="24"/>
              </w:rPr>
              <w:t> </w:t>
            </w:r>
            <w:r>
              <w:rPr>
                <w:sz w:val="24"/>
              </w:rPr>
              <w:t>to</w:t>
            </w:r>
            <w:r>
              <w:rPr>
                <w:spacing w:val="36"/>
                <w:sz w:val="24"/>
              </w:rPr>
              <w:t> </w:t>
            </w:r>
            <w:r>
              <w:rPr>
                <w:sz w:val="24"/>
              </w:rPr>
              <w:t>2000</w:t>
            </w:r>
            <w:r>
              <w:rPr>
                <w:spacing w:val="35"/>
                <w:sz w:val="24"/>
              </w:rPr>
              <w:t> </w:t>
            </w:r>
            <w:r>
              <w:rPr>
                <w:sz w:val="24"/>
              </w:rPr>
              <w:t>sq.</w:t>
            </w:r>
            <w:r>
              <w:rPr>
                <w:spacing w:val="35"/>
                <w:sz w:val="24"/>
              </w:rPr>
              <w:t> </w:t>
            </w:r>
            <w:r>
              <w:rPr>
                <w:spacing w:val="-10"/>
                <w:sz w:val="24"/>
              </w:rPr>
              <w:t>m</w:t>
            </w:r>
          </w:p>
        </w:tc>
        <w:tc>
          <w:tcPr>
            <w:tcW w:w="4141" w:type="dxa"/>
          </w:tcPr>
          <w:p>
            <w:pPr>
              <w:pStyle w:val="TableParagraph"/>
              <w:spacing w:before="37"/>
              <w:ind w:left="1188"/>
              <w:rPr>
                <w:sz w:val="24"/>
              </w:rPr>
            </w:pPr>
            <w:r>
              <w:rPr>
                <w:spacing w:val="-4"/>
                <w:sz w:val="24"/>
              </w:rPr>
              <w:t>3.00</w:t>
            </w:r>
          </w:p>
        </w:tc>
      </w:tr>
      <w:tr>
        <w:trPr>
          <w:trHeight w:val="362" w:hRule="atLeast"/>
        </w:trPr>
        <w:tc>
          <w:tcPr>
            <w:tcW w:w="2852" w:type="dxa"/>
          </w:tcPr>
          <w:p>
            <w:pPr>
              <w:pStyle w:val="TableParagraph"/>
              <w:spacing w:before="37"/>
              <w:ind w:left="196"/>
              <w:rPr>
                <w:sz w:val="24"/>
              </w:rPr>
            </w:pPr>
            <w:r>
              <w:rPr>
                <w:sz w:val="24"/>
              </w:rPr>
              <w:t>Above</w:t>
            </w:r>
            <w:r>
              <w:rPr>
                <w:spacing w:val="47"/>
                <w:sz w:val="24"/>
              </w:rPr>
              <w:t> </w:t>
            </w:r>
            <w:r>
              <w:rPr>
                <w:sz w:val="24"/>
              </w:rPr>
              <w:t>2000</w:t>
            </w:r>
            <w:r>
              <w:rPr>
                <w:spacing w:val="47"/>
                <w:sz w:val="24"/>
              </w:rPr>
              <w:t> </w:t>
            </w:r>
            <w:r>
              <w:rPr>
                <w:sz w:val="24"/>
              </w:rPr>
              <w:t>sq.</w:t>
            </w:r>
            <w:r>
              <w:rPr>
                <w:spacing w:val="47"/>
                <w:sz w:val="24"/>
              </w:rPr>
              <w:t> </w:t>
            </w:r>
            <w:r>
              <w:rPr>
                <w:spacing w:val="-10"/>
                <w:sz w:val="24"/>
              </w:rPr>
              <w:t>m</w:t>
            </w:r>
          </w:p>
        </w:tc>
        <w:tc>
          <w:tcPr>
            <w:tcW w:w="4141" w:type="dxa"/>
          </w:tcPr>
          <w:p>
            <w:pPr>
              <w:pStyle w:val="TableParagraph"/>
              <w:spacing w:before="37"/>
              <w:ind w:left="1188"/>
              <w:rPr>
                <w:sz w:val="24"/>
              </w:rPr>
            </w:pPr>
            <w:r>
              <w:rPr>
                <w:spacing w:val="-4"/>
                <w:sz w:val="24"/>
              </w:rPr>
              <w:t>4.00</w:t>
            </w:r>
          </w:p>
        </w:tc>
      </w:tr>
    </w:tbl>
    <w:p>
      <w:pPr>
        <w:pStyle w:val="BodyText"/>
        <w:spacing w:before="118"/>
        <w:jc w:val="left"/>
      </w:pPr>
    </w:p>
    <w:p>
      <w:pPr>
        <w:pStyle w:val="ListParagraph"/>
        <w:numPr>
          <w:ilvl w:val="3"/>
          <w:numId w:val="206"/>
        </w:numPr>
        <w:tabs>
          <w:tab w:pos="2649" w:val="left" w:leader="none"/>
        </w:tabs>
        <w:spacing w:line="240" w:lineRule="auto" w:before="0" w:after="0"/>
        <w:ind w:left="2062" w:right="766" w:firstLine="0"/>
        <w:jc w:val="both"/>
        <w:rPr>
          <w:sz w:val="24"/>
        </w:rPr>
      </w:pPr>
      <w:r>
        <w:rPr>
          <w:sz w:val="24"/>
        </w:rPr>
        <w:t>Public Parking shall be limited to G + 4 and three basements.IX. The maximum cap on BUA per parking shall be 50 sq. m for</w:t>
      </w:r>
      <w:r>
        <w:rPr>
          <w:spacing w:val="-1"/>
          <w:sz w:val="24"/>
        </w:rPr>
        <w:t> </w:t>
      </w:r>
      <w:r>
        <w:rPr>
          <w:sz w:val="24"/>
        </w:rPr>
        <w:t>LMVs, 65 sq. m for LCVs and 120 sq. m for HMVs/Buses. Incentive FSI shall be calculated as per BUA of the PPL, based on these norms or the actual BUA of the PPL, whichever is less.</w:t>
      </w:r>
    </w:p>
    <w:p>
      <w:pPr>
        <w:pStyle w:val="BodyText"/>
        <w:spacing w:before="120"/>
        <w:ind w:left="2062" w:right="767"/>
      </w:pPr>
      <w:r>
        <w:rPr/>
        <w:t>X. The developer of the PPL shall pay</w:t>
      </w:r>
      <w:r>
        <w:rPr>
          <w:spacing w:val="-1"/>
        </w:rPr>
        <w:t> </w:t>
      </w:r>
      <w:r>
        <w:rPr/>
        <w:t>‘premium’, worked out</w:t>
      </w:r>
      <w:r>
        <w:rPr>
          <w:spacing w:val="-1"/>
        </w:rPr>
        <w:t> </w:t>
      </w:r>
      <w:r>
        <w:rPr/>
        <w:t>as per the following formula:</w:t>
      </w:r>
    </w:p>
    <w:p>
      <w:pPr>
        <w:pStyle w:val="BodyText"/>
        <w:spacing w:before="121"/>
        <w:ind w:left="2062" w:right="767"/>
      </w:pPr>
      <w:r>
        <w:rPr/>
        <w:t>Premium = 60% of [Value of the additional BUA corresponding to the incentive</w:t>
      </w:r>
      <w:r>
        <w:rPr>
          <w:spacing w:val="-1"/>
        </w:rPr>
        <w:t> </w:t>
      </w:r>
      <w:r>
        <w:rPr/>
        <w:t>FSI admissible</w:t>
      </w:r>
      <w:r>
        <w:rPr>
          <w:spacing w:val="-1"/>
        </w:rPr>
        <w:t> </w:t>
      </w:r>
      <w:r>
        <w:rPr/>
        <w:t>under</w:t>
      </w:r>
      <w:r>
        <w:rPr>
          <w:spacing w:val="-1"/>
        </w:rPr>
        <w:t> </w:t>
      </w:r>
      <w:r>
        <w:rPr/>
        <w:t>this</w:t>
      </w:r>
      <w:r>
        <w:rPr>
          <w:spacing w:val="-1"/>
        </w:rPr>
        <w:t> </w:t>
      </w:r>
      <w:r>
        <w:rPr/>
        <w:t>Regulation,</w:t>
      </w:r>
      <w:r>
        <w:rPr>
          <w:spacing w:val="-1"/>
        </w:rPr>
        <w:t> </w:t>
      </w:r>
      <w:r>
        <w:rPr/>
        <w:t>as</w:t>
      </w:r>
      <w:r>
        <w:rPr>
          <w:spacing w:val="-1"/>
        </w:rPr>
        <w:t> </w:t>
      </w:r>
      <w:r>
        <w:rPr/>
        <w:t>per</w:t>
      </w:r>
      <w:r>
        <w:rPr>
          <w:spacing w:val="-1"/>
        </w:rPr>
        <w:t> </w:t>
      </w:r>
      <w:r>
        <w:rPr/>
        <w:t>A.S.R. –</w:t>
      </w:r>
      <w:r>
        <w:rPr>
          <w:spacing w:val="-1"/>
        </w:rPr>
        <w:t> </w:t>
      </w:r>
      <w:r>
        <w:rPr/>
        <w:t>(Cost</w:t>
      </w:r>
      <w:r>
        <w:rPr>
          <w:spacing w:val="-1"/>
        </w:rPr>
        <w:t> </w:t>
      </w:r>
      <w:r>
        <w:rPr/>
        <w:t>of construction of PPL + cost of any extra amenities/facilities provided + cost of construction of BUA corresponding to the incentive F.S.I. admissible under this Regulation)]</w:t>
      </w:r>
    </w:p>
    <w:p>
      <w:pPr>
        <w:pStyle w:val="BodyText"/>
        <w:spacing w:before="241"/>
        <w:ind w:left="2062" w:right="767"/>
      </w:pPr>
      <w:r>
        <w:rPr/>
        <w:t>For the purpose of calculating premium as above, the cost of construction of PPL including amenities/facilities and the cost of construction of BUA corresponding to the Incentive FSI admissible under</w:t>
      </w:r>
      <w:r>
        <w:rPr>
          <w:spacing w:val="-8"/>
        </w:rPr>
        <w:t> </w:t>
      </w:r>
      <w:r>
        <w:rPr/>
        <w:t>this</w:t>
      </w:r>
      <w:r>
        <w:rPr>
          <w:spacing w:val="-8"/>
        </w:rPr>
        <w:t> </w:t>
      </w:r>
      <w:r>
        <w:rPr/>
        <w:t>Regulation</w:t>
      </w:r>
      <w:r>
        <w:rPr>
          <w:spacing w:val="-7"/>
        </w:rPr>
        <w:t> </w:t>
      </w:r>
      <w:r>
        <w:rPr/>
        <w:t>shall</w:t>
      </w:r>
      <w:r>
        <w:rPr>
          <w:spacing w:val="-8"/>
        </w:rPr>
        <w:t> </w:t>
      </w:r>
      <w:r>
        <w:rPr/>
        <w:t>be</w:t>
      </w:r>
      <w:r>
        <w:rPr>
          <w:spacing w:val="-8"/>
        </w:rPr>
        <w:t> </w:t>
      </w:r>
      <w:r>
        <w:rPr/>
        <w:t>75%</w:t>
      </w:r>
      <w:r>
        <w:rPr>
          <w:spacing w:val="-8"/>
        </w:rPr>
        <w:t> </w:t>
      </w:r>
      <w:r>
        <w:rPr/>
        <w:t>and</w:t>
      </w:r>
      <w:r>
        <w:rPr>
          <w:spacing w:val="-11"/>
        </w:rPr>
        <w:t> </w:t>
      </w:r>
      <w:r>
        <w:rPr/>
        <w:t>125%</w:t>
      </w:r>
      <w:r>
        <w:rPr>
          <w:spacing w:val="-8"/>
        </w:rPr>
        <w:t> </w:t>
      </w:r>
      <w:r>
        <w:rPr/>
        <w:t>respectively</w:t>
      </w:r>
      <w:r>
        <w:rPr>
          <w:spacing w:val="-8"/>
        </w:rPr>
        <w:t> </w:t>
      </w:r>
      <w:r>
        <w:rPr/>
        <w:t>of</w:t>
      </w:r>
      <w:r>
        <w:rPr>
          <w:spacing w:val="-8"/>
        </w:rPr>
        <w:t> </w:t>
      </w:r>
      <w:r>
        <w:rPr/>
        <w:t>the</w:t>
      </w:r>
      <w:r>
        <w:rPr>
          <w:spacing w:val="-8"/>
        </w:rPr>
        <w:t> </w:t>
      </w:r>
      <w:r>
        <w:rPr/>
        <w:t>rate</w:t>
      </w:r>
      <w:r>
        <w:rPr>
          <w:spacing w:val="-8"/>
        </w:rPr>
        <w:t> </w:t>
      </w:r>
      <w:r>
        <w:rPr/>
        <w:t>of RCC construction as per ASR.</w:t>
      </w:r>
    </w:p>
    <w:p>
      <w:pPr>
        <w:pStyle w:val="BodyText"/>
        <w:spacing w:before="240"/>
        <w:ind w:left="2062" w:right="769"/>
      </w:pPr>
      <w:r>
        <w:rPr/>
        <w:t>(XI)</w:t>
      </w:r>
      <w:r>
        <w:rPr>
          <w:spacing w:val="-5"/>
        </w:rPr>
        <w:t> </w:t>
      </w:r>
      <w:r>
        <w:rPr/>
        <w:t>The</w:t>
      </w:r>
      <w:r>
        <w:rPr>
          <w:spacing w:val="-5"/>
        </w:rPr>
        <w:t> </w:t>
      </w:r>
      <w:r>
        <w:rPr/>
        <w:t>Premium</w:t>
      </w:r>
      <w:r>
        <w:rPr>
          <w:spacing w:val="-5"/>
        </w:rPr>
        <w:t> </w:t>
      </w:r>
      <w:r>
        <w:rPr/>
        <w:t>shall</w:t>
      </w:r>
      <w:r>
        <w:rPr>
          <w:spacing w:val="-5"/>
        </w:rPr>
        <w:t> </w:t>
      </w:r>
      <w:r>
        <w:rPr/>
        <w:t>be</w:t>
      </w:r>
      <w:r>
        <w:rPr>
          <w:spacing w:val="-5"/>
        </w:rPr>
        <w:t> </w:t>
      </w:r>
      <w:r>
        <w:rPr/>
        <w:t>paid</w:t>
      </w:r>
      <w:r>
        <w:rPr>
          <w:spacing w:val="-5"/>
        </w:rPr>
        <w:t> </w:t>
      </w:r>
      <w:r>
        <w:rPr/>
        <w:t>in</w:t>
      </w:r>
      <w:r>
        <w:rPr>
          <w:spacing w:val="-5"/>
        </w:rPr>
        <w:t> </w:t>
      </w:r>
      <w:r>
        <w:rPr/>
        <w:t>two</w:t>
      </w:r>
      <w:r>
        <w:rPr>
          <w:spacing w:val="-5"/>
        </w:rPr>
        <w:t> </w:t>
      </w:r>
      <w:r>
        <w:rPr/>
        <w:t>stages</w:t>
      </w:r>
      <w:r>
        <w:rPr>
          <w:spacing w:val="-3"/>
        </w:rPr>
        <w:t> </w:t>
      </w:r>
      <w:r>
        <w:rPr/>
        <w:t>–</w:t>
      </w:r>
      <w:r>
        <w:rPr>
          <w:spacing w:val="-5"/>
        </w:rPr>
        <w:t> </w:t>
      </w:r>
      <w:r>
        <w:rPr/>
        <w:t>50%</w:t>
      </w:r>
      <w:r>
        <w:rPr>
          <w:spacing w:val="-5"/>
        </w:rPr>
        <w:t> </w:t>
      </w:r>
      <w:r>
        <w:rPr/>
        <w:t>before</w:t>
      </w:r>
      <w:r>
        <w:rPr>
          <w:spacing w:val="-5"/>
        </w:rPr>
        <w:t> </w:t>
      </w:r>
      <w:r>
        <w:rPr/>
        <w:t>the</w:t>
      </w:r>
      <w:r>
        <w:rPr>
          <w:spacing w:val="-3"/>
        </w:rPr>
        <w:t> </w:t>
      </w:r>
      <w:r>
        <w:rPr/>
        <w:t>issuance of I.O.D. for the PPL and 50% before the issuance of C.C. for the incentive FSI admissible under this Regulation.</w:t>
      </w:r>
    </w:p>
    <w:p>
      <w:pPr>
        <w:pStyle w:val="BodyText"/>
        <w:spacing w:before="240"/>
        <w:ind w:left="2062" w:right="766"/>
      </w:pPr>
      <w:r>
        <w:rPr/>
        <w:t>Upon Payment of 100% premium as foresaid, C.C. shall be issued in respect of 50% of incentive FSI. In no case, shall the remaining 50% Incentive</w:t>
      </w:r>
      <w:r>
        <w:rPr>
          <w:spacing w:val="-9"/>
        </w:rPr>
        <w:t> </w:t>
      </w:r>
      <w:r>
        <w:rPr/>
        <w:t>FSI</w:t>
      </w:r>
      <w:r>
        <w:rPr>
          <w:spacing w:val="-9"/>
        </w:rPr>
        <w:t> </w:t>
      </w:r>
      <w:r>
        <w:rPr/>
        <w:t>be</w:t>
      </w:r>
      <w:r>
        <w:rPr>
          <w:spacing w:val="-9"/>
        </w:rPr>
        <w:t> </w:t>
      </w:r>
      <w:r>
        <w:rPr/>
        <w:t>released</w:t>
      </w:r>
      <w:r>
        <w:rPr>
          <w:spacing w:val="-9"/>
        </w:rPr>
        <w:t> </w:t>
      </w:r>
      <w:r>
        <w:rPr/>
        <w:t>without</w:t>
      </w:r>
      <w:r>
        <w:rPr>
          <w:spacing w:val="-9"/>
        </w:rPr>
        <w:t> </w:t>
      </w:r>
      <w:r>
        <w:rPr/>
        <w:t>the</w:t>
      </w:r>
      <w:r>
        <w:rPr>
          <w:spacing w:val="-9"/>
        </w:rPr>
        <w:t> </w:t>
      </w:r>
      <w:r>
        <w:rPr/>
        <w:t>handing</w:t>
      </w:r>
      <w:r>
        <w:rPr>
          <w:spacing w:val="-9"/>
        </w:rPr>
        <w:t> </w:t>
      </w:r>
      <w:r>
        <w:rPr/>
        <w:t>over</w:t>
      </w:r>
      <w:r>
        <w:rPr>
          <w:spacing w:val="-9"/>
        </w:rPr>
        <w:t> </w:t>
      </w:r>
      <w:r>
        <w:rPr/>
        <w:t>of</w:t>
      </w:r>
      <w:r>
        <w:rPr>
          <w:spacing w:val="-9"/>
        </w:rPr>
        <w:t> </w:t>
      </w:r>
      <w:r>
        <w:rPr/>
        <w:t>the</w:t>
      </w:r>
      <w:r>
        <w:rPr>
          <w:spacing w:val="-9"/>
        </w:rPr>
        <w:t> </w:t>
      </w:r>
      <w:r>
        <w:rPr/>
        <w:t>PPL,</w:t>
      </w:r>
      <w:r>
        <w:rPr>
          <w:spacing w:val="-9"/>
        </w:rPr>
        <w:t> </w:t>
      </w:r>
      <w:r>
        <w:rPr/>
        <w:t>complete in all respects, to MCGM.</w:t>
      </w:r>
    </w:p>
    <w:p>
      <w:pPr>
        <w:pStyle w:val="BodyText"/>
        <w:spacing w:after="0"/>
        <w:sectPr>
          <w:pgSz w:w="11910" w:h="16840"/>
          <w:pgMar w:header="1065" w:footer="1194" w:top="1500" w:bottom="1380" w:left="360" w:right="360"/>
        </w:sectPr>
      </w:pPr>
    </w:p>
    <w:p>
      <w:pPr>
        <w:pStyle w:val="BodyText"/>
        <w:spacing w:before="249"/>
        <w:ind w:left="2062" w:right="768"/>
      </w:pPr>
      <w:r>
        <w:rPr/>
        <w:t>The year in which 50% premium is paid before the issuance of I.O.D. for</w:t>
      </w:r>
      <w:r>
        <w:rPr>
          <w:spacing w:val="-3"/>
        </w:rPr>
        <w:t> </w:t>
      </w:r>
      <w:r>
        <w:rPr/>
        <w:t>the</w:t>
      </w:r>
      <w:r>
        <w:rPr>
          <w:spacing w:val="-3"/>
        </w:rPr>
        <w:t> </w:t>
      </w:r>
      <w:r>
        <w:rPr/>
        <w:t>PPL</w:t>
      </w:r>
      <w:r>
        <w:rPr>
          <w:spacing w:val="-3"/>
        </w:rPr>
        <w:t> </w:t>
      </w:r>
      <w:r>
        <w:rPr/>
        <w:t>shall</w:t>
      </w:r>
      <w:r>
        <w:rPr>
          <w:spacing w:val="-3"/>
        </w:rPr>
        <w:t> </w:t>
      </w:r>
      <w:r>
        <w:rPr/>
        <w:t>be</w:t>
      </w:r>
      <w:r>
        <w:rPr>
          <w:spacing w:val="-3"/>
        </w:rPr>
        <w:t> </w:t>
      </w:r>
      <w:r>
        <w:rPr/>
        <w:t>taken</w:t>
      </w:r>
      <w:r>
        <w:rPr>
          <w:spacing w:val="-3"/>
        </w:rPr>
        <w:t> </w:t>
      </w:r>
      <w:r>
        <w:rPr/>
        <w:t>as</w:t>
      </w:r>
      <w:r>
        <w:rPr>
          <w:spacing w:val="-3"/>
        </w:rPr>
        <w:t> </w:t>
      </w:r>
      <w:r>
        <w:rPr/>
        <w:t>the</w:t>
      </w:r>
      <w:r>
        <w:rPr>
          <w:spacing w:val="-3"/>
        </w:rPr>
        <w:t> </w:t>
      </w:r>
      <w:r>
        <w:rPr/>
        <w:t>year</w:t>
      </w:r>
      <w:r>
        <w:rPr>
          <w:spacing w:val="-3"/>
        </w:rPr>
        <w:t> </w:t>
      </w:r>
      <w:r>
        <w:rPr/>
        <w:t>for</w:t>
      </w:r>
      <w:r>
        <w:rPr>
          <w:spacing w:val="-3"/>
        </w:rPr>
        <w:t> </w:t>
      </w:r>
      <w:r>
        <w:rPr/>
        <w:t>determination</w:t>
      </w:r>
      <w:r>
        <w:rPr>
          <w:spacing w:val="-3"/>
        </w:rPr>
        <w:t> </w:t>
      </w:r>
      <w:r>
        <w:rPr/>
        <w:t>of</w:t>
      </w:r>
      <w:r>
        <w:rPr>
          <w:spacing w:val="-3"/>
        </w:rPr>
        <w:t> </w:t>
      </w:r>
      <w:r>
        <w:rPr/>
        <w:t>construction cost as well as ASR for calculation of the premium. Out of the total premium</w:t>
      </w:r>
      <w:r>
        <w:rPr>
          <w:spacing w:val="-15"/>
        </w:rPr>
        <w:t> </w:t>
      </w:r>
      <w:r>
        <w:rPr/>
        <w:t>payable,</w:t>
      </w:r>
      <w:r>
        <w:rPr>
          <w:spacing w:val="-15"/>
        </w:rPr>
        <w:t> </w:t>
      </w:r>
      <w:r>
        <w:rPr/>
        <w:t>50%</w:t>
      </w:r>
      <w:r>
        <w:rPr>
          <w:spacing w:val="-15"/>
        </w:rPr>
        <w:t> </w:t>
      </w:r>
      <w:r>
        <w:rPr/>
        <w:t>shall</w:t>
      </w:r>
      <w:r>
        <w:rPr>
          <w:spacing w:val="-16"/>
        </w:rPr>
        <w:t> </w:t>
      </w:r>
      <w:r>
        <w:rPr/>
        <w:t>be</w:t>
      </w:r>
      <w:r>
        <w:rPr>
          <w:spacing w:val="-15"/>
        </w:rPr>
        <w:t> </w:t>
      </w:r>
      <w:r>
        <w:rPr/>
        <w:t>paid</w:t>
      </w:r>
      <w:r>
        <w:rPr>
          <w:spacing w:val="-15"/>
        </w:rPr>
        <w:t> </w:t>
      </w:r>
      <w:r>
        <w:rPr/>
        <w:t>to</w:t>
      </w:r>
      <w:r>
        <w:rPr>
          <w:spacing w:val="-15"/>
        </w:rPr>
        <w:t> </w:t>
      </w:r>
      <w:r>
        <w:rPr/>
        <w:t>the</w:t>
      </w:r>
      <w:r>
        <w:rPr>
          <w:spacing w:val="-15"/>
        </w:rPr>
        <w:t> </w:t>
      </w:r>
      <w:r>
        <w:rPr/>
        <w:t>GoM</w:t>
      </w:r>
      <w:r>
        <w:rPr>
          <w:spacing w:val="-15"/>
        </w:rPr>
        <w:t> </w:t>
      </w:r>
      <w:r>
        <w:rPr/>
        <w:t>and</w:t>
      </w:r>
      <w:r>
        <w:rPr>
          <w:spacing w:val="-15"/>
        </w:rPr>
        <w:t> </w:t>
      </w:r>
      <w:r>
        <w:rPr/>
        <w:t>the</w:t>
      </w:r>
      <w:r>
        <w:rPr>
          <w:spacing w:val="-15"/>
        </w:rPr>
        <w:t> </w:t>
      </w:r>
      <w:r>
        <w:rPr/>
        <w:t>remaining</w:t>
      </w:r>
      <w:r>
        <w:rPr>
          <w:spacing w:val="-15"/>
        </w:rPr>
        <w:t> </w:t>
      </w:r>
      <w:r>
        <w:rPr/>
        <w:t>50% to MCGM.</w:t>
      </w:r>
    </w:p>
    <w:p>
      <w:pPr>
        <w:pStyle w:val="BodyText"/>
        <w:spacing w:before="240"/>
        <w:ind w:left="2062" w:right="768"/>
      </w:pPr>
      <w:r>
        <w:rPr/>
        <w:t>Provision</w:t>
      </w:r>
      <w:r>
        <w:rPr>
          <w:spacing w:val="-11"/>
        </w:rPr>
        <w:t> </w:t>
      </w:r>
      <w:r>
        <w:rPr/>
        <w:t>of</w:t>
      </w:r>
      <w:r>
        <w:rPr>
          <w:spacing w:val="-11"/>
        </w:rPr>
        <w:t> </w:t>
      </w:r>
      <w:r>
        <w:rPr/>
        <w:t>this</w:t>
      </w:r>
      <w:r>
        <w:rPr>
          <w:spacing w:val="-11"/>
        </w:rPr>
        <w:t> </w:t>
      </w:r>
      <w:r>
        <w:rPr/>
        <w:t>Regulation</w:t>
      </w:r>
      <w:r>
        <w:rPr>
          <w:spacing w:val="-11"/>
        </w:rPr>
        <w:t> </w:t>
      </w:r>
      <w:r>
        <w:rPr/>
        <w:t>may</w:t>
      </w:r>
      <w:r>
        <w:rPr>
          <w:spacing w:val="-11"/>
        </w:rPr>
        <w:t> </w:t>
      </w:r>
      <w:r>
        <w:rPr/>
        <w:t>also</w:t>
      </w:r>
      <w:r>
        <w:rPr>
          <w:spacing w:val="-11"/>
        </w:rPr>
        <w:t> </w:t>
      </w:r>
      <w:r>
        <w:rPr/>
        <w:t>be</w:t>
      </w:r>
      <w:r>
        <w:rPr>
          <w:spacing w:val="-13"/>
        </w:rPr>
        <w:t> </w:t>
      </w:r>
      <w:r>
        <w:rPr/>
        <w:t>applicable</w:t>
      </w:r>
      <w:r>
        <w:rPr>
          <w:spacing w:val="-11"/>
        </w:rPr>
        <w:t> </w:t>
      </w:r>
      <w:r>
        <w:rPr/>
        <w:t>to</w:t>
      </w:r>
      <w:r>
        <w:rPr>
          <w:spacing w:val="-11"/>
        </w:rPr>
        <w:t> </w:t>
      </w:r>
      <w:r>
        <w:rPr/>
        <w:t>lease</w:t>
      </w:r>
      <w:r>
        <w:rPr>
          <w:spacing w:val="-11"/>
        </w:rPr>
        <w:t> </w:t>
      </w:r>
      <w:r>
        <w:rPr/>
        <w:t>hold</w:t>
      </w:r>
      <w:r>
        <w:rPr>
          <w:spacing w:val="-11"/>
        </w:rPr>
        <w:t> </w:t>
      </w:r>
      <w:r>
        <w:rPr/>
        <w:t>plots</w:t>
      </w:r>
      <w:r>
        <w:rPr>
          <w:spacing w:val="-11"/>
        </w:rPr>
        <w:t> </w:t>
      </w:r>
      <w:r>
        <w:rPr/>
        <w:t>of Govt</w:t>
      </w:r>
      <w:r>
        <w:rPr>
          <w:spacing w:val="-12"/>
        </w:rPr>
        <w:t> </w:t>
      </w:r>
      <w:r>
        <w:rPr/>
        <w:t>and</w:t>
      </w:r>
      <w:r>
        <w:rPr>
          <w:spacing w:val="-12"/>
        </w:rPr>
        <w:t> </w:t>
      </w:r>
      <w:r>
        <w:rPr/>
        <w:t>MCGM</w:t>
      </w:r>
      <w:r>
        <w:rPr>
          <w:spacing w:val="-11"/>
        </w:rPr>
        <w:t> </w:t>
      </w:r>
      <w:r>
        <w:rPr/>
        <w:t>with</w:t>
      </w:r>
      <w:r>
        <w:rPr>
          <w:spacing w:val="-12"/>
        </w:rPr>
        <w:t> </w:t>
      </w:r>
      <w:r>
        <w:rPr/>
        <w:t>prior</w:t>
      </w:r>
      <w:r>
        <w:rPr>
          <w:spacing w:val="-11"/>
        </w:rPr>
        <w:t> </w:t>
      </w:r>
      <w:r>
        <w:rPr/>
        <w:t>approval</w:t>
      </w:r>
      <w:r>
        <w:rPr>
          <w:spacing w:val="-12"/>
        </w:rPr>
        <w:t> </w:t>
      </w:r>
      <w:r>
        <w:rPr/>
        <w:t>from</w:t>
      </w:r>
      <w:r>
        <w:rPr>
          <w:spacing w:val="-11"/>
        </w:rPr>
        <w:t> </w:t>
      </w:r>
      <w:r>
        <w:rPr/>
        <w:t>Gov.</w:t>
      </w:r>
      <w:r>
        <w:rPr>
          <w:spacing w:val="-12"/>
        </w:rPr>
        <w:t> </w:t>
      </w:r>
      <w:r>
        <w:rPr/>
        <w:t>/Municipal</w:t>
      </w:r>
      <w:r>
        <w:rPr>
          <w:spacing w:val="-11"/>
        </w:rPr>
        <w:t> </w:t>
      </w:r>
      <w:r>
        <w:rPr>
          <w:spacing w:val="-2"/>
        </w:rPr>
        <w:t>Corporation.</w:t>
      </w:r>
    </w:p>
    <w:p>
      <w:pPr>
        <w:pStyle w:val="BodyText"/>
        <w:jc w:val="left"/>
      </w:pPr>
    </w:p>
    <w:p>
      <w:pPr>
        <w:pStyle w:val="Heading6"/>
        <w:ind w:right="768"/>
        <w:jc w:val="both"/>
      </w:pPr>
      <w:r>
        <w:rPr/>
        <w:t>33(19) Additional FSI for Commercial user development in Central Business District (CBD) or plot situated in Residential or Commercial Zone</w:t>
      </w:r>
      <w:r>
        <w:rPr>
          <w:spacing w:val="-4"/>
        </w:rPr>
        <w:t> </w:t>
      </w:r>
      <w:r>
        <w:rPr/>
        <w:t>or</w:t>
      </w:r>
      <w:r>
        <w:rPr>
          <w:spacing w:val="-3"/>
        </w:rPr>
        <w:t> </w:t>
      </w:r>
      <w:r>
        <w:rPr/>
        <w:t>Independent</w:t>
      </w:r>
      <w:r>
        <w:rPr>
          <w:spacing w:val="-3"/>
        </w:rPr>
        <w:t> </w:t>
      </w:r>
      <w:r>
        <w:rPr/>
        <w:t>plot</w:t>
      </w:r>
      <w:r>
        <w:rPr>
          <w:spacing w:val="40"/>
        </w:rPr>
        <w:t> </w:t>
      </w:r>
      <w:r>
        <w:rPr/>
        <w:t>converted</w:t>
      </w:r>
      <w:r>
        <w:rPr>
          <w:spacing w:val="-1"/>
        </w:rPr>
        <w:t> </w:t>
      </w:r>
      <w:r>
        <w:rPr/>
        <w:t>in</w:t>
      </w:r>
      <w:r>
        <w:rPr>
          <w:spacing w:val="-3"/>
        </w:rPr>
        <w:t> </w:t>
      </w:r>
      <w:r>
        <w:rPr/>
        <w:t>Residential</w:t>
      </w:r>
      <w:r>
        <w:rPr>
          <w:spacing w:val="-3"/>
        </w:rPr>
        <w:t> </w:t>
      </w:r>
      <w:r>
        <w:rPr/>
        <w:t>or</w:t>
      </w:r>
      <w:r>
        <w:rPr>
          <w:spacing w:val="-3"/>
        </w:rPr>
        <w:t> </w:t>
      </w:r>
      <w:r>
        <w:rPr/>
        <w:t>Commercial</w:t>
      </w:r>
      <w:r>
        <w:rPr>
          <w:spacing w:val="-3"/>
        </w:rPr>
        <w:t> </w:t>
      </w:r>
      <w:r>
        <w:rPr/>
        <w:t>Zone from Industrial zone:</w:t>
      </w:r>
    </w:p>
    <w:p>
      <w:pPr>
        <w:pStyle w:val="BodyText"/>
        <w:spacing w:before="2"/>
        <w:ind w:left="2062" w:right="767"/>
      </w:pPr>
      <w:r>
        <w:rPr/>
        <w:t>The</w:t>
      </w:r>
      <w:r>
        <w:rPr>
          <w:spacing w:val="-13"/>
        </w:rPr>
        <w:t> </w:t>
      </w:r>
      <w:r>
        <w:rPr/>
        <w:t>Commissioner</w:t>
      </w:r>
      <w:r>
        <w:rPr>
          <w:spacing w:val="-12"/>
        </w:rPr>
        <w:t> </w:t>
      </w:r>
      <w:r>
        <w:rPr/>
        <w:t>may</w:t>
      </w:r>
      <w:r>
        <w:rPr>
          <w:spacing w:val="-13"/>
        </w:rPr>
        <w:t> </w:t>
      </w:r>
      <w:r>
        <w:rPr/>
        <w:t>allow</w:t>
      </w:r>
      <w:r>
        <w:rPr>
          <w:spacing w:val="-13"/>
        </w:rPr>
        <w:t> </w:t>
      </w:r>
      <w:r>
        <w:rPr/>
        <w:t>FSI</w:t>
      </w:r>
      <w:r>
        <w:rPr>
          <w:spacing w:val="-13"/>
        </w:rPr>
        <w:t> </w:t>
      </w:r>
      <w:r>
        <w:rPr/>
        <w:t>up</w:t>
      </w:r>
      <w:r>
        <w:rPr>
          <w:spacing w:val="-13"/>
        </w:rPr>
        <w:t> </w:t>
      </w:r>
      <w:r>
        <w:rPr/>
        <w:t>to</w:t>
      </w:r>
      <w:r>
        <w:rPr>
          <w:spacing w:val="-15"/>
        </w:rPr>
        <w:t> </w:t>
      </w:r>
      <w:r>
        <w:rPr/>
        <w:t>5.0</w:t>
      </w:r>
      <w:r>
        <w:rPr>
          <w:spacing w:val="-13"/>
        </w:rPr>
        <w:t> </w:t>
      </w:r>
      <w:r>
        <w:rPr/>
        <w:t>including</w:t>
      </w:r>
      <w:r>
        <w:rPr>
          <w:spacing w:val="-13"/>
        </w:rPr>
        <w:t> </w:t>
      </w:r>
      <w:r>
        <w:rPr/>
        <w:t>permissible</w:t>
      </w:r>
      <w:r>
        <w:rPr>
          <w:spacing w:val="-13"/>
        </w:rPr>
        <w:t> </w:t>
      </w:r>
      <w:r>
        <w:rPr/>
        <w:t>FSI</w:t>
      </w:r>
      <w:r>
        <w:rPr>
          <w:spacing w:val="-12"/>
        </w:rPr>
        <w:t> </w:t>
      </w:r>
      <w:r>
        <w:rPr/>
        <w:t>as per provision of Regulation 30(A)1 Table No 12 for commercial user/development on plots in marked as CBD or plot situated</w:t>
      </w:r>
      <w:r>
        <w:rPr>
          <w:spacing w:val="40"/>
        </w:rPr>
        <w:t> </w:t>
      </w:r>
      <w:r>
        <w:rPr/>
        <w:t>in Residential</w:t>
      </w:r>
      <w:r>
        <w:rPr>
          <w:spacing w:val="-1"/>
        </w:rPr>
        <w:t> </w:t>
      </w:r>
      <w:r>
        <w:rPr/>
        <w:t>or</w:t>
      </w:r>
      <w:r>
        <w:rPr>
          <w:spacing w:val="-1"/>
        </w:rPr>
        <w:t> </w:t>
      </w:r>
      <w:r>
        <w:rPr/>
        <w:t>Commercial</w:t>
      </w:r>
      <w:r>
        <w:rPr>
          <w:spacing w:val="-1"/>
        </w:rPr>
        <w:t> </w:t>
      </w:r>
      <w:r>
        <w:rPr/>
        <w:t>zone</w:t>
      </w:r>
      <w:r>
        <w:rPr>
          <w:spacing w:val="-1"/>
        </w:rPr>
        <w:t> </w:t>
      </w:r>
      <w:r>
        <w:rPr/>
        <w:t>from</w:t>
      </w:r>
      <w:r>
        <w:rPr>
          <w:spacing w:val="-3"/>
        </w:rPr>
        <w:t> </w:t>
      </w:r>
      <w:r>
        <w:rPr/>
        <w:t>Industrial</w:t>
      </w:r>
      <w:r>
        <w:rPr>
          <w:spacing w:val="-1"/>
        </w:rPr>
        <w:t> </w:t>
      </w:r>
      <w:r>
        <w:rPr/>
        <w:t>zone</w:t>
      </w:r>
      <w:r>
        <w:rPr>
          <w:spacing w:val="40"/>
        </w:rPr>
        <w:t> </w:t>
      </w:r>
      <w:r>
        <w:rPr/>
        <w:t>after</w:t>
      </w:r>
      <w:r>
        <w:rPr>
          <w:spacing w:val="40"/>
        </w:rPr>
        <w:t> </w:t>
      </w:r>
      <w:r>
        <w:rPr/>
        <w:t>compliance of Regulation 14(B) of these Regulations subject to the condition that permissible FSI as per Table 12 will be utilized first and the additional FSI under this Regulation on payment of premium subject to following conditions: -</w:t>
      </w:r>
    </w:p>
    <w:p>
      <w:pPr>
        <w:pStyle w:val="ListParagraph"/>
        <w:numPr>
          <w:ilvl w:val="0"/>
          <w:numId w:val="207"/>
        </w:numPr>
        <w:tabs>
          <w:tab w:pos="2781" w:val="left" w:leader="none"/>
        </w:tabs>
        <w:spacing w:line="240" w:lineRule="auto" w:before="0" w:after="0"/>
        <w:ind w:left="2062" w:right="770" w:firstLine="0"/>
        <w:jc w:val="both"/>
        <w:rPr>
          <w:sz w:val="24"/>
        </w:rPr>
      </w:pPr>
      <w:r>
        <w:rPr>
          <w:sz w:val="24"/>
        </w:rPr>
        <w:t>Additional FSI shall be allowed</w:t>
      </w:r>
      <w:r>
        <w:rPr>
          <w:spacing w:val="40"/>
          <w:sz w:val="24"/>
        </w:rPr>
        <w:t> </w:t>
      </w:r>
      <w:r>
        <w:rPr>
          <w:sz w:val="24"/>
        </w:rPr>
        <w:t>for plots</w:t>
      </w:r>
      <w:r>
        <w:rPr>
          <w:spacing w:val="40"/>
          <w:sz w:val="24"/>
        </w:rPr>
        <w:t> </w:t>
      </w:r>
      <w:r>
        <w:rPr>
          <w:sz w:val="24"/>
        </w:rPr>
        <w:t>are not reserved/designated in the DP except affected by proposed DP roads/Sanctioned RL under MMC Act and parking reservation.</w:t>
      </w:r>
    </w:p>
    <w:p>
      <w:pPr>
        <w:pStyle w:val="ListParagraph"/>
        <w:numPr>
          <w:ilvl w:val="0"/>
          <w:numId w:val="207"/>
        </w:numPr>
        <w:tabs>
          <w:tab w:pos="2781" w:val="left" w:leader="none"/>
        </w:tabs>
        <w:spacing w:line="240" w:lineRule="auto" w:before="0" w:after="0"/>
        <w:ind w:left="2062" w:right="770" w:firstLine="0"/>
        <w:jc w:val="both"/>
        <w:rPr>
          <w:sz w:val="24"/>
        </w:rPr>
      </w:pPr>
      <w:r>
        <w:rPr>
          <w:sz w:val="24"/>
        </w:rPr>
        <w:t>The development of reserved/designated plots in CBD shall be governed by provisions of these Regulations.</w:t>
      </w:r>
    </w:p>
    <w:p>
      <w:pPr>
        <w:pStyle w:val="ListParagraph"/>
        <w:numPr>
          <w:ilvl w:val="0"/>
          <w:numId w:val="207"/>
        </w:numPr>
        <w:tabs>
          <w:tab w:pos="2781" w:val="left" w:leader="none"/>
        </w:tabs>
        <w:spacing w:line="240" w:lineRule="auto" w:before="0" w:after="0"/>
        <w:ind w:left="2062" w:right="766" w:firstLine="0"/>
        <w:jc w:val="both"/>
        <w:rPr>
          <w:sz w:val="24"/>
        </w:rPr>
      </w:pPr>
      <w:r>
        <w:rPr>
          <w:sz w:val="24"/>
        </w:rPr>
        <w:t>Development for residential purpose to the extent of </w:t>
      </w:r>
      <w:r>
        <w:rPr>
          <w:sz w:val="24"/>
        </w:rPr>
        <w:t>maximum 30% of the permissible FSI as per provisions of Regulation No.30 (A) 1, Table</w:t>
      </w:r>
      <w:r>
        <w:rPr>
          <w:spacing w:val="-1"/>
          <w:sz w:val="24"/>
        </w:rPr>
        <w:t> </w:t>
      </w:r>
      <w:r>
        <w:rPr>
          <w:sz w:val="24"/>
        </w:rPr>
        <w:t>No</w:t>
      </w:r>
      <w:r>
        <w:rPr>
          <w:spacing w:val="-1"/>
          <w:sz w:val="24"/>
        </w:rPr>
        <w:t> </w:t>
      </w:r>
      <w:r>
        <w:rPr>
          <w:sz w:val="24"/>
        </w:rPr>
        <w:t>12</w:t>
      </w:r>
      <w:r>
        <w:rPr>
          <w:spacing w:val="-1"/>
          <w:sz w:val="24"/>
        </w:rPr>
        <w:t> </w:t>
      </w:r>
      <w:r>
        <w:rPr>
          <w:sz w:val="24"/>
        </w:rPr>
        <w:t>may</w:t>
      </w:r>
      <w:r>
        <w:rPr>
          <w:spacing w:val="-1"/>
          <w:sz w:val="24"/>
        </w:rPr>
        <w:t> </w:t>
      </w:r>
      <w:r>
        <w:rPr>
          <w:sz w:val="24"/>
        </w:rPr>
        <w:t>be</w:t>
      </w:r>
      <w:r>
        <w:rPr>
          <w:spacing w:val="-1"/>
          <w:sz w:val="24"/>
        </w:rPr>
        <w:t> </w:t>
      </w:r>
      <w:r>
        <w:rPr>
          <w:sz w:val="24"/>
        </w:rPr>
        <w:t>allowed.</w:t>
      </w:r>
      <w:r>
        <w:rPr>
          <w:spacing w:val="-1"/>
          <w:sz w:val="24"/>
        </w:rPr>
        <w:t> </w:t>
      </w:r>
      <w:r>
        <w:rPr>
          <w:sz w:val="24"/>
        </w:rPr>
        <w:t>Additional</w:t>
      </w:r>
      <w:r>
        <w:rPr>
          <w:spacing w:val="-1"/>
          <w:sz w:val="24"/>
        </w:rPr>
        <w:t> </w:t>
      </w:r>
      <w:r>
        <w:rPr>
          <w:sz w:val="24"/>
        </w:rPr>
        <w:t>FSI as</w:t>
      </w:r>
      <w:r>
        <w:rPr>
          <w:spacing w:val="-1"/>
          <w:sz w:val="24"/>
        </w:rPr>
        <w:t> </w:t>
      </w:r>
      <w:r>
        <w:rPr>
          <w:sz w:val="24"/>
        </w:rPr>
        <w:t>per</w:t>
      </w:r>
      <w:r>
        <w:rPr>
          <w:spacing w:val="-1"/>
          <w:sz w:val="24"/>
        </w:rPr>
        <w:t> </w:t>
      </w:r>
      <w:r>
        <w:rPr>
          <w:sz w:val="24"/>
        </w:rPr>
        <w:t>this</w:t>
      </w:r>
      <w:r>
        <w:rPr>
          <w:spacing w:val="-4"/>
          <w:sz w:val="24"/>
        </w:rPr>
        <w:t> </w:t>
      </w:r>
      <w:r>
        <w:rPr>
          <w:sz w:val="24"/>
        </w:rPr>
        <w:t>regulation</w:t>
      </w:r>
      <w:r>
        <w:rPr>
          <w:spacing w:val="-1"/>
          <w:sz w:val="24"/>
        </w:rPr>
        <w:t> </w:t>
      </w:r>
      <w:r>
        <w:rPr>
          <w:sz w:val="24"/>
        </w:rPr>
        <w:t>shall not be permissible for residential user/development.</w:t>
      </w:r>
    </w:p>
    <w:p>
      <w:pPr>
        <w:pStyle w:val="ListParagraph"/>
        <w:numPr>
          <w:ilvl w:val="0"/>
          <w:numId w:val="207"/>
        </w:numPr>
        <w:tabs>
          <w:tab w:pos="2781" w:val="left" w:leader="none"/>
        </w:tabs>
        <w:spacing w:line="240" w:lineRule="auto" w:before="1" w:after="0"/>
        <w:ind w:left="2062" w:right="769" w:firstLine="0"/>
        <w:jc w:val="both"/>
        <w:rPr>
          <w:sz w:val="24"/>
        </w:rPr>
      </w:pPr>
      <w:r>
        <w:rPr>
          <w:sz w:val="24"/>
        </w:rPr>
        <w:t>Premium for granting such additional BUA beyond permissible FSI as per Table No 12 shall be charged at the rate of</w:t>
      </w:r>
      <w:r>
        <w:rPr>
          <w:spacing w:val="40"/>
          <w:sz w:val="24"/>
        </w:rPr>
        <w:t> </w:t>
      </w:r>
      <w:r>
        <w:rPr>
          <w:sz w:val="24"/>
        </w:rPr>
        <w:t>50% of ASR for open developed land of FSI 1 and shall be equally shared between the GoM. and MCGM.</w:t>
      </w:r>
    </w:p>
    <w:p>
      <w:pPr>
        <w:pStyle w:val="ListParagraph"/>
        <w:numPr>
          <w:ilvl w:val="0"/>
          <w:numId w:val="207"/>
        </w:numPr>
        <w:tabs>
          <w:tab w:pos="2781" w:val="left" w:leader="none"/>
        </w:tabs>
        <w:spacing w:line="280" w:lineRule="exact" w:before="0" w:after="0"/>
        <w:ind w:left="2781" w:right="0" w:hanging="719"/>
        <w:jc w:val="both"/>
        <w:rPr>
          <w:sz w:val="24"/>
        </w:rPr>
      </w:pPr>
      <w:r>
        <w:rPr>
          <w:sz w:val="24"/>
        </w:rPr>
        <w:t>Provision</w:t>
      </w:r>
      <w:r>
        <w:rPr>
          <w:spacing w:val="-1"/>
          <w:sz w:val="24"/>
        </w:rPr>
        <w:t> </w:t>
      </w:r>
      <w:r>
        <w:rPr>
          <w:sz w:val="24"/>
        </w:rPr>
        <w:t>of</w:t>
      </w:r>
      <w:r>
        <w:rPr>
          <w:spacing w:val="-1"/>
          <w:sz w:val="24"/>
        </w:rPr>
        <w:t> </w:t>
      </w:r>
      <w:r>
        <w:rPr>
          <w:sz w:val="24"/>
        </w:rPr>
        <w:t>IH shall</w:t>
      </w:r>
      <w:r>
        <w:rPr>
          <w:spacing w:val="-4"/>
          <w:sz w:val="24"/>
        </w:rPr>
        <w:t> </w:t>
      </w:r>
      <w:r>
        <w:rPr>
          <w:sz w:val="24"/>
        </w:rPr>
        <w:t>not be</w:t>
      </w:r>
      <w:r>
        <w:rPr>
          <w:spacing w:val="-1"/>
          <w:sz w:val="24"/>
        </w:rPr>
        <w:t> </w:t>
      </w:r>
      <w:r>
        <w:rPr>
          <w:sz w:val="24"/>
        </w:rPr>
        <w:t>applicable</w:t>
      </w:r>
      <w:r>
        <w:rPr>
          <w:spacing w:val="-1"/>
          <w:sz w:val="24"/>
        </w:rPr>
        <w:t> </w:t>
      </w:r>
      <w:r>
        <w:rPr>
          <w:sz w:val="24"/>
        </w:rPr>
        <w:t>for development</w:t>
      </w:r>
      <w:r>
        <w:rPr>
          <w:spacing w:val="-1"/>
          <w:sz w:val="24"/>
        </w:rPr>
        <w:t> </w:t>
      </w:r>
      <w:r>
        <w:rPr>
          <w:sz w:val="24"/>
        </w:rPr>
        <w:t>in </w:t>
      </w:r>
      <w:r>
        <w:rPr>
          <w:spacing w:val="-4"/>
          <w:sz w:val="24"/>
        </w:rPr>
        <w:t>CBD.</w:t>
      </w:r>
    </w:p>
    <w:p>
      <w:pPr>
        <w:pStyle w:val="BodyText"/>
        <w:spacing w:before="1"/>
        <w:jc w:val="left"/>
      </w:pPr>
    </w:p>
    <w:p>
      <w:pPr>
        <w:pStyle w:val="BodyText"/>
        <w:ind w:left="2062" w:right="766" w:firstLine="384"/>
      </w:pPr>
      <w:r>
        <w:rPr/>
        <w:t>Provided further that in case the entire commercial development is on a plot situated</w:t>
      </w:r>
      <w:r>
        <w:rPr>
          <w:spacing w:val="-1"/>
        </w:rPr>
        <w:t> </w:t>
      </w:r>
      <w:r>
        <w:rPr/>
        <w:t>in</w:t>
      </w:r>
      <w:r>
        <w:rPr>
          <w:spacing w:val="-1"/>
        </w:rPr>
        <w:t> </w:t>
      </w:r>
      <w:r>
        <w:rPr/>
        <w:t>Commercial Zone/Independent plot in</w:t>
      </w:r>
      <w:r>
        <w:rPr>
          <w:spacing w:val="-1"/>
        </w:rPr>
        <w:t> </w:t>
      </w:r>
      <w:r>
        <w:rPr/>
        <w:t>Residential Zone, and satisfies other related provisions of these Regulations, the Commissioner may allow FSI as detailed below</w:t>
      </w:r>
      <w:r>
        <w:rPr>
          <w:spacing w:val="40"/>
        </w:rPr>
        <w:t> </w:t>
      </w:r>
      <w:r>
        <w:rPr/>
        <w:t>including </w:t>
      </w:r>
      <w:r>
        <w:rPr/>
        <w:t>permissible FSI as per provision of Regulation 30(A)1 Table No 12 for commercial uses/development on area of plots excluding area covered under Reservation/Designation in the DP except affected by proposed DP roads/Sanctioned</w:t>
      </w:r>
      <w:r>
        <w:rPr>
          <w:spacing w:val="-8"/>
        </w:rPr>
        <w:t> </w:t>
      </w:r>
      <w:r>
        <w:rPr/>
        <w:t>RL</w:t>
      </w:r>
      <w:r>
        <w:rPr>
          <w:spacing w:val="-8"/>
        </w:rPr>
        <w:t> </w:t>
      </w:r>
      <w:r>
        <w:rPr/>
        <w:t>under</w:t>
      </w:r>
      <w:r>
        <w:rPr>
          <w:spacing w:val="-8"/>
        </w:rPr>
        <w:t> </w:t>
      </w:r>
      <w:r>
        <w:rPr/>
        <w:t>MMC</w:t>
      </w:r>
      <w:r>
        <w:rPr>
          <w:spacing w:val="-8"/>
        </w:rPr>
        <w:t> </w:t>
      </w:r>
      <w:r>
        <w:rPr/>
        <w:t>Act,</w:t>
      </w:r>
      <w:r>
        <w:rPr>
          <w:spacing w:val="-8"/>
        </w:rPr>
        <w:t> </w:t>
      </w:r>
      <w:r>
        <w:rPr/>
        <w:t>on</w:t>
      </w:r>
      <w:r>
        <w:rPr>
          <w:spacing w:val="-8"/>
        </w:rPr>
        <w:t> </w:t>
      </w:r>
      <w:r>
        <w:rPr/>
        <w:t>payment</w:t>
      </w:r>
      <w:r>
        <w:rPr>
          <w:spacing w:val="-8"/>
        </w:rPr>
        <w:t> </w:t>
      </w:r>
      <w:r>
        <w:rPr/>
        <w:t>of</w:t>
      </w:r>
      <w:r>
        <w:rPr>
          <w:spacing w:val="-8"/>
        </w:rPr>
        <w:t> </w:t>
      </w:r>
      <w:r>
        <w:rPr/>
        <w:t>premium</w:t>
      </w:r>
      <w:r>
        <w:rPr>
          <w:spacing w:val="-8"/>
        </w:rPr>
        <w:t> </w:t>
      </w:r>
      <w:r>
        <w:rPr/>
        <w:t>for</w:t>
      </w:r>
      <w:r>
        <w:rPr>
          <w:spacing w:val="-8"/>
        </w:rPr>
        <w:t> </w:t>
      </w:r>
      <w:r>
        <w:rPr/>
        <w:t>BUA @ 50% of ASR for open developed land for FSI 1 and shall be equally shared between the GoM and MCGM. In this case,no residential development will be allowed on such plot.</w:t>
      </w:r>
    </w:p>
    <w:p>
      <w:pPr>
        <w:pStyle w:val="BodyText"/>
        <w:spacing w:after="0"/>
        <w:sectPr>
          <w:pgSz w:w="11910" w:h="16840"/>
          <w:pgMar w:header="1065" w:footer="1194" w:top="1500" w:bottom="1380" w:left="360" w:right="360"/>
        </w:sectPr>
      </w:pPr>
    </w:p>
    <w:p>
      <w:pPr>
        <w:pStyle w:val="BodyText"/>
        <w:jc w:val="left"/>
        <w:rPr>
          <w:sz w:val="20"/>
        </w:rPr>
      </w:pPr>
    </w:p>
    <w:p>
      <w:pPr>
        <w:pStyle w:val="BodyText"/>
        <w:spacing w:before="63"/>
        <w:jc w:val="left"/>
        <w:rPr>
          <w:sz w:val="20"/>
        </w:rPr>
      </w:pPr>
    </w:p>
    <w:tbl>
      <w:tblPr>
        <w:tblW w:w="0" w:type="auto"/>
        <w:jc w:val="left"/>
        <w:tblInd w:w="3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1755"/>
        <w:gridCol w:w="1781"/>
      </w:tblGrid>
      <w:tr>
        <w:trPr>
          <w:trHeight w:val="875" w:hRule="atLeast"/>
        </w:trPr>
        <w:tc>
          <w:tcPr>
            <w:tcW w:w="811" w:type="dxa"/>
            <w:shd w:val="clear" w:color="auto" w:fill="EDEBE0"/>
          </w:tcPr>
          <w:p>
            <w:pPr>
              <w:pStyle w:val="TableParagraph"/>
              <w:ind w:left="107" w:right="345"/>
              <w:rPr>
                <w:sz w:val="24"/>
              </w:rPr>
            </w:pPr>
            <w:r>
              <w:rPr>
                <w:spacing w:val="-4"/>
                <w:sz w:val="24"/>
              </w:rPr>
              <w:t>Sr. </w:t>
            </w:r>
            <w:r>
              <w:rPr>
                <w:spacing w:val="-5"/>
                <w:sz w:val="24"/>
              </w:rPr>
              <w:t>No</w:t>
            </w:r>
          </w:p>
        </w:tc>
        <w:tc>
          <w:tcPr>
            <w:tcW w:w="1755" w:type="dxa"/>
            <w:shd w:val="clear" w:color="auto" w:fill="EDEBE0"/>
          </w:tcPr>
          <w:p>
            <w:pPr>
              <w:pStyle w:val="TableParagraph"/>
              <w:ind w:left="108"/>
              <w:rPr>
                <w:sz w:val="24"/>
              </w:rPr>
            </w:pPr>
            <w:r>
              <w:rPr>
                <w:spacing w:val="-2"/>
                <w:sz w:val="24"/>
              </w:rPr>
              <w:t>Minimum </w:t>
            </w:r>
            <w:r>
              <w:rPr>
                <w:sz w:val="24"/>
              </w:rPr>
              <w:t>Road </w:t>
            </w:r>
            <w:r>
              <w:rPr>
                <w:sz w:val="24"/>
              </w:rPr>
              <w:t>Width</w:t>
            </w:r>
          </w:p>
        </w:tc>
        <w:tc>
          <w:tcPr>
            <w:tcW w:w="1781" w:type="dxa"/>
            <w:shd w:val="clear" w:color="auto" w:fill="EDEBE0"/>
          </w:tcPr>
          <w:p>
            <w:pPr>
              <w:pStyle w:val="TableParagraph"/>
              <w:ind w:left="107"/>
              <w:rPr>
                <w:sz w:val="24"/>
              </w:rPr>
            </w:pPr>
            <w:r>
              <w:rPr>
                <w:spacing w:val="-2"/>
                <w:sz w:val="24"/>
              </w:rPr>
              <w:t>Maximum Permissible </w:t>
            </w:r>
            <w:r>
              <w:rPr>
                <w:spacing w:val="-4"/>
                <w:sz w:val="24"/>
              </w:rPr>
              <w:t>FSI</w:t>
            </w:r>
          </w:p>
        </w:tc>
      </w:tr>
      <w:tr>
        <w:trPr>
          <w:trHeight w:val="280" w:hRule="atLeast"/>
        </w:trPr>
        <w:tc>
          <w:tcPr>
            <w:tcW w:w="811" w:type="dxa"/>
          </w:tcPr>
          <w:p>
            <w:pPr>
              <w:pStyle w:val="TableParagraph"/>
              <w:spacing w:line="260" w:lineRule="exact"/>
              <w:ind w:left="7" w:right="2"/>
              <w:jc w:val="center"/>
              <w:rPr>
                <w:sz w:val="24"/>
              </w:rPr>
            </w:pPr>
            <w:r>
              <w:rPr>
                <w:spacing w:val="-10"/>
                <w:sz w:val="24"/>
              </w:rPr>
              <w:t>1</w:t>
            </w:r>
          </w:p>
        </w:tc>
        <w:tc>
          <w:tcPr>
            <w:tcW w:w="1755" w:type="dxa"/>
          </w:tcPr>
          <w:p>
            <w:pPr>
              <w:pStyle w:val="TableParagraph"/>
              <w:spacing w:line="260" w:lineRule="exact"/>
              <w:ind w:left="108"/>
              <w:rPr>
                <w:sz w:val="24"/>
              </w:rPr>
            </w:pPr>
            <w:r>
              <w:rPr>
                <w:spacing w:val="-5"/>
                <w:sz w:val="24"/>
              </w:rPr>
              <w:t>12m</w:t>
            </w:r>
          </w:p>
        </w:tc>
        <w:tc>
          <w:tcPr>
            <w:tcW w:w="1781" w:type="dxa"/>
          </w:tcPr>
          <w:p>
            <w:pPr>
              <w:pStyle w:val="TableParagraph"/>
              <w:spacing w:line="260" w:lineRule="exact"/>
              <w:ind w:left="9"/>
              <w:jc w:val="center"/>
              <w:rPr>
                <w:sz w:val="24"/>
              </w:rPr>
            </w:pPr>
            <w:r>
              <w:rPr>
                <w:spacing w:val="-10"/>
                <w:sz w:val="24"/>
              </w:rPr>
              <w:t>3</w:t>
            </w:r>
          </w:p>
        </w:tc>
      </w:tr>
      <w:tr>
        <w:trPr>
          <w:trHeight w:val="282" w:hRule="atLeast"/>
        </w:trPr>
        <w:tc>
          <w:tcPr>
            <w:tcW w:w="811" w:type="dxa"/>
          </w:tcPr>
          <w:p>
            <w:pPr>
              <w:pStyle w:val="TableParagraph"/>
              <w:spacing w:line="263" w:lineRule="exact"/>
              <w:ind w:left="7" w:right="2"/>
              <w:jc w:val="center"/>
              <w:rPr>
                <w:sz w:val="24"/>
              </w:rPr>
            </w:pPr>
            <w:r>
              <w:rPr>
                <w:spacing w:val="-10"/>
                <w:sz w:val="24"/>
              </w:rPr>
              <w:t>2</w:t>
            </w:r>
          </w:p>
        </w:tc>
        <w:tc>
          <w:tcPr>
            <w:tcW w:w="1755" w:type="dxa"/>
          </w:tcPr>
          <w:p>
            <w:pPr>
              <w:pStyle w:val="TableParagraph"/>
              <w:spacing w:line="263" w:lineRule="exact"/>
              <w:ind w:left="108"/>
              <w:rPr>
                <w:sz w:val="24"/>
              </w:rPr>
            </w:pPr>
            <w:r>
              <w:rPr>
                <w:spacing w:val="-5"/>
                <w:sz w:val="24"/>
              </w:rPr>
              <w:t>18m</w:t>
            </w:r>
          </w:p>
        </w:tc>
        <w:tc>
          <w:tcPr>
            <w:tcW w:w="1781" w:type="dxa"/>
          </w:tcPr>
          <w:p>
            <w:pPr>
              <w:pStyle w:val="TableParagraph"/>
              <w:spacing w:line="263" w:lineRule="exact"/>
              <w:ind w:left="9"/>
              <w:jc w:val="center"/>
              <w:rPr>
                <w:sz w:val="24"/>
              </w:rPr>
            </w:pPr>
            <w:r>
              <w:rPr>
                <w:spacing w:val="-10"/>
                <w:sz w:val="24"/>
              </w:rPr>
              <w:t>4</w:t>
            </w:r>
          </w:p>
        </w:tc>
      </w:tr>
      <w:tr>
        <w:trPr>
          <w:trHeight w:val="280" w:hRule="atLeast"/>
        </w:trPr>
        <w:tc>
          <w:tcPr>
            <w:tcW w:w="811" w:type="dxa"/>
          </w:tcPr>
          <w:p>
            <w:pPr>
              <w:pStyle w:val="TableParagraph"/>
              <w:spacing w:line="260" w:lineRule="exact"/>
              <w:ind w:left="7" w:right="2"/>
              <w:jc w:val="center"/>
              <w:rPr>
                <w:sz w:val="24"/>
              </w:rPr>
            </w:pPr>
            <w:r>
              <w:rPr>
                <w:spacing w:val="-10"/>
                <w:sz w:val="24"/>
              </w:rPr>
              <w:t>3</w:t>
            </w:r>
          </w:p>
        </w:tc>
        <w:tc>
          <w:tcPr>
            <w:tcW w:w="1755" w:type="dxa"/>
          </w:tcPr>
          <w:p>
            <w:pPr>
              <w:pStyle w:val="TableParagraph"/>
              <w:spacing w:line="260" w:lineRule="exact"/>
              <w:ind w:left="194"/>
              <w:rPr>
                <w:sz w:val="24"/>
              </w:rPr>
            </w:pPr>
            <w:r>
              <w:rPr>
                <w:spacing w:val="-5"/>
                <w:sz w:val="24"/>
              </w:rPr>
              <w:t>27m</w:t>
            </w:r>
          </w:p>
        </w:tc>
        <w:tc>
          <w:tcPr>
            <w:tcW w:w="1781" w:type="dxa"/>
          </w:tcPr>
          <w:p>
            <w:pPr>
              <w:pStyle w:val="TableParagraph"/>
              <w:spacing w:line="260" w:lineRule="exact"/>
              <w:ind w:left="9"/>
              <w:jc w:val="center"/>
              <w:rPr>
                <w:sz w:val="24"/>
              </w:rPr>
            </w:pPr>
            <w:r>
              <w:rPr>
                <w:spacing w:val="-10"/>
                <w:sz w:val="24"/>
              </w:rPr>
              <w:t>5</w:t>
            </w:r>
          </w:p>
        </w:tc>
      </w:tr>
    </w:tbl>
    <w:p>
      <w:pPr>
        <w:pStyle w:val="BodyText"/>
        <w:spacing w:before="254"/>
        <w:jc w:val="left"/>
      </w:pPr>
    </w:p>
    <w:p>
      <w:pPr>
        <w:pStyle w:val="BodyText"/>
        <w:spacing w:line="276" w:lineRule="auto"/>
        <w:ind w:left="1342" w:right="771" w:firstLine="69"/>
      </w:pPr>
      <w:r>
        <w:rPr/>
        <w:t>On the plot area excluding area to be handed over to MCGM/Appropriate Authority in lieu of Reservation/ Existing amenity in the DP/ proposed DP roads/prescribed RL under MMC Act.</w:t>
      </w:r>
    </w:p>
    <w:p>
      <w:pPr>
        <w:pStyle w:val="BodyText"/>
        <w:jc w:val="left"/>
      </w:pPr>
    </w:p>
    <w:p>
      <w:pPr>
        <w:pStyle w:val="BodyText"/>
        <w:spacing w:before="239"/>
        <w:jc w:val="left"/>
      </w:pPr>
    </w:p>
    <w:p>
      <w:pPr>
        <w:pStyle w:val="Heading6"/>
        <w:jc w:val="both"/>
      </w:pPr>
      <w:r>
        <w:rPr>
          <w:i w:val="0"/>
        </w:rPr>
        <w:t>33(20)</w:t>
      </w:r>
      <w:r>
        <w:rPr>
          <w:i w:val="0"/>
          <w:spacing w:val="-7"/>
        </w:rPr>
        <w:t> </w:t>
      </w:r>
      <w:r>
        <w:rPr/>
        <w:t>Affordable</w:t>
      </w:r>
      <w:r>
        <w:rPr>
          <w:spacing w:val="-4"/>
        </w:rPr>
        <w:t> </w:t>
      </w:r>
      <w:r>
        <w:rPr/>
        <w:t>Housing</w:t>
      </w:r>
      <w:r>
        <w:rPr>
          <w:spacing w:val="-3"/>
        </w:rPr>
        <w:t> </w:t>
      </w:r>
      <w:r>
        <w:rPr/>
        <w:t>(AH)/Rehabilitation</w:t>
      </w:r>
      <w:r>
        <w:rPr>
          <w:spacing w:val="-4"/>
        </w:rPr>
        <w:t> </w:t>
      </w:r>
      <w:r>
        <w:rPr/>
        <w:t>&amp;</w:t>
      </w:r>
      <w:r>
        <w:rPr>
          <w:spacing w:val="-4"/>
        </w:rPr>
        <w:t> </w:t>
      </w:r>
      <w:r>
        <w:rPr/>
        <w:t>Resettlement</w:t>
      </w:r>
      <w:r>
        <w:rPr>
          <w:spacing w:val="-3"/>
        </w:rPr>
        <w:t> </w:t>
      </w:r>
      <w:r>
        <w:rPr/>
        <w:t>(R</w:t>
      </w:r>
      <w:r>
        <w:rPr>
          <w:spacing w:val="-4"/>
        </w:rPr>
        <w:t> </w:t>
      </w:r>
      <w:r>
        <w:rPr/>
        <w:t>&amp;</w:t>
      </w:r>
      <w:r>
        <w:rPr>
          <w:spacing w:val="-3"/>
        </w:rPr>
        <w:t> </w:t>
      </w:r>
      <w:r>
        <w:rPr>
          <w:spacing w:val="-5"/>
        </w:rPr>
        <w:t>R):</w:t>
      </w:r>
    </w:p>
    <w:p>
      <w:pPr>
        <w:pStyle w:val="BodyText"/>
        <w:spacing w:before="5"/>
        <w:jc w:val="left"/>
        <w:rPr>
          <w:b/>
          <w:i/>
        </w:rPr>
      </w:pPr>
    </w:p>
    <w:p>
      <w:pPr>
        <w:pStyle w:val="ListParagraph"/>
        <w:numPr>
          <w:ilvl w:val="0"/>
          <w:numId w:val="208"/>
        </w:numPr>
        <w:tabs>
          <w:tab w:pos="2060" w:val="left" w:leader="none"/>
          <w:tab w:pos="2062" w:val="left" w:leader="none"/>
        </w:tabs>
        <w:spacing w:line="240" w:lineRule="auto" w:before="0" w:after="0"/>
        <w:ind w:left="2062" w:right="766" w:hanging="360"/>
        <w:jc w:val="both"/>
        <w:rPr>
          <w:sz w:val="24"/>
        </w:rPr>
      </w:pPr>
      <w:r>
        <w:rPr>
          <w:sz w:val="24"/>
        </w:rPr>
        <w:t>Development or redevelopment of plots earmarked/reserved for AH/R&amp;R on the lands of MCGM/Govt./Appropriate Authority as notified by Govt. or unreserved plot of these authorities and in possession, may undertake development for AH and/or R&amp;R for the purpose</w:t>
      </w:r>
      <w:r>
        <w:rPr>
          <w:spacing w:val="-8"/>
          <w:sz w:val="24"/>
        </w:rPr>
        <w:t> </w:t>
      </w:r>
      <w:r>
        <w:rPr>
          <w:sz w:val="24"/>
        </w:rPr>
        <w:t>of</w:t>
      </w:r>
      <w:r>
        <w:rPr>
          <w:spacing w:val="-8"/>
          <w:sz w:val="24"/>
        </w:rPr>
        <w:t> </w:t>
      </w:r>
      <w:r>
        <w:rPr>
          <w:sz w:val="24"/>
        </w:rPr>
        <w:t>the</w:t>
      </w:r>
      <w:r>
        <w:rPr>
          <w:spacing w:val="-8"/>
          <w:sz w:val="24"/>
        </w:rPr>
        <w:t> </w:t>
      </w:r>
      <w:r>
        <w:rPr>
          <w:sz w:val="24"/>
        </w:rPr>
        <w:t>housing</w:t>
      </w:r>
      <w:r>
        <w:rPr>
          <w:spacing w:val="-8"/>
          <w:sz w:val="24"/>
        </w:rPr>
        <w:t> </w:t>
      </w:r>
      <w:r>
        <w:rPr>
          <w:sz w:val="24"/>
        </w:rPr>
        <w:t>those</w:t>
      </w:r>
      <w:r>
        <w:rPr>
          <w:spacing w:val="-8"/>
          <w:sz w:val="24"/>
        </w:rPr>
        <w:t> </w:t>
      </w:r>
      <w:r>
        <w:rPr>
          <w:sz w:val="24"/>
        </w:rPr>
        <w:t>who</w:t>
      </w:r>
      <w:r>
        <w:rPr>
          <w:spacing w:val="-8"/>
          <w:sz w:val="24"/>
        </w:rPr>
        <w:t> </w:t>
      </w:r>
      <w:r>
        <w:rPr>
          <w:sz w:val="24"/>
        </w:rPr>
        <w:t>are</w:t>
      </w:r>
      <w:r>
        <w:rPr>
          <w:spacing w:val="-8"/>
          <w:sz w:val="24"/>
        </w:rPr>
        <w:t> </w:t>
      </w:r>
      <w:r>
        <w:rPr>
          <w:sz w:val="24"/>
        </w:rPr>
        <w:t>displaced</w:t>
      </w:r>
      <w:r>
        <w:rPr>
          <w:spacing w:val="-8"/>
          <w:sz w:val="24"/>
        </w:rPr>
        <w:t> </w:t>
      </w:r>
      <w:r>
        <w:rPr>
          <w:sz w:val="24"/>
        </w:rPr>
        <w:t>by</w:t>
      </w:r>
      <w:r>
        <w:rPr>
          <w:spacing w:val="-8"/>
          <w:sz w:val="24"/>
        </w:rPr>
        <w:t> </w:t>
      </w:r>
      <w:r>
        <w:rPr>
          <w:sz w:val="24"/>
        </w:rPr>
        <w:t>projects</w:t>
      </w:r>
      <w:r>
        <w:rPr>
          <w:spacing w:val="-8"/>
          <w:sz w:val="24"/>
        </w:rPr>
        <w:t> </w:t>
      </w:r>
      <w:r>
        <w:rPr>
          <w:sz w:val="24"/>
        </w:rPr>
        <w:t>undertaken by the Corporation/Appropriate Authority for implementation of proposals</w:t>
      </w:r>
      <w:r>
        <w:rPr>
          <w:spacing w:val="-4"/>
          <w:sz w:val="24"/>
        </w:rPr>
        <w:t> </w:t>
      </w:r>
      <w:r>
        <w:rPr>
          <w:sz w:val="24"/>
        </w:rPr>
        <w:t>such</w:t>
      </w:r>
      <w:r>
        <w:rPr>
          <w:spacing w:val="-4"/>
          <w:sz w:val="24"/>
        </w:rPr>
        <w:t> </w:t>
      </w:r>
      <w:r>
        <w:rPr>
          <w:sz w:val="24"/>
        </w:rPr>
        <w:t>as</w:t>
      </w:r>
      <w:r>
        <w:rPr>
          <w:spacing w:val="-4"/>
          <w:sz w:val="24"/>
        </w:rPr>
        <w:t> </w:t>
      </w:r>
      <w:r>
        <w:rPr>
          <w:sz w:val="24"/>
        </w:rPr>
        <w:t>DP/MUTP/MUIP</w:t>
      </w:r>
      <w:r>
        <w:rPr>
          <w:spacing w:val="-4"/>
          <w:sz w:val="24"/>
        </w:rPr>
        <w:t> </w:t>
      </w:r>
      <w:r>
        <w:rPr>
          <w:sz w:val="24"/>
        </w:rPr>
        <w:t>and</w:t>
      </w:r>
      <w:r>
        <w:rPr>
          <w:spacing w:val="-4"/>
          <w:sz w:val="24"/>
        </w:rPr>
        <w:t> </w:t>
      </w:r>
      <w:r>
        <w:rPr>
          <w:sz w:val="24"/>
        </w:rPr>
        <w:t>other</w:t>
      </w:r>
      <w:r>
        <w:rPr>
          <w:spacing w:val="-4"/>
          <w:sz w:val="24"/>
        </w:rPr>
        <w:t> </w:t>
      </w:r>
      <w:r>
        <w:rPr>
          <w:sz w:val="24"/>
        </w:rPr>
        <w:t>vital</w:t>
      </w:r>
      <w:r>
        <w:rPr>
          <w:spacing w:val="-4"/>
          <w:sz w:val="24"/>
        </w:rPr>
        <w:t> </w:t>
      </w:r>
      <w:r>
        <w:rPr>
          <w:sz w:val="24"/>
        </w:rPr>
        <w:t>public</w:t>
      </w:r>
      <w:r>
        <w:rPr>
          <w:spacing w:val="-4"/>
          <w:sz w:val="24"/>
        </w:rPr>
        <w:t> </w:t>
      </w:r>
      <w:r>
        <w:rPr>
          <w:sz w:val="24"/>
        </w:rPr>
        <w:t>projects</w:t>
      </w:r>
      <w:r>
        <w:rPr>
          <w:spacing w:val="-4"/>
          <w:sz w:val="24"/>
        </w:rPr>
        <w:t> </w:t>
      </w:r>
      <w:r>
        <w:rPr>
          <w:sz w:val="24"/>
        </w:rPr>
        <w:t>with permissible FSI as detailed below:</w:t>
      </w:r>
    </w:p>
    <w:p>
      <w:pPr>
        <w:pStyle w:val="BodyText"/>
        <w:spacing w:before="6" w:after="1"/>
        <w:jc w:val="left"/>
        <w:rPr>
          <w:sz w:val="20"/>
        </w:rPr>
      </w:pPr>
    </w:p>
    <w:tbl>
      <w:tblPr>
        <w:tblW w:w="0" w:type="auto"/>
        <w:jc w:val="left"/>
        <w:tblInd w:w="2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8"/>
        <w:gridCol w:w="3634"/>
      </w:tblGrid>
      <w:tr>
        <w:trPr>
          <w:trHeight w:val="642" w:hRule="atLeast"/>
        </w:trPr>
        <w:tc>
          <w:tcPr>
            <w:tcW w:w="2218" w:type="dxa"/>
          </w:tcPr>
          <w:p>
            <w:pPr>
              <w:pStyle w:val="TableParagraph"/>
              <w:spacing w:before="40"/>
              <w:ind w:left="758" w:hanging="555"/>
              <w:rPr>
                <w:sz w:val="24"/>
              </w:rPr>
            </w:pPr>
            <w:r>
              <w:rPr>
                <w:sz w:val="24"/>
              </w:rPr>
              <w:t>Minimum</w:t>
            </w:r>
            <w:r>
              <w:rPr>
                <w:spacing w:val="-20"/>
                <w:sz w:val="24"/>
              </w:rPr>
              <w:t> </w:t>
            </w:r>
            <w:r>
              <w:rPr>
                <w:sz w:val="24"/>
              </w:rPr>
              <w:t>Road </w:t>
            </w:r>
            <w:r>
              <w:rPr>
                <w:spacing w:val="-2"/>
                <w:sz w:val="24"/>
              </w:rPr>
              <w:t>Width</w:t>
            </w:r>
          </w:p>
        </w:tc>
        <w:tc>
          <w:tcPr>
            <w:tcW w:w="3634" w:type="dxa"/>
          </w:tcPr>
          <w:p>
            <w:pPr>
              <w:pStyle w:val="TableParagraph"/>
              <w:spacing w:before="40"/>
              <w:ind w:left="739" w:firstLine="449"/>
              <w:rPr>
                <w:sz w:val="24"/>
              </w:rPr>
            </w:pPr>
            <w:r>
              <w:rPr>
                <w:spacing w:val="-2"/>
                <w:sz w:val="24"/>
              </w:rPr>
              <w:t>Maximum </w:t>
            </w:r>
            <w:r>
              <w:rPr>
                <w:sz w:val="24"/>
              </w:rPr>
              <w:t>permissible</w:t>
            </w:r>
            <w:r>
              <w:rPr>
                <w:spacing w:val="-20"/>
                <w:sz w:val="24"/>
              </w:rPr>
              <w:t> </w:t>
            </w:r>
            <w:r>
              <w:rPr>
                <w:sz w:val="24"/>
              </w:rPr>
              <w:t>FSI</w:t>
            </w:r>
          </w:p>
        </w:tc>
      </w:tr>
      <w:tr>
        <w:trPr>
          <w:trHeight w:val="453" w:hRule="atLeast"/>
        </w:trPr>
        <w:tc>
          <w:tcPr>
            <w:tcW w:w="2218" w:type="dxa"/>
          </w:tcPr>
          <w:p>
            <w:pPr>
              <w:pStyle w:val="TableParagraph"/>
              <w:spacing w:before="40"/>
              <w:ind w:left="739"/>
              <w:rPr>
                <w:sz w:val="24"/>
              </w:rPr>
            </w:pPr>
            <w:r>
              <w:rPr>
                <w:spacing w:val="-5"/>
                <w:sz w:val="24"/>
              </w:rPr>
              <w:t>12m</w:t>
            </w:r>
          </w:p>
        </w:tc>
        <w:tc>
          <w:tcPr>
            <w:tcW w:w="3634" w:type="dxa"/>
          </w:tcPr>
          <w:p>
            <w:pPr>
              <w:pStyle w:val="TableParagraph"/>
              <w:spacing w:before="40"/>
              <w:ind w:left="1188"/>
              <w:rPr>
                <w:sz w:val="24"/>
              </w:rPr>
            </w:pPr>
            <w:r>
              <w:rPr>
                <w:spacing w:val="-4"/>
                <w:sz w:val="24"/>
              </w:rPr>
              <w:t>3.00</w:t>
            </w:r>
          </w:p>
        </w:tc>
      </w:tr>
      <w:tr>
        <w:trPr>
          <w:trHeight w:val="361" w:hRule="atLeast"/>
        </w:trPr>
        <w:tc>
          <w:tcPr>
            <w:tcW w:w="2218" w:type="dxa"/>
          </w:tcPr>
          <w:p>
            <w:pPr>
              <w:pStyle w:val="TableParagraph"/>
              <w:spacing w:before="40"/>
              <w:ind w:left="739"/>
              <w:rPr>
                <w:sz w:val="24"/>
              </w:rPr>
            </w:pPr>
            <w:r>
              <w:rPr>
                <w:spacing w:val="-5"/>
                <w:sz w:val="24"/>
              </w:rPr>
              <w:t>18m</w:t>
            </w:r>
          </w:p>
        </w:tc>
        <w:tc>
          <w:tcPr>
            <w:tcW w:w="3634" w:type="dxa"/>
          </w:tcPr>
          <w:p>
            <w:pPr>
              <w:pStyle w:val="TableParagraph"/>
              <w:spacing w:before="40"/>
              <w:ind w:left="1188"/>
              <w:rPr>
                <w:sz w:val="24"/>
              </w:rPr>
            </w:pPr>
            <w:r>
              <w:rPr>
                <w:spacing w:val="-4"/>
                <w:sz w:val="24"/>
              </w:rPr>
              <w:t>4.00</w:t>
            </w:r>
          </w:p>
        </w:tc>
      </w:tr>
    </w:tbl>
    <w:p>
      <w:pPr>
        <w:pStyle w:val="BodyText"/>
        <w:spacing w:before="1"/>
        <w:ind w:left="1793"/>
        <w:jc w:val="left"/>
      </w:pPr>
      <w:r>
        <w:rPr/>
        <w:t>The</w:t>
      </w:r>
      <w:r>
        <w:rPr>
          <w:spacing w:val="-1"/>
        </w:rPr>
        <w:t> </w:t>
      </w:r>
      <w:r>
        <w:rPr/>
        <w:t>following conditions shall be </w:t>
      </w:r>
      <w:r>
        <w:rPr>
          <w:spacing w:val="-2"/>
        </w:rPr>
        <w:t>observed:</w:t>
      </w:r>
    </w:p>
    <w:p>
      <w:pPr>
        <w:pStyle w:val="ListParagraph"/>
        <w:numPr>
          <w:ilvl w:val="1"/>
          <w:numId w:val="208"/>
        </w:numPr>
        <w:tabs>
          <w:tab w:pos="2062" w:val="left" w:leader="none"/>
        </w:tabs>
        <w:spacing w:line="240" w:lineRule="auto" w:before="241" w:after="0"/>
        <w:ind w:left="2062" w:right="767" w:hanging="360"/>
        <w:jc w:val="both"/>
        <w:rPr>
          <w:sz w:val="24"/>
        </w:rPr>
      </w:pPr>
      <w:r>
        <w:rPr>
          <w:sz w:val="24"/>
        </w:rPr>
        <w:t>The</w:t>
      </w:r>
      <w:r>
        <w:rPr>
          <w:spacing w:val="-1"/>
          <w:sz w:val="24"/>
        </w:rPr>
        <w:t> </w:t>
      </w:r>
      <w:r>
        <w:rPr>
          <w:sz w:val="24"/>
        </w:rPr>
        <w:t>carpet</w:t>
      </w:r>
      <w:r>
        <w:rPr>
          <w:spacing w:val="-1"/>
          <w:sz w:val="24"/>
        </w:rPr>
        <w:t> </w:t>
      </w:r>
      <w:r>
        <w:rPr>
          <w:sz w:val="24"/>
        </w:rPr>
        <w:t>areas</w:t>
      </w:r>
      <w:r>
        <w:rPr>
          <w:spacing w:val="-1"/>
          <w:sz w:val="24"/>
        </w:rPr>
        <w:t> </w:t>
      </w:r>
      <w:r>
        <w:rPr>
          <w:sz w:val="24"/>
        </w:rPr>
        <w:t>of</w:t>
      </w:r>
      <w:r>
        <w:rPr>
          <w:spacing w:val="-1"/>
          <w:sz w:val="24"/>
        </w:rPr>
        <w:t> </w:t>
      </w:r>
      <w:r>
        <w:rPr>
          <w:sz w:val="24"/>
        </w:rPr>
        <w:t>the</w:t>
      </w:r>
      <w:r>
        <w:rPr>
          <w:spacing w:val="-1"/>
          <w:sz w:val="24"/>
        </w:rPr>
        <w:t> </w:t>
      </w:r>
      <w:r>
        <w:rPr>
          <w:sz w:val="24"/>
        </w:rPr>
        <w:t>tenements to</w:t>
      </w:r>
      <w:r>
        <w:rPr>
          <w:spacing w:val="-1"/>
          <w:sz w:val="24"/>
        </w:rPr>
        <w:t> </w:t>
      </w:r>
      <w:r>
        <w:rPr>
          <w:sz w:val="24"/>
        </w:rPr>
        <w:t>be</w:t>
      </w:r>
      <w:r>
        <w:rPr>
          <w:spacing w:val="-1"/>
          <w:sz w:val="24"/>
        </w:rPr>
        <w:t> </w:t>
      </w:r>
      <w:r>
        <w:rPr>
          <w:sz w:val="24"/>
        </w:rPr>
        <w:t>constructed</w:t>
      </w:r>
      <w:r>
        <w:rPr>
          <w:spacing w:val="-1"/>
          <w:sz w:val="24"/>
        </w:rPr>
        <w:t> </w:t>
      </w:r>
      <w:r>
        <w:rPr>
          <w:sz w:val="24"/>
        </w:rPr>
        <w:t>under</w:t>
      </w:r>
      <w:r>
        <w:rPr>
          <w:spacing w:val="-1"/>
          <w:sz w:val="24"/>
        </w:rPr>
        <w:t> </w:t>
      </w:r>
      <w:r>
        <w:rPr>
          <w:sz w:val="24"/>
        </w:rPr>
        <w:t>the</w:t>
      </w:r>
      <w:r>
        <w:rPr>
          <w:spacing w:val="-1"/>
          <w:sz w:val="24"/>
        </w:rPr>
        <w:t> </w:t>
      </w:r>
      <w:r>
        <w:rPr>
          <w:sz w:val="24"/>
        </w:rPr>
        <w:t>concept of</w:t>
      </w:r>
      <w:r>
        <w:rPr>
          <w:spacing w:val="-2"/>
          <w:sz w:val="24"/>
        </w:rPr>
        <w:t> </w:t>
      </w:r>
      <w:r>
        <w:rPr>
          <w:sz w:val="24"/>
        </w:rPr>
        <w:t>“AH”</w:t>
      </w:r>
      <w:r>
        <w:rPr>
          <w:spacing w:val="-2"/>
          <w:sz w:val="24"/>
        </w:rPr>
        <w:t> </w:t>
      </w:r>
      <w:r>
        <w:rPr>
          <w:sz w:val="24"/>
        </w:rPr>
        <w:t>shall</w:t>
      </w:r>
      <w:r>
        <w:rPr>
          <w:spacing w:val="-2"/>
          <w:sz w:val="24"/>
        </w:rPr>
        <w:t> </w:t>
      </w:r>
      <w:r>
        <w:rPr>
          <w:sz w:val="24"/>
        </w:rPr>
        <w:t>be</w:t>
      </w:r>
      <w:r>
        <w:rPr>
          <w:spacing w:val="-2"/>
          <w:sz w:val="24"/>
        </w:rPr>
        <w:t> </w:t>
      </w:r>
      <w:r>
        <w:rPr>
          <w:sz w:val="24"/>
        </w:rPr>
        <w:t>for EWS,</w:t>
      </w:r>
      <w:r>
        <w:rPr>
          <w:spacing w:val="-2"/>
          <w:sz w:val="24"/>
        </w:rPr>
        <w:t> </w:t>
      </w:r>
      <w:r>
        <w:rPr>
          <w:sz w:val="24"/>
        </w:rPr>
        <w:t>LIG</w:t>
      </w:r>
      <w:r>
        <w:rPr>
          <w:spacing w:val="40"/>
          <w:sz w:val="24"/>
        </w:rPr>
        <w:t> </w:t>
      </w:r>
      <w:r>
        <w:rPr>
          <w:sz w:val="24"/>
        </w:rPr>
        <w:t>MIG,</w:t>
      </w:r>
      <w:r>
        <w:rPr>
          <w:spacing w:val="-2"/>
          <w:sz w:val="24"/>
        </w:rPr>
        <w:t> </w:t>
      </w:r>
      <w:r>
        <w:rPr>
          <w:sz w:val="24"/>
        </w:rPr>
        <w:t>or</w:t>
      </w:r>
      <w:r>
        <w:rPr>
          <w:spacing w:val="-2"/>
          <w:sz w:val="24"/>
        </w:rPr>
        <w:t> </w:t>
      </w:r>
      <w:r>
        <w:rPr>
          <w:sz w:val="24"/>
        </w:rPr>
        <w:t>as</w:t>
      </w:r>
      <w:r>
        <w:rPr>
          <w:spacing w:val="-2"/>
          <w:sz w:val="24"/>
        </w:rPr>
        <w:t> </w:t>
      </w:r>
      <w:r>
        <w:rPr>
          <w:sz w:val="24"/>
        </w:rPr>
        <w:t>decided</w:t>
      </w:r>
      <w:r>
        <w:rPr>
          <w:spacing w:val="-2"/>
          <w:sz w:val="24"/>
        </w:rPr>
        <w:t> </w:t>
      </w:r>
      <w:r>
        <w:rPr>
          <w:sz w:val="24"/>
        </w:rPr>
        <w:t>by</w:t>
      </w:r>
      <w:r>
        <w:rPr>
          <w:spacing w:val="-2"/>
          <w:sz w:val="24"/>
        </w:rPr>
        <w:t> </w:t>
      </w:r>
      <w:r>
        <w:rPr>
          <w:sz w:val="24"/>
        </w:rPr>
        <w:t>Govt.</w:t>
      </w:r>
      <w:r>
        <w:rPr>
          <w:spacing w:val="-2"/>
          <w:sz w:val="24"/>
        </w:rPr>
        <w:t> </w:t>
      </w:r>
      <w:r>
        <w:rPr>
          <w:sz w:val="24"/>
        </w:rPr>
        <w:t>from</w:t>
      </w:r>
      <w:r>
        <w:rPr>
          <w:spacing w:val="-2"/>
          <w:sz w:val="24"/>
        </w:rPr>
        <w:t> </w:t>
      </w:r>
      <w:r>
        <w:rPr>
          <w:sz w:val="24"/>
        </w:rPr>
        <w:t>time</w:t>
      </w:r>
      <w:r>
        <w:rPr>
          <w:spacing w:val="-2"/>
          <w:sz w:val="24"/>
        </w:rPr>
        <w:t> </w:t>
      </w:r>
      <w:r>
        <w:rPr>
          <w:sz w:val="24"/>
        </w:rPr>
        <w:t>to time subject to a minimum 25 sq. m. Development of other types of tenements shall not be permissible under this Regulation.</w:t>
      </w:r>
    </w:p>
    <w:p>
      <w:pPr>
        <w:pStyle w:val="ListParagraph"/>
        <w:numPr>
          <w:ilvl w:val="1"/>
          <w:numId w:val="208"/>
        </w:numPr>
        <w:tabs>
          <w:tab w:pos="2062" w:val="left" w:leader="none"/>
        </w:tabs>
        <w:spacing w:line="240" w:lineRule="auto" w:before="0" w:after="0"/>
        <w:ind w:left="2062" w:right="766" w:hanging="360"/>
        <w:jc w:val="both"/>
        <w:rPr>
          <w:sz w:val="24"/>
        </w:rPr>
      </w:pPr>
      <w:r>
        <w:rPr>
          <w:sz w:val="24"/>
        </w:rPr>
        <w:t>No premium shall be charged for fungible compensatory area and for features covered under the provision of Regulation No 31(1) for the development for AH/R&amp;R tenements.</w:t>
      </w:r>
    </w:p>
    <w:p>
      <w:pPr>
        <w:pStyle w:val="ListParagraph"/>
        <w:numPr>
          <w:ilvl w:val="1"/>
          <w:numId w:val="208"/>
        </w:numPr>
        <w:tabs>
          <w:tab w:pos="2062" w:val="left" w:leader="none"/>
        </w:tabs>
        <w:spacing w:line="240" w:lineRule="auto" w:before="0" w:after="0"/>
        <w:ind w:left="2062" w:right="766" w:hanging="360"/>
        <w:jc w:val="both"/>
        <w:rPr>
          <w:sz w:val="24"/>
        </w:rPr>
      </w:pPr>
      <w:r>
        <w:rPr>
          <w:sz w:val="24"/>
        </w:rPr>
        <w:t>The MCGM/Public Authority shall make provision for offsite infrastructure charges at the rate of 7% of land rate as per ASR for FSI 1 for BUA beyond Zonal (basic) FSI.</w:t>
      </w:r>
      <w:r>
        <w:rPr>
          <w:spacing w:val="40"/>
          <w:sz w:val="24"/>
        </w:rPr>
        <w:t> </w:t>
      </w:r>
      <w:r>
        <w:rPr>
          <w:sz w:val="24"/>
        </w:rPr>
        <w:t>Out of 7% charges, 5/7 of such charges shall be transferred to the fund allocated for infrastructural development for developing necessary offsite infrastructure.</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1"/>
          <w:numId w:val="208"/>
        </w:numPr>
        <w:tabs>
          <w:tab w:pos="2062" w:val="left" w:leader="none"/>
        </w:tabs>
        <w:spacing w:line="240" w:lineRule="auto" w:before="249" w:after="0"/>
        <w:ind w:left="2062" w:right="771" w:hanging="360"/>
        <w:jc w:val="both"/>
        <w:rPr>
          <w:sz w:val="24"/>
        </w:rPr>
      </w:pPr>
      <w:r>
        <w:rPr>
          <w:sz w:val="24"/>
        </w:rPr>
        <w:t>The requirement of open spaces shall be as per Regulation No 41(5) subject to clearance from CFO.</w:t>
      </w:r>
    </w:p>
    <w:p>
      <w:pPr>
        <w:pStyle w:val="ListParagraph"/>
        <w:numPr>
          <w:ilvl w:val="1"/>
          <w:numId w:val="208"/>
        </w:numPr>
        <w:tabs>
          <w:tab w:pos="2062" w:val="left" w:leader="none"/>
        </w:tabs>
        <w:spacing w:line="240" w:lineRule="auto" w:before="1" w:after="0"/>
        <w:ind w:left="2062" w:right="766" w:hanging="360"/>
        <w:jc w:val="both"/>
        <w:rPr>
          <w:sz w:val="24"/>
        </w:rPr>
      </w:pPr>
      <w:r>
        <w:rPr>
          <w:sz w:val="24"/>
        </w:rPr>
        <w:t>Once the development of AH/R&amp;R tenements is completed and Occupation Certificate is granted, it shall be the responsibility of the MCGM/Public Authority of allotment of AH/R&amp;R tenements within 12 months from the date of grant of occupation or earlier. Once development proposal is approved for AH/R&amp;R, the MCGM/Public Authority may start process of sale proceeds.</w:t>
      </w:r>
    </w:p>
    <w:p>
      <w:pPr>
        <w:pStyle w:val="ListParagraph"/>
        <w:numPr>
          <w:ilvl w:val="1"/>
          <w:numId w:val="208"/>
        </w:numPr>
        <w:tabs>
          <w:tab w:pos="2062" w:val="left" w:leader="none"/>
        </w:tabs>
        <w:spacing w:line="240" w:lineRule="auto" w:before="1" w:after="0"/>
        <w:ind w:left="2062" w:right="766" w:hanging="360"/>
        <w:jc w:val="both"/>
        <w:rPr>
          <w:sz w:val="24"/>
        </w:rPr>
      </w:pPr>
      <w:r>
        <w:rPr>
          <w:sz w:val="24"/>
        </w:rPr>
        <w:t>The</w:t>
      </w:r>
      <w:r>
        <w:rPr>
          <w:spacing w:val="-8"/>
          <w:sz w:val="24"/>
        </w:rPr>
        <w:t> </w:t>
      </w:r>
      <w:r>
        <w:rPr>
          <w:sz w:val="24"/>
        </w:rPr>
        <w:t>fund</w:t>
      </w:r>
      <w:r>
        <w:rPr>
          <w:spacing w:val="-8"/>
          <w:sz w:val="24"/>
        </w:rPr>
        <w:t> </w:t>
      </w:r>
      <w:r>
        <w:rPr>
          <w:sz w:val="24"/>
        </w:rPr>
        <w:t>so</w:t>
      </w:r>
      <w:r>
        <w:rPr>
          <w:spacing w:val="-6"/>
          <w:sz w:val="24"/>
        </w:rPr>
        <w:t> </w:t>
      </w:r>
      <w:r>
        <w:rPr>
          <w:sz w:val="24"/>
        </w:rPr>
        <w:t>received</w:t>
      </w:r>
      <w:r>
        <w:rPr>
          <w:spacing w:val="-6"/>
          <w:sz w:val="24"/>
        </w:rPr>
        <w:t> </w:t>
      </w:r>
      <w:r>
        <w:rPr>
          <w:sz w:val="24"/>
        </w:rPr>
        <w:t>on</w:t>
      </w:r>
      <w:r>
        <w:rPr>
          <w:spacing w:val="-8"/>
          <w:sz w:val="24"/>
        </w:rPr>
        <w:t> </w:t>
      </w:r>
      <w:r>
        <w:rPr>
          <w:sz w:val="24"/>
        </w:rPr>
        <w:t>account</w:t>
      </w:r>
      <w:r>
        <w:rPr>
          <w:spacing w:val="-8"/>
          <w:sz w:val="24"/>
        </w:rPr>
        <w:t> </w:t>
      </w:r>
      <w:r>
        <w:rPr>
          <w:sz w:val="24"/>
        </w:rPr>
        <w:t>of</w:t>
      </w:r>
      <w:r>
        <w:rPr>
          <w:spacing w:val="-8"/>
          <w:sz w:val="24"/>
        </w:rPr>
        <w:t> </w:t>
      </w:r>
      <w:r>
        <w:rPr>
          <w:sz w:val="24"/>
        </w:rPr>
        <w:t>sale</w:t>
      </w:r>
      <w:r>
        <w:rPr>
          <w:spacing w:val="-8"/>
          <w:sz w:val="24"/>
        </w:rPr>
        <w:t> </w:t>
      </w:r>
      <w:r>
        <w:rPr>
          <w:sz w:val="24"/>
        </w:rPr>
        <w:t>proceeds</w:t>
      </w:r>
      <w:r>
        <w:rPr>
          <w:spacing w:val="-8"/>
          <w:sz w:val="24"/>
        </w:rPr>
        <w:t> </w:t>
      </w:r>
      <w:r>
        <w:rPr>
          <w:sz w:val="24"/>
        </w:rPr>
        <w:t>of</w:t>
      </w:r>
      <w:r>
        <w:rPr>
          <w:spacing w:val="-8"/>
          <w:sz w:val="24"/>
        </w:rPr>
        <w:t> </w:t>
      </w:r>
      <w:r>
        <w:rPr>
          <w:sz w:val="24"/>
        </w:rPr>
        <w:t>such</w:t>
      </w:r>
      <w:r>
        <w:rPr>
          <w:spacing w:val="-8"/>
          <w:sz w:val="24"/>
        </w:rPr>
        <w:t> </w:t>
      </w:r>
      <w:r>
        <w:rPr>
          <w:sz w:val="24"/>
        </w:rPr>
        <w:t>tenements</w:t>
      </w:r>
      <w:r>
        <w:rPr>
          <w:spacing w:val="-8"/>
          <w:sz w:val="24"/>
        </w:rPr>
        <w:t> </w:t>
      </w:r>
      <w:r>
        <w:rPr>
          <w:sz w:val="24"/>
        </w:rPr>
        <w:t>i.e. EWS,LIG,MIG, after deduction of cost of development including off site infrastructure charges for development of AH/R&amp;R, 50% amount shall be utilized towards implementation of D.P. and rest amount shall be used for the development of AH/R&amp;R tenements at other locations.</w:t>
      </w:r>
    </w:p>
    <w:p>
      <w:pPr>
        <w:pStyle w:val="ListParagraph"/>
        <w:numPr>
          <w:ilvl w:val="1"/>
          <w:numId w:val="208"/>
        </w:numPr>
        <w:tabs>
          <w:tab w:pos="2062" w:val="left" w:leader="none"/>
        </w:tabs>
        <w:spacing w:line="240" w:lineRule="auto" w:before="0" w:after="0"/>
        <w:ind w:left="2062" w:right="769" w:hanging="360"/>
        <w:jc w:val="both"/>
        <w:rPr>
          <w:sz w:val="24"/>
        </w:rPr>
      </w:pPr>
      <w:r>
        <w:rPr>
          <w:sz w:val="24"/>
        </w:rPr>
        <w:t>The MCGM/Public Authority may develop AH/R&amp;R in the plot of land reserved for Rehabilitation &amp; Resettlement, but the same shall not be applicable when private owner undertakes development.</w:t>
      </w:r>
    </w:p>
    <w:p>
      <w:pPr>
        <w:pStyle w:val="ListParagraph"/>
        <w:numPr>
          <w:ilvl w:val="1"/>
          <w:numId w:val="208"/>
        </w:numPr>
        <w:tabs>
          <w:tab w:pos="2062" w:val="left" w:leader="none"/>
        </w:tabs>
        <w:spacing w:line="240" w:lineRule="auto" w:before="1" w:after="0"/>
        <w:ind w:left="2062" w:right="767" w:hanging="360"/>
        <w:jc w:val="both"/>
        <w:rPr>
          <w:sz w:val="24"/>
        </w:rPr>
      </w:pPr>
      <w:r>
        <w:rPr>
          <w:sz w:val="24"/>
        </w:rPr>
        <w:t>The land with approved BUA shall be leased out to such society of occupants of building.</w:t>
      </w:r>
    </w:p>
    <w:p>
      <w:pPr>
        <w:pStyle w:val="ListParagraph"/>
        <w:numPr>
          <w:ilvl w:val="1"/>
          <w:numId w:val="208"/>
        </w:numPr>
        <w:tabs>
          <w:tab w:pos="2062" w:val="left" w:leader="none"/>
        </w:tabs>
        <w:spacing w:line="240" w:lineRule="auto" w:before="0" w:after="0"/>
        <w:ind w:left="2062" w:right="769" w:hanging="360"/>
        <w:jc w:val="both"/>
        <w:rPr>
          <w:sz w:val="24"/>
        </w:rPr>
      </w:pPr>
      <w:r>
        <w:rPr>
          <w:sz w:val="24"/>
        </w:rPr>
        <w:t>In case of layout 25% of Zonal (basic) FSI shall be exclusively used for the purpose of convenience shopping along layout road</w:t>
      </w:r>
    </w:p>
    <w:p>
      <w:pPr>
        <w:pStyle w:val="Heading6"/>
        <w:numPr>
          <w:ilvl w:val="0"/>
          <w:numId w:val="208"/>
        </w:numPr>
        <w:tabs>
          <w:tab w:pos="2060" w:val="left" w:leader="none"/>
          <w:tab w:pos="2062" w:val="left" w:leader="none"/>
        </w:tabs>
        <w:spacing w:line="240" w:lineRule="auto" w:before="279" w:after="0"/>
        <w:ind w:left="2062" w:right="770" w:hanging="360"/>
        <w:jc w:val="both"/>
      </w:pPr>
      <w:r>
        <w:rPr/>
        <w:t>Development of AH/R&amp;Ron private plot or plot of authority other than Govt./MCGM/Appropriate Authority.</w:t>
      </w:r>
    </w:p>
    <w:p>
      <w:pPr>
        <w:pStyle w:val="BodyText"/>
        <w:spacing w:before="2"/>
        <w:jc w:val="left"/>
        <w:rPr>
          <w:b/>
          <w:i/>
        </w:rPr>
      </w:pPr>
    </w:p>
    <w:p>
      <w:pPr>
        <w:pStyle w:val="BodyText"/>
        <w:ind w:left="2062" w:right="766"/>
      </w:pPr>
      <w:r>
        <w:rPr/>
        <w:t>The permissible FSI may be allowed to be exceeded up to 4.0 when the private owner other authority proposes to develop non-reserved/non- designated private land for AH/R&amp;Rtenements and hand over the area of AH/R&amp;R tenements free of cost to MCGM.</w:t>
      </w:r>
    </w:p>
    <w:p>
      <w:pPr>
        <w:pStyle w:val="ListParagraph"/>
        <w:numPr>
          <w:ilvl w:val="0"/>
          <w:numId w:val="209"/>
        </w:numPr>
        <w:tabs>
          <w:tab w:pos="2583" w:val="left" w:leader="none"/>
        </w:tabs>
        <w:spacing w:line="240" w:lineRule="auto" w:before="239" w:after="0"/>
        <w:ind w:left="2062" w:right="769" w:firstLine="76"/>
        <w:jc w:val="left"/>
        <w:rPr>
          <w:sz w:val="24"/>
        </w:rPr>
      </w:pPr>
      <w:r>
        <w:rPr>
          <w:sz w:val="24"/>
        </w:rPr>
        <w:t>The</w:t>
      </w:r>
      <w:r>
        <w:rPr>
          <w:spacing w:val="80"/>
          <w:sz w:val="24"/>
        </w:rPr>
        <w:t> </w:t>
      </w:r>
      <w:r>
        <w:rPr>
          <w:sz w:val="24"/>
        </w:rPr>
        <w:t>FSI</w:t>
      </w:r>
      <w:r>
        <w:rPr>
          <w:spacing w:val="80"/>
          <w:sz w:val="24"/>
        </w:rPr>
        <w:t> </w:t>
      </w:r>
      <w:r>
        <w:rPr>
          <w:sz w:val="24"/>
        </w:rPr>
        <w:t>&amp;</w:t>
      </w:r>
      <w:r>
        <w:rPr>
          <w:spacing w:val="80"/>
          <w:sz w:val="24"/>
        </w:rPr>
        <w:t> </w:t>
      </w:r>
      <w:r>
        <w:rPr>
          <w:sz w:val="24"/>
        </w:rPr>
        <w:t>distribution</w:t>
      </w:r>
      <w:r>
        <w:rPr>
          <w:spacing w:val="80"/>
          <w:sz w:val="24"/>
        </w:rPr>
        <w:t> </w:t>
      </w:r>
      <w:r>
        <w:rPr>
          <w:sz w:val="24"/>
        </w:rPr>
        <w:t>of</w:t>
      </w:r>
      <w:r>
        <w:rPr>
          <w:spacing w:val="80"/>
          <w:sz w:val="24"/>
        </w:rPr>
        <w:t> </w:t>
      </w:r>
      <w:r>
        <w:rPr>
          <w:sz w:val="24"/>
        </w:rPr>
        <w:t>additional</w:t>
      </w:r>
      <w:r>
        <w:rPr>
          <w:spacing w:val="80"/>
          <w:sz w:val="24"/>
        </w:rPr>
        <w:t> </w:t>
      </w:r>
      <w:r>
        <w:rPr>
          <w:sz w:val="24"/>
        </w:rPr>
        <w:t>FSI</w:t>
      </w:r>
      <w:r>
        <w:rPr>
          <w:spacing w:val="80"/>
          <w:sz w:val="24"/>
        </w:rPr>
        <w:t> </w:t>
      </w:r>
      <w:r>
        <w:rPr>
          <w:sz w:val="24"/>
        </w:rPr>
        <w:t>for</w:t>
      </w:r>
      <w:r>
        <w:rPr>
          <w:spacing w:val="80"/>
          <w:sz w:val="24"/>
        </w:rPr>
        <w:t> </w:t>
      </w:r>
      <w:r>
        <w:rPr>
          <w:sz w:val="24"/>
        </w:rPr>
        <w:t>the</w:t>
      </w:r>
      <w:r>
        <w:rPr>
          <w:spacing w:val="80"/>
          <w:sz w:val="24"/>
        </w:rPr>
        <w:t> </w:t>
      </w:r>
      <w:r>
        <w:rPr>
          <w:sz w:val="24"/>
        </w:rPr>
        <w:t>construction AH</w:t>
      </w:r>
      <w:r>
        <w:rPr>
          <w:color w:val="000000"/>
          <w:sz w:val="24"/>
          <w:shd w:fill="FFCCFF" w:color="auto" w:val="clear"/>
        </w:rPr>
        <w:t>/R&amp;R</w:t>
      </w:r>
      <w:r>
        <w:rPr>
          <w:color w:val="000000"/>
          <w:sz w:val="24"/>
        </w:rPr>
        <w:t> shall be as shown below:</w:t>
      </w:r>
    </w:p>
    <w:p>
      <w:pPr>
        <w:pStyle w:val="BodyText"/>
        <w:spacing w:before="7"/>
        <w:jc w:val="left"/>
        <w:rPr>
          <w:sz w:val="20"/>
        </w:rPr>
      </w:pPr>
    </w:p>
    <w:tbl>
      <w:tblPr>
        <w:tblW w:w="0" w:type="auto"/>
        <w:jc w:val="left"/>
        <w:tblInd w:w="1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6"/>
        <w:gridCol w:w="1268"/>
        <w:gridCol w:w="1455"/>
        <w:gridCol w:w="824"/>
        <w:gridCol w:w="1323"/>
        <w:gridCol w:w="1348"/>
        <w:gridCol w:w="1614"/>
      </w:tblGrid>
      <w:tr>
        <w:trPr>
          <w:trHeight w:val="2335" w:hRule="atLeast"/>
        </w:trPr>
        <w:tc>
          <w:tcPr>
            <w:tcW w:w="1236" w:type="dxa"/>
          </w:tcPr>
          <w:p>
            <w:pPr>
              <w:pStyle w:val="TableParagraph"/>
              <w:spacing w:before="37"/>
              <w:ind w:left="107"/>
              <w:rPr>
                <w:sz w:val="24"/>
              </w:rPr>
            </w:pPr>
            <w:r>
              <w:rPr>
                <w:spacing w:val="-2"/>
                <w:sz w:val="24"/>
              </w:rPr>
              <w:t>Location</w:t>
            </w:r>
          </w:p>
        </w:tc>
        <w:tc>
          <w:tcPr>
            <w:tcW w:w="1268" w:type="dxa"/>
          </w:tcPr>
          <w:p>
            <w:pPr>
              <w:pStyle w:val="TableParagraph"/>
              <w:tabs>
                <w:tab w:pos="560" w:val="left" w:leader="none"/>
              </w:tabs>
              <w:spacing w:before="40"/>
              <w:ind w:left="107" w:right="99"/>
              <w:rPr>
                <w:sz w:val="24"/>
              </w:rPr>
            </w:pPr>
            <w:r>
              <w:rPr>
                <w:spacing w:val="-2"/>
                <w:sz w:val="24"/>
              </w:rPr>
              <w:t>Minimu </w:t>
            </w:r>
            <w:r>
              <w:rPr>
                <w:spacing w:val="-10"/>
                <w:sz w:val="24"/>
              </w:rPr>
              <w:t>m</w:t>
            </w:r>
            <w:r>
              <w:rPr>
                <w:sz w:val="24"/>
              </w:rPr>
              <w:tab/>
            </w:r>
            <w:r>
              <w:rPr>
                <w:spacing w:val="-4"/>
                <w:sz w:val="24"/>
              </w:rPr>
              <w:t>Road </w:t>
            </w:r>
            <w:r>
              <w:rPr>
                <w:spacing w:val="-2"/>
                <w:sz w:val="24"/>
              </w:rPr>
              <w:t>Width</w:t>
            </w:r>
          </w:p>
        </w:tc>
        <w:tc>
          <w:tcPr>
            <w:tcW w:w="1455" w:type="dxa"/>
          </w:tcPr>
          <w:p>
            <w:pPr>
              <w:pStyle w:val="TableParagraph"/>
              <w:spacing w:before="40"/>
              <w:ind w:left="105" w:right="36"/>
              <w:rPr>
                <w:sz w:val="24"/>
              </w:rPr>
            </w:pPr>
            <w:r>
              <w:rPr>
                <w:spacing w:val="-2"/>
                <w:sz w:val="24"/>
              </w:rPr>
              <w:t>Total permissibl </w:t>
            </w:r>
            <w:r>
              <w:rPr>
                <w:sz w:val="24"/>
              </w:rPr>
              <w:t>e FSI</w:t>
            </w:r>
          </w:p>
        </w:tc>
        <w:tc>
          <w:tcPr>
            <w:tcW w:w="824" w:type="dxa"/>
          </w:tcPr>
          <w:p>
            <w:pPr>
              <w:pStyle w:val="TableParagraph"/>
              <w:spacing w:before="40"/>
              <w:ind w:left="106" w:right="118"/>
              <w:rPr>
                <w:sz w:val="24"/>
              </w:rPr>
            </w:pPr>
            <w:r>
              <w:rPr>
                <w:spacing w:val="-4"/>
                <w:sz w:val="24"/>
              </w:rPr>
              <w:t>Zona </w:t>
            </w:r>
            <w:r>
              <w:rPr>
                <w:sz w:val="24"/>
              </w:rPr>
              <w:t>l </w:t>
            </w:r>
            <w:r>
              <w:rPr>
                <w:spacing w:val="-5"/>
                <w:sz w:val="24"/>
              </w:rPr>
              <w:t>FSI</w:t>
            </w:r>
          </w:p>
        </w:tc>
        <w:tc>
          <w:tcPr>
            <w:tcW w:w="1323" w:type="dxa"/>
          </w:tcPr>
          <w:p>
            <w:pPr>
              <w:pStyle w:val="TableParagraph"/>
              <w:spacing w:before="40"/>
              <w:ind w:left="106" w:right="214"/>
              <w:rPr>
                <w:sz w:val="24"/>
              </w:rPr>
            </w:pPr>
            <w:r>
              <w:rPr>
                <w:spacing w:val="-2"/>
                <w:sz w:val="24"/>
              </w:rPr>
              <w:t>Addition </w:t>
            </w:r>
            <w:r>
              <w:rPr>
                <w:sz w:val="24"/>
              </w:rPr>
              <w:t>al FSI</w:t>
            </w:r>
          </w:p>
        </w:tc>
        <w:tc>
          <w:tcPr>
            <w:tcW w:w="1348" w:type="dxa"/>
          </w:tcPr>
          <w:p>
            <w:pPr>
              <w:pStyle w:val="TableParagraph"/>
              <w:tabs>
                <w:tab w:pos="919" w:val="left" w:leader="none"/>
              </w:tabs>
              <w:spacing w:before="40"/>
              <w:ind w:left="105" w:right="97" w:firstLine="2"/>
              <w:rPr>
                <w:sz w:val="24"/>
              </w:rPr>
            </w:pPr>
            <w:r>
              <w:rPr>
                <w:color w:val="000000"/>
                <w:spacing w:val="-4"/>
                <w:sz w:val="24"/>
                <w:shd w:fill="FFCCFF" w:color="auto" w:val="clear"/>
              </w:rPr>
              <w:t>%</w:t>
            </w:r>
            <w:r>
              <w:rPr>
                <w:color w:val="000000"/>
                <w:spacing w:val="-4"/>
                <w:sz w:val="24"/>
              </w:rPr>
              <w:t>FSI</w:t>
            </w:r>
            <w:r>
              <w:rPr>
                <w:color w:val="000000"/>
                <w:sz w:val="24"/>
              </w:rPr>
              <w:tab/>
            </w:r>
            <w:r>
              <w:rPr>
                <w:color w:val="000000"/>
                <w:spacing w:val="-76"/>
                <w:sz w:val="24"/>
              </w:rPr>
              <w:t> </w:t>
            </w:r>
            <w:r>
              <w:rPr>
                <w:color w:val="000000"/>
                <w:spacing w:val="-4"/>
                <w:sz w:val="24"/>
              </w:rPr>
              <w:t>for </w:t>
            </w:r>
            <w:r>
              <w:rPr>
                <w:color w:val="000000"/>
                <w:spacing w:val="-2"/>
                <w:sz w:val="24"/>
              </w:rPr>
              <w:t>Transit tenement </w:t>
            </w:r>
            <w:r>
              <w:rPr>
                <w:color w:val="000000"/>
                <w:spacing w:val="-10"/>
                <w:sz w:val="24"/>
              </w:rPr>
              <w:t>s</w:t>
            </w:r>
            <w:r>
              <w:rPr>
                <w:color w:val="000000"/>
                <w:sz w:val="24"/>
              </w:rPr>
              <w:tab/>
            </w:r>
            <w:r>
              <w:rPr>
                <w:color w:val="000000"/>
                <w:spacing w:val="-5"/>
                <w:sz w:val="24"/>
              </w:rPr>
              <w:t>for</w:t>
            </w:r>
          </w:p>
          <w:p>
            <w:pPr>
              <w:pStyle w:val="TableParagraph"/>
              <w:tabs>
                <w:tab w:pos="1025" w:val="left" w:leader="none"/>
              </w:tabs>
              <w:ind w:left="105" w:right="99"/>
              <w:rPr>
                <w:sz w:val="24"/>
              </w:rPr>
            </w:pPr>
            <w:r>
              <w:rPr>
                <w:spacing w:val="-4"/>
                <w:sz w:val="24"/>
              </w:rPr>
              <w:t>SRA/</w:t>
            </w:r>
            <w:r>
              <w:rPr>
                <w:sz w:val="24"/>
              </w:rPr>
              <w:tab/>
            </w:r>
            <w:r>
              <w:rPr>
                <w:color w:val="000000"/>
                <w:spacing w:val="-6"/>
                <w:sz w:val="24"/>
                <w:shd w:fill="FFCCFF" w:color="auto" w:val="clear"/>
              </w:rPr>
              <w:t>of</w:t>
            </w:r>
            <w:r>
              <w:rPr>
                <w:color w:val="000000"/>
                <w:spacing w:val="-6"/>
                <w:sz w:val="24"/>
              </w:rPr>
              <w:t> </w:t>
            </w:r>
            <w:r>
              <w:rPr>
                <w:color w:val="000000"/>
                <w:spacing w:val="-2"/>
                <w:sz w:val="24"/>
                <w:shd w:fill="FFCCFF" w:color="auto" w:val="clear"/>
              </w:rPr>
              <w:t>total</w:t>
            </w:r>
            <w:r>
              <w:rPr>
                <w:color w:val="000000"/>
                <w:spacing w:val="-2"/>
                <w:sz w:val="24"/>
              </w:rPr>
              <w:t> </w:t>
            </w:r>
            <w:r>
              <w:rPr>
                <w:color w:val="000000"/>
                <w:spacing w:val="-2"/>
                <w:sz w:val="24"/>
                <w:shd w:fill="FFCCFF" w:color="auto" w:val="clear"/>
              </w:rPr>
              <w:t>additiona</w:t>
            </w:r>
            <w:r>
              <w:rPr>
                <w:color w:val="000000"/>
                <w:spacing w:val="-2"/>
                <w:sz w:val="24"/>
              </w:rPr>
              <w:t> </w:t>
            </w:r>
            <w:r>
              <w:rPr>
                <w:color w:val="000000"/>
                <w:sz w:val="24"/>
                <w:shd w:fill="FFCCFF" w:color="auto" w:val="clear"/>
              </w:rPr>
              <w:t>l FSI</w:t>
            </w:r>
          </w:p>
        </w:tc>
        <w:tc>
          <w:tcPr>
            <w:tcW w:w="1614" w:type="dxa"/>
          </w:tcPr>
          <w:p>
            <w:pPr>
              <w:pStyle w:val="TableParagraph"/>
              <w:tabs>
                <w:tab w:pos="555" w:val="left" w:leader="none"/>
                <w:tab w:pos="973" w:val="left" w:leader="none"/>
                <w:tab w:pos="1186" w:val="left" w:leader="none"/>
              </w:tabs>
              <w:spacing w:before="40"/>
              <w:ind w:left="104" w:right="98"/>
              <w:rPr>
                <w:sz w:val="24"/>
              </w:rPr>
            </w:pPr>
            <w:r>
              <w:rPr>
                <w:spacing w:val="-10"/>
                <w:sz w:val="24"/>
              </w:rPr>
              <w:t>%</w:t>
            </w:r>
            <w:r>
              <w:rPr>
                <w:sz w:val="24"/>
              </w:rPr>
              <w:tab/>
            </w:r>
            <w:r>
              <w:rPr>
                <w:spacing w:val="-4"/>
                <w:sz w:val="24"/>
              </w:rPr>
              <w:t>FSI</w:t>
            </w:r>
            <w:r>
              <w:rPr>
                <w:sz w:val="24"/>
              </w:rPr>
              <w:tab/>
              <w:tab/>
            </w:r>
            <w:r>
              <w:rPr>
                <w:spacing w:val="-4"/>
                <w:sz w:val="24"/>
              </w:rPr>
              <w:t>for sale </w:t>
            </w:r>
            <w:r>
              <w:rPr>
                <w:spacing w:val="-2"/>
                <w:sz w:val="24"/>
              </w:rPr>
              <w:t>component </w:t>
            </w:r>
            <w:r>
              <w:rPr>
                <w:color w:val="000000"/>
                <w:spacing w:val="-6"/>
                <w:sz w:val="24"/>
                <w:shd w:fill="FFCCFF" w:color="auto" w:val="clear"/>
              </w:rPr>
              <w:t>of</w:t>
            </w:r>
            <w:r>
              <w:rPr>
                <w:color w:val="000000"/>
                <w:sz w:val="24"/>
                <w:shd w:fill="FFCCFF" w:color="auto" w:val="clear"/>
              </w:rPr>
              <w:tab/>
              <w:tab/>
            </w:r>
            <w:r>
              <w:rPr>
                <w:color w:val="000000"/>
                <w:spacing w:val="-4"/>
                <w:sz w:val="24"/>
                <w:shd w:fill="FFCCFF" w:color="auto" w:val="clear"/>
              </w:rPr>
              <w:t>total</w:t>
            </w:r>
            <w:r>
              <w:rPr>
                <w:color w:val="000000"/>
                <w:spacing w:val="-4"/>
                <w:sz w:val="24"/>
              </w:rPr>
              <w:t> </w:t>
            </w:r>
            <w:r>
              <w:rPr>
                <w:color w:val="000000"/>
                <w:spacing w:val="-2"/>
                <w:sz w:val="24"/>
                <w:shd w:fill="FFCCFF" w:color="auto" w:val="clear"/>
              </w:rPr>
              <w:t>additional</w:t>
            </w:r>
            <w:r>
              <w:rPr>
                <w:color w:val="000000"/>
                <w:spacing w:val="-2"/>
                <w:sz w:val="24"/>
              </w:rPr>
              <w:t> </w:t>
            </w:r>
            <w:r>
              <w:rPr>
                <w:color w:val="000000"/>
                <w:spacing w:val="-4"/>
                <w:sz w:val="24"/>
                <w:shd w:fill="FFCCFF" w:color="auto" w:val="clear"/>
              </w:rPr>
              <w:t>FSI</w:t>
            </w:r>
          </w:p>
        </w:tc>
      </w:tr>
      <w:tr>
        <w:trPr>
          <w:trHeight w:val="494" w:hRule="atLeast"/>
        </w:trPr>
        <w:tc>
          <w:tcPr>
            <w:tcW w:w="1236" w:type="dxa"/>
          </w:tcPr>
          <w:p>
            <w:pPr>
              <w:pStyle w:val="TableParagraph"/>
              <w:spacing w:before="37"/>
              <w:ind w:left="107"/>
              <w:rPr>
                <w:sz w:val="24"/>
              </w:rPr>
            </w:pPr>
            <w:r>
              <w:rPr>
                <w:spacing w:val="-10"/>
                <w:sz w:val="24"/>
              </w:rPr>
              <w:t>1</w:t>
            </w:r>
          </w:p>
        </w:tc>
        <w:tc>
          <w:tcPr>
            <w:tcW w:w="1268" w:type="dxa"/>
          </w:tcPr>
          <w:p>
            <w:pPr>
              <w:pStyle w:val="TableParagraph"/>
              <w:spacing w:before="37"/>
              <w:ind w:left="8" w:right="8"/>
              <w:jc w:val="center"/>
              <w:rPr>
                <w:sz w:val="24"/>
              </w:rPr>
            </w:pPr>
            <w:r>
              <w:rPr>
                <w:spacing w:val="-10"/>
                <w:sz w:val="24"/>
              </w:rPr>
              <w:t>2</w:t>
            </w:r>
          </w:p>
        </w:tc>
        <w:tc>
          <w:tcPr>
            <w:tcW w:w="1455" w:type="dxa"/>
          </w:tcPr>
          <w:p>
            <w:pPr>
              <w:pStyle w:val="TableParagraph"/>
              <w:spacing w:before="37"/>
              <w:ind w:left="3"/>
              <w:jc w:val="center"/>
              <w:rPr>
                <w:sz w:val="24"/>
              </w:rPr>
            </w:pPr>
            <w:r>
              <w:rPr>
                <w:spacing w:val="-10"/>
                <w:sz w:val="24"/>
              </w:rPr>
              <w:t>3</w:t>
            </w:r>
          </w:p>
        </w:tc>
        <w:tc>
          <w:tcPr>
            <w:tcW w:w="824" w:type="dxa"/>
          </w:tcPr>
          <w:p>
            <w:pPr>
              <w:pStyle w:val="TableParagraph"/>
              <w:spacing w:before="37"/>
              <w:ind w:left="4"/>
              <w:jc w:val="center"/>
              <w:rPr>
                <w:sz w:val="24"/>
              </w:rPr>
            </w:pPr>
            <w:r>
              <w:rPr>
                <w:spacing w:val="-10"/>
                <w:sz w:val="24"/>
              </w:rPr>
              <w:t>4</w:t>
            </w:r>
          </w:p>
        </w:tc>
        <w:tc>
          <w:tcPr>
            <w:tcW w:w="1323" w:type="dxa"/>
          </w:tcPr>
          <w:p>
            <w:pPr>
              <w:pStyle w:val="TableParagraph"/>
              <w:spacing w:before="37"/>
              <w:ind w:left="4"/>
              <w:jc w:val="center"/>
              <w:rPr>
                <w:sz w:val="24"/>
              </w:rPr>
            </w:pPr>
            <w:r>
              <w:rPr>
                <w:spacing w:val="-10"/>
                <w:sz w:val="24"/>
              </w:rPr>
              <w:t>5</w:t>
            </w:r>
          </w:p>
        </w:tc>
        <w:tc>
          <w:tcPr>
            <w:tcW w:w="1348" w:type="dxa"/>
          </w:tcPr>
          <w:p>
            <w:pPr>
              <w:pStyle w:val="TableParagraph"/>
              <w:spacing w:before="37"/>
              <w:ind w:left="139" w:right="133"/>
              <w:jc w:val="center"/>
              <w:rPr>
                <w:sz w:val="24"/>
              </w:rPr>
            </w:pPr>
            <w:r>
              <w:rPr>
                <w:spacing w:val="-10"/>
                <w:sz w:val="24"/>
              </w:rPr>
              <w:t>6</w:t>
            </w:r>
          </w:p>
        </w:tc>
        <w:tc>
          <w:tcPr>
            <w:tcW w:w="1614" w:type="dxa"/>
          </w:tcPr>
          <w:p>
            <w:pPr>
              <w:pStyle w:val="TableParagraph"/>
              <w:spacing w:before="37"/>
              <w:ind w:left="2"/>
              <w:jc w:val="center"/>
              <w:rPr>
                <w:sz w:val="24"/>
              </w:rPr>
            </w:pPr>
            <w:r>
              <w:rPr>
                <w:spacing w:val="-10"/>
                <w:sz w:val="24"/>
              </w:rPr>
              <w:t>7</w:t>
            </w:r>
          </w:p>
        </w:tc>
      </w:tr>
      <w:tr>
        <w:trPr>
          <w:trHeight w:val="645" w:hRule="atLeast"/>
        </w:trPr>
        <w:tc>
          <w:tcPr>
            <w:tcW w:w="1236" w:type="dxa"/>
            <w:vMerge w:val="restart"/>
          </w:tcPr>
          <w:p>
            <w:pPr>
              <w:pStyle w:val="TableParagraph"/>
              <w:spacing w:before="42"/>
              <w:ind w:left="107" w:right="386"/>
              <w:rPr>
                <w:sz w:val="24"/>
              </w:rPr>
            </w:pPr>
            <w:r>
              <w:rPr>
                <w:spacing w:val="-2"/>
                <w:sz w:val="24"/>
              </w:rPr>
              <w:t>Island </w:t>
            </w:r>
            <w:r>
              <w:rPr>
                <w:spacing w:val="-4"/>
                <w:sz w:val="24"/>
              </w:rPr>
              <w:t>City</w:t>
            </w:r>
          </w:p>
        </w:tc>
        <w:tc>
          <w:tcPr>
            <w:tcW w:w="1268" w:type="dxa"/>
          </w:tcPr>
          <w:p>
            <w:pPr>
              <w:pStyle w:val="TableParagraph"/>
              <w:spacing w:before="40"/>
              <w:ind w:left="8"/>
              <w:jc w:val="center"/>
              <w:rPr>
                <w:sz w:val="24"/>
              </w:rPr>
            </w:pPr>
            <w:r>
              <w:rPr>
                <w:spacing w:val="-5"/>
                <w:sz w:val="24"/>
              </w:rPr>
              <w:t>12m</w:t>
            </w:r>
          </w:p>
        </w:tc>
        <w:tc>
          <w:tcPr>
            <w:tcW w:w="1455" w:type="dxa"/>
          </w:tcPr>
          <w:p>
            <w:pPr>
              <w:pStyle w:val="TableParagraph"/>
              <w:spacing w:before="40"/>
              <w:ind w:left="3"/>
              <w:jc w:val="center"/>
              <w:rPr>
                <w:sz w:val="24"/>
              </w:rPr>
            </w:pPr>
            <w:r>
              <w:rPr>
                <w:sz w:val="24"/>
              </w:rPr>
              <w:t>Up</w:t>
            </w:r>
            <w:r>
              <w:rPr>
                <w:spacing w:val="-1"/>
                <w:sz w:val="24"/>
              </w:rPr>
              <w:t> </w:t>
            </w:r>
            <w:r>
              <w:rPr>
                <w:sz w:val="24"/>
              </w:rPr>
              <w:t>to</w:t>
            </w:r>
            <w:r>
              <w:rPr>
                <w:spacing w:val="-1"/>
                <w:sz w:val="24"/>
              </w:rPr>
              <w:t> </w:t>
            </w:r>
            <w:r>
              <w:rPr>
                <w:spacing w:val="-5"/>
                <w:sz w:val="24"/>
              </w:rPr>
              <w:t>3.0</w:t>
            </w:r>
          </w:p>
        </w:tc>
        <w:tc>
          <w:tcPr>
            <w:tcW w:w="824" w:type="dxa"/>
          </w:tcPr>
          <w:p>
            <w:pPr>
              <w:pStyle w:val="TableParagraph"/>
              <w:spacing w:before="40"/>
              <w:ind w:left="4"/>
              <w:jc w:val="center"/>
              <w:rPr>
                <w:sz w:val="24"/>
              </w:rPr>
            </w:pPr>
            <w:r>
              <w:rPr>
                <w:spacing w:val="-4"/>
                <w:sz w:val="24"/>
              </w:rPr>
              <w:t>1.33</w:t>
            </w:r>
          </w:p>
        </w:tc>
        <w:tc>
          <w:tcPr>
            <w:tcW w:w="1323" w:type="dxa"/>
          </w:tcPr>
          <w:p>
            <w:pPr>
              <w:pStyle w:val="TableParagraph"/>
              <w:spacing w:before="42"/>
              <w:ind w:left="396" w:right="214" w:hanging="58"/>
              <w:rPr>
                <w:sz w:val="24"/>
              </w:rPr>
            </w:pPr>
            <w:r>
              <w:rPr>
                <w:sz w:val="24"/>
              </w:rPr>
              <w:t>Up</w:t>
            </w:r>
            <w:r>
              <w:rPr>
                <w:spacing w:val="-20"/>
                <w:sz w:val="24"/>
              </w:rPr>
              <w:t> </w:t>
            </w:r>
            <w:r>
              <w:rPr>
                <w:sz w:val="24"/>
              </w:rPr>
              <w:t>to </w:t>
            </w:r>
            <w:r>
              <w:rPr>
                <w:spacing w:val="-4"/>
                <w:sz w:val="24"/>
              </w:rPr>
              <w:t>1.67</w:t>
            </w:r>
          </w:p>
        </w:tc>
        <w:tc>
          <w:tcPr>
            <w:tcW w:w="1348" w:type="dxa"/>
            <w:vMerge w:val="restart"/>
          </w:tcPr>
          <w:p>
            <w:pPr>
              <w:pStyle w:val="TableParagraph"/>
              <w:rPr>
                <w:sz w:val="24"/>
              </w:rPr>
            </w:pPr>
          </w:p>
          <w:p>
            <w:pPr>
              <w:pStyle w:val="TableParagraph"/>
              <w:spacing w:before="105"/>
              <w:rPr>
                <w:sz w:val="24"/>
              </w:rPr>
            </w:pPr>
          </w:p>
          <w:p>
            <w:pPr>
              <w:pStyle w:val="TableParagraph"/>
              <w:tabs>
                <w:tab w:pos="566" w:val="left" w:leader="none"/>
              </w:tabs>
              <w:ind w:left="105"/>
              <w:rPr>
                <w:sz w:val="24"/>
              </w:rPr>
            </w:pPr>
            <w:r>
              <w:rPr>
                <w:color w:val="000000"/>
                <w:sz w:val="24"/>
                <w:shd w:fill="FFCCFF" w:color="auto" w:val="clear"/>
              </w:rPr>
              <w:tab/>
            </w:r>
            <w:r>
              <w:rPr>
                <w:color w:val="000000"/>
                <w:spacing w:val="-5"/>
                <w:sz w:val="24"/>
                <w:shd w:fill="FFCCFF" w:color="auto" w:val="clear"/>
              </w:rPr>
              <w:t>63%</w:t>
            </w:r>
          </w:p>
        </w:tc>
        <w:tc>
          <w:tcPr>
            <w:tcW w:w="1614" w:type="dxa"/>
            <w:vMerge w:val="restart"/>
          </w:tcPr>
          <w:p>
            <w:pPr>
              <w:pStyle w:val="TableParagraph"/>
              <w:spacing w:before="39"/>
              <w:rPr>
                <w:sz w:val="24"/>
              </w:rPr>
            </w:pPr>
          </w:p>
          <w:p>
            <w:pPr>
              <w:pStyle w:val="TableParagraph"/>
              <w:ind w:left="2"/>
              <w:jc w:val="center"/>
              <w:rPr>
                <w:sz w:val="24"/>
              </w:rPr>
            </w:pPr>
            <w:r>
              <w:rPr>
                <w:color w:val="000000"/>
                <w:spacing w:val="-5"/>
                <w:sz w:val="24"/>
                <w:shd w:fill="FFCCFF" w:color="auto" w:val="clear"/>
              </w:rPr>
              <w:t>37%</w:t>
            </w:r>
          </w:p>
        </w:tc>
      </w:tr>
      <w:tr>
        <w:trPr>
          <w:trHeight w:val="642" w:hRule="atLeast"/>
        </w:trPr>
        <w:tc>
          <w:tcPr>
            <w:tcW w:w="1236" w:type="dxa"/>
            <w:vMerge/>
            <w:tcBorders>
              <w:top w:val="nil"/>
            </w:tcBorders>
          </w:tcPr>
          <w:p>
            <w:pPr>
              <w:rPr>
                <w:sz w:val="2"/>
                <w:szCs w:val="2"/>
              </w:rPr>
            </w:pPr>
          </w:p>
        </w:tc>
        <w:tc>
          <w:tcPr>
            <w:tcW w:w="1268" w:type="dxa"/>
          </w:tcPr>
          <w:p>
            <w:pPr>
              <w:pStyle w:val="TableParagraph"/>
              <w:spacing w:before="37"/>
              <w:ind w:left="8"/>
              <w:jc w:val="center"/>
              <w:rPr>
                <w:sz w:val="24"/>
              </w:rPr>
            </w:pPr>
            <w:r>
              <w:rPr>
                <w:spacing w:val="-5"/>
                <w:sz w:val="24"/>
              </w:rPr>
              <w:t>18m</w:t>
            </w:r>
          </w:p>
        </w:tc>
        <w:tc>
          <w:tcPr>
            <w:tcW w:w="1455" w:type="dxa"/>
          </w:tcPr>
          <w:p>
            <w:pPr>
              <w:pStyle w:val="TableParagraph"/>
              <w:spacing w:before="37"/>
              <w:ind w:left="3"/>
              <w:jc w:val="center"/>
              <w:rPr>
                <w:sz w:val="24"/>
              </w:rPr>
            </w:pPr>
            <w:r>
              <w:rPr>
                <w:color w:val="000000"/>
                <w:sz w:val="24"/>
                <w:shd w:fill="FFCCFF" w:color="auto" w:val="clear"/>
              </w:rPr>
              <w:t>Up</w:t>
            </w:r>
            <w:r>
              <w:rPr>
                <w:color w:val="000000"/>
                <w:spacing w:val="-1"/>
                <w:sz w:val="24"/>
                <w:shd w:fill="FFCCFF" w:color="auto" w:val="clear"/>
              </w:rPr>
              <w:t> </w:t>
            </w:r>
            <w:r>
              <w:rPr>
                <w:color w:val="000000"/>
                <w:spacing w:val="-2"/>
                <w:sz w:val="24"/>
                <w:shd w:fill="FFCCFF" w:color="auto" w:val="clear"/>
              </w:rPr>
              <w:t>to</w:t>
            </w:r>
            <w:r>
              <w:rPr>
                <w:color w:val="000000"/>
                <w:spacing w:val="-2"/>
                <w:sz w:val="24"/>
              </w:rPr>
              <w:t>4.0</w:t>
            </w:r>
          </w:p>
        </w:tc>
        <w:tc>
          <w:tcPr>
            <w:tcW w:w="824" w:type="dxa"/>
          </w:tcPr>
          <w:p>
            <w:pPr>
              <w:pStyle w:val="TableParagraph"/>
              <w:spacing w:before="37"/>
              <w:ind w:left="4"/>
              <w:jc w:val="center"/>
              <w:rPr>
                <w:sz w:val="24"/>
              </w:rPr>
            </w:pPr>
            <w:r>
              <w:rPr>
                <w:spacing w:val="-4"/>
                <w:sz w:val="24"/>
              </w:rPr>
              <w:t>1.33</w:t>
            </w:r>
          </w:p>
        </w:tc>
        <w:tc>
          <w:tcPr>
            <w:tcW w:w="1323" w:type="dxa"/>
          </w:tcPr>
          <w:p>
            <w:pPr>
              <w:pStyle w:val="TableParagraph"/>
              <w:spacing w:before="40"/>
              <w:ind w:left="284" w:right="272" w:firstLine="206"/>
              <w:rPr>
                <w:sz w:val="24"/>
              </w:rPr>
            </w:pPr>
            <w:r>
              <w:rPr>
                <w:color w:val="000000"/>
                <w:spacing w:val="-6"/>
                <w:sz w:val="24"/>
                <w:shd w:fill="FFCCFF" w:color="auto" w:val="clear"/>
              </w:rPr>
              <w:t>Up</w:t>
            </w:r>
            <w:r>
              <w:rPr>
                <w:color w:val="000000"/>
                <w:spacing w:val="-6"/>
                <w:sz w:val="24"/>
              </w:rPr>
              <w:t> </w:t>
            </w:r>
            <w:r>
              <w:rPr>
                <w:color w:val="000000"/>
                <w:spacing w:val="-2"/>
                <w:sz w:val="24"/>
                <w:shd w:fill="FFCCFF" w:color="auto" w:val="clear"/>
              </w:rPr>
              <w:t>to</w:t>
            </w:r>
            <w:r>
              <w:rPr>
                <w:color w:val="000000"/>
                <w:spacing w:val="-2"/>
                <w:sz w:val="24"/>
              </w:rPr>
              <w:t>2.67</w:t>
            </w:r>
          </w:p>
        </w:tc>
        <w:tc>
          <w:tcPr>
            <w:tcW w:w="1348" w:type="dxa"/>
            <w:vMerge/>
            <w:tcBorders>
              <w:top w:val="nil"/>
            </w:tcBorders>
          </w:tcPr>
          <w:p>
            <w:pPr>
              <w:rPr>
                <w:sz w:val="2"/>
                <w:szCs w:val="2"/>
              </w:rPr>
            </w:pPr>
          </w:p>
        </w:tc>
        <w:tc>
          <w:tcPr>
            <w:tcW w:w="1614" w:type="dxa"/>
            <w:vMerge/>
            <w:tcBorders>
              <w:top w:val="nil"/>
            </w:tcBorders>
          </w:tcPr>
          <w:p>
            <w:pPr>
              <w:rPr>
                <w:sz w:val="2"/>
                <w:szCs w:val="2"/>
              </w:rPr>
            </w:pPr>
          </w:p>
        </w:tc>
      </w:tr>
    </w:tbl>
    <w:p>
      <w:pPr>
        <w:spacing w:after="0"/>
        <w:rPr>
          <w:sz w:val="2"/>
          <w:szCs w:val="2"/>
        </w:rPr>
        <w:sectPr>
          <w:pgSz w:w="11910" w:h="16840"/>
          <w:pgMar w:header="1065" w:footer="1194" w:top="1500" w:bottom="1380" w:left="360" w:right="360"/>
        </w:sectPr>
      </w:pPr>
    </w:p>
    <w:p>
      <w:pPr>
        <w:pStyle w:val="BodyText"/>
        <w:spacing w:before="14" w:after="1"/>
        <w:jc w:val="left"/>
        <w:rPr>
          <w:sz w:val="20"/>
        </w:rPr>
      </w:pPr>
    </w:p>
    <w:tbl>
      <w:tblPr>
        <w:tblW w:w="0" w:type="auto"/>
        <w:jc w:val="left"/>
        <w:tblInd w:w="1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6"/>
        <w:gridCol w:w="1268"/>
        <w:gridCol w:w="1455"/>
        <w:gridCol w:w="824"/>
        <w:gridCol w:w="1323"/>
        <w:gridCol w:w="1348"/>
        <w:gridCol w:w="1614"/>
      </w:tblGrid>
      <w:tr>
        <w:trPr>
          <w:trHeight w:val="496" w:hRule="atLeast"/>
        </w:trPr>
        <w:tc>
          <w:tcPr>
            <w:tcW w:w="1236" w:type="dxa"/>
            <w:vMerge w:val="restart"/>
          </w:tcPr>
          <w:p>
            <w:pPr>
              <w:pStyle w:val="TableParagraph"/>
              <w:spacing w:before="42"/>
              <w:ind w:left="107" w:right="100"/>
              <w:rPr>
                <w:sz w:val="24"/>
              </w:rPr>
            </w:pPr>
            <w:r>
              <w:rPr>
                <w:spacing w:val="-2"/>
                <w:sz w:val="24"/>
              </w:rPr>
              <w:t>Suburbs </w:t>
            </w:r>
            <w:r>
              <w:rPr>
                <w:spacing w:val="-10"/>
                <w:sz w:val="24"/>
              </w:rPr>
              <w:t>&amp; </w:t>
            </w:r>
            <w:r>
              <w:rPr>
                <w:spacing w:val="-2"/>
                <w:sz w:val="24"/>
              </w:rPr>
              <w:t>Extende </w:t>
            </w:r>
            <w:r>
              <w:rPr>
                <w:spacing w:val="-10"/>
                <w:sz w:val="24"/>
              </w:rPr>
              <w:t>d </w:t>
            </w:r>
            <w:r>
              <w:rPr>
                <w:spacing w:val="-2"/>
                <w:sz w:val="24"/>
              </w:rPr>
              <w:t>Suburbs</w:t>
            </w:r>
          </w:p>
        </w:tc>
        <w:tc>
          <w:tcPr>
            <w:tcW w:w="1268" w:type="dxa"/>
          </w:tcPr>
          <w:p>
            <w:pPr>
              <w:pStyle w:val="TableParagraph"/>
              <w:spacing w:before="40"/>
              <w:ind w:left="8"/>
              <w:jc w:val="center"/>
              <w:rPr>
                <w:sz w:val="24"/>
              </w:rPr>
            </w:pPr>
            <w:r>
              <w:rPr>
                <w:spacing w:val="-5"/>
                <w:sz w:val="24"/>
              </w:rPr>
              <w:t>12m</w:t>
            </w:r>
          </w:p>
        </w:tc>
        <w:tc>
          <w:tcPr>
            <w:tcW w:w="1455" w:type="dxa"/>
          </w:tcPr>
          <w:p>
            <w:pPr>
              <w:pStyle w:val="TableParagraph"/>
              <w:spacing w:before="40"/>
              <w:ind w:left="3"/>
              <w:jc w:val="center"/>
              <w:rPr>
                <w:sz w:val="24"/>
              </w:rPr>
            </w:pPr>
            <w:r>
              <w:rPr>
                <w:sz w:val="24"/>
              </w:rPr>
              <w:t>Up</w:t>
            </w:r>
            <w:r>
              <w:rPr>
                <w:spacing w:val="-1"/>
                <w:sz w:val="24"/>
              </w:rPr>
              <w:t> </w:t>
            </w:r>
            <w:r>
              <w:rPr>
                <w:sz w:val="24"/>
              </w:rPr>
              <w:t>to</w:t>
            </w:r>
            <w:r>
              <w:rPr>
                <w:spacing w:val="-1"/>
                <w:sz w:val="24"/>
              </w:rPr>
              <w:t> </w:t>
            </w:r>
            <w:r>
              <w:rPr>
                <w:spacing w:val="-5"/>
                <w:sz w:val="24"/>
              </w:rPr>
              <w:t>3.0</w:t>
            </w:r>
          </w:p>
        </w:tc>
        <w:tc>
          <w:tcPr>
            <w:tcW w:w="824" w:type="dxa"/>
          </w:tcPr>
          <w:p>
            <w:pPr>
              <w:pStyle w:val="TableParagraph"/>
              <w:spacing w:before="40"/>
              <w:ind w:left="4"/>
              <w:jc w:val="center"/>
              <w:rPr>
                <w:sz w:val="24"/>
              </w:rPr>
            </w:pPr>
            <w:r>
              <w:rPr>
                <w:spacing w:val="-4"/>
                <w:sz w:val="24"/>
              </w:rPr>
              <w:t>1.00</w:t>
            </w:r>
          </w:p>
        </w:tc>
        <w:tc>
          <w:tcPr>
            <w:tcW w:w="1323" w:type="dxa"/>
          </w:tcPr>
          <w:p>
            <w:pPr>
              <w:pStyle w:val="TableParagraph"/>
              <w:spacing w:before="40"/>
              <w:ind w:left="113"/>
              <w:rPr>
                <w:sz w:val="24"/>
              </w:rPr>
            </w:pPr>
            <w:r>
              <w:rPr>
                <w:color w:val="000000"/>
                <w:sz w:val="24"/>
                <w:shd w:fill="FFCCFF" w:color="auto" w:val="clear"/>
              </w:rPr>
              <w:t>Up</w:t>
            </w:r>
            <w:r>
              <w:rPr>
                <w:color w:val="000000"/>
                <w:spacing w:val="-1"/>
                <w:sz w:val="24"/>
                <w:shd w:fill="FFCCFF" w:color="auto" w:val="clear"/>
              </w:rPr>
              <w:t> </w:t>
            </w:r>
            <w:r>
              <w:rPr>
                <w:color w:val="000000"/>
                <w:sz w:val="24"/>
                <w:shd w:fill="FFCCFF" w:color="auto" w:val="clear"/>
              </w:rPr>
              <w:t>to</w:t>
            </w:r>
            <w:r>
              <w:rPr>
                <w:color w:val="000000"/>
                <w:spacing w:val="-1"/>
                <w:sz w:val="24"/>
              </w:rPr>
              <w:t> </w:t>
            </w:r>
            <w:r>
              <w:rPr>
                <w:color w:val="000000"/>
                <w:spacing w:val="-5"/>
                <w:sz w:val="24"/>
              </w:rPr>
              <w:t>2.0</w:t>
            </w:r>
          </w:p>
        </w:tc>
        <w:tc>
          <w:tcPr>
            <w:tcW w:w="1348" w:type="dxa"/>
            <w:vMerge w:val="restart"/>
          </w:tcPr>
          <w:p>
            <w:pPr>
              <w:pStyle w:val="TableParagraph"/>
              <w:spacing w:before="40"/>
              <w:ind w:left="413"/>
              <w:rPr>
                <w:sz w:val="24"/>
              </w:rPr>
            </w:pPr>
            <w:r>
              <w:rPr>
                <w:color w:val="000000"/>
                <w:spacing w:val="-5"/>
                <w:sz w:val="24"/>
                <w:shd w:fill="FFCCFF" w:color="auto" w:val="clear"/>
              </w:rPr>
              <w:t>50%</w:t>
            </w:r>
          </w:p>
        </w:tc>
        <w:tc>
          <w:tcPr>
            <w:tcW w:w="1614" w:type="dxa"/>
            <w:vMerge w:val="restart"/>
          </w:tcPr>
          <w:p>
            <w:pPr>
              <w:pStyle w:val="TableParagraph"/>
              <w:spacing w:before="40"/>
              <w:ind w:left="2"/>
              <w:jc w:val="center"/>
              <w:rPr>
                <w:sz w:val="24"/>
              </w:rPr>
            </w:pPr>
            <w:r>
              <w:rPr>
                <w:color w:val="000000"/>
                <w:spacing w:val="-5"/>
                <w:sz w:val="24"/>
                <w:shd w:fill="FFCCFF" w:color="auto" w:val="clear"/>
              </w:rPr>
              <w:t>50%</w:t>
            </w:r>
          </w:p>
        </w:tc>
      </w:tr>
      <w:tr>
        <w:trPr>
          <w:trHeight w:val="983" w:hRule="atLeast"/>
        </w:trPr>
        <w:tc>
          <w:tcPr>
            <w:tcW w:w="1236" w:type="dxa"/>
            <w:vMerge/>
            <w:tcBorders>
              <w:top w:val="nil"/>
            </w:tcBorders>
          </w:tcPr>
          <w:p>
            <w:pPr>
              <w:rPr>
                <w:sz w:val="2"/>
                <w:szCs w:val="2"/>
              </w:rPr>
            </w:pPr>
          </w:p>
        </w:tc>
        <w:tc>
          <w:tcPr>
            <w:tcW w:w="1268" w:type="dxa"/>
          </w:tcPr>
          <w:p>
            <w:pPr>
              <w:pStyle w:val="TableParagraph"/>
              <w:spacing w:before="37"/>
              <w:ind w:left="8"/>
              <w:jc w:val="center"/>
              <w:rPr>
                <w:sz w:val="24"/>
              </w:rPr>
            </w:pPr>
            <w:r>
              <w:rPr>
                <w:spacing w:val="-5"/>
                <w:sz w:val="24"/>
              </w:rPr>
              <w:t>18m</w:t>
            </w:r>
          </w:p>
        </w:tc>
        <w:tc>
          <w:tcPr>
            <w:tcW w:w="1455" w:type="dxa"/>
          </w:tcPr>
          <w:p>
            <w:pPr>
              <w:pStyle w:val="TableParagraph"/>
              <w:spacing w:before="37"/>
              <w:ind w:left="3"/>
              <w:jc w:val="center"/>
              <w:rPr>
                <w:sz w:val="24"/>
              </w:rPr>
            </w:pPr>
            <w:r>
              <w:rPr>
                <w:color w:val="000000"/>
                <w:sz w:val="24"/>
                <w:shd w:fill="FFCCFF" w:color="auto" w:val="clear"/>
              </w:rPr>
              <w:t>Up</w:t>
            </w:r>
            <w:r>
              <w:rPr>
                <w:color w:val="000000"/>
                <w:spacing w:val="-1"/>
                <w:sz w:val="24"/>
                <w:shd w:fill="FFCCFF" w:color="auto" w:val="clear"/>
              </w:rPr>
              <w:t> </w:t>
            </w:r>
            <w:r>
              <w:rPr>
                <w:color w:val="000000"/>
                <w:spacing w:val="-2"/>
                <w:sz w:val="24"/>
                <w:shd w:fill="FFCCFF" w:color="auto" w:val="clear"/>
              </w:rPr>
              <w:t>to</w:t>
            </w:r>
            <w:r>
              <w:rPr>
                <w:color w:val="000000"/>
                <w:spacing w:val="-2"/>
                <w:sz w:val="24"/>
              </w:rPr>
              <w:t>4.0</w:t>
            </w:r>
          </w:p>
        </w:tc>
        <w:tc>
          <w:tcPr>
            <w:tcW w:w="824" w:type="dxa"/>
          </w:tcPr>
          <w:p>
            <w:pPr>
              <w:pStyle w:val="TableParagraph"/>
              <w:spacing w:before="37"/>
              <w:ind w:left="4"/>
              <w:jc w:val="center"/>
              <w:rPr>
                <w:sz w:val="24"/>
              </w:rPr>
            </w:pPr>
            <w:r>
              <w:rPr>
                <w:spacing w:val="-4"/>
                <w:sz w:val="24"/>
              </w:rPr>
              <w:t>1.00</w:t>
            </w:r>
          </w:p>
        </w:tc>
        <w:tc>
          <w:tcPr>
            <w:tcW w:w="1323" w:type="dxa"/>
          </w:tcPr>
          <w:p>
            <w:pPr>
              <w:pStyle w:val="TableParagraph"/>
              <w:spacing w:before="40"/>
              <w:ind w:left="284" w:right="272" w:firstLine="206"/>
              <w:rPr>
                <w:sz w:val="24"/>
              </w:rPr>
            </w:pPr>
            <w:r>
              <w:rPr>
                <w:color w:val="000000"/>
                <w:spacing w:val="-6"/>
                <w:sz w:val="24"/>
                <w:shd w:fill="FFCCFF" w:color="auto" w:val="clear"/>
              </w:rPr>
              <w:t>Up</w:t>
            </w:r>
            <w:r>
              <w:rPr>
                <w:color w:val="000000"/>
                <w:spacing w:val="-6"/>
                <w:sz w:val="24"/>
              </w:rPr>
              <w:t> </w:t>
            </w:r>
            <w:r>
              <w:rPr>
                <w:color w:val="000000"/>
                <w:spacing w:val="-2"/>
                <w:sz w:val="24"/>
                <w:shd w:fill="FFCCFF" w:color="auto" w:val="clear"/>
              </w:rPr>
              <w:t>to</w:t>
            </w:r>
            <w:r>
              <w:rPr>
                <w:color w:val="000000"/>
                <w:spacing w:val="-2"/>
                <w:sz w:val="24"/>
              </w:rPr>
              <w:t>3.00</w:t>
            </w:r>
          </w:p>
        </w:tc>
        <w:tc>
          <w:tcPr>
            <w:tcW w:w="1348" w:type="dxa"/>
            <w:vMerge/>
            <w:tcBorders>
              <w:top w:val="nil"/>
            </w:tcBorders>
          </w:tcPr>
          <w:p>
            <w:pPr>
              <w:rPr>
                <w:sz w:val="2"/>
                <w:szCs w:val="2"/>
              </w:rPr>
            </w:pPr>
          </w:p>
        </w:tc>
        <w:tc>
          <w:tcPr>
            <w:tcW w:w="1614" w:type="dxa"/>
            <w:vMerge/>
            <w:tcBorders>
              <w:top w:val="nil"/>
            </w:tcBorders>
          </w:tcPr>
          <w:p>
            <w:pPr>
              <w:rPr>
                <w:sz w:val="2"/>
                <w:szCs w:val="2"/>
              </w:rPr>
            </w:pPr>
          </w:p>
        </w:tc>
      </w:tr>
    </w:tbl>
    <w:p>
      <w:pPr>
        <w:pStyle w:val="BodyText"/>
        <w:spacing w:before="280"/>
        <w:jc w:val="left"/>
      </w:pPr>
    </w:p>
    <w:p>
      <w:pPr>
        <w:pStyle w:val="BodyText"/>
        <w:spacing w:line="276" w:lineRule="auto"/>
        <w:ind w:left="1342" w:right="771" w:firstLine="76"/>
      </w:pPr>
      <w:r>
        <w:rPr/>
        <w:t>On the plot area excluding area to be handed over to MCGM/Appropriate Authority in lieu of Reservation/ Existing amenity in the DP/ proposed DP roads/prescribed RL under MMC Act.</w:t>
      </w:r>
    </w:p>
    <w:p>
      <w:pPr>
        <w:pStyle w:val="ListParagraph"/>
        <w:numPr>
          <w:ilvl w:val="0"/>
          <w:numId w:val="209"/>
        </w:numPr>
        <w:tabs>
          <w:tab w:pos="2351" w:val="left" w:leader="none"/>
        </w:tabs>
        <w:spacing w:line="282" w:lineRule="exact" w:before="242" w:after="0"/>
        <w:ind w:left="2351" w:right="0" w:hanging="289"/>
        <w:jc w:val="both"/>
        <w:rPr>
          <w:sz w:val="24"/>
        </w:rPr>
      </w:pPr>
      <w:r>
        <w:rPr>
          <w:sz w:val="24"/>
        </w:rPr>
        <w:t>Such</w:t>
      </w:r>
      <w:r>
        <w:rPr>
          <w:spacing w:val="-3"/>
          <w:sz w:val="24"/>
        </w:rPr>
        <w:t> </w:t>
      </w:r>
      <w:r>
        <w:rPr>
          <w:sz w:val="24"/>
        </w:rPr>
        <w:t>Scheme</w:t>
      </w:r>
      <w:r>
        <w:rPr>
          <w:spacing w:val="-1"/>
          <w:sz w:val="24"/>
        </w:rPr>
        <w:t> </w:t>
      </w:r>
      <w:r>
        <w:rPr>
          <w:sz w:val="24"/>
        </w:rPr>
        <w:t>shall not</w:t>
      </w:r>
      <w:r>
        <w:rPr>
          <w:spacing w:val="-2"/>
          <w:sz w:val="24"/>
        </w:rPr>
        <w:t> </w:t>
      </w:r>
      <w:r>
        <w:rPr>
          <w:sz w:val="24"/>
        </w:rPr>
        <w:t>be permissible</w:t>
      </w:r>
      <w:r>
        <w:rPr>
          <w:spacing w:val="-1"/>
          <w:sz w:val="24"/>
        </w:rPr>
        <w:t> </w:t>
      </w:r>
      <w:r>
        <w:rPr>
          <w:sz w:val="24"/>
        </w:rPr>
        <w:t>in </w:t>
      </w:r>
      <w:r>
        <w:rPr>
          <w:spacing w:val="-2"/>
          <w:sz w:val="24"/>
        </w:rPr>
        <w:t>SDZ/GZ.</w:t>
      </w:r>
    </w:p>
    <w:p>
      <w:pPr>
        <w:pStyle w:val="ListParagraph"/>
        <w:numPr>
          <w:ilvl w:val="0"/>
          <w:numId w:val="209"/>
        </w:numPr>
        <w:tabs>
          <w:tab w:pos="2418" w:val="left" w:leader="none"/>
        </w:tabs>
        <w:spacing w:line="240" w:lineRule="auto" w:before="0" w:after="0"/>
        <w:ind w:left="2062" w:right="768" w:firstLine="0"/>
        <w:jc w:val="both"/>
        <w:rPr>
          <w:sz w:val="24"/>
        </w:rPr>
      </w:pPr>
      <w:r>
        <w:rPr>
          <w:sz w:val="24"/>
        </w:rPr>
        <w:t>The carpet areas for AH/R&amp;R tenements to be constructed shall be as</w:t>
      </w:r>
      <w:r>
        <w:rPr>
          <w:spacing w:val="-12"/>
          <w:sz w:val="24"/>
        </w:rPr>
        <w:t> </w:t>
      </w:r>
      <w:r>
        <w:rPr>
          <w:sz w:val="24"/>
        </w:rPr>
        <w:t>required</w:t>
      </w:r>
      <w:r>
        <w:rPr>
          <w:spacing w:val="-12"/>
          <w:sz w:val="24"/>
        </w:rPr>
        <w:t> </w:t>
      </w:r>
      <w:r>
        <w:rPr>
          <w:sz w:val="24"/>
        </w:rPr>
        <w:t>for</w:t>
      </w:r>
      <w:r>
        <w:rPr>
          <w:spacing w:val="-12"/>
          <w:sz w:val="24"/>
        </w:rPr>
        <w:t> </w:t>
      </w:r>
      <w:r>
        <w:rPr>
          <w:sz w:val="24"/>
        </w:rPr>
        <w:t>EWS,</w:t>
      </w:r>
      <w:r>
        <w:rPr>
          <w:spacing w:val="-12"/>
          <w:sz w:val="24"/>
        </w:rPr>
        <w:t> </w:t>
      </w:r>
      <w:r>
        <w:rPr>
          <w:sz w:val="24"/>
        </w:rPr>
        <w:t>LIG</w:t>
      </w:r>
      <w:r>
        <w:rPr>
          <w:spacing w:val="-12"/>
          <w:sz w:val="24"/>
        </w:rPr>
        <w:t> </w:t>
      </w:r>
      <w:r>
        <w:rPr>
          <w:sz w:val="24"/>
        </w:rPr>
        <w:t>and</w:t>
      </w:r>
      <w:r>
        <w:rPr>
          <w:spacing w:val="-12"/>
          <w:sz w:val="24"/>
        </w:rPr>
        <w:t> </w:t>
      </w:r>
      <w:r>
        <w:rPr>
          <w:sz w:val="24"/>
        </w:rPr>
        <w:t>MIG</w:t>
      </w:r>
      <w:r>
        <w:rPr>
          <w:spacing w:val="-11"/>
          <w:sz w:val="24"/>
        </w:rPr>
        <w:t> </w:t>
      </w:r>
      <w:r>
        <w:rPr>
          <w:sz w:val="24"/>
        </w:rPr>
        <w:t>as</w:t>
      </w:r>
      <w:r>
        <w:rPr>
          <w:spacing w:val="-12"/>
          <w:sz w:val="24"/>
        </w:rPr>
        <w:t> </w:t>
      </w:r>
      <w:r>
        <w:rPr>
          <w:sz w:val="24"/>
        </w:rPr>
        <w:t>decided</w:t>
      </w:r>
      <w:r>
        <w:rPr>
          <w:spacing w:val="-12"/>
          <w:sz w:val="24"/>
        </w:rPr>
        <w:t> </w:t>
      </w:r>
      <w:r>
        <w:rPr>
          <w:sz w:val="24"/>
        </w:rPr>
        <w:t>by</w:t>
      </w:r>
      <w:r>
        <w:rPr>
          <w:spacing w:val="-12"/>
          <w:sz w:val="24"/>
        </w:rPr>
        <w:t> </w:t>
      </w:r>
      <w:r>
        <w:rPr>
          <w:sz w:val="24"/>
        </w:rPr>
        <w:t>Govt.</w:t>
      </w:r>
      <w:r>
        <w:rPr>
          <w:spacing w:val="-12"/>
          <w:sz w:val="24"/>
        </w:rPr>
        <w:t> </w:t>
      </w:r>
      <w:r>
        <w:rPr>
          <w:sz w:val="24"/>
        </w:rPr>
        <w:t>from</w:t>
      </w:r>
      <w:r>
        <w:rPr>
          <w:spacing w:val="-12"/>
          <w:sz w:val="24"/>
        </w:rPr>
        <w:t> </w:t>
      </w:r>
      <w:r>
        <w:rPr>
          <w:sz w:val="24"/>
        </w:rPr>
        <w:t>time</w:t>
      </w:r>
      <w:r>
        <w:rPr>
          <w:spacing w:val="-12"/>
          <w:sz w:val="24"/>
        </w:rPr>
        <w:t> </w:t>
      </w:r>
      <w:r>
        <w:rPr>
          <w:sz w:val="24"/>
        </w:rPr>
        <w:t>to</w:t>
      </w:r>
      <w:r>
        <w:rPr>
          <w:spacing w:val="-12"/>
          <w:sz w:val="24"/>
        </w:rPr>
        <w:t> </w:t>
      </w:r>
      <w:r>
        <w:rPr>
          <w:sz w:val="24"/>
        </w:rPr>
        <w:t>time subject to a minimum 25 sq. m</w:t>
      </w:r>
    </w:p>
    <w:p>
      <w:pPr>
        <w:pStyle w:val="ListParagraph"/>
        <w:numPr>
          <w:ilvl w:val="0"/>
          <w:numId w:val="209"/>
        </w:numPr>
        <w:tabs>
          <w:tab w:pos="2576" w:val="left" w:leader="none"/>
        </w:tabs>
        <w:spacing w:line="240" w:lineRule="auto" w:before="2" w:after="0"/>
        <w:ind w:left="2062" w:right="766" w:firstLine="76"/>
        <w:jc w:val="both"/>
        <w:rPr>
          <w:sz w:val="24"/>
        </w:rPr>
      </w:pPr>
      <w:r>
        <w:rPr>
          <w:sz w:val="24"/>
        </w:rPr>
        <w:t>The ratio of BUAto carpet area shall be 1.2, including all the amenities</w:t>
      </w:r>
      <w:r>
        <w:rPr>
          <w:spacing w:val="-8"/>
          <w:sz w:val="24"/>
        </w:rPr>
        <w:t> </w:t>
      </w:r>
      <w:r>
        <w:rPr>
          <w:sz w:val="24"/>
        </w:rPr>
        <w:t>&amp;</w:t>
      </w:r>
      <w:r>
        <w:rPr>
          <w:spacing w:val="-8"/>
          <w:sz w:val="24"/>
        </w:rPr>
        <w:t> </w:t>
      </w:r>
      <w:r>
        <w:rPr>
          <w:sz w:val="24"/>
        </w:rPr>
        <w:t>facilities.</w:t>
      </w:r>
      <w:r>
        <w:rPr>
          <w:spacing w:val="-8"/>
          <w:sz w:val="24"/>
        </w:rPr>
        <w:t> </w:t>
      </w:r>
      <w:r>
        <w:rPr>
          <w:sz w:val="24"/>
        </w:rPr>
        <w:t>The</w:t>
      </w:r>
      <w:r>
        <w:rPr>
          <w:spacing w:val="-8"/>
          <w:sz w:val="24"/>
        </w:rPr>
        <w:t> </w:t>
      </w:r>
      <w:r>
        <w:rPr>
          <w:sz w:val="24"/>
        </w:rPr>
        <w:t>area</w:t>
      </w:r>
      <w:r>
        <w:rPr>
          <w:spacing w:val="-8"/>
          <w:sz w:val="24"/>
        </w:rPr>
        <w:t> </w:t>
      </w:r>
      <w:r>
        <w:rPr>
          <w:sz w:val="24"/>
        </w:rPr>
        <w:t>of</w:t>
      </w:r>
      <w:r>
        <w:rPr>
          <w:spacing w:val="-8"/>
          <w:sz w:val="24"/>
        </w:rPr>
        <w:t> </w:t>
      </w:r>
      <w:r>
        <w:rPr>
          <w:sz w:val="24"/>
        </w:rPr>
        <w:t>features</w:t>
      </w:r>
      <w:r>
        <w:rPr>
          <w:spacing w:val="-8"/>
          <w:sz w:val="24"/>
        </w:rPr>
        <w:t> </w:t>
      </w:r>
      <w:r>
        <w:rPr>
          <w:sz w:val="24"/>
        </w:rPr>
        <w:t>permissible</w:t>
      </w:r>
      <w:r>
        <w:rPr>
          <w:spacing w:val="-8"/>
          <w:sz w:val="24"/>
        </w:rPr>
        <w:t> </w:t>
      </w:r>
      <w:r>
        <w:rPr>
          <w:sz w:val="24"/>
        </w:rPr>
        <w:t>free</w:t>
      </w:r>
      <w:r>
        <w:rPr>
          <w:spacing w:val="-8"/>
          <w:sz w:val="24"/>
        </w:rPr>
        <w:t> </w:t>
      </w:r>
      <w:r>
        <w:rPr>
          <w:sz w:val="24"/>
        </w:rPr>
        <w:t>of</w:t>
      </w:r>
      <w:r>
        <w:rPr>
          <w:spacing w:val="-11"/>
          <w:sz w:val="24"/>
        </w:rPr>
        <w:t> </w:t>
      </w:r>
      <w:r>
        <w:rPr>
          <w:sz w:val="24"/>
        </w:rPr>
        <w:t>FSI</w:t>
      </w:r>
      <w:r>
        <w:rPr>
          <w:spacing w:val="-6"/>
          <w:sz w:val="24"/>
        </w:rPr>
        <w:t> </w:t>
      </w:r>
      <w:r>
        <w:rPr>
          <w:sz w:val="24"/>
        </w:rPr>
        <w:t>as</w:t>
      </w:r>
      <w:r>
        <w:rPr>
          <w:spacing w:val="-11"/>
          <w:sz w:val="24"/>
        </w:rPr>
        <w:t> </w:t>
      </w:r>
      <w:r>
        <w:rPr>
          <w:sz w:val="24"/>
        </w:rPr>
        <w:t>per Regulation No 31 shall not be considered for the calculation of carpet </w:t>
      </w:r>
      <w:r>
        <w:rPr>
          <w:spacing w:val="-2"/>
          <w:sz w:val="24"/>
        </w:rPr>
        <w:t>areas.</w:t>
      </w:r>
    </w:p>
    <w:p>
      <w:pPr>
        <w:pStyle w:val="ListParagraph"/>
        <w:numPr>
          <w:ilvl w:val="0"/>
          <w:numId w:val="209"/>
        </w:numPr>
        <w:tabs>
          <w:tab w:pos="2407" w:val="left" w:leader="none"/>
        </w:tabs>
        <w:spacing w:line="240" w:lineRule="auto" w:before="0" w:after="0"/>
        <w:ind w:left="2062" w:right="768" w:firstLine="0"/>
        <w:jc w:val="both"/>
        <w:rPr>
          <w:sz w:val="24"/>
        </w:rPr>
      </w:pPr>
      <w:r>
        <w:rPr>
          <w:sz w:val="24"/>
        </w:rPr>
        <w:t>The</w:t>
      </w:r>
      <w:r>
        <w:rPr>
          <w:spacing w:val="-4"/>
          <w:sz w:val="24"/>
        </w:rPr>
        <w:t> </w:t>
      </w:r>
      <w:r>
        <w:rPr>
          <w:sz w:val="24"/>
        </w:rPr>
        <w:t>owner</w:t>
      </w:r>
      <w:r>
        <w:rPr>
          <w:spacing w:val="-4"/>
          <w:sz w:val="24"/>
        </w:rPr>
        <w:t> </w:t>
      </w:r>
      <w:r>
        <w:rPr>
          <w:sz w:val="24"/>
        </w:rPr>
        <w:t>shall</w:t>
      </w:r>
      <w:r>
        <w:rPr>
          <w:spacing w:val="-4"/>
          <w:sz w:val="24"/>
        </w:rPr>
        <w:t> </w:t>
      </w:r>
      <w:r>
        <w:rPr>
          <w:sz w:val="24"/>
        </w:rPr>
        <w:t>have</w:t>
      </w:r>
      <w:r>
        <w:rPr>
          <w:spacing w:val="-4"/>
          <w:sz w:val="24"/>
        </w:rPr>
        <w:t> </w:t>
      </w:r>
      <w:r>
        <w:rPr>
          <w:sz w:val="24"/>
        </w:rPr>
        <w:t>to</w:t>
      </w:r>
      <w:r>
        <w:rPr>
          <w:spacing w:val="-4"/>
          <w:sz w:val="24"/>
        </w:rPr>
        <w:t> </w:t>
      </w:r>
      <w:r>
        <w:rPr>
          <w:sz w:val="24"/>
        </w:rPr>
        <w:t>declare</w:t>
      </w:r>
      <w:r>
        <w:rPr>
          <w:spacing w:val="-4"/>
          <w:sz w:val="24"/>
        </w:rPr>
        <w:t> </w:t>
      </w:r>
      <w:r>
        <w:rPr>
          <w:sz w:val="24"/>
        </w:rPr>
        <w:t>the</w:t>
      </w:r>
      <w:r>
        <w:rPr>
          <w:spacing w:val="-4"/>
          <w:sz w:val="24"/>
        </w:rPr>
        <w:t> </w:t>
      </w:r>
      <w:r>
        <w:rPr>
          <w:sz w:val="24"/>
        </w:rPr>
        <w:t>intension</w:t>
      </w:r>
      <w:r>
        <w:rPr>
          <w:spacing w:val="-4"/>
          <w:sz w:val="24"/>
        </w:rPr>
        <w:t> </w:t>
      </w:r>
      <w:r>
        <w:rPr>
          <w:sz w:val="24"/>
        </w:rPr>
        <w:t>for</w:t>
      </w:r>
      <w:r>
        <w:rPr>
          <w:spacing w:val="-4"/>
          <w:sz w:val="24"/>
        </w:rPr>
        <w:t> </w:t>
      </w:r>
      <w:r>
        <w:rPr>
          <w:sz w:val="24"/>
        </w:rPr>
        <w:t>developing</w:t>
      </w:r>
      <w:r>
        <w:rPr>
          <w:spacing w:val="-4"/>
          <w:sz w:val="24"/>
        </w:rPr>
        <w:t> </w:t>
      </w:r>
      <w:r>
        <w:rPr>
          <w:sz w:val="24"/>
        </w:rPr>
        <w:t>the</w:t>
      </w:r>
      <w:r>
        <w:rPr>
          <w:spacing w:val="-4"/>
          <w:sz w:val="24"/>
        </w:rPr>
        <w:t> </w:t>
      </w:r>
      <w:r>
        <w:rPr>
          <w:sz w:val="24"/>
        </w:rPr>
        <w:t>plot for AH/R&amp;R initially. The AH/R&amp;R shall be marked on the plan clearly with note, “to be handed over to MCGM’’.</w:t>
      </w:r>
    </w:p>
    <w:p>
      <w:pPr>
        <w:pStyle w:val="ListParagraph"/>
        <w:numPr>
          <w:ilvl w:val="0"/>
          <w:numId w:val="209"/>
        </w:numPr>
        <w:tabs>
          <w:tab w:pos="2281" w:val="left" w:leader="none"/>
        </w:tabs>
        <w:spacing w:line="240" w:lineRule="auto" w:before="0" w:after="0"/>
        <w:ind w:left="2062" w:right="766" w:firstLine="0"/>
        <w:jc w:val="both"/>
        <w:rPr>
          <w:sz w:val="24"/>
        </w:rPr>
      </w:pPr>
      <w:r>
        <w:rPr>
          <w:sz w:val="24"/>
        </w:rPr>
        <w:t>The additional FSI over &amp; above Zonal (basic) FSI may be released in co-relation</w:t>
      </w:r>
      <w:r>
        <w:rPr>
          <w:spacing w:val="-14"/>
          <w:sz w:val="24"/>
        </w:rPr>
        <w:t> </w:t>
      </w:r>
      <w:r>
        <w:rPr>
          <w:sz w:val="24"/>
        </w:rPr>
        <w:t>as</w:t>
      </w:r>
      <w:r>
        <w:rPr>
          <w:spacing w:val="-14"/>
          <w:sz w:val="24"/>
        </w:rPr>
        <w:t> </w:t>
      </w:r>
      <w:r>
        <w:rPr>
          <w:sz w:val="24"/>
        </w:rPr>
        <w:t>per</w:t>
      </w:r>
      <w:r>
        <w:rPr>
          <w:spacing w:val="-13"/>
          <w:sz w:val="24"/>
        </w:rPr>
        <w:t> </w:t>
      </w:r>
      <w:r>
        <w:rPr>
          <w:sz w:val="24"/>
        </w:rPr>
        <w:t>BUA</w:t>
      </w:r>
      <w:r>
        <w:rPr>
          <w:spacing w:val="-14"/>
          <w:sz w:val="24"/>
        </w:rPr>
        <w:t> </w:t>
      </w:r>
      <w:r>
        <w:rPr>
          <w:sz w:val="24"/>
        </w:rPr>
        <w:t>of</w:t>
      </w:r>
      <w:r>
        <w:rPr>
          <w:spacing w:val="-14"/>
          <w:sz w:val="24"/>
        </w:rPr>
        <w:t> </w:t>
      </w:r>
      <w:r>
        <w:rPr>
          <w:sz w:val="24"/>
        </w:rPr>
        <w:t>tenements</w:t>
      </w:r>
      <w:r>
        <w:rPr>
          <w:spacing w:val="-14"/>
          <w:sz w:val="24"/>
        </w:rPr>
        <w:t> </w:t>
      </w:r>
      <w:r>
        <w:rPr>
          <w:sz w:val="24"/>
        </w:rPr>
        <w:t>that</w:t>
      </w:r>
      <w:r>
        <w:rPr>
          <w:spacing w:val="-14"/>
          <w:sz w:val="24"/>
        </w:rPr>
        <w:t> </w:t>
      </w:r>
      <w:r>
        <w:rPr>
          <w:sz w:val="24"/>
        </w:rPr>
        <w:t>are</w:t>
      </w:r>
      <w:r>
        <w:rPr>
          <w:spacing w:val="-14"/>
          <w:sz w:val="24"/>
        </w:rPr>
        <w:t> </w:t>
      </w:r>
      <w:r>
        <w:rPr>
          <w:sz w:val="24"/>
        </w:rPr>
        <w:t>required</w:t>
      </w:r>
      <w:r>
        <w:rPr>
          <w:spacing w:val="-14"/>
          <w:sz w:val="24"/>
        </w:rPr>
        <w:t> </w:t>
      </w:r>
      <w:r>
        <w:rPr>
          <w:sz w:val="24"/>
        </w:rPr>
        <w:t>to</w:t>
      </w:r>
      <w:r>
        <w:rPr>
          <w:spacing w:val="-16"/>
          <w:sz w:val="24"/>
        </w:rPr>
        <w:t> </w:t>
      </w:r>
      <w:r>
        <w:rPr>
          <w:sz w:val="24"/>
        </w:rPr>
        <w:t>be</w:t>
      </w:r>
      <w:r>
        <w:rPr>
          <w:spacing w:val="-14"/>
          <w:sz w:val="24"/>
        </w:rPr>
        <w:t> </w:t>
      </w:r>
      <w:r>
        <w:rPr>
          <w:sz w:val="24"/>
        </w:rPr>
        <w:t>handed</w:t>
      </w:r>
      <w:r>
        <w:rPr>
          <w:spacing w:val="-14"/>
          <w:sz w:val="24"/>
        </w:rPr>
        <w:t> </w:t>
      </w:r>
      <w:r>
        <w:rPr>
          <w:sz w:val="24"/>
        </w:rPr>
        <w:t>over free</w:t>
      </w:r>
      <w:r>
        <w:rPr>
          <w:spacing w:val="-19"/>
          <w:sz w:val="24"/>
        </w:rPr>
        <w:t> </w:t>
      </w:r>
      <w:r>
        <w:rPr>
          <w:sz w:val="24"/>
        </w:rPr>
        <w:t>of</w:t>
      </w:r>
      <w:r>
        <w:rPr>
          <w:spacing w:val="-19"/>
          <w:sz w:val="24"/>
        </w:rPr>
        <w:t> </w:t>
      </w:r>
      <w:r>
        <w:rPr>
          <w:sz w:val="24"/>
        </w:rPr>
        <w:t>cost</w:t>
      </w:r>
      <w:r>
        <w:rPr>
          <w:spacing w:val="-19"/>
          <w:sz w:val="24"/>
        </w:rPr>
        <w:t> </w:t>
      </w:r>
      <w:r>
        <w:rPr>
          <w:sz w:val="24"/>
        </w:rPr>
        <w:t>to</w:t>
      </w:r>
      <w:r>
        <w:rPr>
          <w:spacing w:val="-17"/>
          <w:sz w:val="24"/>
        </w:rPr>
        <w:t> </w:t>
      </w:r>
      <w:r>
        <w:rPr>
          <w:sz w:val="24"/>
        </w:rPr>
        <w:t>MCGM,</w:t>
      </w:r>
      <w:r>
        <w:rPr>
          <w:spacing w:val="-19"/>
          <w:sz w:val="24"/>
        </w:rPr>
        <w:t> </w:t>
      </w:r>
      <w:r>
        <w:rPr>
          <w:sz w:val="24"/>
        </w:rPr>
        <w:t>in</w:t>
      </w:r>
      <w:r>
        <w:rPr>
          <w:spacing w:val="-19"/>
          <w:sz w:val="24"/>
        </w:rPr>
        <w:t> </w:t>
      </w:r>
      <w:r>
        <w:rPr>
          <w:sz w:val="24"/>
        </w:rPr>
        <w:t>proportion</w:t>
      </w:r>
      <w:r>
        <w:rPr>
          <w:spacing w:val="-18"/>
          <w:sz w:val="24"/>
        </w:rPr>
        <w:t> </w:t>
      </w:r>
      <w:r>
        <w:rPr>
          <w:sz w:val="24"/>
        </w:rPr>
        <w:t>0.50</w:t>
      </w:r>
      <w:r>
        <w:rPr>
          <w:spacing w:val="-17"/>
          <w:sz w:val="24"/>
        </w:rPr>
        <w:t> </w:t>
      </w:r>
      <w:r>
        <w:rPr>
          <w:sz w:val="24"/>
        </w:rPr>
        <w:t>sale:</w:t>
      </w:r>
      <w:r>
        <w:rPr>
          <w:spacing w:val="-19"/>
          <w:sz w:val="24"/>
        </w:rPr>
        <w:t> </w:t>
      </w:r>
      <w:r>
        <w:rPr>
          <w:sz w:val="24"/>
        </w:rPr>
        <w:t>1</w:t>
      </w:r>
      <w:r>
        <w:rPr>
          <w:spacing w:val="-19"/>
          <w:sz w:val="24"/>
        </w:rPr>
        <w:t> </w:t>
      </w:r>
      <w:r>
        <w:rPr>
          <w:sz w:val="24"/>
        </w:rPr>
        <w:t>AH/R&amp;R</w:t>
      </w:r>
      <w:r>
        <w:rPr>
          <w:spacing w:val="-19"/>
          <w:sz w:val="24"/>
        </w:rPr>
        <w:t> </w:t>
      </w:r>
      <w:r>
        <w:rPr>
          <w:sz w:val="24"/>
        </w:rPr>
        <w:t>area</w:t>
      </w:r>
      <w:r>
        <w:rPr>
          <w:spacing w:val="-15"/>
          <w:sz w:val="24"/>
        </w:rPr>
        <w:t> </w:t>
      </w:r>
      <w:r>
        <w:rPr>
          <w:sz w:val="24"/>
        </w:rPr>
        <w:t>and</w:t>
      </w:r>
      <w:r>
        <w:rPr>
          <w:spacing w:val="-19"/>
          <w:sz w:val="24"/>
        </w:rPr>
        <w:t> </w:t>
      </w:r>
      <w:r>
        <w:rPr>
          <w:sz w:val="24"/>
        </w:rPr>
        <w:t>100% sale area can be released only after handing over of entire AH/R&amp;R </w:t>
      </w:r>
      <w:r>
        <w:rPr>
          <w:spacing w:val="-2"/>
          <w:sz w:val="24"/>
        </w:rPr>
        <w:t>tenements.</w:t>
      </w:r>
    </w:p>
    <w:p>
      <w:pPr>
        <w:pStyle w:val="BodyText"/>
        <w:ind w:left="2062" w:right="771"/>
      </w:pPr>
      <w:r>
        <w:rPr/>
        <w:t>Alternatively, TDR in lieu of unconsumed sale component of additional FSI, as per provision of this Regulation in proportion as stated above can be released. However, 20 % of such admissible TDR shall be released only after handing over the entire area of AH to MCGM.</w:t>
      </w:r>
    </w:p>
    <w:p>
      <w:pPr>
        <w:pStyle w:val="ListParagraph"/>
        <w:numPr>
          <w:ilvl w:val="0"/>
          <w:numId w:val="209"/>
        </w:numPr>
        <w:tabs>
          <w:tab w:pos="2452" w:val="left" w:leader="none"/>
        </w:tabs>
        <w:spacing w:line="240" w:lineRule="auto" w:before="0" w:after="0"/>
        <w:ind w:left="2062" w:right="766" w:firstLine="0"/>
        <w:jc w:val="both"/>
        <w:rPr>
          <w:sz w:val="24"/>
        </w:rPr>
      </w:pPr>
      <w:r>
        <w:rPr>
          <w:sz w:val="24"/>
        </w:rPr>
        <w:t>After AH/R&amp;R tenements are handed over free of cost to MCGM, Occupation Certificate for sale portion shall be given.</w:t>
      </w:r>
    </w:p>
    <w:p>
      <w:pPr>
        <w:pStyle w:val="ListParagraph"/>
        <w:numPr>
          <w:ilvl w:val="0"/>
          <w:numId w:val="209"/>
        </w:numPr>
        <w:tabs>
          <w:tab w:pos="2062" w:val="left" w:leader="none"/>
          <w:tab w:pos="2456" w:val="left" w:leader="none"/>
        </w:tabs>
        <w:spacing w:line="240" w:lineRule="auto" w:before="0" w:after="0"/>
        <w:ind w:left="2062" w:right="766" w:hanging="12"/>
        <w:jc w:val="both"/>
        <w:rPr>
          <w:sz w:val="24"/>
        </w:rPr>
      </w:pPr>
      <w:r>
        <w:rPr>
          <w:sz w:val="24"/>
        </w:rPr>
        <w:t>No premium shall be charged for fungible compensatory area and features permitted free of FSI as per Regulation No 31 for the development for AH/R&amp;R tenements. However, payments of the premium shall be applicable on the owners share wherever required.</w:t>
      </w:r>
    </w:p>
    <w:p>
      <w:pPr>
        <w:pStyle w:val="ListParagraph"/>
        <w:numPr>
          <w:ilvl w:val="0"/>
          <w:numId w:val="209"/>
        </w:numPr>
        <w:tabs>
          <w:tab w:pos="2471" w:val="left" w:leader="none"/>
        </w:tabs>
        <w:spacing w:line="240" w:lineRule="auto" w:before="0" w:after="0"/>
        <w:ind w:left="2062" w:right="776" w:firstLine="0"/>
        <w:jc w:val="both"/>
        <w:rPr>
          <w:sz w:val="24"/>
        </w:rPr>
      </w:pPr>
      <w:r>
        <w:rPr>
          <w:sz w:val="24"/>
        </w:rPr>
        <w:t>The offsite infrastructure charges at the rate of 7% of land rate </w:t>
      </w:r>
      <w:r>
        <w:rPr>
          <w:sz w:val="24"/>
        </w:rPr>
        <w:t>as per ASR for FSI 1.0 for BUA beyond Zonal (basic) FSI shall be payable.</w:t>
      </w:r>
    </w:p>
    <w:p>
      <w:pPr>
        <w:pStyle w:val="ListParagraph"/>
        <w:numPr>
          <w:ilvl w:val="0"/>
          <w:numId w:val="209"/>
        </w:numPr>
        <w:tabs>
          <w:tab w:pos="2368" w:val="left" w:leader="none"/>
        </w:tabs>
        <w:spacing w:line="240" w:lineRule="auto" w:before="1" w:after="0"/>
        <w:ind w:left="2062" w:right="766" w:firstLine="0"/>
        <w:jc w:val="both"/>
        <w:rPr>
          <w:sz w:val="24"/>
        </w:rPr>
      </w:pPr>
      <w:r>
        <w:rPr>
          <w:sz w:val="24"/>
        </w:rPr>
        <w:t>The owner shall be allowed to utilize the Zonal (basic) FSI and BUA as</w:t>
      </w:r>
      <w:r>
        <w:rPr>
          <w:spacing w:val="-8"/>
          <w:sz w:val="24"/>
        </w:rPr>
        <w:t> </w:t>
      </w:r>
      <w:r>
        <w:rPr>
          <w:sz w:val="24"/>
        </w:rPr>
        <w:t>per</w:t>
      </w:r>
      <w:r>
        <w:rPr>
          <w:spacing w:val="-8"/>
          <w:sz w:val="24"/>
        </w:rPr>
        <w:t> </w:t>
      </w:r>
      <w:r>
        <w:rPr>
          <w:sz w:val="24"/>
        </w:rPr>
        <w:t>column</w:t>
      </w:r>
      <w:r>
        <w:rPr>
          <w:spacing w:val="-8"/>
          <w:sz w:val="24"/>
        </w:rPr>
        <w:t> </w:t>
      </w:r>
      <w:r>
        <w:rPr>
          <w:sz w:val="24"/>
        </w:rPr>
        <w:t>no</w:t>
      </w:r>
      <w:r>
        <w:rPr>
          <w:spacing w:val="-8"/>
          <w:sz w:val="24"/>
        </w:rPr>
        <w:t> </w:t>
      </w:r>
      <w:r>
        <w:rPr>
          <w:sz w:val="24"/>
        </w:rPr>
        <w:t>(7)</w:t>
      </w:r>
      <w:r>
        <w:rPr>
          <w:spacing w:val="-11"/>
          <w:sz w:val="24"/>
        </w:rPr>
        <w:t> </w:t>
      </w:r>
      <w:r>
        <w:rPr>
          <w:sz w:val="24"/>
        </w:rPr>
        <w:t>of</w:t>
      </w:r>
      <w:r>
        <w:rPr>
          <w:spacing w:val="-8"/>
          <w:sz w:val="24"/>
        </w:rPr>
        <w:t> </w:t>
      </w:r>
      <w:r>
        <w:rPr>
          <w:sz w:val="24"/>
        </w:rPr>
        <w:t>above</w:t>
      </w:r>
      <w:r>
        <w:rPr>
          <w:spacing w:val="-8"/>
          <w:sz w:val="24"/>
        </w:rPr>
        <w:t> </w:t>
      </w:r>
      <w:r>
        <w:rPr>
          <w:sz w:val="24"/>
        </w:rPr>
        <w:t>table</w:t>
      </w:r>
      <w:r>
        <w:rPr>
          <w:spacing w:val="-8"/>
          <w:sz w:val="24"/>
        </w:rPr>
        <w:t> </w:t>
      </w:r>
      <w:r>
        <w:rPr>
          <w:sz w:val="24"/>
        </w:rPr>
        <w:t>for</w:t>
      </w:r>
      <w:r>
        <w:rPr>
          <w:spacing w:val="-8"/>
          <w:sz w:val="24"/>
        </w:rPr>
        <w:t> </w:t>
      </w:r>
      <w:r>
        <w:rPr>
          <w:sz w:val="24"/>
        </w:rPr>
        <w:t>the</w:t>
      </w:r>
      <w:r>
        <w:rPr>
          <w:spacing w:val="-8"/>
          <w:sz w:val="24"/>
        </w:rPr>
        <w:t> </w:t>
      </w:r>
      <w:r>
        <w:rPr>
          <w:sz w:val="24"/>
        </w:rPr>
        <w:t>uses</w:t>
      </w:r>
      <w:r>
        <w:rPr>
          <w:spacing w:val="-8"/>
          <w:sz w:val="24"/>
        </w:rPr>
        <w:t> </w:t>
      </w:r>
      <w:r>
        <w:rPr>
          <w:sz w:val="24"/>
        </w:rPr>
        <w:t>permissible</w:t>
      </w:r>
      <w:r>
        <w:rPr>
          <w:spacing w:val="-7"/>
          <w:sz w:val="24"/>
        </w:rPr>
        <w:t> </w:t>
      </w:r>
      <w:r>
        <w:rPr>
          <w:sz w:val="24"/>
        </w:rPr>
        <w:t>in</w:t>
      </w:r>
      <w:r>
        <w:rPr>
          <w:spacing w:val="-11"/>
          <w:sz w:val="24"/>
        </w:rPr>
        <w:t> </w:t>
      </w:r>
      <w:r>
        <w:rPr>
          <w:sz w:val="24"/>
        </w:rPr>
        <w:t>the</w:t>
      </w:r>
      <w:r>
        <w:rPr>
          <w:spacing w:val="-8"/>
          <w:sz w:val="24"/>
        </w:rPr>
        <w:t> </w:t>
      </w:r>
      <w:r>
        <w:rPr>
          <w:sz w:val="24"/>
        </w:rPr>
        <w:t>zone. (k)In case of layout, 25% of Zonal (basic) FSI shall be exclusively used for the purpose of convenience shopping along layout road</w:t>
      </w:r>
    </w:p>
    <w:p>
      <w:pPr>
        <w:pStyle w:val="BodyText"/>
        <w:jc w:val="left"/>
      </w:pPr>
    </w:p>
    <w:p>
      <w:pPr>
        <w:pStyle w:val="Heading5"/>
        <w:ind w:left="2050"/>
        <w:jc w:val="both"/>
        <w:rPr>
          <w:b w:val="0"/>
        </w:rPr>
      </w:pPr>
      <w:r>
        <w:rPr/>
        <w:t>l)</w:t>
      </w:r>
      <w:r>
        <w:rPr>
          <w:spacing w:val="-4"/>
        </w:rPr>
        <w:t> </w:t>
      </w:r>
      <w:r>
        <w:rPr/>
        <w:t>Clubbing</w:t>
      </w:r>
      <w:r>
        <w:rPr>
          <w:spacing w:val="-8"/>
        </w:rPr>
        <w:t> </w:t>
      </w:r>
      <w:r>
        <w:rPr>
          <w:b w:val="0"/>
          <w:spacing w:val="-10"/>
        </w:rPr>
        <w:t>:</w:t>
      </w:r>
    </w:p>
    <w:p>
      <w:pPr>
        <w:pStyle w:val="Heading5"/>
        <w:spacing w:after="0"/>
        <w:jc w:val="both"/>
        <w:rPr>
          <w:b w:val="0"/>
        </w:rPr>
        <w:sectPr>
          <w:pgSz w:w="11910" w:h="16840"/>
          <w:pgMar w:header="1065" w:footer="1194" w:top="1500" w:bottom="1380" w:left="360" w:right="360"/>
        </w:sectPr>
      </w:pPr>
    </w:p>
    <w:p>
      <w:pPr>
        <w:pStyle w:val="BodyText"/>
        <w:spacing w:before="249"/>
        <w:ind w:left="2126"/>
      </w:pPr>
      <w:r>
        <w:rPr/>
        <w:t>This</w:t>
      </w:r>
      <w:r>
        <w:rPr>
          <w:spacing w:val="19"/>
        </w:rPr>
        <w:t> </w:t>
      </w:r>
      <w:r>
        <w:rPr/>
        <w:t>provision</w:t>
      </w:r>
      <w:r>
        <w:rPr>
          <w:spacing w:val="24"/>
        </w:rPr>
        <w:t> </w:t>
      </w:r>
      <w:r>
        <w:rPr/>
        <w:t>shall</w:t>
      </w:r>
      <w:r>
        <w:rPr>
          <w:spacing w:val="24"/>
        </w:rPr>
        <w:t> </w:t>
      </w:r>
      <w:r>
        <w:rPr/>
        <w:t>not</w:t>
      </w:r>
      <w:r>
        <w:rPr>
          <w:spacing w:val="22"/>
        </w:rPr>
        <w:t> </w:t>
      </w:r>
      <w:r>
        <w:rPr/>
        <w:t>apply</w:t>
      </w:r>
      <w:r>
        <w:rPr>
          <w:spacing w:val="21"/>
        </w:rPr>
        <w:t> </w:t>
      </w:r>
      <w:r>
        <w:rPr/>
        <w:t>to</w:t>
      </w:r>
      <w:r>
        <w:rPr>
          <w:spacing w:val="22"/>
        </w:rPr>
        <w:t> </w:t>
      </w:r>
      <w:r>
        <w:rPr/>
        <w:t>the</w:t>
      </w:r>
      <w:r>
        <w:rPr>
          <w:spacing w:val="22"/>
        </w:rPr>
        <w:t> </w:t>
      </w:r>
      <w:r>
        <w:rPr/>
        <w:t>plots</w:t>
      </w:r>
      <w:r>
        <w:rPr>
          <w:spacing w:val="21"/>
        </w:rPr>
        <w:t> </w:t>
      </w:r>
      <w:r>
        <w:rPr/>
        <w:t>wherein</w:t>
      </w:r>
      <w:r>
        <w:rPr>
          <w:spacing w:val="22"/>
        </w:rPr>
        <w:t> </w:t>
      </w:r>
      <w:r>
        <w:rPr/>
        <w:t>permissible</w:t>
      </w:r>
      <w:r>
        <w:rPr>
          <w:spacing w:val="22"/>
        </w:rPr>
        <w:t> </w:t>
      </w:r>
      <w:r>
        <w:rPr>
          <w:spacing w:val="-2"/>
        </w:rPr>
        <w:t>Zonal</w:t>
      </w:r>
    </w:p>
    <w:p>
      <w:pPr>
        <w:pStyle w:val="BodyText"/>
        <w:spacing w:before="1"/>
        <w:ind w:left="2050"/>
      </w:pPr>
      <w:r>
        <w:rPr/>
        <w:t>F.S.I.</w:t>
      </w:r>
      <w:r>
        <w:rPr>
          <w:spacing w:val="-1"/>
        </w:rPr>
        <w:t> </w:t>
      </w:r>
      <w:r>
        <w:rPr/>
        <w:t>is less than </w:t>
      </w:r>
      <w:r>
        <w:rPr>
          <w:spacing w:val="-2"/>
        </w:rPr>
        <w:t>1.00.</w:t>
      </w:r>
    </w:p>
    <w:p>
      <w:pPr>
        <w:pStyle w:val="BodyText"/>
        <w:spacing w:before="240"/>
        <w:ind w:left="2050" w:right="770"/>
      </w:pPr>
      <w:r>
        <w:rPr/>
        <w:t>The</w:t>
      </w:r>
      <w:r>
        <w:rPr>
          <w:spacing w:val="-19"/>
        </w:rPr>
        <w:t> </w:t>
      </w:r>
      <w:r>
        <w:rPr/>
        <w:t>entire</w:t>
      </w:r>
      <w:r>
        <w:rPr>
          <w:spacing w:val="-18"/>
        </w:rPr>
        <w:t> </w:t>
      </w:r>
      <w:r>
        <w:rPr/>
        <w:t>AH/ R&amp;R</w:t>
      </w:r>
      <w:r>
        <w:rPr>
          <w:spacing w:val="-5"/>
        </w:rPr>
        <w:t> </w:t>
      </w:r>
      <w:r>
        <w:rPr/>
        <w:t>components</w:t>
      </w:r>
      <w:r>
        <w:rPr>
          <w:spacing w:val="-19"/>
        </w:rPr>
        <w:t> </w:t>
      </w:r>
      <w:r>
        <w:rPr/>
        <w:t>including</w:t>
      </w:r>
      <w:r>
        <w:rPr>
          <w:spacing w:val="-19"/>
        </w:rPr>
        <w:t> </w:t>
      </w:r>
      <w:r>
        <w:rPr/>
        <w:t>Base</w:t>
      </w:r>
      <w:r>
        <w:rPr>
          <w:spacing w:val="-19"/>
        </w:rPr>
        <w:t> </w:t>
      </w:r>
      <w:r>
        <w:rPr/>
        <w:t>FSI</w:t>
      </w:r>
      <w:r>
        <w:rPr>
          <w:spacing w:val="-16"/>
        </w:rPr>
        <w:t> </w:t>
      </w:r>
      <w:r>
        <w:rPr/>
        <w:t>may</w:t>
      </w:r>
      <w:r>
        <w:rPr>
          <w:spacing w:val="-19"/>
        </w:rPr>
        <w:t> </w:t>
      </w:r>
      <w:r>
        <w:rPr/>
        <w:t>be</w:t>
      </w:r>
      <w:r>
        <w:rPr>
          <w:spacing w:val="-19"/>
        </w:rPr>
        <w:t> </w:t>
      </w:r>
      <w:r>
        <w:rPr/>
        <w:t>categorized as AH/ R&amp;R component as applicable and the corresponding sale components from the additional FSI amongst two or more schemes under</w:t>
      </w:r>
      <w:r>
        <w:rPr>
          <w:spacing w:val="-1"/>
        </w:rPr>
        <w:t> </w:t>
      </w:r>
      <w:r>
        <w:rPr/>
        <w:t>this</w:t>
      </w:r>
      <w:r>
        <w:rPr>
          <w:spacing w:val="2"/>
        </w:rPr>
        <w:t> </w:t>
      </w:r>
      <w:r>
        <w:rPr/>
        <w:t>regulation</w:t>
      </w:r>
      <w:r>
        <w:rPr>
          <w:spacing w:val="2"/>
        </w:rPr>
        <w:t> </w:t>
      </w:r>
      <w:r>
        <w:rPr/>
        <w:t>can</w:t>
      </w:r>
      <w:r>
        <w:rPr>
          <w:spacing w:val="2"/>
        </w:rPr>
        <w:t> </w:t>
      </w:r>
      <w:r>
        <w:rPr/>
        <w:t>be</w:t>
      </w:r>
      <w:r>
        <w:rPr>
          <w:spacing w:val="2"/>
        </w:rPr>
        <w:t> </w:t>
      </w:r>
      <w:r>
        <w:rPr/>
        <w:t>permitted</w:t>
      </w:r>
      <w:r>
        <w:rPr>
          <w:spacing w:val="1"/>
        </w:rPr>
        <w:t> </w:t>
      </w:r>
      <w:r>
        <w:rPr/>
        <w:t>to</w:t>
      </w:r>
      <w:r>
        <w:rPr>
          <w:spacing w:val="2"/>
        </w:rPr>
        <w:t> </w:t>
      </w:r>
      <w:r>
        <w:rPr/>
        <w:t>be</w:t>
      </w:r>
      <w:r>
        <w:rPr>
          <w:spacing w:val="2"/>
        </w:rPr>
        <w:t> </w:t>
      </w:r>
      <w:r>
        <w:rPr/>
        <w:t>interchanged.</w:t>
      </w:r>
      <w:r>
        <w:rPr>
          <w:spacing w:val="2"/>
        </w:rPr>
        <w:t> </w:t>
      </w:r>
      <w:r>
        <w:rPr/>
        <w:t>A</w:t>
      </w:r>
      <w:r>
        <w:rPr>
          <w:spacing w:val="2"/>
        </w:rPr>
        <w:t> </w:t>
      </w:r>
      <w:r>
        <w:rPr>
          <w:spacing w:val="-2"/>
        </w:rPr>
        <w:t>developer</w:t>
      </w:r>
    </w:p>
    <w:p>
      <w:pPr>
        <w:pStyle w:val="BodyText"/>
        <w:spacing w:before="1"/>
        <w:ind w:left="2050" w:right="769"/>
      </w:pPr>
      <w:r>
        <w:rPr/>
        <w:t>/</w:t>
      </w:r>
      <w:r>
        <w:rPr>
          <w:spacing w:val="-20"/>
        </w:rPr>
        <w:t> </w:t>
      </w:r>
      <w:r>
        <w:rPr/>
        <w:t>developers</w:t>
      </w:r>
      <w:r>
        <w:rPr>
          <w:spacing w:val="-19"/>
        </w:rPr>
        <w:t> </w:t>
      </w:r>
      <w:r>
        <w:rPr/>
        <w:t>making</w:t>
      </w:r>
      <w:r>
        <w:rPr>
          <w:spacing w:val="-19"/>
        </w:rPr>
        <w:t> </w:t>
      </w:r>
      <w:r>
        <w:rPr/>
        <w:t>an</w:t>
      </w:r>
      <w:r>
        <w:rPr>
          <w:spacing w:val="-19"/>
        </w:rPr>
        <w:t> </w:t>
      </w:r>
      <w:r>
        <w:rPr/>
        <w:t>application</w:t>
      </w:r>
      <w:r>
        <w:rPr>
          <w:spacing w:val="-19"/>
        </w:rPr>
        <w:t> </w:t>
      </w:r>
      <w:r>
        <w:rPr/>
        <w:t>under</w:t>
      </w:r>
      <w:r>
        <w:rPr>
          <w:spacing w:val="-20"/>
        </w:rPr>
        <w:t> </w:t>
      </w:r>
      <w:r>
        <w:rPr/>
        <w:t>this</w:t>
      </w:r>
      <w:r>
        <w:rPr>
          <w:spacing w:val="-19"/>
        </w:rPr>
        <w:t> </w:t>
      </w:r>
      <w:r>
        <w:rPr/>
        <w:t>regulation</w:t>
      </w:r>
      <w:r>
        <w:rPr>
          <w:spacing w:val="-19"/>
        </w:rPr>
        <w:t> </w:t>
      </w:r>
      <w:r>
        <w:rPr/>
        <w:t>may</w:t>
      </w:r>
      <w:r>
        <w:rPr>
          <w:spacing w:val="-19"/>
        </w:rPr>
        <w:t> </w:t>
      </w:r>
      <w:r>
        <w:rPr/>
        <w:t>club</w:t>
      </w:r>
      <w:r>
        <w:rPr>
          <w:spacing w:val="-19"/>
        </w:rPr>
        <w:t> </w:t>
      </w:r>
      <w:r>
        <w:rPr/>
        <w:t>more than</w:t>
      </w:r>
      <w:r>
        <w:rPr>
          <w:spacing w:val="-9"/>
        </w:rPr>
        <w:t> </w:t>
      </w:r>
      <w:r>
        <w:rPr/>
        <w:t>one</w:t>
      </w:r>
      <w:r>
        <w:rPr>
          <w:spacing w:val="-9"/>
        </w:rPr>
        <w:t> </w:t>
      </w:r>
      <w:r>
        <w:rPr/>
        <w:t>plot</w:t>
      </w:r>
      <w:r>
        <w:rPr>
          <w:spacing w:val="-9"/>
        </w:rPr>
        <w:t> </w:t>
      </w:r>
      <w:r>
        <w:rPr/>
        <w:t>belonging</w:t>
      </w:r>
      <w:r>
        <w:rPr>
          <w:spacing w:val="-9"/>
        </w:rPr>
        <w:t> </w:t>
      </w:r>
      <w:r>
        <w:rPr/>
        <w:t>to</w:t>
      </w:r>
      <w:r>
        <w:rPr>
          <w:spacing w:val="-9"/>
        </w:rPr>
        <w:t> </w:t>
      </w:r>
      <w:r>
        <w:rPr/>
        <w:t>single</w:t>
      </w:r>
      <w:r>
        <w:rPr>
          <w:spacing w:val="-9"/>
        </w:rPr>
        <w:t> </w:t>
      </w:r>
      <w:r>
        <w:rPr/>
        <w:t>or</w:t>
      </w:r>
      <w:r>
        <w:rPr>
          <w:spacing w:val="-9"/>
        </w:rPr>
        <w:t> </w:t>
      </w:r>
      <w:r>
        <w:rPr/>
        <w:t>multiple</w:t>
      </w:r>
      <w:r>
        <w:rPr>
          <w:spacing w:val="-9"/>
        </w:rPr>
        <w:t> </w:t>
      </w:r>
      <w:r>
        <w:rPr/>
        <w:t>owners</w:t>
      </w:r>
      <w:r>
        <w:rPr>
          <w:spacing w:val="-9"/>
        </w:rPr>
        <w:t> </w:t>
      </w:r>
      <w:r>
        <w:rPr/>
        <w:t>and</w:t>
      </w:r>
      <w:r>
        <w:rPr>
          <w:spacing w:val="-9"/>
        </w:rPr>
        <w:t> </w:t>
      </w:r>
      <w:r>
        <w:rPr/>
        <w:t>offer</w:t>
      </w:r>
      <w:r>
        <w:rPr>
          <w:spacing w:val="-10"/>
        </w:rPr>
        <w:t> </w:t>
      </w:r>
      <w:r>
        <w:rPr/>
        <w:t>AH/ R&amp;R component</w:t>
      </w:r>
      <w:r>
        <w:rPr>
          <w:spacing w:val="-20"/>
        </w:rPr>
        <w:t> </w:t>
      </w:r>
      <w:r>
        <w:rPr/>
        <w:t>on</w:t>
      </w:r>
      <w:r>
        <w:rPr>
          <w:spacing w:val="-19"/>
        </w:rPr>
        <w:t> </w:t>
      </w:r>
      <w:r>
        <w:rPr/>
        <w:t>a</w:t>
      </w:r>
      <w:r>
        <w:rPr>
          <w:spacing w:val="-19"/>
        </w:rPr>
        <w:t> </w:t>
      </w:r>
      <w:r>
        <w:rPr/>
        <w:t>single</w:t>
      </w:r>
      <w:r>
        <w:rPr>
          <w:spacing w:val="-19"/>
        </w:rPr>
        <w:t> </w:t>
      </w:r>
      <w:r>
        <w:rPr/>
        <w:t>plot</w:t>
      </w:r>
      <w:r>
        <w:rPr>
          <w:spacing w:val="-19"/>
        </w:rPr>
        <w:t> </w:t>
      </w:r>
      <w:r>
        <w:rPr/>
        <w:t>while</w:t>
      </w:r>
      <w:r>
        <w:rPr>
          <w:spacing w:val="-20"/>
        </w:rPr>
        <w:t> </w:t>
      </w:r>
      <w:r>
        <w:rPr/>
        <w:t>shifting</w:t>
      </w:r>
      <w:r>
        <w:rPr>
          <w:spacing w:val="-19"/>
        </w:rPr>
        <w:t> </w:t>
      </w:r>
      <w:r>
        <w:rPr/>
        <w:t>sale</w:t>
      </w:r>
      <w:r>
        <w:rPr>
          <w:spacing w:val="-19"/>
        </w:rPr>
        <w:t> </w:t>
      </w:r>
      <w:r>
        <w:rPr/>
        <w:t>component</w:t>
      </w:r>
      <w:r>
        <w:rPr>
          <w:spacing w:val="-19"/>
        </w:rPr>
        <w:t> </w:t>
      </w:r>
      <w:r>
        <w:rPr/>
        <w:t>as</w:t>
      </w:r>
      <w:r>
        <w:rPr>
          <w:spacing w:val="-19"/>
        </w:rPr>
        <w:t> </w:t>
      </w:r>
      <w:r>
        <w:rPr/>
        <w:t>well</w:t>
      </w:r>
      <w:r>
        <w:rPr>
          <w:spacing w:val="-20"/>
        </w:rPr>
        <w:t> </w:t>
      </w:r>
      <w:r>
        <w:rPr/>
        <w:t>as</w:t>
      </w:r>
      <w:r>
        <w:rPr>
          <w:spacing w:val="-19"/>
        </w:rPr>
        <w:t> </w:t>
      </w:r>
      <w:r>
        <w:rPr/>
        <w:t>base FSI of the plot to other plots provided all right holders of these plots agree and make a joint application. However, clubbing shall be allowed only</w:t>
      </w:r>
      <w:r>
        <w:rPr>
          <w:spacing w:val="-8"/>
        </w:rPr>
        <w:t> </w:t>
      </w:r>
      <w:r>
        <w:rPr/>
        <w:t>if</w:t>
      </w:r>
      <w:r>
        <w:rPr>
          <w:spacing w:val="-8"/>
        </w:rPr>
        <w:t> </w:t>
      </w:r>
      <w:r>
        <w:rPr/>
        <w:t>it</w:t>
      </w:r>
      <w:r>
        <w:rPr>
          <w:spacing w:val="-8"/>
        </w:rPr>
        <w:t> </w:t>
      </w:r>
      <w:r>
        <w:rPr/>
        <w:t>leads</w:t>
      </w:r>
      <w:r>
        <w:rPr>
          <w:spacing w:val="-8"/>
        </w:rPr>
        <w:t> </w:t>
      </w:r>
      <w:r>
        <w:rPr/>
        <w:t>to</w:t>
      </w:r>
      <w:r>
        <w:rPr>
          <w:spacing w:val="-8"/>
        </w:rPr>
        <w:t> </w:t>
      </w:r>
      <w:r>
        <w:rPr/>
        <w:t>an</w:t>
      </w:r>
      <w:r>
        <w:rPr>
          <w:spacing w:val="-8"/>
        </w:rPr>
        <w:t> </w:t>
      </w:r>
      <w:r>
        <w:rPr/>
        <w:t>independent</w:t>
      </w:r>
      <w:r>
        <w:rPr>
          <w:spacing w:val="-8"/>
        </w:rPr>
        <w:t> </w:t>
      </w:r>
      <w:r>
        <w:rPr/>
        <w:t>plot</w:t>
      </w:r>
      <w:r>
        <w:rPr>
          <w:spacing w:val="-8"/>
        </w:rPr>
        <w:t> </w:t>
      </w:r>
      <w:r>
        <w:rPr/>
        <w:t>/</w:t>
      </w:r>
      <w:r>
        <w:rPr>
          <w:spacing w:val="-8"/>
        </w:rPr>
        <w:t> </w:t>
      </w:r>
      <w:r>
        <w:rPr/>
        <w:t>building</w:t>
      </w:r>
      <w:r>
        <w:rPr>
          <w:spacing w:val="-8"/>
        </w:rPr>
        <w:t> </w:t>
      </w:r>
      <w:r>
        <w:rPr/>
        <w:t>/</w:t>
      </w:r>
      <w:r>
        <w:rPr>
          <w:spacing w:val="-8"/>
        </w:rPr>
        <w:t> </w:t>
      </w:r>
      <w:r>
        <w:rPr/>
        <w:t>wing</w:t>
      </w:r>
      <w:r>
        <w:rPr>
          <w:spacing w:val="-8"/>
        </w:rPr>
        <w:t> </w:t>
      </w:r>
      <w:r>
        <w:rPr/>
        <w:t>as</w:t>
      </w:r>
      <w:r>
        <w:rPr>
          <w:spacing w:val="-8"/>
        </w:rPr>
        <w:t> </w:t>
      </w:r>
      <w:r>
        <w:rPr/>
        <w:t>the</w:t>
      </w:r>
      <w:r>
        <w:rPr>
          <w:spacing w:val="-11"/>
        </w:rPr>
        <w:t> </w:t>
      </w:r>
      <w:r>
        <w:rPr/>
        <w:t>case</w:t>
      </w:r>
      <w:r>
        <w:rPr>
          <w:spacing w:val="-8"/>
        </w:rPr>
        <w:t> </w:t>
      </w:r>
      <w:r>
        <w:rPr/>
        <w:t>may be</w:t>
      </w:r>
      <w:r>
        <w:rPr>
          <w:spacing w:val="-5"/>
        </w:rPr>
        <w:t> </w:t>
      </w:r>
      <w:r>
        <w:rPr/>
        <w:t>with</w:t>
      </w:r>
      <w:r>
        <w:rPr>
          <w:spacing w:val="-5"/>
        </w:rPr>
        <w:t> </w:t>
      </w:r>
      <w:r>
        <w:rPr/>
        <w:t>AH/ R&amp;R component</w:t>
      </w:r>
      <w:r>
        <w:rPr>
          <w:spacing w:val="-5"/>
        </w:rPr>
        <w:t> </w:t>
      </w:r>
      <w:r>
        <w:rPr/>
        <w:t>being</w:t>
      </w:r>
      <w:r>
        <w:rPr>
          <w:spacing w:val="-5"/>
        </w:rPr>
        <w:t> </w:t>
      </w:r>
      <w:r>
        <w:rPr/>
        <w:t>handed</w:t>
      </w:r>
      <w:r>
        <w:rPr>
          <w:spacing w:val="-5"/>
        </w:rPr>
        <w:t> </w:t>
      </w:r>
      <w:r>
        <w:rPr/>
        <w:t>over</w:t>
      </w:r>
      <w:r>
        <w:rPr>
          <w:spacing w:val="-5"/>
        </w:rPr>
        <w:t> </w:t>
      </w:r>
      <w:r>
        <w:rPr/>
        <w:t>to</w:t>
      </w:r>
      <w:r>
        <w:rPr>
          <w:spacing w:val="-5"/>
        </w:rPr>
        <w:t> </w:t>
      </w:r>
      <w:r>
        <w:rPr/>
        <w:t>Planning</w:t>
      </w:r>
      <w:r>
        <w:rPr>
          <w:spacing w:val="-3"/>
        </w:rPr>
        <w:t> </w:t>
      </w:r>
      <w:r>
        <w:rPr/>
        <w:t>Authority. The developer shall have to pay as</w:t>
      </w:r>
      <w:r>
        <w:rPr>
          <w:spacing w:val="29"/>
        </w:rPr>
        <w:t> </w:t>
      </w:r>
      <w:r>
        <w:rPr/>
        <w:t>an</w:t>
      </w:r>
      <w:r>
        <w:rPr>
          <w:spacing w:val="34"/>
        </w:rPr>
        <w:t> </w:t>
      </w:r>
      <w:r>
        <w:rPr/>
        <w:t>unearned income equal</w:t>
      </w:r>
      <w:r>
        <w:rPr>
          <w:spacing w:val="29"/>
        </w:rPr>
        <w:t> </w:t>
      </w:r>
      <w:r>
        <w:rPr/>
        <w:t>to</w:t>
      </w:r>
      <w:r>
        <w:rPr>
          <w:spacing w:val="31"/>
        </w:rPr>
        <w:t> </w:t>
      </w:r>
      <w:r>
        <w:rPr/>
        <w:t>40% of difference of sale value of shifted built up area of AH/ R&amp;R component as per ASR.</w:t>
      </w:r>
    </w:p>
    <w:p>
      <w:pPr>
        <w:pStyle w:val="BodyText"/>
        <w:spacing w:before="1"/>
        <w:ind w:left="2050" w:right="775" w:firstLine="844"/>
      </w:pPr>
      <w:r>
        <w:rPr/>
        <w:t>Such clubbing can be allowed for the schemes falling in same ward or adjoining ward or within the distance of 5 km.</w:t>
      </w:r>
    </w:p>
    <w:p>
      <w:pPr>
        <w:pStyle w:val="BodyText"/>
        <w:spacing w:before="281"/>
        <w:ind w:left="2050" w:right="767" w:firstLine="614"/>
      </w:pPr>
      <w:r>
        <w:rPr/>
        <w:t>The</w:t>
      </w:r>
      <w:r>
        <w:rPr>
          <w:spacing w:val="-9"/>
        </w:rPr>
        <w:t> </w:t>
      </w:r>
      <w:r>
        <w:rPr/>
        <w:t>premium</w:t>
      </w:r>
      <w:r>
        <w:rPr>
          <w:spacing w:val="-9"/>
        </w:rPr>
        <w:t> </w:t>
      </w:r>
      <w:r>
        <w:rPr/>
        <w:t>shall</w:t>
      </w:r>
      <w:r>
        <w:rPr>
          <w:spacing w:val="-9"/>
        </w:rPr>
        <w:t> </w:t>
      </w:r>
      <w:r>
        <w:rPr/>
        <w:t>be</w:t>
      </w:r>
      <w:r>
        <w:rPr>
          <w:spacing w:val="-9"/>
        </w:rPr>
        <w:t> </w:t>
      </w:r>
      <w:r>
        <w:rPr/>
        <w:t>paid</w:t>
      </w:r>
      <w:r>
        <w:rPr>
          <w:spacing w:val="-9"/>
        </w:rPr>
        <w:t> </w:t>
      </w:r>
      <w:r>
        <w:rPr/>
        <w:t>to</w:t>
      </w:r>
      <w:r>
        <w:rPr>
          <w:spacing w:val="-11"/>
        </w:rPr>
        <w:t> </w:t>
      </w:r>
      <w:r>
        <w:rPr/>
        <w:t>the</w:t>
      </w:r>
      <w:r>
        <w:rPr>
          <w:spacing w:val="-9"/>
        </w:rPr>
        <w:t> </w:t>
      </w:r>
      <w:r>
        <w:rPr/>
        <w:t>Planning</w:t>
      </w:r>
      <w:r>
        <w:rPr>
          <w:spacing w:val="-9"/>
        </w:rPr>
        <w:t> </w:t>
      </w:r>
      <w:r>
        <w:rPr/>
        <w:t>Authority</w:t>
      </w:r>
      <w:r>
        <w:rPr>
          <w:spacing w:val="-9"/>
        </w:rPr>
        <w:t> </w:t>
      </w:r>
      <w:r>
        <w:rPr/>
        <w:t>in</w:t>
      </w:r>
      <w:r>
        <w:rPr>
          <w:spacing w:val="-11"/>
        </w:rPr>
        <w:t> </w:t>
      </w:r>
      <w:r>
        <w:rPr/>
        <w:t>two</w:t>
      </w:r>
      <w:r>
        <w:rPr>
          <w:spacing w:val="-9"/>
        </w:rPr>
        <w:t> </w:t>
      </w:r>
      <w:r>
        <w:rPr/>
        <w:t>stages 50%</w:t>
      </w:r>
      <w:r>
        <w:rPr>
          <w:spacing w:val="-19"/>
        </w:rPr>
        <w:t> </w:t>
      </w:r>
      <w:r>
        <w:rPr/>
        <w:t>at</w:t>
      </w:r>
      <w:r>
        <w:rPr>
          <w:spacing w:val="-19"/>
        </w:rPr>
        <w:t> </w:t>
      </w:r>
      <w:r>
        <w:rPr/>
        <w:t>the</w:t>
      </w:r>
      <w:r>
        <w:rPr>
          <w:spacing w:val="-19"/>
        </w:rPr>
        <w:t> </w:t>
      </w:r>
      <w:r>
        <w:rPr/>
        <w:t>time</w:t>
      </w:r>
      <w:r>
        <w:rPr>
          <w:spacing w:val="-19"/>
        </w:rPr>
        <w:t> </w:t>
      </w:r>
      <w:r>
        <w:rPr/>
        <w:t>IOA</w:t>
      </w:r>
      <w:r>
        <w:rPr>
          <w:spacing w:val="-19"/>
        </w:rPr>
        <w:t> </w:t>
      </w:r>
      <w:r>
        <w:rPr/>
        <w:t>and</w:t>
      </w:r>
      <w:r>
        <w:rPr>
          <w:spacing w:val="-19"/>
        </w:rPr>
        <w:t> </w:t>
      </w:r>
      <w:r>
        <w:rPr/>
        <w:t>50%</w:t>
      </w:r>
      <w:r>
        <w:rPr>
          <w:spacing w:val="-19"/>
        </w:rPr>
        <w:t> </w:t>
      </w:r>
      <w:r>
        <w:rPr/>
        <w:t>at</w:t>
      </w:r>
      <w:r>
        <w:rPr>
          <w:spacing w:val="-19"/>
        </w:rPr>
        <w:t> </w:t>
      </w:r>
      <w:r>
        <w:rPr/>
        <w:t>the</w:t>
      </w:r>
      <w:r>
        <w:rPr>
          <w:spacing w:val="-19"/>
        </w:rPr>
        <w:t> </w:t>
      </w:r>
      <w:r>
        <w:rPr/>
        <w:t>time</w:t>
      </w:r>
      <w:r>
        <w:rPr>
          <w:spacing w:val="-17"/>
        </w:rPr>
        <w:t> </w:t>
      </w:r>
      <w:r>
        <w:rPr/>
        <w:t>of</w:t>
      </w:r>
      <w:r>
        <w:rPr>
          <w:spacing w:val="-19"/>
        </w:rPr>
        <w:t> </w:t>
      </w:r>
      <w:r>
        <w:rPr/>
        <w:t>issuing</w:t>
      </w:r>
      <w:r>
        <w:rPr>
          <w:spacing w:val="-19"/>
        </w:rPr>
        <w:t> </w:t>
      </w:r>
      <w:r>
        <w:rPr/>
        <w:t>C.C.</w:t>
      </w:r>
      <w:r>
        <w:rPr>
          <w:spacing w:val="-19"/>
        </w:rPr>
        <w:t> </w:t>
      </w:r>
      <w:r>
        <w:rPr/>
        <w:t>for</w:t>
      </w:r>
      <w:r>
        <w:rPr>
          <w:spacing w:val="-17"/>
        </w:rPr>
        <w:t> </w:t>
      </w:r>
      <w:r>
        <w:rPr/>
        <w:t>the</w:t>
      </w:r>
      <w:r>
        <w:rPr>
          <w:spacing w:val="-19"/>
        </w:rPr>
        <w:t> </w:t>
      </w:r>
      <w:r>
        <w:rPr/>
        <w:t>incentive FSI. or the developer has to surrender equivalent sale FSI in form of constructed BUA to the extent of premium in the scheme to be valued at ASR rate of sale in the year of such surrender of built up area.</w:t>
      </w:r>
    </w:p>
    <w:p>
      <w:pPr>
        <w:pStyle w:val="BodyText"/>
        <w:spacing w:before="97"/>
        <w:ind w:left="2050" w:right="770"/>
      </w:pPr>
      <w:r>
        <w:rPr>
          <w:b/>
        </w:rPr>
        <w:t>Note</w:t>
      </w:r>
      <w:r>
        <w:rPr/>
        <w:t>:</w:t>
      </w:r>
      <w:r>
        <w:rPr>
          <w:spacing w:val="-13"/>
        </w:rPr>
        <w:t> </w:t>
      </w:r>
      <w:r>
        <w:rPr/>
        <w:t>Out</w:t>
      </w:r>
      <w:r>
        <w:rPr>
          <w:spacing w:val="-13"/>
        </w:rPr>
        <w:t> </w:t>
      </w:r>
      <w:r>
        <w:rPr/>
        <w:t>of</w:t>
      </w:r>
      <w:r>
        <w:rPr>
          <w:spacing w:val="-13"/>
        </w:rPr>
        <w:t> </w:t>
      </w:r>
      <w:r>
        <w:rPr/>
        <w:t>the</w:t>
      </w:r>
      <w:r>
        <w:rPr>
          <w:spacing w:val="-13"/>
        </w:rPr>
        <w:t> </w:t>
      </w:r>
      <w:r>
        <w:rPr/>
        <w:t>total</w:t>
      </w:r>
      <w:r>
        <w:rPr>
          <w:spacing w:val="-13"/>
        </w:rPr>
        <w:t> </w:t>
      </w:r>
      <w:r>
        <w:rPr/>
        <w:t>premium</w:t>
      </w:r>
      <w:r>
        <w:rPr>
          <w:spacing w:val="-13"/>
        </w:rPr>
        <w:t> </w:t>
      </w:r>
      <w:r>
        <w:rPr/>
        <w:t>amount</w:t>
      </w:r>
      <w:r>
        <w:rPr>
          <w:spacing w:val="-13"/>
        </w:rPr>
        <w:t> </w:t>
      </w:r>
      <w:r>
        <w:rPr/>
        <w:t>collected</w:t>
      </w:r>
      <w:r>
        <w:rPr>
          <w:spacing w:val="-13"/>
        </w:rPr>
        <w:t> </w:t>
      </w:r>
      <w:r>
        <w:rPr/>
        <w:t>under</w:t>
      </w:r>
      <w:r>
        <w:rPr>
          <w:spacing w:val="-13"/>
        </w:rPr>
        <w:t> </w:t>
      </w:r>
      <w:r>
        <w:rPr/>
        <w:t>this</w:t>
      </w:r>
      <w:r>
        <w:rPr>
          <w:spacing w:val="-13"/>
        </w:rPr>
        <w:t> </w:t>
      </w:r>
      <w:r>
        <w:rPr/>
        <w:t>Regulation, 2/3</w:t>
      </w:r>
      <w:r>
        <w:rPr>
          <w:spacing w:val="-1"/>
        </w:rPr>
        <w:t> </w:t>
      </w:r>
      <w:r>
        <w:rPr/>
        <w:t>shall</w:t>
      </w:r>
      <w:r>
        <w:rPr>
          <w:spacing w:val="-1"/>
        </w:rPr>
        <w:t> </w:t>
      </w:r>
      <w:r>
        <w:rPr/>
        <w:t>be</w:t>
      </w:r>
      <w:r>
        <w:rPr>
          <w:spacing w:val="-1"/>
        </w:rPr>
        <w:t> </w:t>
      </w:r>
      <w:r>
        <w:rPr/>
        <w:t>kept</w:t>
      </w:r>
      <w:r>
        <w:rPr>
          <w:spacing w:val="-1"/>
        </w:rPr>
        <w:t> </w:t>
      </w:r>
      <w:r>
        <w:rPr/>
        <w:t>in</w:t>
      </w:r>
      <w:r>
        <w:rPr>
          <w:spacing w:val="-3"/>
        </w:rPr>
        <w:t> </w:t>
      </w:r>
      <w:r>
        <w:rPr/>
        <w:t>a</w:t>
      </w:r>
      <w:r>
        <w:rPr>
          <w:spacing w:val="-1"/>
        </w:rPr>
        <w:t> </w:t>
      </w:r>
      <w:r>
        <w:rPr/>
        <w:t>separate</w:t>
      </w:r>
      <w:r>
        <w:rPr>
          <w:spacing w:val="-1"/>
        </w:rPr>
        <w:t> </w:t>
      </w:r>
      <w:r>
        <w:rPr/>
        <w:t>account</w:t>
      </w:r>
      <w:r>
        <w:rPr>
          <w:spacing w:val="-1"/>
        </w:rPr>
        <w:t> </w:t>
      </w:r>
      <w:r>
        <w:rPr/>
        <w:t>to</w:t>
      </w:r>
      <w:r>
        <w:rPr>
          <w:spacing w:val="-1"/>
        </w:rPr>
        <w:t> </w:t>
      </w:r>
      <w:r>
        <w:rPr/>
        <w:t>be</w:t>
      </w:r>
      <w:r>
        <w:rPr>
          <w:spacing w:val="-1"/>
        </w:rPr>
        <w:t> </w:t>
      </w:r>
      <w:r>
        <w:rPr/>
        <w:t>utilized</w:t>
      </w:r>
      <w:r>
        <w:rPr>
          <w:spacing w:val="-1"/>
        </w:rPr>
        <w:t> </w:t>
      </w:r>
      <w:r>
        <w:rPr/>
        <w:t>for</w:t>
      </w:r>
      <w:r>
        <w:rPr>
          <w:spacing w:val="-1"/>
        </w:rPr>
        <w:t> </w:t>
      </w:r>
      <w:r>
        <w:rPr/>
        <w:t>infrastructure development by MCGM and 1/3 shall be deposited at the Office of the Deputy Director of Town Planning, Greater Mumbai.</w:t>
      </w:r>
    </w:p>
    <w:p>
      <w:pPr>
        <w:pStyle w:val="Heading5"/>
        <w:numPr>
          <w:ilvl w:val="0"/>
          <w:numId w:val="208"/>
        </w:numPr>
        <w:tabs>
          <w:tab w:pos="2040" w:val="left" w:leader="none"/>
        </w:tabs>
        <w:spacing w:line="240" w:lineRule="auto" w:before="238" w:after="0"/>
        <w:ind w:left="2040" w:right="0" w:hanging="338"/>
        <w:jc w:val="left"/>
      </w:pPr>
      <w:r>
        <w:rPr>
          <w:spacing w:val="-2"/>
        </w:rPr>
        <w:t>Shramamsafaly/AshrayYojana</w:t>
      </w:r>
    </w:p>
    <w:p>
      <w:pPr>
        <w:pStyle w:val="BodyText"/>
        <w:spacing w:before="2"/>
        <w:ind w:left="2062" w:right="769"/>
      </w:pPr>
      <w:r>
        <w:rPr/>
        <w:t>The tenements required for Shramsafalya/Ashrayyojana may be allowed to be constructed as per the provisions of Regulation (A) &amp; (B) above with the special permission of Municipal Commissioner subject to condition that the sizes of tenements constructed shall be governed by the requirements of such schemes.</w:t>
      </w:r>
    </w:p>
    <w:p>
      <w:pPr>
        <w:pStyle w:val="BodyText"/>
        <w:spacing w:before="278"/>
        <w:jc w:val="left"/>
      </w:pPr>
    </w:p>
    <w:p>
      <w:pPr>
        <w:pStyle w:val="Heading6"/>
        <w:ind w:right="768"/>
        <w:jc w:val="both"/>
      </w:pPr>
      <w:r>
        <w:rPr/>
        <w:t>33(21) Development and Redevelopment of Municipal Market/Public Amenities by MCGM/Government</w:t>
      </w:r>
    </w:p>
    <w:p>
      <w:pPr>
        <w:spacing w:before="1"/>
        <w:ind w:left="2062" w:right="0" w:firstLine="0"/>
        <w:jc w:val="both"/>
        <w:rPr>
          <w:b/>
          <w:i/>
          <w:sz w:val="24"/>
        </w:rPr>
      </w:pPr>
      <w:r>
        <w:rPr>
          <w:b/>
          <w:i/>
          <w:sz w:val="24"/>
        </w:rPr>
        <w:t>(A)</w:t>
      </w:r>
      <w:r>
        <w:rPr>
          <w:b/>
          <w:i/>
          <w:spacing w:val="-1"/>
          <w:sz w:val="24"/>
        </w:rPr>
        <w:t> </w:t>
      </w:r>
      <w:r>
        <w:rPr>
          <w:b/>
          <w:i/>
          <w:sz w:val="24"/>
        </w:rPr>
        <w:t>Development and Redevelopment</w:t>
      </w:r>
      <w:r>
        <w:rPr>
          <w:b/>
          <w:i/>
          <w:spacing w:val="-1"/>
          <w:sz w:val="24"/>
        </w:rPr>
        <w:t> </w:t>
      </w:r>
      <w:r>
        <w:rPr>
          <w:b/>
          <w:i/>
          <w:sz w:val="24"/>
        </w:rPr>
        <w:t>of Municipal </w:t>
      </w:r>
      <w:r>
        <w:rPr>
          <w:b/>
          <w:i/>
          <w:spacing w:val="-2"/>
          <w:sz w:val="24"/>
        </w:rPr>
        <w:t>Market</w:t>
      </w:r>
    </w:p>
    <w:p>
      <w:pPr>
        <w:pStyle w:val="BodyText"/>
        <w:spacing w:before="1"/>
        <w:ind w:left="2062" w:right="767"/>
      </w:pPr>
      <w:r>
        <w:rPr/>
        <w:t>If development/redevelopment of existing Municipal Market of </w:t>
      </w:r>
      <w:r>
        <w:rPr/>
        <w:t>MCGM orland Reservedfor Municipal Market/ Existing Municipal market on land belonging to MCGM is proposed by MCGM itself, then development/redevelopment</w:t>
      </w:r>
      <w:r>
        <w:rPr>
          <w:spacing w:val="69"/>
        </w:rPr>
        <w:t>  </w:t>
      </w:r>
      <w:r>
        <w:rPr/>
        <w:t>of</w:t>
      </w:r>
      <w:r>
        <w:rPr>
          <w:spacing w:val="70"/>
        </w:rPr>
        <w:t>  </w:t>
      </w:r>
      <w:r>
        <w:rPr/>
        <w:t>such</w:t>
      </w:r>
      <w:r>
        <w:rPr>
          <w:spacing w:val="70"/>
        </w:rPr>
        <w:t>  </w:t>
      </w:r>
      <w:r>
        <w:rPr/>
        <w:t>existingMunicipal</w:t>
      </w:r>
      <w:r>
        <w:rPr>
          <w:spacing w:val="70"/>
        </w:rPr>
        <w:t>  </w:t>
      </w:r>
      <w:r>
        <w:rPr>
          <w:spacing w:val="-2"/>
        </w:rPr>
        <w:t>market/</w:t>
      </w:r>
    </w:p>
    <w:p>
      <w:pPr>
        <w:pStyle w:val="BodyText"/>
        <w:spacing w:before="1"/>
        <w:ind w:left="2062"/>
      </w:pPr>
      <w:r>
        <w:rPr/>
        <w:t>/reserved</w:t>
      </w:r>
      <w:r>
        <w:rPr>
          <w:spacing w:val="-2"/>
        </w:rPr>
        <w:t> </w:t>
      </w:r>
      <w:r>
        <w:rPr/>
        <w:t>land</w:t>
      </w:r>
      <w:r>
        <w:rPr>
          <w:spacing w:val="-1"/>
        </w:rPr>
        <w:t> </w:t>
      </w:r>
      <w:r>
        <w:rPr/>
        <w:t>of</w:t>
      </w:r>
      <w:r>
        <w:rPr>
          <w:spacing w:val="-2"/>
        </w:rPr>
        <w:t> </w:t>
      </w:r>
      <w:r>
        <w:rPr/>
        <w:t>Municipal</w:t>
      </w:r>
      <w:r>
        <w:rPr>
          <w:spacing w:val="-1"/>
        </w:rPr>
        <w:t> </w:t>
      </w:r>
      <w:r>
        <w:rPr/>
        <w:t>Market</w:t>
      </w:r>
      <w:r>
        <w:rPr>
          <w:spacing w:val="-1"/>
        </w:rPr>
        <w:t> </w:t>
      </w:r>
      <w:r>
        <w:rPr/>
        <w:t>shall</w:t>
      </w:r>
      <w:r>
        <w:rPr>
          <w:spacing w:val="-2"/>
        </w:rPr>
        <w:t> </w:t>
      </w:r>
      <w:r>
        <w:rPr/>
        <w:t>be</w:t>
      </w:r>
      <w:r>
        <w:rPr>
          <w:spacing w:val="-1"/>
        </w:rPr>
        <w:t> </w:t>
      </w:r>
      <w:r>
        <w:rPr/>
        <w:t>as</w:t>
      </w:r>
      <w:r>
        <w:rPr>
          <w:spacing w:val="-1"/>
        </w:rPr>
        <w:t> </w:t>
      </w:r>
      <w:r>
        <w:rPr>
          <w:spacing w:val="-2"/>
        </w:rPr>
        <w:t>follows:</w:t>
      </w:r>
    </w:p>
    <w:p>
      <w:pPr>
        <w:pStyle w:val="BodyText"/>
        <w:spacing w:after="0"/>
        <w:sectPr>
          <w:pgSz w:w="11910" w:h="16840"/>
          <w:pgMar w:header="1065" w:footer="1194" w:top="1500" w:bottom="1380" w:left="360" w:right="360"/>
        </w:sectPr>
      </w:pPr>
    </w:p>
    <w:p>
      <w:pPr>
        <w:pStyle w:val="ListParagraph"/>
        <w:numPr>
          <w:ilvl w:val="0"/>
          <w:numId w:val="210"/>
        </w:numPr>
        <w:tabs>
          <w:tab w:pos="2061" w:val="left" w:leader="none"/>
        </w:tabs>
        <w:spacing w:line="240" w:lineRule="auto" w:before="249" w:after="0"/>
        <w:ind w:left="2061" w:right="0" w:hanging="213"/>
        <w:jc w:val="left"/>
        <w:rPr>
          <w:sz w:val="24"/>
        </w:rPr>
      </w:pPr>
      <w:r>
        <w:rPr>
          <w:sz w:val="24"/>
        </w:rPr>
        <w:t>The</w:t>
      </w:r>
      <w:r>
        <w:rPr>
          <w:spacing w:val="-2"/>
          <w:sz w:val="24"/>
        </w:rPr>
        <w:t> </w:t>
      </w:r>
      <w:r>
        <w:rPr>
          <w:sz w:val="24"/>
        </w:rPr>
        <w:t>permissible</w:t>
      </w:r>
      <w:r>
        <w:rPr>
          <w:spacing w:val="-1"/>
          <w:sz w:val="24"/>
        </w:rPr>
        <w:t> </w:t>
      </w:r>
      <w:r>
        <w:rPr>
          <w:sz w:val="24"/>
        </w:rPr>
        <w:t>FSI shall</w:t>
      </w:r>
      <w:r>
        <w:rPr>
          <w:spacing w:val="-1"/>
          <w:sz w:val="24"/>
        </w:rPr>
        <w:t> </w:t>
      </w:r>
      <w:r>
        <w:rPr>
          <w:sz w:val="24"/>
        </w:rPr>
        <w:t>be</w:t>
      </w:r>
      <w:r>
        <w:rPr>
          <w:spacing w:val="-1"/>
          <w:sz w:val="24"/>
        </w:rPr>
        <w:t> </w:t>
      </w:r>
      <w:r>
        <w:rPr>
          <w:color w:val="000000"/>
          <w:spacing w:val="-2"/>
          <w:sz w:val="24"/>
          <w:shd w:fill="FFCCFF" w:color="auto" w:val="clear"/>
        </w:rPr>
        <w:t> </w:t>
      </w:r>
      <w:r>
        <w:rPr>
          <w:color w:val="000000"/>
          <w:sz w:val="24"/>
          <w:shd w:fill="FFCCFF" w:color="auto" w:val="clear"/>
        </w:rPr>
        <w:t>as</w:t>
      </w:r>
      <w:r>
        <w:rPr>
          <w:color w:val="000000"/>
          <w:spacing w:val="-1"/>
          <w:sz w:val="24"/>
          <w:shd w:fill="FFCCFF" w:color="auto" w:val="clear"/>
        </w:rPr>
        <w:t> </w:t>
      </w:r>
      <w:r>
        <w:rPr>
          <w:color w:val="000000"/>
          <w:sz w:val="24"/>
          <w:shd w:fill="FFCCFF" w:color="auto" w:val="clear"/>
        </w:rPr>
        <w:t>specified</w:t>
      </w:r>
      <w:r>
        <w:rPr>
          <w:color w:val="000000"/>
          <w:spacing w:val="-1"/>
          <w:sz w:val="24"/>
          <w:shd w:fill="FFCCFF" w:color="auto" w:val="clear"/>
        </w:rPr>
        <w:t> </w:t>
      </w:r>
      <w:r>
        <w:rPr>
          <w:color w:val="000000"/>
          <w:spacing w:val="-2"/>
          <w:sz w:val="24"/>
          <w:shd w:fill="FFCCFF" w:color="auto" w:val="clear"/>
        </w:rPr>
        <w:t>below:</w:t>
      </w:r>
    </w:p>
    <w:p>
      <w:pPr>
        <w:pStyle w:val="BodyText"/>
        <w:jc w:val="left"/>
        <w:rPr>
          <w:sz w:val="20"/>
        </w:rPr>
      </w:pPr>
    </w:p>
    <w:p>
      <w:pPr>
        <w:pStyle w:val="BodyText"/>
        <w:spacing w:before="96" w:after="1"/>
        <w:jc w:val="left"/>
        <w:rPr>
          <w:sz w:val="20"/>
        </w:rPr>
      </w:pPr>
    </w:p>
    <w:tbl>
      <w:tblPr>
        <w:tblW w:w="0" w:type="auto"/>
        <w:jc w:val="left"/>
        <w:tblInd w:w="3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1839"/>
        <w:gridCol w:w="1671"/>
      </w:tblGrid>
      <w:tr>
        <w:trPr>
          <w:trHeight w:val="844" w:hRule="atLeast"/>
        </w:trPr>
        <w:tc>
          <w:tcPr>
            <w:tcW w:w="1003" w:type="dxa"/>
            <w:shd w:val="clear" w:color="auto" w:fill="EDEBE0"/>
          </w:tcPr>
          <w:p>
            <w:pPr>
              <w:pStyle w:val="TableParagraph"/>
              <w:spacing w:line="281" w:lineRule="exact"/>
              <w:ind w:right="74"/>
              <w:jc w:val="center"/>
              <w:rPr>
                <w:sz w:val="24"/>
              </w:rPr>
            </w:pPr>
            <w:r>
              <w:rPr>
                <w:sz w:val="24"/>
              </w:rPr>
              <w:t>Sr</w:t>
            </w:r>
            <w:r>
              <w:rPr>
                <w:spacing w:val="28"/>
                <w:sz w:val="24"/>
              </w:rPr>
              <w:t> </w:t>
            </w:r>
            <w:r>
              <w:rPr>
                <w:spacing w:val="-5"/>
                <w:sz w:val="24"/>
              </w:rPr>
              <w:t>No</w:t>
            </w:r>
          </w:p>
        </w:tc>
        <w:tc>
          <w:tcPr>
            <w:tcW w:w="1839" w:type="dxa"/>
            <w:shd w:val="clear" w:color="auto" w:fill="EDEBE0"/>
          </w:tcPr>
          <w:p>
            <w:pPr>
              <w:pStyle w:val="TableParagraph"/>
              <w:ind w:left="108" w:right="271"/>
              <w:rPr>
                <w:sz w:val="24"/>
              </w:rPr>
            </w:pPr>
            <w:r>
              <w:rPr>
                <w:spacing w:val="-2"/>
                <w:sz w:val="24"/>
              </w:rPr>
              <w:t>Minimum </w:t>
            </w:r>
            <w:r>
              <w:rPr>
                <w:sz w:val="24"/>
              </w:rPr>
              <w:t>Road </w:t>
            </w:r>
            <w:r>
              <w:rPr>
                <w:sz w:val="24"/>
              </w:rPr>
              <w:t>Width</w:t>
            </w:r>
          </w:p>
        </w:tc>
        <w:tc>
          <w:tcPr>
            <w:tcW w:w="1671" w:type="dxa"/>
            <w:shd w:val="clear" w:color="auto" w:fill="EDEBE0"/>
          </w:tcPr>
          <w:p>
            <w:pPr>
              <w:pStyle w:val="TableParagraph"/>
              <w:ind w:left="107"/>
              <w:rPr>
                <w:sz w:val="24"/>
              </w:rPr>
            </w:pPr>
            <w:r>
              <w:rPr>
                <w:spacing w:val="-2"/>
                <w:sz w:val="24"/>
              </w:rPr>
              <w:t>Maximum </w:t>
            </w:r>
            <w:r>
              <w:rPr>
                <w:spacing w:val="7"/>
                <w:sz w:val="24"/>
              </w:rPr>
              <w:t>Permissible</w:t>
            </w:r>
          </w:p>
          <w:p>
            <w:pPr>
              <w:pStyle w:val="TableParagraph"/>
              <w:spacing w:line="261" w:lineRule="exact"/>
              <w:ind w:left="107"/>
              <w:rPr>
                <w:sz w:val="24"/>
              </w:rPr>
            </w:pPr>
            <w:r>
              <w:rPr>
                <w:spacing w:val="-5"/>
                <w:sz w:val="24"/>
              </w:rPr>
              <w:t>FSI</w:t>
            </w:r>
          </w:p>
        </w:tc>
      </w:tr>
      <w:tr>
        <w:trPr>
          <w:trHeight w:val="282" w:hRule="atLeast"/>
        </w:trPr>
        <w:tc>
          <w:tcPr>
            <w:tcW w:w="1003" w:type="dxa"/>
          </w:tcPr>
          <w:p>
            <w:pPr>
              <w:pStyle w:val="TableParagraph"/>
              <w:spacing w:line="263" w:lineRule="exact"/>
              <w:ind w:left="74" w:right="74"/>
              <w:jc w:val="center"/>
              <w:rPr>
                <w:sz w:val="24"/>
              </w:rPr>
            </w:pPr>
            <w:r>
              <w:rPr>
                <w:spacing w:val="-10"/>
                <w:sz w:val="24"/>
              </w:rPr>
              <w:t>1</w:t>
            </w:r>
          </w:p>
        </w:tc>
        <w:tc>
          <w:tcPr>
            <w:tcW w:w="1839" w:type="dxa"/>
          </w:tcPr>
          <w:p>
            <w:pPr>
              <w:pStyle w:val="TableParagraph"/>
              <w:spacing w:line="263" w:lineRule="exact"/>
              <w:ind w:left="108"/>
              <w:rPr>
                <w:sz w:val="24"/>
              </w:rPr>
            </w:pPr>
            <w:r>
              <w:rPr>
                <w:spacing w:val="-5"/>
                <w:sz w:val="24"/>
              </w:rPr>
              <w:t>12m</w:t>
            </w:r>
          </w:p>
        </w:tc>
        <w:tc>
          <w:tcPr>
            <w:tcW w:w="1671" w:type="dxa"/>
          </w:tcPr>
          <w:p>
            <w:pPr>
              <w:pStyle w:val="TableParagraph"/>
              <w:spacing w:line="263" w:lineRule="exact"/>
              <w:ind w:left="4" w:right="4"/>
              <w:jc w:val="center"/>
              <w:rPr>
                <w:sz w:val="24"/>
              </w:rPr>
            </w:pPr>
            <w:r>
              <w:rPr>
                <w:spacing w:val="-10"/>
                <w:sz w:val="24"/>
              </w:rPr>
              <w:t>3</w:t>
            </w:r>
          </w:p>
        </w:tc>
      </w:tr>
      <w:tr>
        <w:trPr>
          <w:trHeight w:val="280" w:hRule="atLeast"/>
        </w:trPr>
        <w:tc>
          <w:tcPr>
            <w:tcW w:w="1003" w:type="dxa"/>
          </w:tcPr>
          <w:p>
            <w:pPr>
              <w:pStyle w:val="TableParagraph"/>
              <w:spacing w:line="260" w:lineRule="exact"/>
              <w:ind w:left="74" w:right="74"/>
              <w:jc w:val="center"/>
              <w:rPr>
                <w:sz w:val="24"/>
              </w:rPr>
            </w:pPr>
            <w:r>
              <w:rPr>
                <w:spacing w:val="-10"/>
                <w:sz w:val="24"/>
              </w:rPr>
              <w:t>2</w:t>
            </w:r>
          </w:p>
        </w:tc>
        <w:tc>
          <w:tcPr>
            <w:tcW w:w="1839" w:type="dxa"/>
          </w:tcPr>
          <w:p>
            <w:pPr>
              <w:pStyle w:val="TableParagraph"/>
              <w:spacing w:line="260" w:lineRule="exact"/>
              <w:ind w:left="108"/>
              <w:rPr>
                <w:sz w:val="24"/>
              </w:rPr>
            </w:pPr>
            <w:r>
              <w:rPr>
                <w:spacing w:val="-5"/>
                <w:sz w:val="24"/>
              </w:rPr>
              <w:t>18m</w:t>
            </w:r>
          </w:p>
        </w:tc>
        <w:tc>
          <w:tcPr>
            <w:tcW w:w="1671" w:type="dxa"/>
          </w:tcPr>
          <w:p>
            <w:pPr>
              <w:pStyle w:val="TableParagraph"/>
              <w:spacing w:line="260" w:lineRule="exact"/>
              <w:ind w:left="4" w:right="4"/>
              <w:jc w:val="center"/>
              <w:rPr>
                <w:sz w:val="24"/>
              </w:rPr>
            </w:pPr>
            <w:r>
              <w:rPr>
                <w:spacing w:val="-10"/>
                <w:sz w:val="24"/>
              </w:rPr>
              <w:t>4</w:t>
            </w:r>
          </w:p>
        </w:tc>
      </w:tr>
      <w:tr>
        <w:trPr>
          <w:trHeight w:val="282" w:hRule="atLeast"/>
        </w:trPr>
        <w:tc>
          <w:tcPr>
            <w:tcW w:w="1003" w:type="dxa"/>
          </w:tcPr>
          <w:p>
            <w:pPr>
              <w:pStyle w:val="TableParagraph"/>
              <w:spacing w:line="263" w:lineRule="exact"/>
              <w:ind w:left="74" w:right="74"/>
              <w:jc w:val="center"/>
              <w:rPr>
                <w:sz w:val="24"/>
              </w:rPr>
            </w:pPr>
            <w:r>
              <w:rPr>
                <w:spacing w:val="-10"/>
                <w:sz w:val="24"/>
              </w:rPr>
              <w:t>3</w:t>
            </w:r>
          </w:p>
        </w:tc>
        <w:tc>
          <w:tcPr>
            <w:tcW w:w="1839" w:type="dxa"/>
          </w:tcPr>
          <w:p>
            <w:pPr>
              <w:pStyle w:val="TableParagraph"/>
              <w:spacing w:line="263" w:lineRule="exact"/>
              <w:ind w:left="194"/>
              <w:rPr>
                <w:sz w:val="24"/>
              </w:rPr>
            </w:pPr>
            <w:r>
              <w:rPr>
                <w:spacing w:val="-5"/>
                <w:sz w:val="24"/>
              </w:rPr>
              <w:t>27m</w:t>
            </w:r>
          </w:p>
        </w:tc>
        <w:tc>
          <w:tcPr>
            <w:tcW w:w="1671" w:type="dxa"/>
          </w:tcPr>
          <w:p>
            <w:pPr>
              <w:pStyle w:val="TableParagraph"/>
              <w:spacing w:line="263" w:lineRule="exact"/>
              <w:ind w:left="4" w:right="4"/>
              <w:jc w:val="center"/>
              <w:rPr>
                <w:sz w:val="24"/>
              </w:rPr>
            </w:pPr>
            <w:r>
              <w:rPr>
                <w:spacing w:val="-10"/>
                <w:sz w:val="24"/>
              </w:rPr>
              <w:t>5</w:t>
            </w:r>
          </w:p>
        </w:tc>
      </w:tr>
    </w:tbl>
    <w:p>
      <w:pPr>
        <w:pStyle w:val="BodyText"/>
        <w:spacing w:before="254"/>
        <w:jc w:val="left"/>
      </w:pPr>
    </w:p>
    <w:p>
      <w:pPr>
        <w:pStyle w:val="BodyText"/>
        <w:spacing w:line="276" w:lineRule="auto"/>
        <w:ind w:left="1342" w:right="769" w:firstLine="69"/>
      </w:pPr>
      <w:r>
        <w:rPr/>
        <w:t>On the plot area excluding area to be handed over to MCGM/Appropriate Authority in lieu of Reservation/ Existing amenity in the DP/ proposed DP roads/prescribed RL under MMC Act.</w:t>
      </w:r>
    </w:p>
    <w:p>
      <w:pPr>
        <w:pStyle w:val="ListParagraph"/>
        <w:numPr>
          <w:ilvl w:val="0"/>
          <w:numId w:val="210"/>
        </w:numPr>
        <w:tabs>
          <w:tab w:pos="2062" w:val="left" w:leader="none"/>
        </w:tabs>
        <w:spacing w:line="240" w:lineRule="auto" w:before="241" w:after="0"/>
        <w:ind w:left="2062" w:right="768" w:hanging="286"/>
        <w:jc w:val="both"/>
        <w:rPr>
          <w:sz w:val="24"/>
        </w:rPr>
      </w:pPr>
      <w:r>
        <w:rPr>
          <w:sz w:val="24"/>
        </w:rPr>
        <w:t>The existing licensed vendors on such lands, if any, as certified by Market Department of MCGM, shall be allotted spaces in the proposed redevelopment.</w:t>
      </w:r>
      <w:r>
        <w:rPr>
          <w:spacing w:val="40"/>
          <w:sz w:val="24"/>
        </w:rPr>
        <w:t> </w:t>
      </w:r>
      <w:r>
        <w:rPr>
          <w:sz w:val="24"/>
        </w:rPr>
        <w:t>While reallocating, they shall be reallocated with 20% more carpet area over and above their existing carpet area (excluding fungible compensatory area).</w:t>
      </w:r>
      <w:r>
        <w:rPr>
          <w:spacing w:val="40"/>
          <w:sz w:val="24"/>
        </w:rPr>
        <w:t> </w:t>
      </w:r>
      <w:r>
        <w:rPr>
          <w:sz w:val="24"/>
        </w:rPr>
        <w:t>The status of the licensed vendor shall remain as it was prior to redevelopment.</w:t>
      </w:r>
    </w:p>
    <w:p>
      <w:pPr>
        <w:pStyle w:val="ListParagraph"/>
        <w:numPr>
          <w:ilvl w:val="0"/>
          <w:numId w:val="210"/>
        </w:numPr>
        <w:tabs>
          <w:tab w:pos="2062" w:val="left" w:leader="none"/>
        </w:tabs>
        <w:spacing w:line="240" w:lineRule="auto" w:before="2" w:after="0"/>
        <w:ind w:left="2062" w:right="766" w:hanging="358"/>
        <w:jc w:val="both"/>
        <w:rPr>
          <w:sz w:val="24"/>
        </w:rPr>
      </w:pPr>
      <w:r>
        <w:rPr>
          <w:sz w:val="24"/>
        </w:rPr>
        <w:t>BUA as per Zonal (basic) FSI or BUA required for accommodation/rehabilitation of existing licensed vendors certified by the Market Department of MCGM, whichever is more, shall </w:t>
      </w:r>
      <w:r>
        <w:rPr>
          <w:sz w:val="24"/>
        </w:rPr>
        <w:t>be exclusively</w:t>
      </w:r>
      <w:r>
        <w:rPr>
          <w:spacing w:val="-5"/>
          <w:sz w:val="24"/>
        </w:rPr>
        <w:t> </w:t>
      </w:r>
      <w:r>
        <w:rPr>
          <w:sz w:val="24"/>
        </w:rPr>
        <w:t>developed</w:t>
      </w:r>
      <w:r>
        <w:rPr>
          <w:spacing w:val="-5"/>
          <w:sz w:val="24"/>
        </w:rPr>
        <w:t> </w:t>
      </w:r>
      <w:r>
        <w:rPr>
          <w:sz w:val="24"/>
        </w:rPr>
        <w:t>for</w:t>
      </w:r>
      <w:r>
        <w:rPr>
          <w:spacing w:val="-5"/>
          <w:sz w:val="24"/>
        </w:rPr>
        <w:t> </w:t>
      </w:r>
      <w:r>
        <w:rPr>
          <w:sz w:val="24"/>
        </w:rPr>
        <w:t>Market</w:t>
      </w:r>
      <w:r>
        <w:rPr>
          <w:spacing w:val="-5"/>
          <w:sz w:val="24"/>
        </w:rPr>
        <w:t> </w:t>
      </w:r>
      <w:r>
        <w:rPr>
          <w:sz w:val="24"/>
        </w:rPr>
        <w:t>purpose</w:t>
      </w:r>
      <w:r>
        <w:rPr>
          <w:spacing w:val="-5"/>
          <w:sz w:val="24"/>
        </w:rPr>
        <w:t> </w:t>
      </w:r>
      <w:r>
        <w:rPr>
          <w:sz w:val="24"/>
        </w:rPr>
        <w:t>and</w:t>
      </w:r>
      <w:r>
        <w:rPr>
          <w:spacing w:val="-5"/>
          <w:sz w:val="24"/>
        </w:rPr>
        <w:t> </w:t>
      </w:r>
      <w:r>
        <w:rPr>
          <w:sz w:val="24"/>
        </w:rPr>
        <w:t>balance</w:t>
      </w:r>
      <w:r>
        <w:rPr>
          <w:spacing w:val="-5"/>
          <w:sz w:val="24"/>
        </w:rPr>
        <w:t> </w:t>
      </w:r>
      <w:r>
        <w:rPr>
          <w:sz w:val="24"/>
        </w:rPr>
        <w:t>potential</w:t>
      </w:r>
      <w:r>
        <w:rPr>
          <w:spacing w:val="-5"/>
          <w:sz w:val="24"/>
        </w:rPr>
        <w:t> </w:t>
      </w:r>
      <w:r>
        <w:rPr>
          <w:sz w:val="24"/>
        </w:rPr>
        <w:t>may</w:t>
      </w:r>
      <w:r>
        <w:rPr>
          <w:spacing w:val="-5"/>
          <w:sz w:val="24"/>
        </w:rPr>
        <w:t> </w:t>
      </w:r>
      <w:r>
        <w:rPr>
          <w:sz w:val="24"/>
        </w:rPr>
        <w:t>be utilised</w:t>
      </w:r>
      <w:r>
        <w:rPr>
          <w:spacing w:val="-7"/>
          <w:sz w:val="24"/>
        </w:rPr>
        <w:t> </w:t>
      </w:r>
      <w:r>
        <w:rPr>
          <w:sz w:val="24"/>
        </w:rPr>
        <w:t>for</w:t>
      </w:r>
      <w:r>
        <w:rPr>
          <w:spacing w:val="-7"/>
          <w:sz w:val="24"/>
        </w:rPr>
        <w:t> </w:t>
      </w:r>
      <w:r>
        <w:rPr>
          <w:sz w:val="24"/>
        </w:rPr>
        <w:t>the</w:t>
      </w:r>
      <w:r>
        <w:rPr>
          <w:spacing w:val="-7"/>
          <w:sz w:val="24"/>
        </w:rPr>
        <w:t> </w:t>
      </w:r>
      <w:r>
        <w:rPr>
          <w:sz w:val="24"/>
        </w:rPr>
        <w:t>users</w:t>
      </w:r>
      <w:r>
        <w:rPr>
          <w:spacing w:val="-8"/>
          <w:sz w:val="24"/>
        </w:rPr>
        <w:t> </w:t>
      </w:r>
      <w:r>
        <w:rPr>
          <w:sz w:val="24"/>
        </w:rPr>
        <w:t>permissible</w:t>
      </w:r>
      <w:r>
        <w:rPr>
          <w:spacing w:val="-7"/>
          <w:sz w:val="24"/>
        </w:rPr>
        <w:t> </w:t>
      </w:r>
      <w:r>
        <w:rPr>
          <w:sz w:val="24"/>
        </w:rPr>
        <w:t>in</w:t>
      </w:r>
      <w:r>
        <w:rPr>
          <w:spacing w:val="-7"/>
          <w:sz w:val="24"/>
        </w:rPr>
        <w:t> </w:t>
      </w:r>
      <w:r>
        <w:rPr>
          <w:sz w:val="24"/>
        </w:rPr>
        <w:t>the</w:t>
      </w:r>
      <w:r>
        <w:rPr>
          <w:spacing w:val="-7"/>
          <w:sz w:val="24"/>
        </w:rPr>
        <w:t> </w:t>
      </w:r>
      <w:r>
        <w:rPr>
          <w:sz w:val="24"/>
        </w:rPr>
        <w:t>respective</w:t>
      </w:r>
      <w:r>
        <w:rPr>
          <w:spacing w:val="-7"/>
          <w:sz w:val="24"/>
        </w:rPr>
        <w:t> </w:t>
      </w:r>
      <w:r>
        <w:rPr>
          <w:sz w:val="24"/>
        </w:rPr>
        <w:t>zone</w:t>
      </w:r>
      <w:r>
        <w:rPr>
          <w:spacing w:val="-7"/>
          <w:sz w:val="24"/>
        </w:rPr>
        <w:t> </w:t>
      </w:r>
      <w:r>
        <w:rPr>
          <w:sz w:val="24"/>
        </w:rPr>
        <w:t>and</w:t>
      </w:r>
      <w:r>
        <w:rPr>
          <w:spacing w:val="-7"/>
          <w:sz w:val="24"/>
        </w:rPr>
        <w:t> </w:t>
      </w:r>
      <w:r>
        <w:rPr>
          <w:sz w:val="24"/>
        </w:rPr>
        <w:t>conforming with these regulations or the user as stated below in this Regulation.</w:t>
      </w:r>
    </w:p>
    <w:p>
      <w:pPr>
        <w:pStyle w:val="ListParagraph"/>
        <w:numPr>
          <w:ilvl w:val="0"/>
          <w:numId w:val="210"/>
        </w:numPr>
        <w:tabs>
          <w:tab w:pos="2062" w:val="left" w:leader="none"/>
        </w:tabs>
        <w:spacing w:line="240" w:lineRule="auto" w:before="0" w:after="0"/>
        <w:ind w:left="2062" w:right="766" w:hanging="339"/>
        <w:jc w:val="both"/>
        <w:rPr>
          <w:sz w:val="24"/>
        </w:rPr>
      </w:pPr>
      <w:r>
        <w:rPr>
          <w:sz w:val="24"/>
        </w:rPr>
        <w:t>The</w:t>
      </w:r>
      <w:r>
        <w:rPr>
          <w:spacing w:val="-4"/>
          <w:sz w:val="24"/>
        </w:rPr>
        <w:t> </w:t>
      </w:r>
      <w:r>
        <w:rPr>
          <w:sz w:val="24"/>
        </w:rPr>
        <w:t>commercial</w:t>
      </w:r>
      <w:r>
        <w:rPr>
          <w:spacing w:val="-4"/>
          <w:sz w:val="24"/>
        </w:rPr>
        <w:t> </w:t>
      </w:r>
      <w:r>
        <w:rPr>
          <w:sz w:val="24"/>
        </w:rPr>
        <w:t>galas</w:t>
      </w:r>
      <w:r>
        <w:rPr>
          <w:spacing w:val="-4"/>
          <w:sz w:val="24"/>
        </w:rPr>
        <w:t> </w:t>
      </w:r>
      <w:r>
        <w:rPr>
          <w:sz w:val="24"/>
        </w:rPr>
        <w:t>so</w:t>
      </w:r>
      <w:r>
        <w:rPr>
          <w:spacing w:val="-4"/>
          <w:sz w:val="24"/>
        </w:rPr>
        <w:t> </w:t>
      </w:r>
      <w:r>
        <w:rPr>
          <w:sz w:val="24"/>
        </w:rPr>
        <w:t>constructed</w:t>
      </w:r>
      <w:r>
        <w:rPr>
          <w:spacing w:val="-4"/>
          <w:sz w:val="24"/>
        </w:rPr>
        <w:t> </w:t>
      </w:r>
      <w:r>
        <w:rPr>
          <w:sz w:val="24"/>
        </w:rPr>
        <w:t>and</w:t>
      </w:r>
      <w:r>
        <w:rPr>
          <w:spacing w:val="-4"/>
          <w:sz w:val="24"/>
        </w:rPr>
        <w:t> </w:t>
      </w:r>
      <w:r>
        <w:rPr>
          <w:sz w:val="24"/>
        </w:rPr>
        <w:t>available</w:t>
      </w:r>
      <w:r>
        <w:rPr>
          <w:spacing w:val="-4"/>
          <w:sz w:val="24"/>
        </w:rPr>
        <w:t> </w:t>
      </w:r>
      <w:r>
        <w:rPr>
          <w:sz w:val="24"/>
        </w:rPr>
        <w:t>with</w:t>
      </w:r>
      <w:r>
        <w:rPr>
          <w:spacing w:val="-4"/>
          <w:sz w:val="24"/>
        </w:rPr>
        <w:t> </w:t>
      </w:r>
      <w:r>
        <w:rPr>
          <w:sz w:val="24"/>
        </w:rPr>
        <w:t>MCGM,</w:t>
      </w:r>
      <w:r>
        <w:rPr>
          <w:spacing w:val="-4"/>
          <w:sz w:val="24"/>
        </w:rPr>
        <w:t> </w:t>
      </w:r>
      <w:r>
        <w:rPr>
          <w:sz w:val="24"/>
        </w:rPr>
        <w:t>will</w:t>
      </w:r>
      <w:r>
        <w:rPr>
          <w:spacing w:val="-4"/>
          <w:sz w:val="24"/>
        </w:rPr>
        <w:t> </w:t>
      </w:r>
      <w:r>
        <w:rPr>
          <w:sz w:val="24"/>
        </w:rPr>
        <w:t>be first allocated to existing licensed vendors certified by Market Department, second to PAPs of vital public purpose projects, third to new licensees as per policy decided by the MCGM.</w:t>
      </w:r>
    </w:p>
    <w:p>
      <w:pPr>
        <w:pStyle w:val="ListParagraph"/>
        <w:numPr>
          <w:ilvl w:val="0"/>
          <w:numId w:val="210"/>
        </w:numPr>
        <w:tabs>
          <w:tab w:pos="2062" w:val="left" w:leader="none"/>
        </w:tabs>
        <w:spacing w:line="240" w:lineRule="auto" w:before="1" w:after="0"/>
        <w:ind w:left="2062" w:right="769" w:hanging="344"/>
        <w:jc w:val="both"/>
        <w:rPr>
          <w:sz w:val="24"/>
        </w:rPr>
      </w:pPr>
      <w:r>
        <w:rPr>
          <w:sz w:val="24"/>
        </w:rPr>
        <w:t>(Deleted )The MCGM may undertake such development on its own Minimum</w:t>
      </w:r>
      <w:r>
        <w:rPr>
          <w:spacing w:val="-6"/>
          <w:sz w:val="24"/>
        </w:rPr>
        <w:t> </w:t>
      </w:r>
      <w:r>
        <w:rPr>
          <w:sz w:val="24"/>
        </w:rPr>
        <w:t>6</w:t>
      </w:r>
      <w:r>
        <w:rPr>
          <w:spacing w:val="-6"/>
          <w:sz w:val="24"/>
        </w:rPr>
        <w:t> </w:t>
      </w:r>
      <w:r>
        <w:rPr>
          <w:sz w:val="24"/>
        </w:rPr>
        <w:t>m</w:t>
      </w:r>
      <w:r>
        <w:rPr>
          <w:spacing w:val="-5"/>
          <w:sz w:val="24"/>
        </w:rPr>
        <w:t> </w:t>
      </w:r>
      <w:r>
        <w:rPr>
          <w:sz w:val="24"/>
        </w:rPr>
        <w:t>open</w:t>
      </w:r>
      <w:r>
        <w:rPr>
          <w:spacing w:val="-8"/>
          <w:sz w:val="24"/>
        </w:rPr>
        <w:t> </w:t>
      </w:r>
      <w:r>
        <w:rPr>
          <w:sz w:val="24"/>
        </w:rPr>
        <w:t>space</w:t>
      </w:r>
      <w:r>
        <w:rPr>
          <w:spacing w:val="-6"/>
          <w:sz w:val="24"/>
        </w:rPr>
        <w:t> </w:t>
      </w:r>
      <w:r>
        <w:rPr>
          <w:sz w:val="24"/>
        </w:rPr>
        <w:t>or</w:t>
      </w:r>
      <w:r>
        <w:rPr>
          <w:spacing w:val="-6"/>
          <w:sz w:val="24"/>
        </w:rPr>
        <w:t> </w:t>
      </w:r>
      <w:r>
        <w:rPr>
          <w:sz w:val="24"/>
        </w:rPr>
        <w:t>open</w:t>
      </w:r>
      <w:r>
        <w:rPr>
          <w:spacing w:val="-5"/>
          <w:sz w:val="24"/>
        </w:rPr>
        <w:t> </w:t>
      </w:r>
      <w:r>
        <w:rPr>
          <w:sz w:val="24"/>
        </w:rPr>
        <w:t>spaces</w:t>
      </w:r>
      <w:r>
        <w:rPr>
          <w:spacing w:val="-6"/>
          <w:sz w:val="24"/>
        </w:rPr>
        <w:t> </w:t>
      </w:r>
      <w:r>
        <w:rPr>
          <w:sz w:val="24"/>
        </w:rPr>
        <w:t>as</w:t>
      </w:r>
      <w:r>
        <w:rPr>
          <w:spacing w:val="-6"/>
          <w:sz w:val="24"/>
        </w:rPr>
        <w:t> </w:t>
      </w:r>
      <w:r>
        <w:rPr>
          <w:sz w:val="24"/>
        </w:rPr>
        <w:t>required</w:t>
      </w:r>
      <w:r>
        <w:rPr>
          <w:spacing w:val="-6"/>
          <w:sz w:val="24"/>
        </w:rPr>
        <w:t> </w:t>
      </w:r>
      <w:r>
        <w:rPr>
          <w:sz w:val="24"/>
        </w:rPr>
        <w:t>under</w:t>
      </w:r>
      <w:r>
        <w:rPr>
          <w:spacing w:val="-8"/>
          <w:sz w:val="24"/>
        </w:rPr>
        <w:t> </w:t>
      </w:r>
      <w:r>
        <w:rPr>
          <w:sz w:val="24"/>
        </w:rPr>
        <w:t>Regulation no 41(5) shall be deemed to be sufficient subject to fulfilment of requirement from fire safety point of view.</w:t>
      </w:r>
    </w:p>
    <w:p>
      <w:pPr>
        <w:pStyle w:val="ListParagraph"/>
        <w:numPr>
          <w:ilvl w:val="0"/>
          <w:numId w:val="210"/>
        </w:numPr>
        <w:tabs>
          <w:tab w:pos="2062" w:val="left" w:leader="none"/>
        </w:tabs>
        <w:spacing w:line="240" w:lineRule="auto" w:before="0" w:after="0"/>
        <w:ind w:left="2062" w:right="770" w:hanging="416"/>
        <w:jc w:val="both"/>
        <w:rPr>
          <w:sz w:val="24"/>
        </w:rPr>
      </w:pPr>
      <w:r>
        <w:rPr>
          <w:sz w:val="24"/>
        </w:rPr>
        <w:t>Separate access for the market area and other development shall be </w:t>
      </w:r>
      <w:r>
        <w:rPr>
          <w:spacing w:val="-2"/>
          <w:sz w:val="24"/>
        </w:rPr>
        <w:t>provided.</w:t>
      </w:r>
    </w:p>
    <w:p>
      <w:pPr>
        <w:pStyle w:val="ListParagraph"/>
        <w:numPr>
          <w:ilvl w:val="0"/>
          <w:numId w:val="210"/>
        </w:numPr>
        <w:tabs>
          <w:tab w:pos="2060" w:val="left" w:leader="none"/>
          <w:tab w:pos="2062" w:val="left" w:leader="none"/>
        </w:tabs>
        <w:spacing w:line="240" w:lineRule="auto" w:before="0" w:after="0"/>
        <w:ind w:left="2062" w:right="768" w:hanging="488"/>
        <w:jc w:val="both"/>
        <w:rPr>
          <w:sz w:val="24"/>
        </w:rPr>
      </w:pPr>
      <w:r>
        <w:rPr>
          <w:sz w:val="24"/>
        </w:rPr>
        <w:t>Notwithstanding anything contained in this Regulation, where the existing Market/designated land is having combination of user/reservation,</w:t>
      </w:r>
      <w:r>
        <w:rPr>
          <w:spacing w:val="-16"/>
          <w:sz w:val="24"/>
        </w:rPr>
        <w:t> </w:t>
      </w:r>
      <w:r>
        <w:rPr>
          <w:sz w:val="24"/>
        </w:rPr>
        <w:t>the</w:t>
      </w:r>
      <w:r>
        <w:rPr>
          <w:spacing w:val="-15"/>
          <w:sz w:val="24"/>
        </w:rPr>
        <w:t> </w:t>
      </w:r>
      <w:r>
        <w:rPr>
          <w:sz w:val="24"/>
        </w:rPr>
        <w:t>existing</w:t>
      </w:r>
      <w:r>
        <w:rPr>
          <w:spacing w:val="-15"/>
          <w:sz w:val="24"/>
        </w:rPr>
        <w:t> </w:t>
      </w:r>
      <w:r>
        <w:rPr>
          <w:sz w:val="24"/>
        </w:rPr>
        <w:t>BUA</w:t>
      </w:r>
      <w:r>
        <w:rPr>
          <w:spacing w:val="-15"/>
          <w:sz w:val="24"/>
        </w:rPr>
        <w:t> </w:t>
      </w:r>
      <w:r>
        <w:rPr>
          <w:sz w:val="24"/>
        </w:rPr>
        <w:t>of</w:t>
      </w:r>
      <w:r>
        <w:rPr>
          <w:spacing w:val="-15"/>
          <w:sz w:val="24"/>
        </w:rPr>
        <w:t> </w:t>
      </w:r>
      <w:r>
        <w:rPr>
          <w:sz w:val="24"/>
        </w:rPr>
        <w:t>such</w:t>
      </w:r>
      <w:r>
        <w:rPr>
          <w:spacing w:val="-15"/>
          <w:sz w:val="24"/>
        </w:rPr>
        <w:t> </w:t>
      </w:r>
      <w:r>
        <w:rPr>
          <w:sz w:val="24"/>
        </w:rPr>
        <w:t>user</w:t>
      </w:r>
      <w:r>
        <w:rPr>
          <w:spacing w:val="-15"/>
          <w:sz w:val="24"/>
        </w:rPr>
        <w:t> </w:t>
      </w:r>
      <w:r>
        <w:rPr>
          <w:sz w:val="24"/>
        </w:rPr>
        <w:t>shall</w:t>
      </w:r>
      <w:r>
        <w:rPr>
          <w:spacing w:val="-15"/>
          <w:sz w:val="24"/>
        </w:rPr>
        <w:t> </w:t>
      </w:r>
      <w:r>
        <w:rPr>
          <w:sz w:val="24"/>
        </w:rPr>
        <w:t>be</w:t>
      </w:r>
      <w:r>
        <w:rPr>
          <w:spacing w:val="-15"/>
          <w:sz w:val="24"/>
        </w:rPr>
        <w:t> </w:t>
      </w:r>
      <w:r>
        <w:rPr>
          <w:sz w:val="24"/>
        </w:rPr>
        <w:t>necessarily</w:t>
      </w:r>
      <w:r>
        <w:rPr>
          <w:spacing w:val="-15"/>
          <w:sz w:val="24"/>
        </w:rPr>
        <w:t> </w:t>
      </w:r>
      <w:r>
        <w:rPr>
          <w:sz w:val="24"/>
        </w:rPr>
        <w:t>put to such use.</w:t>
      </w:r>
    </w:p>
    <w:p>
      <w:pPr>
        <w:pStyle w:val="ListParagraph"/>
        <w:numPr>
          <w:ilvl w:val="0"/>
          <w:numId w:val="210"/>
        </w:numPr>
        <w:tabs>
          <w:tab w:pos="2060" w:val="left" w:leader="none"/>
          <w:tab w:pos="2062" w:val="left" w:leader="none"/>
        </w:tabs>
        <w:spacing w:line="240" w:lineRule="auto" w:before="0" w:after="0"/>
        <w:ind w:left="2062" w:right="766" w:hanging="560"/>
        <w:jc w:val="both"/>
        <w:rPr>
          <w:sz w:val="24"/>
        </w:rPr>
      </w:pPr>
      <w:r>
        <w:rPr>
          <w:sz w:val="24"/>
        </w:rPr>
        <w:t>No premium shall be charged for Fungible </w:t>
      </w:r>
      <w:r>
        <w:rPr>
          <w:color w:val="000000"/>
          <w:sz w:val="24"/>
          <w:shd w:fill="FFCCFF" w:color="auto" w:val="clear"/>
        </w:rPr>
        <w:t>compensatory area </w:t>
      </w:r>
      <w:r>
        <w:rPr>
          <w:color w:val="000000"/>
          <w:sz w:val="24"/>
        </w:rPr>
        <w:t>as per Regulation No 31(3).</w:t>
      </w:r>
    </w:p>
    <w:p>
      <w:pPr>
        <w:pStyle w:val="Heading6"/>
        <w:spacing w:line="280" w:lineRule="exact"/>
        <w:ind w:left="2062"/>
        <w:jc w:val="both"/>
      </w:pPr>
      <w:r>
        <w:rPr/>
        <w:t>(B)</w:t>
      </w:r>
      <w:r>
        <w:rPr>
          <w:spacing w:val="-5"/>
        </w:rPr>
        <w:t> </w:t>
      </w:r>
      <w:r>
        <w:rPr/>
        <w:t>Public</w:t>
      </w:r>
      <w:r>
        <w:rPr>
          <w:spacing w:val="-1"/>
        </w:rPr>
        <w:t> </w:t>
      </w:r>
      <w:r>
        <w:rPr/>
        <w:t>Amenities</w:t>
      </w:r>
      <w:r>
        <w:rPr>
          <w:spacing w:val="-2"/>
        </w:rPr>
        <w:t> </w:t>
      </w:r>
      <w:r>
        <w:rPr/>
        <w:t>by</w:t>
      </w:r>
      <w:r>
        <w:rPr>
          <w:spacing w:val="-1"/>
        </w:rPr>
        <w:t> </w:t>
      </w:r>
      <w:r>
        <w:rPr>
          <w:spacing w:val="-2"/>
        </w:rPr>
        <w:t>MCGM/Government:</w:t>
      </w:r>
    </w:p>
    <w:p>
      <w:pPr>
        <w:pStyle w:val="Heading6"/>
        <w:spacing w:after="0" w:line="280" w:lineRule="exact"/>
        <w:jc w:val="both"/>
        <w:sectPr>
          <w:pgSz w:w="11910" w:h="16840"/>
          <w:pgMar w:header="1065" w:footer="1194" w:top="1500" w:bottom="1380" w:left="360" w:right="360"/>
        </w:sectPr>
      </w:pPr>
    </w:p>
    <w:p>
      <w:pPr>
        <w:pStyle w:val="BodyText"/>
        <w:spacing w:before="249"/>
        <w:ind w:left="2062" w:right="768"/>
      </w:pPr>
      <w:r>
        <w:rPr/>
        <w:t>For</w:t>
      </w:r>
      <w:r>
        <w:rPr>
          <w:spacing w:val="-16"/>
        </w:rPr>
        <w:t> </w:t>
      </w:r>
      <w:r>
        <w:rPr/>
        <w:t>the</w:t>
      </w:r>
      <w:r>
        <w:rPr>
          <w:spacing w:val="-16"/>
        </w:rPr>
        <w:t> </w:t>
      </w:r>
      <w:r>
        <w:rPr/>
        <w:t>construction</w:t>
      </w:r>
      <w:r>
        <w:rPr>
          <w:spacing w:val="-18"/>
        </w:rPr>
        <w:t> </w:t>
      </w:r>
      <w:r>
        <w:rPr/>
        <w:t>of</w:t>
      </w:r>
      <w:r>
        <w:rPr>
          <w:spacing w:val="-16"/>
        </w:rPr>
        <w:t> </w:t>
      </w:r>
      <w:r>
        <w:rPr/>
        <w:t>building</w:t>
      </w:r>
      <w:r>
        <w:rPr>
          <w:spacing w:val="-16"/>
        </w:rPr>
        <w:t> </w:t>
      </w:r>
      <w:r>
        <w:rPr/>
        <w:t>for</w:t>
      </w:r>
      <w:r>
        <w:rPr>
          <w:spacing w:val="-16"/>
        </w:rPr>
        <w:t> </w:t>
      </w:r>
      <w:r>
        <w:rPr/>
        <w:t>public</w:t>
      </w:r>
      <w:r>
        <w:rPr>
          <w:spacing w:val="-18"/>
        </w:rPr>
        <w:t> </w:t>
      </w:r>
      <w:r>
        <w:rPr/>
        <w:t>purpose/</w:t>
      </w:r>
      <w:r>
        <w:rPr>
          <w:spacing w:val="-16"/>
        </w:rPr>
        <w:t> </w:t>
      </w:r>
      <w:r>
        <w:rPr/>
        <w:t>public</w:t>
      </w:r>
      <w:r>
        <w:rPr>
          <w:spacing w:val="-16"/>
        </w:rPr>
        <w:t> </w:t>
      </w:r>
      <w:r>
        <w:rPr/>
        <w:t>amenities</w:t>
      </w:r>
      <w:r>
        <w:rPr>
          <w:spacing w:val="-16"/>
        </w:rPr>
        <w:t> </w:t>
      </w:r>
      <w:r>
        <w:rPr/>
        <w:t>by the Corporation/Govt.on their own, on the plot of land belonging to them, the FSI shall be</w:t>
      </w:r>
      <w:r>
        <w:rPr>
          <w:color w:val="000000"/>
          <w:shd w:fill="FFCCFF" w:color="auto" w:val="clear"/>
        </w:rPr>
        <w:t> as specified below:-</w:t>
      </w:r>
    </w:p>
    <w:p>
      <w:pPr>
        <w:pStyle w:val="BodyText"/>
        <w:spacing w:before="49"/>
        <w:jc w:val="left"/>
        <w:rPr>
          <w:sz w:val="20"/>
        </w:rPr>
      </w:pPr>
    </w:p>
    <w:tbl>
      <w:tblPr>
        <w:tblW w:w="0" w:type="auto"/>
        <w:jc w:val="left"/>
        <w:tblInd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1584"/>
        <w:gridCol w:w="2360"/>
      </w:tblGrid>
      <w:tr>
        <w:trPr>
          <w:trHeight w:val="844" w:hRule="atLeast"/>
        </w:trPr>
        <w:tc>
          <w:tcPr>
            <w:tcW w:w="811" w:type="dxa"/>
          </w:tcPr>
          <w:p>
            <w:pPr>
              <w:pStyle w:val="TableParagraph"/>
              <w:ind w:left="107" w:right="345"/>
              <w:rPr>
                <w:sz w:val="24"/>
              </w:rPr>
            </w:pPr>
            <w:r>
              <w:rPr>
                <w:spacing w:val="-6"/>
                <w:sz w:val="24"/>
              </w:rPr>
              <w:t>Sr </w:t>
            </w:r>
            <w:r>
              <w:rPr>
                <w:spacing w:val="-5"/>
                <w:sz w:val="24"/>
              </w:rPr>
              <w:t>No</w:t>
            </w:r>
          </w:p>
        </w:tc>
        <w:tc>
          <w:tcPr>
            <w:tcW w:w="1584" w:type="dxa"/>
          </w:tcPr>
          <w:p>
            <w:pPr>
              <w:pStyle w:val="TableParagraph"/>
              <w:spacing w:line="281" w:lineRule="exact"/>
              <w:ind w:left="108"/>
              <w:rPr>
                <w:sz w:val="24"/>
              </w:rPr>
            </w:pPr>
            <w:r>
              <w:rPr>
                <w:spacing w:val="-2"/>
                <w:sz w:val="24"/>
              </w:rPr>
              <w:t>Minimum</w:t>
            </w:r>
          </w:p>
          <w:p>
            <w:pPr>
              <w:pStyle w:val="TableParagraph"/>
              <w:spacing w:line="280" w:lineRule="exact"/>
              <w:ind w:left="108" w:right="215"/>
              <w:rPr>
                <w:sz w:val="24"/>
              </w:rPr>
            </w:pPr>
            <w:r>
              <w:rPr>
                <w:spacing w:val="-4"/>
                <w:sz w:val="24"/>
              </w:rPr>
              <w:t>Road </w:t>
            </w:r>
            <w:r>
              <w:rPr>
                <w:spacing w:val="-2"/>
                <w:sz w:val="24"/>
              </w:rPr>
              <w:t>Width</w:t>
            </w:r>
          </w:p>
        </w:tc>
        <w:tc>
          <w:tcPr>
            <w:tcW w:w="2360" w:type="dxa"/>
          </w:tcPr>
          <w:p>
            <w:pPr>
              <w:pStyle w:val="TableParagraph"/>
              <w:ind w:left="110"/>
              <w:rPr>
                <w:sz w:val="24"/>
              </w:rPr>
            </w:pPr>
            <w:r>
              <w:rPr>
                <w:spacing w:val="-2"/>
                <w:sz w:val="24"/>
              </w:rPr>
              <w:t>Maximum </w:t>
            </w:r>
            <w:r>
              <w:rPr>
                <w:sz w:val="24"/>
              </w:rPr>
              <w:t>Permissible FSI</w:t>
            </w:r>
          </w:p>
        </w:tc>
      </w:tr>
      <w:tr>
        <w:trPr>
          <w:trHeight w:val="282" w:hRule="atLeast"/>
        </w:trPr>
        <w:tc>
          <w:tcPr>
            <w:tcW w:w="811" w:type="dxa"/>
          </w:tcPr>
          <w:p>
            <w:pPr>
              <w:pStyle w:val="TableParagraph"/>
              <w:spacing w:line="261" w:lineRule="exact" w:before="1"/>
              <w:ind w:left="5" w:right="7"/>
              <w:jc w:val="center"/>
              <w:rPr>
                <w:sz w:val="24"/>
              </w:rPr>
            </w:pPr>
            <w:r>
              <w:rPr>
                <w:spacing w:val="-10"/>
                <w:sz w:val="24"/>
              </w:rPr>
              <w:t>1</w:t>
            </w:r>
          </w:p>
        </w:tc>
        <w:tc>
          <w:tcPr>
            <w:tcW w:w="1584" w:type="dxa"/>
          </w:tcPr>
          <w:p>
            <w:pPr>
              <w:pStyle w:val="TableParagraph"/>
              <w:spacing w:line="261" w:lineRule="exact" w:before="1"/>
              <w:ind w:left="108"/>
              <w:rPr>
                <w:sz w:val="24"/>
              </w:rPr>
            </w:pPr>
            <w:r>
              <w:rPr>
                <w:spacing w:val="-5"/>
                <w:sz w:val="24"/>
              </w:rPr>
              <w:t>12m</w:t>
            </w:r>
          </w:p>
        </w:tc>
        <w:tc>
          <w:tcPr>
            <w:tcW w:w="2360" w:type="dxa"/>
          </w:tcPr>
          <w:p>
            <w:pPr>
              <w:pStyle w:val="TableParagraph"/>
              <w:spacing w:line="261" w:lineRule="exact" w:before="1"/>
              <w:ind w:left="2"/>
              <w:jc w:val="center"/>
              <w:rPr>
                <w:sz w:val="24"/>
              </w:rPr>
            </w:pPr>
            <w:r>
              <w:rPr>
                <w:spacing w:val="-10"/>
                <w:sz w:val="24"/>
              </w:rPr>
              <w:t>3</w:t>
            </w:r>
          </w:p>
        </w:tc>
      </w:tr>
      <w:tr>
        <w:trPr>
          <w:trHeight w:val="280" w:hRule="atLeast"/>
        </w:trPr>
        <w:tc>
          <w:tcPr>
            <w:tcW w:w="811" w:type="dxa"/>
          </w:tcPr>
          <w:p>
            <w:pPr>
              <w:pStyle w:val="TableParagraph"/>
              <w:spacing w:line="260" w:lineRule="exact"/>
              <w:ind w:left="5" w:right="7"/>
              <w:jc w:val="center"/>
              <w:rPr>
                <w:sz w:val="24"/>
              </w:rPr>
            </w:pPr>
            <w:r>
              <w:rPr>
                <w:spacing w:val="-10"/>
                <w:sz w:val="24"/>
              </w:rPr>
              <w:t>2</w:t>
            </w:r>
          </w:p>
        </w:tc>
        <w:tc>
          <w:tcPr>
            <w:tcW w:w="1584" w:type="dxa"/>
          </w:tcPr>
          <w:p>
            <w:pPr>
              <w:pStyle w:val="TableParagraph"/>
              <w:spacing w:line="260" w:lineRule="exact"/>
              <w:ind w:left="108"/>
              <w:rPr>
                <w:sz w:val="24"/>
              </w:rPr>
            </w:pPr>
            <w:r>
              <w:rPr>
                <w:spacing w:val="-5"/>
                <w:sz w:val="24"/>
              </w:rPr>
              <w:t>18m</w:t>
            </w:r>
          </w:p>
        </w:tc>
        <w:tc>
          <w:tcPr>
            <w:tcW w:w="2360" w:type="dxa"/>
          </w:tcPr>
          <w:p>
            <w:pPr>
              <w:pStyle w:val="TableParagraph"/>
              <w:spacing w:line="260" w:lineRule="exact"/>
              <w:ind w:left="2"/>
              <w:jc w:val="center"/>
              <w:rPr>
                <w:sz w:val="24"/>
              </w:rPr>
            </w:pPr>
            <w:r>
              <w:rPr>
                <w:spacing w:val="-10"/>
                <w:sz w:val="24"/>
              </w:rPr>
              <w:t>4</w:t>
            </w:r>
          </w:p>
        </w:tc>
      </w:tr>
      <w:tr>
        <w:trPr>
          <w:trHeight w:val="282" w:hRule="atLeast"/>
        </w:trPr>
        <w:tc>
          <w:tcPr>
            <w:tcW w:w="811" w:type="dxa"/>
          </w:tcPr>
          <w:p>
            <w:pPr>
              <w:pStyle w:val="TableParagraph"/>
              <w:spacing w:line="261" w:lineRule="exact" w:before="1"/>
              <w:ind w:left="5" w:right="7"/>
              <w:jc w:val="center"/>
              <w:rPr>
                <w:sz w:val="24"/>
              </w:rPr>
            </w:pPr>
            <w:r>
              <w:rPr>
                <w:spacing w:val="-10"/>
                <w:sz w:val="24"/>
              </w:rPr>
              <w:t>3</w:t>
            </w:r>
          </w:p>
        </w:tc>
        <w:tc>
          <w:tcPr>
            <w:tcW w:w="1584" w:type="dxa"/>
          </w:tcPr>
          <w:p>
            <w:pPr>
              <w:pStyle w:val="TableParagraph"/>
              <w:spacing w:line="261" w:lineRule="exact" w:before="1"/>
              <w:ind w:left="194"/>
              <w:rPr>
                <w:sz w:val="24"/>
              </w:rPr>
            </w:pPr>
            <w:r>
              <w:rPr>
                <w:spacing w:val="-5"/>
                <w:sz w:val="24"/>
              </w:rPr>
              <w:t>27m</w:t>
            </w:r>
          </w:p>
        </w:tc>
        <w:tc>
          <w:tcPr>
            <w:tcW w:w="2360" w:type="dxa"/>
          </w:tcPr>
          <w:p>
            <w:pPr>
              <w:pStyle w:val="TableParagraph"/>
              <w:spacing w:line="261" w:lineRule="exact" w:before="1"/>
              <w:ind w:left="2"/>
              <w:jc w:val="center"/>
              <w:rPr>
                <w:sz w:val="24"/>
              </w:rPr>
            </w:pPr>
            <w:r>
              <w:rPr>
                <w:spacing w:val="-10"/>
                <w:sz w:val="24"/>
              </w:rPr>
              <w:t>5</w:t>
            </w:r>
          </w:p>
        </w:tc>
      </w:tr>
    </w:tbl>
    <w:p>
      <w:pPr>
        <w:pStyle w:val="BodyText"/>
        <w:jc w:val="left"/>
      </w:pPr>
    </w:p>
    <w:p>
      <w:pPr>
        <w:pStyle w:val="BodyText"/>
        <w:spacing w:line="276" w:lineRule="auto"/>
        <w:ind w:left="1342" w:right="771" w:firstLine="278"/>
      </w:pPr>
      <w:r>
        <w:rPr/>
        <w:t>On the plot area excluding area to be handed over to MCGM/Appropriate Authority in lieu of Reservation/ Existing amenity in the DP/ proposed DP roads/prescribed RL under MMC Act.</w:t>
      </w:r>
    </w:p>
    <w:p>
      <w:pPr>
        <w:pStyle w:val="BodyText"/>
        <w:spacing w:before="243"/>
        <w:ind w:left="2062" w:right="768"/>
      </w:pPr>
      <w:r>
        <w:rPr/>
        <w:t>Such</w:t>
      </w:r>
      <w:r>
        <w:rPr>
          <w:spacing w:val="-20"/>
        </w:rPr>
        <w:t> </w:t>
      </w:r>
      <w:r>
        <w:rPr/>
        <w:t>additional</w:t>
      </w:r>
      <w:r>
        <w:rPr>
          <w:spacing w:val="-19"/>
        </w:rPr>
        <w:t> </w:t>
      </w:r>
      <w:r>
        <w:rPr/>
        <w:t>FSI</w:t>
      </w:r>
      <w:r>
        <w:rPr>
          <w:spacing w:val="-19"/>
        </w:rPr>
        <w:t> </w:t>
      </w:r>
      <w:r>
        <w:rPr/>
        <w:t>will</w:t>
      </w:r>
      <w:r>
        <w:rPr>
          <w:spacing w:val="-19"/>
        </w:rPr>
        <w:t> </w:t>
      </w:r>
      <w:r>
        <w:rPr/>
        <w:t>not</w:t>
      </w:r>
      <w:r>
        <w:rPr>
          <w:spacing w:val="-19"/>
        </w:rPr>
        <w:t> </w:t>
      </w:r>
      <w:r>
        <w:rPr/>
        <w:t>be</w:t>
      </w:r>
      <w:r>
        <w:rPr>
          <w:spacing w:val="-20"/>
        </w:rPr>
        <w:t> </w:t>
      </w:r>
      <w:r>
        <w:rPr/>
        <w:t>available</w:t>
      </w:r>
      <w:r>
        <w:rPr>
          <w:spacing w:val="-19"/>
        </w:rPr>
        <w:t> </w:t>
      </w:r>
      <w:r>
        <w:rPr/>
        <w:t>when</w:t>
      </w:r>
      <w:r>
        <w:rPr>
          <w:spacing w:val="-19"/>
        </w:rPr>
        <w:t> </w:t>
      </w:r>
      <w:r>
        <w:rPr/>
        <w:t>private</w:t>
      </w:r>
      <w:r>
        <w:rPr>
          <w:spacing w:val="-19"/>
        </w:rPr>
        <w:t> </w:t>
      </w:r>
      <w:r>
        <w:rPr/>
        <w:t>owner</w:t>
      </w:r>
      <w:r>
        <w:rPr>
          <w:spacing w:val="-18"/>
        </w:rPr>
        <w:t> </w:t>
      </w:r>
      <w:r>
        <w:rPr/>
        <w:t>undertakes development as per Regulation No. 17.</w:t>
      </w:r>
    </w:p>
    <w:p>
      <w:pPr>
        <w:pStyle w:val="BodyText"/>
        <w:ind w:left="2062" w:right="768" w:firstLine="76"/>
      </w:pPr>
      <w:r>
        <w:rPr/>
        <w:t>No premium shall be charged for Fungible compensatory areaas per Regulation No 31(3).</w:t>
      </w:r>
    </w:p>
    <w:p>
      <w:pPr>
        <w:pStyle w:val="BodyText"/>
        <w:spacing w:before="281"/>
        <w:jc w:val="left"/>
      </w:pPr>
    </w:p>
    <w:p>
      <w:pPr>
        <w:pStyle w:val="Heading5"/>
        <w:spacing w:line="281" w:lineRule="exact"/>
        <w:ind w:left="1342"/>
      </w:pPr>
      <w:r>
        <w:rPr/>
        <w:t>33</w:t>
      </w:r>
      <w:r>
        <w:rPr>
          <w:spacing w:val="-21"/>
        </w:rPr>
        <w:t> </w:t>
      </w:r>
      <w:r>
        <w:rPr/>
        <w:t>(22)</w:t>
      </w:r>
      <w:r>
        <w:rPr>
          <w:spacing w:val="-19"/>
        </w:rPr>
        <w:t> </w:t>
      </w:r>
      <w:r>
        <w:rPr/>
        <w:t>Regulation</w:t>
      </w:r>
      <w:r>
        <w:rPr>
          <w:spacing w:val="-19"/>
        </w:rPr>
        <w:t> </w:t>
      </w:r>
      <w:r>
        <w:rPr/>
        <w:t>for</w:t>
      </w:r>
      <w:r>
        <w:rPr>
          <w:spacing w:val="-19"/>
        </w:rPr>
        <w:t> </w:t>
      </w:r>
      <w:r>
        <w:rPr/>
        <w:t>Exhibition-cum-Convention</w:t>
      </w:r>
      <w:r>
        <w:rPr>
          <w:spacing w:val="-20"/>
        </w:rPr>
        <w:t> </w:t>
      </w:r>
      <w:r>
        <w:rPr/>
        <w:t>Centers</w:t>
      </w:r>
      <w:r>
        <w:rPr>
          <w:spacing w:val="-19"/>
        </w:rPr>
        <w:t> </w:t>
      </w:r>
      <w:r>
        <w:rPr/>
        <w:t>in</w:t>
      </w:r>
      <w:r>
        <w:rPr>
          <w:spacing w:val="-19"/>
        </w:rPr>
        <w:t> </w:t>
      </w:r>
      <w:r>
        <w:rPr/>
        <w:t>MCGM</w:t>
      </w:r>
      <w:r>
        <w:rPr>
          <w:spacing w:val="-20"/>
        </w:rPr>
        <w:t> </w:t>
      </w:r>
      <w:r>
        <w:rPr>
          <w:spacing w:val="-4"/>
        </w:rPr>
        <w:t>Area</w:t>
      </w:r>
    </w:p>
    <w:p>
      <w:pPr>
        <w:pStyle w:val="ListParagraph"/>
        <w:numPr>
          <w:ilvl w:val="0"/>
          <w:numId w:val="211"/>
        </w:numPr>
        <w:tabs>
          <w:tab w:pos="1646" w:val="left" w:leader="none"/>
        </w:tabs>
        <w:spacing w:line="360" w:lineRule="auto" w:before="0" w:after="0"/>
        <w:ind w:left="1342" w:right="766" w:firstLine="0"/>
        <w:jc w:val="left"/>
        <w:rPr>
          <w:b/>
          <w:sz w:val="24"/>
        </w:rPr>
      </w:pPr>
      <w:r>
        <w:rPr>
          <w:b/>
          <w:sz w:val="24"/>
        </w:rPr>
        <w:t>Definition:</w:t>
      </w:r>
      <w:r>
        <w:rPr>
          <w:b/>
          <w:spacing w:val="-18"/>
          <w:sz w:val="24"/>
        </w:rPr>
        <w:t> </w:t>
      </w:r>
      <w:r>
        <w:rPr>
          <w:sz w:val="24"/>
        </w:rPr>
        <w:t>An</w:t>
      </w:r>
      <w:r>
        <w:rPr>
          <w:spacing w:val="-15"/>
          <w:sz w:val="24"/>
        </w:rPr>
        <w:t> </w:t>
      </w:r>
      <w:r>
        <w:rPr>
          <w:sz w:val="24"/>
        </w:rPr>
        <w:t>Exhibition-cum-Convention</w:t>
      </w:r>
      <w:r>
        <w:rPr>
          <w:spacing w:val="-15"/>
          <w:sz w:val="24"/>
        </w:rPr>
        <w:t> </w:t>
      </w:r>
      <w:r>
        <w:rPr>
          <w:sz w:val="24"/>
        </w:rPr>
        <w:t>Centre</w:t>
      </w:r>
      <w:r>
        <w:rPr>
          <w:spacing w:val="-15"/>
          <w:sz w:val="24"/>
        </w:rPr>
        <w:t> </w:t>
      </w:r>
      <w:r>
        <w:rPr>
          <w:sz w:val="24"/>
        </w:rPr>
        <w:t>is</w:t>
      </w:r>
      <w:r>
        <w:rPr>
          <w:spacing w:val="-15"/>
          <w:sz w:val="24"/>
        </w:rPr>
        <w:t> </w:t>
      </w:r>
      <w:r>
        <w:rPr>
          <w:sz w:val="24"/>
        </w:rPr>
        <w:t>a</w:t>
      </w:r>
      <w:r>
        <w:rPr>
          <w:spacing w:val="-16"/>
          <w:sz w:val="24"/>
        </w:rPr>
        <w:t> </w:t>
      </w:r>
      <w:r>
        <w:rPr>
          <w:sz w:val="24"/>
        </w:rPr>
        <w:t>complex</w:t>
      </w:r>
      <w:r>
        <w:rPr>
          <w:spacing w:val="-15"/>
          <w:sz w:val="24"/>
        </w:rPr>
        <w:t> </w:t>
      </w:r>
      <w:r>
        <w:rPr>
          <w:sz w:val="24"/>
        </w:rPr>
        <w:t>comprising buildings,</w:t>
      </w:r>
      <w:r>
        <w:rPr>
          <w:spacing w:val="-8"/>
          <w:sz w:val="24"/>
        </w:rPr>
        <w:t> </w:t>
      </w:r>
      <w:r>
        <w:rPr>
          <w:sz w:val="24"/>
        </w:rPr>
        <w:t>halls</w:t>
      </w:r>
      <w:r>
        <w:rPr>
          <w:spacing w:val="-8"/>
          <w:sz w:val="24"/>
        </w:rPr>
        <w:t> </w:t>
      </w:r>
      <w:r>
        <w:rPr>
          <w:sz w:val="24"/>
        </w:rPr>
        <w:t>and</w:t>
      </w:r>
      <w:r>
        <w:rPr>
          <w:spacing w:val="-6"/>
          <w:sz w:val="24"/>
        </w:rPr>
        <w:t> </w:t>
      </w:r>
      <w:r>
        <w:rPr>
          <w:sz w:val="24"/>
        </w:rPr>
        <w:t>open</w:t>
      </w:r>
      <w:r>
        <w:rPr>
          <w:spacing w:val="-8"/>
          <w:sz w:val="24"/>
        </w:rPr>
        <w:t> </w:t>
      </w:r>
      <w:r>
        <w:rPr>
          <w:sz w:val="24"/>
        </w:rPr>
        <w:t>spaces</w:t>
      </w:r>
      <w:r>
        <w:rPr>
          <w:spacing w:val="-8"/>
          <w:sz w:val="24"/>
        </w:rPr>
        <w:t> </w:t>
      </w:r>
      <w:r>
        <w:rPr>
          <w:sz w:val="24"/>
        </w:rPr>
        <w:t>which</w:t>
      </w:r>
      <w:r>
        <w:rPr>
          <w:spacing w:val="-8"/>
          <w:sz w:val="24"/>
        </w:rPr>
        <w:t> </w:t>
      </w:r>
      <w:r>
        <w:rPr>
          <w:sz w:val="24"/>
        </w:rPr>
        <w:t>are</w:t>
      </w:r>
      <w:r>
        <w:rPr>
          <w:spacing w:val="-8"/>
          <w:sz w:val="24"/>
        </w:rPr>
        <w:t> </w:t>
      </w:r>
      <w:r>
        <w:rPr>
          <w:sz w:val="24"/>
        </w:rPr>
        <w:t>designed</w:t>
      </w:r>
      <w:r>
        <w:rPr>
          <w:spacing w:val="-8"/>
          <w:sz w:val="24"/>
        </w:rPr>
        <w:t> </w:t>
      </w:r>
      <w:r>
        <w:rPr>
          <w:sz w:val="24"/>
        </w:rPr>
        <w:t>to</w:t>
      </w:r>
      <w:r>
        <w:rPr>
          <w:spacing w:val="-8"/>
          <w:sz w:val="24"/>
        </w:rPr>
        <w:t> </w:t>
      </w:r>
      <w:r>
        <w:rPr>
          <w:sz w:val="24"/>
        </w:rPr>
        <w:t>host</w:t>
      </w:r>
      <w:r>
        <w:rPr>
          <w:spacing w:val="-7"/>
          <w:sz w:val="24"/>
        </w:rPr>
        <w:t> </w:t>
      </w:r>
      <w:r>
        <w:rPr>
          <w:sz w:val="24"/>
        </w:rPr>
        <w:t>and/ororganize</w:t>
      </w:r>
      <w:r>
        <w:rPr>
          <w:spacing w:val="-8"/>
          <w:sz w:val="24"/>
        </w:rPr>
        <w:t> </w:t>
      </w:r>
      <w:r>
        <w:rPr>
          <w:sz w:val="24"/>
        </w:rPr>
        <w:t>-</w:t>
      </w:r>
    </w:p>
    <w:p>
      <w:pPr>
        <w:spacing w:before="0"/>
        <w:ind w:left="1342" w:right="0" w:firstLine="0"/>
        <w:jc w:val="left"/>
        <w:rPr>
          <w:sz w:val="24"/>
        </w:rPr>
      </w:pPr>
      <w:r>
        <w:rPr>
          <w:spacing w:val="-10"/>
          <w:sz w:val="24"/>
        </w:rPr>
        <w:t>-</w:t>
      </w:r>
    </w:p>
    <w:p>
      <w:pPr>
        <w:pStyle w:val="BodyText"/>
        <w:spacing w:before="60"/>
        <w:jc w:val="left"/>
      </w:pPr>
    </w:p>
    <w:p>
      <w:pPr>
        <w:pStyle w:val="ListParagraph"/>
        <w:numPr>
          <w:ilvl w:val="1"/>
          <w:numId w:val="211"/>
        </w:numPr>
        <w:tabs>
          <w:tab w:pos="2056" w:val="left" w:leader="none"/>
        </w:tabs>
        <w:spacing w:line="360" w:lineRule="auto" w:before="0" w:after="0"/>
        <w:ind w:left="1342" w:right="769" w:firstLine="0"/>
        <w:jc w:val="both"/>
        <w:rPr>
          <w:sz w:val="24"/>
        </w:rPr>
      </w:pPr>
      <w:r>
        <w:rPr>
          <w:sz w:val="24"/>
        </w:rPr>
        <w:t>business-to-business and business-to-customer exhibitions where products, machinery, art, skills, services, activities etc. are displayed on temporary or permanent basis; and</w:t>
      </w:r>
    </w:p>
    <w:p>
      <w:pPr>
        <w:pStyle w:val="ListParagraph"/>
        <w:numPr>
          <w:ilvl w:val="1"/>
          <w:numId w:val="211"/>
        </w:numPr>
        <w:tabs>
          <w:tab w:pos="1706" w:val="left" w:leader="none"/>
        </w:tabs>
        <w:spacing w:line="360" w:lineRule="auto" w:before="199" w:after="0"/>
        <w:ind w:left="1342" w:right="770" w:firstLine="0"/>
        <w:jc w:val="both"/>
        <w:rPr>
          <w:sz w:val="24"/>
        </w:rPr>
      </w:pPr>
      <w:r>
        <w:rPr>
          <w:sz w:val="24"/>
        </w:rPr>
        <w:t>large</w:t>
      </w:r>
      <w:r>
        <w:rPr>
          <w:spacing w:val="-9"/>
          <w:sz w:val="24"/>
        </w:rPr>
        <w:t> </w:t>
      </w:r>
      <w:r>
        <w:rPr>
          <w:sz w:val="24"/>
        </w:rPr>
        <w:t>congregations</w:t>
      </w:r>
      <w:r>
        <w:rPr>
          <w:spacing w:val="-9"/>
          <w:sz w:val="24"/>
        </w:rPr>
        <w:t> </w:t>
      </w:r>
      <w:r>
        <w:rPr>
          <w:sz w:val="24"/>
        </w:rPr>
        <w:t>for</w:t>
      </w:r>
      <w:r>
        <w:rPr>
          <w:spacing w:val="-9"/>
          <w:sz w:val="24"/>
        </w:rPr>
        <w:t> </w:t>
      </w:r>
      <w:r>
        <w:rPr>
          <w:sz w:val="24"/>
        </w:rPr>
        <w:t>the</w:t>
      </w:r>
      <w:r>
        <w:rPr>
          <w:spacing w:val="-9"/>
          <w:sz w:val="24"/>
        </w:rPr>
        <w:t> </w:t>
      </w:r>
      <w:r>
        <w:rPr>
          <w:sz w:val="24"/>
        </w:rPr>
        <w:t>purpose</w:t>
      </w:r>
      <w:r>
        <w:rPr>
          <w:spacing w:val="-7"/>
          <w:sz w:val="24"/>
        </w:rPr>
        <w:t> </w:t>
      </w:r>
      <w:r>
        <w:rPr>
          <w:sz w:val="24"/>
        </w:rPr>
        <w:t>of</w:t>
      </w:r>
      <w:r>
        <w:rPr>
          <w:spacing w:val="-7"/>
          <w:sz w:val="24"/>
        </w:rPr>
        <w:t> </w:t>
      </w:r>
      <w:r>
        <w:rPr>
          <w:sz w:val="24"/>
        </w:rPr>
        <w:t>conventions,</w:t>
      </w:r>
      <w:r>
        <w:rPr>
          <w:spacing w:val="-9"/>
          <w:sz w:val="24"/>
        </w:rPr>
        <w:t> </w:t>
      </w:r>
      <w:r>
        <w:rPr>
          <w:sz w:val="24"/>
        </w:rPr>
        <w:t>meetings,</w:t>
      </w:r>
      <w:r>
        <w:rPr>
          <w:spacing w:val="-9"/>
          <w:sz w:val="24"/>
        </w:rPr>
        <w:t> </w:t>
      </w:r>
      <w:r>
        <w:rPr>
          <w:sz w:val="24"/>
        </w:rPr>
        <w:t>conferences, assemblies, rallies, concerts, cultural activities and performances.</w:t>
      </w:r>
    </w:p>
    <w:p>
      <w:pPr>
        <w:pStyle w:val="ListParagraph"/>
        <w:numPr>
          <w:ilvl w:val="0"/>
          <w:numId w:val="211"/>
        </w:numPr>
        <w:tabs>
          <w:tab w:pos="1679" w:val="left" w:leader="none"/>
        </w:tabs>
        <w:spacing w:line="360" w:lineRule="auto" w:before="201" w:after="0"/>
        <w:ind w:left="1342" w:right="770" w:firstLine="0"/>
        <w:jc w:val="both"/>
        <w:rPr>
          <w:b/>
          <w:sz w:val="24"/>
        </w:rPr>
      </w:pPr>
      <w:r>
        <w:rPr>
          <w:b/>
          <w:sz w:val="24"/>
        </w:rPr>
        <w:t>Admissibility: - </w:t>
      </w:r>
      <w:r>
        <w:rPr>
          <w:sz w:val="24"/>
        </w:rPr>
        <w:t>Development of Exhibition-cum-Convention Centre shall be permissible</w:t>
      </w:r>
      <w:r>
        <w:rPr>
          <w:spacing w:val="40"/>
          <w:sz w:val="24"/>
        </w:rPr>
        <w:t> </w:t>
      </w:r>
      <w:r>
        <w:rPr>
          <w:sz w:val="24"/>
        </w:rPr>
        <w:t>on a plot in Residential</w:t>
      </w:r>
      <w:r>
        <w:rPr>
          <w:spacing w:val="40"/>
          <w:sz w:val="24"/>
        </w:rPr>
        <w:t> </w:t>
      </w:r>
      <w:r>
        <w:rPr>
          <w:sz w:val="24"/>
        </w:rPr>
        <w:t>/ Industrial</w:t>
      </w:r>
      <w:r>
        <w:rPr>
          <w:spacing w:val="40"/>
          <w:sz w:val="24"/>
        </w:rPr>
        <w:t> </w:t>
      </w:r>
      <w:r>
        <w:rPr>
          <w:sz w:val="24"/>
        </w:rPr>
        <w:t>/Commercial (C1, C2) Zone subject to following conditions:-</w:t>
      </w:r>
    </w:p>
    <w:p>
      <w:pPr>
        <w:pStyle w:val="ListParagraph"/>
        <w:numPr>
          <w:ilvl w:val="0"/>
          <w:numId w:val="212"/>
        </w:numPr>
        <w:tabs>
          <w:tab w:pos="1578" w:val="left" w:leader="none"/>
        </w:tabs>
        <w:spacing w:line="360" w:lineRule="auto" w:before="199" w:after="0"/>
        <w:ind w:left="1342" w:right="770" w:firstLine="0"/>
        <w:jc w:val="both"/>
        <w:rPr>
          <w:sz w:val="24"/>
        </w:rPr>
      </w:pPr>
      <w:r>
        <w:rPr>
          <w:sz w:val="24"/>
        </w:rPr>
        <w:t>For the purpose of calculating the FSI, the remaining area after excluding the</w:t>
      </w:r>
      <w:r>
        <w:rPr>
          <w:spacing w:val="-6"/>
          <w:sz w:val="24"/>
        </w:rPr>
        <w:t> </w:t>
      </w:r>
      <w:r>
        <w:rPr>
          <w:sz w:val="24"/>
        </w:rPr>
        <w:t>land</w:t>
      </w:r>
      <w:r>
        <w:rPr>
          <w:spacing w:val="-6"/>
          <w:sz w:val="24"/>
        </w:rPr>
        <w:t> </w:t>
      </w:r>
      <w:r>
        <w:rPr>
          <w:sz w:val="24"/>
        </w:rPr>
        <w:t>under</w:t>
      </w:r>
      <w:r>
        <w:rPr>
          <w:spacing w:val="-6"/>
          <w:sz w:val="24"/>
        </w:rPr>
        <w:t> </w:t>
      </w:r>
      <w:r>
        <w:rPr>
          <w:sz w:val="24"/>
        </w:rPr>
        <w:t>the</w:t>
      </w:r>
      <w:r>
        <w:rPr>
          <w:spacing w:val="-1"/>
          <w:sz w:val="24"/>
        </w:rPr>
        <w:t> </w:t>
      </w:r>
      <w:r>
        <w:rPr>
          <w:sz w:val="24"/>
        </w:rPr>
        <w:t>Development</w:t>
      </w:r>
      <w:r>
        <w:rPr>
          <w:spacing w:val="-6"/>
          <w:sz w:val="24"/>
        </w:rPr>
        <w:t> </w:t>
      </w:r>
      <w:r>
        <w:rPr>
          <w:sz w:val="24"/>
        </w:rPr>
        <w:t>Plan</w:t>
      </w:r>
      <w:r>
        <w:rPr>
          <w:spacing w:val="-5"/>
          <w:sz w:val="24"/>
        </w:rPr>
        <w:t> </w:t>
      </w:r>
      <w:r>
        <w:rPr>
          <w:sz w:val="24"/>
        </w:rPr>
        <w:t>Roads</w:t>
      </w:r>
      <w:r>
        <w:rPr>
          <w:spacing w:val="-6"/>
          <w:sz w:val="24"/>
        </w:rPr>
        <w:t> </w:t>
      </w:r>
      <w:r>
        <w:rPr>
          <w:sz w:val="24"/>
        </w:rPr>
        <w:t>/Reservation</w:t>
      </w:r>
      <w:r>
        <w:rPr>
          <w:spacing w:val="-6"/>
          <w:sz w:val="24"/>
        </w:rPr>
        <w:t> </w:t>
      </w:r>
      <w:r>
        <w:rPr>
          <w:sz w:val="24"/>
        </w:rPr>
        <w:t>of</w:t>
      </w:r>
      <w:r>
        <w:rPr>
          <w:spacing w:val="-4"/>
          <w:sz w:val="24"/>
        </w:rPr>
        <w:t> </w:t>
      </w:r>
      <w:r>
        <w:rPr>
          <w:sz w:val="24"/>
        </w:rPr>
        <w:t>public</w:t>
      </w:r>
      <w:r>
        <w:rPr>
          <w:spacing w:val="-6"/>
          <w:sz w:val="24"/>
        </w:rPr>
        <w:t> </w:t>
      </w:r>
      <w:r>
        <w:rPr>
          <w:sz w:val="24"/>
        </w:rPr>
        <w:t>amenities shall be considered.</w:t>
      </w:r>
    </w:p>
    <w:p>
      <w:pPr>
        <w:pStyle w:val="ListParagraph"/>
        <w:spacing w:after="0" w:line="360" w:lineRule="auto"/>
        <w:jc w:val="both"/>
        <w:rPr>
          <w:sz w:val="24"/>
        </w:rPr>
        <w:sectPr>
          <w:pgSz w:w="11910" w:h="16840"/>
          <w:pgMar w:header="1065" w:footer="1194" w:top="1500" w:bottom="1380" w:left="360" w:right="360"/>
        </w:sectPr>
      </w:pPr>
    </w:p>
    <w:p>
      <w:pPr>
        <w:pStyle w:val="ListParagraph"/>
        <w:numPr>
          <w:ilvl w:val="0"/>
          <w:numId w:val="212"/>
        </w:numPr>
        <w:tabs>
          <w:tab w:pos="1626" w:val="left" w:leader="none"/>
        </w:tabs>
        <w:spacing w:line="360" w:lineRule="auto" w:before="249" w:after="0"/>
        <w:ind w:left="1342" w:right="768" w:firstLine="0"/>
        <w:jc w:val="both"/>
        <w:rPr>
          <w:sz w:val="24"/>
        </w:rPr>
      </w:pPr>
      <w:r>
        <w:rPr>
          <w:sz w:val="24"/>
        </w:rPr>
        <w:t>In</w:t>
      </w:r>
      <w:r>
        <w:rPr>
          <w:spacing w:val="-10"/>
          <w:sz w:val="24"/>
        </w:rPr>
        <w:t> </w:t>
      </w:r>
      <w:r>
        <w:rPr>
          <w:sz w:val="24"/>
        </w:rPr>
        <w:t>case</w:t>
      </w:r>
      <w:r>
        <w:rPr>
          <w:spacing w:val="-10"/>
          <w:sz w:val="24"/>
        </w:rPr>
        <w:t> </w:t>
      </w:r>
      <w:r>
        <w:rPr>
          <w:sz w:val="24"/>
        </w:rPr>
        <w:t>of</w:t>
      </w:r>
      <w:r>
        <w:rPr>
          <w:spacing w:val="-10"/>
          <w:sz w:val="24"/>
        </w:rPr>
        <w:t> </w:t>
      </w:r>
      <w:r>
        <w:rPr>
          <w:sz w:val="24"/>
        </w:rPr>
        <w:t>plots</w:t>
      </w:r>
      <w:r>
        <w:rPr>
          <w:spacing w:val="-10"/>
          <w:sz w:val="24"/>
        </w:rPr>
        <w:t> </w:t>
      </w:r>
      <w:r>
        <w:rPr>
          <w:sz w:val="24"/>
        </w:rPr>
        <w:t>in</w:t>
      </w:r>
      <w:r>
        <w:rPr>
          <w:spacing w:val="-11"/>
          <w:sz w:val="24"/>
        </w:rPr>
        <w:t> </w:t>
      </w:r>
      <w:r>
        <w:rPr>
          <w:sz w:val="24"/>
        </w:rPr>
        <w:t>Residential</w:t>
      </w:r>
      <w:r>
        <w:rPr>
          <w:spacing w:val="40"/>
          <w:sz w:val="24"/>
        </w:rPr>
        <w:t> </w:t>
      </w:r>
      <w:r>
        <w:rPr>
          <w:sz w:val="24"/>
        </w:rPr>
        <w:t>/</w:t>
      </w:r>
      <w:r>
        <w:rPr>
          <w:spacing w:val="-10"/>
          <w:sz w:val="24"/>
        </w:rPr>
        <w:t> </w:t>
      </w:r>
      <w:r>
        <w:rPr>
          <w:sz w:val="24"/>
        </w:rPr>
        <w:t>Industrial</w:t>
      </w:r>
      <w:r>
        <w:rPr>
          <w:spacing w:val="40"/>
          <w:sz w:val="24"/>
        </w:rPr>
        <w:t> </w:t>
      </w:r>
      <w:r>
        <w:rPr>
          <w:sz w:val="24"/>
        </w:rPr>
        <w:t>/Commercial</w:t>
      </w:r>
      <w:r>
        <w:rPr>
          <w:spacing w:val="-10"/>
          <w:sz w:val="24"/>
        </w:rPr>
        <w:t> </w:t>
      </w:r>
      <w:r>
        <w:rPr>
          <w:sz w:val="24"/>
        </w:rPr>
        <w:t>(C1,</w:t>
      </w:r>
      <w:r>
        <w:rPr>
          <w:spacing w:val="-10"/>
          <w:sz w:val="24"/>
        </w:rPr>
        <w:t> </w:t>
      </w:r>
      <w:r>
        <w:rPr>
          <w:sz w:val="24"/>
        </w:rPr>
        <w:t>C2)</w:t>
      </w:r>
      <w:r>
        <w:rPr>
          <w:spacing w:val="-10"/>
          <w:sz w:val="24"/>
        </w:rPr>
        <w:t> </w:t>
      </w:r>
      <w:r>
        <w:rPr>
          <w:sz w:val="24"/>
        </w:rPr>
        <w:t>Zone,</w:t>
      </w:r>
      <w:r>
        <w:rPr>
          <w:spacing w:val="-10"/>
          <w:sz w:val="24"/>
        </w:rPr>
        <w:t> </w:t>
      </w:r>
      <w:r>
        <w:rPr>
          <w:sz w:val="24"/>
        </w:rPr>
        <w:t>the Floor Space Indices specified in Table</w:t>
      </w:r>
      <w:r>
        <w:rPr>
          <w:spacing w:val="80"/>
          <w:sz w:val="24"/>
        </w:rPr>
        <w:t> </w:t>
      </w:r>
      <w:r>
        <w:rPr>
          <w:sz w:val="24"/>
        </w:rPr>
        <w:t>12</w:t>
      </w:r>
      <w:r>
        <w:rPr>
          <w:spacing w:val="80"/>
          <w:sz w:val="24"/>
        </w:rPr>
        <w:t> </w:t>
      </w:r>
      <w:r>
        <w:rPr>
          <w:sz w:val="24"/>
        </w:rPr>
        <w:t>may be permitted to be exceeded up to </w:t>
      </w:r>
      <w:r>
        <w:rPr>
          <w:b/>
          <w:sz w:val="24"/>
        </w:rPr>
        <w:t>4.00 </w:t>
      </w:r>
      <w:r>
        <w:rPr>
          <w:sz w:val="24"/>
        </w:rPr>
        <w:t>F.S.I by charging premium at the rate of 10% of the land rate as prescribed in Annual Statement of Rates published by Revenue Authority for the relevant year of granting such F.S.I. without applying the guidelines mentioned therein.</w:t>
      </w:r>
    </w:p>
    <w:p>
      <w:pPr>
        <w:pStyle w:val="ListParagraph"/>
        <w:numPr>
          <w:ilvl w:val="0"/>
          <w:numId w:val="211"/>
        </w:numPr>
        <w:tabs>
          <w:tab w:pos="1653" w:val="left" w:leader="none"/>
        </w:tabs>
        <w:spacing w:line="240" w:lineRule="auto" w:before="201" w:after="0"/>
        <w:ind w:left="1653" w:right="0" w:hanging="235"/>
        <w:jc w:val="both"/>
        <w:rPr>
          <w:b/>
          <w:sz w:val="22"/>
          <w:u w:val="single"/>
        </w:rPr>
      </w:pPr>
      <w:r>
        <w:rPr>
          <w:b/>
          <w:sz w:val="24"/>
          <w:u w:val="single"/>
        </w:rPr>
        <w:t>Conditions</w:t>
      </w:r>
      <w:r>
        <w:rPr>
          <w:b/>
          <w:spacing w:val="-4"/>
          <w:sz w:val="24"/>
          <w:u w:val="single"/>
        </w:rPr>
        <w:t> </w:t>
      </w:r>
      <w:r>
        <w:rPr>
          <w:b/>
          <w:sz w:val="24"/>
          <w:u w:val="single"/>
        </w:rPr>
        <w:t>for</w:t>
      </w:r>
      <w:r>
        <w:rPr>
          <w:b/>
          <w:spacing w:val="-3"/>
          <w:sz w:val="24"/>
          <w:u w:val="single"/>
        </w:rPr>
        <w:t> </w:t>
      </w:r>
      <w:r>
        <w:rPr>
          <w:b/>
          <w:sz w:val="24"/>
          <w:u w:val="single"/>
        </w:rPr>
        <w:t>Development</w:t>
      </w:r>
      <w:r>
        <w:rPr>
          <w:b/>
          <w:spacing w:val="-3"/>
          <w:sz w:val="24"/>
          <w:u w:val="single"/>
        </w:rPr>
        <w:t> </w:t>
      </w:r>
      <w:r>
        <w:rPr>
          <w:b/>
          <w:sz w:val="24"/>
          <w:u w:val="single"/>
        </w:rPr>
        <w:t>of</w:t>
      </w:r>
      <w:r>
        <w:rPr>
          <w:b/>
          <w:spacing w:val="-3"/>
          <w:sz w:val="24"/>
          <w:u w:val="single"/>
        </w:rPr>
        <w:t> </w:t>
      </w:r>
      <w:r>
        <w:rPr>
          <w:b/>
          <w:sz w:val="24"/>
          <w:u w:val="single"/>
        </w:rPr>
        <w:t>Exhibition-cum-Convention</w:t>
      </w:r>
      <w:r>
        <w:rPr>
          <w:b/>
          <w:spacing w:val="-3"/>
          <w:sz w:val="24"/>
          <w:u w:val="single"/>
        </w:rPr>
        <w:t> </w:t>
      </w:r>
      <w:r>
        <w:rPr>
          <w:b/>
          <w:spacing w:val="-2"/>
          <w:sz w:val="24"/>
          <w:u w:val="single"/>
        </w:rPr>
        <w:t>Centre:-</w:t>
      </w:r>
    </w:p>
    <w:p>
      <w:pPr>
        <w:pStyle w:val="BodyText"/>
        <w:spacing w:before="60"/>
        <w:jc w:val="left"/>
        <w:rPr>
          <w:b/>
        </w:rPr>
      </w:pPr>
    </w:p>
    <w:p>
      <w:pPr>
        <w:pStyle w:val="ListParagraph"/>
        <w:numPr>
          <w:ilvl w:val="0"/>
          <w:numId w:val="213"/>
        </w:numPr>
        <w:tabs>
          <w:tab w:pos="1760" w:val="left" w:leader="none"/>
        </w:tabs>
        <w:spacing w:line="360" w:lineRule="auto" w:before="0" w:after="0"/>
        <w:ind w:left="1342" w:right="770" w:firstLine="0"/>
        <w:jc w:val="both"/>
        <w:rPr>
          <w:sz w:val="24"/>
        </w:rPr>
      </w:pPr>
      <w:r>
        <w:rPr>
          <w:sz w:val="24"/>
        </w:rPr>
        <w:t>Such Plot should have a minimum area of 5 hectares excluding Development Plan proposals of reservation and/or roads, if any.</w:t>
      </w:r>
    </w:p>
    <w:p>
      <w:pPr>
        <w:pStyle w:val="ListParagraph"/>
        <w:numPr>
          <w:ilvl w:val="0"/>
          <w:numId w:val="213"/>
        </w:numPr>
        <w:tabs>
          <w:tab w:pos="1675" w:val="left" w:leader="none"/>
        </w:tabs>
        <w:spacing w:line="360" w:lineRule="auto" w:before="200" w:after="0"/>
        <w:ind w:left="1342" w:right="771" w:firstLine="0"/>
        <w:jc w:val="both"/>
        <w:rPr>
          <w:sz w:val="24"/>
        </w:rPr>
      </w:pPr>
      <w:r>
        <w:rPr>
          <w:sz w:val="24"/>
        </w:rPr>
        <w:t>Entry Gates of the Exhibition-cum-Convention Centre must abut a main road/ highway having a minimum width of 18.30 mtr. with</w:t>
      </w:r>
      <w:r>
        <w:rPr>
          <w:spacing w:val="-1"/>
          <w:sz w:val="24"/>
        </w:rPr>
        <w:t> </w:t>
      </w:r>
      <w:r>
        <w:rPr>
          <w:sz w:val="24"/>
        </w:rPr>
        <w:t>minimum 2 each of ingress and egress of proper width.</w:t>
      </w:r>
    </w:p>
    <w:p>
      <w:pPr>
        <w:pStyle w:val="ListParagraph"/>
        <w:numPr>
          <w:ilvl w:val="0"/>
          <w:numId w:val="213"/>
        </w:numPr>
        <w:tabs>
          <w:tab w:pos="1627" w:val="left" w:leader="none"/>
        </w:tabs>
        <w:spacing w:line="360" w:lineRule="auto" w:before="201" w:after="0"/>
        <w:ind w:left="1342" w:right="766" w:firstLine="0"/>
        <w:jc w:val="both"/>
        <w:rPr>
          <w:sz w:val="24"/>
        </w:rPr>
      </w:pPr>
      <w:r>
        <w:rPr>
          <w:sz w:val="24"/>
        </w:rPr>
        <w:t>The</w:t>
      </w:r>
      <w:r>
        <w:rPr>
          <w:spacing w:val="-17"/>
          <w:sz w:val="24"/>
        </w:rPr>
        <w:t> </w:t>
      </w:r>
      <w:r>
        <w:rPr>
          <w:sz w:val="24"/>
        </w:rPr>
        <w:t>ground</w:t>
      </w:r>
      <w:r>
        <w:rPr>
          <w:spacing w:val="-17"/>
          <w:sz w:val="24"/>
        </w:rPr>
        <w:t> </w:t>
      </w:r>
      <w:r>
        <w:rPr>
          <w:sz w:val="24"/>
        </w:rPr>
        <w:t>coverage</w:t>
      </w:r>
      <w:r>
        <w:rPr>
          <w:spacing w:val="-17"/>
          <w:sz w:val="24"/>
        </w:rPr>
        <w:t> </w:t>
      </w:r>
      <w:r>
        <w:rPr>
          <w:sz w:val="24"/>
        </w:rPr>
        <w:t>of</w:t>
      </w:r>
      <w:r>
        <w:rPr>
          <w:spacing w:val="-17"/>
          <w:sz w:val="24"/>
        </w:rPr>
        <w:t> </w:t>
      </w:r>
      <w:r>
        <w:rPr>
          <w:sz w:val="24"/>
        </w:rPr>
        <w:t>the</w:t>
      </w:r>
      <w:r>
        <w:rPr>
          <w:spacing w:val="-17"/>
          <w:sz w:val="24"/>
        </w:rPr>
        <w:t> </w:t>
      </w:r>
      <w:r>
        <w:rPr>
          <w:sz w:val="24"/>
        </w:rPr>
        <w:t>Exhibition-cum-Convention</w:t>
      </w:r>
      <w:r>
        <w:rPr>
          <w:spacing w:val="-17"/>
          <w:sz w:val="24"/>
        </w:rPr>
        <w:t> </w:t>
      </w:r>
      <w:r>
        <w:rPr>
          <w:sz w:val="24"/>
        </w:rPr>
        <w:t>Centre</w:t>
      </w:r>
      <w:r>
        <w:rPr>
          <w:spacing w:val="-17"/>
          <w:sz w:val="24"/>
        </w:rPr>
        <w:t> </w:t>
      </w:r>
      <w:r>
        <w:rPr>
          <w:sz w:val="24"/>
        </w:rPr>
        <w:t>on</w:t>
      </w:r>
      <w:r>
        <w:rPr>
          <w:spacing w:val="-17"/>
          <w:sz w:val="24"/>
        </w:rPr>
        <w:t> </w:t>
      </w:r>
      <w:r>
        <w:rPr>
          <w:sz w:val="24"/>
        </w:rPr>
        <w:t>such</w:t>
      </w:r>
      <w:r>
        <w:rPr>
          <w:spacing w:val="-16"/>
          <w:sz w:val="24"/>
        </w:rPr>
        <w:t> </w:t>
      </w:r>
      <w:r>
        <w:rPr>
          <w:sz w:val="24"/>
        </w:rPr>
        <w:t>plot shall not exceed 2/ 3</w:t>
      </w:r>
      <w:r>
        <w:rPr>
          <w:position w:val="6"/>
          <w:sz w:val="16"/>
        </w:rPr>
        <w:t>rd</w:t>
      </w:r>
      <w:r>
        <w:rPr>
          <w:spacing w:val="40"/>
          <w:position w:val="6"/>
          <w:sz w:val="16"/>
        </w:rPr>
        <w:t> </w:t>
      </w:r>
      <w:r>
        <w:rPr>
          <w:sz w:val="24"/>
        </w:rPr>
        <w:t>of the gross plot area excluding Development Plan proposals of reservation and/ or roads, if any.</w:t>
      </w:r>
    </w:p>
    <w:p>
      <w:pPr>
        <w:pStyle w:val="ListParagraph"/>
        <w:numPr>
          <w:ilvl w:val="0"/>
          <w:numId w:val="213"/>
        </w:numPr>
        <w:tabs>
          <w:tab w:pos="1778" w:val="left" w:leader="none"/>
        </w:tabs>
        <w:spacing w:line="360" w:lineRule="auto" w:before="199" w:after="0"/>
        <w:ind w:left="1342" w:right="771" w:firstLine="0"/>
        <w:jc w:val="both"/>
        <w:rPr>
          <w:sz w:val="24"/>
        </w:rPr>
      </w:pPr>
      <w:r>
        <w:rPr>
          <w:sz w:val="24"/>
        </w:rPr>
        <w:t>LOS and Amenity Area shall be provided on such plot as prescribed</w:t>
      </w:r>
      <w:r>
        <w:rPr>
          <w:spacing w:val="40"/>
          <w:sz w:val="24"/>
        </w:rPr>
        <w:t> </w:t>
      </w:r>
      <w:r>
        <w:rPr>
          <w:sz w:val="24"/>
        </w:rPr>
        <w:t>in Regulation 27.</w:t>
      </w:r>
    </w:p>
    <w:p>
      <w:pPr>
        <w:pStyle w:val="BodyText"/>
        <w:spacing w:line="360" w:lineRule="auto" w:before="201"/>
        <w:ind w:left="1342" w:right="766" w:firstLine="719"/>
      </w:pPr>
      <w:r>
        <w:rPr/>
        <w:t>Provided that the limit of maximum area of 2500 sq. m shall not apply for the development under this Regulation.</w:t>
      </w:r>
    </w:p>
    <w:p>
      <w:pPr>
        <w:pStyle w:val="BodyText"/>
        <w:spacing w:line="360" w:lineRule="auto" w:before="199"/>
        <w:ind w:left="1342" w:right="773" w:firstLine="719"/>
      </w:pPr>
      <w:r>
        <w:rPr/>
        <w:t>The</w:t>
      </w:r>
      <w:r>
        <w:rPr>
          <w:spacing w:val="40"/>
        </w:rPr>
        <w:t> </w:t>
      </w:r>
      <w:r>
        <w:rPr/>
        <w:t>LOS area shall be counted in 1/3 open space required as per regulation 3(c) above.</w:t>
      </w:r>
    </w:p>
    <w:p>
      <w:pPr>
        <w:pStyle w:val="ListParagraph"/>
        <w:numPr>
          <w:ilvl w:val="0"/>
          <w:numId w:val="213"/>
        </w:numPr>
        <w:tabs>
          <w:tab w:pos="1643" w:val="left" w:leader="none"/>
        </w:tabs>
        <w:spacing w:line="360" w:lineRule="auto" w:before="201" w:after="0"/>
        <w:ind w:left="1342" w:right="768" w:firstLine="0"/>
        <w:jc w:val="both"/>
        <w:rPr>
          <w:sz w:val="24"/>
        </w:rPr>
      </w:pPr>
      <w:r>
        <w:rPr>
          <w:sz w:val="24"/>
        </w:rPr>
        <w:t>Out of the total permissible built up area on such plot, at least 2/3</w:t>
      </w:r>
      <w:r>
        <w:rPr>
          <w:position w:val="6"/>
          <w:sz w:val="16"/>
        </w:rPr>
        <w:t>rd</w:t>
      </w:r>
      <w:r>
        <w:rPr>
          <w:spacing w:val="29"/>
          <w:position w:val="6"/>
          <w:sz w:val="16"/>
        </w:rPr>
        <w:t> </w:t>
      </w:r>
      <w:r>
        <w:rPr>
          <w:sz w:val="24"/>
        </w:rPr>
        <w:t>shall be allocated for Exhibition-cum-Convention Centre buildings/ halls, toilet blocks, Organiser's office; protocol lounge; VIP lounge; Press </w:t>
      </w:r>
      <w:r>
        <w:rPr>
          <w:sz w:val="24"/>
        </w:rPr>
        <w:t>lounge; registration areas; pre-function areas; refreshment &amp; snack centres; meeting rooms; business centre; creche;</w:t>
      </w:r>
      <w:r>
        <w:rPr>
          <w:spacing w:val="40"/>
          <w:sz w:val="24"/>
        </w:rPr>
        <w:t> </w:t>
      </w:r>
      <w:r>
        <w:rPr>
          <w:sz w:val="24"/>
        </w:rPr>
        <w:t>meditation rooms; wellness centre;</w:t>
      </w:r>
      <w:r>
        <w:rPr>
          <w:spacing w:val="40"/>
          <w:sz w:val="24"/>
        </w:rPr>
        <w:t> </w:t>
      </w:r>
      <w:r>
        <w:rPr>
          <w:sz w:val="24"/>
        </w:rPr>
        <w:t>bank &amp; forex</w:t>
      </w:r>
      <w:r>
        <w:rPr>
          <w:spacing w:val="40"/>
          <w:sz w:val="24"/>
        </w:rPr>
        <w:t> </w:t>
      </w:r>
      <w:r>
        <w:rPr>
          <w:sz w:val="24"/>
        </w:rPr>
        <w:t>service</w:t>
      </w:r>
      <w:r>
        <w:rPr>
          <w:spacing w:val="40"/>
          <w:sz w:val="24"/>
        </w:rPr>
        <w:t> </w:t>
      </w:r>
      <w:r>
        <w:rPr>
          <w:sz w:val="24"/>
        </w:rPr>
        <w:t>counters;</w:t>
      </w:r>
      <w:r>
        <w:rPr>
          <w:spacing w:val="40"/>
          <w:sz w:val="24"/>
        </w:rPr>
        <w:t> </w:t>
      </w:r>
      <w:r>
        <w:rPr>
          <w:sz w:val="24"/>
        </w:rPr>
        <w:t>surveillance</w:t>
      </w:r>
      <w:r>
        <w:rPr>
          <w:spacing w:val="40"/>
          <w:sz w:val="24"/>
        </w:rPr>
        <w:t> </w:t>
      </w:r>
      <w:r>
        <w:rPr>
          <w:sz w:val="24"/>
        </w:rPr>
        <w:t>&amp;</w:t>
      </w:r>
      <w:r>
        <w:rPr>
          <w:spacing w:val="40"/>
          <w:sz w:val="24"/>
        </w:rPr>
        <w:t> </w:t>
      </w:r>
      <w:r>
        <w:rPr>
          <w:sz w:val="24"/>
        </w:rPr>
        <w:t>security</w:t>
      </w:r>
      <w:r>
        <w:rPr>
          <w:spacing w:val="40"/>
          <w:sz w:val="24"/>
        </w:rPr>
        <w:t> </w:t>
      </w:r>
      <w:r>
        <w:rPr>
          <w:sz w:val="24"/>
        </w:rPr>
        <w:t>rooms;</w:t>
      </w:r>
      <w:r>
        <w:rPr>
          <w:spacing w:val="40"/>
          <w:sz w:val="24"/>
        </w:rPr>
        <w:t> </w:t>
      </w:r>
      <w:r>
        <w:rPr>
          <w:sz w:val="24"/>
        </w:rPr>
        <w:t>service</w:t>
      </w:r>
      <w:r>
        <w:rPr>
          <w:spacing w:val="40"/>
          <w:sz w:val="24"/>
        </w:rPr>
        <w:t> </w:t>
      </w:r>
      <w:r>
        <w:rPr>
          <w:sz w:val="24"/>
        </w:rPr>
        <w:t>contractor's</w:t>
      </w:r>
    </w:p>
    <w:p>
      <w:pPr>
        <w:pStyle w:val="ListParagraph"/>
        <w:spacing w:after="0" w:line="360" w:lineRule="auto"/>
        <w:jc w:val="both"/>
        <w:rPr>
          <w:sz w:val="24"/>
        </w:rPr>
        <w:sectPr>
          <w:pgSz w:w="11910" w:h="16840"/>
          <w:pgMar w:header="1065" w:footer="1194" w:top="1500" w:bottom="1380" w:left="360" w:right="360"/>
        </w:sectPr>
      </w:pPr>
    </w:p>
    <w:p>
      <w:pPr>
        <w:pStyle w:val="BodyText"/>
        <w:spacing w:line="362" w:lineRule="auto" w:before="249"/>
        <w:ind w:left="1342" w:right="771"/>
      </w:pPr>
      <w:r>
        <w:rPr/>
        <w:t>office; audio-visual/ sound room; green room; maintenance workshop; maintenance staff office; strong rooms, first aid and emergency room.</w:t>
      </w:r>
    </w:p>
    <w:p>
      <w:pPr>
        <w:pStyle w:val="ListParagraph"/>
        <w:numPr>
          <w:ilvl w:val="0"/>
          <w:numId w:val="213"/>
        </w:numPr>
        <w:tabs>
          <w:tab w:pos="1596" w:val="left" w:leader="none"/>
        </w:tabs>
        <w:spacing w:line="360" w:lineRule="auto" w:before="196" w:after="0"/>
        <w:ind w:left="1342" w:right="766" w:firstLine="0"/>
        <w:jc w:val="both"/>
        <w:rPr>
          <w:sz w:val="24"/>
        </w:rPr>
      </w:pPr>
      <w:r>
        <w:rPr>
          <w:sz w:val="24"/>
        </w:rPr>
        <w:t>Remaining permissible built up area, not exceeding 1/ 3</w:t>
      </w:r>
      <w:r>
        <w:rPr>
          <w:position w:val="6"/>
          <w:sz w:val="16"/>
        </w:rPr>
        <w:t>rd</w:t>
      </w:r>
      <w:r>
        <w:rPr>
          <w:spacing w:val="29"/>
          <w:position w:val="6"/>
          <w:sz w:val="16"/>
        </w:rPr>
        <w:t> </w:t>
      </w:r>
      <w:r>
        <w:rPr>
          <w:sz w:val="24"/>
        </w:rPr>
        <w:t>of the total built up</w:t>
      </w:r>
      <w:r>
        <w:rPr>
          <w:spacing w:val="-20"/>
          <w:sz w:val="24"/>
        </w:rPr>
        <w:t> </w:t>
      </w:r>
      <w:r>
        <w:rPr>
          <w:sz w:val="24"/>
        </w:rPr>
        <w:t>area,</w:t>
      </w:r>
      <w:r>
        <w:rPr>
          <w:spacing w:val="-19"/>
          <w:sz w:val="24"/>
        </w:rPr>
        <w:t> </w:t>
      </w:r>
      <w:r>
        <w:rPr>
          <w:sz w:val="24"/>
        </w:rPr>
        <w:t>on</w:t>
      </w:r>
      <w:r>
        <w:rPr>
          <w:spacing w:val="-19"/>
          <w:sz w:val="24"/>
        </w:rPr>
        <w:t> </w:t>
      </w:r>
      <w:r>
        <w:rPr>
          <w:sz w:val="24"/>
        </w:rPr>
        <w:t>such</w:t>
      </w:r>
      <w:r>
        <w:rPr>
          <w:spacing w:val="-19"/>
          <w:sz w:val="24"/>
        </w:rPr>
        <w:t> </w:t>
      </w:r>
      <w:r>
        <w:rPr>
          <w:sz w:val="24"/>
        </w:rPr>
        <w:t>plot</w:t>
      </w:r>
      <w:r>
        <w:rPr>
          <w:spacing w:val="-19"/>
          <w:sz w:val="24"/>
        </w:rPr>
        <w:t> </w:t>
      </w:r>
      <w:r>
        <w:rPr>
          <w:sz w:val="24"/>
        </w:rPr>
        <w:t>may</w:t>
      </w:r>
      <w:r>
        <w:rPr>
          <w:spacing w:val="-20"/>
          <w:sz w:val="24"/>
        </w:rPr>
        <w:t> </w:t>
      </w:r>
      <w:r>
        <w:rPr>
          <w:sz w:val="24"/>
        </w:rPr>
        <w:t>be</w:t>
      </w:r>
      <w:r>
        <w:rPr>
          <w:spacing w:val="-19"/>
          <w:sz w:val="24"/>
        </w:rPr>
        <w:t> </w:t>
      </w:r>
      <w:r>
        <w:rPr>
          <w:sz w:val="24"/>
        </w:rPr>
        <w:t>allocated</w:t>
      </w:r>
      <w:r>
        <w:rPr>
          <w:spacing w:val="-19"/>
          <w:sz w:val="24"/>
        </w:rPr>
        <w:t> </w:t>
      </w:r>
      <w:r>
        <w:rPr>
          <w:sz w:val="24"/>
        </w:rPr>
        <w:t>for</w:t>
      </w:r>
      <w:r>
        <w:rPr>
          <w:spacing w:val="-19"/>
          <w:sz w:val="24"/>
        </w:rPr>
        <w:t> </w:t>
      </w:r>
      <w:r>
        <w:rPr>
          <w:sz w:val="24"/>
        </w:rPr>
        <w:t>Support</w:t>
      </w:r>
      <w:r>
        <w:rPr>
          <w:spacing w:val="-19"/>
          <w:sz w:val="24"/>
        </w:rPr>
        <w:t> </w:t>
      </w:r>
      <w:r>
        <w:rPr>
          <w:sz w:val="24"/>
        </w:rPr>
        <w:t>Services</w:t>
      </w:r>
      <w:r>
        <w:rPr>
          <w:spacing w:val="-20"/>
          <w:sz w:val="24"/>
        </w:rPr>
        <w:t> </w:t>
      </w:r>
      <w:r>
        <w:rPr>
          <w:sz w:val="24"/>
        </w:rPr>
        <w:t>as</w:t>
      </w:r>
      <w:r>
        <w:rPr>
          <w:spacing w:val="-19"/>
          <w:sz w:val="24"/>
        </w:rPr>
        <w:t> </w:t>
      </w:r>
      <w:r>
        <w:rPr>
          <w:sz w:val="24"/>
        </w:rPr>
        <w:t>described</w:t>
      </w:r>
      <w:r>
        <w:rPr>
          <w:spacing w:val="-19"/>
          <w:sz w:val="24"/>
        </w:rPr>
        <w:t> </w:t>
      </w:r>
      <w:r>
        <w:rPr>
          <w:sz w:val="24"/>
        </w:rPr>
        <w:t>below in Table-1.</w:t>
      </w:r>
    </w:p>
    <w:p>
      <w:pPr>
        <w:spacing w:before="201"/>
        <w:ind w:left="1548" w:right="978" w:firstLine="0"/>
        <w:jc w:val="center"/>
        <w:rPr>
          <w:b/>
          <w:sz w:val="24"/>
        </w:rPr>
      </w:pPr>
      <w:r>
        <w:rPr>
          <w:b/>
          <w:spacing w:val="-2"/>
          <w:sz w:val="24"/>
          <w:u w:val="single"/>
        </w:rPr>
        <w:t>TABLE</w:t>
      </w:r>
    </w:p>
    <w:p>
      <w:pPr>
        <w:pStyle w:val="BodyText"/>
        <w:spacing w:before="105"/>
        <w:jc w:val="left"/>
        <w:rPr>
          <w:b/>
          <w:sz w:val="20"/>
        </w:rPr>
      </w:pPr>
    </w:p>
    <w:tbl>
      <w:tblPr>
        <w:tblW w:w="0" w:type="auto"/>
        <w:jc w:val="left"/>
        <w:tblInd w:w="1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2"/>
        <w:gridCol w:w="7981"/>
      </w:tblGrid>
      <w:tr>
        <w:trPr>
          <w:trHeight w:val="422" w:hRule="atLeast"/>
        </w:trPr>
        <w:tc>
          <w:tcPr>
            <w:tcW w:w="1082" w:type="dxa"/>
          </w:tcPr>
          <w:p>
            <w:pPr>
              <w:pStyle w:val="TableParagraph"/>
              <w:spacing w:line="281" w:lineRule="exact"/>
              <w:ind w:left="107"/>
              <w:rPr>
                <w:sz w:val="24"/>
              </w:rPr>
            </w:pPr>
            <w:r>
              <w:rPr>
                <w:sz w:val="24"/>
              </w:rPr>
              <w:t>Sr. </w:t>
            </w:r>
            <w:r>
              <w:rPr>
                <w:spacing w:val="-5"/>
                <w:sz w:val="24"/>
              </w:rPr>
              <w:t>No.</w:t>
            </w:r>
          </w:p>
        </w:tc>
        <w:tc>
          <w:tcPr>
            <w:tcW w:w="7981" w:type="dxa"/>
          </w:tcPr>
          <w:p>
            <w:pPr>
              <w:pStyle w:val="TableParagraph"/>
              <w:spacing w:line="281" w:lineRule="exact"/>
              <w:ind w:left="108"/>
              <w:rPr>
                <w:sz w:val="24"/>
              </w:rPr>
            </w:pPr>
            <w:r>
              <w:rPr>
                <w:sz w:val="24"/>
              </w:rPr>
              <w:t>Support </w:t>
            </w:r>
            <w:r>
              <w:rPr>
                <w:spacing w:val="-2"/>
                <w:sz w:val="24"/>
              </w:rPr>
              <w:t>Services</w:t>
            </w:r>
          </w:p>
        </w:tc>
      </w:tr>
      <w:tr>
        <w:trPr>
          <w:trHeight w:val="422" w:hRule="atLeast"/>
        </w:trPr>
        <w:tc>
          <w:tcPr>
            <w:tcW w:w="1082" w:type="dxa"/>
          </w:tcPr>
          <w:p>
            <w:pPr>
              <w:pStyle w:val="TableParagraph"/>
              <w:spacing w:line="281" w:lineRule="exact"/>
              <w:ind w:left="89"/>
              <w:jc w:val="center"/>
              <w:rPr>
                <w:sz w:val="24"/>
              </w:rPr>
            </w:pPr>
            <w:r>
              <w:rPr>
                <w:spacing w:val="-5"/>
                <w:sz w:val="24"/>
              </w:rPr>
              <w:t>1.</w:t>
            </w:r>
          </w:p>
        </w:tc>
        <w:tc>
          <w:tcPr>
            <w:tcW w:w="7981" w:type="dxa"/>
          </w:tcPr>
          <w:p>
            <w:pPr>
              <w:pStyle w:val="TableParagraph"/>
              <w:spacing w:line="281" w:lineRule="exact"/>
              <w:ind w:left="108"/>
              <w:rPr>
                <w:sz w:val="24"/>
              </w:rPr>
            </w:pPr>
            <w:r>
              <w:rPr>
                <w:sz w:val="24"/>
              </w:rPr>
              <w:t>Hotels</w:t>
            </w:r>
            <w:r>
              <w:rPr>
                <w:spacing w:val="-1"/>
                <w:sz w:val="24"/>
              </w:rPr>
              <w:t> </w:t>
            </w:r>
            <w:r>
              <w:rPr>
                <w:sz w:val="24"/>
              </w:rPr>
              <w:t>not less</w:t>
            </w:r>
            <w:r>
              <w:rPr>
                <w:spacing w:val="-1"/>
                <w:sz w:val="24"/>
              </w:rPr>
              <w:t> </w:t>
            </w:r>
            <w:r>
              <w:rPr>
                <w:sz w:val="24"/>
              </w:rPr>
              <w:t>than 3-star</w:t>
            </w:r>
            <w:r>
              <w:rPr>
                <w:spacing w:val="-1"/>
                <w:sz w:val="24"/>
              </w:rPr>
              <w:t> </w:t>
            </w:r>
            <w:r>
              <w:rPr>
                <w:sz w:val="24"/>
              </w:rPr>
              <w:t>category </w:t>
            </w:r>
            <w:r>
              <w:rPr>
                <w:spacing w:val="-2"/>
                <w:sz w:val="24"/>
              </w:rPr>
              <w:t>Hotels</w:t>
            </w:r>
          </w:p>
        </w:tc>
      </w:tr>
      <w:tr>
        <w:trPr>
          <w:trHeight w:val="563" w:hRule="atLeast"/>
        </w:trPr>
        <w:tc>
          <w:tcPr>
            <w:tcW w:w="1082" w:type="dxa"/>
          </w:tcPr>
          <w:p>
            <w:pPr>
              <w:pStyle w:val="TableParagraph"/>
              <w:spacing w:before="1"/>
              <w:ind w:left="89"/>
              <w:jc w:val="center"/>
              <w:rPr>
                <w:sz w:val="24"/>
              </w:rPr>
            </w:pPr>
            <w:r>
              <w:rPr>
                <w:spacing w:val="-5"/>
                <w:sz w:val="24"/>
              </w:rPr>
              <w:t>2.</w:t>
            </w:r>
          </w:p>
        </w:tc>
        <w:tc>
          <w:tcPr>
            <w:tcW w:w="7981" w:type="dxa"/>
          </w:tcPr>
          <w:p>
            <w:pPr>
              <w:pStyle w:val="TableParagraph"/>
              <w:spacing w:line="280" w:lineRule="exact"/>
              <w:ind w:left="108"/>
              <w:rPr>
                <w:sz w:val="24"/>
              </w:rPr>
            </w:pPr>
            <w:r>
              <w:rPr>
                <w:sz w:val="24"/>
              </w:rPr>
              <w:t>Dining</w:t>
            </w:r>
            <w:r>
              <w:rPr>
                <w:spacing w:val="40"/>
                <w:sz w:val="24"/>
              </w:rPr>
              <w:t> </w:t>
            </w:r>
            <w:r>
              <w:rPr>
                <w:sz w:val="24"/>
              </w:rPr>
              <w:t>Areas:</w:t>
            </w:r>
            <w:r>
              <w:rPr>
                <w:spacing w:val="40"/>
                <w:sz w:val="24"/>
              </w:rPr>
              <w:t> </w:t>
            </w:r>
            <w:r>
              <w:rPr>
                <w:sz w:val="24"/>
              </w:rPr>
              <w:t>Food</w:t>
            </w:r>
            <w:r>
              <w:rPr>
                <w:spacing w:val="40"/>
                <w:sz w:val="24"/>
              </w:rPr>
              <w:t> </w:t>
            </w:r>
            <w:r>
              <w:rPr>
                <w:sz w:val="24"/>
              </w:rPr>
              <w:t>Courts,</w:t>
            </w:r>
            <w:r>
              <w:rPr>
                <w:spacing w:val="40"/>
                <w:sz w:val="24"/>
              </w:rPr>
              <w:t> </w:t>
            </w:r>
            <w:r>
              <w:rPr>
                <w:sz w:val="24"/>
              </w:rPr>
              <w:t>Cafeteria,</w:t>
            </w:r>
            <w:r>
              <w:rPr>
                <w:spacing w:val="40"/>
                <w:sz w:val="24"/>
              </w:rPr>
              <w:t> </w:t>
            </w:r>
            <w:r>
              <w:rPr>
                <w:sz w:val="24"/>
              </w:rPr>
              <w:t>Fine</w:t>
            </w:r>
            <w:r>
              <w:rPr>
                <w:spacing w:val="40"/>
                <w:sz w:val="24"/>
              </w:rPr>
              <w:t> </w:t>
            </w:r>
            <w:r>
              <w:rPr>
                <w:sz w:val="24"/>
              </w:rPr>
              <w:t>Dining</w:t>
            </w:r>
            <w:r>
              <w:rPr>
                <w:spacing w:val="40"/>
                <w:sz w:val="24"/>
              </w:rPr>
              <w:t> </w:t>
            </w:r>
            <w:r>
              <w:rPr>
                <w:sz w:val="24"/>
              </w:rPr>
              <w:t>Restaurants, Restaurants &amp; Bar, Convenience Store</w:t>
            </w:r>
          </w:p>
        </w:tc>
      </w:tr>
      <w:tr>
        <w:trPr>
          <w:trHeight w:val="563" w:hRule="atLeast"/>
        </w:trPr>
        <w:tc>
          <w:tcPr>
            <w:tcW w:w="1082" w:type="dxa"/>
          </w:tcPr>
          <w:p>
            <w:pPr>
              <w:pStyle w:val="TableParagraph"/>
              <w:spacing w:before="1"/>
              <w:ind w:left="89"/>
              <w:jc w:val="center"/>
              <w:rPr>
                <w:sz w:val="24"/>
              </w:rPr>
            </w:pPr>
            <w:r>
              <w:rPr>
                <w:spacing w:val="-5"/>
                <w:sz w:val="24"/>
              </w:rPr>
              <w:t>3.</w:t>
            </w:r>
          </w:p>
        </w:tc>
        <w:tc>
          <w:tcPr>
            <w:tcW w:w="7981" w:type="dxa"/>
          </w:tcPr>
          <w:p>
            <w:pPr>
              <w:pStyle w:val="TableParagraph"/>
              <w:spacing w:line="280" w:lineRule="exact"/>
              <w:ind w:left="108"/>
              <w:rPr>
                <w:sz w:val="24"/>
              </w:rPr>
            </w:pPr>
            <w:r>
              <w:rPr>
                <w:sz w:val="24"/>
              </w:rPr>
              <w:t>Recreation Areas: Indoor children's play area, Indoor games area, Fitness center</w:t>
            </w:r>
          </w:p>
        </w:tc>
      </w:tr>
      <w:tr>
        <w:trPr>
          <w:trHeight w:val="424" w:hRule="atLeast"/>
        </w:trPr>
        <w:tc>
          <w:tcPr>
            <w:tcW w:w="1082" w:type="dxa"/>
          </w:tcPr>
          <w:p>
            <w:pPr>
              <w:pStyle w:val="TableParagraph"/>
              <w:spacing w:line="281" w:lineRule="exact"/>
              <w:ind w:left="89"/>
              <w:jc w:val="center"/>
              <w:rPr>
                <w:sz w:val="24"/>
              </w:rPr>
            </w:pPr>
            <w:r>
              <w:rPr>
                <w:spacing w:val="-5"/>
                <w:sz w:val="24"/>
              </w:rPr>
              <w:t>4.</w:t>
            </w:r>
          </w:p>
        </w:tc>
        <w:tc>
          <w:tcPr>
            <w:tcW w:w="7981" w:type="dxa"/>
          </w:tcPr>
          <w:p>
            <w:pPr>
              <w:pStyle w:val="TableParagraph"/>
              <w:spacing w:line="281" w:lineRule="exact"/>
              <w:ind w:left="108"/>
              <w:rPr>
                <w:sz w:val="24"/>
              </w:rPr>
            </w:pPr>
            <w:r>
              <w:rPr>
                <w:sz w:val="24"/>
              </w:rPr>
              <w:t>Fire </w:t>
            </w:r>
            <w:r>
              <w:rPr>
                <w:spacing w:val="-2"/>
                <w:sz w:val="24"/>
              </w:rPr>
              <w:t>Services</w:t>
            </w:r>
          </w:p>
        </w:tc>
      </w:tr>
      <w:tr>
        <w:trPr>
          <w:trHeight w:val="561" w:hRule="atLeast"/>
        </w:trPr>
        <w:tc>
          <w:tcPr>
            <w:tcW w:w="1082" w:type="dxa"/>
          </w:tcPr>
          <w:p>
            <w:pPr>
              <w:pStyle w:val="TableParagraph"/>
              <w:spacing w:line="281" w:lineRule="exact"/>
              <w:ind w:left="89"/>
              <w:jc w:val="center"/>
              <w:rPr>
                <w:sz w:val="24"/>
              </w:rPr>
            </w:pPr>
            <w:r>
              <w:rPr>
                <w:spacing w:val="-5"/>
                <w:sz w:val="24"/>
              </w:rPr>
              <w:t>5.</w:t>
            </w:r>
          </w:p>
        </w:tc>
        <w:tc>
          <w:tcPr>
            <w:tcW w:w="7981" w:type="dxa"/>
          </w:tcPr>
          <w:p>
            <w:pPr>
              <w:pStyle w:val="TableParagraph"/>
              <w:spacing w:line="280" w:lineRule="exact"/>
              <w:ind w:left="108"/>
              <w:rPr>
                <w:sz w:val="24"/>
              </w:rPr>
            </w:pPr>
            <w:r>
              <w:rPr>
                <w:sz w:val="24"/>
              </w:rPr>
              <w:t>Health</w:t>
            </w:r>
            <w:r>
              <w:rPr>
                <w:spacing w:val="-17"/>
                <w:sz w:val="24"/>
              </w:rPr>
              <w:t> </w:t>
            </w:r>
            <w:r>
              <w:rPr>
                <w:sz w:val="24"/>
              </w:rPr>
              <w:t>post</w:t>
            </w:r>
            <w:r>
              <w:rPr>
                <w:spacing w:val="-17"/>
                <w:sz w:val="24"/>
              </w:rPr>
              <w:t> </w:t>
            </w:r>
            <w:r>
              <w:rPr>
                <w:sz w:val="24"/>
              </w:rPr>
              <w:t>for</w:t>
            </w:r>
            <w:r>
              <w:rPr>
                <w:spacing w:val="-17"/>
                <w:sz w:val="24"/>
              </w:rPr>
              <w:t> </w:t>
            </w:r>
            <w:r>
              <w:rPr>
                <w:sz w:val="24"/>
              </w:rPr>
              <w:t>emergency</w:t>
            </w:r>
            <w:r>
              <w:rPr>
                <w:spacing w:val="-17"/>
                <w:sz w:val="24"/>
              </w:rPr>
              <w:t> </w:t>
            </w:r>
            <w:r>
              <w:rPr>
                <w:sz w:val="24"/>
              </w:rPr>
              <w:t>services</w:t>
            </w:r>
            <w:r>
              <w:rPr>
                <w:spacing w:val="-18"/>
                <w:sz w:val="24"/>
              </w:rPr>
              <w:t> </w:t>
            </w:r>
            <w:r>
              <w:rPr>
                <w:sz w:val="24"/>
              </w:rPr>
              <w:t>with</w:t>
            </w:r>
            <w:r>
              <w:rPr>
                <w:spacing w:val="-17"/>
                <w:sz w:val="24"/>
              </w:rPr>
              <w:t> </w:t>
            </w:r>
            <w:r>
              <w:rPr>
                <w:sz w:val="24"/>
              </w:rPr>
              <w:t>ambulance</w:t>
            </w:r>
            <w:r>
              <w:rPr>
                <w:spacing w:val="-16"/>
                <w:sz w:val="24"/>
              </w:rPr>
              <w:t> </w:t>
            </w:r>
            <w:r>
              <w:rPr>
                <w:sz w:val="24"/>
              </w:rPr>
              <w:t>facility</w:t>
            </w:r>
            <w:r>
              <w:rPr>
                <w:spacing w:val="-17"/>
                <w:sz w:val="24"/>
              </w:rPr>
              <w:t> </w:t>
            </w:r>
            <w:r>
              <w:rPr>
                <w:sz w:val="24"/>
              </w:rPr>
              <w:t>shall</w:t>
            </w:r>
            <w:r>
              <w:rPr>
                <w:spacing w:val="-17"/>
                <w:sz w:val="24"/>
              </w:rPr>
              <w:t> </w:t>
            </w:r>
            <w:r>
              <w:rPr>
                <w:sz w:val="24"/>
              </w:rPr>
              <w:t>be </w:t>
            </w:r>
            <w:r>
              <w:rPr>
                <w:spacing w:val="-2"/>
                <w:sz w:val="24"/>
              </w:rPr>
              <w:t>provided.</w:t>
            </w:r>
          </w:p>
        </w:tc>
      </w:tr>
      <w:tr>
        <w:trPr>
          <w:trHeight w:val="563" w:hRule="atLeast"/>
        </w:trPr>
        <w:tc>
          <w:tcPr>
            <w:tcW w:w="1082" w:type="dxa"/>
          </w:tcPr>
          <w:p>
            <w:pPr>
              <w:pStyle w:val="TableParagraph"/>
              <w:spacing w:before="1"/>
              <w:ind w:left="89"/>
              <w:jc w:val="center"/>
              <w:rPr>
                <w:sz w:val="24"/>
              </w:rPr>
            </w:pPr>
            <w:r>
              <w:rPr>
                <w:spacing w:val="-5"/>
                <w:sz w:val="24"/>
              </w:rPr>
              <w:t>6.</w:t>
            </w:r>
          </w:p>
        </w:tc>
        <w:tc>
          <w:tcPr>
            <w:tcW w:w="7981" w:type="dxa"/>
          </w:tcPr>
          <w:p>
            <w:pPr>
              <w:pStyle w:val="TableParagraph"/>
              <w:spacing w:line="280" w:lineRule="exact"/>
              <w:ind w:left="108"/>
              <w:rPr>
                <w:sz w:val="24"/>
              </w:rPr>
            </w:pPr>
            <w:r>
              <w:rPr>
                <w:sz w:val="24"/>
              </w:rPr>
              <w:t>Staff quarters for minimum 25 tenements per 5 Ha. Each having not less than 25 Sq.mtr. BUA</w:t>
            </w:r>
          </w:p>
        </w:tc>
      </w:tr>
      <w:tr>
        <w:trPr>
          <w:trHeight w:val="563" w:hRule="atLeast"/>
        </w:trPr>
        <w:tc>
          <w:tcPr>
            <w:tcW w:w="1082" w:type="dxa"/>
          </w:tcPr>
          <w:p>
            <w:pPr>
              <w:pStyle w:val="TableParagraph"/>
              <w:spacing w:before="1"/>
              <w:ind w:left="89"/>
              <w:jc w:val="center"/>
              <w:rPr>
                <w:sz w:val="24"/>
              </w:rPr>
            </w:pPr>
            <w:r>
              <w:rPr>
                <w:spacing w:val="-5"/>
                <w:sz w:val="24"/>
              </w:rPr>
              <w:t>7.</w:t>
            </w:r>
          </w:p>
        </w:tc>
        <w:tc>
          <w:tcPr>
            <w:tcW w:w="7981" w:type="dxa"/>
          </w:tcPr>
          <w:p>
            <w:pPr>
              <w:pStyle w:val="TableParagraph"/>
              <w:spacing w:line="282" w:lineRule="exact"/>
              <w:ind w:left="108"/>
              <w:rPr>
                <w:sz w:val="24"/>
              </w:rPr>
            </w:pPr>
            <w:r>
              <w:rPr>
                <w:sz w:val="24"/>
              </w:rPr>
              <w:t>Space</w:t>
            </w:r>
            <w:r>
              <w:rPr>
                <w:spacing w:val="-20"/>
                <w:sz w:val="24"/>
              </w:rPr>
              <w:t> </w:t>
            </w:r>
            <w:r>
              <w:rPr>
                <w:sz w:val="24"/>
              </w:rPr>
              <w:t>for</w:t>
            </w:r>
            <w:r>
              <w:rPr>
                <w:spacing w:val="-19"/>
                <w:sz w:val="24"/>
              </w:rPr>
              <w:t> </w:t>
            </w:r>
            <w:r>
              <w:rPr>
                <w:sz w:val="24"/>
              </w:rPr>
              <w:t>Police</w:t>
            </w:r>
            <w:r>
              <w:rPr>
                <w:spacing w:val="-19"/>
                <w:sz w:val="24"/>
              </w:rPr>
              <w:t> </w:t>
            </w:r>
            <w:r>
              <w:rPr>
                <w:sz w:val="24"/>
              </w:rPr>
              <w:t>Chowky</w:t>
            </w:r>
            <w:r>
              <w:rPr>
                <w:spacing w:val="-19"/>
                <w:sz w:val="24"/>
              </w:rPr>
              <w:t> </w:t>
            </w:r>
            <w:r>
              <w:rPr>
                <w:sz w:val="24"/>
              </w:rPr>
              <w:t>of</w:t>
            </w:r>
            <w:r>
              <w:rPr>
                <w:spacing w:val="-19"/>
                <w:sz w:val="24"/>
              </w:rPr>
              <w:t> </w:t>
            </w:r>
            <w:r>
              <w:rPr>
                <w:sz w:val="24"/>
              </w:rPr>
              <w:t>minimum</w:t>
            </w:r>
            <w:r>
              <w:rPr>
                <w:spacing w:val="-20"/>
                <w:sz w:val="24"/>
              </w:rPr>
              <w:t> </w:t>
            </w:r>
            <w:r>
              <w:rPr>
                <w:sz w:val="24"/>
              </w:rPr>
              <w:t>100</w:t>
            </w:r>
            <w:r>
              <w:rPr>
                <w:spacing w:val="-20"/>
                <w:sz w:val="24"/>
              </w:rPr>
              <w:t> </w:t>
            </w:r>
            <w:r>
              <w:rPr>
                <w:sz w:val="24"/>
              </w:rPr>
              <w:t>sq.</w:t>
            </w:r>
            <w:r>
              <w:rPr>
                <w:spacing w:val="-19"/>
                <w:sz w:val="24"/>
              </w:rPr>
              <w:t> </w:t>
            </w:r>
            <w:r>
              <w:rPr>
                <w:sz w:val="24"/>
              </w:rPr>
              <w:t>mtr.</w:t>
            </w:r>
            <w:r>
              <w:rPr>
                <w:spacing w:val="-19"/>
                <w:sz w:val="24"/>
              </w:rPr>
              <w:t> </w:t>
            </w:r>
            <w:r>
              <w:rPr>
                <w:sz w:val="24"/>
              </w:rPr>
              <w:t>shall</w:t>
            </w:r>
            <w:r>
              <w:rPr>
                <w:spacing w:val="-19"/>
                <w:sz w:val="24"/>
              </w:rPr>
              <w:t> </w:t>
            </w:r>
            <w:r>
              <w:rPr>
                <w:sz w:val="24"/>
              </w:rPr>
              <w:t>be</w:t>
            </w:r>
            <w:r>
              <w:rPr>
                <w:spacing w:val="-20"/>
                <w:sz w:val="24"/>
              </w:rPr>
              <w:t> </w:t>
            </w:r>
            <w:r>
              <w:rPr>
                <w:sz w:val="24"/>
              </w:rPr>
              <w:t>provided as per requirement of Police Department.</w:t>
            </w:r>
          </w:p>
        </w:tc>
      </w:tr>
      <w:tr>
        <w:trPr>
          <w:trHeight w:val="563" w:hRule="atLeast"/>
        </w:trPr>
        <w:tc>
          <w:tcPr>
            <w:tcW w:w="1082" w:type="dxa"/>
          </w:tcPr>
          <w:p>
            <w:pPr>
              <w:pStyle w:val="TableParagraph"/>
              <w:spacing w:line="281" w:lineRule="exact"/>
              <w:ind w:left="89"/>
              <w:jc w:val="center"/>
              <w:rPr>
                <w:sz w:val="24"/>
              </w:rPr>
            </w:pPr>
            <w:r>
              <w:rPr>
                <w:spacing w:val="-5"/>
                <w:sz w:val="24"/>
              </w:rPr>
              <w:t>8.</w:t>
            </w:r>
          </w:p>
        </w:tc>
        <w:tc>
          <w:tcPr>
            <w:tcW w:w="7981" w:type="dxa"/>
          </w:tcPr>
          <w:p>
            <w:pPr>
              <w:pStyle w:val="TableParagraph"/>
              <w:spacing w:line="281" w:lineRule="exact"/>
              <w:ind w:left="108"/>
              <w:rPr>
                <w:sz w:val="24"/>
              </w:rPr>
            </w:pPr>
            <w:r>
              <w:rPr>
                <w:sz w:val="24"/>
              </w:rPr>
              <w:t>Sewerage</w:t>
            </w:r>
            <w:r>
              <w:rPr>
                <w:spacing w:val="10"/>
                <w:sz w:val="24"/>
              </w:rPr>
              <w:t> </w:t>
            </w:r>
            <w:r>
              <w:rPr>
                <w:sz w:val="24"/>
              </w:rPr>
              <w:t>treatment</w:t>
            </w:r>
            <w:r>
              <w:rPr>
                <w:spacing w:val="11"/>
                <w:sz w:val="24"/>
              </w:rPr>
              <w:t> </w:t>
            </w:r>
            <w:r>
              <w:rPr>
                <w:sz w:val="24"/>
              </w:rPr>
              <w:t>system</w:t>
            </w:r>
            <w:r>
              <w:rPr>
                <w:spacing w:val="10"/>
                <w:sz w:val="24"/>
              </w:rPr>
              <w:t> </w:t>
            </w:r>
            <w:r>
              <w:rPr>
                <w:sz w:val="24"/>
              </w:rPr>
              <w:t>as</w:t>
            </w:r>
            <w:r>
              <w:rPr>
                <w:spacing w:val="10"/>
                <w:sz w:val="24"/>
              </w:rPr>
              <w:t> </w:t>
            </w:r>
            <w:r>
              <w:rPr>
                <w:sz w:val="24"/>
              </w:rPr>
              <w:t>per</w:t>
            </w:r>
            <w:r>
              <w:rPr>
                <w:spacing w:val="10"/>
                <w:sz w:val="24"/>
              </w:rPr>
              <w:t> </w:t>
            </w:r>
            <w:r>
              <w:rPr>
                <w:sz w:val="24"/>
              </w:rPr>
              <w:t>design</w:t>
            </w:r>
            <w:r>
              <w:rPr>
                <w:spacing w:val="10"/>
                <w:sz w:val="24"/>
              </w:rPr>
              <w:t> </w:t>
            </w:r>
            <w:r>
              <w:rPr>
                <w:sz w:val="24"/>
              </w:rPr>
              <w:t>and</w:t>
            </w:r>
            <w:r>
              <w:rPr>
                <w:spacing w:val="10"/>
                <w:sz w:val="24"/>
              </w:rPr>
              <w:t> </w:t>
            </w:r>
            <w:r>
              <w:rPr>
                <w:sz w:val="24"/>
              </w:rPr>
              <w:t>drawings</w:t>
            </w:r>
            <w:r>
              <w:rPr>
                <w:spacing w:val="11"/>
                <w:sz w:val="24"/>
              </w:rPr>
              <w:t> </w:t>
            </w:r>
            <w:r>
              <w:rPr>
                <w:spacing w:val="-2"/>
                <w:sz w:val="24"/>
              </w:rPr>
              <w:t>approved</w:t>
            </w:r>
          </w:p>
          <w:p>
            <w:pPr>
              <w:pStyle w:val="TableParagraph"/>
              <w:spacing w:line="261" w:lineRule="exact" w:before="1"/>
              <w:ind w:left="108"/>
              <w:rPr>
                <w:sz w:val="24"/>
              </w:rPr>
            </w:pPr>
            <w:r>
              <w:rPr>
                <w:sz w:val="24"/>
              </w:rPr>
              <w:t>by </w:t>
            </w:r>
            <w:r>
              <w:rPr>
                <w:spacing w:val="-2"/>
                <w:sz w:val="24"/>
              </w:rPr>
              <w:t>MCGM.</w:t>
            </w:r>
          </w:p>
        </w:tc>
      </w:tr>
      <w:tr>
        <w:trPr>
          <w:trHeight w:val="424" w:hRule="atLeast"/>
        </w:trPr>
        <w:tc>
          <w:tcPr>
            <w:tcW w:w="1082" w:type="dxa"/>
          </w:tcPr>
          <w:p>
            <w:pPr>
              <w:pStyle w:val="TableParagraph"/>
              <w:spacing w:line="281" w:lineRule="exact"/>
              <w:ind w:left="89"/>
              <w:jc w:val="center"/>
              <w:rPr>
                <w:sz w:val="24"/>
              </w:rPr>
            </w:pPr>
            <w:r>
              <w:rPr>
                <w:spacing w:val="-5"/>
                <w:sz w:val="24"/>
              </w:rPr>
              <w:t>9.</w:t>
            </w:r>
          </w:p>
        </w:tc>
        <w:tc>
          <w:tcPr>
            <w:tcW w:w="7981" w:type="dxa"/>
          </w:tcPr>
          <w:p>
            <w:pPr>
              <w:pStyle w:val="TableParagraph"/>
              <w:spacing w:line="281" w:lineRule="exact"/>
              <w:ind w:left="108"/>
              <w:rPr>
                <w:sz w:val="24"/>
              </w:rPr>
            </w:pPr>
            <w:r>
              <w:rPr>
                <w:sz w:val="24"/>
              </w:rPr>
              <w:t>Rain</w:t>
            </w:r>
            <w:r>
              <w:rPr>
                <w:spacing w:val="-1"/>
                <w:sz w:val="24"/>
              </w:rPr>
              <w:t> </w:t>
            </w:r>
            <w:r>
              <w:rPr>
                <w:sz w:val="24"/>
              </w:rPr>
              <w:t>water harvesting</w:t>
            </w:r>
            <w:r>
              <w:rPr>
                <w:spacing w:val="-1"/>
                <w:sz w:val="24"/>
              </w:rPr>
              <w:t> </w:t>
            </w:r>
            <w:r>
              <w:rPr>
                <w:sz w:val="24"/>
              </w:rPr>
              <w:t>plant shall</w:t>
            </w:r>
            <w:r>
              <w:rPr>
                <w:spacing w:val="-1"/>
                <w:sz w:val="24"/>
              </w:rPr>
              <w:t> </w:t>
            </w:r>
            <w:r>
              <w:rPr>
                <w:sz w:val="24"/>
              </w:rPr>
              <w:t>be </w:t>
            </w:r>
            <w:r>
              <w:rPr>
                <w:spacing w:val="-2"/>
                <w:sz w:val="24"/>
              </w:rPr>
              <w:t>provided.</w:t>
            </w:r>
          </w:p>
        </w:tc>
      </w:tr>
      <w:tr>
        <w:trPr>
          <w:trHeight w:val="561" w:hRule="atLeast"/>
        </w:trPr>
        <w:tc>
          <w:tcPr>
            <w:tcW w:w="1082" w:type="dxa"/>
          </w:tcPr>
          <w:p>
            <w:pPr>
              <w:pStyle w:val="TableParagraph"/>
              <w:spacing w:line="281" w:lineRule="exact"/>
              <w:ind w:left="467"/>
              <w:rPr>
                <w:sz w:val="24"/>
              </w:rPr>
            </w:pPr>
            <w:r>
              <w:rPr>
                <w:spacing w:val="-5"/>
                <w:sz w:val="24"/>
              </w:rPr>
              <w:t>10.</w:t>
            </w:r>
          </w:p>
        </w:tc>
        <w:tc>
          <w:tcPr>
            <w:tcW w:w="7981" w:type="dxa"/>
          </w:tcPr>
          <w:p>
            <w:pPr>
              <w:pStyle w:val="TableParagraph"/>
              <w:spacing w:line="280" w:lineRule="exact"/>
              <w:ind w:left="108"/>
              <w:rPr>
                <w:sz w:val="24"/>
              </w:rPr>
            </w:pPr>
            <w:r>
              <w:rPr>
                <w:sz w:val="24"/>
              </w:rPr>
              <w:t>Special</w:t>
            </w:r>
            <w:r>
              <w:rPr>
                <w:spacing w:val="34"/>
                <w:sz w:val="24"/>
              </w:rPr>
              <w:t> </w:t>
            </w:r>
            <w:r>
              <w:rPr>
                <w:sz w:val="24"/>
              </w:rPr>
              <w:t>provisions</w:t>
            </w:r>
            <w:r>
              <w:rPr>
                <w:spacing w:val="34"/>
                <w:sz w:val="24"/>
              </w:rPr>
              <w:t> </w:t>
            </w:r>
            <w:r>
              <w:rPr>
                <w:sz w:val="24"/>
              </w:rPr>
              <w:t>for</w:t>
            </w:r>
            <w:r>
              <w:rPr>
                <w:spacing w:val="34"/>
                <w:sz w:val="24"/>
              </w:rPr>
              <w:t> </w:t>
            </w:r>
            <w:r>
              <w:rPr>
                <w:sz w:val="24"/>
              </w:rPr>
              <w:t>Drinking</w:t>
            </w:r>
            <w:r>
              <w:rPr>
                <w:spacing w:val="34"/>
                <w:sz w:val="24"/>
              </w:rPr>
              <w:t> </w:t>
            </w:r>
            <w:r>
              <w:rPr>
                <w:sz w:val="24"/>
              </w:rPr>
              <w:t>water</w:t>
            </w:r>
            <w:r>
              <w:rPr>
                <w:spacing w:val="34"/>
                <w:sz w:val="24"/>
              </w:rPr>
              <w:t> </w:t>
            </w:r>
            <w:r>
              <w:rPr>
                <w:sz w:val="24"/>
              </w:rPr>
              <w:t>&amp;</w:t>
            </w:r>
            <w:r>
              <w:rPr>
                <w:spacing w:val="34"/>
                <w:sz w:val="24"/>
              </w:rPr>
              <w:t> </w:t>
            </w:r>
            <w:r>
              <w:rPr>
                <w:sz w:val="24"/>
              </w:rPr>
              <w:t>PSC</w:t>
            </w:r>
            <w:r>
              <w:rPr>
                <w:spacing w:val="34"/>
                <w:sz w:val="24"/>
              </w:rPr>
              <w:t> </w:t>
            </w:r>
            <w:r>
              <w:rPr>
                <w:sz w:val="24"/>
              </w:rPr>
              <w:t>blocks</w:t>
            </w:r>
            <w:r>
              <w:rPr>
                <w:spacing w:val="34"/>
                <w:sz w:val="24"/>
              </w:rPr>
              <w:t> </w:t>
            </w:r>
            <w:r>
              <w:rPr>
                <w:sz w:val="24"/>
              </w:rPr>
              <w:t>for</w:t>
            </w:r>
            <w:r>
              <w:rPr>
                <w:spacing w:val="34"/>
                <w:sz w:val="24"/>
              </w:rPr>
              <w:t> </w:t>
            </w:r>
            <w:r>
              <w:rPr>
                <w:sz w:val="24"/>
              </w:rPr>
              <w:t>gents</w:t>
            </w:r>
            <w:r>
              <w:rPr>
                <w:spacing w:val="34"/>
                <w:sz w:val="24"/>
              </w:rPr>
              <w:t> </w:t>
            </w:r>
            <w:r>
              <w:rPr>
                <w:sz w:val="24"/>
              </w:rPr>
              <w:t>&amp; ladies shall be provided.</w:t>
            </w:r>
          </w:p>
        </w:tc>
      </w:tr>
      <w:tr>
        <w:trPr>
          <w:trHeight w:val="565" w:hRule="atLeast"/>
        </w:trPr>
        <w:tc>
          <w:tcPr>
            <w:tcW w:w="1082" w:type="dxa"/>
          </w:tcPr>
          <w:p>
            <w:pPr>
              <w:pStyle w:val="TableParagraph"/>
              <w:spacing w:before="1"/>
              <w:ind w:left="467"/>
              <w:rPr>
                <w:sz w:val="24"/>
              </w:rPr>
            </w:pPr>
            <w:r>
              <w:rPr>
                <w:spacing w:val="-5"/>
                <w:sz w:val="24"/>
              </w:rPr>
              <w:t>11.</w:t>
            </w:r>
          </w:p>
        </w:tc>
        <w:tc>
          <w:tcPr>
            <w:tcW w:w="7981" w:type="dxa"/>
          </w:tcPr>
          <w:p>
            <w:pPr>
              <w:pStyle w:val="TableParagraph"/>
              <w:spacing w:line="280" w:lineRule="exact"/>
              <w:ind w:left="108"/>
              <w:rPr>
                <w:sz w:val="24"/>
              </w:rPr>
            </w:pPr>
            <w:r>
              <w:rPr>
                <w:sz w:val="24"/>
              </w:rPr>
              <w:t>Dedicated</w:t>
            </w:r>
            <w:r>
              <w:rPr>
                <w:spacing w:val="-17"/>
                <w:sz w:val="24"/>
              </w:rPr>
              <w:t> </w:t>
            </w:r>
            <w:r>
              <w:rPr>
                <w:sz w:val="24"/>
              </w:rPr>
              <w:t>Electric</w:t>
            </w:r>
            <w:r>
              <w:rPr>
                <w:spacing w:val="-17"/>
                <w:sz w:val="24"/>
              </w:rPr>
              <w:t> </w:t>
            </w:r>
            <w:r>
              <w:rPr>
                <w:sz w:val="24"/>
              </w:rPr>
              <w:t>Sub-station</w:t>
            </w:r>
            <w:r>
              <w:rPr>
                <w:spacing w:val="-17"/>
                <w:sz w:val="24"/>
              </w:rPr>
              <w:t> </w:t>
            </w:r>
            <w:r>
              <w:rPr>
                <w:sz w:val="24"/>
              </w:rPr>
              <w:t>as</w:t>
            </w:r>
            <w:r>
              <w:rPr>
                <w:spacing w:val="-17"/>
                <w:sz w:val="24"/>
              </w:rPr>
              <w:t> </w:t>
            </w:r>
            <w:r>
              <w:rPr>
                <w:sz w:val="24"/>
              </w:rPr>
              <w:t>per</w:t>
            </w:r>
            <w:r>
              <w:rPr>
                <w:spacing w:val="-17"/>
                <w:sz w:val="24"/>
              </w:rPr>
              <w:t> </w:t>
            </w:r>
            <w:r>
              <w:rPr>
                <w:sz w:val="24"/>
              </w:rPr>
              <w:t>requirement</w:t>
            </w:r>
            <w:r>
              <w:rPr>
                <w:spacing w:val="-17"/>
                <w:sz w:val="24"/>
              </w:rPr>
              <w:t> </w:t>
            </w:r>
            <w:r>
              <w:rPr>
                <w:sz w:val="24"/>
              </w:rPr>
              <w:t>of</w:t>
            </w:r>
            <w:r>
              <w:rPr>
                <w:spacing w:val="-17"/>
                <w:sz w:val="24"/>
              </w:rPr>
              <w:t> </w:t>
            </w:r>
            <w:r>
              <w:rPr>
                <w:sz w:val="24"/>
              </w:rPr>
              <w:t>Power</w:t>
            </w:r>
            <w:r>
              <w:rPr>
                <w:spacing w:val="-17"/>
                <w:sz w:val="24"/>
              </w:rPr>
              <w:t> </w:t>
            </w:r>
            <w:r>
              <w:rPr>
                <w:sz w:val="24"/>
              </w:rPr>
              <w:t>Supply Company, shall be provided</w:t>
            </w:r>
          </w:p>
        </w:tc>
      </w:tr>
    </w:tbl>
    <w:p>
      <w:pPr>
        <w:pStyle w:val="BodyText"/>
        <w:spacing w:line="360" w:lineRule="auto" w:before="5"/>
        <w:ind w:left="1342" w:right="767"/>
      </w:pPr>
      <w:r>
        <w:rPr/>
        <w:t>Note:</w:t>
      </w:r>
      <w:r>
        <w:rPr>
          <w:spacing w:val="-16"/>
        </w:rPr>
        <w:t> </w:t>
      </w:r>
      <w:r>
        <w:rPr/>
        <w:t>Regulation</w:t>
      </w:r>
      <w:r>
        <w:rPr>
          <w:spacing w:val="-16"/>
        </w:rPr>
        <w:t> </w:t>
      </w:r>
      <w:r>
        <w:rPr/>
        <w:t>33(4)</w:t>
      </w:r>
      <w:r>
        <w:rPr>
          <w:spacing w:val="-16"/>
        </w:rPr>
        <w:t> </w:t>
      </w:r>
      <w:r>
        <w:rPr/>
        <w:t>pertaining</w:t>
      </w:r>
      <w:r>
        <w:rPr>
          <w:spacing w:val="-16"/>
        </w:rPr>
        <w:t> </w:t>
      </w:r>
      <w:r>
        <w:rPr/>
        <w:t>to</w:t>
      </w:r>
      <w:r>
        <w:rPr>
          <w:spacing w:val="-16"/>
        </w:rPr>
        <w:t> </w:t>
      </w:r>
      <w:r>
        <w:rPr/>
        <w:t>hotels</w:t>
      </w:r>
      <w:r>
        <w:rPr>
          <w:spacing w:val="-16"/>
        </w:rPr>
        <w:t> </w:t>
      </w:r>
      <w:r>
        <w:rPr/>
        <w:t>shall</w:t>
      </w:r>
      <w:r>
        <w:rPr>
          <w:spacing w:val="-16"/>
        </w:rPr>
        <w:t> </w:t>
      </w:r>
      <w:r>
        <w:rPr/>
        <w:t>not</w:t>
      </w:r>
      <w:r>
        <w:rPr>
          <w:spacing w:val="-16"/>
        </w:rPr>
        <w:t> </w:t>
      </w:r>
      <w:r>
        <w:rPr/>
        <w:t>be</w:t>
      </w:r>
      <w:r>
        <w:rPr>
          <w:spacing w:val="-16"/>
        </w:rPr>
        <w:t> </w:t>
      </w:r>
      <w:r>
        <w:rPr/>
        <w:t>applicable</w:t>
      </w:r>
      <w:r>
        <w:rPr>
          <w:spacing w:val="-16"/>
        </w:rPr>
        <w:t> </w:t>
      </w:r>
      <w:r>
        <w:rPr/>
        <w:t>to</w:t>
      </w:r>
      <w:r>
        <w:rPr>
          <w:spacing w:val="-16"/>
        </w:rPr>
        <w:t> </w:t>
      </w:r>
      <w:r>
        <w:rPr/>
        <w:t>the</w:t>
      </w:r>
      <w:r>
        <w:rPr>
          <w:spacing w:val="-16"/>
        </w:rPr>
        <w:t> </w:t>
      </w:r>
      <w:r>
        <w:rPr/>
        <w:t>hotels in any Exhibition-cum-Convention Centre.</w:t>
      </w:r>
    </w:p>
    <w:p>
      <w:pPr>
        <w:pStyle w:val="ListParagraph"/>
        <w:numPr>
          <w:ilvl w:val="0"/>
          <w:numId w:val="213"/>
        </w:numPr>
        <w:tabs>
          <w:tab w:pos="1641" w:val="left" w:leader="none"/>
        </w:tabs>
        <w:spacing w:line="360" w:lineRule="auto" w:before="199" w:after="0"/>
        <w:ind w:left="1342" w:right="769" w:firstLine="0"/>
        <w:jc w:val="both"/>
        <w:rPr>
          <w:sz w:val="24"/>
        </w:rPr>
      </w:pPr>
      <w:r>
        <w:rPr>
          <w:sz w:val="24"/>
        </w:rPr>
        <w:t>Occupation</w:t>
      </w:r>
      <w:r>
        <w:rPr>
          <w:spacing w:val="-1"/>
          <w:sz w:val="24"/>
        </w:rPr>
        <w:t> </w:t>
      </w:r>
      <w:r>
        <w:rPr>
          <w:sz w:val="24"/>
        </w:rPr>
        <w:t>Certificate</w:t>
      </w:r>
      <w:r>
        <w:rPr>
          <w:spacing w:val="-1"/>
          <w:sz w:val="24"/>
        </w:rPr>
        <w:t> </w:t>
      </w:r>
      <w:r>
        <w:rPr>
          <w:sz w:val="24"/>
        </w:rPr>
        <w:t>(OC)</w:t>
      </w:r>
      <w:r>
        <w:rPr>
          <w:spacing w:val="-1"/>
          <w:sz w:val="24"/>
        </w:rPr>
        <w:t> </w:t>
      </w:r>
      <w:r>
        <w:rPr>
          <w:sz w:val="24"/>
        </w:rPr>
        <w:t>in</w:t>
      </w:r>
      <w:r>
        <w:rPr>
          <w:spacing w:val="-1"/>
          <w:sz w:val="24"/>
        </w:rPr>
        <w:t> </w:t>
      </w:r>
      <w:r>
        <w:rPr>
          <w:sz w:val="24"/>
        </w:rPr>
        <w:t>respect</w:t>
      </w:r>
      <w:r>
        <w:rPr>
          <w:spacing w:val="-6"/>
          <w:sz w:val="24"/>
        </w:rPr>
        <w:t> </w:t>
      </w:r>
      <w:r>
        <w:rPr>
          <w:sz w:val="24"/>
        </w:rPr>
        <w:t>of</w:t>
      </w:r>
      <w:r>
        <w:rPr>
          <w:spacing w:val="-1"/>
          <w:sz w:val="24"/>
        </w:rPr>
        <w:t> </w:t>
      </w:r>
      <w:r>
        <w:rPr>
          <w:sz w:val="24"/>
        </w:rPr>
        <w:t>a</w:t>
      </w:r>
      <w:r>
        <w:rPr>
          <w:spacing w:val="-1"/>
          <w:sz w:val="24"/>
        </w:rPr>
        <w:t> </w:t>
      </w:r>
      <w:r>
        <w:rPr>
          <w:sz w:val="24"/>
        </w:rPr>
        <w:t>minimum</w:t>
      </w:r>
      <w:r>
        <w:rPr>
          <w:spacing w:val="-1"/>
          <w:sz w:val="24"/>
        </w:rPr>
        <w:t> </w:t>
      </w:r>
      <w:r>
        <w:rPr>
          <w:sz w:val="24"/>
        </w:rPr>
        <w:t>of</w:t>
      </w:r>
      <w:r>
        <w:rPr>
          <w:spacing w:val="-4"/>
          <w:sz w:val="24"/>
        </w:rPr>
        <w:t> </w:t>
      </w:r>
      <w:r>
        <w:rPr>
          <w:sz w:val="24"/>
        </w:rPr>
        <w:t>1/6</w:t>
      </w:r>
      <w:r>
        <w:rPr>
          <w:position w:val="6"/>
          <w:sz w:val="16"/>
        </w:rPr>
        <w:t>th</w:t>
      </w:r>
      <w:r>
        <w:rPr>
          <w:spacing w:val="24"/>
          <w:position w:val="6"/>
          <w:sz w:val="16"/>
        </w:rPr>
        <w:t> </w:t>
      </w:r>
      <w:r>
        <w:rPr>
          <w:sz w:val="24"/>
        </w:rPr>
        <w:t>built-up</w:t>
      </w:r>
      <w:r>
        <w:rPr>
          <w:spacing w:val="-1"/>
          <w:sz w:val="24"/>
        </w:rPr>
        <w:t> </w:t>
      </w:r>
      <w:r>
        <w:rPr>
          <w:sz w:val="24"/>
        </w:rPr>
        <w:t>area of</w:t>
      </w:r>
      <w:r>
        <w:rPr>
          <w:spacing w:val="-4"/>
          <w:sz w:val="24"/>
        </w:rPr>
        <w:t> </w:t>
      </w:r>
      <w:r>
        <w:rPr>
          <w:sz w:val="24"/>
        </w:rPr>
        <w:t>the</w:t>
      </w:r>
      <w:r>
        <w:rPr>
          <w:spacing w:val="-4"/>
          <w:sz w:val="24"/>
        </w:rPr>
        <w:t> </w:t>
      </w:r>
      <w:r>
        <w:rPr>
          <w:sz w:val="24"/>
        </w:rPr>
        <w:t>Exhibition-cum-Convention</w:t>
      </w:r>
      <w:r>
        <w:rPr>
          <w:spacing w:val="-4"/>
          <w:sz w:val="24"/>
        </w:rPr>
        <w:t> </w:t>
      </w:r>
      <w:r>
        <w:rPr>
          <w:sz w:val="24"/>
        </w:rPr>
        <w:t>Centre</w:t>
      </w:r>
      <w:r>
        <w:rPr>
          <w:spacing w:val="-4"/>
          <w:sz w:val="24"/>
        </w:rPr>
        <w:t> </w:t>
      </w:r>
      <w:r>
        <w:rPr>
          <w:sz w:val="24"/>
        </w:rPr>
        <w:t>shall</w:t>
      </w:r>
      <w:r>
        <w:rPr>
          <w:spacing w:val="-4"/>
          <w:sz w:val="24"/>
        </w:rPr>
        <w:t> </w:t>
      </w:r>
      <w:r>
        <w:rPr>
          <w:sz w:val="24"/>
        </w:rPr>
        <w:t>be</w:t>
      </w:r>
      <w:r>
        <w:rPr>
          <w:spacing w:val="-4"/>
          <w:sz w:val="24"/>
        </w:rPr>
        <w:t> </w:t>
      </w:r>
      <w:r>
        <w:rPr>
          <w:sz w:val="24"/>
        </w:rPr>
        <w:t>obtained</w:t>
      </w:r>
      <w:r>
        <w:rPr>
          <w:spacing w:val="-4"/>
          <w:sz w:val="24"/>
        </w:rPr>
        <w:t> </w:t>
      </w:r>
      <w:r>
        <w:rPr>
          <w:sz w:val="24"/>
        </w:rPr>
        <w:t>prior</w:t>
      </w:r>
      <w:r>
        <w:rPr>
          <w:spacing w:val="-4"/>
          <w:sz w:val="24"/>
        </w:rPr>
        <w:t> </w:t>
      </w:r>
      <w:r>
        <w:rPr>
          <w:sz w:val="24"/>
        </w:rPr>
        <w:t>to</w:t>
      </w:r>
      <w:r>
        <w:rPr>
          <w:spacing w:val="-4"/>
          <w:sz w:val="24"/>
        </w:rPr>
        <w:t> </w:t>
      </w:r>
      <w:r>
        <w:rPr>
          <w:sz w:val="24"/>
        </w:rPr>
        <w:t>obtaining Commencement Certificate in respect of Support Services.</w:t>
      </w:r>
    </w:p>
    <w:p>
      <w:pPr>
        <w:pStyle w:val="BodyText"/>
        <w:spacing w:line="530" w:lineRule="auto" w:before="201"/>
        <w:ind w:left="1342" w:right="2684"/>
      </w:pPr>
      <w:r>
        <w:rPr>
          <w:b/>
        </w:rPr>
        <w:t>4).</w:t>
      </w:r>
      <w:r>
        <w:rPr>
          <w:b/>
          <w:spacing w:val="-12"/>
        </w:rPr>
        <w:t> </w:t>
      </w:r>
      <w:r>
        <w:rPr/>
        <w:t>FSI</w:t>
      </w:r>
      <w:r>
        <w:rPr>
          <w:spacing w:val="-5"/>
        </w:rPr>
        <w:t> </w:t>
      </w:r>
      <w:r>
        <w:rPr/>
        <w:t>Computation</w:t>
      </w:r>
      <w:r>
        <w:rPr>
          <w:spacing w:val="-10"/>
        </w:rPr>
        <w:t> </w:t>
      </w:r>
      <w:r>
        <w:rPr/>
        <w:t>for</w:t>
      </w:r>
      <w:r>
        <w:rPr>
          <w:spacing w:val="-7"/>
        </w:rPr>
        <w:t> </w:t>
      </w:r>
      <w:r>
        <w:rPr/>
        <w:t>Exhibition-cum-Convention</w:t>
      </w:r>
      <w:r>
        <w:rPr>
          <w:spacing w:val="-7"/>
        </w:rPr>
        <w:t> </w:t>
      </w:r>
      <w:r>
        <w:rPr/>
        <w:t>Centre:- FSI computation for areas shall be as per these Regulations</w:t>
      </w:r>
    </w:p>
    <w:p>
      <w:pPr>
        <w:pStyle w:val="BodyText"/>
        <w:spacing w:after="0" w:line="530" w:lineRule="auto"/>
        <w:sectPr>
          <w:pgSz w:w="11910" w:h="16840"/>
          <w:pgMar w:header="1065" w:footer="1194" w:top="1500" w:bottom="1380" w:left="360" w:right="360"/>
        </w:sectPr>
      </w:pPr>
    </w:p>
    <w:p>
      <w:pPr>
        <w:pStyle w:val="BodyText"/>
        <w:spacing w:line="360" w:lineRule="auto" w:before="249"/>
        <w:ind w:left="1342" w:right="770" w:firstLine="719"/>
      </w:pPr>
      <w:r>
        <w:rPr/>
        <w:t>Provided that height of any Exhibition Hall or Convention Hall greater than</w:t>
      </w:r>
      <w:r>
        <w:rPr>
          <w:spacing w:val="-1"/>
        </w:rPr>
        <w:t> </w:t>
      </w:r>
      <w:r>
        <w:rPr/>
        <w:t>4.20</w:t>
      </w:r>
      <w:r>
        <w:rPr>
          <w:spacing w:val="-1"/>
        </w:rPr>
        <w:t> </w:t>
      </w:r>
      <w:r>
        <w:rPr/>
        <w:t>meters</w:t>
      </w:r>
      <w:r>
        <w:rPr>
          <w:spacing w:val="-1"/>
        </w:rPr>
        <w:t> </w:t>
      </w:r>
      <w:r>
        <w:rPr/>
        <w:t>shall</w:t>
      </w:r>
      <w:r>
        <w:rPr>
          <w:spacing w:val="-1"/>
        </w:rPr>
        <w:t> </w:t>
      </w:r>
      <w:r>
        <w:rPr/>
        <w:t>not</w:t>
      </w:r>
      <w:r>
        <w:rPr>
          <w:spacing w:val="-1"/>
        </w:rPr>
        <w:t> </w:t>
      </w:r>
      <w:r>
        <w:rPr/>
        <w:t>be</w:t>
      </w:r>
      <w:r>
        <w:rPr>
          <w:spacing w:val="-1"/>
        </w:rPr>
        <w:t> </w:t>
      </w:r>
      <w:r>
        <w:rPr/>
        <w:t>deemed</w:t>
      </w:r>
      <w:r>
        <w:rPr>
          <w:spacing w:val="-1"/>
        </w:rPr>
        <w:t> </w:t>
      </w:r>
      <w:r>
        <w:rPr/>
        <w:t>to</w:t>
      </w:r>
      <w:r>
        <w:rPr>
          <w:spacing w:val="-1"/>
        </w:rPr>
        <w:t> </w:t>
      </w:r>
      <w:r>
        <w:rPr/>
        <w:t>have</w:t>
      </w:r>
      <w:r>
        <w:rPr>
          <w:spacing w:val="-1"/>
        </w:rPr>
        <w:t> </w:t>
      </w:r>
      <w:r>
        <w:rPr/>
        <w:t>consumed</w:t>
      </w:r>
      <w:r>
        <w:rPr>
          <w:spacing w:val="-1"/>
        </w:rPr>
        <w:t> </w:t>
      </w:r>
      <w:r>
        <w:rPr/>
        <w:t>an</w:t>
      </w:r>
      <w:r>
        <w:rPr>
          <w:spacing w:val="-1"/>
        </w:rPr>
        <w:t> </w:t>
      </w:r>
      <w:r>
        <w:rPr/>
        <w:t>additional</w:t>
      </w:r>
      <w:r>
        <w:rPr>
          <w:spacing w:val="-1"/>
        </w:rPr>
        <w:t> </w:t>
      </w:r>
      <w:r>
        <w:rPr/>
        <w:t>FSI of 50% of the relevant floor area.</w:t>
      </w:r>
    </w:p>
    <w:p>
      <w:pPr>
        <w:pStyle w:val="ListParagraph"/>
        <w:numPr>
          <w:ilvl w:val="0"/>
          <w:numId w:val="214"/>
        </w:numPr>
        <w:tabs>
          <w:tab w:pos="1653" w:val="left" w:leader="none"/>
        </w:tabs>
        <w:spacing w:line="240" w:lineRule="auto" w:before="201" w:after="0"/>
        <w:ind w:left="1653" w:right="0" w:hanging="311"/>
        <w:jc w:val="both"/>
        <w:rPr>
          <w:sz w:val="24"/>
        </w:rPr>
      </w:pPr>
      <w:r>
        <w:rPr>
          <w:sz w:val="24"/>
        </w:rPr>
        <w:t>Marginal</w:t>
      </w:r>
      <w:r>
        <w:rPr>
          <w:spacing w:val="-2"/>
          <w:sz w:val="24"/>
        </w:rPr>
        <w:t> </w:t>
      </w:r>
      <w:r>
        <w:rPr>
          <w:sz w:val="24"/>
        </w:rPr>
        <w:t>Open</w:t>
      </w:r>
      <w:r>
        <w:rPr>
          <w:spacing w:val="-1"/>
          <w:sz w:val="24"/>
        </w:rPr>
        <w:t> </w:t>
      </w:r>
      <w:r>
        <w:rPr>
          <w:spacing w:val="-2"/>
          <w:sz w:val="24"/>
        </w:rPr>
        <w:t>Spaces:</w:t>
      </w:r>
    </w:p>
    <w:p>
      <w:pPr>
        <w:pStyle w:val="BodyText"/>
        <w:spacing w:before="58"/>
        <w:jc w:val="left"/>
      </w:pPr>
    </w:p>
    <w:p>
      <w:pPr>
        <w:pStyle w:val="ListParagraph"/>
        <w:numPr>
          <w:ilvl w:val="1"/>
          <w:numId w:val="214"/>
        </w:numPr>
        <w:tabs>
          <w:tab w:pos="2422" w:val="left" w:leader="none"/>
        </w:tabs>
        <w:spacing w:line="362" w:lineRule="auto" w:before="0" w:after="0"/>
        <w:ind w:left="2422" w:right="771" w:hanging="720"/>
        <w:jc w:val="left"/>
        <w:rPr>
          <w:sz w:val="24"/>
        </w:rPr>
      </w:pPr>
      <w:r>
        <w:rPr>
          <w:sz w:val="24"/>
        </w:rPr>
        <w:t>The</w:t>
      </w:r>
      <w:r>
        <w:rPr>
          <w:spacing w:val="-6"/>
          <w:sz w:val="24"/>
        </w:rPr>
        <w:t> </w:t>
      </w:r>
      <w:r>
        <w:rPr>
          <w:sz w:val="24"/>
        </w:rPr>
        <w:t>marginal</w:t>
      </w:r>
      <w:r>
        <w:rPr>
          <w:spacing w:val="-6"/>
          <w:sz w:val="24"/>
        </w:rPr>
        <w:t> </w:t>
      </w:r>
      <w:r>
        <w:rPr>
          <w:sz w:val="24"/>
        </w:rPr>
        <w:t>open</w:t>
      </w:r>
      <w:r>
        <w:rPr>
          <w:spacing w:val="-6"/>
          <w:sz w:val="24"/>
        </w:rPr>
        <w:t> </w:t>
      </w:r>
      <w:r>
        <w:rPr>
          <w:sz w:val="24"/>
        </w:rPr>
        <w:t>space</w:t>
      </w:r>
      <w:r>
        <w:rPr>
          <w:spacing w:val="-6"/>
          <w:sz w:val="24"/>
        </w:rPr>
        <w:t> </w:t>
      </w:r>
      <w:r>
        <w:rPr>
          <w:sz w:val="24"/>
        </w:rPr>
        <w:t>shall</w:t>
      </w:r>
      <w:r>
        <w:rPr>
          <w:spacing w:val="-6"/>
          <w:sz w:val="24"/>
        </w:rPr>
        <w:t> </w:t>
      </w:r>
      <w:r>
        <w:rPr>
          <w:sz w:val="24"/>
        </w:rPr>
        <w:t>be</w:t>
      </w:r>
      <w:r>
        <w:rPr>
          <w:spacing w:val="-6"/>
          <w:sz w:val="24"/>
        </w:rPr>
        <w:t> </w:t>
      </w:r>
      <w:r>
        <w:rPr>
          <w:sz w:val="24"/>
        </w:rPr>
        <w:t>minimum</w:t>
      </w:r>
      <w:r>
        <w:rPr>
          <w:spacing w:val="-5"/>
          <w:sz w:val="24"/>
        </w:rPr>
        <w:t> </w:t>
      </w:r>
      <w:r>
        <w:rPr>
          <w:sz w:val="24"/>
        </w:rPr>
        <w:t>12.00</w:t>
      </w:r>
      <w:r>
        <w:rPr>
          <w:spacing w:val="-6"/>
          <w:sz w:val="24"/>
        </w:rPr>
        <w:t> </w:t>
      </w:r>
      <w:r>
        <w:rPr>
          <w:sz w:val="24"/>
        </w:rPr>
        <w:t>mt.</w:t>
      </w:r>
      <w:r>
        <w:rPr>
          <w:spacing w:val="-6"/>
          <w:sz w:val="24"/>
        </w:rPr>
        <w:t> </w:t>
      </w:r>
      <w:r>
        <w:rPr>
          <w:sz w:val="24"/>
        </w:rPr>
        <w:t>from</w:t>
      </w:r>
      <w:r>
        <w:rPr>
          <w:spacing w:val="-6"/>
          <w:sz w:val="24"/>
        </w:rPr>
        <w:t> </w:t>
      </w:r>
      <w:r>
        <w:rPr>
          <w:sz w:val="24"/>
        </w:rPr>
        <w:t>all</w:t>
      </w:r>
      <w:r>
        <w:rPr>
          <w:spacing w:val="-6"/>
          <w:sz w:val="24"/>
        </w:rPr>
        <w:t> </w:t>
      </w:r>
      <w:r>
        <w:rPr>
          <w:sz w:val="24"/>
        </w:rPr>
        <w:t>sides of the plot.</w:t>
      </w:r>
    </w:p>
    <w:p>
      <w:pPr>
        <w:pStyle w:val="ListParagraph"/>
        <w:numPr>
          <w:ilvl w:val="1"/>
          <w:numId w:val="214"/>
        </w:numPr>
        <w:tabs>
          <w:tab w:pos="2422" w:val="left" w:leader="none"/>
        </w:tabs>
        <w:spacing w:line="360" w:lineRule="auto" w:before="0" w:after="0"/>
        <w:ind w:left="2422" w:right="772" w:hanging="720"/>
        <w:jc w:val="left"/>
        <w:rPr>
          <w:sz w:val="24"/>
        </w:rPr>
      </w:pPr>
      <w:r>
        <w:rPr>
          <w:sz w:val="24"/>
        </w:rPr>
        <w:t>Canopies</w:t>
      </w:r>
      <w:r>
        <w:rPr>
          <w:spacing w:val="80"/>
          <w:sz w:val="24"/>
        </w:rPr>
        <w:t> </w:t>
      </w:r>
      <w:r>
        <w:rPr>
          <w:sz w:val="24"/>
        </w:rPr>
        <w:t>may</w:t>
      </w:r>
      <w:r>
        <w:rPr>
          <w:spacing w:val="80"/>
          <w:sz w:val="24"/>
        </w:rPr>
        <w:t> </w:t>
      </w:r>
      <w:r>
        <w:rPr>
          <w:sz w:val="24"/>
        </w:rPr>
        <w:t>be</w:t>
      </w:r>
      <w:r>
        <w:rPr>
          <w:spacing w:val="80"/>
          <w:sz w:val="24"/>
        </w:rPr>
        <w:t> </w:t>
      </w:r>
      <w:r>
        <w:rPr>
          <w:sz w:val="24"/>
        </w:rPr>
        <w:t>permitted</w:t>
      </w:r>
      <w:r>
        <w:rPr>
          <w:spacing w:val="80"/>
          <w:sz w:val="24"/>
        </w:rPr>
        <w:t> </w:t>
      </w:r>
      <w:r>
        <w:rPr>
          <w:sz w:val="24"/>
        </w:rPr>
        <w:t>in</w:t>
      </w:r>
      <w:r>
        <w:rPr>
          <w:spacing w:val="80"/>
          <w:sz w:val="24"/>
        </w:rPr>
        <w:t> </w:t>
      </w:r>
      <w:r>
        <w:rPr>
          <w:sz w:val="24"/>
        </w:rPr>
        <w:t>front</w:t>
      </w:r>
      <w:r>
        <w:rPr>
          <w:spacing w:val="80"/>
          <w:sz w:val="24"/>
        </w:rPr>
        <w:t> </w:t>
      </w:r>
      <w:r>
        <w:rPr>
          <w:sz w:val="24"/>
        </w:rPr>
        <w:t>open</w:t>
      </w:r>
      <w:r>
        <w:rPr>
          <w:spacing w:val="80"/>
          <w:sz w:val="24"/>
        </w:rPr>
        <w:t> </w:t>
      </w:r>
      <w:r>
        <w:rPr>
          <w:sz w:val="24"/>
        </w:rPr>
        <w:t>space,</w:t>
      </w:r>
      <w:r>
        <w:rPr>
          <w:spacing w:val="80"/>
          <w:sz w:val="24"/>
        </w:rPr>
        <w:t> </w:t>
      </w:r>
      <w:r>
        <w:rPr>
          <w:sz w:val="24"/>
        </w:rPr>
        <w:t>provided</w:t>
      </w:r>
      <w:r>
        <w:rPr>
          <w:spacing w:val="80"/>
          <w:sz w:val="24"/>
        </w:rPr>
        <w:t> </w:t>
      </w:r>
      <w:r>
        <w:rPr>
          <w:sz w:val="24"/>
        </w:rPr>
        <w:t>the marginal open space does not become less than 6.00 mt.</w:t>
      </w:r>
    </w:p>
    <w:p>
      <w:pPr>
        <w:pStyle w:val="Heading5"/>
        <w:numPr>
          <w:ilvl w:val="0"/>
          <w:numId w:val="214"/>
        </w:numPr>
        <w:tabs>
          <w:tab w:pos="1689" w:val="left" w:leader="none"/>
        </w:tabs>
        <w:spacing w:line="360" w:lineRule="auto" w:before="0" w:after="0"/>
        <w:ind w:left="1342" w:right="770" w:firstLine="0"/>
        <w:jc w:val="left"/>
      </w:pPr>
      <w:r>
        <w:rPr/>
        <w:t>General Requirements for Exhibition / Convention Halls shall be as</w:t>
      </w:r>
      <w:r>
        <w:rPr>
          <w:spacing w:val="40"/>
        </w:rPr>
        <w:t> </w:t>
      </w:r>
      <w:r>
        <w:rPr>
          <w:spacing w:val="-2"/>
        </w:rPr>
        <w:t>under:</w:t>
      </w:r>
    </w:p>
    <w:p>
      <w:pPr>
        <w:pStyle w:val="ListParagraph"/>
        <w:numPr>
          <w:ilvl w:val="1"/>
          <w:numId w:val="214"/>
        </w:numPr>
        <w:tabs>
          <w:tab w:pos="2421" w:val="left" w:leader="none"/>
        </w:tabs>
        <w:spacing w:line="240" w:lineRule="auto" w:before="196" w:after="0"/>
        <w:ind w:left="2421" w:right="0" w:hanging="719"/>
        <w:jc w:val="left"/>
        <w:rPr>
          <w:sz w:val="24"/>
        </w:rPr>
      </w:pPr>
      <w:r>
        <w:rPr>
          <w:sz w:val="24"/>
        </w:rPr>
        <w:t>The</w:t>
      </w:r>
      <w:r>
        <w:rPr>
          <w:spacing w:val="-2"/>
          <w:sz w:val="24"/>
        </w:rPr>
        <w:t> </w:t>
      </w:r>
      <w:r>
        <w:rPr>
          <w:sz w:val="24"/>
        </w:rPr>
        <w:t>size</w:t>
      </w:r>
      <w:r>
        <w:rPr>
          <w:spacing w:val="-1"/>
          <w:sz w:val="24"/>
        </w:rPr>
        <w:t> </w:t>
      </w:r>
      <w:r>
        <w:rPr>
          <w:sz w:val="24"/>
        </w:rPr>
        <w:t>of</w:t>
      </w:r>
      <w:r>
        <w:rPr>
          <w:spacing w:val="-1"/>
          <w:sz w:val="24"/>
        </w:rPr>
        <w:t> </w:t>
      </w:r>
      <w:r>
        <w:rPr>
          <w:sz w:val="24"/>
        </w:rPr>
        <w:t>each</w:t>
      </w:r>
      <w:r>
        <w:rPr>
          <w:spacing w:val="-1"/>
          <w:sz w:val="24"/>
        </w:rPr>
        <w:t> </w:t>
      </w:r>
      <w:r>
        <w:rPr>
          <w:sz w:val="24"/>
        </w:rPr>
        <w:t>hall shall</w:t>
      </w:r>
      <w:r>
        <w:rPr>
          <w:spacing w:val="-1"/>
          <w:sz w:val="24"/>
        </w:rPr>
        <w:t> </w:t>
      </w:r>
      <w:r>
        <w:rPr>
          <w:sz w:val="24"/>
        </w:rPr>
        <w:t>not</w:t>
      </w:r>
      <w:r>
        <w:rPr>
          <w:spacing w:val="-1"/>
          <w:sz w:val="24"/>
        </w:rPr>
        <w:t> </w:t>
      </w:r>
      <w:r>
        <w:rPr>
          <w:sz w:val="24"/>
        </w:rPr>
        <w:t>be</w:t>
      </w:r>
      <w:r>
        <w:rPr>
          <w:spacing w:val="-2"/>
          <w:sz w:val="24"/>
        </w:rPr>
        <w:t> </w:t>
      </w:r>
      <w:r>
        <w:rPr>
          <w:sz w:val="24"/>
        </w:rPr>
        <w:t>less</w:t>
      </w:r>
      <w:r>
        <w:rPr>
          <w:spacing w:val="-1"/>
          <w:sz w:val="24"/>
        </w:rPr>
        <w:t> </w:t>
      </w:r>
      <w:r>
        <w:rPr>
          <w:sz w:val="24"/>
        </w:rPr>
        <w:t>than</w:t>
      </w:r>
      <w:r>
        <w:rPr>
          <w:spacing w:val="-1"/>
          <w:sz w:val="24"/>
        </w:rPr>
        <w:t> </w:t>
      </w:r>
      <w:r>
        <w:rPr>
          <w:sz w:val="24"/>
        </w:rPr>
        <w:t>4,000</w:t>
      </w:r>
      <w:r>
        <w:rPr>
          <w:spacing w:val="-1"/>
          <w:sz w:val="24"/>
        </w:rPr>
        <w:t> </w:t>
      </w:r>
      <w:r>
        <w:rPr>
          <w:sz w:val="24"/>
        </w:rPr>
        <w:t>sq.</w:t>
      </w:r>
      <w:r>
        <w:rPr>
          <w:spacing w:val="-1"/>
          <w:sz w:val="24"/>
        </w:rPr>
        <w:t> </w:t>
      </w:r>
      <w:r>
        <w:rPr>
          <w:spacing w:val="-5"/>
          <w:sz w:val="24"/>
        </w:rPr>
        <w:t>m.</w:t>
      </w:r>
    </w:p>
    <w:p>
      <w:pPr>
        <w:pStyle w:val="ListParagraph"/>
        <w:numPr>
          <w:ilvl w:val="1"/>
          <w:numId w:val="214"/>
        </w:numPr>
        <w:tabs>
          <w:tab w:pos="2421" w:val="left" w:leader="none"/>
        </w:tabs>
        <w:spacing w:line="240" w:lineRule="auto" w:before="140" w:after="0"/>
        <w:ind w:left="2421" w:right="0" w:hanging="719"/>
        <w:jc w:val="both"/>
        <w:rPr>
          <w:sz w:val="24"/>
        </w:rPr>
      </w:pPr>
      <w:r>
        <w:rPr>
          <w:sz w:val="24"/>
        </w:rPr>
        <w:t>Minimum</w:t>
      </w:r>
      <w:r>
        <w:rPr>
          <w:spacing w:val="-1"/>
          <w:sz w:val="24"/>
        </w:rPr>
        <w:t> </w:t>
      </w:r>
      <w:r>
        <w:rPr>
          <w:sz w:val="24"/>
        </w:rPr>
        <w:t>width</w:t>
      </w:r>
      <w:r>
        <w:rPr>
          <w:spacing w:val="-1"/>
          <w:sz w:val="24"/>
        </w:rPr>
        <w:t> </w:t>
      </w:r>
      <w:r>
        <w:rPr>
          <w:sz w:val="24"/>
        </w:rPr>
        <w:t>of</w:t>
      </w:r>
      <w:r>
        <w:rPr>
          <w:spacing w:val="-1"/>
          <w:sz w:val="24"/>
        </w:rPr>
        <w:t> </w:t>
      </w:r>
      <w:r>
        <w:rPr>
          <w:sz w:val="24"/>
        </w:rPr>
        <w:t>the hall</w:t>
      </w:r>
      <w:r>
        <w:rPr>
          <w:spacing w:val="-1"/>
          <w:sz w:val="24"/>
        </w:rPr>
        <w:t> </w:t>
      </w:r>
      <w:r>
        <w:rPr>
          <w:sz w:val="24"/>
        </w:rPr>
        <w:t>shall</w:t>
      </w:r>
      <w:r>
        <w:rPr>
          <w:spacing w:val="-1"/>
          <w:sz w:val="24"/>
        </w:rPr>
        <w:t> </w:t>
      </w:r>
      <w:r>
        <w:rPr>
          <w:sz w:val="24"/>
        </w:rPr>
        <w:t>not be</w:t>
      </w:r>
      <w:r>
        <w:rPr>
          <w:spacing w:val="-1"/>
          <w:sz w:val="24"/>
        </w:rPr>
        <w:t> </w:t>
      </w:r>
      <w:r>
        <w:rPr>
          <w:sz w:val="24"/>
        </w:rPr>
        <w:t>less</w:t>
      </w:r>
      <w:r>
        <w:rPr>
          <w:spacing w:val="-1"/>
          <w:sz w:val="24"/>
        </w:rPr>
        <w:t> </w:t>
      </w:r>
      <w:r>
        <w:rPr>
          <w:sz w:val="24"/>
        </w:rPr>
        <w:t>than </w:t>
      </w:r>
      <w:r>
        <w:rPr>
          <w:spacing w:val="-4"/>
          <w:sz w:val="24"/>
        </w:rPr>
        <w:t>50m.</w:t>
      </w:r>
    </w:p>
    <w:p>
      <w:pPr>
        <w:pStyle w:val="ListParagraph"/>
        <w:numPr>
          <w:ilvl w:val="1"/>
          <w:numId w:val="214"/>
        </w:numPr>
        <w:tabs>
          <w:tab w:pos="2422" w:val="left" w:leader="none"/>
        </w:tabs>
        <w:spacing w:line="360" w:lineRule="auto" w:before="141" w:after="0"/>
        <w:ind w:left="2422" w:right="768" w:hanging="720"/>
        <w:jc w:val="both"/>
        <w:rPr>
          <w:sz w:val="24"/>
        </w:rPr>
      </w:pPr>
      <w:r>
        <w:rPr>
          <w:sz w:val="24"/>
        </w:rPr>
        <w:t>The</w:t>
      </w:r>
      <w:r>
        <w:rPr>
          <w:spacing w:val="-20"/>
          <w:sz w:val="24"/>
        </w:rPr>
        <w:t> </w:t>
      </w:r>
      <w:r>
        <w:rPr>
          <w:sz w:val="24"/>
        </w:rPr>
        <w:t>minimum</w:t>
      </w:r>
      <w:r>
        <w:rPr>
          <w:spacing w:val="-19"/>
          <w:sz w:val="24"/>
        </w:rPr>
        <w:t> </w:t>
      </w:r>
      <w:r>
        <w:rPr>
          <w:sz w:val="24"/>
        </w:rPr>
        <w:t>floor</w:t>
      </w:r>
      <w:r>
        <w:rPr>
          <w:spacing w:val="-19"/>
          <w:sz w:val="24"/>
        </w:rPr>
        <w:t> </w:t>
      </w:r>
      <w:r>
        <w:rPr>
          <w:sz w:val="24"/>
        </w:rPr>
        <w:t>to</w:t>
      </w:r>
      <w:r>
        <w:rPr>
          <w:spacing w:val="-19"/>
          <w:sz w:val="24"/>
        </w:rPr>
        <w:t> </w:t>
      </w:r>
      <w:r>
        <w:rPr>
          <w:sz w:val="24"/>
        </w:rPr>
        <w:t>floor</w:t>
      </w:r>
      <w:r>
        <w:rPr>
          <w:spacing w:val="-19"/>
          <w:sz w:val="24"/>
        </w:rPr>
        <w:t> </w:t>
      </w:r>
      <w:r>
        <w:rPr>
          <w:sz w:val="24"/>
        </w:rPr>
        <w:t>height</w:t>
      </w:r>
      <w:r>
        <w:rPr>
          <w:spacing w:val="-20"/>
          <w:sz w:val="24"/>
        </w:rPr>
        <w:t> </w:t>
      </w:r>
      <w:r>
        <w:rPr>
          <w:sz w:val="24"/>
        </w:rPr>
        <w:t>of</w:t>
      </w:r>
      <w:r>
        <w:rPr>
          <w:spacing w:val="-19"/>
          <w:sz w:val="24"/>
        </w:rPr>
        <w:t> </w:t>
      </w:r>
      <w:r>
        <w:rPr>
          <w:sz w:val="24"/>
        </w:rPr>
        <w:t>the</w:t>
      </w:r>
      <w:r>
        <w:rPr>
          <w:spacing w:val="-19"/>
          <w:sz w:val="24"/>
        </w:rPr>
        <w:t> </w:t>
      </w:r>
      <w:r>
        <w:rPr>
          <w:sz w:val="24"/>
        </w:rPr>
        <w:t>Exhibition</w:t>
      </w:r>
      <w:r>
        <w:rPr>
          <w:spacing w:val="-19"/>
          <w:sz w:val="24"/>
        </w:rPr>
        <w:t> </w:t>
      </w:r>
      <w:r>
        <w:rPr>
          <w:sz w:val="24"/>
        </w:rPr>
        <w:t>Hall</w:t>
      </w:r>
      <w:r>
        <w:rPr>
          <w:spacing w:val="-19"/>
          <w:sz w:val="24"/>
        </w:rPr>
        <w:t> </w:t>
      </w:r>
      <w:r>
        <w:rPr>
          <w:sz w:val="24"/>
        </w:rPr>
        <w:t>/</w:t>
      </w:r>
      <w:r>
        <w:rPr>
          <w:spacing w:val="-20"/>
          <w:sz w:val="24"/>
        </w:rPr>
        <w:t> </w:t>
      </w:r>
      <w:r>
        <w:rPr>
          <w:sz w:val="24"/>
        </w:rPr>
        <w:t>Convention Hall shall be</w:t>
      </w:r>
      <w:r>
        <w:rPr>
          <w:spacing w:val="80"/>
          <w:w w:val="150"/>
          <w:sz w:val="24"/>
        </w:rPr>
        <w:t> </w:t>
      </w:r>
      <w:r>
        <w:rPr>
          <w:sz w:val="24"/>
        </w:rPr>
        <w:t>8.00 mt.</w:t>
      </w:r>
    </w:p>
    <w:p>
      <w:pPr>
        <w:pStyle w:val="ListParagraph"/>
        <w:numPr>
          <w:ilvl w:val="1"/>
          <w:numId w:val="214"/>
        </w:numPr>
        <w:tabs>
          <w:tab w:pos="2422" w:val="left" w:leader="none"/>
        </w:tabs>
        <w:spacing w:line="360" w:lineRule="auto" w:before="2" w:after="0"/>
        <w:ind w:left="2422" w:right="769" w:hanging="720"/>
        <w:jc w:val="both"/>
        <w:rPr>
          <w:sz w:val="24"/>
        </w:rPr>
      </w:pPr>
      <w:r>
        <w:rPr>
          <w:sz w:val="24"/>
        </w:rPr>
        <w:t>It shall be permissible to construct the Exhibition-cum-Convention Centre buildings / halls in multiple levels.</w:t>
      </w:r>
    </w:p>
    <w:p>
      <w:pPr>
        <w:pStyle w:val="ListParagraph"/>
        <w:numPr>
          <w:ilvl w:val="1"/>
          <w:numId w:val="214"/>
        </w:numPr>
        <w:tabs>
          <w:tab w:pos="2422" w:val="left" w:leader="none"/>
        </w:tabs>
        <w:spacing w:line="360" w:lineRule="auto" w:before="0" w:after="0"/>
        <w:ind w:left="2422" w:right="766" w:hanging="720"/>
        <w:jc w:val="both"/>
        <w:rPr>
          <w:sz w:val="24"/>
        </w:rPr>
      </w:pPr>
      <w:r>
        <w:rPr>
          <w:sz w:val="24"/>
        </w:rPr>
        <w:t>For the planning of</w:t>
      </w:r>
      <w:r>
        <w:rPr>
          <w:spacing w:val="-1"/>
          <w:sz w:val="24"/>
        </w:rPr>
        <w:t> </w:t>
      </w:r>
      <w:r>
        <w:rPr>
          <w:sz w:val="24"/>
        </w:rPr>
        <w:t>all the other habitable / non habitable areas for amenities areas and Support services, Regulation 37 shall be </w:t>
      </w:r>
      <w:r>
        <w:rPr>
          <w:spacing w:val="-2"/>
          <w:sz w:val="24"/>
        </w:rPr>
        <w:t>applicable.</w:t>
      </w:r>
    </w:p>
    <w:p>
      <w:pPr>
        <w:pStyle w:val="ListParagraph"/>
        <w:numPr>
          <w:ilvl w:val="1"/>
          <w:numId w:val="214"/>
        </w:numPr>
        <w:tabs>
          <w:tab w:pos="2421" w:val="left" w:leader="none"/>
        </w:tabs>
        <w:spacing w:line="281" w:lineRule="exact" w:before="0" w:after="0"/>
        <w:ind w:left="2421" w:right="0" w:hanging="719"/>
        <w:jc w:val="both"/>
        <w:rPr>
          <w:sz w:val="24"/>
        </w:rPr>
      </w:pPr>
      <w:r>
        <w:rPr>
          <w:sz w:val="24"/>
        </w:rPr>
        <w:t>Minimum</w:t>
      </w:r>
      <w:r>
        <w:rPr>
          <w:spacing w:val="-2"/>
          <w:sz w:val="24"/>
        </w:rPr>
        <w:t> </w:t>
      </w:r>
      <w:r>
        <w:rPr>
          <w:sz w:val="24"/>
        </w:rPr>
        <w:t>width</w:t>
      </w:r>
      <w:r>
        <w:rPr>
          <w:spacing w:val="-1"/>
          <w:sz w:val="24"/>
        </w:rPr>
        <w:t> </w:t>
      </w:r>
      <w:r>
        <w:rPr>
          <w:sz w:val="24"/>
        </w:rPr>
        <w:t>of</w:t>
      </w:r>
      <w:r>
        <w:rPr>
          <w:spacing w:val="-1"/>
          <w:sz w:val="24"/>
        </w:rPr>
        <w:t> </w:t>
      </w:r>
      <w:r>
        <w:rPr>
          <w:sz w:val="24"/>
        </w:rPr>
        <w:t>the</w:t>
      </w:r>
      <w:r>
        <w:rPr>
          <w:spacing w:val="-1"/>
          <w:sz w:val="24"/>
        </w:rPr>
        <w:t> </w:t>
      </w:r>
      <w:r>
        <w:rPr>
          <w:sz w:val="24"/>
        </w:rPr>
        <w:t>internal</w:t>
      </w:r>
      <w:r>
        <w:rPr>
          <w:spacing w:val="-2"/>
          <w:sz w:val="24"/>
        </w:rPr>
        <w:t> </w:t>
      </w:r>
      <w:r>
        <w:rPr>
          <w:sz w:val="24"/>
        </w:rPr>
        <w:t>road</w:t>
      </w:r>
      <w:r>
        <w:rPr>
          <w:spacing w:val="-1"/>
          <w:sz w:val="24"/>
        </w:rPr>
        <w:t> </w:t>
      </w:r>
      <w:r>
        <w:rPr>
          <w:sz w:val="24"/>
        </w:rPr>
        <w:t>shall</w:t>
      </w:r>
      <w:r>
        <w:rPr>
          <w:spacing w:val="-1"/>
          <w:sz w:val="24"/>
        </w:rPr>
        <w:t> </w:t>
      </w:r>
      <w:r>
        <w:rPr>
          <w:sz w:val="24"/>
        </w:rPr>
        <w:t>be</w:t>
      </w:r>
      <w:r>
        <w:rPr>
          <w:spacing w:val="-1"/>
          <w:sz w:val="24"/>
        </w:rPr>
        <w:t> </w:t>
      </w:r>
      <w:r>
        <w:rPr>
          <w:sz w:val="24"/>
        </w:rPr>
        <w:t>13.40</w:t>
      </w:r>
      <w:r>
        <w:rPr>
          <w:spacing w:val="-1"/>
          <w:sz w:val="24"/>
        </w:rPr>
        <w:t> </w:t>
      </w:r>
      <w:r>
        <w:rPr>
          <w:spacing w:val="-4"/>
          <w:sz w:val="24"/>
        </w:rPr>
        <w:t>mtr.</w:t>
      </w:r>
    </w:p>
    <w:p>
      <w:pPr>
        <w:pStyle w:val="ListParagraph"/>
        <w:numPr>
          <w:ilvl w:val="1"/>
          <w:numId w:val="214"/>
        </w:numPr>
        <w:tabs>
          <w:tab w:pos="2422" w:val="left" w:leader="none"/>
        </w:tabs>
        <w:spacing w:line="240" w:lineRule="auto" w:before="141" w:after="0"/>
        <w:ind w:left="2422" w:right="1950" w:hanging="720"/>
        <w:jc w:val="left"/>
        <w:rPr>
          <w:sz w:val="24"/>
        </w:rPr>
      </w:pPr>
      <w:r>
        <w:rPr>
          <w:sz w:val="24"/>
        </w:rPr>
        <w:t>Requirement</w:t>
      </w:r>
      <w:r>
        <w:rPr>
          <w:spacing w:val="-3"/>
          <w:sz w:val="24"/>
        </w:rPr>
        <w:t> </w:t>
      </w:r>
      <w:r>
        <w:rPr>
          <w:sz w:val="24"/>
        </w:rPr>
        <w:t>of</w:t>
      </w:r>
      <w:r>
        <w:rPr>
          <w:spacing w:val="-3"/>
          <w:sz w:val="24"/>
        </w:rPr>
        <w:t> </w:t>
      </w:r>
      <w:r>
        <w:rPr>
          <w:sz w:val="24"/>
        </w:rPr>
        <w:t>fire</w:t>
      </w:r>
      <w:r>
        <w:rPr>
          <w:spacing w:val="-3"/>
          <w:sz w:val="24"/>
        </w:rPr>
        <w:t> </w:t>
      </w:r>
      <w:r>
        <w:rPr>
          <w:sz w:val="24"/>
        </w:rPr>
        <w:t>shall</w:t>
      </w:r>
      <w:r>
        <w:rPr>
          <w:spacing w:val="-3"/>
          <w:sz w:val="24"/>
        </w:rPr>
        <w:t> </w:t>
      </w:r>
      <w:r>
        <w:rPr>
          <w:sz w:val="24"/>
        </w:rPr>
        <w:t>be</w:t>
      </w:r>
      <w:r>
        <w:rPr>
          <w:spacing w:val="-3"/>
          <w:sz w:val="24"/>
        </w:rPr>
        <w:t> </w:t>
      </w:r>
      <w:r>
        <w:rPr>
          <w:sz w:val="24"/>
        </w:rPr>
        <w:t>as</w:t>
      </w:r>
      <w:r>
        <w:rPr>
          <w:spacing w:val="-4"/>
          <w:sz w:val="24"/>
        </w:rPr>
        <w:t> </w:t>
      </w:r>
      <w:r>
        <w:rPr>
          <w:sz w:val="24"/>
        </w:rPr>
        <w:t>per</w:t>
      </w:r>
      <w:r>
        <w:rPr>
          <w:spacing w:val="-3"/>
          <w:sz w:val="24"/>
        </w:rPr>
        <w:t> </w:t>
      </w:r>
      <w:r>
        <w:rPr>
          <w:sz w:val="24"/>
        </w:rPr>
        <w:t>Regulation</w:t>
      </w:r>
      <w:r>
        <w:rPr>
          <w:spacing w:val="40"/>
          <w:sz w:val="24"/>
        </w:rPr>
        <w:t> </w:t>
      </w:r>
      <w:r>
        <w:rPr>
          <w:sz w:val="24"/>
        </w:rPr>
        <w:t>47</w:t>
      </w:r>
      <w:r>
        <w:rPr>
          <w:spacing w:val="-3"/>
          <w:sz w:val="24"/>
        </w:rPr>
        <w:t> </w:t>
      </w:r>
      <w:r>
        <w:rPr>
          <w:sz w:val="24"/>
        </w:rPr>
        <w:t>of</w:t>
      </w:r>
      <w:r>
        <w:rPr>
          <w:spacing w:val="-3"/>
          <w:sz w:val="24"/>
        </w:rPr>
        <w:t> </w:t>
      </w:r>
      <w:r>
        <w:rPr>
          <w:sz w:val="24"/>
        </w:rPr>
        <w:t>these </w:t>
      </w:r>
      <w:r>
        <w:rPr>
          <w:spacing w:val="-2"/>
          <w:sz w:val="24"/>
        </w:rPr>
        <w:t>Regulations.</w:t>
      </w:r>
    </w:p>
    <w:p>
      <w:pPr>
        <w:pStyle w:val="BodyText"/>
        <w:spacing w:before="242"/>
        <w:jc w:val="left"/>
      </w:pPr>
    </w:p>
    <w:p>
      <w:pPr>
        <w:pStyle w:val="BodyText"/>
        <w:spacing w:line="360" w:lineRule="auto"/>
        <w:ind w:left="1342" w:right="767"/>
        <w:jc w:val="left"/>
      </w:pPr>
      <w:r>
        <w:rPr/>
        <w:t>7).</w:t>
      </w:r>
      <w:r>
        <w:rPr>
          <w:spacing w:val="40"/>
        </w:rPr>
        <w:t> </w:t>
      </w:r>
      <w:r>
        <w:rPr/>
        <w:t>Parking</w:t>
      </w:r>
      <w:r>
        <w:rPr>
          <w:spacing w:val="40"/>
        </w:rPr>
        <w:t> </w:t>
      </w:r>
      <w:r>
        <w:rPr/>
        <w:t>requirements</w:t>
      </w:r>
      <w:r>
        <w:rPr>
          <w:spacing w:val="40"/>
        </w:rPr>
        <w:t> </w:t>
      </w:r>
      <w:r>
        <w:rPr/>
        <w:t>for</w:t>
      </w:r>
      <w:r>
        <w:rPr>
          <w:spacing w:val="40"/>
        </w:rPr>
        <w:t> </w:t>
      </w:r>
      <w:r>
        <w:rPr/>
        <w:t>Exhibition-cum-Convention</w:t>
      </w:r>
      <w:r>
        <w:rPr>
          <w:spacing w:val="40"/>
        </w:rPr>
        <w:t> </w:t>
      </w:r>
      <w:r>
        <w:rPr/>
        <w:t>Centre</w:t>
      </w:r>
      <w:r>
        <w:rPr>
          <w:spacing w:val="40"/>
        </w:rPr>
        <w:t> </w:t>
      </w:r>
      <w:r>
        <w:rPr/>
        <w:t>shall</w:t>
      </w:r>
      <w:r>
        <w:rPr>
          <w:spacing w:val="40"/>
        </w:rPr>
        <w:t> </w:t>
      </w:r>
      <w:r>
        <w:rPr/>
        <w:t>be</w:t>
      </w:r>
      <w:r>
        <w:rPr>
          <w:spacing w:val="80"/>
        </w:rPr>
        <w:t> </w:t>
      </w:r>
      <w:r>
        <w:rPr>
          <w:spacing w:val="-2"/>
        </w:rPr>
        <w:t>follows:-</w:t>
      </w:r>
    </w:p>
    <w:p>
      <w:pPr>
        <w:pStyle w:val="ListParagraph"/>
        <w:numPr>
          <w:ilvl w:val="0"/>
          <w:numId w:val="215"/>
        </w:numPr>
        <w:tabs>
          <w:tab w:pos="2422" w:val="left" w:leader="none"/>
        </w:tabs>
        <w:spacing w:line="360" w:lineRule="auto" w:before="202" w:after="0"/>
        <w:ind w:left="2422" w:right="768" w:hanging="720"/>
        <w:jc w:val="left"/>
        <w:rPr>
          <w:sz w:val="24"/>
        </w:rPr>
      </w:pPr>
      <w:r>
        <w:rPr>
          <w:sz w:val="24"/>
        </w:rPr>
        <w:t>Allotted</w:t>
      </w:r>
      <w:r>
        <w:rPr>
          <w:spacing w:val="-12"/>
          <w:sz w:val="24"/>
        </w:rPr>
        <w:t> </w:t>
      </w:r>
      <w:r>
        <w:rPr>
          <w:sz w:val="24"/>
        </w:rPr>
        <w:t>parking</w:t>
      </w:r>
      <w:r>
        <w:rPr>
          <w:spacing w:val="-12"/>
          <w:sz w:val="24"/>
        </w:rPr>
        <w:t> </w:t>
      </w:r>
      <w:r>
        <w:rPr>
          <w:sz w:val="24"/>
        </w:rPr>
        <w:t>space</w:t>
      </w:r>
      <w:r>
        <w:rPr>
          <w:spacing w:val="-12"/>
          <w:sz w:val="24"/>
        </w:rPr>
        <w:t> </w:t>
      </w:r>
      <w:r>
        <w:rPr>
          <w:sz w:val="24"/>
        </w:rPr>
        <w:t>for</w:t>
      </w:r>
      <w:r>
        <w:rPr>
          <w:spacing w:val="-12"/>
          <w:sz w:val="24"/>
        </w:rPr>
        <w:t> </w:t>
      </w:r>
      <w:r>
        <w:rPr>
          <w:sz w:val="24"/>
        </w:rPr>
        <w:t>one</w:t>
      </w:r>
      <w:r>
        <w:rPr>
          <w:spacing w:val="-12"/>
          <w:sz w:val="24"/>
        </w:rPr>
        <w:t> </w:t>
      </w:r>
      <w:r>
        <w:rPr>
          <w:sz w:val="24"/>
        </w:rPr>
        <w:t>(1)</w:t>
      </w:r>
      <w:r>
        <w:rPr>
          <w:spacing w:val="-13"/>
          <w:sz w:val="24"/>
        </w:rPr>
        <w:t> </w:t>
      </w:r>
      <w:r>
        <w:rPr>
          <w:sz w:val="24"/>
        </w:rPr>
        <w:t>Fire</w:t>
      </w:r>
      <w:r>
        <w:rPr>
          <w:spacing w:val="-12"/>
          <w:sz w:val="24"/>
        </w:rPr>
        <w:t> </w:t>
      </w:r>
      <w:r>
        <w:rPr>
          <w:sz w:val="24"/>
        </w:rPr>
        <w:t>Engine</w:t>
      </w:r>
      <w:r>
        <w:rPr>
          <w:spacing w:val="-12"/>
          <w:sz w:val="24"/>
        </w:rPr>
        <w:t> </w:t>
      </w:r>
      <w:r>
        <w:rPr>
          <w:sz w:val="24"/>
        </w:rPr>
        <w:t>and</w:t>
      </w:r>
      <w:r>
        <w:rPr>
          <w:spacing w:val="-10"/>
          <w:sz w:val="24"/>
        </w:rPr>
        <w:t> </w:t>
      </w:r>
      <w:r>
        <w:rPr>
          <w:sz w:val="24"/>
        </w:rPr>
        <w:t>one</w:t>
      </w:r>
      <w:r>
        <w:rPr>
          <w:spacing w:val="-12"/>
          <w:sz w:val="24"/>
        </w:rPr>
        <w:t> </w:t>
      </w:r>
      <w:r>
        <w:rPr>
          <w:sz w:val="24"/>
        </w:rPr>
        <w:t>(1)</w:t>
      </w:r>
      <w:r>
        <w:rPr>
          <w:spacing w:val="-13"/>
          <w:sz w:val="24"/>
        </w:rPr>
        <w:t> </w:t>
      </w:r>
      <w:r>
        <w:rPr>
          <w:sz w:val="24"/>
        </w:rPr>
        <w:t>Ambulance shall be compulsorily provided.</w:t>
      </w:r>
    </w:p>
    <w:p>
      <w:pPr>
        <w:pStyle w:val="ListParagraph"/>
        <w:numPr>
          <w:ilvl w:val="0"/>
          <w:numId w:val="215"/>
        </w:numPr>
        <w:tabs>
          <w:tab w:pos="2422" w:val="left" w:leader="none"/>
          <w:tab w:pos="6382" w:val="left" w:leader="none"/>
          <w:tab w:pos="7822" w:val="left" w:leader="none"/>
        </w:tabs>
        <w:spacing w:line="360" w:lineRule="auto" w:before="0" w:after="0"/>
        <w:ind w:left="2422" w:right="869" w:hanging="720"/>
        <w:jc w:val="left"/>
        <w:rPr>
          <w:sz w:val="24"/>
        </w:rPr>
      </w:pPr>
      <w:r>
        <w:rPr>
          <w:sz w:val="24"/>
        </w:rPr>
        <w:t>(a) Convention Center-</w:t>
        <w:tab/>
        <w:t>For</w:t>
      </w:r>
      <w:r>
        <w:rPr>
          <w:spacing w:val="-7"/>
          <w:sz w:val="24"/>
        </w:rPr>
        <w:t> </w:t>
      </w:r>
      <w:r>
        <w:rPr>
          <w:sz w:val="24"/>
        </w:rPr>
        <w:t>every</w:t>
      </w:r>
      <w:r>
        <w:rPr>
          <w:spacing w:val="-7"/>
          <w:sz w:val="24"/>
        </w:rPr>
        <w:t> </w:t>
      </w:r>
      <w:r>
        <w:rPr>
          <w:sz w:val="24"/>
        </w:rPr>
        <w:t>10</w:t>
      </w:r>
      <w:r>
        <w:rPr>
          <w:spacing w:val="-7"/>
          <w:sz w:val="24"/>
        </w:rPr>
        <w:t> </w:t>
      </w:r>
      <w:r>
        <w:rPr>
          <w:sz w:val="24"/>
        </w:rPr>
        <w:t>seats,</w:t>
      </w:r>
      <w:r>
        <w:rPr>
          <w:spacing w:val="-7"/>
          <w:sz w:val="24"/>
        </w:rPr>
        <w:t> </w:t>
      </w:r>
      <w:r>
        <w:rPr>
          <w:sz w:val="24"/>
        </w:rPr>
        <w:t>parking</w:t>
      </w:r>
      <w:r>
        <w:rPr>
          <w:spacing w:val="-7"/>
          <w:sz w:val="24"/>
        </w:rPr>
        <w:t> </w:t>
      </w:r>
      <w:r>
        <w:rPr>
          <w:sz w:val="24"/>
        </w:rPr>
        <w:t>space for 2 cars</w:t>
        <w:tab/>
        <w:tab/>
        <w:t>shallbe provided.</w:t>
      </w:r>
    </w:p>
    <w:p>
      <w:pPr>
        <w:pStyle w:val="ListParagraph"/>
        <w:spacing w:after="0" w:line="360" w:lineRule="auto"/>
        <w:jc w:val="left"/>
        <w:rPr>
          <w:sz w:val="24"/>
        </w:rPr>
        <w:sectPr>
          <w:pgSz w:w="11910" w:h="16840"/>
          <w:pgMar w:header="1065" w:footer="1194" w:top="1500" w:bottom="1380" w:left="360" w:right="360"/>
        </w:sectPr>
      </w:pPr>
    </w:p>
    <w:p>
      <w:pPr>
        <w:pStyle w:val="ListParagraph"/>
        <w:numPr>
          <w:ilvl w:val="1"/>
          <w:numId w:val="215"/>
        </w:numPr>
        <w:tabs>
          <w:tab w:pos="2791" w:val="left" w:leader="none"/>
          <w:tab w:pos="5662" w:val="left" w:leader="none"/>
        </w:tabs>
        <w:spacing w:line="240" w:lineRule="auto" w:before="249" w:after="0"/>
        <w:ind w:left="2791" w:right="0" w:hanging="369"/>
        <w:jc w:val="both"/>
        <w:rPr>
          <w:sz w:val="24"/>
        </w:rPr>
      </w:pPr>
      <w:r>
        <w:rPr>
          <w:sz w:val="24"/>
        </w:rPr>
        <w:t>Exhibition</w:t>
      </w:r>
      <w:r>
        <w:rPr>
          <w:spacing w:val="-12"/>
          <w:sz w:val="24"/>
        </w:rPr>
        <w:t> </w:t>
      </w:r>
      <w:r>
        <w:rPr>
          <w:sz w:val="24"/>
        </w:rPr>
        <w:t>Area-</w:t>
      </w:r>
      <w:r>
        <w:rPr>
          <w:spacing w:val="-10"/>
          <w:sz w:val="24"/>
        </w:rPr>
        <w:t>-</w:t>
      </w:r>
      <w:r>
        <w:rPr>
          <w:sz w:val="24"/>
        </w:rPr>
        <w:tab/>
        <w:t>For</w:t>
      </w:r>
      <w:r>
        <w:rPr>
          <w:spacing w:val="62"/>
          <w:sz w:val="24"/>
        </w:rPr>
        <w:t> </w:t>
      </w:r>
      <w:r>
        <w:rPr>
          <w:sz w:val="24"/>
        </w:rPr>
        <w:t>every</w:t>
      </w:r>
      <w:r>
        <w:rPr>
          <w:spacing w:val="63"/>
          <w:sz w:val="24"/>
        </w:rPr>
        <w:t> </w:t>
      </w:r>
      <w:r>
        <w:rPr>
          <w:sz w:val="24"/>
        </w:rPr>
        <w:t>1000</w:t>
      </w:r>
      <w:r>
        <w:rPr>
          <w:spacing w:val="62"/>
          <w:sz w:val="24"/>
        </w:rPr>
        <w:t> </w:t>
      </w:r>
      <w:r>
        <w:rPr>
          <w:sz w:val="24"/>
        </w:rPr>
        <w:t>Sq.</w:t>
      </w:r>
      <w:r>
        <w:rPr>
          <w:spacing w:val="66"/>
          <w:sz w:val="24"/>
        </w:rPr>
        <w:t> </w:t>
      </w:r>
      <w:r>
        <w:rPr>
          <w:sz w:val="24"/>
        </w:rPr>
        <w:t>mtrs</w:t>
      </w:r>
      <w:r>
        <w:rPr>
          <w:spacing w:val="62"/>
          <w:sz w:val="24"/>
        </w:rPr>
        <w:t> </w:t>
      </w:r>
      <w:r>
        <w:rPr>
          <w:sz w:val="24"/>
        </w:rPr>
        <w:t>of</w:t>
      </w:r>
      <w:r>
        <w:rPr>
          <w:spacing w:val="63"/>
          <w:sz w:val="24"/>
        </w:rPr>
        <w:t> </w:t>
      </w:r>
      <w:r>
        <w:rPr>
          <w:spacing w:val="-2"/>
          <w:sz w:val="24"/>
        </w:rPr>
        <w:t>exhibition</w:t>
      </w:r>
    </w:p>
    <w:p>
      <w:pPr>
        <w:pStyle w:val="BodyText"/>
        <w:spacing w:line="360" w:lineRule="auto" w:before="143"/>
        <w:ind w:left="5662" w:right="770"/>
      </w:pPr>
      <w:r>
        <w:rPr/>
        <w:t>area, including open exhibition area, parking space for 25 cars shall be </w:t>
      </w:r>
      <w:r>
        <w:rPr>
          <w:spacing w:val="-2"/>
        </w:rPr>
        <w:t>provided.</w:t>
      </w:r>
    </w:p>
    <w:p>
      <w:pPr>
        <w:pStyle w:val="ListParagraph"/>
        <w:numPr>
          <w:ilvl w:val="1"/>
          <w:numId w:val="215"/>
        </w:numPr>
        <w:tabs>
          <w:tab w:pos="2767" w:val="left" w:leader="none"/>
        </w:tabs>
        <w:spacing w:line="240" w:lineRule="auto" w:before="199" w:after="0"/>
        <w:ind w:left="2767" w:right="0" w:hanging="345"/>
        <w:jc w:val="both"/>
        <w:rPr>
          <w:sz w:val="24"/>
        </w:rPr>
      </w:pPr>
      <w:r>
        <w:rPr>
          <w:sz w:val="24"/>
        </w:rPr>
        <w:t>In</w:t>
      </w:r>
      <w:r>
        <w:rPr>
          <w:spacing w:val="-5"/>
          <w:sz w:val="24"/>
        </w:rPr>
        <w:t> </w:t>
      </w:r>
      <w:r>
        <w:rPr>
          <w:sz w:val="24"/>
        </w:rPr>
        <w:t>addition</w:t>
      </w:r>
      <w:r>
        <w:rPr>
          <w:spacing w:val="-1"/>
          <w:sz w:val="24"/>
        </w:rPr>
        <w:t> </w:t>
      </w:r>
      <w:r>
        <w:rPr>
          <w:sz w:val="24"/>
        </w:rPr>
        <w:t>to</w:t>
      </w:r>
      <w:r>
        <w:rPr>
          <w:spacing w:val="-4"/>
          <w:sz w:val="24"/>
        </w:rPr>
        <w:t> </w:t>
      </w:r>
      <w:r>
        <w:rPr>
          <w:sz w:val="24"/>
        </w:rPr>
        <w:t>the</w:t>
      </w:r>
      <w:r>
        <w:rPr>
          <w:spacing w:val="-4"/>
          <w:sz w:val="24"/>
        </w:rPr>
        <w:t> </w:t>
      </w:r>
      <w:r>
        <w:rPr>
          <w:sz w:val="24"/>
        </w:rPr>
        <w:t>parking</w:t>
      </w:r>
      <w:r>
        <w:rPr>
          <w:spacing w:val="-1"/>
          <w:sz w:val="24"/>
        </w:rPr>
        <w:t> </w:t>
      </w:r>
      <w:r>
        <w:rPr>
          <w:sz w:val="24"/>
        </w:rPr>
        <w:t>spaces</w:t>
      </w:r>
      <w:r>
        <w:rPr>
          <w:spacing w:val="-1"/>
          <w:sz w:val="24"/>
        </w:rPr>
        <w:t> </w:t>
      </w:r>
      <w:r>
        <w:rPr>
          <w:sz w:val="24"/>
        </w:rPr>
        <w:t>provided</w:t>
      </w:r>
      <w:r>
        <w:rPr>
          <w:spacing w:val="-1"/>
          <w:sz w:val="24"/>
        </w:rPr>
        <w:t> </w:t>
      </w:r>
      <w:r>
        <w:rPr>
          <w:sz w:val="24"/>
        </w:rPr>
        <w:t>for</w:t>
      </w:r>
      <w:r>
        <w:rPr>
          <w:spacing w:val="-1"/>
          <w:sz w:val="24"/>
        </w:rPr>
        <w:t> </w:t>
      </w:r>
      <w:r>
        <w:rPr>
          <w:sz w:val="24"/>
        </w:rPr>
        <w:t>4-wheeler</w:t>
      </w:r>
      <w:r>
        <w:rPr>
          <w:spacing w:val="-1"/>
          <w:sz w:val="24"/>
        </w:rPr>
        <w:t> </w:t>
      </w:r>
      <w:r>
        <w:rPr>
          <w:spacing w:val="-2"/>
          <w:sz w:val="24"/>
        </w:rPr>
        <w:t>vehicles.</w:t>
      </w:r>
    </w:p>
    <w:p>
      <w:pPr>
        <w:pStyle w:val="BodyText"/>
        <w:spacing w:before="60"/>
        <w:jc w:val="left"/>
      </w:pPr>
    </w:p>
    <w:p>
      <w:pPr>
        <w:pStyle w:val="BodyText"/>
        <w:ind w:left="2422"/>
        <w:jc w:val="left"/>
      </w:pPr>
      <w:r>
        <w:rPr/>
        <w:t>The</w:t>
      </w:r>
      <w:r>
        <w:rPr>
          <w:spacing w:val="-1"/>
        </w:rPr>
        <w:t> </w:t>
      </w:r>
      <w:r>
        <w:rPr/>
        <w:t>following shall be </w:t>
      </w:r>
      <w:r>
        <w:rPr>
          <w:spacing w:val="-2"/>
        </w:rPr>
        <w:t>provided.</w:t>
      </w:r>
    </w:p>
    <w:p>
      <w:pPr>
        <w:pStyle w:val="BodyText"/>
        <w:spacing w:before="58"/>
        <w:jc w:val="left"/>
      </w:pPr>
    </w:p>
    <w:p>
      <w:pPr>
        <w:pStyle w:val="ListParagraph"/>
        <w:numPr>
          <w:ilvl w:val="0"/>
          <w:numId w:val="216"/>
        </w:numPr>
        <w:tabs>
          <w:tab w:pos="2782" w:val="left" w:leader="none"/>
        </w:tabs>
        <w:spacing w:line="360" w:lineRule="auto" w:before="0" w:after="0"/>
        <w:ind w:left="2782" w:right="768" w:hanging="360"/>
        <w:jc w:val="left"/>
        <w:rPr>
          <w:sz w:val="24"/>
        </w:rPr>
      </w:pPr>
      <w:r>
        <w:rPr>
          <w:sz w:val="24"/>
        </w:rPr>
        <w:t>For</w:t>
      </w:r>
      <w:r>
        <w:rPr>
          <w:spacing w:val="40"/>
          <w:sz w:val="24"/>
        </w:rPr>
        <w:t> </w:t>
      </w:r>
      <w:r>
        <w:rPr>
          <w:sz w:val="24"/>
        </w:rPr>
        <w:t>2-wheeler</w:t>
      </w:r>
      <w:r>
        <w:rPr>
          <w:spacing w:val="40"/>
          <w:sz w:val="24"/>
        </w:rPr>
        <w:t> </w:t>
      </w:r>
      <w:r>
        <w:rPr>
          <w:sz w:val="24"/>
        </w:rPr>
        <w:t>vehicles,</w:t>
      </w:r>
      <w:r>
        <w:rPr>
          <w:spacing w:val="40"/>
          <w:sz w:val="24"/>
        </w:rPr>
        <w:t> </w:t>
      </w:r>
      <w:r>
        <w:rPr>
          <w:sz w:val="24"/>
        </w:rPr>
        <w:t>minimum</w:t>
      </w:r>
      <w:r>
        <w:rPr>
          <w:spacing w:val="40"/>
          <w:sz w:val="24"/>
        </w:rPr>
        <w:t> </w:t>
      </w:r>
      <w:r>
        <w:rPr>
          <w:sz w:val="24"/>
        </w:rPr>
        <w:t>25%</w:t>
      </w:r>
      <w:r>
        <w:rPr>
          <w:spacing w:val="40"/>
          <w:sz w:val="24"/>
        </w:rPr>
        <w:t> </w:t>
      </w:r>
      <w:r>
        <w:rPr>
          <w:sz w:val="24"/>
        </w:rPr>
        <w:t>of</w:t>
      </w:r>
      <w:r>
        <w:rPr>
          <w:spacing w:val="40"/>
          <w:sz w:val="24"/>
        </w:rPr>
        <w:t> </w:t>
      </w:r>
      <w:r>
        <w:rPr>
          <w:sz w:val="24"/>
        </w:rPr>
        <w:t>the</w:t>
      </w:r>
      <w:r>
        <w:rPr>
          <w:spacing w:val="40"/>
          <w:sz w:val="24"/>
        </w:rPr>
        <w:t> </w:t>
      </w:r>
      <w:r>
        <w:rPr>
          <w:sz w:val="24"/>
        </w:rPr>
        <w:t>total</w:t>
      </w:r>
      <w:r>
        <w:rPr>
          <w:spacing w:val="40"/>
          <w:sz w:val="24"/>
        </w:rPr>
        <w:t> </w:t>
      </w:r>
      <w:r>
        <w:rPr>
          <w:sz w:val="24"/>
        </w:rPr>
        <w:t>number</w:t>
      </w:r>
      <w:r>
        <w:rPr>
          <w:spacing w:val="40"/>
          <w:sz w:val="24"/>
        </w:rPr>
        <w:t> </w:t>
      </w:r>
      <w:r>
        <w:rPr>
          <w:sz w:val="24"/>
        </w:rPr>
        <w:t>of required parking for 4-wheelers, shall be provided.</w:t>
      </w:r>
    </w:p>
    <w:p>
      <w:pPr>
        <w:pStyle w:val="ListParagraph"/>
        <w:numPr>
          <w:ilvl w:val="0"/>
          <w:numId w:val="216"/>
        </w:numPr>
        <w:tabs>
          <w:tab w:pos="2781" w:val="left" w:leader="none"/>
        </w:tabs>
        <w:spacing w:line="240" w:lineRule="auto" w:before="1" w:after="0"/>
        <w:ind w:left="2781" w:right="0" w:hanging="359"/>
        <w:jc w:val="both"/>
        <w:rPr>
          <w:sz w:val="24"/>
        </w:rPr>
      </w:pPr>
      <w:r>
        <w:rPr>
          <w:sz w:val="24"/>
        </w:rPr>
        <w:t>Taxi</w:t>
      </w:r>
      <w:r>
        <w:rPr>
          <w:spacing w:val="-2"/>
          <w:sz w:val="24"/>
        </w:rPr>
        <w:t> </w:t>
      </w:r>
      <w:r>
        <w:rPr>
          <w:sz w:val="24"/>
        </w:rPr>
        <w:t>Stand</w:t>
      </w:r>
      <w:r>
        <w:rPr>
          <w:spacing w:val="-1"/>
          <w:sz w:val="24"/>
        </w:rPr>
        <w:t> </w:t>
      </w:r>
      <w:r>
        <w:rPr>
          <w:sz w:val="24"/>
        </w:rPr>
        <w:t>for</w:t>
      </w:r>
      <w:r>
        <w:rPr>
          <w:spacing w:val="-1"/>
          <w:sz w:val="24"/>
        </w:rPr>
        <w:t> </w:t>
      </w:r>
      <w:r>
        <w:rPr>
          <w:sz w:val="24"/>
        </w:rPr>
        <w:t>minimum</w:t>
      </w:r>
      <w:r>
        <w:rPr>
          <w:spacing w:val="-2"/>
          <w:sz w:val="24"/>
        </w:rPr>
        <w:t> </w:t>
      </w:r>
      <w:r>
        <w:rPr>
          <w:sz w:val="24"/>
        </w:rPr>
        <w:t>25</w:t>
      </w:r>
      <w:r>
        <w:rPr>
          <w:spacing w:val="-1"/>
          <w:sz w:val="24"/>
        </w:rPr>
        <w:t> </w:t>
      </w:r>
      <w:r>
        <w:rPr>
          <w:sz w:val="24"/>
        </w:rPr>
        <w:t>taxis</w:t>
      </w:r>
      <w:r>
        <w:rPr>
          <w:spacing w:val="-1"/>
          <w:sz w:val="24"/>
        </w:rPr>
        <w:t> </w:t>
      </w:r>
      <w:r>
        <w:rPr>
          <w:sz w:val="24"/>
        </w:rPr>
        <w:t>and</w:t>
      </w:r>
      <w:r>
        <w:rPr>
          <w:spacing w:val="-2"/>
          <w:sz w:val="24"/>
        </w:rPr>
        <w:t> </w:t>
      </w:r>
      <w:r>
        <w:rPr>
          <w:sz w:val="24"/>
        </w:rPr>
        <w:t>50</w:t>
      </w:r>
      <w:r>
        <w:rPr>
          <w:spacing w:val="-1"/>
          <w:sz w:val="24"/>
        </w:rPr>
        <w:t> </w:t>
      </w:r>
      <w:r>
        <w:rPr>
          <w:sz w:val="24"/>
        </w:rPr>
        <w:t>Auto</w:t>
      </w:r>
      <w:r>
        <w:rPr>
          <w:spacing w:val="-1"/>
          <w:sz w:val="24"/>
        </w:rPr>
        <w:t> </w:t>
      </w:r>
      <w:r>
        <w:rPr>
          <w:spacing w:val="-2"/>
          <w:sz w:val="24"/>
        </w:rPr>
        <w:t>Rikshaws.</w:t>
      </w:r>
    </w:p>
    <w:p>
      <w:pPr>
        <w:pStyle w:val="ListParagraph"/>
        <w:numPr>
          <w:ilvl w:val="0"/>
          <w:numId w:val="216"/>
        </w:numPr>
        <w:tabs>
          <w:tab w:pos="2781" w:val="left" w:leader="none"/>
        </w:tabs>
        <w:spacing w:line="240" w:lineRule="auto" w:before="140" w:after="0"/>
        <w:ind w:left="2781" w:right="0" w:hanging="359"/>
        <w:jc w:val="left"/>
        <w:rPr>
          <w:sz w:val="24"/>
        </w:rPr>
      </w:pPr>
      <w:r>
        <w:rPr>
          <w:sz w:val="24"/>
        </w:rPr>
        <w:t>Bus</w:t>
      </w:r>
      <w:r>
        <w:rPr>
          <w:spacing w:val="-1"/>
          <w:sz w:val="24"/>
        </w:rPr>
        <w:t> </w:t>
      </w:r>
      <w:r>
        <w:rPr>
          <w:sz w:val="24"/>
        </w:rPr>
        <w:t>Terminal for minimum 10</w:t>
      </w:r>
      <w:r>
        <w:rPr>
          <w:spacing w:val="-1"/>
          <w:sz w:val="24"/>
        </w:rPr>
        <w:t> </w:t>
      </w:r>
      <w:r>
        <w:rPr>
          <w:sz w:val="24"/>
        </w:rPr>
        <w:t>buses shall be </w:t>
      </w:r>
      <w:r>
        <w:rPr>
          <w:spacing w:val="-2"/>
          <w:sz w:val="24"/>
        </w:rPr>
        <w:t>provided.</w:t>
      </w:r>
    </w:p>
    <w:p>
      <w:pPr>
        <w:pStyle w:val="ListParagraph"/>
        <w:numPr>
          <w:ilvl w:val="0"/>
          <w:numId w:val="215"/>
        </w:numPr>
        <w:tabs>
          <w:tab w:pos="2422" w:val="left" w:leader="none"/>
          <w:tab w:pos="2498" w:val="left" w:leader="none"/>
        </w:tabs>
        <w:spacing w:line="360" w:lineRule="auto" w:before="141" w:after="0"/>
        <w:ind w:left="2422" w:right="769" w:hanging="720"/>
        <w:jc w:val="left"/>
        <w:rPr>
          <w:sz w:val="24"/>
        </w:rPr>
      </w:pPr>
      <w:r>
        <w:rPr>
          <w:sz w:val="24"/>
        </w:rPr>
        <w:tab/>
        <w:t>For the area of Support Services, parking shall be provided as per Regulation 44.</w:t>
      </w:r>
    </w:p>
    <w:p>
      <w:pPr>
        <w:pStyle w:val="ListParagraph"/>
        <w:numPr>
          <w:ilvl w:val="0"/>
          <w:numId w:val="215"/>
        </w:numPr>
        <w:tabs>
          <w:tab w:pos="2422" w:val="left" w:leader="none"/>
        </w:tabs>
        <w:spacing w:line="360" w:lineRule="auto" w:before="0" w:after="0"/>
        <w:ind w:left="2422" w:right="772" w:hanging="720"/>
        <w:jc w:val="left"/>
        <w:rPr>
          <w:sz w:val="24"/>
        </w:rPr>
      </w:pPr>
      <w:r>
        <w:rPr>
          <w:sz w:val="24"/>
        </w:rPr>
        <w:t>The additional parking space may be granted without counting the such area of parking into F.S.I.</w:t>
      </w:r>
    </w:p>
    <w:p>
      <w:pPr>
        <w:pStyle w:val="ListParagraph"/>
        <w:numPr>
          <w:ilvl w:val="0"/>
          <w:numId w:val="217"/>
        </w:numPr>
        <w:tabs>
          <w:tab w:pos="1655" w:val="left" w:leader="none"/>
        </w:tabs>
        <w:spacing w:line="360" w:lineRule="auto" w:before="2" w:after="0"/>
        <w:ind w:left="1342" w:right="768" w:firstLine="0"/>
        <w:jc w:val="left"/>
        <w:rPr>
          <w:sz w:val="24"/>
        </w:rPr>
      </w:pPr>
      <w:r>
        <w:rPr>
          <w:sz w:val="24"/>
        </w:rPr>
        <w:t>In CRZ areas, the FSI for such proposals, shall be governed by the MoEF Notification issued for time to time.</w:t>
      </w:r>
    </w:p>
    <w:p>
      <w:pPr>
        <w:pStyle w:val="ListParagraph"/>
        <w:numPr>
          <w:ilvl w:val="0"/>
          <w:numId w:val="217"/>
        </w:numPr>
        <w:tabs>
          <w:tab w:pos="1647" w:val="left" w:leader="none"/>
        </w:tabs>
        <w:spacing w:line="240" w:lineRule="auto" w:before="199" w:after="0"/>
        <w:ind w:left="1647" w:right="0" w:hanging="305"/>
        <w:jc w:val="left"/>
        <w:rPr>
          <w:sz w:val="25"/>
        </w:rPr>
      </w:pPr>
      <w:r>
        <w:rPr>
          <w:sz w:val="25"/>
        </w:rPr>
        <w:t>No</w:t>
      </w:r>
      <w:r>
        <w:rPr>
          <w:spacing w:val="-9"/>
          <w:sz w:val="25"/>
        </w:rPr>
        <w:t> </w:t>
      </w:r>
      <w:r>
        <w:rPr>
          <w:sz w:val="25"/>
        </w:rPr>
        <w:t>relaxation</w:t>
      </w:r>
      <w:r>
        <w:rPr>
          <w:spacing w:val="-5"/>
          <w:sz w:val="25"/>
        </w:rPr>
        <w:t> </w:t>
      </w:r>
      <w:r>
        <w:rPr>
          <w:sz w:val="25"/>
        </w:rPr>
        <w:t>shall</w:t>
      </w:r>
      <w:r>
        <w:rPr>
          <w:spacing w:val="-9"/>
          <w:sz w:val="25"/>
        </w:rPr>
        <w:t> </w:t>
      </w:r>
      <w:r>
        <w:rPr>
          <w:sz w:val="25"/>
        </w:rPr>
        <w:t>be</w:t>
      </w:r>
      <w:r>
        <w:rPr>
          <w:spacing w:val="-8"/>
          <w:sz w:val="25"/>
        </w:rPr>
        <w:t> </w:t>
      </w:r>
      <w:r>
        <w:rPr>
          <w:spacing w:val="-2"/>
          <w:sz w:val="25"/>
        </w:rPr>
        <w:t>granted.</w:t>
      </w:r>
    </w:p>
    <w:p>
      <w:pPr>
        <w:pStyle w:val="BodyText"/>
        <w:spacing w:before="283"/>
        <w:ind w:left="1342" w:right="766"/>
      </w:pPr>
      <w:r>
        <w:rPr/>
        <w:t>33(23) The regulations for Transit Oriented Development (TOD) FSI with the other conditionality to promote densification along Mass Transport Corridor will be formulated separately.</w:t>
      </w:r>
    </w:p>
    <w:p>
      <w:pPr>
        <w:spacing w:line="281" w:lineRule="exact" w:before="0"/>
        <w:ind w:left="2153" w:right="0" w:firstLine="0"/>
        <w:jc w:val="both"/>
        <w:rPr>
          <w:b/>
          <w:sz w:val="24"/>
        </w:rPr>
      </w:pPr>
      <w:r>
        <w:rPr>
          <w:b/>
          <w:sz w:val="24"/>
        </w:rPr>
        <w:t>(kept</w:t>
      </w:r>
      <w:r>
        <w:rPr>
          <w:b/>
          <w:spacing w:val="41"/>
          <w:sz w:val="24"/>
        </w:rPr>
        <w:t> </w:t>
      </w:r>
      <w:r>
        <w:rPr>
          <w:b/>
          <w:sz w:val="24"/>
        </w:rPr>
        <w:t>in</w:t>
      </w:r>
      <w:r>
        <w:rPr>
          <w:b/>
          <w:spacing w:val="42"/>
          <w:sz w:val="24"/>
        </w:rPr>
        <w:t> </w:t>
      </w:r>
      <w:r>
        <w:rPr>
          <w:b/>
          <w:spacing w:val="-2"/>
          <w:sz w:val="24"/>
        </w:rPr>
        <w:t>abeyance)</w:t>
      </w:r>
    </w:p>
    <w:p>
      <w:pPr>
        <w:spacing w:after="0" w:line="281" w:lineRule="exact"/>
        <w:jc w:val="both"/>
        <w:rPr>
          <w:b/>
          <w:sz w:val="24"/>
        </w:rPr>
        <w:sectPr>
          <w:pgSz w:w="11910" w:h="16840"/>
          <w:pgMar w:header="1065" w:footer="1194" w:top="1500" w:bottom="1380" w:left="360" w:right="360"/>
        </w:sectPr>
      </w:pPr>
    </w:p>
    <w:p>
      <w:pPr>
        <w:pStyle w:val="Heading1"/>
        <w:ind w:left="4568" w:hanging="3047"/>
        <w:jc w:val="left"/>
      </w:pPr>
      <w:r>
        <w:rPr/>
        <w:t>PART</w:t>
      </w:r>
      <w:r>
        <w:rPr>
          <w:spacing w:val="-6"/>
        </w:rPr>
        <w:t> </w:t>
      </w:r>
      <w:r>
        <w:rPr/>
        <w:t>VII</w:t>
      </w:r>
      <w:r>
        <w:rPr>
          <w:spacing w:val="-5"/>
        </w:rPr>
        <w:t> </w:t>
      </w:r>
      <w:r>
        <w:rPr/>
        <w:t>LAND</w:t>
      </w:r>
      <w:r>
        <w:rPr>
          <w:spacing w:val="-7"/>
        </w:rPr>
        <w:t> </w:t>
      </w:r>
      <w:r>
        <w:rPr/>
        <w:t>USE</w:t>
      </w:r>
      <w:r>
        <w:rPr>
          <w:spacing w:val="-5"/>
        </w:rPr>
        <w:t> </w:t>
      </w:r>
      <w:r>
        <w:rPr/>
        <w:t>CLASSIFICATION</w:t>
      </w:r>
      <w:r>
        <w:rPr>
          <w:spacing w:val="-8"/>
        </w:rPr>
        <w:t> </w:t>
      </w:r>
      <w:r>
        <w:rPr/>
        <w:t>AND</w:t>
      </w:r>
      <w:r>
        <w:rPr>
          <w:spacing w:val="-7"/>
        </w:rPr>
        <w:t> </w:t>
      </w:r>
      <w:r>
        <w:rPr/>
        <w:t>USES </w:t>
      </w:r>
      <w:r>
        <w:rPr>
          <w:spacing w:val="-2"/>
        </w:rPr>
        <w:t>PERMITTED</w:t>
      </w:r>
    </w:p>
    <w:p>
      <w:pPr>
        <w:pStyle w:val="Heading3"/>
        <w:numPr>
          <w:ilvl w:val="0"/>
          <w:numId w:val="133"/>
        </w:numPr>
        <w:tabs>
          <w:tab w:pos="1430" w:val="left" w:leader="none"/>
        </w:tabs>
        <w:spacing w:line="240" w:lineRule="auto" w:before="239" w:after="0"/>
        <w:ind w:left="1430" w:right="0" w:hanging="658"/>
        <w:jc w:val="left"/>
      </w:pPr>
      <w:r>
        <w:rPr/>
        <w:t>Land</w:t>
      </w:r>
      <w:r>
        <w:rPr>
          <w:spacing w:val="-5"/>
        </w:rPr>
        <w:t> </w:t>
      </w:r>
      <w:r>
        <w:rPr/>
        <w:t>use</w:t>
      </w:r>
      <w:r>
        <w:rPr>
          <w:spacing w:val="-3"/>
        </w:rPr>
        <w:t> </w:t>
      </w:r>
      <w:r>
        <w:rPr/>
        <w:t>Zoning</w:t>
      </w:r>
      <w:r>
        <w:rPr>
          <w:spacing w:val="-4"/>
        </w:rPr>
        <w:t> </w:t>
      </w:r>
      <w:r>
        <w:rPr/>
        <w:t>&amp;</w:t>
      </w:r>
      <w:r>
        <w:rPr>
          <w:spacing w:val="-3"/>
        </w:rPr>
        <w:t> </w:t>
      </w:r>
      <w:r>
        <w:rPr/>
        <w:t>Uses</w:t>
      </w:r>
      <w:r>
        <w:rPr>
          <w:spacing w:val="-4"/>
        </w:rPr>
        <w:t> </w:t>
      </w:r>
      <w:r>
        <w:rPr>
          <w:spacing w:val="-2"/>
        </w:rPr>
        <w:t>Permitted</w:t>
      </w:r>
    </w:p>
    <w:p>
      <w:pPr>
        <w:pStyle w:val="BodyText"/>
        <w:spacing w:before="242"/>
        <w:ind w:left="1433"/>
        <w:jc w:val="left"/>
      </w:pPr>
      <w:r>
        <w:rPr/>
        <w:t>The</w:t>
      </w:r>
      <w:r>
        <w:rPr>
          <w:spacing w:val="49"/>
        </w:rPr>
        <w:t> </w:t>
      </w:r>
      <w:r>
        <w:rPr/>
        <w:t>Proposed</w:t>
      </w:r>
      <w:r>
        <w:rPr>
          <w:spacing w:val="49"/>
        </w:rPr>
        <w:t> </w:t>
      </w:r>
      <w:r>
        <w:rPr>
          <w:spacing w:val="10"/>
        </w:rPr>
        <w:t>Land-</w:t>
      </w:r>
      <w:r>
        <w:rPr/>
        <w:t>use</w:t>
      </w:r>
      <w:r>
        <w:rPr>
          <w:spacing w:val="49"/>
        </w:rPr>
        <w:t> </w:t>
      </w:r>
      <w:r>
        <w:rPr/>
        <w:t>plan</w:t>
      </w:r>
      <w:r>
        <w:rPr>
          <w:spacing w:val="50"/>
        </w:rPr>
        <w:t> </w:t>
      </w:r>
      <w:r>
        <w:rPr/>
        <w:t>depicts</w:t>
      </w:r>
      <w:r>
        <w:rPr>
          <w:spacing w:val="49"/>
        </w:rPr>
        <w:t> </w:t>
      </w:r>
      <w:r>
        <w:rPr/>
        <w:t>the</w:t>
      </w:r>
      <w:r>
        <w:rPr>
          <w:spacing w:val="57"/>
        </w:rPr>
        <w:t> </w:t>
      </w:r>
      <w:r>
        <w:rPr/>
        <w:t>land</w:t>
      </w:r>
      <w:r>
        <w:rPr>
          <w:spacing w:val="53"/>
        </w:rPr>
        <w:t> </w:t>
      </w:r>
      <w:r>
        <w:rPr/>
        <w:t>use</w:t>
      </w:r>
      <w:r>
        <w:rPr>
          <w:spacing w:val="50"/>
        </w:rPr>
        <w:t> </w:t>
      </w:r>
      <w:r>
        <w:rPr>
          <w:spacing w:val="-2"/>
        </w:rPr>
        <w:t>zones.</w:t>
      </w:r>
    </w:p>
    <w:p>
      <w:pPr>
        <w:pStyle w:val="Heading6"/>
        <w:numPr>
          <w:ilvl w:val="1"/>
          <w:numId w:val="133"/>
        </w:numPr>
        <w:tabs>
          <w:tab w:pos="1303" w:val="left" w:leader="none"/>
        </w:tabs>
        <w:spacing w:line="240" w:lineRule="auto" w:before="239" w:after="0"/>
        <w:ind w:left="1303" w:right="0" w:hanging="259"/>
        <w:jc w:val="left"/>
        <w:rPr>
          <w:b w:val="0"/>
        </w:rPr>
      </w:pPr>
      <w:r>
        <w:rPr>
          <w:spacing w:val="-2"/>
        </w:rPr>
        <w:t>General</w:t>
      </w:r>
      <w:r>
        <w:rPr>
          <w:b w:val="0"/>
          <w:spacing w:val="-2"/>
        </w:rPr>
        <w:t>:</w:t>
      </w:r>
    </w:p>
    <w:p>
      <w:pPr>
        <w:pStyle w:val="BodyText"/>
        <w:spacing w:before="241"/>
        <w:ind w:left="1404" w:right="1697"/>
        <w:jc w:val="left"/>
      </w:pPr>
      <w:r>
        <w:rPr/>
        <w:t>In</w:t>
      </w:r>
      <w:r>
        <w:rPr>
          <w:spacing w:val="40"/>
        </w:rPr>
        <w:t> </w:t>
      </w:r>
      <w:r>
        <w:rPr/>
        <w:t>case</w:t>
      </w:r>
      <w:r>
        <w:rPr>
          <w:spacing w:val="40"/>
        </w:rPr>
        <w:t> </w:t>
      </w:r>
      <w:r>
        <w:rPr/>
        <w:t>of</w:t>
      </w:r>
      <w:r>
        <w:rPr>
          <w:spacing w:val="40"/>
        </w:rPr>
        <w:t> </w:t>
      </w:r>
      <w:r>
        <w:rPr/>
        <w:t>development</w:t>
      </w:r>
      <w:r>
        <w:rPr>
          <w:spacing w:val="40"/>
        </w:rPr>
        <w:t> </w:t>
      </w:r>
      <w:r>
        <w:rPr/>
        <w:t>of</w:t>
      </w:r>
      <w:r>
        <w:rPr>
          <w:spacing w:val="40"/>
        </w:rPr>
        <w:t> </w:t>
      </w:r>
      <w:r>
        <w:rPr/>
        <w:t>any</w:t>
      </w:r>
      <w:r>
        <w:rPr>
          <w:spacing w:val="40"/>
        </w:rPr>
        <w:t> </w:t>
      </w:r>
      <w:r>
        <w:rPr/>
        <w:t>land,</w:t>
      </w:r>
      <w:r>
        <w:rPr>
          <w:spacing w:val="40"/>
        </w:rPr>
        <w:t> </w:t>
      </w:r>
      <w:r>
        <w:rPr/>
        <w:t>the</w:t>
      </w:r>
      <w:r>
        <w:rPr>
          <w:spacing w:val="40"/>
        </w:rPr>
        <w:t> </w:t>
      </w:r>
      <w:r>
        <w:rPr/>
        <w:t>intended</w:t>
      </w:r>
      <w:r>
        <w:rPr>
          <w:spacing w:val="40"/>
        </w:rPr>
        <w:t> </w:t>
      </w:r>
      <w:r>
        <w:rPr/>
        <w:t>use</w:t>
      </w:r>
      <w:r>
        <w:rPr>
          <w:spacing w:val="40"/>
        </w:rPr>
        <w:t> </w:t>
      </w:r>
      <w:r>
        <w:rPr/>
        <w:t>shall conform</w:t>
      </w:r>
      <w:r>
        <w:rPr>
          <w:spacing w:val="40"/>
        </w:rPr>
        <w:t> </w:t>
      </w:r>
      <w:r>
        <w:rPr/>
        <w:t>to</w:t>
      </w:r>
      <w:r>
        <w:rPr>
          <w:spacing w:val="40"/>
        </w:rPr>
        <w:t> </w:t>
      </w:r>
      <w:r>
        <w:rPr/>
        <w:t>the</w:t>
      </w:r>
      <w:r>
        <w:rPr>
          <w:spacing w:val="40"/>
        </w:rPr>
        <w:t> </w:t>
      </w:r>
      <w:r>
        <w:rPr/>
        <w:t>permissible</w:t>
      </w:r>
      <w:r>
        <w:rPr>
          <w:spacing w:val="40"/>
        </w:rPr>
        <w:t> </w:t>
      </w:r>
      <w:r>
        <w:rPr/>
        <w:t>uses</w:t>
      </w:r>
      <w:r>
        <w:rPr>
          <w:spacing w:val="40"/>
        </w:rPr>
        <w:t> </w:t>
      </w:r>
      <w:r>
        <w:rPr/>
        <w:t>of</w:t>
      </w:r>
      <w:r>
        <w:rPr>
          <w:spacing w:val="40"/>
        </w:rPr>
        <w:t> </w:t>
      </w:r>
      <w:r>
        <w:rPr/>
        <w:t>the</w:t>
      </w:r>
      <w:r>
        <w:rPr>
          <w:spacing w:val="40"/>
        </w:rPr>
        <w:t> </w:t>
      </w:r>
      <w:r>
        <w:rPr/>
        <w:t>zone</w:t>
      </w:r>
      <w:r>
        <w:rPr>
          <w:spacing w:val="40"/>
        </w:rPr>
        <w:t> </w:t>
      </w:r>
      <w:r>
        <w:rPr/>
        <w:t>in</w:t>
      </w:r>
      <w:r>
        <w:rPr>
          <w:spacing w:val="40"/>
        </w:rPr>
        <w:t> </w:t>
      </w:r>
      <w:r>
        <w:rPr/>
        <w:t>which</w:t>
      </w:r>
      <w:r>
        <w:rPr>
          <w:spacing w:val="40"/>
        </w:rPr>
        <w:t> </w:t>
      </w:r>
      <w:r>
        <w:rPr/>
        <w:t>the</w:t>
      </w:r>
      <w:r>
        <w:rPr>
          <w:spacing w:val="40"/>
        </w:rPr>
        <w:t> </w:t>
      </w:r>
      <w:r>
        <w:rPr/>
        <w:t>land</w:t>
      </w:r>
      <w:r>
        <w:rPr>
          <w:spacing w:val="40"/>
        </w:rPr>
        <w:t> </w:t>
      </w:r>
      <w:r>
        <w:rPr/>
        <w:t>is </w:t>
      </w:r>
      <w:r>
        <w:rPr>
          <w:spacing w:val="-2"/>
        </w:rPr>
        <w:t>situated.</w:t>
      </w:r>
    </w:p>
    <w:p>
      <w:pPr>
        <w:pStyle w:val="Heading6"/>
        <w:numPr>
          <w:ilvl w:val="1"/>
          <w:numId w:val="133"/>
        </w:numPr>
        <w:tabs>
          <w:tab w:pos="1303" w:val="left" w:leader="none"/>
        </w:tabs>
        <w:spacing w:line="240" w:lineRule="auto" w:before="238" w:after="0"/>
        <w:ind w:left="1303" w:right="0" w:hanging="259"/>
        <w:jc w:val="left"/>
      </w:pPr>
      <w:r>
        <w:rPr/>
        <w:t>Zoning</w:t>
      </w:r>
      <w:r>
        <w:rPr>
          <w:spacing w:val="66"/>
        </w:rPr>
        <w:t> </w:t>
      </w:r>
      <w:r>
        <w:rPr>
          <w:spacing w:val="-2"/>
        </w:rPr>
        <w:t>definitions:</w:t>
      </w:r>
    </w:p>
    <w:p>
      <w:pPr>
        <w:pStyle w:val="BodyText"/>
        <w:spacing w:before="244"/>
        <w:ind w:left="1404" w:right="1697"/>
        <w:jc w:val="left"/>
      </w:pPr>
      <w:r>
        <w:rPr/>
        <w:t>Following</w:t>
      </w:r>
      <w:r>
        <w:rPr>
          <w:spacing w:val="40"/>
        </w:rPr>
        <w:t> </w:t>
      </w:r>
      <w:r>
        <w:rPr/>
        <w:t>land</w:t>
      </w:r>
      <w:r>
        <w:rPr>
          <w:spacing w:val="40"/>
        </w:rPr>
        <w:t> </w:t>
      </w:r>
      <w:r>
        <w:rPr/>
        <w:t>use</w:t>
      </w:r>
      <w:r>
        <w:rPr>
          <w:spacing w:val="40"/>
        </w:rPr>
        <w:t> </w:t>
      </w:r>
      <w:r>
        <w:rPr/>
        <w:t>zones</w:t>
      </w:r>
      <w:r>
        <w:rPr>
          <w:spacing w:val="40"/>
        </w:rPr>
        <w:t> </w:t>
      </w:r>
      <w:r>
        <w:rPr/>
        <w:t>are</w:t>
      </w:r>
      <w:r>
        <w:rPr>
          <w:spacing w:val="40"/>
        </w:rPr>
        <w:t> </w:t>
      </w:r>
      <w:r>
        <w:rPr/>
        <w:t>demarcated</w:t>
      </w:r>
      <w:r>
        <w:rPr>
          <w:spacing w:val="40"/>
        </w:rPr>
        <w:t> </w:t>
      </w:r>
      <w:r>
        <w:rPr/>
        <w:t>on</w:t>
      </w:r>
      <w:r>
        <w:rPr>
          <w:spacing w:val="40"/>
        </w:rPr>
        <w:t> </w:t>
      </w:r>
      <w:r>
        <w:rPr/>
        <w:t>the</w:t>
      </w:r>
      <w:r>
        <w:rPr>
          <w:spacing w:val="40"/>
        </w:rPr>
        <w:t> </w:t>
      </w:r>
      <w:r>
        <w:rPr/>
        <w:t>Proposed</w:t>
      </w:r>
      <w:r>
        <w:rPr>
          <w:spacing w:val="40"/>
        </w:rPr>
        <w:t> </w:t>
      </w:r>
      <w:r>
        <w:rPr/>
        <w:t>Land- use Plan.</w:t>
      </w:r>
    </w:p>
    <w:p>
      <w:pPr>
        <w:pStyle w:val="Heading5"/>
        <w:spacing w:before="240"/>
        <w:ind w:left="953"/>
      </w:pPr>
      <w:r>
        <w:rPr/>
        <w:t>Table</w:t>
      </w:r>
      <w:r>
        <w:rPr>
          <w:spacing w:val="47"/>
        </w:rPr>
        <w:t> </w:t>
      </w:r>
      <w:r>
        <w:rPr/>
        <w:t>No.</w:t>
      </w:r>
      <w:r>
        <w:rPr>
          <w:spacing w:val="47"/>
        </w:rPr>
        <w:t> </w:t>
      </w:r>
      <w:r>
        <w:rPr>
          <w:spacing w:val="-10"/>
        </w:rPr>
        <w:t>A</w:t>
      </w:r>
    </w:p>
    <w:p>
      <w:pPr>
        <w:spacing w:before="239"/>
        <w:ind w:left="0" w:right="279" w:firstLine="0"/>
        <w:jc w:val="center"/>
        <w:rPr>
          <w:b/>
          <w:sz w:val="24"/>
        </w:rPr>
      </w:pPr>
      <w:r>
        <w:rPr>
          <w:b/>
          <w:sz w:val="24"/>
        </w:rPr>
        <w:t>Zoning</w:t>
      </w:r>
      <w:r>
        <w:rPr>
          <w:b/>
          <w:spacing w:val="64"/>
          <w:sz w:val="24"/>
        </w:rPr>
        <w:t> </w:t>
      </w:r>
      <w:r>
        <w:rPr>
          <w:b/>
          <w:spacing w:val="-2"/>
          <w:sz w:val="24"/>
        </w:rPr>
        <w:t>Definitions</w:t>
      </w:r>
    </w:p>
    <w:p>
      <w:pPr>
        <w:pStyle w:val="BodyText"/>
        <w:spacing w:before="5"/>
        <w:jc w:val="left"/>
        <w:rPr>
          <w:b/>
          <w:sz w:val="20"/>
        </w:rPr>
      </w:pPr>
    </w:p>
    <w:tbl>
      <w:tblPr>
        <w:tblW w:w="0" w:type="auto"/>
        <w:jc w:val="left"/>
        <w:tblInd w:w="1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2"/>
        <w:gridCol w:w="2341"/>
        <w:gridCol w:w="3848"/>
      </w:tblGrid>
      <w:tr>
        <w:trPr>
          <w:trHeight w:val="362" w:hRule="atLeast"/>
        </w:trPr>
        <w:tc>
          <w:tcPr>
            <w:tcW w:w="2792" w:type="dxa"/>
            <w:shd w:val="clear" w:color="auto" w:fill="EDEBE0"/>
          </w:tcPr>
          <w:p>
            <w:pPr>
              <w:pStyle w:val="TableParagraph"/>
              <w:spacing w:before="40"/>
              <w:ind w:left="107"/>
              <w:rPr>
                <w:sz w:val="24"/>
              </w:rPr>
            </w:pPr>
            <w:r>
              <w:rPr>
                <w:spacing w:val="-4"/>
                <w:sz w:val="24"/>
              </w:rPr>
              <w:t>Zone</w:t>
            </w:r>
          </w:p>
        </w:tc>
        <w:tc>
          <w:tcPr>
            <w:tcW w:w="2341" w:type="dxa"/>
            <w:shd w:val="clear" w:color="auto" w:fill="EDEBE0"/>
          </w:tcPr>
          <w:p>
            <w:pPr>
              <w:pStyle w:val="TableParagraph"/>
              <w:spacing w:before="40"/>
              <w:ind w:left="107"/>
              <w:rPr>
                <w:sz w:val="24"/>
              </w:rPr>
            </w:pPr>
            <w:r>
              <w:rPr>
                <w:spacing w:val="7"/>
                <w:sz w:val="24"/>
              </w:rPr>
              <w:t>Representation</w:t>
            </w:r>
          </w:p>
        </w:tc>
        <w:tc>
          <w:tcPr>
            <w:tcW w:w="3848" w:type="dxa"/>
            <w:shd w:val="clear" w:color="auto" w:fill="EDEBE0"/>
          </w:tcPr>
          <w:p>
            <w:pPr>
              <w:pStyle w:val="TableParagraph"/>
              <w:spacing w:before="40"/>
              <w:ind w:left="646"/>
              <w:rPr>
                <w:sz w:val="24"/>
              </w:rPr>
            </w:pPr>
            <w:r>
              <w:rPr>
                <w:sz w:val="24"/>
              </w:rPr>
              <w:t>Broad</w:t>
            </w:r>
            <w:r>
              <w:rPr>
                <w:spacing w:val="55"/>
                <w:sz w:val="24"/>
              </w:rPr>
              <w:t> </w:t>
            </w:r>
            <w:r>
              <w:rPr>
                <w:spacing w:val="7"/>
                <w:sz w:val="24"/>
              </w:rPr>
              <w:t>Description</w:t>
            </w:r>
          </w:p>
        </w:tc>
      </w:tr>
      <w:tr>
        <w:trPr>
          <w:trHeight w:val="1771" w:hRule="atLeast"/>
        </w:trPr>
        <w:tc>
          <w:tcPr>
            <w:tcW w:w="2792" w:type="dxa"/>
          </w:tcPr>
          <w:p>
            <w:pPr>
              <w:pStyle w:val="TableParagraph"/>
              <w:spacing w:before="40"/>
              <w:ind w:left="107" w:right="307"/>
              <w:rPr>
                <w:sz w:val="24"/>
              </w:rPr>
            </w:pPr>
            <w:r>
              <w:rPr>
                <w:sz w:val="24"/>
              </w:rPr>
              <w:t>Residential </w:t>
            </w:r>
            <w:r>
              <w:rPr>
                <w:spacing w:val="9"/>
                <w:sz w:val="24"/>
              </w:rPr>
              <w:t>Zone(R </w:t>
            </w:r>
            <w:r>
              <w:rPr>
                <w:sz w:val="24"/>
              </w:rPr>
              <w:t>– Zone)</w:t>
            </w:r>
          </w:p>
        </w:tc>
        <w:tc>
          <w:tcPr>
            <w:tcW w:w="2341" w:type="dxa"/>
          </w:tcPr>
          <w:p>
            <w:pPr>
              <w:pStyle w:val="TableParagraph"/>
              <w:spacing w:before="37"/>
              <w:ind w:left="647"/>
              <w:rPr>
                <w:sz w:val="24"/>
              </w:rPr>
            </w:pPr>
            <w:r>
              <w:rPr>
                <w:spacing w:val="-10"/>
                <w:sz w:val="24"/>
              </w:rPr>
              <w:t>R</w:t>
            </w:r>
          </w:p>
        </w:tc>
        <w:tc>
          <w:tcPr>
            <w:tcW w:w="3848" w:type="dxa"/>
          </w:tcPr>
          <w:p>
            <w:pPr>
              <w:pStyle w:val="TableParagraph"/>
              <w:spacing w:before="40"/>
              <w:ind w:left="106" w:right="192"/>
              <w:jc w:val="both"/>
              <w:rPr>
                <w:sz w:val="24"/>
              </w:rPr>
            </w:pPr>
            <w:r>
              <w:rPr>
                <w:sz w:val="24"/>
              </w:rPr>
              <w:t>The Residential Zone is a mixed use zone with residential use as the predominant one and where other uses as specified are </w:t>
            </w:r>
            <w:r>
              <w:rPr>
                <w:spacing w:val="7"/>
                <w:sz w:val="24"/>
              </w:rPr>
              <w:t>permitted.</w:t>
            </w:r>
          </w:p>
        </w:tc>
      </w:tr>
      <w:tr>
        <w:trPr>
          <w:trHeight w:val="1770" w:hRule="atLeast"/>
        </w:trPr>
        <w:tc>
          <w:tcPr>
            <w:tcW w:w="2792" w:type="dxa"/>
          </w:tcPr>
          <w:p>
            <w:pPr>
              <w:pStyle w:val="TableParagraph"/>
              <w:spacing w:before="40"/>
              <w:ind w:left="107" w:right="179"/>
              <w:rPr>
                <w:sz w:val="24"/>
              </w:rPr>
            </w:pPr>
            <w:r>
              <w:rPr>
                <w:sz w:val="24"/>
              </w:rPr>
              <w:t>Commercial Zone (C</w:t>
            </w:r>
            <w:r>
              <w:rPr>
                <w:spacing w:val="40"/>
                <w:sz w:val="24"/>
              </w:rPr>
              <w:t> </w:t>
            </w:r>
            <w:r>
              <w:rPr>
                <w:sz w:val="24"/>
              </w:rPr>
              <w:t>– Zone)</w:t>
            </w:r>
          </w:p>
        </w:tc>
        <w:tc>
          <w:tcPr>
            <w:tcW w:w="2341" w:type="dxa"/>
          </w:tcPr>
          <w:p>
            <w:pPr>
              <w:pStyle w:val="TableParagraph"/>
              <w:spacing w:before="37"/>
              <w:ind w:left="647"/>
              <w:rPr>
                <w:sz w:val="24"/>
              </w:rPr>
            </w:pPr>
            <w:r>
              <w:rPr>
                <w:spacing w:val="-10"/>
                <w:sz w:val="24"/>
              </w:rPr>
              <w:t>C</w:t>
            </w:r>
          </w:p>
        </w:tc>
        <w:tc>
          <w:tcPr>
            <w:tcW w:w="3848" w:type="dxa"/>
          </w:tcPr>
          <w:p>
            <w:pPr>
              <w:pStyle w:val="TableParagraph"/>
              <w:spacing w:before="40"/>
              <w:ind w:left="106" w:right="199"/>
              <w:jc w:val="both"/>
              <w:rPr>
                <w:sz w:val="24"/>
              </w:rPr>
            </w:pPr>
            <w:r>
              <w:rPr>
                <w:sz w:val="24"/>
              </w:rPr>
              <w:t>The Commercial Zone is a mixed use zone with commercial use as the predominant one and where other uses as specified are </w:t>
            </w:r>
            <w:r>
              <w:rPr>
                <w:spacing w:val="7"/>
                <w:sz w:val="24"/>
              </w:rPr>
              <w:t>permitted.</w:t>
            </w:r>
          </w:p>
        </w:tc>
      </w:tr>
      <w:tr>
        <w:trPr>
          <w:trHeight w:val="3139" w:hRule="atLeast"/>
        </w:trPr>
        <w:tc>
          <w:tcPr>
            <w:tcW w:w="2792" w:type="dxa"/>
          </w:tcPr>
          <w:p>
            <w:pPr>
              <w:pStyle w:val="TableParagraph"/>
              <w:spacing w:before="40"/>
              <w:ind w:left="107"/>
              <w:rPr>
                <w:sz w:val="24"/>
              </w:rPr>
            </w:pPr>
            <w:r>
              <w:rPr>
                <w:sz w:val="24"/>
              </w:rPr>
              <w:t>Industrial Zone (I – </w:t>
            </w:r>
            <w:r>
              <w:rPr>
                <w:spacing w:val="-2"/>
                <w:sz w:val="24"/>
              </w:rPr>
              <w:t>Zone)</w:t>
            </w:r>
          </w:p>
        </w:tc>
        <w:tc>
          <w:tcPr>
            <w:tcW w:w="2341" w:type="dxa"/>
          </w:tcPr>
          <w:p>
            <w:pPr>
              <w:pStyle w:val="TableParagraph"/>
              <w:spacing w:before="37"/>
              <w:ind w:left="647"/>
              <w:rPr>
                <w:sz w:val="24"/>
              </w:rPr>
            </w:pPr>
            <w:r>
              <w:rPr>
                <w:spacing w:val="-10"/>
                <w:sz w:val="24"/>
              </w:rPr>
              <w:t>I</w:t>
            </w:r>
          </w:p>
        </w:tc>
        <w:tc>
          <w:tcPr>
            <w:tcW w:w="3848" w:type="dxa"/>
          </w:tcPr>
          <w:p>
            <w:pPr>
              <w:pStyle w:val="TableParagraph"/>
              <w:tabs>
                <w:tab w:pos="1937" w:val="left" w:leader="none"/>
                <w:tab w:pos="3134" w:val="left" w:leader="none"/>
              </w:tabs>
              <w:spacing w:before="40"/>
              <w:ind w:left="106" w:right="192"/>
              <w:jc w:val="both"/>
              <w:rPr>
                <w:sz w:val="24"/>
              </w:rPr>
            </w:pPr>
            <w:r>
              <w:rPr>
                <w:sz w:val="24"/>
              </w:rPr>
              <w:t>Industrial</w:t>
            </w:r>
            <w:r>
              <w:rPr>
                <w:spacing w:val="40"/>
                <w:sz w:val="24"/>
              </w:rPr>
              <w:t> </w:t>
            </w:r>
            <w:r>
              <w:rPr>
                <w:sz w:val="24"/>
              </w:rPr>
              <w:t>zone</w:t>
            </w:r>
            <w:r>
              <w:rPr>
                <w:spacing w:val="40"/>
                <w:sz w:val="24"/>
              </w:rPr>
              <w:t> </w:t>
            </w:r>
            <w:r>
              <w:rPr>
                <w:sz w:val="24"/>
              </w:rPr>
              <w:t>is</w:t>
            </w:r>
            <w:r>
              <w:rPr>
                <w:spacing w:val="40"/>
                <w:sz w:val="24"/>
              </w:rPr>
              <w:t> </w:t>
            </w:r>
            <w:r>
              <w:rPr>
                <w:sz w:val="24"/>
              </w:rPr>
              <w:t>a</w:t>
            </w:r>
            <w:r>
              <w:rPr>
                <w:spacing w:val="40"/>
                <w:sz w:val="24"/>
              </w:rPr>
              <w:t> </w:t>
            </w:r>
            <w:r>
              <w:rPr>
                <w:sz w:val="24"/>
              </w:rPr>
              <w:t>zone with manufacturing as the primary</w:t>
            </w:r>
            <w:r>
              <w:rPr>
                <w:spacing w:val="80"/>
                <w:sz w:val="24"/>
              </w:rPr>
              <w:t> </w:t>
            </w:r>
            <w:r>
              <w:rPr>
                <w:sz w:val="24"/>
              </w:rPr>
              <w:t>activity.</w:t>
            </w:r>
            <w:r>
              <w:rPr>
                <w:spacing w:val="80"/>
                <w:sz w:val="24"/>
              </w:rPr>
              <w:t> </w:t>
            </w:r>
            <w:r>
              <w:rPr>
                <w:sz w:val="24"/>
              </w:rPr>
              <w:t>In</w:t>
            </w:r>
            <w:r>
              <w:rPr>
                <w:spacing w:val="80"/>
                <w:sz w:val="24"/>
              </w:rPr>
              <w:t> </w:t>
            </w:r>
            <w:r>
              <w:rPr>
                <w:sz w:val="24"/>
              </w:rPr>
              <w:t>addition, warehousing </w:t>
            </w:r>
            <w:r>
              <w:rPr>
                <w:spacing w:val="9"/>
                <w:sz w:val="24"/>
              </w:rPr>
              <w:t>and </w:t>
            </w:r>
            <w:r>
              <w:rPr>
                <w:spacing w:val="-2"/>
                <w:sz w:val="24"/>
              </w:rPr>
              <w:t>logistics</w:t>
            </w:r>
            <w:r>
              <w:rPr>
                <w:sz w:val="24"/>
              </w:rPr>
              <w:tab/>
            </w:r>
            <w:r>
              <w:rPr>
                <w:spacing w:val="-4"/>
                <w:sz w:val="24"/>
              </w:rPr>
              <w:t>are</w:t>
            </w:r>
            <w:r>
              <w:rPr>
                <w:sz w:val="24"/>
              </w:rPr>
              <w:tab/>
            </w:r>
            <w:r>
              <w:rPr>
                <w:spacing w:val="-4"/>
                <w:sz w:val="24"/>
              </w:rPr>
              <w:t>also </w:t>
            </w:r>
            <w:r>
              <w:rPr>
                <w:sz w:val="24"/>
              </w:rPr>
              <w:t>permissible. New industrial activity shall be non- polluting, </w:t>
            </w:r>
            <w:r>
              <w:rPr>
                <w:spacing w:val="10"/>
                <w:sz w:val="24"/>
              </w:rPr>
              <w:t>non-</w:t>
            </w:r>
            <w:r>
              <w:rPr>
                <w:sz w:val="24"/>
              </w:rPr>
              <w:t>hazardous</w:t>
            </w:r>
            <w:r>
              <w:rPr>
                <w:spacing w:val="80"/>
                <w:sz w:val="24"/>
              </w:rPr>
              <w:t> </w:t>
            </w:r>
            <w:r>
              <w:rPr>
                <w:sz w:val="24"/>
              </w:rPr>
              <w:t>and</w:t>
            </w:r>
            <w:r>
              <w:rPr>
                <w:spacing w:val="40"/>
                <w:sz w:val="24"/>
              </w:rPr>
              <w:t> </w:t>
            </w:r>
            <w:r>
              <w:rPr>
                <w:sz w:val="24"/>
              </w:rPr>
              <w:t>subject</w:t>
            </w:r>
            <w:r>
              <w:rPr>
                <w:spacing w:val="40"/>
                <w:sz w:val="24"/>
              </w:rPr>
              <w:t> </w:t>
            </w:r>
            <w:r>
              <w:rPr>
                <w:sz w:val="24"/>
              </w:rPr>
              <w:t>to</w:t>
            </w:r>
            <w:r>
              <w:rPr>
                <w:spacing w:val="40"/>
                <w:sz w:val="24"/>
              </w:rPr>
              <w:t> </w:t>
            </w:r>
            <w:r>
              <w:rPr>
                <w:sz w:val="24"/>
              </w:rPr>
              <w:t>clearance from</w:t>
            </w:r>
            <w:r>
              <w:rPr>
                <w:spacing w:val="76"/>
                <w:w w:val="150"/>
                <w:sz w:val="24"/>
              </w:rPr>
              <w:t>   </w:t>
            </w:r>
            <w:r>
              <w:rPr>
                <w:sz w:val="24"/>
              </w:rPr>
              <w:t>MPCB.</w:t>
            </w:r>
            <w:r>
              <w:rPr>
                <w:spacing w:val="78"/>
                <w:w w:val="150"/>
                <w:sz w:val="24"/>
              </w:rPr>
              <w:t>   </w:t>
            </w:r>
            <w:r>
              <w:rPr>
                <w:spacing w:val="-2"/>
                <w:sz w:val="24"/>
              </w:rPr>
              <w:t>Existing</w:t>
            </w:r>
          </w:p>
          <w:p>
            <w:pPr>
              <w:pStyle w:val="TableParagraph"/>
              <w:spacing w:line="261" w:lineRule="exact" w:before="1"/>
              <w:ind w:left="106"/>
              <w:jc w:val="both"/>
              <w:rPr>
                <w:sz w:val="24"/>
              </w:rPr>
            </w:pPr>
            <w:r>
              <w:rPr>
                <w:sz w:val="24"/>
              </w:rPr>
              <w:t>Industrial</w:t>
            </w:r>
            <w:r>
              <w:rPr>
                <w:spacing w:val="50"/>
                <w:w w:val="150"/>
                <w:sz w:val="24"/>
              </w:rPr>
              <w:t>    </w:t>
            </w:r>
            <w:r>
              <w:rPr>
                <w:sz w:val="24"/>
              </w:rPr>
              <w:t>users</w:t>
            </w:r>
            <w:r>
              <w:rPr>
                <w:spacing w:val="51"/>
                <w:w w:val="150"/>
                <w:sz w:val="24"/>
              </w:rPr>
              <w:t>    </w:t>
            </w:r>
            <w:r>
              <w:rPr>
                <w:spacing w:val="-5"/>
                <w:sz w:val="24"/>
              </w:rPr>
              <w:t>are</w:t>
            </w:r>
          </w:p>
        </w:tc>
      </w:tr>
    </w:tbl>
    <w:p>
      <w:pPr>
        <w:pStyle w:val="TableParagraph"/>
        <w:spacing w:after="0" w:line="261" w:lineRule="exact"/>
        <w:jc w:val="both"/>
        <w:rPr>
          <w:sz w:val="24"/>
        </w:rPr>
        <w:sectPr>
          <w:headerReference w:type="default" r:id="rId53"/>
          <w:footerReference w:type="default" r:id="rId54"/>
          <w:pgSz w:w="11910" w:h="16840"/>
          <w:pgMar w:header="1058" w:footer="1088" w:top="1500" w:bottom="1280" w:left="360" w:right="360"/>
        </w:sectPr>
      </w:pPr>
    </w:p>
    <w:p>
      <w:pPr>
        <w:pStyle w:val="BodyText"/>
        <w:spacing w:before="20"/>
        <w:jc w:val="left"/>
        <w:rPr>
          <w:b/>
          <w:sz w:val="20"/>
        </w:rPr>
      </w:pPr>
    </w:p>
    <w:tbl>
      <w:tblPr>
        <w:tblW w:w="0" w:type="auto"/>
        <w:jc w:val="left"/>
        <w:tblInd w:w="1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2"/>
        <w:gridCol w:w="2341"/>
        <w:gridCol w:w="3848"/>
      </w:tblGrid>
      <w:tr>
        <w:trPr>
          <w:trHeight w:val="362" w:hRule="atLeast"/>
        </w:trPr>
        <w:tc>
          <w:tcPr>
            <w:tcW w:w="2792" w:type="dxa"/>
            <w:shd w:val="clear" w:color="auto" w:fill="EDEBE0"/>
          </w:tcPr>
          <w:p>
            <w:pPr>
              <w:pStyle w:val="TableParagraph"/>
              <w:spacing w:before="40"/>
              <w:ind w:left="107"/>
              <w:rPr>
                <w:sz w:val="24"/>
              </w:rPr>
            </w:pPr>
            <w:r>
              <w:rPr>
                <w:spacing w:val="-4"/>
                <w:sz w:val="24"/>
              </w:rPr>
              <w:t>Zone</w:t>
            </w:r>
          </w:p>
        </w:tc>
        <w:tc>
          <w:tcPr>
            <w:tcW w:w="2341" w:type="dxa"/>
            <w:shd w:val="clear" w:color="auto" w:fill="EDEBE0"/>
          </w:tcPr>
          <w:p>
            <w:pPr>
              <w:pStyle w:val="TableParagraph"/>
              <w:spacing w:before="40"/>
              <w:ind w:left="107"/>
              <w:rPr>
                <w:sz w:val="24"/>
              </w:rPr>
            </w:pPr>
            <w:r>
              <w:rPr>
                <w:spacing w:val="7"/>
                <w:sz w:val="24"/>
              </w:rPr>
              <w:t>Representation</w:t>
            </w:r>
          </w:p>
        </w:tc>
        <w:tc>
          <w:tcPr>
            <w:tcW w:w="3848" w:type="dxa"/>
            <w:shd w:val="clear" w:color="auto" w:fill="EDEBE0"/>
          </w:tcPr>
          <w:p>
            <w:pPr>
              <w:pStyle w:val="TableParagraph"/>
              <w:spacing w:before="40"/>
              <w:ind w:left="646"/>
              <w:rPr>
                <w:sz w:val="24"/>
              </w:rPr>
            </w:pPr>
            <w:r>
              <w:rPr>
                <w:sz w:val="24"/>
              </w:rPr>
              <w:t>Broad</w:t>
            </w:r>
            <w:r>
              <w:rPr>
                <w:spacing w:val="55"/>
                <w:sz w:val="24"/>
              </w:rPr>
              <w:t> </w:t>
            </w:r>
            <w:r>
              <w:rPr>
                <w:spacing w:val="7"/>
                <w:sz w:val="24"/>
              </w:rPr>
              <w:t>Description</w:t>
            </w:r>
          </w:p>
        </w:tc>
      </w:tr>
      <w:tr>
        <w:trPr>
          <w:trHeight w:val="1449" w:hRule="atLeast"/>
        </w:trPr>
        <w:tc>
          <w:tcPr>
            <w:tcW w:w="2792" w:type="dxa"/>
          </w:tcPr>
          <w:p>
            <w:pPr>
              <w:pStyle w:val="TableParagraph"/>
              <w:rPr>
                <w:rFonts w:ascii="Times New Roman"/>
                <w:sz w:val="22"/>
              </w:rPr>
            </w:pPr>
          </w:p>
        </w:tc>
        <w:tc>
          <w:tcPr>
            <w:tcW w:w="2341" w:type="dxa"/>
          </w:tcPr>
          <w:p>
            <w:pPr>
              <w:pStyle w:val="TableParagraph"/>
              <w:rPr>
                <w:rFonts w:ascii="Times New Roman"/>
                <w:sz w:val="22"/>
              </w:rPr>
            </w:pPr>
          </w:p>
        </w:tc>
        <w:tc>
          <w:tcPr>
            <w:tcW w:w="3848" w:type="dxa"/>
          </w:tcPr>
          <w:p>
            <w:pPr>
              <w:pStyle w:val="TableParagraph"/>
              <w:spacing w:before="1"/>
              <w:ind w:left="106" w:right="192"/>
              <w:jc w:val="both"/>
              <w:rPr>
                <w:sz w:val="24"/>
              </w:rPr>
            </w:pPr>
            <w:r>
              <w:rPr>
                <w:sz w:val="24"/>
              </w:rPr>
              <w:t>protected subject to certification by MPCB. Conversion of land use can</w:t>
            </w:r>
            <w:r>
              <w:rPr>
                <w:spacing w:val="80"/>
                <w:sz w:val="24"/>
              </w:rPr>
              <w:t> </w:t>
            </w:r>
            <w:r>
              <w:rPr>
                <w:sz w:val="24"/>
              </w:rPr>
              <w:t>be permitted as specified in these </w:t>
            </w:r>
            <w:r>
              <w:rPr>
                <w:spacing w:val="9"/>
                <w:sz w:val="24"/>
              </w:rPr>
              <w:t>Regulations.</w:t>
            </w:r>
          </w:p>
        </w:tc>
      </w:tr>
      <w:tr>
        <w:trPr>
          <w:trHeight w:val="2052" w:hRule="atLeast"/>
        </w:trPr>
        <w:tc>
          <w:tcPr>
            <w:tcW w:w="2792" w:type="dxa"/>
          </w:tcPr>
          <w:p>
            <w:pPr>
              <w:pStyle w:val="TableParagraph"/>
              <w:spacing w:before="40"/>
              <w:ind w:left="107" w:right="685"/>
              <w:rPr>
                <w:sz w:val="24"/>
              </w:rPr>
            </w:pPr>
            <w:r>
              <w:rPr>
                <w:spacing w:val="-2"/>
                <w:sz w:val="24"/>
              </w:rPr>
              <w:t>Special </w:t>
            </w:r>
            <w:r>
              <w:rPr>
                <w:spacing w:val="7"/>
                <w:sz w:val="24"/>
              </w:rPr>
              <w:t>Development </w:t>
            </w:r>
            <w:r>
              <w:rPr>
                <w:spacing w:val="-4"/>
                <w:sz w:val="24"/>
              </w:rPr>
              <w:t>Zone</w:t>
            </w:r>
          </w:p>
        </w:tc>
        <w:tc>
          <w:tcPr>
            <w:tcW w:w="2341" w:type="dxa"/>
          </w:tcPr>
          <w:p>
            <w:pPr>
              <w:pStyle w:val="TableParagraph"/>
              <w:spacing w:before="37"/>
              <w:ind w:left="647"/>
              <w:rPr>
                <w:sz w:val="24"/>
              </w:rPr>
            </w:pPr>
            <w:r>
              <w:rPr>
                <w:spacing w:val="-5"/>
                <w:sz w:val="24"/>
              </w:rPr>
              <w:t>SDZ</w:t>
            </w:r>
          </w:p>
        </w:tc>
        <w:tc>
          <w:tcPr>
            <w:tcW w:w="3848" w:type="dxa"/>
          </w:tcPr>
          <w:p>
            <w:pPr>
              <w:pStyle w:val="TableParagraph"/>
              <w:spacing w:before="40"/>
              <w:ind w:left="106" w:right="148"/>
              <w:jc w:val="both"/>
              <w:rPr>
                <w:sz w:val="24"/>
              </w:rPr>
            </w:pPr>
            <w:r>
              <w:rPr>
                <w:sz w:val="24"/>
              </w:rPr>
              <mc:AlternateContent>
                <mc:Choice Requires="wps">
                  <w:drawing>
                    <wp:anchor distT="0" distB="0" distL="0" distR="0" allowOverlap="1" layoutInCell="1" locked="0" behindDoc="1" simplePos="0" relativeHeight="471351296">
                      <wp:simplePos x="0" y="0"/>
                      <wp:positionH relativeFrom="column">
                        <wp:posOffset>254508</wp:posOffset>
                      </wp:positionH>
                      <wp:positionV relativeFrom="paragraph">
                        <wp:posOffset>374833</wp:posOffset>
                      </wp:positionV>
                      <wp:extent cx="66040" cy="187960"/>
                      <wp:effectExtent l="0" t="0" r="0" b="0"/>
                      <wp:wrapNone/>
                      <wp:docPr id="383" name="Group 383"/>
                      <wp:cNvGraphicFramePr>
                        <a:graphicFrameLocks/>
                      </wp:cNvGraphicFramePr>
                      <a:graphic>
                        <a:graphicData uri="http://schemas.microsoft.com/office/word/2010/wordprocessingGroup">
                          <wpg:wgp>
                            <wpg:cNvPr id="383" name="Group 383"/>
                            <wpg:cNvGrpSpPr/>
                            <wpg:grpSpPr>
                              <a:xfrm>
                                <a:off x="0" y="0"/>
                                <a:ext cx="66040" cy="187960"/>
                                <a:chExt cx="66040" cy="187960"/>
                              </a:xfrm>
                            </wpg:grpSpPr>
                            <wps:wsp>
                              <wps:cNvPr id="384" name="Graphic 384"/>
                              <wps:cNvSpPr/>
                              <wps:spPr>
                                <a:xfrm>
                                  <a:off x="0" y="0"/>
                                  <a:ext cx="66040" cy="187960"/>
                                </a:xfrm>
                                <a:custGeom>
                                  <a:avLst/>
                                  <a:gdLst/>
                                  <a:ahLst/>
                                  <a:cxnLst/>
                                  <a:rect l="l" t="t" r="r" b="b"/>
                                  <a:pathLst>
                                    <a:path w="66040" h="187960">
                                      <a:moveTo>
                                        <a:pt x="65532" y="0"/>
                                      </a:moveTo>
                                      <a:lnTo>
                                        <a:pt x="0" y="0"/>
                                      </a:lnTo>
                                      <a:lnTo>
                                        <a:pt x="0" y="187451"/>
                                      </a:lnTo>
                                      <a:lnTo>
                                        <a:pt x="65532" y="187451"/>
                                      </a:lnTo>
                                      <a:lnTo>
                                        <a:pt x="65532" y="0"/>
                                      </a:lnTo>
                                      <a:close/>
                                    </a:path>
                                  </a:pathLst>
                                </a:custGeom>
                                <a:solidFill>
                                  <a:srgbClr val="FFCCFF"/>
                                </a:solidFill>
                              </wps:spPr>
                              <wps:bodyPr wrap="square" lIns="0" tIns="0" rIns="0" bIns="0" rtlCol="0">
                                <a:prstTxWarp prst="textNoShape">
                                  <a:avLst/>
                                </a:prstTxWarp>
                                <a:noAutofit/>
                              </wps:bodyPr>
                            </wps:wsp>
                          </wpg:wgp>
                        </a:graphicData>
                      </a:graphic>
                    </wp:anchor>
                  </w:drawing>
                </mc:Choice>
                <mc:Fallback>
                  <w:pict>
                    <v:group style="position:absolute;margin-left:20.040010pt;margin-top:29.514465pt;width:5.2pt;height:14.8pt;mso-position-horizontal-relative:column;mso-position-vertical-relative:paragraph;z-index:-31965184" id="docshapegroup329" coordorigin="401,590" coordsize="104,296">
                      <v:rect style="position:absolute;left:400;top:590;width:104;height:296" id="docshape330" filled="true" fillcolor="#ffccff" stroked="false">
                        <v:fill type="solid"/>
                      </v:rect>
                      <w10:wrap type="none"/>
                    </v:group>
                  </w:pict>
                </mc:Fallback>
              </mc:AlternateContent>
            </w:r>
            <w:r>
              <w:rPr>
                <w:sz w:val="24"/>
              </w:rPr>
              <w:t>Special Development Zone (SDZ)</w:t>
            </w:r>
            <w:r>
              <w:rPr>
                <w:spacing w:val="40"/>
                <w:sz w:val="24"/>
              </w:rPr>
              <w:t> </w:t>
            </w:r>
            <w:r>
              <w:rPr>
                <w:sz w:val="24"/>
              </w:rPr>
              <w:t>is</w:t>
            </w:r>
            <w:r>
              <w:rPr>
                <w:spacing w:val="40"/>
                <w:sz w:val="24"/>
              </w:rPr>
              <w:t> </w:t>
            </w:r>
            <w:r>
              <w:rPr>
                <w:sz w:val="24"/>
              </w:rPr>
              <w:t>a</w:t>
            </w:r>
            <w:r>
              <w:rPr>
                <w:spacing w:val="40"/>
                <w:sz w:val="24"/>
              </w:rPr>
              <w:t> </w:t>
            </w:r>
            <w:r>
              <w:rPr>
                <w:sz w:val="24"/>
              </w:rPr>
              <w:t>zone</w:t>
            </w:r>
            <w:r>
              <w:rPr>
                <w:spacing w:val="40"/>
                <w:sz w:val="24"/>
              </w:rPr>
              <w:t> </w:t>
            </w:r>
            <w:r>
              <w:rPr>
                <w:sz w:val="24"/>
              </w:rPr>
              <w:t>which</w:t>
            </w:r>
            <w:r>
              <w:rPr>
                <w:spacing w:val="40"/>
                <w:sz w:val="24"/>
              </w:rPr>
              <w:t> </w:t>
            </w:r>
            <w:r>
              <w:rPr>
                <w:sz w:val="24"/>
              </w:rPr>
              <w:t>is</w:t>
            </w:r>
            <w:r>
              <w:rPr>
                <w:spacing w:val="40"/>
                <w:sz w:val="24"/>
              </w:rPr>
              <w:t> </w:t>
            </w:r>
            <w:r>
              <w:rPr>
                <w:sz w:val="24"/>
              </w:rPr>
              <w:t>to be developed predominantly for the society at large with emphasis on </w:t>
            </w:r>
            <w:r>
              <w:rPr>
                <w:spacing w:val="9"/>
                <w:sz w:val="24"/>
              </w:rPr>
              <w:t>Affordable </w:t>
            </w:r>
            <w:r>
              <w:rPr>
                <w:sz w:val="24"/>
              </w:rPr>
              <w:t>Housing, POS and necessary Social </w:t>
            </w:r>
            <w:r>
              <w:rPr>
                <w:spacing w:val="9"/>
                <w:sz w:val="24"/>
              </w:rPr>
              <w:t>infrastructures.</w:t>
            </w:r>
          </w:p>
        </w:tc>
      </w:tr>
      <w:tr>
        <w:trPr>
          <w:trHeight w:val="1206" w:hRule="atLeast"/>
        </w:trPr>
        <w:tc>
          <w:tcPr>
            <w:tcW w:w="2792" w:type="dxa"/>
          </w:tcPr>
          <w:p>
            <w:pPr>
              <w:pStyle w:val="TableParagraph"/>
              <w:spacing w:before="40"/>
              <w:ind w:left="107" w:right="685"/>
              <w:rPr>
                <w:sz w:val="24"/>
              </w:rPr>
            </w:pPr>
            <w:r>
              <w:rPr>
                <w:spacing w:val="-2"/>
                <w:sz w:val="24"/>
              </w:rPr>
              <w:t>Port’s </w:t>
            </w:r>
            <w:r>
              <w:rPr>
                <w:spacing w:val="7"/>
                <w:sz w:val="24"/>
              </w:rPr>
              <w:t>Operational </w:t>
            </w:r>
            <w:r>
              <w:rPr>
                <w:spacing w:val="-4"/>
                <w:sz w:val="24"/>
              </w:rPr>
              <w:t>Zone</w:t>
            </w:r>
          </w:p>
        </w:tc>
        <w:tc>
          <w:tcPr>
            <w:tcW w:w="2341" w:type="dxa"/>
          </w:tcPr>
          <w:p>
            <w:pPr>
              <w:pStyle w:val="TableParagraph"/>
              <w:spacing w:before="37"/>
              <w:ind w:left="6" w:right="204"/>
              <w:jc w:val="center"/>
              <w:rPr>
                <w:sz w:val="24"/>
              </w:rPr>
            </w:pPr>
            <w:r>
              <w:rPr>
                <w:spacing w:val="-5"/>
                <w:sz w:val="24"/>
              </w:rPr>
              <w:t>POZ</w:t>
            </w:r>
          </w:p>
        </w:tc>
        <w:tc>
          <w:tcPr>
            <w:tcW w:w="3848" w:type="dxa"/>
          </w:tcPr>
          <w:p>
            <w:pPr>
              <w:pStyle w:val="TableParagraph"/>
              <w:spacing w:before="40"/>
              <w:ind w:left="106" w:right="173"/>
              <w:jc w:val="both"/>
              <w:rPr>
                <w:sz w:val="24"/>
              </w:rPr>
            </w:pPr>
            <w:r>
              <w:rPr>
                <w:sz w:val="24"/>
              </w:rPr>
              <w:t>Port’s</w:t>
            </w:r>
            <w:r>
              <w:rPr>
                <w:spacing w:val="40"/>
                <w:sz w:val="24"/>
              </w:rPr>
              <w:t> </w:t>
            </w:r>
            <w:r>
              <w:rPr>
                <w:sz w:val="24"/>
              </w:rPr>
              <w:t>Operational</w:t>
            </w:r>
            <w:r>
              <w:rPr>
                <w:spacing w:val="40"/>
                <w:sz w:val="24"/>
              </w:rPr>
              <w:t> </w:t>
            </w:r>
            <w:r>
              <w:rPr>
                <w:sz w:val="24"/>
              </w:rPr>
              <w:t>Zone</w:t>
            </w:r>
            <w:r>
              <w:rPr>
                <w:spacing w:val="80"/>
                <w:sz w:val="24"/>
              </w:rPr>
              <w:t> </w:t>
            </w:r>
            <w:r>
              <w:rPr>
                <w:sz w:val="24"/>
              </w:rPr>
              <w:t>(POZ) is a zone for development</w:t>
            </w:r>
            <w:r>
              <w:rPr>
                <w:spacing w:val="40"/>
                <w:sz w:val="24"/>
              </w:rPr>
              <w:t> </w:t>
            </w:r>
            <w:r>
              <w:rPr>
                <w:sz w:val="24"/>
              </w:rPr>
              <w:t>of</w:t>
            </w:r>
            <w:r>
              <w:rPr>
                <w:spacing w:val="40"/>
                <w:sz w:val="24"/>
              </w:rPr>
              <w:t> </w:t>
            </w:r>
            <w:r>
              <w:rPr>
                <w:sz w:val="24"/>
              </w:rPr>
              <w:t>Port</w:t>
            </w:r>
            <w:r>
              <w:rPr>
                <w:spacing w:val="40"/>
                <w:sz w:val="24"/>
              </w:rPr>
              <w:t> </w:t>
            </w:r>
            <w:r>
              <w:rPr>
                <w:sz w:val="24"/>
              </w:rPr>
              <w:t>and</w:t>
            </w:r>
            <w:r>
              <w:rPr>
                <w:spacing w:val="80"/>
                <w:sz w:val="24"/>
              </w:rPr>
              <w:t> </w:t>
            </w:r>
            <w:r>
              <w:rPr>
                <w:sz w:val="24"/>
              </w:rPr>
              <w:t>Port related </w:t>
            </w:r>
            <w:r>
              <w:rPr>
                <w:spacing w:val="9"/>
                <w:sz w:val="24"/>
              </w:rPr>
              <w:t>activities</w:t>
            </w:r>
          </w:p>
        </w:tc>
      </w:tr>
      <w:tr>
        <w:trPr>
          <w:trHeight w:val="1490" w:hRule="atLeast"/>
        </w:trPr>
        <w:tc>
          <w:tcPr>
            <w:tcW w:w="2792" w:type="dxa"/>
          </w:tcPr>
          <w:p>
            <w:pPr>
              <w:pStyle w:val="TableParagraph"/>
              <w:spacing w:before="42"/>
              <w:ind w:left="107" w:right="685"/>
              <w:rPr>
                <w:sz w:val="24"/>
              </w:rPr>
            </w:pPr>
            <w:r>
              <w:rPr>
                <w:sz w:val="24"/>
              </w:rPr>
              <w:t>Port’s Water </w:t>
            </w:r>
            <w:r>
              <w:rPr>
                <w:spacing w:val="-2"/>
                <w:sz w:val="24"/>
              </w:rPr>
              <w:t>Front </w:t>
            </w:r>
            <w:r>
              <w:rPr>
                <w:spacing w:val="7"/>
                <w:sz w:val="24"/>
              </w:rPr>
              <w:t>Development </w:t>
            </w:r>
            <w:r>
              <w:rPr>
                <w:spacing w:val="-4"/>
                <w:sz w:val="24"/>
              </w:rPr>
              <w:t>Zone</w:t>
            </w:r>
          </w:p>
        </w:tc>
        <w:tc>
          <w:tcPr>
            <w:tcW w:w="2341" w:type="dxa"/>
          </w:tcPr>
          <w:p>
            <w:pPr>
              <w:pStyle w:val="TableParagraph"/>
              <w:spacing w:before="42"/>
              <w:ind w:left="659" w:right="858"/>
              <w:jc w:val="center"/>
              <w:rPr>
                <w:sz w:val="24"/>
              </w:rPr>
            </w:pPr>
            <w:r>
              <w:rPr>
                <w:spacing w:val="-4"/>
                <w:sz w:val="24"/>
              </w:rPr>
              <w:t>PWFD </w:t>
            </w:r>
            <w:r>
              <w:rPr>
                <w:spacing w:val="-10"/>
                <w:sz w:val="24"/>
              </w:rPr>
              <w:t>Z</w:t>
            </w:r>
          </w:p>
        </w:tc>
        <w:tc>
          <w:tcPr>
            <w:tcW w:w="3848" w:type="dxa"/>
          </w:tcPr>
          <w:p>
            <w:pPr>
              <w:pStyle w:val="TableParagraph"/>
              <w:spacing w:before="42"/>
              <w:ind w:left="106" w:right="182"/>
              <w:jc w:val="both"/>
              <w:rPr>
                <w:sz w:val="24"/>
              </w:rPr>
            </w:pPr>
            <w:r>
              <w:rPr>
                <w:sz w:val="24"/>
              </w:rPr>
              <w:t>Port’s Water Front Development Zone (PWFDZ)</w:t>
            </w:r>
            <w:r>
              <w:rPr>
                <w:spacing w:val="80"/>
                <w:sz w:val="24"/>
              </w:rPr>
              <w:t> </w:t>
            </w:r>
            <w:r>
              <w:rPr>
                <w:sz w:val="24"/>
              </w:rPr>
              <w:t>is a zone with a focus on the water</w:t>
            </w:r>
            <w:r>
              <w:rPr>
                <w:spacing w:val="40"/>
                <w:sz w:val="24"/>
              </w:rPr>
              <w:t> </w:t>
            </w:r>
            <w:r>
              <w:rPr>
                <w:sz w:val="24"/>
              </w:rPr>
              <w:t>front</w:t>
            </w:r>
            <w:r>
              <w:rPr>
                <w:spacing w:val="40"/>
                <w:sz w:val="24"/>
              </w:rPr>
              <w:t> </w:t>
            </w:r>
            <w:r>
              <w:rPr>
                <w:sz w:val="24"/>
              </w:rPr>
              <w:t>development</w:t>
            </w:r>
            <w:r>
              <w:rPr>
                <w:spacing w:val="80"/>
                <w:sz w:val="24"/>
              </w:rPr>
              <w:t> </w:t>
            </w:r>
            <w:r>
              <w:rPr>
                <w:sz w:val="24"/>
              </w:rPr>
              <w:t>with mixed land </w:t>
            </w:r>
            <w:r>
              <w:rPr>
                <w:spacing w:val="9"/>
                <w:sz w:val="24"/>
              </w:rPr>
              <w:t>use.</w:t>
            </w:r>
          </w:p>
        </w:tc>
      </w:tr>
      <w:tr>
        <w:trPr>
          <w:trHeight w:val="1771" w:hRule="atLeast"/>
        </w:trPr>
        <w:tc>
          <w:tcPr>
            <w:tcW w:w="2792" w:type="dxa"/>
          </w:tcPr>
          <w:p>
            <w:pPr>
              <w:pStyle w:val="TableParagraph"/>
              <w:spacing w:line="281" w:lineRule="exact" w:before="40"/>
              <w:ind w:left="107"/>
              <w:rPr>
                <w:sz w:val="24"/>
              </w:rPr>
            </w:pPr>
            <w:r>
              <w:rPr>
                <w:sz w:val="24"/>
              </w:rPr>
              <w:t>Natural</w:t>
            </w:r>
            <w:r>
              <w:rPr>
                <w:spacing w:val="75"/>
                <w:sz w:val="24"/>
              </w:rPr>
              <w:t> </w:t>
            </w:r>
            <w:r>
              <w:rPr>
                <w:spacing w:val="-2"/>
                <w:sz w:val="24"/>
              </w:rPr>
              <w:t>Areas</w:t>
            </w:r>
          </w:p>
          <w:p>
            <w:pPr>
              <w:pStyle w:val="TableParagraph"/>
              <w:spacing w:line="281" w:lineRule="exact"/>
              <w:ind w:left="107"/>
              <w:rPr>
                <w:sz w:val="24"/>
              </w:rPr>
            </w:pPr>
            <w:r>
              <w:rPr>
                <w:spacing w:val="-2"/>
                <w:sz w:val="24"/>
              </w:rPr>
              <w:t>/Zone</w:t>
            </w:r>
          </w:p>
        </w:tc>
        <w:tc>
          <w:tcPr>
            <w:tcW w:w="2341" w:type="dxa"/>
          </w:tcPr>
          <w:p>
            <w:pPr>
              <w:pStyle w:val="TableParagraph"/>
              <w:spacing w:before="37"/>
              <w:ind w:left="647"/>
              <w:rPr>
                <w:sz w:val="24"/>
              </w:rPr>
            </w:pPr>
            <w:r>
              <w:rPr>
                <w:spacing w:val="-5"/>
                <w:sz w:val="24"/>
              </w:rPr>
              <w:t>NA</w:t>
            </w:r>
          </w:p>
        </w:tc>
        <w:tc>
          <w:tcPr>
            <w:tcW w:w="3848" w:type="dxa"/>
          </w:tcPr>
          <w:p>
            <w:pPr>
              <w:pStyle w:val="TableParagraph"/>
              <w:tabs>
                <w:tab w:pos="3261" w:val="left" w:leader="none"/>
              </w:tabs>
              <w:spacing w:before="40"/>
              <w:ind w:left="106" w:right="172"/>
              <w:jc w:val="both"/>
              <w:rPr>
                <w:sz w:val="24"/>
              </w:rPr>
            </w:pPr>
            <w:r>
              <w:rPr>
                <w:sz w:val="24"/>
              </w:rPr>
              <w:t>Natural Area Zone (NA) is an environmentally sensitive</w:t>
            </w:r>
            <w:r>
              <w:rPr>
                <w:spacing w:val="40"/>
                <w:sz w:val="24"/>
              </w:rPr>
              <w:t> </w:t>
            </w:r>
            <w:r>
              <w:rPr>
                <w:sz w:val="24"/>
              </w:rPr>
              <w:t>zone</w:t>
            </w:r>
            <w:r>
              <w:rPr>
                <w:spacing w:val="40"/>
                <w:sz w:val="24"/>
              </w:rPr>
              <w:t> </w:t>
            </w:r>
            <w:r>
              <w:rPr>
                <w:sz w:val="24"/>
              </w:rPr>
              <w:t>amenable to buildable </w:t>
            </w:r>
            <w:r>
              <w:rPr>
                <w:spacing w:val="-2"/>
                <w:sz w:val="24"/>
              </w:rPr>
              <w:t>developmentwith</w:t>
            </w:r>
            <w:r>
              <w:rPr>
                <w:sz w:val="24"/>
              </w:rPr>
              <w:tab/>
            </w:r>
            <w:r>
              <w:rPr>
                <w:spacing w:val="-4"/>
                <w:sz w:val="24"/>
              </w:rPr>
              <w:t>the </w:t>
            </w:r>
            <w:r>
              <w:rPr>
                <w:sz w:val="24"/>
              </w:rPr>
              <w:t>approval of the </w:t>
            </w:r>
            <w:r>
              <w:rPr>
                <w:spacing w:val="9"/>
                <w:sz w:val="24"/>
              </w:rPr>
              <w:t>Competent </w:t>
            </w:r>
            <w:r>
              <w:rPr>
                <w:spacing w:val="-2"/>
                <w:sz w:val="24"/>
              </w:rPr>
              <w:t>Authority.</w:t>
            </w:r>
          </w:p>
        </w:tc>
      </w:tr>
      <w:tr>
        <w:trPr>
          <w:trHeight w:val="923" w:hRule="atLeast"/>
        </w:trPr>
        <w:tc>
          <w:tcPr>
            <w:tcW w:w="2792" w:type="dxa"/>
          </w:tcPr>
          <w:p>
            <w:pPr>
              <w:pStyle w:val="TableParagraph"/>
              <w:spacing w:before="37"/>
              <w:ind w:left="107"/>
              <w:rPr>
                <w:sz w:val="24"/>
              </w:rPr>
            </w:pPr>
            <w:r>
              <w:rPr>
                <w:sz w:val="24"/>
              </w:rPr>
              <w:t>Green</w:t>
            </w:r>
            <w:r>
              <w:rPr>
                <w:spacing w:val="55"/>
                <w:sz w:val="24"/>
              </w:rPr>
              <w:t> </w:t>
            </w:r>
            <w:r>
              <w:rPr>
                <w:spacing w:val="5"/>
                <w:sz w:val="24"/>
              </w:rPr>
              <w:t>Zone</w:t>
            </w:r>
          </w:p>
        </w:tc>
        <w:tc>
          <w:tcPr>
            <w:tcW w:w="2341" w:type="dxa"/>
          </w:tcPr>
          <w:p>
            <w:pPr>
              <w:pStyle w:val="TableParagraph"/>
              <w:spacing w:before="37"/>
              <w:ind w:left="647"/>
              <w:rPr>
                <w:sz w:val="24"/>
              </w:rPr>
            </w:pPr>
            <w:r>
              <w:rPr>
                <w:spacing w:val="-5"/>
                <w:sz w:val="24"/>
              </w:rPr>
              <w:t>GZ</w:t>
            </w:r>
          </w:p>
        </w:tc>
        <w:tc>
          <w:tcPr>
            <w:tcW w:w="3848" w:type="dxa"/>
          </w:tcPr>
          <w:p>
            <w:pPr>
              <w:pStyle w:val="TableParagraph"/>
              <w:spacing w:before="40"/>
              <w:ind w:left="106" w:right="181"/>
              <w:jc w:val="both"/>
              <w:rPr>
                <w:sz w:val="24"/>
              </w:rPr>
            </w:pPr>
            <w:r>
              <w:rPr>
                <w:sz w:val="24"/>
              </w:rPr>
              <w:t>Green Zone (GZ) is a large area predominantly with green </w:t>
            </w:r>
            <w:r>
              <w:rPr>
                <w:spacing w:val="9"/>
                <w:sz w:val="24"/>
              </w:rPr>
              <w:t>cover.</w:t>
            </w:r>
          </w:p>
        </w:tc>
      </w:tr>
    </w:tbl>
    <w:p>
      <w:pPr>
        <w:pStyle w:val="BodyText"/>
        <w:spacing w:before="1"/>
        <w:ind w:left="1322" w:right="1164"/>
        <w:jc w:val="left"/>
      </w:pPr>
      <w:r>
        <w:rPr/>
        <w:t>Note:</w:t>
      </w:r>
      <w:r>
        <w:rPr>
          <w:spacing w:val="40"/>
        </w:rPr>
        <w:t> </w:t>
      </w:r>
      <w:r>
        <w:rPr/>
        <w:t>In</w:t>
      </w:r>
      <w:r>
        <w:rPr>
          <w:spacing w:val="40"/>
        </w:rPr>
        <w:t> </w:t>
      </w:r>
      <w:r>
        <w:rPr/>
        <w:t>conformity</w:t>
      </w:r>
      <w:r>
        <w:rPr>
          <w:spacing w:val="40"/>
        </w:rPr>
        <w:t> </w:t>
      </w:r>
      <w:r>
        <w:rPr/>
        <w:t>with</w:t>
      </w:r>
      <w:r>
        <w:rPr>
          <w:spacing w:val="40"/>
        </w:rPr>
        <w:t> </w:t>
      </w:r>
      <w:r>
        <w:rPr/>
        <w:t>the</w:t>
      </w:r>
      <w:r>
        <w:rPr>
          <w:spacing w:val="40"/>
        </w:rPr>
        <w:t> </w:t>
      </w:r>
      <w:r>
        <w:rPr/>
        <w:t>intent</w:t>
      </w:r>
      <w:r>
        <w:rPr>
          <w:spacing w:val="40"/>
        </w:rPr>
        <w:t> </w:t>
      </w:r>
      <w:r>
        <w:rPr/>
        <w:t>and</w:t>
      </w:r>
      <w:r>
        <w:rPr>
          <w:spacing w:val="40"/>
        </w:rPr>
        <w:t> </w:t>
      </w:r>
      <w:r>
        <w:rPr/>
        <w:t>spirit</w:t>
      </w:r>
      <w:r>
        <w:rPr>
          <w:spacing w:val="40"/>
        </w:rPr>
        <w:t> </w:t>
      </w:r>
      <w:r>
        <w:rPr/>
        <w:t>of</w:t>
      </w:r>
      <w:r>
        <w:rPr>
          <w:spacing w:val="40"/>
        </w:rPr>
        <w:t> </w:t>
      </w:r>
      <w:r>
        <w:rPr/>
        <w:t>these</w:t>
      </w:r>
      <w:r>
        <w:rPr>
          <w:spacing w:val="40"/>
        </w:rPr>
        <w:t> </w:t>
      </w:r>
      <w:r>
        <w:rPr/>
        <w:t>Regulations, with</w:t>
      </w:r>
      <w:r>
        <w:rPr>
          <w:spacing w:val="40"/>
        </w:rPr>
        <w:t> </w:t>
      </w:r>
      <w:r>
        <w:rPr/>
        <w:t>the</w:t>
      </w:r>
      <w:r>
        <w:rPr>
          <w:spacing w:val="40"/>
        </w:rPr>
        <w:t> </w:t>
      </w:r>
      <w:r>
        <w:rPr/>
        <w:t>special</w:t>
      </w:r>
      <w:r>
        <w:rPr>
          <w:spacing w:val="40"/>
        </w:rPr>
        <w:t> </w:t>
      </w:r>
      <w:r>
        <w:rPr/>
        <w:t>permission</w:t>
      </w:r>
      <w:r>
        <w:rPr>
          <w:spacing w:val="40"/>
        </w:rPr>
        <w:t> </w:t>
      </w:r>
      <w:r>
        <w:rPr/>
        <w:t>ofthe</w:t>
      </w:r>
      <w:r>
        <w:rPr>
          <w:spacing w:val="40"/>
        </w:rPr>
        <w:t> </w:t>
      </w:r>
      <w:r>
        <w:rPr/>
        <w:t>Commissioner</w:t>
      </w:r>
      <w:r>
        <w:rPr>
          <w:spacing w:val="40"/>
        </w:rPr>
        <w:t> </w:t>
      </w:r>
      <w:r>
        <w:rPr/>
        <w:t>may</w:t>
      </w:r>
      <w:r>
        <w:rPr>
          <w:spacing w:val="40"/>
        </w:rPr>
        <w:t> </w:t>
      </w:r>
      <w:r>
        <w:rPr/>
        <w:t>modify</w:t>
      </w:r>
      <w:r>
        <w:rPr>
          <w:spacing w:val="40"/>
        </w:rPr>
        <w:t> </w:t>
      </w:r>
      <w:r>
        <w:rPr/>
        <w:t>the</w:t>
      </w:r>
      <w:r>
        <w:rPr>
          <w:spacing w:val="40"/>
        </w:rPr>
        <w:t> </w:t>
      </w:r>
      <w:r>
        <w:rPr/>
        <w:t>boundary</w:t>
      </w:r>
      <w:r>
        <w:rPr>
          <w:spacing w:val="40"/>
        </w:rPr>
        <w:t> </w:t>
      </w:r>
      <w:r>
        <w:rPr/>
        <w:t>limit</w:t>
      </w:r>
      <w:r>
        <w:rPr>
          <w:spacing w:val="40"/>
        </w:rPr>
        <w:t> </w:t>
      </w:r>
      <w:r>
        <w:rPr/>
        <w:t>of</w:t>
      </w:r>
      <w:r>
        <w:rPr>
          <w:spacing w:val="40"/>
        </w:rPr>
        <w:t> </w:t>
      </w:r>
      <w:r>
        <w:rPr/>
        <w:t>a</w:t>
      </w:r>
      <w:r>
        <w:rPr>
          <w:spacing w:val="40"/>
        </w:rPr>
        <w:t> </w:t>
      </w:r>
      <w:r>
        <w:rPr/>
        <w:t>zone</w:t>
      </w:r>
      <w:r>
        <w:rPr>
          <w:spacing w:val="40"/>
        </w:rPr>
        <w:t> </w:t>
      </w:r>
      <w:r>
        <w:rPr/>
        <w:t>where</w:t>
      </w:r>
      <w:r>
        <w:rPr>
          <w:spacing w:val="40"/>
        </w:rPr>
        <w:t> </w:t>
      </w:r>
      <w:r>
        <w:rPr/>
        <w:t>the</w:t>
      </w:r>
      <w:r>
        <w:rPr>
          <w:spacing w:val="40"/>
        </w:rPr>
        <w:t> </w:t>
      </w:r>
      <w:r>
        <w:rPr/>
        <w:t>boundary</w:t>
      </w:r>
      <w:r>
        <w:rPr>
          <w:spacing w:val="40"/>
        </w:rPr>
        <w:t> </w:t>
      </w:r>
      <w:r>
        <w:rPr/>
        <w:t>line</w:t>
      </w:r>
      <w:r>
        <w:rPr>
          <w:spacing w:val="40"/>
        </w:rPr>
        <w:t> </w:t>
      </w:r>
      <w:r>
        <w:rPr/>
        <w:t>of</w:t>
      </w:r>
      <w:r>
        <w:rPr>
          <w:spacing w:val="40"/>
        </w:rPr>
        <w:t> </w:t>
      </w:r>
      <w:r>
        <w:rPr/>
        <w:t>the</w:t>
      </w:r>
      <w:r>
        <w:rPr>
          <w:spacing w:val="40"/>
        </w:rPr>
        <w:t> </w:t>
      </w:r>
      <w:r>
        <w:rPr/>
        <w:t>zone</w:t>
      </w:r>
      <w:r>
        <w:rPr>
          <w:spacing w:val="40"/>
        </w:rPr>
        <w:t> </w:t>
      </w:r>
      <w:r>
        <w:rPr>
          <w:spacing w:val="9"/>
        </w:rPr>
        <w:t>divides </w:t>
      </w:r>
      <w:r>
        <w:rPr/>
        <w:t>a plot.</w:t>
      </w:r>
    </w:p>
    <w:p>
      <w:pPr>
        <w:pStyle w:val="Heading6"/>
        <w:numPr>
          <w:ilvl w:val="1"/>
          <w:numId w:val="133"/>
        </w:numPr>
        <w:tabs>
          <w:tab w:pos="1212" w:val="left" w:leader="none"/>
        </w:tabs>
        <w:spacing w:line="240" w:lineRule="auto" w:before="239" w:after="0"/>
        <w:ind w:left="1212" w:right="0" w:hanging="259"/>
        <w:jc w:val="left"/>
      </w:pPr>
      <w:r>
        <w:rPr/>
        <w:t>Uses</w:t>
      </w:r>
      <w:r>
        <w:rPr>
          <w:spacing w:val="53"/>
        </w:rPr>
        <w:t> </w:t>
      </w:r>
      <w:r>
        <w:rPr/>
        <w:t>and</w:t>
      </w:r>
      <w:r>
        <w:rPr>
          <w:spacing w:val="54"/>
        </w:rPr>
        <w:t> </w:t>
      </w:r>
      <w:r>
        <w:rPr/>
        <w:t>ancillary</w:t>
      </w:r>
      <w:r>
        <w:rPr>
          <w:spacing w:val="54"/>
        </w:rPr>
        <w:t> </w:t>
      </w:r>
      <w:r>
        <w:rPr/>
        <w:t>uses</w:t>
      </w:r>
      <w:r>
        <w:rPr>
          <w:spacing w:val="58"/>
        </w:rPr>
        <w:t> </w:t>
      </w:r>
      <w:r>
        <w:rPr/>
        <w:t>permitted</w:t>
      </w:r>
      <w:r>
        <w:rPr>
          <w:spacing w:val="54"/>
        </w:rPr>
        <w:t> </w:t>
      </w:r>
      <w:r>
        <w:rPr/>
        <w:t>in</w:t>
      </w:r>
      <w:r>
        <w:rPr>
          <w:spacing w:val="54"/>
        </w:rPr>
        <w:t> </w:t>
      </w:r>
      <w:r>
        <w:rPr/>
        <w:t>the</w:t>
      </w:r>
      <w:r>
        <w:rPr>
          <w:spacing w:val="58"/>
        </w:rPr>
        <w:t> </w:t>
      </w:r>
      <w:r>
        <w:rPr>
          <w:spacing w:val="7"/>
        </w:rPr>
        <w:t>zones:</w:t>
      </w:r>
    </w:p>
    <w:p>
      <w:pPr>
        <w:pStyle w:val="BodyText"/>
        <w:spacing w:before="242"/>
        <w:ind w:left="1654" w:right="776"/>
      </w:pPr>
      <w:r>
        <w:rPr/>
        <w:t>The purpose of this Regulation is to allow environmentally compatible uses in a zone on a given plot of land and specifically prevent </w:t>
      </w:r>
      <w:r>
        <w:rPr>
          <w:spacing w:val="9"/>
        </w:rPr>
        <w:t>non- </w:t>
      </w:r>
      <w:r>
        <w:rPr/>
        <w:t>compatible uses. Where an activity not specifically listed in </w:t>
      </w:r>
      <w:r>
        <w:rPr>
          <w:spacing w:val="9"/>
        </w:rPr>
        <w:t>these </w:t>
      </w:r>
      <w:r>
        <w:rPr/>
        <w:t>Regulations</w:t>
      </w:r>
      <w:r>
        <w:rPr>
          <w:spacing w:val="40"/>
        </w:rPr>
        <w:t> </w:t>
      </w:r>
      <w:r>
        <w:rPr/>
        <w:t>is</w:t>
      </w:r>
      <w:r>
        <w:rPr>
          <w:spacing w:val="40"/>
        </w:rPr>
        <w:t> </w:t>
      </w:r>
      <w:r>
        <w:rPr/>
        <w:t>proposed,</w:t>
      </w:r>
      <w:r>
        <w:rPr>
          <w:spacing w:val="40"/>
        </w:rPr>
        <w:t> </w:t>
      </w:r>
      <w:r>
        <w:rPr/>
        <w:t>its</w:t>
      </w:r>
      <w:r>
        <w:rPr>
          <w:spacing w:val="40"/>
        </w:rPr>
        <w:t> </w:t>
      </w:r>
      <w:r>
        <w:rPr/>
        <w:t>approval</w:t>
      </w:r>
      <w:r>
        <w:rPr>
          <w:spacing w:val="40"/>
        </w:rPr>
        <w:t> </w:t>
      </w:r>
      <w:r>
        <w:rPr/>
        <w:t>or</w:t>
      </w:r>
      <w:r>
        <w:rPr>
          <w:spacing w:val="40"/>
        </w:rPr>
        <w:t> </w:t>
      </w:r>
      <w:r>
        <w:rPr/>
        <w:t>rejection</w:t>
      </w:r>
      <w:r>
        <w:rPr>
          <w:spacing w:val="40"/>
        </w:rPr>
        <w:t> </w:t>
      </w:r>
      <w:r>
        <w:rPr/>
        <w:t>will</w:t>
      </w:r>
      <w:r>
        <w:rPr>
          <w:spacing w:val="40"/>
        </w:rPr>
        <w:t> </w:t>
      </w:r>
      <w:r>
        <w:rPr/>
        <w:t>be</w:t>
      </w:r>
      <w:r>
        <w:rPr>
          <w:spacing w:val="40"/>
        </w:rPr>
        <w:t> </w:t>
      </w:r>
      <w:r>
        <w:rPr/>
        <w:t>decided</w:t>
      </w:r>
      <w:r>
        <w:rPr>
          <w:spacing w:val="40"/>
        </w:rPr>
        <w:t> </w:t>
      </w:r>
      <w:r>
        <w:rPr>
          <w:spacing w:val="9"/>
        </w:rPr>
        <w:t>with </w:t>
      </w:r>
      <w:r>
        <w:rPr/>
        <w:t>the</w:t>
      </w:r>
      <w:r>
        <w:rPr>
          <w:spacing w:val="40"/>
        </w:rPr>
        <w:t> </w:t>
      </w:r>
      <w:r>
        <w:rPr/>
        <w:t>special</w:t>
      </w:r>
      <w:r>
        <w:rPr>
          <w:spacing w:val="40"/>
        </w:rPr>
        <w:t> </w:t>
      </w:r>
      <w:r>
        <w:rPr/>
        <w:t>permission</w:t>
      </w:r>
      <w:r>
        <w:rPr>
          <w:spacing w:val="40"/>
        </w:rPr>
        <w:t> </w:t>
      </w:r>
      <w:r>
        <w:rPr/>
        <w:t>of</w:t>
      </w:r>
      <w:r>
        <w:rPr>
          <w:spacing w:val="40"/>
        </w:rPr>
        <w:t> </w:t>
      </w:r>
      <w:r>
        <w:rPr/>
        <w:t>the</w:t>
      </w:r>
      <w:r>
        <w:rPr>
          <w:spacing w:val="40"/>
        </w:rPr>
        <w:t> </w:t>
      </w:r>
      <w:r>
        <w:rPr>
          <w:spacing w:val="9"/>
        </w:rPr>
        <w:t>Commissioner</w:t>
      </w:r>
    </w:p>
    <w:p>
      <w:pPr>
        <w:pStyle w:val="Heading6"/>
        <w:numPr>
          <w:ilvl w:val="2"/>
          <w:numId w:val="133"/>
        </w:numPr>
        <w:tabs>
          <w:tab w:pos="2079" w:val="left" w:leader="none"/>
        </w:tabs>
        <w:spacing w:line="240" w:lineRule="auto" w:before="238" w:after="0"/>
        <w:ind w:left="2079" w:right="0" w:hanging="425"/>
        <w:jc w:val="both"/>
      </w:pPr>
      <w:r>
        <w:rPr/>
        <w:t>Conditions/parameters</w:t>
      </w:r>
      <w:r>
        <w:rPr>
          <w:spacing w:val="79"/>
        </w:rPr>
        <w:t>   </w:t>
      </w:r>
      <w:r>
        <w:rPr/>
        <w:t>under</w:t>
      </w:r>
      <w:r>
        <w:rPr>
          <w:spacing w:val="78"/>
        </w:rPr>
        <w:t>   </w:t>
      </w:r>
      <w:r>
        <w:rPr/>
        <w:t>which</w:t>
      </w:r>
      <w:r>
        <w:rPr>
          <w:spacing w:val="79"/>
        </w:rPr>
        <w:t>   </w:t>
      </w:r>
      <w:r>
        <w:rPr>
          <w:spacing w:val="10"/>
        </w:rPr>
        <w:t>land-</w:t>
      </w:r>
      <w:r>
        <w:rPr/>
        <w:t>uses</w:t>
      </w:r>
      <w:r>
        <w:rPr>
          <w:spacing w:val="77"/>
        </w:rPr>
        <w:t>   </w:t>
      </w:r>
      <w:r>
        <w:rPr>
          <w:spacing w:val="-5"/>
        </w:rPr>
        <w:t>are</w:t>
      </w:r>
    </w:p>
    <w:p>
      <w:pPr>
        <w:pStyle w:val="Heading6"/>
        <w:spacing w:after="0" w:line="240" w:lineRule="auto"/>
        <w:jc w:val="both"/>
        <w:sectPr>
          <w:pgSz w:w="11910" w:h="16840"/>
          <w:pgMar w:header="1058" w:footer="1088" w:top="1500" w:bottom="1280" w:left="360" w:right="360"/>
        </w:sectPr>
      </w:pPr>
    </w:p>
    <w:p>
      <w:pPr>
        <w:spacing w:before="252"/>
        <w:ind w:left="1654" w:right="0" w:firstLine="0"/>
        <w:jc w:val="left"/>
        <w:rPr>
          <w:b/>
          <w:i/>
          <w:sz w:val="24"/>
        </w:rPr>
      </w:pPr>
      <w:r>
        <w:rPr>
          <w:b/>
          <w:i/>
          <w:spacing w:val="7"/>
          <w:sz w:val="24"/>
        </w:rPr>
        <w:t>permissible</w:t>
      </w:r>
    </w:p>
    <w:p>
      <w:pPr>
        <w:pStyle w:val="BodyText"/>
        <w:spacing w:before="244"/>
        <w:ind w:left="1654" w:right="1531"/>
      </w:pPr>
      <w:r>
        <w:rPr/>
        <w:t>The</w:t>
      </w:r>
      <w:r>
        <w:rPr>
          <w:spacing w:val="40"/>
        </w:rPr>
        <w:t> </w:t>
      </w:r>
      <w:r>
        <w:rPr/>
        <w:t>conditions</w:t>
      </w:r>
      <w:r>
        <w:rPr>
          <w:spacing w:val="40"/>
        </w:rPr>
        <w:t> </w:t>
      </w:r>
      <w:r>
        <w:rPr/>
        <w:t>under</w:t>
      </w:r>
      <w:r>
        <w:rPr>
          <w:spacing w:val="40"/>
        </w:rPr>
        <w:t> </w:t>
      </w:r>
      <w:r>
        <w:rPr/>
        <w:t>which</w:t>
      </w:r>
      <w:r>
        <w:rPr>
          <w:spacing w:val="10"/>
        </w:rPr>
        <w:t> land-</w:t>
      </w:r>
      <w:r>
        <w:rPr/>
        <w:t>uses</w:t>
      </w:r>
      <w:r>
        <w:rPr>
          <w:spacing w:val="40"/>
        </w:rPr>
        <w:t> </w:t>
      </w:r>
      <w:r>
        <w:rPr/>
        <w:t>are</w:t>
      </w:r>
      <w:r>
        <w:rPr>
          <w:spacing w:val="40"/>
        </w:rPr>
        <w:t> </w:t>
      </w:r>
      <w:r>
        <w:rPr/>
        <w:t>permissible</w:t>
      </w:r>
      <w:r>
        <w:rPr>
          <w:spacing w:val="40"/>
        </w:rPr>
        <w:t> </w:t>
      </w:r>
      <w:r>
        <w:rPr/>
        <w:t>in</w:t>
      </w:r>
      <w:r>
        <w:rPr>
          <w:spacing w:val="40"/>
        </w:rPr>
        <w:t> </w:t>
      </w:r>
      <w:r>
        <w:rPr/>
        <w:t>the zones and which are required to be complied with as detailed in Table</w:t>
      </w:r>
      <w:r>
        <w:rPr>
          <w:spacing w:val="40"/>
        </w:rPr>
        <w:t> </w:t>
      </w:r>
      <w:r>
        <w:rPr/>
        <w:t>No.</w:t>
      </w:r>
      <w:r>
        <w:rPr>
          <w:spacing w:val="40"/>
        </w:rPr>
        <w:t> </w:t>
      </w:r>
      <w:r>
        <w:rPr/>
        <w:t>C</w:t>
      </w:r>
      <w:r>
        <w:rPr>
          <w:spacing w:val="40"/>
        </w:rPr>
        <w:t> </w:t>
      </w:r>
      <w:r>
        <w:rPr/>
        <w:t>are</w:t>
      </w:r>
      <w:r>
        <w:rPr>
          <w:spacing w:val="40"/>
        </w:rPr>
        <w:t> </w:t>
      </w:r>
      <w:r>
        <w:rPr/>
        <w:t>described</w:t>
      </w:r>
      <w:r>
        <w:rPr>
          <w:spacing w:val="40"/>
        </w:rPr>
        <w:t> </w:t>
      </w:r>
      <w:r>
        <w:rPr/>
        <w:t>in</w:t>
      </w:r>
      <w:r>
        <w:rPr>
          <w:spacing w:val="40"/>
        </w:rPr>
        <w:t> </w:t>
      </w:r>
      <w:r>
        <w:rPr/>
        <w:t>this</w:t>
      </w:r>
      <w:r>
        <w:rPr>
          <w:spacing w:val="40"/>
        </w:rPr>
        <w:t> </w:t>
      </w:r>
      <w:r>
        <w:rPr>
          <w:spacing w:val="9"/>
        </w:rPr>
        <w:t>Regulation</w:t>
      </w:r>
      <w:r>
        <w:rPr>
          <w:spacing w:val="40"/>
        </w:rPr>
        <w:t> </w:t>
      </w:r>
      <w:r>
        <w:rPr/>
        <w:t>listed</w:t>
      </w:r>
      <w:r>
        <w:rPr>
          <w:spacing w:val="40"/>
        </w:rPr>
        <w:t> </w:t>
      </w:r>
      <w:r>
        <w:rPr/>
        <w:t>in</w:t>
      </w:r>
      <w:r>
        <w:rPr>
          <w:spacing w:val="40"/>
        </w:rPr>
        <w:t> </w:t>
      </w:r>
      <w:r>
        <w:rPr/>
        <w:t>Table</w:t>
      </w:r>
      <w:r>
        <w:rPr>
          <w:spacing w:val="40"/>
        </w:rPr>
        <w:t> </w:t>
      </w:r>
      <w:r>
        <w:rPr/>
        <w:t>No. B below.</w:t>
      </w:r>
    </w:p>
    <w:p>
      <w:pPr>
        <w:pStyle w:val="Heading5"/>
        <w:spacing w:before="239"/>
        <w:ind w:left="1673"/>
        <w:jc w:val="both"/>
        <w:rPr>
          <w:b w:val="0"/>
        </w:rPr>
      </w:pPr>
      <w:r>
        <w:rPr/>
        <w:t>Table</w:t>
      </w:r>
      <w:r>
        <w:rPr>
          <w:spacing w:val="47"/>
        </w:rPr>
        <w:t> </w:t>
      </w:r>
      <w:r>
        <w:rPr/>
        <w:t>No.</w:t>
      </w:r>
      <w:r>
        <w:rPr>
          <w:spacing w:val="47"/>
        </w:rPr>
        <w:t> </w:t>
      </w:r>
      <w:r>
        <w:rPr>
          <w:spacing w:val="-5"/>
        </w:rPr>
        <w:t>B</w:t>
      </w:r>
      <w:r>
        <w:rPr>
          <w:b w:val="0"/>
          <w:spacing w:val="-5"/>
        </w:rPr>
        <w:t>.</w:t>
      </w:r>
    </w:p>
    <w:p>
      <w:pPr>
        <w:pStyle w:val="BodyText"/>
        <w:spacing w:before="241"/>
        <w:ind w:left="1673"/>
        <w:jc w:val="left"/>
      </w:pPr>
      <w:r>
        <w:rPr/>
        <w:t>Conditions/parameters</w:t>
      </w:r>
      <w:r>
        <w:rPr>
          <w:spacing w:val="40"/>
        </w:rPr>
        <w:t> </w:t>
      </w:r>
      <w:r>
        <w:rPr/>
        <w:t>under</w:t>
      </w:r>
      <w:r>
        <w:rPr>
          <w:spacing w:val="40"/>
        </w:rPr>
        <w:t> </w:t>
      </w:r>
      <w:r>
        <w:rPr/>
        <w:t>which</w:t>
      </w:r>
      <w:r>
        <w:rPr>
          <w:spacing w:val="40"/>
        </w:rPr>
        <w:t> </w:t>
      </w:r>
      <w:r>
        <w:rPr>
          <w:spacing w:val="9"/>
        </w:rPr>
        <w:t>land-</w:t>
      </w:r>
      <w:r>
        <w:rPr/>
        <w:t>uses</w:t>
      </w:r>
      <w:r>
        <w:rPr>
          <w:spacing w:val="40"/>
        </w:rPr>
        <w:t> </w:t>
      </w:r>
      <w:r>
        <w:rPr/>
        <w:t>and</w:t>
      </w:r>
      <w:r>
        <w:rPr>
          <w:spacing w:val="40"/>
        </w:rPr>
        <w:t> </w:t>
      </w:r>
      <w:r>
        <w:rPr/>
        <w:t>occupancies</w:t>
      </w:r>
      <w:r>
        <w:rPr>
          <w:spacing w:val="40"/>
        </w:rPr>
        <w:t> </w:t>
      </w:r>
      <w:r>
        <w:rPr/>
        <w:t>are</w:t>
      </w:r>
      <w:r>
        <w:rPr>
          <w:spacing w:val="80"/>
        </w:rPr>
        <w:t> </w:t>
      </w:r>
      <w:r>
        <w:rPr>
          <w:spacing w:val="7"/>
        </w:rPr>
        <w:t>permissible.</w:t>
      </w:r>
    </w:p>
    <w:p>
      <w:pPr>
        <w:pStyle w:val="BodyText"/>
        <w:spacing w:before="7"/>
        <w:jc w:val="left"/>
        <w:rPr>
          <w:sz w:val="2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3"/>
        <w:gridCol w:w="7009"/>
      </w:tblGrid>
      <w:tr>
        <w:trPr>
          <w:trHeight w:val="753" w:hRule="atLeast"/>
        </w:trPr>
        <w:tc>
          <w:tcPr>
            <w:tcW w:w="883" w:type="dxa"/>
            <w:shd w:val="clear" w:color="auto" w:fill="EDEBE0"/>
          </w:tcPr>
          <w:p>
            <w:pPr>
              <w:pStyle w:val="TableParagraph"/>
              <w:spacing w:before="95"/>
              <w:ind w:left="239" w:right="52" w:firstLine="28"/>
              <w:rPr>
                <w:b/>
                <w:sz w:val="24"/>
              </w:rPr>
            </w:pPr>
            <w:r>
              <w:rPr>
                <w:b/>
                <w:spacing w:val="-6"/>
                <w:sz w:val="24"/>
              </w:rPr>
              <w:t>Sr </w:t>
            </w:r>
            <w:r>
              <w:rPr>
                <w:b/>
                <w:spacing w:val="-5"/>
                <w:sz w:val="24"/>
              </w:rPr>
              <w:t>No</w:t>
            </w:r>
          </w:p>
        </w:tc>
        <w:tc>
          <w:tcPr>
            <w:tcW w:w="7009" w:type="dxa"/>
            <w:shd w:val="clear" w:color="auto" w:fill="EDEBE0"/>
          </w:tcPr>
          <w:p>
            <w:pPr>
              <w:pStyle w:val="TableParagraph"/>
              <w:spacing w:before="95"/>
              <w:ind w:left="108" w:right="1048"/>
              <w:rPr>
                <w:b/>
                <w:sz w:val="24"/>
              </w:rPr>
            </w:pPr>
            <w:r>
              <w:rPr>
                <w:b/>
                <w:sz w:val="24"/>
              </w:rPr>
              <w:t>Conditions under which </w:t>
            </w:r>
            <w:r>
              <w:rPr>
                <w:b/>
                <w:spacing w:val="9"/>
                <w:sz w:val="24"/>
              </w:rPr>
              <w:t>Land-</w:t>
            </w:r>
            <w:r>
              <w:rPr>
                <w:b/>
                <w:sz w:val="24"/>
              </w:rPr>
              <w:t>use and</w:t>
            </w:r>
            <w:r>
              <w:rPr>
                <w:b/>
                <w:spacing w:val="40"/>
                <w:sz w:val="24"/>
              </w:rPr>
              <w:t> </w:t>
            </w:r>
            <w:r>
              <w:rPr>
                <w:b/>
                <w:sz w:val="24"/>
              </w:rPr>
              <w:t>Occupancies are </w:t>
            </w:r>
            <w:r>
              <w:rPr>
                <w:b/>
                <w:spacing w:val="9"/>
                <w:sz w:val="24"/>
              </w:rPr>
              <w:t>permissible</w:t>
            </w:r>
          </w:p>
        </w:tc>
      </w:tr>
      <w:tr>
        <w:trPr>
          <w:trHeight w:val="378" w:hRule="atLeast"/>
        </w:trPr>
        <w:tc>
          <w:tcPr>
            <w:tcW w:w="883" w:type="dxa"/>
          </w:tcPr>
          <w:p>
            <w:pPr>
              <w:pStyle w:val="TableParagraph"/>
              <w:spacing w:before="1"/>
              <w:ind w:right="117"/>
              <w:jc w:val="center"/>
              <w:rPr>
                <w:sz w:val="24"/>
              </w:rPr>
            </w:pPr>
            <w:r>
              <w:rPr>
                <w:spacing w:val="-10"/>
                <w:sz w:val="24"/>
              </w:rPr>
              <w:t>1</w:t>
            </w:r>
          </w:p>
        </w:tc>
        <w:tc>
          <w:tcPr>
            <w:tcW w:w="7009" w:type="dxa"/>
          </w:tcPr>
          <w:p>
            <w:pPr>
              <w:pStyle w:val="TableParagraph"/>
              <w:spacing w:before="1"/>
              <w:ind w:left="108"/>
              <w:rPr>
                <w:sz w:val="24"/>
              </w:rPr>
            </w:pPr>
            <w:r>
              <w:rPr>
                <w:sz w:val="24"/>
              </w:rPr>
              <w:t>Independent</w:t>
            </w:r>
            <w:r>
              <w:rPr>
                <w:spacing w:val="71"/>
                <w:w w:val="150"/>
                <w:sz w:val="24"/>
              </w:rPr>
              <w:t> </w:t>
            </w:r>
            <w:r>
              <w:rPr>
                <w:spacing w:val="-4"/>
                <w:sz w:val="24"/>
              </w:rPr>
              <w:t>plot</w:t>
            </w:r>
          </w:p>
        </w:tc>
      </w:tr>
      <w:tr>
        <w:trPr>
          <w:trHeight w:val="378" w:hRule="atLeast"/>
        </w:trPr>
        <w:tc>
          <w:tcPr>
            <w:tcW w:w="883" w:type="dxa"/>
          </w:tcPr>
          <w:p>
            <w:pPr>
              <w:pStyle w:val="TableParagraph"/>
              <w:spacing w:line="281" w:lineRule="exact"/>
              <w:ind w:right="117"/>
              <w:jc w:val="center"/>
              <w:rPr>
                <w:sz w:val="24"/>
              </w:rPr>
            </w:pPr>
            <w:r>
              <w:rPr>
                <w:spacing w:val="-10"/>
                <w:sz w:val="24"/>
              </w:rPr>
              <w:t>2</w:t>
            </w:r>
          </w:p>
        </w:tc>
        <w:tc>
          <w:tcPr>
            <w:tcW w:w="7009" w:type="dxa"/>
          </w:tcPr>
          <w:p>
            <w:pPr>
              <w:pStyle w:val="TableParagraph"/>
              <w:spacing w:line="281" w:lineRule="exact"/>
              <w:ind w:left="108"/>
              <w:rPr>
                <w:sz w:val="24"/>
              </w:rPr>
            </w:pPr>
            <w:r>
              <w:rPr>
                <w:sz w:val="24"/>
              </w:rPr>
              <w:t>Independent</w:t>
            </w:r>
            <w:r>
              <w:rPr>
                <w:spacing w:val="71"/>
                <w:w w:val="150"/>
                <w:sz w:val="24"/>
              </w:rPr>
              <w:t> </w:t>
            </w:r>
            <w:r>
              <w:rPr>
                <w:spacing w:val="-2"/>
                <w:sz w:val="24"/>
              </w:rPr>
              <w:t>building</w:t>
            </w:r>
          </w:p>
        </w:tc>
      </w:tr>
      <w:tr>
        <w:trPr>
          <w:trHeight w:val="376" w:hRule="atLeast"/>
        </w:trPr>
        <w:tc>
          <w:tcPr>
            <w:tcW w:w="883" w:type="dxa"/>
          </w:tcPr>
          <w:p>
            <w:pPr>
              <w:pStyle w:val="TableParagraph"/>
              <w:spacing w:line="281" w:lineRule="exact"/>
              <w:ind w:right="117"/>
              <w:jc w:val="center"/>
              <w:rPr>
                <w:sz w:val="24"/>
              </w:rPr>
            </w:pPr>
            <w:r>
              <w:rPr>
                <w:spacing w:val="-10"/>
                <w:sz w:val="24"/>
              </w:rPr>
              <w:t>3</w:t>
            </w:r>
          </w:p>
        </w:tc>
        <w:tc>
          <w:tcPr>
            <w:tcW w:w="7009" w:type="dxa"/>
          </w:tcPr>
          <w:p>
            <w:pPr>
              <w:pStyle w:val="TableParagraph"/>
              <w:spacing w:line="281" w:lineRule="exact"/>
              <w:ind w:left="108"/>
              <w:rPr>
                <w:sz w:val="24"/>
              </w:rPr>
            </w:pPr>
            <w:r>
              <w:rPr>
                <w:sz w:val="24"/>
              </w:rPr>
              <w:t>Separate</w:t>
            </w:r>
            <w:r>
              <w:rPr>
                <w:spacing w:val="66"/>
                <w:sz w:val="24"/>
              </w:rPr>
              <w:t> </w:t>
            </w:r>
            <w:r>
              <w:rPr>
                <w:sz w:val="24"/>
              </w:rPr>
              <w:t>wing</w:t>
            </w:r>
            <w:r>
              <w:rPr>
                <w:spacing w:val="67"/>
                <w:sz w:val="24"/>
              </w:rPr>
              <w:t> </w:t>
            </w:r>
            <w:r>
              <w:rPr>
                <w:sz w:val="24"/>
              </w:rPr>
              <w:t>with</w:t>
            </w:r>
            <w:r>
              <w:rPr>
                <w:spacing w:val="67"/>
                <w:sz w:val="24"/>
              </w:rPr>
              <w:t> </w:t>
            </w:r>
            <w:r>
              <w:rPr>
                <w:sz w:val="24"/>
              </w:rPr>
              <w:t>separate</w:t>
            </w:r>
            <w:r>
              <w:rPr>
                <w:spacing w:val="64"/>
                <w:sz w:val="24"/>
              </w:rPr>
              <w:t> </w:t>
            </w:r>
            <w:r>
              <w:rPr>
                <w:spacing w:val="7"/>
                <w:sz w:val="24"/>
              </w:rPr>
              <w:t>access</w:t>
            </w:r>
          </w:p>
        </w:tc>
      </w:tr>
      <w:tr>
        <w:trPr>
          <w:trHeight w:val="378" w:hRule="atLeast"/>
        </w:trPr>
        <w:tc>
          <w:tcPr>
            <w:tcW w:w="883" w:type="dxa"/>
          </w:tcPr>
          <w:p>
            <w:pPr>
              <w:pStyle w:val="TableParagraph"/>
              <w:spacing w:line="281" w:lineRule="exact"/>
              <w:ind w:right="117"/>
              <w:jc w:val="center"/>
              <w:rPr>
                <w:sz w:val="24"/>
              </w:rPr>
            </w:pPr>
            <w:r>
              <w:rPr>
                <w:spacing w:val="-10"/>
                <w:sz w:val="24"/>
              </w:rPr>
              <w:t>4</w:t>
            </w:r>
          </w:p>
        </w:tc>
        <w:tc>
          <w:tcPr>
            <w:tcW w:w="7009" w:type="dxa"/>
          </w:tcPr>
          <w:p>
            <w:pPr>
              <w:pStyle w:val="TableParagraph"/>
              <w:spacing w:line="281" w:lineRule="exact"/>
              <w:ind w:left="108"/>
              <w:rPr>
                <w:sz w:val="24"/>
              </w:rPr>
            </w:pPr>
            <w:r>
              <w:rPr>
                <w:sz w:val="24"/>
              </w:rPr>
              <w:t>Separate</w:t>
            </w:r>
            <w:r>
              <w:rPr>
                <w:spacing w:val="68"/>
                <w:sz w:val="24"/>
              </w:rPr>
              <w:t> </w:t>
            </w:r>
            <w:r>
              <w:rPr>
                <w:sz w:val="24"/>
              </w:rPr>
              <w:t>floor</w:t>
            </w:r>
            <w:r>
              <w:rPr>
                <w:spacing w:val="69"/>
                <w:sz w:val="24"/>
              </w:rPr>
              <w:t> </w:t>
            </w:r>
            <w:r>
              <w:rPr>
                <w:sz w:val="24"/>
              </w:rPr>
              <w:t>with</w:t>
            </w:r>
            <w:r>
              <w:rPr>
                <w:spacing w:val="69"/>
                <w:sz w:val="24"/>
              </w:rPr>
              <w:t> </w:t>
            </w:r>
            <w:r>
              <w:rPr>
                <w:sz w:val="24"/>
              </w:rPr>
              <w:t>separate</w:t>
            </w:r>
            <w:r>
              <w:rPr>
                <w:spacing w:val="69"/>
                <w:sz w:val="24"/>
              </w:rPr>
              <w:t> </w:t>
            </w:r>
            <w:r>
              <w:rPr>
                <w:spacing w:val="-2"/>
                <w:sz w:val="24"/>
              </w:rPr>
              <w:t>access</w:t>
            </w:r>
          </w:p>
        </w:tc>
      </w:tr>
      <w:tr>
        <w:trPr>
          <w:trHeight w:val="376" w:hRule="atLeast"/>
        </w:trPr>
        <w:tc>
          <w:tcPr>
            <w:tcW w:w="883" w:type="dxa"/>
          </w:tcPr>
          <w:p>
            <w:pPr>
              <w:pStyle w:val="TableParagraph"/>
              <w:spacing w:line="281" w:lineRule="exact"/>
              <w:ind w:right="117"/>
              <w:jc w:val="center"/>
              <w:rPr>
                <w:sz w:val="24"/>
              </w:rPr>
            </w:pPr>
            <w:r>
              <w:rPr>
                <w:spacing w:val="-10"/>
                <w:sz w:val="24"/>
              </w:rPr>
              <w:t>5</w:t>
            </w:r>
          </w:p>
        </w:tc>
        <w:tc>
          <w:tcPr>
            <w:tcW w:w="7009" w:type="dxa"/>
          </w:tcPr>
          <w:p>
            <w:pPr>
              <w:pStyle w:val="TableParagraph"/>
              <w:spacing w:line="281" w:lineRule="exact"/>
              <w:ind w:left="108"/>
              <w:rPr>
                <w:sz w:val="24"/>
              </w:rPr>
            </w:pPr>
            <w:r>
              <w:rPr>
                <w:sz w:val="24"/>
              </w:rPr>
              <w:t>On</w:t>
            </w:r>
            <w:r>
              <w:rPr>
                <w:spacing w:val="47"/>
                <w:sz w:val="24"/>
              </w:rPr>
              <w:t> </w:t>
            </w:r>
            <w:r>
              <w:rPr>
                <w:sz w:val="24"/>
              </w:rPr>
              <w:t>ground</w:t>
            </w:r>
            <w:r>
              <w:rPr>
                <w:spacing w:val="47"/>
                <w:sz w:val="24"/>
              </w:rPr>
              <w:t> </w:t>
            </w:r>
            <w:r>
              <w:rPr>
                <w:spacing w:val="-4"/>
                <w:sz w:val="24"/>
              </w:rPr>
              <w:t>floor</w:t>
            </w:r>
          </w:p>
        </w:tc>
      </w:tr>
      <w:tr>
        <w:trPr>
          <w:trHeight w:val="378" w:hRule="atLeast"/>
        </w:trPr>
        <w:tc>
          <w:tcPr>
            <w:tcW w:w="883" w:type="dxa"/>
          </w:tcPr>
          <w:p>
            <w:pPr>
              <w:pStyle w:val="TableParagraph"/>
              <w:spacing w:line="281" w:lineRule="exact"/>
              <w:ind w:right="117"/>
              <w:jc w:val="center"/>
              <w:rPr>
                <w:sz w:val="24"/>
              </w:rPr>
            </w:pPr>
            <w:r>
              <w:rPr>
                <w:spacing w:val="-10"/>
                <w:sz w:val="24"/>
              </w:rPr>
              <w:t>6</w:t>
            </w:r>
          </w:p>
        </w:tc>
        <w:tc>
          <w:tcPr>
            <w:tcW w:w="7009" w:type="dxa"/>
          </w:tcPr>
          <w:p>
            <w:pPr>
              <w:pStyle w:val="TableParagraph"/>
              <w:spacing w:line="281" w:lineRule="exact"/>
              <w:ind w:left="108"/>
              <w:rPr>
                <w:sz w:val="24"/>
              </w:rPr>
            </w:pPr>
            <w:r>
              <w:rPr>
                <w:sz w:val="24"/>
              </w:rPr>
              <w:t>On</w:t>
            </w:r>
            <w:r>
              <w:rPr>
                <w:spacing w:val="56"/>
                <w:sz w:val="24"/>
              </w:rPr>
              <w:t> </w:t>
            </w:r>
            <w:r>
              <w:rPr>
                <w:sz w:val="24"/>
              </w:rPr>
              <w:t>ground</w:t>
            </w:r>
            <w:r>
              <w:rPr>
                <w:spacing w:val="57"/>
                <w:sz w:val="24"/>
              </w:rPr>
              <w:t> </w:t>
            </w:r>
            <w:r>
              <w:rPr>
                <w:sz w:val="24"/>
              </w:rPr>
              <w:t>floor</w:t>
            </w:r>
            <w:r>
              <w:rPr>
                <w:spacing w:val="56"/>
                <w:sz w:val="24"/>
              </w:rPr>
              <w:t> </w:t>
            </w:r>
            <w:r>
              <w:rPr>
                <w:sz w:val="24"/>
              </w:rPr>
              <w:t>with</w:t>
            </w:r>
            <w:r>
              <w:rPr>
                <w:spacing w:val="57"/>
                <w:sz w:val="24"/>
              </w:rPr>
              <w:t> </w:t>
            </w:r>
            <w:r>
              <w:rPr>
                <w:sz w:val="24"/>
              </w:rPr>
              <w:t>separate</w:t>
            </w:r>
            <w:r>
              <w:rPr>
                <w:spacing w:val="57"/>
                <w:sz w:val="24"/>
              </w:rPr>
              <w:t> </w:t>
            </w:r>
            <w:r>
              <w:rPr>
                <w:spacing w:val="7"/>
                <w:sz w:val="24"/>
              </w:rPr>
              <w:t>access.</w:t>
            </w:r>
          </w:p>
        </w:tc>
      </w:tr>
      <w:tr>
        <w:trPr>
          <w:trHeight w:val="376" w:hRule="atLeast"/>
        </w:trPr>
        <w:tc>
          <w:tcPr>
            <w:tcW w:w="883" w:type="dxa"/>
          </w:tcPr>
          <w:p>
            <w:pPr>
              <w:pStyle w:val="TableParagraph"/>
              <w:spacing w:line="281" w:lineRule="exact"/>
              <w:ind w:right="117"/>
              <w:jc w:val="center"/>
              <w:rPr>
                <w:sz w:val="24"/>
              </w:rPr>
            </w:pPr>
            <w:r>
              <w:rPr>
                <w:spacing w:val="-10"/>
                <w:sz w:val="24"/>
              </w:rPr>
              <w:t>7</w:t>
            </w:r>
          </w:p>
        </w:tc>
        <w:tc>
          <w:tcPr>
            <w:tcW w:w="7009" w:type="dxa"/>
          </w:tcPr>
          <w:p>
            <w:pPr>
              <w:pStyle w:val="TableParagraph"/>
              <w:spacing w:line="281" w:lineRule="exact"/>
              <w:ind w:left="108"/>
              <w:rPr>
                <w:sz w:val="24"/>
              </w:rPr>
            </w:pPr>
            <w:r>
              <w:rPr>
                <w:sz w:val="24"/>
              </w:rPr>
              <w:t>On</w:t>
            </w:r>
            <w:r>
              <w:rPr>
                <w:spacing w:val="28"/>
                <w:sz w:val="24"/>
              </w:rPr>
              <w:t> </w:t>
            </w:r>
            <w:r>
              <w:rPr>
                <w:spacing w:val="-2"/>
                <w:sz w:val="24"/>
              </w:rPr>
              <w:t>stilt</w:t>
            </w:r>
          </w:p>
        </w:tc>
      </w:tr>
      <w:tr>
        <w:trPr>
          <w:trHeight w:val="378" w:hRule="atLeast"/>
        </w:trPr>
        <w:tc>
          <w:tcPr>
            <w:tcW w:w="883" w:type="dxa"/>
          </w:tcPr>
          <w:p>
            <w:pPr>
              <w:pStyle w:val="TableParagraph"/>
              <w:spacing w:before="1"/>
              <w:ind w:right="117"/>
              <w:jc w:val="center"/>
              <w:rPr>
                <w:sz w:val="24"/>
              </w:rPr>
            </w:pPr>
            <w:r>
              <w:rPr>
                <w:spacing w:val="-10"/>
                <w:sz w:val="24"/>
              </w:rPr>
              <w:t>8</w:t>
            </w:r>
          </w:p>
        </w:tc>
        <w:tc>
          <w:tcPr>
            <w:tcW w:w="7009" w:type="dxa"/>
          </w:tcPr>
          <w:p>
            <w:pPr>
              <w:pStyle w:val="TableParagraph"/>
              <w:spacing w:before="1"/>
              <w:ind w:left="108"/>
              <w:rPr>
                <w:sz w:val="24"/>
              </w:rPr>
            </w:pPr>
            <w:r>
              <w:rPr>
                <w:sz w:val="24"/>
              </w:rPr>
              <w:t>On</w:t>
            </w:r>
            <w:r>
              <w:rPr>
                <w:spacing w:val="33"/>
                <w:sz w:val="24"/>
              </w:rPr>
              <w:t> </w:t>
            </w:r>
            <w:r>
              <w:rPr>
                <w:sz w:val="24"/>
              </w:rPr>
              <w:t>the</w:t>
            </w:r>
            <w:r>
              <w:rPr>
                <w:spacing w:val="33"/>
                <w:sz w:val="24"/>
              </w:rPr>
              <w:t> </w:t>
            </w:r>
            <w:r>
              <w:rPr>
                <w:sz w:val="24"/>
              </w:rPr>
              <w:t>top</w:t>
            </w:r>
            <w:r>
              <w:rPr>
                <w:spacing w:val="33"/>
                <w:sz w:val="24"/>
              </w:rPr>
              <w:t> </w:t>
            </w:r>
            <w:r>
              <w:rPr>
                <w:sz w:val="24"/>
              </w:rPr>
              <w:t>of</w:t>
            </w:r>
            <w:r>
              <w:rPr>
                <w:spacing w:val="33"/>
                <w:sz w:val="24"/>
              </w:rPr>
              <w:t> </w:t>
            </w:r>
            <w:r>
              <w:rPr>
                <w:spacing w:val="7"/>
                <w:sz w:val="24"/>
              </w:rPr>
              <w:t>podium</w:t>
            </w:r>
          </w:p>
        </w:tc>
      </w:tr>
      <w:tr>
        <w:trPr>
          <w:trHeight w:val="660" w:hRule="atLeast"/>
        </w:trPr>
        <w:tc>
          <w:tcPr>
            <w:tcW w:w="883" w:type="dxa"/>
          </w:tcPr>
          <w:p>
            <w:pPr>
              <w:pStyle w:val="TableParagraph"/>
              <w:spacing w:line="281" w:lineRule="exact"/>
              <w:ind w:right="117"/>
              <w:jc w:val="center"/>
              <w:rPr>
                <w:sz w:val="24"/>
              </w:rPr>
            </w:pPr>
            <w:r>
              <w:rPr>
                <w:spacing w:val="-10"/>
                <w:sz w:val="24"/>
              </w:rPr>
              <w:t>9</w:t>
            </w:r>
          </w:p>
        </w:tc>
        <w:tc>
          <w:tcPr>
            <w:tcW w:w="7009" w:type="dxa"/>
          </w:tcPr>
          <w:p>
            <w:pPr>
              <w:pStyle w:val="TableParagraph"/>
              <w:ind w:left="108" w:right="1048"/>
              <w:rPr>
                <w:sz w:val="24"/>
              </w:rPr>
            </w:pPr>
            <w:r>
              <w:rPr>
                <w:sz w:val="24"/>
              </w:rPr>
              <w:t>On</w:t>
            </w:r>
            <w:r>
              <w:rPr>
                <w:spacing w:val="40"/>
                <w:sz w:val="24"/>
              </w:rPr>
              <w:t> </w:t>
            </w:r>
            <w:r>
              <w:rPr>
                <w:sz w:val="24"/>
              </w:rPr>
              <w:t>ground/stilt,</w:t>
            </w:r>
            <w:r>
              <w:rPr>
                <w:spacing w:val="40"/>
                <w:sz w:val="24"/>
              </w:rPr>
              <w:t> </w:t>
            </w:r>
            <w:r>
              <w:rPr>
                <w:sz w:val="24"/>
              </w:rPr>
              <w:t>1</w:t>
            </w:r>
            <w:r>
              <w:rPr>
                <w:position w:val="6"/>
                <w:sz w:val="16"/>
              </w:rPr>
              <w:t>st</w:t>
            </w:r>
            <w:r>
              <w:rPr>
                <w:sz w:val="24"/>
              </w:rPr>
              <w:t>&amp;2</w:t>
            </w:r>
            <w:r>
              <w:rPr>
                <w:position w:val="6"/>
                <w:sz w:val="16"/>
              </w:rPr>
              <w:t>nd</w:t>
            </w:r>
            <w:r>
              <w:rPr>
                <w:spacing w:val="40"/>
                <w:position w:val="6"/>
                <w:sz w:val="16"/>
              </w:rPr>
              <w:t> </w:t>
            </w:r>
            <w:r>
              <w:rPr>
                <w:sz w:val="24"/>
              </w:rPr>
              <w:t>floors</w:t>
            </w:r>
            <w:r>
              <w:rPr>
                <w:spacing w:val="40"/>
                <w:sz w:val="24"/>
              </w:rPr>
              <w:t> </w:t>
            </w:r>
            <w:r>
              <w:rPr>
                <w:sz w:val="24"/>
              </w:rPr>
              <w:t>with</w:t>
            </w:r>
            <w:r>
              <w:rPr>
                <w:spacing w:val="40"/>
                <w:sz w:val="24"/>
              </w:rPr>
              <w:t> </w:t>
            </w:r>
            <w:r>
              <w:rPr>
                <w:sz w:val="24"/>
              </w:rPr>
              <w:t>separate </w:t>
            </w:r>
            <w:r>
              <w:rPr>
                <w:spacing w:val="-2"/>
                <w:sz w:val="24"/>
              </w:rPr>
              <w:t>access</w:t>
            </w:r>
          </w:p>
        </w:tc>
      </w:tr>
      <w:tr>
        <w:trPr>
          <w:trHeight w:val="376" w:hRule="atLeast"/>
        </w:trPr>
        <w:tc>
          <w:tcPr>
            <w:tcW w:w="883" w:type="dxa"/>
          </w:tcPr>
          <w:p>
            <w:pPr>
              <w:pStyle w:val="TableParagraph"/>
              <w:spacing w:line="281" w:lineRule="exact"/>
              <w:ind w:left="9" w:right="117"/>
              <w:jc w:val="center"/>
              <w:rPr>
                <w:sz w:val="24"/>
              </w:rPr>
            </w:pPr>
            <w:r>
              <w:rPr>
                <w:spacing w:val="-5"/>
                <w:sz w:val="24"/>
              </w:rPr>
              <w:t>10</w:t>
            </w:r>
          </w:p>
        </w:tc>
        <w:tc>
          <w:tcPr>
            <w:tcW w:w="7009" w:type="dxa"/>
          </w:tcPr>
          <w:p>
            <w:pPr>
              <w:pStyle w:val="TableParagraph"/>
              <w:spacing w:line="281" w:lineRule="exact"/>
              <w:ind w:left="108"/>
              <w:rPr>
                <w:sz w:val="24"/>
              </w:rPr>
            </w:pPr>
            <w:r>
              <w:rPr>
                <w:sz w:val="24"/>
              </w:rPr>
              <w:t>On</w:t>
            </w:r>
            <w:r>
              <w:rPr>
                <w:spacing w:val="30"/>
                <w:sz w:val="24"/>
              </w:rPr>
              <w:t> </w:t>
            </w:r>
            <w:r>
              <w:rPr>
                <w:spacing w:val="-2"/>
                <w:sz w:val="24"/>
              </w:rPr>
              <w:t>Terrace</w:t>
            </w:r>
          </w:p>
        </w:tc>
      </w:tr>
      <w:tr>
        <w:trPr>
          <w:trHeight w:val="378" w:hRule="atLeast"/>
        </w:trPr>
        <w:tc>
          <w:tcPr>
            <w:tcW w:w="883" w:type="dxa"/>
          </w:tcPr>
          <w:p>
            <w:pPr>
              <w:pStyle w:val="TableParagraph"/>
              <w:spacing w:before="1"/>
              <w:ind w:left="9" w:right="117"/>
              <w:jc w:val="center"/>
              <w:rPr>
                <w:sz w:val="24"/>
              </w:rPr>
            </w:pPr>
            <w:r>
              <w:rPr>
                <w:spacing w:val="-5"/>
                <w:sz w:val="24"/>
              </w:rPr>
              <w:t>11</w:t>
            </w:r>
          </w:p>
        </w:tc>
        <w:tc>
          <w:tcPr>
            <w:tcW w:w="7009" w:type="dxa"/>
          </w:tcPr>
          <w:p>
            <w:pPr>
              <w:pStyle w:val="TableParagraph"/>
              <w:spacing w:before="1"/>
              <w:ind w:left="108"/>
              <w:rPr>
                <w:sz w:val="24"/>
              </w:rPr>
            </w:pPr>
            <w:r>
              <w:rPr>
                <w:sz w:val="24"/>
              </w:rPr>
              <w:t>Minimum</w:t>
            </w:r>
            <w:r>
              <w:rPr>
                <w:spacing w:val="46"/>
                <w:sz w:val="24"/>
              </w:rPr>
              <w:t> </w:t>
            </w:r>
            <w:r>
              <w:rPr>
                <w:sz w:val="24"/>
              </w:rPr>
              <w:t>area</w:t>
            </w:r>
            <w:r>
              <w:rPr>
                <w:spacing w:val="38"/>
                <w:sz w:val="24"/>
              </w:rPr>
              <w:t>  </w:t>
            </w:r>
            <w:r>
              <w:rPr>
                <w:sz w:val="24"/>
              </w:rPr>
              <w:t>of</w:t>
            </w:r>
            <w:r>
              <w:rPr>
                <w:spacing w:val="47"/>
                <w:sz w:val="24"/>
              </w:rPr>
              <w:t> </w:t>
            </w:r>
            <w:r>
              <w:rPr>
                <w:spacing w:val="9"/>
                <w:sz w:val="24"/>
              </w:rPr>
              <w:t>plot-</w:t>
            </w:r>
            <w:r>
              <w:rPr>
                <w:sz w:val="24"/>
              </w:rPr>
              <w:t>1,000</w:t>
            </w:r>
            <w:r>
              <w:rPr>
                <w:spacing w:val="43"/>
                <w:sz w:val="24"/>
              </w:rPr>
              <w:t> </w:t>
            </w:r>
            <w:r>
              <w:rPr>
                <w:sz w:val="24"/>
              </w:rPr>
              <w:t>sq.</w:t>
            </w:r>
            <w:r>
              <w:rPr>
                <w:spacing w:val="46"/>
                <w:sz w:val="24"/>
              </w:rPr>
              <w:t> </w:t>
            </w:r>
            <w:r>
              <w:rPr>
                <w:spacing w:val="-10"/>
                <w:sz w:val="24"/>
              </w:rPr>
              <w:t>m</w:t>
            </w:r>
          </w:p>
        </w:tc>
      </w:tr>
      <w:tr>
        <w:trPr>
          <w:trHeight w:val="376" w:hRule="atLeast"/>
        </w:trPr>
        <w:tc>
          <w:tcPr>
            <w:tcW w:w="883" w:type="dxa"/>
          </w:tcPr>
          <w:p>
            <w:pPr>
              <w:pStyle w:val="TableParagraph"/>
              <w:spacing w:line="281" w:lineRule="exact"/>
              <w:ind w:left="9" w:right="117"/>
              <w:jc w:val="center"/>
              <w:rPr>
                <w:sz w:val="24"/>
              </w:rPr>
            </w:pPr>
            <w:r>
              <w:rPr>
                <w:spacing w:val="-5"/>
                <w:sz w:val="24"/>
              </w:rPr>
              <w:t>12</w:t>
            </w:r>
          </w:p>
        </w:tc>
        <w:tc>
          <w:tcPr>
            <w:tcW w:w="7009" w:type="dxa"/>
          </w:tcPr>
          <w:p>
            <w:pPr>
              <w:pStyle w:val="TableParagraph"/>
              <w:spacing w:line="281" w:lineRule="exact"/>
              <w:ind w:left="108"/>
              <w:rPr>
                <w:sz w:val="24"/>
              </w:rPr>
            </w:pPr>
            <w:r>
              <w:rPr>
                <w:sz w:val="24"/>
              </w:rPr>
              <w:t>Minimum</w:t>
            </w:r>
            <w:r>
              <w:rPr>
                <w:spacing w:val="51"/>
                <w:sz w:val="24"/>
              </w:rPr>
              <w:t> </w:t>
            </w:r>
            <w:r>
              <w:rPr>
                <w:sz w:val="24"/>
              </w:rPr>
              <w:t>area</w:t>
            </w:r>
            <w:r>
              <w:rPr>
                <w:spacing w:val="49"/>
                <w:sz w:val="24"/>
              </w:rPr>
              <w:t> </w:t>
            </w:r>
            <w:r>
              <w:rPr>
                <w:sz w:val="24"/>
              </w:rPr>
              <w:t>of</w:t>
            </w:r>
            <w:r>
              <w:rPr>
                <w:spacing w:val="49"/>
                <w:sz w:val="24"/>
              </w:rPr>
              <w:t> </w:t>
            </w:r>
            <w:r>
              <w:rPr>
                <w:spacing w:val="9"/>
                <w:sz w:val="24"/>
              </w:rPr>
              <w:t>plot-</w:t>
            </w:r>
            <w:r>
              <w:rPr>
                <w:sz w:val="24"/>
              </w:rPr>
              <w:t>2,500</w:t>
            </w:r>
            <w:r>
              <w:rPr>
                <w:spacing w:val="48"/>
                <w:sz w:val="24"/>
              </w:rPr>
              <w:t> </w:t>
            </w:r>
            <w:r>
              <w:rPr>
                <w:sz w:val="24"/>
              </w:rPr>
              <w:t>sq.</w:t>
            </w:r>
            <w:r>
              <w:rPr>
                <w:spacing w:val="52"/>
                <w:sz w:val="24"/>
              </w:rPr>
              <w:t> </w:t>
            </w:r>
            <w:r>
              <w:rPr>
                <w:spacing w:val="-10"/>
                <w:sz w:val="24"/>
              </w:rPr>
              <w:t>m</w:t>
            </w:r>
          </w:p>
        </w:tc>
      </w:tr>
      <w:tr>
        <w:trPr>
          <w:trHeight w:val="659" w:hRule="atLeast"/>
        </w:trPr>
        <w:tc>
          <w:tcPr>
            <w:tcW w:w="883" w:type="dxa"/>
          </w:tcPr>
          <w:p>
            <w:pPr>
              <w:pStyle w:val="TableParagraph"/>
              <w:spacing w:before="1"/>
              <w:ind w:left="9" w:right="117"/>
              <w:jc w:val="center"/>
              <w:rPr>
                <w:sz w:val="24"/>
              </w:rPr>
            </w:pPr>
            <w:r>
              <w:rPr>
                <w:spacing w:val="-5"/>
                <w:sz w:val="24"/>
              </w:rPr>
              <w:t>13</w:t>
            </w:r>
          </w:p>
        </w:tc>
        <w:tc>
          <w:tcPr>
            <w:tcW w:w="7009" w:type="dxa"/>
          </w:tcPr>
          <w:p>
            <w:pPr>
              <w:pStyle w:val="TableParagraph"/>
              <w:spacing w:line="281" w:lineRule="exact" w:before="1"/>
              <w:ind w:left="108"/>
              <w:rPr>
                <w:sz w:val="24"/>
              </w:rPr>
            </w:pPr>
            <w:r>
              <w:rPr>
                <w:sz w:val="24"/>
              </w:rPr>
              <w:t>Minimum</w:t>
            </w:r>
            <w:r>
              <w:rPr>
                <w:spacing w:val="49"/>
                <w:sz w:val="24"/>
              </w:rPr>
              <w:t> </w:t>
            </w:r>
            <w:r>
              <w:rPr>
                <w:sz w:val="24"/>
              </w:rPr>
              <w:t>width</w:t>
            </w:r>
            <w:r>
              <w:rPr>
                <w:spacing w:val="50"/>
                <w:sz w:val="24"/>
              </w:rPr>
              <w:t> </w:t>
            </w:r>
            <w:r>
              <w:rPr>
                <w:sz w:val="24"/>
              </w:rPr>
              <w:t>of</w:t>
            </w:r>
            <w:r>
              <w:rPr>
                <w:spacing w:val="52"/>
                <w:sz w:val="24"/>
              </w:rPr>
              <w:t> </w:t>
            </w:r>
            <w:r>
              <w:rPr>
                <w:sz w:val="24"/>
              </w:rPr>
              <w:t>street</w:t>
            </w:r>
            <w:r>
              <w:rPr>
                <w:spacing w:val="48"/>
                <w:sz w:val="24"/>
              </w:rPr>
              <w:t> </w:t>
            </w:r>
            <w:r>
              <w:rPr>
                <w:sz w:val="24"/>
              </w:rPr>
              <w:t>on</w:t>
            </w:r>
            <w:r>
              <w:rPr>
                <w:spacing w:val="48"/>
                <w:sz w:val="24"/>
              </w:rPr>
              <w:t> </w:t>
            </w:r>
            <w:r>
              <w:rPr>
                <w:sz w:val="24"/>
              </w:rPr>
              <w:t>which</w:t>
            </w:r>
            <w:r>
              <w:rPr>
                <w:spacing w:val="48"/>
                <w:sz w:val="24"/>
              </w:rPr>
              <w:t> </w:t>
            </w:r>
            <w:r>
              <w:rPr>
                <w:sz w:val="24"/>
              </w:rPr>
              <w:t>the</w:t>
            </w:r>
            <w:r>
              <w:rPr>
                <w:spacing w:val="52"/>
                <w:sz w:val="24"/>
              </w:rPr>
              <w:t> </w:t>
            </w:r>
            <w:r>
              <w:rPr>
                <w:sz w:val="24"/>
              </w:rPr>
              <w:t>plot</w:t>
            </w:r>
            <w:r>
              <w:rPr>
                <w:spacing w:val="49"/>
                <w:sz w:val="24"/>
              </w:rPr>
              <w:t> </w:t>
            </w:r>
            <w:r>
              <w:rPr>
                <w:spacing w:val="-2"/>
                <w:sz w:val="24"/>
              </w:rPr>
              <w:t>abuts-</w:t>
            </w:r>
          </w:p>
          <w:p>
            <w:pPr>
              <w:pStyle w:val="TableParagraph"/>
              <w:spacing w:line="281" w:lineRule="exact"/>
              <w:ind w:left="108"/>
              <w:rPr>
                <w:sz w:val="24"/>
              </w:rPr>
            </w:pPr>
            <w:r>
              <w:rPr>
                <w:sz w:val="24"/>
              </w:rPr>
              <w:t>9.00</w:t>
            </w:r>
            <w:r>
              <w:rPr>
                <w:spacing w:val="46"/>
                <w:sz w:val="24"/>
              </w:rPr>
              <w:t> </w:t>
            </w:r>
            <w:r>
              <w:rPr>
                <w:spacing w:val="-10"/>
                <w:sz w:val="24"/>
              </w:rPr>
              <w:t>m</w:t>
            </w:r>
          </w:p>
        </w:tc>
      </w:tr>
      <w:tr>
        <w:trPr>
          <w:trHeight w:val="659" w:hRule="atLeast"/>
        </w:trPr>
        <w:tc>
          <w:tcPr>
            <w:tcW w:w="883" w:type="dxa"/>
          </w:tcPr>
          <w:p>
            <w:pPr>
              <w:pStyle w:val="TableParagraph"/>
              <w:spacing w:before="1"/>
              <w:ind w:left="9" w:right="117"/>
              <w:jc w:val="center"/>
              <w:rPr>
                <w:sz w:val="24"/>
              </w:rPr>
            </w:pPr>
            <w:r>
              <w:rPr>
                <w:spacing w:val="-5"/>
                <w:sz w:val="24"/>
              </w:rPr>
              <w:t>14</w:t>
            </w:r>
          </w:p>
        </w:tc>
        <w:tc>
          <w:tcPr>
            <w:tcW w:w="7009" w:type="dxa"/>
          </w:tcPr>
          <w:p>
            <w:pPr>
              <w:pStyle w:val="TableParagraph"/>
              <w:spacing w:line="281" w:lineRule="exact" w:before="1"/>
              <w:ind w:left="108"/>
              <w:rPr>
                <w:sz w:val="24"/>
              </w:rPr>
            </w:pPr>
            <w:r>
              <w:rPr>
                <w:sz w:val="24"/>
              </w:rPr>
              <w:t>Minimum</w:t>
            </w:r>
            <w:r>
              <w:rPr>
                <w:spacing w:val="49"/>
                <w:sz w:val="24"/>
              </w:rPr>
              <w:t> </w:t>
            </w:r>
            <w:r>
              <w:rPr>
                <w:sz w:val="24"/>
              </w:rPr>
              <w:t>width</w:t>
            </w:r>
            <w:r>
              <w:rPr>
                <w:spacing w:val="50"/>
                <w:sz w:val="24"/>
              </w:rPr>
              <w:t> </w:t>
            </w:r>
            <w:r>
              <w:rPr>
                <w:sz w:val="24"/>
              </w:rPr>
              <w:t>of</w:t>
            </w:r>
            <w:r>
              <w:rPr>
                <w:spacing w:val="52"/>
                <w:sz w:val="24"/>
              </w:rPr>
              <w:t> </w:t>
            </w:r>
            <w:r>
              <w:rPr>
                <w:sz w:val="24"/>
              </w:rPr>
              <w:t>street</w:t>
            </w:r>
            <w:r>
              <w:rPr>
                <w:spacing w:val="48"/>
                <w:sz w:val="24"/>
              </w:rPr>
              <w:t> </w:t>
            </w:r>
            <w:r>
              <w:rPr>
                <w:sz w:val="24"/>
              </w:rPr>
              <w:t>on</w:t>
            </w:r>
            <w:r>
              <w:rPr>
                <w:spacing w:val="48"/>
                <w:sz w:val="24"/>
              </w:rPr>
              <w:t> </w:t>
            </w:r>
            <w:r>
              <w:rPr>
                <w:sz w:val="24"/>
              </w:rPr>
              <w:t>which</w:t>
            </w:r>
            <w:r>
              <w:rPr>
                <w:spacing w:val="48"/>
                <w:sz w:val="24"/>
              </w:rPr>
              <w:t> </w:t>
            </w:r>
            <w:r>
              <w:rPr>
                <w:sz w:val="24"/>
              </w:rPr>
              <w:t>the</w:t>
            </w:r>
            <w:r>
              <w:rPr>
                <w:spacing w:val="52"/>
                <w:sz w:val="24"/>
              </w:rPr>
              <w:t> </w:t>
            </w:r>
            <w:r>
              <w:rPr>
                <w:sz w:val="24"/>
              </w:rPr>
              <w:t>plot</w:t>
            </w:r>
            <w:r>
              <w:rPr>
                <w:spacing w:val="49"/>
                <w:sz w:val="24"/>
              </w:rPr>
              <w:t> </w:t>
            </w:r>
            <w:r>
              <w:rPr>
                <w:spacing w:val="-2"/>
                <w:sz w:val="24"/>
              </w:rPr>
              <w:t>abuts-</w:t>
            </w:r>
          </w:p>
          <w:p>
            <w:pPr>
              <w:pStyle w:val="TableParagraph"/>
              <w:spacing w:line="281" w:lineRule="exact"/>
              <w:ind w:left="108"/>
              <w:rPr>
                <w:sz w:val="24"/>
              </w:rPr>
            </w:pPr>
            <w:r>
              <w:rPr>
                <w:sz w:val="24"/>
              </w:rPr>
              <w:t>12.00</w:t>
            </w:r>
            <w:r>
              <w:rPr>
                <w:spacing w:val="55"/>
                <w:sz w:val="24"/>
              </w:rPr>
              <w:t> </w:t>
            </w:r>
            <w:r>
              <w:rPr>
                <w:spacing w:val="-10"/>
                <w:sz w:val="24"/>
              </w:rPr>
              <w:t>m</w:t>
            </w:r>
          </w:p>
        </w:tc>
      </w:tr>
      <w:tr>
        <w:trPr>
          <w:trHeight w:val="660" w:hRule="atLeast"/>
        </w:trPr>
        <w:tc>
          <w:tcPr>
            <w:tcW w:w="883" w:type="dxa"/>
          </w:tcPr>
          <w:p>
            <w:pPr>
              <w:pStyle w:val="TableParagraph"/>
              <w:spacing w:before="1"/>
              <w:ind w:left="9" w:right="117"/>
              <w:jc w:val="center"/>
              <w:rPr>
                <w:sz w:val="24"/>
              </w:rPr>
            </w:pPr>
            <w:r>
              <w:rPr>
                <w:spacing w:val="-5"/>
                <w:sz w:val="24"/>
              </w:rPr>
              <w:t>15</w:t>
            </w:r>
          </w:p>
        </w:tc>
        <w:tc>
          <w:tcPr>
            <w:tcW w:w="7009" w:type="dxa"/>
          </w:tcPr>
          <w:p>
            <w:pPr>
              <w:pStyle w:val="TableParagraph"/>
              <w:spacing w:line="282" w:lineRule="exact" w:before="1"/>
              <w:ind w:left="108"/>
              <w:rPr>
                <w:sz w:val="24"/>
              </w:rPr>
            </w:pPr>
            <w:r>
              <w:rPr>
                <w:sz w:val="24"/>
              </w:rPr>
              <w:t>Minimum</w:t>
            </w:r>
            <w:r>
              <w:rPr>
                <w:spacing w:val="49"/>
                <w:sz w:val="24"/>
              </w:rPr>
              <w:t> </w:t>
            </w:r>
            <w:r>
              <w:rPr>
                <w:sz w:val="24"/>
              </w:rPr>
              <w:t>width</w:t>
            </w:r>
            <w:r>
              <w:rPr>
                <w:spacing w:val="49"/>
                <w:sz w:val="24"/>
              </w:rPr>
              <w:t> </w:t>
            </w:r>
            <w:r>
              <w:rPr>
                <w:sz w:val="24"/>
              </w:rPr>
              <w:t>of</w:t>
            </w:r>
            <w:r>
              <w:rPr>
                <w:spacing w:val="51"/>
                <w:sz w:val="24"/>
              </w:rPr>
              <w:t> </w:t>
            </w:r>
            <w:r>
              <w:rPr>
                <w:sz w:val="24"/>
              </w:rPr>
              <w:t>street</w:t>
            </w:r>
            <w:r>
              <w:rPr>
                <w:spacing w:val="50"/>
                <w:sz w:val="24"/>
              </w:rPr>
              <w:t> </w:t>
            </w:r>
            <w:r>
              <w:rPr>
                <w:sz w:val="24"/>
              </w:rPr>
              <w:t>on</w:t>
            </w:r>
            <w:r>
              <w:rPr>
                <w:spacing w:val="49"/>
                <w:sz w:val="24"/>
              </w:rPr>
              <w:t> </w:t>
            </w:r>
            <w:r>
              <w:rPr>
                <w:sz w:val="24"/>
              </w:rPr>
              <w:t>which</w:t>
            </w:r>
            <w:r>
              <w:rPr>
                <w:spacing w:val="49"/>
                <w:sz w:val="24"/>
              </w:rPr>
              <w:t> </w:t>
            </w:r>
            <w:r>
              <w:rPr>
                <w:sz w:val="24"/>
              </w:rPr>
              <w:t>the</w:t>
            </w:r>
            <w:r>
              <w:rPr>
                <w:spacing w:val="51"/>
                <w:sz w:val="24"/>
              </w:rPr>
              <w:t> </w:t>
            </w:r>
            <w:r>
              <w:rPr>
                <w:sz w:val="24"/>
              </w:rPr>
              <w:t>plot</w:t>
            </w:r>
            <w:r>
              <w:rPr>
                <w:spacing w:val="50"/>
                <w:sz w:val="24"/>
              </w:rPr>
              <w:t> </w:t>
            </w:r>
            <w:r>
              <w:rPr>
                <w:spacing w:val="-2"/>
                <w:sz w:val="24"/>
              </w:rPr>
              <w:t>abuts-</w:t>
            </w:r>
          </w:p>
          <w:p>
            <w:pPr>
              <w:pStyle w:val="TableParagraph"/>
              <w:ind w:left="108"/>
              <w:rPr>
                <w:sz w:val="24"/>
              </w:rPr>
            </w:pPr>
            <w:r>
              <w:rPr>
                <w:sz w:val="24"/>
              </w:rPr>
              <w:t>13.40</w:t>
            </w:r>
            <w:r>
              <w:rPr>
                <w:spacing w:val="55"/>
                <w:sz w:val="24"/>
              </w:rPr>
              <w:t> </w:t>
            </w:r>
            <w:r>
              <w:rPr>
                <w:spacing w:val="-10"/>
                <w:sz w:val="24"/>
              </w:rPr>
              <w:t>m</w:t>
            </w:r>
          </w:p>
        </w:tc>
      </w:tr>
      <w:tr>
        <w:trPr>
          <w:trHeight w:val="659" w:hRule="atLeast"/>
        </w:trPr>
        <w:tc>
          <w:tcPr>
            <w:tcW w:w="883" w:type="dxa"/>
          </w:tcPr>
          <w:p>
            <w:pPr>
              <w:pStyle w:val="TableParagraph"/>
              <w:spacing w:line="281" w:lineRule="exact"/>
              <w:ind w:left="9" w:right="117"/>
              <w:jc w:val="center"/>
              <w:rPr>
                <w:sz w:val="24"/>
              </w:rPr>
            </w:pPr>
            <w:r>
              <w:rPr>
                <w:spacing w:val="-5"/>
                <w:sz w:val="24"/>
              </w:rPr>
              <w:t>16</w:t>
            </w:r>
          </w:p>
        </w:tc>
        <w:tc>
          <w:tcPr>
            <w:tcW w:w="7009" w:type="dxa"/>
          </w:tcPr>
          <w:p>
            <w:pPr>
              <w:pStyle w:val="TableParagraph"/>
              <w:spacing w:line="281" w:lineRule="exact"/>
              <w:ind w:left="108"/>
              <w:rPr>
                <w:sz w:val="24"/>
              </w:rPr>
            </w:pPr>
            <w:r>
              <w:rPr>
                <w:sz w:val="24"/>
              </w:rPr>
              <w:t>Minimum</w:t>
            </w:r>
            <w:r>
              <w:rPr>
                <w:spacing w:val="49"/>
                <w:sz w:val="24"/>
              </w:rPr>
              <w:t> </w:t>
            </w:r>
            <w:r>
              <w:rPr>
                <w:sz w:val="24"/>
              </w:rPr>
              <w:t>width</w:t>
            </w:r>
            <w:r>
              <w:rPr>
                <w:spacing w:val="49"/>
                <w:sz w:val="24"/>
              </w:rPr>
              <w:t> </w:t>
            </w:r>
            <w:r>
              <w:rPr>
                <w:sz w:val="24"/>
              </w:rPr>
              <w:t>of</w:t>
            </w:r>
            <w:r>
              <w:rPr>
                <w:spacing w:val="51"/>
                <w:sz w:val="24"/>
              </w:rPr>
              <w:t> </w:t>
            </w:r>
            <w:r>
              <w:rPr>
                <w:sz w:val="24"/>
              </w:rPr>
              <w:t>street</w:t>
            </w:r>
            <w:r>
              <w:rPr>
                <w:spacing w:val="49"/>
                <w:sz w:val="24"/>
              </w:rPr>
              <w:t> </w:t>
            </w:r>
            <w:r>
              <w:rPr>
                <w:sz w:val="24"/>
              </w:rPr>
              <w:t>on</w:t>
            </w:r>
            <w:r>
              <w:rPr>
                <w:spacing w:val="49"/>
                <w:sz w:val="24"/>
              </w:rPr>
              <w:t> </w:t>
            </w:r>
            <w:r>
              <w:rPr>
                <w:sz w:val="24"/>
              </w:rPr>
              <w:t>which</w:t>
            </w:r>
            <w:r>
              <w:rPr>
                <w:spacing w:val="49"/>
                <w:sz w:val="24"/>
              </w:rPr>
              <w:t> </w:t>
            </w:r>
            <w:r>
              <w:rPr>
                <w:sz w:val="24"/>
              </w:rPr>
              <w:t>the</w:t>
            </w:r>
            <w:r>
              <w:rPr>
                <w:spacing w:val="52"/>
                <w:sz w:val="24"/>
              </w:rPr>
              <w:t> </w:t>
            </w:r>
            <w:r>
              <w:rPr>
                <w:sz w:val="24"/>
              </w:rPr>
              <w:t>plot</w:t>
            </w:r>
            <w:r>
              <w:rPr>
                <w:spacing w:val="52"/>
                <w:sz w:val="24"/>
              </w:rPr>
              <w:t> </w:t>
            </w:r>
            <w:r>
              <w:rPr>
                <w:spacing w:val="-2"/>
                <w:sz w:val="24"/>
              </w:rPr>
              <w:t>abuts-</w:t>
            </w:r>
          </w:p>
          <w:p>
            <w:pPr>
              <w:pStyle w:val="TableParagraph"/>
              <w:spacing w:before="1"/>
              <w:ind w:left="108"/>
              <w:rPr>
                <w:sz w:val="24"/>
              </w:rPr>
            </w:pPr>
            <w:r>
              <w:rPr>
                <w:sz w:val="24"/>
              </w:rPr>
              <w:t>18.30</w:t>
            </w:r>
            <w:r>
              <w:rPr>
                <w:spacing w:val="55"/>
                <w:sz w:val="24"/>
              </w:rPr>
              <w:t> </w:t>
            </w:r>
            <w:r>
              <w:rPr>
                <w:spacing w:val="-10"/>
                <w:sz w:val="24"/>
              </w:rPr>
              <w:t>m</w:t>
            </w:r>
          </w:p>
        </w:tc>
      </w:tr>
      <w:tr>
        <w:trPr>
          <w:trHeight w:val="942" w:hRule="atLeast"/>
        </w:trPr>
        <w:tc>
          <w:tcPr>
            <w:tcW w:w="883" w:type="dxa"/>
          </w:tcPr>
          <w:p>
            <w:pPr>
              <w:pStyle w:val="TableParagraph"/>
              <w:spacing w:line="281" w:lineRule="exact"/>
              <w:ind w:left="9" w:right="117"/>
              <w:jc w:val="center"/>
              <w:rPr>
                <w:sz w:val="24"/>
              </w:rPr>
            </w:pPr>
            <w:r>
              <w:rPr>
                <w:spacing w:val="-5"/>
                <w:sz w:val="24"/>
              </w:rPr>
              <w:t>17</w:t>
            </w:r>
          </w:p>
        </w:tc>
        <w:tc>
          <w:tcPr>
            <w:tcW w:w="7009" w:type="dxa"/>
          </w:tcPr>
          <w:p>
            <w:pPr>
              <w:pStyle w:val="TableParagraph"/>
              <w:ind w:left="108" w:right="446"/>
              <w:jc w:val="both"/>
              <w:rPr>
                <w:sz w:val="24"/>
              </w:rPr>
            </w:pPr>
            <w:r>
              <w:rPr>
                <w:sz w:val="24"/>
              </w:rPr>
              <w:t>Permissible on street on which the plot abuts road having width more than 18.3 m excepting roads as stated</w:t>
            </w:r>
            <w:r>
              <w:rPr>
                <w:spacing w:val="40"/>
                <w:sz w:val="24"/>
              </w:rPr>
              <w:t> </w:t>
            </w:r>
            <w:r>
              <w:rPr>
                <w:sz w:val="24"/>
              </w:rPr>
              <w:t>in</w:t>
            </w:r>
            <w:r>
              <w:rPr>
                <w:spacing w:val="40"/>
                <w:sz w:val="24"/>
              </w:rPr>
              <w:t> </w:t>
            </w:r>
            <w:r>
              <w:rPr>
                <w:sz w:val="24"/>
              </w:rPr>
              <w:t>regulation</w:t>
            </w:r>
            <w:r>
              <w:rPr>
                <w:spacing w:val="40"/>
                <w:sz w:val="24"/>
              </w:rPr>
              <w:t> </w:t>
            </w:r>
            <w:r>
              <w:rPr>
                <w:sz w:val="24"/>
              </w:rPr>
              <w:t>below</w:t>
            </w:r>
            <w:r>
              <w:rPr>
                <w:spacing w:val="40"/>
                <w:sz w:val="24"/>
              </w:rPr>
              <w:t> </w:t>
            </w:r>
            <w:r>
              <w:rPr>
                <w:sz w:val="24"/>
              </w:rPr>
              <w:t>this</w:t>
            </w:r>
            <w:r>
              <w:rPr>
                <w:spacing w:val="40"/>
                <w:sz w:val="24"/>
              </w:rPr>
              <w:t> </w:t>
            </w:r>
            <w:r>
              <w:rPr>
                <w:sz w:val="24"/>
              </w:rPr>
              <w:t>table</w:t>
            </w:r>
          </w:p>
        </w:tc>
      </w:tr>
      <w:tr>
        <w:trPr>
          <w:trHeight w:val="659" w:hRule="atLeast"/>
        </w:trPr>
        <w:tc>
          <w:tcPr>
            <w:tcW w:w="883" w:type="dxa"/>
          </w:tcPr>
          <w:p>
            <w:pPr>
              <w:pStyle w:val="TableParagraph"/>
              <w:spacing w:line="281" w:lineRule="exact"/>
              <w:ind w:left="9" w:right="117"/>
              <w:jc w:val="center"/>
              <w:rPr>
                <w:sz w:val="24"/>
              </w:rPr>
            </w:pPr>
            <w:r>
              <w:rPr>
                <w:spacing w:val="-5"/>
                <w:sz w:val="24"/>
              </w:rPr>
              <w:t>18</w:t>
            </w:r>
          </w:p>
        </w:tc>
        <w:tc>
          <w:tcPr>
            <w:tcW w:w="7009" w:type="dxa"/>
          </w:tcPr>
          <w:p>
            <w:pPr>
              <w:pStyle w:val="TableParagraph"/>
              <w:ind w:left="108" w:right="1048"/>
              <w:rPr>
                <w:sz w:val="24"/>
              </w:rPr>
            </w:pPr>
            <w:r>
              <w:rPr>
                <w:sz w:val="24"/>
              </w:rPr>
              <w:t>All</w:t>
            </w:r>
            <w:r>
              <w:rPr>
                <w:spacing w:val="40"/>
                <w:sz w:val="24"/>
              </w:rPr>
              <w:t> </w:t>
            </w:r>
            <w:r>
              <w:rPr>
                <w:sz w:val="24"/>
              </w:rPr>
              <w:t>ancillary</w:t>
            </w:r>
            <w:r>
              <w:rPr>
                <w:spacing w:val="40"/>
                <w:sz w:val="24"/>
              </w:rPr>
              <w:t> </w:t>
            </w:r>
            <w:r>
              <w:rPr>
                <w:sz w:val="24"/>
              </w:rPr>
              <w:t>uses</w:t>
            </w:r>
            <w:r>
              <w:rPr>
                <w:spacing w:val="40"/>
                <w:sz w:val="24"/>
              </w:rPr>
              <w:t> </w:t>
            </w:r>
            <w:r>
              <w:rPr>
                <w:sz w:val="24"/>
              </w:rPr>
              <w:t>limited</w:t>
            </w:r>
            <w:r>
              <w:rPr>
                <w:spacing w:val="40"/>
                <w:sz w:val="24"/>
              </w:rPr>
              <w:t> </w:t>
            </w:r>
            <w:r>
              <w:rPr>
                <w:sz w:val="24"/>
              </w:rPr>
              <w:t>to</w:t>
            </w:r>
            <w:r>
              <w:rPr>
                <w:spacing w:val="40"/>
                <w:sz w:val="24"/>
              </w:rPr>
              <w:t> </w:t>
            </w:r>
            <w:r>
              <w:rPr>
                <w:sz w:val="24"/>
              </w:rPr>
              <w:t>50%</w:t>
            </w:r>
            <w:r>
              <w:rPr>
                <w:spacing w:val="40"/>
                <w:sz w:val="24"/>
              </w:rPr>
              <w:t> </w:t>
            </w:r>
            <w:r>
              <w:rPr>
                <w:sz w:val="24"/>
              </w:rPr>
              <w:t>floor</w:t>
            </w:r>
            <w:r>
              <w:rPr>
                <w:spacing w:val="40"/>
                <w:sz w:val="24"/>
              </w:rPr>
              <w:t> </w:t>
            </w:r>
            <w:r>
              <w:rPr>
                <w:sz w:val="24"/>
              </w:rPr>
              <w:t>space</w:t>
            </w:r>
            <w:r>
              <w:rPr>
                <w:spacing w:val="40"/>
                <w:sz w:val="24"/>
              </w:rPr>
              <w:t> </w:t>
            </w:r>
            <w:r>
              <w:rPr>
                <w:sz w:val="24"/>
              </w:rPr>
              <w:t>of principal use</w:t>
            </w:r>
          </w:p>
        </w:tc>
      </w:tr>
    </w:tbl>
    <w:p>
      <w:pPr>
        <w:pStyle w:val="TableParagraph"/>
        <w:spacing w:after="0"/>
        <w:rPr>
          <w:sz w:val="24"/>
        </w:rPr>
        <w:sectPr>
          <w:pgSz w:w="11910" w:h="16840"/>
          <w:pgMar w:header="1058" w:footer="1088" w:top="1500" w:bottom="1280" w:left="360" w:right="360"/>
        </w:sectPr>
      </w:pPr>
    </w:p>
    <w:p>
      <w:pPr>
        <w:pStyle w:val="BodyText"/>
        <w:spacing w:before="20"/>
        <w:jc w:val="left"/>
        <w:rPr>
          <w:sz w:val="2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3"/>
        <w:gridCol w:w="7009"/>
      </w:tblGrid>
      <w:tr>
        <w:trPr>
          <w:trHeight w:val="756" w:hRule="atLeast"/>
        </w:trPr>
        <w:tc>
          <w:tcPr>
            <w:tcW w:w="883" w:type="dxa"/>
            <w:shd w:val="clear" w:color="auto" w:fill="EDEBE0"/>
          </w:tcPr>
          <w:p>
            <w:pPr>
              <w:pStyle w:val="TableParagraph"/>
              <w:spacing w:before="98"/>
              <w:ind w:left="239" w:right="52" w:firstLine="28"/>
              <w:rPr>
                <w:b/>
                <w:sz w:val="24"/>
              </w:rPr>
            </w:pPr>
            <w:r>
              <w:rPr>
                <w:b/>
                <w:spacing w:val="-6"/>
                <w:sz w:val="24"/>
              </w:rPr>
              <w:t>Sr </w:t>
            </w:r>
            <w:r>
              <w:rPr>
                <w:b/>
                <w:spacing w:val="-5"/>
                <w:sz w:val="24"/>
              </w:rPr>
              <w:t>No</w:t>
            </w:r>
          </w:p>
        </w:tc>
        <w:tc>
          <w:tcPr>
            <w:tcW w:w="7009" w:type="dxa"/>
            <w:shd w:val="clear" w:color="auto" w:fill="EDEBE0"/>
          </w:tcPr>
          <w:p>
            <w:pPr>
              <w:pStyle w:val="TableParagraph"/>
              <w:spacing w:before="98"/>
              <w:ind w:left="108" w:right="1048"/>
              <w:rPr>
                <w:b/>
                <w:sz w:val="24"/>
              </w:rPr>
            </w:pPr>
            <w:r>
              <w:rPr>
                <w:b/>
                <w:sz w:val="24"/>
              </w:rPr>
              <w:t>Conditions under which </w:t>
            </w:r>
            <w:r>
              <w:rPr>
                <w:b/>
                <w:spacing w:val="9"/>
                <w:sz w:val="24"/>
              </w:rPr>
              <w:t>Land-</w:t>
            </w:r>
            <w:r>
              <w:rPr>
                <w:b/>
                <w:sz w:val="24"/>
              </w:rPr>
              <w:t>use and</w:t>
            </w:r>
            <w:r>
              <w:rPr>
                <w:b/>
                <w:spacing w:val="40"/>
                <w:sz w:val="24"/>
              </w:rPr>
              <w:t> </w:t>
            </w:r>
            <w:r>
              <w:rPr>
                <w:b/>
                <w:sz w:val="24"/>
              </w:rPr>
              <w:t>Occupancies are </w:t>
            </w:r>
            <w:r>
              <w:rPr>
                <w:b/>
                <w:spacing w:val="9"/>
                <w:sz w:val="24"/>
              </w:rPr>
              <w:t>permissible</w:t>
            </w:r>
          </w:p>
        </w:tc>
      </w:tr>
      <w:tr>
        <w:trPr>
          <w:trHeight w:val="659" w:hRule="atLeast"/>
        </w:trPr>
        <w:tc>
          <w:tcPr>
            <w:tcW w:w="883" w:type="dxa"/>
          </w:tcPr>
          <w:p>
            <w:pPr>
              <w:pStyle w:val="TableParagraph"/>
              <w:spacing w:before="1"/>
              <w:ind w:left="9" w:right="117"/>
              <w:jc w:val="center"/>
              <w:rPr>
                <w:sz w:val="24"/>
              </w:rPr>
            </w:pPr>
            <w:r>
              <w:rPr>
                <w:spacing w:val="-5"/>
                <w:sz w:val="24"/>
              </w:rPr>
              <w:t>19</w:t>
            </w:r>
          </w:p>
        </w:tc>
        <w:tc>
          <w:tcPr>
            <w:tcW w:w="7009" w:type="dxa"/>
          </w:tcPr>
          <w:p>
            <w:pPr>
              <w:pStyle w:val="TableParagraph"/>
              <w:spacing w:before="1"/>
              <w:ind w:left="108" w:right="1183"/>
              <w:rPr>
                <w:sz w:val="24"/>
              </w:rPr>
            </w:pPr>
            <w:r>
              <w:rPr>
                <w:sz w:val="24"/>
              </w:rPr>
              <w:t>Minimum</w:t>
            </w:r>
            <w:r>
              <w:rPr>
                <w:spacing w:val="40"/>
                <w:sz w:val="24"/>
              </w:rPr>
              <w:t> </w:t>
            </w:r>
            <w:r>
              <w:rPr>
                <w:sz w:val="24"/>
              </w:rPr>
              <w:t>width</w:t>
            </w:r>
            <w:r>
              <w:rPr>
                <w:spacing w:val="40"/>
                <w:sz w:val="24"/>
              </w:rPr>
              <w:t> </w:t>
            </w:r>
            <w:r>
              <w:rPr>
                <w:sz w:val="24"/>
              </w:rPr>
              <w:t>of</w:t>
            </w:r>
            <w:r>
              <w:rPr>
                <w:spacing w:val="40"/>
                <w:sz w:val="24"/>
              </w:rPr>
              <w:t> </w:t>
            </w:r>
            <w:r>
              <w:rPr>
                <w:sz w:val="24"/>
              </w:rPr>
              <w:t>side</w:t>
            </w:r>
            <w:r>
              <w:rPr>
                <w:spacing w:val="40"/>
                <w:sz w:val="24"/>
              </w:rPr>
              <w:t> </w:t>
            </w:r>
            <w:r>
              <w:rPr>
                <w:sz w:val="24"/>
              </w:rPr>
              <w:t>&amp;</w:t>
            </w:r>
            <w:r>
              <w:rPr>
                <w:spacing w:val="40"/>
                <w:sz w:val="24"/>
              </w:rPr>
              <w:t> </w:t>
            </w:r>
            <w:r>
              <w:rPr>
                <w:sz w:val="24"/>
              </w:rPr>
              <w:t>rear</w:t>
            </w:r>
            <w:r>
              <w:rPr>
                <w:spacing w:val="40"/>
                <w:sz w:val="24"/>
              </w:rPr>
              <w:t> </w:t>
            </w:r>
            <w:r>
              <w:rPr>
                <w:sz w:val="24"/>
              </w:rPr>
              <w:t>marginal</w:t>
            </w:r>
            <w:r>
              <w:rPr>
                <w:spacing w:val="40"/>
                <w:sz w:val="24"/>
              </w:rPr>
              <w:t> </w:t>
            </w:r>
            <w:r>
              <w:rPr>
                <w:sz w:val="24"/>
              </w:rPr>
              <w:t>open </w:t>
            </w:r>
            <w:r>
              <w:rPr>
                <w:spacing w:val="9"/>
                <w:sz w:val="24"/>
              </w:rPr>
              <w:t>Space-</w:t>
            </w:r>
            <w:r>
              <w:rPr>
                <w:sz w:val="24"/>
              </w:rPr>
              <w:t>6.0 m.</w:t>
            </w:r>
          </w:p>
        </w:tc>
      </w:tr>
      <w:tr>
        <w:trPr>
          <w:trHeight w:val="942" w:hRule="atLeast"/>
        </w:trPr>
        <w:tc>
          <w:tcPr>
            <w:tcW w:w="883" w:type="dxa"/>
          </w:tcPr>
          <w:p>
            <w:pPr>
              <w:pStyle w:val="TableParagraph"/>
              <w:spacing w:before="1"/>
              <w:ind w:left="9" w:right="117"/>
              <w:jc w:val="center"/>
              <w:rPr>
                <w:sz w:val="24"/>
              </w:rPr>
            </w:pPr>
            <w:r>
              <w:rPr>
                <w:spacing w:val="-5"/>
                <w:sz w:val="24"/>
              </w:rPr>
              <w:t>20</w:t>
            </w:r>
          </w:p>
        </w:tc>
        <w:tc>
          <w:tcPr>
            <w:tcW w:w="7009" w:type="dxa"/>
          </w:tcPr>
          <w:p>
            <w:pPr>
              <w:pStyle w:val="TableParagraph"/>
              <w:spacing w:before="1"/>
              <w:ind w:left="108" w:right="1048"/>
              <w:rPr>
                <w:sz w:val="24"/>
              </w:rPr>
            </w:pPr>
            <w:r>
              <w:rPr>
                <w:sz w:val="24"/>
              </w:rPr>
              <w:t>In a </w:t>
            </w:r>
            <w:r>
              <w:rPr>
                <w:spacing w:val="9"/>
                <w:sz w:val="24"/>
              </w:rPr>
              <w:t>single-</w:t>
            </w:r>
            <w:r>
              <w:rPr>
                <w:sz w:val="24"/>
              </w:rPr>
              <w:t>storeyed detached or</w:t>
            </w:r>
            <w:r>
              <w:rPr>
                <w:spacing w:val="10"/>
                <w:sz w:val="24"/>
              </w:rPr>
              <w:t> semi-</w:t>
            </w:r>
            <w:r>
              <w:rPr>
                <w:sz w:val="24"/>
              </w:rPr>
              <w:t>detached</w:t>
            </w:r>
            <w:r>
              <w:rPr>
                <w:spacing w:val="80"/>
                <w:sz w:val="24"/>
              </w:rPr>
              <w:t> </w:t>
            </w:r>
            <w:r>
              <w:rPr>
                <w:sz w:val="24"/>
              </w:rPr>
              <w:t>structure</w:t>
            </w:r>
            <w:r>
              <w:rPr>
                <w:spacing w:val="40"/>
                <w:sz w:val="24"/>
              </w:rPr>
              <w:t> </w:t>
            </w:r>
            <w:r>
              <w:rPr>
                <w:sz w:val="24"/>
              </w:rPr>
              <w:t>each</w:t>
            </w:r>
            <w:r>
              <w:rPr>
                <w:spacing w:val="40"/>
                <w:sz w:val="24"/>
              </w:rPr>
              <w:t> </w:t>
            </w:r>
            <w:r>
              <w:rPr>
                <w:sz w:val="24"/>
              </w:rPr>
              <w:t>unit</w:t>
            </w:r>
            <w:r>
              <w:rPr>
                <w:spacing w:val="40"/>
                <w:sz w:val="24"/>
              </w:rPr>
              <w:t> </w:t>
            </w:r>
            <w:r>
              <w:rPr>
                <w:sz w:val="24"/>
              </w:rPr>
              <w:t>having</w:t>
            </w:r>
            <w:r>
              <w:rPr>
                <w:spacing w:val="40"/>
                <w:sz w:val="24"/>
              </w:rPr>
              <w:t> </w:t>
            </w:r>
            <w:r>
              <w:rPr>
                <w:sz w:val="24"/>
              </w:rPr>
              <w:t>an</w:t>
            </w:r>
            <w:r>
              <w:rPr>
                <w:spacing w:val="40"/>
                <w:sz w:val="24"/>
              </w:rPr>
              <w:t> </w:t>
            </w:r>
            <w:r>
              <w:rPr>
                <w:sz w:val="24"/>
              </w:rPr>
              <w:t>area</w:t>
            </w:r>
            <w:r>
              <w:rPr>
                <w:spacing w:val="40"/>
                <w:sz w:val="24"/>
              </w:rPr>
              <w:t> </w:t>
            </w:r>
            <w:r>
              <w:rPr>
                <w:sz w:val="24"/>
              </w:rPr>
              <w:t>not</w:t>
            </w:r>
            <w:r>
              <w:rPr>
                <w:spacing w:val="40"/>
                <w:sz w:val="24"/>
              </w:rPr>
              <w:t> </w:t>
            </w:r>
            <w:r>
              <w:rPr>
                <w:sz w:val="24"/>
              </w:rPr>
              <w:t>more than100 sq. m</w:t>
            </w:r>
          </w:p>
        </w:tc>
      </w:tr>
      <w:tr>
        <w:trPr>
          <w:trHeight w:val="376" w:hRule="atLeast"/>
        </w:trPr>
        <w:tc>
          <w:tcPr>
            <w:tcW w:w="883" w:type="dxa"/>
          </w:tcPr>
          <w:p>
            <w:pPr>
              <w:pStyle w:val="TableParagraph"/>
              <w:spacing w:line="281" w:lineRule="exact"/>
              <w:ind w:left="9" w:right="117"/>
              <w:jc w:val="center"/>
              <w:rPr>
                <w:sz w:val="24"/>
              </w:rPr>
            </w:pPr>
            <w:r>
              <w:rPr>
                <w:spacing w:val="-5"/>
                <w:sz w:val="24"/>
              </w:rPr>
              <w:t>21</w:t>
            </w:r>
          </w:p>
        </w:tc>
        <w:tc>
          <w:tcPr>
            <w:tcW w:w="7009" w:type="dxa"/>
          </w:tcPr>
          <w:p>
            <w:pPr>
              <w:pStyle w:val="TableParagraph"/>
              <w:spacing w:line="281" w:lineRule="exact"/>
              <w:ind w:left="108"/>
              <w:rPr>
                <w:sz w:val="24"/>
              </w:rPr>
            </w:pPr>
            <w:r>
              <w:rPr>
                <w:sz w:val="24"/>
              </w:rPr>
              <w:t>With</w:t>
            </w:r>
            <w:r>
              <w:rPr>
                <w:spacing w:val="55"/>
                <w:sz w:val="24"/>
              </w:rPr>
              <w:t> </w:t>
            </w:r>
            <w:r>
              <w:rPr>
                <w:sz w:val="24"/>
              </w:rPr>
              <w:t>the</w:t>
            </w:r>
            <w:r>
              <w:rPr>
                <w:spacing w:val="61"/>
                <w:sz w:val="24"/>
              </w:rPr>
              <w:t> </w:t>
            </w:r>
            <w:r>
              <w:rPr>
                <w:sz w:val="24"/>
              </w:rPr>
              <w:t>Special</w:t>
            </w:r>
            <w:r>
              <w:rPr>
                <w:spacing w:val="58"/>
                <w:sz w:val="24"/>
              </w:rPr>
              <w:t> </w:t>
            </w:r>
            <w:r>
              <w:rPr>
                <w:sz w:val="24"/>
              </w:rPr>
              <w:t>permission</w:t>
            </w:r>
            <w:r>
              <w:rPr>
                <w:spacing w:val="58"/>
                <w:sz w:val="24"/>
              </w:rPr>
              <w:t> </w:t>
            </w:r>
            <w:r>
              <w:rPr>
                <w:sz w:val="24"/>
              </w:rPr>
              <w:t>of</w:t>
            </w:r>
            <w:r>
              <w:rPr>
                <w:spacing w:val="58"/>
                <w:sz w:val="24"/>
              </w:rPr>
              <w:t> </w:t>
            </w:r>
            <w:r>
              <w:rPr>
                <w:spacing w:val="7"/>
                <w:sz w:val="24"/>
              </w:rPr>
              <w:t>Commissioner</w:t>
            </w:r>
          </w:p>
        </w:tc>
      </w:tr>
      <w:tr>
        <w:trPr>
          <w:trHeight w:val="659" w:hRule="atLeast"/>
        </w:trPr>
        <w:tc>
          <w:tcPr>
            <w:tcW w:w="883" w:type="dxa"/>
          </w:tcPr>
          <w:p>
            <w:pPr>
              <w:pStyle w:val="TableParagraph"/>
              <w:spacing w:line="281" w:lineRule="exact"/>
              <w:ind w:left="9" w:right="117"/>
              <w:jc w:val="center"/>
              <w:rPr>
                <w:sz w:val="24"/>
              </w:rPr>
            </w:pPr>
            <w:r>
              <w:rPr>
                <w:spacing w:val="-5"/>
                <w:sz w:val="24"/>
              </w:rPr>
              <w:t>22</w:t>
            </w:r>
          </w:p>
        </w:tc>
        <w:tc>
          <w:tcPr>
            <w:tcW w:w="7009" w:type="dxa"/>
          </w:tcPr>
          <w:p>
            <w:pPr>
              <w:pStyle w:val="TableParagraph"/>
              <w:ind w:left="108" w:right="1183"/>
              <w:rPr>
                <w:sz w:val="24"/>
              </w:rPr>
            </w:pPr>
            <w:r>
              <w:rPr>
                <w:sz w:val="24"/>
              </w:rPr>
              <w:t>Subject</w:t>
            </w:r>
            <w:r>
              <w:rPr>
                <w:spacing w:val="40"/>
                <w:sz w:val="24"/>
              </w:rPr>
              <w:t> </w:t>
            </w:r>
            <w:r>
              <w:rPr>
                <w:sz w:val="24"/>
              </w:rPr>
              <w:t>to</w:t>
            </w:r>
            <w:r>
              <w:rPr>
                <w:spacing w:val="40"/>
                <w:sz w:val="24"/>
              </w:rPr>
              <w:t> </w:t>
            </w:r>
            <w:r>
              <w:rPr>
                <w:sz w:val="24"/>
              </w:rPr>
              <w:t>permission</w:t>
            </w:r>
            <w:r>
              <w:rPr>
                <w:spacing w:val="40"/>
                <w:sz w:val="24"/>
              </w:rPr>
              <w:t> </w:t>
            </w:r>
            <w:r>
              <w:rPr>
                <w:sz w:val="24"/>
              </w:rPr>
              <w:t>of</w:t>
            </w:r>
            <w:r>
              <w:rPr>
                <w:spacing w:val="40"/>
                <w:sz w:val="24"/>
              </w:rPr>
              <w:t> </w:t>
            </w:r>
            <w:r>
              <w:rPr>
                <w:sz w:val="24"/>
              </w:rPr>
              <w:t>Commissioner</w:t>
            </w:r>
            <w:r>
              <w:rPr>
                <w:spacing w:val="40"/>
                <w:sz w:val="24"/>
              </w:rPr>
              <w:t> </w:t>
            </w:r>
            <w:r>
              <w:rPr>
                <w:sz w:val="24"/>
              </w:rPr>
              <w:t>of </w:t>
            </w:r>
            <w:r>
              <w:rPr>
                <w:spacing w:val="-2"/>
                <w:sz w:val="24"/>
              </w:rPr>
              <w:t>Police</w:t>
            </w:r>
          </w:p>
        </w:tc>
      </w:tr>
      <w:tr>
        <w:trPr>
          <w:trHeight w:val="379" w:hRule="atLeast"/>
        </w:trPr>
        <w:tc>
          <w:tcPr>
            <w:tcW w:w="883" w:type="dxa"/>
          </w:tcPr>
          <w:p>
            <w:pPr>
              <w:pStyle w:val="TableParagraph"/>
              <w:spacing w:line="281" w:lineRule="exact"/>
              <w:ind w:left="9" w:right="117"/>
              <w:jc w:val="center"/>
              <w:rPr>
                <w:sz w:val="24"/>
              </w:rPr>
            </w:pPr>
            <w:r>
              <w:rPr>
                <w:spacing w:val="-5"/>
                <w:sz w:val="24"/>
              </w:rPr>
              <w:t>23</w:t>
            </w:r>
          </w:p>
        </w:tc>
        <w:tc>
          <w:tcPr>
            <w:tcW w:w="7009" w:type="dxa"/>
          </w:tcPr>
          <w:p>
            <w:pPr>
              <w:pStyle w:val="TableParagraph"/>
              <w:spacing w:line="281" w:lineRule="exact"/>
              <w:ind w:left="108"/>
              <w:rPr>
                <w:sz w:val="24"/>
              </w:rPr>
            </w:pPr>
            <w:r>
              <w:rPr>
                <w:sz w:val="24"/>
              </w:rPr>
              <w:t>Subject</w:t>
            </w:r>
            <w:r>
              <w:rPr>
                <w:spacing w:val="63"/>
                <w:sz w:val="24"/>
              </w:rPr>
              <w:t> </w:t>
            </w:r>
            <w:r>
              <w:rPr>
                <w:sz w:val="24"/>
              </w:rPr>
              <w:t>to</w:t>
            </w:r>
            <w:r>
              <w:rPr>
                <w:spacing w:val="60"/>
                <w:sz w:val="24"/>
              </w:rPr>
              <w:t> </w:t>
            </w:r>
            <w:r>
              <w:rPr>
                <w:sz w:val="24"/>
              </w:rPr>
              <w:t>approval</w:t>
            </w:r>
            <w:r>
              <w:rPr>
                <w:spacing w:val="61"/>
                <w:sz w:val="24"/>
              </w:rPr>
              <w:t> </w:t>
            </w:r>
            <w:r>
              <w:rPr>
                <w:sz w:val="24"/>
              </w:rPr>
              <w:t>from</w:t>
            </w:r>
            <w:r>
              <w:rPr>
                <w:spacing w:val="64"/>
                <w:sz w:val="24"/>
              </w:rPr>
              <w:t> </w:t>
            </w:r>
            <w:r>
              <w:rPr>
                <w:sz w:val="24"/>
              </w:rPr>
              <w:t>Traffic</w:t>
            </w:r>
            <w:r>
              <w:rPr>
                <w:spacing w:val="64"/>
                <w:sz w:val="24"/>
              </w:rPr>
              <w:t> </w:t>
            </w:r>
            <w:r>
              <w:rPr>
                <w:spacing w:val="-2"/>
                <w:sz w:val="24"/>
              </w:rPr>
              <w:t>Police.</w:t>
            </w:r>
          </w:p>
        </w:tc>
      </w:tr>
      <w:tr>
        <w:trPr>
          <w:trHeight w:val="659" w:hRule="atLeast"/>
        </w:trPr>
        <w:tc>
          <w:tcPr>
            <w:tcW w:w="883" w:type="dxa"/>
          </w:tcPr>
          <w:p>
            <w:pPr>
              <w:pStyle w:val="TableParagraph"/>
              <w:spacing w:line="281" w:lineRule="exact"/>
              <w:ind w:left="9" w:right="117"/>
              <w:jc w:val="center"/>
              <w:rPr>
                <w:sz w:val="24"/>
              </w:rPr>
            </w:pPr>
            <w:r>
              <w:rPr>
                <w:spacing w:val="-5"/>
                <w:sz w:val="24"/>
              </w:rPr>
              <w:t>24</w:t>
            </w:r>
          </w:p>
        </w:tc>
        <w:tc>
          <w:tcPr>
            <w:tcW w:w="7009" w:type="dxa"/>
          </w:tcPr>
          <w:p>
            <w:pPr>
              <w:pStyle w:val="TableParagraph"/>
              <w:ind w:left="108" w:right="353"/>
              <w:rPr>
                <w:sz w:val="24"/>
              </w:rPr>
            </w:pPr>
            <w:r>
              <w:rPr>
                <w:sz w:val="24"/>
              </w:rPr>
              <w:t>Subject</w:t>
            </w:r>
            <w:r>
              <w:rPr>
                <w:spacing w:val="40"/>
                <w:sz w:val="24"/>
              </w:rPr>
              <w:t> </w:t>
            </w:r>
            <w:r>
              <w:rPr>
                <w:sz w:val="24"/>
              </w:rPr>
              <w:t>to</w:t>
            </w:r>
            <w:r>
              <w:rPr>
                <w:spacing w:val="40"/>
                <w:sz w:val="24"/>
              </w:rPr>
              <w:t> </w:t>
            </w:r>
            <w:r>
              <w:rPr>
                <w:sz w:val="24"/>
              </w:rPr>
              <w:t>permission</w:t>
            </w:r>
            <w:r>
              <w:rPr>
                <w:spacing w:val="40"/>
                <w:sz w:val="24"/>
              </w:rPr>
              <w:t> </w:t>
            </w:r>
            <w:r>
              <w:rPr>
                <w:sz w:val="24"/>
              </w:rPr>
              <w:t>from</w:t>
            </w:r>
            <w:r>
              <w:rPr>
                <w:spacing w:val="40"/>
                <w:sz w:val="24"/>
              </w:rPr>
              <w:t> </w:t>
            </w:r>
            <w:r>
              <w:rPr>
                <w:sz w:val="24"/>
              </w:rPr>
              <w:t>Executive</w:t>
            </w:r>
            <w:r>
              <w:rPr>
                <w:spacing w:val="40"/>
                <w:sz w:val="24"/>
              </w:rPr>
              <w:t> </w:t>
            </w:r>
            <w:r>
              <w:rPr>
                <w:sz w:val="24"/>
              </w:rPr>
              <w:t>Health</w:t>
            </w:r>
            <w:r>
              <w:rPr>
                <w:spacing w:val="40"/>
                <w:sz w:val="24"/>
              </w:rPr>
              <w:t> </w:t>
            </w:r>
            <w:r>
              <w:rPr>
                <w:sz w:val="24"/>
              </w:rPr>
              <w:t>Officer</w:t>
            </w:r>
            <w:r>
              <w:rPr>
                <w:spacing w:val="40"/>
                <w:sz w:val="24"/>
              </w:rPr>
              <w:t> </w:t>
            </w:r>
            <w:r>
              <w:rPr>
                <w:sz w:val="24"/>
              </w:rPr>
              <w:t>of MCGM.</w:t>
            </w:r>
          </w:p>
        </w:tc>
      </w:tr>
      <w:tr>
        <w:trPr>
          <w:trHeight w:val="659" w:hRule="atLeast"/>
        </w:trPr>
        <w:tc>
          <w:tcPr>
            <w:tcW w:w="883" w:type="dxa"/>
          </w:tcPr>
          <w:p>
            <w:pPr>
              <w:pStyle w:val="TableParagraph"/>
              <w:spacing w:line="281" w:lineRule="exact"/>
              <w:ind w:left="9" w:right="117"/>
              <w:jc w:val="center"/>
              <w:rPr>
                <w:sz w:val="24"/>
              </w:rPr>
            </w:pPr>
            <w:r>
              <w:rPr>
                <w:spacing w:val="-5"/>
                <w:sz w:val="24"/>
              </w:rPr>
              <w:t>25</w:t>
            </w:r>
          </w:p>
        </w:tc>
        <w:tc>
          <w:tcPr>
            <w:tcW w:w="7009" w:type="dxa"/>
          </w:tcPr>
          <w:p>
            <w:pPr>
              <w:pStyle w:val="TableParagraph"/>
              <w:ind w:left="108" w:right="1048"/>
              <w:rPr>
                <w:sz w:val="24"/>
              </w:rPr>
            </w:pPr>
            <w:r>
              <w:rPr>
                <w:sz w:val="24"/>
              </w:rPr>
              <w:t>Subject</w:t>
            </w:r>
            <w:r>
              <w:rPr>
                <w:spacing w:val="40"/>
                <w:sz w:val="24"/>
              </w:rPr>
              <w:t> </w:t>
            </w:r>
            <w:r>
              <w:rPr>
                <w:sz w:val="24"/>
              </w:rPr>
              <w:t>to</w:t>
            </w:r>
            <w:r>
              <w:rPr>
                <w:spacing w:val="40"/>
                <w:sz w:val="24"/>
              </w:rPr>
              <w:t> </w:t>
            </w:r>
            <w:r>
              <w:rPr>
                <w:sz w:val="24"/>
              </w:rPr>
              <w:t>permission</w:t>
            </w:r>
            <w:r>
              <w:rPr>
                <w:spacing w:val="40"/>
                <w:sz w:val="24"/>
              </w:rPr>
              <w:t> </w:t>
            </w:r>
            <w:r>
              <w:rPr>
                <w:sz w:val="24"/>
              </w:rPr>
              <w:t>from</w:t>
            </w:r>
            <w:r>
              <w:rPr>
                <w:spacing w:val="40"/>
                <w:sz w:val="24"/>
              </w:rPr>
              <w:t> </w:t>
            </w:r>
            <w:r>
              <w:rPr>
                <w:sz w:val="24"/>
              </w:rPr>
              <w:t>Director</w:t>
            </w:r>
            <w:r>
              <w:rPr>
                <w:spacing w:val="40"/>
                <w:sz w:val="24"/>
              </w:rPr>
              <w:t> </w:t>
            </w:r>
            <w:r>
              <w:rPr>
                <w:sz w:val="24"/>
              </w:rPr>
              <w:t>of </w:t>
            </w:r>
            <w:r>
              <w:rPr>
                <w:spacing w:val="-2"/>
                <w:sz w:val="24"/>
              </w:rPr>
              <w:t>Industries</w:t>
            </w:r>
          </w:p>
        </w:tc>
      </w:tr>
      <w:tr>
        <w:trPr>
          <w:trHeight w:val="659" w:hRule="atLeast"/>
        </w:trPr>
        <w:tc>
          <w:tcPr>
            <w:tcW w:w="883" w:type="dxa"/>
          </w:tcPr>
          <w:p>
            <w:pPr>
              <w:pStyle w:val="TableParagraph"/>
              <w:spacing w:line="281" w:lineRule="exact"/>
              <w:ind w:left="9" w:right="117"/>
              <w:jc w:val="center"/>
              <w:rPr>
                <w:sz w:val="24"/>
              </w:rPr>
            </w:pPr>
            <w:r>
              <w:rPr>
                <w:spacing w:val="-5"/>
                <w:sz w:val="24"/>
              </w:rPr>
              <w:t>26</w:t>
            </w:r>
          </w:p>
        </w:tc>
        <w:tc>
          <w:tcPr>
            <w:tcW w:w="7009" w:type="dxa"/>
          </w:tcPr>
          <w:p>
            <w:pPr>
              <w:pStyle w:val="TableParagraph"/>
              <w:ind w:left="108" w:right="1048"/>
              <w:rPr>
                <w:sz w:val="24"/>
              </w:rPr>
            </w:pPr>
            <w:r>
              <w:rPr>
                <w:sz w:val="24"/>
              </w:rPr>
              <w:t>Subject</w:t>
            </w:r>
            <w:r>
              <w:rPr>
                <w:spacing w:val="40"/>
                <w:sz w:val="24"/>
              </w:rPr>
              <w:t> </w:t>
            </w:r>
            <w:r>
              <w:rPr>
                <w:sz w:val="24"/>
              </w:rPr>
              <w:t>to</w:t>
            </w:r>
            <w:r>
              <w:rPr>
                <w:spacing w:val="40"/>
                <w:sz w:val="24"/>
              </w:rPr>
              <w:t> </w:t>
            </w:r>
            <w:r>
              <w:rPr>
                <w:sz w:val="24"/>
              </w:rPr>
              <w:t>permission</w:t>
            </w:r>
            <w:r>
              <w:rPr>
                <w:spacing w:val="40"/>
                <w:sz w:val="24"/>
              </w:rPr>
              <w:t> </w:t>
            </w:r>
            <w:r>
              <w:rPr>
                <w:sz w:val="24"/>
              </w:rPr>
              <w:t>from</w:t>
            </w:r>
            <w:r>
              <w:rPr>
                <w:spacing w:val="40"/>
                <w:sz w:val="24"/>
              </w:rPr>
              <w:t> </w:t>
            </w:r>
            <w:r>
              <w:rPr>
                <w:sz w:val="24"/>
              </w:rPr>
              <w:t>Controller</w:t>
            </w:r>
            <w:r>
              <w:rPr>
                <w:spacing w:val="40"/>
                <w:sz w:val="24"/>
              </w:rPr>
              <w:t> </w:t>
            </w:r>
            <w:r>
              <w:rPr>
                <w:sz w:val="24"/>
              </w:rPr>
              <w:t>of </w:t>
            </w:r>
            <w:r>
              <w:rPr>
                <w:spacing w:val="7"/>
                <w:sz w:val="24"/>
              </w:rPr>
              <w:t>Explosives</w:t>
            </w:r>
          </w:p>
        </w:tc>
      </w:tr>
      <w:tr>
        <w:trPr>
          <w:trHeight w:val="657" w:hRule="atLeast"/>
        </w:trPr>
        <w:tc>
          <w:tcPr>
            <w:tcW w:w="883" w:type="dxa"/>
          </w:tcPr>
          <w:p>
            <w:pPr>
              <w:pStyle w:val="TableParagraph"/>
              <w:spacing w:line="281" w:lineRule="exact"/>
              <w:ind w:left="9" w:right="117"/>
              <w:jc w:val="center"/>
              <w:rPr>
                <w:sz w:val="24"/>
              </w:rPr>
            </w:pPr>
            <w:r>
              <w:rPr>
                <w:spacing w:val="-5"/>
                <w:sz w:val="24"/>
              </w:rPr>
              <w:t>27</w:t>
            </w:r>
          </w:p>
        </w:tc>
        <w:tc>
          <w:tcPr>
            <w:tcW w:w="7009" w:type="dxa"/>
          </w:tcPr>
          <w:p>
            <w:pPr>
              <w:pStyle w:val="TableParagraph"/>
              <w:spacing w:line="280" w:lineRule="exact"/>
              <w:ind w:left="108"/>
              <w:rPr>
                <w:sz w:val="24"/>
              </w:rPr>
            </w:pPr>
            <w:r>
              <w:rPr>
                <w:sz w:val="24"/>
              </w:rPr>
              <w:t>Minimum</w:t>
            </w:r>
            <w:r>
              <w:rPr>
                <w:spacing w:val="50"/>
                <w:sz w:val="24"/>
              </w:rPr>
              <w:t> </w:t>
            </w:r>
            <w:r>
              <w:rPr>
                <w:sz w:val="24"/>
              </w:rPr>
              <w:t>width</w:t>
            </w:r>
            <w:r>
              <w:rPr>
                <w:spacing w:val="50"/>
                <w:sz w:val="24"/>
              </w:rPr>
              <w:t> </w:t>
            </w:r>
            <w:r>
              <w:rPr>
                <w:sz w:val="24"/>
              </w:rPr>
              <w:t>of</w:t>
            </w:r>
            <w:r>
              <w:rPr>
                <w:spacing w:val="54"/>
                <w:sz w:val="24"/>
              </w:rPr>
              <w:t> </w:t>
            </w:r>
            <w:r>
              <w:rPr>
                <w:sz w:val="24"/>
              </w:rPr>
              <w:t>side</w:t>
            </w:r>
            <w:r>
              <w:rPr>
                <w:spacing w:val="50"/>
                <w:sz w:val="24"/>
              </w:rPr>
              <w:t> </w:t>
            </w:r>
            <w:r>
              <w:rPr>
                <w:sz w:val="24"/>
              </w:rPr>
              <w:t>&amp;</w:t>
            </w:r>
            <w:r>
              <w:rPr>
                <w:spacing w:val="50"/>
                <w:sz w:val="24"/>
              </w:rPr>
              <w:t> </w:t>
            </w:r>
            <w:r>
              <w:rPr>
                <w:sz w:val="24"/>
              </w:rPr>
              <w:t>rear</w:t>
            </w:r>
            <w:r>
              <w:rPr>
                <w:spacing w:val="51"/>
                <w:sz w:val="24"/>
              </w:rPr>
              <w:t> </w:t>
            </w:r>
            <w:r>
              <w:rPr>
                <w:sz w:val="24"/>
              </w:rPr>
              <w:t>marginal</w:t>
            </w:r>
            <w:r>
              <w:rPr>
                <w:spacing w:val="50"/>
                <w:sz w:val="24"/>
              </w:rPr>
              <w:t> </w:t>
            </w:r>
            <w:r>
              <w:rPr>
                <w:sz w:val="24"/>
              </w:rPr>
              <w:t>Open</w:t>
            </w:r>
            <w:r>
              <w:rPr>
                <w:spacing w:val="54"/>
                <w:sz w:val="24"/>
              </w:rPr>
              <w:t> </w:t>
            </w:r>
            <w:r>
              <w:rPr>
                <w:spacing w:val="-2"/>
                <w:sz w:val="24"/>
              </w:rPr>
              <w:t>Space</w:t>
            </w:r>
          </w:p>
          <w:p>
            <w:pPr>
              <w:pStyle w:val="TableParagraph"/>
              <w:spacing w:line="281" w:lineRule="exact"/>
              <w:ind w:left="108"/>
              <w:rPr>
                <w:sz w:val="24"/>
              </w:rPr>
            </w:pPr>
            <w:r>
              <w:rPr>
                <w:sz w:val="24"/>
              </w:rPr>
              <w:t>-</w:t>
            </w:r>
            <w:r>
              <w:rPr>
                <w:spacing w:val="28"/>
                <w:sz w:val="24"/>
              </w:rPr>
              <w:t> </w:t>
            </w:r>
            <w:r>
              <w:rPr>
                <w:sz w:val="24"/>
              </w:rPr>
              <w:t>9.0</w:t>
            </w:r>
            <w:r>
              <w:rPr>
                <w:spacing w:val="28"/>
                <w:sz w:val="24"/>
              </w:rPr>
              <w:t> </w:t>
            </w:r>
            <w:r>
              <w:rPr>
                <w:spacing w:val="-5"/>
                <w:sz w:val="24"/>
              </w:rPr>
              <w:t>m.</w:t>
            </w:r>
          </w:p>
        </w:tc>
      </w:tr>
      <w:tr>
        <w:trPr>
          <w:trHeight w:val="662" w:hRule="atLeast"/>
        </w:trPr>
        <w:tc>
          <w:tcPr>
            <w:tcW w:w="883" w:type="dxa"/>
          </w:tcPr>
          <w:p>
            <w:pPr>
              <w:pStyle w:val="TableParagraph"/>
              <w:spacing w:before="1"/>
              <w:ind w:left="9" w:right="117"/>
              <w:jc w:val="center"/>
              <w:rPr>
                <w:sz w:val="24"/>
              </w:rPr>
            </w:pPr>
            <w:r>
              <w:rPr>
                <w:spacing w:val="-5"/>
                <w:sz w:val="24"/>
              </w:rPr>
              <w:t>28</w:t>
            </w:r>
          </w:p>
        </w:tc>
        <w:tc>
          <w:tcPr>
            <w:tcW w:w="7009" w:type="dxa"/>
          </w:tcPr>
          <w:p>
            <w:pPr>
              <w:pStyle w:val="TableParagraph"/>
              <w:spacing w:before="1"/>
              <w:ind w:left="108" w:right="1048"/>
              <w:rPr>
                <w:sz w:val="24"/>
              </w:rPr>
            </w:pPr>
            <w:r>
              <w:rPr>
                <w:sz w:val="24"/>
              </w:rPr>
              <w:t>By</w:t>
            </w:r>
            <w:r>
              <w:rPr>
                <w:spacing w:val="40"/>
                <w:sz w:val="24"/>
              </w:rPr>
              <w:t> </w:t>
            </w:r>
            <w:r>
              <w:rPr>
                <w:sz w:val="24"/>
              </w:rPr>
              <w:t>maintaining</w:t>
            </w:r>
            <w:r>
              <w:rPr>
                <w:spacing w:val="40"/>
                <w:sz w:val="24"/>
              </w:rPr>
              <w:t> </w:t>
            </w:r>
            <w:r>
              <w:rPr>
                <w:sz w:val="24"/>
              </w:rPr>
              <w:t>segregating</w:t>
            </w:r>
            <w:r>
              <w:rPr>
                <w:spacing w:val="40"/>
                <w:sz w:val="24"/>
              </w:rPr>
              <w:t> </w:t>
            </w:r>
            <w:r>
              <w:rPr>
                <w:sz w:val="24"/>
              </w:rPr>
              <w:t>distances</w:t>
            </w:r>
            <w:r>
              <w:rPr>
                <w:spacing w:val="40"/>
                <w:sz w:val="24"/>
              </w:rPr>
              <w:t> </w:t>
            </w:r>
            <w:r>
              <w:rPr>
                <w:sz w:val="24"/>
              </w:rPr>
              <w:t>as</w:t>
            </w:r>
            <w:r>
              <w:rPr>
                <w:spacing w:val="40"/>
                <w:sz w:val="24"/>
              </w:rPr>
              <w:t> </w:t>
            </w:r>
            <w:r>
              <w:rPr>
                <w:sz w:val="24"/>
              </w:rPr>
              <w:t>per Regulation No 41</w:t>
            </w:r>
          </w:p>
        </w:tc>
      </w:tr>
    </w:tbl>
    <w:p>
      <w:pPr>
        <w:pStyle w:val="BodyText"/>
        <w:spacing w:before="4"/>
        <w:ind w:left="1433"/>
      </w:pPr>
      <w:r>
        <w:rPr/>
        <w:t>Roads</w:t>
      </w:r>
      <w:r>
        <w:rPr>
          <w:spacing w:val="42"/>
        </w:rPr>
        <w:t> </w:t>
      </w:r>
      <w:r>
        <w:rPr/>
        <w:t>listed</w:t>
      </w:r>
      <w:r>
        <w:rPr>
          <w:spacing w:val="45"/>
        </w:rPr>
        <w:t> </w:t>
      </w:r>
      <w:r>
        <w:rPr/>
        <w:t>as</w:t>
      </w:r>
      <w:r>
        <w:rPr>
          <w:spacing w:val="45"/>
        </w:rPr>
        <w:t> </w:t>
      </w:r>
      <w:r>
        <w:rPr/>
        <w:t>per</w:t>
      </w:r>
      <w:r>
        <w:rPr>
          <w:spacing w:val="47"/>
        </w:rPr>
        <w:t> </w:t>
      </w:r>
      <w:r>
        <w:rPr/>
        <w:t>serial</w:t>
      </w:r>
      <w:r>
        <w:rPr>
          <w:spacing w:val="45"/>
        </w:rPr>
        <w:t> </w:t>
      </w:r>
      <w:r>
        <w:rPr/>
        <w:t>no.</w:t>
      </w:r>
      <w:r>
        <w:rPr>
          <w:spacing w:val="44"/>
        </w:rPr>
        <w:t> </w:t>
      </w:r>
      <w:r>
        <w:rPr/>
        <w:t>17</w:t>
      </w:r>
      <w:r>
        <w:rPr>
          <w:spacing w:val="48"/>
        </w:rPr>
        <w:t> </w:t>
      </w:r>
      <w:r>
        <w:rPr/>
        <w:t>of</w:t>
      </w:r>
      <w:r>
        <w:rPr>
          <w:spacing w:val="44"/>
        </w:rPr>
        <w:t> </w:t>
      </w:r>
      <w:r>
        <w:rPr/>
        <w:t>above</w:t>
      </w:r>
      <w:r>
        <w:rPr>
          <w:spacing w:val="48"/>
        </w:rPr>
        <w:t> </w:t>
      </w:r>
      <w:r>
        <w:rPr>
          <w:spacing w:val="-2"/>
        </w:rPr>
        <w:t>Table</w:t>
      </w:r>
    </w:p>
    <w:p>
      <w:pPr>
        <w:pStyle w:val="ListParagraph"/>
        <w:numPr>
          <w:ilvl w:val="0"/>
          <w:numId w:val="218"/>
        </w:numPr>
        <w:tabs>
          <w:tab w:pos="1829" w:val="left" w:leader="none"/>
        </w:tabs>
        <w:spacing w:line="281" w:lineRule="exact" w:before="239" w:after="0"/>
        <w:ind w:left="1829" w:right="0" w:hanging="396"/>
        <w:jc w:val="both"/>
        <w:rPr>
          <w:sz w:val="24"/>
        </w:rPr>
      </w:pPr>
      <w:r>
        <w:rPr>
          <w:sz w:val="24"/>
        </w:rPr>
        <w:t>(1)</w:t>
      </w:r>
      <w:r>
        <w:rPr>
          <w:spacing w:val="50"/>
          <w:sz w:val="24"/>
        </w:rPr>
        <w:t> </w:t>
      </w:r>
      <w:r>
        <w:rPr>
          <w:sz w:val="24"/>
        </w:rPr>
        <w:t>All</w:t>
      </w:r>
      <w:r>
        <w:rPr>
          <w:spacing w:val="50"/>
          <w:sz w:val="24"/>
        </w:rPr>
        <w:t> </w:t>
      </w:r>
      <w:r>
        <w:rPr>
          <w:sz w:val="24"/>
        </w:rPr>
        <w:t>Express</w:t>
      </w:r>
      <w:r>
        <w:rPr>
          <w:spacing w:val="53"/>
          <w:sz w:val="24"/>
        </w:rPr>
        <w:t> </w:t>
      </w:r>
      <w:r>
        <w:rPr>
          <w:spacing w:val="-2"/>
          <w:sz w:val="24"/>
        </w:rPr>
        <w:t>Highways/Freeways</w:t>
      </w:r>
    </w:p>
    <w:p>
      <w:pPr>
        <w:pStyle w:val="ListParagraph"/>
        <w:numPr>
          <w:ilvl w:val="0"/>
          <w:numId w:val="219"/>
        </w:numPr>
        <w:tabs>
          <w:tab w:pos="2095" w:val="left" w:leader="none"/>
        </w:tabs>
        <w:spacing w:line="240" w:lineRule="auto" w:before="0" w:after="0"/>
        <w:ind w:left="1433" w:right="776" w:firstLine="0"/>
        <w:jc w:val="both"/>
        <w:rPr>
          <w:sz w:val="24"/>
        </w:rPr>
      </w:pPr>
      <w:r>
        <w:rPr>
          <w:sz w:val="24"/>
        </w:rPr>
        <w:t>East West Corridor i.e. JogeshwariVikroli link Roads,</w:t>
      </w:r>
      <w:r>
        <w:rPr>
          <w:spacing w:val="40"/>
          <w:sz w:val="24"/>
        </w:rPr>
        <w:t> </w:t>
      </w:r>
      <w:r>
        <w:rPr>
          <w:sz w:val="24"/>
        </w:rPr>
        <w:t>GoregaonMulund Link RoadGeneralArun Kumar Vaidya Marg, SantacruzChembur</w:t>
      </w:r>
      <w:r>
        <w:rPr>
          <w:spacing w:val="80"/>
          <w:sz w:val="24"/>
        </w:rPr>
        <w:t> </w:t>
      </w:r>
      <w:r>
        <w:rPr>
          <w:sz w:val="24"/>
        </w:rPr>
        <w:t>Link</w:t>
      </w:r>
      <w:r>
        <w:rPr>
          <w:spacing w:val="80"/>
          <w:sz w:val="24"/>
        </w:rPr>
        <w:t> </w:t>
      </w:r>
      <w:r>
        <w:rPr>
          <w:sz w:val="24"/>
        </w:rPr>
        <w:t>Road,</w:t>
      </w:r>
      <w:r>
        <w:rPr>
          <w:spacing w:val="80"/>
          <w:sz w:val="24"/>
        </w:rPr>
        <w:t> </w:t>
      </w:r>
      <w:r>
        <w:rPr>
          <w:sz w:val="24"/>
        </w:rPr>
        <w:t>GhatkoparMankhurd</w:t>
      </w:r>
      <w:r>
        <w:rPr>
          <w:spacing w:val="80"/>
          <w:sz w:val="24"/>
        </w:rPr>
        <w:t> </w:t>
      </w:r>
      <w:r>
        <w:rPr>
          <w:sz w:val="24"/>
        </w:rPr>
        <w:t>Link</w:t>
      </w:r>
      <w:r>
        <w:rPr>
          <w:spacing w:val="80"/>
          <w:sz w:val="24"/>
        </w:rPr>
        <w:t> </w:t>
      </w:r>
      <w:r>
        <w:rPr>
          <w:spacing w:val="9"/>
          <w:sz w:val="24"/>
        </w:rPr>
        <w:t>Road, </w:t>
      </w:r>
      <w:r>
        <w:rPr>
          <w:sz w:val="24"/>
        </w:rPr>
        <w:t>Andheri Ghatkopar Link Roads, MathurdasVisanji Marg (Andheri Kurla Road),</w:t>
      </w:r>
      <w:r>
        <w:rPr>
          <w:spacing w:val="40"/>
          <w:sz w:val="24"/>
        </w:rPr>
        <w:t> </w:t>
      </w:r>
      <w:r>
        <w:rPr>
          <w:sz w:val="24"/>
        </w:rPr>
        <w:t>Jai</w:t>
      </w:r>
      <w:r>
        <w:rPr>
          <w:spacing w:val="40"/>
          <w:sz w:val="24"/>
        </w:rPr>
        <w:t> </w:t>
      </w:r>
      <w:r>
        <w:rPr>
          <w:sz w:val="24"/>
        </w:rPr>
        <w:t>Prakash</w:t>
      </w:r>
      <w:r>
        <w:rPr>
          <w:spacing w:val="40"/>
          <w:sz w:val="24"/>
        </w:rPr>
        <w:t> </w:t>
      </w:r>
      <w:r>
        <w:rPr>
          <w:sz w:val="24"/>
        </w:rPr>
        <w:t>Road</w:t>
      </w:r>
    </w:p>
    <w:p>
      <w:pPr>
        <w:pStyle w:val="ListParagraph"/>
        <w:numPr>
          <w:ilvl w:val="0"/>
          <w:numId w:val="219"/>
        </w:numPr>
        <w:tabs>
          <w:tab w:pos="1752" w:val="left" w:leader="none"/>
        </w:tabs>
        <w:spacing w:line="240" w:lineRule="auto" w:before="0" w:after="0"/>
        <w:ind w:left="1433" w:right="783" w:firstLine="0"/>
        <w:jc w:val="both"/>
        <w:rPr>
          <w:sz w:val="24"/>
        </w:rPr>
      </w:pPr>
      <w:r>
        <w:rPr>
          <w:sz w:val="24"/>
        </w:rPr>
        <w:t>Western</w:t>
      </w:r>
      <w:r>
        <w:rPr>
          <w:spacing w:val="9"/>
          <w:sz w:val="24"/>
        </w:rPr>
        <w:t> Corridor-</w:t>
      </w:r>
      <w:r>
        <w:rPr>
          <w:sz w:val="24"/>
        </w:rPr>
        <w:t>:From</w:t>
      </w:r>
      <w:r>
        <w:rPr>
          <w:spacing w:val="40"/>
          <w:sz w:val="24"/>
        </w:rPr>
        <w:t> </w:t>
      </w:r>
      <w:r>
        <w:rPr>
          <w:sz w:val="24"/>
        </w:rPr>
        <w:t>Regal</w:t>
      </w:r>
      <w:r>
        <w:rPr>
          <w:spacing w:val="40"/>
          <w:sz w:val="24"/>
        </w:rPr>
        <w:t> </w:t>
      </w:r>
      <w:r>
        <w:rPr>
          <w:sz w:val="24"/>
        </w:rPr>
        <w:t>Cinema</w:t>
      </w:r>
      <w:r>
        <w:rPr>
          <w:spacing w:val="40"/>
          <w:sz w:val="24"/>
        </w:rPr>
        <w:t> </w:t>
      </w:r>
      <w:r>
        <w:rPr>
          <w:sz w:val="24"/>
        </w:rPr>
        <w:t>junction</w:t>
      </w:r>
      <w:r>
        <w:rPr>
          <w:spacing w:val="40"/>
          <w:sz w:val="24"/>
        </w:rPr>
        <w:t> </w:t>
      </w:r>
      <w:r>
        <w:rPr>
          <w:sz w:val="24"/>
        </w:rPr>
        <w:t>to</w:t>
      </w:r>
      <w:r>
        <w:rPr>
          <w:spacing w:val="40"/>
          <w:sz w:val="24"/>
        </w:rPr>
        <w:t> </w:t>
      </w:r>
      <w:r>
        <w:rPr>
          <w:sz w:val="24"/>
        </w:rPr>
        <w:t>Vithabhai</w:t>
      </w:r>
      <w:r>
        <w:rPr>
          <w:spacing w:val="40"/>
          <w:sz w:val="24"/>
        </w:rPr>
        <w:t> </w:t>
      </w:r>
      <w:r>
        <w:rPr>
          <w:sz w:val="24"/>
        </w:rPr>
        <w:t>Patel Road, Khar covering Madam Cama Road, Netaji Subhash Road, Dr. N.A. Purandare</w:t>
      </w:r>
      <w:r>
        <w:rPr>
          <w:spacing w:val="80"/>
          <w:sz w:val="24"/>
        </w:rPr>
        <w:t> </w:t>
      </w:r>
      <w:r>
        <w:rPr>
          <w:sz w:val="24"/>
        </w:rPr>
        <w:t>Marg,</w:t>
      </w:r>
      <w:r>
        <w:rPr>
          <w:spacing w:val="80"/>
          <w:sz w:val="24"/>
        </w:rPr>
        <w:t> </w:t>
      </w:r>
      <w:r>
        <w:rPr>
          <w:sz w:val="24"/>
        </w:rPr>
        <w:t>Babulnath</w:t>
      </w:r>
      <w:r>
        <w:rPr>
          <w:spacing w:val="80"/>
          <w:sz w:val="24"/>
        </w:rPr>
        <w:t> </w:t>
      </w:r>
      <w:r>
        <w:rPr>
          <w:sz w:val="24"/>
        </w:rPr>
        <w:t>Road,</w:t>
      </w:r>
      <w:r>
        <w:rPr>
          <w:spacing w:val="80"/>
          <w:sz w:val="24"/>
        </w:rPr>
        <w:t> </w:t>
      </w:r>
      <w:r>
        <w:rPr>
          <w:sz w:val="24"/>
        </w:rPr>
        <w:t>Justice</w:t>
      </w:r>
      <w:r>
        <w:rPr>
          <w:spacing w:val="80"/>
          <w:sz w:val="24"/>
        </w:rPr>
        <w:t> </w:t>
      </w:r>
      <w:r>
        <w:rPr>
          <w:sz w:val="24"/>
        </w:rPr>
        <w:t>Patkar</w:t>
      </w:r>
      <w:r>
        <w:rPr>
          <w:spacing w:val="80"/>
          <w:sz w:val="24"/>
        </w:rPr>
        <w:t> </w:t>
      </w:r>
      <w:r>
        <w:rPr>
          <w:sz w:val="24"/>
        </w:rPr>
        <w:t>Marg,</w:t>
      </w:r>
      <w:r>
        <w:rPr>
          <w:spacing w:val="80"/>
          <w:sz w:val="24"/>
        </w:rPr>
        <w:t> </w:t>
      </w:r>
      <w:r>
        <w:rPr>
          <w:sz w:val="24"/>
        </w:rPr>
        <w:t>Bhulabhai Desai Road, LalaLajpatrai Road, Dr. Annie Besant Road, Veer Savarkar Marg, Mahim Causeway, Vithalbhai Road upto its junction with ChitrakarDhurandhar</w:t>
      </w:r>
      <w:r>
        <w:rPr>
          <w:spacing w:val="80"/>
          <w:sz w:val="24"/>
        </w:rPr>
        <w:t> </w:t>
      </w:r>
      <w:r>
        <w:rPr>
          <w:sz w:val="24"/>
        </w:rPr>
        <w:t>Marg,</w:t>
      </w:r>
      <w:r>
        <w:rPr>
          <w:spacing w:val="80"/>
          <w:sz w:val="24"/>
        </w:rPr>
        <w:t> </w:t>
      </w:r>
      <w:r>
        <w:rPr>
          <w:sz w:val="24"/>
        </w:rPr>
        <w:t>Khar</w:t>
      </w:r>
      <w:r>
        <w:rPr>
          <w:spacing w:val="80"/>
          <w:sz w:val="24"/>
        </w:rPr>
        <w:t> </w:t>
      </w:r>
      <w:r>
        <w:rPr>
          <w:sz w:val="24"/>
        </w:rPr>
        <w:t>and</w:t>
      </w:r>
      <w:r>
        <w:rPr>
          <w:spacing w:val="80"/>
          <w:sz w:val="24"/>
        </w:rPr>
        <w:t> </w:t>
      </w:r>
      <w:r>
        <w:rPr>
          <w:sz w:val="24"/>
        </w:rPr>
        <w:t>Juhu</w:t>
      </w:r>
      <w:r>
        <w:rPr>
          <w:spacing w:val="80"/>
          <w:sz w:val="24"/>
        </w:rPr>
        <w:t> </w:t>
      </w:r>
      <w:r>
        <w:rPr>
          <w:sz w:val="24"/>
        </w:rPr>
        <w:t>Tara</w:t>
      </w:r>
      <w:r>
        <w:rPr>
          <w:spacing w:val="80"/>
          <w:sz w:val="24"/>
        </w:rPr>
        <w:t> </w:t>
      </w:r>
      <w:r>
        <w:rPr>
          <w:sz w:val="24"/>
        </w:rPr>
        <w:t>Road.</w:t>
      </w:r>
    </w:p>
    <w:p>
      <w:pPr>
        <w:pStyle w:val="ListParagraph"/>
        <w:numPr>
          <w:ilvl w:val="0"/>
          <w:numId w:val="219"/>
        </w:numPr>
        <w:tabs>
          <w:tab w:pos="1752" w:val="left" w:leader="none"/>
        </w:tabs>
        <w:spacing w:line="240" w:lineRule="auto" w:before="2" w:after="0"/>
        <w:ind w:left="1433" w:right="779" w:firstLine="0"/>
        <w:jc w:val="both"/>
        <w:rPr>
          <w:sz w:val="24"/>
        </w:rPr>
      </w:pPr>
      <w:r>
        <w:rPr>
          <w:sz w:val="24"/>
        </w:rPr>
        <w:t>Central Corridor.- From Regal Cinema junction to V.N.Purav Marg, Trombay, covering Mahatma Gandhi Road, DadabhaiNavroji Road, LokmanyaTilak</w:t>
      </w:r>
      <w:r>
        <w:rPr>
          <w:spacing w:val="40"/>
          <w:sz w:val="24"/>
        </w:rPr>
        <w:t> </w:t>
      </w:r>
      <w:r>
        <w:rPr>
          <w:sz w:val="24"/>
        </w:rPr>
        <w:t>Road,</w:t>
      </w:r>
      <w:r>
        <w:rPr>
          <w:spacing w:val="40"/>
          <w:sz w:val="24"/>
        </w:rPr>
        <w:t> </w:t>
      </w:r>
      <w:r>
        <w:rPr>
          <w:sz w:val="24"/>
        </w:rPr>
        <w:t>Dr.B.</w:t>
      </w:r>
      <w:r>
        <w:rPr>
          <w:spacing w:val="40"/>
          <w:sz w:val="24"/>
        </w:rPr>
        <w:t> </w:t>
      </w:r>
      <w:r>
        <w:rPr>
          <w:sz w:val="24"/>
        </w:rPr>
        <w:t>Ambedkar</w:t>
      </w:r>
      <w:r>
        <w:rPr>
          <w:spacing w:val="40"/>
          <w:sz w:val="24"/>
        </w:rPr>
        <w:t> </w:t>
      </w:r>
      <w:r>
        <w:rPr>
          <w:sz w:val="24"/>
        </w:rPr>
        <w:t>Marg,</w:t>
      </w:r>
      <w:r>
        <w:rPr>
          <w:spacing w:val="40"/>
          <w:sz w:val="24"/>
        </w:rPr>
        <w:t> </w:t>
      </w:r>
      <w:r>
        <w:rPr>
          <w:sz w:val="24"/>
        </w:rPr>
        <w:t>Sion</w:t>
      </w:r>
      <w:r>
        <w:rPr>
          <w:spacing w:val="40"/>
          <w:sz w:val="24"/>
        </w:rPr>
        <w:t> </w:t>
      </w:r>
      <w:r>
        <w:rPr>
          <w:sz w:val="24"/>
        </w:rPr>
        <w:t>Road,</w:t>
      </w:r>
      <w:r>
        <w:rPr>
          <w:spacing w:val="40"/>
          <w:sz w:val="24"/>
        </w:rPr>
        <w:t> </w:t>
      </w:r>
      <w:r>
        <w:rPr>
          <w:sz w:val="24"/>
        </w:rPr>
        <w:t>Tatya</w:t>
      </w:r>
      <w:r>
        <w:rPr>
          <w:spacing w:val="40"/>
          <w:sz w:val="24"/>
        </w:rPr>
        <w:t> </w:t>
      </w:r>
      <w:r>
        <w:rPr>
          <w:sz w:val="24"/>
        </w:rPr>
        <w:t>Tope Road,</w:t>
      </w:r>
      <w:r>
        <w:rPr>
          <w:spacing w:val="40"/>
          <w:sz w:val="24"/>
        </w:rPr>
        <w:t>  </w:t>
      </w:r>
      <w:r>
        <w:rPr>
          <w:sz w:val="24"/>
        </w:rPr>
        <w:t>V.N.</w:t>
      </w:r>
      <w:r>
        <w:rPr>
          <w:spacing w:val="40"/>
          <w:sz w:val="24"/>
        </w:rPr>
        <w:t> </w:t>
      </w:r>
      <w:r>
        <w:rPr>
          <w:sz w:val="24"/>
        </w:rPr>
        <w:t>Purav</w:t>
      </w:r>
      <w:r>
        <w:rPr>
          <w:spacing w:val="40"/>
          <w:sz w:val="24"/>
        </w:rPr>
        <w:t>  </w:t>
      </w:r>
      <w:r>
        <w:rPr>
          <w:sz w:val="24"/>
        </w:rPr>
        <w:t>Marg</w:t>
      </w:r>
      <w:r>
        <w:rPr>
          <w:spacing w:val="40"/>
          <w:sz w:val="24"/>
        </w:rPr>
        <w:t>  </w:t>
      </w:r>
      <w:r>
        <w:rPr>
          <w:sz w:val="24"/>
        </w:rPr>
        <w:t>uptoAnushakti</w:t>
      </w:r>
      <w:r>
        <w:rPr>
          <w:spacing w:val="40"/>
          <w:sz w:val="24"/>
        </w:rPr>
        <w:t> </w:t>
      </w:r>
      <w:r>
        <w:rPr>
          <w:sz w:val="24"/>
        </w:rPr>
        <w:t>Nagar.</w:t>
      </w:r>
    </w:p>
    <w:p>
      <w:pPr>
        <w:pStyle w:val="ListParagraph"/>
        <w:numPr>
          <w:ilvl w:val="0"/>
          <w:numId w:val="219"/>
        </w:numPr>
        <w:tabs>
          <w:tab w:pos="1752" w:val="left" w:leader="none"/>
        </w:tabs>
        <w:spacing w:line="240" w:lineRule="auto" w:before="0" w:after="0"/>
        <w:ind w:left="1433" w:right="776" w:firstLine="0"/>
        <w:jc w:val="both"/>
        <w:rPr>
          <w:sz w:val="24"/>
        </w:rPr>
      </w:pPr>
      <w:r>
        <w:rPr>
          <w:sz w:val="24"/>
        </w:rPr>
        <w:t>a)Other Roads viz. ShahidBhagatsingh Road, LokmanyaTilak </w:t>
      </w:r>
      <w:r>
        <w:rPr>
          <w:spacing w:val="9"/>
          <w:sz w:val="24"/>
        </w:rPr>
        <w:t>Road, </w:t>
      </w:r>
      <w:r>
        <w:rPr>
          <w:sz w:val="24"/>
        </w:rPr>
        <w:t>L.Jagmohandas</w:t>
      </w:r>
      <w:r>
        <w:rPr>
          <w:spacing w:val="80"/>
          <w:sz w:val="24"/>
        </w:rPr>
        <w:t> </w:t>
      </w:r>
      <w:r>
        <w:rPr>
          <w:sz w:val="24"/>
        </w:rPr>
        <w:t>Road</w:t>
      </w:r>
      <w:r>
        <w:rPr>
          <w:spacing w:val="80"/>
          <w:sz w:val="24"/>
        </w:rPr>
        <w:t> </w:t>
      </w:r>
      <w:r>
        <w:rPr>
          <w:sz w:val="24"/>
        </w:rPr>
        <w:t>(Napean</w:t>
      </w:r>
      <w:r>
        <w:rPr>
          <w:spacing w:val="80"/>
          <w:sz w:val="24"/>
        </w:rPr>
        <w:t> </w:t>
      </w:r>
      <w:r>
        <w:rPr>
          <w:sz w:val="24"/>
        </w:rPr>
        <w:t>Sea</w:t>
      </w:r>
      <w:r>
        <w:rPr>
          <w:spacing w:val="80"/>
          <w:sz w:val="24"/>
        </w:rPr>
        <w:t> </w:t>
      </w:r>
      <w:r>
        <w:rPr>
          <w:sz w:val="24"/>
        </w:rPr>
        <w:t>Road),</w:t>
      </w:r>
      <w:r>
        <w:rPr>
          <w:spacing w:val="80"/>
          <w:sz w:val="24"/>
        </w:rPr>
        <w:t> </w:t>
      </w:r>
      <w:r>
        <w:rPr>
          <w:sz w:val="24"/>
        </w:rPr>
        <w:t>Bhulabhai</w:t>
      </w:r>
      <w:r>
        <w:rPr>
          <w:spacing w:val="80"/>
          <w:sz w:val="24"/>
        </w:rPr>
        <w:t> </w:t>
      </w:r>
      <w:r>
        <w:rPr>
          <w:sz w:val="24"/>
        </w:rPr>
        <w:t>Desai</w:t>
      </w:r>
      <w:r>
        <w:rPr>
          <w:spacing w:val="80"/>
          <w:sz w:val="24"/>
        </w:rPr>
        <w:t> </w:t>
      </w:r>
      <w:r>
        <w:rPr>
          <w:sz w:val="24"/>
        </w:rPr>
        <w:t>Road (Warden</w:t>
      </w:r>
      <w:r>
        <w:rPr>
          <w:spacing w:val="77"/>
          <w:sz w:val="24"/>
        </w:rPr>
        <w:t> </w:t>
      </w:r>
      <w:r>
        <w:rPr>
          <w:sz w:val="24"/>
        </w:rPr>
        <w:t>Road),</w:t>
      </w:r>
      <w:r>
        <w:rPr>
          <w:spacing w:val="77"/>
          <w:sz w:val="24"/>
        </w:rPr>
        <w:t> </w:t>
      </w:r>
      <w:r>
        <w:rPr>
          <w:sz w:val="24"/>
        </w:rPr>
        <w:t>August</w:t>
      </w:r>
      <w:r>
        <w:rPr>
          <w:spacing w:val="73"/>
          <w:sz w:val="24"/>
        </w:rPr>
        <w:t> </w:t>
      </w:r>
      <w:r>
        <w:rPr>
          <w:sz w:val="24"/>
        </w:rPr>
        <w:t>KrantiMarg,Walkeshwar</w:t>
      </w:r>
      <w:r>
        <w:rPr>
          <w:spacing w:val="73"/>
          <w:sz w:val="24"/>
        </w:rPr>
        <w:t> </w:t>
      </w:r>
      <w:r>
        <w:rPr>
          <w:sz w:val="24"/>
        </w:rPr>
        <w:t>Road,</w:t>
      </w:r>
      <w:r>
        <w:rPr>
          <w:spacing w:val="73"/>
          <w:sz w:val="24"/>
        </w:rPr>
        <w:t> </w:t>
      </w:r>
      <w:r>
        <w:rPr>
          <w:sz w:val="24"/>
        </w:rPr>
        <w:t>S.K.</w:t>
      </w:r>
      <w:r>
        <w:rPr>
          <w:spacing w:val="73"/>
          <w:sz w:val="24"/>
        </w:rPr>
        <w:t> </w:t>
      </w:r>
      <w:r>
        <w:rPr>
          <w:spacing w:val="9"/>
          <w:sz w:val="24"/>
        </w:rPr>
        <w:t>Barodawala</w:t>
      </w:r>
    </w:p>
    <w:p>
      <w:pPr>
        <w:pStyle w:val="ListParagraph"/>
        <w:spacing w:after="0" w:line="240" w:lineRule="auto"/>
        <w:jc w:val="both"/>
        <w:rPr>
          <w:sz w:val="24"/>
        </w:rPr>
        <w:sectPr>
          <w:pgSz w:w="11910" w:h="16840"/>
          <w:pgMar w:header="1058" w:footer="1088" w:top="1500" w:bottom="1280" w:left="360" w:right="360"/>
        </w:sectPr>
      </w:pPr>
    </w:p>
    <w:p>
      <w:pPr>
        <w:pStyle w:val="BodyText"/>
        <w:tabs>
          <w:tab w:pos="2353" w:val="left" w:leader="none"/>
          <w:tab w:pos="4052" w:val="left" w:leader="none"/>
          <w:tab w:pos="5142" w:val="left" w:leader="none"/>
          <w:tab w:pos="6863" w:val="left" w:leader="none"/>
          <w:tab w:pos="7786" w:val="left" w:leader="none"/>
          <w:tab w:pos="9609" w:val="left" w:leader="none"/>
        </w:tabs>
        <w:spacing w:before="255"/>
        <w:ind w:left="1433" w:right="795"/>
        <w:jc w:val="left"/>
      </w:pPr>
      <w:r>
        <w:rPr>
          <w:spacing w:val="-4"/>
        </w:rPr>
        <w:t>Marg</w:t>
      </w:r>
      <w:r>
        <w:rPr/>
        <w:tab/>
      </w:r>
      <w:r>
        <w:rPr>
          <w:spacing w:val="-2"/>
        </w:rPr>
        <w:t>(Altamount</w:t>
      </w:r>
      <w:r>
        <w:rPr/>
        <w:tab/>
      </w:r>
      <w:r>
        <w:rPr>
          <w:spacing w:val="-2"/>
        </w:rPr>
        <w:t>Road),</w:t>
      </w:r>
      <w:r>
        <w:rPr/>
        <w:tab/>
      </w:r>
      <w:r>
        <w:rPr>
          <w:spacing w:val="-2"/>
        </w:rPr>
        <w:t>Dahanukar</w:t>
      </w:r>
      <w:r>
        <w:rPr/>
        <w:tab/>
      </w:r>
      <w:r>
        <w:rPr>
          <w:spacing w:val="-4"/>
        </w:rPr>
        <w:t>Marg</w:t>
      </w:r>
      <w:r>
        <w:rPr/>
        <w:tab/>
      </w:r>
      <w:r>
        <w:rPr>
          <w:spacing w:val="-2"/>
        </w:rPr>
        <w:t>(Carmichael</w:t>
      </w:r>
      <w:r>
        <w:rPr/>
        <w:tab/>
      </w:r>
      <w:r>
        <w:rPr>
          <w:spacing w:val="-2"/>
        </w:rPr>
        <w:t>Road), </w:t>
      </w:r>
      <w:r>
        <w:rPr/>
        <w:t>ManavMandir </w:t>
      </w:r>
      <w:r>
        <w:rPr>
          <w:spacing w:val="9"/>
        </w:rPr>
        <w:t>Road,</w:t>
      </w:r>
    </w:p>
    <w:p>
      <w:pPr>
        <w:pStyle w:val="ListParagraph"/>
        <w:numPr>
          <w:ilvl w:val="0"/>
          <w:numId w:val="164"/>
        </w:numPr>
        <w:tabs>
          <w:tab w:pos="1758" w:val="left" w:leader="none"/>
        </w:tabs>
        <w:spacing w:line="240" w:lineRule="auto" w:before="0" w:after="0"/>
        <w:ind w:left="1758" w:right="0" w:hanging="325"/>
        <w:jc w:val="left"/>
        <w:rPr>
          <w:sz w:val="24"/>
        </w:rPr>
      </w:pPr>
      <w:r>
        <w:rPr>
          <w:sz w:val="24"/>
        </w:rPr>
        <w:t>Proposed</w:t>
      </w:r>
      <w:r>
        <w:rPr>
          <w:spacing w:val="53"/>
          <w:sz w:val="24"/>
        </w:rPr>
        <w:t> </w:t>
      </w:r>
      <w:r>
        <w:rPr>
          <w:sz w:val="24"/>
        </w:rPr>
        <w:t>Roads</w:t>
      </w:r>
      <w:r>
        <w:rPr>
          <w:spacing w:val="56"/>
          <w:sz w:val="24"/>
        </w:rPr>
        <w:t> </w:t>
      </w:r>
      <w:r>
        <w:rPr>
          <w:sz w:val="24"/>
        </w:rPr>
        <w:t>having</w:t>
      </w:r>
      <w:r>
        <w:rPr>
          <w:spacing w:val="53"/>
          <w:sz w:val="24"/>
        </w:rPr>
        <w:t> </w:t>
      </w:r>
      <w:r>
        <w:rPr>
          <w:sz w:val="24"/>
        </w:rPr>
        <w:t>width</w:t>
      </w:r>
      <w:r>
        <w:rPr>
          <w:spacing w:val="54"/>
          <w:sz w:val="24"/>
        </w:rPr>
        <w:t> </w:t>
      </w:r>
      <w:r>
        <w:rPr>
          <w:sz w:val="24"/>
        </w:rPr>
        <w:t>45.70</w:t>
      </w:r>
      <w:r>
        <w:rPr>
          <w:spacing w:val="56"/>
          <w:sz w:val="24"/>
        </w:rPr>
        <w:t> </w:t>
      </w:r>
      <w:r>
        <w:rPr>
          <w:sz w:val="24"/>
        </w:rPr>
        <w:t>m</w:t>
      </w:r>
      <w:r>
        <w:rPr>
          <w:spacing w:val="53"/>
          <w:sz w:val="24"/>
        </w:rPr>
        <w:t> </w:t>
      </w:r>
      <w:r>
        <w:rPr>
          <w:sz w:val="24"/>
        </w:rPr>
        <w:t>and</w:t>
      </w:r>
      <w:r>
        <w:rPr>
          <w:spacing w:val="54"/>
          <w:sz w:val="24"/>
        </w:rPr>
        <w:t> </w:t>
      </w:r>
      <w:r>
        <w:rPr>
          <w:spacing w:val="7"/>
          <w:sz w:val="24"/>
        </w:rPr>
        <w:t>above.</w:t>
      </w:r>
    </w:p>
    <w:p>
      <w:pPr>
        <w:pStyle w:val="Heading6"/>
        <w:numPr>
          <w:ilvl w:val="2"/>
          <w:numId w:val="133"/>
        </w:numPr>
        <w:tabs>
          <w:tab w:pos="1947" w:val="left" w:leader="none"/>
        </w:tabs>
        <w:spacing w:line="240" w:lineRule="auto" w:before="40" w:after="0"/>
        <w:ind w:left="1430" w:right="1132" w:firstLine="0"/>
        <w:jc w:val="left"/>
      </w:pPr>
      <w:r>
        <w:rPr/>
        <w:t>Conditions</w:t>
      </w:r>
      <w:r>
        <w:rPr>
          <w:spacing w:val="40"/>
        </w:rPr>
        <w:t> </w:t>
      </w:r>
      <w:r>
        <w:rPr/>
        <w:t>applicable</w:t>
      </w:r>
      <w:r>
        <w:rPr>
          <w:spacing w:val="40"/>
        </w:rPr>
        <w:t> </w:t>
      </w:r>
      <w:r>
        <w:rPr/>
        <w:t>for</w:t>
      </w:r>
      <w:r>
        <w:rPr>
          <w:spacing w:val="40"/>
        </w:rPr>
        <w:t> </w:t>
      </w:r>
      <w:r>
        <w:rPr/>
        <w:t>permitting</w:t>
      </w:r>
      <w:r>
        <w:rPr>
          <w:spacing w:val="40"/>
        </w:rPr>
        <w:t> </w:t>
      </w:r>
      <w:r>
        <w:rPr/>
        <w:t>various</w:t>
      </w:r>
      <w:r>
        <w:rPr>
          <w:spacing w:val="40"/>
        </w:rPr>
        <w:t> </w:t>
      </w:r>
      <w:r>
        <w:rPr>
          <w:spacing w:val="12"/>
        </w:rPr>
        <w:t>land-</w:t>
      </w:r>
      <w:r>
        <w:rPr/>
        <w:t>uses</w:t>
      </w:r>
      <w:r>
        <w:rPr>
          <w:spacing w:val="40"/>
        </w:rPr>
        <w:t> </w:t>
      </w:r>
      <w:r>
        <w:rPr/>
        <w:t>and</w:t>
      </w:r>
      <w:r>
        <w:rPr>
          <w:spacing w:val="40"/>
        </w:rPr>
        <w:t> </w:t>
      </w:r>
      <w:r>
        <w:rPr>
          <w:spacing w:val="7"/>
        </w:rPr>
        <w:t>occupancies</w:t>
      </w:r>
    </w:p>
    <w:p>
      <w:pPr>
        <w:pStyle w:val="BodyText"/>
        <w:spacing w:before="241"/>
        <w:ind w:left="1430" w:right="1094"/>
        <w:jc w:val="left"/>
      </w:pPr>
      <w:r>
        <w:rPr/>
        <w:t>The</w:t>
      </w:r>
      <w:r>
        <w:rPr>
          <w:spacing w:val="40"/>
        </w:rPr>
        <w:t> </w:t>
      </w:r>
      <w:r>
        <w:rPr/>
        <w:t>conditions</w:t>
      </w:r>
      <w:r>
        <w:rPr>
          <w:spacing w:val="40"/>
        </w:rPr>
        <w:t> </w:t>
      </w:r>
      <w:r>
        <w:rPr/>
        <w:t>applicable</w:t>
      </w:r>
      <w:r>
        <w:rPr>
          <w:spacing w:val="40"/>
        </w:rPr>
        <w:t> </w:t>
      </w:r>
      <w:r>
        <w:rPr/>
        <w:t>for</w:t>
      </w:r>
      <w:r>
        <w:rPr>
          <w:spacing w:val="40"/>
        </w:rPr>
        <w:t> </w:t>
      </w:r>
      <w:r>
        <w:rPr/>
        <w:t>permitting</w:t>
      </w:r>
      <w:r>
        <w:rPr>
          <w:spacing w:val="40"/>
        </w:rPr>
        <w:t> </w:t>
      </w:r>
      <w:r>
        <w:rPr/>
        <w:t>various</w:t>
      </w:r>
      <w:r>
        <w:rPr>
          <w:spacing w:val="40"/>
        </w:rPr>
        <w:t> </w:t>
      </w:r>
      <w:r>
        <w:rPr>
          <w:spacing w:val="12"/>
        </w:rPr>
        <w:t>land-</w:t>
      </w:r>
      <w:r>
        <w:rPr/>
        <w:t>uses</w:t>
      </w:r>
      <w:r>
        <w:rPr>
          <w:spacing w:val="40"/>
        </w:rPr>
        <w:t> </w:t>
      </w:r>
      <w:r>
        <w:rPr/>
        <w:t>and</w:t>
      </w:r>
      <w:r>
        <w:rPr>
          <w:spacing w:val="40"/>
        </w:rPr>
        <w:t> </w:t>
      </w:r>
      <w:r>
        <w:rPr/>
        <w:t>occupancies</w:t>
      </w:r>
      <w:r>
        <w:rPr>
          <w:spacing w:val="40"/>
        </w:rPr>
        <w:t> </w:t>
      </w:r>
      <w:r>
        <w:rPr/>
        <w:t>in</w:t>
      </w:r>
      <w:r>
        <w:rPr>
          <w:spacing w:val="40"/>
        </w:rPr>
        <w:t> </w:t>
      </w:r>
      <w:r>
        <w:rPr/>
        <w:t>Residential,</w:t>
      </w:r>
      <w:r>
        <w:rPr>
          <w:spacing w:val="40"/>
        </w:rPr>
        <w:t> </w:t>
      </w:r>
      <w:r>
        <w:rPr/>
        <w:t>Commercial</w:t>
      </w:r>
      <w:r>
        <w:rPr>
          <w:spacing w:val="40"/>
        </w:rPr>
        <w:t> </w:t>
      </w:r>
      <w:r>
        <w:rPr/>
        <w:t>&amp;</w:t>
      </w:r>
      <w:r>
        <w:rPr>
          <w:spacing w:val="40"/>
        </w:rPr>
        <w:t> </w:t>
      </w:r>
      <w:r>
        <w:rPr/>
        <w:t>Industrial</w:t>
      </w:r>
      <w:r>
        <w:rPr>
          <w:spacing w:val="40"/>
        </w:rPr>
        <w:t> </w:t>
      </w:r>
      <w:r>
        <w:rPr/>
        <w:t>Zones</w:t>
      </w:r>
      <w:r>
        <w:rPr>
          <w:spacing w:val="40"/>
        </w:rPr>
        <w:t> </w:t>
      </w:r>
      <w:r>
        <w:rPr/>
        <w:t>as</w:t>
      </w:r>
      <w:r>
        <w:rPr>
          <w:spacing w:val="80"/>
        </w:rPr>
        <w:t> </w:t>
      </w:r>
      <w:r>
        <w:rPr/>
        <w:t>described</w:t>
      </w:r>
      <w:r>
        <w:rPr>
          <w:spacing w:val="40"/>
        </w:rPr>
        <w:t> </w:t>
      </w:r>
      <w:r>
        <w:rPr/>
        <w:t>in</w:t>
      </w:r>
      <w:r>
        <w:rPr>
          <w:spacing w:val="40"/>
        </w:rPr>
        <w:t> </w:t>
      </w:r>
      <w:r>
        <w:rPr/>
        <w:t>Table</w:t>
      </w:r>
      <w:r>
        <w:rPr>
          <w:spacing w:val="40"/>
        </w:rPr>
        <w:t> </w:t>
      </w:r>
      <w:r>
        <w:rPr/>
        <w:t>No.</w:t>
      </w:r>
      <w:r>
        <w:rPr>
          <w:spacing w:val="40"/>
        </w:rPr>
        <w:t> </w:t>
      </w:r>
      <w:r>
        <w:rPr/>
        <w:t>B,</w:t>
      </w:r>
      <w:r>
        <w:rPr>
          <w:spacing w:val="40"/>
        </w:rPr>
        <w:t> </w:t>
      </w:r>
      <w:r>
        <w:rPr/>
        <w:t>are</w:t>
      </w:r>
      <w:r>
        <w:rPr>
          <w:spacing w:val="40"/>
        </w:rPr>
        <w:t> </w:t>
      </w:r>
      <w:r>
        <w:rPr/>
        <w:t>given</w:t>
      </w:r>
      <w:r>
        <w:rPr>
          <w:spacing w:val="40"/>
        </w:rPr>
        <w:t> </w:t>
      </w:r>
      <w:r>
        <w:rPr/>
        <w:t>in</w:t>
      </w:r>
      <w:r>
        <w:rPr>
          <w:spacing w:val="40"/>
        </w:rPr>
        <w:t> </w:t>
      </w:r>
      <w:r>
        <w:rPr/>
        <w:t>Table</w:t>
      </w:r>
      <w:r>
        <w:rPr>
          <w:spacing w:val="40"/>
        </w:rPr>
        <w:t> </w:t>
      </w:r>
      <w:r>
        <w:rPr/>
        <w:t>No.</w:t>
      </w:r>
      <w:r>
        <w:rPr>
          <w:spacing w:val="40"/>
        </w:rPr>
        <w:t> </w:t>
      </w:r>
      <w:r>
        <w:rPr/>
        <w:t>C</w:t>
      </w:r>
      <w:r>
        <w:rPr>
          <w:spacing w:val="40"/>
        </w:rPr>
        <w:t> </w:t>
      </w:r>
      <w:r>
        <w:rPr/>
        <w:t>with</w:t>
      </w:r>
      <w:r>
        <w:rPr>
          <w:spacing w:val="40"/>
        </w:rPr>
        <w:t> </w:t>
      </w:r>
      <w:r>
        <w:rPr/>
        <w:t>following</w:t>
      </w:r>
      <w:r>
        <w:rPr>
          <w:spacing w:val="40"/>
        </w:rPr>
        <w:t> </w:t>
      </w:r>
      <w:r>
        <w:rPr>
          <w:spacing w:val="9"/>
        </w:rPr>
        <w:t>for </w:t>
      </w:r>
      <w:r>
        <w:rPr/>
        <w:t>their permissibility.</w:t>
      </w:r>
    </w:p>
    <w:p>
      <w:pPr>
        <w:pStyle w:val="BodyText"/>
        <w:spacing w:before="7"/>
        <w:jc w:val="left"/>
        <w:rPr>
          <w:sz w:val="20"/>
        </w:rPr>
      </w:pPr>
    </w:p>
    <w:tbl>
      <w:tblPr>
        <w:tblW w:w="0" w:type="auto"/>
        <w:jc w:val="left"/>
        <w:tblInd w:w="1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7"/>
        <w:gridCol w:w="6812"/>
      </w:tblGrid>
      <w:tr>
        <w:trPr>
          <w:trHeight w:val="1646" w:hRule="atLeast"/>
        </w:trPr>
        <w:tc>
          <w:tcPr>
            <w:tcW w:w="2187" w:type="dxa"/>
          </w:tcPr>
          <w:p>
            <w:pPr>
              <w:pStyle w:val="TableParagraph"/>
              <w:spacing w:before="40"/>
              <w:ind w:left="107"/>
              <w:rPr>
                <w:sz w:val="24"/>
              </w:rPr>
            </w:pPr>
            <w:r>
              <w:rPr>
                <w:spacing w:val="-10"/>
                <w:sz w:val="24"/>
              </w:rPr>
              <w:t>P</w:t>
            </w:r>
          </w:p>
        </w:tc>
        <w:tc>
          <w:tcPr>
            <w:tcW w:w="6812" w:type="dxa"/>
          </w:tcPr>
          <w:p>
            <w:pPr>
              <w:pStyle w:val="TableParagraph"/>
              <w:spacing w:before="40"/>
              <w:ind w:left="110" w:right="104"/>
              <w:jc w:val="both"/>
              <w:rPr>
                <w:sz w:val="24"/>
              </w:rPr>
            </w:pPr>
            <w:r>
              <w:rPr>
                <w:sz w:val="24"/>
              </w:rPr>
              <w:t>“P” Denotes Permissible Use without conditions in a Zone.</w:t>
            </w:r>
            <w:r>
              <w:rPr>
                <w:spacing w:val="40"/>
                <w:sz w:val="24"/>
              </w:rPr>
              <w:t> </w:t>
            </w:r>
            <w:r>
              <w:rPr>
                <w:sz w:val="24"/>
              </w:rPr>
              <w:t>When</w:t>
            </w:r>
            <w:r>
              <w:rPr>
                <w:spacing w:val="40"/>
                <w:sz w:val="24"/>
              </w:rPr>
              <w:t> </w:t>
            </w:r>
            <w:r>
              <w:rPr>
                <w:sz w:val="24"/>
              </w:rPr>
              <w:t>conditions</w:t>
            </w:r>
            <w:r>
              <w:rPr>
                <w:spacing w:val="40"/>
                <w:sz w:val="24"/>
              </w:rPr>
              <w:t> </w:t>
            </w:r>
            <w:r>
              <w:rPr>
                <w:sz w:val="24"/>
              </w:rPr>
              <w:t>are</w:t>
            </w:r>
            <w:r>
              <w:rPr>
                <w:spacing w:val="40"/>
                <w:sz w:val="24"/>
              </w:rPr>
              <w:t> </w:t>
            </w:r>
            <w:r>
              <w:rPr>
                <w:sz w:val="24"/>
              </w:rPr>
              <w:t>reflected</w:t>
            </w:r>
            <w:r>
              <w:rPr>
                <w:spacing w:val="40"/>
                <w:sz w:val="24"/>
              </w:rPr>
              <w:t> </w:t>
            </w:r>
            <w:r>
              <w:rPr>
                <w:sz w:val="24"/>
              </w:rPr>
              <w:t>without indication</w:t>
            </w:r>
            <w:r>
              <w:rPr>
                <w:spacing w:val="40"/>
                <w:sz w:val="24"/>
              </w:rPr>
              <w:t> </w:t>
            </w:r>
            <w:r>
              <w:rPr>
                <w:sz w:val="24"/>
              </w:rPr>
              <w:t>of</w:t>
            </w:r>
            <w:r>
              <w:rPr>
                <w:spacing w:val="40"/>
                <w:sz w:val="24"/>
              </w:rPr>
              <w:t> </w:t>
            </w:r>
            <w:r>
              <w:rPr>
                <w:sz w:val="24"/>
              </w:rPr>
              <w:t>“P”,</w:t>
            </w:r>
            <w:r>
              <w:rPr>
                <w:spacing w:val="40"/>
                <w:sz w:val="24"/>
              </w:rPr>
              <w:t> </w:t>
            </w:r>
            <w:r>
              <w:rPr>
                <w:sz w:val="24"/>
              </w:rPr>
              <w:t>such</w:t>
            </w:r>
            <w:r>
              <w:rPr>
                <w:spacing w:val="40"/>
                <w:sz w:val="24"/>
              </w:rPr>
              <w:t> </w:t>
            </w:r>
            <w:r>
              <w:rPr>
                <w:sz w:val="24"/>
              </w:rPr>
              <w:t>uses</w:t>
            </w:r>
            <w:r>
              <w:rPr>
                <w:spacing w:val="40"/>
                <w:sz w:val="24"/>
              </w:rPr>
              <w:t> </w:t>
            </w:r>
            <w:r>
              <w:rPr>
                <w:sz w:val="24"/>
              </w:rPr>
              <w:t>shall</w:t>
            </w:r>
            <w:r>
              <w:rPr>
                <w:spacing w:val="40"/>
                <w:sz w:val="24"/>
              </w:rPr>
              <w:t> </w:t>
            </w:r>
            <w:r>
              <w:rPr>
                <w:sz w:val="24"/>
              </w:rPr>
              <w:t>be</w:t>
            </w:r>
            <w:r>
              <w:rPr>
                <w:spacing w:val="40"/>
                <w:sz w:val="24"/>
              </w:rPr>
              <w:t> </w:t>
            </w:r>
            <w:r>
              <w:rPr>
                <w:sz w:val="24"/>
              </w:rPr>
              <w:t>permissible</w:t>
            </w:r>
            <w:r>
              <w:rPr>
                <w:spacing w:val="40"/>
                <w:sz w:val="24"/>
              </w:rPr>
              <w:t> </w:t>
            </w:r>
            <w:r>
              <w:rPr>
                <w:sz w:val="24"/>
              </w:rPr>
              <w:t>in that</w:t>
            </w:r>
            <w:r>
              <w:rPr>
                <w:spacing w:val="52"/>
                <w:sz w:val="24"/>
              </w:rPr>
              <w:t> </w:t>
            </w:r>
            <w:r>
              <w:rPr>
                <w:sz w:val="24"/>
              </w:rPr>
              <w:t>zone</w:t>
            </w:r>
            <w:r>
              <w:rPr>
                <w:spacing w:val="52"/>
                <w:sz w:val="24"/>
              </w:rPr>
              <w:t> </w:t>
            </w:r>
            <w:r>
              <w:rPr>
                <w:sz w:val="24"/>
              </w:rPr>
              <w:t>subject</w:t>
            </w:r>
            <w:r>
              <w:rPr>
                <w:spacing w:val="53"/>
                <w:sz w:val="24"/>
              </w:rPr>
              <w:t> </w:t>
            </w:r>
            <w:r>
              <w:rPr>
                <w:sz w:val="24"/>
              </w:rPr>
              <w:t>to</w:t>
            </w:r>
            <w:r>
              <w:rPr>
                <w:spacing w:val="52"/>
                <w:sz w:val="24"/>
              </w:rPr>
              <w:t> </w:t>
            </w:r>
            <w:r>
              <w:rPr>
                <w:sz w:val="24"/>
              </w:rPr>
              <w:t>compliance</w:t>
            </w:r>
            <w:r>
              <w:rPr>
                <w:spacing w:val="53"/>
                <w:sz w:val="24"/>
              </w:rPr>
              <w:t> </w:t>
            </w:r>
            <w:r>
              <w:rPr>
                <w:sz w:val="24"/>
              </w:rPr>
              <w:t>of</w:t>
            </w:r>
            <w:r>
              <w:rPr>
                <w:spacing w:val="52"/>
                <w:sz w:val="24"/>
              </w:rPr>
              <w:t> </w:t>
            </w:r>
            <w:r>
              <w:rPr>
                <w:sz w:val="24"/>
              </w:rPr>
              <w:t>those</w:t>
            </w:r>
            <w:r>
              <w:rPr>
                <w:spacing w:val="53"/>
                <w:sz w:val="24"/>
              </w:rPr>
              <w:t> </w:t>
            </w:r>
            <w:r>
              <w:rPr>
                <w:spacing w:val="-2"/>
                <w:sz w:val="24"/>
              </w:rPr>
              <w:t>conditions.</w:t>
            </w:r>
          </w:p>
        </w:tc>
      </w:tr>
      <w:tr>
        <w:trPr>
          <w:trHeight w:val="362" w:hRule="atLeast"/>
        </w:trPr>
        <w:tc>
          <w:tcPr>
            <w:tcW w:w="2187" w:type="dxa"/>
          </w:tcPr>
          <w:p>
            <w:pPr>
              <w:pStyle w:val="TableParagraph"/>
              <w:spacing w:before="37"/>
              <w:ind w:left="107"/>
              <w:rPr>
                <w:sz w:val="24"/>
              </w:rPr>
            </w:pPr>
            <w:r>
              <w:rPr>
                <w:spacing w:val="-5"/>
                <w:sz w:val="24"/>
              </w:rPr>
              <w:t>NP</w:t>
            </w:r>
          </w:p>
        </w:tc>
        <w:tc>
          <w:tcPr>
            <w:tcW w:w="6812" w:type="dxa"/>
          </w:tcPr>
          <w:p>
            <w:pPr>
              <w:pStyle w:val="TableParagraph"/>
              <w:spacing w:before="37"/>
              <w:ind w:left="110"/>
              <w:rPr>
                <w:sz w:val="24"/>
              </w:rPr>
            </w:pPr>
            <w:r>
              <w:rPr>
                <w:sz w:val="24"/>
              </w:rPr>
              <w:t>Denotes</w:t>
            </w:r>
            <w:r>
              <w:rPr>
                <w:spacing w:val="56"/>
                <w:sz w:val="24"/>
              </w:rPr>
              <w:t> </w:t>
            </w:r>
            <w:r>
              <w:rPr>
                <w:spacing w:val="9"/>
                <w:sz w:val="24"/>
              </w:rPr>
              <w:t>Non-</w:t>
            </w:r>
            <w:r>
              <w:rPr>
                <w:sz w:val="24"/>
              </w:rPr>
              <w:t>Permissible</w:t>
            </w:r>
            <w:r>
              <w:rPr>
                <w:spacing w:val="55"/>
                <w:sz w:val="24"/>
              </w:rPr>
              <w:t> </w:t>
            </w:r>
            <w:r>
              <w:rPr>
                <w:sz w:val="24"/>
              </w:rPr>
              <w:t>Uses</w:t>
            </w:r>
            <w:r>
              <w:rPr>
                <w:spacing w:val="56"/>
                <w:sz w:val="24"/>
              </w:rPr>
              <w:t> </w:t>
            </w:r>
            <w:r>
              <w:rPr>
                <w:sz w:val="24"/>
              </w:rPr>
              <w:t>in</w:t>
            </w:r>
            <w:r>
              <w:rPr>
                <w:spacing w:val="59"/>
                <w:sz w:val="24"/>
              </w:rPr>
              <w:t> </w:t>
            </w:r>
            <w:r>
              <w:rPr>
                <w:sz w:val="24"/>
              </w:rPr>
              <w:t>a</w:t>
            </w:r>
            <w:r>
              <w:rPr>
                <w:spacing w:val="56"/>
                <w:sz w:val="24"/>
              </w:rPr>
              <w:t> </w:t>
            </w:r>
            <w:r>
              <w:rPr>
                <w:spacing w:val="-2"/>
                <w:sz w:val="24"/>
              </w:rPr>
              <w:t>Zone.</w:t>
            </w:r>
          </w:p>
        </w:tc>
      </w:tr>
    </w:tbl>
    <w:p>
      <w:pPr>
        <w:pStyle w:val="BodyText"/>
        <w:spacing w:before="238"/>
        <w:jc w:val="left"/>
      </w:pPr>
    </w:p>
    <w:p>
      <w:pPr>
        <w:pStyle w:val="Heading5"/>
        <w:ind w:left="1313"/>
      </w:pPr>
      <w:r>
        <w:rPr/>
        <w:t>Table</w:t>
      </w:r>
      <w:r>
        <w:rPr>
          <w:spacing w:val="47"/>
        </w:rPr>
        <w:t> </w:t>
      </w:r>
      <w:r>
        <w:rPr/>
        <w:t>No.</w:t>
      </w:r>
      <w:r>
        <w:rPr>
          <w:spacing w:val="47"/>
        </w:rPr>
        <w:t> </w:t>
      </w:r>
      <w:r>
        <w:rPr>
          <w:spacing w:val="-5"/>
        </w:rPr>
        <w:t>C.</w:t>
      </w:r>
    </w:p>
    <w:p>
      <w:pPr>
        <w:pStyle w:val="BodyText"/>
        <w:spacing w:before="242"/>
        <w:ind w:left="1404" w:right="1745" w:hanging="92"/>
        <w:jc w:val="left"/>
      </w:pPr>
      <w:r>
        <w:rPr/>
        <w:t>Conditions</w:t>
      </w:r>
      <w:r>
        <w:rPr>
          <w:spacing w:val="40"/>
        </w:rPr>
        <w:t> </w:t>
      </w:r>
      <w:r>
        <w:rPr/>
        <w:t>under</w:t>
      </w:r>
      <w:r>
        <w:rPr>
          <w:spacing w:val="40"/>
        </w:rPr>
        <w:t> </w:t>
      </w:r>
      <w:r>
        <w:rPr/>
        <w:t>which</w:t>
      </w:r>
      <w:r>
        <w:rPr>
          <w:spacing w:val="40"/>
        </w:rPr>
        <w:t> </w:t>
      </w:r>
      <w:r>
        <w:rPr/>
        <w:t>uses</w:t>
      </w:r>
      <w:r>
        <w:rPr>
          <w:spacing w:val="40"/>
        </w:rPr>
        <w:t> </w:t>
      </w:r>
      <w:r>
        <w:rPr/>
        <w:t>and</w:t>
      </w:r>
      <w:r>
        <w:rPr>
          <w:spacing w:val="40"/>
        </w:rPr>
        <w:t> </w:t>
      </w:r>
      <w:r>
        <w:rPr/>
        <w:t>occupancies</w:t>
      </w:r>
      <w:r>
        <w:rPr>
          <w:spacing w:val="40"/>
        </w:rPr>
        <w:t> </w:t>
      </w:r>
      <w:r>
        <w:rPr/>
        <w:t>will</w:t>
      </w:r>
      <w:r>
        <w:rPr>
          <w:spacing w:val="40"/>
        </w:rPr>
        <w:t> </w:t>
      </w:r>
      <w:r>
        <w:rPr/>
        <w:t>be</w:t>
      </w:r>
      <w:r>
        <w:rPr>
          <w:spacing w:val="40"/>
        </w:rPr>
        <w:t> </w:t>
      </w:r>
      <w:r>
        <w:rPr>
          <w:spacing w:val="9"/>
        </w:rPr>
        <w:t>permitted </w:t>
      </w:r>
      <w:r>
        <w:rPr/>
        <w:t>in</w:t>
      </w:r>
      <w:r>
        <w:rPr>
          <w:spacing w:val="80"/>
        </w:rPr>
        <w:t> </w:t>
      </w:r>
      <w:r>
        <w:rPr/>
        <w:t>Residential,</w:t>
      </w:r>
      <w:r>
        <w:rPr>
          <w:spacing w:val="80"/>
        </w:rPr>
        <w:t> </w:t>
      </w:r>
      <w:r>
        <w:rPr/>
        <w:t>Commercial</w:t>
      </w:r>
      <w:r>
        <w:rPr>
          <w:spacing w:val="80"/>
        </w:rPr>
        <w:t> </w:t>
      </w:r>
      <w:r>
        <w:rPr/>
        <w:t>&amp;</w:t>
      </w:r>
      <w:r>
        <w:rPr>
          <w:spacing w:val="80"/>
        </w:rPr>
        <w:t> </w:t>
      </w:r>
      <w:r>
        <w:rPr/>
        <w:t>Industrial</w:t>
      </w:r>
      <w:r>
        <w:rPr>
          <w:spacing w:val="80"/>
        </w:rPr>
        <w:t> </w:t>
      </w:r>
      <w:r>
        <w:rPr/>
        <w:t>Zones</w:t>
      </w:r>
    </w:p>
    <w:p>
      <w:pPr>
        <w:pStyle w:val="BodyText"/>
        <w:spacing w:before="6"/>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5" w:hRule="atLeast"/>
        </w:trPr>
        <w:tc>
          <w:tcPr>
            <w:tcW w:w="1260" w:type="dxa"/>
            <w:vMerge w:val="restart"/>
            <w:shd w:val="clear" w:color="auto" w:fill="EDEBE0"/>
          </w:tcPr>
          <w:p>
            <w:pPr>
              <w:pStyle w:val="TableParagraph"/>
              <w:spacing w:before="95"/>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before="95"/>
              <w:ind w:left="108"/>
              <w:rPr>
                <w:sz w:val="20"/>
              </w:rPr>
            </w:pPr>
            <w:r>
              <w:rPr>
                <w:spacing w:val="-4"/>
                <w:sz w:val="20"/>
              </w:rPr>
              <w:t>Uses</w:t>
            </w:r>
            <w:r>
              <w:rPr>
                <w:sz w:val="20"/>
              </w:rPr>
              <w:tab/>
            </w:r>
            <w:r>
              <w:rPr>
                <w:spacing w:val="-5"/>
                <w:sz w:val="20"/>
              </w:rPr>
              <w:t>and</w:t>
            </w:r>
          </w:p>
          <w:p>
            <w:pPr>
              <w:pStyle w:val="TableParagraph"/>
              <w:ind w:left="108"/>
              <w:rPr>
                <w:sz w:val="20"/>
              </w:rPr>
            </w:pPr>
            <w:r>
              <w:rPr>
                <w:spacing w:val="-2"/>
                <w:sz w:val="20"/>
              </w:rPr>
              <w:t>Occupancies</w:t>
            </w:r>
          </w:p>
        </w:tc>
        <w:tc>
          <w:tcPr>
            <w:tcW w:w="5880" w:type="dxa"/>
            <w:gridSpan w:val="4"/>
            <w:shd w:val="clear" w:color="auto" w:fill="EDEBE0"/>
          </w:tcPr>
          <w:p>
            <w:pPr>
              <w:pStyle w:val="TableParagraph"/>
              <w:spacing w:before="95"/>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662" w:hRule="atLeast"/>
        </w:trPr>
        <w:tc>
          <w:tcPr>
            <w:tcW w:w="1260" w:type="dxa"/>
          </w:tcPr>
          <w:p>
            <w:pPr>
              <w:pStyle w:val="TableParagraph"/>
              <w:spacing w:before="94"/>
              <w:ind w:right="449"/>
              <w:jc w:val="right"/>
              <w:rPr>
                <w:sz w:val="20"/>
              </w:rPr>
            </w:pPr>
            <w:r>
              <w:rPr>
                <w:spacing w:val="-10"/>
                <w:sz w:val="20"/>
              </w:rPr>
              <w:t>1</w:t>
            </w:r>
          </w:p>
        </w:tc>
        <w:tc>
          <w:tcPr>
            <w:tcW w:w="2856" w:type="dxa"/>
          </w:tcPr>
          <w:p>
            <w:pPr>
              <w:pStyle w:val="TableParagraph"/>
              <w:spacing w:before="94"/>
              <w:ind w:left="108"/>
              <w:rPr>
                <w:sz w:val="20"/>
              </w:rPr>
            </w:pPr>
            <w:r>
              <w:rPr>
                <w:spacing w:val="-2"/>
                <w:sz w:val="20"/>
              </w:rPr>
              <w:t>Residential</w:t>
            </w:r>
          </w:p>
        </w:tc>
        <w:tc>
          <w:tcPr>
            <w:tcW w:w="1276" w:type="dxa"/>
          </w:tcPr>
          <w:p>
            <w:pPr>
              <w:pStyle w:val="TableParagraph"/>
              <w:spacing w:before="94"/>
              <w:ind w:left="197"/>
              <w:rPr>
                <w:sz w:val="20"/>
              </w:rPr>
            </w:pPr>
            <w:r>
              <w:rPr>
                <w:spacing w:val="-10"/>
                <w:sz w:val="20"/>
              </w:rPr>
              <w:t>P</w:t>
            </w:r>
          </w:p>
        </w:tc>
        <w:tc>
          <w:tcPr>
            <w:tcW w:w="1209" w:type="dxa"/>
          </w:tcPr>
          <w:p>
            <w:pPr>
              <w:pStyle w:val="TableParagraph"/>
              <w:spacing w:before="94"/>
              <w:ind w:left="109"/>
              <w:rPr>
                <w:sz w:val="20"/>
              </w:rPr>
            </w:pPr>
            <w:r>
              <w:rPr>
                <w:sz w:val="20"/>
              </w:rPr>
              <w:t>1</w:t>
            </w:r>
            <w:r>
              <w:rPr>
                <w:spacing w:val="47"/>
                <w:sz w:val="20"/>
              </w:rPr>
              <w:t> </w:t>
            </w:r>
            <w:r>
              <w:rPr>
                <w:sz w:val="20"/>
              </w:rPr>
              <w:t>or</w:t>
            </w:r>
            <w:r>
              <w:rPr>
                <w:spacing w:val="49"/>
                <w:sz w:val="20"/>
              </w:rPr>
              <w:t> </w:t>
            </w:r>
            <w:r>
              <w:rPr>
                <w:sz w:val="20"/>
              </w:rPr>
              <w:t>2</w:t>
            </w:r>
            <w:r>
              <w:rPr>
                <w:spacing w:val="45"/>
                <w:sz w:val="20"/>
              </w:rPr>
              <w:t> </w:t>
            </w:r>
            <w:r>
              <w:rPr>
                <w:spacing w:val="-5"/>
                <w:sz w:val="20"/>
              </w:rPr>
              <w:t>or</w:t>
            </w:r>
          </w:p>
          <w:p>
            <w:pPr>
              <w:pStyle w:val="TableParagraph"/>
              <w:spacing w:before="1"/>
              <w:ind w:left="109"/>
              <w:rPr>
                <w:sz w:val="20"/>
              </w:rPr>
            </w:pPr>
            <w:r>
              <w:rPr>
                <w:sz w:val="20"/>
              </w:rPr>
              <w:t>3</w:t>
            </w:r>
            <w:r>
              <w:rPr>
                <w:color w:val="000000"/>
                <w:sz w:val="20"/>
                <w:shd w:fill="FFCCFF" w:color="auto" w:val="clear"/>
              </w:rPr>
              <w:t>or</w:t>
            </w:r>
            <w:r>
              <w:rPr>
                <w:color w:val="000000"/>
                <w:spacing w:val="34"/>
                <w:sz w:val="20"/>
                <w:shd w:fill="FFCCFF" w:color="auto" w:val="clear"/>
              </w:rPr>
              <w:t> </w:t>
            </w:r>
            <w:r>
              <w:rPr>
                <w:color w:val="000000"/>
                <w:spacing w:val="-10"/>
                <w:sz w:val="20"/>
                <w:shd w:fill="FFCCFF" w:color="auto" w:val="clear"/>
              </w:rPr>
              <w:t>4</w:t>
            </w:r>
          </w:p>
        </w:tc>
        <w:tc>
          <w:tcPr>
            <w:tcW w:w="1199" w:type="dxa"/>
          </w:tcPr>
          <w:p>
            <w:pPr>
              <w:pStyle w:val="TableParagraph"/>
              <w:spacing w:before="94"/>
              <w:ind w:right="531"/>
              <w:jc w:val="right"/>
              <w:rPr>
                <w:sz w:val="20"/>
              </w:rPr>
            </w:pPr>
            <w:r>
              <w:rPr>
                <w:spacing w:val="5"/>
                <w:sz w:val="20"/>
              </w:rPr>
              <w:t>NP</w:t>
            </w:r>
          </w:p>
        </w:tc>
        <w:tc>
          <w:tcPr>
            <w:tcW w:w="2196" w:type="dxa"/>
            <w:vMerge w:val="restart"/>
          </w:tcPr>
          <w:p>
            <w:pPr>
              <w:pStyle w:val="TableParagraph"/>
              <w:spacing w:before="94"/>
              <w:ind w:left="111" w:right="62"/>
              <w:jc w:val="both"/>
              <w:rPr>
                <w:sz w:val="20"/>
              </w:rPr>
            </w:pPr>
            <w:r>
              <w:rPr>
                <w:sz w:val="20"/>
              </w:rPr>
              <w:t>In</w:t>
            </w:r>
            <w:r>
              <w:rPr>
                <w:spacing w:val="40"/>
                <w:sz w:val="20"/>
              </w:rPr>
              <w:t> </w:t>
            </w:r>
            <w:r>
              <w:rPr>
                <w:sz w:val="20"/>
              </w:rPr>
              <w:t>case</w:t>
            </w:r>
            <w:r>
              <w:rPr>
                <w:spacing w:val="40"/>
                <w:sz w:val="20"/>
              </w:rPr>
              <w:t> </w:t>
            </w:r>
            <w:r>
              <w:rPr>
                <w:sz w:val="20"/>
              </w:rPr>
              <w:t>of</w:t>
            </w:r>
            <w:r>
              <w:rPr>
                <w:spacing w:val="40"/>
                <w:sz w:val="20"/>
              </w:rPr>
              <w:t> </w:t>
            </w:r>
            <w:r>
              <w:rPr>
                <w:sz w:val="20"/>
              </w:rPr>
              <w:t>CBD,</w:t>
            </w:r>
            <w:r>
              <w:rPr>
                <w:spacing w:val="40"/>
                <w:sz w:val="20"/>
              </w:rPr>
              <w:t> </w:t>
            </w:r>
            <w:r>
              <w:rPr>
                <w:sz w:val="20"/>
              </w:rPr>
              <w:t>FSI will </w:t>
            </w:r>
            <w:r>
              <w:rPr>
                <w:sz w:val="20"/>
              </w:rPr>
              <w:t>be</w:t>
            </w:r>
            <w:r>
              <w:rPr>
                <w:spacing w:val="80"/>
                <w:sz w:val="20"/>
              </w:rPr>
              <w:t> </w:t>
            </w:r>
            <w:r>
              <w:rPr>
                <w:sz w:val="20"/>
              </w:rPr>
              <w:t>regulated as per Regulation No</w:t>
            </w:r>
            <w:r>
              <w:rPr>
                <w:spacing w:val="40"/>
                <w:sz w:val="20"/>
              </w:rPr>
              <w:t> </w:t>
            </w:r>
            <w:r>
              <w:rPr>
                <w:sz w:val="20"/>
              </w:rPr>
              <w:t>33(19) subject to compliance of condition</w:t>
            </w:r>
            <w:r>
              <w:rPr>
                <w:spacing w:val="42"/>
                <w:sz w:val="20"/>
              </w:rPr>
              <w:t> </w:t>
            </w:r>
            <w:r>
              <w:rPr>
                <w:sz w:val="20"/>
              </w:rPr>
              <w:t>1</w:t>
            </w:r>
            <w:r>
              <w:rPr>
                <w:spacing w:val="40"/>
                <w:sz w:val="20"/>
              </w:rPr>
              <w:t> </w:t>
            </w:r>
            <w:r>
              <w:rPr>
                <w:sz w:val="20"/>
              </w:rPr>
              <w:t>or</w:t>
            </w:r>
            <w:r>
              <w:rPr>
                <w:spacing w:val="42"/>
                <w:sz w:val="20"/>
              </w:rPr>
              <w:t> </w:t>
            </w:r>
            <w:r>
              <w:rPr>
                <w:sz w:val="20"/>
              </w:rPr>
              <w:t>2</w:t>
            </w:r>
            <w:r>
              <w:rPr>
                <w:spacing w:val="43"/>
                <w:sz w:val="20"/>
              </w:rPr>
              <w:t> </w:t>
            </w:r>
            <w:r>
              <w:rPr>
                <w:spacing w:val="-5"/>
                <w:sz w:val="20"/>
              </w:rPr>
              <w:t>or</w:t>
            </w:r>
          </w:p>
          <w:p>
            <w:pPr>
              <w:pStyle w:val="TableParagraph"/>
              <w:spacing w:before="1"/>
              <w:ind w:left="111"/>
              <w:rPr>
                <w:sz w:val="20"/>
              </w:rPr>
            </w:pPr>
            <w:r>
              <w:rPr>
                <w:spacing w:val="-10"/>
                <w:sz w:val="20"/>
              </w:rPr>
              <w:t>3</w:t>
            </w:r>
          </w:p>
        </w:tc>
      </w:tr>
      <w:tr>
        <w:trPr>
          <w:trHeight w:val="1836" w:hRule="atLeast"/>
        </w:trPr>
        <w:tc>
          <w:tcPr>
            <w:tcW w:w="1260" w:type="dxa"/>
          </w:tcPr>
          <w:p>
            <w:pPr>
              <w:pStyle w:val="TableParagraph"/>
              <w:spacing w:before="94"/>
              <w:ind w:right="449"/>
              <w:jc w:val="right"/>
              <w:rPr>
                <w:sz w:val="20"/>
              </w:rPr>
            </w:pPr>
            <w:r>
              <w:rPr>
                <w:spacing w:val="-10"/>
                <w:sz w:val="20"/>
              </w:rPr>
              <w:t>2</w:t>
            </w:r>
          </w:p>
        </w:tc>
        <w:tc>
          <w:tcPr>
            <w:tcW w:w="2856" w:type="dxa"/>
          </w:tcPr>
          <w:p>
            <w:pPr>
              <w:pStyle w:val="TableParagraph"/>
              <w:spacing w:before="94"/>
              <w:ind w:left="108" w:right="358"/>
              <w:jc w:val="both"/>
              <w:rPr>
                <w:sz w:val="20"/>
              </w:rPr>
            </w:pPr>
            <w:r>
              <w:rPr>
                <w:sz w:val="20"/>
              </w:rPr>
              <w:t>Customary home occupations including professional</w:t>
            </w:r>
            <w:r>
              <w:rPr>
                <w:spacing w:val="40"/>
                <w:sz w:val="20"/>
              </w:rPr>
              <w:t> </w:t>
            </w:r>
            <w:r>
              <w:rPr>
                <w:sz w:val="20"/>
              </w:rPr>
              <w:t>works</w:t>
            </w:r>
            <w:r>
              <w:rPr>
                <w:spacing w:val="40"/>
                <w:sz w:val="20"/>
              </w:rPr>
              <w:t> </w:t>
            </w:r>
            <w:r>
              <w:rPr>
                <w:sz w:val="20"/>
              </w:rPr>
              <w:t>from home in all such as detached, semi- detached and multi- family houses</w:t>
            </w:r>
          </w:p>
        </w:tc>
        <w:tc>
          <w:tcPr>
            <w:tcW w:w="1276" w:type="dxa"/>
          </w:tcPr>
          <w:p>
            <w:pPr>
              <w:pStyle w:val="TableParagraph"/>
              <w:spacing w:before="94"/>
              <w:ind w:left="197"/>
              <w:rPr>
                <w:sz w:val="20"/>
              </w:rPr>
            </w:pPr>
            <w:r>
              <w:rPr>
                <w:spacing w:val="-10"/>
                <w:sz w:val="20"/>
              </w:rPr>
              <w:t>P</w:t>
            </w:r>
          </w:p>
        </w:tc>
        <w:tc>
          <w:tcPr>
            <w:tcW w:w="1209" w:type="dxa"/>
          </w:tcPr>
          <w:p>
            <w:pPr>
              <w:pStyle w:val="TableParagraph"/>
              <w:spacing w:before="94"/>
              <w:ind w:left="109"/>
              <w:rPr>
                <w:sz w:val="20"/>
              </w:rPr>
            </w:pPr>
            <w:r>
              <w:rPr>
                <w:sz w:val="20"/>
              </w:rPr>
              <w:t>1</w:t>
            </w:r>
            <w:r>
              <w:rPr>
                <w:spacing w:val="47"/>
                <w:sz w:val="20"/>
              </w:rPr>
              <w:t> </w:t>
            </w:r>
            <w:r>
              <w:rPr>
                <w:sz w:val="20"/>
              </w:rPr>
              <w:t>or</w:t>
            </w:r>
            <w:r>
              <w:rPr>
                <w:spacing w:val="49"/>
                <w:sz w:val="20"/>
              </w:rPr>
              <w:t> </w:t>
            </w:r>
            <w:r>
              <w:rPr>
                <w:sz w:val="20"/>
              </w:rPr>
              <w:t>2</w:t>
            </w:r>
            <w:r>
              <w:rPr>
                <w:spacing w:val="48"/>
                <w:sz w:val="20"/>
              </w:rPr>
              <w:t> </w:t>
            </w:r>
            <w:r>
              <w:rPr>
                <w:spacing w:val="-5"/>
                <w:sz w:val="20"/>
              </w:rPr>
              <w:t>or</w:t>
            </w:r>
          </w:p>
          <w:p>
            <w:pPr>
              <w:pStyle w:val="TableParagraph"/>
              <w:spacing w:before="1"/>
              <w:ind w:left="109"/>
              <w:rPr>
                <w:sz w:val="20"/>
              </w:rPr>
            </w:pPr>
            <w:r>
              <w:rPr>
                <w:sz w:val="20"/>
              </w:rPr>
              <w:t>3</w:t>
            </w:r>
            <w:r>
              <w:rPr>
                <w:color w:val="000000"/>
                <w:sz w:val="20"/>
                <w:shd w:fill="FFCCFF" w:color="auto" w:val="clear"/>
              </w:rPr>
              <w:t>or</w:t>
            </w:r>
            <w:r>
              <w:rPr>
                <w:color w:val="000000"/>
                <w:spacing w:val="34"/>
                <w:sz w:val="20"/>
                <w:shd w:fill="FFCCFF" w:color="auto" w:val="clear"/>
              </w:rPr>
              <w:t> </w:t>
            </w:r>
            <w:r>
              <w:rPr>
                <w:color w:val="000000"/>
                <w:spacing w:val="-10"/>
                <w:sz w:val="20"/>
                <w:shd w:fill="FFCCFF" w:color="auto" w:val="clear"/>
              </w:rPr>
              <w:t>4</w:t>
            </w:r>
          </w:p>
        </w:tc>
        <w:tc>
          <w:tcPr>
            <w:tcW w:w="1199" w:type="dxa"/>
          </w:tcPr>
          <w:p>
            <w:pPr>
              <w:pStyle w:val="TableParagraph"/>
              <w:spacing w:before="94"/>
              <w:ind w:right="485"/>
              <w:jc w:val="right"/>
              <w:rPr>
                <w:sz w:val="20"/>
              </w:rPr>
            </w:pPr>
            <w:r>
              <w:rPr>
                <w:spacing w:val="5"/>
                <w:sz w:val="20"/>
              </w:rPr>
              <w:t>NP</w:t>
            </w:r>
          </w:p>
        </w:tc>
        <w:tc>
          <w:tcPr>
            <w:tcW w:w="2196" w:type="dxa"/>
            <w:vMerge/>
            <w:tcBorders>
              <w:top w:val="nil"/>
            </w:tcBorders>
          </w:tcPr>
          <w:p>
            <w:pPr>
              <w:rPr>
                <w:sz w:val="2"/>
                <w:szCs w:val="2"/>
              </w:rPr>
            </w:pPr>
          </w:p>
        </w:tc>
      </w:tr>
      <w:tr>
        <w:trPr>
          <w:trHeight w:val="1600" w:hRule="atLeast"/>
        </w:trPr>
        <w:tc>
          <w:tcPr>
            <w:tcW w:w="1260" w:type="dxa"/>
          </w:tcPr>
          <w:p>
            <w:pPr>
              <w:pStyle w:val="TableParagraph"/>
              <w:spacing w:before="94"/>
              <w:ind w:left="45"/>
              <w:jc w:val="center"/>
              <w:rPr>
                <w:sz w:val="20"/>
              </w:rPr>
            </w:pPr>
            <w:r>
              <w:rPr>
                <w:spacing w:val="-10"/>
                <w:sz w:val="20"/>
              </w:rPr>
              <w:t>3</w:t>
            </w:r>
          </w:p>
        </w:tc>
        <w:tc>
          <w:tcPr>
            <w:tcW w:w="2856" w:type="dxa"/>
          </w:tcPr>
          <w:p>
            <w:pPr>
              <w:pStyle w:val="TableParagraph"/>
              <w:tabs>
                <w:tab w:pos="2131" w:val="left" w:leader="none"/>
              </w:tabs>
              <w:spacing w:before="94"/>
              <w:ind w:left="108" w:right="270"/>
              <w:jc w:val="both"/>
              <w:rPr>
                <w:sz w:val="20"/>
              </w:rPr>
            </w:pPr>
            <w:r>
              <w:rPr>
                <w:spacing w:val="-2"/>
                <w:sz w:val="20"/>
              </w:rPr>
              <w:t>Residential</w:t>
            </w:r>
            <w:r>
              <w:rPr>
                <w:sz w:val="20"/>
              </w:rPr>
              <w:tab/>
            </w:r>
            <w:r>
              <w:rPr>
                <w:spacing w:val="-4"/>
                <w:sz w:val="20"/>
              </w:rPr>
              <w:t>care </w:t>
            </w:r>
            <w:r>
              <w:rPr>
                <w:sz w:val="20"/>
              </w:rPr>
              <w:t>activities</w:t>
            </w:r>
            <w:r>
              <w:rPr>
                <w:spacing w:val="80"/>
                <w:sz w:val="20"/>
              </w:rPr>
              <w:t> </w:t>
            </w:r>
            <w:r>
              <w:rPr>
                <w:sz w:val="20"/>
              </w:rPr>
              <w:t>for</w:t>
            </w:r>
            <w:r>
              <w:rPr>
                <w:spacing w:val="80"/>
                <w:sz w:val="20"/>
              </w:rPr>
              <w:t> </w:t>
            </w:r>
            <w:r>
              <w:rPr>
                <w:sz w:val="20"/>
              </w:rPr>
              <w:t>the</w:t>
            </w:r>
            <w:r>
              <w:rPr>
                <w:spacing w:val="80"/>
                <w:sz w:val="20"/>
              </w:rPr>
              <w:t> </w:t>
            </w:r>
            <w:r>
              <w:rPr>
                <w:sz w:val="20"/>
              </w:rPr>
              <w:t>elderly and disabled, orphanages, boarding </w:t>
            </w:r>
            <w:r>
              <w:rPr>
                <w:spacing w:val="9"/>
                <w:sz w:val="20"/>
              </w:rPr>
              <w:t>homes/institutions</w:t>
            </w:r>
            <w:r>
              <w:rPr>
                <w:spacing w:val="9"/>
                <w:sz w:val="20"/>
              </w:rPr>
              <w:t> </w:t>
            </w:r>
            <w:r>
              <w:rPr>
                <w:sz w:val="20"/>
              </w:rPr>
              <w:t>for children and women</w:t>
            </w:r>
          </w:p>
        </w:tc>
        <w:tc>
          <w:tcPr>
            <w:tcW w:w="1276" w:type="dxa"/>
          </w:tcPr>
          <w:p>
            <w:pPr>
              <w:pStyle w:val="TableParagraph"/>
              <w:spacing w:line="234" w:lineRule="exact" w:before="94"/>
              <w:ind w:left="108"/>
              <w:rPr>
                <w:sz w:val="20"/>
              </w:rPr>
            </w:pPr>
            <w:r>
              <w:rPr>
                <w:sz w:val="20"/>
              </w:rPr>
              <w:t>1or</w:t>
            </w:r>
            <w:r>
              <w:rPr>
                <w:spacing w:val="61"/>
                <w:sz w:val="20"/>
              </w:rPr>
              <w:t> </w:t>
            </w:r>
            <w:r>
              <w:rPr>
                <w:sz w:val="20"/>
              </w:rPr>
              <w:t>2</w:t>
            </w:r>
            <w:r>
              <w:rPr>
                <w:spacing w:val="59"/>
                <w:sz w:val="20"/>
              </w:rPr>
              <w:t> </w:t>
            </w:r>
            <w:r>
              <w:rPr>
                <w:sz w:val="20"/>
              </w:rPr>
              <w:t>or</w:t>
            </w:r>
            <w:r>
              <w:rPr>
                <w:spacing w:val="62"/>
                <w:sz w:val="20"/>
              </w:rPr>
              <w:t> </w:t>
            </w:r>
            <w:r>
              <w:rPr>
                <w:spacing w:val="-10"/>
                <w:sz w:val="20"/>
              </w:rPr>
              <w:t>3</w:t>
            </w:r>
          </w:p>
          <w:p>
            <w:pPr>
              <w:pStyle w:val="TableParagraph"/>
              <w:spacing w:line="234" w:lineRule="exact"/>
              <w:ind w:left="108"/>
              <w:rPr>
                <w:sz w:val="20"/>
              </w:rPr>
            </w:pPr>
            <w:r>
              <w:rPr>
                <w:sz w:val="20"/>
              </w:rPr>
              <w:t>or</w:t>
            </w:r>
            <w:r>
              <w:rPr>
                <w:spacing w:val="24"/>
                <w:sz w:val="20"/>
              </w:rPr>
              <w:t> </w:t>
            </w:r>
            <w:r>
              <w:rPr>
                <w:spacing w:val="-10"/>
                <w:sz w:val="20"/>
              </w:rPr>
              <w:t>4</w:t>
            </w:r>
          </w:p>
        </w:tc>
        <w:tc>
          <w:tcPr>
            <w:tcW w:w="1209" w:type="dxa"/>
          </w:tcPr>
          <w:p>
            <w:pPr>
              <w:pStyle w:val="TableParagraph"/>
              <w:spacing w:line="234" w:lineRule="exact" w:before="94"/>
              <w:ind w:left="109"/>
              <w:rPr>
                <w:sz w:val="20"/>
              </w:rPr>
            </w:pPr>
            <w:r>
              <w:rPr>
                <w:sz w:val="20"/>
              </w:rPr>
              <w:t>1</w:t>
            </w:r>
            <w:r>
              <w:rPr>
                <w:spacing w:val="13"/>
                <w:sz w:val="20"/>
              </w:rPr>
              <w:t> </w:t>
            </w:r>
            <w:r>
              <w:rPr>
                <w:sz w:val="20"/>
              </w:rPr>
              <w:t>or</w:t>
            </w:r>
            <w:r>
              <w:rPr>
                <w:spacing w:val="15"/>
                <w:sz w:val="20"/>
              </w:rPr>
              <w:t> </w:t>
            </w:r>
            <w:r>
              <w:rPr>
                <w:sz w:val="20"/>
              </w:rPr>
              <w:t>2</w:t>
            </w:r>
            <w:r>
              <w:rPr>
                <w:spacing w:val="11"/>
                <w:sz w:val="20"/>
              </w:rPr>
              <w:t> </w:t>
            </w:r>
            <w:r>
              <w:rPr>
                <w:sz w:val="20"/>
              </w:rPr>
              <w:t>or</w:t>
            </w:r>
            <w:r>
              <w:rPr>
                <w:spacing w:val="15"/>
                <w:sz w:val="20"/>
              </w:rPr>
              <w:t> </w:t>
            </w:r>
            <w:r>
              <w:rPr>
                <w:spacing w:val="-10"/>
                <w:sz w:val="20"/>
              </w:rPr>
              <w:t>3</w:t>
            </w:r>
          </w:p>
          <w:p>
            <w:pPr>
              <w:pStyle w:val="TableParagraph"/>
              <w:spacing w:line="234" w:lineRule="exact"/>
              <w:ind w:left="109"/>
              <w:rPr>
                <w:sz w:val="20"/>
              </w:rPr>
            </w:pPr>
            <w:r>
              <w:rPr>
                <w:sz w:val="20"/>
              </w:rPr>
              <w:t>or</w:t>
            </w:r>
            <w:r>
              <w:rPr>
                <w:spacing w:val="24"/>
                <w:sz w:val="20"/>
              </w:rPr>
              <w:t> </w:t>
            </w:r>
            <w:r>
              <w:rPr>
                <w:spacing w:val="-10"/>
                <w:sz w:val="20"/>
              </w:rPr>
              <w:t>4</w:t>
            </w:r>
          </w:p>
        </w:tc>
        <w:tc>
          <w:tcPr>
            <w:tcW w:w="1199" w:type="dxa"/>
          </w:tcPr>
          <w:p>
            <w:pPr>
              <w:pStyle w:val="TableParagraph"/>
              <w:spacing w:before="94"/>
              <w:ind w:left="110"/>
              <w:rPr>
                <w:sz w:val="20"/>
              </w:rPr>
            </w:pPr>
            <w:r>
              <w:rPr>
                <w:spacing w:val="5"/>
                <w:sz w:val="20"/>
              </w:rPr>
              <w:t>NP</w:t>
            </w:r>
          </w:p>
        </w:tc>
        <w:tc>
          <w:tcPr>
            <w:tcW w:w="2196" w:type="dxa"/>
            <w:vMerge/>
            <w:tcBorders>
              <w:top w:val="nil"/>
            </w:tcBorders>
          </w:tcPr>
          <w:p>
            <w:pPr>
              <w:rPr>
                <w:sz w:val="2"/>
                <w:szCs w:val="2"/>
              </w:rPr>
            </w:pPr>
          </w:p>
        </w:tc>
      </w:tr>
    </w:tbl>
    <w:p>
      <w:pPr>
        <w:spacing w:after="0"/>
        <w:rPr>
          <w:sz w:val="2"/>
          <w:szCs w:val="2"/>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1557" w:hRule="atLeast"/>
        </w:trPr>
        <w:tc>
          <w:tcPr>
            <w:tcW w:w="1260" w:type="dxa"/>
          </w:tcPr>
          <w:p>
            <w:pPr>
              <w:pStyle w:val="TableParagraph"/>
              <w:spacing w:before="94"/>
              <w:ind w:left="319" w:right="87"/>
              <w:jc w:val="center"/>
              <w:rPr>
                <w:sz w:val="20"/>
              </w:rPr>
            </w:pPr>
            <w:r>
              <w:rPr>
                <w:spacing w:val="-10"/>
                <w:sz w:val="20"/>
              </w:rPr>
              <w:t>4</w:t>
            </w:r>
          </w:p>
        </w:tc>
        <w:tc>
          <w:tcPr>
            <w:tcW w:w="2856" w:type="dxa"/>
          </w:tcPr>
          <w:p>
            <w:pPr>
              <w:pStyle w:val="TableParagraph"/>
              <w:spacing w:before="94"/>
              <w:ind w:left="108" w:right="855"/>
              <w:rPr>
                <w:sz w:val="20"/>
              </w:rPr>
            </w:pPr>
            <w:r>
              <w:rPr>
                <w:sz w:val="20"/>
              </w:rPr>
              <w:t>Short term </w:t>
            </w:r>
            <w:r>
              <w:rPr>
                <w:spacing w:val="-2"/>
                <w:sz w:val="20"/>
              </w:rPr>
              <w:t>accommodation</w:t>
            </w:r>
          </w:p>
          <w:p>
            <w:pPr>
              <w:pStyle w:val="TableParagraph"/>
              <w:spacing w:before="97"/>
              <w:ind w:left="108" w:right="855"/>
              <w:rPr>
                <w:sz w:val="20"/>
              </w:rPr>
            </w:pPr>
            <w:r>
              <w:rPr>
                <w:sz w:val="20"/>
              </w:rPr>
              <w:t>(i)</w:t>
            </w:r>
            <w:r>
              <w:rPr>
                <w:spacing w:val="80"/>
                <w:sz w:val="20"/>
              </w:rPr>
              <w:t> </w:t>
            </w:r>
            <w:r>
              <w:rPr>
                <w:sz w:val="20"/>
              </w:rPr>
              <w:t>4</w:t>
            </w:r>
            <w:r>
              <w:rPr>
                <w:spacing w:val="80"/>
                <w:sz w:val="20"/>
              </w:rPr>
              <w:t> </w:t>
            </w:r>
            <w:r>
              <w:rPr>
                <w:sz w:val="20"/>
              </w:rPr>
              <w:t>or</w:t>
            </w:r>
            <w:r>
              <w:rPr>
                <w:spacing w:val="80"/>
                <w:sz w:val="20"/>
              </w:rPr>
              <w:t> </w:t>
            </w:r>
            <w:r>
              <w:rPr>
                <w:sz w:val="20"/>
              </w:rPr>
              <w:t>5</w:t>
            </w:r>
            <w:r>
              <w:rPr>
                <w:spacing w:val="130"/>
                <w:sz w:val="20"/>
              </w:rPr>
              <w:t> </w:t>
            </w:r>
            <w:r>
              <w:rPr>
                <w:sz w:val="20"/>
              </w:rPr>
              <w:t>Sta</w:t>
            </w:r>
            <w:r>
              <w:rPr>
                <w:sz w:val="20"/>
              </w:rPr>
              <w:t>r</w:t>
            </w:r>
            <w:r>
              <w:rPr>
                <w:sz w:val="20"/>
              </w:rPr>
              <w:t> category hotels</w:t>
            </w:r>
          </w:p>
        </w:tc>
        <w:tc>
          <w:tcPr>
            <w:tcW w:w="1276" w:type="dxa"/>
          </w:tcPr>
          <w:p>
            <w:pPr>
              <w:pStyle w:val="TableParagraph"/>
              <w:rPr>
                <w:sz w:val="20"/>
              </w:rPr>
            </w:pPr>
          </w:p>
          <w:p>
            <w:pPr>
              <w:pStyle w:val="TableParagraph"/>
              <w:rPr>
                <w:sz w:val="20"/>
              </w:rPr>
            </w:pPr>
          </w:p>
          <w:p>
            <w:pPr>
              <w:pStyle w:val="TableParagraph"/>
              <w:spacing w:before="52"/>
              <w:rPr>
                <w:sz w:val="20"/>
              </w:rPr>
            </w:pPr>
          </w:p>
          <w:p>
            <w:pPr>
              <w:pStyle w:val="TableParagraph"/>
              <w:tabs>
                <w:tab w:pos="497" w:val="left" w:leader="none"/>
                <w:tab w:pos="971" w:val="left" w:leader="none"/>
              </w:tabs>
              <w:spacing w:line="234" w:lineRule="exact"/>
              <w:ind w:left="108"/>
              <w:rPr>
                <w:sz w:val="20"/>
              </w:rPr>
            </w:pPr>
            <w:r>
              <w:rPr>
                <w:spacing w:val="-10"/>
                <w:sz w:val="20"/>
              </w:rPr>
              <w:t>1</w:t>
            </w:r>
            <w:r>
              <w:rPr>
                <w:sz w:val="20"/>
              </w:rPr>
              <w:tab/>
            </w:r>
            <w:r>
              <w:rPr>
                <w:spacing w:val="-5"/>
                <w:sz w:val="20"/>
              </w:rPr>
              <w:t>or</w:t>
            </w:r>
            <w:r>
              <w:rPr>
                <w:sz w:val="20"/>
              </w:rPr>
              <w:tab/>
            </w:r>
            <w:r>
              <w:rPr>
                <w:spacing w:val="-5"/>
                <w:sz w:val="20"/>
              </w:rPr>
              <w:t>2</w:t>
            </w:r>
            <w:r>
              <w:rPr>
                <w:spacing w:val="-5"/>
                <w:sz w:val="20"/>
              </w:rPr>
              <w:t>&amp;</w:t>
            </w:r>
          </w:p>
          <w:p>
            <w:pPr>
              <w:pStyle w:val="TableParagraph"/>
              <w:spacing w:line="234" w:lineRule="exact"/>
              <w:ind w:left="108"/>
              <w:rPr>
                <w:sz w:val="20"/>
              </w:rPr>
            </w:pPr>
            <w:r>
              <w:rPr>
                <w:spacing w:val="-2"/>
                <w:sz w:val="20"/>
              </w:rPr>
              <w:t>11,16,21</w:t>
            </w:r>
          </w:p>
        </w:tc>
        <w:tc>
          <w:tcPr>
            <w:tcW w:w="1209" w:type="dxa"/>
          </w:tcPr>
          <w:p>
            <w:pPr>
              <w:pStyle w:val="TableParagraph"/>
              <w:rPr>
                <w:sz w:val="20"/>
              </w:rPr>
            </w:pPr>
          </w:p>
          <w:p>
            <w:pPr>
              <w:pStyle w:val="TableParagraph"/>
              <w:rPr>
                <w:sz w:val="20"/>
              </w:rPr>
            </w:pPr>
          </w:p>
          <w:p>
            <w:pPr>
              <w:pStyle w:val="TableParagraph"/>
              <w:spacing w:before="52"/>
              <w:rPr>
                <w:sz w:val="20"/>
              </w:rPr>
            </w:pPr>
          </w:p>
          <w:p>
            <w:pPr>
              <w:pStyle w:val="TableParagraph"/>
              <w:tabs>
                <w:tab w:pos="551" w:val="left" w:leader="none"/>
                <w:tab w:pos="1076" w:val="left" w:leader="none"/>
              </w:tabs>
              <w:ind w:left="109" w:right="-15"/>
              <w:rPr>
                <w:sz w:val="20"/>
              </w:rPr>
            </w:pPr>
            <w:r>
              <w:rPr>
                <w:spacing w:val="-10"/>
                <w:sz w:val="20"/>
              </w:rPr>
              <w:t>1</w:t>
            </w:r>
            <w:r>
              <w:rPr>
                <w:sz w:val="20"/>
              </w:rPr>
              <w:tab/>
            </w:r>
            <w:r>
              <w:rPr>
                <w:spacing w:val="-6"/>
                <w:sz w:val="20"/>
              </w:rPr>
              <w:t>or</w:t>
            </w:r>
            <w:r>
              <w:rPr>
                <w:sz w:val="20"/>
              </w:rPr>
              <w:tab/>
            </w:r>
            <w:r>
              <w:rPr>
                <w:spacing w:val="-10"/>
                <w:sz w:val="20"/>
              </w:rPr>
              <w:t>2 </w:t>
            </w:r>
            <w:r>
              <w:rPr>
                <w:spacing w:val="-2"/>
                <w:sz w:val="20"/>
              </w:rPr>
              <w:t>&amp;11,16,2</w:t>
            </w:r>
            <w:r>
              <w:rPr>
                <w:spacing w:val="40"/>
                <w:sz w:val="20"/>
              </w:rPr>
              <w:t> </w:t>
            </w:r>
            <w:r>
              <w:rPr>
                <w:spacing w:val="-6"/>
                <w:sz w:val="20"/>
              </w:rPr>
              <w:t>1,</w:t>
            </w:r>
          </w:p>
        </w:tc>
        <w:tc>
          <w:tcPr>
            <w:tcW w:w="1199" w:type="dxa"/>
          </w:tcPr>
          <w:p>
            <w:pPr>
              <w:pStyle w:val="TableParagraph"/>
              <w:rPr>
                <w:sz w:val="20"/>
              </w:rPr>
            </w:pPr>
          </w:p>
          <w:p>
            <w:pPr>
              <w:pStyle w:val="TableParagraph"/>
              <w:rPr>
                <w:sz w:val="20"/>
              </w:rPr>
            </w:pPr>
          </w:p>
          <w:p>
            <w:pPr>
              <w:pStyle w:val="TableParagraph"/>
              <w:spacing w:before="52"/>
              <w:rPr>
                <w:sz w:val="20"/>
              </w:rPr>
            </w:pPr>
          </w:p>
          <w:p>
            <w:pPr>
              <w:pStyle w:val="TableParagraph"/>
              <w:tabs>
                <w:tab w:pos="546" w:val="left" w:leader="none"/>
                <w:tab w:pos="1067" w:val="left" w:leader="none"/>
              </w:tabs>
              <w:ind w:left="110" w:right="-15"/>
              <w:rPr>
                <w:sz w:val="20"/>
              </w:rPr>
            </w:pPr>
            <w:r>
              <w:rPr>
                <w:spacing w:val="-10"/>
                <w:sz w:val="20"/>
              </w:rPr>
              <w:t>1</w:t>
            </w:r>
            <w:r>
              <w:rPr>
                <w:sz w:val="20"/>
              </w:rPr>
              <w:tab/>
            </w:r>
            <w:r>
              <w:rPr>
                <w:spacing w:val="-6"/>
                <w:sz w:val="20"/>
              </w:rPr>
              <w:t>or</w:t>
            </w:r>
            <w:r>
              <w:rPr>
                <w:sz w:val="20"/>
              </w:rPr>
              <w:tab/>
            </w:r>
            <w:r>
              <w:rPr>
                <w:spacing w:val="-12"/>
                <w:sz w:val="20"/>
              </w:rPr>
              <w:t>2 </w:t>
            </w:r>
            <w:r>
              <w:rPr>
                <w:color w:val="000000"/>
                <w:spacing w:val="-2"/>
                <w:sz w:val="20"/>
                <w:shd w:fill="FFCCFF" w:color="auto" w:val="clear"/>
              </w:rPr>
              <w:t>3</w:t>
            </w:r>
            <w:r>
              <w:rPr>
                <w:color w:val="000000"/>
                <w:spacing w:val="-2"/>
                <w:sz w:val="20"/>
              </w:rPr>
              <w:t>&amp;11,16,</w:t>
            </w:r>
          </w:p>
          <w:p>
            <w:pPr>
              <w:pStyle w:val="TableParagraph"/>
              <w:spacing w:line="233" w:lineRule="exact"/>
              <w:ind w:left="110"/>
              <w:rPr>
                <w:sz w:val="20"/>
              </w:rPr>
            </w:pPr>
            <w:r>
              <w:rPr>
                <w:spacing w:val="-2"/>
                <w:sz w:val="20"/>
              </w:rPr>
              <w:t>21,28</w:t>
            </w:r>
          </w:p>
        </w:tc>
        <w:tc>
          <w:tcPr>
            <w:tcW w:w="2196" w:type="dxa"/>
            <w:vMerge w:val="restart"/>
          </w:tcPr>
          <w:p>
            <w:pPr>
              <w:pStyle w:val="TableParagraph"/>
              <w:rPr>
                <w:rFonts w:ascii="Times New Roman"/>
                <w:sz w:val="18"/>
              </w:rPr>
            </w:pPr>
          </w:p>
        </w:tc>
      </w:tr>
      <w:tr>
        <w:trPr>
          <w:trHeight w:val="897" w:hRule="atLeast"/>
        </w:trPr>
        <w:tc>
          <w:tcPr>
            <w:tcW w:w="1260" w:type="dxa"/>
          </w:tcPr>
          <w:p>
            <w:pPr>
              <w:pStyle w:val="TableParagraph"/>
              <w:rPr>
                <w:rFonts w:ascii="Times New Roman"/>
                <w:sz w:val="18"/>
              </w:rPr>
            </w:pPr>
          </w:p>
        </w:tc>
        <w:tc>
          <w:tcPr>
            <w:tcW w:w="2856" w:type="dxa"/>
          </w:tcPr>
          <w:p>
            <w:pPr>
              <w:pStyle w:val="TableParagraph"/>
              <w:spacing w:before="95"/>
              <w:ind w:left="108" w:right="1102"/>
              <w:rPr>
                <w:sz w:val="20"/>
              </w:rPr>
            </w:pPr>
            <w:r>
              <w:rPr>
                <w:sz w:val="20"/>
              </w:rPr>
              <w:t>(ii)3 Star category </w:t>
            </w:r>
            <w:r>
              <w:rPr>
                <w:sz w:val="20"/>
              </w:rPr>
              <w:t>hotel</w:t>
            </w:r>
            <w:r>
              <w:rPr>
                <w:sz w:val="20"/>
              </w:rPr>
              <w:t>s</w:t>
            </w:r>
          </w:p>
        </w:tc>
        <w:tc>
          <w:tcPr>
            <w:tcW w:w="1276" w:type="dxa"/>
          </w:tcPr>
          <w:p>
            <w:pPr>
              <w:pStyle w:val="TableParagraph"/>
              <w:spacing w:before="95"/>
              <w:ind w:left="108"/>
              <w:rPr>
                <w:sz w:val="20"/>
              </w:rPr>
            </w:pPr>
            <w:r>
              <w:rPr>
                <w:sz w:val="20"/>
              </w:rPr>
              <w:t>1</w:t>
            </w:r>
            <w:r>
              <w:rPr>
                <w:spacing w:val="80"/>
                <w:sz w:val="20"/>
              </w:rPr>
              <w:t> </w:t>
            </w:r>
            <w:r>
              <w:rPr>
                <w:sz w:val="20"/>
              </w:rPr>
              <w:t>or</w:t>
            </w:r>
            <w:r>
              <w:rPr>
                <w:spacing w:val="80"/>
                <w:sz w:val="20"/>
              </w:rPr>
              <w:t> </w:t>
            </w:r>
            <w:r>
              <w:rPr>
                <w:sz w:val="20"/>
              </w:rPr>
              <w:t>2</w:t>
            </w:r>
            <w:r>
              <w:rPr>
                <w:spacing w:val="92"/>
                <w:sz w:val="20"/>
              </w:rPr>
              <w:t> </w:t>
            </w:r>
            <w:r>
              <w:rPr>
                <w:color w:val="000000"/>
                <w:sz w:val="20"/>
                <w:shd w:fill="FFCCFF" w:color="auto" w:val="clear"/>
              </w:rPr>
              <w:t>o</w:t>
            </w:r>
            <w:r>
              <w:rPr>
                <w:color w:val="000000"/>
                <w:sz w:val="20"/>
                <w:shd w:fill="FFCCFF" w:color="auto" w:val="clear"/>
              </w:rPr>
              <w:t>r</w:t>
            </w:r>
            <w:r>
              <w:rPr>
                <w:color w:val="000000"/>
                <w:sz w:val="20"/>
              </w:rPr>
              <w:t> </w:t>
            </w:r>
            <w:r>
              <w:rPr>
                <w:color w:val="000000"/>
                <w:spacing w:val="-2"/>
                <w:sz w:val="20"/>
                <w:shd w:fill="FFCCFF" w:color="auto" w:val="clear"/>
              </w:rPr>
              <w:t>3</w:t>
            </w:r>
            <w:r>
              <w:rPr>
                <w:color w:val="000000"/>
                <w:spacing w:val="-2"/>
                <w:sz w:val="20"/>
              </w:rPr>
              <w:t>&amp;15,21</w:t>
            </w:r>
          </w:p>
        </w:tc>
        <w:tc>
          <w:tcPr>
            <w:tcW w:w="1209" w:type="dxa"/>
          </w:tcPr>
          <w:p>
            <w:pPr>
              <w:pStyle w:val="TableParagraph"/>
              <w:spacing w:before="95"/>
              <w:ind w:left="109"/>
              <w:rPr>
                <w:sz w:val="20"/>
              </w:rPr>
            </w:pPr>
            <w:r>
              <w:rPr>
                <w:sz w:val="20"/>
              </w:rPr>
              <w:t>1 or2 </w:t>
            </w:r>
            <w:r>
              <w:rPr>
                <w:color w:val="000000"/>
                <w:sz w:val="20"/>
                <w:shd w:fill="FFCCFF" w:color="auto" w:val="clear"/>
              </w:rPr>
              <w:t>or </w:t>
            </w:r>
            <w:r>
              <w:rPr>
                <w:color w:val="000000"/>
                <w:sz w:val="20"/>
              </w:rPr>
              <w:t>3 </w:t>
            </w:r>
            <w:r>
              <w:rPr>
                <w:color w:val="000000"/>
                <w:spacing w:val="-2"/>
                <w:sz w:val="20"/>
              </w:rPr>
              <w:t>&amp;15,21</w:t>
            </w:r>
          </w:p>
        </w:tc>
        <w:tc>
          <w:tcPr>
            <w:tcW w:w="1199" w:type="dxa"/>
          </w:tcPr>
          <w:p>
            <w:pPr>
              <w:pStyle w:val="TableParagraph"/>
              <w:spacing w:before="95"/>
              <w:ind w:left="110"/>
              <w:rPr>
                <w:sz w:val="20"/>
              </w:rPr>
            </w:pPr>
            <w:r>
              <w:rPr>
                <w:sz w:val="20"/>
              </w:rPr>
              <w:t>1</w:t>
            </w:r>
            <w:r>
              <w:rPr>
                <w:spacing w:val="40"/>
                <w:sz w:val="20"/>
              </w:rPr>
              <w:t> </w:t>
            </w:r>
            <w:r>
              <w:rPr>
                <w:sz w:val="20"/>
              </w:rPr>
              <w:t>or</w:t>
            </w:r>
            <w:r>
              <w:rPr>
                <w:spacing w:val="40"/>
                <w:sz w:val="20"/>
              </w:rPr>
              <w:t> </w:t>
            </w:r>
            <w:r>
              <w:rPr>
                <w:sz w:val="20"/>
              </w:rPr>
              <w:t>2</w:t>
            </w:r>
            <w:r>
              <w:rPr>
                <w:spacing w:val="40"/>
                <w:sz w:val="20"/>
              </w:rPr>
              <w:t> </w:t>
            </w:r>
            <w:r>
              <w:rPr>
                <w:color w:val="000000"/>
                <w:sz w:val="20"/>
                <w:shd w:fill="FFCCFF" w:color="auto" w:val="clear"/>
              </w:rPr>
              <w:t>or</w:t>
            </w:r>
            <w:r>
              <w:rPr>
                <w:color w:val="000000"/>
                <w:sz w:val="20"/>
              </w:rPr>
              <w:t> </w:t>
            </w:r>
            <w:r>
              <w:rPr>
                <w:color w:val="000000"/>
                <w:spacing w:val="-2"/>
                <w:sz w:val="20"/>
                <w:shd w:fill="FFCCFF" w:color="auto" w:val="clear"/>
              </w:rPr>
              <w:t>3</w:t>
            </w:r>
            <w:r>
              <w:rPr>
                <w:color w:val="000000"/>
                <w:spacing w:val="-2"/>
                <w:sz w:val="20"/>
              </w:rPr>
              <w:t>&amp;15,21,</w:t>
            </w:r>
          </w:p>
          <w:p>
            <w:pPr>
              <w:pStyle w:val="TableParagraph"/>
              <w:spacing w:before="1"/>
              <w:ind w:left="110"/>
              <w:rPr>
                <w:sz w:val="20"/>
              </w:rPr>
            </w:pPr>
            <w:r>
              <w:rPr>
                <w:spacing w:val="5"/>
                <w:sz w:val="20"/>
              </w:rPr>
              <w:t>28</w:t>
            </w:r>
          </w:p>
        </w:tc>
        <w:tc>
          <w:tcPr>
            <w:tcW w:w="2196" w:type="dxa"/>
            <w:vMerge/>
            <w:tcBorders>
              <w:top w:val="nil"/>
            </w:tcBorders>
          </w:tcPr>
          <w:p>
            <w:pPr>
              <w:rPr>
                <w:sz w:val="2"/>
                <w:szCs w:val="2"/>
              </w:rPr>
            </w:pPr>
          </w:p>
        </w:tc>
      </w:tr>
      <w:tr>
        <w:trPr>
          <w:trHeight w:val="894" w:hRule="atLeast"/>
        </w:trPr>
        <w:tc>
          <w:tcPr>
            <w:tcW w:w="1260" w:type="dxa"/>
          </w:tcPr>
          <w:p>
            <w:pPr>
              <w:pStyle w:val="TableParagraph"/>
              <w:rPr>
                <w:rFonts w:ascii="Times New Roman"/>
                <w:sz w:val="18"/>
              </w:rPr>
            </w:pPr>
          </w:p>
        </w:tc>
        <w:tc>
          <w:tcPr>
            <w:tcW w:w="2856" w:type="dxa"/>
          </w:tcPr>
          <w:p>
            <w:pPr>
              <w:pStyle w:val="TableParagraph"/>
              <w:tabs>
                <w:tab w:pos="1804" w:val="left" w:leader="none"/>
              </w:tabs>
              <w:spacing w:before="94"/>
              <w:ind w:left="108" w:right="855"/>
              <w:rPr>
                <w:sz w:val="20"/>
              </w:rPr>
            </w:pPr>
            <w:r>
              <w:rPr>
                <w:spacing w:val="-2"/>
                <w:sz w:val="20"/>
              </w:rPr>
              <w:t>(iii)Other</w:t>
            </w:r>
            <w:r>
              <w:rPr>
                <w:spacing w:val="80"/>
                <w:sz w:val="20"/>
              </w:rPr>
              <w:t> </w:t>
            </w:r>
            <w:r>
              <w:rPr>
                <w:spacing w:val="-2"/>
                <w:sz w:val="20"/>
              </w:rPr>
              <w:t>categories</w:t>
            </w:r>
            <w:r>
              <w:rPr>
                <w:sz w:val="20"/>
              </w:rPr>
              <w:tab/>
            </w:r>
            <w:r>
              <w:rPr>
                <w:spacing w:val="-6"/>
                <w:sz w:val="20"/>
              </w:rPr>
              <w:t>o</w:t>
            </w:r>
            <w:r>
              <w:rPr>
                <w:spacing w:val="-6"/>
                <w:sz w:val="20"/>
              </w:rPr>
              <w:t>f</w:t>
            </w:r>
            <w:r>
              <w:rPr>
                <w:spacing w:val="-6"/>
                <w:sz w:val="20"/>
              </w:rPr>
              <w:t> </w:t>
            </w:r>
            <w:r>
              <w:rPr>
                <w:spacing w:val="-2"/>
                <w:sz w:val="20"/>
              </w:rPr>
              <w:t>Hotels</w:t>
            </w:r>
          </w:p>
        </w:tc>
        <w:tc>
          <w:tcPr>
            <w:tcW w:w="1276" w:type="dxa"/>
          </w:tcPr>
          <w:p>
            <w:pPr>
              <w:pStyle w:val="TableParagraph"/>
              <w:spacing w:before="94"/>
              <w:ind w:left="108"/>
              <w:rPr>
                <w:sz w:val="20"/>
              </w:rPr>
            </w:pPr>
            <w:r>
              <w:rPr>
                <w:sz w:val="20"/>
              </w:rPr>
              <w:t>1</w:t>
            </w:r>
            <w:r>
              <w:rPr>
                <w:spacing w:val="80"/>
                <w:sz w:val="20"/>
              </w:rPr>
              <w:t> </w:t>
            </w:r>
            <w:r>
              <w:rPr>
                <w:sz w:val="20"/>
              </w:rPr>
              <w:t>or</w:t>
            </w:r>
            <w:r>
              <w:rPr>
                <w:spacing w:val="80"/>
                <w:sz w:val="20"/>
              </w:rPr>
              <w:t> </w:t>
            </w:r>
            <w:r>
              <w:rPr>
                <w:sz w:val="20"/>
              </w:rPr>
              <w:t>2</w:t>
            </w:r>
            <w:r>
              <w:rPr>
                <w:spacing w:val="92"/>
                <w:sz w:val="20"/>
              </w:rPr>
              <w:t> </w:t>
            </w:r>
            <w:r>
              <w:rPr>
                <w:sz w:val="20"/>
              </w:rPr>
              <w:t>o</w:t>
            </w:r>
            <w:r>
              <w:rPr>
                <w:sz w:val="20"/>
              </w:rPr>
              <w:t>r</w:t>
            </w:r>
            <w:r>
              <w:rPr>
                <w:sz w:val="20"/>
              </w:rPr>
              <w:t> </w:t>
            </w:r>
            <w:r>
              <w:rPr>
                <w:spacing w:val="-2"/>
                <w:sz w:val="20"/>
              </w:rPr>
              <w:t>3,&amp;14,21</w:t>
            </w:r>
          </w:p>
        </w:tc>
        <w:tc>
          <w:tcPr>
            <w:tcW w:w="1209" w:type="dxa"/>
          </w:tcPr>
          <w:p>
            <w:pPr>
              <w:pStyle w:val="TableParagraph"/>
              <w:spacing w:before="94"/>
              <w:ind w:left="109"/>
              <w:rPr>
                <w:sz w:val="20"/>
              </w:rPr>
            </w:pPr>
            <w:r>
              <w:rPr>
                <w:sz w:val="20"/>
              </w:rPr>
              <w:t>1</w:t>
            </w:r>
            <w:r>
              <w:rPr>
                <w:spacing w:val="40"/>
                <w:sz w:val="20"/>
              </w:rPr>
              <w:t> </w:t>
            </w:r>
            <w:r>
              <w:rPr>
                <w:sz w:val="20"/>
              </w:rPr>
              <w:t>or</w:t>
            </w:r>
            <w:r>
              <w:rPr>
                <w:spacing w:val="40"/>
                <w:sz w:val="20"/>
              </w:rPr>
              <w:t> </w:t>
            </w:r>
            <w:r>
              <w:rPr>
                <w:sz w:val="20"/>
              </w:rPr>
              <w:t>2</w:t>
            </w:r>
            <w:r>
              <w:rPr>
                <w:spacing w:val="68"/>
                <w:sz w:val="20"/>
              </w:rPr>
              <w:t> </w:t>
            </w:r>
            <w:r>
              <w:rPr>
                <w:sz w:val="20"/>
              </w:rPr>
              <w:t>o</w:t>
            </w:r>
            <w:r>
              <w:rPr>
                <w:sz w:val="20"/>
              </w:rPr>
              <w:t>r</w:t>
            </w:r>
            <w:r>
              <w:rPr>
                <w:sz w:val="20"/>
              </w:rPr>
              <w:t> </w:t>
            </w:r>
            <w:r>
              <w:rPr>
                <w:spacing w:val="-2"/>
                <w:sz w:val="20"/>
              </w:rPr>
              <w:t>3&amp;14,21</w:t>
            </w:r>
          </w:p>
        </w:tc>
        <w:tc>
          <w:tcPr>
            <w:tcW w:w="1199" w:type="dxa"/>
          </w:tcPr>
          <w:p>
            <w:pPr>
              <w:pStyle w:val="TableParagraph"/>
              <w:spacing w:before="94"/>
              <w:ind w:left="110" w:right="-15"/>
              <w:rPr>
                <w:sz w:val="20"/>
              </w:rPr>
            </w:pPr>
            <w:r>
              <w:rPr>
                <w:sz w:val="20"/>
              </w:rPr>
              <w:t>1</w:t>
            </w:r>
            <w:r>
              <w:rPr>
                <w:spacing w:val="73"/>
                <w:sz w:val="20"/>
              </w:rPr>
              <w:t> </w:t>
            </w:r>
            <w:r>
              <w:rPr>
                <w:sz w:val="20"/>
              </w:rPr>
              <w:t>or</w:t>
            </w:r>
            <w:r>
              <w:rPr>
                <w:spacing w:val="76"/>
                <w:sz w:val="20"/>
              </w:rPr>
              <w:t> </w:t>
            </w:r>
            <w:r>
              <w:rPr>
                <w:sz w:val="20"/>
              </w:rPr>
              <w:t>2</w:t>
            </w:r>
            <w:r>
              <w:rPr>
                <w:spacing w:val="74"/>
                <w:sz w:val="20"/>
              </w:rPr>
              <w:t> </w:t>
            </w:r>
            <w:r>
              <w:rPr>
                <w:color w:val="000000"/>
                <w:spacing w:val="-5"/>
                <w:sz w:val="20"/>
                <w:shd w:fill="FFCCFF" w:color="auto" w:val="clear"/>
              </w:rPr>
              <w:t>or</w:t>
            </w:r>
          </w:p>
          <w:p>
            <w:pPr>
              <w:pStyle w:val="TableParagraph"/>
              <w:spacing w:before="1"/>
              <w:ind w:left="110"/>
              <w:rPr>
                <w:sz w:val="20"/>
              </w:rPr>
            </w:pPr>
            <w:r>
              <w:rPr>
                <w:color w:val="000000"/>
                <w:sz w:val="20"/>
                <w:shd w:fill="FFCCFF" w:color="auto" w:val="clear"/>
              </w:rPr>
              <w:t>3</w:t>
            </w:r>
            <w:r>
              <w:rPr>
                <w:color w:val="000000"/>
                <w:sz w:val="20"/>
              </w:rPr>
              <w:t>&amp;</w:t>
            </w:r>
            <w:r>
              <w:rPr>
                <w:color w:val="000000"/>
                <w:spacing w:val="25"/>
                <w:sz w:val="20"/>
              </w:rPr>
              <w:t> </w:t>
            </w:r>
            <w:r>
              <w:rPr>
                <w:color w:val="000000"/>
                <w:spacing w:val="-2"/>
                <w:sz w:val="20"/>
              </w:rPr>
              <w:t>21,28</w:t>
            </w:r>
          </w:p>
        </w:tc>
        <w:tc>
          <w:tcPr>
            <w:tcW w:w="2196" w:type="dxa"/>
          </w:tcPr>
          <w:p>
            <w:pPr>
              <w:pStyle w:val="TableParagraph"/>
              <w:rPr>
                <w:rFonts w:ascii="Times New Roman"/>
                <w:sz w:val="18"/>
              </w:rPr>
            </w:pPr>
          </w:p>
        </w:tc>
      </w:tr>
      <w:tr>
        <w:trPr>
          <w:trHeight w:val="1367" w:hRule="atLeast"/>
        </w:trPr>
        <w:tc>
          <w:tcPr>
            <w:tcW w:w="1260" w:type="dxa"/>
          </w:tcPr>
          <w:p>
            <w:pPr>
              <w:pStyle w:val="TableParagraph"/>
              <w:rPr>
                <w:rFonts w:ascii="Times New Roman"/>
                <w:sz w:val="18"/>
              </w:rPr>
            </w:pPr>
          </w:p>
        </w:tc>
        <w:tc>
          <w:tcPr>
            <w:tcW w:w="2856" w:type="dxa"/>
          </w:tcPr>
          <w:p>
            <w:pPr>
              <w:pStyle w:val="TableParagraph"/>
              <w:spacing w:before="94"/>
              <w:ind w:left="108"/>
              <w:rPr>
                <w:sz w:val="20"/>
              </w:rPr>
            </w:pPr>
            <w:r>
              <w:rPr>
                <w:sz w:val="20"/>
              </w:rPr>
              <w:t>iv)Motels,</w:t>
            </w:r>
            <w:r>
              <w:rPr>
                <w:spacing w:val="60"/>
                <w:w w:val="150"/>
                <w:sz w:val="20"/>
              </w:rPr>
              <w:t> </w:t>
            </w:r>
            <w:r>
              <w:rPr>
                <w:spacing w:val="-2"/>
                <w:sz w:val="20"/>
              </w:rPr>
              <w:t>resorts,</w:t>
            </w:r>
          </w:p>
        </w:tc>
        <w:tc>
          <w:tcPr>
            <w:tcW w:w="1276" w:type="dxa"/>
          </w:tcPr>
          <w:p>
            <w:pPr>
              <w:pStyle w:val="TableParagraph"/>
              <w:tabs>
                <w:tab w:pos="1105" w:val="left" w:leader="none"/>
              </w:tabs>
              <w:spacing w:before="94"/>
              <w:ind w:left="108"/>
              <w:rPr>
                <w:sz w:val="20"/>
              </w:rPr>
            </w:pPr>
            <w:r>
              <w:rPr>
                <w:sz w:val="20"/>
              </w:rPr>
              <w:t>1</w:t>
            </w:r>
            <w:r>
              <w:rPr>
                <w:spacing w:val="74"/>
                <w:sz w:val="20"/>
              </w:rPr>
              <w:t> </w:t>
            </w:r>
            <w:r>
              <w:rPr>
                <w:sz w:val="20"/>
              </w:rPr>
              <w:t>or</w:t>
            </w:r>
            <w:r>
              <w:rPr>
                <w:spacing w:val="77"/>
                <w:sz w:val="20"/>
              </w:rPr>
              <w:t> </w:t>
            </w:r>
            <w:r>
              <w:rPr>
                <w:spacing w:val="-10"/>
                <w:sz w:val="20"/>
              </w:rPr>
              <w:t>2</w:t>
            </w:r>
            <w:r>
              <w:rPr>
                <w:sz w:val="20"/>
              </w:rPr>
              <w:tab/>
            </w:r>
            <w:r>
              <w:rPr>
                <w:spacing w:val="-10"/>
                <w:sz w:val="20"/>
              </w:rPr>
              <w:t>&amp;</w:t>
            </w:r>
          </w:p>
          <w:p>
            <w:pPr>
              <w:pStyle w:val="TableParagraph"/>
              <w:spacing w:before="1"/>
              <w:ind w:left="108"/>
              <w:rPr>
                <w:sz w:val="20"/>
              </w:rPr>
            </w:pPr>
            <w:r>
              <w:rPr>
                <w:spacing w:val="-2"/>
                <w:sz w:val="20"/>
              </w:rPr>
              <w:t>14,21</w:t>
            </w:r>
          </w:p>
        </w:tc>
        <w:tc>
          <w:tcPr>
            <w:tcW w:w="1209" w:type="dxa"/>
          </w:tcPr>
          <w:p>
            <w:pPr>
              <w:pStyle w:val="TableParagraph"/>
              <w:spacing w:before="94"/>
              <w:ind w:left="109"/>
              <w:rPr>
                <w:sz w:val="20"/>
              </w:rPr>
            </w:pPr>
            <w:r>
              <w:rPr>
                <w:sz w:val="20"/>
              </w:rPr>
              <w:t>1 or 2 or </w:t>
            </w:r>
            <w:r>
              <w:rPr>
                <w:sz w:val="20"/>
              </w:rPr>
              <w:t>3</w:t>
            </w:r>
            <w:r>
              <w:rPr>
                <w:sz w:val="20"/>
              </w:rPr>
              <w:t> </w:t>
            </w:r>
            <w:r>
              <w:rPr>
                <w:spacing w:val="-4"/>
                <w:sz w:val="20"/>
              </w:rPr>
              <w:t>&amp;,21</w:t>
            </w:r>
          </w:p>
        </w:tc>
        <w:tc>
          <w:tcPr>
            <w:tcW w:w="1199" w:type="dxa"/>
          </w:tcPr>
          <w:p>
            <w:pPr>
              <w:pStyle w:val="TableParagraph"/>
              <w:spacing w:before="94"/>
              <w:ind w:left="110"/>
              <w:rPr>
                <w:sz w:val="20"/>
              </w:rPr>
            </w:pPr>
            <w:r>
              <w:rPr>
                <w:sz w:val="20"/>
              </w:rPr>
              <w:t>1</w:t>
            </w:r>
            <w:r>
              <w:rPr>
                <w:spacing w:val="-4"/>
                <w:sz w:val="20"/>
              </w:rPr>
              <w:t> </w:t>
            </w:r>
            <w:r>
              <w:rPr>
                <w:sz w:val="20"/>
              </w:rPr>
              <w:t>or </w:t>
            </w:r>
            <w:r>
              <w:rPr>
                <w:sz w:val="20"/>
              </w:rPr>
              <w:t>2</w:t>
            </w:r>
            <w:r>
              <w:rPr>
                <w:color w:val="000000"/>
                <w:sz w:val="20"/>
                <w:shd w:fill="FFCCFF" w:color="auto" w:val="clear"/>
              </w:rPr>
              <w:t>o</w:t>
            </w:r>
            <w:r>
              <w:rPr>
                <w:color w:val="000000"/>
                <w:sz w:val="20"/>
                <w:shd w:fill="FFCCFF" w:color="auto" w:val="clear"/>
              </w:rPr>
              <w:t>r</w:t>
            </w:r>
            <w:r>
              <w:rPr>
                <w:color w:val="000000"/>
                <w:sz w:val="20"/>
              </w:rPr>
              <w:t> </w:t>
            </w:r>
            <w:r>
              <w:rPr>
                <w:color w:val="000000"/>
                <w:spacing w:val="-2"/>
                <w:sz w:val="20"/>
                <w:shd w:fill="FFCCFF" w:color="auto" w:val="clear"/>
              </w:rPr>
              <w:t>3</w:t>
            </w:r>
            <w:r>
              <w:rPr>
                <w:color w:val="000000"/>
                <w:spacing w:val="-2"/>
                <w:sz w:val="20"/>
              </w:rPr>
              <w:t>&amp;21,2</w:t>
            </w:r>
          </w:p>
          <w:p>
            <w:pPr>
              <w:pStyle w:val="TableParagraph"/>
              <w:spacing w:before="1"/>
              <w:ind w:left="110"/>
              <w:rPr>
                <w:sz w:val="20"/>
              </w:rPr>
            </w:pPr>
            <w:r>
              <w:rPr>
                <w:spacing w:val="-10"/>
                <w:sz w:val="20"/>
              </w:rPr>
              <w:t>8</w:t>
            </w:r>
          </w:p>
        </w:tc>
        <w:tc>
          <w:tcPr>
            <w:tcW w:w="2196" w:type="dxa"/>
          </w:tcPr>
          <w:p>
            <w:pPr>
              <w:pStyle w:val="TableParagraph"/>
              <w:tabs>
                <w:tab w:pos="744" w:val="left" w:leader="none"/>
                <w:tab w:pos="1616" w:val="left" w:leader="none"/>
                <w:tab w:pos="1909" w:val="left" w:leader="none"/>
              </w:tabs>
              <w:spacing w:before="94"/>
              <w:ind w:left="111" w:right="76"/>
              <w:rPr>
                <w:sz w:val="20"/>
              </w:rPr>
            </w:pPr>
            <w:r>
              <w:rPr>
                <w:sz w:val="20"/>
              </w:rPr>
              <w:t>In</w:t>
            </w:r>
            <w:r>
              <w:rPr>
                <w:spacing w:val="80"/>
                <w:sz w:val="20"/>
              </w:rPr>
              <w:t> </w:t>
            </w:r>
            <w:r>
              <w:rPr>
                <w:sz w:val="20"/>
              </w:rPr>
              <w:t>case</w:t>
            </w:r>
            <w:r>
              <w:rPr>
                <w:spacing w:val="80"/>
                <w:sz w:val="20"/>
              </w:rPr>
              <w:t> </w:t>
            </w:r>
            <w:r>
              <w:rPr>
                <w:sz w:val="20"/>
              </w:rPr>
              <w:t>of</w:t>
              <w:tab/>
              <w:t>3</w:t>
            </w:r>
            <w:r>
              <w:rPr>
                <w:spacing w:val="73"/>
                <w:sz w:val="20"/>
              </w:rPr>
              <w:t> </w:t>
            </w:r>
            <w:r>
              <w:rPr>
                <w:sz w:val="20"/>
              </w:rPr>
              <w:t>in </w:t>
            </w:r>
            <w:r>
              <w:rPr>
                <w:spacing w:val="-2"/>
                <w:sz w:val="20"/>
              </w:rPr>
              <w:t>residential</w:t>
            </w:r>
            <w:r>
              <w:rPr>
                <w:spacing w:val="4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r>
            <w:r>
              <w:rPr>
                <w:spacing w:val="-2"/>
                <w:sz w:val="20"/>
              </w:rPr>
              <w:t>subject</w:t>
            </w:r>
            <w:r>
              <w:rPr>
                <w:sz w:val="20"/>
              </w:rPr>
              <w:tab/>
              <w:tab/>
            </w:r>
            <w:r>
              <w:rPr>
                <w:spacing w:val="-6"/>
                <w:sz w:val="20"/>
              </w:rPr>
              <w:t>to </w:t>
            </w:r>
            <w:r>
              <w:rPr>
                <w:sz w:val="20"/>
              </w:rPr>
              <w:t>condition no 18</w:t>
            </w:r>
          </w:p>
        </w:tc>
      </w:tr>
      <w:tr>
        <w:trPr>
          <w:trHeight w:val="1365" w:hRule="atLeast"/>
        </w:trPr>
        <w:tc>
          <w:tcPr>
            <w:tcW w:w="1260" w:type="dxa"/>
          </w:tcPr>
          <w:p>
            <w:pPr>
              <w:pStyle w:val="TableParagraph"/>
              <w:rPr>
                <w:rFonts w:ascii="Times New Roman"/>
                <w:sz w:val="18"/>
              </w:rPr>
            </w:pPr>
          </w:p>
        </w:tc>
        <w:tc>
          <w:tcPr>
            <w:tcW w:w="2856" w:type="dxa"/>
          </w:tcPr>
          <w:p>
            <w:pPr>
              <w:pStyle w:val="TableParagraph"/>
              <w:spacing w:before="94"/>
              <w:ind w:left="108" w:right="126"/>
              <w:jc w:val="both"/>
              <w:rPr>
                <w:sz w:val="20"/>
              </w:rPr>
            </w:pPr>
            <w:r>
              <w:rPr>
                <w:sz w:val="20"/>
              </w:rPr>
              <w:t>v)Guest houses, circuit houses, hostels and boarding / lodging</w:t>
            </w:r>
            <w:r>
              <w:rPr>
                <w:spacing w:val="40"/>
                <w:sz w:val="20"/>
              </w:rPr>
              <w:t> </w:t>
            </w:r>
            <w:r>
              <w:rPr>
                <w:sz w:val="20"/>
              </w:rPr>
              <w:t>houses, Dharmashala</w:t>
            </w:r>
          </w:p>
        </w:tc>
        <w:tc>
          <w:tcPr>
            <w:tcW w:w="1276" w:type="dxa"/>
          </w:tcPr>
          <w:p>
            <w:pPr>
              <w:pStyle w:val="TableParagraph"/>
              <w:spacing w:before="94"/>
              <w:ind w:left="108"/>
              <w:rPr>
                <w:sz w:val="20"/>
              </w:rPr>
            </w:pPr>
            <w:r>
              <w:rPr>
                <w:sz w:val="20"/>
              </w:rPr>
              <w:t>1</w:t>
            </w:r>
            <w:r>
              <w:rPr>
                <w:spacing w:val="30"/>
                <w:sz w:val="20"/>
              </w:rPr>
              <w:t> </w:t>
            </w:r>
            <w:r>
              <w:rPr>
                <w:sz w:val="20"/>
              </w:rPr>
              <w:t>or</w:t>
            </w:r>
            <w:r>
              <w:rPr>
                <w:spacing w:val="30"/>
                <w:sz w:val="20"/>
              </w:rPr>
              <w:t> </w:t>
            </w:r>
            <w:r>
              <w:rPr>
                <w:sz w:val="20"/>
              </w:rPr>
              <w:t>2</w:t>
            </w:r>
            <w:r>
              <w:rPr>
                <w:spacing w:val="31"/>
                <w:sz w:val="20"/>
              </w:rPr>
              <w:t> </w:t>
            </w:r>
            <w:r>
              <w:rPr>
                <w:sz w:val="20"/>
              </w:rPr>
              <w:t>or</w:t>
            </w:r>
            <w:r>
              <w:rPr>
                <w:spacing w:val="32"/>
                <w:sz w:val="20"/>
              </w:rPr>
              <w:t> </w:t>
            </w:r>
            <w:r>
              <w:rPr>
                <w:spacing w:val="-10"/>
                <w:sz w:val="20"/>
              </w:rPr>
              <w:t>3</w:t>
            </w:r>
          </w:p>
          <w:p>
            <w:pPr>
              <w:pStyle w:val="TableParagraph"/>
              <w:spacing w:before="1"/>
              <w:ind w:left="108"/>
              <w:rPr>
                <w:sz w:val="20"/>
              </w:rPr>
            </w:pPr>
            <w:r>
              <w:rPr>
                <w:sz w:val="20"/>
              </w:rPr>
              <w:t>or</w:t>
            </w:r>
            <w:r>
              <w:rPr>
                <w:spacing w:val="21"/>
                <w:sz w:val="20"/>
              </w:rPr>
              <w:t> </w:t>
            </w:r>
            <w:r>
              <w:rPr>
                <w:sz w:val="20"/>
              </w:rPr>
              <w:t>4</w:t>
            </w:r>
            <w:r>
              <w:rPr>
                <w:spacing w:val="22"/>
                <w:sz w:val="20"/>
              </w:rPr>
              <w:t> </w:t>
            </w:r>
            <w:r>
              <w:rPr>
                <w:sz w:val="20"/>
              </w:rPr>
              <w:t>&amp;</w:t>
            </w:r>
            <w:r>
              <w:rPr>
                <w:spacing w:val="22"/>
                <w:sz w:val="20"/>
              </w:rPr>
              <w:t> </w:t>
            </w:r>
            <w:r>
              <w:rPr>
                <w:spacing w:val="-5"/>
                <w:sz w:val="20"/>
              </w:rPr>
              <w:t>13</w:t>
            </w:r>
          </w:p>
        </w:tc>
        <w:tc>
          <w:tcPr>
            <w:tcW w:w="1209" w:type="dxa"/>
          </w:tcPr>
          <w:p>
            <w:pPr>
              <w:pStyle w:val="TableParagraph"/>
              <w:spacing w:before="94"/>
              <w:ind w:left="109"/>
              <w:rPr>
                <w:sz w:val="20"/>
              </w:rPr>
            </w:pPr>
            <w:r>
              <w:rPr>
                <w:sz w:val="20"/>
              </w:rPr>
              <w:t>1</w:t>
            </w:r>
            <w:r>
              <w:rPr>
                <w:spacing w:val="13"/>
                <w:sz w:val="20"/>
              </w:rPr>
              <w:t> </w:t>
            </w:r>
            <w:r>
              <w:rPr>
                <w:sz w:val="20"/>
              </w:rPr>
              <w:t>or</w:t>
            </w:r>
            <w:r>
              <w:rPr>
                <w:spacing w:val="15"/>
                <w:sz w:val="20"/>
              </w:rPr>
              <w:t> </w:t>
            </w:r>
            <w:r>
              <w:rPr>
                <w:sz w:val="20"/>
              </w:rPr>
              <w:t>2</w:t>
            </w:r>
            <w:r>
              <w:rPr>
                <w:spacing w:val="11"/>
                <w:sz w:val="20"/>
              </w:rPr>
              <w:t> </w:t>
            </w:r>
            <w:r>
              <w:rPr>
                <w:sz w:val="20"/>
              </w:rPr>
              <w:t>or</w:t>
            </w:r>
            <w:r>
              <w:rPr>
                <w:spacing w:val="15"/>
                <w:sz w:val="20"/>
              </w:rPr>
              <w:t> </w:t>
            </w:r>
            <w:r>
              <w:rPr>
                <w:spacing w:val="-10"/>
                <w:sz w:val="20"/>
              </w:rPr>
              <w:t>3</w:t>
            </w:r>
          </w:p>
          <w:p>
            <w:pPr>
              <w:pStyle w:val="TableParagraph"/>
              <w:spacing w:before="1"/>
              <w:ind w:left="109"/>
              <w:rPr>
                <w:sz w:val="20"/>
              </w:rPr>
            </w:pPr>
            <w:r>
              <w:rPr>
                <w:sz w:val="20"/>
              </w:rPr>
              <w:t>or</w:t>
            </w:r>
            <w:r>
              <w:rPr>
                <w:spacing w:val="24"/>
                <w:sz w:val="20"/>
              </w:rPr>
              <w:t> </w:t>
            </w:r>
            <w:r>
              <w:rPr>
                <w:spacing w:val="-10"/>
                <w:sz w:val="20"/>
              </w:rPr>
              <w:t>4</w:t>
            </w:r>
          </w:p>
        </w:tc>
        <w:tc>
          <w:tcPr>
            <w:tcW w:w="1199" w:type="dxa"/>
          </w:tcPr>
          <w:p>
            <w:pPr>
              <w:pStyle w:val="TableParagraph"/>
              <w:spacing w:before="94"/>
              <w:ind w:left="110"/>
              <w:rPr>
                <w:sz w:val="20"/>
              </w:rPr>
            </w:pPr>
            <w:r>
              <w:rPr>
                <w:sz w:val="20"/>
              </w:rPr>
              <w:t>1</w:t>
            </w:r>
            <w:r>
              <w:rPr>
                <w:spacing w:val="24"/>
                <w:sz w:val="20"/>
              </w:rPr>
              <w:t>  </w:t>
            </w:r>
            <w:r>
              <w:rPr>
                <w:sz w:val="20"/>
              </w:rPr>
              <w:t>or</w:t>
            </w:r>
            <w:r>
              <w:rPr>
                <w:spacing w:val="27"/>
                <w:sz w:val="20"/>
              </w:rPr>
              <w:t>  </w:t>
            </w:r>
            <w:r>
              <w:rPr>
                <w:spacing w:val="-10"/>
                <w:sz w:val="20"/>
              </w:rPr>
              <w:t>2</w:t>
            </w:r>
          </w:p>
          <w:p>
            <w:pPr>
              <w:pStyle w:val="TableParagraph"/>
              <w:spacing w:before="1"/>
              <w:ind w:left="110"/>
              <w:rPr>
                <w:sz w:val="20"/>
              </w:rPr>
            </w:pPr>
            <w:r>
              <w:rPr>
                <w:sz w:val="20"/>
              </w:rPr>
              <w:t>&amp;</w:t>
            </w:r>
            <w:r>
              <w:rPr>
                <w:spacing w:val="16"/>
                <w:sz w:val="20"/>
              </w:rPr>
              <w:t> </w:t>
            </w:r>
            <w:r>
              <w:rPr>
                <w:spacing w:val="-5"/>
                <w:sz w:val="20"/>
              </w:rPr>
              <w:t>28</w:t>
            </w:r>
          </w:p>
        </w:tc>
        <w:tc>
          <w:tcPr>
            <w:tcW w:w="2196" w:type="dxa"/>
          </w:tcPr>
          <w:p>
            <w:pPr>
              <w:pStyle w:val="TableParagraph"/>
              <w:spacing w:before="94"/>
              <w:ind w:left="111" w:right="76"/>
              <w:jc w:val="both"/>
              <w:rPr>
                <w:sz w:val="20"/>
              </w:rPr>
            </w:pPr>
            <w:r>
              <w:rPr>
                <w:sz w:val="20"/>
              </w:rPr>
              <w:t>In case of</w:t>
            </w:r>
            <w:r>
              <w:rPr>
                <w:spacing w:val="40"/>
                <w:sz w:val="20"/>
              </w:rPr>
              <w:t> </w:t>
            </w:r>
            <w:r>
              <w:rPr>
                <w:sz w:val="20"/>
              </w:rPr>
              <w:t>3 or </w:t>
            </w:r>
            <w:r>
              <w:rPr>
                <w:sz w:val="20"/>
              </w:rPr>
              <w:t>4 and in residential premises, it shall</w:t>
            </w:r>
            <w:r>
              <w:rPr>
                <w:spacing w:val="80"/>
                <w:sz w:val="20"/>
              </w:rPr>
              <w:t> </w:t>
            </w:r>
            <w:r>
              <w:rPr>
                <w:sz w:val="20"/>
              </w:rPr>
              <w:t>be subject to condition no 18</w:t>
            </w:r>
          </w:p>
        </w:tc>
      </w:tr>
      <w:tr>
        <w:trPr>
          <w:trHeight w:val="1130" w:hRule="atLeast"/>
        </w:trPr>
        <w:tc>
          <w:tcPr>
            <w:tcW w:w="1260" w:type="dxa"/>
          </w:tcPr>
          <w:p>
            <w:pPr>
              <w:pStyle w:val="TableParagraph"/>
              <w:rPr>
                <w:rFonts w:ascii="Times New Roman"/>
                <w:sz w:val="18"/>
              </w:rPr>
            </w:pPr>
          </w:p>
        </w:tc>
        <w:tc>
          <w:tcPr>
            <w:tcW w:w="2856" w:type="dxa"/>
          </w:tcPr>
          <w:p>
            <w:pPr>
              <w:pStyle w:val="TableParagraph"/>
              <w:tabs>
                <w:tab w:pos="2263" w:val="left" w:leader="none"/>
              </w:tabs>
              <w:spacing w:before="94"/>
              <w:ind w:left="108" w:right="125"/>
              <w:jc w:val="both"/>
              <w:rPr>
                <w:sz w:val="20"/>
              </w:rPr>
            </w:pPr>
            <w:r>
              <w:rPr>
                <w:sz w:val="20"/>
              </w:rPr>
              <w:t>vi)Club Houses or </w:t>
            </w:r>
            <w:r>
              <w:rPr>
                <w:spacing w:val="-2"/>
                <w:sz w:val="20"/>
              </w:rPr>
              <w:t>Gymkhanas</w:t>
            </w:r>
            <w:r>
              <w:rPr>
                <w:sz w:val="20"/>
              </w:rPr>
              <w:tab/>
            </w:r>
            <w:r>
              <w:rPr>
                <w:spacing w:val="-4"/>
                <w:sz w:val="20"/>
              </w:rPr>
              <w:t>wit</w:t>
            </w:r>
            <w:r>
              <w:rPr>
                <w:spacing w:val="-4"/>
                <w:sz w:val="20"/>
              </w:rPr>
              <w:t>h</w:t>
            </w:r>
            <w:r>
              <w:rPr>
                <w:spacing w:val="-4"/>
                <w:sz w:val="20"/>
              </w:rPr>
              <w:t> </w:t>
            </w:r>
            <w:r>
              <w:rPr>
                <w:sz w:val="20"/>
              </w:rPr>
              <w:t>extension counter or branch of Bank</w:t>
            </w:r>
          </w:p>
        </w:tc>
        <w:tc>
          <w:tcPr>
            <w:tcW w:w="1276" w:type="dxa"/>
          </w:tcPr>
          <w:p>
            <w:pPr>
              <w:pStyle w:val="TableParagraph"/>
              <w:spacing w:before="94"/>
              <w:ind w:left="108" w:right="-15"/>
              <w:rPr>
                <w:sz w:val="20"/>
              </w:rPr>
            </w:pPr>
            <w:r>
              <w:rPr>
                <w:sz w:val="20"/>
              </w:rPr>
              <w:t>1</w:t>
            </w:r>
            <w:r>
              <w:rPr>
                <w:spacing w:val="59"/>
                <w:sz w:val="20"/>
              </w:rPr>
              <w:t> </w:t>
            </w:r>
            <w:r>
              <w:rPr>
                <w:sz w:val="20"/>
              </w:rPr>
              <w:t>or</w:t>
            </w:r>
            <w:r>
              <w:rPr>
                <w:spacing w:val="62"/>
                <w:sz w:val="20"/>
              </w:rPr>
              <w:t> </w:t>
            </w:r>
            <w:r>
              <w:rPr>
                <w:sz w:val="20"/>
              </w:rPr>
              <w:t>2</w:t>
            </w:r>
            <w:r>
              <w:rPr>
                <w:color w:val="000000"/>
                <w:sz w:val="20"/>
                <w:shd w:fill="FFCCFF" w:color="auto" w:val="clear"/>
              </w:rPr>
              <w:t>or</w:t>
            </w:r>
            <w:r>
              <w:rPr>
                <w:color w:val="000000"/>
                <w:spacing w:val="62"/>
                <w:sz w:val="20"/>
                <w:shd w:fill="FFCCFF" w:color="auto" w:val="clear"/>
              </w:rPr>
              <w:t> </w:t>
            </w:r>
            <w:r>
              <w:rPr>
                <w:color w:val="000000"/>
                <w:spacing w:val="-10"/>
                <w:sz w:val="20"/>
                <w:shd w:fill="FFCCFF" w:color="auto" w:val="clear"/>
              </w:rPr>
              <w:t>3</w:t>
            </w:r>
          </w:p>
          <w:p>
            <w:pPr>
              <w:pStyle w:val="TableParagraph"/>
              <w:spacing w:before="1"/>
              <w:ind w:left="108"/>
              <w:rPr>
                <w:sz w:val="20"/>
              </w:rPr>
            </w:pPr>
            <w:r>
              <w:rPr>
                <w:color w:val="000000"/>
                <w:sz w:val="20"/>
                <w:shd w:fill="FFCCFF" w:color="auto" w:val="clear"/>
              </w:rPr>
              <w:t>or</w:t>
            </w:r>
            <w:r>
              <w:rPr>
                <w:color w:val="000000"/>
                <w:spacing w:val="24"/>
                <w:sz w:val="20"/>
                <w:shd w:fill="FFCCFF" w:color="auto" w:val="clear"/>
              </w:rPr>
              <w:t> </w:t>
            </w:r>
            <w:r>
              <w:rPr>
                <w:color w:val="000000"/>
                <w:spacing w:val="-10"/>
                <w:sz w:val="20"/>
                <w:shd w:fill="FFCCFF" w:color="auto" w:val="clear"/>
              </w:rPr>
              <w:t>8</w:t>
            </w:r>
          </w:p>
        </w:tc>
        <w:tc>
          <w:tcPr>
            <w:tcW w:w="1209" w:type="dxa"/>
          </w:tcPr>
          <w:p>
            <w:pPr>
              <w:pStyle w:val="TableParagraph"/>
              <w:spacing w:before="94"/>
              <w:ind w:left="109"/>
              <w:rPr>
                <w:sz w:val="20"/>
              </w:rPr>
            </w:pPr>
            <w:r>
              <w:rPr>
                <w:color w:val="000000"/>
                <w:spacing w:val="-10"/>
                <w:sz w:val="20"/>
                <w:shd w:fill="FFCCFF" w:color="auto" w:val="clear"/>
              </w:rPr>
              <w:t>P</w:t>
            </w:r>
          </w:p>
        </w:tc>
        <w:tc>
          <w:tcPr>
            <w:tcW w:w="1199" w:type="dxa"/>
            <w:shd w:val="clear" w:color="auto" w:fill="FFCCFF"/>
          </w:tcPr>
          <w:p>
            <w:pPr>
              <w:pStyle w:val="TableParagraph"/>
              <w:spacing w:before="94"/>
              <w:ind w:left="110"/>
              <w:rPr>
                <w:sz w:val="20"/>
              </w:rPr>
            </w:pPr>
            <w:r>
              <w:rPr>
                <w:spacing w:val="5"/>
                <w:sz w:val="20"/>
              </w:rPr>
              <w:t>NP</w:t>
            </w:r>
          </w:p>
        </w:tc>
        <w:tc>
          <w:tcPr>
            <w:tcW w:w="2196" w:type="dxa"/>
          </w:tcPr>
          <w:p>
            <w:pPr>
              <w:pStyle w:val="TableParagraph"/>
              <w:spacing w:before="94"/>
              <w:ind w:left="111" w:right="78"/>
              <w:jc w:val="both"/>
              <w:rPr>
                <w:sz w:val="20"/>
              </w:rPr>
            </w:pPr>
            <w:r>
              <w:rPr>
                <w:sz w:val="20"/>
              </w:rPr>
              <w:t>Branch of </w:t>
            </w:r>
            <w:r>
              <w:rPr>
                <w:sz w:val="20"/>
              </w:rPr>
              <w:t>bank shall not be permissible as</w:t>
            </w:r>
            <w:r>
              <w:rPr>
                <w:spacing w:val="40"/>
                <w:sz w:val="20"/>
              </w:rPr>
              <w:t> </w:t>
            </w:r>
            <w:r>
              <w:rPr>
                <w:sz w:val="20"/>
              </w:rPr>
              <w:t>per</w:t>
            </w:r>
            <w:r>
              <w:rPr>
                <w:spacing w:val="40"/>
                <w:sz w:val="20"/>
              </w:rPr>
              <w:t> </w:t>
            </w:r>
            <w:r>
              <w:rPr>
                <w:spacing w:val="-10"/>
                <w:sz w:val="20"/>
              </w:rPr>
              <w:t>8</w:t>
            </w:r>
          </w:p>
        </w:tc>
      </w:tr>
      <w:tr>
        <w:trPr>
          <w:trHeight w:val="4087" w:hRule="atLeast"/>
        </w:trPr>
        <w:tc>
          <w:tcPr>
            <w:tcW w:w="1260" w:type="dxa"/>
          </w:tcPr>
          <w:p>
            <w:pPr>
              <w:pStyle w:val="TableParagraph"/>
              <w:rPr>
                <w:rFonts w:ascii="Times New Roman"/>
                <w:sz w:val="18"/>
              </w:rPr>
            </w:pPr>
          </w:p>
        </w:tc>
        <w:tc>
          <w:tcPr>
            <w:tcW w:w="2856" w:type="dxa"/>
          </w:tcPr>
          <w:p>
            <w:pPr>
              <w:pStyle w:val="TableParagraph"/>
              <w:spacing w:before="94"/>
              <w:ind w:left="108" w:right="110"/>
              <w:jc w:val="both"/>
              <w:rPr>
                <w:sz w:val="20"/>
              </w:rPr>
            </w:pPr>
            <w:r>
              <w:rPr>
                <w:sz w:val="20"/>
              </w:rPr>
              <w:t>General agriculture, horticulture and poultry farming (but not </w:t>
            </w:r>
            <w:r>
              <w:rPr>
                <w:sz w:val="20"/>
              </w:rPr>
              <w:t>dairy </w:t>
            </w:r>
            <w:r>
              <w:rPr>
                <w:spacing w:val="-2"/>
                <w:sz w:val="20"/>
              </w:rPr>
              <w:t>farming)</w:t>
            </w:r>
          </w:p>
        </w:tc>
        <w:tc>
          <w:tcPr>
            <w:tcW w:w="1276" w:type="dxa"/>
          </w:tcPr>
          <w:p>
            <w:pPr>
              <w:pStyle w:val="TableParagraph"/>
              <w:spacing w:before="94"/>
              <w:ind w:left="108"/>
              <w:rPr>
                <w:sz w:val="20"/>
              </w:rPr>
            </w:pPr>
            <w:r>
              <w:rPr>
                <w:sz w:val="20"/>
              </w:rPr>
              <w:t>1</w:t>
            </w:r>
            <w:r>
              <w:rPr>
                <w:spacing w:val="23"/>
                <w:sz w:val="20"/>
              </w:rPr>
              <w:t> </w:t>
            </w:r>
            <w:r>
              <w:rPr>
                <w:sz w:val="20"/>
              </w:rPr>
              <w:t>or</w:t>
            </w:r>
            <w:r>
              <w:rPr>
                <w:spacing w:val="22"/>
                <w:sz w:val="20"/>
              </w:rPr>
              <w:t> </w:t>
            </w:r>
            <w:r>
              <w:rPr>
                <w:spacing w:val="-10"/>
                <w:sz w:val="20"/>
              </w:rPr>
              <w:t>2</w:t>
            </w:r>
          </w:p>
        </w:tc>
        <w:tc>
          <w:tcPr>
            <w:tcW w:w="1209" w:type="dxa"/>
          </w:tcPr>
          <w:p>
            <w:pPr>
              <w:pStyle w:val="TableParagraph"/>
              <w:spacing w:before="94"/>
              <w:ind w:left="109"/>
              <w:rPr>
                <w:sz w:val="20"/>
              </w:rPr>
            </w:pPr>
            <w:r>
              <w:rPr>
                <w:sz w:val="20"/>
              </w:rPr>
              <w:t>1</w:t>
            </w:r>
            <w:r>
              <w:rPr>
                <w:spacing w:val="23"/>
                <w:sz w:val="20"/>
              </w:rPr>
              <w:t> </w:t>
            </w:r>
            <w:r>
              <w:rPr>
                <w:sz w:val="20"/>
              </w:rPr>
              <w:t>or</w:t>
            </w:r>
            <w:r>
              <w:rPr>
                <w:spacing w:val="22"/>
                <w:sz w:val="20"/>
              </w:rPr>
              <w:t> </w:t>
            </w:r>
            <w:r>
              <w:rPr>
                <w:spacing w:val="-10"/>
                <w:sz w:val="20"/>
              </w:rPr>
              <w:t>2</w:t>
            </w:r>
          </w:p>
        </w:tc>
        <w:tc>
          <w:tcPr>
            <w:tcW w:w="1199" w:type="dxa"/>
          </w:tcPr>
          <w:p>
            <w:pPr>
              <w:pStyle w:val="TableParagraph"/>
              <w:spacing w:before="94"/>
              <w:ind w:left="110"/>
              <w:rPr>
                <w:sz w:val="20"/>
              </w:rPr>
            </w:pPr>
            <w:r>
              <w:rPr>
                <w:color w:val="000000"/>
                <w:spacing w:val="5"/>
                <w:sz w:val="20"/>
                <w:shd w:fill="FFCCFF" w:color="auto" w:val="clear"/>
              </w:rPr>
              <w:t>NP</w:t>
            </w:r>
          </w:p>
        </w:tc>
        <w:tc>
          <w:tcPr>
            <w:tcW w:w="2196" w:type="dxa"/>
          </w:tcPr>
          <w:p>
            <w:pPr>
              <w:pStyle w:val="TableParagraph"/>
              <w:tabs>
                <w:tab w:pos="1739" w:val="left" w:leader="none"/>
              </w:tabs>
              <w:spacing w:before="94"/>
              <w:ind w:left="111" w:right="105" w:firstLine="74"/>
              <w:jc w:val="both"/>
              <w:rPr>
                <w:sz w:val="20"/>
              </w:rPr>
            </w:pPr>
            <w:r>
              <w:rPr>
                <w:sz w:val="20"/>
              </w:rPr>
              <w:t>Poultry farming permitted at the rate of 0.25 sq. m. BUA per bird in</w:t>
            </w:r>
            <w:r>
              <w:rPr>
                <w:spacing w:val="40"/>
                <w:sz w:val="20"/>
              </w:rPr>
              <w:t> </w:t>
            </w:r>
            <w:r>
              <w:rPr>
                <w:sz w:val="20"/>
              </w:rPr>
              <w:t>plot</w:t>
            </w:r>
            <w:r>
              <w:rPr>
                <w:spacing w:val="80"/>
                <w:sz w:val="20"/>
              </w:rPr>
              <w:t> </w:t>
            </w:r>
            <w:r>
              <w:rPr>
                <w:sz w:val="20"/>
              </w:rPr>
              <w:t>measuring</w:t>
            </w:r>
            <w:r>
              <w:rPr>
                <w:spacing w:val="80"/>
                <w:sz w:val="20"/>
              </w:rPr>
              <w:t> </w:t>
            </w:r>
            <w:r>
              <w:rPr>
                <w:sz w:val="20"/>
              </w:rPr>
              <w:t>not</w:t>
            </w:r>
            <w:r>
              <w:rPr>
                <w:spacing w:val="40"/>
                <w:sz w:val="20"/>
              </w:rPr>
              <w:t> </w:t>
            </w:r>
            <w:r>
              <w:rPr>
                <w:sz w:val="20"/>
              </w:rPr>
              <w:t>less</w:t>
            </w:r>
            <w:r>
              <w:rPr>
                <w:spacing w:val="40"/>
                <w:sz w:val="20"/>
              </w:rPr>
              <w:t> </w:t>
            </w:r>
            <w:r>
              <w:rPr>
                <w:sz w:val="20"/>
              </w:rPr>
              <w:t>than</w:t>
            </w:r>
            <w:r>
              <w:rPr>
                <w:spacing w:val="40"/>
                <w:sz w:val="20"/>
              </w:rPr>
              <w:t> </w:t>
            </w:r>
            <w:r>
              <w:rPr>
                <w:sz w:val="20"/>
              </w:rPr>
              <w:t>1 ha.; provided that no offensive odors, dirt and/or dust</w:t>
            </w:r>
            <w:r>
              <w:rPr>
                <w:spacing w:val="40"/>
                <w:sz w:val="20"/>
              </w:rPr>
              <w:t> </w:t>
            </w:r>
            <w:r>
              <w:rPr>
                <w:sz w:val="20"/>
              </w:rPr>
              <w:t>are created, that there is no sale of </w:t>
            </w:r>
            <w:r>
              <w:rPr>
                <w:spacing w:val="-2"/>
                <w:sz w:val="20"/>
              </w:rPr>
              <w:t>products</w:t>
            </w:r>
            <w:r>
              <w:rPr>
                <w:sz w:val="20"/>
              </w:rPr>
              <w:tab/>
            </w:r>
            <w:r>
              <w:rPr>
                <w:spacing w:val="-4"/>
                <w:sz w:val="20"/>
              </w:rPr>
              <w:t>not </w:t>
            </w:r>
            <w:r>
              <w:rPr>
                <w:sz w:val="20"/>
              </w:rPr>
              <w:t>produced on the premises, and the </w:t>
            </w:r>
            <w:r>
              <w:rPr>
                <w:spacing w:val="-2"/>
                <w:sz w:val="20"/>
              </w:rPr>
              <w:t>accessory</w:t>
            </w:r>
          </w:p>
          <w:p>
            <w:pPr>
              <w:pStyle w:val="TableParagraph"/>
              <w:spacing w:line="230" w:lineRule="atLeast"/>
              <w:ind w:left="111" w:right="105"/>
              <w:jc w:val="both"/>
              <w:rPr>
                <w:sz w:val="20"/>
              </w:rPr>
            </w:pPr>
            <w:r>
              <w:rPr>
                <w:sz w:val="20"/>
              </w:rPr>
              <w:t>buildings are </w:t>
            </w:r>
            <w:r>
              <w:rPr>
                <w:sz w:val="20"/>
              </w:rPr>
              <w:t>not located</w:t>
            </w:r>
            <w:r>
              <w:rPr>
                <w:spacing w:val="43"/>
                <w:sz w:val="20"/>
              </w:rPr>
              <w:t> </w:t>
            </w:r>
            <w:r>
              <w:rPr>
                <w:sz w:val="20"/>
              </w:rPr>
              <w:t>within</w:t>
            </w:r>
            <w:r>
              <w:rPr>
                <w:spacing w:val="47"/>
                <w:sz w:val="20"/>
              </w:rPr>
              <w:t> </w:t>
            </w:r>
            <w:r>
              <w:rPr>
                <w:sz w:val="20"/>
              </w:rPr>
              <w:t>9</w:t>
            </w:r>
            <w:r>
              <w:rPr>
                <w:spacing w:val="43"/>
                <w:sz w:val="20"/>
              </w:rPr>
              <w:t> </w:t>
            </w:r>
            <w:r>
              <w:rPr>
                <w:spacing w:val="-10"/>
                <w:sz w:val="20"/>
              </w:rPr>
              <w:t>m</w:t>
            </w:r>
          </w:p>
        </w:tc>
      </w:tr>
    </w:tbl>
    <w:p>
      <w:pPr>
        <w:pStyle w:val="TableParagraph"/>
        <w:spacing w:after="0" w:line="230" w:lineRule="atLeast"/>
        <w:jc w:val="both"/>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3009" w:hRule="atLeast"/>
        </w:trPr>
        <w:tc>
          <w:tcPr>
            <w:tcW w:w="1260" w:type="dxa"/>
          </w:tcPr>
          <w:p>
            <w:pPr>
              <w:pStyle w:val="TableParagraph"/>
              <w:rPr>
                <w:rFonts w:ascii="Times New Roman"/>
                <w:sz w:val="18"/>
              </w:rPr>
            </w:pPr>
          </w:p>
        </w:tc>
        <w:tc>
          <w:tcPr>
            <w:tcW w:w="2856" w:type="dxa"/>
          </w:tcPr>
          <w:p>
            <w:pPr>
              <w:pStyle w:val="TableParagraph"/>
              <w:rPr>
                <w:rFonts w:ascii="Times New Roman"/>
                <w:sz w:val="18"/>
              </w:rPr>
            </w:pP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ind w:left="111" w:right="106"/>
              <w:jc w:val="both"/>
              <w:rPr>
                <w:sz w:val="20"/>
              </w:rPr>
            </w:pPr>
            <w:r>
              <w:rPr>
                <w:sz w:val="20"/>
              </w:rPr>
              <w:t>of the boundaries</w:t>
            </w:r>
            <w:r>
              <w:rPr>
                <w:spacing w:val="40"/>
                <w:sz w:val="20"/>
              </w:rPr>
              <w:t> </w:t>
            </w:r>
            <w:r>
              <w:rPr>
                <w:sz w:val="20"/>
              </w:rPr>
              <w:t>or 6 m. from </w:t>
            </w:r>
            <w:r>
              <w:rPr>
                <w:sz w:val="20"/>
              </w:rPr>
              <w:t>the main buildings or the plot:</w:t>
            </w:r>
          </w:p>
          <w:p>
            <w:pPr>
              <w:pStyle w:val="TableParagraph"/>
              <w:tabs>
                <w:tab w:pos="845" w:val="left" w:leader="none"/>
                <w:tab w:pos="964" w:val="left" w:leader="none"/>
                <w:tab w:pos="1094" w:val="left" w:leader="none"/>
                <w:tab w:pos="1331" w:val="left" w:leader="none"/>
                <w:tab w:pos="1480" w:val="left" w:leader="none"/>
                <w:tab w:pos="1703" w:val="left" w:leader="none"/>
                <w:tab w:pos="1738" w:val="left" w:leader="none"/>
                <w:tab w:pos="1793" w:val="left" w:leader="none"/>
                <w:tab w:pos="1824" w:val="left" w:leader="none"/>
              </w:tabs>
              <w:spacing w:before="93"/>
              <w:ind w:left="111" w:right="106"/>
              <w:rPr>
                <w:sz w:val="20"/>
              </w:rPr>
            </w:pPr>
            <w:r>
              <w:rPr>
                <w:spacing w:val="-2"/>
                <w:sz w:val="20"/>
              </w:rPr>
              <w:t>Provided</w:t>
            </w:r>
            <w:r>
              <w:rPr>
                <w:sz w:val="20"/>
              </w:rPr>
              <w:tab/>
              <w:tab/>
              <w:tab/>
            </w:r>
            <w:r>
              <w:rPr>
                <w:spacing w:val="-2"/>
                <w:sz w:val="20"/>
              </w:rPr>
              <w:t>further </w:t>
            </w:r>
            <w:r>
              <w:rPr>
                <w:spacing w:val="-4"/>
                <w:sz w:val="20"/>
              </w:rPr>
              <w:t>that</w:t>
            </w:r>
            <w:r>
              <w:rPr>
                <w:sz w:val="20"/>
              </w:rPr>
              <w:tab/>
            </w:r>
            <w:r>
              <w:rPr>
                <w:spacing w:val="-4"/>
                <w:sz w:val="20"/>
              </w:rPr>
              <w:t>the</w:t>
            </w:r>
            <w:r>
              <w:rPr>
                <w:sz w:val="20"/>
              </w:rPr>
              <w:tab/>
              <w:tab/>
            </w:r>
            <w:r>
              <w:rPr>
                <w:spacing w:val="-4"/>
                <w:sz w:val="20"/>
              </w:rPr>
              <w:t>above </w:t>
            </w:r>
            <w:r>
              <w:rPr>
                <w:spacing w:val="-2"/>
                <w:sz w:val="20"/>
              </w:rPr>
              <w:t>restriction</w:t>
            </w:r>
            <w:r>
              <w:rPr>
                <w:sz w:val="20"/>
              </w:rPr>
              <w:tab/>
              <w:tab/>
              <w:tab/>
              <w:tab/>
              <w:tab/>
              <w:tab/>
              <w:tab/>
            </w:r>
            <w:r>
              <w:rPr>
                <w:spacing w:val="-6"/>
                <w:sz w:val="20"/>
              </w:rPr>
              <w:t>on </w:t>
            </w:r>
            <w:r>
              <w:rPr>
                <w:spacing w:val="-2"/>
                <w:sz w:val="20"/>
              </w:rPr>
              <w:t>space</w:t>
            </w:r>
            <w:r>
              <w:rPr>
                <w:sz w:val="20"/>
              </w:rPr>
              <w:tab/>
              <w:tab/>
            </w:r>
            <w:r>
              <w:rPr>
                <w:spacing w:val="-2"/>
                <w:sz w:val="20"/>
              </w:rPr>
              <w:t>shall</w:t>
            </w:r>
            <w:r>
              <w:rPr>
                <w:sz w:val="20"/>
              </w:rPr>
              <w:tab/>
              <w:tab/>
              <w:tab/>
            </w:r>
            <w:r>
              <w:rPr>
                <w:spacing w:val="-4"/>
                <w:sz w:val="20"/>
              </w:rPr>
              <w:t>not </w:t>
            </w:r>
            <w:r>
              <w:rPr>
                <w:spacing w:val="-2"/>
                <w:sz w:val="20"/>
              </w:rPr>
              <w:t>apply</w:t>
            </w:r>
            <w:r>
              <w:rPr>
                <w:sz w:val="20"/>
              </w:rPr>
              <w:tab/>
              <w:tab/>
              <w:tab/>
            </w:r>
            <w:r>
              <w:rPr>
                <w:spacing w:val="-6"/>
                <w:sz w:val="20"/>
              </w:rPr>
              <w:t>to</w:t>
            </w:r>
            <w:r>
              <w:rPr>
                <w:sz w:val="20"/>
              </w:rPr>
              <w:tab/>
              <w:tab/>
              <w:tab/>
            </w:r>
            <w:r>
              <w:rPr>
                <w:spacing w:val="-4"/>
                <w:sz w:val="20"/>
              </w:rPr>
              <w:t>any </w:t>
            </w:r>
            <w:r>
              <w:rPr>
                <w:spacing w:val="-2"/>
                <w:sz w:val="20"/>
              </w:rPr>
              <w:t>poultry</w:t>
            </w:r>
            <w:r>
              <w:rPr>
                <w:sz w:val="20"/>
              </w:rPr>
              <w:tab/>
              <w:tab/>
              <w:tab/>
            </w:r>
            <w:r>
              <w:rPr>
                <w:spacing w:val="-54"/>
                <w:sz w:val="20"/>
              </w:rPr>
              <w:t> </w:t>
            </w:r>
            <w:r>
              <w:rPr>
                <w:sz w:val="20"/>
              </w:rPr>
              <w:t>kept</w:t>
              <w:tab/>
              <w:tab/>
              <w:tab/>
            </w:r>
            <w:r>
              <w:rPr>
                <w:spacing w:val="-4"/>
                <w:sz w:val="20"/>
              </w:rPr>
              <w:t>for </w:t>
            </w:r>
            <w:r>
              <w:rPr>
                <w:spacing w:val="-2"/>
                <w:sz w:val="20"/>
              </w:rPr>
              <w:t>domestic </w:t>
            </w:r>
            <w:r>
              <w:rPr>
                <w:sz w:val="20"/>
              </w:rPr>
              <w:t>consumption only.</w:t>
            </w:r>
          </w:p>
        </w:tc>
      </w:tr>
      <w:tr>
        <w:trPr>
          <w:trHeight w:val="2539" w:hRule="atLeast"/>
        </w:trPr>
        <w:tc>
          <w:tcPr>
            <w:tcW w:w="1260" w:type="dxa"/>
          </w:tcPr>
          <w:p>
            <w:pPr>
              <w:pStyle w:val="TableParagraph"/>
              <w:spacing w:before="94"/>
              <w:ind w:left="107"/>
              <w:rPr>
                <w:sz w:val="20"/>
              </w:rPr>
            </w:pPr>
            <w:r>
              <w:rPr>
                <w:spacing w:val="-10"/>
                <w:sz w:val="20"/>
              </w:rPr>
              <w:t>5</w:t>
            </w:r>
          </w:p>
        </w:tc>
        <w:tc>
          <w:tcPr>
            <w:tcW w:w="2856" w:type="dxa"/>
          </w:tcPr>
          <w:p>
            <w:pPr>
              <w:pStyle w:val="TableParagraph"/>
              <w:tabs>
                <w:tab w:pos="580" w:val="left" w:leader="none"/>
                <w:tab w:pos="817" w:val="left" w:leader="none"/>
                <w:tab w:pos="1240" w:val="left" w:leader="none"/>
                <w:tab w:pos="1418" w:val="left" w:leader="none"/>
                <w:tab w:pos="1576" w:val="left" w:leader="none"/>
                <w:tab w:pos="1765" w:val="left" w:leader="none"/>
                <w:tab w:pos="1811" w:val="left" w:leader="none"/>
                <w:tab w:pos="2075" w:val="left" w:leader="none"/>
                <w:tab w:pos="2289" w:val="left" w:leader="none"/>
              </w:tabs>
              <w:spacing w:before="94"/>
              <w:ind w:left="108" w:right="216"/>
              <w:rPr>
                <w:sz w:val="20"/>
              </w:rPr>
            </w:pPr>
            <w:r>
              <w:rPr>
                <w:sz w:val="20"/>
              </w:rPr>
              <w:t>A)Health</w:t>
            </w:r>
            <w:r>
              <w:rPr>
                <w:spacing w:val="40"/>
                <w:sz w:val="20"/>
              </w:rPr>
              <w:t> </w:t>
            </w:r>
            <w:r>
              <w:rPr>
                <w:sz w:val="20"/>
              </w:rPr>
              <w:t>Care</w:t>
            </w:r>
            <w:r>
              <w:rPr>
                <w:spacing w:val="40"/>
                <w:sz w:val="20"/>
              </w:rPr>
              <w:t> </w:t>
            </w:r>
            <w:r>
              <w:rPr>
                <w:sz w:val="20"/>
              </w:rPr>
              <w:t>facilities without</w:t>
            </w:r>
            <w:r>
              <w:rPr>
                <w:spacing w:val="40"/>
                <w:sz w:val="20"/>
              </w:rPr>
              <w:t> </w:t>
            </w:r>
            <w:r>
              <w:rPr>
                <w:sz w:val="20"/>
              </w:rPr>
              <w:t>indoor</w:t>
            </w:r>
            <w:r>
              <w:rPr>
                <w:spacing w:val="40"/>
                <w:sz w:val="20"/>
              </w:rPr>
              <w:t> </w:t>
            </w:r>
            <w:r>
              <w:rPr>
                <w:sz w:val="20"/>
              </w:rPr>
              <w:t>bedding </w:t>
            </w:r>
            <w:r>
              <w:rPr>
                <w:spacing w:val="-2"/>
                <w:sz w:val="20"/>
              </w:rPr>
              <w:t>facilities</w:t>
            </w:r>
            <w:r>
              <w:rPr>
                <w:sz w:val="20"/>
              </w:rPr>
              <w:tab/>
            </w:r>
            <w:r>
              <w:rPr>
                <w:spacing w:val="-4"/>
                <w:sz w:val="20"/>
              </w:rPr>
              <w:t>for</w:t>
            </w:r>
            <w:r>
              <w:rPr>
                <w:sz w:val="20"/>
              </w:rPr>
              <w:tab/>
              <w:tab/>
            </w:r>
            <w:r>
              <w:rPr>
                <w:spacing w:val="-2"/>
                <w:sz w:val="20"/>
              </w:rPr>
              <w:t>patient</w:t>
            </w:r>
            <w:r>
              <w:rPr>
                <w:spacing w:val="-2"/>
                <w:sz w:val="20"/>
              </w:rPr>
              <w:t>s</w:t>
            </w:r>
            <w:r>
              <w:rPr>
                <w:spacing w:val="-2"/>
                <w:sz w:val="20"/>
              </w:rPr>
              <w:t> like,</w:t>
            </w:r>
            <w:r>
              <w:rPr>
                <w:sz w:val="20"/>
              </w:rPr>
              <w:tab/>
              <w:tab/>
            </w:r>
            <w:r>
              <w:rPr>
                <w:spacing w:val="-2"/>
                <w:sz w:val="20"/>
              </w:rPr>
              <w:t>dental,</w:t>
            </w:r>
            <w:r>
              <w:rPr>
                <w:sz w:val="20"/>
              </w:rPr>
              <w:tab/>
              <w:tab/>
              <w:tab/>
            </w:r>
            <w:r>
              <w:rPr>
                <w:spacing w:val="-2"/>
                <w:sz w:val="20"/>
              </w:rPr>
              <w:t>medica</w:t>
            </w:r>
            <w:r>
              <w:rPr>
                <w:spacing w:val="-2"/>
                <w:sz w:val="20"/>
              </w:rPr>
              <w:t>l</w:t>
            </w:r>
            <w:r>
              <w:rPr>
                <w:spacing w:val="-2"/>
                <w:sz w:val="20"/>
              </w:rPr>
              <w:t> practitioners,</w:t>
            </w:r>
            <w:r>
              <w:rPr>
                <w:spacing w:val="40"/>
                <w:sz w:val="20"/>
              </w:rPr>
              <w:t> </w:t>
            </w:r>
            <w:r>
              <w:rPr>
                <w:sz w:val="20"/>
              </w:rPr>
              <w:t>pathological laboratory, </w:t>
            </w:r>
            <w:r>
              <w:rPr>
                <w:spacing w:val="-2"/>
                <w:sz w:val="20"/>
              </w:rPr>
              <w:t>diagnostic</w:t>
            </w:r>
            <w:r>
              <w:rPr>
                <w:sz w:val="20"/>
              </w:rPr>
              <w:tab/>
              <w:tab/>
            </w:r>
            <w:r>
              <w:rPr>
                <w:spacing w:val="-2"/>
                <w:sz w:val="20"/>
              </w:rPr>
              <w:t>clinic,</w:t>
            </w:r>
            <w:r>
              <w:rPr>
                <w:sz w:val="20"/>
              </w:rPr>
              <w:tab/>
              <w:tab/>
            </w:r>
            <w:r>
              <w:rPr>
                <w:spacing w:val="-4"/>
                <w:sz w:val="20"/>
              </w:rPr>
              <w:t>ey</w:t>
            </w:r>
            <w:r>
              <w:rPr>
                <w:spacing w:val="-4"/>
                <w:sz w:val="20"/>
              </w:rPr>
              <w:t>e</w:t>
            </w:r>
            <w:r>
              <w:rPr>
                <w:spacing w:val="-4"/>
                <w:sz w:val="20"/>
              </w:rPr>
              <w:t> </w:t>
            </w:r>
            <w:r>
              <w:rPr>
                <w:sz w:val="20"/>
              </w:rPr>
              <w:t>clinic</w:t>
            </w:r>
            <w:r>
              <w:rPr>
                <w:spacing w:val="40"/>
                <w:sz w:val="20"/>
              </w:rPr>
              <w:t> </w:t>
            </w:r>
            <w:r>
              <w:rPr>
                <w:sz w:val="20"/>
              </w:rPr>
              <w:t>,veterinary</w:t>
            </w:r>
            <w:r>
              <w:rPr>
                <w:spacing w:val="40"/>
                <w:sz w:val="20"/>
              </w:rPr>
              <w:t> </w:t>
            </w:r>
            <w:r>
              <w:rPr>
                <w:sz w:val="20"/>
              </w:rPr>
              <w:t>clinic</w:t>
            </w:r>
            <w:r>
              <w:rPr>
                <w:spacing w:val="80"/>
                <w:sz w:val="20"/>
              </w:rPr>
              <w:t> </w:t>
            </w:r>
            <w:r>
              <w:rPr>
                <w:spacing w:val="-10"/>
                <w:sz w:val="20"/>
              </w:rPr>
              <w:t>&amp;</w:t>
            </w:r>
            <w:r>
              <w:rPr>
                <w:sz w:val="20"/>
              </w:rPr>
              <w:tab/>
            </w:r>
            <w:r>
              <w:rPr>
                <w:spacing w:val="-2"/>
                <w:sz w:val="20"/>
              </w:rPr>
              <w:t>clinics</w:t>
            </w:r>
            <w:r>
              <w:rPr>
                <w:sz w:val="20"/>
              </w:rPr>
              <w:tab/>
              <w:tab/>
              <w:tab/>
            </w:r>
            <w:r>
              <w:rPr>
                <w:spacing w:val="-6"/>
                <w:sz w:val="20"/>
              </w:rPr>
              <w:t>of</w:t>
            </w:r>
            <w:r>
              <w:rPr>
                <w:sz w:val="20"/>
              </w:rPr>
              <w:tab/>
              <w:tab/>
              <w:tab/>
            </w:r>
            <w:r>
              <w:rPr>
                <w:spacing w:val="-4"/>
                <w:sz w:val="20"/>
              </w:rPr>
              <w:t>othe</w:t>
            </w:r>
            <w:r>
              <w:rPr>
                <w:spacing w:val="-4"/>
                <w:sz w:val="20"/>
              </w:rPr>
              <w:t>r</w:t>
            </w:r>
            <w:r>
              <w:rPr>
                <w:spacing w:val="-4"/>
                <w:sz w:val="20"/>
              </w:rPr>
              <w:t> </w:t>
            </w:r>
            <w:r>
              <w:rPr>
                <w:sz w:val="20"/>
              </w:rPr>
              <w:t>medical</w:t>
            </w:r>
            <w:r>
              <w:rPr>
                <w:spacing w:val="40"/>
                <w:sz w:val="20"/>
              </w:rPr>
              <w:t> </w:t>
            </w:r>
            <w:r>
              <w:rPr>
                <w:sz w:val="20"/>
              </w:rPr>
              <w:t>allied</w:t>
            </w:r>
            <w:r>
              <w:rPr>
                <w:spacing w:val="40"/>
                <w:sz w:val="20"/>
              </w:rPr>
              <w:t> </w:t>
            </w:r>
            <w:r>
              <w:rPr>
                <w:sz w:val="20"/>
              </w:rPr>
              <w:t>facilities</w:t>
            </w:r>
          </w:p>
        </w:tc>
        <w:tc>
          <w:tcPr>
            <w:tcW w:w="1276" w:type="dxa"/>
          </w:tcPr>
          <w:p>
            <w:pPr>
              <w:pStyle w:val="TableParagraph"/>
              <w:spacing w:before="94"/>
              <w:ind w:left="108"/>
              <w:rPr>
                <w:sz w:val="20"/>
              </w:rPr>
            </w:pPr>
            <w:r>
              <w:rPr>
                <w:sz w:val="20"/>
              </w:rPr>
              <w:t>1</w:t>
            </w:r>
            <w:r>
              <w:rPr>
                <w:spacing w:val="30"/>
                <w:sz w:val="20"/>
              </w:rPr>
              <w:t> </w:t>
            </w:r>
            <w:r>
              <w:rPr>
                <w:sz w:val="20"/>
              </w:rPr>
              <w:t>or</w:t>
            </w:r>
            <w:r>
              <w:rPr>
                <w:spacing w:val="30"/>
                <w:sz w:val="20"/>
              </w:rPr>
              <w:t> </w:t>
            </w:r>
            <w:r>
              <w:rPr>
                <w:sz w:val="20"/>
              </w:rPr>
              <w:t>2</w:t>
            </w:r>
            <w:r>
              <w:rPr>
                <w:spacing w:val="31"/>
                <w:sz w:val="20"/>
              </w:rPr>
              <w:t> </w:t>
            </w:r>
            <w:r>
              <w:rPr>
                <w:sz w:val="20"/>
              </w:rPr>
              <w:t>or</w:t>
            </w:r>
            <w:r>
              <w:rPr>
                <w:spacing w:val="32"/>
                <w:sz w:val="20"/>
              </w:rPr>
              <w:t> </w:t>
            </w:r>
            <w:r>
              <w:rPr>
                <w:spacing w:val="-10"/>
                <w:sz w:val="20"/>
              </w:rPr>
              <w:t>3</w:t>
            </w:r>
          </w:p>
          <w:p>
            <w:pPr>
              <w:pStyle w:val="TableParagraph"/>
              <w:spacing w:before="1"/>
              <w:ind w:left="108"/>
              <w:rPr>
                <w:sz w:val="20"/>
              </w:rPr>
            </w:pPr>
            <w:r>
              <w:rPr>
                <w:sz w:val="20"/>
              </w:rPr>
              <w:t>or</w:t>
            </w:r>
            <w:r>
              <w:rPr>
                <w:spacing w:val="23"/>
                <w:sz w:val="20"/>
              </w:rPr>
              <w:t> </w:t>
            </w:r>
            <w:r>
              <w:rPr>
                <w:sz w:val="20"/>
              </w:rPr>
              <w:t>6</w:t>
            </w:r>
            <w:r>
              <w:rPr>
                <w:spacing w:val="25"/>
                <w:sz w:val="20"/>
              </w:rPr>
              <w:t> </w:t>
            </w:r>
            <w:r>
              <w:rPr>
                <w:sz w:val="20"/>
              </w:rPr>
              <w:t>or</w:t>
            </w:r>
            <w:r>
              <w:rPr>
                <w:spacing w:val="26"/>
                <w:sz w:val="20"/>
              </w:rPr>
              <w:t> </w:t>
            </w:r>
            <w:r>
              <w:rPr>
                <w:spacing w:val="-10"/>
                <w:sz w:val="20"/>
              </w:rPr>
              <w:t>9</w:t>
            </w:r>
          </w:p>
        </w:tc>
        <w:tc>
          <w:tcPr>
            <w:tcW w:w="1209" w:type="dxa"/>
          </w:tcPr>
          <w:p>
            <w:pPr>
              <w:pStyle w:val="TableParagraph"/>
              <w:spacing w:before="94"/>
              <w:ind w:left="109" w:right="-15"/>
              <w:rPr>
                <w:sz w:val="20"/>
              </w:rPr>
            </w:pPr>
            <w:r>
              <w:rPr>
                <w:color w:val="000000"/>
                <w:sz w:val="20"/>
                <w:shd w:fill="FFCCFF" w:color="auto" w:val="clear"/>
              </w:rPr>
              <w:t>1</w:t>
            </w:r>
            <w:r>
              <w:rPr>
                <w:color w:val="000000"/>
                <w:spacing w:val="13"/>
                <w:sz w:val="20"/>
                <w:shd w:fill="FFCCFF" w:color="auto" w:val="clear"/>
              </w:rPr>
              <w:t> </w:t>
            </w:r>
            <w:r>
              <w:rPr>
                <w:color w:val="000000"/>
                <w:sz w:val="20"/>
                <w:shd w:fill="FFCCFF" w:color="auto" w:val="clear"/>
              </w:rPr>
              <w:t>or</w:t>
            </w:r>
            <w:r>
              <w:rPr>
                <w:color w:val="000000"/>
                <w:spacing w:val="15"/>
                <w:sz w:val="20"/>
                <w:shd w:fill="FFCCFF" w:color="auto" w:val="clear"/>
              </w:rPr>
              <w:t> </w:t>
            </w:r>
            <w:r>
              <w:rPr>
                <w:color w:val="000000"/>
                <w:sz w:val="20"/>
                <w:shd w:fill="FFCCFF" w:color="auto" w:val="clear"/>
              </w:rPr>
              <w:t>2</w:t>
            </w:r>
            <w:r>
              <w:rPr>
                <w:color w:val="000000"/>
                <w:spacing w:val="11"/>
                <w:sz w:val="20"/>
                <w:shd w:fill="FFCCFF" w:color="auto" w:val="clear"/>
              </w:rPr>
              <w:t> </w:t>
            </w:r>
            <w:r>
              <w:rPr>
                <w:color w:val="000000"/>
                <w:sz w:val="20"/>
                <w:shd w:fill="FFCCFF" w:color="auto" w:val="clear"/>
              </w:rPr>
              <w:t>or</w:t>
            </w:r>
            <w:r>
              <w:rPr>
                <w:color w:val="000000"/>
                <w:spacing w:val="17"/>
                <w:sz w:val="20"/>
              </w:rPr>
              <w:t> </w:t>
            </w:r>
            <w:r>
              <w:rPr>
                <w:color w:val="000000"/>
                <w:spacing w:val="-10"/>
                <w:sz w:val="20"/>
              </w:rPr>
              <w:t>3</w:t>
            </w:r>
          </w:p>
          <w:p>
            <w:pPr>
              <w:pStyle w:val="TableParagraph"/>
              <w:spacing w:before="1"/>
              <w:ind w:left="109"/>
              <w:rPr>
                <w:sz w:val="20"/>
              </w:rPr>
            </w:pPr>
            <w:r>
              <w:rPr>
                <w:color w:val="000000"/>
                <w:sz w:val="20"/>
                <w:shd w:fill="FFCCFF" w:color="auto" w:val="clear"/>
              </w:rPr>
              <w:t>or</w:t>
            </w:r>
            <w:r>
              <w:rPr>
                <w:color w:val="000000"/>
                <w:spacing w:val="23"/>
                <w:sz w:val="20"/>
                <w:shd w:fill="FFCCFF" w:color="auto" w:val="clear"/>
              </w:rPr>
              <w:t> </w:t>
            </w:r>
            <w:r>
              <w:rPr>
                <w:color w:val="000000"/>
                <w:sz w:val="20"/>
                <w:shd w:fill="FFCCFF" w:color="auto" w:val="clear"/>
              </w:rPr>
              <w:t>6</w:t>
            </w:r>
            <w:r>
              <w:rPr>
                <w:color w:val="000000"/>
                <w:spacing w:val="25"/>
                <w:sz w:val="20"/>
                <w:shd w:fill="FFCCFF" w:color="auto" w:val="clear"/>
              </w:rPr>
              <w:t> </w:t>
            </w:r>
            <w:r>
              <w:rPr>
                <w:color w:val="000000"/>
                <w:sz w:val="20"/>
                <w:shd w:fill="FFCCFF" w:color="auto" w:val="clear"/>
              </w:rPr>
              <w:t>or</w:t>
            </w:r>
            <w:r>
              <w:rPr>
                <w:color w:val="000000"/>
                <w:spacing w:val="26"/>
                <w:sz w:val="20"/>
                <w:shd w:fill="FFCCFF" w:color="auto" w:val="clear"/>
              </w:rPr>
              <w:t> </w:t>
            </w:r>
            <w:r>
              <w:rPr>
                <w:color w:val="000000"/>
                <w:spacing w:val="-10"/>
                <w:sz w:val="20"/>
                <w:shd w:fill="FFCCFF" w:color="auto" w:val="clear"/>
              </w:rPr>
              <w:t>9</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1070" w:val="left" w:leader="none"/>
              </w:tabs>
              <w:spacing w:before="94"/>
              <w:ind w:left="111" w:right="-15"/>
              <w:jc w:val="both"/>
              <w:rPr>
                <w:sz w:val="20"/>
              </w:rPr>
            </w:pPr>
            <w:r>
              <w:rPr>
                <w:sz w:val="20"/>
              </w:rPr>
              <w:t>In case of 3,6,9 </w:t>
            </w:r>
            <w:r>
              <w:rPr>
                <w:sz w:val="20"/>
              </w:rPr>
              <w:t>and </w:t>
            </w:r>
            <w:r>
              <w:rPr>
                <w:spacing w:val="-6"/>
                <w:sz w:val="20"/>
              </w:rPr>
              <w:t>in</w:t>
            </w:r>
            <w:r>
              <w:rPr>
                <w:sz w:val="20"/>
              </w:rPr>
              <w:tab/>
            </w:r>
            <w:r>
              <w:rPr>
                <w:spacing w:val="-2"/>
                <w:sz w:val="20"/>
              </w:rPr>
              <w:t>residential </w:t>
            </w:r>
            <w:r>
              <w:rPr>
                <w:sz w:val="20"/>
              </w:rPr>
              <w:t>premises it shall be subject to condition no 18</w:t>
            </w:r>
          </w:p>
        </w:tc>
      </w:tr>
      <w:tr>
        <w:trPr>
          <w:trHeight w:val="3715" w:hRule="atLeast"/>
        </w:trPr>
        <w:tc>
          <w:tcPr>
            <w:tcW w:w="1260" w:type="dxa"/>
          </w:tcPr>
          <w:p>
            <w:pPr>
              <w:pStyle w:val="TableParagraph"/>
              <w:rPr>
                <w:rFonts w:ascii="Times New Roman"/>
                <w:sz w:val="18"/>
              </w:rPr>
            </w:pPr>
          </w:p>
        </w:tc>
        <w:tc>
          <w:tcPr>
            <w:tcW w:w="2856" w:type="dxa"/>
          </w:tcPr>
          <w:p>
            <w:pPr>
              <w:pStyle w:val="TableParagraph"/>
              <w:spacing w:before="94"/>
              <w:ind w:left="108" w:right="283"/>
              <w:jc w:val="both"/>
              <w:rPr>
                <w:sz w:val="20"/>
              </w:rPr>
            </w:pPr>
            <w:r>
              <w:rPr>
                <w:sz w:val="20"/>
              </w:rPr>
              <w:t>B)Health Care facilities with indoor bedding facilities</w:t>
            </w:r>
            <w:r>
              <w:rPr>
                <w:spacing w:val="80"/>
                <w:sz w:val="20"/>
              </w:rPr>
              <w:t> </w:t>
            </w:r>
            <w:r>
              <w:rPr>
                <w:sz w:val="20"/>
              </w:rPr>
              <w:t>for</w:t>
            </w:r>
            <w:r>
              <w:rPr>
                <w:spacing w:val="80"/>
                <w:sz w:val="20"/>
              </w:rPr>
              <w:t> </w:t>
            </w:r>
            <w:r>
              <w:rPr>
                <w:sz w:val="20"/>
              </w:rPr>
              <w:t>patient</w:t>
            </w:r>
            <w:r>
              <w:rPr>
                <w:spacing w:val="40"/>
                <w:sz w:val="20"/>
              </w:rPr>
              <w:t> </w:t>
            </w:r>
            <w:r>
              <w:rPr>
                <w:sz w:val="20"/>
              </w:rPr>
              <w:t>like maternity homes, polyclinics, nursing homes, eye hospitals &amp; other medical </w:t>
            </w:r>
            <w:r>
              <w:rPr>
                <w:sz w:val="20"/>
              </w:rPr>
              <w:t>allie</w:t>
            </w:r>
            <w:r>
              <w:rPr>
                <w:sz w:val="20"/>
              </w:rPr>
              <w:t>d</w:t>
            </w:r>
            <w:r>
              <w:rPr>
                <w:sz w:val="20"/>
              </w:rPr>
              <w:t> </w:t>
            </w:r>
            <w:r>
              <w:rPr>
                <w:spacing w:val="-2"/>
                <w:sz w:val="20"/>
              </w:rPr>
              <w:t>Facilities</w:t>
            </w:r>
          </w:p>
        </w:tc>
        <w:tc>
          <w:tcPr>
            <w:tcW w:w="1276" w:type="dxa"/>
          </w:tcPr>
          <w:p>
            <w:pPr>
              <w:pStyle w:val="TableParagraph"/>
              <w:spacing w:before="94"/>
              <w:ind w:left="108"/>
              <w:rPr>
                <w:sz w:val="20"/>
              </w:rPr>
            </w:pPr>
            <w:r>
              <w:rPr>
                <w:sz w:val="20"/>
              </w:rPr>
              <w:t>1</w:t>
            </w:r>
            <w:r>
              <w:rPr>
                <w:spacing w:val="30"/>
                <w:sz w:val="20"/>
              </w:rPr>
              <w:t> </w:t>
            </w:r>
            <w:r>
              <w:rPr>
                <w:sz w:val="20"/>
              </w:rPr>
              <w:t>or</w:t>
            </w:r>
            <w:r>
              <w:rPr>
                <w:spacing w:val="30"/>
                <w:sz w:val="20"/>
              </w:rPr>
              <w:t> </w:t>
            </w:r>
            <w:r>
              <w:rPr>
                <w:sz w:val="20"/>
              </w:rPr>
              <w:t>2</w:t>
            </w:r>
            <w:r>
              <w:rPr>
                <w:spacing w:val="31"/>
                <w:sz w:val="20"/>
              </w:rPr>
              <w:t> </w:t>
            </w:r>
            <w:r>
              <w:rPr>
                <w:sz w:val="20"/>
              </w:rPr>
              <w:t>or</w:t>
            </w:r>
            <w:r>
              <w:rPr>
                <w:spacing w:val="32"/>
                <w:sz w:val="20"/>
              </w:rPr>
              <w:t> </w:t>
            </w:r>
            <w:r>
              <w:rPr>
                <w:spacing w:val="-10"/>
                <w:sz w:val="20"/>
              </w:rPr>
              <w:t>3</w:t>
            </w:r>
          </w:p>
          <w:p>
            <w:pPr>
              <w:pStyle w:val="TableParagraph"/>
              <w:spacing w:before="1"/>
              <w:ind w:left="108"/>
              <w:rPr>
                <w:sz w:val="20"/>
              </w:rPr>
            </w:pPr>
            <w:r>
              <w:rPr>
                <w:sz w:val="20"/>
              </w:rPr>
              <w:t>or</w:t>
            </w:r>
            <w:r>
              <w:rPr>
                <w:spacing w:val="23"/>
                <w:sz w:val="20"/>
              </w:rPr>
              <w:t> </w:t>
            </w:r>
            <w:r>
              <w:rPr>
                <w:sz w:val="20"/>
              </w:rPr>
              <w:t>6</w:t>
            </w:r>
            <w:r>
              <w:rPr>
                <w:spacing w:val="25"/>
                <w:sz w:val="20"/>
              </w:rPr>
              <w:t> </w:t>
            </w:r>
            <w:r>
              <w:rPr>
                <w:sz w:val="20"/>
              </w:rPr>
              <w:t>or</w:t>
            </w:r>
            <w:r>
              <w:rPr>
                <w:spacing w:val="26"/>
                <w:sz w:val="20"/>
              </w:rPr>
              <w:t> </w:t>
            </w:r>
            <w:r>
              <w:rPr>
                <w:spacing w:val="-10"/>
                <w:sz w:val="20"/>
              </w:rPr>
              <w:t>9</w:t>
            </w:r>
          </w:p>
        </w:tc>
        <w:tc>
          <w:tcPr>
            <w:tcW w:w="1209" w:type="dxa"/>
          </w:tcPr>
          <w:p>
            <w:pPr>
              <w:pStyle w:val="TableParagraph"/>
              <w:spacing w:before="94"/>
              <w:ind w:left="109"/>
              <w:rPr>
                <w:sz w:val="20"/>
              </w:rPr>
            </w:pPr>
            <w:r>
              <w:rPr>
                <w:color w:val="000000"/>
                <w:sz w:val="20"/>
                <w:shd w:fill="FFCCFF" w:color="auto" w:val="clear"/>
              </w:rPr>
              <w:t>1</w:t>
            </w:r>
            <w:r>
              <w:rPr>
                <w:color w:val="000000"/>
                <w:spacing w:val="13"/>
                <w:sz w:val="20"/>
                <w:shd w:fill="FFCCFF" w:color="auto" w:val="clear"/>
              </w:rPr>
              <w:t> </w:t>
            </w:r>
            <w:r>
              <w:rPr>
                <w:color w:val="000000"/>
                <w:sz w:val="20"/>
                <w:shd w:fill="FFCCFF" w:color="auto" w:val="clear"/>
              </w:rPr>
              <w:t>or</w:t>
            </w:r>
            <w:r>
              <w:rPr>
                <w:color w:val="000000"/>
                <w:spacing w:val="15"/>
                <w:sz w:val="20"/>
                <w:shd w:fill="FFCCFF" w:color="auto" w:val="clear"/>
              </w:rPr>
              <w:t> </w:t>
            </w:r>
            <w:r>
              <w:rPr>
                <w:color w:val="000000"/>
                <w:sz w:val="20"/>
                <w:shd w:fill="FFCCFF" w:color="auto" w:val="clear"/>
              </w:rPr>
              <w:t>2</w:t>
            </w:r>
            <w:r>
              <w:rPr>
                <w:color w:val="000000"/>
                <w:spacing w:val="11"/>
                <w:sz w:val="20"/>
                <w:shd w:fill="FFCCFF" w:color="auto" w:val="clear"/>
              </w:rPr>
              <w:t> </w:t>
            </w:r>
            <w:r>
              <w:rPr>
                <w:color w:val="000000"/>
                <w:sz w:val="20"/>
                <w:shd w:fill="FFCCFF" w:color="auto" w:val="clear"/>
              </w:rPr>
              <w:t>or</w:t>
            </w:r>
            <w:r>
              <w:rPr>
                <w:color w:val="000000"/>
                <w:spacing w:val="15"/>
                <w:sz w:val="20"/>
                <w:shd w:fill="FFCCFF" w:color="auto" w:val="clear"/>
              </w:rPr>
              <w:t> </w:t>
            </w:r>
            <w:r>
              <w:rPr>
                <w:color w:val="000000"/>
                <w:spacing w:val="-10"/>
                <w:sz w:val="20"/>
                <w:shd w:fill="FFCCFF" w:color="auto" w:val="clear"/>
              </w:rPr>
              <w:t>3</w:t>
            </w:r>
          </w:p>
          <w:p>
            <w:pPr>
              <w:pStyle w:val="TableParagraph"/>
              <w:spacing w:before="1"/>
              <w:ind w:left="109"/>
              <w:rPr>
                <w:sz w:val="20"/>
              </w:rPr>
            </w:pPr>
            <w:r>
              <w:rPr>
                <w:color w:val="000000"/>
                <w:sz w:val="20"/>
                <w:shd w:fill="FFCCFF" w:color="auto" w:val="clear"/>
              </w:rPr>
              <w:t>or</w:t>
            </w:r>
            <w:r>
              <w:rPr>
                <w:color w:val="000000"/>
                <w:spacing w:val="23"/>
                <w:sz w:val="20"/>
                <w:shd w:fill="FFCCFF" w:color="auto" w:val="clear"/>
              </w:rPr>
              <w:t> </w:t>
            </w:r>
            <w:r>
              <w:rPr>
                <w:color w:val="000000"/>
                <w:sz w:val="20"/>
                <w:shd w:fill="FFCCFF" w:color="auto" w:val="clear"/>
              </w:rPr>
              <w:t>6</w:t>
            </w:r>
            <w:r>
              <w:rPr>
                <w:color w:val="000000"/>
                <w:spacing w:val="25"/>
                <w:sz w:val="20"/>
                <w:shd w:fill="FFCCFF" w:color="auto" w:val="clear"/>
              </w:rPr>
              <w:t> </w:t>
            </w:r>
            <w:r>
              <w:rPr>
                <w:color w:val="000000"/>
                <w:sz w:val="20"/>
                <w:shd w:fill="FFCCFF" w:color="auto" w:val="clear"/>
              </w:rPr>
              <w:t>or</w:t>
            </w:r>
            <w:r>
              <w:rPr>
                <w:color w:val="000000"/>
                <w:spacing w:val="26"/>
                <w:sz w:val="20"/>
                <w:shd w:fill="FFCCFF" w:color="auto" w:val="clear"/>
              </w:rPr>
              <w:t> </w:t>
            </w:r>
            <w:r>
              <w:rPr>
                <w:color w:val="000000"/>
                <w:spacing w:val="-10"/>
                <w:sz w:val="20"/>
                <w:shd w:fill="FFCCFF" w:color="auto" w:val="clear"/>
              </w:rPr>
              <w:t>9</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574" w:val="left" w:leader="none"/>
                <w:tab w:pos="978" w:val="left" w:leader="none"/>
                <w:tab w:pos="1254" w:val="left" w:leader="none"/>
                <w:tab w:pos="1520" w:val="left" w:leader="none"/>
                <w:tab w:pos="1714" w:val="left" w:leader="none"/>
              </w:tabs>
              <w:spacing w:before="94"/>
              <w:ind w:left="111" w:right="106"/>
              <w:rPr>
                <w:sz w:val="20"/>
              </w:rPr>
            </w:pPr>
            <w:r>
              <w:rPr>
                <w:spacing w:val="-6"/>
                <w:sz w:val="20"/>
              </w:rPr>
              <w:t>In</w:t>
            </w:r>
            <w:r>
              <w:rPr>
                <w:sz w:val="20"/>
              </w:rPr>
              <w:tab/>
            </w:r>
            <w:r>
              <w:rPr>
                <w:spacing w:val="-4"/>
                <w:sz w:val="20"/>
              </w:rPr>
              <w:t>case</w:t>
            </w:r>
            <w:r>
              <w:rPr>
                <w:sz w:val="20"/>
              </w:rPr>
              <w:tab/>
            </w:r>
            <w:r>
              <w:rPr>
                <w:spacing w:val="-41"/>
                <w:sz w:val="20"/>
              </w:rPr>
              <w:t> </w:t>
            </w:r>
            <w:r>
              <w:rPr>
                <w:sz w:val="20"/>
              </w:rPr>
              <w:t>of</w:t>
              <w:tab/>
              <w:tab/>
            </w:r>
            <w:r>
              <w:rPr>
                <w:spacing w:val="-4"/>
                <w:sz w:val="20"/>
              </w:rPr>
              <w:t>use </w:t>
            </w:r>
            <w:r>
              <w:rPr>
                <w:spacing w:val="-2"/>
                <w:sz w:val="20"/>
              </w:rPr>
              <w:t>already</w:t>
            </w:r>
            <w:r>
              <w:rPr>
                <w:sz w:val="20"/>
              </w:rPr>
              <w:tab/>
              <w:tab/>
            </w:r>
            <w:r>
              <w:rPr>
                <w:spacing w:val="-2"/>
                <w:sz w:val="20"/>
              </w:rPr>
              <w:t>existing </w:t>
            </w:r>
            <w:r>
              <w:rPr>
                <w:sz w:val="20"/>
              </w:rPr>
              <w:t>prior</w:t>
            </w:r>
            <w:r>
              <w:rPr>
                <w:spacing w:val="40"/>
                <w:sz w:val="20"/>
              </w:rPr>
              <w:t> </w:t>
            </w:r>
            <w:r>
              <w:rPr>
                <w:sz w:val="20"/>
              </w:rPr>
              <w:t>to</w:t>
            </w:r>
            <w:r>
              <w:rPr>
                <w:spacing w:val="40"/>
                <w:sz w:val="20"/>
              </w:rPr>
              <w:t> </w:t>
            </w:r>
            <w:r>
              <w:rPr>
                <w:sz w:val="20"/>
              </w:rPr>
              <w:t>coming</w:t>
            </w:r>
            <w:r>
              <w:rPr>
                <w:spacing w:val="40"/>
                <w:sz w:val="20"/>
              </w:rPr>
              <w:t> </w:t>
            </w:r>
            <w:r>
              <w:rPr>
                <w:sz w:val="20"/>
              </w:rPr>
              <w:t>in </w:t>
            </w:r>
            <w:r>
              <w:rPr>
                <w:spacing w:val="-2"/>
                <w:sz w:val="20"/>
              </w:rPr>
              <w:t>force</w:t>
            </w:r>
            <w:r>
              <w:rPr>
                <w:sz w:val="20"/>
              </w:rPr>
              <w:tab/>
              <w:tab/>
            </w:r>
            <w:r>
              <w:rPr>
                <w:spacing w:val="-6"/>
                <w:sz w:val="20"/>
              </w:rPr>
              <w:t>of</w:t>
            </w:r>
            <w:r>
              <w:rPr>
                <w:sz w:val="20"/>
              </w:rPr>
              <w:tab/>
              <w:tab/>
            </w:r>
            <w:r>
              <w:rPr>
                <w:spacing w:val="-4"/>
                <w:sz w:val="20"/>
              </w:rPr>
              <w:t>these </w:t>
            </w:r>
            <w:r>
              <w:rPr>
                <w:spacing w:val="-2"/>
                <w:sz w:val="20"/>
              </w:rPr>
              <w:t>Regulations,</w:t>
            </w:r>
            <w:r>
              <w:rPr>
                <w:spacing w:val="40"/>
                <w:sz w:val="20"/>
              </w:rPr>
              <w:t> </w:t>
            </w:r>
            <w:r>
              <w:rPr>
                <w:spacing w:val="-2"/>
                <w:sz w:val="20"/>
              </w:rPr>
              <w:t>without</w:t>
            </w:r>
          </w:p>
          <w:p>
            <w:pPr>
              <w:pStyle w:val="TableParagraph"/>
              <w:tabs>
                <w:tab w:pos="1894" w:val="left" w:leader="none"/>
              </w:tabs>
              <w:ind w:left="111" w:right="105"/>
              <w:jc w:val="both"/>
              <w:rPr>
                <w:sz w:val="20"/>
              </w:rPr>
            </w:pPr>
            <w:r>
              <w:rPr>
                <w:spacing w:val="-2"/>
                <w:sz w:val="20"/>
              </w:rPr>
              <w:t>fulfillment</w:t>
            </w:r>
            <w:r>
              <w:rPr>
                <w:sz w:val="20"/>
              </w:rPr>
              <w:tab/>
            </w:r>
            <w:r>
              <w:rPr>
                <w:spacing w:val="-6"/>
                <w:sz w:val="20"/>
              </w:rPr>
              <w:t>of </w:t>
            </w:r>
            <w:r>
              <w:rPr>
                <w:sz w:val="20"/>
              </w:rPr>
              <w:t>condition no 3,6 and</w:t>
            </w:r>
            <w:r>
              <w:rPr>
                <w:spacing w:val="40"/>
                <w:sz w:val="20"/>
              </w:rPr>
              <w:t> </w:t>
            </w:r>
            <w:r>
              <w:rPr>
                <w:sz w:val="20"/>
              </w:rPr>
              <w:t>9,</w:t>
            </w:r>
            <w:r>
              <w:rPr>
                <w:spacing w:val="40"/>
                <w:sz w:val="20"/>
              </w:rPr>
              <w:t> </w:t>
            </w:r>
            <w:r>
              <w:rPr>
                <w:sz w:val="20"/>
              </w:rPr>
              <w:t>the</w:t>
            </w:r>
            <w:r>
              <w:rPr>
                <w:spacing w:val="40"/>
                <w:sz w:val="20"/>
              </w:rPr>
              <w:t> </w:t>
            </w:r>
            <w:r>
              <w:rPr>
                <w:sz w:val="20"/>
              </w:rPr>
              <w:t>said</w:t>
            </w:r>
            <w:r>
              <w:rPr>
                <w:spacing w:val="40"/>
                <w:sz w:val="20"/>
              </w:rPr>
              <w:t> </w:t>
            </w:r>
            <w:r>
              <w:rPr>
                <w:sz w:val="20"/>
              </w:rPr>
              <w:t>use</w:t>
            </w:r>
            <w:r>
              <w:rPr>
                <w:spacing w:val="64"/>
                <w:w w:val="150"/>
                <w:sz w:val="20"/>
              </w:rPr>
              <w:t>   </w:t>
            </w:r>
            <w:r>
              <w:rPr>
                <w:sz w:val="20"/>
              </w:rPr>
              <w:t>may</w:t>
            </w:r>
            <w:r>
              <w:rPr>
                <w:spacing w:val="66"/>
                <w:w w:val="150"/>
                <w:sz w:val="20"/>
              </w:rPr>
              <w:t>   </w:t>
            </w:r>
            <w:r>
              <w:rPr>
                <w:spacing w:val="-5"/>
                <w:sz w:val="20"/>
              </w:rPr>
              <w:t>be</w:t>
            </w:r>
          </w:p>
          <w:p>
            <w:pPr>
              <w:pStyle w:val="TableParagraph"/>
              <w:tabs>
                <w:tab w:pos="1881" w:val="left" w:leader="none"/>
              </w:tabs>
              <w:ind w:left="111" w:right="102"/>
              <w:jc w:val="both"/>
              <w:rPr>
                <w:sz w:val="20"/>
              </w:rPr>
            </w:pPr>
            <w:r>
              <w:rPr>
                <w:spacing w:val="-2"/>
                <w:sz w:val="20"/>
              </w:rPr>
              <w:t>allowed</w:t>
            </w:r>
            <w:r>
              <w:rPr>
                <w:sz w:val="20"/>
              </w:rPr>
              <w:tab/>
            </w:r>
            <w:r>
              <w:rPr>
                <w:spacing w:val="-6"/>
                <w:sz w:val="20"/>
              </w:rPr>
              <w:t>to </w:t>
            </w:r>
            <w:r>
              <w:rPr>
                <w:sz w:val="20"/>
              </w:rPr>
              <w:t>continue</w:t>
            </w:r>
            <w:r>
              <w:rPr>
                <w:spacing w:val="80"/>
                <w:sz w:val="20"/>
              </w:rPr>
              <w:t> </w:t>
            </w:r>
            <w:r>
              <w:rPr>
                <w:sz w:val="20"/>
              </w:rPr>
              <w:t>subject</w:t>
            </w:r>
            <w:r>
              <w:rPr>
                <w:spacing w:val="80"/>
                <w:sz w:val="20"/>
              </w:rPr>
              <w:t> </w:t>
            </w:r>
            <w:r>
              <w:rPr>
                <w:sz w:val="20"/>
              </w:rPr>
              <w:t>to compliance of condition no 21 &amp; </w:t>
            </w:r>
            <w:r>
              <w:rPr>
                <w:spacing w:val="4"/>
                <w:sz w:val="20"/>
              </w:rPr>
              <w:t>24</w:t>
            </w:r>
          </w:p>
        </w:tc>
      </w:tr>
      <w:tr>
        <w:trPr>
          <w:trHeight w:val="1972" w:hRule="atLeast"/>
        </w:trPr>
        <w:tc>
          <w:tcPr>
            <w:tcW w:w="1260" w:type="dxa"/>
          </w:tcPr>
          <w:p>
            <w:pPr>
              <w:pStyle w:val="TableParagraph"/>
              <w:spacing w:before="94"/>
              <w:ind w:left="107"/>
              <w:rPr>
                <w:sz w:val="20"/>
              </w:rPr>
            </w:pPr>
            <w:r>
              <w:rPr>
                <w:spacing w:val="-10"/>
                <w:sz w:val="20"/>
              </w:rPr>
              <w:t>6</w:t>
            </w:r>
          </w:p>
        </w:tc>
        <w:tc>
          <w:tcPr>
            <w:tcW w:w="2856" w:type="dxa"/>
          </w:tcPr>
          <w:p>
            <w:pPr>
              <w:pStyle w:val="TableParagraph"/>
              <w:tabs>
                <w:tab w:pos="1992" w:val="left" w:leader="none"/>
              </w:tabs>
              <w:spacing w:before="94"/>
              <w:ind w:left="91" w:right="107" w:firstLine="196"/>
              <w:jc w:val="both"/>
              <w:rPr>
                <w:sz w:val="20"/>
              </w:rPr>
            </w:pPr>
            <w:r>
              <w:rPr>
                <w:sz w:val="20"/>
              </w:rPr>
              <w:t>All other hospitals correctional and mental institutions, institutions for children, the aged or widows sanatoria and </w:t>
            </w:r>
            <w:r>
              <w:rPr>
                <w:spacing w:val="-2"/>
                <w:sz w:val="20"/>
              </w:rPr>
              <w:t>hospitals</w:t>
            </w:r>
            <w:r>
              <w:rPr>
                <w:sz w:val="20"/>
              </w:rPr>
              <w:tab/>
            </w:r>
            <w:r>
              <w:rPr>
                <w:spacing w:val="-2"/>
                <w:sz w:val="20"/>
              </w:rPr>
              <w:t>(except </w:t>
            </w:r>
            <w:r>
              <w:rPr>
                <w:sz w:val="20"/>
              </w:rPr>
              <w:t>veterinary hospitals)</w:t>
            </w:r>
          </w:p>
        </w:tc>
        <w:tc>
          <w:tcPr>
            <w:tcW w:w="1276" w:type="dxa"/>
          </w:tcPr>
          <w:p>
            <w:pPr>
              <w:pStyle w:val="TableParagraph"/>
              <w:spacing w:before="94"/>
              <w:ind w:left="108"/>
              <w:rPr>
                <w:sz w:val="20"/>
              </w:rPr>
            </w:pPr>
            <w:r>
              <w:rPr>
                <w:sz w:val="20"/>
              </w:rPr>
              <w:t>1</w:t>
            </w:r>
            <w:r>
              <w:rPr>
                <w:spacing w:val="30"/>
                <w:sz w:val="20"/>
              </w:rPr>
              <w:t> </w:t>
            </w:r>
            <w:r>
              <w:rPr>
                <w:sz w:val="20"/>
              </w:rPr>
              <w:t>or</w:t>
            </w:r>
            <w:r>
              <w:rPr>
                <w:spacing w:val="30"/>
                <w:sz w:val="20"/>
              </w:rPr>
              <w:t> </w:t>
            </w:r>
            <w:r>
              <w:rPr>
                <w:sz w:val="20"/>
              </w:rPr>
              <w:t>2</w:t>
            </w:r>
            <w:r>
              <w:rPr>
                <w:spacing w:val="31"/>
                <w:sz w:val="20"/>
              </w:rPr>
              <w:t> </w:t>
            </w:r>
            <w:r>
              <w:rPr>
                <w:sz w:val="20"/>
              </w:rPr>
              <w:t>or</w:t>
            </w:r>
            <w:r>
              <w:rPr>
                <w:spacing w:val="32"/>
                <w:sz w:val="20"/>
              </w:rPr>
              <w:t> </w:t>
            </w:r>
            <w:r>
              <w:rPr>
                <w:spacing w:val="-10"/>
                <w:sz w:val="20"/>
              </w:rPr>
              <w:t>3</w:t>
            </w:r>
          </w:p>
          <w:p>
            <w:pPr>
              <w:pStyle w:val="TableParagraph"/>
              <w:spacing w:before="1"/>
              <w:ind w:left="108"/>
              <w:rPr>
                <w:sz w:val="20"/>
              </w:rPr>
            </w:pPr>
            <w:r>
              <w:rPr>
                <w:sz w:val="20"/>
              </w:rPr>
              <w:t>&amp;</w:t>
            </w:r>
            <w:r>
              <w:rPr>
                <w:spacing w:val="16"/>
                <w:sz w:val="20"/>
              </w:rPr>
              <w:t> </w:t>
            </w:r>
            <w:r>
              <w:rPr>
                <w:spacing w:val="-5"/>
                <w:sz w:val="20"/>
              </w:rPr>
              <w:t>16</w:t>
            </w:r>
          </w:p>
        </w:tc>
        <w:tc>
          <w:tcPr>
            <w:tcW w:w="1209" w:type="dxa"/>
          </w:tcPr>
          <w:p>
            <w:pPr>
              <w:pStyle w:val="TableParagraph"/>
              <w:spacing w:before="94"/>
              <w:ind w:left="109"/>
              <w:rPr>
                <w:sz w:val="20"/>
              </w:rPr>
            </w:pPr>
            <w:r>
              <w:rPr>
                <w:color w:val="000000"/>
                <w:sz w:val="20"/>
                <w:shd w:fill="FFCCFF" w:color="auto" w:val="clear"/>
              </w:rPr>
              <w:t>1 or 2 or </w:t>
            </w:r>
            <w:r>
              <w:rPr>
                <w:color w:val="000000"/>
                <w:sz w:val="20"/>
                <w:shd w:fill="FFCCFF" w:color="auto" w:val="clear"/>
              </w:rPr>
              <w:t>3</w:t>
            </w:r>
            <w:r>
              <w:rPr>
                <w:color w:val="000000"/>
                <w:sz w:val="20"/>
              </w:rPr>
              <w:t> </w:t>
            </w:r>
            <w:r>
              <w:rPr>
                <w:color w:val="000000"/>
                <w:spacing w:val="7"/>
                <w:sz w:val="20"/>
                <w:shd w:fill="FFCCFF" w:color="auto" w:val="clear"/>
              </w:rPr>
              <w:t>&amp;16</w:t>
            </w:r>
          </w:p>
        </w:tc>
        <w:tc>
          <w:tcPr>
            <w:tcW w:w="1199" w:type="dxa"/>
          </w:tcPr>
          <w:p>
            <w:pPr>
              <w:pStyle w:val="TableParagraph"/>
              <w:spacing w:before="94"/>
              <w:ind w:left="110"/>
              <w:rPr>
                <w:sz w:val="20"/>
              </w:rPr>
            </w:pPr>
            <w:r>
              <w:rPr>
                <w:color w:val="000000"/>
                <w:spacing w:val="-5"/>
                <w:sz w:val="20"/>
                <w:shd w:fill="FFCCFF" w:color="auto" w:val="clear"/>
              </w:rPr>
              <w:t>NP</w:t>
            </w:r>
          </w:p>
        </w:tc>
        <w:tc>
          <w:tcPr>
            <w:tcW w:w="2196" w:type="dxa"/>
          </w:tcPr>
          <w:p>
            <w:pPr>
              <w:pStyle w:val="TableParagraph"/>
              <w:tabs>
                <w:tab w:pos="1101" w:val="left" w:leader="none"/>
                <w:tab w:pos="1678" w:val="left" w:leader="none"/>
                <w:tab w:pos="1796" w:val="left" w:leader="none"/>
              </w:tabs>
              <w:spacing w:before="94"/>
              <w:ind w:left="111" w:right="103"/>
              <w:rPr>
                <w:sz w:val="20"/>
              </w:rPr>
            </w:pPr>
            <w:r>
              <w:rPr>
                <w:spacing w:val="-2"/>
                <w:sz w:val="20"/>
              </w:rPr>
              <w:t>Hospital</w:t>
            </w:r>
            <w:r>
              <w:rPr>
                <w:spacing w:val="40"/>
                <w:sz w:val="20"/>
              </w:rPr>
              <w:t>  </w:t>
            </w:r>
            <w:r>
              <w:rPr>
                <w:spacing w:val="-2"/>
                <w:sz w:val="20"/>
              </w:rPr>
              <w:t>principally</w:t>
            </w:r>
            <w:r>
              <w:rPr>
                <w:sz w:val="20"/>
              </w:rPr>
              <w:tab/>
              <w:tab/>
            </w:r>
            <w:r>
              <w:rPr>
                <w:spacing w:val="-4"/>
                <w:sz w:val="20"/>
              </w:rPr>
              <w:t>for </w:t>
            </w:r>
            <w:r>
              <w:rPr>
                <w:spacing w:val="-2"/>
                <w:sz w:val="20"/>
              </w:rPr>
              <w:t>contagious</w:t>
            </w:r>
            <w:r>
              <w:rPr>
                <w:spacing w:val="80"/>
                <w:w w:val="150"/>
                <w:sz w:val="20"/>
              </w:rPr>
              <w:t> </w:t>
            </w:r>
            <w:r>
              <w:rPr>
                <w:sz w:val="20"/>
              </w:rPr>
              <w:t>diseases</w:t>
            </w:r>
            <w:r>
              <w:rPr>
                <w:spacing w:val="80"/>
                <w:sz w:val="20"/>
              </w:rPr>
              <w:t> </w:t>
            </w:r>
            <w:r>
              <w:rPr>
                <w:sz w:val="20"/>
              </w:rPr>
              <w:t>shall</w:t>
            </w:r>
            <w:r>
              <w:rPr>
                <w:spacing w:val="80"/>
                <w:sz w:val="20"/>
              </w:rPr>
              <w:t> </w:t>
            </w:r>
            <w:r>
              <w:rPr>
                <w:sz w:val="20"/>
              </w:rPr>
              <w:t>be </w:t>
            </w:r>
            <w:r>
              <w:rPr>
                <w:spacing w:val="-2"/>
                <w:sz w:val="20"/>
              </w:rPr>
              <w:t>located</w:t>
            </w:r>
            <w:r>
              <w:rPr>
                <w:sz w:val="20"/>
              </w:rPr>
              <w:tab/>
            </w:r>
            <w:r>
              <w:rPr>
                <w:spacing w:val="-4"/>
                <w:sz w:val="20"/>
              </w:rPr>
              <w:t>not</w:t>
            </w:r>
            <w:r>
              <w:rPr>
                <w:sz w:val="20"/>
              </w:rPr>
              <w:tab/>
            </w:r>
            <w:r>
              <w:rPr>
                <w:spacing w:val="-4"/>
                <w:sz w:val="20"/>
              </w:rPr>
              <w:t>less </w:t>
            </w:r>
            <w:r>
              <w:rPr>
                <w:sz w:val="20"/>
              </w:rPr>
              <w:t>than</w:t>
            </w:r>
            <w:r>
              <w:rPr>
                <w:spacing w:val="76"/>
                <w:w w:val="150"/>
                <w:sz w:val="20"/>
              </w:rPr>
              <w:t> </w:t>
            </w:r>
            <w:r>
              <w:rPr>
                <w:sz w:val="20"/>
              </w:rPr>
              <w:t>36</w:t>
            </w:r>
            <w:r>
              <w:rPr>
                <w:spacing w:val="77"/>
                <w:w w:val="150"/>
                <w:sz w:val="20"/>
              </w:rPr>
              <w:t> </w:t>
            </w:r>
            <w:r>
              <w:rPr>
                <w:sz w:val="20"/>
              </w:rPr>
              <w:t>m.</w:t>
            </w:r>
            <w:r>
              <w:rPr>
                <w:spacing w:val="76"/>
                <w:w w:val="150"/>
                <w:sz w:val="20"/>
              </w:rPr>
              <w:t> </w:t>
            </w:r>
            <w:r>
              <w:rPr>
                <w:spacing w:val="-4"/>
                <w:sz w:val="20"/>
              </w:rPr>
              <w:t>from</w:t>
            </w:r>
          </w:p>
          <w:p>
            <w:pPr>
              <w:pStyle w:val="TableParagraph"/>
              <w:tabs>
                <w:tab w:pos="816" w:val="left" w:leader="none"/>
              </w:tabs>
              <w:spacing w:line="232" w:lineRule="exact"/>
              <w:ind w:left="111" w:right="105"/>
              <w:rPr>
                <w:sz w:val="20"/>
              </w:rPr>
            </w:pPr>
            <w:r>
              <w:rPr>
                <w:spacing w:val="-4"/>
                <w:sz w:val="20"/>
              </w:rPr>
              <w:t>any</w:t>
            </w:r>
            <w:r>
              <w:rPr>
                <w:sz w:val="20"/>
              </w:rPr>
              <w:tab/>
            </w:r>
            <w:r>
              <w:rPr>
                <w:spacing w:val="-2"/>
                <w:sz w:val="20"/>
              </w:rPr>
              <w:t>boundaries. </w:t>
            </w:r>
            <w:r>
              <w:rPr>
                <w:sz w:val="20"/>
              </w:rPr>
              <w:t>In</w:t>
            </w:r>
            <w:r>
              <w:rPr>
                <w:spacing w:val="38"/>
                <w:sz w:val="20"/>
              </w:rPr>
              <w:t>  </w:t>
            </w:r>
            <w:r>
              <w:rPr>
                <w:sz w:val="20"/>
              </w:rPr>
              <w:t>case</w:t>
            </w:r>
            <w:r>
              <w:rPr>
                <w:spacing w:val="39"/>
                <w:sz w:val="20"/>
              </w:rPr>
              <w:t>  </w:t>
            </w:r>
            <w:r>
              <w:rPr>
                <w:sz w:val="20"/>
              </w:rPr>
              <w:t>of</w:t>
            </w:r>
            <w:r>
              <w:rPr>
                <w:spacing w:val="40"/>
                <w:sz w:val="20"/>
              </w:rPr>
              <w:t>  </w:t>
            </w:r>
            <w:r>
              <w:rPr>
                <w:sz w:val="20"/>
              </w:rPr>
              <w:t>3</w:t>
            </w:r>
            <w:r>
              <w:rPr>
                <w:spacing w:val="38"/>
                <w:sz w:val="20"/>
              </w:rPr>
              <w:t>  </w:t>
            </w:r>
            <w:r>
              <w:rPr>
                <w:spacing w:val="-5"/>
                <w:sz w:val="20"/>
              </w:rPr>
              <w:t>in</w:t>
            </w:r>
          </w:p>
        </w:tc>
      </w:tr>
    </w:tbl>
    <w:p>
      <w:pPr>
        <w:pStyle w:val="TableParagraph"/>
        <w:spacing w:after="0" w:line="232" w:lineRule="exact"/>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1033" w:hRule="atLeast"/>
        </w:trPr>
        <w:tc>
          <w:tcPr>
            <w:tcW w:w="1260" w:type="dxa"/>
          </w:tcPr>
          <w:p>
            <w:pPr>
              <w:pStyle w:val="TableParagraph"/>
              <w:rPr>
                <w:rFonts w:ascii="Times New Roman"/>
                <w:sz w:val="18"/>
              </w:rPr>
            </w:pPr>
          </w:p>
        </w:tc>
        <w:tc>
          <w:tcPr>
            <w:tcW w:w="2856" w:type="dxa"/>
          </w:tcPr>
          <w:p>
            <w:pPr>
              <w:pStyle w:val="TableParagraph"/>
              <w:rPr>
                <w:rFonts w:ascii="Times New Roman"/>
                <w:sz w:val="18"/>
              </w:rPr>
            </w:pP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tabs>
                <w:tab w:pos="730" w:val="left" w:leader="none"/>
                <w:tab w:pos="1880" w:val="left" w:leader="none"/>
              </w:tabs>
              <w:ind w:left="111" w:right="105"/>
              <w:rPr>
                <w:sz w:val="20"/>
              </w:rPr>
            </w:pPr>
            <w:r>
              <w:rPr>
                <w:spacing w:val="-2"/>
                <w:sz w:val="20"/>
              </w:rPr>
              <w:t>residential</w:t>
            </w:r>
            <w:r>
              <w:rPr>
                <w:spacing w:val="40"/>
                <w:sz w:val="20"/>
              </w:rPr>
              <w:t> </w:t>
            </w:r>
            <w:r>
              <w:rPr>
                <w:sz w:val="20"/>
              </w:rPr>
              <w:t>premises,</w:t>
            </w:r>
            <w:r>
              <w:rPr>
                <w:spacing w:val="40"/>
                <w:sz w:val="20"/>
              </w:rPr>
              <w:t> </w:t>
            </w:r>
            <w:r>
              <w:rPr>
                <w:sz w:val="20"/>
              </w:rPr>
              <w:t>it</w:t>
            </w:r>
            <w:r>
              <w:rPr>
                <w:spacing w:val="4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tc>
      </w:tr>
      <w:tr>
        <w:trPr>
          <w:trHeight w:val="3715" w:hRule="atLeast"/>
        </w:trPr>
        <w:tc>
          <w:tcPr>
            <w:tcW w:w="1260" w:type="dxa"/>
          </w:tcPr>
          <w:p>
            <w:pPr>
              <w:pStyle w:val="TableParagraph"/>
              <w:spacing w:before="94"/>
              <w:ind w:left="107"/>
              <w:rPr>
                <w:sz w:val="20"/>
              </w:rPr>
            </w:pPr>
            <w:r>
              <w:rPr>
                <w:spacing w:val="-10"/>
                <w:sz w:val="20"/>
              </w:rPr>
              <w:t>7</w:t>
            </w:r>
          </w:p>
        </w:tc>
        <w:tc>
          <w:tcPr>
            <w:tcW w:w="2856" w:type="dxa"/>
          </w:tcPr>
          <w:p>
            <w:pPr>
              <w:pStyle w:val="TableParagraph"/>
              <w:tabs>
                <w:tab w:pos="1977" w:val="left" w:leader="none"/>
              </w:tabs>
              <w:spacing w:before="94"/>
              <w:ind w:left="108" w:right="195"/>
              <w:jc w:val="both"/>
              <w:rPr>
                <w:sz w:val="20"/>
              </w:rPr>
            </w:pPr>
            <w:r>
              <w:rPr>
                <w:sz w:val="20"/>
              </w:rPr>
              <w:t>(i)Preprimary school, </w:t>
            </w:r>
            <w:r>
              <w:rPr>
                <w:spacing w:val="-2"/>
                <w:sz w:val="20"/>
              </w:rPr>
              <w:t>montessori</w:t>
            </w:r>
            <w:r>
              <w:rPr>
                <w:sz w:val="20"/>
              </w:rPr>
              <w:tab/>
            </w:r>
            <w:r>
              <w:rPr>
                <w:spacing w:val="-2"/>
                <w:sz w:val="20"/>
              </w:rPr>
              <w:t>schoo</w:t>
            </w:r>
            <w:r>
              <w:rPr>
                <w:spacing w:val="-2"/>
                <w:sz w:val="20"/>
              </w:rPr>
              <w:t>l</w:t>
            </w:r>
          </w:p>
          <w:p>
            <w:pPr>
              <w:pStyle w:val="TableParagraph"/>
              <w:spacing w:before="2"/>
              <w:ind w:left="108" w:right="193"/>
              <w:jc w:val="both"/>
              <w:rPr>
                <w:sz w:val="20"/>
              </w:rPr>
            </w:pPr>
            <w:r>
              <w:rPr>
                <w:sz w:val="20"/>
              </w:rPr>
              <w:t>,kinder garten schools, balwadis&amp; </w:t>
            </w:r>
            <w:r>
              <w:rPr>
                <w:sz w:val="20"/>
              </w:rPr>
              <w:t>coaching </w:t>
            </w:r>
            <w:r>
              <w:rPr>
                <w:spacing w:val="-2"/>
                <w:sz w:val="20"/>
              </w:rPr>
              <w:t>classes</w:t>
            </w:r>
          </w:p>
        </w:tc>
        <w:tc>
          <w:tcPr>
            <w:tcW w:w="1276" w:type="dxa"/>
          </w:tcPr>
          <w:p>
            <w:pPr>
              <w:pStyle w:val="TableParagraph"/>
              <w:spacing w:before="94"/>
              <w:ind w:left="108"/>
              <w:rPr>
                <w:sz w:val="20"/>
              </w:rPr>
            </w:pPr>
            <w:r>
              <w:rPr>
                <w:sz w:val="20"/>
              </w:rPr>
              <w:t>1or</w:t>
            </w:r>
            <w:r>
              <w:rPr>
                <w:spacing w:val="61"/>
                <w:sz w:val="20"/>
              </w:rPr>
              <w:t> </w:t>
            </w:r>
            <w:r>
              <w:rPr>
                <w:sz w:val="20"/>
              </w:rPr>
              <w:t>2</w:t>
            </w:r>
            <w:r>
              <w:rPr>
                <w:spacing w:val="59"/>
                <w:sz w:val="20"/>
              </w:rPr>
              <w:t> </w:t>
            </w:r>
            <w:r>
              <w:rPr>
                <w:sz w:val="20"/>
              </w:rPr>
              <w:t>or</w:t>
            </w:r>
            <w:r>
              <w:rPr>
                <w:spacing w:val="62"/>
                <w:sz w:val="20"/>
              </w:rPr>
              <w:t> </w:t>
            </w:r>
            <w:r>
              <w:rPr>
                <w:spacing w:val="-10"/>
                <w:sz w:val="20"/>
              </w:rPr>
              <w:t>3</w:t>
            </w:r>
          </w:p>
          <w:p>
            <w:pPr>
              <w:pStyle w:val="TableParagraph"/>
              <w:spacing w:before="1"/>
              <w:ind w:left="108"/>
              <w:rPr>
                <w:sz w:val="20"/>
              </w:rPr>
            </w:pPr>
            <w:r>
              <w:rPr>
                <w:sz w:val="20"/>
              </w:rPr>
              <w:t>or</w:t>
            </w:r>
            <w:r>
              <w:rPr>
                <w:spacing w:val="23"/>
                <w:sz w:val="20"/>
              </w:rPr>
              <w:t> </w:t>
            </w:r>
            <w:r>
              <w:rPr>
                <w:sz w:val="20"/>
              </w:rPr>
              <w:t>6</w:t>
            </w:r>
            <w:r>
              <w:rPr>
                <w:spacing w:val="25"/>
                <w:sz w:val="20"/>
              </w:rPr>
              <w:t> </w:t>
            </w:r>
            <w:r>
              <w:rPr>
                <w:sz w:val="20"/>
              </w:rPr>
              <w:t>or</w:t>
            </w:r>
            <w:r>
              <w:rPr>
                <w:spacing w:val="26"/>
                <w:sz w:val="20"/>
              </w:rPr>
              <w:t> </w:t>
            </w:r>
            <w:r>
              <w:rPr>
                <w:spacing w:val="-10"/>
                <w:sz w:val="20"/>
              </w:rPr>
              <w:t>9</w:t>
            </w:r>
          </w:p>
        </w:tc>
        <w:tc>
          <w:tcPr>
            <w:tcW w:w="1209" w:type="dxa"/>
          </w:tcPr>
          <w:p>
            <w:pPr>
              <w:pStyle w:val="TableParagraph"/>
              <w:spacing w:before="94"/>
              <w:ind w:left="109"/>
              <w:rPr>
                <w:sz w:val="20"/>
              </w:rPr>
            </w:pPr>
            <w:r>
              <w:rPr>
                <w:sz w:val="20"/>
              </w:rPr>
              <w:t>1or</w:t>
            </w:r>
            <w:r>
              <w:rPr>
                <w:spacing w:val="10"/>
                <w:sz w:val="20"/>
              </w:rPr>
              <w:t> </w:t>
            </w:r>
            <w:r>
              <w:rPr>
                <w:sz w:val="20"/>
              </w:rPr>
              <w:t>2</w:t>
            </w:r>
            <w:r>
              <w:rPr>
                <w:spacing w:val="7"/>
                <w:sz w:val="20"/>
              </w:rPr>
              <w:t> </w:t>
            </w:r>
            <w:r>
              <w:rPr>
                <w:sz w:val="20"/>
              </w:rPr>
              <w:t>or</w:t>
            </w:r>
            <w:r>
              <w:rPr>
                <w:spacing w:val="13"/>
                <w:sz w:val="20"/>
              </w:rPr>
              <w:t> </w:t>
            </w:r>
            <w:r>
              <w:rPr>
                <w:spacing w:val="-10"/>
                <w:sz w:val="20"/>
              </w:rPr>
              <w:t>3</w:t>
            </w:r>
          </w:p>
          <w:p>
            <w:pPr>
              <w:pStyle w:val="TableParagraph"/>
              <w:spacing w:before="1"/>
              <w:ind w:left="109"/>
              <w:rPr>
                <w:sz w:val="20"/>
              </w:rPr>
            </w:pPr>
            <w:r>
              <w:rPr>
                <w:sz w:val="20"/>
              </w:rPr>
              <w:t>or</w:t>
            </w:r>
            <w:r>
              <w:rPr>
                <w:spacing w:val="23"/>
                <w:sz w:val="20"/>
              </w:rPr>
              <w:t> </w:t>
            </w:r>
            <w:r>
              <w:rPr>
                <w:sz w:val="20"/>
              </w:rPr>
              <w:t>6</w:t>
            </w:r>
            <w:r>
              <w:rPr>
                <w:spacing w:val="25"/>
                <w:sz w:val="20"/>
              </w:rPr>
              <w:t> </w:t>
            </w:r>
            <w:r>
              <w:rPr>
                <w:sz w:val="20"/>
              </w:rPr>
              <w:t>or</w:t>
            </w:r>
            <w:r>
              <w:rPr>
                <w:spacing w:val="26"/>
                <w:sz w:val="20"/>
              </w:rPr>
              <w:t> </w:t>
            </w:r>
            <w:r>
              <w:rPr>
                <w:spacing w:val="-10"/>
                <w:sz w:val="20"/>
              </w:rPr>
              <w:t>9</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588" w:val="left" w:leader="none"/>
                <w:tab w:pos="682" w:val="left" w:leader="none"/>
                <w:tab w:pos="730" w:val="left" w:leader="none"/>
                <w:tab w:pos="909" w:val="left" w:leader="none"/>
                <w:tab w:pos="1051" w:val="left" w:leader="none"/>
                <w:tab w:pos="1120" w:val="left" w:leader="none"/>
                <w:tab w:pos="1625" w:val="left" w:leader="none"/>
                <w:tab w:pos="1867" w:val="left" w:leader="none"/>
              </w:tabs>
              <w:spacing w:before="94"/>
              <w:ind w:left="111" w:right="105"/>
              <w:rPr>
                <w:sz w:val="20"/>
              </w:rPr>
            </w:pPr>
            <w:r>
              <w:rPr>
                <w:spacing w:val="-2"/>
                <w:sz w:val="20"/>
              </w:rPr>
              <w:t>Permissible</w:t>
            </w:r>
            <w:r>
              <w:rPr>
                <w:sz w:val="20"/>
              </w:rPr>
              <w:tab/>
            </w:r>
            <w:r>
              <w:rPr>
                <w:spacing w:val="-4"/>
                <w:sz w:val="20"/>
              </w:rPr>
              <w:t>with </w:t>
            </w:r>
            <w:r>
              <w:rPr>
                <w:sz w:val="20"/>
              </w:rPr>
              <w:t>minimum</w:t>
            </w:r>
            <w:r>
              <w:rPr>
                <w:spacing w:val="40"/>
                <w:sz w:val="20"/>
              </w:rPr>
              <w:t> </w:t>
            </w:r>
            <w:r>
              <w:rPr>
                <w:sz w:val="20"/>
              </w:rPr>
              <w:t>area</w:t>
            </w:r>
            <w:r>
              <w:rPr>
                <w:spacing w:val="40"/>
                <w:sz w:val="20"/>
              </w:rPr>
              <w:t> </w:t>
            </w:r>
            <w:r>
              <w:rPr>
                <w:sz w:val="20"/>
              </w:rPr>
              <w:t>40 </w:t>
            </w:r>
            <w:r>
              <w:rPr>
                <w:spacing w:val="-4"/>
                <w:sz w:val="20"/>
              </w:rPr>
              <w:t>sq.</w:t>
            </w:r>
            <w:r>
              <w:rPr>
                <w:sz w:val="20"/>
              </w:rPr>
              <w:tab/>
              <w:tab/>
              <w:tab/>
              <w:tab/>
              <w:tab/>
            </w:r>
            <w:r>
              <w:rPr>
                <w:spacing w:val="-10"/>
                <w:sz w:val="20"/>
              </w:rPr>
              <w:t>m</w:t>
            </w:r>
            <w:r>
              <w:rPr>
                <w:sz w:val="20"/>
              </w:rPr>
              <w:tab/>
              <w:tab/>
            </w:r>
            <w:r>
              <w:rPr>
                <w:spacing w:val="-57"/>
                <w:sz w:val="20"/>
              </w:rPr>
              <w:t> </w:t>
            </w:r>
            <w:r>
              <w:rPr>
                <w:spacing w:val="-2"/>
                <w:sz w:val="20"/>
              </w:rPr>
              <w:t>in residential</w:t>
            </w:r>
            <w:r>
              <w:rPr>
                <w:spacing w:val="40"/>
                <w:sz w:val="20"/>
              </w:rPr>
              <w:t>  </w:t>
            </w:r>
            <w:r>
              <w:rPr>
                <w:sz w:val="20"/>
              </w:rPr>
              <w:t>building &amp; in case of</w:t>
            </w:r>
            <w:r>
              <w:rPr>
                <w:spacing w:val="40"/>
                <w:sz w:val="20"/>
              </w:rPr>
              <w:t> </w:t>
            </w:r>
            <w:r>
              <w:rPr>
                <w:sz w:val="20"/>
              </w:rPr>
              <w:t>3,</w:t>
            </w:r>
            <w:r>
              <w:rPr>
                <w:spacing w:val="40"/>
                <w:sz w:val="20"/>
              </w:rPr>
              <w:t> </w:t>
            </w:r>
            <w:r>
              <w:rPr>
                <w:sz w:val="20"/>
              </w:rPr>
              <w:t>6,</w:t>
            </w:r>
            <w:r>
              <w:rPr>
                <w:spacing w:val="40"/>
                <w:sz w:val="20"/>
              </w:rPr>
              <w:t> </w:t>
            </w:r>
            <w:r>
              <w:rPr>
                <w:sz w:val="20"/>
              </w:rPr>
              <w:t>9</w:t>
            </w:r>
            <w:r>
              <w:rPr>
                <w:spacing w:val="40"/>
                <w:sz w:val="20"/>
              </w:rPr>
              <w:t> </w:t>
            </w:r>
            <w:r>
              <w:rPr>
                <w:sz w:val="20"/>
              </w:rPr>
              <w:t>subject </w:t>
            </w:r>
            <w:r>
              <w:rPr>
                <w:spacing w:val="-6"/>
                <w:sz w:val="20"/>
              </w:rPr>
              <w:t>to</w:t>
            </w:r>
            <w:r>
              <w:rPr>
                <w:sz w:val="20"/>
              </w:rPr>
              <w:tab/>
            </w:r>
            <w:r>
              <w:rPr>
                <w:spacing w:val="-6"/>
                <w:sz w:val="20"/>
              </w:rPr>
              <w:t>no</w:t>
            </w:r>
            <w:r>
              <w:rPr>
                <w:sz w:val="20"/>
              </w:rPr>
              <w:tab/>
              <w:tab/>
              <w:tab/>
            </w:r>
            <w:r>
              <w:rPr>
                <w:spacing w:val="-2"/>
                <w:sz w:val="20"/>
              </w:rPr>
              <w:t>nuisance being</w:t>
            </w:r>
            <w:r>
              <w:rPr>
                <w:sz w:val="20"/>
              </w:rPr>
              <w:tab/>
              <w:tab/>
              <w:tab/>
            </w:r>
            <w:r>
              <w:rPr>
                <w:spacing w:val="-2"/>
                <w:sz w:val="20"/>
              </w:rPr>
              <w:t>caused</w:t>
            </w:r>
            <w:r>
              <w:rPr>
                <w:sz w:val="20"/>
              </w:rPr>
              <w:tab/>
              <w:tab/>
            </w:r>
            <w:r>
              <w:rPr>
                <w:spacing w:val="-53"/>
                <w:sz w:val="20"/>
              </w:rPr>
              <w:t> </w:t>
            </w:r>
            <w:r>
              <w:rPr>
                <w:sz w:val="20"/>
              </w:rPr>
              <w:t>to the</w:t>
            </w:r>
            <w:r>
              <w:rPr>
                <w:spacing w:val="80"/>
                <w:sz w:val="20"/>
              </w:rPr>
              <w:t> </w:t>
            </w:r>
            <w:r>
              <w:rPr>
                <w:sz w:val="20"/>
              </w:rPr>
              <w:t>occupants</w:t>
            </w:r>
            <w:r>
              <w:rPr>
                <w:spacing w:val="80"/>
                <w:sz w:val="20"/>
              </w:rPr>
              <w:t> </w:t>
            </w:r>
            <w:r>
              <w:rPr>
                <w:sz w:val="20"/>
              </w:rPr>
              <w:t>of </w:t>
            </w:r>
            <w:r>
              <w:rPr>
                <w:spacing w:val="-4"/>
                <w:sz w:val="20"/>
              </w:rPr>
              <w:t>the</w:t>
            </w:r>
            <w:r>
              <w:rPr>
                <w:sz w:val="20"/>
              </w:rPr>
              <w:tab/>
              <w:tab/>
            </w:r>
            <w:r>
              <w:rPr>
                <w:spacing w:val="-2"/>
                <w:sz w:val="20"/>
              </w:rPr>
              <w:t>building.</w:t>
            </w:r>
            <w:r>
              <w:rPr>
                <w:sz w:val="20"/>
              </w:rPr>
              <w:tab/>
            </w:r>
            <w:r>
              <w:rPr>
                <w:spacing w:val="-6"/>
                <w:sz w:val="20"/>
              </w:rPr>
              <w:t>In </w:t>
            </w:r>
            <w:r>
              <w:rPr>
                <w:sz w:val="20"/>
              </w:rPr>
              <w:t>case</w:t>
            </w:r>
            <w:r>
              <w:rPr>
                <w:spacing w:val="80"/>
                <w:sz w:val="20"/>
              </w:rPr>
              <w:t> </w:t>
            </w:r>
            <w:r>
              <w:rPr>
                <w:sz w:val="20"/>
              </w:rPr>
              <w:t>of</w:t>
            </w:r>
            <w:r>
              <w:rPr>
                <w:spacing w:val="80"/>
                <w:sz w:val="20"/>
              </w:rPr>
              <w:t> </w:t>
            </w:r>
            <w:r>
              <w:rPr>
                <w:sz w:val="20"/>
              </w:rPr>
              <w:t>3,6,9</w:t>
            </w:r>
            <w:r>
              <w:rPr>
                <w:spacing w:val="80"/>
                <w:sz w:val="20"/>
              </w:rPr>
              <w:t> </w:t>
            </w:r>
            <w:r>
              <w:rPr>
                <w:sz w:val="20"/>
              </w:rPr>
              <w:t>in</w:t>
            </w:r>
            <w:r>
              <w:rPr>
                <w:spacing w:val="40"/>
                <w:sz w:val="20"/>
              </w:rPr>
              <w:t> </w:t>
            </w:r>
            <w:r>
              <w:rPr>
                <w:spacing w:val="-2"/>
                <w:sz w:val="20"/>
              </w:rPr>
              <w:t>residential</w:t>
            </w:r>
            <w:r>
              <w:rPr>
                <w:spacing w:val="40"/>
                <w:sz w:val="20"/>
              </w:rPr>
              <w:t> </w:t>
            </w:r>
            <w:r>
              <w:rPr>
                <w:sz w:val="20"/>
              </w:rPr>
              <w:t>premises,</w:t>
            </w:r>
            <w:r>
              <w:rPr>
                <w:spacing w:val="40"/>
                <w:sz w:val="20"/>
              </w:rPr>
              <w:t> </w:t>
            </w:r>
            <w:r>
              <w:rPr>
                <w:sz w:val="20"/>
              </w:rPr>
              <w:t>it</w:t>
            </w:r>
            <w:r>
              <w:rPr>
                <w:spacing w:val="40"/>
                <w:sz w:val="20"/>
              </w:rPr>
              <w:t> </w:t>
            </w:r>
            <w:r>
              <w:rPr>
                <w:sz w:val="20"/>
              </w:rPr>
              <w:t>shall </w:t>
            </w:r>
            <w:r>
              <w:rPr>
                <w:spacing w:val="-6"/>
                <w:sz w:val="20"/>
              </w:rPr>
              <w:t>be</w:t>
            </w:r>
            <w:r>
              <w:rPr>
                <w:sz w:val="20"/>
              </w:rPr>
              <w:tab/>
              <w:tab/>
              <w:tab/>
            </w:r>
            <w:r>
              <w:rPr>
                <w:spacing w:val="-2"/>
                <w:sz w:val="20"/>
              </w:rPr>
              <w:t>subject</w:t>
            </w:r>
            <w:r>
              <w:rPr>
                <w:sz w:val="20"/>
              </w:rPr>
              <w:tab/>
              <w:tab/>
            </w:r>
            <w:r>
              <w:rPr>
                <w:spacing w:val="-52"/>
                <w:sz w:val="20"/>
              </w:rPr>
              <w:t> </w:t>
            </w:r>
            <w:r>
              <w:rPr>
                <w:sz w:val="20"/>
              </w:rPr>
              <w:t>to condition no 18</w:t>
            </w:r>
          </w:p>
        </w:tc>
      </w:tr>
      <w:tr>
        <w:trPr>
          <w:trHeight w:val="3948" w:hRule="atLeast"/>
        </w:trPr>
        <w:tc>
          <w:tcPr>
            <w:tcW w:w="1260" w:type="dxa"/>
          </w:tcPr>
          <w:p>
            <w:pPr>
              <w:pStyle w:val="TableParagraph"/>
              <w:rPr>
                <w:rFonts w:ascii="Times New Roman"/>
                <w:sz w:val="18"/>
              </w:rPr>
            </w:pPr>
          </w:p>
        </w:tc>
        <w:tc>
          <w:tcPr>
            <w:tcW w:w="2856" w:type="dxa"/>
          </w:tcPr>
          <w:p>
            <w:pPr>
              <w:pStyle w:val="TableParagraph"/>
              <w:spacing w:before="94"/>
              <w:ind w:left="108" w:right="148"/>
              <w:rPr>
                <w:sz w:val="20"/>
              </w:rPr>
            </w:pPr>
            <w:r>
              <w:rPr>
                <w:spacing w:val="-2"/>
                <w:sz w:val="20"/>
              </w:rPr>
              <w:t>(ii)Primary </w:t>
            </w:r>
            <w:r>
              <w:rPr>
                <w:sz w:val="20"/>
              </w:rPr>
              <w:t>schools/Primary</w:t>
            </w:r>
            <w:r>
              <w:rPr>
                <w:spacing w:val="40"/>
                <w:sz w:val="20"/>
              </w:rPr>
              <w:t> </w:t>
            </w:r>
            <w:r>
              <w:rPr>
                <w:sz w:val="20"/>
              </w:rPr>
              <w:t>cum secondary school</w:t>
            </w:r>
          </w:p>
        </w:tc>
        <w:tc>
          <w:tcPr>
            <w:tcW w:w="1276" w:type="dxa"/>
          </w:tcPr>
          <w:p>
            <w:pPr>
              <w:pStyle w:val="TableParagraph"/>
              <w:spacing w:before="94"/>
              <w:ind w:left="108"/>
              <w:rPr>
                <w:sz w:val="20"/>
              </w:rPr>
            </w:pPr>
            <w:r>
              <w:rPr>
                <w:sz w:val="20"/>
              </w:rPr>
              <w:t>1</w:t>
            </w:r>
            <w:r>
              <w:rPr>
                <w:spacing w:val="40"/>
                <w:sz w:val="20"/>
              </w:rPr>
              <w:t> </w:t>
            </w:r>
            <w:r>
              <w:rPr>
                <w:sz w:val="20"/>
              </w:rPr>
              <w:t>or</w:t>
            </w:r>
            <w:r>
              <w:rPr>
                <w:spacing w:val="40"/>
                <w:sz w:val="20"/>
              </w:rPr>
              <w:t> </w:t>
            </w:r>
            <w:r>
              <w:rPr>
                <w:sz w:val="20"/>
              </w:rPr>
              <w:t>2</w:t>
            </w:r>
            <w:r>
              <w:rPr>
                <w:spacing w:val="40"/>
                <w:sz w:val="20"/>
              </w:rPr>
              <w:t> </w:t>
            </w:r>
            <w:r>
              <w:rPr>
                <w:spacing w:val="-5"/>
                <w:sz w:val="20"/>
              </w:rPr>
              <w:t>or</w:t>
            </w:r>
          </w:p>
          <w:p>
            <w:pPr>
              <w:pStyle w:val="TableParagraph"/>
              <w:spacing w:before="1"/>
              <w:ind w:left="108"/>
              <w:rPr>
                <w:sz w:val="20"/>
              </w:rPr>
            </w:pPr>
            <w:r>
              <w:rPr>
                <w:sz w:val="20"/>
              </w:rPr>
              <w:t>3</w:t>
            </w:r>
            <w:r>
              <w:rPr>
                <w:spacing w:val="16"/>
                <w:sz w:val="20"/>
              </w:rPr>
              <w:t> </w:t>
            </w:r>
            <w:r>
              <w:rPr>
                <w:sz w:val="20"/>
              </w:rPr>
              <w:t>&amp;</w:t>
            </w:r>
            <w:r>
              <w:rPr>
                <w:spacing w:val="20"/>
                <w:sz w:val="20"/>
              </w:rPr>
              <w:t> </w:t>
            </w:r>
            <w:r>
              <w:rPr>
                <w:spacing w:val="-5"/>
                <w:sz w:val="20"/>
              </w:rPr>
              <w:t>13</w:t>
            </w:r>
          </w:p>
        </w:tc>
        <w:tc>
          <w:tcPr>
            <w:tcW w:w="1209" w:type="dxa"/>
          </w:tcPr>
          <w:p>
            <w:pPr>
              <w:pStyle w:val="TableParagraph"/>
              <w:spacing w:before="94"/>
              <w:ind w:left="109"/>
              <w:rPr>
                <w:sz w:val="20"/>
              </w:rPr>
            </w:pPr>
            <w:r>
              <w:rPr>
                <w:sz w:val="20"/>
              </w:rPr>
              <w:t>1</w:t>
            </w:r>
            <w:r>
              <w:rPr>
                <w:spacing w:val="40"/>
                <w:sz w:val="20"/>
              </w:rPr>
              <w:t> </w:t>
            </w:r>
            <w:r>
              <w:rPr>
                <w:sz w:val="20"/>
              </w:rPr>
              <w:t>or</w:t>
            </w:r>
            <w:r>
              <w:rPr>
                <w:spacing w:val="44"/>
                <w:sz w:val="20"/>
              </w:rPr>
              <w:t> </w:t>
            </w:r>
            <w:r>
              <w:rPr>
                <w:sz w:val="20"/>
              </w:rPr>
              <w:t>2</w:t>
            </w:r>
            <w:r>
              <w:rPr>
                <w:spacing w:val="40"/>
                <w:sz w:val="20"/>
              </w:rPr>
              <w:t> </w:t>
            </w:r>
            <w:r>
              <w:rPr>
                <w:spacing w:val="-5"/>
                <w:sz w:val="20"/>
              </w:rPr>
              <w:t>or</w:t>
            </w:r>
          </w:p>
          <w:p>
            <w:pPr>
              <w:pStyle w:val="TableParagraph"/>
              <w:spacing w:line="234" w:lineRule="exact" w:before="1"/>
              <w:ind w:left="109"/>
              <w:rPr>
                <w:sz w:val="20"/>
              </w:rPr>
            </w:pPr>
            <w:r>
              <w:rPr>
                <w:sz w:val="20"/>
              </w:rPr>
              <mc:AlternateContent>
                <mc:Choice Requires="wps">
                  <w:drawing>
                    <wp:anchor distT="0" distB="0" distL="0" distR="0" allowOverlap="1" layoutInCell="1" locked="0" behindDoc="1" simplePos="0" relativeHeight="471351808">
                      <wp:simplePos x="0" y="0"/>
                      <wp:positionH relativeFrom="column">
                        <wp:posOffset>154177</wp:posOffset>
                      </wp:positionH>
                      <wp:positionV relativeFrom="paragraph">
                        <wp:posOffset>1456</wp:posOffset>
                      </wp:positionV>
                      <wp:extent cx="546100" cy="148590"/>
                      <wp:effectExtent l="0" t="0" r="0" b="0"/>
                      <wp:wrapNone/>
                      <wp:docPr id="385" name="Group 385"/>
                      <wp:cNvGraphicFramePr>
                        <a:graphicFrameLocks/>
                      </wp:cNvGraphicFramePr>
                      <a:graphic>
                        <a:graphicData uri="http://schemas.microsoft.com/office/word/2010/wordprocessingGroup">
                          <wpg:wgp>
                            <wpg:cNvPr id="385" name="Group 385"/>
                            <wpg:cNvGrpSpPr/>
                            <wpg:grpSpPr>
                              <a:xfrm>
                                <a:off x="0" y="0"/>
                                <a:ext cx="546100" cy="148590"/>
                                <a:chExt cx="546100" cy="148590"/>
                              </a:xfrm>
                            </wpg:grpSpPr>
                            <wps:wsp>
                              <wps:cNvPr id="386" name="Graphic 386"/>
                              <wps:cNvSpPr/>
                              <wps:spPr>
                                <a:xfrm>
                                  <a:off x="0" y="0"/>
                                  <a:ext cx="546100" cy="148590"/>
                                </a:xfrm>
                                <a:custGeom>
                                  <a:avLst/>
                                  <a:gdLst/>
                                  <a:ahLst/>
                                  <a:cxnLst/>
                                  <a:rect l="l" t="t" r="r" b="b"/>
                                  <a:pathLst>
                                    <a:path w="546100" h="148590">
                                      <a:moveTo>
                                        <a:pt x="545591" y="0"/>
                                      </a:moveTo>
                                      <a:lnTo>
                                        <a:pt x="0" y="0"/>
                                      </a:lnTo>
                                      <a:lnTo>
                                        <a:pt x="0" y="148132"/>
                                      </a:lnTo>
                                      <a:lnTo>
                                        <a:pt x="545591" y="148132"/>
                                      </a:lnTo>
                                      <a:lnTo>
                                        <a:pt x="545591" y="0"/>
                                      </a:lnTo>
                                      <a:close/>
                                    </a:path>
                                  </a:pathLst>
                                </a:custGeom>
                                <a:solidFill>
                                  <a:srgbClr val="FFCCFF"/>
                                </a:solidFill>
                              </wps:spPr>
                              <wps:bodyPr wrap="square" lIns="0" tIns="0" rIns="0" bIns="0" rtlCol="0">
                                <a:prstTxWarp prst="textNoShape">
                                  <a:avLst/>
                                </a:prstTxWarp>
                                <a:noAutofit/>
                              </wps:bodyPr>
                            </wps:wsp>
                          </wpg:wgp>
                        </a:graphicData>
                      </a:graphic>
                    </wp:anchor>
                  </w:drawing>
                </mc:Choice>
                <mc:Fallback>
                  <w:pict>
                    <v:group style="position:absolute;margin-left:12.139995pt;margin-top:.114712pt;width:43pt;height:11.7pt;mso-position-horizontal-relative:column;mso-position-vertical-relative:paragraph;z-index:-31964672" id="docshapegroup331" coordorigin="243,2" coordsize="860,234">
                      <v:rect style="position:absolute;left:242;top:2;width:860;height:234" id="docshape332" filled="true" fillcolor="#ffccff" stroked="false">
                        <v:fill type="solid"/>
                      </v:rect>
                      <w10:wrap type="none"/>
                    </v:group>
                  </w:pict>
                </mc:Fallback>
              </mc:AlternateContent>
            </w:r>
            <w:r>
              <w:rPr>
                <w:sz w:val="20"/>
              </w:rPr>
              <w:t>3or</w:t>
            </w:r>
            <w:r>
              <w:rPr>
                <w:spacing w:val="63"/>
                <w:w w:val="150"/>
                <w:sz w:val="20"/>
              </w:rPr>
              <w:t> </w:t>
            </w:r>
            <w:r>
              <w:rPr>
                <w:sz w:val="20"/>
              </w:rPr>
              <w:t>6</w:t>
            </w:r>
            <w:r>
              <w:rPr>
                <w:spacing w:val="62"/>
                <w:w w:val="150"/>
                <w:sz w:val="20"/>
              </w:rPr>
              <w:t> </w:t>
            </w:r>
            <w:r>
              <w:rPr>
                <w:spacing w:val="-5"/>
                <w:sz w:val="20"/>
              </w:rPr>
              <w:t>or</w:t>
            </w:r>
          </w:p>
          <w:p>
            <w:pPr>
              <w:pStyle w:val="TableParagraph"/>
              <w:spacing w:line="234" w:lineRule="exact"/>
              <w:ind w:left="109"/>
              <w:rPr>
                <w:sz w:val="20"/>
              </w:rPr>
            </w:pPr>
            <w:r>
              <w:rPr>
                <w:color w:val="000000"/>
                <w:sz w:val="20"/>
                <w:shd w:fill="FFCCFF" w:color="auto" w:val="clear"/>
              </w:rPr>
              <w:t>9</w:t>
            </w:r>
            <w:r>
              <w:rPr>
                <w:color w:val="000000"/>
                <w:sz w:val="20"/>
              </w:rPr>
              <w:t>&amp;</w:t>
            </w:r>
            <w:r>
              <w:rPr>
                <w:color w:val="000000"/>
                <w:spacing w:val="25"/>
                <w:sz w:val="20"/>
              </w:rPr>
              <w:t> </w:t>
            </w:r>
            <w:r>
              <w:rPr>
                <w:color w:val="000000"/>
                <w:spacing w:val="-7"/>
                <w:sz w:val="20"/>
              </w:rPr>
              <w:t>13</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554" w:val="left" w:leader="none"/>
                <w:tab w:pos="744" w:val="left" w:leader="none"/>
                <w:tab w:pos="912" w:val="left" w:leader="none"/>
                <w:tab w:pos="1211" w:val="left" w:leader="none"/>
                <w:tab w:pos="1264" w:val="left" w:leader="none"/>
                <w:tab w:pos="1439" w:val="left" w:leader="none"/>
                <w:tab w:pos="1539" w:val="left" w:leader="none"/>
                <w:tab w:pos="1775" w:val="left" w:leader="none"/>
                <w:tab w:pos="1851" w:val="left" w:leader="none"/>
                <w:tab w:pos="1904" w:val="left" w:leader="none"/>
              </w:tabs>
              <w:spacing w:before="94"/>
              <w:ind w:left="111" w:right="73"/>
              <w:rPr>
                <w:sz w:val="20"/>
              </w:rPr>
            </w:pPr>
            <w:r>
              <w:rPr>
                <w:spacing w:val="-6"/>
                <w:sz w:val="20"/>
              </w:rPr>
              <w:t>In</w:t>
            </w:r>
            <w:r>
              <w:rPr>
                <w:sz w:val="20"/>
              </w:rPr>
              <w:tab/>
            </w:r>
            <w:r>
              <w:rPr>
                <w:spacing w:val="-4"/>
                <w:sz w:val="20"/>
              </w:rPr>
              <w:t>case</w:t>
            </w:r>
            <w:r>
              <w:rPr>
                <w:sz w:val="20"/>
              </w:rPr>
              <w:tab/>
            </w:r>
            <w:r>
              <w:rPr>
                <w:spacing w:val="-36"/>
                <w:sz w:val="20"/>
              </w:rPr>
              <w:t> </w:t>
            </w:r>
            <w:r>
              <w:rPr>
                <w:sz w:val="20"/>
              </w:rPr>
              <w:t>user</w:t>
              <w:tab/>
              <w:tab/>
              <w:tab/>
            </w:r>
            <w:r>
              <w:rPr>
                <w:spacing w:val="-37"/>
                <w:sz w:val="20"/>
              </w:rPr>
              <w:t> </w:t>
            </w:r>
            <w:r>
              <w:rPr>
                <w:sz w:val="20"/>
              </w:rPr>
              <w:t>is </w:t>
            </w:r>
            <w:r>
              <w:rPr>
                <w:spacing w:val="-2"/>
                <w:sz w:val="20"/>
              </w:rPr>
              <w:t>proposed</w:t>
            </w:r>
            <w:r>
              <w:rPr>
                <w:sz w:val="20"/>
              </w:rPr>
              <w:tab/>
              <w:tab/>
              <w:tab/>
              <w:tab/>
              <w:tab/>
              <w:tab/>
              <w:tab/>
            </w:r>
            <w:r>
              <w:rPr>
                <w:spacing w:val="-6"/>
                <w:sz w:val="20"/>
              </w:rPr>
              <w:t>in </w:t>
            </w:r>
            <w:r>
              <w:rPr>
                <w:spacing w:val="-2"/>
                <w:sz w:val="20"/>
              </w:rPr>
              <w:t>residential</w:t>
            </w:r>
            <w:r>
              <w:rPr>
                <w:spacing w:val="80"/>
                <w:sz w:val="20"/>
              </w:rPr>
              <w:t>  </w:t>
            </w:r>
            <w:r>
              <w:rPr>
                <w:sz w:val="20"/>
              </w:rPr>
              <w:t>building</w:t>
            </w:r>
            <w:r>
              <w:rPr>
                <w:spacing w:val="40"/>
                <w:sz w:val="20"/>
              </w:rPr>
              <w:t> </w:t>
            </w:r>
            <w:r>
              <w:rPr>
                <w:sz w:val="20"/>
              </w:rPr>
              <w:t>as</w:t>
            </w:r>
            <w:r>
              <w:rPr>
                <w:spacing w:val="40"/>
                <w:sz w:val="20"/>
              </w:rPr>
              <w:t> </w:t>
            </w:r>
            <w:r>
              <w:rPr>
                <w:sz w:val="20"/>
              </w:rPr>
              <w:t>per</w:t>
            </w:r>
            <w:r>
              <w:rPr>
                <w:spacing w:val="40"/>
                <w:sz w:val="20"/>
              </w:rPr>
              <w:t> </w:t>
            </w:r>
            <w:r>
              <w:rPr>
                <w:sz w:val="20"/>
              </w:rPr>
              <w:t>3, the</w:t>
            </w:r>
            <w:r>
              <w:rPr>
                <w:spacing w:val="40"/>
                <w:sz w:val="20"/>
              </w:rPr>
              <w:t> </w:t>
            </w:r>
            <w:r>
              <w:rPr>
                <w:sz w:val="20"/>
              </w:rPr>
              <w:t>same</w:t>
            </w:r>
            <w:r>
              <w:rPr>
                <w:spacing w:val="40"/>
                <w:sz w:val="20"/>
              </w:rPr>
              <w:t> </w:t>
            </w:r>
            <w:r>
              <w:rPr>
                <w:sz w:val="20"/>
              </w:rPr>
              <w:t>shall</w:t>
            </w:r>
            <w:r>
              <w:rPr>
                <w:spacing w:val="40"/>
                <w:sz w:val="20"/>
              </w:rPr>
              <w:t> </w:t>
            </w:r>
            <w:r>
              <w:rPr>
                <w:sz w:val="20"/>
              </w:rPr>
              <w:t>be </w:t>
            </w:r>
            <w:r>
              <w:rPr>
                <w:spacing w:val="-2"/>
                <w:sz w:val="20"/>
              </w:rPr>
              <w:t>permissible</w:t>
            </w:r>
            <w:r>
              <w:rPr>
                <w:spacing w:val="80"/>
                <w:sz w:val="20"/>
              </w:rPr>
              <w:t>  </w:t>
            </w:r>
            <w:r>
              <w:rPr>
                <w:spacing w:val="-2"/>
                <w:sz w:val="20"/>
              </w:rPr>
              <w:t>subject</w:t>
            </w:r>
            <w:r>
              <w:rPr>
                <w:sz w:val="20"/>
              </w:rPr>
              <w:tab/>
              <w:tab/>
              <w:tab/>
            </w:r>
            <w:r>
              <w:rPr>
                <w:spacing w:val="-6"/>
                <w:sz w:val="20"/>
              </w:rPr>
              <w:t>to</w:t>
            </w:r>
            <w:r>
              <w:rPr>
                <w:sz w:val="20"/>
              </w:rPr>
              <w:tab/>
              <w:tab/>
              <w:tab/>
            </w:r>
            <w:r>
              <w:rPr>
                <w:spacing w:val="-6"/>
                <w:sz w:val="20"/>
              </w:rPr>
              <w:t>no </w:t>
            </w:r>
            <w:r>
              <w:rPr>
                <w:spacing w:val="-2"/>
                <w:sz w:val="20"/>
              </w:rPr>
              <w:t>nuisance</w:t>
            </w:r>
            <w:r>
              <w:rPr>
                <w:sz w:val="20"/>
              </w:rPr>
              <w:tab/>
              <w:tab/>
              <w:tab/>
              <w:tab/>
            </w:r>
            <w:r>
              <w:rPr>
                <w:spacing w:val="-4"/>
                <w:sz w:val="20"/>
              </w:rPr>
              <w:t>being </w:t>
            </w:r>
            <w:r>
              <w:rPr>
                <w:spacing w:val="-2"/>
                <w:sz w:val="20"/>
              </w:rPr>
              <w:t>caused</w:t>
            </w:r>
            <w:r>
              <w:rPr>
                <w:sz w:val="20"/>
              </w:rPr>
              <w:tab/>
              <w:tab/>
            </w:r>
            <w:r>
              <w:rPr>
                <w:spacing w:val="-6"/>
                <w:sz w:val="20"/>
              </w:rPr>
              <w:t>to</w:t>
            </w:r>
            <w:r>
              <w:rPr>
                <w:sz w:val="20"/>
              </w:rPr>
              <w:tab/>
              <w:tab/>
              <w:tab/>
            </w:r>
            <w:r>
              <w:rPr>
                <w:spacing w:val="-4"/>
                <w:sz w:val="20"/>
              </w:rPr>
              <w:t>the </w:t>
            </w:r>
            <w:r>
              <w:rPr>
                <w:sz w:val="20"/>
              </w:rPr>
              <w:t>occupants&amp; as per condition no 21. In </w:t>
            </w:r>
            <w:r>
              <w:rPr>
                <w:spacing w:val="-4"/>
                <w:sz w:val="20"/>
              </w:rPr>
              <w:t>case</w:t>
            </w:r>
            <w:r>
              <w:rPr>
                <w:sz w:val="20"/>
              </w:rPr>
              <w:tab/>
              <w:tab/>
              <w:tab/>
            </w:r>
            <w:r>
              <w:rPr>
                <w:spacing w:val="-6"/>
                <w:sz w:val="20"/>
              </w:rPr>
              <w:t>of</w:t>
            </w:r>
            <w:r>
              <w:rPr>
                <w:sz w:val="20"/>
              </w:rPr>
              <w:tab/>
              <w:tab/>
              <w:tab/>
            </w:r>
            <w:r>
              <w:rPr>
                <w:spacing w:val="-10"/>
                <w:sz w:val="20"/>
              </w:rPr>
              <w:t>3</w:t>
            </w:r>
            <w:r>
              <w:rPr>
                <w:sz w:val="20"/>
              </w:rPr>
              <w:tab/>
              <w:tab/>
              <w:tab/>
            </w:r>
            <w:r>
              <w:rPr>
                <w:spacing w:val="-6"/>
                <w:sz w:val="20"/>
              </w:rPr>
              <w:t>in </w:t>
            </w:r>
            <w:r>
              <w:rPr>
                <w:spacing w:val="-2"/>
                <w:sz w:val="20"/>
              </w:rPr>
              <w:t>residential</w:t>
            </w:r>
            <w:r>
              <w:rPr>
                <w:spacing w:val="80"/>
                <w:w w:val="15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tab/>
            </w:r>
            <w:r>
              <w:rPr>
                <w:spacing w:val="-2"/>
                <w:sz w:val="20"/>
              </w:rPr>
              <w:t>subject</w:t>
            </w:r>
            <w:r>
              <w:rPr>
                <w:sz w:val="20"/>
              </w:rPr>
              <w:tab/>
              <w:tab/>
              <w:tab/>
              <w:tab/>
              <w:tab/>
            </w:r>
            <w:r>
              <w:rPr>
                <w:spacing w:val="-60"/>
                <w:sz w:val="20"/>
              </w:rPr>
              <w:t> </w:t>
            </w:r>
            <w:r>
              <w:rPr>
                <w:spacing w:val="-4"/>
                <w:sz w:val="20"/>
              </w:rPr>
              <w:t>to </w:t>
            </w:r>
            <w:r>
              <w:rPr>
                <w:sz w:val="20"/>
              </w:rPr>
              <w:t>condition no 18</w:t>
            </w:r>
          </w:p>
        </w:tc>
      </w:tr>
      <w:tr>
        <w:trPr>
          <w:trHeight w:val="2071" w:hRule="atLeast"/>
        </w:trPr>
        <w:tc>
          <w:tcPr>
            <w:tcW w:w="1260" w:type="dxa"/>
          </w:tcPr>
          <w:p>
            <w:pPr>
              <w:pStyle w:val="TableParagraph"/>
              <w:rPr>
                <w:rFonts w:ascii="Times New Roman"/>
                <w:sz w:val="18"/>
              </w:rPr>
            </w:pPr>
          </w:p>
        </w:tc>
        <w:tc>
          <w:tcPr>
            <w:tcW w:w="2856" w:type="dxa"/>
          </w:tcPr>
          <w:p>
            <w:pPr>
              <w:pStyle w:val="TableParagraph"/>
              <w:tabs>
                <w:tab w:pos="2259" w:val="left" w:leader="none"/>
              </w:tabs>
              <w:spacing w:before="95"/>
              <w:ind w:left="108" w:right="192"/>
              <w:jc w:val="both"/>
              <w:rPr>
                <w:sz w:val="20"/>
              </w:rPr>
            </w:pPr>
            <w:r>
              <w:rPr>
                <w:sz w:val="20"/>
              </w:rPr>
              <w:t>(iii)Composite Schools</w:t>
            </w:r>
            <w:r>
              <w:rPr>
                <w:spacing w:val="40"/>
                <w:sz w:val="20"/>
              </w:rPr>
              <w:t> </w:t>
            </w:r>
            <w:r>
              <w:rPr>
                <w:sz w:val="20"/>
              </w:rPr>
              <w:t>and colleges with other activities</w:t>
            </w:r>
            <w:r>
              <w:rPr>
                <w:spacing w:val="80"/>
                <w:sz w:val="20"/>
              </w:rPr>
              <w:t> </w:t>
            </w:r>
            <w:r>
              <w:rPr>
                <w:sz w:val="20"/>
              </w:rPr>
              <w:t>such</w:t>
            </w:r>
            <w:r>
              <w:rPr>
                <w:spacing w:val="80"/>
                <w:sz w:val="20"/>
              </w:rPr>
              <w:t> </w:t>
            </w:r>
            <w:r>
              <w:rPr>
                <w:sz w:val="20"/>
              </w:rPr>
              <w:t>as</w:t>
            </w:r>
            <w:r>
              <w:rPr>
                <w:spacing w:val="40"/>
                <w:sz w:val="20"/>
              </w:rPr>
              <w:t> </w:t>
            </w:r>
            <w:r>
              <w:rPr>
                <w:sz w:val="20"/>
              </w:rPr>
              <w:t>sports, </w:t>
            </w:r>
            <w:r>
              <w:rPr>
                <w:spacing w:val="9"/>
                <w:sz w:val="20"/>
              </w:rPr>
              <w:t>recreational, </w:t>
            </w:r>
            <w:r>
              <w:rPr>
                <w:spacing w:val="-2"/>
                <w:sz w:val="20"/>
              </w:rPr>
              <w:t>cultural</w:t>
            </w:r>
            <w:r>
              <w:rPr>
                <w:sz w:val="20"/>
              </w:rPr>
              <w:tab/>
            </w:r>
            <w:r>
              <w:rPr>
                <w:spacing w:val="-5"/>
                <w:sz w:val="20"/>
              </w:rPr>
              <w:t>an</w:t>
            </w:r>
            <w:r>
              <w:rPr>
                <w:spacing w:val="-5"/>
                <w:sz w:val="20"/>
              </w:rPr>
              <w:t>d</w:t>
            </w:r>
          </w:p>
          <w:p>
            <w:pPr>
              <w:pStyle w:val="TableParagraph"/>
              <w:ind w:left="108" w:right="194"/>
              <w:jc w:val="both"/>
              <w:rPr>
                <w:sz w:val="20"/>
              </w:rPr>
            </w:pPr>
            <w:r>
              <w:rPr>
                <w:sz w:val="20"/>
              </w:rPr>
              <w:t>educational support services. Educational Universities, Hostels</w:t>
            </w:r>
          </w:p>
        </w:tc>
        <w:tc>
          <w:tcPr>
            <w:tcW w:w="1276" w:type="dxa"/>
          </w:tcPr>
          <w:p>
            <w:pPr>
              <w:pStyle w:val="TableParagraph"/>
              <w:spacing w:before="95"/>
              <w:ind w:left="108"/>
              <w:rPr>
                <w:sz w:val="20"/>
              </w:rPr>
            </w:pPr>
            <w:r>
              <w:rPr>
                <w:sz w:val="20"/>
              </w:rPr>
              <w:t>1</w:t>
            </w:r>
            <w:r>
              <w:rPr>
                <w:spacing w:val="40"/>
                <w:sz w:val="20"/>
              </w:rPr>
              <w:t> </w:t>
            </w:r>
            <w:r>
              <w:rPr>
                <w:color w:val="000000"/>
                <w:sz w:val="20"/>
                <w:shd w:fill="FFCCFF" w:color="auto" w:val="clear"/>
              </w:rPr>
              <w:t>or</w:t>
            </w:r>
            <w:r>
              <w:rPr>
                <w:color w:val="000000"/>
                <w:spacing w:val="40"/>
                <w:sz w:val="20"/>
                <w:shd w:fill="FFCCFF" w:color="auto" w:val="clear"/>
              </w:rPr>
              <w:t> </w:t>
            </w:r>
            <w:r>
              <w:rPr>
                <w:color w:val="000000"/>
                <w:sz w:val="20"/>
                <w:shd w:fill="FFCCFF" w:color="auto" w:val="clear"/>
              </w:rPr>
              <w:t>2</w:t>
            </w:r>
            <w:r>
              <w:rPr>
                <w:color w:val="000000"/>
                <w:spacing w:val="41"/>
                <w:sz w:val="20"/>
                <w:shd w:fill="FFCCFF" w:color="auto" w:val="clear"/>
              </w:rPr>
              <w:t> </w:t>
            </w:r>
            <w:r>
              <w:rPr>
                <w:color w:val="000000"/>
                <w:spacing w:val="-5"/>
                <w:sz w:val="20"/>
                <w:shd w:fill="FFCCFF" w:color="auto" w:val="clear"/>
              </w:rPr>
              <w:t>or</w:t>
            </w:r>
          </w:p>
          <w:p>
            <w:pPr>
              <w:pStyle w:val="TableParagraph"/>
              <w:ind w:left="108"/>
              <w:rPr>
                <w:sz w:val="20"/>
              </w:rPr>
            </w:pPr>
            <w:r>
              <w:rPr>
                <w:color w:val="000000"/>
                <w:sz w:val="20"/>
                <w:shd w:fill="FFCCFF" w:color="auto" w:val="clear"/>
              </w:rPr>
              <w:t>3</w:t>
            </w:r>
            <w:r>
              <w:rPr>
                <w:color w:val="000000"/>
                <w:sz w:val="20"/>
              </w:rPr>
              <w:t>&amp;</w:t>
            </w:r>
            <w:r>
              <w:rPr>
                <w:color w:val="000000"/>
                <w:spacing w:val="25"/>
                <w:sz w:val="20"/>
              </w:rPr>
              <w:t> </w:t>
            </w:r>
            <w:r>
              <w:rPr>
                <w:color w:val="000000"/>
                <w:spacing w:val="-7"/>
                <w:sz w:val="20"/>
              </w:rPr>
              <w:t>14</w:t>
            </w:r>
          </w:p>
        </w:tc>
        <w:tc>
          <w:tcPr>
            <w:tcW w:w="1209" w:type="dxa"/>
          </w:tcPr>
          <w:p>
            <w:pPr>
              <w:pStyle w:val="TableParagraph"/>
              <w:tabs>
                <w:tab w:pos="500" w:val="left" w:leader="none"/>
              </w:tabs>
              <w:spacing w:before="95"/>
              <w:ind w:left="109"/>
              <w:rPr>
                <w:sz w:val="20"/>
              </w:rPr>
            </w:pPr>
            <w:r>
              <w:rPr>
                <w:spacing w:val="-10"/>
                <w:sz w:val="20"/>
              </w:rPr>
              <w:t>1</w:t>
            </w:r>
            <w:r>
              <w:rPr>
                <w:sz w:val="20"/>
              </w:rPr>
              <w:tab/>
            </w:r>
            <w:r>
              <w:rPr>
                <w:spacing w:val="-10"/>
                <w:sz w:val="20"/>
              </w:rPr>
              <w:t>&amp;</w:t>
            </w:r>
          </w:p>
          <w:p>
            <w:pPr>
              <w:pStyle w:val="TableParagraph"/>
              <w:ind w:left="109"/>
              <w:rPr>
                <w:sz w:val="20"/>
              </w:rPr>
            </w:pPr>
            <w:r>
              <w:rPr>
                <w:spacing w:val="5"/>
                <w:sz w:val="20"/>
              </w:rPr>
              <w:t>14</w:t>
            </w:r>
          </w:p>
        </w:tc>
        <w:tc>
          <w:tcPr>
            <w:tcW w:w="1199" w:type="dxa"/>
          </w:tcPr>
          <w:p>
            <w:pPr>
              <w:pStyle w:val="TableParagraph"/>
              <w:spacing w:before="95"/>
              <w:ind w:left="110"/>
              <w:rPr>
                <w:sz w:val="20"/>
              </w:rPr>
            </w:pPr>
            <w:r>
              <w:rPr>
                <w:spacing w:val="5"/>
                <w:sz w:val="20"/>
              </w:rPr>
              <w:t>NP</w:t>
            </w:r>
          </w:p>
        </w:tc>
        <w:tc>
          <w:tcPr>
            <w:tcW w:w="2196" w:type="dxa"/>
          </w:tcPr>
          <w:p>
            <w:pPr>
              <w:pStyle w:val="TableParagraph"/>
              <w:rPr>
                <w:rFonts w:ascii="Times New Roman"/>
                <w:sz w:val="18"/>
              </w:rPr>
            </w:pPr>
          </w:p>
        </w:tc>
      </w:tr>
      <w:tr>
        <w:trPr>
          <w:trHeight w:val="565" w:hRule="atLeast"/>
        </w:trPr>
        <w:tc>
          <w:tcPr>
            <w:tcW w:w="1260" w:type="dxa"/>
          </w:tcPr>
          <w:p>
            <w:pPr>
              <w:pStyle w:val="TableParagraph"/>
              <w:spacing w:before="94"/>
              <w:ind w:left="107"/>
              <w:rPr>
                <w:sz w:val="20"/>
              </w:rPr>
            </w:pPr>
            <w:r>
              <w:rPr>
                <w:spacing w:val="-10"/>
                <w:sz w:val="20"/>
              </w:rPr>
              <w:t>8</w:t>
            </w:r>
          </w:p>
        </w:tc>
        <w:tc>
          <w:tcPr>
            <w:tcW w:w="2856" w:type="dxa"/>
          </w:tcPr>
          <w:p>
            <w:pPr>
              <w:pStyle w:val="TableParagraph"/>
              <w:tabs>
                <w:tab w:pos="1503" w:val="left" w:leader="none"/>
              </w:tabs>
              <w:spacing w:line="230" w:lineRule="atLeast" w:before="76"/>
              <w:ind w:left="108" w:right="855"/>
              <w:rPr>
                <w:sz w:val="20"/>
              </w:rPr>
            </w:pPr>
            <w:r>
              <w:rPr>
                <w:sz w:val="20"/>
              </w:rPr>
              <w:t>Institutional uses </w:t>
            </w:r>
            <w:r>
              <w:rPr>
                <w:spacing w:val="-2"/>
                <w:sz w:val="20"/>
              </w:rPr>
              <w:t>other</w:t>
            </w:r>
            <w:r>
              <w:rPr>
                <w:sz w:val="20"/>
              </w:rPr>
              <w:tab/>
            </w:r>
            <w:r>
              <w:rPr>
                <w:spacing w:val="-4"/>
                <w:sz w:val="20"/>
              </w:rPr>
              <w:t>than</w:t>
            </w:r>
          </w:p>
        </w:tc>
        <w:tc>
          <w:tcPr>
            <w:tcW w:w="1276" w:type="dxa"/>
          </w:tcPr>
          <w:p>
            <w:pPr>
              <w:pStyle w:val="TableParagraph"/>
              <w:spacing w:before="94"/>
              <w:ind w:left="108"/>
              <w:rPr>
                <w:sz w:val="20"/>
              </w:rPr>
            </w:pPr>
            <w:r>
              <w:rPr>
                <w:sz w:val="20"/>
              </w:rPr>
              <w:t>1</w:t>
            </w:r>
            <w:r>
              <w:rPr>
                <w:spacing w:val="65"/>
                <w:sz w:val="20"/>
              </w:rPr>
              <w:t> </w:t>
            </w:r>
            <w:r>
              <w:rPr>
                <w:sz w:val="20"/>
              </w:rPr>
              <w:t>or</w:t>
            </w:r>
            <w:r>
              <w:rPr>
                <w:spacing w:val="63"/>
                <w:sz w:val="20"/>
              </w:rPr>
              <w:t> </w:t>
            </w:r>
            <w:r>
              <w:rPr>
                <w:sz w:val="20"/>
              </w:rPr>
              <w:t>2</w:t>
            </w:r>
            <w:r>
              <w:rPr>
                <w:spacing w:val="65"/>
                <w:sz w:val="20"/>
              </w:rPr>
              <w:t> </w:t>
            </w:r>
            <w:r>
              <w:rPr>
                <w:spacing w:val="-5"/>
                <w:sz w:val="20"/>
              </w:rPr>
              <w:t>or</w:t>
            </w:r>
          </w:p>
          <w:p>
            <w:pPr>
              <w:pStyle w:val="TableParagraph"/>
              <w:spacing w:line="216" w:lineRule="exact"/>
              <w:ind w:left="108"/>
              <w:rPr>
                <w:sz w:val="20"/>
              </w:rPr>
            </w:pPr>
            <w:r>
              <w:rPr>
                <w:sz w:val="20"/>
              </w:rPr>
              <w:t>3</w:t>
            </w:r>
            <w:r>
              <w:rPr>
                <w:spacing w:val="49"/>
                <w:w w:val="150"/>
                <w:sz w:val="20"/>
              </w:rPr>
              <w:t> </w:t>
            </w:r>
            <w:r>
              <w:rPr>
                <w:sz w:val="20"/>
              </w:rPr>
              <w:t>or</w:t>
            </w:r>
            <w:r>
              <w:rPr>
                <w:spacing w:val="48"/>
                <w:w w:val="150"/>
                <w:sz w:val="20"/>
              </w:rPr>
              <w:t> </w:t>
            </w:r>
            <w:r>
              <w:rPr>
                <w:sz w:val="20"/>
              </w:rPr>
              <w:t>4</w:t>
            </w:r>
            <w:r>
              <w:rPr>
                <w:spacing w:val="49"/>
                <w:w w:val="150"/>
                <w:sz w:val="20"/>
              </w:rPr>
              <w:t> </w:t>
            </w:r>
            <w:r>
              <w:rPr>
                <w:spacing w:val="-10"/>
                <w:sz w:val="20"/>
              </w:rPr>
              <w:t>&amp;</w:t>
            </w:r>
          </w:p>
        </w:tc>
        <w:tc>
          <w:tcPr>
            <w:tcW w:w="1209" w:type="dxa"/>
          </w:tcPr>
          <w:p>
            <w:pPr>
              <w:pStyle w:val="TableParagraph"/>
              <w:spacing w:before="94"/>
              <w:ind w:left="109"/>
              <w:rPr>
                <w:sz w:val="20"/>
              </w:rPr>
            </w:pPr>
            <w:r>
              <w:rPr>
                <w:sz w:val="20"/>
              </w:rPr>
              <w:t>1</w:t>
            </w:r>
            <w:r>
              <w:rPr>
                <w:spacing w:val="17"/>
                <w:sz w:val="20"/>
              </w:rPr>
              <w:t> </w:t>
            </w:r>
            <w:r>
              <w:rPr>
                <w:sz w:val="20"/>
              </w:rPr>
              <w:t>or</w:t>
            </w:r>
            <w:r>
              <w:rPr>
                <w:spacing w:val="21"/>
                <w:sz w:val="20"/>
              </w:rPr>
              <w:t> </w:t>
            </w:r>
            <w:r>
              <w:rPr>
                <w:sz w:val="20"/>
              </w:rPr>
              <w:t>2</w:t>
            </w:r>
            <w:r>
              <w:rPr>
                <w:spacing w:val="17"/>
                <w:sz w:val="20"/>
              </w:rPr>
              <w:t> </w:t>
            </w:r>
            <w:r>
              <w:rPr>
                <w:spacing w:val="-5"/>
                <w:sz w:val="20"/>
              </w:rPr>
              <w:t>or</w:t>
            </w:r>
          </w:p>
          <w:p>
            <w:pPr>
              <w:pStyle w:val="TableParagraph"/>
              <w:spacing w:line="216" w:lineRule="exact"/>
              <w:ind w:left="109"/>
              <w:rPr>
                <w:sz w:val="20"/>
              </w:rPr>
            </w:pPr>
            <w:r>
              <w:rPr>
                <w:sz w:val="20"/>
              </w:rPr>
              <w:t>3</w:t>
            </w:r>
            <w:r>
              <w:rPr>
                <w:spacing w:val="33"/>
                <w:sz w:val="20"/>
              </w:rPr>
              <w:t> </w:t>
            </w:r>
            <w:r>
              <w:rPr>
                <w:sz w:val="20"/>
              </w:rPr>
              <w:t>or</w:t>
            </w:r>
            <w:r>
              <w:rPr>
                <w:spacing w:val="37"/>
                <w:sz w:val="20"/>
              </w:rPr>
              <w:t> </w:t>
            </w:r>
            <w:r>
              <w:rPr>
                <w:sz w:val="20"/>
              </w:rPr>
              <w:t>4</w:t>
            </w:r>
            <w:r>
              <w:rPr>
                <w:spacing w:val="33"/>
                <w:sz w:val="20"/>
              </w:rPr>
              <w:t> </w:t>
            </w:r>
            <w:r>
              <w:rPr>
                <w:spacing w:val="-10"/>
                <w:sz w:val="20"/>
              </w:rPr>
              <w:t>&amp;</w:t>
            </w:r>
          </w:p>
        </w:tc>
        <w:tc>
          <w:tcPr>
            <w:tcW w:w="1199" w:type="dxa"/>
          </w:tcPr>
          <w:p>
            <w:pPr>
              <w:pStyle w:val="TableParagraph"/>
              <w:spacing w:before="94"/>
              <w:ind w:left="110"/>
              <w:rPr>
                <w:sz w:val="20"/>
              </w:rPr>
            </w:pPr>
            <w:r>
              <w:rPr>
                <w:spacing w:val="5"/>
                <w:sz w:val="20"/>
              </w:rPr>
              <w:t>NP</w:t>
            </w:r>
          </w:p>
        </w:tc>
        <w:tc>
          <w:tcPr>
            <w:tcW w:w="2196" w:type="dxa"/>
          </w:tcPr>
          <w:p>
            <w:pPr>
              <w:pStyle w:val="TableParagraph"/>
              <w:spacing w:line="230" w:lineRule="atLeast" w:before="76"/>
              <w:ind w:left="111"/>
              <w:rPr>
                <w:sz w:val="20"/>
              </w:rPr>
            </w:pPr>
            <w:r>
              <w:rPr>
                <w:sz w:val="20"/>
              </w:rPr>
              <w:t>In case of 3 &amp; 4 </w:t>
            </w:r>
            <w:r>
              <w:rPr>
                <w:sz w:val="20"/>
              </w:rPr>
              <w:t>in </w:t>
            </w:r>
            <w:r>
              <w:rPr>
                <w:spacing w:val="-2"/>
                <w:sz w:val="20"/>
              </w:rPr>
              <w:t>residential</w:t>
            </w:r>
          </w:p>
        </w:tc>
      </w:tr>
    </w:tbl>
    <w:p>
      <w:pPr>
        <w:pStyle w:val="TableParagraph"/>
        <w:spacing w:after="0" w:line="230" w:lineRule="atLeast"/>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798" w:hRule="atLeast"/>
        </w:trPr>
        <w:tc>
          <w:tcPr>
            <w:tcW w:w="1260" w:type="dxa"/>
          </w:tcPr>
          <w:p>
            <w:pPr>
              <w:pStyle w:val="TableParagraph"/>
              <w:rPr>
                <w:rFonts w:ascii="Times New Roman"/>
                <w:sz w:val="18"/>
              </w:rPr>
            </w:pPr>
          </w:p>
        </w:tc>
        <w:tc>
          <w:tcPr>
            <w:tcW w:w="2856" w:type="dxa"/>
          </w:tcPr>
          <w:p>
            <w:pPr>
              <w:pStyle w:val="TableParagraph"/>
              <w:ind w:left="108" w:right="855"/>
              <w:rPr>
                <w:sz w:val="20"/>
              </w:rPr>
            </w:pPr>
            <w:r>
              <w:rPr>
                <w:sz w:val="20"/>
              </w:rPr>
              <w:t>specified</w:t>
            </w:r>
            <w:r>
              <w:rPr>
                <w:spacing w:val="80"/>
                <w:sz w:val="20"/>
              </w:rPr>
              <w:t> </w:t>
            </w:r>
            <w:r>
              <w:rPr>
                <w:sz w:val="20"/>
              </w:rPr>
              <w:t>in</w:t>
            </w:r>
            <w:r>
              <w:rPr>
                <w:spacing w:val="80"/>
                <w:sz w:val="20"/>
              </w:rPr>
              <w:t> </w:t>
            </w:r>
            <w:r>
              <w:rPr>
                <w:sz w:val="20"/>
              </w:rPr>
              <w:t>this </w:t>
            </w:r>
            <w:r>
              <w:rPr>
                <w:spacing w:val="-2"/>
                <w:sz w:val="20"/>
              </w:rPr>
              <w:t>table</w:t>
            </w:r>
          </w:p>
        </w:tc>
        <w:tc>
          <w:tcPr>
            <w:tcW w:w="1276" w:type="dxa"/>
          </w:tcPr>
          <w:p>
            <w:pPr>
              <w:pStyle w:val="TableParagraph"/>
              <w:spacing w:line="233" w:lineRule="exact"/>
              <w:ind w:left="108"/>
              <w:rPr>
                <w:sz w:val="20"/>
              </w:rPr>
            </w:pPr>
            <w:r>
              <w:rPr>
                <w:spacing w:val="5"/>
                <w:sz w:val="20"/>
              </w:rPr>
              <w:t>15</w:t>
            </w:r>
          </w:p>
        </w:tc>
        <w:tc>
          <w:tcPr>
            <w:tcW w:w="1209" w:type="dxa"/>
          </w:tcPr>
          <w:p>
            <w:pPr>
              <w:pStyle w:val="TableParagraph"/>
              <w:spacing w:line="233" w:lineRule="exact"/>
              <w:ind w:left="109"/>
              <w:rPr>
                <w:sz w:val="20"/>
              </w:rPr>
            </w:pPr>
            <w:r>
              <w:rPr>
                <w:spacing w:val="5"/>
                <w:sz w:val="20"/>
              </w:rPr>
              <w:t>15</w:t>
            </w:r>
          </w:p>
        </w:tc>
        <w:tc>
          <w:tcPr>
            <w:tcW w:w="1199" w:type="dxa"/>
          </w:tcPr>
          <w:p>
            <w:pPr>
              <w:pStyle w:val="TableParagraph"/>
              <w:rPr>
                <w:rFonts w:ascii="Times New Roman"/>
                <w:sz w:val="18"/>
              </w:rPr>
            </w:pPr>
          </w:p>
        </w:tc>
        <w:tc>
          <w:tcPr>
            <w:tcW w:w="2196" w:type="dxa"/>
          </w:tcPr>
          <w:p>
            <w:pPr>
              <w:pStyle w:val="TableParagraph"/>
              <w:ind w:left="111" w:right="165"/>
              <w:jc w:val="both"/>
              <w:rPr>
                <w:sz w:val="20"/>
              </w:rPr>
            </w:pPr>
            <w:r>
              <w:rPr>
                <w:sz w:val="20"/>
              </w:rPr>
              <w:t>premises it shall</w:t>
            </w:r>
            <w:r>
              <w:rPr>
                <w:spacing w:val="80"/>
                <w:sz w:val="20"/>
              </w:rPr>
              <w:t> </w:t>
            </w:r>
            <w:r>
              <w:rPr>
                <w:sz w:val="20"/>
              </w:rPr>
              <w:t>be subject </w:t>
            </w:r>
            <w:r>
              <w:rPr>
                <w:sz w:val="20"/>
              </w:rPr>
              <w:t>to condition no 18</w:t>
            </w:r>
          </w:p>
        </w:tc>
      </w:tr>
      <w:tr>
        <w:trPr>
          <w:trHeight w:val="3244" w:hRule="atLeast"/>
        </w:trPr>
        <w:tc>
          <w:tcPr>
            <w:tcW w:w="1260" w:type="dxa"/>
          </w:tcPr>
          <w:p>
            <w:pPr>
              <w:pStyle w:val="TableParagraph"/>
              <w:spacing w:before="97"/>
              <w:ind w:left="107"/>
              <w:rPr>
                <w:sz w:val="20"/>
              </w:rPr>
            </w:pPr>
            <w:r>
              <w:rPr>
                <w:spacing w:val="-10"/>
                <w:sz w:val="20"/>
              </w:rPr>
              <w:t>9</w:t>
            </w:r>
          </w:p>
        </w:tc>
        <w:tc>
          <w:tcPr>
            <w:tcW w:w="2856" w:type="dxa"/>
          </w:tcPr>
          <w:p>
            <w:pPr>
              <w:pStyle w:val="TableParagraph"/>
              <w:tabs>
                <w:tab w:pos="1944" w:val="left" w:leader="none"/>
              </w:tabs>
              <w:spacing w:before="97"/>
              <w:ind w:left="108" w:right="191"/>
              <w:jc w:val="both"/>
              <w:rPr>
                <w:sz w:val="20"/>
              </w:rPr>
            </w:pPr>
            <w:r>
              <w:rPr>
                <w:sz w:val="20"/>
              </w:rPr>
              <w:t>Police Station, Govt. or Municipal </w:t>
            </w:r>
            <w:r>
              <w:rPr>
                <w:spacing w:val="10"/>
                <w:sz w:val="20"/>
              </w:rPr>
              <w:t>sub-</w:t>
            </w:r>
            <w:r>
              <w:rPr>
                <w:sz w:val="20"/>
              </w:rPr>
              <w:t>offices, branches of Banks with safe deposit vaults, telephone exchange,</w:t>
            </w:r>
            <w:r>
              <w:rPr>
                <w:spacing w:val="80"/>
                <w:sz w:val="20"/>
              </w:rPr>
              <w:t> </w:t>
            </w:r>
            <w:r>
              <w:rPr>
                <w:spacing w:val="10"/>
                <w:sz w:val="20"/>
              </w:rPr>
              <w:t>sub-</w:t>
            </w:r>
            <w:r>
              <w:rPr>
                <w:sz w:val="20"/>
              </w:rPr>
              <w:t>office of consulate offices, sub offices of </w:t>
            </w:r>
            <w:r>
              <w:rPr>
                <w:spacing w:val="-2"/>
                <w:sz w:val="20"/>
              </w:rPr>
              <w:t>electric</w:t>
            </w:r>
            <w:r>
              <w:rPr>
                <w:sz w:val="20"/>
              </w:rPr>
              <w:tab/>
            </w:r>
            <w:r>
              <w:rPr>
                <w:spacing w:val="-2"/>
                <w:sz w:val="20"/>
              </w:rPr>
              <w:t>supply </w:t>
            </w:r>
            <w:r>
              <w:rPr>
                <w:sz w:val="20"/>
              </w:rPr>
              <w:t>company, Post office,</w:t>
            </w:r>
            <w:r>
              <w:rPr>
                <w:spacing w:val="40"/>
                <w:sz w:val="20"/>
              </w:rPr>
              <w:t> </w:t>
            </w:r>
            <w:r>
              <w:rPr>
                <w:sz w:val="20"/>
              </w:rPr>
              <w:t>Civil Defense warden</w:t>
            </w:r>
            <w:r>
              <w:rPr>
                <w:spacing w:val="80"/>
                <w:sz w:val="20"/>
              </w:rPr>
              <w:t> </w:t>
            </w:r>
            <w:r>
              <w:rPr>
                <w:sz w:val="20"/>
              </w:rPr>
              <w:t>post and First Aid post, Home Guard &amp; Civil Defense center.</w:t>
            </w:r>
          </w:p>
        </w:tc>
        <w:tc>
          <w:tcPr>
            <w:tcW w:w="1276" w:type="dxa"/>
          </w:tcPr>
          <w:p>
            <w:pPr>
              <w:pStyle w:val="TableParagraph"/>
              <w:spacing w:line="234" w:lineRule="exact" w:before="97"/>
              <w:ind w:left="108"/>
              <w:rPr>
                <w:sz w:val="20"/>
              </w:rPr>
            </w:pPr>
            <w:r>
              <w:rPr>
                <w:sz w:val="20"/>
              </w:rPr>
              <w:t>1</w:t>
            </w:r>
            <w:r>
              <w:rPr>
                <w:spacing w:val="40"/>
                <w:sz w:val="20"/>
              </w:rPr>
              <w:t> </w:t>
            </w:r>
            <w:r>
              <w:rPr>
                <w:sz w:val="20"/>
              </w:rPr>
              <w:t>or</w:t>
            </w:r>
            <w:r>
              <w:rPr>
                <w:spacing w:val="40"/>
                <w:sz w:val="20"/>
              </w:rPr>
              <w:t> </w:t>
            </w:r>
            <w:r>
              <w:rPr>
                <w:sz w:val="20"/>
              </w:rPr>
              <w:t>2</w:t>
            </w:r>
            <w:r>
              <w:rPr>
                <w:spacing w:val="40"/>
                <w:sz w:val="20"/>
              </w:rPr>
              <w:t> </w:t>
            </w:r>
            <w:r>
              <w:rPr>
                <w:spacing w:val="-5"/>
                <w:sz w:val="20"/>
              </w:rPr>
              <w:t>or</w:t>
            </w:r>
          </w:p>
          <w:p>
            <w:pPr>
              <w:pStyle w:val="TableParagraph"/>
              <w:spacing w:line="234" w:lineRule="exact"/>
              <w:ind w:left="108"/>
              <w:rPr>
                <w:sz w:val="20"/>
              </w:rPr>
            </w:pPr>
            <w:r>
              <w:rPr>
                <w:sz w:val="20"/>
              </w:rPr>
              <w:t>3</w:t>
            </w:r>
            <w:r>
              <w:rPr>
                <w:spacing w:val="28"/>
                <w:sz w:val="20"/>
              </w:rPr>
              <w:t> </w:t>
            </w:r>
            <w:r>
              <w:rPr>
                <w:sz w:val="20"/>
              </w:rPr>
              <w:t>or</w:t>
            </w:r>
            <w:r>
              <w:rPr>
                <w:spacing w:val="25"/>
                <w:sz w:val="20"/>
              </w:rPr>
              <w:t>  </w:t>
            </w:r>
            <w:r>
              <w:rPr>
                <w:sz w:val="20"/>
              </w:rPr>
              <w:t>6</w:t>
            </w:r>
            <w:r>
              <w:rPr>
                <w:spacing w:val="30"/>
                <w:sz w:val="20"/>
              </w:rPr>
              <w:t> </w:t>
            </w:r>
            <w:r>
              <w:rPr>
                <w:spacing w:val="-10"/>
                <w:sz w:val="20"/>
              </w:rPr>
              <w:t>&amp;</w:t>
            </w:r>
          </w:p>
          <w:p>
            <w:pPr>
              <w:pStyle w:val="TableParagraph"/>
              <w:ind w:left="108"/>
              <w:rPr>
                <w:sz w:val="20"/>
              </w:rPr>
            </w:pPr>
            <w:r>
              <w:rPr>
                <w:spacing w:val="5"/>
                <w:sz w:val="20"/>
              </w:rPr>
              <w:t>14</w:t>
            </w:r>
          </w:p>
        </w:tc>
        <w:tc>
          <w:tcPr>
            <w:tcW w:w="1209" w:type="dxa"/>
          </w:tcPr>
          <w:p>
            <w:pPr>
              <w:pStyle w:val="TableParagraph"/>
              <w:spacing w:line="234" w:lineRule="exact" w:before="97"/>
              <w:ind w:left="109"/>
              <w:rPr>
                <w:sz w:val="20"/>
              </w:rPr>
            </w:pPr>
            <w:r>
              <w:rPr>
                <w:sz w:val="20"/>
              </w:rPr>
              <w:t>1</w:t>
            </w:r>
            <w:r>
              <w:rPr>
                <w:spacing w:val="40"/>
                <w:sz w:val="20"/>
              </w:rPr>
              <w:t> </w:t>
            </w:r>
            <w:r>
              <w:rPr>
                <w:sz w:val="20"/>
              </w:rPr>
              <w:t>or</w:t>
            </w:r>
            <w:r>
              <w:rPr>
                <w:spacing w:val="44"/>
                <w:sz w:val="20"/>
              </w:rPr>
              <w:t> </w:t>
            </w:r>
            <w:r>
              <w:rPr>
                <w:sz w:val="20"/>
              </w:rPr>
              <w:t>2</w:t>
            </w:r>
            <w:r>
              <w:rPr>
                <w:spacing w:val="40"/>
                <w:sz w:val="20"/>
              </w:rPr>
              <w:t> </w:t>
            </w:r>
            <w:r>
              <w:rPr>
                <w:spacing w:val="-5"/>
                <w:sz w:val="20"/>
              </w:rPr>
              <w:t>or</w:t>
            </w:r>
          </w:p>
          <w:p>
            <w:pPr>
              <w:pStyle w:val="TableParagraph"/>
              <w:spacing w:line="234" w:lineRule="exact"/>
              <w:ind w:left="109"/>
              <w:rPr>
                <w:sz w:val="20"/>
              </w:rPr>
            </w:pPr>
            <w:r>
              <w:rPr>
                <w:sz w:val="20"/>
              </w:rPr>
              <w:t>3</w:t>
            </w:r>
            <w:r>
              <w:rPr>
                <w:spacing w:val="57"/>
                <w:w w:val="150"/>
                <w:sz w:val="20"/>
              </w:rPr>
              <w:t> </w:t>
            </w:r>
            <w:r>
              <w:rPr>
                <w:sz w:val="20"/>
              </w:rPr>
              <w:t>or</w:t>
            </w:r>
            <w:r>
              <w:rPr>
                <w:spacing w:val="61"/>
                <w:w w:val="150"/>
                <w:sz w:val="20"/>
              </w:rPr>
              <w:t> </w:t>
            </w:r>
            <w:r>
              <w:rPr>
                <w:spacing w:val="-5"/>
                <w:sz w:val="20"/>
              </w:rPr>
              <w:t>6</w:t>
            </w:r>
            <w:r>
              <w:rPr>
                <w:color w:val="000000"/>
                <w:spacing w:val="-5"/>
                <w:sz w:val="20"/>
                <w:shd w:fill="FFCCFF" w:color="auto" w:val="clear"/>
              </w:rPr>
              <w:t>or</w:t>
            </w:r>
          </w:p>
          <w:p>
            <w:pPr>
              <w:pStyle w:val="TableParagraph"/>
              <w:ind w:left="109"/>
              <w:rPr>
                <w:sz w:val="20"/>
              </w:rPr>
            </w:pPr>
            <w:r>
              <w:rPr>
                <w:color w:val="000000"/>
                <w:spacing w:val="-10"/>
                <w:sz w:val="20"/>
                <w:shd w:fill="FFCCFF" w:color="auto" w:val="clear"/>
              </w:rPr>
              <w:t>9</w:t>
            </w:r>
          </w:p>
        </w:tc>
        <w:tc>
          <w:tcPr>
            <w:tcW w:w="1199" w:type="dxa"/>
          </w:tcPr>
          <w:p>
            <w:pPr>
              <w:pStyle w:val="TableParagraph"/>
              <w:tabs>
                <w:tab w:pos="441" w:val="left" w:leader="none"/>
              </w:tabs>
              <w:spacing w:line="234" w:lineRule="exact" w:before="97"/>
              <w:ind w:left="110"/>
              <w:rPr>
                <w:sz w:val="20"/>
              </w:rPr>
            </w:pPr>
            <w:r>
              <w:rPr>
                <w:spacing w:val="-10"/>
                <w:sz w:val="20"/>
              </w:rPr>
              <w:t>1</w:t>
            </w:r>
            <w:r>
              <w:rPr>
                <w:sz w:val="20"/>
              </w:rPr>
              <w:tab/>
            </w:r>
            <w:r>
              <w:rPr>
                <w:spacing w:val="-5"/>
                <w:sz w:val="20"/>
              </w:rPr>
              <w:t>or</w:t>
            </w:r>
          </w:p>
          <w:p>
            <w:pPr>
              <w:pStyle w:val="TableParagraph"/>
              <w:tabs>
                <w:tab w:pos="441" w:val="left" w:leader="none"/>
              </w:tabs>
              <w:spacing w:line="234" w:lineRule="exact"/>
              <w:ind w:left="110"/>
              <w:rPr>
                <w:sz w:val="20"/>
              </w:rPr>
            </w:pPr>
            <w:r>
              <w:rPr>
                <w:spacing w:val="-10"/>
                <w:sz w:val="20"/>
              </w:rPr>
              <w:t>2</w:t>
            </w:r>
            <w:r>
              <w:rPr>
                <w:sz w:val="20"/>
              </w:rPr>
              <w:tab/>
            </w:r>
            <w:r>
              <w:rPr>
                <w:spacing w:val="-5"/>
                <w:sz w:val="20"/>
              </w:rPr>
              <w:t>or</w:t>
            </w:r>
          </w:p>
          <w:p>
            <w:pPr>
              <w:pStyle w:val="TableParagraph"/>
              <w:tabs>
                <w:tab w:pos="441" w:val="left" w:leader="none"/>
              </w:tabs>
              <w:ind w:left="110"/>
              <w:rPr>
                <w:sz w:val="20"/>
              </w:rPr>
            </w:pPr>
            <w:r>
              <w:rPr>
                <w:spacing w:val="-10"/>
                <w:sz w:val="20"/>
              </w:rPr>
              <w:t>3</w:t>
            </w:r>
            <w:r>
              <w:rPr>
                <w:sz w:val="20"/>
              </w:rPr>
              <w:tab/>
            </w:r>
            <w:r>
              <w:rPr>
                <w:spacing w:val="-5"/>
                <w:sz w:val="20"/>
              </w:rPr>
              <w:t>or</w:t>
            </w:r>
          </w:p>
          <w:p>
            <w:pPr>
              <w:pStyle w:val="TableParagraph"/>
              <w:spacing w:before="1"/>
              <w:ind w:left="110"/>
              <w:rPr>
                <w:sz w:val="20"/>
              </w:rPr>
            </w:pPr>
            <w:r>
              <w:rPr>
                <w:sz w:val="20"/>
              </w:rPr>
              <w:t>4</w:t>
            </w:r>
            <w:r>
              <w:rPr>
                <w:color w:val="000000"/>
                <w:sz w:val="20"/>
                <w:shd w:fill="FFCCFF" w:color="auto" w:val="clear"/>
              </w:rPr>
              <w:t>or</w:t>
            </w:r>
            <w:r>
              <w:rPr>
                <w:color w:val="000000"/>
                <w:spacing w:val="25"/>
                <w:sz w:val="20"/>
                <w:shd w:fill="FFCCFF" w:color="auto" w:val="clear"/>
              </w:rPr>
              <w:t> </w:t>
            </w:r>
            <w:r>
              <w:rPr>
                <w:color w:val="000000"/>
                <w:spacing w:val="-10"/>
                <w:sz w:val="20"/>
                <w:shd w:fill="FFCCFF" w:color="auto" w:val="clear"/>
              </w:rPr>
              <w:t>6</w:t>
            </w:r>
          </w:p>
        </w:tc>
        <w:tc>
          <w:tcPr>
            <w:tcW w:w="2196" w:type="dxa"/>
          </w:tcPr>
          <w:p>
            <w:pPr>
              <w:pStyle w:val="TableParagraph"/>
              <w:tabs>
                <w:tab w:pos="730" w:val="left" w:leader="none"/>
                <w:tab w:pos="1880" w:val="left" w:leader="none"/>
              </w:tabs>
              <w:spacing w:before="97"/>
              <w:ind w:left="111" w:right="105"/>
              <w:rPr>
                <w:sz w:val="20"/>
              </w:rPr>
            </w:pPr>
            <w:r>
              <w:rPr>
                <w:sz w:val="20"/>
              </w:rPr>
              <w:t>In</w:t>
            </w:r>
            <w:r>
              <w:rPr>
                <w:spacing w:val="40"/>
                <w:sz w:val="20"/>
              </w:rPr>
              <w:t> </w:t>
            </w:r>
            <w:r>
              <w:rPr>
                <w:sz w:val="20"/>
              </w:rPr>
              <w:t>case</w:t>
            </w:r>
            <w:r>
              <w:rPr>
                <w:spacing w:val="40"/>
                <w:sz w:val="20"/>
              </w:rPr>
              <w:t> </w:t>
            </w:r>
            <w:r>
              <w:rPr>
                <w:sz w:val="20"/>
              </w:rPr>
              <w:t>of</w:t>
            </w:r>
            <w:r>
              <w:rPr>
                <w:spacing w:val="40"/>
                <w:sz w:val="20"/>
              </w:rPr>
              <w:t> </w:t>
            </w:r>
            <w:r>
              <w:rPr>
                <w:sz w:val="20"/>
              </w:rPr>
              <w:t>3,6</w:t>
            </w:r>
            <w:r>
              <w:rPr>
                <w:spacing w:val="40"/>
                <w:sz w:val="20"/>
              </w:rPr>
              <w:t> </w:t>
            </w:r>
            <w:r>
              <w:rPr>
                <w:sz w:val="20"/>
              </w:rPr>
              <w:t>in</w:t>
            </w:r>
            <w:r>
              <w:rPr>
                <w:spacing w:val="40"/>
                <w:sz w:val="20"/>
              </w:rPr>
              <w:t> </w:t>
            </w:r>
            <w:r>
              <w:rPr>
                <w:spacing w:val="-2"/>
                <w:sz w:val="20"/>
              </w:rPr>
              <w:t>residential</w:t>
            </w:r>
            <w:r>
              <w:rPr>
                <w:spacing w:val="8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tc>
      </w:tr>
      <w:tr>
        <w:trPr>
          <w:trHeight w:val="1132" w:hRule="atLeast"/>
        </w:trPr>
        <w:tc>
          <w:tcPr>
            <w:tcW w:w="1260" w:type="dxa"/>
          </w:tcPr>
          <w:p>
            <w:pPr>
              <w:pStyle w:val="TableParagraph"/>
              <w:spacing w:before="94"/>
              <w:ind w:left="177"/>
              <w:rPr>
                <w:sz w:val="20"/>
              </w:rPr>
            </w:pPr>
            <w:r>
              <w:rPr>
                <w:spacing w:val="5"/>
                <w:sz w:val="20"/>
              </w:rPr>
              <w:t>10</w:t>
            </w:r>
          </w:p>
        </w:tc>
        <w:tc>
          <w:tcPr>
            <w:tcW w:w="2856" w:type="dxa"/>
          </w:tcPr>
          <w:p>
            <w:pPr>
              <w:pStyle w:val="TableParagraph"/>
              <w:tabs>
                <w:tab w:pos="1905" w:val="left" w:leader="none"/>
              </w:tabs>
              <w:spacing w:before="94"/>
              <w:ind w:left="108" w:right="553"/>
              <w:rPr>
                <w:sz w:val="20"/>
              </w:rPr>
            </w:pPr>
            <w:r>
              <w:rPr>
                <w:spacing w:val="-2"/>
                <w:sz w:val="20"/>
              </w:rPr>
              <w:t>Electricity</w:t>
            </w:r>
            <w:r>
              <w:rPr>
                <w:spacing w:val="40"/>
                <w:sz w:val="20"/>
              </w:rPr>
              <w:t>  </w:t>
            </w:r>
            <w:r>
              <w:rPr>
                <w:spacing w:val="-2"/>
                <w:sz w:val="20"/>
              </w:rPr>
              <w:t>consumer/ distribution</w:t>
            </w:r>
            <w:r>
              <w:rPr>
                <w:sz w:val="20"/>
              </w:rPr>
              <w:tab/>
            </w:r>
            <w:r>
              <w:rPr>
                <w:spacing w:val="-4"/>
                <w:sz w:val="20"/>
              </w:rPr>
              <w:t>sub </w:t>
            </w:r>
            <w:r>
              <w:rPr>
                <w:spacing w:val="-2"/>
                <w:sz w:val="20"/>
              </w:rPr>
              <w:t>stations</w:t>
            </w:r>
          </w:p>
        </w:tc>
        <w:tc>
          <w:tcPr>
            <w:tcW w:w="1276" w:type="dxa"/>
          </w:tcPr>
          <w:p>
            <w:pPr>
              <w:pStyle w:val="TableParagraph"/>
              <w:spacing w:before="94"/>
              <w:ind w:left="108"/>
              <w:rPr>
                <w:sz w:val="20"/>
              </w:rPr>
            </w:pPr>
            <w:r>
              <w:rPr>
                <w:sz w:val="20"/>
              </w:rPr>
              <w:t>1</w:t>
            </w:r>
            <w:r>
              <w:rPr>
                <w:spacing w:val="40"/>
                <w:sz w:val="20"/>
              </w:rPr>
              <w:t> </w:t>
            </w:r>
            <w:r>
              <w:rPr>
                <w:sz w:val="20"/>
              </w:rPr>
              <w:t>or</w:t>
            </w:r>
            <w:r>
              <w:rPr>
                <w:spacing w:val="40"/>
                <w:sz w:val="20"/>
              </w:rPr>
              <w:t> </w:t>
            </w:r>
            <w:r>
              <w:rPr>
                <w:sz w:val="20"/>
              </w:rPr>
              <w:t>2</w:t>
            </w:r>
            <w:r>
              <w:rPr>
                <w:spacing w:val="40"/>
                <w:sz w:val="20"/>
              </w:rPr>
              <w:t> </w:t>
            </w:r>
            <w:r>
              <w:rPr>
                <w:spacing w:val="-5"/>
                <w:sz w:val="20"/>
              </w:rPr>
              <w:t>or</w:t>
            </w:r>
          </w:p>
          <w:p>
            <w:pPr>
              <w:pStyle w:val="TableParagraph"/>
              <w:spacing w:before="1"/>
              <w:ind w:left="108"/>
              <w:rPr>
                <w:sz w:val="20"/>
              </w:rPr>
            </w:pPr>
            <w:r>
              <w:rPr>
                <w:sz w:val="20"/>
              </w:rPr>
              <w:t>3</w:t>
            </w:r>
            <w:r>
              <w:rPr>
                <w:spacing w:val="40"/>
                <w:sz w:val="20"/>
              </w:rPr>
              <w:t> </w:t>
            </w:r>
            <w:r>
              <w:rPr>
                <w:sz w:val="20"/>
              </w:rPr>
              <w:t>or</w:t>
            </w:r>
            <w:r>
              <w:rPr>
                <w:spacing w:val="40"/>
                <w:sz w:val="20"/>
              </w:rPr>
              <w:t> </w:t>
            </w:r>
            <w:r>
              <w:rPr>
                <w:sz w:val="20"/>
              </w:rPr>
              <w:t>6</w:t>
            </w:r>
            <w:r>
              <w:rPr>
                <w:spacing w:val="40"/>
                <w:sz w:val="20"/>
              </w:rPr>
              <w:t> </w:t>
            </w:r>
            <w:r>
              <w:rPr>
                <w:spacing w:val="-5"/>
                <w:sz w:val="20"/>
              </w:rPr>
              <w:t>or</w:t>
            </w:r>
          </w:p>
          <w:p>
            <w:pPr>
              <w:pStyle w:val="TableParagraph"/>
              <w:ind w:left="108"/>
              <w:rPr>
                <w:sz w:val="20"/>
              </w:rPr>
            </w:pPr>
            <w:r>
              <w:rPr>
                <w:sz w:val="20"/>
              </w:rPr>
              <w:t>7</w:t>
            </w:r>
            <w:r>
              <w:rPr>
                <w:spacing w:val="23"/>
                <w:sz w:val="20"/>
              </w:rPr>
              <w:t> </w:t>
            </w:r>
            <w:r>
              <w:rPr>
                <w:sz w:val="20"/>
              </w:rPr>
              <w:t>or</w:t>
            </w:r>
            <w:r>
              <w:rPr>
                <w:spacing w:val="22"/>
                <w:sz w:val="20"/>
              </w:rPr>
              <w:t> </w:t>
            </w:r>
            <w:r>
              <w:rPr>
                <w:spacing w:val="-10"/>
                <w:sz w:val="20"/>
              </w:rPr>
              <w:t>8</w:t>
            </w:r>
          </w:p>
        </w:tc>
        <w:tc>
          <w:tcPr>
            <w:tcW w:w="1209" w:type="dxa"/>
          </w:tcPr>
          <w:p>
            <w:pPr>
              <w:pStyle w:val="TableParagraph"/>
              <w:spacing w:before="94"/>
              <w:ind w:left="109"/>
              <w:rPr>
                <w:sz w:val="20"/>
              </w:rPr>
            </w:pPr>
            <w:r>
              <w:rPr>
                <w:sz w:val="20"/>
              </w:rPr>
              <w:t>1</w:t>
            </w:r>
            <w:r>
              <w:rPr>
                <w:spacing w:val="40"/>
                <w:sz w:val="20"/>
              </w:rPr>
              <w:t> </w:t>
            </w:r>
            <w:r>
              <w:rPr>
                <w:sz w:val="20"/>
              </w:rPr>
              <w:t>or</w:t>
            </w:r>
            <w:r>
              <w:rPr>
                <w:spacing w:val="44"/>
                <w:sz w:val="20"/>
              </w:rPr>
              <w:t> </w:t>
            </w:r>
            <w:r>
              <w:rPr>
                <w:sz w:val="20"/>
              </w:rPr>
              <w:t>2</w:t>
            </w:r>
            <w:r>
              <w:rPr>
                <w:spacing w:val="40"/>
                <w:sz w:val="20"/>
              </w:rPr>
              <w:t> </w:t>
            </w:r>
            <w:r>
              <w:rPr>
                <w:spacing w:val="-5"/>
                <w:sz w:val="20"/>
              </w:rPr>
              <w:t>or</w:t>
            </w:r>
          </w:p>
          <w:p>
            <w:pPr>
              <w:pStyle w:val="TableParagraph"/>
              <w:spacing w:before="1"/>
              <w:ind w:left="109"/>
              <w:rPr>
                <w:sz w:val="20"/>
              </w:rPr>
            </w:pPr>
            <w:r>
              <w:rPr>
                <w:sz w:val="20"/>
              </w:rPr>
              <w:t>3</w:t>
            </w:r>
            <w:r>
              <w:rPr>
                <w:spacing w:val="40"/>
                <w:sz w:val="20"/>
              </w:rPr>
              <w:t> </w:t>
            </w:r>
            <w:r>
              <w:rPr>
                <w:sz w:val="20"/>
              </w:rPr>
              <w:t>or</w:t>
            </w:r>
            <w:r>
              <w:rPr>
                <w:spacing w:val="44"/>
                <w:sz w:val="20"/>
              </w:rPr>
              <w:t> </w:t>
            </w:r>
            <w:r>
              <w:rPr>
                <w:sz w:val="20"/>
              </w:rPr>
              <w:t>6</w:t>
            </w:r>
            <w:r>
              <w:rPr>
                <w:spacing w:val="40"/>
                <w:sz w:val="20"/>
              </w:rPr>
              <w:t> </w:t>
            </w:r>
            <w:r>
              <w:rPr>
                <w:spacing w:val="-5"/>
                <w:sz w:val="20"/>
              </w:rPr>
              <w:t>or</w:t>
            </w:r>
          </w:p>
          <w:p>
            <w:pPr>
              <w:pStyle w:val="TableParagraph"/>
              <w:ind w:left="109"/>
              <w:rPr>
                <w:sz w:val="20"/>
              </w:rPr>
            </w:pPr>
            <w:r>
              <w:rPr>
                <w:sz w:val="20"/>
              </w:rPr>
              <w:t>7</w:t>
            </w:r>
            <w:r>
              <w:rPr>
                <w:spacing w:val="23"/>
                <w:sz w:val="20"/>
              </w:rPr>
              <w:t> </w:t>
            </w:r>
            <w:r>
              <w:rPr>
                <w:sz w:val="20"/>
              </w:rPr>
              <w:t>or</w:t>
            </w:r>
            <w:r>
              <w:rPr>
                <w:spacing w:val="22"/>
                <w:sz w:val="20"/>
              </w:rPr>
              <w:t> </w:t>
            </w:r>
            <w:r>
              <w:rPr>
                <w:spacing w:val="-10"/>
                <w:sz w:val="20"/>
              </w:rPr>
              <w:t>8</w:t>
            </w:r>
          </w:p>
        </w:tc>
        <w:tc>
          <w:tcPr>
            <w:tcW w:w="1199" w:type="dxa"/>
          </w:tcPr>
          <w:p>
            <w:pPr>
              <w:pStyle w:val="TableParagraph"/>
              <w:spacing w:before="94"/>
              <w:ind w:left="110" w:right="-15"/>
              <w:rPr>
                <w:sz w:val="20"/>
              </w:rPr>
            </w:pPr>
            <w:r>
              <w:rPr>
                <w:sz w:val="20"/>
              </w:rPr>
              <w:t>1</w:t>
            </w:r>
            <w:r>
              <w:rPr>
                <w:spacing w:val="10"/>
                <w:sz w:val="20"/>
              </w:rPr>
              <w:t> </w:t>
            </w:r>
            <w:r>
              <w:rPr>
                <w:sz w:val="20"/>
              </w:rPr>
              <w:t>or</w:t>
            </w:r>
            <w:r>
              <w:rPr>
                <w:spacing w:val="10"/>
                <w:sz w:val="20"/>
              </w:rPr>
              <w:t> </w:t>
            </w:r>
            <w:r>
              <w:rPr>
                <w:sz w:val="20"/>
              </w:rPr>
              <w:t>2</w:t>
            </w:r>
            <w:r>
              <w:rPr>
                <w:spacing w:val="11"/>
                <w:sz w:val="20"/>
              </w:rPr>
              <w:t> </w:t>
            </w:r>
            <w:r>
              <w:rPr>
                <w:sz w:val="20"/>
              </w:rPr>
              <w:t>or</w:t>
            </w:r>
            <w:r>
              <w:rPr>
                <w:spacing w:val="13"/>
                <w:sz w:val="20"/>
              </w:rPr>
              <w:t> </w:t>
            </w:r>
            <w:r>
              <w:rPr>
                <w:spacing w:val="-10"/>
                <w:sz w:val="20"/>
              </w:rPr>
              <w:t>3</w:t>
            </w:r>
          </w:p>
          <w:p>
            <w:pPr>
              <w:pStyle w:val="TableParagraph"/>
              <w:spacing w:before="1"/>
              <w:ind w:left="110" w:right="-15"/>
              <w:rPr>
                <w:sz w:val="20"/>
              </w:rPr>
            </w:pPr>
            <w:r>
              <w:rPr>
                <w:sz w:val="20"/>
              </w:rPr>
              <w:t>or</w:t>
            </w:r>
            <w:r>
              <w:rPr>
                <w:spacing w:val="78"/>
                <w:sz w:val="20"/>
              </w:rPr>
              <w:t> </w:t>
            </w:r>
            <w:r>
              <w:rPr>
                <w:sz w:val="20"/>
              </w:rPr>
              <w:t>6</w:t>
            </w:r>
            <w:r>
              <w:rPr>
                <w:spacing w:val="76"/>
                <w:sz w:val="20"/>
              </w:rPr>
              <w:t> </w:t>
            </w:r>
            <w:r>
              <w:rPr>
                <w:sz w:val="20"/>
              </w:rPr>
              <w:t>or</w:t>
            </w:r>
            <w:r>
              <w:rPr>
                <w:spacing w:val="78"/>
                <w:sz w:val="20"/>
              </w:rPr>
              <w:t> </w:t>
            </w:r>
            <w:r>
              <w:rPr>
                <w:spacing w:val="-10"/>
                <w:sz w:val="20"/>
              </w:rPr>
              <w:t>7</w:t>
            </w:r>
          </w:p>
          <w:p>
            <w:pPr>
              <w:pStyle w:val="TableParagraph"/>
              <w:ind w:left="110"/>
              <w:rPr>
                <w:sz w:val="20"/>
              </w:rPr>
            </w:pPr>
            <w:r>
              <w:rPr>
                <w:sz w:val="20"/>
              </w:rPr>
              <w:t>or</w:t>
            </w:r>
            <w:r>
              <w:rPr>
                <w:spacing w:val="24"/>
                <w:sz w:val="20"/>
              </w:rPr>
              <w:t> </w:t>
            </w:r>
            <w:r>
              <w:rPr>
                <w:spacing w:val="-10"/>
                <w:sz w:val="20"/>
              </w:rPr>
              <w:t>8</w:t>
            </w:r>
          </w:p>
        </w:tc>
        <w:tc>
          <w:tcPr>
            <w:tcW w:w="2196" w:type="dxa"/>
          </w:tcPr>
          <w:p>
            <w:pPr>
              <w:pStyle w:val="TableParagraph"/>
              <w:rPr>
                <w:rFonts w:ascii="Times New Roman"/>
                <w:sz w:val="18"/>
              </w:rPr>
            </w:pPr>
          </w:p>
        </w:tc>
      </w:tr>
      <w:tr>
        <w:trPr>
          <w:trHeight w:val="1365" w:hRule="atLeast"/>
        </w:trPr>
        <w:tc>
          <w:tcPr>
            <w:tcW w:w="1260" w:type="dxa"/>
          </w:tcPr>
          <w:p>
            <w:pPr>
              <w:pStyle w:val="TableParagraph"/>
              <w:spacing w:before="95"/>
              <w:ind w:left="102"/>
              <w:rPr>
                <w:sz w:val="20"/>
              </w:rPr>
            </w:pPr>
            <w:r>
              <w:rPr>
                <w:spacing w:val="5"/>
                <w:sz w:val="20"/>
              </w:rPr>
              <w:t>11</w:t>
            </w:r>
          </w:p>
        </w:tc>
        <w:tc>
          <w:tcPr>
            <w:tcW w:w="2856" w:type="dxa"/>
          </w:tcPr>
          <w:p>
            <w:pPr>
              <w:pStyle w:val="TableParagraph"/>
              <w:spacing w:before="95"/>
              <w:ind w:left="108"/>
              <w:rPr>
                <w:sz w:val="20"/>
              </w:rPr>
            </w:pPr>
            <w:r>
              <w:rPr>
                <w:sz w:val="20"/>
              </w:rPr>
              <w:t>Fire</w:t>
            </w:r>
            <w:r>
              <w:rPr>
                <w:spacing w:val="43"/>
                <w:sz w:val="20"/>
              </w:rPr>
              <w:t> </w:t>
            </w:r>
            <w:r>
              <w:rPr>
                <w:spacing w:val="-2"/>
                <w:sz w:val="20"/>
              </w:rPr>
              <w:t>station,</w:t>
            </w:r>
          </w:p>
        </w:tc>
        <w:tc>
          <w:tcPr>
            <w:tcW w:w="1276" w:type="dxa"/>
          </w:tcPr>
          <w:p>
            <w:pPr>
              <w:pStyle w:val="TableParagraph"/>
              <w:spacing w:before="95"/>
              <w:ind w:left="108"/>
              <w:rPr>
                <w:sz w:val="20"/>
              </w:rPr>
            </w:pPr>
            <w:r>
              <w:rPr>
                <w:sz w:val="20"/>
              </w:rPr>
              <w:t>1</w:t>
            </w:r>
            <w:r>
              <w:rPr>
                <w:spacing w:val="40"/>
                <w:sz w:val="20"/>
              </w:rPr>
              <w:t> </w:t>
            </w:r>
            <w:r>
              <w:rPr>
                <w:sz w:val="20"/>
              </w:rPr>
              <w:t>or</w:t>
            </w:r>
            <w:r>
              <w:rPr>
                <w:spacing w:val="40"/>
                <w:sz w:val="20"/>
              </w:rPr>
              <w:t> </w:t>
            </w:r>
            <w:r>
              <w:rPr>
                <w:sz w:val="20"/>
              </w:rPr>
              <w:t>2</w:t>
            </w:r>
            <w:r>
              <w:rPr>
                <w:spacing w:val="40"/>
                <w:sz w:val="20"/>
              </w:rPr>
              <w:t> </w:t>
            </w:r>
            <w:r>
              <w:rPr>
                <w:spacing w:val="-5"/>
                <w:sz w:val="20"/>
              </w:rPr>
              <w:t>or</w:t>
            </w:r>
          </w:p>
          <w:p>
            <w:pPr>
              <w:pStyle w:val="TableParagraph"/>
              <w:ind w:left="108"/>
              <w:rPr>
                <w:sz w:val="20"/>
              </w:rPr>
            </w:pPr>
            <w:r>
              <w:rPr>
                <w:sz w:val="20"/>
              </w:rPr>
              <w:t>3</w:t>
            </w:r>
            <w:r>
              <w:rPr>
                <w:spacing w:val="16"/>
                <w:sz w:val="20"/>
              </w:rPr>
              <w:t> </w:t>
            </w:r>
            <w:r>
              <w:rPr>
                <w:sz w:val="20"/>
              </w:rPr>
              <w:t>&amp;</w:t>
            </w:r>
            <w:r>
              <w:rPr>
                <w:spacing w:val="20"/>
                <w:sz w:val="20"/>
              </w:rPr>
              <w:t> </w:t>
            </w:r>
            <w:r>
              <w:rPr>
                <w:spacing w:val="-5"/>
                <w:sz w:val="20"/>
              </w:rPr>
              <w:t>13</w:t>
            </w:r>
          </w:p>
        </w:tc>
        <w:tc>
          <w:tcPr>
            <w:tcW w:w="1209" w:type="dxa"/>
          </w:tcPr>
          <w:p>
            <w:pPr>
              <w:pStyle w:val="TableParagraph"/>
              <w:spacing w:before="95"/>
              <w:ind w:left="109"/>
              <w:rPr>
                <w:sz w:val="20"/>
              </w:rPr>
            </w:pPr>
            <w:r>
              <w:rPr>
                <w:sz w:val="20"/>
              </w:rPr>
              <w:t>1</w:t>
            </w:r>
            <w:r>
              <w:rPr>
                <w:spacing w:val="40"/>
                <w:sz w:val="20"/>
              </w:rPr>
              <w:t> </w:t>
            </w:r>
            <w:r>
              <w:rPr>
                <w:sz w:val="20"/>
              </w:rPr>
              <w:t>or</w:t>
            </w:r>
            <w:r>
              <w:rPr>
                <w:spacing w:val="44"/>
                <w:sz w:val="20"/>
              </w:rPr>
              <w:t> </w:t>
            </w:r>
            <w:r>
              <w:rPr>
                <w:sz w:val="20"/>
              </w:rPr>
              <w:t>2</w:t>
            </w:r>
            <w:r>
              <w:rPr>
                <w:spacing w:val="40"/>
                <w:sz w:val="20"/>
              </w:rPr>
              <w:t> </w:t>
            </w:r>
            <w:r>
              <w:rPr>
                <w:spacing w:val="-5"/>
                <w:sz w:val="20"/>
              </w:rPr>
              <w:t>or</w:t>
            </w:r>
          </w:p>
          <w:p>
            <w:pPr>
              <w:pStyle w:val="TableParagraph"/>
              <w:ind w:left="109"/>
              <w:rPr>
                <w:sz w:val="20"/>
              </w:rPr>
            </w:pPr>
            <w:r>
              <w:rPr>
                <w:sz w:val="20"/>
              </w:rPr>
              <w:t>3</w:t>
            </w:r>
            <w:r>
              <w:rPr>
                <w:spacing w:val="16"/>
                <w:sz w:val="20"/>
              </w:rPr>
              <w:t> </w:t>
            </w:r>
            <w:r>
              <w:rPr>
                <w:sz w:val="20"/>
              </w:rPr>
              <w:t>&amp;</w:t>
            </w:r>
            <w:r>
              <w:rPr>
                <w:spacing w:val="20"/>
                <w:sz w:val="20"/>
              </w:rPr>
              <w:t> </w:t>
            </w:r>
            <w:r>
              <w:rPr>
                <w:spacing w:val="-5"/>
                <w:sz w:val="20"/>
              </w:rPr>
              <w:t>13</w:t>
            </w:r>
          </w:p>
        </w:tc>
        <w:tc>
          <w:tcPr>
            <w:tcW w:w="1199" w:type="dxa"/>
          </w:tcPr>
          <w:p>
            <w:pPr>
              <w:pStyle w:val="TableParagraph"/>
              <w:spacing w:before="95"/>
              <w:ind w:left="110"/>
              <w:rPr>
                <w:sz w:val="20"/>
              </w:rPr>
            </w:pPr>
            <w:r>
              <w:rPr>
                <w:sz w:val="20"/>
              </w:rPr>
              <w:t>1</w:t>
            </w:r>
            <w:r>
              <w:rPr>
                <w:spacing w:val="23"/>
                <w:sz w:val="20"/>
              </w:rPr>
              <w:t> </w:t>
            </w:r>
            <w:r>
              <w:rPr>
                <w:sz w:val="20"/>
              </w:rPr>
              <w:t>or</w:t>
            </w:r>
            <w:r>
              <w:rPr>
                <w:spacing w:val="22"/>
                <w:sz w:val="20"/>
              </w:rPr>
              <w:t> </w:t>
            </w:r>
            <w:r>
              <w:rPr>
                <w:spacing w:val="-10"/>
                <w:sz w:val="20"/>
              </w:rPr>
              <w:t>2</w:t>
            </w:r>
          </w:p>
        </w:tc>
        <w:tc>
          <w:tcPr>
            <w:tcW w:w="2196" w:type="dxa"/>
          </w:tcPr>
          <w:p>
            <w:pPr>
              <w:pStyle w:val="TableParagraph"/>
              <w:tabs>
                <w:tab w:pos="701" w:val="left" w:leader="none"/>
                <w:tab w:pos="1818" w:val="left" w:leader="none"/>
              </w:tabs>
              <w:spacing w:before="95"/>
              <w:ind w:left="111" w:right="165"/>
              <w:rPr>
                <w:sz w:val="20"/>
              </w:rPr>
            </w:pPr>
            <w:r>
              <w:rPr>
                <w:sz w:val="20"/>
              </w:rPr>
              <w:t>In</w:t>
            </w:r>
            <w:r>
              <w:rPr>
                <w:spacing w:val="80"/>
                <w:sz w:val="20"/>
              </w:rPr>
              <w:t> </w:t>
            </w:r>
            <w:r>
              <w:rPr>
                <w:sz w:val="20"/>
              </w:rPr>
              <w:t>case</w:t>
            </w:r>
            <w:r>
              <w:rPr>
                <w:spacing w:val="80"/>
                <w:sz w:val="20"/>
              </w:rPr>
              <w:t> </w:t>
            </w:r>
            <w:r>
              <w:rPr>
                <w:sz w:val="20"/>
              </w:rPr>
              <w:t>of</w:t>
            </w:r>
            <w:r>
              <w:rPr>
                <w:spacing w:val="80"/>
                <w:sz w:val="20"/>
              </w:rPr>
              <w:t> </w:t>
            </w:r>
            <w:r>
              <w:rPr>
                <w:sz w:val="20"/>
              </w:rPr>
              <w:t>3</w:t>
            </w:r>
            <w:r>
              <w:rPr>
                <w:spacing w:val="80"/>
                <w:sz w:val="20"/>
              </w:rPr>
              <w:t> </w:t>
            </w:r>
            <w:r>
              <w:rPr>
                <w:sz w:val="20"/>
              </w:rPr>
              <w:t>in </w:t>
            </w:r>
            <w:r>
              <w:rPr>
                <w:spacing w:val="-2"/>
                <w:sz w:val="20"/>
              </w:rPr>
              <w:t>residential</w:t>
            </w:r>
            <w:r>
              <w:rPr>
                <w:spacing w:val="40"/>
                <w:sz w:val="20"/>
              </w:rPr>
              <w:t> </w:t>
            </w:r>
            <w:r>
              <w:rPr>
                <w:sz w:val="20"/>
              </w:rPr>
              <w:t>premises</w:t>
            </w:r>
            <w:r>
              <w:rPr>
                <w:spacing w:val="40"/>
                <w:sz w:val="20"/>
              </w:rPr>
              <w:t> </w:t>
            </w:r>
            <w:r>
              <w:rPr>
                <w:sz w:val="20"/>
              </w:rPr>
              <w:t>it</w:t>
            </w:r>
            <w:r>
              <w:rPr>
                <w:spacing w:val="4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tc>
      </w:tr>
      <w:tr>
        <w:trPr>
          <w:trHeight w:val="2774" w:hRule="atLeast"/>
        </w:trPr>
        <w:tc>
          <w:tcPr>
            <w:tcW w:w="1260" w:type="dxa"/>
          </w:tcPr>
          <w:p>
            <w:pPr>
              <w:pStyle w:val="TableParagraph"/>
              <w:spacing w:before="94"/>
              <w:ind w:left="102"/>
              <w:rPr>
                <w:sz w:val="20"/>
              </w:rPr>
            </w:pPr>
            <w:r>
              <w:rPr>
                <w:spacing w:val="5"/>
                <w:sz w:val="20"/>
              </w:rPr>
              <w:t>12</w:t>
            </w:r>
          </w:p>
        </w:tc>
        <w:tc>
          <w:tcPr>
            <w:tcW w:w="2856" w:type="dxa"/>
          </w:tcPr>
          <w:p>
            <w:pPr>
              <w:pStyle w:val="TableParagraph"/>
              <w:tabs>
                <w:tab w:pos="1131" w:val="left" w:leader="none"/>
                <w:tab w:pos="1341" w:val="left" w:leader="none"/>
                <w:tab w:pos="1548" w:val="left" w:leader="none"/>
                <w:tab w:pos="1661" w:val="left" w:leader="none"/>
                <w:tab w:pos="1765" w:val="left" w:leader="none"/>
                <w:tab w:pos="2240" w:val="left" w:leader="none"/>
                <w:tab w:pos="2309" w:val="left" w:leader="none"/>
              </w:tabs>
              <w:spacing w:before="94"/>
              <w:ind w:left="108" w:right="373"/>
              <w:rPr>
                <w:sz w:val="20"/>
              </w:rPr>
            </w:pPr>
            <w:r>
              <w:rPr>
                <w:spacing w:val="-2"/>
                <w:sz w:val="20"/>
              </w:rPr>
              <w:t>Electricity</w:t>
            </w:r>
            <w:r>
              <w:rPr>
                <w:spacing w:val="40"/>
                <w:sz w:val="20"/>
              </w:rPr>
              <w:t>  </w:t>
            </w:r>
            <w:r>
              <w:rPr>
                <w:spacing w:val="-2"/>
                <w:sz w:val="20"/>
              </w:rPr>
              <w:t>distribution/</w:t>
            </w:r>
            <w:r>
              <w:rPr>
                <w:spacing w:val="80"/>
                <w:w w:val="150"/>
                <w:sz w:val="20"/>
              </w:rPr>
              <w:t>  </w:t>
            </w:r>
            <w:r>
              <w:rPr>
                <w:spacing w:val="-2"/>
                <w:sz w:val="20"/>
              </w:rPr>
              <w:t>receiving</w:t>
            </w:r>
            <w:r>
              <w:rPr>
                <w:sz w:val="20"/>
              </w:rPr>
              <w:tab/>
              <w:tab/>
              <w:tab/>
            </w:r>
            <w:r>
              <w:rPr>
                <w:spacing w:val="-2"/>
                <w:sz w:val="20"/>
              </w:rPr>
              <w:t>stations, public</w:t>
            </w:r>
            <w:r>
              <w:rPr>
                <w:sz w:val="20"/>
              </w:rPr>
              <w:tab/>
            </w:r>
            <w:r>
              <w:rPr>
                <w:spacing w:val="-2"/>
                <w:sz w:val="20"/>
              </w:rPr>
              <w:t>utilities</w:t>
            </w:r>
            <w:r>
              <w:rPr>
                <w:sz w:val="20"/>
              </w:rPr>
              <w:tab/>
              <w:tab/>
            </w:r>
            <w:r>
              <w:rPr>
                <w:spacing w:val="-10"/>
                <w:sz w:val="20"/>
              </w:rPr>
              <w:t>&amp; </w:t>
            </w:r>
            <w:r>
              <w:rPr>
                <w:spacing w:val="-2"/>
                <w:sz w:val="20"/>
              </w:rPr>
              <w:t>services</w:t>
            </w:r>
            <w:r>
              <w:rPr>
                <w:sz w:val="20"/>
              </w:rPr>
              <w:tab/>
              <w:tab/>
            </w:r>
            <w:r>
              <w:rPr>
                <w:spacing w:val="-4"/>
                <w:sz w:val="20"/>
              </w:rPr>
              <w:t>such</w:t>
            </w:r>
            <w:r>
              <w:rPr>
                <w:sz w:val="20"/>
              </w:rPr>
              <w:tab/>
            </w:r>
            <w:r>
              <w:rPr>
                <w:spacing w:val="-6"/>
                <w:sz w:val="20"/>
              </w:rPr>
              <w:t>as </w:t>
            </w:r>
            <w:r>
              <w:rPr>
                <w:spacing w:val="-2"/>
                <w:sz w:val="20"/>
              </w:rPr>
              <w:t>pumping</w:t>
            </w:r>
            <w:r>
              <w:rPr>
                <w:sz w:val="20"/>
              </w:rPr>
              <w:tab/>
              <w:tab/>
              <w:tab/>
              <w:tab/>
            </w:r>
            <w:r>
              <w:rPr>
                <w:spacing w:val="-2"/>
                <w:sz w:val="20"/>
              </w:rPr>
              <w:t>station, </w:t>
            </w:r>
            <w:r>
              <w:rPr>
                <w:sz w:val="20"/>
              </w:rPr>
              <w:t>sewage disposal work, </w:t>
            </w:r>
            <w:r>
              <w:rPr>
                <w:spacing w:val="-2"/>
                <w:sz w:val="20"/>
              </w:rPr>
              <w:t>water</w:t>
            </w:r>
            <w:r>
              <w:rPr>
                <w:sz w:val="20"/>
              </w:rPr>
              <w:tab/>
              <w:tab/>
              <w:tab/>
              <w:tab/>
              <w:tab/>
            </w:r>
            <w:r>
              <w:rPr>
                <w:spacing w:val="-2"/>
                <w:sz w:val="20"/>
              </w:rPr>
              <w:t>supply installation</w:t>
            </w:r>
            <w:r>
              <w:rPr>
                <w:sz w:val="20"/>
              </w:rPr>
              <w:tab/>
              <w:tab/>
              <w:tab/>
              <w:tab/>
              <w:tab/>
              <w:tab/>
            </w:r>
            <w:r>
              <w:rPr>
                <w:spacing w:val="-63"/>
                <w:sz w:val="20"/>
              </w:rPr>
              <w:t> </w:t>
            </w:r>
            <w:r>
              <w:rPr>
                <w:spacing w:val="-10"/>
                <w:sz w:val="20"/>
              </w:rPr>
              <w:t>&amp; </w:t>
            </w:r>
            <w:r>
              <w:rPr>
                <w:spacing w:val="-2"/>
                <w:sz w:val="20"/>
              </w:rPr>
              <w:t>ancillary</w:t>
            </w:r>
            <w:r>
              <w:rPr>
                <w:sz w:val="20"/>
              </w:rPr>
              <w:tab/>
              <w:tab/>
            </w:r>
            <w:r>
              <w:rPr>
                <w:spacing w:val="-40"/>
                <w:sz w:val="20"/>
              </w:rPr>
              <w:t> </w:t>
            </w:r>
            <w:r>
              <w:rPr>
                <w:sz w:val="20"/>
              </w:rPr>
              <w:t>structures </w:t>
            </w:r>
            <w:r>
              <w:rPr>
                <w:spacing w:val="-2"/>
                <w:sz w:val="20"/>
              </w:rPr>
              <w:t>thereof</w:t>
            </w:r>
          </w:p>
        </w:tc>
        <w:tc>
          <w:tcPr>
            <w:tcW w:w="1276" w:type="dxa"/>
          </w:tcPr>
          <w:p>
            <w:pPr>
              <w:pStyle w:val="TableParagraph"/>
              <w:spacing w:before="94"/>
              <w:ind w:left="108"/>
              <w:rPr>
                <w:sz w:val="20"/>
              </w:rPr>
            </w:pPr>
            <w:r>
              <w:rPr>
                <w:sz w:val="20"/>
              </w:rPr>
              <w:t>1</w:t>
            </w:r>
            <w:r>
              <w:rPr>
                <w:spacing w:val="28"/>
                <w:sz w:val="20"/>
              </w:rPr>
              <w:t> </w:t>
            </w:r>
            <w:r>
              <w:rPr>
                <w:sz w:val="20"/>
              </w:rPr>
              <w:t>or</w:t>
            </w:r>
            <w:r>
              <w:rPr>
                <w:spacing w:val="31"/>
                <w:sz w:val="20"/>
              </w:rPr>
              <w:t> </w:t>
            </w:r>
            <w:r>
              <w:rPr>
                <w:sz w:val="20"/>
              </w:rPr>
              <w:t>2</w:t>
            </w:r>
            <w:r>
              <w:rPr>
                <w:spacing w:val="24"/>
                <w:sz w:val="20"/>
              </w:rPr>
              <w:t>  </w:t>
            </w:r>
            <w:r>
              <w:rPr>
                <w:spacing w:val="-10"/>
                <w:sz w:val="20"/>
              </w:rPr>
              <w:t>&amp;</w:t>
            </w:r>
          </w:p>
          <w:p>
            <w:pPr>
              <w:pStyle w:val="TableParagraph"/>
              <w:spacing w:before="1"/>
              <w:ind w:left="108"/>
              <w:rPr>
                <w:sz w:val="20"/>
              </w:rPr>
            </w:pPr>
            <w:r>
              <w:rPr>
                <w:spacing w:val="5"/>
                <w:sz w:val="20"/>
              </w:rPr>
              <w:t>14</w:t>
            </w:r>
          </w:p>
        </w:tc>
        <w:tc>
          <w:tcPr>
            <w:tcW w:w="1209" w:type="dxa"/>
          </w:tcPr>
          <w:p>
            <w:pPr>
              <w:pStyle w:val="TableParagraph"/>
              <w:spacing w:before="94"/>
              <w:ind w:left="109"/>
              <w:rPr>
                <w:sz w:val="20"/>
              </w:rPr>
            </w:pPr>
            <w:r>
              <w:rPr>
                <w:sz w:val="20"/>
              </w:rPr>
              <w:t>1</w:t>
            </w:r>
            <w:r>
              <w:rPr>
                <w:spacing w:val="25"/>
                <w:sz w:val="20"/>
              </w:rPr>
              <w:t>  </w:t>
            </w:r>
            <w:r>
              <w:rPr>
                <w:sz w:val="20"/>
              </w:rPr>
              <w:t>or</w:t>
            </w:r>
            <w:r>
              <w:rPr>
                <w:spacing w:val="26"/>
                <w:sz w:val="20"/>
              </w:rPr>
              <w:t>  </w:t>
            </w:r>
            <w:r>
              <w:rPr>
                <w:spacing w:val="-5"/>
                <w:sz w:val="20"/>
              </w:rPr>
              <w:t>2&amp;</w:t>
            </w:r>
          </w:p>
          <w:p>
            <w:pPr>
              <w:pStyle w:val="TableParagraph"/>
              <w:spacing w:before="1"/>
              <w:ind w:left="109"/>
              <w:rPr>
                <w:sz w:val="20"/>
              </w:rPr>
            </w:pPr>
            <w:r>
              <w:rPr>
                <w:spacing w:val="5"/>
                <w:sz w:val="20"/>
              </w:rPr>
              <w:t>12</w:t>
            </w:r>
          </w:p>
        </w:tc>
        <w:tc>
          <w:tcPr>
            <w:tcW w:w="1199" w:type="dxa"/>
          </w:tcPr>
          <w:p>
            <w:pPr>
              <w:pStyle w:val="TableParagraph"/>
              <w:spacing w:before="94"/>
              <w:ind w:left="110"/>
              <w:rPr>
                <w:sz w:val="20"/>
              </w:rPr>
            </w:pPr>
            <w:r>
              <w:rPr>
                <w:sz w:val="20"/>
              </w:rPr>
              <w:t>1</w:t>
            </w:r>
            <w:r>
              <w:rPr>
                <w:spacing w:val="23"/>
                <w:sz w:val="20"/>
              </w:rPr>
              <w:t> </w:t>
            </w:r>
            <w:r>
              <w:rPr>
                <w:sz w:val="20"/>
              </w:rPr>
              <w:t>or</w:t>
            </w:r>
            <w:r>
              <w:rPr>
                <w:spacing w:val="22"/>
                <w:sz w:val="20"/>
              </w:rPr>
              <w:t> </w:t>
            </w:r>
            <w:r>
              <w:rPr>
                <w:spacing w:val="-10"/>
                <w:sz w:val="20"/>
              </w:rPr>
              <w:t>2</w:t>
            </w:r>
          </w:p>
        </w:tc>
        <w:tc>
          <w:tcPr>
            <w:tcW w:w="2196" w:type="dxa"/>
          </w:tcPr>
          <w:p>
            <w:pPr>
              <w:pStyle w:val="TableParagraph"/>
              <w:rPr>
                <w:rFonts w:ascii="Times New Roman"/>
                <w:sz w:val="18"/>
              </w:rPr>
            </w:pPr>
          </w:p>
        </w:tc>
      </w:tr>
      <w:tr>
        <w:trPr>
          <w:trHeight w:val="1600" w:hRule="atLeast"/>
        </w:trPr>
        <w:tc>
          <w:tcPr>
            <w:tcW w:w="1260" w:type="dxa"/>
          </w:tcPr>
          <w:p>
            <w:pPr>
              <w:pStyle w:val="TableParagraph"/>
              <w:spacing w:before="94"/>
              <w:ind w:left="102"/>
              <w:rPr>
                <w:sz w:val="20"/>
              </w:rPr>
            </w:pPr>
            <w:r>
              <w:rPr>
                <w:spacing w:val="5"/>
                <w:sz w:val="20"/>
              </w:rPr>
              <w:t>13</w:t>
            </w:r>
          </w:p>
        </w:tc>
        <w:tc>
          <w:tcPr>
            <w:tcW w:w="2856" w:type="dxa"/>
          </w:tcPr>
          <w:p>
            <w:pPr>
              <w:pStyle w:val="TableParagraph"/>
              <w:spacing w:before="94"/>
              <w:ind w:left="108"/>
              <w:rPr>
                <w:sz w:val="20"/>
              </w:rPr>
            </w:pPr>
            <w:r>
              <w:rPr>
                <w:sz w:val="20"/>
              </w:rPr>
              <w:t>Convenience</w:t>
            </w:r>
            <w:r>
              <w:rPr>
                <w:spacing w:val="55"/>
                <w:sz w:val="20"/>
              </w:rPr>
              <w:t>  </w:t>
            </w:r>
            <w:r>
              <w:rPr>
                <w:spacing w:val="-4"/>
                <w:sz w:val="20"/>
              </w:rPr>
              <w:t>Shops</w:t>
            </w:r>
          </w:p>
        </w:tc>
        <w:tc>
          <w:tcPr>
            <w:tcW w:w="1276" w:type="dxa"/>
          </w:tcPr>
          <w:p>
            <w:pPr>
              <w:pStyle w:val="TableParagraph"/>
              <w:spacing w:before="94"/>
              <w:ind w:left="108"/>
              <w:rPr>
                <w:sz w:val="20"/>
              </w:rPr>
            </w:pPr>
            <w:r>
              <w:rPr>
                <w:sz w:val="20"/>
              </w:rPr>
              <w:t>5</w:t>
            </w:r>
            <w:r>
              <w:rPr>
                <w:spacing w:val="29"/>
                <w:sz w:val="20"/>
              </w:rPr>
              <w:t> </w:t>
            </w:r>
            <w:r>
              <w:rPr>
                <w:sz w:val="20"/>
              </w:rPr>
              <w:t>,</w:t>
            </w:r>
            <w:r>
              <w:rPr>
                <w:spacing w:val="32"/>
                <w:sz w:val="20"/>
              </w:rPr>
              <w:t> </w:t>
            </w:r>
            <w:r>
              <w:rPr>
                <w:sz w:val="20"/>
              </w:rPr>
              <w:t>14</w:t>
            </w:r>
            <w:r>
              <w:rPr>
                <w:spacing w:val="31"/>
                <w:sz w:val="20"/>
              </w:rPr>
              <w:t> </w:t>
            </w:r>
            <w:r>
              <w:rPr>
                <w:spacing w:val="-10"/>
                <w:sz w:val="20"/>
              </w:rPr>
              <w:t>&amp;</w:t>
            </w:r>
          </w:p>
          <w:p>
            <w:pPr>
              <w:pStyle w:val="TableParagraph"/>
              <w:spacing w:before="1"/>
              <w:ind w:left="108"/>
              <w:rPr>
                <w:sz w:val="20"/>
              </w:rPr>
            </w:pPr>
            <w:r>
              <w:rPr>
                <w:spacing w:val="5"/>
                <w:sz w:val="20"/>
              </w:rPr>
              <w:t>18</w:t>
            </w:r>
          </w:p>
        </w:tc>
        <w:tc>
          <w:tcPr>
            <w:tcW w:w="1209" w:type="dxa"/>
          </w:tcPr>
          <w:p>
            <w:pPr>
              <w:pStyle w:val="TableParagraph"/>
              <w:spacing w:before="94"/>
              <w:ind w:left="109"/>
              <w:rPr>
                <w:sz w:val="20"/>
              </w:rPr>
            </w:pPr>
            <w:r>
              <w:rPr>
                <w:spacing w:val="-10"/>
                <w:sz w:val="20"/>
              </w:rPr>
              <w:t>P</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912" w:val="left" w:leader="none"/>
                <w:tab w:pos="1832" w:val="left" w:leader="none"/>
              </w:tabs>
              <w:spacing w:before="94"/>
              <w:ind w:left="111" w:right="167"/>
              <w:rPr>
                <w:sz w:val="20"/>
              </w:rPr>
            </w:pPr>
            <w:r>
              <w:rPr>
                <w:spacing w:val="-6"/>
                <w:sz w:val="20"/>
              </w:rPr>
              <w:t>In</w:t>
            </w:r>
            <w:r>
              <w:rPr>
                <w:spacing w:val="80"/>
                <w:sz w:val="20"/>
              </w:rPr>
              <w:t> </w:t>
            </w:r>
            <w:r>
              <w:rPr>
                <w:spacing w:val="-2"/>
                <w:sz w:val="20"/>
              </w:rPr>
              <w:t>Gaonthan&amp;Koliw </w:t>
            </w:r>
            <w:r>
              <w:rPr>
                <w:sz w:val="20"/>
              </w:rPr>
              <w:t>adas</w:t>
            </w:r>
            <w:r>
              <w:rPr>
                <w:spacing w:val="80"/>
                <w:sz w:val="20"/>
              </w:rPr>
              <w:t> </w:t>
            </w:r>
            <w:r>
              <w:rPr>
                <w:sz w:val="20"/>
              </w:rPr>
              <w:t>areas</w:t>
            </w:r>
            <w:r>
              <w:rPr>
                <w:spacing w:val="80"/>
                <w:sz w:val="20"/>
              </w:rPr>
              <w:t> </w:t>
            </w:r>
            <w:r>
              <w:rPr>
                <w:sz w:val="20"/>
              </w:rPr>
              <w:t>shall be</w:t>
            </w:r>
            <w:r>
              <w:rPr>
                <w:spacing w:val="40"/>
                <w:sz w:val="20"/>
              </w:rPr>
              <w:t> </w:t>
            </w:r>
            <w:r>
              <w:rPr>
                <w:sz w:val="20"/>
              </w:rPr>
              <w:t>permissible on </w:t>
            </w:r>
            <w:r>
              <w:rPr>
                <w:spacing w:val="-4"/>
                <w:sz w:val="20"/>
              </w:rPr>
              <w:t>road</w:t>
            </w:r>
            <w:r>
              <w:rPr>
                <w:sz w:val="20"/>
              </w:rPr>
              <w:tab/>
            </w:r>
            <w:r>
              <w:rPr>
                <w:spacing w:val="-2"/>
                <w:sz w:val="20"/>
              </w:rPr>
              <w:t>width</w:t>
            </w:r>
            <w:r>
              <w:rPr>
                <w:sz w:val="20"/>
              </w:rPr>
              <w:tab/>
            </w:r>
            <w:r>
              <w:rPr>
                <w:spacing w:val="-6"/>
                <w:sz w:val="20"/>
              </w:rPr>
              <w:t>of </w:t>
            </w:r>
            <w:r>
              <w:rPr>
                <w:sz w:val="20"/>
              </w:rPr>
              <w:t>9.0m &amp; above.</w:t>
            </w:r>
          </w:p>
        </w:tc>
      </w:tr>
    </w:tbl>
    <w:p>
      <w:pPr>
        <w:pStyle w:val="TableParagraph"/>
        <w:spacing w:after="0"/>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4886" w:hRule="atLeast"/>
        </w:trPr>
        <w:tc>
          <w:tcPr>
            <w:tcW w:w="1260" w:type="dxa"/>
          </w:tcPr>
          <w:p>
            <w:pPr>
              <w:pStyle w:val="TableParagraph"/>
              <w:spacing w:before="94"/>
              <w:ind w:left="102"/>
              <w:rPr>
                <w:sz w:val="20"/>
              </w:rPr>
            </w:pPr>
            <w:r>
              <w:rPr>
                <w:spacing w:val="5"/>
                <w:sz w:val="20"/>
              </w:rPr>
              <w:t>14</w:t>
            </w:r>
          </w:p>
        </w:tc>
        <w:tc>
          <w:tcPr>
            <w:tcW w:w="2856" w:type="dxa"/>
          </w:tcPr>
          <w:p>
            <w:pPr>
              <w:pStyle w:val="TableParagraph"/>
              <w:tabs>
                <w:tab w:pos="2136" w:val="left" w:leader="none"/>
                <w:tab w:pos="2301" w:val="left" w:leader="none"/>
              </w:tabs>
              <w:spacing w:before="94"/>
              <w:ind w:left="108" w:right="105"/>
              <w:jc w:val="both"/>
              <w:rPr>
                <w:sz w:val="20"/>
              </w:rPr>
            </w:pPr>
            <w:r>
              <w:rPr>
                <w:sz w:val="20"/>
              </w:rPr>
              <w:t>Photographic</w:t>
            </w:r>
            <w:r>
              <w:rPr>
                <w:spacing w:val="80"/>
                <w:sz w:val="20"/>
              </w:rPr>
              <w:t> </w:t>
            </w:r>
            <w:r>
              <w:rPr>
                <w:sz w:val="20"/>
              </w:rPr>
              <w:t>studios</w:t>
            </w:r>
            <w:r>
              <w:rPr>
                <w:spacing w:val="40"/>
                <w:sz w:val="20"/>
              </w:rPr>
              <w:t> </w:t>
            </w:r>
            <w:r>
              <w:rPr>
                <w:sz w:val="20"/>
              </w:rPr>
              <w:t>with laboratories, Photo- copying, </w:t>
            </w:r>
            <w:r>
              <w:rPr>
                <w:spacing w:val="10"/>
                <w:sz w:val="20"/>
              </w:rPr>
              <w:t>video-</w:t>
            </w:r>
            <w:r>
              <w:rPr>
                <w:sz w:val="20"/>
              </w:rPr>
              <w:t>taping establishments etc, local </w:t>
            </w:r>
            <w:r>
              <w:rPr>
                <w:spacing w:val="10"/>
                <w:sz w:val="20"/>
              </w:rPr>
              <w:t>sub-</w:t>
            </w:r>
            <w:r>
              <w:rPr>
                <w:sz w:val="20"/>
              </w:rPr>
              <w:t>offices of any public utility, pawnshops, undertaker's premises, private lockers, data </w:t>
            </w:r>
            <w:r>
              <w:rPr>
                <w:spacing w:val="-2"/>
                <w:sz w:val="20"/>
              </w:rPr>
              <w:t>processing</w:t>
            </w:r>
            <w:r>
              <w:rPr>
                <w:sz w:val="20"/>
              </w:rPr>
              <w:tab/>
              <w:tab/>
            </w:r>
            <w:r>
              <w:rPr>
                <w:spacing w:val="-4"/>
                <w:sz w:val="20"/>
              </w:rPr>
              <w:t>unit </w:t>
            </w:r>
            <w:r>
              <w:rPr>
                <w:sz w:val="20"/>
              </w:rPr>
              <w:t>including desk top publishing, with use of </w:t>
            </w:r>
            <w:r>
              <w:rPr>
                <w:spacing w:val="-2"/>
                <w:sz w:val="20"/>
              </w:rPr>
              <w:t>computers,</w:t>
            </w:r>
            <w:r>
              <w:rPr>
                <w:sz w:val="20"/>
              </w:rPr>
              <w:tab/>
            </w:r>
            <w:r>
              <w:rPr>
                <w:spacing w:val="-2"/>
                <w:sz w:val="20"/>
              </w:rPr>
              <w:t>travel </w:t>
            </w:r>
            <w:r>
              <w:rPr>
                <w:sz w:val="20"/>
              </w:rPr>
              <w:t>agencies, ticket booking and selling agencies for air,</w:t>
            </w:r>
            <w:r>
              <w:rPr>
                <w:spacing w:val="40"/>
                <w:sz w:val="20"/>
              </w:rPr>
              <w:t> </w:t>
            </w:r>
            <w:r>
              <w:rPr>
                <w:sz w:val="20"/>
              </w:rPr>
              <w:t>surface</w:t>
            </w:r>
            <w:r>
              <w:rPr>
                <w:spacing w:val="40"/>
                <w:sz w:val="20"/>
              </w:rPr>
              <w:t> </w:t>
            </w:r>
            <w:r>
              <w:rPr>
                <w:sz w:val="20"/>
              </w:rPr>
              <w:t>or</w:t>
            </w:r>
            <w:r>
              <w:rPr>
                <w:spacing w:val="40"/>
                <w:sz w:val="20"/>
              </w:rPr>
              <w:t> </w:t>
            </w:r>
            <w:r>
              <w:rPr>
                <w:sz w:val="20"/>
              </w:rPr>
              <w:t>water travel or transport of any other modes of travel or transport,</w:t>
            </w:r>
            <w:r>
              <w:rPr>
                <w:spacing w:val="40"/>
                <w:sz w:val="20"/>
              </w:rPr>
              <w:t> </w:t>
            </w:r>
            <w:r>
              <w:rPr>
                <w:sz w:val="20"/>
              </w:rPr>
              <w:t>shoe</w:t>
            </w:r>
            <w:r>
              <w:rPr>
                <w:spacing w:val="40"/>
                <w:sz w:val="20"/>
              </w:rPr>
              <w:t> </w:t>
            </w:r>
            <w:r>
              <w:rPr>
                <w:sz w:val="20"/>
              </w:rPr>
              <w:t>repair</w:t>
            </w:r>
            <w:r>
              <w:rPr>
                <w:spacing w:val="40"/>
                <w:sz w:val="20"/>
              </w:rPr>
              <w:t> </w:t>
            </w:r>
            <w:r>
              <w:rPr>
                <w:sz w:val="20"/>
              </w:rPr>
              <w:t>and sports shops, fish or meat</w:t>
            </w:r>
            <w:r>
              <w:rPr>
                <w:spacing w:val="35"/>
                <w:sz w:val="20"/>
              </w:rPr>
              <w:t> </w:t>
            </w:r>
            <w:r>
              <w:rPr>
                <w:sz w:val="20"/>
              </w:rPr>
              <w:t>or</w:t>
            </w:r>
            <w:r>
              <w:rPr>
                <w:spacing w:val="35"/>
                <w:sz w:val="20"/>
              </w:rPr>
              <w:t> </w:t>
            </w:r>
            <w:r>
              <w:rPr>
                <w:sz w:val="20"/>
              </w:rPr>
              <w:t>frozen</w:t>
            </w:r>
            <w:r>
              <w:rPr>
                <w:spacing w:val="34"/>
                <w:sz w:val="20"/>
              </w:rPr>
              <w:t> </w:t>
            </w:r>
            <w:r>
              <w:rPr>
                <w:sz w:val="20"/>
              </w:rPr>
              <w:t>food</w:t>
            </w:r>
            <w:r>
              <w:rPr>
                <w:spacing w:val="32"/>
                <w:sz w:val="20"/>
              </w:rPr>
              <w:t> </w:t>
            </w:r>
            <w:r>
              <w:rPr>
                <w:spacing w:val="-4"/>
                <w:sz w:val="20"/>
              </w:rPr>
              <w:t>store</w:t>
            </w:r>
          </w:p>
        </w:tc>
        <w:tc>
          <w:tcPr>
            <w:tcW w:w="1276" w:type="dxa"/>
          </w:tcPr>
          <w:p>
            <w:pPr>
              <w:pStyle w:val="TableParagraph"/>
              <w:spacing w:before="94"/>
              <w:ind w:left="108"/>
              <w:rPr>
                <w:sz w:val="20"/>
              </w:rPr>
            </w:pPr>
            <w:r>
              <w:rPr>
                <w:spacing w:val="-4"/>
                <w:sz w:val="20"/>
              </w:rPr>
              <w:t>5,14</w:t>
            </w:r>
          </w:p>
          <w:p>
            <w:pPr>
              <w:pStyle w:val="TableParagraph"/>
              <w:spacing w:before="1"/>
              <w:ind w:left="108"/>
              <w:rPr>
                <w:sz w:val="20"/>
              </w:rPr>
            </w:pPr>
            <w:r>
              <w:rPr>
                <w:spacing w:val="6"/>
                <w:sz w:val="20"/>
              </w:rPr>
              <w:t>&amp;18</w:t>
            </w:r>
          </w:p>
        </w:tc>
        <w:tc>
          <w:tcPr>
            <w:tcW w:w="1209" w:type="dxa"/>
          </w:tcPr>
          <w:p>
            <w:pPr>
              <w:pStyle w:val="TableParagraph"/>
              <w:spacing w:before="94"/>
              <w:ind w:left="37"/>
              <w:jc w:val="center"/>
              <w:rPr>
                <w:sz w:val="20"/>
              </w:rPr>
            </w:pPr>
            <w:r>
              <w:rPr>
                <w:spacing w:val="-10"/>
                <w:sz w:val="20"/>
              </w:rPr>
              <w:t>P</w:t>
            </w:r>
          </w:p>
        </w:tc>
        <w:tc>
          <w:tcPr>
            <w:tcW w:w="1199" w:type="dxa"/>
          </w:tcPr>
          <w:p>
            <w:pPr>
              <w:pStyle w:val="TableParagraph"/>
              <w:spacing w:before="94"/>
              <w:ind w:left="333"/>
              <w:rPr>
                <w:sz w:val="20"/>
              </w:rPr>
            </w:pPr>
            <w:r>
              <w:rPr>
                <w:spacing w:val="-10"/>
                <w:sz w:val="20"/>
              </w:rPr>
              <w:t>P</w:t>
            </w:r>
          </w:p>
        </w:tc>
        <w:tc>
          <w:tcPr>
            <w:tcW w:w="2196" w:type="dxa"/>
          </w:tcPr>
          <w:p>
            <w:pPr>
              <w:pStyle w:val="TableParagraph"/>
              <w:spacing w:before="94"/>
              <w:ind w:left="111" w:right="165"/>
              <w:jc w:val="both"/>
              <w:rPr>
                <w:sz w:val="20"/>
              </w:rPr>
            </w:pPr>
            <w:r>
              <w:rPr>
                <w:sz w:val="20"/>
              </w:rPr>
              <w:t>Each employing</w:t>
            </w:r>
            <w:r>
              <w:rPr>
                <w:spacing w:val="40"/>
                <w:sz w:val="20"/>
              </w:rPr>
              <w:t> </w:t>
            </w:r>
            <w:r>
              <w:rPr>
                <w:sz w:val="20"/>
              </w:rPr>
              <w:t>not more than </w:t>
            </w:r>
            <w:r>
              <w:rPr>
                <w:sz w:val="20"/>
              </w:rPr>
              <w:t>9 persons &amp; Power not</w:t>
            </w:r>
            <w:r>
              <w:rPr>
                <w:spacing w:val="53"/>
                <w:w w:val="150"/>
                <w:sz w:val="20"/>
              </w:rPr>
              <w:t>  </w:t>
            </w:r>
            <w:r>
              <w:rPr>
                <w:sz w:val="20"/>
              </w:rPr>
              <w:t>more</w:t>
            </w:r>
            <w:r>
              <w:rPr>
                <w:spacing w:val="53"/>
                <w:w w:val="150"/>
                <w:sz w:val="20"/>
              </w:rPr>
              <w:t>  </w:t>
            </w:r>
            <w:r>
              <w:rPr>
                <w:spacing w:val="-4"/>
                <w:sz w:val="20"/>
              </w:rPr>
              <w:t>than</w:t>
            </w:r>
          </w:p>
          <w:p>
            <w:pPr>
              <w:pStyle w:val="TableParagraph"/>
              <w:tabs>
                <w:tab w:pos="982" w:val="left" w:leader="none"/>
                <w:tab w:pos="1564" w:val="left" w:leader="none"/>
                <w:tab w:pos="1732" w:val="left" w:leader="none"/>
              </w:tabs>
              <w:ind w:left="111" w:right="167"/>
              <w:rPr>
                <w:sz w:val="20"/>
              </w:rPr>
            </w:pPr>
            <w:r>
              <w:rPr>
                <w:spacing w:val="-4"/>
                <w:sz w:val="20"/>
              </w:rPr>
              <w:t>3.75</w:t>
            </w:r>
            <w:r>
              <w:rPr>
                <w:sz w:val="20"/>
              </w:rPr>
              <w:tab/>
            </w:r>
            <w:r>
              <w:rPr>
                <w:spacing w:val="-6"/>
                <w:sz w:val="20"/>
              </w:rPr>
              <w:t>KW</w:t>
            </w:r>
            <w:r>
              <w:rPr>
                <w:sz w:val="20"/>
              </w:rPr>
              <w:tab/>
              <w:tab/>
            </w:r>
            <w:r>
              <w:rPr>
                <w:spacing w:val="-4"/>
                <w:sz w:val="20"/>
              </w:rPr>
              <w:t>fo</w:t>
            </w:r>
            <w:r>
              <w:rPr>
                <w:spacing w:val="-4"/>
                <w:sz w:val="20"/>
              </w:rPr>
              <w:t>r</w:t>
            </w:r>
            <w:r>
              <w:rPr>
                <w:spacing w:val="-4"/>
                <w:sz w:val="20"/>
              </w:rPr>
              <w:t> </w:t>
            </w:r>
            <w:r>
              <w:rPr>
                <w:spacing w:val="-2"/>
                <w:sz w:val="20"/>
              </w:rPr>
              <w:t>Photographic studios</w:t>
            </w:r>
            <w:r>
              <w:rPr>
                <w:sz w:val="20"/>
              </w:rPr>
              <w:tab/>
              <w:tab/>
            </w:r>
            <w:r>
              <w:rPr>
                <w:spacing w:val="-4"/>
                <w:sz w:val="20"/>
              </w:rPr>
              <w:t>wit</w:t>
            </w:r>
            <w:r>
              <w:rPr>
                <w:spacing w:val="-4"/>
                <w:sz w:val="20"/>
              </w:rPr>
              <w:t>h</w:t>
            </w:r>
            <w:r>
              <w:rPr>
                <w:spacing w:val="-4"/>
                <w:sz w:val="20"/>
              </w:rPr>
              <w:t> </w:t>
            </w:r>
            <w:r>
              <w:rPr>
                <w:spacing w:val="-2"/>
                <w:sz w:val="20"/>
              </w:rPr>
              <w:t>laboratories,</w:t>
            </w:r>
            <w:r>
              <w:rPr>
                <w:spacing w:val="8"/>
                <w:sz w:val="20"/>
              </w:rPr>
              <w:t> Photo-</w:t>
            </w:r>
            <w:r>
              <w:rPr>
                <w:sz w:val="20"/>
              </w:rPr>
              <w:t>copying, </w:t>
            </w:r>
            <w:r>
              <w:rPr>
                <w:spacing w:val="7"/>
                <w:sz w:val="20"/>
              </w:rPr>
              <w:t>video-</w:t>
            </w:r>
            <w:r>
              <w:rPr>
                <w:sz w:val="20"/>
              </w:rPr>
              <w:t>taping </w:t>
            </w:r>
            <w:r>
              <w:rPr>
                <w:spacing w:val="-2"/>
                <w:sz w:val="20"/>
              </w:rPr>
              <w:t>establishments.</w:t>
            </w:r>
          </w:p>
        </w:tc>
      </w:tr>
      <w:tr>
        <w:trPr>
          <w:trHeight w:val="3009" w:hRule="atLeast"/>
        </w:trPr>
        <w:tc>
          <w:tcPr>
            <w:tcW w:w="1260" w:type="dxa"/>
          </w:tcPr>
          <w:p>
            <w:pPr>
              <w:pStyle w:val="TableParagraph"/>
              <w:spacing w:before="94"/>
              <w:ind w:left="102"/>
              <w:rPr>
                <w:sz w:val="20"/>
              </w:rPr>
            </w:pPr>
            <w:r>
              <w:rPr>
                <w:spacing w:val="5"/>
                <w:sz w:val="20"/>
              </w:rPr>
              <w:t>15</w:t>
            </w:r>
          </w:p>
        </w:tc>
        <w:tc>
          <w:tcPr>
            <w:tcW w:w="2856" w:type="dxa"/>
          </w:tcPr>
          <w:p>
            <w:pPr>
              <w:pStyle w:val="TableParagraph"/>
              <w:spacing w:before="94"/>
              <w:ind w:left="108" w:right="108"/>
              <w:jc w:val="both"/>
              <w:rPr>
                <w:sz w:val="20"/>
              </w:rPr>
            </w:pPr>
            <w:r>
              <w:rPr>
                <w:sz w:val="20"/>
              </w:rPr>
              <w:t>Shops for the collection and</w:t>
            </w:r>
            <w:r>
              <w:rPr>
                <w:spacing w:val="40"/>
                <w:sz w:val="20"/>
              </w:rPr>
              <w:t> </w:t>
            </w:r>
            <w:r>
              <w:rPr>
                <w:sz w:val="20"/>
              </w:rPr>
              <w:t>distribution</w:t>
            </w:r>
            <w:r>
              <w:rPr>
                <w:spacing w:val="40"/>
                <w:sz w:val="20"/>
              </w:rPr>
              <w:t> </w:t>
            </w:r>
            <w:r>
              <w:rPr>
                <w:sz w:val="20"/>
              </w:rPr>
              <w:t>of</w:t>
            </w:r>
            <w:r>
              <w:rPr>
                <w:spacing w:val="40"/>
                <w:sz w:val="20"/>
              </w:rPr>
              <w:t> </w:t>
            </w:r>
            <w:r>
              <w:rPr>
                <w:sz w:val="20"/>
              </w:rPr>
              <w:t>clothes and other materials for cleaning, pressing and dyeing </w:t>
            </w:r>
            <w:r>
              <w:rPr>
                <w:spacing w:val="-2"/>
                <w:sz w:val="20"/>
              </w:rPr>
              <w:t>establishments.</w:t>
            </w:r>
          </w:p>
        </w:tc>
        <w:tc>
          <w:tcPr>
            <w:tcW w:w="1276" w:type="dxa"/>
          </w:tcPr>
          <w:p>
            <w:pPr>
              <w:pStyle w:val="TableParagraph"/>
              <w:spacing w:before="94"/>
              <w:ind w:left="108"/>
              <w:rPr>
                <w:sz w:val="20"/>
              </w:rPr>
            </w:pPr>
            <w:r>
              <w:rPr>
                <w:sz w:val="20"/>
              </w:rPr>
              <w:t>5</w:t>
            </w:r>
            <w:r>
              <w:rPr>
                <w:spacing w:val="26"/>
                <w:sz w:val="20"/>
              </w:rPr>
              <w:t> </w:t>
            </w:r>
            <w:r>
              <w:rPr>
                <w:sz w:val="20"/>
              </w:rPr>
              <w:t>or</w:t>
            </w:r>
            <w:r>
              <w:rPr>
                <w:spacing w:val="29"/>
                <w:sz w:val="20"/>
              </w:rPr>
              <w:t> </w:t>
            </w:r>
            <w:r>
              <w:rPr>
                <w:sz w:val="20"/>
              </w:rPr>
              <w:t>6</w:t>
            </w:r>
            <w:r>
              <w:rPr>
                <w:spacing w:val="26"/>
                <w:sz w:val="20"/>
              </w:rPr>
              <w:t> </w:t>
            </w:r>
            <w:r>
              <w:rPr>
                <w:spacing w:val="-10"/>
                <w:sz w:val="20"/>
              </w:rPr>
              <w:t>&amp;</w:t>
            </w:r>
          </w:p>
          <w:p>
            <w:pPr>
              <w:pStyle w:val="TableParagraph"/>
              <w:spacing w:before="1"/>
              <w:ind w:left="108"/>
              <w:rPr>
                <w:sz w:val="20"/>
              </w:rPr>
            </w:pPr>
            <w:r>
              <w:rPr>
                <w:spacing w:val="-2"/>
                <w:sz w:val="20"/>
              </w:rPr>
              <w:t>16,17</w:t>
            </w:r>
          </w:p>
        </w:tc>
        <w:tc>
          <w:tcPr>
            <w:tcW w:w="1209" w:type="dxa"/>
          </w:tcPr>
          <w:p>
            <w:pPr>
              <w:pStyle w:val="TableParagraph"/>
              <w:spacing w:before="94"/>
              <w:ind w:left="109"/>
              <w:rPr>
                <w:sz w:val="20"/>
              </w:rPr>
            </w:pPr>
            <w:r>
              <w:rPr>
                <w:color w:val="000000"/>
                <w:sz w:val="20"/>
                <w:shd w:fill="FFCCFF" w:color="auto" w:val="clear"/>
              </w:rPr>
              <w:t>5</w:t>
            </w:r>
            <w:r>
              <w:rPr>
                <w:color w:val="000000"/>
                <w:spacing w:val="56"/>
                <w:sz w:val="20"/>
                <w:shd w:fill="FFCCFF" w:color="auto" w:val="clear"/>
              </w:rPr>
              <w:t> </w:t>
            </w:r>
            <w:r>
              <w:rPr>
                <w:color w:val="000000"/>
                <w:sz w:val="20"/>
                <w:shd w:fill="FFCCFF" w:color="auto" w:val="clear"/>
              </w:rPr>
              <w:t>or</w:t>
            </w:r>
            <w:r>
              <w:rPr>
                <w:color w:val="000000"/>
                <w:spacing w:val="61"/>
                <w:sz w:val="20"/>
                <w:shd w:fill="FFCCFF" w:color="auto" w:val="clear"/>
              </w:rPr>
              <w:t> </w:t>
            </w:r>
            <w:r>
              <w:rPr>
                <w:color w:val="000000"/>
                <w:sz w:val="20"/>
                <w:shd w:fill="FFCCFF" w:color="auto" w:val="clear"/>
              </w:rPr>
              <w:t>6</w:t>
            </w:r>
            <w:r>
              <w:rPr>
                <w:color w:val="000000"/>
                <w:spacing w:val="58"/>
                <w:sz w:val="20"/>
                <w:shd w:fill="FFCCFF" w:color="auto" w:val="clear"/>
              </w:rPr>
              <w:t> </w:t>
            </w:r>
            <w:r>
              <w:rPr>
                <w:color w:val="000000"/>
                <w:spacing w:val="-10"/>
                <w:sz w:val="20"/>
                <w:shd w:fill="FFCCFF" w:color="auto" w:val="clear"/>
              </w:rPr>
              <w:t>&amp;</w:t>
            </w:r>
          </w:p>
          <w:p>
            <w:pPr>
              <w:pStyle w:val="TableParagraph"/>
              <w:spacing w:before="1"/>
              <w:ind w:left="109"/>
              <w:rPr>
                <w:sz w:val="20"/>
              </w:rPr>
            </w:pPr>
            <w:r>
              <w:rPr>
                <w:color w:val="000000"/>
                <w:spacing w:val="-5"/>
                <w:sz w:val="20"/>
                <w:shd w:fill="FFCCFF" w:color="auto" w:val="clear"/>
              </w:rPr>
              <w:t>14</w:t>
            </w:r>
          </w:p>
        </w:tc>
        <w:tc>
          <w:tcPr>
            <w:tcW w:w="1199" w:type="dxa"/>
          </w:tcPr>
          <w:p>
            <w:pPr>
              <w:pStyle w:val="TableParagraph"/>
              <w:spacing w:before="94"/>
              <w:ind w:right="580"/>
              <w:jc w:val="right"/>
              <w:rPr>
                <w:sz w:val="20"/>
              </w:rPr>
            </w:pPr>
            <w:r>
              <w:rPr>
                <w:spacing w:val="-10"/>
                <w:sz w:val="20"/>
              </w:rPr>
              <w:t>P</w:t>
            </w:r>
          </w:p>
        </w:tc>
        <w:tc>
          <w:tcPr>
            <w:tcW w:w="2196" w:type="dxa"/>
          </w:tcPr>
          <w:p>
            <w:pPr>
              <w:pStyle w:val="TableParagraph"/>
              <w:tabs>
                <w:tab w:pos="1291" w:val="left" w:leader="none"/>
                <w:tab w:pos="1626" w:val="left" w:leader="none"/>
                <w:tab w:pos="1818" w:val="left" w:leader="none"/>
              </w:tabs>
              <w:spacing w:before="94"/>
              <w:ind w:left="111" w:right="165"/>
              <w:rPr>
                <w:sz w:val="20"/>
              </w:rPr>
            </w:pPr>
            <w:r>
              <w:rPr>
                <w:sz w:val="20"/>
              </w:rPr>
              <w:t>In</w:t>
            </w:r>
            <w:r>
              <w:rPr>
                <w:spacing w:val="40"/>
                <w:sz w:val="20"/>
              </w:rPr>
              <w:t> </w:t>
            </w:r>
            <w:r>
              <w:rPr>
                <w:sz w:val="20"/>
              </w:rPr>
              <w:t>case</w:t>
            </w:r>
            <w:r>
              <w:rPr>
                <w:spacing w:val="40"/>
                <w:sz w:val="20"/>
              </w:rPr>
              <w:t> </w:t>
            </w:r>
            <w:r>
              <w:rPr>
                <w:sz w:val="20"/>
              </w:rPr>
              <w:t>of</w:t>
            </w:r>
            <w:r>
              <w:rPr>
                <w:spacing w:val="40"/>
                <w:sz w:val="20"/>
              </w:rPr>
              <w:t> </w:t>
            </w:r>
            <w:r>
              <w:rPr>
                <w:sz w:val="20"/>
              </w:rPr>
              <w:t>5,</w:t>
            </w:r>
            <w:r>
              <w:rPr>
                <w:spacing w:val="40"/>
                <w:sz w:val="20"/>
              </w:rPr>
              <w:t> </w:t>
            </w:r>
            <w:r>
              <w:rPr>
                <w:sz w:val="20"/>
              </w:rPr>
              <w:t>6</w:t>
            </w:r>
            <w:r>
              <w:rPr>
                <w:spacing w:val="40"/>
                <w:sz w:val="20"/>
              </w:rPr>
              <w:t> </w:t>
            </w:r>
            <w:r>
              <w:rPr>
                <w:sz w:val="20"/>
              </w:rPr>
              <w:t>in </w:t>
            </w:r>
            <w:r>
              <w:rPr>
                <w:spacing w:val="-2"/>
                <w:sz w:val="20"/>
              </w:rPr>
              <w:t>residential</w:t>
            </w:r>
            <w:r>
              <w:rPr>
                <w:spacing w:val="40"/>
                <w:sz w:val="20"/>
              </w:rPr>
              <w:t> </w:t>
            </w:r>
            <w:r>
              <w:rPr>
                <w:sz w:val="20"/>
              </w:rPr>
              <w:t>premises</w:t>
            </w:r>
            <w:r>
              <w:rPr>
                <w:spacing w:val="40"/>
                <w:sz w:val="20"/>
              </w:rPr>
              <w:t> </w:t>
            </w:r>
            <w:r>
              <w:rPr>
                <w:sz w:val="20"/>
              </w:rPr>
              <w:t>shall</w:t>
            </w:r>
            <w:r>
              <w:rPr>
                <w:spacing w:val="40"/>
                <w:sz w:val="20"/>
              </w:rPr>
              <w:t> </w:t>
            </w:r>
            <w:r>
              <w:rPr>
                <w:sz w:val="20"/>
              </w:rPr>
              <w:t>be </w:t>
            </w:r>
            <w:r>
              <w:rPr>
                <w:spacing w:val="-2"/>
                <w:sz w:val="20"/>
              </w:rPr>
              <w:t>subject</w:t>
            </w:r>
            <w:r>
              <w:rPr>
                <w:sz w:val="20"/>
              </w:rPr>
              <w:tab/>
              <w:tab/>
              <w:tab/>
            </w:r>
            <w:r>
              <w:rPr>
                <w:spacing w:val="-6"/>
                <w:sz w:val="20"/>
              </w:rPr>
              <w:t>to </w:t>
            </w:r>
            <w:r>
              <w:rPr>
                <w:sz w:val="20"/>
              </w:rPr>
              <w:t>condition</w:t>
            </w:r>
            <w:r>
              <w:rPr>
                <w:spacing w:val="80"/>
                <w:sz w:val="20"/>
              </w:rPr>
              <w:t> </w:t>
            </w:r>
            <w:r>
              <w:rPr>
                <w:sz w:val="20"/>
              </w:rPr>
              <w:t>no</w:t>
            </w:r>
            <w:r>
              <w:rPr>
                <w:spacing w:val="80"/>
                <w:sz w:val="20"/>
              </w:rPr>
              <w:t> </w:t>
            </w:r>
            <w:r>
              <w:rPr>
                <w:sz w:val="20"/>
              </w:rPr>
              <w:t>18. </w:t>
            </w:r>
            <w:r>
              <w:rPr>
                <w:spacing w:val="-2"/>
                <w:sz w:val="20"/>
              </w:rPr>
              <w:t>Cleaning,</w:t>
            </w:r>
            <w:r>
              <w:rPr>
                <w:spacing w:val="80"/>
                <w:sz w:val="20"/>
              </w:rPr>
              <w:t>  </w:t>
            </w:r>
            <w:r>
              <w:rPr>
                <w:spacing w:val="-2"/>
                <w:sz w:val="20"/>
              </w:rPr>
              <w:t>pressing</w:t>
            </w:r>
            <w:r>
              <w:rPr>
                <w:sz w:val="20"/>
              </w:rPr>
              <w:tab/>
              <w:tab/>
            </w:r>
            <w:r>
              <w:rPr>
                <w:spacing w:val="-4"/>
                <w:sz w:val="20"/>
              </w:rPr>
              <w:t>and </w:t>
            </w:r>
            <w:r>
              <w:rPr>
                <w:spacing w:val="-2"/>
                <w:sz w:val="20"/>
              </w:rPr>
              <w:t>dyeing establishments</w:t>
            </w:r>
            <w:r>
              <w:rPr>
                <w:spacing w:val="40"/>
                <w:sz w:val="20"/>
              </w:rPr>
              <w:t> </w:t>
            </w:r>
            <w:r>
              <w:rPr>
                <w:sz w:val="20"/>
              </w:rPr>
              <w:t>may</w:t>
            </w:r>
            <w:r>
              <w:rPr>
                <w:spacing w:val="40"/>
                <w:sz w:val="20"/>
              </w:rPr>
              <w:t> </w:t>
            </w:r>
            <w:r>
              <w:rPr>
                <w:sz w:val="20"/>
              </w:rPr>
              <w:t>be</w:t>
            </w:r>
            <w:r>
              <w:rPr>
                <w:spacing w:val="40"/>
                <w:sz w:val="20"/>
              </w:rPr>
              <w:t> </w:t>
            </w:r>
            <w:r>
              <w:rPr>
                <w:sz w:val="20"/>
              </w:rPr>
              <w:t>permitted </w:t>
            </w:r>
            <w:r>
              <w:rPr>
                <w:spacing w:val="-5"/>
                <w:sz w:val="20"/>
              </w:rPr>
              <w:t>in</w:t>
            </w:r>
            <w:r>
              <w:rPr>
                <w:sz w:val="20"/>
              </w:rPr>
              <w:tab/>
            </w:r>
            <w:r>
              <w:rPr>
                <w:spacing w:val="-2"/>
                <w:sz w:val="20"/>
              </w:rPr>
              <w:t>service</w:t>
            </w:r>
          </w:p>
          <w:p>
            <w:pPr>
              <w:pStyle w:val="TableParagraph"/>
              <w:spacing w:before="1"/>
              <w:ind w:left="111"/>
              <w:rPr>
                <w:sz w:val="20"/>
              </w:rPr>
            </w:pPr>
            <w:r>
              <w:rPr>
                <w:sz w:val="20"/>
              </w:rPr>
              <w:t>industrial</w:t>
            </w:r>
            <w:r>
              <w:rPr>
                <w:spacing w:val="51"/>
                <w:sz w:val="20"/>
              </w:rPr>
              <w:t>  </w:t>
            </w:r>
            <w:r>
              <w:rPr>
                <w:spacing w:val="-2"/>
                <w:sz w:val="20"/>
              </w:rPr>
              <w:t>estate</w:t>
            </w:r>
          </w:p>
        </w:tc>
      </w:tr>
      <w:tr>
        <w:trPr>
          <w:trHeight w:val="3244" w:hRule="atLeast"/>
        </w:trPr>
        <w:tc>
          <w:tcPr>
            <w:tcW w:w="1260" w:type="dxa"/>
          </w:tcPr>
          <w:p>
            <w:pPr>
              <w:pStyle w:val="TableParagraph"/>
              <w:spacing w:before="94"/>
              <w:ind w:left="102"/>
              <w:rPr>
                <w:sz w:val="20"/>
              </w:rPr>
            </w:pPr>
            <w:r>
              <w:rPr>
                <w:spacing w:val="5"/>
                <w:sz w:val="20"/>
              </w:rPr>
              <w:t>16</w:t>
            </w:r>
          </w:p>
        </w:tc>
        <w:tc>
          <w:tcPr>
            <w:tcW w:w="2856" w:type="dxa"/>
          </w:tcPr>
          <w:p>
            <w:pPr>
              <w:pStyle w:val="TableParagraph"/>
              <w:spacing w:before="94"/>
              <w:ind w:left="108" w:right="107"/>
              <w:jc w:val="both"/>
              <w:rPr>
                <w:sz w:val="20"/>
              </w:rPr>
            </w:pPr>
            <w:r>
              <w:rPr>
                <w:sz w:val="20"/>
              </w:rPr>
              <w:t>Tailoring,</w:t>
            </w:r>
            <w:r>
              <w:rPr>
                <w:spacing w:val="80"/>
                <w:sz w:val="20"/>
              </w:rPr>
              <w:t> </w:t>
            </w:r>
            <w:r>
              <w:rPr>
                <w:sz w:val="20"/>
              </w:rPr>
              <w:t>embroidery</w:t>
            </w:r>
            <w:r>
              <w:rPr>
                <w:spacing w:val="80"/>
                <w:sz w:val="20"/>
              </w:rPr>
              <w:t> </w:t>
            </w:r>
            <w:r>
              <w:rPr>
                <w:sz w:val="20"/>
              </w:rPr>
              <w:t>and </w:t>
            </w:r>
            <w:r>
              <w:rPr>
                <w:spacing w:val="10"/>
                <w:sz w:val="20"/>
              </w:rPr>
              <w:t>button-</w:t>
            </w:r>
            <w:r>
              <w:rPr>
                <w:sz w:val="20"/>
              </w:rPr>
              <w:t>hole making </w:t>
            </w:r>
            <w:r>
              <w:rPr>
                <w:spacing w:val="-2"/>
                <w:sz w:val="20"/>
              </w:rPr>
              <w:t>shops,</w:t>
            </w:r>
          </w:p>
        </w:tc>
        <w:tc>
          <w:tcPr>
            <w:tcW w:w="1276" w:type="dxa"/>
          </w:tcPr>
          <w:p>
            <w:pPr>
              <w:pStyle w:val="TableParagraph"/>
              <w:tabs>
                <w:tab w:pos="446" w:val="left" w:leader="none"/>
                <w:tab w:pos="870" w:val="left" w:leader="none"/>
              </w:tabs>
              <w:spacing w:before="94"/>
              <w:ind w:left="108" w:right="269"/>
              <w:rPr>
                <w:sz w:val="20"/>
              </w:rPr>
            </w:pPr>
            <w:r>
              <w:rPr>
                <w:spacing w:val="-10"/>
                <w:sz w:val="20"/>
              </w:rPr>
              <w:t>5</w:t>
            </w:r>
            <w:r>
              <w:rPr>
                <w:sz w:val="20"/>
              </w:rPr>
              <w:tab/>
            </w:r>
            <w:r>
              <w:rPr>
                <w:spacing w:val="-6"/>
                <w:sz w:val="20"/>
              </w:rPr>
              <w:t>or</w:t>
            </w:r>
            <w:r>
              <w:rPr>
                <w:sz w:val="20"/>
              </w:rPr>
              <w:tab/>
            </w:r>
            <w:r>
              <w:rPr>
                <w:spacing w:val="-10"/>
                <w:sz w:val="20"/>
              </w:rPr>
              <w:t>6</w:t>
            </w:r>
            <w:r>
              <w:rPr>
                <w:spacing w:val="-10"/>
                <w:sz w:val="20"/>
              </w:rPr>
              <w:t> </w:t>
            </w:r>
            <w:r>
              <w:rPr>
                <w:spacing w:val="-2"/>
                <w:sz w:val="20"/>
              </w:rPr>
              <w:t>&amp;</w:t>
            </w:r>
            <w:r>
              <w:rPr>
                <w:color w:val="000000"/>
                <w:spacing w:val="-2"/>
                <w:sz w:val="20"/>
                <w:shd w:fill="FFCCFF" w:color="auto" w:val="clear"/>
              </w:rPr>
              <w:t>14</w:t>
            </w:r>
            <w:r>
              <w:rPr>
                <w:color w:val="000000"/>
                <w:spacing w:val="-2"/>
                <w:sz w:val="20"/>
              </w:rPr>
              <w:t>,17</w:t>
            </w:r>
          </w:p>
        </w:tc>
        <w:tc>
          <w:tcPr>
            <w:tcW w:w="1209" w:type="dxa"/>
          </w:tcPr>
          <w:p>
            <w:pPr>
              <w:pStyle w:val="TableParagraph"/>
              <w:spacing w:before="94"/>
              <w:ind w:left="109"/>
              <w:rPr>
                <w:sz w:val="20"/>
              </w:rPr>
            </w:pPr>
            <w:r>
              <w:rPr>
                <w:color w:val="000000"/>
                <w:spacing w:val="9"/>
                <w:sz w:val="20"/>
                <w:shd w:fill="FFCCFF" w:color="auto" w:val="clear"/>
              </w:rPr>
              <w:t> </w:t>
            </w:r>
            <w:r>
              <w:rPr>
                <w:color w:val="000000"/>
                <w:spacing w:val="-10"/>
                <w:sz w:val="20"/>
                <w:shd w:fill="FFCCFF" w:color="auto" w:val="clear"/>
              </w:rPr>
              <w:t>P</w:t>
            </w:r>
          </w:p>
        </w:tc>
        <w:tc>
          <w:tcPr>
            <w:tcW w:w="1199" w:type="dxa"/>
          </w:tcPr>
          <w:p>
            <w:pPr>
              <w:pStyle w:val="TableParagraph"/>
              <w:spacing w:before="94"/>
              <w:ind w:right="580"/>
              <w:jc w:val="right"/>
              <w:rPr>
                <w:sz w:val="20"/>
              </w:rPr>
            </w:pPr>
            <w:r>
              <w:rPr>
                <w:spacing w:val="-10"/>
                <w:sz w:val="20"/>
              </w:rPr>
              <w:t>P</w:t>
            </w:r>
          </w:p>
        </w:tc>
        <w:tc>
          <w:tcPr>
            <w:tcW w:w="2196" w:type="dxa"/>
          </w:tcPr>
          <w:p>
            <w:pPr>
              <w:pStyle w:val="TableParagraph"/>
              <w:tabs>
                <w:tab w:pos="1818" w:val="left" w:leader="none"/>
              </w:tabs>
              <w:spacing w:before="94"/>
              <w:ind w:left="111" w:right="165"/>
              <w:rPr>
                <w:sz w:val="20"/>
              </w:rPr>
            </w:pPr>
            <w:r>
              <w:rPr>
                <w:sz w:val="20"/>
              </w:rPr>
              <w:t>In</w:t>
            </w:r>
            <w:r>
              <w:rPr>
                <w:spacing w:val="40"/>
                <w:sz w:val="20"/>
              </w:rPr>
              <w:t> </w:t>
            </w:r>
            <w:r>
              <w:rPr>
                <w:sz w:val="20"/>
              </w:rPr>
              <w:t>case</w:t>
            </w:r>
            <w:r>
              <w:rPr>
                <w:spacing w:val="40"/>
                <w:sz w:val="20"/>
              </w:rPr>
              <w:t> </w:t>
            </w:r>
            <w:r>
              <w:rPr>
                <w:sz w:val="20"/>
              </w:rPr>
              <w:t>of</w:t>
            </w:r>
            <w:r>
              <w:rPr>
                <w:spacing w:val="40"/>
                <w:sz w:val="20"/>
              </w:rPr>
              <w:t> </w:t>
            </w:r>
            <w:r>
              <w:rPr>
                <w:sz w:val="20"/>
              </w:rPr>
              <w:t>5,6</w:t>
            </w:r>
            <w:r>
              <w:rPr>
                <w:spacing w:val="80"/>
                <w:sz w:val="20"/>
              </w:rPr>
              <w:t> </w:t>
            </w:r>
            <w:r>
              <w:rPr>
                <w:sz w:val="20"/>
              </w:rPr>
              <w:t>in </w:t>
            </w:r>
            <w:r>
              <w:rPr>
                <w:spacing w:val="-2"/>
                <w:sz w:val="20"/>
              </w:rPr>
              <w:t>residential</w:t>
            </w:r>
            <w:r>
              <w:rPr>
                <w:spacing w:val="40"/>
                <w:sz w:val="20"/>
              </w:rPr>
              <w:t> </w:t>
            </w:r>
            <w:r>
              <w:rPr>
                <w:sz w:val="20"/>
              </w:rPr>
              <w:t>premises</w:t>
            </w:r>
            <w:r>
              <w:rPr>
                <w:spacing w:val="40"/>
                <w:sz w:val="20"/>
              </w:rPr>
              <w:t> </w:t>
            </w:r>
            <w:r>
              <w:rPr>
                <w:sz w:val="20"/>
              </w:rPr>
              <w:t>shall</w:t>
            </w:r>
            <w:r>
              <w:rPr>
                <w:spacing w:val="40"/>
                <w:sz w:val="20"/>
              </w:rPr>
              <w:t> </w:t>
            </w:r>
            <w:r>
              <w:rPr>
                <w:sz w:val="20"/>
              </w:rPr>
              <w:t>be </w:t>
            </w:r>
            <w:r>
              <w:rPr>
                <w:spacing w:val="-2"/>
                <w:sz w:val="20"/>
              </w:rPr>
              <w:t>subject</w:t>
            </w:r>
            <w:r>
              <w:rPr>
                <w:sz w:val="20"/>
              </w:rPr>
              <w:tab/>
            </w:r>
            <w:r>
              <w:rPr>
                <w:spacing w:val="-6"/>
                <w:sz w:val="20"/>
              </w:rPr>
              <w:t>to </w:t>
            </w:r>
            <w:r>
              <w:rPr>
                <w:sz w:val="20"/>
              </w:rPr>
              <w:t>condition no 18</w:t>
            </w:r>
          </w:p>
          <w:p>
            <w:pPr>
              <w:pStyle w:val="TableParagraph"/>
              <w:spacing w:before="99"/>
              <w:ind w:left="111" w:right="106"/>
              <w:jc w:val="both"/>
              <w:rPr>
                <w:sz w:val="20"/>
              </w:rPr>
            </w:pPr>
            <w:r>
              <w:rPr>
                <w:sz w:val="20"/>
              </w:rPr>
              <w:t>Each employing</w:t>
            </w:r>
            <w:r>
              <w:rPr>
                <w:spacing w:val="80"/>
                <w:sz w:val="20"/>
              </w:rPr>
              <w:t> </w:t>
            </w:r>
            <w:r>
              <w:rPr>
                <w:sz w:val="20"/>
              </w:rPr>
              <w:t>not more than </w:t>
            </w:r>
            <w:r>
              <w:rPr>
                <w:sz w:val="20"/>
              </w:rPr>
              <w:t>9 </w:t>
            </w:r>
            <w:r>
              <w:rPr>
                <w:spacing w:val="-2"/>
                <w:sz w:val="20"/>
              </w:rPr>
              <w:t>persons.</w:t>
            </w:r>
          </w:p>
          <w:p>
            <w:pPr>
              <w:pStyle w:val="TableParagraph"/>
              <w:tabs>
                <w:tab w:pos="1685" w:val="left" w:leader="none"/>
              </w:tabs>
              <w:ind w:left="111" w:right="105"/>
              <w:rPr>
                <w:sz w:val="20"/>
              </w:rPr>
            </w:pPr>
            <w:r>
              <w:rPr>
                <w:spacing w:val="-2"/>
                <w:sz w:val="20"/>
              </w:rPr>
              <w:t>Tailoring, embroidery</w:t>
            </w:r>
            <w:r>
              <w:rPr>
                <w:sz w:val="20"/>
              </w:rPr>
              <w:tab/>
            </w:r>
            <w:r>
              <w:rPr>
                <w:spacing w:val="-4"/>
                <w:sz w:val="20"/>
              </w:rPr>
              <w:t>and </w:t>
            </w:r>
            <w:r>
              <w:rPr>
                <w:spacing w:val="7"/>
                <w:sz w:val="20"/>
              </w:rPr>
              <w:t>button-</w:t>
            </w:r>
            <w:r>
              <w:rPr>
                <w:sz w:val="20"/>
              </w:rPr>
              <w:t>hole</w:t>
            </w:r>
            <w:r>
              <w:rPr>
                <w:spacing w:val="40"/>
                <w:sz w:val="20"/>
              </w:rPr>
              <w:t> </w:t>
            </w:r>
            <w:r>
              <w:rPr>
                <w:sz w:val="20"/>
              </w:rPr>
              <w:t>making</w:t>
            </w:r>
            <w:r>
              <w:rPr>
                <w:spacing w:val="77"/>
                <w:w w:val="150"/>
                <w:sz w:val="20"/>
              </w:rPr>
              <w:t> </w:t>
            </w:r>
            <w:r>
              <w:rPr>
                <w:spacing w:val="-2"/>
                <w:sz w:val="20"/>
              </w:rPr>
              <w:t>shopsmay</w:t>
            </w:r>
          </w:p>
          <w:p>
            <w:pPr>
              <w:pStyle w:val="TableParagraph"/>
              <w:tabs>
                <w:tab w:pos="602" w:val="left" w:leader="none"/>
                <w:tab w:pos="1877" w:val="left" w:leader="none"/>
              </w:tabs>
              <w:spacing w:line="216" w:lineRule="exact"/>
              <w:ind w:left="111"/>
              <w:rPr>
                <w:sz w:val="20"/>
              </w:rPr>
            </w:pPr>
            <w:r>
              <w:rPr>
                <w:spacing w:val="-5"/>
                <w:sz w:val="20"/>
              </w:rPr>
              <w:t>be</w:t>
            </w:r>
            <w:r>
              <w:rPr>
                <w:sz w:val="20"/>
              </w:rPr>
              <w:tab/>
            </w:r>
            <w:r>
              <w:rPr>
                <w:spacing w:val="-2"/>
                <w:sz w:val="20"/>
              </w:rPr>
              <w:t>permitted</w:t>
            </w:r>
            <w:r>
              <w:rPr>
                <w:sz w:val="20"/>
              </w:rPr>
              <w:tab/>
            </w:r>
            <w:r>
              <w:rPr>
                <w:spacing w:val="-5"/>
                <w:sz w:val="20"/>
              </w:rPr>
              <w:t>in</w:t>
            </w:r>
          </w:p>
        </w:tc>
      </w:tr>
    </w:tbl>
    <w:p>
      <w:pPr>
        <w:pStyle w:val="TableParagraph"/>
        <w:spacing w:after="0" w:line="216" w:lineRule="exact"/>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566" w:hRule="atLeast"/>
        </w:trPr>
        <w:tc>
          <w:tcPr>
            <w:tcW w:w="1260" w:type="dxa"/>
          </w:tcPr>
          <w:p>
            <w:pPr>
              <w:pStyle w:val="TableParagraph"/>
              <w:rPr>
                <w:rFonts w:ascii="Times New Roman"/>
                <w:sz w:val="18"/>
              </w:rPr>
            </w:pPr>
          </w:p>
        </w:tc>
        <w:tc>
          <w:tcPr>
            <w:tcW w:w="2856" w:type="dxa"/>
          </w:tcPr>
          <w:p>
            <w:pPr>
              <w:pStyle w:val="TableParagraph"/>
              <w:rPr>
                <w:rFonts w:ascii="Times New Roman"/>
                <w:sz w:val="18"/>
              </w:rPr>
            </w:pP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ind w:left="111"/>
              <w:rPr>
                <w:sz w:val="20"/>
              </w:rPr>
            </w:pPr>
            <w:r>
              <w:rPr>
                <w:sz w:val="20"/>
              </w:rPr>
              <w:t>service</w:t>
            </w:r>
            <w:r>
              <w:rPr>
                <w:spacing w:val="80"/>
                <w:sz w:val="20"/>
              </w:rPr>
              <w:t> </w:t>
            </w:r>
            <w:r>
              <w:rPr>
                <w:sz w:val="20"/>
              </w:rPr>
              <w:t>industrial </w:t>
            </w:r>
            <w:r>
              <w:rPr>
                <w:spacing w:val="-2"/>
                <w:sz w:val="20"/>
              </w:rPr>
              <w:t>estate</w:t>
            </w:r>
          </w:p>
        </w:tc>
      </w:tr>
      <w:tr>
        <w:trPr>
          <w:trHeight w:val="7234" w:hRule="atLeast"/>
        </w:trPr>
        <w:tc>
          <w:tcPr>
            <w:tcW w:w="1260" w:type="dxa"/>
          </w:tcPr>
          <w:p>
            <w:pPr>
              <w:pStyle w:val="TableParagraph"/>
              <w:spacing w:before="94"/>
              <w:ind w:left="102"/>
              <w:rPr>
                <w:sz w:val="20"/>
              </w:rPr>
            </w:pPr>
            <w:r>
              <w:rPr>
                <w:spacing w:val="5"/>
                <w:sz w:val="20"/>
              </w:rPr>
              <w:t>17</w:t>
            </w:r>
          </w:p>
        </w:tc>
        <w:tc>
          <w:tcPr>
            <w:tcW w:w="2856" w:type="dxa"/>
          </w:tcPr>
          <w:p>
            <w:pPr>
              <w:pStyle w:val="TableParagraph"/>
              <w:tabs>
                <w:tab w:pos="2449" w:val="left" w:leader="none"/>
              </w:tabs>
              <w:spacing w:before="94"/>
              <w:ind w:left="108" w:right="109"/>
              <w:jc w:val="both"/>
              <w:rPr>
                <w:sz w:val="20"/>
              </w:rPr>
            </w:pPr>
            <w:r>
              <w:rPr>
                <w:sz w:val="20"/>
              </w:rPr>
              <w:t>Cleaning and pressing </w:t>
            </w:r>
            <w:r>
              <w:rPr>
                <w:spacing w:val="-2"/>
                <w:sz w:val="20"/>
              </w:rPr>
              <w:t>establishments</w:t>
            </w:r>
            <w:r>
              <w:rPr>
                <w:sz w:val="20"/>
              </w:rPr>
              <w:tab/>
            </w:r>
            <w:r>
              <w:rPr>
                <w:spacing w:val="-4"/>
                <w:sz w:val="20"/>
              </w:rPr>
              <w:t>for </w:t>
            </w:r>
            <w:r>
              <w:rPr>
                <w:spacing w:val="-2"/>
                <w:sz w:val="20"/>
              </w:rPr>
              <w:t>clothes,</w:t>
            </w:r>
          </w:p>
        </w:tc>
        <w:tc>
          <w:tcPr>
            <w:tcW w:w="1276" w:type="dxa"/>
          </w:tcPr>
          <w:p>
            <w:pPr>
              <w:pStyle w:val="TableParagraph"/>
              <w:spacing w:before="94"/>
              <w:ind w:left="108"/>
              <w:rPr>
                <w:sz w:val="20"/>
              </w:rPr>
            </w:pPr>
            <w:r>
              <w:rPr>
                <w:sz w:val="20"/>
              </w:rPr>
              <w:t>5</w:t>
            </w:r>
            <w:r>
              <w:rPr>
                <w:spacing w:val="6"/>
                <w:sz w:val="20"/>
              </w:rPr>
              <w:t> </w:t>
            </w:r>
            <w:r>
              <w:rPr>
                <w:sz w:val="20"/>
              </w:rPr>
              <w:t>or</w:t>
            </w:r>
            <w:r>
              <w:rPr>
                <w:spacing w:val="7"/>
                <w:sz w:val="20"/>
              </w:rPr>
              <w:t> </w:t>
            </w:r>
            <w:r>
              <w:rPr>
                <w:sz w:val="20"/>
              </w:rPr>
              <w:t>6</w:t>
            </w:r>
            <w:r>
              <w:rPr>
                <w:spacing w:val="67"/>
                <w:sz w:val="20"/>
              </w:rPr>
              <w:t> </w:t>
            </w:r>
            <w:r>
              <w:rPr>
                <w:spacing w:val="-10"/>
                <w:sz w:val="20"/>
              </w:rPr>
              <w:t>&amp;</w:t>
            </w:r>
          </w:p>
          <w:p>
            <w:pPr>
              <w:pStyle w:val="TableParagraph"/>
              <w:spacing w:before="1"/>
              <w:ind w:left="108"/>
              <w:rPr>
                <w:sz w:val="20"/>
              </w:rPr>
            </w:pPr>
            <w:r>
              <w:rPr>
                <w:spacing w:val="-2"/>
                <w:sz w:val="20"/>
              </w:rPr>
              <w:t>16,17</w:t>
            </w:r>
          </w:p>
        </w:tc>
        <w:tc>
          <w:tcPr>
            <w:tcW w:w="1209" w:type="dxa"/>
          </w:tcPr>
          <w:p>
            <w:pPr>
              <w:pStyle w:val="TableParagraph"/>
              <w:spacing w:before="94"/>
              <w:ind w:left="109"/>
              <w:rPr>
                <w:sz w:val="20"/>
              </w:rPr>
            </w:pPr>
            <w:r>
              <w:rPr>
                <w:color w:val="000000"/>
                <w:sz w:val="20"/>
                <w:shd w:fill="FFCCFF" w:color="auto" w:val="clear"/>
              </w:rPr>
              <w:t>5</w:t>
            </w:r>
            <w:r>
              <w:rPr>
                <w:color w:val="000000"/>
                <w:spacing w:val="23"/>
                <w:sz w:val="20"/>
                <w:shd w:fill="FFCCFF" w:color="auto" w:val="clear"/>
              </w:rPr>
              <w:t> </w:t>
            </w:r>
            <w:r>
              <w:rPr>
                <w:color w:val="000000"/>
                <w:sz w:val="20"/>
                <w:shd w:fill="FFCCFF" w:color="auto" w:val="clear"/>
              </w:rPr>
              <w:t>or</w:t>
            </w:r>
            <w:r>
              <w:rPr>
                <w:color w:val="000000"/>
                <w:spacing w:val="22"/>
                <w:sz w:val="20"/>
                <w:shd w:fill="FFCCFF" w:color="auto" w:val="clear"/>
              </w:rPr>
              <w:t> </w:t>
            </w:r>
            <w:r>
              <w:rPr>
                <w:color w:val="000000"/>
                <w:spacing w:val="-10"/>
                <w:sz w:val="20"/>
                <w:shd w:fill="FFCCFF" w:color="auto" w:val="clear"/>
              </w:rPr>
              <w:t>6</w:t>
            </w:r>
          </w:p>
        </w:tc>
        <w:tc>
          <w:tcPr>
            <w:tcW w:w="1199" w:type="dxa"/>
          </w:tcPr>
          <w:p>
            <w:pPr>
              <w:pStyle w:val="TableParagraph"/>
              <w:spacing w:before="94"/>
              <w:ind w:left="110"/>
              <w:rPr>
                <w:sz w:val="20"/>
              </w:rPr>
            </w:pPr>
            <w:r>
              <w:rPr>
                <w:spacing w:val="-10"/>
                <w:sz w:val="20"/>
              </w:rPr>
              <w:t>P</w:t>
            </w:r>
          </w:p>
        </w:tc>
        <w:tc>
          <w:tcPr>
            <w:tcW w:w="2196" w:type="dxa"/>
          </w:tcPr>
          <w:p>
            <w:pPr>
              <w:pStyle w:val="TableParagraph"/>
              <w:spacing w:before="94"/>
              <w:ind w:left="111" w:right="105"/>
              <w:jc w:val="both"/>
              <w:rPr>
                <w:sz w:val="20"/>
              </w:rPr>
            </w:pPr>
            <w:r>
              <w:rPr>
                <w:sz w:val="20"/>
              </w:rPr>
              <w:t>Each occupying a floor</w:t>
            </w:r>
            <w:r>
              <w:rPr>
                <w:spacing w:val="40"/>
                <w:sz w:val="20"/>
              </w:rPr>
              <w:t> </w:t>
            </w:r>
            <w:r>
              <w:rPr>
                <w:sz w:val="20"/>
              </w:rPr>
              <w:t>area</w:t>
            </w:r>
            <w:r>
              <w:rPr>
                <w:spacing w:val="40"/>
                <w:sz w:val="20"/>
              </w:rPr>
              <w:t> </w:t>
            </w:r>
            <w:r>
              <w:rPr>
                <w:sz w:val="20"/>
              </w:rPr>
              <w:t>not</w:t>
            </w:r>
            <w:r>
              <w:rPr>
                <w:spacing w:val="80"/>
                <w:sz w:val="20"/>
              </w:rPr>
              <w:t> </w:t>
            </w:r>
            <w:r>
              <w:rPr>
                <w:sz w:val="20"/>
              </w:rPr>
              <w:t>more</w:t>
            </w:r>
            <w:r>
              <w:rPr>
                <w:spacing w:val="45"/>
                <w:sz w:val="20"/>
              </w:rPr>
              <w:t> </w:t>
            </w:r>
            <w:r>
              <w:rPr>
                <w:sz w:val="20"/>
              </w:rPr>
              <w:t>than</w:t>
            </w:r>
            <w:r>
              <w:rPr>
                <w:spacing w:val="48"/>
                <w:sz w:val="20"/>
              </w:rPr>
              <w:t> </w:t>
            </w:r>
            <w:r>
              <w:rPr>
                <w:sz w:val="20"/>
              </w:rPr>
              <w:t>200</w:t>
            </w:r>
            <w:r>
              <w:rPr>
                <w:spacing w:val="44"/>
                <w:sz w:val="20"/>
              </w:rPr>
              <w:t> </w:t>
            </w:r>
            <w:r>
              <w:rPr>
                <w:spacing w:val="-5"/>
                <w:sz w:val="20"/>
              </w:rPr>
              <w:t>sq.</w:t>
            </w:r>
          </w:p>
          <w:p>
            <w:pPr>
              <w:pStyle w:val="TableParagraph"/>
              <w:tabs>
                <w:tab w:pos="862" w:val="left" w:leader="none"/>
                <w:tab w:pos="1051" w:val="left" w:leader="none"/>
                <w:tab w:pos="1239" w:val="left" w:leader="none"/>
                <w:tab w:pos="1739" w:val="left" w:leader="none"/>
                <w:tab w:pos="1861" w:val="left" w:leader="none"/>
                <w:tab w:pos="1961" w:val="left" w:leader="none"/>
                <w:tab w:pos="2078" w:val="right" w:leader="none"/>
              </w:tabs>
              <w:ind w:left="111" w:right="102"/>
              <w:rPr>
                <w:sz w:val="20"/>
              </w:rPr>
            </w:pPr>
            <w:r>
              <w:rPr>
                <w:spacing w:val="-6"/>
                <w:sz w:val="20"/>
              </w:rPr>
              <w:t>m.</w:t>
            </w:r>
            <w:r>
              <w:rPr>
                <w:sz w:val="20"/>
              </w:rPr>
              <w:tab/>
            </w:r>
            <w:r>
              <w:rPr>
                <w:spacing w:val="-4"/>
                <w:sz w:val="20"/>
              </w:rPr>
              <w:t>and</w:t>
            </w:r>
            <w:r>
              <w:rPr>
                <w:sz w:val="20"/>
              </w:rPr>
              <w:tab/>
              <w:tab/>
            </w:r>
            <w:r>
              <w:rPr>
                <w:spacing w:val="-4"/>
                <w:sz w:val="20"/>
              </w:rPr>
              <w:t>no</w:t>
            </w:r>
            <w:r>
              <w:rPr>
                <w:spacing w:val="-4"/>
                <w:sz w:val="20"/>
              </w:rPr>
              <w:t>t</w:t>
            </w:r>
            <w:r>
              <w:rPr>
                <w:spacing w:val="-4"/>
                <w:sz w:val="20"/>
              </w:rPr>
              <w:t> </w:t>
            </w:r>
            <w:r>
              <w:rPr>
                <w:spacing w:val="-2"/>
                <w:sz w:val="20"/>
              </w:rPr>
              <w:t>employing</w:t>
            </w:r>
            <w:r>
              <w:rPr>
                <w:spacing w:val="80"/>
                <w:sz w:val="20"/>
              </w:rPr>
              <w:t>  </w:t>
            </w:r>
            <w:r>
              <w:rPr>
                <w:spacing w:val="-2"/>
                <w:sz w:val="20"/>
              </w:rPr>
              <w:t>solvents</w:t>
            </w:r>
            <w:r>
              <w:rPr>
                <w:sz w:val="20"/>
              </w:rPr>
              <w:tab/>
              <w:tab/>
            </w:r>
            <w:r>
              <w:rPr>
                <w:spacing w:val="-4"/>
                <w:sz w:val="20"/>
              </w:rPr>
              <w:t>with</w:t>
            </w:r>
            <w:r>
              <w:rPr>
                <w:sz w:val="20"/>
              </w:rPr>
              <w:tab/>
              <w:tab/>
              <w:tab/>
            </w:r>
            <w:r>
              <w:rPr>
                <w:spacing w:val="-10"/>
                <w:sz w:val="20"/>
              </w:rPr>
              <w:t>a</w:t>
            </w:r>
            <w:r>
              <w:rPr>
                <w:spacing w:val="-10"/>
                <w:sz w:val="20"/>
              </w:rPr>
              <w:t> </w:t>
            </w:r>
            <w:r>
              <w:rPr>
                <w:sz w:val="20"/>
              </w:rPr>
              <w:t>flash</w:t>
            </w:r>
            <w:r>
              <w:rPr>
                <w:spacing w:val="80"/>
                <w:sz w:val="20"/>
              </w:rPr>
              <w:t> </w:t>
            </w:r>
            <w:r>
              <w:rPr>
                <w:sz w:val="20"/>
              </w:rPr>
              <w:t>point</w:t>
            </w:r>
            <w:r>
              <w:rPr>
                <w:spacing w:val="80"/>
                <w:sz w:val="20"/>
              </w:rPr>
              <w:t> </w:t>
            </w:r>
            <w:r>
              <w:rPr>
                <w:sz w:val="20"/>
              </w:rPr>
              <w:t>lower </w:t>
            </w:r>
            <w:r>
              <w:rPr>
                <w:spacing w:val="-4"/>
                <w:sz w:val="20"/>
              </w:rPr>
              <w:t>than</w:t>
            </w:r>
            <w:r>
              <w:rPr>
                <w:sz w:val="20"/>
              </w:rPr>
              <w:tab/>
              <w:tab/>
            </w:r>
            <w:r>
              <w:rPr>
                <w:spacing w:val="-63"/>
                <w:sz w:val="20"/>
              </w:rPr>
              <w:t> </w:t>
            </w:r>
            <w:r>
              <w:rPr>
                <w:spacing w:val="-4"/>
                <w:sz w:val="20"/>
              </w:rPr>
              <w:t>59</w:t>
            </w:r>
            <w:r>
              <w:rPr>
                <w:spacing w:val="-4"/>
                <w:position w:val="5"/>
                <w:sz w:val="13"/>
              </w:rPr>
              <w:t>0</w:t>
            </w:r>
            <w:r>
              <w:rPr>
                <w:position w:val="5"/>
                <w:sz w:val="13"/>
              </w:rPr>
              <w:tab/>
              <w:tab/>
            </w:r>
            <w:r>
              <w:rPr>
                <w:spacing w:val="-6"/>
                <w:sz w:val="20"/>
              </w:rPr>
              <w:t>C</w:t>
            </w:r>
            <w:r>
              <w:rPr>
                <w:spacing w:val="-6"/>
                <w:sz w:val="20"/>
              </w:rPr>
              <w:t>,</w:t>
            </w:r>
            <w:r>
              <w:rPr>
                <w:spacing w:val="-6"/>
                <w:sz w:val="20"/>
              </w:rPr>
              <w:t> </w:t>
            </w:r>
            <w:r>
              <w:rPr>
                <w:sz w:val="20"/>
              </w:rPr>
              <w:t>machine with dry- load</w:t>
            </w:r>
            <w:r>
              <w:rPr>
                <w:spacing w:val="40"/>
                <w:sz w:val="20"/>
              </w:rPr>
              <w:t> </w:t>
            </w:r>
            <w:r>
              <w:rPr>
                <w:sz w:val="20"/>
              </w:rPr>
              <w:t>capacity</w:t>
            </w:r>
            <w:r>
              <w:rPr>
                <w:spacing w:val="40"/>
                <w:sz w:val="20"/>
              </w:rPr>
              <w:t> </w:t>
            </w:r>
            <w:r>
              <w:rPr>
                <w:sz w:val="20"/>
              </w:rPr>
              <w:t>not exceeding</w:t>
            </w:r>
            <w:r>
              <w:rPr>
                <w:spacing w:val="80"/>
                <w:sz w:val="20"/>
              </w:rPr>
              <w:t> </w:t>
            </w:r>
            <w:r>
              <w:rPr>
                <w:sz w:val="20"/>
              </w:rPr>
              <w:t>30</w:t>
            </w:r>
            <w:r>
              <w:rPr>
                <w:spacing w:val="80"/>
                <w:sz w:val="20"/>
              </w:rPr>
              <w:t> </w:t>
            </w:r>
            <w:r>
              <w:rPr>
                <w:sz w:val="20"/>
              </w:rPr>
              <w:t>Kg. and employing not </w:t>
            </w:r>
            <w:r>
              <w:rPr>
                <w:spacing w:val="-4"/>
                <w:sz w:val="20"/>
              </w:rPr>
              <w:t>more</w:t>
            </w:r>
            <w:r>
              <w:rPr>
                <w:sz w:val="20"/>
              </w:rPr>
              <w:tab/>
              <w:tab/>
            </w:r>
            <w:r>
              <w:rPr>
                <w:spacing w:val="-4"/>
                <w:sz w:val="20"/>
              </w:rPr>
              <w:t>than</w:t>
            </w:r>
            <w:r>
              <w:rPr>
                <w:sz w:val="20"/>
              </w:rPr>
              <w:tab/>
              <w:tab/>
              <w:tab/>
              <w:tab/>
            </w:r>
            <w:r>
              <w:rPr>
                <w:spacing w:val="-10"/>
                <w:sz w:val="20"/>
              </w:rPr>
              <w:t>9</w:t>
            </w:r>
          </w:p>
          <w:p>
            <w:pPr>
              <w:pStyle w:val="TableParagraph"/>
              <w:tabs>
                <w:tab w:pos="852" w:val="left" w:leader="none"/>
                <w:tab w:pos="905" w:val="left" w:leader="none"/>
                <w:tab w:pos="1600" w:val="left" w:leader="none"/>
                <w:tab w:pos="2078" w:val="right" w:leader="none"/>
              </w:tabs>
              <w:ind w:left="111" w:right="105"/>
              <w:rPr>
                <w:sz w:val="20"/>
              </w:rPr>
            </w:pPr>
            <w:r>
              <w:rPr>
                <w:sz w:val="20"/>
              </w:rPr>
              <w:t>persons:</w:t>
            </w:r>
            <w:r>
              <w:rPr>
                <w:spacing w:val="80"/>
                <w:sz w:val="20"/>
              </w:rPr>
              <w:t> </w:t>
            </w:r>
            <w:r>
              <w:rPr>
                <w:sz w:val="20"/>
              </w:rPr>
              <w:t>Provided </w:t>
            </w:r>
            <w:r>
              <w:rPr>
                <w:spacing w:val="-4"/>
                <w:sz w:val="20"/>
              </w:rPr>
              <w:t>that</w:t>
            </w:r>
            <w:r>
              <w:rPr>
                <w:sz w:val="20"/>
              </w:rPr>
              <w:tab/>
              <w:tab/>
            </w:r>
            <w:r>
              <w:rPr>
                <w:spacing w:val="-4"/>
                <w:sz w:val="20"/>
              </w:rPr>
              <w:t>the</w:t>
            </w:r>
            <w:r>
              <w:rPr>
                <w:sz w:val="20"/>
              </w:rPr>
              <w:tab/>
            </w:r>
            <w:r>
              <w:rPr>
                <w:spacing w:val="-4"/>
                <w:sz w:val="20"/>
              </w:rPr>
              <w:t>total </w:t>
            </w:r>
            <w:r>
              <w:rPr>
                <w:spacing w:val="-2"/>
                <w:sz w:val="20"/>
              </w:rPr>
              <w:t>power</w:t>
            </w:r>
            <w:r>
              <w:rPr>
                <w:spacing w:val="80"/>
                <w:sz w:val="20"/>
              </w:rPr>
              <w:t>  </w:t>
            </w:r>
            <w:r>
              <w:rPr>
                <w:spacing w:val="-2"/>
                <w:sz w:val="20"/>
              </w:rPr>
              <w:t>requirement</w:t>
            </w:r>
            <w:r>
              <w:rPr>
                <w:sz w:val="20"/>
              </w:rPr>
              <w:tab/>
            </w:r>
            <w:r>
              <w:rPr>
                <w:spacing w:val="-59"/>
                <w:sz w:val="20"/>
              </w:rPr>
              <w:t> </w:t>
            </w:r>
            <w:r>
              <w:rPr>
                <w:spacing w:val="-2"/>
                <w:sz w:val="20"/>
              </w:rPr>
              <w:t>does </w:t>
            </w:r>
            <w:r>
              <w:rPr>
                <w:spacing w:val="-5"/>
                <w:sz w:val="20"/>
              </w:rPr>
              <w:t>not</w:t>
            </w:r>
            <w:r>
              <w:rPr>
                <w:sz w:val="20"/>
              </w:rPr>
              <w:tab/>
            </w:r>
            <w:r>
              <w:rPr>
                <w:spacing w:val="-2"/>
                <w:sz w:val="20"/>
              </w:rPr>
              <w:t>exceed</w:t>
            </w:r>
            <w:r>
              <w:rPr>
                <w:sz w:val="20"/>
              </w:rPr>
              <w:tab/>
              <w:tab/>
            </w:r>
            <w:r>
              <w:rPr>
                <w:spacing w:val="-10"/>
                <w:sz w:val="20"/>
              </w:rPr>
              <w:t>4</w:t>
            </w:r>
          </w:p>
          <w:p>
            <w:pPr>
              <w:pStyle w:val="TableParagraph"/>
              <w:ind w:left="111" w:right="105"/>
              <w:jc w:val="both"/>
              <w:rPr>
                <w:sz w:val="20"/>
              </w:rPr>
            </w:pPr>
            <w:r>
              <w:rPr>
                <w:sz w:val="20"/>
              </w:rPr>
              <w:t>KW.In case of 5, 6 in residential premises</w:t>
            </w:r>
            <w:r>
              <w:rPr>
                <w:spacing w:val="40"/>
                <w:sz w:val="20"/>
              </w:rPr>
              <w:t> </w:t>
            </w:r>
            <w:r>
              <w:rPr>
                <w:sz w:val="20"/>
              </w:rPr>
              <w:t>it</w:t>
            </w:r>
            <w:r>
              <w:rPr>
                <w:spacing w:val="40"/>
                <w:sz w:val="20"/>
              </w:rPr>
              <w:t> </w:t>
            </w:r>
            <w:r>
              <w:rPr>
                <w:sz w:val="20"/>
              </w:rPr>
              <w:t>shall</w:t>
            </w:r>
            <w:r>
              <w:rPr>
                <w:spacing w:val="40"/>
                <w:sz w:val="20"/>
              </w:rPr>
              <w:t> </w:t>
            </w:r>
            <w:r>
              <w:rPr>
                <w:sz w:val="20"/>
              </w:rPr>
              <w:t>be subject </w:t>
            </w:r>
            <w:r>
              <w:rPr>
                <w:sz w:val="20"/>
              </w:rPr>
              <w:t>to condition</w:t>
            </w:r>
            <w:r>
              <w:rPr>
                <w:spacing w:val="52"/>
                <w:sz w:val="20"/>
              </w:rPr>
              <w:t>  </w:t>
            </w:r>
            <w:r>
              <w:rPr>
                <w:sz w:val="20"/>
              </w:rPr>
              <w:t>no</w:t>
            </w:r>
            <w:r>
              <w:rPr>
                <w:spacing w:val="51"/>
                <w:sz w:val="20"/>
              </w:rPr>
              <w:t>  </w:t>
            </w:r>
            <w:r>
              <w:rPr>
                <w:spacing w:val="-5"/>
                <w:sz w:val="20"/>
              </w:rPr>
              <w:t>18.</w:t>
            </w:r>
          </w:p>
          <w:p>
            <w:pPr>
              <w:pStyle w:val="TableParagraph"/>
              <w:tabs>
                <w:tab w:pos="1134" w:val="left" w:leader="none"/>
                <w:tab w:pos="1686" w:val="left" w:leader="none"/>
                <w:tab w:pos="1841" w:val="left" w:leader="none"/>
                <w:tab w:pos="1876" w:val="left" w:leader="none"/>
              </w:tabs>
              <w:spacing w:before="2"/>
              <w:ind w:left="111" w:right="105"/>
              <w:rPr>
                <w:sz w:val="20"/>
              </w:rPr>
            </w:pPr>
            <w:r>
              <w:rPr>
                <w:spacing w:val="-2"/>
                <w:sz w:val="20"/>
              </w:rPr>
              <w:t>Cleaning</w:t>
            </w:r>
            <w:r>
              <w:rPr>
                <w:sz w:val="20"/>
              </w:rPr>
              <w:tab/>
              <w:tab/>
            </w:r>
            <w:r>
              <w:rPr>
                <w:spacing w:val="-4"/>
                <w:sz w:val="20"/>
              </w:rPr>
              <w:t>and </w:t>
            </w:r>
            <w:r>
              <w:rPr>
                <w:spacing w:val="-2"/>
                <w:sz w:val="20"/>
              </w:rPr>
              <w:t>pressing </w:t>
            </w:r>
            <w:r>
              <w:rPr>
                <w:sz w:val="20"/>
              </w:rPr>
              <w:t>establishments for </w:t>
            </w:r>
            <w:r>
              <w:rPr>
                <w:spacing w:val="-2"/>
                <w:sz w:val="20"/>
              </w:rPr>
              <w:t>clothes</w:t>
            </w:r>
            <w:r>
              <w:rPr>
                <w:sz w:val="20"/>
              </w:rPr>
              <w:tab/>
            </w:r>
            <w:r>
              <w:rPr>
                <w:spacing w:val="-4"/>
                <w:sz w:val="20"/>
              </w:rPr>
              <w:t>may</w:t>
            </w:r>
            <w:r>
              <w:rPr>
                <w:sz w:val="20"/>
              </w:rPr>
              <w:tab/>
              <w:tab/>
            </w:r>
            <w:r>
              <w:rPr>
                <w:spacing w:val="-6"/>
                <w:sz w:val="20"/>
              </w:rPr>
              <w:t>be </w:t>
            </w:r>
            <w:r>
              <w:rPr>
                <w:spacing w:val="-2"/>
                <w:sz w:val="20"/>
              </w:rPr>
              <w:t>permitted</w:t>
            </w:r>
            <w:r>
              <w:rPr>
                <w:sz w:val="20"/>
              </w:rPr>
              <w:tab/>
              <w:tab/>
              <w:tab/>
              <w:tab/>
            </w:r>
            <w:r>
              <w:rPr>
                <w:spacing w:val="-6"/>
                <w:sz w:val="20"/>
              </w:rPr>
              <w:t>in </w:t>
            </w:r>
            <w:r>
              <w:rPr>
                <w:sz w:val="20"/>
              </w:rPr>
              <w:t>service</w:t>
            </w:r>
            <w:r>
              <w:rPr>
                <w:spacing w:val="80"/>
                <w:sz w:val="20"/>
              </w:rPr>
              <w:t> </w:t>
            </w:r>
            <w:r>
              <w:rPr>
                <w:sz w:val="20"/>
              </w:rPr>
              <w:t>industrial </w:t>
            </w:r>
            <w:r>
              <w:rPr>
                <w:spacing w:val="-2"/>
                <w:sz w:val="20"/>
              </w:rPr>
              <w:t>estate.</w:t>
            </w:r>
          </w:p>
        </w:tc>
      </w:tr>
      <w:tr>
        <w:trPr>
          <w:trHeight w:val="2870" w:hRule="atLeast"/>
        </w:trPr>
        <w:tc>
          <w:tcPr>
            <w:tcW w:w="1260" w:type="dxa"/>
          </w:tcPr>
          <w:p>
            <w:pPr>
              <w:pStyle w:val="TableParagraph"/>
              <w:spacing w:before="94"/>
              <w:ind w:left="102"/>
              <w:rPr>
                <w:sz w:val="20"/>
              </w:rPr>
            </w:pPr>
            <w:r>
              <w:rPr>
                <w:spacing w:val="5"/>
                <w:sz w:val="20"/>
              </w:rPr>
              <w:t>18</w:t>
            </w:r>
          </w:p>
        </w:tc>
        <w:tc>
          <w:tcPr>
            <w:tcW w:w="2856" w:type="dxa"/>
          </w:tcPr>
          <w:p>
            <w:pPr>
              <w:pStyle w:val="TableParagraph"/>
              <w:tabs>
                <w:tab w:pos="1853" w:val="left" w:leader="none"/>
              </w:tabs>
              <w:spacing w:before="94"/>
              <w:ind w:left="108" w:right="148"/>
              <w:rPr>
                <w:sz w:val="20"/>
              </w:rPr>
            </w:pPr>
            <w:r>
              <w:rPr>
                <w:spacing w:val="-2"/>
                <w:sz w:val="20"/>
              </w:rPr>
              <w:t>Coffee</w:t>
            </w:r>
            <w:r>
              <w:rPr>
                <w:sz w:val="20"/>
              </w:rPr>
              <w:tab/>
            </w:r>
            <w:r>
              <w:rPr>
                <w:spacing w:val="-2"/>
                <w:sz w:val="20"/>
              </w:rPr>
              <w:t>grinding establishments</w:t>
            </w:r>
          </w:p>
        </w:tc>
        <w:tc>
          <w:tcPr>
            <w:tcW w:w="1276" w:type="dxa"/>
          </w:tcPr>
          <w:p>
            <w:pPr>
              <w:pStyle w:val="TableParagraph"/>
              <w:spacing w:before="94"/>
              <w:ind w:left="108"/>
              <w:rPr>
                <w:sz w:val="20"/>
              </w:rPr>
            </w:pPr>
            <w:r>
              <w:rPr>
                <w:sz w:val="20"/>
              </w:rPr>
              <w:t>1</w:t>
            </w:r>
            <w:r>
              <w:rPr>
                <w:spacing w:val="9"/>
                <w:sz w:val="20"/>
              </w:rPr>
              <w:t> </w:t>
            </w:r>
            <w:r>
              <w:rPr>
                <w:sz w:val="20"/>
              </w:rPr>
              <w:t>or</w:t>
            </w:r>
            <w:r>
              <w:rPr>
                <w:spacing w:val="12"/>
                <w:sz w:val="20"/>
              </w:rPr>
              <w:t> </w:t>
            </w:r>
            <w:r>
              <w:rPr>
                <w:sz w:val="20"/>
              </w:rPr>
              <w:t>2</w:t>
            </w:r>
            <w:r>
              <w:rPr>
                <w:spacing w:val="9"/>
                <w:sz w:val="20"/>
              </w:rPr>
              <w:t> </w:t>
            </w:r>
            <w:r>
              <w:rPr>
                <w:spacing w:val="-5"/>
                <w:sz w:val="20"/>
              </w:rPr>
              <w:t>or</w:t>
            </w:r>
          </w:p>
          <w:p>
            <w:pPr>
              <w:pStyle w:val="TableParagraph"/>
              <w:spacing w:before="1"/>
              <w:ind w:left="108"/>
              <w:rPr>
                <w:sz w:val="20"/>
              </w:rPr>
            </w:pPr>
            <w:r>
              <w:rPr>
                <w:sz w:val="20"/>
              </w:rPr>
              <w:t>3</w:t>
            </w:r>
            <w:r>
              <w:rPr>
                <w:spacing w:val="9"/>
                <w:sz w:val="20"/>
              </w:rPr>
              <w:t> </w:t>
            </w:r>
            <w:r>
              <w:rPr>
                <w:sz w:val="20"/>
              </w:rPr>
              <w:t>or</w:t>
            </w:r>
            <w:r>
              <w:rPr>
                <w:spacing w:val="12"/>
                <w:sz w:val="20"/>
              </w:rPr>
              <w:t> </w:t>
            </w:r>
            <w:r>
              <w:rPr>
                <w:sz w:val="20"/>
              </w:rPr>
              <w:t>5</w:t>
            </w:r>
            <w:r>
              <w:rPr>
                <w:spacing w:val="9"/>
                <w:sz w:val="20"/>
              </w:rPr>
              <w:t> </w:t>
            </w:r>
            <w:r>
              <w:rPr>
                <w:spacing w:val="-5"/>
                <w:sz w:val="20"/>
              </w:rPr>
              <w:t>or</w:t>
            </w:r>
          </w:p>
          <w:p>
            <w:pPr>
              <w:pStyle w:val="TableParagraph"/>
              <w:tabs>
                <w:tab w:pos="835" w:val="left" w:leader="none"/>
              </w:tabs>
              <w:ind w:left="108"/>
              <w:rPr>
                <w:sz w:val="20"/>
              </w:rPr>
            </w:pPr>
            <w:r>
              <w:rPr>
                <w:spacing w:val="-10"/>
                <w:sz w:val="20"/>
              </w:rPr>
              <w:t>6</w:t>
            </w:r>
            <w:r>
              <w:rPr>
                <w:sz w:val="20"/>
              </w:rPr>
              <w:tab/>
            </w:r>
            <w:r>
              <w:rPr>
                <w:spacing w:val="-10"/>
                <w:sz w:val="20"/>
              </w:rPr>
              <w:t>&amp;</w:t>
            </w:r>
          </w:p>
          <w:p>
            <w:pPr>
              <w:pStyle w:val="TableParagraph"/>
              <w:ind w:left="108"/>
              <w:rPr>
                <w:sz w:val="20"/>
              </w:rPr>
            </w:pPr>
            <w:r>
              <w:rPr>
                <w:spacing w:val="-2"/>
                <w:sz w:val="20"/>
              </w:rPr>
              <w:t>16,17</w:t>
            </w:r>
          </w:p>
        </w:tc>
        <w:tc>
          <w:tcPr>
            <w:tcW w:w="1209" w:type="dxa"/>
          </w:tcPr>
          <w:p>
            <w:pPr>
              <w:pStyle w:val="TableParagraph"/>
              <w:spacing w:before="94"/>
              <w:ind w:left="109"/>
              <w:rPr>
                <w:sz w:val="20"/>
              </w:rPr>
            </w:pPr>
            <w:r>
              <w:rPr>
                <w:sz w:val="20"/>
              </w:rPr>
              <mc:AlternateContent>
                <mc:Choice Requires="wps">
                  <w:drawing>
                    <wp:anchor distT="0" distB="0" distL="0" distR="0" allowOverlap="1" layoutInCell="1" locked="0" behindDoc="1" simplePos="0" relativeHeight="471352320">
                      <wp:simplePos x="0" y="0"/>
                      <wp:positionH relativeFrom="column">
                        <wp:posOffset>68833</wp:posOffset>
                      </wp:positionH>
                      <wp:positionV relativeFrom="paragraph">
                        <wp:posOffset>60562</wp:posOffset>
                      </wp:positionV>
                      <wp:extent cx="631190" cy="297180"/>
                      <wp:effectExtent l="0" t="0" r="0" b="0"/>
                      <wp:wrapNone/>
                      <wp:docPr id="387" name="Group 387"/>
                      <wp:cNvGraphicFramePr>
                        <a:graphicFrameLocks/>
                      </wp:cNvGraphicFramePr>
                      <a:graphic>
                        <a:graphicData uri="http://schemas.microsoft.com/office/word/2010/wordprocessingGroup">
                          <wpg:wgp>
                            <wpg:cNvPr id="387" name="Group 387"/>
                            <wpg:cNvGrpSpPr/>
                            <wpg:grpSpPr>
                              <a:xfrm>
                                <a:off x="0" y="0"/>
                                <a:ext cx="631190" cy="297180"/>
                                <a:chExt cx="631190" cy="297180"/>
                              </a:xfrm>
                            </wpg:grpSpPr>
                            <wps:wsp>
                              <wps:cNvPr id="388" name="Graphic 388"/>
                              <wps:cNvSpPr/>
                              <wps:spPr>
                                <a:xfrm>
                                  <a:off x="0" y="0"/>
                                  <a:ext cx="631190" cy="297180"/>
                                </a:xfrm>
                                <a:custGeom>
                                  <a:avLst/>
                                  <a:gdLst/>
                                  <a:ahLst/>
                                  <a:cxnLst/>
                                  <a:rect l="l" t="t" r="r" b="b"/>
                                  <a:pathLst>
                                    <a:path w="631190" h="297180">
                                      <a:moveTo>
                                        <a:pt x="630936" y="149352"/>
                                      </a:moveTo>
                                      <a:lnTo>
                                        <a:pt x="0" y="149352"/>
                                      </a:lnTo>
                                      <a:lnTo>
                                        <a:pt x="0" y="297180"/>
                                      </a:lnTo>
                                      <a:lnTo>
                                        <a:pt x="630936" y="297180"/>
                                      </a:lnTo>
                                      <a:lnTo>
                                        <a:pt x="630936" y="149352"/>
                                      </a:lnTo>
                                      <a:close/>
                                    </a:path>
                                    <a:path w="631190" h="297180">
                                      <a:moveTo>
                                        <a:pt x="630936" y="0"/>
                                      </a:moveTo>
                                      <a:lnTo>
                                        <a:pt x="0" y="0"/>
                                      </a:lnTo>
                                      <a:lnTo>
                                        <a:pt x="0" y="147828"/>
                                      </a:lnTo>
                                      <a:lnTo>
                                        <a:pt x="630936" y="147828"/>
                                      </a:lnTo>
                                      <a:lnTo>
                                        <a:pt x="630936" y="0"/>
                                      </a:lnTo>
                                      <a:close/>
                                    </a:path>
                                  </a:pathLst>
                                </a:custGeom>
                                <a:solidFill>
                                  <a:srgbClr val="FFCCFF"/>
                                </a:solidFill>
                              </wps:spPr>
                              <wps:bodyPr wrap="square" lIns="0" tIns="0" rIns="0" bIns="0" rtlCol="0">
                                <a:prstTxWarp prst="textNoShape">
                                  <a:avLst/>
                                </a:prstTxWarp>
                                <a:noAutofit/>
                              </wps:bodyPr>
                            </wps:wsp>
                          </wpg:wgp>
                        </a:graphicData>
                      </a:graphic>
                    </wp:anchor>
                  </w:drawing>
                </mc:Choice>
                <mc:Fallback>
                  <w:pict>
                    <v:group style="position:absolute;margin-left:5.419995pt;margin-top:4.768713pt;width:49.7pt;height:23.4pt;mso-position-horizontal-relative:column;mso-position-vertical-relative:paragraph;z-index:-31964160" id="docshapegroup333" coordorigin="108,95" coordsize="994,468">
                      <v:shape style="position:absolute;left:108;top:95;width:994;height:468" id="docshape334" coordorigin="108,95" coordsize="994,468" path="m1102,331l108,331,108,563,1102,563,1102,331xm1102,95l108,95,108,328,1102,328,1102,95xe" filled="true" fillcolor="#ffccff" stroked="false">
                        <v:path arrowok="t"/>
                        <v:fill type="solid"/>
                      </v:shape>
                      <w10:wrap type="none"/>
                    </v:group>
                  </w:pict>
                </mc:Fallback>
              </mc:AlternateContent>
            </w:r>
            <w:r>
              <w:rPr>
                <w:sz w:val="20"/>
              </w:rPr>
              <w:t>1</w:t>
            </w:r>
            <w:r>
              <w:rPr>
                <w:spacing w:val="40"/>
                <w:sz w:val="20"/>
              </w:rPr>
              <w:t> </w:t>
            </w:r>
            <w:r>
              <w:rPr>
                <w:sz w:val="20"/>
              </w:rPr>
              <w:t>or</w:t>
            </w:r>
            <w:r>
              <w:rPr>
                <w:spacing w:val="44"/>
                <w:sz w:val="20"/>
              </w:rPr>
              <w:t> </w:t>
            </w:r>
            <w:r>
              <w:rPr>
                <w:sz w:val="20"/>
              </w:rPr>
              <w:t>2</w:t>
            </w:r>
            <w:r>
              <w:rPr>
                <w:spacing w:val="40"/>
                <w:sz w:val="20"/>
              </w:rPr>
              <w:t> </w:t>
            </w:r>
            <w:r>
              <w:rPr>
                <w:spacing w:val="-5"/>
                <w:sz w:val="20"/>
              </w:rPr>
              <w:t>or</w:t>
            </w:r>
          </w:p>
          <w:p>
            <w:pPr>
              <w:pStyle w:val="TableParagraph"/>
              <w:spacing w:before="1"/>
              <w:ind w:left="109"/>
              <w:rPr>
                <w:sz w:val="20"/>
              </w:rPr>
            </w:pPr>
            <w:r>
              <w:rPr>
                <w:sz w:val="20"/>
              </w:rPr>
              <w:t>3</w:t>
            </w:r>
            <w:r>
              <w:rPr>
                <w:spacing w:val="40"/>
                <w:sz w:val="20"/>
              </w:rPr>
              <w:t> </w:t>
            </w:r>
            <w:r>
              <w:rPr>
                <w:sz w:val="20"/>
              </w:rPr>
              <w:t>or</w:t>
            </w:r>
            <w:r>
              <w:rPr>
                <w:spacing w:val="44"/>
                <w:sz w:val="20"/>
              </w:rPr>
              <w:t> </w:t>
            </w:r>
            <w:r>
              <w:rPr>
                <w:sz w:val="20"/>
              </w:rPr>
              <w:t>5</w:t>
            </w:r>
            <w:r>
              <w:rPr>
                <w:spacing w:val="40"/>
                <w:sz w:val="20"/>
              </w:rPr>
              <w:t> </w:t>
            </w:r>
            <w:r>
              <w:rPr>
                <w:spacing w:val="-5"/>
                <w:sz w:val="20"/>
              </w:rPr>
              <w:t>or</w:t>
            </w:r>
          </w:p>
          <w:p>
            <w:pPr>
              <w:pStyle w:val="TableParagraph"/>
              <w:ind w:left="109"/>
              <w:rPr>
                <w:sz w:val="20"/>
              </w:rPr>
            </w:pPr>
            <w:r>
              <w:rPr>
                <w:color w:val="000000"/>
                <w:spacing w:val="-10"/>
                <w:sz w:val="20"/>
                <w:shd w:fill="FFCCFF" w:color="auto" w:val="clear"/>
              </w:rPr>
              <w:t>6</w:t>
            </w:r>
          </w:p>
        </w:tc>
        <w:tc>
          <w:tcPr>
            <w:tcW w:w="1199" w:type="dxa"/>
          </w:tcPr>
          <w:p>
            <w:pPr>
              <w:pStyle w:val="TableParagraph"/>
              <w:spacing w:before="94"/>
              <w:ind w:left="197" w:right="295"/>
              <w:jc w:val="center"/>
              <w:rPr>
                <w:sz w:val="20"/>
              </w:rPr>
            </w:pPr>
            <w:r>
              <w:rPr>
                <w:spacing w:val="-10"/>
                <w:sz w:val="20"/>
              </w:rPr>
              <w:t>P</w:t>
            </w:r>
          </w:p>
        </w:tc>
        <w:tc>
          <w:tcPr>
            <w:tcW w:w="2196" w:type="dxa"/>
          </w:tcPr>
          <w:p>
            <w:pPr>
              <w:pStyle w:val="TableParagraph"/>
              <w:tabs>
                <w:tab w:pos="1310" w:val="left" w:leader="none"/>
              </w:tabs>
              <w:spacing w:before="94"/>
              <w:ind w:left="111" w:right="106"/>
              <w:jc w:val="both"/>
              <w:rPr>
                <w:sz w:val="20"/>
              </w:rPr>
            </w:pPr>
            <w:r>
              <w:rPr>
                <w:spacing w:val="-4"/>
                <w:sz w:val="20"/>
              </w:rPr>
              <w:t>With</w:t>
            </w:r>
            <w:r>
              <w:rPr>
                <w:sz w:val="20"/>
              </w:rPr>
              <w:tab/>
            </w:r>
            <w:r>
              <w:rPr>
                <w:spacing w:val="-2"/>
                <w:sz w:val="20"/>
              </w:rPr>
              <w:t>electric </w:t>
            </w:r>
            <w:r>
              <w:rPr>
                <w:sz w:val="20"/>
              </w:rPr>
              <w:t>motive power not exceeding</w:t>
            </w:r>
            <w:r>
              <w:rPr>
                <w:spacing w:val="70"/>
                <w:sz w:val="20"/>
              </w:rPr>
              <w:t>    </w:t>
            </w:r>
            <w:r>
              <w:rPr>
                <w:spacing w:val="-4"/>
                <w:sz w:val="20"/>
              </w:rPr>
              <w:t>0.75</w:t>
            </w:r>
          </w:p>
          <w:p>
            <w:pPr>
              <w:pStyle w:val="TableParagraph"/>
              <w:spacing w:before="1"/>
              <w:ind w:left="111"/>
              <w:jc w:val="both"/>
              <w:rPr>
                <w:sz w:val="20"/>
              </w:rPr>
            </w:pPr>
            <w:r>
              <w:rPr>
                <w:sz w:val="20"/>
              </w:rPr>
              <w:t>KW.</w:t>
            </w:r>
            <w:r>
              <w:rPr>
                <w:spacing w:val="51"/>
                <w:w w:val="150"/>
                <w:sz w:val="20"/>
              </w:rPr>
              <w:t>  </w:t>
            </w:r>
            <w:r>
              <w:rPr>
                <w:sz w:val="20"/>
              </w:rPr>
              <w:t>(0.025</w:t>
            </w:r>
            <w:r>
              <w:rPr>
                <w:spacing w:val="50"/>
                <w:w w:val="150"/>
                <w:sz w:val="20"/>
              </w:rPr>
              <w:t>  </w:t>
            </w:r>
            <w:r>
              <w:rPr>
                <w:spacing w:val="-5"/>
                <w:sz w:val="20"/>
              </w:rPr>
              <w:t>KW</w:t>
            </w:r>
          </w:p>
          <w:p>
            <w:pPr>
              <w:pStyle w:val="TableParagraph"/>
              <w:spacing w:before="1"/>
              <w:ind w:left="111" w:right="106"/>
              <w:jc w:val="both"/>
              <w:rPr>
                <w:sz w:val="20"/>
              </w:rPr>
            </w:pPr>
            <w:r>
              <w:rPr>
                <w:sz w:val="20"/>
              </w:rPr>
              <w:t>individual </w:t>
            </w:r>
            <w:r>
              <w:rPr>
                <w:sz w:val="20"/>
              </w:rPr>
              <w:t>motor </w:t>
            </w:r>
            <w:r>
              <w:rPr>
                <w:spacing w:val="-2"/>
                <w:sz w:val="20"/>
              </w:rPr>
              <w:t>each).</w:t>
            </w:r>
          </w:p>
          <w:p>
            <w:pPr>
              <w:pStyle w:val="TableParagraph"/>
              <w:spacing w:before="95"/>
              <w:ind w:left="111" w:right="105"/>
              <w:jc w:val="both"/>
              <w:rPr>
                <w:sz w:val="20"/>
              </w:rPr>
            </w:pPr>
            <w:r>
              <w:rPr>
                <w:sz w:val="20"/>
              </w:rPr>
              <w:t>In</w:t>
            </w:r>
            <w:r>
              <w:rPr>
                <w:spacing w:val="40"/>
                <w:sz w:val="20"/>
              </w:rPr>
              <w:t> </w:t>
            </w:r>
            <w:r>
              <w:rPr>
                <w:sz w:val="20"/>
              </w:rPr>
              <w:t>case</w:t>
            </w:r>
            <w:r>
              <w:rPr>
                <w:spacing w:val="40"/>
                <w:sz w:val="20"/>
              </w:rPr>
              <w:t> </w:t>
            </w:r>
            <w:r>
              <w:rPr>
                <w:sz w:val="20"/>
              </w:rPr>
              <w:t>of</w:t>
            </w:r>
            <w:r>
              <w:rPr>
                <w:spacing w:val="40"/>
                <w:sz w:val="20"/>
              </w:rPr>
              <w:t> </w:t>
            </w:r>
            <w:r>
              <w:rPr>
                <w:sz w:val="20"/>
              </w:rPr>
              <w:t>3,</w:t>
            </w:r>
            <w:r>
              <w:rPr>
                <w:spacing w:val="40"/>
                <w:sz w:val="20"/>
              </w:rPr>
              <w:t> </w:t>
            </w:r>
            <w:r>
              <w:rPr>
                <w:sz w:val="20"/>
              </w:rPr>
              <w:t>5,</w:t>
            </w:r>
            <w:r>
              <w:rPr>
                <w:spacing w:val="40"/>
                <w:sz w:val="20"/>
              </w:rPr>
              <w:t> </w:t>
            </w:r>
            <w:r>
              <w:rPr>
                <w:sz w:val="20"/>
              </w:rPr>
              <w:t>6 in residential premises</w:t>
            </w:r>
            <w:r>
              <w:rPr>
                <w:spacing w:val="40"/>
                <w:sz w:val="20"/>
              </w:rPr>
              <w:t> </w:t>
            </w:r>
            <w:r>
              <w:rPr>
                <w:sz w:val="20"/>
              </w:rPr>
              <w:t>it</w:t>
            </w:r>
            <w:r>
              <w:rPr>
                <w:spacing w:val="40"/>
                <w:sz w:val="20"/>
              </w:rPr>
              <w:t> </w:t>
            </w:r>
            <w:r>
              <w:rPr>
                <w:sz w:val="20"/>
              </w:rPr>
              <w:t>shall</w:t>
            </w:r>
            <w:r>
              <w:rPr>
                <w:spacing w:val="40"/>
                <w:sz w:val="20"/>
              </w:rPr>
              <w:t> </w:t>
            </w:r>
            <w:r>
              <w:rPr>
                <w:sz w:val="20"/>
              </w:rPr>
              <w:t>be subject </w:t>
            </w:r>
            <w:r>
              <w:rPr>
                <w:sz w:val="20"/>
              </w:rPr>
              <w:t>to condition no 18.</w:t>
            </w:r>
          </w:p>
        </w:tc>
      </w:tr>
      <w:tr>
        <w:trPr>
          <w:trHeight w:val="565" w:hRule="atLeast"/>
        </w:trPr>
        <w:tc>
          <w:tcPr>
            <w:tcW w:w="1260" w:type="dxa"/>
          </w:tcPr>
          <w:p>
            <w:pPr>
              <w:pStyle w:val="TableParagraph"/>
              <w:spacing w:before="97"/>
              <w:ind w:left="102"/>
              <w:rPr>
                <w:sz w:val="20"/>
              </w:rPr>
            </w:pPr>
            <w:r>
              <w:rPr>
                <w:spacing w:val="5"/>
                <w:sz w:val="20"/>
              </w:rPr>
              <w:t>19</w:t>
            </w:r>
          </w:p>
        </w:tc>
        <w:tc>
          <w:tcPr>
            <w:tcW w:w="2856" w:type="dxa"/>
          </w:tcPr>
          <w:p>
            <w:pPr>
              <w:pStyle w:val="TableParagraph"/>
              <w:tabs>
                <w:tab w:pos="2154" w:val="left" w:leader="none"/>
              </w:tabs>
              <w:spacing w:line="232" w:lineRule="exact" w:before="82"/>
              <w:ind w:left="108" w:right="109"/>
              <w:rPr>
                <w:sz w:val="20"/>
              </w:rPr>
            </w:pPr>
            <w:r>
              <w:rPr>
                <w:spacing w:val="-2"/>
                <w:sz w:val="20"/>
              </w:rPr>
              <w:t>Establishments</w:t>
            </w:r>
            <w:r>
              <w:rPr>
                <w:sz w:val="20"/>
              </w:rPr>
              <w:tab/>
            </w:r>
            <w:r>
              <w:rPr>
                <w:spacing w:val="-2"/>
                <w:sz w:val="20"/>
              </w:rPr>
              <w:t>using </w:t>
            </w:r>
            <w:r>
              <w:rPr>
                <w:sz w:val="20"/>
              </w:rPr>
              <w:t>power</w:t>
            </w:r>
            <w:r>
              <w:rPr>
                <w:spacing w:val="30"/>
                <w:sz w:val="20"/>
              </w:rPr>
              <w:t>  </w:t>
            </w:r>
            <w:r>
              <w:rPr>
                <w:sz w:val="20"/>
              </w:rPr>
              <w:t>only</w:t>
            </w:r>
            <w:r>
              <w:rPr>
                <w:spacing w:val="29"/>
                <w:sz w:val="20"/>
              </w:rPr>
              <w:t>  </w:t>
            </w:r>
            <w:r>
              <w:rPr>
                <w:sz w:val="20"/>
              </w:rPr>
              <w:t>for</w:t>
            </w:r>
            <w:r>
              <w:rPr>
                <w:spacing w:val="29"/>
                <w:sz w:val="20"/>
              </w:rPr>
              <w:t>  </w:t>
            </w:r>
            <w:r>
              <w:rPr>
                <w:spacing w:val="-2"/>
                <w:sz w:val="20"/>
              </w:rPr>
              <w:t>heating</w:t>
            </w:r>
          </w:p>
        </w:tc>
        <w:tc>
          <w:tcPr>
            <w:tcW w:w="1276" w:type="dxa"/>
          </w:tcPr>
          <w:p>
            <w:pPr>
              <w:pStyle w:val="TableParagraph"/>
              <w:spacing w:line="234" w:lineRule="exact" w:before="97"/>
              <w:ind w:left="108"/>
              <w:rPr>
                <w:sz w:val="20"/>
              </w:rPr>
            </w:pPr>
            <w:r>
              <w:rPr>
                <w:sz w:val="20"/>
              </w:rPr>
              <w:t>1</w:t>
            </w:r>
            <w:r>
              <w:rPr>
                <w:spacing w:val="9"/>
                <w:sz w:val="20"/>
              </w:rPr>
              <w:t> </w:t>
            </w:r>
            <w:r>
              <w:rPr>
                <w:sz w:val="20"/>
              </w:rPr>
              <w:t>or</w:t>
            </w:r>
            <w:r>
              <w:rPr>
                <w:spacing w:val="12"/>
                <w:sz w:val="20"/>
              </w:rPr>
              <w:t> </w:t>
            </w:r>
            <w:r>
              <w:rPr>
                <w:sz w:val="20"/>
              </w:rPr>
              <w:t>2</w:t>
            </w:r>
            <w:r>
              <w:rPr>
                <w:spacing w:val="9"/>
                <w:sz w:val="20"/>
              </w:rPr>
              <w:t> </w:t>
            </w:r>
            <w:r>
              <w:rPr>
                <w:spacing w:val="-5"/>
                <w:sz w:val="20"/>
              </w:rPr>
              <w:t>or</w:t>
            </w:r>
          </w:p>
          <w:p>
            <w:pPr>
              <w:pStyle w:val="TableParagraph"/>
              <w:spacing w:line="215" w:lineRule="exact"/>
              <w:ind w:left="108"/>
              <w:rPr>
                <w:sz w:val="20"/>
              </w:rPr>
            </w:pPr>
            <w:r>
              <w:rPr>
                <w:sz w:val="20"/>
              </w:rPr>
              <w:t>3</w:t>
            </w:r>
            <w:r>
              <w:rPr>
                <w:spacing w:val="9"/>
                <w:sz w:val="20"/>
              </w:rPr>
              <w:t> </w:t>
            </w:r>
            <w:r>
              <w:rPr>
                <w:sz w:val="20"/>
              </w:rPr>
              <w:t>or</w:t>
            </w:r>
            <w:r>
              <w:rPr>
                <w:spacing w:val="12"/>
                <w:sz w:val="20"/>
              </w:rPr>
              <w:t> </w:t>
            </w:r>
            <w:r>
              <w:rPr>
                <w:sz w:val="20"/>
              </w:rPr>
              <w:t>5</w:t>
            </w:r>
            <w:r>
              <w:rPr>
                <w:spacing w:val="9"/>
                <w:sz w:val="20"/>
              </w:rPr>
              <w:t> </w:t>
            </w:r>
            <w:r>
              <w:rPr>
                <w:spacing w:val="-5"/>
                <w:sz w:val="20"/>
              </w:rPr>
              <w:t>or</w:t>
            </w:r>
          </w:p>
        </w:tc>
        <w:tc>
          <w:tcPr>
            <w:tcW w:w="1209" w:type="dxa"/>
            <w:shd w:val="clear" w:color="auto" w:fill="FFCCFF"/>
          </w:tcPr>
          <w:p>
            <w:pPr>
              <w:pStyle w:val="TableParagraph"/>
              <w:spacing w:line="234" w:lineRule="exact" w:before="97"/>
              <w:ind w:left="109"/>
              <w:rPr>
                <w:sz w:val="20"/>
              </w:rPr>
            </w:pPr>
            <w:r>
              <w:rPr>
                <w:sz w:val="20"/>
              </w:rPr>
              <mc:AlternateContent>
                <mc:Choice Requires="wps">
                  <w:drawing>
                    <wp:anchor distT="0" distB="0" distL="0" distR="0" allowOverlap="1" layoutInCell="1" locked="0" behindDoc="1" simplePos="0" relativeHeight="471352832">
                      <wp:simplePos x="0" y="0"/>
                      <wp:positionH relativeFrom="column">
                        <wp:posOffset>68833</wp:posOffset>
                      </wp:positionH>
                      <wp:positionV relativeFrom="paragraph">
                        <wp:posOffset>62467</wp:posOffset>
                      </wp:positionV>
                      <wp:extent cx="631190" cy="295910"/>
                      <wp:effectExtent l="0" t="0" r="0" b="0"/>
                      <wp:wrapNone/>
                      <wp:docPr id="389" name="Group 389"/>
                      <wp:cNvGraphicFramePr>
                        <a:graphicFrameLocks/>
                      </wp:cNvGraphicFramePr>
                      <a:graphic>
                        <a:graphicData uri="http://schemas.microsoft.com/office/word/2010/wordprocessingGroup">
                          <wpg:wgp>
                            <wpg:cNvPr id="389" name="Group 389"/>
                            <wpg:cNvGrpSpPr/>
                            <wpg:grpSpPr>
                              <a:xfrm>
                                <a:off x="0" y="0"/>
                                <a:ext cx="631190" cy="295910"/>
                                <a:chExt cx="631190" cy="295910"/>
                              </a:xfrm>
                            </wpg:grpSpPr>
                            <wps:wsp>
                              <wps:cNvPr id="390" name="Graphic 390"/>
                              <wps:cNvSpPr/>
                              <wps:spPr>
                                <a:xfrm>
                                  <a:off x="0" y="0"/>
                                  <a:ext cx="631190" cy="295910"/>
                                </a:xfrm>
                                <a:custGeom>
                                  <a:avLst/>
                                  <a:gdLst/>
                                  <a:ahLst/>
                                  <a:cxnLst/>
                                  <a:rect l="l" t="t" r="r" b="b"/>
                                  <a:pathLst>
                                    <a:path w="631190" h="295910">
                                      <a:moveTo>
                                        <a:pt x="630936" y="0"/>
                                      </a:moveTo>
                                      <a:lnTo>
                                        <a:pt x="0" y="0"/>
                                      </a:lnTo>
                                      <a:lnTo>
                                        <a:pt x="0" y="147777"/>
                                      </a:lnTo>
                                      <a:lnTo>
                                        <a:pt x="0" y="295605"/>
                                      </a:lnTo>
                                      <a:lnTo>
                                        <a:pt x="630936" y="295605"/>
                                      </a:lnTo>
                                      <a:lnTo>
                                        <a:pt x="630936" y="147828"/>
                                      </a:lnTo>
                                      <a:lnTo>
                                        <a:pt x="630936" y="0"/>
                                      </a:lnTo>
                                      <a:close/>
                                    </a:path>
                                  </a:pathLst>
                                </a:custGeom>
                                <a:solidFill>
                                  <a:srgbClr val="FFCCFF"/>
                                </a:solidFill>
                              </wps:spPr>
                              <wps:bodyPr wrap="square" lIns="0" tIns="0" rIns="0" bIns="0" rtlCol="0">
                                <a:prstTxWarp prst="textNoShape">
                                  <a:avLst/>
                                </a:prstTxWarp>
                                <a:noAutofit/>
                              </wps:bodyPr>
                            </wps:wsp>
                          </wpg:wgp>
                        </a:graphicData>
                      </a:graphic>
                    </wp:anchor>
                  </w:drawing>
                </mc:Choice>
                <mc:Fallback>
                  <w:pict>
                    <v:group style="position:absolute;margin-left:5.419995pt;margin-top:4.918712pt;width:49.7pt;height:23.3pt;mso-position-horizontal-relative:column;mso-position-vertical-relative:paragraph;z-index:-31963648" id="docshapegroup335" coordorigin="108,98" coordsize="994,466">
                      <v:shape style="position:absolute;left:108;top:98;width:994;height:466" id="docshape336" coordorigin="108,98" coordsize="994,466" path="m1102,98l108,98,108,331,108,564,1102,564,1102,331,1102,98xe" filled="true" fillcolor="#ffccff" stroked="false">
                        <v:path arrowok="t"/>
                        <v:fill type="solid"/>
                      </v:shape>
                      <w10:wrap type="none"/>
                    </v:group>
                  </w:pict>
                </mc:Fallback>
              </mc:AlternateContent>
            </w:r>
            <w:r>
              <w:rPr>
                <w:sz w:val="20"/>
              </w:rPr>
              <w:t>1</w:t>
            </w:r>
            <w:r>
              <w:rPr>
                <w:spacing w:val="40"/>
                <w:sz w:val="20"/>
              </w:rPr>
              <w:t> </w:t>
            </w:r>
            <w:r>
              <w:rPr>
                <w:sz w:val="20"/>
              </w:rPr>
              <w:t>or</w:t>
            </w:r>
            <w:r>
              <w:rPr>
                <w:spacing w:val="44"/>
                <w:sz w:val="20"/>
              </w:rPr>
              <w:t> </w:t>
            </w:r>
            <w:r>
              <w:rPr>
                <w:sz w:val="20"/>
              </w:rPr>
              <w:t>2</w:t>
            </w:r>
            <w:r>
              <w:rPr>
                <w:spacing w:val="40"/>
                <w:sz w:val="20"/>
              </w:rPr>
              <w:t> </w:t>
            </w:r>
            <w:r>
              <w:rPr>
                <w:spacing w:val="-5"/>
                <w:sz w:val="20"/>
              </w:rPr>
              <w:t>or</w:t>
            </w:r>
          </w:p>
          <w:p>
            <w:pPr>
              <w:pStyle w:val="TableParagraph"/>
              <w:spacing w:line="215" w:lineRule="exact"/>
              <w:ind w:left="109"/>
              <w:rPr>
                <w:sz w:val="20"/>
              </w:rPr>
            </w:pPr>
            <w:r>
              <w:rPr>
                <w:sz w:val="20"/>
              </w:rPr>
              <w:t>3</w:t>
            </w:r>
            <w:r>
              <w:rPr>
                <w:spacing w:val="40"/>
                <w:sz w:val="20"/>
              </w:rPr>
              <w:t> </w:t>
            </w:r>
            <w:r>
              <w:rPr>
                <w:sz w:val="20"/>
              </w:rPr>
              <w:t>or</w:t>
            </w:r>
            <w:r>
              <w:rPr>
                <w:spacing w:val="44"/>
                <w:sz w:val="20"/>
              </w:rPr>
              <w:t> </w:t>
            </w:r>
            <w:r>
              <w:rPr>
                <w:sz w:val="20"/>
              </w:rPr>
              <w:t>5</w:t>
            </w:r>
            <w:r>
              <w:rPr>
                <w:spacing w:val="40"/>
                <w:sz w:val="20"/>
              </w:rPr>
              <w:t> </w:t>
            </w:r>
            <w:r>
              <w:rPr>
                <w:spacing w:val="-5"/>
                <w:sz w:val="20"/>
              </w:rPr>
              <w:t>or</w:t>
            </w:r>
          </w:p>
        </w:tc>
        <w:tc>
          <w:tcPr>
            <w:tcW w:w="1199" w:type="dxa"/>
          </w:tcPr>
          <w:p>
            <w:pPr>
              <w:pStyle w:val="TableParagraph"/>
              <w:spacing w:before="97"/>
              <w:ind w:left="110"/>
              <w:rPr>
                <w:sz w:val="20"/>
              </w:rPr>
            </w:pPr>
            <w:r>
              <w:rPr>
                <w:spacing w:val="-10"/>
                <w:sz w:val="20"/>
              </w:rPr>
              <w:t>P</w:t>
            </w:r>
          </w:p>
        </w:tc>
        <w:tc>
          <w:tcPr>
            <w:tcW w:w="2196" w:type="dxa"/>
          </w:tcPr>
          <w:p>
            <w:pPr>
              <w:pStyle w:val="TableParagraph"/>
              <w:tabs>
                <w:tab w:pos="953" w:val="left" w:leader="none"/>
              </w:tabs>
              <w:spacing w:line="232" w:lineRule="exact" w:before="82"/>
              <w:ind w:left="111" w:right="165"/>
              <w:rPr>
                <w:sz w:val="20"/>
              </w:rPr>
            </w:pPr>
            <w:r>
              <w:rPr>
                <w:sz w:val="20"/>
              </w:rPr>
              <w:t>In</w:t>
            </w:r>
            <w:r>
              <w:rPr>
                <w:spacing w:val="40"/>
                <w:sz w:val="20"/>
              </w:rPr>
              <w:t> </w:t>
            </w:r>
            <w:r>
              <w:rPr>
                <w:sz w:val="20"/>
              </w:rPr>
              <w:t>case</w:t>
            </w:r>
            <w:r>
              <w:rPr>
                <w:spacing w:val="40"/>
                <w:sz w:val="20"/>
              </w:rPr>
              <w:t> </w:t>
            </w:r>
            <w:r>
              <w:rPr>
                <w:sz w:val="20"/>
              </w:rPr>
              <w:t>of</w:t>
            </w:r>
            <w:r>
              <w:rPr>
                <w:spacing w:val="40"/>
                <w:sz w:val="20"/>
              </w:rPr>
              <w:t> </w:t>
            </w:r>
            <w:r>
              <w:rPr>
                <w:sz w:val="20"/>
              </w:rPr>
              <w:t>3,</w:t>
            </w:r>
            <w:r>
              <w:rPr>
                <w:spacing w:val="40"/>
                <w:sz w:val="20"/>
              </w:rPr>
              <w:t> </w:t>
            </w:r>
            <w:r>
              <w:rPr>
                <w:sz w:val="20"/>
              </w:rPr>
              <w:t>5,</w:t>
            </w:r>
            <w:r>
              <w:rPr>
                <w:spacing w:val="40"/>
                <w:sz w:val="20"/>
              </w:rPr>
              <w:t> </w:t>
            </w:r>
            <w:r>
              <w:rPr>
                <w:sz w:val="20"/>
              </w:rPr>
              <w:t>6 </w:t>
            </w:r>
            <w:r>
              <w:rPr>
                <w:spacing w:val="-5"/>
                <w:sz w:val="20"/>
              </w:rPr>
              <w:t>in</w:t>
            </w:r>
            <w:r>
              <w:rPr>
                <w:sz w:val="20"/>
              </w:rPr>
              <w:tab/>
            </w:r>
            <w:r>
              <w:rPr>
                <w:spacing w:val="-2"/>
                <w:sz w:val="20"/>
              </w:rPr>
              <w:t>residential</w:t>
            </w:r>
          </w:p>
        </w:tc>
      </w:tr>
    </w:tbl>
    <w:p>
      <w:pPr>
        <w:pStyle w:val="TableParagraph"/>
        <w:spacing w:after="0" w:line="232" w:lineRule="exact"/>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894" w:hRule="atLeast"/>
        </w:trPr>
        <w:tc>
          <w:tcPr>
            <w:tcW w:w="1260" w:type="dxa"/>
          </w:tcPr>
          <w:p>
            <w:pPr>
              <w:pStyle w:val="TableParagraph"/>
              <w:rPr>
                <w:rFonts w:ascii="Times New Roman"/>
                <w:sz w:val="18"/>
              </w:rPr>
            </w:pPr>
          </w:p>
        </w:tc>
        <w:tc>
          <w:tcPr>
            <w:tcW w:w="2856" w:type="dxa"/>
          </w:tcPr>
          <w:p>
            <w:pPr>
              <w:pStyle w:val="TableParagraph"/>
              <w:tabs>
                <w:tab w:pos="1787" w:val="left" w:leader="none"/>
                <w:tab w:pos="2360" w:val="left" w:leader="none"/>
              </w:tabs>
              <w:ind w:left="108" w:right="109"/>
              <w:rPr>
                <w:sz w:val="20"/>
              </w:rPr>
            </w:pPr>
            <w:r>
              <w:rPr>
                <w:spacing w:val="-2"/>
                <w:sz w:val="20"/>
              </w:rPr>
              <w:t>refrigeration</w:t>
            </w:r>
            <w:r>
              <w:rPr>
                <w:sz w:val="20"/>
              </w:rPr>
              <w:tab/>
            </w:r>
            <w:r>
              <w:rPr>
                <w:spacing w:val="-6"/>
                <w:sz w:val="20"/>
              </w:rPr>
              <w:t>or</w:t>
            </w:r>
            <w:r>
              <w:rPr>
                <w:sz w:val="20"/>
              </w:rPr>
              <w:tab/>
            </w:r>
            <w:r>
              <w:rPr>
                <w:spacing w:val="-4"/>
                <w:sz w:val="20"/>
              </w:rPr>
              <w:t>air- </w:t>
            </w:r>
            <w:r>
              <w:rPr>
                <w:sz w:val="20"/>
              </w:rPr>
              <w:t>conditioning purposes.</w:t>
            </w:r>
          </w:p>
        </w:tc>
        <w:tc>
          <w:tcPr>
            <w:tcW w:w="1276" w:type="dxa"/>
          </w:tcPr>
          <w:p>
            <w:pPr>
              <w:pStyle w:val="TableParagraph"/>
              <w:tabs>
                <w:tab w:pos="835" w:val="left" w:leader="none"/>
              </w:tabs>
              <w:spacing w:line="233" w:lineRule="exact"/>
              <w:ind w:left="108"/>
              <w:rPr>
                <w:sz w:val="20"/>
              </w:rPr>
            </w:pPr>
            <w:r>
              <w:rPr>
                <w:spacing w:val="-10"/>
                <w:sz w:val="20"/>
              </w:rPr>
              <w:t>6</w:t>
            </w:r>
            <w:r>
              <w:rPr>
                <w:sz w:val="20"/>
              </w:rPr>
              <w:tab/>
            </w:r>
            <w:r>
              <w:rPr>
                <w:spacing w:val="-10"/>
                <w:sz w:val="20"/>
              </w:rPr>
              <w:t>&amp;</w:t>
            </w:r>
          </w:p>
          <w:p>
            <w:pPr>
              <w:pStyle w:val="TableParagraph"/>
              <w:ind w:left="108"/>
              <w:rPr>
                <w:sz w:val="20"/>
              </w:rPr>
            </w:pPr>
            <w:r>
              <w:rPr>
                <w:spacing w:val="-2"/>
                <w:sz w:val="20"/>
              </w:rPr>
              <w:t>16,17</w:t>
            </w:r>
          </w:p>
        </w:tc>
        <w:tc>
          <w:tcPr>
            <w:tcW w:w="1209" w:type="dxa"/>
          </w:tcPr>
          <w:p>
            <w:pPr>
              <w:pStyle w:val="TableParagraph"/>
              <w:spacing w:line="233" w:lineRule="exact"/>
              <w:ind w:left="109"/>
              <w:rPr>
                <w:sz w:val="20"/>
              </w:rPr>
            </w:pPr>
            <w:r>
              <w:rPr>
                <w:color w:val="000000"/>
                <w:spacing w:val="-10"/>
                <w:sz w:val="20"/>
                <w:shd w:fill="FFCCFF" w:color="auto" w:val="clear"/>
              </w:rPr>
              <w:t>6</w:t>
            </w:r>
          </w:p>
        </w:tc>
        <w:tc>
          <w:tcPr>
            <w:tcW w:w="1199" w:type="dxa"/>
          </w:tcPr>
          <w:p>
            <w:pPr>
              <w:pStyle w:val="TableParagraph"/>
              <w:rPr>
                <w:rFonts w:ascii="Times New Roman"/>
                <w:sz w:val="18"/>
              </w:rPr>
            </w:pPr>
          </w:p>
        </w:tc>
        <w:tc>
          <w:tcPr>
            <w:tcW w:w="2196" w:type="dxa"/>
          </w:tcPr>
          <w:p>
            <w:pPr>
              <w:pStyle w:val="TableParagraph"/>
              <w:ind w:left="111" w:right="105"/>
              <w:jc w:val="both"/>
              <w:rPr>
                <w:sz w:val="20"/>
              </w:rPr>
            </w:pPr>
            <w:r>
              <w:rPr>
                <w:sz w:val="20"/>
              </w:rPr>
              <w:t>premises</w:t>
            </w:r>
            <w:r>
              <w:rPr>
                <w:spacing w:val="40"/>
                <w:sz w:val="20"/>
              </w:rPr>
              <w:t> </w:t>
            </w:r>
            <w:r>
              <w:rPr>
                <w:sz w:val="20"/>
              </w:rPr>
              <w:t>it</w:t>
            </w:r>
            <w:r>
              <w:rPr>
                <w:spacing w:val="40"/>
                <w:sz w:val="20"/>
              </w:rPr>
              <w:t> </w:t>
            </w:r>
            <w:r>
              <w:rPr>
                <w:sz w:val="20"/>
              </w:rPr>
              <w:t>shall</w:t>
            </w:r>
            <w:r>
              <w:rPr>
                <w:spacing w:val="40"/>
                <w:sz w:val="20"/>
              </w:rPr>
              <w:t> </w:t>
            </w:r>
            <w:r>
              <w:rPr>
                <w:sz w:val="20"/>
              </w:rPr>
              <w:t>be subject </w:t>
            </w:r>
            <w:r>
              <w:rPr>
                <w:sz w:val="20"/>
              </w:rPr>
              <w:t>to condition no 18.</w:t>
            </w:r>
          </w:p>
        </w:tc>
      </w:tr>
      <w:tr>
        <w:trPr>
          <w:trHeight w:val="1368" w:hRule="atLeast"/>
        </w:trPr>
        <w:tc>
          <w:tcPr>
            <w:tcW w:w="1260" w:type="dxa"/>
          </w:tcPr>
          <w:p>
            <w:pPr>
              <w:pStyle w:val="TableParagraph"/>
              <w:spacing w:before="97"/>
              <w:ind w:left="102"/>
              <w:rPr>
                <w:sz w:val="20"/>
              </w:rPr>
            </w:pPr>
            <w:r>
              <w:rPr>
                <w:spacing w:val="5"/>
                <w:sz w:val="20"/>
              </w:rPr>
              <w:t>20</w:t>
            </w:r>
          </w:p>
        </w:tc>
        <w:tc>
          <w:tcPr>
            <w:tcW w:w="2856" w:type="dxa"/>
          </w:tcPr>
          <w:p>
            <w:pPr>
              <w:pStyle w:val="TableParagraph"/>
              <w:spacing w:before="97"/>
              <w:ind w:left="108" w:right="109"/>
              <w:jc w:val="both"/>
              <w:rPr>
                <w:sz w:val="20"/>
              </w:rPr>
            </w:pPr>
            <w:r>
              <w:rPr>
                <w:sz w:val="20"/>
              </w:rPr>
              <w:t>Bulk storage of kerosene and bottled gas </w:t>
            </w:r>
            <w:r>
              <w:rPr>
                <w:sz w:val="20"/>
              </w:rPr>
              <w:t>for domestic consumption</w:t>
            </w:r>
          </w:p>
        </w:tc>
        <w:tc>
          <w:tcPr>
            <w:tcW w:w="1276" w:type="dxa"/>
          </w:tcPr>
          <w:p>
            <w:pPr>
              <w:pStyle w:val="TableParagraph"/>
              <w:spacing w:line="234" w:lineRule="exact" w:before="97"/>
              <w:ind w:left="108"/>
              <w:rPr>
                <w:sz w:val="20"/>
              </w:rPr>
            </w:pPr>
            <w:r>
              <w:rPr>
                <w:sz w:val="20"/>
              </w:rPr>
              <w:t>1</w:t>
            </w:r>
            <w:r>
              <w:rPr>
                <w:spacing w:val="9"/>
                <w:sz w:val="20"/>
              </w:rPr>
              <w:t> </w:t>
            </w:r>
            <w:r>
              <w:rPr>
                <w:sz w:val="20"/>
              </w:rPr>
              <w:t>or</w:t>
            </w:r>
            <w:r>
              <w:rPr>
                <w:spacing w:val="12"/>
                <w:sz w:val="20"/>
              </w:rPr>
              <w:t> </w:t>
            </w:r>
            <w:r>
              <w:rPr>
                <w:sz w:val="20"/>
              </w:rPr>
              <w:t>2</w:t>
            </w:r>
            <w:r>
              <w:rPr>
                <w:spacing w:val="9"/>
                <w:sz w:val="20"/>
              </w:rPr>
              <w:t> </w:t>
            </w:r>
            <w:r>
              <w:rPr>
                <w:spacing w:val="-5"/>
                <w:sz w:val="20"/>
              </w:rPr>
              <w:t>or</w:t>
            </w:r>
          </w:p>
          <w:p>
            <w:pPr>
              <w:pStyle w:val="TableParagraph"/>
              <w:spacing w:line="234" w:lineRule="exact"/>
              <w:ind w:left="108"/>
              <w:rPr>
                <w:sz w:val="20"/>
              </w:rPr>
            </w:pPr>
            <w:r>
              <w:rPr>
                <w:sz w:val="20"/>
              </w:rPr>
              <w:t>3</w:t>
            </w:r>
            <w:r>
              <w:rPr>
                <w:spacing w:val="9"/>
                <w:sz w:val="20"/>
              </w:rPr>
              <w:t> </w:t>
            </w:r>
            <w:r>
              <w:rPr>
                <w:sz w:val="20"/>
              </w:rPr>
              <w:t>or</w:t>
            </w:r>
            <w:r>
              <w:rPr>
                <w:spacing w:val="12"/>
                <w:sz w:val="20"/>
              </w:rPr>
              <w:t> </w:t>
            </w:r>
            <w:r>
              <w:rPr>
                <w:sz w:val="20"/>
              </w:rPr>
              <w:t>5</w:t>
            </w:r>
            <w:r>
              <w:rPr>
                <w:spacing w:val="9"/>
                <w:sz w:val="20"/>
              </w:rPr>
              <w:t> </w:t>
            </w:r>
            <w:r>
              <w:rPr>
                <w:spacing w:val="-5"/>
                <w:sz w:val="20"/>
              </w:rPr>
              <w:t>or</w:t>
            </w:r>
          </w:p>
          <w:p>
            <w:pPr>
              <w:pStyle w:val="TableParagraph"/>
              <w:tabs>
                <w:tab w:pos="835" w:val="left" w:leader="none"/>
              </w:tabs>
              <w:ind w:left="108"/>
              <w:rPr>
                <w:sz w:val="20"/>
              </w:rPr>
            </w:pPr>
            <w:r>
              <w:rPr>
                <w:spacing w:val="-10"/>
                <w:sz w:val="20"/>
              </w:rPr>
              <w:t>6</w:t>
            </w:r>
            <w:r>
              <w:rPr>
                <w:sz w:val="20"/>
              </w:rPr>
              <w:tab/>
            </w:r>
            <w:r>
              <w:rPr>
                <w:spacing w:val="-10"/>
                <w:sz w:val="20"/>
              </w:rPr>
              <w:t>&amp;</w:t>
            </w:r>
          </w:p>
          <w:p>
            <w:pPr>
              <w:pStyle w:val="TableParagraph"/>
              <w:spacing w:before="1"/>
              <w:ind w:left="108"/>
              <w:rPr>
                <w:sz w:val="20"/>
              </w:rPr>
            </w:pPr>
            <w:r>
              <w:rPr>
                <w:spacing w:val="-2"/>
                <w:sz w:val="20"/>
              </w:rPr>
              <w:t>16,17,2</w:t>
            </w:r>
          </w:p>
          <w:p>
            <w:pPr>
              <w:pStyle w:val="TableParagraph"/>
              <w:ind w:left="108"/>
              <w:rPr>
                <w:sz w:val="20"/>
              </w:rPr>
            </w:pPr>
            <w:r>
              <w:rPr>
                <w:spacing w:val="-4"/>
                <w:sz w:val="20"/>
              </w:rPr>
              <w:t>1,26</w:t>
            </w:r>
          </w:p>
        </w:tc>
        <w:tc>
          <w:tcPr>
            <w:tcW w:w="1209" w:type="dxa"/>
          </w:tcPr>
          <w:p>
            <w:pPr>
              <w:pStyle w:val="TableParagraph"/>
              <w:spacing w:line="234" w:lineRule="exact" w:before="97"/>
              <w:ind w:left="109"/>
              <w:rPr>
                <w:sz w:val="20"/>
              </w:rPr>
            </w:pPr>
            <w:r>
              <w:rPr>
                <w:sz w:val="20"/>
              </w:rPr>
              <w:t>1</w:t>
            </w:r>
            <w:r>
              <w:rPr>
                <w:spacing w:val="40"/>
                <w:sz w:val="20"/>
              </w:rPr>
              <w:t> </w:t>
            </w:r>
            <w:r>
              <w:rPr>
                <w:sz w:val="20"/>
              </w:rPr>
              <w:t>or</w:t>
            </w:r>
            <w:r>
              <w:rPr>
                <w:spacing w:val="44"/>
                <w:sz w:val="20"/>
              </w:rPr>
              <w:t> </w:t>
            </w:r>
            <w:r>
              <w:rPr>
                <w:sz w:val="20"/>
              </w:rPr>
              <w:t>2</w:t>
            </w:r>
            <w:r>
              <w:rPr>
                <w:spacing w:val="40"/>
                <w:sz w:val="20"/>
              </w:rPr>
              <w:t> </w:t>
            </w:r>
            <w:r>
              <w:rPr>
                <w:spacing w:val="-5"/>
                <w:sz w:val="20"/>
              </w:rPr>
              <w:t>or</w:t>
            </w:r>
          </w:p>
          <w:p>
            <w:pPr>
              <w:pStyle w:val="TableParagraph"/>
              <w:spacing w:line="234" w:lineRule="exact"/>
              <w:ind w:left="109"/>
              <w:rPr>
                <w:sz w:val="20"/>
              </w:rPr>
            </w:pPr>
            <w:r>
              <w:rPr>
                <w:sz w:val="20"/>
              </w:rPr>
              <w:t>3</w:t>
            </w:r>
            <w:r>
              <w:rPr>
                <w:spacing w:val="40"/>
                <w:sz w:val="20"/>
              </w:rPr>
              <w:t> </w:t>
            </w:r>
            <w:r>
              <w:rPr>
                <w:sz w:val="20"/>
              </w:rPr>
              <w:t>or</w:t>
            </w:r>
            <w:r>
              <w:rPr>
                <w:spacing w:val="44"/>
                <w:sz w:val="20"/>
              </w:rPr>
              <w:t> </w:t>
            </w:r>
            <w:r>
              <w:rPr>
                <w:sz w:val="20"/>
              </w:rPr>
              <w:t>5</w:t>
            </w:r>
            <w:r>
              <w:rPr>
                <w:spacing w:val="40"/>
                <w:sz w:val="20"/>
              </w:rPr>
              <w:t> </w:t>
            </w:r>
            <w:r>
              <w:rPr>
                <w:spacing w:val="-5"/>
                <w:sz w:val="20"/>
              </w:rPr>
              <w:t>or</w:t>
            </w:r>
          </w:p>
          <w:p>
            <w:pPr>
              <w:pStyle w:val="TableParagraph"/>
              <w:tabs>
                <w:tab w:pos="455" w:val="left" w:leader="none"/>
                <w:tab w:pos="833" w:val="left" w:leader="none"/>
              </w:tabs>
              <w:ind w:left="109"/>
              <w:rPr>
                <w:sz w:val="20"/>
              </w:rPr>
            </w:pPr>
            <w:r>
              <w:rPr>
                <w:spacing w:val="-10"/>
                <w:sz w:val="20"/>
              </w:rPr>
              <w:t>6</w:t>
            </w:r>
            <w:r>
              <w:rPr>
                <w:sz w:val="20"/>
              </w:rPr>
              <w:tab/>
            </w:r>
            <w:r>
              <w:rPr>
                <w:spacing w:val="-10"/>
                <w:sz w:val="20"/>
              </w:rPr>
              <w:t>&amp;</w:t>
            </w:r>
            <w:r>
              <w:rPr>
                <w:sz w:val="20"/>
              </w:rPr>
              <w:tab/>
            </w:r>
            <w:r>
              <w:rPr>
                <w:spacing w:val="-7"/>
                <w:sz w:val="20"/>
              </w:rPr>
              <w:t>21</w:t>
            </w:r>
          </w:p>
          <w:p>
            <w:pPr>
              <w:pStyle w:val="TableParagraph"/>
              <w:spacing w:before="1"/>
              <w:ind w:left="109"/>
              <w:rPr>
                <w:sz w:val="20"/>
              </w:rPr>
            </w:pPr>
            <w:r>
              <w:rPr>
                <w:spacing w:val="-5"/>
                <w:sz w:val="20"/>
              </w:rPr>
              <w:t>,26</w:t>
            </w:r>
          </w:p>
        </w:tc>
        <w:tc>
          <w:tcPr>
            <w:tcW w:w="1199" w:type="dxa"/>
          </w:tcPr>
          <w:p>
            <w:pPr>
              <w:pStyle w:val="TableParagraph"/>
              <w:spacing w:before="97"/>
              <w:ind w:left="110"/>
              <w:rPr>
                <w:sz w:val="20"/>
              </w:rPr>
            </w:pPr>
            <w:r>
              <w:rPr>
                <w:spacing w:val="-2"/>
                <w:sz w:val="20"/>
              </w:rPr>
              <w:t>21,26</w:t>
            </w:r>
          </w:p>
        </w:tc>
        <w:tc>
          <w:tcPr>
            <w:tcW w:w="2196" w:type="dxa"/>
          </w:tcPr>
          <w:p>
            <w:pPr>
              <w:pStyle w:val="TableParagraph"/>
              <w:spacing w:before="97"/>
              <w:ind w:left="111" w:right="104"/>
              <w:jc w:val="both"/>
              <w:rPr>
                <w:sz w:val="20"/>
              </w:rPr>
            </w:pPr>
            <w:r>
              <w:rPr>
                <w:sz w:val="20"/>
              </w:rPr>
              <w:t>In</w:t>
            </w:r>
            <w:r>
              <w:rPr>
                <w:spacing w:val="40"/>
                <w:sz w:val="20"/>
              </w:rPr>
              <w:t> </w:t>
            </w:r>
            <w:r>
              <w:rPr>
                <w:sz w:val="20"/>
              </w:rPr>
              <w:t>case</w:t>
            </w:r>
            <w:r>
              <w:rPr>
                <w:spacing w:val="40"/>
                <w:sz w:val="20"/>
              </w:rPr>
              <w:t> </w:t>
            </w:r>
            <w:r>
              <w:rPr>
                <w:sz w:val="20"/>
              </w:rPr>
              <w:t>of</w:t>
            </w:r>
            <w:r>
              <w:rPr>
                <w:spacing w:val="40"/>
                <w:sz w:val="20"/>
              </w:rPr>
              <w:t> </w:t>
            </w:r>
            <w:r>
              <w:rPr>
                <w:sz w:val="20"/>
              </w:rPr>
              <w:t>3,</w:t>
            </w:r>
            <w:r>
              <w:rPr>
                <w:spacing w:val="40"/>
                <w:sz w:val="20"/>
              </w:rPr>
              <w:t> </w:t>
            </w:r>
            <w:r>
              <w:rPr>
                <w:sz w:val="20"/>
              </w:rPr>
              <w:t>5,</w:t>
            </w:r>
            <w:r>
              <w:rPr>
                <w:spacing w:val="40"/>
                <w:sz w:val="20"/>
              </w:rPr>
              <w:t> </w:t>
            </w:r>
            <w:r>
              <w:rPr>
                <w:sz w:val="20"/>
              </w:rPr>
              <w:t>6 in residential premises</w:t>
            </w:r>
            <w:r>
              <w:rPr>
                <w:spacing w:val="40"/>
                <w:sz w:val="20"/>
              </w:rPr>
              <w:t> </w:t>
            </w:r>
            <w:r>
              <w:rPr>
                <w:sz w:val="20"/>
              </w:rPr>
              <w:t>it</w:t>
            </w:r>
            <w:r>
              <w:rPr>
                <w:spacing w:val="40"/>
                <w:sz w:val="20"/>
              </w:rPr>
              <w:t> </w:t>
            </w:r>
            <w:r>
              <w:rPr>
                <w:sz w:val="20"/>
              </w:rPr>
              <w:t>shall</w:t>
            </w:r>
            <w:r>
              <w:rPr>
                <w:spacing w:val="40"/>
                <w:sz w:val="20"/>
              </w:rPr>
              <w:t> </w:t>
            </w:r>
            <w:r>
              <w:rPr>
                <w:sz w:val="20"/>
              </w:rPr>
              <w:t>be subject </w:t>
            </w:r>
            <w:r>
              <w:rPr>
                <w:sz w:val="20"/>
              </w:rPr>
              <w:t>to condition no 18.</w:t>
            </w:r>
          </w:p>
        </w:tc>
      </w:tr>
      <w:tr>
        <w:trPr>
          <w:trHeight w:val="1696" w:hRule="atLeast"/>
        </w:trPr>
        <w:tc>
          <w:tcPr>
            <w:tcW w:w="1260" w:type="dxa"/>
          </w:tcPr>
          <w:p>
            <w:pPr>
              <w:pStyle w:val="TableParagraph"/>
              <w:spacing w:before="94"/>
              <w:ind w:left="102"/>
              <w:rPr>
                <w:sz w:val="20"/>
              </w:rPr>
            </w:pPr>
            <w:r>
              <w:rPr>
                <w:spacing w:val="5"/>
                <w:sz w:val="20"/>
              </w:rPr>
              <w:t>21</w:t>
            </w:r>
          </w:p>
        </w:tc>
        <w:tc>
          <w:tcPr>
            <w:tcW w:w="2856" w:type="dxa"/>
          </w:tcPr>
          <w:p>
            <w:pPr>
              <w:pStyle w:val="TableParagraph"/>
              <w:spacing w:before="94"/>
              <w:ind w:left="288"/>
              <w:jc w:val="both"/>
              <w:rPr>
                <w:sz w:val="20"/>
              </w:rPr>
            </w:pPr>
            <w:r>
              <w:rPr>
                <w:sz w:val="20"/>
              </w:rPr>
              <w:t>Fish</w:t>
            </w:r>
            <w:r>
              <w:rPr>
                <w:spacing w:val="57"/>
                <w:w w:val="150"/>
                <w:sz w:val="20"/>
              </w:rPr>
              <w:t>    </w:t>
            </w:r>
            <w:r>
              <w:rPr>
                <w:sz w:val="20"/>
              </w:rPr>
              <w:t>or</w:t>
            </w:r>
            <w:r>
              <w:rPr>
                <w:spacing w:val="58"/>
                <w:w w:val="150"/>
                <w:sz w:val="20"/>
              </w:rPr>
              <w:t>    </w:t>
            </w:r>
            <w:r>
              <w:rPr>
                <w:spacing w:val="-4"/>
                <w:sz w:val="20"/>
              </w:rPr>
              <w:t>meat,</w:t>
            </w:r>
          </w:p>
          <w:p>
            <w:pPr>
              <w:pStyle w:val="TableParagraph"/>
              <w:tabs>
                <w:tab w:pos="2198" w:val="left" w:leader="none"/>
              </w:tabs>
              <w:spacing w:before="1"/>
              <w:ind w:left="288" w:right="107"/>
              <w:jc w:val="both"/>
              <w:rPr>
                <w:sz w:val="20"/>
              </w:rPr>
            </w:pPr>
            <w:r>
              <w:rPr>
                <w:spacing w:val="-2"/>
                <w:sz w:val="20"/>
              </w:rPr>
              <w:t>Vegetable,</w:t>
            </w:r>
            <w:r>
              <w:rPr>
                <w:sz w:val="20"/>
              </w:rPr>
              <w:tab/>
            </w:r>
            <w:r>
              <w:rPr>
                <w:spacing w:val="-2"/>
                <w:sz w:val="20"/>
              </w:rPr>
              <w:t>fruit, </w:t>
            </w:r>
            <w:r>
              <w:rPr>
                <w:sz w:val="20"/>
              </w:rPr>
              <w:t>flower, frozen fish,</w:t>
            </w:r>
            <w:r>
              <w:rPr>
                <w:spacing w:val="40"/>
                <w:sz w:val="20"/>
              </w:rPr>
              <w:t> </w:t>
            </w:r>
            <w:r>
              <w:rPr>
                <w:sz w:val="20"/>
              </w:rPr>
              <w:t>frozen meat or frozen food shops,</w:t>
            </w:r>
          </w:p>
        </w:tc>
        <w:tc>
          <w:tcPr>
            <w:tcW w:w="1276" w:type="dxa"/>
          </w:tcPr>
          <w:p>
            <w:pPr>
              <w:pStyle w:val="TableParagraph"/>
              <w:spacing w:before="94"/>
              <w:ind w:left="108"/>
              <w:rPr>
                <w:sz w:val="20"/>
              </w:rPr>
            </w:pPr>
            <w:r>
              <w:rPr>
                <w:spacing w:val="-4"/>
                <w:sz w:val="20"/>
              </w:rPr>
              <w:t>5,14</w:t>
            </w:r>
          </w:p>
          <w:p>
            <w:pPr>
              <w:pStyle w:val="TableParagraph"/>
              <w:tabs>
                <w:tab w:pos="835" w:val="left" w:leader="none"/>
              </w:tabs>
              <w:spacing w:before="1"/>
              <w:ind w:left="108" w:right="269"/>
              <w:rPr>
                <w:sz w:val="20"/>
              </w:rPr>
            </w:pPr>
            <w:r>
              <w:rPr>
                <w:spacing w:val="-4"/>
                <w:sz w:val="20"/>
              </w:rPr>
              <w:t>&amp;17</w:t>
            </w:r>
            <w:r>
              <w:rPr>
                <w:sz w:val="20"/>
              </w:rPr>
              <w:tab/>
            </w:r>
            <w:r>
              <w:rPr>
                <w:spacing w:val="-10"/>
                <w:sz w:val="20"/>
              </w:rPr>
              <w:t>&amp; </w:t>
            </w:r>
            <w:r>
              <w:rPr>
                <w:spacing w:val="4"/>
                <w:sz w:val="20"/>
              </w:rPr>
              <w:t>18</w:t>
            </w:r>
          </w:p>
        </w:tc>
        <w:tc>
          <w:tcPr>
            <w:tcW w:w="1209" w:type="dxa"/>
          </w:tcPr>
          <w:p>
            <w:pPr>
              <w:pStyle w:val="TableParagraph"/>
              <w:spacing w:before="94"/>
              <w:ind w:left="109"/>
              <w:rPr>
                <w:sz w:val="20"/>
              </w:rPr>
            </w:pPr>
            <w:r>
              <w:rPr>
                <w:spacing w:val="-4"/>
                <w:sz w:val="20"/>
              </w:rPr>
              <w:t>5,14</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912" w:val="left" w:leader="none"/>
                <w:tab w:pos="1506" w:val="left" w:leader="none"/>
                <w:tab w:pos="1832" w:val="left" w:leader="none"/>
              </w:tabs>
              <w:spacing w:before="94"/>
              <w:ind w:left="111" w:right="167"/>
              <w:rPr>
                <w:sz w:val="20"/>
              </w:rPr>
            </w:pPr>
            <w:r>
              <w:rPr>
                <w:spacing w:val="-6"/>
                <w:sz w:val="20"/>
              </w:rPr>
              <w:t>In</w:t>
            </w:r>
            <w:r>
              <w:rPr>
                <w:spacing w:val="80"/>
                <w:sz w:val="20"/>
              </w:rPr>
              <w:t> </w:t>
            </w:r>
            <w:r>
              <w:rPr>
                <w:spacing w:val="-2"/>
                <w:sz w:val="20"/>
              </w:rPr>
              <w:t>Gaonthan&amp;Koliw adasareas</w:t>
            </w:r>
            <w:r>
              <w:rPr>
                <w:sz w:val="20"/>
              </w:rPr>
              <w:tab/>
            </w:r>
            <w:r>
              <w:rPr>
                <w:spacing w:val="-4"/>
                <w:sz w:val="20"/>
              </w:rPr>
              <w:t>shall </w:t>
            </w:r>
            <w:r>
              <w:rPr>
                <w:sz w:val="20"/>
              </w:rPr>
              <w:t>be</w:t>
            </w:r>
            <w:r>
              <w:rPr>
                <w:spacing w:val="40"/>
                <w:sz w:val="20"/>
              </w:rPr>
              <w:t> </w:t>
            </w:r>
            <w:r>
              <w:rPr>
                <w:sz w:val="20"/>
              </w:rPr>
              <w:t>permissible on </w:t>
            </w:r>
            <w:r>
              <w:rPr>
                <w:spacing w:val="-4"/>
                <w:sz w:val="20"/>
              </w:rPr>
              <w:t>road</w:t>
            </w:r>
            <w:r>
              <w:rPr>
                <w:sz w:val="20"/>
              </w:rPr>
              <w:tab/>
            </w:r>
            <w:r>
              <w:rPr>
                <w:spacing w:val="-2"/>
                <w:sz w:val="20"/>
              </w:rPr>
              <w:t>width</w:t>
            </w:r>
            <w:r>
              <w:rPr>
                <w:sz w:val="20"/>
              </w:rPr>
              <w:tab/>
              <w:tab/>
            </w:r>
            <w:r>
              <w:rPr>
                <w:spacing w:val="-6"/>
                <w:sz w:val="20"/>
              </w:rPr>
              <w:t>of </w:t>
            </w:r>
            <w:r>
              <w:rPr>
                <w:sz w:val="20"/>
              </w:rPr>
              <w:t>9.0m &amp; above.</w:t>
            </w:r>
          </w:p>
        </w:tc>
      </w:tr>
      <w:tr>
        <w:trPr>
          <w:trHeight w:val="3948" w:hRule="atLeast"/>
        </w:trPr>
        <w:tc>
          <w:tcPr>
            <w:tcW w:w="1260" w:type="dxa"/>
          </w:tcPr>
          <w:p>
            <w:pPr>
              <w:pStyle w:val="TableParagraph"/>
              <w:spacing w:before="94"/>
              <w:ind w:left="102"/>
              <w:rPr>
                <w:sz w:val="20"/>
              </w:rPr>
            </w:pPr>
            <w:r>
              <w:rPr>
                <w:spacing w:val="5"/>
                <w:sz w:val="20"/>
              </w:rPr>
              <w:t>22</w:t>
            </w:r>
          </w:p>
        </w:tc>
        <w:tc>
          <w:tcPr>
            <w:tcW w:w="2856" w:type="dxa"/>
          </w:tcPr>
          <w:p>
            <w:pPr>
              <w:pStyle w:val="TableParagraph"/>
              <w:tabs>
                <w:tab w:pos="1908" w:val="left" w:leader="none"/>
              </w:tabs>
              <w:spacing w:before="94"/>
              <w:ind w:left="108" w:right="105"/>
              <w:jc w:val="both"/>
              <w:rPr>
                <w:sz w:val="20"/>
              </w:rPr>
            </w:pPr>
            <w:r>
              <w:rPr>
                <w:sz w:val="20"/>
              </w:rPr>
              <w:t>Shops for goldsmiths, </w:t>
            </w:r>
            <w:r>
              <w:rPr>
                <w:spacing w:val="9"/>
                <w:sz w:val="20"/>
              </w:rPr>
              <w:t>lock-</w:t>
            </w:r>
            <w:r>
              <w:rPr>
                <w:sz w:val="20"/>
              </w:rPr>
              <w:t>smiths,</w:t>
            </w:r>
            <w:r>
              <w:rPr>
                <w:spacing w:val="80"/>
                <w:sz w:val="20"/>
              </w:rPr>
              <w:t> </w:t>
            </w:r>
            <w:r>
              <w:rPr>
                <w:sz w:val="20"/>
              </w:rPr>
              <w:t>watches</w:t>
            </w:r>
            <w:r>
              <w:rPr>
                <w:spacing w:val="80"/>
                <w:sz w:val="20"/>
              </w:rPr>
              <w:t> </w:t>
            </w:r>
            <w:r>
              <w:rPr>
                <w:sz w:val="20"/>
              </w:rPr>
              <w:t>and clocks, electronic goods and their repairs, bicycles and their rental and</w:t>
            </w:r>
            <w:r>
              <w:rPr>
                <w:spacing w:val="80"/>
                <w:sz w:val="20"/>
              </w:rPr>
              <w:t> </w:t>
            </w:r>
            <w:r>
              <w:rPr>
                <w:sz w:val="20"/>
              </w:rPr>
              <w:t>repairs,</w:t>
            </w:r>
            <w:r>
              <w:rPr>
                <w:spacing w:val="80"/>
                <w:sz w:val="20"/>
              </w:rPr>
              <w:t> </w:t>
            </w:r>
            <w:r>
              <w:rPr>
                <w:sz w:val="20"/>
              </w:rPr>
              <w:t>optical</w:t>
            </w:r>
            <w:r>
              <w:rPr>
                <w:spacing w:val="80"/>
                <w:sz w:val="20"/>
              </w:rPr>
              <w:t> </w:t>
            </w:r>
            <w:r>
              <w:rPr>
                <w:sz w:val="20"/>
              </w:rPr>
              <w:t>glass grinding and</w:t>
            </w:r>
            <w:r>
              <w:rPr>
                <w:spacing w:val="80"/>
                <w:sz w:val="20"/>
              </w:rPr>
              <w:t> </w:t>
            </w:r>
            <w:r>
              <w:rPr>
                <w:spacing w:val="-2"/>
                <w:sz w:val="20"/>
              </w:rPr>
              <w:t>repairs,</w:t>
            </w:r>
            <w:r>
              <w:rPr>
                <w:sz w:val="20"/>
              </w:rPr>
              <w:tab/>
            </w:r>
            <w:r>
              <w:rPr>
                <w:spacing w:val="-2"/>
                <w:sz w:val="20"/>
              </w:rPr>
              <w:t>musical </w:t>
            </w:r>
            <w:r>
              <w:rPr>
                <w:sz w:val="20"/>
              </w:rPr>
              <w:t>instruments and their repairs, </w:t>
            </w:r>
            <w:r>
              <w:rPr>
                <w:spacing w:val="10"/>
                <w:sz w:val="20"/>
              </w:rPr>
              <w:t>picture-</w:t>
            </w:r>
            <w:r>
              <w:rPr>
                <w:sz w:val="20"/>
              </w:rPr>
              <w:t>framing, radio, television and household </w:t>
            </w:r>
            <w:r>
              <w:rPr>
                <w:spacing w:val="9"/>
                <w:sz w:val="20"/>
              </w:rPr>
              <w:t>appliances</w:t>
            </w:r>
            <w:r>
              <w:rPr>
                <w:spacing w:val="40"/>
                <w:sz w:val="20"/>
              </w:rPr>
              <w:t> </w:t>
            </w:r>
            <w:r>
              <w:rPr>
                <w:sz w:val="20"/>
              </w:rPr>
              <w:t>and their repairs, umbrellas and their repairs and upholstery </w:t>
            </w:r>
            <w:r>
              <w:rPr>
                <w:spacing w:val="-2"/>
                <w:sz w:val="20"/>
              </w:rPr>
              <w:t>work,</w:t>
            </w:r>
          </w:p>
        </w:tc>
        <w:tc>
          <w:tcPr>
            <w:tcW w:w="1276" w:type="dxa"/>
          </w:tcPr>
          <w:p>
            <w:pPr>
              <w:pStyle w:val="TableParagraph"/>
              <w:tabs>
                <w:tab w:pos="835" w:val="left" w:leader="none"/>
              </w:tabs>
              <w:spacing w:before="94"/>
              <w:ind w:left="108"/>
              <w:rPr>
                <w:sz w:val="20"/>
              </w:rPr>
            </w:pPr>
            <w:r>
              <w:rPr>
                <w:spacing w:val="-4"/>
                <w:sz w:val="20"/>
              </w:rPr>
              <w:t>5,14</w:t>
            </w:r>
            <w:r>
              <w:rPr>
                <w:sz w:val="20"/>
              </w:rPr>
              <w:tab/>
            </w:r>
            <w:r>
              <w:rPr>
                <w:spacing w:val="-10"/>
                <w:sz w:val="20"/>
              </w:rPr>
              <w:t>&amp;</w:t>
            </w:r>
          </w:p>
          <w:p>
            <w:pPr>
              <w:pStyle w:val="TableParagraph"/>
              <w:spacing w:before="1"/>
              <w:ind w:left="108"/>
              <w:rPr>
                <w:sz w:val="20"/>
              </w:rPr>
            </w:pPr>
            <w:r>
              <w:rPr>
                <w:sz w:val="20"/>
              </w:rPr>
              <w:t>17</w:t>
            </w:r>
            <w:r>
              <w:rPr>
                <w:spacing w:val="20"/>
                <w:sz w:val="20"/>
              </w:rPr>
              <w:t> </w:t>
            </w:r>
            <w:r>
              <w:rPr>
                <w:sz w:val="20"/>
              </w:rPr>
              <w:t>&amp;</w:t>
            </w:r>
            <w:r>
              <w:rPr>
                <w:spacing w:val="24"/>
                <w:sz w:val="20"/>
              </w:rPr>
              <w:t> </w:t>
            </w:r>
            <w:r>
              <w:rPr>
                <w:spacing w:val="-5"/>
                <w:sz w:val="20"/>
              </w:rPr>
              <w:t>18</w:t>
            </w:r>
          </w:p>
        </w:tc>
        <w:tc>
          <w:tcPr>
            <w:tcW w:w="1209" w:type="dxa"/>
          </w:tcPr>
          <w:p>
            <w:pPr>
              <w:pStyle w:val="TableParagraph"/>
              <w:spacing w:before="94"/>
              <w:ind w:left="109"/>
              <w:rPr>
                <w:sz w:val="20"/>
              </w:rPr>
            </w:pPr>
            <w:r>
              <w:rPr>
                <w:color w:val="000000"/>
                <w:spacing w:val="-10"/>
                <w:sz w:val="20"/>
                <w:shd w:fill="FFCCFF" w:color="auto" w:val="clear"/>
              </w:rPr>
              <w:t>P</w:t>
            </w:r>
          </w:p>
        </w:tc>
        <w:tc>
          <w:tcPr>
            <w:tcW w:w="1199" w:type="dxa"/>
          </w:tcPr>
          <w:p>
            <w:pPr>
              <w:pStyle w:val="TableParagraph"/>
              <w:spacing w:before="94"/>
              <w:ind w:left="110"/>
              <w:rPr>
                <w:sz w:val="20"/>
              </w:rPr>
            </w:pPr>
            <w:r>
              <w:rPr>
                <w:color w:val="000000"/>
                <w:spacing w:val="-10"/>
                <w:sz w:val="20"/>
                <w:shd w:fill="FFCCFF" w:color="auto" w:val="clear"/>
              </w:rPr>
              <w:t>P</w:t>
            </w:r>
          </w:p>
        </w:tc>
        <w:tc>
          <w:tcPr>
            <w:tcW w:w="2196" w:type="dxa"/>
          </w:tcPr>
          <w:p>
            <w:pPr>
              <w:pStyle w:val="TableParagraph"/>
              <w:tabs>
                <w:tab w:pos="912" w:val="left" w:leader="none"/>
                <w:tab w:pos="943" w:val="left" w:leader="none"/>
                <w:tab w:pos="1343" w:val="left" w:leader="none"/>
                <w:tab w:pos="1832" w:val="left" w:leader="none"/>
              </w:tabs>
              <w:spacing w:before="94"/>
              <w:ind w:left="111" w:right="165"/>
              <w:rPr>
                <w:sz w:val="20"/>
              </w:rPr>
            </w:pPr>
            <w:r>
              <w:rPr>
                <w:spacing w:val="-6"/>
                <w:sz w:val="20"/>
              </w:rPr>
              <w:t>In</w:t>
            </w:r>
            <w:r>
              <w:rPr>
                <w:spacing w:val="80"/>
                <w:sz w:val="20"/>
              </w:rPr>
              <w:t> </w:t>
            </w:r>
            <w:r>
              <w:rPr>
                <w:spacing w:val="-2"/>
                <w:sz w:val="20"/>
              </w:rPr>
              <w:t>Gaonthan&amp;Koliw </w:t>
            </w:r>
            <w:r>
              <w:rPr>
                <w:sz w:val="20"/>
              </w:rPr>
              <w:t>adas</w:t>
            </w:r>
            <w:r>
              <w:rPr>
                <w:spacing w:val="80"/>
                <w:sz w:val="20"/>
              </w:rPr>
              <w:t> </w:t>
            </w:r>
            <w:r>
              <w:rPr>
                <w:sz w:val="20"/>
              </w:rPr>
              <w:t>areas</w:t>
            </w:r>
            <w:r>
              <w:rPr>
                <w:spacing w:val="80"/>
                <w:sz w:val="20"/>
              </w:rPr>
              <w:t> </w:t>
            </w:r>
            <w:r>
              <w:rPr>
                <w:sz w:val="20"/>
              </w:rPr>
              <w:t>shall be</w:t>
            </w:r>
            <w:r>
              <w:rPr>
                <w:spacing w:val="40"/>
                <w:sz w:val="20"/>
              </w:rPr>
              <w:t> </w:t>
            </w:r>
            <w:r>
              <w:rPr>
                <w:sz w:val="20"/>
              </w:rPr>
              <w:t>permissible on </w:t>
            </w:r>
            <w:r>
              <w:rPr>
                <w:spacing w:val="-4"/>
                <w:sz w:val="20"/>
              </w:rPr>
              <w:t>road</w:t>
            </w:r>
            <w:r>
              <w:rPr>
                <w:sz w:val="20"/>
              </w:rPr>
              <w:tab/>
            </w:r>
            <w:r>
              <w:rPr>
                <w:spacing w:val="-2"/>
                <w:sz w:val="20"/>
              </w:rPr>
              <w:t>width</w:t>
            </w:r>
            <w:r>
              <w:rPr>
                <w:sz w:val="20"/>
              </w:rPr>
              <w:tab/>
            </w:r>
            <w:r>
              <w:rPr>
                <w:spacing w:val="-6"/>
                <w:sz w:val="20"/>
              </w:rPr>
              <w:t>of </w:t>
            </w:r>
            <w:r>
              <w:rPr>
                <w:spacing w:val="-4"/>
                <w:sz w:val="20"/>
              </w:rPr>
              <w:t>9.0m</w:t>
            </w:r>
            <w:r>
              <w:rPr>
                <w:sz w:val="20"/>
              </w:rPr>
              <w:tab/>
            </w:r>
            <w:r>
              <w:rPr>
                <w:spacing w:val="-10"/>
                <w:sz w:val="20"/>
              </w:rPr>
              <w:t>&amp;</w:t>
            </w:r>
            <w:r>
              <w:rPr>
                <w:sz w:val="20"/>
              </w:rPr>
              <w:tab/>
            </w:r>
            <w:r>
              <w:rPr>
                <w:spacing w:val="-2"/>
                <w:sz w:val="20"/>
              </w:rPr>
              <w:t>above. </w:t>
            </w:r>
            <w:r>
              <w:rPr>
                <w:spacing w:val="-4"/>
                <w:sz w:val="20"/>
              </w:rPr>
              <w:t>Each</w:t>
            </w:r>
            <w:r>
              <w:rPr>
                <w:sz w:val="20"/>
              </w:rPr>
              <w:tab/>
              <w:tab/>
            </w:r>
            <w:r>
              <w:rPr>
                <w:spacing w:val="-2"/>
                <w:sz w:val="20"/>
              </w:rPr>
              <w:t>employing </w:t>
            </w:r>
            <w:r>
              <w:rPr>
                <w:sz w:val="20"/>
              </w:rPr>
              <w:t>not</w:t>
            </w:r>
            <w:r>
              <w:rPr>
                <w:spacing w:val="40"/>
                <w:sz w:val="20"/>
              </w:rPr>
              <w:t> </w:t>
            </w:r>
            <w:r>
              <w:rPr>
                <w:sz w:val="20"/>
              </w:rPr>
              <w:t>more</w:t>
            </w:r>
            <w:r>
              <w:rPr>
                <w:spacing w:val="40"/>
                <w:sz w:val="20"/>
              </w:rPr>
              <w:t> </w:t>
            </w:r>
            <w:r>
              <w:rPr>
                <w:sz w:val="20"/>
              </w:rPr>
              <w:t>than</w:t>
            </w:r>
            <w:r>
              <w:rPr>
                <w:spacing w:val="40"/>
                <w:sz w:val="20"/>
              </w:rPr>
              <w:t> </w:t>
            </w:r>
            <w:r>
              <w:rPr>
                <w:sz w:val="20"/>
              </w:rPr>
              <w:t>9 </w:t>
            </w:r>
            <w:r>
              <w:rPr>
                <w:spacing w:val="-2"/>
                <w:sz w:val="20"/>
              </w:rPr>
              <w:t>persons.</w:t>
            </w:r>
          </w:p>
          <w:p>
            <w:pPr>
              <w:pStyle w:val="TableParagraph"/>
              <w:spacing w:before="96"/>
              <w:ind w:left="111" w:right="165"/>
              <w:rPr>
                <w:sz w:val="20"/>
              </w:rPr>
            </w:pPr>
            <w:r>
              <w:rPr>
                <w:sz w:val="20"/>
              </w:rPr>
              <w:t>In</w:t>
            </w:r>
            <w:r>
              <w:rPr>
                <w:spacing w:val="40"/>
                <w:sz w:val="20"/>
              </w:rPr>
              <w:t> </w:t>
            </w:r>
            <w:r>
              <w:rPr>
                <w:sz w:val="20"/>
              </w:rPr>
              <w:t>the</w:t>
            </w:r>
            <w:r>
              <w:rPr>
                <w:spacing w:val="40"/>
                <w:sz w:val="20"/>
              </w:rPr>
              <w:t> </w:t>
            </w:r>
            <w:r>
              <w:rPr>
                <w:sz w:val="20"/>
              </w:rPr>
              <w:t>vicinity</w:t>
            </w:r>
            <w:r>
              <w:rPr>
                <w:spacing w:val="40"/>
                <w:sz w:val="20"/>
              </w:rPr>
              <w:t> </w:t>
            </w:r>
            <w:r>
              <w:rPr>
                <w:sz w:val="20"/>
              </w:rPr>
              <w:t>of </w:t>
            </w:r>
            <w:r>
              <w:rPr>
                <w:spacing w:val="-2"/>
                <w:sz w:val="20"/>
              </w:rPr>
              <w:t>obnoxious industries</w:t>
            </w:r>
          </w:p>
          <w:p>
            <w:pPr>
              <w:pStyle w:val="TableParagraph"/>
              <w:spacing w:before="1"/>
              <w:ind w:left="111"/>
              <w:rPr>
                <w:sz w:val="20"/>
              </w:rPr>
            </w:pPr>
            <w:r>
              <w:rPr>
                <w:sz w:val="20"/>
              </w:rPr>
              <w:t>subject</w:t>
            </w:r>
            <w:r>
              <w:rPr>
                <w:spacing w:val="48"/>
                <w:sz w:val="20"/>
              </w:rPr>
              <w:t> </w:t>
            </w:r>
            <w:r>
              <w:rPr>
                <w:sz w:val="20"/>
              </w:rPr>
              <w:t>to</w:t>
            </w:r>
            <w:r>
              <w:rPr>
                <w:spacing w:val="47"/>
                <w:sz w:val="20"/>
              </w:rPr>
              <w:t> </w:t>
            </w:r>
            <w:r>
              <w:rPr>
                <w:spacing w:val="-5"/>
                <w:sz w:val="20"/>
              </w:rPr>
              <w:t>28.</w:t>
            </w:r>
          </w:p>
        </w:tc>
      </w:tr>
      <w:tr>
        <w:trPr>
          <w:trHeight w:val="2455" w:hRule="atLeast"/>
        </w:trPr>
        <w:tc>
          <w:tcPr>
            <w:tcW w:w="1260" w:type="dxa"/>
          </w:tcPr>
          <w:p>
            <w:pPr>
              <w:pStyle w:val="TableParagraph"/>
              <w:spacing w:before="94"/>
              <w:ind w:left="102"/>
              <w:rPr>
                <w:sz w:val="20"/>
              </w:rPr>
            </w:pPr>
            <w:r>
              <w:rPr>
                <w:spacing w:val="5"/>
                <w:sz w:val="20"/>
              </w:rPr>
              <w:t>23</w:t>
            </w:r>
          </w:p>
        </w:tc>
        <w:tc>
          <w:tcPr>
            <w:tcW w:w="2856" w:type="dxa"/>
          </w:tcPr>
          <w:p>
            <w:pPr>
              <w:pStyle w:val="TableParagraph"/>
              <w:numPr>
                <w:ilvl w:val="0"/>
                <w:numId w:val="220"/>
              </w:numPr>
              <w:tabs>
                <w:tab w:pos="594" w:val="left" w:leader="none"/>
                <w:tab w:pos="1232" w:val="left" w:leader="none"/>
                <w:tab w:pos="2432" w:val="left" w:leader="none"/>
              </w:tabs>
              <w:spacing w:line="240" w:lineRule="auto" w:before="94" w:after="0"/>
              <w:ind w:left="594" w:right="0" w:hanging="503"/>
              <w:jc w:val="left"/>
              <w:rPr>
                <w:sz w:val="20"/>
              </w:rPr>
            </w:pPr>
            <w:r>
              <w:rPr>
                <w:spacing w:val="-5"/>
                <w:sz w:val="20"/>
              </w:rPr>
              <w:t>Art</w:t>
            </w:r>
            <w:r>
              <w:rPr>
                <w:sz w:val="20"/>
              </w:rPr>
              <w:tab/>
            </w:r>
            <w:r>
              <w:rPr>
                <w:spacing w:val="-2"/>
                <w:sz w:val="20"/>
              </w:rPr>
              <w:t>galleries</w:t>
            </w:r>
            <w:r>
              <w:rPr>
                <w:sz w:val="20"/>
              </w:rPr>
              <w:tab/>
            </w:r>
            <w:r>
              <w:rPr>
                <w:spacing w:val="-4"/>
                <w:sz w:val="20"/>
              </w:rPr>
              <w:t>i.e.</w:t>
            </w:r>
          </w:p>
          <w:p>
            <w:pPr>
              <w:pStyle w:val="TableParagraph"/>
              <w:spacing w:before="1"/>
              <w:ind w:left="998"/>
              <w:rPr>
                <w:sz w:val="20"/>
              </w:rPr>
            </w:pPr>
            <w:r>
              <w:rPr>
                <w:sz w:val="20"/>
              </w:rPr>
              <w:t>display</w:t>
            </w:r>
            <w:r>
              <w:rPr>
                <w:spacing w:val="71"/>
                <w:sz w:val="20"/>
              </w:rPr>
              <w:t> </w:t>
            </w:r>
            <w:r>
              <w:rPr>
                <w:spacing w:val="-2"/>
                <w:sz w:val="20"/>
              </w:rPr>
              <w:t>shops</w:t>
            </w:r>
          </w:p>
          <w:p>
            <w:pPr>
              <w:pStyle w:val="TableParagraph"/>
              <w:spacing w:before="96"/>
              <w:ind w:left="91"/>
              <w:rPr>
                <w:sz w:val="20"/>
              </w:rPr>
            </w:pPr>
            <w:r>
              <w:rPr>
                <w:spacing w:val="-10"/>
                <w:sz w:val="20"/>
              </w:rPr>
              <w:t>.</w:t>
            </w:r>
          </w:p>
          <w:p>
            <w:pPr>
              <w:pStyle w:val="TableParagraph"/>
              <w:numPr>
                <w:ilvl w:val="0"/>
                <w:numId w:val="220"/>
              </w:numPr>
              <w:tabs>
                <w:tab w:pos="271" w:val="left" w:leader="none"/>
                <w:tab w:pos="635" w:val="left" w:leader="none"/>
                <w:tab w:pos="1893" w:val="left" w:leader="none"/>
              </w:tabs>
              <w:spacing w:line="240" w:lineRule="auto" w:before="97" w:after="0"/>
              <w:ind w:left="271" w:right="109" w:hanging="180"/>
              <w:jc w:val="left"/>
              <w:rPr>
                <w:sz w:val="20"/>
              </w:rPr>
            </w:pPr>
            <w:r>
              <w:rPr>
                <w:spacing w:val="-2"/>
                <w:sz w:val="20"/>
              </w:rPr>
              <w:t>Personal</w:t>
            </w:r>
            <w:r>
              <w:rPr>
                <w:sz w:val="20"/>
              </w:rPr>
              <w:tab/>
            </w:r>
            <w:r>
              <w:rPr>
                <w:spacing w:val="-2"/>
                <w:sz w:val="20"/>
              </w:rPr>
              <w:t>services establishments</w:t>
            </w:r>
          </w:p>
          <w:p>
            <w:pPr>
              <w:pStyle w:val="TableParagraph"/>
              <w:numPr>
                <w:ilvl w:val="0"/>
                <w:numId w:val="220"/>
              </w:numPr>
              <w:tabs>
                <w:tab w:pos="362" w:val="left" w:leader="none"/>
              </w:tabs>
              <w:spacing w:line="240" w:lineRule="auto" w:before="94" w:after="0"/>
              <w:ind w:left="362" w:right="0" w:hanging="254"/>
              <w:jc w:val="left"/>
              <w:rPr>
                <w:sz w:val="20"/>
              </w:rPr>
            </w:pPr>
            <w:r>
              <w:rPr>
                <w:sz w:val="20"/>
              </w:rPr>
              <w:t>Motor</w:t>
            </w:r>
            <w:r>
              <w:rPr>
                <w:spacing w:val="60"/>
                <w:sz w:val="20"/>
              </w:rPr>
              <w:t> </w:t>
            </w:r>
            <w:r>
              <w:rPr>
                <w:sz w:val="20"/>
              </w:rPr>
              <w:t>driving</w:t>
            </w:r>
            <w:r>
              <w:rPr>
                <w:spacing w:val="63"/>
                <w:sz w:val="20"/>
              </w:rPr>
              <w:t> </w:t>
            </w:r>
            <w:r>
              <w:rPr>
                <w:spacing w:val="-2"/>
                <w:sz w:val="20"/>
              </w:rPr>
              <w:t>schools</w:t>
            </w:r>
          </w:p>
          <w:p>
            <w:pPr>
              <w:pStyle w:val="TableParagraph"/>
              <w:numPr>
                <w:ilvl w:val="0"/>
                <w:numId w:val="220"/>
              </w:numPr>
              <w:tabs>
                <w:tab w:pos="397" w:val="left" w:leader="none"/>
              </w:tabs>
              <w:spacing w:line="240" w:lineRule="auto" w:before="97" w:after="0"/>
              <w:ind w:left="108" w:right="109" w:firstLine="0"/>
              <w:jc w:val="left"/>
              <w:rPr>
                <w:sz w:val="20"/>
              </w:rPr>
            </w:pPr>
            <w:r>
              <w:rPr>
                <w:sz w:val="20"/>
              </w:rPr>
              <w:t>Hair dressing saloons and beauty parlours.</w:t>
            </w:r>
          </w:p>
        </w:tc>
        <w:tc>
          <w:tcPr>
            <w:tcW w:w="1276" w:type="dxa"/>
          </w:tcPr>
          <w:p>
            <w:pPr>
              <w:pStyle w:val="TableParagraph"/>
              <w:spacing w:before="94"/>
              <w:ind w:left="108"/>
              <w:rPr>
                <w:sz w:val="20"/>
              </w:rPr>
            </w:pPr>
            <w:r>
              <w:rPr>
                <w:sz w:val="20"/>
              </w:rPr>
              <w:t>1or</w:t>
            </w:r>
            <w:r>
              <w:rPr>
                <w:spacing w:val="47"/>
                <w:sz w:val="20"/>
              </w:rPr>
              <w:t> </w:t>
            </w:r>
            <w:r>
              <w:rPr>
                <w:sz w:val="20"/>
              </w:rPr>
              <w:t>2</w:t>
            </w:r>
            <w:r>
              <w:rPr>
                <w:spacing w:val="46"/>
                <w:sz w:val="20"/>
              </w:rPr>
              <w:t> </w:t>
            </w:r>
            <w:r>
              <w:rPr>
                <w:spacing w:val="-5"/>
                <w:sz w:val="20"/>
              </w:rPr>
              <w:t>or</w:t>
            </w:r>
          </w:p>
          <w:p>
            <w:pPr>
              <w:pStyle w:val="TableParagraph"/>
              <w:spacing w:before="1"/>
              <w:ind w:left="108"/>
              <w:rPr>
                <w:sz w:val="20"/>
              </w:rPr>
            </w:pPr>
            <w:r>
              <w:rPr>
                <w:sz w:val="20"/>
              </w:rPr>
              <w:t>3</w:t>
            </w:r>
            <w:r>
              <w:rPr>
                <w:color w:val="000000"/>
                <w:sz w:val="20"/>
                <w:shd w:fill="FFCCFF" w:color="auto" w:val="clear"/>
              </w:rPr>
              <w:t>or</w:t>
            </w:r>
            <w:r>
              <w:rPr>
                <w:color w:val="000000"/>
                <w:spacing w:val="47"/>
                <w:sz w:val="20"/>
                <w:shd w:fill="FFCCFF" w:color="auto" w:val="clear"/>
              </w:rPr>
              <w:t> </w:t>
            </w:r>
            <w:r>
              <w:rPr>
                <w:color w:val="000000"/>
                <w:sz w:val="20"/>
                <w:shd w:fill="FFCCFF" w:color="auto" w:val="clear"/>
              </w:rPr>
              <w:t>5</w:t>
            </w:r>
            <w:r>
              <w:rPr>
                <w:color w:val="000000"/>
                <w:spacing w:val="47"/>
                <w:sz w:val="20"/>
              </w:rPr>
              <w:t> </w:t>
            </w:r>
            <w:r>
              <w:rPr>
                <w:color w:val="000000"/>
                <w:spacing w:val="-5"/>
                <w:sz w:val="20"/>
              </w:rPr>
              <w:t>or</w:t>
            </w:r>
          </w:p>
          <w:p>
            <w:pPr>
              <w:pStyle w:val="TableParagraph"/>
              <w:ind w:left="108"/>
              <w:rPr>
                <w:sz w:val="20"/>
              </w:rPr>
            </w:pPr>
            <w:r>
              <w:rPr>
                <w:sz w:val="20"/>
              </w:rPr>
              <w:t>6</w:t>
            </w:r>
            <w:r>
              <w:rPr>
                <w:spacing w:val="52"/>
                <w:w w:val="150"/>
                <w:sz w:val="20"/>
              </w:rPr>
              <w:t> </w:t>
            </w:r>
            <w:r>
              <w:rPr>
                <w:sz w:val="20"/>
              </w:rPr>
              <w:t>or</w:t>
            </w:r>
            <w:r>
              <w:rPr>
                <w:spacing w:val="54"/>
                <w:w w:val="150"/>
                <w:sz w:val="20"/>
              </w:rPr>
              <w:t> </w:t>
            </w:r>
            <w:r>
              <w:rPr>
                <w:spacing w:val="-5"/>
                <w:sz w:val="20"/>
              </w:rPr>
              <w:t>20</w:t>
            </w:r>
          </w:p>
          <w:p>
            <w:pPr>
              <w:pStyle w:val="TableParagraph"/>
              <w:spacing w:before="1"/>
              <w:ind w:left="108"/>
              <w:rPr>
                <w:sz w:val="20"/>
              </w:rPr>
            </w:pPr>
            <w:r>
              <w:rPr>
                <w:sz w:val="20"/>
              </w:rPr>
              <w:t>&amp;</w:t>
            </w:r>
            <w:r>
              <w:rPr>
                <w:spacing w:val="16"/>
                <w:sz w:val="20"/>
              </w:rPr>
              <w:t> </w:t>
            </w:r>
            <w:r>
              <w:rPr>
                <w:spacing w:val="-2"/>
                <w:sz w:val="20"/>
              </w:rPr>
              <w:t>16,17</w:t>
            </w:r>
          </w:p>
        </w:tc>
        <w:tc>
          <w:tcPr>
            <w:tcW w:w="1209" w:type="dxa"/>
          </w:tcPr>
          <w:p>
            <w:pPr>
              <w:pStyle w:val="TableParagraph"/>
              <w:spacing w:before="94"/>
              <w:ind w:left="109"/>
              <w:rPr>
                <w:sz w:val="20"/>
              </w:rPr>
            </w:pPr>
            <w:r>
              <w:rPr>
                <w:spacing w:val="-10"/>
                <w:sz w:val="20"/>
              </w:rPr>
              <w:t>P</w:t>
            </w:r>
          </w:p>
        </w:tc>
        <w:tc>
          <w:tcPr>
            <w:tcW w:w="1199" w:type="dxa"/>
          </w:tcPr>
          <w:p>
            <w:pPr>
              <w:pStyle w:val="TableParagraph"/>
              <w:spacing w:before="94"/>
              <w:ind w:left="110"/>
              <w:rPr>
                <w:sz w:val="20"/>
              </w:rPr>
            </w:pPr>
            <w:r>
              <w:rPr>
                <w:spacing w:val="5"/>
                <w:sz w:val="20"/>
              </w:rPr>
              <w:t>NP</w:t>
            </w:r>
          </w:p>
        </w:tc>
        <w:tc>
          <w:tcPr>
            <w:tcW w:w="2196" w:type="dxa"/>
          </w:tcPr>
          <w:p>
            <w:pPr>
              <w:pStyle w:val="TableParagraph"/>
              <w:spacing w:before="94"/>
              <w:ind w:left="111"/>
              <w:jc w:val="both"/>
              <w:rPr>
                <w:sz w:val="20"/>
              </w:rPr>
            </w:pPr>
            <w:r>
              <w:rPr>
                <w:sz w:val="20"/>
              </w:rPr>
              <w:t>In</w:t>
            </w:r>
            <w:r>
              <w:rPr>
                <w:spacing w:val="56"/>
                <w:w w:val="150"/>
                <w:sz w:val="20"/>
              </w:rPr>
              <w:t> </w:t>
            </w:r>
            <w:r>
              <w:rPr>
                <w:sz w:val="20"/>
              </w:rPr>
              <w:t>case</w:t>
            </w:r>
            <w:r>
              <w:rPr>
                <w:spacing w:val="59"/>
                <w:w w:val="150"/>
                <w:sz w:val="20"/>
              </w:rPr>
              <w:t> </w:t>
            </w:r>
            <w:r>
              <w:rPr>
                <w:sz w:val="20"/>
              </w:rPr>
              <w:t>of</w:t>
            </w:r>
            <w:r>
              <w:rPr>
                <w:spacing w:val="58"/>
                <w:w w:val="150"/>
                <w:sz w:val="20"/>
              </w:rPr>
              <w:t> </w:t>
            </w:r>
            <w:r>
              <w:rPr>
                <w:sz w:val="20"/>
              </w:rPr>
              <w:t>3,6</w:t>
            </w:r>
            <w:r>
              <w:rPr>
                <w:spacing w:val="57"/>
                <w:w w:val="150"/>
                <w:sz w:val="20"/>
              </w:rPr>
              <w:t> </w:t>
            </w:r>
            <w:r>
              <w:rPr>
                <w:spacing w:val="-10"/>
                <w:sz w:val="20"/>
              </w:rPr>
              <w:t>&amp;</w:t>
            </w:r>
          </w:p>
          <w:p>
            <w:pPr>
              <w:pStyle w:val="TableParagraph"/>
              <w:spacing w:before="1"/>
              <w:ind w:left="111" w:right="165"/>
              <w:jc w:val="both"/>
              <w:rPr>
                <w:sz w:val="20"/>
              </w:rPr>
            </w:pPr>
            <w:r>
              <w:rPr>
                <w:sz w:val="20"/>
              </w:rPr>
              <w:t>20 in residential premises it shall</w:t>
            </w:r>
            <w:r>
              <w:rPr>
                <w:spacing w:val="80"/>
                <w:sz w:val="20"/>
              </w:rPr>
              <w:t> </w:t>
            </w:r>
            <w:r>
              <w:rPr>
                <w:sz w:val="20"/>
              </w:rPr>
              <w:t>be subject </w:t>
            </w:r>
            <w:r>
              <w:rPr>
                <w:sz w:val="20"/>
              </w:rPr>
              <w:t>to condition no 18</w:t>
            </w:r>
          </w:p>
        </w:tc>
      </w:tr>
      <w:tr>
        <w:trPr>
          <w:trHeight w:val="1033" w:hRule="atLeast"/>
        </w:trPr>
        <w:tc>
          <w:tcPr>
            <w:tcW w:w="1260" w:type="dxa"/>
          </w:tcPr>
          <w:p>
            <w:pPr>
              <w:pStyle w:val="TableParagraph"/>
              <w:spacing w:before="94"/>
              <w:ind w:left="102"/>
              <w:rPr>
                <w:sz w:val="20"/>
              </w:rPr>
            </w:pPr>
            <w:r>
              <w:rPr>
                <w:spacing w:val="5"/>
                <w:sz w:val="20"/>
              </w:rPr>
              <w:t>24</w:t>
            </w:r>
          </w:p>
        </w:tc>
        <w:tc>
          <w:tcPr>
            <w:tcW w:w="2856" w:type="dxa"/>
          </w:tcPr>
          <w:p>
            <w:pPr>
              <w:pStyle w:val="TableParagraph"/>
              <w:spacing w:before="94"/>
              <w:ind w:left="108"/>
              <w:rPr>
                <w:sz w:val="20"/>
              </w:rPr>
            </w:pPr>
            <w:r>
              <w:rPr>
                <w:sz w:val="20"/>
              </w:rPr>
              <w:t>Professional</w:t>
            </w:r>
            <w:r>
              <w:rPr>
                <w:spacing w:val="40"/>
                <w:sz w:val="20"/>
              </w:rPr>
              <w:t> </w:t>
            </w:r>
            <w:r>
              <w:rPr>
                <w:sz w:val="20"/>
              </w:rPr>
              <w:t>offices</w:t>
            </w:r>
            <w:r>
              <w:rPr>
                <w:spacing w:val="40"/>
                <w:sz w:val="20"/>
              </w:rPr>
              <w:t> </w:t>
            </w:r>
            <w:r>
              <w:rPr>
                <w:sz w:val="20"/>
              </w:rPr>
              <w:t>and</w:t>
            </w:r>
            <w:r>
              <w:rPr>
                <w:spacing w:val="40"/>
                <w:sz w:val="20"/>
              </w:rPr>
              <w:t> </w:t>
            </w:r>
            <w:r>
              <w:rPr>
                <w:sz w:val="20"/>
              </w:rPr>
              <w:t>studies</w:t>
            </w:r>
            <w:r>
              <w:rPr>
                <w:spacing w:val="60"/>
                <w:w w:val="150"/>
                <w:sz w:val="20"/>
              </w:rPr>
              <w:t> </w:t>
            </w:r>
            <w:r>
              <w:rPr>
                <w:sz w:val="20"/>
              </w:rPr>
              <w:t>of</w:t>
            </w:r>
            <w:r>
              <w:rPr>
                <w:spacing w:val="61"/>
                <w:w w:val="150"/>
                <w:sz w:val="20"/>
              </w:rPr>
              <w:t> </w:t>
            </w:r>
            <w:r>
              <w:rPr>
                <w:sz w:val="20"/>
              </w:rPr>
              <w:t>a</w:t>
            </w:r>
            <w:r>
              <w:rPr>
                <w:spacing w:val="57"/>
                <w:w w:val="150"/>
                <w:sz w:val="20"/>
              </w:rPr>
              <w:t> </w:t>
            </w:r>
            <w:r>
              <w:rPr>
                <w:sz w:val="20"/>
              </w:rPr>
              <w:t>resident</w:t>
            </w:r>
            <w:r>
              <w:rPr>
                <w:spacing w:val="62"/>
                <w:w w:val="150"/>
                <w:sz w:val="20"/>
              </w:rPr>
              <w:t> </w:t>
            </w:r>
            <w:r>
              <w:rPr>
                <w:spacing w:val="-5"/>
                <w:sz w:val="20"/>
              </w:rPr>
              <w:t>of</w:t>
            </w:r>
          </w:p>
          <w:p>
            <w:pPr>
              <w:pStyle w:val="TableParagraph"/>
              <w:tabs>
                <w:tab w:pos="918" w:val="left" w:leader="none"/>
                <w:tab w:pos="1596" w:val="left" w:leader="none"/>
                <w:tab w:pos="2229" w:val="left" w:leader="none"/>
                <w:tab w:pos="2341" w:val="left" w:leader="none"/>
              </w:tabs>
              <w:spacing w:line="232" w:lineRule="exact"/>
              <w:ind w:left="108" w:right="109"/>
              <w:rPr>
                <w:sz w:val="20"/>
              </w:rPr>
            </w:pPr>
            <w:r>
              <w:rPr>
                <w:spacing w:val="-4"/>
                <w:sz w:val="20"/>
              </w:rPr>
              <w:t>the</w:t>
            </w:r>
            <w:r>
              <w:rPr>
                <w:sz w:val="20"/>
              </w:rPr>
              <w:tab/>
            </w:r>
            <w:r>
              <w:rPr>
                <w:spacing w:val="-2"/>
                <w:sz w:val="20"/>
              </w:rPr>
              <w:t>premises</w:t>
            </w:r>
            <w:r>
              <w:rPr>
                <w:sz w:val="20"/>
              </w:rPr>
              <w:tab/>
              <w:tab/>
            </w:r>
            <w:r>
              <w:rPr>
                <w:spacing w:val="-4"/>
                <w:sz w:val="20"/>
              </w:rPr>
              <w:t>and </w:t>
            </w:r>
            <w:r>
              <w:rPr>
                <w:spacing w:val="-2"/>
                <w:sz w:val="20"/>
              </w:rPr>
              <w:t>incidental</w:t>
            </w:r>
            <w:r>
              <w:rPr>
                <w:sz w:val="20"/>
              </w:rPr>
              <w:tab/>
            </w:r>
            <w:r>
              <w:rPr>
                <w:spacing w:val="-5"/>
                <w:sz w:val="20"/>
              </w:rPr>
              <w:t>to</w:t>
            </w:r>
            <w:r>
              <w:rPr>
                <w:sz w:val="20"/>
              </w:rPr>
              <w:tab/>
            </w:r>
            <w:r>
              <w:rPr>
                <w:spacing w:val="-4"/>
                <w:sz w:val="20"/>
              </w:rPr>
              <w:t>such</w:t>
            </w:r>
          </w:p>
        </w:tc>
        <w:tc>
          <w:tcPr>
            <w:tcW w:w="1276" w:type="dxa"/>
          </w:tcPr>
          <w:p>
            <w:pPr>
              <w:pStyle w:val="TableParagraph"/>
              <w:spacing w:before="94"/>
              <w:ind w:left="108"/>
              <w:rPr>
                <w:sz w:val="20"/>
              </w:rPr>
            </w:pPr>
            <w:r>
              <w:rPr>
                <w:spacing w:val="5"/>
                <w:sz w:val="20"/>
              </w:rPr>
              <w:t>18</w:t>
            </w:r>
          </w:p>
        </w:tc>
        <w:tc>
          <w:tcPr>
            <w:tcW w:w="1209" w:type="dxa"/>
          </w:tcPr>
          <w:p>
            <w:pPr>
              <w:pStyle w:val="TableParagraph"/>
              <w:spacing w:before="94"/>
              <w:ind w:left="109"/>
              <w:rPr>
                <w:sz w:val="20"/>
              </w:rPr>
            </w:pPr>
            <w:r>
              <w:rPr>
                <w:spacing w:val="-10"/>
                <w:sz w:val="20"/>
              </w:rPr>
              <w:t>P</w:t>
            </w:r>
          </w:p>
        </w:tc>
        <w:tc>
          <w:tcPr>
            <w:tcW w:w="1199" w:type="dxa"/>
          </w:tcPr>
          <w:p>
            <w:pPr>
              <w:pStyle w:val="TableParagraph"/>
              <w:spacing w:before="94"/>
              <w:ind w:left="110"/>
              <w:rPr>
                <w:sz w:val="20"/>
              </w:rPr>
            </w:pPr>
            <w:r>
              <w:rPr>
                <w:spacing w:val="5"/>
                <w:sz w:val="20"/>
              </w:rPr>
              <w:t>NP</w:t>
            </w:r>
          </w:p>
        </w:tc>
        <w:tc>
          <w:tcPr>
            <w:tcW w:w="2196" w:type="dxa"/>
          </w:tcPr>
          <w:p>
            <w:pPr>
              <w:pStyle w:val="TableParagraph"/>
              <w:spacing w:before="94"/>
              <w:ind w:left="111" w:right="106"/>
              <w:jc w:val="both"/>
              <w:rPr>
                <w:sz w:val="20"/>
              </w:rPr>
            </w:pPr>
            <w:r>
              <w:rPr>
                <w:sz w:val="20"/>
              </w:rPr>
              <w:t>In residential premises each </w:t>
            </w:r>
            <w:r>
              <w:rPr>
                <w:sz w:val="20"/>
              </w:rPr>
              <w:t>not occupying</w:t>
            </w:r>
            <w:r>
              <w:rPr>
                <w:spacing w:val="29"/>
                <w:sz w:val="20"/>
              </w:rPr>
              <w:t>  </w:t>
            </w:r>
            <w:r>
              <w:rPr>
                <w:sz w:val="20"/>
              </w:rPr>
              <w:t>a</w:t>
            </w:r>
            <w:r>
              <w:rPr>
                <w:spacing w:val="29"/>
                <w:sz w:val="20"/>
              </w:rPr>
              <w:t>  </w:t>
            </w:r>
            <w:r>
              <w:rPr>
                <w:spacing w:val="-4"/>
                <w:sz w:val="20"/>
              </w:rPr>
              <w:t>floor</w:t>
            </w:r>
          </w:p>
        </w:tc>
      </w:tr>
    </w:tbl>
    <w:p>
      <w:pPr>
        <w:pStyle w:val="TableParagraph"/>
        <w:spacing w:after="0"/>
        <w:jc w:val="both"/>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2208" w:hRule="atLeast"/>
        </w:trPr>
        <w:tc>
          <w:tcPr>
            <w:tcW w:w="1260" w:type="dxa"/>
          </w:tcPr>
          <w:p>
            <w:pPr>
              <w:pStyle w:val="TableParagraph"/>
              <w:rPr>
                <w:rFonts w:ascii="Times New Roman"/>
                <w:sz w:val="18"/>
              </w:rPr>
            </w:pPr>
          </w:p>
        </w:tc>
        <w:tc>
          <w:tcPr>
            <w:tcW w:w="2856" w:type="dxa"/>
          </w:tcPr>
          <w:p>
            <w:pPr>
              <w:pStyle w:val="TableParagraph"/>
              <w:tabs>
                <w:tab w:pos="602" w:val="left" w:leader="none"/>
                <w:tab w:pos="1276" w:val="left" w:leader="none"/>
                <w:tab w:pos="1409" w:val="left" w:leader="none"/>
                <w:tab w:pos="1660" w:val="left" w:leader="none"/>
                <w:tab w:pos="1697" w:val="left" w:leader="none"/>
                <w:tab w:pos="1840" w:val="left" w:leader="none"/>
                <w:tab w:pos="2073" w:val="left" w:leader="none"/>
                <w:tab w:pos="2293" w:val="left" w:leader="none"/>
                <w:tab w:pos="2357" w:val="left" w:leader="none"/>
                <w:tab w:pos="2404" w:val="left" w:leader="none"/>
                <w:tab w:pos="2525" w:val="left" w:leader="none"/>
              </w:tabs>
              <w:ind w:left="108" w:right="108"/>
              <w:rPr>
                <w:sz w:val="20"/>
              </w:rPr>
            </w:pPr>
            <w:r>
              <w:rPr>
                <w:spacing w:val="-2"/>
                <w:sz w:val="20"/>
              </w:rPr>
              <w:t>residential</w:t>
            </w:r>
            <w:r>
              <w:rPr>
                <w:sz w:val="20"/>
              </w:rPr>
              <w:tab/>
              <w:tab/>
              <w:tab/>
            </w:r>
            <w:r>
              <w:rPr>
                <w:spacing w:val="-4"/>
                <w:sz w:val="20"/>
              </w:rPr>
              <w:t>use,</w:t>
            </w:r>
            <w:r>
              <w:rPr>
                <w:sz w:val="20"/>
              </w:rPr>
              <w:tab/>
              <w:tab/>
              <w:tab/>
              <w:tab/>
              <w:tab/>
            </w:r>
            <w:r>
              <w:rPr>
                <w:spacing w:val="-6"/>
                <w:sz w:val="20"/>
              </w:rPr>
              <w:t>or </w:t>
            </w:r>
            <w:r>
              <w:rPr>
                <w:spacing w:val="-2"/>
                <w:sz w:val="20"/>
              </w:rPr>
              <w:t>medical</w:t>
            </w:r>
            <w:r>
              <w:rPr>
                <w:sz w:val="20"/>
              </w:rPr>
              <w:tab/>
            </w:r>
            <w:r>
              <w:rPr>
                <w:spacing w:val="-40"/>
                <w:sz w:val="20"/>
              </w:rPr>
              <w:t> </w:t>
            </w:r>
            <w:r>
              <w:rPr>
                <w:sz w:val="20"/>
              </w:rPr>
              <w:t>and</w:t>
              <w:tab/>
              <w:tab/>
              <w:tab/>
            </w:r>
            <w:r>
              <w:rPr>
                <w:spacing w:val="-2"/>
                <w:sz w:val="20"/>
              </w:rPr>
              <w:t>dental practitioners’</w:t>
            </w:r>
            <w:r>
              <w:rPr>
                <w:spacing w:val="40"/>
                <w:sz w:val="20"/>
              </w:rPr>
              <w:t>  </w:t>
            </w:r>
            <w:r>
              <w:rPr>
                <w:sz w:val="20"/>
              </w:rPr>
              <w:t>dispensaries</w:t>
            </w:r>
            <w:r>
              <w:rPr>
                <w:spacing w:val="40"/>
                <w:sz w:val="20"/>
              </w:rPr>
              <w:t> </w:t>
            </w:r>
            <w:r>
              <w:rPr>
                <w:sz w:val="20"/>
              </w:rPr>
              <w:t>or</w:t>
            </w:r>
            <w:r>
              <w:rPr>
                <w:spacing w:val="40"/>
                <w:sz w:val="20"/>
              </w:rPr>
              <w:t> </w:t>
            </w:r>
            <w:r>
              <w:rPr>
                <w:sz w:val="20"/>
              </w:rPr>
              <w:t>clinics</w:t>
            </w:r>
            <w:r>
              <w:rPr>
                <w:spacing w:val="40"/>
                <w:sz w:val="20"/>
              </w:rPr>
              <w:t> </w:t>
            </w:r>
            <w:r>
              <w:rPr>
                <w:sz w:val="20"/>
              </w:rPr>
              <w:t>of </w:t>
            </w:r>
            <w:r>
              <w:rPr>
                <w:spacing w:val="-10"/>
                <w:sz w:val="20"/>
              </w:rPr>
              <w:t>a</w:t>
            </w:r>
            <w:r>
              <w:rPr>
                <w:sz w:val="20"/>
              </w:rPr>
              <w:tab/>
            </w:r>
            <w:r>
              <w:rPr>
                <w:spacing w:val="-2"/>
                <w:sz w:val="20"/>
              </w:rPr>
              <w:t>resident</w:t>
            </w:r>
            <w:r>
              <w:rPr>
                <w:sz w:val="20"/>
              </w:rPr>
              <w:tab/>
              <w:tab/>
              <w:tab/>
              <w:tab/>
            </w:r>
            <w:r>
              <w:rPr>
                <w:spacing w:val="-6"/>
                <w:sz w:val="20"/>
              </w:rPr>
              <w:t>of</w:t>
            </w:r>
            <w:r>
              <w:rPr>
                <w:sz w:val="20"/>
              </w:rPr>
              <w:tab/>
              <w:tab/>
              <w:tab/>
              <w:tab/>
            </w:r>
            <w:r>
              <w:rPr>
                <w:spacing w:val="-4"/>
                <w:sz w:val="20"/>
              </w:rPr>
              <w:t>the </w:t>
            </w:r>
            <w:r>
              <w:rPr>
                <w:spacing w:val="-2"/>
                <w:sz w:val="20"/>
              </w:rPr>
              <w:t>building</w:t>
            </w:r>
            <w:r>
              <w:rPr>
                <w:sz w:val="20"/>
              </w:rPr>
              <w:tab/>
              <w:tab/>
            </w:r>
            <w:r>
              <w:rPr>
                <w:spacing w:val="-4"/>
                <w:sz w:val="20"/>
              </w:rPr>
              <w:t>with</w:t>
            </w:r>
            <w:r>
              <w:rPr>
                <w:sz w:val="20"/>
              </w:rPr>
              <w:tab/>
              <w:tab/>
              <w:tab/>
            </w:r>
            <w:r>
              <w:rPr>
                <w:spacing w:val="-4"/>
                <w:sz w:val="20"/>
              </w:rPr>
              <w:t>only </w:t>
            </w:r>
            <w:r>
              <w:rPr>
                <w:spacing w:val="-2"/>
                <w:sz w:val="20"/>
              </w:rPr>
              <w:t>outpatient</w:t>
            </w:r>
            <w:r>
              <w:rPr>
                <w:sz w:val="20"/>
              </w:rPr>
              <w:tab/>
              <w:tab/>
              <w:tab/>
              <w:tab/>
            </w:r>
            <w:r>
              <w:rPr>
                <w:spacing w:val="-2"/>
                <w:sz w:val="20"/>
              </w:rPr>
              <w:t>treatment facilities</w:t>
            </w:r>
            <w:r>
              <w:rPr>
                <w:sz w:val="20"/>
              </w:rPr>
              <w:tab/>
            </w:r>
            <w:r>
              <w:rPr>
                <w:spacing w:val="-2"/>
                <w:sz w:val="20"/>
              </w:rPr>
              <w:t>without</w:t>
            </w:r>
            <w:r>
              <w:rPr>
                <w:sz w:val="20"/>
              </w:rPr>
              <w:tab/>
              <w:tab/>
              <w:tab/>
            </w:r>
            <w:r>
              <w:rPr>
                <w:spacing w:val="-4"/>
                <w:sz w:val="20"/>
              </w:rPr>
              <w:t>any </w:t>
            </w:r>
            <w:r>
              <w:rPr>
                <w:sz w:val="20"/>
              </w:rPr>
              <w:t>indoor work,</w:t>
            </w: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ind w:left="111"/>
              <w:rPr>
                <w:sz w:val="20"/>
              </w:rPr>
            </w:pPr>
            <w:r>
              <w:rPr>
                <w:sz w:val="20"/>
              </w:rPr>
              <w:t>area</w:t>
            </w:r>
            <w:r>
              <w:rPr>
                <w:spacing w:val="40"/>
                <w:sz w:val="20"/>
              </w:rPr>
              <w:t> </w:t>
            </w:r>
            <w:r>
              <w:rPr>
                <w:sz w:val="20"/>
              </w:rPr>
              <w:t>exceeding</w:t>
            </w:r>
            <w:r>
              <w:rPr>
                <w:spacing w:val="40"/>
                <w:sz w:val="20"/>
              </w:rPr>
              <w:t> </w:t>
            </w:r>
            <w:r>
              <w:rPr>
                <w:sz w:val="20"/>
              </w:rPr>
              <w:t>50 sq.</w:t>
            </w:r>
            <w:r>
              <w:rPr>
                <w:spacing w:val="28"/>
                <w:sz w:val="20"/>
              </w:rPr>
              <w:t> </w:t>
            </w:r>
            <w:r>
              <w:rPr>
                <w:sz w:val="20"/>
              </w:rPr>
              <w:t>m</w:t>
            </w:r>
            <w:r>
              <w:rPr>
                <w:spacing w:val="31"/>
                <w:sz w:val="20"/>
              </w:rPr>
              <w:t> </w:t>
            </w:r>
            <w:r>
              <w:rPr>
                <w:sz w:val="20"/>
              </w:rPr>
              <w:t>on</w:t>
            </w:r>
            <w:r>
              <w:rPr>
                <w:spacing w:val="28"/>
                <w:sz w:val="20"/>
              </w:rPr>
              <w:t> </w:t>
            </w:r>
            <w:r>
              <w:rPr>
                <w:sz w:val="20"/>
              </w:rPr>
              <w:t>any</w:t>
            </w:r>
            <w:r>
              <w:rPr>
                <w:spacing w:val="28"/>
                <w:sz w:val="20"/>
              </w:rPr>
              <w:t> </w:t>
            </w:r>
            <w:r>
              <w:rPr>
                <w:spacing w:val="-4"/>
                <w:sz w:val="20"/>
              </w:rPr>
              <w:t>floor</w:t>
            </w:r>
          </w:p>
        </w:tc>
      </w:tr>
      <w:tr>
        <w:trPr>
          <w:trHeight w:val="2870" w:hRule="atLeast"/>
        </w:trPr>
        <w:tc>
          <w:tcPr>
            <w:tcW w:w="1260" w:type="dxa"/>
          </w:tcPr>
          <w:p>
            <w:pPr>
              <w:pStyle w:val="TableParagraph"/>
              <w:spacing w:before="94"/>
              <w:ind w:left="107"/>
              <w:rPr>
                <w:sz w:val="20"/>
              </w:rPr>
            </w:pPr>
            <w:r>
              <w:rPr>
                <w:spacing w:val="5"/>
                <w:sz w:val="20"/>
              </w:rPr>
              <w:t>25</w:t>
            </w:r>
          </w:p>
        </w:tc>
        <w:tc>
          <w:tcPr>
            <w:tcW w:w="2856" w:type="dxa"/>
          </w:tcPr>
          <w:p>
            <w:pPr>
              <w:pStyle w:val="TableParagraph"/>
              <w:spacing w:before="94"/>
              <w:ind w:left="108" w:right="526"/>
              <w:rPr>
                <w:sz w:val="20"/>
              </w:rPr>
            </w:pPr>
            <w:r>
              <w:rPr>
                <w:sz w:val="20"/>
              </w:rPr>
              <w:t>Business</w:t>
            </w:r>
            <w:r>
              <w:rPr>
                <w:spacing w:val="40"/>
                <w:sz w:val="20"/>
              </w:rPr>
              <w:t> </w:t>
            </w:r>
            <w:r>
              <w:rPr>
                <w:sz w:val="20"/>
              </w:rPr>
              <w:t>Offices</w:t>
            </w:r>
            <w:r>
              <w:rPr>
                <w:spacing w:val="40"/>
                <w:sz w:val="20"/>
              </w:rPr>
              <w:t> </w:t>
            </w:r>
            <w:r>
              <w:rPr>
                <w:sz w:val="20"/>
              </w:rPr>
              <w:t>and </w:t>
            </w:r>
            <w:r>
              <w:rPr>
                <w:spacing w:val="-2"/>
                <w:sz w:val="20"/>
              </w:rPr>
              <w:t>services</w:t>
            </w:r>
            <w:r>
              <w:rPr>
                <w:spacing w:val="40"/>
                <w:sz w:val="20"/>
              </w:rPr>
              <w:t>  </w:t>
            </w:r>
            <w:r>
              <w:rPr>
                <w:spacing w:val="-2"/>
                <w:sz w:val="20"/>
              </w:rPr>
              <w:t>establishments</w:t>
            </w:r>
          </w:p>
        </w:tc>
        <w:tc>
          <w:tcPr>
            <w:tcW w:w="1276" w:type="dxa"/>
          </w:tcPr>
          <w:p>
            <w:pPr>
              <w:pStyle w:val="TableParagraph"/>
              <w:spacing w:before="94"/>
              <w:ind w:left="108"/>
              <w:rPr>
                <w:sz w:val="20"/>
              </w:rPr>
            </w:pPr>
            <w:r>
              <w:rPr>
                <w:sz w:val="20"/>
              </w:rPr>
              <w:t>1</w:t>
            </w:r>
            <w:r>
              <w:rPr>
                <w:spacing w:val="9"/>
                <w:sz w:val="20"/>
              </w:rPr>
              <w:t> </w:t>
            </w:r>
            <w:r>
              <w:rPr>
                <w:sz w:val="20"/>
              </w:rPr>
              <w:t>or</w:t>
            </w:r>
            <w:r>
              <w:rPr>
                <w:spacing w:val="12"/>
                <w:sz w:val="20"/>
              </w:rPr>
              <w:t> </w:t>
            </w:r>
            <w:r>
              <w:rPr>
                <w:sz w:val="20"/>
              </w:rPr>
              <w:t>2</w:t>
            </w:r>
            <w:r>
              <w:rPr>
                <w:spacing w:val="9"/>
                <w:sz w:val="20"/>
              </w:rPr>
              <w:t> </w:t>
            </w:r>
            <w:r>
              <w:rPr>
                <w:spacing w:val="-5"/>
                <w:sz w:val="20"/>
              </w:rPr>
              <w:t>or</w:t>
            </w:r>
          </w:p>
          <w:p>
            <w:pPr>
              <w:pStyle w:val="TableParagraph"/>
              <w:spacing w:before="1"/>
              <w:ind w:left="108"/>
              <w:rPr>
                <w:sz w:val="20"/>
              </w:rPr>
            </w:pPr>
            <w:r>
              <w:rPr>
                <w:sz w:val="20"/>
              </w:rPr>
              <w:t>3</w:t>
            </w:r>
            <w:r>
              <w:rPr>
                <w:spacing w:val="16"/>
                <w:sz w:val="20"/>
              </w:rPr>
              <w:t> </w:t>
            </w:r>
            <w:r>
              <w:rPr>
                <w:sz w:val="20"/>
              </w:rPr>
              <w:t>&amp;</w:t>
            </w:r>
            <w:r>
              <w:rPr>
                <w:spacing w:val="20"/>
                <w:sz w:val="20"/>
              </w:rPr>
              <w:t> </w:t>
            </w:r>
            <w:r>
              <w:rPr>
                <w:spacing w:val="5"/>
                <w:sz w:val="20"/>
              </w:rPr>
              <w:t>14</w:t>
            </w:r>
          </w:p>
        </w:tc>
        <w:tc>
          <w:tcPr>
            <w:tcW w:w="1209" w:type="dxa"/>
          </w:tcPr>
          <w:p>
            <w:pPr>
              <w:pStyle w:val="TableParagraph"/>
              <w:spacing w:before="94"/>
              <w:ind w:left="109"/>
              <w:rPr>
                <w:sz w:val="20"/>
              </w:rPr>
            </w:pPr>
            <w:r>
              <w:rPr>
                <w:sz w:val="20"/>
              </w:rPr>
              <w:t>1</w:t>
            </w:r>
            <w:r>
              <w:rPr>
                <w:spacing w:val="74"/>
                <w:sz w:val="20"/>
              </w:rPr>
              <w:t> </w:t>
            </w:r>
            <w:r>
              <w:rPr>
                <w:sz w:val="20"/>
              </w:rPr>
              <w:t>or</w:t>
            </w:r>
            <w:r>
              <w:rPr>
                <w:spacing w:val="74"/>
                <w:sz w:val="20"/>
              </w:rPr>
              <w:t> </w:t>
            </w:r>
            <w:r>
              <w:rPr>
                <w:spacing w:val="-10"/>
                <w:sz w:val="20"/>
              </w:rPr>
              <w:t>2</w:t>
            </w:r>
          </w:p>
          <w:p>
            <w:pPr>
              <w:pStyle w:val="TableParagraph"/>
              <w:spacing w:before="1"/>
              <w:ind w:left="109"/>
              <w:rPr>
                <w:sz w:val="20"/>
              </w:rPr>
            </w:pPr>
            <w:r>
              <w:rPr>
                <w:sz w:val="20"/>
              </w:rPr>
              <w:t>or</w:t>
            </w:r>
            <w:r>
              <w:rPr>
                <w:spacing w:val="24"/>
                <w:sz w:val="20"/>
              </w:rPr>
              <w:t> </w:t>
            </w:r>
            <w:r>
              <w:rPr>
                <w:spacing w:val="-10"/>
                <w:sz w:val="20"/>
              </w:rPr>
              <w:t>3</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701" w:val="left" w:leader="none"/>
                <w:tab w:pos="1818" w:val="left" w:leader="none"/>
              </w:tabs>
              <w:spacing w:before="94"/>
              <w:ind w:left="111" w:right="165"/>
              <w:rPr>
                <w:sz w:val="20"/>
              </w:rPr>
            </w:pPr>
            <w:r>
              <w:rPr>
                <w:sz w:val="20"/>
              </w:rPr>
              <w:t>In</w:t>
            </w:r>
            <w:r>
              <w:rPr>
                <w:spacing w:val="80"/>
                <w:sz w:val="20"/>
              </w:rPr>
              <w:t> </w:t>
            </w:r>
            <w:r>
              <w:rPr>
                <w:sz w:val="20"/>
              </w:rPr>
              <w:t>case</w:t>
            </w:r>
            <w:r>
              <w:rPr>
                <w:spacing w:val="80"/>
                <w:sz w:val="20"/>
              </w:rPr>
              <w:t> </w:t>
            </w:r>
            <w:r>
              <w:rPr>
                <w:sz w:val="20"/>
              </w:rPr>
              <w:t>of</w:t>
            </w:r>
            <w:r>
              <w:rPr>
                <w:spacing w:val="80"/>
                <w:sz w:val="20"/>
              </w:rPr>
              <w:t> </w:t>
            </w:r>
            <w:r>
              <w:rPr>
                <w:sz w:val="20"/>
              </w:rPr>
              <w:t>3</w:t>
            </w:r>
            <w:r>
              <w:rPr>
                <w:spacing w:val="80"/>
                <w:sz w:val="20"/>
              </w:rPr>
              <w:t> </w:t>
            </w:r>
            <w:r>
              <w:rPr>
                <w:sz w:val="20"/>
              </w:rPr>
              <w:t>in </w:t>
            </w:r>
            <w:r>
              <w:rPr>
                <w:spacing w:val="-2"/>
                <w:sz w:val="20"/>
              </w:rPr>
              <w:t>residential</w:t>
            </w:r>
            <w:r>
              <w:rPr>
                <w:spacing w:val="40"/>
                <w:sz w:val="20"/>
              </w:rPr>
              <w:t> </w:t>
            </w:r>
            <w:r>
              <w:rPr>
                <w:sz w:val="20"/>
              </w:rPr>
              <w:t>premises</w:t>
            </w:r>
            <w:r>
              <w:rPr>
                <w:spacing w:val="40"/>
                <w:sz w:val="20"/>
              </w:rPr>
              <w:t> </w:t>
            </w:r>
            <w:r>
              <w:rPr>
                <w:sz w:val="20"/>
              </w:rPr>
              <w:t>it</w:t>
            </w:r>
            <w:r>
              <w:rPr>
                <w:spacing w:val="4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p>
            <w:pPr>
              <w:pStyle w:val="TableParagraph"/>
              <w:tabs>
                <w:tab w:pos="1816" w:val="left" w:leader="none"/>
              </w:tabs>
              <w:spacing w:before="98"/>
              <w:ind w:left="111" w:right="166"/>
              <w:jc w:val="both"/>
              <w:rPr>
                <w:sz w:val="20"/>
              </w:rPr>
            </w:pPr>
            <w:r>
              <w:rPr>
                <w:sz w:val="20"/>
              </w:rPr>
              <w:t>There shall be no restriction</w:t>
            </w:r>
            <w:r>
              <w:rPr>
                <w:spacing w:val="40"/>
                <w:sz w:val="20"/>
              </w:rPr>
              <w:t> </w:t>
            </w:r>
            <w:r>
              <w:rPr>
                <w:sz w:val="20"/>
              </w:rPr>
              <w:t>of</w:t>
            </w:r>
            <w:r>
              <w:rPr>
                <w:spacing w:val="80"/>
                <w:sz w:val="20"/>
              </w:rPr>
              <w:t> </w:t>
            </w:r>
            <w:r>
              <w:rPr>
                <w:sz w:val="20"/>
              </w:rPr>
              <w:t>width of street in case of business </w:t>
            </w:r>
            <w:r>
              <w:rPr>
                <w:spacing w:val="-2"/>
                <w:sz w:val="20"/>
              </w:rPr>
              <w:t>office</w:t>
            </w:r>
            <w:r>
              <w:rPr>
                <w:sz w:val="20"/>
              </w:rPr>
              <w:tab/>
            </w:r>
            <w:r>
              <w:rPr>
                <w:spacing w:val="-5"/>
                <w:sz w:val="20"/>
              </w:rPr>
              <w:t>in</w:t>
            </w:r>
          </w:p>
          <w:p>
            <w:pPr>
              <w:pStyle w:val="TableParagraph"/>
              <w:spacing w:line="235" w:lineRule="exact"/>
              <w:ind w:left="111"/>
              <w:jc w:val="both"/>
              <w:rPr>
                <w:sz w:val="20"/>
              </w:rPr>
            </w:pPr>
            <w:r>
              <w:rPr>
                <w:sz w:val="20"/>
              </w:rPr>
              <w:t>commercial</w:t>
            </w:r>
            <w:r>
              <w:rPr>
                <w:spacing w:val="60"/>
                <w:w w:val="150"/>
                <w:sz w:val="20"/>
              </w:rPr>
              <w:t> </w:t>
            </w:r>
            <w:r>
              <w:rPr>
                <w:spacing w:val="-4"/>
                <w:sz w:val="20"/>
              </w:rPr>
              <w:t>zone.</w:t>
            </w:r>
          </w:p>
        </w:tc>
      </w:tr>
      <w:tr>
        <w:trPr>
          <w:trHeight w:val="1699" w:hRule="atLeast"/>
        </w:trPr>
        <w:tc>
          <w:tcPr>
            <w:tcW w:w="1260" w:type="dxa"/>
          </w:tcPr>
          <w:p>
            <w:pPr>
              <w:pStyle w:val="TableParagraph"/>
              <w:spacing w:before="97"/>
              <w:ind w:left="107"/>
              <w:rPr>
                <w:sz w:val="20"/>
              </w:rPr>
            </w:pPr>
            <w:r>
              <w:rPr>
                <w:spacing w:val="5"/>
                <w:sz w:val="20"/>
              </w:rPr>
              <w:t>26</w:t>
            </w:r>
          </w:p>
        </w:tc>
        <w:tc>
          <w:tcPr>
            <w:tcW w:w="2856" w:type="dxa"/>
          </w:tcPr>
          <w:p>
            <w:pPr>
              <w:pStyle w:val="TableParagraph"/>
              <w:spacing w:before="97"/>
              <w:ind w:left="108" w:right="370"/>
              <w:jc w:val="both"/>
              <w:rPr>
                <w:sz w:val="20"/>
              </w:rPr>
            </w:pPr>
            <w:r>
              <w:rPr>
                <w:sz w:val="20"/>
              </w:rPr>
              <w:t>Restaurants, eating houses, cafeteria, ice- cream and milk</w:t>
            </w:r>
            <w:r>
              <w:rPr>
                <w:spacing w:val="40"/>
                <w:sz w:val="20"/>
              </w:rPr>
              <w:t> </w:t>
            </w:r>
            <w:r>
              <w:rPr>
                <w:spacing w:val="-2"/>
                <w:sz w:val="20"/>
              </w:rPr>
              <w:t>parlours</w:t>
            </w:r>
          </w:p>
        </w:tc>
        <w:tc>
          <w:tcPr>
            <w:tcW w:w="1276" w:type="dxa"/>
          </w:tcPr>
          <w:p>
            <w:pPr>
              <w:pStyle w:val="TableParagraph"/>
              <w:spacing w:line="234" w:lineRule="exact" w:before="97"/>
              <w:ind w:left="108"/>
              <w:rPr>
                <w:sz w:val="20"/>
              </w:rPr>
            </w:pPr>
            <w:r>
              <w:rPr>
                <w:sz w:val="20"/>
              </w:rPr>
              <w:t>1</w:t>
            </w:r>
            <w:r>
              <w:rPr>
                <w:spacing w:val="9"/>
                <w:sz w:val="20"/>
              </w:rPr>
              <w:t> </w:t>
            </w:r>
            <w:r>
              <w:rPr>
                <w:sz w:val="20"/>
              </w:rPr>
              <w:t>or</w:t>
            </w:r>
            <w:r>
              <w:rPr>
                <w:spacing w:val="12"/>
                <w:sz w:val="20"/>
              </w:rPr>
              <w:t> </w:t>
            </w:r>
            <w:r>
              <w:rPr>
                <w:sz w:val="20"/>
              </w:rPr>
              <w:t>2</w:t>
            </w:r>
            <w:r>
              <w:rPr>
                <w:spacing w:val="9"/>
                <w:sz w:val="20"/>
              </w:rPr>
              <w:t> </w:t>
            </w:r>
            <w:r>
              <w:rPr>
                <w:spacing w:val="-5"/>
                <w:sz w:val="20"/>
              </w:rPr>
              <w:t>or</w:t>
            </w:r>
          </w:p>
          <w:p>
            <w:pPr>
              <w:pStyle w:val="TableParagraph"/>
              <w:tabs>
                <w:tab w:pos="446" w:val="left" w:leader="none"/>
                <w:tab w:pos="870" w:val="left" w:leader="none"/>
              </w:tabs>
              <w:spacing w:line="234" w:lineRule="exact"/>
              <w:ind w:left="108"/>
              <w:rPr>
                <w:sz w:val="20"/>
              </w:rPr>
            </w:pPr>
            <w:r>
              <w:rPr>
                <w:spacing w:val="-10"/>
                <w:sz w:val="20"/>
              </w:rPr>
              <w:t>3</w:t>
            </w:r>
            <w:r>
              <w:rPr>
                <w:sz w:val="20"/>
              </w:rPr>
              <w:tab/>
            </w:r>
            <w:r>
              <w:rPr>
                <w:spacing w:val="-5"/>
                <w:sz w:val="20"/>
              </w:rPr>
              <w:t>or</w:t>
            </w:r>
            <w:r>
              <w:rPr>
                <w:sz w:val="20"/>
              </w:rPr>
              <w:tab/>
            </w:r>
            <w:r>
              <w:rPr>
                <w:spacing w:val="-10"/>
                <w:sz w:val="20"/>
              </w:rPr>
              <w:t>6</w:t>
            </w:r>
          </w:p>
          <w:p>
            <w:pPr>
              <w:pStyle w:val="TableParagraph"/>
              <w:ind w:left="108"/>
              <w:rPr>
                <w:sz w:val="20"/>
              </w:rPr>
            </w:pPr>
            <w:r>
              <w:rPr>
                <w:sz w:val="20"/>
              </w:rPr>
              <w:t>or</w:t>
            </w:r>
            <w:r>
              <w:rPr>
                <w:spacing w:val="35"/>
                <w:sz w:val="20"/>
              </w:rPr>
              <w:t>  </w:t>
            </w:r>
            <w:r>
              <w:rPr>
                <w:sz w:val="20"/>
              </w:rPr>
              <w:t>9</w:t>
            </w:r>
            <w:r>
              <w:rPr>
                <w:spacing w:val="35"/>
                <w:sz w:val="20"/>
              </w:rPr>
              <w:t>  </w:t>
            </w:r>
            <w:r>
              <w:rPr>
                <w:spacing w:val="-10"/>
                <w:sz w:val="20"/>
              </w:rPr>
              <w:t>&amp;</w:t>
            </w:r>
          </w:p>
          <w:p>
            <w:pPr>
              <w:pStyle w:val="TableParagraph"/>
              <w:spacing w:before="1"/>
              <w:ind w:left="108"/>
              <w:rPr>
                <w:sz w:val="20"/>
              </w:rPr>
            </w:pPr>
            <w:r>
              <w:rPr>
                <w:sz w:val="20"/>
              </w:rPr>
              <w:t>16</w:t>
            </w:r>
            <w:r>
              <w:rPr>
                <w:spacing w:val="43"/>
                <w:sz w:val="20"/>
              </w:rPr>
              <w:t> </w:t>
            </w:r>
            <w:r>
              <w:rPr>
                <w:sz w:val="20"/>
              </w:rPr>
              <w:t>&amp;</w:t>
            </w:r>
            <w:r>
              <w:rPr>
                <w:spacing w:val="43"/>
                <w:sz w:val="20"/>
              </w:rPr>
              <w:t> </w:t>
            </w:r>
            <w:r>
              <w:rPr>
                <w:spacing w:val="5"/>
                <w:sz w:val="20"/>
              </w:rPr>
              <w:t>17</w:t>
            </w:r>
          </w:p>
          <w:p>
            <w:pPr>
              <w:pStyle w:val="TableParagraph"/>
              <w:ind w:left="108"/>
              <w:rPr>
                <w:sz w:val="20"/>
              </w:rPr>
            </w:pPr>
            <w:r>
              <w:rPr>
                <w:spacing w:val="6"/>
                <w:sz w:val="20"/>
              </w:rPr>
              <w:t>&amp;18</w:t>
            </w:r>
          </w:p>
        </w:tc>
        <w:tc>
          <w:tcPr>
            <w:tcW w:w="1209" w:type="dxa"/>
          </w:tcPr>
          <w:p>
            <w:pPr>
              <w:pStyle w:val="TableParagraph"/>
              <w:spacing w:line="234" w:lineRule="exact" w:before="97"/>
              <w:ind w:left="109"/>
              <w:rPr>
                <w:sz w:val="20"/>
              </w:rPr>
            </w:pPr>
            <w:r>
              <w:rPr>
                <w:sz w:val="20"/>
              </w:rPr>
              <w:t>1</w:t>
            </w:r>
            <w:r>
              <w:rPr>
                <w:spacing w:val="17"/>
                <w:sz w:val="20"/>
              </w:rPr>
              <w:t> </w:t>
            </w:r>
            <w:r>
              <w:rPr>
                <w:sz w:val="20"/>
              </w:rPr>
              <w:t>or</w:t>
            </w:r>
            <w:r>
              <w:rPr>
                <w:spacing w:val="21"/>
                <w:sz w:val="20"/>
              </w:rPr>
              <w:t> </w:t>
            </w:r>
            <w:r>
              <w:rPr>
                <w:sz w:val="20"/>
              </w:rPr>
              <w:t>2</w:t>
            </w:r>
            <w:r>
              <w:rPr>
                <w:spacing w:val="17"/>
                <w:sz w:val="20"/>
              </w:rPr>
              <w:t> </w:t>
            </w:r>
            <w:r>
              <w:rPr>
                <w:spacing w:val="-5"/>
                <w:sz w:val="20"/>
              </w:rPr>
              <w:t>or</w:t>
            </w:r>
          </w:p>
          <w:p>
            <w:pPr>
              <w:pStyle w:val="TableParagraph"/>
              <w:tabs>
                <w:tab w:pos="460" w:val="left" w:leader="none"/>
                <w:tab w:pos="896" w:val="left" w:leader="none"/>
              </w:tabs>
              <w:spacing w:line="234" w:lineRule="exact"/>
              <w:ind w:left="109"/>
              <w:rPr>
                <w:sz w:val="20"/>
              </w:rPr>
            </w:pPr>
            <w:r>
              <w:rPr>
                <w:spacing w:val="-10"/>
                <w:sz w:val="20"/>
              </w:rPr>
              <w:t>3</w:t>
            </w:r>
            <w:r>
              <w:rPr>
                <w:sz w:val="20"/>
              </w:rPr>
              <w:tab/>
            </w:r>
            <w:r>
              <w:rPr>
                <w:color w:val="000000"/>
                <w:spacing w:val="-5"/>
                <w:sz w:val="20"/>
                <w:shd w:fill="FFCCFF" w:color="auto" w:val="clear"/>
              </w:rPr>
              <w:t>or</w:t>
            </w:r>
            <w:r>
              <w:rPr>
                <w:color w:val="000000"/>
                <w:sz w:val="20"/>
                <w:shd w:fill="FFCCFF" w:color="auto" w:val="clear"/>
              </w:rPr>
              <w:tab/>
            </w:r>
            <w:r>
              <w:rPr>
                <w:color w:val="000000"/>
                <w:spacing w:val="-10"/>
                <w:sz w:val="20"/>
                <w:shd w:fill="FFCCFF" w:color="auto" w:val="clear"/>
              </w:rPr>
              <w:t>6</w:t>
            </w:r>
          </w:p>
          <w:p>
            <w:pPr>
              <w:pStyle w:val="TableParagraph"/>
              <w:ind w:left="109"/>
              <w:rPr>
                <w:sz w:val="20"/>
              </w:rPr>
            </w:pPr>
            <w:r>
              <w:rPr>
                <w:color w:val="000000"/>
                <w:sz w:val="20"/>
                <w:shd w:fill="FFCCFF" w:color="auto" w:val="clear"/>
              </w:rPr>
              <w:t>or</w:t>
            </w:r>
            <w:r>
              <w:rPr>
                <w:color w:val="000000"/>
                <w:spacing w:val="24"/>
                <w:sz w:val="20"/>
                <w:shd w:fill="FFCCFF" w:color="auto" w:val="clear"/>
              </w:rPr>
              <w:t> </w:t>
            </w:r>
            <w:r>
              <w:rPr>
                <w:color w:val="000000"/>
                <w:spacing w:val="-10"/>
                <w:sz w:val="20"/>
                <w:shd w:fill="FFCCFF" w:color="auto" w:val="clear"/>
              </w:rPr>
              <w:t>9</w:t>
            </w:r>
          </w:p>
        </w:tc>
        <w:tc>
          <w:tcPr>
            <w:tcW w:w="1199" w:type="dxa"/>
          </w:tcPr>
          <w:p>
            <w:pPr>
              <w:pStyle w:val="TableParagraph"/>
              <w:spacing w:before="97"/>
              <w:ind w:left="110"/>
              <w:rPr>
                <w:sz w:val="20"/>
              </w:rPr>
            </w:pPr>
            <w:r>
              <w:rPr>
                <w:spacing w:val="5"/>
                <w:sz w:val="20"/>
              </w:rPr>
              <w:t>NP</w:t>
            </w:r>
          </w:p>
        </w:tc>
        <w:tc>
          <w:tcPr>
            <w:tcW w:w="2196" w:type="dxa"/>
          </w:tcPr>
          <w:p>
            <w:pPr>
              <w:pStyle w:val="TableParagraph"/>
              <w:tabs>
                <w:tab w:pos="730" w:val="left" w:leader="none"/>
                <w:tab w:pos="1880" w:val="left" w:leader="none"/>
              </w:tabs>
              <w:spacing w:before="97"/>
              <w:ind w:left="111" w:right="105"/>
              <w:rPr>
                <w:sz w:val="20"/>
              </w:rPr>
            </w:pPr>
            <w:r>
              <w:rPr>
                <w:sz w:val="20"/>
              </w:rPr>
              <w:t>In case of 3,6,9 in </w:t>
            </w:r>
            <w:r>
              <w:rPr>
                <w:spacing w:val="-2"/>
                <w:sz w:val="20"/>
              </w:rPr>
              <w:t>residential</w:t>
            </w:r>
            <w:r>
              <w:rPr>
                <w:spacing w:val="8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p>
            <w:pPr>
              <w:pStyle w:val="TableParagraph"/>
              <w:spacing w:before="96"/>
              <w:ind w:left="111"/>
              <w:rPr>
                <w:sz w:val="20"/>
              </w:rPr>
            </w:pPr>
            <w:r>
              <w:rPr>
                <w:spacing w:val="-10"/>
                <w:sz w:val="20"/>
              </w:rPr>
              <w:t>.</w:t>
            </w:r>
          </w:p>
        </w:tc>
      </w:tr>
      <w:tr>
        <w:trPr>
          <w:trHeight w:val="2774" w:hRule="atLeast"/>
        </w:trPr>
        <w:tc>
          <w:tcPr>
            <w:tcW w:w="1260" w:type="dxa"/>
          </w:tcPr>
          <w:p>
            <w:pPr>
              <w:pStyle w:val="TableParagraph"/>
              <w:spacing w:before="94"/>
              <w:ind w:left="107"/>
              <w:rPr>
                <w:sz w:val="20"/>
              </w:rPr>
            </w:pPr>
            <w:r>
              <w:rPr>
                <w:spacing w:val="5"/>
                <w:sz w:val="20"/>
              </w:rPr>
              <w:t>27</w:t>
            </w:r>
          </w:p>
        </w:tc>
        <w:tc>
          <w:tcPr>
            <w:tcW w:w="2856" w:type="dxa"/>
          </w:tcPr>
          <w:p>
            <w:pPr>
              <w:pStyle w:val="TableParagraph"/>
              <w:spacing w:before="94"/>
              <w:ind w:left="108" w:right="109"/>
              <w:jc w:val="both"/>
              <w:rPr>
                <w:sz w:val="20"/>
              </w:rPr>
            </w:pPr>
            <w:r>
              <w:rPr>
                <w:sz w:val="20"/>
              </w:rPr>
              <w:t>Retail trade and shops/stores</w:t>
            </w:r>
            <w:r>
              <w:rPr>
                <w:spacing w:val="40"/>
                <w:sz w:val="20"/>
              </w:rPr>
              <w:t> </w:t>
            </w:r>
            <w:r>
              <w:rPr>
                <w:sz w:val="20"/>
              </w:rPr>
              <w:t>or</w:t>
            </w:r>
            <w:r>
              <w:rPr>
                <w:spacing w:val="40"/>
                <w:sz w:val="20"/>
              </w:rPr>
              <w:t> </w:t>
            </w:r>
            <w:r>
              <w:rPr>
                <w:sz w:val="20"/>
              </w:rPr>
              <w:t>shops</w:t>
            </w:r>
            <w:r>
              <w:rPr>
                <w:spacing w:val="80"/>
                <w:sz w:val="20"/>
              </w:rPr>
              <w:t> </w:t>
            </w:r>
            <w:r>
              <w:rPr>
                <w:sz w:val="20"/>
              </w:rPr>
              <w:t>for conduct of retail </w:t>
            </w:r>
            <w:r>
              <w:rPr>
                <w:spacing w:val="-2"/>
                <w:sz w:val="20"/>
              </w:rPr>
              <w:t>business,</w:t>
            </w:r>
          </w:p>
        </w:tc>
        <w:tc>
          <w:tcPr>
            <w:tcW w:w="1276" w:type="dxa"/>
          </w:tcPr>
          <w:p>
            <w:pPr>
              <w:pStyle w:val="TableParagraph"/>
              <w:spacing w:before="94"/>
              <w:ind w:left="108" w:right="269"/>
              <w:jc w:val="both"/>
              <w:rPr>
                <w:sz w:val="20"/>
              </w:rPr>
            </w:pPr>
            <w:r>
              <w:rPr>
                <w:sz w:val="20"/>
              </w:rPr>
              <w:t>6 or </w:t>
            </w:r>
            <w:r>
              <w:rPr>
                <w:sz w:val="20"/>
              </w:rPr>
              <w:t>2</w:t>
            </w:r>
            <w:r>
              <w:rPr>
                <w:sz w:val="20"/>
              </w:rPr>
              <w:t>0</w:t>
            </w:r>
            <w:r>
              <w:rPr>
                <w:sz w:val="20"/>
              </w:rPr>
              <w:t> </w:t>
            </w:r>
            <w:r>
              <w:rPr>
                <w:spacing w:val="-2"/>
                <w:sz w:val="20"/>
              </w:rPr>
              <w:t>&amp;</w:t>
            </w:r>
            <w:r>
              <w:rPr>
                <w:color w:val="000000"/>
                <w:spacing w:val="-2"/>
                <w:sz w:val="20"/>
                <w:shd w:fill="FFCCFF" w:color="auto" w:val="clear"/>
              </w:rPr>
              <w:t>15</w:t>
            </w:r>
            <w:r>
              <w:rPr>
                <w:color w:val="000000"/>
                <w:spacing w:val="-2"/>
                <w:sz w:val="20"/>
              </w:rPr>
              <w:t>,17, </w:t>
            </w:r>
            <w:r>
              <w:rPr>
                <w:color w:val="000000"/>
                <w:spacing w:val="-6"/>
                <w:sz w:val="20"/>
              </w:rPr>
              <w:t>18</w:t>
            </w:r>
          </w:p>
        </w:tc>
        <w:tc>
          <w:tcPr>
            <w:tcW w:w="1209" w:type="dxa"/>
          </w:tcPr>
          <w:p>
            <w:pPr>
              <w:pStyle w:val="TableParagraph"/>
              <w:spacing w:before="94"/>
              <w:ind w:left="109"/>
              <w:rPr>
                <w:sz w:val="20"/>
              </w:rPr>
            </w:pPr>
            <w:r>
              <w:rPr>
                <w:color w:val="000000"/>
                <w:sz w:val="20"/>
                <w:shd w:fill="FFCCFF" w:color="auto" w:val="clear"/>
              </w:rPr>
              <w:t>6</w:t>
            </w:r>
            <w:r>
              <w:rPr>
                <w:color w:val="000000"/>
                <w:spacing w:val="64"/>
                <w:w w:val="150"/>
                <w:sz w:val="20"/>
                <w:shd w:fill="FFCCFF" w:color="auto" w:val="clear"/>
              </w:rPr>
              <w:t> </w:t>
            </w:r>
            <w:r>
              <w:rPr>
                <w:color w:val="000000"/>
                <w:sz w:val="20"/>
                <w:shd w:fill="FFCCFF" w:color="auto" w:val="clear"/>
              </w:rPr>
              <w:t>or</w:t>
            </w:r>
            <w:r>
              <w:rPr>
                <w:color w:val="000000"/>
                <w:spacing w:val="66"/>
                <w:w w:val="150"/>
                <w:sz w:val="20"/>
                <w:shd w:fill="FFCCFF" w:color="auto" w:val="clear"/>
              </w:rPr>
              <w:t> </w:t>
            </w:r>
            <w:r>
              <w:rPr>
                <w:color w:val="000000"/>
                <w:spacing w:val="-5"/>
                <w:sz w:val="20"/>
                <w:shd w:fill="FFCCFF" w:color="auto" w:val="clear"/>
              </w:rPr>
              <w:t>20</w:t>
            </w:r>
          </w:p>
          <w:p>
            <w:pPr>
              <w:pStyle w:val="TableParagraph"/>
              <w:spacing w:before="1"/>
              <w:ind w:left="109"/>
              <w:rPr>
                <w:sz w:val="20"/>
              </w:rPr>
            </w:pPr>
            <w:r>
              <w:rPr>
                <w:color w:val="000000"/>
                <w:sz w:val="20"/>
                <w:shd w:fill="FFCCFF" w:color="auto" w:val="clear"/>
              </w:rPr>
              <w:t>or</w:t>
            </w:r>
            <w:r>
              <w:rPr>
                <w:color w:val="000000"/>
                <w:spacing w:val="15"/>
                <w:sz w:val="20"/>
                <w:shd w:fill="FFCCFF" w:color="auto" w:val="clear"/>
              </w:rPr>
              <w:t> </w:t>
            </w:r>
            <w:r>
              <w:rPr>
                <w:color w:val="000000"/>
                <w:sz w:val="20"/>
                <w:shd w:fill="FFCCFF" w:color="auto" w:val="clear"/>
              </w:rPr>
              <w:t>9</w:t>
            </w:r>
            <w:r>
              <w:rPr>
                <w:color w:val="000000"/>
                <w:spacing w:val="13"/>
                <w:sz w:val="20"/>
                <w:shd w:fill="FFCCFF" w:color="auto" w:val="clear"/>
              </w:rPr>
              <w:t> </w:t>
            </w:r>
            <w:r>
              <w:rPr>
                <w:color w:val="000000"/>
                <w:spacing w:val="-5"/>
                <w:sz w:val="20"/>
                <w:shd w:fill="FFCCFF" w:color="auto" w:val="clear"/>
              </w:rPr>
              <w:t>&amp;17</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1818" w:val="left" w:leader="none"/>
              </w:tabs>
              <w:spacing w:before="94"/>
              <w:ind w:left="111" w:right="165"/>
              <w:rPr>
                <w:sz w:val="20"/>
              </w:rPr>
            </w:pPr>
            <w:r>
              <w:rPr>
                <w:sz w:val="20"/>
              </w:rPr>
              <w:t>Storage</w:t>
            </w:r>
            <w:r>
              <w:rPr>
                <w:spacing w:val="40"/>
                <w:sz w:val="20"/>
              </w:rPr>
              <w:t> </w:t>
            </w:r>
            <w:r>
              <w:rPr>
                <w:sz w:val="20"/>
              </w:rPr>
              <w:t>or</w:t>
            </w:r>
            <w:r>
              <w:rPr>
                <w:spacing w:val="40"/>
                <w:sz w:val="20"/>
              </w:rPr>
              <w:t> </w:t>
            </w:r>
            <w:r>
              <w:rPr>
                <w:sz w:val="20"/>
              </w:rPr>
              <w:t>sale</w:t>
            </w:r>
            <w:r>
              <w:rPr>
                <w:spacing w:val="40"/>
                <w:sz w:val="20"/>
              </w:rPr>
              <w:t> </w:t>
            </w:r>
            <w:r>
              <w:rPr>
                <w:sz w:val="20"/>
              </w:rPr>
              <w:t>of </w:t>
            </w:r>
            <w:r>
              <w:rPr>
                <w:spacing w:val="-2"/>
                <w:sz w:val="20"/>
              </w:rPr>
              <w:t>combustible </w:t>
            </w:r>
            <w:r>
              <w:rPr>
                <w:sz w:val="20"/>
              </w:rPr>
              <w:t>materials shall be </w:t>
            </w:r>
            <w:r>
              <w:rPr>
                <w:spacing w:val="-2"/>
                <w:sz w:val="20"/>
              </w:rPr>
              <w:t>permissible</w:t>
            </w:r>
            <w:r>
              <w:rPr>
                <w:spacing w:val="80"/>
                <w:w w:val="150"/>
                <w:sz w:val="20"/>
              </w:rPr>
              <w:t> </w:t>
            </w:r>
            <w:r>
              <w:rPr>
                <w:spacing w:val="-2"/>
                <w:sz w:val="20"/>
              </w:rPr>
              <w:t>subject</w:t>
            </w:r>
            <w:r>
              <w:rPr>
                <w:sz w:val="20"/>
              </w:rPr>
              <w:tab/>
            </w:r>
            <w:r>
              <w:rPr>
                <w:spacing w:val="-5"/>
                <w:sz w:val="20"/>
              </w:rPr>
              <w:t>to</w:t>
            </w:r>
          </w:p>
          <w:p>
            <w:pPr>
              <w:pStyle w:val="TableParagraph"/>
              <w:tabs>
                <w:tab w:pos="1762" w:val="left" w:leader="none"/>
              </w:tabs>
              <w:spacing w:line="235" w:lineRule="exact"/>
              <w:ind w:left="111"/>
              <w:rPr>
                <w:sz w:val="20"/>
              </w:rPr>
            </w:pPr>
            <w:r>
              <w:rPr>
                <w:spacing w:val="-2"/>
                <w:sz w:val="20"/>
              </w:rPr>
              <w:t>condition</w:t>
            </w:r>
            <w:r>
              <w:rPr>
                <w:sz w:val="20"/>
              </w:rPr>
              <w:tab/>
            </w:r>
            <w:r>
              <w:rPr>
                <w:spacing w:val="-5"/>
                <w:sz w:val="20"/>
              </w:rPr>
              <w:t>no</w:t>
            </w:r>
          </w:p>
          <w:p>
            <w:pPr>
              <w:pStyle w:val="TableParagraph"/>
              <w:tabs>
                <w:tab w:pos="1020" w:val="left" w:leader="none"/>
                <w:tab w:pos="1818" w:val="left" w:leader="none"/>
              </w:tabs>
              <w:spacing w:before="1"/>
              <w:ind w:left="111" w:right="165"/>
              <w:rPr>
                <w:sz w:val="20"/>
              </w:rPr>
            </w:pPr>
            <w:r>
              <w:rPr>
                <w:spacing w:val="-2"/>
                <w:sz w:val="20"/>
              </w:rPr>
              <w:t>21.In</w:t>
            </w:r>
            <w:r>
              <w:rPr>
                <w:sz w:val="20"/>
              </w:rPr>
              <w:tab/>
            </w:r>
            <w:r>
              <w:rPr>
                <w:spacing w:val="-4"/>
                <w:sz w:val="20"/>
              </w:rPr>
              <w:t>case</w:t>
            </w:r>
            <w:r>
              <w:rPr>
                <w:sz w:val="20"/>
              </w:rPr>
              <w:tab/>
            </w:r>
            <w:r>
              <w:rPr>
                <w:spacing w:val="-51"/>
                <w:sz w:val="20"/>
              </w:rPr>
              <w:t> </w:t>
            </w:r>
            <w:r>
              <w:rPr>
                <w:sz w:val="20"/>
              </w:rPr>
              <w:t>o</w:t>
            </w:r>
            <w:r>
              <w:rPr>
                <w:sz w:val="20"/>
              </w:rPr>
              <w:t>f</w:t>
            </w:r>
            <w:r>
              <w:rPr>
                <w:sz w:val="20"/>
              </w:rPr>
              <w:t> </w:t>
            </w:r>
            <w:r>
              <w:rPr>
                <w:spacing w:val="-2"/>
                <w:sz w:val="20"/>
              </w:rPr>
              <w:t>residential</w:t>
            </w:r>
            <w:r>
              <w:rPr>
                <w:spacing w:val="40"/>
                <w:sz w:val="20"/>
              </w:rPr>
              <w:t> </w:t>
            </w:r>
            <w:r>
              <w:rPr>
                <w:sz w:val="20"/>
              </w:rPr>
              <w:t>premises</w:t>
            </w:r>
            <w:r>
              <w:rPr>
                <w:spacing w:val="40"/>
                <w:sz w:val="20"/>
              </w:rPr>
              <w:t> </w:t>
            </w:r>
            <w:r>
              <w:rPr>
                <w:sz w:val="20"/>
              </w:rPr>
              <w:t>shall</w:t>
            </w:r>
            <w:r>
              <w:rPr>
                <w:spacing w:val="40"/>
                <w:sz w:val="20"/>
              </w:rPr>
              <w:t> </w:t>
            </w:r>
            <w:r>
              <w:rPr>
                <w:sz w:val="20"/>
              </w:rPr>
              <w:t>be </w:t>
            </w:r>
            <w:r>
              <w:rPr>
                <w:spacing w:val="-2"/>
                <w:sz w:val="20"/>
              </w:rPr>
              <w:t>subject</w:t>
            </w:r>
            <w:r>
              <w:rPr>
                <w:sz w:val="20"/>
              </w:rPr>
              <w:tab/>
              <w:tab/>
            </w:r>
            <w:r>
              <w:rPr>
                <w:spacing w:val="-6"/>
                <w:sz w:val="20"/>
              </w:rPr>
              <w:t>t</w:t>
            </w:r>
            <w:r>
              <w:rPr>
                <w:spacing w:val="-6"/>
                <w:sz w:val="20"/>
              </w:rPr>
              <w:t>o</w:t>
            </w:r>
            <w:r>
              <w:rPr>
                <w:spacing w:val="-6"/>
                <w:sz w:val="20"/>
              </w:rPr>
              <w:t> </w:t>
            </w:r>
            <w:r>
              <w:rPr>
                <w:sz w:val="20"/>
              </w:rPr>
              <w:t>condition no 18.</w:t>
            </w:r>
          </w:p>
        </w:tc>
      </w:tr>
      <w:tr>
        <w:trPr>
          <w:trHeight w:val="1600" w:hRule="atLeast"/>
        </w:trPr>
        <w:tc>
          <w:tcPr>
            <w:tcW w:w="1260" w:type="dxa"/>
          </w:tcPr>
          <w:p>
            <w:pPr>
              <w:pStyle w:val="TableParagraph"/>
              <w:spacing w:before="94"/>
              <w:ind w:left="107"/>
              <w:rPr>
                <w:sz w:val="20"/>
              </w:rPr>
            </w:pPr>
            <w:r>
              <w:rPr>
                <w:spacing w:val="5"/>
                <w:sz w:val="20"/>
              </w:rPr>
              <w:t>28</w:t>
            </w:r>
          </w:p>
        </w:tc>
        <w:tc>
          <w:tcPr>
            <w:tcW w:w="2856" w:type="dxa"/>
          </w:tcPr>
          <w:p>
            <w:pPr>
              <w:pStyle w:val="TableParagraph"/>
              <w:spacing w:before="94"/>
              <w:ind w:left="108"/>
              <w:rPr>
                <w:sz w:val="20"/>
              </w:rPr>
            </w:pPr>
            <w:r>
              <w:rPr>
                <w:sz w:val="20"/>
              </w:rPr>
              <w:t>Malls/shopping</w:t>
            </w:r>
            <w:r>
              <w:rPr>
                <w:spacing w:val="54"/>
                <w:w w:val="150"/>
                <w:sz w:val="20"/>
              </w:rPr>
              <w:t>  </w:t>
            </w:r>
            <w:r>
              <w:rPr>
                <w:spacing w:val="-2"/>
                <w:sz w:val="20"/>
              </w:rPr>
              <w:t>centers</w:t>
            </w:r>
          </w:p>
          <w:p>
            <w:pPr>
              <w:pStyle w:val="TableParagraph"/>
              <w:tabs>
                <w:tab w:pos="988" w:val="left" w:leader="none"/>
                <w:tab w:pos="1999" w:val="left" w:leader="none"/>
                <w:tab w:pos="2350" w:val="left" w:leader="none"/>
              </w:tabs>
              <w:spacing w:before="1"/>
              <w:ind w:left="108" w:right="101"/>
              <w:rPr>
                <w:sz w:val="20"/>
              </w:rPr>
            </w:pPr>
            <w:r>
              <w:rPr>
                <w:spacing w:val="7"/>
                <w:sz w:val="20"/>
              </w:rPr>
              <w:t>/Multiplex/Department </w:t>
            </w:r>
            <w:r>
              <w:rPr>
                <w:spacing w:val="-6"/>
                <w:sz w:val="20"/>
              </w:rPr>
              <w:t>al</w:t>
            </w:r>
            <w:r>
              <w:rPr>
                <w:sz w:val="20"/>
              </w:rPr>
              <w:tab/>
            </w:r>
            <w:r>
              <w:rPr>
                <w:spacing w:val="-2"/>
                <w:sz w:val="20"/>
              </w:rPr>
              <w:t>Stores</w:t>
            </w:r>
            <w:r>
              <w:rPr>
                <w:sz w:val="20"/>
              </w:rPr>
              <w:tab/>
              <w:tab/>
            </w:r>
            <w:r>
              <w:rPr>
                <w:spacing w:val="-4"/>
                <w:sz w:val="20"/>
              </w:rPr>
              <w:t>and </w:t>
            </w:r>
            <w:r>
              <w:rPr>
                <w:spacing w:val="-2"/>
                <w:sz w:val="20"/>
              </w:rPr>
              <w:t>Independent</w:t>
            </w:r>
            <w:r>
              <w:rPr>
                <w:sz w:val="20"/>
              </w:rPr>
              <w:tab/>
            </w:r>
            <w:r>
              <w:rPr>
                <w:spacing w:val="-2"/>
                <w:sz w:val="20"/>
              </w:rPr>
              <w:t>Market </w:t>
            </w:r>
            <w:r>
              <w:rPr>
                <w:sz w:val="20"/>
              </w:rPr>
              <w:t>building along with their ancillary storage</w:t>
            </w:r>
          </w:p>
        </w:tc>
        <w:tc>
          <w:tcPr>
            <w:tcW w:w="1276" w:type="dxa"/>
          </w:tcPr>
          <w:p>
            <w:pPr>
              <w:pStyle w:val="TableParagraph"/>
              <w:spacing w:before="94"/>
              <w:ind w:left="108"/>
              <w:rPr>
                <w:sz w:val="20"/>
              </w:rPr>
            </w:pPr>
            <w:r>
              <w:rPr>
                <w:sz w:val="20"/>
              </w:rPr>
              <w:t>1</w:t>
            </w:r>
            <w:r>
              <w:rPr>
                <w:spacing w:val="41"/>
                <w:sz w:val="20"/>
              </w:rPr>
              <w:t> </w:t>
            </w:r>
            <w:r>
              <w:rPr>
                <w:sz w:val="20"/>
              </w:rPr>
              <w:t>or</w:t>
            </w:r>
            <w:r>
              <w:rPr>
                <w:spacing w:val="45"/>
                <w:sz w:val="20"/>
              </w:rPr>
              <w:t> </w:t>
            </w:r>
            <w:r>
              <w:rPr>
                <w:spacing w:val="-5"/>
                <w:sz w:val="20"/>
              </w:rPr>
              <w:t>2</w:t>
            </w:r>
            <w:r>
              <w:rPr>
                <w:color w:val="000000"/>
                <w:spacing w:val="-5"/>
                <w:sz w:val="20"/>
                <w:shd w:fill="FFCCFF" w:color="auto" w:val="clear"/>
              </w:rPr>
              <w:t>or</w:t>
            </w:r>
          </w:p>
          <w:p>
            <w:pPr>
              <w:pStyle w:val="TableParagraph"/>
              <w:spacing w:before="1"/>
              <w:ind w:left="108"/>
              <w:rPr>
                <w:sz w:val="20"/>
              </w:rPr>
            </w:pPr>
            <w:r>
              <w:rPr>
                <w:color w:val="000000"/>
                <w:sz w:val="20"/>
                <w:shd w:fill="FFCCFF" w:color="auto" w:val="clear"/>
              </w:rPr>
              <w:t>3</w:t>
            </w:r>
            <w:r>
              <w:rPr>
                <w:color w:val="000000"/>
                <w:sz w:val="20"/>
              </w:rPr>
              <w:t>&amp;</w:t>
            </w:r>
            <w:r>
              <w:rPr>
                <w:color w:val="000000"/>
                <w:spacing w:val="25"/>
                <w:sz w:val="20"/>
              </w:rPr>
              <w:t> </w:t>
            </w:r>
            <w:r>
              <w:rPr>
                <w:color w:val="000000"/>
                <w:spacing w:val="-7"/>
                <w:sz w:val="20"/>
              </w:rPr>
              <w:t>16</w:t>
            </w:r>
          </w:p>
        </w:tc>
        <w:tc>
          <w:tcPr>
            <w:tcW w:w="1209" w:type="dxa"/>
          </w:tcPr>
          <w:p>
            <w:pPr>
              <w:pStyle w:val="TableParagraph"/>
              <w:spacing w:before="94"/>
              <w:ind w:left="109"/>
              <w:rPr>
                <w:sz w:val="20"/>
              </w:rPr>
            </w:pPr>
            <w:r>
              <w:rPr>
                <w:sz w:val="20"/>
              </w:rPr>
              <w:t>1</w:t>
            </w:r>
            <w:r>
              <w:rPr>
                <w:spacing w:val="53"/>
                <w:sz w:val="20"/>
              </w:rPr>
              <w:t> </w:t>
            </w:r>
            <w:r>
              <w:rPr>
                <w:sz w:val="20"/>
              </w:rPr>
              <w:t>or</w:t>
            </w:r>
            <w:r>
              <w:rPr>
                <w:spacing w:val="57"/>
                <w:sz w:val="20"/>
              </w:rPr>
              <w:t> </w:t>
            </w:r>
            <w:r>
              <w:rPr>
                <w:spacing w:val="-5"/>
                <w:sz w:val="20"/>
              </w:rPr>
              <w:t>2</w:t>
            </w:r>
            <w:r>
              <w:rPr>
                <w:color w:val="000000"/>
                <w:spacing w:val="-5"/>
                <w:sz w:val="20"/>
                <w:shd w:fill="FFCCFF" w:color="auto" w:val="clear"/>
              </w:rPr>
              <w:t>or</w:t>
            </w:r>
          </w:p>
          <w:p>
            <w:pPr>
              <w:pStyle w:val="TableParagraph"/>
              <w:spacing w:before="1"/>
              <w:ind w:left="109"/>
              <w:rPr>
                <w:sz w:val="20"/>
              </w:rPr>
            </w:pPr>
            <w:r>
              <w:rPr>
                <w:color w:val="000000"/>
                <w:sz w:val="20"/>
                <w:shd w:fill="FFCCFF" w:color="auto" w:val="clear"/>
              </w:rPr>
              <w:t>3</w:t>
            </w:r>
            <w:r>
              <w:rPr>
                <w:color w:val="000000"/>
                <w:sz w:val="20"/>
              </w:rPr>
              <w:t>&amp;</w:t>
            </w:r>
            <w:r>
              <w:rPr>
                <w:color w:val="000000"/>
                <w:spacing w:val="25"/>
                <w:sz w:val="20"/>
              </w:rPr>
              <w:t> </w:t>
            </w:r>
            <w:r>
              <w:rPr>
                <w:color w:val="000000"/>
                <w:spacing w:val="-7"/>
                <w:sz w:val="20"/>
              </w:rPr>
              <w:t>16</w:t>
            </w:r>
          </w:p>
        </w:tc>
        <w:tc>
          <w:tcPr>
            <w:tcW w:w="1199" w:type="dxa"/>
          </w:tcPr>
          <w:p>
            <w:pPr>
              <w:pStyle w:val="TableParagraph"/>
              <w:spacing w:before="94"/>
              <w:ind w:left="110"/>
              <w:rPr>
                <w:sz w:val="20"/>
              </w:rPr>
            </w:pPr>
            <w:r>
              <w:rPr>
                <w:spacing w:val="5"/>
                <w:sz w:val="20"/>
              </w:rPr>
              <w:t>NP</w:t>
            </w:r>
          </w:p>
        </w:tc>
        <w:tc>
          <w:tcPr>
            <w:tcW w:w="2196" w:type="dxa"/>
          </w:tcPr>
          <w:p>
            <w:pPr>
              <w:pStyle w:val="TableParagraph"/>
              <w:spacing w:before="94"/>
              <w:ind w:left="111" w:right="166"/>
              <w:jc w:val="both"/>
              <w:rPr>
                <w:sz w:val="20"/>
              </w:rPr>
            </w:pPr>
            <w:r>
              <w:rPr>
                <w:sz w:val="20"/>
              </w:rPr>
              <w:t>Additional 3.0 m front open space for the </w:t>
            </w:r>
            <w:r>
              <w:rPr>
                <w:sz w:val="20"/>
              </w:rPr>
              <w:t>traffic management / holding bay shall be provided.</w:t>
            </w:r>
          </w:p>
        </w:tc>
      </w:tr>
    </w:tbl>
    <w:p>
      <w:pPr>
        <w:pStyle w:val="TableParagraph"/>
        <w:spacing w:after="0"/>
        <w:jc w:val="both"/>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1836" w:hRule="atLeast"/>
        </w:trPr>
        <w:tc>
          <w:tcPr>
            <w:tcW w:w="1260" w:type="dxa"/>
          </w:tcPr>
          <w:p>
            <w:pPr>
              <w:pStyle w:val="TableParagraph"/>
              <w:spacing w:before="94"/>
              <w:ind w:left="107"/>
              <w:rPr>
                <w:sz w:val="20"/>
              </w:rPr>
            </w:pPr>
            <w:r>
              <w:rPr>
                <w:spacing w:val="5"/>
                <w:sz w:val="20"/>
              </w:rPr>
              <w:t>29</w:t>
            </w:r>
          </w:p>
        </w:tc>
        <w:tc>
          <w:tcPr>
            <w:tcW w:w="2856" w:type="dxa"/>
          </w:tcPr>
          <w:p>
            <w:pPr>
              <w:pStyle w:val="TableParagraph"/>
              <w:spacing w:before="94"/>
              <w:ind w:left="108" w:right="108"/>
              <w:jc w:val="both"/>
              <w:rPr>
                <w:sz w:val="20"/>
              </w:rPr>
            </w:pPr>
            <w:r>
              <w:rPr>
                <w:sz w:val="20"/>
              </w:rPr>
              <w:t>Sale of used or second hand goods </w:t>
            </w:r>
            <w:r>
              <w:rPr>
                <w:sz w:val="20"/>
              </w:rPr>
              <w:t>for merchandise, excepting</w:t>
            </w:r>
            <w:r>
              <w:rPr>
                <w:spacing w:val="40"/>
                <w:sz w:val="20"/>
              </w:rPr>
              <w:t> </w:t>
            </w:r>
            <w:r>
              <w:rPr>
                <w:sz w:val="20"/>
              </w:rPr>
              <w:t>for</w:t>
            </w:r>
            <w:r>
              <w:rPr>
                <w:spacing w:val="40"/>
                <w:sz w:val="20"/>
              </w:rPr>
              <w:t> </w:t>
            </w:r>
            <w:r>
              <w:rPr>
                <w:sz w:val="20"/>
              </w:rPr>
              <w:t>junk,</w:t>
            </w:r>
            <w:r>
              <w:rPr>
                <w:spacing w:val="40"/>
                <w:sz w:val="20"/>
              </w:rPr>
              <w:t> </w:t>
            </w:r>
            <w:r>
              <w:rPr>
                <w:sz w:val="20"/>
              </w:rPr>
              <w:t>cotton</w:t>
            </w:r>
            <w:r>
              <w:rPr>
                <w:spacing w:val="40"/>
                <w:sz w:val="20"/>
              </w:rPr>
              <w:t> </w:t>
            </w:r>
            <w:r>
              <w:rPr>
                <w:sz w:val="20"/>
              </w:rPr>
              <w:t>and</w:t>
            </w:r>
            <w:r>
              <w:rPr>
                <w:spacing w:val="40"/>
                <w:sz w:val="20"/>
              </w:rPr>
              <w:t> </w:t>
            </w:r>
            <w:r>
              <w:rPr>
                <w:sz w:val="20"/>
              </w:rPr>
              <w:t>other waste rags or other materials of an offensive </w:t>
            </w:r>
            <w:r>
              <w:rPr>
                <w:spacing w:val="-2"/>
                <w:sz w:val="20"/>
              </w:rPr>
              <w:t>nature.</w:t>
            </w:r>
          </w:p>
        </w:tc>
        <w:tc>
          <w:tcPr>
            <w:tcW w:w="1276" w:type="dxa"/>
          </w:tcPr>
          <w:p>
            <w:pPr>
              <w:pStyle w:val="TableParagraph"/>
              <w:spacing w:before="94"/>
              <w:ind w:left="108"/>
              <w:rPr>
                <w:sz w:val="20"/>
              </w:rPr>
            </w:pPr>
            <w:r>
              <w:rPr>
                <w:sz w:val="20"/>
              </w:rPr>
              <w:t>1</w:t>
            </w:r>
            <w:r>
              <w:rPr>
                <w:spacing w:val="6"/>
                <w:sz w:val="20"/>
              </w:rPr>
              <w:t> </w:t>
            </w:r>
            <w:r>
              <w:rPr>
                <w:sz w:val="20"/>
              </w:rPr>
              <w:t>or</w:t>
            </w:r>
            <w:r>
              <w:rPr>
                <w:spacing w:val="7"/>
                <w:sz w:val="20"/>
              </w:rPr>
              <w:t> </w:t>
            </w:r>
            <w:r>
              <w:rPr>
                <w:sz w:val="20"/>
              </w:rPr>
              <w:t>2</w:t>
            </w:r>
            <w:r>
              <w:rPr>
                <w:spacing w:val="67"/>
                <w:sz w:val="20"/>
              </w:rPr>
              <w:t> </w:t>
            </w:r>
            <w:r>
              <w:rPr>
                <w:spacing w:val="-10"/>
                <w:sz w:val="20"/>
              </w:rPr>
              <w:t>&amp;</w:t>
            </w:r>
          </w:p>
          <w:p>
            <w:pPr>
              <w:pStyle w:val="TableParagraph"/>
              <w:spacing w:before="1"/>
              <w:ind w:left="108"/>
              <w:rPr>
                <w:sz w:val="20"/>
              </w:rPr>
            </w:pPr>
            <w:r>
              <w:rPr>
                <w:spacing w:val="-2"/>
                <w:sz w:val="20"/>
              </w:rPr>
              <w:t>16,17</w:t>
            </w:r>
          </w:p>
        </w:tc>
        <w:tc>
          <w:tcPr>
            <w:tcW w:w="1209" w:type="dxa"/>
          </w:tcPr>
          <w:p>
            <w:pPr>
              <w:pStyle w:val="TableParagraph"/>
              <w:spacing w:before="94"/>
              <w:ind w:left="109"/>
              <w:rPr>
                <w:sz w:val="20"/>
              </w:rPr>
            </w:pPr>
            <w:r>
              <w:rPr>
                <w:spacing w:val="-10"/>
                <w:sz w:val="20"/>
              </w:rPr>
              <w:t>P</w:t>
            </w:r>
          </w:p>
        </w:tc>
        <w:tc>
          <w:tcPr>
            <w:tcW w:w="1199" w:type="dxa"/>
          </w:tcPr>
          <w:p>
            <w:pPr>
              <w:pStyle w:val="TableParagraph"/>
              <w:spacing w:before="94"/>
              <w:ind w:left="110"/>
              <w:rPr>
                <w:sz w:val="20"/>
              </w:rPr>
            </w:pPr>
            <w:r>
              <w:rPr>
                <w:spacing w:val="-10"/>
                <w:sz w:val="20"/>
              </w:rPr>
              <w:t>P</w:t>
            </w:r>
          </w:p>
        </w:tc>
        <w:tc>
          <w:tcPr>
            <w:tcW w:w="2196" w:type="dxa"/>
          </w:tcPr>
          <w:p>
            <w:pPr>
              <w:pStyle w:val="TableParagraph"/>
              <w:rPr>
                <w:rFonts w:ascii="Times New Roman"/>
                <w:sz w:val="18"/>
              </w:rPr>
            </w:pPr>
          </w:p>
        </w:tc>
      </w:tr>
      <w:tr>
        <w:trPr>
          <w:trHeight w:val="894" w:hRule="atLeast"/>
        </w:trPr>
        <w:tc>
          <w:tcPr>
            <w:tcW w:w="1260" w:type="dxa"/>
          </w:tcPr>
          <w:p>
            <w:pPr>
              <w:pStyle w:val="TableParagraph"/>
              <w:spacing w:before="94"/>
              <w:ind w:left="107"/>
              <w:rPr>
                <w:sz w:val="20"/>
              </w:rPr>
            </w:pPr>
            <w:r>
              <w:rPr>
                <w:spacing w:val="5"/>
                <w:sz w:val="20"/>
              </w:rPr>
              <w:t>30</w:t>
            </w:r>
          </w:p>
        </w:tc>
        <w:tc>
          <w:tcPr>
            <w:tcW w:w="2856" w:type="dxa"/>
          </w:tcPr>
          <w:p>
            <w:pPr>
              <w:pStyle w:val="TableParagraph"/>
              <w:spacing w:before="94"/>
              <w:ind w:left="108"/>
              <w:rPr>
                <w:sz w:val="20"/>
              </w:rPr>
            </w:pPr>
            <w:r>
              <w:rPr>
                <w:sz w:val="20"/>
              </w:rPr>
              <w:t>Storage of furniture and</w:t>
            </w:r>
            <w:r>
              <w:rPr>
                <w:spacing w:val="40"/>
                <w:sz w:val="20"/>
              </w:rPr>
              <w:t> </w:t>
            </w:r>
            <w:r>
              <w:rPr>
                <w:sz w:val="20"/>
              </w:rPr>
              <w:t>household goods</w:t>
            </w:r>
          </w:p>
        </w:tc>
        <w:tc>
          <w:tcPr>
            <w:tcW w:w="1276" w:type="dxa"/>
          </w:tcPr>
          <w:p>
            <w:pPr>
              <w:pStyle w:val="TableParagraph"/>
              <w:spacing w:before="94"/>
              <w:ind w:left="108"/>
              <w:rPr>
                <w:sz w:val="20"/>
              </w:rPr>
            </w:pPr>
            <w:r>
              <w:rPr>
                <w:sz w:val="20"/>
              </w:rPr>
              <w:t>1</w:t>
            </w:r>
            <w:r>
              <w:rPr>
                <w:spacing w:val="41"/>
                <w:sz w:val="20"/>
              </w:rPr>
              <w:t> </w:t>
            </w:r>
            <w:r>
              <w:rPr>
                <w:sz w:val="20"/>
              </w:rPr>
              <w:t>or</w:t>
            </w:r>
            <w:r>
              <w:rPr>
                <w:spacing w:val="45"/>
                <w:sz w:val="20"/>
              </w:rPr>
              <w:t> </w:t>
            </w:r>
            <w:r>
              <w:rPr>
                <w:spacing w:val="-5"/>
                <w:sz w:val="20"/>
              </w:rPr>
              <w:t>2</w:t>
            </w:r>
            <w:r>
              <w:rPr>
                <w:color w:val="000000"/>
                <w:spacing w:val="-5"/>
                <w:sz w:val="20"/>
                <w:shd w:fill="FFCCFF" w:color="auto" w:val="clear"/>
              </w:rPr>
              <w:t>or</w:t>
            </w:r>
          </w:p>
          <w:p>
            <w:pPr>
              <w:pStyle w:val="TableParagraph"/>
              <w:spacing w:line="234" w:lineRule="exact" w:before="1"/>
              <w:ind w:left="108"/>
              <w:rPr>
                <w:sz w:val="20"/>
              </w:rPr>
            </w:pPr>
            <w:r>
              <w:rPr>
                <w:color w:val="000000"/>
                <w:sz w:val="20"/>
                <w:shd w:fill="FFCCFF" w:color="auto" w:val="clear"/>
              </w:rPr>
              <w:t>3</w:t>
            </w:r>
            <w:r>
              <w:rPr>
                <w:color w:val="000000"/>
                <w:spacing w:val="67"/>
                <w:sz w:val="20"/>
                <w:shd w:fill="FFCCFF" w:color="auto" w:val="clear"/>
              </w:rPr>
              <w:t> </w:t>
            </w:r>
            <w:r>
              <w:rPr>
                <w:color w:val="000000"/>
                <w:sz w:val="20"/>
                <w:shd w:fill="FFCCFF" w:color="auto" w:val="clear"/>
              </w:rPr>
              <w:t>or</w:t>
            </w:r>
            <w:r>
              <w:rPr>
                <w:color w:val="000000"/>
                <w:spacing w:val="67"/>
                <w:sz w:val="20"/>
                <w:shd w:fill="FFCCFF" w:color="auto" w:val="clear"/>
              </w:rPr>
              <w:t> </w:t>
            </w:r>
            <w:r>
              <w:rPr>
                <w:color w:val="000000"/>
                <w:spacing w:val="-5"/>
                <w:sz w:val="20"/>
                <w:shd w:fill="FFCCFF" w:color="auto" w:val="clear"/>
              </w:rPr>
              <w:t>6</w:t>
            </w:r>
            <w:r>
              <w:rPr>
                <w:color w:val="000000"/>
                <w:spacing w:val="-5"/>
                <w:sz w:val="20"/>
              </w:rPr>
              <w:t>&amp;</w:t>
            </w:r>
          </w:p>
          <w:p>
            <w:pPr>
              <w:pStyle w:val="TableParagraph"/>
              <w:spacing w:line="234" w:lineRule="exact"/>
              <w:ind w:left="108"/>
              <w:rPr>
                <w:sz w:val="20"/>
              </w:rPr>
            </w:pPr>
            <w:r>
              <w:rPr>
                <w:spacing w:val="-2"/>
                <w:sz w:val="20"/>
              </w:rPr>
              <w:t>16,17</w:t>
            </w:r>
          </w:p>
        </w:tc>
        <w:tc>
          <w:tcPr>
            <w:tcW w:w="1209" w:type="dxa"/>
          </w:tcPr>
          <w:p>
            <w:pPr>
              <w:pStyle w:val="TableParagraph"/>
              <w:spacing w:before="94"/>
              <w:ind w:left="109"/>
              <w:rPr>
                <w:sz w:val="20"/>
              </w:rPr>
            </w:pPr>
            <w:r>
              <w:rPr>
                <w:spacing w:val="5"/>
                <w:sz w:val="20"/>
              </w:rPr>
              <w:t>14</w:t>
            </w:r>
          </w:p>
        </w:tc>
        <w:tc>
          <w:tcPr>
            <w:tcW w:w="1199" w:type="dxa"/>
          </w:tcPr>
          <w:p>
            <w:pPr>
              <w:pStyle w:val="TableParagraph"/>
              <w:spacing w:before="94"/>
              <w:ind w:left="110"/>
              <w:rPr>
                <w:sz w:val="20"/>
              </w:rPr>
            </w:pPr>
            <w:r>
              <w:rPr>
                <w:spacing w:val="-10"/>
                <w:sz w:val="20"/>
              </w:rPr>
              <w:t>P</w:t>
            </w:r>
          </w:p>
        </w:tc>
        <w:tc>
          <w:tcPr>
            <w:tcW w:w="2196" w:type="dxa"/>
          </w:tcPr>
          <w:p>
            <w:pPr>
              <w:pStyle w:val="TableParagraph"/>
              <w:rPr>
                <w:rFonts w:ascii="Times New Roman"/>
                <w:sz w:val="18"/>
              </w:rPr>
            </w:pPr>
          </w:p>
        </w:tc>
      </w:tr>
      <w:tr>
        <w:trPr>
          <w:trHeight w:val="1132" w:hRule="atLeast"/>
        </w:trPr>
        <w:tc>
          <w:tcPr>
            <w:tcW w:w="1260" w:type="dxa"/>
          </w:tcPr>
          <w:p>
            <w:pPr>
              <w:pStyle w:val="TableParagraph"/>
              <w:spacing w:before="94"/>
              <w:ind w:left="107"/>
              <w:rPr>
                <w:sz w:val="20"/>
              </w:rPr>
            </w:pPr>
            <w:r>
              <w:rPr>
                <w:spacing w:val="5"/>
                <w:sz w:val="20"/>
              </w:rPr>
              <w:t>31</w:t>
            </w:r>
          </w:p>
        </w:tc>
        <w:tc>
          <w:tcPr>
            <w:tcW w:w="2856" w:type="dxa"/>
          </w:tcPr>
          <w:p>
            <w:pPr>
              <w:pStyle w:val="TableParagraph"/>
              <w:spacing w:before="94"/>
              <w:ind w:left="108" w:right="110"/>
              <w:jc w:val="both"/>
              <w:rPr>
                <w:sz w:val="20"/>
              </w:rPr>
            </w:pPr>
            <w:r>
              <w:rPr>
                <w:sz w:val="20"/>
              </w:rPr>
              <w:t>Retailing of building materials, open or </w:t>
            </w:r>
            <w:r>
              <w:rPr>
                <w:spacing w:val="-2"/>
                <w:sz w:val="20"/>
              </w:rPr>
              <w:t>enclosed,</w:t>
            </w:r>
          </w:p>
        </w:tc>
        <w:tc>
          <w:tcPr>
            <w:tcW w:w="1276" w:type="dxa"/>
          </w:tcPr>
          <w:p>
            <w:pPr>
              <w:pStyle w:val="TableParagraph"/>
              <w:spacing w:before="94"/>
              <w:ind w:left="108"/>
              <w:rPr>
                <w:sz w:val="20"/>
              </w:rPr>
            </w:pPr>
            <w:r>
              <w:rPr>
                <w:sz w:val="20"/>
              </w:rPr>
              <w:t>1</w:t>
            </w:r>
            <w:r>
              <w:rPr>
                <w:spacing w:val="6"/>
                <w:sz w:val="20"/>
              </w:rPr>
              <w:t> </w:t>
            </w:r>
            <w:r>
              <w:rPr>
                <w:sz w:val="20"/>
              </w:rPr>
              <w:t>or</w:t>
            </w:r>
            <w:r>
              <w:rPr>
                <w:spacing w:val="7"/>
                <w:sz w:val="20"/>
              </w:rPr>
              <w:t> </w:t>
            </w:r>
            <w:r>
              <w:rPr>
                <w:sz w:val="20"/>
              </w:rPr>
              <w:t>2</w:t>
            </w:r>
            <w:r>
              <w:rPr>
                <w:spacing w:val="67"/>
                <w:sz w:val="20"/>
              </w:rPr>
              <w:t> </w:t>
            </w:r>
            <w:r>
              <w:rPr>
                <w:spacing w:val="-10"/>
                <w:sz w:val="20"/>
              </w:rPr>
              <w:t>&amp;</w:t>
            </w:r>
          </w:p>
          <w:p>
            <w:pPr>
              <w:pStyle w:val="TableParagraph"/>
              <w:spacing w:before="1"/>
              <w:ind w:left="108"/>
              <w:rPr>
                <w:sz w:val="20"/>
              </w:rPr>
            </w:pPr>
            <w:r>
              <w:rPr>
                <w:spacing w:val="-2"/>
                <w:sz w:val="20"/>
              </w:rPr>
              <w:t>16,17</w:t>
            </w:r>
          </w:p>
        </w:tc>
        <w:tc>
          <w:tcPr>
            <w:tcW w:w="1209" w:type="dxa"/>
          </w:tcPr>
          <w:p>
            <w:pPr>
              <w:pStyle w:val="TableParagraph"/>
              <w:spacing w:before="94"/>
              <w:ind w:left="109"/>
              <w:rPr>
                <w:sz w:val="20"/>
              </w:rPr>
            </w:pPr>
            <w:r>
              <w:rPr>
                <w:spacing w:val="5"/>
                <w:sz w:val="20"/>
              </w:rPr>
              <w:t>14</w:t>
            </w:r>
          </w:p>
        </w:tc>
        <w:tc>
          <w:tcPr>
            <w:tcW w:w="1199" w:type="dxa"/>
          </w:tcPr>
          <w:p>
            <w:pPr>
              <w:pStyle w:val="TableParagraph"/>
              <w:spacing w:before="94"/>
              <w:ind w:left="110"/>
              <w:rPr>
                <w:sz w:val="20"/>
              </w:rPr>
            </w:pPr>
            <w:r>
              <w:rPr>
                <w:spacing w:val="-10"/>
                <w:sz w:val="20"/>
              </w:rPr>
              <w:t>P</w:t>
            </w:r>
          </w:p>
        </w:tc>
        <w:tc>
          <w:tcPr>
            <w:tcW w:w="2196" w:type="dxa"/>
          </w:tcPr>
          <w:p>
            <w:pPr>
              <w:pStyle w:val="TableParagraph"/>
              <w:tabs>
                <w:tab w:pos="1682" w:val="left" w:leader="none"/>
              </w:tabs>
              <w:spacing w:before="94"/>
              <w:ind w:left="111" w:right="166"/>
              <w:jc w:val="both"/>
              <w:rPr>
                <w:sz w:val="20"/>
              </w:rPr>
            </w:pPr>
            <w:r>
              <w:rPr>
                <w:sz w:val="20"/>
              </w:rPr>
              <w:t>With not </w:t>
            </w:r>
            <w:r>
              <w:rPr>
                <w:sz w:val="20"/>
              </w:rPr>
              <w:t>more</w:t>
            </w:r>
            <w:r>
              <w:rPr>
                <w:spacing w:val="40"/>
                <w:sz w:val="20"/>
              </w:rPr>
              <w:t> </w:t>
            </w:r>
            <w:r>
              <w:rPr>
                <w:sz w:val="20"/>
              </w:rPr>
              <w:t>than 500 sq. m of </w:t>
            </w:r>
            <w:r>
              <w:rPr>
                <w:spacing w:val="-4"/>
                <w:sz w:val="20"/>
              </w:rPr>
              <w:t>area</w:t>
            </w:r>
            <w:r>
              <w:rPr>
                <w:sz w:val="20"/>
              </w:rPr>
              <w:tab/>
            </w:r>
            <w:r>
              <w:rPr>
                <w:spacing w:val="-5"/>
                <w:sz w:val="20"/>
              </w:rPr>
              <w:t>per</w:t>
            </w:r>
          </w:p>
          <w:p>
            <w:pPr>
              <w:pStyle w:val="TableParagraph"/>
              <w:spacing w:before="1"/>
              <w:ind w:left="111"/>
              <w:rPr>
                <w:sz w:val="20"/>
              </w:rPr>
            </w:pPr>
            <w:r>
              <w:rPr>
                <w:spacing w:val="-2"/>
                <w:sz w:val="20"/>
              </w:rPr>
              <w:t>establishment.</w:t>
            </w:r>
          </w:p>
        </w:tc>
      </w:tr>
      <w:tr>
        <w:trPr>
          <w:trHeight w:val="1835" w:hRule="atLeast"/>
        </w:trPr>
        <w:tc>
          <w:tcPr>
            <w:tcW w:w="1260" w:type="dxa"/>
          </w:tcPr>
          <w:p>
            <w:pPr>
              <w:pStyle w:val="TableParagraph"/>
              <w:spacing w:before="94"/>
              <w:ind w:left="107"/>
              <w:rPr>
                <w:sz w:val="20"/>
              </w:rPr>
            </w:pPr>
            <w:r>
              <w:rPr>
                <w:spacing w:val="5"/>
                <w:sz w:val="20"/>
              </w:rPr>
              <w:t>32</w:t>
            </w:r>
          </w:p>
        </w:tc>
        <w:tc>
          <w:tcPr>
            <w:tcW w:w="2856" w:type="dxa"/>
          </w:tcPr>
          <w:p>
            <w:pPr>
              <w:pStyle w:val="TableParagraph"/>
              <w:spacing w:before="94"/>
              <w:ind w:left="108" w:right="108"/>
              <w:jc w:val="both"/>
              <w:rPr>
                <w:sz w:val="20"/>
              </w:rPr>
            </w:pPr>
            <w:r>
              <w:rPr>
                <w:sz w:val="20"/>
              </w:rPr>
              <w:t>Pasteurizing and milk processing plants each employing</w:t>
            </w:r>
            <w:r>
              <w:rPr>
                <w:spacing w:val="39"/>
                <w:sz w:val="20"/>
              </w:rPr>
              <w:t> </w:t>
            </w:r>
            <w:r>
              <w:rPr>
                <w:sz w:val="20"/>
              </w:rPr>
              <w:t>not</w:t>
            </w:r>
            <w:r>
              <w:rPr>
                <w:spacing w:val="42"/>
                <w:sz w:val="20"/>
              </w:rPr>
              <w:t> </w:t>
            </w:r>
            <w:r>
              <w:rPr>
                <w:sz w:val="20"/>
              </w:rPr>
              <w:t>more</w:t>
            </w:r>
            <w:r>
              <w:rPr>
                <w:spacing w:val="38"/>
                <w:sz w:val="20"/>
              </w:rPr>
              <w:t> </w:t>
            </w:r>
            <w:r>
              <w:rPr>
                <w:spacing w:val="-4"/>
                <w:sz w:val="20"/>
              </w:rPr>
              <w:t>than</w:t>
            </w:r>
          </w:p>
          <w:p>
            <w:pPr>
              <w:pStyle w:val="TableParagraph"/>
              <w:ind w:left="108" w:right="108"/>
              <w:jc w:val="both"/>
              <w:rPr>
                <w:sz w:val="20"/>
              </w:rPr>
            </w:pPr>
            <w:r>
              <w:rPr>
                <w:sz w:val="20"/>
              </w:rPr>
              <w:t>9 persons and 7.5 KW motive power within an area not more than 100</w:t>
            </w:r>
            <w:r>
              <w:rPr>
                <w:spacing w:val="40"/>
                <w:sz w:val="20"/>
              </w:rPr>
              <w:t> </w:t>
            </w:r>
            <w:r>
              <w:rPr>
                <w:sz w:val="20"/>
              </w:rPr>
              <w:t>sq. m.</w:t>
            </w:r>
          </w:p>
        </w:tc>
        <w:tc>
          <w:tcPr>
            <w:tcW w:w="1276" w:type="dxa"/>
          </w:tcPr>
          <w:p>
            <w:pPr>
              <w:pStyle w:val="TableParagraph"/>
              <w:spacing w:before="94"/>
              <w:ind w:left="108"/>
              <w:rPr>
                <w:sz w:val="20"/>
              </w:rPr>
            </w:pPr>
            <w:r>
              <w:rPr>
                <w:sz w:val="20"/>
              </w:rPr>
              <w:t>1</w:t>
            </w:r>
            <w:r>
              <w:rPr>
                <w:spacing w:val="9"/>
                <w:sz w:val="20"/>
              </w:rPr>
              <w:t> </w:t>
            </w:r>
            <w:r>
              <w:rPr>
                <w:sz w:val="20"/>
              </w:rPr>
              <w:t>or</w:t>
            </w:r>
            <w:r>
              <w:rPr>
                <w:spacing w:val="12"/>
                <w:sz w:val="20"/>
              </w:rPr>
              <w:t> </w:t>
            </w:r>
            <w:r>
              <w:rPr>
                <w:sz w:val="20"/>
              </w:rPr>
              <w:t>6</w:t>
            </w:r>
            <w:r>
              <w:rPr>
                <w:spacing w:val="9"/>
                <w:sz w:val="20"/>
              </w:rPr>
              <w:t> </w:t>
            </w:r>
            <w:r>
              <w:rPr>
                <w:spacing w:val="-5"/>
                <w:sz w:val="20"/>
              </w:rPr>
              <w:t>or</w:t>
            </w:r>
          </w:p>
          <w:p>
            <w:pPr>
              <w:pStyle w:val="TableParagraph"/>
              <w:tabs>
                <w:tab w:pos="835" w:val="left" w:leader="none"/>
              </w:tabs>
              <w:spacing w:before="1"/>
              <w:ind w:left="108"/>
              <w:rPr>
                <w:sz w:val="20"/>
              </w:rPr>
            </w:pPr>
            <w:r>
              <w:rPr>
                <w:spacing w:val="-5"/>
                <w:sz w:val="20"/>
              </w:rPr>
              <w:t>20</w:t>
            </w:r>
            <w:r>
              <w:rPr>
                <w:sz w:val="20"/>
              </w:rPr>
              <w:tab/>
            </w:r>
            <w:r>
              <w:rPr>
                <w:spacing w:val="-10"/>
                <w:sz w:val="20"/>
              </w:rPr>
              <w:t>&amp;</w:t>
            </w:r>
          </w:p>
          <w:p>
            <w:pPr>
              <w:pStyle w:val="TableParagraph"/>
              <w:ind w:left="108"/>
              <w:rPr>
                <w:sz w:val="20"/>
              </w:rPr>
            </w:pPr>
            <w:r>
              <w:rPr>
                <w:spacing w:val="-2"/>
                <w:sz w:val="20"/>
              </w:rPr>
              <w:t>16,17</w:t>
            </w:r>
          </w:p>
        </w:tc>
        <w:tc>
          <w:tcPr>
            <w:tcW w:w="1209" w:type="dxa"/>
          </w:tcPr>
          <w:p>
            <w:pPr>
              <w:pStyle w:val="TableParagraph"/>
              <w:spacing w:before="94"/>
              <w:ind w:left="109"/>
              <w:rPr>
                <w:sz w:val="20"/>
              </w:rPr>
            </w:pPr>
            <w:r>
              <w:rPr>
                <w:sz w:val="20"/>
              </w:rPr>
              <w:t>1 or 6 </w:t>
            </w:r>
            <w:r>
              <w:rPr>
                <w:sz w:val="20"/>
              </w:rPr>
              <w:t>or</w:t>
            </w:r>
            <w:r>
              <w:rPr>
                <w:sz w:val="20"/>
              </w:rPr>
              <w:t> </w:t>
            </w:r>
            <w:r>
              <w:rPr>
                <w:spacing w:val="-2"/>
                <w:sz w:val="20"/>
              </w:rPr>
              <w:t>20&amp;14</w:t>
            </w:r>
          </w:p>
        </w:tc>
        <w:tc>
          <w:tcPr>
            <w:tcW w:w="1199" w:type="dxa"/>
          </w:tcPr>
          <w:p>
            <w:pPr>
              <w:pStyle w:val="TableParagraph"/>
              <w:spacing w:before="94"/>
              <w:ind w:left="110"/>
              <w:rPr>
                <w:sz w:val="20"/>
              </w:rPr>
            </w:pPr>
            <w:r>
              <w:rPr>
                <w:spacing w:val="-10"/>
                <w:sz w:val="20"/>
              </w:rPr>
              <w:t>P</w:t>
            </w:r>
          </w:p>
        </w:tc>
        <w:tc>
          <w:tcPr>
            <w:tcW w:w="2196" w:type="dxa"/>
          </w:tcPr>
          <w:p>
            <w:pPr>
              <w:pStyle w:val="TableParagraph"/>
              <w:rPr>
                <w:rFonts w:ascii="Times New Roman"/>
                <w:sz w:val="18"/>
              </w:rPr>
            </w:pPr>
          </w:p>
        </w:tc>
      </w:tr>
      <w:tr>
        <w:trPr>
          <w:trHeight w:val="5731" w:hRule="atLeast"/>
        </w:trPr>
        <w:tc>
          <w:tcPr>
            <w:tcW w:w="1260" w:type="dxa"/>
          </w:tcPr>
          <w:p>
            <w:pPr>
              <w:pStyle w:val="TableParagraph"/>
              <w:spacing w:before="94"/>
              <w:ind w:left="107"/>
              <w:rPr>
                <w:sz w:val="20"/>
              </w:rPr>
            </w:pPr>
            <w:r>
              <w:rPr>
                <w:spacing w:val="5"/>
                <w:sz w:val="20"/>
              </w:rPr>
              <w:t>33</w:t>
            </w:r>
          </w:p>
        </w:tc>
        <w:tc>
          <w:tcPr>
            <w:tcW w:w="2856" w:type="dxa"/>
          </w:tcPr>
          <w:p>
            <w:pPr>
              <w:pStyle w:val="TableParagraph"/>
              <w:tabs>
                <w:tab w:pos="1698" w:val="left" w:leader="none"/>
              </w:tabs>
              <w:spacing w:before="94"/>
              <w:ind w:left="108" w:right="109"/>
              <w:jc w:val="both"/>
              <w:rPr>
                <w:sz w:val="20"/>
              </w:rPr>
            </w:pPr>
            <w:r>
              <w:rPr>
                <w:sz w:val="20"/>
              </w:rPr>
              <w:t>Repair, cleaning shops</w:t>
            </w:r>
            <w:r>
              <w:rPr>
                <w:spacing w:val="40"/>
                <w:sz w:val="20"/>
              </w:rPr>
              <w:t> </w:t>
            </w:r>
            <w:r>
              <w:rPr>
                <w:spacing w:val="-4"/>
                <w:sz w:val="20"/>
              </w:rPr>
              <w:t>and</w:t>
            </w:r>
            <w:r>
              <w:rPr>
                <w:sz w:val="20"/>
              </w:rPr>
              <w:tab/>
            </w:r>
            <w:r>
              <w:rPr>
                <w:spacing w:val="-2"/>
                <w:sz w:val="20"/>
              </w:rPr>
              <w:t>analytical </w:t>
            </w:r>
            <w:r>
              <w:rPr>
                <w:sz w:val="20"/>
              </w:rPr>
              <w:t>experimental or testing </w:t>
            </w:r>
            <w:r>
              <w:rPr>
                <w:spacing w:val="-2"/>
                <w:sz w:val="20"/>
              </w:rPr>
              <w:t>laboratories</w:t>
            </w:r>
          </w:p>
        </w:tc>
        <w:tc>
          <w:tcPr>
            <w:tcW w:w="1276" w:type="dxa"/>
          </w:tcPr>
          <w:p>
            <w:pPr>
              <w:pStyle w:val="TableParagraph"/>
              <w:tabs>
                <w:tab w:pos="446" w:val="left" w:leader="none"/>
                <w:tab w:pos="870" w:val="left" w:leader="none"/>
              </w:tabs>
              <w:spacing w:before="94"/>
              <w:ind w:left="108"/>
              <w:rPr>
                <w:sz w:val="20"/>
              </w:rPr>
            </w:pPr>
            <w:r>
              <w:rPr>
                <w:spacing w:val="-10"/>
                <w:sz w:val="20"/>
              </w:rPr>
              <w:t>1</w:t>
            </w:r>
            <w:r>
              <w:rPr>
                <w:sz w:val="20"/>
              </w:rPr>
              <w:tab/>
            </w:r>
            <w:r>
              <w:rPr>
                <w:spacing w:val="-5"/>
                <w:sz w:val="20"/>
              </w:rPr>
              <w:t>or</w:t>
            </w:r>
            <w:r>
              <w:rPr>
                <w:sz w:val="20"/>
              </w:rPr>
              <w:tab/>
            </w:r>
            <w:r>
              <w:rPr>
                <w:spacing w:val="-10"/>
                <w:sz w:val="20"/>
              </w:rPr>
              <w:t>2</w:t>
            </w:r>
          </w:p>
          <w:p>
            <w:pPr>
              <w:pStyle w:val="TableParagraph"/>
              <w:spacing w:line="234" w:lineRule="exact" w:before="1"/>
              <w:ind w:left="108"/>
              <w:rPr>
                <w:sz w:val="20"/>
              </w:rPr>
            </w:pPr>
            <w:r>
              <w:rPr>
                <w:sz w:val="20"/>
              </w:rPr>
              <w:t>or</w:t>
            </w:r>
            <w:r>
              <w:rPr>
                <w:color w:val="000000"/>
                <w:sz w:val="20"/>
                <w:shd w:fill="FFCCFF" w:color="auto" w:val="clear"/>
              </w:rPr>
              <w:t>3</w:t>
            </w:r>
            <w:r>
              <w:rPr>
                <w:color w:val="000000"/>
                <w:spacing w:val="50"/>
                <w:sz w:val="20"/>
                <w:shd w:fill="FFCCFF" w:color="auto" w:val="clear"/>
              </w:rPr>
              <w:t> </w:t>
            </w:r>
            <w:r>
              <w:rPr>
                <w:color w:val="000000"/>
                <w:sz w:val="20"/>
                <w:shd w:fill="FFCCFF" w:color="auto" w:val="clear"/>
              </w:rPr>
              <w:t>or</w:t>
            </w:r>
            <w:r>
              <w:rPr>
                <w:color w:val="000000"/>
                <w:spacing w:val="54"/>
                <w:sz w:val="20"/>
              </w:rPr>
              <w:t> </w:t>
            </w:r>
            <w:r>
              <w:rPr>
                <w:color w:val="000000"/>
                <w:spacing w:val="-10"/>
                <w:sz w:val="20"/>
              </w:rPr>
              <w:t>6</w:t>
            </w:r>
          </w:p>
          <w:p>
            <w:pPr>
              <w:pStyle w:val="TableParagraph"/>
              <w:spacing w:line="234" w:lineRule="exact"/>
              <w:ind w:left="108"/>
              <w:rPr>
                <w:sz w:val="20"/>
              </w:rPr>
            </w:pPr>
            <w:r>
              <w:rPr>
                <w:sz w:val="20"/>
              </w:rPr>
              <w:t>or</w:t>
            </w:r>
            <w:r>
              <w:rPr>
                <w:spacing w:val="72"/>
                <w:sz w:val="20"/>
              </w:rPr>
              <w:t> </w:t>
            </w:r>
            <w:r>
              <w:rPr>
                <w:sz w:val="20"/>
              </w:rPr>
              <w:t>20</w:t>
            </w:r>
            <w:r>
              <w:rPr>
                <w:spacing w:val="71"/>
                <w:sz w:val="20"/>
              </w:rPr>
              <w:t> </w:t>
            </w:r>
            <w:r>
              <w:rPr>
                <w:spacing w:val="-10"/>
                <w:sz w:val="20"/>
              </w:rPr>
              <w:t>&amp;</w:t>
            </w:r>
          </w:p>
          <w:p>
            <w:pPr>
              <w:pStyle w:val="TableParagraph"/>
              <w:ind w:left="108"/>
              <w:rPr>
                <w:sz w:val="20"/>
              </w:rPr>
            </w:pPr>
            <w:r>
              <w:rPr>
                <w:spacing w:val="-2"/>
                <w:sz w:val="20"/>
              </w:rPr>
              <w:t>16,17</w:t>
            </w:r>
          </w:p>
        </w:tc>
        <w:tc>
          <w:tcPr>
            <w:tcW w:w="1209" w:type="dxa"/>
          </w:tcPr>
          <w:p>
            <w:pPr>
              <w:pStyle w:val="TableParagraph"/>
              <w:spacing w:before="94"/>
              <w:ind w:left="109"/>
              <w:rPr>
                <w:sz w:val="20"/>
              </w:rPr>
            </w:pPr>
            <w:r>
              <w:rPr>
                <w:spacing w:val="5"/>
                <w:sz w:val="20"/>
              </w:rPr>
              <w:t>14</w:t>
            </w:r>
          </w:p>
        </w:tc>
        <w:tc>
          <w:tcPr>
            <w:tcW w:w="1199" w:type="dxa"/>
          </w:tcPr>
          <w:p>
            <w:pPr>
              <w:pStyle w:val="TableParagraph"/>
              <w:spacing w:before="94"/>
              <w:ind w:left="110"/>
              <w:rPr>
                <w:sz w:val="20"/>
              </w:rPr>
            </w:pPr>
            <w:r>
              <w:rPr>
                <w:spacing w:val="-10"/>
                <w:sz w:val="20"/>
              </w:rPr>
              <w:t>P</w:t>
            </w:r>
          </w:p>
        </w:tc>
        <w:tc>
          <w:tcPr>
            <w:tcW w:w="2196" w:type="dxa"/>
          </w:tcPr>
          <w:p>
            <w:pPr>
              <w:pStyle w:val="TableParagraph"/>
              <w:tabs>
                <w:tab w:pos="586" w:val="left" w:leader="none"/>
                <w:tab w:pos="943" w:val="left" w:leader="none"/>
                <w:tab w:pos="1098" w:val="left" w:leader="none"/>
                <w:tab w:pos="1501" w:val="left" w:leader="none"/>
                <w:tab w:pos="1532" w:val="left" w:leader="none"/>
                <w:tab w:pos="1626" w:val="left" w:leader="none"/>
              </w:tabs>
              <w:spacing w:before="94"/>
              <w:ind w:left="111" w:right="165"/>
              <w:rPr>
                <w:sz w:val="20"/>
              </w:rPr>
            </w:pPr>
            <w:r>
              <w:rPr>
                <w:spacing w:val="-4"/>
                <w:sz w:val="20"/>
              </w:rPr>
              <w:t>Each</w:t>
            </w:r>
            <w:r>
              <w:rPr>
                <w:sz w:val="20"/>
              </w:rPr>
              <w:tab/>
            </w:r>
            <w:r>
              <w:rPr>
                <w:spacing w:val="-2"/>
                <w:sz w:val="20"/>
              </w:rPr>
              <w:t>employing </w:t>
            </w:r>
            <w:r>
              <w:rPr>
                <w:sz w:val="20"/>
              </w:rPr>
              <w:t>not</w:t>
            </w:r>
            <w:r>
              <w:rPr>
                <w:spacing w:val="40"/>
                <w:sz w:val="20"/>
              </w:rPr>
              <w:t> </w:t>
            </w:r>
            <w:r>
              <w:rPr>
                <w:sz w:val="20"/>
              </w:rPr>
              <w:t>more</w:t>
            </w:r>
            <w:r>
              <w:rPr>
                <w:spacing w:val="40"/>
                <w:sz w:val="20"/>
              </w:rPr>
              <w:t> </w:t>
            </w:r>
            <w:r>
              <w:rPr>
                <w:sz w:val="20"/>
              </w:rPr>
              <w:t>than</w:t>
            </w:r>
            <w:r>
              <w:rPr>
                <w:spacing w:val="40"/>
                <w:sz w:val="20"/>
              </w:rPr>
              <w:t> </w:t>
            </w:r>
            <w:r>
              <w:rPr>
                <w:sz w:val="20"/>
              </w:rPr>
              <w:t>15 persons</w:t>
            </w:r>
            <w:r>
              <w:rPr>
                <w:spacing w:val="40"/>
                <w:sz w:val="20"/>
              </w:rPr>
              <w:t> </w:t>
            </w:r>
            <w:r>
              <w:rPr>
                <w:sz w:val="20"/>
              </w:rPr>
              <w:t>(but</w:t>
            </w:r>
            <w:r>
              <w:rPr>
                <w:spacing w:val="40"/>
                <w:sz w:val="20"/>
              </w:rPr>
              <w:t> </w:t>
            </w:r>
            <w:r>
              <w:rPr>
                <w:sz w:val="20"/>
              </w:rPr>
              <w:t>not </w:t>
            </w:r>
            <w:r>
              <w:rPr>
                <w:spacing w:val="-2"/>
                <w:sz w:val="20"/>
              </w:rPr>
              <w:t>including</w:t>
            </w:r>
            <w:r>
              <w:rPr>
                <w:spacing w:val="80"/>
                <w:sz w:val="20"/>
              </w:rPr>
              <w:t>  </w:t>
            </w:r>
            <w:r>
              <w:rPr>
                <w:spacing w:val="-2"/>
                <w:sz w:val="20"/>
              </w:rPr>
              <w:t>cleaning</w:t>
            </w:r>
            <w:r>
              <w:rPr>
                <w:sz w:val="20"/>
              </w:rPr>
              <w:tab/>
              <w:tab/>
              <w:tab/>
              <w:tab/>
              <w:tab/>
            </w:r>
            <w:r>
              <w:rPr>
                <w:spacing w:val="-4"/>
                <w:sz w:val="20"/>
              </w:rPr>
              <w:t>and </w:t>
            </w:r>
            <w:r>
              <w:rPr>
                <w:spacing w:val="-2"/>
                <w:sz w:val="20"/>
              </w:rPr>
              <w:t>dyeing establishments, </w:t>
            </w:r>
            <w:r>
              <w:rPr>
                <w:sz w:val="20"/>
              </w:rPr>
              <w:t>using</w:t>
            </w:r>
            <w:r>
              <w:rPr>
                <w:spacing w:val="80"/>
                <w:sz w:val="20"/>
              </w:rPr>
              <w:t> </w:t>
            </w:r>
            <w:r>
              <w:rPr>
                <w:sz w:val="20"/>
              </w:rPr>
              <w:t>a</w:t>
            </w:r>
            <w:r>
              <w:rPr>
                <w:spacing w:val="80"/>
                <w:sz w:val="20"/>
              </w:rPr>
              <w:t> </w:t>
            </w:r>
            <w:r>
              <w:rPr>
                <w:sz w:val="20"/>
              </w:rPr>
              <w:t>cleaning </w:t>
            </w:r>
            <w:r>
              <w:rPr>
                <w:spacing w:val="-6"/>
                <w:sz w:val="20"/>
              </w:rPr>
              <w:t>or</w:t>
            </w:r>
            <w:r>
              <w:rPr>
                <w:sz w:val="20"/>
              </w:rPr>
              <w:tab/>
            </w:r>
            <w:r>
              <w:rPr>
                <w:spacing w:val="-2"/>
                <w:sz w:val="20"/>
              </w:rPr>
              <w:t>dyeing</w:t>
            </w:r>
            <w:r>
              <w:rPr>
                <w:sz w:val="20"/>
              </w:rPr>
              <w:tab/>
              <w:tab/>
            </w:r>
            <w:r>
              <w:rPr>
                <w:spacing w:val="-4"/>
                <w:sz w:val="20"/>
              </w:rPr>
              <w:t>fluid </w:t>
            </w:r>
            <w:r>
              <w:rPr>
                <w:spacing w:val="-2"/>
                <w:sz w:val="20"/>
              </w:rPr>
              <w:t>having</w:t>
            </w:r>
            <w:r>
              <w:rPr>
                <w:sz w:val="20"/>
              </w:rPr>
              <w:tab/>
              <w:tab/>
            </w:r>
            <w:r>
              <w:rPr>
                <w:spacing w:val="-10"/>
                <w:sz w:val="20"/>
              </w:rPr>
              <w:t>a</w:t>
            </w:r>
            <w:r>
              <w:rPr>
                <w:sz w:val="20"/>
              </w:rPr>
              <w:tab/>
            </w:r>
            <w:r>
              <w:rPr>
                <w:spacing w:val="-4"/>
                <w:sz w:val="20"/>
              </w:rPr>
              <w:t>flash </w:t>
            </w:r>
            <w:r>
              <w:rPr>
                <w:sz w:val="20"/>
              </w:rPr>
              <w:t>point</w:t>
            </w:r>
            <w:r>
              <w:rPr>
                <w:spacing w:val="31"/>
                <w:sz w:val="20"/>
              </w:rPr>
              <w:t>  </w:t>
            </w:r>
            <w:r>
              <w:rPr>
                <w:sz w:val="20"/>
              </w:rPr>
              <w:t>lower</w:t>
            </w:r>
            <w:r>
              <w:rPr>
                <w:spacing w:val="31"/>
                <w:sz w:val="20"/>
              </w:rPr>
              <w:t>  </w:t>
            </w:r>
            <w:r>
              <w:rPr>
                <w:spacing w:val="-4"/>
                <w:sz w:val="20"/>
              </w:rPr>
              <w:t>than</w:t>
            </w:r>
          </w:p>
          <w:p>
            <w:pPr>
              <w:pStyle w:val="TableParagraph"/>
              <w:tabs>
                <w:tab w:pos="597" w:val="left" w:leader="none"/>
                <w:tab w:pos="929" w:val="left" w:leader="none"/>
                <w:tab w:pos="1475" w:val="left" w:leader="none"/>
                <w:tab w:pos="1561" w:val="left" w:leader="none"/>
                <w:tab w:pos="1641" w:val="left" w:leader="none"/>
                <w:tab w:pos="1763" w:val="left" w:leader="none"/>
                <w:tab w:pos="1831" w:val="left" w:leader="none"/>
              </w:tabs>
              <w:ind w:left="111" w:right="165"/>
              <w:rPr>
                <w:sz w:val="20"/>
              </w:rPr>
            </w:pPr>
            <w:r>
              <w:rPr>
                <w:sz w:val="20"/>
              </w:rPr>
              <w:t>50</w:t>
            </w:r>
            <w:r>
              <w:rPr>
                <w:spacing w:val="40"/>
                <w:sz w:val="20"/>
              </w:rPr>
              <w:t> </w:t>
            </w:r>
            <w:r>
              <w:rPr>
                <w:sz w:val="20"/>
              </w:rPr>
              <w:t>degree</w:t>
            </w:r>
            <w:r>
              <w:rPr>
                <w:spacing w:val="40"/>
                <w:sz w:val="20"/>
              </w:rPr>
              <w:t> </w:t>
            </w:r>
            <w:r>
              <w:rPr>
                <w:sz w:val="20"/>
              </w:rPr>
              <w:t>C</w:t>
            </w:r>
            <w:r>
              <w:rPr>
                <w:spacing w:val="77"/>
                <w:sz w:val="20"/>
              </w:rPr>
              <w:t> </w:t>
            </w:r>
            <w:r>
              <w:rPr>
                <w:sz w:val="20"/>
              </w:rPr>
              <w:t>an</w:t>
            </w:r>
            <w:r>
              <w:rPr>
                <w:sz w:val="20"/>
              </w:rPr>
              <w:t>d</w:t>
            </w:r>
            <w:r>
              <w:rPr>
                <w:sz w:val="20"/>
              </w:rPr>
              <w:t> </w:t>
            </w:r>
            <w:r>
              <w:rPr>
                <w:spacing w:val="-2"/>
                <w:sz w:val="20"/>
              </w:rPr>
              <w:t>machines</w:t>
            </w:r>
            <w:r>
              <w:rPr>
                <w:sz w:val="20"/>
              </w:rPr>
              <w:tab/>
              <w:tab/>
            </w:r>
            <w:r>
              <w:rPr>
                <w:spacing w:val="-4"/>
                <w:sz w:val="20"/>
              </w:rPr>
              <w:t>wit</w:t>
            </w:r>
            <w:r>
              <w:rPr>
                <w:spacing w:val="-4"/>
                <w:sz w:val="20"/>
              </w:rPr>
              <w:t>h</w:t>
            </w:r>
            <w:r>
              <w:rPr>
                <w:spacing w:val="-4"/>
                <w:sz w:val="20"/>
              </w:rPr>
              <w:t> </w:t>
            </w:r>
            <w:r>
              <w:rPr>
                <w:spacing w:val="9"/>
                <w:sz w:val="20"/>
              </w:rPr>
              <w:t>dry-</w:t>
            </w:r>
            <w:r>
              <w:rPr>
                <w:sz w:val="20"/>
              </w:rPr>
              <w:t>load</w:t>
            </w:r>
            <w:r>
              <w:rPr>
                <w:spacing w:val="40"/>
                <w:sz w:val="20"/>
              </w:rPr>
              <w:t> </w:t>
            </w:r>
            <w:r>
              <w:rPr>
                <w:sz w:val="20"/>
              </w:rPr>
              <w:t>capacity not</w:t>
            </w:r>
            <w:r>
              <w:rPr>
                <w:spacing w:val="40"/>
                <w:sz w:val="20"/>
              </w:rPr>
              <w:t> </w:t>
            </w:r>
            <w:r>
              <w:rPr>
                <w:sz w:val="20"/>
              </w:rPr>
              <w:t>exceeding</w:t>
            </w:r>
            <w:r>
              <w:rPr>
                <w:spacing w:val="40"/>
                <w:sz w:val="20"/>
              </w:rPr>
              <w:t> </w:t>
            </w:r>
            <w:r>
              <w:rPr>
                <w:sz w:val="20"/>
              </w:rPr>
              <w:t>30 </w:t>
            </w:r>
            <w:r>
              <w:rPr>
                <w:spacing w:val="-4"/>
                <w:sz w:val="20"/>
              </w:rPr>
              <w:t>kg.</w:t>
            </w:r>
            <w:r>
              <w:rPr>
                <w:sz w:val="20"/>
              </w:rPr>
              <w:tab/>
              <w:tab/>
            </w:r>
            <w:r>
              <w:rPr>
                <w:spacing w:val="-6"/>
                <w:sz w:val="20"/>
              </w:rPr>
              <w:t>or</w:t>
            </w:r>
            <w:r>
              <w:rPr>
                <w:sz w:val="20"/>
              </w:rPr>
              <w:tab/>
              <w:tab/>
              <w:tab/>
            </w:r>
            <w:r>
              <w:rPr>
                <w:spacing w:val="-4"/>
                <w:sz w:val="20"/>
              </w:rPr>
              <w:t>an</w:t>
            </w:r>
            <w:r>
              <w:rPr>
                <w:spacing w:val="-4"/>
                <w:sz w:val="20"/>
              </w:rPr>
              <w:t>y</w:t>
            </w:r>
            <w:r>
              <w:rPr>
                <w:spacing w:val="-4"/>
                <w:sz w:val="20"/>
              </w:rPr>
              <w:t> </w:t>
            </w:r>
            <w:r>
              <w:rPr>
                <w:spacing w:val="-2"/>
                <w:sz w:val="20"/>
              </w:rPr>
              <w:t>establishment carrying</w:t>
            </w:r>
            <w:r>
              <w:rPr>
                <w:sz w:val="20"/>
              </w:rPr>
              <w:tab/>
              <w:tab/>
              <w:tab/>
              <w:tab/>
              <w:tab/>
            </w:r>
            <w:r>
              <w:rPr>
                <w:spacing w:val="-6"/>
                <w:sz w:val="20"/>
              </w:rPr>
              <w:t>o</w:t>
            </w:r>
            <w:r>
              <w:rPr>
                <w:spacing w:val="-6"/>
                <w:sz w:val="20"/>
              </w:rPr>
              <w:t>n</w:t>
            </w:r>
            <w:r>
              <w:rPr>
                <w:spacing w:val="-6"/>
                <w:sz w:val="20"/>
              </w:rPr>
              <w:t> </w:t>
            </w:r>
            <w:r>
              <w:rPr>
                <w:sz w:val="20"/>
              </w:rPr>
              <w:t>activities that are offensive</w:t>
            </w:r>
            <w:r>
              <w:rPr>
                <w:spacing w:val="40"/>
                <w:sz w:val="20"/>
              </w:rPr>
              <w:t> </w:t>
            </w:r>
            <w:r>
              <w:rPr>
                <w:sz w:val="20"/>
              </w:rPr>
              <w:t>because </w:t>
            </w:r>
            <w:r>
              <w:rPr>
                <w:spacing w:val="-6"/>
                <w:sz w:val="20"/>
              </w:rPr>
              <w:t>of</w:t>
            </w:r>
            <w:r>
              <w:rPr>
                <w:sz w:val="20"/>
              </w:rPr>
              <w:tab/>
            </w:r>
            <w:r>
              <w:rPr>
                <w:spacing w:val="-2"/>
                <w:sz w:val="20"/>
              </w:rPr>
              <w:t>emission</w:t>
            </w:r>
            <w:r>
              <w:rPr>
                <w:sz w:val="20"/>
              </w:rPr>
              <w:tab/>
              <w:tab/>
              <w:tab/>
              <w:tab/>
              <w:tab/>
            </w:r>
            <w:r>
              <w:rPr>
                <w:spacing w:val="-6"/>
                <w:sz w:val="20"/>
              </w:rPr>
              <w:t>o</w:t>
            </w:r>
            <w:r>
              <w:rPr>
                <w:spacing w:val="-6"/>
                <w:sz w:val="20"/>
              </w:rPr>
              <w:t>f</w:t>
            </w:r>
            <w:r>
              <w:rPr>
                <w:spacing w:val="-6"/>
                <w:sz w:val="20"/>
              </w:rPr>
              <w:t> </w:t>
            </w:r>
            <w:r>
              <w:rPr>
                <w:spacing w:val="-2"/>
                <w:sz w:val="20"/>
              </w:rPr>
              <w:t>odour,</w:t>
            </w:r>
            <w:r>
              <w:rPr>
                <w:sz w:val="20"/>
              </w:rPr>
              <w:tab/>
              <w:tab/>
            </w:r>
            <w:r>
              <w:rPr>
                <w:spacing w:val="-4"/>
                <w:sz w:val="20"/>
              </w:rPr>
              <w:t>dust</w:t>
            </w:r>
            <w:r>
              <w:rPr>
                <w:spacing w:val="-4"/>
                <w:sz w:val="20"/>
              </w:rPr>
              <w:t>,</w:t>
            </w:r>
          </w:p>
          <w:p>
            <w:pPr>
              <w:pStyle w:val="TableParagraph"/>
              <w:tabs>
                <w:tab w:pos="588" w:val="left" w:leader="none"/>
                <w:tab w:pos="1807" w:val="left" w:leader="none"/>
              </w:tabs>
              <w:spacing w:line="230" w:lineRule="atLeast"/>
              <w:ind w:left="111" w:right="167"/>
              <w:rPr>
                <w:sz w:val="20"/>
              </w:rPr>
            </w:pPr>
            <w:r>
              <w:rPr>
                <w:sz w:val="20"/>
              </w:rPr>
              <w:t>smoke, gas, noise </w:t>
            </w:r>
            <w:r>
              <w:rPr>
                <w:spacing w:val="-5"/>
                <w:sz w:val="20"/>
              </w:rPr>
              <w:t>or</w:t>
            </w:r>
            <w:r>
              <w:rPr>
                <w:sz w:val="20"/>
              </w:rPr>
              <w:tab/>
            </w:r>
            <w:r>
              <w:rPr>
                <w:spacing w:val="-2"/>
                <w:sz w:val="20"/>
              </w:rPr>
              <w:t>vibration</w:t>
            </w:r>
            <w:r>
              <w:rPr>
                <w:sz w:val="20"/>
              </w:rPr>
              <w:tab/>
            </w:r>
            <w:r>
              <w:rPr>
                <w:spacing w:val="-5"/>
                <w:sz w:val="20"/>
              </w:rPr>
              <w:t>or</w:t>
            </w:r>
          </w:p>
        </w:tc>
      </w:tr>
    </w:tbl>
    <w:p>
      <w:pPr>
        <w:pStyle w:val="TableParagraph"/>
        <w:spacing w:after="0" w:line="230" w:lineRule="atLeast"/>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2678" w:hRule="atLeast"/>
        </w:trPr>
        <w:tc>
          <w:tcPr>
            <w:tcW w:w="1260" w:type="dxa"/>
          </w:tcPr>
          <w:p>
            <w:pPr>
              <w:pStyle w:val="TableParagraph"/>
              <w:rPr>
                <w:rFonts w:ascii="Times New Roman"/>
                <w:sz w:val="18"/>
              </w:rPr>
            </w:pPr>
          </w:p>
        </w:tc>
        <w:tc>
          <w:tcPr>
            <w:tcW w:w="2856" w:type="dxa"/>
          </w:tcPr>
          <w:p>
            <w:pPr>
              <w:pStyle w:val="TableParagraph"/>
              <w:rPr>
                <w:rFonts w:ascii="Times New Roman"/>
                <w:sz w:val="18"/>
              </w:rPr>
            </w:pP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tabs>
                <w:tab w:pos="765" w:val="left" w:leader="none"/>
                <w:tab w:pos="1107" w:val="left" w:leader="none"/>
                <w:tab w:pos="1324" w:val="left" w:leader="none"/>
                <w:tab w:pos="1512" w:val="left" w:leader="none"/>
                <w:tab w:pos="1818" w:val="left" w:leader="none"/>
              </w:tabs>
              <w:ind w:left="111" w:right="162"/>
              <w:rPr>
                <w:sz w:val="20"/>
              </w:rPr>
            </w:pPr>
            <w:r>
              <w:rPr>
                <w:spacing w:val="-2"/>
                <w:sz w:val="20"/>
              </w:rPr>
              <w:t>otherwise dangerous</w:t>
            </w:r>
            <w:r>
              <w:rPr>
                <w:sz w:val="20"/>
              </w:rPr>
              <w:tab/>
              <w:tab/>
              <w:tab/>
            </w:r>
            <w:r>
              <w:rPr>
                <w:spacing w:val="-6"/>
                <w:sz w:val="20"/>
              </w:rPr>
              <w:t>to </w:t>
            </w:r>
            <w:r>
              <w:rPr>
                <w:sz w:val="20"/>
              </w:rPr>
              <w:t>public health and </w:t>
            </w:r>
            <w:r>
              <w:rPr>
                <w:spacing w:val="-2"/>
                <w:sz w:val="20"/>
              </w:rPr>
              <w:t>safety),</w:t>
            </w:r>
            <w:r>
              <w:rPr>
                <w:sz w:val="20"/>
              </w:rPr>
              <w:tab/>
            </w:r>
            <w:r>
              <w:rPr>
                <w:spacing w:val="-2"/>
                <w:sz w:val="20"/>
              </w:rPr>
              <w:t>provided </w:t>
            </w:r>
            <w:r>
              <w:rPr>
                <w:spacing w:val="-4"/>
                <w:sz w:val="20"/>
              </w:rPr>
              <w:t>that</w:t>
            </w:r>
            <w:r>
              <w:rPr>
                <w:sz w:val="20"/>
              </w:rPr>
              <w:tab/>
            </w:r>
            <w:r>
              <w:rPr>
                <w:spacing w:val="-4"/>
                <w:sz w:val="20"/>
              </w:rPr>
              <w:t>the</w:t>
            </w:r>
            <w:r>
              <w:rPr>
                <w:sz w:val="20"/>
              </w:rPr>
              <w:tab/>
              <w:tab/>
            </w:r>
            <w:r>
              <w:rPr>
                <w:spacing w:val="-2"/>
                <w:sz w:val="20"/>
              </w:rPr>
              <w:t>motive power</w:t>
            </w:r>
            <w:r>
              <w:rPr>
                <w:spacing w:val="40"/>
                <w:sz w:val="20"/>
              </w:rPr>
              <w:t>  </w:t>
            </w:r>
            <w:r>
              <w:rPr>
                <w:spacing w:val="-2"/>
                <w:sz w:val="20"/>
              </w:rPr>
              <w:t>requirement</w:t>
            </w:r>
            <w:r>
              <w:rPr>
                <w:sz w:val="20"/>
              </w:rPr>
              <w:tab/>
              <w:tab/>
              <w:tab/>
            </w:r>
            <w:r>
              <w:rPr>
                <w:spacing w:val="-51"/>
                <w:sz w:val="20"/>
              </w:rPr>
              <w:t> </w:t>
            </w:r>
            <w:r>
              <w:rPr>
                <w:sz w:val="20"/>
              </w:rPr>
              <w:t>of </w:t>
            </w:r>
            <w:r>
              <w:rPr>
                <w:spacing w:val="-4"/>
                <w:sz w:val="20"/>
              </w:rPr>
              <w:t>each</w:t>
            </w:r>
            <w:r>
              <w:rPr>
                <w:sz w:val="20"/>
              </w:rPr>
              <w:tab/>
              <w:tab/>
              <w:tab/>
              <w:tab/>
            </w:r>
            <w:r>
              <w:rPr>
                <w:spacing w:val="-4"/>
                <w:sz w:val="20"/>
              </w:rPr>
              <w:t>such </w:t>
            </w:r>
            <w:r>
              <w:rPr>
                <w:spacing w:val="-2"/>
                <w:sz w:val="20"/>
              </w:rPr>
              <w:t>establishment</w:t>
            </w:r>
            <w:r>
              <w:rPr>
                <w:spacing w:val="80"/>
                <w:w w:val="150"/>
                <w:sz w:val="20"/>
              </w:rPr>
              <w:t> </w:t>
            </w:r>
            <w:r>
              <w:rPr>
                <w:sz w:val="20"/>
              </w:rPr>
              <w:t>does</w:t>
            </w:r>
            <w:r>
              <w:rPr>
                <w:spacing w:val="80"/>
                <w:sz w:val="20"/>
              </w:rPr>
              <w:t> </w:t>
            </w:r>
            <w:r>
              <w:rPr>
                <w:sz w:val="20"/>
              </w:rPr>
              <w:t>not</w:t>
            </w:r>
            <w:r>
              <w:rPr>
                <w:spacing w:val="80"/>
                <w:sz w:val="20"/>
              </w:rPr>
              <w:t> </w:t>
            </w:r>
            <w:r>
              <w:rPr>
                <w:sz w:val="20"/>
              </w:rPr>
              <w:t>exceed</w:t>
            </w:r>
          </w:p>
          <w:p>
            <w:pPr>
              <w:pStyle w:val="TableParagraph"/>
              <w:ind w:left="111"/>
              <w:rPr>
                <w:sz w:val="20"/>
              </w:rPr>
            </w:pPr>
            <w:r>
              <w:rPr>
                <w:sz w:val="20"/>
              </w:rPr>
              <w:t>7.5</w:t>
            </w:r>
            <w:r>
              <w:rPr>
                <w:spacing w:val="34"/>
                <w:sz w:val="20"/>
              </w:rPr>
              <w:t> </w:t>
            </w:r>
            <w:r>
              <w:rPr>
                <w:spacing w:val="-5"/>
                <w:sz w:val="20"/>
              </w:rPr>
              <w:t>KW.</w:t>
            </w:r>
          </w:p>
        </w:tc>
      </w:tr>
      <w:tr>
        <w:trPr>
          <w:trHeight w:val="897" w:hRule="atLeast"/>
        </w:trPr>
        <w:tc>
          <w:tcPr>
            <w:tcW w:w="1260" w:type="dxa"/>
          </w:tcPr>
          <w:p>
            <w:pPr>
              <w:pStyle w:val="TableParagraph"/>
              <w:spacing w:before="94"/>
              <w:ind w:left="107"/>
              <w:rPr>
                <w:sz w:val="20"/>
              </w:rPr>
            </w:pPr>
            <w:r>
              <w:rPr>
                <w:spacing w:val="5"/>
                <w:sz w:val="20"/>
              </w:rPr>
              <w:t>34</w:t>
            </w:r>
          </w:p>
        </w:tc>
        <w:tc>
          <w:tcPr>
            <w:tcW w:w="2856" w:type="dxa"/>
          </w:tcPr>
          <w:p>
            <w:pPr>
              <w:pStyle w:val="TableParagraph"/>
              <w:spacing w:before="94"/>
              <w:ind w:left="108" w:right="136"/>
              <w:rPr>
                <w:sz w:val="20"/>
              </w:rPr>
            </w:pPr>
            <w:r>
              <w:rPr>
                <w:spacing w:val="7"/>
                <w:sz w:val="20"/>
              </w:rPr>
              <w:t>Paper-</w:t>
            </w:r>
            <w:r>
              <w:rPr>
                <w:sz w:val="20"/>
              </w:rPr>
              <w:t>box</w:t>
            </w:r>
            <w:r>
              <w:rPr>
                <w:spacing w:val="80"/>
                <w:sz w:val="20"/>
              </w:rPr>
              <w:t> </w:t>
            </w:r>
            <w:r>
              <w:rPr>
                <w:spacing w:val="-2"/>
                <w:sz w:val="20"/>
              </w:rPr>
              <w:t>manufacturing,</w:t>
            </w:r>
            <w:r>
              <w:rPr>
                <w:spacing w:val="80"/>
                <w:sz w:val="20"/>
              </w:rPr>
              <w:t>  </w:t>
            </w:r>
            <w:r>
              <w:rPr>
                <w:sz w:val="20"/>
              </w:rPr>
              <w:t>including </w:t>
            </w:r>
            <w:r>
              <w:rPr>
                <w:spacing w:val="10"/>
                <w:sz w:val="20"/>
              </w:rPr>
              <w:t>paper-</w:t>
            </w:r>
            <w:r>
              <w:rPr>
                <w:sz w:val="20"/>
              </w:rPr>
              <w:t>cutting,</w:t>
            </w:r>
          </w:p>
        </w:tc>
        <w:tc>
          <w:tcPr>
            <w:tcW w:w="1276" w:type="dxa"/>
          </w:tcPr>
          <w:p>
            <w:pPr>
              <w:pStyle w:val="TableParagraph"/>
              <w:spacing w:before="94"/>
              <w:ind w:left="108"/>
              <w:rPr>
                <w:sz w:val="20"/>
              </w:rPr>
            </w:pPr>
            <w:r>
              <w:rPr>
                <w:spacing w:val="5"/>
                <w:sz w:val="20"/>
              </w:rPr>
              <w:t>NP</w:t>
            </w:r>
          </w:p>
        </w:tc>
        <w:tc>
          <w:tcPr>
            <w:tcW w:w="1209" w:type="dxa"/>
          </w:tcPr>
          <w:p>
            <w:pPr>
              <w:pStyle w:val="TableParagraph"/>
              <w:spacing w:before="94"/>
              <w:ind w:left="109"/>
              <w:rPr>
                <w:sz w:val="20"/>
              </w:rPr>
            </w:pPr>
            <w:r>
              <w:rPr>
                <w:sz w:val="20"/>
              </w:rPr>
              <w:t>1</w:t>
            </w:r>
            <w:r>
              <w:rPr>
                <w:spacing w:val="17"/>
                <w:sz w:val="20"/>
              </w:rPr>
              <w:t> </w:t>
            </w:r>
            <w:r>
              <w:rPr>
                <w:sz w:val="20"/>
              </w:rPr>
              <w:t>or</w:t>
            </w:r>
            <w:r>
              <w:rPr>
                <w:spacing w:val="21"/>
                <w:sz w:val="20"/>
              </w:rPr>
              <w:t> </w:t>
            </w:r>
            <w:r>
              <w:rPr>
                <w:sz w:val="20"/>
              </w:rPr>
              <w:t>2</w:t>
            </w:r>
            <w:r>
              <w:rPr>
                <w:spacing w:val="17"/>
                <w:sz w:val="20"/>
              </w:rPr>
              <w:t> </w:t>
            </w:r>
            <w:r>
              <w:rPr>
                <w:spacing w:val="-5"/>
                <w:sz w:val="20"/>
              </w:rPr>
              <w:t>or</w:t>
            </w:r>
          </w:p>
          <w:p>
            <w:pPr>
              <w:pStyle w:val="TableParagraph"/>
              <w:tabs>
                <w:tab w:pos="810" w:val="left" w:leader="none"/>
              </w:tabs>
              <w:spacing w:before="1"/>
              <w:ind w:left="109"/>
              <w:rPr>
                <w:sz w:val="20"/>
              </w:rPr>
            </w:pPr>
            <w:r>
              <w:rPr>
                <w:spacing w:val="-10"/>
                <w:sz w:val="20"/>
              </w:rPr>
              <w:t>5</w:t>
            </w:r>
            <w:r>
              <w:rPr>
                <w:sz w:val="20"/>
              </w:rPr>
              <w:tab/>
            </w:r>
            <w:r>
              <w:rPr>
                <w:spacing w:val="-5"/>
                <w:sz w:val="20"/>
              </w:rPr>
              <w:t>or</w:t>
            </w:r>
          </w:p>
          <w:p>
            <w:pPr>
              <w:pStyle w:val="TableParagraph"/>
              <w:ind w:left="109"/>
              <w:rPr>
                <w:sz w:val="20"/>
              </w:rPr>
            </w:pPr>
            <w:r>
              <w:rPr>
                <w:spacing w:val="-4"/>
                <w:sz w:val="20"/>
              </w:rPr>
              <w:t>6,14</w:t>
            </w:r>
          </w:p>
        </w:tc>
        <w:tc>
          <w:tcPr>
            <w:tcW w:w="1199" w:type="dxa"/>
          </w:tcPr>
          <w:p>
            <w:pPr>
              <w:pStyle w:val="TableParagraph"/>
              <w:spacing w:before="94"/>
              <w:ind w:left="110"/>
              <w:rPr>
                <w:sz w:val="20"/>
              </w:rPr>
            </w:pPr>
            <w:r>
              <w:rPr>
                <w:spacing w:val="-10"/>
                <w:sz w:val="20"/>
              </w:rPr>
              <w:t>P</w:t>
            </w:r>
          </w:p>
        </w:tc>
        <w:tc>
          <w:tcPr>
            <w:tcW w:w="2196" w:type="dxa"/>
          </w:tcPr>
          <w:p>
            <w:pPr>
              <w:pStyle w:val="TableParagraph"/>
              <w:rPr>
                <w:rFonts w:ascii="Times New Roman"/>
                <w:sz w:val="18"/>
              </w:rPr>
            </w:pPr>
          </w:p>
        </w:tc>
      </w:tr>
      <w:tr>
        <w:trPr>
          <w:trHeight w:val="1130" w:hRule="atLeast"/>
        </w:trPr>
        <w:tc>
          <w:tcPr>
            <w:tcW w:w="1260" w:type="dxa"/>
          </w:tcPr>
          <w:p>
            <w:pPr>
              <w:pStyle w:val="TableParagraph"/>
              <w:spacing w:before="94"/>
              <w:ind w:left="107"/>
              <w:rPr>
                <w:sz w:val="20"/>
              </w:rPr>
            </w:pPr>
            <w:r>
              <w:rPr>
                <w:spacing w:val="5"/>
                <w:sz w:val="20"/>
              </w:rPr>
              <w:t>35</w:t>
            </w:r>
          </w:p>
        </w:tc>
        <w:tc>
          <w:tcPr>
            <w:tcW w:w="2856" w:type="dxa"/>
          </w:tcPr>
          <w:p>
            <w:pPr>
              <w:pStyle w:val="TableParagraph"/>
              <w:tabs>
                <w:tab w:pos="1087" w:val="left" w:leader="none"/>
                <w:tab w:pos="1452" w:val="left" w:leader="none"/>
                <w:tab w:pos="1806" w:val="left" w:leader="none"/>
                <w:tab w:pos="2449" w:val="left" w:leader="none"/>
              </w:tabs>
              <w:spacing w:before="94"/>
              <w:ind w:left="108" w:right="110"/>
              <w:rPr>
                <w:sz w:val="20"/>
              </w:rPr>
            </w:pPr>
            <w:r>
              <w:rPr>
                <w:spacing w:val="-2"/>
                <w:sz w:val="20"/>
              </w:rPr>
              <w:t>Establishments</w:t>
            </w:r>
            <w:r>
              <w:rPr>
                <w:spacing w:val="80"/>
                <w:w w:val="150"/>
                <w:sz w:val="20"/>
              </w:rPr>
              <w:t>  </w:t>
            </w:r>
            <w:r>
              <w:rPr>
                <w:spacing w:val="-2"/>
                <w:sz w:val="20"/>
              </w:rPr>
              <w:t>requiring</w:t>
            </w:r>
            <w:r>
              <w:rPr>
                <w:sz w:val="20"/>
              </w:rPr>
              <w:tab/>
              <w:tab/>
            </w:r>
            <w:r>
              <w:rPr>
                <w:spacing w:val="-4"/>
                <w:sz w:val="20"/>
              </w:rPr>
              <w:t>power</w:t>
            </w:r>
            <w:r>
              <w:rPr>
                <w:sz w:val="20"/>
              </w:rPr>
              <w:tab/>
            </w:r>
            <w:r>
              <w:rPr>
                <w:spacing w:val="-4"/>
                <w:sz w:val="20"/>
              </w:rPr>
              <w:t>for </w:t>
            </w:r>
            <w:r>
              <w:rPr>
                <w:spacing w:val="-2"/>
                <w:sz w:val="20"/>
              </w:rPr>
              <w:t>sealing</w:t>
            </w:r>
            <w:r>
              <w:rPr>
                <w:sz w:val="20"/>
              </w:rPr>
              <w:tab/>
            </w:r>
            <w:r>
              <w:rPr>
                <w:spacing w:val="-2"/>
                <w:sz w:val="20"/>
              </w:rPr>
              <w:t>tins,</w:t>
            </w:r>
            <w:r>
              <w:rPr>
                <w:sz w:val="20"/>
              </w:rPr>
              <w:tab/>
            </w:r>
            <w:r>
              <w:rPr>
                <w:spacing w:val="-2"/>
                <w:sz w:val="20"/>
              </w:rPr>
              <w:t>package, </w:t>
            </w:r>
            <w:r>
              <w:rPr>
                <w:spacing w:val="-4"/>
                <w:sz w:val="20"/>
              </w:rPr>
              <w:t>etc.</w:t>
            </w:r>
          </w:p>
        </w:tc>
        <w:tc>
          <w:tcPr>
            <w:tcW w:w="1276" w:type="dxa"/>
          </w:tcPr>
          <w:p>
            <w:pPr>
              <w:pStyle w:val="TableParagraph"/>
              <w:spacing w:before="94"/>
              <w:ind w:left="108"/>
              <w:rPr>
                <w:sz w:val="20"/>
              </w:rPr>
            </w:pPr>
            <w:r>
              <w:rPr>
                <w:spacing w:val="5"/>
                <w:sz w:val="20"/>
              </w:rPr>
              <w:t>NP</w:t>
            </w:r>
          </w:p>
        </w:tc>
        <w:tc>
          <w:tcPr>
            <w:tcW w:w="1209" w:type="dxa"/>
          </w:tcPr>
          <w:p>
            <w:pPr>
              <w:pStyle w:val="TableParagraph"/>
              <w:spacing w:before="94"/>
              <w:ind w:left="109"/>
              <w:rPr>
                <w:sz w:val="20"/>
              </w:rPr>
            </w:pPr>
            <w:r>
              <w:rPr>
                <w:sz w:val="20"/>
              </w:rPr>
              <w:t>1</w:t>
            </w:r>
            <w:r>
              <w:rPr>
                <w:spacing w:val="17"/>
                <w:sz w:val="20"/>
              </w:rPr>
              <w:t> </w:t>
            </w:r>
            <w:r>
              <w:rPr>
                <w:sz w:val="20"/>
              </w:rPr>
              <w:t>or</w:t>
            </w:r>
            <w:r>
              <w:rPr>
                <w:spacing w:val="21"/>
                <w:sz w:val="20"/>
              </w:rPr>
              <w:t> </w:t>
            </w:r>
            <w:r>
              <w:rPr>
                <w:sz w:val="20"/>
              </w:rPr>
              <w:t>2</w:t>
            </w:r>
            <w:r>
              <w:rPr>
                <w:spacing w:val="17"/>
                <w:sz w:val="20"/>
              </w:rPr>
              <w:t> </w:t>
            </w:r>
            <w:r>
              <w:rPr>
                <w:spacing w:val="-5"/>
                <w:sz w:val="20"/>
              </w:rPr>
              <w:t>or</w:t>
            </w:r>
          </w:p>
          <w:p>
            <w:pPr>
              <w:pStyle w:val="TableParagraph"/>
              <w:tabs>
                <w:tab w:pos="810" w:val="left" w:leader="none"/>
              </w:tabs>
              <w:spacing w:line="234" w:lineRule="exact" w:before="1"/>
              <w:ind w:left="109"/>
              <w:rPr>
                <w:sz w:val="20"/>
              </w:rPr>
            </w:pPr>
            <w:r>
              <w:rPr>
                <w:spacing w:val="-10"/>
                <w:sz w:val="20"/>
              </w:rPr>
              <w:t>5</w:t>
            </w:r>
            <w:r>
              <w:rPr>
                <w:sz w:val="20"/>
              </w:rPr>
              <w:tab/>
            </w:r>
            <w:r>
              <w:rPr>
                <w:spacing w:val="-5"/>
                <w:sz w:val="20"/>
              </w:rPr>
              <w:t>or</w:t>
            </w:r>
          </w:p>
          <w:p>
            <w:pPr>
              <w:pStyle w:val="TableParagraph"/>
              <w:spacing w:line="234" w:lineRule="exact"/>
              <w:ind w:left="109"/>
              <w:rPr>
                <w:sz w:val="20"/>
              </w:rPr>
            </w:pPr>
            <w:r>
              <w:rPr>
                <w:spacing w:val="-4"/>
                <w:sz w:val="20"/>
              </w:rPr>
              <w:t>6,14</w:t>
            </w:r>
          </w:p>
        </w:tc>
        <w:tc>
          <w:tcPr>
            <w:tcW w:w="1199" w:type="dxa"/>
          </w:tcPr>
          <w:p>
            <w:pPr>
              <w:pStyle w:val="TableParagraph"/>
              <w:spacing w:before="94"/>
              <w:ind w:left="110"/>
              <w:rPr>
                <w:sz w:val="20"/>
              </w:rPr>
            </w:pPr>
            <w:r>
              <w:rPr>
                <w:spacing w:val="-10"/>
                <w:sz w:val="20"/>
              </w:rPr>
              <w:t>P</w:t>
            </w:r>
          </w:p>
        </w:tc>
        <w:tc>
          <w:tcPr>
            <w:tcW w:w="2196" w:type="dxa"/>
          </w:tcPr>
          <w:p>
            <w:pPr>
              <w:pStyle w:val="TableParagraph"/>
              <w:rPr>
                <w:rFonts w:ascii="Times New Roman"/>
                <w:sz w:val="18"/>
              </w:rPr>
            </w:pPr>
          </w:p>
        </w:tc>
      </w:tr>
      <w:tr>
        <w:trPr>
          <w:trHeight w:val="1600" w:hRule="atLeast"/>
        </w:trPr>
        <w:tc>
          <w:tcPr>
            <w:tcW w:w="1260" w:type="dxa"/>
          </w:tcPr>
          <w:p>
            <w:pPr>
              <w:pStyle w:val="TableParagraph"/>
              <w:spacing w:before="94"/>
              <w:ind w:left="107"/>
              <w:rPr>
                <w:sz w:val="20"/>
              </w:rPr>
            </w:pPr>
            <w:r>
              <w:rPr>
                <w:spacing w:val="5"/>
                <w:sz w:val="20"/>
              </w:rPr>
              <w:t>36</w:t>
            </w:r>
          </w:p>
        </w:tc>
        <w:tc>
          <w:tcPr>
            <w:tcW w:w="2856" w:type="dxa"/>
          </w:tcPr>
          <w:p>
            <w:pPr>
              <w:pStyle w:val="TableParagraph"/>
              <w:tabs>
                <w:tab w:pos="1014" w:val="left" w:leader="none"/>
                <w:tab w:pos="2533" w:val="left" w:leader="none"/>
              </w:tabs>
              <w:spacing w:before="94"/>
              <w:ind w:left="108" w:right="109"/>
              <w:rPr>
                <w:sz w:val="20"/>
              </w:rPr>
            </w:pPr>
            <w:r>
              <w:rPr>
                <w:spacing w:val="-4"/>
                <w:sz w:val="20"/>
              </w:rPr>
              <w:t>Ice</w:t>
            </w:r>
            <w:r>
              <w:rPr>
                <w:sz w:val="20"/>
              </w:rPr>
              <w:tab/>
            </w:r>
            <w:r>
              <w:rPr>
                <w:spacing w:val="-2"/>
                <w:sz w:val="20"/>
              </w:rPr>
              <w:t>factories</w:t>
            </w:r>
            <w:r>
              <w:rPr>
                <w:sz w:val="20"/>
              </w:rPr>
              <w:tab/>
            </w:r>
            <w:r>
              <w:rPr>
                <w:spacing w:val="-6"/>
                <w:sz w:val="20"/>
              </w:rPr>
              <w:t>in </w:t>
            </w:r>
            <w:r>
              <w:rPr>
                <w:sz w:val="20"/>
              </w:rPr>
              <w:t>independent buildings.</w:t>
            </w:r>
          </w:p>
        </w:tc>
        <w:tc>
          <w:tcPr>
            <w:tcW w:w="1276" w:type="dxa"/>
          </w:tcPr>
          <w:p>
            <w:pPr>
              <w:pStyle w:val="TableParagraph"/>
              <w:spacing w:before="94"/>
              <w:ind w:left="108"/>
              <w:rPr>
                <w:sz w:val="20"/>
              </w:rPr>
            </w:pPr>
            <w:r>
              <w:rPr>
                <w:sz w:val="20"/>
              </w:rPr>
              <w:t>1</w:t>
            </w:r>
            <w:r>
              <w:rPr>
                <w:spacing w:val="6"/>
                <w:sz w:val="20"/>
              </w:rPr>
              <w:t> </w:t>
            </w:r>
            <w:r>
              <w:rPr>
                <w:sz w:val="20"/>
              </w:rPr>
              <w:t>or</w:t>
            </w:r>
            <w:r>
              <w:rPr>
                <w:spacing w:val="7"/>
                <w:sz w:val="20"/>
              </w:rPr>
              <w:t> </w:t>
            </w:r>
            <w:r>
              <w:rPr>
                <w:sz w:val="20"/>
              </w:rPr>
              <w:t>2</w:t>
            </w:r>
            <w:r>
              <w:rPr>
                <w:spacing w:val="67"/>
                <w:sz w:val="20"/>
              </w:rPr>
              <w:t> </w:t>
            </w:r>
            <w:r>
              <w:rPr>
                <w:spacing w:val="-10"/>
                <w:sz w:val="20"/>
              </w:rPr>
              <w:t>&amp;</w:t>
            </w:r>
          </w:p>
          <w:p>
            <w:pPr>
              <w:pStyle w:val="TableParagraph"/>
              <w:spacing w:before="1"/>
              <w:ind w:left="108"/>
              <w:rPr>
                <w:sz w:val="20"/>
              </w:rPr>
            </w:pPr>
            <w:r>
              <w:rPr>
                <w:spacing w:val="-2"/>
                <w:sz w:val="20"/>
              </w:rPr>
              <w:t>16,17</w:t>
            </w:r>
          </w:p>
        </w:tc>
        <w:tc>
          <w:tcPr>
            <w:tcW w:w="1209" w:type="dxa"/>
          </w:tcPr>
          <w:p>
            <w:pPr>
              <w:pStyle w:val="TableParagraph"/>
              <w:spacing w:before="94"/>
              <w:ind w:left="109"/>
              <w:rPr>
                <w:sz w:val="20"/>
              </w:rPr>
            </w:pPr>
            <w:r>
              <w:rPr>
                <w:sz w:val="20"/>
              </w:rPr>
              <w:t>1</w:t>
            </w:r>
            <w:r>
              <w:rPr>
                <w:spacing w:val="31"/>
                <w:sz w:val="20"/>
              </w:rPr>
              <w:t>  </w:t>
            </w:r>
            <w:r>
              <w:rPr>
                <w:sz w:val="20"/>
              </w:rPr>
              <w:t>or</w:t>
            </w:r>
            <w:r>
              <w:rPr>
                <w:spacing w:val="32"/>
                <w:sz w:val="20"/>
              </w:rPr>
              <w:t>  </w:t>
            </w:r>
            <w:r>
              <w:rPr>
                <w:spacing w:val="-5"/>
                <w:sz w:val="20"/>
              </w:rPr>
              <w:t>2,</w:t>
            </w:r>
          </w:p>
          <w:p>
            <w:pPr>
              <w:pStyle w:val="TableParagraph"/>
              <w:spacing w:before="1"/>
              <w:ind w:left="109"/>
              <w:rPr>
                <w:sz w:val="20"/>
              </w:rPr>
            </w:pPr>
            <w:r>
              <w:rPr>
                <w:spacing w:val="5"/>
                <w:sz w:val="20"/>
              </w:rPr>
              <w:t>14</w:t>
            </w:r>
          </w:p>
        </w:tc>
        <w:tc>
          <w:tcPr>
            <w:tcW w:w="1199" w:type="dxa"/>
          </w:tcPr>
          <w:p>
            <w:pPr>
              <w:pStyle w:val="TableParagraph"/>
              <w:spacing w:before="94"/>
              <w:ind w:left="110"/>
              <w:rPr>
                <w:sz w:val="20"/>
              </w:rPr>
            </w:pPr>
            <w:r>
              <w:rPr>
                <w:spacing w:val="-10"/>
                <w:sz w:val="20"/>
              </w:rPr>
              <w:t>P</w:t>
            </w:r>
          </w:p>
        </w:tc>
        <w:tc>
          <w:tcPr>
            <w:tcW w:w="2196" w:type="dxa"/>
          </w:tcPr>
          <w:p>
            <w:pPr>
              <w:pStyle w:val="TableParagraph"/>
              <w:spacing w:before="94"/>
              <w:ind w:left="111" w:right="165"/>
              <w:jc w:val="both"/>
              <w:rPr>
                <w:sz w:val="20"/>
              </w:rPr>
            </w:pPr>
            <w:r>
              <w:rPr>
                <w:sz w:val="20"/>
              </w:rPr>
              <w:t>In case of R &amp; </w:t>
            </w:r>
            <w:r>
              <w:rPr>
                <w:sz w:val="20"/>
              </w:rPr>
              <w:t>C Zone each with an area of not more than 250 sq. m</w:t>
            </w:r>
            <w:r>
              <w:rPr>
                <w:spacing w:val="40"/>
                <w:sz w:val="20"/>
              </w:rPr>
              <w:t> </w:t>
            </w:r>
            <w:r>
              <w:rPr>
                <w:sz w:val="20"/>
              </w:rPr>
              <w:t>and power not more than 34 KW</w:t>
            </w:r>
          </w:p>
        </w:tc>
      </w:tr>
      <w:tr>
        <w:trPr>
          <w:trHeight w:val="662" w:hRule="atLeast"/>
        </w:trPr>
        <w:tc>
          <w:tcPr>
            <w:tcW w:w="1260" w:type="dxa"/>
          </w:tcPr>
          <w:p>
            <w:pPr>
              <w:pStyle w:val="TableParagraph"/>
              <w:spacing w:before="94"/>
              <w:ind w:left="107"/>
              <w:rPr>
                <w:sz w:val="20"/>
              </w:rPr>
            </w:pPr>
            <w:r>
              <w:rPr>
                <w:spacing w:val="5"/>
                <w:sz w:val="20"/>
              </w:rPr>
              <w:t>37</w:t>
            </w:r>
          </w:p>
        </w:tc>
        <w:tc>
          <w:tcPr>
            <w:tcW w:w="2856" w:type="dxa"/>
          </w:tcPr>
          <w:p>
            <w:pPr>
              <w:pStyle w:val="TableParagraph"/>
              <w:spacing w:before="94"/>
              <w:ind w:left="108"/>
              <w:rPr>
                <w:sz w:val="20"/>
              </w:rPr>
            </w:pPr>
            <w:r>
              <w:rPr>
                <w:spacing w:val="-2"/>
                <w:sz w:val="20"/>
              </w:rPr>
              <w:t>Aquariums.</w:t>
            </w:r>
          </w:p>
        </w:tc>
        <w:tc>
          <w:tcPr>
            <w:tcW w:w="1276" w:type="dxa"/>
          </w:tcPr>
          <w:p>
            <w:pPr>
              <w:pStyle w:val="TableParagraph"/>
              <w:tabs>
                <w:tab w:pos="835" w:val="left" w:leader="none"/>
              </w:tabs>
              <w:spacing w:before="94"/>
              <w:ind w:left="108"/>
              <w:rPr>
                <w:sz w:val="20"/>
              </w:rPr>
            </w:pPr>
            <w:r>
              <w:rPr>
                <w:spacing w:val="-10"/>
                <w:sz w:val="20"/>
              </w:rPr>
              <w:t>1</w:t>
            </w:r>
            <w:r>
              <w:rPr>
                <w:sz w:val="20"/>
              </w:rPr>
              <w:tab/>
            </w:r>
            <w:r>
              <w:rPr>
                <w:spacing w:val="-10"/>
                <w:sz w:val="20"/>
              </w:rPr>
              <w:t>&amp;</w:t>
            </w:r>
          </w:p>
          <w:p>
            <w:pPr>
              <w:pStyle w:val="TableParagraph"/>
              <w:spacing w:before="1"/>
              <w:ind w:left="108"/>
              <w:rPr>
                <w:sz w:val="20"/>
              </w:rPr>
            </w:pPr>
            <w:r>
              <w:rPr>
                <w:spacing w:val="-2"/>
                <w:sz w:val="20"/>
              </w:rPr>
              <w:t>16,17</w:t>
            </w:r>
          </w:p>
        </w:tc>
        <w:tc>
          <w:tcPr>
            <w:tcW w:w="1209" w:type="dxa"/>
          </w:tcPr>
          <w:p>
            <w:pPr>
              <w:pStyle w:val="TableParagraph"/>
              <w:spacing w:before="94"/>
              <w:ind w:left="109"/>
              <w:rPr>
                <w:sz w:val="20"/>
              </w:rPr>
            </w:pPr>
            <w:r>
              <w:rPr>
                <w:spacing w:val="-4"/>
                <w:sz w:val="20"/>
              </w:rPr>
              <w:t>1,16</w:t>
            </w:r>
          </w:p>
        </w:tc>
        <w:tc>
          <w:tcPr>
            <w:tcW w:w="1199" w:type="dxa"/>
          </w:tcPr>
          <w:p>
            <w:pPr>
              <w:pStyle w:val="TableParagraph"/>
              <w:spacing w:before="94"/>
              <w:ind w:left="110"/>
              <w:rPr>
                <w:sz w:val="20"/>
              </w:rPr>
            </w:pPr>
            <w:r>
              <w:rPr>
                <w:spacing w:val="-10"/>
                <w:sz w:val="20"/>
              </w:rPr>
              <w:t>P</w:t>
            </w:r>
          </w:p>
        </w:tc>
        <w:tc>
          <w:tcPr>
            <w:tcW w:w="2196" w:type="dxa"/>
          </w:tcPr>
          <w:p>
            <w:pPr>
              <w:pStyle w:val="TableParagraph"/>
              <w:rPr>
                <w:rFonts w:ascii="Times New Roman"/>
                <w:sz w:val="18"/>
              </w:rPr>
            </w:pPr>
          </w:p>
        </w:tc>
      </w:tr>
      <w:tr>
        <w:trPr>
          <w:trHeight w:val="897" w:hRule="atLeast"/>
        </w:trPr>
        <w:tc>
          <w:tcPr>
            <w:tcW w:w="1260" w:type="dxa"/>
          </w:tcPr>
          <w:p>
            <w:pPr>
              <w:pStyle w:val="TableParagraph"/>
              <w:spacing w:before="94"/>
              <w:ind w:left="107"/>
              <w:rPr>
                <w:sz w:val="20"/>
              </w:rPr>
            </w:pPr>
            <w:r>
              <w:rPr>
                <w:spacing w:val="5"/>
                <w:sz w:val="20"/>
              </w:rPr>
              <w:t>38</w:t>
            </w:r>
          </w:p>
        </w:tc>
        <w:tc>
          <w:tcPr>
            <w:tcW w:w="2856" w:type="dxa"/>
          </w:tcPr>
          <w:p>
            <w:pPr>
              <w:pStyle w:val="TableParagraph"/>
              <w:tabs>
                <w:tab w:pos="1598" w:val="left" w:leader="none"/>
              </w:tabs>
              <w:spacing w:before="94"/>
              <w:ind w:left="108" w:right="853"/>
              <w:rPr>
                <w:sz w:val="20"/>
              </w:rPr>
            </w:pPr>
            <w:r>
              <w:rPr>
                <w:spacing w:val="-2"/>
                <w:sz w:val="20"/>
              </w:rPr>
              <w:t>Cemeteries</w:t>
            </w:r>
            <w:r>
              <w:rPr>
                <w:sz w:val="20"/>
              </w:rPr>
              <w:tab/>
            </w:r>
            <w:r>
              <w:rPr>
                <w:spacing w:val="-4"/>
                <w:sz w:val="20"/>
              </w:rPr>
              <w:t>and </w:t>
            </w:r>
            <w:r>
              <w:rPr>
                <w:spacing w:val="-2"/>
                <w:sz w:val="20"/>
              </w:rPr>
              <w:t>graveyards</w:t>
            </w:r>
          </w:p>
        </w:tc>
        <w:tc>
          <w:tcPr>
            <w:tcW w:w="1276" w:type="dxa"/>
          </w:tcPr>
          <w:p>
            <w:pPr>
              <w:pStyle w:val="TableParagraph"/>
              <w:spacing w:before="94"/>
              <w:ind w:left="108"/>
              <w:rPr>
                <w:sz w:val="20"/>
              </w:rPr>
            </w:pPr>
            <w:r>
              <w:rPr>
                <w:spacing w:val="-10"/>
                <w:sz w:val="20"/>
              </w:rPr>
              <w:t>1</w:t>
            </w:r>
          </w:p>
        </w:tc>
        <w:tc>
          <w:tcPr>
            <w:tcW w:w="1209" w:type="dxa"/>
          </w:tcPr>
          <w:p>
            <w:pPr>
              <w:pStyle w:val="TableParagraph"/>
              <w:spacing w:before="94"/>
              <w:ind w:left="109"/>
              <w:rPr>
                <w:sz w:val="20"/>
              </w:rPr>
            </w:pPr>
            <w:r>
              <w:rPr>
                <w:spacing w:val="-10"/>
                <w:sz w:val="20"/>
              </w:rPr>
              <w:t>1</w:t>
            </w:r>
          </w:p>
        </w:tc>
        <w:tc>
          <w:tcPr>
            <w:tcW w:w="1199" w:type="dxa"/>
          </w:tcPr>
          <w:p>
            <w:pPr>
              <w:pStyle w:val="TableParagraph"/>
              <w:spacing w:before="94"/>
              <w:ind w:left="110"/>
              <w:rPr>
                <w:sz w:val="20"/>
              </w:rPr>
            </w:pPr>
            <w:r>
              <w:rPr>
                <w:spacing w:val="-10"/>
                <w:sz w:val="20"/>
              </w:rPr>
              <w:t>1</w:t>
            </w:r>
          </w:p>
        </w:tc>
        <w:tc>
          <w:tcPr>
            <w:tcW w:w="2196" w:type="dxa"/>
          </w:tcPr>
          <w:p>
            <w:pPr>
              <w:pStyle w:val="TableParagraph"/>
              <w:tabs>
                <w:tab w:pos="1818" w:val="left" w:leader="none"/>
              </w:tabs>
              <w:spacing w:before="94"/>
              <w:ind w:left="111" w:right="165"/>
              <w:jc w:val="both"/>
              <w:rPr>
                <w:sz w:val="20"/>
              </w:rPr>
            </w:pPr>
            <w:r>
              <w:rPr>
                <w:spacing w:val="-2"/>
                <w:sz w:val="20"/>
              </w:rPr>
              <w:t>subject</w:t>
            </w:r>
            <w:r>
              <w:rPr>
                <w:sz w:val="20"/>
              </w:rPr>
              <w:tab/>
            </w:r>
            <w:r>
              <w:rPr>
                <w:spacing w:val="-6"/>
                <w:sz w:val="20"/>
              </w:rPr>
              <w:t>to </w:t>
            </w:r>
            <w:r>
              <w:rPr>
                <w:sz w:val="20"/>
              </w:rPr>
              <w:t>approval of the </w:t>
            </w:r>
            <w:r>
              <w:rPr>
                <w:spacing w:val="-2"/>
                <w:sz w:val="20"/>
              </w:rPr>
              <w:t>Corporation</w:t>
            </w:r>
          </w:p>
        </w:tc>
      </w:tr>
      <w:tr>
        <w:trPr>
          <w:trHeight w:val="894" w:hRule="atLeast"/>
        </w:trPr>
        <w:tc>
          <w:tcPr>
            <w:tcW w:w="1260" w:type="dxa"/>
          </w:tcPr>
          <w:p>
            <w:pPr>
              <w:pStyle w:val="TableParagraph"/>
              <w:spacing w:before="94"/>
              <w:ind w:left="107"/>
              <w:rPr>
                <w:sz w:val="20"/>
              </w:rPr>
            </w:pPr>
            <w:r>
              <w:rPr>
                <w:spacing w:val="5"/>
                <w:sz w:val="20"/>
              </w:rPr>
              <w:t>39</w:t>
            </w:r>
          </w:p>
        </w:tc>
        <w:tc>
          <w:tcPr>
            <w:tcW w:w="2856" w:type="dxa"/>
          </w:tcPr>
          <w:p>
            <w:pPr>
              <w:pStyle w:val="TableParagraph"/>
              <w:spacing w:before="94"/>
              <w:ind w:left="108" w:right="265" w:firstLine="74"/>
              <w:jc w:val="both"/>
              <w:rPr>
                <w:sz w:val="20"/>
              </w:rPr>
            </w:pPr>
            <w:r>
              <w:rPr>
                <w:sz w:val="20"/>
              </w:rPr>
              <w:t>Private parks, gardens and playfields on non- reserved plots</w:t>
            </w:r>
          </w:p>
        </w:tc>
        <w:tc>
          <w:tcPr>
            <w:tcW w:w="1276" w:type="dxa"/>
          </w:tcPr>
          <w:p>
            <w:pPr>
              <w:pStyle w:val="TableParagraph"/>
              <w:spacing w:before="94"/>
              <w:ind w:left="108"/>
              <w:rPr>
                <w:sz w:val="20"/>
              </w:rPr>
            </w:pPr>
            <w:r>
              <w:rPr>
                <w:spacing w:val="-10"/>
                <w:sz w:val="20"/>
              </w:rPr>
              <w:t>1</w:t>
            </w:r>
          </w:p>
        </w:tc>
        <w:tc>
          <w:tcPr>
            <w:tcW w:w="1209" w:type="dxa"/>
          </w:tcPr>
          <w:p>
            <w:pPr>
              <w:pStyle w:val="TableParagraph"/>
              <w:spacing w:before="94"/>
              <w:ind w:left="109"/>
              <w:rPr>
                <w:sz w:val="20"/>
              </w:rPr>
            </w:pPr>
            <w:r>
              <w:rPr>
                <w:spacing w:val="-10"/>
                <w:sz w:val="20"/>
              </w:rPr>
              <w:t>1</w:t>
            </w:r>
          </w:p>
        </w:tc>
        <w:tc>
          <w:tcPr>
            <w:tcW w:w="1199" w:type="dxa"/>
          </w:tcPr>
          <w:p>
            <w:pPr>
              <w:pStyle w:val="TableParagraph"/>
              <w:spacing w:before="94"/>
              <w:ind w:left="110"/>
              <w:rPr>
                <w:sz w:val="20"/>
              </w:rPr>
            </w:pPr>
            <w:r>
              <w:rPr>
                <w:spacing w:val="-10"/>
                <w:sz w:val="20"/>
              </w:rPr>
              <w:t>1</w:t>
            </w:r>
          </w:p>
        </w:tc>
        <w:tc>
          <w:tcPr>
            <w:tcW w:w="2196" w:type="dxa"/>
          </w:tcPr>
          <w:p>
            <w:pPr>
              <w:pStyle w:val="TableParagraph"/>
              <w:rPr>
                <w:rFonts w:ascii="Times New Roman"/>
                <w:sz w:val="18"/>
              </w:rPr>
            </w:pPr>
          </w:p>
        </w:tc>
      </w:tr>
      <w:tr>
        <w:trPr>
          <w:trHeight w:val="662" w:hRule="atLeast"/>
        </w:trPr>
        <w:tc>
          <w:tcPr>
            <w:tcW w:w="1260" w:type="dxa"/>
          </w:tcPr>
          <w:p>
            <w:pPr>
              <w:pStyle w:val="TableParagraph"/>
              <w:spacing w:before="95"/>
              <w:ind w:left="107"/>
              <w:rPr>
                <w:sz w:val="20"/>
              </w:rPr>
            </w:pPr>
            <w:r>
              <w:rPr>
                <w:spacing w:val="5"/>
                <w:sz w:val="20"/>
              </w:rPr>
              <w:t>40</w:t>
            </w:r>
          </w:p>
        </w:tc>
        <w:tc>
          <w:tcPr>
            <w:tcW w:w="2856" w:type="dxa"/>
          </w:tcPr>
          <w:p>
            <w:pPr>
              <w:pStyle w:val="TableParagraph"/>
              <w:spacing w:before="95"/>
              <w:ind w:left="108" w:right="148"/>
              <w:rPr>
                <w:sz w:val="20"/>
              </w:rPr>
            </w:pPr>
            <w:r>
              <w:rPr>
                <w:sz w:val="20"/>
              </w:rPr>
              <w:t>Stadiums,</w:t>
            </w:r>
            <w:r>
              <w:rPr>
                <w:spacing w:val="40"/>
                <w:sz w:val="20"/>
              </w:rPr>
              <w:t> </w:t>
            </w:r>
            <w:r>
              <w:rPr>
                <w:sz w:val="20"/>
              </w:rPr>
              <w:t>golf</w:t>
            </w:r>
            <w:r>
              <w:rPr>
                <w:spacing w:val="40"/>
                <w:sz w:val="20"/>
              </w:rPr>
              <w:t> </w:t>
            </w:r>
            <w:r>
              <w:rPr>
                <w:sz w:val="20"/>
              </w:rPr>
              <w:t>courses and amusement parks</w:t>
            </w:r>
          </w:p>
        </w:tc>
        <w:tc>
          <w:tcPr>
            <w:tcW w:w="1276" w:type="dxa"/>
          </w:tcPr>
          <w:p>
            <w:pPr>
              <w:pStyle w:val="TableParagraph"/>
              <w:spacing w:before="95"/>
              <w:ind w:left="108"/>
              <w:rPr>
                <w:sz w:val="20"/>
              </w:rPr>
            </w:pPr>
            <w:r>
              <w:rPr>
                <w:spacing w:val="-10"/>
                <w:sz w:val="20"/>
              </w:rPr>
              <w:t>1</w:t>
            </w:r>
          </w:p>
        </w:tc>
        <w:tc>
          <w:tcPr>
            <w:tcW w:w="1209" w:type="dxa"/>
          </w:tcPr>
          <w:p>
            <w:pPr>
              <w:pStyle w:val="TableParagraph"/>
              <w:spacing w:before="95"/>
              <w:ind w:left="109"/>
              <w:rPr>
                <w:sz w:val="20"/>
              </w:rPr>
            </w:pPr>
            <w:r>
              <w:rPr>
                <w:sz w:val="20"/>
              </w:rPr>
              <w:t>1,</w:t>
            </w:r>
            <w:r>
              <w:rPr>
                <w:spacing w:val="26"/>
                <w:sz w:val="20"/>
              </w:rPr>
              <w:t> </w:t>
            </w:r>
            <w:r>
              <w:rPr>
                <w:spacing w:val="-5"/>
                <w:sz w:val="20"/>
              </w:rPr>
              <w:t>16</w:t>
            </w:r>
          </w:p>
        </w:tc>
        <w:tc>
          <w:tcPr>
            <w:tcW w:w="1199" w:type="dxa"/>
          </w:tcPr>
          <w:p>
            <w:pPr>
              <w:pStyle w:val="TableParagraph"/>
              <w:spacing w:before="95"/>
              <w:ind w:left="110"/>
              <w:rPr>
                <w:sz w:val="20"/>
              </w:rPr>
            </w:pPr>
            <w:r>
              <w:rPr>
                <w:spacing w:val="5"/>
                <w:sz w:val="20"/>
              </w:rPr>
              <w:t>NP</w:t>
            </w:r>
          </w:p>
        </w:tc>
        <w:tc>
          <w:tcPr>
            <w:tcW w:w="2196" w:type="dxa"/>
          </w:tcPr>
          <w:p>
            <w:pPr>
              <w:pStyle w:val="TableParagraph"/>
              <w:rPr>
                <w:rFonts w:ascii="Times New Roman"/>
                <w:sz w:val="18"/>
              </w:rPr>
            </w:pPr>
          </w:p>
        </w:tc>
      </w:tr>
      <w:tr>
        <w:trPr>
          <w:trHeight w:val="1365" w:hRule="atLeast"/>
        </w:trPr>
        <w:tc>
          <w:tcPr>
            <w:tcW w:w="1260" w:type="dxa"/>
          </w:tcPr>
          <w:p>
            <w:pPr>
              <w:pStyle w:val="TableParagraph"/>
              <w:spacing w:before="94"/>
              <w:ind w:left="107"/>
              <w:rPr>
                <w:sz w:val="20"/>
              </w:rPr>
            </w:pPr>
            <w:r>
              <w:rPr>
                <w:spacing w:val="5"/>
                <w:sz w:val="20"/>
              </w:rPr>
              <w:t>41</w:t>
            </w:r>
          </w:p>
        </w:tc>
        <w:tc>
          <w:tcPr>
            <w:tcW w:w="2856" w:type="dxa"/>
          </w:tcPr>
          <w:p>
            <w:pPr>
              <w:pStyle w:val="TableParagraph"/>
              <w:tabs>
                <w:tab w:pos="1711" w:val="left" w:leader="none"/>
              </w:tabs>
              <w:spacing w:before="94"/>
              <w:ind w:left="108" w:right="180"/>
              <w:jc w:val="both"/>
              <w:rPr>
                <w:sz w:val="20"/>
              </w:rPr>
            </w:pPr>
            <w:r>
              <w:rPr>
                <w:sz w:val="20"/>
              </w:rPr>
              <w:t>Libraries, reading halls, study</w:t>
            </w:r>
            <w:r>
              <w:rPr>
                <w:spacing w:val="40"/>
                <w:sz w:val="20"/>
              </w:rPr>
              <w:t> </w:t>
            </w:r>
            <w:r>
              <w:rPr>
                <w:sz w:val="20"/>
              </w:rPr>
              <w:t>halls,</w:t>
            </w:r>
            <w:r>
              <w:rPr>
                <w:spacing w:val="40"/>
                <w:sz w:val="20"/>
              </w:rPr>
              <w:t> </w:t>
            </w:r>
            <w:r>
              <w:rPr>
                <w:sz w:val="20"/>
              </w:rPr>
              <w:t>creative</w:t>
            </w:r>
            <w:r>
              <w:rPr>
                <w:spacing w:val="80"/>
                <w:sz w:val="20"/>
              </w:rPr>
              <w:t> </w:t>
            </w:r>
            <w:r>
              <w:rPr>
                <w:spacing w:val="-2"/>
                <w:sz w:val="20"/>
              </w:rPr>
              <w:t>arts,</w:t>
            </w:r>
            <w:r>
              <w:rPr>
                <w:sz w:val="20"/>
              </w:rPr>
              <w:tab/>
            </w:r>
            <w:r>
              <w:rPr>
                <w:spacing w:val="-2"/>
                <w:sz w:val="20"/>
              </w:rPr>
              <w:t>archives, </w:t>
            </w:r>
            <w:r>
              <w:rPr>
                <w:sz w:val="20"/>
              </w:rPr>
              <w:t>museums and other cultural activities</w:t>
            </w:r>
          </w:p>
        </w:tc>
        <w:tc>
          <w:tcPr>
            <w:tcW w:w="1276" w:type="dxa"/>
          </w:tcPr>
          <w:p>
            <w:pPr>
              <w:pStyle w:val="TableParagraph"/>
              <w:spacing w:before="94"/>
              <w:ind w:left="108"/>
              <w:rPr>
                <w:sz w:val="20"/>
              </w:rPr>
            </w:pPr>
            <w:r>
              <w:rPr>
                <w:sz w:val="20"/>
              </w:rPr>
              <w:t>1</w:t>
            </w:r>
            <w:r>
              <w:rPr>
                <w:spacing w:val="40"/>
                <w:sz w:val="20"/>
              </w:rPr>
              <w:t> </w:t>
            </w:r>
            <w:r>
              <w:rPr>
                <w:sz w:val="20"/>
              </w:rPr>
              <w:t>or</w:t>
            </w:r>
            <w:r>
              <w:rPr>
                <w:spacing w:val="40"/>
                <w:sz w:val="20"/>
              </w:rPr>
              <w:t> </w:t>
            </w:r>
            <w:r>
              <w:rPr>
                <w:sz w:val="20"/>
              </w:rPr>
              <w:t>2</w:t>
            </w:r>
            <w:r>
              <w:rPr>
                <w:spacing w:val="40"/>
                <w:sz w:val="20"/>
              </w:rPr>
              <w:t> </w:t>
            </w:r>
            <w:r>
              <w:rPr>
                <w:spacing w:val="-5"/>
                <w:sz w:val="20"/>
              </w:rPr>
              <w:t>or</w:t>
            </w:r>
          </w:p>
          <w:p>
            <w:pPr>
              <w:pStyle w:val="TableParagraph"/>
              <w:spacing w:before="1"/>
              <w:ind w:left="108"/>
              <w:rPr>
                <w:sz w:val="20"/>
              </w:rPr>
            </w:pPr>
            <w:r>
              <w:rPr>
                <w:sz w:val="20"/>
              </w:rPr>
              <w:t>3</w:t>
            </w:r>
            <w:r>
              <w:rPr>
                <w:spacing w:val="40"/>
                <w:sz w:val="20"/>
              </w:rPr>
              <w:t> </w:t>
            </w:r>
            <w:r>
              <w:rPr>
                <w:sz w:val="20"/>
              </w:rPr>
              <w:t>or</w:t>
            </w:r>
            <w:r>
              <w:rPr>
                <w:spacing w:val="40"/>
                <w:sz w:val="20"/>
              </w:rPr>
              <w:t> </w:t>
            </w:r>
            <w:r>
              <w:rPr>
                <w:sz w:val="20"/>
              </w:rPr>
              <w:t>6</w:t>
            </w:r>
            <w:r>
              <w:rPr>
                <w:spacing w:val="40"/>
                <w:sz w:val="20"/>
              </w:rPr>
              <w:t> </w:t>
            </w:r>
            <w:r>
              <w:rPr>
                <w:spacing w:val="-5"/>
                <w:sz w:val="20"/>
              </w:rPr>
              <w:t>or</w:t>
            </w:r>
          </w:p>
          <w:p>
            <w:pPr>
              <w:pStyle w:val="TableParagraph"/>
              <w:ind w:left="108"/>
              <w:rPr>
                <w:sz w:val="20"/>
              </w:rPr>
            </w:pPr>
            <w:r>
              <w:rPr>
                <w:sz w:val="20"/>
              </w:rPr>
              <w:t>9</w:t>
            </w:r>
            <w:r>
              <w:rPr>
                <w:spacing w:val="16"/>
                <w:sz w:val="20"/>
              </w:rPr>
              <w:t> </w:t>
            </w:r>
            <w:r>
              <w:rPr>
                <w:sz w:val="20"/>
              </w:rPr>
              <w:t>&amp;</w:t>
            </w:r>
            <w:r>
              <w:rPr>
                <w:spacing w:val="20"/>
                <w:sz w:val="20"/>
              </w:rPr>
              <w:t> </w:t>
            </w:r>
            <w:r>
              <w:rPr>
                <w:spacing w:val="-5"/>
                <w:sz w:val="20"/>
              </w:rPr>
              <w:t>14</w:t>
            </w:r>
          </w:p>
        </w:tc>
        <w:tc>
          <w:tcPr>
            <w:tcW w:w="1209" w:type="dxa"/>
          </w:tcPr>
          <w:p>
            <w:pPr>
              <w:pStyle w:val="TableParagraph"/>
              <w:spacing w:before="94"/>
              <w:ind w:left="109"/>
              <w:rPr>
                <w:sz w:val="20"/>
              </w:rPr>
            </w:pPr>
            <w:r>
              <w:rPr>
                <w:spacing w:val="5"/>
                <w:sz w:val="20"/>
              </w:rPr>
              <w:t>14</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701" w:val="left" w:leader="none"/>
                <w:tab w:pos="1818" w:val="left" w:leader="none"/>
              </w:tabs>
              <w:spacing w:before="94"/>
              <w:ind w:left="111" w:right="165"/>
              <w:rPr>
                <w:sz w:val="20"/>
              </w:rPr>
            </w:pPr>
            <w:r>
              <w:rPr>
                <w:sz w:val="20"/>
              </w:rPr>
              <w:t>In case of 3,6,9 in </w:t>
            </w:r>
            <w:r>
              <w:rPr>
                <w:spacing w:val="-2"/>
                <w:sz w:val="20"/>
              </w:rPr>
              <w:t>residential</w:t>
            </w:r>
            <w:r>
              <w:rPr>
                <w:spacing w:val="40"/>
                <w:sz w:val="20"/>
              </w:rPr>
              <w:t> </w:t>
            </w:r>
            <w:r>
              <w:rPr>
                <w:sz w:val="20"/>
              </w:rPr>
              <w:t>premises</w:t>
            </w:r>
            <w:r>
              <w:rPr>
                <w:spacing w:val="40"/>
                <w:sz w:val="20"/>
              </w:rPr>
              <w:t> </w:t>
            </w:r>
            <w:r>
              <w:rPr>
                <w:sz w:val="20"/>
              </w:rPr>
              <w:t>it</w:t>
            </w:r>
            <w:r>
              <w:rPr>
                <w:spacing w:val="4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tc>
      </w:tr>
      <w:tr>
        <w:trPr>
          <w:trHeight w:val="565" w:hRule="atLeast"/>
        </w:trPr>
        <w:tc>
          <w:tcPr>
            <w:tcW w:w="1260" w:type="dxa"/>
          </w:tcPr>
          <w:p>
            <w:pPr>
              <w:pStyle w:val="TableParagraph"/>
              <w:spacing w:before="94"/>
              <w:ind w:left="107"/>
              <w:rPr>
                <w:sz w:val="20"/>
              </w:rPr>
            </w:pPr>
            <w:r>
              <w:rPr>
                <w:spacing w:val="5"/>
                <w:sz w:val="20"/>
              </w:rPr>
              <w:t>42</w:t>
            </w:r>
          </w:p>
        </w:tc>
        <w:tc>
          <w:tcPr>
            <w:tcW w:w="2856" w:type="dxa"/>
          </w:tcPr>
          <w:p>
            <w:pPr>
              <w:pStyle w:val="TableParagraph"/>
              <w:tabs>
                <w:tab w:pos="1805" w:val="left" w:leader="none"/>
              </w:tabs>
              <w:spacing w:before="94"/>
              <w:ind w:left="108"/>
              <w:rPr>
                <w:sz w:val="20"/>
              </w:rPr>
            </w:pPr>
            <w:r>
              <w:rPr>
                <w:spacing w:val="-2"/>
                <w:sz w:val="20"/>
              </w:rPr>
              <w:t>Places</w:t>
            </w:r>
            <w:r>
              <w:rPr>
                <w:sz w:val="20"/>
              </w:rPr>
              <w:tab/>
            </w:r>
            <w:r>
              <w:rPr>
                <w:spacing w:val="-5"/>
                <w:sz w:val="20"/>
              </w:rPr>
              <w:t>of</w:t>
            </w:r>
          </w:p>
          <w:p>
            <w:pPr>
              <w:pStyle w:val="TableParagraph"/>
              <w:spacing w:line="216" w:lineRule="exact"/>
              <w:ind w:left="108"/>
              <w:rPr>
                <w:sz w:val="20"/>
              </w:rPr>
            </w:pPr>
            <w:r>
              <w:rPr>
                <w:spacing w:val="-2"/>
                <w:sz w:val="20"/>
              </w:rPr>
              <w:t>worship,</w:t>
            </w:r>
          </w:p>
        </w:tc>
        <w:tc>
          <w:tcPr>
            <w:tcW w:w="1276" w:type="dxa"/>
          </w:tcPr>
          <w:p>
            <w:pPr>
              <w:pStyle w:val="TableParagraph"/>
              <w:spacing w:before="94"/>
              <w:ind w:left="108"/>
              <w:rPr>
                <w:sz w:val="20"/>
              </w:rPr>
            </w:pPr>
            <w:r>
              <w:rPr>
                <w:sz w:val="20"/>
              </w:rPr>
              <w:t>1</w:t>
            </w:r>
            <w:r>
              <w:rPr>
                <w:spacing w:val="56"/>
                <w:sz w:val="20"/>
              </w:rPr>
              <w:t> </w:t>
            </w:r>
            <w:r>
              <w:rPr>
                <w:sz w:val="20"/>
              </w:rPr>
              <w:t>or</w:t>
            </w:r>
            <w:r>
              <w:rPr>
                <w:spacing w:val="56"/>
                <w:sz w:val="20"/>
              </w:rPr>
              <w:t> </w:t>
            </w:r>
            <w:r>
              <w:rPr>
                <w:sz w:val="20"/>
              </w:rPr>
              <w:t>2</w:t>
            </w:r>
            <w:r>
              <w:rPr>
                <w:spacing w:val="56"/>
                <w:sz w:val="20"/>
              </w:rPr>
              <w:t> </w:t>
            </w:r>
            <w:r>
              <w:rPr>
                <w:spacing w:val="-10"/>
                <w:sz w:val="20"/>
              </w:rPr>
              <w:t>&amp;</w:t>
            </w:r>
          </w:p>
          <w:p>
            <w:pPr>
              <w:pStyle w:val="TableParagraph"/>
              <w:tabs>
                <w:tab w:pos="926" w:val="left" w:leader="none"/>
              </w:tabs>
              <w:spacing w:line="216" w:lineRule="exact"/>
              <w:ind w:left="108"/>
              <w:rPr>
                <w:sz w:val="20"/>
              </w:rPr>
            </w:pPr>
            <w:r>
              <w:rPr>
                <w:spacing w:val="-2"/>
                <w:sz w:val="20"/>
              </w:rPr>
              <w:t>14,21</w:t>
            </w:r>
            <w:r>
              <w:rPr>
                <w:sz w:val="20"/>
              </w:rPr>
              <w:tab/>
            </w:r>
            <w:r>
              <w:rPr>
                <w:spacing w:val="-10"/>
                <w:sz w:val="20"/>
              </w:rPr>
              <w:t>&amp;</w:t>
            </w:r>
          </w:p>
        </w:tc>
        <w:tc>
          <w:tcPr>
            <w:tcW w:w="1209" w:type="dxa"/>
          </w:tcPr>
          <w:p>
            <w:pPr>
              <w:pStyle w:val="TableParagraph"/>
              <w:spacing w:before="94"/>
              <w:ind w:left="109"/>
              <w:rPr>
                <w:sz w:val="20"/>
              </w:rPr>
            </w:pPr>
            <w:r>
              <w:rPr>
                <w:sz w:val="20"/>
              </w:rPr>
              <w:t>1</w:t>
            </w:r>
            <w:r>
              <w:rPr>
                <w:spacing w:val="33"/>
                <w:sz w:val="20"/>
              </w:rPr>
              <w:t> </w:t>
            </w:r>
            <w:r>
              <w:rPr>
                <w:sz w:val="20"/>
              </w:rPr>
              <w:t>or</w:t>
            </w:r>
            <w:r>
              <w:rPr>
                <w:spacing w:val="37"/>
                <w:sz w:val="20"/>
              </w:rPr>
              <w:t> </w:t>
            </w:r>
            <w:r>
              <w:rPr>
                <w:sz w:val="20"/>
              </w:rPr>
              <w:t>2</w:t>
            </w:r>
            <w:r>
              <w:rPr>
                <w:spacing w:val="33"/>
                <w:sz w:val="20"/>
              </w:rPr>
              <w:t> </w:t>
            </w:r>
            <w:r>
              <w:rPr>
                <w:spacing w:val="-10"/>
                <w:sz w:val="20"/>
              </w:rPr>
              <w:t>&amp;</w:t>
            </w:r>
          </w:p>
          <w:p>
            <w:pPr>
              <w:pStyle w:val="TableParagraph"/>
              <w:spacing w:line="216" w:lineRule="exact"/>
              <w:ind w:left="109"/>
              <w:rPr>
                <w:sz w:val="20"/>
              </w:rPr>
            </w:pPr>
            <w:r>
              <w:rPr>
                <w:sz w:val="20"/>
              </w:rPr>
              <w:t>14,21</w:t>
            </w:r>
            <w:r>
              <w:rPr>
                <w:spacing w:val="27"/>
                <w:sz w:val="20"/>
              </w:rPr>
              <w:t>  </w:t>
            </w:r>
            <w:r>
              <w:rPr>
                <w:spacing w:val="-10"/>
                <w:sz w:val="20"/>
              </w:rPr>
              <w:t>&amp;</w:t>
            </w:r>
          </w:p>
        </w:tc>
        <w:tc>
          <w:tcPr>
            <w:tcW w:w="1199" w:type="dxa"/>
          </w:tcPr>
          <w:p>
            <w:pPr>
              <w:pStyle w:val="TableParagraph"/>
              <w:spacing w:before="94"/>
              <w:ind w:left="110"/>
              <w:rPr>
                <w:sz w:val="20"/>
              </w:rPr>
            </w:pPr>
            <w:r>
              <w:rPr>
                <w:sz w:val="20"/>
              </w:rPr>
              <w:t>1</w:t>
            </w:r>
            <w:r>
              <w:rPr>
                <w:spacing w:val="31"/>
                <w:sz w:val="20"/>
              </w:rPr>
              <w:t> </w:t>
            </w:r>
            <w:r>
              <w:rPr>
                <w:sz w:val="20"/>
              </w:rPr>
              <w:t>or</w:t>
            </w:r>
            <w:r>
              <w:rPr>
                <w:spacing w:val="32"/>
                <w:sz w:val="20"/>
              </w:rPr>
              <w:t> </w:t>
            </w:r>
            <w:r>
              <w:rPr>
                <w:sz w:val="20"/>
              </w:rPr>
              <w:t>2</w:t>
            </w:r>
            <w:r>
              <w:rPr>
                <w:spacing w:val="31"/>
                <w:sz w:val="20"/>
              </w:rPr>
              <w:t> </w:t>
            </w:r>
            <w:r>
              <w:rPr>
                <w:spacing w:val="-10"/>
                <w:sz w:val="20"/>
              </w:rPr>
              <w:t>&amp;</w:t>
            </w:r>
          </w:p>
          <w:p>
            <w:pPr>
              <w:pStyle w:val="TableParagraph"/>
              <w:spacing w:line="216" w:lineRule="exact"/>
              <w:ind w:left="110"/>
              <w:rPr>
                <w:sz w:val="20"/>
              </w:rPr>
            </w:pPr>
            <w:r>
              <w:rPr>
                <w:sz w:val="20"/>
              </w:rPr>
              <w:t>14,21</w:t>
            </w:r>
            <w:r>
              <w:rPr>
                <w:spacing w:val="77"/>
                <w:w w:val="150"/>
                <w:sz w:val="20"/>
              </w:rPr>
              <w:t> </w:t>
            </w:r>
            <w:r>
              <w:rPr>
                <w:spacing w:val="-10"/>
                <w:sz w:val="20"/>
              </w:rPr>
              <w:t>&amp;</w:t>
            </w:r>
          </w:p>
        </w:tc>
        <w:tc>
          <w:tcPr>
            <w:tcW w:w="2196" w:type="dxa"/>
          </w:tcPr>
          <w:p>
            <w:pPr>
              <w:pStyle w:val="TableParagraph"/>
              <w:rPr>
                <w:rFonts w:ascii="Times New Roman"/>
                <w:sz w:val="18"/>
              </w:rPr>
            </w:pPr>
          </w:p>
        </w:tc>
      </w:tr>
    </w:tbl>
    <w:p>
      <w:pPr>
        <w:pStyle w:val="TableParagraph"/>
        <w:spacing w:after="0"/>
        <w:rPr>
          <w:rFonts w:ascii="Times New Roman"/>
          <w:sz w:val="18"/>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566" w:hRule="atLeast"/>
        </w:trPr>
        <w:tc>
          <w:tcPr>
            <w:tcW w:w="1260" w:type="dxa"/>
          </w:tcPr>
          <w:p>
            <w:pPr>
              <w:pStyle w:val="TableParagraph"/>
              <w:rPr>
                <w:rFonts w:ascii="Times New Roman"/>
                <w:sz w:val="18"/>
              </w:rPr>
            </w:pPr>
          </w:p>
        </w:tc>
        <w:tc>
          <w:tcPr>
            <w:tcW w:w="2856" w:type="dxa"/>
          </w:tcPr>
          <w:p>
            <w:pPr>
              <w:pStyle w:val="TableParagraph"/>
              <w:ind w:left="108" w:right="1102"/>
              <w:rPr>
                <w:sz w:val="20"/>
              </w:rPr>
            </w:pPr>
            <w:r>
              <w:rPr>
                <w:spacing w:val="-2"/>
                <w:sz w:val="20"/>
              </w:rPr>
              <w:t>Religious buildings.</w:t>
            </w:r>
          </w:p>
        </w:tc>
        <w:tc>
          <w:tcPr>
            <w:tcW w:w="1276" w:type="dxa"/>
          </w:tcPr>
          <w:p>
            <w:pPr>
              <w:pStyle w:val="TableParagraph"/>
              <w:spacing w:line="233" w:lineRule="exact"/>
              <w:ind w:left="108"/>
              <w:rPr>
                <w:sz w:val="20"/>
              </w:rPr>
            </w:pPr>
            <w:r>
              <w:rPr>
                <w:spacing w:val="-5"/>
                <w:sz w:val="20"/>
              </w:rPr>
              <w:t>22</w:t>
            </w:r>
          </w:p>
        </w:tc>
        <w:tc>
          <w:tcPr>
            <w:tcW w:w="1209" w:type="dxa"/>
          </w:tcPr>
          <w:p>
            <w:pPr>
              <w:pStyle w:val="TableParagraph"/>
              <w:spacing w:line="233" w:lineRule="exact"/>
              <w:ind w:left="109"/>
              <w:rPr>
                <w:sz w:val="20"/>
              </w:rPr>
            </w:pPr>
            <w:r>
              <w:rPr>
                <w:spacing w:val="5"/>
                <w:sz w:val="20"/>
              </w:rPr>
              <w:t>22</w:t>
            </w:r>
          </w:p>
        </w:tc>
        <w:tc>
          <w:tcPr>
            <w:tcW w:w="1199" w:type="dxa"/>
          </w:tcPr>
          <w:p>
            <w:pPr>
              <w:pStyle w:val="TableParagraph"/>
              <w:spacing w:line="233" w:lineRule="exact"/>
              <w:ind w:left="110"/>
              <w:rPr>
                <w:sz w:val="20"/>
              </w:rPr>
            </w:pPr>
            <w:r>
              <w:rPr>
                <w:spacing w:val="5"/>
                <w:sz w:val="20"/>
              </w:rPr>
              <w:t>22</w:t>
            </w:r>
          </w:p>
        </w:tc>
        <w:tc>
          <w:tcPr>
            <w:tcW w:w="2196" w:type="dxa"/>
          </w:tcPr>
          <w:p>
            <w:pPr>
              <w:pStyle w:val="TableParagraph"/>
              <w:rPr>
                <w:rFonts w:ascii="Times New Roman"/>
                <w:sz w:val="18"/>
              </w:rPr>
            </w:pPr>
          </w:p>
        </w:tc>
      </w:tr>
      <w:tr>
        <w:trPr>
          <w:trHeight w:val="1365" w:hRule="atLeast"/>
        </w:trPr>
        <w:tc>
          <w:tcPr>
            <w:tcW w:w="1260" w:type="dxa"/>
          </w:tcPr>
          <w:p>
            <w:pPr>
              <w:pStyle w:val="TableParagraph"/>
              <w:spacing w:before="94"/>
              <w:ind w:left="107"/>
              <w:rPr>
                <w:sz w:val="20"/>
              </w:rPr>
            </w:pPr>
            <w:r>
              <w:rPr>
                <w:spacing w:val="5"/>
                <w:sz w:val="20"/>
              </w:rPr>
              <w:t>43</w:t>
            </w:r>
          </w:p>
        </w:tc>
        <w:tc>
          <w:tcPr>
            <w:tcW w:w="2856" w:type="dxa"/>
          </w:tcPr>
          <w:p>
            <w:pPr>
              <w:pStyle w:val="TableParagraph"/>
              <w:tabs>
                <w:tab w:pos="1987" w:val="left" w:leader="none"/>
              </w:tabs>
              <w:spacing w:before="94"/>
              <w:ind w:left="108" w:right="286"/>
              <w:rPr>
                <w:sz w:val="20"/>
              </w:rPr>
            </w:pPr>
            <w:r>
              <w:rPr>
                <w:spacing w:val="-2"/>
                <w:sz w:val="20"/>
              </w:rPr>
              <w:t>Multipurpose</w:t>
            </w:r>
            <w:r>
              <w:rPr>
                <w:spacing w:val="40"/>
                <w:sz w:val="20"/>
              </w:rPr>
              <w:t> </w:t>
            </w:r>
            <w:r>
              <w:rPr>
                <w:spacing w:val="-2"/>
                <w:sz w:val="20"/>
              </w:rPr>
              <w:t>Community</w:t>
            </w:r>
            <w:r>
              <w:rPr>
                <w:sz w:val="20"/>
              </w:rPr>
              <w:tab/>
            </w:r>
            <w:r>
              <w:rPr>
                <w:spacing w:val="-2"/>
                <w:sz w:val="20"/>
              </w:rPr>
              <w:t>halls, </w:t>
            </w:r>
            <w:r>
              <w:rPr>
                <w:sz w:val="20"/>
              </w:rPr>
              <w:t>welfare centers,</w:t>
            </w:r>
          </w:p>
        </w:tc>
        <w:tc>
          <w:tcPr>
            <w:tcW w:w="1276" w:type="dxa"/>
          </w:tcPr>
          <w:p>
            <w:pPr>
              <w:pStyle w:val="TableParagraph"/>
              <w:spacing w:before="94"/>
              <w:ind w:left="108"/>
              <w:rPr>
                <w:sz w:val="20"/>
              </w:rPr>
            </w:pPr>
            <w:r>
              <w:rPr>
                <w:sz w:val="20"/>
              </w:rPr>
              <w:t>1</w:t>
            </w:r>
            <w:r>
              <w:rPr>
                <w:spacing w:val="40"/>
                <w:sz w:val="20"/>
              </w:rPr>
              <w:t> </w:t>
            </w:r>
            <w:r>
              <w:rPr>
                <w:sz w:val="20"/>
              </w:rPr>
              <w:t>or</w:t>
            </w:r>
            <w:r>
              <w:rPr>
                <w:spacing w:val="40"/>
                <w:sz w:val="20"/>
              </w:rPr>
              <w:t> </w:t>
            </w:r>
            <w:r>
              <w:rPr>
                <w:sz w:val="20"/>
              </w:rPr>
              <w:t>2</w:t>
            </w:r>
            <w:r>
              <w:rPr>
                <w:spacing w:val="40"/>
                <w:sz w:val="20"/>
              </w:rPr>
              <w:t> </w:t>
            </w:r>
            <w:r>
              <w:rPr>
                <w:spacing w:val="-5"/>
                <w:sz w:val="20"/>
              </w:rPr>
              <w:t>or</w:t>
            </w:r>
          </w:p>
          <w:p>
            <w:pPr>
              <w:pStyle w:val="TableParagraph"/>
              <w:spacing w:before="1"/>
              <w:ind w:left="108"/>
              <w:rPr>
                <w:sz w:val="20"/>
              </w:rPr>
            </w:pPr>
            <w:r>
              <w:rPr>
                <w:sz w:val="20"/>
              </w:rPr>
              <w:t>3</w:t>
            </w:r>
            <w:r>
              <w:rPr>
                <w:spacing w:val="57"/>
                <w:w w:val="150"/>
                <w:sz w:val="20"/>
              </w:rPr>
              <w:t> </w:t>
            </w:r>
            <w:r>
              <w:rPr>
                <w:sz w:val="20"/>
              </w:rPr>
              <w:t>&amp;</w:t>
            </w:r>
            <w:r>
              <w:rPr>
                <w:spacing w:val="20"/>
                <w:sz w:val="20"/>
              </w:rPr>
              <w:t> </w:t>
            </w:r>
            <w:r>
              <w:rPr>
                <w:spacing w:val="-5"/>
                <w:sz w:val="20"/>
              </w:rPr>
              <w:t>14</w:t>
            </w:r>
          </w:p>
        </w:tc>
        <w:tc>
          <w:tcPr>
            <w:tcW w:w="1209" w:type="dxa"/>
          </w:tcPr>
          <w:p>
            <w:pPr>
              <w:pStyle w:val="TableParagraph"/>
              <w:spacing w:before="94"/>
              <w:ind w:left="109"/>
              <w:rPr>
                <w:sz w:val="20"/>
              </w:rPr>
            </w:pPr>
            <w:r>
              <w:rPr>
                <w:color w:val="000000"/>
                <w:sz w:val="20"/>
                <w:shd w:fill="FFCCFF" w:color="auto" w:val="clear"/>
              </w:rPr>
              <w:t>1</w:t>
            </w:r>
            <w:r>
              <w:rPr>
                <w:color w:val="000000"/>
                <w:spacing w:val="17"/>
                <w:sz w:val="20"/>
                <w:shd w:fill="FFCCFF" w:color="auto" w:val="clear"/>
              </w:rPr>
              <w:t> </w:t>
            </w:r>
            <w:r>
              <w:rPr>
                <w:color w:val="000000"/>
                <w:sz w:val="20"/>
                <w:shd w:fill="FFCCFF" w:color="auto" w:val="clear"/>
              </w:rPr>
              <w:t>or</w:t>
            </w:r>
            <w:r>
              <w:rPr>
                <w:color w:val="000000"/>
                <w:spacing w:val="21"/>
                <w:sz w:val="20"/>
                <w:shd w:fill="FFCCFF" w:color="auto" w:val="clear"/>
              </w:rPr>
              <w:t> </w:t>
            </w:r>
            <w:r>
              <w:rPr>
                <w:color w:val="000000"/>
                <w:sz w:val="20"/>
                <w:shd w:fill="FFCCFF" w:color="auto" w:val="clear"/>
              </w:rPr>
              <w:t>2</w:t>
            </w:r>
            <w:r>
              <w:rPr>
                <w:color w:val="000000"/>
                <w:spacing w:val="17"/>
                <w:sz w:val="20"/>
                <w:shd w:fill="FFCCFF" w:color="auto" w:val="clear"/>
              </w:rPr>
              <w:t> </w:t>
            </w:r>
            <w:r>
              <w:rPr>
                <w:color w:val="000000"/>
                <w:spacing w:val="-5"/>
                <w:sz w:val="20"/>
                <w:shd w:fill="FFCCFF" w:color="auto" w:val="clear"/>
              </w:rPr>
              <w:t>or</w:t>
            </w:r>
          </w:p>
          <w:p>
            <w:pPr>
              <w:pStyle w:val="TableParagraph"/>
              <w:spacing w:before="1"/>
              <w:ind w:left="109"/>
              <w:rPr>
                <w:sz w:val="20"/>
              </w:rPr>
            </w:pPr>
            <w:r>
              <w:rPr>
                <w:color w:val="000000"/>
                <w:sz w:val="20"/>
                <w:shd w:fill="FFCCFF" w:color="auto" w:val="clear"/>
              </w:rPr>
              <w:t>3</w:t>
            </w:r>
            <w:r>
              <w:rPr>
                <w:color w:val="000000"/>
                <w:spacing w:val="16"/>
                <w:sz w:val="20"/>
                <w:shd w:fill="FFCCFF" w:color="auto" w:val="clear"/>
              </w:rPr>
              <w:t> </w:t>
            </w:r>
            <w:r>
              <w:rPr>
                <w:color w:val="000000"/>
                <w:sz w:val="20"/>
                <w:shd w:fill="FFCCFF" w:color="auto" w:val="clear"/>
              </w:rPr>
              <w:t>&amp;</w:t>
            </w:r>
            <w:r>
              <w:rPr>
                <w:color w:val="000000"/>
                <w:spacing w:val="20"/>
                <w:sz w:val="20"/>
                <w:shd w:fill="FFCCFF" w:color="auto" w:val="clear"/>
              </w:rPr>
              <w:t> </w:t>
            </w:r>
            <w:r>
              <w:rPr>
                <w:color w:val="000000"/>
                <w:spacing w:val="-5"/>
                <w:sz w:val="20"/>
                <w:shd w:fill="FFCCFF" w:color="auto" w:val="clear"/>
              </w:rPr>
              <w:t>14</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701" w:val="left" w:leader="none"/>
                <w:tab w:pos="1818" w:val="left" w:leader="none"/>
              </w:tabs>
              <w:spacing w:before="94"/>
              <w:ind w:left="111" w:right="165"/>
              <w:rPr>
                <w:sz w:val="20"/>
              </w:rPr>
            </w:pPr>
            <w:r>
              <w:rPr>
                <w:sz w:val="20"/>
              </w:rPr>
              <w:t>In</w:t>
            </w:r>
            <w:r>
              <w:rPr>
                <w:spacing w:val="80"/>
                <w:sz w:val="20"/>
              </w:rPr>
              <w:t> </w:t>
            </w:r>
            <w:r>
              <w:rPr>
                <w:sz w:val="20"/>
              </w:rPr>
              <w:t>case</w:t>
            </w:r>
            <w:r>
              <w:rPr>
                <w:spacing w:val="80"/>
                <w:sz w:val="20"/>
              </w:rPr>
              <w:t> </w:t>
            </w:r>
            <w:r>
              <w:rPr>
                <w:sz w:val="20"/>
              </w:rPr>
              <w:t>of</w:t>
            </w:r>
            <w:r>
              <w:rPr>
                <w:spacing w:val="80"/>
                <w:sz w:val="20"/>
              </w:rPr>
              <w:t> </w:t>
            </w:r>
            <w:r>
              <w:rPr>
                <w:sz w:val="20"/>
              </w:rPr>
              <w:t>3</w:t>
            </w:r>
            <w:r>
              <w:rPr>
                <w:spacing w:val="80"/>
                <w:sz w:val="20"/>
              </w:rPr>
              <w:t> </w:t>
            </w:r>
            <w:r>
              <w:rPr>
                <w:sz w:val="20"/>
              </w:rPr>
              <w:t>in </w:t>
            </w:r>
            <w:r>
              <w:rPr>
                <w:spacing w:val="-2"/>
                <w:sz w:val="20"/>
              </w:rPr>
              <w:t>residential</w:t>
            </w:r>
            <w:r>
              <w:rPr>
                <w:spacing w:val="40"/>
                <w:sz w:val="20"/>
              </w:rPr>
              <w:t> </w:t>
            </w:r>
            <w:r>
              <w:rPr>
                <w:sz w:val="20"/>
              </w:rPr>
              <w:t>premises</w:t>
            </w:r>
            <w:r>
              <w:rPr>
                <w:spacing w:val="40"/>
                <w:sz w:val="20"/>
              </w:rPr>
              <w:t> </w:t>
            </w:r>
            <w:r>
              <w:rPr>
                <w:sz w:val="20"/>
              </w:rPr>
              <w:t>it</w:t>
            </w:r>
            <w:r>
              <w:rPr>
                <w:spacing w:val="4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tc>
      </w:tr>
      <w:tr>
        <w:trPr>
          <w:trHeight w:val="3009" w:hRule="atLeast"/>
        </w:trPr>
        <w:tc>
          <w:tcPr>
            <w:tcW w:w="1260" w:type="dxa"/>
          </w:tcPr>
          <w:p>
            <w:pPr>
              <w:pStyle w:val="TableParagraph"/>
              <w:spacing w:before="94"/>
              <w:ind w:left="107"/>
              <w:rPr>
                <w:sz w:val="20"/>
              </w:rPr>
            </w:pPr>
            <w:r>
              <w:rPr>
                <w:spacing w:val="5"/>
                <w:sz w:val="20"/>
              </w:rPr>
              <w:t>44</w:t>
            </w:r>
          </w:p>
        </w:tc>
        <w:tc>
          <w:tcPr>
            <w:tcW w:w="2856" w:type="dxa"/>
          </w:tcPr>
          <w:p>
            <w:pPr>
              <w:pStyle w:val="TableParagraph"/>
              <w:tabs>
                <w:tab w:pos="2076" w:val="left" w:leader="none"/>
              </w:tabs>
              <w:spacing w:before="94"/>
              <w:ind w:left="108"/>
              <w:jc w:val="both"/>
              <w:rPr>
                <w:sz w:val="20"/>
              </w:rPr>
            </w:pPr>
            <w:r>
              <w:rPr>
                <w:spacing w:val="-2"/>
                <w:sz w:val="20"/>
              </w:rPr>
              <w:t>Commercial</w:t>
            </w:r>
            <w:r>
              <w:rPr>
                <w:sz w:val="20"/>
              </w:rPr>
              <w:tab/>
            </w:r>
            <w:r>
              <w:rPr>
                <w:spacing w:val="-2"/>
                <w:sz w:val="20"/>
              </w:rPr>
              <w:t>halls,</w:t>
            </w:r>
          </w:p>
          <w:p>
            <w:pPr>
              <w:pStyle w:val="TableParagraph"/>
              <w:tabs>
                <w:tab w:pos="2150" w:val="left" w:leader="none"/>
              </w:tabs>
              <w:spacing w:before="1"/>
              <w:ind w:left="108"/>
              <w:jc w:val="both"/>
              <w:rPr>
                <w:sz w:val="20"/>
              </w:rPr>
            </w:pPr>
            <w:r>
              <w:rPr>
                <w:spacing w:val="-2"/>
                <w:sz w:val="20"/>
              </w:rPr>
              <w:t>exhibition</w:t>
            </w:r>
            <w:r>
              <w:rPr>
                <w:sz w:val="20"/>
              </w:rPr>
              <w:tab/>
            </w:r>
            <w:r>
              <w:rPr>
                <w:spacing w:val="-4"/>
                <w:sz w:val="20"/>
              </w:rPr>
              <w:t>halls</w:t>
            </w:r>
          </w:p>
          <w:p>
            <w:pPr>
              <w:pStyle w:val="TableParagraph"/>
              <w:tabs>
                <w:tab w:pos="2076" w:val="left" w:leader="none"/>
              </w:tabs>
              <w:spacing w:line="234" w:lineRule="exact"/>
              <w:ind w:left="108"/>
              <w:jc w:val="both"/>
              <w:rPr>
                <w:sz w:val="20"/>
              </w:rPr>
            </w:pPr>
            <w:r>
              <w:rPr>
                <w:spacing w:val="-2"/>
                <w:sz w:val="20"/>
              </w:rPr>
              <w:t>,Marriage</w:t>
            </w:r>
            <w:r>
              <w:rPr>
                <w:sz w:val="20"/>
              </w:rPr>
              <w:tab/>
            </w:r>
            <w:r>
              <w:rPr>
                <w:spacing w:val="-2"/>
                <w:sz w:val="20"/>
              </w:rPr>
              <w:t>halls,</w:t>
            </w:r>
          </w:p>
          <w:p>
            <w:pPr>
              <w:pStyle w:val="TableParagraph"/>
              <w:ind w:left="108" w:right="180"/>
              <w:jc w:val="both"/>
              <w:rPr>
                <w:sz w:val="20"/>
              </w:rPr>
            </w:pPr>
            <w:r>
              <w:rPr>
                <w:sz w:val="20"/>
              </w:rPr>
              <w:t>Auditorium, clubs, assembly or </w:t>
            </w:r>
            <w:r>
              <w:rPr>
                <w:sz w:val="20"/>
              </w:rPr>
              <w:t>concert</w:t>
            </w:r>
            <w:r>
              <w:rPr>
                <w:spacing w:val="80"/>
                <w:sz w:val="20"/>
              </w:rPr>
              <w:t> </w:t>
            </w:r>
            <w:r>
              <w:rPr>
                <w:sz w:val="20"/>
              </w:rPr>
              <w:t>halls, dance and music </w:t>
            </w:r>
            <w:r>
              <w:rPr>
                <w:spacing w:val="-2"/>
                <w:sz w:val="20"/>
              </w:rPr>
              <w:t>studios</w:t>
            </w:r>
          </w:p>
        </w:tc>
        <w:tc>
          <w:tcPr>
            <w:tcW w:w="1276" w:type="dxa"/>
          </w:tcPr>
          <w:p>
            <w:pPr>
              <w:pStyle w:val="TableParagraph"/>
              <w:spacing w:before="94"/>
              <w:ind w:left="108"/>
              <w:rPr>
                <w:sz w:val="20"/>
              </w:rPr>
            </w:pPr>
            <w:r>
              <w:rPr>
                <w:sz w:val="20"/>
              </w:rPr>
              <w:t>1 or 2 or </w:t>
            </w:r>
            <w:r>
              <w:rPr>
                <w:sz w:val="20"/>
              </w:rPr>
              <w:t>3</w:t>
            </w:r>
            <w:r>
              <w:rPr>
                <w:sz w:val="20"/>
              </w:rPr>
              <w:t> </w:t>
            </w:r>
            <w:r>
              <w:rPr>
                <w:spacing w:val="6"/>
                <w:sz w:val="20"/>
              </w:rPr>
              <w:t>&amp;</w:t>
            </w:r>
            <w:r>
              <w:rPr>
                <w:color w:val="000000"/>
                <w:spacing w:val="6"/>
                <w:sz w:val="20"/>
                <w:shd w:fill="FFCCFF" w:color="auto" w:val="clear"/>
              </w:rPr>
              <w:t>16</w:t>
            </w:r>
          </w:p>
        </w:tc>
        <w:tc>
          <w:tcPr>
            <w:tcW w:w="1209" w:type="dxa"/>
          </w:tcPr>
          <w:p>
            <w:pPr>
              <w:pStyle w:val="TableParagraph"/>
              <w:spacing w:before="94"/>
              <w:ind w:left="109"/>
              <w:rPr>
                <w:sz w:val="20"/>
              </w:rPr>
            </w:pPr>
            <w:r>
              <w:rPr>
                <w:color w:val="000000"/>
                <w:sz w:val="20"/>
                <w:shd w:fill="FFCCFF" w:color="auto" w:val="clear"/>
              </w:rPr>
              <w:t>1</w:t>
            </w:r>
            <w:r>
              <w:rPr>
                <w:color w:val="000000"/>
                <w:spacing w:val="17"/>
                <w:sz w:val="20"/>
                <w:shd w:fill="FFCCFF" w:color="auto" w:val="clear"/>
              </w:rPr>
              <w:t> </w:t>
            </w:r>
            <w:r>
              <w:rPr>
                <w:color w:val="000000"/>
                <w:sz w:val="20"/>
                <w:shd w:fill="FFCCFF" w:color="auto" w:val="clear"/>
              </w:rPr>
              <w:t>or</w:t>
            </w:r>
            <w:r>
              <w:rPr>
                <w:color w:val="000000"/>
                <w:spacing w:val="21"/>
                <w:sz w:val="20"/>
                <w:shd w:fill="FFCCFF" w:color="auto" w:val="clear"/>
              </w:rPr>
              <w:t> </w:t>
            </w:r>
            <w:r>
              <w:rPr>
                <w:color w:val="000000"/>
                <w:sz w:val="20"/>
                <w:shd w:fill="FFCCFF" w:color="auto" w:val="clear"/>
              </w:rPr>
              <w:t>2</w:t>
            </w:r>
            <w:r>
              <w:rPr>
                <w:color w:val="000000"/>
                <w:spacing w:val="17"/>
                <w:sz w:val="20"/>
                <w:shd w:fill="FFCCFF" w:color="auto" w:val="clear"/>
              </w:rPr>
              <w:t> </w:t>
            </w:r>
            <w:r>
              <w:rPr>
                <w:color w:val="000000"/>
                <w:spacing w:val="-5"/>
                <w:sz w:val="20"/>
                <w:shd w:fill="FFCCFF" w:color="auto" w:val="clear"/>
              </w:rPr>
              <w:t>or</w:t>
            </w:r>
          </w:p>
          <w:p>
            <w:pPr>
              <w:pStyle w:val="TableParagraph"/>
              <w:spacing w:before="1"/>
              <w:ind w:left="109"/>
              <w:rPr>
                <w:sz w:val="20"/>
              </w:rPr>
            </w:pPr>
            <w:r>
              <w:rPr>
                <w:color w:val="000000"/>
                <w:sz w:val="20"/>
                <w:shd w:fill="FFCCFF" w:color="auto" w:val="clear"/>
              </w:rPr>
              <w:t>3</w:t>
            </w:r>
            <w:r>
              <w:rPr>
                <w:color w:val="000000"/>
                <w:spacing w:val="17"/>
                <w:sz w:val="20"/>
                <w:shd w:fill="FFCCFF" w:color="auto" w:val="clear"/>
              </w:rPr>
              <w:t> </w:t>
            </w:r>
            <w:r>
              <w:rPr>
                <w:color w:val="000000"/>
                <w:sz w:val="20"/>
                <w:shd w:fill="FFCCFF" w:color="auto" w:val="clear"/>
              </w:rPr>
              <w:t>or</w:t>
            </w:r>
            <w:r>
              <w:rPr>
                <w:color w:val="000000"/>
                <w:spacing w:val="21"/>
                <w:sz w:val="20"/>
                <w:shd w:fill="FFCCFF" w:color="auto" w:val="clear"/>
              </w:rPr>
              <w:t> </w:t>
            </w:r>
            <w:r>
              <w:rPr>
                <w:color w:val="000000"/>
                <w:sz w:val="20"/>
                <w:shd w:fill="FFCCFF" w:color="auto" w:val="clear"/>
              </w:rPr>
              <w:t>4</w:t>
            </w:r>
            <w:r>
              <w:rPr>
                <w:color w:val="000000"/>
                <w:spacing w:val="17"/>
                <w:sz w:val="20"/>
                <w:shd w:fill="FFCCFF" w:color="auto" w:val="clear"/>
              </w:rPr>
              <w:t> </w:t>
            </w:r>
            <w:r>
              <w:rPr>
                <w:color w:val="000000"/>
                <w:spacing w:val="-5"/>
                <w:sz w:val="20"/>
                <w:shd w:fill="FFCCFF" w:color="auto" w:val="clear"/>
              </w:rPr>
              <w:t>or</w:t>
            </w:r>
          </w:p>
          <w:p>
            <w:pPr>
              <w:pStyle w:val="TableParagraph"/>
              <w:tabs>
                <w:tab w:pos="459" w:val="left" w:leader="none"/>
                <w:tab w:pos="895" w:val="left" w:leader="none"/>
              </w:tabs>
              <w:ind w:left="109" w:right="177"/>
              <w:rPr>
                <w:sz w:val="20"/>
              </w:rPr>
            </w:pPr>
            <w:r>
              <w:rPr>
                <w:color w:val="000000"/>
                <w:spacing w:val="-10"/>
                <w:sz w:val="20"/>
                <w:shd w:fill="FFCCFF" w:color="auto" w:val="clear"/>
              </w:rPr>
              <w:t>5</w:t>
            </w:r>
            <w:r>
              <w:rPr>
                <w:color w:val="000000"/>
                <w:sz w:val="20"/>
                <w:shd w:fill="FFCCFF" w:color="auto" w:val="clear"/>
              </w:rPr>
              <w:tab/>
            </w:r>
            <w:r>
              <w:rPr>
                <w:color w:val="000000"/>
                <w:spacing w:val="-6"/>
                <w:sz w:val="20"/>
                <w:shd w:fill="FFCCFF" w:color="auto" w:val="clear"/>
              </w:rPr>
              <w:t>or</w:t>
            </w:r>
            <w:r>
              <w:rPr>
                <w:color w:val="000000"/>
                <w:sz w:val="20"/>
                <w:shd w:fill="FFCCFF" w:color="auto" w:val="clear"/>
              </w:rPr>
              <w:tab/>
            </w:r>
            <w:r>
              <w:rPr>
                <w:color w:val="000000"/>
                <w:spacing w:val="-10"/>
                <w:sz w:val="20"/>
                <w:shd w:fill="FFCCFF" w:color="auto" w:val="clear"/>
              </w:rPr>
              <w:t>6</w:t>
            </w:r>
            <w:r>
              <w:rPr>
                <w:color w:val="000000"/>
                <w:spacing w:val="-10"/>
                <w:sz w:val="20"/>
              </w:rPr>
              <w:t> </w:t>
            </w:r>
            <w:r>
              <w:rPr>
                <w:color w:val="000000"/>
                <w:spacing w:val="6"/>
                <w:sz w:val="20"/>
                <w:shd w:fill="FFCCFF" w:color="auto" w:val="clear"/>
              </w:rPr>
              <w:t>&amp;</w:t>
            </w:r>
            <w:r>
              <w:rPr>
                <w:color w:val="000000"/>
                <w:spacing w:val="6"/>
                <w:sz w:val="20"/>
              </w:rPr>
              <w:t>16</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694" w:val="left" w:leader="none"/>
                <w:tab w:pos="1051" w:val="left" w:leader="none"/>
                <w:tab w:pos="1516" w:val="left" w:leader="none"/>
                <w:tab w:pos="1683" w:val="left" w:leader="none"/>
                <w:tab w:pos="1762" w:val="left" w:leader="none"/>
                <w:tab w:pos="1818" w:val="left" w:leader="none"/>
                <w:tab w:pos="1897" w:val="left" w:leader="none"/>
              </w:tabs>
              <w:spacing w:before="94"/>
              <w:ind w:left="111" w:right="165"/>
              <w:rPr>
                <w:sz w:val="20"/>
              </w:rPr>
            </w:pPr>
            <w:r>
              <w:rPr>
                <w:sz w:val="20"/>
              </w:rPr>
              <w:t>In</w:t>
            </w:r>
            <w:r>
              <w:rPr>
                <w:spacing w:val="80"/>
                <w:sz w:val="20"/>
              </w:rPr>
              <w:t> </w:t>
            </w:r>
            <w:r>
              <w:rPr>
                <w:sz w:val="20"/>
              </w:rPr>
              <w:t>case</w:t>
            </w:r>
            <w:r>
              <w:rPr>
                <w:spacing w:val="80"/>
                <w:sz w:val="20"/>
              </w:rPr>
              <w:t> </w:t>
            </w:r>
            <w:r>
              <w:rPr>
                <w:sz w:val="20"/>
              </w:rPr>
              <w:t>of</w:t>
            </w:r>
            <w:r>
              <w:rPr>
                <w:spacing w:val="80"/>
                <w:sz w:val="20"/>
              </w:rPr>
              <w:t> </w:t>
            </w:r>
            <w:r>
              <w:rPr>
                <w:sz w:val="20"/>
              </w:rPr>
              <w:t>3</w:t>
            </w:r>
            <w:r>
              <w:rPr>
                <w:spacing w:val="80"/>
                <w:sz w:val="20"/>
              </w:rPr>
              <w:t> </w:t>
            </w:r>
            <w:r>
              <w:rPr>
                <w:sz w:val="20"/>
              </w:rPr>
              <w:t>in </w:t>
            </w:r>
            <w:r>
              <w:rPr>
                <w:spacing w:val="-2"/>
                <w:sz w:val="20"/>
              </w:rPr>
              <w:t>residential</w:t>
            </w:r>
            <w:r>
              <w:rPr>
                <w:spacing w:val="40"/>
                <w:sz w:val="20"/>
              </w:rPr>
              <w:t> </w:t>
            </w:r>
            <w:r>
              <w:rPr>
                <w:sz w:val="20"/>
              </w:rPr>
              <w:t>premises</w:t>
            </w:r>
            <w:r>
              <w:rPr>
                <w:spacing w:val="40"/>
                <w:sz w:val="20"/>
              </w:rPr>
              <w:t> </w:t>
            </w:r>
            <w:r>
              <w:rPr>
                <w:sz w:val="20"/>
              </w:rPr>
              <w:t>it</w:t>
            </w:r>
            <w:r>
              <w:rPr>
                <w:spacing w:val="40"/>
                <w:sz w:val="20"/>
              </w:rPr>
              <w:t> </w:t>
            </w:r>
            <w:r>
              <w:rPr>
                <w:sz w:val="20"/>
              </w:rPr>
              <w:t>shall </w:t>
            </w:r>
            <w:r>
              <w:rPr>
                <w:spacing w:val="-6"/>
                <w:sz w:val="20"/>
              </w:rPr>
              <w:t>be</w:t>
            </w:r>
            <w:r>
              <w:rPr>
                <w:sz w:val="20"/>
              </w:rPr>
              <w:tab/>
            </w:r>
            <w:r>
              <w:rPr>
                <w:spacing w:val="-58"/>
                <w:sz w:val="20"/>
              </w:rPr>
              <w:t> </w:t>
            </w:r>
            <w:r>
              <w:rPr>
                <w:spacing w:val="-2"/>
                <w:sz w:val="20"/>
              </w:rPr>
              <w:t>subject</w:t>
            </w:r>
            <w:r>
              <w:rPr>
                <w:sz w:val="20"/>
              </w:rPr>
              <w:tab/>
              <w:tab/>
              <w:tab/>
              <w:tab/>
            </w:r>
            <w:r>
              <w:rPr>
                <w:spacing w:val="-6"/>
                <w:sz w:val="20"/>
              </w:rPr>
              <w:t>to </w:t>
            </w:r>
            <w:r>
              <w:rPr>
                <w:spacing w:val="-2"/>
                <w:sz w:val="20"/>
              </w:rPr>
              <w:t>condition</w:t>
            </w:r>
            <w:r>
              <w:rPr>
                <w:sz w:val="20"/>
              </w:rPr>
              <w:tab/>
              <w:tab/>
              <w:tab/>
              <w:tab/>
            </w:r>
            <w:r>
              <w:rPr>
                <w:spacing w:val="-6"/>
                <w:sz w:val="20"/>
              </w:rPr>
              <w:t>no </w:t>
            </w:r>
            <w:r>
              <w:rPr>
                <w:sz w:val="20"/>
              </w:rPr>
              <w:t>18.Additional</w:t>
            </w:r>
            <w:r>
              <w:rPr>
                <w:spacing w:val="40"/>
                <w:sz w:val="20"/>
              </w:rPr>
              <w:t> </w:t>
            </w:r>
            <w:r>
              <w:rPr>
                <w:sz w:val="20"/>
              </w:rPr>
              <w:t>3.0 </w:t>
            </w:r>
            <w:r>
              <w:rPr>
                <w:spacing w:val="-6"/>
                <w:sz w:val="20"/>
              </w:rPr>
              <w:t>mt</w:t>
            </w:r>
            <w:r>
              <w:rPr>
                <w:sz w:val="20"/>
              </w:rPr>
              <w:tab/>
            </w:r>
            <w:r>
              <w:rPr>
                <w:spacing w:val="-2"/>
                <w:sz w:val="20"/>
              </w:rPr>
              <w:t>front</w:t>
            </w:r>
            <w:r>
              <w:rPr>
                <w:sz w:val="20"/>
              </w:rPr>
              <w:tab/>
            </w:r>
            <w:r>
              <w:rPr>
                <w:spacing w:val="-4"/>
                <w:sz w:val="20"/>
              </w:rPr>
              <w:t>open </w:t>
            </w:r>
            <w:r>
              <w:rPr>
                <w:spacing w:val="-2"/>
                <w:sz w:val="20"/>
              </w:rPr>
              <w:t>space</w:t>
            </w:r>
            <w:r>
              <w:rPr>
                <w:sz w:val="20"/>
              </w:rPr>
              <w:tab/>
              <w:tab/>
            </w:r>
            <w:r>
              <w:rPr>
                <w:spacing w:val="-4"/>
                <w:sz w:val="20"/>
              </w:rPr>
              <w:t>for</w:t>
            </w:r>
            <w:r>
              <w:rPr>
                <w:sz w:val="20"/>
              </w:rPr>
              <w:tab/>
              <w:tab/>
            </w:r>
            <w:r>
              <w:rPr>
                <w:spacing w:val="-4"/>
                <w:sz w:val="20"/>
              </w:rPr>
              <w:t>the </w:t>
            </w:r>
            <w:r>
              <w:rPr>
                <w:spacing w:val="-2"/>
                <w:sz w:val="20"/>
              </w:rPr>
              <w:t>traffic</w:t>
            </w:r>
            <w:r>
              <w:rPr>
                <w:spacing w:val="80"/>
                <w:w w:val="150"/>
                <w:sz w:val="20"/>
              </w:rPr>
              <w:t> </w:t>
            </w:r>
            <w:r>
              <w:rPr>
                <w:spacing w:val="-2"/>
                <w:sz w:val="20"/>
              </w:rPr>
              <w:t>management</w:t>
            </w:r>
            <w:r>
              <w:rPr>
                <w:sz w:val="20"/>
              </w:rPr>
              <w:tab/>
              <w:tab/>
              <w:tab/>
              <w:tab/>
              <w:tab/>
            </w:r>
            <w:r>
              <w:rPr>
                <w:spacing w:val="-10"/>
                <w:sz w:val="20"/>
              </w:rPr>
              <w:t>/ </w:t>
            </w:r>
            <w:r>
              <w:rPr>
                <w:sz w:val="20"/>
              </w:rPr>
              <w:t>holding</w:t>
            </w:r>
            <w:r>
              <w:rPr>
                <w:spacing w:val="40"/>
                <w:sz w:val="20"/>
              </w:rPr>
              <w:t> </w:t>
            </w:r>
            <w:r>
              <w:rPr>
                <w:sz w:val="20"/>
              </w:rPr>
              <w:t>bay</w:t>
            </w:r>
            <w:r>
              <w:rPr>
                <w:spacing w:val="40"/>
                <w:sz w:val="20"/>
              </w:rPr>
              <w:t> </w:t>
            </w:r>
            <w:r>
              <w:rPr>
                <w:sz w:val="20"/>
              </w:rPr>
              <w:t>shall be provided.</w:t>
            </w:r>
          </w:p>
        </w:tc>
      </w:tr>
      <w:tr>
        <w:trPr>
          <w:trHeight w:val="1130" w:hRule="atLeast"/>
        </w:trPr>
        <w:tc>
          <w:tcPr>
            <w:tcW w:w="1260" w:type="dxa"/>
          </w:tcPr>
          <w:p>
            <w:pPr>
              <w:pStyle w:val="TableParagraph"/>
              <w:spacing w:before="94"/>
              <w:ind w:left="107"/>
              <w:rPr>
                <w:sz w:val="20"/>
              </w:rPr>
            </w:pPr>
            <w:r>
              <w:rPr>
                <w:spacing w:val="5"/>
                <w:sz w:val="20"/>
              </w:rPr>
              <w:t>45</w:t>
            </w:r>
          </w:p>
        </w:tc>
        <w:tc>
          <w:tcPr>
            <w:tcW w:w="2856" w:type="dxa"/>
          </w:tcPr>
          <w:p>
            <w:pPr>
              <w:pStyle w:val="TableParagraph"/>
              <w:spacing w:before="94"/>
              <w:ind w:left="108" w:right="855"/>
              <w:jc w:val="both"/>
              <w:rPr>
                <w:sz w:val="20"/>
              </w:rPr>
            </w:pPr>
            <w:r>
              <w:rPr>
                <w:sz w:val="20"/>
              </w:rPr>
              <w:t>Drama </w:t>
            </w:r>
            <w:r>
              <w:rPr>
                <w:sz w:val="20"/>
              </w:rPr>
              <w:t>theatre, Cinema theatre, </w:t>
            </w:r>
            <w:r>
              <w:rPr>
                <w:spacing w:val="8"/>
                <w:sz w:val="20"/>
              </w:rPr>
              <w:t>Drive-in-</w:t>
            </w:r>
            <w:r>
              <w:rPr>
                <w:sz w:val="20"/>
              </w:rPr>
              <w:t>theatre</w:t>
            </w:r>
          </w:p>
        </w:tc>
        <w:tc>
          <w:tcPr>
            <w:tcW w:w="1276" w:type="dxa"/>
          </w:tcPr>
          <w:p>
            <w:pPr>
              <w:pStyle w:val="TableParagraph"/>
              <w:spacing w:before="94"/>
              <w:ind w:left="108"/>
              <w:rPr>
                <w:sz w:val="20"/>
              </w:rPr>
            </w:pPr>
            <w:r>
              <w:rPr>
                <w:sz w:val="20"/>
              </w:rPr>
              <w:t>1</w:t>
            </w:r>
            <w:r>
              <w:rPr>
                <w:spacing w:val="29"/>
                <w:sz w:val="20"/>
              </w:rPr>
              <w:t>  </w:t>
            </w:r>
            <w:r>
              <w:rPr>
                <w:sz w:val="20"/>
              </w:rPr>
              <w:t>or</w:t>
            </w:r>
            <w:r>
              <w:rPr>
                <w:spacing w:val="30"/>
                <w:sz w:val="20"/>
              </w:rPr>
              <w:t>  </w:t>
            </w:r>
            <w:r>
              <w:rPr>
                <w:spacing w:val="-5"/>
                <w:sz w:val="20"/>
              </w:rPr>
              <w:t>2</w:t>
            </w:r>
            <w:r>
              <w:rPr>
                <w:color w:val="000000"/>
                <w:spacing w:val="-5"/>
                <w:sz w:val="20"/>
                <w:shd w:fill="FFCCFF" w:color="auto" w:val="clear"/>
              </w:rPr>
              <w:t>or</w:t>
            </w:r>
          </w:p>
          <w:p>
            <w:pPr>
              <w:pStyle w:val="TableParagraph"/>
              <w:spacing w:before="1"/>
              <w:ind w:left="108"/>
              <w:rPr>
                <w:sz w:val="20"/>
              </w:rPr>
            </w:pPr>
            <w:r>
              <w:rPr>
                <w:color w:val="000000"/>
                <w:sz w:val="20"/>
                <w:shd w:fill="FFCCFF" w:color="auto" w:val="clear"/>
              </w:rPr>
              <w:t>3</w:t>
            </w:r>
            <w:r>
              <w:rPr>
                <w:color w:val="000000"/>
                <w:sz w:val="20"/>
              </w:rPr>
              <w:t>&amp;</w:t>
            </w:r>
            <w:r>
              <w:rPr>
                <w:color w:val="000000"/>
                <w:spacing w:val="25"/>
                <w:sz w:val="20"/>
              </w:rPr>
              <w:t> </w:t>
            </w:r>
            <w:r>
              <w:rPr>
                <w:color w:val="000000"/>
                <w:spacing w:val="-7"/>
                <w:sz w:val="20"/>
              </w:rPr>
              <w:t>16</w:t>
            </w:r>
          </w:p>
        </w:tc>
        <w:tc>
          <w:tcPr>
            <w:tcW w:w="1209" w:type="dxa"/>
          </w:tcPr>
          <w:p>
            <w:pPr>
              <w:pStyle w:val="TableParagraph"/>
              <w:spacing w:before="94"/>
              <w:ind w:left="109"/>
              <w:rPr>
                <w:sz w:val="20"/>
              </w:rPr>
            </w:pPr>
            <w:r>
              <w:rPr>
                <w:sz w:val="20"/>
              </w:rPr>
              <w:t>1</w:t>
            </w:r>
            <w:r>
              <w:rPr>
                <w:spacing w:val="17"/>
                <w:sz w:val="20"/>
              </w:rPr>
              <w:t> </w:t>
            </w:r>
            <w:r>
              <w:rPr>
                <w:sz w:val="20"/>
              </w:rPr>
              <w:t>or</w:t>
            </w:r>
            <w:r>
              <w:rPr>
                <w:spacing w:val="21"/>
                <w:sz w:val="20"/>
              </w:rPr>
              <w:t> </w:t>
            </w:r>
            <w:r>
              <w:rPr>
                <w:sz w:val="20"/>
              </w:rPr>
              <w:t>2</w:t>
            </w:r>
            <w:r>
              <w:rPr>
                <w:spacing w:val="17"/>
                <w:sz w:val="20"/>
              </w:rPr>
              <w:t> </w:t>
            </w:r>
            <w:r>
              <w:rPr>
                <w:spacing w:val="-5"/>
                <w:sz w:val="20"/>
              </w:rPr>
              <w:t>or</w:t>
            </w:r>
          </w:p>
          <w:p>
            <w:pPr>
              <w:pStyle w:val="TableParagraph"/>
              <w:spacing w:before="1"/>
              <w:ind w:left="109"/>
              <w:rPr>
                <w:sz w:val="20"/>
              </w:rPr>
            </w:pPr>
            <w:r>
              <w:rPr>
                <w:sz w:val="20"/>
              </w:rPr>
              <w:t>3</w:t>
            </w:r>
            <w:r>
              <w:rPr>
                <w:spacing w:val="16"/>
                <w:sz w:val="20"/>
              </w:rPr>
              <w:t> </w:t>
            </w:r>
            <w:r>
              <w:rPr>
                <w:sz w:val="20"/>
              </w:rPr>
              <w:t>&amp;</w:t>
            </w:r>
            <w:r>
              <w:rPr>
                <w:spacing w:val="20"/>
                <w:sz w:val="20"/>
              </w:rPr>
              <w:t> </w:t>
            </w:r>
            <w:r>
              <w:rPr>
                <w:spacing w:val="-5"/>
                <w:sz w:val="20"/>
              </w:rPr>
              <w:t>16</w:t>
            </w:r>
          </w:p>
        </w:tc>
        <w:tc>
          <w:tcPr>
            <w:tcW w:w="1199" w:type="dxa"/>
          </w:tcPr>
          <w:p>
            <w:pPr>
              <w:pStyle w:val="TableParagraph"/>
              <w:spacing w:before="94"/>
              <w:ind w:left="110"/>
              <w:rPr>
                <w:sz w:val="20"/>
              </w:rPr>
            </w:pPr>
            <w:r>
              <w:rPr>
                <w:spacing w:val="5"/>
                <w:sz w:val="20"/>
              </w:rPr>
              <w:t>NP</w:t>
            </w:r>
          </w:p>
        </w:tc>
        <w:tc>
          <w:tcPr>
            <w:tcW w:w="2196" w:type="dxa"/>
          </w:tcPr>
          <w:p>
            <w:pPr>
              <w:pStyle w:val="TableParagraph"/>
              <w:spacing w:before="94"/>
              <w:ind w:left="111" w:right="105"/>
              <w:jc w:val="both"/>
              <w:rPr>
                <w:sz w:val="20"/>
              </w:rPr>
            </w:pPr>
            <w:r>
              <w:rPr>
                <w:sz w:val="20"/>
              </w:rPr>
              <w:t>Minimum </w:t>
            </w:r>
            <w:r>
              <w:rPr>
                <w:sz w:val="20"/>
              </w:rPr>
              <w:t>front open</w:t>
            </w:r>
            <w:r>
              <w:rPr>
                <w:spacing w:val="40"/>
                <w:sz w:val="20"/>
              </w:rPr>
              <w:t> </w:t>
            </w:r>
            <w:r>
              <w:rPr>
                <w:sz w:val="20"/>
              </w:rPr>
              <w:t>space</w:t>
            </w:r>
            <w:r>
              <w:rPr>
                <w:spacing w:val="40"/>
                <w:sz w:val="20"/>
              </w:rPr>
              <w:t> </w:t>
            </w:r>
            <w:r>
              <w:rPr>
                <w:sz w:val="20"/>
              </w:rPr>
              <w:t>of</w:t>
            </w:r>
            <w:r>
              <w:rPr>
                <w:spacing w:val="40"/>
                <w:sz w:val="20"/>
              </w:rPr>
              <w:t> </w:t>
            </w:r>
            <w:r>
              <w:rPr>
                <w:sz w:val="20"/>
              </w:rPr>
              <w:t>12 m shall be</w:t>
            </w:r>
            <w:r>
              <w:rPr>
                <w:spacing w:val="80"/>
                <w:sz w:val="20"/>
              </w:rPr>
              <w:t> </w:t>
            </w:r>
            <w:r>
              <w:rPr>
                <w:spacing w:val="-2"/>
                <w:sz w:val="20"/>
              </w:rPr>
              <w:t>provided.</w:t>
            </w:r>
          </w:p>
        </w:tc>
      </w:tr>
      <w:tr>
        <w:trPr>
          <w:trHeight w:val="2306" w:hRule="atLeast"/>
        </w:trPr>
        <w:tc>
          <w:tcPr>
            <w:tcW w:w="1260" w:type="dxa"/>
          </w:tcPr>
          <w:p>
            <w:pPr>
              <w:pStyle w:val="TableParagraph"/>
              <w:spacing w:before="94"/>
              <w:ind w:left="107"/>
              <w:rPr>
                <w:sz w:val="20"/>
              </w:rPr>
            </w:pPr>
            <w:r>
              <w:rPr>
                <w:spacing w:val="5"/>
                <w:sz w:val="20"/>
              </w:rPr>
              <w:t>46</w:t>
            </w:r>
          </w:p>
        </w:tc>
        <w:tc>
          <w:tcPr>
            <w:tcW w:w="2856" w:type="dxa"/>
          </w:tcPr>
          <w:p>
            <w:pPr>
              <w:pStyle w:val="TableParagraph"/>
              <w:spacing w:before="94"/>
              <w:ind w:left="108"/>
              <w:rPr>
                <w:sz w:val="20"/>
              </w:rPr>
            </w:pPr>
            <w:r>
              <w:rPr>
                <w:spacing w:val="-2"/>
                <w:sz w:val="20"/>
              </w:rPr>
              <w:t>Gymnasiums,</w:t>
            </w:r>
          </w:p>
        </w:tc>
        <w:tc>
          <w:tcPr>
            <w:tcW w:w="1276" w:type="dxa"/>
          </w:tcPr>
          <w:p>
            <w:pPr>
              <w:pStyle w:val="TableParagraph"/>
              <w:spacing w:before="94"/>
              <w:ind w:left="108"/>
              <w:rPr>
                <w:sz w:val="20"/>
              </w:rPr>
            </w:pPr>
            <w:r>
              <w:rPr>
                <w:sz w:val="20"/>
              </w:rPr>
              <w:t>1</w:t>
            </w:r>
            <w:r>
              <w:rPr>
                <w:spacing w:val="65"/>
                <w:sz w:val="20"/>
              </w:rPr>
              <w:t> </w:t>
            </w:r>
            <w:r>
              <w:rPr>
                <w:sz w:val="20"/>
              </w:rPr>
              <w:t>or</w:t>
            </w:r>
            <w:r>
              <w:rPr>
                <w:spacing w:val="63"/>
                <w:sz w:val="20"/>
              </w:rPr>
              <w:t> </w:t>
            </w:r>
            <w:r>
              <w:rPr>
                <w:sz w:val="20"/>
              </w:rPr>
              <w:t>2</w:t>
            </w:r>
            <w:r>
              <w:rPr>
                <w:spacing w:val="65"/>
                <w:sz w:val="20"/>
              </w:rPr>
              <w:t> </w:t>
            </w:r>
            <w:r>
              <w:rPr>
                <w:spacing w:val="-5"/>
                <w:sz w:val="20"/>
              </w:rPr>
              <w:t>or</w:t>
            </w:r>
          </w:p>
          <w:p>
            <w:pPr>
              <w:pStyle w:val="TableParagraph"/>
              <w:spacing w:before="1"/>
              <w:ind w:left="108"/>
              <w:rPr>
                <w:sz w:val="20"/>
              </w:rPr>
            </w:pPr>
            <w:r>
              <w:rPr>
                <w:sz w:val="20"/>
              </w:rPr>
              <w:t>3</w:t>
            </w:r>
            <w:r>
              <w:rPr>
                <w:spacing w:val="23"/>
                <w:sz w:val="20"/>
              </w:rPr>
              <w:t> </w:t>
            </w:r>
            <w:r>
              <w:rPr>
                <w:sz w:val="20"/>
              </w:rPr>
              <w:t>or</w:t>
            </w:r>
            <w:r>
              <w:rPr>
                <w:spacing w:val="22"/>
                <w:sz w:val="20"/>
              </w:rPr>
              <w:t> </w:t>
            </w:r>
            <w:r>
              <w:rPr>
                <w:spacing w:val="-10"/>
                <w:sz w:val="20"/>
              </w:rPr>
              <w:t>9</w:t>
            </w:r>
          </w:p>
        </w:tc>
        <w:tc>
          <w:tcPr>
            <w:tcW w:w="1209" w:type="dxa"/>
          </w:tcPr>
          <w:p>
            <w:pPr>
              <w:pStyle w:val="TableParagraph"/>
              <w:spacing w:before="94"/>
              <w:ind w:left="109"/>
              <w:rPr>
                <w:sz w:val="20"/>
              </w:rPr>
            </w:pPr>
            <w:r>
              <w:rPr>
                <w:spacing w:val="-10"/>
                <w:sz w:val="20"/>
              </w:rPr>
              <w:t>P</w:t>
            </w:r>
          </w:p>
        </w:tc>
        <w:tc>
          <w:tcPr>
            <w:tcW w:w="1199" w:type="dxa"/>
          </w:tcPr>
          <w:p>
            <w:pPr>
              <w:pStyle w:val="TableParagraph"/>
              <w:spacing w:before="94"/>
              <w:ind w:left="110"/>
              <w:rPr>
                <w:sz w:val="20"/>
              </w:rPr>
            </w:pPr>
            <w:r>
              <w:rPr>
                <w:spacing w:val="5"/>
                <w:sz w:val="20"/>
              </w:rPr>
              <w:t>NP</w:t>
            </w:r>
          </w:p>
        </w:tc>
        <w:tc>
          <w:tcPr>
            <w:tcW w:w="2196" w:type="dxa"/>
          </w:tcPr>
          <w:p>
            <w:pPr>
              <w:pStyle w:val="TableParagraph"/>
              <w:spacing w:before="94"/>
              <w:ind w:left="111" w:right="165"/>
              <w:jc w:val="both"/>
              <w:rPr>
                <w:sz w:val="20"/>
              </w:rPr>
            </w:pPr>
            <w:r>
              <w:rPr>
                <w:sz w:val="20"/>
              </w:rPr>
              <w:t>In</w:t>
            </w:r>
            <w:r>
              <w:rPr>
                <w:spacing w:val="40"/>
                <w:sz w:val="20"/>
              </w:rPr>
              <w:t> </w:t>
            </w:r>
            <w:r>
              <w:rPr>
                <w:sz w:val="20"/>
              </w:rPr>
              <w:t>case</w:t>
            </w:r>
            <w:r>
              <w:rPr>
                <w:spacing w:val="40"/>
                <w:sz w:val="20"/>
              </w:rPr>
              <w:t> </w:t>
            </w:r>
            <w:r>
              <w:rPr>
                <w:sz w:val="20"/>
              </w:rPr>
              <w:t>of</w:t>
            </w:r>
            <w:r>
              <w:rPr>
                <w:spacing w:val="40"/>
                <w:sz w:val="20"/>
              </w:rPr>
              <w:t> </w:t>
            </w:r>
            <w:r>
              <w:rPr>
                <w:sz w:val="20"/>
              </w:rPr>
              <w:t>3</w:t>
            </w:r>
            <w:r>
              <w:rPr>
                <w:spacing w:val="40"/>
                <w:sz w:val="20"/>
              </w:rPr>
              <w:t> </w:t>
            </w:r>
            <w:r>
              <w:rPr>
                <w:sz w:val="20"/>
              </w:rPr>
              <w:t>or</w:t>
            </w:r>
            <w:r>
              <w:rPr>
                <w:spacing w:val="40"/>
                <w:sz w:val="20"/>
              </w:rPr>
              <w:t> </w:t>
            </w:r>
            <w:r>
              <w:rPr>
                <w:sz w:val="20"/>
              </w:rPr>
              <w:t>9 in residential premises it shall</w:t>
            </w:r>
            <w:r>
              <w:rPr>
                <w:spacing w:val="80"/>
                <w:sz w:val="20"/>
              </w:rPr>
              <w:t> </w:t>
            </w:r>
            <w:r>
              <w:rPr>
                <w:sz w:val="20"/>
              </w:rPr>
              <w:t>be subject to condition no 18,if proposed other than permissible</w:t>
            </w:r>
            <w:r>
              <w:rPr>
                <w:spacing w:val="40"/>
                <w:sz w:val="20"/>
              </w:rPr>
              <w:t> </w:t>
            </w:r>
            <w:r>
              <w:rPr>
                <w:sz w:val="20"/>
              </w:rPr>
              <w:t>as per regulation </w:t>
            </w:r>
            <w:r>
              <w:rPr>
                <w:spacing w:val="6"/>
                <w:sz w:val="20"/>
              </w:rPr>
              <w:t>no37</w:t>
            </w:r>
          </w:p>
        </w:tc>
      </w:tr>
      <w:tr>
        <w:trPr>
          <w:trHeight w:val="1365" w:hRule="atLeast"/>
        </w:trPr>
        <w:tc>
          <w:tcPr>
            <w:tcW w:w="1260" w:type="dxa"/>
          </w:tcPr>
          <w:p>
            <w:pPr>
              <w:pStyle w:val="TableParagraph"/>
              <w:spacing w:before="94"/>
              <w:ind w:left="107"/>
              <w:rPr>
                <w:sz w:val="20"/>
              </w:rPr>
            </w:pPr>
            <w:r>
              <w:rPr>
                <w:spacing w:val="5"/>
                <w:sz w:val="20"/>
              </w:rPr>
              <w:t>47</w:t>
            </w:r>
          </w:p>
        </w:tc>
        <w:tc>
          <w:tcPr>
            <w:tcW w:w="2856" w:type="dxa"/>
          </w:tcPr>
          <w:p>
            <w:pPr>
              <w:pStyle w:val="TableParagraph"/>
              <w:spacing w:before="94"/>
              <w:ind w:left="108" w:right="977"/>
              <w:rPr>
                <w:sz w:val="20"/>
              </w:rPr>
            </w:pPr>
            <w:r>
              <w:rPr>
                <w:spacing w:val="-2"/>
                <w:sz w:val="20"/>
              </w:rPr>
              <w:t>Radio</w:t>
            </w:r>
            <w:r>
              <w:rPr>
                <w:spacing w:val="80"/>
                <w:sz w:val="20"/>
              </w:rPr>
              <w:t> </w:t>
            </w:r>
            <w:r>
              <w:rPr>
                <w:sz w:val="20"/>
              </w:rPr>
              <w:t>broadcasting</w:t>
            </w:r>
            <w:r>
              <w:rPr>
                <w:spacing w:val="40"/>
                <w:sz w:val="20"/>
              </w:rPr>
              <w:t> </w:t>
            </w:r>
            <w:r>
              <w:rPr>
                <w:sz w:val="20"/>
              </w:rPr>
              <w:t>and </w:t>
            </w:r>
            <w:r>
              <w:rPr>
                <w:spacing w:val="-2"/>
                <w:sz w:val="20"/>
              </w:rPr>
              <w:t>television</w:t>
            </w:r>
            <w:r>
              <w:rPr>
                <w:spacing w:val="80"/>
                <w:sz w:val="20"/>
              </w:rPr>
              <w:t>  </w:t>
            </w:r>
            <w:r>
              <w:rPr>
                <w:spacing w:val="-2"/>
                <w:sz w:val="20"/>
              </w:rPr>
              <w:t>studios,</w:t>
            </w:r>
          </w:p>
        </w:tc>
        <w:tc>
          <w:tcPr>
            <w:tcW w:w="1276" w:type="dxa"/>
          </w:tcPr>
          <w:p>
            <w:pPr>
              <w:pStyle w:val="TableParagraph"/>
              <w:spacing w:before="94"/>
              <w:ind w:left="108"/>
              <w:rPr>
                <w:sz w:val="20"/>
              </w:rPr>
            </w:pPr>
            <w:r>
              <w:rPr>
                <w:sz w:val="20"/>
              </w:rPr>
              <w:t>1</w:t>
            </w:r>
            <w:r>
              <w:rPr>
                <w:spacing w:val="65"/>
                <w:sz w:val="20"/>
              </w:rPr>
              <w:t> </w:t>
            </w:r>
            <w:r>
              <w:rPr>
                <w:sz w:val="20"/>
              </w:rPr>
              <w:t>or</w:t>
            </w:r>
            <w:r>
              <w:rPr>
                <w:spacing w:val="63"/>
                <w:sz w:val="20"/>
              </w:rPr>
              <w:t> </w:t>
            </w:r>
            <w:r>
              <w:rPr>
                <w:sz w:val="20"/>
              </w:rPr>
              <w:t>2</w:t>
            </w:r>
            <w:r>
              <w:rPr>
                <w:spacing w:val="65"/>
                <w:sz w:val="20"/>
              </w:rPr>
              <w:t> </w:t>
            </w:r>
            <w:r>
              <w:rPr>
                <w:spacing w:val="-5"/>
                <w:sz w:val="20"/>
              </w:rPr>
              <w:t>or</w:t>
            </w:r>
          </w:p>
          <w:p>
            <w:pPr>
              <w:pStyle w:val="TableParagraph"/>
              <w:spacing w:before="1"/>
              <w:ind w:left="108"/>
              <w:rPr>
                <w:sz w:val="20"/>
              </w:rPr>
            </w:pPr>
            <w:r>
              <w:rPr>
                <w:spacing w:val="-10"/>
                <w:sz w:val="20"/>
              </w:rPr>
              <w:t>3</w:t>
            </w:r>
          </w:p>
        </w:tc>
        <w:tc>
          <w:tcPr>
            <w:tcW w:w="1209" w:type="dxa"/>
          </w:tcPr>
          <w:p>
            <w:pPr>
              <w:pStyle w:val="TableParagraph"/>
              <w:spacing w:before="94"/>
              <w:ind w:left="109"/>
              <w:rPr>
                <w:sz w:val="20"/>
              </w:rPr>
            </w:pPr>
            <w:r>
              <w:rPr>
                <w:spacing w:val="-10"/>
                <w:sz w:val="20"/>
              </w:rPr>
              <w:t>P</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730" w:val="left" w:leader="none"/>
                <w:tab w:pos="1880" w:val="left" w:leader="none"/>
              </w:tabs>
              <w:spacing w:before="94"/>
              <w:ind w:left="111" w:right="105"/>
              <w:rPr>
                <w:sz w:val="20"/>
              </w:rPr>
            </w:pPr>
            <w:r>
              <w:rPr>
                <w:sz w:val="20"/>
              </w:rPr>
              <w:t>In</w:t>
            </w:r>
            <w:r>
              <w:rPr>
                <w:spacing w:val="80"/>
                <w:sz w:val="20"/>
              </w:rPr>
              <w:t> </w:t>
            </w:r>
            <w:r>
              <w:rPr>
                <w:sz w:val="20"/>
              </w:rPr>
              <w:t>case</w:t>
            </w:r>
            <w:r>
              <w:rPr>
                <w:spacing w:val="80"/>
                <w:sz w:val="20"/>
              </w:rPr>
              <w:t> </w:t>
            </w:r>
            <w:r>
              <w:rPr>
                <w:sz w:val="20"/>
              </w:rPr>
              <w:t>of</w:t>
            </w:r>
            <w:r>
              <w:rPr>
                <w:spacing w:val="80"/>
                <w:sz w:val="20"/>
              </w:rPr>
              <w:t> </w:t>
            </w:r>
            <w:r>
              <w:rPr>
                <w:sz w:val="20"/>
              </w:rPr>
              <w:t>3</w:t>
            </w:r>
            <w:r>
              <w:rPr>
                <w:spacing w:val="80"/>
                <w:sz w:val="20"/>
              </w:rPr>
              <w:t> </w:t>
            </w:r>
            <w:r>
              <w:rPr>
                <w:sz w:val="20"/>
              </w:rPr>
              <w:t>in</w:t>
            </w:r>
            <w:r>
              <w:rPr>
                <w:spacing w:val="40"/>
                <w:sz w:val="20"/>
              </w:rPr>
              <w:t> </w:t>
            </w:r>
            <w:r>
              <w:rPr>
                <w:spacing w:val="-2"/>
                <w:sz w:val="20"/>
              </w:rPr>
              <w:t>residential</w:t>
            </w:r>
            <w:r>
              <w:rPr>
                <w:spacing w:val="8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tc>
      </w:tr>
      <w:tr>
        <w:trPr>
          <w:trHeight w:val="1365" w:hRule="atLeast"/>
        </w:trPr>
        <w:tc>
          <w:tcPr>
            <w:tcW w:w="1260" w:type="dxa"/>
          </w:tcPr>
          <w:p>
            <w:pPr>
              <w:pStyle w:val="TableParagraph"/>
              <w:spacing w:before="94"/>
              <w:ind w:left="107"/>
              <w:rPr>
                <w:sz w:val="20"/>
              </w:rPr>
            </w:pPr>
            <w:r>
              <w:rPr>
                <w:spacing w:val="5"/>
                <w:sz w:val="20"/>
              </w:rPr>
              <w:t>48</w:t>
            </w:r>
          </w:p>
        </w:tc>
        <w:tc>
          <w:tcPr>
            <w:tcW w:w="2856" w:type="dxa"/>
          </w:tcPr>
          <w:p>
            <w:pPr>
              <w:pStyle w:val="TableParagraph"/>
              <w:spacing w:before="94"/>
              <w:ind w:left="108" w:right="853"/>
              <w:jc w:val="both"/>
              <w:rPr>
                <w:sz w:val="20"/>
              </w:rPr>
            </w:pPr>
            <w:r>
              <w:rPr>
                <w:sz w:val="20"/>
              </w:rPr>
              <w:t>Sound recording and </w:t>
            </w:r>
            <w:r>
              <w:rPr>
                <w:sz w:val="20"/>
              </w:rPr>
              <w:t>dubbing studios/ Preview </w:t>
            </w:r>
            <w:r>
              <w:rPr>
                <w:spacing w:val="-2"/>
                <w:sz w:val="20"/>
              </w:rPr>
              <w:t>Theater</w:t>
            </w:r>
          </w:p>
        </w:tc>
        <w:tc>
          <w:tcPr>
            <w:tcW w:w="1276" w:type="dxa"/>
          </w:tcPr>
          <w:p>
            <w:pPr>
              <w:pStyle w:val="TableParagraph"/>
              <w:spacing w:before="94"/>
              <w:ind w:left="108"/>
              <w:rPr>
                <w:sz w:val="20"/>
              </w:rPr>
            </w:pPr>
            <w:r>
              <w:rPr>
                <w:sz w:val="20"/>
              </w:rPr>
              <w:t>1</w:t>
            </w:r>
            <w:r>
              <w:rPr>
                <w:spacing w:val="65"/>
                <w:sz w:val="20"/>
              </w:rPr>
              <w:t> </w:t>
            </w:r>
            <w:r>
              <w:rPr>
                <w:sz w:val="20"/>
              </w:rPr>
              <w:t>or</w:t>
            </w:r>
            <w:r>
              <w:rPr>
                <w:spacing w:val="63"/>
                <w:sz w:val="20"/>
              </w:rPr>
              <w:t> </w:t>
            </w:r>
            <w:r>
              <w:rPr>
                <w:sz w:val="20"/>
              </w:rPr>
              <w:t>2</w:t>
            </w:r>
            <w:r>
              <w:rPr>
                <w:spacing w:val="65"/>
                <w:sz w:val="20"/>
              </w:rPr>
              <w:t> </w:t>
            </w:r>
            <w:r>
              <w:rPr>
                <w:spacing w:val="-5"/>
                <w:sz w:val="20"/>
              </w:rPr>
              <w:t>or</w:t>
            </w:r>
          </w:p>
          <w:p>
            <w:pPr>
              <w:pStyle w:val="TableParagraph"/>
              <w:spacing w:before="1"/>
              <w:ind w:left="108"/>
              <w:rPr>
                <w:sz w:val="20"/>
              </w:rPr>
            </w:pPr>
            <w:r>
              <w:rPr>
                <w:sz w:val="20"/>
              </w:rPr>
              <w:t>3</w:t>
            </w:r>
            <w:r>
              <w:rPr>
                <w:spacing w:val="65"/>
                <w:sz w:val="20"/>
              </w:rPr>
              <w:t> </w:t>
            </w:r>
            <w:r>
              <w:rPr>
                <w:sz w:val="20"/>
              </w:rPr>
              <w:t>or</w:t>
            </w:r>
            <w:r>
              <w:rPr>
                <w:spacing w:val="63"/>
                <w:sz w:val="20"/>
              </w:rPr>
              <w:t> </w:t>
            </w:r>
            <w:r>
              <w:rPr>
                <w:sz w:val="20"/>
              </w:rPr>
              <w:t>6</w:t>
            </w:r>
            <w:r>
              <w:rPr>
                <w:spacing w:val="65"/>
                <w:sz w:val="20"/>
              </w:rPr>
              <w:t> </w:t>
            </w:r>
            <w:r>
              <w:rPr>
                <w:spacing w:val="-5"/>
                <w:sz w:val="20"/>
              </w:rPr>
              <w:t>or</w:t>
            </w:r>
          </w:p>
          <w:p>
            <w:pPr>
              <w:pStyle w:val="TableParagraph"/>
              <w:ind w:left="108"/>
              <w:rPr>
                <w:sz w:val="20"/>
              </w:rPr>
            </w:pPr>
            <w:r>
              <w:rPr>
                <w:spacing w:val="-10"/>
                <w:sz w:val="20"/>
              </w:rPr>
              <w:t>9</w:t>
            </w:r>
          </w:p>
        </w:tc>
        <w:tc>
          <w:tcPr>
            <w:tcW w:w="1209" w:type="dxa"/>
          </w:tcPr>
          <w:p>
            <w:pPr>
              <w:pStyle w:val="TableParagraph"/>
              <w:spacing w:before="94"/>
              <w:ind w:left="109"/>
              <w:rPr>
                <w:sz w:val="20"/>
              </w:rPr>
            </w:pPr>
            <w:r>
              <w:rPr>
                <w:spacing w:val="-10"/>
                <w:sz w:val="20"/>
              </w:rPr>
              <w:t>P</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523" w:val="left" w:leader="none"/>
                <w:tab w:pos="739" w:val="left" w:leader="none"/>
                <w:tab w:pos="1182" w:val="left" w:leader="none"/>
                <w:tab w:pos="1570" w:val="left" w:leader="none"/>
                <w:tab w:pos="1894" w:val="left" w:leader="none"/>
              </w:tabs>
              <w:spacing w:before="94"/>
              <w:ind w:left="111" w:right="86"/>
              <w:rPr>
                <w:sz w:val="20"/>
              </w:rPr>
            </w:pPr>
            <w:r>
              <w:rPr>
                <w:spacing w:val="-6"/>
                <w:sz w:val="20"/>
              </w:rPr>
              <w:t>In</w:t>
            </w:r>
            <w:r>
              <w:rPr>
                <w:sz w:val="20"/>
              </w:rPr>
              <w:tab/>
            </w:r>
            <w:r>
              <w:rPr>
                <w:spacing w:val="-4"/>
                <w:sz w:val="20"/>
              </w:rPr>
              <w:t>case</w:t>
            </w:r>
            <w:r>
              <w:rPr>
                <w:sz w:val="20"/>
              </w:rPr>
              <w:tab/>
            </w:r>
            <w:r>
              <w:rPr>
                <w:spacing w:val="-6"/>
                <w:sz w:val="20"/>
              </w:rPr>
              <w:t>of</w:t>
            </w:r>
            <w:r>
              <w:rPr>
                <w:sz w:val="20"/>
              </w:rPr>
              <w:tab/>
            </w:r>
            <w:r>
              <w:rPr>
                <w:spacing w:val="-10"/>
                <w:sz w:val="20"/>
              </w:rPr>
              <w:t>3</w:t>
            </w:r>
            <w:r>
              <w:rPr>
                <w:sz w:val="20"/>
              </w:rPr>
              <w:tab/>
            </w:r>
            <w:r>
              <w:rPr>
                <w:spacing w:val="-6"/>
                <w:sz w:val="20"/>
              </w:rPr>
              <w:t>in </w:t>
            </w:r>
            <w:r>
              <w:rPr>
                <w:spacing w:val="-2"/>
                <w:sz w:val="20"/>
              </w:rPr>
              <w:t>residential</w:t>
            </w:r>
            <w:r>
              <w:rPr>
                <w:spacing w:val="80"/>
                <w:w w:val="15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tab/>
            </w:r>
            <w:r>
              <w:rPr>
                <w:spacing w:val="-2"/>
                <w:sz w:val="20"/>
              </w:rPr>
              <w:t>subject</w:t>
            </w:r>
            <w:r>
              <w:rPr>
                <w:sz w:val="20"/>
              </w:rPr>
              <w:tab/>
              <w:tab/>
            </w:r>
            <w:r>
              <w:rPr>
                <w:spacing w:val="-60"/>
                <w:sz w:val="20"/>
              </w:rPr>
              <w:t> </w:t>
            </w:r>
            <w:r>
              <w:rPr>
                <w:spacing w:val="-4"/>
                <w:sz w:val="20"/>
              </w:rPr>
              <w:t>to </w:t>
            </w:r>
            <w:r>
              <w:rPr>
                <w:sz w:val="20"/>
              </w:rPr>
              <w:t>condition no 18</w:t>
            </w:r>
          </w:p>
        </w:tc>
      </w:tr>
    </w:tbl>
    <w:p>
      <w:pPr>
        <w:pStyle w:val="TableParagraph"/>
        <w:spacing w:after="0"/>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1130" w:hRule="atLeast"/>
        </w:trPr>
        <w:tc>
          <w:tcPr>
            <w:tcW w:w="1260" w:type="dxa"/>
          </w:tcPr>
          <w:p>
            <w:pPr>
              <w:pStyle w:val="TableParagraph"/>
              <w:spacing w:before="94"/>
              <w:ind w:left="107"/>
              <w:rPr>
                <w:sz w:val="20"/>
              </w:rPr>
            </w:pPr>
            <w:r>
              <w:rPr>
                <w:spacing w:val="5"/>
                <w:sz w:val="20"/>
              </w:rPr>
              <w:t>49</w:t>
            </w:r>
          </w:p>
        </w:tc>
        <w:tc>
          <w:tcPr>
            <w:tcW w:w="2856" w:type="dxa"/>
          </w:tcPr>
          <w:p>
            <w:pPr>
              <w:pStyle w:val="TableParagraph"/>
              <w:spacing w:before="94"/>
              <w:ind w:left="108"/>
              <w:rPr>
                <w:sz w:val="20"/>
              </w:rPr>
            </w:pPr>
            <w:r>
              <w:rPr>
                <w:sz w:val="20"/>
              </w:rPr>
              <w:t>Flour</w:t>
            </w:r>
            <w:r>
              <w:rPr>
                <w:spacing w:val="54"/>
                <w:sz w:val="20"/>
              </w:rPr>
              <w:t> </w:t>
            </w:r>
            <w:r>
              <w:rPr>
                <w:spacing w:val="-4"/>
                <w:sz w:val="20"/>
              </w:rPr>
              <w:t>Mill</w:t>
            </w:r>
          </w:p>
        </w:tc>
        <w:tc>
          <w:tcPr>
            <w:tcW w:w="1276" w:type="dxa"/>
          </w:tcPr>
          <w:p>
            <w:pPr>
              <w:pStyle w:val="TableParagraph"/>
              <w:spacing w:before="94"/>
              <w:ind w:left="108"/>
              <w:rPr>
                <w:sz w:val="20"/>
              </w:rPr>
            </w:pPr>
            <w:r>
              <w:rPr>
                <w:sz w:val="20"/>
              </w:rPr>
              <w:t>1</w:t>
            </w:r>
            <w:r>
              <w:rPr>
                <w:spacing w:val="40"/>
                <w:sz w:val="20"/>
              </w:rPr>
              <w:t> </w:t>
            </w:r>
            <w:r>
              <w:rPr>
                <w:sz w:val="20"/>
              </w:rPr>
              <w:t>or</w:t>
            </w:r>
            <w:r>
              <w:rPr>
                <w:spacing w:val="40"/>
                <w:sz w:val="20"/>
              </w:rPr>
              <w:t> </w:t>
            </w:r>
            <w:r>
              <w:rPr>
                <w:sz w:val="20"/>
              </w:rPr>
              <w:t>2</w:t>
            </w:r>
            <w:r>
              <w:rPr>
                <w:spacing w:val="40"/>
                <w:sz w:val="20"/>
              </w:rPr>
              <w:t> </w:t>
            </w:r>
            <w:r>
              <w:rPr>
                <w:spacing w:val="-5"/>
                <w:sz w:val="20"/>
              </w:rPr>
              <w:t>or</w:t>
            </w:r>
          </w:p>
          <w:p>
            <w:pPr>
              <w:pStyle w:val="TableParagraph"/>
              <w:spacing w:before="1"/>
              <w:ind w:left="108"/>
              <w:rPr>
                <w:sz w:val="20"/>
              </w:rPr>
            </w:pPr>
            <w:r>
              <w:rPr>
                <w:sz w:val="20"/>
              </w:rPr>
              <w:t>3</w:t>
            </w:r>
            <w:r>
              <w:rPr>
                <w:spacing w:val="80"/>
                <w:sz w:val="20"/>
              </w:rPr>
              <w:t> </w:t>
            </w:r>
            <w:r>
              <w:rPr>
                <w:sz w:val="20"/>
              </w:rPr>
              <w:t>or</w:t>
            </w:r>
            <w:r>
              <w:rPr>
                <w:spacing w:val="120"/>
                <w:sz w:val="20"/>
              </w:rPr>
              <w:t> </w:t>
            </w:r>
            <w:r>
              <w:rPr>
                <w:sz w:val="20"/>
              </w:rPr>
              <w:t>2</w:t>
            </w:r>
            <w:r>
              <w:rPr>
                <w:sz w:val="20"/>
              </w:rPr>
              <w:t>0</w:t>
            </w:r>
            <w:r>
              <w:rPr>
                <w:sz w:val="20"/>
              </w:rPr>
              <w:t> </w:t>
            </w:r>
            <w:r>
              <w:rPr>
                <w:spacing w:val="-4"/>
                <w:sz w:val="20"/>
              </w:rPr>
              <w:t>&amp;18</w:t>
            </w:r>
          </w:p>
        </w:tc>
        <w:tc>
          <w:tcPr>
            <w:tcW w:w="1209" w:type="dxa"/>
          </w:tcPr>
          <w:p>
            <w:pPr>
              <w:pStyle w:val="TableParagraph"/>
              <w:spacing w:before="94"/>
              <w:ind w:left="109"/>
              <w:rPr>
                <w:sz w:val="20"/>
              </w:rPr>
            </w:pPr>
            <w:r>
              <w:rPr>
                <w:sz w:val="20"/>
              </w:rPr>
              <w:t>1or</w:t>
            </w:r>
            <w:r>
              <w:rPr>
                <w:spacing w:val="59"/>
                <w:sz w:val="20"/>
              </w:rPr>
              <w:t> </w:t>
            </w:r>
            <w:r>
              <w:rPr>
                <w:sz w:val="20"/>
              </w:rPr>
              <w:t>2</w:t>
            </w:r>
            <w:r>
              <w:rPr>
                <w:spacing w:val="58"/>
                <w:sz w:val="20"/>
              </w:rPr>
              <w:t> </w:t>
            </w:r>
            <w:r>
              <w:rPr>
                <w:spacing w:val="-5"/>
                <w:sz w:val="20"/>
              </w:rPr>
              <w:t>or</w:t>
            </w:r>
          </w:p>
          <w:p>
            <w:pPr>
              <w:pStyle w:val="TableParagraph"/>
              <w:spacing w:before="1"/>
              <w:ind w:left="109"/>
              <w:rPr>
                <w:sz w:val="20"/>
              </w:rPr>
            </w:pPr>
            <w:r>
              <w:rPr>
                <w:sz w:val="20"/>
              </w:rPr>
              <w:t>3</w:t>
            </w:r>
            <w:r>
              <w:rPr>
                <w:spacing w:val="64"/>
                <w:w w:val="150"/>
                <w:sz w:val="20"/>
              </w:rPr>
              <w:t> </w:t>
            </w:r>
            <w:r>
              <w:rPr>
                <w:sz w:val="20"/>
              </w:rPr>
              <w:t>or</w:t>
            </w:r>
            <w:r>
              <w:rPr>
                <w:spacing w:val="66"/>
                <w:w w:val="150"/>
                <w:sz w:val="20"/>
              </w:rPr>
              <w:t> </w:t>
            </w:r>
            <w:r>
              <w:rPr>
                <w:spacing w:val="-5"/>
                <w:sz w:val="20"/>
              </w:rPr>
              <w:t>20</w:t>
            </w:r>
          </w:p>
          <w:p>
            <w:pPr>
              <w:pStyle w:val="TableParagraph"/>
              <w:ind w:left="109"/>
              <w:rPr>
                <w:sz w:val="20"/>
              </w:rPr>
            </w:pPr>
            <w:r>
              <w:rPr>
                <w:sz w:val="20"/>
              </w:rPr>
              <w:t>&amp;</w:t>
            </w:r>
            <w:r>
              <w:rPr>
                <w:spacing w:val="16"/>
                <w:sz w:val="20"/>
              </w:rPr>
              <w:t> </w:t>
            </w:r>
            <w:r>
              <w:rPr>
                <w:spacing w:val="-5"/>
                <w:sz w:val="20"/>
              </w:rPr>
              <w:t>17</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717" w:val="left" w:leader="none"/>
                <w:tab w:pos="1685" w:val="left" w:leader="none"/>
              </w:tabs>
              <w:spacing w:before="94"/>
              <w:ind w:left="111" w:right="166"/>
              <w:rPr>
                <w:sz w:val="20"/>
              </w:rPr>
            </w:pPr>
            <w:r>
              <w:rPr>
                <w:spacing w:val="-2"/>
                <w:sz w:val="20"/>
              </w:rPr>
              <w:t>Power</w:t>
            </w:r>
            <w:r>
              <w:rPr>
                <w:spacing w:val="40"/>
                <w:sz w:val="20"/>
              </w:rPr>
              <w:t>  </w:t>
            </w:r>
            <w:r>
              <w:rPr>
                <w:sz w:val="20"/>
              </w:rPr>
              <w:t>requirement</w:t>
            </w:r>
            <w:r>
              <w:rPr>
                <w:spacing w:val="40"/>
                <w:sz w:val="20"/>
              </w:rPr>
              <w:t> </w:t>
            </w:r>
            <w:r>
              <w:rPr>
                <w:sz w:val="20"/>
              </w:rPr>
              <w:t>shall </w:t>
            </w:r>
            <w:r>
              <w:rPr>
                <w:spacing w:val="-4"/>
                <w:sz w:val="20"/>
              </w:rPr>
              <w:t>not</w:t>
            </w:r>
            <w:r>
              <w:rPr>
                <w:sz w:val="20"/>
              </w:rPr>
              <w:tab/>
            </w:r>
            <w:r>
              <w:rPr>
                <w:spacing w:val="-2"/>
                <w:sz w:val="20"/>
              </w:rPr>
              <w:t>exceed</w:t>
            </w:r>
            <w:r>
              <w:rPr>
                <w:sz w:val="20"/>
              </w:rPr>
              <w:tab/>
            </w:r>
            <w:r>
              <w:rPr>
                <w:spacing w:val="-4"/>
                <w:sz w:val="20"/>
              </w:rPr>
              <w:t>7.5 </w:t>
            </w:r>
            <w:r>
              <w:rPr>
                <w:sz w:val="20"/>
              </w:rPr>
              <w:t>KW each</w:t>
            </w:r>
          </w:p>
        </w:tc>
      </w:tr>
      <w:tr>
        <w:trPr>
          <w:trHeight w:val="4419" w:hRule="atLeast"/>
        </w:trPr>
        <w:tc>
          <w:tcPr>
            <w:tcW w:w="1260" w:type="dxa"/>
          </w:tcPr>
          <w:p>
            <w:pPr>
              <w:pStyle w:val="TableParagraph"/>
              <w:spacing w:before="94"/>
              <w:ind w:left="107"/>
              <w:rPr>
                <w:sz w:val="20"/>
              </w:rPr>
            </w:pPr>
            <w:r>
              <w:rPr>
                <w:spacing w:val="5"/>
                <w:sz w:val="20"/>
              </w:rPr>
              <w:t>50</w:t>
            </w:r>
          </w:p>
        </w:tc>
        <w:tc>
          <w:tcPr>
            <w:tcW w:w="2856" w:type="dxa"/>
          </w:tcPr>
          <w:p>
            <w:pPr>
              <w:pStyle w:val="TableParagraph"/>
              <w:tabs>
                <w:tab w:pos="2345" w:val="left" w:leader="none"/>
              </w:tabs>
              <w:spacing w:before="94"/>
              <w:ind w:left="108" w:right="107"/>
              <w:jc w:val="both"/>
              <w:rPr>
                <w:sz w:val="20"/>
              </w:rPr>
            </w:pPr>
            <w:r>
              <w:rPr>
                <w:sz w:val="20"/>
              </w:rPr>
              <w:t>Storage</w:t>
            </w:r>
            <w:r>
              <w:rPr>
                <w:spacing w:val="40"/>
                <w:sz w:val="20"/>
              </w:rPr>
              <w:t> </w:t>
            </w:r>
            <w:r>
              <w:rPr>
                <w:sz w:val="20"/>
              </w:rPr>
              <w:t>and</w:t>
            </w:r>
            <w:r>
              <w:rPr>
                <w:spacing w:val="40"/>
                <w:sz w:val="20"/>
              </w:rPr>
              <w:t> </w:t>
            </w:r>
            <w:r>
              <w:rPr>
                <w:sz w:val="20"/>
              </w:rPr>
              <w:t>Retail</w:t>
            </w:r>
            <w:r>
              <w:rPr>
                <w:spacing w:val="40"/>
                <w:sz w:val="20"/>
              </w:rPr>
              <w:t> </w:t>
            </w:r>
            <w:r>
              <w:rPr>
                <w:sz w:val="20"/>
              </w:rPr>
              <w:t>sale</w:t>
            </w:r>
            <w:r>
              <w:rPr>
                <w:spacing w:val="80"/>
                <w:sz w:val="20"/>
              </w:rPr>
              <w:t> </w:t>
            </w:r>
            <w:r>
              <w:rPr>
                <w:sz w:val="20"/>
              </w:rPr>
              <w:t>of</w:t>
            </w:r>
            <w:r>
              <w:rPr>
                <w:spacing w:val="80"/>
                <w:sz w:val="20"/>
              </w:rPr>
              <w:t> </w:t>
            </w:r>
            <w:r>
              <w:rPr>
                <w:sz w:val="20"/>
              </w:rPr>
              <w:t>household</w:t>
            </w:r>
            <w:r>
              <w:rPr>
                <w:spacing w:val="80"/>
                <w:sz w:val="20"/>
              </w:rPr>
              <w:t> </w:t>
            </w:r>
            <w:r>
              <w:rPr>
                <w:sz w:val="20"/>
              </w:rPr>
              <w:t>fuel</w:t>
            </w:r>
            <w:r>
              <w:rPr>
                <w:spacing w:val="40"/>
                <w:sz w:val="20"/>
              </w:rPr>
              <w:t> </w:t>
            </w:r>
            <w:r>
              <w:rPr>
                <w:sz w:val="20"/>
              </w:rPr>
              <w:t>Storage of liquified petroleum gas cylinders (bottled</w:t>
            </w:r>
            <w:r>
              <w:rPr>
                <w:spacing w:val="80"/>
                <w:sz w:val="20"/>
              </w:rPr>
              <w:t> </w:t>
            </w:r>
            <w:r>
              <w:rPr>
                <w:sz w:val="20"/>
              </w:rPr>
              <w:t>gas)</w:t>
            </w:r>
            <w:r>
              <w:rPr>
                <w:spacing w:val="80"/>
                <w:sz w:val="20"/>
              </w:rPr>
              <w:t> </w:t>
            </w:r>
            <w:r>
              <w:rPr>
                <w:sz w:val="20"/>
              </w:rPr>
              <w:t>for</w:t>
            </w:r>
            <w:r>
              <w:rPr>
                <w:spacing w:val="80"/>
                <w:sz w:val="20"/>
              </w:rPr>
              <w:t> </w:t>
            </w:r>
            <w:r>
              <w:rPr>
                <w:sz w:val="20"/>
              </w:rPr>
              <w:t>domestic consumption</w:t>
            </w:r>
            <w:r>
              <w:rPr>
                <w:spacing w:val="80"/>
                <w:sz w:val="20"/>
              </w:rPr>
              <w:t> </w:t>
            </w:r>
            <w:r>
              <w:rPr>
                <w:sz w:val="20"/>
              </w:rPr>
              <w:t>not</w:t>
            </w:r>
            <w:r>
              <w:rPr>
                <w:spacing w:val="40"/>
                <w:sz w:val="20"/>
              </w:rPr>
              <w:t> </w:t>
            </w:r>
            <w:r>
              <w:rPr>
                <w:sz w:val="20"/>
              </w:rPr>
              <w:t>exceeding</w:t>
            </w:r>
            <w:r>
              <w:rPr>
                <w:spacing w:val="40"/>
                <w:sz w:val="20"/>
              </w:rPr>
              <w:t> </w:t>
            </w:r>
            <w:r>
              <w:rPr>
                <w:sz w:val="20"/>
              </w:rPr>
              <w:t>300</w:t>
            </w:r>
            <w:r>
              <w:rPr>
                <w:spacing w:val="40"/>
                <w:sz w:val="20"/>
              </w:rPr>
              <w:t> </w:t>
            </w:r>
            <w:r>
              <w:rPr>
                <w:sz w:val="20"/>
              </w:rPr>
              <w:t>kg.</w:t>
            </w:r>
            <w:r>
              <w:rPr>
                <w:spacing w:val="40"/>
                <w:sz w:val="20"/>
              </w:rPr>
              <w:t> </w:t>
            </w:r>
            <w:r>
              <w:rPr>
                <w:sz w:val="20"/>
              </w:rPr>
              <w:t>in a</w:t>
            </w:r>
            <w:r>
              <w:rPr>
                <w:spacing w:val="80"/>
                <w:sz w:val="20"/>
              </w:rPr>
              <w:t> </w:t>
            </w:r>
            <w:r>
              <w:rPr>
                <w:sz w:val="20"/>
              </w:rPr>
              <w:t>residential</w:t>
            </w:r>
            <w:r>
              <w:rPr>
                <w:spacing w:val="80"/>
                <w:sz w:val="20"/>
              </w:rPr>
              <w:t> </w:t>
            </w:r>
            <w:r>
              <w:rPr>
                <w:sz w:val="20"/>
              </w:rPr>
              <w:t>building and not exceeding 8000 kg. in an independent ground floor structure (except a garage) at any one</w:t>
            </w:r>
            <w:r>
              <w:rPr>
                <w:spacing w:val="40"/>
                <w:sz w:val="20"/>
              </w:rPr>
              <w:t> </w:t>
            </w:r>
            <w:r>
              <w:rPr>
                <w:sz w:val="20"/>
              </w:rPr>
              <w:t>time,</w:t>
            </w:r>
            <w:r>
              <w:rPr>
                <w:spacing w:val="40"/>
                <w:sz w:val="20"/>
              </w:rPr>
              <w:t> </w:t>
            </w:r>
            <w:r>
              <w:rPr>
                <w:sz w:val="20"/>
              </w:rPr>
              <w:t>with</w:t>
            </w:r>
            <w:r>
              <w:rPr>
                <w:spacing w:val="40"/>
                <w:sz w:val="20"/>
              </w:rPr>
              <w:t> </w:t>
            </w:r>
            <w:r>
              <w:rPr>
                <w:sz w:val="20"/>
              </w:rPr>
              <w:t>the</w:t>
            </w:r>
            <w:r>
              <w:rPr>
                <w:spacing w:val="80"/>
                <w:sz w:val="20"/>
              </w:rPr>
              <w:t> </w:t>
            </w:r>
            <w:r>
              <w:rPr>
                <w:sz w:val="20"/>
              </w:rPr>
              <w:t>special permission of the </w:t>
            </w:r>
            <w:r>
              <w:rPr>
                <w:spacing w:val="-2"/>
                <w:sz w:val="20"/>
              </w:rPr>
              <w:t>Commissioner</w:t>
            </w:r>
            <w:r>
              <w:rPr>
                <w:sz w:val="20"/>
              </w:rPr>
              <w:tab/>
            </w:r>
            <w:r>
              <w:rPr>
                <w:spacing w:val="-4"/>
                <w:sz w:val="20"/>
              </w:rPr>
              <w:t>and </w:t>
            </w:r>
            <w:r>
              <w:rPr>
                <w:sz w:val="20"/>
              </w:rPr>
              <w:t>subject to compliance</w:t>
            </w:r>
            <w:r>
              <w:rPr>
                <w:spacing w:val="80"/>
                <w:sz w:val="20"/>
              </w:rPr>
              <w:t> </w:t>
            </w:r>
            <w:r>
              <w:rPr>
                <w:sz w:val="20"/>
              </w:rPr>
              <w:t>with statutory safety </w:t>
            </w:r>
            <w:r>
              <w:rPr>
                <w:spacing w:val="-2"/>
                <w:sz w:val="20"/>
              </w:rPr>
              <w:t>requirements.</w:t>
            </w:r>
          </w:p>
        </w:tc>
        <w:tc>
          <w:tcPr>
            <w:tcW w:w="1276" w:type="dxa"/>
          </w:tcPr>
          <w:p>
            <w:pPr>
              <w:pStyle w:val="TableParagraph"/>
              <w:tabs>
                <w:tab w:pos="523" w:val="left" w:leader="none"/>
                <w:tab w:pos="998" w:val="left" w:leader="none"/>
              </w:tabs>
              <w:spacing w:before="94"/>
              <w:ind w:left="108"/>
              <w:rPr>
                <w:sz w:val="20"/>
              </w:rPr>
            </w:pPr>
            <w:r>
              <w:rPr>
                <w:spacing w:val="-5"/>
                <w:sz w:val="20"/>
              </w:rPr>
              <w:t>1,</w:t>
            </w:r>
            <w:r>
              <w:rPr>
                <w:sz w:val="20"/>
              </w:rPr>
              <w:tab/>
            </w:r>
            <w:r>
              <w:rPr>
                <w:spacing w:val="-5"/>
                <w:sz w:val="20"/>
              </w:rPr>
              <w:t>14</w:t>
            </w:r>
            <w:r>
              <w:rPr>
                <w:sz w:val="20"/>
              </w:rPr>
              <w:tab/>
            </w:r>
            <w:r>
              <w:rPr>
                <w:spacing w:val="-10"/>
                <w:sz w:val="20"/>
              </w:rPr>
              <w:t>&amp;</w:t>
            </w:r>
          </w:p>
          <w:p>
            <w:pPr>
              <w:pStyle w:val="TableParagraph"/>
              <w:spacing w:before="1"/>
              <w:ind w:left="108"/>
              <w:rPr>
                <w:sz w:val="20"/>
              </w:rPr>
            </w:pPr>
            <w:r>
              <w:rPr>
                <w:sz w:val="20"/>
              </w:rPr>
              <w:t>21,</w:t>
            </w:r>
            <w:r>
              <w:rPr>
                <w:spacing w:val="34"/>
                <w:sz w:val="20"/>
              </w:rPr>
              <w:t> </w:t>
            </w:r>
            <w:r>
              <w:rPr>
                <w:spacing w:val="-5"/>
                <w:sz w:val="20"/>
              </w:rPr>
              <w:t>26</w:t>
            </w:r>
          </w:p>
        </w:tc>
        <w:tc>
          <w:tcPr>
            <w:tcW w:w="1209" w:type="dxa"/>
          </w:tcPr>
          <w:p>
            <w:pPr>
              <w:pStyle w:val="TableParagraph"/>
              <w:spacing w:before="94"/>
              <w:ind w:left="109"/>
              <w:rPr>
                <w:sz w:val="20"/>
              </w:rPr>
            </w:pPr>
            <w:r>
              <w:rPr>
                <w:sz w:val="20"/>
              </w:rPr>
              <w:t>1,</w:t>
            </w:r>
            <w:r>
              <w:rPr>
                <w:spacing w:val="31"/>
                <w:sz w:val="20"/>
              </w:rPr>
              <w:t> </w:t>
            </w:r>
            <w:r>
              <w:rPr>
                <w:sz w:val="20"/>
              </w:rPr>
              <w:t>21,</w:t>
            </w:r>
            <w:r>
              <w:rPr>
                <w:spacing w:val="34"/>
                <w:sz w:val="20"/>
              </w:rPr>
              <w:t> </w:t>
            </w:r>
            <w:r>
              <w:rPr>
                <w:spacing w:val="-5"/>
                <w:sz w:val="20"/>
              </w:rPr>
              <w:t>26</w:t>
            </w:r>
          </w:p>
        </w:tc>
        <w:tc>
          <w:tcPr>
            <w:tcW w:w="1199" w:type="dxa"/>
          </w:tcPr>
          <w:p>
            <w:pPr>
              <w:pStyle w:val="TableParagraph"/>
              <w:tabs>
                <w:tab w:pos="678" w:val="left" w:leader="none"/>
              </w:tabs>
              <w:spacing w:before="94"/>
              <w:ind w:left="110"/>
              <w:rPr>
                <w:sz w:val="20"/>
              </w:rPr>
            </w:pPr>
            <w:r>
              <w:rPr>
                <w:spacing w:val="-5"/>
                <w:sz w:val="20"/>
              </w:rPr>
              <w:t>1,&amp;</w:t>
            </w:r>
            <w:r>
              <w:rPr>
                <w:sz w:val="20"/>
              </w:rPr>
              <w:tab/>
            </w:r>
            <w:r>
              <w:rPr>
                <w:spacing w:val="-5"/>
                <w:sz w:val="20"/>
              </w:rPr>
              <w:t>21,</w:t>
            </w:r>
          </w:p>
          <w:p>
            <w:pPr>
              <w:pStyle w:val="TableParagraph"/>
              <w:spacing w:before="1"/>
              <w:ind w:left="110"/>
              <w:rPr>
                <w:sz w:val="20"/>
              </w:rPr>
            </w:pPr>
            <w:r>
              <w:rPr>
                <w:spacing w:val="5"/>
                <w:sz w:val="20"/>
              </w:rPr>
              <w:t>26</w:t>
            </w:r>
          </w:p>
        </w:tc>
        <w:tc>
          <w:tcPr>
            <w:tcW w:w="2196" w:type="dxa"/>
          </w:tcPr>
          <w:p>
            <w:pPr>
              <w:pStyle w:val="TableParagraph"/>
              <w:rPr>
                <w:rFonts w:ascii="Times New Roman"/>
                <w:sz w:val="18"/>
              </w:rPr>
            </w:pPr>
          </w:p>
        </w:tc>
      </w:tr>
      <w:tr>
        <w:trPr>
          <w:trHeight w:val="2538" w:hRule="atLeast"/>
        </w:trPr>
        <w:tc>
          <w:tcPr>
            <w:tcW w:w="1260" w:type="dxa"/>
          </w:tcPr>
          <w:p>
            <w:pPr>
              <w:pStyle w:val="TableParagraph"/>
              <w:spacing w:before="94"/>
              <w:ind w:left="107"/>
              <w:rPr>
                <w:sz w:val="20"/>
              </w:rPr>
            </w:pPr>
            <w:r>
              <w:rPr>
                <w:spacing w:val="5"/>
                <w:sz w:val="20"/>
              </w:rPr>
              <w:t>51</w:t>
            </w:r>
          </w:p>
        </w:tc>
        <w:tc>
          <w:tcPr>
            <w:tcW w:w="2856" w:type="dxa"/>
          </w:tcPr>
          <w:p>
            <w:pPr>
              <w:pStyle w:val="TableParagraph"/>
              <w:tabs>
                <w:tab w:pos="1975" w:val="left" w:leader="none"/>
              </w:tabs>
              <w:spacing w:before="94"/>
              <w:ind w:left="108"/>
              <w:jc w:val="both"/>
              <w:rPr>
                <w:sz w:val="20"/>
              </w:rPr>
            </w:pPr>
            <w:r>
              <w:rPr>
                <w:spacing w:val="-2"/>
                <w:sz w:val="20"/>
              </w:rPr>
              <w:t>Vehicles</w:t>
            </w:r>
            <w:r>
              <w:rPr>
                <w:sz w:val="20"/>
              </w:rPr>
              <w:tab/>
            </w:r>
            <w:r>
              <w:rPr>
                <w:spacing w:val="-2"/>
                <w:sz w:val="20"/>
              </w:rPr>
              <w:t>repair/</w:t>
            </w:r>
          </w:p>
          <w:p>
            <w:pPr>
              <w:pStyle w:val="TableParagraph"/>
              <w:tabs>
                <w:tab w:pos="1857" w:val="left" w:leader="none"/>
              </w:tabs>
              <w:spacing w:before="1"/>
              <w:ind w:left="108" w:right="110"/>
              <w:jc w:val="both"/>
              <w:rPr>
                <w:sz w:val="20"/>
              </w:rPr>
            </w:pPr>
            <w:r>
              <w:rPr>
                <w:spacing w:val="-2"/>
                <w:sz w:val="20"/>
              </w:rPr>
              <w:t>servicing</w:t>
            </w:r>
            <w:r>
              <w:rPr>
                <w:sz w:val="20"/>
              </w:rPr>
              <w:tab/>
            </w:r>
            <w:r>
              <w:rPr>
                <w:spacing w:val="-2"/>
                <w:sz w:val="20"/>
              </w:rPr>
              <w:t>garages, </w:t>
            </w:r>
            <w:r>
              <w:rPr>
                <w:sz w:val="20"/>
              </w:rPr>
              <w:t>driving school,</w:t>
            </w:r>
          </w:p>
          <w:p>
            <w:pPr>
              <w:pStyle w:val="TableParagraph"/>
              <w:tabs>
                <w:tab w:pos="1858" w:val="left" w:leader="none"/>
              </w:tabs>
              <w:spacing w:before="96"/>
              <w:ind w:left="108" w:right="108"/>
              <w:jc w:val="both"/>
              <w:rPr>
                <w:sz w:val="20"/>
              </w:rPr>
            </w:pPr>
            <w:r>
              <w:rPr>
                <w:spacing w:val="-2"/>
                <w:sz w:val="20"/>
              </w:rPr>
              <w:t>repairing</w:t>
            </w:r>
            <w:r>
              <w:rPr>
                <w:sz w:val="20"/>
              </w:rPr>
              <w:tab/>
            </w:r>
            <w:r>
              <w:rPr>
                <w:spacing w:val="-2"/>
                <w:sz w:val="20"/>
              </w:rPr>
              <w:t>garages, </w:t>
            </w:r>
            <w:r>
              <w:rPr>
                <w:sz w:val="20"/>
              </w:rPr>
              <w:t>without</w:t>
            </w:r>
            <w:r>
              <w:rPr>
                <w:spacing w:val="40"/>
                <w:sz w:val="20"/>
              </w:rPr>
              <w:t> </w:t>
            </w:r>
            <w:r>
              <w:rPr>
                <w:sz w:val="20"/>
              </w:rPr>
              <w:t>activities</w:t>
            </w:r>
            <w:r>
              <w:rPr>
                <w:spacing w:val="40"/>
                <w:sz w:val="20"/>
              </w:rPr>
              <w:t> </w:t>
            </w:r>
            <w:r>
              <w:rPr>
                <w:sz w:val="20"/>
              </w:rPr>
              <w:t>of</w:t>
            </w:r>
            <w:r>
              <w:rPr>
                <w:spacing w:val="40"/>
                <w:sz w:val="20"/>
              </w:rPr>
              <w:t> </w:t>
            </w:r>
            <w:r>
              <w:rPr>
                <w:spacing w:val="9"/>
                <w:sz w:val="20"/>
              </w:rPr>
              <w:t>body-</w:t>
            </w:r>
            <w:r>
              <w:rPr>
                <w:sz w:val="20"/>
              </w:rPr>
              <w:t>building and spray </w:t>
            </w:r>
            <w:r>
              <w:rPr>
                <w:spacing w:val="-2"/>
                <w:sz w:val="20"/>
              </w:rPr>
              <w:t>painting,</w:t>
            </w:r>
          </w:p>
        </w:tc>
        <w:tc>
          <w:tcPr>
            <w:tcW w:w="1276" w:type="dxa"/>
          </w:tcPr>
          <w:p>
            <w:pPr>
              <w:pStyle w:val="TableParagraph"/>
              <w:spacing w:before="94"/>
              <w:ind w:left="108"/>
              <w:rPr>
                <w:sz w:val="20"/>
              </w:rPr>
            </w:pPr>
            <w:r>
              <w:rPr>
                <w:sz w:val="20"/>
              </w:rPr>
              <w:t>1</w:t>
            </w:r>
            <w:r>
              <w:rPr>
                <w:spacing w:val="65"/>
                <w:sz w:val="20"/>
              </w:rPr>
              <w:t> </w:t>
            </w:r>
            <w:r>
              <w:rPr>
                <w:sz w:val="20"/>
              </w:rPr>
              <w:t>or</w:t>
            </w:r>
            <w:r>
              <w:rPr>
                <w:spacing w:val="63"/>
                <w:sz w:val="20"/>
              </w:rPr>
              <w:t> </w:t>
            </w:r>
            <w:r>
              <w:rPr>
                <w:sz w:val="20"/>
              </w:rPr>
              <w:t>6</w:t>
            </w:r>
            <w:r>
              <w:rPr>
                <w:spacing w:val="65"/>
                <w:sz w:val="20"/>
              </w:rPr>
              <w:t> </w:t>
            </w:r>
            <w:r>
              <w:rPr>
                <w:spacing w:val="-5"/>
                <w:sz w:val="20"/>
              </w:rPr>
              <w:t>or</w:t>
            </w:r>
          </w:p>
          <w:p>
            <w:pPr>
              <w:pStyle w:val="TableParagraph"/>
              <w:tabs>
                <w:tab w:pos="998" w:val="left" w:leader="none"/>
              </w:tabs>
              <w:spacing w:before="1"/>
              <w:ind w:left="108"/>
              <w:rPr>
                <w:sz w:val="20"/>
              </w:rPr>
            </w:pPr>
            <w:r>
              <w:rPr>
                <w:spacing w:val="-5"/>
                <w:sz w:val="20"/>
              </w:rPr>
              <w:t>20</w:t>
            </w:r>
            <w:r>
              <w:rPr>
                <w:sz w:val="20"/>
              </w:rPr>
              <w:tab/>
            </w:r>
            <w:r>
              <w:rPr>
                <w:spacing w:val="-10"/>
                <w:sz w:val="20"/>
              </w:rPr>
              <w:t>&amp;</w:t>
            </w:r>
          </w:p>
          <w:p>
            <w:pPr>
              <w:pStyle w:val="TableParagraph"/>
              <w:ind w:left="108"/>
              <w:rPr>
                <w:sz w:val="20"/>
              </w:rPr>
            </w:pPr>
            <w:r>
              <w:rPr>
                <w:spacing w:val="-2"/>
                <w:sz w:val="20"/>
              </w:rPr>
              <w:t>16,17</w:t>
            </w:r>
          </w:p>
        </w:tc>
        <w:tc>
          <w:tcPr>
            <w:tcW w:w="1209" w:type="dxa"/>
          </w:tcPr>
          <w:p>
            <w:pPr>
              <w:pStyle w:val="TableParagraph"/>
              <w:spacing w:before="94"/>
              <w:ind w:left="109"/>
              <w:rPr>
                <w:sz w:val="20"/>
              </w:rPr>
            </w:pPr>
            <w:r>
              <w:rPr>
                <w:sz w:val="20"/>
              </w:rPr>
              <w:t>1</w:t>
            </w:r>
            <w:r>
              <w:rPr>
                <w:spacing w:val="40"/>
                <w:sz w:val="20"/>
              </w:rPr>
              <w:t> </w:t>
            </w:r>
            <w:r>
              <w:rPr>
                <w:sz w:val="20"/>
              </w:rPr>
              <w:t>or</w:t>
            </w:r>
            <w:r>
              <w:rPr>
                <w:spacing w:val="44"/>
                <w:sz w:val="20"/>
              </w:rPr>
              <w:t> </w:t>
            </w:r>
            <w:r>
              <w:rPr>
                <w:sz w:val="20"/>
              </w:rPr>
              <w:t>6</w:t>
            </w:r>
            <w:r>
              <w:rPr>
                <w:spacing w:val="40"/>
                <w:sz w:val="20"/>
              </w:rPr>
              <w:t> </w:t>
            </w:r>
            <w:r>
              <w:rPr>
                <w:spacing w:val="-5"/>
                <w:sz w:val="20"/>
              </w:rPr>
              <w:t>or</w:t>
            </w:r>
          </w:p>
          <w:p>
            <w:pPr>
              <w:pStyle w:val="TableParagraph"/>
              <w:spacing w:before="1"/>
              <w:ind w:left="109"/>
              <w:rPr>
                <w:sz w:val="20"/>
              </w:rPr>
            </w:pPr>
            <w:r>
              <w:rPr>
                <w:spacing w:val="-2"/>
                <w:sz w:val="20"/>
              </w:rPr>
              <w:t>20,15</w:t>
            </w:r>
          </w:p>
        </w:tc>
        <w:tc>
          <w:tcPr>
            <w:tcW w:w="1199" w:type="dxa"/>
          </w:tcPr>
          <w:p>
            <w:pPr>
              <w:pStyle w:val="TableParagraph"/>
              <w:spacing w:before="94"/>
              <w:ind w:left="110"/>
              <w:rPr>
                <w:sz w:val="20"/>
              </w:rPr>
            </w:pPr>
            <w:r>
              <w:rPr>
                <w:spacing w:val="-10"/>
                <w:sz w:val="20"/>
              </w:rPr>
              <w:t>P</w:t>
            </w:r>
          </w:p>
        </w:tc>
        <w:tc>
          <w:tcPr>
            <w:tcW w:w="2196" w:type="dxa"/>
          </w:tcPr>
          <w:p>
            <w:pPr>
              <w:pStyle w:val="TableParagraph"/>
              <w:tabs>
                <w:tab w:pos="730" w:val="left" w:leader="none"/>
                <w:tab w:pos="1051" w:val="left" w:leader="none"/>
                <w:tab w:pos="1738" w:val="left" w:leader="none"/>
                <w:tab w:pos="1880" w:val="left" w:leader="none"/>
                <w:tab w:pos="2078" w:val="right" w:leader="none"/>
              </w:tabs>
              <w:spacing w:before="94"/>
              <w:ind w:left="111" w:right="105"/>
              <w:rPr>
                <w:sz w:val="20"/>
              </w:rPr>
            </w:pPr>
            <w:r>
              <w:rPr>
                <w:sz w:val="20"/>
              </w:rPr>
              <w:t>In case of 6, 20 in </w:t>
            </w:r>
            <w:r>
              <w:rPr>
                <w:spacing w:val="-2"/>
                <w:sz w:val="20"/>
              </w:rPr>
              <w:t>residential</w:t>
            </w:r>
            <w:r>
              <w:rPr>
                <w:spacing w:val="8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r>
            <w:r>
              <w:rPr>
                <w:spacing w:val="-2"/>
                <w:sz w:val="20"/>
              </w:rPr>
              <w:t>subject</w:t>
            </w:r>
            <w:r>
              <w:rPr>
                <w:sz w:val="20"/>
              </w:rPr>
              <w:tab/>
              <w:tab/>
            </w:r>
            <w:r>
              <w:rPr>
                <w:spacing w:val="-6"/>
                <w:sz w:val="20"/>
              </w:rPr>
              <w:t>to </w:t>
            </w:r>
            <w:r>
              <w:rPr>
                <w:sz w:val="20"/>
              </w:rPr>
              <w:t>condition</w:t>
            </w:r>
            <w:r>
              <w:rPr>
                <w:spacing w:val="80"/>
                <w:sz w:val="20"/>
              </w:rPr>
              <w:t> </w:t>
            </w:r>
            <w:r>
              <w:rPr>
                <w:sz w:val="20"/>
              </w:rPr>
              <w:t>no</w:t>
            </w:r>
            <w:r>
              <w:rPr>
                <w:spacing w:val="80"/>
                <w:sz w:val="20"/>
              </w:rPr>
              <w:t> </w:t>
            </w:r>
            <w:r>
              <w:rPr>
                <w:sz w:val="20"/>
              </w:rPr>
              <w:t>18. </w:t>
            </w:r>
            <w:r>
              <w:rPr>
                <w:spacing w:val="-2"/>
                <w:sz w:val="20"/>
              </w:rPr>
              <w:t>Employing</w:t>
            </w:r>
            <w:r>
              <w:rPr>
                <w:sz w:val="20"/>
              </w:rPr>
              <w:tab/>
            </w:r>
            <w:r>
              <w:rPr>
                <w:spacing w:val="-4"/>
                <w:sz w:val="20"/>
              </w:rPr>
              <w:t>not more</w:t>
            </w:r>
            <w:r>
              <w:rPr>
                <w:sz w:val="20"/>
              </w:rPr>
              <w:tab/>
              <w:tab/>
            </w:r>
            <w:r>
              <w:rPr>
                <w:spacing w:val="-4"/>
                <w:sz w:val="20"/>
              </w:rPr>
              <w:t>than</w:t>
            </w:r>
            <w:r>
              <w:rPr>
                <w:sz w:val="20"/>
              </w:rPr>
              <w:tab/>
              <w:tab/>
              <w:tab/>
            </w:r>
            <w:r>
              <w:rPr>
                <w:spacing w:val="-10"/>
                <w:sz w:val="20"/>
              </w:rPr>
              <w:t>9</w:t>
            </w:r>
          </w:p>
          <w:p>
            <w:pPr>
              <w:pStyle w:val="TableParagraph"/>
              <w:spacing w:before="1"/>
              <w:ind w:left="111"/>
              <w:rPr>
                <w:sz w:val="20"/>
              </w:rPr>
            </w:pPr>
            <w:r>
              <w:rPr>
                <w:sz w:val="20"/>
              </w:rPr>
              <w:t>persons</w:t>
            </w:r>
            <w:r>
              <w:rPr>
                <w:spacing w:val="37"/>
                <w:sz w:val="20"/>
              </w:rPr>
              <w:t>  </w:t>
            </w:r>
            <w:r>
              <w:rPr>
                <w:sz w:val="20"/>
              </w:rPr>
              <w:t>or</w:t>
            </w:r>
            <w:r>
              <w:rPr>
                <w:spacing w:val="38"/>
                <w:sz w:val="20"/>
              </w:rPr>
              <w:t>  </w:t>
            </w:r>
            <w:r>
              <w:rPr>
                <w:spacing w:val="-4"/>
                <w:sz w:val="20"/>
              </w:rPr>
              <w:t>using</w:t>
            </w:r>
          </w:p>
          <w:p>
            <w:pPr>
              <w:pStyle w:val="TableParagraph"/>
              <w:tabs>
                <w:tab w:pos="742" w:val="left" w:leader="none"/>
                <w:tab w:pos="1387" w:val="left" w:leader="none"/>
              </w:tabs>
              <w:ind w:left="111" w:right="106"/>
              <w:rPr>
                <w:sz w:val="20"/>
              </w:rPr>
            </w:pPr>
            <w:r>
              <w:rPr>
                <w:spacing w:val="-4"/>
                <w:sz w:val="20"/>
              </w:rPr>
              <w:t>1.5</w:t>
            </w:r>
            <w:r>
              <w:rPr>
                <w:sz w:val="20"/>
              </w:rPr>
              <w:tab/>
            </w:r>
            <w:r>
              <w:rPr>
                <w:spacing w:val="-6"/>
                <w:sz w:val="20"/>
              </w:rPr>
              <w:t>KW</w:t>
            </w:r>
            <w:r>
              <w:rPr>
                <w:sz w:val="20"/>
              </w:rPr>
              <w:tab/>
            </w:r>
            <w:r>
              <w:rPr>
                <w:spacing w:val="-2"/>
                <w:sz w:val="20"/>
              </w:rPr>
              <w:t>motiv</w:t>
            </w:r>
            <w:r>
              <w:rPr>
                <w:spacing w:val="-2"/>
                <w:sz w:val="20"/>
              </w:rPr>
              <w:t>e</w:t>
            </w:r>
            <w:r>
              <w:rPr>
                <w:spacing w:val="-2"/>
                <w:sz w:val="20"/>
              </w:rPr>
              <w:t> power</w:t>
            </w:r>
          </w:p>
        </w:tc>
      </w:tr>
      <w:tr>
        <w:trPr>
          <w:trHeight w:val="1133" w:hRule="atLeast"/>
        </w:trPr>
        <w:tc>
          <w:tcPr>
            <w:tcW w:w="1260" w:type="dxa"/>
          </w:tcPr>
          <w:p>
            <w:pPr>
              <w:pStyle w:val="TableParagraph"/>
              <w:spacing w:before="97"/>
              <w:ind w:left="107"/>
              <w:rPr>
                <w:sz w:val="20"/>
              </w:rPr>
            </w:pPr>
            <w:r>
              <w:rPr>
                <w:spacing w:val="5"/>
                <w:sz w:val="20"/>
              </w:rPr>
              <w:t>52</w:t>
            </w:r>
          </w:p>
        </w:tc>
        <w:tc>
          <w:tcPr>
            <w:tcW w:w="2856" w:type="dxa"/>
          </w:tcPr>
          <w:p>
            <w:pPr>
              <w:pStyle w:val="TableParagraph"/>
              <w:spacing w:before="97"/>
              <w:ind w:left="108" w:right="182"/>
              <w:jc w:val="both"/>
              <w:rPr>
                <w:sz w:val="20"/>
              </w:rPr>
            </w:pPr>
            <w:r>
              <w:rPr>
                <w:sz w:val="20"/>
              </w:rPr>
              <w:t>Sale</w:t>
            </w:r>
            <w:r>
              <w:rPr>
                <w:spacing w:val="40"/>
                <w:sz w:val="20"/>
              </w:rPr>
              <w:t> </w:t>
            </w:r>
            <w:r>
              <w:rPr>
                <w:sz w:val="20"/>
              </w:rPr>
              <w:t>of motor vehicles, parts and accessories, Showrooms for motor </w:t>
            </w:r>
            <w:r>
              <w:rPr>
                <w:spacing w:val="-2"/>
                <w:sz w:val="20"/>
              </w:rPr>
              <w:t>vehicles</w:t>
            </w:r>
          </w:p>
        </w:tc>
        <w:tc>
          <w:tcPr>
            <w:tcW w:w="1276" w:type="dxa"/>
          </w:tcPr>
          <w:p>
            <w:pPr>
              <w:pStyle w:val="TableParagraph"/>
              <w:spacing w:line="234" w:lineRule="exact" w:before="97"/>
              <w:ind w:left="108"/>
              <w:rPr>
                <w:sz w:val="20"/>
              </w:rPr>
            </w:pPr>
            <w:r>
              <w:rPr>
                <w:sz w:val="20"/>
              </w:rPr>
              <w:t>1or</w:t>
            </w:r>
            <w:r>
              <w:rPr>
                <w:spacing w:val="31"/>
                <w:sz w:val="20"/>
              </w:rPr>
              <w:t> </w:t>
            </w:r>
            <w:r>
              <w:rPr>
                <w:sz w:val="20"/>
              </w:rPr>
              <w:t>2</w:t>
            </w:r>
            <w:r>
              <w:rPr>
                <w:spacing w:val="33"/>
                <w:sz w:val="20"/>
              </w:rPr>
              <w:t> </w:t>
            </w:r>
            <w:r>
              <w:rPr>
                <w:sz w:val="20"/>
              </w:rPr>
              <w:t>or</w:t>
            </w:r>
            <w:r>
              <w:rPr>
                <w:spacing w:val="31"/>
                <w:sz w:val="20"/>
              </w:rPr>
              <w:t> </w:t>
            </w:r>
            <w:r>
              <w:rPr>
                <w:spacing w:val="-12"/>
                <w:sz w:val="20"/>
              </w:rPr>
              <w:t>6</w:t>
            </w:r>
          </w:p>
          <w:p>
            <w:pPr>
              <w:pStyle w:val="TableParagraph"/>
              <w:spacing w:line="234" w:lineRule="exact"/>
              <w:ind w:left="108"/>
              <w:rPr>
                <w:sz w:val="20"/>
              </w:rPr>
            </w:pPr>
            <w:r>
              <w:rPr>
                <w:sz w:val="20"/>
              </w:rPr>
              <w:t>&amp;</w:t>
            </w:r>
            <w:r>
              <w:rPr>
                <w:spacing w:val="16"/>
                <w:sz w:val="20"/>
              </w:rPr>
              <w:t> </w:t>
            </w:r>
            <w:r>
              <w:rPr>
                <w:spacing w:val="-2"/>
                <w:sz w:val="20"/>
              </w:rPr>
              <w:t>16,17</w:t>
            </w:r>
          </w:p>
        </w:tc>
        <w:tc>
          <w:tcPr>
            <w:tcW w:w="1209" w:type="dxa"/>
          </w:tcPr>
          <w:p>
            <w:pPr>
              <w:pStyle w:val="TableParagraph"/>
              <w:spacing w:before="97"/>
              <w:ind w:left="109"/>
              <w:rPr>
                <w:sz w:val="20"/>
              </w:rPr>
            </w:pPr>
            <w:r>
              <w:rPr>
                <w:spacing w:val="5"/>
                <w:sz w:val="20"/>
              </w:rPr>
              <w:t>16</w:t>
            </w:r>
          </w:p>
        </w:tc>
        <w:tc>
          <w:tcPr>
            <w:tcW w:w="1199" w:type="dxa"/>
          </w:tcPr>
          <w:p>
            <w:pPr>
              <w:pStyle w:val="TableParagraph"/>
              <w:spacing w:before="97"/>
              <w:ind w:left="110"/>
              <w:rPr>
                <w:sz w:val="20"/>
              </w:rPr>
            </w:pPr>
            <w:r>
              <w:rPr>
                <w:spacing w:val="5"/>
                <w:sz w:val="20"/>
              </w:rPr>
              <w:t>16</w:t>
            </w:r>
          </w:p>
        </w:tc>
        <w:tc>
          <w:tcPr>
            <w:tcW w:w="2196" w:type="dxa"/>
          </w:tcPr>
          <w:p>
            <w:pPr>
              <w:pStyle w:val="TableParagraph"/>
              <w:rPr>
                <w:rFonts w:ascii="Times New Roman"/>
                <w:sz w:val="18"/>
              </w:rPr>
            </w:pPr>
          </w:p>
        </w:tc>
      </w:tr>
      <w:tr>
        <w:trPr>
          <w:trHeight w:val="1365" w:hRule="atLeast"/>
        </w:trPr>
        <w:tc>
          <w:tcPr>
            <w:tcW w:w="1260" w:type="dxa"/>
          </w:tcPr>
          <w:p>
            <w:pPr>
              <w:pStyle w:val="TableParagraph"/>
              <w:spacing w:before="94"/>
              <w:ind w:left="107"/>
              <w:rPr>
                <w:sz w:val="20"/>
              </w:rPr>
            </w:pPr>
            <w:r>
              <w:rPr>
                <w:spacing w:val="5"/>
                <w:sz w:val="20"/>
              </w:rPr>
              <w:t>53</w:t>
            </w:r>
          </w:p>
        </w:tc>
        <w:tc>
          <w:tcPr>
            <w:tcW w:w="2856" w:type="dxa"/>
          </w:tcPr>
          <w:p>
            <w:pPr>
              <w:pStyle w:val="TableParagraph"/>
              <w:spacing w:before="94"/>
              <w:ind w:left="108" w:right="179"/>
              <w:jc w:val="both"/>
              <w:rPr>
                <w:sz w:val="20"/>
              </w:rPr>
            </w:pPr>
            <w:r>
              <w:rPr>
                <w:sz w:val="20"/>
              </w:rPr>
              <w:t>Bus</w:t>
            </w:r>
            <w:r>
              <w:rPr>
                <w:spacing w:val="40"/>
                <w:sz w:val="20"/>
              </w:rPr>
              <w:t> </w:t>
            </w:r>
            <w:r>
              <w:rPr>
                <w:sz w:val="20"/>
              </w:rPr>
              <w:t>stations,</w:t>
            </w:r>
            <w:r>
              <w:rPr>
                <w:spacing w:val="40"/>
                <w:sz w:val="20"/>
              </w:rPr>
              <w:t> </w:t>
            </w:r>
            <w:r>
              <w:rPr>
                <w:sz w:val="20"/>
              </w:rPr>
              <w:t>taxi</w:t>
            </w:r>
            <w:r>
              <w:rPr>
                <w:spacing w:val="40"/>
                <w:sz w:val="20"/>
              </w:rPr>
              <w:t> </w:t>
            </w:r>
            <w:r>
              <w:rPr>
                <w:sz w:val="20"/>
              </w:rPr>
              <w:t>stands, </w:t>
            </w:r>
            <w:r>
              <w:rPr>
                <w:spacing w:val="10"/>
                <w:sz w:val="20"/>
              </w:rPr>
              <w:t>auto-</w:t>
            </w:r>
            <w:r>
              <w:rPr>
                <w:sz w:val="20"/>
              </w:rPr>
              <w:t>rickshaw stands, Bus Shelters,</w:t>
            </w:r>
            <w:r>
              <w:rPr>
                <w:spacing w:val="80"/>
                <w:sz w:val="20"/>
              </w:rPr>
              <w:t> </w:t>
            </w:r>
            <w:r>
              <w:rPr>
                <w:sz w:val="20"/>
              </w:rPr>
              <w:t>Bus Depots and Railway </w:t>
            </w:r>
            <w:r>
              <w:rPr>
                <w:spacing w:val="-2"/>
                <w:sz w:val="20"/>
              </w:rPr>
              <w:t>stations.</w:t>
            </w:r>
          </w:p>
        </w:tc>
        <w:tc>
          <w:tcPr>
            <w:tcW w:w="1276" w:type="dxa"/>
          </w:tcPr>
          <w:p>
            <w:pPr>
              <w:pStyle w:val="TableParagraph"/>
              <w:spacing w:before="94"/>
              <w:ind w:left="108"/>
              <w:rPr>
                <w:sz w:val="20"/>
              </w:rPr>
            </w:pPr>
            <w:r>
              <w:rPr>
                <w:sz w:val="20"/>
              </w:rPr>
              <w:t>1</w:t>
            </w:r>
            <w:r>
              <w:rPr>
                <w:spacing w:val="74"/>
                <w:w w:val="150"/>
                <w:sz w:val="20"/>
              </w:rPr>
              <w:t> </w:t>
            </w:r>
            <w:r>
              <w:rPr>
                <w:sz w:val="20"/>
              </w:rPr>
              <w:t>&amp;</w:t>
            </w:r>
            <w:r>
              <w:rPr>
                <w:spacing w:val="73"/>
                <w:w w:val="150"/>
                <w:sz w:val="20"/>
              </w:rPr>
              <w:t> </w:t>
            </w:r>
            <w:r>
              <w:rPr>
                <w:spacing w:val="-5"/>
                <w:sz w:val="20"/>
              </w:rPr>
              <w:t>14</w:t>
            </w:r>
          </w:p>
          <w:p>
            <w:pPr>
              <w:pStyle w:val="TableParagraph"/>
              <w:spacing w:before="1"/>
              <w:ind w:left="108"/>
              <w:rPr>
                <w:sz w:val="20"/>
              </w:rPr>
            </w:pPr>
            <w:r>
              <w:rPr>
                <w:sz w:val="20"/>
              </w:rPr>
              <w:t>&amp;</w:t>
            </w:r>
            <w:r>
              <w:rPr>
                <w:spacing w:val="16"/>
                <w:sz w:val="20"/>
              </w:rPr>
              <w:t> </w:t>
            </w:r>
            <w:r>
              <w:rPr>
                <w:spacing w:val="-5"/>
                <w:sz w:val="20"/>
              </w:rPr>
              <w:t>23</w:t>
            </w:r>
          </w:p>
        </w:tc>
        <w:tc>
          <w:tcPr>
            <w:tcW w:w="1209" w:type="dxa"/>
          </w:tcPr>
          <w:p>
            <w:pPr>
              <w:pStyle w:val="TableParagraph"/>
              <w:spacing w:before="94"/>
              <w:ind w:left="109"/>
              <w:rPr>
                <w:sz w:val="20"/>
              </w:rPr>
            </w:pPr>
            <w:r>
              <w:rPr>
                <w:sz w:val="20"/>
              </w:rPr>
              <w:t>1</w:t>
            </w:r>
            <w:r>
              <w:rPr>
                <w:spacing w:val="73"/>
                <w:sz w:val="20"/>
              </w:rPr>
              <w:t> </w:t>
            </w:r>
            <w:r>
              <w:rPr>
                <w:sz w:val="20"/>
              </w:rPr>
              <w:t>&amp;</w:t>
            </w:r>
            <w:r>
              <w:rPr>
                <w:spacing w:val="74"/>
                <w:sz w:val="20"/>
              </w:rPr>
              <w:t> </w:t>
            </w:r>
            <w:r>
              <w:rPr>
                <w:spacing w:val="-5"/>
                <w:sz w:val="20"/>
              </w:rPr>
              <w:t>14</w:t>
            </w:r>
          </w:p>
          <w:p>
            <w:pPr>
              <w:pStyle w:val="TableParagraph"/>
              <w:spacing w:before="1"/>
              <w:ind w:left="109"/>
              <w:rPr>
                <w:sz w:val="20"/>
              </w:rPr>
            </w:pPr>
            <w:r>
              <w:rPr>
                <w:sz w:val="20"/>
              </w:rPr>
              <w:t>&amp;</w:t>
            </w:r>
            <w:r>
              <w:rPr>
                <w:spacing w:val="16"/>
                <w:sz w:val="20"/>
              </w:rPr>
              <w:t> </w:t>
            </w:r>
            <w:r>
              <w:rPr>
                <w:spacing w:val="-5"/>
                <w:sz w:val="20"/>
              </w:rPr>
              <w:t>23</w:t>
            </w:r>
          </w:p>
        </w:tc>
        <w:tc>
          <w:tcPr>
            <w:tcW w:w="1199" w:type="dxa"/>
          </w:tcPr>
          <w:p>
            <w:pPr>
              <w:pStyle w:val="TableParagraph"/>
              <w:spacing w:before="94"/>
              <w:ind w:left="110"/>
              <w:rPr>
                <w:sz w:val="20"/>
              </w:rPr>
            </w:pPr>
            <w:r>
              <w:rPr>
                <w:sz w:val="20"/>
              </w:rPr>
              <w:t>1</w:t>
            </w:r>
            <w:r>
              <w:rPr>
                <w:spacing w:val="2"/>
                <w:sz w:val="20"/>
              </w:rPr>
              <w:t> </w:t>
            </w:r>
            <w:r>
              <w:rPr>
                <w:sz w:val="20"/>
              </w:rPr>
              <w:t>&amp;</w:t>
            </w:r>
            <w:r>
              <w:rPr>
                <w:spacing w:val="6"/>
                <w:sz w:val="20"/>
              </w:rPr>
              <w:t> </w:t>
            </w:r>
            <w:r>
              <w:rPr>
                <w:sz w:val="20"/>
              </w:rPr>
              <w:t>14</w:t>
            </w:r>
            <w:r>
              <w:rPr>
                <w:spacing w:val="2"/>
                <w:sz w:val="20"/>
              </w:rPr>
              <w:t> </w:t>
            </w:r>
            <w:r>
              <w:rPr>
                <w:spacing w:val="-10"/>
                <w:sz w:val="20"/>
              </w:rPr>
              <w:t>&amp;</w:t>
            </w:r>
          </w:p>
          <w:p>
            <w:pPr>
              <w:pStyle w:val="TableParagraph"/>
              <w:spacing w:before="1"/>
              <w:ind w:left="110"/>
              <w:rPr>
                <w:sz w:val="20"/>
              </w:rPr>
            </w:pPr>
            <w:r>
              <w:rPr>
                <w:spacing w:val="5"/>
                <w:sz w:val="20"/>
              </w:rPr>
              <w:t>23</w:t>
            </w:r>
          </w:p>
        </w:tc>
        <w:tc>
          <w:tcPr>
            <w:tcW w:w="2196" w:type="dxa"/>
          </w:tcPr>
          <w:p>
            <w:pPr>
              <w:pStyle w:val="TableParagraph"/>
              <w:rPr>
                <w:rFonts w:ascii="Times New Roman"/>
                <w:sz w:val="18"/>
              </w:rPr>
            </w:pPr>
          </w:p>
        </w:tc>
      </w:tr>
      <w:tr>
        <w:trPr>
          <w:trHeight w:val="801" w:hRule="atLeast"/>
        </w:trPr>
        <w:tc>
          <w:tcPr>
            <w:tcW w:w="1260" w:type="dxa"/>
          </w:tcPr>
          <w:p>
            <w:pPr>
              <w:pStyle w:val="TableParagraph"/>
              <w:spacing w:before="94"/>
              <w:ind w:left="107"/>
              <w:rPr>
                <w:sz w:val="20"/>
              </w:rPr>
            </w:pPr>
            <w:r>
              <w:rPr>
                <w:spacing w:val="5"/>
                <w:sz w:val="20"/>
              </w:rPr>
              <w:t>54</w:t>
            </w:r>
          </w:p>
        </w:tc>
        <w:tc>
          <w:tcPr>
            <w:tcW w:w="2856" w:type="dxa"/>
          </w:tcPr>
          <w:p>
            <w:pPr>
              <w:pStyle w:val="TableParagraph"/>
              <w:spacing w:before="94"/>
              <w:ind w:left="108"/>
              <w:rPr>
                <w:sz w:val="20"/>
              </w:rPr>
            </w:pPr>
            <w:r>
              <w:rPr>
                <w:spacing w:val="-2"/>
                <w:sz w:val="20"/>
              </w:rPr>
              <w:t>Heliports</w:t>
            </w: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spacing w:line="230" w:lineRule="atLeast" w:before="77"/>
              <w:ind w:left="111" w:right="167"/>
              <w:jc w:val="both"/>
              <w:rPr>
                <w:sz w:val="20"/>
              </w:rPr>
            </w:pPr>
            <w:r>
              <w:rPr>
                <w:sz w:val="20"/>
              </w:rPr>
              <w:t>Heliports shall be allowed subject </w:t>
            </w:r>
            <w:r>
              <w:rPr>
                <w:sz w:val="20"/>
              </w:rPr>
              <w:t>to compliance</w:t>
            </w:r>
            <w:r>
              <w:rPr>
                <w:spacing w:val="55"/>
                <w:w w:val="150"/>
                <w:sz w:val="20"/>
              </w:rPr>
              <w:t>    </w:t>
            </w:r>
            <w:r>
              <w:rPr>
                <w:spacing w:val="-5"/>
                <w:sz w:val="20"/>
              </w:rPr>
              <w:t>of</w:t>
            </w:r>
          </w:p>
        </w:tc>
      </w:tr>
    </w:tbl>
    <w:p>
      <w:pPr>
        <w:pStyle w:val="TableParagraph"/>
        <w:spacing w:after="0" w:line="230" w:lineRule="atLeast"/>
        <w:jc w:val="both"/>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566" w:hRule="atLeast"/>
        </w:trPr>
        <w:tc>
          <w:tcPr>
            <w:tcW w:w="1260" w:type="dxa"/>
          </w:tcPr>
          <w:p>
            <w:pPr>
              <w:pStyle w:val="TableParagraph"/>
              <w:rPr>
                <w:rFonts w:ascii="Times New Roman"/>
                <w:sz w:val="18"/>
              </w:rPr>
            </w:pPr>
          </w:p>
        </w:tc>
        <w:tc>
          <w:tcPr>
            <w:tcW w:w="2856" w:type="dxa"/>
          </w:tcPr>
          <w:p>
            <w:pPr>
              <w:pStyle w:val="TableParagraph"/>
              <w:rPr>
                <w:rFonts w:ascii="Times New Roman"/>
                <w:sz w:val="18"/>
              </w:rPr>
            </w:pP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tabs>
                <w:tab w:pos="1748" w:val="left" w:leader="none"/>
              </w:tabs>
              <w:ind w:left="111" w:right="165"/>
              <w:rPr>
                <w:sz w:val="20"/>
              </w:rPr>
            </w:pPr>
            <w:r>
              <w:rPr>
                <w:spacing w:val="-2"/>
                <w:sz w:val="20"/>
              </w:rPr>
              <w:t>Regulation</w:t>
            </w:r>
            <w:r>
              <w:rPr>
                <w:sz w:val="20"/>
              </w:rPr>
              <w:tab/>
            </w:r>
            <w:r>
              <w:rPr>
                <w:spacing w:val="-6"/>
                <w:sz w:val="20"/>
              </w:rPr>
              <w:t>No </w:t>
            </w:r>
            <w:r>
              <w:rPr>
                <w:spacing w:val="-2"/>
                <w:sz w:val="20"/>
              </w:rPr>
              <w:t>37(35)</w:t>
            </w:r>
          </w:p>
        </w:tc>
      </w:tr>
      <w:tr>
        <w:trPr>
          <w:trHeight w:val="894" w:hRule="atLeast"/>
        </w:trPr>
        <w:tc>
          <w:tcPr>
            <w:tcW w:w="1260" w:type="dxa"/>
          </w:tcPr>
          <w:p>
            <w:pPr>
              <w:pStyle w:val="TableParagraph"/>
              <w:spacing w:before="94"/>
              <w:ind w:left="107"/>
              <w:rPr>
                <w:sz w:val="20"/>
              </w:rPr>
            </w:pPr>
            <w:r>
              <w:rPr>
                <w:spacing w:val="5"/>
                <w:sz w:val="20"/>
              </w:rPr>
              <w:t>55</w:t>
            </w:r>
          </w:p>
        </w:tc>
        <w:tc>
          <w:tcPr>
            <w:tcW w:w="2856" w:type="dxa"/>
          </w:tcPr>
          <w:p>
            <w:pPr>
              <w:pStyle w:val="TableParagraph"/>
              <w:spacing w:before="94"/>
              <w:ind w:left="108" w:right="110"/>
              <w:jc w:val="both"/>
              <w:rPr>
                <w:sz w:val="20"/>
              </w:rPr>
            </w:pPr>
            <w:r>
              <w:rPr>
                <w:sz w:val="20"/>
              </w:rPr>
              <w:t>Public parking areas, including multistoried </w:t>
            </w:r>
            <w:r>
              <w:rPr>
                <w:spacing w:val="-2"/>
                <w:sz w:val="20"/>
              </w:rPr>
              <w:t>parking</w:t>
            </w:r>
          </w:p>
        </w:tc>
        <w:tc>
          <w:tcPr>
            <w:tcW w:w="1276" w:type="dxa"/>
          </w:tcPr>
          <w:p>
            <w:pPr>
              <w:pStyle w:val="TableParagraph"/>
              <w:spacing w:before="94"/>
              <w:ind w:left="108"/>
              <w:rPr>
                <w:sz w:val="20"/>
              </w:rPr>
            </w:pPr>
            <w:r>
              <w:rPr>
                <w:spacing w:val="5"/>
                <w:sz w:val="20"/>
              </w:rPr>
              <w:t>14</w:t>
            </w:r>
          </w:p>
        </w:tc>
        <w:tc>
          <w:tcPr>
            <w:tcW w:w="1209" w:type="dxa"/>
          </w:tcPr>
          <w:p>
            <w:pPr>
              <w:pStyle w:val="TableParagraph"/>
              <w:spacing w:before="94"/>
              <w:ind w:left="109"/>
              <w:rPr>
                <w:sz w:val="20"/>
              </w:rPr>
            </w:pPr>
            <w:r>
              <w:rPr>
                <w:spacing w:val="-10"/>
                <w:sz w:val="20"/>
              </w:rPr>
              <w:t>1</w:t>
            </w:r>
          </w:p>
          <w:p>
            <w:pPr>
              <w:pStyle w:val="TableParagraph"/>
              <w:spacing w:before="1"/>
              <w:ind w:left="109"/>
              <w:rPr>
                <w:sz w:val="20"/>
              </w:rPr>
            </w:pPr>
            <w:r>
              <w:rPr>
                <w:spacing w:val="-10"/>
                <w:sz w:val="20"/>
              </w:rPr>
              <w:t>4</w:t>
            </w:r>
          </w:p>
        </w:tc>
        <w:tc>
          <w:tcPr>
            <w:tcW w:w="1199" w:type="dxa"/>
          </w:tcPr>
          <w:p>
            <w:pPr>
              <w:pStyle w:val="TableParagraph"/>
              <w:spacing w:before="94"/>
              <w:ind w:left="110"/>
              <w:rPr>
                <w:sz w:val="20"/>
              </w:rPr>
            </w:pPr>
            <w:r>
              <w:rPr>
                <w:spacing w:val="-10"/>
                <w:sz w:val="20"/>
              </w:rPr>
              <w:t>P</w:t>
            </w:r>
          </w:p>
        </w:tc>
        <w:tc>
          <w:tcPr>
            <w:tcW w:w="2196" w:type="dxa"/>
          </w:tcPr>
          <w:p>
            <w:pPr>
              <w:pStyle w:val="TableParagraph"/>
              <w:rPr>
                <w:rFonts w:ascii="Times New Roman"/>
                <w:sz w:val="18"/>
              </w:rPr>
            </w:pPr>
          </w:p>
        </w:tc>
      </w:tr>
      <w:tr>
        <w:trPr>
          <w:trHeight w:val="1365" w:hRule="atLeast"/>
        </w:trPr>
        <w:tc>
          <w:tcPr>
            <w:tcW w:w="1260" w:type="dxa"/>
          </w:tcPr>
          <w:p>
            <w:pPr>
              <w:pStyle w:val="TableParagraph"/>
              <w:spacing w:before="94"/>
              <w:ind w:left="107"/>
              <w:rPr>
                <w:sz w:val="20"/>
              </w:rPr>
            </w:pPr>
            <w:r>
              <w:rPr>
                <w:spacing w:val="5"/>
                <w:sz w:val="20"/>
              </w:rPr>
              <w:t>56</w:t>
            </w:r>
          </w:p>
        </w:tc>
        <w:tc>
          <w:tcPr>
            <w:tcW w:w="2856" w:type="dxa"/>
          </w:tcPr>
          <w:p>
            <w:pPr>
              <w:pStyle w:val="TableParagraph"/>
              <w:spacing w:before="94"/>
              <w:ind w:left="108" w:right="1102"/>
              <w:rPr>
                <w:sz w:val="20"/>
              </w:rPr>
            </w:pPr>
            <w:r>
              <w:rPr>
                <w:spacing w:val="-2"/>
                <w:sz w:val="20"/>
              </w:rPr>
              <w:t>Cottage Industries,</w:t>
            </w:r>
          </w:p>
        </w:tc>
        <w:tc>
          <w:tcPr>
            <w:tcW w:w="1276" w:type="dxa"/>
          </w:tcPr>
          <w:p>
            <w:pPr>
              <w:pStyle w:val="TableParagraph"/>
              <w:spacing w:before="94"/>
              <w:ind w:left="108"/>
              <w:rPr>
                <w:sz w:val="20"/>
              </w:rPr>
            </w:pPr>
            <w:r>
              <w:rPr>
                <w:sz w:val="20"/>
              </w:rPr>
              <w:t>1</w:t>
            </w:r>
            <w:r>
              <w:rPr>
                <w:spacing w:val="6"/>
                <w:sz w:val="20"/>
              </w:rPr>
              <w:t> </w:t>
            </w:r>
            <w:r>
              <w:rPr>
                <w:sz w:val="20"/>
              </w:rPr>
              <w:t>or</w:t>
            </w:r>
            <w:r>
              <w:rPr>
                <w:spacing w:val="10"/>
                <w:sz w:val="20"/>
              </w:rPr>
              <w:t> </w:t>
            </w:r>
            <w:r>
              <w:rPr>
                <w:sz w:val="20"/>
              </w:rPr>
              <w:t>2</w:t>
            </w:r>
            <w:r>
              <w:rPr>
                <w:spacing w:val="7"/>
                <w:sz w:val="20"/>
              </w:rPr>
              <w:t> </w:t>
            </w:r>
            <w:r>
              <w:rPr>
                <w:sz w:val="20"/>
              </w:rPr>
              <w:t>or</w:t>
            </w:r>
            <w:r>
              <w:rPr>
                <w:spacing w:val="8"/>
                <w:sz w:val="20"/>
              </w:rPr>
              <w:t> </w:t>
            </w:r>
            <w:r>
              <w:rPr>
                <w:spacing w:val="-10"/>
                <w:sz w:val="20"/>
              </w:rPr>
              <w:t>3</w:t>
            </w:r>
          </w:p>
          <w:p>
            <w:pPr>
              <w:pStyle w:val="TableParagraph"/>
              <w:spacing w:before="1"/>
              <w:ind w:left="108"/>
              <w:rPr>
                <w:sz w:val="20"/>
              </w:rPr>
            </w:pPr>
            <w:r>
              <w:rPr>
                <w:sz w:val="20"/>
              </w:rPr>
              <w:t>or</w:t>
            </w:r>
            <w:r>
              <w:rPr>
                <w:spacing w:val="23"/>
                <w:sz w:val="20"/>
              </w:rPr>
              <w:t> </w:t>
            </w:r>
            <w:r>
              <w:rPr>
                <w:sz w:val="20"/>
              </w:rPr>
              <w:t>4</w:t>
            </w:r>
            <w:r>
              <w:rPr>
                <w:spacing w:val="25"/>
                <w:sz w:val="20"/>
              </w:rPr>
              <w:t> </w:t>
            </w:r>
            <w:r>
              <w:rPr>
                <w:sz w:val="20"/>
              </w:rPr>
              <w:t>or</w:t>
            </w:r>
            <w:r>
              <w:rPr>
                <w:spacing w:val="26"/>
                <w:sz w:val="20"/>
              </w:rPr>
              <w:t> </w:t>
            </w:r>
            <w:r>
              <w:rPr>
                <w:spacing w:val="-10"/>
                <w:sz w:val="20"/>
              </w:rPr>
              <w:t>6</w:t>
            </w:r>
          </w:p>
        </w:tc>
        <w:tc>
          <w:tcPr>
            <w:tcW w:w="1209" w:type="dxa"/>
          </w:tcPr>
          <w:p>
            <w:pPr>
              <w:pStyle w:val="TableParagraph"/>
              <w:spacing w:before="94"/>
              <w:ind w:left="109"/>
              <w:rPr>
                <w:sz w:val="20"/>
              </w:rPr>
            </w:pPr>
            <w:r>
              <w:rPr>
                <w:color w:val="000000"/>
                <w:spacing w:val="-10"/>
                <w:sz w:val="20"/>
                <w:shd w:fill="FFCCFF" w:color="auto" w:val="clear"/>
              </w:rPr>
              <w:t>P</w:t>
            </w:r>
          </w:p>
        </w:tc>
        <w:tc>
          <w:tcPr>
            <w:tcW w:w="1199" w:type="dxa"/>
          </w:tcPr>
          <w:p>
            <w:pPr>
              <w:pStyle w:val="TableParagraph"/>
              <w:spacing w:before="94"/>
              <w:ind w:left="333"/>
              <w:rPr>
                <w:sz w:val="20"/>
              </w:rPr>
            </w:pPr>
            <w:r>
              <w:rPr>
                <w:spacing w:val="-10"/>
                <w:sz w:val="20"/>
              </w:rPr>
              <w:t>P</w:t>
            </w:r>
          </w:p>
        </w:tc>
        <w:tc>
          <w:tcPr>
            <w:tcW w:w="2196" w:type="dxa"/>
          </w:tcPr>
          <w:p>
            <w:pPr>
              <w:pStyle w:val="TableParagraph"/>
              <w:tabs>
                <w:tab w:pos="739" w:val="left" w:leader="none"/>
                <w:tab w:pos="1899" w:val="left" w:leader="none"/>
              </w:tabs>
              <w:spacing w:before="94"/>
              <w:ind w:left="111" w:right="85"/>
              <w:rPr>
                <w:sz w:val="20"/>
              </w:rPr>
            </w:pPr>
            <w:r>
              <w:rPr>
                <w:sz w:val="20"/>
              </w:rPr>
              <w:t>In case</w:t>
            </w:r>
            <w:r>
              <w:rPr>
                <w:spacing w:val="40"/>
                <w:sz w:val="20"/>
              </w:rPr>
              <w:t> </w:t>
            </w:r>
            <w:r>
              <w:rPr>
                <w:sz w:val="20"/>
              </w:rPr>
              <w:t>of</w:t>
            </w:r>
            <w:r>
              <w:rPr>
                <w:spacing w:val="40"/>
                <w:sz w:val="20"/>
              </w:rPr>
              <w:t> </w:t>
            </w:r>
            <w:r>
              <w:rPr>
                <w:sz w:val="20"/>
              </w:rPr>
              <w:t>3,4,6 in </w:t>
            </w:r>
            <w:r>
              <w:rPr>
                <w:spacing w:val="-2"/>
                <w:sz w:val="20"/>
              </w:rPr>
              <w:t>residential</w:t>
            </w:r>
            <w:r>
              <w:rPr>
                <w:spacing w:val="80"/>
                <w:w w:val="15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tc>
      </w:tr>
      <w:tr>
        <w:trPr>
          <w:trHeight w:val="1367" w:hRule="atLeast"/>
        </w:trPr>
        <w:tc>
          <w:tcPr>
            <w:tcW w:w="1260" w:type="dxa"/>
          </w:tcPr>
          <w:p>
            <w:pPr>
              <w:pStyle w:val="TableParagraph"/>
              <w:spacing w:before="97"/>
              <w:ind w:left="107"/>
              <w:rPr>
                <w:sz w:val="20"/>
              </w:rPr>
            </w:pPr>
            <w:r>
              <w:rPr>
                <w:spacing w:val="5"/>
                <w:sz w:val="20"/>
              </w:rPr>
              <w:t>57</w:t>
            </w:r>
          </w:p>
        </w:tc>
        <w:tc>
          <w:tcPr>
            <w:tcW w:w="2856" w:type="dxa"/>
          </w:tcPr>
          <w:p>
            <w:pPr>
              <w:pStyle w:val="TableParagraph"/>
              <w:spacing w:before="97"/>
              <w:ind w:left="108" w:right="286"/>
              <w:rPr>
                <w:sz w:val="20"/>
              </w:rPr>
            </w:pPr>
            <w:r>
              <w:rPr>
                <w:sz w:val="20"/>
              </w:rPr>
              <w:t>Service</w:t>
            </w:r>
            <w:r>
              <w:rPr>
                <w:spacing w:val="40"/>
                <w:sz w:val="20"/>
              </w:rPr>
              <w:t> </w:t>
            </w:r>
            <w:r>
              <w:rPr>
                <w:sz w:val="20"/>
              </w:rPr>
              <w:t>industrial</w:t>
            </w:r>
            <w:r>
              <w:rPr>
                <w:spacing w:val="40"/>
                <w:sz w:val="20"/>
              </w:rPr>
              <w:t> </w:t>
            </w:r>
            <w:r>
              <w:rPr>
                <w:sz w:val="20"/>
              </w:rPr>
              <w:t>uses</w:t>
            </w:r>
            <w:r>
              <w:rPr>
                <w:spacing w:val="40"/>
                <w:sz w:val="20"/>
              </w:rPr>
              <w:t> </w:t>
            </w:r>
            <w:r>
              <w:rPr>
                <w:sz w:val="20"/>
              </w:rPr>
              <w:t>as per table (D) below</w:t>
            </w:r>
          </w:p>
        </w:tc>
        <w:tc>
          <w:tcPr>
            <w:tcW w:w="1276" w:type="dxa"/>
          </w:tcPr>
          <w:p>
            <w:pPr>
              <w:pStyle w:val="TableParagraph"/>
              <w:spacing w:line="234" w:lineRule="exact" w:before="97"/>
              <w:ind w:left="108"/>
              <w:rPr>
                <w:sz w:val="20"/>
              </w:rPr>
            </w:pPr>
            <w:r>
              <w:rPr>
                <w:sz w:val="20"/>
              </w:rPr>
              <w:t>1</w:t>
            </w:r>
            <w:r>
              <w:rPr>
                <w:spacing w:val="40"/>
                <w:sz w:val="20"/>
              </w:rPr>
              <w:t> </w:t>
            </w:r>
            <w:r>
              <w:rPr>
                <w:sz w:val="20"/>
              </w:rPr>
              <w:t>or</w:t>
            </w:r>
            <w:r>
              <w:rPr>
                <w:spacing w:val="40"/>
                <w:sz w:val="20"/>
              </w:rPr>
              <w:t> </w:t>
            </w:r>
            <w:r>
              <w:rPr>
                <w:sz w:val="20"/>
              </w:rPr>
              <w:t>2</w:t>
            </w:r>
            <w:r>
              <w:rPr>
                <w:spacing w:val="40"/>
                <w:sz w:val="20"/>
              </w:rPr>
              <w:t> </w:t>
            </w:r>
            <w:r>
              <w:rPr>
                <w:spacing w:val="-5"/>
                <w:sz w:val="20"/>
              </w:rPr>
              <w:t>or</w:t>
            </w:r>
          </w:p>
          <w:p>
            <w:pPr>
              <w:pStyle w:val="TableParagraph"/>
              <w:spacing w:line="234" w:lineRule="exact"/>
              <w:ind w:left="108"/>
              <w:rPr>
                <w:sz w:val="20"/>
              </w:rPr>
            </w:pPr>
            <w:r>
              <w:rPr>
                <w:sz w:val="20"/>
              </w:rPr>
              <w:t>3</w:t>
            </w:r>
            <w:r>
              <w:rPr>
                <w:spacing w:val="40"/>
                <w:sz w:val="20"/>
              </w:rPr>
              <w:t> </w:t>
            </w:r>
            <w:r>
              <w:rPr>
                <w:sz w:val="20"/>
              </w:rPr>
              <w:t>or</w:t>
            </w:r>
            <w:r>
              <w:rPr>
                <w:spacing w:val="40"/>
                <w:sz w:val="20"/>
              </w:rPr>
              <w:t> </w:t>
            </w:r>
            <w:r>
              <w:rPr>
                <w:sz w:val="20"/>
              </w:rPr>
              <w:t>6</w:t>
            </w:r>
            <w:r>
              <w:rPr>
                <w:spacing w:val="40"/>
                <w:sz w:val="20"/>
              </w:rPr>
              <w:t> </w:t>
            </w:r>
            <w:r>
              <w:rPr>
                <w:spacing w:val="-5"/>
                <w:sz w:val="20"/>
              </w:rPr>
              <w:t>or</w:t>
            </w:r>
          </w:p>
          <w:p>
            <w:pPr>
              <w:pStyle w:val="TableParagraph"/>
              <w:ind w:left="108"/>
              <w:rPr>
                <w:sz w:val="20"/>
              </w:rPr>
            </w:pPr>
            <w:r>
              <w:rPr>
                <w:sz w:val="20"/>
              </w:rPr>
              <w:t>20</w:t>
            </w:r>
            <w:r>
              <w:rPr>
                <w:spacing w:val="25"/>
                <w:sz w:val="20"/>
              </w:rPr>
              <w:t> </w:t>
            </w:r>
            <w:r>
              <w:rPr>
                <w:spacing w:val="-5"/>
                <w:sz w:val="20"/>
              </w:rPr>
              <w:t>&amp;16</w:t>
            </w:r>
          </w:p>
        </w:tc>
        <w:tc>
          <w:tcPr>
            <w:tcW w:w="1209" w:type="dxa"/>
          </w:tcPr>
          <w:p>
            <w:pPr>
              <w:pStyle w:val="TableParagraph"/>
              <w:spacing w:line="234" w:lineRule="exact" w:before="97"/>
              <w:ind w:left="109"/>
              <w:rPr>
                <w:sz w:val="20"/>
              </w:rPr>
            </w:pPr>
            <w:r>
              <w:rPr>
                <w:sz w:val="20"/>
              </w:rPr>
              <w:t>1</w:t>
            </w:r>
            <w:r>
              <w:rPr>
                <w:spacing w:val="26"/>
                <w:sz w:val="20"/>
              </w:rPr>
              <w:t>  </w:t>
            </w:r>
            <w:r>
              <w:rPr>
                <w:sz w:val="20"/>
              </w:rPr>
              <w:t>or</w:t>
            </w:r>
            <w:r>
              <w:rPr>
                <w:spacing w:val="29"/>
                <w:sz w:val="20"/>
              </w:rPr>
              <w:t>  </w:t>
            </w:r>
            <w:r>
              <w:rPr>
                <w:spacing w:val="-10"/>
                <w:sz w:val="20"/>
              </w:rPr>
              <w:t>2</w:t>
            </w:r>
          </w:p>
          <w:p>
            <w:pPr>
              <w:pStyle w:val="TableParagraph"/>
              <w:tabs>
                <w:tab w:pos="637" w:val="left" w:leader="none"/>
              </w:tabs>
              <w:ind w:left="109" w:right="265"/>
              <w:rPr>
                <w:sz w:val="20"/>
              </w:rPr>
            </w:pPr>
            <w:r>
              <w:rPr>
                <w:spacing w:val="-6"/>
                <w:sz w:val="20"/>
              </w:rPr>
              <w:t>or</w:t>
            </w:r>
            <w:r>
              <w:rPr>
                <w:sz w:val="20"/>
              </w:rPr>
              <w:tab/>
            </w:r>
            <w:r>
              <w:rPr>
                <w:spacing w:val="-6"/>
                <w:sz w:val="20"/>
              </w:rPr>
              <w:t>3&amp; </w:t>
            </w:r>
            <w:r>
              <w:rPr>
                <w:spacing w:val="4"/>
                <w:sz w:val="20"/>
              </w:rPr>
              <w:t>16</w:t>
            </w:r>
          </w:p>
        </w:tc>
        <w:tc>
          <w:tcPr>
            <w:tcW w:w="1199" w:type="dxa"/>
          </w:tcPr>
          <w:p>
            <w:pPr>
              <w:pStyle w:val="TableParagraph"/>
              <w:spacing w:before="97"/>
              <w:ind w:left="110"/>
              <w:rPr>
                <w:sz w:val="20"/>
              </w:rPr>
            </w:pPr>
            <w:r>
              <w:rPr>
                <w:spacing w:val="-10"/>
                <w:sz w:val="20"/>
              </w:rPr>
              <w:t>P</w:t>
            </w:r>
          </w:p>
        </w:tc>
        <w:tc>
          <w:tcPr>
            <w:tcW w:w="2196" w:type="dxa"/>
          </w:tcPr>
          <w:p>
            <w:pPr>
              <w:pStyle w:val="TableParagraph"/>
              <w:tabs>
                <w:tab w:pos="739" w:val="left" w:leader="none"/>
                <w:tab w:pos="1899" w:val="left" w:leader="none"/>
              </w:tabs>
              <w:spacing w:before="97"/>
              <w:ind w:left="111" w:right="85"/>
              <w:rPr>
                <w:sz w:val="20"/>
              </w:rPr>
            </w:pPr>
            <w:r>
              <w:rPr>
                <w:sz w:val="20"/>
              </w:rPr>
              <w:t>In</w:t>
            </w:r>
            <w:r>
              <w:rPr>
                <w:spacing w:val="40"/>
                <w:sz w:val="20"/>
              </w:rPr>
              <w:t> </w:t>
            </w:r>
            <w:r>
              <w:rPr>
                <w:sz w:val="20"/>
              </w:rPr>
              <w:t>case</w:t>
            </w:r>
            <w:r>
              <w:rPr>
                <w:spacing w:val="40"/>
                <w:sz w:val="20"/>
              </w:rPr>
              <w:t> </w:t>
            </w:r>
            <w:r>
              <w:rPr>
                <w:sz w:val="20"/>
              </w:rPr>
              <w:t>of</w:t>
            </w:r>
            <w:r>
              <w:rPr>
                <w:spacing w:val="40"/>
                <w:sz w:val="20"/>
              </w:rPr>
              <w:t> </w:t>
            </w:r>
            <w:r>
              <w:rPr>
                <w:sz w:val="20"/>
              </w:rPr>
              <w:t>3,6</w:t>
            </w:r>
            <w:r>
              <w:rPr>
                <w:spacing w:val="40"/>
                <w:sz w:val="20"/>
              </w:rPr>
              <w:t> </w:t>
            </w:r>
            <w:r>
              <w:rPr>
                <w:sz w:val="20"/>
              </w:rPr>
              <w:t>in</w:t>
            </w:r>
            <w:r>
              <w:rPr>
                <w:spacing w:val="40"/>
                <w:sz w:val="20"/>
              </w:rPr>
              <w:t> </w:t>
            </w:r>
            <w:r>
              <w:rPr>
                <w:spacing w:val="-2"/>
                <w:sz w:val="20"/>
              </w:rPr>
              <w:t>residential</w:t>
            </w:r>
            <w:r>
              <w:rPr>
                <w:spacing w:val="80"/>
                <w:w w:val="15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tc>
      </w:tr>
      <w:tr>
        <w:trPr>
          <w:trHeight w:val="1365" w:hRule="atLeast"/>
        </w:trPr>
        <w:tc>
          <w:tcPr>
            <w:tcW w:w="1260" w:type="dxa"/>
          </w:tcPr>
          <w:p>
            <w:pPr>
              <w:pStyle w:val="TableParagraph"/>
              <w:spacing w:before="94"/>
              <w:ind w:left="107"/>
              <w:rPr>
                <w:sz w:val="20"/>
              </w:rPr>
            </w:pPr>
            <w:r>
              <w:rPr>
                <w:spacing w:val="5"/>
                <w:sz w:val="20"/>
              </w:rPr>
              <w:t>58</w:t>
            </w:r>
          </w:p>
        </w:tc>
        <w:tc>
          <w:tcPr>
            <w:tcW w:w="2856" w:type="dxa"/>
          </w:tcPr>
          <w:p>
            <w:pPr>
              <w:pStyle w:val="TableParagraph"/>
              <w:tabs>
                <w:tab w:pos="1519" w:val="left" w:leader="none"/>
              </w:tabs>
              <w:spacing w:before="94"/>
              <w:ind w:left="108" w:right="286"/>
              <w:rPr>
                <w:sz w:val="20"/>
              </w:rPr>
            </w:pPr>
            <w:r>
              <w:rPr>
                <w:spacing w:val="-2"/>
                <w:sz w:val="20"/>
              </w:rPr>
              <w:t>Service</w:t>
            </w:r>
            <w:r>
              <w:rPr>
                <w:sz w:val="20"/>
              </w:rPr>
              <w:tab/>
            </w:r>
            <w:r>
              <w:rPr>
                <w:spacing w:val="-2"/>
                <w:sz w:val="20"/>
              </w:rPr>
              <w:t>Industrial estates</w:t>
            </w:r>
          </w:p>
        </w:tc>
        <w:tc>
          <w:tcPr>
            <w:tcW w:w="1276" w:type="dxa"/>
          </w:tcPr>
          <w:p>
            <w:pPr>
              <w:pStyle w:val="TableParagraph"/>
              <w:spacing w:before="94"/>
              <w:ind w:left="108"/>
              <w:rPr>
                <w:sz w:val="20"/>
              </w:rPr>
            </w:pPr>
            <w:r>
              <w:rPr>
                <w:sz w:val="20"/>
              </w:rPr>
              <w:t>1</w:t>
            </w:r>
            <w:r>
              <w:rPr>
                <w:spacing w:val="56"/>
                <w:sz w:val="20"/>
              </w:rPr>
              <w:t> </w:t>
            </w:r>
            <w:r>
              <w:rPr>
                <w:sz w:val="20"/>
              </w:rPr>
              <w:t>or</w:t>
            </w:r>
            <w:r>
              <w:rPr>
                <w:spacing w:val="56"/>
                <w:sz w:val="20"/>
              </w:rPr>
              <w:t> </w:t>
            </w:r>
            <w:r>
              <w:rPr>
                <w:sz w:val="20"/>
              </w:rPr>
              <w:t>2</w:t>
            </w:r>
            <w:r>
              <w:rPr>
                <w:spacing w:val="56"/>
                <w:sz w:val="20"/>
              </w:rPr>
              <w:t> </w:t>
            </w:r>
            <w:r>
              <w:rPr>
                <w:spacing w:val="-10"/>
                <w:sz w:val="20"/>
              </w:rPr>
              <w:t>&amp;</w:t>
            </w:r>
          </w:p>
          <w:p>
            <w:pPr>
              <w:pStyle w:val="TableParagraph"/>
              <w:spacing w:before="1"/>
              <w:ind w:left="108"/>
              <w:rPr>
                <w:sz w:val="20"/>
              </w:rPr>
            </w:pPr>
            <w:r>
              <w:rPr>
                <w:spacing w:val="-2"/>
                <w:sz w:val="20"/>
              </w:rPr>
              <w:t>16,17</w:t>
            </w:r>
          </w:p>
        </w:tc>
        <w:tc>
          <w:tcPr>
            <w:tcW w:w="1209" w:type="dxa"/>
          </w:tcPr>
          <w:p>
            <w:pPr>
              <w:pStyle w:val="TableParagraph"/>
              <w:spacing w:before="94"/>
              <w:ind w:left="109"/>
              <w:rPr>
                <w:sz w:val="20"/>
              </w:rPr>
            </w:pPr>
            <w:r>
              <w:rPr>
                <w:sz w:val="20"/>
              </w:rPr>
              <w:t>1</w:t>
            </w:r>
            <w:r>
              <w:rPr>
                <w:spacing w:val="10"/>
                <w:sz w:val="20"/>
              </w:rPr>
              <w:t> </w:t>
            </w:r>
            <w:r>
              <w:rPr>
                <w:sz w:val="20"/>
              </w:rPr>
              <w:t>or</w:t>
            </w:r>
            <w:r>
              <w:rPr>
                <w:spacing w:val="10"/>
                <w:sz w:val="20"/>
              </w:rPr>
              <w:t> </w:t>
            </w:r>
            <w:r>
              <w:rPr>
                <w:spacing w:val="-5"/>
                <w:sz w:val="20"/>
              </w:rPr>
              <w:t>2</w:t>
            </w:r>
            <w:r>
              <w:rPr>
                <w:color w:val="000000"/>
                <w:spacing w:val="-5"/>
                <w:sz w:val="20"/>
                <w:shd w:fill="FFCCFF" w:color="auto" w:val="clear"/>
              </w:rPr>
              <w:t>or</w:t>
            </w:r>
          </w:p>
          <w:p>
            <w:pPr>
              <w:pStyle w:val="TableParagraph"/>
              <w:spacing w:before="1"/>
              <w:ind w:left="109"/>
              <w:rPr>
                <w:sz w:val="20"/>
              </w:rPr>
            </w:pPr>
            <w:r>
              <w:rPr>
                <w:color w:val="000000"/>
                <w:sz w:val="20"/>
                <w:shd w:fill="FFCCFF" w:color="auto" w:val="clear"/>
              </w:rPr>
              <w:t>3,</w:t>
            </w:r>
            <w:r>
              <w:rPr>
                <w:color w:val="000000"/>
                <w:sz w:val="20"/>
              </w:rPr>
              <w:t>16</w:t>
            </w:r>
            <w:r>
              <w:rPr>
                <w:color w:val="000000"/>
                <w:spacing w:val="46"/>
                <w:sz w:val="20"/>
              </w:rPr>
              <w:t>  </w:t>
            </w:r>
            <w:r>
              <w:rPr>
                <w:color w:val="000000"/>
                <w:spacing w:val="-10"/>
                <w:sz w:val="20"/>
              </w:rPr>
              <w:t>&amp;</w:t>
            </w:r>
          </w:p>
          <w:p>
            <w:pPr>
              <w:pStyle w:val="TableParagraph"/>
              <w:ind w:left="109"/>
              <w:rPr>
                <w:sz w:val="20"/>
              </w:rPr>
            </w:pPr>
            <w:r>
              <w:rPr>
                <w:spacing w:val="5"/>
                <w:sz w:val="20"/>
              </w:rPr>
              <w:t>17</w:t>
            </w:r>
          </w:p>
        </w:tc>
        <w:tc>
          <w:tcPr>
            <w:tcW w:w="1199" w:type="dxa"/>
          </w:tcPr>
          <w:p>
            <w:pPr>
              <w:pStyle w:val="TableParagraph"/>
              <w:spacing w:before="94"/>
              <w:ind w:left="110"/>
              <w:rPr>
                <w:sz w:val="20"/>
              </w:rPr>
            </w:pPr>
            <w:r>
              <w:rPr>
                <w:spacing w:val="-10"/>
                <w:sz w:val="20"/>
              </w:rPr>
              <w:t>P</w:t>
            </w:r>
          </w:p>
        </w:tc>
        <w:tc>
          <w:tcPr>
            <w:tcW w:w="2196" w:type="dxa"/>
          </w:tcPr>
          <w:p>
            <w:pPr>
              <w:pStyle w:val="TableParagraph"/>
              <w:tabs>
                <w:tab w:pos="581" w:val="left" w:leader="none"/>
                <w:tab w:pos="730" w:val="left" w:leader="none"/>
                <w:tab w:pos="1297" w:val="left" w:leader="none"/>
                <w:tab w:pos="1743" w:val="left" w:leader="none"/>
                <w:tab w:pos="1880" w:val="left" w:leader="none"/>
              </w:tabs>
              <w:spacing w:before="94"/>
              <w:ind w:left="111" w:right="105"/>
              <w:rPr>
                <w:sz w:val="20"/>
              </w:rPr>
            </w:pPr>
            <w:r>
              <w:rPr>
                <w:spacing w:val="-6"/>
                <w:sz w:val="20"/>
              </w:rPr>
              <w:t>In</w:t>
            </w:r>
            <w:r>
              <w:rPr>
                <w:sz w:val="20"/>
              </w:rPr>
              <w:tab/>
            </w:r>
            <w:r>
              <w:rPr>
                <w:spacing w:val="-4"/>
                <w:sz w:val="20"/>
              </w:rPr>
              <w:t>case</w:t>
            </w:r>
            <w:r>
              <w:rPr>
                <w:sz w:val="20"/>
              </w:rPr>
              <w:tab/>
            </w:r>
            <w:r>
              <w:rPr>
                <w:spacing w:val="-6"/>
                <w:sz w:val="20"/>
              </w:rPr>
              <w:t>of</w:t>
            </w:r>
            <w:r>
              <w:rPr>
                <w:sz w:val="20"/>
              </w:rPr>
              <w:tab/>
            </w:r>
            <w:r>
              <w:rPr>
                <w:spacing w:val="-4"/>
                <w:sz w:val="20"/>
              </w:rPr>
              <w:t>3in </w:t>
            </w:r>
            <w:r>
              <w:rPr>
                <w:spacing w:val="-2"/>
                <w:sz w:val="20"/>
              </w:rPr>
              <w:t>residential</w:t>
            </w:r>
            <w:r>
              <w:rPr>
                <w:spacing w:val="8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tab/>
            </w:r>
            <w:r>
              <w:rPr>
                <w:spacing w:val="-2"/>
                <w:sz w:val="20"/>
              </w:rPr>
              <w:t>subject</w:t>
            </w:r>
            <w:r>
              <w:rPr>
                <w:sz w:val="20"/>
              </w:rPr>
              <w:tab/>
              <w:tab/>
            </w:r>
            <w:r>
              <w:rPr>
                <w:spacing w:val="-6"/>
                <w:sz w:val="20"/>
              </w:rPr>
              <w:t>to </w:t>
            </w:r>
            <w:r>
              <w:rPr>
                <w:sz w:val="20"/>
              </w:rPr>
              <w:t>condition no 18</w:t>
            </w:r>
          </w:p>
        </w:tc>
      </w:tr>
      <w:tr>
        <w:trPr>
          <w:trHeight w:val="662" w:hRule="atLeast"/>
        </w:trPr>
        <w:tc>
          <w:tcPr>
            <w:tcW w:w="1260" w:type="dxa"/>
          </w:tcPr>
          <w:p>
            <w:pPr>
              <w:pStyle w:val="TableParagraph"/>
              <w:spacing w:before="94"/>
              <w:ind w:left="107"/>
              <w:rPr>
                <w:sz w:val="20"/>
              </w:rPr>
            </w:pPr>
            <w:r>
              <w:rPr>
                <w:spacing w:val="5"/>
                <w:sz w:val="20"/>
              </w:rPr>
              <w:t>59</w:t>
            </w:r>
          </w:p>
        </w:tc>
        <w:tc>
          <w:tcPr>
            <w:tcW w:w="2856" w:type="dxa"/>
          </w:tcPr>
          <w:p>
            <w:pPr>
              <w:pStyle w:val="TableParagraph"/>
              <w:spacing w:before="94"/>
              <w:ind w:left="108" w:right="286"/>
              <w:rPr>
                <w:sz w:val="20"/>
              </w:rPr>
            </w:pPr>
            <w:r>
              <w:rPr>
                <w:sz w:val="20"/>
              </w:rPr>
              <w:t>Collection</w:t>
            </w:r>
            <w:r>
              <w:rPr>
                <w:spacing w:val="40"/>
                <w:sz w:val="20"/>
              </w:rPr>
              <w:t> </w:t>
            </w:r>
            <w:r>
              <w:rPr>
                <w:sz w:val="20"/>
              </w:rPr>
              <w:t>and</w:t>
            </w:r>
            <w:r>
              <w:rPr>
                <w:spacing w:val="40"/>
                <w:sz w:val="20"/>
              </w:rPr>
              <w:t> </w:t>
            </w:r>
            <w:r>
              <w:rPr>
                <w:sz w:val="20"/>
              </w:rPr>
              <w:t>disposal</w:t>
            </w:r>
            <w:r>
              <w:rPr>
                <w:spacing w:val="40"/>
                <w:sz w:val="20"/>
              </w:rPr>
              <w:t> </w:t>
            </w:r>
            <w:r>
              <w:rPr>
                <w:sz w:val="20"/>
              </w:rPr>
              <w:t>of nonhazardous waste</w:t>
            </w:r>
          </w:p>
        </w:tc>
        <w:tc>
          <w:tcPr>
            <w:tcW w:w="1276" w:type="dxa"/>
          </w:tcPr>
          <w:p>
            <w:pPr>
              <w:pStyle w:val="TableParagraph"/>
              <w:spacing w:before="94"/>
              <w:ind w:left="108"/>
              <w:rPr>
                <w:sz w:val="20"/>
              </w:rPr>
            </w:pPr>
            <w:r>
              <w:rPr>
                <w:spacing w:val="5"/>
                <w:sz w:val="20"/>
              </w:rPr>
              <w:t>NP</w:t>
            </w:r>
          </w:p>
        </w:tc>
        <w:tc>
          <w:tcPr>
            <w:tcW w:w="1209" w:type="dxa"/>
          </w:tcPr>
          <w:p>
            <w:pPr>
              <w:pStyle w:val="TableParagraph"/>
              <w:spacing w:before="94"/>
              <w:ind w:left="109"/>
              <w:rPr>
                <w:sz w:val="20"/>
              </w:rPr>
            </w:pPr>
            <w:r>
              <w:rPr>
                <w:sz w:val="20"/>
              </w:rPr>
              <w:t>1</w:t>
            </w:r>
            <w:r>
              <w:rPr>
                <w:spacing w:val="5"/>
                <w:sz w:val="20"/>
              </w:rPr>
              <w:t> </w:t>
            </w:r>
            <w:r>
              <w:rPr>
                <w:sz w:val="20"/>
              </w:rPr>
              <w:t>or</w:t>
            </w:r>
            <w:r>
              <w:rPr>
                <w:spacing w:val="7"/>
                <w:sz w:val="20"/>
              </w:rPr>
              <w:t> </w:t>
            </w:r>
            <w:r>
              <w:rPr>
                <w:sz w:val="20"/>
              </w:rPr>
              <w:t>2</w:t>
            </w:r>
            <w:r>
              <w:rPr>
                <w:spacing w:val="5"/>
                <w:sz w:val="20"/>
              </w:rPr>
              <w:t> </w:t>
            </w:r>
            <w:r>
              <w:rPr>
                <w:spacing w:val="-10"/>
                <w:sz w:val="20"/>
              </w:rPr>
              <w:t>&amp;</w:t>
            </w:r>
          </w:p>
          <w:p>
            <w:pPr>
              <w:pStyle w:val="TableParagraph"/>
              <w:spacing w:before="1"/>
              <w:ind w:left="109"/>
              <w:rPr>
                <w:sz w:val="20"/>
              </w:rPr>
            </w:pPr>
            <w:r>
              <w:rPr>
                <w:spacing w:val="5"/>
                <w:sz w:val="20"/>
              </w:rPr>
              <w:t>19</w:t>
            </w:r>
          </w:p>
        </w:tc>
        <w:tc>
          <w:tcPr>
            <w:tcW w:w="1199" w:type="dxa"/>
          </w:tcPr>
          <w:p>
            <w:pPr>
              <w:pStyle w:val="TableParagraph"/>
              <w:spacing w:before="94"/>
              <w:ind w:left="110"/>
              <w:rPr>
                <w:sz w:val="20"/>
              </w:rPr>
            </w:pPr>
            <w:r>
              <w:rPr>
                <w:spacing w:val="-10"/>
                <w:sz w:val="20"/>
              </w:rPr>
              <w:t>P</w:t>
            </w:r>
          </w:p>
        </w:tc>
        <w:tc>
          <w:tcPr>
            <w:tcW w:w="2196" w:type="dxa"/>
          </w:tcPr>
          <w:p>
            <w:pPr>
              <w:pStyle w:val="TableParagraph"/>
              <w:rPr>
                <w:rFonts w:ascii="Times New Roman"/>
                <w:sz w:val="18"/>
              </w:rPr>
            </w:pPr>
          </w:p>
        </w:tc>
      </w:tr>
      <w:tr>
        <w:trPr>
          <w:trHeight w:val="662" w:hRule="atLeast"/>
        </w:trPr>
        <w:tc>
          <w:tcPr>
            <w:tcW w:w="1260" w:type="dxa"/>
          </w:tcPr>
          <w:p>
            <w:pPr>
              <w:pStyle w:val="TableParagraph"/>
              <w:spacing w:before="94"/>
              <w:ind w:left="107"/>
              <w:rPr>
                <w:sz w:val="20"/>
              </w:rPr>
            </w:pPr>
            <w:r>
              <w:rPr>
                <w:spacing w:val="5"/>
                <w:sz w:val="20"/>
              </w:rPr>
              <w:t>60</w:t>
            </w:r>
          </w:p>
        </w:tc>
        <w:tc>
          <w:tcPr>
            <w:tcW w:w="2856" w:type="dxa"/>
          </w:tcPr>
          <w:p>
            <w:pPr>
              <w:pStyle w:val="TableParagraph"/>
              <w:spacing w:before="94"/>
              <w:ind w:left="108"/>
              <w:rPr>
                <w:sz w:val="20"/>
              </w:rPr>
            </w:pPr>
            <w:r>
              <w:rPr>
                <w:spacing w:val="-2"/>
                <w:sz w:val="20"/>
              </w:rPr>
              <w:t>Warehousing,</w:t>
            </w:r>
          </w:p>
        </w:tc>
        <w:tc>
          <w:tcPr>
            <w:tcW w:w="1276" w:type="dxa"/>
          </w:tcPr>
          <w:p>
            <w:pPr>
              <w:pStyle w:val="TableParagraph"/>
              <w:spacing w:before="94"/>
              <w:ind w:left="108"/>
              <w:rPr>
                <w:sz w:val="20"/>
              </w:rPr>
            </w:pPr>
            <w:r>
              <w:rPr>
                <w:spacing w:val="5"/>
                <w:sz w:val="20"/>
              </w:rPr>
              <w:t>NP</w:t>
            </w:r>
          </w:p>
        </w:tc>
        <w:tc>
          <w:tcPr>
            <w:tcW w:w="1209" w:type="dxa"/>
          </w:tcPr>
          <w:p>
            <w:pPr>
              <w:pStyle w:val="TableParagraph"/>
              <w:spacing w:before="94"/>
              <w:ind w:left="109" w:right="932"/>
              <w:rPr>
                <w:sz w:val="20"/>
              </w:rPr>
            </w:pPr>
            <w:r>
              <w:rPr>
                <w:spacing w:val="-10"/>
                <w:sz w:val="20"/>
              </w:rPr>
              <w:t>N P</w:t>
            </w:r>
          </w:p>
        </w:tc>
        <w:tc>
          <w:tcPr>
            <w:tcW w:w="1199" w:type="dxa"/>
          </w:tcPr>
          <w:p>
            <w:pPr>
              <w:pStyle w:val="TableParagraph"/>
              <w:spacing w:before="94"/>
              <w:ind w:left="110"/>
              <w:rPr>
                <w:sz w:val="20"/>
              </w:rPr>
            </w:pPr>
            <w:r>
              <w:rPr>
                <w:spacing w:val="-10"/>
                <w:sz w:val="20"/>
              </w:rPr>
              <w:t>P</w:t>
            </w:r>
          </w:p>
        </w:tc>
        <w:tc>
          <w:tcPr>
            <w:tcW w:w="2196" w:type="dxa"/>
          </w:tcPr>
          <w:p>
            <w:pPr>
              <w:pStyle w:val="TableParagraph"/>
              <w:rPr>
                <w:rFonts w:ascii="Times New Roman"/>
                <w:sz w:val="18"/>
              </w:rPr>
            </w:pPr>
          </w:p>
        </w:tc>
      </w:tr>
      <w:tr>
        <w:trPr>
          <w:trHeight w:val="659" w:hRule="atLeast"/>
        </w:trPr>
        <w:tc>
          <w:tcPr>
            <w:tcW w:w="1260" w:type="dxa"/>
          </w:tcPr>
          <w:p>
            <w:pPr>
              <w:pStyle w:val="TableParagraph"/>
              <w:spacing w:before="94"/>
              <w:ind w:left="107"/>
              <w:rPr>
                <w:sz w:val="20"/>
              </w:rPr>
            </w:pPr>
            <w:r>
              <w:rPr>
                <w:spacing w:val="5"/>
                <w:sz w:val="20"/>
              </w:rPr>
              <w:t>61</w:t>
            </w:r>
          </w:p>
        </w:tc>
        <w:tc>
          <w:tcPr>
            <w:tcW w:w="2856" w:type="dxa"/>
          </w:tcPr>
          <w:p>
            <w:pPr>
              <w:pStyle w:val="TableParagraph"/>
              <w:spacing w:before="94"/>
              <w:ind w:left="108" w:right="286"/>
              <w:rPr>
                <w:sz w:val="20"/>
              </w:rPr>
            </w:pPr>
            <w:r>
              <w:rPr>
                <w:sz w:val="20"/>
              </w:rPr>
              <w:t>Ware housing activities of hazardous material</w:t>
            </w:r>
          </w:p>
        </w:tc>
        <w:tc>
          <w:tcPr>
            <w:tcW w:w="1276" w:type="dxa"/>
          </w:tcPr>
          <w:p>
            <w:pPr>
              <w:pStyle w:val="TableParagraph"/>
              <w:spacing w:before="94"/>
              <w:ind w:left="108"/>
              <w:rPr>
                <w:sz w:val="20"/>
              </w:rPr>
            </w:pPr>
            <w:r>
              <w:rPr>
                <w:spacing w:val="5"/>
                <w:sz w:val="20"/>
              </w:rPr>
              <w:t>NP</w:t>
            </w:r>
          </w:p>
        </w:tc>
        <w:tc>
          <w:tcPr>
            <w:tcW w:w="1209" w:type="dxa"/>
          </w:tcPr>
          <w:p>
            <w:pPr>
              <w:pStyle w:val="TableParagraph"/>
              <w:spacing w:before="94"/>
              <w:ind w:left="109"/>
              <w:rPr>
                <w:sz w:val="20"/>
              </w:rPr>
            </w:pPr>
            <w:r>
              <w:rPr>
                <w:spacing w:val="5"/>
                <w:sz w:val="20"/>
              </w:rPr>
              <w:t>NP</w:t>
            </w:r>
          </w:p>
        </w:tc>
        <w:tc>
          <w:tcPr>
            <w:tcW w:w="1199" w:type="dxa"/>
          </w:tcPr>
          <w:p>
            <w:pPr>
              <w:pStyle w:val="TableParagraph"/>
              <w:spacing w:before="94"/>
              <w:ind w:left="110"/>
              <w:rPr>
                <w:sz w:val="20"/>
              </w:rPr>
            </w:pPr>
            <w:r>
              <w:rPr>
                <w:spacing w:val="-2"/>
                <w:sz w:val="20"/>
              </w:rPr>
              <w:t>25,26,2</w:t>
            </w:r>
          </w:p>
          <w:p>
            <w:pPr>
              <w:pStyle w:val="TableParagraph"/>
              <w:spacing w:before="1"/>
              <w:ind w:left="110"/>
              <w:rPr>
                <w:sz w:val="20"/>
              </w:rPr>
            </w:pPr>
            <w:r>
              <w:rPr>
                <w:spacing w:val="-10"/>
                <w:sz w:val="20"/>
              </w:rPr>
              <w:t>7</w:t>
            </w:r>
          </w:p>
        </w:tc>
        <w:tc>
          <w:tcPr>
            <w:tcW w:w="2196" w:type="dxa"/>
          </w:tcPr>
          <w:p>
            <w:pPr>
              <w:pStyle w:val="TableParagraph"/>
              <w:rPr>
                <w:rFonts w:ascii="Times New Roman"/>
                <w:sz w:val="18"/>
              </w:rPr>
            </w:pPr>
          </w:p>
        </w:tc>
      </w:tr>
      <w:tr>
        <w:trPr>
          <w:trHeight w:val="661" w:hRule="atLeast"/>
        </w:trPr>
        <w:tc>
          <w:tcPr>
            <w:tcW w:w="1260" w:type="dxa"/>
          </w:tcPr>
          <w:p>
            <w:pPr>
              <w:pStyle w:val="TableParagraph"/>
              <w:spacing w:before="97"/>
              <w:ind w:left="107"/>
              <w:rPr>
                <w:sz w:val="20"/>
              </w:rPr>
            </w:pPr>
            <w:r>
              <w:rPr>
                <w:spacing w:val="5"/>
                <w:sz w:val="20"/>
              </w:rPr>
              <w:t>62</w:t>
            </w:r>
          </w:p>
        </w:tc>
        <w:tc>
          <w:tcPr>
            <w:tcW w:w="2856" w:type="dxa"/>
          </w:tcPr>
          <w:p>
            <w:pPr>
              <w:pStyle w:val="TableParagraph"/>
              <w:spacing w:before="97"/>
              <w:ind w:left="108"/>
              <w:rPr>
                <w:sz w:val="20"/>
              </w:rPr>
            </w:pPr>
            <w:r>
              <w:rPr>
                <w:sz w:val="20"/>
              </w:rPr>
              <w:t>Logistics</w:t>
            </w:r>
            <w:r>
              <w:rPr>
                <w:spacing w:val="40"/>
                <w:sz w:val="20"/>
              </w:rPr>
              <w:t> </w:t>
            </w:r>
            <w:r>
              <w:rPr>
                <w:sz w:val="20"/>
              </w:rPr>
              <w:t>activities</w:t>
            </w:r>
            <w:r>
              <w:rPr>
                <w:spacing w:val="40"/>
                <w:sz w:val="20"/>
              </w:rPr>
              <w:t> </w:t>
            </w:r>
            <w:r>
              <w:rPr>
                <w:sz w:val="20"/>
              </w:rPr>
              <w:t>and</w:t>
            </w:r>
            <w:r>
              <w:rPr>
                <w:spacing w:val="40"/>
                <w:sz w:val="20"/>
              </w:rPr>
              <w:t> </w:t>
            </w:r>
            <w:r>
              <w:rPr>
                <w:sz w:val="20"/>
              </w:rPr>
              <w:t>truck terminals</w:t>
            </w:r>
          </w:p>
        </w:tc>
        <w:tc>
          <w:tcPr>
            <w:tcW w:w="1276" w:type="dxa"/>
          </w:tcPr>
          <w:p>
            <w:pPr>
              <w:pStyle w:val="TableParagraph"/>
              <w:spacing w:before="97"/>
              <w:ind w:left="108"/>
              <w:rPr>
                <w:sz w:val="20"/>
              </w:rPr>
            </w:pPr>
            <w:r>
              <w:rPr>
                <w:spacing w:val="5"/>
                <w:sz w:val="20"/>
              </w:rPr>
              <w:t>NP</w:t>
            </w:r>
          </w:p>
        </w:tc>
        <w:tc>
          <w:tcPr>
            <w:tcW w:w="1209" w:type="dxa"/>
          </w:tcPr>
          <w:p>
            <w:pPr>
              <w:pStyle w:val="TableParagraph"/>
              <w:tabs>
                <w:tab w:pos="680" w:val="left" w:leader="none"/>
              </w:tabs>
              <w:spacing w:line="234" w:lineRule="exact" w:before="97"/>
              <w:ind w:left="109"/>
              <w:rPr>
                <w:sz w:val="20"/>
              </w:rPr>
            </w:pPr>
            <w:r>
              <w:rPr>
                <w:spacing w:val="-10"/>
                <w:sz w:val="20"/>
              </w:rPr>
              <w:t>1</w:t>
            </w:r>
            <w:r>
              <w:rPr>
                <w:sz w:val="20"/>
              </w:rPr>
              <w:tab/>
            </w:r>
            <w:r>
              <w:rPr>
                <w:spacing w:val="-10"/>
                <w:sz w:val="20"/>
              </w:rPr>
              <w:t>&amp;</w:t>
            </w:r>
          </w:p>
          <w:p>
            <w:pPr>
              <w:pStyle w:val="TableParagraph"/>
              <w:spacing w:line="234" w:lineRule="exact"/>
              <w:ind w:left="109"/>
              <w:rPr>
                <w:sz w:val="20"/>
              </w:rPr>
            </w:pPr>
            <w:r>
              <w:rPr>
                <w:sz w:val="20"/>
              </w:rPr>
              <w:t>15,</w:t>
            </w:r>
            <w:r>
              <w:rPr>
                <w:spacing w:val="34"/>
                <w:sz w:val="20"/>
              </w:rPr>
              <w:t> </w:t>
            </w:r>
            <w:r>
              <w:rPr>
                <w:spacing w:val="-5"/>
                <w:sz w:val="20"/>
              </w:rPr>
              <w:t>16</w:t>
            </w:r>
          </w:p>
        </w:tc>
        <w:tc>
          <w:tcPr>
            <w:tcW w:w="1199" w:type="dxa"/>
          </w:tcPr>
          <w:p>
            <w:pPr>
              <w:pStyle w:val="TableParagraph"/>
              <w:spacing w:before="97"/>
              <w:ind w:left="110"/>
              <w:rPr>
                <w:sz w:val="20"/>
              </w:rPr>
            </w:pPr>
            <w:r>
              <w:rPr>
                <w:sz w:val="20"/>
              </w:rPr>
              <w:t>1</w:t>
            </w:r>
            <w:r>
              <w:rPr>
                <w:spacing w:val="16"/>
                <w:sz w:val="20"/>
              </w:rPr>
              <w:t> </w:t>
            </w:r>
            <w:r>
              <w:rPr>
                <w:sz w:val="20"/>
              </w:rPr>
              <w:t>&amp;</w:t>
            </w:r>
            <w:r>
              <w:rPr>
                <w:spacing w:val="20"/>
                <w:sz w:val="20"/>
              </w:rPr>
              <w:t> </w:t>
            </w:r>
            <w:r>
              <w:rPr>
                <w:spacing w:val="-5"/>
                <w:sz w:val="20"/>
              </w:rPr>
              <w:t>15</w:t>
            </w:r>
          </w:p>
        </w:tc>
        <w:tc>
          <w:tcPr>
            <w:tcW w:w="2196" w:type="dxa"/>
          </w:tcPr>
          <w:p>
            <w:pPr>
              <w:pStyle w:val="TableParagraph"/>
              <w:rPr>
                <w:rFonts w:ascii="Times New Roman"/>
                <w:sz w:val="18"/>
              </w:rPr>
            </w:pPr>
          </w:p>
        </w:tc>
      </w:tr>
      <w:tr>
        <w:trPr>
          <w:trHeight w:val="1365" w:hRule="atLeast"/>
        </w:trPr>
        <w:tc>
          <w:tcPr>
            <w:tcW w:w="1260" w:type="dxa"/>
          </w:tcPr>
          <w:p>
            <w:pPr>
              <w:pStyle w:val="TableParagraph"/>
              <w:spacing w:before="94"/>
              <w:ind w:left="107"/>
              <w:rPr>
                <w:sz w:val="20"/>
              </w:rPr>
            </w:pPr>
            <w:r>
              <w:rPr>
                <w:spacing w:val="5"/>
                <w:sz w:val="20"/>
              </w:rPr>
              <w:t>63</w:t>
            </w:r>
          </w:p>
        </w:tc>
        <w:tc>
          <w:tcPr>
            <w:tcW w:w="2856" w:type="dxa"/>
          </w:tcPr>
          <w:p>
            <w:pPr>
              <w:pStyle w:val="TableParagraph"/>
              <w:tabs>
                <w:tab w:pos="2076" w:val="left" w:leader="none"/>
              </w:tabs>
              <w:spacing w:before="94"/>
              <w:ind w:left="108" w:right="90"/>
              <w:jc w:val="both"/>
              <w:rPr>
                <w:sz w:val="20"/>
              </w:rPr>
            </w:pPr>
            <w:r>
              <w:rPr>
                <w:spacing w:val="-2"/>
                <w:sz w:val="20"/>
              </w:rPr>
              <w:t>I.T.&amp;I.T.E.S</w:t>
            </w:r>
            <w:r>
              <w:rPr>
                <w:sz w:val="20"/>
              </w:rPr>
              <w:tab/>
            </w:r>
            <w:r>
              <w:rPr>
                <w:spacing w:val="-2"/>
                <w:sz w:val="20"/>
              </w:rPr>
              <w:t>unit/</w:t>
            </w:r>
            <w:r>
              <w:rPr>
                <w:spacing w:val="-2"/>
                <w:sz w:val="20"/>
              </w:rPr>
              <w:t>s</w:t>
            </w:r>
            <w:r>
              <w:rPr>
                <w:spacing w:val="-2"/>
                <w:sz w:val="20"/>
              </w:rPr>
              <w:t> </w:t>
            </w:r>
            <w:r>
              <w:rPr>
                <w:sz w:val="20"/>
              </w:rPr>
              <w:t>(pertaining to software onlyas per IT policy of</w:t>
            </w:r>
            <w:r>
              <w:rPr>
                <w:spacing w:val="40"/>
                <w:sz w:val="20"/>
              </w:rPr>
              <w:t> </w:t>
            </w:r>
            <w:r>
              <w:rPr>
                <w:sz w:val="20"/>
              </w:rPr>
              <w:t>GoM or Central Govt.)</w:t>
            </w:r>
          </w:p>
        </w:tc>
        <w:tc>
          <w:tcPr>
            <w:tcW w:w="1276" w:type="dxa"/>
          </w:tcPr>
          <w:p>
            <w:pPr>
              <w:pStyle w:val="TableParagraph"/>
              <w:spacing w:before="94"/>
              <w:ind w:left="108"/>
              <w:rPr>
                <w:sz w:val="20"/>
              </w:rPr>
            </w:pPr>
            <w:r>
              <w:rPr>
                <w:sz w:val="20"/>
              </w:rPr>
              <w:t>1</w:t>
            </w:r>
            <w:r>
              <w:rPr>
                <w:spacing w:val="9"/>
                <w:sz w:val="20"/>
              </w:rPr>
              <w:t> </w:t>
            </w:r>
            <w:r>
              <w:rPr>
                <w:sz w:val="20"/>
              </w:rPr>
              <w:t>or</w:t>
            </w:r>
            <w:r>
              <w:rPr>
                <w:spacing w:val="12"/>
                <w:sz w:val="20"/>
              </w:rPr>
              <w:t> </w:t>
            </w:r>
            <w:r>
              <w:rPr>
                <w:sz w:val="20"/>
              </w:rPr>
              <w:t>2</w:t>
            </w:r>
            <w:r>
              <w:rPr>
                <w:spacing w:val="9"/>
                <w:sz w:val="20"/>
              </w:rPr>
              <w:t> </w:t>
            </w:r>
            <w:r>
              <w:rPr>
                <w:spacing w:val="-5"/>
                <w:sz w:val="20"/>
              </w:rPr>
              <w:t>or</w:t>
            </w:r>
          </w:p>
          <w:p>
            <w:pPr>
              <w:pStyle w:val="TableParagraph"/>
              <w:spacing w:before="1"/>
              <w:ind w:left="108"/>
              <w:rPr>
                <w:sz w:val="20"/>
              </w:rPr>
            </w:pPr>
            <w:r>
              <w:rPr>
                <w:sz w:val="20"/>
              </w:rPr>
              <w:t>3</w:t>
            </w:r>
            <w:r>
              <w:rPr>
                <w:spacing w:val="9"/>
                <w:sz w:val="20"/>
              </w:rPr>
              <w:t> </w:t>
            </w:r>
            <w:r>
              <w:rPr>
                <w:sz w:val="20"/>
              </w:rPr>
              <w:t>or</w:t>
            </w:r>
            <w:r>
              <w:rPr>
                <w:spacing w:val="12"/>
                <w:sz w:val="20"/>
              </w:rPr>
              <w:t> </w:t>
            </w:r>
            <w:r>
              <w:rPr>
                <w:sz w:val="20"/>
              </w:rPr>
              <w:t>4</w:t>
            </w:r>
            <w:r>
              <w:rPr>
                <w:spacing w:val="9"/>
                <w:sz w:val="20"/>
              </w:rPr>
              <w:t> </w:t>
            </w:r>
            <w:r>
              <w:rPr>
                <w:spacing w:val="-5"/>
                <w:sz w:val="20"/>
              </w:rPr>
              <w:t>or</w:t>
            </w:r>
          </w:p>
          <w:p>
            <w:pPr>
              <w:pStyle w:val="TableParagraph"/>
              <w:spacing w:before="1"/>
              <w:ind w:left="108"/>
              <w:rPr>
                <w:sz w:val="20"/>
              </w:rPr>
            </w:pPr>
            <w:r>
              <w:rPr>
                <w:sz w:val="20"/>
              </w:rPr>
              <w:t>9</w:t>
            </w:r>
            <w:r>
              <w:rPr>
                <w:spacing w:val="16"/>
                <w:sz w:val="20"/>
              </w:rPr>
              <w:t> </w:t>
            </w:r>
            <w:r>
              <w:rPr>
                <w:spacing w:val="-5"/>
                <w:sz w:val="20"/>
              </w:rPr>
              <w:t>&amp;14</w:t>
            </w:r>
          </w:p>
        </w:tc>
        <w:tc>
          <w:tcPr>
            <w:tcW w:w="1209" w:type="dxa"/>
          </w:tcPr>
          <w:p>
            <w:pPr>
              <w:pStyle w:val="TableParagraph"/>
              <w:spacing w:before="94"/>
              <w:ind w:left="109"/>
              <w:rPr>
                <w:sz w:val="20"/>
              </w:rPr>
            </w:pPr>
            <w:r>
              <w:rPr>
                <w:spacing w:val="5"/>
                <w:sz w:val="20"/>
              </w:rPr>
              <w:t>14</w:t>
            </w:r>
          </w:p>
        </w:tc>
        <w:tc>
          <w:tcPr>
            <w:tcW w:w="1199" w:type="dxa"/>
          </w:tcPr>
          <w:p>
            <w:pPr>
              <w:pStyle w:val="TableParagraph"/>
              <w:spacing w:before="94"/>
              <w:ind w:left="110"/>
              <w:rPr>
                <w:sz w:val="20"/>
              </w:rPr>
            </w:pPr>
            <w:r>
              <w:rPr>
                <w:spacing w:val="5"/>
                <w:sz w:val="20"/>
              </w:rPr>
              <w:t>14</w:t>
            </w:r>
          </w:p>
        </w:tc>
        <w:tc>
          <w:tcPr>
            <w:tcW w:w="2196" w:type="dxa"/>
          </w:tcPr>
          <w:p>
            <w:pPr>
              <w:pStyle w:val="TableParagraph"/>
              <w:tabs>
                <w:tab w:pos="730" w:val="left" w:leader="none"/>
                <w:tab w:pos="1880" w:val="left" w:leader="none"/>
              </w:tabs>
              <w:spacing w:before="94"/>
              <w:ind w:left="111" w:right="105"/>
              <w:rPr>
                <w:sz w:val="20"/>
              </w:rPr>
            </w:pPr>
            <w:r>
              <w:rPr>
                <w:sz w:val="20"/>
              </w:rPr>
              <w:t>In case of 3,4,9 in </w:t>
            </w:r>
            <w:r>
              <w:rPr>
                <w:spacing w:val="-2"/>
                <w:sz w:val="20"/>
              </w:rPr>
              <w:t>residential</w:t>
            </w:r>
            <w:r>
              <w:rPr>
                <w:spacing w:val="8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tc>
      </w:tr>
      <w:tr>
        <w:trPr>
          <w:trHeight w:val="897" w:hRule="atLeast"/>
        </w:trPr>
        <w:tc>
          <w:tcPr>
            <w:tcW w:w="1260" w:type="dxa"/>
          </w:tcPr>
          <w:p>
            <w:pPr>
              <w:pStyle w:val="TableParagraph"/>
              <w:spacing w:before="97"/>
              <w:ind w:left="107"/>
              <w:rPr>
                <w:sz w:val="20"/>
              </w:rPr>
            </w:pPr>
            <w:r>
              <w:rPr>
                <w:spacing w:val="5"/>
                <w:sz w:val="20"/>
              </w:rPr>
              <w:t>64</w:t>
            </w:r>
          </w:p>
        </w:tc>
        <w:tc>
          <w:tcPr>
            <w:tcW w:w="2856" w:type="dxa"/>
          </w:tcPr>
          <w:p>
            <w:pPr>
              <w:pStyle w:val="TableParagraph"/>
              <w:tabs>
                <w:tab w:pos="1596" w:val="left" w:leader="none"/>
              </w:tabs>
              <w:spacing w:before="97"/>
              <w:ind w:left="108" w:right="4"/>
              <w:rPr>
                <w:sz w:val="20"/>
              </w:rPr>
            </w:pPr>
            <w:r>
              <w:rPr>
                <w:spacing w:val="-2"/>
                <w:sz w:val="20"/>
              </w:rPr>
              <w:t>Offices,</w:t>
            </w:r>
            <w:r>
              <w:rPr>
                <w:sz w:val="20"/>
              </w:rPr>
              <w:tab/>
            </w:r>
            <w:r>
              <w:rPr>
                <w:spacing w:val="-2"/>
                <w:sz w:val="20"/>
              </w:rPr>
              <w:t>Information Technology</w:t>
            </w:r>
            <w:r>
              <w:rPr>
                <w:spacing w:val="80"/>
                <w:w w:val="150"/>
                <w:sz w:val="20"/>
              </w:rPr>
              <w:t>  </w:t>
            </w:r>
            <w:r>
              <w:rPr>
                <w:spacing w:val="-2"/>
                <w:sz w:val="20"/>
              </w:rPr>
              <w:t>Establishment</w:t>
            </w:r>
          </w:p>
        </w:tc>
        <w:tc>
          <w:tcPr>
            <w:tcW w:w="1276" w:type="dxa"/>
          </w:tcPr>
          <w:p>
            <w:pPr>
              <w:pStyle w:val="TableParagraph"/>
              <w:spacing w:before="97"/>
              <w:ind w:left="108" w:right="-15"/>
              <w:rPr>
                <w:sz w:val="20"/>
              </w:rPr>
            </w:pPr>
            <w:r>
              <w:rPr>
                <w:sz w:val="20"/>
              </w:rPr>
              <w:t>1</w:t>
            </w:r>
            <w:r>
              <w:rPr>
                <w:spacing w:val="6"/>
                <w:sz w:val="20"/>
              </w:rPr>
              <w:t> </w:t>
            </w:r>
            <w:r>
              <w:rPr>
                <w:sz w:val="20"/>
              </w:rPr>
              <w:t>or</w:t>
            </w:r>
            <w:r>
              <w:rPr>
                <w:spacing w:val="8"/>
                <w:sz w:val="20"/>
              </w:rPr>
              <w:t> </w:t>
            </w:r>
            <w:r>
              <w:rPr>
                <w:sz w:val="20"/>
              </w:rPr>
              <w:t>2</w:t>
            </w:r>
            <w:r>
              <w:rPr>
                <w:spacing w:val="8"/>
                <w:sz w:val="20"/>
              </w:rPr>
              <w:t> </w:t>
            </w:r>
            <w:r>
              <w:rPr>
                <w:sz w:val="20"/>
              </w:rPr>
              <w:t>&amp;</w:t>
            </w:r>
            <w:r>
              <w:rPr>
                <w:spacing w:val="6"/>
                <w:sz w:val="20"/>
              </w:rPr>
              <w:t> </w:t>
            </w:r>
            <w:r>
              <w:rPr>
                <w:spacing w:val="-5"/>
                <w:sz w:val="20"/>
              </w:rPr>
              <w:t>14</w:t>
            </w:r>
          </w:p>
        </w:tc>
        <w:tc>
          <w:tcPr>
            <w:tcW w:w="1209" w:type="dxa"/>
          </w:tcPr>
          <w:p>
            <w:pPr>
              <w:pStyle w:val="TableParagraph"/>
              <w:spacing w:line="234" w:lineRule="exact" w:before="97"/>
              <w:ind w:left="109"/>
              <w:rPr>
                <w:sz w:val="20"/>
              </w:rPr>
            </w:pPr>
            <w:r>
              <w:rPr>
                <w:sz w:val="20"/>
              </w:rPr>
              <w:t>1</w:t>
            </w:r>
            <w:r>
              <w:rPr>
                <w:spacing w:val="17"/>
                <w:sz w:val="20"/>
              </w:rPr>
              <w:t> </w:t>
            </w:r>
            <w:r>
              <w:rPr>
                <w:sz w:val="20"/>
              </w:rPr>
              <w:t>or</w:t>
            </w:r>
            <w:r>
              <w:rPr>
                <w:spacing w:val="21"/>
                <w:sz w:val="20"/>
              </w:rPr>
              <w:t> </w:t>
            </w:r>
            <w:r>
              <w:rPr>
                <w:sz w:val="20"/>
              </w:rPr>
              <w:t>2</w:t>
            </w:r>
            <w:r>
              <w:rPr>
                <w:spacing w:val="17"/>
                <w:sz w:val="20"/>
              </w:rPr>
              <w:t> </w:t>
            </w:r>
            <w:r>
              <w:rPr>
                <w:spacing w:val="-5"/>
                <w:sz w:val="20"/>
              </w:rPr>
              <w:t>or</w:t>
            </w:r>
          </w:p>
          <w:p>
            <w:pPr>
              <w:pStyle w:val="TableParagraph"/>
              <w:spacing w:line="234" w:lineRule="exact"/>
              <w:ind w:left="109"/>
              <w:rPr>
                <w:sz w:val="20"/>
              </w:rPr>
            </w:pPr>
            <w:r>
              <w:rPr>
                <w:sz w:val="20"/>
              </w:rPr>
              <w:t>3</w:t>
            </w:r>
            <w:r>
              <w:rPr>
                <w:spacing w:val="57"/>
                <w:w w:val="150"/>
                <w:sz w:val="20"/>
              </w:rPr>
              <w:t> </w:t>
            </w:r>
            <w:r>
              <w:rPr>
                <w:sz w:val="20"/>
              </w:rPr>
              <w:t>&amp;</w:t>
            </w:r>
            <w:r>
              <w:rPr>
                <w:spacing w:val="20"/>
                <w:sz w:val="20"/>
              </w:rPr>
              <w:t> </w:t>
            </w:r>
            <w:r>
              <w:rPr>
                <w:spacing w:val="-5"/>
                <w:sz w:val="20"/>
              </w:rPr>
              <w:t>14</w:t>
            </w:r>
          </w:p>
        </w:tc>
        <w:tc>
          <w:tcPr>
            <w:tcW w:w="1199" w:type="dxa"/>
          </w:tcPr>
          <w:p>
            <w:pPr>
              <w:pStyle w:val="TableParagraph"/>
              <w:spacing w:before="97"/>
              <w:ind w:left="110"/>
              <w:rPr>
                <w:sz w:val="20"/>
              </w:rPr>
            </w:pPr>
            <w:r>
              <w:rPr>
                <w:spacing w:val="5"/>
                <w:sz w:val="20"/>
              </w:rPr>
              <w:t>14</w:t>
            </w:r>
          </w:p>
        </w:tc>
        <w:tc>
          <w:tcPr>
            <w:tcW w:w="2196" w:type="dxa"/>
          </w:tcPr>
          <w:p>
            <w:pPr>
              <w:pStyle w:val="TableParagraph"/>
              <w:rPr>
                <w:rFonts w:ascii="Times New Roman"/>
                <w:sz w:val="18"/>
              </w:rPr>
            </w:pPr>
          </w:p>
        </w:tc>
      </w:tr>
      <w:tr>
        <w:trPr>
          <w:trHeight w:val="661" w:hRule="atLeast"/>
        </w:trPr>
        <w:tc>
          <w:tcPr>
            <w:tcW w:w="1260" w:type="dxa"/>
          </w:tcPr>
          <w:p>
            <w:pPr>
              <w:pStyle w:val="TableParagraph"/>
              <w:spacing w:before="94"/>
              <w:ind w:left="107"/>
              <w:rPr>
                <w:sz w:val="20"/>
              </w:rPr>
            </w:pPr>
            <w:r>
              <w:rPr>
                <w:spacing w:val="5"/>
                <w:sz w:val="20"/>
              </w:rPr>
              <w:t>65</w:t>
            </w:r>
          </w:p>
        </w:tc>
        <w:tc>
          <w:tcPr>
            <w:tcW w:w="2856" w:type="dxa"/>
          </w:tcPr>
          <w:p>
            <w:pPr>
              <w:pStyle w:val="TableParagraph"/>
              <w:spacing w:before="94"/>
              <w:ind w:left="108" w:right="1102"/>
              <w:rPr>
                <w:sz w:val="20"/>
              </w:rPr>
            </w:pPr>
            <w:r>
              <w:rPr>
                <w:spacing w:val="-2"/>
                <w:sz w:val="20"/>
              </w:rPr>
              <w:t>Biotechnology units</w:t>
            </w:r>
          </w:p>
        </w:tc>
        <w:tc>
          <w:tcPr>
            <w:tcW w:w="1276" w:type="dxa"/>
          </w:tcPr>
          <w:p>
            <w:pPr>
              <w:pStyle w:val="TableParagraph"/>
              <w:spacing w:before="94"/>
              <w:ind w:left="108"/>
              <w:rPr>
                <w:sz w:val="20"/>
              </w:rPr>
            </w:pPr>
            <w:r>
              <w:rPr>
                <w:spacing w:val="5"/>
                <w:sz w:val="20"/>
              </w:rPr>
              <w:t>NP</w:t>
            </w:r>
          </w:p>
        </w:tc>
        <w:tc>
          <w:tcPr>
            <w:tcW w:w="1209" w:type="dxa"/>
          </w:tcPr>
          <w:p>
            <w:pPr>
              <w:pStyle w:val="TableParagraph"/>
              <w:spacing w:before="94"/>
              <w:ind w:left="109"/>
              <w:rPr>
                <w:sz w:val="20"/>
              </w:rPr>
            </w:pPr>
            <w:r>
              <w:rPr>
                <w:spacing w:val="5"/>
                <w:sz w:val="20"/>
              </w:rPr>
              <w:t>NP</w:t>
            </w:r>
          </w:p>
        </w:tc>
        <w:tc>
          <w:tcPr>
            <w:tcW w:w="1199" w:type="dxa"/>
          </w:tcPr>
          <w:p>
            <w:pPr>
              <w:pStyle w:val="TableParagraph"/>
              <w:spacing w:before="94"/>
              <w:ind w:left="110"/>
              <w:rPr>
                <w:sz w:val="20"/>
              </w:rPr>
            </w:pPr>
            <w:r>
              <w:rPr>
                <w:spacing w:val="5"/>
                <w:sz w:val="20"/>
              </w:rPr>
              <w:t>14</w:t>
            </w:r>
          </w:p>
        </w:tc>
        <w:tc>
          <w:tcPr>
            <w:tcW w:w="2196" w:type="dxa"/>
          </w:tcPr>
          <w:p>
            <w:pPr>
              <w:pStyle w:val="TableParagraph"/>
              <w:rPr>
                <w:rFonts w:ascii="Times New Roman"/>
                <w:sz w:val="18"/>
              </w:rPr>
            </w:pPr>
          </w:p>
        </w:tc>
      </w:tr>
    </w:tbl>
    <w:p>
      <w:pPr>
        <w:pStyle w:val="TableParagraph"/>
        <w:spacing w:after="0"/>
        <w:rPr>
          <w:rFonts w:ascii="Times New Roman"/>
          <w:sz w:val="18"/>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1365" w:hRule="atLeast"/>
        </w:trPr>
        <w:tc>
          <w:tcPr>
            <w:tcW w:w="1260" w:type="dxa"/>
          </w:tcPr>
          <w:p>
            <w:pPr>
              <w:pStyle w:val="TableParagraph"/>
              <w:spacing w:before="94"/>
              <w:ind w:left="107"/>
              <w:rPr>
                <w:sz w:val="20"/>
              </w:rPr>
            </w:pPr>
            <w:r>
              <w:rPr>
                <w:spacing w:val="5"/>
                <w:sz w:val="20"/>
              </w:rPr>
              <w:t>66</w:t>
            </w:r>
          </w:p>
        </w:tc>
        <w:tc>
          <w:tcPr>
            <w:tcW w:w="2856" w:type="dxa"/>
          </w:tcPr>
          <w:p>
            <w:pPr>
              <w:pStyle w:val="TableParagraph"/>
              <w:spacing w:before="94"/>
              <w:ind w:left="108"/>
              <w:rPr>
                <w:sz w:val="20"/>
              </w:rPr>
            </w:pPr>
            <w:r>
              <w:rPr>
                <w:sz w:val="20"/>
              </w:rPr>
              <w:t>Wholesale</w:t>
            </w:r>
            <w:r>
              <w:rPr>
                <w:spacing w:val="80"/>
                <w:sz w:val="20"/>
              </w:rPr>
              <w:t> </w:t>
            </w:r>
            <w:r>
              <w:rPr>
                <w:sz w:val="20"/>
              </w:rPr>
              <w:t>trade</w:t>
            </w:r>
            <w:r>
              <w:rPr>
                <w:spacing w:val="80"/>
                <w:sz w:val="20"/>
              </w:rPr>
              <w:t> </w:t>
            </w:r>
            <w:r>
              <w:rPr>
                <w:sz w:val="20"/>
              </w:rPr>
              <w:t>and </w:t>
            </w:r>
            <w:r>
              <w:rPr>
                <w:spacing w:val="-2"/>
                <w:sz w:val="20"/>
              </w:rPr>
              <w:t>storage</w:t>
            </w:r>
          </w:p>
        </w:tc>
        <w:tc>
          <w:tcPr>
            <w:tcW w:w="1276" w:type="dxa"/>
          </w:tcPr>
          <w:p>
            <w:pPr>
              <w:pStyle w:val="TableParagraph"/>
              <w:spacing w:before="94"/>
              <w:ind w:left="108"/>
              <w:rPr>
                <w:sz w:val="20"/>
              </w:rPr>
            </w:pPr>
            <w:r>
              <w:rPr>
                <w:sz w:val="20"/>
              </w:rPr>
              <w:t>1</w:t>
            </w:r>
            <w:r>
              <w:rPr>
                <w:spacing w:val="30"/>
                <w:sz w:val="20"/>
              </w:rPr>
              <w:t> </w:t>
            </w:r>
            <w:r>
              <w:rPr>
                <w:sz w:val="20"/>
              </w:rPr>
              <w:t>or</w:t>
            </w:r>
            <w:r>
              <w:rPr>
                <w:spacing w:val="30"/>
                <w:sz w:val="20"/>
              </w:rPr>
              <w:t> </w:t>
            </w:r>
            <w:r>
              <w:rPr>
                <w:sz w:val="20"/>
              </w:rPr>
              <w:t>2</w:t>
            </w:r>
            <w:r>
              <w:rPr>
                <w:spacing w:val="31"/>
                <w:sz w:val="20"/>
              </w:rPr>
              <w:t> </w:t>
            </w:r>
            <w:r>
              <w:rPr>
                <w:sz w:val="20"/>
              </w:rPr>
              <w:t>or</w:t>
            </w:r>
            <w:r>
              <w:rPr>
                <w:spacing w:val="32"/>
                <w:sz w:val="20"/>
              </w:rPr>
              <w:t> </w:t>
            </w:r>
            <w:r>
              <w:rPr>
                <w:spacing w:val="-10"/>
                <w:sz w:val="20"/>
              </w:rPr>
              <w:t>3</w:t>
            </w:r>
          </w:p>
          <w:p>
            <w:pPr>
              <w:pStyle w:val="TableParagraph"/>
              <w:tabs>
                <w:tab w:pos="532" w:val="left" w:leader="none"/>
                <w:tab w:pos="1105" w:val="left" w:leader="none"/>
              </w:tabs>
              <w:spacing w:before="1"/>
              <w:ind w:left="108"/>
              <w:rPr>
                <w:sz w:val="20"/>
              </w:rPr>
            </w:pPr>
            <w:r>
              <w:rPr>
                <w:spacing w:val="-5"/>
                <w:sz w:val="20"/>
              </w:rPr>
              <w:t>or</w:t>
            </w:r>
            <w:r>
              <w:rPr>
                <w:sz w:val="20"/>
              </w:rPr>
              <w:tab/>
            </w:r>
            <w:r>
              <w:rPr>
                <w:spacing w:val="-5"/>
                <w:sz w:val="20"/>
              </w:rPr>
              <w:t>20</w:t>
            </w:r>
            <w:r>
              <w:rPr>
                <w:sz w:val="20"/>
              </w:rPr>
              <w:tab/>
            </w:r>
            <w:r>
              <w:rPr>
                <w:spacing w:val="-10"/>
                <w:sz w:val="20"/>
              </w:rPr>
              <w:t>&amp;</w:t>
            </w:r>
          </w:p>
          <w:p>
            <w:pPr>
              <w:pStyle w:val="TableParagraph"/>
              <w:ind w:left="108"/>
              <w:rPr>
                <w:sz w:val="20"/>
              </w:rPr>
            </w:pPr>
            <w:r>
              <w:rPr>
                <w:spacing w:val="-2"/>
                <w:sz w:val="20"/>
              </w:rPr>
              <w:t>16,17</w:t>
            </w:r>
          </w:p>
        </w:tc>
        <w:tc>
          <w:tcPr>
            <w:tcW w:w="1209" w:type="dxa"/>
          </w:tcPr>
          <w:p>
            <w:pPr>
              <w:pStyle w:val="TableParagraph"/>
              <w:spacing w:before="94"/>
              <w:ind w:left="109"/>
              <w:rPr>
                <w:sz w:val="20"/>
              </w:rPr>
            </w:pPr>
            <w:r>
              <w:rPr>
                <w:sz w:val="20"/>
              </w:rPr>
              <w:t>1</w:t>
            </w:r>
            <w:r>
              <w:rPr>
                <w:spacing w:val="40"/>
                <w:sz w:val="20"/>
              </w:rPr>
              <w:t> </w:t>
            </w:r>
            <w:r>
              <w:rPr>
                <w:sz w:val="20"/>
              </w:rPr>
              <w:t>or</w:t>
            </w:r>
            <w:r>
              <w:rPr>
                <w:spacing w:val="44"/>
                <w:sz w:val="20"/>
              </w:rPr>
              <w:t> </w:t>
            </w:r>
            <w:r>
              <w:rPr>
                <w:sz w:val="20"/>
              </w:rPr>
              <w:t>2</w:t>
            </w:r>
            <w:r>
              <w:rPr>
                <w:spacing w:val="40"/>
                <w:sz w:val="20"/>
              </w:rPr>
              <w:t> </w:t>
            </w:r>
            <w:r>
              <w:rPr>
                <w:spacing w:val="-5"/>
                <w:sz w:val="20"/>
              </w:rPr>
              <w:t>or</w:t>
            </w:r>
          </w:p>
          <w:p>
            <w:pPr>
              <w:pStyle w:val="TableParagraph"/>
              <w:spacing w:before="1"/>
              <w:ind w:left="109"/>
              <w:rPr>
                <w:sz w:val="20"/>
              </w:rPr>
            </w:pPr>
            <w:r>
              <w:rPr>
                <w:sz w:val="20"/>
              </w:rPr>
              <w:t>3</w:t>
            </w:r>
            <w:r>
              <w:rPr>
                <w:spacing w:val="16"/>
                <w:sz w:val="20"/>
              </w:rPr>
              <w:t> </w:t>
            </w:r>
            <w:r>
              <w:rPr>
                <w:sz w:val="20"/>
              </w:rPr>
              <w:t>or</w:t>
            </w:r>
            <w:r>
              <w:rPr>
                <w:spacing w:val="61"/>
                <w:w w:val="150"/>
                <w:sz w:val="20"/>
              </w:rPr>
              <w:t> </w:t>
            </w:r>
            <w:r>
              <w:rPr>
                <w:sz w:val="20"/>
              </w:rPr>
              <w:t>6</w:t>
            </w:r>
            <w:r>
              <w:rPr>
                <w:spacing w:val="17"/>
                <w:sz w:val="20"/>
              </w:rPr>
              <w:t> </w:t>
            </w:r>
            <w:r>
              <w:rPr>
                <w:spacing w:val="-5"/>
                <w:sz w:val="20"/>
              </w:rPr>
              <w:t>or</w:t>
            </w:r>
          </w:p>
          <w:p>
            <w:pPr>
              <w:pStyle w:val="TableParagraph"/>
              <w:ind w:left="109"/>
              <w:rPr>
                <w:sz w:val="20"/>
              </w:rPr>
            </w:pPr>
            <w:r>
              <w:rPr>
                <w:sz w:val="20"/>
              </w:rPr>
              <w:t>20</w:t>
            </w:r>
            <w:r>
              <w:rPr>
                <w:spacing w:val="66"/>
                <w:w w:val="150"/>
                <w:sz w:val="20"/>
              </w:rPr>
              <w:t> </w:t>
            </w:r>
            <w:r>
              <w:rPr>
                <w:spacing w:val="5"/>
                <w:sz w:val="20"/>
              </w:rPr>
              <w:t>&amp;16</w:t>
            </w:r>
          </w:p>
        </w:tc>
        <w:tc>
          <w:tcPr>
            <w:tcW w:w="1199" w:type="dxa"/>
          </w:tcPr>
          <w:p>
            <w:pPr>
              <w:pStyle w:val="TableParagraph"/>
              <w:spacing w:before="94"/>
              <w:ind w:left="110"/>
              <w:rPr>
                <w:sz w:val="20"/>
              </w:rPr>
            </w:pPr>
            <w:r>
              <w:rPr>
                <w:sz w:val="20"/>
              </w:rPr>
              <w:t>1</w:t>
            </w:r>
            <w:r>
              <w:rPr>
                <w:spacing w:val="14"/>
                <w:sz w:val="20"/>
              </w:rPr>
              <w:t> </w:t>
            </w:r>
            <w:r>
              <w:rPr>
                <w:sz w:val="20"/>
              </w:rPr>
              <w:t>or</w:t>
            </w:r>
            <w:r>
              <w:rPr>
                <w:spacing w:val="16"/>
                <w:sz w:val="20"/>
              </w:rPr>
              <w:t> </w:t>
            </w:r>
            <w:r>
              <w:rPr>
                <w:sz w:val="20"/>
              </w:rPr>
              <w:t>2</w:t>
            </w:r>
            <w:r>
              <w:rPr>
                <w:spacing w:val="14"/>
                <w:sz w:val="20"/>
              </w:rPr>
              <w:t> </w:t>
            </w:r>
            <w:r>
              <w:rPr>
                <w:spacing w:val="-5"/>
                <w:sz w:val="20"/>
              </w:rPr>
              <w:t>or</w:t>
            </w:r>
          </w:p>
          <w:p>
            <w:pPr>
              <w:pStyle w:val="TableParagraph"/>
              <w:spacing w:before="1"/>
              <w:ind w:left="110"/>
              <w:rPr>
                <w:sz w:val="20"/>
              </w:rPr>
            </w:pPr>
            <w:r>
              <w:rPr>
                <w:sz w:val="20"/>
              </w:rPr>
              <w:t>6</w:t>
            </w:r>
            <w:r>
              <w:rPr>
                <w:spacing w:val="23"/>
                <w:sz w:val="20"/>
              </w:rPr>
              <w:t> </w:t>
            </w:r>
            <w:r>
              <w:rPr>
                <w:sz w:val="20"/>
              </w:rPr>
              <w:t>or</w:t>
            </w:r>
            <w:r>
              <w:rPr>
                <w:spacing w:val="22"/>
                <w:sz w:val="20"/>
              </w:rPr>
              <w:t> </w:t>
            </w:r>
            <w:r>
              <w:rPr>
                <w:spacing w:val="-5"/>
                <w:sz w:val="20"/>
              </w:rPr>
              <w:t>20</w:t>
            </w:r>
          </w:p>
        </w:tc>
        <w:tc>
          <w:tcPr>
            <w:tcW w:w="2196" w:type="dxa"/>
          </w:tcPr>
          <w:p>
            <w:pPr>
              <w:pStyle w:val="TableParagraph"/>
              <w:spacing w:before="94"/>
              <w:ind w:left="111" w:right="105"/>
              <w:jc w:val="both"/>
              <w:rPr>
                <w:sz w:val="20"/>
              </w:rPr>
            </w:pPr>
            <w:r>
              <w:rPr>
                <w:sz w:val="20"/>
              </w:rPr>
              <w:t>In case of 3 or </w:t>
            </w:r>
            <w:r>
              <w:rPr>
                <w:sz w:val="20"/>
              </w:rPr>
              <w:t>20</w:t>
            </w:r>
            <w:r>
              <w:rPr>
                <w:spacing w:val="80"/>
                <w:sz w:val="20"/>
              </w:rPr>
              <w:t> </w:t>
            </w:r>
            <w:r>
              <w:rPr>
                <w:sz w:val="20"/>
              </w:rPr>
              <w:t>in residential premises</w:t>
            </w:r>
            <w:r>
              <w:rPr>
                <w:spacing w:val="40"/>
                <w:sz w:val="20"/>
              </w:rPr>
              <w:t> </w:t>
            </w:r>
            <w:r>
              <w:rPr>
                <w:sz w:val="20"/>
              </w:rPr>
              <w:t>it</w:t>
            </w:r>
            <w:r>
              <w:rPr>
                <w:spacing w:val="40"/>
                <w:sz w:val="20"/>
              </w:rPr>
              <w:t> </w:t>
            </w:r>
            <w:r>
              <w:rPr>
                <w:sz w:val="20"/>
              </w:rPr>
              <w:t>shall</w:t>
            </w:r>
            <w:r>
              <w:rPr>
                <w:spacing w:val="40"/>
                <w:sz w:val="20"/>
              </w:rPr>
              <w:t> </w:t>
            </w:r>
            <w:r>
              <w:rPr>
                <w:sz w:val="20"/>
              </w:rPr>
              <w:t>be subject to condition no 18</w:t>
            </w:r>
          </w:p>
        </w:tc>
      </w:tr>
      <w:tr>
        <w:trPr>
          <w:trHeight w:val="897" w:hRule="atLeast"/>
        </w:trPr>
        <w:tc>
          <w:tcPr>
            <w:tcW w:w="1260" w:type="dxa"/>
          </w:tcPr>
          <w:p>
            <w:pPr>
              <w:pStyle w:val="TableParagraph"/>
              <w:spacing w:before="94"/>
              <w:ind w:left="107"/>
              <w:rPr>
                <w:sz w:val="20"/>
              </w:rPr>
            </w:pPr>
            <w:r>
              <w:rPr>
                <w:spacing w:val="5"/>
                <w:sz w:val="20"/>
              </w:rPr>
              <w:t>67</w:t>
            </w:r>
          </w:p>
        </w:tc>
        <w:tc>
          <w:tcPr>
            <w:tcW w:w="2856" w:type="dxa"/>
          </w:tcPr>
          <w:p>
            <w:pPr>
              <w:pStyle w:val="TableParagraph"/>
              <w:spacing w:before="94"/>
              <w:ind w:left="108"/>
              <w:rPr>
                <w:sz w:val="20"/>
              </w:rPr>
            </w:pPr>
            <w:r>
              <w:rPr>
                <w:spacing w:val="-2"/>
                <w:sz w:val="20"/>
              </w:rPr>
              <w:t>Prisons</w:t>
            </w:r>
          </w:p>
        </w:tc>
        <w:tc>
          <w:tcPr>
            <w:tcW w:w="1276" w:type="dxa"/>
          </w:tcPr>
          <w:p>
            <w:pPr>
              <w:pStyle w:val="TableParagraph"/>
              <w:spacing w:before="94"/>
              <w:ind w:left="108"/>
              <w:rPr>
                <w:sz w:val="20"/>
              </w:rPr>
            </w:pPr>
            <w:r>
              <w:rPr>
                <w:spacing w:val="5"/>
                <w:sz w:val="20"/>
              </w:rPr>
              <w:t>NP</w:t>
            </w:r>
          </w:p>
        </w:tc>
        <w:tc>
          <w:tcPr>
            <w:tcW w:w="1209" w:type="dxa"/>
          </w:tcPr>
          <w:p>
            <w:pPr>
              <w:pStyle w:val="TableParagraph"/>
              <w:spacing w:before="94"/>
              <w:ind w:left="109"/>
              <w:rPr>
                <w:sz w:val="20"/>
              </w:rPr>
            </w:pPr>
            <w:r>
              <w:rPr>
                <w:sz w:val="20"/>
              </w:rPr>
              <w:t>1</w:t>
            </w:r>
            <w:r>
              <w:rPr>
                <w:spacing w:val="62"/>
                <w:sz w:val="20"/>
              </w:rPr>
              <w:t> </w:t>
            </w:r>
            <w:r>
              <w:rPr>
                <w:spacing w:val="-5"/>
                <w:sz w:val="20"/>
              </w:rPr>
              <w:t>or</w:t>
            </w:r>
          </w:p>
          <w:p>
            <w:pPr>
              <w:pStyle w:val="TableParagraph"/>
              <w:spacing w:before="1"/>
              <w:ind w:left="109"/>
              <w:rPr>
                <w:sz w:val="20"/>
              </w:rPr>
            </w:pPr>
            <w:r>
              <w:rPr>
                <w:sz w:val="20"/>
              </w:rPr>
              <w:t>2</w:t>
            </w:r>
            <w:r>
              <w:rPr>
                <w:spacing w:val="79"/>
                <w:w w:val="150"/>
                <w:sz w:val="20"/>
              </w:rPr>
              <w:t> </w:t>
            </w:r>
            <w:r>
              <w:rPr>
                <w:spacing w:val="-10"/>
                <w:sz w:val="20"/>
              </w:rPr>
              <w:t>&amp;</w:t>
            </w:r>
          </w:p>
          <w:p>
            <w:pPr>
              <w:pStyle w:val="TableParagraph"/>
              <w:spacing w:before="1"/>
              <w:ind w:left="109"/>
              <w:rPr>
                <w:sz w:val="20"/>
              </w:rPr>
            </w:pPr>
            <w:r>
              <w:rPr>
                <w:spacing w:val="5"/>
                <w:sz w:val="20"/>
              </w:rPr>
              <w:t>22</w:t>
            </w:r>
          </w:p>
        </w:tc>
        <w:tc>
          <w:tcPr>
            <w:tcW w:w="1199" w:type="dxa"/>
          </w:tcPr>
          <w:p>
            <w:pPr>
              <w:pStyle w:val="TableParagraph"/>
              <w:spacing w:before="94"/>
              <w:ind w:left="110"/>
              <w:rPr>
                <w:sz w:val="20"/>
              </w:rPr>
            </w:pPr>
            <w:r>
              <w:rPr>
                <w:sz w:val="20"/>
              </w:rPr>
              <w:t>1</w:t>
            </w:r>
            <w:r>
              <w:rPr>
                <w:spacing w:val="31"/>
                <w:sz w:val="20"/>
              </w:rPr>
              <w:t> </w:t>
            </w:r>
            <w:r>
              <w:rPr>
                <w:sz w:val="20"/>
              </w:rPr>
              <w:t>or</w:t>
            </w:r>
            <w:r>
              <w:rPr>
                <w:spacing w:val="32"/>
                <w:sz w:val="20"/>
              </w:rPr>
              <w:t> </w:t>
            </w:r>
            <w:r>
              <w:rPr>
                <w:sz w:val="20"/>
              </w:rPr>
              <w:t>2</w:t>
            </w:r>
            <w:r>
              <w:rPr>
                <w:spacing w:val="31"/>
                <w:sz w:val="20"/>
              </w:rPr>
              <w:t> </w:t>
            </w:r>
            <w:r>
              <w:rPr>
                <w:spacing w:val="-10"/>
                <w:sz w:val="20"/>
              </w:rPr>
              <w:t>&amp;</w:t>
            </w:r>
          </w:p>
          <w:p>
            <w:pPr>
              <w:pStyle w:val="TableParagraph"/>
              <w:spacing w:before="1"/>
              <w:ind w:left="110"/>
              <w:rPr>
                <w:sz w:val="20"/>
              </w:rPr>
            </w:pPr>
            <w:r>
              <w:rPr>
                <w:spacing w:val="5"/>
                <w:sz w:val="20"/>
              </w:rPr>
              <w:t>22</w:t>
            </w:r>
          </w:p>
        </w:tc>
        <w:tc>
          <w:tcPr>
            <w:tcW w:w="2196" w:type="dxa"/>
          </w:tcPr>
          <w:p>
            <w:pPr>
              <w:pStyle w:val="TableParagraph"/>
              <w:rPr>
                <w:rFonts w:ascii="Times New Roman"/>
                <w:sz w:val="18"/>
              </w:rPr>
            </w:pPr>
          </w:p>
        </w:tc>
      </w:tr>
      <w:tr>
        <w:trPr>
          <w:trHeight w:val="2634" w:hRule="atLeast"/>
        </w:trPr>
        <w:tc>
          <w:tcPr>
            <w:tcW w:w="1260" w:type="dxa"/>
          </w:tcPr>
          <w:p>
            <w:pPr>
              <w:pStyle w:val="TableParagraph"/>
              <w:spacing w:before="94"/>
              <w:ind w:left="107"/>
              <w:rPr>
                <w:sz w:val="20"/>
              </w:rPr>
            </w:pPr>
            <w:r>
              <w:rPr>
                <w:spacing w:val="5"/>
                <w:sz w:val="20"/>
              </w:rPr>
              <w:t>68</w:t>
            </w:r>
          </w:p>
        </w:tc>
        <w:tc>
          <w:tcPr>
            <w:tcW w:w="2856" w:type="dxa"/>
          </w:tcPr>
          <w:p>
            <w:pPr>
              <w:pStyle w:val="TableParagraph"/>
              <w:tabs>
                <w:tab w:pos="1328" w:val="left" w:leader="none"/>
                <w:tab w:pos="2109" w:val="left" w:leader="none"/>
              </w:tabs>
              <w:spacing w:before="94"/>
              <w:ind w:left="108" w:right="108"/>
              <w:jc w:val="both"/>
              <w:rPr>
                <w:sz w:val="20"/>
              </w:rPr>
            </w:pPr>
            <w:r>
              <w:rPr>
                <w:sz w:val="20"/>
              </w:rPr>
              <w:t>a)Trade</w:t>
            </w:r>
            <w:r>
              <w:rPr>
                <w:spacing w:val="80"/>
                <w:sz w:val="20"/>
              </w:rPr>
              <w:t> </w:t>
            </w:r>
            <w:r>
              <w:rPr>
                <w:sz w:val="20"/>
              </w:rPr>
              <w:t>and</w:t>
            </w:r>
            <w:r>
              <w:rPr>
                <w:spacing w:val="382"/>
                <w:sz w:val="20"/>
              </w:rPr>
              <w:t> </w:t>
            </w:r>
            <w:r>
              <w:rPr>
                <w:sz w:val="20"/>
              </w:rPr>
              <w:t>othe</w:t>
            </w:r>
            <w:r>
              <w:rPr>
                <w:sz w:val="20"/>
              </w:rPr>
              <w:t>r</w:t>
            </w:r>
            <w:r>
              <w:rPr>
                <w:sz w:val="20"/>
              </w:rPr>
              <w:t> similar schools, not involving any danger of</w:t>
            </w:r>
            <w:r>
              <w:rPr>
                <w:spacing w:val="40"/>
                <w:sz w:val="20"/>
              </w:rPr>
              <w:t> </w:t>
            </w:r>
            <w:r>
              <w:rPr>
                <w:sz w:val="20"/>
              </w:rPr>
              <w:t>fire or explosion, or </w:t>
            </w:r>
            <w:r>
              <w:rPr>
                <w:spacing w:val="-2"/>
                <w:sz w:val="20"/>
              </w:rPr>
              <w:t>offensive</w:t>
            </w:r>
            <w:r>
              <w:rPr>
                <w:sz w:val="20"/>
              </w:rPr>
              <w:tab/>
              <w:tab/>
            </w:r>
            <w:r>
              <w:rPr>
                <w:spacing w:val="-2"/>
                <w:sz w:val="20"/>
              </w:rPr>
              <w:t>noise</w:t>
            </w:r>
            <w:r>
              <w:rPr>
                <w:spacing w:val="-2"/>
                <w:sz w:val="20"/>
              </w:rPr>
              <w:t>,</w:t>
            </w:r>
            <w:r>
              <w:rPr>
                <w:spacing w:val="-2"/>
                <w:sz w:val="20"/>
              </w:rPr>
              <w:t> </w:t>
            </w:r>
            <w:r>
              <w:rPr>
                <w:sz w:val="20"/>
              </w:rPr>
              <w:t>vibration, smoke, dust, odour,</w:t>
            </w:r>
            <w:r>
              <w:rPr>
                <w:spacing w:val="40"/>
                <w:sz w:val="20"/>
              </w:rPr>
              <w:t> </w:t>
            </w:r>
            <w:r>
              <w:rPr>
                <w:sz w:val="20"/>
              </w:rPr>
              <w:t>glare,</w:t>
            </w:r>
            <w:r>
              <w:rPr>
                <w:spacing w:val="40"/>
                <w:sz w:val="20"/>
              </w:rPr>
              <w:t> </w:t>
            </w:r>
            <w:r>
              <w:rPr>
                <w:sz w:val="20"/>
              </w:rPr>
              <w:t>heat</w:t>
            </w:r>
            <w:r>
              <w:rPr>
                <w:spacing w:val="40"/>
                <w:sz w:val="20"/>
              </w:rPr>
              <w:t> </w:t>
            </w:r>
            <w:r>
              <w:rPr>
                <w:sz w:val="20"/>
              </w:rPr>
              <w:t>or </w:t>
            </w:r>
            <w:r>
              <w:rPr>
                <w:spacing w:val="-2"/>
                <w:sz w:val="20"/>
              </w:rPr>
              <w:t>other</w:t>
            </w:r>
            <w:r>
              <w:rPr>
                <w:sz w:val="20"/>
              </w:rPr>
              <w:tab/>
            </w:r>
            <w:r>
              <w:rPr>
                <w:spacing w:val="-2"/>
                <w:sz w:val="20"/>
              </w:rPr>
              <w:t>objectionabl</w:t>
            </w:r>
            <w:r>
              <w:rPr>
                <w:spacing w:val="-2"/>
                <w:sz w:val="20"/>
              </w:rPr>
              <w:t>e</w:t>
            </w:r>
            <w:r>
              <w:rPr>
                <w:spacing w:val="-2"/>
                <w:sz w:val="20"/>
              </w:rPr>
              <w:t> features.</w:t>
            </w:r>
          </w:p>
        </w:tc>
        <w:tc>
          <w:tcPr>
            <w:tcW w:w="1276" w:type="dxa"/>
          </w:tcPr>
          <w:p>
            <w:pPr>
              <w:pStyle w:val="TableParagraph"/>
              <w:spacing w:before="94"/>
              <w:ind w:left="108"/>
              <w:rPr>
                <w:sz w:val="20"/>
              </w:rPr>
            </w:pPr>
            <w:r>
              <w:rPr>
                <w:sz w:val="20"/>
              </w:rPr>
              <w:t>1</w:t>
            </w:r>
            <w:r>
              <w:rPr>
                <w:spacing w:val="56"/>
                <w:sz w:val="20"/>
              </w:rPr>
              <w:t> </w:t>
            </w:r>
            <w:r>
              <w:rPr>
                <w:sz w:val="20"/>
              </w:rPr>
              <w:t>or</w:t>
            </w:r>
            <w:r>
              <w:rPr>
                <w:spacing w:val="56"/>
                <w:sz w:val="20"/>
              </w:rPr>
              <w:t> </w:t>
            </w:r>
            <w:r>
              <w:rPr>
                <w:sz w:val="20"/>
              </w:rPr>
              <w:t>2</w:t>
            </w:r>
            <w:r>
              <w:rPr>
                <w:spacing w:val="56"/>
                <w:sz w:val="20"/>
              </w:rPr>
              <w:t> </w:t>
            </w:r>
            <w:r>
              <w:rPr>
                <w:spacing w:val="-10"/>
                <w:sz w:val="20"/>
              </w:rPr>
              <w:t>&amp;</w:t>
            </w:r>
          </w:p>
          <w:p>
            <w:pPr>
              <w:pStyle w:val="TableParagraph"/>
              <w:spacing w:before="1"/>
              <w:ind w:left="108"/>
              <w:rPr>
                <w:sz w:val="20"/>
              </w:rPr>
            </w:pPr>
            <w:r>
              <w:rPr>
                <w:sz w:val="20"/>
              </w:rPr>
              <w:t>16,</w:t>
            </w:r>
            <w:r>
              <w:rPr>
                <w:spacing w:val="34"/>
                <w:sz w:val="20"/>
              </w:rPr>
              <w:t> </w:t>
            </w:r>
            <w:r>
              <w:rPr>
                <w:spacing w:val="-5"/>
                <w:sz w:val="20"/>
              </w:rPr>
              <w:t>17</w:t>
            </w:r>
          </w:p>
        </w:tc>
        <w:tc>
          <w:tcPr>
            <w:tcW w:w="1209" w:type="dxa"/>
          </w:tcPr>
          <w:p>
            <w:pPr>
              <w:pStyle w:val="TableParagraph"/>
              <w:spacing w:before="94"/>
              <w:ind w:left="109"/>
              <w:rPr>
                <w:sz w:val="20"/>
              </w:rPr>
            </w:pPr>
            <w:r>
              <w:rPr>
                <w:spacing w:val="5"/>
                <w:sz w:val="20"/>
              </w:rPr>
              <w:t>15</w:t>
            </w:r>
          </w:p>
        </w:tc>
        <w:tc>
          <w:tcPr>
            <w:tcW w:w="1199" w:type="dxa"/>
          </w:tcPr>
          <w:p>
            <w:pPr>
              <w:pStyle w:val="TableParagraph"/>
              <w:spacing w:before="94"/>
              <w:ind w:left="197" w:right="149"/>
              <w:jc w:val="center"/>
              <w:rPr>
                <w:sz w:val="20"/>
              </w:rPr>
            </w:pPr>
            <w:r>
              <w:rPr>
                <w:spacing w:val="-10"/>
                <w:sz w:val="20"/>
              </w:rPr>
              <w:t>P</w:t>
            </w:r>
          </w:p>
        </w:tc>
        <w:tc>
          <w:tcPr>
            <w:tcW w:w="2196" w:type="dxa"/>
          </w:tcPr>
          <w:p>
            <w:pPr>
              <w:pStyle w:val="TableParagraph"/>
              <w:rPr>
                <w:rFonts w:ascii="Times New Roman"/>
                <w:sz w:val="18"/>
              </w:rPr>
            </w:pPr>
          </w:p>
        </w:tc>
      </w:tr>
      <w:tr>
        <w:trPr>
          <w:trHeight w:val="3009" w:hRule="atLeast"/>
        </w:trPr>
        <w:tc>
          <w:tcPr>
            <w:tcW w:w="1260" w:type="dxa"/>
          </w:tcPr>
          <w:p>
            <w:pPr>
              <w:pStyle w:val="TableParagraph"/>
              <w:rPr>
                <w:rFonts w:ascii="Times New Roman"/>
                <w:sz w:val="18"/>
              </w:rPr>
            </w:pPr>
          </w:p>
        </w:tc>
        <w:tc>
          <w:tcPr>
            <w:tcW w:w="2856" w:type="dxa"/>
          </w:tcPr>
          <w:p>
            <w:pPr>
              <w:pStyle w:val="TableParagraph"/>
              <w:tabs>
                <w:tab w:pos="2451" w:val="left" w:leader="none"/>
              </w:tabs>
              <w:spacing w:before="94"/>
              <w:ind w:left="108" w:right="108"/>
              <w:jc w:val="both"/>
              <w:rPr>
                <w:sz w:val="20"/>
              </w:rPr>
            </w:pPr>
            <w:r>
              <w:rPr>
                <w:sz w:val="20"/>
              </w:rPr>
              <w:t>b)</w:t>
            </w:r>
            <w:r>
              <w:rPr>
                <w:spacing w:val="80"/>
                <w:sz w:val="20"/>
              </w:rPr>
              <w:t> </w:t>
            </w:r>
            <w:r>
              <w:rPr>
                <w:sz w:val="20"/>
              </w:rPr>
              <w:t>Bakeries,</w:t>
            </w:r>
            <w:r>
              <w:rPr>
                <w:spacing w:val="80"/>
                <w:sz w:val="20"/>
              </w:rPr>
              <w:t> </w:t>
            </w:r>
            <w:r>
              <w:rPr>
                <w:sz w:val="20"/>
              </w:rPr>
              <w:t>with</w:t>
            </w:r>
            <w:r>
              <w:rPr>
                <w:spacing w:val="80"/>
                <w:sz w:val="20"/>
              </w:rPr>
              <w:t> </w:t>
            </w:r>
            <w:r>
              <w:rPr>
                <w:sz w:val="20"/>
              </w:rPr>
              <w:t>no floor above, each not </w:t>
            </w:r>
            <w:r>
              <w:rPr>
                <w:spacing w:val="-2"/>
                <w:sz w:val="20"/>
              </w:rPr>
              <w:t>occupying</w:t>
            </w:r>
            <w:r>
              <w:rPr>
                <w:sz w:val="20"/>
              </w:rPr>
              <w:tab/>
            </w:r>
            <w:r>
              <w:rPr>
                <w:spacing w:val="-4"/>
                <w:sz w:val="20"/>
              </w:rPr>
              <w:t>fo</w:t>
            </w:r>
            <w:r>
              <w:rPr>
                <w:spacing w:val="-4"/>
                <w:sz w:val="20"/>
              </w:rPr>
              <w:t>r</w:t>
            </w:r>
            <w:r>
              <w:rPr>
                <w:spacing w:val="-4"/>
                <w:sz w:val="20"/>
              </w:rPr>
              <w:t> </w:t>
            </w:r>
            <w:r>
              <w:rPr>
                <w:sz w:val="20"/>
              </w:rPr>
              <w:t>production an area more than 75 sq. m.</w:t>
            </w:r>
          </w:p>
        </w:tc>
        <w:tc>
          <w:tcPr>
            <w:tcW w:w="1276" w:type="dxa"/>
          </w:tcPr>
          <w:p>
            <w:pPr>
              <w:pStyle w:val="TableParagraph"/>
              <w:spacing w:before="94"/>
              <w:ind w:left="108"/>
              <w:rPr>
                <w:sz w:val="20"/>
              </w:rPr>
            </w:pPr>
            <w:r>
              <w:rPr>
                <w:sz w:val="20"/>
              </w:rPr>
              <w:t>1</w:t>
            </w:r>
            <w:r>
              <w:rPr>
                <w:spacing w:val="56"/>
                <w:sz w:val="20"/>
              </w:rPr>
              <w:t> </w:t>
            </w:r>
            <w:r>
              <w:rPr>
                <w:sz w:val="20"/>
              </w:rPr>
              <w:t>or</w:t>
            </w:r>
            <w:r>
              <w:rPr>
                <w:spacing w:val="56"/>
                <w:sz w:val="20"/>
              </w:rPr>
              <w:t> </w:t>
            </w:r>
            <w:r>
              <w:rPr>
                <w:sz w:val="20"/>
              </w:rPr>
              <w:t>2</w:t>
            </w:r>
            <w:r>
              <w:rPr>
                <w:spacing w:val="56"/>
                <w:sz w:val="20"/>
              </w:rPr>
              <w:t> </w:t>
            </w:r>
            <w:r>
              <w:rPr>
                <w:spacing w:val="-10"/>
                <w:sz w:val="20"/>
              </w:rPr>
              <w:t>&amp;</w:t>
            </w:r>
          </w:p>
          <w:p>
            <w:pPr>
              <w:pStyle w:val="TableParagraph"/>
              <w:spacing w:before="1"/>
              <w:ind w:left="108"/>
              <w:rPr>
                <w:sz w:val="20"/>
              </w:rPr>
            </w:pPr>
            <w:r>
              <w:rPr>
                <w:sz w:val="20"/>
              </w:rPr>
              <w:t>16,</w:t>
            </w:r>
            <w:r>
              <w:rPr>
                <w:spacing w:val="34"/>
                <w:sz w:val="20"/>
              </w:rPr>
              <w:t> </w:t>
            </w:r>
            <w:r>
              <w:rPr>
                <w:spacing w:val="-5"/>
                <w:sz w:val="20"/>
              </w:rPr>
              <w:t>17,</w:t>
            </w:r>
          </w:p>
        </w:tc>
        <w:tc>
          <w:tcPr>
            <w:tcW w:w="1209" w:type="dxa"/>
          </w:tcPr>
          <w:p>
            <w:pPr>
              <w:pStyle w:val="TableParagraph"/>
              <w:spacing w:before="94"/>
              <w:ind w:left="109"/>
              <w:rPr>
                <w:sz w:val="20"/>
              </w:rPr>
            </w:pPr>
            <w:r>
              <w:rPr>
                <w:sz w:val="20"/>
              </w:rPr>
              <w:t>1</w:t>
            </w:r>
            <w:r>
              <w:rPr>
                <w:spacing w:val="47"/>
                <w:sz w:val="20"/>
              </w:rPr>
              <w:t> </w:t>
            </w:r>
            <w:r>
              <w:rPr>
                <w:sz w:val="20"/>
              </w:rPr>
              <w:t>or</w:t>
            </w:r>
            <w:r>
              <w:rPr>
                <w:spacing w:val="49"/>
                <w:sz w:val="20"/>
              </w:rPr>
              <w:t> </w:t>
            </w:r>
            <w:r>
              <w:rPr>
                <w:sz w:val="20"/>
              </w:rPr>
              <w:t>2</w:t>
            </w:r>
            <w:r>
              <w:rPr>
                <w:spacing w:val="47"/>
                <w:sz w:val="20"/>
              </w:rPr>
              <w:t> </w:t>
            </w:r>
            <w:r>
              <w:rPr>
                <w:spacing w:val="-7"/>
                <w:sz w:val="20"/>
              </w:rPr>
              <w:t>or</w:t>
            </w:r>
          </w:p>
          <w:p>
            <w:pPr>
              <w:pStyle w:val="TableParagraph"/>
              <w:spacing w:before="1"/>
              <w:ind w:left="109"/>
              <w:rPr>
                <w:sz w:val="20"/>
              </w:rPr>
            </w:pPr>
            <w:r>
              <w:rPr>
                <w:sz w:val="20"/>
              </w:rPr>
              <w:t>3</w:t>
            </w:r>
            <w:r>
              <w:rPr>
                <w:spacing w:val="23"/>
                <w:sz w:val="20"/>
              </w:rPr>
              <w:t> </w:t>
            </w:r>
            <w:r>
              <w:rPr>
                <w:sz w:val="20"/>
              </w:rPr>
              <w:t>or</w:t>
            </w:r>
            <w:r>
              <w:rPr>
                <w:spacing w:val="22"/>
                <w:sz w:val="20"/>
              </w:rPr>
              <w:t> </w:t>
            </w:r>
            <w:r>
              <w:rPr>
                <w:spacing w:val="-5"/>
                <w:sz w:val="20"/>
              </w:rPr>
              <w:t>20</w:t>
            </w:r>
          </w:p>
        </w:tc>
        <w:tc>
          <w:tcPr>
            <w:tcW w:w="1199" w:type="dxa"/>
          </w:tcPr>
          <w:p>
            <w:pPr>
              <w:pStyle w:val="TableParagraph"/>
              <w:spacing w:before="94"/>
              <w:ind w:right="211"/>
              <w:jc w:val="right"/>
              <w:rPr>
                <w:sz w:val="20"/>
              </w:rPr>
            </w:pPr>
            <w:r>
              <w:rPr>
                <w:spacing w:val="-10"/>
                <w:sz w:val="20"/>
              </w:rPr>
              <w:t>P</w:t>
            </w:r>
          </w:p>
        </w:tc>
        <w:tc>
          <w:tcPr>
            <w:tcW w:w="2196" w:type="dxa"/>
          </w:tcPr>
          <w:p>
            <w:pPr>
              <w:pStyle w:val="TableParagraph"/>
              <w:tabs>
                <w:tab w:pos="1005" w:val="left" w:leader="none"/>
              </w:tabs>
              <w:spacing w:before="94"/>
              <w:ind w:left="111"/>
              <w:rPr>
                <w:sz w:val="20"/>
              </w:rPr>
            </w:pPr>
            <w:r>
              <w:rPr>
                <w:spacing w:val="-5"/>
                <w:sz w:val="20"/>
              </w:rPr>
              <w:t>Not</w:t>
            </w:r>
            <w:r>
              <w:rPr>
                <w:sz w:val="20"/>
              </w:rPr>
              <w:tab/>
            </w:r>
            <w:r>
              <w:rPr>
                <w:spacing w:val="-2"/>
                <w:sz w:val="20"/>
              </w:rPr>
              <w:t>employing</w:t>
            </w:r>
          </w:p>
          <w:p>
            <w:pPr>
              <w:pStyle w:val="TableParagraph"/>
              <w:tabs>
                <w:tab w:pos="1051" w:val="left" w:leader="none"/>
                <w:tab w:pos="2078" w:val="right" w:leader="none"/>
              </w:tabs>
              <w:spacing w:before="1"/>
              <w:ind w:left="111"/>
              <w:rPr>
                <w:sz w:val="20"/>
              </w:rPr>
            </w:pPr>
            <w:r>
              <w:rPr>
                <w:spacing w:val="-4"/>
                <w:sz w:val="20"/>
              </w:rPr>
              <w:t>more</w:t>
            </w:r>
            <w:r>
              <w:rPr>
                <w:sz w:val="20"/>
              </w:rPr>
              <w:tab/>
            </w:r>
            <w:r>
              <w:rPr>
                <w:spacing w:val="-4"/>
                <w:sz w:val="20"/>
              </w:rPr>
              <w:t>than</w:t>
            </w:r>
            <w:r>
              <w:rPr>
                <w:sz w:val="20"/>
              </w:rPr>
              <w:tab/>
            </w:r>
            <w:r>
              <w:rPr>
                <w:spacing w:val="-10"/>
                <w:sz w:val="20"/>
              </w:rPr>
              <w:t>9</w:t>
            </w:r>
          </w:p>
          <w:p>
            <w:pPr>
              <w:pStyle w:val="TableParagraph"/>
              <w:tabs>
                <w:tab w:pos="1311" w:val="left" w:leader="none"/>
                <w:tab w:pos="1606" w:val="left" w:leader="none"/>
                <w:tab w:pos="1638" w:val="left" w:leader="none"/>
                <w:tab w:pos="1747" w:val="left" w:leader="none"/>
              </w:tabs>
              <w:ind w:left="111" w:right="104"/>
              <w:rPr>
                <w:sz w:val="20"/>
              </w:rPr>
            </w:pPr>
            <w:r>
              <w:rPr>
                <w:spacing w:val="-2"/>
                <w:sz w:val="20"/>
              </w:rPr>
              <w:t>persons,</w:t>
            </w:r>
            <w:r>
              <w:rPr>
                <w:sz w:val="20"/>
              </w:rPr>
              <w:tab/>
            </w:r>
            <w:r>
              <w:rPr>
                <w:spacing w:val="-6"/>
                <w:sz w:val="20"/>
              </w:rPr>
              <w:t>if</w:t>
            </w:r>
            <w:r>
              <w:rPr>
                <w:sz w:val="20"/>
              </w:rPr>
              <w:tab/>
              <w:tab/>
              <w:tab/>
            </w:r>
            <w:r>
              <w:rPr>
                <w:spacing w:val="-4"/>
                <w:sz w:val="20"/>
              </w:rPr>
              <w:t>the </w:t>
            </w:r>
            <w:r>
              <w:rPr>
                <w:spacing w:val="-2"/>
                <w:sz w:val="20"/>
              </w:rPr>
              <w:t>power</w:t>
            </w:r>
            <w:r>
              <w:rPr>
                <w:spacing w:val="80"/>
                <w:sz w:val="20"/>
              </w:rPr>
              <w:t>  </w:t>
            </w:r>
            <w:r>
              <w:rPr>
                <w:spacing w:val="-2"/>
                <w:sz w:val="20"/>
              </w:rPr>
              <w:t>requirement</w:t>
            </w:r>
            <w:r>
              <w:rPr>
                <w:sz w:val="20"/>
              </w:rPr>
              <w:tab/>
              <w:tab/>
            </w:r>
            <w:r>
              <w:rPr>
                <w:spacing w:val="-4"/>
                <w:sz w:val="20"/>
              </w:rPr>
              <w:t>does </w:t>
            </w:r>
            <w:r>
              <w:rPr>
                <w:sz w:val="20"/>
              </w:rPr>
              <w:t>not</w:t>
            </w:r>
            <w:r>
              <w:rPr>
                <w:spacing w:val="40"/>
                <w:sz w:val="20"/>
              </w:rPr>
              <w:t> </w:t>
            </w:r>
            <w:r>
              <w:rPr>
                <w:sz w:val="20"/>
              </w:rPr>
              <w:t>exceed</w:t>
            </w:r>
            <w:r>
              <w:rPr>
                <w:spacing w:val="40"/>
                <w:sz w:val="20"/>
              </w:rPr>
              <w:t> </w:t>
            </w:r>
            <w:r>
              <w:rPr>
                <w:sz w:val="20"/>
              </w:rPr>
              <w:t>4</w:t>
            </w:r>
            <w:r>
              <w:rPr>
                <w:spacing w:val="40"/>
                <w:sz w:val="20"/>
              </w:rPr>
              <w:t> </w:t>
            </w:r>
            <w:r>
              <w:rPr>
                <w:sz w:val="20"/>
              </w:rPr>
              <w:t>KW </w:t>
            </w:r>
            <w:r>
              <w:rPr>
                <w:spacing w:val="-2"/>
                <w:sz w:val="20"/>
              </w:rPr>
              <w:t>where</w:t>
            </w:r>
            <w:r>
              <w:rPr>
                <w:sz w:val="20"/>
              </w:rPr>
              <w:tab/>
              <w:tab/>
              <w:tab/>
            </w:r>
            <w:r>
              <w:rPr>
                <w:spacing w:val="-4"/>
                <w:sz w:val="20"/>
              </w:rPr>
              <w:t>only</w:t>
            </w:r>
          </w:p>
          <w:p>
            <w:pPr>
              <w:pStyle w:val="TableParagraph"/>
              <w:ind w:left="111" w:right="106"/>
              <w:jc w:val="both"/>
              <w:rPr>
                <w:sz w:val="20"/>
              </w:rPr>
            </w:pPr>
            <w:r>
              <w:rPr>
                <w:sz w:val="20"/>
              </w:rPr>
              <w:t>electrical</w:t>
            </w:r>
            <w:r>
              <w:rPr>
                <w:spacing w:val="80"/>
                <w:sz w:val="20"/>
              </w:rPr>
              <w:t> </w:t>
            </w:r>
            <w:r>
              <w:rPr>
                <w:sz w:val="20"/>
              </w:rPr>
              <w:t>ovens</w:t>
            </w:r>
            <w:r>
              <w:rPr>
                <w:spacing w:val="80"/>
                <w:sz w:val="20"/>
              </w:rPr>
              <w:t> </w:t>
            </w:r>
            <w:r>
              <w:rPr>
                <w:sz w:val="20"/>
              </w:rPr>
              <w:t>are used, </w:t>
            </w:r>
            <w:r>
              <w:rPr>
                <w:sz w:val="20"/>
              </w:rPr>
              <w:t>an additional heating load upto 12 KVA being permitted.</w:t>
            </w:r>
          </w:p>
        </w:tc>
      </w:tr>
      <w:tr>
        <w:trPr>
          <w:trHeight w:val="3480" w:hRule="atLeast"/>
        </w:trPr>
        <w:tc>
          <w:tcPr>
            <w:tcW w:w="1260" w:type="dxa"/>
          </w:tcPr>
          <w:p>
            <w:pPr>
              <w:pStyle w:val="TableParagraph"/>
              <w:rPr>
                <w:rFonts w:ascii="Times New Roman"/>
                <w:sz w:val="18"/>
              </w:rPr>
            </w:pPr>
          </w:p>
        </w:tc>
        <w:tc>
          <w:tcPr>
            <w:tcW w:w="2856" w:type="dxa"/>
          </w:tcPr>
          <w:p>
            <w:pPr>
              <w:pStyle w:val="TableParagraph"/>
              <w:tabs>
                <w:tab w:pos="2451" w:val="left" w:leader="none"/>
              </w:tabs>
              <w:spacing w:before="94"/>
              <w:ind w:left="108" w:right="108"/>
              <w:jc w:val="both"/>
              <w:rPr>
                <w:sz w:val="20"/>
              </w:rPr>
            </w:pPr>
            <w:r>
              <w:rPr>
                <w:sz w:val="20"/>
              </w:rPr>
              <w:t>c) Confectioneries and establishments for the preparation and sale of eatable each not</w:t>
            </w:r>
            <w:r>
              <w:rPr>
                <w:spacing w:val="40"/>
                <w:sz w:val="20"/>
              </w:rPr>
              <w:t> </w:t>
            </w:r>
            <w:r>
              <w:rPr>
                <w:spacing w:val="-2"/>
                <w:sz w:val="20"/>
              </w:rPr>
              <w:t>occupying</w:t>
            </w:r>
            <w:r>
              <w:rPr>
                <w:sz w:val="20"/>
              </w:rPr>
              <w:tab/>
            </w:r>
            <w:r>
              <w:rPr>
                <w:spacing w:val="-4"/>
                <w:sz w:val="20"/>
              </w:rPr>
              <w:t>fo</w:t>
            </w:r>
            <w:r>
              <w:rPr>
                <w:spacing w:val="-4"/>
                <w:sz w:val="20"/>
              </w:rPr>
              <w:t>r</w:t>
            </w:r>
            <w:r>
              <w:rPr>
                <w:spacing w:val="-4"/>
                <w:sz w:val="20"/>
              </w:rPr>
              <w:t> </w:t>
            </w:r>
            <w:r>
              <w:rPr>
                <w:sz w:val="20"/>
              </w:rPr>
              <w:t>production an area more than of 100 sq. m per establishment. .</w:t>
            </w:r>
          </w:p>
        </w:tc>
        <w:tc>
          <w:tcPr>
            <w:tcW w:w="1276" w:type="dxa"/>
          </w:tcPr>
          <w:p>
            <w:pPr>
              <w:pStyle w:val="TableParagraph"/>
              <w:spacing w:before="94"/>
              <w:ind w:left="108"/>
              <w:rPr>
                <w:sz w:val="20"/>
              </w:rPr>
            </w:pPr>
            <w:r>
              <w:rPr>
                <w:sz w:val="20"/>
              </w:rPr>
              <w:t>1</w:t>
            </w:r>
            <w:r>
              <w:rPr>
                <w:spacing w:val="40"/>
                <w:sz w:val="20"/>
              </w:rPr>
              <w:t> </w:t>
            </w:r>
            <w:r>
              <w:rPr>
                <w:sz w:val="20"/>
              </w:rPr>
              <w:t>or</w:t>
            </w:r>
            <w:r>
              <w:rPr>
                <w:spacing w:val="40"/>
                <w:sz w:val="20"/>
              </w:rPr>
              <w:t> </w:t>
            </w:r>
            <w:r>
              <w:rPr>
                <w:sz w:val="20"/>
              </w:rPr>
              <w:t>2</w:t>
            </w:r>
            <w:r>
              <w:rPr>
                <w:spacing w:val="40"/>
                <w:sz w:val="20"/>
              </w:rPr>
              <w:t> </w:t>
            </w:r>
            <w:r>
              <w:rPr>
                <w:spacing w:val="-5"/>
                <w:sz w:val="20"/>
              </w:rPr>
              <w:t>or</w:t>
            </w:r>
          </w:p>
          <w:p>
            <w:pPr>
              <w:pStyle w:val="TableParagraph"/>
              <w:spacing w:before="1"/>
              <w:ind w:left="108"/>
              <w:rPr>
                <w:sz w:val="20"/>
              </w:rPr>
            </w:pPr>
            <w:r>
              <w:rPr>
                <w:sz w:val="20"/>
              </w:rPr>
              <w:t>3</w:t>
            </w:r>
            <w:r>
              <w:rPr>
                <w:spacing w:val="24"/>
                <w:sz w:val="20"/>
              </w:rPr>
              <w:t> </w:t>
            </w:r>
            <w:r>
              <w:rPr>
                <w:sz w:val="20"/>
              </w:rPr>
              <w:t>or</w:t>
            </w:r>
            <w:r>
              <w:rPr>
                <w:spacing w:val="26"/>
                <w:sz w:val="20"/>
              </w:rPr>
              <w:t> </w:t>
            </w:r>
            <w:r>
              <w:rPr>
                <w:sz w:val="20"/>
              </w:rPr>
              <w:t>6</w:t>
            </w:r>
            <w:r>
              <w:rPr>
                <w:spacing w:val="25"/>
                <w:sz w:val="20"/>
              </w:rPr>
              <w:t> </w:t>
            </w:r>
            <w:r>
              <w:rPr>
                <w:spacing w:val="5"/>
                <w:sz w:val="20"/>
              </w:rPr>
              <w:t>20</w:t>
            </w:r>
          </w:p>
          <w:p>
            <w:pPr>
              <w:pStyle w:val="TableParagraph"/>
              <w:ind w:left="108"/>
              <w:rPr>
                <w:sz w:val="20"/>
              </w:rPr>
            </w:pPr>
            <w:r>
              <w:rPr>
                <w:sz w:val="20"/>
              </w:rPr>
              <w:t>&amp;</w:t>
            </w:r>
            <w:r>
              <w:rPr>
                <w:spacing w:val="25"/>
                <w:sz w:val="20"/>
              </w:rPr>
              <w:t> </w:t>
            </w:r>
            <w:r>
              <w:rPr>
                <w:sz w:val="20"/>
              </w:rPr>
              <w:t>16,</w:t>
            </w:r>
            <w:r>
              <w:rPr>
                <w:spacing w:val="30"/>
                <w:sz w:val="20"/>
              </w:rPr>
              <w:t> </w:t>
            </w:r>
            <w:r>
              <w:rPr>
                <w:spacing w:val="-5"/>
                <w:sz w:val="20"/>
              </w:rPr>
              <w:t>17</w:t>
            </w:r>
          </w:p>
        </w:tc>
        <w:tc>
          <w:tcPr>
            <w:tcW w:w="1209" w:type="dxa"/>
          </w:tcPr>
          <w:p>
            <w:pPr>
              <w:pStyle w:val="TableParagraph"/>
              <w:spacing w:line="338" w:lineRule="auto" w:before="94"/>
              <w:ind w:left="109" w:right="813"/>
              <w:rPr>
                <w:sz w:val="20"/>
              </w:rPr>
            </w:pPr>
            <w:r>
              <w:rPr>
                <w:color w:val="000000"/>
                <w:spacing w:val="-10"/>
                <w:sz w:val="20"/>
                <w:shd w:fill="FFCCFF" w:color="auto" w:val="clear"/>
              </w:rPr>
              <w:t>P</w:t>
            </w:r>
            <w:r>
              <w:rPr>
                <w:color w:val="000000"/>
                <w:spacing w:val="-10"/>
                <w:sz w:val="20"/>
              </w:rPr>
              <w:t> </w:t>
            </w:r>
            <w:r>
              <w:rPr>
                <w:color w:val="000000"/>
                <w:spacing w:val="4"/>
                <w:sz w:val="20"/>
              </w:rPr>
              <w:t>15</w:t>
            </w:r>
          </w:p>
        </w:tc>
        <w:tc>
          <w:tcPr>
            <w:tcW w:w="1199" w:type="dxa"/>
          </w:tcPr>
          <w:p>
            <w:pPr>
              <w:pStyle w:val="TableParagraph"/>
              <w:spacing w:before="94"/>
              <w:ind w:left="705"/>
              <w:rPr>
                <w:sz w:val="20"/>
              </w:rPr>
            </w:pPr>
            <w:r>
              <w:rPr>
                <w:spacing w:val="-10"/>
                <w:sz w:val="20"/>
              </w:rPr>
              <w:t>P</w:t>
            </w:r>
          </w:p>
        </w:tc>
        <w:tc>
          <w:tcPr>
            <w:tcW w:w="2196" w:type="dxa"/>
          </w:tcPr>
          <w:p>
            <w:pPr>
              <w:pStyle w:val="TableParagraph"/>
              <w:spacing w:before="94"/>
              <w:ind w:left="111" w:right="105" w:firstLine="180"/>
              <w:jc w:val="both"/>
              <w:rPr>
                <w:sz w:val="20"/>
              </w:rPr>
            </w:pPr>
            <w:r>
              <w:rPr>
                <w:sz w:val="20"/>
              </w:rPr>
              <w:t>Employing </w:t>
            </w:r>
            <w:r>
              <w:rPr>
                <w:sz w:val="20"/>
              </w:rPr>
              <w:t>not more</w:t>
            </w:r>
            <w:r>
              <w:rPr>
                <w:spacing w:val="51"/>
                <w:w w:val="150"/>
                <w:sz w:val="20"/>
              </w:rPr>
              <w:t>   </w:t>
            </w:r>
            <w:r>
              <w:rPr>
                <w:sz w:val="20"/>
              </w:rPr>
              <w:t>than</w:t>
            </w:r>
            <w:r>
              <w:rPr>
                <w:spacing w:val="51"/>
                <w:w w:val="150"/>
                <w:sz w:val="20"/>
              </w:rPr>
              <w:t>   </w:t>
            </w:r>
            <w:r>
              <w:rPr>
                <w:spacing w:val="-10"/>
                <w:sz w:val="20"/>
              </w:rPr>
              <w:t>9</w:t>
            </w:r>
          </w:p>
          <w:p>
            <w:pPr>
              <w:pStyle w:val="TableParagraph"/>
              <w:tabs>
                <w:tab w:pos="1739" w:val="left" w:leader="none"/>
              </w:tabs>
              <w:spacing w:before="1"/>
              <w:ind w:left="111" w:right="104"/>
              <w:jc w:val="both"/>
              <w:rPr>
                <w:sz w:val="20"/>
              </w:rPr>
            </w:pPr>
            <w:r>
              <w:rPr>
                <w:sz w:val="20"/>
              </w:rPr>
              <w:t>persons, motive </w:t>
            </w:r>
            <w:r>
              <w:rPr>
                <w:spacing w:val="-2"/>
                <w:sz w:val="20"/>
              </w:rPr>
              <w:t>power</w:t>
            </w:r>
            <w:r>
              <w:rPr>
                <w:sz w:val="20"/>
              </w:rPr>
              <w:tab/>
            </w:r>
            <w:r>
              <w:rPr>
                <w:spacing w:val="-5"/>
                <w:sz w:val="20"/>
              </w:rPr>
              <w:t>not</w:t>
            </w:r>
          </w:p>
          <w:p>
            <w:pPr>
              <w:pStyle w:val="TableParagraph"/>
              <w:spacing w:line="234" w:lineRule="exact"/>
              <w:ind w:left="111"/>
              <w:jc w:val="both"/>
              <w:rPr>
                <w:sz w:val="20"/>
              </w:rPr>
            </w:pPr>
            <w:r>
              <w:rPr>
                <w:sz w:val="20"/>
              </w:rPr>
              <w:t>exceeding</w:t>
            </w:r>
            <w:r>
              <w:rPr>
                <w:spacing w:val="70"/>
                <w:sz w:val="20"/>
              </w:rPr>
              <w:t>    </w:t>
            </w:r>
            <w:r>
              <w:rPr>
                <w:spacing w:val="-4"/>
                <w:sz w:val="20"/>
              </w:rPr>
              <w:t>1.12</w:t>
            </w:r>
          </w:p>
          <w:p>
            <w:pPr>
              <w:pStyle w:val="TableParagraph"/>
              <w:ind w:left="111" w:right="107"/>
              <w:jc w:val="both"/>
              <w:rPr>
                <w:sz w:val="20"/>
              </w:rPr>
            </w:pPr>
            <w:r>
              <w:rPr>
                <w:sz w:val="20"/>
              </w:rPr>
              <w:t>KW in residential </w:t>
            </w:r>
            <w:r>
              <w:rPr>
                <w:spacing w:val="-2"/>
                <w:sz w:val="20"/>
              </w:rPr>
              <w:t>zone.</w:t>
            </w:r>
          </w:p>
          <w:p>
            <w:pPr>
              <w:pStyle w:val="TableParagraph"/>
              <w:spacing w:before="97"/>
              <w:ind w:left="111" w:right="104" w:firstLine="180"/>
              <w:jc w:val="both"/>
              <w:rPr>
                <w:sz w:val="20"/>
              </w:rPr>
            </w:pPr>
            <w:r>
              <w:rPr>
                <w:sz w:val="20"/>
              </w:rPr>
              <w:t>In case </w:t>
            </w:r>
            <w:r>
              <w:rPr>
                <w:sz w:val="20"/>
              </w:rPr>
              <w:t>of Commercial zone area not in excess</w:t>
            </w:r>
            <w:r>
              <w:rPr>
                <w:spacing w:val="40"/>
                <w:sz w:val="20"/>
              </w:rPr>
              <w:t> </w:t>
            </w:r>
            <w:r>
              <w:rPr>
                <w:sz w:val="20"/>
              </w:rPr>
              <w:t>of 250 sq. m per </w:t>
            </w:r>
            <w:r>
              <w:rPr>
                <w:spacing w:val="-2"/>
                <w:sz w:val="20"/>
              </w:rPr>
              <w:t>establishment,em</w:t>
            </w:r>
          </w:p>
          <w:p>
            <w:pPr>
              <w:pStyle w:val="TableParagraph"/>
              <w:spacing w:line="236" w:lineRule="exact"/>
              <w:ind w:left="111" w:right="105"/>
              <w:jc w:val="both"/>
              <w:rPr>
                <w:sz w:val="20"/>
              </w:rPr>
            </w:pPr>
            <w:r>
              <w:rPr>
                <w:sz w:val="20"/>
              </w:rPr>
              <w:t>ploying not more than</w:t>
            </w:r>
            <w:r>
              <w:rPr>
                <w:spacing w:val="24"/>
                <w:sz w:val="20"/>
              </w:rPr>
              <w:t>  </w:t>
            </w:r>
            <w:r>
              <w:rPr>
                <w:sz w:val="20"/>
              </w:rPr>
              <w:t>25</w:t>
            </w:r>
            <w:r>
              <w:rPr>
                <w:spacing w:val="24"/>
                <w:sz w:val="20"/>
              </w:rPr>
              <w:t>  </w:t>
            </w:r>
            <w:r>
              <w:rPr>
                <w:spacing w:val="-2"/>
                <w:sz w:val="20"/>
              </w:rPr>
              <w:t>persons,</w:t>
            </w:r>
          </w:p>
        </w:tc>
      </w:tr>
    </w:tbl>
    <w:p>
      <w:pPr>
        <w:pStyle w:val="TableParagraph"/>
        <w:spacing w:after="0" w:line="236" w:lineRule="exact"/>
        <w:jc w:val="both"/>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2443" w:hRule="atLeast"/>
        </w:trPr>
        <w:tc>
          <w:tcPr>
            <w:tcW w:w="1260" w:type="dxa"/>
          </w:tcPr>
          <w:p>
            <w:pPr>
              <w:pStyle w:val="TableParagraph"/>
              <w:rPr>
                <w:rFonts w:ascii="Times New Roman"/>
                <w:sz w:val="18"/>
              </w:rPr>
            </w:pPr>
          </w:p>
        </w:tc>
        <w:tc>
          <w:tcPr>
            <w:tcW w:w="2856" w:type="dxa"/>
          </w:tcPr>
          <w:p>
            <w:pPr>
              <w:pStyle w:val="TableParagraph"/>
              <w:rPr>
                <w:rFonts w:ascii="Times New Roman"/>
                <w:sz w:val="18"/>
              </w:rPr>
            </w:pP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ind w:left="111" w:right="91"/>
              <w:jc w:val="both"/>
              <w:rPr>
                <w:sz w:val="20"/>
              </w:rPr>
            </w:pPr>
            <w:r>
              <w:rPr>
                <w:sz w:val="20"/>
              </w:rPr>
              <w:t>motive power not exceeding 10 </w:t>
            </w:r>
            <w:r>
              <w:rPr>
                <w:spacing w:val="10"/>
                <w:sz w:val="20"/>
              </w:rPr>
              <w:t>KW </w:t>
            </w:r>
            <w:r>
              <w:rPr>
                <w:sz w:val="20"/>
              </w:rPr>
              <w:t>with no floors</w:t>
            </w:r>
            <w:r>
              <w:rPr>
                <w:spacing w:val="80"/>
                <w:sz w:val="20"/>
              </w:rPr>
              <w:t> </w:t>
            </w:r>
            <w:r>
              <w:rPr>
                <w:sz w:val="20"/>
              </w:rPr>
              <w:t>above over the furnace portion. If only electrical</w:t>
            </w:r>
            <w:r>
              <w:rPr>
                <w:spacing w:val="80"/>
                <w:sz w:val="20"/>
              </w:rPr>
              <w:t> </w:t>
            </w:r>
            <w:r>
              <w:rPr>
                <w:sz w:val="20"/>
              </w:rPr>
              <w:t>ovens are used an additional load</w:t>
            </w:r>
            <w:r>
              <w:rPr>
                <w:spacing w:val="80"/>
                <w:sz w:val="20"/>
              </w:rPr>
              <w:t> </w:t>
            </w:r>
            <w:r>
              <w:rPr>
                <w:sz w:val="20"/>
              </w:rPr>
              <w:t>upto 24 KVA may</w:t>
            </w:r>
            <w:r>
              <w:rPr>
                <w:spacing w:val="40"/>
                <w:sz w:val="20"/>
              </w:rPr>
              <w:t> </w:t>
            </w:r>
            <w:r>
              <w:rPr>
                <w:sz w:val="20"/>
              </w:rPr>
              <w:t>be permitted.</w:t>
            </w:r>
          </w:p>
        </w:tc>
      </w:tr>
      <w:tr>
        <w:trPr>
          <w:trHeight w:val="1600" w:hRule="atLeast"/>
        </w:trPr>
        <w:tc>
          <w:tcPr>
            <w:tcW w:w="1260" w:type="dxa"/>
          </w:tcPr>
          <w:p>
            <w:pPr>
              <w:pStyle w:val="TableParagraph"/>
              <w:rPr>
                <w:rFonts w:ascii="Times New Roman"/>
                <w:sz w:val="18"/>
              </w:rPr>
            </w:pPr>
          </w:p>
        </w:tc>
        <w:tc>
          <w:tcPr>
            <w:tcW w:w="2856" w:type="dxa"/>
          </w:tcPr>
          <w:p>
            <w:pPr>
              <w:pStyle w:val="TableParagraph"/>
              <w:spacing w:before="94"/>
              <w:ind w:left="108"/>
              <w:rPr>
                <w:sz w:val="20"/>
              </w:rPr>
            </w:pPr>
            <w:r>
              <w:rPr>
                <w:sz w:val="20"/>
              </w:rPr>
              <w:t>d)</w:t>
            </w:r>
            <w:r>
              <w:rPr>
                <w:spacing w:val="40"/>
                <w:sz w:val="20"/>
              </w:rPr>
              <w:t> </w:t>
            </w:r>
            <w:r>
              <w:rPr>
                <w:sz w:val="20"/>
              </w:rPr>
              <w:t>Sugarcane</w:t>
            </w:r>
            <w:r>
              <w:rPr>
                <w:spacing w:val="40"/>
                <w:sz w:val="20"/>
              </w:rPr>
              <w:t> </w:t>
            </w:r>
            <w:r>
              <w:rPr>
                <w:sz w:val="20"/>
              </w:rPr>
              <w:t>and</w:t>
            </w:r>
            <w:r>
              <w:rPr>
                <w:spacing w:val="40"/>
                <w:sz w:val="20"/>
              </w:rPr>
              <w:t> </w:t>
            </w:r>
            <w:r>
              <w:rPr>
                <w:sz w:val="20"/>
              </w:rPr>
              <w:t>fruit</w:t>
            </w:r>
            <w:r>
              <w:rPr>
                <w:spacing w:val="80"/>
                <w:sz w:val="20"/>
              </w:rPr>
              <w:t> </w:t>
            </w:r>
            <w:r>
              <w:rPr>
                <w:sz w:val="20"/>
              </w:rPr>
              <w:t>juice crusher</w:t>
            </w:r>
          </w:p>
        </w:tc>
        <w:tc>
          <w:tcPr>
            <w:tcW w:w="1276" w:type="dxa"/>
          </w:tcPr>
          <w:p>
            <w:pPr>
              <w:pStyle w:val="TableParagraph"/>
              <w:spacing w:before="94"/>
              <w:ind w:left="108"/>
              <w:rPr>
                <w:sz w:val="20"/>
              </w:rPr>
            </w:pPr>
            <w:r>
              <w:rPr>
                <w:sz w:val="20"/>
              </w:rPr>
              <w:t>5</w:t>
            </w:r>
            <w:r>
              <w:rPr>
                <w:spacing w:val="15"/>
                <w:sz w:val="20"/>
              </w:rPr>
              <w:t> </w:t>
            </w:r>
            <w:r>
              <w:rPr>
                <w:sz w:val="20"/>
              </w:rPr>
              <w:t>or</w:t>
            </w:r>
            <w:r>
              <w:rPr>
                <w:spacing w:val="17"/>
                <w:sz w:val="20"/>
              </w:rPr>
              <w:t> </w:t>
            </w:r>
            <w:r>
              <w:rPr>
                <w:sz w:val="20"/>
              </w:rPr>
              <w:t>20</w:t>
            </w:r>
            <w:r>
              <w:rPr>
                <w:spacing w:val="15"/>
                <w:sz w:val="20"/>
              </w:rPr>
              <w:t> </w:t>
            </w:r>
            <w:r>
              <w:rPr>
                <w:spacing w:val="-10"/>
                <w:sz w:val="20"/>
              </w:rPr>
              <w:t>&amp;</w:t>
            </w:r>
          </w:p>
          <w:p>
            <w:pPr>
              <w:pStyle w:val="TableParagraph"/>
              <w:spacing w:before="1"/>
              <w:ind w:left="108"/>
              <w:rPr>
                <w:sz w:val="20"/>
              </w:rPr>
            </w:pPr>
            <w:r>
              <w:rPr>
                <w:spacing w:val="-5"/>
                <w:sz w:val="20"/>
              </w:rPr>
              <w:t>14,</w:t>
            </w:r>
          </w:p>
          <w:p>
            <w:pPr>
              <w:pStyle w:val="TableParagraph"/>
              <w:ind w:left="108"/>
              <w:rPr>
                <w:sz w:val="20"/>
              </w:rPr>
            </w:pPr>
            <w:r>
              <w:rPr>
                <w:spacing w:val="-2"/>
                <w:sz w:val="20"/>
              </w:rPr>
              <w:t>17,18</w:t>
            </w:r>
          </w:p>
        </w:tc>
        <w:tc>
          <w:tcPr>
            <w:tcW w:w="1209" w:type="dxa"/>
          </w:tcPr>
          <w:p>
            <w:pPr>
              <w:pStyle w:val="TableParagraph"/>
              <w:spacing w:before="94"/>
              <w:ind w:left="37"/>
              <w:jc w:val="center"/>
              <w:rPr>
                <w:sz w:val="20"/>
              </w:rPr>
            </w:pPr>
            <w:r>
              <w:rPr>
                <w:spacing w:val="-10"/>
                <w:sz w:val="20"/>
              </w:rPr>
              <w:t>5</w:t>
            </w:r>
          </w:p>
        </w:tc>
        <w:tc>
          <w:tcPr>
            <w:tcW w:w="1199" w:type="dxa"/>
          </w:tcPr>
          <w:p>
            <w:pPr>
              <w:pStyle w:val="TableParagraph"/>
              <w:spacing w:before="94"/>
              <w:ind w:right="580"/>
              <w:jc w:val="right"/>
              <w:rPr>
                <w:sz w:val="20"/>
              </w:rPr>
            </w:pPr>
            <w:r>
              <w:rPr>
                <w:spacing w:val="-10"/>
                <w:sz w:val="20"/>
              </w:rPr>
              <w:t>5</w:t>
            </w:r>
          </w:p>
        </w:tc>
        <w:tc>
          <w:tcPr>
            <w:tcW w:w="2196" w:type="dxa"/>
          </w:tcPr>
          <w:p>
            <w:pPr>
              <w:pStyle w:val="TableParagraph"/>
              <w:spacing w:before="94"/>
              <w:ind w:left="111" w:right="105"/>
              <w:jc w:val="both"/>
              <w:rPr>
                <w:sz w:val="20"/>
              </w:rPr>
            </w:pPr>
            <w:r>
              <w:rPr>
                <w:sz w:val="20"/>
              </w:rPr>
              <w:t>Employing </w:t>
            </w:r>
            <w:r>
              <w:rPr>
                <w:sz w:val="20"/>
              </w:rPr>
              <w:t>not</w:t>
            </w:r>
            <w:r>
              <w:rPr>
                <w:spacing w:val="40"/>
                <w:sz w:val="20"/>
              </w:rPr>
              <w:t> </w:t>
            </w:r>
            <w:r>
              <w:rPr>
                <w:sz w:val="20"/>
              </w:rPr>
              <w:t>more</w:t>
            </w:r>
            <w:r>
              <w:rPr>
                <w:spacing w:val="51"/>
                <w:w w:val="150"/>
                <w:sz w:val="20"/>
              </w:rPr>
              <w:t>   </w:t>
            </w:r>
            <w:r>
              <w:rPr>
                <w:sz w:val="20"/>
              </w:rPr>
              <w:t>than</w:t>
            </w:r>
            <w:r>
              <w:rPr>
                <w:spacing w:val="51"/>
                <w:w w:val="150"/>
                <w:sz w:val="20"/>
              </w:rPr>
              <w:t>   </w:t>
            </w:r>
            <w:r>
              <w:rPr>
                <w:spacing w:val="-10"/>
                <w:sz w:val="20"/>
              </w:rPr>
              <w:t>6</w:t>
            </w:r>
          </w:p>
          <w:p>
            <w:pPr>
              <w:pStyle w:val="TableParagraph"/>
              <w:tabs>
                <w:tab w:pos="1624" w:val="left" w:leader="none"/>
              </w:tabs>
              <w:spacing w:before="1"/>
              <w:ind w:left="111" w:right="104"/>
              <w:jc w:val="both"/>
              <w:rPr>
                <w:sz w:val="20"/>
              </w:rPr>
            </w:pPr>
            <w:r>
              <w:rPr>
                <w:spacing w:val="-2"/>
                <w:sz w:val="20"/>
              </w:rPr>
              <w:t>persons</w:t>
            </w:r>
            <w:r>
              <w:rPr>
                <w:sz w:val="20"/>
              </w:rPr>
              <w:tab/>
            </w:r>
            <w:r>
              <w:rPr>
                <w:spacing w:val="-4"/>
                <w:sz w:val="20"/>
              </w:rPr>
              <w:t>with </w:t>
            </w:r>
            <w:r>
              <w:rPr>
                <w:sz w:val="20"/>
              </w:rPr>
              <w:t>motive power not exceeding</w:t>
            </w:r>
            <w:r>
              <w:rPr>
                <w:spacing w:val="70"/>
                <w:sz w:val="20"/>
              </w:rPr>
              <w:t>    </w:t>
            </w:r>
            <w:r>
              <w:rPr>
                <w:spacing w:val="-4"/>
                <w:sz w:val="20"/>
              </w:rPr>
              <w:t>1.12</w:t>
            </w:r>
          </w:p>
          <w:p>
            <w:pPr>
              <w:pStyle w:val="TableParagraph"/>
              <w:spacing w:line="234" w:lineRule="exact"/>
              <w:ind w:left="111"/>
              <w:rPr>
                <w:sz w:val="20"/>
              </w:rPr>
            </w:pPr>
            <w:r>
              <w:rPr>
                <w:spacing w:val="5"/>
                <w:sz w:val="20"/>
              </w:rPr>
              <w:t>KW</w:t>
            </w:r>
          </w:p>
        </w:tc>
      </w:tr>
      <w:tr>
        <w:trPr>
          <w:trHeight w:val="2870" w:hRule="atLeast"/>
        </w:trPr>
        <w:tc>
          <w:tcPr>
            <w:tcW w:w="1260" w:type="dxa"/>
          </w:tcPr>
          <w:p>
            <w:pPr>
              <w:pStyle w:val="TableParagraph"/>
              <w:rPr>
                <w:rFonts w:ascii="Times New Roman"/>
                <w:sz w:val="18"/>
              </w:rPr>
            </w:pPr>
          </w:p>
        </w:tc>
        <w:tc>
          <w:tcPr>
            <w:tcW w:w="2856" w:type="dxa"/>
          </w:tcPr>
          <w:p>
            <w:pPr>
              <w:pStyle w:val="TableParagraph"/>
              <w:spacing w:before="94"/>
              <w:ind w:left="108"/>
              <w:rPr>
                <w:sz w:val="20"/>
              </w:rPr>
            </w:pPr>
            <w:r>
              <w:rPr>
                <w:sz w:val="20"/>
              </w:rPr>
              <w:t>e)</w:t>
            </w:r>
            <w:r>
              <w:rPr>
                <w:spacing w:val="51"/>
                <w:sz w:val="20"/>
              </w:rPr>
              <w:t> </w:t>
            </w:r>
            <w:r>
              <w:rPr>
                <w:sz w:val="20"/>
              </w:rPr>
              <w:t>Printing</w:t>
            </w:r>
            <w:r>
              <w:rPr>
                <w:spacing w:val="55"/>
                <w:sz w:val="20"/>
              </w:rPr>
              <w:t> </w:t>
            </w:r>
            <w:r>
              <w:rPr>
                <w:spacing w:val="-2"/>
                <w:sz w:val="20"/>
              </w:rPr>
              <w:t>presses</w:t>
            </w:r>
          </w:p>
        </w:tc>
        <w:tc>
          <w:tcPr>
            <w:tcW w:w="1276" w:type="dxa"/>
          </w:tcPr>
          <w:p>
            <w:pPr>
              <w:pStyle w:val="TableParagraph"/>
              <w:spacing w:before="94"/>
              <w:ind w:left="108" w:right="133"/>
              <w:rPr>
                <w:sz w:val="20"/>
              </w:rPr>
            </w:pPr>
            <w:r>
              <w:rPr>
                <w:sz w:val="20"/>
              </w:rPr>
              <w:t>5</w:t>
            </w:r>
            <w:r>
              <w:rPr>
                <w:spacing w:val="80"/>
                <w:sz w:val="20"/>
              </w:rPr>
              <w:t> </w:t>
            </w:r>
            <w:r>
              <w:rPr>
                <w:sz w:val="20"/>
              </w:rPr>
              <w:t>or</w:t>
            </w:r>
            <w:r>
              <w:rPr>
                <w:spacing w:val="120"/>
                <w:sz w:val="20"/>
              </w:rPr>
              <w:t> </w:t>
            </w:r>
            <w:r>
              <w:rPr>
                <w:sz w:val="20"/>
              </w:rPr>
              <w:t>2</w:t>
            </w:r>
            <w:r>
              <w:rPr>
                <w:sz w:val="20"/>
              </w:rPr>
              <w:t>0</w:t>
            </w:r>
            <w:r>
              <w:rPr>
                <w:sz w:val="20"/>
              </w:rPr>
              <w:t> </w:t>
            </w:r>
            <w:r>
              <w:rPr>
                <w:spacing w:val="-6"/>
                <w:sz w:val="20"/>
              </w:rPr>
              <w:t>or </w:t>
            </w:r>
            <w:r>
              <w:rPr>
                <w:spacing w:val="-2"/>
                <w:sz w:val="20"/>
              </w:rPr>
              <w:t>16,17,18</w:t>
            </w:r>
          </w:p>
        </w:tc>
        <w:tc>
          <w:tcPr>
            <w:tcW w:w="1209" w:type="dxa"/>
          </w:tcPr>
          <w:p>
            <w:pPr>
              <w:pStyle w:val="TableParagraph"/>
              <w:spacing w:before="94"/>
              <w:ind w:left="109"/>
              <w:rPr>
                <w:sz w:val="20"/>
              </w:rPr>
            </w:pPr>
            <w:r>
              <w:rPr>
                <w:spacing w:val="5"/>
                <w:sz w:val="20"/>
              </w:rPr>
              <w:t>14</w:t>
            </w:r>
          </w:p>
        </w:tc>
        <w:tc>
          <w:tcPr>
            <w:tcW w:w="1199" w:type="dxa"/>
          </w:tcPr>
          <w:p>
            <w:pPr>
              <w:pStyle w:val="TableParagraph"/>
              <w:spacing w:before="94"/>
              <w:ind w:right="506"/>
              <w:jc w:val="right"/>
              <w:rPr>
                <w:sz w:val="20"/>
              </w:rPr>
            </w:pPr>
            <w:r>
              <w:rPr>
                <w:spacing w:val="-10"/>
                <w:sz w:val="20"/>
              </w:rPr>
              <w:t>P</w:t>
            </w:r>
          </w:p>
        </w:tc>
        <w:tc>
          <w:tcPr>
            <w:tcW w:w="2196" w:type="dxa"/>
          </w:tcPr>
          <w:p>
            <w:pPr>
              <w:pStyle w:val="TableParagraph"/>
              <w:spacing w:before="94"/>
              <w:ind w:left="111" w:right="105"/>
              <w:jc w:val="both"/>
              <w:rPr>
                <w:sz w:val="20"/>
              </w:rPr>
            </w:pPr>
            <w:r>
              <w:rPr>
                <w:sz w:val="20"/>
              </w:rPr>
              <w:t>Aggregate motive power each </w:t>
            </w:r>
            <w:r>
              <w:rPr>
                <w:sz w:val="20"/>
              </w:rPr>
              <w:t>not exceeding</w:t>
            </w:r>
            <w:r>
              <w:rPr>
                <w:spacing w:val="70"/>
                <w:sz w:val="20"/>
              </w:rPr>
              <w:t>    </w:t>
            </w:r>
            <w:r>
              <w:rPr>
                <w:spacing w:val="-4"/>
                <w:sz w:val="20"/>
              </w:rPr>
              <w:t>3.75</w:t>
            </w:r>
          </w:p>
          <w:p>
            <w:pPr>
              <w:pStyle w:val="TableParagraph"/>
              <w:spacing w:before="1"/>
              <w:ind w:left="111" w:right="104"/>
              <w:jc w:val="both"/>
              <w:rPr>
                <w:sz w:val="20"/>
              </w:rPr>
            </w:pPr>
            <w:r>
              <w:rPr>
                <w:sz w:val="20"/>
              </w:rPr>
              <w:t>KW and </w:t>
            </w:r>
            <w:r>
              <w:rPr>
                <w:sz w:val="20"/>
              </w:rPr>
              <w:t>not employing more than</w:t>
            </w:r>
            <w:r>
              <w:rPr>
                <w:spacing w:val="40"/>
                <w:sz w:val="20"/>
              </w:rPr>
              <w:t> </w:t>
            </w:r>
            <w:r>
              <w:rPr>
                <w:sz w:val="20"/>
              </w:rPr>
              <w:t>9</w:t>
            </w:r>
            <w:r>
              <w:rPr>
                <w:spacing w:val="40"/>
                <w:sz w:val="20"/>
              </w:rPr>
              <w:t> </w:t>
            </w:r>
            <w:r>
              <w:rPr>
                <w:sz w:val="20"/>
              </w:rPr>
              <w:t>persons</w:t>
            </w:r>
            <w:r>
              <w:rPr>
                <w:spacing w:val="40"/>
                <w:sz w:val="20"/>
              </w:rPr>
              <w:t> </w:t>
            </w:r>
            <w:r>
              <w:rPr>
                <w:sz w:val="20"/>
              </w:rPr>
              <w:t>and individual electric motors of not more than 1.5 </w:t>
            </w:r>
            <w:r>
              <w:rPr>
                <w:spacing w:val="6"/>
                <w:sz w:val="20"/>
              </w:rPr>
              <w:t>KW.</w:t>
            </w:r>
          </w:p>
        </w:tc>
      </w:tr>
      <w:tr>
        <w:trPr>
          <w:trHeight w:val="1835" w:hRule="atLeast"/>
        </w:trPr>
        <w:tc>
          <w:tcPr>
            <w:tcW w:w="1260" w:type="dxa"/>
          </w:tcPr>
          <w:p>
            <w:pPr>
              <w:pStyle w:val="TableParagraph"/>
              <w:rPr>
                <w:rFonts w:ascii="Times New Roman"/>
                <w:sz w:val="18"/>
              </w:rPr>
            </w:pPr>
          </w:p>
        </w:tc>
        <w:tc>
          <w:tcPr>
            <w:tcW w:w="2856" w:type="dxa"/>
          </w:tcPr>
          <w:p>
            <w:pPr>
              <w:pStyle w:val="TableParagraph"/>
              <w:tabs>
                <w:tab w:pos="1216" w:val="left" w:leader="none"/>
                <w:tab w:pos="2213" w:val="left" w:leader="none"/>
              </w:tabs>
              <w:spacing w:before="97"/>
              <w:ind w:left="108" w:right="109"/>
              <w:rPr>
                <w:sz w:val="20"/>
              </w:rPr>
            </w:pPr>
            <w:r>
              <w:rPr>
                <w:sz w:val="20"/>
              </w:rPr>
              <w:t>f)</w:t>
            </w:r>
            <w:r>
              <w:rPr>
                <w:spacing w:val="40"/>
                <w:sz w:val="20"/>
              </w:rPr>
              <w:t> </w:t>
            </w:r>
            <w:r>
              <w:rPr>
                <w:sz w:val="20"/>
              </w:rPr>
              <w:t>Battery</w:t>
            </w:r>
            <w:r>
              <w:rPr>
                <w:spacing w:val="40"/>
                <w:sz w:val="20"/>
              </w:rPr>
              <w:t> </w:t>
            </w:r>
            <w:r>
              <w:rPr>
                <w:sz w:val="20"/>
              </w:rPr>
              <w:t>charging</w:t>
            </w:r>
            <w:r>
              <w:rPr>
                <w:spacing w:val="40"/>
                <w:sz w:val="20"/>
              </w:rPr>
              <w:t> </w:t>
            </w:r>
            <w:r>
              <w:rPr>
                <w:sz w:val="20"/>
              </w:rPr>
              <w:t>and</w:t>
            </w:r>
            <w:r>
              <w:rPr>
                <w:spacing w:val="40"/>
                <w:sz w:val="20"/>
              </w:rPr>
              <w:t> </w:t>
            </w:r>
            <w:r>
              <w:rPr>
                <w:spacing w:val="-2"/>
                <w:sz w:val="20"/>
              </w:rPr>
              <w:t>repairing</w:t>
            </w:r>
            <w:r>
              <w:rPr>
                <w:spacing w:val="80"/>
                <w:w w:val="150"/>
                <w:sz w:val="20"/>
              </w:rPr>
              <w:t>  </w:t>
            </w:r>
            <w:r>
              <w:rPr>
                <w:sz w:val="20"/>
              </w:rPr>
              <w:t>establishments</w:t>
            </w:r>
            <w:r>
              <w:rPr>
                <w:spacing w:val="40"/>
                <w:sz w:val="20"/>
              </w:rPr>
              <w:t> </w:t>
            </w:r>
            <w:r>
              <w:rPr>
                <w:sz w:val="20"/>
              </w:rPr>
              <w:t>with</w:t>
            </w:r>
            <w:r>
              <w:rPr>
                <w:spacing w:val="40"/>
                <w:sz w:val="20"/>
              </w:rPr>
              <w:t> </w:t>
            </w:r>
            <w:r>
              <w:rPr>
                <w:sz w:val="20"/>
              </w:rPr>
              <w:t>an</w:t>
            </w:r>
            <w:r>
              <w:rPr>
                <w:spacing w:val="40"/>
                <w:sz w:val="20"/>
              </w:rPr>
              <w:t> </w:t>
            </w:r>
            <w:r>
              <w:rPr>
                <w:spacing w:val="-4"/>
                <w:sz w:val="20"/>
              </w:rPr>
              <w:t>area</w:t>
            </w:r>
            <w:r>
              <w:rPr>
                <w:sz w:val="20"/>
              </w:rPr>
              <w:tab/>
            </w:r>
            <w:r>
              <w:rPr>
                <w:spacing w:val="-4"/>
                <w:sz w:val="20"/>
              </w:rPr>
              <w:t>not</w:t>
            </w:r>
            <w:r>
              <w:rPr>
                <w:sz w:val="20"/>
              </w:rPr>
              <w:tab/>
            </w:r>
            <w:r>
              <w:rPr>
                <w:spacing w:val="-4"/>
                <w:sz w:val="20"/>
              </w:rPr>
              <w:t>mor</w:t>
            </w:r>
            <w:r>
              <w:rPr>
                <w:spacing w:val="-4"/>
                <w:sz w:val="20"/>
              </w:rPr>
              <w:t>e</w:t>
            </w:r>
            <w:r>
              <w:rPr>
                <w:spacing w:val="-4"/>
                <w:sz w:val="20"/>
              </w:rPr>
              <w:t> </w:t>
            </w:r>
            <w:r>
              <w:rPr>
                <w:spacing w:val="-2"/>
                <w:sz w:val="20"/>
              </w:rPr>
              <w:t>than50sq.m</w:t>
            </w:r>
          </w:p>
        </w:tc>
        <w:tc>
          <w:tcPr>
            <w:tcW w:w="1276" w:type="dxa"/>
          </w:tcPr>
          <w:p>
            <w:pPr>
              <w:pStyle w:val="TableParagraph"/>
              <w:spacing w:before="97"/>
              <w:ind w:left="108" w:right="133"/>
              <w:rPr>
                <w:sz w:val="20"/>
              </w:rPr>
            </w:pPr>
            <w:r>
              <w:rPr>
                <w:sz w:val="20"/>
              </w:rPr>
              <w:t>5</w:t>
            </w:r>
            <w:r>
              <w:rPr>
                <w:spacing w:val="80"/>
                <w:sz w:val="20"/>
              </w:rPr>
              <w:t> </w:t>
            </w:r>
            <w:r>
              <w:rPr>
                <w:sz w:val="20"/>
              </w:rPr>
              <w:t>or</w:t>
            </w:r>
            <w:r>
              <w:rPr>
                <w:spacing w:val="120"/>
                <w:sz w:val="20"/>
              </w:rPr>
              <w:t> </w:t>
            </w:r>
            <w:r>
              <w:rPr>
                <w:sz w:val="20"/>
              </w:rPr>
              <w:t>2</w:t>
            </w:r>
            <w:r>
              <w:rPr>
                <w:sz w:val="20"/>
              </w:rPr>
              <w:t>0</w:t>
            </w:r>
            <w:r>
              <w:rPr>
                <w:sz w:val="20"/>
              </w:rPr>
              <w:t> </w:t>
            </w:r>
            <w:r>
              <w:rPr>
                <w:spacing w:val="-6"/>
                <w:sz w:val="20"/>
              </w:rPr>
              <w:t>or </w:t>
            </w:r>
            <w:r>
              <w:rPr>
                <w:spacing w:val="-2"/>
                <w:sz w:val="20"/>
              </w:rPr>
              <w:t>16,17,18</w:t>
            </w:r>
          </w:p>
        </w:tc>
        <w:tc>
          <w:tcPr>
            <w:tcW w:w="1209" w:type="dxa"/>
          </w:tcPr>
          <w:p>
            <w:pPr>
              <w:pStyle w:val="TableParagraph"/>
              <w:spacing w:before="97"/>
              <w:ind w:left="109"/>
              <w:rPr>
                <w:sz w:val="20"/>
              </w:rPr>
            </w:pPr>
            <w:r>
              <w:rPr>
                <w:spacing w:val="5"/>
                <w:sz w:val="20"/>
              </w:rPr>
              <w:t>16</w:t>
            </w:r>
          </w:p>
        </w:tc>
        <w:tc>
          <w:tcPr>
            <w:tcW w:w="1199" w:type="dxa"/>
          </w:tcPr>
          <w:p>
            <w:pPr>
              <w:pStyle w:val="TableParagraph"/>
              <w:spacing w:before="97"/>
              <w:ind w:right="506"/>
              <w:jc w:val="right"/>
              <w:rPr>
                <w:sz w:val="20"/>
              </w:rPr>
            </w:pPr>
            <w:r>
              <w:rPr>
                <w:spacing w:val="-10"/>
                <w:sz w:val="20"/>
              </w:rPr>
              <w:t>P</w:t>
            </w:r>
          </w:p>
        </w:tc>
        <w:tc>
          <w:tcPr>
            <w:tcW w:w="2196" w:type="dxa"/>
          </w:tcPr>
          <w:p>
            <w:pPr>
              <w:pStyle w:val="TableParagraph"/>
              <w:tabs>
                <w:tab w:pos="1740" w:val="left" w:leader="none"/>
              </w:tabs>
              <w:spacing w:line="234" w:lineRule="exact" w:before="97"/>
              <w:ind w:left="111"/>
              <w:jc w:val="both"/>
              <w:rPr>
                <w:sz w:val="20"/>
              </w:rPr>
            </w:pPr>
            <w:r>
              <w:rPr>
                <w:spacing w:val="-4"/>
                <w:sz w:val="20"/>
              </w:rPr>
              <w:t>Each</w:t>
            </w:r>
            <w:r>
              <w:rPr>
                <w:sz w:val="20"/>
              </w:rPr>
              <w:tab/>
            </w:r>
            <w:r>
              <w:rPr>
                <w:spacing w:val="-5"/>
                <w:sz w:val="20"/>
              </w:rPr>
              <w:t>not</w:t>
            </w:r>
          </w:p>
          <w:p>
            <w:pPr>
              <w:pStyle w:val="TableParagraph"/>
              <w:ind w:left="111" w:right="106"/>
              <w:jc w:val="both"/>
              <w:rPr>
                <w:sz w:val="20"/>
              </w:rPr>
            </w:pPr>
            <w:r>
              <w:rPr>
                <w:sz w:val="20"/>
              </w:rPr>
              <w:t>employing </w:t>
            </w:r>
            <w:r>
              <w:rPr>
                <w:sz w:val="20"/>
              </w:rPr>
              <w:t>more than</w:t>
            </w:r>
            <w:r>
              <w:rPr>
                <w:spacing w:val="40"/>
                <w:sz w:val="20"/>
              </w:rPr>
              <w:t> </w:t>
            </w:r>
            <w:r>
              <w:rPr>
                <w:sz w:val="20"/>
              </w:rPr>
              <w:t>6</w:t>
            </w:r>
            <w:r>
              <w:rPr>
                <w:spacing w:val="40"/>
                <w:sz w:val="20"/>
              </w:rPr>
              <w:t> </w:t>
            </w:r>
            <w:r>
              <w:rPr>
                <w:sz w:val="20"/>
              </w:rPr>
              <w:t>persons</w:t>
            </w:r>
            <w:r>
              <w:rPr>
                <w:spacing w:val="40"/>
                <w:sz w:val="20"/>
              </w:rPr>
              <w:t> </w:t>
            </w:r>
            <w:r>
              <w:rPr>
                <w:sz w:val="20"/>
              </w:rPr>
              <w:t>and</w:t>
            </w:r>
            <w:r>
              <w:rPr>
                <w:spacing w:val="29"/>
                <w:sz w:val="20"/>
              </w:rPr>
              <w:t> </w:t>
            </w:r>
            <w:r>
              <w:rPr>
                <w:sz w:val="20"/>
              </w:rPr>
              <w:t>not</w:t>
            </w:r>
            <w:r>
              <w:rPr>
                <w:spacing w:val="34"/>
                <w:sz w:val="20"/>
              </w:rPr>
              <w:t> </w:t>
            </w:r>
            <w:r>
              <w:rPr>
                <w:sz w:val="20"/>
              </w:rPr>
              <w:t>more</w:t>
            </w:r>
            <w:r>
              <w:rPr>
                <w:spacing w:val="29"/>
                <w:sz w:val="20"/>
              </w:rPr>
              <w:t> </w:t>
            </w:r>
            <w:r>
              <w:rPr>
                <w:spacing w:val="-4"/>
                <w:sz w:val="20"/>
              </w:rPr>
              <w:t>than</w:t>
            </w:r>
          </w:p>
          <w:p>
            <w:pPr>
              <w:pStyle w:val="TableParagraph"/>
              <w:tabs>
                <w:tab w:pos="1739" w:val="left" w:leader="none"/>
              </w:tabs>
              <w:ind w:left="111" w:right="104"/>
              <w:jc w:val="both"/>
              <w:rPr>
                <w:sz w:val="20"/>
              </w:rPr>
            </w:pPr>
            <w:r>
              <w:rPr>
                <w:sz w:val="20"/>
              </w:rPr>
              <w:t>2 charges with </w:t>
            </w:r>
            <w:r>
              <w:rPr>
                <w:spacing w:val="-2"/>
                <w:sz w:val="20"/>
              </w:rPr>
              <w:t>power</w:t>
            </w:r>
            <w:r>
              <w:rPr>
                <w:sz w:val="20"/>
              </w:rPr>
              <w:tab/>
            </w:r>
            <w:r>
              <w:rPr>
                <w:spacing w:val="-5"/>
                <w:sz w:val="20"/>
              </w:rPr>
              <w:t>not</w:t>
            </w:r>
          </w:p>
          <w:p>
            <w:pPr>
              <w:pStyle w:val="TableParagraph"/>
              <w:spacing w:line="233" w:lineRule="exact"/>
              <w:ind w:left="111"/>
              <w:jc w:val="both"/>
              <w:rPr>
                <w:sz w:val="20"/>
              </w:rPr>
            </w:pPr>
            <w:r>
              <w:rPr>
                <w:sz w:val="20"/>
              </w:rPr>
              <w:t>exceeding</w:t>
            </w:r>
            <w:r>
              <w:rPr>
                <w:spacing w:val="54"/>
                <w:sz w:val="20"/>
              </w:rPr>
              <w:t> </w:t>
            </w:r>
            <w:r>
              <w:rPr>
                <w:sz w:val="20"/>
              </w:rPr>
              <w:t>5</w:t>
            </w:r>
            <w:r>
              <w:rPr>
                <w:spacing w:val="49"/>
                <w:sz w:val="20"/>
              </w:rPr>
              <w:t> </w:t>
            </w:r>
            <w:r>
              <w:rPr>
                <w:spacing w:val="-5"/>
                <w:sz w:val="20"/>
              </w:rPr>
              <w:t>KW</w:t>
            </w:r>
          </w:p>
        </w:tc>
      </w:tr>
      <w:tr>
        <w:trPr>
          <w:trHeight w:val="2210" w:hRule="atLeast"/>
        </w:trPr>
        <w:tc>
          <w:tcPr>
            <w:tcW w:w="1260" w:type="dxa"/>
          </w:tcPr>
          <w:p>
            <w:pPr>
              <w:pStyle w:val="TableParagraph"/>
              <w:rPr>
                <w:rFonts w:ascii="Times New Roman"/>
                <w:sz w:val="18"/>
              </w:rPr>
            </w:pPr>
          </w:p>
        </w:tc>
        <w:tc>
          <w:tcPr>
            <w:tcW w:w="2856" w:type="dxa"/>
          </w:tcPr>
          <w:p>
            <w:pPr>
              <w:pStyle w:val="TableParagraph"/>
              <w:spacing w:before="95"/>
              <w:ind w:left="108" w:right="110"/>
              <w:jc w:val="both"/>
              <w:rPr>
                <w:sz w:val="20"/>
              </w:rPr>
            </w:pPr>
            <w:r>
              <w:rPr>
                <w:sz w:val="20"/>
              </w:rPr>
              <w:t>g) Electronic industry of assembly, but not of manufacturing type,</w:t>
            </w:r>
          </w:p>
          <w:p>
            <w:pPr>
              <w:pStyle w:val="TableParagraph"/>
              <w:spacing w:before="97"/>
              <w:ind w:left="108"/>
              <w:rPr>
                <w:sz w:val="20"/>
              </w:rPr>
            </w:pPr>
            <w:r>
              <w:rPr>
                <w:spacing w:val="-10"/>
                <w:sz w:val="20"/>
              </w:rPr>
              <w:t>.</w:t>
            </w:r>
          </w:p>
        </w:tc>
        <w:tc>
          <w:tcPr>
            <w:tcW w:w="1276" w:type="dxa"/>
          </w:tcPr>
          <w:p>
            <w:pPr>
              <w:pStyle w:val="TableParagraph"/>
              <w:spacing w:before="95"/>
              <w:ind w:left="108" w:right="133"/>
              <w:rPr>
                <w:sz w:val="20"/>
              </w:rPr>
            </w:pPr>
            <w:r>
              <w:rPr>
                <w:sz w:val="20"/>
              </w:rPr>
              <w:t>5</w:t>
            </w:r>
            <w:r>
              <w:rPr>
                <w:spacing w:val="80"/>
                <w:sz w:val="20"/>
              </w:rPr>
              <w:t> </w:t>
            </w:r>
            <w:r>
              <w:rPr>
                <w:sz w:val="20"/>
              </w:rPr>
              <w:t>or</w:t>
            </w:r>
            <w:r>
              <w:rPr>
                <w:spacing w:val="120"/>
                <w:sz w:val="20"/>
              </w:rPr>
              <w:t> </w:t>
            </w:r>
            <w:r>
              <w:rPr>
                <w:sz w:val="20"/>
              </w:rPr>
              <w:t>2</w:t>
            </w:r>
            <w:r>
              <w:rPr>
                <w:sz w:val="20"/>
              </w:rPr>
              <w:t>0</w:t>
            </w:r>
            <w:r>
              <w:rPr>
                <w:sz w:val="20"/>
              </w:rPr>
              <w:t> </w:t>
            </w:r>
            <w:r>
              <w:rPr>
                <w:spacing w:val="-6"/>
                <w:sz w:val="20"/>
              </w:rPr>
              <w:t>or </w:t>
            </w:r>
            <w:r>
              <w:rPr>
                <w:spacing w:val="-2"/>
                <w:sz w:val="20"/>
              </w:rPr>
              <w:t>16,17,18</w:t>
            </w:r>
          </w:p>
        </w:tc>
        <w:tc>
          <w:tcPr>
            <w:tcW w:w="1209" w:type="dxa"/>
          </w:tcPr>
          <w:p>
            <w:pPr>
              <w:pStyle w:val="TableParagraph"/>
              <w:spacing w:before="95"/>
              <w:ind w:left="109"/>
              <w:rPr>
                <w:sz w:val="20"/>
              </w:rPr>
            </w:pPr>
            <w:r>
              <w:rPr>
                <w:spacing w:val="5"/>
                <w:sz w:val="20"/>
              </w:rPr>
              <w:t>14</w:t>
            </w:r>
          </w:p>
        </w:tc>
        <w:tc>
          <w:tcPr>
            <w:tcW w:w="1199" w:type="dxa"/>
          </w:tcPr>
          <w:p>
            <w:pPr>
              <w:pStyle w:val="TableParagraph"/>
              <w:spacing w:before="95"/>
              <w:ind w:right="506"/>
              <w:jc w:val="right"/>
              <w:rPr>
                <w:sz w:val="20"/>
              </w:rPr>
            </w:pPr>
            <w:r>
              <w:rPr>
                <w:spacing w:val="-10"/>
                <w:sz w:val="20"/>
              </w:rPr>
              <w:t>P</w:t>
            </w:r>
          </w:p>
        </w:tc>
        <w:tc>
          <w:tcPr>
            <w:tcW w:w="2196" w:type="dxa"/>
          </w:tcPr>
          <w:p>
            <w:pPr>
              <w:pStyle w:val="TableParagraph"/>
              <w:tabs>
                <w:tab w:pos="1740" w:val="left" w:leader="none"/>
              </w:tabs>
              <w:spacing w:before="95"/>
              <w:ind w:left="190"/>
              <w:jc w:val="both"/>
              <w:rPr>
                <w:sz w:val="20"/>
              </w:rPr>
            </w:pPr>
            <w:r>
              <w:rPr>
                <w:spacing w:val="-4"/>
                <w:sz w:val="20"/>
              </w:rPr>
              <w:t>Area</w:t>
            </w:r>
            <w:r>
              <w:rPr>
                <w:sz w:val="20"/>
              </w:rPr>
              <w:tab/>
            </w:r>
            <w:r>
              <w:rPr>
                <w:spacing w:val="-5"/>
                <w:sz w:val="20"/>
              </w:rPr>
              <w:t>not</w:t>
            </w:r>
          </w:p>
          <w:p>
            <w:pPr>
              <w:pStyle w:val="TableParagraph"/>
              <w:ind w:left="116" w:right="106"/>
              <w:jc w:val="both"/>
              <w:rPr>
                <w:sz w:val="20"/>
              </w:rPr>
            </w:pPr>
            <w:r>
              <w:rPr>
                <w:sz w:val="20"/>
              </w:rPr>
              <w:t>exceeding 100.00 sq.</w:t>
            </w:r>
            <w:r>
              <w:rPr>
                <w:spacing w:val="60"/>
                <w:w w:val="150"/>
                <w:sz w:val="20"/>
              </w:rPr>
              <w:t>   </w:t>
            </w:r>
            <w:r>
              <w:rPr>
                <w:sz w:val="20"/>
              </w:rPr>
              <w:t>m.</w:t>
            </w:r>
            <w:r>
              <w:rPr>
                <w:spacing w:val="61"/>
                <w:w w:val="150"/>
                <w:sz w:val="20"/>
              </w:rPr>
              <w:t>   </w:t>
            </w:r>
            <w:r>
              <w:rPr>
                <w:spacing w:val="-4"/>
                <w:sz w:val="20"/>
              </w:rPr>
              <w:t>total</w:t>
            </w:r>
          </w:p>
          <w:p>
            <w:pPr>
              <w:pStyle w:val="TableParagraph"/>
              <w:spacing w:before="1"/>
              <w:ind w:left="116" w:right="106"/>
              <w:jc w:val="both"/>
              <w:rPr>
                <w:sz w:val="20"/>
              </w:rPr>
            </w:pPr>
            <w:r>
              <w:rPr>
                <w:sz w:val="20"/>
              </w:rPr>
              <w:t>electric </w:t>
            </w:r>
            <w:r>
              <w:rPr>
                <w:sz w:val="20"/>
              </w:rPr>
              <w:t>power inclusive of motive power and heating load</w:t>
            </w:r>
            <w:r>
              <w:rPr>
                <w:spacing w:val="46"/>
                <w:sz w:val="20"/>
              </w:rPr>
              <w:t> </w:t>
            </w:r>
            <w:r>
              <w:rPr>
                <w:sz w:val="20"/>
              </w:rPr>
              <w:t>not</w:t>
            </w:r>
            <w:r>
              <w:rPr>
                <w:spacing w:val="46"/>
                <w:sz w:val="20"/>
              </w:rPr>
              <w:t> </w:t>
            </w:r>
            <w:r>
              <w:rPr>
                <w:sz w:val="20"/>
              </w:rPr>
              <w:t>to</w:t>
            </w:r>
            <w:r>
              <w:rPr>
                <w:spacing w:val="46"/>
                <w:sz w:val="20"/>
              </w:rPr>
              <w:t> </w:t>
            </w:r>
            <w:r>
              <w:rPr>
                <w:spacing w:val="-2"/>
                <w:sz w:val="20"/>
              </w:rPr>
              <w:t>exceed</w:t>
            </w:r>
          </w:p>
          <w:p>
            <w:pPr>
              <w:pStyle w:val="TableParagraph"/>
              <w:spacing w:line="234" w:lineRule="exact"/>
              <w:ind w:left="116"/>
              <w:jc w:val="both"/>
              <w:rPr>
                <w:sz w:val="20"/>
              </w:rPr>
            </w:pPr>
            <w:r>
              <w:rPr>
                <w:sz w:val="20"/>
              </w:rPr>
              <w:t>3.75</w:t>
            </w:r>
            <w:r>
              <w:rPr>
                <w:spacing w:val="67"/>
                <w:sz w:val="20"/>
              </w:rPr>
              <w:t>   </w:t>
            </w:r>
            <w:r>
              <w:rPr>
                <w:sz w:val="20"/>
              </w:rPr>
              <w:t>KW</w:t>
            </w:r>
            <w:r>
              <w:rPr>
                <w:spacing w:val="68"/>
                <w:sz w:val="20"/>
              </w:rPr>
              <w:t>   </w:t>
            </w:r>
            <w:r>
              <w:rPr>
                <w:spacing w:val="-5"/>
                <w:sz w:val="20"/>
              </w:rPr>
              <w:t>and</w:t>
            </w:r>
          </w:p>
          <w:p>
            <w:pPr>
              <w:pStyle w:val="TableParagraph"/>
              <w:spacing w:line="216" w:lineRule="exact"/>
              <w:ind w:left="116"/>
              <w:jc w:val="both"/>
              <w:rPr>
                <w:sz w:val="20"/>
              </w:rPr>
            </w:pPr>
            <w:r>
              <w:rPr>
                <w:sz w:val="20"/>
              </w:rPr>
              <w:t>employing</w:t>
            </w:r>
            <w:r>
              <w:rPr>
                <w:spacing w:val="57"/>
                <w:w w:val="150"/>
                <w:sz w:val="20"/>
              </w:rPr>
              <w:t>    </w:t>
            </w:r>
            <w:r>
              <w:rPr>
                <w:spacing w:val="-5"/>
                <w:sz w:val="20"/>
              </w:rPr>
              <w:t>not</w:t>
            </w:r>
          </w:p>
        </w:tc>
      </w:tr>
    </w:tbl>
    <w:p>
      <w:pPr>
        <w:pStyle w:val="TableParagraph"/>
        <w:spacing w:after="0" w:line="216" w:lineRule="exact"/>
        <w:jc w:val="both"/>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566" w:hRule="atLeast"/>
        </w:trPr>
        <w:tc>
          <w:tcPr>
            <w:tcW w:w="1260" w:type="dxa"/>
          </w:tcPr>
          <w:p>
            <w:pPr>
              <w:pStyle w:val="TableParagraph"/>
              <w:rPr>
                <w:rFonts w:ascii="Times New Roman"/>
                <w:sz w:val="18"/>
              </w:rPr>
            </w:pPr>
          </w:p>
        </w:tc>
        <w:tc>
          <w:tcPr>
            <w:tcW w:w="2856" w:type="dxa"/>
          </w:tcPr>
          <w:p>
            <w:pPr>
              <w:pStyle w:val="TableParagraph"/>
              <w:rPr>
                <w:rFonts w:ascii="Times New Roman"/>
                <w:sz w:val="18"/>
              </w:rPr>
            </w:pP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tabs>
                <w:tab w:pos="1053" w:val="left" w:leader="none"/>
                <w:tab w:pos="2078" w:val="right" w:leader="none"/>
              </w:tabs>
              <w:spacing w:line="233" w:lineRule="exact"/>
              <w:ind w:left="116"/>
              <w:rPr>
                <w:sz w:val="20"/>
              </w:rPr>
            </w:pPr>
            <w:r>
              <w:rPr>
                <w:spacing w:val="-4"/>
                <w:sz w:val="20"/>
              </w:rPr>
              <w:t>more</w:t>
            </w:r>
            <w:r>
              <w:rPr>
                <w:sz w:val="20"/>
              </w:rPr>
              <w:tab/>
            </w:r>
            <w:r>
              <w:rPr>
                <w:spacing w:val="-4"/>
                <w:sz w:val="20"/>
              </w:rPr>
              <w:t>than</w:t>
            </w:r>
            <w:r>
              <w:rPr>
                <w:sz w:val="20"/>
              </w:rPr>
              <w:tab/>
            </w:r>
            <w:r>
              <w:rPr>
                <w:spacing w:val="-10"/>
                <w:sz w:val="20"/>
              </w:rPr>
              <w:t>9</w:t>
            </w:r>
          </w:p>
          <w:p>
            <w:pPr>
              <w:pStyle w:val="TableParagraph"/>
              <w:ind w:left="116"/>
              <w:rPr>
                <w:sz w:val="20"/>
              </w:rPr>
            </w:pPr>
            <w:r>
              <w:rPr>
                <w:sz w:val="20"/>
              </w:rPr>
              <w:t>persons</w:t>
            </w:r>
            <w:r>
              <w:rPr>
                <w:spacing w:val="69"/>
                <w:sz w:val="20"/>
              </w:rPr>
              <w:t> </w:t>
            </w:r>
            <w:r>
              <w:rPr>
                <w:spacing w:val="-4"/>
                <w:sz w:val="20"/>
              </w:rPr>
              <w:t>each</w:t>
            </w:r>
          </w:p>
        </w:tc>
      </w:tr>
      <w:tr>
        <w:trPr>
          <w:trHeight w:val="4416" w:hRule="atLeast"/>
        </w:trPr>
        <w:tc>
          <w:tcPr>
            <w:tcW w:w="1260" w:type="dxa"/>
          </w:tcPr>
          <w:p>
            <w:pPr>
              <w:pStyle w:val="TableParagraph"/>
              <w:spacing w:before="94"/>
              <w:ind w:left="107"/>
              <w:rPr>
                <w:sz w:val="20"/>
              </w:rPr>
            </w:pPr>
            <w:r>
              <w:rPr>
                <w:spacing w:val="5"/>
                <w:sz w:val="20"/>
              </w:rPr>
              <w:t>69</w:t>
            </w:r>
          </w:p>
        </w:tc>
        <w:tc>
          <w:tcPr>
            <w:tcW w:w="2856" w:type="dxa"/>
          </w:tcPr>
          <w:p>
            <w:pPr>
              <w:pStyle w:val="TableParagraph"/>
              <w:spacing w:before="94"/>
              <w:ind w:left="108" w:right="350"/>
              <w:rPr>
                <w:sz w:val="20"/>
              </w:rPr>
            </w:pPr>
            <w:r>
              <w:rPr>
                <w:sz w:val="20"/>
              </w:rPr>
              <w:t>Research &amp;</w:t>
            </w:r>
            <w:r>
              <w:rPr>
                <w:spacing w:val="40"/>
                <w:sz w:val="20"/>
              </w:rPr>
              <w:t> </w:t>
            </w:r>
            <w:r>
              <w:rPr>
                <w:sz w:val="20"/>
              </w:rPr>
              <w:t>experimental &amp; testing </w:t>
            </w:r>
            <w:r>
              <w:rPr>
                <w:spacing w:val="-2"/>
                <w:sz w:val="20"/>
              </w:rPr>
              <w:t>laboratories</w:t>
            </w:r>
          </w:p>
        </w:tc>
        <w:tc>
          <w:tcPr>
            <w:tcW w:w="1276" w:type="dxa"/>
          </w:tcPr>
          <w:p>
            <w:pPr>
              <w:pStyle w:val="TableParagraph"/>
              <w:spacing w:before="94"/>
              <w:ind w:left="108"/>
              <w:rPr>
                <w:sz w:val="20"/>
              </w:rPr>
            </w:pPr>
            <w:r>
              <w:rPr>
                <w:sz w:val="20"/>
              </w:rPr>
              <w:t>1or</w:t>
            </w:r>
            <w:r>
              <w:rPr>
                <w:spacing w:val="36"/>
                <w:sz w:val="20"/>
              </w:rPr>
              <w:t> </w:t>
            </w:r>
            <w:r>
              <w:rPr>
                <w:sz w:val="20"/>
              </w:rPr>
              <w:t>2</w:t>
            </w:r>
            <w:r>
              <w:rPr>
                <w:spacing w:val="38"/>
                <w:sz w:val="20"/>
              </w:rPr>
              <w:t> </w:t>
            </w:r>
            <w:r>
              <w:rPr>
                <w:spacing w:val="-5"/>
                <w:sz w:val="20"/>
              </w:rPr>
              <w:t>or</w:t>
            </w:r>
          </w:p>
          <w:p>
            <w:pPr>
              <w:pStyle w:val="TableParagraph"/>
              <w:spacing w:before="1"/>
              <w:ind w:left="108"/>
              <w:rPr>
                <w:sz w:val="20"/>
              </w:rPr>
            </w:pPr>
            <w:r>
              <w:rPr>
                <w:spacing w:val="-10"/>
                <w:sz w:val="20"/>
              </w:rPr>
              <w:t>3</w:t>
            </w:r>
          </w:p>
        </w:tc>
        <w:tc>
          <w:tcPr>
            <w:tcW w:w="1209" w:type="dxa"/>
          </w:tcPr>
          <w:p>
            <w:pPr>
              <w:pStyle w:val="TableParagraph"/>
              <w:spacing w:before="94"/>
              <w:ind w:left="109"/>
              <w:rPr>
                <w:sz w:val="20"/>
              </w:rPr>
            </w:pPr>
            <w:r>
              <w:rPr>
                <w:color w:val="000000"/>
                <w:spacing w:val="-10"/>
                <w:sz w:val="20"/>
                <w:shd w:fill="FFCCFF" w:color="auto" w:val="clear"/>
              </w:rPr>
              <w:t>P</w:t>
            </w:r>
          </w:p>
        </w:tc>
        <w:tc>
          <w:tcPr>
            <w:tcW w:w="1199" w:type="dxa"/>
          </w:tcPr>
          <w:p>
            <w:pPr>
              <w:pStyle w:val="TableParagraph"/>
              <w:spacing w:before="94"/>
              <w:ind w:left="295" w:right="98"/>
              <w:jc w:val="center"/>
              <w:rPr>
                <w:sz w:val="20"/>
              </w:rPr>
            </w:pPr>
            <w:r>
              <w:rPr>
                <w:spacing w:val="-10"/>
                <w:sz w:val="20"/>
              </w:rPr>
              <w:t>P</w:t>
            </w:r>
          </w:p>
        </w:tc>
        <w:tc>
          <w:tcPr>
            <w:tcW w:w="2196" w:type="dxa"/>
          </w:tcPr>
          <w:p>
            <w:pPr>
              <w:pStyle w:val="TableParagraph"/>
              <w:spacing w:before="94"/>
              <w:ind w:left="111" w:right="106"/>
              <w:jc w:val="both"/>
              <w:rPr>
                <w:sz w:val="20"/>
              </w:rPr>
            </w:pPr>
            <w:r>
              <w:rPr>
                <w:sz w:val="20"/>
              </w:rPr>
              <w:t>Not involving any danger of fire or explosion or of any obnoxious </w:t>
            </w:r>
            <w:r>
              <w:rPr>
                <w:sz w:val="20"/>
              </w:rPr>
              <w:t>nature and located on a plot</w:t>
            </w:r>
            <w:r>
              <w:rPr>
                <w:spacing w:val="70"/>
                <w:sz w:val="20"/>
              </w:rPr>
              <w:t> </w:t>
            </w:r>
            <w:r>
              <w:rPr>
                <w:sz w:val="20"/>
              </w:rPr>
              <w:t>not</w:t>
            </w:r>
            <w:r>
              <w:rPr>
                <w:spacing w:val="71"/>
                <w:sz w:val="20"/>
              </w:rPr>
              <w:t> </w:t>
            </w:r>
            <w:r>
              <w:rPr>
                <w:sz w:val="20"/>
              </w:rPr>
              <w:t>less</w:t>
            </w:r>
            <w:r>
              <w:rPr>
                <w:spacing w:val="70"/>
                <w:sz w:val="20"/>
              </w:rPr>
              <w:t> </w:t>
            </w:r>
            <w:r>
              <w:rPr>
                <w:spacing w:val="-4"/>
                <w:sz w:val="20"/>
              </w:rPr>
              <w:t>than</w:t>
            </w:r>
          </w:p>
          <w:p>
            <w:pPr>
              <w:pStyle w:val="TableParagraph"/>
              <w:tabs>
                <w:tab w:pos="495" w:val="left" w:leader="none"/>
                <w:tab w:pos="919" w:val="left" w:leader="none"/>
                <w:tab w:pos="1025" w:val="left" w:leader="none"/>
                <w:tab w:pos="1087" w:val="left" w:leader="none"/>
                <w:tab w:pos="1450" w:val="left" w:leader="none"/>
                <w:tab w:pos="1552" w:val="left" w:leader="none"/>
                <w:tab w:pos="1746" w:val="left" w:leader="none"/>
                <w:tab w:pos="1877" w:val="left" w:leader="none"/>
              </w:tabs>
              <w:spacing w:before="1"/>
              <w:ind w:left="111" w:right="104"/>
              <w:rPr>
                <w:sz w:val="20"/>
              </w:rPr>
            </w:pPr>
            <w:r>
              <w:rPr>
                <w:spacing w:val="-10"/>
                <w:sz w:val="20"/>
              </w:rPr>
              <w:t>4</w:t>
            </w:r>
            <w:r>
              <w:rPr>
                <w:sz w:val="20"/>
              </w:rPr>
              <w:tab/>
            </w:r>
            <w:r>
              <w:rPr>
                <w:spacing w:val="-4"/>
                <w:sz w:val="20"/>
              </w:rPr>
              <w:t>ha.</w:t>
            </w:r>
            <w:r>
              <w:rPr>
                <w:sz w:val="20"/>
              </w:rPr>
              <w:tab/>
              <w:tab/>
              <w:tab/>
            </w:r>
            <w:r>
              <w:rPr>
                <w:spacing w:val="-6"/>
                <w:sz w:val="20"/>
              </w:rPr>
              <w:t>in</w:t>
            </w:r>
            <w:r>
              <w:rPr>
                <w:sz w:val="20"/>
              </w:rPr>
              <w:tab/>
              <w:tab/>
            </w:r>
            <w:r>
              <w:rPr>
                <w:spacing w:val="-4"/>
                <w:sz w:val="20"/>
              </w:rPr>
              <w:t>area</w:t>
            </w:r>
            <w:r>
              <w:rPr>
                <w:spacing w:val="-4"/>
                <w:sz w:val="20"/>
              </w:rPr>
              <w:t>,</w:t>
            </w:r>
            <w:r>
              <w:rPr>
                <w:spacing w:val="-4"/>
                <w:sz w:val="20"/>
              </w:rPr>
              <w:t> </w:t>
            </w:r>
            <w:r>
              <w:rPr>
                <w:sz w:val="20"/>
              </w:rPr>
              <w:t>provided</w:t>
            </w:r>
            <w:r>
              <w:rPr>
                <w:spacing w:val="40"/>
                <w:sz w:val="20"/>
              </w:rPr>
              <w:t> </w:t>
            </w:r>
            <w:r>
              <w:rPr>
                <w:sz w:val="20"/>
              </w:rPr>
              <w:t>that</w:t>
            </w:r>
            <w:r>
              <w:rPr>
                <w:spacing w:val="40"/>
                <w:sz w:val="20"/>
              </w:rPr>
              <w:t> </w:t>
            </w:r>
            <w:r>
              <w:rPr>
                <w:sz w:val="20"/>
              </w:rPr>
              <w:t>the </w:t>
            </w:r>
            <w:r>
              <w:rPr>
                <w:spacing w:val="-2"/>
                <w:sz w:val="20"/>
              </w:rPr>
              <w:t>laboratory</w:t>
            </w:r>
            <w:r>
              <w:rPr>
                <w:sz w:val="20"/>
              </w:rPr>
              <w:tab/>
            </w:r>
            <w:r>
              <w:rPr>
                <w:spacing w:val="-6"/>
                <w:sz w:val="20"/>
              </w:rPr>
              <w:t>is</w:t>
            </w:r>
            <w:r>
              <w:rPr>
                <w:sz w:val="20"/>
              </w:rPr>
              <w:tab/>
              <w:tab/>
            </w:r>
            <w:r>
              <w:rPr>
                <w:spacing w:val="-6"/>
                <w:sz w:val="20"/>
              </w:rPr>
              <w:t>a</w:t>
            </w:r>
            <w:r>
              <w:rPr>
                <w:spacing w:val="-6"/>
                <w:sz w:val="20"/>
              </w:rPr>
              <w:t>t</w:t>
            </w:r>
            <w:r>
              <w:rPr>
                <w:spacing w:val="-6"/>
                <w:sz w:val="20"/>
              </w:rPr>
              <w:t> </w:t>
            </w:r>
            <w:r>
              <w:rPr>
                <w:sz w:val="20"/>
              </w:rPr>
              <w:t>least</w:t>
            </w:r>
            <w:r>
              <w:rPr>
                <w:spacing w:val="40"/>
                <w:sz w:val="20"/>
              </w:rPr>
              <w:t> </w:t>
            </w:r>
            <w:r>
              <w:rPr>
                <w:sz w:val="20"/>
              </w:rPr>
              <w:t>30</w:t>
            </w:r>
            <w:r>
              <w:rPr>
                <w:spacing w:val="40"/>
                <w:sz w:val="20"/>
              </w:rPr>
              <w:t> </w:t>
            </w:r>
            <w:r>
              <w:rPr>
                <w:sz w:val="20"/>
              </w:rPr>
              <w:t>m.</w:t>
            </w:r>
            <w:r>
              <w:rPr>
                <w:spacing w:val="40"/>
                <w:sz w:val="20"/>
              </w:rPr>
              <w:t> </w:t>
            </w:r>
            <w:r>
              <w:rPr>
                <w:sz w:val="20"/>
              </w:rPr>
              <w:t>from</w:t>
            </w:r>
            <w:r>
              <w:rPr>
                <w:spacing w:val="40"/>
                <w:sz w:val="20"/>
              </w:rPr>
              <w:t> </w:t>
            </w:r>
            <w:r>
              <w:rPr>
                <w:spacing w:val="-4"/>
                <w:sz w:val="20"/>
              </w:rPr>
              <w:t>any</w:t>
            </w:r>
            <w:r>
              <w:rPr>
                <w:sz w:val="20"/>
              </w:rPr>
              <w:tab/>
              <w:tab/>
              <w:tab/>
            </w:r>
            <w:r>
              <w:rPr>
                <w:spacing w:val="-6"/>
                <w:sz w:val="20"/>
              </w:rPr>
              <w:t>of</w:t>
            </w:r>
            <w:r>
              <w:rPr>
                <w:sz w:val="20"/>
              </w:rPr>
              <w:tab/>
              <w:tab/>
              <w:tab/>
            </w:r>
            <w:r>
              <w:rPr>
                <w:spacing w:val="-4"/>
                <w:sz w:val="20"/>
              </w:rPr>
              <w:t>th</w:t>
            </w:r>
            <w:r>
              <w:rPr>
                <w:spacing w:val="-4"/>
                <w:sz w:val="20"/>
              </w:rPr>
              <w:t>e</w:t>
            </w:r>
            <w:r>
              <w:rPr>
                <w:spacing w:val="-4"/>
                <w:sz w:val="20"/>
              </w:rPr>
              <w:t> </w:t>
            </w:r>
            <w:r>
              <w:rPr>
                <w:sz w:val="20"/>
              </w:rPr>
              <w:t>boundaries</w:t>
            </w:r>
            <w:r>
              <w:rPr>
                <w:spacing w:val="40"/>
                <w:sz w:val="20"/>
              </w:rPr>
              <w:t> </w:t>
            </w:r>
            <w:r>
              <w:rPr>
                <w:sz w:val="20"/>
              </w:rPr>
              <w:t>of</w:t>
            </w:r>
            <w:r>
              <w:rPr>
                <w:spacing w:val="40"/>
                <w:sz w:val="20"/>
              </w:rPr>
              <w:t> </w:t>
            </w:r>
            <w:r>
              <w:rPr>
                <w:sz w:val="20"/>
              </w:rPr>
              <w:t>the </w:t>
            </w:r>
            <w:r>
              <w:rPr>
                <w:spacing w:val="-4"/>
                <w:sz w:val="20"/>
              </w:rPr>
              <w:t>site</w:t>
            </w:r>
            <w:r>
              <w:rPr>
                <w:sz w:val="20"/>
              </w:rPr>
              <w:tab/>
              <w:tab/>
            </w:r>
            <w:r>
              <w:rPr>
                <w:spacing w:val="-4"/>
                <w:sz w:val="20"/>
              </w:rPr>
              <w:t>and</w:t>
            </w:r>
            <w:r>
              <w:rPr>
                <w:sz w:val="20"/>
              </w:rPr>
              <w:tab/>
              <w:tab/>
              <w:tab/>
            </w:r>
            <w:r>
              <w:rPr>
                <w:spacing w:val="-4"/>
                <w:sz w:val="20"/>
              </w:rPr>
              <w:t>th</w:t>
            </w:r>
            <w:r>
              <w:rPr>
                <w:spacing w:val="-4"/>
                <w:sz w:val="20"/>
              </w:rPr>
              <w:t>e</w:t>
            </w:r>
            <w:r>
              <w:rPr>
                <w:spacing w:val="-4"/>
                <w:sz w:val="20"/>
              </w:rPr>
              <w:t> </w:t>
            </w:r>
            <w:r>
              <w:rPr>
                <w:spacing w:val="-2"/>
                <w:sz w:val="20"/>
              </w:rPr>
              <w:t>accessory</w:t>
            </w:r>
            <w:r>
              <w:rPr>
                <w:spacing w:val="40"/>
                <w:sz w:val="20"/>
              </w:rPr>
              <w:t> </w:t>
            </w:r>
            <w:r>
              <w:rPr>
                <w:spacing w:val="-2"/>
                <w:sz w:val="20"/>
              </w:rPr>
              <w:t>residential</w:t>
            </w:r>
            <w:r>
              <w:rPr>
                <w:spacing w:val="40"/>
                <w:sz w:val="20"/>
              </w:rPr>
              <w:t>  </w:t>
            </w:r>
            <w:r>
              <w:rPr>
                <w:sz w:val="20"/>
              </w:rPr>
              <w:t>building</w:t>
            </w:r>
            <w:r>
              <w:rPr>
                <w:spacing w:val="35"/>
                <w:sz w:val="20"/>
              </w:rPr>
              <w:t> </w:t>
            </w:r>
            <w:r>
              <w:rPr>
                <w:sz w:val="20"/>
              </w:rPr>
              <w:t>is</w:t>
            </w:r>
            <w:r>
              <w:rPr>
                <w:spacing w:val="33"/>
                <w:sz w:val="20"/>
              </w:rPr>
              <w:t> </w:t>
            </w:r>
            <w:r>
              <w:rPr>
                <w:sz w:val="20"/>
              </w:rPr>
              <w:t>at</w:t>
            </w:r>
            <w:r>
              <w:rPr>
                <w:spacing w:val="37"/>
                <w:sz w:val="20"/>
              </w:rPr>
              <w:t> </w:t>
            </w:r>
            <w:r>
              <w:rPr>
                <w:spacing w:val="-4"/>
                <w:sz w:val="20"/>
              </w:rPr>
              <w:t>least</w:t>
            </w:r>
          </w:p>
          <w:p>
            <w:pPr>
              <w:pStyle w:val="TableParagraph"/>
              <w:tabs>
                <w:tab w:pos="1747" w:val="left" w:leader="none"/>
              </w:tabs>
              <w:ind w:left="111" w:right="105"/>
              <w:rPr>
                <w:sz w:val="20"/>
              </w:rPr>
            </w:pPr>
            <w:r>
              <w:rPr>
                <w:sz w:val="20"/>
              </w:rPr>
              <w:t>30</w:t>
            </w:r>
            <w:r>
              <w:rPr>
                <w:spacing w:val="40"/>
                <w:sz w:val="20"/>
              </w:rPr>
              <w:t> </w:t>
            </w:r>
            <w:r>
              <w:rPr>
                <w:sz w:val="20"/>
              </w:rPr>
              <w:t>m</w:t>
            </w:r>
            <w:r>
              <w:rPr>
                <w:b/>
                <w:sz w:val="20"/>
              </w:rPr>
              <w:t>.</w:t>
            </w:r>
            <w:r>
              <w:rPr>
                <w:b/>
                <w:spacing w:val="40"/>
                <w:sz w:val="20"/>
              </w:rPr>
              <w:t> </w:t>
            </w:r>
            <w:r>
              <w:rPr>
                <w:sz w:val="20"/>
              </w:rPr>
              <w:t>from</w:t>
              <w:tab/>
            </w:r>
            <w:r>
              <w:rPr>
                <w:spacing w:val="-4"/>
                <w:sz w:val="20"/>
              </w:rPr>
              <w:t>th</w:t>
            </w:r>
            <w:r>
              <w:rPr>
                <w:spacing w:val="-4"/>
                <w:sz w:val="20"/>
              </w:rPr>
              <w:t>e</w:t>
            </w:r>
            <w:r>
              <w:rPr>
                <w:spacing w:val="-4"/>
                <w:sz w:val="20"/>
              </w:rPr>
              <w:t> </w:t>
            </w:r>
            <w:r>
              <w:rPr>
                <w:spacing w:val="-2"/>
                <w:sz w:val="20"/>
              </w:rPr>
              <w:t>laboratory.</w:t>
            </w:r>
          </w:p>
        </w:tc>
      </w:tr>
      <w:tr>
        <w:trPr>
          <w:trHeight w:val="1603" w:hRule="atLeast"/>
        </w:trPr>
        <w:tc>
          <w:tcPr>
            <w:tcW w:w="1260" w:type="dxa"/>
          </w:tcPr>
          <w:p>
            <w:pPr>
              <w:pStyle w:val="TableParagraph"/>
              <w:spacing w:before="97"/>
              <w:ind w:left="107"/>
              <w:rPr>
                <w:sz w:val="20"/>
              </w:rPr>
            </w:pPr>
            <w:r>
              <w:rPr>
                <w:spacing w:val="5"/>
                <w:sz w:val="20"/>
              </w:rPr>
              <w:t>70</w:t>
            </w:r>
          </w:p>
        </w:tc>
        <w:tc>
          <w:tcPr>
            <w:tcW w:w="2856" w:type="dxa"/>
          </w:tcPr>
          <w:p>
            <w:pPr>
              <w:pStyle w:val="TableParagraph"/>
              <w:tabs>
                <w:tab w:pos="1076" w:val="left" w:leader="none"/>
                <w:tab w:pos="1761" w:val="left" w:leader="none"/>
                <w:tab w:pos="1985" w:val="left" w:leader="none"/>
              </w:tabs>
              <w:spacing w:before="97"/>
              <w:ind w:left="108" w:right="109"/>
              <w:rPr>
                <w:sz w:val="20"/>
              </w:rPr>
            </w:pPr>
            <w:r>
              <w:rPr>
                <w:spacing w:val="-2"/>
                <w:sz w:val="20"/>
              </w:rPr>
              <w:t>Industrial</w:t>
            </w:r>
            <w:r>
              <w:rPr>
                <w:spacing w:val="80"/>
                <w:sz w:val="20"/>
              </w:rPr>
              <w:t>  </w:t>
            </w:r>
            <w:r>
              <w:rPr>
                <w:spacing w:val="-2"/>
                <w:sz w:val="20"/>
              </w:rPr>
              <w:t>manufacturing,</w:t>
            </w:r>
            <w:r>
              <w:rPr>
                <w:spacing w:val="40"/>
                <w:sz w:val="20"/>
              </w:rPr>
              <w:t> </w:t>
            </w:r>
            <w:r>
              <w:rPr>
                <w:spacing w:val="-2"/>
                <w:sz w:val="20"/>
              </w:rPr>
              <w:t>fabrication,</w:t>
            </w:r>
            <w:r>
              <w:rPr>
                <w:sz w:val="20"/>
              </w:rPr>
              <w:tab/>
            </w:r>
            <w:r>
              <w:rPr>
                <w:spacing w:val="-2"/>
                <w:sz w:val="20"/>
              </w:rPr>
              <w:t>assembly </w:t>
            </w:r>
            <w:r>
              <w:rPr>
                <w:sz w:val="20"/>
              </w:rPr>
              <w:t>and processing activities </w:t>
            </w:r>
            <w:r>
              <w:rPr>
                <w:spacing w:val="-2"/>
                <w:sz w:val="20"/>
              </w:rPr>
              <w:t>other</w:t>
            </w:r>
            <w:r>
              <w:rPr>
                <w:sz w:val="20"/>
              </w:rPr>
              <w:tab/>
            </w:r>
            <w:r>
              <w:rPr>
                <w:spacing w:val="-4"/>
                <w:sz w:val="20"/>
              </w:rPr>
              <w:t>than</w:t>
            </w:r>
            <w:r>
              <w:rPr>
                <w:sz w:val="20"/>
              </w:rPr>
              <w:tab/>
              <w:tab/>
            </w:r>
            <w:r>
              <w:rPr>
                <w:spacing w:val="-2"/>
                <w:sz w:val="20"/>
              </w:rPr>
              <w:t>Service Industries</w:t>
            </w:r>
          </w:p>
        </w:tc>
        <w:tc>
          <w:tcPr>
            <w:tcW w:w="1276" w:type="dxa"/>
          </w:tcPr>
          <w:p>
            <w:pPr>
              <w:pStyle w:val="TableParagraph"/>
              <w:spacing w:before="97"/>
              <w:ind w:left="108"/>
              <w:rPr>
                <w:sz w:val="20"/>
              </w:rPr>
            </w:pPr>
            <w:r>
              <w:rPr>
                <w:spacing w:val="5"/>
                <w:sz w:val="20"/>
              </w:rPr>
              <w:t>NP</w:t>
            </w:r>
          </w:p>
        </w:tc>
        <w:tc>
          <w:tcPr>
            <w:tcW w:w="1209" w:type="dxa"/>
          </w:tcPr>
          <w:p>
            <w:pPr>
              <w:pStyle w:val="TableParagraph"/>
              <w:spacing w:before="97"/>
              <w:ind w:left="165" w:right="888" w:hanging="12"/>
              <w:rPr>
                <w:sz w:val="20"/>
              </w:rPr>
            </w:pPr>
            <w:r>
              <w:rPr>
                <w:spacing w:val="-10"/>
                <w:sz w:val="20"/>
              </w:rPr>
              <w:t>N P</w:t>
            </w:r>
          </w:p>
        </w:tc>
        <w:tc>
          <w:tcPr>
            <w:tcW w:w="1199" w:type="dxa"/>
          </w:tcPr>
          <w:p>
            <w:pPr>
              <w:pStyle w:val="TableParagraph"/>
              <w:spacing w:before="97"/>
              <w:ind w:left="295" w:right="98"/>
              <w:jc w:val="center"/>
              <w:rPr>
                <w:sz w:val="20"/>
              </w:rPr>
            </w:pPr>
            <w:r>
              <w:rPr>
                <w:spacing w:val="-10"/>
                <w:sz w:val="20"/>
              </w:rPr>
              <w:t>P</w:t>
            </w:r>
          </w:p>
        </w:tc>
        <w:tc>
          <w:tcPr>
            <w:tcW w:w="2196" w:type="dxa"/>
          </w:tcPr>
          <w:p>
            <w:pPr>
              <w:pStyle w:val="TableParagraph"/>
              <w:rPr>
                <w:rFonts w:ascii="Times New Roman"/>
                <w:sz w:val="18"/>
              </w:rPr>
            </w:pPr>
          </w:p>
        </w:tc>
      </w:tr>
      <w:tr>
        <w:trPr>
          <w:trHeight w:val="2068" w:hRule="atLeast"/>
        </w:trPr>
        <w:tc>
          <w:tcPr>
            <w:tcW w:w="1260" w:type="dxa"/>
          </w:tcPr>
          <w:p>
            <w:pPr>
              <w:pStyle w:val="TableParagraph"/>
              <w:spacing w:before="94"/>
              <w:ind w:left="107"/>
              <w:rPr>
                <w:sz w:val="20"/>
              </w:rPr>
            </w:pPr>
            <w:r>
              <w:rPr>
                <w:spacing w:val="5"/>
                <w:sz w:val="20"/>
              </w:rPr>
              <w:t>71</w:t>
            </w:r>
          </w:p>
        </w:tc>
        <w:tc>
          <w:tcPr>
            <w:tcW w:w="2856" w:type="dxa"/>
          </w:tcPr>
          <w:p>
            <w:pPr>
              <w:pStyle w:val="TableParagraph"/>
              <w:tabs>
                <w:tab w:pos="1495" w:val="left" w:leader="none"/>
              </w:tabs>
              <w:spacing w:before="94"/>
              <w:ind w:left="108" w:right="103"/>
              <w:jc w:val="both"/>
              <w:rPr>
                <w:sz w:val="20"/>
              </w:rPr>
            </w:pPr>
            <w:r>
              <w:rPr>
                <w:sz w:val="20"/>
              </w:rPr>
              <w:t>Filling stations of petrol, </w:t>
            </w:r>
            <w:r>
              <w:rPr>
                <w:spacing w:val="-2"/>
                <w:sz w:val="20"/>
              </w:rPr>
              <w:t>diesel,</w:t>
            </w:r>
            <w:r>
              <w:rPr>
                <w:sz w:val="20"/>
              </w:rPr>
              <w:tab/>
            </w:r>
            <w:r>
              <w:rPr>
                <w:spacing w:val="-2"/>
                <w:sz w:val="20"/>
              </w:rPr>
              <w:t>compressed </w:t>
            </w:r>
            <w:r>
              <w:rPr>
                <w:sz w:val="20"/>
              </w:rPr>
              <w:t>natural gas stations and/or any other motor vehicle fuel</w:t>
            </w:r>
          </w:p>
        </w:tc>
        <w:tc>
          <w:tcPr>
            <w:tcW w:w="1276" w:type="dxa"/>
          </w:tcPr>
          <w:p>
            <w:pPr>
              <w:pStyle w:val="TableParagraph"/>
              <w:spacing w:before="94"/>
              <w:ind w:left="108" w:right="255" w:firstLine="148"/>
              <w:rPr>
                <w:sz w:val="20"/>
              </w:rPr>
            </w:pPr>
            <w:r>
              <w:rPr>
                <w:sz w:val="20"/>
              </w:rPr>
              <w:t>1</w:t>
            </w:r>
            <w:r>
              <w:rPr>
                <w:spacing w:val="40"/>
                <w:sz w:val="20"/>
              </w:rPr>
              <w:t> </w:t>
            </w:r>
            <w:r>
              <w:rPr>
                <w:color w:val="000000"/>
                <w:sz w:val="20"/>
                <w:shd w:fill="FFCCFF" w:color="auto" w:val="clear"/>
              </w:rPr>
              <w:t>or</w:t>
            </w:r>
            <w:r>
              <w:rPr>
                <w:color w:val="000000"/>
                <w:spacing w:val="63"/>
                <w:sz w:val="20"/>
                <w:shd w:fill="FFCCFF" w:color="auto" w:val="clear"/>
              </w:rPr>
              <w:t> </w:t>
            </w:r>
            <w:r>
              <w:rPr>
                <w:color w:val="000000"/>
                <w:sz w:val="20"/>
                <w:shd w:fill="FFCCFF" w:color="auto" w:val="clear"/>
              </w:rPr>
              <w:t>2</w:t>
            </w:r>
            <w:r>
              <w:rPr>
                <w:color w:val="000000"/>
                <w:sz w:val="20"/>
              </w:rPr>
              <w:t> </w:t>
            </w:r>
            <w:r>
              <w:rPr>
                <w:color w:val="000000"/>
                <w:spacing w:val="-6"/>
                <w:sz w:val="20"/>
                <w:shd w:fill="FFCCFF" w:color="auto" w:val="clear"/>
              </w:rPr>
              <w:t>or</w:t>
            </w:r>
            <w:r>
              <w:rPr>
                <w:color w:val="000000"/>
                <w:spacing w:val="-6"/>
                <w:sz w:val="20"/>
              </w:rPr>
              <w:t> </w:t>
            </w:r>
            <w:r>
              <w:rPr>
                <w:color w:val="000000"/>
                <w:spacing w:val="-2"/>
                <w:sz w:val="20"/>
                <w:shd w:fill="FFCCFF" w:color="auto" w:val="clear"/>
              </w:rPr>
              <w:t>3,</w:t>
            </w:r>
            <w:r>
              <w:rPr>
                <w:color w:val="000000"/>
                <w:spacing w:val="-2"/>
                <w:sz w:val="20"/>
              </w:rPr>
              <w:t>26,16</w:t>
            </w:r>
          </w:p>
        </w:tc>
        <w:tc>
          <w:tcPr>
            <w:tcW w:w="1209" w:type="dxa"/>
          </w:tcPr>
          <w:p>
            <w:pPr>
              <w:pStyle w:val="TableParagraph"/>
              <w:spacing w:before="94"/>
              <w:ind w:left="258"/>
              <w:rPr>
                <w:sz w:val="20"/>
              </w:rPr>
            </w:pPr>
            <w:r>
              <w:rPr>
                <w:sz w:val="20"/>
              </w:rPr>
              <w:t>1</w:t>
            </w:r>
            <w:r>
              <w:rPr>
                <w:spacing w:val="79"/>
                <w:w w:val="150"/>
                <w:sz w:val="20"/>
              </w:rPr>
              <w:t> </w:t>
            </w:r>
            <w:r>
              <w:rPr>
                <w:color w:val="000000"/>
                <w:sz w:val="20"/>
                <w:shd w:fill="FFCCFF" w:color="auto" w:val="clear"/>
              </w:rPr>
              <w:t>or</w:t>
            </w:r>
            <w:r>
              <w:rPr>
                <w:color w:val="000000"/>
                <w:spacing w:val="24"/>
                <w:sz w:val="20"/>
                <w:shd w:fill="FFCCFF" w:color="auto" w:val="clear"/>
              </w:rPr>
              <w:t>  </w:t>
            </w:r>
            <w:r>
              <w:rPr>
                <w:color w:val="000000"/>
                <w:spacing w:val="-10"/>
                <w:sz w:val="20"/>
                <w:shd w:fill="FFCCFF" w:color="auto" w:val="clear"/>
              </w:rPr>
              <w:t>2</w:t>
            </w:r>
          </w:p>
          <w:p>
            <w:pPr>
              <w:pStyle w:val="TableParagraph"/>
              <w:spacing w:line="234" w:lineRule="exact" w:before="1"/>
              <w:ind w:left="109"/>
              <w:rPr>
                <w:sz w:val="20"/>
              </w:rPr>
            </w:pPr>
            <w:r>
              <w:rPr>
                <w:color w:val="000000"/>
                <w:sz w:val="20"/>
                <w:shd w:fill="FFCCFF" w:color="auto" w:val="clear"/>
              </w:rPr>
              <w:t>or</w:t>
            </w:r>
            <w:r>
              <w:rPr>
                <w:color w:val="000000"/>
                <w:spacing w:val="49"/>
                <w:sz w:val="20"/>
                <w:shd w:fill="FFCCFF" w:color="auto" w:val="clear"/>
              </w:rPr>
              <w:t> </w:t>
            </w:r>
            <w:r>
              <w:rPr>
                <w:color w:val="000000"/>
                <w:sz w:val="20"/>
                <w:shd w:fill="FFCCFF" w:color="auto" w:val="clear"/>
              </w:rPr>
              <w:t>3</w:t>
            </w:r>
            <w:r>
              <w:rPr>
                <w:color w:val="000000"/>
                <w:sz w:val="20"/>
              </w:rPr>
              <w:t>,</w:t>
            </w:r>
            <w:r>
              <w:rPr>
                <w:color w:val="000000"/>
                <w:spacing w:val="51"/>
                <w:sz w:val="20"/>
              </w:rPr>
              <w:t> </w:t>
            </w:r>
            <w:r>
              <w:rPr>
                <w:color w:val="000000"/>
                <w:spacing w:val="-5"/>
                <w:sz w:val="20"/>
              </w:rPr>
              <w:t>26,</w:t>
            </w:r>
          </w:p>
          <w:p>
            <w:pPr>
              <w:pStyle w:val="TableParagraph"/>
              <w:spacing w:line="234" w:lineRule="exact"/>
              <w:ind w:left="109"/>
              <w:rPr>
                <w:sz w:val="20"/>
              </w:rPr>
            </w:pPr>
            <w:r>
              <w:rPr>
                <w:spacing w:val="5"/>
                <w:sz w:val="20"/>
              </w:rPr>
              <w:t>16</w:t>
            </w:r>
          </w:p>
        </w:tc>
        <w:tc>
          <w:tcPr>
            <w:tcW w:w="1199" w:type="dxa"/>
          </w:tcPr>
          <w:p>
            <w:pPr>
              <w:pStyle w:val="TableParagraph"/>
              <w:spacing w:before="94"/>
              <w:ind w:left="482"/>
              <w:rPr>
                <w:sz w:val="20"/>
              </w:rPr>
            </w:pPr>
            <w:r>
              <w:rPr>
                <w:spacing w:val="-5"/>
                <w:sz w:val="20"/>
              </w:rPr>
              <w:t>26,</w:t>
            </w:r>
          </w:p>
          <w:p>
            <w:pPr>
              <w:pStyle w:val="TableParagraph"/>
              <w:spacing w:before="1"/>
              <w:ind w:left="110"/>
              <w:rPr>
                <w:sz w:val="20"/>
              </w:rPr>
            </w:pPr>
            <w:r>
              <w:rPr>
                <w:spacing w:val="5"/>
                <w:sz w:val="20"/>
              </w:rPr>
              <w:t>16</w:t>
            </w:r>
          </w:p>
        </w:tc>
        <w:tc>
          <w:tcPr>
            <w:tcW w:w="2196" w:type="dxa"/>
          </w:tcPr>
          <w:p>
            <w:pPr>
              <w:pStyle w:val="TableParagraph"/>
              <w:tabs>
                <w:tab w:pos="1148" w:val="left" w:leader="none"/>
              </w:tabs>
              <w:spacing w:before="94"/>
              <w:ind w:left="111" w:right="849"/>
              <w:rPr>
                <w:sz w:val="20"/>
              </w:rPr>
            </w:pPr>
            <w:r>
              <w:rPr>
                <w:sz w:val="20"/>
              </w:rPr>
              <w:t>In</w:t>
            </w:r>
            <w:r>
              <w:rPr>
                <w:spacing w:val="80"/>
                <w:sz w:val="20"/>
              </w:rPr>
              <w:t> </w:t>
            </w:r>
            <w:r>
              <w:rPr>
                <w:sz w:val="20"/>
              </w:rPr>
              <w:t>case</w:t>
            </w:r>
            <w:r>
              <w:rPr>
                <w:spacing w:val="80"/>
                <w:sz w:val="20"/>
              </w:rPr>
              <w:t> </w:t>
            </w:r>
            <w:r>
              <w:rPr>
                <w:sz w:val="20"/>
              </w:rPr>
              <w:t>of </w:t>
            </w:r>
            <w:r>
              <w:rPr>
                <w:spacing w:val="-2"/>
                <w:sz w:val="20"/>
              </w:rPr>
              <w:t>existing petrol</w:t>
            </w:r>
            <w:r>
              <w:rPr>
                <w:spacing w:val="40"/>
                <w:sz w:val="20"/>
              </w:rPr>
              <w:t> </w:t>
            </w:r>
            <w:r>
              <w:rPr>
                <w:spacing w:val="-2"/>
                <w:sz w:val="20"/>
              </w:rPr>
              <w:t>pump, criteria</w:t>
            </w:r>
            <w:r>
              <w:rPr>
                <w:sz w:val="20"/>
              </w:rPr>
              <w:tab/>
            </w:r>
            <w:r>
              <w:rPr>
                <w:spacing w:val="-6"/>
                <w:sz w:val="20"/>
              </w:rPr>
              <w:t>of </w:t>
            </w:r>
            <w:r>
              <w:rPr>
                <w:sz w:val="20"/>
              </w:rPr>
              <w:t>road</w:t>
            </w:r>
            <w:r>
              <w:rPr>
                <w:spacing w:val="80"/>
                <w:sz w:val="20"/>
              </w:rPr>
              <w:t> </w:t>
            </w:r>
            <w:r>
              <w:rPr>
                <w:sz w:val="20"/>
              </w:rPr>
              <w:t>width may</w:t>
            </w:r>
            <w:r>
              <w:rPr>
                <w:spacing w:val="40"/>
                <w:sz w:val="20"/>
              </w:rPr>
              <w:t> </w:t>
            </w:r>
            <w:r>
              <w:rPr>
                <w:sz w:val="20"/>
              </w:rPr>
              <w:t>not</w:t>
            </w:r>
            <w:r>
              <w:rPr>
                <w:spacing w:val="40"/>
                <w:sz w:val="20"/>
              </w:rPr>
              <w:t> </w:t>
            </w:r>
            <w:r>
              <w:rPr>
                <w:sz w:val="20"/>
              </w:rPr>
              <w:t>be </w:t>
            </w:r>
            <w:r>
              <w:rPr>
                <w:spacing w:val="-2"/>
                <w:sz w:val="20"/>
              </w:rPr>
              <w:t>insisted</w:t>
            </w:r>
          </w:p>
        </w:tc>
      </w:tr>
      <w:tr>
        <w:trPr>
          <w:trHeight w:val="662" w:hRule="atLeast"/>
        </w:trPr>
        <w:tc>
          <w:tcPr>
            <w:tcW w:w="1260" w:type="dxa"/>
          </w:tcPr>
          <w:p>
            <w:pPr>
              <w:pStyle w:val="TableParagraph"/>
              <w:spacing w:before="95"/>
              <w:ind w:left="107"/>
              <w:rPr>
                <w:sz w:val="20"/>
              </w:rPr>
            </w:pPr>
            <w:r>
              <w:rPr>
                <w:spacing w:val="5"/>
                <w:sz w:val="20"/>
              </w:rPr>
              <w:t>72</w:t>
            </w:r>
          </w:p>
        </w:tc>
        <w:tc>
          <w:tcPr>
            <w:tcW w:w="2856" w:type="dxa"/>
          </w:tcPr>
          <w:p>
            <w:pPr>
              <w:pStyle w:val="TableParagraph"/>
              <w:tabs>
                <w:tab w:pos="2399" w:val="left" w:leader="none"/>
              </w:tabs>
              <w:spacing w:before="95"/>
              <w:ind w:left="108" w:right="104"/>
              <w:rPr>
                <w:sz w:val="20"/>
              </w:rPr>
            </w:pPr>
            <w:r>
              <w:rPr>
                <w:spacing w:val="-2"/>
                <w:sz w:val="20"/>
              </w:rPr>
              <w:t>Manufacturing</w:t>
            </w:r>
            <w:r>
              <w:rPr>
                <w:sz w:val="20"/>
              </w:rPr>
              <w:tab/>
            </w:r>
            <w:r>
              <w:rPr>
                <w:spacing w:val="-4"/>
                <w:sz w:val="20"/>
              </w:rPr>
              <w:t>not </w:t>
            </w:r>
            <w:r>
              <w:rPr>
                <w:sz w:val="20"/>
              </w:rPr>
              <w:t>classified elsewhere</w:t>
            </w:r>
          </w:p>
        </w:tc>
        <w:tc>
          <w:tcPr>
            <w:tcW w:w="1276" w:type="dxa"/>
          </w:tcPr>
          <w:p>
            <w:pPr>
              <w:pStyle w:val="TableParagraph"/>
              <w:spacing w:before="95"/>
              <w:ind w:left="108"/>
              <w:rPr>
                <w:sz w:val="20"/>
              </w:rPr>
            </w:pPr>
            <w:r>
              <w:rPr>
                <w:spacing w:val="5"/>
                <w:sz w:val="20"/>
              </w:rPr>
              <w:t>NP</w:t>
            </w:r>
          </w:p>
        </w:tc>
        <w:tc>
          <w:tcPr>
            <w:tcW w:w="1209" w:type="dxa"/>
          </w:tcPr>
          <w:p>
            <w:pPr>
              <w:pStyle w:val="TableParagraph"/>
              <w:spacing w:before="95"/>
              <w:ind w:left="109" w:right="932"/>
              <w:rPr>
                <w:sz w:val="20"/>
              </w:rPr>
            </w:pPr>
            <w:r>
              <w:rPr>
                <w:spacing w:val="-10"/>
                <w:sz w:val="20"/>
              </w:rPr>
              <w:t>N P</w:t>
            </w:r>
          </w:p>
        </w:tc>
        <w:tc>
          <w:tcPr>
            <w:tcW w:w="1199" w:type="dxa"/>
          </w:tcPr>
          <w:p>
            <w:pPr>
              <w:pStyle w:val="TableParagraph"/>
              <w:spacing w:before="95"/>
              <w:ind w:left="556"/>
              <w:rPr>
                <w:sz w:val="20"/>
              </w:rPr>
            </w:pPr>
            <w:r>
              <w:rPr>
                <w:spacing w:val="-5"/>
                <w:sz w:val="20"/>
              </w:rPr>
              <w:t>25</w:t>
            </w:r>
          </w:p>
        </w:tc>
        <w:tc>
          <w:tcPr>
            <w:tcW w:w="2196" w:type="dxa"/>
          </w:tcPr>
          <w:p>
            <w:pPr>
              <w:pStyle w:val="TableParagraph"/>
              <w:rPr>
                <w:rFonts w:ascii="Times New Roman"/>
                <w:sz w:val="18"/>
              </w:rPr>
            </w:pPr>
          </w:p>
        </w:tc>
      </w:tr>
      <w:tr>
        <w:trPr>
          <w:trHeight w:val="661" w:hRule="atLeast"/>
        </w:trPr>
        <w:tc>
          <w:tcPr>
            <w:tcW w:w="1260" w:type="dxa"/>
          </w:tcPr>
          <w:p>
            <w:pPr>
              <w:pStyle w:val="TableParagraph"/>
              <w:spacing w:before="94"/>
              <w:ind w:left="107"/>
              <w:rPr>
                <w:sz w:val="20"/>
              </w:rPr>
            </w:pPr>
            <w:r>
              <w:rPr>
                <w:spacing w:val="5"/>
                <w:sz w:val="20"/>
              </w:rPr>
              <w:t>73</w:t>
            </w:r>
          </w:p>
        </w:tc>
        <w:tc>
          <w:tcPr>
            <w:tcW w:w="2856" w:type="dxa"/>
          </w:tcPr>
          <w:p>
            <w:pPr>
              <w:pStyle w:val="TableParagraph"/>
              <w:spacing w:before="94"/>
              <w:ind w:left="108" w:right="526"/>
              <w:rPr>
                <w:sz w:val="20"/>
              </w:rPr>
            </w:pPr>
            <w:r>
              <w:rPr>
                <w:spacing w:val="-2"/>
                <w:sz w:val="20"/>
              </w:rPr>
              <w:t>Manufacturing, </w:t>
            </w:r>
            <w:r>
              <w:rPr>
                <w:sz w:val="20"/>
              </w:rPr>
              <w:t>processing &amp; usage of</w:t>
            </w: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rPr>
                <w:rFonts w:ascii="Times New Roman"/>
                <w:sz w:val="18"/>
              </w:rPr>
            </w:pPr>
          </w:p>
        </w:tc>
      </w:tr>
      <w:tr>
        <w:trPr>
          <w:trHeight w:val="1269" w:hRule="atLeast"/>
        </w:trPr>
        <w:tc>
          <w:tcPr>
            <w:tcW w:w="1260" w:type="dxa"/>
          </w:tcPr>
          <w:p>
            <w:pPr>
              <w:pStyle w:val="TableParagraph"/>
              <w:rPr>
                <w:rFonts w:ascii="Times New Roman"/>
                <w:sz w:val="18"/>
              </w:rPr>
            </w:pPr>
          </w:p>
        </w:tc>
        <w:tc>
          <w:tcPr>
            <w:tcW w:w="2856" w:type="dxa"/>
          </w:tcPr>
          <w:p>
            <w:pPr>
              <w:pStyle w:val="TableParagraph"/>
              <w:tabs>
                <w:tab w:pos="2154" w:val="left" w:leader="none"/>
              </w:tabs>
              <w:spacing w:before="94"/>
              <w:ind w:left="108" w:right="109"/>
              <w:rPr>
                <w:sz w:val="20"/>
              </w:rPr>
            </w:pPr>
            <w:r>
              <w:rPr>
                <w:sz w:val="20"/>
              </w:rPr>
              <w:t>(a)Chemicals,</w:t>
            </w:r>
            <w:r>
              <w:rPr>
                <w:spacing w:val="40"/>
                <w:sz w:val="20"/>
              </w:rPr>
              <w:t> </w:t>
            </w:r>
            <w:r>
              <w:rPr>
                <w:sz w:val="20"/>
              </w:rPr>
              <w:t>fertilizers, </w:t>
            </w:r>
            <w:r>
              <w:rPr>
                <w:spacing w:val="-2"/>
                <w:sz w:val="20"/>
              </w:rPr>
              <w:t>gases,</w:t>
            </w:r>
            <w:r>
              <w:rPr>
                <w:sz w:val="20"/>
              </w:rPr>
              <w:tab/>
            </w:r>
            <w:r>
              <w:rPr>
                <w:spacing w:val="-2"/>
                <w:sz w:val="20"/>
              </w:rPr>
              <w:t>meta</w:t>
            </w:r>
            <w:r>
              <w:rPr>
                <w:spacing w:val="-2"/>
                <w:sz w:val="20"/>
              </w:rPr>
              <w:t>l</w:t>
            </w:r>
          </w:p>
          <w:p>
            <w:pPr>
              <w:pStyle w:val="TableParagraph"/>
              <w:tabs>
                <w:tab w:pos="1992" w:val="left" w:leader="none"/>
              </w:tabs>
              <w:spacing w:before="1"/>
              <w:ind w:left="108" w:right="109"/>
              <w:rPr>
                <w:sz w:val="20"/>
              </w:rPr>
            </w:pPr>
            <w:r>
              <w:rPr>
                <w:sz w:val="20"/>
              </w:rPr>
              <w:t>compounds,</w:t>
            </w:r>
            <w:r>
              <w:rPr>
                <w:spacing w:val="40"/>
                <w:sz w:val="20"/>
              </w:rPr>
              <w:t> </w:t>
            </w:r>
            <w:r>
              <w:rPr>
                <w:sz w:val="20"/>
              </w:rPr>
              <w:t>soap,</w:t>
            </w:r>
            <w:r>
              <w:rPr>
                <w:spacing w:val="40"/>
                <w:sz w:val="20"/>
              </w:rPr>
              <w:t> </w:t>
            </w:r>
            <w:r>
              <w:rPr>
                <w:sz w:val="20"/>
              </w:rPr>
              <w:t>soda, </w:t>
            </w:r>
            <w:r>
              <w:rPr>
                <w:spacing w:val="-2"/>
                <w:sz w:val="20"/>
              </w:rPr>
              <w:t>acids,</w:t>
            </w:r>
            <w:r>
              <w:rPr>
                <w:sz w:val="20"/>
              </w:rPr>
              <w:tab/>
            </w:r>
            <w:r>
              <w:rPr>
                <w:spacing w:val="-2"/>
                <w:sz w:val="20"/>
              </w:rPr>
              <w:t>starch,</w:t>
            </w:r>
          </w:p>
          <w:p>
            <w:pPr>
              <w:pStyle w:val="TableParagraph"/>
              <w:tabs>
                <w:tab w:pos="2137" w:val="left" w:leader="none"/>
              </w:tabs>
              <w:spacing w:line="215" w:lineRule="exact"/>
              <w:ind w:left="108"/>
              <w:rPr>
                <w:sz w:val="20"/>
              </w:rPr>
            </w:pPr>
            <w:r>
              <w:rPr>
                <w:spacing w:val="-2"/>
                <w:sz w:val="20"/>
              </w:rPr>
              <w:t>automobiles,</w:t>
            </w:r>
            <w:r>
              <w:rPr>
                <w:sz w:val="20"/>
              </w:rPr>
              <w:tab/>
            </w:r>
            <w:r>
              <w:rPr>
                <w:spacing w:val="-2"/>
                <w:sz w:val="20"/>
              </w:rPr>
              <w:t>boiler</w:t>
            </w:r>
          </w:p>
        </w:tc>
        <w:tc>
          <w:tcPr>
            <w:tcW w:w="1276" w:type="dxa"/>
          </w:tcPr>
          <w:p>
            <w:pPr>
              <w:pStyle w:val="TableParagraph"/>
              <w:spacing w:before="94"/>
              <w:ind w:left="108"/>
              <w:rPr>
                <w:sz w:val="20"/>
              </w:rPr>
            </w:pPr>
            <w:r>
              <w:rPr>
                <w:spacing w:val="5"/>
                <w:sz w:val="20"/>
              </w:rPr>
              <w:t>NP</w:t>
            </w:r>
          </w:p>
        </w:tc>
        <w:tc>
          <w:tcPr>
            <w:tcW w:w="1209" w:type="dxa"/>
          </w:tcPr>
          <w:p>
            <w:pPr>
              <w:pStyle w:val="TableParagraph"/>
              <w:spacing w:before="94"/>
              <w:ind w:left="109" w:right="932"/>
              <w:rPr>
                <w:sz w:val="20"/>
              </w:rPr>
            </w:pPr>
            <w:r>
              <w:rPr>
                <w:spacing w:val="-10"/>
                <w:sz w:val="20"/>
              </w:rPr>
              <w:t>N P</w:t>
            </w:r>
          </w:p>
        </w:tc>
        <w:tc>
          <w:tcPr>
            <w:tcW w:w="1199" w:type="dxa"/>
          </w:tcPr>
          <w:p>
            <w:pPr>
              <w:pStyle w:val="TableParagraph"/>
              <w:spacing w:before="94"/>
              <w:ind w:left="110"/>
              <w:rPr>
                <w:sz w:val="20"/>
              </w:rPr>
            </w:pPr>
            <w:r>
              <w:rPr>
                <w:spacing w:val="-2"/>
                <w:sz w:val="20"/>
              </w:rPr>
              <w:t>25,26,2</w:t>
            </w:r>
          </w:p>
          <w:p>
            <w:pPr>
              <w:pStyle w:val="TableParagraph"/>
              <w:spacing w:before="1"/>
              <w:ind w:left="110"/>
              <w:rPr>
                <w:sz w:val="20"/>
              </w:rPr>
            </w:pPr>
            <w:r>
              <w:rPr>
                <w:spacing w:val="-10"/>
                <w:sz w:val="20"/>
              </w:rPr>
              <w:t>7</w:t>
            </w:r>
          </w:p>
        </w:tc>
        <w:tc>
          <w:tcPr>
            <w:tcW w:w="2196" w:type="dxa"/>
          </w:tcPr>
          <w:p>
            <w:pPr>
              <w:pStyle w:val="TableParagraph"/>
              <w:rPr>
                <w:rFonts w:ascii="Times New Roman"/>
                <w:sz w:val="18"/>
              </w:rPr>
            </w:pPr>
          </w:p>
        </w:tc>
      </w:tr>
    </w:tbl>
    <w:p>
      <w:pPr>
        <w:pStyle w:val="TableParagraph"/>
        <w:spacing w:after="0"/>
        <w:rPr>
          <w:rFonts w:ascii="Times New Roman"/>
          <w:sz w:val="18"/>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5827" w:hRule="atLeast"/>
        </w:trPr>
        <w:tc>
          <w:tcPr>
            <w:tcW w:w="1260" w:type="dxa"/>
          </w:tcPr>
          <w:p>
            <w:pPr>
              <w:pStyle w:val="TableParagraph"/>
              <w:rPr>
                <w:rFonts w:ascii="Times New Roman"/>
                <w:sz w:val="18"/>
              </w:rPr>
            </w:pPr>
          </w:p>
        </w:tc>
        <w:tc>
          <w:tcPr>
            <w:tcW w:w="2856" w:type="dxa"/>
          </w:tcPr>
          <w:p>
            <w:pPr>
              <w:pStyle w:val="TableParagraph"/>
              <w:tabs>
                <w:tab w:pos="1690" w:val="left" w:leader="none"/>
              </w:tabs>
              <w:ind w:left="108" w:right="109"/>
              <w:jc w:val="both"/>
              <w:rPr>
                <w:sz w:val="20"/>
              </w:rPr>
            </w:pPr>
            <w:r>
              <w:rPr>
                <w:sz w:val="20"/>
              </w:rPr>
              <w:t>works, metals, ceramics, </w:t>
            </w:r>
            <w:r>
              <w:rPr>
                <w:spacing w:val="-2"/>
                <w:sz w:val="20"/>
              </w:rPr>
              <w:t>asphalt,</w:t>
            </w:r>
            <w:r>
              <w:rPr>
                <w:sz w:val="20"/>
              </w:rPr>
              <w:tab/>
            </w:r>
            <w:r>
              <w:rPr>
                <w:spacing w:val="-2"/>
                <w:sz w:val="20"/>
              </w:rPr>
              <w:t>ammonia,</w:t>
            </w:r>
          </w:p>
          <w:p>
            <w:pPr>
              <w:pStyle w:val="TableParagraph"/>
              <w:tabs>
                <w:tab w:pos="1994" w:val="left" w:leader="none"/>
              </w:tabs>
              <w:spacing w:line="234" w:lineRule="exact"/>
              <w:ind w:left="108"/>
              <w:jc w:val="both"/>
              <w:rPr>
                <w:sz w:val="20"/>
              </w:rPr>
            </w:pPr>
            <w:r>
              <w:rPr>
                <w:spacing w:val="-2"/>
                <w:sz w:val="20"/>
              </w:rPr>
              <w:t>alcohol,</w:t>
            </w:r>
            <w:r>
              <w:rPr>
                <w:sz w:val="20"/>
              </w:rPr>
              <w:tab/>
            </w:r>
            <w:r>
              <w:rPr>
                <w:spacing w:val="-2"/>
                <w:sz w:val="20"/>
              </w:rPr>
              <w:t>leather</w:t>
            </w:r>
          </w:p>
          <w:p>
            <w:pPr>
              <w:pStyle w:val="TableParagraph"/>
              <w:tabs>
                <w:tab w:pos="2076" w:val="left" w:leader="none"/>
              </w:tabs>
              <w:spacing w:line="234" w:lineRule="exact"/>
              <w:ind w:left="108"/>
              <w:jc w:val="both"/>
              <w:rPr>
                <w:sz w:val="20"/>
              </w:rPr>
            </w:pPr>
            <w:r>
              <w:rPr>
                <w:spacing w:val="-2"/>
                <w:sz w:val="20"/>
              </w:rPr>
              <w:t>processing</w:t>
            </w:r>
            <w:r>
              <w:rPr>
                <w:sz w:val="20"/>
              </w:rPr>
              <w:tab/>
            </w:r>
            <w:r>
              <w:rPr>
                <w:spacing w:val="-2"/>
                <w:sz w:val="20"/>
              </w:rPr>
              <w:t>,metal</w:t>
            </w:r>
          </w:p>
          <w:p>
            <w:pPr>
              <w:pStyle w:val="TableParagraph"/>
              <w:tabs>
                <w:tab w:pos="1846" w:val="left" w:leader="none"/>
                <w:tab w:pos="2001" w:val="left" w:leader="none"/>
                <w:tab w:pos="2219" w:val="left" w:leader="none"/>
              </w:tabs>
              <w:ind w:left="108" w:right="107"/>
              <w:jc w:val="both"/>
              <w:rPr>
                <w:sz w:val="20"/>
              </w:rPr>
            </w:pPr>
            <w:r>
              <w:rPr>
                <w:spacing w:val="-2"/>
                <w:sz w:val="20"/>
              </w:rPr>
              <w:t>processing,</w:t>
            </w:r>
            <w:r>
              <w:rPr>
                <w:sz w:val="20"/>
              </w:rPr>
              <w:tab/>
              <w:tab/>
            </w:r>
            <w:r>
              <w:rPr>
                <w:spacing w:val="-2"/>
                <w:sz w:val="20"/>
              </w:rPr>
              <w:t>paints, </w:t>
            </w:r>
            <w:r>
              <w:rPr>
                <w:sz w:val="20"/>
              </w:rPr>
              <w:t>varnish, turpentine, dyestuff, tar products, </w:t>
            </w:r>
            <w:r>
              <w:rPr>
                <w:spacing w:val="-2"/>
                <w:sz w:val="20"/>
              </w:rPr>
              <w:t>paraffin,</w:t>
            </w:r>
            <w:r>
              <w:rPr>
                <w:sz w:val="20"/>
              </w:rPr>
              <w:tab/>
            </w:r>
            <w:r>
              <w:rPr>
                <w:spacing w:val="-2"/>
                <w:sz w:val="20"/>
              </w:rPr>
              <w:t>gypsum, </w:t>
            </w:r>
            <w:r>
              <w:rPr>
                <w:sz w:val="20"/>
              </w:rPr>
              <w:t>plaster</w:t>
            </w:r>
            <w:r>
              <w:rPr>
                <w:spacing w:val="80"/>
                <w:sz w:val="20"/>
              </w:rPr>
              <w:t> </w:t>
            </w:r>
            <w:r>
              <w:rPr>
                <w:sz w:val="20"/>
              </w:rPr>
              <w:t>or</w:t>
            </w:r>
            <w:r>
              <w:rPr>
                <w:spacing w:val="80"/>
                <w:sz w:val="20"/>
              </w:rPr>
              <w:t> </w:t>
            </w:r>
            <w:r>
              <w:rPr>
                <w:sz w:val="20"/>
              </w:rPr>
              <w:t>plaster</w:t>
            </w:r>
            <w:r>
              <w:rPr>
                <w:spacing w:val="80"/>
                <w:sz w:val="20"/>
              </w:rPr>
              <w:t> </w:t>
            </w:r>
            <w:r>
              <w:rPr>
                <w:sz w:val="20"/>
              </w:rPr>
              <w:t>of paris manufacture; </w:t>
            </w:r>
            <w:r>
              <w:rPr>
                <w:spacing w:val="-2"/>
                <w:sz w:val="20"/>
              </w:rPr>
              <w:t>photographic</w:t>
            </w:r>
            <w:r>
              <w:rPr>
                <w:sz w:val="20"/>
              </w:rPr>
              <w:tab/>
              <w:tab/>
              <w:tab/>
            </w:r>
            <w:r>
              <w:rPr>
                <w:spacing w:val="-2"/>
                <w:sz w:val="20"/>
              </w:rPr>
              <w:t>films</w:t>
            </w:r>
          </w:p>
          <w:p>
            <w:pPr>
              <w:pStyle w:val="TableParagraph"/>
              <w:tabs>
                <w:tab w:pos="2294" w:val="left" w:leader="none"/>
              </w:tabs>
              <w:spacing w:before="1"/>
              <w:ind w:left="108"/>
              <w:jc w:val="both"/>
              <w:rPr>
                <w:sz w:val="20"/>
              </w:rPr>
            </w:pPr>
            <w:r>
              <w:rPr>
                <w:spacing w:val="-2"/>
                <w:sz w:val="20"/>
              </w:rPr>
              <w:t>manufacture,</w:t>
            </w:r>
            <w:r>
              <w:rPr>
                <w:sz w:val="20"/>
              </w:rPr>
              <w:tab/>
            </w:r>
            <w:r>
              <w:rPr>
                <w:spacing w:val="-4"/>
                <w:sz w:val="20"/>
              </w:rPr>
              <w:t>lime</w:t>
            </w:r>
          </w:p>
          <w:p>
            <w:pPr>
              <w:pStyle w:val="TableParagraph"/>
              <w:tabs>
                <w:tab w:pos="2527" w:val="left" w:leader="none"/>
              </w:tabs>
              <w:ind w:left="108" w:right="104"/>
              <w:jc w:val="both"/>
              <w:rPr>
                <w:sz w:val="20"/>
              </w:rPr>
            </w:pPr>
            <w:r>
              <w:rPr>
                <w:sz w:val="20"/>
              </w:rPr>
              <w:t>manufacture, match manufacture pesticides, organic industry, </w:t>
            </w:r>
            <w:r>
              <w:rPr>
                <w:spacing w:val="9"/>
                <w:sz w:val="20"/>
              </w:rPr>
              <w:t>match- </w:t>
            </w:r>
            <w:r>
              <w:rPr>
                <w:sz w:val="20"/>
              </w:rPr>
              <w:t>sticks, fat rendering, fat tallow, grease or lard </w:t>
            </w:r>
            <w:r>
              <w:rPr>
                <w:spacing w:val="-2"/>
                <w:sz w:val="20"/>
              </w:rPr>
              <w:t>refining</w:t>
            </w:r>
            <w:r>
              <w:rPr>
                <w:sz w:val="20"/>
              </w:rPr>
              <w:tab/>
            </w:r>
            <w:r>
              <w:rPr>
                <w:spacing w:val="-5"/>
                <w:sz w:val="20"/>
              </w:rPr>
              <w:t>or</w:t>
            </w:r>
          </w:p>
          <w:p>
            <w:pPr>
              <w:pStyle w:val="TableParagraph"/>
              <w:ind w:left="108" w:right="107"/>
              <w:jc w:val="both"/>
              <w:rPr>
                <w:sz w:val="20"/>
              </w:rPr>
            </w:pPr>
            <w:r>
              <w:rPr>
                <w:sz w:val="20"/>
              </w:rPr>
              <w:t>manufacturing,</w:t>
            </w:r>
            <w:r>
              <w:rPr>
                <w:spacing w:val="80"/>
                <w:w w:val="150"/>
                <w:sz w:val="20"/>
              </w:rPr>
              <w:t> </w:t>
            </w:r>
            <w:r>
              <w:rPr>
                <w:sz w:val="20"/>
              </w:rPr>
              <w:t>gelatin</w:t>
            </w:r>
            <w:r>
              <w:rPr>
                <w:spacing w:val="80"/>
                <w:sz w:val="20"/>
              </w:rPr>
              <w:t> </w:t>
            </w:r>
            <w:r>
              <w:rPr>
                <w:sz w:val="20"/>
              </w:rPr>
              <w:t>or glue </w:t>
            </w:r>
            <w:r>
              <w:rPr>
                <w:spacing w:val="9"/>
                <w:sz w:val="20"/>
              </w:rPr>
              <w:t>manufacture,</w:t>
            </w:r>
            <w:r>
              <w:rPr>
                <w:spacing w:val="9"/>
                <w:sz w:val="20"/>
              </w:rPr>
              <w:t> </w:t>
            </w:r>
            <w:r>
              <w:rPr>
                <w:sz w:val="20"/>
              </w:rPr>
              <w:t>or processes, involving recovery from fish or animal offal.</w:t>
            </w:r>
          </w:p>
          <w:p>
            <w:pPr>
              <w:pStyle w:val="TableParagraph"/>
              <w:spacing w:before="96"/>
              <w:ind w:left="108"/>
              <w:jc w:val="both"/>
              <w:rPr>
                <w:sz w:val="20"/>
              </w:rPr>
            </w:pPr>
            <w:r>
              <w:rPr>
                <w:sz w:val="20"/>
              </w:rPr>
              <w:t>pyroxylin</w:t>
            </w:r>
            <w:r>
              <w:rPr>
                <w:spacing w:val="54"/>
                <w:w w:val="150"/>
                <w:sz w:val="20"/>
              </w:rPr>
              <w:t> </w:t>
            </w:r>
            <w:r>
              <w:rPr>
                <w:spacing w:val="-2"/>
                <w:sz w:val="20"/>
              </w:rPr>
              <w:t>manufacture;</w:t>
            </w: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rPr>
                <w:rFonts w:ascii="Times New Roman"/>
                <w:sz w:val="18"/>
              </w:rPr>
            </w:pPr>
          </w:p>
        </w:tc>
      </w:tr>
      <w:tr>
        <w:trPr>
          <w:trHeight w:val="1365" w:hRule="atLeast"/>
        </w:trPr>
        <w:tc>
          <w:tcPr>
            <w:tcW w:w="1260" w:type="dxa"/>
          </w:tcPr>
          <w:p>
            <w:pPr>
              <w:pStyle w:val="TableParagraph"/>
              <w:rPr>
                <w:rFonts w:ascii="Times New Roman"/>
                <w:sz w:val="18"/>
              </w:rPr>
            </w:pPr>
          </w:p>
        </w:tc>
        <w:tc>
          <w:tcPr>
            <w:tcW w:w="2856" w:type="dxa"/>
          </w:tcPr>
          <w:p>
            <w:pPr>
              <w:pStyle w:val="TableParagraph"/>
              <w:tabs>
                <w:tab w:pos="750" w:val="left" w:leader="none"/>
                <w:tab w:pos="1758" w:val="left" w:leader="none"/>
                <w:tab w:pos="2071" w:val="left" w:leader="none"/>
                <w:tab w:pos="2478" w:val="left" w:leader="none"/>
              </w:tabs>
              <w:spacing w:before="94"/>
              <w:ind w:left="108" w:right="103"/>
              <w:rPr>
                <w:sz w:val="20"/>
              </w:rPr>
            </w:pPr>
            <w:r>
              <w:rPr>
                <w:spacing w:val="-2"/>
                <w:sz w:val="20"/>
              </w:rPr>
              <w:t>(b)Cellulose</w:t>
            </w:r>
            <w:r>
              <w:rPr>
                <w:spacing w:val="80"/>
                <w:sz w:val="20"/>
              </w:rPr>
              <w:t>  </w:t>
            </w:r>
            <w:r>
              <w:rPr>
                <w:spacing w:val="-2"/>
                <w:sz w:val="20"/>
              </w:rPr>
              <w:t>manufacture,</w:t>
            </w:r>
            <w:r>
              <w:rPr>
                <w:spacing w:val="80"/>
                <w:w w:val="150"/>
                <w:sz w:val="20"/>
              </w:rPr>
              <w:t>  </w:t>
            </w:r>
            <w:r>
              <w:rPr>
                <w:spacing w:val="-2"/>
                <w:sz w:val="20"/>
              </w:rPr>
              <w:t>explosives,</w:t>
            </w:r>
            <w:r>
              <w:rPr>
                <w:sz w:val="20"/>
              </w:rPr>
              <w:tab/>
            </w:r>
            <w:r>
              <w:rPr>
                <w:spacing w:val="-2"/>
                <w:sz w:val="20"/>
              </w:rPr>
              <w:t>firework</w:t>
            </w:r>
            <w:r>
              <w:rPr>
                <w:spacing w:val="-2"/>
                <w:sz w:val="20"/>
              </w:rPr>
              <w:t>s</w:t>
            </w:r>
            <w:r>
              <w:rPr>
                <w:spacing w:val="-2"/>
                <w:sz w:val="20"/>
              </w:rPr>
              <w:t> </w:t>
            </w:r>
            <w:r>
              <w:rPr>
                <w:spacing w:val="-4"/>
                <w:sz w:val="20"/>
              </w:rPr>
              <w:t>and</w:t>
            </w:r>
            <w:r>
              <w:rPr>
                <w:sz w:val="20"/>
              </w:rPr>
              <w:tab/>
            </w:r>
            <w:r>
              <w:rPr>
                <w:spacing w:val="-2"/>
                <w:sz w:val="20"/>
              </w:rPr>
              <w:t>petroleum</w:t>
            </w:r>
            <w:r>
              <w:rPr>
                <w:sz w:val="20"/>
              </w:rPr>
              <w:tab/>
              <w:tab/>
            </w:r>
            <w:r>
              <w:rPr>
                <w:spacing w:val="-10"/>
                <w:sz w:val="20"/>
              </w:rPr>
              <w:t>&amp;</w:t>
            </w:r>
            <w:r>
              <w:rPr>
                <w:sz w:val="20"/>
              </w:rPr>
              <w:tab/>
            </w:r>
            <w:r>
              <w:rPr>
                <w:spacing w:val="-4"/>
                <w:sz w:val="20"/>
              </w:rPr>
              <w:t>it</w:t>
            </w:r>
            <w:r>
              <w:rPr>
                <w:spacing w:val="-4"/>
                <w:sz w:val="20"/>
              </w:rPr>
              <w:t>s</w:t>
            </w:r>
            <w:r>
              <w:rPr>
                <w:spacing w:val="-4"/>
                <w:sz w:val="20"/>
              </w:rPr>
              <w:t> </w:t>
            </w:r>
            <w:r>
              <w:rPr>
                <w:sz w:val="20"/>
              </w:rPr>
              <w:t>products</w:t>
            </w:r>
            <w:r>
              <w:rPr>
                <w:spacing w:val="32"/>
                <w:sz w:val="20"/>
              </w:rPr>
              <w:t>  </w:t>
            </w:r>
            <w:r>
              <w:rPr>
                <w:sz w:val="20"/>
              </w:rPr>
              <w:t>(</w:t>
            </w:r>
            <w:r>
              <w:rPr>
                <w:spacing w:val="39"/>
                <w:sz w:val="20"/>
              </w:rPr>
              <w:t> </w:t>
            </w:r>
            <w:r>
              <w:rPr>
                <w:spacing w:val="-2"/>
                <w:sz w:val="20"/>
              </w:rPr>
              <w:t>inflammable)</w:t>
            </w:r>
          </w:p>
        </w:tc>
        <w:tc>
          <w:tcPr>
            <w:tcW w:w="1276" w:type="dxa"/>
          </w:tcPr>
          <w:p>
            <w:pPr>
              <w:pStyle w:val="TableParagraph"/>
              <w:spacing w:before="94"/>
              <w:ind w:left="108"/>
              <w:rPr>
                <w:sz w:val="20"/>
              </w:rPr>
            </w:pPr>
            <w:r>
              <w:rPr>
                <w:spacing w:val="5"/>
                <w:sz w:val="20"/>
              </w:rPr>
              <w:t>NP</w:t>
            </w:r>
          </w:p>
        </w:tc>
        <w:tc>
          <w:tcPr>
            <w:tcW w:w="1209" w:type="dxa"/>
          </w:tcPr>
          <w:p>
            <w:pPr>
              <w:pStyle w:val="TableParagraph"/>
              <w:spacing w:before="94"/>
              <w:ind w:left="109" w:right="932"/>
              <w:rPr>
                <w:sz w:val="20"/>
              </w:rPr>
            </w:pPr>
            <w:r>
              <w:rPr>
                <w:spacing w:val="-10"/>
                <w:sz w:val="20"/>
              </w:rPr>
              <w:t>N P</w:t>
            </w:r>
          </w:p>
        </w:tc>
        <w:tc>
          <w:tcPr>
            <w:tcW w:w="1199" w:type="dxa"/>
          </w:tcPr>
          <w:p>
            <w:pPr>
              <w:pStyle w:val="TableParagraph"/>
              <w:spacing w:before="94"/>
              <w:ind w:left="110"/>
              <w:rPr>
                <w:sz w:val="20"/>
              </w:rPr>
            </w:pPr>
            <w:r>
              <w:rPr>
                <w:spacing w:val="-2"/>
                <w:sz w:val="20"/>
              </w:rPr>
              <w:t>25,26,27</w:t>
            </w:r>
          </w:p>
        </w:tc>
        <w:tc>
          <w:tcPr>
            <w:tcW w:w="2196" w:type="dxa"/>
          </w:tcPr>
          <w:p>
            <w:pPr>
              <w:pStyle w:val="TableParagraph"/>
              <w:rPr>
                <w:rFonts w:ascii="Times New Roman"/>
                <w:sz w:val="18"/>
              </w:rPr>
            </w:pPr>
          </w:p>
        </w:tc>
      </w:tr>
      <w:tr>
        <w:trPr>
          <w:trHeight w:val="1365" w:hRule="atLeast"/>
        </w:trPr>
        <w:tc>
          <w:tcPr>
            <w:tcW w:w="1260" w:type="dxa"/>
          </w:tcPr>
          <w:p>
            <w:pPr>
              <w:pStyle w:val="TableParagraph"/>
              <w:spacing w:before="94"/>
              <w:ind w:left="107"/>
              <w:rPr>
                <w:sz w:val="20"/>
              </w:rPr>
            </w:pPr>
            <w:r>
              <w:rPr>
                <w:spacing w:val="5"/>
                <w:sz w:val="20"/>
              </w:rPr>
              <w:t>74</w:t>
            </w:r>
          </w:p>
        </w:tc>
        <w:tc>
          <w:tcPr>
            <w:tcW w:w="2856" w:type="dxa"/>
          </w:tcPr>
          <w:p>
            <w:pPr>
              <w:pStyle w:val="TableParagraph"/>
              <w:spacing w:before="94"/>
              <w:ind w:left="108"/>
              <w:rPr>
                <w:sz w:val="20"/>
              </w:rPr>
            </w:pPr>
            <w:r>
              <w:rPr>
                <w:sz w:val="20"/>
              </w:rPr>
              <w:t>Ready</w:t>
            </w:r>
            <w:r>
              <w:rPr>
                <w:spacing w:val="45"/>
                <w:sz w:val="20"/>
              </w:rPr>
              <w:t> </w:t>
            </w:r>
            <w:r>
              <w:rPr>
                <w:sz w:val="20"/>
              </w:rPr>
              <w:t>Mix</w:t>
            </w:r>
            <w:r>
              <w:rPr>
                <w:spacing w:val="43"/>
                <w:sz w:val="20"/>
              </w:rPr>
              <w:t> </w:t>
            </w:r>
            <w:r>
              <w:rPr>
                <w:spacing w:val="-4"/>
                <w:sz w:val="20"/>
              </w:rPr>
              <w:t>Plant</w:t>
            </w:r>
          </w:p>
        </w:tc>
        <w:tc>
          <w:tcPr>
            <w:tcW w:w="1276" w:type="dxa"/>
          </w:tcPr>
          <w:p>
            <w:pPr>
              <w:pStyle w:val="TableParagraph"/>
              <w:spacing w:before="94"/>
              <w:ind w:left="132" w:right="198"/>
              <w:jc w:val="center"/>
              <w:rPr>
                <w:sz w:val="20"/>
              </w:rPr>
            </w:pPr>
            <w:r>
              <w:rPr>
                <w:spacing w:val="-4"/>
                <w:sz w:val="20"/>
              </w:rPr>
              <w:t>NP’’</w:t>
            </w:r>
          </w:p>
          <w:p>
            <w:pPr>
              <w:pStyle w:val="TableParagraph"/>
              <w:spacing w:before="1"/>
              <w:ind w:left="128" w:right="198"/>
              <w:jc w:val="center"/>
              <w:rPr>
                <w:sz w:val="20"/>
              </w:rPr>
            </w:pPr>
            <w:r>
              <w:rPr>
                <w:spacing w:val="-2"/>
                <w:sz w:val="20"/>
              </w:rPr>
              <w:t>except regulatio </w:t>
            </w:r>
            <w:r>
              <w:rPr>
                <w:sz w:val="20"/>
              </w:rPr>
              <w:t>n 57(xi)”</w:t>
            </w:r>
          </w:p>
        </w:tc>
        <w:tc>
          <w:tcPr>
            <w:tcW w:w="1209" w:type="dxa"/>
          </w:tcPr>
          <w:p>
            <w:pPr>
              <w:pStyle w:val="TableParagraph"/>
              <w:spacing w:before="94"/>
              <w:ind w:left="9"/>
              <w:jc w:val="center"/>
              <w:rPr>
                <w:sz w:val="20"/>
              </w:rPr>
            </w:pPr>
            <w:r>
              <w:rPr>
                <w:spacing w:val="5"/>
                <w:sz w:val="20"/>
              </w:rPr>
              <w:t>NP</w:t>
            </w:r>
          </w:p>
          <w:p>
            <w:pPr>
              <w:pStyle w:val="TableParagraph"/>
              <w:spacing w:before="1"/>
              <w:ind w:left="157" w:right="157"/>
              <w:jc w:val="center"/>
              <w:rPr>
                <w:sz w:val="20"/>
              </w:rPr>
            </w:pPr>
            <w:r>
              <w:rPr>
                <w:spacing w:val="-2"/>
                <w:sz w:val="20"/>
              </w:rPr>
              <w:t>“except regulatio </w:t>
            </w:r>
            <w:r>
              <w:rPr>
                <w:sz w:val="20"/>
              </w:rPr>
              <w:t>n 57(xi)”</w:t>
            </w:r>
          </w:p>
        </w:tc>
        <w:tc>
          <w:tcPr>
            <w:tcW w:w="1199" w:type="dxa"/>
          </w:tcPr>
          <w:p>
            <w:pPr>
              <w:pStyle w:val="TableParagraph"/>
              <w:spacing w:before="94"/>
              <w:ind w:left="110"/>
              <w:rPr>
                <w:sz w:val="20"/>
              </w:rPr>
            </w:pPr>
            <w:r>
              <w:rPr>
                <w:spacing w:val="-10"/>
                <w:sz w:val="20"/>
              </w:rPr>
              <w:t>P</w:t>
            </w:r>
          </w:p>
        </w:tc>
        <w:tc>
          <w:tcPr>
            <w:tcW w:w="2196" w:type="dxa"/>
          </w:tcPr>
          <w:p>
            <w:pPr>
              <w:pStyle w:val="TableParagraph"/>
              <w:tabs>
                <w:tab w:pos="1153" w:val="left" w:leader="none"/>
                <w:tab w:pos="1604" w:val="left" w:leader="none"/>
                <w:tab w:pos="1747" w:val="left" w:leader="none"/>
              </w:tabs>
              <w:spacing w:before="94"/>
              <w:ind w:left="111" w:right="105"/>
              <w:rPr>
                <w:sz w:val="20"/>
              </w:rPr>
            </w:pPr>
            <w:r>
              <w:rPr>
                <w:spacing w:val="-2"/>
                <w:sz w:val="20"/>
              </w:rPr>
              <w:t>Subject</w:t>
            </w:r>
            <w:r>
              <w:rPr>
                <w:sz w:val="20"/>
              </w:rPr>
              <w:tab/>
            </w:r>
            <w:r>
              <w:rPr>
                <w:spacing w:val="-6"/>
                <w:sz w:val="20"/>
              </w:rPr>
              <w:t>to</w:t>
            </w:r>
            <w:r>
              <w:rPr>
                <w:sz w:val="20"/>
              </w:rPr>
              <w:tab/>
            </w:r>
            <w:r>
              <w:rPr>
                <w:spacing w:val="-4"/>
                <w:sz w:val="20"/>
              </w:rPr>
              <w:t>NOC from</w:t>
            </w:r>
            <w:r>
              <w:rPr>
                <w:sz w:val="20"/>
              </w:rPr>
              <w:tab/>
              <w:tab/>
              <w:tab/>
            </w:r>
            <w:r>
              <w:rPr>
                <w:spacing w:val="-5"/>
                <w:sz w:val="20"/>
              </w:rPr>
              <w:t>the</w:t>
            </w:r>
          </w:p>
          <w:p>
            <w:pPr>
              <w:pStyle w:val="TableParagraph"/>
              <w:tabs>
                <w:tab w:pos="1894" w:val="left" w:leader="none"/>
              </w:tabs>
              <w:spacing w:before="1"/>
              <w:ind w:left="111" w:right="105"/>
              <w:rPr>
                <w:sz w:val="20"/>
              </w:rPr>
            </w:pPr>
            <w:r>
              <w:rPr>
                <w:spacing w:val="-2"/>
                <w:sz w:val="20"/>
              </w:rPr>
              <w:t>Environment Department</w:t>
            </w:r>
            <w:r>
              <w:rPr>
                <w:sz w:val="20"/>
              </w:rPr>
              <w:tab/>
            </w:r>
            <w:r>
              <w:rPr>
                <w:spacing w:val="-6"/>
                <w:sz w:val="20"/>
              </w:rPr>
              <w:t>of </w:t>
            </w:r>
            <w:r>
              <w:rPr>
                <w:spacing w:val="-4"/>
                <w:sz w:val="20"/>
              </w:rPr>
              <w:t>MCGM</w:t>
            </w:r>
          </w:p>
        </w:tc>
      </w:tr>
    </w:tbl>
    <w:p>
      <w:pPr>
        <w:pStyle w:val="BodyText"/>
        <w:jc w:val="left"/>
        <w:rPr>
          <w:sz w:val="20"/>
        </w:rPr>
      </w:pPr>
    </w:p>
    <w:p>
      <w:pPr>
        <w:pStyle w:val="BodyText"/>
        <w:spacing w:before="54"/>
        <w:jc w:val="left"/>
        <w:rPr>
          <w:sz w:val="20"/>
        </w:rPr>
      </w:pPr>
    </w:p>
    <w:p>
      <w:pPr>
        <w:spacing w:before="0"/>
        <w:ind w:left="1044" w:right="0" w:firstLine="0"/>
        <w:jc w:val="left"/>
        <w:rPr>
          <w:sz w:val="20"/>
        </w:rPr>
      </w:pPr>
      <w:r>
        <w:rPr>
          <w:sz w:val="20"/>
        </w:rPr>
        <w:t>TABLE</w:t>
      </w:r>
      <w:r>
        <w:rPr>
          <w:spacing w:val="-6"/>
          <w:sz w:val="20"/>
        </w:rPr>
        <w:t> </w:t>
      </w:r>
      <w:r>
        <w:rPr>
          <w:sz w:val="20"/>
        </w:rPr>
        <w:t>No.</w:t>
      </w:r>
      <w:r>
        <w:rPr>
          <w:spacing w:val="-6"/>
          <w:sz w:val="20"/>
        </w:rPr>
        <w:t> </w:t>
      </w:r>
      <w:r>
        <w:rPr>
          <w:spacing w:val="-10"/>
          <w:sz w:val="20"/>
        </w:rPr>
        <w:t>D</w:t>
      </w:r>
    </w:p>
    <w:p>
      <w:pPr>
        <w:spacing w:before="94"/>
        <w:ind w:left="1044" w:right="0" w:firstLine="0"/>
        <w:jc w:val="left"/>
        <w:rPr>
          <w:sz w:val="20"/>
        </w:rPr>
      </w:pPr>
      <w:r>
        <w:rPr>
          <w:sz w:val="20"/>
        </w:rPr>
        <w:t>Service</w:t>
      </w:r>
      <w:r>
        <w:rPr>
          <w:spacing w:val="-10"/>
          <w:sz w:val="20"/>
        </w:rPr>
        <w:t> </w:t>
      </w:r>
      <w:r>
        <w:rPr>
          <w:sz w:val="20"/>
        </w:rPr>
        <w:t>Industrial</w:t>
      </w:r>
      <w:r>
        <w:rPr>
          <w:spacing w:val="-8"/>
          <w:sz w:val="20"/>
        </w:rPr>
        <w:t> </w:t>
      </w:r>
      <w:r>
        <w:rPr>
          <w:sz w:val="20"/>
        </w:rPr>
        <w:t>users</w:t>
      </w:r>
      <w:r>
        <w:rPr>
          <w:spacing w:val="-6"/>
          <w:sz w:val="20"/>
        </w:rPr>
        <w:t> </w:t>
      </w:r>
      <w:r>
        <w:rPr>
          <w:sz w:val="20"/>
        </w:rPr>
        <w:t>and</w:t>
      </w:r>
      <w:r>
        <w:rPr>
          <w:spacing w:val="-9"/>
          <w:sz w:val="20"/>
        </w:rPr>
        <w:t> </w:t>
      </w:r>
      <w:r>
        <w:rPr>
          <w:sz w:val="20"/>
        </w:rPr>
        <w:t>conditions</w:t>
      </w:r>
      <w:r>
        <w:rPr>
          <w:spacing w:val="-8"/>
          <w:sz w:val="20"/>
        </w:rPr>
        <w:t> </w:t>
      </w:r>
      <w:r>
        <w:rPr>
          <w:sz w:val="20"/>
        </w:rPr>
        <w:t>governing</w:t>
      </w:r>
      <w:r>
        <w:rPr>
          <w:spacing w:val="-8"/>
          <w:sz w:val="20"/>
        </w:rPr>
        <w:t> </w:t>
      </w:r>
      <w:r>
        <w:rPr>
          <w:sz w:val="20"/>
        </w:rPr>
        <w:t>such</w:t>
      </w:r>
      <w:r>
        <w:rPr>
          <w:spacing w:val="-9"/>
          <w:sz w:val="20"/>
        </w:rPr>
        <w:t> </w:t>
      </w:r>
      <w:r>
        <w:rPr>
          <w:spacing w:val="-2"/>
          <w:sz w:val="20"/>
        </w:rPr>
        <w:t>uses:</w:t>
      </w:r>
    </w:p>
    <w:p>
      <w:pPr>
        <w:pStyle w:val="BodyText"/>
        <w:spacing w:before="4"/>
        <w:jc w:val="left"/>
        <w:rPr>
          <w:sz w:val="8"/>
        </w:rPr>
      </w:pPr>
    </w:p>
    <w:tbl>
      <w:tblPr>
        <w:tblW w:w="0" w:type="auto"/>
        <w:jc w:val="left"/>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8"/>
        <w:gridCol w:w="3121"/>
        <w:gridCol w:w="4395"/>
        <w:gridCol w:w="2723"/>
      </w:tblGrid>
      <w:tr>
        <w:trPr>
          <w:trHeight w:val="661" w:hRule="atLeast"/>
        </w:trPr>
        <w:tc>
          <w:tcPr>
            <w:tcW w:w="778" w:type="dxa"/>
            <w:shd w:val="clear" w:color="auto" w:fill="EDEBE0"/>
          </w:tcPr>
          <w:p>
            <w:pPr>
              <w:pStyle w:val="TableParagraph"/>
              <w:spacing w:line="234" w:lineRule="exact" w:before="96"/>
              <w:ind w:left="381"/>
              <w:rPr>
                <w:sz w:val="20"/>
              </w:rPr>
            </w:pPr>
            <w:r>
              <w:rPr>
                <w:spacing w:val="-10"/>
                <w:sz w:val="20"/>
              </w:rPr>
              <w:t>S</w:t>
            </w:r>
          </w:p>
          <w:p>
            <w:pPr>
              <w:pStyle w:val="TableParagraph"/>
              <w:spacing w:line="234" w:lineRule="exact"/>
              <w:ind w:left="381"/>
              <w:rPr>
                <w:sz w:val="20"/>
              </w:rPr>
            </w:pPr>
            <w:r>
              <w:rPr>
                <w:spacing w:val="-5"/>
                <w:sz w:val="20"/>
              </w:rPr>
              <w:t>er</w:t>
            </w:r>
          </w:p>
        </w:tc>
        <w:tc>
          <w:tcPr>
            <w:tcW w:w="3121" w:type="dxa"/>
            <w:shd w:val="clear" w:color="auto" w:fill="EDEBE0"/>
          </w:tcPr>
          <w:p>
            <w:pPr>
              <w:pStyle w:val="TableParagraph"/>
              <w:spacing w:before="96"/>
              <w:ind w:left="378"/>
              <w:rPr>
                <w:sz w:val="20"/>
              </w:rPr>
            </w:pPr>
            <w:r>
              <w:rPr>
                <w:sz w:val="20"/>
              </w:rPr>
              <w:t>Category</w:t>
            </w:r>
            <w:r>
              <w:rPr>
                <w:spacing w:val="-7"/>
                <w:sz w:val="20"/>
              </w:rPr>
              <w:t> </w:t>
            </w:r>
            <w:r>
              <w:rPr>
                <w:sz w:val="20"/>
              </w:rPr>
              <w:t>of</w:t>
            </w:r>
            <w:r>
              <w:rPr>
                <w:spacing w:val="-5"/>
                <w:sz w:val="20"/>
              </w:rPr>
              <w:t> </w:t>
            </w:r>
            <w:r>
              <w:rPr>
                <w:spacing w:val="-2"/>
                <w:sz w:val="20"/>
              </w:rPr>
              <w:t>Industry</w:t>
            </w:r>
          </w:p>
        </w:tc>
        <w:tc>
          <w:tcPr>
            <w:tcW w:w="4395" w:type="dxa"/>
            <w:shd w:val="clear" w:color="auto" w:fill="EDEBE0"/>
          </w:tcPr>
          <w:p>
            <w:pPr>
              <w:pStyle w:val="TableParagraph"/>
              <w:spacing w:before="96"/>
              <w:ind w:left="378"/>
              <w:rPr>
                <w:sz w:val="20"/>
              </w:rPr>
            </w:pPr>
            <w:r>
              <w:rPr>
                <w:sz w:val="20"/>
              </w:rPr>
              <w:t>Service</w:t>
            </w:r>
            <w:r>
              <w:rPr>
                <w:spacing w:val="-10"/>
                <w:sz w:val="20"/>
              </w:rPr>
              <w:t> </w:t>
            </w:r>
            <w:r>
              <w:rPr>
                <w:sz w:val="20"/>
              </w:rPr>
              <w:t>Industry</w:t>
            </w:r>
            <w:r>
              <w:rPr>
                <w:spacing w:val="-6"/>
                <w:sz w:val="20"/>
              </w:rPr>
              <w:t> </w:t>
            </w:r>
            <w:r>
              <w:rPr>
                <w:sz w:val="20"/>
              </w:rPr>
              <w:t>permitted</w:t>
            </w:r>
            <w:r>
              <w:rPr>
                <w:spacing w:val="-10"/>
                <w:sz w:val="20"/>
              </w:rPr>
              <w:t> </w:t>
            </w:r>
            <w:r>
              <w:rPr>
                <w:sz w:val="20"/>
              </w:rPr>
              <w:t>subject</w:t>
            </w:r>
            <w:r>
              <w:rPr>
                <w:spacing w:val="-7"/>
                <w:sz w:val="20"/>
              </w:rPr>
              <w:t> </w:t>
            </w:r>
            <w:r>
              <w:rPr>
                <w:spacing w:val="-5"/>
                <w:sz w:val="20"/>
              </w:rPr>
              <w:t>to</w:t>
            </w:r>
          </w:p>
        </w:tc>
        <w:tc>
          <w:tcPr>
            <w:tcW w:w="2723" w:type="dxa"/>
            <w:shd w:val="clear" w:color="auto" w:fill="EDEBE0"/>
          </w:tcPr>
          <w:p>
            <w:pPr>
              <w:pStyle w:val="TableParagraph"/>
              <w:spacing w:before="96"/>
              <w:ind w:left="378" w:right="167"/>
              <w:rPr>
                <w:sz w:val="20"/>
              </w:rPr>
            </w:pPr>
            <w:r>
              <w:rPr>
                <w:sz w:val="20"/>
              </w:rPr>
              <w:t>Special</w:t>
            </w:r>
            <w:r>
              <w:rPr>
                <w:spacing w:val="40"/>
                <w:sz w:val="20"/>
              </w:rPr>
              <w:t> </w:t>
            </w:r>
            <w:r>
              <w:rPr>
                <w:sz w:val="20"/>
              </w:rPr>
              <w:t>conditions,</w:t>
            </w:r>
            <w:r>
              <w:rPr>
                <w:spacing w:val="40"/>
                <w:sz w:val="20"/>
              </w:rPr>
              <w:t> </w:t>
            </w:r>
            <w:r>
              <w:rPr>
                <w:sz w:val="20"/>
              </w:rPr>
              <w:t>if </w:t>
            </w:r>
            <w:r>
              <w:rPr>
                <w:spacing w:val="-4"/>
                <w:sz w:val="20"/>
              </w:rPr>
              <w:t>any</w:t>
            </w:r>
          </w:p>
        </w:tc>
      </w:tr>
    </w:tbl>
    <w:p>
      <w:pPr>
        <w:pStyle w:val="TableParagraph"/>
        <w:spacing w:after="0"/>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8"/>
        <w:gridCol w:w="3121"/>
        <w:gridCol w:w="1416"/>
        <w:gridCol w:w="1560"/>
        <w:gridCol w:w="1418"/>
        <w:gridCol w:w="2722"/>
      </w:tblGrid>
      <w:tr>
        <w:trPr>
          <w:trHeight w:val="2594" w:hRule="atLeast"/>
        </w:trPr>
        <w:tc>
          <w:tcPr>
            <w:tcW w:w="778" w:type="dxa"/>
            <w:shd w:val="clear" w:color="auto" w:fill="EDEBE0"/>
          </w:tcPr>
          <w:p>
            <w:pPr>
              <w:pStyle w:val="TableParagraph"/>
              <w:spacing w:before="1"/>
              <w:ind w:left="381" w:right="198"/>
              <w:rPr>
                <w:sz w:val="20"/>
              </w:rPr>
            </w:pPr>
            <w:r>
              <w:rPr>
                <w:spacing w:val="-6"/>
                <w:sz w:val="20"/>
              </w:rPr>
              <w:t>ia </w:t>
            </w:r>
            <w:r>
              <w:rPr>
                <w:spacing w:val="-10"/>
                <w:sz w:val="20"/>
              </w:rPr>
              <w:t>l N</w:t>
            </w:r>
          </w:p>
          <w:p>
            <w:pPr>
              <w:pStyle w:val="TableParagraph"/>
              <w:spacing w:line="234" w:lineRule="exact"/>
              <w:ind w:left="381"/>
              <w:rPr>
                <w:sz w:val="20"/>
              </w:rPr>
            </w:pPr>
            <w:r>
              <w:rPr>
                <w:spacing w:val="-5"/>
                <w:sz w:val="20"/>
              </w:rPr>
              <w:t>o.</w:t>
            </w:r>
          </w:p>
          <w:p>
            <w:pPr>
              <w:pStyle w:val="TableParagraph"/>
              <w:rPr>
                <w:sz w:val="20"/>
              </w:rPr>
            </w:pPr>
          </w:p>
          <w:p>
            <w:pPr>
              <w:pStyle w:val="TableParagraph"/>
              <w:rPr>
                <w:sz w:val="20"/>
              </w:rPr>
            </w:pPr>
          </w:p>
          <w:p>
            <w:pPr>
              <w:pStyle w:val="TableParagraph"/>
              <w:rPr>
                <w:sz w:val="20"/>
              </w:rPr>
            </w:pPr>
          </w:p>
          <w:p>
            <w:pPr>
              <w:pStyle w:val="TableParagraph"/>
              <w:spacing w:before="148"/>
              <w:rPr>
                <w:sz w:val="20"/>
              </w:rPr>
            </w:pPr>
          </w:p>
          <w:p>
            <w:pPr>
              <w:pStyle w:val="TableParagraph"/>
              <w:ind w:left="381"/>
              <w:rPr>
                <w:sz w:val="20"/>
              </w:rPr>
            </w:pPr>
            <w:r>
              <w:rPr>
                <w:spacing w:val="-5"/>
                <w:sz w:val="20"/>
              </w:rPr>
              <w:t>(1</w:t>
            </w:r>
          </w:p>
          <w:p>
            <w:pPr>
              <w:pStyle w:val="TableParagraph"/>
              <w:spacing w:before="1"/>
              <w:ind w:left="381"/>
              <w:rPr>
                <w:sz w:val="20"/>
              </w:rPr>
            </w:pPr>
            <w:r>
              <w:rPr>
                <w:spacing w:val="-10"/>
                <w:sz w:val="20"/>
              </w:rPr>
              <w:t>)</w:t>
            </w:r>
          </w:p>
        </w:tc>
        <w:tc>
          <w:tcPr>
            <w:tcW w:w="3121" w:type="dxa"/>
            <w:shd w:val="clear" w:color="auto" w:fill="EDEBE0"/>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49"/>
              <w:rPr>
                <w:sz w:val="20"/>
              </w:rPr>
            </w:pPr>
          </w:p>
          <w:p>
            <w:pPr>
              <w:pStyle w:val="TableParagraph"/>
              <w:ind w:left="378"/>
              <w:rPr>
                <w:sz w:val="20"/>
              </w:rPr>
            </w:pPr>
            <w:r>
              <w:rPr>
                <w:spacing w:val="-5"/>
                <w:sz w:val="20"/>
              </w:rPr>
              <w:t>(2)</w:t>
            </w:r>
          </w:p>
        </w:tc>
        <w:tc>
          <w:tcPr>
            <w:tcW w:w="1416" w:type="dxa"/>
            <w:shd w:val="clear" w:color="auto" w:fill="EDEBE0"/>
          </w:tcPr>
          <w:p>
            <w:pPr>
              <w:pStyle w:val="TableParagraph"/>
              <w:spacing w:before="97"/>
              <w:ind w:left="378" w:right="190"/>
              <w:rPr>
                <w:sz w:val="20"/>
              </w:rPr>
            </w:pPr>
            <w:r>
              <w:rPr>
                <w:spacing w:val="-2"/>
                <w:sz w:val="20"/>
              </w:rPr>
              <w:t>Maximu </w:t>
            </w:r>
            <w:r>
              <w:rPr>
                <w:spacing w:val="-10"/>
                <w:sz w:val="20"/>
              </w:rPr>
              <w:t>m </w:t>
            </w:r>
            <w:r>
              <w:rPr>
                <w:spacing w:val="-2"/>
                <w:sz w:val="20"/>
              </w:rPr>
              <w:t>permissi </w:t>
            </w:r>
            <w:r>
              <w:rPr>
                <w:spacing w:val="-4"/>
                <w:sz w:val="20"/>
              </w:rPr>
              <w:t>ble power </w:t>
            </w:r>
            <w:r>
              <w:rPr>
                <w:sz w:val="20"/>
              </w:rPr>
              <w:t>(in KW)</w:t>
            </w:r>
          </w:p>
          <w:p>
            <w:pPr>
              <w:pStyle w:val="TableParagraph"/>
              <w:spacing w:before="96"/>
              <w:ind w:left="378"/>
              <w:rPr>
                <w:sz w:val="20"/>
              </w:rPr>
            </w:pPr>
            <w:r>
              <w:rPr>
                <w:spacing w:val="-5"/>
                <w:sz w:val="20"/>
              </w:rPr>
              <w:t>(3)</w:t>
            </w:r>
          </w:p>
        </w:tc>
        <w:tc>
          <w:tcPr>
            <w:tcW w:w="1560" w:type="dxa"/>
            <w:shd w:val="clear" w:color="auto" w:fill="EDEBE0"/>
          </w:tcPr>
          <w:p>
            <w:pPr>
              <w:pStyle w:val="TableParagraph"/>
              <w:spacing w:before="97"/>
              <w:ind w:left="378" w:right="175"/>
              <w:rPr>
                <w:sz w:val="20"/>
              </w:rPr>
            </w:pPr>
            <w:r>
              <w:rPr>
                <w:spacing w:val="-2"/>
                <w:sz w:val="20"/>
              </w:rPr>
              <w:t>Maximum permissib </w:t>
            </w:r>
            <w:r>
              <w:rPr>
                <w:spacing w:val="-6"/>
                <w:sz w:val="20"/>
              </w:rPr>
              <w:t>le </w:t>
            </w:r>
            <w:r>
              <w:rPr>
                <w:spacing w:val="-2"/>
                <w:sz w:val="20"/>
              </w:rPr>
              <w:t>employme </w:t>
            </w:r>
            <w:r>
              <w:rPr>
                <w:spacing w:val="-4"/>
                <w:sz w:val="20"/>
              </w:rPr>
              <w:t>nt.</w:t>
            </w:r>
          </w:p>
          <w:p>
            <w:pPr>
              <w:pStyle w:val="TableParagraph"/>
              <w:spacing w:before="192"/>
              <w:rPr>
                <w:sz w:val="20"/>
              </w:rPr>
            </w:pPr>
          </w:p>
          <w:p>
            <w:pPr>
              <w:pStyle w:val="TableParagraph"/>
              <w:ind w:left="378"/>
              <w:rPr>
                <w:sz w:val="20"/>
              </w:rPr>
            </w:pPr>
            <w:r>
              <w:rPr>
                <w:spacing w:val="-5"/>
                <w:sz w:val="20"/>
              </w:rPr>
              <w:t>(4)</w:t>
            </w:r>
          </w:p>
        </w:tc>
        <w:tc>
          <w:tcPr>
            <w:tcW w:w="1418" w:type="dxa"/>
            <w:shd w:val="clear" w:color="auto" w:fill="EDEBE0"/>
          </w:tcPr>
          <w:p>
            <w:pPr>
              <w:pStyle w:val="TableParagraph"/>
              <w:spacing w:before="97"/>
              <w:ind w:left="378" w:right="83"/>
              <w:rPr>
                <w:sz w:val="20"/>
              </w:rPr>
            </w:pPr>
            <w:r>
              <w:rPr>
                <w:spacing w:val="-2"/>
                <w:sz w:val="20"/>
              </w:rPr>
              <w:t>Maximu </w:t>
            </w:r>
            <w:r>
              <w:rPr>
                <w:spacing w:val="-10"/>
                <w:sz w:val="20"/>
              </w:rPr>
              <w:t>m </w:t>
            </w:r>
            <w:r>
              <w:rPr>
                <w:spacing w:val="-2"/>
                <w:sz w:val="20"/>
              </w:rPr>
              <w:t>permissi </w:t>
            </w:r>
            <w:r>
              <w:rPr>
                <w:sz w:val="20"/>
              </w:rPr>
              <w:t>ble</w:t>
            </w:r>
            <w:r>
              <w:rPr>
                <w:spacing w:val="33"/>
                <w:sz w:val="20"/>
              </w:rPr>
              <w:t> </w:t>
            </w:r>
            <w:r>
              <w:rPr>
                <w:sz w:val="20"/>
              </w:rPr>
              <w:t>floor area</w:t>
            </w:r>
            <w:r>
              <w:rPr>
                <w:spacing w:val="-5"/>
                <w:sz w:val="20"/>
              </w:rPr>
              <w:t> </w:t>
            </w:r>
            <w:r>
              <w:rPr>
                <w:sz w:val="20"/>
              </w:rPr>
              <w:t>(sq. </w:t>
            </w:r>
            <w:r>
              <w:rPr>
                <w:spacing w:val="-6"/>
                <w:sz w:val="20"/>
              </w:rPr>
              <w:t>m)</w:t>
            </w:r>
          </w:p>
          <w:p>
            <w:pPr>
              <w:pStyle w:val="TableParagraph"/>
              <w:spacing w:before="96"/>
              <w:ind w:left="378"/>
              <w:rPr>
                <w:sz w:val="20"/>
              </w:rPr>
            </w:pPr>
            <w:r>
              <w:rPr>
                <w:spacing w:val="-5"/>
                <w:sz w:val="20"/>
              </w:rPr>
              <w:t>(5)</w:t>
            </w:r>
          </w:p>
        </w:tc>
        <w:tc>
          <w:tcPr>
            <w:tcW w:w="2722" w:type="dxa"/>
            <w:shd w:val="clear" w:color="auto" w:fill="EDEBE0"/>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0"/>
              <w:rPr>
                <w:sz w:val="20"/>
              </w:rPr>
            </w:pPr>
          </w:p>
          <w:p>
            <w:pPr>
              <w:pStyle w:val="TableParagraph"/>
              <w:spacing w:before="1"/>
              <w:ind w:left="379"/>
              <w:rPr>
                <w:sz w:val="20"/>
              </w:rPr>
            </w:pPr>
            <w:r>
              <w:rPr>
                <w:spacing w:val="-5"/>
                <w:sz w:val="20"/>
              </w:rPr>
              <w:t>(6)</w:t>
            </w:r>
          </w:p>
        </w:tc>
      </w:tr>
      <w:tr>
        <w:trPr>
          <w:trHeight w:val="426" w:hRule="atLeast"/>
        </w:trPr>
        <w:tc>
          <w:tcPr>
            <w:tcW w:w="778" w:type="dxa"/>
            <w:vMerge w:val="restart"/>
          </w:tcPr>
          <w:p>
            <w:pPr>
              <w:pStyle w:val="TableParagraph"/>
              <w:spacing w:before="94"/>
              <w:ind w:left="446"/>
              <w:rPr>
                <w:sz w:val="20"/>
              </w:rPr>
            </w:pPr>
            <w:r>
              <w:rPr>
                <w:spacing w:val="-10"/>
                <w:sz w:val="20"/>
              </w:rPr>
              <w:t>I</w:t>
            </w:r>
          </w:p>
        </w:tc>
        <w:tc>
          <w:tcPr>
            <w:tcW w:w="3121" w:type="dxa"/>
          </w:tcPr>
          <w:p>
            <w:pPr>
              <w:pStyle w:val="TableParagraph"/>
              <w:spacing w:before="94"/>
              <w:ind w:left="378"/>
              <w:rPr>
                <w:sz w:val="20"/>
              </w:rPr>
            </w:pPr>
            <w:r>
              <w:rPr>
                <w:sz w:val="20"/>
              </w:rPr>
              <w:t>Food</w:t>
            </w:r>
            <w:r>
              <w:rPr>
                <w:spacing w:val="-7"/>
                <w:sz w:val="20"/>
              </w:rPr>
              <w:t> </w:t>
            </w:r>
            <w:r>
              <w:rPr>
                <w:spacing w:val="-2"/>
                <w:sz w:val="20"/>
              </w:rPr>
              <w:t>Products-</w:t>
            </w:r>
          </w:p>
        </w:tc>
        <w:tc>
          <w:tcPr>
            <w:tcW w:w="1416"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4"/>
              <w:rPr>
                <w:sz w:val="20"/>
              </w:rPr>
            </w:pPr>
          </w:p>
          <w:p>
            <w:pPr>
              <w:pStyle w:val="TableParagraph"/>
              <w:ind w:left="378"/>
              <w:rPr>
                <w:sz w:val="20"/>
              </w:rPr>
            </w:pPr>
            <w:r>
              <w:rPr>
                <w:spacing w:val="-5"/>
                <w:sz w:val="20"/>
              </w:rPr>
              <w:t>7.5</w:t>
            </w:r>
          </w:p>
        </w:tc>
        <w:tc>
          <w:tcPr>
            <w:tcW w:w="156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4"/>
              <w:rPr>
                <w:sz w:val="20"/>
              </w:rPr>
            </w:pPr>
          </w:p>
          <w:p>
            <w:pPr>
              <w:pStyle w:val="TableParagraph"/>
              <w:ind w:left="378"/>
              <w:rPr>
                <w:sz w:val="20"/>
              </w:rPr>
            </w:pPr>
            <w:r>
              <w:rPr>
                <w:spacing w:val="-10"/>
                <w:sz w:val="20"/>
              </w:rPr>
              <w:t>9</w:t>
            </w:r>
          </w:p>
        </w:tc>
        <w:tc>
          <w:tcPr>
            <w:tcW w:w="1418"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4"/>
              <w:rPr>
                <w:sz w:val="20"/>
              </w:rPr>
            </w:pPr>
          </w:p>
          <w:p>
            <w:pPr>
              <w:pStyle w:val="TableParagraph"/>
              <w:ind w:left="378"/>
              <w:rPr>
                <w:sz w:val="20"/>
              </w:rPr>
            </w:pPr>
            <w:r>
              <w:rPr>
                <w:color w:val="000000"/>
                <w:spacing w:val="-5"/>
                <w:sz w:val="20"/>
                <w:shd w:fill="FFCCFF" w:color="auto" w:val="clear"/>
              </w:rPr>
              <w:t>50</w:t>
            </w:r>
          </w:p>
        </w:tc>
        <w:tc>
          <w:tcPr>
            <w:tcW w:w="2722" w:type="dxa"/>
            <w:vMerge w:val="restart"/>
          </w:tcPr>
          <w:p>
            <w:pPr>
              <w:pStyle w:val="TableParagraph"/>
              <w:rPr>
                <w:rFonts w:ascii="Times New Roman"/>
                <w:sz w:val="18"/>
              </w:rPr>
            </w:pPr>
          </w:p>
        </w:tc>
      </w:tr>
      <w:tr>
        <w:trPr>
          <w:trHeight w:val="4579" w:hRule="atLeast"/>
        </w:trPr>
        <w:tc>
          <w:tcPr>
            <w:tcW w:w="778" w:type="dxa"/>
            <w:vMerge/>
            <w:tcBorders>
              <w:top w:val="nil"/>
            </w:tcBorders>
          </w:tcPr>
          <w:p>
            <w:pPr>
              <w:rPr>
                <w:sz w:val="2"/>
                <w:szCs w:val="2"/>
              </w:rPr>
            </w:pPr>
          </w:p>
        </w:tc>
        <w:tc>
          <w:tcPr>
            <w:tcW w:w="3121" w:type="dxa"/>
          </w:tcPr>
          <w:p>
            <w:pPr>
              <w:pStyle w:val="TableParagraph"/>
              <w:tabs>
                <w:tab w:pos="1561" w:val="left" w:leader="none"/>
                <w:tab w:pos="2592" w:val="left" w:leader="none"/>
              </w:tabs>
              <w:spacing w:before="94"/>
              <w:ind w:left="378" w:right="166"/>
              <w:rPr>
                <w:sz w:val="20"/>
              </w:rPr>
            </w:pPr>
            <w:r>
              <w:rPr>
                <w:spacing w:val="-10"/>
                <w:sz w:val="20"/>
              </w:rPr>
              <w:t>i</w:t>
            </w:r>
            <w:r>
              <w:rPr>
                <w:sz w:val="20"/>
              </w:rPr>
              <w:tab/>
            </w:r>
            <w:r>
              <w:rPr>
                <w:spacing w:val="-2"/>
                <w:sz w:val="20"/>
              </w:rPr>
              <w:t>Ground</w:t>
            </w:r>
            <w:r>
              <w:rPr>
                <w:sz w:val="20"/>
              </w:rPr>
              <w:tab/>
            </w:r>
            <w:r>
              <w:rPr>
                <w:spacing w:val="-4"/>
                <w:sz w:val="20"/>
              </w:rPr>
              <w:t>nu</w:t>
            </w:r>
            <w:r>
              <w:rPr>
                <w:spacing w:val="-4"/>
                <w:sz w:val="20"/>
              </w:rPr>
              <w:t>t</w:t>
            </w:r>
            <w:r>
              <w:rPr>
                <w:spacing w:val="-4"/>
                <w:sz w:val="20"/>
              </w:rPr>
              <w:t> </w:t>
            </w:r>
            <w:r>
              <w:rPr>
                <w:spacing w:val="-2"/>
                <w:sz w:val="20"/>
              </w:rPr>
              <w:t>decorticators,</w:t>
            </w:r>
          </w:p>
          <w:p>
            <w:pPr>
              <w:pStyle w:val="TableParagraph"/>
              <w:numPr>
                <w:ilvl w:val="0"/>
                <w:numId w:val="221"/>
              </w:numPr>
              <w:tabs>
                <w:tab w:pos="961" w:val="left" w:leader="none"/>
                <w:tab w:pos="1914" w:val="left" w:leader="none"/>
                <w:tab w:pos="2676" w:val="left" w:leader="none"/>
              </w:tabs>
              <w:spacing w:line="240" w:lineRule="auto" w:before="97" w:after="0"/>
              <w:ind w:left="378" w:right="166" w:firstLine="0"/>
              <w:jc w:val="left"/>
              <w:rPr>
                <w:sz w:val="20"/>
              </w:rPr>
            </w:pPr>
            <w:r>
              <w:rPr>
                <w:spacing w:val="-2"/>
                <w:sz w:val="20"/>
              </w:rPr>
              <w:t>Grain</w:t>
            </w:r>
            <w:r>
              <w:rPr>
                <w:sz w:val="20"/>
              </w:rPr>
              <w:tab/>
            </w:r>
            <w:r>
              <w:rPr>
                <w:spacing w:val="-4"/>
                <w:sz w:val="20"/>
              </w:rPr>
              <w:t>mill</w:t>
            </w:r>
            <w:r>
              <w:rPr>
                <w:sz w:val="20"/>
              </w:rPr>
              <w:tab/>
            </w:r>
            <w:r>
              <w:rPr>
                <w:spacing w:val="-4"/>
                <w:sz w:val="20"/>
              </w:rPr>
              <w:t>for </w:t>
            </w:r>
            <w:r>
              <w:rPr>
                <w:sz w:val="20"/>
              </w:rPr>
              <w:t>production</w:t>
            </w:r>
            <w:r>
              <w:rPr>
                <w:spacing w:val="40"/>
                <w:sz w:val="20"/>
              </w:rPr>
              <w:t> </w:t>
            </w:r>
            <w:r>
              <w:rPr>
                <w:sz w:val="20"/>
              </w:rPr>
              <w:t>of</w:t>
            </w:r>
          </w:p>
          <w:p>
            <w:pPr>
              <w:pStyle w:val="TableParagraph"/>
              <w:spacing w:before="97"/>
              <w:ind w:left="700"/>
              <w:rPr>
                <w:sz w:val="20"/>
              </w:rPr>
            </w:pPr>
            <w:r>
              <w:rPr>
                <w:spacing w:val="-2"/>
                <w:sz w:val="20"/>
              </w:rPr>
              <w:t>flour,</w:t>
            </w:r>
          </w:p>
          <w:p>
            <w:pPr>
              <w:pStyle w:val="TableParagraph"/>
              <w:numPr>
                <w:ilvl w:val="0"/>
                <w:numId w:val="221"/>
              </w:numPr>
              <w:tabs>
                <w:tab w:pos="707" w:val="left" w:leader="none"/>
              </w:tabs>
              <w:spacing w:line="240" w:lineRule="auto" w:before="97" w:after="0"/>
              <w:ind w:left="378" w:right="164" w:firstLine="0"/>
              <w:jc w:val="left"/>
              <w:rPr>
                <w:sz w:val="20"/>
              </w:rPr>
            </w:pPr>
            <w:r>
              <w:rPr>
                <w:sz w:val="20"/>
              </w:rPr>
              <w:t>Manufacture of supari </w:t>
            </w:r>
            <w:r>
              <w:rPr>
                <w:spacing w:val="-4"/>
                <w:sz w:val="20"/>
              </w:rPr>
              <w:t>and</w:t>
            </w:r>
          </w:p>
          <w:p>
            <w:pPr>
              <w:pStyle w:val="TableParagraph"/>
              <w:spacing w:before="94"/>
              <w:ind w:left="638"/>
              <w:rPr>
                <w:sz w:val="20"/>
              </w:rPr>
            </w:pPr>
            <w:r>
              <w:rPr>
                <w:sz w:val="20"/>
              </w:rPr>
              <w:t>masala</w:t>
            </w:r>
            <w:r>
              <w:rPr>
                <w:spacing w:val="-10"/>
                <w:sz w:val="20"/>
              </w:rPr>
              <w:t> </w:t>
            </w:r>
            <w:r>
              <w:rPr>
                <w:spacing w:val="-2"/>
                <w:sz w:val="20"/>
              </w:rPr>
              <w:t>grinding,</w:t>
            </w:r>
          </w:p>
          <w:p>
            <w:pPr>
              <w:pStyle w:val="TableParagraph"/>
              <w:numPr>
                <w:ilvl w:val="0"/>
                <w:numId w:val="221"/>
              </w:numPr>
              <w:tabs>
                <w:tab w:pos="670" w:val="left" w:leader="none"/>
              </w:tabs>
              <w:spacing w:line="240" w:lineRule="auto" w:before="97" w:after="0"/>
              <w:ind w:left="670" w:right="0" w:hanging="292"/>
              <w:jc w:val="left"/>
              <w:rPr>
                <w:sz w:val="20"/>
              </w:rPr>
            </w:pPr>
            <w:r>
              <w:rPr>
                <w:spacing w:val="-2"/>
                <w:sz w:val="20"/>
              </w:rPr>
              <w:t>Rice-hullers,</w:t>
            </w:r>
          </w:p>
          <w:p>
            <w:pPr>
              <w:pStyle w:val="TableParagraph"/>
              <w:numPr>
                <w:ilvl w:val="0"/>
                <w:numId w:val="221"/>
              </w:numPr>
              <w:tabs>
                <w:tab w:pos="722" w:val="left" w:leader="none"/>
              </w:tabs>
              <w:spacing w:line="240" w:lineRule="auto" w:before="96" w:after="0"/>
              <w:ind w:left="378" w:right="167" w:firstLine="0"/>
              <w:jc w:val="left"/>
              <w:rPr>
                <w:sz w:val="20"/>
              </w:rPr>
            </w:pPr>
            <w:r>
              <w:rPr>
                <w:sz w:val="20"/>
              </w:rPr>
              <w:t>Manufacture</w:t>
            </w:r>
            <w:r>
              <w:rPr>
                <w:spacing w:val="80"/>
                <w:sz w:val="20"/>
              </w:rPr>
              <w:t> </w:t>
            </w:r>
            <w:r>
              <w:rPr>
                <w:sz w:val="20"/>
              </w:rPr>
              <w:t>of</w:t>
            </w:r>
            <w:r>
              <w:rPr>
                <w:spacing w:val="80"/>
                <w:sz w:val="20"/>
              </w:rPr>
              <w:t> </w:t>
            </w:r>
            <w:r>
              <w:rPr>
                <w:sz w:val="20"/>
              </w:rPr>
              <w:t>milk </w:t>
            </w:r>
            <w:r>
              <w:rPr>
                <w:spacing w:val="-4"/>
                <w:sz w:val="20"/>
              </w:rPr>
              <w:t>and</w:t>
            </w:r>
          </w:p>
          <w:p>
            <w:pPr>
              <w:pStyle w:val="TableParagraph"/>
              <w:spacing w:before="95"/>
              <w:ind w:left="508"/>
              <w:rPr>
                <w:sz w:val="20"/>
              </w:rPr>
            </w:pPr>
            <w:r>
              <w:rPr>
                <w:sz w:val="20"/>
              </w:rPr>
              <w:t>dairy</w:t>
            </w:r>
            <w:r>
              <w:rPr>
                <w:spacing w:val="-7"/>
                <w:sz w:val="20"/>
              </w:rPr>
              <w:t> </w:t>
            </w:r>
            <w:r>
              <w:rPr>
                <w:spacing w:val="-2"/>
                <w:sz w:val="20"/>
              </w:rPr>
              <w:t>products,</w:t>
            </w:r>
          </w:p>
          <w:p>
            <w:pPr>
              <w:pStyle w:val="TableParagraph"/>
              <w:tabs>
                <w:tab w:pos="750" w:val="left" w:leader="none"/>
                <w:tab w:pos="2208" w:val="left" w:leader="none"/>
                <w:tab w:pos="2589" w:val="left" w:leader="none"/>
              </w:tabs>
              <w:spacing w:before="96"/>
              <w:ind w:left="378" w:right="165"/>
              <w:rPr>
                <w:sz w:val="20"/>
              </w:rPr>
            </w:pPr>
            <w:r>
              <w:rPr>
                <w:spacing w:val="-6"/>
                <w:sz w:val="20"/>
              </w:rPr>
              <w:t>vi</w:t>
            </w:r>
            <w:r>
              <w:rPr>
                <w:sz w:val="20"/>
              </w:rPr>
              <w:tab/>
            </w:r>
            <w:r>
              <w:rPr>
                <w:spacing w:val="-2"/>
                <w:sz w:val="20"/>
              </w:rPr>
              <w:t>Manufacture</w:t>
            </w:r>
            <w:r>
              <w:rPr>
                <w:sz w:val="20"/>
              </w:rPr>
              <w:tab/>
            </w:r>
            <w:r>
              <w:rPr>
                <w:spacing w:val="-6"/>
                <w:sz w:val="20"/>
              </w:rPr>
              <w:t>of</w:t>
            </w:r>
            <w:r>
              <w:rPr>
                <w:sz w:val="20"/>
              </w:rPr>
              <w:tab/>
            </w:r>
            <w:r>
              <w:rPr>
                <w:spacing w:val="-4"/>
                <w:sz w:val="20"/>
              </w:rPr>
              <w:t>ice</w:t>
            </w:r>
            <w:r>
              <w:rPr>
                <w:spacing w:val="-4"/>
                <w:sz w:val="20"/>
              </w:rPr>
              <w:t>-</w:t>
            </w:r>
            <w:r>
              <w:rPr>
                <w:spacing w:val="-4"/>
                <w:sz w:val="20"/>
              </w:rPr>
              <w:t> </w:t>
            </w:r>
            <w:r>
              <w:rPr>
                <w:spacing w:val="-2"/>
                <w:sz w:val="20"/>
              </w:rPr>
              <w:t>cream</w:t>
            </w:r>
          </w:p>
          <w:p>
            <w:pPr>
              <w:pStyle w:val="TableParagraph"/>
              <w:spacing w:before="97"/>
              <w:ind w:left="378"/>
              <w:rPr>
                <w:sz w:val="20"/>
              </w:rPr>
            </w:pPr>
            <w:r>
              <w:rPr>
                <w:sz w:val="20"/>
              </w:rPr>
              <w:t>and</w:t>
            </w:r>
            <w:r>
              <w:rPr>
                <w:spacing w:val="-6"/>
                <w:sz w:val="20"/>
              </w:rPr>
              <w:t> </w:t>
            </w:r>
            <w:r>
              <w:rPr>
                <w:sz w:val="20"/>
              </w:rPr>
              <w:t>ice</w:t>
            </w:r>
            <w:r>
              <w:rPr>
                <w:spacing w:val="-5"/>
                <w:sz w:val="20"/>
              </w:rPr>
              <w:t> </w:t>
            </w:r>
            <w:r>
              <w:rPr>
                <w:spacing w:val="-2"/>
                <w:sz w:val="20"/>
              </w:rPr>
              <w:t>candy.</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722" w:type="dxa"/>
            <w:vMerge/>
            <w:tcBorders>
              <w:top w:val="nil"/>
            </w:tcBorders>
          </w:tcPr>
          <w:p>
            <w:pPr>
              <w:rPr>
                <w:sz w:val="2"/>
                <w:szCs w:val="2"/>
              </w:rPr>
            </w:pPr>
          </w:p>
        </w:tc>
      </w:tr>
      <w:tr>
        <w:trPr>
          <w:trHeight w:val="3062" w:hRule="atLeast"/>
        </w:trPr>
        <w:tc>
          <w:tcPr>
            <w:tcW w:w="778" w:type="dxa"/>
            <w:vMerge/>
            <w:tcBorders>
              <w:top w:val="nil"/>
            </w:tcBorders>
          </w:tcPr>
          <w:p>
            <w:pPr>
              <w:rPr>
                <w:sz w:val="2"/>
                <w:szCs w:val="2"/>
              </w:rPr>
            </w:pPr>
          </w:p>
        </w:tc>
        <w:tc>
          <w:tcPr>
            <w:tcW w:w="3121" w:type="dxa"/>
          </w:tcPr>
          <w:p>
            <w:pPr>
              <w:pStyle w:val="TableParagraph"/>
              <w:tabs>
                <w:tab w:pos="1088" w:val="left" w:leader="none"/>
                <w:tab w:pos="2763" w:val="left" w:leader="none"/>
              </w:tabs>
              <w:spacing w:before="94"/>
              <w:ind w:left="378" w:right="166"/>
              <w:rPr>
                <w:sz w:val="20"/>
              </w:rPr>
            </w:pPr>
            <w:r>
              <w:rPr>
                <w:spacing w:val="-4"/>
                <w:sz w:val="20"/>
              </w:rPr>
              <w:t>vii.</w:t>
            </w:r>
            <w:r>
              <w:rPr>
                <w:sz w:val="20"/>
              </w:rPr>
              <w:tab/>
            </w:r>
            <w:r>
              <w:rPr>
                <w:spacing w:val="-2"/>
                <w:sz w:val="20"/>
              </w:rPr>
              <w:t>Manufacture</w:t>
            </w:r>
            <w:r>
              <w:rPr>
                <w:sz w:val="20"/>
              </w:rPr>
              <w:tab/>
            </w:r>
            <w:r>
              <w:rPr>
                <w:spacing w:val="-6"/>
                <w:sz w:val="20"/>
              </w:rPr>
              <w:t>o</w:t>
            </w:r>
            <w:r>
              <w:rPr>
                <w:spacing w:val="-6"/>
                <w:sz w:val="20"/>
              </w:rPr>
              <w:t>f</w:t>
            </w:r>
            <w:r>
              <w:rPr>
                <w:spacing w:val="-6"/>
                <w:sz w:val="20"/>
              </w:rPr>
              <w:t> </w:t>
            </w:r>
            <w:r>
              <w:rPr>
                <w:spacing w:val="-2"/>
                <w:sz w:val="20"/>
              </w:rPr>
              <w:t>bakery</w:t>
            </w:r>
          </w:p>
          <w:p>
            <w:pPr>
              <w:pStyle w:val="TableParagraph"/>
              <w:spacing w:before="97"/>
              <w:ind w:left="892"/>
              <w:rPr>
                <w:sz w:val="20"/>
              </w:rPr>
            </w:pPr>
            <w:r>
              <w:rPr>
                <w:spacing w:val="-2"/>
                <w:sz w:val="20"/>
              </w:rPr>
              <w:t>products</w:t>
            </w:r>
          </w:p>
        </w:tc>
        <w:tc>
          <w:tcPr>
            <w:tcW w:w="1416"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
              <w:rPr>
                <w:sz w:val="20"/>
              </w:rPr>
            </w:pPr>
          </w:p>
          <w:p>
            <w:pPr>
              <w:pStyle w:val="TableParagraph"/>
              <w:ind w:left="378"/>
              <w:rPr>
                <w:sz w:val="20"/>
              </w:rPr>
            </w:pPr>
            <w:r>
              <w:rPr>
                <w:spacing w:val="-5"/>
                <w:sz w:val="20"/>
              </w:rPr>
              <w:t>10</w:t>
            </w:r>
          </w:p>
        </w:tc>
        <w:tc>
          <w:tcPr>
            <w:tcW w:w="1560"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
              <w:rPr>
                <w:sz w:val="20"/>
              </w:rPr>
            </w:pPr>
          </w:p>
          <w:p>
            <w:pPr>
              <w:pStyle w:val="TableParagraph"/>
              <w:ind w:left="378"/>
              <w:rPr>
                <w:sz w:val="20"/>
              </w:rPr>
            </w:pPr>
            <w:r>
              <w:rPr>
                <w:spacing w:val="-5"/>
                <w:sz w:val="20"/>
              </w:rPr>
              <w:t>25</w:t>
            </w:r>
          </w:p>
        </w:tc>
        <w:tc>
          <w:tcPr>
            <w:tcW w:w="1418"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
              <w:rPr>
                <w:sz w:val="20"/>
              </w:rPr>
            </w:pPr>
          </w:p>
          <w:p>
            <w:pPr>
              <w:pStyle w:val="TableParagraph"/>
              <w:ind w:left="378"/>
              <w:rPr>
                <w:sz w:val="20"/>
              </w:rPr>
            </w:pPr>
            <w:r>
              <w:rPr>
                <w:spacing w:val="-5"/>
                <w:sz w:val="20"/>
              </w:rPr>
              <w:t>250</w:t>
            </w:r>
          </w:p>
        </w:tc>
        <w:tc>
          <w:tcPr>
            <w:tcW w:w="2722" w:type="dxa"/>
          </w:tcPr>
          <w:p>
            <w:pPr>
              <w:pStyle w:val="TableParagraph"/>
              <w:numPr>
                <w:ilvl w:val="0"/>
                <w:numId w:val="222"/>
              </w:numPr>
              <w:tabs>
                <w:tab w:pos="752" w:val="left" w:leader="none"/>
              </w:tabs>
              <w:spacing w:line="240" w:lineRule="auto" w:before="94" w:after="0"/>
              <w:ind w:left="379" w:right="161" w:firstLine="0"/>
              <w:jc w:val="both"/>
              <w:rPr>
                <w:sz w:val="20"/>
              </w:rPr>
            </w:pPr>
            <w:r>
              <w:rPr>
                <w:sz w:val="20"/>
              </w:rPr>
              <w:t>Fuel</w:t>
            </w:r>
            <w:r>
              <w:rPr>
                <w:spacing w:val="-11"/>
                <w:sz w:val="20"/>
              </w:rPr>
              <w:t> </w:t>
            </w:r>
            <w:r>
              <w:rPr>
                <w:sz w:val="20"/>
              </w:rPr>
              <w:t>used</w:t>
            </w:r>
            <w:r>
              <w:rPr>
                <w:spacing w:val="-14"/>
                <w:sz w:val="20"/>
              </w:rPr>
              <w:t> </w:t>
            </w:r>
            <w:r>
              <w:rPr>
                <w:sz w:val="20"/>
              </w:rPr>
              <w:t>shall</w:t>
            </w:r>
            <w:r>
              <w:rPr>
                <w:spacing w:val="-11"/>
                <w:sz w:val="20"/>
              </w:rPr>
              <w:t> </w:t>
            </w:r>
            <w:r>
              <w:rPr>
                <w:sz w:val="20"/>
              </w:rPr>
              <w:t>be electricity,</w:t>
            </w:r>
            <w:r>
              <w:rPr>
                <w:spacing w:val="40"/>
                <w:sz w:val="20"/>
              </w:rPr>
              <w:t> </w:t>
            </w:r>
            <w:r>
              <w:rPr>
                <w:sz w:val="20"/>
              </w:rPr>
              <w:t>gas </w:t>
            </w:r>
            <w:r>
              <w:rPr>
                <w:sz w:val="20"/>
              </w:rPr>
              <w:t>or Smokeless fuel.</w:t>
            </w:r>
          </w:p>
          <w:p>
            <w:pPr>
              <w:pStyle w:val="TableParagraph"/>
              <w:numPr>
                <w:ilvl w:val="0"/>
                <w:numId w:val="222"/>
              </w:numPr>
              <w:tabs>
                <w:tab w:pos="705" w:val="left" w:leader="none"/>
              </w:tabs>
              <w:spacing w:line="240" w:lineRule="auto" w:before="95" w:after="0"/>
              <w:ind w:left="379" w:right="165" w:firstLine="0"/>
              <w:jc w:val="both"/>
              <w:rPr>
                <w:sz w:val="20"/>
              </w:rPr>
            </w:pPr>
            <w:r>
              <w:rPr>
                <w:sz w:val="20"/>
              </w:rPr>
              <w:t>No floor above the furnace portion</w:t>
            </w:r>
          </w:p>
          <w:p>
            <w:pPr>
              <w:pStyle w:val="TableParagraph"/>
              <w:numPr>
                <w:ilvl w:val="0"/>
                <w:numId w:val="222"/>
              </w:numPr>
              <w:tabs>
                <w:tab w:pos="1095" w:val="left" w:leader="none"/>
              </w:tabs>
              <w:spacing w:line="240" w:lineRule="auto" w:before="97" w:after="0"/>
              <w:ind w:left="379" w:right="161" w:firstLine="0"/>
              <w:jc w:val="both"/>
              <w:rPr>
                <w:sz w:val="20"/>
              </w:rPr>
            </w:pPr>
            <w:r>
              <w:rPr>
                <w:sz w:val="20"/>
              </w:rPr>
              <w:t>Where </w:t>
            </w:r>
            <w:r>
              <w:rPr>
                <w:sz w:val="20"/>
              </w:rPr>
              <w:t>only electric oven is used, an</w:t>
            </w:r>
            <w:r>
              <w:rPr>
                <w:spacing w:val="-8"/>
                <w:sz w:val="20"/>
              </w:rPr>
              <w:t> </w:t>
            </w:r>
            <w:r>
              <w:rPr>
                <w:sz w:val="20"/>
              </w:rPr>
              <w:t>additional</w:t>
            </w:r>
            <w:r>
              <w:rPr>
                <w:spacing w:val="40"/>
                <w:sz w:val="20"/>
              </w:rPr>
              <w:t> </w:t>
            </w:r>
            <w:r>
              <w:rPr>
                <w:sz w:val="20"/>
              </w:rPr>
              <w:t>heating load</w:t>
            </w:r>
            <w:r>
              <w:rPr>
                <w:spacing w:val="40"/>
                <w:sz w:val="20"/>
              </w:rPr>
              <w:t> </w:t>
            </w:r>
            <w:r>
              <w:rPr>
                <w:sz w:val="20"/>
              </w:rPr>
              <w:t>of 24 KVA permitted per</w:t>
            </w:r>
          </w:p>
          <w:p>
            <w:pPr>
              <w:pStyle w:val="TableParagraph"/>
              <w:spacing w:before="96"/>
              <w:ind w:left="379"/>
              <w:rPr>
                <w:sz w:val="20"/>
              </w:rPr>
            </w:pPr>
            <w:r>
              <w:rPr>
                <w:spacing w:val="-2"/>
                <w:sz w:val="20"/>
              </w:rPr>
              <w:t>establishment.</w:t>
            </w:r>
          </w:p>
        </w:tc>
      </w:tr>
      <w:tr>
        <w:trPr>
          <w:trHeight w:val="661" w:hRule="atLeast"/>
        </w:trPr>
        <w:tc>
          <w:tcPr>
            <w:tcW w:w="778" w:type="dxa"/>
            <w:vMerge/>
            <w:tcBorders>
              <w:top w:val="nil"/>
            </w:tcBorders>
          </w:tcPr>
          <w:p>
            <w:pPr>
              <w:rPr>
                <w:sz w:val="2"/>
                <w:szCs w:val="2"/>
              </w:rPr>
            </w:pPr>
          </w:p>
        </w:tc>
        <w:tc>
          <w:tcPr>
            <w:tcW w:w="3121" w:type="dxa"/>
          </w:tcPr>
          <w:p>
            <w:pPr>
              <w:pStyle w:val="TableParagraph"/>
              <w:tabs>
                <w:tab w:pos="1192" w:val="left" w:leader="none"/>
                <w:tab w:pos="2247" w:val="left" w:leader="none"/>
              </w:tabs>
              <w:spacing w:before="94"/>
              <w:ind w:left="378" w:right="164"/>
              <w:rPr>
                <w:sz w:val="20"/>
              </w:rPr>
            </w:pPr>
            <w:r>
              <w:rPr>
                <w:spacing w:val="-2"/>
                <w:sz w:val="20"/>
              </w:rPr>
              <w:t>viii.</w:t>
            </w:r>
            <w:r>
              <w:rPr>
                <w:sz w:val="20"/>
              </w:rPr>
              <w:tab/>
            </w:r>
            <w:r>
              <w:rPr>
                <w:spacing w:val="-2"/>
                <w:sz w:val="20"/>
              </w:rPr>
              <w:t>Coffee</w:t>
            </w:r>
            <w:r>
              <w:rPr>
                <w:sz w:val="20"/>
              </w:rPr>
              <w:tab/>
            </w:r>
            <w:r>
              <w:rPr>
                <w:spacing w:val="-2"/>
                <w:sz w:val="20"/>
              </w:rPr>
              <w:t>curing</w:t>
            </w:r>
            <w:r>
              <w:rPr>
                <w:spacing w:val="-2"/>
                <w:sz w:val="20"/>
              </w:rPr>
              <w:t>,</w:t>
            </w:r>
            <w:r>
              <w:rPr>
                <w:spacing w:val="-2"/>
                <w:sz w:val="20"/>
              </w:rPr>
              <w:t> </w:t>
            </w:r>
            <w:r>
              <w:rPr>
                <w:sz w:val="20"/>
              </w:rPr>
              <w:t>roasting and grinding.</w:t>
            </w:r>
          </w:p>
        </w:tc>
        <w:tc>
          <w:tcPr>
            <w:tcW w:w="1416" w:type="dxa"/>
          </w:tcPr>
          <w:p>
            <w:pPr>
              <w:pStyle w:val="TableParagraph"/>
              <w:spacing w:before="212"/>
              <w:ind w:left="378"/>
              <w:rPr>
                <w:sz w:val="20"/>
              </w:rPr>
            </w:pPr>
            <w:r>
              <w:rPr>
                <w:spacing w:val="-5"/>
                <w:sz w:val="20"/>
              </w:rPr>
              <w:t>1.5</w:t>
            </w:r>
          </w:p>
        </w:tc>
        <w:tc>
          <w:tcPr>
            <w:tcW w:w="1560" w:type="dxa"/>
          </w:tcPr>
          <w:p>
            <w:pPr>
              <w:pStyle w:val="TableParagraph"/>
              <w:spacing w:before="212"/>
              <w:ind w:left="378"/>
              <w:rPr>
                <w:sz w:val="20"/>
              </w:rPr>
            </w:pPr>
            <w:r>
              <w:rPr>
                <w:spacing w:val="-10"/>
                <w:sz w:val="20"/>
              </w:rPr>
              <w:t>9</w:t>
            </w:r>
          </w:p>
        </w:tc>
        <w:tc>
          <w:tcPr>
            <w:tcW w:w="1418" w:type="dxa"/>
          </w:tcPr>
          <w:p>
            <w:pPr>
              <w:pStyle w:val="TableParagraph"/>
              <w:spacing w:before="212"/>
              <w:ind w:left="378"/>
              <w:rPr>
                <w:sz w:val="20"/>
              </w:rPr>
            </w:pPr>
            <w:r>
              <w:rPr>
                <w:color w:val="000000"/>
                <w:spacing w:val="-5"/>
                <w:sz w:val="20"/>
                <w:shd w:fill="FFCCFF" w:color="auto" w:val="clear"/>
              </w:rPr>
              <w:t>50</w:t>
            </w:r>
          </w:p>
        </w:tc>
        <w:tc>
          <w:tcPr>
            <w:tcW w:w="2722" w:type="dxa"/>
            <w:vMerge w:val="restart"/>
          </w:tcPr>
          <w:p>
            <w:pPr>
              <w:pStyle w:val="TableParagraph"/>
              <w:rPr>
                <w:rFonts w:ascii="Times New Roman"/>
                <w:sz w:val="18"/>
              </w:rPr>
            </w:pPr>
          </w:p>
        </w:tc>
      </w:tr>
      <w:tr>
        <w:trPr>
          <w:trHeight w:val="426" w:hRule="atLeast"/>
        </w:trPr>
        <w:tc>
          <w:tcPr>
            <w:tcW w:w="778" w:type="dxa"/>
            <w:vMerge/>
            <w:tcBorders>
              <w:top w:val="nil"/>
            </w:tcBorders>
          </w:tcPr>
          <w:p>
            <w:pPr>
              <w:rPr>
                <w:sz w:val="2"/>
                <w:szCs w:val="2"/>
              </w:rPr>
            </w:pPr>
          </w:p>
        </w:tc>
        <w:tc>
          <w:tcPr>
            <w:tcW w:w="3121" w:type="dxa"/>
          </w:tcPr>
          <w:p>
            <w:pPr>
              <w:pStyle w:val="TableParagraph"/>
              <w:spacing w:before="94"/>
              <w:ind w:left="378"/>
              <w:rPr>
                <w:sz w:val="20"/>
              </w:rPr>
            </w:pPr>
            <w:r>
              <w:rPr>
                <w:sz w:val="20"/>
              </w:rPr>
              <w:t>ix.</w:t>
            </w:r>
            <w:r>
              <w:rPr>
                <w:spacing w:val="25"/>
                <w:sz w:val="20"/>
              </w:rPr>
              <w:t>  </w:t>
            </w:r>
            <w:r>
              <w:rPr>
                <w:sz w:val="20"/>
              </w:rPr>
              <w:t>Manufacture</w:t>
            </w:r>
            <w:r>
              <w:rPr>
                <w:spacing w:val="-4"/>
                <w:sz w:val="20"/>
              </w:rPr>
              <w:t> </w:t>
            </w:r>
            <w:r>
              <w:rPr>
                <w:sz w:val="20"/>
              </w:rPr>
              <w:t>of</w:t>
            </w:r>
            <w:r>
              <w:rPr>
                <w:spacing w:val="-4"/>
                <w:sz w:val="20"/>
              </w:rPr>
              <w:t> </w:t>
            </w:r>
            <w:r>
              <w:rPr>
                <w:spacing w:val="-5"/>
                <w:sz w:val="20"/>
              </w:rPr>
              <w:t>ice</w:t>
            </w:r>
          </w:p>
        </w:tc>
        <w:tc>
          <w:tcPr>
            <w:tcW w:w="1416" w:type="dxa"/>
          </w:tcPr>
          <w:p>
            <w:pPr>
              <w:pStyle w:val="TableParagraph"/>
              <w:spacing w:before="94"/>
              <w:ind w:left="378"/>
              <w:rPr>
                <w:sz w:val="20"/>
              </w:rPr>
            </w:pPr>
            <w:r>
              <w:rPr>
                <w:spacing w:val="-4"/>
                <w:sz w:val="20"/>
              </w:rPr>
              <w:t>45.0</w:t>
            </w:r>
          </w:p>
        </w:tc>
        <w:tc>
          <w:tcPr>
            <w:tcW w:w="1560" w:type="dxa"/>
          </w:tcPr>
          <w:p>
            <w:pPr>
              <w:pStyle w:val="TableParagraph"/>
              <w:spacing w:before="94"/>
              <w:ind w:left="378"/>
              <w:rPr>
                <w:sz w:val="20"/>
              </w:rPr>
            </w:pPr>
            <w:r>
              <w:rPr>
                <w:spacing w:val="-5"/>
                <w:sz w:val="20"/>
              </w:rPr>
              <w:t>20</w:t>
            </w:r>
          </w:p>
        </w:tc>
        <w:tc>
          <w:tcPr>
            <w:tcW w:w="1418" w:type="dxa"/>
          </w:tcPr>
          <w:p>
            <w:pPr>
              <w:pStyle w:val="TableParagraph"/>
              <w:spacing w:before="94"/>
              <w:ind w:left="378"/>
              <w:rPr>
                <w:sz w:val="20"/>
              </w:rPr>
            </w:pPr>
            <w:r>
              <w:rPr>
                <w:spacing w:val="-5"/>
                <w:sz w:val="20"/>
              </w:rPr>
              <w:t>250</w:t>
            </w:r>
          </w:p>
        </w:tc>
        <w:tc>
          <w:tcPr>
            <w:tcW w:w="2722" w:type="dxa"/>
            <w:vMerge/>
            <w:tcBorders>
              <w:top w:val="nil"/>
            </w:tcBorders>
          </w:tcPr>
          <w:p>
            <w:pPr>
              <w:rPr>
                <w:sz w:val="2"/>
                <w:szCs w:val="2"/>
              </w:rPr>
            </w:pPr>
          </w:p>
        </w:tc>
      </w:tr>
      <w:tr>
        <w:trPr>
          <w:trHeight w:val="661" w:hRule="atLeast"/>
        </w:trPr>
        <w:tc>
          <w:tcPr>
            <w:tcW w:w="778" w:type="dxa"/>
            <w:vMerge/>
            <w:tcBorders>
              <w:top w:val="nil"/>
            </w:tcBorders>
          </w:tcPr>
          <w:p>
            <w:pPr>
              <w:rPr>
                <w:sz w:val="2"/>
                <w:szCs w:val="2"/>
              </w:rPr>
            </w:pPr>
          </w:p>
        </w:tc>
        <w:tc>
          <w:tcPr>
            <w:tcW w:w="3121" w:type="dxa"/>
          </w:tcPr>
          <w:p>
            <w:pPr>
              <w:pStyle w:val="TableParagraph"/>
              <w:spacing w:before="94"/>
              <w:ind w:left="378"/>
              <w:rPr>
                <w:sz w:val="20"/>
              </w:rPr>
            </w:pPr>
            <w:r>
              <w:rPr>
                <w:sz w:val="20"/>
              </w:rPr>
              <w:t>x.</w:t>
            </w:r>
            <w:r>
              <w:rPr>
                <w:spacing w:val="80"/>
                <w:sz w:val="20"/>
              </w:rPr>
              <w:t> </w:t>
            </w:r>
            <w:r>
              <w:rPr>
                <w:sz w:val="20"/>
              </w:rPr>
              <w:t>Sugarcane</w:t>
            </w:r>
            <w:r>
              <w:rPr>
                <w:spacing w:val="80"/>
                <w:sz w:val="20"/>
              </w:rPr>
              <w:t> </w:t>
            </w:r>
            <w:r>
              <w:rPr>
                <w:sz w:val="20"/>
              </w:rPr>
              <w:t>and</w:t>
            </w:r>
            <w:r>
              <w:rPr>
                <w:spacing w:val="80"/>
                <w:sz w:val="20"/>
              </w:rPr>
              <w:t> </w:t>
            </w:r>
            <w:r>
              <w:rPr>
                <w:sz w:val="20"/>
              </w:rPr>
              <w:t>fruit juice crashers</w:t>
            </w:r>
          </w:p>
        </w:tc>
        <w:tc>
          <w:tcPr>
            <w:tcW w:w="1416" w:type="dxa"/>
          </w:tcPr>
          <w:p>
            <w:pPr>
              <w:pStyle w:val="TableParagraph"/>
              <w:spacing w:before="212"/>
              <w:ind w:left="378"/>
              <w:rPr>
                <w:sz w:val="20"/>
              </w:rPr>
            </w:pPr>
            <w:r>
              <w:rPr>
                <w:spacing w:val="-5"/>
                <w:sz w:val="20"/>
              </w:rPr>
              <w:t>1.5</w:t>
            </w:r>
          </w:p>
        </w:tc>
        <w:tc>
          <w:tcPr>
            <w:tcW w:w="1560" w:type="dxa"/>
          </w:tcPr>
          <w:p>
            <w:pPr>
              <w:pStyle w:val="TableParagraph"/>
              <w:spacing w:before="212"/>
              <w:ind w:left="378"/>
              <w:rPr>
                <w:sz w:val="20"/>
              </w:rPr>
            </w:pPr>
            <w:r>
              <w:rPr>
                <w:spacing w:val="-10"/>
                <w:sz w:val="20"/>
              </w:rPr>
              <w:t>9</w:t>
            </w:r>
          </w:p>
        </w:tc>
        <w:tc>
          <w:tcPr>
            <w:tcW w:w="1418" w:type="dxa"/>
          </w:tcPr>
          <w:p>
            <w:pPr>
              <w:pStyle w:val="TableParagraph"/>
              <w:spacing w:before="212"/>
              <w:ind w:left="378"/>
              <w:rPr>
                <w:sz w:val="20"/>
              </w:rPr>
            </w:pPr>
            <w:r>
              <w:rPr>
                <w:color w:val="000000"/>
                <w:sz w:val="20"/>
                <w:shd w:fill="FFCCFF" w:color="auto" w:val="clear"/>
              </w:rPr>
              <w:t>25</w:t>
            </w:r>
            <w:r>
              <w:rPr>
                <w:color w:val="000000"/>
                <w:spacing w:val="-3"/>
                <w:sz w:val="20"/>
                <w:shd w:fill="FFCCFF" w:color="auto" w:val="clear"/>
              </w:rPr>
              <w:t> </w:t>
            </w:r>
            <w:r>
              <w:rPr>
                <w:color w:val="000000"/>
                <w:spacing w:val="-5"/>
                <w:sz w:val="20"/>
                <w:shd w:fill="FFCCFF" w:color="auto" w:val="clear"/>
              </w:rPr>
              <w:t>250</w:t>
            </w:r>
          </w:p>
        </w:tc>
        <w:tc>
          <w:tcPr>
            <w:tcW w:w="2722" w:type="dxa"/>
            <w:vMerge/>
            <w:tcBorders>
              <w:top w:val="nil"/>
            </w:tcBorders>
          </w:tcPr>
          <w:p>
            <w:pPr>
              <w:rPr>
                <w:sz w:val="2"/>
                <w:szCs w:val="2"/>
              </w:rPr>
            </w:pPr>
          </w:p>
        </w:tc>
      </w:tr>
      <w:tr>
        <w:trPr>
          <w:trHeight w:val="661" w:hRule="atLeast"/>
        </w:trPr>
        <w:tc>
          <w:tcPr>
            <w:tcW w:w="778" w:type="dxa"/>
          </w:tcPr>
          <w:p>
            <w:pPr>
              <w:pStyle w:val="TableParagraph"/>
              <w:spacing w:before="94"/>
              <w:ind w:left="381"/>
              <w:rPr>
                <w:sz w:val="20"/>
              </w:rPr>
            </w:pPr>
            <w:r>
              <w:rPr>
                <w:spacing w:val="-5"/>
                <w:sz w:val="20"/>
              </w:rPr>
              <w:t>II</w:t>
            </w:r>
          </w:p>
        </w:tc>
        <w:tc>
          <w:tcPr>
            <w:tcW w:w="3121" w:type="dxa"/>
          </w:tcPr>
          <w:p>
            <w:pPr>
              <w:pStyle w:val="TableParagraph"/>
              <w:tabs>
                <w:tab w:pos="1472" w:val="left" w:leader="none"/>
                <w:tab w:pos="2297" w:val="left" w:leader="none"/>
              </w:tabs>
              <w:spacing w:before="94"/>
              <w:ind w:left="378" w:right="165"/>
              <w:rPr>
                <w:sz w:val="20"/>
              </w:rPr>
            </w:pPr>
            <w:r>
              <w:rPr>
                <w:spacing w:val="-2"/>
                <w:sz w:val="20"/>
              </w:rPr>
              <w:t>Textile</w:t>
            </w:r>
            <w:r>
              <w:rPr>
                <w:sz w:val="20"/>
              </w:rPr>
              <w:tab/>
            </w:r>
            <w:r>
              <w:rPr>
                <w:spacing w:val="-4"/>
                <w:sz w:val="20"/>
              </w:rPr>
              <w:t>and</w:t>
            </w:r>
            <w:r>
              <w:rPr>
                <w:sz w:val="20"/>
              </w:rPr>
              <w:tab/>
            </w:r>
            <w:r>
              <w:rPr>
                <w:spacing w:val="-2"/>
                <w:sz w:val="20"/>
              </w:rPr>
              <w:t>Textile Products-</w:t>
            </w:r>
          </w:p>
        </w:tc>
        <w:tc>
          <w:tcPr>
            <w:tcW w:w="1416" w:type="dxa"/>
          </w:tcPr>
          <w:p>
            <w:pPr>
              <w:pStyle w:val="TableParagraph"/>
              <w:spacing w:before="212"/>
              <w:ind w:left="378"/>
              <w:rPr>
                <w:sz w:val="20"/>
              </w:rPr>
            </w:pPr>
            <w:r>
              <w:rPr>
                <w:spacing w:val="-4"/>
                <w:sz w:val="20"/>
              </w:rPr>
              <w:t>3.75</w:t>
            </w:r>
          </w:p>
        </w:tc>
        <w:tc>
          <w:tcPr>
            <w:tcW w:w="1560" w:type="dxa"/>
          </w:tcPr>
          <w:p>
            <w:pPr>
              <w:pStyle w:val="TableParagraph"/>
              <w:spacing w:before="212"/>
              <w:ind w:left="378"/>
              <w:rPr>
                <w:sz w:val="20"/>
              </w:rPr>
            </w:pPr>
            <w:r>
              <w:rPr>
                <w:spacing w:val="-10"/>
                <w:sz w:val="20"/>
              </w:rPr>
              <w:t>9</w:t>
            </w:r>
          </w:p>
        </w:tc>
        <w:tc>
          <w:tcPr>
            <w:tcW w:w="1418" w:type="dxa"/>
          </w:tcPr>
          <w:p>
            <w:pPr>
              <w:pStyle w:val="TableParagraph"/>
              <w:rPr>
                <w:rFonts w:ascii="Times New Roman"/>
                <w:sz w:val="18"/>
              </w:rPr>
            </w:pPr>
          </w:p>
        </w:tc>
        <w:tc>
          <w:tcPr>
            <w:tcW w:w="2722" w:type="dxa"/>
          </w:tcPr>
          <w:p>
            <w:pPr>
              <w:pStyle w:val="TableParagraph"/>
              <w:rPr>
                <w:rFonts w:ascii="Times New Roman"/>
                <w:sz w:val="18"/>
              </w:rPr>
            </w:pPr>
          </w:p>
        </w:tc>
      </w:tr>
    </w:tbl>
    <w:p>
      <w:pPr>
        <w:pStyle w:val="TableParagraph"/>
        <w:spacing w:after="0"/>
        <w:rPr>
          <w:rFonts w:ascii="Times New Roman"/>
          <w:sz w:val="18"/>
        </w:rPr>
        <w:sectPr>
          <w:pgSz w:w="11910" w:h="16840"/>
          <w:pgMar w:header="1058" w:footer="1088" w:top="1500" w:bottom="1280" w:left="360" w:right="360"/>
        </w:sectPr>
      </w:pPr>
    </w:p>
    <w:p>
      <w:pPr>
        <w:pStyle w:val="BodyText"/>
        <w:spacing w:before="20"/>
        <w:jc w:val="left"/>
        <w:rPr>
          <w:sz w:val="20"/>
        </w:rPr>
      </w:pPr>
    </w:p>
    <w:tbl>
      <w:tblPr>
        <w:tblW w:w="0" w:type="auto"/>
        <w:jc w:val="left"/>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8"/>
        <w:gridCol w:w="3121"/>
        <w:gridCol w:w="1416"/>
        <w:gridCol w:w="1560"/>
        <w:gridCol w:w="1418"/>
        <w:gridCol w:w="2693"/>
      </w:tblGrid>
      <w:tr>
        <w:trPr>
          <w:trHeight w:val="607" w:hRule="atLeast"/>
        </w:trPr>
        <w:tc>
          <w:tcPr>
            <w:tcW w:w="778" w:type="dxa"/>
            <w:vMerge w:val="restart"/>
          </w:tcPr>
          <w:p>
            <w:pPr>
              <w:pStyle w:val="TableParagraph"/>
              <w:rPr>
                <w:rFonts w:ascii="Times New Roman"/>
                <w:sz w:val="18"/>
              </w:rPr>
            </w:pPr>
          </w:p>
        </w:tc>
        <w:tc>
          <w:tcPr>
            <w:tcW w:w="3121" w:type="dxa"/>
            <w:tcBorders>
              <w:bottom w:val="nil"/>
            </w:tcBorders>
          </w:tcPr>
          <w:p>
            <w:pPr>
              <w:pStyle w:val="TableParagraph"/>
              <w:tabs>
                <w:tab w:pos="1021" w:val="left" w:leader="none"/>
                <w:tab w:pos="2566" w:val="left" w:leader="none"/>
              </w:tabs>
              <w:spacing w:before="97"/>
              <w:ind w:left="378" w:right="166"/>
              <w:rPr>
                <w:sz w:val="20"/>
              </w:rPr>
            </w:pPr>
            <w:r>
              <w:rPr>
                <w:spacing w:val="-4"/>
                <w:sz w:val="20"/>
              </w:rPr>
              <w:t>xi.</w:t>
            </w:r>
            <w:r>
              <w:rPr>
                <w:sz w:val="20"/>
              </w:rPr>
              <w:tab/>
            </w:r>
            <w:r>
              <w:rPr>
                <w:spacing w:val="-2"/>
                <w:sz w:val="20"/>
              </w:rPr>
              <w:t>Embroidery</w:t>
            </w:r>
            <w:r>
              <w:rPr>
                <w:sz w:val="20"/>
              </w:rPr>
              <w:tab/>
            </w:r>
            <w:r>
              <w:rPr>
                <w:spacing w:val="-4"/>
                <w:sz w:val="20"/>
              </w:rPr>
              <w:t>an</w:t>
            </w:r>
            <w:r>
              <w:rPr>
                <w:spacing w:val="-4"/>
                <w:sz w:val="20"/>
              </w:rPr>
              <w:t>d</w:t>
            </w:r>
            <w:r>
              <w:rPr>
                <w:spacing w:val="-4"/>
                <w:sz w:val="20"/>
              </w:rPr>
              <w:t> </w:t>
            </w:r>
            <w:r>
              <w:rPr>
                <w:sz w:val="20"/>
              </w:rPr>
              <w:t>making of</w:t>
            </w:r>
          </w:p>
        </w:tc>
        <w:tc>
          <w:tcPr>
            <w:tcW w:w="1416" w:type="dxa"/>
            <w:vMerge w:val="restart"/>
          </w:tcPr>
          <w:p>
            <w:pPr>
              <w:pStyle w:val="TableParagraph"/>
              <w:rPr>
                <w:rFonts w:ascii="Times New Roman"/>
                <w:sz w:val="18"/>
              </w:rPr>
            </w:pPr>
          </w:p>
        </w:tc>
        <w:tc>
          <w:tcPr>
            <w:tcW w:w="1560" w:type="dxa"/>
            <w:vMerge w:val="restart"/>
          </w:tcPr>
          <w:p>
            <w:pPr>
              <w:pStyle w:val="TableParagraph"/>
              <w:rPr>
                <w:rFonts w:ascii="Times New Roman"/>
                <w:sz w:val="18"/>
              </w:rPr>
            </w:pPr>
          </w:p>
        </w:tc>
        <w:tc>
          <w:tcPr>
            <w:tcW w:w="1418" w:type="dxa"/>
            <w:tcBorders>
              <w:bottom w:val="nil"/>
            </w:tcBorders>
          </w:tcPr>
          <w:p>
            <w:pPr>
              <w:pStyle w:val="TableParagraph"/>
              <w:spacing w:before="1"/>
              <w:ind w:left="378"/>
              <w:rPr>
                <w:sz w:val="20"/>
              </w:rPr>
            </w:pPr>
            <w:r>
              <w:rPr>
                <w:color w:val="000000"/>
                <w:spacing w:val="-5"/>
                <w:sz w:val="20"/>
                <w:shd w:fill="FFCCFF" w:color="auto" w:val="clear"/>
              </w:rPr>
              <w:t>50</w:t>
            </w:r>
          </w:p>
        </w:tc>
        <w:tc>
          <w:tcPr>
            <w:tcW w:w="2693" w:type="dxa"/>
            <w:vMerge w:val="restart"/>
          </w:tcPr>
          <w:p>
            <w:pPr>
              <w:pStyle w:val="TableParagraph"/>
              <w:rPr>
                <w:rFonts w:ascii="Times New Roman"/>
                <w:sz w:val="18"/>
              </w:rPr>
            </w:pPr>
          </w:p>
        </w:tc>
      </w:tr>
      <w:tr>
        <w:trPr>
          <w:trHeight w:val="371" w:hRule="atLeast"/>
        </w:trPr>
        <w:tc>
          <w:tcPr>
            <w:tcW w:w="778" w:type="dxa"/>
            <w:vMerge/>
            <w:tcBorders>
              <w:top w:val="nil"/>
            </w:tcBorders>
          </w:tcPr>
          <w:p>
            <w:pPr>
              <w:rPr>
                <w:sz w:val="2"/>
                <w:szCs w:val="2"/>
              </w:rPr>
            </w:pPr>
          </w:p>
        </w:tc>
        <w:tc>
          <w:tcPr>
            <w:tcW w:w="3121" w:type="dxa"/>
            <w:tcBorders>
              <w:top w:val="nil"/>
            </w:tcBorders>
          </w:tcPr>
          <w:p>
            <w:pPr>
              <w:pStyle w:val="TableParagraph"/>
              <w:spacing w:before="39"/>
              <w:ind w:left="378"/>
              <w:rPr>
                <w:sz w:val="20"/>
              </w:rPr>
            </w:pPr>
            <w:r>
              <w:rPr>
                <w:sz w:val="20"/>
              </w:rPr>
              <w:t>crepe</w:t>
            </w:r>
            <w:r>
              <w:rPr>
                <w:spacing w:val="-6"/>
                <w:sz w:val="20"/>
              </w:rPr>
              <w:t> </w:t>
            </w:r>
            <w:r>
              <w:rPr>
                <w:sz w:val="20"/>
              </w:rPr>
              <w:t>laces</w:t>
            </w:r>
            <w:r>
              <w:rPr>
                <w:spacing w:val="-5"/>
                <w:sz w:val="20"/>
              </w:rPr>
              <w:t> </w:t>
            </w:r>
            <w:r>
              <w:rPr>
                <w:sz w:val="20"/>
              </w:rPr>
              <w:t>and</w:t>
            </w:r>
            <w:r>
              <w:rPr>
                <w:spacing w:val="-6"/>
                <w:sz w:val="20"/>
              </w:rPr>
              <w:t> </w:t>
            </w:r>
            <w:r>
              <w:rPr>
                <w:spacing w:val="-2"/>
                <w:sz w:val="20"/>
              </w:rPr>
              <w:t>fringes.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tcBorders>
              <w:top w:val="nil"/>
            </w:tcBorders>
          </w:tcPr>
          <w:p>
            <w:pPr>
              <w:pStyle w:val="TableParagraph"/>
              <w:rPr>
                <w:rFonts w:ascii="Times New Roman"/>
                <w:sz w:val="18"/>
              </w:rPr>
            </w:pPr>
          </w:p>
        </w:tc>
        <w:tc>
          <w:tcPr>
            <w:tcW w:w="2693" w:type="dxa"/>
            <w:vMerge/>
            <w:tcBorders>
              <w:top w:val="nil"/>
            </w:tcBorders>
          </w:tcPr>
          <w:p>
            <w:pPr>
              <w:rPr>
                <w:sz w:val="2"/>
                <w:szCs w:val="2"/>
              </w:rPr>
            </w:pPr>
          </w:p>
        </w:tc>
      </w:tr>
      <w:tr>
        <w:trPr>
          <w:trHeight w:val="1545" w:hRule="atLeast"/>
        </w:trPr>
        <w:tc>
          <w:tcPr>
            <w:tcW w:w="778" w:type="dxa"/>
            <w:vMerge/>
            <w:tcBorders>
              <w:top w:val="nil"/>
            </w:tcBorders>
          </w:tcPr>
          <w:p>
            <w:pPr>
              <w:rPr>
                <w:sz w:val="2"/>
                <w:szCs w:val="2"/>
              </w:rPr>
            </w:pPr>
          </w:p>
        </w:tc>
        <w:tc>
          <w:tcPr>
            <w:tcW w:w="3121" w:type="dxa"/>
            <w:tcBorders>
              <w:bottom w:val="nil"/>
            </w:tcBorders>
          </w:tcPr>
          <w:p>
            <w:pPr>
              <w:pStyle w:val="TableParagraph"/>
              <w:tabs>
                <w:tab w:pos="2058" w:val="left" w:leader="none"/>
              </w:tabs>
              <w:spacing w:before="94"/>
              <w:ind w:left="378" w:right="166"/>
              <w:jc w:val="both"/>
              <w:rPr>
                <w:sz w:val="20"/>
              </w:rPr>
            </w:pPr>
            <w:r>
              <w:rPr>
                <w:sz w:val="20"/>
              </w:rPr>
              <w:t>xii. Manufacture of textile goods, such as wearing </w:t>
            </w:r>
            <w:r>
              <w:rPr>
                <w:spacing w:val="-2"/>
                <w:sz w:val="20"/>
              </w:rPr>
              <w:t>apparel,</w:t>
            </w:r>
            <w:r>
              <w:rPr>
                <w:sz w:val="20"/>
              </w:rPr>
              <w:tab/>
            </w:r>
            <w:r>
              <w:rPr>
                <w:spacing w:val="-2"/>
                <w:sz w:val="20"/>
              </w:rPr>
              <w:t>curtains</w:t>
            </w:r>
            <w:r>
              <w:rPr>
                <w:spacing w:val="-2"/>
                <w:sz w:val="20"/>
              </w:rPr>
              <w:t>,</w:t>
            </w:r>
            <w:r>
              <w:rPr>
                <w:spacing w:val="-2"/>
                <w:sz w:val="20"/>
              </w:rPr>
              <w:t> </w:t>
            </w:r>
            <w:r>
              <w:rPr>
                <w:sz w:val="20"/>
              </w:rPr>
              <w:t>mosquito</w:t>
            </w:r>
            <w:r>
              <w:rPr>
                <w:spacing w:val="-8"/>
                <w:sz w:val="20"/>
              </w:rPr>
              <w:t> </w:t>
            </w:r>
            <w:r>
              <w:rPr>
                <w:sz w:val="20"/>
              </w:rPr>
              <w:t>net,</w:t>
            </w:r>
            <w:r>
              <w:rPr>
                <w:spacing w:val="-7"/>
                <w:sz w:val="20"/>
              </w:rPr>
              <w:t> </w:t>
            </w:r>
            <w:r>
              <w:rPr>
                <w:sz w:val="20"/>
              </w:rPr>
              <w:t>mattresses, bedding material, pillow cases, and textile bags.</w:t>
            </w:r>
          </w:p>
        </w:tc>
        <w:tc>
          <w:tcPr>
            <w:tcW w:w="1416" w:type="dxa"/>
            <w:tcBorders>
              <w:bottom w:val="nil"/>
            </w:tcBorders>
          </w:tcPr>
          <w:p>
            <w:pPr>
              <w:pStyle w:val="TableParagraph"/>
              <w:rPr>
                <w:sz w:val="20"/>
              </w:rPr>
            </w:pPr>
          </w:p>
          <w:p>
            <w:pPr>
              <w:pStyle w:val="TableParagraph"/>
              <w:rPr>
                <w:sz w:val="20"/>
              </w:rPr>
            </w:pPr>
          </w:p>
          <w:p>
            <w:pPr>
              <w:pStyle w:val="TableParagraph"/>
              <w:spacing w:before="95"/>
              <w:rPr>
                <w:sz w:val="20"/>
              </w:rPr>
            </w:pPr>
          </w:p>
          <w:p>
            <w:pPr>
              <w:pStyle w:val="TableParagraph"/>
              <w:ind w:left="378"/>
              <w:rPr>
                <w:sz w:val="20"/>
              </w:rPr>
            </w:pPr>
            <w:r>
              <w:rPr>
                <w:spacing w:val="-4"/>
                <w:sz w:val="20"/>
              </w:rPr>
              <w:t>2.25</w:t>
            </w:r>
          </w:p>
        </w:tc>
        <w:tc>
          <w:tcPr>
            <w:tcW w:w="1560" w:type="dxa"/>
            <w:tcBorders>
              <w:bottom w:val="nil"/>
            </w:tcBorders>
          </w:tcPr>
          <w:p>
            <w:pPr>
              <w:pStyle w:val="TableParagraph"/>
              <w:rPr>
                <w:sz w:val="20"/>
              </w:rPr>
            </w:pPr>
          </w:p>
          <w:p>
            <w:pPr>
              <w:pStyle w:val="TableParagraph"/>
              <w:rPr>
                <w:sz w:val="20"/>
              </w:rPr>
            </w:pPr>
          </w:p>
          <w:p>
            <w:pPr>
              <w:pStyle w:val="TableParagraph"/>
              <w:spacing w:before="95"/>
              <w:rPr>
                <w:sz w:val="20"/>
              </w:rPr>
            </w:pPr>
          </w:p>
          <w:p>
            <w:pPr>
              <w:pStyle w:val="TableParagraph"/>
              <w:ind w:left="378"/>
              <w:rPr>
                <w:sz w:val="20"/>
              </w:rPr>
            </w:pPr>
            <w:r>
              <w:rPr>
                <w:spacing w:val="-10"/>
                <w:sz w:val="20"/>
              </w:rPr>
              <w:t>9</w:t>
            </w:r>
          </w:p>
        </w:tc>
        <w:tc>
          <w:tcPr>
            <w:tcW w:w="1418" w:type="dxa"/>
            <w:tcBorders>
              <w:bottom w:val="nil"/>
            </w:tcBorders>
          </w:tcPr>
          <w:p>
            <w:pPr>
              <w:pStyle w:val="TableParagraph"/>
              <w:rPr>
                <w:sz w:val="20"/>
              </w:rPr>
            </w:pPr>
          </w:p>
          <w:p>
            <w:pPr>
              <w:pStyle w:val="TableParagraph"/>
              <w:rPr>
                <w:sz w:val="20"/>
              </w:rPr>
            </w:pPr>
          </w:p>
          <w:p>
            <w:pPr>
              <w:pStyle w:val="TableParagraph"/>
              <w:rPr>
                <w:sz w:val="20"/>
              </w:rPr>
            </w:pPr>
          </w:p>
          <w:p>
            <w:pPr>
              <w:pStyle w:val="TableParagraph"/>
              <w:spacing w:before="26"/>
              <w:rPr>
                <w:sz w:val="20"/>
              </w:rPr>
            </w:pPr>
          </w:p>
          <w:p>
            <w:pPr>
              <w:pStyle w:val="TableParagraph"/>
              <w:ind w:left="378"/>
              <w:rPr>
                <w:sz w:val="20"/>
              </w:rPr>
            </w:pPr>
            <w:r>
              <w:rPr>
                <w:color w:val="000000"/>
                <w:spacing w:val="-5"/>
                <w:sz w:val="20"/>
                <w:shd w:fill="FFCCFF" w:color="auto" w:val="clear"/>
              </w:rPr>
              <w:t>50</w:t>
            </w:r>
          </w:p>
        </w:tc>
        <w:tc>
          <w:tcPr>
            <w:tcW w:w="2693" w:type="dxa"/>
            <w:vMerge/>
            <w:tcBorders>
              <w:top w:val="nil"/>
            </w:tcBorders>
          </w:tcPr>
          <w:p>
            <w:pPr>
              <w:rPr>
                <w:sz w:val="2"/>
                <w:szCs w:val="2"/>
              </w:rPr>
            </w:pPr>
          </w:p>
        </w:tc>
      </w:tr>
      <w:tr>
        <w:trPr>
          <w:trHeight w:val="606" w:hRule="atLeast"/>
        </w:trPr>
        <w:tc>
          <w:tcPr>
            <w:tcW w:w="778" w:type="dxa"/>
            <w:vMerge/>
            <w:tcBorders>
              <w:top w:val="nil"/>
            </w:tcBorders>
          </w:tcPr>
          <w:p>
            <w:pPr>
              <w:rPr>
                <w:sz w:val="2"/>
                <w:szCs w:val="2"/>
              </w:rPr>
            </w:pPr>
          </w:p>
        </w:tc>
        <w:tc>
          <w:tcPr>
            <w:tcW w:w="3121" w:type="dxa"/>
            <w:tcBorders>
              <w:top w:val="nil"/>
            </w:tcBorders>
          </w:tcPr>
          <w:p>
            <w:pPr>
              <w:pStyle w:val="TableParagraph"/>
              <w:tabs>
                <w:tab w:pos="2209" w:val="left" w:leader="none"/>
              </w:tabs>
              <w:spacing w:before="39"/>
              <w:ind w:left="378" w:right="166"/>
              <w:rPr>
                <w:sz w:val="20"/>
              </w:rPr>
            </w:pPr>
            <w:r>
              <w:rPr>
                <w:spacing w:val="-2"/>
                <w:sz w:val="20"/>
              </w:rPr>
              <w:t>xiii.Mattress</w:t>
            </w:r>
            <w:r>
              <w:rPr>
                <w:sz w:val="20"/>
              </w:rPr>
              <w:tab/>
            </w:r>
            <w:r>
              <w:rPr>
                <w:spacing w:val="-2"/>
                <w:sz w:val="20"/>
              </w:rPr>
              <w:t>makin</w:t>
            </w:r>
            <w:r>
              <w:rPr>
                <w:spacing w:val="-2"/>
                <w:sz w:val="20"/>
              </w:rPr>
              <w:t>g</w:t>
            </w:r>
            <w:r>
              <w:rPr>
                <w:spacing w:val="-2"/>
                <w:sz w:val="20"/>
              </w:rPr>
              <w:t> </w:t>
            </w:r>
            <w:r>
              <w:rPr>
                <w:sz w:val="20"/>
              </w:rPr>
              <w:t>andcotton cleaning.</w:t>
            </w:r>
          </w:p>
        </w:tc>
        <w:tc>
          <w:tcPr>
            <w:tcW w:w="1416" w:type="dxa"/>
            <w:tcBorders>
              <w:top w:val="nil"/>
            </w:tcBorders>
          </w:tcPr>
          <w:p>
            <w:pPr>
              <w:pStyle w:val="TableParagraph"/>
              <w:rPr>
                <w:rFonts w:ascii="Times New Roman"/>
                <w:sz w:val="18"/>
              </w:rPr>
            </w:pPr>
          </w:p>
        </w:tc>
        <w:tc>
          <w:tcPr>
            <w:tcW w:w="1560" w:type="dxa"/>
            <w:tcBorders>
              <w:top w:val="nil"/>
            </w:tcBorders>
          </w:tcPr>
          <w:p>
            <w:pPr>
              <w:pStyle w:val="TableParagraph"/>
              <w:rPr>
                <w:rFonts w:ascii="Times New Roman"/>
                <w:sz w:val="18"/>
              </w:rPr>
            </w:pPr>
          </w:p>
        </w:tc>
        <w:tc>
          <w:tcPr>
            <w:tcW w:w="1418" w:type="dxa"/>
            <w:tcBorders>
              <w:top w:val="nil"/>
            </w:tcBorders>
          </w:tcPr>
          <w:p>
            <w:pPr>
              <w:pStyle w:val="TableParagraph"/>
              <w:rPr>
                <w:rFonts w:ascii="Times New Roman"/>
                <w:sz w:val="18"/>
              </w:rPr>
            </w:pPr>
          </w:p>
        </w:tc>
        <w:tc>
          <w:tcPr>
            <w:tcW w:w="2693" w:type="dxa"/>
            <w:vMerge/>
            <w:tcBorders>
              <w:top w:val="nil"/>
            </w:tcBorders>
          </w:tcPr>
          <w:p>
            <w:pPr>
              <w:rPr>
                <w:sz w:val="2"/>
                <w:szCs w:val="2"/>
              </w:rPr>
            </w:pPr>
          </w:p>
        </w:tc>
      </w:tr>
      <w:tr>
        <w:trPr>
          <w:trHeight w:val="662" w:hRule="atLeast"/>
        </w:trPr>
        <w:tc>
          <w:tcPr>
            <w:tcW w:w="778" w:type="dxa"/>
            <w:vMerge w:val="restart"/>
          </w:tcPr>
          <w:p>
            <w:pPr>
              <w:pStyle w:val="TableParagraph"/>
              <w:spacing w:before="94"/>
              <w:ind w:left="381"/>
              <w:rPr>
                <w:sz w:val="20"/>
              </w:rPr>
            </w:pPr>
            <w:r>
              <w:rPr>
                <w:spacing w:val="-5"/>
                <w:sz w:val="20"/>
              </w:rPr>
              <w:t>III</w:t>
            </w:r>
          </w:p>
        </w:tc>
        <w:tc>
          <w:tcPr>
            <w:tcW w:w="3121" w:type="dxa"/>
          </w:tcPr>
          <w:p>
            <w:pPr>
              <w:pStyle w:val="TableParagraph"/>
              <w:tabs>
                <w:tab w:pos="1306" w:val="left" w:leader="none"/>
                <w:tab w:pos="2563" w:val="left" w:leader="none"/>
              </w:tabs>
              <w:spacing w:before="94"/>
              <w:ind w:left="378" w:right="167"/>
              <w:rPr>
                <w:sz w:val="20"/>
              </w:rPr>
            </w:pPr>
            <w:r>
              <w:rPr>
                <w:spacing w:val="-4"/>
                <w:sz w:val="20"/>
              </w:rPr>
              <w:t>Wood</w:t>
            </w:r>
            <w:r>
              <w:rPr>
                <w:sz w:val="20"/>
              </w:rPr>
              <w:tab/>
            </w:r>
            <w:r>
              <w:rPr>
                <w:spacing w:val="-2"/>
                <w:sz w:val="20"/>
              </w:rPr>
              <w:t>Products</w:t>
            </w:r>
            <w:r>
              <w:rPr>
                <w:sz w:val="20"/>
              </w:rPr>
              <w:tab/>
            </w:r>
            <w:r>
              <w:rPr>
                <w:spacing w:val="-4"/>
                <w:sz w:val="20"/>
              </w:rPr>
              <w:t>and </w:t>
            </w:r>
            <w:r>
              <w:rPr>
                <w:spacing w:val="-2"/>
                <w:sz w:val="20"/>
              </w:rPr>
              <w:t>Furniture-</w:t>
            </w:r>
          </w:p>
        </w:tc>
        <w:tc>
          <w:tcPr>
            <w:tcW w:w="1416" w:type="dxa"/>
            <w:vMerge w:val="restart"/>
          </w:tcPr>
          <w:p>
            <w:pPr>
              <w:pStyle w:val="TableParagraph"/>
              <w:rPr>
                <w:sz w:val="20"/>
              </w:rPr>
            </w:pPr>
          </w:p>
          <w:p>
            <w:pPr>
              <w:pStyle w:val="TableParagraph"/>
              <w:rPr>
                <w:sz w:val="20"/>
              </w:rPr>
            </w:pPr>
          </w:p>
          <w:p>
            <w:pPr>
              <w:pStyle w:val="TableParagraph"/>
              <w:spacing w:before="12"/>
              <w:rPr>
                <w:sz w:val="20"/>
              </w:rPr>
            </w:pPr>
          </w:p>
          <w:p>
            <w:pPr>
              <w:pStyle w:val="TableParagraph"/>
              <w:ind w:left="378"/>
              <w:rPr>
                <w:sz w:val="20"/>
              </w:rPr>
            </w:pPr>
            <w:r>
              <w:rPr>
                <w:spacing w:val="-4"/>
                <w:sz w:val="20"/>
              </w:rPr>
              <w:t>2.75</w:t>
            </w:r>
          </w:p>
        </w:tc>
        <w:tc>
          <w:tcPr>
            <w:tcW w:w="1560" w:type="dxa"/>
            <w:vMerge w:val="restart"/>
          </w:tcPr>
          <w:p>
            <w:pPr>
              <w:pStyle w:val="TableParagraph"/>
              <w:rPr>
                <w:sz w:val="20"/>
              </w:rPr>
            </w:pPr>
          </w:p>
          <w:p>
            <w:pPr>
              <w:pStyle w:val="TableParagraph"/>
              <w:rPr>
                <w:sz w:val="20"/>
              </w:rPr>
            </w:pPr>
          </w:p>
          <w:p>
            <w:pPr>
              <w:pStyle w:val="TableParagraph"/>
              <w:spacing w:before="12"/>
              <w:rPr>
                <w:sz w:val="20"/>
              </w:rPr>
            </w:pPr>
          </w:p>
          <w:p>
            <w:pPr>
              <w:pStyle w:val="TableParagraph"/>
              <w:ind w:left="378"/>
              <w:rPr>
                <w:sz w:val="20"/>
              </w:rPr>
            </w:pPr>
            <w:r>
              <w:rPr>
                <w:spacing w:val="-10"/>
                <w:sz w:val="20"/>
              </w:rPr>
              <w:t>9</w:t>
            </w:r>
          </w:p>
        </w:tc>
        <w:tc>
          <w:tcPr>
            <w:tcW w:w="1418" w:type="dxa"/>
            <w:vMerge w:val="restart"/>
          </w:tcPr>
          <w:p>
            <w:pPr>
              <w:pStyle w:val="TableParagraph"/>
              <w:rPr>
                <w:sz w:val="20"/>
              </w:rPr>
            </w:pPr>
          </w:p>
          <w:p>
            <w:pPr>
              <w:pStyle w:val="TableParagraph"/>
              <w:rPr>
                <w:sz w:val="20"/>
              </w:rPr>
            </w:pPr>
          </w:p>
          <w:p>
            <w:pPr>
              <w:pStyle w:val="TableParagraph"/>
              <w:spacing w:before="177"/>
              <w:rPr>
                <w:sz w:val="20"/>
              </w:rPr>
            </w:pPr>
          </w:p>
          <w:p>
            <w:pPr>
              <w:pStyle w:val="TableParagraph"/>
              <w:spacing w:before="1"/>
              <w:ind w:left="378"/>
              <w:rPr>
                <w:sz w:val="20"/>
              </w:rPr>
            </w:pPr>
            <w:r>
              <w:rPr>
                <w:color w:val="000000"/>
                <w:spacing w:val="-5"/>
                <w:sz w:val="20"/>
                <w:shd w:fill="FFCCFF" w:color="auto" w:val="clear"/>
              </w:rPr>
              <w:t>50</w:t>
            </w:r>
          </w:p>
        </w:tc>
        <w:tc>
          <w:tcPr>
            <w:tcW w:w="2693" w:type="dxa"/>
            <w:vMerge w:val="restart"/>
          </w:tcPr>
          <w:p>
            <w:pPr>
              <w:pStyle w:val="TableParagraph"/>
              <w:rPr>
                <w:sz w:val="20"/>
              </w:rPr>
            </w:pPr>
          </w:p>
          <w:p>
            <w:pPr>
              <w:pStyle w:val="TableParagraph"/>
              <w:rPr>
                <w:sz w:val="20"/>
              </w:rPr>
            </w:pPr>
          </w:p>
          <w:p>
            <w:pPr>
              <w:pStyle w:val="TableParagraph"/>
              <w:rPr>
                <w:sz w:val="20"/>
              </w:rPr>
            </w:pPr>
          </w:p>
          <w:p>
            <w:pPr>
              <w:pStyle w:val="TableParagraph"/>
              <w:spacing w:before="163"/>
              <w:rPr>
                <w:sz w:val="20"/>
              </w:rPr>
            </w:pPr>
          </w:p>
          <w:p>
            <w:pPr>
              <w:pStyle w:val="TableParagraph"/>
              <w:spacing w:before="1"/>
              <w:ind w:left="379" w:right="163"/>
              <w:jc w:val="both"/>
              <w:rPr>
                <w:sz w:val="20"/>
              </w:rPr>
            </w:pPr>
            <w:r>
              <w:rPr>
                <w:sz w:val="20"/>
              </w:rPr>
              <w:t>Not permitted under or adjoining a dwelling unit.</w:t>
            </w:r>
          </w:p>
        </w:tc>
      </w:tr>
      <w:tr>
        <w:trPr>
          <w:trHeight w:val="993" w:hRule="atLeast"/>
        </w:trPr>
        <w:tc>
          <w:tcPr>
            <w:tcW w:w="778" w:type="dxa"/>
            <w:vMerge/>
            <w:tcBorders>
              <w:top w:val="nil"/>
            </w:tcBorders>
          </w:tcPr>
          <w:p>
            <w:pPr>
              <w:rPr>
                <w:sz w:val="2"/>
                <w:szCs w:val="2"/>
              </w:rPr>
            </w:pPr>
          </w:p>
        </w:tc>
        <w:tc>
          <w:tcPr>
            <w:tcW w:w="3121" w:type="dxa"/>
          </w:tcPr>
          <w:p>
            <w:pPr>
              <w:pStyle w:val="TableParagraph"/>
              <w:tabs>
                <w:tab w:pos="1118" w:val="left" w:leader="none"/>
                <w:tab w:pos="2763" w:val="left" w:leader="none"/>
              </w:tabs>
              <w:spacing w:before="94"/>
              <w:ind w:left="378" w:right="166"/>
              <w:rPr>
                <w:sz w:val="20"/>
              </w:rPr>
            </w:pPr>
            <w:r>
              <w:rPr>
                <w:spacing w:val="-4"/>
                <w:sz w:val="20"/>
              </w:rPr>
              <w:t>xiv</w:t>
            </w:r>
            <w:r>
              <w:rPr>
                <w:b/>
                <w:spacing w:val="-4"/>
                <w:sz w:val="20"/>
              </w:rPr>
              <w:t>.</w:t>
            </w:r>
            <w:r>
              <w:rPr>
                <w:b/>
                <w:sz w:val="20"/>
              </w:rPr>
              <w:tab/>
            </w:r>
            <w:r>
              <w:rPr>
                <w:spacing w:val="-2"/>
                <w:sz w:val="20"/>
              </w:rPr>
              <w:t>Manufacture</w:t>
            </w:r>
            <w:r>
              <w:rPr>
                <w:sz w:val="20"/>
              </w:rPr>
              <w:tab/>
            </w:r>
            <w:r>
              <w:rPr>
                <w:spacing w:val="-6"/>
                <w:sz w:val="20"/>
              </w:rPr>
              <w:t>o</w:t>
            </w:r>
            <w:r>
              <w:rPr>
                <w:spacing w:val="-6"/>
                <w:sz w:val="20"/>
              </w:rPr>
              <w:t>f</w:t>
            </w:r>
            <w:r>
              <w:rPr>
                <w:spacing w:val="-6"/>
                <w:sz w:val="20"/>
              </w:rPr>
              <w:t> </w:t>
            </w:r>
            <w:r>
              <w:rPr>
                <w:spacing w:val="-2"/>
                <w:sz w:val="20"/>
              </w:rPr>
              <w:t>wooden</w:t>
            </w:r>
          </w:p>
          <w:p>
            <w:pPr>
              <w:pStyle w:val="TableParagraph"/>
              <w:spacing w:before="97"/>
              <w:ind w:left="378"/>
              <w:rPr>
                <w:sz w:val="20"/>
              </w:rPr>
            </w:pPr>
            <w:r>
              <w:rPr>
                <w:sz w:val="20"/>
              </w:rPr>
              <w:t>furniture</w:t>
            </w:r>
            <w:r>
              <w:rPr>
                <w:spacing w:val="-8"/>
                <w:sz w:val="20"/>
              </w:rPr>
              <w:t> </w:t>
            </w:r>
            <w:r>
              <w:rPr>
                <w:sz w:val="20"/>
              </w:rPr>
              <w:t>and</w:t>
            </w:r>
            <w:r>
              <w:rPr>
                <w:spacing w:val="-9"/>
                <w:sz w:val="20"/>
              </w:rPr>
              <w:t> </w:t>
            </w:r>
            <w:r>
              <w:rPr>
                <w:spacing w:val="-2"/>
                <w:sz w:val="20"/>
              </w:rPr>
              <w:t>fixtures.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894" w:hRule="atLeast"/>
        </w:trPr>
        <w:tc>
          <w:tcPr>
            <w:tcW w:w="778" w:type="dxa"/>
            <w:vMerge/>
            <w:tcBorders>
              <w:top w:val="nil"/>
            </w:tcBorders>
          </w:tcPr>
          <w:p>
            <w:pPr>
              <w:rPr>
                <w:sz w:val="2"/>
                <w:szCs w:val="2"/>
              </w:rPr>
            </w:pPr>
          </w:p>
        </w:tc>
        <w:tc>
          <w:tcPr>
            <w:tcW w:w="3121" w:type="dxa"/>
          </w:tcPr>
          <w:p>
            <w:pPr>
              <w:pStyle w:val="TableParagraph"/>
              <w:spacing w:before="94"/>
              <w:ind w:left="378" w:right="165"/>
              <w:jc w:val="both"/>
              <w:rPr>
                <w:sz w:val="20"/>
              </w:rPr>
            </w:pPr>
            <w:r>
              <w:rPr>
                <w:sz w:val="20"/>
              </w:rPr>
              <w:t>xv</w:t>
            </w:r>
            <w:r>
              <w:rPr>
                <w:b/>
                <w:sz w:val="20"/>
              </w:rPr>
              <w:t>. </w:t>
            </w:r>
            <w:r>
              <w:rPr>
                <w:sz w:val="20"/>
              </w:rPr>
              <w:t>Manufacture of bamboo and cane furniture andfixtures.</w:t>
            </w:r>
          </w:p>
        </w:tc>
        <w:tc>
          <w:tcPr>
            <w:tcW w:w="1416" w:type="dxa"/>
          </w:tcPr>
          <w:p>
            <w:pPr>
              <w:pStyle w:val="TableParagraph"/>
              <w:spacing w:before="94"/>
              <w:rPr>
                <w:sz w:val="20"/>
              </w:rPr>
            </w:pPr>
          </w:p>
          <w:p>
            <w:pPr>
              <w:pStyle w:val="TableParagraph"/>
              <w:ind w:left="378"/>
              <w:rPr>
                <w:sz w:val="20"/>
              </w:rPr>
            </w:pPr>
            <w:r>
              <w:rPr>
                <w:spacing w:val="-4"/>
                <w:sz w:val="20"/>
              </w:rPr>
              <w:t>2.25</w:t>
            </w:r>
          </w:p>
        </w:tc>
        <w:tc>
          <w:tcPr>
            <w:tcW w:w="1560" w:type="dxa"/>
          </w:tcPr>
          <w:p>
            <w:pPr>
              <w:pStyle w:val="TableParagraph"/>
              <w:spacing w:before="94"/>
              <w:rPr>
                <w:sz w:val="20"/>
              </w:rPr>
            </w:pPr>
          </w:p>
          <w:p>
            <w:pPr>
              <w:pStyle w:val="TableParagraph"/>
              <w:ind w:left="378"/>
              <w:rPr>
                <w:sz w:val="20"/>
              </w:rPr>
            </w:pPr>
            <w:r>
              <w:rPr>
                <w:spacing w:val="-10"/>
                <w:sz w:val="20"/>
              </w:rPr>
              <w:t>9</w:t>
            </w:r>
          </w:p>
        </w:tc>
        <w:tc>
          <w:tcPr>
            <w:tcW w:w="1418" w:type="dxa"/>
          </w:tcPr>
          <w:p>
            <w:pPr>
              <w:pStyle w:val="TableParagraph"/>
              <w:spacing w:before="94"/>
              <w:rPr>
                <w:sz w:val="20"/>
              </w:rPr>
            </w:pPr>
          </w:p>
          <w:p>
            <w:pPr>
              <w:pStyle w:val="TableParagraph"/>
              <w:ind w:left="378"/>
              <w:rPr>
                <w:sz w:val="20"/>
              </w:rPr>
            </w:pPr>
            <w:r>
              <w:rPr>
                <w:color w:val="000000"/>
                <w:spacing w:val="-5"/>
                <w:sz w:val="20"/>
                <w:shd w:fill="FFCCFF" w:color="auto" w:val="clear"/>
              </w:rPr>
              <w:t>50</w:t>
            </w:r>
          </w:p>
        </w:tc>
        <w:tc>
          <w:tcPr>
            <w:tcW w:w="2693" w:type="dxa"/>
            <w:vMerge/>
            <w:tcBorders>
              <w:top w:val="nil"/>
            </w:tcBorders>
          </w:tcPr>
          <w:p>
            <w:pPr>
              <w:rPr>
                <w:sz w:val="2"/>
                <w:szCs w:val="2"/>
              </w:rPr>
            </w:pPr>
          </w:p>
        </w:tc>
      </w:tr>
      <w:tr>
        <w:trPr>
          <w:trHeight w:val="661" w:hRule="atLeast"/>
        </w:trPr>
        <w:tc>
          <w:tcPr>
            <w:tcW w:w="778" w:type="dxa"/>
            <w:vMerge w:val="restart"/>
            <w:tcBorders>
              <w:bottom w:val="nil"/>
            </w:tcBorders>
          </w:tcPr>
          <w:p>
            <w:pPr>
              <w:pStyle w:val="TableParagraph"/>
              <w:spacing w:before="96"/>
              <w:ind w:left="381"/>
              <w:rPr>
                <w:sz w:val="20"/>
              </w:rPr>
            </w:pPr>
            <w:r>
              <w:rPr>
                <w:spacing w:val="-5"/>
                <w:sz w:val="20"/>
              </w:rPr>
              <w:t>IV</w:t>
            </w:r>
          </w:p>
        </w:tc>
        <w:tc>
          <w:tcPr>
            <w:tcW w:w="3121" w:type="dxa"/>
          </w:tcPr>
          <w:p>
            <w:pPr>
              <w:pStyle w:val="TableParagraph"/>
              <w:tabs>
                <w:tab w:pos="1316" w:val="left" w:leader="none"/>
                <w:tab w:pos="2565" w:val="left" w:leader="none"/>
              </w:tabs>
              <w:spacing w:before="96"/>
              <w:ind w:left="378" w:right="167"/>
              <w:rPr>
                <w:sz w:val="20"/>
              </w:rPr>
            </w:pPr>
            <w:r>
              <w:rPr>
                <w:spacing w:val="-4"/>
                <w:sz w:val="20"/>
              </w:rPr>
              <w:t>Paper</w:t>
            </w:r>
            <w:r>
              <w:rPr>
                <w:sz w:val="20"/>
              </w:rPr>
              <w:tab/>
            </w:r>
            <w:r>
              <w:rPr>
                <w:spacing w:val="-2"/>
                <w:sz w:val="20"/>
              </w:rPr>
              <w:t>products</w:t>
            </w:r>
            <w:r>
              <w:rPr>
                <w:sz w:val="20"/>
              </w:rPr>
              <w:tab/>
            </w:r>
            <w:r>
              <w:rPr>
                <w:spacing w:val="-4"/>
                <w:sz w:val="20"/>
              </w:rPr>
              <w:t>and </w:t>
            </w:r>
            <w:r>
              <w:rPr>
                <w:sz w:val="20"/>
              </w:rPr>
              <w:t>Printing Publishing-</w:t>
            </w:r>
          </w:p>
        </w:tc>
        <w:tc>
          <w:tcPr>
            <w:tcW w:w="1416"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43"/>
              <w:rPr>
                <w:sz w:val="20"/>
              </w:rPr>
            </w:pPr>
          </w:p>
          <w:p>
            <w:pPr>
              <w:pStyle w:val="TableParagraph"/>
              <w:ind w:left="378"/>
              <w:rPr>
                <w:sz w:val="20"/>
              </w:rPr>
            </w:pPr>
            <w:r>
              <w:rPr>
                <w:spacing w:val="-4"/>
                <w:sz w:val="20"/>
              </w:rPr>
              <w:t>3.75</w:t>
            </w:r>
          </w:p>
        </w:tc>
        <w:tc>
          <w:tcPr>
            <w:tcW w:w="156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43"/>
              <w:rPr>
                <w:sz w:val="20"/>
              </w:rPr>
            </w:pPr>
          </w:p>
          <w:p>
            <w:pPr>
              <w:pStyle w:val="TableParagraph"/>
              <w:ind w:left="378"/>
              <w:rPr>
                <w:sz w:val="20"/>
              </w:rPr>
            </w:pPr>
            <w:r>
              <w:rPr>
                <w:spacing w:val="-10"/>
                <w:sz w:val="20"/>
              </w:rPr>
              <w:t>9</w:t>
            </w:r>
          </w:p>
        </w:tc>
        <w:tc>
          <w:tcPr>
            <w:tcW w:w="1418"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43"/>
              <w:rPr>
                <w:sz w:val="20"/>
              </w:rPr>
            </w:pPr>
          </w:p>
          <w:p>
            <w:pPr>
              <w:pStyle w:val="TableParagraph"/>
              <w:ind w:left="378"/>
              <w:rPr>
                <w:sz w:val="20"/>
              </w:rPr>
            </w:pPr>
            <w:r>
              <w:rPr>
                <w:color w:val="000000"/>
                <w:spacing w:val="-5"/>
                <w:sz w:val="20"/>
                <w:shd w:fill="FFCCFF" w:color="auto" w:val="clear"/>
              </w:rPr>
              <w:t>50</w:t>
            </w:r>
          </w:p>
        </w:tc>
        <w:tc>
          <w:tcPr>
            <w:tcW w:w="2693" w:type="dxa"/>
            <w:vMerge w:val="restart"/>
          </w:tcPr>
          <w:p>
            <w:pPr>
              <w:pStyle w:val="TableParagraph"/>
              <w:numPr>
                <w:ilvl w:val="0"/>
                <w:numId w:val="223"/>
              </w:numPr>
              <w:tabs>
                <w:tab w:pos="558" w:val="left" w:leader="none"/>
              </w:tabs>
              <w:spacing w:line="240" w:lineRule="auto" w:before="96" w:after="0"/>
              <w:ind w:left="379" w:right="164" w:firstLine="0"/>
              <w:jc w:val="both"/>
              <w:rPr>
                <w:sz w:val="20"/>
              </w:rPr>
            </w:pPr>
            <w:r>
              <w:rPr>
                <w:sz w:val="20"/>
              </w:rPr>
              <w:t>Manufacture </w:t>
            </w:r>
            <w:r>
              <w:rPr>
                <w:sz w:val="20"/>
              </w:rPr>
              <w:t>with paper pulp not </w:t>
            </w:r>
            <w:r>
              <w:rPr>
                <w:spacing w:val="-2"/>
                <w:sz w:val="20"/>
              </w:rPr>
              <w:t>permitted.</w:t>
            </w:r>
          </w:p>
          <w:p>
            <w:pPr>
              <w:pStyle w:val="TableParagraph"/>
              <w:numPr>
                <w:ilvl w:val="0"/>
                <w:numId w:val="223"/>
              </w:numPr>
              <w:tabs>
                <w:tab w:pos="713" w:val="left" w:leader="none"/>
              </w:tabs>
              <w:spacing w:line="240" w:lineRule="auto" w:before="95" w:after="0"/>
              <w:ind w:left="379" w:right="162" w:firstLine="0"/>
              <w:jc w:val="both"/>
              <w:rPr>
                <w:sz w:val="20"/>
              </w:rPr>
            </w:pPr>
            <w:r>
              <w:rPr>
                <w:sz w:val="20"/>
              </w:rPr>
              <w:t>No restrictions </w:t>
            </w:r>
            <w:r>
              <w:rPr>
                <w:sz w:val="20"/>
              </w:rPr>
              <w:t>on power, number of employees, area of hours of operation shall apply if located in a building on a separate plot not less than 500 sq. m in area and if special permission of the Commissioner is </w:t>
            </w:r>
            <w:r>
              <w:rPr>
                <w:spacing w:val="-2"/>
                <w:sz w:val="20"/>
              </w:rPr>
              <w:t>obtained.</w:t>
            </w:r>
          </w:p>
        </w:tc>
      </w:tr>
      <w:tr>
        <w:trPr>
          <w:trHeight w:val="3134" w:hRule="atLeast"/>
        </w:trPr>
        <w:tc>
          <w:tcPr>
            <w:tcW w:w="778" w:type="dxa"/>
            <w:vMerge/>
            <w:tcBorders>
              <w:top w:val="nil"/>
              <w:bottom w:val="nil"/>
            </w:tcBorders>
          </w:tcPr>
          <w:p>
            <w:pPr>
              <w:rPr>
                <w:sz w:val="2"/>
                <w:szCs w:val="2"/>
              </w:rPr>
            </w:pPr>
          </w:p>
        </w:tc>
        <w:tc>
          <w:tcPr>
            <w:tcW w:w="3121" w:type="dxa"/>
          </w:tcPr>
          <w:p>
            <w:pPr>
              <w:pStyle w:val="TableParagraph"/>
              <w:spacing w:before="94"/>
              <w:ind w:left="378" w:right="166"/>
              <w:jc w:val="both"/>
              <w:rPr>
                <w:sz w:val="20"/>
              </w:rPr>
            </w:pPr>
            <w:r>
              <w:rPr>
                <w:sz w:val="20"/>
              </w:rPr>
              <w:t>xvi.Manufacturing of </w:t>
            </w:r>
            <w:r>
              <w:rPr>
                <w:spacing w:val="-2"/>
                <w:sz w:val="20"/>
              </w:rPr>
              <w:t>containers</w:t>
            </w:r>
            <w:r>
              <w:rPr>
                <w:spacing w:val="-12"/>
                <w:sz w:val="20"/>
              </w:rPr>
              <w:t> </w:t>
            </w:r>
            <w:r>
              <w:rPr>
                <w:spacing w:val="-2"/>
                <w:sz w:val="20"/>
              </w:rPr>
              <w:t>and</w:t>
            </w:r>
            <w:r>
              <w:rPr>
                <w:spacing w:val="-13"/>
                <w:sz w:val="20"/>
              </w:rPr>
              <w:t> </w:t>
            </w:r>
            <w:r>
              <w:rPr>
                <w:spacing w:val="-2"/>
                <w:sz w:val="20"/>
              </w:rPr>
              <w:t>boxes</w:t>
            </w:r>
            <w:r>
              <w:rPr>
                <w:spacing w:val="-12"/>
                <w:sz w:val="20"/>
              </w:rPr>
              <w:t> </w:t>
            </w:r>
            <w:r>
              <w:rPr>
                <w:spacing w:val="-2"/>
                <w:sz w:val="20"/>
              </w:rPr>
              <w:t>from </w:t>
            </w:r>
            <w:r>
              <w:rPr>
                <w:sz w:val="20"/>
              </w:rPr>
              <w:t>paper board.</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1600" w:hRule="atLeast"/>
        </w:trPr>
        <w:tc>
          <w:tcPr>
            <w:tcW w:w="778" w:type="dxa"/>
            <w:vMerge w:val="restart"/>
            <w:tcBorders>
              <w:top w:val="nil"/>
            </w:tcBorders>
          </w:tcPr>
          <w:p>
            <w:pPr>
              <w:pStyle w:val="TableParagraph"/>
              <w:rPr>
                <w:rFonts w:ascii="Times New Roman"/>
                <w:sz w:val="18"/>
              </w:rPr>
            </w:pPr>
          </w:p>
        </w:tc>
        <w:tc>
          <w:tcPr>
            <w:tcW w:w="3121" w:type="dxa"/>
          </w:tcPr>
          <w:p>
            <w:pPr>
              <w:pStyle w:val="TableParagraph"/>
              <w:tabs>
                <w:tab w:pos="2564" w:val="left" w:leader="none"/>
              </w:tabs>
              <w:spacing w:before="94"/>
              <w:ind w:left="378" w:right="165"/>
              <w:jc w:val="both"/>
              <w:rPr>
                <w:sz w:val="20"/>
              </w:rPr>
            </w:pPr>
            <w:r>
              <w:rPr>
                <w:spacing w:val="-2"/>
                <w:sz w:val="20"/>
              </w:rPr>
              <w:t>xvii.Printing</w:t>
            </w:r>
            <w:r>
              <w:rPr>
                <w:sz w:val="20"/>
              </w:rPr>
              <w:tab/>
            </w:r>
            <w:r>
              <w:rPr>
                <w:spacing w:val="-16"/>
                <w:sz w:val="20"/>
              </w:rPr>
              <w:t> </w:t>
            </w:r>
            <w:r>
              <w:rPr>
                <w:spacing w:val="-6"/>
                <w:w w:val="90"/>
                <w:sz w:val="20"/>
              </w:rPr>
              <w:t>an</w:t>
            </w:r>
            <w:r>
              <w:rPr>
                <w:spacing w:val="-6"/>
                <w:w w:val="90"/>
                <w:sz w:val="20"/>
              </w:rPr>
              <w:t>d</w:t>
            </w:r>
            <w:r>
              <w:rPr>
                <w:spacing w:val="-6"/>
                <w:w w:val="90"/>
                <w:sz w:val="20"/>
              </w:rPr>
              <w:t> </w:t>
            </w:r>
            <w:r>
              <w:rPr>
                <w:sz w:val="20"/>
              </w:rPr>
              <w:t>publishing periodicals, books, journals, atlases, maps, envelopes, picture </w:t>
            </w:r>
            <w:r>
              <w:rPr>
                <w:spacing w:val="-2"/>
                <w:sz w:val="20"/>
              </w:rPr>
              <w:t>post-cards</w:t>
            </w:r>
            <w:r>
              <w:rPr>
                <w:sz w:val="20"/>
              </w:rPr>
              <w:tab/>
            </w:r>
            <w:r>
              <w:rPr>
                <w:spacing w:val="-4"/>
                <w:sz w:val="20"/>
              </w:rPr>
              <w:t>an</w:t>
            </w:r>
            <w:r>
              <w:rPr>
                <w:spacing w:val="-4"/>
                <w:sz w:val="20"/>
              </w:rPr>
              <w:t>d</w:t>
            </w:r>
            <w:r>
              <w:rPr>
                <w:spacing w:val="-4"/>
                <w:sz w:val="20"/>
              </w:rPr>
              <w:t> </w:t>
            </w:r>
            <w:r>
              <w:rPr>
                <w:spacing w:val="-2"/>
                <w:sz w:val="20"/>
              </w:rPr>
              <w:t>embossing.</w:t>
            </w:r>
          </w:p>
        </w:tc>
        <w:tc>
          <w:tcPr>
            <w:tcW w:w="1416" w:type="dxa"/>
            <w:vMerge w:val="restart"/>
          </w:tcPr>
          <w:p>
            <w:pPr>
              <w:pStyle w:val="TableParagraph"/>
              <w:rPr>
                <w:sz w:val="20"/>
              </w:rPr>
            </w:pPr>
          </w:p>
          <w:p>
            <w:pPr>
              <w:pStyle w:val="TableParagraph"/>
              <w:rPr>
                <w:sz w:val="20"/>
              </w:rPr>
            </w:pPr>
          </w:p>
          <w:p>
            <w:pPr>
              <w:pStyle w:val="TableParagraph"/>
              <w:rPr>
                <w:sz w:val="20"/>
              </w:rPr>
            </w:pPr>
          </w:p>
          <w:p>
            <w:pPr>
              <w:pStyle w:val="TableParagraph"/>
              <w:spacing w:before="82"/>
              <w:rPr>
                <w:sz w:val="20"/>
              </w:rPr>
            </w:pPr>
          </w:p>
          <w:p>
            <w:pPr>
              <w:pStyle w:val="TableParagraph"/>
              <w:ind w:left="378"/>
              <w:rPr>
                <w:sz w:val="20"/>
              </w:rPr>
            </w:pPr>
            <w:r>
              <w:rPr>
                <w:spacing w:val="-5"/>
                <w:sz w:val="20"/>
              </w:rPr>
              <w:t>7.5</w:t>
            </w:r>
          </w:p>
        </w:tc>
        <w:tc>
          <w:tcPr>
            <w:tcW w:w="1560" w:type="dxa"/>
            <w:vMerge w:val="restart"/>
          </w:tcPr>
          <w:p>
            <w:pPr>
              <w:pStyle w:val="TableParagraph"/>
              <w:rPr>
                <w:sz w:val="20"/>
              </w:rPr>
            </w:pPr>
          </w:p>
          <w:p>
            <w:pPr>
              <w:pStyle w:val="TableParagraph"/>
              <w:rPr>
                <w:sz w:val="20"/>
              </w:rPr>
            </w:pPr>
          </w:p>
          <w:p>
            <w:pPr>
              <w:pStyle w:val="TableParagraph"/>
              <w:rPr>
                <w:sz w:val="20"/>
              </w:rPr>
            </w:pPr>
          </w:p>
          <w:p>
            <w:pPr>
              <w:pStyle w:val="TableParagraph"/>
              <w:spacing w:before="82"/>
              <w:rPr>
                <w:sz w:val="20"/>
              </w:rPr>
            </w:pPr>
          </w:p>
          <w:p>
            <w:pPr>
              <w:pStyle w:val="TableParagraph"/>
              <w:ind w:left="378"/>
              <w:rPr>
                <w:sz w:val="20"/>
              </w:rPr>
            </w:pPr>
            <w:r>
              <w:rPr>
                <w:spacing w:val="-10"/>
                <w:sz w:val="20"/>
              </w:rPr>
              <w:t>9</w:t>
            </w:r>
          </w:p>
        </w:tc>
        <w:tc>
          <w:tcPr>
            <w:tcW w:w="1418" w:type="dxa"/>
            <w:vMerge w:val="restart"/>
          </w:tcPr>
          <w:p>
            <w:pPr>
              <w:pStyle w:val="TableParagraph"/>
              <w:rPr>
                <w:sz w:val="20"/>
              </w:rPr>
            </w:pPr>
          </w:p>
          <w:p>
            <w:pPr>
              <w:pStyle w:val="TableParagraph"/>
              <w:rPr>
                <w:sz w:val="20"/>
              </w:rPr>
            </w:pPr>
          </w:p>
          <w:p>
            <w:pPr>
              <w:pStyle w:val="TableParagraph"/>
              <w:rPr>
                <w:sz w:val="20"/>
              </w:rPr>
            </w:pPr>
          </w:p>
          <w:p>
            <w:pPr>
              <w:pStyle w:val="TableParagraph"/>
              <w:spacing w:before="82"/>
              <w:rPr>
                <w:sz w:val="20"/>
              </w:rPr>
            </w:pPr>
          </w:p>
          <w:p>
            <w:pPr>
              <w:pStyle w:val="TableParagraph"/>
              <w:ind w:left="378"/>
              <w:rPr>
                <w:sz w:val="20"/>
              </w:rPr>
            </w:pPr>
            <w:r>
              <w:rPr>
                <w:color w:val="000000"/>
                <w:spacing w:val="-5"/>
                <w:sz w:val="20"/>
                <w:shd w:fill="FFCCFF" w:color="auto" w:val="clear"/>
              </w:rPr>
              <w:t>120</w:t>
            </w:r>
          </w:p>
        </w:tc>
        <w:tc>
          <w:tcPr>
            <w:tcW w:w="2693" w:type="dxa"/>
            <w:vMerge w:val="restart"/>
          </w:tcPr>
          <w:p>
            <w:pPr>
              <w:pStyle w:val="TableParagraph"/>
              <w:numPr>
                <w:ilvl w:val="0"/>
                <w:numId w:val="224"/>
              </w:numPr>
              <w:tabs>
                <w:tab w:pos="558" w:val="left" w:leader="none"/>
              </w:tabs>
              <w:spacing w:line="240" w:lineRule="auto" w:before="94" w:after="0"/>
              <w:ind w:left="379" w:right="164" w:firstLine="0"/>
              <w:jc w:val="both"/>
              <w:rPr>
                <w:sz w:val="20"/>
              </w:rPr>
            </w:pPr>
            <w:r>
              <w:rPr>
                <w:sz w:val="20"/>
              </w:rPr>
              <w:t>Manufacture </w:t>
            </w:r>
            <w:r>
              <w:rPr>
                <w:sz w:val="20"/>
              </w:rPr>
              <w:t>with paper pulp not </w:t>
            </w:r>
            <w:r>
              <w:rPr>
                <w:spacing w:val="-2"/>
                <w:sz w:val="20"/>
              </w:rPr>
              <w:t>permitted.</w:t>
            </w:r>
          </w:p>
          <w:p>
            <w:pPr>
              <w:pStyle w:val="TableParagraph"/>
              <w:numPr>
                <w:ilvl w:val="0"/>
                <w:numId w:val="224"/>
              </w:numPr>
              <w:tabs>
                <w:tab w:pos="617" w:val="left" w:leader="none"/>
              </w:tabs>
              <w:spacing w:line="240" w:lineRule="auto" w:before="97" w:after="0"/>
              <w:ind w:left="379" w:right="162" w:firstLine="0"/>
              <w:jc w:val="both"/>
              <w:rPr>
                <w:sz w:val="20"/>
              </w:rPr>
            </w:pPr>
            <w:r>
              <w:rPr>
                <w:sz w:val="20"/>
              </w:rPr>
              <w:t>No restrictions on power, number of employees, area or hours of operation shall</w:t>
            </w:r>
            <w:r>
              <w:rPr>
                <w:spacing w:val="15"/>
                <w:sz w:val="20"/>
              </w:rPr>
              <w:t> </w:t>
            </w:r>
            <w:r>
              <w:rPr>
                <w:sz w:val="20"/>
              </w:rPr>
              <w:t>apply,</w:t>
            </w:r>
            <w:r>
              <w:rPr>
                <w:spacing w:val="15"/>
                <w:sz w:val="20"/>
              </w:rPr>
              <w:t> </w:t>
            </w:r>
            <w:r>
              <w:rPr>
                <w:sz w:val="20"/>
              </w:rPr>
              <w:t>if</w:t>
            </w:r>
            <w:r>
              <w:rPr>
                <w:spacing w:val="16"/>
                <w:sz w:val="20"/>
              </w:rPr>
              <w:t> </w:t>
            </w:r>
            <w:r>
              <w:rPr>
                <w:spacing w:val="-2"/>
                <w:sz w:val="20"/>
              </w:rPr>
              <w:t>located</w:t>
            </w:r>
          </w:p>
        </w:tc>
      </w:tr>
      <w:tr>
        <w:trPr>
          <w:trHeight w:val="661" w:hRule="atLeast"/>
        </w:trPr>
        <w:tc>
          <w:tcPr>
            <w:tcW w:w="778" w:type="dxa"/>
            <w:vMerge/>
            <w:tcBorders>
              <w:top w:val="nil"/>
            </w:tcBorders>
          </w:tcPr>
          <w:p>
            <w:pPr>
              <w:rPr>
                <w:sz w:val="2"/>
                <w:szCs w:val="2"/>
              </w:rPr>
            </w:pPr>
          </w:p>
        </w:tc>
        <w:tc>
          <w:tcPr>
            <w:tcW w:w="3121" w:type="dxa"/>
          </w:tcPr>
          <w:p>
            <w:pPr>
              <w:pStyle w:val="TableParagraph"/>
              <w:tabs>
                <w:tab w:pos="2160" w:val="left" w:leader="none"/>
              </w:tabs>
              <w:spacing w:before="94"/>
              <w:ind w:left="378" w:right="165"/>
              <w:rPr>
                <w:sz w:val="20"/>
              </w:rPr>
            </w:pPr>
            <w:r>
              <w:rPr>
                <w:spacing w:val="-2"/>
                <w:sz w:val="20"/>
              </w:rPr>
              <w:t>xviii.Engraving,</w:t>
            </w:r>
            <w:r>
              <w:rPr>
                <w:sz w:val="20"/>
              </w:rPr>
              <w:tab/>
            </w:r>
            <w:r>
              <w:rPr>
                <w:spacing w:val="-2"/>
                <w:sz w:val="20"/>
              </w:rPr>
              <w:t>etching</w:t>
            </w:r>
            <w:r>
              <w:rPr>
                <w:spacing w:val="-2"/>
                <w:sz w:val="20"/>
              </w:rPr>
              <w:t>,</w:t>
            </w:r>
            <w:r>
              <w:rPr>
                <w:spacing w:val="-2"/>
                <w:sz w:val="20"/>
              </w:rPr>
              <w:t> </w:t>
            </w:r>
            <w:r>
              <w:rPr>
                <w:sz w:val="20"/>
              </w:rPr>
              <w:t>block-making etc.</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bl>
    <w:p>
      <w:pPr>
        <w:spacing w:after="0"/>
        <w:rPr>
          <w:sz w:val="2"/>
          <w:szCs w:val="2"/>
        </w:rPr>
        <w:sectPr>
          <w:pgSz w:w="11910" w:h="16840"/>
          <w:pgMar w:header="1058" w:footer="1088" w:top="1500" w:bottom="1280" w:left="360" w:right="360"/>
        </w:sectPr>
      </w:pPr>
    </w:p>
    <w:p>
      <w:pPr>
        <w:pStyle w:val="BodyText"/>
        <w:spacing w:before="20"/>
        <w:jc w:val="left"/>
        <w:rPr>
          <w:sz w:val="20"/>
        </w:rPr>
      </w:pPr>
    </w:p>
    <w:tbl>
      <w:tblPr>
        <w:tblW w:w="0" w:type="auto"/>
        <w:jc w:val="left"/>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8"/>
        <w:gridCol w:w="3121"/>
        <w:gridCol w:w="1416"/>
        <w:gridCol w:w="1560"/>
        <w:gridCol w:w="1418"/>
        <w:gridCol w:w="2693"/>
      </w:tblGrid>
      <w:tr>
        <w:trPr>
          <w:trHeight w:val="1739" w:hRule="atLeast"/>
        </w:trPr>
        <w:tc>
          <w:tcPr>
            <w:tcW w:w="778" w:type="dxa"/>
          </w:tcPr>
          <w:p>
            <w:pPr>
              <w:pStyle w:val="TableParagraph"/>
              <w:rPr>
                <w:rFonts w:ascii="Times New Roman"/>
                <w:sz w:val="18"/>
              </w:rPr>
            </w:pPr>
          </w:p>
        </w:tc>
        <w:tc>
          <w:tcPr>
            <w:tcW w:w="3121" w:type="dxa"/>
          </w:tcPr>
          <w:p>
            <w:pPr>
              <w:pStyle w:val="TableParagraph"/>
              <w:spacing w:before="97"/>
              <w:ind w:left="378"/>
              <w:rPr>
                <w:sz w:val="20"/>
              </w:rPr>
            </w:pPr>
            <w:r>
              <w:rPr>
                <w:sz w:val="20"/>
              </w:rPr>
              <w:t>xix.</w:t>
            </w:r>
            <w:r>
              <w:rPr>
                <w:spacing w:val="-6"/>
                <w:sz w:val="20"/>
              </w:rPr>
              <w:t> </w:t>
            </w:r>
            <w:r>
              <w:rPr>
                <w:sz w:val="20"/>
              </w:rPr>
              <w:t>Book</w:t>
            </w:r>
            <w:r>
              <w:rPr>
                <w:spacing w:val="-6"/>
                <w:sz w:val="20"/>
              </w:rPr>
              <w:t> </w:t>
            </w:r>
            <w:r>
              <w:rPr>
                <w:spacing w:val="-2"/>
                <w:sz w:val="20"/>
              </w:rPr>
              <w:t>binding.</w:t>
            </w:r>
          </w:p>
        </w:tc>
        <w:tc>
          <w:tcPr>
            <w:tcW w:w="1416" w:type="dxa"/>
          </w:tcPr>
          <w:p>
            <w:pPr>
              <w:pStyle w:val="TableParagraph"/>
              <w:rPr>
                <w:rFonts w:ascii="Times New Roman"/>
                <w:sz w:val="18"/>
              </w:rPr>
            </w:pPr>
          </w:p>
        </w:tc>
        <w:tc>
          <w:tcPr>
            <w:tcW w:w="1560" w:type="dxa"/>
          </w:tcPr>
          <w:p>
            <w:pPr>
              <w:pStyle w:val="TableParagraph"/>
              <w:rPr>
                <w:rFonts w:ascii="Times New Roman"/>
                <w:sz w:val="18"/>
              </w:rPr>
            </w:pPr>
          </w:p>
        </w:tc>
        <w:tc>
          <w:tcPr>
            <w:tcW w:w="1418" w:type="dxa"/>
          </w:tcPr>
          <w:p>
            <w:pPr>
              <w:pStyle w:val="TableParagraph"/>
              <w:rPr>
                <w:rFonts w:ascii="Times New Roman"/>
                <w:sz w:val="18"/>
              </w:rPr>
            </w:pPr>
          </w:p>
        </w:tc>
        <w:tc>
          <w:tcPr>
            <w:tcW w:w="2693" w:type="dxa"/>
          </w:tcPr>
          <w:p>
            <w:pPr>
              <w:pStyle w:val="TableParagraph"/>
              <w:spacing w:before="1"/>
              <w:ind w:left="379" w:right="162"/>
              <w:jc w:val="both"/>
              <w:rPr>
                <w:sz w:val="20"/>
              </w:rPr>
            </w:pPr>
            <w:r>
              <w:rPr>
                <w:sz w:val="20"/>
              </w:rPr>
              <w:t>in a building on a separate plot not </w:t>
            </w:r>
            <w:r>
              <w:rPr>
                <w:sz w:val="20"/>
              </w:rPr>
              <w:t>less than 500 sq. m in area and if special permission of the Commissioner is </w:t>
            </w:r>
            <w:r>
              <w:rPr>
                <w:spacing w:val="-2"/>
                <w:sz w:val="20"/>
              </w:rPr>
              <w:t>obtained.</w:t>
            </w:r>
          </w:p>
        </w:tc>
      </w:tr>
      <w:tr>
        <w:trPr>
          <w:trHeight w:val="661" w:hRule="atLeast"/>
        </w:trPr>
        <w:tc>
          <w:tcPr>
            <w:tcW w:w="778" w:type="dxa"/>
            <w:vMerge w:val="restart"/>
          </w:tcPr>
          <w:p>
            <w:pPr>
              <w:pStyle w:val="TableParagraph"/>
              <w:spacing w:before="96"/>
              <w:ind w:left="381"/>
              <w:rPr>
                <w:sz w:val="20"/>
              </w:rPr>
            </w:pPr>
            <w:r>
              <w:rPr>
                <w:spacing w:val="-10"/>
                <w:sz w:val="20"/>
              </w:rPr>
              <w:t>V</w:t>
            </w:r>
          </w:p>
        </w:tc>
        <w:tc>
          <w:tcPr>
            <w:tcW w:w="3121" w:type="dxa"/>
          </w:tcPr>
          <w:p>
            <w:pPr>
              <w:pStyle w:val="TableParagraph"/>
              <w:tabs>
                <w:tab w:pos="2070" w:val="left" w:leader="none"/>
              </w:tabs>
              <w:spacing w:before="96"/>
              <w:ind w:left="378" w:right="165"/>
              <w:rPr>
                <w:sz w:val="20"/>
              </w:rPr>
            </w:pPr>
            <w:r>
              <w:rPr>
                <w:spacing w:val="-2"/>
                <w:sz w:val="20"/>
              </w:rPr>
              <w:t>Leather</w:t>
            </w:r>
            <w:r>
              <w:rPr>
                <w:sz w:val="20"/>
              </w:rPr>
              <w:tab/>
            </w:r>
            <w:r>
              <w:rPr>
                <w:spacing w:val="-2"/>
                <w:sz w:val="20"/>
              </w:rPr>
              <w:t>products </w:t>
            </w:r>
            <w:r>
              <w:rPr>
                <w:sz w:val="20"/>
              </w:rPr>
              <w:t>excluding tanning-</w:t>
            </w:r>
          </w:p>
        </w:tc>
        <w:tc>
          <w:tcPr>
            <w:tcW w:w="1416"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06"/>
              <w:rPr>
                <w:sz w:val="20"/>
              </w:rPr>
            </w:pPr>
          </w:p>
          <w:p>
            <w:pPr>
              <w:pStyle w:val="TableParagraph"/>
              <w:spacing w:before="1"/>
              <w:ind w:left="378"/>
              <w:rPr>
                <w:sz w:val="20"/>
              </w:rPr>
            </w:pPr>
            <w:r>
              <w:rPr>
                <w:spacing w:val="-4"/>
                <w:sz w:val="20"/>
              </w:rPr>
              <w:t>3.75</w:t>
            </w:r>
          </w:p>
        </w:tc>
        <w:tc>
          <w:tcPr>
            <w:tcW w:w="156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06"/>
              <w:rPr>
                <w:sz w:val="20"/>
              </w:rPr>
            </w:pPr>
          </w:p>
          <w:p>
            <w:pPr>
              <w:pStyle w:val="TableParagraph"/>
              <w:spacing w:before="1"/>
              <w:ind w:left="378"/>
              <w:rPr>
                <w:sz w:val="20"/>
              </w:rPr>
            </w:pPr>
            <w:r>
              <w:rPr>
                <w:spacing w:val="-10"/>
                <w:sz w:val="20"/>
              </w:rPr>
              <w:t>9</w:t>
            </w:r>
          </w:p>
        </w:tc>
        <w:tc>
          <w:tcPr>
            <w:tcW w:w="1418"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06"/>
              <w:rPr>
                <w:sz w:val="20"/>
              </w:rPr>
            </w:pPr>
          </w:p>
          <w:p>
            <w:pPr>
              <w:pStyle w:val="TableParagraph"/>
              <w:spacing w:before="1"/>
              <w:ind w:left="378"/>
              <w:rPr>
                <w:sz w:val="20"/>
              </w:rPr>
            </w:pPr>
            <w:r>
              <w:rPr>
                <w:color w:val="000000"/>
                <w:spacing w:val="-5"/>
                <w:sz w:val="20"/>
                <w:shd w:fill="FFCCFF" w:color="auto" w:val="clear"/>
              </w:rPr>
              <w:t>50</w:t>
            </w:r>
          </w:p>
        </w:tc>
        <w:tc>
          <w:tcPr>
            <w:tcW w:w="2693" w:type="dxa"/>
            <w:vMerge w:val="restart"/>
          </w:tcPr>
          <w:p>
            <w:pPr>
              <w:pStyle w:val="TableParagraph"/>
              <w:tabs>
                <w:tab w:pos="2190" w:val="left" w:leader="none"/>
                <w:tab w:pos="2337" w:val="left" w:leader="none"/>
              </w:tabs>
              <w:spacing w:before="96"/>
              <w:ind w:left="379" w:right="164"/>
              <w:jc w:val="both"/>
              <w:rPr>
                <w:sz w:val="20"/>
              </w:rPr>
            </w:pPr>
            <w:r>
              <w:rPr>
                <w:spacing w:val="-2"/>
                <w:sz w:val="20"/>
              </w:rPr>
              <w:t>Manufacture</w:t>
            </w:r>
            <w:r>
              <w:rPr>
                <w:sz w:val="20"/>
              </w:rPr>
              <w:tab/>
              <w:tab/>
            </w:r>
            <w:r>
              <w:rPr>
                <w:spacing w:val="-6"/>
                <w:sz w:val="20"/>
              </w:rPr>
              <w:t>of </w:t>
            </w:r>
            <w:r>
              <w:rPr>
                <w:sz w:val="20"/>
              </w:rPr>
              <w:t>leather or leather </w:t>
            </w:r>
            <w:r>
              <w:rPr>
                <w:spacing w:val="-2"/>
                <w:sz w:val="20"/>
              </w:rPr>
              <w:t>processing</w:t>
            </w:r>
            <w:r>
              <w:rPr>
                <w:sz w:val="20"/>
              </w:rPr>
              <w:tab/>
            </w:r>
            <w:r>
              <w:rPr>
                <w:spacing w:val="-4"/>
                <w:sz w:val="20"/>
              </w:rPr>
              <w:t>not </w:t>
            </w:r>
            <w:r>
              <w:rPr>
                <w:spacing w:val="-2"/>
                <w:sz w:val="20"/>
              </w:rPr>
              <w:t>permitted.</w:t>
            </w:r>
          </w:p>
        </w:tc>
      </w:tr>
      <w:tr>
        <w:trPr>
          <w:trHeight w:val="661" w:hRule="atLeast"/>
        </w:trPr>
        <w:tc>
          <w:tcPr>
            <w:tcW w:w="778" w:type="dxa"/>
            <w:vMerge/>
            <w:tcBorders>
              <w:top w:val="nil"/>
            </w:tcBorders>
          </w:tcPr>
          <w:p>
            <w:pPr>
              <w:rPr>
                <w:sz w:val="2"/>
                <w:szCs w:val="2"/>
              </w:rPr>
            </w:pPr>
          </w:p>
        </w:tc>
        <w:tc>
          <w:tcPr>
            <w:tcW w:w="3121" w:type="dxa"/>
          </w:tcPr>
          <w:p>
            <w:pPr>
              <w:pStyle w:val="TableParagraph"/>
              <w:spacing w:before="96"/>
              <w:ind w:left="378" w:right="164"/>
              <w:rPr>
                <w:sz w:val="20"/>
              </w:rPr>
            </w:pPr>
            <w:r>
              <w:rPr>
                <w:sz w:val="20"/>
              </w:rPr>
              <w:t>xx.</w:t>
            </w:r>
            <w:r>
              <w:rPr>
                <w:spacing w:val="-16"/>
                <w:sz w:val="20"/>
              </w:rPr>
              <w:t> </w:t>
            </w:r>
            <w:r>
              <w:rPr>
                <w:sz w:val="20"/>
              </w:rPr>
              <w:t>Manufacture</w:t>
            </w:r>
            <w:r>
              <w:rPr>
                <w:spacing w:val="-16"/>
                <w:sz w:val="20"/>
              </w:rPr>
              <w:t> </w:t>
            </w:r>
            <w:r>
              <w:rPr>
                <w:sz w:val="20"/>
              </w:rPr>
              <w:t>of</w:t>
            </w:r>
            <w:r>
              <w:rPr>
                <w:spacing w:val="-16"/>
                <w:sz w:val="20"/>
              </w:rPr>
              <w:t> </w:t>
            </w:r>
            <w:r>
              <w:rPr>
                <w:sz w:val="20"/>
              </w:rPr>
              <w:t>leather </w:t>
            </w:r>
            <w:r>
              <w:rPr>
                <w:spacing w:val="-2"/>
                <w:sz w:val="20"/>
              </w:rPr>
              <w:t>footwear.</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897" w:hRule="atLeast"/>
        </w:trPr>
        <w:tc>
          <w:tcPr>
            <w:tcW w:w="778" w:type="dxa"/>
            <w:vMerge/>
            <w:tcBorders>
              <w:top w:val="nil"/>
            </w:tcBorders>
          </w:tcPr>
          <w:p>
            <w:pPr>
              <w:rPr>
                <w:sz w:val="2"/>
                <w:szCs w:val="2"/>
              </w:rPr>
            </w:pPr>
          </w:p>
        </w:tc>
        <w:tc>
          <w:tcPr>
            <w:tcW w:w="3121" w:type="dxa"/>
          </w:tcPr>
          <w:p>
            <w:pPr>
              <w:pStyle w:val="TableParagraph"/>
              <w:spacing w:before="96"/>
              <w:ind w:left="378" w:right="166"/>
              <w:jc w:val="both"/>
              <w:rPr>
                <w:sz w:val="20"/>
              </w:rPr>
            </w:pPr>
            <w:r>
              <w:rPr>
                <w:sz w:val="20"/>
              </w:rPr>
              <w:t>xxi Manufacture of wearing apparel like coats, gloves.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1600" w:hRule="atLeast"/>
        </w:trPr>
        <w:tc>
          <w:tcPr>
            <w:tcW w:w="778" w:type="dxa"/>
            <w:vMerge/>
            <w:tcBorders>
              <w:top w:val="nil"/>
            </w:tcBorders>
          </w:tcPr>
          <w:p>
            <w:pPr>
              <w:rPr>
                <w:sz w:val="2"/>
                <w:szCs w:val="2"/>
              </w:rPr>
            </w:pPr>
          </w:p>
        </w:tc>
        <w:tc>
          <w:tcPr>
            <w:tcW w:w="3121" w:type="dxa"/>
          </w:tcPr>
          <w:p>
            <w:pPr>
              <w:pStyle w:val="TableParagraph"/>
              <w:tabs>
                <w:tab w:pos="1972" w:val="left" w:leader="none"/>
              </w:tabs>
              <w:spacing w:before="94"/>
              <w:ind w:left="378" w:right="166"/>
              <w:jc w:val="both"/>
              <w:rPr>
                <w:sz w:val="20"/>
              </w:rPr>
            </w:pPr>
            <w:r>
              <w:rPr>
                <w:sz w:val="20"/>
              </w:rPr>
              <w:t>xxii. Manufacture of </w:t>
            </w:r>
            <w:r>
              <w:rPr>
                <w:spacing w:val="-2"/>
                <w:sz w:val="20"/>
              </w:rPr>
              <w:t>leather</w:t>
            </w:r>
            <w:r>
              <w:rPr>
                <w:sz w:val="20"/>
              </w:rPr>
              <w:tab/>
            </w:r>
            <w:r>
              <w:rPr>
                <w:spacing w:val="-2"/>
                <w:sz w:val="20"/>
              </w:rPr>
              <w:t>consume</w:t>
            </w:r>
            <w:r>
              <w:rPr>
                <w:spacing w:val="-2"/>
                <w:sz w:val="20"/>
              </w:rPr>
              <w:t>r</w:t>
            </w:r>
          </w:p>
          <w:p>
            <w:pPr>
              <w:pStyle w:val="TableParagraph"/>
              <w:spacing w:before="1"/>
              <w:ind w:left="378" w:right="166"/>
              <w:jc w:val="both"/>
              <w:rPr>
                <w:sz w:val="20"/>
              </w:rPr>
            </w:pPr>
            <w:r>
              <w:rPr>
                <w:sz w:val="20"/>
              </w:rPr>
              <w:t>goods such as</w:t>
            </w:r>
            <w:r>
              <w:rPr>
                <w:spacing w:val="80"/>
                <w:sz w:val="20"/>
              </w:rPr>
              <w:t> </w:t>
            </w:r>
            <w:r>
              <w:rPr>
                <w:sz w:val="20"/>
              </w:rPr>
              <w:t>upholstery, suitcases, pocket books, cigarette and key cases, purses.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993" w:hRule="atLeast"/>
        </w:trPr>
        <w:tc>
          <w:tcPr>
            <w:tcW w:w="778" w:type="dxa"/>
            <w:vMerge/>
            <w:tcBorders>
              <w:top w:val="nil"/>
            </w:tcBorders>
          </w:tcPr>
          <w:p>
            <w:pPr>
              <w:rPr>
                <w:sz w:val="2"/>
                <w:szCs w:val="2"/>
              </w:rPr>
            </w:pPr>
          </w:p>
        </w:tc>
        <w:tc>
          <w:tcPr>
            <w:tcW w:w="3121" w:type="dxa"/>
          </w:tcPr>
          <w:p>
            <w:pPr>
              <w:pStyle w:val="TableParagraph"/>
              <w:spacing w:before="94"/>
              <w:ind w:left="378"/>
              <w:rPr>
                <w:sz w:val="20"/>
              </w:rPr>
            </w:pPr>
            <w:r>
              <w:rPr>
                <w:sz w:val="20"/>
              </w:rPr>
              <w:t>xxiii.</w:t>
            </w:r>
            <w:r>
              <w:rPr>
                <w:spacing w:val="40"/>
                <w:sz w:val="20"/>
              </w:rPr>
              <w:t> </w:t>
            </w:r>
            <w:r>
              <w:rPr>
                <w:sz w:val="20"/>
              </w:rPr>
              <w:t>Repair</w:t>
            </w:r>
            <w:r>
              <w:rPr>
                <w:spacing w:val="40"/>
                <w:sz w:val="20"/>
              </w:rPr>
              <w:t> </w:t>
            </w:r>
            <w:r>
              <w:rPr>
                <w:sz w:val="20"/>
              </w:rPr>
              <w:t>of</w:t>
            </w:r>
            <w:r>
              <w:rPr>
                <w:spacing w:val="40"/>
                <w:sz w:val="20"/>
              </w:rPr>
              <w:t> </w:t>
            </w:r>
            <w:r>
              <w:rPr>
                <w:sz w:val="20"/>
              </w:rPr>
              <w:t>footwear </w:t>
            </w:r>
            <w:r>
              <w:rPr>
                <w:spacing w:val="-4"/>
                <w:sz w:val="20"/>
              </w:rPr>
              <w:t>and</w:t>
            </w:r>
          </w:p>
          <w:p>
            <w:pPr>
              <w:pStyle w:val="TableParagraph"/>
              <w:spacing w:before="97"/>
              <w:ind w:left="378"/>
              <w:rPr>
                <w:sz w:val="20"/>
              </w:rPr>
            </w:pPr>
            <w:r>
              <w:rPr>
                <w:sz w:val="20"/>
              </w:rPr>
              <w:t>other</w:t>
            </w:r>
            <w:r>
              <w:rPr>
                <w:spacing w:val="-6"/>
                <w:sz w:val="20"/>
              </w:rPr>
              <w:t> </w:t>
            </w:r>
            <w:r>
              <w:rPr>
                <w:sz w:val="20"/>
              </w:rPr>
              <w:t>leather</w:t>
            </w:r>
            <w:r>
              <w:rPr>
                <w:spacing w:val="-5"/>
                <w:sz w:val="20"/>
              </w:rPr>
              <w:t> </w:t>
            </w:r>
            <w:r>
              <w:rPr>
                <w:spacing w:val="-2"/>
                <w:sz w:val="20"/>
              </w:rPr>
              <w:t>products.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758" w:hRule="atLeast"/>
        </w:trPr>
        <w:tc>
          <w:tcPr>
            <w:tcW w:w="778" w:type="dxa"/>
            <w:vMerge w:val="restart"/>
          </w:tcPr>
          <w:p>
            <w:pPr>
              <w:pStyle w:val="TableParagraph"/>
              <w:spacing w:before="94"/>
              <w:ind w:left="381"/>
              <w:rPr>
                <w:sz w:val="20"/>
              </w:rPr>
            </w:pPr>
            <w:r>
              <w:rPr>
                <w:spacing w:val="-5"/>
                <w:sz w:val="20"/>
              </w:rPr>
              <w:t>VI</w:t>
            </w:r>
          </w:p>
        </w:tc>
        <w:tc>
          <w:tcPr>
            <w:tcW w:w="3121" w:type="dxa"/>
          </w:tcPr>
          <w:p>
            <w:pPr>
              <w:pStyle w:val="TableParagraph"/>
              <w:spacing w:line="332" w:lineRule="exact" w:before="17"/>
              <w:ind w:left="378" w:right="864"/>
              <w:rPr>
                <w:sz w:val="20"/>
              </w:rPr>
            </w:pPr>
            <w:r>
              <w:rPr>
                <w:sz w:val="20"/>
              </w:rPr>
              <w:t>Rubber</w:t>
            </w:r>
            <w:r>
              <w:rPr>
                <w:spacing w:val="-16"/>
                <w:sz w:val="20"/>
              </w:rPr>
              <w:t> </w:t>
            </w:r>
            <w:r>
              <w:rPr>
                <w:sz w:val="20"/>
              </w:rPr>
              <w:t>and</w:t>
            </w:r>
            <w:r>
              <w:rPr>
                <w:spacing w:val="-16"/>
                <w:sz w:val="20"/>
              </w:rPr>
              <w:t> </w:t>
            </w:r>
            <w:r>
              <w:rPr>
                <w:sz w:val="20"/>
              </w:rPr>
              <w:t>Plastic </w:t>
            </w:r>
            <w:r>
              <w:rPr>
                <w:spacing w:val="-2"/>
                <w:sz w:val="20"/>
              </w:rPr>
              <w:t>Products-</w:t>
            </w:r>
          </w:p>
        </w:tc>
        <w:tc>
          <w:tcPr>
            <w:tcW w:w="1416" w:type="dxa"/>
            <w:vMerge w:val="restart"/>
          </w:tcPr>
          <w:p>
            <w:pPr>
              <w:pStyle w:val="TableParagraph"/>
              <w:rPr>
                <w:sz w:val="20"/>
              </w:rPr>
            </w:pPr>
          </w:p>
          <w:p>
            <w:pPr>
              <w:pStyle w:val="TableParagraph"/>
              <w:rPr>
                <w:sz w:val="20"/>
              </w:rPr>
            </w:pPr>
          </w:p>
          <w:p>
            <w:pPr>
              <w:pStyle w:val="TableParagraph"/>
              <w:rPr>
                <w:sz w:val="20"/>
              </w:rPr>
            </w:pPr>
          </w:p>
          <w:p>
            <w:pPr>
              <w:pStyle w:val="TableParagraph"/>
              <w:spacing w:before="233"/>
              <w:rPr>
                <w:sz w:val="20"/>
              </w:rPr>
            </w:pPr>
          </w:p>
          <w:p>
            <w:pPr>
              <w:pStyle w:val="TableParagraph"/>
              <w:ind w:left="378"/>
              <w:rPr>
                <w:sz w:val="20"/>
              </w:rPr>
            </w:pPr>
            <w:r>
              <w:rPr>
                <w:spacing w:val="-5"/>
                <w:sz w:val="20"/>
              </w:rPr>
              <w:t>1.5</w:t>
            </w:r>
          </w:p>
        </w:tc>
        <w:tc>
          <w:tcPr>
            <w:tcW w:w="1560" w:type="dxa"/>
            <w:vMerge w:val="restart"/>
          </w:tcPr>
          <w:p>
            <w:pPr>
              <w:pStyle w:val="TableParagraph"/>
              <w:rPr>
                <w:sz w:val="20"/>
              </w:rPr>
            </w:pPr>
          </w:p>
          <w:p>
            <w:pPr>
              <w:pStyle w:val="TableParagraph"/>
              <w:rPr>
                <w:sz w:val="20"/>
              </w:rPr>
            </w:pPr>
          </w:p>
          <w:p>
            <w:pPr>
              <w:pStyle w:val="TableParagraph"/>
              <w:rPr>
                <w:sz w:val="20"/>
              </w:rPr>
            </w:pPr>
          </w:p>
          <w:p>
            <w:pPr>
              <w:pStyle w:val="TableParagraph"/>
              <w:spacing w:before="233"/>
              <w:rPr>
                <w:sz w:val="20"/>
              </w:rPr>
            </w:pPr>
          </w:p>
          <w:p>
            <w:pPr>
              <w:pStyle w:val="TableParagraph"/>
              <w:ind w:left="378"/>
              <w:rPr>
                <w:sz w:val="20"/>
              </w:rPr>
            </w:pPr>
            <w:r>
              <w:rPr>
                <w:spacing w:val="-10"/>
                <w:sz w:val="20"/>
              </w:rPr>
              <w:t>9</w:t>
            </w:r>
          </w:p>
        </w:tc>
        <w:tc>
          <w:tcPr>
            <w:tcW w:w="1418"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64"/>
              <w:rPr>
                <w:sz w:val="20"/>
              </w:rPr>
            </w:pPr>
          </w:p>
          <w:p>
            <w:pPr>
              <w:pStyle w:val="TableParagraph"/>
              <w:ind w:left="378"/>
              <w:rPr>
                <w:sz w:val="20"/>
              </w:rPr>
            </w:pPr>
            <w:r>
              <w:rPr>
                <w:color w:val="000000"/>
                <w:spacing w:val="-5"/>
                <w:sz w:val="20"/>
                <w:shd w:fill="FFCCFF" w:color="auto" w:val="clear"/>
              </w:rPr>
              <w:t>50</w:t>
            </w:r>
          </w:p>
        </w:tc>
        <w:tc>
          <w:tcPr>
            <w:tcW w:w="2693" w:type="dxa"/>
            <w:vMerge w:val="restart"/>
          </w:tcPr>
          <w:p>
            <w:pPr>
              <w:pStyle w:val="TableParagraph"/>
              <w:rPr>
                <w:rFonts w:ascii="Times New Roman"/>
                <w:sz w:val="18"/>
              </w:rPr>
            </w:pPr>
          </w:p>
        </w:tc>
      </w:tr>
      <w:tr>
        <w:trPr>
          <w:trHeight w:val="990" w:hRule="atLeast"/>
        </w:trPr>
        <w:tc>
          <w:tcPr>
            <w:tcW w:w="778" w:type="dxa"/>
            <w:vMerge/>
            <w:tcBorders>
              <w:top w:val="nil"/>
            </w:tcBorders>
          </w:tcPr>
          <w:p>
            <w:pPr>
              <w:rPr>
                <w:sz w:val="2"/>
                <w:szCs w:val="2"/>
              </w:rPr>
            </w:pPr>
          </w:p>
        </w:tc>
        <w:tc>
          <w:tcPr>
            <w:tcW w:w="3121" w:type="dxa"/>
          </w:tcPr>
          <w:p>
            <w:pPr>
              <w:pStyle w:val="TableParagraph"/>
              <w:tabs>
                <w:tab w:pos="1818" w:val="left" w:leader="none"/>
              </w:tabs>
              <w:spacing w:before="94"/>
              <w:ind w:left="378" w:right="164"/>
              <w:rPr>
                <w:sz w:val="20"/>
              </w:rPr>
            </w:pPr>
            <w:r>
              <w:rPr>
                <w:spacing w:val="-2"/>
                <w:sz w:val="20"/>
              </w:rPr>
              <w:t>xxiv.</w:t>
            </w:r>
            <w:r>
              <w:rPr>
                <w:sz w:val="20"/>
              </w:rPr>
              <w:tab/>
            </w:r>
            <w:r>
              <w:rPr>
                <w:spacing w:val="-2"/>
                <w:sz w:val="20"/>
              </w:rPr>
              <w:t>Retreading</w:t>
            </w:r>
            <w:r>
              <w:rPr>
                <w:spacing w:val="-2"/>
                <w:sz w:val="20"/>
              </w:rPr>
              <w:t>,</w:t>
            </w:r>
            <w:r>
              <w:rPr>
                <w:spacing w:val="-2"/>
                <w:sz w:val="20"/>
              </w:rPr>
              <w:t> recapping</w:t>
            </w:r>
          </w:p>
          <w:p>
            <w:pPr>
              <w:pStyle w:val="TableParagraph"/>
              <w:spacing w:before="97"/>
              <w:ind w:left="378"/>
              <w:rPr>
                <w:sz w:val="20"/>
              </w:rPr>
            </w:pPr>
            <w:r>
              <w:rPr>
                <w:sz w:val="20"/>
              </w:rPr>
              <w:t>and</w:t>
            </w:r>
            <w:r>
              <w:rPr>
                <w:spacing w:val="-11"/>
                <w:sz w:val="20"/>
              </w:rPr>
              <w:t> </w:t>
            </w:r>
            <w:r>
              <w:rPr>
                <w:sz w:val="20"/>
              </w:rPr>
              <w:t>vulcanizing</w:t>
            </w:r>
            <w:r>
              <w:rPr>
                <w:spacing w:val="-9"/>
                <w:sz w:val="20"/>
              </w:rPr>
              <w:t> </w:t>
            </w:r>
            <w:r>
              <w:rPr>
                <w:spacing w:val="-2"/>
                <w:sz w:val="20"/>
              </w:rPr>
              <w:t>works.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1132" w:hRule="atLeast"/>
        </w:trPr>
        <w:tc>
          <w:tcPr>
            <w:tcW w:w="778" w:type="dxa"/>
            <w:vMerge/>
            <w:tcBorders>
              <w:top w:val="nil"/>
            </w:tcBorders>
          </w:tcPr>
          <w:p>
            <w:pPr>
              <w:rPr>
                <w:sz w:val="2"/>
                <w:szCs w:val="2"/>
              </w:rPr>
            </w:pPr>
          </w:p>
        </w:tc>
        <w:tc>
          <w:tcPr>
            <w:tcW w:w="3121" w:type="dxa"/>
          </w:tcPr>
          <w:p>
            <w:pPr>
              <w:pStyle w:val="TableParagraph"/>
              <w:spacing w:before="96"/>
              <w:ind w:left="378" w:right="165"/>
              <w:jc w:val="both"/>
              <w:rPr>
                <w:sz w:val="20"/>
              </w:rPr>
            </w:pPr>
            <w:r>
              <w:rPr>
                <w:sz w:val="20"/>
              </w:rPr>
              <w:t>xxv Manufacture of rubber</w:t>
            </w:r>
            <w:r>
              <w:rPr>
                <w:spacing w:val="40"/>
                <w:sz w:val="20"/>
              </w:rPr>
              <w:t> </w:t>
            </w:r>
            <w:r>
              <w:rPr>
                <w:sz w:val="20"/>
              </w:rPr>
              <w:t>balloons, hand- gloves and allied</w:t>
            </w:r>
            <w:r>
              <w:rPr>
                <w:spacing w:val="40"/>
                <w:sz w:val="20"/>
              </w:rPr>
              <w:t> </w:t>
            </w:r>
            <w:r>
              <w:rPr>
                <w:spacing w:val="-2"/>
                <w:sz w:val="20"/>
              </w:rPr>
              <w:t>products.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426" w:hRule="atLeast"/>
        </w:trPr>
        <w:tc>
          <w:tcPr>
            <w:tcW w:w="778" w:type="dxa"/>
            <w:vMerge w:val="restart"/>
          </w:tcPr>
          <w:p>
            <w:pPr>
              <w:pStyle w:val="TableParagraph"/>
              <w:spacing w:before="94"/>
              <w:ind w:left="381" w:right="166"/>
              <w:rPr>
                <w:sz w:val="20"/>
              </w:rPr>
            </w:pPr>
            <w:r>
              <w:rPr>
                <w:spacing w:val="-6"/>
                <w:sz w:val="20"/>
              </w:rPr>
              <w:t>VI </w:t>
            </w:r>
            <w:r>
              <w:rPr>
                <w:spacing w:val="-10"/>
                <w:sz w:val="20"/>
              </w:rPr>
              <w:t>I</w:t>
            </w:r>
          </w:p>
        </w:tc>
        <w:tc>
          <w:tcPr>
            <w:tcW w:w="3121" w:type="dxa"/>
          </w:tcPr>
          <w:p>
            <w:pPr>
              <w:pStyle w:val="TableParagraph"/>
              <w:spacing w:before="94"/>
              <w:ind w:left="378"/>
              <w:rPr>
                <w:sz w:val="20"/>
              </w:rPr>
            </w:pPr>
            <w:r>
              <w:rPr>
                <w:sz w:val="20"/>
              </w:rPr>
              <w:t>Metal</w:t>
            </w:r>
            <w:r>
              <w:rPr>
                <w:spacing w:val="-7"/>
                <w:sz w:val="20"/>
              </w:rPr>
              <w:t> </w:t>
            </w:r>
            <w:r>
              <w:rPr>
                <w:spacing w:val="-2"/>
                <w:sz w:val="20"/>
              </w:rPr>
              <w:t>products-</w:t>
            </w:r>
          </w:p>
        </w:tc>
        <w:tc>
          <w:tcPr>
            <w:tcW w:w="1416" w:type="dxa"/>
            <w:vMerge w:val="restart"/>
          </w:tcPr>
          <w:p>
            <w:pPr>
              <w:pStyle w:val="TableParagraph"/>
              <w:rPr>
                <w:sz w:val="20"/>
              </w:rPr>
            </w:pPr>
          </w:p>
          <w:p>
            <w:pPr>
              <w:pStyle w:val="TableParagraph"/>
              <w:rPr>
                <w:sz w:val="20"/>
              </w:rPr>
            </w:pPr>
          </w:p>
          <w:p>
            <w:pPr>
              <w:pStyle w:val="TableParagraph"/>
              <w:spacing w:before="59"/>
              <w:rPr>
                <w:sz w:val="20"/>
              </w:rPr>
            </w:pPr>
          </w:p>
          <w:p>
            <w:pPr>
              <w:pStyle w:val="TableParagraph"/>
              <w:ind w:left="378"/>
              <w:rPr>
                <w:sz w:val="20"/>
              </w:rPr>
            </w:pPr>
            <w:r>
              <w:rPr>
                <w:spacing w:val="-4"/>
                <w:sz w:val="20"/>
              </w:rPr>
              <w:t>0.75</w:t>
            </w:r>
          </w:p>
        </w:tc>
        <w:tc>
          <w:tcPr>
            <w:tcW w:w="1560" w:type="dxa"/>
            <w:vMerge w:val="restart"/>
          </w:tcPr>
          <w:p>
            <w:pPr>
              <w:pStyle w:val="TableParagraph"/>
              <w:rPr>
                <w:sz w:val="20"/>
              </w:rPr>
            </w:pPr>
          </w:p>
          <w:p>
            <w:pPr>
              <w:pStyle w:val="TableParagraph"/>
              <w:rPr>
                <w:sz w:val="20"/>
              </w:rPr>
            </w:pPr>
          </w:p>
          <w:p>
            <w:pPr>
              <w:pStyle w:val="TableParagraph"/>
              <w:spacing w:before="59"/>
              <w:rPr>
                <w:sz w:val="20"/>
              </w:rPr>
            </w:pPr>
          </w:p>
          <w:p>
            <w:pPr>
              <w:pStyle w:val="TableParagraph"/>
              <w:ind w:left="378"/>
              <w:rPr>
                <w:sz w:val="20"/>
              </w:rPr>
            </w:pPr>
            <w:r>
              <w:rPr>
                <w:spacing w:val="-10"/>
                <w:sz w:val="20"/>
              </w:rPr>
              <w:t>9</w:t>
            </w:r>
          </w:p>
        </w:tc>
        <w:tc>
          <w:tcPr>
            <w:tcW w:w="1418" w:type="dxa"/>
            <w:vMerge w:val="restart"/>
          </w:tcPr>
          <w:p>
            <w:pPr>
              <w:pStyle w:val="TableParagraph"/>
              <w:rPr>
                <w:sz w:val="20"/>
              </w:rPr>
            </w:pPr>
          </w:p>
          <w:p>
            <w:pPr>
              <w:pStyle w:val="TableParagraph"/>
              <w:rPr>
                <w:sz w:val="20"/>
              </w:rPr>
            </w:pPr>
          </w:p>
          <w:p>
            <w:pPr>
              <w:pStyle w:val="TableParagraph"/>
              <w:spacing w:before="59"/>
              <w:rPr>
                <w:sz w:val="20"/>
              </w:rPr>
            </w:pPr>
          </w:p>
          <w:p>
            <w:pPr>
              <w:pStyle w:val="TableParagraph"/>
              <w:ind w:left="378"/>
              <w:rPr>
                <w:sz w:val="20"/>
              </w:rPr>
            </w:pPr>
            <w:r>
              <w:rPr>
                <w:color w:val="000000"/>
                <w:spacing w:val="-5"/>
                <w:sz w:val="20"/>
                <w:shd w:fill="FFCCFF" w:color="auto" w:val="clear"/>
              </w:rPr>
              <w:t>25</w:t>
            </w:r>
          </w:p>
        </w:tc>
        <w:tc>
          <w:tcPr>
            <w:tcW w:w="2693" w:type="dxa"/>
            <w:vMerge w:val="restart"/>
          </w:tcPr>
          <w:p>
            <w:pPr>
              <w:pStyle w:val="TableParagraph"/>
              <w:rPr>
                <w:rFonts w:ascii="Times New Roman"/>
                <w:sz w:val="18"/>
              </w:rPr>
            </w:pPr>
          </w:p>
        </w:tc>
      </w:tr>
      <w:tr>
        <w:trPr>
          <w:trHeight w:val="661" w:hRule="atLeast"/>
        </w:trPr>
        <w:tc>
          <w:tcPr>
            <w:tcW w:w="778" w:type="dxa"/>
            <w:vMerge/>
            <w:tcBorders>
              <w:top w:val="nil"/>
            </w:tcBorders>
          </w:tcPr>
          <w:p>
            <w:pPr>
              <w:rPr>
                <w:sz w:val="2"/>
                <w:szCs w:val="2"/>
              </w:rPr>
            </w:pPr>
          </w:p>
        </w:tc>
        <w:tc>
          <w:tcPr>
            <w:tcW w:w="3121" w:type="dxa"/>
          </w:tcPr>
          <w:p>
            <w:pPr>
              <w:pStyle w:val="TableParagraph"/>
              <w:spacing w:before="94"/>
              <w:ind w:left="378"/>
              <w:rPr>
                <w:sz w:val="20"/>
              </w:rPr>
            </w:pPr>
            <w:r>
              <w:rPr>
                <w:sz w:val="20"/>
              </w:rPr>
              <w:t>xxvi.</w:t>
            </w:r>
            <w:r>
              <w:rPr>
                <w:spacing w:val="-1"/>
                <w:sz w:val="20"/>
              </w:rPr>
              <w:t> </w:t>
            </w:r>
            <w:r>
              <w:rPr>
                <w:sz w:val="20"/>
              </w:rPr>
              <w:t>Tool</w:t>
            </w:r>
            <w:r>
              <w:rPr>
                <w:spacing w:val="-2"/>
                <w:sz w:val="20"/>
              </w:rPr>
              <w:t> </w:t>
            </w:r>
            <w:r>
              <w:rPr>
                <w:sz w:val="20"/>
              </w:rPr>
              <w:t>sharpening</w:t>
            </w:r>
            <w:r>
              <w:rPr>
                <w:spacing w:val="-1"/>
                <w:sz w:val="20"/>
              </w:rPr>
              <w:t> </w:t>
            </w:r>
            <w:r>
              <w:rPr>
                <w:sz w:val="20"/>
              </w:rPr>
              <w:t>and razor sharpening works.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662" w:hRule="atLeast"/>
        </w:trPr>
        <w:tc>
          <w:tcPr>
            <w:tcW w:w="778" w:type="dxa"/>
            <w:vMerge/>
            <w:tcBorders>
              <w:top w:val="nil"/>
            </w:tcBorders>
          </w:tcPr>
          <w:p>
            <w:pPr>
              <w:rPr>
                <w:sz w:val="2"/>
                <w:szCs w:val="2"/>
              </w:rPr>
            </w:pPr>
          </w:p>
        </w:tc>
        <w:tc>
          <w:tcPr>
            <w:tcW w:w="3121" w:type="dxa"/>
          </w:tcPr>
          <w:p>
            <w:pPr>
              <w:pStyle w:val="TableParagraph"/>
              <w:spacing w:before="95"/>
              <w:ind w:left="378"/>
              <w:rPr>
                <w:sz w:val="20"/>
              </w:rPr>
            </w:pPr>
            <w:r>
              <w:rPr>
                <w:sz w:val="20"/>
              </w:rPr>
              <w:t>xxvii</w:t>
            </w:r>
            <w:r>
              <w:rPr>
                <w:spacing w:val="40"/>
                <w:sz w:val="20"/>
              </w:rPr>
              <w:t> </w:t>
            </w:r>
            <w:r>
              <w:rPr>
                <w:sz w:val="20"/>
              </w:rPr>
              <w:t>Umbrella</w:t>
            </w:r>
            <w:r>
              <w:rPr>
                <w:spacing w:val="40"/>
                <w:sz w:val="20"/>
              </w:rPr>
              <w:t> </w:t>
            </w:r>
            <w:r>
              <w:rPr>
                <w:sz w:val="20"/>
              </w:rPr>
              <w:t>assembly </w:t>
            </w:r>
            <w:r>
              <w:rPr>
                <w:spacing w:val="-2"/>
                <w:sz w:val="20"/>
              </w:rPr>
              <w:t>works</w:t>
            </w:r>
          </w:p>
        </w:tc>
        <w:tc>
          <w:tcPr>
            <w:tcW w:w="1416" w:type="dxa"/>
          </w:tcPr>
          <w:p>
            <w:pPr>
              <w:pStyle w:val="TableParagraph"/>
              <w:spacing w:before="95"/>
              <w:ind w:left="378"/>
              <w:rPr>
                <w:sz w:val="20"/>
              </w:rPr>
            </w:pPr>
            <w:r>
              <w:rPr>
                <w:spacing w:val="-4"/>
                <w:sz w:val="20"/>
              </w:rPr>
              <w:t>0.75</w:t>
            </w:r>
          </w:p>
        </w:tc>
        <w:tc>
          <w:tcPr>
            <w:tcW w:w="1560" w:type="dxa"/>
          </w:tcPr>
          <w:p>
            <w:pPr>
              <w:pStyle w:val="TableParagraph"/>
              <w:spacing w:before="95"/>
              <w:ind w:left="378"/>
              <w:rPr>
                <w:sz w:val="20"/>
              </w:rPr>
            </w:pPr>
            <w:r>
              <w:rPr>
                <w:spacing w:val="-10"/>
                <w:sz w:val="20"/>
              </w:rPr>
              <w:t>9</w:t>
            </w:r>
          </w:p>
        </w:tc>
        <w:tc>
          <w:tcPr>
            <w:tcW w:w="1418" w:type="dxa"/>
          </w:tcPr>
          <w:p>
            <w:pPr>
              <w:pStyle w:val="TableParagraph"/>
              <w:spacing w:before="95"/>
              <w:ind w:left="378"/>
              <w:rPr>
                <w:sz w:val="20"/>
              </w:rPr>
            </w:pPr>
            <w:r>
              <w:rPr>
                <w:color w:val="000000"/>
                <w:spacing w:val="-5"/>
                <w:sz w:val="20"/>
                <w:shd w:fill="FFCCFF" w:color="auto" w:val="clear"/>
              </w:rPr>
              <w:t>50</w:t>
            </w:r>
          </w:p>
        </w:tc>
        <w:tc>
          <w:tcPr>
            <w:tcW w:w="2693" w:type="dxa"/>
            <w:vMerge/>
            <w:tcBorders>
              <w:top w:val="nil"/>
            </w:tcBorders>
          </w:tcPr>
          <w:p>
            <w:pPr>
              <w:rPr>
                <w:sz w:val="2"/>
                <w:szCs w:val="2"/>
              </w:rPr>
            </w:pPr>
          </w:p>
        </w:tc>
      </w:tr>
      <w:tr>
        <w:trPr>
          <w:trHeight w:val="426" w:hRule="atLeast"/>
        </w:trPr>
        <w:tc>
          <w:tcPr>
            <w:tcW w:w="778" w:type="dxa"/>
          </w:tcPr>
          <w:p>
            <w:pPr>
              <w:pStyle w:val="TableParagraph"/>
              <w:rPr>
                <w:rFonts w:ascii="Times New Roman"/>
                <w:sz w:val="18"/>
              </w:rPr>
            </w:pPr>
          </w:p>
        </w:tc>
        <w:tc>
          <w:tcPr>
            <w:tcW w:w="3121" w:type="dxa"/>
          </w:tcPr>
          <w:p>
            <w:pPr>
              <w:pStyle w:val="TableParagraph"/>
              <w:spacing w:before="94"/>
              <w:ind w:left="378"/>
              <w:rPr>
                <w:sz w:val="20"/>
              </w:rPr>
            </w:pPr>
            <w:r>
              <w:rPr>
                <w:sz w:val="20"/>
              </w:rPr>
              <w:t>Electrical</w:t>
            </w:r>
            <w:r>
              <w:rPr>
                <w:spacing w:val="-9"/>
                <w:sz w:val="20"/>
              </w:rPr>
              <w:t> </w:t>
            </w:r>
            <w:r>
              <w:rPr>
                <w:spacing w:val="-2"/>
                <w:sz w:val="20"/>
              </w:rPr>
              <w:t>Goods-</w:t>
            </w:r>
          </w:p>
        </w:tc>
        <w:tc>
          <w:tcPr>
            <w:tcW w:w="1416" w:type="dxa"/>
          </w:tcPr>
          <w:p>
            <w:pPr>
              <w:pStyle w:val="TableParagraph"/>
              <w:spacing w:before="94"/>
              <w:ind w:left="378"/>
              <w:rPr>
                <w:sz w:val="20"/>
              </w:rPr>
            </w:pPr>
            <w:r>
              <w:rPr>
                <w:spacing w:val="-4"/>
                <w:sz w:val="20"/>
              </w:rPr>
              <w:t>2.25</w:t>
            </w:r>
          </w:p>
        </w:tc>
        <w:tc>
          <w:tcPr>
            <w:tcW w:w="1560" w:type="dxa"/>
          </w:tcPr>
          <w:p>
            <w:pPr>
              <w:pStyle w:val="TableParagraph"/>
              <w:spacing w:before="94"/>
              <w:ind w:left="378"/>
              <w:rPr>
                <w:sz w:val="20"/>
              </w:rPr>
            </w:pPr>
            <w:r>
              <w:rPr>
                <w:spacing w:val="-10"/>
                <w:sz w:val="20"/>
              </w:rPr>
              <w:t>9</w:t>
            </w:r>
          </w:p>
        </w:tc>
        <w:tc>
          <w:tcPr>
            <w:tcW w:w="1418" w:type="dxa"/>
          </w:tcPr>
          <w:p>
            <w:pPr>
              <w:pStyle w:val="TableParagraph"/>
              <w:spacing w:before="94"/>
              <w:ind w:left="378"/>
              <w:rPr>
                <w:sz w:val="20"/>
              </w:rPr>
            </w:pPr>
            <w:r>
              <w:rPr>
                <w:color w:val="000000"/>
                <w:spacing w:val="-5"/>
                <w:sz w:val="20"/>
                <w:shd w:fill="FFCCFF" w:color="auto" w:val="clear"/>
              </w:rPr>
              <w:t>50</w:t>
            </w:r>
          </w:p>
        </w:tc>
        <w:tc>
          <w:tcPr>
            <w:tcW w:w="2693" w:type="dxa"/>
          </w:tcPr>
          <w:p>
            <w:pPr>
              <w:pStyle w:val="TableParagraph"/>
              <w:rPr>
                <w:rFonts w:ascii="Times New Roman"/>
                <w:sz w:val="18"/>
              </w:rPr>
            </w:pPr>
          </w:p>
        </w:tc>
      </w:tr>
    </w:tbl>
    <w:p>
      <w:pPr>
        <w:pStyle w:val="TableParagraph"/>
        <w:spacing w:after="0"/>
        <w:rPr>
          <w:rFonts w:ascii="Times New Roman"/>
          <w:sz w:val="18"/>
        </w:rPr>
        <w:sectPr>
          <w:pgSz w:w="11910" w:h="16840"/>
          <w:pgMar w:header="1058" w:footer="1088" w:top="1500" w:bottom="1280" w:left="360" w:right="360"/>
        </w:sectPr>
      </w:pPr>
    </w:p>
    <w:p>
      <w:pPr>
        <w:pStyle w:val="BodyText"/>
        <w:spacing w:before="20"/>
        <w:jc w:val="left"/>
        <w:rPr>
          <w:sz w:val="20"/>
        </w:rPr>
      </w:pPr>
    </w:p>
    <w:tbl>
      <w:tblPr>
        <w:tblW w:w="0" w:type="auto"/>
        <w:jc w:val="left"/>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8"/>
        <w:gridCol w:w="3121"/>
        <w:gridCol w:w="1416"/>
        <w:gridCol w:w="1560"/>
        <w:gridCol w:w="1418"/>
        <w:gridCol w:w="2693"/>
      </w:tblGrid>
      <w:tr>
        <w:trPr>
          <w:trHeight w:val="3011" w:hRule="atLeast"/>
        </w:trPr>
        <w:tc>
          <w:tcPr>
            <w:tcW w:w="778" w:type="dxa"/>
            <w:vMerge w:val="restart"/>
          </w:tcPr>
          <w:p>
            <w:pPr>
              <w:pStyle w:val="TableParagraph"/>
              <w:spacing w:before="97"/>
              <w:ind w:left="381" w:right="166"/>
              <w:rPr>
                <w:sz w:val="20"/>
              </w:rPr>
            </w:pPr>
            <w:r>
              <w:rPr>
                <w:spacing w:val="-6"/>
                <w:sz w:val="20"/>
              </w:rPr>
              <w:t>VI II</w:t>
            </w:r>
          </w:p>
        </w:tc>
        <w:tc>
          <w:tcPr>
            <w:tcW w:w="3121" w:type="dxa"/>
          </w:tcPr>
          <w:p>
            <w:pPr>
              <w:pStyle w:val="TableParagraph"/>
              <w:tabs>
                <w:tab w:pos="2166" w:val="left" w:leader="none"/>
                <w:tab w:pos="2597" w:val="left" w:leader="none"/>
              </w:tabs>
              <w:spacing w:before="97"/>
              <w:ind w:left="378" w:right="163"/>
              <w:jc w:val="both"/>
              <w:rPr>
                <w:sz w:val="20"/>
              </w:rPr>
            </w:pPr>
            <w:r>
              <w:rPr>
                <w:sz w:val="20"/>
              </w:rPr>
              <w:t>xxviii. Repairs of household electrical appliances, such as radio and television sets, tape recorders, video sets, heaters, irons, shavers, </w:t>
            </w:r>
            <w:r>
              <w:rPr>
                <w:spacing w:val="-2"/>
                <w:sz w:val="20"/>
              </w:rPr>
              <w:t>vacuum</w:t>
            </w:r>
            <w:r>
              <w:rPr>
                <w:sz w:val="20"/>
              </w:rPr>
              <w:tab/>
            </w:r>
            <w:r>
              <w:rPr>
                <w:spacing w:val="-2"/>
                <w:sz w:val="20"/>
              </w:rPr>
              <w:t>cleaner</w:t>
            </w:r>
            <w:r>
              <w:rPr>
                <w:spacing w:val="-2"/>
                <w:sz w:val="20"/>
              </w:rPr>
              <w:t>,</w:t>
            </w:r>
            <w:r>
              <w:rPr>
                <w:spacing w:val="-2"/>
                <w:sz w:val="20"/>
              </w:rPr>
              <w:t> refrigerators,</w:t>
            </w:r>
            <w:r>
              <w:rPr>
                <w:sz w:val="20"/>
              </w:rPr>
              <w:tab/>
              <w:tab/>
            </w:r>
            <w:r>
              <w:rPr>
                <w:spacing w:val="-4"/>
                <w:sz w:val="20"/>
              </w:rPr>
              <w:t>air</w:t>
            </w:r>
            <w:r>
              <w:rPr>
                <w:spacing w:val="-4"/>
                <w:sz w:val="20"/>
              </w:rPr>
              <w:t>-</w:t>
            </w:r>
            <w:r>
              <w:rPr>
                <w:spacing w:val="-4"/>
                <w:sz w:val="20"/>
              </w:rPr>
              <w:t> </w:t>
            </w:r>
            <w:r>
              <w:rPr>
                <w:sz w:val="20"/>
              </w:rPr>
              <w:t>conditioners, washing machines,</w:t>
            </w:r>
            <w:r>
              <w:rPr>
                <w:spacing w:val="-16"/>
                <w:sz w:val="20"/>
              </w:rPr>
              <w:t> </w:t>
            </w:r>
            <w:r>
              <w:rPr>
                <w:sz w:val="20"/>
              </w:rPr>
              <w:t>electric</w:t>
            </w:r>
            <w:r>
              <w:rPr>
                <w:spacing w:val="-16"/>
                <w:sz w:val="20"/>
              </w:rPr>
              <w:t> </w:t>
            </w:r>
            <w:r>
              <w:rPr>
                <w:sz w:val="20"/>
              </w:rPr>
              <w:t>cooking ranges, meter rewinding </w:t>
            </w:r>
            <w:r>
              <w:rPr>
                <w:spacing w:val="-2"/>
                <w:sz w:val="20"/>
              </w:rPr>
              <w:t>works.</w:t>
            </w:r>
          </w:p>
        </w:tc>
        <w:tc>
          <w:tcPr>
            <w:tcW w:w="1416" w:type="dxa"/>
          </w:tcPr>
          <w:p>
            <w:pPr>
              <w:pStyle w:val="TableParagraph"/>
              <w:rPr>
                <w:rFonts w:ascii="Times New Roman"/>
                <w:sz w:val="18"/>
              </w:rPr>
            </w:pPr>
          </w:p>
        </w:tc>
        <w:tc>
          <w:tcPr>
            <w:tcW w:w="1560" w:type="dxa"/>
          </w:tcPr>
          <w:p>
            <w:pPr>
              <w:pStyle w:val="TableParagraph"/>
              <w:rPr>
                <w:rFonts w:ascii="Times New Roman"/>
                <w:sz w:val="18"/>
              </w:rPr>
            </w:pPr>
          </w:p>
        </w:tc>
        <w:tc>
          <w:tcPr>
            <w:tcW w:w="1418" w:type="dxa"/>
          </w:tcPr>
          <w:p>
            <w:pPr>
              <w:pStyle w:val="TableParagraph"/>
              <w:rPr>
                <w:rFonts w:ascii="Times New Roman"/>
                <w:sz w:val="18"/>
              </w:rPr>
            </w:pPr>
          </w:p>
        </w:tc>
        <w:tc>
          <w:tcPr>
            <w:tcW w:w="2693" w:type="dxa"/>
          </w:tcPr>
          <w:p>
            <w:pPr>
              <w:pStyle w:val="TableParagraph"/>
              <w:tabs>
                <w:tab w:pos="900" w:val="left" w:leader="none"/>
                <w:tab w:pos="1706" w:val="left" w:leader="none"/>
              </w:tabs>
              <w:spacing w:before="97"/>
              <w:ind w:left="379" w:right="164"/>
              <w:rPr>
                <w:sz w:val="20"/>
              </w:rPr>
            </w:pPr>
            <w:r>
              <w:rPr>
                <w:spacing w:val="-6"/>
                <w:sz w:val="20"/>
              </w:rPr>
              <w:t>No</w:t>
            </w:r>
            <w:r>
              <w:rPr>
                <w:sz w:val="20"/>
              </w:rPr>
              <w:tab/>
            </w:r>
            <w:r>
              <w:rPr>
                <w:spacing w:val="-2"/>
                <w:sz w:val="20"/>
              </w:rPr>
              <w:t>spray</w:t>
            </w:r>
            <w:r>
              <w:rPr>
                <w:sz w:val="20"/>
              </w:rPr>
              <w:tab/>
            </w:r>
            <w:r>
              <w:rPr>
                <w:spacing w:val="-2"/>
                <w:sz w:val="20"/>
              </w:rPr>
              <w:t>painting permitted.</w:t>
            </w:r>
          </w:p>
        </w:tc>
      </w:tr>
      <w:tr>
        <w:trPr>
          <w:trHeight w:val="660" w:hRule="atLeast"/>
        </w:trPr>
        <w:tc>
          <w:tcPr>
            <w:tcW w:w="778" w:type="dxa"/>
            <w:vMerge/>
            <w:tcBorders>
              <w:top w:val="nil"/>
            </w:tcBorders>
          </w:tcPr>
          <w:p>
            <w:pPr>
              <w:rPr>
                <w:sz w:val="2"/>
                <w:szCs w:val="2"/>
              </w:rPr>
            </w:pPr>
          </w:p>
        </w:tc>
        <w:tc>
          <w:tcPr>
            <w:tcW w:w="3121" w:type="dxa"/>
          </w:tcPr>
          <w:p>
            <w:pPr>
              <w:pStyle w:val="TableParagraph"/>
              <w:spacing w:before="94"/>
              <w:ind w:left="378"/>
              <w:rPr>
                <w:sz w:val="20"/>
              </w:rPr>
            </w:pPr>
            <w:r>
              <w:rPr>
                <w:sz w:val="20"/>
              </w:rPr>
              <w:t>xix.</w:t>
            </w:r>
            <w:r>
              <w:rPr>
                <w:spacing w:val="-3"/>
                <w:sz w:val="20"/>
              </w:rPr>
              <w:t> </w:t>
            </w:r>
            <w:r>
              <w:rPr>
                <w:sz w:val="20"/>
              </w:rPr>
              <w:t>Electronic</w:t>
            </w:r>
            <w:r>
              <w:rPr>
                <w:spacing w:val="-3"/>
                <w:sz w:val="20"/>
              </w:rPr>
              <w:t> </w:t>
            </w:r>
            <w:r>
              <w:rPr>
                <w:sz w:val="20"/>
              </w:rPr>
              <w:t>industry</w:t>
            </w:r>
            <w:r>
              <w:rPr>
                <w:spacing w:val="-3"/>
                <w:sz w:val="20"/>
              </w:rPr>
              <w:t> </w:t>
            </w:r>
            <w:r>
              <w:rPr>
                <w:sz w:val="20"/>
              </w:rPr>
              <w:t>of assembly type.</w:t>
            </w:r>
          </w:p>
        </w:tc>
        <w:tc>
          <w:tcPr>
            <w:tcW w:w="1416" w:type="dxa"/>
          </w:tcPr>
          <w:p>
            <w:pPr>
              <w:pStyle w:val="TableParagraph"/>
              <w:spacing w:before="212"/>
              <w:ind w:left="378"/>
              <w:rPr>
                <w:sz w:val="20"/>
              </w:rPr>
            </w:pPr>
            <w:r>
              <w:rPr>
                <w:spacing w:val="-4"/>
                <w:sz w:val="20"/>
              </w:rPr>
              <w:t>3.75</w:t>
            </w:r>
          </w:p>
        </w:tc>
        <w:tc>
          <w:tcPr>
            <w:tcW w:w="1560" w:type="dxa"/>
          </w:tcPr>
          <w:p>
            <w:pPr>
              <w:pStyle w:val="TableParagraph"/>
              <w:spacing w:before="212"/>
              <w:ind w:left="378"/>
              <w:rPr>
                <w:sz w:val="20"/>
              </w:rPr>
            </w:pPr>
            <w:r>
              <w:rPr>
                <w:spacing w:val="-10"/>
                <w:sz w:val="20"/>
              </w:rPr>
              <w:t>9</w:t>
            </w:r>
          </w:p>
        </w:tc>
        <w:tc>
          <w:tcPr>
            <w:tcW w:w="1418" w:type="dxa"/>
          </w:tcPr>
          <w:p>
            <w:pPr>
              <w:pStyle w:val="TableParagraph"/>
              <w:spacing w:before="212"/>
              <w:ind w:left="378"/>
              <w:rPr>
                <w:sz w:val="20"/>
              </w:rPr>
            </w:pPr>
            <w:r>
              <w:rPr>
                <w:color w:val="000000"/>
                <w:spacing w:val="-5"/>
                <w:sz w:val="20"/>
                <w:shd w:fill="FFCCFF" w:color="auto" w:val="clear"/>
              </w:rPr>
              <w:t>50</w:t>
            </w:r>
          </w:p>
        </w:tc>
        <w:tc>
          <w:tcPr>
            <w:tcW w:w="2693" w:type="dxa"/>
          </w:tcPr>
          <w:p>
            <w:pPr>
              <w:pStyle w:val="TableParagraph"/>
              <w:tabs>
                <w:tab w:pos="1082" w:val="left" w:leader="none"/>
                <w:tab w:pos="2270" w:val="left" w:leader="none"/>
              </w:tabs>
              <w:spacing w:before="94"/>
              <w:ind w:left="379" w:right="163"/>
              <w:rPr>
                <w:sz w:val="20"/>
              </w:rPr>
            </w:pPr>
            <w:r>
              <w:rPr>
                <w:spacing w:val="-4"/>
                <w:sz w:val="20"/>
              </w:rPr>
              <w:t>Only</w:t>
            </w:r>
            <w:r>
              <w:rPr>
                <w:sz w:val="20"/>
              </w:rPr>
              <w:tab/>
            </w:r>
            <w:r>
              <w:rPr>
                <w:spacing w:val="-2"/>
                <w:sz w:val="20"/>
              </w:rPr>
              <w:t>permitted</w:t>
            </w:r>
            <w:r>
              <w:rPr>
                <w:sz w:val="20"/>
              </w:rPr>
              <w:tab/>
            </w:r>
            <w:r>
              <w:rPr>
                <w:spacing w:val="-6"/>
                <w:sz w:val="20"/>
              </w:rPr>
              <w:t>on </w:t>
            </w:r>
            <w:r>
              <w:rPr>
                <w:sz w:val="20"/>
              </w:rPr>
              <w:t>ground floor.</w:t>
            </w:r>
          </w:p>
        </w:tc>
      </w:tr>
      <w:tr>
        <w:trPr>
          <w:trHeight w:val="428" w:hRule="atLeast"/>
        </w:trPr>
        <w:tc>
          <w:tcPr>
            <w:tcW w:w="778" w:type="dxa"/>
            <w:vMerge w:val="restart"/>
          </w:tcPr>
          <w:p>
            <w:pPr>
              <w:pStyle w:val="TableParagraph"/>
              <w:spacing w:before="96"/>
              <w:ind w:left="381"/>
              <w:rPr>
                <w:sz w:val="20"/>
              </w:rPr>
            </w:pPr>
            <w:r>
              <w:rPr>
                <w:spacing w:val="-5"/>
                <w:sz w:val="20"/>
              </w:rPr>
              <w:t>IX</w:t>
            </w:r>
          </w:p>
        </w:tc>
        <w:tc>
          <w:tcPr>
            <w:tcW w:w="3121" w:type="dxa"/>
          </w:tcPr>
          <w:p>
            <w:pPr>
              <w:pStyle w:val="TableParagraph"/>
              <w:spacing w:before="96"/>
              <w:ind w:left="378"/>
              <w:rPr>
                <w:sz w:val="20"/>
              </w:rPr>
            </w:pPr>
            <w:r>
              <w:rPr>
                <w:sz w:val="20"/>
              </w:rPr>
              <w:t>Transport</w:t>
            </w:r>
            <w:r>
              <w:rPr>
                <w:spacing w:val="-12"/>
                <w:sz w:val="20"/>
              </w:rPr>
              <w:t> </w:t>
            </w:r>
            <w:r>
              <w:rPr>
                <w:spacing w:val="-2"/>
                <w:sz w:val="20"/>
              </w:rPr>
              <w:t>Equipment</w:t>
            </w:r>
          </w:p>
        </w:tc>
        <w:tc>
          <w:tcPr>
            <w:tcW w:w="1416"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ind w:left="378"/>
              <w:rPr>
                <w:sz w:val="20"/>
              </w:rPr>
            </w:pPr>
            <w:r>
              <w:rPr>
                <w:spacing w:val="-4"/>
                <w:sz w:val="20"/>
              </w:rPr>
              <w:t>3.75</w:t>
            </w:r>
          </w:p>
        </w:tc>
        <w:tc>
          <w:tcPr>
            <w:tcW w:w="156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ind w:left="378"/>
              <w:rPr>
                <w:sz w:val="20"/>
              </w:rPr>
            </w:pPr>
            <w:r>
              <w:rPr>
                <w:spacing w:val="-10"/>
                <w:sz w:val="20"/>
              </w:rPr>
              <w:t>9</w:t>
            </w:r>
          </w:p>
        </w:tc>
        <w:tc>
          <w:tcPr>
            <w:tcW w:w="1418"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ind w:left="378"/>
              <w:rPr>
                <w:sz w:val="20"/>
              </w:rPr>
            </w:pPr>
            <w:r>
              <w:rPr>
                <w:color w:val="000000"/>
                <w:spacing w:val="-5"/>
                <w:sz w:val="20"/>
                <w:shd w:fill="FFCCFF" w:color="auto" w:val="clear"/>
              </w:rPr>
              <w:t>100</w:t>
            </w:r>
          </w:p>
        </w:tc>
        <w:tc>
          <w:tcPr>
            <w:tcW w:w="2693" w:type="dxa"/>
            <w:vMerge w:val="restart"/>
          </w:tcPr>
          <w:p>
            <w:pPr>
              <w:pStyle w:val="TableParagraph"/>
              <w:rPr>
                <w:sz w:val="20"/>
              </w:rPr>
            </w:pPr>
          </w:p>
          <w:p>
            <w:pPr>
              <w:pStyle w:val="TableParagraph"/>
              <w:rPr>
                <w:sz w:val="20"/>
              </w:rPr>
            </w:pPr>
          </w:p>
          <w:p>
            <w:pPr>
              <w:pStyle w:val="TableParagraph"/>
              <w:spacing w:before="52"/>
              <w:rPr>
                <w:sz w:val="20"/>
              </w:rPr>
            </w:pPr>
          </w:p>
          <w:p>
            <w:pPr>
              <w:pStyle w:val="TableParagraph"/>
              <w:ind w:left="379"/>
              <w:rPr>
                <w:sz w:val="20"/>
              </w:rPr>
            </w:pPr>
            <w:r>
              <w:rPr>
                <w:sz w:val="20"/>
              </w:rPr>
              <w:t>No</w:t>
            </w:r>
            <w:r>
              <w:rPr>
                <w:spacing w:val="-6"/>
                <w:sz w:val="20"/>
              </w:rPr>
              <w:t> </w:t>
            </w:r>
            <w:r>
              <w:rPr>
                <w:sz w:val="20"/>
              </w:rPr>
              <w:t>floor</w:t>
            </w:r>
            <w:r>
              <w:rPr>
                <w:spacing w:val="-4"/>
                <w:sz w:val="20"/>
              </w:rPr>
              <w:t> </w:t>
            </w:r>
            <w:r>
              <w:rPr>
                <w:spacing w:val="-2"/>
                <w:sz w:val="20"/>
              </w:rPr>
              <w:t>above.</w:t>
            </w:r>
          </w:p>
          <w:p>
            <w:pPr>
              <w:pStyle w:val="TableParagraph"/>
              <w:tabs>
                <w:tab w:pos="900" w:val="left" w:leader="none"/>
                <w:tab w:pos="1707" w:val="left" w:leader="none"/>
              </w:tabs>
              <w:spacing w:before="97"/>
              <w:ind w:left="379" w:right="163"/>
              <w:rPr>
                <w:sz w:val="20"/>
              </w:rPr>
            </w:pPr>
            <w:r>
              <w:rPr>
                <w:spacing w:val="-6"/>
                <w:sz w:val="20"/>
              </w:rPr>
              <w:t>No</w:t>
            </w:r>
            <w:r>
              <w:rPr>
                <w:sz w:val="20"/>
              </w:rPr>
              <w:tab/>
            </w:r>
            <w:r>
              <w:rPr>
                <w:spacing w:val="-2"/>
                <w:sz w:val="20"/>
              </w:rPr>
              <w:t>spray</w:t>
            </w:r>
            <w:r>
              <w:rPr>
                <w:sz w:val="20"/>
              </w:rPr>
              <w:tab/>
            </w:r>
            <w:r>
              <w:rPr>
                <w:spacing w:val="-2"/>
                <w:sz w:val="20"/>
              </w:rPr>
              <w:t>painting permitted.</w:t>
            </w:r>
          </w:p>
        </w:tc>
      </w:tr>
      <w:tr>
        <w:trPr>
          <w:trHeight w:val="659" w:hRule="atLeast"/>
        </w:trPr>
        <w:tc>
          <w:tcPr>
            <w:tcW w:w="778" w:type="dxa"/>
            <w:vMerge/>
            <w:tcBorders>
              <w:top w:val="nil"/>
            </w:tcBorders>
          </w:tcPr>
          <w:p>
            <w:pPr>
              <w:rPr>
                <w:sz w:val="2"/>
                <w:szCs w:val="2"/>
              </w:rPr>
            </w:pPr>
          </w:p>
        </w:tc>
        <w:tc>
          <w:tcPr>
            <w:tcW w:w="3121" w:type="dxa"/>
          </w:tcPr>
          <w:p>
            <w:pPr>
              <w:pStyle w:val="TableParagraph"/>
              <w:spacing w:before="94"/>
              <w:ind w:left="378"/>
              <w:rPr>
                <w:sz w:val="20"/>
              </w:rPr>
            </w:pPr>
            <w:r>
              <w:rPr>
                <w:sz w:val="20"/>
              </w:rPr>
              <w:t>xxx. (a)Servicing of motor vehicles</w:t>
            </w:r>
            <w:r>
              <w:rPr>
                <w:spacing w:val="-7"/>
                <w:sz w:val="20"/>
              </w:rPr>
              <w:t> </w:t>
            </w:r>
            <w:r>
              <w:rPr>
                <w:sz w:val="20"/>
              </w:rPr>
              <w:t>and</w:t>
            </w:r>
            <w:r>
              <w:rPr>
                <w:spacing w:val="-7"/>
                <w:sz w:val="20"/>
              </w:rPr>
              <w:t> </w:t>
            </w:r>
            <w:r>
              <w:rPr>
                <w:sz w:val="20"/>
              </w:rPr>
              <w:t>motor</w:t>
            </w:r>
            <w:r>
              <w:rPr>
                <w:spacing w:val="-6"/>
                <w:sz w:val="20"/>
              </w:rPr>
              <w:t> </w:t>
            </w:r>
            <w:r>
              <w:rPr>
                <w:spacing w:val="-2"/>
                <w:sz w:val="20"/>
              </w:rPr>
              <w:t>cycles.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661" w:hRule="atLeast"/>
        </w:trPr>
        <w:tc>
          <w:tcPr>
            <w:tcW w:w="778" w:type="dxa"/>
            <w:vMerge/>
            <w:tcBorders>
              <w:top w:val="nil"/>
            </w:tcBorders>
          </w:tcPr>
          <w:p>
            <w:pPr>
              <w:rPr>
                <w:sz w:val="2"/>
                <w:szCs w:val="2"/>
              </w:rPr>
            </w:pPr>
          </w:p>
        </w:tc>
        <w:tc>
          <w:tcPr>
            <w:tcW w:w="3121" w:type="dxa"/>
          </w:tcPr>
          <w:p>
            <w:pPr>
              <w:pStyle w:val="TableParagraph"/>
              <w:tabs>
                <w:tab w:pos="930" w:val="left" w:leader="none"/>
                <w:tab w:pos="1875" w:val="left" w:leader="none"/>
                <w:tab w:pos="2359" w:val="left" w:leader="none"/>
              </w:tabs>
              <w:spacing w:before="96"/>
              <w:ind w:left="378" w:right="166"/>
              <w:rPr>
                <w:sz w:val="20"/>
              </w:rPr>
            </w:pPr>
            <w:r>
              <w:rPr>
                <w:spacing w:val="-4"/>
                <w:sz w:val="20"/>
              </w:rPr>
              <w:t>(b)</w:t>
            </w:r>
            <w:r>
              <w:rPr>
                <w:sz w:val="20"/>
              </w:rPr>
              <w:tab/>
            </w:r>
            <w:r>
              <w:rPr>
                <w:spacing w:val="-2"/>
                <w:sz w:val="20"/>
              </w:rPr>
              <w:t>Repair</w:t>
            </w:r>
            <w:r>
              <w:rPr>
                <w:sz w:val="20"/>
              </w:rPr>
              <w:tab/>
            </w:r>
            <w:r>
              <w:rPr>
                <w:spacing w:val="-6"/>
                <w:sz w:val="20"/>
              </w:rPr>
              <w:t>of</w:t>
            </w:r>
            <w:r>
              <w:rPr>
                <w:sz w:val="20"/>
              </w:rPr>
              <w:tab/>
            </w:r>
            <w:r>
              <w:rPr>
                <w:spacing w:val="-4"/>
                <w:sz w:val="20"/>
              </w:rPr>
              <w:t>moto</w:t>
            </w:r>
            <w:r>
              <w:rPr>
                <w:spacing w:val="-4"/>
                <w:sz w:val="20"/>
              </w:rPr>
              <w:t>r</w:t>
            </w:r>
            <w:r>
              <w:rPr>
                <w:spacing w:val="-4"/>
                <w:sz w:val="20"/>
              </w:rPr>
              <w:t> </w:t>
            </w:r>
            <w:r>
              <w:rPr>
                <w:sz w:val="20"/>
              </w:rPr>
              <w:t>vehicles</w:t>
            </w:r>
            <w:r>
              <w:rPr>
                <w:spacing w:val="-7"/>
                <w:sz w:val="20"/>
              </w:rPr>
              <w:t> </w:t>
            </w:r>
            <w:r>
              <w:rPr>
                <w:sz w:val="20"/>
              </w:rPr>
              <w:t>and</w:t>
            </w:r>
            <w:r>
              <w:rPr>
                <w:spacing w:val="-7"/>
                <w:sz w:val="20"/>
              </w:rPr>
              <w:t> </w:t>
            </w:r>
            <w:r>
              <w:rPr>
                <w:sz w:val="20"/>
              </w:rPr>
              <w:t>motor</w:t>
            </w:r>
            <w:r>
              <w:rPr>
                <w:spacing w:val="-6"/>
                <w:sz w:val="20"/>
              </w:rPr>
              <w:t> </w:t>
            </w:r>
            <w:r>
              <w:rPr>
                <w:spacing w:val="-2"/>
                <w:sz w:val="20"/>
              </w:rPr>
              <w:t>cycles.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757" w:hRule="atLeast"/>
        </w:trPr>
        <w:tc>
          <w:tcPr>
            <w:tcW w:w="778" w:type="dxa"/>
            <w:vMerge w:val="restart"/>
          </w:tcPr>
          <w:p>
            <w:pPr>
              <w:pStyle w:val="TableParagraph"/>
              <w:rPr>
                <w:rFonts w:ascii="Times New Roman"/>
                <w:sz w:val="18"/>
              </w:rPr>
            </w:pPr>
          </w:p>
        </w:tc>
        <w:tc>
          <w:tcPr>
            <w:tcW w:w="3121" w:type="dxa"/>
          </w:tcPr>
          <w:p>
            <w:pPr>
              <w:pStyle w:val="TableParagraph"/>
              <w:tabs>
                <w:tab w:pos="1518" w:val="left" w:leader="none"/>
                <w:tab w:pos="2566" w:val="left" w:leader="none"/>
              </w:tabs>
              <w:spacing w:before="96"/>
              <w:ind w:left="378" w:right="167"/>
              <w:rPr>
                <w:sz w:val="20"/>
              </w:rPr>
            </w:pPr>
            <w:r>
              <w:rPr>
                <w:spacing w:val="-2"/>
                <w:sz w:val="20"/>
              </w:rPr>
              <w:t>(c)Battery</w:t>
            </w:r>
            <w:r>
              <w:rPr>
                <w:sz w:val="20"/>
              </w:rPr>
              <w:tab/>
            </w:r>
            <w:r>
              <w:rPr>
                <w:spacing w:val="-2"/>
                <w:sz w:val="20"/>
              </w:rPr>
              <w:t>charging</w:t>
            </w:r>
            <w:r>
              <w:rPr>
                <w:sz w:val="20"/>
              </w:rPr>
              <w:tab/>
            </w:r>
            <w:r>
              <w:rPr>
                <w:spacing w:val="-4"/>
                <w:sz w:val="20"/>
              </w:rPr>
              <w:t>an</w:t>
            </w:r>
            <w:r>
              <w:rPr>
                <w:spacing w:val="-4"/>
                <w:sz w:val="20"/>
              </w:rPr>
              <w:t>d</w:t>
            </w:r>
            <w:r>
              <w:rPr>
                <w:spacing w:val="-4"/>
                <w:sz w:val="20"/>
              </w:rPr>
              <w:t> </w:t>
            </w:r>
            <w:r>
              <w:rPr>
                <w:spacing w:val="-2"/>
                <w:sz w:val="20"/>
              </w:rPr>
              <w:t>repairs.</w:t>
            </w:r>
          </w:p>
        </w:tc>
        <w:tc>
          <w:tcPr>
            <w:tcW w:w="1416" w:type="dxa"/>
          </w:tcPr>
          <w:p>
            <w:pPr>
              <w:pStyle w:val="TableParagraph"/>
              <w:spacing w:before="96"/>
              <w:ind w:left="378"/>
              <w:rPr>
                <w:sz w:val="20"/>
              </w:rPr>
            </w:pPr>
            <w:r>
              <w:rPr>
                <w:spacing w:val="-5"/>
                <w:sz w:val="20"/>
              </w:rPr>
              <w:t>5.0</w:t>
            </w:r>
          </w:p>
        </w:tc>
        <w:tc>
          <w:tcPr>
            <w:tcW w:w="1560" w:type="dxa"/>
          </w:tcPr>
          <w:p>
            <w:pPr>
              <w:pStyle w:val="TableParagraph"/>
              <w:spacing w:before="96"/>
              <w:ind w:left="378"/>
              <w:rPr>
                <w:sz w:val="20"/>
              </w:rPr>
            </w:pPr>
            <w:r>
              <w:rPr>
                <w:spacing w:val="-10"/>
                <w:sz w:val="20"/>
              </w:rPr>
              <w:t>6</w:t>
            </w:r>
          </w:p>
        </w:tc>
        <w:tc>
          <w:tcPr>
            <w:tcW w:w="1418" w:type="dxa"/>
          </w:tcPr>
          <w:p>
            <w:pPr>
              <w:pStyle w:val="TableParagraph"/>
              <w:spacing w:before="25"/>
              <w:rPr>
                <w:sz w:val="20"/>
              </w:rPr>
            </w:pPr>
          </w:p>
          <w:p>
            <w:pPr>
              <w:pStyle w:val="TableParagraph"/>
              <w:ind w:left="378"/>
              <w:rPr>
                <w:sz w:val="20"/>
              </w:rPr>
            </w:pPr>
            <w:r>
              <w:rPr>
                <w:color w:val="000000"/>
                <w:spacing w:val="-5"/>
                <w:sz w:val="20"/>
                <w:shd w:fill="FFCCFF" w:color="auto" w:val="clear"/>
              </w:rPr>
              <w:t>25</w:t>
            </w:r>
          </w:p>
        </w:tc>
        <w:tc>
          <w:tcPr>
            <w:tcW w:w="2693" w:type="dxa"/>
            <w:vMerge w:val="restart"/>
          </w:tcPr>
          <w:p>
            <w:pPr>
              <w:pStyle w:val="TableParagraph"/>
              <w:rPr>
                <w:rFonts w:ascii="Times New Roman"/>
                <w:sz w:val="18"/>
              </w:rPr>
            </w:pPr>
          </w:p>
        </w:tc>
      </w:tr>
      <w:tr>
        <w:trPr>
          <w:trHeight w:val="661" w:hRule="atLeast"/>
        </w:trPr>
        <w:tc>
          <w:tcPr>
            <w:tcW w:w="778" w:type="dxa"/>
            <w:vMerge/>
            <w:tcBorders>
              <w:top w:val="nil"/>
            </w:tcBorders>
          </w:tcPr>
          <w:p>
            <w:pPr>
              <w:rPr>
                <w:sz w:val="2"/>
                <w:szCs w:val="2"/>
              </w:rPr>
            </w:pPr>
          </w:p>
        </w:tc>
        <w:tc>
          <w:tcPr>
            <w:tcW w:w="3121" w:type="dxa"/>
          </w:tcPr>
          <w:p>
            <w:pPr>
              <w:pStyle w:val="TableParagraph"/>
              <w:tabs>
                <w:tab w:pos="1497" w:val="left" w:leader="none"/>
              </w:tabs>
              <w:spacing w:before="94"/>
              <w:ind w:left="378" w:right="167" w:firstLine="64"/>
              <w:rPr>
                <w:sz w:val="20"/>
              </w:rPr>
            </w:pPr>
            <w:r>
              <w:rPr>
                <w:sz w:val="20"/>
              </w:rPr>
              <w:t>(d) Repair of bicycles and </w:t>
            </w:r>
            <w:r>
              <w:rPr>
                <w:spacing w:val="-2"/>
                <w:sz w:val="20"/>
              </w:rPr>
              <w:t>cycle</w:t>
            </w:r>
            <w:r>
              <w:rPr>
                <w:sz w:val="20"/>
              </w:rPr>
              <w:tab/>
            </w:r>
            <w:r>
              <w:rPr>
                <w:spacing w:val="-2"/>
                <w:sz w:val="20"/>
              </w:rPr>
              <w:t>rickshaws.</w:t>
            </w:r>
          </w:p>
        </w:tc>
        <w:tc>
          <w:tcPr>
            <w:tcW w:w="1416" w:type="dxa"/>
          </w:tcPr>
          <w:p>
            <w:pPr>
              <w:pStyle w:val="TableParagraph"/>
              <w:spacing w:before="212"/>
              <w:ind w:left="378"/>
              <w:rPr>
                <w:sz w:val="20"/>
              </w:rPr>
            </w:pPr>
            <w:r>
              <w:rPr>
                <w:spacing w:val="-4"/>
                <w:sz w:val="20"/>
              </w:rPr>
              <w:t>3.75</w:t>
            </w:r>
          </w:p>
        </w:tc>
        <w:tc>
          <w:tcPr>
            <w:tcW w:w="1560" w:type="dxa"/>
          </w:tcPr>
          <w:p>
            <w:pPr>
              <w:pStyle w:val="TableParagraph"/>
              <w:spacing w:before="212"/>
              <w:ind w:left="378"/>
              <w:rPr>
                <w:sz w:val="20"/>
              </w:rPr>
            </w:pPr>
            <w:r>
              <w:rPr>
                <w:spacing w:val="-10"/>
                <w:sz w:val="20"/>
              </w:rPr>
              <w:t>6</w:t>
            </w:r>
          </w:p>
        </w:tc>
        <w:tc>
          <w:tcPr>
            <w:tcW w:w="1418" w:type="dxa"/>
          </w:tcPr>
          <w:p>
            <w:pPr>
              <w:pStyle w:val="TableParagraph"/>
              <w:spacing w:before="212"/>
              <w:ind w:left="378"/>
              <w:rPr>
                <w:sz w:val="20"/>
              </w:rPr>
            </w:pPr>
            <w:r>
              <w:rPr>
                <w:color w:val="000000"/>
                <w:spacing w:val="-5"/>
                <w:sz w:val="20"/>
                <w:shd w:fill="FFCCFF" w:color="auto" w:val="clear"/>
              </w:rPr>
              <w:t>50</w:t>
            </w:r>
          </w:p>
        </w:tc>
        <w:tc>
          <w:tcPr>
            <w:tcW w:w="2693" w:type="dxa"/>
            <w:vMerge/>
            <w:tcBorders>
              <w:top w:val="nil"/>
            </w:tcBorders>
          </w:tcPr>
          <w:p>
            <w:pPr>
              <w:rPr>
                <w:sz w:val="2"/>
                <w:szCs w:val="2"/>
              </w:rPr>
            </w:pPr>
          </w:p>
        </w:tc>
      </w:tr>
      <w:tr>
        <w:trPr>
          <w:trHeight w:val="897" w:hRule="atLeast"/>
        </w:trPr>
        <w:tc>
          <w:tcPr>
            <w:tcW w:w="778" w:type="dxa"/>
            <w:vMerge w:val="restart"/>
          </w:tcPr>
          <w:p>
            <w:pPr>
              <w:pStyle w:val="TableParagraph"/>
              <w:spacing w:before="94"/>
              <w:ind w:left="381"/>
              <w:rPr>
                <w:sz w:val="20"/>
              </w:rPr>
            </w:pPr>
            <w:r>
              <w:rPr>
                <w:spacing w:val="-10"/>
                <w:sz w:val="20"/>
              </w:rPr>
              <w:t>X</w:t>
            </w:r>
          </w:p>
        </w:tc>
        <w:tc>
          <w:tcPr>
            <w:tcW w:w="3121" w:type="dxa"/>
          </w:tcPr>
          <w:p>
            <w:pPr>
              <w:pStyle w:val="TableParagraph"/>
              <w:spacing w:before="94"/>
              <w:ind w:left="378" w:right="166"/>
              <w:jc w:val="both"/>
              <w:rPr>
                <w:sz w:val="20"/>
              </w:rPr>
            </w:pPr>
            <w:r>
              <w:rPr>
                <w:sz w:val="20"/>
              </w:rPr>
              <w:t>Other Manufacturing and Repairs, Industries and </w:t>
            </w:r>
            <w:r>
              <w:rPr>
                <w:spacing w:val="-2"/>
                <w:sz w:val="20"/>
              </w:rPr>
              <w:t>Services-</w:t>
            </w:r>
          </w:p>
        </w:tc>
        <w:tc>
          <w:tcPr>
            <w:tcW w:w="1416"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13"/>
              <w:rPr>
                <w:sz w:val="20"/>
              </w:rPr>
            </w:pPr>
          </w:p>
          <w:p>
            <w:pPr>
              <w:pStyle w:val="TableParagraph"/>
              <w:spacing w:before="1"/>
              <w:ind w:left="378"/>
              <w:rPr>
                <w:sz w:val="20"/>
              </w:rPr>
            </w:pPr>
            <w:r>
              <w:rPr>
                <w:spacing w:val="-4"/>
                <w:sz w:val="20"/>
              </w:rPr>
              <w:t>2.25</w:t>
            </w:r>
          </w:p>
        </w:tc>
        <w:tc>
          <w:tcPr>
            <w:tcW w:w="156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13"/>
              <w:rPr>
                <w:sz w:val="20"/>
              </w:rPr>
            </w:pPr>
          </w:p>
          <w:p>
            <w:pPr>
              <w:pStyle w:val="TableParagraph"/>
              <w:spacing w:before="1"/>
              <w:ind w:left="378"/>
              <w:rPr>
                <w:sz w:val="20"/>
              </w:rPr>
            </w:pPr>
            <w:r>
              <w:rPr>
                <w:spacing w:val="-10"/>
                <w:sz w:val="20"/>
              </w:rPr>
              <w:t>9</w:t>
            </w:r>
          </w:p>
        </w:tc>
        <w:tc>
          <w:tcPr>
            <w:tcW w:w="1418"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73"/>
              <w:rPr>
                <w:sz w:val="20"/>
              </w:rPr>
            </w:pPr>
          </w:p>
          <w:p>
            <w:pPr>
              <w:pStyle w:val="TableParagraph"/>
              <w:ind w:left="378"/>
              <w:rPr>
                <w:sz w:val="20"/>
              </w:rPr>
            </w:pPr>
            <w:r>
              <w:rPr>
                <w:color w:val="000000"/>
                <w:spacing w:val="-5"/>
                <w:sz w:val="20"/>
                <w:shd w:fill="FFCCFF" w:color="auto" w:val="clear"/>
              </w:rPr>
              <w:t>50</w:t>
            </w:r>
          </w:p>
        </w:tc>
        <w:tc>
          <w:tcPr>
            <w:tcW w:w="2693" w:type="dxa"/>
            <w:vMerge w:val="restart"/>
          </w:tcPr>
          <w:p>
            <w:pPr>
              <w:pStyle w:val="TableParagraph"/>
              <w:rPr>
                <w:rFonts w:ascii="Times New Roman"/>
                <w:sz w:val="18"/>
              </w:rPr>
            </w:pPr>
          </w:p>
        </w:tc>
      </w:tr>
      <w:tr>
        <w:trPr>
          <w:trHeight w:val="426" w:hRule="atLeast"/>
        </w:trPr>
        <w:tc>
          <w:tcPr>
            <w:tcW w:w="778" w:type="dxa"/>
            <w:vMerge/>
            <w:tcBorders>
              <w:top w:val="nil"/>
            </w:tcBorders>
          </w:tcPr>
          <w:p>
            <w:pPr>
              <w:rPr>
                <w:sz w:val="2"/>
                <w:szCs w:val="2"/>
              </w:rPr>
            </w:pPr>
          </w:p>
        </w:tc>
        <w:tc>
          <w:tcPr>
            <w:tcW w:w="3121" w:type="dxa"/>
          </w:tcPr>
          <w:p>
            <w:pPr>
              <w:pStyle w:val="TableParagraph"/>
              <w:rPr>
                <w:rFonts w:ascii="Times New Roman"/>
                <w:sz w:val="18"/>
              </w:rPr>
            </w:pP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896" w:hRule="atLeast"/>
        </w:trPr>
        <w:tc>
          <w:tcPr>
            <w:tcW w:w="778" w:type="dxa"/>
            <w:vMerge/>
            <w:tcBorders>
              <w:top w:val="nil"/>
            </w:tcBorders>
          </w:tcPr>
          <w:p>
            <w:pPr>
              <w:rPr>
                <w:sz w:val="2"/>
                <w:szCs w:val="2"/>
              </w:rPr>
            </w:pPr>
          </w:p>
        </w:tc>
        <w:tc>
          <w:tcPr>
            <w:tcW w:w="3121" w:type="dxa"/>
          </w:tcPr>
          <w:p>
            <w:pPr>
              <w:pStyle w:val="TableParagraph"/>
              <w:spacing w:before="94"/>
              <w:ind w:left="378" w:right="166"/>
              <w:jc w:val="both"/>
              <w:rPr>
                <w:sz w:val="20"/>
              </w:rPr>
            </w:pPr>
            <w:r>
              <w:rPr>
                <w:sz w:val="20"/>
              </w:rPr>
              <w:t>xxxi. Manufacture of jewellery and </w:t>
            </w:r>
            <w:r>
              <w:rPr>
                <w:sz w:val="20"/>
              </w:rPr>
              <w:t>relate</w:t>
            </w:r>
            <w:r>
              <w:rPr>
                <w:sz w:val="20"/>
              </w:rPr>
              <w:t>d</w:t>
            </w:r>
            <w:r>
              <w:rPr>
                <w:sz w:val="20"/>
              </w:rPr>
              <w:t> </w:t>
            </w:r>
            <w:r>
              <w:rPr>
                <w:spacing w:val="-2"/>
                <w:sz w:val="20"/>
              </w:rPr>
              <w:t>articles.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659" w:hRule="atLeast"/>
        </w:trPr>
        <w:tc>
          <w:tcPr>
            <w:tcW w:w="778" w:type="dxa"/>
            <w:vMerge/>
            <w:tcBorders>
              <w:top w:val="nil"/>
            </w:tcBorders>
          </w:tcPr>
          <w:p>
            <w:pPr>
              <w:rPr>
                <w:sz w:val="2"/>
                <w:szCs w:val="2"/>
              </w:rPr>
            </w:pPr>
          </w:p>
        </w:tc>
        <w:tc>
          <w:tcPr>
            <w:tcW w:w="3121" w:type="dxa"/>
          </w:tcPr>
          <w:p>
            <w:pPr>
              <w:pStyle w:val="TableParagraph"/>
              <w:spacing w:before="94"/>
              <w:ind w:left="378"/>
              <w:rPr>
                <w:sz w:val="20"/>
              </w:rPr>
            </w:pPr>
            <w:r>
              <w:rPr>
                <w:sz w:val="20"/>
              </w:rPr>
              <w:t>xxxii. Repairs of watches, clocks and jewellery.</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897" w:hRule="atLeast"/>
        </w:trPr>
        <w:tc>
          <w:tcPr>
            <w:tcW w:w="778" w:type="dxa"/>
            <w:vMerge w:val="restart"/>
          </w:tcPr>
          <w:p>
            <w:pPr>
              <w:pStyle w:val="TableParagraph"/>
              <w:rPr>
                <w:rFonts w:ascii="Times New Roman"/>
                <w:sz w:val="18"/>
              </w:rPr>
            </w:pPr>
          </w:p>
        </w:tc>
        <w:tc>
          <w:tcPr>
            <w:tcW w:w="3121" w:type="dxa"/>
          </w:tcPr>
          <w:p>
            <w:pPr>
              <w:pStyle w:val="TableParagraph"/>
              <w:spacing w:before="96"/>
              <w:ind w:left="378" w:right="166"/>
              <w:jc w:val="both"/>
              <w:rPr>
                <w:sz w:val="20"/>
              </w:rPr>
            </w:pPr>
            <w:r>
              <w:rPr>
                <w:sz w:val="20"/>
              </w:rPr>
              <w:t>xxxiii. Manufacture of musical</w:t>
            </w:r>
            <w:r>
              <w:rPr>
                <w:spacing w:val="80"/>
                <w:sz w:val="20"/>
              </w:rPr>
              <w:t> </w:t>
            </w:r>
            <w:r>
              <w:rPr>
                <w:sz w:val="20"/>
              </w:rPr>
              <w:t>instruments</w:t>
            </w:r>
            <w:r>
              <w:rPr>
                <w:spacing w:val="80"/>
                <w:sz w:val="20"/>
              </w:rPr>
              <w:t> </w:t>
            </w:r>
            <w:r>
              <w:rPr>
                <w:sz w:val="20"/>
              </w:rPr>
              <w:t>and their repairs.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1367" w:hRule="atLeast"/>
        </w:trPr>
        <w:tc>
          <w:tcPr>
            <w:tcW w:w="778" w:type="dxa"/>
            <w:vMerge/>
            <w:tcBorders>
              <w:top w:val="nil"/>
            </w:tcBorders>
          </w:tcPr>
          <w:p>
            <w:pPr>
              <w:rPr>
                <w:sz w:val="2"/>
                <w:szCs w:val="2"/>
              </w:rPr>
            </w:pPr>
          </w:p>
        </w:tc>
        <w:tc>
          <w:tcPr>
            <w:tcW w:w="3121" w:type="dxa"/>
          </w:tcPr>
          <w:p>
            <w:pPr>
              <w:pStyle w:val="TableParagraph"/>
              <w:spacing w:before="94"/>
              <w:ind w:left="378" w:right="165"/>
              <w:jc w:val="both"/>
              <w:rPr>
                <w:sz w:val="20"/>
              </w:rPr>
            </w:pPr>
            <w:r>
              <w:rPr>
                <w:sz w:val="20"/>
              </w:rPr>
              <w:t>xxxiv.</w:t>
            </w:r>
            <w:r>
              <w:rPr>
                <w:spacing w:val="-5"/>
                <w:sz w:val="20"/>
              </w:rPr>
              <w:t> </w:t>
            </w:r>
            <w:r>
              <w:rPr>
                <w:sz w:val="20"/>
              </w:rPr>
              <w:t>(a)</w:t>
            </w:r>
            <w:r>
              <w:rPr>
                <w:spacing w:val="-6"/>
                <w:sz w:val="20"/>
              </w:rPr>
              <w:t> </w:t>
            </w:r>
            <w:r>
              <w:rPr>
                <w:sz w:val="20"/>
              </w:rPr>
              <w:t>Repairs</w:t>
            </w:r>
            <w:r>
              <w:rPr>
                <w:spacing w:val="-4"/>
                <w:sz w:val="20"/>
              </w:rPr>
              <w:t> </w:t>
            </w:r>
            <w:r>
              <w:rPr>
                <w:sz w:val="20"/>
              </w:rPr>
              <w:t>of</w:t>
            </w:r>
            <w:r>
              <w:rPr>
                <w:spacing w:val="-5"/>
                <w:sz w:val="20"/>
              </w:rPr>
              <w:t> </w:t>
            </w:r>
            <w:r>
              <w:rPr>
                <w:sz w:val="20"/>
              </w:rPr>
              <w:t>locks, stoves, umbrellas, sewing machines gas-</w:t>
            </w:r>
            <w:r>
              <w:rPr>
                <w:sz w:val="20"/>
              </w:rPr>
              <w:t>burners,</w:t>
            </w:r>
            <w:r>
              <w:rPr>
                <w:sz w:val="20"/>
              </w:rPr>
              <w:t> buckets</w:t>
            </w:r>
            <w:r>
              <w:rPr>
                <w:spacing w:val="-16"/>
                <w:sz w:val="20"/>
              </w:rPr>
              <w:t> </w:t>
            </w:r>
            <w:r>
              <w:rPr>
                <w:sz w:val="20"/>
              </w:rPr>
              <w:t>and</w:t>
            </w:r>
            <w:r>
              <w:rPr>
                <w:spacing w:val="-16"/>
                <w:sz w:val="20"/>
              </w:rPr>
              <w:t> </w:t>
            </w:r>
            <w:r>
              <w:rPr>
                <w:sz w:val="20"/>
              </w:rPr>
              <w:t>other</w:t>
            </w:r>
            <w:r>
              <w:rPr>
                <w:spacing w:val="14"/>
                <w:sz w:val="20"/>
              </w:rPr>
              <w:t> </w:t>
            </w:r>
            <w:r>
              <w:rPr>
                <w:sz w:val="20"/>
              </w:rPr>
              <w:t>sundry household equipments.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757" w:hRule="atLeast"/>
        </w:trPr>
        <w:tc>
          <w:tcPr>
            <w:tcW w:w="778" w:type="dxa"/>
            <w:vMerge/>
            <w:tcBorders>
              <w:top w:val="nil"/>
            </w:tcBorders>
          </w:tcPr>
          <w:p>
            <w:pPr>
              <w:rPr>
                <w:sz w:val="2"/>
                <w:szCs w:val="2"/>
              </w:rPr>
            </w:pPr>
          </w:p>
        </w:tc>
        <w:tc>
          <w:tcPr>
            <w:tcW w:w="3121" w:type="dxa"/>
          </w:tcPr>
          <w:p>
            <w:pPr>
              <w:pStyle w:val="TableParagraph"/>
              <w:spacing w:before="94"/>
              <w:ind w:left="378"/>
              <w:rPr>
                <w:sz w:val="20"/>
              </w:rPr>
            </w:pPr>
            <w:r>
              <w:rPr>
                <w:sz w:val="20"/>
              </w:rPr>
              <w:t>(b)</w:t>
            </w:r>
            <w:r>
              <w:rPr>
                <w:spacing w:val="27"/>
                <w:sz w:val="20"/>
              </w:rPr>
              <w:t> </w:t>
            </w:r>
            <w:r>
              <w:rPr>
                <w:sz w:val="20"/>
              </w:rPr>
              <w:t>Optical</w:t>
            </w:r>
            <w:r>
              <w:rPr>
                <w:spacing w:val="27"/>
                <w:sz w:val="20"/>
              </w:rPr>
              <w:t> </w:t>
            </w:r>
            <w:r>
              <w:rPr>
                <w:sz w:val="20"/>
              </w:rPr>
              <w:t>glass</w:t>
            </w:r>
            <w:r>
              <w:rPr>
                <w:spacing w:val="27"/>
                <w:sz w:val="20"/>
              </w:rPr>
              <w:t> </w:t>
            </w:r>
            <w:r>
              <w:rPr>
                <w:sz w:val="20"/>
              </w:rPr>
              <w:t>grinding and repairs.</w:t>
            </w:r>
          </w:p>
        </w:tc>
        <w:tc>
          <w:tcPr>
            <w:tcW w:w="1416" w:type="dxa"/>
          </w:tcPr>
          <w:p>
            <w:pPr>
              <w:pStyle w:val="TableParagraph"/>
              <w:spacing w:before="190"/>
              <w:rPr>
                <w:sz w:val="20"/>
              </w:rPr>
            </w:pPr>
          </w:p>
          <w:p>
            <w:pPr>
              <w:pStyle w:val="TableParagraph"/>
              <w:ind w:left="378"/>
              <w:rPr>
                <w:sz w:val="20"/>
              </w:rPr>
            </w:pPr>
            <w:r>
              <w:rPr>
                <w:spacing w:val="-4"/>
                <w:sz w:val="20"/>
              </w:rPr>
              <w:t>2.25</w:t>
            </w:r>
          </w:p>
        </w:tc>
        <w:tc>
          <w:tcPr>
            <w:tcW w:w="1560" w:type="dxa"/>
          </w:tcPr>
          <w:p>
            <w:pPr>
              <w:pStyle w:val="TableParagraph"/>
              <w:spacing w:before="190"/>
              <w:rPr>
                <w:sz w:val="20"/>
              </w:rPr>
            </w:pPr>
          </w:p>
          <w:p>
            <w:pPr>
              <w:pStyle w:val="TableParagraph"/>
              <w:ind w:left="378"/>
              <w:rPr>
                <w:sz w:val="20"/>
              </w:rPr>
            </w:pPr>
            <w:r>
              <w:rPr>
                <w:spacing w:val="-10"/>
                <w:sz w:val="20"/>
              </w:rPr>
              <w:t>3</w:t>
            </w:r>
          </w:p>
        </w:tc>
        <w:tc>
          <w:tcPr>
            <w:tcW w:w="1418" w:type="dxa"/>
          </w:tcPr>
          <w:p>
            <w:pPr>
              <w:pStyle w:val="TableParagraph"/>
              <w:spacing w:before="190"/>
              <w:rPr>
                <w:sz w:val="20"/>
              </w:rPr>
            </w:pPr>
          </w:p>
          <w:p>
            <w:pPr>
              <w:pStyle w:val="TableParagraph"/>
              <w:ind w:left="378"/>
              <w:rPr>
                <w:sz w:val="20"/>
              </w:rPr>
            </w:pPr>
            <w:r>
              <w:rPr>
                <w:color w:val="000000"/>
                <w:spacing w:val="-5"/>
                <w:sz w:val="20"/>
                <w:shd w:fill="FFCCFF" w:color="auto" w:val="clear"/>
              </w:rPr>
              <w:t>50</w:t>
            </w:r>
          </w:p>
        </w:tc>
        <w:tc>
          <w:tcPr>
            <w:tcW w:w="2693" w:type="dxa"/>
            <w:vMerge/>
            <w:tcBorders>
              <w:top w:val="nil"/>
            </w:tcBorders>
          </w:tcPr>
          <w:p>
            <w:pPr>
              <w:rPr>
                <w:sz w:val="2"/>
                <w:szCs w:val="2"/>
              </w:rPr>
            </w:pPr>
          </w:p>
        </w:tc>
      </w:tr>
    </w:tbl>
    <w:p>
      <w:pPr>
        <w:spacing w:after="0"/>
        <w:rPr>
          <w:sz w:val="2"/>
          <w:szCs w:val="2"/>
        </w:rPr>
        <w:sectPr>
          <w:pgSz w:w="11910" w:h="16840"/>
          <w:pgMar w:header="1058" w:footer="1088" w:top="1500" w:bottom="1280" w:left="360" w:right="360"/>
        </w:sectPr>
      </w:pPr>
    </w:p>
    <w:p>
      <w:pPr>
        <w:pStyle w:val="BodyText"/>
        <w:spacing w:before="20"/>
        <w:jc w:val="left"/>
        <w:rPr>
          <w:sz w:val="20"/>
        </w:rPr>
      </w:pPr>
    </w:p>
    <w:tbl>
      <w:tblPr>
        <w:tblW w:w="0" w:type="auto"/>
        <w:jc w:val="left"/>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8"/>
        <w:gridCol w:w="3121"/>
        <w:gridCol w:w="1416"/>
        <w:gridCol w:w="1560"/>
        <w:gridCol w:w="1418"/>
        <w:gridCol w:w="2693"/>
      </w:tblGrid>
      <w:tr>
        <w:trPr>
          <w:trHeight w:val="1602" w:hRule="atLeast"/>
        </w:trPr>
        <w:tc>
          <w:tcPr>
            <w:tcW w:w="778" w:type="dxa"/>
          </w:tcPr>
          <w:p>
            <w:pPr>
              <w:pStyle w:val="TableParagraph"/>
              <w:spacing w:before="97"/>
              <w:ind w:left="381"/>
              <w:rPr>
                <w:sz w:val="20"/>
              </w:rPr>
            </w:pPr>
            <w:r>
              <w:rPr>
                <w:spacing w:val="-5"/>
                <w:sz w:val="20"/>
              </w:rPr>
              <w:t>XI</w:t>
            </w:r>
          </w:p>
        </w:tc>
        <w:tc>
          <w:tcPr>
            <w:tcW w:w="3121" w:type="dxa"/>
          </w:tcPr>
          <w:p>
            <w:pPr>
              <w:pStyle w:val="TableParagraph"/>
              <w:spacing w:before="97"/>
              <w:ind w:left="378" w:right="165"/>
              <w:jc w:val="both"/>
              <w:rPr>
                <w:sz w:val="20"/>
              </w:rPr>
            </w:pPr>
            <w:r>
              <w:rPr>
                <w:sz w:val="20"/>
              </w:rPr>
              <w:t>xxxv.</w:t>
            </w:r>
            <w:r>
              <w:rPr>
                <w:spacing w:val="-16"/>
                <w:sz w:val="20"/>
              </w:rPr>
              <w:t> </w:t>
            </w:r>
            <w:r>
              <w:rPr>
                <w:sz w:val="20"/>
              </w:rPr>
              <w:t>Petrol</w:t>
            </w:r>
            <w:r>
              <w:rPr>
                <w:spacing w:val="-16"/>
                <w:sz w:val="20"/>
              </w:rPr>
              <w:t> </w:t>
            </w:r>
            <w:r>
              <w:rPr>
                <w:sz w:val="20"/>
              </w:rPr>
              <w:t>filling</w:t>
            </w:r>
            <w:r>
              <w:rPr>
                <w:spacing w:val="-16"/>
                <w:sz w:val="20"/>
              </w:rPr>
              <w:t> </w:t>
            </w:r>
            <w:r>
              <w:rPr>
                <w:sz w:val="20"/>
              </w:rPr>
              <w:t>stations in</w:t>
            </w:r>
            <w:r>
              <w:rPr>
                <w:spacing w:val="40"/>
                <w:sz w:val="20"/>
              </w:rPr>
              <w:t> </w:t>
            </w:r>
            <w:r>
              <w:rPr>
                <w:sz w:val="20"/>
              </w:rPr>
              <w:t>plot</w:t>
            </w:r>
            <w:r>
              <w:rPr>
                <w:spacing w:val="42"/>
                <w:sz w:val="20"/>
              </w:rPr>
              <w:t> </w:t>
            </w:r>
            <w:r>
              <w:rPr>
                <w:sz w:val="20"/>
              </w:rPr>
              <w:t>size</w:t>
            </w:r>
            <w:r>
              <w:rPr>
                <w:spacing w:val="41"/>
                <w:sz w:val="20"/>
              </w:rPr>
              <w:t> </w:t>
            </w:r>
            <w:r>
              <w:rPr>
                <w:sz w:val="20"/>
              </w:rPr>
              <w:t>of</w:t>
            </w:r>
            <w:r>
              <w:rPr>
                <w:spacing w:val="41"/>
                <w:sz w:val="20"/>
              </w:rPr>
              <w:t> </w:t>
            </w:r>
            <w:r>
              <w:rPr>
                <w:sz w:val="20"/>
              </w:rPr>
              <w:t>30.5</w:t>
            </w:r>
            <w:r>
              <w:rPr>
                <w:spacing w:val="42"/>
                <w:sz w:val="20"/>
              </w:rPr>
              <w:t> </w:t>
            </w:r>
            <w:r>
              <w:rPr>
                <w:sz w:val="20"/>
              </w:rPr>
              <w:t>m.</w:t>
            </w:r>
            <w:r>
              <w:rPr>
                <w:spacing w:val="42"/>
                <w:sz w:val="20"/>
              </w:rPr>
              <w:t> </w:t>
            </w:r>
            <w:r>
              <w:rPr>
                <w:spacing w:val="-10"/>
                <w:sz w:val="20"/>
              </w:rPr>
              <w:t>x</w:t>
            </w:r>
          </w:p>
          <w:p>
            <w:pPr>
              <w:pStyle w:val="TableParagraph"/>
              <w:ind w:left="378" w:right="166"/>
              <w:jc w:val="both"/>
              <w:rPr>
                <w:sz w:val="20"/>
              </w:rPr>
            </w:pPr>
            <w:r>
              <w:rPr>
                <w:sz w:val="20"/>
              </w:rPr>
              <w:t>16.75</w:t>
            </w:r>
            <w:r>
              <w:rPr>
                <w:spacing w:val="-16"/>
                <w:sz w:val="20"/>
              </w:rPr>
              <w:t> </w:t>
            </w:r>
            <w:r>
              <w:rPr>
                <w:sz w:val="20"/>
              </w:rPr>
              <w:t>m.</w:t>
            </w:r>
            <w:r>
              <w:rPr>
                <w:spacing w:val="22"/>
                <w:sz w:val="20"/>
              </w:rPr>
              <w:t> </w:t>
            </w:r>
            <w:r>
              <w:rPr>
                <w:sz w:val="20"/>
              </w:rPr>
              <w:t>and</w:t>
            </w:r>
            <w:r>
              <w:rPr>
                <w:spacing w:val="-16"/>
                <w:sz w:val="20"/>
              </w:rPr>
              <w:t> </w:t>
            </w:r>
            <w:r>
              <w:rPr>
                <w:sz w:val="20"/>
              </w:rPr>
              <w:t>petrol</w:t>
            </w:r>
            <w:r>
              <w:rPr>
                <w:spacing w:val="-16"/>
                <w:sz w:val="20"/>
              </w:rPr>
              <w:t> </w:t>
            </w:r>
            <w:r>
              <w:rPr>
                <w:sz w:val="20"/>
              </w:rPr>
              <w:t>filling and service stations in plot size of 36.5 m. x30.5 </w:t>
            </w:r>
            <w:r>
              <w:rPr>
                <w:spacing w:val="-6"/>
                <w:sz w:val="20"/>
              </w:rPr>
              <w:t>m.</w:t>
            </w:r>
          </w:p>
        </w:tc>
        <w:tc>
          <w:tcPr>
            <w:tcW w:w="1416" w:type="dxa"/>
          </w:tcPr>
          <w:p>
            <w:pPr>
              <w:pStyle w:val="TableParagraph"/>
              <w:rPr>
                <w:sz w:val="20"/>
              </w:rPr>
            </w:pPr>
          </w:p>
          <w:p>
            <w:pPr>
              <w:pStyle w:val="TableParagraph"/>
              <w:spacing w:before="213"/>
              <w:rPr>
                <w:sz w:val="20"/>
              </w:rPr>
            </w:pPr>
          </w:p>
          <w:p>
            <w:pPr>
              <w:pStyle w:val="TableParagraph"/>
              <w:ind w:left="378"/>
              <w:rPr>
                <w:sz w:val="20"/>
              </w:rPr>
            </w:pPr>
            <w:r>
              <w:rPr>
                <w:spacing w:val="-5"/>
                <w:sz w:val="20"/>
              </w:rPr>
              <w:t>7.5</w:t>
            </w:r>
          </w:p>
        </w:tc>
        <w:tc>
          <w:tcPr>
            <w:tcW w:w="1560" w:type="dxa"/>
          </w:tcPr>
          <w:p>
            <w:pPr>
              <w:pStyle w:val="TableParagraph"/>
              <w:rPr>
                <w:sz w:val="20"/>
              </w:rPr>
            </w:pPr>
          </w:p>
          <w:p>
            <w:pPr>
              <w:pStyle w:val="TableParagraph"/>
              <w:spacing w:before="213"/>
              <w:rPr>
                <w:sz w:val="20"/>
              </w:rPr>
            </w:pPr>
          </w:p>
          <w:p>
            <w:pPr>
              <w:pStyle w:val="TableParagraph"/>
              <w:ind w:left="378"/>
              <w:rPr>
                <w:sz w:val="20"/>
              </w:rPr>
            </w:pPr>
            <w:r>
              <w:rPr>
                <w:spacing w:val="-10"/>
                <w:sz w:val="20"/>
              </w:rPr>
              <w:t>9</w:t>
            </w:r>
          </w:p>
        </w:tc>
        <w:tc>
          <w:tcPr>
            <w:tcW w:w="1418" w:type="dxa"/>
          </w:tcPr>
          <w:p>
            <w:pPr>
              <w:pStyle w:val="TableParagraph"/>
              <w:rPr>
                <w:sz w:val="20"/>
              </w:rPr>
            </w:pPr>
          </w:p>
          <w:p>
            <w:pPr>
              <w:pStyle w:val="TableParagraph"/>
              <w:spacing w:before="213"/>
              <w:rPr>
                <w:sz w:val="20"/>
              </w:rPr>
            </w:pPr>
          </w:p>
          <w:p>
            <w:pPr>
              <w:pStyle w:val="TableParagraph"/>
              <w:ind w:left="378"/>
              <w:rPr>
                <w:sz w:val="20"/>
              </w:rPr>
            </w:pPr>
            <w:r>
              <w:rPr>
                <w:sz w:val="20"/>
              </w:rPr>
              <w:t>No</w:t>
            </w:r>
            <w:r>
              <w:rPr>
                <w:spacing w:val="-5"/>
                <w:sz w:val="20"/>
              </w:rPr>
              <w:t> </w:t>
            </w:r>
            <w:r>
              <w:rPr>
                <w:spacing w:val="-2"/>
                <w:sz w:val="20"/>
              </w:rPr>
              <w:t>limit</w:t>
            </w:r>
          </w:p>
        </w:tc>
        <w:tc>
          <w:tcPr>
            <w:tcW w:w="2693" w:type="dxa"/>
          </w:tcPr>
          <w:p>
            <w:pPr>
              <w:pStyle w:val="TableParagraph"/>
              <w:rPr>
                <w:rFonts w:ascii="Times New Roman"/>
                <w:sz w:val="18"/>
              </w:rPr>
            </w:pPr>
          </w:p>
        </w:tc>
      </w:tr>
      <w:tr>
        <w:trPr>
          <w:trHeight w:val="6487" w:hRule="atLeast"/>
        </w:trPr>
        <w:tc>
          <w:tcPr>
            <w:tcW w:w="778" w:type="dxa"/>
          </w:tcPr>
          <w:p>
            <w:pPr>
              <w:pStyle w:val="TableParagraph"/>
              <w:rPr>
                <w:rFonts w:ascii="Times New Roman"/>
                <w:sz w:val="18"/>
              </w:rPr>
            </w:pPr>
          </w:p>
        </w:tc>
        <w:tc>
          <w:tcPr>
            <w:tcW w:w="3121" w:type="dxa"/>
          </w:tcPr>
          <w:p>
            <w:pPr>
              <w:pStyle w:val="TableParagraph"/>
              <w:tabs>
                <w:tab w:pos="2284" w:val="left" w:leader="none"/>
              </w:tabs>
              <w:spacing w:before="94"/>
              <w:ind w:left="378" w:right="163"/>
              <w:jc w:val="both"/>
              <w:rPr>
                <w:sz w:val="20"/>
              </w:rPr>
            </w:pPr>
            <w:r>
              <w:rPr>
                <w:sz w:val="20"/>
              </w:rPr>
              <w:t>xxxviFilling stations of </w:t>
            </w:r>
            <w:r>
              <w:rPr>
                <w:spacing w:val="-2"/>
                <w:sz w:val="20"/>
              </w:rPr>
              <w:t>Petrol,</w:t>
            </w:r>
            <w:r>
              <w:rPr>
                <w:sz w:val="20"/>
              </w:rPr>
              <w:tab/>
            </w:r>
            <w:r>
              <w:rPr>
                <w:spacing w:val="-2"/>
                <w:sz w:val="20"/>
              </w:rPr>
              <w:t>Diesel,</w:t>
            </w:r>
          </w:p>
          <w:p>
            <w:pPr>
              <w:pStyle w:val="TableParagraph"/>
              <w:spacing w:before="1"/>
              <w:ind w:left="378" w:right="164"/>
              <w:jc w:val="both"/>
              <w:rPr>
                <w:sz w:val="20"/>
              </w:rPr>
            </w:pPr>
            <w:r>
              <w:rPr>
                <w:sz w:val="20"/>
              </w:rPr>
              <w:t>Compressed Natural Gas stations</w:t>
            </w:r>
            <w:r>
              <w:rPr>
                <w:spacing w:val="-4"/>
                <w:sz w:val="20"/>
              </w:rPr>
              <w:t> </w:t>
            </w:r>
            <w:r>
              <w:rPr>
                <w:sz w:val="20"/>
              </w:rPr>
              <w:t>and/or</w:t>
            </w:r>
            <w:r>
              <w:rPr>
                <w:spacing w:val="-3"/>
                <w:sz w:val="20"/>
              </w:rPr>
              <w:t> </w:t>
            </w:r>
            <w:r>
              <w:rPr>
                <w:sz w:val="20"/>
              </w:rPr>
              <w:t>any</w:t>
            </w:r>
            <w:r>
              <w:rPr>
                <w:spacing w:val="-4"/>
                <w:sz w:val="20"/>
              </w:rPr>
              <w:t> </w:t>
            </w:r>
            <w:r>
              <w:rPr>
                <w:sz w:val="20"/>
              </w:rPr>
              <w:t>other motor vehicle fuel in plot size</w:t>
            </w:r>
            <w:r>
              <w:rPr>
                <w:spacing w:val="-16"/>
                <w:sz w:val="20"/>
              </w:rPr>
              <w:t> </w:t>
            </w:r>
            <w:r>
              <w:rPr>
                <w:sz w:val="20"/>
              </w:rPr>
              <w:t>of</w:t>
            </w:r>
            <w:r>
              <w:rPr>
                <w:spacing w:val="-16"/>
                <w:sz w:val="20"/>
              </w:rPr>
              <w:t> </w:t>
            </w:r>
            <w:r>
              <w:rPr>
                <w:sz w:val="20"/>
              </w:rPr>
              <w:t>30.5</w:t>
            </w:r>
            <w:r>
              <w:rPr>
                <w:spacing w:val="-16"/>
                <w:sz w:val="20"/>
              </w:rPr>
              <w:t> </w:t>
            </w:r>
            <w:r>
              <w:rPr>
                <w:sz w:val="20"/>
              </w:rPr>
              <w:t>Mt</w:t>
            </w:r>
            <w:r>
              <w:rPr>
                <w:spacing w:val="-15"/>
                <w:sz w:val="20"/>
              </w:rPr>
              <w:t> </w:t>
            </w:r>
            <w:r>
              <w:rPr>
                <w:sz w:val="20"/>
              </w:rPr>
              <w:t>x</w:t>
            </w:r>
            <w:r>
              <w:rPr>
                <w:spacing w:val="-16"/>
                <w:sz w:val="20"/>
              </w:rPr>
              <w:t> </w:t>
            </w:r>
            <w:r>
              <w:rPr>
                <w:sz w:val="20"/>
              </w:rPr>
              <w:t>16.75</w:t>
            </w:r>
            <w:r>
              <w:rPr>
                <w:spacing w:val="-16"/>
                <w:sz w:val="20"/>
              </w:rPr>
              <w:t> </w:t>
            </w:r>
            <w:r>
              <w:rPr>
                <w:sz w:val="20"/>
              </w:rPr>
              <w:t>Mt. And filling and service stations. Petrol, Diesel, Compressed Natural Gas Stations</w:t>
            </w:r>
            <w:r>
              <w:rPr>
                <w:spacing w:val="-13"/>
                <w:sz w:val="20"/>
              </w:rPr>
              <w:t> </w:t>
            </w:r>
            <w:r>
              <w:rPr>
                <w:sz w:val="20"/>
              </w:rPr>
              <w:t>and/or</w:t>
            </w:r>
            <w:r>
              <w:rPr>
                <w:spacing w:val="-12"/>
                <w:sz w:val="20"/>
              </w:rPr>
              <w:t> </w:t>
            </w:r>
            <w:r>
              <w:rPr>
                <w:sz w:val="20"/>
              </w:rPr>
              <w:t>any</w:t>
            </w:r>
            <w:r>
              <w:rPr>
                <w:spacing w:val="-13"/>
                <w:sz w:val="20"/>
              </w:rPr>
              <w:t> </w:t>
            </w:r>
            <w:r>
              <w:rPr>
                <w:sz w:val="20"/>
              </w:rPr>
              <w:t>other motor vehicle fuel in plot size of 36.5 mt x 30.5 Mt. </w:t>
            </w:r>
            <w:r>
              <w:rPr>
                <w:spacing w:val="-4"/>
                <w:sz w:val="20"/>
              </w:rPr>
              <w:t>and</w:t>
            </w:r>
          </w:p>
          <w:p>
            <w:pPr>
              <w:pStyle w:val="TableParagraph"/>
              <w:spacing w:before="96"/>
              <w:ind w:left="378" w:right="166"/>
              <w:jc w:val="both"/>
              <w:rPr>
                <w:sz w:val="20"/>
              </w:rPr>
            </w:pPr>
            <w:r>
              <w:rPr>
                <w:sz w:val="20"/>
              </w:rPr>
              <w:t>(B) Filling stations of only Compressed Natural Gas Minimum</w:t>
            </w:r>
            <w:r>
              <w:rPr>
                <w:spacing w:val="-9"/>
                <w:sz w:val="20"/>
              </w:rPr>
              <w:t> </w:t>
            </w:r>
            <w:r>
              <w:rPr>
                <w:sz w:val="20"/>
              </w:rPr>
              <w:t>area</w:t>
            </w:r>
            <w:r>
              <w:rPr>
                <w:spacing w:val="-9"/>
                <w:sz w:val="20"/>
              </w:rPr>
              <w:t> </w:t>
            </w:r>
            <w:r>
              <w:rPr>
                <w:sz w:val="20"/>
              </w:rPr>
              <w:t>of</w:t>
            </w:r>
            <w:r>
              <w:rPr>
                <w:spacing w:val="-5"/>
                <w:sz w:val="20"/>
              </w:rPr>
              <w:t> </w:t>
            </w:r>
            <w:r>
              <w:rPr>
                <w:sz w:val="20"/>
              </w:rPr>
              <w:t>plot</w:t>
            </w:r>
            <w:r>
              <w:rPr>
                <w:spacing w:val="-5"/>
                <w:sz w:val="20"/>
              </w:rPr>
              <w:t> </w:t>
            </w:r>
            <w:r>
              <w:rPr>
                <w:sz w:val="20"/>
              </w:rPr>
              <w:t>300 </w:t>
            </w:r>
            <w:r>
              <w:rPr>
                <w:spacing w:val="-2"/>
                <w:sz w:val="20"/>
              </w:rPr>
              <w:t>sq.mt</w:t>
            </w:r>
          </w:p>
        </w:tc>
        <w:tc>
          <w:tcPr>
            <w:tcW w:w="1416" w:type="dxa"/>
          </w:tcPr>
          <w:p>
            <w:pPr>
              <w:pStyle w:val="TableParagraph"/>
              <w:rPr>
                <w:sz w:val="20"/>
              </w:rPr>
            </w:pPr>
          </w:p>
          <w:p>
            <w:pPr>
              <w:pStyle w:val="TableParagraph"/>
              <w:rPr>
                <w:sz w:val="20"/>
              </w:rPr>
            </w:pPr>
          </w:p>
          <w:p>
            <w:pPr>
              <w:pStyle w:val="TableParagraph"/>
              <w:spacing w:before="218"/>
              <w:rPr>
                <w:sz w:val="20"/>
              </w:rPr>
            </w:pPr>
          </w:p>
          <w:p>
            <w:pPr>
              <w:pStyle w:val="TableParagraph"/>
              <w:numPr>
                <w:ilvl w:val="0"/>
                <w:numId w:val="225"/>
              </w:numPr>
              <w:tabs>
                <w:tab w:pos="339" w:val="left" w:leader="none"/>
              </w:tabs>
              <w:spacing w:line="240" w:lineRule="auto" w:before="0" w:after="0"/>
              <w:ind w:left="339" w:right="0" w:hanging="232"/>
              <w:jc w:val="left"/>
              <w:rPr>
                <w:sz w:val="20"/>
              </w:rPr>
            </w:pPr>
            <w:r>
              <w:rPr>
                <w:spacing w:val="-5"/>
                <w:sz w:val="20"/>
              </w:rPr>
              <w:t>15</w:t>
            </w:r>
          </w:p>
          <w:p>
            <w:pPr>
              <w:pStyle w:val="TableParagraph"/>
              <w:rPr>
                <w:sz w:val="20"/>
              </w:rPr>
            </w:pPr>
          </w:p>
          <w:p>
            <w:pPr>
              <w:pStyle w:val="TableParagraph"/>
              <w:numPr>
                <w:ilvl w:val="0"/>
                <w:numId w:val="225"/>
              </w:numPr>
              <w:tabs>
                <w:tab w:pos="346" w:val="left" w:leader="none"/>
                <w:tab w:pos="989" w:val="left" w:leader="none"/>
              </w:tabs>
              <w:spacing w:line="276" w:lineRule="auto" w:before="1" w:after="0"/>
              <w:ind w:left="107" w:right="93" w:firstLine="0"/>
              <w:jc w:val="left"/>
              <w:rPr>
                <w:sz w:val="20"/>
              </w:rPr>
            </w:pPr>
            <w:r>
              <w:rPr>
                <w:spacing w:val="-6"/>
                <w:sz w:val="20"/>
              </w:rPr>
              <w:t>30</w:t>
            </w:r>
            <w:r>
              <w:rPr>
                <w:sz w:val="20"/>
              </w:rPr>
              <w:tab/>
            </w:r>
            <w:r>
              <w:rPr>
                <w:spacing w:val="-4"/>
                <w:sz w:val="20"/>
              </w:rPr>
              <w:t>per </w:t>
            </w:r>
            <w:r>
              <w:rPr>
                <w:spacing w:val="-2"/>
                <w:sz w:val="20"/>
              </w:rPr>
              <w:t>compressor </w:t>
            </w:r>
            <w:r>
              <w:rPr>
                <w:sz w:val="20"/>
              </w:rPr>
              <w:t>or</w:t>
            </w:r>
            <w:r>
              <w:rPr>
                <w:spacing w:val="-16"/>
                <w:sz w:val="20"/>
              </w:rPr>
              <w:t> </w:t>
            </w:r>
            <w:r>
              <w:rPr>
                <w:sz w:val="20"/>
              </w:rPr>
              <w:t>(not</w:t>
            </w:r>
            <w:r>
              <w:rPr>
                <w:spacing w:val="-16"/>
                <w:sz w:val="20"/>
              </w:rPr>
              <w:t> </w:t>
            </w:r>
            <w:r>
              <w:rPr>
                <w:sz w:val="20"/>
              </w:rPr>
              <w:t>more </w:t>
            </w:r>
            <w:r>
              <w:rPr>
                <w:spacing w:val="-10"/>
                <w:sz w:val="20"/>
              </w:rPr>
              <w:t>3</w:t>
            </w:r>
          </w:p>
          <w:p>
            <w:pPr>
              <w:pStyle w:val="TableParagraph"/>
              <w:ind w:left="107"/>
              <w:rPr>
                <w:sz w:val="20"/>
              </w:rPr>
            </w:pPr>
            <w:r>
              <w:rPr>
                <w:spacing w:val="-2"/>
                <w:sz w:val="20"/>
              </w:rPr>
              <w:t>compressor</w:t>
            </w:r>
          </w:p>
          <w:p>
            <w:pPr>
              <w:pStyle w:val="TableParagraph"/>
              <w:spacing w:before="34"/>
              <w:ind w:left="107"/>
              <w:rPr>
                <w:sz w:val="20"/>
              </w:rPr>
            </w:pPr>
            <w:r>
              <w:rPr>
                <w:spacing w:val="-10"/>
                <w:sz w:val="20"/>
              </w:rPr>
              <w:t>)</w:t>
            </w:r>
          </w:p>
          <w:p>
            <w:pPr>
              <w:pStyle w:val="TableParagraph"/>
              <w:spacing w:before="1"/>
              <w:rPr>
                <w:sz w:val="20"/>
              </w:rPr>
            </w:pPr>
          </w:p>
          <w:p>
            <w:pPr>
              <w:pStyle w:val="TableParagraph"/>
              <w:numPr>
                <w:ilvl w:val="0"/>
                <w:numId w:val="225"/>
              </w:numPr>
              <w:tabs>
                <w:tab w:pos="327" w:val="left" w:leader="none"/>
              </w:tabs>
              <w:spacing w:line="276" w:lineRule="auto" w:before="0" w:after="0"/>
              <w:ind w:left="107" w:right="93" w:firstLine="0"/>
              <w:jc w:val="both"/>
              <w:rPr>
                <w:sz w:val="20"/>
              </w:rPr>
            </w:pPr>
            <w:r>
              <w:rPr>
                <w:sz w:val="20"/>
              </w:rPr>
              <w:t>150 </w:t>
            </w:r>
            <w:r>
              <w:rPr>
                <w:sz w:val="20"/>
              </w:rPr>
              <w:t>per </w:t>
            </w:r>
            <w:r>
              <w:rPr>
                <w:spacing w:val="-2"/>
                <w:sz w:val="20"/>
              </w:rPr>
              <w:t>compressor( </w:t>
            </w:r>
            <w:r>
              <w:rPr>
                <w:sz w:val="20"/>
              </w:rPr>
              <w:t>not</w:t>
            </w:r>
            <w:r>
              <w:rPr>
                <w:spacing w:val="63"/>
                <w:sz w:val="20"/>
              </w:rPr>
              <w:t>   </w:t>
            </w:r>
            <w:r>
              <w:rPr>
                <w:spacing w:val="-4"/>
                <w:sz w:val="20"/>
              </w:rPr>
              <w:t>more</w:t>
            </w:r>
          </w:p>
          <w:p>
            <w:pPr>
              <w:pStyle w:val="TableParagraph"/>
              <w:tabs>
                <w:tab w:pos="1307" w:val="right" w:leader="none"/>
              </w:tabs>
              <w:spacing w:line="234" w:lineRule="exact"/>
              <w:ind w:left="107"/>
              <w:rPr>
                <w:sz w:val="20"/>
              </w:rPr>
            </w:pPr>
            <w:r>
              <w:rPr>
                <w:spacing w:val="-4"/>
                <w:sz w:val="20"/>
              </w:rPr>
              <w:t>than</w:t>
            </w:r>
            <w:r>
              <w:rPr>
                <w:sz w:val="20"/>
              </w:rPr>
              <w:tab/>
            </w:r>
            <w:r>
              <w:rPr>
                <w:spacing w:val="-12"/>
                <w:sz w:val="20"/>
              </w:rPr>
              <w:t>3</w:t>
            </w:r>
          </w:p>
          <w:p>
            <w:pPr>
              <w:pStyle w:val="TableParagraph"/>
              <w:spacing w:before="37"/>
              <w:ind w:left="107"/>
              <w:rPr>
                <w:sz w:val="20"/>
              </w:rPr>
            </w:pPr>
            <w:r>
              <w:rPr>
                <w:spacing w:val="-2"/>
                <w:sz w:val="20"/>
              </w:rPr>
              <w:t>compressor)</w:t>
            </w:r>
          </w:p>
        </w:tc>
        <w:tc>
          <w:tcPr>
            <w:tcW w:w="1560"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85"/>
              <w:rPr>
                <w:sz w:val="20"/>
              </w:rPr>
            </w:pPr>
          </w:p>
          <w:p>
            <w:pPr>
              <w:pStyle w:val="TableParagraph"/>
              <w:ind w:left="378"/>
              <w:rPr>
                <w:sz w:val="20"/>
              </w:rPr>
            </w:pPr>
            <w:r>
              <w:rPr>
                <w:spacing w:val="-10"/>
                <w:sz w:val="20"/>
              </w:rPr>
              <w:t>9</w:t>
            </w:r>
          </w:p>
          <w:p>
            <w:pPr>
              <w:pStyle w:val="TableParagraph"/>
              <w:spacing w:before="193"/>
              <w:rPr>
                <w:sz w:val="20"/>
              </w:rPr>
            </w:pPr>
          </w:p>
          <w:p>
            <w:pPr>
              <w:pStyle w:val="TableParagraph"/>
              <w:ind w:left="378"/>
              <w:rPr>
                <w:sz w:val="20"/>
              </w:rPr>
            </w:pPr>
            <w:r>
              <w:rPr>
                <w:spacing w:val="-10"/>
                <w:sz w:val="20"/>
              </w:rPr>
              <w:t>6</w:t>
            </w:r>
          </w:p>
          <w:p>
            <w:pPr>
              <w:pStyle w:val="TableParagraph"/>
              <w:rPr>
                <w:sz w:val="20"/>
              </w:rPr>
            </w:pPr>
          </w:p>
          <w:p>
            <w:pPr>
              <w:pStyle w:val="TableParagraph"/>
              <w:rPr>
                <w:sz w:val="20"/>
              </w:rPr>
            </w:pPr>
          </w:p>
          <w:p>
            <w:pPr>
              <w:pStyle w:val="TableParagraph"/>
              <w:spacing w:before="52"/>
              <w:rPr>
                <w:sz w:val="20"/>
              </w:rPr>
            </w:pPr>
          </w:p>
          <w:p>
            <w:pPr>
              <w:pStyle w:val="TableParagraph"/>
              <w:ind w:left="378"/>
              <w:rPr>
                <w:sz w:val="20"/>
              </w:rPr>
            </w:pPr>
            <w:r>
              <w:rPr>
                <w:spacing w:val="-10"/>
                <w:sz w:val="20"/>
              </w:rPr>
              <w:t>6</w:t>
            </w:r>
          </w:p>
        </w:tc>
        <w:tc>
          <w:tcPr>
            <w:tcW w:w="1418"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57"/>
              <w:rPr>
                <w:sz w:val="20"/>
              </w:rPr>
            </w:pPr>
          </w:p>
          <w:p>
            <w:pPr>
              <w:pStyle w:val="TableParagraph"/>
              <w:spacing w:line="676" w:lineRule="auto" w:before="1"/>
              <w:ind w:left="378" w:right="252"/>
              <w:rPr>
                <w:sz w:val="20"/>
              </w:rPr>
            </w:pPr>
            <w:r>
              <w:rPr>
                <w:sz w:val="20"/>
              </w:rPr>
              <w:t>No</w:t>
            </w:r>
            <w:r>
              <w:rPr>
                <w:spacing w:val="-16"/>
                <w:sz w:val="20"/>
              </w:rPr>
              <w:t> </w:t>
            </w:r>
            <w:r>
              <w:rPr>
                <w:sz w:val="20"/>
              </w:rPr>
              <w:t>limit No</w:t>
            </w:r>
            <w:r>
              <w:rPr>
                <w:spacing w:val="-5"/>
                <w:sz w:val="20"/>
              </w:rPr>
              <w:t> </w:t>
            </w:r>
            <w:r>
              <w:rPr>
                <w:spacing w:val="-2"/>
                <w:sz w:val="20"/>
              </w:rPr>
              <w:t>limit</w:t>
            </w:r>
          </w:p>
          <w:p>
            <w:pPr>
              <w:pStyle w:val="TableParagraph"/>
              <w:rPr>
                <w:sz w:val="20"/>
              </w:rPr>
            </w:pPr>
          </w:p>
          <w:p>
            <w:pPr>
              <w:pStyle w:val="TableParagraph"/>
              <w:rPr>
                <w:sz w:val="20"/>
              </w:rPr>
            </w:pPr>
          </w:p>
          <w:p>
            <w:pPr>
              <w:pStyle w:val="TableParagraph"/>
              <w:rPr>
                <w:sz w:val="20"/>
              </w:rPr>
            </w:pPr>
          </w:p>
          <w:p>
            <w:pPr>
              <w:pStyle w:val="TableParagraph"/>
              <w:spacing w:before="52"/>
              <w:rPr>
                <w:sz w:val="20"/>
              </w:rPr>
            </w:pPr>
          </w:p>
          <w:p>
            <w:pPr>
              <w:pStyle w:val="TableParagraph"/>
              <w:spacing w:before="1"/>
              <w:ind w:left="378"/>
              <w:rPr>
                <w:sz w:val="20"/>
              </w:rPr>
            </w:pPr>
            <w:r>
              <w:rPr>
                <w:sz w:val="20"/>
              </w:rPr>
              <w:t>No</w:t>
            </w:r>
            <w:r>
              <w:rPr>
                <w:spacing w:val="-5"/>
                <w:sz w:val="20"/>
              </w:rPr>
              <w:t> </w:t>
            </w:r>
            <w:r>
              <w:rPr>
                <w:spacing w:val="-2"/>
                <w:sz w:val="20"/>
              </w:rPr>
              <w:t>limit</w:t>
            </w:r>
          </w:p>
        </w:tc>
        <w:tc>
          <w:tcPr>
            <w:tcW w:w="2693" w:type="dxa"/>
          </w:tcPr>
          <w:p>
            <w:pPr>
              <w:pStyle w:val="TableParagraph"/>
              <w:numPr>
                <w:ilvl w:val="0"/>
                <w:numId w:val="226"/>
              </w:numPr>
              <w:tabs>
                <w:tab w:pos="558" w:val="left" w:leader="none"/>
              </w:tabs>
              <w:spacing w:line="240" w:lineRule="auto" w:before="94" w:after="0"/>
              <w:ind w:left="558" w:right="0" w:hanging="179"/>
              <w:jc w:val="both"/>
              <w:rPr>
                <w:sz w:val="20"/>
              </w:rPr>
            </w:pPr>
            <w:r>
              <w:rPr>
                <w:sz w:val="20"/>
              </w:rPr>
              <w:t>quantities</w:t>
            </w:r>
            <w:r>
              <w:rPr>
                <w:spacing w:val="41"/>
                <w:sz w:val="20"/>
              </w:rPr>
              <w:t> </w:t>
            </w:r>
            <w:r>
              <w:rPr>
                <w:sz w:val="20"/>
              </w:rPr>
              <w:t>in</w:t>
            </w:r>
            <w:r>
              <w:rPr>
                <w:spacing w:val="43"/>
                <w:sz w:val="20"/>
              </w:rPr>
              <w:t> </w:t>
            </w:r>
            <w:r>
              <w:rPr>
                <w:sz w:val="20"/>
              </w:rPr>
              <w:t>(b)</w:t>
            </w:r>
            <w:r>
              <w:rPr>
                <w:spacing w:val="44"/>
                <w:sz w:val="20"/>
              </w:rPr>
              <w:t> </w:t>
            </w:r>
            <w:r>
              <w:rPr>
                <w:spacing w:val="-5"/>
                <w:sz w:val="20"/>
              </w:rPr>
              <w:t>or</w:t>
            </w:r>
          </w:p>
          <w:p>
            <w:pPr>
              <w:pStyle w:val="TableParagraph"/>
              <w:ind w:left="379" w:right="162"/>
              <w:jc w:val="both"/>
              <w:rPr>
                <w:sz w:val="20"/>
              </w:rPr>
            </w:pPr>
            <w:r>
              <w:rPr>
                <w:sz w:val="20"/>
              </w:rPr>
              <w:t>(c) will be </w:t>
            </w:r>
            <w:r>
              <w:rPr>
                <w:sz w:val="20"/>
              </w:rPr>
              <w:t>permitted for daughter booster pumping station and on pumping station respectively over(a)</w:t>
            </w:r>
          </w:p>
          <w:p>
            <w:pPr>
              <w:pStyle w:val="TableParagraph"/>
              <w:numPr>
                <w:ilvl w:val="0"/>
                <w:numId w:val="226"/>
              </w:numPr>
              <w:tabs>
                <w:tab w:pos="616" w:val="left" w:leader="none"/>
              </w:tabs>
              <w:spacing w:line="240" w:lineRule="auto" w:before="96" w:after="0"/>
              <w:ind w:left="379" w:right="162" w:firstLine="0"/>
              <w:jc w:val="both"/>
              <w:rPr>
                <w:sz w:val="20"/>
              </w:rPr>
            </w:pPr>
            <w:r>
              <w:rPr>
                <w:sz w:val="20"/>
              </w:rPr>
              <w:t>permissible power mentioned</w:t>
            </w:r>
            <w:r>
              <w:rPr>
                <w:spacing w:val="-4"/>
                <w:sz w:val="20"/>
              </w:rPr>
              <w:t> </w:t>
            </w:r>
            <w:r>
              <w:rPr>
                <w:sz w:val="20"/>
              </w:rPr>
              <w:t>in</w:t>
            </w:r>
            <w:r>
              <w:rPr>
                <w:spacing w:val="-2"/>
                <w:sz w:val="20"/>
              </w:rPr>
              <w:t> </w:t>
            </w:r>
            <w:r>
              <w:rPr>
                <w:sz w:val="20"/>
              </w:rPr>
              <w:t>(b)</w:t>
            </w:r>
            <w:r>
              <w:rPr>
                <w:spacing w:val="-2"/>
                <w:sz w:val="20"/>
              </w:rPr>
              <w:t> </w:t>
            </w:r>
            <w:r>
              <w:rPr>
                <w:sz w:val="20"/>
              </w:rPr>
              <w:t>&amp;</w:t>
            </w:r>
            <w:r>
              <w:rPr>
                <w:spacing w:val="-4"/>
                <w:sz w:val="20"/>
              </w:rPr>
              <w:t> </w:t>
            </w:r>
            <w:r>
              <w:rPr>
                <w:sz w:val="20"/>
              </w:rPr>
              <w:t>(c) will</w:t>
            </w:r>
            <w:r>
              <w:rPr>
                <w:spacing w:val="80"/>
                <w:w w:val="150"/>
                <w:sz w:val="20"/>
              </w:rPr>
              <w:t>   </w:t>
            </w:r>
            <w:r>
              <w:rPr>
                <w:sz w:val="20"/>
              </w:rPr>
              <w:t>be</w:t>
            </w:r>
            <w:r>
              <w:rPr>
                <w:spacing w:val="80"/>
                <w:w w:val="150"/>
                <w:sz w:val="20"/>
              </w:rPr>
              <w:t>   </w:t>
            </w:r>
            <w:r>
              <w:rPr>
                <w:sz w:val="20"/>
              </w:rPr>
              <w:t>used</w:t>
            </w:r>
          </w:p>
          <w:p>
            <w:pPr>
              <w:pStyle w:val="TableParagraph"/>
              <w:tabs>
                <w:tab w:pos="2248" w:val="left" w:leader="none"/>
              </w:tabs>
              <w:spacing w:line="234" w:lineRule="exact"/>
              <w:ind w:left="379"/>
              <w:jc w:val="both"/>
              <w:rPr>
                <w:sz w:val="20"/>
              </w:rPr>
            </w:pPr>
            <w:r>
              <w:rPr>
                <w:spacing w:val="-2"/>
                <w:sz w:val="20"/>
              </w:rPr>
              <w:t>exclusively</w:t>
            </w:r>
            <w:r>
              <w:rPr>
                <w:sz w:val="20"/>
              </w:rPr>
              <w:tab/>
            </w:r>
            <w:r>
              <w:rPr>
                <w:spacing w:val="-5"/>
                <w:sz w:val="20"/>
              </w:rPr>
              <w:t>for</w:t>
            </w:r>
          </w:p>
          <w:p>
            <w:pPr>
              <w:pStyle w:val="TableParagraph"/>
              <w:spacing w:before="1"/>
              <w:ind w:left="379" w:right="162"/>
              <w:jc w:val="both"/>
              <w:rPr>
                <w:sz w:val="20"/>
              </w:rPr>
            </w:pPr>
            <w:r>
              <w:rPr>
                <w:sz w:val="20"/>
              </w:rPr>
              <w:t>compressing </w:t>
            </w:r>
            <w:r>
              <w:rPr>
                <w:sz w:val="20"/>
              </w:rPr>
              <w:t>and filling gas in vehicle</w:t>
            </w:r>
          </w:p>
          <w:p>
            <w:pPr>
              <w:pStyle w:val="TableParagraph"/>
              <w:numPr>
                <w:ilvl w:val="0"/>
                <w:numId w:val="226"/>
              </w:numPr>
              <w:tabs>
                <w:tab w:pos="677" w:val="left" w:leader="none"/>
                <w:tab w:pos="2066" w:val="left" w:leader="none"/>
              </w:tabs>
              <w:spacing w:line="240" w:lineRule="auto" w:before="97" w:after="0"/>
              <w:ind w:left="379" w:right="161" w:firstLine="0"/>
              <w:jc w:val="both"/>
              <w:rPr>
                <w:sz w:val="20"/>
              </w:rPr>
            </w:pPr>
            <w:r>
              <w:rPr>
                <w:sz w:val="20"/>
              </w:rPr>
              <w:t>Special</w:t>
            </w:r>
            <w:r>
              <w:rPr>
                <w:spacing w:val="-16"/>
                <w:sz w:val="20"/>
              </w:rPr>
              <w:t> </w:t>
            </w:r>
            <w:r>
              <w:rPr>
                <w:sz w:val="20"/>
              </w:rPr>
              <w:t>permission of commissioner is </w:t>
            </w:r>
            <w:r>
              <w:rPr>
                <w:spacing w:val="-2"/>
                <w:sz w:val="20"/>
              </w:rPr>
              <w:t>necessary</w:t>
            </w:r>
            <w:r>
              <w:rPr>
                <w:sz w:val="20"/>
              </w:rPr>
              <w:tab/>
            </w:r>
            <w:r>
              <w:rPr>
                <w:spacing w:val="-4"/>
                <w:sz w:val="20"/>
              </w:rPr>
              <w:t>after</w:t>
            </w:r>
          </w:p>
          <w:p>
            <w:pPr>
              <w:pStyle w:val="TableParagraph"/>
              <w:tabs>
                <w:tab w:pos="1075" w:val="left" w:leader="none"/>
                <w:tab w:pos="1123" w:val="left" w:leader="none"/>
                <w:tab w:pos="1257" w:val="left" w:leader="none"/>
                <w:tab w:pos="1785" w:val="left" w:leader="none"/>
                <w:tab w:pos="2000" w:val="left" w:leader="none"/>
                <w:tab w:pos="2144" w:val="left" w:leader="none"/>
                <w:tab w:pos="2282" w:val="left" w:leader="none"/>
                <w:tab w:pos="2336" w:val="left" w:leader="none"/>
              </w:tabs>
              <w:ind w:left="379" w:right="160"/>
              <w:rPr>
                <w:sz w:val="20"/>
              </w:rPr>
            </w:pPr>
            <w:r>
              <w:rPr>
                <w:spacing w:val="-2"/>
                <w:sz w:val="20"/>
              </w:rPr>
              <w:t>clearance</w:t>
            </w:r>
            <w:r>
              <w:rPr>
                <w:sz w:val="20"/>
              </w:rPr>
              <w:tab/>
              <w:tab/>
              <w:tab/>
              <w:tab/>
            </w:r>
            <w:r>
              <w:rPr>
                <w:spacing w:val="-6"/>
                <w:sz w:val="20"/>
              </w:rPr>
              <w:t>by </w:t>
            </w:r>
            <w:r>
              <w:rPr>
                <w:spacing w:val="-2"/>
                <w:sz w:val="20"/>
              </w:rPr>
              <w:t>Maharashtra</w:t>
            </w:r>
            <w:r>
              <w:rPr>
                <w:spacing w:val="40"/>
                <w:sz w:val="20"/>
              </w:rPr>
              <w:t> </w:t>
            </w:r>
            <w:r>
              <w:rPr>
                <w:spacing w:val="-2"/>
                <w:sz w:val="20"/>
              </w:rPr>
              <w:t>Pollution</w:t>
            </w:r>
            <w:r>
              <w:rPr>
                <w:sz w:val="20"/>
              </w:rPr>
              <w:tab/>
              <w:tab/>
            </w:r>
            <w:r>
              <w:rPr>
                <w:spacing w:val="-2"/>
                <w:sz w:val="20"/>
              </w:rPr>
              <w:t>Control Board</w:t>
            </w:r>
            <w:r>
              <w:rPr>
                <w:sz w:val="20"/>
              </w:rPr>
              <w:tab/>
              <w:tab/>
              <w:tab/>
            </w:r>
            <w:r>
              <w:rPr>
                <w:spacing w:val="-4"/>
                <w:sz w:val="20"/>
              </w:rPr>
              <w:t>from</w:t>
            </w:r>
            <w:r>
              <w:rPr>
                <w:sz w:val="20"/>
              </w:rPr>
              <w:tab/>
              <w:tab/>
            </w:r>
            <w:r>
              <w:rPr>
                <w:spacing w:val="-4"/>
                <w:sz w:val="20"/>
              </w:rPr>
              <w:t>noise </w:t>
            </w:r>
            <w:r>
              <w:rPr>
                <w:sz w:val="20"/>
              </w:rPr>
              <w:t>pollution</w:t>
            </w:r>
            <w:r>
              <w:rPr>
                <w:spacing w:val="-16"/>
                <w:sz w:val="20"/>
              </w:rPr>
              <w:t> </w:t>
            </w:r>
            <w:r>
              <w:rPr>
                <w:sz w:val="20"/>
              </w:rPr>
              <w:t>point</w:t>
            </w:r>
            <w:r>
              <w:rPr>
                <w:spacing w:val="-16"/>
                <w:sz w:val="20"/>
              </w:rPr>
              <w:t> </w:t>
            </w:r>
            <w:r>
              <w:rPr>
                <w:sz w:val="20"/>
              </w:rPr>
              <w:t>of</w:t>
            </w:r>
            <w:r>
              <w:rPr>
                <w:spacing w:val="-16"/>
                <w:sz w:val="20"/>
              </w:rPr>
              <w:t> </w:t>
            </w:r>
            <w:r>
              <w:rPr>
                <w:sz w:val="20"/>
              </w:rPr>
              <w:t>view </w:t>
            </w:r>
            <w:r>
              <w:rPr>
                <w:spacing w:val="-4"/>
                <w:sz w:val="20"/>
              </w:rPr>
              <w:t>and</w:t>
            </w:r>
            <w:r>
              <w:rPr>
                <w:sz w:val="20"/>
              </w:rPr>
              <w:tab/>
            </w:r>
            <w:r>
              <w:rPr>
                <w:spacing w:val="-2"/>
                <w:sz w:val="20"/>
              </w:rPr>
              <w:t>controller</w:t>
            </w:r>
            <w:r>
              <w:rPr>
                <w:sz w:val="20"/>
              </w:rPr>
              <w:tab/>
              <w:tab/>
              <w:tab/>
              <w:tab/>
            </w:r>
            <w:r>
              <w:rPr>
                <w:spacing w:val="-6"/>
                <w:sz w:val="20"/>
              </w:rPr>
              <w:t>of </w:t>
            </w:r>
            <w:r>
              <w:rPr>
                <w:sz w:val="20"/>
              </w:rPr>
              <w:t>Explosive</w:t>
            </w:r>
            <w:r>
              <w:rPr>
                <w:spacing w:val="80"/>
                <w:sz w:val="20"/>
              </w:rPr>
              <w:t> </w:t>
            </w:r>
            <w:r>
              <w:rPr>
                <w:sz w:val="20"/>
              </w:rPr>
              <w:t>and</w:t>
            </w:r>
            <w:r>
              <w:rPr>
                <w:spacing w:val="80"/>
                <w:sz w:val="20"/>
              </w:rPr>
              <w:t> </w:t>
            </w:r>
            <w:r>
              <w:rPr>
                <w:sz w:val="20"/>
              </w:rPr>
              <w:t>chief </w:t>
            </w:r>
            <w:r>
              <w:rPr>
                <w:spacing w:val="-4"/>
                <w:sz w:val="20"/>
              </w:rPr>
              <w:t>fire</w:t>
            </w:r>
            <w:r>
              <w:rPr>
                <w:sz w:val="20"/>
              </w:rPr>
              <w:tab/>
              <w:tab/>
            </w:r>
            <w:r>
              <w:rPr>
                <w:spacing w:val="-2"/>
                <w:sz w:val="20"/>
              </w:rPr>
              <w:t>officer</w:t>
            </w:r>
            <w:r>
              <w:rPr>
                <w:sz w:val="20"/>
              </w:rPr>
              <w:tab/>
              <w:tab/>
              <w:tab/>
            </w:r>
            <w:r>
              <w:rPr>
                <w:spacing w:val="-5"/>
                <w:sz w:val="20"/>
              </w:rPr>
              <w:t>and</w:t>
            </w:r>
          </w:p>
          <w:p>
            <w:pPr>
              <w:pStyle w:val="TableParagraph"/>
              <w:tabs>
                <w:tab w:pos="2337" w:val="left" w:leader="none"/>
              </w:tabs>
              <w:ind w:left="379" w:right="164"/>
              <w:jc w:val="both"/>
              <w:rPr>
                <w:sz w:val="20"/>
              </w:rPr>
            </w:pPr>
            <w:r>
              <w:rPr>
                <w:spacing w:val="-2"/>
                <w:sz w:val="20"/>
              </w:rPr>
              <w:t>observance</w:t>
            </w:r>
            <w:r>
              <w:rPr>
                <w:sz w:val="20"/>
              </w:rPr>
              <w:tab/>
            </w:r>
            <w:r>
              <w:rPr>
                <w:spacing w:val="-6"/>
                <w:sz w:val="20"/>
              </w:rPr>
              <w:t>of </w:t>
            </w:r>
            <w:r>
              <w:rPr>
                <w:sz w:val="20"/>
              </w:rPr>
              <w:t>conditions as they may prescribe.</w:t>
            </w:r>
          </w:p>
        </w:tc>
      </w:tr>
      <w:tr>
        <w:trPr>
          <w:trHeight w:val="1559" w:hRule="atLeast"/>
        </w:trPr>
        <w:tc>
          <w:tcPr>
            <w:tcW w:w="778" w:type="dxa"/>
          </w:tcPr>
          <w:p>
            <w:pPr>
              <w:pStyle w:val="TableParagraph"/>
              <w:rPr>
                <w:rFonts w:ascii="Times New Roman"/>
                <w:sz w:val="18"/>
              </w:rPr>
            </w:pPr>
          </w:p>
        </w:tc>
        <w:tc>
          <w:tcPr>
            <w:tcW w:w="3121" w:type="dxa"/>
          </w:tcPr>
          <w:p>
            <w:pPr>
              <w:pStyle w:val="TableParagraph"/>
              <w:spacing w:before="94"/>
              <w:ind w:left="378"/>
              <w:jc w:val="both"/>
              <w:rPr>
                <w:sz w:val="20"/>
              </w:rPr>
            </w:pPr>
            <w:r>
              <w:rPr>
                <w:sz w:val="20"/>
              </w:rPr>
              <w:t>Xxxvii</w:t>
            </w:r>
            <w:r>
              <w:rPr>
                <w:spacing w:val="52"/>
                <w:sz w:val="20"/>
              </w:rPr>
              <w:t> </w:t>
            </w:r>
            <w:r>
              <w:rPr>
                <w:sz w:val="20"/>
              </w:rPr>
              <w:t>Audio,</w:t>
            </w:r>
            <w:r>
              <w:rPr>
                <w:spacing w:val="-5"/>
                <w:sz w:val="20"/>
              </w:rPr>
              <w:t> </w:t>
            </w:r>
            <w:r>
              <w:rPr>
                <w:spacing w:val="-2"/>
                <w:sz w:val="20"/>
              </w:rPr>
              <w:t>taping</w:t>
            </w:r>
          </w:p>
          <w:p>
            <w:pPr>
              <w:pStyle w:val="TableParagraph"/>
              <w:spacing w:before="96"/>
              <w:ind w:left="378" w:right="167"/>
              <w:jc w:val="both"/>
              <w:rPr>
                <w:sz w:val="20"/>
              </w:rPr>
            </w:pPr>
            <w:r>
              <w:rPr>
                <w:sz w:val="20"/>
              </w:rPr>
              <w:t>recording,</w:t>
            </w:r>
            <w:r>
              <w:rPr>
                <w:spacing w:val="-14"/>
                <w:sz w:val="20"/>
              </w:rPr>
              <w:t> </w:t>
            </w:r>
            <w:r>
              <w:rPr>
                <w:sz w:val="20"/>
              </w:rPr>
              <w:t>manufacture</w:t>
            </w:r>
            <w:r>
              <w:rPr>
                <w:spacing w:val="-14"/>
                <w:sz w:val="20"/>
              </w:rPr>
              <w:t> </w:t>
            </w:r>
            <w:r>
              <w:rPr>
                <w:sz w:val="20"/>
              </w:rPr>
              <w:t>of equipment for the same and recording</w:t>
            </w:r>
          </w:p>
          <w:p>
            <w:pPr>
              <w:pStyle w:val="TableParagraph"/>
              <w:spacing w:before="98"/>
              <w:ind w:left="378"/>
              <w:rPr>
                <w:sz w:val="20"/>
              </w:rPr>
            </w:pPr>
            <w:r>
              <w:rPr>
                <w:spacing w:val="-2"/>
                <w:sz w:val="20"/>
              </w:rPr>
              <w:t>studio.</w:t>
            </w:r>
          </w:p>
        </w:tc>
        <w:tc>
          <w:tcPr>
            <w:tcW w:w="1416" w:type="dxa"/>
          </w:tcPr>
          <w:p>
            <w:pPr>
              <w:pStyle w:val="TableParagraph"/>
              <w:spacing w:before="94"/>
              <w:ind w:left="378"/>
              <w:rPr>
                <w:sz w:val="20"/>
              </w:rPr>
            </w:pPr>
            <w:r>
              <w:rPr>
                <w:spacing w:val="-5"/>
                <w:sz w:val="20"/>
              </w:rPr>
              <w:t>4.0</w:t>
            </w:r>
          </w:p>
        </w:tc>
        <w:tc>
          <w:tcPr>
            <w:tcW w:w="1560" w:type="dxa"/>
          </w:tcPr>
          <w:p>
            <w:pPr>
              <w:pStyle w:val="TableParagraph"/>
              <w:spacing w:before="94"/>
              <w:ind w:left="378"/>
              <w:rPr>
                <w:sz w:val="20"/>
              </w:rPr>
            </w:pPr>
            <w:r>
              <w:rPr>
                <w:spacing w:val="-10"/>
                <w:sz w:val="20"/>
              </w:rPr>
              <w:t>9</w:t>
            </w:r>
          </w:p>
        </w:tc>
        <w:tc>
          <w:tcPr>
            <w:tcW w:w="1418" w:type="dxa"/>
          </w:tcPr>
          <w:p>
            <w:pPr>
              <w:pStyle w:val="TableParagraph"/>
              <w:spacing w:before="94"/>
              <w:ind w:left="378"/>
              <w:rPr>
                <w:sz w:val="20"/>
              </w:rPr>
            </w:pPr>
            <w:r>
              <w:rPr>
                <w:spacing w:val="-5"/>
                <w:sz w:val="20"/>
              </w:rPr>
              <w:t>50</w:t>
            </w:r>
          </w:p>
        </w:tc>
        <w:tc>
          <w:tcPr>
            <w:tcW w:w="2693" w:type="dxa"/>
          </w:tcPr>
          <w:p>
            <w:pPr>
              <w:pStyle w:val="TableParagraph"/>
              <w:rPr>
                <w:rFonts w:ascii="Times New Roman"/>
                <w:sz w:val="18"/>
              </w:rPr>
            </w:pPr>
          </w:p>
        </w:tc>
      </w:tr>
      <w:tr>
        <w:trPr>
          <w:trHeight w:val="1932" w:hRule="atLeast"/>
        </w:trPr>
        <w:tc>
          <w:tcPr>
            <w:tcW w:w="778" w:type="dxa"/>
          </w:tcPr>
          <w:p>
            <w:pPr>
              <w:pStyle w:val="TableParagraph"/>
              <w:rPr>
                <w:rFonts w:ascii="Times New Roman"/>
                <w:sz w:val="18"/>
              </w:rPr>
            </w:pPr>
          </w:p>
        </w:tc>
        <w:tc>
          <w:tcPr>
            <w:tcW w:w="3121" w:type="dxa"/>
          </w:tcPr>
          <w:p>
            <w:pPr>
              <w:pStyle w:val="TableParagraph"/>
              <w:tabs>
                <w:tab w:pos="1890" w:val="left" w:leader="none"/>
                <w:tab w:pos="2238" w:val="left" w:leader="none"/>
              </w:tabs>
              <w:spacing w:before="94"/>
              <w:ind w:left="378" w:right="164"/>
              <w:jc w:val="both"/>
              <w:rPr>
                <w:sz w:val="20"/>
              </w:rPr>
            </w:pPr>
            <w:r>
              <w:rPr>
                <w:spacing w:val="-2"/>
                <w:sz w:val="20"/>
              </w:rPr>
              <w:t>xxxviiii</w:t>
            </w:r>
            <w:r>
              <w:rPr>
                <w:sz w:val="20"/>
              </w:rPr>
              <w:tab/>
            </w:r>
            <w:r>
              <w:rPr>
                <w:spacing w:val="-2"/>
                <w:sz w:val="20"/>
              </w:rPr>
              <w:t>Laundries</w:t>
            </w:r>
            <w:r>
              <w:rPr>
                <w:spacing w:val="-2"/>
                <w:sz w:val="20"/>
              </w:rPr>
              <w:t>,</w:t>
            </w:r>
            <w:r>
              <w:rPr>
                <w:spacing w:val="-2"/>
                <w:sz w:val="20"/>
              </w:rPr>
              <w:t> </w:t>
            </w:r>
            <w:r>
              <w:rPr>
                <w:sz w:val="20"/>
              </w:rPr>
              <w:t>laundry services and </w:t>
            </w:r>
            <w:r>
              <w:rPr>
                <w:spacing w:val="-2"/>
                <w:sz w:val="20"/>
              </w:rPr>
              <w:t>cleaning,</w:t>
            </w:r>
            <w:r>
              <w:rPr>
                <w:sz w:val="20"/>
              </w:rPr>
              <w:tab/>
              <w:tab/>
            </w:r>
            <w:r>
              <w:rPr>
                <w:spacing w:val="-2"/>
                <w:sz w:val="20"/>
              </w:rPr>
              <w:t>dyeing</w:t>
            </w:r>
            <w:r>
              <w:rPr>
                <w:spacing w:val="-2"/>
                <w:sz w:val="20"/>
              </w:rPr>
              <w:t>,</w:t>
            </w:r>
            <w:r>
              <w:rPr>
                <w:spacing w:val="-2"/>
                <w:sz w:val="20"/>
              </w:rPr>
              <w:t> </w:t>
            </w:r>
            <w:r>
              <w:rPr>
                <w:sz w:val="20"/>
              </w:rPr>
              <w:t>bleaching and dry </w:t>
            </w:r>
            <w:r>
              <w:rPr>
                <w:spacing w:val="-2"/>
                <w:sz w:val="20"/>
              </w:rPr>
              <w:t>cleaning.</w:t>
            </w:r>
          </w:p>
        </w:tc>
        <w:tc>
          <w:tcPr>
            <w:tcW w:w="1416" w:type="dxa"/>
          </w:tcPr>
          <w:p>
            <w:pPr>
              <w:pStyle w:val="TableParagraph"/>
              <w:spacing w:before="94"/>
              <w:ind w:left="378"/>
              <w:rPr>
                <w:sz w:val="20"/>
              </w:rPr>
            </w:pPr>
            <w:r>
              <w:rPr>
                <w:spacing w:val="-5"/>
                <w:sz w:val="20"/>
              </w:rPr>
              <w:t>4.0</w:t>
            </w:r>
          </w:p>
        </w:tc>
        <w:tc>
          <w:tcPr>
            <w:tcW w:w="1560" w:type="dxa"/>
          </w:tcPr>
          <w:p>
            <w:pPr>
              <w:pStyle w:val="TableParagraph"/>
              <w:spacing w:before="94"/>
              <w:ind w:left="378"/>
              <w:rPr>
                <w:sz w:val="20"/>
              </w:rPr>
            </w:pPr>
            <w:r>
              <w:rPr>
                <w:spacing w:val="-10"/>
                <w:sz w:val="20"/>
              </w:rPr>
              <w:t>9</w:t>
            </w:r>
          </w:p>
        </w:tc>
        <w:tc>
          <w:tcPr>
            <w:tcW w:w="1418" w:type="dxa"/>
          </w:tcPr>
          <w:p>
            <w:pPr>
              <w:pStyle w:val="TableParagraph"/>
              <w:spacing w:before="94"/>
              <w:ind w:left="378"/>
              <w:rPr>
                <w:sz w:val="20"/>
              </w:rPr>
            </w:pPr>
            <w:r>
              <w:rPr>
                <w:spacing w:val="-5"/>
                <w:sz w:val="20"/>
              </w:rPr>
              <w:t>50</w:t>
            </w:r>
          </w:p>
        </w:tc>
        <w:tc>
          <w:tcPr>
            <w:tcW w:w="2693" w:type="dxa"/>
          </w:tcPr>
          <w:p>
            <w:pPr>
              <w:pStyle w:val="TableParagraph"/>
              <w:spacing w:before="94"/>
              <w:ind w:left="379" w:right="164"/>
              <w:jc w:val="both"/>
              <w:rPr>
                <w:sz w:val="20"/>
              </w:rPr>
            </w:pPr>
            <w:r>
              <w:rPr>
                <w:spacing w:val="-2"/>
                <w:sz w:val="20"/>
              </w:rPr>
              <w:t>i)</w:t>
            </w:r>
            <w:r>
              <w:rPr>
                <w:spacing w:val="-14"/>
                <w:sz w:val="20"/>
              </w:rPr>
              <w:t> </w:t>
            </w:r>
            <w:r>
              <w:rPr>
                <w:spacing w:val="-2"/>
                <w:sz w:val="20"/>
              </w:rPr>
              <w:t>Cleaning</w:t>
            </w:r>
            <w:r>
              <w:rPr>
                <w:spacing w:val="-14"/>
                <w:sz w:val="20"/>
              </w:rPr>
              <w:t> </w:t>
            </w:r>
            <w:r>
              <w:rPr>
                <w:spacing w:val="-2"/>
                <w:sz w:val="20"/>
              </w:rPr>
              <w:t>and</w:t>
            </w:r>
            <w:r>
              <w:rPr>
                <w:spacing w:val="-14"/>
                <w:sz w:val="20"/>
              </w:rPr>
              <w:t> </w:t>
            </w:r>
            <w:r>
              <w:rPr>
                <w:spacing w:val="-2"/>
                <w:sz w:val="20"/>
              </w:rPr>
              <w:t>dyeing </w:t>
            </w:r>
            <w:r>
              <w:rPr>
                <w:sz w:val="20"/>
              </w:rPr>
              <w:t>fluid used should not have a flash point lower than a 59 0 C.</w:t>
            </w:r>
          </w:p>
          <w:p>
            <w:pPr>
              <w:pStyle w:val="TableParagraph"/>
              <w:spacing w:before="96"/>
              <w:ind w:left="379" w:right="161"/>
              <w:jc w:val="both"/>
              <w:rPr>
                <w:sz w:val="20"/>
              </w:rPr>
            </w:pPr>
            <w:r>
              <w:rPr>
                <w:sz w:val="20"/>
              </w:rPr>
              <w:t>(ii)Machinery </w:t>
            </w:r>
            <w:r>
              <w:rPr>
                <w:sz w:val="20"/>
              </w:rPr>
              <w:t>having</w:t>
            </w:r>
            <w:r>
              <w:rPr>
                <w:sz w:val="20"/>
              </w:rPr>
              <w:t> dry load capacity of 20 kg. and above.</w:t>
            </w:r>
          </w:p>
        </w:tc>
      </w:tr>
      <w:tr>
        <w:trPr>
          <w:trHeight w:val="990" w:hRule="atLeast"/>
        </w:trPr>
        <w:tc>
          <w:tcPr>
            <w:tcW w:w="778" w:type="dxa"/>
          </w:tcPr>
          <w:p>
            <w:pPr>
              <w:pStyle w:val="TableParagraph"/>
              <w:rPr>
                <w:rFonts w:ascii="Times New Roman"/>
                <w:sz w:val="18"/>
              </w:rPr>
            </w:pPr>
          </w:p>
        </w:tc>
        <w:tc>
          <w:tcPr>
            <w:tcW w:w="3121" w:type="dxa"/>
          </w:tcPr>
          <w:p>
            <w:pPr>
              <w:pStyle w:val="TableParagraph"/>
              <w:tabs>
                <w:tab w:pos="1156" w:val="left" w:leader="none"/>
                <w:tab w:pos="1895" w:val="left" w:leader="none"/>
              </w:tabs>
              <w:spacing w:before="94"/>
              <w:ind w:left="378" w:right="166"/>
              <w:rPr>
                <w:sz w:val="20"/>
              </w:rPr>
            </w:pPr>
            <w:r>
              <w:rPr>
                <w:spacing w:val="-2"/>
                <w:sz w:val="20"/>
              </w:rPr>
              <w:t>xxxix</w:t>
            </w:r>
            <w:r>
              <w:rPr>
                <w:sz w:val="20"/>
              </w:rPr>
              <w:tab/>
            </w:r>
            <w:r>
              <w:rPr>
                <w:spacing w:val="-4"/>
                <w:sz w:val="20"/>
              </w:rPr>
              <w:t>Data</w:t>
            </w:r>
            <w:r>
              <w:rPr>
                <w:sz w:val="20"/>
              </w:rPr>
              <w:tab/>
            </w:r>
            <w:r>
              <w:rPr>
                <w:spacing w:val="-2"/>
                <w:sz w:val="20"/>
              </w:rPr>
              <w:t>Processio</w:t>
            </w:r>
            <w:r>
              <w:rPr>
                <w:spacing w:val="-2"/>
                <w:sz w:val="20"/>
              </w:rPr>
              <w:t>n</w:t>
            </w:r>
            <w:r>
              <w:rPr>
                <w:spacing w:val="-2"/>
                <w:sz w:val="20"/>
              </w:rPr>
              <w:t> units</w:t>
            </w:r>
          </w:p>
          <w:p>
            <w:pPr>
              <w:pStyle w:val="TableParagraph"/>
              <w:spacing w:before="94"/>
              <w:ind w:left="378"/>
              <w:rPr>
                <w:sz w:val="20"/>
              </w:rPr>
            </w:pPr>
            <w:r>
              <w:rPr>
                <w:sz w:val="20"/>
              </w:rPr>
              <w:t>with</w:t>
            </w:r>
            <w:r>
              <w:rPr>
                <w:spacing w:val="-4"/>
                <w:sz w:val="20"/>
              </w:rPr>
              <w:t> </w:t>
            </w:r>
            <w:r>
              <w:rPr>
                <w:sz w:val="20"/>
              </w:rPr>
              <w:t>use</w:t>
            </w:r>
            <w:r>
              <w:rPr>
                <w:spacing w:val="-5"/>
                <w:sz w:val="20"/>
              </w:rPr>
              <w:t> </w:t>
            </w:r>
            <w:r>
              <w:rPr>
                <w:sz w:val="20"/>
              </w:rPr>
              <w:t>of</w:t>
            </w:r>
            <w:r>
              <w:rPr>
                <w:spacing w:val="-3"/>
                <w:sz w:val="20"/>
              </w:rPr>
              <w:t> </w:t>
            </w:r>
            <w:r>
              <w:rPr>
                <w:spacing w:val="-2"/>
                <w:sz w:val="20"/>
              </w:rPr>
              <w:t>computer.</w:t>
            </w:r>
          </w:p>
        </w:tc>
        <w:tc>
          <w:tcPr>
            <w:tcW w:w="1416" w:type="dxa"/>
          </w:tcPr>
          <w:p>
            <w:pPr>
              <w:pStyle w:val="TableParagraph"/>
              <w:spacing w:before="94"/>
              <w:ind w:left="378"/>
              <w:rPr>
                <w:sz w:val="20"/>
              </w:rPr>
            </w:pPr>
            <w:r>
              <w:rPr>
                <w:spacing w:val="-5"/>
                <w:sz w:val="20"/>
              </w:rPr>
              <w:t>4.0</w:t>
            </w:r>
          </w:p>
        </w:tc>
        <w:tc>
          <w:tcPr>
            <w:tcW w:w="1560" w:type="dxa"/>
          </w:tcPr>
          <w:p>
            <w:pPr>
              <w:pStyle w:val="TableParagraph"/>
              <w:spacing w:before="94"/>
              <w:ind w:left="378"/>
              <w:rPr>
                <w:sz w:val="20"/>
              </w:rPr>
            </w:pPr>
            <w:r>
              <w:rPr>
                <w:spacing w:val="-10"/>
                <w:sz w:val="20"/>
              </w:rPr>
              <w:t>9</w:t>
            </w:r>
          </w:p>
        </w:tc>
        <w:tc>
          <w:tcPr>
            <w:tcW w:w="1418" w:type="dxa"/>
          </w:tcPr>
          <w:p>
            <w:pPr>
              <w:pStyle w:val="TableParagraph"/>
              <w:spacing w:before="94"/>
              <w:ind w:left="378"/>
              <w:rPr>
                <w:sz w:val="20"/>
              </w:rPr>
            </w:pPr>
            <w:r>
              <w:rPr>
                <w:spacing w:val="-5"/>
                <w:sz w:val="20"/>
              </w:rPr>
              <w:t>50</w:t>
            </w:r>
          </w:p>
        </w:tc>
        <w:tc>
          <w:tcPr>
            <w:tcW w:w="2693" w:type="dxa"/>
          </w:tcPr>
          <w:p>
            <w:pPr>
              <w:pStyle w:val="TableParagraph"/>
              <w:rPr>
                <w:rFonts w:ascii="Times New Roman"/>
                <w:sz w:val="18"/>
              </w:rPr>
            </w:pPr>
          </w:p>
        </w:tc>
      </w:tr>
    </w:tbl>
    <w:p>
      <w:pPr>
        <w:pStyle w:val="TableParagraph"/>
        <w:spacing w:after="0"/>
        <w:rPr>
          <w:rFonts w:ascii="Times New Roman"/>
          <w:sz w:val="18"/>
        </w:rPr>
        <w:sectPr>
          <w:pgSz w:w="11910" w:h="16840"/>
          <w:pgMar w:header="1058" w:footer="1088" w:top="1500" w:bottom="1280" w:left="360" w:right="360"/>
        </w:sectPr>
      </w:pPr>
    </w:p>
    <w:p>
      <w:pPr>
        <w:pStyle w:val="BodyText"/>
        <w:spacing w:before="20"/>
        <w:jc w:val="left"/>
        <w:rPr>
          <w:sz w:val="20"/>
        </w:rPr>
      </w:pPr>
    </w:p>
    <w:tbl>
      <w:tblPr>
        <w:tblW w:w="0" w:type="auto"/>
        <w:jc w:val="left"/>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8"/>
        <w:gridCol w:w="3121"/>
        <w:gridCol w:w="1416"/>
        <w:gridCol w:w="1560"/>
        <w:gridCol w:w="1418"/>
        <w:gridCol w:w="2693"/>
      </w:tblGrid>
      <w:tr>
        <w:trPr>
          <w:trHeight w:val="1367" w:hRule="atLeast"/>
        </w:trPr>
        <w:tc>
          <w:tcPr>
            <w:tcW w:w="778" w:type="dxa"/>
          </w:tcPr>
          <w:p>
            <w:pPr>
              <w:pStyle w:val="TableParagraph"/>
              <w:rPr>
                <w:rFonts w:ascii="Times New Roman"/>
                <w:sz w:val="22"/>
              </w:rPr>
            </w:pPr>
          </w:p>
        </w:tc>
        <w:tc>
          <w:tcPr>
            <w:tcW w:w="3121" w:type="dxa"/>
          </w:tcPr>
          <w:p>
            <w:pPr>
              <w:pStyle w:val="TableParagraph"/>
              <w:tabs>
                <w:tab w:pos="2431" w:val="left" w:leader="none"/>
              </w:tabs>
              <w:spacing w:before="97"/>
              <w:ind w:left="378" w:right="164"/>
              <w:jc w:val="both"/>
              <w:rPr>
                <w:sz w:val="20"/>
              </w:rPr>
            </w:pPr>
            <w:r>
              <w:rPr>
                <w:sz w:val="20"/>
              </w:rPr>
              <w:t>Xl Photo-processing, laboratories, Xeroxing, </w:t>
            </w:r>
            <w:r>
              <w:rPr>
                <w:spacing w:val="-2"/>
                <w:sz w:val="20"/>
              </w:rPr>
              <w:t>photocopying,</w:t>
            </w:r>
            <w:r>
              <w:rPr>
                <w:sz w:val="20"/>
              </w:rPr>
              <w:tab/>
            </w:r>
            <w:r>
              <w:rPr>
                <w:spacing w:val="-4"/>
                <w:sz w:val="20"/>
              </w:rPr>
              <w:t>video</w:t>
            </w:r>
          </w:p>
          <w:p>
            <w:pPr>
              <w:pStyle w:val="TableParagraph"/>
              <w:ind w:left="378" w:right="164"/>
              <w:jc w:val="both"/>
              <w:rPr>
                <w:sz w:val="20"/>
              </w:rPr>
            </w:pPr>
            <w:r>
              <w:rPr>
                <w:sz w:val="20"/>
              </w:rPr>
              <w:t>taping and </w:t>
            </w:r>
            <w:r>
              <w:rPr>
                <w:sz w:val="20"/>
              </w:rPr>
              <w:t>their </w:t>
            </w:r>
            <w:r>
              <w:rPr>
                <w:spacing w:val="-2"/>
                <w:sz w:val="20"/>
              </w:rPr>
              <w:t>laboratories.</w:t>
            </w:r>
          </w:p>
        </w:tc>
        <w:tc>
          <w:tcPr>
            <w:tcW w:w="1416" w:type="dxa"/>
          </w:tcPr>
          <w:p>
            <w:pPr>
              <w:pStyle w:val="TableParagraph"/>
              <w:spacing w:before="97"/>
              <w:ind w:left="378"/>
              <w:rPr>
                <w:sz w:val="20"/>
              </w:rPr>
            </w:pPr>
            <w:r>
              <w:rPr>
                <w:spacing w:val="-4"/>
                <w:sz w:val="20"/>
              </w:rPr>
              <w:t>3.75</w:t>
            </w:r>
          </w:p>
        </w:tc>
        <w:tc>
          <w:tcPr>
            <w:tcW w:w="1560" w:type="dxa"/>
          </w:tcPr>
          <w:p>
            <w:pPr>
              <w:pStyle w:val="TableParagraph"/>
              <w:spacing w:before="97"/>
              <w:ind w:left="378"/>
              <w:rPr>
                <w:sz w:val="20"/>
              </w:rPr>
            </w:pPr>
            <w:r>
              <w:rPr>
                <w:spacing w:val="-10"/>
                <w:sz w:val="20"/>
              </w:rPr>
              <w:t>9</w:t>
            </w:r>
          </w:p>
        </w:tc>
        <w:tc>
          <w:tcPr>
            <w:tcW w:w="1418" w:type="dxa"/>
          </w:tcPr>
          <w:p>
            <w:pPr>
              <w:pStyle w:val="TableParagraph"/>
              <w:spacing w:before="97"/>
              <w:ind w:left="378"/>
              <w:rPr>
                <w:sz w:val="20"/>
              </w:rPr>
            </w:pPr>
            <w:r>
              <w:rPr>
                <w:spacing w:val="-5"/>
                <w:sz w:val="20"/>
              </w:rPr>
              <w:t>50</w:t>
            </w:r>
          </w:p>
        </w:tc>
        <w:tc>
          <w:tcPr>
            <w:tcW w:w="2693" w:type="dxa"/>
          </w:tcPr>
          <w:p>
            <w:pPr>
              <w:pStyle w:val="TableParagraph"/>
              <w:rPr>
                <w:rFonts w:ascii="Times New Roman"/>
                <w:sz w:val="22"/>
              </w:rPr>
            </w:pPr>
          </w:p>
        </w:tc>
      </w:tr>
      <w:tr>
        <w:trPr>
          <w:trHeight w:val="1365" w:hRule="atLeast"/>
        </w:trPr>
        <w:tc>
          <w:tcPr>
            <w:tcW w:w="778" w:type="dxa"/>
          </w:tcPr>
          <w:p>
            <w:pPr>
              <w:pStyle w:val="TableParagraph"/>
              <w:rPr>
                <w:rFonts w:ascii="Times New Roman"/>
                <w:sz w:val="22"/>
              </w:rPr>
            </w:pPr>
          </w:p>
        </w:tc>
        <w:tc>
          <w:tcPr>
            <w:tcW w:w="3121" w:type="dxa"/>
          </w:tcPr>
          <w:p>
            <w:pPr>
              <w:pStyle w:val="TableParagraph"/>
              <w:spacing w:before="94"/>
              <w:ind w:left="378" w:right="164"/>
              <w:jc w:val="both"/>
              <w:rPr>
                <w:sz w:val="20"/>
              </w:rPr>
            </w:pPr>
            <w:r>
              <w:rPr>
                <w:sz w:val="20"/>
              </w:rPr>
              <w:t>xli Repacking and mixing of</w:t>
            </w:r>
            <w:r>
              <w:rPr>
                <w:spacing w:val="-16"/>
                <w:sz w:val="20"/>
              </w:rPr>
              <w:t> </w:t>
            </w:r>
            <w:r>
              <w:rPr>
                <w:sz w:val="20"/>
              </w:rPr>
              <w:t>liquids,</w:t>
            </w:r>
            <w:r>
              <w:rPr>
                <w:spacing w:val="-16"/>
                <w:sz w:val="20"/>
              </w:rPr>
              <w:t> </w:t>
            </w:r>
            <w:r>
              <w:rPr>
                <w:sz w:val="20"/>
              </w:rPr>
              <w:t>powders,</w:t>
            </w:r>
            <w:r>
              <w:rPr>
                <w:spacing w:val="-16"/>
                <w:sz w:val="20"/>
              </w:rPr>
              <w:t> </w:t>
            </w:r>
            <w:r>
              <w:rPr>
                <w:sz w:val="20"/>
              </w:rPr>
              <w:t>pastes etc. not involving any chemical</w:t>
            </w:r>
            <w:r>
              <w:rPr>
                <w:spacing w:val="-16"/>
                <w:sz w:val="20"/>
              </w:rPr>
              <w:t> </w:t>
            </w:r>
            <w:r>
              <w:rPr>
                <w:sz w:val="20"/>
              </w:rPr>
              <w:t>reaction</w:t>
            </w:r>
            <w:r>
              <w:rPr>
                <w:spacing w:val="-16"/>
                <w:sz w:val="20"/>
              </w:rPr>
              <w:t> </w:t>
            </w:r>
            <w:r>
              <w:rPr>
                <w:sz w:val="20"/>
              </w:rPr>
              <w:t>which</w:t>
            </w:r>
            <w:r>
              <w:rPr>
                <w:spacing w:val="-16"/>
                <w:sz w:val="20"/>
              </w:rPr>
              <w:t> </w:t>
            </w:r>
            <w:r>
              <w:rPr>
                <w:sz w:val="20"/>
              </w:rPr>
              <w:t>is non-hazardous in nature.</w:t>
            </w:r>
          </w:p>
        </w:tc>
        <w:tc>
          <w:tcPr>
            <w:tcW w:w="1416" w:type="dxa"/>
          </w:tcPr>
          <w:p>
            <w:pPr>
              <w:pStyle w:val="TableParagraph"/>
              <w:spacing w:before="94"/>
              <w:ind w:left="378"/>
              <w:rPr>
                <w:sz w:val="20"/>
              </w:rPr>
            </w:pPr>
            <w:r>
              <w:rPr>
                <w:spacing w:val="-4"/>
                <w:sz w:val="20"/>
              </w:rPr>
              <w:t>2.25</w:t>
            </w:r>
          </w:p>
        </w:tc>
        <w:tc>
          <w:tcPr>
            <w:tcW w:w="1560" w:type="dxa"/>
          </w:tcPr>
          <w:p>
            <w:pPr>
              <w:pStyle w:val="TableParagraph"/>
              <w:spacing w:before="94"/>
              <w:ind w:left="378"/>
              <w:rPr>
                <w:sz w:val="20"/>
              </w:rPr>
            </w:pPr>
            <w:r>
              <w:rPr>
                <w:spacing w:val="-10"/>
                <w:sz w:val="20"/>
              </w:rPr>
              <w:t>9</w:t>
            </w:r>
          </w:p>
        </w:tc>
        <w:tc>
          <w:tcPr>
            <w:tcW w:w="1418" w:type="dxa"/>
          </w:tcPr>
          <w:p>
            <w:pPr>
              <w:pStyle w:val="TableParagraph"/>
              <w:spacing w:before="94"/>
              <w:ind w:left="378"/>
              <w:rPr>
                <w:sz w:val="20"/>
              </w:rPr>
            </w:pPr>
            <w:r>
              <w:rPr>
                <w:spacing w:val="-5"/>
                <w:sz w:val="20"/>
              </w:rPr>
              <w:t>50</w:t>
            </w:r>
          </w:p>
        </w:tc>
        <w:tc>
          <w:tcPr>
            <w:tcW w:w="2693" w:type="dxa"/>
          </w:tcPr>
          <w:p>
            <w:pPr>
              <w:pStyle w:val="TableParagraph"/>
              <w:rPr>
                <w:rFonts w:ascii="Times New Roman"/>
                <w:sz w:val="22"/>
              </w:rPr>
            </w:pPr>
          </w:p>
        </w:tc>
      </w:tr>
      <w:tr>
        <w:trPr>
          <w:trHeight w:val="661" w:hRule="atLeast"/>
        </w:trPr>
        <w:tc>
          <w:tcPr>
            <w:tcW w:w="778" w:type="dxa"/>
          </w:tcPr>
          <w:p>
            <w:pPr>
              <w:pStyle w:val="TableParagraph"/>
              <w:spacing w:before="94"/>
              <w:ind w:left="381" w:right="161"/>
              <w:rPr>
                <w:sz w:val="20"/>
              </w:rPr>
            </w:pPr>
            <w:r>
              <w:rPr>
                <w:spacing w:val="-6"/>
                <w:sz w:val="20"/>
              </w:rPr>
              <w:t>XI </w:t>
            </w:r>
            <w:r>
              <w:rPr>
                <w:spacing w:val="-10"/>
                <w:sz w:val="20"/>
              </w:rPr>
              <w:t>I</w:t>
            </w:r>
          </w:p>
        </w:tc>
        <w:tc>
          <w:tcPr>
            <w:tcW w:w="3121" w:type="dxa"/>
          </w:tcPr>
          <w:p>
            <w:pPr>
              <w:pStyle w:val="TableParagraph"/>
              <w:tabs>
                <w:tab w:pos="2049" w:val="left" w:leader="none"/>
              </w:tabs>
              <w:spacing w:before="94"/>
              <w:ind w:left="378"/>
              <w:rPr>
                <w:sz w:val="20"/>
              </w:rPr>
            </w:pPr>
            <w:r>
              <w:rPr>
                <w:spacing w:val="-4"/>
                <w:sz w:val="20"/>
              </w:rPr>
              <w:t>Xlii</w:t>
            </w:r>
            <w:r>
              <w:rPr>
                <w:sz w:val="20"/>
              </w:rPr>
              <w:tab/>
            </w:r>
            <w:r>
              <w:rPr>
                <w:spacing w:val="-2"/>
                <w:sz w:val="20"/>
              </w:rPr>
              <w:t>Business</w:t>
            </w:r>
          </w:p>
          <w:p>
            <w:pPr>
              <w:pStyle w:val="TableParagraph"/>
              <w:ind w:left="378"/>
              <w:rPr>
                <w:sz w:val="20"/>
              </w:rPr>
            </w:pPr>
            <w:r>
              <w:rPr>
                <w:spacing w:val="-2"/>
                <w:sz w:val="20"/>
              </w:rPr>
              <w:t>/Administrative</w:t>
            </w:r>
            <w:r>
              <w:rPr>
                <w:spacing w:val="12"/>
                <w:sz w:val="20"/>
              </w:rPr>
              <w:t> </w:t>
            </w:r>
            <w:r>
              <w:rPr>
                <w:spacing w:val="-2"/>
                <w:sz w:val="20"/>
              </w:rPr>
              <w:t>office</w:t>
            </w:r>
          </w:p>
        </w:tc>
        <w:tc>
          <w:tcPr>
            <w:tcW w:w="1416" w:type="dxa"/>
          </w:tcPr>
          <w:p>
            <w:pPr>
              <w:pStyle w:val="TableParagraph"/>
              <w:rPr>
                <w:rFonts w:ascii="Times New Roman"/>
                <w:sz w:val="22"/>
              </w:rPr>
            </w:pPr>
          </w:p>
        </w:tc>
        <w:tc>
          <w:tcPr>
            <w:tcW w:w="1560" w:type="dxa"/>
          </w:tcPr>
          <w:p>
            <w:pPr>
              <w:pStyle w:val="TableParagraph"/>
              <w:rPr>
                <w:rFonts w:ascii="Times New Roman"/>
                <w:sz w:val="22"/>
              </w:rPr>
            </w:pPr>
          </w:p>
        </w:tc>
        <w:tc>
          <w:tcPr>
            <w:tcW w:w="1418" w:type="dxa"/>
          </w:tcPr>
          <w:p>
            <w:pPr>
              <w:pStyle w:val="TableParagraph"/>
              <w:rPr>
                <w:rFonts w:ascii="Times New Roman"/>
                <w:sz w:val="22"/>
              </w:rPr>
            </w:pPr>
          </w:p>
        </w:tc>
        <w:tc>
          <w:tcPr>
            <w:tcW w:w="2693" w:type="dxa"/>
          </w:tcPr>
          <w:p>
            <w:pPr>
              <w:pStyle w:val="TableParagraph"/>
              <w:rPr>
                <w:rFonts w:ascii="Times New Roman"/>
                <w:sz w:val="22"/>
              </w:rPr>
            </w:pPr>
          </w:p>
        </w:tc>
      </w:tr>
      <w:tr>
        <w:trPr>
          <w:trHeight w:val="2306" w:hRule="atLeast"/>
        </w:trPr>
        <w:tc>
          <w:tcPr>
            <w:tcW w:w="778" w:type="dxa"/>
          </w:tcPr>
          <w:p>
            <w:pPr>
              <w:pStyle w:val="TableParagraph"/>
              <w:rPr>
                <w:rFonts w:ascii="Times New Roman"/>
                <w:sz w:val="22"/>
              </w:rPr>
            </w:pPr>
          </w:p>
        </w:tc>
        <w:tc>
          <w:tcPr>
            <w:tcW w:w="3121" w:type="dxa"/>
          </w:tcPr>
          <w:p>
            <w:pPr>
              <w:pStyle w:val="TableParagraph"/>
              <w:tabs>
                <w:tab w:pos="2049" w:val="left" w:leader="none"/>
              </w:tabs>
              <w:spacing w:before="95"/>
              <w:ind w:left="378"/>
              <w:jc w:val="both"/>
              <w:rPr>
                <w:sz w:val="20"/>
              </w:rPr>
            </w:pPr>
            <w:r>
              <w:rPr>
                <w:spacing w:val="-2"/>
                <w:sz w:val="20"/>
              </w:rPr>
              <w:t>Xliii</w:t>
            </w:r>
            <w:r>
              <w:rPr>
                <w:sz w:val="20"/>
              </w:rPr>
              <w:tab/>
            </w:r>
            <w:r>
              <w:rPr>
                <w:spacing w:val="-2"/>
                <w:sz w:val="20"/>
              </w:rPr>
              <w:t>Business</w:t>
            </w:r>
          </w:p>
          <w:p>
            <w:pPr>
              <w:pStyle w:val="TableParagraph"/>
              <w:tabs>
                <w:tab w:pos="2243" w:val="left" w:leader="none"/>
              </w:tabs>
              <w:ind w:left="378" w:right="166"/>
              <w:jc w:val="both"/>
              <w:rPr>
                <w:sz w:val="20"/>
              </w:rPr>
            </w:pPr>
            <w:r>
              <w:rPr>
                <w:sz w:val="20"/>
              </w:rPr>
              <w:t>/Administrative offices of </w:t>
            </w:r>
            <w:r>
              <w:rPr>
                <w:spacing w:val="-5"/>
                <w:sz w:val="20"/>
              </w:rPr>
              <w:t>the</w:t>
            </w:r>
            <w:r>
              <w:rPr>
                <w:sz w:val="20"/>
              </w:rPr>
              <w:tab/>
            </w:r>
            <w:r>
              <w:rPr>
                <w:spacing w:val="-2"/>
                <w:sz w:val="20"/>
              </w:rPr>
              <w:t>Service</w:t>
            </w:r>
          </w:p>
          <w:p>
            <w:pPr>
              <w:pStyle w:val="TableParagraph"/>
              <w:spacing w:before="1"/>
              <w:ind w:left="378" w:right="164"/>
              <w:jc w:val="both"/>
              <w:rPr>
                <w:sz w:val="20"/>
              </w:rPr>
            </w:pPr>
            <w:r>
              <w:rPr>
                <w:sz w:val="20"/>
              </w:rPr>
              <w:t>Industry/Small Scale Industry within the same </w:t>
            </w:r>
            <w:r>
              <w:rPr>
                <w:spacing w:val="-2"/>
                <w:sz w:val="20"/>
              </w:rPr>
              <w:t>premises</w:t>
            </w:r>
          </w:p>
        </w:tc>
        <w:tc>
          <w:tcPr>
            <w:tcW w:w="1416" w:type="dxa"/>
          </w:tcPr>
          <w:p>
            <w:pPr>
              <w:pStyle w:val="TableParagraph"/>
              <w:rPr>
                <w:rFonts w:ascii="Times New Roman"/>
                <w:sz w:val="22"/>
              </w:rPr>
            </w:pPr>
          </w:p>
        </w:tc>
        <w:tc>
          <w:tcPr>
            <w:tcW w:w="1560" w:type="dxa"/>
          </w:tcPr>
          <w:p>
            <w:pPr>
              <w:pStyle w:val="TableParagraph"/>
              <w:rPr>
                <w:rFonts w:ascii="Times New Roman"/>
                <w:sz w:val="22"/>
              </w:rPr>
            </w:pPr>
          </w:p>
        </w:tc>
        <w:tc>
          <w:tcPr>
            <w:tcW w:w="1418" w:type="dxa"/>
          </w:tcPr>
          <w:p>
            <w:pPr>
              <w:pStyle w:val="TableParagraph"/>
              <w:tabs>
                <w:tab w:pos="1062" w:val="left" w:leader="none"/>
              </w:tabs>
              <w:spacing w:before="95"/>
              <w:ind w:left="378" w:right="162"/>
              <w:rPr>
                <w:sz w:val="20"/>
              </w:rPr>
            </w:pPr>
            <w:r>
              <w:rPr>
                <w:spacing w:val="-4"/>
                <w:sz w:val="20"/>
              </w:rPr>
              <w:t>50%</w:t>
            </w:r>
            <w:r>
              <w:rPr>
                <w:sz w:val="20"/>
              </w:rPr>
              <w:tab/>
            </w:r>
            <w:r>
              <w:rPr>
                <w:spacing w:val="-6"/>
                <w:sz w:val="20"/>
              </w:rPr>
              <w:t>of </w:t>
            </w:r>
            <w:r>
              <w:rPr>
                <w:sz w:val="20"/>
              </w:rPr>
              <w:t>the</w:t>
            </w:r>
            <w:r>
              <w:rPr>
                <w:spacing w:val="22"/>
                <w:sz w:val="20"/>
              </w:rPr>
              <w:t> </w:t>
            </w:r>
            <w:r>
              <w:rPr>
                <w:sz w:val="20"/>
              </w:rPr>
              <w:t>area </w:t>
            </w:r>
            <w:r>
              <w:rPr>
                <w:spacing w:val="-4"/>
                <w:sz w:val="20"/>
              </w:rPr>
              <w:t>under the </w:t>
            </w:r>
            <w:r>
              <w:rPr>
                <w:spacing w:val="-2"/>
                <w:sz w:val="20"/>
              </w:rPr>
              <w:t>Service Industry</w:t>
            </w:r>
          </w:p>
          <w:p>
            <w:pPr>
              <w:pStyle w:val="TableParagraph"/>
              <w:ind w:left="378" w:right="184"/>
              <w:rPr>
                <w:sz w:val="20"/>
              </w:rPr>
            </w:pPr>
            <w:r>
              <w:rPr>
                <w:spacing w:val="-2"/>
                <w:sz w:val="20"/>
              </w:rPr>
              <w:t>/Small Scale Industry</w:t>
            </w:r>
          </w:p>
        </w:tc>
        <w:tc>
          <w:tcPr>
            <w:tcW w:w="2693" w:type="dxa"/>
          </w:tcPr>
          <w:p>
            <w:pPr>
              <w:pStyle w:val="TableParagraph"/>
              <w:rPr>
                <w:rFonts w:ascii="Times New Roman"/>
                <w:sz w:val="22"/>
              </w:rPr>
            </w:pPr>
          </w:p>
        </w:tc>
      </w:tr>
    </w:tbl>
    <w:p>
      <w:pPr>
        <w:pStyle w:val="BodyText"/>
        <w:ind w:left="1433" w:right="772"/>
      </w:pPr>
      <w:r>
        <w:rPr/>
        <w:t>Note 1 i) Service industrial uses amended from time to time by government shall be allowed.</w:t>
      </w:r>
    </w:p>
    <w:p>
      <w:pPr>
        <w:pStyle w:val="BodyText"/>
        <w:spacing w:before="241"/>
        <w:ind w:left="1433" w:right="803"/>
      </w:pPr>
      <w:r>
        <w:rPr/>
        <w:t>ii)</w:t>
      </w:r>
      <w:r>
        <w:rPr>
          <w:spacing w:val="-3"/>
        </w:rPr>
        <w:t> </w:t>
      </w:r>
      <w:r>
        <w:rPr/>
        <w:t>With</w:t>
      </w:r>
      <w:r>
        <w:rPr>
          <w:spacing w:val="-3"/>
        </w:rPr>
        <w:t> </w:t>
      </w:r>
      <w:r>
        <w:rPr/>
        <w:t>the</w:t>
      </w:r>
      <w:r>
        <w:rPr>
          <w:spacing w:val="-3"/>
        </w:rPr>
        <w:t> </w:t>
      </w:r>
      <w:r>
        <w:rPr/>
        <w:t>special</w:t>
      </w:r>
      <w:r>
        <w:rPr>
          <w:spacing w:val="-3"/>
        </w:rPr>
        <w:t> </w:t>
      </w:r>
      <w:r>
        <w:rPr/>
        <w:t>permission,</w:t>
      </w:r>
      <w:r>
        <w:rPr>
          <w:spacing w:val="-3"/>
        </w:rPr>
        <w:t> </w:t>
      </w:r>
      <w:r>
        <w:rPr/>
        <w:t>Commissioner</w:t>
      </w:r>
      <w:r>
        <w:rPr>
          <w:spacing w:val="-3"/>
        </w:rPr>
        <w:t> </w:t>
      </w:r>
      <w:r>
        <w:rPr/>
        <w:t>may</w:t>
      </w:r>
      <w:r>
        <w:rPr>
          <w:spacing w:val="-3"/>
        </w:rPr>
        <w:t> </w:t>
      </w:r>
      <w:r>
        <w:rPr/>
        <w:t>from</w:t>
      </w:r>
      <w:r>
        <w:rPr>
          <w:spacing w:val="-3"/>
        </w:rPr>
        <w:t> </w:t>
      </w:r>
      <w:r>
        <w:rPr/>
        <w:t>time</w:t>
      </w:r>
      <w:r>
        <w:rPr>
          <w:spacing w:val="-3"/>
        </w:rPr>
        <w:t> </w:t>
      </w:r>
      <w:r>
        <w:rPr/>
        <w:t>to</w:t>
      </w:r>
      <w:r>
        <w:rPr>
          <w:spacing w:val="-3"/>
        </w:rPr>
        <w:t> </w:t>
      </w:r>
      <w:r>
        <w:rPr/>
        <w:t>time</w:t>
      </w:r>
      <w:r>
        <w:rPr>
          <w:spacing w:val="-3"/>
        </w:rPr>
        <w:t> </w:t>
      </w:r>
      <w:r>
        <w:rPr/>
        <w:t>add</w:t>
      </w:r>
      <w:r>
        <w:rPr>
          <w:spacing w:val="-3"/>
        </w:rPr>
        <w:t> </w:t>
      </w:r>
      <w:r>
        <w:rPr/>
        <w:t>to, alter or amend the above Tables.</w:t>
      </w:r>
    </w:p>
    <w:p>
      <w:pPr>
        <w:pStyle w:val="BodyText"/>
        <w:spacing w:before="239"/>
        <w:ind w:left="1433" w:right="797"/>
      </w:pPr>
      <w:r>
        <w:rPr/>
        <w:t>Note</w:t>
      </w:r>
      <w:r>
        <w:rPr>
          <w:spacing w:val="40"/>
        </w:rPr>
        <w:t> </w:t>
      </w:r>
      <w:r>
        <w:rPr/>
        <w:t>2</w:t>
      </w:r>
      <w:r>
        <w:rPr>
          <w:spacing w:val="40"/>
        </w:rPr>
        <w:t> </w:t>
      </w:r>
      <w:r>
        <w:rPr>
          <w:b/>
        </w:rPr>
        <w:t>:</w:t>
      </w:r>
      <w:r>
        <w:rPr/>
        <w:t>(</w:t>
      </w:r>
      <w:r>
        <w:rPr>
          <w:spacing w:val="40"/>
        </w:rPr>
        <w:t> </w:t>
      </w:r>
      <w:r>
        <w:rPr/>
        <w:t>a)</w:t>
      </w:r>
      <w:r>
        <w:rPr>
          <w:spacing w:val="40"/>
        </w:rPr>
        <w:t> </w:t>
      </w:r>
      <w:r>
        <w:rPr/>
        <w:t>Conditions</w:t>
      </w:r>
      <w:r>
        <w:rPr>
          <w:spacing w:val="40"/>
        </w:rPr>
        <w:t> </w:t>
      </w:r>
      <w:r>
        <w:rPr/>
        <w:t>governing</w:t>
      </w:r>
      <w:r>
        <w:rPr>
          <w:spacing w:val="40"/>
        </w:rPr>
        <w:t>  </w:t>
      </w:r>
      <w:r>
        <w:rPr/>
        <w:t>other</w:t>
      </w:r>
      <w:r>
        <w:rPr>
          <w:spacing w:val="40"/>
        </w:rPr>
        <w:t> </w:t>
      </w:r>
      <w:r>
        <w:rPr/>
        <w:t>uses</w:t>
      </w:r>
      <w:r>
        <w:rPr>
          <w:spacing w:val="40"/>
        </w:rPr>
        <w:t> </w:t>
      </w:r>
      <w:r>
        <w:rPr/>
        <w:t>permitted</w:t>
      </w:r>
      <w:r>
        <w:rPr>
          <w:spacing w:val="40"/>
        </w:rPr>
        <w:t> </w:t>
      </w:r>
      <w:r>
        <w:rPr/>
        <w:t>in</w:t>
      </w:r>
      <w:r>
        <w:rPr>
          <w:spacing w:val="40"/>
        </w:rPr>
        <w:t> </w:t>
      </w:r>
      <w:r>
        <w:rPr/>
        <w:t>Residential Zone:</w:t>
      </w:r>
      <w:r>
        <w:rPr>
          <w:spacing w:val="80"/>
          <w:w w:val="150"/>
        </w:rPr>
        <w:t> </w:t>
      </w:r>
      <w:r>
        <w:rPr/>
        <w:t>The</w:t>
      </w:r>
      <w:r>
        <w:rPr>
          <w:spacing w:val="40"/>
        </w:rPr>
        <w:t> </w:t>
      </w:r>
      <w:r>
        <w:rPr/>
        <w:t>uses</w:t>
      </w:r>
      <w:r>
        <w:rPr>
          <w:spacing w:val="40"/>
        </w:rPr>
        <w:t> </w:t>
      </w:r>
      <w:r>
        <w:rPr/>
        <w:t>permissible</w:t>
      </w:r>
      <w:r>
        <w:rPr>
          <w:spacing w:val="40"/>
        </w:rPr>
        <w:t> </w:t>
      </w:r>
      <w:r>
        <w:rPr/>
        <w:t>in</w:t>
      </w:r>
      <w:r>
        <w:rPr>
          <w:spacing w:val="40"/>
        </w:rPr>
        <w:t> </w:t>
      </w:r>
      <w:r>
        <w:rPr/>
        <w:t>the</w:t>
      </w:r>
      <w:r>
        <w:rPr>
          <w:spacing w:val="40"/>
        </w:rPr>
        <w:t> </w:t>
      </w:r>
      <w:r>
        <w:rPr/>
        <w:t>Residential</w:t>
      </w:r>
      <w:r>
        <w:rPr>
          <w:spacing w:val="40"/>
        </w:rPr>
        <w:t> </w:t>
      </w:r>
      <w:r>
        <w:rPr/>
        <w:t>zone</w:t>
      </w:r>
      <w:r>
        <w:rPr>
          <w:spacing w:val="40"/>
        </w:rPr>
        <w:t> </w:t>
      </w:r>
      <w:r>
        <w:rPr/>
        <w:t>shall</w:t>
      </w:r>
      <w:r>
        <w:rPr>
          <w:spacing w:val="40"/>
        </w:rPr>
        <w:t> </w:t>
      </w:r>
      <w:r>
        <w:rPr/>
        <w:t>be</w:t>
      </w:r>
      <w:r>
        <w:rPr>
          <w:spacing w:val="40"/>
        </w:rPr>
        <w:t> </w:t>
      </w:r>
      <w:r>
        <w:rPr/>
        <w:t>restricted and</w:t>
      </w:r>
      <w:r>
        <w:rPr>
          <w:spacing w:val="40"/>
        </w:rPr>
        <w:t> </w:t>
      </w:r>
      <w:r>
        <w:rPr/>
        <w:t>subject</w:t>
      </w:r>
      <w:r>
        <w:rPr>
          <w:spacing w:val="40"/>
        </w:rPr>
        <w:t> </w:t>
      </w:r>
      <w:r>
        <w:rPr/>
        <w:t>to</w:t>
      </w:r>
      <w:r>
        <w:rPr>
          <w:spacing w:val="40"/>
        </w:rPr>
        <w:t> </w:t>
      </w:r>
      <w:r>
        <w:rPr/>
        <w:t>the</w:t>
      </w:r>
      <w:r>
        <w:rPr>
          <w:spacing w:val="40"/>
        </w:rPr>
        <w:t> </w:t>
      </w:r>
      <w:r>
        <w:rPr/>
        <w:t>conditions</w:t>
      </w:r>
      <w:r>
        <w:rPr>
          <w:spacing w:val="40"/>
        </w:rPr>
        <w:t> </w:t>
      </w:r>
      <w:r>
        <w:rPr>
          <w:spacing w:val="9"/>
        </w:rPr>
        <w:t>below:</w:t>
      </w:r>
    </w:p>
    <w:p>
      <w:pPr>
        <w:pStyle w:val="ListParagraph"/>
        <w:numPr>
          <w:ilvl w:val="0"/>
          <w:numId w:val="227"/>
        </w:numPr>
        <w:tabs>
          <w:tab w:pos="1936" w:val="left" w:leader="none"/>
        </w:tabs>
        <w:spacing w:line="240" w:lineRule="auto" w:before="242" w:after="0"/>
        <w:ind w:left="1433" w:right="799" w:firstLine="0"/>
        <w:jc w:val="both"/>
        <w:rPr>
          <w:sz w:val="24"/>
        </w:rPr>
      </w:pPr>
      <w:r>
        <w:rPr>
          <w:sz w:val="24"/>
        </w:rPr>
        <w:t>A depth of</w:t>
      </w:r>
      <w:r>
        <w:rPr>
          <w:sz w:val="24"/>
        </w:rPr>
        <w:t> 12 m.</w:t>
      </w:r>
      <w:r>
        <w:rPr>
          <w:sz w:val="24"/>
        </w:rPr>
        <w:t> measured</w:t>
      </w:r>
      <w:r>
        <w:rPr>
          <w:sz w:val="24"/>
        </w:rPr>
        <w:t> from the</w:t>
      </w:r>
      <w:r>
        <w:rPr>
          <w:sz w:val="24"/>
        </w:rPr>
        <w:t> building line along the front portion</w:t>
      </w:r>
      <w:r>
        <w:rPr>
          <w:spacing w:val="40"/>
          <w:sz w:val="24"/>
        </w:rPr>
        <w:t> </w:t>
      </w:r>
      <w:r>
        <w:rPr>
          <w:sz w:val="24"/>
        </w:rPr>
        <w:t>abutting</w:t>
      </w:r>
      <w:r>
        <w:rPr>
          <w:spacing w:val="40"/>
          <w:sz w:val="24"/>
        </w:rPr>
        <w:t> </w:t>
      </w:r>
      <w:r>
        <w:rPr>
          <w:sz w:val="24"/>
        </w:rPr>
        <w:t>the</w:t>
      </w:r>
      <w:r>
        <w:rPr>
          <w:spacing w:val="40"/>
          <w:sz w:val="24"/>
        </w:rPr>
        <w:t> </w:t>
      </w:r>
      <w:r>
        <w:rPr>
          <w:sz w:val="24"/>
        </w:rPr>
        <w:t>street</w:t>
      </w:r>
      <w:r>
        <w:rPr>
          <w:spacing w:val="40"/>
          <w:sz w:val="24"/>
        </w:rPr>
        <w:t> </w:t>
      </w:r>
      <w:r>
        <w:rPr>
          <w:sz w:val="24"/>
        </w:rPr>
        <w:t>shall</w:t>
      </w:r>
      <w:r>
        <w:rPr>
          <w:spacing w:val="40"/>
          <w:sz w:val="24"/>
        </w:rPr>
        <w:t> </w:t>
      </w:r>
      <w:r>
        <w:rPr>
          <w:sz w:val="24"/>
        </w:rPr>
        <w:t>be</w:t>
      </w:r>
      <w:r>
        <w:rPr>
          <w:spacing w:val="40"/>
          <w:sz w:val="24"/>
        </w:rPr>
        <w:t> </w:t>
      </w:r>
      <w:r>
        <w:rPr>
          <w:spacing w:val="9"/>
          <w:sz w:val="24"/>
        </w:rPr>
        <w:t>provided.</w:t>
      </w:r>
    </w:p>
    <w:p>
      <w:pPr>
        <w:pStyle w:val="ListParagraph"/>
        <w:numPr>
          <w:ilvl w:val="0"/>
          <w:numId w:val="227"/>
        </w:numPr>
        <w:tabs>
          <w:tab w:pos="1850" w:val="left" w:leader="none"/>
        </w:tabs>
        <w:spacing w:line="240" w:lineRule="auto" w:before="0" w:after="0"/>
        <w:ind w:left="1433" w:right="796" w:firstLine="0"/>
        <w:jc w:val="both"/>
        <w:rPr>
          <w:sz w:val="24"/>
        </w:rPr>
      </w:pPr>
      <w:r>
        <w:rPr>
          <w:sz w:val="24"/>
        </w:rPr>
        <w:t>Shops, except convenience shopping, may be permitted up to second floor</w:t>
      </w:r>
      <w:r>
        <w:rPr>
          <w:sz w:val="24"/>
        </w:rPr>
        <w:t> with</w:t>
      </w:r>
      <w:r>
        <w:rPr>
          <w:sz w:val="24"/>
        </w:rPr>
        <w:t> separate</w:t>
      </w:r>
      <w:r>
        <w:rPr>
          <w:sz w:val="24"/>
        </w:rPr>
        <w:t> access</w:t>
      </w:r>
      <w:r>
        <w:rPr>
          <w:sz w:val="24"/>
        </w:rPr>
        <w:t> unless</w:t>
      </w:r>
      <w:r>
        <w:rPr>
          <w:sz w:val="24"/>
        </w:rPr>
        <w:t> otherwise</w:t>
      </w:r>
      <w:r>
        <w:rPr>
          <w:sz w:val="24"/>
        </w:rPr>
        <w:t> specified,</w:t>
      </w:r>
      <w:r>
        <w:rPr>
          <w:sz w:val="24"/>
        </w:rPr>
        <w:t> subject</w:t>
      </w:r>
      <w:r>
        <w:rPr>
          <w:sz w:val="24"/>
        </w:rPr>
        <w:t> to</w:t>
      </w:r>
      <w:r>
        <w:rPr>
          <w:sz w:val="24"/>
        </w:rPr>
        <w:t> road</w:t>
      </w:r>
      <w:r>
        <w:rPr>
          <w:spacing w:val="80"/>
          <w:sz w:val="24"/>
        </w:rPr>
        <w:t> </w:t>
      </w:r>
      <w:r>
        <w:rPr>
          <w:sz w:val="24"/>
        </w:rPr>
        <w:t>having</w:t>
      </w:r>
      <w:r>
        <w:rPr>
          <w:spacing w:val="40"/>
          <w:sz w:val="24"/>
        </w:rPr>
        <w:t> </w:t>
      </w:r>
      <w:r>
        <w:rPr>
          <w:sz w:val="24"/>
        </w:rPr>
        <w:t>width</w:t>
      </w:r>
      <w:r>
        <w:rPr>
          <w:spacing w:val="40"/>
          <w:sz w:val="24"/>
        </w:rPr>
        <w:t> </w:t>
      </w:r>
      <w:r>
        <w:rPr>
          <w:sz w:val="24"/>
        </w:rPr>
        <w:t>of</w:t>
      </w:r>
      <w:r>
        <w:rPr>
          <w:spacing w:val="40"/>
          <w:sz w:val="24"/>
        </w:rPr>
        <w:t> </w:t>
      </w:r>
      <w:r>
        <w:rPr>
          <w:sz w:val="24"/>
        </w:rPr>
        <w:t>18</w:t>
      </w:r>
      <w:r>
        <w:rPr>
          <w:spacing w:val="40"/>
          <w:sz w:val="24"/>
        </w:rPr>
        <w:t> </w:t>
      </w:r>
      <w:r>
        <w:rPr>
          <w:sz w:val="24"/>
        </w:rPr>
        <w:t>m</w:t>
      </w:r>
      <w:r>
        <w:rPr>
          <w:spacing w:val="40"/>
          <w:sz w:val="24"/>
        </w:rPr>
        <w:t> </w:t>
      </w:r>
      <w:r>
        <w:rPr>
          <w:sz w:val="24"/>
        </w:rPr>
        <w:t>or</w:t>
      </w:r>
      <w:r>
        <w:rPr>
          <w:spacing w:val="40"/>
          <w:sz w:val="24"/>
        </w:rPr>
        <w:t> </w:t>
      </w:r>
      <w:r>
        <w:rPr>
          <w:sz w:val="24"/>
        </w:rPr>
        <w:t>more,</w:t>
      </w:r>
      <w:r>
        <w:rPr>
          <w:spacing w:val="40"/>
          <w:sz w:val="24"/>
        </w:rPr>
        <w:t> </w:t>
      </w:r>
      <w:r>
        <w:rPr>
          <w:sz w:val="24"/>
        </w:rPr>
        <w:t>except</w:t>
      </w:r>
      <w:r>
        <w:rPr>
          <w:spacing w:val="40"/>
          <w:sz w:val="24"/>
        </w:rPr>
        <w:t> </w:t>
      </w:r>
      <w:r>
        <w:rPr>
          <w:sz w:val="24"/>
        </w:rPr>
        <w:t>as</w:t>
      </w:r>
      <w:r>
        <w:rPr>
          <w:spacing w:val="40"/>
          <w:sz w:val="24"/>
        </w:rPr>
        <w:t> </w:t>
      </w:r>
      <w:r>
        <w:rPr>
          <w:sz w:val="24"/>
        </w:rPr>
        <w:t>stated</w:t>
      </w:r>
      <w:r>
        <w:rPr>
          <w:spacing w:val="40"/>
          <w:sz w:val="24"/>
        </w:rPr>
        <w:t> </w:t>
      </w:r>
      <w:r>
        <w:rPr>
          <w:sz w:val="24"/>
        </w:rPr>
        <w:t>in</w:t>
      </w:r>
      <w:r>
        <w:rPr>
          <w:spacing w:val="40"/>
          <w:sz w:val="24"/>
        </w:rPr>
        <w:t> </w:t>
      </w:r>
      <w:r>
        <w:rPr>
          <w:sz w:val="24"/>
        </w:rPr>
        <w:t>condition</w:t>
      </w:r>
      <w:r>
        <w:rPr>
          <w:spacing w:val="40"/>
          <w:sz w:val="24"/>
        </w:rPr>
        <w:t> </w:t>
      </w:r>
      <w:r>
        <w:rPr>
          <w:sz w:val="24"/>
        </w:rPr>
        <w:t>no</w:t>
      </w:r>
      <w:r>
        <w:rPr>
          <w:spacing w:val="40"/>
          <w:sz w:val="24"/>
        </w:rPr>
        <w:t> </w:t>
      </w:r>
      <w:r>
        <w:rPr>
          <w:sz w:val="24"/>
        </w:rPr>
        <w:t>17</w:t>
      </w:r>
      <w:r>
        <w:rPr>
          <w:spacing w:val="40"/>
          <w:sz w:val="24"/>
        </w:rPr>
        <w:t> </w:t>
      </w:r>
      <w:r>
        <w:rPr>
          <w:sz w:val="24"/>
        </w:rPr>
        <w:t>of Table B.</w:t>
      </w:r>
    </w:p>
    <w:p>
      <w:pPr>
        <w:pStyle w:val="ListParagraph"/>
        <w:numPr>
          <w:ilvl w:val="0"/>
          <w:numId w:val="227"/>
        </w:numPr>
        <w:tabs>
          <w:tab w:pos="1849" w:val="left" w:leader="none"/>
        </w:tabs>
        <w:spacing w:line="240" w:lineRule="auto" w:before="0" w:after="0"/>
        <w:ind w:left="1433" w:right="800" w:firstLine="0"/>
        <w:jc w:val="both"/>
        <w:rPr>
          <w:sz w:val="24"/>
        </w:rPr>
      </w:pPr>
      <w:r>
        <w:rPr>
          <w:sz w:val="24"/>
        </w:rPr>
        <w:t>Motive</w:t>
      </w:r>
      <w:r>
        <w:rPr>
          <w:spacing w:val="40"/>
          <w:sz w:val="24"/>
        </w:rPr>
        <w:t> </w:t>
      </w:r>
      <w:r>
        <w:rPr>
          <w:sz w:val="24"/>
        </w:rPr>
        <w:t>power,</w:t>
      </w:r>
      <w:r>
        <w:rPr>
          <w:spacing w:val="40"/>
          <w:sz w:val="24"/>
        </w:rPr>
        <w:t> </w:t>
      </w:r>
      <w:r>
        <w:rPr>
          <w:sz w:val="24"/>
        </w:rPr>
        <w:t>no</w:t>
      </w:r>
      <w:r>
        <w:rPr>
          <w:spacing w:val="40"/>
          <w:sz w:val="24"/>
        </w:rPr>
        <w:t> </w:t>
      </w:r>
      <w:r>
        <w:rPr>
          <w:sz w:val="24"/>
        </w:rPr>
        <w:t>of</w:t>
      </w:r>
      <w:r>
        <w:rPr>
          <w:spacing w:val="40"/>
          <w:sz w:val="24"/>
        </w:rPr>
        <w:t> </w:t>
      </w:r>
      <w:r>
        <w:rPr>
          <w:sz w:val="24"/>
        </w:rPr>
        <w:t>persons</w:t>
      </w:r>
      <w:r>
        <w:rPr>
          <w:spacing w:val="40"/>
          <w:sz w:val="24"/>
        </w:rPr>
        <w:t> </w:t>
      </w:r>
      <w:r>
        <w:rPr>
          <w:sz w:val="24"/>
        </w:rPr>
        <w:t>working</w:t>
      </w:r>
      <w:r>
        <w:rPr>
          <w:spacing w:val="40"/>
          <w:sz w:val="24"/>
        </w:rPr>
        <w:t> </w:t>
      </w:r>
      <w:r>
        <w:rPr>
          <w:sz w:val="24"/>
        </w:rPr>
        <w:t>in</w:t>
      </w:r>
      <w:r>
        <w:rPr>
          <w:spacing w:val="40"/>
          <w:sz w:val="24"/>
        </w:rPr>
        <w:t> </w:t>
      </w:r>
      <w:r>
        <w:rPr>
          <w:sz w:val="24"/>
        </w:rPr>
        <w:t>shops</w:t>
      </w:r>
      <w:r>
        <w:rPr>
          <w:spacing w:val="40"/>
          <w:sz w:val="24"/>
        </w:rPr>
        <w:t> </w:t>
      </w:r>
      <w:r>
        <w:rPr>
          <w:sz w:val="24"/>
        </w:rPr>
        <w:t>shall</w:t>
      </w:r>
      <w:r>
        <w:rPr>
          <w:spacing w:val="40"/>
          <w:sz w:val="24"/>
        </w:rPr>
        <w:t> </w:t>
      </w:r>
      <w:r>
        <w:rPr>
          <w:sz w:val="24"/>
        </w:rPr>
        <w:t>be</w:t>
      </w:r>
      <w:r>
        <w:rPr>
          <w:spacing w:val="40"/>
          <w:sz w:val="24"/>
        </w:rPr>
        <w:t> </w:t>
      </w:r>
      <w:r>
        <w:rPr>
          <w:sz w:val="24"/>
        </w:rPr>
        <w:t>such</w:t>
      </w:r>
      <w:r>
        <w:rPr>
          <w:spacing w:val="40"/>
          <w:sz w:val="24"/>
        </w:rPr>
        <w:t> </w:t>
      </w:r>
      <w:r>
        <w:rPr>
          <w:sz w:val="24"/>
        </w:rPr>
        <w:t>that</w:t>
      </w:r>
      <w:r>
        <w:rPr>
          <w:spacing w:val="40"/>
          <w:sz w:val="24"/>
        </w:rPr>
        <w:t> </w:t>
      </w:r>
      <w:r>
        <w:rPr>
          <w:sz w:val="24"/>
        </w:rPr>
        <w:t>it shall</w:t>
      </w:r>
      <w:r>
        <w:rPr>
          <w:spacing w:val="40"/>
          <w:sz w:val="24"/>
        </w:rPr>
        <w:t> </w:t>
      </w:r>
      <w:r>
        <w:rPr>
          <w:sz w:val="24"/>
        </w:rPr>
        <w:t>not</w:t>
      </w:r>
      <w:r>
        <w:rPr>
          <w:spacing w:val="40"/>
          <w:sz w:val="24"/>
        </w:rPr>
        <w:t> </w:t>
      </w:r>
      <w:r>
        <w:rPr>
          <w:sz w:val="24"/>
        </w:rPr>
        <w:t>attract</w:t>
      </w:r>
      <w:r>
        <w:rPr>
          <w:spacing w:val="40"/>
          <w:sz w:val="24"/>
        </w:rPr>
        <w:t> </w:t>
      </w:r>
      <w:r>
        <w:rPr>
          <w:sz w:val="24"/>
        </w:rPr>
        <w:t>provisions</w:t>
      </w:r>
      <w:r>
        <w:rPr>
          <w:spacing w:val="40"/>
          <w:sz w:val="24"/>
        </w:rPr>
        <w:t> </w:t>
      </w:r>
      <w:r>
        <w:rPr>
          <w:sz w:val="24"/>
        </w:rPr>
        <w:t>of</w:t>
      </w:r>
      <w:r>
        <w:rPr>
          <w:spacing w:val="40"/>
          <w:sz w:val="24"/>
        </w:rPr>
        <w:t> </w:t>
      </w:r>
      <w:r>
        <w:rPr>
          <w:sz w:val="24"/>
        </w:rPr>
        <w:t>Factory</w:t>
      </w:r>
      <w:r>
        <w:rPr>
          <w:spacing w:val="40"/>
          <w:sz w:val="24"/>
        </w:rPr>
        <w:t> </w:t>
      </w:r>
      <w:r>
        <w:rPr>
          <w:sz w:val="24"/>
        </w:rPr>
        <w:t>Act</w:t>
      </w:r>
    </w:p>
    <w:p>
      <w:pPr>
        <w:pStyle w:val="ListParagraph"/>
        <w:numPr>
          <w:ilvl w:val="0"/>
          <w:numId w:val="227"/>
        </w:numPr>
        <w:tabs>
          <w:tab w:pos="2210" w:val="left" w:leader="none"/>
        </w:tabs>
        <w:spacing w:line="240" w:lineRule="auto" w:before="0" w:after="0"/>
        <w:ind w:left="1433" w:right="797" w:firstLine="0"/>
        <w:jc w:val="both"/>
        <w:rPr>
          <w:sz w:val="24"/>
        </w:rPr>
      </w:pPr>
      <w:r>
        <w:rPr>
          <w:sz w:val="24"/>
        </w:rPr>
        <w:t>Power</w:t>
      </w:r>
      <w:r>
        <w:rPr>
          <w:spacing w:val="40"/>
          <w:sz w:val="24"/>
        </w:rPr>
        <w:t> </w:t>
      </w:r>
      <w:r>
        <w:rPr>
          <w:sz w:val="24"/>
        </w:rPr>
        <w:t>may</w:t>
      </w:r>
      <w:r>
        <w:rPr>
          <w:spacing w:val="40"/>
          <w:sz w:val="24"/>
        </w:rPr>
        <w:t> </w:t>
      </w:r>
      <w:r>
        <w:rPr>
          <w:sz w:val="24"/>
        </w:rPr>
        <w:t>be</w:t>
      </w:r>
      <w:r>
        <w:rPr>
          <w:spacing w:val="40"/>
          <w:sz w:val="24"/>
        </w:rPr>
        <w:t> </w:t>
      </w:r>
      <w:r>
        <w:rPr>
          <w:sz w:val="24"/>
        </w:rPr>
        <w:t>discontinued</w:t>
      </w:r>
      <w:r>
        <w:rPr>
          <w:spacing w:val="40"/>
          <w:sz w:val="24"/>
        </w:rPr>
        <w:t> </w:t>
      </w:r>
      <w:r>
        <w:rPr>
          <w:sz w:val="24"/>
        </w:rPr>
        <w:t>if</w:t>
      </w:r>
      <w:r>
        <w:rPr>
          <w:spacing w:val="40"/>
          <w:sz w:val="24"/>
        </w:rPr>
        <w:t> </w:t>
      </w:r>
      <w:r>
        <w:rPr>
          <w:sz w:val="24"/>
        </w:rPr>
        <w:t>the</w:t>
      </w:r>
      <w:r>
        <w:rPr>
          <w:spacing w:val="40"/>
          <w:sz w:val="24"/>
        </w:rPr>
        <w:t> </w:t>
      </w:r>
      <w:r>
        <w:rPr>
          <w:sz w:val="24"/>
        </w:rPr>
        <w:t>Commissioner</w:t>
      </w:r>
      <w:r>
        <w:rPr>
          <w:spacing w:val="40"/>
          <w:sz w:val="24"/>
        </w:rPr>
        <w:t> </w:t>
      </w:r>
      <w:r>
        <w:rPr>
          <w:sz w:val="24"/>
        </w:rPr>
        <w:t>is</w:t>
      </w:r>
      <w:r>
        <w:rPr>
          <w:spacing w:val="40"/>
          <w:sz w:val="24"/>
        </w:rPr>
        <w:t> </w:t>
      </w:r>
      <w:r>
        <w:rPr>
          <w:sz w:val="24"/>
        </w:rPr>
        <w:t>satisfied</w:t>
      </w:r>
      <w:r>
        <w:rPr>
          <w:spacing w:val="40"/>
          <w:sz w:val="24"/>
        </w:rPr>
        <w:t> </w:t>
      </w:r>
      <w:r>
        <w:rPr>
          <w:sz w:val="24"/>
        </w:rPr>
        <w:t>that the</w:t>
      </w:r>
      <w:r>
        <w:rPr>
          <w:spacing w:val="40"/>
          <w:sz w:val="24"/>
        </w:rPr>
        <w:t> </w:t>
      </w:r>
      <w:r>
        <w:rPr>
          <w:sz w:val="24"/>
        </w:rPr>
        <w:t>particular</w:t>
      </w:r>
      <w:r>
        <w:rPr>
          <w:spacing w:val="40"/>
          <w:sz w:val="24"/>
        </w:rPr>
        <w:t> </w:t>
      </w:r>
      <w:r>
        <w:rPr>
          <w:sz w:val="24"/>
        </w:rPr>
        <w:t>use</w:t>
      </w:r>
      <w:r>
        <w:rPr>
          <w:spacing w:val="40"/>
          <w:sz w:val="24"/>
        </w:rPr>
        <w:t> </w:t>
      </w:r>
      <w:r>
        <w:rPr>
          <w:sz w:val="24"/>
        </w:rPr>
        <w:t>is</w:t>
      </w:r>
      <w:r>
        <w:rPr>
          <w:spacing w:val="40"/>
          <w:sz w:val="24"/>
        </w:rPr>
        <w:t> </w:t>
      </w:r>
      <w:r>
        <w:rPr>
          <w:sz w:val="24"/>
        </w:rPr>
        <w:t>a</w:t>
      </w:r>
      <w:r>
        <w:rPr>
          <w:spacing w:val="40"/>
          <w:sz w:val="24"/>
        </w:rPr>
        <w:t> </w:t>
      </w:r>
      <w:r>
        <w:rPr>
          <w:sz w:val="24"/>
        </w:rPr>
        <w:t>nuisance</w:t>
      </w:r>
      <w:r>
        <w:rPr>
          <w:spacing w:val="40"/>
          <w:sz w:val="24"/>
        </w:rPr>
        <w:t> </w:t>
      </w:r>
      <w:r>
        <w:rPr>
          <w:sz w:val="24"/>
        </w:rPr>
        <w:t>to</w:t>
      </w:r>
      <w:r>
        <w:rPr>
          <w:spacing w:val="40"/>
          <w:sz w:val="24"/>
        </w:rPr>
        <w:t> </w:t>
      </w:r>
      <w:r>
        <w:rPr>
          <w:sz w:val="24"/>
        </w:rPr>
        <w:t>the</w:t>
      </w:r>
      <w:r>
        <w:rPr>
          <w:spacing w:val="40"/>
          <w:sz w:val="24"/>
        </w:rPr>
        <w:t> </w:t>
      </w:r>
      <w:r>
        <w:rPr>
          <w:sz w:val="24"/>
        </w:rPr>
        <w:t>residents.</w:t>
      </w:r>
    </w:p>
    <w:p>
      <w:pPr>
        <w:pStyle w:val="ListParagraph"/>
        <w:numPr>
          <w:ilvl w:val="0"/>
          <w:numId w:val="218"/>
        </w:numPr>
        <w:tabs>
          <w:tab w:pos="1752" w:val="left" w:leader="none"/>
        </w:tabs>
        <w:spacing w:line="240" w:lineRule="auto" w:before="281" w:after="0"/>
        <w:ind w:left="1433" w:right="864" w:firstLine="0"/>
        <w:jc w:val="both"/>
        <w:rPr>
          <w:sz w:val="24"/>
        </w:rPr>
      </w:pPr>
      <w:r>
        <w:rPr>
          <w:sz w:val="24"/>
        </w:rPr>
        <w:t>Other uses in the Industries Zone </w:t>
      </w:r>
      <w:r>
        <w:rPr>
          <w:spacing w:val="10"/>
          <w:sz w:val="24"/>
        </w:rPr>
        <w:t>(I-</w:t>
      </w:r>
      <w:r>
        <w:rPr>
          <w:sz w:val="24"/>
        </w:rPr>
        <w:t>Zone): If a plot in the Industrial Zone </w:t>
      </w:r>
      <w:r>
        <w:rPr>
          <w:spacing w:val="10"/>
          <w:sz w:val="24"/>
        </w:rPr>
        <w:t>(I-</w:t>
      </w:r>
      <w:r>
        <w:rPr>
          <w:sz w:val="24"/>
        </w:rPr>
        <w:t>Zone) becomes </w:t>
      </w:r>
      <w:r>
        <w:rPr>
          <w:spacing w:val="11"/>
          <w:sz w:val="24"/>
        </w:rPr>
        <w:t>un-</w:t>
      </w:r>
      <w:r>
        <w:rPr>
          <w:sz w:val="24"/>
        </w:rPr>
        <w:t>buildable for industrial use because of restrictions in the Industrial Location Policy of GoM or restrictions regarding segregating distances under these Regulations, the </w:t>
      </w:r>
      <w:r>
        <w:rPr>
          <w:spacing w:val="9"/>
          <w:sz w:val="24"/>
        </w:rPr>
        <w:t>following </w:t>
      </w:r>
      <w:r>
        <w:rPr>
          <w:sz w:val="24"/>
        </w:rPr>
        <w:t>uses may be permitted on such plot without maintaining the required segregation </w:t>
      </w:r>
      <w:r>
        <w:rPr>
          <w:spacing w:val="9"/>
          <w:sz w:val="24"/>
        </w:rPr>
        <w:t>distances:</w:t>
      </w:r>
    </w:p>
    <w:p>
      <w:pPr>
        <w:pStyle w:val="ListParagraph"/>
        <w:spacing w:after="0" w:line="240" w:lineRule="auto"/>
        <w:jc w:val="both"/>
        <w:rPr>
          <w:sz w:val="24"/>
        </w:rPr>
        <w:sectPr>
          <w:pgSz w:w="11910" w:h="16840"/>
          <w:pgMar w:header="1058" w:footer="1088" w:top="1500" w:bottom="1280" w:left="360" w:right="360"/>
        </w:sectPr>
      </w:pPr>
    </w:p>
    <w:p>
      <w:pPr>
        <w:pStyle w:val="ListParagraph"/>
        <w:numPr>
          <w:ilvl w:val="1"/>
          <w:numId w:val="218"/>
        </w:numPr>
        <w:tabs>
          <w:tab w:pos="1766" w:val="left" w:leader="none"/>
        </w:tabs>
        <w:spacing w:line="240" w:lineRule="auto" w:before="255" w:after="0"/>
        <w:ind w:left="1766" w:right="0" w:hanging="333"/>
        <w:jc w:val="left"/>
        <w:rPr>
          <w:rFonts w:ascii="Arial"/>
          <w:color w:val="221F1F"/>
          <w:sz w:val="22"/>
        </w:rPr>
      </w:pPr>
      <w:r>
        <w:rPr>
          <w:sz w:val="24"/>
        </w:rPr>
        <w:t>Fuel-stations</w:t>
      </w:r>
      <w:r>
        <w:rPr>
          <w:spacing w:val="58"/>
          <w:w w:val="150"/>
          <w:sz w:val="24"/>
        </w:rPr>
        <w:t> </w:t>
      </w:r>
      <w:r>
        <w:rPr>
          <w:sz w:val="24"/>
        </w:rPr>
        <w:t>and</w:t>
      </w:r>
      <w:r>
        <w:rPr>
          <w:spacing w:val="59"/>
          <w:w w:val="150"/>
          <w:sz w:val="24"/>
        </w:rPr>
        <w:t> </w:t>
      </w:r>
      <w:r>
        <w:rPr>
          <w:sz w:val="24"/>
        </w:rPr>
        <w:t>service</w:t>
      </w:r>
      <w:r>
        <w:rPr>
          <w:spacing w:val="59"/>
          <w:w w:val="150"/>
          <w:sz w:val="24"/>
        </w:rPr>
        <w:t> </w:t>
      </w:r>
      <w:r>
        <w:rPr>
          <w:sz w:val="24"/>
        </w:rPr>
        <w:t>stations/motor</w:t>
      </w:r>
      <w:r>
        <w:rPr>
          <w:spacing w:val="54"/>
          <w:w w:val="150"/>
          <w:sz w:val="24"/>
        </w:rPr>
        <w:t> </w:t>
      </w:r>
      <w:r>
        <w:rPr>
          <w:spacing w:val="-2"/>
          <w:sz w:val="24"/>
        </w:rPr>
        <w:t>garage;</w:t>
      </w:r>
    </w:p>
    <w:p>
      <w:pPr>
        <w:pStyle w:val="ListParagraph"/>
        <w:numPr>
          <w:ilvl w:val="1"/>
          <w:numId w:val="218"/>
        </w:numPr>
        <w:tabs>
          <w:tab w:pos="1764" w:val="left" w:leader="none"/>
        </w:tabs>
        <w:spacing w:line="281" w:lineRule="exact" w:before="1" w:after="0"/>
        <w:ind w:left="1764" w:right="0" w:hanging="331"/>
        <w:jc w:val="left"/>
        <w:rPr>
          <w:rFonts w:ascii="Arial"/>
          <w:color w:val="221F1F"/>
          <w:sz w:val="22"/>
        </w:rPr>
      </w:pPr>
      <w:r>
        <w:rPr>
          <w:sz w:val="24"/>
        </w:rPr>
        <w:t>Parking</w:t>
      </w:r>
      <w:r>
        <w:rPr>
          <w:spacing w:val="61"/>
          <w:w w:val="150"/>
          <w:sz w:val="24"/>
        </w:rPr>
        <w:t> </w:t>
      </w:r>
      <w:r>
        <w:rPr>
          <w:sz w:val="24"/>
        </w:rPr>
        <w:t>lots/Parking</w:t>
      </w:r>
      <w:r>
        <w:rPr>
          <w:spacing w:val="59"/>
          <w:w w:val="150"/>
          <w:sz w:val="24"/>
        </w:rPr>
        <w:t> </w:t>
      </w:r>
      <w:r>
        <w:rPr>
          <w:spacing w:val="7"/>
          <w:sz w:val="24"/>
        </w:rPr>
        <w:t>garages;</w:t>
      </w:r>
    </w:p>
    <w:p>
      <w:pPr>
        <w:pStyle w:val="ListParagraph"/>
        <w:numPr>
          <w:ilvl w:val="1"/>
          <w:numId w:val="218"/>
        </w:numPr>
        <w:tabs>
          <w:tab w:pos="1763" w:val="left" w:leader="none"/>
        </w:tabs>
        <w:spacing w:line="281" w:lineRule="exact" w:before="0" w:after="0"/>
        <w:ind w:left="1763" w:right="0" w:hanging="330"/>
        <w:jc w:val="left"/>
        <w:rPr>
          <w:rFonts w:ascii="Arial"/>
          <w:color w:val="221F1F"/>
          <w:sz w:val="22"/>
        </w:rPr>
      </w:pPr>
      <w:r>
        <w:rPr>
          <w:sz w:val="24"/>
        </w:rPr>
        <w:t>Electric</w:t>
      </w:r>
      <w:r>
        <w:rPr>
          <w:spacing w:val="59"/>
          <w:w w:val="150"/>
          <w:sz w:val="24"/>
        </w:rPr>
        <w:t> </w:t>
      </w:r>
      <w:r>
        <w:rPr>
          <w:sz w:val="24"/>
        </w:rPr>
        <w:t>sub-stations,</w:t>
      </w:r>
      <w:r>
        <w:rPr>
          <w:spacing w:val="54"/>
          <w:w w:val="150"/>
          <w:sz w:val="24"/>
        </w:rPr>
        <w:t> </w:t>
      </w:r>
      <w:r>
        <w:rPr>
          <w:sz w:val="24"/>
        </w:rPr>
        <w:t>Distribution</w:t>
      </w:r>
      <w:r>
        <w:rPr>
          <w:spacing w:val="54"/>
          <w:w w:val="150"/>
          <w:sz w:val="24"/>
        </w:rPr>
        <w:t> </w:t>
      </w:r>
      <w:r>
        <w:rPr>
          <w:sz w:val="24"/>
        </w:rPr>
        <w:t>Sub</w:t>
      </w:r>
      <w:r>
        <w:rPr>
          <w:spacing w:val="54"/>
          <w:w w:val="150"/>
          <w:sz w:val="24"/>
        </w:rPr>
        <w:t> </w:t>
      </w:r>
      <w:r>
        <w:rPr>
          <w:spacing w:val="-2"/>
          <w:sz w:val="24"/>
        </w:rPr>
        <w:t>Station;</w:t>
      </w:r>
    </w:p>
    <w:p>
      <w:pPr>
        <w:pStyle w:val="ListParagraph"/>
        <w:numPr>
          <w:ilvl w:val="1"/>
          <w:numId w:val="218"/>
        </w:numPr>
        <w:tabs>
          <w:tab w:pos="1765" w:val="left" w:leader="none"/>
        </w:tabs>
        <w:spacing w:line="281" w:lineRule="exact" w:before="2" w:after="0"/>
        <w:ind w:left="1765" w:right="0" w:hanging="332"/>
        <w:jc w:val="left"/>
        <w:rPr>
          <w:rFonts w:ascii="Arial"/>
          <w:color w:val="221F1F"/>
          <w:sz w:val="22"/>
        </w:rPr>
      </w:pPr>
      <w:r>
        <w:rPr>
          <w:sz w:val="24"/>
        </w:rPr>
        <w:t>Offices</w:t>
      </w:r>
      <w:r>
        <w:rPr>
          <w:spacing w:val="61"/>
          <w:sz w:val="24"/>
        </w:rPr>
        <w:t> </w:t>
      </w:r>
      <w:r>
        <w:rPr>
          <w:sz w:val="24"/>
        </w:rPr>
        <w:t>for</w:t>
      </w:r>
      <w:r>
        <w:rPr>
          <w:spacing w:val="61"/>
          <w:sz w:val="24"/>
        </w:rPr>
        <w:t> </w:t>
      </w:r>
      <w:r>
        <w:rPr>
          <w:sz w:val="24"/>
        </w:rPr>
        <w:t>public</w:t>
      </w:r>
      <w:r>
        <w:rPr>
          <w:spacing w:val="61"/>
          <w:sz w:val="24"/>
        </w:rPr>
        <w:t> </w:t>
      </w:r>
      <w:r>
        <w:rPr>
          <w:sz w:val="24"/>
        </w:rPr>
        <w:t>utility</w:t>
      </w:r>
      <w:r>
        <w:rPr>
          <w:spacing w:val="61"/>
          <w:sz w:val="24"/>
        </w:rPr>
        <w:t> </w:t>
      </w:r>
      <w:r>
        <w:rPr>
          <w:sz w:val="24"/>
        </w:rPr>
        <w:t>concerns</w:t>
      </w:r>
      <w:r>
        <w:rPr>
          <w:spacing w:val="61"/>
          <w:sz w:val="24"/>
        </w:rPr>
        <w:t> </w:t>
      </w:r>
      <w:r>
        <w:rPr>
          <w:sz w:val="24"/>
        </w:rPr>
        <w:t>or</w:t>
      </w:r>
      <w:r>
        <w:rPr>
          <w:spacing w:val="62"/>
          <w:sz w:val="24"/>
        </w:rPr>
        <w:t> </w:t>
      </w:r>
      <w:r>
        <w:rPr>
          <w:spacing w:val="7"/>
          <w:sz w:val="24"/>
        </w:rPr>
        <w:t>organizations</w:t>
      </w:r>
    </w:p>
    <w:p>
      <w:pPr>
        <w:pStyle w:val="ListParagraph"/>
        <w:numPr>
          <w:ilvl w:val="1"/>
          <w:numId w:val="218"/>
        </w:numPr>
        <w:tabs>
          <w:tab w:pos="1765" w:val="left" w:leader="none"/>
          <w:tab w:pos="2825" w:val="left" w:leader="none"/>
          <w:tab w:pos="4256" w:val="left" w:leader="none"/>
          <w:tab w:pos="6118" w:val="left" w:leader="none"/>
          <w:tab w:pos="6921" w:val="left" w:leader="none"/>
          <w:tab w:pos="9519" w:val="left" w:leader="none"/>
        </w:tabs>
        <w:spacing w:line="240" w:lineRule="auto" w:before="0" w:after="0"/>
        <w:ind w:left="1433" w:right="785" w:firstLine="0"/>
        <w:jc w:val="left"/>
        <w:rPr>
          <w:rFonts w:ascii="Arial"/>
          <w:color w:val="221F1F"/>
          <w:sz w:val="22"/>
        </w:rPr>
      </w:pPr>
      <w:r>
        <w:rPr>
          <w:spacing w:val="-2"/>
          <w:sz w:val="24"/>
        </w:rPr>
        <w:t>Police</w:t>
      </w:r>
      <w:r>
        <w:rPr>
          <w:sz w:val="24"/>
        </w:rPr>
        <w:tab/>
      </w:r>
      <w:r>
        <w:rPr>
          <w:spacing w:val="-2"/>
          <w:sz w:val="24"/>
        </w:rPr>
        <w:t>stations,</w:t>
      </w:r>
      <w:r>
        <w:rPr>
          <w:sz w:val="24"/>
        </w:rPr>
        <w:tab/>
      </w:r>
      <w:r>
        <w:rPr>
          <w:spacing w:val="-2"/>
          <w:sz w:val="24"/>
        </w:rPr>
        <w:t>Government</w:t>
      </w:r>
      <w:r>
        <w:rPr>
          <w:sz w:val="24"/>
        </w:rPr>
        <w:tab/>
      </w:r>
      <w:r>
        <w:rPr>
          <w:spacing w:val="-4"/>
          <w:sz w:val="24"/>
        </w:rPr>
        <w:t>and</w:t>
      </w:r>
      <w:r>
        <w:rPr>
          <w:sz w:val="24"/>
        </w:rPr>
        <w:tab/>
      </w:r>
      <w:r>
        <w:rPr>
          <w:spacing w:val="9"/>
          <w:sz w:val="24"/>
        </w:rPr>
        <w:t>Semi-</w:t>
      </w:r>
      <w:r>
        <w:rPr>
          <w:sz w:val="24"/>
        </w:rPr>
        <w:t>Government</w:t>
        <w:tab/>
      </w:r>
      <w:r>
        <w:rPr>
          <w:spacing w:val="-2"/>
          <w:sz w:val="24"/>
        </w:rPr>
        <w:t>offices, </w:t>
      </w:r>
      <w:r>
        <w:rPr>
          <w:sz w:val="24"/>
        </w:rPr>
        <w:t>municipal</w:t>
      </w:r>
      <w:r>
        <w:rPr>
          <w:spacing w:val="80"/>
          <w:sz w:val="24"/>
        </w:rPr>
        <w:t> </w:t>
      </w:r>
      <w:r>
        <w:rPr>
          <w:spacing w:val="9"/>
          <w:sz w:val="24"/>
        </w:rPr>
        <w:t>sub-</w:t>
      </w:r>
      <w:r>
        <w:rPr>
          <w:sz w:val="24"/>
        </w:rPr>
        <w:t>offices,</w:t>
      </w:r>
      <w:r>
        <w:rPr>
          <w:spacing w:val="80"/>
          <w:sz w:val="24"/>
        </w:rPr>
        <w:t> </w:t>
      </w:r>
      <w:r>
        <w:rPr>
          <w:sz w:val="24"/>
        </w:rPr>
        <w:t>fire</w:t>
      </w:r>
      <w:r>
        <w:rPr>
          <w:spacing w:val="80"/>
          <w:sz w:val="24"/>
        </w:rPr>
        <w:t> </w:t>
      </w:r>
      <w:r>
        <w:rPr>
          <w:sz w:val="24"/>
        </w:rPr>
        <w:t>stations</w:t>
      </w:r>
      <w:r>
        <w:rPr>
          <w:spacing w:val="80"/>
          <w:sz w:val="24"/>
        </w:rPr>
        <w:t> </w:t>
      </w:r>
      <w:r>
        <w:rPr>
          <w:sz w:val="24"/>
        </w:rPr>
        <w:t>and</w:t>
      </w:r>
      <w:r>
        <w:rPr>
          <w:spacing w:val="80"/>
          <w:sz w:val="24"/>
        </w:rPr>
        <w:t> </w:t>
      </w:r>
      <w:r>
        <w:rPr>
          <w:sz w:val="24"/>
        </w:rPr>
        <w:t>posts</w:t>
      </w:r>
      <w:r>
        <w:rPr>
          <w:spacing w:val="80"/>
          <w:sz w:val="24"/>
        </w:rPr>
        <w:t> </w:t>
      </w:r>
      <w:r>
        <w:rPr>
          <w:sz w:val="24"/>
        </w:rPr>
        <w:t>and</w:t>
      </w:r>
      <w:r>
        <w:rPr>
          <w:spacing w:val="80"/>
          <w:sz w:val="24"/>
        </w:rPr>
        <w:t> </w:t>
      </w:r>
      <w:r>
        <w:rPr>
          <w:sz w:val="24"/>
        </w:rPr>
        <w:t>telegraph</w:t>
      </w:r>
      <w:r>
        <w:rPr>
          <w:spacing w:val="80"/>
          <w:sz w:val="24"/>
        </w:rPr>
        <w:t> </w:t>
      </w:r>
      <w:r>
        <w:rPr>
          <w:sz w:val="24"/>
        </w:rPr>
        <w:t>offices.</w:t>
      </w:r>
    </w:p>
    <w:p>
      <w:pPr>
        <w:pStyle w:val="ListParagraph"/>
        <w:numPr>
          <w:ilvl w:val="1"/>
          <w:numId w:val="218"/>
        </w:numPr>
        <w:tabs>
          <w:tab w:pos="1765" w:val="left" w:leader="none"/>
        </w:tabs>
        <w:spacing w:line="281" w:lineRule="exact" w:before="0" w:after="0"/>
        <w:ind w:left="1765" w:right="0" w:hanging="332"/>
        <w:jc w:val="left"/>
        <w:rPr>
          <w:rFonts w:ascii="Arial"/>
          <w:color w:val="221F1F"/>
          <w:sz w:val="22"/>
        </w:rPr>
      </w:pPr>
      <w:r>
        <w:rPr>
          <w:spacing w:val="7"/>
          <w:sz w:val="24"/>
        </w:rPr>
        <w:t>Warehouses.</w:t>
      </w:r>
    </w:p>
    <w:p>
      <w:pPr>
        <w:pStyle w:val="ListParagraph"/>
        <w:numPr>
          <w:ilvl w:val="1"/>
          <w:numId w:val="218"/>
        </w:numPr>
        <w:tabs>
          <w:tab w:pos="1901" w:val="left" w:leader="none"/>
        </w:tabs>
        <w:spacing w:line="240" w:lineRule="auto" w:before="0" w:after="0"/>
        <w:ind w:left="1433" w:right="6581" w:firstLine="0"/>
        <w:jc w:val="left"/>
        <w:rPr>
          <w:sz w:val="24"/>
        </w:rPr>
      </w:pPr>
      <w:r>
        <w:rPr>
          <w:sz w:val="24"/>
        </w:rPr>
        <w:t>Community </w:t>
      </w:r>
      <w:r>
        <w:rPr>
          <w:spacing w:val="9"/>
          <w:sz w:val="24"/>
        </w:rPr>
        <w:t>Facilities </w:t>
      </w:r>
      <w:r>
        <w:rPr>
          <w:sz w:val="24"/>
        </w:rPr>
        <w:t>viii Convenience </w:t>
      </w:r>
      <w:r>
        <w:rPr>
          <w:spacing w:val="9"/>
          <w:sz w:val="24"/>
        </w:rPr>
        <w:t>shops</w:t>
      </w:r>
    </w:p>
    <w:p>
      <w:pPr>
        <w:pStyle w:val="ListParagraph"/>
        <w:numPr>
          <w:ilvl w:val="0"/>
          <w:numId w:val="228"/>
        </w:numPr>
        <w:tabs>
          <w:tab w:pos="1829" w:val="left" w:leader="none"/>
        </w:tabs>
        <w:spacing w:line="281" w:lineRule="exact" w:before="0" w:after="0"/>
        <w:ind w:left="1829" w:right="0" w:hanging="396"/>
        <w:jc w:val="left"/>
        <w:rPr>
          <w:sz w:val="24"/>
        </w:rPr>
      </w:pPr>
      <w:r>
        <w:rPr>
          <w:sz w:val="24"/>
        </w:rPr>
        <w:t>Hotels</w:t>
      </w:r>
      <w:r>
        <w:rPr>
          <w:spacing w:val="55"/>
          <w:sz w:val="24"/>
        </w:rPr>
        <w:t> </w:t>
      </w:r>
      <w:r>
        <w:rPr>
          <w:sz w:val="24"/>
        </w:rPr>
        <w:t>with</w:t>
      </w:r>
      <w:r>
        <w:rPr>
          <w:spacing w:val="57"/>
          <w:sz w:val="24"/>
        </w:rPr>
        <w:t> </w:t>
      </w:r>
      <w:r>
        <w:rPr>
          <w:sz w:val="24"/>
        </w:rPr>
        <w:t>rooms</w:t>
      </w:r>
      <w:r>
        <w:rPr>
          <w:spacing w:val="55"/>
          <w:sz w:val="24"/>
        </w:rPr>
        <w:t> </w:t>
      </w:r>
      <w:r>
        <w:rPr>
          <w:sz w:val="24"/>
        </w:rPr>
        <w:t>not</w:t>
      </w:r>
      <w:r>
        <w:rPr>
          <w:spacing w:val="55"/>
          <w:sz w:val="24"/>
        </w:rPr>
        <w:t> </w:t>
      </w:r>
      <w:r>
        <w:rPr>
          <w:sz w:val="24"/>
        </w:rPr>
        <w:t>exceeding</w:t>
      </w:r>
      <w:r>
        <w:rPr>
          <w:spacing w:val="55"/>
          <w:sz w:val="24"/>
        </w:rPr>
        <w:t> </w:t>
      </w:r>
      <w:r>
        <w:rPr>
          <w:sz w:val="24"/>
        </w:rPr>
        <w:t>75</w:t>
      </w:r>
      <w:r>
        <w:rPr>
          <w:spacing w:val="56"/>
          <w:sz w:val="24"/>
        </w:rPr>
        <w:t> </w:t>
      </w:r>
      <w:r>
        <w:rPr>
          <w:spacing w:val="-4"/>
          <w:sz w:val="24"/>
        </w:rPr>
        <w:t>nos.</w:t>
      </w:r>
    </w:p>
    <w:p>
      <w:pPr>
        <w:pStyle w:val="ListParagraph"/>
        <w:numPr>
          <w:ilvl w:val="0"/>
          <w:numId w:val="228"/>
        </w:numPr>
        <w:tabs>
          <w:tab w:pos="1748" w:val="left" w:leader="none"/>
        </w:tabs>
        <w:spacing w:line="281" w:lineRule="exact" w:before="0" w:after="0"/>
        <w:ind w:left="1748" w:right="0" w:hanging="315"/>
        <w:jc w:val="left"/>
        <w:rPr>
          <w:sz w:val="24"/>
        </w:rPr>
      </w:pPr>
      <w:r>
        <w:rPr>
          <w:sz w:val="24"/>
        </w:rPr>
        <w:t>Branches</w:t>
      </w:r>
      <w:r>
        <w:rPr>
          <w:spacing w:val="56"/>
          <w:sz w:val="24"/>
        </w:rPr>
        <w:t> </w:t>
      </w:r>
      <w:r>
        <w:rPr>
          <w:sz w:val="24"/>
        </w:rPr>
        <w:t>of</w:t>
      </w:r>
      <w:r>
        <w:rPr>
          <w:spacing w:val="59"/>
          <w:sz w:val="24"/>
        </w:rPr>
        <w:t> </w:t>
      </w:r>
      <w:r>
        <w:rPr>
          <w:sz w:val="24"/>
        </w:rPr>
        <w:t>banks</w:t>
      </w:r>
      <w:r>
        <w:rPr>
          <w:spacing w:val="57"/>
          <w:sz w:val="24"/>
        </w:rPr>
        <w:t> </w:t>
      </w:r>
      <w:r>
        <w:rPr>
          <w:sz w:val="24"/>
        </w:rPr>
        <w:t>with</w:t>
      </w:r>
      <w:r>
        <w:rPr>
          <w:spacing w:val="56"/>
          <w:sz w:val="24"/>
        </w:rPr>
        <w:t> </w:t>
      </w:r>
      <w:r>
        <w:rPr>
          <w:sz w:val="24"/>
        </w:rPr>
        <w:t>safe</w:t>
      </w:r>
      <w:r>
        <w:rPr>
          <w:spacing w:val="57"/>
          <w:sz w:val="24"/>
        </w:rPr>
        <w:t> </w:t>
      </w:r>
      <w:r>
        <w:rPr>
          <w:sz w:val="24"/>
        </w:rPr>
        <w:t>deposit</w:t>
      </w:r>
      <w:r>
        <w:rPr>
          <w:spacing w:val="57"/>
          <w:sz w:val="24"/>
        </w:rPr>
        <w:t> </w:t>
      </w:r>
      <w:r>
        <w:rPr>
          <w:spacing w:val="-2"/>
          <w:sz w:val="24"/>
        </w:rPr>
        <w:t>vaults</w:t>
      </w:r>
    </w:p>
    <w:p>
      <w:pPr>
        <w:pStyle w:val="BodyText"/>
        <w:spacing w:before="1"/>
        <w:ind w:left="1433" w:right="1094"/>
        <w:jc w:val="left"/>
      </w:pPr>
      <w:r>
        <w:rPr/>
        <w:t>The</w:t>
      </w:r>
      <w:r>
        <w:rPr>
          <w:spacing w:val="40"/>
        </w:rPr>
        <w:t> </w:t>
      </w:r>
      <w:r>
        <w:rPr/>
        <w:t>Commissioner</w:t>
      </w:r>
      <w:r>
        <w:rPr>
          <w:spacing w:val="40"/>
        </w:rPr>
        <w:t> </w:t>
      </w:r>
      <w:r>
        <w:rPr/>
        <w:t>may</w:t>
      </w:r>
      <w:r>
        <w:rPr>
          <w:spacing w:val="40"/>
        </w:rPr>
        <w:t> </w:t>
      </w:r>
      <w:r>
        <w:rPr/>
        <w:t>alter,</w:t>
      </w:r>
      <w:r>
        <w:rPr>
          <w:spacing w:val="40"/>
        </w:rPr>
        <w:t> </w:t>
      </w:r>
      <w:r>
        <w:rPr/>
        <w:t>amend</w:t>
      </w:r>
      <w:r>
        <w:rPr>
          <w:spacing w:val="40"/>
        </w:rPr>
        <w:t> </w:t>
      </w:r>
      <w:r>
        <w:rPr/>
        <w:t>or</w:t>
      </w:r>
      <w:r>
        <w:rPr>
          <w:spacing w:val="40"/>
        </w:rPr>
        <w:t> </w:t>
      </w:r>
      <w:r>
        <w:rPr/>
        <w:t>add</w:t>
      </w:r>
      <w:r>
        <w:rPr>
          <w:spacing w:val="40"/>
        </w:rPr>
        <w:t> </w:t>
      </w:r>
      <w:r>
        <w:rPr/>
        <w:t>to</w:t>
      </w:r>
      <w:r>
        <w:rPr>
          <w:spacing w:val="40"/>
        </w:rPr>
        <w:t> </w:t>
      </w:r>
      <w:r>
        <w:rPr/>
        <w:t>the</w:t>
      </w:r>
      <w:r>
        <w:rPr>
          <w:spacing w:val="40"/>
        </w:rPr>
        <w:t> </w:t>
      </w:r>
      <w:r>
        <w:rPr/>
        <w:t>list</w:t>
      </w:r>
      <w:r>
        <w:rPr>
          <w:spacing w:val="40"/>
        </w:rPr>
        <w:t> </w:t>
      </w:r>
      <w:r>
        <w:rPr/>
        <w:t>of</w:t>
      </w:r>
      <w:r>
        <w:rPr>
          <w:spacing w:val="40"/>
        </w:rPr>
        <w:t> </w:t>
      </w:r>
      <w:r>
        <w:rPr/>
        <w:t>the</w:t>
      </w:r>
      <w:r>
        <w:rPr>
          <w:spacing w:val="40"/>
        </w:rPr>
        <w:t> </w:t>
      </w:r>
      <w:r>
        <w:rPr/>
        <w:t>above </w:t>
      </w:r>
      <w:r>
        <w:rPr>
          <w:spacing w:val="-2"/>
        </w:rPr>
        <w:t>uses.</w:t>
      </w:r>
    </w:p>
    <w:p>
      <w:pPr>
        <w:pStyle w:val="Heading5"/>
        <w:numPr>
          <w:ilvl w:val="2"/>
          <w:numId w:val="133"/>
        </w:numPr>
        <w:tabs>
          <w:tab w:pos="1949" w:val="left" w:leader="none"/>
        </w:tabs>
        <w:spacing w:line="240" w:lineRule="auto" w:before="239" w:after="0"/>
        <w:ind w:left="1949" w:right="0" w:hanging="516"/>
        <w:jc w:val="left"/>
      </w:pPr>
      <w:r>
        <w:rPr>
          <w:spacing w:val="-2"/>
        </w:rPr>
        <w:t>Exceptions</w:t>
      </w:r>
    </w:p>
    <w:p>
      <w:pPr>
        <w:pStyle w:val="BodyText"/>
        <w:spacing w:before="242"/>
        <w:ind w:left="1433" w:right="1697"/>
        <w:jc w:val="left"/>
      </w:pPr>
      <w:r>
        <w:rPr/>
        <w:t>In case of </w:t>
      </w:r>
      <w:r>
        <w:rPr>
          <w:spacing w:val="9"/>
        </w:rPr>
        <w:t>Residential/Commercial/Industrial </w:t>
      </w:r>
      <w:r>
        <w:rPr/>
        <w:t>Zone following</w:t>
      </w:r>
      <w:r>
        <w:rPr>
          <w:spacing w:val="40"/>
        </w:rPr>
        <w:t> </w:t>
      </w:r>
      <w:r>
        <w:rPr/>
        <w:t>exceptions</w:t>
      </w:r>
      <w:r>
        <w:rPr>
          <w:spacing w:val="40"/>
        </w:rPr>
        <w:t> </w:t>
      </w:r>
      <w:r>
        <w:rPr/>
        <w:t>shall</w:t>
      </w:r>
      <w:r>
        <w:rPr>
          <w:spacing w:val="40"/>
        </w:rPr>
        <w:t> </w:t>
      </w:r>
      <w:r>
        <w:rPr/>
        <w:t>apply</w:t>
      </w:r>
      <w:r>
        <w:rPr>
          <w:spacing w:val="40"/>
        </w:rPr>
        <w:t> </w:t>
      </w:r>
      <w:r>
        <w:rPr/>
        <w:t>to</w:t>
      </w:r>
      <w:r>
        <w:rPr>
          <w:spacing w:val="40"/>
        </w:rPr>
        <w:t> </w:t>
      </w:r>
      <w:r>
        <w:rPr/>
        <w:t>the</w:t>
      </w:r>
      <w:r>
        <w:rPr>
          <w:spacing w:val="40"/>
        </w:rPr>
        <w:t> </w:t>
      </w:r>
      <w:r>
        <w:rPr/>
        <w:t>permissible</w:t>
      </w:r>
      <w:r>
        <w:rPr>
          <w:spacing w:val="40"/>
        </w:rPr>
        <w:t> </w:t>
      </w:r>
      <w:r>
        <w:rPr/>
        <w:t>uses:1)</w:t>
      </w:r>
      <w:r>
        <w:rPr>
          <w:spacing w:val="40"/>
        </w:rPr>
        <w:t> </w:t>
      </w:r>
      <w:r>
        <w:rPr/>
        <w:t>Existing</w:t>
      </w:r>
      <w:r>
        <w:rPr>
          <w:spacing w:val="40"/>
        </w:rPr>
        <w:t> </w:t>
      </w:r>
      <w:r>
        <w:rPr/>
        <w:t>non-</w:t>
      </w:r>
      <w:r>
        <w:rPr>
          <w:spacing w:val="40"/>
        </w:rPr>
        <w:t> </w:t>
      </w:r>
      <w:r>
        <w:rPr/>
        <w:t>conforming</w:t>
      </w:r>
      <w:r>
        <w:rPr>
          <w:spacing w:val="40"/>
        </w:rPr>
        <w:t> </w:t>
      </w:r>
      <w:r>
        <w:rPr/>
        <w:t>uses</w:t>
      </w:r>
      <w:r>
        <w:rPr>
          <w:spacing w:val="40"/>
        </w:rPr>
        <w:t> </w:t>
      </w:r>
      <w:r>
        <w:rPr/>
        <w:t>to</w:t>
      </w:r>
      <w:r>
        <w:rPr>
          <w:spacing w:val="40"/>
        </w:rPr>
        <w:t> </w:t>
      </w:r>
      <w:r>
        <w:rPr/>
        <w:t>continue</w:t>
      </w:r>
      <w:r>
        <w:rPr>
          <w:spacing w:val="40"/>
        </w:rPr>
        <w:t> </w:t>
      </w:r>
      <w:r>
        <w:rPr/>
        <w:t>in</w:t>
      </w:r>
      <w:r>
        <w:rPr>
          <w:spacing w:val="40"/>
        </w:rPr>
        <w:t> </w:t>
      </w:r>
      <w:r>
        <w:rPr/>
        <w:t>certain</w:t>
      </w:r>
      <w:r>
        <w:rPr>
          <w:spacing w:val="40"/>
        </w:rPr>
        <w:t> </w:t>
      </w:r>
      <w:r>
        <w:rPr>
          <w:spacing w:val="9"/>
        </w:rPr>
        <w:t>circumstances:</w:t>
      </w:r>
    </w:p>
    <w:p>
      <w:pPr>
        <w:pStyle w:val="ListParagraph"/>
        <w:numPr>
          <w:ilvl w:val="0"/>
          <w:numId w:val="229"/>
        </w:numPr>
        <w:tabs>
          <w:tab w:pos="1774" w:val="left" w:leader="none"/>
        </w:tabs>
        <w:spacing w:line="240" w:lineRule="auto" w:before="239" w:after="0"/>
        <w:ind w:left="1433" w:right="786" w:firstLine="0"/>
        <w:jc w:val="both"/>
        <w:rPr>
          <w:sz w:val="24"/>
        </w:rPr>
      </w:pPr>
      <w:r>
        <w:rPr>
          <w:sz w:val="24"/>
        </w:rPr>
        <w:t>The existing authorized uses in the zone that are not listed in the permissible</w:t>
      </w:r>
      <w:r>
        <w:rPr>
          <w:spacing w:val="40"/>
          <w:sz w:val="24"/>
        </w:rPr>
        <w:t> </w:t>
      </w:r>
      <w:r>
        <w:rPr>
          <w:sz w:val="24"/>
        </w:rPr>
        <w:t>uses</w:t>
      </w:r>
      <w:r>
        <w:rPr>
          <w:spacing w:val="40"/>
          <w:sz w:val="24"/>
        </w:rPr>
        <w:t> </w:t>
      </w:r>
      <w:r>
        <w:rPr>
          <w:sz w:val="24"/>
        </w:rPr>
        <w:t>will</w:t>
      </w:r>
      <w:r>
        <w:rPr>
          <w:spacing w:val="40"/>
          <w:sz w:val="24"/>
        </w:rPr>
        <w:t> </w:t>
      </w:r>
      <w:r>
        <w:rPr>
          <w:sz w:val="24"/>
        </w:rPr>
        <w:t>be</w:t>
      </w:r>
      <w:r>
        <w:rPr>
          <w:spacing w:val="40"/>
          <w:sz w:val="24"/>
        </w:rPr>
        <w:t> </w:t>
      </w:r>
      <w:r>
        <w:rPr>
          <w:sz w:val="24"/>
        </w:rPr>
        <w:t>allowed</w:t>
      </w:r>
      <w:r>
        <w:rPr>
          <w:spacing w:val="40"/>
          <w:sz w:val="24"/>
        </w:rPr>
        <w:t> </w:t>
      </w:r>
      <w:r>
        <w:rPr>
          <w:sz w:val="24"/>
        </w:rPr>
        <w:t>to</w:t>
      </w:r>
      <w:r>
        <w:rPr>
          <w:spacing w:val="40"/>
          <w:sz w:val="24"/>
        </w:rPr>
        <w:t> </w:t>
      </w:r>
      <w:r>
        <w:rPr>
          <w:sz w:val="24"/>
        </w:rPr>
        <w:t>continue</w:t>
      </w:r>
      <w:r>
        <w:rPr>
          <w:spacing w:val="40"/>
          <w:sz w:val="24"/>
        </w:rPr>
        <w:t> </w:t>
      </w:r>
      <w:r>
        <w:rPr>
          <w:sz w:val="24"/>
        </w:rPr>
        <w:t>and</w:t>
      </w:r>
      <w:r>
        <w:rPr>
          <w:spacing w:val="40"/>
          <w:sz w:val="24"/>
        </w:rPr>
        <w:t> </w:t>
      </w:r>
      <w:r>
        <w:rPr>
          <w:sz w:val="24"/>
        </w:rPr>
        <w:t>will</w:t>
      </w:r>
      <w:r>
        <w:rPr>
          <w:spacing w:val="40"/>
          <w:sz w:val="24"/>
        </w:rPr>
        <w:t> </w:t>
      </w:r>
      <w:r>
        <w:rPr>
          <w:sz w:val="24"/>
        </w:rPr>
        <w:t>not</w:t>
      </w:r>
      <w:r>
        <w:rPr>
          <w:spacing w:val="40"/>
          <w:sz w:val="24"/>
        </w:rPr>
        <w:t> </w:t>
      </w:r>
      <w:r>
        <w:rPr>
          <w:sz w:val="24"/>
        </w:rPr>
        <w:t>be</w:t>
      </w:r>
      <w:r>
        <w:rPr>
          <w:spacing w:val="40"/>
          <w:sz w:val="24"/>
        </w:rPr>
        <w:t> </w:t>
      </w:r>
      <w:r>
        <w:rPr>
          <w:sz w:val="24"/>
        </w:rPr>
        <w:t>considered as non-conforming</w:t>
      </w:r>
    </w:p>
    <w:p>
      <w:pPr>
        <w:pStyle w:val="ListParagraph"/>
        <w:numPr>
          <w:ilvl w:val="0"/>
          <w:numId w:val="229"/>
        </w:numPr>
        <w:tabs>
          <w:tab w:pos="1755" w:val="left" w:leader="none"/>
        </w:tabs>
        <w:spacing w:line="240" w:lineRule="auto" w:before="240" w:after="0"/>
        <w:ind w:left="1433" w:right="780" w:firstLine="0"/>
        <w:jc w:val="both"/>
        <w:rPr>
          <w:sz w:val="24"/>
        </w:rPr>
      </w:pPr>
      <w:r>
        <w:rPr>
          <w:sz w:val="24"/>
        </w:rPr>
        <w:t>Any</w:t>
      </w:r>
      <w:r>
        <w:rPr>
          <w:spacing w:val="40"/>
          <w:sz w:val="24"/>
        </w:rPr>
        <w:t> </w:t>
      </w:r>
      <w:r>
        <w:rPr>
          <w:sz w:val="24"/>
        </w:rPr>
        <w:t>lawful</w:t>
      </w:r>
      <w:r>
        <w:rPr>
          <w:spacing w:val="40"/>
          <w:sz w:val="24"/>
        </w:rPr>
        <w:t> </w:t>
      </w:r>
      <w:r>
        <w:rPr>
          <w:sz w:val="24"/>
        </w:rPr>
        <w:t>use</w:t>
      </w:r>
      <w:r>
        <w:rPr>
          <w:spacing w:val="40"/>
          <w:sz w:val="24"/>
        </w:rPr>
        <w:t> </w:t>
      </w:r>
      <w:r>
        <w:rPr>
          <w:sz w:val="24"/>
        </w:rPr>
        <w:t>of</w:t>
      </w:r>
      <w:r>
        <w:rPr>
          <w:spacing w:val="40"/>
          <w:sz w:val="24"/>
        </w:rPr>
        <w:t> </w:t>
      </w:r>
      <w:r>
        <w:rPr>
          <w:sz w:val="24"/>
        </w:rPr>
        <w:t>land/building</w:t>
      </w:r>
      <w:r>
        <w:rPr>
          <w:spacing w:val="40"/>
          <w:sz w:val="24"/>
        </w:rPr>
        <w:t> </w:t>
      </w:r>
      <w:r>
        <w:rPr>
          <w:sz w:val="24"/>
        </w:rPr>
        <w:t>premises</w:t>
      </w:r>
      <w:r>
        <w:rPr>
          <w:spacing w:val="40"/>
          <w:sz w:val="24"/>
        </w:rPr>
        <w:t> </w:t>
      </w:r>
      <w:r>
        <w:rPr>
          <w:sz w:val="24"/>
        </w:rPr>
        <w:t>existing</w:t>
      </w:r>
      <w:r>
        <w:rPr>
          <w:spacing w:val="40"/>
          <w:sz w:val="24"/>
        </w:rPr>
        <w:t> </w:t>
      </w:r>
      <w:r>
        <w:rPr>
          <w:sz w:val="24"/>
        </w:rPr>
        <w:t>before</w:t>
      </w:r>
      <w:r>
        <w:rPr>
          <w:spacing w:val="40"/>
          <w:sz w:val="24"/>
        </w:rPr>
        <w:t> </w:t>
      </w:r>
      <w:r>
        <w:rPr>
          <w:sz w:val="24"/>
        </w:rPr>
        <w:t>the</w:t>
      </w:r>
      <w:r>
        <w:rPr>
          <w:spacing w:val="40"/>
          <w:sz w:val="24"/>
        </w:rPr>
        <w:t> </w:t>
      </w:r>
      <w:r>
        <w:rPr>
          <w:sz w:val="24"/>
        </w:rPr>
        <w:t>coming into force of these Regulations may continue even after redevelopment/reconstruction</w:t>
      </w:r>
      <w:r>
        <w:rPr>
          <w:spacing w:val="40"/>
          <w:sz w:val="24"/>
        </w:rPr>
        <w:t> </w:t>
      </w:r>
      <w:r>
        <w:rPr>
          <w:sz w:val="24"/>
        </w:rPr>
        <w:t>of</w:t>
      </w:r>
      <w:r>
        <w:rPr>
          <w:spacing w:val="40"/>
          <w:sz w:val="24"/>
        </w:rPr>
        <w:t> </w:t>
      </w:r>
      <w:r>
        <w:rPr>
          <w:sz w:val="24"/>
        </w:rPr>
        <w:t>land/building</w:t>
      </w:r>
      <w:r>
        <w:rPr>
          <w:spacing w:val="40"/>
          <w:sz w:val="24"/>
        </w:rPr>
        <w:t> </w:t>
      </w:r>
      <w:r>
        <w:rPr>
          <w:sz w:val="24"/>
        </w:rPr>
        <w:t>even</w:t>
      </w:r>
      <w:r>
        <w:rPr>
          <w:spacing w:val="40"/>
          <w:sz w:val="24"/>
        </w:rPr>
        <w:t> </w:t>
      </w:r>
      <w:r>
        <w:rPr>
          <w:sz w:val="24"/>
        </w:rPr>
        <w:t>if</w:t>
      </w:r>
      <w:r>
        <w:rPr>
          <w:spacing w:val="40"/>
          <w:sz w:val="24"/>
        </w:rPr>
        <w:t> </w:t>
      </w:r>
      <w:r>
        <w:rPr>
          <w:sz w:val="24"/>
        </w:rPr>
        <w:t>it</w:t>
      </w:r>
      <w:r>
        <w:rPr>
          <w:spacing w:val="40"/>
          <w:sz w:val="24"/>
        </w:rPr>
        <w:t> </w:t>
      </w:r>
      <w:r>
        <w:rPr>
          <w:sz w:val="24"/>
        </w:rPr>
        <w:t>does</w:t>
      </w:r>
      <w:r>
        <w:rPr>
          <w:spacing w:val="40"/>
          <w:sz w:val="24"/>
        </w:rPr>
        <w:t> </w:t>
      </w:r>
      <w:r>
        <w:rPr>
          <w:sz w:val="24"/>
        </w:rPr>
        <w:t>not conform to the use provisions of these Regulations provided such </w:t>
      </w:r>
      <w:r>
        <w:rPr>
          <w:spacing w:val="9"/>
          <w:sz w:val="24"/>
        </w:rPr>
        <w:t>non- </w:t>
      </w:r>
      <w:r>
        <w:rPr>
          <w:sz w:val="24"/>
        </w:rPr>
        <w:t>conforming use is not extended or enlarged except as provided in these </w:t>
      </w:r>
      <w:r>
        <w:rPr>
          <w:spacing w:val="7"/>
          <w:sz w:val="24"/>
        </w:rPr>
        <w:t>Regulations.</w:t>
      </w:r>
    </w:p>
    <w:p>
      <w:pPr>
        <w:pStyle w:val="ListParagraph"/>
        <w:numPr>
          <w:ilvl w:val="0"/>
          <w:numId w:val="229"/>
        </w:numPr>
        <w:tabs>
          <w:tab w:pos="1729" w:val="left" w:leader="none"/>
        </w:tabs>
        <w:spacing w:line="240" w:lineRule="auto" w:before="240" w:after="0"/>
        <w:ind w:left="1433" w:right="774" w:firstLine="0"/>
        <w:jc w:val="both"/>
        <w:rPr>
          <w:sz w:val="24"/>
        </w:rPr>
      </w:pPr>
      <w:r>
        <w:rPr>
          <w:sz w:val="24"/>
        </w:rPr>
        <w:t>In</w:t>
      </w:r>
      <w:r>
        <w:rPr>
          <w:spacing w:val="40"/>
          <w:sz w:val="24"/>
        </w:rPr>
        <w:t> </w:t>
      </w:r>
      <w:r>
        <w:rPr>
          <w:sz w:val="24"/>
        </w:rPr>
        <w:t>case</w:t>
      </w:r>
      <w:r>
        <w:rPr>
          <w:spacing w:val="40"/>
          <w:sz w:val="24"/>
        </w:rPr>
        <w:t> </w:t>
      </w:r>
      <w:r>
        <w:rPr>
          <w:sz w:val="24"/>
        </w:rPr>
        <w:t>a</w:t>
      </w:r>
      <w:r>
        <w:rPr>
          <w:spacing w:val="40"/>
          <w:sz w:val="24"/>
        </w:rPr>
        <w:t> </w:t>
      </w:r>
      <w:r>
        <w:rPr>
          <w:sz w:val="24"/>
        </w:rPr>
        <w:t>building</w:t>
      </w:r>
      <w:r>
        <w:rPr>
          <w:spacing w:val="40"/>
          <w:sz w:val="24"/>
        </w:rPr>
        <w:t> </w:t>
      </w:r>
      <w:r>
        <w:rPr>
          <w:sz w:val="24"/>
        </w:rPr>
        <w:t>accommodating</w:t>
      </w:r>
      <w:r>
        <w:rPr>
          <w:spacing w:val="40"/>
          <w:sz w:val="24"/>
        </w:rPr>
        <w:t> </w:t>
      </w:r>
      <w:r>
        <w:rPr>
          <w:sz w:val="24"/>
        </w:rPr>
        <w:t>any</w:t>
      </w:r>
      <w:r>
        <w:rPr>
          <w:spacing w:val="40"/>
          <w:sz w:val="24"/>
        </w:rPr>
        <w:t> </w:t>
      </w:r>
      <w:r>
        <w:rPr>
          <w:sz w:val="24"/>
        </w:rPr>
        <w:t>nonconforming</w:t>
      </w:r>
      <w:r>
        <w:rPr>
          <w:spacing w:val="40"/>
          <w:sz w:val="24"/>
        </w:rPr>
        <w:t> </w:t>
      </w:r>
      <w:r>
        <w:rPr>
          <w:sz w:val="24"/>
        </w:rPr>
        <w:t>use</w:t>
      </w:r>
      <w:r>
        <w:rPr>
          <w:spacing w:val="40"/>
          <w:sz w:val="24"/>
        </w:rPr>
        <w:t> </w:t>
      </w:r>
      <w:r>
        <w:rPr>
          <w:sz w:val="24"/>
        </w:rPr>
        <w:t>collapses,</w:t>
      </w:r>
      <w:r>
        <w:rPr>
          <w:spacing w:val="80"/>
          <w:sz w:val="24"/>
        </w:rPr>
        <w:t> </w:t>
      </w:r>
      <w:r>
        <w:rPr>
          <w:sz w:val="24"/>
        </w:rPr>
        <w:t>is</w:t>
      </w:r>
      <w:r>
        <w:rPr>
          <w:spacing w:val="40"/>
          <w:sz w:val="24"/>
        </w:rPr>
        <w:t> </w:t>
      </w:r>
      <w:r>
        <w:rPr>
          <w:sz w:val="24"/>
        </w:rPr>
        <w:t>pulled</w:t>
      </w:r>
      <w:r>
        <w:rPr>
          <w:spacing w:val="40"/>
          <w:sz w:val="24"/>
        </w:rPr>
        <w:t> </w:t>
      </w:r>
      <w:r>
        <w:rPr>
          <w:sz w:val="24"/>
        </w:rPr>
        <w:t>down</w:t>
      </w:r>
      <w:r>
        <w:rPr>
          <w:spacing w:val="40"/>
          <w:sz w:val="24"/>
        </w:rPr>
        <w:t> </w:t>
      </w:r>
      <w:r>
        <w:rPr>
          <w:sz w:val="24"/>
        </w:rPr>
        <w:t>or</w:t>
      </w:r>
      <w:r>
        <w:rPr>
          <w:spacing w:val="40"/>
          <w:sz w:val="24"/>
        </w:rPr>
        <w:t> </w:t>
      </w:r>
      <w:r>
        <w:rPr>
          <w:sz w:val="24"/>
        </w:rPr>
        <w:t>is</w:t>
      </w:r>
      <w:r>
        <w:rPr>
          <w:spacing w:val="40"/>
          <w:sz w:val="24"/>
        </w:rPr>
        <w:t> </w:t>
      </w:r>
      <w:r>
        <w:rPr>
          <w:sz w:val="24"/>
        </w:rPr>
        <w:t>destroyed,</w:t>
      </w:r>
      <w:r>
        <w:rPr>
          <w:spacing w:val="40"/>
          <w:sz w:val="24"/>
        </w:rPr>
        <w:t> </w:t>
      </w:r>
      <w:r>
        <w:rPr>
          <w:sz w:val="24"/>
        </w:rPr>
        <w:t>any</w:t>
      </w:r>
      <w:r>
        <w:rPr>
          <w:spacing w:val="40"/>
          <w:sz w:val="24"/>
        </w:rPr>
        <w:t> </w:t>
      </w:r>
      <w:r>
        <w:rPr>
          <w:sz w:val="24"/>
        </w:rPr>
        <w:t>new</w:t>
      </w:r>
      <w:r>
        <w:rPr>
          <w:spacing w:val="40"/>
          <w:sz w:val="24"/>
        </w:rPr>
        <w:t> </w:t>
      </w:r>
      <w:r>
        <w:rPr>
          <w:sz w:val="24"/>
        </w:rPr>
        <w:t>building</w:t>
      </w:r>
      <w:r>
        <w:rPr>
          <w:spacing w:val="40"/>
          <w:sz w:val="24"/>
        </w:rPr>
        <w:t> </w:t>
      </w:r>
      <w:r>
        <w:rPr>
          <w:sz w:val="24"/>
        </w:rPr>
        <w:t>on</w:t>
      </w:r>
      <w:r>
        <w:rPr>
          <w:spacing w:val="40"/>
          <w:sz w:val="24"/>
        </w:rPr>
        <w:t> </w:t>
      </w:r>
      <w:r>
        <w:rPr>
          <w:sz w:val="24"/>
        </w:rPr>
        <w:t>the</w:t>
      </w:r>
      <w:r>
        <w:rPr>
          <w:spacing w:val="40"/>
          <w:sz w:val="24"/>
        </w:rPr>
        <w:t> </w:t>
      </w:r>
      <w:r>
        <w:rPr>
          <w:sz w:val="24"/>
        </w:rPr>
        <w:t>site</w:t>
      </w:r>
      <w:r>
        <w:rPr>
          <w:spacing w:val="40"/>
          <w:sz w:val="24"/>
        </w:rPr>
        <w:t> </w:t>
      </w:r>
      <w:r>
        <w:rPr>
          <w:spacing w:val="11"/>
          <w:sz w:val="24"/>
        </w:rPr>
        <w:t>shall </w:t>
      </w:r>
      <w:r>
        <w:rPr>
          <w:sz w:val="24"/>
        </w:rPr>
        <w:t>conform</w:t>
      </w:r>
      <w:r>
        <w:rPr>
          <w:spacing w:val="40"/>
          <w:sz w:val="24"/>
        </w:rPr>
        <w:t> </w:t>
      </w:r>
      <w:r>
        <w:rPr>
          <w:sz w:val="24"/>
        </w:rPr>
        <w:t>to</w:t>
      </w:r>
      <w:r>
        <w:rPr>
          <w:spacing w:val="38"/>
          <w:sz w:val="24"/>
        </w:rPr>
        <w:t> </w:t>
      </w:r>
      <w:r>
        <w:rPr>
          <w:sz w:val="24"/>
        </w:rPr>
        <w:t>these</w:t>
      </w:r>
      <w:r>
        <w:rPr>
          <w:spacing w:val="38"/>
          <w:sz w:val="24"/>
        </w:rPr>
        <w:t> </w:t>
      </w:r>
      <w:r>
        <w:rPr>
          <w:sz w:val="24"/>
        </w:rPr>
        <w:t>Regulations</w:t>
      </w:r>
      <w:r>
        <w:rPr>
          <w:spacing w:val="38"/>
          <w:sz w:val="24"/>
        </w:rPr>
        <w:t> </w:t>
      </w:r>
      <w:r>
        <w:rPr>
          <w:sz w:val="24"/>
        </w:rPr>
        <w:t>and</w:t>
      </w:r>
      <w:r>
        <w:rPr>
          <w:spacing w:val="38"/>
          <w:sz w:val="24"/>
        </w:rPr>
        <w:t> </w:t>
      </w:r>
      <w:r>
        <w:rPr>
          <w:sz w:val="24"/>
        </w:rPr>
        <w:t>to</w:t>
      </w:r>
      <w:r>
        <w:rPr>
          <w:spacing w:val="40"/>
          <w:sz w:val="24"/>
        </w:rPr>
        <w:t> </w:t>
      </w:r>
      <w:r>
        <w:rPr>
          <w:sz w:val="24"/>
        </w:rPr>
        <w:t>the</w:t>
      </w:r>
      <w:r>
        <w:rPr>
          <w:spacing w:val="38"/>
          <w:sz w:val="24"/>
        </w:rPr>
        <w:t> </w:t>
      </w:r>
      <w:r>
        <w:rPr>
          <w:sz w:val="24"/>
        </w:rPr>
        <w:t>land</w:t>
      </w:r>
      <w:r>
        <w:rPr>
          <w:spacing w:val="40"/>
          <w:sz w:val="24"/>
        </w:rPr>
        <w:t> </w:t>
      </w:r>
      <w:r>
        <w:rPr>
          <w:sz w:val="24"/>
        </w:rPr>
        <w:t>use</w:t>
      </w:r>
      <w:r>
        <w:rPr>
          <w:spacing w:val="40"/>
          <w:sz w:val="24"/>
        </w:rPr>
        <w:t> </w:t>
      </w:r>
      <w:r>
        <w:rPr>
          <w:sz w:val="24"/>
        </w:rPr>
        <w:t>prescribed</w:t>
      </w:r>
      <w:r>
        <w:rPr>
          <w:spacing w:val="38"/>
          <w:sz w:val="24"/>
        </w:rPr>
        <w:t> </w:t>
      </w:r>
      <w:r>
        <w:rPr>
          <w:sz w:val="24"/>
        </w:rPr>
        <w:t>for</w:t>
      </w:r>
      <w:r>
        <w:rPr>
          <w:spacing w:val="40"/>
          <w:sz w:val="24"/>
        </w:rPr>
        <w:t> </w:t>
      </w:r>
      <w:r>
        <w:rPr>
          <w:sz w:val="24"/>
        </w:rPr>
        <w:t>the</w:t>
      </w:r>
      <w:r>
        <w:rPr>
          <w:spacing w:val="40"/>
          <w:sz w:val="24"/>
        </w:rPr>
        <w:t> </w:t>
      </w:r>
      <w:r>
        <w:rPr>
          <w:sz w:val="24"/>
        </w:rPr>
        <w:t>plot in DP.</w:t>
      </w:r>
    </w:p>
    <w:p>
      <w:pPr>
        <w:pStyle w:val="ListParagraph"/>
        <w:numPr>
          <w:ilvl w:val="0"/>
          <w:numId w:val="229"/>
        </w:numPr>
        <w:tabs>
          <w:tab w:pos="1888" w:val="left" w:leader="none"/>
        </w:tabs>
        <w:spacing w:line="240" w:lineRule="auto" w:before="241" w:after="0"/>
        <w:ind w:left="1433" w:right="771" w:firstLine="0"/>
        <w:jc w:val="both"/>
        <w:rPr>
          <w:sz w:val="24"/>
        </w:rPr>
      </w:pPr>
      <w:r>
        <w:rPr>
          <w:sz w:val="24"/>
        </w:rPr>
        <w:t>In rehabilitation scheme undertaken by Mumbai Repair and Reconstruction Board (A MHADA unit) or Slum Rehabilitation </w:t>
      </w:r>
      <w:r>
        <w:rPr>
          <w:spacing w:val="9"/>
          <w:sz w:val="24"/>
        </w:rPr>
        <w:t>Authority </w:t>
      </w:r>
      <w:r>
        <w:rPr>
          <w:sz w:val="24"/>
        </w:rPr>
        <w:t>(SRA)</w:t>
      </w:r>
      <w:r>
        <w:rPr>
          <w:spacing w:val="40"/>
          <w:sz w:val="24"/>
        </w:rPr>
        <w:t> </w:t>
      </w:r>
      <w:r>
        <w:rPr>
          <w:sz w:val="24"/>
        </w:rPr>
        <w:t>or</w:t>
      </w:r>
      <w:r>
        <w:rPr>
          <w:spacing w:val="40"/>
          <w:sz w:val="24"/>
        </w:rPr>
        <w:t> </w:t>
      </w:r>
      <w:r>
        <w:rPr>
          <w:sz w:val="24"/>
        </w:rPr>
        <w:t>in</w:t>
      </w:r>
      <w:r>
        <w:rPr>
          <w:spacing w:val="40"/>
          <w:sz w:val="24"/>
        </w:rPr>
        <w:t> </w:t>
      </w:r>
      <w:r>
        <w:rPr>
          <w:sz w:val="24"/>
        </w:rPr>
        <w:t>Dharavi</w:t>
      </w:r>
      <w:r>
        <w:rPr>
          <w:spacing w:val="40"/>
          <w:sz w:val="24"/>
        </w:rPr>
        <w:t> </w:t>
      </w:r>
      <w:r>
        <w:rPr>
          <w:sz w:val="24"/>
        </w:rPr>
        <w:t>Redevelopment</w:t>
      </w:r>
      <w:r>
        <w:rPr>
          <w:spacing w:val="40"/>
          <w:sz w:val="24"/>
        </w:rPr>
        <w:t> </w:t>
      </w:r>
      <w:r>
        <w:rPr>
          <w:sz w:val="24"/>
        </w:rPr>
        <w:t>Project</w:t>
      </w:r>
      <w:r>
        <w:rPr>
          <w:spacing w:val="40"/>
          <w:sz w:val="24"/>
        </w:rPr>
        <w:t> </w:t>
      </w:r>
      <w:r>
        <w:rPr>
          <w:spacing w:val="10"/>
          <w:sz w:val="24"/>
        </w:rPr>
        <w:t>(DRP)</w:t>
      </w:r>
      <w:r>
        <w:rPr>
          <w:spacing w:val="40"/>
          <w:sz w:val="24"/>
        </w:rPr>
        <w:t> </w:t>
      </w:r>
      <w:r>
        <w:rPr>
          <w:sz w:val="24"/>
        </w:rPr>
        <w:t>where</w:t>
      </w:r>
      <w:r>
        <w:rPr>
          <w:spacing w:val="40"/>
          <w:sz w:val="24"/>
        </w:rPr>
        <w:t> </w:t>
      </w:r>
      <w:r>
        <w:rPr>
          <w:sz w:val="24"/>
        </w:rPr>
        <w:t>a</w:t>
      </w:r>
      <w:r>
        <w:rPr>
          <w:spacing w:val="40"/>
          <w:sz w:val="24"/>
        </w:rPr>
        <w:t> </w:t>
      </w:r>
      <w:r>
        <w:rPr>
          <w:sz w:val="24"/>
        </w:rPr>
        <w:t>new</w:t>
      </w:r>
      <w:r>
        <w:rPr>
          <w:spacing w:val="40"/>
          <w:sz w:val="24"/>
        </w:rPr>
        <w:t> </w:t>
      </w:r>
      <w:r>
        <w:rPr>
          <w:spacing w:val="9"/>
          <w:sz w:val="24"/>
        </w:rPr>
        <w:t>building </w:t>
      </w:r>
      <w:r>
        <w:rPr>
          <w:sz w:val="24"/>
        </w:rPr>
        <w:t>is constructed in place of an old building, containing authorized </w:t>
      </w:r>
      <w:r>
        <w:rPr>
          <w:spacing w:val="11"/>
          <w:sz w:val="24"/>
        </w:rPr>
        <w:t>non- </w:t>
      </w:r>
      <w:r>
        <w:rPr>
          <w:sz w:val="24"/>
        </w:rPr>
        <w:t>conforming</w:t>
      </w:r>
      <w:r>
        <w:rPr>
          <w:spacing w:val="40"/>
          <w:sz w:val="24"/>
        </w:rPr>
        <w:t> </w:t>
      </w:r>
      <w:r>
        <w:rPr>
          <w:sz w:val="24"/>
        </w:rPr>
        <w:t>uses,</w:t>
      </w:r>
      <w:r>
        <w:rPr>
          <w:spacing w:val="40"/>
          <w:sz w:val="24"/>
        </w:rPr>
        <w:t> </w:t>
      </w:r>
      <w:r>
        <w:rPr>
          <w:sz w:val="24"/>
        </w:rPr>
        <w:t>the</w:t>
      </w:r>
      <w:r>
        <w:rPr>
          <w:spacing w:val="40"/>
          <w:sz w:val="24"/>
        </w:rPr>
        <w:t> </w:t>
      </w:r>
      <w:r>
        <w:rPr>
          <w:sz w:val="24"/>
        </w:rPr>
        <w:t>Commissioner</w:t>
      </w:r>
      <w:r>
        <w:rPr>
          <w:spacing w:val="40"/>
          <w:sz w:val="24"/>
        </w:rPr>
        <w:t> </w:t>
      </w:r>
      <w:r>
        <w:rPr>
          <w:sz w:val="24"/>
        </w:rPr>
        <w:t>may</w:t>
      </w:r>
      <w:r>
        <w:rPr>
          <w:spacing w:val="40"/>
          <w:sz w:val="24"/>
        </w:rPr>
        <w:t> </w:t>
      </w:r>
      <w:r>
        <w:rPr>
          <w:sz w:val="24"/>
        </w:rPr>
        <w:t>allow</w:t>
      </w:r>
      <w:r>
        <w:rPr>
          <w:spacing w:val="40"/>
          <w:sz w:val="24"/>
        </w:rPr>
        <w:t> </w:t>
      </w:r>
      <w:r>
        <w:rPr>
          <w:sz w:val="24"/>
        </w:rPr>
        <w:t>the</w:t>
      </w:r>
      <w:r>
        <w:rPr>
          <w:spacing w:val="40"/>
          <w:sz w:val="24"/>
        </w:rPr>
        <w:t> </w:t>
      </w:r>
      <w:r>
        <w:rPr>
          <w:sz w:val="24"/>
        </w:rPr>
        <w:t>same</w:t>
      </w:r>
      <w:r>
        <w:rPr>
          <w:spacing w:val="40"/>
          <w:sz w:val="24"/>
        </w:rPr>
        <w:t> </w:t>
      </w:r>
      <w:r>
        <w:rPr>
          <w:sz w:val="24"/>
        </w:rPr>
        <w:t>non-</w:t>
      </w:r>
      <w:r>
        <w:rPr>
          <w:spacing w:val="80"/>
          <w:sz w:val="24"/>
        </w:rPr>
        <w:t> </w:t>
      </w:r>
      <w:r>
        <w:rPr>
          <w:sz w:val="24"/>
        </w:rPr>
        <w:t>conforming use in new building provided such user is not </w:t>
      </w:r>
      <w:r>
        <w:rPr>
          <w:spacing w:val="9"/>
          <w:sz w:val="24"/>
        </w:rPr>
        <w:t>industrial, </w:t>
      </w:r>
      <w:r>
        <w:rPr>
          <w:sz w:val="24"/>
        </w:rPr>
        <w:t>hazardous or likely to cause </w:t>
      </w:r>
      <w:r>
        <w:rPr>
          <w:spacing w:val="9"/>
          <w:sz w:val="24"/>
        </w:rPr>
        <w:t>pollution.</w:t>
      </w:r>
      <w:r>
        <w:rPr>
          <w:spacing w:val="9"/>
          <w:sz w:val="24"/>
        </w:rPr>
        <w:t> </w:t>
      </w:r>
      <w:r>
        <w:rPr>
          <w:sz w:val="24"/>
        </w:rPr>
        <w:t>In case of such rehabilitation scheme in Industrial Zone, authorized residential use may be permitted</w:t>
      </w:r>
      <w:r>
        <w:rPr>
          <w:spacing w:val="80"/>
          <w:sz w:val="24"/>
        </w:rPr>
        <w:t> </w:t>
      </w:r>
      <w:r>
        <w:rPr>
          <w:sz w:val="24"/>
        </w:rPr>
        <w:t>only</w:t>
      </w:r>
      <w:r>
        <w:rPr>
          <w:spacing w:val="40"/>
          <w:sz w:val="24"/>
        </w:rPr>
        <w:t> </w:t>
      </w:r>
      <w:r>
        <w:rPr>
          <w:sz w:val="24"/>
        </w:rPr>
        <w:t>in</w:t>
      </w:r>
      <w:r>
        <w:rPr>
          <w:spacing w:val="40"/>
          <w:sz w:val="24"/>
        </w:rPr>
        <w:t> </w:t>
      </w:r>
      <w:r>
        <w:rPr>
          <w:sz w:val="24"/>
        </w:rPr>
        <w:t>independent</w:t>
      </w:r>
      <w:r>
        <w:rPr>
          <w:spacing w:val="40"/>
          <w:sz w:val="24"/>
        </w:rPr>
        <w:t> </w:t>
      </w:r>
      <w:r>
        <w:rPr>
          <w:sz w:val="24"/>
        </w:rPr>
        <w:t>building</w:t>
      </w:r>
      <w:r>
        <w:rPr>
          <w:spacing w:val="40"/>
          <w:sz w:val="24"/>
        </w:rPr>
        <w:t> </w:t>
      </w:r>
      <w:r>
        <w:rPr>
          <w:sz w:val="24"/>
        </w:rPr>
        <w:t>subject</w:t>
      </w:r>
      <w:r>
        <w:rPr>
          <w:spacing w:val="40"/>
          <w:sz w:val="24"/>
        </w:rPr>
        <w:t> </w:t>
      </w:r>
      <w:r>
        <w:rPr>
          <w:sz w:val="24"/>
        </w:rPr>
        <w:t>to</w:t>
      </w:r>
      <w:r>
        <w:rPr>
          <w:spacing w:val="40"/>
          <w:sz w:val="24"/>
        </w:rPr>
        <w:t> </w:t>
      </w:r>
      <w:r>
        <w:rPr>
          <w:sz w:val="24"/>
        </w:rPr>
        <w:t>2</w:t>
      </w:r>
      <w:r>
        <w:rPr>
          <w:spacing w:val="40"/>
          <w:sz w:val="24"/>
        </w:rPr>
        <w:t> </w:t>
      </w:r>
      <w:r>
        <w:rPr>
          <w:sz w:val="24"/>
        </w:rPr>
        <w:t>below</w:t>
      </w:r>
    </w:p>
    <w:p>
      <w:pPr>
        <w:pStyle w:val="ListParagraph"/>
        <w:numPr>
          <w:ilvl w:val="0"/>
          <w:numId w:val="229"/>
        </w:numPr>
        <w:tabs>
          <w:tab w:pos="1724" w:val="left" w:leader="none"/>
        </w:tabs>
        <w:spacing w:line="240" w:lineRule="auto" w:before="239" w:after="0"/>
        <w:ind w:left="1433" w:right="787" w:firstLine="0"/>
        <w:jc w:val="both"/>
        <w:rPr>
          <w:sz w:val="24"/>
        </w:rPr>
      </w:pPr>
      <w:r>
        <w:rPr>
          <w:sz w:val="24"/>
        </w:rPr>
        <w:t>In</w:t>
      </w:r>
      <w:r>
        <w:rPr>
          <w:spacing w:val="40"/>
          <w:sz w:val="24"/>
        </w:rPr>
        <w:t> </w:t>
      </w:r>
      <w:r>
        <w:rPr>
          <w:sz w:val="24"/>
        </w:rPr>
        <w:t>case</w:t>
      </w:r>
      <w:r>
        <w:rPr>
          <w:spacing w:val="40"/>
          <w:sz w:val="24"/>
        </w:rPr>
        <w:t> </w:t>
      </w:r>
      <w:r>
        <w:rPr>
          <w:sz w:val="24"/>
        </w:rPr>
        <w:t>of</w:t>
      </w:r>
      <w:r>
        <w:rPr>
          <w:spacing w:val="40"/>
          <w:sz w:val="24"/>
        </w:rPr>
        <w:t> </w:t>
      </w:r>
      <w:r>
        <w:rPr>
          <w:sz w:val="24"/>
        </w:rPr>
        <w:t>redevelopment,</w:t>
      </w:r>
      <w:r>
        <w:rPr>
          <w:spacing w:val="40"/>
          <w:sz w:val="24"/>
        </w:rPr>
        <w:t> </w:t>
      </w:r>
      <w:r>
        <w:rPr>
          <w:sz w:val="24"/>
        </w:rPr>
        <w:t>existing</w:t>
      </w:r>
      <w:r>
        <w:rPr>
          <w:spacing w:val="40"/>
          <w:sz w:val="24"/>
        </w:rPr>
        <w:t> </w:t>
      </w:r>
      <w:r>
        <w:rPr>
          <w:sz w:val="24"/>
        </w:rPr>
        <w:t>authorized</w:t>
      </w:r>
      <w:r>
        <w:rPr>
          <w:spacing w:val="40"/>
          <w:sz w:val="24"/>
        </w:rPr>
        <w:t> </w:t>
      </w:r>
      <w:r>
        <w:rPr>
          <w:spacing w:val="12"/>
          <w:sz w:val="24"/>
        </w:rPr>
        <w:t>non-</w:t>
      </w:r>
      <w:r>
        <w:rPr>
          <w:sz w:val="24"/>
        </w:rPr>
        <w:t>residential</w:t>
      </w:r>
      <w:r>
        <w:rPr>
          <w:spacing w:val="40"/>
          <w:sz w:val="24"/>
        </w:rPr>
        <w:t> </w:t>
      </w:r>
      <w:r>
        <w:rPr>
          <w:sz w:val="24"/>
        </w:rPr>
        <w:t>uses</w:t>
      </w:r>
      <w:r>
        <w:rPr>
          <w:spacing w:val="40"/>
          <w:sz w:val="24"/>
        </w:rPr>
        <w:t> </w:t>
      </w:r>
      <w:r>
        <w:rPr>
          <w:sz w:val="24"/>
        </w:rPr>
        <w:t>in</w:t>
      </w:r>
      <w:r>
        <w:rPr>
          <w:spacing w:val="80"/>
          <w:sz w:val="24"/>
        </w:rPr>
        <w:t> </w:t>
      </w:r>
      <w:r>
        <w:rPr>
          <w:sz w:val="24"/>
        </w:rPr>
        <w:t>a</w:t>
      </w:r>
      <w:r>
        <w:rPr>
          <w:spacing w:val="80"/>
          <w:sz w:val="24"/>
        </w:rPr>
        <w:t> </w:t>
      </w:r>
      <w:r>
        <w:rPr>
          <w:sz w:val="24"/>
        </w:rPr>
        <w:t>residential</w:t>
      </w:r>
      <w:r>
        <w:rPr>
          <w:spacing w:val="80"/>
          <w:sz w:val="24"/>
        </w:rPr>
        <w:t> </w:t>
      </w:r>
      <w:r>
        <w:rPr>
          <w:sz w:val="24"/>
        </w:rPr>
        <w:t>building</w:t>
      </w:r>
      <w:r>
        <w:rPr>
          <w:spacing w:val="80"/>
          <w:sz w:val="24"/>
        </w:rPr>
        <w:t> </w:t>
      </w:r>
      <w:r>
        <w:rPr>
          <w:sz w:val="24"/>
        </w:rPr>
        <w:t>will</w:t>
      </w:r>
      <w:r>
        <w:rPr>
          <w:spacing w:val="60"/>
          <w:w w:val="150"/>
          <w:sz w:val="24"/>
        </w:rPr>
        <w:t> </w:t>
      </w:r>
      <w:r>
        <w:rPr>
          <w:sz w:val="24"/>
        </w:rPr>
        <w:t>be</w:t>
      </w:r>
      <w:r>
        <w:rPr>
          <w:spacing w:val="80"/>
          <w:sz w:val="24"/>
        </w:rPr>
        <w:t> </w:t>
      </w:r>
      <w:r>
        <w:rPr>
          <w:sz w:val="24"/>
        </w:rPr>
        <w:t>allowed</w:t>
      </w:r>
      <w:r>
        <w:rPr>
          <w:spacing w:val="80"/>
          <w:sz w:val="24"/>
        </w:rPr>
        <w:t> </w:t>
      </w:r>
      <w:r>
        <w:rPr>
          <w:sz w:val="24"/>
        </w:rPr>
        <w:t>to</w:t>
      </w:r>
      <w:r>
        <w:rPr>
          <w:spacing w:val="80"/>
          <w:sz w:val="24"/>
        </w:rPr>
        <w:t> </w:t>
      </w:r>
      <w:r>
        <w:rPr>
          <w:sz w:val="24"/>
        </w:rPr>
        <w:t>be</w:t>
      </w:r>
      <w:r>
        <w:rPr>
          <w:spacing w:val="80"/>
          <w:sz w:val="24"/>
        </w:rPr>
        <w:t> </w:t>
      </w:r>
      <w:r>
        <w:rPr>
          <w:sz w:val="24"/>
        </w:rPr>
        <w:t>continued</w:t>
      </w:r>
      <w:r>
        <w:rPr>
          <w:spacing w:val="80"/>
          <w:sz w:val="24"/>
        </w:rPr>
        <w:t> </w:t>
      </w:r>
      <w:r>
        <w:rPr>
          <w:sz w:val="24"/>
        </w:rPr>
        <w:t>on</w:t>
      </w:r>
      <w:r>
        <w:rPr>
          <w:spacing w:val="80"/>
          <w:sz w:val="24"/>
        </w:rPr>
        <w:t> </w:t>
      </w:r>
      <w:r>
        <w:rPr>
          <w:sz w:val="24"/>
        </w:rPr>
        <w:t>the</w:t>
      </w:r>
      <w:r>
        <w:rPr>
          <w:spacing w:val="80"/>
          <w:sz w:val="24"/>
        </w:rPr>
        <w:t> </w:t>
      </w:r>
      <w:r>
        <w:rPr>
          <w:sz w:val="24"/>
        </w:rPr>
        <w:t>ground</w:t>
      </w:r>
    </w:p>
    <w:p>
      <w:pPr>
        <w:pStyle w:val="ListParagraph"/>
        <w:spacing w:after="0" w:line="240" w:lineRule="auto"/>
        <w:jc w:val="both"/>
        <w:rPr>
          <w:sz w:val="24"/>
        </w:rPr>
        <w:sectPr>
          <w:pgSz w:w="11910" w:h="16840"/>
          <w:pgMar w:header="1058" w:footer="1088" w:top="1500" w:bottom="1280" w:left="360" w:right="360"/>
        </w:sectPr>
      </w:pPr>
    </w:p>
    <w:p>
      <w:pPr>
        <w:pStyle w:val="BodyText"/>
        <w:spacing w:before="255"/>
        <w:ind w:left="1433" w:right="778"/>
      </w:pPr>
      <w:r>
        <w:rPr/>
        <w:t>floor, first or second floor or floor above stilts/parking floors or in a</w:t>
      </w:r>
      <w:r>
        <w:rPr>
          <w:spacing w:val="80"/>
        </w:rPr>
        <w:t> </w:t>
      </w:r>
      <w:r>
        <w:rPr/>
        <w:t>separate wing of a building with the special permission of the </w:t>
      </w:r>
      <w:r>
        <w:rPr>
          <w:spacing w:val="7"/>
        </w:rPr>
        <w:t>Commissioner.</w:t>
      </w:r>
    </w:p>
    <w:p>
      <w:pPr>
        <w:pStyle w:val="ListParagraph"/>
        <w:numPr>
          <w:ilvl w:val="0"/>
          <w:numId w:val="229"/>
        </w:numPr>
        <w:tabs>
          <w:tab w:pos="1790" w:val="left" w:leader="none"/>
        </w:tabs>
        <w:spacing w:line="240" w:lineRule="auto" w:before="242" w:after="0"/>
        <w:ind w:left="1433" w:right="778" w:firstLine="0"/>
        <w:jc w:val="both"/>
        <w:rPr>
          <w:sz w:val="24"/>
        </w:rPr>
      </w:pPr>
      <w:r>
        <w:rPr>
          <w:sz w:val="24"/>
        </w:rPr>
        <w:t>Any permitted </w:t>
      </w:r>
      <w:r>
        <w:rPr>
          <w:spacing w:val="10"/>
          <w:sz w:val="24"/>
        </w:rPr>
        <w:t>non-</w:t>
      </w:r>
      <w:r>
        <w:rPr>
          <w:sz w:val="24"/>
        </w:rPr>
        <w:t>conforming uses or those existing prior to</w:t>
      </w:r>
      <w:r>
        <w:rPr>
          <w:spacing w:val="40"/>
          <w:sz w:val="24"/>
        </w:rPr>
        <w:t> </w:t>
      </w:r>
      <w:r>
        <w:rPr>
          <w:sz w:val="24"/>
        </w:rPr>
        <w:t>01.04.1962</w:t>
      </w:r>
      <w:r>
        <w:rPr>
          <w:spacing w:val="80"/>
          <w:sz w:val="24"/>
        </w:rPr>
        <w:t> </w:t>
      </w:r>
      <w:r>
        <w:rPr>
          <w:sz w:val="24"/>
        </w:rPr>
        <w:t>including</w:t>
      </w:r>
      <w:r>
        <w:rPr>
          <w:spacing w:val="80"/>
          <w:sz w:val="24"/>
        </w:rPr>
        <w:t> </w:t>
      </w:r>
      <w:r>
        <w:rPr>
          <w:sz w:val="24"/>
        </w:rPr>
        <w:t>industries</w:t>
      </w:r>
      <w:r>
        <w:rPr>
          <w:spacing w:val="80"/>
          <w:sz w:val="24"/>
        </w:rPr>
        <w:t> </w:t>
      </w:r>
      <w:r>
        <w:rPr>
          <w:sz w:val="24"/>
        </w:rPr>
        <w:t>which</w:t>
      </w:r>
      <w:r>
        <w:rPr>
          <w:spacing w:val="80"/>
          <w:sz w:val="24"/>
        </w:rPr>
        <w:t> </w:t>
      </w:r>
      <w:r>
        <w:rPr>
          <w:sz w:val="24"/>
        </w:rPr>
        <w:t>are</w:t>
      </w:r>
      <w:r>
        <w:rPr>
          <w:spacing w:val="80"/>
          <w:sz w:val="24"/>
        </w:rPr>
        <w:t> </w:t>
      </w:r>
      <w:r>
        <w:rPr>
          <w:sz w:val="24"/>
        </w:rPr>
        <w:t>nonhazardous</w:t>
      </w:r>
      <w:r>
        <w:rPr>
          <w:spacing w:val="80"/>
          <w:sz w:val="24"/>
        </w:rPr>
        <w:t> </w:t>
      </w:r>
      <w:r>
        <w:rPr>
          <w:sz w:val="24"/>
        </w:rPr>
        <w:t>or nonpolluting may be allowed to continue without addition to such non- conforming use</w:t>
      </w:r>
    </w:p>
    <w:p>
      <w:pPr>
        <w:pStyle w:val="ListParagraph"/>
        <w:numPr>
          <w:ilvl w:val="0"/>
          <w:numId w:val="229"/>
        </w:numPr>
        <w:tabs>
          <w:tab w:pos="1801" w:val="left" w:leader="none"/>
        </w:tabs>
        <w:spacing w:line="240" w:lineRule="auto" w:before="238" w:after="0"/>
        <w:ind w:left="1433" w:right="775" w:firstLine="0"/>
        <w:jc w:val="both"/>
        <w:rPr>
          <w:i/>
          <w:sz w:val="24"/>
        </w:rPr>
      </w:pPr>
      <w:r>
        <w:rPr>
          <w:i/>
          <w:sz w:val="24"/>
        </w:rPr>
        <w:t>Non-conforming industries</w:t>
      </w:r>
      <w:r>
        <w:rPr>
          <w:sz w:val="24"/>
        </w:rPr>
        <w:t>.- </w:t>
      </w:r>
      <w:r>
        <w:rPr>
          <w:spacing w:val="9"/>
          <w:sz w:val="24"/>
        </w:rPr>
        <w:t>Non-</w:t>
      </w:r>
      <w:r>
        <w:rPr>
          <w:sz w:val="24"/>
        </w:rPr>
        <w:t>conforming industries which are</w:t>
      </w:r>
      <w:r>
        <w:rPr>
          <w:spacing w:val="80"/>
          <w:sz w:val="24"/>
        </w:rPr>
        <w:t> </w:t>
      </w:r>
      <w:r>
        <w:rPr>
          <w:sz w:val="24"/>
        </w:rPr>
        <w:t>neither</w:t>
      </w:r>
      <w:r>
        <w:rPr>
          <w:spacing w:val="40"/>
          <w:sz w:val="24"/>
        </w:rPr>
        <w:t> </w:t>
      </w:r>
      <w:r>
        <w:rPr>
          <w:sz w:val="24"/>
        </w:rPr>
        <w:t>hazardous</w:t>
      </w:r>
      <w:r>
        <w:rPr>
          <w:spacing w:val="40"/>
          <w:sz w:val="24"/>
        </w:rPr>
        <w:t> </w:t>
      </w:r>
      <w:r>
        <w:rPr>
          <w:sz w:val="24"/>
        </w:rPr>
        <w:t>nor</w:t>
      </w:r>
      <w:r>
        <w:rPr>
          <w:spacing w:val="40"/>
          <w:sz w:val="24"/>
        </w:rPr>
        <w:t> </w:t>
      </w:r>
      <w:r>
        <w:rPr>
          <w:sz w:val="24"/>
        </w:rPr>
        <w:t>polluting</w:t>
      </w:r>
      <w:r>
        <w:rPr>
          <w:spacing w:val="40"/>
          <w:sz w:val="24"/>
        </w:rPr>
        <w:t> </w:t>
      </w:r>
      <w:r>
        <w:rPr>
          <w:sz w:val="24"/>
        </w:rPr>
        <w:t>and</w:t>
      </w:r>
      <w:r>
        <w:rPr>
          <w:spacing w:val="40"/>
          <w:sz w:val="24"/>
        </w:rPr>
        <w:t> </w:t>
      </w:r>
      <w:r>
        <w:rPr>
          <w:sz w:val="24"/>
        </w:rPr>
        <w:t>which</w:t>
      </w:r>
      <w:r>
        <w:rPr>
          <w:spacing w:val="40"/>
          <w:sz w:val="24"/>
        </w:rPr>
        <w:t> </w:t>
      </w:r>
      <w:r>
        <w:rPr>
          <w:sz w:val="24"/>
        </w:rPr>
        <w:t>have</w:t>
      </w:r>
      <w:r>
        <w:rPr>
          <w:spacing w:val="40"/>
          <w:sz w:val="24"/>
        </w:rPr>
        <w:t> </w:t>
      </w:r>
      <w:r>
        <w:rPr>
          <w:sz w:val="24"/>
        </w:rPr>
        <w:t>been</w:t>
      </w:r>
      <w:r>
        <w:rPr>
          <w:spacing w:val="40"/>
          <w:sz w:val="24"/>
        </w:rPr>
        <w:t> </w:t>
      </w:r>
      <w:r>
        <w:rPr>
          <w:sz w:val="24"/>
        </w:rPr>
        <w:t>permitted</w:t>
      </w:r>
      <w:r>
        <w:rPr>
          <w:spacing w:val="40"/>
          <w:sz w:val="24"/>
        </w:rPr>
        <w:t> </w:t>
      </w:r>
      <w:r>
        <w:rPr>
          <w:sz w:val="24"/>
        </w:rPr>
        <w:t>to operate,</w:t>
      </w:r>
      <w:r>
        <w:rPr>
          <w:spacing w:val="40"/>
          <w:sz w:val="24"/>
        </w:rPr>
        <w:t> </w:t>
      </w:r>
      <w:r>
        <w:rPr>
          <w:sz w:val="24"/>
        </w:rPr>
        <w:t>without</w:t>
      </w:r>
      <w:r>
        <w:rPr>
          <w:spacing w:val="40"/>
          <w:sz w:val="24"/>
        </w:rPr>
        <w:t> </w:t>
      </w:r>
      <w:r>
        <w:rPr>
          <w:sz w:val="24"/>
        </w:rPr>
        <w:t>any</w:t>
      </w:r>
      <w:r>
        <w:rPr>
          <w:spacing w:val="40"/>
          <w:sz w:val="24"/>
        </w:rPr>
        <w:t> </w:t>
      </w:r>
      <w:r>
        <w:rPr>
          <w:sz w:val="24"/>
        </w:rPr>
        <w:t>requirement</w:t>
      </w:r>
      <w:r>
        <w:rPr>
          <w:spacing w:val="40"/>
          <w:sz w:val="24"/>
        </w:rPr>
        <w:t> </w:t>
      </w:r>
      <w:r>
        <w:rPr>
          <w:sz w:val="24"/>
        </w:rPr>
        <w:t>that</w:t>
      </w:r>
      <w:r>
        <w:rPr>
          <w:spacing w:val="40"/>
          <w:sz w:val="24"/>
        </w:rPr>
        <w:t> </w:t>
      </w:r>
      <w:r>
        <w:rPr>
          <w:sz w:val="24"/>
        </w:rPr>
        <w:t>they</w:t>
      </w:r>
      <w:r>
        <w:rPr>
          <w:spacing w:val="40"/>
          <w:sz w:val="24"/>
        </w:rPr>
        <w:t> </w:t>
      </w:r>
      <w:r>
        <w:rPr>
          <w:sz w:val="24"/>
        </w:rPr>
        <w:t>may</w:t>
      </w:r>
      <w:r>
        <w:rPr>
          <w:spacing w:val="40"/>
          <w:sz w:val="24"/>
        </w:rPr>
        <w:t> </w:t>
      </w:r>
      <w:r>
        <w:rPr>
          <w:sz w:val="24"/>
        </w:rPr>
        <w:t>shift</w:t>
      </w:r>
      <w:r>
        <w:rPr>
          <w:spacing w:val="40"/>
          <w:sz w:val="24"/>
        </w:rPr>
        <w:t> </w:t>
      </w:r>
      <w:r>
        <w:rPr>
          <w:sz w:val="24"/>
        </w:rPr>
        <w:t>to</w:t>
      </w:r>
      <w:r>
        <w:rPr>
          <w:spacing w:val="40"/>
          <w:sz w:val="24"/>
        </w:rPr>
        <w:t> </w:t>
      </w:r>
      <w:r>
        <w:rPr>
          <w:sz w:val="24"/>
        </w:rPr>
        <w:t>a</w:t>
      </w:r>
      <w:r>
        <w:rPr>
          <w:spacing w:val="9"/>
          <w:sz w:val="24"/>
        </w:rPr>
        <w:t> conforming </w:t>
      </w:r>
      <w:r>
        <w:rPr>
          <w:sz w:val="24"/>
        </w:rPr>
        <w:t>zone after a specific period, may, with the Commissioner's special permission, be allowed to make additions to start a new process or to manufacture new products, provided the degree of nuisance from the existing</w:t>
      </w:r>
      <w:r>
        <w:rPr>
          <w:spacing w:val="66"/>
          <w:sz w:val="24"/>
        </w:rPr>
        <w:t> </w:t>
      </w:r>
      <w:r>
        <w:rPr>
          <w:sz w:val="24"/>
        </w:rPr>
        <w:t>unit</w:t>
      </w:r>
      <w:r>
        <w:rPr>
          <w:spacing w:val="40"/>
          <w:sz w:val="24"/>
        </w:rPr>
        <w:t> </w:t>
      </w:r>
      <w:r>
        <w:rPr>
          <w:sz w:val="24"/>
        </w:rPr>
        <w:t>will</w:t>
      </w:r>
      <w:r>
        <w:rPr>
          <w:spacing w:val="40"/>
          <w:sz w:val="24"/>
        </w:rPr>
        <w:t> </w:t>
      </w:r>
      <w:r>
        <w:rPr>
          <w:sz w:val="24"/>
        </w:rPr>
        <w:t>in</w:t>
      </w:r>
      <w:r>
        <w:rPr>
          <w:spacing w:val="40"/>
          <w:sz w:val="24"/>
        </w:rPr>
        <w:t> </w:t>
      </w:r>
      <w:r>
        <w:rPr>
          <w:sz w:val="24"/>
        </w:rPr>
        <w:t>no</w:t>
      </w:r>
      <w:r>
        <w:rPr>
          <w:spacing w:val="40"/>
          <w:sz w:val="24"/>
        </w:rPr>
        <w:t> </w:t>
      </w:r>
      <w:r>
        <w:rPr>
          <w:sz w:val="24"/>
        </w:rPr>
        <w:t>way</w:t>
      </w:r>
      <w:r>
        <w:rPr>
          <w:spacing w:val="40"/>
          <w:sz w:val="24"/>
        </w:rPr>
        <w:t> </w:t>
      </w:r>
      <w:r>
        <w:rPr>
          <w:sz w:val="24"/>
        </w:rPr>
        <w:t>be</w:t>
      </w:r>
      <w:r>
        <w:rPr>
          <w:spacing w:val="40"/>
          <w:sz w:val="24"/>
        </w:rPr>
        <w:t> </w:t>
      </w:r>
      <w:r>
        <w:rPr>
          <w:sz w:val="24"/>
        </w:rPr>
        <w:t>affected</w:t>
      </w:r>
      <w:r>
        <w:rPr>
          <w:spacing w:val="40"/>
          <w:sz w:val="24"/>
        </w:rPr>
        <w:t> </w:t>
      </w:r>
      <w:r>
        <w:rPr>
          <w:sz w:val="24"/>
        </w:rPr>
        <w:t>by</w:t>
      </w:r>
      <w:r>
        <w:rPr>
          <w:spacing w:val="40"/>
          <w:sz w:val="24"/>
        </w:rPr>
        <w:t> </w:t>
      </w:r>
      <w:r>
        <w:rPr>
          <w:sz w:val="24"/>
        </w:rPr>
        <w:t>such</w:t>
      </w:r>
      <w:r>
        <w:rPr>
          <w:spacing w:val="66"/>
          <w:sz w:val="24"/>
        </w:rPr>
        <w:t> </w:t>
      </w:r>
      <w:r>
        <w:rPr>
          <w:sz w:val="24"/>
        </w:rPr>
        <w:t>additions</w:t>
      </w:r>
      <w:r>
        <w:rPr>
          <w:spacing w:val="40"/>
          <w:sz w:val="24"/>
        </w:rPr>
        <w:t> </w:t>
      </w:r>
      <w:r>
        <w:rPr>
          <w:sz w:val="24"/>
        </w:rPr>
        <w:t>and</w:t>
      </w:r>
      <w:r>
        <w:rPr>
          <w:spacing w:val="40"/>
          <w:sz w:val="24"/>
        </w:rPr>
        <w:t> </w:t>
      </w:r>
      <w:r>
        <w:rPr>
          <w:spacing w:val="9"/>
          <w:sz w:val="24"/>
        </w:rPr>
        <w:t>subject</w:t>
      </w:r>
      <w:r>
        <w:rPr>
          <w:spacing w:val="40"/>
          <w:sz w:val="24"/>
        </w:rPr>
        <w:t> </w:t>
      </w:r>
      <w:r>
        <w:rPr>
          <w:sz w:val="24"/>
        </w:rPr>
        <w:t>to</w:t>
      </w:r>
      <w:r>
        <w:rPr>
          <w:spacing w:val="40"/>
          <w:sz w:val="24"/>
        </w:rPr>
        <w:t> </w:t>
      </w:r>
      <w:r>
        <w:rPr>
          <w:sz w:val="24"/>
        </w:rPr>
        <w:t>requirements</w:t>
      </w:r>
      <w:r>
        <w:rPr>
          <w:spacing w:val="40"/>
          <w:sz w:val="24"/>
        </w:rPr>
        <w:t> </w:t>
      </w:r>
      <w:r>
        <w:rPr>
          <w:sz w:val="24"/>
        </w:rPr>
        <w:t>of</w:t>
      </w:r>
      <w:r>
        <w:rPr>
          <w:spacing w:val="40"/>
          <w:sz w:val="24"/>
        </w:rPr>
        <w:t> </w:t>
      </w:r>
      <w:r>
        <w:rPr>
          <w:sz w:val="24"/>
        </w:rPr>
        <w:t>these</w:t>
      </w:r>
      <w:r>
        <w:rPr>
          <w:spacing w:val="40"/>
          <w:sz w:val="24"/>
        </w:rPr>
        <w:t> </w:t>
      </w:r>
      <w:r>
        <w:rPr>
          <w:sz w:val="24"/>
        </w:rPr>
        <w:t>Regulations</w:t>
      </w:r>
      <w:r>
        <w:rPr>
          <w:spacing w:val="40"/>
          <w:sz w:val="24"/>
        </w:rPr>
        <w:t> </w:t>
      </w:r>
      <w:r>
        <w:rPr>
          <w:sz w:val="24"/>
        </w:rPr>
        <w:t>for</w:t>
      </w:r>
      <w:r>
        <w:rPr>
          <w:spacing w:val="40"/>
          <w:sz w:val="24"/>
        </w:rPr>
        <w:t> </w:t>
      </w:r>
      <w:r>
        <w:rPr>
          <w:sz w:val="24"/>
        </w:rPr>
        <w:t>such</w:t>
      </w:r>
      <w:r>
        <w:rPr>
          <w:spacing w:val="40"/>
          <w:sz w:val="24"/>
        </w:rPr>
        <w:t> </w:t>
      </w:r>
      <w:r>
        <w:rPr>
          <w:spacing w:val="9"/>
          <w:sz w:val="24"/>
        </w:rPr>
        <w:t>additions.</w:t>
      </w:r>
    </w:p>
    <w:p>
      <w:pPr>
        <w:pStyle w:val="ListParagraph"/>
        <w:numPr>
          <w:ilvl w:val="0"/>
          <w:numId w:val="229"/>
        </w:numPr>
        <w:tabs>
          <w:tab w:pos="1770" w:val="left" w:leader="none"/>
        </w:tabs>
        <w:spacing w:line="240" w:lineRule="auto" w:before="241" w:after="0"/>
        <w:ind w:left="1433" w:right="785" w:firstLine="0"/>
        <w:jc w:val="both"/>
        <w:rPr>
          <w:sz w:val="24"/>
        </w:rPr>
      </w:pPr>
      <w:r>
        <w:rPr>
          <w:sz w:val="24"/>
        </w:rPr>
        <w:t>In</w:t>
      </w:r>
      <w:r>
        <w:rPr>
          <w:spacing w:val="40"/>
          <w:sz w:val="24"/>
        </w:rPr>
        <w:t> </w:t>
      </w:r>
      <w:r>
        <w:rPr>
          <w:sz w:val="24"/>
        </w:rPr>
        <w:t>C</w:t>
      </w:r>
      <w:r>
        <w:rPr>
          <w:spacing w:val="40"/>
          <w:sz w:val="24"/>
        </w:rPr>
        <w:t> </w:t>
      </w:r>
      <w:r>
        <w:rPr>
          <w:sz w:val="24"/>
        </w:rPr>
        <w:t>and</w:t>
      </w:r>
      <w:r>
        <w:rPr>
          <w:spacing w:val="40"/>
          <w:sz w:val="24"/>
        </w:rPr>
        <w:t> </w:t>
      </w:r>
      <w:r>
        <w:rPr>
          <w:sz w:val="24"/>
        </w:rPr>
        <w:t>I</w:t>
      </w:r>
      <w:r>
        <w:rPr>
          <w:spacing w:val="40"/>
          <w:sz w:val="24"/>
        </w:rPr>
        <w:t> </w:t>
      </w:r>
      <w:r>
        <w:rPr>
          <w:sz w:val="24"/>
        </w:rPr>
        <w:t>Zone,</w:t>
      </w:r>
      <w:r>
        <w:rPr>
          <w:spacing w:val="40"/>
          <w:sz w:val="24"/>
        </w:rPr>
        <w:t> </w:t>
      </w:r>
      <w:r>
        <w:rPr>
          <w:sz w:val="24"/>
        </w:rPr>
        <w:t>if</w:t>
      </w:r>
      <w:r>
        <w:rPr>
          <w:spacing w:val="40"/>
          <w:sz w:val="24"/>
        </w:rPr>
        <w:t> </w:t>
      </w:r>
      <w:r>
        <w:rPr>
          <w:sz w:val="24"/>
        </w:rPr>
        <w:t>entire</w:t>
      </w:r>
      <w:r>
        <w:rPr>
          <w:spacing w:val="40"/>
          <w:sz w:val="24"/>
        </w:rPr>
        <w:t> </w:t>
      </w:r>
      <w:r>
        <w:rPr>
          <w:sz w:val="24"/>
        </w:rPr>
        <w:t>building</w:t>
      </w:r>
      <w:r>
        <w:rPr>
          <w:spacing w:val="40"/>
          <w:sz w:val="24"/>
        </w:rPr>
        <w:t> </w:t>
      </w:r>
      <w:r>
        <w:rPr>
          <w:sz w:val="24"/>
        </w:rPr>
        <w:t>is</w:t>
      </w:r>
      <w:r>
        <w:rPr>
          <w:spacing w:val="40"/>
          <w:sz w:val="24"/>
        </w:rPr>
        <w:t> </w:t>
      </w:r>
      <w:r>
        <w:rPr>
          <w:sz w:val="24"/>
        </w:rPr>
        <w:t>constructed</w:t>
      </w:r>
      <w:r>
        <w:rPr>
          <w:spacing w:val="40"/>
          <w:sz w:val="24"/>
        </w:rPr>
        <w:t> </w:t>
      </w:r>
      <w:r>
        <w:rPr>
          <w:sz w:val="24"/>
        </w:rPr>
        <w:t>for</w:t>
      </w:r>
      <w:r>
        <w:rPr>
          <w:spacing w:val="13"/>
          <w:sz w:val="24"/>
        </w:rPr>
        <w:t> non-</w:t>
      </w:r>
      <w:r>
        <w:rPr>
          <w:sz w:val="24"/>
        </w:rPr>
        <w:t>residential use,</w:t>
      </w:r>
      <w:r>
        <w:rPr>
          <w:spacing w:val="77"/>
          <w:sz w:val="24"/>
        </w:rPr>
        <w:t> </w:t>
      </w:r>
      <w:r>
        <w:rPr>
          <w:sz w:val="24"/>
        </w:rPr>
        <w:t>the</w:t>
      </w:r>
      <w:r>
        <w:rPr>
          <w:spacing w:val="80"/>
          <w:sz w:val="24"/>
        </w:rPr>
        <w:t> </w:t>
      </w:r>
      <w:r>
        <w:rPr>
          <w:sz w:val="24"/>
        </w:rPr>
        <w:t>requirement</w:t>
      </w:r>
      <w:r>
        <w:rPr>
          <w:spacing w:val="76"/>
          <w:sz w:val="24"/>
        </w:rPr>
        <w:t> </w:t>
      </w:r>
      <w:r>
        <w:rPr>
          <w:sz w:val="24"/>
        </w:rPr>
        <w:t>of</w:t>
      </w:r>
      <w:r>
        <w:rPr>
          <w:spacing w:val="76"/>
          <w:sz w:val="24"/>
        </w:rPr>
        <w:t> </w:t>
      </w:r>
      <w:r>
        <w:rPr>
          <w:sz w:val="24"/>
        </w:rPr>
        <w:t>separate</w:t>
      </w:r>
      <w:r>
        <w:rPr>
          <w:spacing w:val="80"/>
          <w:sz w:val="24"/>
        </w:rPr>
        <w:t> </w:t>
      </w:r>
      <w:r>
        <w:rPr>
          <w:sz w:val="24"/>
        </w:rPr>
        <w:t>access</w:t>
      </w:r>
      <w:r>
        <w:rPr>
          <w:spacing w:val="76"/>
          <w:sz w:val="24"/>
        </w:rPr>
        <w:t> </w:t>
      </w:r>
      <w:r>
        <w:rPr>
          <w:sz w:val="24"/>
        </w:rPr>
        <w:t>shall</w:t>
      </w:r>
      <w:r>
        <w:rPr>
          <w:spacing w:val="80"/>
          <w:sz w:val="24"/>
        </w:rPr>
        <w:t> </w:t>
      </w:r>
      <w:r>
        <w:rPr>
          <w:sz w:val="24"/>
        </w:rPr>
        <w:t>not</w:t>
      </w:r>
      <w:r>
        <w:rPr>
          <w:spacing w:val="76"/>
          <w:sz w:val="24"/>
        </w:rPr>
        <w:t> </w:t>
      </w:r>
      <w:r>
        <w:rPr>
          <w:sz w:val="24"/>
        </w:rPr>
        <w:t>be</w:t>
      </w:r>
      <w:r>
        <w:rPr>
          <w:spacing w:val="76"/>
          <w:sz w:val="24"/>
        </w:rPr>
        <w:t> </w:t>
      </w:r>
      <w:r>
        <w:rPr>
          <w:sz w:val="24"/>
        </w:rPr>
        <w:t>insisted</w:t>
      </w:r>
      <w:r>
        <w:rPr>
          <w:spacing w:val="76"/>
          <w:sz w:val="24"/>
        </w:rPr>
        <w:t> </w:t>
      </w:r>
      <w:r>
        <w:rPr>
          <w:sz w:val="24"/>
        </w:rPr>
        <w:t>upon.</w:t>
      </w:r>
    </w:p>
    <w:p>
      <w:pPr>
        <w:pStyle w:val="ListParagraph"/>
        <w:numPr>
          <w:ilvl w:val="2"/>
          <w:numId w:val="135"/>
        </w:numPr>
        <w:tabs>
          <w:tab w:pos="1738" w:val="left" w:leader="none"/>
        </w:tabs>
        <w:spacing w:line="240" w:lineRule="auto" w:before="238" w:after="0"/>
        <w:ind w:left="1738" w:right="0" w:hanging="305"/>
        <w:jc w:val="both"/>
        <w:rPr>
          <w:sz w:val="24"/>
        </w:rPr>
      </w:pPr>
      <w:r>
        <w:rPr>
          <w:sz w:val="24"/>
        </w:rPr>
        <w:t>Prohibition</w:t>
      </w:r>
      <w:r>
        <w:rPr>
          <w:spacing w:val="61"/>
          <w:sz w:val="24"/>
        </w:rPr>
        <w:t> </w:t>
      </w:r>
      <w:r>
        <w:rPr>
          <w:sz w:val="24"/>
        </w:rPr>
        <w:t>of</w:t>
      </w:r>
      <w:r>
        <w:rPr>
          <w:spacing w:val="58"/>
          <w:sz w:val="24"/>
        </w:rPr>
        <w:t> </w:t>
      </w:r>
      <w:r>
        <w:rPr>
          <w:sz w:val="24"/>
        </w:rPr>
        <w:t>Factories</w:t>
      </w:r>
      <w:r>
        <w:rPr>
          <w:spacing w:val="63"/>
          <w:sz w:val="24"/>
        </w:rPr>
        <w:t> </w:t>
      </w:r>
      <w:r>
        <w:rPr>
          <w:sz w:val="24"/>
        </w:rPr>
        <w:t>in</w:t>
      </w:r>
      <w:r>
        <w:rPr>
          <w:spacing w:val="59"/>
          <w:sz w:val="24"/>
        </w:rPr>
        <w:t> </w:t>
      </w:r>
      <w:r>
        <w:rPr>
          <w:sz w:val="24"/>
        </w:rPr>
        <w:t>Residential</w:t>
      </w:r>
      <w:r>
        <w:rPr>
          <w:spacing w:val="58"/>
          <w:sz w:val="24"/>
        </w:rPr>
        <w:t> </w:t>
      </w:r>
      <w:r>
        <w:rPr>
          <w:sz w:val="24"/>
        </w:rPr>
        <w:t>Building</w:t>
      </w:r>
      <w:r>
        <w:rPr>
          <w:spacing w:val="63"/>
          <w:sz w:val="24"/>
        </w:rPr>
        <w:t> </w:t>
      </w:r>
      <w:r>
        <w:rPr>
          <w:sz w:val="24"/>
        </w:rPr>
        <w:t>in</w:t>
      </w:r>
      <w:r>
        <w:rPr>
          <w:spacing w:val="58"/>
          <w:sz w:val="24"/>
        </w:rPr>
        <w:t> </w:t>
      </w:r>
      <w:r>
        <w:rPr>
          <w:sz w:val="24"/>
        </w:rPr>
        <w:t>Conforming</w:t>
      </w:r>
      <w:r>
        <w:rPr>
          <w:spacing w:val="64"/>
          <w:sz w:val="24"/>
        </w:rPr>
        <w:t> </w:t>
      </w:r>
      <w:r>
        <w:rPr>
          <w:spacing w:val="-2"/>
          <w:sz w:val="24"/>
        </w:rPr>
        <w:t>Zones:</w:t>
      </w:r>
    </w:p>
    <w:p>
      <w:pPr>
        <w:pStyle w:val="BodyText"/>
        <w:spacing w:before="241"/>
        <w:ind w:left="1433" w:right="776"/>
      </w:pPr>
      <w:r>
        <w:rPr/>
        <w:t>Notwithstanding</w:t>
      </w:r>
      <w:r>
        <w:rPr>
          <w:spacing w:val="80"/>
        </w:rPr>
        <w:t> </w:t>
      </w:r>
      <w:r>
        <w:rPr/>
        <w:t>anything</w:t>
      </w:r>
      <w:r>
        <w:rPr>
          <w:spacing w:val="80"/>
        </w:rPr>
        <w:t> </w:t>
      </w:r>
      <w:r>
        <w:rPr/>
        <w:t>contained</w:t>
      </w:r>
      <w:r>
        <w:rPr>
          <w:spacing w:val="80"/>
        </w:rPr>
        <w:t> </w:t>
      </w:r>
      <w:r>
        <w:rPr/>
        <w:t>in</w:t>
      </w:r>
      <w:r>
        <w:rPr>
          <w:spacing w:val="80"/>
        </w:rPr>
        <w:t> </w:t>
      </w:r>
      <w:r>
        <w:rPr/>
        <w:t>these</w:t>
      </w:r>
      <w:r>
        <w:rPr>
          <w:spacing w:val="80"/>
        </w:rPr>
        <w:t> </w:t>
      </w:r>
      <w:r>
        <w:rPr/>
        <w:t>Regulations,</w:t>
      </w:r>
      <w:r>
        <w:rPr>
          <w:spacing w:val="80"/>
        </w:rPr>
        <w:t> </w:t>
      </w:r>
      <w:r>
        <w:rPr/>
        <w:t>no permission</w:t>
      </w:r>
      <w:r>
        <w:rPr>
          <w:spacing w:val="40"/>
        </w:rPr>
        <w:t> </w:t>
      </w:r>
      <w:r>
        <w:rPr/>
        <w:t>shall</w:t>
      </w:r>
      <w:r>
        <w:rPr>
          <w:spacing w:val="40"/>
        </w:rPr>
        <w:t> </w:t>
      </w:r>
      <w:r>
        <w:rPr/>
        <w:t>be</w:t>
      </w:r>
      <w:r>
        <w:rPr>
          <w:spacing w:val="40"/>
        </w:rPr>
        <w:t> </w:t>
      </w:r>
      <w:r>
        <w:rPr/>
        <w:t>granted</w:t>
      </w:r>
      <w:r>
        <w:rPr>
          <w:spacing w:val="40"/>
        </w:rPr>
        <w:t> </w:t>
      </w:r>
      <w:r>
        <w:rPr/>
        <w:t>for</w:t>
      </w:r>
      <w:r>
        <w:rPr>
          <w:spacing w:val="40"/>
        </w:rPr>
        <w:t> </w:t>
      </w:r>
      <w:r>
        <w:rPr/>
        <w:t>establishing</w:t>
      </w:r>
      <w:r>
        <w:rPr>
          <w:spacing w:val="40"/>
        </w:rPr>
        <w:t> </w:t>
      </w:r>
      <w:r>
        <w:rPr/>
        <w:t>any</w:t>
      </w:r>
      <w:r>
        <w:rPr>
          <w:spacing w:val="40"/>
        </w:rPr>
        <w:t> </w:t>
      </w:r>
      <w:r>
        <w:rPr/>
        <w:t>factory,</w:t>
      </w:r>
      <w:r>
        <w:rPr>
          <w:spacing w:val="40"/>
        </w:rPr>
        <w:t> </w:t>
      </w:r>
      <w:r>
        <w:rPr/>
        <w:t>workshop</w:t>
      </w:r>
      <w:r>
        <w:rPr>
          <w:spacing w:val="40"/>
        </w:rPr>
        <w:t> </w:t>
      </w:r>
      <w:r>
        <w:rPr/>
        <w:t>or work</w:t>
      </w:r>
      <w:r>
        <w:rPr>
          <w:spacing w:val="40"/>
        </w:rPr>
        <w:t> </w:t>
      </w:r>
      <w:r>
        <w:rPr/>
        <w:t>place</w:t>
      </w:r>
      <w:r>
        <w:rPr>
          <w:spacing w:val="40"/>
        </w:rPr>
        <w:t> </w:t>
      </w:r>
      <w:r>
        <w:rPr/>
        <w:t>(for</w:t>
      </w:r>
      <w:r>
        <w:rPr>
          <w:spacing w:val="40"/>
        </w:rPr>
        <w:t> </w:t>
      </w:r>
      <w:r>
        <w:rPr/>
        <w:t>the</w:t>
      </w:r>
      <w:r>
        <w:rPr>
          <w:spacing w:val="40"/>
        </w:rPr>
        <w:t> </w:t>
      </w:r>
      <w:r>
        <w:rPr/>
        <w:t>establishment</w:t>
      </w:r>
      <w:r>
        <w:rPr>
          <w:spacing w:val="40"/>
        </w:rPr>
        <w:t> </w:t>
      </w:r>
      <w:r>
        <w:rPr/>
        <w:t>of</w:t>
      </w:r>
      <w:r>
        <w:rPr>
          <w:spacing w:val="40"/>
        </w:rPr>
        <w:t> </w:t>
      </w:r>
      <w:r>
        <w:rPr/>
        <w:t>which</w:t>
      </w:r>
      <w:r>
        <w:rPr>
          <w:spacing w:val="40"/>
        </w:rPr>
        <w:t> </w:t>
      </w:r>
      <w:r>
        <w:rPr/>
        <w:t>previous</w:t>
      </w:r>
      <w:r>
        <w:rPr>
          <w:spacing w:val="40"/>
        </w:rPr>
        <w:t> </w:t>
      </w:r>
      <w:r>
        <w:rPr/>
        <w:t>permission</w:t>
      </w:r>
      <w:r>
        <w:rPr>
          <w:spacing w:val="40"/>
        </w:rPr>
        <w:t> </w:t>
      </w:r>
      <w:r>
        <w:rPr/>
        <w:t>is required</w:t>
      </w:r>
      <w:r>
        <w:rPr>
          <w:spacing w:val="40"/>
        </w:rPr>
        <w:t> </w:t>
      </w:r>
      <w:r>
        <w:rPr/>
        <w:t>under Section 390 of the MMC Act, 1888) wholly or partly on</w:t>
      </w:r>
      <w:r>
        <w:rPr>
          <w:spacing w:val="80"/>
        </w:rPr>
        <w:t> </w:t>
      </w:r>
      <w:r>
        <w:rPr/>
        <w:t>lands</w:t>
      </w:r>
      <w:r>
        <w:rPr>
          <w:spacing w:val="40"/>
        </w:rPr>
        <w:t> </w:t>
      </w:r>
      <w:r>
        <w:rPr/>
        <w:t>used</w:t>
      </w:r>
      <w:r>
        <w:rPr>
          <w:spacing w:val="40"/>
        </w:rPr>
        <w:t> </w:t>
      </w:r>
      <w:r>
        <w:rPr/>
        <w:t>for</w:t>
      </w:r>
      <w:r>
        <w:rPr>
          <w:spacing w:val="40"/>
        </w:rPr>
        <w:t> </w:t>
      </w:r>
      <w:r>
        <w:rPr/>
        <w:t>residential</w:t>
      </w:r>
      <w:r>
        <w:rPr>
          <w:spacing w:val="40"/>
        </w:rPr>
        <w:t> </w:t>
      </w:r>
      <w:r>
        <w:rPr/>
        <w:t>purposes</w:t>
      </w:r>
      <w:r>
        <w:rPr>
          <w:spacing w:val="40"/>
        </w:rPr>
        <w:t> </w:t>
      </w:r>
      <w:r>
        <w:rPr/>
        <w:t>even</w:t>
      </w:r>
      <w:r>
        <w:rPr>
          <w:spacing w:val="40"/>
        </w:rPr>
        <w:t> </w:t>
      </w:r>
      <w:r>
        <w:rPr/>
        <w:t>if</w:t>
      </w:r>
      <w:r>
        <w:rPr>
          <w:spacing w:val="40"/>
        </w:rPr>
        <w:t> </w:t>
      </w:r>
      <w:r>
        <w:rPr/>
        <w:t>such</w:t>
      </w:r>
      <w:r>
        <w:rPr>
          <w:spacing w:val="40"/>
        </w:rPr>
        <w:t> </w:t>
      </w:r>
      <w:r>
        <w:rPr/>
        <w:t>use</w:t>
      </w:r>
      <w:r>
        <w:rPr>
          <w:spacing w:val="40"/>
        </w:rPr>
        <w:t> </w:t>
      </w:r>
      <w:r>
        <w:rPr/>
        <w:t>is</w:t>
      </w:r>
      <w:r>
        <w:rPr>
          <w:spacing w:val="40"/>
        </w:rPr>
        <w:t> </w:t>
      </w:r>
      <w:r>
        <w:rPr/>
        <w:t>in</w:t>
      </w:r>
      <w:r>
        <w:rPr>
          <w:spacing w:val="40"/>
        </w:rPr>
        <w:t> </w:t>
      </w:r>
      <w:r>
        <w:rPr/>
        <w:t>conformity with</w:t>
      </w:r>
      <w:r>
        <w:rPr>
          <w:spacing w:val="40"/>
        </w:rPr>
        <w:t> </w:t>
      </w:r>
      <w:r>
        <w:rPr/>
        <w:t>these</w:t>
      </w:r>
      <w:r>
        <w:rPr>
          <w:spacing w:val="40"/>
        </w:rPr>
        <w:t> </w:t>
      </w:r>
      <w:r>
        <w:rPr/>
        <w:t>Regulations</w:t>
      </w:r>
      <w:r>
        <w:rPr>
          <w:spacing w:val="40"/>
        </w:rPr>
        <w:t> </w:t>
      </w:r>
      <w:r>
        <w:rPr/>
        <w:t>and</w:t>
      </w:r>
      <w:r>
        <w:rPr>
          <w:spacing w:val="40"/>
        </w:rPr>
        <w:t> </w:t>
      </w:r>
      <w:r>
        <w:rPr/>
        <w:t>the</w:t>
      </w:r>
      <w:r>
        <w:rPr>
          <w:spacing w:val="40"/>
        </w:rPr>
        <w:t> </w:t>
      </w:r>
      <w:r>
        <w:rPr/>
        <w:t>aforesaid</w:t>
      </w:r>
      <w:r>
        <w:rPr>
          <w:spacing w:val="40"/>
        </w:rPr>
        <w:t> </w:t>
      </w:r>
      <w:r>
        <w:rPr/>
        <w:t>Act;</w:t>
      </w:r>
    </w:p>
    <w:p>
      <w:pPr>
        <w:pStyle w:val="BodyText"/>
        <w:spacing w:before="242"/>
        <w:ind w:left="1433" w:right="785"/>
      </w:pPr>
      <w:r>
        <w:rPr/>
        <w:t>Provided that the uses in a residential building permissible under this Regulation which are compatible with the residential use unless &amp;</w:t>
      </w:r>
      <w:r>
        <w:rPr>
          <w:spacing w:val="40"/>
        </w:rPr>
        <w:t> </w:t>
      </w:r>
      <w:r>
        <w:rPr/>
        <w:t>otherwise</w:t>
      </w:r>
      <w:r>
        <w:rPr>
          <w:spacing w:val="80"/>
        </w:rPr>
        <w:t> </w:t>
      </w:r>
      <w:r>
        <w:rPr/>
        <w:t>specified</w:t>
      </w:r>
      <w:r>
        <w:rPr>
          <w:spacing w:val="80"/>
        </w:rPr>
        <w:t> </w:t>
      </w:r>
      <w:r>
        <w:rPr/>
        <w:t>may</w:t>
      </w:r>
      <w:r>
        <w:rPr>
          <w:spacing w:val="80"/>
        </w:rPr>
        <w:t> </w:t>
      </w:r>
      <w:r>
        <w:rPr/>
        <w:t>be</w:t>
      </w:r>
      <w:r>
        <w:rPr>
          <w:spacing w:val="80"/>
        </w:rPr>
        <w:t> </w:t>
      </w:r>
      <w:r>
        <w:rPr/>
        <w:t>permitted</w:t>
      </w:r>
      <w:r>
        <w:rPr>
          <w:spacing w:val="80"/>
        </w:rPr>
        <w:t> </w:t>
      </w:r>
      <w:r>
        <w:rPr/>
        <w:t>on</w:t>
      </w:r>
      <w:r>
        <w:rPr>
          <w:spacing w:val="80"/>
        </w:rPr>
        <w:t> </w:t>
      </w:r>
      <w:r>
        <w:rPr/>
        <w:t>the</w:t>
      </w:r>
      <w:r>
        <w:rPr>
          <w:spacing w:val="80"/>
        </w:rPr>
        <w:t> </w:t>
      </w:r>
      <w:r>
        <w:rPr/>
        <w:t>ground</w:t>
      </w:r>
      <w:r>
        <w:rPr>
          <w:spacing w:val="80"/>
        </w:rPr>
        <w:t> </w:t>
      </w:r>
      <w:r>
        <w:rPr/>
        <w:t>floor.</w:t>
      </w:r>
    </w:p>
    <w:p>
      <w:pPr>
        <w:pStyle w:val="ListParagraph"/>
        <w:numPr>
          <w:ilvl w:val="2"/>
          <w:numId w:val="135"/>
        </w:numPr>
        <w:tabs>
          <w:tab w:pos="1820" w:val="left" w:leader="none"/>
        </w:tabs>
        <w:spacing w:line="240" w:lineRule="auto" w:before="240" w:after="0"/>
        <w:ind w:left="1433" w:right="784" w:firstLine="0"/>
        <w:jc w:val="both"/>
        <w:rPr>
          <w:sz w:val="24"/>
        </w:rPr>
      </w:pPr>
      <w:r>
        <w:rPr>
          <w:sz w:val="24"/>
        </w:rPr>
        <w:t>All Municipal land of the Municipal Octroi Nakas, shown for existing ‘Truck Terminus’or otherwise, shall be developed as ‘Comprehensive Transport Hub’, which</w:t>
      </w:r>
      <w:r>
        <w:rPr>
          <w:spacing w:val="40"/>
          <w:sz w:val="24"/>
        </w:rPr>
        <w:t> </w:t>
      </w:r>
      <w:r>
        <w:rPr>
          <w:sz w:val="24"/>
        </w:rPr>
        <w:t>will</w:t>
      </w:r>
      <w:r>
        <w:rPr>
          <w:spacing w:val="40"/>
          <w:sz w:val="24"/>
        </w:rPr>
        <w:t> </w:t>
      </w:r>
      <w:r>
        <w:rPr>
          <w:sz w:val="24"/>
        </w:rPr>
        <w:t>interalia include a</w:t>
      </w:r>
      <w:r>
        <w:rPr>
          <w:spacing w:val="40"/>
          <w:sz w:val="24"/>
        </w:rPr>
        <w:t> </w:t>
      </w:r>
      <w:r>
        <w:rPr>
          <w:sz w:val="24"/>
        </w:rPr>
        <w:t>bus/truck terminus and such land shall be considered as falling</w:t>
      </w:r>
      <w:r>
        <w:rPr>
          <w:spacing w:val="40"/>
          <w:sz w:val="24"/>
        </w:rPr>
        <w:t>  </w:t>
      </w:r>
      <w:r>
        <w:rPr>
          <w:sz w:val="24"/>
        </w:rPr>
        <w:t>in Commercial Zone for development apart from primary function and shall be developed as per relevant</w:t>
      </w:r>
      <w:r>
        <w:rPr>
          <w:spacing w:val="40"/>
          <w:sz w:val="24"/>
        </w:rPr>
        <w:t> </w:t>
      </w:r>
      <w:r>
        <w:rPr>
          <w:sz w:val="24"/>
        </w:rPr>
        <w:t>provisions</w:t>
      </w:r>
      <w:r>
        <w:rPr>
          <w:spacing w:val="40"/>
          <w:sz w:val="24"/>
        </w:rPr>
        <w:t> </w:t>
      </w:r>
      <w:r>
        <w:rPr>
          <w:sz w:val="24"/>
        </w:rPr>
        <w:t>of</w:t>
      </w:r>
      <w:r>
        <w:rPr>
          <w:spacing w:val="40"/>
          <w:sz w:val="24"/>
        </w:rPr>
        <w:t> </w:t>
      </w:r>
      <w:r>
        <w:rPr>
          <w:sz w:val="24"/>
        </w:rPr>
        <w:t>these</w:t>
      </w:r>
      <w:r>
        <w:rPr>
          <w:spacing w:val="40"/>
          <w:sz w:val="24"/>
        </w:rPr>
        <w:t> </w:t>
      </w:r>
      <w:r>
        <w:rPr>
          <w:spacing w:val="9"/>
          <w:sz w:val="24"/>
        </w:rPr>
        <w:t>Regulations.</w:t>
      </w:r>
    </w:p>
    <w:p>
      <w:pPr>
        <w:pStyle w:val="BodyText"/>
        <w:spacing w:line="276" w:lineRule="auto" w:before="238"/>
        <w:ind w:left="1481" w:right="779"/>
      </w:pPr>
      <w:r>
        <w:rPr/>
        <w:t>Provided</w:t>
      </w:r>
      <w:r>
        <w:rPr>
          <w:spacing w:val="40"/>
        </w:rPr>
        <w:t> </w:t>
      </w:r>
      <w:r>
        <w:rPr/>
        <w:t>that,</w:t>
      </w:r>
      <w:r>
        <w:rPr>
          <w:spacing w:val="40"/>
        </w:rPr>
        <w:t> </w:t>
      </w:r>
      <w:r>
        <w:rPr/>
        <w:t>if</w:t>
      </w:r>
      <w:r>
        <w:rPr>
          <w:spacing w:val="40"/>
        </w:rPr>
        <w:t> </w:t>
      </w:r>
      <w:r>
        <w:rPr/>
        <w:t>development</w:t>
      </w:r>
      <w:r>
        <w:rPr>
          <w:spacing w:val="40"/>
        </w:rPr>
        <w:t> </w:t>
      </w:r>
      <w:r>
        <w:rPr/>
        <w:t>is</w:t>
      </w:r>
      <w:r>
        <w:rPr>
          <w:spacing w:val="40"/>
        </w:rPr>
        <w:t> </w:t>
      </w:r>
      <w:r>
        <w:rPr>
          <w:spacing w:val="9"/>
        </w:rPr>
        <w:t>proposed</w:t>
      </w:r>
      <w:r>
        <w:rPr>
          <w:spacing w:val="40"/>
        </w:rPr>
        <w:t> </w:t>
      </w:r>
      <w:r>
        <w:rPr/>
        <w:t>by</w:t>
      </w:r>
      <w:r>
        <w:rPr>
          <w:spacing w:val="40"/>
        </w:rPr>
        <w:t> </w:t>
      </w:r>
      <w:r>
        <w:rPr/>
        <w:t>MCGM</w:t>
      </w:r>
      <w:r>
        <w:rPr>
          <w:spacing w:val="40"/>
        </w:rPr>
        <w:t> </w:t>
      </w:r>
      <w:r>
        <w:rPr/>
        <w:t>on</w:t>
      </w:r>
      <w:r>
        <w:rPr>
          <w:spacing w:val="40"/>
        </w:rPr>
        <w:t> </w:t>
      </w:r>
      <w:r>
        <w:rPr/>
        <w:t>its</w:t>
      </w:r>
      <w:r>
        <w:rPr>
          <w:spacing w:val="40"/>
        </w:rPr>
        <w:t> </w:t>
      </w:r>
      <w:r>
        <w:rPr/>
        <w:t>own,</w:t>
      </w:r>
      <w:r>
        <w:rPr>
          <w:spacing w:val="40"/>
        </w:rPr>
        <w:t> </w:t>
      </w:r>
      <w:r>
        <w:rPr/>
        <w:t>then the payment of premium for BUA beyond zonal (basic) </w:t>
      </w:r>
      <w:r>
        <w:rPr>
          <w:spacing w:val="9"/>
        </w:rPr>
        <w:t>FSI, </w:t>
      </w:r>
      <w:r>
        <w:rPr/>
        <w:t>shall not be applicable.</w:t>
      </w:r>
      <w:r>
        <w:rPr>
          <w:spacing w:val="40"/>
        </w:rPr>
        <w:t> </w:t>
      </w:r>
      <w:r>
        <w:rPr/>
        <w:t>However,</w:t>
      </w:r>
      <w:r>
        <w:rPr>
          <w:spacing w:val="40"/>
        </w:rPr>
        <w:t> </w:t>
      </w:r>
      <w:r>
        <w:rPr/>
        <w:t>payment</w:t>
      </w:r>
      <w:r>
        <w:rPr>
          <w:spacing w:val="40"/>
        </w:rPr>
        <w:t> </w:t>
      </w:r>
      <w:r>
        <w:rPr/>
        <w:t>of</w:t>
      </w:r>
      <w:r>
        <w:rPr>
          <w:spacing w:val="40"/>
        </w:rPr>
        <w:t> </w:t>
      </w:r>
      <w:r>
        <w:rPr/>
        <w:t>premium</w:t>
      </w:r>
      <w:r>
        <w:rPr>
          <w:spacing w:val="40"/>
        </w:rPr>
        <w:t> </w:t>
      </w:r>
      <w:r>
        <w:rPr/>
        <w:t>shall</w:t>
      </w:r>
      <w:r>
        <w:rPr>
          <w:spacing w:val="40"/>
        </w:rPr>
        <w:t> </w:t>
      </w:r>
      <w:r>
        <w:rPr/>
        <w:t>be</w:t>
      </w:r>
      <w:r>
        <w:rPr>
          <w:spacing w:val="40"/>
        </w:rPr>
        <w:t> </w:t>
      </w:r>
      <w:r>
        <w:rPr/>
        <w:t>applicable</w:t>
      </w:r>
      <w:r>
        <w:rPr>
          <w:spacing w:val="40"/>
        </w:rPr>
        <w:t> </w:t>
      </w:r>
      <w:r>
        <w:rPr/>
        <w:t>if</w:t>
      </w:r>
      <w:r>
        <w:rPr>
          <w:spacing w:val="40"/>
        </w:rPr>
        <w:t> </w:t>
      </w:r>
      <w:r>
        <w:rPr/>
        <w:t>the project</w:t>
      </w:r>
      <w:r>
        <w:rPr>
          <w:spacing w:val="40"/>
        </w:rPr>
        <w:t> </w:t>
      </w:r>
      <w:r>
        <w:rPr/>
        <w:t>is</w:t>
      </w:r>
      <w:r>
        <w:rPr>
          <w:spacing w:val="40"/>
        </w:rPr>
        <w:t> </w:t>
      </w:r>
      <w:r>
        <w:rPr/>
        <w:t>developed</w:t>
      </w:r>
      <w:r>
        <w:rPr>
          <w:spacing w:val="40"/>
        </w:rPr>
        <w:t> </w:t>
      </w:r>
      <w:r>
        <w:rPr/>
        <w:t>through</w:t>
      </w:r>
      <w:r>
        <w:rPr>
          <w:spacing w:val="40"/>
        </w:rPr>
        <w:t> </w:t>
      </w:r>
      <w:r>
        <w:rPr/>
        <w:t>PPP</w:t>
      </w:r>
      <w:r>
        <w:rPr>
          <w:spacing w:val="40"/>
        </w:rPr>
        <w:t> </w:t>
      </w:r>
      <w:r>
        <w:rPr/>
        <w:t>model/</w:t>
      </w:r>
      <w:r>
        <w:rPr>
          <w:spacing w:val="40"/>
        </w:rPr>
        <w:t> </w:t>
      </w:r>
      <w:r>
        <w:rPr/>
        <w:t>allowed</w:t>
      </w:r>
      <w:r>
        <w:rPr>
          <w:spacing w:val="40"/>
        </w:rPr>
        <w:t> </w:t>
      </w:r>
      <w:r>
        <w:rPr/>
        <w:t>to</w:t>
      </w:r>
      <w:r>
        <w:rPr>
          <w:spacing w:val="40"/>
        </w:rPr>
        <w:t> </w:t>
      </w:r>
      <w:r>
        <w:rPr/>
        <w:t>be</w:t>
      </w:r>
      <w:r>
        <w:rPr>
          <w:spacing w:val="40"/>
        </w:rPr>
        <w:t> </w:t>
      </w:r>
      <w:r>
        <w:rPr/>
        <w:t>developed through</w:t>
      </w:r>
      <w:r>
        <w:rPr>
          <w:spacing w:val="40"/>
        </w:rPr>
        <w:t> </w:t>
      </w:r>
      <w:r>
        <w:rPr/>
        <w:t>any</w:t>
      </w:r>
      <w:r>
        <w:rPr>
          <w:spacing w:val="40"/>
        </w:rPr>
        <w:t> </w:t>
      </w:r>
      <w:r>
        <w:rPr/>
        <w:t>other</w:t>
      </w:r>
      <w:r>
        <w:rPr>
          <w:spacing w:val="40"/>
        </w:rPr>
        <w:t> </w:t>
      </w:r>
      <w:r>
        <w:rPr/>
        <w:t>agency</w:t>
      </w:r>
      <w:r>
        <w:rPr>
          <w:spacing w:val="40"/>
        </w:rPr>
        <w:t> </w:t>
      </w:r>
      <w:r>
        <w:rPr/>
        <w:t>excluding</w:t>
      </w:r>
      <w:r>
        <w:rPr>
          <w:spacing w:val="40"/>
        </w:rPr>
        <w:t> </w:t>
      </w:r>
      <w:r>
        <w:rPr/>
        <w:t>the</w:t>
      </w:r>
      <w:r>
        <w:rPr>
          <w:spacing w:val="40"/>
        </w:rPr>
        <w:t> </w:t>
      </w:r>
      <w:r>
        <w:rPr/>
        <w:t>area</w:t>
      </w:r>
      <w:r>
        <w:rPr>
          <w:spacing w:val="40"/>
        </w:rPr>
        <w:t> </w:t>
      </w:r>
      <w:r>
        <w:rPr/>
        <w:t>to</w:t>
      </w:r>
      <w:r>
        <w:rPr>
          <w:spacing w:val="40"/>
        </w:rPr>
        <w:t> </w:t>
      </w:r>
      <w:r>
        <w:rPr/>
        <w:t>be</w:t>
      </w:r>
      <w:r>
        <w:rPr>
          <w:spacing w:val="40"/>
        </w:rPr>
        <w:t> </w:t>
      </w:r>
      <w:r>
        <w:rPr/>
        <w:t>handed</w:t>
      </w:r>
      <w:r>
        <w:rPr>
          <w:spacing w:val="40"/>
        </w:rPr>
        <w:t> </w:t>
      </w:r>
      <w:r>
        <w:rPr/>
        <w:t>over</w:t>
      </w:r>
      <w:r>
        <w:rPr>
          <w:spacing w:val="40"/>
        </w:rPr>
        <w:t> </w:t>
      </w:r>
      <w:r>
        <w:rPr/>
        <w:t>to </w:t>
      </w:r>
      <w:r>
        <w:rPr>
          <w:spacing w:val="-2"/>
        </w:rPr>
        <w:t>MCGM.</w:t>
      </w:r>
    </w:p>
    <w:p>
      <w:pPr>
        <w:pStyle w:val="BodyText"/>
        <w:spacing w:after="0" w:line="276" w:lineRule="auto"/>
        <w:sectPr>
          <w:pgSz w:w="11910" w:h="16840"/>
          <w:pgMar w:header="1058" w:footer="1088" w:top="1500" w:bottom="1280" w:left="360" w:right="360"/>
        </w:sectPr>
      </w:pPr>
    </w:p>
    <w:p>
      <w:pPr>
        <w:pStyle w:val="BodyText"/>
        <w:spacing w:before="255"/>
        <w:ind w:left="1433" w:right="776"/>
      </w:pPr>
      <w:r>
        <w:rPr/>
        <w:t>Provided</w:t>
      </w:r>
      <w:r>
        <w:rPr>
          <w:spacing w:val="80"/>
        </w:rPr>
        <w:t> </w:t>
      </w:r>
      <w:r>
        <w:rPr/>
        <w:t>further</w:t>
      </w:r>
      <w:r>
        <w:rPr>
          <w:spacing w:val="80"/>
        </w:rPr>
        <w:t> </w:t>
      </w:r>
      <w:r>
        <w:rPr/>
        <w:t>that</w:t>
      </w:r>
      <w:r>
        <w:rPr>
          <w:spacing w:val="80"/>
        </w:rPr>
        <w:t> </w:t>
      </w:r>
      <w:r>
        <w:rPr/>
        <w:t>in</w:t>
      </w:r>
      <w:r>
        <w:rPr>
          <w:spacing w:val="80"/>
        </w:rPr>
        <w:t> </w:t>
      </w:r>
      <w:r>
        <w:rPr/>
        <w:t>case</w:t>
      </w:r>
      <w:r>
        <w:rPr>
          <w:spacing w:val="80"/>
        </w:rPr>
        <w:t> </w:t>
      </w:r>
      <w:r>
        <w:rPr/>
        <w:t>of</w:t>
      </w:r>
      <w:r>
        <w:rPr>
          <w:spacing w:val="80"/>
        </w:rPr>
        <w:t> </w:t>
      </w:r>
      <w:r>
        <w:rPr/>
        <w:t>combined</w:t>
      </w:r>
      <w:r>
        <w:rPr>
          <w:spacing w:val="80"/>
        </w:rPr>
        <w:t> </w:t>
      </w:r>
      <w:r>
        <w:rPr/>
        <w:t>development</w:t>
      </w:r>
      <w:r>
        <w:rPr>
          <w:spacing w:val="80"/>
        </w:rPr>
        <w:t> </w:t>
      </w:r>
      <w:r>
        <w:rPr/>
        <w:t>of comprehensive</w:t>
      </w:r>
      <w:r>
        <w:rPr>
          <w:spacing w:val="40"/>
        </w:rPr>
        <w:t> </w:t>
      </w:r>
      <w:r>
        <w:rPr/>
        <w:t>transport</w:t>
      </w:r>
      <w:r>
        <w:rPr>
          <w:spacing w:val="40"/>
        </w:rPr>
        <w:t> </w:t>
      </w:r>
      <w:r>
        <w:rPr/>
        <w:t>hub</w:t>
      </w:r>
      <w:r>
        <w:rPr>
          <w:spacing w:val="40"/>
        </w:rPr>
        <w:t> </w:t>
      </w:r>
      <w:r>
        <w:rPr/>
        <w:t>interalia</w:t>
      </w:r>
      <w:r>
        <w:rPr>
          <w:spacing w:val="40"/>
        </w:rPr>
        <w:t> </w:t>
      </w:r>
      <w:r>
        <w:rPr/>
        <w:t>bus/truck</w:t>
      </w:r>
      <w:r>
        <w:rPr>
          <w:spacing w:val="40"/>
        </w:rPr>
        <w:t> </w:t>
      </w:r>
      <w:r>
        <w:rPr/>
        <w:t>terminus</w:t>
      </w:r>
      <w:r>
        <w:rPr>
          <w:spacing w:val="40"/>
        </w:rPr>
        <w:t> </w:t>
      </w:r>
      <w:r>
        <w:rPr/>
        <w:t>along</w:t>
      </w:r>
      <w:r>
        <w:rPr>
          <w:spacing w:val="40"/>
        </w:rPr>
        <w:t> </w:t>
      </w:r>
      <w:r>
        <w:rPr>
          <w:spacing w:val="9"/>
        </w:rPr>
        <w:t>with </w:t>
      </w:r>
      <w:r>
        <w:rPr/>
        <w:t>the Commercial </w:t>
      </w:r>
      <w:r>
        <w:rPr>
          <w:spacing w:val="9"/>
        </w:rPr>
        <w:t>development,</w:t>
      </w:r>
      <w:r>
        <w:rPr>
          <w:spacing w:val="9"/>
        </w:rPr>
        <w:t> </w:t>
      </w:r>
      <w:r>
        <w:rPr/>
        <w:t>then area of the parking of vehicles</w:t>
      </w:r>
      <w:r>
        <w:rPr>
          <w:spacing w:val="40"/>
        </w:rPr>
        <w:t> </w:t>
      </w:r>
      <w:r>
        <w:rPr/>
        <w:t>including areas required for maneuverability of vehicles of bus or </w:t>
      </w:r>
      <w:r>
        <w:rPr>
          <w:spacing w:val="9"/>
        </w:rPr>
        <w:t>truck </w:t>
      </w:r>
      <w:r>
        <w:rPr/>
        <w:t>terminus</w:t>
      </w:r>
      <w:r>
        <w:rPr>
          <w:spacing w:val="40"/>
        </w:rPr>
        <w:t> </w:t>
      </w:r>
      <w:r>
        <w:rPr/>
        <w:t>shall</w:t>
      </w:r>
      <w:r>
        <w:rPr>
          <w:spacing w:val="40"/>
        </w:rPr>
        <w:t> </w:t>
      </w:r>
      <w:r>
        <w:rPr/>
        <w:t>be</w:t>
      </w:r>
      <w:r>
        <w:rPr>
          <w:spacing w:val="40"/>
        </w:rPr>
        <w:t> </w:t>
      </w:r>
      <w:r>
        <w:rPr/>
        <w:t>allowed</w:t>
      </w:r>
      <w:r>
        <w:rPr>
          <w:spacing w:val="40"/>
        </w:rPr>
        <w:t> </w:t>
      </w:r>
      <w:r>
        <w:rPr/>
        <w:t>free</w:t>
      </w:r>
      <w:r>
        <w:rPr>
          <w:spacing w:val="40"/>
        </w:rPr>
        <w:t> </w:t>
      </w:r>
      <w:r>
        <w:rPr/>
        <w:t>of</w:t>
      </w:r>
      <w:r>
        <w:rPr>
          <w:spacing w:val="40"/>
        </w:rPr>
        <w:t> </w:t>
      </w:r>
      <w:r>
        <w:rPr/>
        <w:t>FSI.</w:t>
      </w:r>
    </w:p>
    <w:p>
      <w:pPr>
        <w:pStyle w:val="BodyText"/>
        <w:jc w:val="left"/>
      </w:pPr>
    </w:p>
    <w:p>
      <w:pPr>
        <w:pStyle w:val="BodyText"/>
        <w:spacing w:before="197"/>
        <w:jc w:val="left"/>
      </w:pPr>
    </w:p>
    <w:p>
      <w:pPr>
        <w:pStyle w:val="BodyText"/>
        <w:ind w:left="1433" w:right="793"/>
      </w:pPr>
      <w:r>
        <w:rPr>
          <w:b/>
          <w:i/>
        </w:rPr>
        <w:t>Special</w:t>
      </w:r>
      <w:r>
        <w:rPr>
          <w:b/>
          <w:i/>
          <w:spacing w:val="80"/>
        </w:rPr>
        <w:t> </w:t>
      </w:r>
      <w:r>
        <w:rPr>
          <w:b/>
          <w:i/>
        </w:rPr>
        <w:t>Development</w:t>
      </w:r>
      <w:r>
        <w:rPr>
          <w:b/>
          <w:i/>
          <w:spacing w:val="80"/>
        </w:rPr>
        <w:t> </w:t>
      </w:r>
      <w:r>
        <w:rPr>
          <w:b/>
          <w:i/>
        </w:rPr>
        <w:t>Zone</w:t>
      </w:r>
      <w:r>
        <w:rPr>
          <w:b/>
          <w:i/>
          <w:spacing w:val="80"/>
        </w:rPr>
        <w:t> </w:t>
      </w:r>
      <w:r>
        <w:rPr>
          <w:b/>
          <w:i/>
          <w:spacing w:val="10"/>
        </w:rPr>
        <w:t>(SD</w:t>
      </w:r>
      <w:r>
        <w:rPr>
          <w:b/>
          <w:i/>
          <w:color w:val="000000"/>
          <w:spacing w:val="10"/>
          <w:shd w:fill="FFCCFF" w:color="auto" w:val="clear"/>
        </w:rPr>
        <w:t>Z):-</w:t>
      </w:r>
      <w:r>
        <w:rPr>
          <w:color w:val="000000"/>
          <w:shd w:fill="FFCCFF" w:color="auto" w:val="clear"/>
        </w:rPr>
        <w:t>Special</w:t>
      </w:r>
      <w:r>
        <w:rPr>
          <w:color w:val="000000"/>
          <w:spacing w:val="80"/>
          <w:shd w:fill="FFCCFF" w:color="auto" w:val="clear"/>
        </w:rPr>
        <w:t> </w:t>
      </w:r>
      <w:r>
        <w:rPr>
          <w:color w:val="000000"/>
          <w:shd w:fill="FFCCFF" w:color="auto" w:val="clear"/>
        </w:rPr>
        <w:t>Development</w:t>
      </w:r>
      <w:r>
        <w:rPr>
          <w:color w:val="000000"/>
          <w:spacing w:val="80"/>
          <w:shd w:fill="FFCCFF" w:color="auto" w:val="clear"/>
        </w:rPr>
        <w:t> </w:t>
      </w:r>
      <w:r>
        <w:rPr>
          <w:color w:val="000000"/>
          <w:shd w:fill="FFCCFF" w:color="auto" w:val="clear"/>
        </w:rPr>
        <w:t>Zone</w:t>
      </w:r>
      <w:r>
        <w:rPr>
          <w:color w:val="000000"/>
          <w:spacing w:val="80"/>
          <w:shd w:fill="FFCCFF" w:color="auto" w:val="clear"/>
        </w:rPr>
        <w:t> </w:t>
      </w:r>
      <w:r>
        <w:rPr>
          <w:color w:val="000000"/>
          <w:shd w:fill="FFCCFF" w:color="auto" w:val="clear"/>
        </w:rPr>
        <w:t>(SDZ)</w:t>
      </w:r>
      <w:r>
        <w:rPr>
          <w:color w:val="000000"/>
          <w:spacing w:val="80"/>
          <w:shd w:fill="FFCCFF" w:color="auto" w:val="clear"/>
        </w:rPr>
        <w:t> </w:t>
      </w:r>
      <w:r>
        <w:rPr>
          <w:color w:val="000000"/>
          <w:shd w:fill="FFCCFF" w:color="auto" w:val="clear"/>
        </w:rPr>
        <w:t>is</w:t>
      </w:r>
      <w:r>
        <w:rPr>
          <w:color w:val="000000"/>
        </w:rPr>
        <w:t> </w:t>
      </w:r>
      <w:r>
        <w:rPr>
          <w:color w:val="000000"/>
          <w:shd w:fill="FFCCFF" w:color="auto" w:val="clear"/>
        </w:rPr>
        <w:t>a zone which is to be developed predominantly for society at large with</w:t>
      </w:r>
      <w:r>
        <w:rPr>
          <w:color w:val="000000"/>
        </w:rPr>
        <w:t> </w:t>
      </w:r>
      <w:r>
        <w:rPr>
          <w:color w:val="000000"/>
          <w:shd w:fill="FFCCFF" w:color="auto" w:val="clear"/>
        </w:rPr>
        <w:t>emphasis</w:t>
      </w:r>
      <w:r>
        <w:rPr>
          <w:color w:val="000000"/>
          <w:spacing w:val="40"/>
          <w:shd w:fill="FFCCFF" w:color="auto" w:val="clear"/>
        </w:rPr>
        <w:t> </w:t>
      </w:r>
      <w:r>
        <w:rPr>
          <w:color w:val="000000"/>
          <w:shd w:fill="FFCCFF" w:color="auto" w:val="clear"/>
        </w:rPr>
        <w:t>on</w:t>
      </w:r>
      <w:r>
        <w:rPr>
          <w:color w:val="000000"/>
          <w:spacing w:val="40"/>
          <w:shd w:fill="FFCCFF" w:color="auto" w:val="clear"/>
        </w:rPr>
        <w:t> </w:t>
      </w:r>
      <w:r>
        <w:rPr>
          <w:color w:val="000000"/>
        </w:rPr>
        <w:t>Affordable</w:t>
      </w:r>
      <w:r>
        <w:rPr>
          <w:color w:val="000000"/>
          <w:shd w:fill="FFCCFF" w:color="auto" w:val="clear"/>
        </w:rPr>
        <w:t>Housing,</w:t>
      </w:r>
      <w:r>
        <w:rPr>
          <w:color w:val="000000"/>
          <w:spacing w:val="40"/>
          <w:shd w:fill="FFCCFF" w:color="auto" w:val="clear"/>
        </w:rPr>
        <w:t> </w:t>
      </w:r>
      <w:r>
        <w:rPr>
          <w:color w:val="000000"/>
          <w:shd w:fill="FFCCFF" w:color="auto" w:val="clear"/>
        </w:rPr>
        <w:t>POS</w:t>
      </w:r>
      <w:r>
        <w:rPr>
          <w:color w:val="000000"/>
          <w:spacing w:val="40"/>
          <w:shd w:fill="FFCCFF" w:color="auto" w:val="clear"/>
        </w:rPr>
        <w:t> </w:t>
      </w:r>
      <w:r>
        <w:rPr>
          <w:color w:val="000000"/>
          <w:shd w:fill="FFCCFF" w:color="auto" w:val="clear"/>
        </w:rPr>
        <w:t>and</w:t>
      </w:r>
      <w:r>
        <w:rPr>
          <w:color w:val="000000"/>
          <w:spacing w:val="40"/>
          <w:shd w:fill="FFCCFF" w:color="auto" w:val="clear"/>
        </w:rPr>
        <w:t> </w:t>
      </w:r>
      <w:r>
        <w:rPr>
          <w:color w:val="000000"/>
          <w:shd w:fill="FFCCFF" w:color="auto" w:val="clear"/>
        </w:rPr>
        <w:t>necessary</w:t>
      </w:r>
      <w:r>
        <w:rPr>
          <w:color w:val="000000"/>
          <w:spacing w:val="40"/>
          <w:shd w:fill="FFCCFF" w:color="auto" w:val="clear"/>
        </w:rPr>
        <w:t> </w:t>
      </w:r>
      <w:r>
        <w:rPr>
          <w:color w:val="000000"/>
          <w:shd w:fill="FFCCFF" w:color="auto" w:val="clear"/>
        </w:rPr>
        <w:t>Social</w:t>
      </w:r>
      <w:r>
        <w:rPr>
          <w:color w:val="000000"/>
        </w:rPr>
        <w:t> </w:t>
      </w:r>
      <w:r>
        <w:rPr>
          <w:color w:val="000000"/>
          <w:shd w:fill="FFCCFF" w:color="auto" w:val="clear"/>
        </w:rPr>
        <w:t>infrastructures. </w:t>
      </w:r>
      <w:r>
        <w:rPr>
          <w:color w:val="000000"/>
        </w:rPr>
        <w:t>The development of SDZshall be under the provision of regulation </w:t>
      </w:r>
      <w:r>
        <w:rPr>
          <w:color w:val="000000"/>
          <w:spacing w:val="9"/>
        </w:rPr>
        <w:t>33(8)</w:t>
      </w:r>
    </w:p>
    <w:p>
      <w:pPr>
        <w:pStyle w:val="BodyText"/>
        <w:spacing w:before="243"/>
        <w:ind w:left="1433" w:right="776" w:firstLine="86"/>
      </w:pPr>
      <w:r>
        <w:rPr/>
        <w:t>Provided that the structures attracting the provisions of Maharashtra Slums Areas (Improvement, Clearance and Redevelopment) Act, 1971shall be</w:t>
      </w:r>
      <w:r>
        <w:rPr>
          <w:spacing w:val="40"/>
        </w:rPr>
        <w:t> </w:t>
      </w:r>
      <w:r>
        <w:rPr/>
        <w:t>developed</w:t>
      </w:r>
      <w:r>
        <w:rPr>
          <w:spacing w:val="40"/>
        </w:rPr>
        <w:t> </w:t>
      </w:r>
      <w:r>
        <w:rPr/>
        <w:t>under</w:t>
      </w:r>
      <w:r>
        <w:rPr>
          <w:spacing w:val="40"/>
        </w:rPr>
        <w:t> </w:t>
      </w:r>
      <w:r>
        <w:rPr/>
        <w:t>the</w:t>
      </w:r>
      <w:r>
        <w:rPr>
          <w:spacing w:val="40"/>
        </w:rPr>
        <w:t> </w:t>
      </w:r>
      <w:r>
        <w:rPr/>
        <w:t>provision</w:t>
      </w:r>
      <w:r>
        <w:rPr>
          <w:spacing w:val="40"/>
        </w:rPr>
        <w:t> </w:t>
      </w:r>
      <w:r>
        <w:rPr/>
        <w:t>of</w:t>
      </w:r>
      <w:r>
        <w:rPr>
          <w:spacing w:val="40"/>
        </w:rPr>
        <w:t> </w:t>
      </w:r>
      <w:r>
        <w:rPr/>
        <w:t>Regulation</w:t>
      </w:r>
      <w:r>
        <w:rPr>
          <w:spacing w:val="40"/>
        </w:rPr>
        <w:t> </w:t>
      </w:r>
      <w:r>
        <w:rPr>
          <w:spacing w:val="9"/>
        </w:rPr>
        <w:t>33(10)</w:t>
      </w:r>
    </w:p>
    <w:p>
      <w:pPr>
        <w:pStyle w:val="BodyText"/>
        <w:spacing w:before="238"/>
        <w:ind w:left="1212" w:right="868" w:firstLine="91"/>
      </w:pPr>
      <w:r>
        <w:rPr>
          <w:b/>
          <w:i/>
        </w:rPr>
        <w:t>(A)Other Development in </w:t>
      </w:r>
      <w:r>
        <w:rPr>
          <w:b/>
          <w:i/>
          <w:color w:val="000000"/>
          <w:shd w:fill="FFCCFF" w:color="auto" w:val="clear"/>
        </w:rPr>
        <w:t>SDZ :</w:t>
      </w:r>
      <w:r>
        <w:rPr>
          <w:color w:val="000000"/>
        </w:rPr>
        <w:t>The following uses are also permissible provided,</w:t>
      </w:r>
      <w:r>
        <w:rPr>
          <w:color w:val="000000"/>
          <w:spacing w:val="40"/>
        </w:rPr>
        <w:t> </w:t>
      </w:r>
      <w:r>
        <w:rPr>
          <w:color w:val="000000"/>
        </w:rPr>
        <w:t>no services of any kind or Limited/available services will be provided</w:t>
      </w:r>
      <w:r>
        <w:rPr>
          <w:color w:val="000000"/>
          <w:spacing w:val="40"/>
        </w:rPr>
        <w:t> </w:t>
      </w:r>
      <w:r>
        <w:rPr>
          <w:color w:val="000000"/>
        </w:rPr>
        <w:t>by</w:t>
      </w:r>
      <w:r>
        <w:rPr>
          <w:color w:val="000000"/>
          <w:spacing w:val="40"/>
        </w:rPr>
        <w:t> </w:t>
      </w:r>
      <w:r>
        <w:rPr>
          <w:color w:val="000000"/>
        </w:rPr>
        <w:t>the</w:t>
      </w:r>
      <w:r>
        <w:rPr>
          <w:color w:val="000000"/>
          <w:spacing w:val="40"/>
        </w:rPr>
        <w:t> </w:t>
      </w:r>
      <w:r>
        <w:rPr>
          <w:color w:val="000000"/>
        </w:rPr>
        <w:t>Corporation.</w:t>
      </w:r>
      <w:r>
        <w:rPr>
          <w:color w:val="000000"/>
          <w:spacing w:val="40"/>
        </w:rPr>
        <w:t> </w:t>
      </w:r>
      <w:r>
        <w:rPr>
          <w:color w:val="000000"/>
        </w:rPr>
        <w:t>No</w:t>
      </w:r>
      <w:r>
        <w:rPr>
          <w:color w:val="000000"/>
          <w:spacing w:val="40"/>
        </w:rPr>
        <w:t> </w:t>
      </w:r>
      <w:r>
        <w:rPr>
          <w:color w:val="000000"/>
        </w:rPr>
        <w:t>subdivision</w:t>
      </w:r>
      <w:r>
        <w:rPr>
          <w:color w:val="000000"/>
          <w:spacing w:val="40"/>
        </w:rPr>
        <w:t> </w:t>
      </w:r>
      <w:r>
        <w:rPr>
          <w:color w:val="000000"/>
        </w:rPr>
        <w:t>of</w:t>
      </w:r>
      <w:r>
        <w:rPr>
          <w:color w:val="000000"/>
          <w:spacing w:val="40"/>
        </w:rPr>
        <w:t> </w:t>
      </w:r>
      <w:r>
        <w:rPr>
          <w:color w:val="000000"/>
        </w:rPr>
        <w:t>the</w:t>
      </w:r>
      <w:r>
        <w:rPr>
          <w:color w:val="000000"/>
          <w:spacing w:val="40"/>
        </w:rPr>
        <w:t> </w:t>
      </w:r>
      <w:r>
        <w:rPr>
          <w:color w:val="000000"/>
        </w:rPr>
        <w:t>land</w:t>
      </w:r>
      <w:r>
        <w:rPr>
          <w:color w:val="000000"/>
          <w:spacing w:val="40"/>
        </w:rPr>
        <w:t> </w:t>
      </w:r>
      <w:r>
        <w:rPr>
          <w:color w:val="000000"/>
        </w:rPr>
        <w:t>creating</w:t>
      </w:r>
      <w:r>
        <w:rPr>
          <w:color w:val="000000"/>
          <w:spacing w:val="40"/>
        </w:rPr>
        <w:t> </w:t>
      </w:r>
      <w:r>
        <w:rPr>
          <w:color w:val="000000"/>
        </w:rPr>
        <w:t>size</w:t>
      </w:r>
      <w:r>
        <w:rPr>
          <w:color w:val="000000"/>
          <w:spacing w:val="40"/>
        </w:rPr>
        <w:t> </w:t>
      </w:r>
      <w:r>
        <w:rPr>
          <w:color w:val="000000"/>
        </w:rPr>
        <w:t>of plot</w:t>
      </w:r>
      <w:r>
        <w:rPr>
          <w:color w:val="000000"/>
          <w:spacing w:val="40"/>
        </w:rPr>
        <w:t> </w:t>
      </w:r>
      <w:r>
        <w:rPr>
          <w:color w:val="000000"/>
        </w:rPr>
        <w:t>less</w:t>
      </w:r>
      <w:r>
        <w:rPr>
          <w:color w:val="000000"/>
          <w:spacing w:val="40"/>
        </w:rPr>
        <w:t> </w:t>
      </w:r>
      <w:r>
        <w:rPr>
          <w:color w:val="000000"/>
        </w:rPr>
        <w:t>than</w:t>
      </w:r>
      <w:r>
        <w:rPr>
          <w:color w:val="000000"/>
          <w:spacing w:val="40"/>
        </w:rPr>
        <w:t> </w:t>
      </w:r>
      <w:r>
        <w:rPr>
          <w:color w:val="000000"/>
        </w:rPr>
        <w:t>2.0ha</w:t>
      </w:r>
      <w:r>
        <w:rPr>
          <w:color w:val="000000"/>
          <w:spacing w:val="80"/>
        </w:rPr>
        <w:t> </w:t>
      </w:r>
      <w:r>
        <w:rPr>
          <w:color w:val="000000"/>
        </w:rPr>
        <w:t>.</w:t>
      </w:r>
    </w:p>
    <w:p>
      <w:pPr>
        <w:pStyle w:val="ListParagraph"/>
        <w:numPr>
          <w:ilvl w:val="0"/>
          <w:numId w:val="230"/>
        </w:numPr>
        <w:tabs>
          <w:tab w:pos="1568" w:val="left" w:leader="none"/>
        </w:tabs>
        <w:spacing w:line="240" w:lineRule="auto" w:before="238" w:after="0"/>
        <w:ind w:left="1568" w:right="0" w:hanging="368"/>
        <w:jc w:val="left"/>
        <w:rPr>
          <w:b/>
          <w:sz w:val="24"/>
        </w:rPr>
      </w:pPr>
      <w:r>
        <w:rPr>
          <w:b/>
          <w:i/>
          <w:sz w:val="24"/>
        </w:rPr>
        <w:t>Institutional</w:t>
      </w:r>
      <w:r>
        <w:rPr>
          <w:b/>
          <w:i/>
          <w:spacing w:val="70"/>
          <w:sz w:val="24"/>
        </w:rPr>
        <w:t> </w:t>
      </w:r>
      <w:r>
        <w:rPr>
          <w:b/>
          <w:i/>
          <w:spacing w:val="9"/>
          <w:sz w:val="24"/>
        </w:rPr>
        <w:t>Development/</w:t>
      </w:r>
      <w:r>
        <w:rPr>
          <w:b/>
          <w:i/>
          <w:spacing w:val="64"/>
          <w:sz w:val="24"/>
        </w:rPr>
        <w:t>  </w:t>
      </w:r>
      <w:r>
        <w:rPr>
          <w:sz w:val="24"/>
        </w:rPr>
        <w:t>Exhibition</w:t>
      </w:r>
      <w:r>
        <w:rPr>
          <w:spacing w:val="68"/>
          <w:sz w:val="24"/>
        </w:rPr>
        <w:t> </w:t>
      </w:r>
      <w:r>
        <w:rPr>
          <w:sz w:val="24"/>
        </w:rPr>
        <w:t>cum</w:t>
      </w:r>
      <w:r>
        <w:rPr>
          <w:spacing w:val="68"/>
          <w:sz w:val="24"/>
        </w:rPr>
        <w:t> </w:t>
      </w:r>
      <w:r>
        <w:rPr>
          <w:sz w:val="24"/>
        </w:rPr>
        <w:t>convention</w:t>
      </w:r>
      <w:r>
        <w:rPr>
          <w:spacing w:val="68"/>
          <w:sz w:val="24"/>
        </w:rPr>
        <w:t> </w:t>
      </w:r>
      <w:r>
        <w:rPr>
          <w:spacing w:val="-2"/>
          <w:sz w:val="24"/>
        </w:rPr>
        <w:t>Center.</w:t>
      </w:r>
    </w:p>
    <w:p>
      <w:pPr>
        <w:pStyle w:val="BodyText"/>
        <w:spacing w:before="247"/>
        <w:ind w:left="1212" w:right="956"/>
      </w:pPr>
      <w:r>
        <w:rPr/>
        <w:t>Institutional</w:t>
      </w:r>
      <w:r>
        <w:rPr>
          <w:spacing w:val="40"/>
        </w:rPr>
        <w:t> </w:t>
      </w:r>
      <w:r>
        <w:rPr/>
        <w:t>Development</w:t>
      </w:r>
      <w:r>
        <w:rPr>
          <w:spacing w:val="40"/>
        </w:rPr>
        <w:t> </w:t>
      </w:r>
      <w:r>
        <w:rPr/>
        <w:t>such</w:t>
      </w:r>
      <w:r>
        <w:rPr>
          <w:spacing w:val="40"/>
        </w:rPr>
        <w:t> </w:t>
      </w:r>
      <w:r>
        <w:rPr/>
        <w:t>as</w:t>
      </w:r>
      <w:r>
        <w:rPr>
          <w:spacing w:val="40"/>
        </w:rPr>
        <w:t> </w:t>
      </w:r>
      <w:r>
        <w:rPr/>
        <w:t>Higher</w:t>
      </w:r>
      <w:r>
        <w:rPr>
          <w:spacing w:val="40"/>
        </w:rPr>
        <w:t> </w:t>
      </w:r>
      <w:r>
        <w:rPr/>
        <w:t>&amp;</w:t>
      </w:r>
      <w:r>
        <w:rPr>
          <w:spacing w:val="40"/>
        </w:rPr>
        <w:t> </w:t>
      </w:r>
      <w:r>
        <w:rPr/>
        <w:t>Other</w:t>
      </w:r>
      <w:r>
        <w:rPr>
          <w:spacing w:val="40"/>
        </w:rPr>
        <w:t> </w:t>
      </w:r>
      <w:r>
        <w:rPr/>
        <w:t>educational Institutions,</w:t>
      </w:r>
      <w:r>
        <w:rPr>
          <w:spacing w:val="80"/>
          <w:w w:val="150"/>
        </w:rPr>
        <w:t> </w:t>
      </w:r>
      <w:r>
        <w:rPr/>
        <w:t>Medical</w:t>
      </w:r>
      <w:r>
        <w:rPr>
          <w:spacing w:val="80"/>
          <w:w w:val="150"/>
        </w:rPr>
        <w:t> </w:t>
      </w:r>
      <w:r>
        <w:rPr/>
        <w:t>Institutions,</w:t>
      </w:r>
      <w:r>
        <w:rPr>
          <w:spacing w:val="80"/>
          <w:w w:val="150"/>
        </w:rPr>
        <w:t> </w:t>
      </w:r>
      <w:r>
        <w:rPr/>
        <w:t>Urban</w:t>
      </w:r>
      <w:r>
        <w:rPr>
          <w:spacing w:val="80"/>
          <w:w w:val="150"/>
        </w:rPr>
        <w:t> </w:t>
      </w:r>
      <w:r>
        <w:rPr/>
        <w:t>Planning</w:t>
      </w:r>
      <w:r>
        <w:rPr>
          <w:spacing w:val="80"/>
          <w:w w:val="150"/>
        </w:rPr>
        <w:t> </w:t>
      </w:r>
      <w:r>
        <w:rPr/>
        <w:t>Institutions, Financial Institutions &amp; Other Institutions such as Research &amp;</w:t>
      </w:r>
      <w:r>
        <w:rPr>
          <w:spacing w:val="80"/>
        </w:rPr>
        <w:t> </w:t>
      </w:r>
      <w:r>
        <w:rPr/>
        <w:t>Development Institutions shall be permitted subject to the </w:t>
      </w:r>
      <w:r>
        <w:rPr>
          <w:spacing w:val="9"/>
        </w:rPr>
        <w:t>following </w:t>
      </w:r>
      <w:r>
        <w:rPr>
          <w:spacing w:val="7"/>
        </w:rPr>
        <w:t>conditions:</w:t>
      </w:r>
    </w:p>
    <w:p>
      <w:pPr>
        <w:pStyle w:val="ListParagraph"/>
        <w:numPr>
          <w:ilvl w:val="1"/>
          <w:numId w:val="230"/>
        </w:numPr>
        <w:tabs>
          <w:tab w:pos="1532" w:val="left" w:leader="none"/>
        </w:tabs>
        <w:spacing w:line="240" w:lineRule="auto" w:before="240" w:after="0"/>
        <w:ind w:left="1212" w:right="1065" w:firstLine="0"/>
        <w:jc w:val="left"/>
        <w:rPr>
          <w:sz w:val="24"/>
        </w:rPr>
      </w:pPr>
      <w:r>
        <w:rPr>
          <w:sz w:val="24"/>
        </w:rPr>
        <w:t>Maximum</w:t>
      </w:r>
      <w:r>
        <w:rPr>
          <w:spacing w:val="40"/>
          <w:sz w:val="24"/>
        </w:rPr>
        <w:t> </w:t>
      </w:r>
      <w:r>
        <w:rPr>
          <w:sz w:val="24"/>
        </w:rPr>
        <w:t>FSI</w:t>
      </w:r>
      <w:r>
        <w:rPr>
          <w:spacing w:val="40"/>
          <w:sz w:val="24"/>
        </w:rPr>
        <w:t> </w:t>
      </w:r>
      <w:r>
        <w:rPr>
          <w:sz w:val="24"/>
        </w:rPr>
        <w:t>limit</w:t>
      </w:r>
      <w:r>
        <w:rPr>
          <w:spacing w:val="40"/>
          <w:sz w:val="24"/>
        </w:rPr>
        <w:t> </w:t>
      </w:r>
      <w:r>
        <w:rPr>
          <w:sz w:val="24"/>
        </w:rPr>
        <w:t>shall</w:t>
      </w:r>
      <w:r>
        <w:rPr>
          <w:spacing w:val="40"/>
          <w:sz w:val="24"/>
        </w:rPr>
        <w:t> </w:t>
      </w:r>
      <w:r>
        <w:rPr>
          <w:sz w:val="24"/>
        </w:rPr>
        <w:t>be</w:t>
      </w:r>
      <w:r>
        <w:rPr>
          <w:spacing w:val="40"/>
          <w:sz w:val="24"/>
        </w:rPr>
        <w:t> </w:t>
      </w:r>
      <w:r>
        <w:rPr>
          <w:sz w:val="24"/>
        </w:rPr>
        <w:t>0.20</w:t>
      </w:r>
      <w:r>
        <w:rPr>
          <w:spacing w:val="40"/>
          <w:sz w:val="24"/>
        </w:rPr>
        <w:t> </w:t>
      </w:r>
      <w:r>
        <w:rPr>
          <w:sz w:val="24"/>
        </w:rPr>
        <w:t>(excluding</w:t>
      </w:r>
      <w:r>
        <w:rPr>
          <w:spacing w:val="40"/>
          <w:sz w:val="24"/>
        </w:rPr>
        <w:t> </w:t>
      </w:r>
      <w:r>
        <w:rPr>
          <w:sz w:val="24"/>
        </w:rPr>
        <w:t>area</w:t>
      </w:r>
      <w:r>
        <w:rPr>
          <w:spacing w:val="40"/>
          <w:sz w:val="24"/>
        </w:rPr>
        <w:t> </w:t>
      </w:r>
      <w:r>
        <w:rPr>
          <w:sz w:val="24"/>
        </w:rPr>
        <w:t>of</w:t>
      </w:r>
      <w:r>
        <w:rPr>
          <w:spacing w:val="40"/>
          <w:sz w:val="24"/>
        </w:rPr>
        <w:t> </w:t>
      </w:r>
      <w:r>
        <w:rPr>
          <w:sz w:val="24"/>
        </w:rPr>
        <w:t>DP</w:t>
      </w:r>
      <w:r>
        <w:rPr>
          <w:spacing w:val="40"/>
          <w:sz w:val="24"/>
        </w:rPr>
        <w:t> </w:t>
      </w:r>
      <w:r>
        <w:rPr>
          <w:sz w:val="24"/>
        </w:rPr>
        <w:t>road).</w:t>
      </w:r>
      <w:r>
        <w:rPr>
          <w:spacing w:val="40"/>
          <w:sz w:val="24"/>
        </w:rPr>
        <w:t> </w:t>
      </w:r>
      <w:r>
        <w:rPr>
          <w:sz w:val="24"/>
        </w:rPr>
        <w:t>As</w:t>
      </w:r>
      <w:r>
        <w:rPr>
          <w:spacing w:val="40"/>
          <w:sz w:val="24"/>
        </w:rPr>
        <w:t> </w:t>
      </w:r>
      <w:r>
        <w:rPr>
          <w:sz w:val="24"/>
        </w:rPr>
        <w:t>far as</w:t>
      </w:r>
      <w:r>
        <w:rPr>
          <w:spacing w:val="40"/>
          <w:sz w:val="24"/>
        </w:rPr>
        <w:t> </w:t>
      </w:r>
      <w:r>
        <w:rPr>
          <w:sz w:val="24"/>
        </w:rPr>
        <w:t>possible,</w:t>
      </w:r>
      <w:r>
        <w:rPr>
          <w:spacing w:val="40"/>
          <w:sz w:val="24"/>
        </w:rPr>
        <w:t> </w:t>
      </w:r>
      <w:r>
        <w:rPr>
          <w:sz w:val="24"/>
        </w:rPr>
        <w:t>the</w:t>
      </w:r>
      <w:r>
        <w:rPr>
          <w:spacing w:val="40"/>
          <w:sz w:val="24"/>
        </w:rPr>
        <w:t> </w:t>
      </w:r>
      <w:r>
        <w:rPr>
          <w:sz w:val="24"/>
        </w:rPr>
        <w:t>development</w:t>
      </w:r>
      <w:r>
        <w:rPr>
          <w:spacing w:val="40"/>
          <w:sz w:val="24"/>
        </w:rPr>
        <w:t> </w:t>
      </w:r>
      <w:r>
        <w:rPr>
          <w:sz w:val="24"/>
        </w:rPr>
        <w:t>shall</w:t>
      </w:r>
      <w:r>
        <w:rPr>
          <w:spacing w:val="40"/>
          <w:sz w:val="24"/>
        </w:rPr>
        <w:t> </w:t>
      </w:r>
      <w:r>
        <w:rPr>
          <w:sz w:val="24"/>
        </w:rPr>
        <w:t>be</w:t>
      </w:r>
      <w:r>
        <w:rPr>
          <w:spacing w:val="40"/>
          <w:sz w:val="24"/>
        </w:rPr>
        <w:t> </w:t>
      </w:r>
      <w:r>
        <w:rPr>
          <w:sz w:val="24"/>
        </w:rPr>
        <w:t>at</w:t>
      </w:r>
      <w:r>
        <w:rPr>
          <w:spacing w:val="40"/>
          <w:sz w:val="24"/>
        </w:rPr>
        <w:t> </w:t>
      </w:r>
      <w:r>
        <w:rPr>
          <w:sz w:val="24"/>
        </w:rPr>
        <w:t>one</w:t>
      </w:r>
      <w:r>
        <w:rPr>
          <w:spacing w:val="40"/>
          <w:sz w:val="24"/>
        </w:rPr>
        <w:t> </w:t>
      </w:r>
      <w:r>
        <w:rPr>
          <w:sz w:val="24"/>
        </w:rPr>
        <w:t>place</w:t>
      </w:r>
      <w:r>
        <w:rPr>
          <w:spacing w:val="71"/>
          <w:sz w:val="24"/>
        </w:rPr>
        <w:t> </w:t>
      </w:r>
      <w:r>
        <w:rPr>
          <w:sz w:val="24"/>
        </w:rPr>
        <w:t>of</w:t>
      </w:r>
      <w:r>
        <w:rPr>
          <w:spacing w:val="40"/>
          <w:sz w:val="24"/>
        </w:rPr>
        <w:t> </w:t>
      </w:r>
      <w:r>
        <w:rPr>
          <w:sz w:val="24"/>
        </w:rPr>
        <w:t>the</w:t>
      </w:r>
      <w:r>
        <w:rPr>
          <w:spacing w:val="40"/>
          <w:sz w:val="24"/>
        </w:rPr>
        <w:t> </w:t>
      </w:r>
      <w:r>
        <w:rPr>
          <w:sz w:val="24"/>
        </w:rPr>
        <w:t>total</w:t>
      </w:r>
      <w:r>
        <w:rPr>
          <w:spacing w:val="40"/>
          <w:sz w:val="24"/>
        </w:rPr>
        <w:t> </w:t>
      </w:r>
      <w:r>
        <w:rPr>
          <w:sz w:val="24"/>
        </w:rPr>
        <w:t>land.</w:t>
      </w:r>
    </w:p>
    <w:p>
      <w:pPr>
        <w:pStyle w:val="ListParagraph"/>
        <w:numPr>
          <w:ilvl w:val="1"/>
          <w:numId w:val="230"/>
        </w:numPr>
        <w:tabs>
          <w:tab w:pos="1542" w:val="left" w:leader="none"/>
        </w:tabs>
        <w:spacing w:line="280" w:lineRule="exact" w:before="0" w:after="0"/>
        <w:ind w:left="1542" w:right="0" w:hanging="330"/>
        <w:jc w:val="left"/>
        <w:rPr>
          <w:sz w:val="24"/>
        </w:rPr>
      </w:pPr>
      <w:r>
        <w:rPr>
          <w:sz w:val="24"/>
        </w:rPr>
        <w:t>Ground</w:t>
      </w:r>
      <w:r>
        <w:rPr>
          <w:spacing w:val="47"/>
          <w:sz w:val="24"/>
        </w:rPr>
        <w:t> </w:t>
      </w:r>
      <w:r>
        <w:rPr>
          <w:sz w:val="24"/>
        </w:rPr>
        <w:t>coverage</w:t>
      </w:r>
      <w:r>
        <w:rPr>
          <w:spacing w:val="48"/>
          <w:sz w:val="24"/>
        </w:rPr>
        <w:t> </w:t>
      </w:r>
      <w:r>
        <w:rPr>
          <w:sz w:val="24"/>
        </w:rPr>
        <w:t>shall</w:t>
      </w:r>
      <w:r>
        <w:rPr>
          <w:spacing w:val="52"/>
          <w:sz w:val="24"/>
        </w:rPr>
        <w:t> </w:t>
      </w:r>
      <w:r>
        <w:rPr>
          <w:sz w:val="24"/>
        </w:rPr>
        <w:t>not</w:t>
      </w:r>
      <w:r>
        <w:rPr>
          <w:spacing w:val="47"/>
          <w:sz w:val="24"/>
        </w:rPr>
        <w:t> </w:t>
      </w:r>
      <w:r>
        <w:rPr>
          <w:sz w:val="24"/>
        </w:rPr>
        <w:t>exceed</w:t>
      </w:r>
      <w:r>
        <w:rPr>
          <w:spacing w:val="52"/>
          <w:sz w:val="24"/>
        </w:rPr>
        <w:t> </w:t>
      </w:r>
      <w:r>
        <w:rPr>
          <w:sz w:val="24"/>
        </w:rPr>
        <w:t>10%</w:t>
      </w:r>
      <w:r>
        <w:rPr>
          <w:spacing w:val="48"/>
          <w:sz w:val="24"/>
        </w:rPr>
        <w:t> </w:t>
      </w:r>
      <w:r>
        <w:rPr>
          <w:sz w:val="24"/>
        </w:rPr>
        <w:t>of</w:t>
      </w:r>
      <w:r>
        <w:rPr>
          <w:spacing w:val="47"/>
          <w:sz w:val="24"/>
        </w:rPr>
        <w:t> </w:t>
      </w:r>
      <w:r>
        <w:rPr>
          <w:sz w:val="24"/>
        </w:rPr>
        <w:t>the</w:t>
      </w:r>
      <w:r>
        <w:rPr>
          <w:spacing w:val="48"/>
          <w:sz w:val="24"/>
        </w:rPr>
        <w:t> </w:t>
      </w:r>
      <w:r>
        <w:rPr>
          <w:sz w:val="24"/>
        </w:rPr>
        <w:t>area</w:t>
      </w:r>
      <w:r>
        <w:rPr>
          <w:spacing w:val="48"/>
          <w:sz w:val="24"/>
        </w:rPr>
        <w:t> </w:t>
      </w:r>
      <w:r>
        <w:rPr>
          <w:sz w:val="24"/>
        </w:rPr>
        <w:t>of</w:t>
      </w:r>
      <w:r>
        <w:rPr>
          <w:spacing w:val="52"/>
          <w:sz w:val="24"/>
        </w:rPr>
        <w:t> </w:t>
      </w:r>
      <w:r>
        <w:rPr>
          <w:spacing w:val="-2"/>
          <w:sz w:val="24"/>
        </w:rPr>
        <w:t>plot.</w:t>
      </w:r>
    </w:p>
    <w:p>
      <w:pPr>
        <w:pStyle w:val="ListParagraph"/>
        <w:numPr>
          <w:ilvl w:val="1"/>
          <w:numId w:val="230"/>
        </w:numPr>
        <w:tabs>
          <w:tab w:pos="1604" w:val="left" w:leader="none"/>
        </w:tabs>
        <w:spacing w:line="240" w:lineRule="auto" w:before="2" w:after="0"/>
        <w:ind w:left="1212" w:right="1582" w:firstLine="0"/>
        <w:jc w:val="left"/>
        <w:rPr>
          <w:sz w:val="24"/>
        </w:rPr>
      </w:pPr>
      <w:r>
        <w:rPr>
          <w:color w:val="000000"/>
          <w:sz w:val="24"/>
        </w:rPr>
        <w:t>tree</w:t>
      </w:r>
      <w:r>
        <w:rPr>
          <w:color w:val="000000"/>
          <w:spacing w:val="40"/>
          <w:sz w:val="24"/>
        </w:rPr>
        <w:t> </w:t>
      </w:r>
      <w:r>
        <w:rPr>
          <w:color w:val="000000"/>
          <w:sz w:val="24"/>
        </w:rPr>
        <w:t>plantation</w:t>
      </w:r>
      <w:r>
        <w:rPr>
          <w:color w:val="000000"/>
          <w:spacing w:val="40"/>
          <w:sz w:val="24"/>
        </w:rPr>
        <w:t> </w:t>
      </w:r>
      <w:r>
        <w:rPr>
          <w:color w:val="000000"/>
          <w:sz w:val="24"/>
        </w:rPr>
        <w:t>shall</w:t>
      </w:r>
      <w:r>
        <w:rPr>
          <w:color w:val="000000"/>
          <w:spacing w:val="40"/>
          <w:sz w:val="24"/>
        </w:rPr>
        <w:t> </w:t>
      </w:r>
      <w:r>
        <w:rPr>
          <w:color w:val="000000"/>
          <w:sz w:val="24"/>
        </w:rPr>
        <w:t>be</w:t>
      </w:r>
      <w:r>
        <w:rPr>
          <w:color w:val="000000"/>
          <w:spacing w:val="40"/>
          <w:sz w:val="24"/>
        </w:rPr>
        <w:t> </w:t>
      </w:r>
      <w:r>
        <w:rPr>
          <w:color w:val="000000"/>
          <w:sz w:val="24"/>
        </w:rPr>
        <w:t>done</w:t>
      </w:r>
      <w:r>
        <w:rPr>
          <w:color w:val="000000"/>
          <w:spacing w:val="40"/>
          <w:sz w:val="24"/>
        </w:rPr>
        <w:t> </w:t>
      </w:r>
      <w:r>
        <w:rPr>
          <w:color w:val="000000"/>
          <w:sz w:val="24"/>
        </w:rPr>
        <w:t>at</w:t>
      </w:r>
      <w:r>
        <w:rPr>
          <w:color w:val="000000"/>
          <w:spacing w:val="40"/>
          <w:sz w:val="24"/>
        </w:rPr>
        <w:t> </w:t>
      </w:r>
      <w:r>
        <w:rPr>
          <w:color w:val="000000"/>
          <w:sz w:val="24"/>
        </w:rPr>
        <w:t>the</w:t>
      </w:r>
      <w:r>
        <w:rPr>
          <w:color w:val="000000"/>
          <w:spacing w:val="40"/>
          <w:sz w:val="24"/>
        </w:rPr>
        <w:t> </w:t>
      </w:r>
      <w:r>
        <w:rPr>
          <w:color w:val="000000"/>
          <w:sz w:val="24"/>
        </w:rPr>
        <w:t>rate</w:t>
      </w:r>
      <w:r>
        <w:rPr>
          <w:color w:val="000000"/>
          <w:spacing w:val="40"/>
          <w:sz w:val="24"/>
        </w:rPr>
        <w:t> </w:t>
      </w:r>
      <w:r>
        <w:rPr>
          <w:color w:val="000000"/>
          <w:sz w:val="24"/>
        </w:rPr>
        <w:t>of</w:t>
      </w:r>
      <w:r>
        <w:rPr>
          <w:color w:val="000000"/>
          <w:spacing w:val="40"/>
          <w:sz w:val="24"/>
        </w:rPr>
        <w:t> </w:t>
      </w:r>
      <w:r>
        <w:rPr>
          <w:color w:val="000000"/>
          <w:sz w:val="24"/>
        </w:rPr>
        <w:t>500</w:t>
      </w:r>
      <w:r>
        <w:rPr>
          <w:color w:val="000000"/>
          <w:spacing w:val="40"/>
          <w:sz w:val="24"/>
        </w:rPr>
        <w:t> </w:t>
      </w:r>
      <w:r>
        <w:rPr>
          <w:color w:val="000000"/>
          <w:sz w:val="24"/>
        </w:rPr>
        <w:t>trees/ha</w:t>
      </w:r>
      <w:r>
        <w:rPr>
          <w:color w:val="000000"/>
          <w:spacing w:val="40"/>
          <w:sz w:val="24"/>
        </w:rPr>
        <w:t> </w:t>
      </w:r>
      <w:r>
        <w:rPr>
          <w:color w:val="000000"/>
          <w:sz w:val="24"/>
        </w:rPr>
        <w:t>on</w:t>
      </w:r>
      <w:r>
        <w:rPr>
          <w:color w:val="000000"/>
          <w:spacing w:val="40"/>
          <w:sz w:val="24"/>
        </w:rPr>
        <w:t> </w:t>
      </w:r>
      <w:r>
        <w:rPr>
          <w:color w:val="000000"/>
          <w:sz w:val="24"/>
        </w:rPr>
        <w:t>the remaining</w:t>
      </w:r>
      <w:r>
        <w:rPr>
          <w:color w:val="000000"/>
          <w:spacing w:val="40"/>
          <w:sz w:val="24"/>
        </w:rPr>
        <w:t> </w:t>
      </w:r>
      <w:r>
        <w:rPr>
          <w:color w:val="000000"/>
          <w:sz w:val="24"/>
        </w:rPr>
        <w:t>land</w:t>
      </w:r>
      <w:r>
        <w:rPr>
          <w:color w:val="000000"/>
          <w:spacing w:val="40"/>
          <w:sz w:val="24"/>
        </w:rPr>
        <w:t> </w:t>
      </w:r>
      <w:r>
        <w:rPr>
          <w:color w:val="000000"/>
          <w:sz w:val="24"/>
        </w:rPr>
        <w:t>excluding</w:t>
      </w:r>
      <w:r>
        <w:rPr>
          <w:color w:val="000000"/>
          <w:spacing w:val="40"/>
          <w:sz w:val="24"/>
        </w:rPr>
        <w:t> </w:t>
      </w:r>
      <w:r>
        <w:rPr>
          <w:color w:val="000000"/>
          <w:sz w:val="24"/>
        </w:rPr>
        <w:t>the</w:t>
      </w:r>
      <w:r>
        <w:rPr>
          <w:color w:val="000000"/>
          <w:spacing w:val="40"/>
          <w:sz w:val="24"/>
        </w:rPr>
        <w:t> </w:t>
      </w:r>
      <w:r>
        <w:rPr>
          <w:color w:val="000000"/>
          <w:sz w:val="24"/>
        </w:rPr>
        <w:t>BUA</w:t>
      </w:r>
      <w:r>
        <w:rPr>
          <w:color w:val="000000"/>
          <w:spacing w:val="40"/>
          <w:sz w:val="24"/>
        </w:rPr>
        <w:t> </w:t>
      </w:r>
      <w:r>
        <w:rPr>
          <w:color w:val="000000"/>
          <w:sz w:val="24"/>
        </w:rPr>
        <w:t>and</w:t>
      </w:r>
      <w:r>
        <w:rPr>
          <w:color w:val="000000"/>
          <w:spacing w:val="40"/>
          <w:sz w:val="24"/>
        </w:rPr>
        <w:t> </w:t>
      </w:r>
      <w:r>
        <w:rPr>
          <w:color w:val="000000"/>
          <w:sz w:val="24"/>
        </w:rPr>
        <w:t>the</w:t>
      </w:r>
      <w:r>
        <w:rPr>
          <w:color w:val="000000"/>
          <w:spacing w:val="40"/>
          <w:sz w:val="24"/>
        </w:rPr>
        <w:t> </w:t>
      </w:r>
      <w:r>
        <w:rPr>
          <w:color w:val="000000"/>
          <w:sz w:val="24"/>
        </w:rPr>
        <w:t>surrounding</w:t>
      </w:r>
      <w:r>
        <w:rPr>
          <w:color w:val="000000"/>
          <w:spacing w:val="40"/>
          <w:sz w:val="24"/>
        </w:rPr>
        <w:t> </w:t>
      </w:r>
      <w:r>
        <w:rPr>
          <w:color w:val="000000"/>
          <w:sz w:val="24"/>
        </w:rPr>
        <w:t>open space/utility space.</w:t>
      </w:r>
    </w:p>
    <w:p>
      <w:pPr>
        <w:pStyle w:val="ListParagraph"/>
        <w:numPr>
          <w:ilvl w:val="1"/>
          <w:numId w:val="230"/>
        </w:numPr>
        <w:tabs>
          <w:tab w:pos="1542" w:val="left" w:leader="none"/>
        </w:tabs>
        <w:spacing w:line="240" w:lineRule="auto" w:before="0" w:after="0"/>
        <w:ind w:left="1212" w:right="1730" w:firstLine="0"/>
        <w:jc w:val="left"/>
        <w:rPr>
          <w:sz w:val="24"/>
        </w:rPr>
      </w:pPr>
      <w:r>
        <w:rPr>
          <w:sz w:val="24"/>
        </w:rPr>
        <w:t>Essential</w:t>
      </w:r>
      <w:r>
        <w:rPr>
          <w:spacing w:val="80"/>
          <w:sz w:val="24"/>
        </w:rPr>
        <w:t> </w:t>
      </w:r>
      <w:r>
        <w:rPr>
          <w:sz w:val="24"/>
        </w:rPr>
        <w:t>residential</w:t>
      </w:r>
      <w:r>
        <w:rPr>
          <w:spacing w:val="80"/>
          <w:sz w:val="24"/>
        </w:rPr>
        <w:t> </w:t>
      </w:r>
      <w:r>
        <w:rPr>
          <w:sz w:val="24"/>
        </w:rPr>
        <w:t>development</w:t>
      </w:r>
      <w:r>
        <w:rPr>
          <w:spacing w:val="80"/>
          <w:sz w:val="24"/>
        </w:rPr>
        <w:t> </w:t>
      </w:r>
      <w:r>
        <w:rPr>
          <w:sz w:val="24"/>
        </w:rPr>
        <w:t>for</w:t>
      </w:r>
      <w:r>
        <w:rPr>
          <w:spacing w:val="80"/>
          <w:sz w:val="24"/>
        </w:rPr>
        <w:t> </w:t>
      </w:r>
      <w:r>
        <w:rPr>
          <w:sz w:val="24"/>
        </w:rPr>
        <w:t>the</w:t>
      </w:r>
      <w:r>
        <w:rPr>
          <w:spacing w:val="80"/>
          <w:sz w:val="24"/>
        </w:rPr>
        <w:t> </w:t>
      </w:r>
      <w:r>
        <w:rPr>
          <w:sz w:val="24"/>
        </w:rPr>
        <w:t>staff/officer's accommodation</w:t>
      </w:r>
      <w:r>
        <w:rPr>
          <w:spacing w:val="40"/>
          <w:sz w:val="24"/>
        </w:rPr>
        <w:t> </w:t>
      </w:r>
      <w:r>
        <w:rPr>
          <w:sz w:val="24"/>
        </w:rPr>
        <w:t>shall</w:t>
      </w:r>
      <w:r>
        <w:rPr>
          <w:spacing w:val="40"/>
          <w:sz w:val="24"/>
        </w:rPr>
        <w:t> </w:t>
      </w:r>
      <w:r>
        <w:rPr>
          <w:sz w:val="24"/>
        </w:rPr>
        <w:t>be</w:t>
      </w:r>
      <w:r>
        <w:rPr>
          <w:spacing w:val="40"/>
          <w:sz w:val="24"/>
        </w:rPr>
        <w:t> </w:t>
      </w:r>
      <w:r>
        <w:rPr>
          <w:sz w:val="24"/>
        </w:rPr>
        <w:t>permitted</w:t>
      </w:r>
      <w:r>
        <w:rPr>
          <w:spacing w:val="40"/>
          <w:sz w:val="24"/>
        </w:rPr>
        <w:t> </w:t>
      </w:r>
      <w:r>
        <w:rPr>
          <w:sz w:val="24"/>
        </w:rPr>
        <w:t>up</w:t>
      </w:r>
      <w:r>
        <w:rPr>
          <w:spacing w:val="40"/>
          <w:sz w:val="24"/>
        </w:rPr>
        <w:t> </w:t>
      </w:r>
      <w:r>
        <w:rPr>
          <w:sz w:val="24"/>
        </w:rPr>
        <w:t>to</w:t>
      </w:r>
      <w:r>
        <w:rPr>
          <w:spacing w:val="40"/>
          <w:sz w:val="24"/>
        </w:rPr>
        <w:t> </w:t>
      </w:r>
      <w:r>
        <w:rPr>
          <w:sz w:val="24"/>
        </w:rPr>
        <w:t>the</w:t>
      </w:r>
      <w:r>
        <w:rPr>
          <w:spacing w:val="40"/>
          <w:sz w:val="24"/>
        </w:rPr>
        <w:t> </w:t>
      </w:r>
      <w:r>
        <w:rPr>
          <w:sz w:val="24"/>
        </w:rPr>
        <w:t>extent</w:t>
      </w:r>
      <w:r>
        <w:rPr>
          <w:spacing w:val="40"/>
          <w:sz w:val="24"/>
        </w:rPr>
        <w:t> </w:t>
      </w:r>
      <w:r>
        <w:rPr>
          <w:sz w:val="24"/>
        </w:rPr>
        <w:t>of</w:t>
      </w:r>
      <w:r>
        <w:rPr>
          <w:spacing w:val="40"/>
          <w:sz w:val="24"/>
        </w:rPr>
        <w:t> </w:t>
      </w:r>
      <w:r>
        <w:rPr>
          <w:sz w:val="24"/>
        </w:rPr>
        <w:t>33%</w:t>
      </w:r>
      <w:r>
        <w:rPr>
          <w:spacing w:val="40"/>
          <w:sz w:val="24"/>
        </w:rPr>
        <w:t> </w:t>
      </w:r>
      <w:r>
        <w:rPr>
          <w:sz w:val="24"/>
        </w:rPr>
        <w:t>of</w:t>
      </w:r>
      <w:r>
        <w:rPr>
          <w:spacing w:val="40"/>
          <w:sz w:val="24"/>
        </w:rPr>
        <w:t> </w:t>
      </w:r>
      <w:r>
        <w:rPr>
          <w:sz w:val="24"/>
        </w:rPr>
        <w:t>the permissible BUA.</w:t>
      </w:r>
    </w:p>
    <w:p>
      <w:pPr>
        <w:pStyle w:val="Heading6"/>
        <w:numPr>
          <w:ilvl w:val="0"/>
          <w:numId w:val="230"/>
        </w:numPr>
        <w:tabs>
          <w:tab w:pos="1685" w:val="left" w:leader="none"/>
        </w:tabs>
        <w:spacing w:line="240" w:lineRule="auto" w:before="278" w:after="0"/>
        <w:ind w:left="1685" w:right="0" w:hanging="473"/>
        <w:jc w:val="left"/>
        <w:rPr>
          <w:i w:val="0"/>
        </w:rPr>
      </w:pPr>
      <w:r>
        <w:rPr/>
        <w:t>Development</w:t>
      </w:r>
      <w:r>
        <w:rPr>
          <w:spacing w:val="64"/>
        </w:rPr>
        <w:t> </w:t>
      </w:r>
      <w:r>
        <w:rPr/>
        <w:t>of</w:t>
      </w:r>
      <w:r>
        <w:rPr>
          <w:spacing w:val="64"/>
        </w:rPr>
        <w:t> </w:t>
      </w:r>
      <w:r>
        <w:rPr/>
        <w:t>Cinema</w:t>
      </w:r>
      <w:r>
        <w:rPr>
          <w:spacing w:val="69"/>
        </w:rPr>
        <w:t> </w:t>
      </w:r>
      <w:r>
        <w:rPr/>
        <w:t>and</w:t>
      </w:r>
      <w:r>
        <w:rPr>
          <w:spacing w:val="65"/>
        </w:rPr>
        <w:t> </w:t>
      </w:r>
      <w:r>
        <w:rPr/>
        <w:t>TV</w:t>
      </w:r>
      <w:r>
        <w:rPr>
          <w:spacing w:val="68"/>
        </w:rPr>
        <w:t> </w:t>
      </w:r>
      <w:r>
        <w:rPr/>
        <w:t>Film</w:t>
      </w:r>
      <w:r>
        <w:rPr>
          <w:spacing w:val="65"/>
        </w:rPr>
        <w:t> </w:t>
      </w:r>
      <w:r>
        <w:rPr/>
        <w:t>production</w:t>
      </w:r>
      <w:r>
        <w:rPr>
          <w:spacing w:val="-51"/>
        </w:rPr>
        <w:t> </w:t>
      </w:r>
      <w:r>
        <w:rPr>
          <w:b w:val="0"/>
          <w:spacing w:val="-10"/>
        </w:rPr>
        <w:t>,</w:t>
      </w:r>
    </w:p>
    <w:p>
      <w:pPr>
        <w:pStyle w:val="BodyText"/>
        <w:spacing w:before="244"/>
        <w:ind w:left="1212" w:right="965" w:firstLine="779"/>
      </w:pPr>
      <w:r>
        <w:rPr/>
        <w:t>Development</w:t>
      </w:r>
      <w:r>
        <w:rPr>
          <w:spacing w:val="80"/>
        </w:rPr>
        <w:t> </w:t>
      </w:r>
      <w:r>
        <w:rPr/>
        <w:t>of</w:t>
      </w:r>
      <w:r>
        <w:rPr>
          <w:spacing w:val="80"/>
        </w:rPr>
        <w:t> </w:t>
      </w:r>
      <w:r>
        <w:rPr/>
        <w:t>Cinema</w:t>
      </w:r>
      <w:r>
        <w:rPr>
          <w:spacing w:val="80"/>
        </w:rPr>
        <w:t> </w:t>
      </w:r>
      <w:r>
        <w:rPr/>
        <w:t>and</w:t>
      </w:r>
      <w:r>
        <w:rPr>
          <w:spacing w:val="80"/>
        </w:rPr>
        <w:t> </w:t>
      </w:r>
      <w:r>
        <w:rPr/>
        <w:t>film</w:t>
      </w:r>
      <w:r>
        <w:rPr>
          <w:spacing w:val="80"/>
        </w:rPr>
        <w:t> </w:t>
      </w:r>
      <w:r>
        <w:rPr/>
        <w:t>production,</w:t>
      </w:r>
      <w:r>
        <w:rPr>
          <w:spacing w:val="80"/>
        </w:rPr>
        <w:t> </w:t>
      </w:r>
      <w:r>
        <w:rPr/>
        <w:t>shooting,</w:t>
      </w:r>
      <w:r>
        <w:rPr>
          <w:spacing w:val="80"/>
        </w:rPr>
        <w:t> </w:t>
      </w:r>
      <w:r>
        <w:rPr/>
        <w:t>editing and</w:t>
      </w:r>
      <w:r>
        <w:rPr>
          <w:spacing w:val="40"/>
        </w:rPr>
        <w:t> </w:t>
      </w:r>
      <w:r>
        <w:rPr/>
        <w:t>recording</w:t>
      </w:r>
      <w:r>
        <w:rPr>
          <w:spacing w:val="40"/>
        </w:rPr>
        <w:t> </w:t>
      </w:r>
      <w:r>
        <w:rPr/>
        <w:t>studios</w:t>
      </w:r>
      <w:r>
        <w:rPr>
          <w:spacing w:val="40"/>
        </w:rPr>
        <w:t> </w:t>
      </w:r>
      <w:r>
        <w:rPr/>
        <w:t>with</w:t>
      </w:r>
      <w:r>
        <w:rPr>
          <w:spacing w:val="40"/>
        </w:rPr>
        <w:t> </w:t>
      </w:r>
      <w:r>
        <w:rPr/>
        <w:t>its</w:t>
      </w:r>
      <w:r>
        <w:rPr>
          <w:spacing w:val="40"/>
        </w:rPr>
        <w:t> </w:t>
      </w:r>
      <w:r>
        <w:rPr/>
        <w:t>ancillary</w:t>
      </w:r>
      <w:r>
        <w:rPr>
          <w:spacing w:val="40"/>
        </w:rPr>
        <w:t> </w:t>
      </w:r>
      <w:r>
        <w:rPr/>
        <w:t>and</w:t>
      </w:r>
      <w:r>
        <w:rPr>
          <w:spacing w:val="40"/>
        </w:rPr>
        <w:t> </w:t>
      </w:r>
      <w:r>
        <w:rPr/>
        <w:t>supporting</w:t>
      </w:r>
      <w:r>
        <w:rPr>
          <w:spacing w:val="40"/>
        </w:rPr>
        <w:t> </w:t>
      </w:r>
      <w:r>
        <w:rPr/>
        <w:t>uses,</w:t>
      </w:r>
      <w:r>
        <w:rPr>
          <w:spacing w:val="40"/>
        </w:rPr>
        <w:t> </w:t>
      </w:r>
      <w:r>
        <w:rPr/>
        <w:t>including Film</w:t>
      </w:r>
      <w:r>
        <w:rPr>
          <w:spacing w:val="40"/>
        </w:rPr>
        <w:t> </w:t>
      </w:r>
      <w:r>
        <w:rPr/>
        <w:t>School</w:t>
      </w:r>
      <w:r>
        <w:rPr>
          <w:spacing w:val="40"/>
        </w:rPr>
        <w:t> </w:t>
      </w:r>
      <w:r>
        <w:rPr/>
        <w:t>with</w:t>
      </w:r>
      <w:r>
        <w:rPr>
          <w:spacing w:val="40"/>
        </w:rPr>
        <w:t> </w:t>
      </w:r>
      <w:r>
        <w:rPr/>
        <w:t>their</w:t>
      </w:r>
      <w:r>
        <w:rPr>
          <w:spacing w:val="40"/>
        </w:rPr>
        <w:t> </w:t>
      </w:r>
      <w:r>
        <w:rPr/>
        <w:t>shooting</w:t>
      </w:r>
      <w:r>
        <w:rPr>
          <w:spacing w:val="40"/>
        </w:rPr>
        <w:t> </w:t>
      </w:r>
      <w:r>
        <w:rPr/>
        <w:t>stages</w:t>
      </w:r>
      <w:r>
        <w:rPr>
          <w:spacing w:val="40"/>
        </w:rPr>
        <w:t> </w:t>
      </w:r>
      <w:r>
        <w:rPr/>
        <w:t>and</w:t>
      </w:r>
      <w:r>
        <w:rPr>
          <w:spacing w:val="40"/>
        </w:rPr>
        <w:t> </w:t>
      </w:r>
      <w:r>
        <w:rPr/>
        <w:t>screening</w:t>
      </w:r>
      <w:r>
        <w:rPr>
          <w:spacing w:val="40"/>
        </w:rPr>
        <w:t> </w:t>
      </w:r>
      <w:r>
        <w:rPr/>
        <w:t>rooms,</w:t>
      </w:r>
      <w:r>
        <w:rPr>
          <w:spacing w:val="40"/>
        </w:rPr>
        <w:t> </w:t>
      </w:r>
      <w:r>
        <w:rPr/>
        <w:t>Performing Art Academy, Students Hostels and faculty </w:t>
      </w:r>
      <w:r>
        <w:rPr>
          <w:spacing w:val="9"/>
        </w:rPr>
        <w:t>residences,</w:t>
      </w:r>
      <w:r>
        <w:rPr>
          <w:spacing w:val="9"/>
        </w:rPr>
        <w:t> </w:t>
      </w:r>
      <w:r>
        <w:rPr/>
        <w:t>Auditoria, Art Gallery,</w:t>
      </w:r>
      <w:r>
        <w:rPr>
          <w:spacing w:val="66"/>
        </w:rPr>
        <w:t> </w:t>
      </w:r>
      <w:r>
        <w:rPr/>
        <w:t>Museums,</w:t>
      </w:r>
      <w:r>
        <w:rPr>
          <w:spacing w:val="66"/>
        </w:rPr>
        <w:t> </w:t>
      </w:r>
      <w:r>
        <w:rPr/>
        <w:t>Preview</w:t>
      </w:r>
      <w:r>
        <w:rPr>
          <w:spacing w:val="66"/>
        </w:rPr>
        <w:t> </w:t>
      </w:r>
      <w:r>
        <w:rPr/>
        <w:t>Theatres,</w:t>
      </w:r>
      <w:r>
        <w:rPr>
          <w:spacing w:val="40"/>
        </w:rPr>
        <w:t> </w:t>
      </w:r>
      <w:r>
        <w:rPr/>
        <w:t>construction</w:t>
      </w:r>
      <w:r>
        <w:rPr>
          <w:spacing w:val="40"/>
        </w:rPr>
        <w:t> </w:t>
      </w:r>
      <w:r>
        <w:rPr/>
        <w:t>of</w:t>
      </w:r>
      <w:r>
        <w:rPr>
          <w:spacing w:val="66"/>
        </w:rPr>
        <w:t> </w:t>
      </w:r>
      <w:r>
        <w:rPr/>
        <w:t>staff</w:t>
      </w:r>
      <w:r>
        <w:rPr>
          <w:spacing w:val="66"/>
        </w:rPr>
        <w:t> </w:t>
      </w:r>
      <w:r>
        <w:rPr/>
        <w:t>quarters,</w:t>
      </w:r>
      <w:r>
        <w:rPr>
          <w:spacing w:val="40"/>
        </w:rPr>
        <w:t> </w:t>
      </w:r>
      <w:r>
        <w:rPr/>
        <w:t>rest</w:t>
      </w:r>
    </w:p>
    <w:p>
      <w:pPr>
        <w:pStyle w:val="BodyText"/>
        <w:spacing w:after="0"/>
        <w:sectPr>
          <w:pgSz w:w="11910" w:h="16840"/>
          <w:pgMar w:header="1058" w:footer="1088" w:top="1500" w:bottom="1280" w:left="360" w:right="360"/>
        </w:sectPr>
      </w:pPr>
    </w:p>
    <w:p>
      <w:pPr>
        <w:pStyle w:val="BodyText"/>
        <w:tabs>
          <w:tab w:pos="2295" w:val="left" w:leader="none"/>
          <w:tab w:pos="3644" w:val="left" w:leader="none"/>
          <w:tab w:pos="4322" w:val="left" w:leader="none"/>
          <w:tab w:pos="5163" w:val="left" w:leader="none"/>
          <w:tab w:pos="5678" w:val="left" w:leader="none"/>
          <w:tab w:pos="6850" w:val="left" w:leader="none"/>
          <w:tab w:pos="7993" w:val="left" w:leader="none"/>
          <w:tab w:pos="8463" w:val="left" w:leader="none"/>
          <w:tab w:pos="9090" w:val="left" w:leader="none"/>
        </w:tabs>
        <w:spacing w:before="255"/>
        <w:ind w:left="1212" w:right="979"/>
        <w:jc w:val="left"/>
      </w:pPr>
      <w:r>
        <w:rPr>
          <w:spacing w:val="-2"/>
        </w:rPr>
        <w:t>rooms,</w:t>
      </w:r>
      <w:r>
        <w:rPr/>
        <w:tab/>
      </w:r>
      <w:r>
        <w:rPr>
          <w:spacing w:val="-2"/>
        </w:rPr>
        <w:t>canteens</w:t>
      </w:r>
      <w:r>
        <w:rPr/>
        <w:tab/>
      </w:r>
      <w:r>
        <w:rPr>
          <w:spacing w:val="-4"/>
        </w:rPr>
        <w:t>etc.</w:t>
      </w:r>
      <w:r>
        <w:rPr/>
        <w:tab/>
      </w:r>
      <w:r>
        <w:rPr>
          <w:spacing w:val="-4"/>
        </w:rPr>
        <w:t>shall</w:t>
      </w:r>
      <w:r>
        <w:rPr/>
        <w:tab/>
      </w:r>
      <w:r>
        <w:rPr>
          <w:spacing w:val="-6"/>
        </w:rPr>
        <w:t>be</w:t>
      </w:r>
      <w:r>
        <w:rPr/>
        <w:tab/>
      </w:r>
      <w:r>
        <w:rPr>
          <w:spacing w:val="-2"/>
        </w:rPr>
        <w:t>allowed</w:t>
      </w:r>
      <w:r>
        <w:rPr/>
        <w:tab/>
      </w:r>
      <w:r>
        <w:rPr>
          <w:spacing w:val="-2"/>
        </w:rPr>
        <w:t>subject</w:t>
      </w:r>
      <w:r>
        <w:rPr/>
        <w:tab/>
      </w:r>
      <w:r>
        <w:rPr>
          <w:spacing w:val="-6"/>
        </w:rPr>
        <w:t>to</w:t>
      </w:r>
      <w:r>
        <w:rPr/>
        <w:tab/>
      </w:r>
      <w:r>
        <w:rPr>
          <w:spacing w:val="-4"/>
        </w:rPr>
        <w:t>the</w:t>
      </w:r>
      <w:r>
        <w:rPr/>
        <w:tab/>
      </w:r>
      <w:r>
        <w:rPr>
          <w:spacing w:val="-2"/>
        </w:rPr>
        <w:t>following </w:t>
      </w:r>
      <w:r>
        <w:rPr>
          <w:spacing w:val="7"/>
        </w:rPr>
        <w:t>conditions:</w:t>
      </w:r>
    </w:p>
    <w:p>
      <w:pPr>
        <w:pStyle w:val="ListParagraph"/>
        <w:numPr>
          <w:ilvl w:val="0"/>
          <w:numId w:val="231"/>
        </w:numPr>
        <w:tabs>
          <w:tab w:pos="1538" w:val="left" w:leader="none"/>
        </w:tabs>
        <w:spacing w:line="240" w:lineRule="auto" w:before="240" w:after="0"/>
        <w:ind w:left="1212" w:right="966" w:firstLine="0"/>
        <w:jc w:val="both"/>
        <w:rPr>
          <w:sz w:val="24"/>
        </w:rPr>
      </w:pPr>
      <w:r>
        <w:rPr>
          <w:sz w:val="24"/>
        </w:rPr>
        <w:t>The total permissible FSI shall not exceed 0.2</w:t>
      </w:r>
      <w:r>
        <w:rPr>
          <w:spacing w:val="40"/>
          <w:sz w:val="24"/>
        </w:rPr>
        <w:t> </w:t>
      </w:r>
      <w:r>
        <w:rPr>
          <w:sz w:val="24"/>
        </w:rPr>
        <w:t>(excluding area of DP</w:t>
      </w:r>
      <w:r>
        <w:rPr>
          <w:spacing w:val="40"/>
          <w:sz w:val="24"/>
        </w:rPr>
        <w:t> </w:t>
      </w:r>
      <w:r>
        <w:rPr>
          <w:spacing w:val="-2"/>
          <w:sz w:val="24"/>
        </w:rPr>
        <w:t>road).</w:t>
      </w:r>
    </w:p>
    <w:p>
      <w:pPr>
        <w:pStyle w:val="ListParagraph"/>
        <w:numPr>
          <w:ilvl w:val="0"/>
          <w:numId w:val="231"/>
        </w:numPr>
        <w:tabs>
          <w:tab w:pos="1534" w:val="left" w:leader="none"/>
        </w:tabs>
        <w:spacing w:line="240" w:lineRule="auto" w:before="241" w:after="0"/>
        <w:ind w:left="1212" w:right="980" w:firstLine="0"/>
        <w:jc w:val="both"/>
        <w:rPr>
          <w:sz w:val="24"/>
        </w:rPr>
      </w:pPr>
      <w:r>
        <w:rPr>
          <w:sz w:val="24"/>
        </w:rPr>
        <w:t>Out of the permissible BUA equivalent to 0.2 FSI; BUA of supporting</w:t>
      </w:r>
      <w:r>
        <w:rPr>
          <w:spacing w:val="80"/>
          <w:sz w:val="24"/>
        </w:rPr>
        <w:t> </w:t>
      </w:r>
      <w:r>
        <w:rPr>
          <w:sz w:val="24"/>
        </w:rPr>
        <w:t>uses</w:t>
      </w:r>
      <w:r>
        <w:rPr>
          <w:spacing w:val="40"/>
          <w:sz w:val="24"/>
        </w:rPr>
        <w:t> </w:t>
      </w:r>
      <w:r>
        <w:rPr>
          <w:sz w:val="24"/>
        </w:rPr>
        <w:t>shall</w:t>
      </w:r>
      <w:r>
        <w:rPr>
          <w:spacing w:val="40"/>
          <w:sz w:val="24"/>
        </w:rPr>
        <w:t> </w:t>
      </w:r>
      <w:r>
        <w:rPr>
          <w:sz w:val="24"/>
        </w:rPr>
        <w:t>not</w:t>
      </w:r>
      <w:r>
        <w:rPr>
          <w:spacing w:val="40"/>
          <w:sz w:val="24"/>
        </w:rPr>
        <w:t> </w:t>
      </w:r>
      <w:r>
        <w:rPr>
          <w:sz w:val="24"/>
        </w:rPr>
        <w:t>exceed</w:t>
      </w:r>
      <w:r>
        <w:rPr>
          <w:spacing w:val="40"/>
          <w:sz w:val="24"/>
        </w:rPr>
        <w:t> </w:t>
      </w:r>
      <w:r>
        <w:rPr>
          <w:sz w:val="24"/>
        </w:rPr>
        <w:t>1/3</w:t>
      </w:r>
      <w:r>
        <w:rPr>
          <w:spacing w:val="40"/>
          <w:sz w:val="24"/>
        </w:rPr>
        <w:t> </w:t>
      </w:r>
      <w:r>
        <w:rPr>
          <w:sz w:val="24"/>
        </w:rPr>
        <w:t>of</w:t>
      </w:r>
      <w:r>
        <w:rPr>
          <w:spacing w:val="40"/>
          <w:sz w:val="24"/>
        </w:rPr>
        <w:t> </w:t>
      </w:r>
      <w:r>
        <w:rPr>
          <w:sz w:val="24"/>
        </w:rPr>
        <w:t>permissible</w:t>
      </w:r>
      <w:r>
        <w:rPr>
          <w:spacing w:val="40"/>
          <w:sz w:val="24"/>
        </w:rPr>
        <w:t> </w:t>
      </w:r>
      <w:r>
        <w:rPr>
          <w:sz w:val="24"/>
        </w:rPr>
        <w:t>FSI</w:t>
      </w:r>
      <w:r>
        <w:rPr>
          <w:spacing w:val="40"/>
          <w:sz w:val="24"/>
        </w:rPr>
        <w:t> </w:t>
      </w:r>
      <w:r>
        <w:rPr>
          <w:sz w:val="24"/>
        </w:rPr>
        <w:t>0.2.</w:t>
      </w:r>
    </w:p>
    <w:p>
      <w:pPr>
        <w:pStyle w:val="ListParagraph"/>
        <w:numPr>
          <w:ilvl w:val="0"/>
          <w:numId w:val="231"/>
        </w:numPr>
        <w:tabs>
          <w:tab w:pos="1589" w:val="left" w:leader="none"/>
        </w:tabs>
        <w:spacing w:line="240" w:lineRule="auto" w:before="240" w:after="0"/>
        <w:ind w:left="1212" w:right="959" w:firstLine="0"/>
        <w:jc w:val="both"/>
        <w:rPr>
          <w:sz w:val="24"/>
        </w:rPr>
      </w:pPr>
      <w:r>
        <w:rPr>
          <w:sz w:val="24"/>
        </w:rPr>
        <w:t>The</w:t>
      </w:r>
      <w:r>
        <w:rPr>
          <w:spacing w:val="40"/>
          <w:sz w:val="24"/>
        </w:rPr>
        <w:t> </w:t>
      </w:r>
      <w:r>
        <w:rPr>
          <w:sz w:val="24"/>
        </w:rPr>
        <w:t>construction</w:t>
      </w:r>
      <w:r>
        <w:rPr>
          <w:spacing w:val="40"/>
          <w:sz w:val="24"/>
        </w:rPr>
        <w:t> </w:t>
      </w:r>
      <w:r>
        <w:rPr>
          <w:sz w:val="24"/>
        </w:rPr>
        <w:t>shall</w:t>
      </w:r>
      <w:r>
        <w:rPr>
          <w:spacing w:val="40"/>
          <w:sz w:val="24"/>
        </w:rPr>
        <w:t> </w:t>
      </w:r>
      <w:r>
        <w:rPr>
          <w:sz w:val="24"/>
        </w:rPr>
        <w:t>be</w:t>
      </w:r>
      <w:r>
        <w:rPr>
          <w:spacing w:val="40"/>
          <w:sz w:val="24"/>
        </w:rPr>
        <w:t> </w:t>
      </w:r>
      <w:r>
        <w:rPr>
          <w:sz w:val="24"/>
        </w:rPr>
        <w:t>confined</w:t>
      </w:r>
      <w:r>
        <w:rPr>
          <w:spacing w:val="40"/>
          <w:sz w:val="24"/>
        </w:rPr>
        <w:t> </w:t>
      </w:r>
      <w:r>
        <w:rPr>
          <w:sz w:val="24"/>
        </w:rPr>
        <w:t>to</w:t>
      </w:r>
      <w:r>
        <w:rPr>
          <w:spacing w:val="40"/>
          <w:sz w:val="24"/>
        </w:rPr>
        <w:t> </w:t>
      </w:r>
      <w:r>
        <w:rPr>
          <w:sz w:val="24"/>
        </w:rPr>
        <w:t>10%</w:t>
      </w:r>
      <w:r>
        <w:rPr>
          <w:spacing w:val="40"/>
          <w:sz w:val="24"/>
        </w:rPr>
        <w:t> </w:t>
      </w:r>
      <w:r>
        <w:rPr>
          <w:sz w:val="24"/>
        </w:rPr>
        <w:t>of</w:t>
      </w:r>
      <w:r>
        <w:rPr>
          <w:spacing w:val="40"/>
          <w:sz w:val="24"/>
        </w:rPr>
        <w:t> </w:t>
      </w:r>
      <w:r>
        <w:rPr>
          <w:sz w:val="24"/>
        </w:rPr>
        <w:t>the</w:t>
      </w:r>
      <w:r>
        <w:rPr>
          <w:spacing w:val="40"/>
          <w:sz w:val="24"/>
        </w:rPr>
        <w:t> </w:t>
      </w:r>
      <w:r>
        <w:rPr>
          <w:sz w:val="24"/>
        </w:rPr>
        <w:t>plot</w:t>
      </w:r>
      <w:r>
        <w:rPr>
          <w:spacing w:val="40"/>
          <w:sz w:val="24"/>
        </w:rPr>
        <w:t> </w:t>
      </w:r>
      <w:r>
        <w:rPr>
          <w:sz w:val="24"/>
        </w:rPr>
        <w:t>and</w:t>
      </w:r>
      <w:r>
        <w:rPr>
          <w:spacing w:val="40"/>
          <w:sz w:val="24"/>
        </w:rPr>
        <w:t> </w:t>
      </w:r>
      <w:r>
        <w:rPr>
          <w:sz w:val="24"/>
        </w:rPr>
        <w:t>the remaining</w:t>
      </w:r>
      <w:r>
        <w:rPr>
          <w:spacing w:val="80"/>
          <w:sz w:val="24"/>
        </w:rPr>
        <w:t> </w:t>
      </w:r>
      <w:r>
        <w:rPr>
          <w:sz w:val="24"/>
        </w:rPr>
        <w:t>plot</w:t>
      </w:r>
      <w:r>
        <w:rPr>
          <w:spacing w:val="80"/>
          <w:sz w:val="24"/>
        </w:rPr>
        <w:t> </w:t>
      </w:r>
      <w:r>
        <w:rPr>
          <w:sz w:val="24"/>
        </w:rPr>
        <w:t>(excluding</w:t>
      </w:r>
      <w:r>
        <w:rPr>
          <w:spacing w:val="80"/>
          <w:sz w:val="24"/>
        </w:rPr>
        <w:t> </w:t>
      </w:r>
      <w:r>
        <w:rPr>
          <w:sz w:val="24"/>
        </w:rPr>
        <w:t>areas</w:t>
      </w:r>
      <w:r>
        <w:rPr>
          <w:spacing w:val="80"/>
          <w:sz w:val="24"/>
        </w:rPr>
        <w:t> </w:t>
      </w:r>
      <w:r>
        <w:rPr>
          <w:sz w:val="24"/>
        </w:rPr>
        <w:t>required</w:t>
      </w:r>
      <w:r>
        <w:rPr>
          <w:spacing w:val="80"/>
          <w:sz w:val="24"/>
        </w:rPr>
        <w:t> </w:t>
      </w:r>
      <w:r>
        <w:rPr>
          <w:sz w:val="24"/>
        </w:rPr>
        <w:t>for</w:t>
      </w:r>
      <w:r>
        <w:rPr>
          <w:spacing w:val="80"/>
          <w:sz w:val="24"/>
        </w:rPr>
        <w:t> </w:t>
      </w:r>
      <w:r>
        <w:rPr>
          <w:sz w:val="24"/>
        </w:rPr>
        <w:t>parking,</w:t>
      </w:r>
      <w:r>
        <w:rPr>
          <w:spacing w:val="80"/>
          <w:sz w:val="24"/>
        </w:rPr>
        <w:t> </w:t>
      </w:r>
      <w:r>
        <w:rPr>
          <w:sz w:val="24"/>
        </w:rPr>
        <w:t>roads</w:t>
      </w:r>
      <w:r>
        <w:rPr>
          <w:spacing w:val="80"/>
          <w:sz w:val="24"/>
        </w:rPr>
        <w:t> </w:t>
      </w:r>
      <w:r>
        <w:rPr>
          <w:sz w:val="24"/>
        </w:rPr>
        <w:t>etc.)</w:t>
      </w:r>
      <w:r>
        <w:rPr>
          <w:spacing w:val="80"/>
          <w:sz w:val="24"/>
        </w:rPr>
        <w:t> </w:t>
      </w:r>
      <w:r>
        <w:rPr>
          <w:spacing w:val="9"/>
          <w:sz w:val="24"/>
        </w:rPr>
        <w:t>shall </w:t>
      </w:r>
      <w:r>
        <w:rPr>
          <w:sz w:val="24"/>
        </w:rPr>
        <w:t>be</w:t>
      </w:r>
      <w:r>
        <w:rPr>
          <w:spacing w:val="40"/>
          <w:sz w:val="24"/>
        </w:rPr>
        <w:t> </w:t>
      </w:r>
      <w:r>
        <w:rPr>
          <w:sz w:val="24"/>
        </w:rPr>
        <w:t>planted</w:t>
      </w:r>
      <w:r>
        <w:rPr>
          <w:spacing w:val="40"/>
          <w:sz w:val="24"/>
        </w:rPr>
        <w:t> </w:t>
      </w:r>
      <w:r>
        <w:rPr>
          <w:sz w:val="24"/>
        </w:rPr>
        <w:t>with</w:t>
      </w:r>
      <w:r>
        <w:rPr>
          <w:spacing w:val="40"/>
          <w:sz w:val="24"/>
        </w:rPr>
        <w:t> </w:t>
      </w:r>
      <w:r>
        <w:rPr>
          <w:sz w:val="24"/>
        </w:rPr>
        <w:t>trees</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at</w:t>
      </w:r>
      <w:r>
        <w:rPr>
          <w:spacing w:val="40"/>
          <w:sz w:val="24"/>
        </w:rPr>
        <w:t> </w:t>
      </w:r>
      <w:r>
        <w:rPr>
          <w:sz w:val="24"/>
        </w:rPr>
        <w:t>least</w:t>
      </w:r>
      <w:r>
        <w:rPr>
          <w:spacing w:val="40"/>
          <w:sz w:val="24"/>
        </w:rPr>
        <w:t> </w:t>
      </w:r>
      <w:r>
        <w:rPr>
          <w:sz w:val="24"/>
        </w:rPr>
        <w:t>500</w:t>
      </w:r>
      <w:r>
        <w:rPr>
          <w:spacing w:val="40"/>
          <w:sz w:val="24"/>
        </w:rPr>
        <w:t> </w:t>
      </w:r>
      <w:r>
        <w:rPr>
          <w:sz w:val="24"/>
        </w:rPr>
        <w:t>trees</w:t>
      </w:r>
      <w:r>
        <w:rPr>
          <w:spacing w:val="40"/>
          <w:sz w:val="24"/>
        </w:rPr>
        <w:t> </w:t>
      </w:r>
      <w:r>
        <w:rPr>
          <w:sz w:val="24"/>
        </w:rPr>
        <w:t>per</w:t>
      </w:r>
      <w:r>
        <w:rPr>
          <w:spacing w:val="40"/>
          <w:sz w:val="24"/>
        </w:rPr>
        <w:t> </w:t>
      </w:r>
      <w:r>
        <w:rPr>
          <w:sz w:val="24"/>
        </w:rPr>
        <w:t>ha.</w:t>
      </w:r>
    </w:p>
    <w:p>
      <w:pPr>
        <w:pStyle w:val="Heading6"/>
        <w:numPr>
          <w:ilvl w:val="0"/>
          <w:numId w:val="230"/>
        </w:numPr>
        <w:tabs>
          <w:tab w:pos="1854" w:val="left" w:leader="none"/>
        </w:tabs>
        <w:spacing w:line="240" w:lineRule="auto" w:before="238" w:after="0"/>
        <w:ind w:left="1212" w:right="886" w:firstLine="0"/>
        <w:jc w:val="both"/>
        <w:rPr>
          <w:i w:val="0"/>
        </w:rPr>
      </w:pPr>
      <w:r>
        <w:rPr/>
        <w:t>Information Technology &amp; Information Technology Enabled Services</w:t>
      </w:r>
      <w:r>
        <w:rPr>
          <w:spacing w:val="40"/>
        </w:rPr>
        <w:t> </w:t>
      </w:r>
      <w:r>
        <w:rPr/>
        <w:t>(IT/ITES)</w:t>
      </w:r>
      <w:r>
        <w:rPr>
          <w:spacing w:val="40"/>
        </w:rPr>
        <w:t> </w:t>
      </w:r>
      <w:r>
        <w:rPr/>
        <w:t>&amp;</w:t>
      </w:r>
      <w:r>
        <w:rPr>
          <w:spacing w:val="40"/>
        </w:rPr>
        <w:t> </w:t>
      </w:r>
      <w:r>
        <w:rPr/>
        <w:t>Biotech</w:t>
      </w:r>
      <w:r>
        <w:rPr>
          <w:spacing w:val="40"/>
        </w:rPr>
        <w:t> </w:t>
      </w:r>
      <w:r>
        <w:rPr>
          <w:spacing w:val="9"/>
        </w:rPr>
        <w:t>units</w:t>
      </w:r>
    </w:p>
    <w:p>
      <w:pPr>
        <w:pStyle w:val="BodyText"/>
        <w:spacing w:before="243"/>
        <w:ind w:left="1212" w:right="974" w:firstLine="1000"/>
      </w:pPr>
      <w:r>
        <w:rPr/>
        <w:t>IT/ITES</w:t>
      </w:r>
      <w:r>
        <w:rPr>
          <w:spacing w:val="40"/>
        </w:rPr>
        <w:t> </w:t>
      </w:r>
      <w:r>
        <w:rPr/>
        <w:t>Parks/Units</w:t>
      </w:r>
      <w:r>
        <w:rPr>
          <w:spacing w:val="40"/>
        </w:rPr>
        <w:t> </w:t>
      </w:r>
      <w:r>
        <w:rPr/>
        <w:t>or,</w:t>
      </w:r>
      <w:r>
        <w:rPr>
          <w:spacing w:val="40"/>
        </w:rPr>
        <w:t> </w:t>
      </w:r>
      <w:r>
        <w:rPr/>
        <w:t>set</w:t>
      </w:r>
      <w:r>
        <w:rPr>
          <w:spacing w:val="40"/>
        </w:rPr>
        <w:t> </w:t>
      </w:r>
      <w:r>
        <w:rPr/>
        <w:t>up</w:t>
      </w:r>
      <w:r>
        <w:rPr>
          <w:spacing w:val="40"/>
        </w:rPr>
        <w:t> </w:t>
      </w:r>
      <w:r>
        <w:rPr/>
        <w:t>by</w:t>
      </w:r>
      <w:r>
        <w:rPr>
          <w:spacing w:val="40"/>
        </w:rPr>
        <w:t> </w:t>
      </w:r>
      <w:r>
        <w:rPr/>
        <w:t>public</w:t>
      </w:r>
      <w:r>
        <w:rPr>
          <w:spacing w:val="40"/>
        </w:rPr>
        <w:t> </w:t>
      </w:r>
      <w:r>
        <w:rPr/>
        <w:t>or</w:t>
      </w:r>
      <w:r>
        <w:rPr>
          <w:spacing w:val="40"/>
        </w:rPr>
        <w:t> </w:t>
      </w:r>
      <w:r>
        <w:rPr/>
        <w:t>private</w:t>
      </w:r>
      <w:r>
        <w:rPr>
          <w:spacing w:val="40"/>
        </w:rPr>
        <w:t> </w:t>
      </w:r>
      <w:r>
        <w:rPr/>
        <w:t>sector;</w:t>
      </w:r>
      <w:r>
        <w:rPr>
          <w:spacing w:val="40"/>
        </w:rPr>
        <w:t> </w:t>
      </w:r>
      <w:r>
        <w:rPr/>
        <w:t>shall be permissible with the special permission of Commissioner, subject to following </w:t>
      </w:r>
      <w:r>
        <w:rPr>
          <w:spacing w:val="9"/>
        </w:rPr>
        <w:t>conditions:</w:t>
      </w:r>
    </w:p>
    <w:p>
      <w:pPr>
        <w:pStyle w:val="ListParagraph"/>
        <w:numPr>
          <w:ilvl w:val="0"/>
          <w:numId w:val="232"/>
        </w:numPr>
        <w:tabs>
          <w:tab w:pos="1553" w:val="left" w:leader="none"/>
        </w:tabs>
        <w:spacing w:line="240" w:lineRule="auto" w:before="240" w:after="0"/>
        <w:ind w:left="1553" w:right="0" w:hanging="341"/>
        <w:jc w:val="both"/>
        <w:rPr>
          <w:sz w:val="24"/>
        </w:rPr>
      </w:pPr>
      <w:r>
        <w:rPr>
          <w:sz w:val="24"/>
        </w:rPr>
        <w:t>Total</w:t>
      </w:r>
      <w:r>
        <w:rPr>
          <w:spacing w:val="52"/>
          <w:sz w:val="24"/>
        </w:rPr>
        <w:t> </w:t>
      </w:r>
      <w:r>
        <w:rPr>
          <w:sz w:val="24"/>
        </w:rPr>
        <w:t>FSI</w:t>
      </w:r>
      <w:r>
        <w:rPr>
          <w:spacing w:val="53"/>
          <w:sz w:val="24"/>
        </w:rPr>
        <w:t> </w:t>
      </w:r>
      <w:r>
        <w:rPr>
          <w:sz w:val="24"/>
        </w:rPr>
        <w:t>shall</w:t>
      </w:r>
      <w:r>
        <w:rPr>
          <w:spacing w:val="49"/>
          <w:sz w:val="24"/>
        </w:rPr>
        <w:t> </w:t>
      </w:r>
      <w:r>
        <w:rPr>
          <w:sz w:val="24"/>
        </w:rPr>
        <w:t>not</w:t>
      </w:r>
      <w:r>
        <w:rPr>
          <w:spacing w:val="48"/>
          <w:sz w:val="24"/>
        </w:rPr>
        <w:t> </w:t>
      </w:r>
      <w:r>
        <w:rPr>
          <w:sz w:val="24"/>
        </w:rPr>
        <w:t>exceed</w:t>
      </w:r>
      <w:r>
        <w:rPr>
          <w:spacing w:val="49"/>
          <w:sz w:val="24"/>
        </w:rPr>
        <w:t> </w:t>
      </w:r>
      <w:r>
        <w:rPr>
          <w:sz w:val="24"/>
        </w:rPr>
        <w:t>0.20</w:t>
      </w:r>
      <w:r>
        <w:rPr>
          <w:spacing w:val="53"/>
          <w:sz w:val="24"/>
        </w:rPr>
        <w:t> </w:t>
      </w:r>
      <w:r>
        <w:rPr>
          <w:sz w:val="24"/>
        </w:rPr>
        <w:t>(excluding</w:t>
      </w:r>
      <w:r>
        <w:rPr>
          <w:spacing w:val="48"/>
          <w:sz w:val="24"/>
        </w:rPr>
        <w:t> </w:t>
      </w:r>
      <w:r>
        <w:rPr>
          <w:sz w:val="24"/>
        </w:rPr>
        <w:t>area</w:t>
      </w:r>
      <w:r>
        <w:rPr>
          <w:spacing w:val="49"/>
          <w:sz w:val="24"/>
        </w:rPr>
        <w:t> </w:t>
      </w:r>
      <w:r>
        <w:rPr>
          <w:sz w:val="24"/>
        </w:rPr>
        <w:t>of</w:t>
      </w:r>
      <w:r>
        <w:rPr>
          <w:spacing w:val="53"/>
          <w:sz w:val="24"/>
        </w:rPr>
        <w:t> </w:t>
      </w:r>
      <w:r>
        <w:rPr>
          <w:sz w:val="24"/>
        </w:rPr>
        <w:t>DP</w:t>
      </w:r>
      <w:r>
        <w:rPr>
          <w:spacing w:val="49"/>
          <w:sz w:val="24"/>
        </w:rPr>
        <w:t> </w:t>
      </w:r>
      <w:r>
        <w:rPr>
          <w:spacing w:val="-2"/>
          <w:sz w:val="24"/>
        </w:rPr>
        <w:t>road).</w:t>
      </w:r>
    </w:p>
    <w:p>
      <w:pPr>
        <w:pStyle w:val="ListParagraph"/>
        <w:numPr>
          <w:ilvl w:val="0"/>
          <w:numId w:val="232"/>
        </w:numPr>
        <w:tabs>
          <w:tab w:pos="1549" w:val="left" w:leader="none"/>
        </w:tabs>
        <w:spacing w:line="240" w:lineRule="auto" w:before="239" w:after="0"/>
        <w:ind w:left="1212" w:right="968" w:firstLine="0"/>
        <w:jc w:val="both"/>
        <w:rPr>
          <w:sz w:val="24"/>
        </w:rPr>
      </w:pPr>
      <w:r>
        <w:rPr>
          <w:sz w:val="24"/>
        </w:rPr>
        <w:t>Construction</w:t>
      </w:r>
      <w:r>
        <w:rPr>
          <w:spacing w:val="40"/>
          <w:sz w:val="24"/>
        </w:rPr>
        <w:t> </w:t>
      </w:r>
      <w:r>
        <w:rPr>
          <w:sz w:val="24"/>
        </w:rPr>
        <w:t>of</w:t>
      </w:r>
      <w:r>
        <w:rPr>
          <w:spacing w:val="40"/>
          <w:sz w:val="24"/>
        </w:rPr>
        <w:t> </w:t>
      </w:r>
      <w:r>
        <w:rPr>
          <w:sz w:val="24"/>
        </w:rPr>
        <w:t>buildings</w:t>
      </w:r>
      <w:r>
        <w:rPr>
          <w:spacing w:val="40"/>
          <w:sz w:val="24"/>
        </w:rPr>
        <w:t> </w:t>
      </w:r>
      <w:r>
        <w:rPr>
          <w:sz w:val="24"/>
        </w:rPr>
        <w:t>for</w:t>
      </w:r>
      <w:r>
        <w:rPr>
          <w:spacing w:val="40"/>
          <w:sz w:val="24"/>
        </w:rPr>
        <w:t> </w:t>
      </w:r>
      <w:r>
        <w:rPr>
          <w:sz w:val="24"/>
        </w:rPr>
        <w:t>IT/ITES</w:t>
      </w:r>
      <w:r>
        <w:rPr>
          <w:spacing w:val="40"/>
          <w:sz w:val="24"/>
        </w:rPr>
        <w:t> </w:t>
      </w:r>
      <w:r>
        <w:rPr>
          <w:sz w:val="24"/>
        </w:rPr>
        <w:t>shall</w:t>
      </w:r>
      <w:r>
        <w:rPr>
          <w:spacing w:val="40"/>
          <w:sz w:val="24"/>
        </w:rPr>
        <w:t> </w:t>
      </w:r>
      <w:r>
        <w:rPr>
          <w:sz w:val="24"/>
        </w:rPr>
        <w:t>be</w:t>
      </w:r>
      <w:r>
        <w:rPr>
          <w:spacing w:val="40"/>
          <w:sz w:val="24"/>
        </w:rPr>
        <w:t> </w:t>
      </w:r>
      <w:r>
        <w:rPr>
          <w:sz w:val="24"/>
        </w:rPr>
        <w:t>permitted</w:t>
      </w:r>
      <w:r>
        <w:rPr>
          <w:spacing w:val="40"/>
          <w:sz w:val="24"/>
        </w:rPr>
        <w:t> </w:t>
      </w:r>
      <w:r>
        <w:rPr>
          <w:sz w:val="24"/>
        </w:rPr>
        <w:t>to</w:t>
      </w:r>
      <w:r>
        <w:rPr>
          <w:spacing w:val="40"/>
          <w:sz w:val="24"/>
        </w:rPr>
        <w:t> </w:t>
      </w:r>
      <w:r>
        <w:rPr>
          <w:sz w:val="24"/>
        </w:rPr>
        <w:t>the</w:t>
      </w:r>
      <w:r>
        <w:rPr>
          <w:spacing w:val="40"/>
          <w:sz w:val="24"/>
        </w:rPr>
        <w:t> </w:t>
      </w:r>
      <w:r>
        <w:rPr>
          <w:sz w:val="24"/>
        </w:rPr>
        <w:t>extent of 20% on 10% of the total plot area and shall be</w:t>
      </w:r>
      <w:r>
        <w:rPr>
          <w:spacing w:val="40"/>
          <w:sz w:val="24"/>
        </w:rPr>
        <w:t> </w:t>
      </w:r>
      <w:r>
        <w:rPr>
          <w:sz w:val="24"/>
        </w:rPr>
        <w:t>located such that, as much</w:t>
      </w:r>
      <w:r>
        <w:rPr>
          <w:spacing w:val="40"/>
          <w:sz w:val="24"/>
        </w:rPr>
        <w:t> </w:t>
      </w:r>
      <w:r>
        <w:rPr>
          <w:sz w:val="24"/>
        </w:rPr>
        <w:t>of</w:t>
      </w:r>
      <w:r>
        <w:rPr>
          <w:spacing w:val="40"/>
          <w:sz w:val="24"/>
        </w:rPr>
        <w:t> </w:t>
      </w:r>
      <w:r>
        <w:rPr>
          <w:sz w:val="24"/>
        </w:rPr>
        <w:t>remaining</w:t>
      </w:r>
      <w:r>
        <w:rPr>
          <w:spacing w:val="40"/>
          <w:sz w:val="24"/>
        </w:rPr>
        <w:t> </w:t>
      </w:r>
      <w:r>
        <w:rPr>
          <w:sz w:val="24"/>
        </w:rPr>
        <w:t>open</w:t>
      </w:r>
      <w:r>
        <w:rPr>
          <w:spacing w:val="40"/>
          <w:sz w:val="24"/>
        </w:rPr>
        <w:t> </w:t>
      </w:r>
      <w:r>
        <w:rPr>
          <w:sz w:val="24"/>
        </w:rPr>
        <w:t>space</w:t>
      </w:r>
      <w:r>
        <w:rPr>
          <w:spacing w:val="40"/>
          <w:sz w:val="24"/>
        </w:rPr>
        <w:t> </w:t>
      </w:r>
      <w:r>
        <w:rPr>
          <w:sz w:val="24"/>
        </w:rPr>
        <w:t>is</w:t>
      </w:r>
      <w:r>
        <w:rPr>
          <w:spacing w:val="40"/>
          <w:sz w:val="24"/>
        </w:rPr>
        <w:t> </w:t>
      </w:r>
      <w:r>
        <w:rPr>
          <w:sz w:val="24"/>
        </w:rPr>
        <w:t>available</w:t>
      </w:r>
      <w:r>
        <w:rPr>
          <w:spacing w:val="40"/>
          <w:sz w:val="24"/>
        </w:rPr>
        <w:t> </w:t>
      </w:r>
      <w:r>
        <w:rPr>
          <w:sz w:val="24"/>
        </w:rPr>
        <w:t>in</w:t>
      </w:r>
      <w:r>
        <w:rPr>
          <w:spacing w:val="40"/>
          <w:sz w:val="24"/>
        </w:rPr>
        <w:t> </w:t>
      </w:r>
      <w:r>
        <w:rPr>
          <w:sz w:val="24"/>
        </w:rPr>
        <w:t>a</w:t>
      </w:r>
      <w:r>
        <w:rPr>
          <w:spacing w:val="40"/>
          <w:sz w:val="24"/>
        </w:rPr>
        <w:t> </w:t>
      </w:r>
      <w:r>
        <w:rPr>
          <w:sz w:val="24"/>
        </w:rPr>
        <w:t>contiguous</w:t>
      </w:r>
      <w:r>
        <w:rPr>
          <w:spacing w:val="40"/>
          <w:sz w:val="24"/>
        </w:rPr>
        <w:t> </w:t>
      </w:r>
      <w:r>
        <w:rPr>
          <w:sz w:val="24"/>
        </w:rPr>
        <w:t>manner</w:t>
      </w:r>
      <w:r>
        <w:rPr>
          <w:spacing w:val="40"/>
          <w:sz w:val="24"/>
        </w:rPr>
        <w:t> </w:t>
      </w:r>
      <w:r>
        <w:rPr>
          <w:sz w:val="24"/>
        </w:rPr>
        <w:t>and on</w:t>
      </w:r>
      <w:r>
        <w:rPr>
          <w:spacing w:val="40"/>
          <w:sz w:val="24"/>
        </w:rPr>
        <w:t> </w:t>
      </w:r>
      <w:r>
        <w:rPr>
          <w:sz w:val="24"/>
        </w:rPr>
        <w:t>remaining</w:t>
      </w:r>
      <w:r>
        <w:rPr>
          <w:spacing w:val="40"/>
          <w:sz w:val="24"/>
        </w:rPr>
        <w:t> </w:t>
      </w:r>
      <w:r>
        <w:rPr>
          <w:sz w:val="24"/>
        </w:rPr>
        <w:t>90%</w:t>
      </w:r>
      <w:r>
        <w:rPr>
          <w:spacing w:val="40"/>
          <w:sz w:val="24"/>
        </w:rPr>
        <w:t> </w:t>
      </w:r>
      <w:r>
        <w:rPr>
          <w:sz w:val="24"/>
        </w:rPr>
        <w:t>of</w:t>
      </w:r>
      <w:r>
        <w:rPr>
          <w:spacing w:val="40"/>
          <w:sz w:val="24"/>
        </w:rPr>
        <w:t> </w:t>
      </w:r>
      <w:r>
        <w:rPr>
          <w:sz w:val="24"/>
        </w:rPr>
        <w:t>plot</w:t>
      </w:r>
      <w:r>
        <w:rPr>
          <w:spacing w:val="40"/>
          <w:sz w:val="24"/>
        </w:rPr>
        <w:t> </w:t>
      </w:r>
      <w:r>
        <w:rPr>
          <w:sz w:val="24"/>
        </w:rPr>
        <w:t>area,</w:t>
      </w:r>
      <w:r>
        <w:rPr>
          <w:spacing w:val="80"/>
          <w:w w:val="150"/>
          <w:sz w:val="24"/>
        </w:rPr>
        <w:t> </w:t>
      </w:r>
      <w:r>
        <w:rPr>
          <w:sz w:val="24"/>
        </w:rPr>
        <w:t>trees</w:t>
      </w:r>
      <w:r>
        <w:rPr>
          <w:spacing w:val="40"/>
          <w:sz w:val="24"/>
        </w:rPr>
        <w:t> </w:t>
      </w:r>
      <w:r>
        <w:rPr>
          <w:sz w:val="24"/>
        </w:rPr>
        <w:t>shall</w:t>
      </w:r>
      <w:r>
        <w:rPr>
          <w:spacing w:val="40"/>
          <w:sz w:val="24"/>
        </w:rPr>
        <w:t> </w:t>
      </w:r>
      <w:r>
        <w:rPr>
          <w:sz w:val="24"/>
        </w:rPr>
        <w:t>be</w:t>
      </w:r>
      <w:r>
        <w:rPr>
          <w:spacing w:val="40"/>
          <w:sz w:val="24"/>
        </w:rPr>
        <w:t> </w:t>
      </w:r>
      <w:r>
        <w:rPr>
          <w:sz w:val="24"/>
        </w:rPr>
        <w:t>planted</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at least</w:t>
      </w:r>
      <w:r>
        <w:rPr>
          <w:spacing w:val="40"/>
          <w:sz w:val="24"/>
        </w:rPr>
        <w:t> </w:t>
      </w:r>
      <w:r>
        <w:rPr>
          <w:sz w:val="24"/>
        </w:rPr>
        <w:t>500</w:t>
      </w:r>
      <w:r>
        <w:rPr>
          <w:spacing w:val="40"/>
          <w:sz w:val="24"/>
        </w:rPr>
        <w:t> </w:t>
      </w:r>
      <w:r>
        <w:rPr>
          <w:sz w:val="24"/>
        </w:rPr>
        <w:t>trees</w:t>
      </w:r>
      <w:r>
        <w:rPr>
          <w:spacing w:val="40"/>
          <w:sz w:val="24"/>
        </w:rPr>
        <w:t> </w:t>
      </w:r>
      <w:r>
        <w:rPr>
          <w:sz w:val="24"/>
        </w:rPr>
        <w:t>per</w:t>
      </w:r>
      <w:r>
        <w:rPr>
          <w:spacing w:val="40"/>
          <w:sz w:val="24"/>
        </w:rPr>
        <w:t> </w:t>
      </w:r>
      <w:r>
        <w:rPr>
          <w:sz w:val="24"/>
        </w:rPr>
        <w:t>ha.</w:t>
      </w:r>
    </w:p>
    <w:p>
      <w:pPr>
        <w:pStyle w:val="ListParagraph"/>
        <w:numPr>
          <w:ilvl w:val="0"/>
          <w:numId w:val="232"/>
        </w:numPr>
        <w:tabs>
          <w:tab w:pos="1606" w:val="left" w:leader="none"/>
        </w:tabs>
        <w:spacing w:line="240" w:lineRule="auto" w:before="241" w:after="0"/>
        <w:ind w:left="1212" w:right="980" w:firstLine="0"/>
        <w:jc w:val="both"/>
        <w:rPr>
          <w:sz w:val="24"/>
        </w:rPr>
      </w:pPr>
      <w:r>
        <w:rPr>
          <w:sz w:val="24"/>
        </w:rPr>
        <w:t>The permission from the Director of Industries to set up IT/ITES Parks/Units shall</w:t>
      </w:r>
      <w:r>
        <w:rPr>
          <w:spacing w:val="40"/>
          <w:sz w:val="24"/>
        </w:rPr>
        <w:t> </w:t>
      </w:r>
      <w:r>
        <w:rPr>
          <w:sz w:val="24"/>
        </w:rPr>
        <w:t>be </w:t>
      </w:r>
      <w:r>
        <w:rPr>
          <w:spacing w:val="9"/>
          <w:sz w:val="24"/>
        </w:rPr>
        <w:t>necessary.</w:t>
      </w:r>
    </w:p>
    <w:p>
      <w:pPr>
        <w:pStyle w:val="Heading6"/>
        <w:numPr>
          <w:ilvl w:val="0"/>
          <w:numId w:val="230"/>
        </w:numPr>
        <w:tabs>
          <w:tab w:pos="1763" w:val="left" w:leader="none"/>
        </w:tabs>
        <w:spacing w:line="240" w:lineRule="auto" w:before="238" w:after="0"/>
        <w:ind w:left="1763" w:right="0" w:hanging="551"/>
        <w:jc w:val="both"/>
        <w:rPr>
          <w:i w:val="0"/>
        </w:rPr>
      </w:pPr>
      <w:r>
        <w:rPr/>
        <w:t>Tourism</w:t>
      </w:r>
      <w:r>
        <w:rPr>
          <w:spacing w:val="76"/>
        </w:rPr>
        <w:t> </w:t>
      </w:r>
      <w:r>
        <w:rPr/>
        <w:t>Development</w:t>
      </w:r>
      <w:r>
        <w:rPr>
          <w:spacing w:val="40"/>
          <w:w w:val="150"/>
        </w:rPr>
        <w:t> </w:t>
      </w:r>
      <w:r>
        <w:rPr/>
        <w:t>Area</w:t>
      </w:r>
      <w:r>
        <w:rPr>
          <w:spacing w:val="77"/>
        </w:rPr>
        <w:t> </w:t>
      </w:r>
      <w:r>
        <w:rPr>
          <w:spacing w:val="7"/>
        </w:rPr>
        <w:t>(TDA)</w:t>
      </w:r>
    </w:p>
    <w:p>
      <w:pPr>
        <w:pStyle w:val="BodyText"/>
        <w:spacing w:before="241"/>
        <w:ind w:left="1212" w:right="777"/>
      </w:pPr>
      <w:r>
        <w:rPr/>
        <w:t>Sites</w:t>
      </w:r>
      <w:r>
        <w:rPr>
          <w:spacing w:val="40"/>
        </w:rPr>
        <w:t> </w:t>
      </w:r>
      <w:r>
        <w:rPr/>
        <w:t>or</w:t>
      </w:r>
      <w:r>
        <w:rPr>
          <w:spacing w:val="40"/>
        </w:rPr>
        <w:t> </w:t>
      </w:r>
      <w:r>
        <w:rPr/>
        <w:t>plots</w:t>
      </w:r>
      <w:r>
        <w:rPr>
          <w:spacing w:val="40"/>
        </w:rPr>
        <w:t> </w:t>
      </w:r>
      <w:r>
        <w:rPr/>
        <w:t>identified</w:t>
      </w:r>
      <w:r>
        <w:rPr>
          <w:spacing w:val="40"/>
        </w:rPr>
        <w:t> </w:t>
      </w:r>
      <w:r>
        <w:rPr/>
        <w:t>by</w:t>
      </w:r>
      <w:r>
        <w:rPr>
          <w:spacing w:val="40"/>
        </w:rPr>
        <w:t> </w:t>
      </w:r>
      <w:r>
        <w:rPr/>
        <w:t>the</w:t>
      </w:r>
      <w:r>
        <w:rPr>
          <w:spacing w:val="40"/>
        </w:rPr>
        <w:t> </w:t>
      </w:r>
      <w:r>
        <w:rPr/>
        <w:t>Tourism</w:t>
      </w:r>
      <w:r>
        <w:rPr>
          <w:spacing w:val="40"/>
        </w:rPr>
        <w:t> </w:t>
      </w:r>
      <w:r>
        <w:rPr/>
        <w:t>Department</w:t>
      </w:r>
      <w:r>
        <w:rPr>
          <w:spacing w:val="40"/>
        </w:rPr>
        <w:t> </w:t>
      </w:r>
      <w:r>
        <w:rPr/>
        <w:t>of</w:t>
      </w:r>
      <w:r>
        <w:rPr>
          <w:spacing w:val="40"/>
        </w:rPr>
        <w:t> </w:t>
      </w:r>
      <w:r>
        <w:rPr/>
        <w:t>GoM.</w:t>
      </w:r>
      <w:r>
        <w:rPr>
          <w:spacing w:val="40"/>
        </w:rPr>
        <w:t> </w:t>
      </w:r>
      <w:r>
        <w:rPr/>
        <w:t>in consultation</w:t>
      </w:r>
      <w:r>
        <w:rPr>
          <w:spacing w:val="40"/>
        </w:rPr>
        <w:t> </w:t>
      </w:r>
      <w:r>
        <w:rPr/>
        <w:t>with</w:t>
      </w:r>
      <w:r>
        <w:rPr>
          <w:spacing w:val="40"/>
        </w:rPr>
        <w:t> </w:t>
      </w:r>
      <w:r>
        <w:rPr/>
        <w:t>the</w:t>
      </w:r>
      <w:r>
        <w:rPr>
          <w:spacing w:val="40"/>
        </w:rPr>
        <w:t> </w:t>
      </w:r>
      <w:r>
        <w:rPr/>
        <w:t>MTDC,</w:t>
      </w:r>
      <w:r>
        <w:rPr>
          <w:spacing w:val="40"/>
        </w:rPr>
        <w:t> </w:t>
      </w:r>
      <w:r>
        <w:rPr/>
        <w:t>and</w:t>
      </w:r>
      <w:r>
        <w:rPr>
          <w:spacing w:val="40"/>
        </w:rPr>
        <w:t> </w:t>
      </w:r>
      <w:r>
        <w:rPr/>
        <w:t>as</w:t>
      </w:r>
      <w:r>
        <w:rPr>
          <w:spacing w:val="40"/>
        </w:rPr>
        <w:t> </w:t>
      </w:r>
      <w:r>
        <w:rPr/>
        <w:t>specified</w:t>
      </w:r>
      <w:r>
        <w:rPr>
          <w:spacing w:val="40"/>
        </w:rPr>
        <w:t> </w:t>
      </w:r>
      <w:r>
        <w:rPr/>
        <w:t>by</w:t>
      </w:r>
      <w:r>
        <w:rPr>
          <w:spacing w:val="40"/>
        </w:rPr>
        <w:t> </w:t>
      </w:r>
      <w:r>
        <w:rPr/>
        <w:t>GoM</w:t>
      </w:r>
      <w:r>
        <w:rPr>
          <w:spacing w:val="40"/>
        </w:rPr>
        <w:t> </w:t>
      </w:r>
      <w:r>
        <w:rPr/>
        <w:t>from</w:t>
      </w:r>
      <w:r>
        <w:rPr>
          <w:spacing w:val="40"/>
        </w:rPr>
        <w:t> </w:t>
      </w:r>
      <w:r>
        <w:rPr/>
        <w:t>time</w:t>
      </w:r>
      <w:r>
        <w:rPr>
          <w:spacing w:val="40"/>
        </w:rPr>
        <w:t> </w:t>
      </w:r>
      <w:r>
        <w:rPr/>
        <w:t>to</w:t>
      </w:r>
      <w:r>
        <w:rPr>
          <w:spacing w:val="40"/>
        </w:rPr>
        <w:t> </w:t>
      </w:r>
      <w:r>
        <w:rPr/>
        <w:t>time as suitable for promotion of tourism to serve as </w:t>
      </w:r>
      <w:r>
        <w:rPr>
          <w:spacing w:val="10"/>
        </w:rPr>
        <w:t>holiday </w:t>
      </w:r>
      <w:r>
        <w:rPr/>
        <w:t>or beach resorts, hotels</w:t>
      </w:r>
      <w:r>
        <w:rPr>
          <w:spacing w:val="40"/>
        </w:rPr>
        <w:t> </w:t>
      </w:r>
      <w:r>
        <w:rPr/>
        <w:t>or</w:t>
      </w:r>
      <w:r>
        <w:rPr>
          <w:spacing w:val="40"/>
        </w:rPr>
        <w:t> </w:t>
      </w:r>
      <w:r>
        <w:rPr/>
        <w:t>motels</w:t>
      </w:r>
      <w:r>
        <w:rPr>
          <w:spacing w:val="40"/>
        </w:rPr>
        <w:t> </w:t>
      </w:r>
      <w:r>
        <w:rPr/>
        <w:t>may</w:t>
      </w:r>
      <w:r>
        <w:rPr>
          <w:spacing w:val="40"/>
        </w:rPr>
        <w:t> </w:t>
      </w:r>
      <w:r>
        <w:rPr/>
        <w:t>be</w:t>
      </w:r>
      <w:r>
        <w:rPr>
          <w:spacing w:val="40"/>
        </w:rPr>
        <w:t> </w:t>
      </w:r>
      <w:r>
        <w:rPr/>
        <w:t>included</w:t>
      </w:r>
      <w:r>
        <w:rPr>
          <w:spacing w:val="40"/>
        </w:rPr>
        <w:t> </w:t>
      </w:r>
      <w:r>
        <w:rPr/>
        <w:t>in</w:t>
      </w:r>
      <w:r>
        <w:rPr>
          <w:spacing w:val="40"/>
        </w:rPr>
        <w:t> </w:t>
      </w:r>
      <w:r>
        <w:rPr/>
        <w:t>a</w:t>
      </w:r>
      <w:r>
        <w:rPr>
          <w:spacing w:val="40"/>
        </w:rPr>
        <w:t> </w:t>
      </w:r>
      <w:r>
        <w:rPr/>
        <w:t>Tourism</w:t>
      </w:r>
      <w:r>
        <w:rPr>
          <w:spacing w:val="40"/>
        </w:rPr>
        <w:t> </w:t>
      </w:r>
      <w:r>
        <w:rPr/>
        <w:t>Development</w:t>
      </w:r>
      <w:r>
        <w:rPr>
          <w:spacing w:val="40"/>
        </w:rPr>
        <w:t> </w:t>
      </w:r>
      <w:r>
        <w:rPr/>
        <w:t>Area</w:t>
      </w:r>
      <w:r>
        <w:rPr>
          <w:spacing w:val="40"/>
        </w:rPr>
        <w:t> </w:t>
      </w:r>
      <w:r>
        <w:rPr/>
        <w:t>(TDA), and</w:t>
      </w:r>
      <w:r>
        <w:rPr>
          <w:spacing w:val="40"/>
        </w:rPr>
        <w:t> </w:t>
      </w:r>
      <w:r>
        <w:rPr/>
        <w:t>allowed</w:t>
      </w:r>
      <w:r>
        <w:rPr>
          <w:spacing w:val="40"/>
        </w:rPr>
        <w:t> </w:t>
      </w:r>
      <w:r>
        <w:rPr/>
        <w:t>to</w:t>
      </w:r>
      <w:r>
        <w:rPr>
          <w:spacing w:val="40"/>
        </w:rPr>
        <w:t> </w:t>
      </w:r>
      <w:r>
        <w:rPr/>
        <w:t>be</w:t>
      </w:r>
      <w:r>
        <w:rPr>
          <w:spacing w:val="40"/>
        </w:rPr>
        <w:t> </w:t>
      </w:r>
      <w:r>
        <w:rPr/>
        <w:t>developed</w:t>
      </w:r>
      <w:r>
        <w:rPr>
          <w:spacing w:val="40"/>
        </w:rPr>
        <w:t> </w:t>
      </w:r>
      <w:r>
        <w:rPr/>
        <w:t>for</w:t>
      </w:r>
      <w:r>
        <w:rPr>
          <w:spacing w:val="40"/>
        </w:rPr>
        <w:t> </w:t>
      </w:r>
      <w:r>
        <w:rPr/>
        <w:t>activities</w:t>
      </w:r>
      <w:r>
        <w:rPr>
          <w:spacing w:val="40"/>
        </w:rPr>
        <w:t> </w:t>
      </w:r>
      <w:r>
        <w:rPr/>
        <w:t>like</w:t>
      </w:r>
      <w:r>
        <w:rPr>
          <w:spacing w:val="40"/>
        </w:rPr>
        <w:t> </w:t>
      </w:r>
      <w:r>
        <w:rPr/>
        <w:t>beach</w:t>
      </w:r>
      <w:r>
        <w:rPr>
          <w:spacing w:val="40"/>
        </w:rPr>
        <w:t> </w:t>
      </w:r>
      <w:r>
        <w:rPr/>
        <w:t>resorts,</w:t>
      </w:r>
      <w:r>
        <w:rPr>
          <w:spacing w:val="40"/>
        </w:rPr>
        <w:t> </w:t>
      </w:r>
      <w:r>
        <w:rPr/>
        <w:t>hotels,</w:t>
      </w:r>
      <w:r>
        <w:rPr>
          <w:spacing w:val="40"/>
        </w:rPr>
        <w:t> </w:t>
      </w:r>
      <w:r>
        <w:rPr/>
        <w:t>motels, restaurants, health farms, water sports facilities, arts and </w:t>
      </w:r>
      <w:r>
        <w:rPr>
          <w:spacing w:val="9"/>
        </w:rPr>
        <w:t>crafts </w:t>
      </w:r>
      <w:r>
        <w:rPr/>
        <w:t>complexes, golf courses, gliding, powered gliding, grass skiing facilities, marinas,</w:t>
      </w:r>
      <w:r>
        <w:rPr>
          <w:spacing w:val="66"/>
        </w:rPr>
        <w:t> </w:t>
      </w:r>
      <w:r>
        <w:rPr/>
        <w:t>jetties</w:t>
      </w:r>
      <w:r>
        <w:rPr>
          <w:spacing w:val="40"/>
        </w:rPr>
        <w:t> </w:t>
      </w:r>
      <w:r>
        <w:rPr/>
        <w:t>and</w:t>
      </w:r>
      <w:r>
        <w:rPr>
          <w:spacing w:val="40"/>
        </w:rPr>
        <w:t> </w:t>
      </w:r>
      <w:r>
        <w:rPr/>
        <w:t>pontoons</w:t>
      </w:r>
      <w:r>
        <w:rPr>
          <w:spacing w:val="40"/>
        </w:rPr>
        <w:t> </w:t>
      </w:r>
      <w:r>
        <w:rPr/>
        <w:t>for</w:t>
      </w:r>
      <w:r>
        <w:rPr>
          <w:spacing w:val="66"/>
        </w:rPr>
        <w:t> </w:t>
      </w:r>
      <w:r>
        <w:rPr/>
        <w:t>docking</w:t>
      </w:r>
      <w:r>
        <w:rPr>
          <w:spacing w:val="40"/>
        </w:rPr>
        <w:t> </w:t>
      </w:r>
      <w:r>
        <w:rPr/>
        <w:t>of</w:t>
      </w:r>
      <w:r>
        <w:rPr>
          <w:spacing w:val="66"/>
        </w:rPr>
        <w:t> </w:t>
      </w:r>
      <w:r>
        <w:rPr/>
        <w:t>boats</w:t>
      </w:r>
      <w:r>
        <w:rPr>
          <w:spacing w:val="66"/>
        </w:rPr>
        <w:t> </w:t>
      </w:r>
      <w:r>
        <w:rPr/>
        <w:t>and</w:t>
      </w:r>
      <w:r>
        <w:rPr>
          <w:spacing w:val="40"/>
        </w:rPr>
        <w:t> </w:t>
      </w:r>
      <w:r>
        <w:rPr/>
        <w:t>swimming</w:t>
      </w:r>
      <w:r>
        <w:rPr>
          <w:spacing w:val="40"/>
        </w:rPr>
        <w:t> </w:t>
      </w:r>
      <w:r>
        <w:rPr>
          <w:spacing w:val="9"/>
        </w:rPr>
        <w:t>pools.</w:t>
      </w:r>
    </w:p>
    <w:p>
      <w:pPr>
        <w:pStyle w:val="BodyText"/>
        <w:spacing w:before="241"/>
        <w:ind w:left="1212" w:right="786"/>
      </w:pPr>
      <w:r>
        <w:rPr/>
        <w:t>If</w:t>
      </w:r>
      <w:r>
        <w:rPr>
          <w:spacing w:val="40"/>
        </w:rPr>
        <w:t> </w:t>
      </w:r>
      <w:r>
        <w:rPr/>
        <w:t>such</w:t>
      </w:r>
      <w:r>
        <w:rPr>
          <w:spacing w:val="40"/>
        </w:rPr>
        <w:t> </w:t>
      </w:r>
      <w:r>
        <w:rPr/>
        <w:t>specified</w:t>
      </w:r>
      <w:r>
        <w:rPr>
          <w:spacing w:val="40"/>
        </w:rPr>
        <w:t> </w:t>
      </w:r>
      <w:r>
        <w:rPr/>
        <w:t>sites</w:t>
      </w:r>
      <w:r>
        <w:rPr>
          <w:spacing w:val="40"/>
        </w:rPr>
        <w:t> </w:t>
      </w:r>
      <w:r>
        <w:rPr/>
        <w:t>are</w:t>
      </w:r>
      <w:r>
        <w:rPr>
          <w:spacing w:val="40"/>
        </w:rPr>
        <w:t> </w:t>
      </w:r>
      <w:r>
        <w:rPr/>
        <w:t>situated</w:t>
      </w:r>
      <w:r>
        <w:rPr>
          <w:spacing w:val="40"/>
        </w:rPr>
        <w:t> </w:t>
      </w:r>
      <w:r>
        <w:rPr/>
        <w:t>in</w:t>
      </w:r>
      <w:r>
        <w:rPr>
          <w:spacing w:val="40"/>
        </w:rPr>
        <w:t> </w:t>
      </w:r>
      <w:r>
        <w:rPr/>
        <w:t>the</w:t>
      </w:r>
      <w:r>
        <w:rPr>
          <w:spacing w:val="40"/>
        </w:rPr>
        <w:t> </w:t>
      </w:r>
      <w:r>
        <w:rPr>
          <w:color w:val="000000"/>
          <w:shd w:fill="FFCCFF" w:color="auto" w:val="clear"/>
        </w:rPr>
        <w:t>SDZ</w:t>
      </w:r>
      <w:r>
        <w:rPr>
          <w:color w:val="000000"/>
          <w:spacing w:val="40"/>
          <w:shd w:fill="FFCCFF" w:color="auto" w:val="clear"/>
        </w:rPr>
        <w:t> </w:t>
      </w:r>
      <w:r>
        <w:rPr>
          <w:color w:val="000000"/>
          <w:spacing w:val="34"/>
        </w:rPr>
        <w:t> </w:t>
      </w:r>
      <w:r>
        <w:rPr>
          <w:color w:val="000000"/>
        </w:rPr>
        <w:t>they</w:t>
      </w:r>
      <w:r>
        <w:rPr>
          <w:color w:val="000000"/>
          <w:spacing w:val="40"/>
        </w:rPr>
        <w:t> </w:t>
      </w:r>
      <w:r>
        <w:rPr>
          <w:color w:val="000000"/>
        </w:rPr>
        <w:t>shall</w:t>
      </w:r>
      <w:r>
        <w:rPr>
          <w:color w:val="000000"/>
          <w:spacing w:val="40"/>
        </w:rPr>
        <w:t> </w:t>
      </w:r>
      <w:r>
        <w:rPr>
          <w:color w:val="000000"/>
        </w:rPr>
        <w:t>be</w:t>
      </w:r>
      <w:r>
        <w:rPr>
          <w:color w:val="000000"/>
          <w:spacing w:val="40"/>
        </w:rPr>
        <w:t> </w:t>
      </w:r>
      <w:r>
        <w:rPr>
          <w:color w:val="000000"/>
        </w:rPr>
        <w:t>permitted</w:t>
      </w:r>
      <w:r>
        <w:rPr>
          <w:color w:val="000000"/>
          <w:spacing w:val="40"/>
        </w:rPr>
        <w:t> </w:t>
      </w:r>
      <w:r>
        <w:rPr>
          <w:color w:val="000000"/>
        </w:rPr>
        <w:t>to be</w:t>
      </w:r>
      <w:r>
        <w:rPr>
          <w:color w:val="000000"/>
          <w:spacing w:val="80"/>
        </w:rPr>
        <w:t> </w:t>
      </w:r>
      <w:r>
        <w:rPr>
          <w:color w:val="000000"/>
        </w:rPr>
        <w:t>developed</w:t>
      </w:r>
      <w:r>
        <w:rPr>
          <w:color w:val="000000"/>
          <w:spacing w:val="80"/>
        </w:rPr>
        <w:t> </w:t>
      </w:r>
      <w:r>
        <w:rPr>
          <w:color w:val="000000"/>
        </w:rPr>
        <w:t>for</w:t>
      </w:r>
      <w:r>
        <w:rPr>
          <w:color w:val="000000"/>
          <w:spacing w:val="80"/>
        </w:rPr>
        <w:t> </w:t>
      </w:r>
      <w:r>
        <w:rPr>
          <w:color w:val="000000"/>
        </w:rPr>
        <w:t>the</w:t>
      </w:r>
      <w:r>
        <w:rPr>
          <w:color w:val="000000"/>
          <w:spacing w:val="80"/>
        </w:rPr>
        <w:t> </w:t>
      </w:r>
      <w:r>
        <w:rPr>
          <w:color w:val="000000"/>
        </w:rPr>
        <w:t>aforesaid</w:t>
      </w:r>
      <w:r>
        <w:rPr>
          <w:color w:val="000000"/>
          <w:spacing w:val="80"/>
        </w:rPr>
        <w:t> </w:t>
      </w:r>
      <w:r>
        <w:rPr>
          <w:color w:val="000000"/>
        </w:rPr>
        <w:t>purposes</w:t>
      </w:r>
      <w:r>
        <w:rPr>
          <w:color w:val="000000"/>
          <w:spacing w:val="80"/>
        </w:rPr>
        <w:t> </w:t>
      </w:r>
      <w:r>
        <w:rPr>
          <w:color w:val="000000"/>
        </w:rPr>
        <w:t>with</w:t>
      </w:r>
      <w:r>
        <w:rPr>
          <w:color w:val="000000"/>
          <w:spacing w:val="80"/>
        </w:rPr>
        <w:t> </w:t>
      </w:r>
      <w:r>
        <w:rPr>
          <w:color w:val="000000"/>
        </w:rPr>
        <w:t>a</w:t>
      </w:r>
      <w:r>
        <w:rPr>
          <w:color w:val="000000"/>
          <w:spacing w:val="80"/>
        </w:rPr>
        <w:t> </w:t>
      </w:r>
      <w:r>
        <w:rPr>
          <w:color w:val="000000"/>
        </w:rPr>
        <w:t>FSI</w:t>
      </w:r>
      <w:r>
        <w:rPr>
          <w:color w:val="000000"/>
          <w:spacing w:val="80"/>
        </w:rPr>
        <w:t> </w:t>
      </w:r>
      <w:r>
        <w:rPr>
          <w:color w:val="000000"/>
          <w:shd w:fill="FFCCFF" w:color="auto" w:val="clear"/>
        </w:rPr>
        <w:t>0.50</w:t>
      </w:r>
      <w:r>
        <w:rPr>
          <w:color w:val="000000"/>
        </w:rPr>
        <w:t>(excluding</w:t>
      </w:r>
      <w:r>
        <w:rPr>
          <w:color w:val="000000"/>
          <w:spacing w:val="80"/>
        </w:rPr>
        <w:t> </w:t>
      </w:r>
      <w:r>
        <w:rPr>
          <w:color w:val="000000"/>
        </w:rPr>
        <w:t>area of DP road</w:t>
      </w:r>
      <w:r>
        <w:rPr>
          <w:b/>
          <w:color w:val="000000"/>
          <w:u w:val="single"/>
        </w:rPr>
        <w:t>)</w:t>
      </w:r>
      <w:r>
        <w:rPr>
          <w:b/>
          <w:color w:val="000000"/>
        </w:rPr>
        <w:t> </w:t>
      </w:r>
      <w:r>
        <w:rPr>
          <w:color w:val="000000"/>
        </w:rPr>
        <w:t>notwithstanding anything contained in these Regulations, additional</w:t>
      </w:r>
      <w:r>
        <w:rPr>
          <w:color w:val="000000"/>
          <w:spacing w:val="40"/>
        </w:rPr>
        <w:t> </w:t>
      </w:r>
      <w:r>
        <w:rPr>
          <w:color w:val="000000"/>
        </w:rPr>
        <w:t>FSI</w:t>
      </w:r>
      <w:r>
        <w:rPr>
          <w:color w:val="000000"/>
          <w:spacing w:val="40"/>
        </w:rPr>
        <w:t> </w:t>
      </w:r>
      <w:r>
        <w:rPr>
          <w:color w:val="000000"/>
        </w:rPr>
        <w:t>in</w:t>
      </w:r>
      <w:r>
        <w:rPr>
          <w:color w:val="000000"/>
          <w:spacing w:val="40"/>
        </w:rPr>
        <w:t> </w:t>
      </w:r>
      <w:r>
        <w:rPr>
          <w:color w:val="000000"/>
        </w:rPr>
        <w:t>such</w:t>
      </w:r>
      <w:r>
        <w:rPr>
          <w:color w:val="000000"/>
          <w:spacing w:val="40"/>
        </w:rPr>
        <w:t> </w:t>
      </w:r>
      <w:r>
        <w:rPr>
          <w:color w:val="000000"/>
        </w:rPr>
        <w:t>Zone</w:t>
      </w:r>
      <w:r>
        <w:rPr>
          <w:color w:val="000000"/>
          <w:spacing w:val="40"/>
        </w:rPr>
        <w:t> </w:t>
      </w:r>
      <w:r>
        <w:rPr>
          <w:color w:val="000000"/>
        </w:rPr>
        <w:t>shall</w:t>
      </w:r>
      <w:r>
        <w:rPr>
          <w:color w:val="000000"/>
          <w:spacing w:val="40"/>
        </w:rPr>
        <w:t> </w:t>
      </w:r>
      <w:r>
        <w:rPr>
          <w:color w:val="000000"/>
        </w:rPr>
        <w:t>not</w:t>
      </w:r>
      <w:r>
        <w:rPr>
          <w:color w:val="000000"/>
          <w:spacing w:val="40"/>
        </w:rPr>
        <w:t> </w:t>
      </w:r>
      <w:r>
        <w:rPr>
          <w:color w:val="000000"/>
        </w:rPr>
        <w:t>be</w:t>
      </w:r>
      <w:r>
        <w:rPr>
          <w:color w:val="000000"/>
          <w:spacing w:val="40"/>
        </w:rPr>
        <w:t> </w:t>
      </w:r>
      <w:r>
        <w:rPr>
          <w:color w:val="000000"/>
          <w:spacing w:val="9"/>
        </w:rPr>
        <w:t>admissible.</w:t>
      </w:r>
    </w:p>
    <w:p>
      <w:pPr>
        <w:pStyle w:val="BodyText"/>
        <w:spacing w:before="241"/>
        <w:ind w:left="1212" w:right="787"/>
      </w:pPr>
      <w:r>
        <w:rPr/>
        <w:t>Note-</w:t>
      </w:r>
      <w:r>
        <w:rPr>
          <w:spacing w:val="40"/>
        </w:rPr>
        <w:t> </w:t>
      </w:r>
      <w:r>
        <w:rPr/>
        <w:t>If</w:t>
      </w:r>
      <w:r>
        <w:rPr>
          <w:spacing w:val="40"/>
        </w:rPr>
        <w:t> </w:t>
      </w:r>
      <w:r>
        <w:rPr/>
        <w:t>such</w:t>
      </w:r>
      <w:r>
        <w:rPr>
          <w:spacing w:val="40"/>
        </w:rPr>
        <w:t> </w:t>
      </w:r>
      <w:r>
        <w:rPr/>
        <w:t>sites</w:t>
      </w:r>
      <w:r>
        <w:rPr>
          <w:spacing w:val="40"/>
        </w:rPr>
        <w:t> </w:t>
      </w:r>
      <w:r>
        <w:rPr/>
        <w:t>are</w:t>
      </w:r>
      <w:r>
        <w:rPr>
          <w:spacing w:val="40"/>
        </w:rPr>
        <w:t> </w:t>
      </w:r>
      <w:r>
        <w:rPr/>
        <w:t>situated</w:t>
      </w:r>
      <w:r>
        <w:rPr>
          <w:spacing w:val="40"/>
        </w:rPr>
        <w:t> </w:t>
      </w:r>
      <w:r>
        <w:rPr/>
        <w:t>in</w:t>
      </w:r>
      <w:r>
        <w:rPr>
          <w:spacing w:val="40"/>
        </w:rPr>
        <w:t> </w:t>
      </w:r>
      <w:r>
        <w:rPr/>
        <w:t>zone</w:t>
      </w:r>
      <w:r>
        <w:rPr>
          <w:spacing w:val="40"/>
        </w:rPr>
        <w:t> </w:t>
      </w:r>
      <w:r>
        <w:rPr/>
        <w:t>other</w:t>
      </w:r>
      <w:r>
        <w:rPr>
          <w:spacing w:val="40"/>
        </w:rPr>
        <w:t> </w:t>
      </w:r>
      <w:r>
        <w:rPr/>
        <w:t>than</w:t>
      </w:r>
      <w:r>
        <w:rPr>
          <w:spacing w:val="40"/>
        </w:rPr>
        <w:t> </w:t>
      </w:r>
      <w:r>
        <w:rPr>
          <w:color w:val="000000"/>
          <w:shd w:fill="FFCCFF" w:color="auto" w:val="clear"/>
        </w:rPr>
        <w:t>SDZ</w:t>
      </w:r>
      <w:r>
        <w:rPr>
          <w:color w:val="000000"/>
          <w:spacing w:val="32"/>
        </w:rPr>
        <w:t> </w:t>
      </w:r>
      <w:r>
        <w:rPr>
          <w:color w:val="000000"/>
        </w:rPr>
        <w:t>and</w:t>
      </w:r>
      <w:r>
        <w:rPr>
          <w:color w:val="000000"/>
          <w:spacing w:val="40"/>
        </w:rPr>
        <w:t> </w:t>
      </w:r>
      <w:r>
        <w:rPr>
          <w:color w:val="000000"/>
        </w:rPr>
        <w:t>Natural</w:t>
      </w:r>
      <w:r>
        <w:rPr>
          <w:color w:val="000000"/>
          <w:spacing w:val="40"/>
        </w:rPr>
        <w:t> </w:t>
      </w:r>
      <w:r>
        <w:rPr>
          <w:color w:val="000000"/>
        </w:rPr>
        <w:t>Area, the</w:t>
      </w:r>
      <w:r>
        <w:rPr>
          <w:color w:val="000000"/>
          <w:spacing w:val="78"/>
        </w:rPr>
        <w:t> </w:t>
      </w:r>
      <w:r>
        <w:rPr>
          <w:color w:val="000000"/>
        </w:rPr>
        <w:t>FSI</w:t>
      </w:r>
      <w:r>
        <w:rPr>
          <w:color w:val="000000"/>
          <w:spacing w:val="80"/>
        </w:rPr>
        <w:t> </w:t>
      </w:r>
      <w:r>
        <w:rPr>
          <w:color w:val="000000"/>
        </w:rPr>
        <w:t>permissible</w:t>
      </w:r>
      <w:r>
        <w:rPr>
          <w:color w:val="000000"/>
          <w:spacing w:val="78"/>
        </w:rPr>
        <w:t> </w:t>
      </w:r>
      <w:r>
        <w:rPr>
          <w:color w:val="000000"/>
        </w:rPr>
        <w:t>shall</w:t>
      </w:r>
      <w:r>
        <w:rPr>
          <w:color w:val="000000"/>
          <w:spacing w:val="80"/>
        </w:rPr>
        <w:t> </w:t>
      </w:r>
      <w:r>
        <w:rPr>
          <w:color w:val="000000"/>
        </w:rPr>
        <w:t>be</w:t>
      </w:r>
      <w:r>
        <w:rPr>
          <w:color w:val="000000"/>
          <w:spacing w:val="78"/>
        </w:rPr>
        <w:t> </w:t>
      </w:r>
      <w:r>
        <w:rPr>
          <w:color w:val="000000"/>
        </w:rPr>
        <w:t>that</w:t>
      </w:r>
      <w:r>
        <w:rPr>
          <w:color w:val="000000"/>
          <w:spacing w:val="80"/>
        </w:rPr>
        <w:t> </w:t>
      </w:r>
      <w:r>
        <w:rPr>
          <w:color w:val="000000"/>
        </w:rPr>
        <w:t>corresponding</w:t>
      </w:r>
      <w:r>
        <w:rPr>
          <w:color w:val="000000"/>
          <w:spacing w:val="78"/>
        </w:rPr>
        <w:t> </w:t>
      </w:r>
      <w:r>
        <w:rPr>
          <w:color w:val="000000"/>
        </w:rPr>
        <w:t>to</w:t>
      </w:r>
      <w:r>
        <w:rPr>
          <w:color w:val="000000"/>
          <w:spacing w:val="78"/>
        </w:rPr>
        <w:t> </w:t>
      </w:r>
      <w:r>
        <w:rPr>
          <w:color w:val="000000"/>
        </w:rPr>
        <w:t>the</w:t>
      </w:r>
      <w:r>
        <w:rPr>
          <w:color w:val="000000"/>
          <w:spacing w:val="74"/>
        </w:rPr>
        <w:t>  </w:t>
      </w:r>
      <w:r>
        <w:rPr>
          <w:color w:val="000000"/>
        </w:rPr>
        <w:t>FSI</w:t>
      </w:r>
      <w:r>
        <w:rPr>
          <w:color w:val="000000"/>
          <w:spacing w:val="80"/>
        </w:rPr>
        <w:t> </w:t>
      </w:r>
      <w:r>
        <w:rPr>
          <w:color w:val="000000"/>
        </w:rPr>
        <w:t>permissible</w:t>
      </w:r>
    </w:p>
    <w:p>
      <w:pPr>
        <w:pStyle w:val="BodyText"/>
        <w:spacing w:after="0"/>
        <w:sectPr>
          <w:pgSz w:w="11910" w:h="16840"/>
          <w:pgMar w:header="1058" w:footer="1088" w:top="1500" w:bottom="1280" w:left="360" w:right="360"/>
        </w:sectPr>
      </w:pPr>
    </w:p>
    <w:p>
      <w:pPr>
        <w:pStyle w:val="BodyText"/>
        <w:tabs>
          <w:tab w:pos="1677" w:val="left" w:leader="none"/>
          <w:tab w:pos="2297" w:val="left" w:leader="none"/>
          <w:tab w:pos="3778" w:val="left" w:leader="none"/>
          <w:tab w:pos="4701" w:val="left" w:leader="none"/>
          <w:tab w:pos="5201" w:val="left" w:leader="none"/>
          <w:tab w:pos="6689" w:val="left" w:leader="none"/>
          <w:tab w:pos="7159" w:val="left" w:leader="none"/>
          <w:tab w:pos="8055" w:val="left" w:leader="none"/>
          <w:tab w:pos="8589" w:val="left" w:leader="none"/>
          <w:tab w:pos="9035" w:val="left" w:leader="none"/>
        </w:tabs>
        <w:spacing w:before="255"/>
        <w:ind w:left="1212" w:right="838"/>
        <w:jc w:val="left"/>
      </w:pPr>
      <w:r>
        <w:rPr>
          <w:spacing w:val="-6"/>
        </w:rPr>
        <w:t>in</w:t>
      </w:r>
      <w:r>
        <w:rPr/>
        <w:tab/>
      </w:r>
      <w:r>
        <w:rPr>
          <w:spacing w:val="-4"/>
        </w:rPr>
        <w:t>the</w:t>
      </w:r>
      <w:r>
        <w:rPr/>
        <w:tab/>
      </w:r>
      <w:r>
        <w:rPr>
          <w:spacing w:val="-2"/>
        </w:rPr>
        <w:t>respective</w:t>
      </w:r>
      <w:r>
        <w:rPr/>
        <w:tab/>
      </w:r>
      <w:r>
        <w:rPr>
          <w:spacing w:val="-2"/>
        </w:rPr>
        <w:t>zones</w:t>
      </w:r>
      <w:r>
        <w:rPr/>
        <w:tab/>
      </w:r>
      <w:r>
        <w:rPr>
          <w:spacing w:val="-6"/>
        </w:rPr>
        <w:t>as</w:t>
      </w:r>
      <w:r>
        <w:rPr/>
        <w:tab/>
      </w:r>
      <w:r>
        <w:rPr>
          <w:spacing w:val="-2"/>
        </w:rPr>
        <w:t>stipulated</w:t>
      </w:r>
      <w:r>
        <w:rPr/>
        <w:tab/>
      </w:r>
      <w:r>
        <w:rPr>
          <w:spacing w:val="-6"/>
        </w:rPr>
        <w:t>in</w:t>
      </w:r>
      <w:r>
        <w:rPr/>
        <w:tab/>
      </w:r>
      <w:r>
        <w:rPr>
          <w:spacing w:val="-2"/>
        </w:rPr>
        <w:t>Table</w:t>
      </w:r>
      <w:r>
        <w:rPr/>
        <w:tab/>
      </w:r>
      <w:r>
        <w:rPr>
          <w:spacing w:val="-6"/>
        </w:rPr>
        <w:t>12</w:t>
      </w:r>
      <w:r>
        <w:rPr/>
        <w:tab/>
      </w:r>
      <w:r>
        <w:rPr>
          <w:spacing w:val="-6"/>
        </w:rPr>
        <w:t>of</w:t>
      </w:r>
      <w:r>
        <w:rPr/>
        <w:tab/>
      </w:r>
      <w:r>
        <w:rPr>
          <w:spacing w:val="-2"/>
        </w:rPr>
        <w:t>Regulation </w:t>
      </w:r>
      <w:r>
        <w:rPr>
          <w:spacing w:val="7"/>
        </w:rPr>
        <w:t>No.30(1)(A).</w:t>
      </w:r>
    </w:p>
    <w:p>
      <w:pPr>
        <w:pStyle w:val="BodyText"/>
        <w:spacing w:before="240"/>
        <w:ind w:left="1212" w:right="838"/>
        <w:jc w:val="left"/>
      </w:pPr>
      <w:r>
        <w:rPr/>
        <w:t>Guidelines</w:t>
      </w:r>
      <w:r>
        <w:rPr>
          <w:spacing w:val="40"/>
        </w:rPr>
        <w:t> </w:t>
      </w:r>
      <w:r>
        <w:rPr/>
        <w:t>for</w:t>
      </w:r>
      <w:r>
        <w:rPr>
          <w:spacing w:val="40"/>
        </w:rPr>
        <w:t> </w:t>
      </w:r>
      <w:r>
        <w:rPr/>
        <w:t>identification</w:t>
      </w:r>
      <w:r>
        <w:rPr>
          <w:spacing w:val="40"/>
        </w:rPr>
        <w:t> </w:t>
      </w:r>
      <w:r>
        <w:rPr/>
        <w:t>of</w:t>
      </w:r>
      <w:r>
        <w:rPr>
          <w:spacing w:val="40"/>
        </w:rPr>
        <w:t> </w:t>
      </w:r>
      <w:r>
        <w:rPr/>
        <w:t>TDA</w:t>
      </w:r>
      <w:r>
        <w:rPr>
          <w:spacing w:val="40"/>
        </w:rPr>
        <w:t> </w:t>
      </w:r>
      <w:r>
        <w:rPr/>
        <w:t>and</w:t>
      </w:r>
      <w:r>
        <w:rPr>
          <w:spacing w:val="40"/>
        </w:rPr>
        <w:t> </w:t>
      </w:r>
      <w:r>
        <w:rPr/>
        <w:t>for</w:t>
      </w:r>
      <w:r>
        <w:rPr>
          <w:spacing w:val="40"/>
        </w:rPr>
        <w:t> </w:t>
      </w:r>
      <w:r>
        <w:rPr/>
        <w:t>development</w:t>
      </w:r>
      <w:r>
        <w:rPr>
          <w:spacing w:val="40"/>
        </w:rPr>
        <w:t> </w:t>
      </w:r>
      <w:r>
        <w:rPr/>
        <w:t>to</w:t>
      </w:r>
      <w:r>
        <w:rPr>
          <w:spacing w:val="40"/>
        </w:rPr>
        <w:t> </w:t>
      </w:r>
      <w:r>
        <w:rPr/>
        <w:t>be</w:t>
      </w:r>
      <w:r>
        <w:rPr>
          <w:spacing w:val="40"/>
        </w:rPr>
        <w:t> </w:t>
      </w:r>
      <w:r>
        <w:rPr/>
        <w:t>permitted</w:t>
      </w:r>
      <w:r>
        <w:rPr>
          <w:spacing w:val="40"/>
        </w:rPr>
        <w:t> </w:t>
      </w:r>
      <w:r>
        <w:rPr>
          <w:spacing w:val="-2"/>
        </w:rPr>
        <w:t>therein</w:t>
      </w:r>
    </w:p>
    <w:p>
      <w:pPr>
        <w:pStyle w:val="ListParagraph"/>
        <w:numPr>
          <w:ilvl w:val="0"/>
          <w:numId w:val="233"/>
        </w:numPr>
        <w:tabs>
          <w:tab w:pos="1111" w:val="left" w:leader="none"/>
        </w:tabs>
        <w:spacing w:line="240" w:lineRule="auto" w:before="241" w:after="0"/>
        <w:ind w:left="1111" w:right="0" w:hanging="339"/>
        <w:jc w:val="left"/>
        <w:rPr>
          <w:b/>
          <w:sz w:val="22"/>
        </w:rPr>
      </w:pPr>
      <w:r>
        <w:rPr>
          <w:sz w:val="24"/>
        </w:rPr>
        <w:t>General</w:t>
      </w:r>
      <w:r>
        <w:rPr>
          <w:spacing w:val="72"/>
          <w:sz w:val="24"/>
        </w:rPr>
        <w:t> </w:t>
      </w:r>
      <w:r>
        <w:rPr>
          <w:spacing w:val="7"/>
          <w:sz w:val="24"/>
        </w:rPr>
        <w:t>Conditions</w:t>
      </w:r>
      <w:r>
        <w:rPr>
          <w:b/>
          <w:spacing w:val="7"/>
          <w:sz w:val="24"/>
        </w:rPr>
        <w:t>:</w:t>
      </w:r>
    </w:p>
    <w:p>
      <w:pPr>
        <w:pStyle w:val="ListParagraph"/>
        <w:numPr>
          <w:ilvl w:val="1"/>
          <w:numId w:val="233"/>
        </w:numPr>
        <w:tabs>
          <w:tab w:pos="1688" w:val="left" w:leader="none"/>
        </w:tabs>
        <w:spacing w:line="240" w:lineRule="auto" w:before="239" w:after="0"/>
        <w:ind w:left="1433" w:right="796" w:firstLine="0"/>
        <w:jc w:val="both"/>
        <w:rPr>
          <w:sz w:val="24"/>
        </w:rPr>
      </w:pPr>
      <w:r>
        <w:rPr>
          <w:sz w:val="24"/>
        </w:rPr>
        <w:t>TDA</w:t>
      </w:r>
      <w:r>
        <w:rPr>
          <w:spacing w:val="40"/>
          <w:sz w:val="24"/>
        </w:rPr>
        <w:t> </w:t>
      </w:r>
      <w:r>
        <w:rPr>
          <w:sz w:val="24"/>
        </w:rPr>
        <w:t>can</w:t>
      </w:r>
      <w:r>
        <w:rPr>
          <w:spacing w:val="40"/>
          <w:sz w:val="24"/>
        </w:rPr>
        <w:t> </w:t>
      </w:r>
      <w:r>
        <w:rPr>
          <w:sz w:val="24"/>
        </w:rPr>
        <w:t>be</w:t>
      </w:r>
      <w:r>
        <w:rPr>
          <w:spacing w:val="40"/>
          <w:sz w:val="24"/>
        </w:rPr>
        <w:t> </w:t>
      </w:r>
      <w:r>
        <w:rPr>
          <w:sz w:val="24"/>
        </w:rPr>
        <w:t>developed</w:t>
      </w:r>
      <w:r>
        <w:rPr>
          <w:spacing w:val="40"/>
          <w:sz w:val="24"/>
        </w:rPr>
        <w:t> </w:t>
      </w:r>
      <w:r>
        <w:rPr>
          <w:sz w:val="24"/>
        </w:rPr>
        <w:t>by</w:t>
      </w:r>
      <w:r>
        <w:rPr>
          <w:spacing w:val="40"/>
          <w:sz w:val="24"/>
        </w:rPr>
        <w:t> </w:t>
      </w:r>
      <w:r>
        <w:rPr>
          <w:sz w:val="24"/>
        </w:rPr>
        <w:t>individual</w:t>
      </w:r>
      <w:r>
        <w:rPr>
          <w:spacing w:val="40"/>
          <w:sz w:val="24"/>
        </w:rPr>
        <w:t> </w:t>
      </w:r>
      <w:r>
        <w:rPr>
          <w:sz w:val="24"/>
        </w:rPr>
        <w:t>or</w:t>
      </w:r>
      <w:r>
        <w:rPr>
          <w:spacing w:val="40"/>
          <w:sz w:val="24"/>
        </w:rPr>
        <w:t> </w:t>
      </w:r>
      <w:r>
        <w:rPr>
          <w:sz w:val="24"/>
        </w:rPr>
        <w:t>Company</w:t>
      </w:r>
      <w:r>
        <w:rPr>
          <w:spacing w:val="40"/>
          <w:sz w:val="24"/>
        </w:rPr>
        <w:t> </w:t>
      </w:r>
      <w:r>
        <w:rPr>
          <w:sz w:val="24"/>
        </w:rPr>
        <w:t>or</w:t>
      </w:r>
      <w:r>
        <w:rPr>
          <w:spacing w:val="40"/>
          <w:sz w:val="24"/>
        </w:rPr>
        <w:t> </w:t>
      </w:r>
      <w:r>
        <w:rPr>
          <w:sz w:val="24"/>
        </w:rPr>
        <w:t>Partnership</w:t>
      </w:r>
      <w:r>
        <w:rPr>
          <w:spacing w:val="40"/>
          <w:sz w:val="24"/>
        </w:rPr>
        <w:t> </w:t>
      </w:r>
      <w:r>
        <w:rPr>
          <w:sz w:val="24"/>
        </w:rPr>
        <w:t>firm</w:t>
      </w:r>
      <w:r>
        <w:rPr>
          <w:spacing w:val="40"/>
          <w:sz w:val="24"/>
        </w:rPr>
        <w:t> </w:t>
      </w:r>
      <w:r>
        <w:rPr>
          <w:sz w:val="24"/>
        </w:rPr>
        <w:t>or</w:t>
      </w:r>
      <w:r>
        <w:rPr>
          <w:spacing w:val="80"/>
          <w:sz w:val="24"/>
        </w:rPr>
        <w:t> </w:t>
      </w:r>
      <w:r>
        <w:rPr>
          <w:spacing w:val="9"/>
          <w:sz w:val="24"/>
        </w:rPr>
        <w:t>Govt/Semi-</w:t>
      </w:r>
      <w:r>
        <w:rPr>
          <w:sz w:val="24"/>
        </w:rPr>
        <w:t>Govt.</w:t>
      </w:r>
      <w:r>
        <w:rPr>
          <w:spacing w:val="80"/>
          <w:sz w:val="24"/>
        </w:rPr>
        <w:t> </w:t>
      </w:r>
      <w:r>
        <w:rPr>
          <w:sz w:val="24"/>
        </w:rPr>
        <w:t>organization/</w:t>
      </w:r>
      <w:r>
        <w:rPr>
          <w:spacing w:val="80"/>
          <w:sz w:val="24"/>
        </w:rPr>
        <w:t> </w:t>
      </w:r>
      <w:r>
        <w:rPr>
          <w:sz w:val="24"/>
        </w:rPr>
        <w:t>corporations.</w:t>
      </w:r>
    </w:p>
    <w:p>
      <w:pPr>
        <w:pStyle w:val="ListParagraph"/>
        <w:numPr>
          <w:ilvl w:val="1"/>
          <w:numId w:val="233"/>
        </w:numPr>
        <w:tabs>
          <w:tab w:pos="1750" w:val="left" w:leader="none"/>
        </w:tabs>
        <w:spacing w:line="240" w:lineRule="auto" w:before="240" w:after="0"/>
        <w:ind w:left="1750" w:right="0" w:hanging="317"/>
        <w:jc w:val="both"/>
        <w:rPr>
          <w:sz w:val="24"/>
        </w:rPr>
      </w:pPr>
      <w:r>
        <w:rPr>
          <w:sz w:val="24"/>
        </w:rPr>
        <w:t>These</w:t>
      </w:r>
      <w:r>
        <w:rPr>
          <w:spacing w:val="36"/>
          <w:sz w:val="24"/>
        </w:rPr>
        <w:t> </w:t>
      </w:r>
      <w:r>
        <w:rPr>
          <w:sz w:val="24"/>
        </w:rPr>
        <w:t>guidelines</w:t>
      </w:r>
      <w:r>
        <w:rPr>
          <w:spacing w:val="42"/>
          <w:sz w:val="24"/>
        </w:rPr>
        <w:t> </w:t>
      </w:r>
      <w:r>
        <w:rPr>
          <w:sz w:val="24"/>
        </w:rPr>
        <w:t>shall</w:t>
      </w:r>
      <w:r>
        <w:rPr>
          <w:spacing w:val="39"/>
          <w:sz w:val="24"/>
        </w:rPr>
        <w:t> </w:t>
      </w:r>
      <w:r>
        <w:rPr>
          <w:sz w:val="24"/>
        </w:rPr>
        <w:t>be</w:t>
      </w:r>
      <w:r>
        <w:rPr>
          <w:spacing w:val="38"/>
          <w:sz w:val="24"/>
        </w:rPr>
        <w:t> </w:t>
      </w:r>
      <w:r>
        <w:rPr>
          <w:sz w:val="24"/>
        </w:rPr>
        <w:t>applicable</w:t>
      </w:r>
      <w:r>
        <w:rPr>
          <w:spacing w:val="42"/>
          <w:sz w:val="24"/>
        </w:rPr>
        <w:t> </w:t>
      </w:r>
      <w:r>
        <w:rPr>
          <w:sz w:val="24"/>
        </w:rPr>
        <w:t>for</w:t>
      </w:r>
      <w:r>
        <w:rPr>
          <w:spacing w:val="43"/>
          <w:sz w:val="24"/>
        </w:rPr>
        <w:t> </w:t>
      </w:r>
      <w:r>
        <w:rPr>
          <w:sz w:val="24"/>
        </w:rPr>
        <w:t>TDA,</w:t>
      </w:r>
      <w:r>
        <w:rPr>
          <w:spacing w:val="38"/>
          <w:sz w:val="24"/>
        </w:rPr>
        <w:t> </w:t>
      </w:r>
      <w:r>
        <w:rPr>
          <w:sz w:val="24"/>
        </w:rPr>
        <w:t>as</w:t>
      </w:r>
      <w:r>
        <w:rPr>
          <w:spacing w:val="38"/>
          <w:sz w:val="24"/>
        </w:rPr>
        <w:t> </w:t>
      </w:r>
      <w:r>
        <w:rPr>
          <w:sz w:val="24"/>
        </w:rPr>
        <w:t>set</w:t>
      </w:r>
      <w:r>
        <w:rPr>
          <w:spacing w:val="39"/>
          <w:sz w:val="24"/>
        </w:rPr>
        <w:t> </w:t>
      </w:r>
      <w:r>
        <w:rPr>
          <w:sz w:val="24"/>
        </w:rPr>
        <w:t>out</w:t>
      </w:r>
      <w:r>
        <w:rPr>
          <w:spacing w:val="42"/>
          <w:sz w:val="24"/>
        </w:rPr>
        <w:t> </w:t>
      </w:r>
      <w:r>
        <w:rPr>
          <w:sz w:val="24"/>
        </w:rPr>
        <w:t>herein</w:t>
      </w:r>
      <w:r>
        <w:rPr>
          <w:spacing w:val="39"/>
          <w:sz w:val="24"/>
        </w:rPr>
        <w:t> </w:t>
      </w:r>
      <w:r>
        <w:rPr>
          <w:spacing w:val="-2"/>
          <w:sz w:val="24"/>
        </w:rPr>
        <w:t>below.</w:t>
      </w:r>
    </w:p>
    <w:p>
      <w:pPr>
        <w:pStyle w:val="ListParagraph"/>
        <w:numPr>
          <w:ilvl w:val="1"/>
          <w:numId w:val="233"/>
        </w:numPr>
        <w:tabs>
          <w:tab w:pos="1845" w:val="left" w:leader="none"/>
        </w:tabs>
        <w:spacing w:line="240" w:lineRule="auto" w:before="243" w:after="0"/>
        <w:ind w:left="1433" w:right="775" w:firstLine="0"/>
        <w:jc w:val="both"/>
        <w:rPr>
          <w:sz w:val="24"/>
        </w:rPr>
      </w:pPr>
      <w:r>
        <w:rPr>
          <w:sz w:val="24"/>
        </w:rPr>
        <w:t>Proposals for lands to be specified as TDA shall be approved by UD department, GOM and shall not be permissible on </w:t>
      </w:r>
      <w:r>
        <w:rPr>
          <w:spacing w:val="9"/>
          <w:sz w:val="24"/>
        </w:rPr>
        <w:t>plot </w:t>
      </w:r>
      <w:r>
        <w:rPr>
          <w:sz w:val="24"/>
        </w:rPr>
        <w:t>Reserved/Designated for Play </w:t>
      </w:r>
      <w:r>
        <w:rPr>
          <w:spacing w:val="9"/>
          <w:sz w:val="24"/>
        </w:rPr>
        <w:t>Ground/Park/Garden/Any</w:t>
      </w:r>
      <w:r>
        <w:rPr>
          <w:spacing w:val="9"/>
          <w:sz w:val="24"/>
        </w:rPr>
        <w:t> </w:t>
      </w:r>
      <w:r>
        <w:rPr>
          <w:sz w:val="24"/>
        </w:rPr>
        <w:t>other POS </w:t>
      </w:r>
      <w:r>
        <w:rPr>
          <w:spacing w:val="7"/>
          <w:sz w:val="24"/>
        </w:rPr>
        <w:t>reservation</w:t>
      </w:r>
    </w:p>
    <w:p>
      <w:pPr>
        <w:pStyle w:val="BodyText"/>
        <w:spacing w:before="238"/>
        <w:ind w:left="1433"/>
      </w:pPr>
      <w:r>
        <w:rPr/>
        <w:t>TOURISM</w:t>
      </w:r>
      <w:r>
        <w:rPr>
          <w:spacing w:val="62"/>
          <w:w w:val="150"/>
        </w:rPr>
        <w:t>  </w:t>
      </w:r>
      <w:r>
        <w:rPr/>
        <w:t>DEVELOPMENT</w:t>
      </w:r>
      <w:r>
        <w:rPr>
          <w:spacing w:val="43"/>
        </w:rPr>
        <w:t>  </w:t>
      </w:r>
      <w:r>
        <w:rPr/>
        <w:t>AREA</w:t>
      </w:r>
      <w:r>
        <w:rPr>
          <w:spacing w:val="49"/>
        </w:rPr>
        <w:t> </w:t>
      </w:r>
      <w:r>
        <w:rPr>
          <w:spacing w:val="-2"/>
        </w:rPr>
        <w:t>COMMITTEE</w:t>
      </w:r>
    </w:p>
    <w:p>
      <w:pPr>
        <w:pStyle w:val="BodyText"/>
        <w:spacing w:before="239"/>
        <w:ind w:left="1433" w:right="781"/>
      </w:pPr>
      <w:r>
        <w:rPr/>
        <w:t>Proposals</w:t>
      </w:r>
      <w:r>
        <w:rPr>
          <w:spacing w:val="40"/>
        </w:rPr>
        <w:t> </w:t>
      </w:r>
      <w:r>
        <w:rPr/>
        <w:t>for</w:t>
      </w:r>
      <w:r>
        <w:rPr>
          <w:spacing w:val="40"/>
        </w:rPr>
        <w:t> </w:t>
      </w:r>
      <w:r>
        <w:rPr/>
        <w:t>lands</w:t>
      </w:r>
      <w:r>
        <w:rPr>
          <w:spacing w:val="40"/>
        </w:rPr>
        <w:t> </w:t>
      </w:r>
      <w:r>
        <w:rPr/>
        <w:t>to</w:t>
      </w:r>
      <w:r>
        <w:rPr>
          <w:spacing w:val="40"/>
        </w:rPr>
        <w:t> </w:t>
      </w:r>
      <w:r>
        <w:rPr/>
        <w:t>be</w:t>
      </w:r>
      <w:r>
        <w:rPr>
          <w:spacing w:val="40"/>
        </w:rPr>
        <w:t> </w:t>
      </w:r>
      <w:r>
        <w:rPr/>
        <w:t>specified</w:t>
      </w:r>
      <w:r>
        <w:rPr>
          <w:spacing w:val="40"/>
        </w:rPr>
        <w:t> </w:t>
      </w:r>
      <w:r>
        <w:rPr/>
        <w:t>as</w:t>
      </w:r>
      <w:r>
        <w:rPr>
          <w:spacing w:val="40"/>
        </w:rPr>
        <w:t> </w:t>
      </w:r>
      <w:r>
        <w:rPr/>
        <w:t>Tourism</w:t>
      </w:r>
      <w:r>
        <w:rPr>
          <w:spacing w:val="40"/>
        </w:rPr>
        <w:t> </w:t>
      </w:r>
      <w:r>
        <w:rPr/>
        <w:t>Development</w:t>
      </w:r>
      <w:r>
        <w:rPr>
          <w:spacing w:val="40"/>
        </w:rPr>
        <w:t> </w:t>
      </w:r>
      <w:r>
        <w:rPr/>
        <w:t>Area</w:t>
      </w:r>
      <w:r>
        <w:rPr>
          <w:spacing w:val="40"/>
        </w:rPr>
        <w:t> </w:t>
      </w:r>
      <w:r>
        <w:rPr/>
        <w:t>shall</w:t>
      </w:r>
      <w:r>
        <w:rPr>
          <w:spacing w:val="40"/>
        </w:rPr>
        <w:t> </w:t>
      </w:r>
      <w:r>
        <w:rPr/>
        <w:t>be</w:t>
      </w:r>
      <w:r>
        <w:rPr>
          <w:spacing w:val="80"/>
        </w:rPr>
        <w:t> </w:t>
      </w:r>
      <w:r>
        <w:rPr/>
        <w:t>recommended</w:t>
      </w:r>
      <w:r>
        <w:rPr>
          <w:spacing w:val="80"/>
        </w:rPr>
        <w:t> </w:t>
      </w:r>
      <w:r>
        <w:rPr/>
        <w:t>for</w:t>
      </w:r>
      <w:r>
        <w:rPr>
          <w:spacing w:val="80"/>
        </w:rPr>
        <w:t> </w:t>
      </w:r>
      <w:r>
        <w:rPr/>
        <w:t>consideration</w:t>
      </w:r>
      <w:r>
        <w:rPr>
          <w:spacing w:val="80"/>
        </w:rPr>
        <w:t> </w:t>
      </w:r>
      <w:r>
        <w:rPr/>
        <w:t>of</w:t>
      </w:r>
      <w:r>
        <w:rPr>
          <w:spacing w:val="80"/>
        </w:rPr>
        <w:t> </w:t>
      </w:r>
      <w:r>
        <w:rPr/>
        <w:t>Government</w:t>
      </w:r>
      <w:r>
        <w:rPr>
          <w:spacing w:val="80"/>
        </w:rPr>
        <w:t> </w:t>
      </w:r>
      <w:r>
        <w:rPr/>
        <w:t>in</w:t>
      </w:r>
      <w:r>
        <w:rPr>
          <w:spacing w:val="80"/>
        </w:rPr>
        <w:t> </w:t>
      </w:r>
      <w:r>
        <w:rPr/>
        <w:t>Urban Development</w:t>
      </w:r>
      <w:r>
        <w:rPr>
          <w:spacing w:val="80"/>
        </w:rPr>
        <w:t> </w:t>
      </w:r>
      <w:r>
        <w:rPr/>
        <w:t>Department</w:t>
      </w:r>
      <w:r>
        <w:rPr>
          <w:spacing w:val="80"/>
        </w:rPr>
        <w:t> </w:t>
      </w:r>
      <w:r>
        <w:rPr/>
        <w:t>by</w:t>
      </w:r>
      <w:r>
        <w:rPr>
          <w:spacing w:val="80"/>
        </w:rPr>
        <w:t> </w:t>
      </w:r>
      <w:r>
        <w:rPr/>
        <w:t>a</w:t>
      </w:r>
      <w:r>
        <w:rPr>
          <w:spacing w:val="80"/>
        </w:rPr>
        <w:t> </w:t>
      </w:r>
      <w:r>
        <w:rPr/>
        <w:t>Committee</w:t>
      </w:r>
      <w:r>
        <w:rPr>
          <w:spacing w:val="80"/>
        </w:rPr>
        <w:t> </w:t>
      </w:r>
      <w:r>
        <w:rPr/>
        <w:t>consisting</w:t>
      </w:r>
      <w:r>
        <w:rPr>
          <w:spacing w:val="80"/>
        </w:rPr>
        <w:t> </w:t>
      </w:r>
      <w:r>
        <w:rPr/>
        <w:t>of:</w:t>
      </w:r>
    </w:p>
    <w:p>
      <w:pPr>
        <w:pStyle w:val="BodyText"/>
        <w:jc w:val="left"/>
        <w:rPr>
          <w:sz w:val="20"/>
        </w:rPr>
      </w:pPr>
    </w:p>
    <w:p>
      <w:pPr>
        <w:pStyle w:val="BodyText"/>
        <w:jc w:val="left"/>
        <w:rPr>
          <w:sz w:val="20"/>
        </w:rPr>
      </w:pPr>
    </w:p>
    <w:p>
      <w:pPr>
        <w:pStyle w:val="BodyText"/>
        <w:spacing w:before="59" w:after="1"/>
        <w:jc w:val="left"/>
        <w:rPr>
          <w:sz w:val="20"/>
        </w:rPr>
      </w:pPr>
    </w:p>
    <w:tbl>
      <w:tblPr>
        <w:tblW w:w="0" w:type="auto"/>
        <w:jc w:val="left"/>
        <w:tblInd w:w="1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4707"/>
        <w:gridCol w:w="2880"/>
      </w:tblGrid>
      <w:tr>
        <w:trPr>
          <w:trHeight w:val="803" w:hRule="atLeast"/>
        </w:trPr>
        <w:tc>
          <w:tcPr>
            <w:tcW w:w="540" w:type="dxa"/>
          </w:tcPr>
          <w:p>
            <w:pPr>
              <w:pStyle w:val="TableParagraph"/>
              <w:spacing w:line="281" w:lineRule="exact"/>
              <w:ind w:left="110"/>
              <w:rPr>
                <w:sz w:val="24"/>
              </w:rPr>
            </w:pPr>
            <w:r>
              <w:rPr>
                <w:spacing w:val="-10"/>
                <w:sz w:val="24"/>
              </w:rPr>
              <w:t>1</w:t>
            </w:r>
          </w:p>
        </w:tc>
        <w:tc>
          <w:tcPr>
            <w:tcW w:w="4707" w:type="dxa"/>
          </w:tcPr>
          <w:p>
            <w:pPr>
              <w:pStyle w:val="TableParagraph"/>
              <w:ind w:left="273" w:right="95"/>
              <w:rPr>
                <w:sz w:val="24"/>
              </w:rPr>
            </w:pPr>
            <w:r>
              <w:rPr>
                <w:sz w:val="24"/>
              </w:rPr>
              <w:t>Secretary,</w:t>
            </w:r>
            <w:r>
              <w:rPr>
                <w:spacing w:val="80"/>
                <w:sz w:val="24"/>
              </w:rPr>
              <w:t> </w:t>
            </w:r>
            <w:r>
              <w:rPr>
                <w:sz w:val="24"/>
              </w:rPr>
              <w:t>Tourism</w:t>
            </w:r>
            <w:r>
              <w:rPr>
                <w:spacing w:val="80"/>
                <w:sz w:val="24"/>
              </w:rPr>
              <w:t> </w:t>
            </w:r>
            <w:r>
              <w:rPr>
                <w:spacing w:val="9"/>
                <w:sz w:val="24"/>
              </w:rPr>
              <w:t>Development </w:t>
            </w:r>
            <w:r>
              <w:rPr>
                <w:sz w:val="24"/>
              </w:rPr>
              <w:t>Department Mantralaya</w:t>
            </w:r>
          </w:p>
        </w:tc>
        <w:tc>
          <w:tcPr>
            <w:tcW w:w="2880" w:type="dxa"/>
          </w:tcPr>
          <w:p>
            <w:pPr>
              <w:pStyle w:val="TableParagraph"/>
              <w:spacing w:line="281" w:lineRule="exact"/>
              <w:ind w:left="768"/>
              <w:rPr>
                <w:sz w:val="24"/>
              </w:rPr>
            </w:pPr>
            <w:r>
              <w:rPr>
                <w:spacing w:val="-2"/>
                <w:sz w:val="24"/>
              </w:rPr>
              <w:t>Chairman</w:t>
            </w:r>
          </w:p>
        </w:tc>
      </w:tr>
      <w:tr>
        <w:trPr>
          <w:trHeight w:val="803" w:hRule="atLeast"/>
        </w:trPr>
        <w:tc>
          <w:tcPr>
            <w:tcW w:w="540" w:type="dxa"/>
          </w:tcPr>
          <w:p>
            <w:pPr>
              <w:pStyle w:val="TableParagraph"/>
              <w:spacing w:line="281" w:lineRule="exact"/>
              <w:ind w:left="110"/>
              <w:rPr>
                <w:sz w:val="24"/>
              </w:rPr>
            </w:pPr>
            <w:r>
              <w:rPr>
                <w:spacing w:val="-10"/>
                <w:sz w:val="24"/>
              </w:rPr>
              <w:t>2</w:t>
            </w:r>
          </w:p>
        </w:tc>
        <w:tc>
          <w:tcPr>
            <w:tcW w:w="4707" w:type="dxa"/>
          </w:tcPr>
          <w:p>
            <w:pPr>
              <w:pStyle w:val="TableParagraph"/>
              <w:tabs>
                <w:tab w:pos="2799" w:val="left" w:leader="none"/>
              </w:tabs>
              <w:ind w:left="273" w:right="95"/>
              <w:rPr>
                <w:sz w:val="24"/>
              </w:rPr>
            </w:pPr>
            <w:r>
              <w:rPr>
                <w:spacing w:val="-2"/>
                <w:sz w:val="24"/>
              </w:rPr>
              <w:t>Metropolitan</w:t>
            </w:r>
            <w:r>
              <w:rPr>
                <w:sz w:val="24"/>
              </w:rPr>
              <w:tab/>
            </w:r>
            <w:r>
              <w:rPr>
                <w:spacing w:val="7"/>
                <w:sz w:val="24"/>
              </w:rPr>
              <w:t>Commissioner </w:t>
            </w:r>
            <w:r>
              <w:rPr>
                <w:spacing w:val="-2"/>
                <w:sz w:val="24"/>
              </w:rPr>
              <w:t>MMRDA</w:t>
            </w:r>
          </w:p>
        </w:tc>
        <w:tc>
          <w:tcPr>
            <w:tcW w:w="2880" w:type="dxa"/>
          </w:tcPr>
          <w:p>
            <w:pPr>
              <w:pStyle w:val="TableParagraph"/>
              <w:spacing w:line="281" w:lineRule="exact"/>
              <w:ind w:left="768"/>
              <w:rPr>
                <w:sz w:val="24"/>
              </w:rPr>
            </w:pPr>
            <w:r>
              <w:rPr>
                <w:spacing w:val="-2"/>
                <w:sz w:val="24"/>
              </w:rPr>
              <w:t>Member</w:t>
            </w:r>
          </w:p>
        </w:tc>
      </w:tr>
      <w:tr>
        <w:trPr>
          <w:trHeight w:val="1084" w:hRule="atLeast"/>
        </w:trPr>
        <w:tc>
          <w:tcPr>
            <w:tcW w:w="540" w:type="dxa"/>
          </w:tcPr>
          <w:p>
            <w:pPr>
              <w:pStyle w:val="TableParagraph"/>
              <w:spacing w:line="281" w:lineRule="exact"/>
              <w:ind w:left="110"/>
              <w:rPr>
                <w:sz w:val="24"/>
              </w:rPr>
            </w:pPr>
            <w:r>
              <w:rPr>
                <w:spacing w:val="-10"/>
                <w:sz w:val="24"/>
              </w:rPr>
              <w:t>3</w:t>
            </w:r>
          </w:p>
        </w:tc>
        <w:tc>
          <w:tcPr>
            <w:tcW w:w="4707" w:type="dxa"/>
          </w:tcPr>
          <w:p>
            <w:pPr>
              <w:pStyle w:val="TableParagraph"/>
              <w:tabs>
                <w:tab w:pos="2713" w:val="left" w:leader="none"/>
              </w:tabs>
              <w:ind w:left="273" w:right="97"/>
              <w:jc w:val="both"/>
              <w:rPr>
                <w:sz w:val="24"/>
              </w:rPr>
            </w:pPr>
            <w:r>
              <w:rPr>
                <w:spacing w:val="-2"/>
                <w:sz w:val="24"/>
              </w:rPr>
              <w:t>Municipal</w:t>
            </w:r>
            <w:r>
              <w:rPr>
                <w:sz w:val="24"/>
              </w:rPr>
              <w:tab/>
            </w:r>
            <w:r>
              <w:rPr>
                <w:spacing w:val="7"/>
                <w:sz w:val="24"/>
              </w:rPr>
              <w:t>Commissioner, </w:t>
            </w:r>
            <w:r>
              <w:rPr>
                <w:sz w:val="24"/>
              </w:rPr>
              <w:t>Municipal Corporation of </w:t>
            </w:r>
            <w:r>
              <w:rPr>
                <w:spacing w:val="9"/>
                <w:sz w:val="24"/>
              </w:rPr>
              <w:t>Greater </w:t>
            </w:r>
            <w:r>
              <w:rPr>
                <w:spacing w:val="-2"/>
                <w:sz w:val="24"/>
              </w:rPr>
              <w:t>Mumbai</w:t>
            </w:r>
          </w:p>
        </w:tc>
        <w:tc>
          <w:tcPr>
            <w:tcW w:w="2880" w:type="dxa"/>
          </w:tcPr>
          <w:p>
            <w:pPr>
              <w:pStyle w:val="TableParagraph"/>
              <w:spacing w:line="281" w:lineRule="exact"/>
              <w:ind w:left="768"/>
              <w:rPr>
                <w:sz w:val="24"/>
              </w:rPr>
            </w:pPr>
            <w:r>
              <w:rPr>
                <w:spacing w:val="-2"/>
                <w:sz w:val="24"/>
              </w:rPr>
              <w:t>Member</w:t>
            </w:r>
          </w:p>
        </w:tc>
      </w:tr>
      <w:tr>
        <w:trPr>
          <w:trHeight w:val="803" w:hRule="atLeast"/>
        </w:trPr>
        <w:tc>
          <w:tcPr>
            <w:tcW w:w="540" w:type="dxa"/>
          </w:tcPr>
          <w:p>
            <w:pPr>
              <w:pStyle w:val="TableParagraph"/>
              <w:spacing w:line="281" w:lineRule="exact"/>
              <w:ind w:left="110"/>
              <w:rPr>
                <w:sz w:val="24"/>
              </w:rPr>
            </w:pPr>
            <w:r>
              <w:rPr>
                <w:spacing w:val="-10"/>
                <w:sz w:val="24"/>
              </w:rPr>
              <w:t>4</w:t>
            </w:r>
          </w:p>
        </w:tc>
        <w:tc>
          <w:tcPr>
            <w:tcW w:w="4707" w:type="dxa"/>
          </w:tcPr>
          <w:p>
            <w:pPr>
              <w:pStyle w:val="TableParagraph"/>
              <w:tabs>
                <w:tab w:pos="891" w:val="left" w:leader="none"/>
                <w:tab w:pos="2110" w:val="left" w:leader="none"/>
                <w:tab w:pos="2534" w:val="left" w:leader="none"/>
                <w:tab w:pos="3392" w:val="left" w:leader="none"/>
              </w:tabs>
              <w:ind w:left="273" w:right="105"/>
              <w:rPr>
                <w:sz w:val="24"/>
              </w:rPr>
            </w:pPr>
            <w:r>
              <w:rPr>
                <w:spacing w:val="-4"/>
                <w:sz w:val="24"/>
              </w:rPr>
              <w:t>Dy.</w:t>
            </w:r>
            <w:r>
              <w:rPr>
                <w:sz w:val="24"/>
              </w:rPr>
              <w:tab/>
            </w:r>
            <w:r>
              <w:rPr>
                <w:spacing w:val="-2"/>
                <w:sz w:val="24"/>
              </w:rPr>
              <w:t>Director</w:t>
            </w:r>
            <w:r>
              <w:rPr>
                <w:sz w:val="24"/>
              </w:rPr>
              <w:tab/>
            </w:r>
            <w:r>
              <w:rPr>
                <w:spacing w:val="-6"/>
                <w:sz w:val="24"/>
              </w:rPr>
              <w:t>of</w:t>
            </w:r>
            <w:r>
              <w:rPr>
                <w:sz w:val="24"/>
              </w:rPr>
              <w:tab/>
            </w:r>
            <w:r>
              <w:rPr>
                <w:spacing w:val="-4"/>
                <w:sz w:val="24"/>
              </w:rPr>
              <w:t>Town</w:t>
            </w:r>
            <w:r>
              <w:rPr>
                <w:sz w:val="24"/>
              </w:rPr>
              <w:tab/>
            </w:r>
            <w:r>
              <w:rPr>
                <w:spacing w:val="-2"/>
                <w:sz w:val="24"/>
              </w:rPr>
              <w:t>Planning, </w:t>
            </w:r>
            <w:r>
              <w:rPr>
                <w:sz w:val="24"/>
              </w:rPr>
              <w:t>Greater Mumbai</w:t>
            </w:r>
          </w:p>
        </w:tc>
        <w:tc>
          <w:tcPr>
            <w:tcW w:w="2880" w:type="dxa"/>
          </w:tcPr>
          <w:p>
            <w:pPr>
              <w:pStyle w:val="TableParagraph"/>
              <w:spacing w:line="281" w:lineRule="exact"/>
              <w:ind w:left="768"/>
              <w:rPr>
                <w:sz w:val="24"/>
              </w:rPr>
            </w:pPr>
            <w:r>
              <w:rPr>
                <w:spacing w:val="-2"/>
                <w:sz w:val="24"/>
              </w:rPr>
              <w:t>Member</w:t>
            </w:r>
          </w:p>
        </w:tc>
      </w:tr>
      <w:tr>
        <w:trPr>
          <w:trHeight w:val="804" w:hRule="atLeast"/>
        </w:trPr>
        <w:tc>
          <w:tcPr>
            <w:tcW w:w="540" w:type="dxa"/>
          </w:tcPr>
          <w:p>
            <w:pPr>
              <w:pStyle w:val="TableParagraph"/>
              <w:spacing w:line="281" w:lineRule="exact"/>
              <w:ind w:left="110"/>
              <w:rPr>
                <w:sz w:val="24"/>
              </w:rPr>
            </w:pPr>
            <w:r>
              <w:rPr>
                <w:spacing w:val="-10"/>
                <w:sz w:val="24"/>
              </w:rPr>
              <w:t>5</w:t>
            </w:r>
          </w:p>
        </w:tc>
        <w:tc>
          <w:tcPr>
            <w:tcW w:w="4707" w:type="dxa"/>
          </w:tcPr>
          <w:p>
            <w:pPr>
              <w:pStyle w:val="TableParagraph"/>
              <w:tabs>
                <w:tab w:pos="2921" w:val="left" w:leader="none"/>
                <w:tab w:pos="3934" w:val="left" w:leader="none"/>
              </w:tabs>
              <w:ind w:left="273" w:right="105"/>
              <w:rPr>
                <w:sz w:val="24"/>
              </w:rPr>
            </w:pPr>
            <w:r>
              <w:rPr>
                <w:spacing w:val="-2"/>
                <w:sz w:val="24"/>
              </w:rPr>
              <w:t>Representative</w:t>
            </w:r>
            <w:r>
              <w:rPr>
                <w:sz w:val="24"/>
              </w:rPr>
              <w:tab/>
            </w:r>
            <w:r>
              <w:rPr>
                <w:spacing w:val="-6"/>
                <w:sz w:val="24"/>
              </w:rPr>
              <w:t>of</w:t>
            </w:r>
            <w:r>
              <w:rPr>
                <w:sz w:val="24"/>
              </w:rPr>
              <w:tab/>
            </w:r>
            <w:r>
              <w:rPr>
                <w:spacing w:val="-4"/>
                <w:sz w:val="24"/>
              </w:rPr>
              <w:t>Hotel </w:t>
            </w:r>
            <w:r>
              <w:rPr>
                <w:sz w:val="24"/>
              </w:rPr>
              <w:t>Industries, Mumbai</w:t>
            </w:r>
          </w:p>
        </w:tc>
        <w:tc>
          <w:tcPr>
            <w:tcW w:w="2880" w:type="dxa"/>
          </w:tcPr>
          <w:p>
            <w:pPr>
              <w:pStyle w:val="TableParagraph"/>
              <w:spacing w:line="281" w:lineRule="exact"/>
              <w:ind w:left="768"/>
              <w:rPr>
                <w:sz w:val="24"/>
              </w:rPr>
            </w:pPr>
            <w:r>
              <w:rPr>
                <w:spacing w:val="-2"/>
                <w:sz w:val="24"/>
              </w:rPr>
              <w:t>Member</w:t>
            </w:r>
          </w:p>
        </w:tc>
      </w:tr>
      <w:tr>
        <w:trPr>
          <w:trHeight w:val="522" w:hRule="atLeast"/>
        </w:trPr>
        <w:tc>
          <w:tcPr>
            <w:tcW w:w="540" w:type="dxa"/>
          </w:tcPr>
          <w:p>
            <w:pPr>
              <w:pStyle w:val="TableParagraph"/>
              <w:spacing w:line="281" w:lineRule="exact"/>
              <w:ind w:left="110"/>
              <w:rPr>
                <w:sz w:val="24"/>
              </w:rPr>
            </w:pPr>
            <w:r>
              <w:rPr>
                <w:spacing w:val="-10"/>
                <w:sz w:val="24"/>
              </w:rPr>
              <w:t>6</w:t>
            </w:r>
          </w:p>
        </w:tc>
        <w:tc>
          <w:tcPr>
            <w:tcW w:w="4707" w:type="dxa"/>
          </w:tcPr>
          <w:p>
            <w:pPr>
              <w:pStyle w:val="TableParagraph"/>
              <w:spacing w:line="281" w:lineRule="exact"/>
              <w:ind w:left="273"/>
              <w:rPr>
                <w:sz w:val="24"/>
              </w:rPr>
            </w:pPr>
            <w:r>
              <w:rPr>
                <w:spacing w:val="7"/>
                <w:sz w:val="24"/>
              </w:rPr>
              <w:t>Environmentalist</w:t>
            </w:r>
          </w:p>
        </w:tc>
        <w:tc>
          <w:tcPr>
            <w:tcW w:w="2880" w:type="dxa"/>
          </w:tcPr>
          <w:p>
            <w:pPr>
              <w:pStyle w:val="TableParagraph"/>
              <w:spacing w:line="281" w:lineRule="exact"/>
              <w:ind w:left="768"/>
              <w:rPr>
                <w:sz w:val="24"/>
              </w:rPr>
            </w:pPr>
            <w:r>
              <w:rPr>
                <w:spacing w:val="-2"/>
                <w:sz w:val="24"/>
              </w:rPr>
              <w:t>Member</w:t>
            </w:r>
          </w:p>
        </w:tc>
      </w:tr>
      <w:tr>
        <w:trPr>
          <w:trHeight w:val="1084" w:hRule="atLeast"/>
        </w:trPr>
        <w:tc>
          <w:tcPr>
            <w:tcW w:w="540" w:type="dxa"/>
          </w:tcPr>
          <w:p>
            <w:pPr>
              <w:pStyle w:val="TableParagraph"/>
              <w:spacing w:line="281" w:lineRule="exact"/>
              <w:ind w:left="110"/>
              <w:rPr>
                <w:sz w:val="24"/>
              </w:rPr>
            </w:pPr>
            <w:r>
              <w:rPr>
                <w:spacing w:val="-10"/>
                <w:sz w:val="24"/>
              </w:rPr>
              <w:t>7</w:t>
            </w:r>
          </w:p>
        </w:tc>
        <w:tc>
          <w:tcPr>
            <w:tcW w:w="4707" w:type="dxa"/>
          </w:tcPr>
          <w:p>
            <w:pPr>
              <w:pStyle w:val="TableParagraph"/>
              <w:ind w:left="273" w:right="96"/>
              <w:jc w:val="both"/>
              <w:rPr>
                <w:sz w:val="24"/>
              </w:rPr>
            </w:pPr>
            <w:r>
              <w:rPr>
                <w:sz w:val="24"/>
              </w:rPr>
              <w:t>Architect, having 20 </w:t>
            </w:r>
            <w:r>
              <w:rPr>
                <w:spacing w:val="9"/>
                <w:sz w:val="24"/>
              </w:rPr>
              <w:t>years </w:t>
            </w:r>
            <w:r>
              <w:rPr>
                <w:sz w:val="24"/>
              </w:rPr>
              <w:t>experience in </w:t>
            </w:r>
            <w:r>
              <w:rPr>
                <w:spacing w:val="9"/>
                <w:sz w:val="24"/>
              </w:rPr>
              <w:t>architectural</w:t>
            </w:r>
            <w:r>
              <w:rPr>
                <w:spacing w:val="80"/>
                <w:sz w:val="24"/>
              </w:rPr>
              <w:t> </w:t>
            </w:r>
            <w:r>
              <w:rPr>
                <w:spacing w:val="-2"/>
                <w:sz w:val="24"/>
              </w:rPr>
              <w:t>practice.</w:t>
            </w:r>
          </w:p>
        </w:tc>
        <w:tc>
          <w:tcPr>
            <w:tcW w:w="2880" w:type="dxa"/>
          </w:tcPr>
          <w:p>
            <w:pPr>
              <w:pStyle w:val="TableParagraph"/>
              <w:spacing w:line="281" w:lineRule="exact"/>
              <w:ind w:left="768"/>
              <w:rPr>
                <w:sz w:val="24"/>
              </w:rPr>
            </w:pPr>
            <w:r>
              <w:rPr>
                <w:spacing w:val="-2"/>
                <w:sz w:val="24"/>
              </w:rPr>
              <w:t>Member.</w:t>
            </w:r>
          </w:p>
        </w:tc>
      </w:tr>
    </w:tbl>
    <w:p>
      <w:pPr>
        <w:pStyle w:val="TableParagraph"/>
        <w:spacing w:after="0" w:line="281" w:lineRule="exact"/>
        <w:rPr>
          <w:sz w:val="24"/>
        </w:rPr>
        <w:sectPr>
          <w:pgSz w:w="11910" w:h="16840"/>
          <w:pgMar w:header="1058" w:footer="1088" w:top="1500" w:bottom="1280" w:left="360" w:right="360"/>
        </w:sectPr>
      </w:pPr>
    </w:p>
    <w:p>
      <w:pPr>
        <w:pStyle w:val="BodyText"/>
        <w:spacing w:before="255"/>
        <w:ind w:left="1433" w:right="773"/>
      </w:pPr>
      <w:r>
        <w:rPr/>
        <w:t>This Committee may be called “Tourism Development Area Committee” (TDAC). The persons at 5, 6&amp; 7 of the Committee may be nominated by Secretary, Tourism Department and the tenure of these members </w:t>
      </w:r>
      <w:r>
        <w:rPr>
          <w:spacing w:val="9"/>
        </w:rPr>
        <w:t>shall </w:t>
      </w:r>
      <w:r>
        <w:rPr/>
        <w:t>change</w:t>
      </w:r>
      <w:r>
        <w:rPr>
          <w:spacing w:val="40"/>
        </w:rPr>
        <w:t> </w:t>
      </w:r>
      <w:r>
        <w:rPr/>
        <w:t>after</w:t>
      </w:r>
      <w:r>
        <w:rPr>
          <w:spacing w:val="40"/>
        </w:rPr>
        <w:t> </w:t>
      </w:r>
      <w:r>
        <w:rPr/>
        <w:t>every</w:t>
      </w:r>
      <w:r>
        <w:rPr>
          <w:spacing w:val="40"/>
        </w:rPr>
        <w:t> </w:t>
      </w:r>
      <w:r>
        <w:rPr/>
        <w:t>3</w:t>
      </w:r>
      <w:r>
        <w:rPr>
          <w:spacing w:val="40"/>
        </w:rPr>
        <w:t> </w:t>
      </w:r>
      <w:r>
        <w:rPr/>
        <w:t>years,</w:t>
      </w:r>
      <w:r>
        <w:rPr>
          <w:spacing w:val="40"/>
        </w:rPr>
        <w:t> </w:t>
      </w:r>
      <w:r>
        <w:rPr/>
        <w:t>provided</w:t>
      </w:r>
      <w:r>
        <w:rPr>
          <w:spacing w:val="40"/>
        </w:rPr>
        <w:t> </w:t>
      </w:r>
      <w:r>
        <w:rPr/>
        <w:t>that</w:t>
      </w:r>
      <w:r>
        <w:rPr>
          <w:spacing w:val="40"/>
        </w:rPr>
        <w:t> </w:t>
      </w:r>
      <w:r>
        <w:rPr/>
        <w:t>the</w:t>
      </w:r>
      <w:r>
        <w:rPr>
          <w:spacing w:val="40"/>
        </w:rPr>
        <w:t> </w:t>
      </w:r>
      <w:r>
        <w:rPr/>
        <w:t>same</w:t>
      </w:r>
      <w:r>
        <w:rPr>
          <w:spacing w:val="40"/>
        </w:rPr>
        <w:t> </w:t>
      </w:r>
      <w:r>
        <w:rPr/>
        <w:t>person</w:t>
      </w:r>
      <w:r>
        <w:rPr>
          <w:spacing w:val="40"/>
        </w:rPr>
        <w:t> </w:t>
      </w:r>
      <w:r>
        <w:rPr/>
        <w:t>shall</w:t>
      </w:r>
      <w:r>
        <w:rPr>
          <w:spacing w:val="40"/>
        </w:rPr>
        <w:t> </w:t>
      </w:r>
      <w:r>
        <w:rPr/>
        <w:t>be eligible</w:t>
      </w:r>
      <w:r>
        <w:rPr>
          <w:spacing w:val="40"/>
        </w:rPr>
        <w:t> </w:t>
      </w:r>
      <w:r>
        <w:rPr/>
        <w:t>for</w:t>
      </w:r>
      <w:r>
        <w:rPr>
          <w:spacing w:val="40"/>
        </w:rPr>
        <w:t> </w:t>
      </w:r>
      <w:r>
        <w:rPr/>
        <w:t>reappointment</w:t>
      </w:r>
      <w:r>
        <w:rPr>
          <w:spacing w:val="40"/>
        </w:rPr>
        <w:t> </w:t>
      </w:r>
      <w:r>
        <w:rPr/>
        <w:t>as</w:t>
      </w:r>
      <w:r>
        <w:rPr>
          <w:spacing w:val="40"/>
        </w:rPr>
        <w:t> </w:t>
      </w:r>
      <w:r>
        <w:rPr/>
        <w:t>a</w:t>
      </w:r>
      <w:r>
        <w:rPr>
          <w:spacing w:val="40"/>
        </w:rPr>
        <w:t> </w:t>
      </w:r>
      <w:r>
        <w:rPr/>
        <w:t>Member.</w:t>
      </w:r>
    </w:p>
    <w:p>
      <w:pPr>
        <w:pStyle w:val="ListParagraph"/>
        <w:numPr>
          <w:ilvl w:val="0"/>
          <w:numId w:val="233"/>
        </w:numPr>
        <w:tabs>
          <w:tab w:pos="1745" w:val="left" w:leader="none"/>
        </w:tabs>
        <w:spacing w:line="240" w:lineRule="auto" w:before="240" w:after="0"/>
        <w:ind w:left="1745" w:right="0" w:hanging="406"/>
        <w:jc w:val="left"/>
        <w:rPr>
          <w:sz w:val="24"/>
        </w:rPr>
      </w:pPr>
      <w:r>
        <w:rPr>
          <w:sz w:val="24"/>
        </w:rPr>
        <w:t>SIZE</w:t>
      </w:r>
      <w:r>
        <w:rPr>
          <w:spacing w:val="39"/>
          <w:sz w:val="24"/>
        </w:rPr>
        <w:t> </w:t>
      </w:r>
      <w:r>
        <w:rPr>
          <w:sz w:val="24"/>
        </w:rPr>
        <w:t>OF</w:t>
      </w:r>
      <w:r>
        <w:rPr>
          <w:spacing w:val="40"/>
          <w:sz w:val="24"/>
        </w:rPr>
        <w:t> </w:t>
      </w:r>
      <w:r>
        <w:rPr>
          <w:sz w:val="24"/>
        </w:rPr>
        <w:t>PLOT</w:t>
      </w:r>
      <w:r>
        <w:rPr>
          <w:spacing w:val="40"/>
          <w:sz w:val="24"/>
        </w:rPr>
        <w:t> </w:t>
      </w:r>
      <w:r>
        <w:rPr>
          <w:sz w:val="24"/>
        </w:rPr>
        <w:t>AND</w:t>
      </w:r>
      <w:r>
        <w:rPr>
          <w:spacing w:val="40"/>
          <w:sz w:val="24"/>
        </w:rPr>
        <w:t> </w:t>
      </w:r>
      <w:r>
        <w:rPr>
          <w:spacing w:val="-5"/>
          <w:sz w:val="24"/>
        </w:rPr>
        <w:t>FSI</w:t>
      </w:r>
    </w:p>
    <w:p>
      <w:pPr>
        <w:pStyle w:val="BodyText"/>
        <w:spacing w:before="1"/>
        <w:ind w:left="1339" w:right="936"/>
        <w:jc w:val="left"/>
      </w:pPr>
      <w:r>
        <w:rPr/>
        <w:t>Maximum</w:t>
      </w:r>
      <w:r>
        <w:rPr>
          <w:spacing w:val="40"/>
        </w:rPr>
        <w:t> </w:t>
      </w:r>
      <w:r>
        <w:rPr/>
        <w:t>area</w:t>
      </w:r>
      <w:r>
        <w:rPr>
          <w:spacing w:val="40"/>
        </w:rPr>
        <w:t> </w:t>
      </w:r>
      <w:r>
        <w:rPr/>
        <w:t>permissible</w:t>
      </w:r>
      <w:r>
        <w:rPr>
          <w:spacing w:val="40"/>
        </w:rPr>
        <w:t> </w:t>
      </w:r>
      <w:r>
        <w:rPr/>
        <w:t>as</w:t>
      </w:r>
      <w:r>
        <w:rPr>
          <w:spacing w:val="40"/>
        </w:rPr>
        <w:t> </w:t>
      </w:r>
      <w:r>
        <w:rPr/>
        <w:t>TDA</w:t>
      </w:r>
      <w:r>
        <w:rPr>
          <w:spacing w:val="40"/>
        </w:rPr>
        <w:t> </w:t>
      </w:r>
      <w:r>
        <w:rPr/>
        <w:t>out</w:t>
      </w:r>
      <w:r>
        <w:rPr>
          <w:spacing w:val="40"/>
        </w:rPr>
        <w:t> </w:t>
      </w:r>
      <w:r>
        <w:rPr/>
        <w:t>of</w:t>
      </w:r>
      <w:r>
        <w:rPr>
          <w:spacing w:val="40"/>
        </w:rPr>
        <w:t> </w:t>
      </w:r>
      <w:r>
        <w:rPr/>
        <w:t>a</w:t>
      </w:r>
      <w:r>
        <w:rPr>
          <w:spacing w:val="40"/>
        </w:rPr>
        <w:t> </w:t>
      </w:r>
      <w:r>
        <w:rPr/>
        <w:t>holding</w:t>
      </w:r>
      <w:r>
        <w:rPr>
          <w:spacing w:val="40"/>
        </w:rPr>
        <w:t> </w:t>
      </w:r>
      <w:r>
        <w:rPr/>
        <w:t>in</w:t>
      </w:r>
      <w:r>
        <w:rPr>
          <w:spacing w:val="40"/>
        </w:rPr>
        <w:t> </w:t>
      </w:r>
      <w:r>
        <w:rPr/>
        <w:t>SDZ</w:t>
      </w:r>
      <w:r>
        <w:rPr>
          <w:spacing w:val="40"/>
        </w:rPr>
        <w:t> </w:t>
      </w:r>
      <w:r>
        <w:rPr/>
        <w:t>shall</w:t>
      </w:r>
      <w:r>
        <w:rPr>
          <w:spacing w:val="40"/>
        </w:rPr>
        <w:t> </w:t>
      </w:r>
      <w:r>
        <w:rPr/>
        <w:t>be</w:t>
      </w:r>
      <w:r>
        <w:rPr>
          <w:spacing w:val="40"/>
        </w:rPr>
        <w:t> </w:t>
      </w:r>
      <w:r>
        <w:rPr/>
        <w:t>as </w:t>
      </w:r>
      <w:r>
        <w:rPr>
          <w:spacing w:val="-2"/>
        </w:rPr>
        <w:t>follows:-</w:t>
      </w:r>
    </w:p>
    <w:p>
      <w:pPr>
        <w:pStyle w:val="BodyText"/>
        <w:spacing w:before="23" w:after="1"/>
        <w:jc w:val="left"/>
        <w:rPr>
          <w:sz w:val="20"/>
        </w:rPr>
      </w:pPr>
    </w:p>
    <w:tbl>
      <w:tblPr>
        <w:tblW w:w="0" w:type="auto"/>
        <w:jc w:val="left"/>
        <w:tblInd w:w="1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77"/>
        <w:gridCol w:w="2994"/>
        <w:gridCol w:w="3426"/>
      </w:tblGrid>
      <w:tr>
        <w:trPr>
          <w:trHeight w:val="282" w:hRule="atLeast"/>
        </w:trPr>
        <w:tc>
          <w:tcPr>
            <w:tcW w:w="9097" w:type="dxa"/>
            <w:gridSpan w:val="3"/>
          </w:tcPr>
          <w:p>
            <w:pPr>
              <w:pStyle w:val="TableParagraph"/>
              <w:spacing w:line="263" w:lineRule="exact"/>
              <w:ind w:right="3"/>
              <w:jc w:val="center"/>
              <w:rPr>
                <w:sz w:val="24"/>
              </w:rPr>
            </w:pPr>
            <w:r>
              <w:rPr>
                <w:sz w:val="24"/>
              </w:rPr>
              <w:t>Special</w:t>
            </w:r>
            <w:r>
              <w:rPr>
                <w:spacing w:val="57"/>
                <w:w w:val="150"/>
                <w:sz w:val="24"/>
              </w:rPr>
              <w:t> </w:t>
            </w:r>
            <w:r>
              <w:rPr>
                <w:sz w:val="24"/>
              </w:rPr>
              <w:t>Development</w:t>
            </w:r>
            <w:r>
              <w:rPr>
                <w:spacing w:val="53"/>
                <w:w w:val="150"/>
                <w:sz w:val="24"/>
              </w:rPr>
              <w:t> </w:t>
            </w:r>
            <w:r>
              <w:rPr>
                <w:spacing w:val="-4"/>
                <w:sz w:val="24"/>
              </w:rPr>
              <w:t>Zone</w:t>
            </w:r>
          </w:p>
        </w:tc>
      </w:tr>
      <w:tr>
        <w:trPr>
          <w:trHeight w:val="845" w:hRule="atLeast"/>
        </w:trPr>
        <w:tc>
          <w:tcPr>
            <w:tcW w:w="2677" w:type="dxa"/>
          </w:tcPr>
          <w:p>
            <w:pPr>
              <w:pStyle w:val="TableParagraph"/>
              <w:ind w:left="107" w:right="270"/>
              <w:rPr>
                <w:sz w:val="24"/>
              </w:rPr>
            </w:pPr>
            <w:r>
              <w:rPr>
                <w:sz w:val="24"/>
              </w:rPr>
              <w:t>Total </w:t>
            </w:r>
            <w:r>
              <w:rPr>
                <w:spacing w:val="9"/>
                <w:sz w:val="24"/>
              </w:rPr>
              <w:t>SDZ-</w:t>
            </w:r>
            <w:r>
              <w:rPr>
                <w:sz w:val="24"/>
              </w:rPr>
              <w:t>II </w:t>
            </w:r>
            <w:r>
              <w:rPr>
                <w:spacing w:val="-2"/>
                <w:sz w:val="24"/>
              </w:rPr>
              <w:t>Holding</w:t>
            </w:r>
          </w:p>
        </w:tc>
        <w:tc>
          <w:tcPr>
            <w:tcW w:w="2994" w:type="dxa"/>
          </w:tcPr>
          <w:p>
            <w:pPr>
              <w:pStyle w:val="TableParagraph"/>
              <w:ind w:left="107"/>
              <w:rPr>
                <w:sz w:val="24"/>
              </w:rPr>
            </w:pPr>
            <w:r>
              <w:rPr>
                <w:sz w:val="24"/>
              </w:rPr>
              <w:t>Maximum TDA area permissible</w:t>
            </w:r>
            <w:r>
              <w:rPr>
                <w:spacing w:val="40"/>
                <w:sz w:val="24"/>
              </w:rPr>
              <w:t> </w:t>
            </w:r>
            <w:r>
              <w:rPr>
                <w:sz w:val="24"/>
              </w:rPr>
              <w:t>(fixed)</w:t>
            </w:r>
            <w:r>
              <w:rPr>
                <w:spacing w:val="40"/>
                <w:sz w:val="24"/>
              </w:rPr>
              <w:t> </w:t>
            </w:r>
            <w:r>
              <w:rPr>
                <w:sz w:val="24"/>
              </w:rPr>
              <w:t>(in</w:t>
            </w:r>
          </w:p>
          <w:p>
            <w:pPr>
              <w:pStyle w:val="TableParagraph"/>
              <w:spacing w:line="261" w:lineRule="exact"/>
              <w:ind w:left="107"/>
              <w:rPr>
                <w:sz w:val="24"/>
              </w:rPr>
            </w:pPr>
            <w:r>
              <w:rPr>
                <w:spacing w:val="-4"/>
                <w:sz w:val="24"/>
              </w:rPr>
              <w:t>ha.)</w:t>
            </w:r>
          </w:p>
        </w:tc>
        <w:tc>
          <w:tcPr>
            <w:tcW w:w="3426" w:type="dxa"/>
          </w:tcPr>
          <w:p>
            <w:pPr>
              <w:pStyle w:val="TableParagraph"/>
              <w:ind w:left="106" w:right="257"/>
              <w:rPr>
                <w:sz w:val="24"/>
              </w:rPr>
            </w:pPr>
            <w:r>
              <w:rPr>
                <w:sz w:val="24"/>
              </w:rPr>
              <w:t>Maximum </w:t>
            </w:r>
            <w:r>
              <w:rPr>
                <w:sz w:val="24"/>
              </w:rPr>
              <w:t>FSI </w:t>
            </w:r>
            <w:r>
              <w:rPr>
                <w:spacing w:val="7"/>
                <w:sz w:val="24"/>
              </w:rPr>
              <w:t>Permissible</w:t>
            </w:r>
          </w:p>
        </w:tc>
      </w:tr>
      <w:tr>
        <w:trPr>
          <w:trHeight w:val="281" w:hRule="atLeast"/>
        </w:trPr>
        <w:tc>
          <w:tcPr>
            <w:tcW w:w="2677" w:type="dxa"/>
            <w:tcBorders>
              <w:bottom w:val="nil"/>
            </w:tcBorders>
          </w:tcPr>
          <w:p>
            <w:pPr>
              <w:pStyle w:val="TableParagraph"/>
              <w:spacing w:line="262" w:lineRule="exact"/>
              <w:ind w:left="107"/>
              <w:rPr>
                <w:sz w:val="24"/>
              </w:rPr>
            </w:pPr>
            <w:r>
              <w:rPr>
                <w:sz w:val="24"/>
              </w:rPr>
              <w:t>More</w:t>
            </w:r>
            <w:r>
              <w:rPr>
                <w:spacing w:val="37"/>
                <w:sz w:val="24"/>
              </w:rPr>
              <w:t> </w:t>
            </w:r>
            <w:r>
              <w:rPr>
                <w:sz w:val="24"/>
              </w:rPr>
              <w:t>than</w:t>
            </w:r>
            <w:r>
              <w:rPr>
                <w:spacing w:val="38"/>
                <w:sz w:val="24"/>
              </w:rPr>
              <w:t> </w:t>
            </w:r>
            <w:r>
              <w:rPr>
                <w:sz w:val="24"/>
              </w:rPr>
              <w:t>2</w:t>
            </w:r>
            <w:r>
              <w:rPr>
                <w:spacing w:val="38"/>
                <w:sz w:val="24"/>
              </w:rPr>
              <w:t> </w:t>
            </w:r>
            <w:r>
              <w:rPr>
                <w:spacing w:val="-5"/>
                <w:sz w:val="24"/>
              </w:rPr>
              <w:t>but</w:t>
            </w:r>
          </w:p>
        </w:tc>
        <w:tc>
          <w:tcPr>
            <w:tcW w:w="2994" w:type="dxa"/>
            <w:tcBorders>
              <w:bottom w:val="nil"/>
            </w:tcBorders>
          </w:tcPr>
          <w:p>
            <w:pPr>
              <w:pStyle w:val="TableParagraph"/>
              <w:spacing w:line="262" w:lineRule="exact"/>
              <w:ind w:left="5"/>
              <w:jc w:val="center"/>
              <w:rPr>
                <w:sz w:val="24"/>
              </w:rPr>
            </w:pPr>
            <w:r>
              <w:rPr>
                <w:spacing w:val="-5"/>
                <w:sz w:val="24"/>
              </w:rPr>
              <w:t>40%</w:t>
            </w:r>
          </w:p>
        </w:tc>
        <w:tc>
          <w:tcPr>
            <w:tcW w:w="3426" w:type="dxa"/>
            <w:tcBorders>
              <w:bottom w:val="nil"/>
            </w:tcBorders>
          </w:tcPr>
          <w:p>
            <w:pPr>
              <w:pStyle w:val="TableParagraph"/>
              <w:spacing w:line="262" w:lineRule="exact"/>
              <w:ind w:left="106"/>
              <w:rPr>
                <w:sz w:val="24"/>
              </w:rPr>
            </w:pPr>
            <w:r>
              <w:rPr>
                <w:sz w:val="24"/>
              </w:rPr>
              <w:t>0.5</w:t>
            </w:r>
            <w:r>
              <w:rPr>
                <w:spacing w:val="38"/>
                <w:sz w:val="24"/>
              </w:rPr>
              <w:t> </w:t>
            </w:r>
            <w:r>
              <w:rPr>
                <w:sz w:val="24"/>
              </w:rPr>
              <w:t>FSI</w:t>
            </w:r>
            <w:r>
              <w:rPr>
                <w:spacing w:val="42"/>
                <w:sz w:val="24"/>
              </w:rPr>
              <w:t> </w:t>
            </w:r>
            <w:r>
              <w:rPr>
                <w:sz w:val="24"/>
              </w:rPr>
              <w:t>over</w:t>
            </w:r>
            <w:r>
              <w:rPr>
                <w:spacing w:val="38"/>
                <w:sz w:val="24"/>
              </w:rPr>
              <w:t> </w:t>
            </w:r>
            <w:r>
              <w:rPr>
                <w:sz w:val="24"/>
              </w:rPr>
              <w:t>the</w:t>
            </w:r>
            <w:r>
              <w:rPr>
                <w:spacing w:val="43"/>
                <w:sz w:val="24"/>
              </w:rPr>
              <w:t> </w:t>
            </w:r>
            <w:r>
              <w:rPr>
                <w:spacing w:val="-5"/>
                <w:sz w:val="24"/>
              </w:rPr>
              <w:t>TDA</w:t>
            </w:r>
          </w:p>
        </w:tc>
      </w:tr>
      <w:tr>
        <w:trPr>
          <w:trHeight w:val="281" w:hRule="atLeast"/>
        </w:trPr>
        <w:tc>
          <w:tcPr>
            <w:tcW w:w="2677" w:type="dxa"/>
            <w:tcBorders>
              <w:top w:val="nil"/>
            </w:tcBorders>
          </w:tcPr>
          <w:p>
            <w:pPr>
              <w:pStyle w:val="TableParagraph"/>
              <w:spacing w:line="261" w:lineRule="exact"/>
              <w:ind w:left="107"/>
              <w:rPr>
                <w:sz w:val="24"/>
              </w:rPr>
            </w:pPr>
            <w:r>
              <w:rPr>
                <w:sz w:val="24"/>
              </w:rPr>
              <w:t>less</w:t>
            </w:r>
            <w:r>
              <w:rPr>
                <w:spacing w:val="37"/>
                <w:sz w:val="24"/>
              </w:rPr>
              <w:t> </w:t>
            </w:r>
            <w:r>
              <w:rPr>
                <w:sz w:val="24"/>
              </w:rPr>
              <w:t>than</w:t>
            </w:r>
            <w:r>
              <w:rPr>
                <w:spacing w:val="38"/>
                <w:sz w:val="24"/>
              </w:rPr>
              <w:t> </w:t>
            </w:r>
            <w:r>
              <w:rPr>
                <w:sz w:val="24"/>
              </w:rPr>
              <w:t>5</w:t>
            </w:r>
            <w:r>
              <w:rPr>
                <w:spacing w:val="38"/>
                <w:sz w:val="24"/>
              </w:rPr>
              <w:t> </w:t>
            </w:r>
            <w:r>
              <w:rPr>
                <w:spacing w:val="-5"/>
                <w:sz w:val="24"/>
              </w:rPr>
              <w:t>Ha</w:t>
            </w:r>
          </w:p>
        </w:tc>
        <w:tc>
          <w:tcPr>
            <w:tcW w:w="2994" w:type="dxa"/>
            <w:tcBorders>
              <w:top w:val="nil"/>
            </w:tcBorders>
          </w:tcPr>
          <w:p>
            <w:pPr>
              <w:pStyle w:val="TableParagraph"/>
              <w:rPr>
                <w:rFonts w:ascii="Times New Roman"/>
                <w:sz w:val="20"/>
              </w:rPr>
            </w:pPr>
          </w:p>
        </w:tc>
        <w:tc>
          <w:tcPr>
            <w:tcW w:w="3426" w:type="dxa"/>
            <w:tcBorders>
              <w:top w:val="nil"/>
              <w:bottom w:val="nil"/>
            </w:tcBorders>
          </w:tcPr>
          <w:p>
            <w:pPr>
              <w:pStyle w:val="TableParagraph"/>
              <w:spacing w:line="261" w:lineRule="exact"/>
              <w:ind w:left="106"/>
              <w:rPr>
                <w:sz w:val="24"/>
              </w:rPr>
            </w:pPr>
            <w:r>
              <w:rPr>
                <w:spacing w:val="-4"/>
                <w:sz w:val="24"/>
              </w:rPr>
              <w:t>area</w:t>
            </w:r>
          </w:p>
        </w:tc>
      </w:tr>
      <w:tr>
        <w:trPr>
          <w:trHeight w:val="271" w:hRule="atLeast"/>
        </w:trPr>
        <w:tc>
          <w:tcPr>
            <w:tcW w:w="2677" w:type="dxa"/>
            <w:tcBorders>
              <w:bottom w:val="nil"/>
            </w:tcBorders>
          </w:tcPr>
          <w:p>
            <w:pPr>
              <w:pStyle w:val="TableParagraph"/>
              <w:spacing w:line="251" w:lineRule="exact"/>
              <w:ind w:left="107"/>
              <w:rPr>
                <w:sz w:val="24"/>
              </w:rPr>
            </w:pPr>
            <w:r>
              <w:rPr>
                <w:sz w:val="24"/>
              </w:rPr>
              <w:t>Equal</w:t>
            </w:r>
            <w:r>
              <w:rPr>
                <w:spacing w:val="36"/>
                <w:sz w:val="24"/>
              </w:rPr>
              <w:t> </w:t>
            </w:r>
            <w:r>
              <w:rPr>
                <w:sz w:val="24"/>
              </w:rPr>
              <w:t>to</w:t>
            </w:r>
            <w:r>
              <w:rPr>
                <w:spacing w:val="40"/>
                <w:sz w:val="24"/>
              </w:rPr>
              <w:t> </w:t>
            </w:r>
            <w:r>
              <w:rPr>
                <w:sz w:val="24"/>
              </w:rPr>
              <w:t>or</w:t>
            </w:r>
            <w:r>
              <w:rPr>
                <w:spacing w:val="37"/>
                <w:sz w:val="24"/>
              </w:rPr>
              <w:t> </w:t>
            </w:r>
            <w:r>
              <w:rPr>
                <w:spacing w:val="5"/>
                <w:sz w:val="24"/>
              </w:rPr>
              <w:t>more</w:t>
            </w:r>
          </w:p>
        </w:tc>
        <w:tc>
          <w:tcPr>
            <w:tcW w:w="2994" w:type="dxa"/>
            <w:tcBorders>
              <w:bottom w:val="nil"/>
            </w:tcBorders>
          </w:tcPr>
          <w:p>
            <w:pPr>
              <w:pStyle w:val="TableParagraph"/>
              <w:spacing w:line="251" w:lineRule="exact"/>
              <w:ind w:left="5"/>
              <w:jc w:val="center"/>
              <w:rPr>
                <w:sz w:val="24"/>
              </w:rPr>
            </w:pPr>
            <w:r>
              <w:rPr>
                <w:spacing w:val="-5"/>
                <w:sz w:val="24"/>
              </w:rPr>
              <w:t>50%</w:t>
            </w:r>
          </w:p>
        </w:tc>
        <w:tc>
          <w:tcPr>
            <w:tcW w:w="3426" w:type="dxa"/>
            <w:tcBorders>
              <w:top w:val="nil"/>
              <w:bottom w:val="nil"/>
            </w:tcBorders>
          </w:tcPr>
          <w:p>
            <w:pPr>
              <w:pStyle w:val="TableParagraph"/>
              <w:spacing w:line="251" w:lineRule="exact"/>
              <w:ind w:left="106"/>
              <w:rPr>
                <w:sz w:val="24"/>
              </w:rPr>
            </w:pPr>
            <w:r>
              <w:rPr>
                <w:sz w:val="24"/>
              </w:rPr>
              <w:t>subject</w:t>
            </w:r>
            <w:r>
              <w:rPr>
                <w:spacing w:val="61"/>
                <w:sz w:val="24"/>
              </w:rPr>
              <w:t> </w:t>
            </w:r>
            <w:r>
              <w:rPr>
                <w:sz w:val="24"/>
              </w:rPr>
              <w:t>to</w:t>
            </w:r>
            <w:r>
              <w:rPr>
                <w:spacing w:val="59"/>
                <w:sz w:val="24"/>
              </w:rPr>
              <w:t> </w:t>
            </w:r>
            <w:r>
              <w:rPr>
                <w:sz w:val="24"/>
              </w:rPr>
              <w:t>premium</w:t>
            </w:r>
            <w:r>
              <w:rPr>
                <w:spacing w:val="60"/>
                <w:sz w:val="24"/>
              </w:rPr>
              <w:t> </w:t>
            </w:r>
            <w:r>
              <w:rPr>
                <w:spacing w:val="-5"/>
                <w:sz w:val="24"/>
              </w:rPr>
              <w:t>of</w:t>
            </w:r>
          </w:p>
        </w:tc>
      </w:tr>
      <w:tr>
        <w:trPr>
          <w:trHeight w:val="292" w:hRule="atLeast"/>
        </w:trPr>
        <w:tc>
          <w:tcPr>
            <w:tcW w:w="2677" w:type="dxa"/>
            <w:tcBorders>
              <w:top w:val="nil"/>
              <w:bottom w:val="nil"/>
            </w:tcBorders>
          </w:tcPr>
          <w:p>
            <w:pPr>
              <w:pStyle w:val="TableParagraph"/>
              <w:spacing w:line="261" w:lineRule="exact" w:before="11"/>
              <w:ind w:left="107"/>
              <w:rPr>
                <w:sz w:val="24"/>
              </w:rPr>
            </w:pPr>
            <w:r>
              <w:rPr>
                <w:sz w:val="24"/>
              </w:rPr>
              <w:t>than</w:t>
            </w:r>
            <w:r>
              <w:rPr>
                <w:spacing w:val="32"/>
                <w:sz w:val="24"/>
              </w:rPr>
              <w:t> </w:t>
            </w:r>
            <w:r>
              <w:rPr>
                <w:sz w:val="24"/>
              </w:rPr>
              <w:t>5</w:t>
            </w:r>
            <w:r>
              <w:rPr>
                <w:spacing w:val="33"/>
                <w:sz w:val="24"/>
              </w:rPr>
              <w:t> </w:t>
            </w:r>
            <w:r>
              <w:rPr>
                <w:sz w:val="24"/>
              </w:rPr>
              <w:t>Ha</w:t>
            </w:r>
            <w:r>
              <w:rPr>
                <w:spacing w:val="33"/>
                <w:sz w:val="24"/>
              </w:rPr>
              <w:t> </w:t>
            </w:r>
            <w:r>
              <w:rPr>
                <w:sz w:val="24"/>
              </w:rPr>
              <w:t>but</w:t>
            </w:r>
            <w:r>
              <w:rPr>
                <w:spacing w:val="36"/>
                <w:sz w:val="24"/>
              </w:rPr>
              <w:t> </w:t>
            </w:r>
            <w:r>
              <w:rPr>
                <w:spacing w:val="-4"/>
                <w:sz w:val="24"/>
              </w:rPr>
              <w:t>less</w:t>
            </w:r>
          </w:p>
        </w:tc>
        <w:tc>
          <w:tcPr>
            <w:tcW w:w="2994" w:type="dxa"/>
            <w:tcBorders>
              <w:top w:val="nil"/>
              <w:bottom w:val="nil"/>
            </w:tcBorders>
          </w:tcPr>
          <w:p>
            <w:pPr>
              <w:pStyle w:val="TableParagraph"/>
              <w:rPr>
                <w:rFonts w:ascii="Times New Roman"/>
                <w:sz w:val="20"/>
              </w:rPr>
            </w:pPr>
          </w:p>
        </w:tc>
        <w:tc>
          <w:tcPr>
            <w:tcW w:w="3426" w:type="dxa"/>
            <w:tcBorders>
              <w:top w:val="nil"/>
              <w:bottom w:val="nil"/>
            </w:tcBorders>
          </w:tcPr>
          <w:p>
            <w:pPr>
              <w:pStyle w:val="TableParagraph"/>
              <w:spacing w:line="273" w:lineRule="exact"/>
              <w:ind w:left="106"/>
              <w:rPr>
                <w:sz w:val="24"/>
              </w:rPr>
            </w:pPr>
            <w:r>
              <w:rPr>
                <w:sz w:val="24"/>
              </w:rPr>
              <w:t>10%</w:t>
            </w:r>
            <w:r>
              <w:rPr>
                <w:spacing w:val="43"/>
                <w:sz w:val="24"/>
              </w:rPr>
              <w:t> </w:t>
            </w:r>
            <w:r>
              <w:rPr>
                <w:sz w:val="24"/>
              </w:rPr>
              <w:t>of</w:t>
            </w:r>
            <w:r>
              <w:rPr>
                <w:spacing w:val="44"/>
                <w:sz w:val="24"/>
              </w:rPr>
              <w:t> </w:t>
            </w:r>
            <w:r>
              <w:rPr>
                <w:sz w:val="24"/>
              </w:rPr>
              <w:t>A.S.R.</w:t>
            </w:r>
            <w:r>
              <w:rPr>
                <w:spacing w:val="47"/>
                <w:sz w:val="24"/>
              </w:rPr>
              <w:t> </w:t>
            </w:r>
            <w:r>
              <w:rPr>
                <w:sz w:val="24"/>
              </w:rPr>
              <w:t>over</w:t>
            </w:r>
            <w:r>
              <w:rPr>
                <w:spacing w:val="47"/>
                <w:sz w:val="24"/>
              </w:rPr>
              <w:t> </w:t>
            </w:r>
            <w:r>
              <w:rPr>
                <w:spacing w:val="-5"/>
                <w:sz w:val="24"/>
              </w:rPr>
              <w:t>and</w:t>
            </w:r>
          </w:p>
        </w:tc>
      </w:tr>
      <w:tr>
        <w:trPr>
          <w:trHeight w:val="280" w:hRule="atLeast"/>
        </w:trPr>
        <w:tc>
          <w:tcPr>
            <w:tcW w:w="2677" w:type="dxa"/>
            <w:tcBorders>
              <w:top w:val="nil"/>
            </w:tcBorders>
          </w:tcPr>
          <w:p>
            <w:pPr>
              <w:pStyle w:val="TableParagraph"/>
              <w:spacing w:line="261" w:lineRule="exact"/>
              <w:ind w:left="107"/>
              <w:rPr>
                <w:sz w:val="24"/>
              </w:rPr>
            </w:pPr>
            <w:r>
              <w:rPr>
                <w:sz w:val="24"/>
              </w:rPr>
              <w:t>than</w:t>
            </w:r>
            <w:r>
              <w:rPr>
                <w:spacing w:val="32"/>
                <w:sz w:val="24"/>
              </w:rPr>
              <w:t> </w:t>
            </w:r>
            <w:r>
              <w:rPr>
                <w:sz w:val="24"/>
              </w:rPr>
              <w:t>6</w:t>
            </w:r>
            <w:r>
              <w:rPr>
                <w:spacing w:val="33"/>
                <w:sz w:val="24"/>
              </w:rPr>
              <w:t> </w:t>
            </w:r>
            <w:r>
              <w:rPr>
                <w:spacing w:val="-5"/>
                <w:sz w:val="24"/>
              </w:rPr>
              <w:t>Ha</w:t>
            </w:r>
          </w:p>
        </w:tc>
        <w:tc>
          <w:tcPr>
            <w:tcW w:w="2994" w:type="dxa"/>
            <w:tcBorders>
              <w:top w:val="nil"/>
            </w:tcBorders>
          </w:tcPr>
          <w:p>
            <w:pPr>
              <w:pStyle w:val="TableParagraph"/>
              <w:rPr>
                <w:rFonts w:ascii="Times New Roman"/>
                <w:sz w:val="20"/>
              </w:rPr>
            </w:pPr>
          </w:p>
        </w:tc>
        <w:tc>
          <w:tcPr>
            <w:tcW w:w="3426" w:type="dxa"/>
            <w:tcBorders>
              <w:top w:val="nil"/>
              <w:bottom w:val="nil"/>
            </w:tcBorders>
          </w:tcPr>
          <w:p>
            <w:pPr>
              <w:pStyle w:val="TableParagraph"/>
              <w:spacing w:line="261" w:lineRule="exact"/>
              <w:ind w:left="106"/>
              <w:rPr>
                <w:sz w:val="24"/>
              </w:rPr>
            </w:pPr>
            <w:r>
              <w:rPr>
                <w:sz w:val="24"/>
              </w:rPr>
              <w:t>above</w:t>
            </w:r>
            <w:r>
              <w:rPr>
                <w:spacing w:val="50"/>
                <w:sz w:val="24"/>
              </w:rPr>
              <w:t> </w:t>
            </w:r>
            <w:r>
              <w:rPr>
                <w:sz w:val="24"/>
              </w:rPr>
              <w:t>the</w:t>
            </w:r>
            <w:r>
              <w:rPr>
                <w:spacing w:val="50"/>
                <w:sz w:val="24"/>
              </w:rPr>
              <w:t> </w:t>
            </w:r>
            <w:r>
              <w:rPr>
                <w:sz w:val="24"/>
              </w:rPr>
              <w:t>Zonal</w:t>
            </w:r>
            <w:r>
              <w:rPr>
                <w:spacing w:val="51"/>
                <w:sz w:val="24"/>
              </w:rPr>
              <w:t> </w:t>
            </w:r>
            <w:r>
              <w:rPr>
                <w:spacing w:val="7"/>
                <w:sz w:val="24"/>
              </w:rPr>
              <w:t>(basic)</w:t>
            </w:r>
          </w:p>
        </w:tc>
      </w:tr>
      <w:tr>
        <w:trPr>
          <w:trHeight w:val="774" w:hRule="atLeast"/>
        </w:trPr>
        <w:tc>
          <w:tcPr>
            <w:tcW w:w="2677" w:type="dxa"/>
          </w:tcPr>
          <w:p>
            <w:pPr>
              <w:pStyle w:val="TableParagraph"/>
              <w:ind w:left="107" w:right="270"/>
              <w:rPr>
                <w:sz w:val="22"/>
              </w:rPr>
            </w:pPr>
            <w:r>
              <w:rPr>
                <w:sz w:val="22"/>
              </w:rPr>
              <w:t>Equal to or more than 6 Ha but </w:t>
            </w:r>
            <w:r>
              <w:rPr>
                <w:sz w:val="22"/>
              </w:rPr>
              <w:t>less</w:t>
            </w:r>
          </w:p>
          <w:p>
            <w:pPr>
              <w:pStyle w:val="TableParagraph"/>
              <w:spacing w:line="238" w:lineRule="exact"/>
              <w:ind w:left="107"/>
              <w:rPr>
                <w:sz w:val="22"/>
              </w:rPr>
            </w:pPr>
            <w:r>
              <w:rPr>
                <w:sz w:val="22"/>
              </w:rPr>
              <w:t>than</w:t>
            </w:r>
            <w:r>
              <w:rPr>
                <w:spacing w:val="31"/>
                <w:sz w:val="22"/>
              </w:rPr>
              <w:t> </w:t>
            </w:r>
            <w:r>
              <w:rPr>
                <w:sz w:val="22"/>
              </w:rPr>
              <w:t>7</w:t>
            </w:r>
            <w:r>
              <w:rPr>
                <w:spacing w:val="31"/>
                <w:sz w:val="22"/>
              </w:rPr>
              <w:t> </w:t>
            </w:r>
            <w:r>
              <w:rPr>
                <w:spacing w:val="-5"/>
                <w:sz w:val="22"/>
              </w:rPr>
              <w:t>Ha</w:t>
            </w:r>
          </w:p>
        </w:tc>
        <w:tc>
          <w:tcPr>
            <w:tcW w:w="2994" w:type="dxa"/>
          </w:tcPr>
          <w:p>
            <w:pPr>
              <w:pStyle w:val="TableParagraph"/>
              <w:spacing w:line="281" w:lineRule="exact"/>
              <w:ind w:left="5"/>
              <w:jc w:val="center"/>
              <w:rPr>
                <w:sz w:val="24"/>
              </w:rPr>
            </w:pPr>
            <w:r>
              <w:rPr>
                <w:spacing w:val="-5"/>
                <w:sz w:val="24"/>
              </w:rPr>
              <w:t>60%</w:t>
            </w:r>
          </w:p>
        </w:tc>
        <w:tc>
          <w:tcPr>
            <w:tcW w:w="3426" w:type="dxa"/>
            <w:vMerge w:val="restart"/>
            <w:tcBorders>
              <w:top w:val="nil"/>
              <w:bottom w:val="nil"/>
            </w:tcBorders>
          </w:tcPr>
          <w:p>
            <w:pPr>
              <w:pStyle w:val="TableParagraph"/>
              <w:spacing w:line="261" w:lineRule="exact"/>
              <w:ind w:left="106"/>
              <w:rPr>
                <w:sz w:val="24"/>
              </w:rPr>
            </w:pPr>
            <w:r>
              <w:rPr>
                <w:sz w:val="24"/>
              </w:rPr>
              <w:t>F.S.I.</w:t>
            </w:r>
            <w:r>
              <w:rPr>
                <w:spacing w:val="55"/>
                <w:w w:val="150"/>
                <w:sz w:val="24"/>
              </w:rPr>
              <w:t> </w:t>
            </w:r>
            <w:r>
              <w:rPr>
                <w:sz w:val="24"/>
              </w:rPr>
              <w:t>i.e.0.025for</w:t>
            </w:r>
            <w:r>
              <w:rPr>
                <w:spacing w:val="58"/>
                <w:w w:val="150"/>
                <w:sz w:val="24"/>
              </w:rPr>
              <w:t> </w:t>
            </w:r>
            <w:r>
              <w:rPr>
                <w:spacing w:val="-4"/>
                <w:sz w:val="24"/>
              </w:rPr>
              <w:t>SDZ,</w:t>
            </w:r>
          </w:p>
          <w:p>
            <w:pPr>
              <w:pStyle w:val="TableParagraph"/>
              <w:ind w:left="106" w:right="257"/>
              <w:rPr>
                <w:sz w:val="24"/>
              </w:rPr>
            </w:pPr>
            <w:r>
              <w:rPr>
                <w:sz w:val="24"/>
              </w:rPr>
              <w:t>out of the amount of premium 50% is </w:t>
            </w:r>
            <w:r>
              <w:rPr>
                <w:spacing w:val="9"/>
                <w:sz w:val="24"/>
              </w:rPr>
              <w:t>payable </w:t>
            </w:r>
            <w:r>
              <w:rPr>
                <w:sz w:val="24"/>
              </w:rPr>
              <w:t>to State Government and 50% payable to </w:t>
            </w:r>
            <w:r>
              <w:rPr>
                <w:spacing w:val="9"/>
                <w:sz w:val="24"/>
              </w:rPr>
              <w:t>MCGM</w:t>
            </w:r>
          </w:p>
        </w:tc>
      </w:tr>
      <w:tr>
        <w:trPr>
          <w:trHeight w:val="774" w:hRule="atLeast"/>
        </w:trPr>
        <w:tc>
          <w:tcPr>
            <w:tcW w:w="2677" w:type="dxa"/>
          </w:tcPr>
          <w:p>
            <w:pPr>
              <w:pStyle w:val="TableParagraph"/>
              <w:ind w:left="107" w:right="270" w:firstLine="79"/>
              <w:rPr>
                <w:sz w:val="22"/>
              </w:rPr>
            </w:pPr>
            <w:r>
              <w:rPr>
                <w:sz w:val="22"/>
              </w:rPr>
              <w:t>Equal to or more than 7 Ha but </w:t>
            </w:r>
            <w:r>
              <w:rPr>
                <w:sz w:val="22"/>
              </w:rPr>
              <w:t>less</w:t>
            </w:r>
          </w:p>
          <w:p>
            <w:pPr>
              <w:pStyle w:val="TableParagraph"/>
              <w:spacing w:line="238" w:lineRule="exact"/>
              <w:ind w:left="107"/>
              <w:rPr>
                <w:sz w:val="22"/>
              </w:rPr>
            </w:pPr>
            <w:r>
              <w:rPr>
                <w:sz w:val="22"/>
              </w:rPr>
              <w:t>than</w:t>
            </w:r>
            <w:r>
              <w:rPr>
                <w:spacing w:val="31"/>
                <w:sz w:val="22"/>
              </w:rPr>
              <w:t> </w:t>
            </w:r>
            <w:r>
              <w:rPr>
                <w:sz w:val="22"/>
              </w:rPr>
              <w:t>8</w:t>
            </w:r>
            <w:r>
              <w:rPr>
                <w:spacing w:val="31"/>
                <w:sz w:val="22"/>
              </w:rPr>
              <w:t> </w:t>
            </w:r>
            <w:r>
              <w:rPr>
                <w:spacing w:val="-5"/>
                <w:sz w:val="22"/>
              </w:rPr>
              <w:t>Ha</w:t>
            </w:r>
          </w:p>
        </w:tc>
        <w:tc>
          <w:tcPr>
            <w:tcW w:w="2994" w:type="dxa"/>
          </w:tcPr>
          <w:p>
            <w:pPr>
              <w:pStyle w:val="TableParagraph"/>
              <w:spacing w:line="281" w:lineRule="exact"/>
              <w:ind w:left="5"/>
              <w:jc w:val="center"/>
              <w:rPr>
                <w:sz w:val="24"/>
              </w:rPr>
            </w:pPr>
            <w:r>
              <w:rPr>
                <w:spacing w:val="-5"/>
                <w:sz w:val="24"/>
              </w:rPr>
              <w:t>70%</w:t>
            </w:r>
          </w:p>
        </w:tc>
        <w:tc>
          <w:tcPr>
            <w:tcW w:w="3426" w:type="dxa"/>
            <w:vMerge/>
            <w:tcBorders>
              <w:top w:val="nil"/>
              <w:bottom w:val="nil"/>
            </w:tcBorders>
          </w:tcPr>
          <w:p>
            <w:pPr>
              <w:rPr>
                <w:sz w:val="2"/>
                <w:szCs w:val="2"/>
              </w:rPr>
            </w:pPr>
          </w:p>
        </w:tc>
      </w:tr>
      <w:tr>
        <w:trPr>
          <w:trHeight w:val="517" w:hRule="atLeast"/>
        </w:trPr>
        <w:tc>
          <w:tcPr>
            <w:tcW w:w="2677" w:type="dxa"/>
            <w:tcBorders>
              <w:bottom w:val="nil"/>
            </w:tcBorders>
          </w:tcPr>
          <w:p>
            <w:pPr>
              <w:pStyle w:val="TableParagraph"/>
              <w:spacing w:line="257" w:lineRule="exact"/>
              <w:ind w:left="107"/>
              <w:rPr>
                <w:sz w:val="22"/>
              </w:rPr>
            </w:pPr>
            <w:r>
              <w:rPr>
                <w:sz w:val="22"/>
              </w:rPr>
              <w:t>Equal</w:t>
            </w:r>
            <w:r>
              <w:rPr>
                <w:spacing w:val="36"/>
                <w:sz w:val="22"/>
              </w:rPr>
              <w:t> </w:t>
            </w:r>
            <w:r>
              <w:rPr>
                <w:sz w:val="22"/>
              </w:rPr>
              <w:t>to</w:t>
            </w:r>
            <w:r>
              <w:rPr>
                <w:spacing w:val="37"/>
                <w:sz w:val="22"/>
              </w:rPr>
              <w:t> </w:t>
            </w:r>
            <w:r>
              <w:rPr>
                <w:sz w:val="22"/>
              </w:rPr>
              <w:t>or</w:t>
            </w:r>
            <w:r>
              <w:rPr>
                <w:spacing w:val="34"/>
                <w:sz w:val="22"/>
              </w:rPr>
              <w:t> </w:t>
            </w:r>
            <w:r>
              <w:rPr>
                <w:spacing w:val="-4"/>
                <w:sz w:val="22"/>
              </w:rPr>
              <w:t>more</w:t>
            </w:r>
          </w:p>
          <w:p>
            <w:pPr>
              <w:pStyle w:val="TableParagraph"/>
              <w:spacing w:line="239" w:lineRule="exact" w:before="1"/>
              <w:ind w:left="107"/>
              <w:rPr>
                <w:sz w:val="22"/>
              </w:rPr>
            </w:pPr>
            <w:r>
              <w:rPr>
                <w:sz w:val="22"/>
              </w:rPr>
              <w:t>than</w:t>
            </w:r>
            <w:r>
              <w:rPr>
                <w:spacing w:val="30"/>
                <w:sz w:val="22"/>
              </w:rPr>
              <w:t> </w:t>
            </w:r>
            <w:r>
              <w:rPr>
                <w:sz w:val="22"/>
              </w:rPr>
              <w:t>8</w:t>
            </w:r>
            <w:r>
              <w:rPr>
                <w:spacing w:val="31"/>
                <w:sz w:val="22"/>
              </w:rPr>
              <w:t> </w:t>
            </w:r>
            <w:r>
              <w:rPr>
                <w:sz w:val="22"/>
              </w:rPr>
              <w:t>Ha</w:t>
            </w:r>
            <w:r>
              <w:rPr>
                <w:spacing w:val="30"/>
                <w:sz w:val="22"/>
              </w:rPr>
              <w:t> </w:t>
            </w:r>
            <w:r>
              <w:rPr>
                <w:sz w:val="22"/>
              </w:rPr>
              <w:t>but</w:t>
            </w:r>
            <w:r>
              <w:rPr>
                <w:spacing w:val="33"/>
                <w:sz w:val="22"/>
              </w:rPr>
              <w:t> </w:t>
            </w:r>
            <w:r>
              <w:rPr>
                <w:spacing w:val="-4"/>
                <w:sz w:val="22"/>
              </w:rPr>
              <w:t>less</w:t>
            </w:r>
          </w:p>
        </w:tc>
        <w:tc>
          <w:tcPr>
            <w:tcW w:w="2994" w:type="dxa"/>
            <w:tcBorders>
              <w:bottom w:val="nil"/>
            </w:tcBorders>
          </w:tcPr>
          <w:p>
            <w:pPr>
              <w:pStyle w:val="TableParagraph"/>
              <w:spacing w:line="281" w:lineRule="exact"/>
              <w:ind w:left="5"/>
              <w:jc w:val="center"/>
              <w:rPr>
                <w:sz w:val="24"/>
              </w:rPr>
            </w:pPr>
            <w:r>
              <w:rPr>
                <w:spacing w:val="-5"/>
                <w:sz w:val="24"/>
              </w:rPr>
              <w:t>80%</w:t>
            </w:r>
          </w:p>
        </w:tc>
        <w:tc>
          <w:tcPr>
            <w:tcW w:w="3426" w:type="dxa"/>
            <w:tcBorders>
              <w:top w:val="nil"/>
              <w:bottom w:val="nil"/>
            </w:tcBorders>
          </w:tcPr>
          <w:p>
            <w:pPr>
              <w:pStyle w:val="TableParagraph"/>
              <w:rPr>
                <w:rFonts w:ascii="Times New Roman"/>
                <w:sz w:val="22"/>
              </w:rPr>
            </w:pPr>
          </w:p>
        </w:tc>
      </w:tr>
      <w:tr>
        <w:trPr>
          <w:trHeight w:val="258" w:hRule="atLeast"/>
        </w:trPr>
        <w:tc>
          <w:tcPr>
            <w:tcW w:w="2677" w:type="dxa"/>
            <w:tcBorders>
              <w:top w:val="nil"/>
            </w:tcBorders>
          </w:tcPr>
          <w:p>
            <w:pPr>
              <w:pStyle w:val="TableParagraph"/>
              <w:spacing w:line="238" w:lineRule="exact"/>
              <w:ind w:left="107"/>
              <w:rPr>
                <w:sz w:val="22"/>
              </w:rPr>
            </w:pPr>
            <w:r>
              <w:rPr>
                <w:sz w:val="22"/>
              </w:rPr>
              <w:t>than</w:t>
            </w:r>
            <w:r>
              <w:rPr>
                <w:spacing w:val="31"/>
                <w:sz w:val="22"/>
              </w:rPr>
              <w:t> </w:t>
            </w:r>
            <w:r>
              <w:rPr>
                <w:sz w:val="22"/>
              </w:rPr>
              <w:t>9</w:t>
            </w:r>
            <w:r>
              <w:rPr>
                <w:spacing w:val="31"/>
                <w:sz w:val="22"/>
              </w:rPr>
              <w:t> </w:t>
            </w:r>
            <w:r>
              <w:rPr>
                <w:spacing w:val="-5"/>
                <w:sz w:val="22"/>
              </w:rPr>
              <w:t>Ha</w:t>
            </w:r>
          </w:p>
        </w:tc>
        <w:tc>
          <w:tcPr>
            <w:tcW w:w="2994" w:type="dxa"/>
            <w:tcBorders>
              <w:top w:val="nil"/>
            </w:tcBorders>
          </w:tcPr>
          <w:p>
            <w:pPr>
              <w:pStyle w:val="TableParagraph"/>
              <w:rPr>
                <w:rFonts w:ascii="Times New Roman"/>
                <w:sz w:val="18"/>
              </w:rPr>
            </w:pPr>
          </w:p>
        </w:tc>
        <w:tc>
          <w:tcPr>
            <w:tcW w:w="3426" w:type="dxa"/>
            <w:tcBorders>
              <w:top w:val="nil"/>
              <w:bottom w:val="nil"/>
            </w:tcBorders>
          </w:tcPr>
          <w:p>
            <w:pPr>
              <w:pStyle w:val="TableParagraph"/>
              <w:rPr>
                <w:rFonts w:ascii="Times New Roman"/>
                <w:sz w:val="18"/>
              </w:rPr>
            </w:pPr>
          </w:p>
        </w:tc>
      </w:tr>
      <w:tr>
        <w:trPr>
          <w:trHeight w:val="516" w:hRule="atLeast"/>
        </w:trPr>
        <w:tc>
          <w:tcPr>
            <w:tcW w:w="2677" w:type="dxa"/>
            <w:tcBorders>
              <w:bottom w:val="nil"/>
            </w:tcBorders>
          </w:tcPr>
          <w:p>
            <w:pPr>
              <w:pStyle w:val="TableParagraph"/>
              <w:spacing w:line="257" w:lineRule="exact"/>
              <w:ind w:left="107"/>
              <w:rPr>
                <w:sz w:val="22"/>
              </w:rPr>
            </w:pPr>
            <w:r>
              <w:rPr>
                <w:sz w:val="22"/>
              </w:rPr>
              <w:t>Equal</w:t>
            </w:r>
            <w:r>
              <w:rPr>
                <w:spacing w:val="36"/>
                <w:sz w:val="22"/>
              </w:rPr>
              <w:t> </w:t>
            </w:r>
            <w:r>
              <w:rPr>
                <w:sz w:val="22"/>
              </w:rPr>
              <w:t>to</w:t>
            </w:r>
            <w:r>
              <w:rPr>
                <w:spacing w:val="37"/>
                <w:sz w:val="22"/>
              </w:rPr>
              <w:t> </w:t>
            </w:r>
            <w:r>
              <w:rPr>
                <w:sz w:val="22"/>
              </w:rPr>
              <w:t>or</w:t>
            </w:r>
            <w:r>
              <w:rPr>
                <w:spacing w:val="34"/>
                <w:sz w:val="22"/>
              </w:rPr>
              <w:t> </w:t>
            </w:r>
            <w:r>
              <w:rPr>
                <w:spacing w:val="-4"/>
                <w:sz w:val="22"/>
              </w:rPr>
              <w:t>more</w:t>
            </w:r>
          </w:p>
          <w:p>
            <w:pPr>
              <w:pStyle w:val="TableParagraph"/>
              <w:spacing w:line="239" w:lineRule="exact" w:before="1"/>
              <w:ind w:left="107"/>
              <w:rPr>
                <w:sz w:val="22"/>
              </w:rPr>
            </w:pPr>
            <w:r>
              <w:rPr>
                <w:sz w:val="22"/>
              </w:rPr>
              <w:t>than</w:t>
            </w:r>
            <w:r>
              <w:rPr>
                <w:spacing w:val="30"/>
                <w:sz w:val="22"/>
              </w:rPr>
              <w:t> </w:t>
            </w:r>
            <w:r>
              <w:rPr>
                <w:sz w:val="22"/>
              </w:rPr>
              <w:t>9</w:t>
            </w:r>
            <w:r>
              <w:rPr>
                <w:spacing w:val="31"/>
                <w:sz w:val="22"/>
              </w:rPr>
              <w:t> </w:t>
            </w:r>
            <w:r>
              <w:rPr>
                <w:sz w:val="22"/>
              </w:rPr>
              <w:t>Ha</w:t>
            </w:r>
            <w:r>
              <w:rPr>
                <w:spacing w:val="30"/>
                <w:sz w:val="22"/>
              </w:rPr>
              <w:t> </w:t>
            </w:r>
            <w:r>
              <w:rPr>
                <w:sz w:val="22"/>
              </w:rPr>
              <w:t>but</w:t>
            </w:r>
            <w:r>
              <w:rPr>
                <w:spacing w:val="33"/>
                <w:sz w:val="22"/>
              </w:rPr>
              <w:t> </w:t>
            </w:r>
            <w:r>
              <w:rPr>
                <w:spacing w:val="-4"/>
                <w:sz w:val="22"/>
              </w:rPr>
              <w:t>less</w:t>
            </w:r>
          </w:p>
        </w:tc>
        <w:tc>
          <w:tcPr>
            <w:tcW w:w="2994" w:type="dxa"/>
            <w:tcBorders>
              <w:bottom w:val="nil"/>
            </w:tcBorders>
          </w:tcPr>
          <w:p>
            <w:pPr>
              <w:pStyle w:val="TableParagraph"/>
              <w:spacing w:line="281" w:lineRule="exact"/>
              <w:ind w:left="5"/>
              <w:jc w:val="center"/>
              <w:rPr>
                <w:sz w:val="24"/>
              </w:rPr>
            </w:pPr>
            <w:r>
              <w:rPr>
                <w:spacing w:val="-5"/>
                <w:sz w:val="24"/>
              </w:rPr>
              <w:t>90%</w:t>
            </w:r>
          </w:p>
        </w:tc>
        <w:tc>
          <w:tcPr>
            <w:tcW w:w="3426" w:type="dxa"/>
            <w:tcBorders>
              <w:top w:val="nil"/>
              <w:bottom w:val="nil"/>
            </w:tcBorders>
          </w:tcPr>
          <w:p>
            <w:pPr>
              <w:pStyle w:val="TableParagraph"/>
              <w:rPr>
                <w:rFonts w:ascii="Times New Roman"/>
                <w:sz w:val="22"/>
              </w:rPr>
            </w:pPr>
          </w:p>
        </w:tc>
      </w:tr>
      <w:tr>
        <w:trPr>
          <w:trHeight w:val="258" w:hRule="atLeast"/>
        </w:trPr>
        <w:tc>
          <w:tcPr>
            <w:tcW w:w="2677" w:type="dxa"/>
            <w:tcBorders>
              <w:top w:val="nil"/>
            </w:tcBorders>
          </w:tcPr>
          <w:p>
            <w:pPr>
              <w:pStyle w:val="TableParagraph"/>
              <w:spacing w:line="238" w:lineRule="exact"/>
              <w:ind w:left="107"/>
              <w:rPr>
                <w:sz w:val="22"/>
              </w:rPr>
            </w:pPr>
            <w:r>
              <w:rPr>
                <w:sz w:val="22"/>
              </w:rPr>
              <w:t>than</w:t>
            </w:r>
            <w:r>
              <w:rPr>
                <w:spacing w:val="36"/>
                <w:sz w:val="22"/>
              </w:rPr>
              <w:t> </w:t>
            </w:r>
            <w:r>
              <w:rPr>
                <w:sz w:val="22"/>
              </w:rPr>
              <w:t>10</w:t>
            </w:r>
            <w:r>
              <w:rPr>
                <w:spacing w:val="35"/>
                <w:sz w:val="22"/>
              </w:rPr>
              <w:t> </w:t>
            </w:r>
            <w:r>
              <w:rPr>
                <w:spacing w:val="-5"/>
                <w:sz w:val="22"/>
              </w:rPr>
              <w:t>Ha</w:t>
            </w:r>
          </w:p>
        </w:tc>
        <w:tc>
          <w:tcPr>
            <w:tcW w:w="2994" w:type="dxa"/>
            <w:tcBorders>
              <w:top w:val="nil"/>
            </w:tcBorders>
          </w:tcPr>
          <w:p>
            <w:pPr>
              <w:pStyle w:val="TableParagraph"/>
              <w:rPr>
                <w:rFonts w:ascii="Times New Roman"/>
                <w:sz w:val="18"/>
              </w:rPr>
            </w:pPr>
          </w:p>
        </w:tc>
        <w:tc>
          <w:tcPr>
            <w:tcW w:w="3426" w:type="dxa"/>
            <w:tcBorders>
              <w:top w:val="nil"/>
              <w:bottom w:val="nil"/>
            </w:tcBorders>
          </w:tcPr>
          <w:p>
            <w:pPr>
              <w:pStyle w:val="TableParagraph"/>
              <w:rPr>
                <w:rFonts w:ascii="Times New Roman"/>
                <w:sz w:val="18"/>
              </w:rPr>
            </w:pPr>
          </w:p>
        </w:tc>
      </w:tr>
      <w:tr>
        <w:trPr>
          <w:trHeight w:val="281" w:hRule="atLeast"/>
        </w:trPr>
        <w:tc>
          <w:tcPr>
            <w:tcW w:w="2677" w:type="dxa"/>
            <w:tcBorders>
              <w:bottom w:val="nil"/>
            </w:tcBorders>
          </w:tcPr>
          <w:p>
            <w:pPr>
              <w:pStyle w:val="TableParagraph"/>
              <w:spacing w:line="262" w:lineRule="exact"/>
              <w:ind w:left="107"/>
              <w:rPr>
                <w:sz w:val="24"/>
              </w:rPr>
            </w:pPr>
            <w:r>
              <w:rPr>
                <w:sz w:val="24"/>
              </w:rPr>
              <w:t>Equal</w:t>
            </w:r>
            <w:r>
              <w:rPr>
                <w:spacing w:val="36"/>
                <w:sz w:val="24"/>
              </w:rPr>
              <w:t> </w:t>
            </w:r>
            <w:r>
              <w:rPr>
                <w:sz w:val="24"/>
              </w:rPr>
              <w:t>to</w:t>
            </w:r>
            <w:r>
              <w:rPr>
                <w:spacing w:val="40"/>
                <w:sz w:val="24"/>
              </w:rPr>
              <w:t> </w:t>
            </w:r>
            <w:r>
              <w:rPr>
                <w:sz w:val="24"/>
              </w:rPr>
              <w:t>or</w:t>
            </w:r>
            <w:r>
              <w:rPr>
                <w:spacing w:val="37"/>
                <w:sz w:val="24"/>
              </w:rPr>
              <w:t> </w:t>
            </w:r>
            <w:r>
              <w:rPr>
                <w:spacing w:val="5"/>
                <w:sz w:val="24"/>
              </w:rPr>
              <w:t>more</w:t>
            </w:r>
          </w:p>
        </w:tc>
        <w:tc>
          <w:tcPr>
            <w:tcW w:w="2994" w:type="dxa"/>
            <w:tcBorders>
              <w:bottom w:val="nil"/>
            </w:tcBorders>
          </w:tcPr>
          <w:p>
            <w:pPr>
              <w:pStyle w:val="TableParagraph"/>
              <w:spacing w:line="262" w:lineRule="exact"/>
              <w:ind w:left="5"/>
              <w:jc w:val="center"/>
              <w:rPr>
                <w:sz w:val="24"/>
              </w:rPr>
            </w:pPr>
            <w:r>
              <w:rPr>
                <w:spacing w:val="-4"/>
                <w:sz w:val="24"/>
              </w:rPr>
              <w:t>100%</w:t>
            </w:r>
          </w:p>
        </w:tc>
        <w:tc>
          <w:tcPr>
            <w:tcW w:w="3426" w:type="dxa"/>
            <w:tcBorders>
              <w:top w:val="nil"/>
              <w:bottom w:val="nil"/>
            </w:tcBorders>
          </w:tcPr>
          <w:p>
            <w:pPr>
              <w:pStyle w:val="TableParagraph"/>
              <w:rPr>
                <w:rFonts w:ascii="Times New Roman"/>
                <w:sz w:val="20"/>
              </w:rPr>
            </w:pPr>
          </w:p>
        </w:tc>
      </w:tr>
      <w:tr>
        <w:trPr>
          <w:trHeight w:val="281" w:hRule="atLeast"/>
        </w:trPr>
        <w:tc>
          <w:tcPr>
            <w:tcW w:w="2677" w:type="dxa"/>
            <w:tcBorders>
              <w:top w:val="nil"/>
            </w:tcBorders>
          </w:tcPr>
          <w:p>
            <w:pPr>
              <w:pStyle w:val="TableParagraph"/>
              <w:spacing w:line="261" w:lineRule="exact"/>
              <w:ind w:left="107"/>
              <w:rPr>
                <w:sz w:val="24"/>
              </w:rPr>
            </w:pPr>
            <w:r>
              <w:rPr>
                <w:sz w:val="24"/>
              </w:rPr>
              <w:t>than</w:t>
            </w:r>
            <w:r>
              <w:rPr>
                <w:spacing w:val="36"/>
                <w:sz w:val="24"/>
              </w:rPr>
              <w:t> </w:t>
            </w:r>
            <w:r>
              <w:rPr>
                <w:sz w:val="24"/>
              </w:rPr>
              <w:t>10</w:t>
            </w:r>
            <w:r>
              <w:rPr>
                <w:spacing w:val="40"/>
                <w:sz w:val="24"/>
              </w:rPr>
              <w:t> </w:t>
            </w:r>
            <w:r>
              <w:rPr>
                <w:spacing w:val="-5"/>
                <w:sz w:val="24"/>
              </w:rPr>
              <w:t>Ha</w:t>
            </w:r>
          </w:p>
        </w:tc>
        <w:tc>
          <w:tcPr>
            <w:tcW w:w="2994" w:type="dxa"/>
            <w:tcBorders>
              <w:top w:val="nil"/>
            </w:tcBorders>
          </w:tcPr>
          <w:p>
            <w:pPr>
              <w:pStyle w:val="TableParagraph"/>
              <w:rPr>
                <w:rFonts w:ascii="Times New Roman"/>
                <w:sz w:val="20"/>
              </w:rPr>
            </w:pPr>
          </w:p>
        </w:tc>
        <w:tc>
          <w:tcPr>
            <w:tcW w:w="3426" w:type="dxa"/>
            <w:tcBorders>
              <w:top w:val="nil"/>
            </w:tcBorders>
          </w:tcPr>
          <w:p>
            <w:pPr>
              <w:pStyle w:val="TableParagraph"/>
              <w:rPr>
                <w:rFonts w:ascii="Times New Roman"/>
                <w:sz w:val="20"/>
              </w:rPr>
            </w:pPr>
          </w:p>
        </w:tc>
      </w:tr>
    </w:tbl>
    <w:p>
      <w:pPr>
        <w:pStyle w:val="BodyText"/>
        <w:spacing w:before="8"/>
        <w:jc w:val="left"/>
      </w:pPr>
    </w:p>
    <w:p>
      <w:pPr>
        <w:pStyle w:val="BodyText"/>
        <w:spacing w:line="281" w:lineRule="exact"/>
        <w:ind w:left="1200"/>
        <w:jc w:val="left"/>
      </w:pPr>
      <w:r>
        <w:rPr>
          <w:spacing w:val="7"/>
        </w:rPr>
        <w:t>Explanation:</w:t>
      </w:r>
    </w:p>
    <w:p>
      <w:pPr>
        <w:pStyle w:val="ListParagraph"/>
        <w:numPr>
          <w:ilvl w:val="0"/>
          <w:numId w:val="234"/>
        </w:numPr>
        <w:tabs>
          <w:tab w:pos="1530" w:val="left" w:leader="none"/>
        </w:tabs>
        <w:spacing w:line="240" w:lineRule="auto" w:before="0" w:after="0"/>
        <w:ind w:left="1200" w:right="891" w:firstLine="0"/>
        <w:jc w:val="left"/>
        <w:rPr>
          <w:sz w:val="24"/>
        </w:rPr>
      </w:pPr>
      <w:r>
        <w:rPr>
          <w:sz w:val="24"/>
        </w:rPr>
        <w:t>After</w:t>
      </w:r>
      <w:r>
        <w:rPr>
          <w:spacing w:val="40"/>
          <w:sz w:val="24"/>
        </w:rPr>
        <w:t> </w:t>
      </w:r>
      <w:r>
        <w:rPr>
          <w:sz w:val="24"/>
        </w:rPr>
        <w:t>deducting</w:t>
      </w:r>
      <w:r>
        <w:rPr>
          <w:spacing w:val="40"/>
          <w:sz w:val="24"/>
        </w:rPr>
        <w:t> </w:t>
      </w:r>
      <w:r>
        <w:rPr>
          <w:sz w:val="24"/>
        </w:rPr>
        <w:t>the</w:t>
      </w:r>
      <w:r>
        <w:rPr>
          <w:spacing w:val="40"/>
          <w:sz w:val="24"/>
        </w:rPr>
        <w:t> </w:t>
      </w:r>
      <w:r>
        <w:rPr>
          <w:sz w:val="24"/>
        </w:rPr>
        <w:t>area</w:t>
      </w:r>
      <w:r>
        <w:rPr>
          <w:spacing w:val="40"/>
          <w:sz w:val="24"/>
        </w:rPr>
        <w:t> </w:t>
      </w:r>
      <w:r>
        <w:rPr>
          <w:sz w:val="24"/>
        </w:rPr>
        <w:t>of</w:t>
      </w:r>
      <w:r>
        <w:rPr>
          <w:spacing w:val="40"/>
          <w:sz w:val="24"/>
        </w:rPr>
        <w:t> </w:t>
      </w:r>
      <w:r>
        <w:rPr>
          <w:sz w:val="24"/>
        </w:rPr>
        <w:t>TDA,</w:t>
      </w:r>
      <w:r>
        <w:rPr>
          <w:spacing w:val="40"/>
          <w:sz w:val="24"/>
        </w:rPr>
        <w:t> </w:t>
      </w:r>
      <w:r>
        <w:rPr>
          <w:sz w:val="24"/>
        </w:rPr>
        <w:t>FSI</w:t>
      </w:r>
      <w:r>
        <w:rPr>
          <w:spacing w:val="40"/>
          <w:sz w:val="24"/>
        </w:rPr>
        <w:t> </w:t>
      </w:r>
      <w:r>
        <w:rPr>
          <w:sz w:val="24"/>
        </w:rPr>
        <w:t>will</w:t>
      </w:r>
      <w:r>
        <w:rPr>
          <w:spacing w:val="40"/>
          <w:sz w:val="24"/>
        </w:rPr>
        <w:t> </w:t>
      </w:r>
      <w:r>
        <w:rPr>
          <w:sz w:val="24"/>
        </w:rPr>
        <w:t>be</w:t>
      </w:r>
      <w:r>
        <w:rPr>
          <w:spacing w:val="40"/>
          <w:sz w:val="24"/>
        </w:rPr>
        <w:t> </w:t>
      </w:r>
      <w:r>
        <w:rPr>
          <w:sz w:val="24"/>
        </w:rPr>
        <w:t>available</w:t>
      </w:r>
      <w:r>
        <w:rPr>
          <w:spacing w:val="40"/>
          <w:sz w:val="24"/>
        </w:rPr>
        <w:t> </w:t>
      </w:r>
      <w:r>
        <w:rPr>
          <w:sz w:val="24"/>
        </w:rPr>
        <w:t>for</w:t>
      </w:r>
      <w:r>
        <w:rPr>
          <w:spacing w:val="40"/>
          <w:sz w:val="24"/>
        </w:rPr>
        <w:t> </w:t>
      </w:r>
      <w:r>
        <w:rPr>
          <w:sz w:val="24"/>
        </w:rPr>
        <w:t>the</w:t>
      </w:r>
      <w:r>
        <w:rPr>
          <w:spacing w:val="40"/>
          <w:sz w:val="24"/>
        </w:rPr>
        <w:t> </w:t>
      </w:r>
      <w:r>
        <w:rPr>
          <w:sz w:val="24"/>
        </w:rPr>
        <w:t>rest</w:t>
      </w:r>
      <w:r>
        <w:rPr>
          <w:spacing w:val="40"/>
          <w:sz w:val="24"/>
        </w:rPr>
        <w:t> </w:t>
      </w:r>
      <w:r>
        <w:rPr>
          <w:sz w:val="24"/>
        </w:rPr>
        <w:t>of the</w:t>
      </w:r>
      <w:r>
        <w:rPr>
          <w:spacing w:val="40"/>
          <w:sz w:val="24"/>
        </w:rPr>
        <w:t> </w:t>
      </w:r>
      <w:r>
        <w:rPr>
          <w:sz w:val="24"/>
        </w:rPr>
        <w:t>land</w:t>
      </w:r>
      <w:r>
        <w:rPr>
          <w:spacing w:val="40"/>
          <w:sz w:val="24"/>
        </w:rPr>
        <w:t> </w:t>
      </w:r>
      <w:r>
        <w:rPr>
          <w:sz w:val="24"/>
        </w:rPr>
        <w:t>in</w:t>
      </w:r>
      <w:r>
        <w:rPr>
          <w:spacing w:val="40"/>
          <w:sz w:val="24"/>
        </w:rPr>
        <w:t> </w:t>
      </w:r>
      <w:r>
        <w:rPr>
          <w:sz w:val="24"/>
        </w:rPr>
        <w:t>SDZ,</w:t>
      </w:r>
      <w:r>
        <w:rPr>
          <w:spacing w:val="40"/>
          <w:sz w:val="24"/>
        </w:rPr>
        <w:t> </w:t>
      </w:r>
      <w:r>
        <w:rPr>
          <w:sz w:val="24"/>
        </w:rPr>
        <w:t>as</w:t>
      </w:r>
      <w:r>
        <w:rPr>
          <w:spacing w:val="40"/>
          <w:sz w:val="24"/>
        </w:rPr>
        <w:t> </w:t>
      </w:r>
      <w:r>
        <w:rPr>
          <w:sz w:val="24"/>
        </w:rPr>
        <w:t>provided</w:t>
      </w:r>
      <w:r>
        <w:rPr>
          <w:spacing w:val="40"/>
          <w:sz w:val="24"/>
        </w:rPr>
        <w:t> </w:t>
      </w:r>
      <w:r>
        <w:rPr>
          <w:sz w:val="24"/>
        </w:rPr>
        <w:t>for</w:t>
      </w:r>
      <w:r>
        <w:rPr>
          <w:spacing w:val="40"/>
          <w:sz w:val="24"/>
        </w:rPr>
        <w:t> </w:t>
      </w:r>
      <w:r>
        <w:rPr>
          <w:sz w:val="24"/>
        </w:rPr>
        <w:t>the</w:t>
      </w:r>
      <w:r>
        <w:rPr>
          <w:spacing w:val="40"/>
          <w:sz w:val="24"/>
        </w:rPr>
        <w:t> </w:t>
      </w:r>
      <w:r>
        <w:rPr>
          <w:sz w:val="24"/>
        </w:rPr>
        <w:t>area</w:t>
      </w:r>
      <w:r>
        <w:rPr>
          <w:spacing w:val="40"/>
          <w:sz w:val="24"/>
        </w:rPr>
        <w:t> </w:t>
      </w:r>
      <w:r>
        <w:rPr>
          <w:sz w:val="24"/>
        </w:rPr>
        <w:t>in</w:t>
      </w:r>
      <w:r>
        <w:rPr>
          <w:spacing w:val="40"/>
          <w:sz w:val="24"/>
        </w:rPr>
        <w:t> </w:t>
      </w:r>
      <w:r>
        <w:rPr>
          <w:spacing w:val="11"/>
          <w:sz w:val="24"/>
        </w:rPr>
        <w:t>SDZ-</w:t>
      </w:r>
      <w:r>
        <w:rPr>
          <w:sz w:val="24"/>
        </w:rPr>
        <w:t>as</w:t>
      </w:r>
      <w:r>
        <w:rPr>
          <w:spacing w:val="40"/>
          <w:sz w:val="24"/>
        </w:rPr>
        <w:t> </w:t>
      </w:r>
      <w:r>
        <w:rPr>
          <w:sz w:val="24"/>
        </w:rPr>
        <w:t>per</w:t>
      </w:r>
      <w:r>
        <w:rPr>
          <w:spacing w:val="40"/>
          <w:sz w:val="24"/>
        </w:rPr>
        <w:t> </w:t>
      </w:r>
      <w:r>
        <w:rPr>
          <w:sz w:val="24"/>
        </w:rPr>
        <w:t>clause</w:t>
      </w:r>
      <w:r>
        <w:rPr>
          <w:spacing w:val="40"/>
          <w:sz w:val="24"/>
        </w:rPr>
        <w:t> </w:t>
      </w:r>
      <w:r>
        <w:rPr>
          <w:sz w:val="24"/>
        </w:rPr>
        <w:t>(VI)</w:t>
      </w:r>
      <w:r>
        <w:rPr>
          <w:spacing w:val="40"/>
          <w:sz w:val="24"/>
        </w:rPr>
        <w:t> </w:t>
      </w:r>
      <w:r>
        <w:rPr>
          <w:sz w:val="24"/>
        </w:rPr>
        <w:t>(xii).</w:t>
      </w:r>
    </w:p>
    <w:p>
      <w:pPr>
        <w:pStyle w:val="ListParagraph"/>
        <w:numPr>
          <w:ilvl w:val="0"/>
          <w:numId w:val="234"/>
        </w:numPr>
        <w:tabs>
          <w:tab w:pos="1532" w:val="left" w:leader="none"/>
        </w:tabs>
        <w:spacing w:line="240" w:lineRule="auto" w:before="0" w:after="0"/>
        <w:ind w:left="1200" w:right="771" w:firstLine="0"/>
        <w:jc w:val="left"/>
        <w:rPr>
          <w:sz w:val="24"/>
        </w:rPr>
      </w:pPr>
      <w:r>
        <w:rPr>
          <w:sz w:val="24"/>
        </w:rPr>
        <w:t>In</w:t>
      </w:r>
      <w:r>
        <w:rPr>
          <w:spacing w:val="40"/>
          <w:sz w:val="24"/>
        </w:rPr>
        <w:t> </w:t>
      </w:r>
      <w:r>
        <w:rPr>
          <w:sz w:val="24"/>
        </w:rPr>
        <w:t>case</w:t>
      </w:r>
      <w:r>
        <w:rPr>
          <w:spacing w:val="40"/>
          <w:sz w:val="24"/>
        </w:rPr>
        <w:t> </w:t>
      </w:r>
      <w:r>
        <w:rPr>
          <w:sz w:val="24"/>
        </w:rPr>
        <w:t>of</w:t>
      </w:r>
      <w:r>
        <w:rPr>
          <w:spacing w:val="40"/>
          <w:sz w:val="24"/>
        </w:rPr>
        <w:t> </w:t>
      </w:r>
      <w:r>
        <w:rPr>
          <w:sz w:val="24"/>
        </w:rPr>
        <w:t>plots</w:t>
      </w:r>
      <w:r>
        <w:rPr>
          <w:spacing w:val="40"/>
          <w:sz w:val="24"/>
        </w:rPr>
        <w:t> </w:t>
      </w:r>
      <w:r>
        <w:rPr>
          <w:sz w:val="24"/>
        </w:rPr>
        <w:t>having</w:t>
      </w:r>
      <w:r>
        <w:rPr>
          <w:spacing w:val="40"/>
          <w:sz w:val="24"/>
        </w:rPr>
        <w:t> </w:t>
      </w:r>
      <w:r>
        <w:rPr>
          <w:sz w:val="24"/>
        </w:rPr>
        <w:t>area</w:t>
      </w:r>
      <w:r>
        <w:rPr>
          <w:spacing w:val="40"/>
          <w:sz w:val="24"/>
        </w:rPr>
        <w:t> </w:t>
      </w:r>
      <w:r>
        <w:rPr>
          <w:sz w:val="24"/>
        </w:rPr>
        <w:t>more</w:t>
      </w:r>
      <w:r>
        <w:rPr>
          <w:spacing w:val="40"/>
          <w:sz w:val="24"/>
        </w:rPr>
        <w:t> </w:t>
      </w:r>
      <w:r>
        <w:rPr>
          <w:sz w:val="24"/>
        </w:rPr>
        <w:t>than</w:t>
      </w:r>
      <w:r>
        <w:rPr>
          <w:spacing w:val="40"/>
          <w:sz w:val="24"/>
        </w:rPr>
        <w:t> </w:t>
      </w:r>
      <w:r>
        <w:rPr>
          <w:sz w:val="24"/>
        </w:rPr>
        <w:t>2</w:t>
      </w:r>
      <w:r>
        <w:rPr>
          <w:spacing w:val="40"/>
          <w:sz w:val="24"/>
        </w:rPr>
        <w:t> </w:t>
      </w:r>
      <w:r>
        <w:rPr>
          <w:sz w:val="24"/>
        </w:rPr>
        <w:t>ha</w:t>
      </w:r>
      <w:r>
        <w:rPr>
          <w:spacing w:val="40"/>
          <w:sz w:val="24"/>
        </w:rPr>
        <w:t> </w:t>
      </w:r>
      <w:r>
        <w:rPr>
          <w:sz w:val="24"/>
        </w:rPr>
        <w:t>in</w:t>
      </w:r>
      <w:r>
        <w:rPr>
          <w:spacing w:val="40"/>
          <w:sz w:val="24"/>
        </w:rPr>
        <w:t> </w:t>
      </w:r>
      <w:r>
        <w:rPr>
          <w:sz w:val="24"/>
        </w:rPr>
        <w:t>SDZ,</w:t>
      </w:r>
      <w:r>
        <w:rPr>
          <w:spacing w:val="40"/>
          <w:sz w:val="24"/>
        </w:rPr>
        <w:t> </w:t>
      </w:r>
      <w:r>
        <w:rPr>
          <w:sz w:val="24"/>
        </w:rPr>
        <w:t>no</w:t>
      </w:r>
      <w:r>
        <w:rPr>
          <w:spacing w:val="40"/>
          <w:sz w:val="24"/>
        </w:rPr>
        <w:t> </w:t>
      </w:r>
      <w:r>
        <w:rPr>
          <w:sz w:val="24"/>
        </w:rPr>
        <w:t>subdivision</w:t>
      </w:r>
      <w:r>
        <w:rPr>
          <w:spacing w:val="40"/>
          <w:sz w:val="24"/>
        </w:rPr>
        <w:t> </w:t>
      </w:r>
      <w:r>
        <w:rPr>
          <w:sz w:val="24"/>
        </w:rPr>
        <w:t>of plots</w:t>
      </w:r>
      <w:r>
        <w:rPr>
          <w:spacing w:val="40"/>
          <w:sz w:val="24"/>
        </w:rPr>
        <w:t> </w:t>
      </w:r>
      <w:r>
        <w:rPr>
          <w:sz w:val="24"/>
        </w:rPr>
        <w:t>shall</w:t>
      </w:r>
      <w:r>
        <w:rPr>
          <w:spacing w:val="40"/>
          <w:sz w:val="24"/>
        </w:rPr>
        <w:t> </w:t>
      </w:r>
      <w:r>
        <w:rPr>
          <w:sz w:val="24"/>
        </w:rPr>
        <w:t>be</w:t>
      </w:r>
      <w:r>
        <w:rPr>
          <w:spacing w:val="40"/>
          <w:sz w:val="24"/>
        </w:rPr>
        <w:t> </w:t>
      </w:r>
      <w:r>
        <w:rPr>
          <w:sz w:val="24"/>
        </w:rPr>
        <w:t>permitted.</w:t>
      </w:r>
    </w:p>
    <w:p>
      <w:pPr>
        <w:pStyle w:val="ListParagraph"/>
        <w:numPr>
          <w:ilvl w:val="1"/>
          <w:numId w:val="234"/>
        </w:numPr>
        <w:tabs>
          <w:tab w:pos="2213" w:val="left" w:leader="none"/>
        </w:tabs>
        <w:spacing w:line="281" w:lineRule="exact" w:before="1" w:after="0"/>
        <w:ind w:left="2213" w:right="0" w:hanging="1001"/>
        <w:jc w:val="left"/>
        <w:rPr>
          <w:sz w:val="24"/>
        </w:rPr>
      </w:pPr>
      <w:r>
        <w:rPr>
          <w:sz w:val="24"/>
        </w:rPr>
        <w:t>Smaller</w:t>
      </w:r>
      <w:r>
        <w:rPr>
          <w:spacing w:val="75"/>
          <w:sz w:val="24"/>
        </w:rPr>
        <w:t> </w:t>
      </w:r>
      <w:r>
        <w:rPr>
          <w:spacing w:val="-2"/>
          <w:sz w:val="24"/>
        </w:rPr>
        <w:t>Plots:</w:t>
      </w:r>
    </w:p>
    <w:p>
      <w:pPr>
        <w:pStyle w:val="BodyText"/>
        <w:ind w:left="1212" w:right="777"/>
      </w:pPr>
      <w:r>
        <w:rPr/>
        <w:t>For existing landholders having smaller plots in </w:t>
      </w:r>
      <w:r>
        <w:rPr>
          <w:color w:val="000000"/>
          <w:shd w:fill="FFCCFF" w:color="auto" w:val="clear"/>
        </w:rPr>
        <w:t>SDZ ,</w:t>
      </w:r>
      <w:r>
        <w:rPr>
          <w:color w:val="000000"/>
        </w:rPr>
        <w:t> the provisions of promotion of Tourism through </w:t>
      </w:r>
      <w:r>
        <w:rPr>
          <w:color w:val="000000"/>
          <w:spacing w:val="10"/>
        </w:rPr>
        <w:t>bed-</w:t>
      </w:r>
      <w:r>
        <w:rPr>
          <w:color w:val="000000"/>
          <w:spacing w:val="9"/>
        </w:rPr>
        <w:t>and-</w:t>
      </w:r>
      <w:r>
        <w:rPr>
          <w:color w:val="000000"/>
        </w:rPr>
        <w:t>breakfast type arrangements for tourists</w:t>
      </w:r>
      <w:r>
        <w:rPr>
          <w:color w:val="000000"/>
          <w:spacing w:val="40"/>
        </w:rPr>
        <w:t> </w:t>
      </w:r>
      <w:r>
        <w:rPr>
          <w:color w:val="000000"/>
        </w:rPr>
        <w:t>shall</w:t>
      </w:r>
      <w:r>
        <w:rPr>
          <w:color w:val="000000"/>
          <w:spacing w:val="40"/>
        </w:rPr>
        <w:t> </w:t>
      </w:r>
      <w:r>
        <w:rPr>
          <w:color w:val="000000"/>
        </w:rPr>
        <w:t>be</w:t>
      </w:r>
      <w:r>
        <w:rPr>
          <w:color w:val="000000"/>
          <w:spacing w:val="40"/>
        </w:rPr>
        <w:t> </w:t>
      </w:r>
      <w:r>
        <w:rPr>
          <w:color w:val="000000"/>
        </w:rPr>
        <w:t>permissible,</w:t>
      </w:r>
      <w:r>
        <w:rPr>
          <w:color w:val="000000"/>
          <w:spacing w:val="40"/>
        </w:rPr>
        <w:t> </w:t>
      </w:r>
      <w:r>
        <w:rPr>
          <w:color w:val="000000"/>
        </w:rPr>
        <w:t>approved</w:t>
      </w:r>
      <w:r>
        <w:rPr>
          <w:color w:val="000000"/>
          <w:spacing w:val="40"/>
        </w:rPr>
        <w:t> </w:t>
      </w:r>
      <w:r>
        <w:rPr>
          <w:color w:val="000000"/>
        </w:rPr>
        <w:t>by</w:t>
      </w:r>
      <w:r>
        <w:rPr>
          <w:color w:val="000000"/>
          <w:spacing w:val="40"/>
        </w:rPr>
        <w:t> </w:t>
      </w:r>
      <w:r>
        <w:rPr>
          <w:color w:val="000000"/>
        </w:rPr>
        <w:t>the</w:t>
      </w:r>
      <w:r>
        <w:rPr>
          <w:color w:val="000000"/>
          <w:spacing w:val="40"/>
        </w:rPr>
        <w:t> </w:t>
      </w:r>
      <w:r>
        <w:rPr>
          <w:color w:val="000000"/>
        </w:rPr>
        <w:t>Govt.</w:t>
      </w:r>
      <w:r>
        <w:rPr>
          <w:color w:val="000000"/>
          <w:spacing w:val="40"/>
        </w:rPr>
        <w:t> </w:t>
      </w:r>
      <w:r>
        <w:rPr>
          <w:color w:val="000000"/>
        </w:rPr>
        <w:t>in</w:t>
      </w:r>
      <w:r>
        <w:rPr>
          <w:color w:val="000000"/>
          <w:spacing w:val="40"/>
        </w:rPr>
        <w:t> </w:t>
      </w:r>
      <w:r>
        <w:rPr>
          <w:color w:val="000000"/>
          <w:spacing w:val="9"/>
        </w:rPr>
        <w:t>Urban</w:t>
      </w:r>
      <w:r>
        <w:rPr>
          <w:color w:val="000000"/>
          <w:spacing w:val="80"/>
        </w:rPr>
        <w:t> </w:t>
      </w:r>
      <w:r>
        <w:rPr>
          <w:color w:val="000000"/>
        </w:rPr>
        <w:t>Development</w:t>
      </w:r>
      <w:r>
        <w:rPr>
          <w:color w:val="000000"/>
          <w:spacing w:val="40"/>
        </w:rPr>
        <w:t> </w:t>
      </w:r>
      <w:r>
        <w:rPr>
          <w:color w:val="000000"/>
        </w:rPr>
        <w:t>Department.</w:t>
      </w:r>
      <w:r>
        <w:rPr>
          <w:color w:val="000000"/>
          <w:spacing w:val="40"/>
        </w:rPr>
        <w:t> </w:t>
      </w:r>
      <w:r>
        <w:rPr>
          <w:color w:val="000000"/>
        </w:rPr>
        <w:t>These</w:t>
      </w:r>
      <w:r>
        <w:rPr>
          <w:color w:val="000000"/>
          <w:spacing w:val="40"/>
        </w:rPr>
        <w:t> </w:t>
      </w:r>
      <w:r>
        <w:rPr>
          <w:color w:val="000000"/>
        </w:rPr>
        <w:t>shall</w:t>
      </w:r>
      <w:r>
        <w:rPr>
          <w:color w:val="000000"/>
          <w:spacing w:val="40"/>
        </w:rPr>
        <w:t> </w:t>
      </w:r>
      <w:r>
        <w:rPr>
          <w:color w:val="000000"/>
        </w:rPr>
        <w:t>have</w:t>
      </w:r>
      <w:r>
        <w:rPr>
          <w:color w:val="000000"/>
          <w:spacing w:val="40"/>
        </w:rPr>
        <w:t> </w:t>
      </w:r>
      <w:r>
        <w:rPr>
          <w:color w:val="000000"/>
        </w:rPr>
        <w:t>the</w:t>
      </w:r>
      <w:r>
        <w:rPr>
          <w:color w:val="000000"/>
          <w:spacing w:val="40"/>
        </w:rPr>
        <w:t> </w:t>
      </w:r>
      <w:r>
        <w:rPr>
          <w:color w:val="000000"/>
        </w:rPr>
        <w:t>same</w:t>
      </w:r>
      <w:r>
        <w:rPr>
          <w:color w:val="000000"/>
          <w:spacing w:val="40"/>
        </w:rPr>
        <w:t> </w:t>
      </w:r>
      <w:r>
        <w:rPr>
          <w:color w:val="000000"/>
        </w:rPr>
        <w:t>FSI</w:t>
      </w:r>
      <w:r>
        <w:rPr>
          <w:color w:val="000000"/>
          <w:spacing w:val="40"/>
        </w:rPr>
        <w:t> </w:t>
      </w:r>
      <w:r>
        <w:rPr>
          <w:color w:val="000000"/>
        </w:rPr>
        <w:t>as</w:t>
      </w:r>
      <w:r>
        <w:rPr>
          <w:color w:val="000000"/>
          <w:spacing w:val="40"/>
        </w:rPr>
        <w:t> </w:t>
      </w:r>
      <w:r>
        <w:rPr>
          <w:color w:val="000000"/>
        </w:rPr>
        <w:t>per</w:t>
      </w:r>
      <w:r>
        <w:rPr>
          <w:color w:val="000000"/>
          <w:spacing w:val="40"/>
        </w:rPr>
        <w:t> </w:t>
      </w:r>
      <w:r>
        <w:rPr>
          <w:color w:val="000000"/>
          <w:shd w:fill="FFCCFF" w:color="auto" w:val="clear"/>
        </w:rPr>
        <w:t>(A)(</w:t>
      </w:r>
      <w:r>
        <w:rPr>
          <w:color w:val="000000"/>
        </w:rPr>
        <w:t>VI)</w:t>
      </w:r>
      <w:r>
        <w:rPr>
          <w:color w:val="000000"/>
          <w:spacing w:val="40"/>
        </w:rPr>
        <w:t> </w:t>
      </w:r>
      <w:r>
        <w:rPr>
          <w:color w:val="000000"/>
        </w:rPr>
        <w:t>of this </w:t>
      </w:r>
      <w:r>
        <w:rPr>
          <w:color w:val="000000"/>
          <w:spacing w:val="9"/>
        </w:rPr>
        <w:t>regulation.</w:t>
      </w:r>
    </w:p>
    <w:p>
      <w:pPr>
        <w:pStyle w:val="ListParagraph"/>
        <w:numPr>
          <w:ilvl w:val="1"/>
          <w:numId w:val="234"/>
        </w:numPr>
        <w:tabs>
          <w:tab w:pos="2213" w:val="left" w:leader="none"/>
        </w:tabs>
        <w:spacing w:line="240" w:lineRule="auto" w:before="281" w:after="0"/>
        <w:ind w:left="1212" w:right="777" w:firstLine="0"/>
        <w:jc w:val="left"/>
        <w:rPr>
          <w:sz w:val="24"/>
        </w:rPr>
      </w:pPr>
      <w:r>
        <w:rPr>
          <w:sz w:val="24"/>
        </w:rPr>
        <w:t>Prohibition</w:t>
      </w:r>
      <w:r>
        <w:rPr>
          <w:spacing w:val="40"/>
          <w:sz w:val="24"/>
        </w:rPr>
        <w:t> </w:t>
      </w:r>
      <w:r>
        <w:rPr>
          <w:sz w:val="24"/>
        </w:rPr>
        <w:t>for</w:t>
      </w:r>
      <w:r>
        <w:rPr>
          <w:spacing w:val="40"/>
          <w:sz w:val="24"/>
        </w:rPr>
        <w:t> </w:t>
      </w:r>
      <w:r>
        <w:rPr>
          <w:sz w:val="24"/>
        </w:rPr>
        <w:t>Inclusion</w:t>
      </w:r>
      <w:r>
        <w:rPr>
          <w:spacing w:val="40"/>
          <w:sz w:val="24"/>
        </w:rPr>
        <w:t> </w:t>
      </w:r>
      <w:r>
        <w:rPr>
          <w:sz w:val="24"/>
        </w:rPr>
        <w:t>in</w:t>
      </w:r>
      <w:r>
        <w:rPr>
          <w:spacing w:val="40"/>
          <w:sz w:val="24"/>
        </w:rPr>
        <w:t> </w:t>
      </w:r>
      <w:r>
        <w:rPr>
          <w:sz w:val="24"/>
        </w:rPr>
        <w:t>Tourism</w:t>
      </w:r>
      <w:r>
        <w:rPr>
          <w:spacing w:val="40"/>
          <w:sz w:val="24"/>
        </w:rPr>
        <w:t> </w:t>
      </w:r>
      <w:r>
        <w:rPr>
          <w:sz w:val="24"/>
        </w:rPr>
        <w:t>Development</w:t>
      </w:r>
      <w:r>
        <w:rPr>
          <w:spacing w:val="40"/>
          <w:sz w:val="24"/>
        </w:rPr>
        <w:t> </w:t>
      </w:r>
      <w:r>
        <w:rPr>
          <w:sz w:val="24"/>
        </w:rPr>
        <w:t>Land</w:t>
      </w:r>
      <w:r>
        <w:rPr>
          <w:spacing w:val="40"/>
          <w:sz w:val="24"/>
        </w:rPr>
        <w:t> </w:t>
      </w:r>
      <w:r>
        <w:rPr>
          <w:sz w:val="24"/>
        </w:rPr>
        <w:t>falling</w:t>
      </w:r>
      <w:r>
        <w:rPr>
          <w:spacing w:val="40"/>
          <w:sz w:val="24"/>
        </w:rPr>
        <w:t> </w:t>
      </w:r>
      <w:r>
        <w:rPr>
          <w:sz w:val="24"/>
        </w:rPr>
        <w:t>in</w:t>
      </w:r>
      <w:r>
        <w:rPr>
          <w:spacing w:val="40"/>
          <w:sz w:val="24"/>
        </w:rPr>
        <w:t> </w:t>
      </w:r>
      <w:r>
        <w:rPr>
          <w:sz w:val="24"/>
        </w:rPr>
        <w:t>categories</w:t>
      </w:r>
      <w:r>
        <w:rPr>
          <w:spacing w:val="80"/>
          <w:sz w:val="24"/>
        </w:rPr>
        <w:t> </w:t>
      </w:r>
      <w:r>
        <w:rPr>
          <w:sz w:val="24"/>
        </w:rPr>
        <w:t>specified</w:t>
      </w:r>
      <w:r>
        <w:rPr>
          <w:spacing w:val="80"/>
          <w:sz w:val="24"/>
        </w:rPr>
        <w:t> </w:t>
      </w:r>
      <w:r>
        <w:rPr>
          <w:sz w:val="24"/>
        </w:rPr>
        <w:t>below</w:t>
      </w:r>
      <w:r>
        <w:rPr>
          <w:spacing w:val="80"/>
          <w:sz w:val="24"/>
        </w:rPr>
        <w:t> </w:t>
      </w:r>
      <w:r>
        <w:rPr>
          <w:sz w:val="24"/>
        </w:rPr>
        <w:t>shall</w:t>
      </w:r>
      <w:r>
        <w:rPr>
          <w:spacing w:val="80"/>
          <w:sz w:val="24"/>
        </w:rPr>
        <w:t> </w:t>
      </w:r>
      <w:r>
        <w:rPr>
          <w:sz w:val="24"/>
        </w:rPr>
        <w:t>not</w:t>
      </w:r>
      <w:r>
        <w:rPr>
          <w:spacing w:val="80"/>
          <w:sz w:val="24"/>
        </w:rPr>
        <w:t> </w:t>
      </w:r>
      <w:r>
        <w:rPr>
          <w:sz w:val="24"/>
        </w:rPr>
        <w:t>be</w:t>
      </w:r>
      <w:r>
        <w:rPr>
          <w:spacing w:val="80"/>
          <w:sz w:val="24"/>
        </w:rPr>
        <w:t> </w:t>
      </w:r>
      <w:r>
        <w:rPr>
          <w:sz w:val="24"/>
        </w:rPr>
        <w:t>permissible</w:t>
      </w:r>
      <w:r>
        <w:rPr>
          <w:spacing w:val="80"/>
          <w:sz w:val="24"/>
        </w:rPr>
        <w:t> </w:t>
      </w:r>
      <w:r>
        <w:rPr>
          <w:sz w:val="24"/>
        </w:rPr>
        <w:t>for</w:t>
      </w:r>
      <w:r>
        <w:rPr>
          <w:spacing w:val="80"/>
          <w:sz w:val="24"/>
        </w:rPr>
        <w:t> </w:t>
      </w:r>
      <w:r>
        <w:rPr>
          <w:sz w:val="24"/>
        </w:rPr>
        <w:t>TDA:</w:t>
      </w:r>
    </w:p>
    <w:p>
      <w:pPr>
        <w:pStyle w:val="ListParagraph"/>
        <w:spacing w:after="0" w:line="240" w:lineRule="auto"/>
        <w:jc w:val="left"/>
        <w:rPr>
          <w:sz w:val="24"/>
        </w:rPr>
        <w:sectPr>
          <w:pgSz w:w="11910" w:h="16840"/>
          <w:pgMar w:header="1058" w:footer="1088" w:top="1500" w:bottom="1280" w:left="360" w:right="360"/>
        </w:sectPr>
      </w:pPr>
    </w:p>
    <w:p>
      <w:pPr>
        <w:pStyle w:val="ListParagraph"/>
        <w:numPr>
          <w:ilvl w:val="2"/>
          <w:numId w:val="234"/>
        </w:numPr>
        <w:tabs>
          <w:tab w:pos="1608" w:val="left" w:leader="none"/>
        </w:tabs>
        <w:spacing w:line="240" w:lineRule="auto" w:before="255" w:after="0"/>
        <w:ind w:left="1212" w:right="799" w:firstLine="0"/>
        <w:jc w:val="both"/>
        <w:rPr>
          <w:sz w:val="24"/>
        </w:rPr>
      </w:pPr>
      <w:r>
        <w:rPr>
          <w:sz w:val="24"/>
        </w:rPr>
        <w:t>Lands</w:t>
      </w:r>
      <w:r>
        <w:rPr>
          <w:spacing w:val="40"/>
          <w:sz w:val="24"/>
        </w:rPr>
        <w:t> </w:t>
      </w:r>
      <w:r>
        <w:rPr>
          <w:sz w:val="24"/>
        </w:rPr>
        <w:t>affected</w:t>
      </w:r>
      <w:r>
        <w:rPr>
          <w:spacing w:val="40"/>
          <w:sz w:val="24"/>
        </w:rPr>
        <w:t> </w:t>
      </w:r>
      <w:r>
        <w:rPr>
          <w:sz w:val="24"/>
        </w:rPr>
        <w:t>beyond</w:t>
      </w:r>
      <w:r>
        <w:rPr>
          <w:spacing w:val="40"/>
          <w:sz w:val="24"/>
        </w:rPr>
        <w:t> </w:t>
      </w:r>
      <w:r>
        <w:rPr>
          <w:sz w:val="24"/>
        </w:rPr>
        <w:t>permissible</w:t>
      </w:r>
      <w:r>
        <w:rPr>
          <w:spacing w:val="40"/>
          <w:sz w:val="24"/>
        </w:rPr>
        <w:t> </w:t>
      </w:r>
      <w:r>
        <w:rPr>
          <w:sz w:val="24"/>
        </w:rPr>
        <w:t>levels</w:t>
      </w:r>
      <w:r>
        <w:rPr>
          <w:spacing w:val="40"/>
          <w:sz w:val="24"/>
        </w:rPr>
        <w:t> </w:t>
      </w:r>
      <w:r>
        <w:rPr>
          <w:sz w:val="24"/>
        </w:rPr>
        <w:t>by</w:t>
      </w:r>
      <w:r>
        <w:rPr>
          <w:spacing w:val="40"/>
          <w:sz w:val="24"/>
        </w:rPr>
        <w:t> </w:t>
      </w:r>
      <w:r>
        <w:rPr>
          <w:sz w:val="24"/>
        </w:rPr>
        <w:t>pollution</w:t>
      </w:r>
      <w:r>
        <w:rPr>
          <w:spacing w:val="40"/>
          <w:sz w:val="24"/>
        </w:rPr>
        <w:t> </w:t>
      </w:r>
      <w:r>
        <w:rPr>
          <w:sz w:val="24"/>
        </w:rPr>
        <w:t>in</w:t>
      </w:r>
      <w:r>
        <w:rPr>
          <w:spacing w:val="40"/>
          <w:sz w:val="24"/>
        </w:rPr>
        <w:t> </w:t>
      </w:r>
      <w:r>
        <w:rPr>
          <w:sz w:val="24"/>
        </w:rPr>
        <w:t>land,</w:t>
      </w:r>
      <w:r>
        <w:rPr>
          <w:spacing w:val="40"/>
          <w:sz w:val="24"/>
        </w:rPr>
        <w:t> </w:t>
      </w:r>
      <w:r>
        <w:rPr>
          <w:sz w:val="24"/>
        </w:rPr>
        <w:t>water and</w:t>
      </w:r>
      <w:r>
        <w:rPr>
          <w:spacing w:val="40"/>
          <w:sz w:val="24"/>
        </w:rPr>
        <w:t> </w:t>
      </w:r>
      <w:r>
        <w:rPr>
          <w:sz w:val="24"/>
        </w:rPr>
        <w:t>air,</w:t>
      </w:r>
      <w:r>
        <w:rPr>
          <w:spacing w:val="40"/>
          <w:sz w:val="24"/>
        </w:rPr>
        <w:t> </w:t>
      </w:r>
      <w:r>
        <w:rPr>
          <w:sz w:val="24"/>
        </w:rPr>
        <w:t>as</w:t>
      </w:r>
      <w:r>
        <w:rPr>
          <w:spacing w:val="40"/>
          <w:sz w:val="24"/>
        </w:rPr>
        <w:t> </w:t>
      </w:r>
      <w:r>
        <w:rPr>
          <w:sz w:val="24"/>
        </w:rPr>
        <w:t>may</w:t>
      </w:r>
      <w:r>
        <w:rPr>
          <w:spacing w:val="40"/>
          <w:sz w:val="24"/>
        </w:rPr>
        <w:t> </w:t>
      </w:r>
      <w:r>
        <w:rPr>
          <w:sz w:val="24"/>
        </w:rPr>
        <w:t>be</w:t>
      </w:r>
      <w:r>
        <w:rPr>
          <w:spacing w:val="40"/>
          <w:sz w:val="24"/>
        </w:rPr>
        <w:t> </w:t>
      </w:r>
      <w:r>
        <w:rPr>
          <w:sz w:val="24"/>
        </w:rPr>
        <w:t>decided</w:t>
      </w:r>
      <w:r>
        <w:rPr>
          <w:spacing w:val="40"/>
          <w:sz w:val="24"/>
        </w:rPr>
        <w:t> </w:t>
      </w:r>
      <w:r>
        <w:rPr>
          <w:sz w:val="24"/>
        </w:rPr>
        <w:t>and</w:t>
      </w:r>
      <w:r>
        <w:rPr>
          <w:spacing w:val="40"/>
          <w:sz w:val="24"/>
        </w:rPr>
        <w:t> </w:t>
      </w:r>
      <w:r>
        <w:rPr>
          <w:sz w:val="24"/>
        </w:rPr>
        <w:t>certified</w:t>
      </w:r>
      <w:r>
        <w:rPr>
          <w:spacing w:val="40"/>
          <w:sz w:val="24"/>
        </w:rPr>
        <w:t> </w:t>
      </w:r>
      <w:r>
        <w:rPr>
          <w:sz w:val="24"/>
        </w:rPr>
        <w:t>by</w:t>
      </w:r>
      <w:r>
        <w:rPr>
          <w:spacing w:val="40"/>
          <w:sz w:val="24"/>
        </w:rPr>
        <w:t> </w:t>
      </w:r>
      <w:r>
        <w:rPr>
          <w:sz w:val="24"/>
        </w:rPr>
        <w:t>the</w:t>
      </w:r>
      <w:r>
        <w:rPr>
          <w:spacing w:val="40"/>
          <w:sz w:val="24"/>
        </w:rPr>
        <w:t> </w:t>
      </w:r>
      <w:r>
        <w:rPr>
          <w:sz w:val="24"/>
        </w:rPr>
        <w:t>MPCB.</w:t>
      </w:r>
    </w:p>
    <w:p>
      <w:pPr>
        <w:pStyle w:val="ListParagraph"/>
        <w:numPr>
          <w:ilvl w:val="2"/>
          <w:numId w:val="234"/>
        </w:numPr>
        <w:tabs>
          <w:tab w:pos="1448" w:val="left" w:leader="none"/>
        </w:tabs>
        <w:spacing w:line="240" w:lineRule="auto" w:before="240" w:after="0"/>
        <w:ind w:left="1448" w:right="0" w:hanging="248"/>
        <w:jc w:val="both"/>
        <w:rPr>
          <w:sz w:val="24"/>
        </w:rPr>
      </w:pPr>
      <w:r>
        <w:rPr>
          <w:sz w:val="24"/>
        </w:rPr>
        <w:t>Lands</w:t>
      </w:r>
      <w:r>
        <w:rPr>
          <w:spacing w:val="52"/>
          <w:sz w:val="24"/>
        </w:rPr>
        <w:t> </w:t>
      </w:r>
      <w:r>
        <w:rPr>
          <w:sz w:val="24"/>
        </w:rPr>
        <w:t>covered</w:t>
      </w:r>
      <w:r>
        <w:rPr>
          <w:spacing w:val="53"/>
          <w:sz w:val="24"/>
        </w:rPr>
        <w:t> </w:t>
      </w:r>
      <w:r>
        <w:rPr>
          <w:sz w:val="24"/>
        </w:rPr>
        <w:t>by</w:t>
      </w:r>
      <w:r>
        <w:rPr>
          <w:spacing w:val="55"/>
          <w:sz w:val="24"/>
        </w:rPr>
        <w:t> </w:t>
      </w:r>
      <w:r>
        <w:rPr>
          <w:spacing w:val="7"/>
          <w:sz w:val="24"/>
        </w:rPr>
        <w:t>mangroves.</w:t>
      </w:r>
    </w:p>
    <w:p>
      <w:pPr>
        <w:pStyle w:val="ListParagraph"/>
        <w:numPr>
          <w:ilvl w:val="2"/>
          <w:numId w:val="234"/>
        </w:numPr>
        <w:tabs>
          <w:tab w:pos="1548" w:val="left" w:leader="none"/>
        </w:tabs>
        <w:spacing w:line="240" w:lineRule="auto" w:before="242" w:after="0"/>
        <w:ind w:left="1212" w:right="777" w:firstLine="0"/>
        <w:jc w:val="both"/>
        <w:rPr>
          <w:sz w:val="24"/>
        </w:rPr>
      </w:pPr>
      <w:r>
        <w:rPr>
          <w:sz w:val="24"/>
        </w:rPr>
        <w:t>Areas from </w:t>
      </w:r>
      <w:r>
        <w:rPr>
          <w:color w:val="000000"/>
          <w:sz w:val="24"/>
          <w:shd w:fill="FFCCFF" w:color="auto" w:val="clear"/>
        </w:rPr>
        <w:t>SDZ </w:t>
      </w:r>
      <w:r>
        <w:rPr>
          <w:color w:val="000000"/>
          <w:sz w:val="24"/>
        </w:rPr>
        <w:t> directly abutting the Residential Zone without </w:t>
      </w:r>
      <w:r>
        <w:rPr>
          <w:color w:val="000000"/>
          <w:spacing w:val="9"/>
          <w:sz w:val="24"/>
        </w:rPr>
        <w:t>being </w:t>
      </w:r>
      <w:r>
        <w:rPr>
          <w:color w:val="000000"/>
          <w:sz w:val="24"/>
        </w:rPr>
        <w:t>separated</w:t>
      </w:r>
      <w:r>
        <w:rPr>
          <w:color w:val="000000"/>
          <w:spacing w:val="40"/>
          <w:sz w:val="24"/>
        </w:rPr>
        <w:t> </w:t>
      </w:r>
      <w:r>
        <w:rPr>
          <w:color w:val="000000"/>
          <w:sz w:val="24"/>
        </w:rPr>
        <w:t>by</w:t>
      </w:r>
      <w:r>
        <w:rPr>
          <w:color w:val="000000"/>
          <w:spacing w:val="40"/>
          <w:sz w:val="24"/>
        </w:rPr>
        <w:t> </w:t>
      </w:r>
      <w:r>
        <w:rPr>
          <w:color w:val="000000"/>
          <w:sz w:val="24"/>
        </w:rPr>
        <w:t>road</w:t>
      </w:r>
      <w:r>
        <w:rPr>
          <w:color w:val="000000"/>
          <w:spacing w:val="40"/>
          <w:sz w:val="24"/>
        </w:rPr>
        <w:t> </w:t>
      </w:r>
      <w:r>
        <w:rPr>
          <w:color w:val="000000"/>
          <w:sz w:val="24"/>
        </w:rPr>
        <w:t>having</w:t>
      </w:r>
      <w:r>
        <w:rPr>
          <w:color w:val="000000"/>
          <w:spacing w:val="40"/>
          <w:sz w:val="24"/>
        </w:rPr>
        <w:t> </w:t>
      </w:r>
      <w:r>
        <w:rPr>
          <w:color w:val="000000"/>
          <w:sz w:val="24"/>
        </w:rPr>
        <w:t>width</w:t>
      </w:r>
      <w:r>
        <w:rPr>
          <w:color w:val="000000"/>
          <w:spacing w:val="40"/>
          <w:sz w:val="24"/>
        </w:rPr>
        <w:t> </w:t>
      </w:r>
      <w:r>
        <w:rPr>
          <w:color w:val="000000"/>
          <w:sz w:val="24"/>
        </w:rPr>
        <w:t>not</w:t>
      </w:r>
      <w:r>
        <w:rPr>
          <w:color w:val="000000"/>
          <w:spacing w:val="40"/>
          <w:sz w:val="24"/>
        </w:rPr>
        <w:t> </w:t>
      </w:r>
      <w:r>
        <w:rPr>
          <w:color w:val="000000"/>
          <w:sz w:val="24"/>
        </w:rPr>
        <w:t>less</w:t>
      </w:r>
      <w:r>
        <w:rPr>
          <w:color w:val="000000"/>
          <w:spacing w:val="40"/>
          <w:sz w:val="24"/>
        </w:rPr>
        <w:t> </w:t>
      </w:r>
      <w:r>
        <w:rPr>
          <w:color w:val="000000"/>
          <w:sz w:val="24"/>
        </w:rPr>
        <w:t>than</w:t>
      </w:r>
      <w:r>
        <w:rPr>
          <w:color w:val="000000"/>
          <w:spacing w:val="40"/>
          <w:sz w:val="24"/>
        </w:rPr>
        <w:t> </w:t>
      </w:r>
      <w:r>
        <w:rPr>
          <w:color w:val="000000"/>
          <w:sz w:val="24"/>
        </w:rPr>
        <w:t>18.30</w:t>
      </w:r>
      <w:r>
        <w:rPr>
          <w:color w:val="000000"/>
          <w:spacing w:val="40"/>
          <w:sz w:val="24"/>
        </w:rPr>
        <w:t> </w:t>
      </w:r>
      <w:r>
        <w:rPr>
          <w:color w:val="000000"/>
          <w:sz w:val="24"/>
        </w:rPr>
        <w:t>m.</w:t>
      </w:r>
    </w:p>
    <w:p>
      <w:pPr>
        <w:pStyle w:val="ListParagraph"/>
        <w:numPr>
          <w:ilvl w:val="1"/>
          <w:numId w:val="234"/>
        </w:numPr>
        <w:tabs>
          <w:tab w:pos="2211" w:val="left" w:leader="none"/>
        </w:tabs>
        <w:spacing w:line="240" w:lineRule="auto" w:before="238" w:after="0"/>
        <w:ind w:left="2211" w:right="0" w:hanging="999"/>
        <w:jc w:val="both"/>
        <w:rPr>
          <w:sz w:val="24"/>
        </w:rPr>
      </w:pPr>
      <w:r>
        <w:rPr>
          <w:spacing w:val="4"/>
          <w:sz w:val="24"/>
        </w:rPr>
        <w:t>Infrastructural</w:t>
      </w:r>
      <w:r>
        <w:rPr>
          <w:spacing w:val="49"/>
          <w:w w:val="150"/>
          <w:sz w:val="24"/>
        </w:rPr>
        <w:t> </w:t>
      </w:r>
      <w:r>
        <w:rPr>
          <w:spacing w:val="-2"/>
          <w:sz w:val="24"/>
        </w:rPr>
        <w:t>Facilities:</w:t>
      </w:r>
    </w:p>
    <w:p>
      <w:pPr>
        <w:pStyle w:val="BodyText"/>
        <w:spacing w:before="1"/>
        <w:ind w:left="1212" w:right="782"/>
      </w:pPr>
      <w:r>
        <w:rPr/>
        <w:t>All the infrastructural facilities required on site and as </w:t>
      </w:r>
      <w:r>
        <w:rPr>
          <w:spacing w:val="10"/>
        </w:rPr>
        <w:t>specified </w:t>
      </w:r>
      <w:r>
        <w:rPr/>
        <w:t>by the MCGM</w:t>
      </w:r>
      <w:r>
        <w:rPr>
          <w:spacing w:val="40"/>
        </w:rPr>
        <w:t> </w:t>
      </w:r>
      <w:r>
        <w:rPr/>
        <w:t>shall</w:t>
      </w:r>
      <w:r>
        <w:rPr>
          <w:spacing w:val="40"/>
        </w:rPr>
        <w:t> </w:t>
      </w:r>
      <w:r>
        <w:rPr/>
        <w:t>be</w:t>
      </w:r>
      <w:r>
        <w:rPr>
          <w:spacing w:val="40"/>
        </w:rPr>
        <w:t> </w:t>
      </w:r>
      <w:r>
        <w:rPr/>
        <w:t>provided</w:t>
      </w:r>
      <w:r>
        <w:rPr>
          <w:spacing w:val="40"/>
        </w:rPr>
        <w:t> </w:t>
      </w:r>
      <w:r>
        <w:rPr/>
        <w:t>by</w:t>
      </w:r>
      <w:r>
        <w:rPr>
          <w:spacing w:val="40"/>
        </w:rPr>
        <w:t> </w:t>
      </w:r>
      <w:r>
        <w:rPr/>
        <w:t>the</w:t>
      </w:r>
      <w:r>
        <w:rPr>
          <w:spacing w:val="40"/>
        </w:rPr>
        <w:t> </w:t>
      </w:r>
      <w:r>
        <w:rPr/>
        <w:t>developer</w:t>
      </w:r>
      <w:r>
        <w:rPr>
          <w:spacing w:val="40"/>
        </w:rPr>
        <w:t> </w:t>
      </w:r>
      <w:r>
        <w:rPr/>
        <w:t>at</w:t>
      </w:r>
      <w:r>
        <w:rPr>
          <w:spacing w:val="40"/>
        </w:rPr>
        <w:t> </w:t>
      </w:r>
      <w:r>
        <w:rPr/>
        <w:t>his</w:t>
      </w:r>
      <w:r>
        <w:rPr>
          <w:spacing w:val="40"/>
        </w:rPr>
        <w:t> </w:t>
      </w:r>
      <w:r>
        <w:rPr/>
        <w:t>own</w:t>
      </w:r>
      <w:r>
        <w:rPr>
          <w:spacing w:val="40"/>
        </w:rPr>
        <w:t> </w:t>
      </w:r>
      <w:r>
        <w:rPr/>
        <w:t>cost</w:t>
      </w:r>
      <w:r>
        <w:rPr>
          <w:spacing w:val="40"/>
        </w:rPr>
        <w:t> </w:t>
      </w:r>
      <w:r>
        <w:rPr/>
        <w:t>on</w:t>
      </w:r>
      <w:r>
        <w:rPr>
          <w:spacing w:val="40"/>
        </w:rPr>
        <w:t> </w:t>
      </w:r>
      <w:r>
        <w:rPr/>
        <w:t>the</w:t>
      </w:r>
      <w:r>
        <w:rPr>
          <w:spacing w:val="40"/>
        </w:rPr>
        <w:t> </w:t>
      </w:r>
      <w:r>
        <w:rPr/>
        <w:t>site. Proper arrangement for treatment and disposal of sewage and sullage and solid</w:t>
      </w:r>
      <w:r>
        <w:rPr>
          <w:spacing w:val="40"/>
        </w:rPr>
        <w:t> </w:t>
      </w:r>
      <w:r>
        <w:rPr/>
        <w:t>wastes</w:t>
      </w:r>
      <w:r>
        <w:rPr>
          <w:spacing w:val="40"/>
        </w:rPr>
        <w:t> </w:t>
      </w:r>
      <w:r>
        <w:rPr/>
        <w:t>shall</w:t>
      </w:r>
      <w:r>
        <w:rPr>
          <w:spacing w:val="40"/>
        </w:rPr>
        <w:t> </w:t>
      </w:r>
      <w:r>
        <w:rPr/>
        <w:t>be</w:t>
      </w:r>
      <w:r>
        <w:rPr>
          <w:spacing w:val="40"/>
        </w:rPr>
        <w:t> </w:t>
      </w:r>
      <w:r>
        <w:rPr/>
        <w:t>made</w:t>
      </w:r>
      <w:r>
        <w:rPr>
          <w:spacing w:val="40"/>
        </w:rPr>
        <w:t> </w:t>
      </w:r>
      <w:r>
        <w:rPr/>
        <w:t>to</w:t>
      </w:r>
      <w:r>
        <w:rPr>
          <w:spacing w:val="40"/>
        </w:rPr>
        <w:t> </w:t>
      </w:r>
      <w:r>
        <w:rPr/>
        <w:t>the</w:t>
      </w:r>
      <w:r>
        <w:rPr>
          <w:spacing w:val="40"/>
        </w:rPr>
        <w:t> </w:t>
      </w:r>
      <w:r>
        <w:rPr/>
        <w:t>satisfaction</w:t>
      </w:r>
      <w:r>
        <w:rPr>
          <w:spacing w:val="40"/>
        </w:rPr>
        <w:t> </w:t>
      </w:r>
      <w:r>
        <w:rPr/>
        <w:t>of</w:t>
      </w:r>
      <w:r>
        <w:rPr>
          <w:spacing w:val="40"/>
        </w:rPr>
        <w:t> </w:t>
      </w:r>
      <w:r>
        <w:rPr/>
        <w:t>the</w:t>
      </w:r>
      <w:r>
        <w:rPr>
          <w:spacing w:val="40"/>
        </w:rPr>
        <w:t> </w:t>
      </w:r>
      <w:r>
        <w:rPr/>
        <w:t>MCGM</w:t>
      </w:r>
      <w:r>
        <w:rPr>
          <w:spacing w:val="40"/>
        </w:rPr>
        <w:t> </w:t>
      </w:r>
      <w:r>
        <w:rPr/>
        <w:t>and</w:t>
      </w:r>
      <w:r>
        <w:rPr>
          <w:spacing w:val="40"/>
        </w:rPr>
        <w:t> </w:t>
      </w:r>
      <w:r>
        <w:rPr/>
        <w:t>MPCB.</w:t>
      </w:r>
      <w:r>
        <w:rPr>
          <w:spacing w:val="40"/>
        </w:rPr>
        <w:t> </w:t>
      </w:r>
      <w:r>
        <w:rPr/>
        <w:t>No</w:t>
      </w:r>
      <w:r>
        <w:rPr>
          <w:spacing w:val="40"/>
        </w:rPr>
        <w:t> </w:t>
      </w:r>
      <w:r>
        <w:rPr/>
        <w:t>untreated</w:t>
      </w:r>
      <w:r>
        <w:rPr>
          <w:spacing w:val="40"/>
        </w:rPr>
        <w:t> </w:t>
      </w:r>
      <w:r>
        <w:rPr/>
        <w:t>effluent</w:t>
      </w:r>
      <w:r>
        <w:rPr>
          <w:spacing w:val="40"/>
        </w:rPr>
        <w:t> </w:t>
      </w:r>
      <w:r>
        <w:rPr/>
        <w:t>shall</w:t>
      </w:r>
      <w:r>
        <w:rPr>
          <w:spacing w:val="40"/>
        </w:rPr>
        <w:t> </w:t>
      </w:r>
      <w:r>
        <w:rPr/>
        <w:t>be</w:t>
      </w:r>
      <w:r>
        <w:rPr>
          <w:spacing w:val="9"/>
        </w:rPr>
        <w:t> allowed </w:t>
      </w:r>
      <w:r>
        <w:rPr/>
        <w:t>to</w:t>
      </w:r>
      <w:r>
        <w:rPr>
          <w:spacing w:val="40"/>
        </w:rPr>
        <w:t> </w:t>
      </w:r>
      <w:r>
        <w:rPr/>
        <w:t>pass</w:t>
      </w:r>
      <w:r>
        <w:rPr>
          <w:spacing w:val="40"/>
        </w:rPr>
        <w:t> </w:t>
      </w:r>
      <w:r>
        <w:rPr/>
        <w:t>into</w:t>
      </w:r>
      <w:r>
        <w:rPr>
          <w:spacing w:val="40"/>
        </w:rPr>
        <w:t> </w:t>
      </w:r>
      <w:r>
        <w:rPr/>
        <w:t>the</w:t>
      </w:r>
      <w:r>
        <w:rPr>
          <w:spacing w:val="40"/>
        </w:rPr>
        <w:t> </w:t>
      </w:r>
      <w:r>
        <w:rPr/>
        <w:t>sea</w:t>
      </w:r>
      <w:r>
        <w:rPr>
          <w:spacing w:val="40"/>
        </w:rPr>
        <w:t> </w:t>
      </w:r>
      <w:r>
        <w:rPr/>
        <w:t>or</w:t>
      </w:r>
      <w:r>
        <w:rPr>
          <w:spacing w:val="40"/>
        </w:rPr>
        <w:t> </w:t>
      </w:r>
      <w:r>
        <w:rPr/>
        <w:t>any</w:t>
      </w:r>
      <w:r>
        <w:rPr>
          <w:spacing w:val="40"/>
        </w:rPr>
        <w:t> </w:t>
      </w:r>
      <w:r>
        <w:rPr/>
        <w:t>water </w:t>
      </w:r>
      <w:r>
        <w:rPr>
          <w:spacing w:val="-2"/>
        </w:rPr>
        <w:t>body.</w:t>
      </w:r>
    </w:p>
    <w:p>
      <w:pPr>
        <w:pStyle w:val="ListParagraph"/>
        <w:numPr>
          <w:ilvl w:val="1"/>
          <w:numId w:val="234"/>
        </w:numPr>
        <w:tabs>
          <w:tab w:pos="2210" w:val="left" w:leader="none"/>
        </w:tabs>
        <w:spacing w:line="281" w:lineRule="exact" w:before="240" w:after="0"/>
        <w:ind w:left="2210" w:right="0" w:hanging="998"/>
        <w:jc w:val="both"/>
        <w:rPr>
          <w:sz w:val="24"/>
        </w:rPr>
      </w:pPr>
      <w:r>
        <w:rPr>
          <w:sz w:val="24"/>
        </w:rPr>
        <w:t>Reserved</w:t>
      </w:r>
      <w:r>
        <w:rPr>
          <w:spacing w:val="63"/>
          <w:sz w:val="24"/>
        </w:rPr>
        <w:t> </w:t>
      </w:r>
      <w:r>
        <w:rPr>
          <w:sz w:val="24"/>
        </w:rPr>
        <w:t>Sites</w:t>
      </w:r>
      <w:r>
        <w:rPr>
          <w:spacing w:val="64"/>
          <w:sz w:val="24"/>
        </w:rPr>
        <w:t> </w:t>
      </w:r>
      <w:r>
        <w:rPr>
          <w:sz w:val="24"/>
        </w:rPr>
        <w:t>for</w:t>
      </w:r>
      <w:r>
        <w:rPr>
          <w:spacing w:val="64"/>
          <w:sz w:val="24"/>
        </w:rPr>
        <w:t> </w:t>
      </w:r>
      <w:r>
        <w:rPr>
          <w:sz w:val="24"/>
        </w:rPr>
        <w:t>Tourism</w:t>
      </w:r>
      <w:r>
        <w:rPr>
          <w:spacing w:val="64"/>
          <w:sz w:val="24"/>
        </w:rPr>
        <w:t> </w:t>
      </w:r>
      <w:r>
        <w:rPr>
          <w:spacing w:val="7"/>
          <w:sz w:val="24"/>
        </w:rPr>
        <w:t>Development:</w:t>
      </w:r>
    </w:p>
    <w:p>
      <w:pPr>
        <w:pStyle w:val="BodyText"/>
        <w:ind w:left="1212" w:right="780"/>
      </w:pPr>
      <w:r>
        <w:rPr/>
        <w:t>Where</w:t>
      </w:r>
      <w:r>
        <w:rPr>
          <w:spacing w:val="40"/>
        </w:rPr>
        <w:t> </w:t>
      </w:r>
      <w:r>
        <w:rPr/>
        <w:t>the</w:t>
      </w:r>
      <w:r>
        <w:rPr>
          <w:spacing w:val="40"/>
        </w:rPr>
        <w:t> </w:t>
      </w:r>
      <w:r>
        <w:rPr/>
        <w:t>lands</w:t>
      </w:r>
      <w:r>
        <w:rPr>
          <w:spacing w:val="40"/>
        </w:rPr>
        <w:t> </w:t>
      </w:r>
      <w:r>
        <w:rPr/>
        <w:t>are</w:t>
      </w:r>
      <w:r>
        <w:rPr>
          <w:spacing w:val="40"/>
        </w:rPr>
        <w:t> </w:t>
      </w:r>
      <w:r>
        <w:rPr/>
        <w:t>located</w:t>
      </w:r>
      <w:r>
        <w:rPr>
          <w:spacing w:val="40"/>
        </w:rPr>
        <w:t> </w:t>
      </w:r>
      <w:r>
        <w:rPr/>
        <w:t>in</w:t>
      </w:r>
      <w:r>
        <w:rPr>
          <w:spacing w:val="40"/>
        </w:rPr>
        <w:t> </w:t>
      </w:r>
      <w:r>
        <w:rPr/>
        <w:t>a</w:t>
      </w:r>
      <w:r>
        <w:rPr>
          <w:spacing w:val="40"/>
        </w:rPr>
        <w:t> </w:t>
      </w:r>
      <w:r>
        <w:rPr/>
        <w:t>unique/unusual</w:t>
      </w:r>
      <w:r>
        <w:rPr>
          <w:spacing w:val="40"/>
        </w:rPr>
        <w:t> </w:t>
      </w:r>
      <w:r>
        <w:rPr/>
        <w:t>area,</w:t>
      </w:r>
      <w:r>
        <w:rPr>
          <w:spacing w:val="40"/>
        </w:rPr>
        <w:t> </w:t>
      </w:r>
      <w:r>
        <w:rPr/>
        <w:t>particularly suitable</w:t>
      </w:r>
      <w:r>
        <w:rPr>
          <w:spacing w:val="40"/>
        </w:rPr>
        <w:t> </w:t>
      </w:r>
      <w:r>
        <w:rPr/>
        <w:t>for</w:t>
      </w:r>
      <w:r>
        <w:rPr>
          <w:spacing w:val="40"/>
        </w:rPr>
        <w:t> </w:t>
      </w:r>
      <w:r>
        <w:rPr/>
        <w:t>development</w:t>
      </w:r>
      <w:r>
        <w:rPr>
          <w:spacing w:val="40"/>
        </w:rPr>
        <w:t> </w:t>
      </w:r>
      <w:r>
        <w:rPr/>
        <w:t>of</w:t>
      </w:r>
      <w:r>
        <w:rPr>
          <w:spacing w:val="40"/>
        </w:rPr>
        <w:t> </w:t>
      </w:r>
      <w:r>
        <w:rPr/>
        <w:t>tourism</w:t>
      </w:r>
      <w:r>
        <w:rPr>
          <w:spacing w:val="40"/>
        </w:rPr>
        <w:t> </w:t>
      </w:r>
      <w:r>
        <w:rPr/>
        <w:t>in</w:t>
      </w:r>
      <w:r>
        <w:rPr>
          <w:spacing w:val="40"/>
        </w:rPr>
        <w:t> </w:t>
      </w:r>
      <w:r>
        <w:rPr/>
        <w:t>view</w:t>
      </w:r>
      <w:r>
        <w:rPr>
          <w:spacing w:val="40"/>
        </w:rPr>
        <w:t> </w:t>
      </w:r>
      <w:r>
        <w:rPr/>
        <w:t>of</w:t>
      </w:r>
      <w:r>
        <w:rPr>
          <w:spacing w:val="40"/>
        </w:rPr>
        <w:t> </w:t>
      </w:r>
      <w:r>
        <w:rPr/>
        <w:t>an</w:t>
      </w:r>
      <w:r>
        <w:rPr>
          <w:spacing w:val="40"/>
        </w:rPr>
        <w:t> </w:t>
      </w:r>
      <w:r>
        <w:rPr/>
        <w:t>existing</w:t>
      </w:r>
      <w:r>
        <w:rPr>
          <w:spacing w:val="40"/>
        </w:rPr>
        <w:t> </w:t>
      </w:r>
      <w:r>
        <w:rPr/>
        <w:t>water</w:t>
      </w:r>
      <w:r>
        <w:rPr>
          <w:spacing w:val="40"/>
        </w:rPr>
        <w:t> </w:t>
      </w:r>
      <w:r>
        <w:rPr/>
        <w:t>body, scenic</w:t>
      </w:r>
      <w:r>
        <w:rPr>
          <w:spacing w:val="80"/>
        </w:rPr>
        <w:t> </w:t>
      </w:r>
      <w:r>
        <w:rPr/>
        <w:t>beauty,</w:t>
      </w:r>
      <w:r>
        <w:rPr>
          <w:spacing w:val="80"/>
        </w:rPr>
        <w:t> </w:t>
      </w:r>
      <w:r>
        <w:rPr/>
        <w:t>tree</w:t>
      </w:r>
      <w:r>
        <w:rPr>
          <w:spacing w:val="80"/>
        </w:rPr>
        <w:t> </w:t>
      </w:r>
      <w:r>
        <w:rPr/>
        <w:t>plantations</w:t>
      </w:r>
      <w:r>
        <w:rPr>
          <w:spacing w:val="80"/>
        </w:rPr>
        <w:t> </w:t>
      </w:r>
      <w:r>
        <w:rPr/>
        <w:t>or</w:t>
      </w:r>
      <w:r>
        <w:rPr>
          <w:spacing w:val="80"/>
        </w:rPr>
        <w:t> </w:t>
      </w:r>
      <w:r>
        <w:rPr>
          <w:spacing w:val="9"/>
        </w:rPr>
        <w:t>geological</w:t>
      </w:r>
      <w:r>
        <w:rPr>
          <w:spacing w:val="80"/>
        </w:rPr>
        <w:t> </w:t>
      </w:r>
      <w:r>
        <w:rPr/>
        <w:t>formation</w:t>
      </w:r>
      <w:r>
        <w:rPr>
          <w:spacing w:val="80"/>
        </w:rPr>
        <w:t> </w:t>
      </w:r>
      <w:r>
        <w:rPr/>
        <w:t>can</w:t>
      </w:r>
      <w:r>
        <w:rPr>
          <w:spacing w:val="80"/>
        </w:rPr>
        <w:t> </w:t>
      </w:r>
      <w:r>
        <w:rPr/>
        <w:t>be</w:t>
      </w:r>
      <w:r>
        <w:rPr>
          <w:spacing w:val="80"/>
        </w:rPr>
        <w:t> </w:t>
      </w:r>
      <w:r>
        <w:rPr/>
        <w:t>specified as</w:t>
      </w:r>
      <w:r>
        <w:rPr>
          <w:spacing w:val="62"/>
        </w:rPr>
        <w:t> </w:t>
      </w:r>
      <w:r>
        <w:rPr/>
        <w:t>TDA.</w:t>
      </w:r>
      <w:r>
        <w:rPr>
          <w:spacing w:val="65"/>
        </w:rPr>
        <w:t> </w:t>
      </w:r>
      <w:r>
        <w:rPr/>
        <w:t>The</w:t>
      </w:r>
      <w:r>
        <w:rPr>
          <w:spacing w:val="62"/>
        </w:rPr>
        <w:t> </w:t>
      </w:r>
      <w:r>
        <w:rPr/>
        <w:t>minimum</w:t>
      </w:r>
      <w:r>
        <w:rPr>
          <w:spacing w:val="62"/>
        </w:rPr>
        <w:t> </w:t>
      </w:r>
      <w:r>
        <w:rPr/>
        <w:t>area</w:t>
      </w:r>
      <w:r>
        <w:rPr>
          <w:spacing w:val="64"/>
        </w:rPr>
        <w:t> </w:t>
      </w:r>
      <w:r>
        <w:rPr/>
        <w:t>of</w:t>
      </w:r>
      <w:r>
        <w:rPr>
          <w:spacing w:val="62"/>
        </w:rPr>
        <w:t> </w:t>
      </w:r>
      <w:r>
        <w:rPr/>
        <w:t>such</w:t>
      </w:r>
      <w:r>
        <w:rPr>
          <w:spacing w:val="64"/>
        </w:rPr>
        <w:t> </w:t>
      </w:r>
      <w:r>
        <w:rPr/>
        <w:t>site</w:t>
      </w:r>
      <w:r>
        <w:rPr>
          <w:spacing w:val="62"/>
        </w:rPr>
        <w:t> </w:t>
      </w:r>
      <w:r>
        <w:rPr/>
        <w:t>however</w:t>
      </w:r>
      <w:r>
        <w:rPr>
          <w:spacing w:val="62"/>
        </w:rPr>
        <w:t> </w:t>
      </w:r>
      <w:r>
        <w:rPr/>
        <w:t>shall</w:t>
      </w:r>
      <w:r>
        <w:rPr>
          <w:spacing w:val="65"/>
        </w:rPr>
        <w:t> </w:t>
      </w:r>
      <w:r>
        <w:rPr/>
        <w:t>not</w:t>
      </w:r>
      <w:r>
        <w:rPr>
          <w:spacing w:val="62"/>
        </w:rPr>
        <w:t> </w:t>
      </w:r>
      <w:r>
        <w:rPr/>
        <w:t>be</w:t>
      </w:r>
      <w:r>
        <w:rPr>
          <w:spacing w:val="62"/>
        </w:rPr>
        <w:t> </w:t>
      </w:r>
      <w:r>
        <w:rPr/>
        <w:t>less</w:t>
      </w:r>
      <w:r>
        <w:rPr>
          <w:spacing w:val="62"/>
        </w:rPr>
        <w:t> </w:t>
      </w:r>
      <w:r>
        <w:rPr>
          <w:spacing w:val="-4"/>
        </w:rPr>
        <w:t>than</w:t>
      </w:r>
    </w:p>
    <w:p>
      <w:pPr>
        <w:pStyle w:val="BodyText"/>
        <w:spacing w:before="1"/>
        <w:ind w:left="1212" w:right="801"/>
      </w:pPr>
      <w:r>
        <w:rPr/>
        <w:t>1.00</w:t>
      </w:r>
      <w:r>
        <w:rPr>
          <w:spacing w:val="40"/>
        </w:rPr>
        <w:t> </w:t>
      </w:r>
      <w:r>
        <w:rPr/>
        <w:t>ha.</w:t>
      </w:r>
      <w:r>
        <w:rPr>
          <w:spacing w:val="40"/>
        </w:rPr>
        <w:t> </w:t>
      </w:r>
      <w:r>
        <w:rPr/>
        <w:t>The</w:t>
      </w:r>
      <w:r>
        <w:rPr>
          <w:spacing w:val="40"/>
        </w:rPr>
        <w:t> </w:t>
      </w:r>
      <w:r>
        <w:rPr/>
        <w:t>floor</w:t>
      </w:r>
      <w:r>
        <w:rPr>
          <w:spacing w:val="40"/>
        </w:rPr>
        <w:t> </w:t>
      </w:r>
      <w:r>
        <w:rPr/>
        <w:t>space</w:t>
      </w:r>
      <w:r>
        <w:rPr>
          <w:spacing w:val="40"/>
        </w:rPr>
        <w:t> </w:t>
      </w:r>
      <w:r>
        <w:rPr/>
        <w:t>index</w:t>
      </w:r>
      <w:r>
        <w:rPr>
          <w:spacing w:val="40"/>
        </w:rPr>
        <w:t> </w:t>
      </w:r>
      <w:r>
        <w:rPr/>
        <w:t>available</w:t>
      </w:r>
      <w:r>
        <w:rPr>
          <w:spacing w:val="40"/>
        </w:rPr>
        <w:t> </w:t>
      </w:r>
      <w:r>
        <w:rPr/>
        <w:t>for</w:t>
      </w:r>
      <w:r>
        <w:rPr>
          <w:spacing w:val="40"/>
        </w:rPr>
        <w:t> </w:t>
      </w:r>
      <w:r>
        <w:rPr/>
        <w:t>development</w:t>
      </w:r>
      <w:r>
        <w:rPr>
          <w:spacing w:val="40"/>
        </w:rPr>
        <w:t> </w:t>
      </w:r>
      <w:r>
        <w:rPr/>
        <w:t>in</w:t>
      </w:r>
      <w:r>
        <w:rPr>
          <w:spacing w:val="40"/>
        </w:rPr>
        <w:t> </w:t>
      </w:r>
      <w:r>
        <w:rPr/>
        <w:t>such</w:t>
      </w:r>
      <w:r>
        <w:rPr>
          <w:spacing w:val="40"/>
        </w:rPr>
        <w:t> </w:t>
      </w:r>
      <w:r>
        <w:rPr/>
        <w:t>a</w:t>
      </w:r>
      <w:r>
        <w:rPr>
          <w:spacing w:val="40"/>
        </w:rPr>
        <w:t> </w:t>
      </w:r>
      <w:r>
        <w:rPr/>
        <w:t>site</w:t>
      </w:r>
      <w:r>
        <w:rPr>
          <w:spacing w:val="40"/>
        </w:rPr>
        <w:t> </w:t>
      </w:r>
      <w:r>
        <w:rPr/>
        <w:t>will be </w:t>
      </w:r>
      <w:r>
        <w:rPr>
          <w:spacing w:val="9"/>
        </w:rPr>
        <w:t>0.20.</w:t>
      </w:r>
    </w:p>
    <w:p>
      <w:pPr>
        <w:pStyle w:val="ListParagraph"/>
        <w:numPr>
          <w:ilvl w:val="1"/>
          <w:numId w:val="234"/>
        </w:numPr>
        <w:tabs>
          <w:tab w:pos="2213" w:val="left" w:leader="none"/>
        </w:tabs>
        <w:spacing w:line="281" w:lineRule="exact" w:before="241" w:after="0"/>
        <w:ind w:left="2213" w:right="0" w:hanging="1001"/>
        <w:jc w:val="left"/>
        <w:rPr>
          <w:sz w:val="24"/>
        </w:rPr>
      </w:pPr>
      <w:r>
        <w:rPr>
          <w:spacing w:val="7"/>
          <w:sz w:val="24"/>
        </w:rPr>
        <w:t>Environment:</w:t>
      </w:r>
    </w:p>
    <w:p>
      <w:pPr>
        <w:pStyle w:val="BodyText"/>
        <w:ind w:left="1200" w:right="838"/>
        <w:jc w:val="left"/>
      </w:pPr>
      <w:r>
        <w:rPr/>
        <w:t>Places</w:t>
      </w:r>
      <w:r>
        <w:rPr>
          <w:spacing w:val="71"/>
        </w:rPr>
        <w:t> </w:t>
      </w:r>
      <w:r>
        <w:rPr/>
        <w:t>where</w:t>
      </w:r>
      <w:r>
        <w:rPr>
          <w:spacing w:val="71"/>
        </w:rPr>
        <w:t> </w:t>
      </w:r>
      <w:r>
        <w:rPr/>
        <w:t>rare</w:t>
      </w:r>
      <w:r>
        <w:rPr>
          <w:spacing w:val="71"/>
        </w:rPr>
        <w:t> </w:t>
      </w:r>
      <w:r>
        <w:rPr/>
        <w:t>species</w:t>
      </w:r>
      <w:r>
        <w:rPr>
          <w:spacing w:val="71"/>
        </w:rPr>
        <w:t> </w:t>
      </w:r>
      <w:r>
        <w:rPr/>
        <w:t>of</w:t>
      </w:r>
      <w:r>
        <w:rPr>
          <w:spacing w:val="71"/>
        </w:rPr>
        <w:t> </w:t>
      </w:r>
      <w:r>
        <w:rPr/>
        <w:t>migratory</w:t>
      </w:r>
      <w:r>
        <w:rPr>
          <w:spacing w:val="74"/>
        </w:rPr>
        <w:t> </w:t>
      </w:r>
      <w:r>
        <w:rPr/>
        <w:t>birds</w:t>
      </w:r>
      <w:r>
        <w:rPr>
          <w:spacing w:val="71"/>
        </w:rPr>
        <w:t> </w:t>
      </w:r>
      <w:r>
        <w:rPr/>
        <w:t>are</w:t>
      </w:r>
      <w:r>
        <w:rPr>
          <w:spacing w:val="71"/>
        </w:rPr>
        <w:t> </w:t>
      </w:r>
      <w:r>
        <w:rPr/>
        <w:t>known</w:t>
      </w:r>
      <w:r>
        <w:rPr>
          <w:spacing w:val="69"/>
        </w:rPr>
        <w:t> </w:t>
      </w:r>
      <w:r>
        <w:rPr/>
        <w:t>to</w:t>
      </w:r>
      <w:r>
        <w:rPr>
          <w:spacing w:val="69"/>
        </w:rPr>
        <w:t> </w:t>
      </w:r>
      <w:r>
        <w:rPr/>
        <w:t>visit</w:t>
      </w:r>
      <w:r>
        <w:rPr>
          <w:spacing w:val="69"/>
        </w:rPr>
        <w:t> </w:t>
      </w:r>
      <w:r>
        <w:rPr/>
        <w:t>and where</w:t>
      </w:r>
      <w:r>
        <w:rPr>
          <w:spacing w:val="40"/>
        </w:rPr>
        <w:t> </w:t>
      </w:r>
      <w:r>
        <w:rPr/>
        <w:t>there</w:t>
      </w:r>
      <w:r>
        <w:rPr>
          <w:spacing w:val="40"/>
        </w:rPr>
        <w:t> </w:t>
      </w:r>
      <w:r>
        <w:rPr/>
        <w:t>is</w:t>
      </w:r>
      <w:r>
        <w:rPr>
          <w:spacing w:val="40"/>
        </w:rPr>
        <w:t> </w:t>
      </w:r>
      <w:r>
        <w:rPr/>
        <w:t>a</w:t>
      </w:r>
      <w:r>
        <w:rPr>
          <w:spacing w:val="40"/>
        </w:rPr>
        <w:t> </w:t>
      </w:r>
      <w:r>
        <w:rPr/>
        <w:t>heritage</w:t>
      </w:r>
      <w:r>
        <w:rPr>
          <w:spacing w:val="40"/>
        </w:rPr>
        <w:t> </w:t>
      </w:r>
      <w:r>
        <w:rPr/>
        <w:t>of</w:t>
      </w:r>
      <w:r>
        <w:rPr>
          <w:spacing w:val="40"/>
        </w:rPr>
        <w:t> </w:t>
      </w:r>
      <w:r>
        <w:rPr/>
        <w:t>flora</w:t>
      </w:r>
      <w:r>
        <w:rPr>
          <w:spacing w:val="40"/>
        </w:rPr>
        <w:t> </w:t>
      </w:r>
      <w:r>
        <w:rPr/>
        <w:t>and</w:t>
      </w:r>
      <w:r>
        <w:rPr>
          <w:spacing w:val="40"/>
        </w:rPr>
        <w:t> </w:t>
      </w:r>
      <w:r>
        <w:rPr/>
        <w:t>fauna</w:t>
      </w:r>
      <w:r>
        <w:rPr>
          <w:spacing w:val="40"/>
        </w:rPr>
        <w:t> </w:t>
      </w:r>
      <w:r>
        <w:rPr/>
        <w:t>shall</w:t>
      </w:r>
      <w:r>
        <w:rPr>
          <w:spacing w:val="40"/>
        </w:rPr>
        <w:t> </w:t>
      </w:r>
      <w:r>
        <w:rPr/>
        <w:t>be</w:t>
      </w:r>
      <w:r>
        <w:rPr>
          <w:spacing w:val="40"/>
        </w:rPr>
        <w:t> </w:t>
      </w:r>
      <w:r>
        <w:rPr/>
        <w:t>given</w:t>
      </w:r>
      <w:r>
        <w:rPr>
          <w:spacing w:val="40"/>
        </w:rPr>
        <w:t> </w:t>
      </w:r>
      <w:r>
        <w:rPr/>
        <w:t>preference</w:t>
      </w:r>
      <w:r>
        <w:rPr>
          <w:spacing w:val="40"/>
        </w:rPr>
        <w:t> </w:t>
      </w:r>
      <w:r>
        <w:rPr>
          <w:spacing w:val="9"/>
        </w:rPr>
        <w:t>for </w:t>
      </w:r>
      <w:r>
        <w:rPr/>
        <w:t>development as TDA.</w:t>
      </w:r>
    </w:p>
    <w:p>
      <w:pPr>
        <w:pStyle w:val="ListParagraph"/>
        <w:numPr>
          <w:ilvl w:val="1"/>
          <w:numId w:val="234"/>
        </w:numPr>
        <w:tabs>
          <w:tab w:pos="1474" w:val="left" w:leader="none"/>
        </w:tabs>
        <w:spacing w:line="240" w:lineRule="auto" w:before="0" w:after="0"/>
        <w:ind w:left="1200" w:right="779" w:firstLine="0"/>
        <w:jc w:val="both"/>
        <w:rPr>
          <w:sz w:val="24"/>
        </w:rPr>
      </w:pPr>
      <w:r>
        <w:rPr>
          <w:sz w:val="24"/>
        </w:rPr>
        <w:t>The</w:t>
      </w:r>
      <w:r>
        <w:rPr>
          <w:spacing w:val="40"/>
          <w:sz w:val="24"/>
        </w:rPr>
        <w:t> </w:t>
      </w:r>
      <w:r>
        <w:rPr>
          <w:sz w:val="24"/>
        </w:rPr>
        <w:t>projects</w:t>
      </w:r>
      <w:r>
        <w:rPr>
          <w:spacing w:val="40"/>
          <w:sz w:val="24"/>
        </w:rPr>
        <w:t> </w:t>
      </w:r>
      <w:r>
        <w:rPr>
          <w:sz w:val="24"/>
        </w:rPr>
        <w:t>identified</w:t>
      </w:r>
      <w:r>
        <w:rPr>
          <w:spacing w:val="40"/>
          <w:sz w:val="24"/>
        </w:rPr>
        <w:t> </w:t>
      </w:r>
      <w:r>
        <w:rPr>
          <w:sz w:val="24"/>
        </w:rPr>
        <w:t>as</w:t>
      </w:r>
      <w:r>
        <w:rPr>
          <w:spacing w:val="40"/>
          <w:sz w:val="24"/>
        </w:rPr>
        <w:t> </w:t>
      </w:r>
      <w:r>
        <w:rPr>
          <w:sz w:val="24"/>
        </w:rPr>
        <w:t>Mega</w:t>
      </w:r>
      <w:r>
        <w:rPr>
          <w:spacing w:val="40"/>
          <w:sz w:val="24"/>
        </w:rPr>
        <w:t> </w:t>
      </w:r>
      <w:r>
        <w:rPr>
          <w:sz w:val="24"/>
        </w:rPr>
        <w:t>Tourism</w:t>
      </w:r>
      <w:r>
        <w:rPr>
          <w:spacing w:val="40"/>
          <w:sz w:val="24"/>
        </w:rPr>
        <w:t> </w:t>
      </w:r>
      <w:r>
        <w:rPr>
          <w:sz w:val="24"/>
        </w:rPr>
        <w:t>Projects</w:t>
      </w:r>
      <w:r>
        <w:rPr>
          <w:spacing w:val="40"/>
          <w:sz w:val="24"/>
        </w:rPr>
        <w:t> </w:t>
      </w:r>
      <w:r>
        <w:rPr>
          <w:sz w:val="24"/>
        </w:rPr>
        <w:t>by</w:t>
      </w:r>
      <w:r>
        <w:rPr>
          <w:spacing w:val="40"/>
          <w:sz w:val="24"/>
        </w:rPr>
        <w:t> </w:t>
      </w:r>
      <w:r>
        <w:rPr>
          <w:sz w:val="24"/>
        </w:rPr>
        <w:t>Tourism</w:t>
      </w:r>
      <w:r>
        <w:rPr>
          <w:spacing w:val="40"/>
          <w:sz w:val="24"/>
        </w:rPr>
        <w:t> </w:t>
      </w:r>
      <w:r>
        <w:rPr>
          <w:sz w:val="24"/>
        </w:rPr>
        <w:t>and Cultural</w:t>
      </w:r>
      <w:r>
        <w:rPr>
          <w:spacing w:val="40"/>
          <w:sz w:val="24"/>
        </w:rPr>
        <w:t> </w:t>
      </w:r>
      <w:r>
        <w:rPr>
          <w:sz w:val="24"/>
        </w:rPr>
        <w:t>Affairs</w:t>
      </w:r>
      <w:r>
        <w:rPr>
          <w:spacing w:val="40"/>
          <w:sz w:val="24"/>
        </w:rPr>
        <w:t> </w:t>
      </w:r>
      <w:r>
        <w:rPr>
          <w:sz w:val="24"/>
        </w:rPr>
        <w:t>Department</w:t>
      </w:r>
      <w:r>
        <w:rPr>
          <w:spacing w:val="40"/>
          <w:sz w:val="24"/>
        </w:rPr>
        <w:t> </w:t>
      </w:r>
      <w:r>
        <w:rPr>
          <w:sz w:val="24"/>
        </w:rPr>
        <w:t>of</w:t>
      </w:r>
      <w:r>
        <w:rPr>
          <w:spacing w:val="40"/>
          <w:sz w:val="24"/>
        </w:rPr>
        <w:t> </w:t>
      </w:r>
      <w:r>
        <w:rPr>
          <w:sz w:val="24"/>
        </w:rPr>
        <w:t>the</w:t>
      </w:r>
      <w:r>
        <w:rPr>
          <w:spacing w:val="40"/>
          <w:sz w:val="24"/>
        </w:rPr>
        <w:t> </w:t>
      </w:r>
      <w:r>
        <w:rPr>
          <w:sz w:val="24"/>
        </w:rPr>
        <w:t>State</w:t>
      </w:r>
      <w:r>
        <w:rPr>
          <w:spacing w:val="40"/>
          <w:sz w:val="24"/>
        </w:rPr>
        <w:t> </w:t>
      </w:r>
      <w:r>
        <w:rPr>
          <w:sz w:val="24"/>
        </w:rPr>
        <w:t>Govt.</w:t>
      </w:r>
      <w:r>
        <w:rPr>
          <w:spacing w:val="40"/>
          <w:sz w:val="24"/>
        </w:rPr>
        <w:t> </w:t>
      </w:r>
      <w:r>
        <w:rPr>
          <w:sz w:val="24"/>
        </w:rPr>
        <w:t>under</w:t>
      </w:r>
      <w:r>
        <w:rPr>
          <w:spacing w:val="40"/>
          <w:sz w:val="24"/>
        </w:rPr>
        <w:t> </w:t>
      </w:r>
      <w:r>
        <w:rPr>
          <w:sz w:val="24"/>
        </w:rPr>
        <w:t>the</w:t>
      </w:r>
      <w:r>
        <w:rPr>
          <w:spacing w:val="40"/>
          <w:sz w:val="24"/>
        </w:rPr>
        <w:t> </w:t>
      </w:r>
      <w:r>
        <w:rPr>
          <w:sz w:val="24"/>
        </w:rPr>
        <w:t>Tourism</w:t>
      </w:r>
      <w:r>
        <w:rPr>
          <w:spacing w:val="40"/>
          <w:sz w:val="24"/>
        </w:rPr>
        <w:t> </w:t>
      </w:r>
      <w:r>
        <w:rPr>
          <w:spacing w:val="9"/>
          <w:sz w:val="24"/>
        </w:rPr>
        <w:t>Policy</w:t>
      </w:r>
      <w:r>
        <w:rPr>
          <w:spacing w:val="80"/>
          <w:sz w:val="24"/>
        </w:rPr>
        <w:t> </w:t>
      </w:r>
      <w:r>
        <w:rPr>
          <w:sz w:val="24"/>
        </w:rPr>
        <w:t>of</w:t>
      </w:r>
      <w:r>
        <w:rPr>
          <w:spacing w:val="40"/>
          <w:sz w:val="24"/>
        </w:rPr>
        <w:t> </w:t>
      </w:r>
      <w:r>
        <w:rPr>
          <w:sz w:val="24"/>
        </w:rPr>
        <w:t>Maharashtra-</w:t>
      </w:r>
      <w:r>
        <w:rPr>
          <w:spacing w:val="80"/>
          <w:w w:val="150"/>
          <w:sz w:val="24"/>
        </w:rPr>
        <w:t> </w:t>
      </w:r>
      <w:r>
        <w:rPr>
          <w:sz w:val="24"/>
        </w:rPr>
        <w:t>2016”</w:t>
      </w:r>
      <w:r>
        <w:rPr>
          <w:spacing w:val="40"/>
          <w:sz w:val="24"/>
        </w:rPr>
        <w:t> </w:t>
      </w:r>
      <w:r>
        <w:rPr>
          <w:sz w:val="24"/>
        </w:rPr>
        <w:t>shall</w:t>
      </w:r>
      <w:r>
        <w:rPr>
          <w:spacing w:val="40"/>
          <w:sz w:val="24"/>
        </w:rPr>
        <w:t> </w:t>
      </w:r>
      <w:r>
        <w:rPr>
          <w:sz w:val="24"/>
        </w:rPr>
        <w:t>be</w:t>
      </w:r>
      <w:r>
        <w:rPr>
          <w:spacing w:val="40"/>
          <w:sz w:val="24"/>
        </w:rPr>
        <w:t> </w:t>
      </w:r>
      <w:r>
        <w:rPr>
          <w:sz w:val="24"/>
        </w:rPr>
        <w:t>governed</w:t>
      </w:r>
      <w:r>
        <w:rPr>
          <w:spacing w:val="40"/>
          <w:sz w:val="24"/>
        </w:rPr>
        <w:t> </w:t>
      </w:r>
      <w:r>
        <w:rPr>
          <w:sz w:val="24"/>
        </w:rPr>
        <w:t>by</w:t>
      </w:r>
      <w:r>
        <w:rPr>
          <w:spacing w:val="40"/>
          <w:sz w:val="24"/>
        </w:rPr>
        <w:t> </w:t>
      </w:r>
      <w:r>
        <w:rPr>
          <w:sz w:val="24"/>
        </w:rPr>
        <w:t>the</w:t>
      </w:r>
      <w:r>
        <w:rPr>
          <w:spacing w:val="40"/>
          <w:sz w:val="24"/>
        </w:rPr>
        <w:t> </w:t>
      </w:r>
      <w:r>
        <w:rPr>
          <w:sz w:val="24"/>
        </w:rPr>
        <w:t>following</w:t>
      </w:r>
      <w:r>
        <w:rPr>
          <w:spacing w:val="40"/>
          <w:sz w:val="24"/>
        </w:rPr>
        <w:t> </w:t>
      </w:r>
      <w:r>
        <w:rPr>
          <w:sz w:val="24"/>
        </w:rPr>
        <w:t>special provisions :-</w:t>
      </w:r>
    </w:p>
    <w:p>
      <w:pPr>
        <w:pStyle w:val="BodyText"/>
        <w:spacing w:line="281" w:lineRule="exact"/>
        <w:ind w:left="1200"/>
      </w:pPr>
      <w:r>
        <w:rPr/>
        <w:t>Mega</w:t>
      </w:r>
      <w:r>
        <w:rPr>
          <w:spacing w:val="61"/>
        </w:rPr>
        <w:t> </w:t>
      </w:r>
      <w:r>
        <w:rPr/>
        <w:t>Tourism</w:t>
      </w:r>
      <w:r>
        <w:rPr>
          <w:spacing w:val="58"/>
        </w:rPr>
        <w:t> </w:t>
      </w:r>
      <w:r>
        <w:rPr>
          <w:spacing w:val="7"/>
        </w:rPr>
        <w:t>Projects:-</w:t>
      </w:r>
    </w:p>
    <w:p>
      <w:pPr>
        <w:pStyle w:val="ListParagraph"/>
        <w:numPr>
          <w:ilvl w:val="0"/>
          <w:numId w:val="235"/>
        </w:numPr>
        <w:tabs>
          <w:tab w:pos="1527" w:val="left" w:leader="none"/>
        </w:tabs>
        <w:spacing w:line="281" w:lineRule="exact" w:before="0" w:after="0"/>
        <w:ind w:left="1527" w:right="0" w:hanging="327"/>
        <w:jc w:val="both"/>
        <w:rPr>
          <w:sz w:val="24"/>
        </w:rPr>
      </w:pPr>
      <w:r>
        <w:rPr>
          <w:sz w:val="24"/>
        </w:rPr>
        <w:t>The</w:t>
      </w:r>
      <w:r>
        <w:rPr>
          <w:spacing w:val="44"/>
          <w:sz w:val="24"/>
        </w:rPr>
        <w:t> </w:t>
      </w:r>
      <w:r>
        <w:rPr>
          <w:sz w:val="24"/>
        </w:rPr>
        <w:t>ground</w:t>
      </w:r>
      <w:r>
        <w:rPr>
          <w:spacing w:val="48"/>
          <w:sz w:val="24"/>
        </w:rPr>
        <w:t> </w:t>
      </w:r>
      <w:r>
        <w:rPr>
          <w:sz w:val="24"/>
        </w:rPr>
        <w:t>coverage</w:t>
      </w:r>
      <w:r>
        <w:rPr>
          <w:spacing w:val="45"/>
          <w:sz w:val="24"/>
        </w:rPr>
        <w:t> </w:t>
      </w:r>
      <w:r>
        <w:rPr>
          <w:sz w:val="24"/>
        </w:rPr>
        <w:t>shall</w:t>
      </w:r>
      <w:r>
        <w:rPr>
          <w:spacing w:val="44"/>
          <w:sz w:val="24"/>
        </w:rPr>
        <w:t> </w:t>
      </w:r>
      <w:r>
        <w:rPr>
          <w:sz w:val="24"/>
        </w:rPr>
        <w:t>be</w:t>
      </w:r>
      <w:r>
        <w:rPr>
          <w:spacing w:val="49"/>
          <w:sz w:val="24"/>
        </w:rPr>
        <w:t> </w:t>
      </w:r>
      <w:r>
        <w:rPr>
          <w:sz w:val="24"/>
        </w:rPr>
        <w:t>1/2</w:t>
      </w:r>
      <w:r>
        <w:rPr>
          <w:spacing w:val="44"/>
          <w:sz w:val="24"/>
        </w:rPr>
        <w:t> </w:t>
      </w:r>
      <w:r>
        <w:rPr>
          <w:sz w:val="24"/>
        </w:rPr>
        <w:t>of</w:t>
      </w:r>
      <w:r>
        <w:rPr>
          <w:spacing w:val="45"/>
          <w:sz w:val="24"/>
        </w:rPr>
        <w:t> </w:t>
      </w:r>
      <w:r>
        <w:rPr>
          <w:sz w:val="24"/>
        </w:rPr>
        <w:t>the</w:t>
      </w:r>
      <w:r>
        <w:rPr>
          <w:spacing w:val="39"/>
          <w:sz w:val="24"/>
        </w:rPr>
        <w:t>  </w:t>
      </w:r>
      <w:r>
        <w:rPr>
          <w:sz w:val="24"/>
        </w:rPr>
        <w:t>plot</w:t>
      </w:r>
      <w:r>
        <w:rPr>
          <w:spacing w:val="44"/>
          <w:sz w:val="24"/>
        </w:rPr>
        <w:t> </w:t>
      </w:r>
      <w:r>
        <w:rPr>
          <w:sz w:val="24"/>
        </w:rPr>
        <w:t>area</w:t>
      </w:r>
      <w:r>
        <w:rPr>
          <w:spacing w:val="57"/>
          <w:sz w:val="24"/>
        </w:rPr>
        <w:t> </w:t>
      </w:r>
      <w:r>
        <w:rPr>
          <w:sz w:val="24"/>
        </w:rPr>
        <w:t>under</w:t>
      </w:r>
      <w:r>
        <w:rPr>
          <w:spacing w:val="49"/>
          <w:sz w:val="24"/>
        </w:rPr>
        <w:t> </w:t>
      </w:r>
      <w:r>
        <w:rPr>
          <w:spacing w:val="-4"/>
          <w:sz w:val="24"/>
        </w:rPr>
        <w:t>TDA.</w:t>
      </w:r>
    </w:p>
    <w:p>
      <w:pPr>
        <w:pStyle w:val="ListParagraph"/>
        <w:numPr>
          <w:ilvl w:val="0"/>
          <w:numId w:val="235"/>
        </w:numPr>
        <w:tabs>
          <w:tab w:pos="1529" w:val="left" w:leader="none"/>
        </w:tabs>
        <w:spacing w:line="240" w:lineRule="auto" w:before="2" w:after="0"/>
        <w:ind w:left="1200" w:right="773" w:firstLine="0"/>
        <w:jc w:val="both"/>
        <w:rPr>
          <w:sz w:val="24"/>
        </w:rPr>
      </w:pPr>
      <w:r>
        <w:rPr>
          <w:sz w:val="24"/>
        </w:rPr>
        <w:t>The</w:t>
      </w:r>
      <w:r>
        <w:rPr>
          <w:spacing w:val="40"/>
          <w:sz w:val="24"/>
        </w:rPr>
        <w:t> </w:t>
      </w:r>
      <w:r>
        <w:rPr>
          <w:sz w:val="24"/>
        </w:rPr>
        <w:t>uses</w:t>
      </w:r>
      <w:r>
        <w:rPr>
          <w:spacing w:val="40"/>
          <w:sz w:val="24"/>
        </w:rPr>
        <w:t> </w:t>
      </w:r>
      <w:r>
        <w:rPr>
          <w:sz w:val="24"/>
        </w:rPr>
        <w:t>which</w:t>
      </w:r>
      <w:r>
        <w:rPr>
          <w:spacing w:val="40"/>
          <w:sz w:val="24"/>
        </w:rPr>
        <w:t> </w:t>
      </w:r>
      <w:r>
        <w:rPr>
          <w:sz w:val="24"/>
        </w:rPr>
        <w:t>are</w:t>
      </w:r>
      <w:r>
        <w:rPr>
          <w:spacing w:val="40"/>
          <w:sz w:val="24"/>
        </w:rPr>
        <w:t> </w:t>
      </w:r>
      <w:r>
        <w:rPr>
          <w:sz w:val="24"/>
        </w:rPr>
        <w:t>not</w:t>
      </w:r>
      <w:r>
        <w:rPr>
          <w:spacing w:val="40"/>
          <w:sz w:val="24"/>
        </w:rPr>
        <w:t> </w:t>
      </w:r>
      <w:r>
        <w:rPr>
          <w:sz w:val="24"/>
        </w:rPr>
        <w:t>covered</w:t>
      </w:r>
      <w:r>
        <w:rPr>
          <w:spacing w:val="40"/>
          <w:sz w:val="24"/>
        </w:rPr>
        <w:t> </w:t>
      </w:r>
      <w:r>
        <w:rPr>
          <w:sz w:val="24"/>
        </w:rPr>
        <w:t>under</w:t>
      </w:r>
      <w:r>
        <w:rPr>
          <w:spacing w:val="40"/>
          <w:sz w:val="24"/>
        </w:rPr>
        <w:t> </w:t>
      </w:r>
      <w:r>
        <w:rPr>
          <w:sz w:val="24"/>
        </w:rPr>
        <w:t>this</w:t>
      </w:r>
      <w:r>
        <w:rPr>
          <w:spacing w:val="40"/>
          <w:sz w:val="24"/>
        </w:rPr>
        <w:t> </w:t>
      </w:r>
      <w:r>
        <w:rPr>
          <w:sz w:val="24"/>
        </w:rPr>
        <w:t>Regulation</w:t>
      </w:r>
      <w:r>
        <w:rPr>
          <w:spacing w:val="40"/>
          <w:sz w:val="24"/>
        </w:rPr>
        <w:t> </w:t>
      </w:r>
      <w:r>
        <w:rPr>
          <w:sz w:val="24"/>
        </w:rPr>
        <w:t>like</w:t>
      </w:r>
      <w:r>
        <w:rPr>
          <w:spacing w:val="40"/>
          <w:sz w:val="24"/>
        </w:rPr>
        <w:t> </w:t>
      </w:r>
      <w:r>
        <w:rPr>
          <w:sz w:val="24"/>
        </w:rPr>
        <w:t>studio</w:t>
      </w:r>
      <w:r>
        <w:rPr>
          <w:spacing w:val="40"/>
          <w:sz w:val="24"/>
        </w:rPr>
        <w:t> </w:t>
      </w:r>
      <w:r>
        <w:rPr>
          <w:sz w:val="24"/>
        </w:rPr>
        <w:t>and Film</w:t>
      </w:r>
      <w:r>
        <w:rPr>
          <w:spacing w:val="40"/>
          <w:sz w:val="24"/>
        </w:rPr>
        <w:t> </w:t>
      </w:r>
      <w:r>
        <w:rPr>
          <w:sz w:val="24"/>
        </w:rPr>
        <w:t>School</w:t>
      </w:r>
      <w:r>
        <w:rPr>
          <w:spacing w:val="40"/>
          <w:sz w:val="24"/>
        </w:rPr>
        <w:t> </w:t>
      </w:r>
      <w:r>
        <w:rPr>
          <w:sz w:val="24"/>
        </w:rPr>
        <w:t>with</w:t>
      </w:r>
      <w:r>
        <w:rPr>
          <w:spacing w:val="40"/>
          <w:sz w:val="24"/>
        </w:rPr>
        <w:t> </w:t>
      </w:r>
      <w:r>
        <w:rPr>
          <w:sz w:val="24"/>
        </w:rPr>
        <w:t>their</w:t>
      </w:r>
      <w:r>
        <w:rPr>
          <w:spacing w:val="40"/>
          <w:sz w:val="24"/>
        </w:rPr>
        <w:t> </w:t>
      </w:r>
      <w:r>
        <w:rPr>
          <w:sz w:val="24"/>
        </w:rPr>
        <w:t>shooting</w:t>
      </w:r>
      <w:r>
        <w:rPr>
          <w:spacing w:val="40"/>
          <w:sz w:val="24"/>
        </w:rPr>
        <w:t> </w:t>
      </w:r>
      <w:r>
        <w:rPr>
          <w:sz w:val="24"/>
        </w:rPr>
        <w:t>stages</w:t>
      </w:r>
      <w:r>
        <w:rPr>
          <w:spacing w:val="40"/>
          <w:sz w:val="24"/>
        </w:rPr>
        <w:t> </w:t>
      </w:r>
      <w:r>
        <w:rPr>
          <w:sz w:val="24"/>
        </w:rPr>
        <w:t>and</w:t>
      </w:r>
      <w:r>
        <w:rPr>
          <w:spacing w:val="40"/>
          <w:sz w:val="24"/>
        </w:rPr>
        <w:t> </w:t>
      </w:r>
      <w:r>
        <w:rPr>
          <w:sz w:val="24"/>
        </w:rPr>
        <w:t>screening</w:t>
      </w:r>
      <w:r>
        <w:rPr>
          <w:spacing w:val="40"/>
          <w:sz w:val="24"/>
        </w:rPr>
        <w:t> </w:t>
      </w:r>
      <w:r>
        <w:rPr>
          <w:sz w:val="24"/>
        </w:rPr>
        <w:t>rooms,</w:t>
      </w:r>
      <w:r>
        <w:rPr>
          <w:spacing w:val="40"/>
          <w:sz w:val="24"/>
        </w:rPr>
        <w:t> </w:t>
      </w:r>
      <w:r>
        <w:rPr>
          <w:sz w:val="24"/>
        </w:rPr>
        <w:t>performing Arts Academy, Students Hostels and faculty residences, </w:t>
      </w:r>
      <w:r>
        <w:rPr>
          <w:spacing w:val="10"/>
          <w:sz w:val="24"/>
        </w:rPr>
        <w:t>Auditoria,</w:t>
      </w:r>
      <w:r>
        <w:rPr>
          <w:spacing w:val="10"/>
          <w:sz w:val="24"/>
        </w:rPr>
        <w:t> </w:t>
      </w:r>
      <w:r>
        <w:rPr>
          <w:sz w:val="24"/>
        </w:rPr>
        <w:t>Art Gallery,</w:t>
      </w:r>
      <w:r>
        <w:rPr>
          <w:spacing w:val="40"/>
          <w:sz w:val="24"/>
        </w:rPr>
        <w:t> </w:t>
      </w:r>
      <w:r>
        <w:rPr>
          <w:sz w:val="24"/>
        </w:rPr>
        <w:t>Museums,</w:t>
      </w:r>
      <w:r>
        <w:rPr>
          <w:spacing w:val="40"/>
          <w:sz w:val="24"/>
        </w:rPr>
        <w:t> </w:t>
      </w:r>
      <w:r>
        <w:rPr>
          <w:sz w:val="24"/>
        </w:rPr>
        <w:t>Multiplex,</w:t>
      </w:r>
      <w:r>
        <w:rPr>
          <w:spacing w:val="40"/>
          <w:sz w:val="24"/>
        </w:rPr>
        <w:t> </w:t>
      </w:r>
      <w:r>
        <w:rPr>
          <w:sz w:val="24"/>
        </w:rPr>
        <w:t>Food</w:t>
      </w:r>
      <w:r>
        <w:rPr>
          <w:spacing w:val="40"/>
          <w:sz w:val="24"/>
        </w:rPr>
        <w:t> </w:t>
      </w:r>
      <w:r>
        <w:rPr>
          <w:sz w:val="24"/>
        </w:rPr>
        <w:t>&amp;</w:t>
      </w:r>
      <w:r>
        <w:rPr>
          <w:spacing w:val="40"/>
          <w:sz w:val="24"/>
        </w:rPr>
        <w:t> </w:t>
      </w:r>
      <w:r>
        <w:rPr>
          <w:sz w:val="24"/>
        </w:rPr>
        <w:t>Beverage</w:t>
      </w:r>
      <w:r>
        <w:rPr>
          <w:spacing w:val="40"/>
          <w:sz w:val="24"/>
        </w:rPr>
        <w:t> </w:t>
      </w:r>
      <w:r>
        <w:rPr>
          <w:sz w:val="24"/>
        </w:rPr>
        <w:t>areas</w:t>
      </w:r>
      <w:r>
        <w:rPr>
          <w:spacing w:val="40"/>
          <w:sz w:val="24"/>
        </w:rPr>
        <w:t> </w:t>
      </w:r>
      <w:r>
        <w:rPr>
          <w:sz w:val="24"/>
        </w:rPr>
        <w:t>and</w:t>
      </w:r>
      <w:r>
        <w:rPr>
          <w:spacing w:val="40"/>
          <w:sz w:val="24"/>
        </w:rPr>
        <w:t> </w:t>
      </w:r>
      <w:r>
        <w:rPr>
          <w:sz w:val="24"/>
        </w:rPr>
        <w:t>also</w:t>
      </w:r>
      <w:r>
        <w:rPr>
          <w:spacing w:val="40"/>
          <w:sz w:val="24"/>
        </w:rPr>
        <w:t> </w:t>
      </w:r>
      <w:r>
        <w:rPr>
          <w:sz w:val="24"/>
        </w:rPr>
        <w:t>a combination of compatible uses may be allowed, with the approval of </w:t>
      </w:r>
      <w:r>
        <w:rPr>
          <w:spacing w:val="9"/>
          <w:sz w:val="24"/>
        </w:rPr>
        <w:t>the </w:t>
      </w:r>
      <w:r>
        <w:rPr>
          <w:sz w:val="24"/>
        </w:rPr>
        <w:t>Urban</w:t>
      </w:r>
      <w:r>
        <w:rPr>
          <w:spacing w:val="40"/>
          <w:sz w:val="24"/>
        </w:rPr>
        <w:t> </w:t>
      </w:r>
      <w:r>
        <w:rPr>
          <w:sz w:val="24"/>
        </w:rPr>
        <w:t>Development</w:t>
      </w:r>
      <w:r>
        <w:rPr>
          <w:spacing w:val="40"/>
          <w:sz w:val="24"/>
        </w:rPr>
        <w:t> </w:t>
      </w:r>
      <w:r>
        <w:rPr>
          <w:sz w:val="24"/>
        </w:rPr>
        <w:t>Department</w:t>
      </w:r>
      <w:r>
        <w:rPr>
          <w:spacing w:val="40"/>
          <w:sz w:val="24"/>
        </w:rPr>
        <w:t> </w:t>
      </w:r>
      <w:r>
        <w:rPr>
          <w:sz w:val="24"/>
        </w:rPr>
        <w:t>of</w:t>
      </w:r>
      <w:r>
        <w:rPr>
          <w:spacing w:val="40"/>
          <w:sz w:val="24"/>
        </w:rPr>
        <w:t> </w:t>
      </w:r>
      <w:r>
        <w:rPr>
          <w:spacing w:val="9"/>
          <w:sz w:val="24"/>
        </w:rPr>
        <w:t>GOM.</w:t>
      </w:r>
    </w:p>
    <w:p>
      <w:pPr>
        <w:pStyle w:val="ListParagraph"/>
        <w:numPr>
          <w:ilvl w:val="0"/>
          <w:numId w:val="235"/>
        </w:numPr>
        <w:tabs>
          <w:tab w:pos="1570" w:val="left" w:leader="none"/>
        </w:tabs>
        <w:spacing w:line="240" w:lineRule="auto" w:before="0" w:after="0"/>
        <w:ind w:left="1200" w:right="798" w:firstLine="0"/>
        <w:jc w:val="both"/>
        <w:rPr>
          <w:sz w:val="24"/>
        </w:rPr>
      </w:pPr>
      <w:r>
        <w:rPr>
          <w:sz w:val="24"/>
        </w:rPr>
        <w:t>The</w:t>
      </w:r>
      <w:r>
        <w:rPr>
          <w:spacing w:val="40"/>
          <w:sz w:val="24"/>
        </w:rPr>
        <w:t> </w:t>
      </w:r>
      <w:r>
        <w:rPr>
          <w:sz w:val="24"/>
        </w:rPr>
        <w:t>height</w:t>
      </w:r>
      <w:r>
        <w:rPr>
          <w:spacing w:val="40"/>
          <w:sz w:val="24"/>
        </w:rPr>
        <w:t> </w:t>
      </w:r>
      <w:r>
        <w:rPr>
          <w:sz w:val="24"/>
        </w:rPr>
        <w:t>up</w:t>
      </w:r>
      <w:r>
        <w:rPr>
          <w:spacing w:val="40"/>
          <w:sz w:val="24"/>
        </w:rPr>
        <w:t> </w:t>
      </w:r>
      <w:r>
        <w:rPr>
          <w:sz w:val="24"/>
        </w:rPr>
        <w:t>to</w:t>
      </w:r>
      <w:r>
        <w:rPr>
          <w:spacing w:val="40"/>
          <w:sz w:val="24"/>
        </w:rPr>
        <w:t> </w:t>
      </w:r>
      <w:r>
        <w:rPr>
          <w:sz w:val="24"/>
        </w:rPr>
        <w:t>70m</w:t>
      </w:r>
      <w:r>
        <w:rPr>
          <w:spacing w:val="40"/>
          <w:sz w:val="24"/>
        </w:rPr>
        <w:t> </w:t>
      </w:r>
      <w:r>
        <w:rPr>
          <w:sz w:val="24"/>
        </w:rPr>
        <w:t>may</w:t>
      </w:r>
      <w:r>
        <w:rPr>
          <w:spacing w:val="40"/>
          <w:sz w:val="24"/>
        </w:rPr>
        <w:t> </w:t>
      </w:r>
      <w:r>
        <w:rPr>
          <w:sz w:val="24"/>
        </w:rPr>
        <w:t>be</w:t>
      </w:r>
      <w:r>
        <w:rPr>
          <w:spacing w:val="40"/>
          <w:sz w:val="24"/>
        </w:rPr>
        <w:t> </w:t>
      </w:r>
      <w:r>
        <w:rPr>
          <w:sz w:val="24"/>
        </w:rPr>
        <w:t>allowed</w:t>
      </w:r>
      <w:r>
        <w:rPr>
          <w:spacing w:val="40"/>
          <w:sz w:val="24"/>
        </w:rPr>
        <w:t> </w:t>
      </w:r>
      <w:r>
        <w:rPr>
          <w:sz w:val="24"/>
        </w:rPr>
        <w:t>for</w:t>
      </w:r>
      <w:r>
        <w:rPr>
          <w:spacing w:val="40"/>
          <w:sz w:val="24"/>
        </w:rPr>
        <w:t> </w:t>
      </w:r>
      <w:r>
        <w:rPr>
          <w:sz w:val="24"/>
        </w:rPr>
        <w:t>Building</w:t>
      </w:r>
      <w:r>
        <w:rPr>
          <w:spacing w:val="40"/>
          <w:sz w:val="24"/>
        </w:rPr>
        <w:t> </w:t>
      </w:r>
      <w:r>
        <w:rPr>
          <w:sz w:val="24"/>
        </w:rPr>
        <w:t>of</w:t>
      </w:r>
      <w:r>
        <w:rPr>
          <w:spacing w:val="40"/>
          <w:sz w:val="24"/>
        </w:rPr>
        <w:t> </w:t>
      </w:r>
      <w:r>
        <w:rPr>
          <w:sz w:val="24"/>
        </w:rPr>
        <w:t>Film</w:t>
      </w:r>
      <w:r>
        <w:rPr>
          <w:spacing w:val="40"/>
          <w:sz w:val="24"/>
        </w:rPr>
        <w:t> </w:t>
      </w:r>
      <w:r>
        <w:rPr>
          <w:sz w:val="24"/>
        </w:rPr>
        <w:t>Studio, subject</w:t>
      </w:r>
      <w:r>
        <w:rPr>
          <w:spacing w:val="40"/>
          <w:sz w:val="24"/>
        </w:rPr>
        <w:t> </w:t>
      </w:r>
      <w:r>
        <w:rPr>
          <w:sz w:val="24"/>
        </w:rPr>
        <w:t>to</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Regulation</w:t>
      </w:r>
      <w:r>
        <w:rPr>
          <w:spacing w:val="40"/>
          <w:sz w:val="24"/>
        </w:rPr>
        <w:t>  </w:t>
      </w:r>
      <w:r>
        <w:rPr>
          <w:sz w:val="24"/>
        </w:rPr>
        <w:t>47.</w:t>
      </w:r>
    </w:p>
    <w:p>
      <w:pPr>
        <w:pStyle w:val="ListParagraph"/>
        <w:numPr>
          <w:ilvl w:val="0"/>
          <w:numId w:val="235"/>
        </w:numPr>
        <w:tabs>
          <w:tab w:pos="1573" w:val="left" w:leader="none"/>
        </w:tabs>
        <w:spacing w:line="240" w:lineRule="auto" w:before="0" w:after="0"/>
        <w:ind w:left="1200" w:right="771" w:firstLine="0"/>
        <w:jc w:val="both"/>
        <w:rPr>
          <w:sz w:val="24"/>
        </w:rPr>
      </w:pPr>
      <w:r>
        <w:rPr>
          <w:sz w:val="24"/>
        </w:rPr>
        <w:t>The</w:t>
      </w:r>
      <w:r>
        <w:rPr>
          <w:spacing w:val="40"/>
          <w:sz w:val="24"/>
        </w:rPr>
        <w:t> </w:t>
      </w:r>
      <w:r>
        <w:rPr>
          <w:sz w:val="24"/>
        </w:rPr>
        <w:t>height</w:t>
      </w:r>
      <w:r>
        <w:rPr>
          <w:spacing w:val="40"/>
          <w:sz w:val="24"/>
        </w:rPr>
        <w:t> </w:t>
      </w:r>
      <w:r>
        <w:rPr>
          <w:sz w:val="24"/>
        </w:rPr>
        <w:t>of</w:t>
      </w:r>
      <w:r>
        <w:rPr>
          <w:spacing w:val="40"/>
          <w:sz w:val="24"/>
        </w:rPr>
        <w:t> </w:t>
      </w:r>
      <w:r>
        <w:rPr>
          <w:sz w:val="24"/>
        </w:rPr>
        <w:t>a</w:t>
      </w:r>
      <w:r>
        <w:rPr>
          <w:spacing w:val="40"/>
          <w:sz w:val="24"/>
        </w:rPr>
        <w:t> </w:t>
      </w:r>
      <w:r>
        <w:rPr>
          <w:sz w:val="24"/>
        </w:rPr>
        <w:t>room</w:t>
      </w:r>
      <w:r>
        <w:rPr>
          <w:spacing w:val="40"/>
          <w:sz w:val="24"/>
        </w:rPr>
        <w:t> </w:t>
      </w:r>
      <w:r>
        <w:rPr>
          <w:sz w:val="24"/>
        </w:rPr>
        <w:t>in</w:t>
      </w:r>
      <w:r>
        <w:rPr>
          <w:spacing w:val="40"/>
          <w:sz w:val="24"/>
        </w:rPr>
        <w:t> </w:t>
      </w:r>
      <w:r>
        <w:rPr>
          <w:sz w:val="24"/>
        </w:rPr>
        <w:t>occupancy</w:t>
      </w:r>
      <w:r>
        <w:rPr>
          <w:spacing w:val="40"/>
          <w:sz w:val="24"/>
        </w:rPr>
        <w:t> </w:t>
      </w:r>
      <w:r>
        <w:rPr>
          <w:sz w:val="24"/>
        </w:rPr>
        <w:t>mentioned</w:t>
      </w:r>
      <w:r>
        <w:rPr>
          <w:spacing w:val="40"/>
          <w:sz w:val="24"/>
        </w:rPr>
        <w:t> </w:t>
      </w:r>
      <w:r>
        <w:rPr>
          <w:sz w:val="24"/>
        </w:rPr>
        <w:t>at</w:t>
      </w:r>
      <w:r>
        <w:rPr>
          <w:spacing w:val="40"/>
          <w:sz w:val="24"/>
        </w:rPr>
        <w:t> </w:t>
      </w:r>
      <w:r>
        <w:rPr>
          <w:sz w:val="24"/>
        </w:rPr>
        <w:t>Sr.</w:t>
      </w:r>
      <w:r>
        <w:rPr>
          <w:spacing w:val="9"/>
          <w:sz w:val="24"/>
        </w:rPr>
        <w:t> No.1(e)</w:t>
      </w:r>
      <w:r>
        <w:rPr>
          <w:spacing w:val="9"/>
          <w:sz w:val="24"/>
        </w:rPr>
        <w:t> </w:t>
      </w:r>
      <w:r>
        <w:rPr>
          <w:sz w:val="24"/>
        </w:rPr>
        <w:t>(ii)</w:t>
      </w:r>
      <w:r>
        <w:rPr>
          <w:spacing w:val="40"/>
          <w:sz w:val="24"/>
        </w:rPr>
        <w:t> </w:t>
      </w:r>
      <w:r>
        <w:rPr>
          <w:sz w:val="24"/>
        </w:rPr>
        <w:t>of Table15</w:t>
      </w:r>
      <w:r>
        <w:rPr>
          <w:spacing w:val="40"/>
          <w:sz w:val="24"/>
        </w:rPr>
        <w:t> </w:t>
      </w:r>
      <w:r>
        <w:rPr>
          <w:sz w:val="24"/>
        </w:rPr>
        <w:t>of</w:t>
      </w:r>
      <w:r>
        <w:rPr>
          <w:spacing w:val="40"/>
          <w:sz w:val="24"/>
        </w:rPr>
        <w:t> </w:t>
      </w:r>
      <w:r>
        <w:rPr>
          <w:sz w:val="24"/>
        </w:rPr>
        <w:t>Regulation</w:t>
      </w:r>
      <w:r>
        <w:rPr>
          <w:spacing w:val="40"/>
          <w:sz w:val="24"/>
        </w:rPr>
        <w:t> </w:t>
      </w:r>
      <w:r>
        <w:rPr>
          <w:sz w:val="24"/>
        </w:rPr>
        <w:t>37,</w:t>
      </w:r>
      <w:r>
        <w:rPr>
          <w:spacing w:val="40"/>
          <w:sz w:val="24"/>
        </w:rPr>
        <w:t> </w:t>
      </w:r>
      <w:r>
        <w:rPr>
          <w:sz w:val="24"/>
        </w:rPr>
        <w:t>may</w:t>
      </w:r>
      <w:r>
        <w:rPr>
          <w:spacing w:val="40"/>
          <w:sz w:val="24"/>
        </w:rPr>
        <w:t> </w:t>
      </w:r>
      <w:r>
        <w:rPr>
          <w:sz w:val="24"/>
        </w:rPr>
        <w:t>be</w:t>
      </w:r>
      <w:r>
        <w:rPr>
          <w:spacing w:val="40"/>
          <w:sz w:val="24"/>
        </w:rPr>
        <w:t> </w:t>
      </w:r>
      <w:r>
        <w:rPr>
          <w:sz w:val="24"/>
        </w:rPr>
        <w:t>permitted</w:t>
      </w:r>
      <w:r>
        <w:rPr>
          <w:spacing w:val="40"/>
          <w:sz w:val="24"/>
        </w:rPr>
        <w:t> </w:t>
      </w:r>
      <w:r>
        <w:rPr>
          <w:sz w:val="24"/>
        </w:rPr>
        <w:t>for</w:t>
      </w:r>
      <w:r>
        <w:rPr>
          <w:spacing w:val="40"/>
          <w:sz w:val="24"/>
        </w:rPr>
        <w:t> </w:t>
      </w:r>
      <w:r>
        <w:rPr>
          <w:sz w:val="24"/>
        </w:rPr>
        <w:t>Studio,</w:t>
      </w:r>
      <w:r>
        <w:rPr>
          <w:spacing w:val="40"/>
          <w:sz w:val="24"/>
        </w:rPr>
        <w:t> </w:t>
      </w:r>
      <w:r>
        <w:rPr>
          <w:sz w:val="24"/>
        </w:rPr>
        <w:t>Museum,</w:t>
      </w:r>
      <w:r>
        <w:rPr>
          <w:spacing w:val="40"/>
          <w:sz w:val="24"/>
        </w:rPr>
        <w:t> </w:t>
      </w:r>
      <w:r>
        <w:rPr>
          <w:sz w:val="24"/>
        </w:rPr>
        <w:t>Screening</w:t>
      </w:r>
      <w:r>
        <w:rPr>
          <w:spacing w:val="40"/>
          <w:sz w:val="24"/>
        </w:rPr>
        <w:t> </w:t>
      </w:r>
      <w:r>
        <w:rPr>
          <w:sz w:val="24"/>
        </w:rPr>
        <w:t>Rooms,</w:t>
      </w:r>
      <w:r>
        <w:rPr>
          <w:spacing w:val="40"/>
          <w:sz w:val="24"/>
        </w:rPr>
        <w:t> </w:t>
      </w:r>
      <w:r>
        <w:rPr>
          <w:sz w:val="24"/>
        </w:rPr>
        <w:t>Multiplex</w:t>
      </w:r>
      <w:r>
        <w:rPr>
          <w:spacing w:val="40"/>
          <w:sz w:val="24"/>
        </w:rPr>
        <w:t> </w:t>
      </w:r>
      <w:r>
        <w:rPr>
          <w:sz w:val="24"/>
        </w:rPr>
        <w:t>and</w:t>
      </w:r>
      <w:r>
        <w:rPr>
          <w:spacing w:val="40"/>
          <w:sz w:val="24"/>
        </w:rPr>
        <w:t> </w:t>
      </w:r>
      <w:r>
        <w:rPr>
          <w:spacing w:val="9"/>
          <w:sz w:val="24"/>
        </w:rPr>
        <w:t>Auditoria.</w:t>
      </w:r>
    </w:p>
    <w:p>
      <w:pPr>
        <w:pStyle w:val="ListParagraph"/>
        <w:numPr>
          <w:ilvl w:val="0"/>
          <w:numId w:val="235"/>
        </w:numPr>
        <w:tabs>
          <w:tab w:pos="1546" w:val="left" w:leader="none"/>
        </w:tabs>
        <w:spacing w:line="240" w:lineRule="auto" w:before="0" w:after="0"/>
        <w:ind w:left="1200" w:right="793" w:firstLine="0"/>
        <w:jc w:val="both"/>
        <w:rPr>
          <w:sz w:val="24"/>
        </w:rPr>
      </w:pPr>
      <w:r>
        <w:rPr>
          <w:sz w:val="24"/>
        </w:rPr>
        <w:t>The</w:t>
      </w:r>
      <w:r>
        <w:rPr>
          <w:spacing w:val="80"/>
          <w:sz w:val="24"/>
        </w:rPr>
        <w:t> </w:t>
      </w:r>
      <w:r>
        <w:rPr>
          <w:sz w:val="24"/>
        </w:rPr>
        <w:t>35% fungible Compensatory Floor Space Index may be allowed, subject</w:t>
      </w:r>
      <w:r>
        <w:rPr>
          <w:spacing w:val="40"/>
          <w:sz w:val="24"/>
        </w:rPr>
        <w:t> </w:t>
      </w:r>
      <w:r>
        <w:rPr>
          <w:sz w:val="24"/>
        </w:rPr>
        <w:t>to</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Regulation</w:t>
      </w:r>
      <w:r>
        <w:rPr>
          <w:spacing w:val="40"/>
          <w:sz w:val="24"/>
        </w:rPr>
        <w:t> </w:t>
      </w:r>
      <w:r>
        <w:rPr>
          <w:sz w:val="24"/>
        </w:rPr>
        <w:t>31(3).</w:t>
      </w:r>
    </w:p>
    <w:p>
      <w:pPr>
        <w:pStyle w:val="ListParagraph"/>
        <w:spacing w:after="0" w:line="240" w:lineRule="auto"/>
        <w:jc w:val="both"/>
        <w:rPr>
          <w:sz w:val="24"/>
        </w:rPr>
        <w:sectPr>
          <w:pgSz w:w="11910" w:h="16840"/>
          <w:pgMar w:header="1058" w:footer="1088" w:top="1500" w:bottom="1280" w:left="360" w:right="360"/>
        </w:sectPr>
      </w:pPr>
    </w:p>
    <w:p>
      <w:pPr>
        <w:pStyle w:val="BodyText"/>
        <w:spacing w:before="255"/>
        <w:ind w:left="1200" w:right="795"/>
      </w:pPr>
      <w:r>
        <w:rPr/>
        <w:t>Note: - The development in the Eco Sensitive Zone and Coastal Regulation Zone shall be governed and regulated as per MoEF's Notification in this</w:t>
      </w:r>
      <w:r>
        <w:rPr>
          <w:spacing w:val="40"/>
        </w:rPr>
        <w:t> </w:t>
      </w:r>
      <w:r>
        <w:rPr/>
        <w:t>regard</w:t>
      </w:r>
      <w:r>
        <w:rPr>
          <w:spacing w:val="40"/>
        </w:rPr>
        <w:t> </w:t>
      </w:r>
      <w:r>
        <w:rPr/>
        <w:t>and</w:t>
      </w:r>
      <w:r>
        <w:rPr>
          <w:spacing w:val="40"/>
        </w:rPr>
        <w:t> </w:t>
      </w:r>
      <w:r>
        <w:rPr/>
        <w:t>Circulars</w:t>
      </w:r>
      <w:r>
        <w:rPr>
          <w:spacing w:val="40"/>
        </w:rPr>
        <w:t> </w:t>
      </w:r>
      <w:r>
        <w:rPr/>
        <w:t>issued</w:t>
      </w:r>
      <w:r>
        <w:rPr>
          <w:spacing w:val="40"/>
        </w:rPr>
        <w:t> </w:t>
      </w:r>
      <w:r>
        <w:rPr/>
        <w:t>from</w:t>
      </w:r>
      <w:r>
        <w:rPr>
          <w:spacing w:val="40"/>
        </w:rPr>
        <w:t> </w:t>
      </w:r>
      <w:r>
        <w:rPr/>
        <w:t>time</w:t>
      </w:r>
      <w:r>
        <w:rPr>
          <w:spacing w:val="40"/>
        </w:rPr>
        <w:t> </w:t>
      </w:r>
      <w:r>
        <w:rPr/>
        <w:t>to</w:t>
      </w:r>
      <w:r>
        <w:rPr>
          <w:spacing w:val="40"/>
        </w:rPr>
        <w:t> </w:t>
      </w:r>
      <w:r>
        <w:rPr/>
        <w:t>time.</w:t>
      </w:r>
    </w:p>
    <w:p>
      <w:pPr>
        <w:pStyle w:val="BodyText"/>
        <w:spacing w:before="241"/>
        <w:jc w:val="left"/>
      </w:pPr>
    </w:p>
    <w:p>
      <w:pPr>
        <w:pStyle w:val="ListParagraph"/>
        <w:numPr>
          <w:ilvl w:val="0"/>
          <w:numId w:val="230"/>
        </w:numPr>
        <w:tabs>
          <w:tab w:pos="1665" w:val="left" w:leader="none"/>
        </w:tabs>
        <w:spacing w:line="240" w:lineRule="auto" w:before="0" w:after="0"/>
        <w:ind w:left="1212" w:right="872" w:firstLine="0"/>
        <w:jc w:val="both"/>
        <w:rPr>
          <w:b/>
          <w:sz w:val="24"/>
        </w:rPr>
      </w:pPr>
      <w:r>
        <w:rPr>
          <w:b/>
          <w:sz w:val="24"/>
        </w:rPr>
        <w:t>Amusement</w:t>
      </w:r>
      <w:r>
        <w:rPr>
          <w:b/>
          <w:spacing w:val="40"/>
          <w:sz w:val="24"/>
        </w:rPr>
        <w:t> </w:t>
      </w:r>
      <w:r>
        <w:rPr>
          <w:b/>
          <w:sz w:val="24"/>
        </w:rPr>
        <w:t>park:</w:t>
      </w:r>
      <w:r>
        <w:rPr>
          <w:b/>
          <w:spacing w:val="40"/>
          <w:sz w:val="24"/>
        </w:rPr>
        <w:t> </w:t>
      </w:r>
      <w:r>
        <w:rPr>
          <w:sz w:val="24"/>
        </w:rPr>
        <w:t>Amusement</w:t>
      </w:r>
      <w:r>
        <w:rPr>
          <w:spacing w:val="40"/>
          <w:sz w:val="24"/>
        </w:rPr>
        <w:t> </w:t>
      </w:r>
      <w:r>
        <w:rPr>
          <w:sz w:val="24"/>
        </w:rPr>
        <w:t>park</w:t>
      </w:r>
      <w:r>
        <w:rPr>
          <w:spacing w:val="40"/>
          <w:sz w:val="24"/>
        </w:rPr>
        <w:t> </w:t>
      </w:r>
      <w:r>
        <w:rPr>
          <w:sz w:val="24"/>
        </w:rPr>
        <w:t>in</w:t>
      </w:r>
      <w:r>
        <w:rPr>
          <w:spacing w:val="40"/>
          <w:sz w:val="24"/>
        </w:rPr>
        <w:t> </w:t>
      </w:r>
      <w:r>
        <w:rPr>
          <w:sz w:val="24"/>
        </w:rPr>
        <w:t>a</w:t>
      </w:r>
      <w:r>
        <w:rPr>
          <w:spacing w:val="40"/>
          <w:sz w:val="24"/>
        </w:rPr>
        <w:t> </w:t>
      </w:r>
      <w:r>
        <w:rPr>
          <w:sz w:val="24"/>
        </w:rPr>
        <w:t>plot</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4</w:t>
      </w:r>
      <w:r>
        <w:rPr>
          <w:spacing w:val="40"/>
          <w:sz w:val="24"/>
        </w:rPr>
        <w:t> </w:t>
      </w:r>
      <w:r>
        <w:rPr>
          <w:sz w:val="24"/>
        </w:rPr>
        <w:t>ha. in</w:t>
      </w:r>
      <w:r>
        <w:rPr>
          <w:spacing w:val="40"/>
          <w:sz w:val="24"/>
        </w:rPr>
        <w:t> </w:t>
      </w:r>
      <w:r>
        <w:rPr>
          <w:sz w:val="24"/>
        </w:rPr>
        <w:t>area,</w:t>
      </w:r>
      <w:r>
        <w:rPr>
          <w:spacing w:val="40"/>
          <w:sz w:val="24"/>
        </w:rPr>
        <w:t> </w:t>
      </w:r>
      <w:r>
        <w:rPr>
          <w:sz w:val="24"/>
        </w:rPr>
        <w:t>with</w:t>
      </w:r>
      <w:r>
        <w:rPr>
          <w:spacing w:val="40"/>
          <w:sz w:val="24"/>
        </w:rPr>
        <w:t> </w:t>
      </w:r>
      <w:r>
        <w:rPr>
          <w:sz w:val="24"/>
        </w:rPr>
        <w:t>recreational</w:t>
      </w:r>
      <w:r>
        <w:rPr>
          <w:spacing w:val="40"/>
          <w:sz w:val="24"/>
        </w:rPr>
        <w:t> </w:t>
      </w:r>
      <w:r>
        <w:rPr>
          <w:sz w:val="24"/>
        </w:rPr>
        <w:t>and</w:t>
      </w:r>
      <w:r>
        <w:rPr>
          <w:spacing w:val="40"/>
          <w:sz w:val="24"/>
        </w:rPr>
        <w:t> </w:t>
      </w:r>
      <w:r>
        <w:rPr>
          <w:sz w:val="24"/>
        </w:rPr>
        <w:t>amusement</w:t>
      </w:r>
      <w:r>
        <w:rPr>
          <w:spacing w:val="40"/>
          <w:sz w:val="24"/>
        </w:rPr>
        <w:t> </w:t>
      </w:r>
      <w:r>
        <w:rPr>
          <w:sz w:val="24"/>
        </w:rPr>
        <w:t>devices</w:t>
      </w:r>
      <w:r>
        <w:rPr>
          <w:spacing w:val="40"/>
          <w:sz w:val="24"/>
        </w:rPr>
        <w:t> </w:t>
      </w:r>
      <w:r>
        <w:rPr>
          <w:sz w:val="24"/>
        </w:rPr>
        <w:t>like</w:t>
      </w:r>
      <w:r>
        <w:rPr>
          <w:spacing w:val="40"/>
          <w:sz w:val="24"/>
        </w:rPr>
        <w:t> </w:t>
      </w:r>
      <w:r>
        <w:rPr>
          <w:sz w:val="24"/>
        </w:rPr>
        <w:t>a</w:t>
      </w:r>
      <w:r>
        <w:rPr>
          <w:spacing w:val="40"/>
          <w:sz w:val="24"/>
        </w:rPr>
        <w:t> </w:t>
      </w:r>
      <w:r>
        <w:rPr>
          <w:sz w:val="24"/>
        </w:rPr>
        <w:t>giant</w:t>
      </w:r>
      <w:r>
        <w:rPr>
          <w:spacing w:val="40"/>
          <w:sz w:val="24"/>
        </w:rPr>
        <w:t> </w:t>
      </w:r>
      <w:r>
        <w:rPr>
          <w:sz w:val="24"/>
        </w:rPr>
        <w:t>wheel,</w:t>
      </w:r>
      <w:r>
        <w:rPr>
          <w:spacing w:val="40"/>
          <w:sz w:val="24"/>
        </w:rPr>
        <w:t> </w:t>
      </w:r>
      <w:r>
        <w:rPr>
          <w:sz w:val="24"/>
        </w:rPr>
        <w:t>roller</w:t>
      </w:r>
      <w:r>
        <w:rPr>
          <w:spacing w:val="40"/>
          <w:sz w:val="24"/>
        </w:rPr>
        <w:t> </w:t>
      </w:r>
      <w:r>
        <w:rPr>
          <w:sz w:val="24"/>
        </w:rPr>
        <w:t>coaster,</w:t>
      </w:r>
      <w:r>
        <w:rPr>
          <w:spacing w:val="10"/>
          <w:sz w:val="24"/>
        </w:rPr>
        <w:t> merry-</w:t>
      </w:r>
      <w:r>
        <w:rPr>
          <w:sz w:val="24"/>
        </w:rPr>
        <w:t>go-round</w:t>
      </w:r>
      <w:r>
        <w:rPr>
          <w:spacing w:val="40"/>
          <w:sz w:val="24"/>
        </w:rPr>
        <w:t> </w:t>
      </w:r>
      <w:r>
        <w:rPr>
          <w:sz w:val="24"/>
        </w:rPr>
        <w:t>or</w:t>
      </w:r>
      <w:r>
        <w:rPr>
          <w:spacing w:val="40"/>
          <w:sz w:val="24"/>
        </w:rPr>
        <w:t> </w:t>
      </w:r>
      <w:r>
        <w:rPr>
          <w:sz w:val="24"/>
        </w:rPr>
        <w:t>similar</w:t>
      </w:r>
      <w:r>
        <w:rPr>
          <w:spacing w:val="40"/>
          <w:sz w:val="24"/>
        </w:rPr>
        <w:t> </w:t>
      </w:r>
      <w:r>
        <w:rPr>
          <w:sz w:val="24"/>
        </w:rPr>
        <w:t>rides,</w:t>
      </w:r>
      <w:r>
        <w:rPr>
          <w:spacing w:val="40"/>
          <w:sz w:val="24"/>
        </w:rPr>
        <w:t> </w:t>
      </w:r>
      <w:r>
        <w:rPr>
          <w:sz w:val="24"/>
        </w:rPr>
        <w:t>ocean</w:t>
      </w:r>
      <w:r>
        <w:rPr>
          <w:spacing w:val="40"/>
          <w:sz w:val="24"/>
        </w:rPr>
        <w:t> </w:t>
      </w:r>
      <w:r>
        <w:rPr>
          <w:sz w:val="24"/>
        </w:rPr>
        <w:t>-park,</w:t>
      </w:r>
      <w:r>
        <w:rPr>
          <w:spacing w:val="40"/>
          <w:sz w:val="24"/>
        </w:rPr>
        <w:t> </w:t>
      </w:r>
      <w:r>
        <w:rPr>
          <w:sz w:val="24"/>
        </w:rPr>
        <w:t>swimming pool, magic mountain and lake, ethnic village, shops for souvenirs, toys, goods, refreshments and beverages shall be permissible with the special permission of commissioner. The Permissible FSI shall not Exceed 0.025 (excluding</w:t>
      </w:r>
      <w:r>
        <w:rPr>
          <w:spacing w:val="40"/>
          <w:sz w:val="24"/>
        </w:rPr>
        <w:t> </w:t>
      </w:r>
      <w:r>
        <w:rPr>
          <w:sz w:val="24"/>
        </w:rPr>
        <w:t>area</w:t>
      </w:r>
      <w:r>
        <w:rPr>
          <w:spacing w:val="40"/>
          <w:sz w:val="24"/>
        </w:rPr>
        <w:t> </w:t>
      </w:r>
      <w:r>
        <w:rPr>
          <w:sz w:val="24"/>
        </w:rPr>
        <w:t>of</w:t>
      </w:r>
      <w:r>
        <w:rPr>
          <w:spacing w:val="40"/>
          <w:sz w:val="24"/>
        </w:rPr>
        <w:t> </w:t>
      </w:r>
      <w:r>
        <w:rPr>
          <w:sz w:val="24"/>
        </w:rPr>
        <w:t>DP</w:t>
      </w:r>
      <w:r>
        <w:rPr>
          <w:spacing w:val="40"/>
          <w:sz w:val="24"/>
        </w:rPr>
        <w:t> </w:t>
      </w:r>
      <w:r>
        <w:rPr>
          <w:sz w:val="24"/>
        </w:rPr>
        <w:t>road)</w:t>
      </w:r>
    </w:p>
    <w:p>
      <w:pPr>
        <w:pStyle w:val="ListParagraph"/>
        <w:numPr>
          <w:ilvl w:val="0"/>
          <w:numId w:val="236"/>
        </w:numPr>
        <w:tabs>
          <w:tab w:pos="1570" w:val="left" w:leader="none"/>
        </w:tabs>
        <w:spacing w:line="240" w:lineRule="auto" w:before="241" w:after="0"/>
        <w:ind w:left="1212" w:right="887" w:firstLine="0"/>
        <w:jc w:val="both"/>
        <w:rPr>
          <w:sz w:val="24"/>
        </w:rPr>
      </w:pPr>
      <w:r>
        <w:rPr>
          <w:sz w:val="24"/>
        </w:rPr>
        <w:t>The</w:t>
      </w:r>
      <w:r>
        <w:rPr>
          <w:spacing w:val="40"/>
          <w:sz w:val="24"/>
        </w:rPr>
        <w:t> </w:t>
      </w:r>
      <w:r>
        <w:rPr>
          <w:sz w:val="24"/>
        </w:rPr>
        <w:t>entire</w:t>
      </w:r>
      <w:r>
        <w:rPr>
          <w:spacing w:val="40"/>
          <w:sz w:val="24"/>
        </w:rPr>
        <w:t> </w:t>
      </w:r>
      <w:r>
        <w:rPr>
          <w:sz w:val="24"/>
        </w:rPr>
        <w:t>land</w:t>
      </w:r>
      <w:r>
        <w:rPr>
          <w:spacing w:val="40"/>
          <w:sz w:val="24"/>
        </w:rPr>
        <w:t> </w:t>
      </w:r>
      <w:r>
        <w:rPr>
          <w:sz w:val="24"/>
        </w:rPr>
        <w:t>for</w:t>
      </w:r>
      <w:r>
        <w:rPr>
          <w:spacing w:val="40"/>
          <w:sz w:val="24"/>
        </w:rPr>
        <w:t> </w:t>
      </w:r>
      <w:r>
        <w:rPr>
          <w:sz w:val="24"/>
        </w:rPr>
        <w:t>the</w:t>
      </w:r>
      <w:r>
        <w:rPr>
          <w:spacing w:val="40"/>
          <w:sz w:val="24"/>
        </w:rPr>
        <w:t> </w:t>
      </w:r>
      <w:r>
        <w:rPr>
          <w:sz w:val="24"/>
        </w:rPr>
        <w:t>amusement</w:t>
      </w:r>
      <w:r>
        <w:rPr>
          <w:spacing w:val="40"/>
          <w:sz w:val="24"/>
        </w:rPr>
        <w:t> </w:t>
      </w:r>
      <w:r>
        <w:rPr>
          <w:sz w:val="24"/>
        </w:rPr>
        <w:t>park</w:t>
      </w:r>
      <w:r>
        <w:rPr>
          <w:spacing w:val="40"/>
          <w:sz w:val="24"/>
        </w:rPr>
        <w:t> </w:t>
      </w:r>
      <w:r>
        <w:rPr>
          <w:sz w:val="24"/>
        </w:rPr>
        <w:t>shall</w:t>
      </w:r>
      <w:r>
        <w:rPr>
          <w:spacing w:val="40"/>
          <w:sz w:val="24"/>
        </w:rPr>
        <w:t> </w:t>
      </w:r>
      <w:r>
        <w:rPr>
          <w:sz w:val="24"/>
        </w:rPr>
        <w:t>vest</w:t>
      </w:r>
      <w:r>
        <w:rPr>
          <w:spacing w:val="40"/>
          <w:sz w:val="24"/>
        </w:rPr>
        <w:t> </w:t>
      </w:r>
      <w:r>
        <w:rPr>
          <w:sz w:val="24"/>
        </w:rPr>
        <w:t>in</w:t>
      </w:r>
      <w:r>
        <w:rPr>
          <w:spacing w:val="40"/>
          <w:sz w:val="24"/>
        </w:rPr>
        <w:t> </w:t>
      </w:r>
      <w:r>
        <w:rPr>
          <w:sz w:val="24"/>
        </w:rPr>
        <w:t>a</w:t>
      </w:r>
      <w:r>
        <w:rPr>
          <w:spacing w:val="40"/>
          <w:sz w:val="24"/>
        </w:rPr>
        <w:t> </w:t>
      </w:r>
      <w:r>
        <w:rPr>
          <w:sz w:val="24"/>
        </w:rPr>
        <w:t>single ownership</w:t>
      </w:r>
      <w:r>
        <w:rPr>
          <w:spacing w:val="40"/>
          <w:sz w:val="24"/>
        </w:rPr>
        <w:t> </w:t>
      </w:r>
      <w:r>
        <w:rPr>
          <w:sz w:val="24"/>
        </w:rPr>
        <w:t>and</w:t>
      </w:r>
      <w:r>
        <w:rPr>
          <w:spacing w:val="40"/>
          <w:sz w:val="24"/>
        </w:rPr>
        <w:t> </w:t>
      </w:r>
      <w:r>
        <w:rPr>
          <w:sz w:val="24"/>
        </w:rPr>
        <w:t>the</w:t>
      </w:r>
      <w:r>
        <w:rPr>
          <w:spacing w:val="40"/>
          <w:sz w:val="24"/>
        </w:rPr>
        <w:t> </w:t>
      </w:r>
      <w:r>
        <w:rPr>
          <w:sz w:val="24"/>
        </w:rPr>
        <w:t>land</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pacing w:val="9"/>
          <w:sz w:val="24"/>
        </w:rPr>
        <w:t>sub-</w:t>
      </w:r>
      <w:r>
        <w:rPr>
          <w:sz w:val="24"/>
        </w:rPr>
        <w:t>divided</w:t>
      </w:r>
      <w:r>
        <w:rPr>
          <w:spacing w:val="40"/>
          <w:sz w:val="24"/>
        </w:rPr>
        <w:t> </w:t>
      </w:r>
      <w:r>
        <w:rPr>
          <w:sz w:val="24"/>
        </w:rPr>
        <w:t>at</w:t>
      </w:r>
      <w:r>
        <w:rPr>
          <w:spacing w:val="40"/>
          <w:sz w:val="24"/>
        </w:rPr>
        <w:t> </w:t>
      </w:r>
      <w:r>
        <w:rPr>
          <w:sz w:val="24"/>
        </w:rPr>
        <w:t>any</w:t>
      </w:r>
      <w:r>
        <w:rPr>
          <w:spacing w:val="40"/>
          <w:sz w:val="24"/>
        </w:rPr>
        <w:t> </w:t>
      </w:r>
      <w:r>
        <w:rPr>
          <w:sz w:val="24"/>
        </w:rPr>
        <w:t>time.</w:t>
      </w:r>
    </w:p>
    <w:p>
      <w:pPr>
        <w:pStyle w:val="ListParagraph"/>
        <w:numPr>
          <w:ilvl w:val="0"/>
          <w:numId w:val="236"/>
        </w:numPr>
        <w:tabs>
          <w:tab w:pos="1573" w:val="left" w:leader="none"/>
        </w:tabs>
        <w:spacing w:line="240" w:lineRule="auto" w:before="238" w:after="0"/>
        <w:ind w:left="1212" w:right="883" w:firstLine="0"/>
        <w:jc w:val="both"/>
        <w:rPr>
          <w:sz w:val="24"/>
        </w:rPr>
      </w:pPr>
      <w:r>
        <w:rPr>
          <w:sz w:val="24"/>
        </w:rPr>
        <w:t>The</w:t>
      </w:r>
      <w:r>
        <w:rPr>
          <w:spacing w:val="40"/>
          <w:sz w:val="24"/>
        </w:rPr>
        <w:t> </w:t>
      </w:r>
      <w:r>
        <w:rPr>
          <w:sz w:val="24"/>
        </w:rPr>
        <w:t>required</w:t>
      </w:r>
      <w:r>
        <w:rPr>
          <w:spacing w:val="40"/>
          <w:sz w:val="24"/>
        </w:rPr>
        <w:t> </w:t>
      </w:r>
      <w:r>
        <w:rPr>
          <w:sz w:val="24"/>
        </w:rPr>
        <w:t>infrastructure,</w:t>
      </w:r>
      <w:r>
        <w:rPr>
          <w:spacing w:val="40"/>
          <w:sz w:val="24"/>
        </w:rPr>
        <w:t> </w:t>
      </w:r>
      <w:r>
        <w:rPr>
          <w:sz w:val="24"/>
        </w:rPr>
        <w:t>like</w:t>
      </w:r>
      <w:r>
        <w:rPr>
          <w:spacing w:val="40"/>
          <w:sz w:val="24"/>
        </w:rPr>
        <w:t> </w:t>
      </w:r>
      <w:r>
        <w:rPr>
          <w:sz w:val="24"/>
        </w:rPr>
        <w:t>proper</w:t>
      </w:r>
      <w:r>
        <w:rPr>
          <w:spacing w:val="40"/>
          <w:sz w:val="24"/>
        </w:rPr>
        <w:t> </w:t>
      </w:r>
      <w:r>
        <w:rPr>
          <w:sz w:val="24"/>
        </w:rPr>
        <w:t>and</w:t>
      </w:r>
      <w:r>
        <w:rPr>
          <w:spacing w:val="40"/>
          <w:sz w:val="24"/>
        </w:rPr>
        <w:t> </w:t>
      </w:r>
      <w:r>
        <w:rPr>
          <w:sz w:val="24"/>
        </w:rPr>
        <w:t>adequate</w:t>
      </w:r>
      <w:r>
        <w:rPr>
          <w:spacing w:val="40"/>
          <w:sz w:val="24"/>
        </w:rPr>
        <w:t> </w:t>
      </w:r>
      <w:r>
        <w:rPr>
          <w:sz w:val="24"/>
        </w:rPr>
        <w:t>access</w:t>
      </w:r>
      <w:r>
        <w:rPr>
          <w:spacing w:val="40"/>
          <w:sz w:val="24"/>
        </w:rPr>
        <w:t> </w:t>
      </w:r>
      <w:r>
        <w:rPr>
          <w:sz w:val="24"/>
        </w:rPr>
        <w:t>to</w:t>
      </w:r>
      <w:r>
        <w:rPr>
          <w:spacing w:val="40"/>
          <w:sz w:val="24"/>
        </w:rPr>
        <w:t> </w:t>
      </w:r>
      <w:r>
        <w:rPr>
          <w:sz w:val="24"/>
        </w:rPr>
        <w:t>the park,</w:t>
      </w:r>
      <w:r>
        <w:rPr>
          <w:spacing w:val="80"/>
          <w:sz w:val="24"/>
        </w:rPr>
        <w:t> </w:t>
      </w:r>
      <w:r>
        <w:rPr>
          <w:sz w:val="24"/>
        </w:rPr>
        <w:t>water</w:t>
      </w:r>
      <w:r>
        <w:rPr>
          <w:spacing w:val="80"/>
          <w:sz w:val="24"/>
        </w:rPr>
        <w:t> </w:t>
      </w:r>
      <w:r>
        <w:rPr>
          <w:sz w:val="24"/>
        </w:rPr>
        <w:t>supply,</w:t>
      </w:r>
      <w:r>
        <w:rPr>
          <w:spacing w:val="80"/>
          <w:sz w:val="24"/>
        </w:rPr>
        <w:t> </w:t>
      </w:r>
      <w:r>
        <w:rPr>
          <w:sz w:val="24"/>
        </w:rPr>
        <w:t>sanitation,</w:t>
      </w:r>
      <w:r>
        <w:rPr>
          <w:spacing w:val="80"/>
          <w:sz w:val="24"/>
        </w:rPr>
        <w:t> </w:t>
      </w:r>
      <w:r>
        <w:rPr>
          <w:sz w:val="24"/>
        </w:rPr>
        <w:t>conservancy</w:t>
      </w:r>
      <w:r>
        <w:rPr>
          <w:spacing w:val="80"/>
          <w:sz w:val="24"/>
        </w:rPr>
        <w:t> </w:t>
      </w:r>
      <w:r>
        <w:rPr>
          <w:sz w:val="24"/>
        </w:rPr>
        <w:t>services,</w:t>
      </w:r>
      <w:r>
        <w:rPr>
          <w:spacing w:val="80"/>
          <w:sz w:val="24"/>
        </w:rPr>
        <w:t> </w:t>
      </w:r>
      <w:r>
        <w:rPr>
          <w:sz w:val="24"/>
        </w:rPr>
        <w:t>sewage</w:t>
      </w:r>
      <w:r>
        <w:rPr>
          <w:spacing w:val="80"/>
          <w:sz w:val="24"/>
        </w:rPr>
        <w:t> </w:t>
      </w:r>
      <w:r>
        <w:rPr>
          <w:sz w:val="24"/>
        </w:rPr>
        <w:t>disposal and</w:t>
      </w:r>
      <w:r>
        <w:rPr>
          <w:spacing w:val="40"/>
          <w:sz w:val="24"/>
        </w:rPr>
        <w:t> </w:t>
      </w:r>
      <w:r>
        <w:rPr>
          <w:sz w:val="24"/>
        </w:rPr>
        <w:t>adequate</w:t>
      </w:r>
      <w:r>
        <w:rPr>
          <w:spacing w:val="40"/>
          <w:sz w:val="24"/>
        </w:rPr>
        <w:t> </w:t>
      </w:r>
      <w:r>
        <w:rPr>
          <w:spacing w:val="10"/>
          <w:sz w:val="24"/>
        </w:rPr>
        <w:t>off-</w:t>
      </w:r>
      <w:r>
        <w:rPr>
          <w:sz w:val="24"/>
        </w:rPr>
        <w:t>street</w:t>
      </w:r>
      <w:r>
        <w:rPr>
          <w:spacing w:val="40"/>
          <w:sz w:val="24"/>
        </w:rPr>
        <w:t> </w:t>
      </w:r>
      <w:r>
        <w:rPr>
          <w:sz w:val="24"/>
        </w:rPr>
        <w:t>parking</w:t>
      </w:r>
      <w:r>
        <w:rPr>
          <w:spacing w:val="40"/>
          <w:sz w:val="24"/>
        </w:rPr>
        <w:t> </w:t>
      </w:r>
      <w:r>
        <w:rPr>
          <w:sz w:val="24"/>
        </w:rPr>
        <w:t>will</w:t>
      </w:r>
      <w:r>
        <w:rPr>
          <w:spacing w:val="40"/>
          <w:sz w:val="24"/>
        </w:rPr>
        <w:t> </w:t>
      </w:r>
      <w:r>
        <w:rPr>
          <w:sz w:val="24"/>
        </w:rPr>
        <w:t>have</w:t>
      </w:r>
      <w:r>
        <w:rPr>
          <w:spacing w:val="40"/>
          <w:sz w:val="24"/>
        </w:rPr>
        <w:t> </w:t>
      </w:r>
      <w:r>
        <w:rPr>
          <w:sz w:val="24"/>
        </w:rPr>
        <w:t>to</w:t>
      </w:r>
      <w:r>
        <w:rPr>
          <w:spacing w:val="40"/>
          <w:sz w:val="24"/>
        </w:rPr>
        <w:t> </w:t>
      </w:r>
      <w:r>
        <w:rPr>
          <w:sz w:val="24"/>
        </w:rPr>
        <w:t>be</w:t>
      </w:r>
      <w:r>
        <w:rPr>
          <w:spacing w:val="40"/>
          <w:sz w:val="24"/>
        </w:rPr>
        <w:t> </w:t>
      </w:r>
      <w:r>
        <w:rPr>
          <w:sz w:val="24"/>
        </w:rPr>
        <w:t>provided</w:t>
      </w:r>
      <w:r>
        <w:rPr>
          <w:spacing w:val="40"/>
          <w:sz w:val="24"/>
        </w:rPr>
        <w:t> </w:t>
      </w:r>
      <w:r>
        <w:rPr>
          <w:sz w:val="24"/>
        </w:rPr>
        <w:t>and</w:t>
      </w:r>
      <w:r>
        <w:rPr>
          <w:spacing w:val="40"/>
          <w:sz w:val="24"/>
        </w:rPr>
        <w:t> </w:t>
      </w:r>
      <w:r>
        <w:rPr>
          <w:sz w:val="24"/>
        </w:rPr>
        <w:t>maintained by</w:t>
      </w:r>
      <w:r>
        <w:rPr>
          <w:spacing w:val="40"/>
          <w:sz w:val="24"/>
        </w:rPr>
        <w:t> </w:t>
      </w:r>
      <w:r>
        <w:rPr>
          <w:sz w:val="24"/>
        </w:rPr>
        <w:t>the</w:t>
      </w:r>
      <w:r>
        <w:rPr>
          <w:spacing w:val="40"/>
          <w:sz w:val="24"/>
        </w:rPr>
        <w:t> </w:t>
      </w:r>
      <w:r>
        <w:rPr>
          <w:sz w:val="24"/>
        </w:rPr>
        <w:t>promoters</w:t>
      </w:r>
      <w:r>
        <w:rPr>
          <w:spacing w:val="77"/>
          <w:sz w:val="24"/>
        </w:rPr>
        <w:t> </w:t>
      </w:r>
      <w:r>
        <w:rPr>
          <w:sz w:val="24"/>
        </w:rPr>
        <w:t>of</w:t>
      </w:r>
      <w:r>
        <w:rPr>
          <w:spacing w:val="40"/>
          <w:sz w:val="24"/>
        </w:rPr>
        <w:t> </w:t>
      </w:r>
      <w:r>
        <w:rPr>
          <w:sz w:val="24"/>
        </w:rPr>
        <w:t>the</w:t>
      </w:r>
      <w:r>
        <w:rPr>
          <w:spacing w:val="40"/>
          <w:sz w:val="24"/>
        </w:rPr>
        <w:t> </w:t>
      </w:r>
      <w:r>
        <w:rPr>
          <w:sz w:val="24"/>
        </w:rPr>
        <w:t>project</w:t>
      </w:r>
      <w:r>
        <w:rPr>
          <w:spacing w:val="40"/>
          <w:sz w:val="24"/>
        </w:rPr>
        <w:t> </w:t>
      </w:r>
      <w:r>
        <w:rPr>
          <w:sz w:val="24"/>
        </w:rPr>
        <w:t>at</w:t>
      </w:r>
      <w:r>
        <w:rPr>
          <w:spacing w:val="40"/>
          <w:sz w:val="24"/>
        </w:rPr>
        <w:t> </w:t>
      </w:r>
      <w:r>
        <w:rPr>
          <w:sz w:val="24"/>
        </w:rPr>
        <w:t>their</w:t>
      </w:r>
      <w:r>
        <w:rPr>
          <w:spacing w:val="40"/>
          <w:sz w:val="24"/>
        </w:rPr>
        <w:t> </w:t>
      </w:r>
      <w:r>
        <w:rPr>
          <w:sz w:val="24"/>
        </w:rPr>
        <w:t>cost</w:t>
      </w:r>
      <w:r>
        <w:rPr>
          <w:spacing w:val="40"/>
          <w:sz w:val="24"/>
        </w:rPr>
        <w:t> </w:t>
      </w:r>
      <w:r>
        <w:rPr>
          <w:sz w:val="24"/>
        </w:rPr>
        <w:t>and</w:t>
      </w:r>
      <w:r>
        <w:rPr>
          <w:spacing w:val="40"/>
          <w:sz w:val="24"/>
        </w:rPr>
        <w:t> </w:t>
      </w:r>
      <w:r>
        <w:rPr>
          <w:sz w:val="24"/>
        </w:rPr>
        <w:t>to</w:t>
      </w:r>
      <w:r>
        <w:rPr>
          <w:spacing w:val="40"/>
          <w:sz w:val="24"/>
        </w:rPr>
        <w:t> </w:t>
      </w:r>
      <w:r>
        <w:rPr>
          <w:sz w:val="24"/>
        </w:rPr>
        <w:t>the</w:t>
      </w:r>
      <w:r>
        <w:rPr>
          <w:spacing w:val="40"/>
          <w:sz w:val="24"/>
        </w:rPr>
        <w:t> </w:t>
      </w:r>
      <w:r>
        <w:rPr>
          <w:sz w:val="24"/>
        </w:rPr>
        <w:t>satisfaction</w:t>
      </w:r>
      <w:r>
        <w:rPr>
          <w:spacing w:val="40"/>
          <w:sz w:val="24"/>
        </w:rPr>
        <w:t> </w:t>
      </w:r>
      <w:r>
        <w:rPr>
          <w:sz w:val="24"/>
        </w:rPr>
        <w:t>of</w:t>
      </w:r>
      <w:r>
        <w:rPr>
          <w:spacing w:val="40"/>
          <w:sz w:val="24"/>
        </w:rPr>
        <w:t> </w:t>
      </w:r>
      <w:r>
        <w:rPr>
          <w:sz w:val="24"/>
        </w:rPr>
        <w:t>the </w:t>
      </w:r>
      <w:r>
        <w:rPr>
          <w:spacing w:val="9"/>
          <w:sz w:val="24"/>
        </w:rPr>
        <w:t>Commissioner.</w:t>
      </w:r>
    </w:p>
    <w:p>
      <w:pPr>
        <w:pStyle w:val="ListParagraph"/>
        <w:numPr>
          <w:ilvl w:val="0"/>
          <w:numId w:val="236"/>
        </w:numPr>
        <w:tabs>
          <w:tab w:pos="1571" w:val="left" w:leader="none"/>
        </w:tabs>
        <w:spacing w:line="240" w:lineRule="auto" w:before="241" w:after="0"/>
        <w:ind w:left="1212" w:right="870" w:firstLine="0"/>
        <w:jc w:val="both"/>
        <w:rPr>
          <w:sz w:val="24"/>
        </w:rPr>
      </w:pPr>
      <w:r>
        <w:rPr>
          <w:sz w:val="24"/>
        </w:rPr>
        <w:t>The</w:t>
      </w:r>
      <w:r>
        <w:rPr>
          <w:spacing w:val="40"/>
          <w:sz w:val="24"/>
        </w:rPr>
        <w:t> </w:t>
      </w:r>
      <w:r>
        <w:rPr>
          <w:sz w:val="24"/>
        </w:rPr>
        <w:t>promoters</w:t>
      </w:r>
      <w:r>
        <w:rPr>
          <w:spacing w:val="40"/>
          <w:sz w:val="24"/>
        </w:rPr>
        <w:t> </w:t>
      </w:r>
      <w:r>
        <w:rPr>
          <w:sz w:val="24"/>
        </w:rPr>
        <w:t>of</w:t>
      </w:r>
      <w:r>
        <w:rPr>
          <w:spacing w:val="40"/>
          <w:sz w:val="24"/>
        </w:rPr>
        <w:t> </w:t>
      </w:r>
      <w:r>
        <w:rPr>
          <w:sz w:val="24"/>
        </w:rPr>
        <w:t>the</w:t>
      </w:r>
      <w:r>
        <w:rPr>
          <w:spacing w:val="40"/>
          <w:sz w:val="24"/>
        </w:rPr>
        <w:t> </w:t>
      </w:r>
      <w:r>
        <w:rPr>
          <w:sz w:val="24"/>
        </w:rPr>
        <w:t>project</w:t>
      </w:r>
      <w:r>
        <w:rPr>
          <w:spacing w:val="40"/>
          <w:sz w:val="24"/>
        </w:rPr>
        <w:t> </w:t>
      </w:r>
      <w:r>
        <w:rPr>
          <w:sz w:val="24"/>
        </w:rPr>
        <w:t>shall</w:t>
      </w:r>
      <w:r>
        <w:rPr>
          <w:spacing w:val="40"/>
          <w:sz w:val="24"/>
        </w:rPr>
        <w:t> </w:t>
      </w:r>
      <w:r>
        <w:rPr>
          <w:sz w:val="24"/>
        </w:rPr>
        <w:t>provide</w:t>
      </w:r>
      <w:r>
        <w:rPr>
          <w:spacing w:val="40"/>
          <w:sz w:val="24"/>
        </w:rPr>
        <w:t> </w:t>
      </w:r>
      <w:r>
        <w:rPr>
          <w:sz w:val="24"/>
        </w:rPr>
        <w:t>adequate</w:t>
      </w:r>
      <w:r>
        <w:rPr>
          <w:spacing w:val="40"/>
          <w:sz w:val="24"/>
        </w:rPr>
        <w:t> </w:t>
      </w:r>
      <w:r>
        <w:rPr>
          <w:sz w:val="24"/>
        </w:rPr>
        <w:t>facilities</w:t>
      </w:r>
      <w:r>
        <w:rPr>
          <w:spacing w:val="40"/>
          <w:sz w:val="24"/>
        </w:rPr>
        <w:t> </w:t>
      </w:r>
      <w:r>
        <w:rPr>
          <w:sz w:val="24"/>
        </w:rPr>
        <w:t>for collection</w:t>
      </w:r>
      <w:r>
        <w:rPr>
          <w:spacing w:val="40"/>
          <w:sz w:val="24"/>
        </w:rPr>
        <w:t> </w:t>
      </w:r>
      <w:r>
        <w:rPr>
          <w:sz w:val="24"/>
        </w:rPr>
        <w:t>and</w:t>
      </w:r>
      <w:r>
        <w:rPr>
          <w:spacing w:val="68"/>
          <w:sz w:val="24"/>
        </w:rPr>
        <w:t> </w:t>
      </w:r>
      <w:r>
        <w:rPr>
          <w:sz w:val="24"/>
        </w:rPr>
        <w:t>disposal</w:t>
      </w:r>
      <w:r>
        <w:rPr>
          <w:spacing w:val="40"/>
          <w:sz w:val="24"/>
        </w:rPr>
        <w:t> </w:t>
      </w:r>
      <w:r>
        <w:rPr>
          <w:sz w:val="24"/>
        </w:rPr>
        <w:t>of</w:t>
      </w:r>
      <w:r>
        <w:rPr>
          <w:spacing w:val="40"/>
          <w:sz w:val="24"/>
        </w:rPr>
        <w:t> </w:t>
      </w:r>
      <w:r>
        <w:rPr>
          <w:sz w:val="24"/>
        </w:rPr>
        <w:t>garbage</w:t>
      </w:r>
      <w:r>
        <w:rPr>
          <w:spacing w:val="68"/>
          <w:sz w:val="24"/>
        </w:rPr>
        <w:t> </w:t>
      </w:r>
      <w:r>
        <w:rPr>
          <w:sz w:val="24"/>
        </w:rPr>
        <w:t>at</w:t>
      </w:r>
      <w:r>
        <w:rPr>
          <w:spacing w:val="68"/>
          <w:sz w:val="24"/>
        </w:rPr>
        <w:t> </w:t>
      </w:r>
      <w:r>
        <w:rPr>
          <w:sz w:val="24"/>
        </w:rPr>
        <w:t>their</w:t>
      </w:r>
      <w:r>
        <w:rPr>
          <w:spacing w:val="40"/>
          <w:sz w:val="24"/>
        </w:rPr>
        <w:t> </w:t>
      </w:r>
      <w:r>
        <w:rPr>
          <w:sz w:val="24"/>
        </w:rPr>
        <w:t>cost,</w:t>
      </w:r>
      <w:r>
        <w:rPr>
          <w:spacing w:val="40"/>
          <w:sz w:val="24"/>
        </w:rPr>
        <w:t> </w:t>
      </w:r>
      <w:r>
        <w:rPr>
          <w:sz w:val="24"/>
        </w:rPr>
        <w:t>and</w:t>
      </w:r>
      <w:r>
        <w:rPr>
          <w:spacing w:val="68"/>
          <w:sz w:val="24"/>
        </w:rPr>
        <w:t> </w:t>
      </w:r>
      <w:r>
        <w:rPr>
          <w:sz w:val="24"/>
        </w:rPr>
        <w:t>to</w:t>
      </w:r>
      <w:r>
        <w:rPr>
          <w:spacing w:val="40"/>
          <w:sz w:val="24"/>
        </w:rPr>
        <w:t> </w:t>
      </w:r>
      <w:r>
        <w:rPr>
          <w:sz w:val="24"/>
        </w:rPr>
        <w:t>the</w:t>
      </w:r>
      <w:r>
        <w:rPr>
          <w:spacing w:val="40"/>
          <w:sz w:val="24"/>
        </w:rPr>
        <w:t> </w:t>
      </w:r>
      <w:r>
        <w:rPr>
          <w:spacing w:val="9"/>
          <w:sz w:val="24"/>
        </w:rPr>
        <w:t>satisfaction </w:t>
      </w:r>
      <w:r>
        <w:rPr>
          <w:sz w:val="24"/>
        </w:rPr>
        <w:t>of the Commissioner and will keep, at all times, the entire environment</w:t>
      </w:r>
      <w:r>
        <w:rPr>
          <w:spacing w:val="40"/>
          <w:sz w:val="24"/>
        </w:rPr>
        <w:t> </w:t>
      </w:r>
      <w:r>
        <w:rPr>
          <w:sz w:val="24"/>
        </w:rPr>
        <w:t>clean, neat and </w:t>
      </w:r>
      <w:r>
        <w:rPr>
          <w:spacing w:val="9"/>
          <w:sz w:val="24"/>
        </w:rPr>
        <w:t>hygienic.</w:t>
      </w:r>
    </w:p>
    <w:p>
      <w:pPr>
        <w:pStyle w:val="ListParagraph"/>
        <w:numPr>
          <w:ilvl w:val="0"/>
          <w:numId w:val="236"/>
        </w:numPr>
        <w:tabs>
          <w:tab w:pos="1573" w:val="left" w:leader="none"/>
        </w:tabs>
        <w:spacing w:line="240" w:lineRule="auto" w:before="241" w:after="0"/>
        <w:ind w:left="1212" w:right="867" w:firstLine="0"/>
        <w:jc w:val="both"/>
        <w:rPr>
          <w:sz w:val="24"/>
        </w:rPr>
      </w:pPr>
      <w:r>
        <w:rPr>
          <w:sz w:val="24"/>
        </w:rPr>
        <w:t>Structures for ancillary activities, such as administrative </w:t>
      </w:r>
      <w:r>
        <w:rPr>
          <w:spacing w:val="9"/>
          <w:sz w:val="24"/>
        </w:rPr>
        <w:t>offices, </w:t>
      </w:r>
      <w:r>
        <w:rPr>
          <w:sz w:val="24"/>
        </w:rPr>
        <w:t>exhibition</w:t>
      </w:r>
      <w:r>
        <w:rPr>
          <w:spacing w:val="80"/>
          <w:sz w:val="24"/>
        </w:rPr>
        <w:t> </w:t>
      </w:r>
      <w:r>
        <w:rPr>
          <w:sz w:val="24"/>
        </w:rPr>
        <w:t>hall</w:t>
      </w:r>
      <w:r>
        <w:rPr>
          <w:spacing w:val="80"/>
          <w:sz w:val="24"/>
        </w:rPr>
        <w:t> </w:t>
      </w:r>
      <w:r>
        <w:rPr>
          <w:sz w:val="24"/>
        </w:rPr>
        <w:t>or</w:t>
      </w:r>
      <w:r>
        <w:rPr>
          <w:spacing w:val="80"/>
          <w:sz w:val="24"/>
        </w:rPr>
        <w:t> </w:t>
      </w:r>
      <w:r>
        <w:rPr>
          <w:sz w:val="24"/>
        </w:rPr>
        <w:t>auditorium,</w:t>
      </w:r>
      <w:r>
        <w:rPr>
          <w:spacing w:val="80"/>
          <w:sz w:val="24"/>
        </w:rPr>
        <w:t> </w:t>
      </w:r>
      <w:r>
        <w:rPr>
          <w:sz w:val="24"/>
        </w:rPr>
        <w:t>restaurant,</w:t>
      </w:r>
      <w:r>
        <w:rPr>
          <w:spacing w:val="80"/>
          <w:sz w:val="24"/>
        </w:rPr>
        <w:t> </w:t>
      </w:r>
      <w:r>
        <w:rPr>
          <w:sz w:val="24"/>
        </w:rPr>
        <w:t>open</w:t>
      </w:r>
      <w:r>
        <w:rPr>
          <w:spacing w:val="80"/>
          <w:sz w:val="24"/>
        </w:rPr>
        <w:t> </w:t>
      </w:r>
      <w:r>
        <w:rPr>
          <w:sz w:val="24"/>
        </w:rPr>
        <w:t>air</w:t>
      </w:r>
      <w:r>
        <w:rPr>
          <w:spacing w:val="80"/>
          <w:sz w:val="24"/>
        </w:rPr>
        <w:t> </w:t>
      </w:r>
      <w:r>
        <w:rPr>
          <w:sz w:val="24"/>
        </w:rPr>
        <w:t>theatre,</w:t>
      </w:r>
      <w:r>
        <w:rPr>
          <w:spacing w:val="80"/>
          <w:sz w:val="24"/>
        </w:rPr>
        <w:t> </w:t>
      </w:r>
      <w:r>
        <w:rPr>
          <w:spacing w:val="9"/>
          <w:sz w:val="24"/>
        </w:rPr>
        <w:t>essential </w:t>
      </w:r>
      <w:r>
        <w:rPr>
          <w:sz w:val="24"/>
        </w:rPr>
        <w:t>staff</w:t>
      </w:r>
      <w:r>
        <w:rPr>
          <w:spacing w:val="40"/>
          <w:sz w:val="24"/>
        </w:rPr>
        <w:t> </w:t>
      </w:r>
      <w:r>
        <w:rPr>
          <w:sz w:val="24"/>
        </w:rPr>
        <w:t>quarters,</w:t>
      </w:r>
      <w:r>
        <w:rPr>
          <w:spacing w:val="40"/>
          <w:sz w:val="24"/>
        </w:rPr>
        <w:t> </w:t>
      </w:r>
      <w:r>
        <w:rPr>
          <w:sz w:val="24"/>
        </w:rPr>
        <w:t>store</w:t>
      </w:r>
      <w:r>
        <w:rPr>
          <w:spacing w:val="40"/>
          <w:sz w:val="24"/>
        </w:rPr>
        <w:t> </w:t>
      </w:r>
      <w:r>
        <w:rPr>
          <w:sz w:val="24"/>
        </w:rPr>
        <w:t>buildings,</w:t>
      </w:r>
      <w:r>
        <w:rPr>
          <w:spacing w:val="40"/>
          <w:sz w:val="24"/>
        </w:rPr>
        <w:t> </w:t>
      </w:r>
      <w:r>
        <w:rPr>
          <w:sz w:val="24"/>
        </w:rPr>
        <w:t>fast</w:t>
      </w:r>
      <w:r>
        <w:rPr>
          <w:spacing w:val="40"/>
          <w:sz w:val="24"/>
        </w:rPr>
        <w:t> </w:t>
      </w:r>
      <w:r>
        <w:rPr>
          <w:sz w:val="24"/>
        </w:rPr>
        <w:t>food</w:t>
      </w:r>
      <w:r>
        <w:rPr>
          <w:spacing w:val="9"/>
          <w:sz w:val="24"/>
        </w:rPr>
        <w:t> shops, </w:t>
      </w:r>
      <w:r>
        <w:rPr>
          <w:sz w:val="24"/>
        </w:rPr>
        <w:t>museum,</w:t>
      </w:r>
      <w:r>
        <w:rPr>
          <w:spacing w:val="40"/>
          <w:sz w:val="24"/>
        </w:rPr>
        <w:t> </w:t>
      </w:r>
      <w:r>
        <w:rPr>
          <w:sz w:val="24"/>
        </w:rPr>
        <w:t>souvenir</w:t>
      </w:r>
      <w:r>
        <w:rPr>
          <w:spacing w:val="40"/>
          <w:sz w:val="24"/>
        </w:rPr>
        <w:t> </w:t>
      </w:r>
      <w:r>
        <w:rPr>
          <w:sz w:val="24"/>
        </w:rPr>
        <w:t>and small shops, ancillary structures to swimming pool, may be permittedStructures permitted in the amusement park (except </w:t>
      </w:r>
      <w:r>
        <w:rPr>
          <w:spacing w:val="9"/>
          <w:sz w:val="24"/>
        </w:rPr>
        <w:t>those </w:t>
      </w:r>
      <w:r>
        <w:rPr>
          <w:sz w:val="24"/>
        </w:rPr>
        <w:t>intended</w:t>
      </w:r>
      <w:r>
        <w:rPr>
          <w:spacing w:val="80"/>
          <w:sz w:val="24"/>
        </w:rPr>
        <w:t> </w:t>
      </w:r>
      <w:r>
        <w:rPr>
          <w:sz w:val="24"/>
        </w:rPr>
        <w:t>for</w:t>
      </w:r>
      <w:r>
        <w:rPr>
          <w:spacing w:val="80"/>
          <w:sz w:val="24"/>
        </w:rPr>
        <w:t> </w:t>
      </w:r>
      <w:r>
        <w:rPr>
          <w:sz w:val="24"/>
        </w:rPr>
        <w:t>park</w:t>
      </w:r>
      <w:r>
        <w:rPr>
          <w:spacing w:val="80"/>
          <w:sz w:val="24"/>
        </w:rPr>
        <w:t> </w:t>
      </w:r>
      <w:r>
        <w:rPr>
          <w:sz w:val="24"/>
        </w:rPr>
        <w:t>apparatus,</w:t>
      </w:r>
      <w:r>
        <w:rPr>
          <w:spacing w:val="80"/>
          <w:sz w:val="24"/>
        </w:rPr>
        <w:t> </w:t>
      </w:r>
      <w:r>
        <w:rPr>
          <w:sz w:val="24"/>
        </w:rPr>
        <w:t>entertainment</w:t>
      </w:r>
      <w:r>
        <w:rPr>
          <w:spacing w:val="80"/>
          <w:sz w:val="24"/>
        </w:rPr>
        <w:t> </w:t>
      </w:r>
      <w:r>
        <w:rPr>
          <w:sz w:val="24"/>
        </w:rPr>
        <w:t>such</w:t>
      </w:r>
      <w:r>
        <w:rPr>
          <w:spacing w:val="80"/>
          <w:sz w:val="24"/>
        </w:rPr>
        <w:t> </w:t>
      </w:r>
      <w:r>
        <w:rPr>
          <w:sz w:val="24"/>
        </w:rPr>
        <w:t>as</w:t>
      </w:r>
      <w:r>
        <w:rPr>
          <w:spacing w:val="80"/>
          <w:sz w:val="24"/>
        </w:rPr>
        <w:t> </w:t>
      </w:r>
      <w:r>
        <w:rPr>
          <w:sz w:val="24"/>
        </w:rPr>
        <w:t>magic</w:t>
      </w:r>
      <w:r>
        <w:rPr>
          <w:spacing w:val="80"/>
          <w:sz w:val="24"/>
        </w:rPr>
        <w:t> </w:t>
      </w:r>
      <w:r>
        <w:rPr>
          <w:sz w:val="24"/>
        </w:rPr>
        <w:t>mountain etc. and other equipment) should be </w:t>
      </w:r>
      <w:r>
        <w:rPr>
          <w:spacing w:val="9"/>
          <w:sz w:val="24"/>
        </w:rPr>
        <w:t>ground</w:t>
      </w:r>
      <w:r>
        <w:rPr>
          <w:spacing w:val="9"/>
          <w:sz w:val="24"/>
        </w:rPr>
        <w:t> </w:t>
      </w:r>
      <w:r>
        <w:rPr>
          <w:sz w:val="24"/>
        </w:rPr>
        <w:t>floor structures, with the construction</w:t>
      </w:r>
      <w:r>
        <w:rPr>
          <w:spacing w:val="40"/>
          <w:sz w:val="24"/>
        </w:rPr>
        <w:t> </w:t>
      </w:r>
      <w:r>
        <w:rPr>
          <w:sz w:val="24"/>
        </w:rPr>
        <w:t>blending</w:t>
      </w:r>
      <w:r>
        <w:rPr>
          <w:spacing w:val="40"/>
          <w:sz w:val="24"/>
        </w:rPr>
        <w:t> </w:t>
      </w:r>
      <w:r>
        <w:rPr>
          <w:sz w:val="24"/>
        </w:rPr>
        <w:t>with</w:t>
      </w:r>
      <w:r>
        <w:rPr>
          <w:spacing w:val="40"/>
          <w:sz w:val="24"/>
        </w:rPr>
        <w:t> </w:t>
      </w:r>
      <w:r>
        <w:rPr>
          <w:sz w:val="24"/>
        </w:rPr>
        <w:t>the</w:t>
      </w:r>
      <w:r>
        <w:rPr>
          <w:spacing w:val="40"/>
          <w:sz w:val="24"/>
        </w:rPr>
        <w:t> </w:t>
      </w:r>
      <w:r>
        <w:rPr>
          <w:sz w:val="24"/>
        </w:rPr>
        <w:t>surrounding</w:t>
      </w:r>
      <w:r>
        <w:rPr>
          <w:spacing w:val="40"/>
          <w:sz w:val="24"/>
        </w:rPr>
        <w:t> </w:t>
      </w:r>
      <w:r>
        <w:rPr>
          <w:sz w:val="24"/>
        </w:rPr>
        <w:t>environment</w:t>
      </w:r>
      <w:r>
        <w:rPr>
          <w:spacing w:val="40"/>
          <w:sz w:val="24"/>
        </w:rPr>
        <w:t> </w:t>
      </w:r>
      <w:r>
        <w:rPr>
          <w:sz w:val="24"/>
        </w:rPr>
        <w:t>and</w:t>
      </w:r>
      <w:r>
        <w:rPr>
          <w:spacing w:val="40"/>
          <w:sz w:val="24"/>
        </w:rPr>
        <w:t> </w:t>
      </w:r>
      <w:r>
        <w:rPr>
          <w:spacing w:val="9"/>
          <w:sz w:val="24"/>
        </w:rPr>
        <w:t>landscape.</w:t>
      </w:r>
    </w:p>
    <w:p>
      <w:pPr>
        <w:pStyle w:val="ListParagraph"/>
        <w:numPr>
          <w:ilvl w:val="0"/>
          <w:numId w:val="236"/>
        </w:numPr>
        <w:tabs>
          <w:tab w:pos="1571" w:val="left" w:leader="none"/>
        </w:tabs>
        <w:spacing w:line="240" w:lineRule="auto" w:before="240" w:after="0"/>
        <w:ind w:left="1212" w:right="879" w:firstLine="0"/>
        <w:jc w:val="both"/>
        <w:rPr>
          <w:sz w:val="24"/>
        </w:rPr>
      </w:pPr>
      <w:r>
        <w:rPr>
          <w:sz w:val="24"/>
        </w:rPr>
        <w:t>Except for minor dressing, hills and natural features, if any, shall be maintained</w:t>
      </w:r>
      <w:r>
        <w:rPr>
          <w:spacing w:val="40"/>
          <w:sz w:val="24"/>
        </w:rPr>
        <w:t> </w:t>
      </w:r>
      <w:r>
        <w:rPr>
          <w:sz w:val="24"/>
        </w:rPr>
        <w:t>in</w:t>
      </w:r>
      <w:r>
        <w:rPr>
          <w:spacing w:val="40"/>
          <w:sz w:val="24"/>
        </w:rPr>
        <w:t> </w:t>
      </w:r>
      <w:r>
        <w:rPr>
          <w:sz w:val="24"/>
        </w:rPr>
        <w:t>their</w:t>
      </w:r>
      <w:r>
        <w:rPr>
          <w:spacing w:val="40"/>
          <w:sz w:val="24"/>
        </w:rPr>
        <w:t> </w:t>
      </w:r>
      <w:r>
        <w:rPr>
          <w:sz w:val="24"/>
        </w:rPr>
        <w:t>natural</w:t>
      </w:r>
      <w:r>
        <w:rPr>
          <w:spacing w:val="40"/>
          <w:sz w:val="24"/>
        </w:rPr>
        <w:t> </w:t>
      </w:r>
      <w:r>
        <w:rPr>
          <w:sz w:val="24"/>
        </w:rPr>
        <w:t>condition</w:t>
      </w:r>
      <w:r>
        <w:rPr>
          <w:spacing w:val="40"/>
          <w:sz w:val="24"/>
        </w:rPr>
        <w:t> </w:t>
      </w:r>
      <w:r>
        <w:rPr>
          <w:sz w:val="24"/>
        </w:rPr>
        <w:t>and</w:t>
      </w:r>
      <w:r>
        <w:rPr>
          <w:spacing w:val="40"/>
          <w:sz w:val="24"/>
        </w:rPr>
        <w:t> </w:t>
      </w:r>
      <w:r>
        <w:rPr>
          <w:sz w:val="24"/>
        </w:rPr>
        <w:t>beautified</w:t>
      </w:r>
      <w:r>
        <w:rPr>
          <w:spacing w:val="80"/>
          <w:sz w:val="24"/>
        </w:rPr>
        <w:t> </w:t>
      </w:r>
      <w:r>
        <w:rPr>
          <w:sz w:val="24"/>
        </w:rPr>
        <w:t>with</w:t>
      </w:r>
      <w:r>
        <w:rPr>
          <w:spacing w:val="40"/>
          <w:sz w:val="24"/>
        </w:rPr>
        <w:t> </w:t>
      </w:r>
      <w:r>
        <w:rPr>
          <w:sz w:val="24"/>
        </w:rPr>
        <w:t>planting</w:t>
      </w:r>
      <w:r>
        <w:rPr>
          <w:spacing w:val="40"/>
          <w:sz w:val="24"/>
        </w:rPr>
        <w:t> </w:t>
      </w:r>
      <w:r>
        <w:rPr>
          <w:sz w:val="24"/>
        </w:rPr>
        <w:t>of</w:t>
      </w:r>
      <w:r>
        <w:rPr>
          <w:spacing w:val="40"/>
          <w:sz w:val="24"/>
        </w:rPr>
        <w:t> </w:t>
      </w:r>
      <w:r>
        <w:rPr>
          <w:sz w:val="24"/>
        </w:rPr>
        <w:t>trees etc.</w:t>
      </w:r>
    </w:p>
    <w:p>
      <w:pPr>
        <w:pStyle w:val="ListParagraph"/>
        <w:numPr>
          <w:ilvl w:val="0"/>
          <w:numId w:val="236"/>
        </w:numPr>
        <w:tabs>
          <w:tab w:pos="1570" w:val="left" w:leader="none"/>
        </w:tabs>
        <w:spacing w:line="240" w:lineRule="auto" w:before="240" w:after="0"/>
        <w:ind w:left="1212" w:right="875" w:firstLine="0"/>
        <w:jc w:val="both"/>
        <w:rPr>
          <w:sz w:val="24"/>
        </w:rPr>
      </w:pPr>
      <w:r>
        <w:rPr>
          <w:sz w:val="24"/>
        </w:rPr>
        <mc:AlternateContent>
          <mc:Choice Requires="wps">
            <w:drawing>
              <wp:anchor distT="0" distB="0" distL="0" distR="0" allowOverlap="1" layoutInCell="1" locked="0" behindDoc="1" simplePos="0" relativeHeight="471353344">
                <wp:simplePos x="0" y="0"/>
                <wp:positionH relativeFrom="page">
                  <wp:posOffset>2287777</wp:posOffset>
                </wp:positionH>
                <wp:positionV relativeFrom="paragraph">
                  <wp:posOffset>680454</wp:posOffset>
                </wp:positionV>
                <wp:extent cx="60960" cy="187960"/>
                <wp:effectExtent l="0" t="0" r="0" b="0"/>
                <wp:wrapNone/>
                <wp:docPr id="391" name="Graphic 391"/>
                <wp:cNvGraphicFramePr>
                  <a:graphicFrameLocks/>
                </wp:cNvGraphicFramePr>
                <a:graphic>
                  <a:graphicData uri="http://schemas.microsoft.com/office/word/2010/wordprocessingShape">
                    <wps:wsp>
                      <wps:cNvPr id="391" name="Graphic 391"/>
                      <wps:cNvSpPr/>
                      <wps:spPr>
                        <a:xfrm>
                          <a:off x="0" y="0"/>
                          <a:ext cx="60960" cy="187960"/>
                        </a:xfrm>
                        <a:custGeom>
                          <a:avLst/>
                          <a:gdLst/>
                          <a:ahLst/>
                          <a:cxnLst/>
                          <a:rect l="l" t="t" r="r" b="b"/>
                          <a:pathLst>
                            <a:path w="60960" h="187960">
                              <a:moveTo>
                                <a:pt x="60960" y="0"/>
                              </a:moveTo>
                              <a:lnTo>
                                <a:pt x="0" y="0"/>
                              </a:lnTo>
                              <a:lnTo>
                                <a:pt x="0" y="187451"/>
                              </a:lnTo>
                              <a:lnTo>
                                <a:pt x="60960" y="187451"/>
                              </a:lnTo>
                              <a:lnTo>
                                <a:pt x="60960" y="0"/>
                              </a:lnTo>
                              <a:close/>
                            </a:path>
                          </a:pathLst>
                        </a:custGeom>
                        <a:solidFill>
                          <a:srgbClr val="FFCCFF"/>
                        </a:solidFill>
                      </wps:spPr>
                      <wps:bodyPr wrap="square" lIns="0" tIns="0" rIns="0" bIns="0" rtlCol="0">
                        <a:prstTxWarp prst="textNoShape">
                          <a:avLst/>
                        </a:prstTxWarp>
                        <a:noAutofit/>
                      </wps:bodyPr>
                    </wps:wsp>
                  </a:graphicData>
                </a:graphic>
              </wp:anchor>
            </w:drawing>
          </mc:Choice>
          <mc:Fallback>
            <w:pict>
              <v:rect style="position:absolute;margin-left:180.139999pt;margin-top:53.579063pt;width:4.8pt;height:14.76pt;mso-position-horizontal-relative:page;mso-position-vertical-relative:paragraph;z-index:-31963136" id="docshape337" filled="true" fillcolor="#ffccff" stroked="false">
                <v:fill type="solid"/>
                <w10:wrap type="none"/>
              </v:rect>
            </w:pict>
          </mc:Fallback>
        </mc:AlternateContent>
      </w:r>
      <w:r>
        <w:rPr>
          <w:sz w:val="24"/>
        </w:rPr>
        <w:t>All trees already growing on the land shall be preserved to the extent possible, except that if it becomes necessary to cut any tree, the required permission</w:t>
      </w:r>
      <w:r>
        <w:rPr>
          <w:spacing w:val="65"/>
          <w:w w:val="150"/>
          <w:sz w:val="24"/>
        </w:rPr>
        <w:t> </w:t>
      </w:r>
      <w:r>
        <w:rPr>
          <w:sz w:val="24"/>
        </w:rPr>
        <w:t>of</w:t>
      </w:r>
      <w:r>
        <w:rPr>
          <w:spacing w:val="67"/>
          <w:w w:val="150"/>
          <w:sz w:val="24"/>
        </w:rPr>
        <w:t> </w:t>
      </w:r>
      <w:r>
        <w:rPr>
          <w:sz w:val="24"/>
        </w:rPr>
        <w:t>the</w:t>
      </w:r>
      <w:r>
        <w:rPr>
          <w:spacing w:val="70"/>
          <w:w w:val="150"/>
          <w:sz w:val="24"/>
        </w:rPr>
        <w:t> </w:t>
      </w:r>
      <w:r>
        <w:rPr>
          <w:sz w:val="24"/>
        </w:rPr>
        <w:t>Competent</w:t>
      </w:r>
      <w:r>
        <w:rPr>
          <w:spacing w:val="65"/>
          <w:w w:val="150"/>
          <w:sz w:val="24"/>
        </w:rPr>
        <w:t> </w:t>
      </w:r>
      <w:r>
        <w:rPr>
          <w:sz w:val="24"/>
        </w:rPr>
        <w:t>Authority</w:t>
      </w:r>
      <w:r>
        <w:rPr>
          <w:spacing w:val="64"/>
          <w:w w:val="150"/>
          <w:sz w:val="24"/>
        </w:rPr>
        <w:t> </w:t>
      </w:r>
      <w:r>
        <w:rPr>
          <w:sz w:val="24"/>
        </w:rPr>
        <w:t>should</w:t>
      </w:r>
      <w:r>
        <w:rPr>
          <w:spacing w:val="65"/>
          <w:w w:val="150"/>
          <w:sz w:val="24"/>
        </w:rPr>
        <w:t> </w:t>
      </w:r>
      <w:r>
        <w:rPr>
          <w:sz w:val="24"/>
        </w:rPr>
        <w:t>be</w:t>
      </w:r>
      <w:r>
        <w:rPr>
          <w:spacing w:val="67"/>
          <w:w w:val="150"/>
          <w:sz w:val="24"/>
        </w:rPr>
        <w:t> </w:t>
      </w:r>
      <w:r>
        <w:rPr>
          <w:sz w:val="24"/>
        </w:rPr>
        <w:t>obtained</w:t>
      </w:r>
      <w:r>
        <w:rPr>
          <w:spacing w:val="65"/>
          <w:w w:val="150"/>
          <w:sz w:val="24"/>
        </w:rPr>
        <w:t> </w:t>
      </w:r>
      <w:r>
        <w:rPr>
          <w:sz w:val="24"/>
        </w:rPr>
        <w:t>under</w:t>
      </w:r>
      <w:r>
        <w:rPr>
          <w:spacing w:val="64"/>
          <w:w w:val="150"/>
          <w:sz w:val="24"/>
        </w:rPr>
        <w:t> </w:t>
      </w:r>
      <w:r>
        <w:rPr>
          <w:sz w:val="24"/>
        </w:rPr>
        <w:t>the</w:t>
      </w:r>
    </w:p>
    <w:p>
      <w:pPr>
        <w:pStyle w:val="BodyText"/>
        <w:tabs>
          <w:tab w:pos="1916" w:val="left" w:leader="none"/>
          <w:tab w:pos="3338" w:val="left" w:leader="none"/>
        </w:tabs>
        <w:ind w:left="1212"/>
        <w:jc w:val="left"/>
      </w:pPr>
      <w:r>
        <w:rPr>
          <w:spacing w:val="-4"/>
        </w:rPr>
        <w:t>law.</w:t>
      </w:r>
      <w:r>
        <w:rPr/>
        <w:tab/>
        <w:t>At</w:t>
      </w:r>
      <w:r>
        <w:rPr>
          <w:spacing w:val="50"/>
        </w:rPr>
        <w:t> </w:t>
      </w:r>
      <w:r>
        <w:rPr/>
        <w:t>least</w:t>
      </w:r>
      <w:r>
        <w:rPr>
          <w:spacing w:val="53"/>
        </w:rPr>
        <w:t> </w:t>
      </w:r>
      <w:r>
        <w:rPr>
          <w:spacing w:val="-10"/>
        </w:rPr>
        <w:t>5</w:t>
      </w:r>
      <w:r>
        <w:rPr/>
        <w:tab/>
        <w:t>trees</w:t>
      </w:r>
      <w:r>
        <w:rPr>
          <w:spacing w:val="52"/>
        </w:rPr>
        <w:t> </w:t>
      </w:r>
      <w:r>
        <w:rPr/>
        <w:t>per</w:t>
      </w:r>
      <w:r>
        <w:rPr>
          <w:spacing w:val="55"/>
        </w:rPr>
        <w:t> </w:t>
      </w:r>
      <w:r>
        <w:rPr/>
        <w:t>100</w:t>
      </w:r>
      <w:r>
        <w:rPr>
          <w:spacing w:val="53"/>
        </w:rPr>
        <w:t> </w:t>
      </w:r>
      <w:r>
        <w:rPr/>
        <w:t>sq.</w:t>
      </w:r>
      <w:r>
        <w:rPr>
          <w:spacing w:val="53"/>
        </w:rPr>
        <w:t> </w:t>
      </w:r>
      <w:r>
        <w:rPr/>
        <w:t>m</w:t>
      </w:r>
      <w:r>
        <w:rPr>
          <w:spacing w:val="55"/>
        </w:rPr>
        <w:t> </w:t>
      </w:r>
      <w:r>
        <w:rPr/>
        <w:t>shall</w:t>
      </w:r>
      <w:r>
        <w:rPr>
          <w:spacing w:val="62"/>
        </w:rPr>
        <w:t> </w:t>
      </w:r>
      <w:r>
        <w:rPr/>
        <w:t>be</w:t>
      </w:r>
      <w:r>
        <w:rPr>
          <w:spacing w:val="55"/>
        </w:rPr>
        <w:t> </w:t>
      </w:r>
      <w:r>
        <w:rPr/>
        <w:t>planted</w:t>
      </w:r>
      <w:r>
        <w:rPr>
          <w:spacing w:val="53"/>
        </w:rPr>
        <w:t> </w:t>
      </w:r>
      <w:r>
        <w:rPr/>
        <w:t>and</w:t>
      </w:r>
      <w:r>
        <w:rPr>
          <w:spacing w:val="52"/>
        </w:rPr>
        <w:t> </w:t>
      </w:r>
      <w:r>
        <w:rPr/>
        <w:t>grown</w:t>
      </w:r>
      <w:r>
        <w:rPr>
          <w:spacing w:val="56"/>
        </w:rPr>
        <w:t> </w:t>
      </w:r>
      <w:r>
        <w:rPr>
          <w:spacing w:val="-2"/>
        </w:rPr>
        <w:t>within</w:t>
      </w:r>
    </w:p>
    <w:p>
      <w:pPr>
        <w:pStyle w:val="BodyText"/>
        <w:spacing w:before="1"/>
        <w:ind w:left="1212"/>
        <w:jc w:val="left"/>
      </w:pPr>
      <w:r>
        <w:rPr/>
        <w:t>the</w:t>
      </w:r>
      <w:r>
        <w:rPr>
          <w:spacing w:val="37"/>
        </w:rPr>
        <w:t> </w:t>
      </w:r>
      <w:r>
        <w:rPr/>
        <w:t>area</w:t>
      </w:r>
      <w:r>
        <w:rPr>
          <w:spacing w:val="40"/>
        </w:rPr>
        <w:t> </w:t>
      </w:r>
      <w:r>
        <w:rPr/>
        <w:t>of</w:t>
      </w:r>
      <w:r>
        <w:rPr>
          <w:spacing w:val="37"/>
        </w:rPr>
        <w:t> </w:t>
      </w:r>
      <w:r>
        <w:rPr/>
        <w:t>the</w:t>
      </w:r>
      <w:r>
        <w:rPr>
          <w:spacing w:val="38"/>
        </w:rPr>
        <w:t> </w:t>
      </w:r>
      <w:r>
        <w:rPr>
          <w:spacing w:val="7"/>
        </w:rPr>
        <w:t>park.</w:t>
      </w:r>
    </w:p>
    <w:p>
      <w:pPr>
        <w:pStyle w:val="BodyText"/>
        <w:spacing w:after="0"/>
        <w:jc w:val="left"/>
        <w:sectPr>
          <w:pgSz w:w="11910" w:h="16840"/>
          <w:pgMar w:header="1058" w:footer="1088" w:top="1500" w:bottom="1280" w:left="360" w:right="360"/>
        </w:sectPr>
      </w:pPr>
    </w:p>
    <w:p>
      <w:pPr>
        <w:pStyle w:val="ListParagraph"/>
        <w:numPr>
          <w:ilvl w:val="0"/>
          <w:numId w:val="236"/>
        </w:numPr>
        <w:tabs>
          <w:tab w:pos="1571" w:val="left" w:leader="none"/>
        </w:tabs>
        <w:spacing w:line="240" w:lineRule="auto" w:before="255" w:after="0"/>
        <w:ind w:left="1212" w:right="866" w:firstLine="0"/>
        <w:jc w:val="both"/>
        <w:rPr>
          <w:sz w:val="24"/>
        </w:rPr>
      </w:pPr>
      <w:r>
        <w:rPr>
          <w:sz w:val="24"/>
        </w:rPr>
        <w:t>Structures, buildings or monuments of historical, </w:t>
      </w:r>
      <w:r>
        <w:rPr>
          <w:spacing w:val="9"/>
          <w:sz w:val="24"/>
        </w:rPr>
        <w:t>aesthetical, </w:t>
      </w:r>
      <w:r>
        <w:rPr>
          <w:sz w:val="24"/>
        </w:rPr>
        <w:t>architectural, or heritage importance, if any, shall be preserved and maintained </w:t>
      </w:r>
      <w:r>
        <w:rPr>
          <w:spacing w:val="9"/>
          <w:sz w:val="24"/>
        </w:rPr>
        <w:t>properly.</w:t>
      </w:r>
    </w:p>
    <w:p>
      <w:pPr>
        <w:pStyle w:val="ListParagraph"/>
        <w:numPr>
          <w:ilvl w:val="0"/>
          <w:numId w:val="236"/>
        </w:numPr>
        <w:tabs>
          <w:tab w:pos="1582" w:val="left" w:leader="none"/>
        </w:tabs>
        <w:spacing w:line="240" w:lineRule="auto" w:before="242" w:after="0"/>
        <w:ind w:left="1212" w:right="870" w:firstLine="0"/>
        <w:jc w:val="both"/>
        <w:rPr>
          <w:sz w:val="24"/>
        </w:rPr>
      </w:pPr>
      <w:r>
        <w:rPr>
          <w:sz w:val="24"/>
        </w:rPr>
        <w:t>Sufficient parking facilities and ancillary facilities for cars, buses, transport</w:t>
      </w:r>
      <w:r>
        <w:rPr>
          <w:spacing w:val="40"/>
          <w:sz w:val="24"/>
        </w:rPr>
        <w:t> </w:t>
      </w:r>
      <w:r>
        <w:rPr>
          <w:sz w:val="24"/>
        </w:rPr>
        <w:t>vehicles</w:t>
      </w:r>
      <w:r>
        <w:rPr>
          <w:spacing w:val="40"/>
          <w:sz w:val="24"/>
        </w:rPr>
        <w:t> </w:t>
      </w:r>
      <w:r>
        <w:rPr>
          <w:sz w:val="24"/>
        </w:rPr>
        <w:t>etc.</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on</w:t>
      </w:r>
      <w:r>
        <w:rPr>
          <w:spacing w:val="40"/>
          <w:sz w:val="24"/>
        </w:rPr>
        <w:t> </w:t>
      </w:r>
      <w:r>
        <w:rPr>
          <w:sz w:val="24"/>
        </w:rPr>
        <w:t>site</w:t>
      </w:r>
      <w:r>
        <w:rPr>
          <w:spacing w:val="40"/>
          <w:sz w:val="24"/>
        </w:rPr>
        <w:t> </w:t>
      </w:r>
      <w:r>
        <w:rPr>
          <w:sz w:val="24"/>
        </w:rPr>
        <w:t>as</w:t>
      </w:r>
      <w:r>
        <w:rPr>
          <w:spacing w:val="40"/>
          <w:sz w:val="24"/>
        </w:rPr>
        <w:t> </w:t>
      </w:r>
      <w:r>
        <w:rPr>
          <w:sz w:val="24"/>
        </w:rPr>
        <w:t>prescribed</w:t>
      </w:r>
      <w:r>
        <w:rPr>
          <w:spacing w:val="40"/>
          <w:sz w:val="24"/>
        </w:rPr>
        <w:t> </w:t>
      </w:r>
      <w:r>
        <w:rPr>
          <w:sz w:val="24"/>
        </w:rPr>
        <w:t>by</w:t>
      </w:r>
      <w:r>
        <w:rPr>
          <w:spacing w:val="40"/>
          <w:sz w:val="24"/>
        </w:rPr>
        <w:t> </w:t>
      </w:r>
      <w:r>
        <w:rPr>
          <w:sz w:val="24"/>
        </w:rPr>
        <w:t>and</w:t>
      </w:r>
      <w:r>
        <w:rPr>
          <w:spacing w:val="40"/>
          <w:sz w:val="24"/>
        </w:rPr>
        <w:t> </w:t>
      </w:r>
      <w:r>
        <w:rPr>
          <w:sz w:val="24"/>
        </w:rPr>
        <w:t>to the</w:t>
      </w:r>
      <w:r>
        <w:rPr>
          <w:spacing w:val="80"/>
          <w:sz w:val="24"/>
        </w:rPr>
        <w:t> </w:t>
      </w:r>
      <w:r>
        <w:rPr>
          <w:sz w:val="24"/>
        </w:rPr>
        <w:t>satisfaction</w:t>
      </w:r>
      <w:r>
        <w:rPr>
          <w:spacing w:val="80"/>
          <w:sz w:val="24"/>
        </w:rPr>
        <w:t> </w:t>
      </w:r>
      <w:r>
        <w:rPr>
          <w:sz w:val="24"/>
        </w:rPr>
        <w:t>of</w:t>
      </w:r>
      <w:r>
        <w:rPr>
          <w:spacing w:val="80"/>
          <w:sz w:val="24"/>
        </w:rPr>
        <w:t> </w:t>
      </w:r>
      <w:r>
        <w:rPr>
          <w:sz w:val="24"/>
        </w:rPr>
        <w:t>the</w:t>
      </w:r>
      <w:r>
        <w:rPr>
          <w:spacing w:val="80"/>
          <w:sz w:val="24"/>
        </w:rPr>
        <w:t> </w:t>
      </w:r>
      <w:r>
        <w:rPr>
          <w:sz w:val="24"/>
        </w:rPr>
        <w:t>Commissioner</w:t>
      </w:r>
      <w:r>
        <w:rPr>
          <w:spacing w:val="80"/>
          <w:sz w:val="24"/>
        </w:rPr>
        <w:t> </w:t>
      </w:r>
      <w:r>
        <w:rPr>
          <w:sz w:val="24"/>
        </w:rPr>
        <w:t>and</w:t>
      </w:r>
      <w:r>
        <w:rPr>
          <w:spacing w:val="80"/>
          <w:sz w:val="24"/>
        </w:rPr>
        <w:t> </w:t>
      </w:r>
      <w:r>
        <w:rPr>
          <w:sz w:val="24"/>
        </w:rPr>
        <w:t>Commissioner</w:t>
      </w:r>
      <w:r>
        <w:rPr>
          <w:spacing w:val="80"/>
          <w:sz w:val="24"/>
        </w:rPr>
        <w:t> </w:t>
      </w:r>
      <w:r>
        <w:rPr>
          <w:sz w:val="24"/>
        </w:rPr>
        <w:t>of</w:t>
      </w:r>
      <w:r>
        <w:rPr>
          <w:spacing w:val="80"/>
          <w:sz w:val="24"/>
        </w:rPr>
        <w:t> </w:t>
      </w:r>
      <w:r>
        <w:rPr>
          <w:sz w:val="24"/>
        </w:rPr>
        <w:t>Police.</w:t>
      </w:r>
    </w:p>
    <w:p>
      <w:pPr>
        <w:pStyle w:val="ListParagraph"/>
        <w:numPr>
          <w:ilvl w:val="0"/>
          <w:numId w:val="236"/>
        </w:numPr>
        <w:tabs>
          <w:tab w:pos="1571" w:val="left" w:leader="none"/>
        </w:tabs>
        <w:spacing w:line="240" w:lineRule="auto" w:before="239" w:after="0"/>
        <w:ind w:left="1212" w:right="884" w:firstLine="0"/>
        <w:jc w:val="both"/>
        <w:rPr>
          <w:sz w:val="24"/>
        </w:rPr>
      </w:pPr>
      <w:r>
        <w:rPr>
          <w:sz w:val="24"/>
        </w:rPr>
        <w:t>The promoters of the project will prepare a suitable layout with appropriate</w:t>
      </w:r>
      <w:r>
        <w:rPr>
          <w:spacing w:val="40"/>
          <w:sz w:val="24"/>
        </w:rPr>
        <w:t> </w:t>
      </w:r>
      <w:r>
        <w:rPr>
          <w:spacing w:val="9"/>
          <w:sz w:val="24"/>
        </w:rPr>
        <w:t>land-</w:t>
      </w:r>
      <w:r>
        <w:rPr>
          <w:sz w:val="24"/>
        </w:rPr>
        <w:t>scaping</w:t>
      </w:r>
      <w:r>
        <w:rPr>
          <w:spacing w:val="40"/>
          <w:sz w:val="24"/>
        </w:rPr>
        <w:t> </w:t>
      </w:r>
      <w:r>
        <w:rPr>
          <w:sz w:val="24"/>
        </w:rPr>
        <w:t>of</w:t>
      </w:r>
      <w:r>
        <w:rPr>
          <w:spacing w:val="40"/>
          <w:sz w:val="24"/>
        </w:rPr>
        <w:t> </w:t>
      </w:r>
      <w:r>
        <w:rPr>
          <w:sz w:val="24"/>
        </w:rPr>
        <w:t>the</w:t>
      </w:r>
      <w:r>
        <w:rPr>
          <w:spacing w:val="40"/>
          <w:sz w:val="24"/>
        </w:rPr>
        <w:t> </w:t>
      </w:r>
      <w:r>
        <w:rPr>
          <w:sz w:val="24"/>
        </w:rPr>
        <w:t>recreational</w:t>
      </w:r>
      <w:r>
        <w:rPr>
          <w:spacing w:val="40"/>
          <w:sz w:val="24"/>
        </w:rPr>
        <w:t> </w:t>
      </w:r>
      <w:r>
        <w:rPr>
          <w:sz w:val="24"/>
        </w:rPr>
        <w:t>and</w:t>
      </w:r>
      <w:r>
        <w:rPr>
          <w:spacing w:val="40"/>
          <w:sz w:val="24"/>
        </w:rPr>
        <w:t> </w:t>
      </w:r>
      <w:r>
        <w:rPr>
          <w:sz w:val="24"/>
        </w:rPr>
        <w:t>other</w:t>
      </w:r>
      <w:r>
        <w:rPr>
          <w:spacing w:val="40"/>
          <w:sz w:val="24"/>
        </w:rPr>
        <w:t> </w:t>
      </w:r>
      <w:r>
        <w:rPr>
          <w:sz w:val="24"/>
        </w:rPr>
        <w:t>facilities</w:t>
      </w:r>
      <w:r>
        <w:rPr>
          <w:spacing w:val="40"/>
          <w:sz w:val="24"/>
        </w:rPr>
        <w:t> </w:t>
      </w:r>
      <w:r>
        <w:rPr>
          <w:sz w:val="24"/>
        </w:rPr>
        <w:t>and</w:t>
      </w:r>
      <w:r>
        <w:rPr>
          <w:spacing w:val="40"/>
          <w:sz w:val="24"/>
        </w:rPr>
        <w:t> </w:t>
      </w:r>
      <w:r>
        <w:rPr>
          <w:sz w:val="24"/>
        </w:rPr>
        <w:t>obtain</w:t>
      </w:r>
      <w:r>
        <w:rPr>
          <w:spacing w:val="40"/>
          <w:sz w:val="24"/>
        </w:rPr>
        <w:t> </w:t>
      </w:r>
      <w:r>
        <w:rPr>
          <w:sz w:val="24"/>
        </w:rPr>
        <w:t>approval</w:t>
      </w:r>
      <w:r>
        <w:rPr>
          <w:spacing w:val="40"/>
          <w:sz w:val="24"/>
        </w:rPr>
        <w:t> </w:t>
      </w:r>
      <w:r>
        <w:rPr>
          <w:sz w:val="24"/>
        </w:rPr>
        <w:t>of</w:t>
      </w:r>
      <w:r>
        <w:rPr>
          <w:spacing w:val="40"/>
          <w:sz w:val="24"/>
        </w:rPr>
        <w:t> </w:t>
      </w:r>
      <w:r>
        <w:rPr>
          <w:sz w:val="24"/>
        </w:rPr>
        <w:t>the</w:t>
      </w:r>
      <w:r>
        <w:rPr>
          <w:spacing w:val="9"/>
          <w:sz w:val="24"/>
        </w:rPr>
        <w:t> Commissioner.</w:t>
      </w:r>
    </w:p>
    <w:p>
      <w:pPr>
        <w:pStyle w:val="ListParagraph"/>
        <w:numPr>
          <w:ilvl w:val="0"/>
          <w:numId w:val="236"/>
        </w:numPr>
        <w:tabs>
          <w:tab w:pos="1572" w:val="left" w:leader="none"/>
        </w:tabs>
        <w:spacing w:line="240" w:lineRule="auto" w:before="240" w:after="0"/>
        <w:ind w:left="1212" w:right="1542" w:firstLine="0"/>
        <w:jc w:val="left"/>
        <w:rPr>
          <w:sz w:val="24"/>
        </w:rPr>
      </w:pPr>
      <w:r>
        <w:rPr>
          <w:sz w:val="24"/>
        </w:rPr>
        <w:t>No</w:t>
      </w:r>
      <w:r>
        <w:rPr>
          <w:spacing w:val="80"/>
          <w:w w:val="150"/>
          <w:sz w:val="24"/>
        </w:rPr>
        <w:t> </w:t>
      </w:r>
      <w:r>
        <w:rPr>
          <w:sz w:val="24"/>
        </w:rPr>
        <w:t>objection</w:t>
      </w:r>
      <w:r>
        <w:rPr>
          <w:spacing w:val="80"/>
          <w:w w:val="150"/>
          <w:sz w:val="24"/>
        </w:rPr>
        <w:t> </w:t>
      </w:r>
      <w:r>
        <w:rPr>
          <w:sz w:val="24"/>
        </w:rPr>
        <w:t>certificate</w:t>
      </w:r>
      <w:r>
        <w:rPr>
          <w:spacing w:val="80"/>
          <w:w w:val="150"/>
          <w:sz w:val="24"/>
        </w:rPr>
        <w:t> </w:t>
      </w:r>
      <w:r>
        <w:rPr>
          <w:sz w:val="24"/>
        </w:rPr>
        <w:t>of</w:t>
      </w:r>
      <w:r>
        <w:rPr>
          <w:spacing w:val="80"/>
          <w:w w:val="150"/>
          <w:sz w:val="24"/>
        </w:rPr>
        <w:t> </w:t>
      </w:r>
      <w:r>
        <w:rPr>
          <w:sz w:val="24"/>
        </w:rPr>
        <w:t>the</w:t>
      </w:r>
      <w:r>
        <w:rPr>
          <w:spacing w:val="80"/>
          <w:w w:val="150"/>
          <w:sz w:val="24"/>
        </w:rPr>
        <w:t> </w:t>
      </w:r>
      <w:r>
        <w:rPr>
          <w:sz w:val="24"/>
        </w:rPr>
        <w:t>Tourism</w:t>
      </w:r>
      <w:r>
        <w:rPr>
          <w:spacing w:val="80"/>
          <w:w w:val="150"/>
          <w:sz w:val="24"/>
        </w:rPr>
        <w:t> </w:t>
      </w:r>
      <w:r>
        <w:rPr>
          <w:sz w:val="24"/>
        </w:rPr>
        <w:t>Department</w:t>
      </w:r>
      <w:r>
        <w:rPr>
          <w:spacing w:val="80"/>
          <w:w w:val="150"/>
          <w:sz w:val="24"/>
        </w:rPr>
        <w:t> </w:t>
      </w:r>
      <w:r>
        <w:rPr>
          <w:sz w:val="24"/>
        </w:rPr>
        <w:t>shall</w:t>
      </w:r>
      <w:r>
        <w:rPr>
          <w:spacing w:val="80"/>
          <w:w w:val="150"/>
          <w:sz w:val="24"/>
        </w:rPr>
        <w:t> </w:t>
      </w:r>
      <w:r>
        <w:rPr>
          <w:sz w:val="24"/>
        </w:rPr>
        <w:t>be </w:t>
      </w:r>
      <w:r>
        <w:rPr>
          <w:spacing w:val="-2"/>
          <w:sz w:val="24"/>
        </w:rPr>
        <w:t>obtained.</w:t>
      </w:r>
    </w:p>
    <w:p>
      <w:pPr>
        <w:pStyle w:val="ListParagraph"/>
        <w:numPr>
          <w:ilvl w:val="0"/>
          <w:numId w:val="236"/>
        </w:numPr>
        <w:tabs>
          <w:tab w:pos="1573" w:val="left" w:leader="none"/>
        </w:tabs>
        <w:spacing w:line="240" w:lineRule="auto" w:before="241" w:after="0"/>
        <w:ind w:left="1212" w:right="880" w:firstLine="0"/>
        <w:jc w:val="both"/>
        <w:rPr>
          <w:sz w:val="24"/>
        </w:rPr>
      </w:pPr>
      <w:r>
        <w:rPr>
          <w:sz w:val="24"/>
        </w:rPr>
        <w:t>The</w:t>
      </w:r>
      <w:r>
        <w:rPr>
          <w:spacing w:val="80"/>
          <w:sz w:val="24"/>
        </w:rPr>
        <w:t> </w:t>
      </w:r>
      <w:r>
        <w:rPr>
          <w:sz w:val="24"/>
        </w:rPr>
        <w:t>development</w:t>
      </w:r>
      <w:r>
        <w:rPr>
          <w:spacing w:val="80"/>
          <w:sz w:val="24"/>
        </w:rPr>
        <w:t> </w:t>
      </w:r>
      <w:r>
        <w:rPr>
          <w:sz w:val="24"/>
        </w:rPr>
        <w:t>shall</w:t>
      </w:r>
      <w:r>
        <w:rPr>
          <w:spacing w:val="80"/>
          <w:sz w:val="24"/>
        </w:rPr>
        <w:t> </w:t>
      </w:r>
      <w:r>
        <w:rPr>
          <w:sz w:val="24"/>
        </w:rPr>
        <w:t>be</w:t>
      </w:r>
      <w:r>
        <w:rPr>
          <w:spacing w:val="80"/>
          <w:sz w:val="24"/>
        </w:rPr>
        <w:t> </w:t>
      </w:r>
      <w:r>
        <w:rPr>
          <w:sz w:val="24"/>
        </w:rPr>
        <w:t>regulated</w:t>
      </w:r>
      <w:r>
        <w:rPr>
          <w:spacing w:val="80"/>
          <w:sz w:val="24"/>
        </w:rPr>
        <w:t> </w:t>
      </w:r>
      <w:r>
        <w:rPr>
          <w:sz w:val="24"/>
        </w:rPr>
        <w:t>according</w:t>
      </w:r>
      <w:r>
        <w:rPr>
          <w:spacing w:val="80"/>
          <w:sz w:val="24"/>
        </w:rPr>
        <w:t> </w:t>
      </w:r>
      <w:r>
        <w:rPr>
          <w:sz w:val="24"/>
        </w:rPr>
        <w:t>to</w:t>
      </w:r>
      <w:r>
        <w:rPr>
          <w:spacing w:val="80"/>
          <w:sz w:val="24"/>
        </w:rPr>
        <w:t> </w:t>
      </w:r>
      <w:r>
        <w:rPr>
          <w:sz w:val="24"/>
        </w:rPr>
        <w:t>other</w:t>
      </w:r>
      <w:r>
        <w:rPr>
          <w:spacing w:val="80"/>
          <w:sz w:val="24"/>
        </w:rPr>
        <w:t> </w:t>
      </w:r>
      <w:r>
        <w:rPr>
          <w:sz w:val="24"/>
        </w:rPr>
        <w:t>requirements of</w:t>
      </w:r>
      <w:r>
        <w:rPr>
          <w:spacing w:val="40"/>
          <w:sz w:val="24"/>
        </w:rPr>
        <w:t> </w:t>
      </w:r>
      <w:r>
        <w:rPr>
          <w:sz w:val="24"/>
        </w:rPr>
        <w:t>these</w:t>
      </w:r>
      <w:r>
        <w:rPr>
          <w:spacing w:val="40"/>
          <w:sz w:val="24"/>
        </w:rPr>
        <w:t> </w:t>
      </w:r>
      <w:r>
        <w:rPr>
          <w:sz w:val="24"/>
        </w:rPr>
        <w:t>Regulations</w:t>
      </w:r>
      <w:r>
        <w:rPr>
          <w:spacing w:val="40"/>
          <w:sz w:val="24"/>
        </w:rPr>
        <w:t> </w:t>
      </w:r>
      <w:r>
        <w:rPr>
          <w:sz w:val="24"/>
        </w:rPr>
        <w:t>and</w:t>
      </w:r>
      <w:r>
        <w:rPr>
          <w:spacing w:val="40"/>
          <w:sz w:val="24"/>
        </w:rPr>
        <w:t> </w:t>
      </w:r>
      <w:r>
        <w:rPr>
          <w:sz w:val="24"/>
        </w:rPr>
        <w:t>subject</w:t>
      </w:r>
      <w:r>
        <w:rPr>
          <w:spacing w:val="40"/>
          <w:sz w:val="24"/>
        </w:rPr>
        <w:t> </w:t>
      </w:r>
      <w:r>
        <w:rPr>
          <w:sz w:val="24"/>
        </w:rPr>
        <w:t>to</w:t>
      </w:r>
      <w:r>
        <w:rPr>
          <w:spacing w:val="40"/>
          <w:sz w:val="24"/>
        </w:rPr>
        <w:t> </w:t>
      </w:r>
      <w:r>
        <w:rPr>
          <w:sz w:val="24"/>
        </w:rPr>
        <w:t>all</w:t>
      </w:r>
      <w:r>
        <w:rPr>
          <w:spacing w:val="40"/>
          <w:sz w:val="24"/>
        </w:rPr>
        <w:t> </w:t>
      </w:r>
      <w:r>
        <w:rPr>
          <w:spacing w:val="9"/>
          <w:sz w:val="24"/>
        </w:rPr>
        <w:t>other</w:t>
      </w:r>
      <w:r>
        <w:rPr>
          <w:spacing w:val="40"/>
          <w:sz w:val="24"/>
        </w:rPr>
        <w:t> </w:t>
      </w:r>
      <w:r>
        <w:rPr>
          <w:sz w:val="24"/>
        </w:rPr>
        <w:t>clearances</w:t>
      </w:r>
      <w:r>
        <w:rPr>
          <w:spacing w:val="40"/>
          <w:sz w:val="24"/>
        </w:rPr>
        <w:t> </w:t>
      </w:r>
      <w:r>
        <w:rPr>
          <w:sz w:val="24"/>
        </w:rPr>
        <w:t>as</w:t>
      </w:r>
      <w:r>
        <w:rPr>
          <w:spacing w:val="40"/>
          <w:sz w:val="24"/>
        </w:rPr>
        <w:t> </w:t>
      </w:r>
      <w:r>
        <w:rPr>
          <w:sz w:val="24"/>
        </w:rPr>
        <w:t>may</w:t>
      </w:r>
      <w:r>
        <w:rPr>
          <w:spacing w:val="40"/>
          <w:sz w:val="24"/>
        </w:rPr>
        <w:t> </w:t>
      </w:r>
      <w:r>
        <w:rPr>
          <w:sz w:val="24"/>
        </w:rPr>
        <w:t>be </w:t>
      </w:r>
      <w:r>
        <w:rPr>
          <w:spacing w:val="-2"/>
          <w:sz w:val="24"/>
        </w:rPr>
        <w:t>required.</w:t>
      </w:r>
    </w:p>
    <w:p>
      <w:pPr>
        <w:pStyle w:val="ListParagraph"/>
        <w:numPr>
          <w:ilvl w:val="0"/>
          <w:numId w:val="236"/>
        </w:numPr>
        <w:tabs>
          <w:tab w:pos="1571" w:val="left" w:leader="none"/>
        </w:tabs>
        <w:spacing w:line="240" w:lineRule="auto" w:before="240" w:after="0"/>
        <w:ind w:left="1212" w:right="889" w:firstLine="0"/>
        <w:jc w:val="both"/>
        <w:rPr>
          <w:sz w:val="24"/>
        </w:rPr>
      </w:pPr>
      <w:r>
        <w:rPr>
          <w:sz w:val="24"/>
        </w:rPr>
        <w:t>Proper</w:t>
      </w:r>
      <w:r>
        <w:rPr>
          <w:spacing w:val="80"/>
          <w:sz w:val="24"/>
        </w:rPr>
        <w:t> </w:t>
      </w:r>
      <w:r>
        <w:rPr>
          <w:sz w:val="24"/>
        </w:rPr>
        <w:t>arrangements</w:t>
      </w:r>
      <w:r>
        <w:rPr>
          <w:spacing w:val="80"/>
          <w:sz w:val="24"/>
        </w:rPr>
        <w:t> </w:t>
      </w:r>
      <w:r>
        <w:rPr>
          <w:sz w:val="24"/>
        </w:rPr>
        <w:t>for</w:t>
      </w:r>
      <w:r>
        <w:rPr>
          <w:spacing w:val="80"/>
          <w:sz w:val="24"/>
        </w:rPr>
        <w:t> </w:t>
      </w:r>
      <w:r>
        <w:rPr>
          <w:sz w:val="24"/>
        </w:rPr>
        <w:t>safety,</w:t>
      </w:r>
      <w:r>
        <w:rPr>
          <w:spacing w:val="80"/>
          <w:sz w:val="24"/>
        </w:rPr>
        <w:t> </w:t>
      </w:r>
      <w:r>
        <w:rPr>
          <w:sz w:val="24"/>
        </w:rPr>
        <w:t>regulations</w:t>
      </w:r>
      <w:r>
        <w:rPr>
          <w:spacing w:val="80"/>
          <w:sz w:val="24"/>
        </w:rPr>
        <w:t> </w:t>
      </w:r>
      <w:r>
        <w:rPr>
          <w:sz w:val="24"/>
        </w:rPr>
        <w:t>of</w:t>
      </w:r>
      <w:r>
        <w:rPr>
          <w:spacing w:val="80"/>
          <w:sz w:val="24"/>
        </w:rPr>
        <w:t> </w:t>
      </w:r>
      <w:r>
        <w:rPr>
          <w:sz w:val="24"/>
        </w:rPr>
        <w:t>traffic</w:t>
      </w:r>
      <w:r>
        <w:rPr>
          <w:spacing w:val="80"/>
          <w:sz w:val="24"/>
        </w:rPr>
        <w:t> </w:t>
      </w:r>
      <w:r>
        <w:rPr>
          <w:sz w:val="24"/>
        </w:rPr>
        <w:t>approaches</w:t>
      </w:r>
      <w:r>
        <w:rPr>
          <w:spacing w:val="80"/>
          <w:sz w:val="24"/>
        </w:rPr>
        <w:t> </w:t>
      </w:r>
      <w:r>
        <w:rPr>
          <w:sz w:val="24"/>
        </w:rPr>
        <w:t>to the</w:t>
      </w:r>
      <w:r>
        <w:rPr>
          <w:spacing w:val="40"/>
          <w:sz w:val="24"/>
        </w:rPr>
        <w:t> </w:t>
      </w:r>
      <w:r>
        <w:rPr>
          <w:sz w:val="24"/>
        </w:rPr>
        <w:t>park</w:t>
      </w:r>
      <w:r>
        <w:rPr>
          <w:spacing w:val="40"/>
          <w:sz w:val="24"/>
        </w:rPr>
        <w:t> </w:t>
      </w:r>
      <w:r>
        <w:rPr>
          <w:sz w:val="24"/>
        </w:rPr>
        <w:t>etc.</w:t>
      </w:r>
      <w:r>
        <w:rPr>
          <w:spacing w:val="40"/>
          <w:sz w:val="24"/>
        </w:rPr>
        <w:t> </w:t>
      </w:r>
      <w:r>
        <w:rPr>
          <w:sz w:val="24"/>
        </w:rPr>
        <w:t>shall</w:t>
      </w:r>
      <w:r>
        <w:rPr>
          <w:spacing w:val="40"/>
          <w:sz w:val="24"/>
        </w:rPr>
        <w:t> </w:t>
      </w:r>
      <w:r>
        <w:rPr>
          <w:sz w:val="24"/>
        </w:rPr>
        <w:t>be</w:t>
      </w:r>
      <w:r>
        <w:rPr>
          <w:spacing w:val="40"/>
          <w:sz w:val="24"/>
        </w:rPr>
        <w:t> </w:t>
      </w:r>
      <w:r>
        <w:rPr>
          <w:sz w:val="24"/>
        </w:rPr>
        <w:t>made</w:t>
      </w:r>
      <w:r>
        <w:rPr>
          <w:spacing w:val="40"/>
          <w:sz w:val="24"/>
        </w:rPr>
        <w:t> </w:t>
      </w:r>
      <w:r>
        <w:rPr>
          <w:sz w:val="24"/>
        </w:rPr>
        <w:t>to</w:t>
      </w:r>
      <w:r>
        <w:rPr>
          <w:spacing w:val="40"/>
          <w:sz w:val="24"/>
        </w:rPr>
        <w:t> </w:t>
      </w:r>
      <w:r>
        <w:rPr>
          <w:sz w:val="24"/>
        </w:rPr>
        <w:t>the</w:t>
      </w:r>
      <w:r>
        <w:rPr>
          <w:spacing w:val="40"/>
          <w:sz w:val="24"/>
        </w:rPr>
        <w:t> </w:t>
      </w:r>
      <w:r>
        <w:rPr>
          <w:sz w:val="24"/>
        </w:rPr>
        <w:t>satisfaction</w:t>
      </w:r>
      <w:r>
        <w:rPr>
          <w:spacing w:val="40"/>
          <w:sz w:val="24"/>
        </w:rPr>
        <w:t> </w:t>
      </w:r>
      <w:r>
        <w:rPr>
          <w:sz w:val="24"/>
        </w:rPr>
        <w:t>of</w:t>
      </w:r>
      <w:r>
        <w:rPr>
          <w:spacing w:val="40"/>
          <w:sz w:val="24"/>
        </w:rPr>
        <w:t> </w:t>
      </w:r>
      <w:r>
        <w:rPr>
          <w:sz w:val="24"/>
        </w:rPr>
        <w:t>the</w:t>
      </w:r>
      <w:r>
        <w:rPr>
          <w:spacing w:val="40"/>
          <w:sz w:val="24"/>
        </w:rPr>
        <w:t> </w:t>
      </w:r>
      <w:r>
        <w:rPr>
          <w:sz w:val="24"/>
        </w:rPr>
        <w:t>Commissioner</w:t>
      </w:r>
      <w:r>
        <w:rPr>
          <w:spacing w:val="40"/>
          <w:sz w:val="24"/>
        </w:rPr>
        <w:t> </w:t>
      </w:r>
      <w:r>
        <w:rPr>
          <w:sz w:val="24"/>
        </w:rPr>
        <w:t>of Police</w:t>
      </w:r>
      <w:r>
        <w:rPr>
          <w:spacing w:val="40"/>
          <w:sz w:val="24"/>
        </w:rPr>
        <w:t> </w:t>
      </w:r>
      <w:r>
        <w:rPr>
          <w:sz w:val="24"/>
        </w:rPr>
        <w:t>from</w:t>
      </w:r>
      <w:r>
        <w:rPr>
          <w:spacing w:val="40"/>
          <w:sz w:val="24"/>
        </w:rPr>
        <w:t> </w:t>
      </w:r>
      <w:r>
        <w:rPr>
          <w:sz w:val="24"/>
        </w:rPr>
        <w:t>the</w:t>
      </w:r>
      <w:r>
        <w:rPr>
          <w:spacing w:val="40"/>
          <w:sz w:val="24"/>
        </w:rPr>
        <w:t> </w:t>
      </w:r>
      <w:r>
        <w:rPr>
          <w:sz w:val="24"/>
        </w:rPr>
        <w:t>law</w:t>
      </w:r>
      <w:r>
        <w:rPr>
          <w:spacing w:val="40"/>
          <w:sz w:val="24"/>
        </w:rPr>
        <w:t> </w:t>
      </w:r>
      <w:r>
        <w:rPr>
          <w:sz w:val="24"/>
        </w:rPr>
        <w:t>and</w:t>
      </w:r>
      <w:r>
        <w:rPr>
          <w:spacing w:val="40"/>
          <w:sz w:val="24"/>
        </w:rPr>
        <w:t> </w:t>
      </w:r>
      <w:r>
        <w:rPr>
          <w:sz w:val="24"/>
        </w:rPr>
        <w:t>order</w:t>
      </w:r>
      <w:r>
        <w:rPr>
          <w:spacing w:val="40"/>
          <w:sz w:val="24"/>
        </w:rPr>
        <w:t> </w:t>
      </w:r>
      <w:r>
        <w:rPr>
          <w:sz w:val="24"/>
        </w:rPr>
        <w:t>and</w:t>
      </w:r>
      <w:r>
        <w:rPr>
          <w:spacing w:val="40"/>
          <w:sz w:val="24"/>
        </w:rPr>
        <w:t> </w:t>
      </w:r>
      <w:r>
        <w:rPr>
          <w:sz w:val="24"/>
        </w:rPr>
        <w:t>traffic</w:t>
      </w:r>
      <w:r>
        <w:rPr>
          <w:spacing w:val="40"/>
          <w:sz w:val="24"/>
        </w:rPr>
        <w:t> </w:t>
      </w:r>
      <w:r>
        <w:rPr>
          <w:spacing w:val="9"/>
          <w:sz w:val="24"/>
        </w:rPr>
        <w:t>aspects.</w:t>
      </w:r>
    </w:p>
    <w:p>
      <w:pPr>
        <w:pStyle w:val="Heading6"/>
        <w:numPr>
          <w:ilvl w:val="0"/>
          <w:numId w:val="230"/>
        </w:numPr>
        <w:tabs>
          <w:tab w:pos="1759" w:val="left" w:leader="none"/>
        </w:tabs>
        <w:spacing w:line="240" w:lineRule="auto" w:before="237" w:after="0"/>
        <w:ind w:left="1759" w:right="0" w:hanging="547"/>
        <w:jc w:val="left"/>
        <w:rPr>
          <w:b w:val="0"/>
          <w:i w:val="0"/>
        </w:rPr>
      </w:pPr>
      <w:r>
        <w:rPr>
          <w:spacing w:val="2"/>
        </w:rPr>
        <w:t>Miscellaneous</w:t>
      </w:r>
      <w:r>
        <w:rPr>
          <w:spacing w:val="64"/>
          <w:w w:val="150"/>
        </w:rPr>
        <w:t> </w:t>
      </w:r>
      <w:r>
        <w:rPr>
          <w:spacing w:val="-2"/>
        </w:rPr>
        <w:t>Use</w:t>
      </w:r>
      <w:r>
        <w:rPr>
          <w:b w:val="0"/>
          <w:spacing w:val="-2"/>
        </w:rPr>
        <w:t>s</w:t>
      </w:r>
      <w:r>
        <w:rPr>
          <w:b w:val="0"/>
          <w:i w:val="0"/>
          <w:spacing w:val="-2"/>
        </w:rPr>
        <w:t>:</w:t>
      </w:r>
    </w:p>
    <w:p>
      <w:pPr>
        <w:pStyle w:val="BodyText"/>
        <w:spacing w:before="241"/>
        <w:ind w:left="1212" w:right="889"/>
      </w:pPr>
      <w:r>
        <w:rPr/>
        <w:t>The</w:t>
      </w:r>
      <w:r>
        <w:rPr>
          <w:spacing w:val="40"/>
        </w:rPr>
        <w:t> </w:t>
      </w:r>
      <w:r>
        <w:rPr/>
        <w:t>following</w:t>
      </w:r>
      <w:r>
        <w:rPr>
          <w:spacing w:val="40"/>
        </w:rPr>
        <w:t> </w:t>
      </w:r>
      <w:r>
        <w:rPr/>
        <w:t>uses</w:t>
      </w:r>
      <w:r>
        <w:rPr>
          <w:spacing w:val="40"/>
        </w:rPr>
        <w:t> </w:t>
      </w:r>
      <w:r>
        <w:rPr/>
        <w:t>shall</w:t>
      </w:r>
      <w:r>
        <w:rPr>
          <w:spacing w:val="40"/>
        </w:rPr>
        <w:t> </w:t>
      </w:r>
      <w:r>
        <w:rPr/>
        <w:t>be</w:t>
      </w:r>
      <w:r>
        <w:rPr>
          <w:spacing w:val="40"/>
        </w:rPr>
        <w:t> </w:t>
      </w:r>
      <w:r>
        <w:rPr/>
        <w:t>permissible</w:t>
      </w:r>
      <w:r>
        <w:rPr>
          <w:spacing w:val="40"/>
        </w:rPr>
        <w:t> </w:t>
      </w:r>
      <w:r>
        <w:rPr/>
        <w:t>where</w:t>
      </w:r>
      <w:r>
        <w:rPr>
          <w:spacing w:val="40"/>
        </w:rPr>
        <w:t> </w:t>
      </w:r>
      <w:r>
        <w:rPr/>
        <w:t>the</w:t>
      </w:r>
      <w:r>
        <w:rPr>
          <w:spacing w:val="40"/>
        </w:rPr>
        <w:t> </w:t>
      </w:r>
      <w:r>
        <w:rPr/>
        <w:t>permissible</w:t>
      </w:r>
      <w:r>
        <w:rPr>
          <w:spacing w:val="40"/>
        </w:rPr>
        <w:t> </w:t>
      </w:r>
      <w:r>
        <w:rPr/>
        <w:t>FSI</w:t>
      </w:r>
      <w:r>
        <w:rPr>
          <w:spacing w:val="40"/>
        </w:rPr>
        <w:t> </w:t>
      </w:r>
      <w:r>
        <w:rPr/>
        <w:t>shall not</w:t>
      </w:r>
      <w:r>
        <w:rPr>
          <w:spacing w:val="40"/>
        </w:rPr>
        <w:t> </w:t>
      </w:r>
      <w:r>
        <w:rPr/>
        <w:t>exceed</w:t>
      </w:r>
      <w:r>
        <w:rPr>
          <w:spacing w:val="80"/>
          <w:w w:val="150"/>
        </w:rPr>
        <w:t>   </w:t>
      </w:r>
      <w:r>
        <w:rPr/>
        <w:t>0.025(excluding</w:t>
      </w:r>
      <w:r>
        <w:rPr>
          <w:spacing w:val="40"/>
        </w:rPr>
        <w:t> </w:t>
      </w:r>
      <w:r>
        <w:rPr/>
        <w:t>area</w:t>
      </w:r>
      <w:r>
        <w:rPr>
          <w:spacing w:val="40"/>
        </w:rPr>
        <w:t> </w:t>
      </w:r>
      <w:r>
        <w:rPr/>
        <w:t>of</w:t>
      </w:r>
      <w:r>
        <w:rPr>
          <w:spacing w:val="40"/>
        </w:rPr>
        <w:t> </w:t>
      </w:r>
      <w:r>
        <w:rPr/>
        <w:t>DP</w:t>
      </w:r>
      <w:r>
        <w:rPr>
          <w:spacing w:val="40"/>
        </w:rPr>
        <w:t> </w:t>
      </w:r>
      <w:r>
        <w:rPr/>
        <w:t>road)</w:t>
      </w:r>
    </w:p>
    <w:p>
      <w:pPr>
        <w:pStyle w:val="ListParagraph"/>
        <w:numPr>
          <w:ilvl w:val="0"/>
          <w:numId w:val="237"/>
        </w:numPr>
        <w:tabs>
          <w:tab w:pos="1651" w:val="left" w:leader="none"/>
        </w:tabs>
        <w:spacing w:line="240" w:lineRule="auto" w:before="241" w:after="0"/>
        <w:ind w:left="1212" w:right="954" w:firstLine="0"/>
        <w:jc w:val="both"/>
        <w:rPr>
          <w:sz w:val="24"/>
        </w:rPr>
      </w:pPr>
      <w:r>
        <w:rPr>
          <w:sz w:val="24"/>
        </w:rPr>
        <w:t>Agriculture, horticulture and animal husbandry (except for keeping animals</w:t>
      </w:r>
      <w:r>
        <w:rPr>
          <w:spacing w:val="40"/>
          <w:sz w:val="24"/>
        </w:rPr>
        <w:t> </w:t>
      </w:r>
      <w:r>
        <w:rPr>
          <w:sz w:val="24"/>
        </w:rPr>
        <w:t>on</w:t>
      </w:r>
      <w:r>
        <w:rPr>
          <w:spacing w:val="40"/>
          <w:sz w:val="24"/>
        </w:rPr>
        <w:t> </w:t>
      </w:r>
      <w:r>
        <w:rPr>
          <w:sz w:val="24"/>
        </w:rPr>
        <w:t>a</w:t>
      </w:r>
      <w:r>
        <w:rPr>
          <w:spacing w:val="40"/>
          <w:sz w:val="24"/>
        </w:rPr>
        <w:t> </w:t>
      </w:r>
      <w:r>
        <w:rPr>
          <w:sz w:val="24"/>
        </w:rPr>
        <w:t>commercial</w:t>
      </w:r>
      <w:r>
        <w:rPr>
          <w:spacing w:val="40"/>
          <w:sz w:val="24"/>
        </w:rPr>
        <w:t> </w:t>
      </w:r>
      <w:r>
        <w:rPr>
          <w:sz w:val="24"/>
        </w:rPr>
        <w:t>scale),</w:t>
      </w:r>
      <w:r>
        <w:rPr>
          <w:spacing w:val="40"/>
          <w:sz w:val="24"/>
        </w:rPr>
        <w:t> </w:t>
      </w:r>
      <w:r>
        <w:rPr>
          <w:sz w:val="24"/>
        </w:rPr>
        <w:t>subject</w:t>
      </w:r>
      <w:r>
        <w:rPr>
          <w:spacing w:val="40"/>
          <w:sz w:val="24"/>
        </w:rPr>
        <w:t> </w:t>
      </w:r>
      <w:r>
        <w:rPr>
          <w:sz w:val="24"/>
        </w:rPr>
        <w:t>to</w:t>
      </w:r>
      <w:r>
        <w:rPr>
          <w:spacing w:val="40"/>
          <w:sz w:val="24"/>
        </w:rPr>
        <w:t> </w:t>
      </w:r>
      <w:r>
        <w:rPr>
          <w:sz w:val="24"/>
        </w:rPr>
        <w:t>a</w:t>
      </w:r>
      <w:r>
        <w:rPr>
          <w:spacing w:val="40"/>
          <w:sz w:val="24"/>
        </w:rPr>
        <w:t> </w:t>
      </w:r>
      <w:r>
        <w:rPr>
          <w:sz w:val="24"/>
        </w:rPr>
        <w:t>limit</w:t>
      </w:r>
      <w:r>
        <w:rPr>
          <w:spacing w:val="40"/>
          <w:sz w:val="24"/>
        </w:rPr>
        <w:t> </w:t>
      </w:r>
      <w:r>
        <w:rPr>
          <w:sz w:val="24"/>
        </w:rPr>
        <w:t>of</w:t>
      </w:r>
      <w:r>
        <w:rPr>
          <w:spacing w:val="40"/>
          <w:sz w:val="24"/>
        </w:rPr>
        <w:t> </w:t>
      </w:r>
      <w:r>
        <w:rPr>
          <w:sz w:val="24"/>
        </w:rPr>
        <w:t>10</w:t>
      </w:r>
      <w:r>
        <w:rPr>
          <w:spacing w:val="40"/>
          <w:sz w:val="24"/>
        </w:rPr>
        <w:t> </w:t>
      </w:r>
      <w:r>
        <w:rPr>
          <w:sz w:val="24"/>
        </w:rPr>
        <w:t>head</w:t>
      </w:r>
      <w:r>
        <w:rPr>
          <w:spacing w:val="40"/>
          <w:sz w:val="24"/>
        </w:rPr>
        <w:t> </w:t>
      </w:r>
      <w:r>
        <w:rPr>
          <w:sz w:val="24"/>
        </w:rPr>
        <w:t>of</w:t>
      </w:r>
      <w:r>
        <w:rPr>
          <w:spacing w:val="40"/>
          <w:sz w:val="24"/>
        </w:rPr>
        <w:t> </w:t>
      </w:r>
      <w:r>
        <w:rPr>
          <w:sz w:val="24"/>
        </w:rPr>
        <w:t>cattle per</w:t>
      </w:r>
      <w:r>
        <w:rPr>
          <w:spacing w:val="40"/>
          <w:sz w:val="24"/>
        </w:rPr>
        <w:t> </w:t>
      </w:r>
      <w:r>
        <w:rPr>
          <w:sz w:val="24"/>
        </w:rPr>
        <w:t>acre</w:t>
      </w:r>
      <w:r>
        <w:rPr>
          <w:spacing w:val="40"/>
          <w:sz w:val="24"/>
        </w:rPr>
        <w:t> </w:t>
      </w:r>
      <w:r>
        <w:rPr>
          <w:sz w:val="24"/>
        </w:rPr>
        <w:t>and</w:t>
      </w:r>
      <w:r>
        <w:rPr>
          <w:spacing w:val="40"/>
          <w:sz w:val="24"/>
        </w:rPr>
        <w:t> </w:t>
      </w:r>
      <w:r>
        <w:rPr>
          <w:sz w:val="24"/>
        </w:rPr>
        <w:t>providing</w:t>
      </w:r>
      <w:r>
        <w:rPr>
          <w:spacing w:val="40"/>
          <w:sz w:val="24"/>
        </w:rPr>
        <w:t> </w:t>
      </w:r>
      <w:r>
        <w:rPr>
          <w:sz w:val="24"/>
        </w:rPr>
        <w:t>necessary</w:t>
      </w:r>
      <w:r>
        <w:rPr>
          <w:spacing w:val="40"/>
          <w:sz w:val="24"/>
        </w:rPr>
        <w:t> </w:t>
      </w:r>
      <w:r>
        <w:rPr>
          <w:sz w:val="24"/>
        </w:rPr>
        <w:t>buildings,</w:t>
      </w:r>
      <w:r>
        <w:rPr>
          <w:spacing w:val="40"/>
          <w:sz w:val="24"/>
        </w:rPr>
        <w:t> </w:t>
      </w:r>
      <w:r>
        <w:rPr>
          <w:sz w:val="24"/>
        </w:rPr>
        <w:t>garages,</w:t>
      </w:r>
      <w:r>
        <w:rPr>
          <w:spacing w:val="40"/>
          <w:sz w:val="24"/>
        </w:rPr>
        <w:t> </w:t>
      </w:r>
      <w:r>
        <w:rPr>
          <w:sz w:val="24"/>
        </w:rPr>
        <w:t>pig</w:t>
      </w:r>
      <w:r>
        <w:rPr>
          <w:spacing w:val="40"/>
          <w:sz w:val="24"/>
        </w:rPr>
        <w:t> </w:t>
      </w:r>
      <w:r>
        <w:rPr>
          <w:sz w:val="24"/>
        </w:rPr>
        <w:t>sties,</w:t>
      </w:r>
      <w:r>
        <w:rPr>
          <w:spacing w:val="40"/>
          <w:sz w:val="24"/>
        </w:rPr>
        <w:t> </w:t>
      </w:r>
      <w:r>
        <w:rPr>
          <w:sz w:val="24"/>
        </w:rPr>
        <w:t>stables and storage </w:t>
      </w:r>
      <w:r>
        <w:rPr>
          <w:spacing w:val="9"/>
          <w:sz w:val="24"/>
        </w:rPr>
        <w:t>buildings</w:t>
      </w:r>
    </w:p>
    <w:p>
      <w:pPr>
        <w:pStyle w:val="ListParagraph"/>
        <w:numPr>
          <w:ilvl w:val="0"/>
          <w:numId w:val="237"/>
        </w:numPr>
        <w:tabs>
          <w:tab w:pos="1650" w:val="left" w:leader="none"/>
        </w:tabs>
        <w:spacing w:line="240" w:lineRule="auto" w:before="1" w:after="0"/>
        <w:ind w:left="1212" w:right="6010" w:firstLine="0"/>
        <w:jc w:val="both"/>
        <w:rPr>
          <w:sz w:val="24"/>
        </w:rPr>
      </w:pPr>
      <w:r>
        <w:rPr>
          <w:sz w:val="24"/>
        </w:rPr>
        <w:t>Gardens and poultry farms; (iii.)</w:t>
      </w:r>
      <w:r>
        <w:rPr>
          <w:spacing w:val="80"/>
          <w:sz w:val="24"/>
        </w:rPr>
        <w:t>   </w:t>
      </w:r>
      <w:r>
        <w:rPr>
          <w:sz w:val="24"/>
        </w:rPr>
        <w:t>Forestry;</w:t>
      </w:r>
    </w:p>
    <w:p>
      <w:pPr>
        <w:pStyle w:val="BodyText"/>
        <w:spacing w:line="281" w:lineRule="exact" w:before="1"/>
        <w:ind w:left="1212"/>
      </w:pPr>
      <w:r>
        <w:rPr/>
        <w:t>(iv.)</w:t>
      </w:r>
      <w:r>
        <w:rPr>
          <w:spacing w:val="78"/>
        </w:rPr>
        <w:t>    </w:t>
      </w:r>
      <w:r>
        <w:rPr/>
        <w:t>Golf</w:t>
      </w:r>
      <w:r>
        <w:rPr>
          <w:spacing w:val="35"/>
        </w:rPr>
        <w:t> </w:t>
      </w:r>
      <w:r>
        <w:rPr/>
        <w:t>clubs</w:t>
      </w:r>
      <w:r>
        <w:rPr>
          <w:spacing w:val="32"/>
        </w:rPr>
        <w:t> </w:t>
      </w:r>
      <w:r>
        <w:rPr/>
        <w:t>and</w:t>
      </w:r>
      <w:r>
        <w:rPr>
          <w:spacing w:val="35"/>
        </w:rPr>
        <w:t> </w:t>
      </w:r>
      <w:r>
        <w:rPr>
          <w:spacing w:val="7"/>
        </w:rPr>
        <w:t>links;</w:t>
      </w:r>
    </w:p>
    <w:p>
      <w:pPr>
        <w:pStyle w:val="BodyText"/>
        <w:ind w:left="1212" w:right="971"/>
      </w:pPr>
      <w:r>
        <w:rPr/>
        <w:t>(v.) Public</w:t>
      </w:r>
      <w:r>
        <w:rPr>
          <w:spacing w:val="80"/>
        </w:rPr>
        <w:t> </w:t>
      </w:r>
      <w:r>
        <w:rPr/>
        <w:t>parks,</w:t>
      </w:r>
      <w:r>
        <w:rPr>
          <w:spacing w:val="80"/>
        </w:rPr>
        <w:t> </w:t>
      </w:r>
      <w:r>
        <w:rPr/>
        <w:t>private</w:t>
      </w:r>
      <w:r>
        <w:rPr>
          <w:spacing w:val="80"/>
        </w:rPr>
        <w:t> </w:t>
      </w:r>
      <w:r>
        <w:rPr/>
        <w:t>parks,</w:t>
      </w:r>
      <w:r>
        <w:rPr>
          <w:spacing w:val="80"/>
        </w:rPr>
        <w:t> </w:t>
      </w:r>
      <w:r>
        <w:rPr/>
        <w:t>play</w:t>
      </w:r>
      <w:r>
        <w:rPr>
          <w:spacing w:val="80"/>
        </w:rPr>
        <w:t> </w:t>
      </w:r>
      <w:r>
        <w:rPr/>
        <w:t>fields,</w:t>
      </w:r>
      <w:r>
        <w:rPr>
          <w:spacing w:val="80"/>
        </w:rPr>
        <w:t> </w:t>
      </w:r>
      <w:r>
        <w:rPr/>
        <w:t>stadia,</w:t>
      </w:r>
      <w:r>
        <w:rPr>
          <w:spacing w:val="80"/>
        </w:rPr>
        <w:t> </w:t>
      </w:r>
      <w:r>
        <w:rPr/>
        <w:t>gymkhanas, swimming pools, gliding facilities, temporary camps for recreation of all </w:t>
      </w:r>
      <w:r>
        <w:rPr>
          <w:spacing w:val="-2"/>
        </w:rPr>
        <w:t>types.</w:t>
      </w:r>
    </w:p>
    <w:p>
      <w:pPr>
        <w:pStyle w:val="BodyText"/>
        <w:tabs>
          <w:tab w:pos="2573" w:val="left" w:leader="none"/>
        </w:tabs>
        <w:ind w:left="1212" w:right="4416"/>
        <w:jc w:val="left"/>
      </w:pPr>
      <w:r>
        <w:rPr>
          <w:spacing w:val="-2"/>
        </w:rPr>
        <w:t>(vi.)</w:t>
      </w:r>
      <w:r>
        <w:rPr/>
        <w:tab/>
        <w:t>Race tracks and shooting </w:t>
      </w:r>
      <w:r>
        <w:rPr>
          <w:spacing w:val="9"/>
        </w:rPr>
        <w:t>ranges. </w:t>
      </w:r>
      <w:r>
        <w:rPr/>
        <w:t>(vii.)Fish</w:t>
      </w:r>
      <w:r>
        <w:rPr>
          <w:spacing w:val="40"/>
        </w:rPr>
        <w:t> </w:t>
      </w:r>
      <w:r>
        <w:rPr/>
        <w:t>curing</w:t>
      </w:r>
      <w:r>
        <w:rPr>
          <w:spacing w:val="40"/>
        </w:rPr>
        <w:t> </w:t>
      </w:r>
      <w:r>
        <w:rPr/>
        <w:t>on</w:t>
      </w:r>
      <w:r>
        <w:rPr>
          <w:spacing w:val="40"/>
        </w:rPr>
        <w:t> </w:t>
      </w:r>
      <w:r>
        <w:rPr/>
        <w:t>open</w:t>
      </w:r>
      <w:r>
        <w:rPr>
          <w:spacing w:val="40"/>
        </w:rPr>
        <w:t> </w:t>
      </w:r>
      <w:r>
        <w:rPr/>
        <w:t>land/fish</w:t>
      </w:r>
      <w:r>
        <w:rPr>
          <w:spacing w:val="9"/>
        </w:rPr>
        <w:t> farming. (viii.)Salt </w:t>
      </w:r>
      <w:r>
        <w:rPr/>
        <w:t>manufacture</w:t>
      </w:r>
      <w:r>
        <w:rPr>
          <w:spacing w:val="40"/>
        </w:rPr>
        <w:t> </w:t>
      </w:r>
      <w:r>
        <w:rPr/>
        <w:t>from</w:t>
      </w:r>
      <w:r>
        <w:rPr>
          <w:spacing w:val="40"/>
        </w:rPr>
        <w:t> </w:t>
      </w:r>
      <w:r>
        <w:rPr/>
        <w:t>sea</w:t>
      </w:r>
      <w:r>
        <w:rPr>
          <w:spacing w:val="9"/>
        </w:rPr>
        <w:t> water.</w:t>
      </w:r>
    </w:p>
    <w:p>
      <w:pPr>
        <w:pStyle w:val="BodyText"/>
        <w:ind w:left="1212" w:right="868"/>
      </w:pPr>
      <w:r>
        <w:rPr/>
        <w:t>(ix.)</w:t>
      </w:r>
      <w:r>
        <w:rPr>
          <w:spacing w:val="40"/>
        </w:rPr>
        <w:t> </w:t>
      </w:r>
      <w:r>
        <w:rPr/>
        <w:t>Public</w:t>
      </w:r>
      <w:r>
        <w:rPr>
          <w:spacing w:val="80"/>
          <w:w w:val="150"/>
        </w:rPr>
        <w:t> </w:t>
      </w:r>
      <w:r>
        <w:rPr/>
        <w:t>utility</w:t>
      </w:r>
      <w:r>
        <w:rPr>
          <w:spacing w:val="80"/>
          <w:w w:val="150"/>
        </w:rPr>
        <w:t> </w:t>
      </w:r>
      <w:r>
        <w:rPr/>
        <w:t>establishments</w:t>
      </w:r>
      <w:r>
        <w:rPr>
          <w:spacing w:val="80"/>
          <w:w w:val="150"/>
        </w:rPr>
        <w:t> </w:t>
      </w:r>
      <w:r>
        <w:rPr/>
        <w:t>such</w:t>
      </w:r>
      <w:r>
        <w:rPr>
          <w:spacing w:val="80"/>
          <w:w w:val="150"/>
        </w:rPr>
        <w:t> </w:t>
      </w:r>
      <w:r>
        <w:rPr/>
        <w:t>as</w:t>
      </w:r>
      <w:r>
        <w:rPr>
          <w:spacing w:val="80"/>
          <w:w w:val="150"/>
        </w:rPr>
        <w:t> </w:t>
      </w:r>
      <w:r>
        <w:rPr/>
        <w:t>electric</w:t>
      </w:r>
      <w:r>
        <w:rPr>
          <w:spacing w:val="80"/>
          <w:w w:val="150"/>
        </w:rPr>
        <w:t> </w:t>
      </w:r>
      <w:r>
        <w:rPr>
          <w:spacing w:val="13"/>
        </w:rPr>
        <w:t>sub-</w:t>
      </w:r>
      <w:r>
        <w:rPr/>
        <w:t>stations, receiving stations, switch yards, </w:t>
      </w:r>
      <w:r>
        <w:rPr>
          <w:spacing w:val="10"/>
        </w:rPr>
        <w:t>over-</w:t>
      </w:r>
      <w:r>
        <w:rPr/>
        <w:t>head line corridors, radio and</w:t>
      </w:r>
      <w:r>
        <w:rPr>
          <w:spacing w:val="40"/>
        </w:rPr>
        <w:t> </w:t>
      </w:r>
      <w:r>
        <w:rPr/>
        <w:t>television stations, receiving stations, main stations for public gas distribution, sewage treatment and disposal works, Storm Water </w:t>
      </w:r>
      <w:r>
        <w:rPr>
          <w:spacing w:val="9"/>
        </w:rPr>
        <w:t>Drain </w:t>
      </w:r>
      <w:r>
        <w:rPr/>
        <w:t>Pumping</w:t>
      </w:r>
      <w:r>
        <w:rPr>
          <w:spacing w:val="40"/>
        </w:rPr>
        <w:t> </w:t>
      </w:r>
      <w:r>
        <w:rPr/>
        <w:t>Station,</w:t>
      </w:r>
      <w:r>
        <w:rPr>
          <w:spacing w:val="40"/>
        </w:rPr>
        <w:t> </w:t>
      </w:r>
      <w:r>
        <w:rPr/>
        <w:t>facilities</w:t>
      </w:r>
      <w:r>
        <w:rPr>
          <w:spacing w:val="40"/>
        </w:rPr>
        <w:t> </w:t>
      </w:r>
      <w:r>
        <w:rPr/>
        <w:t>for</w:t>
      </w:r>
      <w:r>
        <w:rPr>
          <w:spacing w:val="40"/>
        </w:rPr>
        <w:t> </w:t>
      </w:r>
      <w:r>
        <w:rPr/>
        <w:t>the</w:t>
      </w:r>
      <w:r>
        <w:rPr>
          <w:spacing w:val="40"/>
        </w:rPr>
        <w:t> </w:t>
      </w:r>
      <w:r>
        <w:rPr/>
        <w:t>disposal</w:t>
      </w:r>
      <w:r>
        <w:rPr>
          <w:spacing w:val="40"/>
        </w:rPr>
        <w:t> </w:t>
      </w:r>
      <w:r>
        <w:rPr/>
        <w:t>of</w:t>
      </w:r>
      <w:r>
        <w:rPr>
          <w:spacing w:val="40"/>
        </w:rPr>
        <w:t> </w:t>
      </w:r>
      <w:r>
        <w:rPr/>
        <w:t>Solid</w:t>
      </w:r>
      <w:r>
        <w:rPr>
          <w:spacing w:val="40"/>
        </w:rPr>
        <w:t> </w:t>
      </w:r>
      <w:r>
        <w:rPr/>
        <w:t>Waste,</w:t>
      </w:r>
      <w:r>
        <w:rPr>
          <w:spacing w:val="40"/>
        </w:rPr>
        <w:t> </w:t>
      </w:r>
      <w:r>
        <w:rPr/>
        <w:t>water</w:t>
      </w:r>
      <w:r>
        <w:rPr>
          <w:spacing w:val="40"/>
        </w:rPr>
        <w:t> </w:t>
      </w:r>
      <w:r>
        <w:rPr/>
        <w:t>works along</w:t>
      </w:r>
      <w:r>
        <w:rPr>
          <w:spacing w:val="80"/>
        </w:rPr>
        <w:t> </w:t>
      </w:r>
      <w:r>
        <w:rPr/>
        <w:t>with</w:t>
      </w:r>
      <w:r>
        <w:rPr>
          <w:spacing w:val="80"/>
        </w:rPr>
        <w:t> </w:t>
      </w:r>
      <w:r>
        <w:rPr/>
        <w:t>residential</w:t>
      </w:r>
      <w:r>
        <w:rPr>
          <w:spacing w:val="80"/>
        </w:rPr>
        <w:t> </w:t>
      </w:r>
      <w:r>
        <w:rPr/>
        <w:t>quarters</w:t>
      </w:r>
      <w:r>
        <w:rPr>
          <w:spacing w:val="80"/>
        </w:rPr>
        <w:t> </w:t>
      </w:r>
      <w:r>
        <w:rPr/>
        <w:t>for</w:t>
      </w:r>
      <w:r>
        <w:rPr>
          <w:spacing w:val="80"/>
        </w:rPr>
        <w:t> </w:t>
      </w:r>
      <w:r>
        <w:rPr/>
        <w:t>essential</w:t>
      </w:r>
      <w:r>
        <w:rPr>
          <w:spacing w:val="80"/>
        </w:rPr>
        <w:t> </w:t>
      </w:r>
      <w:r>
        <w:rPr/>
        <w:t>staff</w:t>
      </w:r>
      <w:r>
        <w:rPr>
          <w:spacing w:val="80"/>
        </w:rPr>
        <w:t> </w:t>
      </w:r>
      <w:r>
        <w:rPr/>
        <w:t>for</w:t>
      </w:r>
      <w:r>
        <w:rPr>
          <w:spacing w:val="80"/>
        </w:rPr>
        <w:t> </w:t>
      </w:r>
      <w:r>
        <w:rPr/>
        <w:t>such</w:t>
      </w:r>
      <w:r>
        <w:rPr>
          <w:spacing w:val="80"/>
        </w:rPr>
        <w:t> </w:t>
      </w:r>
      <w:r>
        <w:rPr/>
        <w:t>works,</w:t>
      </w:r>
      <w:r>
        <w:rPr>
          <w:spacing w:val="80"/>
        </w:rPr>
        <w:t> </w:t>
      </w:r>
      <w:r>
        <w:rPr/>
        <w:t>with the</w:t>
      </w:r>
      <w:r>
        <w:rPr>
          <w:spacing w:val="40"/>
        </w:rPr>
        <w:t> </w:t>
      </w:r>
      <w:r>
        <w:rPr/>
        <w:t>special</w:t>
      </w:r>
      <w:r>
        <w:rPr>
          <w:spacing w:val="40"/>
        </w:rPr>
        <w:t> </w:t>
      </w:r>
      <w:r>
        <w:rPr/>
        <w:t>permission</w:t>
      </w:r>
      <w:r>
        <w:rPr>
          <w:spacing w:val="40"/>
        </w:rPr>
        <w:t> </w:t>
      </w:r>
      <w:r>
        <w:rPr/>
        <w:t>of</w:t>
      </w:r>
      <w:r>
        <w:rPr>
          <w:spacing w:val="40"/>
        </w:rPr>
        <w:t> </w:t>
      </w:r>
      <w:r>
        <w:rPr/>
        <w:t>the</w:t>
      </w:r>
      <w:r>
        <w:rPr>
          <w:spacing w:val="40"/>
        </w:rPr>
        <w:t> </w:t>
      </w:r>
      <w:r>
        <w:rPr>
          <w:spacing w:val="9"/>
        </w:rPr>
        <w:t>Commissioner.</w:t>
      </w:r>
    </w:p>
    <w:p>
      <w:pPr>
        <w:pStyle w:val="BodyText"/>
        <w:spacing w:after="0"/>
        <w:sectPr>
          <w:pgSz w:w="11910" w:h="16840"/>
          <w:pgMar w:header="1058" w:footer="1088" w:top="1500" w:bottom="1280" w:left="360" w:right="360"/>
        </w:sectPr>
      </w:pPr>
    </w:p>
    <w:p>
      <w:pPr>
        <w:pStyle w:val="BodyText"/>
        <w:spacing w:before="255"/>
        <w:ind w:left="1212"/>
      </w:pPr>
      <w:r>
        <w:rPr/>
        <w:t>(x.)</w:t>
      </w:r>
      <w:r>
        <w:rPr>
          <w:spacing w:val="73"/>
          <w:w w:val="150"/>
        </w:rPr>
        <w:t>  </w:t>
      </w:r>
      <w:r>
        <w:rPr/>
        <w:t>Cemeteries</w:t>
      </w:r>
      <w:r>
        <w:rPr>
          <w:spacing w:val="66"/>
        </w:rPr>
        <w:t> </w:t>
      </w:r>
      <w:r>
        <w:rPr/>
        <w:t>and</w:t>
      </w:r>
      <w:r>
        <w:rPr>
          <w:spacing w:val="68"/>
        </w:rPr>
        <w:t> </w:t>
      </w:r>
      <w:r>
        <w:rPr/>
        <w:t>crematoria</w:t>
      </w:r>
      <w:r>
        <w:rPr>
          <w:spacing w:val="68"/>
        </w:rPr>
        <w:t> </w:t>
      </w:r>
      <w:r>
        <w:rPr/>
        <w:t>and</w:t>
      </w:r>
      <w:r>
        <w:rPr>
          <w:spacing w:val="64"/>
        </w:rPr>
        <w:t> </w:t>
      </w:r>
      <w:r>
        <w:rPr/>
        <w:t>structures</w:t>
      </w:r>
      <w:r>
        <w:rPr>
          <w:spacing w:val="65"/>
        </w:rPr>
        <w:t> </w:t>
      </w:r>
      <w:r>
        <w:rPr/>
        <w:t>incidental</w:t>
      </w:r>
      <w:r>
        <w:rPr>
          <w:spacing w:val="65"/>
        </w:rPr>
        <w:t> </w:t>
      </w:r>
      <w:r>
        <w:rPr>
          <w:spacing w:val="7"/>
        </w:rPr>
        <w:t>thereto.</w:t>
      </w:r>
    </w:p>
    <w:p>
      <w:pPr>
        <w:pStyle w:val="BodyText"/>
        <w:spacing w:before="1"/>
        <w:ind w:left="1212" w:right="876"/>
      </w:pPr>
      <w:r>
        <w:rPr/>
        <w:t>(xi.)</w:t>
      </w:r>
      <w:r>
        <w:rPr>
          <w:spacing w:val="40"/>
        </w:rPr>
        <w:t> </w:t>
      </w:r>
      <w:r>
        <w:rPr/>
        <w:t>Structure for watchmen's quarters each not exceeding 20 sq. m</w:t>
      </w:r>
      <w:r>
        <w:rPr>
          <w:spacing w:val="40"/>
        </w:rPr>
        <w:t> </w:t>
      </w:r>
      <w:r>
        <w:rPr/>
        <w:t>numbers</w:t>
      </w:r>
      <w:r>
        <w:rPr>
          <w:spacing w:val="40"/>
        </w:rPr>
        <w:t> </w:t>
      </w:r>
      <w:r>
        <w:rPr/>
        <w:t>of</w:t>
      </w:r>
      <w:r>
        <w:rPr>
          <w:spacing w:val="40"/>
        </w:rPr>
        <w:t> </w:t>
      </w:r>
      <w:r>
        <w:rPr/>
        <w:t>such</w:t>
      </w:r>
      <w:r>
        <w:rPr>
          <w:spacing w:val="40"/>
        </w:rPr>
        <w:t> </w:t>
      </w:r>
      <w:r>
        <w:rPr/>
        <w:t>structures</w:t>
      </w:r>
      <w:r>
        <w:rPr>
          <w:spacing w:val="40"/>
        </w:rPr>
        <w:t> </w:t>
      </w:r>
      <w:r>
        <w:rPr/>
        <w:t>in</w:t>
      </w:r>
      <w:r>
        <w:rPr>
          <w:spacing w:val="40"/>
        </w:rPr>
        <w:t> </w:t>
      </w:r>
      <w:r>
        <w:rPr/>
        <w:t>each</w:t>
      </w:r>
      <w:r>
        <w:rPr>
          <w:spacing w:val="40"/>
        </w:rPr>
        <w:t> </w:t>
      </w:r>
      <w:r>
        <w:rPr/>
        <w:t>plot</w:t>
      </w:r>
      <w:r>
        <w:rPr>
          <w:spacing w:val="40"/>
        </w:rPr>
        <w:t> </w:t>
      </w:r>
      <w:r>
        <w:rPr/>
        <w:t>to</w:t>
      </w:r>
      <w:r>
        <w:rPr>
          <w:spacing w:val="40"/>
        </w:rPr>
        <w:t> </w:t>
      </w:r>
      <w:r>
        <w:rPr/>
        <w:t>be</w:t>
      </w:r>
      <w:r>
        <w:rPr>
          <w:spacing w:val="40"/>
        </w:rPr>
        <w:t> </w:t>
      </w:r>
      <w:r>
        <w:rPr/>
        <w:t>decided</w:t>
      </w:r>
      <w:r>
        <w:rPr>
          <w:spacing w:val="40"/>
        </w:rPr>
        <w:t> </w:t>
      </w:r>
      <w:r>
        <w:rPr/>
        <w:t>by</w:t>
      </w:r>
      <w:r>
        <w:rPr>
          <w:spacing w:val="40"/>
        </w:rPr>
        <w:t> </w:t>
      </w:r>
      <w:r>
        <w:rPr/>
        <w:t>the </w:t>
      </w:r>
      <w:r>
        <w:rPr>
          <w:spacing w:val="7"/>
        </w:rPr>
        <w:t>Commissioner</w:t>
      </w:r>
    </w:p>
    <w:p>
      <w:pPr>
        <w:pStyle w:val="BodyText"/>
        <w:ind w:left="1212" w:right="888"/>
      </w:pPr>
      <w:r>
        <w:rPr/>
        <w:t>(xii.) A residential building, not more than ground and one story with a</w:t>
      </w:r>
      <w:r>
        <w:rPr>
          <w:spacing w:val="40"/>
        </w:rPr>
        <w:t> </w:t>
      </w:r>
      <w:r>
        <w:rPr/>
        <w:t>height</w:t>
      </w:r>
      <w:r>
        <w:rPr>
          <w:spacing w:val="40"/>
        </w:rPr>
        <w:t> </w:t>
      </w:r>
      <w:r>
        <w:rPr/>
        <w:t>not</w:t>
      </w:r>
      <w:r>
        <w:rPr>
          <w:spacing w:val="40"/>
        </w:rPr>
        <w:t> </w:t>
      </w:r>
      <w:r>
        <w:rPr/>
        <w:t>exceeding</w:t>
      </w:r>
      <w:r>
        <w:rPr>
          <w:spacing w:val="40"/>
        </w:rPr>
        <w:t> </w:t>
      </w:r>
      <w:r>
        <w:rPr/>
        <w:t>9.75</w:t>
      </w:r>
      <w:r>
        <w:rPr>
          <w:spacing w:val="40"/>
        </w:rPr>
        <w:t> </w:t>
      </w:r>
      <w:r>
        <w:rPr/>
        <w:t>m</w:t>
      </w:r>
      <w:r>
        <w:rPr>
          <w:spacing w:val="40"/>
        </w:rPr>
        <w:t> </w:t>
      </w:r>
      <w:r>
        <w:rPr/>
        <w:t>including</w:t>
      </w:r>
      <w:r>
        <w:rPr>
          <w:spacing w:val="40"/>
        </w:rPr>
        <w:t> </w:t>
      </w:r>
      <w:r>
        <w:rPr/>
        <w:t>the</w:t>
      </w:r>
      <w:r>
        <w:rPr>
          <w:spacing w:val="40"/>
        </w:rPr>
        <w:t> </w:t>
      </w:r>
      <w:r>
        <w:rPr/>
        <w:t>height</w:t>
      </w:r>
      <w:r>
        <w:rPr>
          <w:spacing w:val="40"/>
        </w:rPr>
        <w:t> </w:t>
      </w:r>
      <w:r>
        <w:rPr/>
        <w:t>of</w:t>
      </w:r>
      <w:r>
        <w:rPr>
          <w:spacing w:val="40"/>
        </w:rPr>
        <w:t> </w:t>
      </w:r>
      <w:r>
        <w:rPr/>
        <w:t>stilted</w:t>
      </w:r>
      <w:r>
        <w:rPr>
          <w:spacing w:val="40"/>
        </w:rPr>
        <w:t> </w:t>
      </w:r>
      <w:r>
        <w:rPr>
          <w:spacing w:val="9"/>
        </w:rPr>
        <w:t>portion.</w:t>
      </w:r>
    </w:p>
    <w:p>
      <w:pPr>
        <w:pStyle w:val="Heading6"/>
        <w:numPr>
          <w:ilvl w:val="0"/>
          <w:numId w:val="230"/>
        </w:numPr>
        <w:tabs>
          <w:tab w:pos="2325" w:val="left" w:leader="none"/>
        </w:tabs>
        <w:spacing w:line="240" w:lineRule="auto" w:before="238" w:after="0"/>
        <w:ind w:left="2325" w:right="0" w:hanging="1113"/>
        <w:jc w:val="both"/>
        <w:rPr>
          <w:i w:val="0"/>
        </w:rPr>
      </w:pPr>
      <w:r>
        <w:rPr/>
        <w:t>Periphery</w:t>
      </w:r>
      <w:r>
        <w:rPr>
          <w:spacing w:val="51"/>
        </w:rPr>
        <w:t> </w:t>
      </w:r>
      <w:r>
        <w:rPr/>
        <w:t>of</w:t>
      </w:r>
      <w:r>
        <w:rPr>
          <w:spacing w:val="47"/>
        </w:rPr>
        <w:t> </w:t>
      </w:r>
      <w:r>
        <w:rPr/>
        <w:t>Vihar</w:t>
      </w:r>
      <w:r>
        <w:rPr>
          <w:spacing w:val="47"/>
        </w:rPr>
        <w:t> </w:t>
      </w:r>
      <w:r>
        <w:rPr/>
        <w:t>and</w:t>
      </w:r>
      <w:r>
        <w:rPr>
          <w:spacing w:val="51"/>
        </w:rPr>
        <w:t> </w:t>
      </w:r>
      <w:r>
        <w:rPr/>
        <w:t>Pawai</w:t>
      </w:r>
      <w:r>
        <w:rPr>
          <w:spacing w:val="47"/>
        </w:rPr>
        <w:t>  </w:t>
      </w:r>
      <w:r>
        <w:rPr>
          <w:spacing w:val="-2"/>
        </w:rPr>
        <w:t>lake</w:t>
      </w:r>
      <w:r>
        <w:rPr>
          <w:b w:val="0"/>
          <w:i w:val="0"/>
          <w:spacing w:val="-2"/>
        </w:rPr>
        <w:t>:</w:t>
      </w:r>
    </w:p>
    <w:p>
      <w:pPr>
        <w:pStyle w:val="BodyText"/>
        <w:spacing w:before="241"/>
        <w:ind w:left="1212" w:right="958" w:firstLine="319"/>
      </w:pPr>
      <w:r>
        <w:rPr/>
        <w:t>In</w:t>
      </w:r>
      <w:r>
        <w:rPr>
          <w:spacing w:val="40"/>
        </w:rPr>
        <w:t> </w:t>
      </w:r>
      <w:r>
        <w:rPr/>
        <w:t>order</w:t>
      </w:r>
      <w:r>
        <w:rPr>
          <w:spacing w:val="40"/>
        </w:rPr>
        <w:t> </w:t>
      </w:r>
      <w:r>
        <w:rPr/>
        <w:t>to</w:t>
      </w:r>
      <w:r>
        <w:rPr>
          <w:spacing w:val="40"/>
        </w:rPr>
        <w:t> </w:t>
      </w:r>
      <w:r>
        <w:rPr/>
        <w:t>prevent</w:t>
      </w:r>
      <w:r>
        <w:rPr>
          <w:spacing w:val="40"/>
        </w:rPr>
        <w:t> </w:t>
      </w:r>
      <w:r>
        <w:rPr/>
        <w:t>erosion</w:t>
      </w:r>
      <w:r>
        <w:rPr>
          <w:spacing w:val="40"/>
        </w:rPr>
        <w:t> </w:t>
      </w:r>
      <w:r>
        <w:rPr/>
        <w:t>of</w:t>
      </w:r>
      <w:r>
        <w:rPr>
          <w:spacing w:val="40"/>
        </w:rPr>
        <w:t> </w:t>
      </w:r>
      <w:r>
        <w:rPr/>
        <w:t>soil</w:t>
      </w:r>
      <w:r>
        <w:rPr>
          <w:spacing w:val="40"/>
        </w:rPr>
        <w:t> </w:t>
      </w:r>
      <w:r>
        <w:rPr/>
        <w:t>and</w:t>
      </w:r>
      <w:r>
        <w:rPr>
          <w:spacing w:val="40"/>
        </w:rPr>
        <w:t> </w:t>
      </w:r>
      <w:r>
        <w:rPr/>
        <w:t>silting</w:t>
      </w:r>
      <w:r>
        <w:rPr>
          <w:spacing w:val="40"/>
        </w:rPr>
        <w:t> </w:t>
      </w:r>
      <w:r>
        <w:rPr/>
        <w:t>in</w:t>
      </w:r>
      <w:r>
        <w:rPr>
          <w:spacing w:val="40"/>
        </w:rPr>
        <w:t> </w:t>
      </w:r>
      <w:r>
        <w:rPr/>
        <w:t>lakes,</w:t>
      </w:r>
      <w:r>
        <w:rPr>
          <w:spacing w:val="40"/>
        </w:rPr>
        <w:t> </w:t>
      </w:r>
      <w:r>
        <w:rPr/>
        <w:t>an</w:t>
      </w:r>
      <w:r>
        <w:rPr>
          <w:spacing w:val="40"/>
        </w:rPr>
        <w:t> </w:t>
      </w:r>
      <w:r>
        <w:rPr/>
        <w:t>exclusive green belt of 100 m shall be provided around the periphery of Vihar and PawaiLake,</w:t>
      </w:r>
      <w:r>
        <w:rPr>
          <w:spacing w:val="40"/>
        </w:rPr>
        <w:t> </w:t>
      </w:r>
      <w:r>
        <w:rPr/>
        <w:t>in</w:t>
      </w:r>
      <w:r>
        <w:rPr>
          <w:spacing w:val="40"/>
        </w:rPr>
        <w:t> </w:t>
      </w:r>
      <w:r>
        <w:rPr/>
        <w:t>which</w:t>
      </w:r>
      <w:r>
        <w:rPr>
          <w:spacing w:val="40"/>
        </w:rPr>
        <w:t> </w:t>
      </w:r>
      <w:r>
        <w:rPr/>
        <w:t>no</w:t>
      </w:r>
      <w:r>
        <w:rPr>
          <w:spacing w:val="40"/>
        </w:rPr>
        <w:t> </w:t>
      </w:r>
      <w:r>
        <w:rPr/>
        <w:t>construction</w:t>
      </w:r>
      <w:r>
        <w:rPr>
          <w:spacing w:val="40"/>
        </w:rPr>
        <w:t> </w:t>
      </w:r>
      <w:r>
        <w:rPr/>
        <w:t>whatsoever</w:t>
      </w:r>
      <w:r>
        <w:rPr>
          <w:spacing w:val="40"/>
        </w:rPr>
        <w:t> </w:t>
      </w:r>
      <w:r>
        <w:rPr/>
        <w:t>shall</w:t>
      </w:r>
      <w:r>
        <w:rPr>
          <w:spacing w:val="40"/>
        </w:rPr>
        <w:t> </w:t>
      </w:r>
      <w:r>
        <w:rPr/>
        <w:t>be</w:t>
      </w:r>
      <w:r>
        <w:rPr>
          <w:spacing w:val="40"/>
        </w:rPr>
        <w:t> </w:t>
      </w:r>
      <w:r>
        <w:rPr/>
        <w:t>allowed.</w:t>
      </w:r>
      <w:r>
        <w:rPr>
          <w:spacing w:val="-20"/>
        </w:rPr>
        <w:t> </w:t>
      </w:r>
      <w:r>
        <w:rPr/>
        <w:t>If within 100 m from the periphery of Vihar and Pawailake there exists Municipal/Public</w:t>
      </w:r>
      <w:r>
        <w:rPr>
          <w:spacing w:val="40"/>
        </w:rPr>
        <w:t> </w:t>
      </w:r>
      <w:r>
        <w:rPr/>
        <w:t>Road,</w:t>
      </w:r>
      <w:r>
        <w:rPr>
          <w:spacing w:val="40"/>
        </w:rPr>
        <w:t> </w:t>
      </w:r>
      <w:r>
        <w:rPr/>
        <w:t>then</w:t>
      </w:r>
      <w:r>
        <w:rPr>
          <w:spacing w:val="40"/>
        </w:rPr>
        <w:t> </w:t>
      </w:r>
      <w:r>
        <w:rPr/>
        <w:t>buffer</w:t>
      </w:r>
      <w:r>
        <w:rPr>
          <w:spacing w:val="40"/>
        </w:rPr>
        <w:t> </w:t>
      </w:r>
      <w:r>
        <w:rPr/>
        <w:t>of</w:t>
      </w:r>
      <w:r>
        <w:rPr>
          <w:spacing w:val="40"/>
        </w:rPr>
        <w:t> </w:t>
      </w:r>
      <w:r>
        <w:rPr/>
        <w:t>green</w:t>
      </w:r>
      <w:r>
        <w:rPr>
          <w:spacing w:val="40"/>
        </w:rPr>
        <w:t> </w:t>
      </w:r>
      <w:r>
        <w:rPr/>
        <w:t>belt</w:t>
      </w:r>
      <w:r>
        <w:rPr>
          <w:spacing w:val="40"/>
        </w:rPr>
        <w:t> </w:t>
      </w:r>
      <w:r>
        <w:rPr>
          <w:spacing w:val="9"/>
        </w:rPr>
        <w:t>beyond </w:t>
      </w:r>
      <w:r>
        <w:rPr/>
        <w:t>Municipal/Public</w:t>
      </w:r>
      <w:r>
        <w:rPr>
          <w:spacing w:val="40"/>
        </w:rPr>
        <w:t> </w:t>
      </w:r>
      <w:r>
        <w:rPr/>
        <w:t>Road</w:t>
      </w:r>
      <w:r>
        <w:rPr>
          <w:spacing w:val="40"/>
        </w:rPr>
        <w:t> </w:t>
      </w:r>
      <w:r>
        <w:rPr/>
        <w:t>may</w:t>
      </w:r>
      <w:r>
        <w:rPr>
          <w:spacing w:val="40"/>
        </w:rPr>
        <w:t> </w:t>
      </w:r>
      <w:r>
        <w:rPr/>
        <w:t>not</w:t>
      </w:r>
      <w:r>
        <w:rPr>
          <w:spacing w:val="40"/>
        </w:rPr>
        <w:t> </w:t>
      </w:r>
      <w:r>
        <w:rPr/>
        <w:t>be</w:t>
      </w:r>
      <w:r>
        <w:rPr>
          <w:spacing w:val="40"/>
        </w:rPr>
        <w:t> </w:t>
      </w:r>
      <w:r>
        <w:rPr>
          <w:spacing w:val="9"/>
        </w:rPr>
        <w:t>insisted.</w:t>
      </w:r>
    </w:p>
    <w:p>
      <w:pPr>
        <w:pStyle w:val="Heading3"/>
        <w:numPr>
          <w:ilvl w:val="1"/>
          <w:numId w:val="238"/>
        </w:numPr>
        <w:tabs>
          <w:tab w:pos="969" w:val="left" w:leader="none"/>
        </w:tabs>
        <w:spacing w:line="240" w:lineRule="auto" w:before="236" w:after="0"/>
        <w:ind w:left="969" w:right="0" w:hanging="477"/>
        <w:jc w:val="both"/>
      </w:pPr>
      <w:r>
        <w:rPr/>
        <w:t>Natural</w:t>
      </w:r>
      <w:r>
        <w:rPr>
          <w:spacing w:val="-6"/>
        </w:rPr>
        <w:t> </w:t>
      </w:r>
      <w:r>
        <w:rPr/>
        <w:t>Areas</w:t>
      </w:r>
      <w:r>
        <w:rPr>
          <w:spacing w:val="-5"/>
        </w:rPr>
        <w:t> </w:t>
      </w:r>
      <w:r>
        <w:rPr/>
        <w:t>(N</w:t>
      </w:r>
      <w:r>
        <w:rPr>
          <w:spacing w:val="-4"/>
        </w:rPr>
        <w:t> </w:t>
      </w:r>
      <w:r>
        <w:rPr>
          <w:spacing w:val="-5"/>
        </w:rPr>
        <w:t>A)</w:t>
      </w:r>
    </w:p>
    <w:p>
      <w:pPr>
        <w:pStyle w:val="BodyText"/>
        <w:spacing w:before="4"/>
        <w:ind w:left="1212" w:right="964" w:firstLine="518"/>
      </w:pPr>
      <w:r>
        <w:rPr/>
        <w:t>It is an environmentally sensitive zone amenable to buildable development</w:t>
      </w:r>
      <w:r>
        <w:rPr>
          <w:spacing w:val="40"/>
        </w:rPr>
        <w:t> </w:t>
      </w:r>
      <w:r>
        <w:rPr/>
        <w:t>with</w:t>
      </w:r>
      <w:r>
        <w:rPr>
          <w:spacing w:val="40"/>
        </w:rPr>
        <w:t> </w:t>
      </w:r>
      <w:r>
        <w:rPr/>
        <w:t>the</w:t>
      </w:r>
      <w:r>
        <w:rPr>
          <w:spacing w:val="40"/>
        </w:rPr>
        <w:t> </w:t>
      </w:r>
      <w:r>
        <w:rPr/>
        <w:t>approval</w:t>
      </w:r>
      <w:r>
        <w:rPr>
          <w:spacing w:val="40"/>
        </w:rPr>
        <w:t> </w:t>
      </w:r>
      <w:r>
        <w:rPr/>
        <w:t>of</w:t>
      </w:r>
      <w:r>
        <w:rPr>
          <w:spacing w:val="40"/>
        </w:rPr>
        <w:t> </w:t>
      </w:r>
      <w:r>
        <w:rPr/>
        <w:t>the</w:t>
      </w:r>
      <w:r>
        <w:rPr>
          <w:spacing w:val="40"/>
        </w:rPr>
        <w:t> </w:t>
      </w:r>
      <w:r>
        <w:rPr/>
        <w:t>Competent</w:t>
      </w:r>
      <w:r>
        <w:rPr>
          <w:spacing w:val="40"/>
        </w:rPr>
        <w:t> </w:t>
      </w:r>
      <w:r>
        <w:rPr/>
        <w:t>Authoritywhere</w:t>
      </w:r>
      <w:r>
        <w:rPr>
          <w:spacing w:val="80"/>
        </w:rPr>
        <w:t> </w:t>
      </w:r>
      <w:r>
        <w:rPr/>
        <w:t>following</w:t>
      </w:r>
      <w:r>
        <w:rPr>
          <w:spacing w:val="40"/>
        </w:rPr>
        <w:t> </w:t>
      </w:r>
      <w:r>
        <w:rPr/>
        <w:t>facilities</w:t>
      </w:r>
      <w:r>
        <w:rPr>
          <w:spacing w:val="40"/>
        </w:rPr>
        <w:t> </w:t>
      </w:r>
      <w:r>
        <w:rPr/>
        <w:t>may</w:t>
      </w:r>
      <w:r>
        <w:rPr>
          <w:spacing w:val="40"/>
        </w:rPr>
        <w:t> </w:t>
      </w:r>
      <w:r>
        <w:rPr/>
        <w:t>be</w:t>
      </w:r>
      <w:r>
        <w:rPr>
          <w:spacing w:val="40"/>
        </w:rPr>
        <w:t> </w:t>
      </w:r>
      <w:r>
        <w:rPr>
          <w:spacing w:val="9"/>
        </w:rPr>
        <w:t>permissible</w:t>
      </w:r>
    </w:p>
    <w:p>
      <w:pPr>
        <w:pStyle w:val="ListParagraph"/>
        <w:numPr>
          <w:ilvl w:val="2"/>
          <w:numId w:val="238"/>
        </w:numPr>
        <w:tabs>
          <w:tab w:pos="1780" w:val="left" w:leader="none"/>
        </w:tabs>
        <w:spacing w:line="240" w:lineRule="auto" w:before="3" w:after="0"/>
        <w:ind w:left="1212" w:right="967" w:firstLine="0"/>
        <w:jc w:val="both"/>
        <w:rPr>
          <w:sz w:val="24"/>
        </w:rPr>
      </w:pPr>
      <w:r>
        <w:rPr>
          <w:sz w:val="24"/>
        </w:rPr>
        <w:t>Board walks in mangroves, trekking facilities, Public Sanitary Conveniences</w:t>
      </w:r>
      <w:r>
        <w:rPr>
          <w:spacing w:val="80"/>
          <w:sz w:val="24"/>
        </w:rPr>
        <w:t> </w:t>
      </w:r>
      <w:r>
        <w:rPr>
          <w:sz w:val="24"/>
        </w:rPr>
        <w:t>for</w:t>
      </w:r>
      <w:r>
        <w:rPr>
          <w:spacing w:val="80"/>
          <w:sz w:val="24"/>
        </w:rPr>
        <w:t> </w:t>
      </w:r>
      <w:r>
        <w:rPr>
          <w:sz w:val="24"/>
        </w:rPr>
        <w:t>visitors,</w:t>
      </w:r>
      <w:r>
        <w:rPr>
          <w:spacing w:val="80"/>
          <w:sz w:val="24"/>
        </w:rPr>
        <w:t> </w:t>
      </w:r>
      <w:r>
        <w:rPr>
          <w:sz w:val="24"/>
        </w:rPr>
        <w:t>Sewerage</w:t>
      </w:r>
      <w:r>
        <w:rPr>
          <w:spacing w:val="80"/>
          <w:sz w:val="24"/>
        </w:rPr>
        <w:t> </w:t>
      </w:r>
      <w:r>
        <w:rPr>
          <w:sz w:val="24"/>
        </w:rPr>
        <w:t>Pumping</w:t>
      </w:r>
      <w:r>
        <w:rPr>
          <w:spacing w:val="80"/>
          <w:sz w:val="24"/>
        </w:rPr>
        <w:t> </w:t>
      </w:r>
      <w:r>
        <w:rPr>
          <w:sz w:val="24"/>
        </w:rPr>
        <w:t>Station.</w:t>
      </w:r>
    </w:p>
    <w:p>
      <w:pPr>
        <w:pStyle w:val="ListParagraph"/>
        <w:numPr>
          <w:ilvl w:val="2"/>
          <w:numId w:val="238"/>
        </w:numPr>
        <w:tabs>
          <w:tab w:pos="1563" w:val="left" w:leader="none"/>
        </w:tabs>
        <w:spacing w:line="240" w:lineRule="auto" w:before="0" w:after="0"/>
        <w:ind w:left="1212" w:right="981" w:firstLine="0"/>
        <w:jc w:val="both"/>
        <w:rPr>
          <w:sz w:val="24"/>
        </w:rPr>
      </w:pPr>
      <w:r>
        <w:rPr>
          <w:sz w:val="24"/>
        </w:rPr>
        <w:t>Uses permissible as per the notifications issued by the Ministry of Environment</w:t>
      </w:r>
      <w:r>
        <w:rPr>
          <w:spacing w:val="40"/>
          <w:sz w:val="24"/>
        </w:rPr>
        <w:t> </w:t>
      </w:r>
      <w:r>
        <w:rPr>
          <w:sz w:val="24"/>
        </w:rPr>
        <w:t>and</w:t>
      </w:r>
      <w:r>
        <w:rPr>
          <w:spacing w:val="40"/>
          <w:sz w:val="24"/>
        </w:rPr>
        <w:t> </w:t>
      </w:r>
      <w:r>
        <w:rPr>
          <w:sz w:val="24"/>
        </w:rPr>
        <w:t>Forest,</w:t>
      </w:r>
      <w:r>
        <w:rPr>
          <w:spacing w:val="40"/>
          <w:sz w:val="24"/>
        </w:rPr>
        <w:t> </w:t>
      </w:r>
      <w:r>
        <w:rPr>
          <w:sz w:val="24"/>
        </w:rPr>
        <w:t>if</w:t>
      </w:r>
      <w:r>
        <w:rPr>
          <w:spacing w:val="40"/>
          <w:sz w:val="24"/>
        </w:rPr>
        <w:t> </w:t>
      </w:r>
      <w:r>
        <w:rPr>
          <w:sz w:val="24"/>
        </w:rPr>
        <w:t>any,</w:t>
      </w:r>
      <w:r>
        <w:rPr>
          <w:spacing w:val="40"/>
          <w:sz w:val="24"/>
        </w:rPr>
        <w:t> </w:t>
      </w:r>
      <w:r>
        <w:rPr>
          <w:sz w:val="24"/>
        </w:rPr>
        <w:t>as</w:t>
      </w:r>
      <w:r>
        <w:rPr>
          <w:spacing w:val="40"/>
          <w:sz w:val="24"/>
        </w:rPr>
        <w:t> </w:t>
      </w:r>
      <w:r>
        <w:rPr>
          <w:sz w:val="24"/>
        </w:rPr>
        <w:t>amended</w:t>
      </w:r>
      <w:r>
        <w:rPr>
          <w:spacing w:val="40"/>
          <w:sz w:val="24"/>
        </w:rPr>
        <w:t> </w:t>
      </w:r>
      <w:r>
        <w:rPr>
          <w:sz w:val="24"/>
        </w:rPr>
        <w:t>from</w:t>
      </w:r>
      <w:r>
        <w:rPr>
          <w:spacing w:val="40"/>
          <w:sz w:val="24"/>
        </w:rPr>
        <w:t> </w:t>
      </w:r>
      <w:r>
        <w:rPr>
          <w:sz w:val="24"/>
        </w:rPr>
        <w:t>time</w:t>
      </w:r>
      <w:r>
        <w:rPr>
          <w:spacing w:val="40"/>
          <w:sz w:val="24"/>
        </w:rPr>
        <w:t> </w:t>
      </w:r>
      <w:r>
        <w:rPr>
          <w:sz w:val="24"/>
        </w:rPr>
        <w:t>to</w:t>
      </w:r>
      <w:r>
        <w:rPr>
          <w:spacing w:val="40"/>
          <w:sz w:val="24"/>
        </w:rPr>
        <w:t> </w:t>
      </w:r>
      <w:r>
        <w:rPr>
          <w:sz w:val="24"/>
        </w:rPr>
        <w:t>time.</w:t>
      </w:r>
    </w:p>
    <w:p>
      <w:pPr>
        <w:pStyle w:val="BodyText"/>
        <w:spacing w:before="118"/>
        <w:ind w:left="1212" w:right="972"/>
      </w:pPr>
      <w:r>
        <w:rPr/>
        <w:t>Note: - 1.Structures constructed in NA, with due sanction of Competent Authority,</w:t>
      </w:r>
      <w:r>
        <w:rPr>
          <w:spacing w:val="48"/>
        </w:rPr>
        <w:t> </w:t>
      </w:r>
      <w:r>
        <w:rPr/>
        <w:t>before</w:t>
      </w:r>
      <w:r>
        <w:rPr>
          <w:spacing w:val="48"/>
        </w:rPr>
        <w:t> </w:t>
      </w:r>
      <w:r>
        <w:rPr/>
        <w:t>coming</w:t>
      </w:r>
      <w:r>
        <w:rPr>
          <w:spacing w:val="49"/>
        </w:rPr>
        <w:t> </w:t>
      </w:r>
      <w:r>
        <w:rPr/>
        <w:t>into</w:t>
      </w:r>
      <w:r>
        <w:rPr>
          <w:spacing w:val="48"/>
        </w:rPr>
        <w:t> </w:t>
      </w:r>
      <w:r>
        <w:rPr/>
        <w:t>force</w:t>
      </w:r>
      <w:r>
        <w:rPr>
          <w:spacing w:val="52"/>
        </w:rPr>
        <w:t> </w:t>
      </w:r>
      <w:r>
        <w:rPr/>
        <w:t>of</w:t>
      </w:r>
      <w:r>
        <w:rPr>
          <w:spacing w:val="51"/>
        </w:rPr>
        <w:t> </w:t>
      </w:r>
      <w:r>
        <w:rPr/>
        <w:t>these</w:t>
      </w:r>
      <w:r>
        <w:rPr>
          <w:spacing w:val="49"/>
        </w:rPr>
        <w:t> </w:t>
      </w:r>
      <w:r>
        <w:rPr/>
        <w:t>regulations</w:t>
      </w:r>
      <w:r>
        <w:rPr>
          <w:spacing w:val="48"/>
        </w:rPr>
        <w:t> </w:t>
      </w:r>
      <w:r>
        <w:rPr/>
        <w:t>stand</w:t>
      </w:r>
      <w:r>
        <w:rPr>
          <w:spacing w:val="49"/>
        </w:rPr>
        <w:t> </w:t>
      </w:r>
      <w:r>
        <w:rPr>
          <w:spacing w:val="-2"/>
        </w:rPr>
        <w:t>protected.</w:t>
      </w:r>
    </w:p>
    <w:p>
      <w:pPr>
        <w:pStyle w:val="BodyText"/>
        <w:spacing w:before="121"/>
        <w:ind w:left="1212" w:right="977"/>
      </w:pPr>
      <w:r>
        <w:rPr/>
        <w:t>2.</w:t>
      </w:r>
      <w:r>
        <w:rPr>
          <w:spacing w:val="37"/>
        </w:rPr>
        <w:t> </w:t>
      </w:r>
      <w:r>
        <w:rPr/>
        <w:t>Reservation</w:t>
      </w:r>
      <w:r>
        <w:rPr>
          <w:spacing w:val="40"/>
        </w:rPr>
        <w:t> </w:t>
      </w:r>
      <w:r>
        <w:rPr/>
        <w:t>proposed</w:t>
      </w:r>
      <w:r>
        <w:rPr>
          <w:spacing w:val="37"/>
        </w:rPr>
        <w:t> </w:t>
      </w:r>
      <w:r>
        <w:rPr/>
        <w:t>in</w:t>
      </w:r>
      <w:r>
        <w:rPr>
          <w:spacing w:val="40"/>
        </w:rPr>
        <w:t> </w:t>
      </w:r>
      <w:r>
        <w:rPr/>
        <w:t>Natural</w:t>
      </w:r>
      <w:r>
        <w:rPr>
          <w:spacing w:val="37"/>
        </w:rPr>
        <w:t> </w:t>
      </w:r>
      <w:r>
        <w:rPr/>
        <w:t>Area</w:t>
      </w:r>
      <w:r>
        <w:rPr>
          <w:spacing w:val="37"/>
        </w:rPr>
        <w:t> </w:t>
      </w:r>
      <w:r>
        <w:rPr/>
        <w:t>shall</w:t>
      </w:r>
      <w:r>
        <w:rPr>
          <w:spacing w:val="40"/>
        </w:rPr>
        <w:t> </w:t>
      </w:r>
      <w:r>
        <w:rPr/>
        <w:t>be</w:t>
      </w:r>
      <w:r>
        <w:rPr>
          <w:spacing w:val="37"/>
        </w:rPr>
        <w:t> </w:t>
      </w:r>
      <w:r>
        <w:rPr/>
        <w:t>allowed</w:t>
      </w:r>
      <w:r>
        <w:rPr>
          <w:spacing w:val="40"/>
        </w:rPr>
        <w:t> </w:t>
      </w:r>
      <w:r>
        <w:rPr/>
        <w:t>to</w:t>
      </w:r>
      <w:r>
        <w:rPr>
          <w:spacing w:val="37"/>
        </w:rPr>
        <w:t> </w:t>
      </w:r>
      <w:r>
        <w:rPr/>
        <w:t>be</w:t>
      </w:r>
      <w:r>
        <w:rPr>
          <w:spacing w:val="37"/>
        </w:rPr>
        <w:t> </w:t>
      </w:r>
      <w:r>
        <w:rPr/>
        <w:t>developed at</w:t>
      </w:r>
      <w:r>
        <w:rPr>
          <w:spacing w:val="40"/>
        </w:rPr>
        <w:t> </w:t>
      </w:r>
      <w:r>
        <w:rPr/>
        <w:t>par</w:t>
      </w:r>
      <w:r>
        <w:rPr>
          <w:spacing w:val="40"/>
        </w:rPr>
        <w:t> </w:t>
      </w:r>
      <w:r>
        <w:rPr/>
        <w:t>with</w:t>
      </w:r>
      <w:r>
        <w:rPr>
          <w:spacing w:val="40"/>
        </w:rPr>
        <w:t> </w:t>
      </w:r>
      <w:r>
        <w:rPr/>
        <w:t>other</w:t>
      </w:r>
      <w:r>
        <w:rPr>
          <w:spacing w:val="40"/>
        </w:rPr>
        <w:t> </w:t>
      </w:r>
      <w:r>
        <w:rPr/>
        <w:t>zones</w:t>
      </w:r>
      <w:r>
        <w:rPr>
          <w:spacing w:val="40"/>
        </w:rPr>
        <w:t> </w:t>
      </w:r>
      <w:r>
        <w:rPr/>
        <w:t>subject</w:t>
      </w:r>
      <w:r>
        <w:rPr>
          <w:spacing w:val="40"/>
        </w:rPr>
        <w:t> </w:t>
      </w:r>
      <w:r>
        <w:rPr/>
        <w:t>to</w:t>
      </w:r>
      <w:r>
        <w:rPr>
          <w:spacing w:val="40"/>
        </w:rPr>
        <w:t> </w:t>
      </w:r>
      <w:r>
        <w:rPr/>
        <w:t>approval</w:t>
      </w:r>
      <w:r>
        <w:rPr>
          <w:spacing w:val="40"/>
        </w:rPr>
        <w:t> </w:t>
      </w:r>
      <w:r>
        <w:rPr/>
        <w:t>of</w:t>
      </w:r>
      <w:r>
        <w:rPr>
          <w:spacing w:val="40"/>
        </w:rPr>
        <w:t> </w:t>
      </w:r>
      <w:r>
        <w:rPr/>
        <w:t>the</w:t>
      </w:r>
      <w:r>
        <w:rPr>
          <w:spacing w:val="40"/>
        </w:rPr>
        <w:t> </w:t>
      </w:r>
      <w:r>
        <w:rPr/>
        <w:t>Competent</w:t>
      </w:r>
      <w:r>
        <w:rPr>
          <w:spacing w:val="40"/>
        </w:rPr>
        <w:t> </w:t>
      </w:r>
      <w:r>
        <w:rPr/>
        <w:t>Authority and</w:t>
      </w:r>
      <w:r>
        <w:rPr>
          <w:spacing w:val="40"/>
        </w:rPr>
        <w:t> </w:t>
      </w:r>
      <w:r>
        <w:rPr/>
        <w:t>subject</w:t>
      </w:r>
      <w:r>
        <w:rPr>
          <w:spacing w:val="40"/>
        </w:rPr>
        <w:t> </w:t>
      </w:r>
      <w:r>
        <w:rPr/>
        <w:t>to</w:t>
      </w:r>
      <w:r>
        <w:rPr>
          <w:spacing w:val="80"/>
        </w:rPr>
        <w:t> </w:t>
      </w:r>
      <w:r>
        <w:rPr/>
        <w:t>compliance</w:t>
      </w:r>
      <w:r>
        <w:rPr>
          <w:spacing w:val="40"/>
        </w:rPr>
        <w:t> </w:t>
      </w:r>
      <w:r>
        <w:rPr/>
        <w:t>of</w:t>
      </w:r>
      <w:r>
        <w:rPr>
          <w:spacing w:val="40"/>
        </w:rPr>
        <w:t> </w:t>
      </w:r>
      <w:r>
        <w:rPr/>
        <w:t>conditions</w:t>
      </w:r>
      <w:r>
        <w:rPr>
          <w:spacing w:val="40"/>
        </w:rPr>
        <w:t> </w:t>
      </w:r>
      <w:r>
        <w:rPr/>
        <w:t>as</w:t>
      </w:r>
      <w:r>
        <w:rPr>
          <w:spacing w:val="40"/>
        </w:rPr>
        <w:t> </w:t>
      </w:r>
      <w:r>
        <w:rPr/>
        <w:t>mentioned</w:t>
      </w:r>
      <w:r>
        <w:rPr>
          <w:spacing w:val="40"/>
        </w:rPr>
        <w:t> </w:t>
      </w:r>
      <w:r>
        <w:rPr/>
        <w:t>in</w:t>
      </w:r>
      <w:r>
        <w:rPr>
          <w:spacing w:val="40"/>
        </w:rPr>
        <w:t> </w:t>
      </w:r>
      <w:r>
        <w:rPr/>
        <w:t>the</w:t>
      </w:r>
      <w:r>
        <w:rPr>
          <w:spacing w:val="40"/>
        </w:rPr>
        <w:t> </w:t>
      </w:r>
      <w:r>
        <w:rPr/>
        <w:t>notifications</w:t>
      </w:r>
      <w:r>
        <w:rPr>
          <w:spacing w:val="40"/>
        </w:rPr>
        <w:t> </w:t>
      </w:r>
      <w:r>
        <w:rPr/>
        <w:t>issued</w:t>
      </w:r>
      <w:r>
        <w:rPr>
          <w:spacing w:val="40"/>
        </w:rPr>
        <w:t> </w:t>
      </w:r>
      <w:r>
        <w:rPr/>
        <w:t>by</w:t>
      </w:r>
      <w:r>
        <w:rPr>
          <w:spacing w:val="40"/>
        </w:rPr>
        <w:t> </w:t>
      </w:r>
      <w:r>
        <w:rPr/>
        <w:t>the</w:t>
      </w:r>
      <w:r>
        <w:rPr>
          <w:spacing w:val="40"/>
        </w:rPr>
        <w:t> </w:t>
      </w:r>
      <w:r>
        <w:rPr/>
        <w:t>Ministry</w:t>
      </w:r>
      <w:r>
        <w:rPr>
          <w:spacing w:val="40"/>
        </w:rPr>
        <w:t> </w:t>
      </w:r>
      <w:r>
        <w:rPr/>
        <w:t>of</w:t>
      </w:r>
      <w:r>
        <w:rPr>
          <w:spacing w:val="40"/>
        </w:rPr>
        <w:t> </w:t>
      </w:r>
      <w:r>
        <w:rPr/>
        <w:t>Environment</w:t>
      </w:r>
      <w:r>
        <w:rPr>
          <w:spacing w:val="40"/>
        </w:rPr>
        <w:t> </w:t>
      </w:r>
      <w:r>
        <w:rPr/>
        <w:t>and</w:t>
      </w:r>
      <w:r>
        <w:rPr>
          <w:spacing w:val="40"/>
        </w:rPr>
        <w:t> </w:t>
      </w:r>
      <w:r>
        <w:rPr/>
        <w:t>Forest,</w:t>
      </w:r>
      <w:r>
        <w:rPr>
          <w:spacing w:val="40"/>
        </w:rPr>
        <w:t> </w:t>
      </w:r>
      <w:r>
        <w:rPr/>
        <w:t>if</w:t>
      </w:r>
      <w:r>
        <w:rPr>
          <w:spacing w:val="40"/>
        </w:rPr>
        <w:t> </w:t>
      </w:r>
      <w:r>
        <w:rPr/>
        <w:t>any,</w:t>
      </w:r>
      <w:r>
        <w:rPr>
          <w:spacing w:val="80"/>
        </w:rPr>
        <w:t> </w:t>
      </w:r>
      <w:r>
        <w:rPr/>
        <w:t>as</w:t>
      </w:r>
      <w:r>
        <w:rPr>
          <w:spacing w:val="40"/>
        </w:rPr>
        <w:t> </w:t>
      </w:r>
      <w:r>
        <w:rPr/>
        <w:t>amended</w:t>
      </w:r>
      <w:r>
        <w:rPr>
          <w:spacing w:val="40"/>
        </w:rPr>
        <w:t> </w:t>
      </w:r>
      <w:r>
        <w:rPr/>
        <w:t>from</w:t>
      </w:r>
      <w:r>
        <w:rPr>
          <w:spacing w:val="40"/>
        </w:rPr>
        <w:t> </w:t>
      </w:r>
      <w:r>
        <w:rPr/>
        <w:t>time</w:t>
      </w:r>
      <w:r>
        <w:rPr>
          <w:spacing w:val="40"/>
        </w:rPr>
        <w:t> </w:t>
      </w:r>
      <w:r>
        <w:rPr/>
        <w:t>to</w:t>
      </w:r>
      <w:r>
        <w:rPr>
          <w:spacing w:val="9"/>
        </w:rPr>
        <w:t> time.</w:t>
      </w:r>
    </w:p>
    <w:p>
      <w:pPr>
        <w:pStyle w:val="Heading3"/>
        <w:numPr>
          <w:ilvl w:val="1"/>
          <w:numId w:val="238"/>
        </w:numPr>
        <w:tabs>
          <w:tab w:pos="1252" w:val="left" w:leader="none"/>
        </w:tabs>
        <w:spacing w:line="240" w:lineRule="auto" w:before="116" w:after="0"/>
        <w:ind w:left="1252" w:right="0" w:hanging="760"/>
        <w:jc w:val="both"/>
      </w:pPr>
      <w:r>
        <w:rPr/>
        <w:t>Green</w:t>
      </w:r>
      <w:r>
        <w:rPr>
          <w:spacing w:val="-6"/>
        </w:rPr>
        <w:t> </w:t>
      </w:r>
      <w:r>
        <w:rPr/>
        <w:t>Zone</w:t>
      </w:r>
      <w:r>
        <w:rPr>
          <w:spacing w:val="-5"/>
        </w:rPr>
        <w:t> </w:t>
      </w:r>
      <w:r>
        <w:rPr>
          <w:spacing w:val="-4"/>
        </w:rPr>
        <w:t>(GZ)</w:t>
      </w:r>
    </w:p>
    <w:p>
      <w:pPr>
        <w:pStyle w:val="BodyText"/>
        <w:spacing w:before="5"/>
        <w:ind w:left="1212" w:right="966"/>
      </w:pPr>
      <w:r>
        <w:rPr/>
        <w:t>It is a large </w:t>
      </w:r>
      <w:r>
        <w:rPr>
          <w:spacing w:val="9"/>
        </w:rPr>
        <w:t>areapredominantly </w:t>
      </w:r>
      <w:r>
        <w:rPr/>
        <w:t>with green </w:t>
      </w:r>
      <w:r>
        <w:rPr>
          <w:spacing w:val="9"/>
        </w:rPr>
        <w:t>coverwherefollowing </w:t>
      </w:r>
      <w:r>
        <w:rPr/>
        <w:t>facilities may be </w:t>
      </w:r>
      <w:r>
        <w:rPr>
          <w:spacing w:val="9"/>
        </w:rPr>
        <w:t>permissible</w:t>
      </w:r>
    </w:p>
    <w:p>
      <w:pPr>
        <w:pStyle w:val="ListParagraph"/>
        <w:numPr>
          <w:ilvl w:val="2"/>
          <w:numId w:val="238"/>
        </w:numPr>
        <w:tabs>
          <w:tab w:pos="1613" w:val="left" w:leader="none"/>
        </w:tabs>
        <w:spacing w:line="280" w:lineRule="exact" w:before="0" w:after="0"/>
        <w:ind w:left="1613" w:right="0" w:hanging="401"/>
        <w:jc w:val="both"/>
        <w:rPr>
          <w:sz w:val="24"/>
        </w:rPr>
      </w:pPr>
      <w:r>
        <w:rPr>
          <w:sz w:val="24"/>
        </w:rPr>
        <w:t>Construction</w:t>
      </w:r>
      <w:r>
        <w:rPr>
          <w:spacing w:val="48"/>
          <w:sz w:val="24"/>
        </w:rPr>
        <w:t> </w:t>
      </w:r>
      <w:r>
        <w:rPr>
          <w:sz w:val="24"/>
        </w:rPr>
        <w:t>of</w:t>
      </w:r>
      <w:r>
        <w:rPr>
          <w:spacing w:val="52"/>
          <w:sz w:val="24"/>
        </w:rPr>
        <w:t> </w:t>
      </w:r>
      <w:r>
        <w:rPr>
          <w:sz w:val="24"/>
        </w:rPr>
        <w:t>Zoo</w:t>
      </w:r>
      <w:r>
        <w:rPr>
          <w:spacing w:val="48"/>
          <w:sz w:val="24"/>
        </w:rPr>
        <w:t> </w:t>
      </w:r>
      <w:r>
        <w:rPr>
          <w:sz w:val="24"/>
        </w:rPr>
        <w:t>with</w:t>
      </w:r>
      <w:r>
        <w:rPr>
          <w:spacing w:val="52"/>
          <w:sz w:val="24"/>
        </w:rPr>
        <w:t> </w:t>
      </w:r>
      <w:r>
        <w:rPr>
          <w:sz w:val="24"/>
        </w:rPr>
        <w:t>FSI</w:t>
      </w:r>
      <w:r>
        <w:rPr>
          <w:spacing w:val="52"/>
          <w:sz w:val="24"/>
        </w:rPr>
        <w:t> </w:t>
      </w:r>
      <w:r>
        <w:rPr>
          <w:sz w:val="24"/>
        </w:rPr>
        <w:t>of</w:t>
      </w:r>
      <w:r>
        <w:rPr>
          <w:spacing w:val="49"/>
          <w:sz w:val="24"/>
        </w:rPr>
        <w:t> </w:t>
      </w:r>
      <w:r>
        <w:rPr>
          <w:spacing w:val="-2"/>
          <w:sz w:val="24"/>
        </w:rPr>
        <w:t>0.025;</w:t>
      </w:r>
    </w:p>
    <w:p>
      <w:pPr>
        <w:pStyle w:val="ListParagraph"/>
        <w:numPr>
          <w:ilvl w:val="2"/>
          <w:numId w:val="238"/>
        </w:numPr>
        <w:tabs>
          <w:tab w:pos="1635" w:val="left" w:leader="none"/>
        </w:tabs>
        <w:spacing w:line="240" w:lineRule="auto" w:before="1" w:after="0"/>
        <w:ind w:left="1212" w:right="964" w:firstLine="0"/>
        <w:jc w:val="both"/>
        <w:rPr>
          <w:sz w:val="24"/>
        </w:rPr>
      </w:pPr>
      <w:r>
        <w:rPr>
          <w:sz w:val="24"/>
        </w:rPr>
        <w:t>Uses approved by GoM. with permission from the Ministry of Environment</w:t>
      </w:r>
      <w:r>
        <w:rPr>
          <w:spacing w:val="40"/>
          <w:sz w:val="24"/>
        </w:rPr>
        <w:t> </w:t>
      </w:r>
      <w:r>
        <w:rPr>
          <w:sz w:val="24"/>
        </w:rPr>
        <w:t>and</w:t>
      </w:r>
      <w:r>
        <w:rPr>
          <w:spacing w:val="40"/>
          <w:sz w:val="24"/>
        </w:rPr>
        <w:t> </w:t>
      </w:r>
      <w:r>
        <w:rPr>
          <w:sz w:val="24"/>
        </w:rPr>
        <w:t>Forest;</w:t>
      </w:r>
    </w:p>
    <w:p>
      <w:pPr>
        <w:pStyle w:val="ListParagraph"/>
        <w:numPr>
          <w:ilvl w:val="2"/>
          <w:numId w:val="238"/>
        </w:numPr>
        <w:tabs>
          <w:tab w:pos="1558" w:val="left" w:leader="none"/>
        </w:tabs>
        <w:spacing w:line="240" w:lineRule="auto" w:before="121" w:after="0"/>
        <w:ind w:left="1212" w:right="964" w:firstLine="0"/>
        <w:jc w:val="both"/>
        <w:rPr>
          <w:sz w:val="24"/>
        </w:rPr>
      </w:pPr>
      <w:r>
        <w:rPr>
          <w:sz w:val="24"/>
        </w:rPr>
        <w:t>Rehabilitation</w:t>
      </w:r>
      <w:r>
        <w:rPr>
          <w:spacing w:val="40"/>
          <w:sz w:val="24"/>
        </w:rPr>
        <w:t> </w:t>
      </w:r>
      <w:r>
        <w:rPr>
          <w:sz w:val="24"/>
        </w:rPr>
        <w:t>and</w:t>
      </w:r>
      <w:r>
        <w:rPr>
          <w:spacing w:val="40"/>
          <w:sz w:val="24"/>
        </w:rPr>
        <w:t> </w:t>
      </w:r>
      <w:r>
        <w:rPr>
          <w:sz w:val="24"/>
        </w:rPr>
        <w:t>Resettlement</w:t>
      </w:r>
      <w:r>
        <w:rPr>
          <w:spacing w:val="40"/>
          <w:sz w:val="24"/>
        </w:rPr>
        <w:t> </w:t>
      </w:r>
      <w:r>
        <w:rPr>
          <w:sz w:val="24"/>
        </w:rPr>
        <w:t>of</w:t>
      </w:r>
      <w:r>
        <w:rPr>
          <w:spacing w:val="40"/>
          <w:sz w:val="24"/>
        </w:rPr>
        <w:t> </w:t>
      </w:r>
      <w:r>
        <w:rPr>
          <w:sz w:val="24"/>
        </w:rPr>
        <w:t>the</w:t>
      </w:r>
      <w:r>
        <w:rPr>
          <w:spacing w:val="40"/>
          <w:sz w:val="24"/>
        </w:rPr>
        <w:t> </w:t>
      </w:r>
      <w:r>
        <w:rPr>
          <w:sz w:val="24"/>
        </w:rPr>
        <w:t>original</w:t>
      </w:r>
      <w:r>
        <w:rPr>
          <w:spacing w:val="40"/>
          <w:sz w:val="24"/>
        </w:rPr>
        <w:t> </w:t>
      </w:r>
      <w:r>
        <w:rPr>
          <w:spacing w:val="9"/>
          <w:sz w:val="24"/>
        </w:rPr>
        <w:t>inhabitants</w:t>
      </w:r>
      <w:r>
        <w:rPr>
          <w:spacing w:val="40"/>
          <w:sz w:val="24"/>
        </w:rPr>
        <w:t> </w:t>
      </w:r>
      <w:r>
        <w:rPr>
          <w:sz w:val="24"/>
        </w:rPr>
        <w:t>of</w:t>
      </w:r>
      <w:r>
        <w:rPr>
          <w:spacing w:val="40"/>
          <w:sz w:val="24"/>
        </w:rPr>
        <w:t> </w:t>
      </w:r>
      <w:r>
        <w:rPr>
          <w:sz w:val="24"/>
        </w:rPr>
        <w:t>the forest </w:t>
      </w:r>
      <w:r>
        <w:rPr>
          <w:spacing w:val="9"/>
          <w:sz w:val="24"/>
        </w:rPr>
        <w:t>(adiwasis,tribals</w:t>
      </w:r>
      <w:r>
        <w:rPr>
          <w:spacing w:val="9"/>
          <w:sz w:val="24"/>
        </w:rPr>
        <w:t> </w:t>
      </w:r>
      <w:r>
        <w:rPr>
          <w:sz w:val="24"/>
        </w:rPr>
        <w:t>of Sanjay Gandhi National Park) as per the provisions</w:t>
      </w:r>
      <w:r>
        <w:rPr>
          <w:spacing w:val="80"/>
          <w:sz w:val="24"/>
        </w:rPr>
        <w:t> </w:t>
      </w:r>
      <w:r>
        <w:rPr>
          <w:sz w:val="24"/>
        </w:rPr>
        <w:t>of</w:t>
      </w:r>
      <w:r>
        <w:rPr>
          <w:spacing w:val="80"/>
          <w:sz w:val="24"/>
        </w:rPr>
        <w:t> </w:t>
      </w:r>
      <w:r>
        <w:rPr>
          <w:sz w:val="24"/>
        </w:rPr>
        <w:t>Regulation</w:t>
      </w:r>
      <w:r>
        <w:rPr>
          <w:spacing w:val="80"/>
          <w:sz w:val="24"/>
        </w:rPr>
        <w:t> </w:t>
      </w:r>
      <w:r>
        <w:rPr>
          <w:sz w:val="24"/>
        </w:rPr>
        <w:t>No.30</w:t>
      </w:r>
      <w:r>
        <w:rPr>
          <w:spacing w:val="80"/>
          <w:sz w:val="24"/>
        </w:rPr>
        <w:t> </w:t>
      </w:r>
      <w:r>
        <w:rPr>
          <w:sz w:val="24"/>
        </w:rPr>
        <w:t>with</w:t>
      </w:r>
      <w:r>
        <w:rPr>
          <w:spacing w:val="80"/>
          <w:sz w:val="24"/>
        </w:rPr>
        <w:t> </w:t>
      </w:r>
      <w:r>
        <w:rPr>
          <w:sz w:val="24"/>
        </w:rPr>
        <w:t>Zonal</w:t>
      </w:r>
      <w:r>
        <w:rPr>
          <w:spacing w:val="80"/>
          <w:sz w:val="24"/>
        </w:rPr>
        <w:t> </w:t>
      </w:r>
      <w:r>
        <w:rPr>
          <w:sz w:val="24"/>
        </w:rPr>
        <w:t>(basic)</w:t>
      </w:r>
      <w:r>
        <w:rPr>
          <w:spacing w:val="80"/>
          <w:sz w:val="24"/>
        </w:rPr>
        <w:t> </w:t>
      </w:r>
      <w:r>
        <w:rPr>
          <w:sz w:val="24"/>
        </w:rPr>
        <w:t>FSI.</w:t>
      </w:r>
    </w:p>
    <w:p>
      <w:pPr>
        <w:pStyle w:val="BodyText"/>
        <w:spacing w:before="120"/>
        <w:ind w:left="1212" w:right="956"/>
      </w:pPr>
      <w:r>
        <w:rPr/>
        <w:t>Note: - 1. Structures constructed in GZ, with due sanction of Competent Authority,</w:t>
      </w:r>
      <w:r>
        <w:rPr>
          <w:spacing w:val="48"/>
        </w:rPr>
        <w:t> </w:t>
      </w:r>
      <w:r>
        <w:rPr/>
        <w:t>before</w:t>
      </w:r>
      <w:r>
        <w:rPr>
          <w:spacing w:val="48"/>
        </w:rPr>
        <w:t> </w:t>
      </w:r>
      <w:r>
        <w:rPr/>
        <w:t>coming</w:t>
      </w:r>
      <w:r>
        <w:rPr>
          <w:spacing w:val="48"/>
        </w:rPr>
        <w:t> </w:t>
      </w:r>
      <w:r>
        <w:rPr/>
        <w:t>into</w:t>
      </w:r>
      <w:r>
        <w:rPr>
          <w:spacing w:val="49"/>
        </w:rPr>
        <w:t> </w:t>
      </w:r>
      <w:r>
        <w:rPr/>
        <w:t>force</w:t>
      </w:r>
      <w:r>
        <w:rPr>
          <w:spacing w:val="51"/>
        </w:rPr>
        <w:t> </w:t>
      </w:r>
      <w:r>
        <w:rPr/>
        <w:t>of</w:t>
      </w:r>
      <w:r>
        <w:rPr>
          <w:spacing w:val="52"/>
        </w:rPr>
        <w:t> </w:t>
      </w:r>
      <w:r>
        <w:rPr/>
        <w:t>these</w:t>
      </w:r>
      <w:r>
        <w:rPr>
          <w:spacing w:val="48"/>
        </w:rPr>
        <w:t> </w:t>
      </w:r>
      <w:r>
        <w:rPr/>
        <w:t>regulations</w:t>
      </w:r>
      <w:r>
        <w:rPr>
          <w:spacing w:val="48"/>
        </w:rPr>
        <w:t> </w:t>
      </w:r>
      <w:r>
        <w:rPr/>
        <w:t>stand</w:t>
      </w:r>
      <w:r>
        <w:rPr>
          <w:spacing w:val="49"/>
        </w:rPr>
        <w:t> </w:t>
      </w:r>
      <w:r>
        <w:rPr>
          <w:spacing w:val="7"/>
        </w:rPr>
        <w:t>protected.</w:t>
      </w:r>
    </w:p>
    <w:p>
      <w:pPr>
        <w:pStyle w:val="BodyText"/>
        <w:spacing w:before="120"/>
        <w:ind w:left="1212" w:right="966"/>
      </w:pPr>
      <w:r>
        <w:rPr/>
        <w:t>2. Reservation proposed in Green Zone if any shall be allowed to be developed</w:t>
      </w:r>
      <w:r>
        <w:rPr>
          <w:spacing w:val="40"/>
        </w:rPr>
        <w:t> </w:t>
      </w:r>
      <w:r>
        <w:rPr/>
        <w:t>at</w:t>
      </w:r>
      <w:r>
        <w:rPr>
          <w:spacing w:val="40"/>
        </w:rPr>
        <w:t> </w:t>
      </w:r>
      <w:r>
        <w:rPr/>
        <w:t>par</w:t>
      </w:r>
      <w:r>
        <w:rPr>
          <w:spacing w:val="40"/>
        </w:rPr>
        <w:t> </w:t>
      </w:r>
      <w:r>
        <w:rPr/>
        <w:t>with</w:t>
      </w:r>
      <w:r>
        <w:rPr>
          <w:spacing w:val="40"/>
        </w:rPr>
        <w:t> </w:t>
      </w:r>
      <w:r>
        <w:rPr/>
        <w:t>other</w:t>
      </w:r>
      <w:r>
        <w:rPr>
          <w:spacing w:val="40"/>
        </w:rPr>
        <w:t> </w:t>
      </w:r>
      <w:r>
        <w:rPr/>
        <w:t>zones</w:t>
      </w:r>
      <w:r>
        <w:rPr>
          <w:spacing w:val="40"/>
        </w:rPr>
        <w:t> </w:t>
      </w:r>
      <w:r>
        <w:rPr/>
        <w:t>subject</w:t>
      </w:r>
      <w:r>
        <w:rPr>
          <w:spacing w:val="40"/>
        </w:rPr>
        <w:t> </w:t>
      </w:r>
      <w:r>
        <w:rPr/>
        <w:t>to</w:t>
      </w:r>
      <w:r>
        <w:rPr>
          <w:spacing w:val="40"/>
        </w:rPr>
        <w:t> </w:t>
      </w:r>
      <w:r>
        <w:rPr/>
        <w:t>approval</w:t>
      </w:r>
      <w:r>
        <w:rPr>
          <w:spacing w:val="40"/>
        </w:rPr>
        <w:t> </w:t>
      </w:r>
      <w:r>
        <w:rPr/>
        <w:t>of</w:t>
      </w:r>
      <w:r>
        <w:rPr>
          <w:spacing w:val="40"/>
        </w:rPr>
        <w:t> </w:t>
      </w:r>
      <w:r>
        <w:rPr/>
        <w:t>the</w:t>
      </w:r>
      <w:r>
        <w:rPr>
          <w:spacing w:val="40"/>
        </w:rPr>
        <w:t> </w:t>
      </w:r>
      <w:r>
        <w:rPr/>
        <w:t>Competent</w:t>
      </w:r>
    </w:p>
    <w:p>
      <w:pPr>
        <w:pStyle w:val="BodyText"/>
        <w:spacing w:after="0"/>
        <w:sectPr>
          <w:pgSz w:w="11910" w:h="16840"/>
          <w:pgMar w:header="1058" w:footer="1088" w:top="1500" w:bottom="1280" w:left="360" w:right="360"/>
        </w:sectPr>
      </w:pPr>
    </w:p>
    <w:p>
      <w:pPr>
        <w:pStyle w:val="BodyText"/>
        <w:spacing w:before="255"/>
        <w:ind w:left="1212" w:right="956"/>
      </w:pPr>
      <w:r>
        <w:rPr/>
        <w:t>Authority and subject to compliance of conditions as mentioned in the notifications</w:t>
      </w:r>
      <w:r>
        <w:rPr>
          <w:spacing w:val="40"/>
        </w:rPr>
        <w:t> </w:t>
      </w:r>
      <w:r>
        <w:rPr/>
        <w:t>issued</w:t>
      </w:r>
      <w:r>
        <w:rPr>
          <w:spacing w:val="40"/>
        </w:rPr>
        <w:t> </w:t>
      </w:r>
      <w:r>
        <w:rPr/>
        <w:t>by</w:t>
      </w:r>
      <w:r>
        <w:rPr>
          <w:spacing w:val="40"/>
        </w:rPr>
        <w:t> </w:t>
      </w:r>
      <w:r>
        <w:rPr/>
        <w:t>the</w:t>
      </w:r>
      <w:r>
        <w:rPr>
          <w:spacing w:val="40"/>
        </w:rPr>
        <w:t> </w:t>
      </w:r>
      <w:r>
        <w:rPr/>
        <w:t>Ministry</w:t>
      </w:r>
      <w:r>
        <w:rPr>
          <w:spacing w:val="40"/>
        </w:rPr>
        <w:t> </w:t>
      </w:r>
      <w:r>
        <w:rPr/>
        <w:t>of</w:t>
      </w:r>
      <w:r>
        <w:rPr>
          <w:spacing w:val="40"/>
        </w:rPr>
        <w:t> </w:t>
      </w:r>
      <w:r>
        <w:rPr/>
        <w:t>Environment</w:t>
      </w:r>
      <w:r>
        <w:rPr>
          <w:spacing w:val="40"/>
        </w:rPr>
        <w:t> </w:t>
      </w:r>
      <w:r>
        <w:rPr/>
        <w:t>and</w:t>
      </w:r>
      <w:r>
        <w:rPr>
          <w:spacing w:val="40"/>
        </w:rPr>
        <w:t> </w:t>
      </w:r>
      <w:r>
        <w:rPr/>
        <w:t>Forest,</w:t>
      </w:r>
      <w:r>
        <w:rPr>
          <w:spacing w:val="40"/>
        </w:rPr>
        <w:t> </w:t>
      </w:r>
      <w:r>
        <w:rPr/>
        <w:t>if</w:t>
      </w:r>
      <w:r>
        <w:rPr>
          <w:spacing w:val="40"/>
        </w:rPr>
        <w:t> </w:t>
      </w:r>
      <w:r>
        <w:rPr>
          <w:spacing w:val="9"/>
        </w:rPr>
        <w:t>any,</w:t>
      </w:r>
      <w:r>
        <w:rPr>
          <w:spacing w:val="40"/>
        </w:rPr>
        <w:t> </w:t>
      </w:r>
      <w:r>
        <w:rPr/>
        <w:t>as</w:t>
      </w:r>
      <w:r>
        <w:rPr>
          <w:spacing w:val="40"/>
        </w:rPr>
        <w:t> </w:t>
      </w:r>
      <w:r>
        <w:rPr/>
        <w:t>amended</w:t>
      </w:r>
      <w:r>
        <w:rPr>
          <w:spacing w:val="40"/>
        </w:rPr>
        <w:t> </w:t>
      </w:r>
      <w:r>
        <w:rPr/>
        <w:t>from</w:t>
      </w:r>
      <w:r>
        <w:rPr>
          <w:spacing w:val="40"/>
        </w:rPr>
        <w:t> </w:t>
      </w:r>
      <w:r>
        <w:rPr/>
        <w:t>time</w:t>
      </w:r>
      <w:r>
        <w:rPr>
          <w:spacing w:val="40"/>
        </w:rPr>
        <w:t> </w:t>
      </w:r>
      <w:r>
        <w:rPr/>
        <w:t>to</w:t>
      </w:r>
      <w:r>
        <w:rPr>
          <w:spacing w:val="40"/>
        </w:rPr>
        <w:t> </w:t>
      </w:r>
      <w:r>
        <w:rPr/>
        <w:t>time.</w:t>
      </w:r>
    </w:p>
    <w:p>
      <w:pPr>
        <w:pStyle w:val="Heading2"/>
        <w:numPr>
          <w:ilvl w:val="0"/>
          <w:numId w:val="133"/>
        </w:numPr>
        <w:tabs>
          <w:tab w:pos="1319" w:val="left" w:leader="none"/>
        </w:tabs>
        <w:spacing w:line="240" w:lineRule="auto" w:before="120" w:after="0"/>
        <w:ind w:left="772" w:right="841" w:firstLine="0"/>
        <w:jc w:val="both"/>
      </w:pPr>
      <w:r>
        <w:rPr/>
        <w:t>Development</w:t>
      </w:r>
      <w:r>
        <w:rPr>
          <w:spacing w:val="-14"/>
        </w:rPr>
        <w:t> </w:t>
      </w:r>
      <w:r>
        <w:rPr/>
        <w:t>or</w:t>
      </w:r>
      <w:r>
        <w:rPr>
          <w:spacing w:val="-17"/>
        </w:rPr>
        <w:t> </w:t>
      </w:r>
      <w:r>
        <w:rPr/>
        <w:t>redevelopment</w:t>
      </w:r>
      <w:r>
        <w:rPr>
          <w:spacing w:val="-17"/>
        </w:rPr>
        <w:t> </w:t>
      </w:r>
      <w:r>
        <w:rPr/>
        <w:t>of</w:t>
      </w:r>
      <w:r>
        <w:rPr>
          <w:spacing w:val="-16"/>
        </w:rPr>
        <w:t> </w:t>
      </w:r>
      <w:r>
        <w:rPr/>
        <w:t>lands</w:t>
      </w:r>
      <w:r>
        <w:rPr>
          <w:spacing w:val="-16"/>
        </w:rPr>
        <w:t> </w:t>
      </w:r>
      <w:r>
        <w:rPr/>
        <w:t>of</w:t>
      </w:r>
      <w:r>
        <w:rPr>
          <w:spacing w:val="-16"/>
        </w:rPr>
        <w:t> </w:t>
      </w:r>
      <w:r>
        <w:rPr/>
        <w:t>cotton</w:t>
      </w:r>
      <w:r>
        <w:rPr>
          <w:spacing w:val="-14"/>
        </w:rPr>
        <w:t> </w:t>
      </w:r>
      <w:r>
        <w:rPr/>
        <w:t>textile</w:t>
      </w:r>
      <w:r>
        <w:rPr>
          <w:spacing w:val="-16"/>
        </w:rPr>
        <w:t> </w:t>
      </w:r>
      <w:r>
        <w:rPr/>
        <w:t>mills </w:t>
      </w:r>
      <w:r>
        <w:rPr>
          <w:spacing w:val="-2"/>
        </w:rPr>
        <w:t>(mills).-</w:t>
      </w:r>
    </w:p>
    <w:p>
      <w:pPr>
        <w:pStyle w:val="BodyText"/>
        <w:spacing w:before="194"/>
        <w:jc w:val="left"/>
        <w:rPr>
          <w:b/>
          <w:sz w:val="28"/>
        </w:rPr>
      </w:pPr>
    </w:p>
    <w:p>
      <w:pPr>
        <w:pStyle w:val="ListParagraph"/>
        <w:numPr>
          <w:ilvl w:val="0"/>
          <w:numId w:val="239"/>
        </w:numPr>
        <w:tabs>
          <w:tab w:pos="1526" w:val="left" w:leader="none"/>
        </w:tabs>
        <w:spacing w:line="240" w:lineRule="auto" w:before="0" w:after="0"/>
        <w:ind w:left="1056" w:right="770" w:firstLine="0"/>
        <w:jc w:val="both"/>
        <w:rPr>
          <w:sz w:val="24"/>
        </w:rPr>
      </w:pPr>
      <w:r>
        <w:rPr>
          <w:b/>
          <w:sz w:val="24"/>
        </w:rPr>
        <w:t>Lands of sick and/or closed cotton textile mills:-</w:t>
      </w:r>
      <w:r>
        <w:rPr>
          <w:sz w:val="24"/>
        </w:rPr>
        <w:t>With the previous approval of the Commissioner to a layout prepared for development or redevelopment</w:t>
      </w:r>
      <w:r>
        <w:rPr>
          <w:spacing w:val="-3"/>
          <w:sz w:val="24"/>
        </w:rPr>
        <w:t> </w:t>
      </w:r>
      <w:r>
        <w:rPr>
          <w:sz w:val="24"/>
        </w:rPr>
        <w:t>of</w:t>
      </w:r>
      <w:r>
        <w:rPr>
          <w:spacing w:val="-3"/>
          <w:sz w:val="24"/>
        </w:rPr>
        <w:t> </w:t>
      </w:r>
      <w:r>
        <w:rPr>
          <w:sz w:val="24"/>
        </w:rPr>
        <w:t>the</w:t>
      </w:r>
      <w:r>
        <w:rPr>
          <w:spacing w:val="-1"/>
          <w:sz w:val="24"/>
        </w:rPr>
        <w:t> </w:t>
      </w:r>
      <w:r>
        <w:rPr>
          <w:sz w:val="24"/>
        </w:rPr>
        <w:t>entire</w:t>
      </w:r>
      <w:r>
        <w:rPr>
          <w:spacing w:val="-3"/>
          <w:sz w:val="24"/>
        </w:rPr>
        <w:t> </w:t>
      </w:r>
      <w:r>
        <w:rPr>
          <w:sz w:val="24"/>
        </w:rPr>
        <w:t>open</w:t>
      </w:r>
      <w:r>
        <w:rPr>
          <w:spacing w:val="-3"/>
          <w:sz w:val="24"/>
        </w:rPr>
        <w:t> </w:t>
      </w:r>
      <w:r>
        <w:rPr>
          <w:sz w:val="24"/>
        </w:rPr>
        <w:t>land</w:t>
      </w:r>
      <w:r>
        <w:rPr>
          <w:spacing w:val="-3"/>
          <w:sz w:val="24"/>
        </w:rPr>
        <w:t> </w:t>
      </w:r>
      <w:r>
        <w:rPr>
          <w:sz w:val="24"/>
        </w:rPr>
        <w:t>and</w:t>
      </w:r>
      <w:r>
        <w:rPr>
          <w:spacing w:val="-3"/>
          <w:sz w:val="24"/>
        </w:rPr>
        <w:t> </w:t>
      </w:r>
      <w:r>
        <w:rPr>
          <w:sz w:val="24"/>
        </w:rPr>
        <w:t>built-up</w:t>
      </w:r>
      <w:r>
        <w:rPr>
          <w:spacing w:val="-3"/>
          <w:sz w:val="24"/>
        </w:rPr>
        <w:t> </w:t>
      </w:r>
      <w:r>
        <w:rPr>
          <w:sz w:val="24"/>
        </w:rPr>
        <w:t>area</w:t>
      </w:r>
      <w:r>
        <w:rPr>
          <w:spacing w:val="-3"/>
          <w:sz w:val="24"/>
        </w:rPr>
        <w:t> </w:t>
      </w:r>
      <w:r>
        <w:rPr>
          <w:sz w:val="24"/>
        </w:rPr>
        <w:t>of</w:t>
      </w:r>
      <w:r>
        <w:rPr>
          <w:spacing w:val="-3"/>
          <w:sz w:val="24"/>
        </w:rPr>
        <w:t> </w:t>
      </w:r>
      <w:r>
        <w:rPr>
          <w:sz w:val="24"/>
        </w:rPr>
        <w:t>a sick</w:t>
      </w:r>
      <w:r>
        <w:rPr>
          <w:spacing w:val="-2"/>
          <w:sz w:val="24"/>
        </w:rPr>
        <w:t> </w:t>
      </w:r>
      <w:r>
        <w:rPr>
          <w:sz w:val="24"/>
        </w:rPr>
        <w:t>and/or</w:t>
      </w:r>
      <w:r>
        <w:rPr>
          <w:spacing w:val="-3"/>
          <w:sz w:val="24"/>
        </w:rPr>
        <w:t> </w:t>
      </w:r>
      <w:r>
        <w:rPr>
          <w:sz w:val="24"/>
        </w:rPr>
        <w:t>closed cotton textile mill and on such conditions deemed appropriate and specified by him and as a part of a package of measures recommended by the Board of Industrial</w:t>
      </w:r>
      <w:r>
        <w:rPr>
          <w:spacing w:val="-11"/>
          <w:sz w:val="24"/>
        </w:rPr>
        <w:t> </w:t>
      </w:r>
      <w:r>
        <w:rPr>
          <w:sz w:val="24"/>
        </w:rPr>
        <w:t>and</w:t>
      </w:r>
      <w:r>
        <w:rPr>
          <w:spacing w:val="-11"/>
          <w:sz w:val="24"/>
        </w:rPr>
        <w:t> </w:t>
      </w:r>
      <w:r>
        <w:rPr>
          <w:sz w:val="24"/>
        </w:rPr>
        <w:t>Financial</w:t>
      </w:r>
      <w:r>
        <w:rPr>
          <w:spacing w:val="-11"/>
          <w:sz w:val="24"/>
        </w:rPr>
        <w:t> </w:t>
      </w:r>
      <w:r>
        <w:rPr>
          <w:sz w:val="24"/>
        </w:rPr>
        <w:t>Reconstruction</w:t>
      </w:r>
      <w:r>
        <w:rPr>
          <w:spacing w:val="-11"/>
          <w:sz w:val="24"/>
        </w:rPr>
        <w:t> </w:t>
      </w:r>
      <w:r>
        <w:rPr>
          <w:sz w:val="24"/>
        </w:rPr>
        <w:t>(BIFR)</w:t>
      </w:r>
      <w:r>
        <w:rPr>
          <w:spacing w:val="-11"/>
          <w:sz w:val="24"/>
        </w:rPr>
        <w:t> </w:t>
      </w:r>
      <w:r>
        <w:rPr>
          <w:sz w:val="24"/>
        </w:rPr>
        <w:t>for</w:t>
      </w:r>
      <w:r>
        <w:rPr>
          <w:spacing w:val="-11"/>
          <w:sz w:val="24"/>
        </w:rPr>
        <w:t> </w:t>
      </w:r>
      <w:r>
        <w:rPr>
          <w:sz w:val="24"/>
        </w:rPr>
        <w:t>the</w:t>
      </w:r>
      <w:r>
        <w:rPr>
          <w:spacing w:val="-11"/>
          <w:sz w:val="24"/>
        </w:rPr>
        <w:t> </w:t>
      </w:r>
      <w:r>
        <w:rPr>
          <w:sz w:val="24"/>
        </w:rPr>
        <w:t>revival/rehabilitation</w:t>
      </w:r>
      <w:r>
        <w:rPr>
          <w:spacing w:val="-11"/>
          <w:sz w:val="24"/>
        </w:rPr>
        <w:t> </w:t>
      </w:r>
      <w:r>
        <w:rPr>
          <w:sz w:val="24"/>
        </w:rPr>
        <w:t>of</w:t>
      </w:r>
      <w:r>
        <w:rPr>
          <w:spacing w:val="-11"/>
          <w:sz w:val="24"/>
        </w:rPr>
        <w:t> </w:t>
      </w:r>
      <w:r>
        <w:rPr>
          <w:sz w:val="24"/>
        </w:rPr>
        <w:t>a potentially viable sick and/or closed mill, the Commissioner may allow:-</w:t>
      </w:r>
    </w:p>
    <w:p>
      <w:pPr>
        <w:pStyle w:val="ListParagraph"/>
        <w:numPr>
          <w:ilvl w:val="1"/>
          <w:numId w:val="239"/>
        </w:numPr>
        <w:tabs>
          <w:tab w:pos="1415" w:val="left" w:leader="none"/>
        </w:tabs>
        <w:spacing w:line="240" w:lineRule="auto" w:before="122" w:after="0"/>
        <w:ind w:left="1415" w:right="0" w:hanging="359"/>
        <w:jc w:val="both"/>
        <w:rPr>
          <w:sz w:val="24"/>
        </w:rPr>
      </w:pPr>
      <w:r>
        <w:rPr>
          <w:sz w:val="24"/>
        </w:rPr>
        <w:t>The</w:t>
      </w:r>
      <w:r>
        <w:rPr>
          <w:spacing w:val="-1"/>
          <w:sz w:val="24"/>
        </w:rPr>
        <w:t> </w:t>
      </w:r>
      <w:r>
        <w:rPr>
          <w:sz w:val="24"/>
        </w:rPr>
        <w:t>existing built-up</w:t>
      </w:r>
      <w:r>
        <w:rPr>
          <w:spacing w:val="-1"/>
          <w:sz w:val="24"/>
        </w:rPr>
        <w:t> </w:t>
      </w:r>
      <w:r>
        <w:rPr>
          <w:sz w:val="24"/>
        </w:rPr>
        <w:t>areas to</w:t>
      </w:r>
      <w:r>
        <w:rPr>
          <w:spacing w:val="-1"/>
          <w:sz w:val="24"/>
        </w:rPr>
        <w:t> </w:t>
      </w:r>
      <w:r>
        <w:rPr>
          <w:sz w:val="24"/>
        </w:rPr>
        <w:t>be </w:t>
      </w:r>
      <w:r>
        <w:rPr>
          <w:spacing w:val="-2"/>
          <w:sz w:val="24"/>
        </w:rPr>
        <w:t>utilised-</w:t>
      </w:r>
    </w:p>
    <w:p>
      <w:pPr>
        <w:pStyle w:val="ListParagraph"/>
        <w:numPr>
          <w:ilvl w:val="2"/>
          <w:numId w:val="239"/>
        </w:numPr>
        <w:tabs>
          <w:tab w:pos="1359" w:val="left" w:leader="none"/>
        </w:tabs>
        <w:spacing w:line="240" w:lineRule="auto" w:before="119" w:after="0"/>
        <w:ind w:left="1056" w:right="768" w:firstLine="0"/>
        <w:jc w:val="both"/>
        <w:rPr>
          <w:sz w:val="24"/>
        </w:rPr>
      </w:pPr>
      <w:r>
        <w:rPr>
          <w:sz w:val="24"/>
        </w:rPr>
        <w:t>For the same cotton textile or related uses subject to observance of all other </w:t>
      </w:r>
      <w:r>
        <w:rPr>
          <w:spacing w:val="-2"/>
          <w:sz w:val="24"/>
        </w:rPr>
        <w:t>Regulations;</w:t>
      </w:r>
    </w:p>
    <w:p>
      <w:pPr>
        <w:pStyle w:val="ListParagraph"/>
        <w:numPr>
          <w:ilvl w:val="2"/>
          <w:numId w:val="239"/>
        </w:numPr>
        <w:tabs>
          <w:tab w:pos="1470" w:val="left" w:leader="none"/>
        </w:tabs>
        <w:spacing w:line="240" w:lineRule="auto" w:before="120" w:after="0"/>
        <w:ind w:left="1056" w:right="773" w:firstLine="0"/>
        <w:jc w:val="both"/>
        <w:rPr>
          <w:sz w:val="24"/>
        </w:rPr>
      </w:pPr>
      <w:r>
        <w:rPr>
          <w:sz w:val="24"/>
        </w:rPr>
        <w:t>For diversified industrial uses in accordance with the industrial location policy, with office space only ancillary to and required for such uses, subject to and observance of all other Regulations;</w:t>
      </w:r>
    </w:p>
    <w:p>
      <w:pPr>
        <w:pStyle w:val="ListParagraph"/>
        <w:numPr>
          <w:ilvl w:val="2"/>
          <w:numId w:val="239"/>
        </w:numPr>
        <w:tabs>
          <w:tab w:pos="1492" w:val="left" w:leader="none"/>
        </w:tabs>
        <w:spacing w:line="240" w:lineRule="auto" w:before="120" w:after="0"/>
        <w:ind w:left="1492" w:right="0" w:hanging="436"/>
        <w:jc w:val="both"/>
        <w:rPr>
          <w:sz w:val="24"/>
        </w:rPr>
      </w:pPr>
      <w:r>
        <w:rPr>
          <w:sz w:val="24"/>
        </w:rPr>
        <w:t>For</w:t>
      </w:r>
      <w:r>
        <w:rPr>
          <w:spacing w:val="-2"/>
          <w:sz w:val="24"/>
        </w:rPr>
        <w:t> </w:t>
      </w:r>
      <w:r>
        <w:rPr>
          <w:sz w:val="24"/>
        </w:rPr>
        <w:t>commercial</w:t>
      </w:r>
      <w:r>
        <w:rPr>
          <w:spacing w:val="-1"/>
          <w:sz w:val="24"/>
        </w:rPr>
        <w:t> </w:t>
      </w:r>
      <w:r>
        <w:rPr>
          <w:sz w:val="24"/>
        </w:rPr>
        <w:t>purposes,</w:t>
      </w:r>
      <w:r>
        <w:rPr>
          <w:spacing w:val="-1"/>
          <w:sz w:val="24"/>
        </w:rPr>
        <w:t> </w:t>
      </w:r>
      <w:r>
        <w:rPr>
          <w:sz w:val="24"/>
        </w:rPr>
        <w:t>as</w:t>
      </w:r>
      <w:r>
        <w:rPr>
          <w:spacing w:val="-1"/>
          <w:sz w:val="24"/>
        </w:rPr>
        <w:t> </w:t>
      </w:r>
      <w:r>
        <w:rPr>
          <w:sz w:val="24"/>
        </w:rPr>
        <w:t>permitted</w:t>
      </w:r>
      <w:r>
        <w:rPr>
          <w:spacing w:val="-1"/>
          <w:sz w:val="24"/>
        </w:rPr>
        <w:t> </w:t>
      </w:r>
      <w:r>
        <w:rPr>
          <w:sz w:val="24"/>
        </w:rPr>
        <w:t>under</w:t>
      </w:r>
      <w:r>
        <w:rPr>
          <w:spacing w:val="-1"/>
          <w:sz w:val="24"/>
        </w:rPr>
        <w:t> </w:t>
      </w:r>
      <w:r>
        <w:rPr>
          <w:sz w:val="24"/>
        </w:rPr>
        <w:t>these</w:t>
      </w:r>
      <w:r>
        <w:rPr>
          <w:spacing w:val="-1"/>
          <w:sz w:val="24"/>
        </w:rPr>
        <w:t> </w:t>
      </w:r>
      <w:r>
        <w:rPr>
          <w:spacing w:val="-2"/>
          <w:sz w:val="24"/>
        </w:rPr>
        <w:t>Regulations;</w:t>
      </w:r>
    </w:p>
    <w:p>
      <w:pPr>
        <w:pStyle w:val="ListParagraph"/>
        <w:numPr>
          <w:ilvl w:val="1"/>
          <w:numId w:val="239"/>
        </w:numPr>
        <w:tabs>
          <w:tab w:pos="1425" w:val="left" w:leader="none"/>
        </w:tabs>
        <w:spacing w:line="240" w:lineRule="auto" w:before="119" w:after="0"/>
        <w:ind w:left="1425" w:right="0" w:hanging="369"/>
        <w:jc w:val="both"/>
        <w:rPr>
          <w:sz w:val="24"/>
        </w:rPr>
      </w:pPr>
      <w:r>
        <w:rPr>
          <w:sz w:val="24"/>
        </w:rPr>
        <w:t>Open</w:t>
      </w:r>
      <w:r>
        <w:rPr>
          <w:spacing w:val="-1"/>
          <w:sz w:val="24"/>
        </w:rPr>
        <w:t> </w:t>
      </w:r>
      <w:r>
        <w:rPr>
          <w:sz w:val="24"/>
        </w:rPr>
        <w:t>lands</w:t>
      </w:r>
      <w:r>
        <w:rPr>
          <w:spacing w:val="-1"/>
          <w:sz w:val="24"/>
        </w:rPr>
        <w:t> </w:t>
      </w:r>
      <w:r>
        <w:rPr>
          <w:sz w:val="24"/>
        </w:rPr>
        <w:t>and</w:t>
      </w:r>
      <w:r>
        <w:rPr>
          <w:spacing w:val="-1"/>
          <w:sz w:val="24"/>
        </w:rPr>
        <w:t> </w:t>
      </w:r>
      <w:r>
        <w:rPr>
          <w:sz w:val="24"/>
        </w:rPr>
        <w:t>balance</w:t>
      </w:r>
      <w:r>
        <w:rPr>
          <w:spacing w:val="-1"/>
          <w:sz w:val="24"/>
        </w:rPr>
        <w:t> </w:t>
      </w:r>
      <w:r>
        <w:rPr>
          <w:sz w:val="24"/>
        </w:rPr>
        <w:t>FSI shall</w:t>
      </w:r>
      <w:r>
        <w:rPr>
          <w:spacing w:val="-2"/>
          <w:sz w:val="24"/>
        </w:rPr>
        <w:t> </w:t>
      </w:r>
      <w:r>
        <w:rPr>
          <w:sz w:val="24"/>
        </w:rPr>
        <w:t>be</w:t>
      </w:r>
      <w:r>
        <w:rPr>
          <w:spacing w:val="-3"/>
          <w:sz w:val="24"/>
        </w:rPr>
        <w:t> </w:t>
      </w:r>
      <w:r>
        <w:rPr>
          <w:sz w:val="24"/>
        </w:rPr>
        <w:t>used</w:t>
      </w:r>
      <w:r>
        <w:rPr>
          <w:spacing w:val="-1"/>
          <w:sz w:val="24"/>
        </w:rPr>
        <w:t> </w:t>
      </w:r>
      <w:r>
        <w:rPr>
          <w:sz w:val="24"/>
        </w:rPr>
        <w:t>as</w:t>
      </w:r>
      <w:r>
        <w:rPr>
          <w:spacing w:val="-1"/>
          <w:sz w:val="24"/>
        </w:rPr>
        <w:t> </w:t>
      </w:r>
      <w:r>
        <w:rPr>
          <w:sz w:val="24"/>
        </w:rPr>
        <w:t>in</w:t>
      </w:r>
      <w:r>
        <w:rPr>
          <w:spacing w:val="-1"/>
          <w:sz w:val="24"/>
        </w:rPr>
        <w:t> </w:t>
      </w:r>
      <w:r>
        <w:rPr>
          <w:sz w:val="24"/>
        </w:rPr>
        <w:t>the</w:t>
      </w:r>
      <w:r>
        <w:rPr>
          <w:spacing w:val="-1"/>
          <w:sz w:val="24"/>
        </w:rPr>
        <w:t> </w:t>
      </w:r>
      <w:r>
        <w:rPr>
          <w:sz w:val="24"/>
        </w:rPr>
        <w:t>Table</w:t>
      </w:r>
      <w:r>
        <w:rPr>
          <w:spacing w:val="1"/>
          <w:sz w:val="24"/>
        </w:rPr>
        <w:t> </w:t>
      </w:r>
      <w:r>
        <w:rPr>
          <w:spacing w:val="-2"/>
          <w:sz w:val="24"/>
        </w:rPr>
        <w:t>below:-</w:t>
      </w:r>
    </w:p>
    <w:p>
      <w:pPr>
        <w:pStyle w:val="BodyText"/>
        <w:jc w:val="left"/>
        <w:rPr>
          <w:sz w:val="20"/>
        </w:rPr>
      </w:pPr>
    </w:p>
    <w:p>
      <w:pPr>
        <w:pStyle w:val="BodyText"/>
        <w:spacing w:before="150"/>
        <w:jc w:val="left"/>
        <w:rPr>
          <w:sz w:val="20"/>
        </w:rPr>
      </w:pPr>
    </w:p>
    <w:tbl>
      <w:tblPr>
        <w:tblW w:w="0" w:type="auto"/>
        <w:jc w:val="left"/>
        <w:tblInd w:w="1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4"/>
        <w:gridCol w:w="1681"/>
        <w:gridCol w:w="1896"/>
        <w:gridCol w:w="1944"/>
        <w:gridCol w:w="2544"/>
      </w:tblGrid>
      <w:tr>
        <w:trPr>
          <w:trHeight w:val="4788" w:hRule="atLeast"/>
        </w:trPr>
        <w:tc>
          <w:tcPr>
            <w:tcW w:w="1174" w:type="dxa"/>
          </w:tcPr>
          <w:p>
            <w:pPr>
              <w:pStyle w:val="TableParagraph"/>
              <w:spacing w:line="360" w:lineRule="auto"/>
              <w:ind w:left="393" w:right="91"/>
              <w:rPr>
                <w:sz w:val="24"/>
              </w:rPr>
            </w:pPr>
            <w:r>
              <w:rPr>
                <w:spacing w:val="-2"/>
                <w:sz w:val="24"/>
              </w:rPr>
              <w:t>Serial </w:t>
            </w:r>
            <w:r>
              <w:rPr>
                <w:spacing w:val="-4"/>
                <w:sz w:val="24"/>
              </w:rPr>
              <w:t>No.</w:t>
            </w:r>
          </w:p>
        </w:tc>
        <w:tc>
          <w:tcPr>
            <w:tcW w:w="1681" w:type="dxa"/>
          </w:tcPr>
          <w:p>
            <w:pPr>
              <w:pStyle w:val="TableParagraph"/>
              <w:spacing w:line="281" w:lineRule="exact"/>
              <w:ind w:left="390"/>
              <w:rPr>
                <w:sz w:val="24"/>
              </w:rPr>
            </w:pPr>
            <w:r>
              <w:rPr>
                <w:spacing w:val="-2"/>
                <w:sz w:val="24"/>
              </w:rPr>
              <w:t>Extent</w:t>
            </w:r>
          </w:p>
        </w:tc>
        <w:tc>
          <w:tcPr>
            <w:tcW w:w="1896" w:type="dxa"/>
          </w:tcPr>
          <w:p>
            <w:pPr>
              <w:pStyle w:val="TableParagraph"/>
              <w:tabs>
                <w:tab w:pos="773" w:val="left" w:leader="none"/>
              </w:tabs>
              <w:ind w:left="106" w:right="97"/>
              <w:rPr>
                <w:sz w:val="24"/>
              </w:rPr>
            </w:pPr>
            <w:r>
              <w:rPr>
                <w:sz w:val="24"/>
              </w:rPr>
              <w:t>Percentage</w:t>
            </w:r>
            <w:r>
              <w:rPr>
                <w:spacing w:val="68"/>
                <w:sz w:val="24"/>
              </w:rPr>
              <w:t> </w:t>
            </w:r>
            <w:r>
              <w:rPr>
                <w:sz w:val="24"/>
              </w:rPr>
              <w:t>to be</w:t>
            </w:r>
            <w:r>
              <w:rPr>
                <w:spacing w:val="29"/>
                <w:sz w:val="24"/>
              </w:rPr>
              <w:t> </w:t>
            </w:r>
            <w:r>
              <w:rPr>
                <w:sz w:val="24"/>
              </w:rPr>
              <w:t>earmarked </w:t>
            </w:r>
            <w:r>
              <w:rPr>
                <w:spacing w:val="-4"/>
                <w:sz w:val="24"/>
              </w:rPr>
              <w:t>for</w:t>
            </w:r>
            <w:r>
              <w:rPr>
                <w:sz w:val="24"/>
              </w:rPr>
              <w:tab/>
            </w:r>
            <w:r>
              <w:rPr>
                <w:spacing w:val="-2"/>
                <w:sz w:val="24"/>
              </w:rPr>
              <w:t>Garden/ </w:t>
            </w:r>
            <w:r>
              <w:rPr>
                <w:sz w:val="24"/>
              </w:rPr>
              <w:t>Playground</w:t>
            </w:r>
            <w:r>
              <w:rPr>
                <w:spacing w:val="-4"/>
                <w:sz w:val="24"/>
              </w:rPr>
              <w:t> </w:t>
            </w:r>
            <w:r>
              <w:rPr>
                <w:sz w:val="24"/>
              </w:rPr>
              <w:t>or any</w:t>
            </w:r>
            <w:r>
              <w:rPr>
                <w:spacing w:val="-20"/>
                <w:sz w:val="24"/>
              </w:rPr>
              <w:t> </w:t>
            </w:r>
            <w:r>
              <w:rPr>
                <w:sz w:val="24"/>
              </w:rPr>
              <w:t>other</w:t>
            </w:r>
            <w:r>
              <w:rPr>
                <w:spacing w:val="-19"/>
                <w:sz w:val="24"/>
              </w:rPr>
              <w:t> </w:t>
            </w:r>
            <w:r>
              <w:rPr>
                <w:sz w:val="24"/>
              </w:rPr>
              <w:t>POS </w:t>
            </w:r>
            <w:r>
              <w:rPr>
                <w:spacing w:val="-2"/>
                <w:sz w:val="24"/>
              </w:rPr>
              <w:t>as</w:t>
            </w:r>
            <w:r>
              <w:rPr>
                <w:spacing w:val="-18"/>
                <w:sz w:val="24"/>
              </w:rPr>
              <w:t> </w:t>
            </w:r>
            <w:r>
              <w:rPr>
                <w:spacing w:val="-2"/>
                <w:sz w:val="24"/>
              </w:rPr>
              <w:t>specified</w:t>
            </w:r>
            <w:r>
              <w:rPr>
                <w:spacing w:val="-17"/>
                <w:sz w:val="24"/>
              </w:rPr>
              <w:t> </w:t>
            </w:r>
            <w:r>
              <w:rPr>
                <w:spacing w:val="-2"/>
                <w:sz w:val="24"/>
              </w:rPr>
              <w:t>by </w:t>
            </w:r>
            <w:r>
              <w:rPr>
                <w:spacing w:val="-4"/>
                <w:sz w:val="24"/>
              </w:rPr>
              <w:t>the </w:t>
            </w:r>
            <w:r>
              <w:rPr>
                <w:spacing w:val="-2"/>
                <w:sz w:val="24"/>
              </w:rPr>
              <w:t>Commissioner</w:t>
            </w:r>
          </w:p>
        </w:tc>
        <w:tc>
          <w:tcPr>
            <w:tcW w:w="1944" w:type="dxa"/>
          </w:tcPr>
          <w:p>
            <w:pPr>
              <w:pStyle w:val="TableParagraph"/>
              <w:ind w:left="107" w:right="96"/>
              <w:jc w:val="both"/>
              <w:rPr>
                <w:sz w:val="24"/>
              </w:rPr>
            </w:pPr>
            <w:r>
              <w:rPr>
                <w:sz w:val="24"/>
              </w:rPr>
              <w:t>Percentage </w:t>
            </w:r>
            <w:r>
              <w:rPr>
                <w:sz w:val="24"/>
              </w:rPr>
              <w:t>to be earmarked and</w:t>
            </w:r>
            <w:r>
              <w:rPr>
                <w:spacing w:val="56"/>
                <w:sz w:val="24"/>
              </w:rPr>
              <w:t>   </w:t>
            </w:r>
            <w:r>
              <w:rPr>
                <w:spacing w:val="-2"/>
                <w:sz w:val="24"/>
              </w:rPr>
              <w:t>handed</w:t>
            </w:r>
          </w:p>
          <w:p>
            <w:pPr>
              <w:pStyle w:val="TableParagraph"/>
              <w:tabs>
                <w:tab w:pos="1518" w:val="left" w:leader="none"/>
              </w:tabs>
              <w:spacing w:line="281" w:lineRule="exact"/>
              <w:ind w:left="107"/>
              <w:rPr>
                <w:sz w:val="24"/>
              </w:rPr>
            </w:pPr>
            <w:r>
              <w:rPr>
                <w:spacing w:val="-4"/>
                <w:sz w:val="24"/>
              </w:rPr>
              <w:t>over</w:t>
            </w:r>
            <w:r>
              <w:rPr>
                <w:sz w:val="24"/>
              </w:rPr>
              <w:tab/>
            </w:r>
            <w:r>
              <w:rPr>
                <w:spacing w:val="-5"/>
                <w:sz w:val="24"/>
              </w:rPr>
              <w:t>for</w:t>
            </w:r>
          </w:p>
          <w:p>
            <w:pPr>
              <w:pStyle w:val="TableParagraph"/>
              <w:tabs>
                <w:tab w:pos="546" w:val="left" w:leader="none"/>
                <w:tab w:pos="851" w:val="left" w:leader="none"/>
                <w:tab w:pos="1033" w:val="left" w:leader="none"/>
                <w:tab w:pos="1556" w:val="left" w:leader="none"/>
              </w:tabs>
              <w:ind w:left="107" w:right="96"/>
              <w:rPr>
                <w:sz w:val="24"/>
              </w:rPr>
            </w:pPr>
            <w:r>
              <w:rPr>
                <w:spacing w:val="-2"/>
                <w:sz w:val="24"/>
              </w:rPr>
              <w:t>development </w:t>
            </w:r>
            <w:r>
              <w:rPr>
                <w:sz w:val="24"/>
              </w:rPr>
              <w:t>by MHADA </w:t>
            </w:r>
            <w:r>
              <w:rPr>
                <w:sz w:val="24"/>
              </w:rPr>
              <w:t>for </w:t>
            </w:r>
            <w:r>
              <w:rPr>
                <w:spacing w:val="-2"/>
                <w:sz w:val="24"/>
              </w:rPr>
              <w:t>Public Housing/for </w:t>
            </w:r>
            <w:r>
              <w:rPr>
                <w:spacing w:val="-4"/>
                <w:sz w:val="24"/>
              </w:rPr>
              <w:t>mill</w:t>
            </w:r>
            <w:r>
              <w:rPr>
                <w:sz w:val="24"/>
              </w:rPr>
              <w:tab/>
              <w:tab/>
            </w:r>
            <w:r>
              <w:rPr>
                <w:spacing w:val="-2"/>
                <w:sz w:val="24"/>
              </w:rPr>
              <w:t>worker's </w:t>
            </w:r>
            <w:r>
              <w:rPr>
                <w:sz w:val="24"/>
              </w:rPr>
              <w:t>housing</w:t>
            </w:r>
            <w:r>
              <w:rPr>
                <w:spacing w:val="-20"/>
                <w:sz w:val="24"/>
              </w:rPr>
              <w:t> </w:t>
            </w:r>
            <w:r>
              <w:rPr>
                <w:sz w:val="24"/>
              </w:rPr>
              <w:t>as</w:t>
            </w:r>
            <w:r>
              <w:rPr>
                <w:spacing w:val="-19"/>
                <w:sz w:val="24"/>
              </w:rPr>
              <w:t> </w:t>
            </w:r>
            <w:r>
              <w:rPr>
                <w:sz w:val="24"/>
              </w:rPr>
              <w:t>per </w:t>
            </w:r>
            <w:r>
              <w:rPr>
                <w:spacing w:val="-2"/>
                <w:sz w:val="24"/>
              </w:rPr>
              <w:t>guidelines approved</w:t>
            </w:r>
            <w:r>
              <w:rPr>
                <w:sz w:val="24"/>
              </w:rPr>
              <w:tab/>
            </w:r>
            <w:r>
              <w:rPr>
                <w:spacing w:val="-6"/>
                <w:sz w:val="24"/>
              </w:rPr>
              <w:t>by </w:t>
            </w:r>
            <w:r>
              <w:rPr>
                <w:spacing w:val="-2"/>
                <w:sz w:val="24"/>
              </w:rPr>
              <w:t>Government, </w:t>
            </w:r>
            <w:r>
              <w:rPr>
                <w:spacing w:val="-6"/>
                <w:sz w:val="24"/>
              </w:rPr>
              <w:t>to</w:t>
            </w:r>
            <w:r>
              <w:rPr>
                <w:sz w:val="24"/>
              </w:rPr>
              <w:tab/>
            </w:r>
            <w:r>
              <w:rPr>
                <w:spacing w:val="-6"/>
                <w:sz w:val="24"/>
              </w:rPr>
              <w:t>be</w:t>
            </w:r>
            <w:r>
              <w:rPr>
                <w:sz w:val="24"/>
              </w:rPr>
              <w:tab/>
              <w:tab/>
            </w:r>
            <w:r>
              <w:rPr>
                <w:spacing w:val="-2"/>
                <w:sz w:val="24"/>
              </w:rPr>
              <w:t>shared equally</w:t>
            </w:r>
          </w:p>
        </w:tc>
        <w:tc>
          <w:tcPr>
            <w:tcW w:w="2544" w:type="dxa"/>
          </w:tcPr>
          <w:p>
            <w:pPr>
              <w:pStyle w:val="TableParagraph"/>
              <w:tabs>
                <w:tab w:pos="2197" w:val="left" w:leader="none"/>
              </w:tabs>
              <w:ind w:left="109" w:right="94"/>
              <w:jc w:val="both"/>
              <w:rPr>
                <w:sz w:val="24"/>
              </w:rPr>
            </w:pPr>
            <w:r>
              <w:rPr>
                <w:sz w:val="24"/>
              </w:rPr>
              <w:t>Percentage to </w:t>
            </w:r>
            <w:r>
              <w:rPr>
                <w:sz w:val="24"/>
              </w:rPr>
              <w:t>be earmarked and to be developed for </w:t>
            </w:r>
            <w:r>
              <w:rPr>
                <w:spacing w:val="-2"/>
                <w:sz w:val="24"/>
              </w:rPr>
              <w:t>residential</w:t>
            </w:r>
            <w:r>
              <w:rPr>
                <w:sz w:val="24"/>
              </w:rPr>
              <w:tab/>
            </w:r>
            <w:r>
              <w:rPr>
                <w:spacing w:val="-5"/>
                <w:sz w:val="24"/>
              </w:rPr>
              <w:t>or</w:t>
            </w:r>
          </w:p>
          <w:p>
            <w:pPr>
              <w:pStyle w:val="TableParagraph"/>
              <w:tabs>
                <w:tab w:pos="2024" w:val="left" w:leader="none"/>
              </w:tabs>
              <w:spacing w:line="280" w:lineRule="exact"/>
              <w:ind w:left="109"/>
              <w:rPr>
                <w:sz w:val="24"/>
              </w:rPr>
            </w:pPr>
            <w:r>
              <w:rPr>
                <w:spacing w:val="-2"/>
                <w:sz w:val="24"/>
              </w:rPr>
              <w:t>commercial</w:t>
            </w:r>
            <w:r>
              <w:rPr>
                <w:sz w:val="24"/>
              </w:rPr>
              <w:tab/>
            </w:r>
            <w:r>
              <w:rPr>
                <w:spacing w:val="-5"/>
                <w:sz w:val="24"/>
              </w:rPr>
              <w:t>use</w:t>
            </w:r>
          </w:p>
          <w:p>
            <w:pPr>
              <w:pStyle w:val="TableParagraph"/>
              <w:tabs>
                <w:tab w:pos="1899" w:val="left" w:leader="none"/>
              </w:tabs>
              <w:spacing w:line="281" w:lineRule="exact"/>
              <w:ind w:left="109"/>
              <w:rPr>
                <w:sz w:val="24"/>
              </w:rPr>
            </w:pPr>
            <w:r>
              <w:rPr>
                <w:spacing w:val="-2"/>
                <w:sz w:val="24"/>
              </w:rPr>
              <w:t>(including</w:t>
            </w:r>
            <w:r>
              <w:rPr>
                <w:sz w:val="24"/>
              </w:rPr>
              <w:tab/>
            </w:r>
            <w:r>
              <w:rPr>
                <w:spacing w:val="-4"/>
                <w:sz w:val="24"/>
              </w:rPr>
              <w:t>uses</w:t>
            </w:r>
          </w:p>
          <w:p>
            <w:pPr>
              <w:pStyle w:val="TableParagraph"/>
              <w:tabs>
                <w:tab w:pos="2206" w:val="left" w:leader="none"/>
              </w:tabs>
              <w:spacing w:line="281" w:lineRule="exact"/>
              <w:ind w:left="109"/>
              <w:rPr>
                <w:sz w:val="24"/>
              </w:rPr>
            </w:pPr>
            <w:r>
              <w:rPr>
                <w:spacing w:val="-2"/>
                <w:sz w:val="24"/>
              </w:rPr>
              <w:t>permissible</w:t>
            </w:r>
            <w:r>
              <w:rPr>
                <w:sz w:val="24"/>
              </w:rPr>
              <w:tab/>
            </w:r>
            <w:r>
              <w:rPr>
                <w:spacing w:val="-5"/>
                <w:sz w:val="24"/>
              </w:rPr>
              <w:t>in</w:t>
            </w:r>
          </w:p>
          <w:p>
            <w:pPr>
              <w:pStyle w:val="TableParagraph"/>
              <w:tabs>
                <w:tab w:pos="1813" w:val="left" w:leader="none"/>
                <w:tab w:pos="2197" w:val="left" w:leader="none"/>
              </w:tabs>
              <w:spacing w:before="2"/>
              <w:ind w:left="109" w:right="93"/>
              <w:jc w:val="both"/>
              <w:rPr>
                <w:sz w:val="24"/>
              </w:rPr>
            </w:pPr>
            <w:r>
              <w:rPr>
                <w:spacing w:val="-2"/>
                <w:sz w:val="24"/>
              </w:rPr>
              <w:t>residential</w:t>
            </w:r>
            <w:r>
              <w:rPr>
                <w:sz w:val="24"/>
              </w:rPr>
              <w:tab/>
              <w:tab/>
            </w:r>
            <w:r>
              <w:rPr>
                <w:spacing w:val="-6"/>
                <w:sz w:val="24"/>
              </w:rPr>
              <w:t>or </w:t>
            </w:r>
            <w:r>
              <w:rPr>
                <w:sz w:val="24"/>
              </w:rPr>
              <w:t>commercial</w:t>
            </w:r>
            <w:r>
              <w:rPr>
                <w:spacing w:val="-4"/>
                <w:sz w:val="24"/>
              </w:rPr>
              <w:t> </w:t>
            </w:r>
            <w:r>
              <w:rPr>
                <w:sz w:val="24"/>
              </w:rPr>
              <w:t>zone</w:t>
            </w:r>
            <w:r>
              <w:rPr>
                <w:spacing w:val="-4"/>
                <w:sz w:val="24"/>
              </w:rPr>
              <w:t> </w:t>
            </w:r>
            <w:r>
              <w:rPr>
                <w:sz w:val="24"/>
              </w:rPr>
              <w:t>as </w:t>
            </w:r>
            <w:r>
              <w:rPr>
                <w:spacing w:val="-5"/>
                <w:sz w:val="24"/>
              </w:rPr>
              <w:t>per</w:t>
            </w:r>
            <w:r>
              <w:rPr>
                <w:sz w:val="24"/>
              </w:rPr>
              <w:tab/>
            </w:r>
            <w:r>
              <w:rPr>
                <w:spacing w:val="-4"/>
                <w:sz w:val="24"/>
              </w:rPr>
              <w:t>these</w:t>
            </w:r>
          </w:p>
          <w:p>
            <w:pPr>
              <w:pStyle w:val="TableParagraph"/>
              <w:tabs>
                <w:tab w:pos="1280" w:val="left" w:leader="none"/>
                <w:tab w:pos="2197" w:val="left" w:leader="none"/>
              </w:tabs>
              <w:ind w:left="109" w:right="91"/>
              <w:rPr>
                <w:sz w:val="24"/>
              </w:rPr>
            </w:pPr>
            <w:r>
              <w:rPr>
                <w:spacing w:val="-2"/>
                <w:sz w:val="24"/>
              </w:rPr>
              <w:t>Regulations)</w:t>
            </w:r>
            <w:r>
              <w:rPr>
                <w:sz w:val="24"/>
              </w:rPr>
              <w:tab/>
            </w:r>
            <w:r>
              <w:rPr>
                <w:spacing w:val="-6"/>
                <w:sz w:val="24"/>
              </w:rPr>
              <w:t>or </w:t>
            </w:r>
            <w:r>
              <w:rPr>
                <w:spacing w:val="-2"/>
                <w:sz w:val="24"/>
              </w:rPr>
              <w:t>diversified </w:t>
            </w:r>
            <w:r>
              <w:rPr>
                <w:sz w:val="24"/>
              </w:rPr>
              <w:t>Industrial</w:t>
            </w:r>
            <w:r>
              <w:rPr>
                <w:spacing w:val="80"/>
                <w:sz w:val="24"/>
              </w:rPr>
              <w:t> </w:t>
            </w:r>
            <w:r>
              <w:rPr>
                <w:sz w:val="24"/>
              </w:rPr>
              <w:t>uses</w:t>
            </w:r>
            <w:r>
              <w:rPr>
                <w:spacing w:val="80"/>
                <w:sz w:val="24"/>
              </w:rPr>
              <w:t> </w:t>
            </w:r>
            <w:r>
              <w:rPr>
                <w:sz w:val="24"/>
              </w:rPr>
              <w:t>as </w:t>
            </w:r>
            <w:r>
              <w:rPr>
                <w:spacing w:val="-4"/>
                <w:sz w:val="24"/>
              </w:rPr>
              <w:t>per</w:t>
            </w:r>
            <w:r>
              <w:rPr>
                <w:sz w:val="24"/>
              </w:rPr>
              <w:tab/>
            </w:r>
            <w:r>
              <w:rPr>
                <w:spacing w:val="-2"/>
                <w:sz w:val="24"/>
              </w:rPr>
              <w:t>Industrial </w:t>
            </w:r>
            <w:r>
              <w:rPr>
                <w:sz w:val="24"/>
              </w:rPr>
              <w:t>Location</w:t>
            </w:r>
            <w:r>
              <w:rPr>
                <w:spacing w:val="53"/>
                <w:w w:val="150"/>
                <w:sz w:val="24"/>
              </w:rPr>
              <w:t> </w:t>
            </w:r>
            <w:r>
              <w:rPr>
                <w:sz w:val="24"/>
              </w:rPr>
              <w:t>Policy,</w:t>
            </w:r>
            <w:r>
              <w:rPr>
                <w:spacing w:val="53"/>
                <w:w w:val="150"/>
                <w:sz w:val="24"/>
              </w:rPr>
              <w:t> </w:t>
            </w:r>
            <w:r>
              <w:rPr>
                <w:spacing w:val="-5"/>
                <w:sz w:val="24"/>
              </w:rPr>
              <w:t>to</w:t>
            </w:r>
          </w:p>
          <w:p>
            <w:pPr>
              <w:pStyle w:val="TableParagraph"/>
              <w:spacing w:line="280" w:lineRule="exact"/>
              <w:ind w:left="109"/>
              <w:rPr>
                <w:sz w:val="24"/>
              </w:rPr>
            </w:pPr>
            <w:r>
              <w:rPr>
                <w:sz w:val="24"/>
              </w:rPr>
              <w:t>be</w:t>
            </w:r>
            <w:r>
              <w:rPr>
                <w:spacing w:val="-6"/>
                <w:sz w:val="24"/>
              </w:rPr>
              <w:t> </w:t>
            </w:r>
            <w:r>
              <w:rPr>
                <w:sz w:val="24"/>
              </w:rPr>
              <w:t>developed</w:t>
            </w:r>
            <w:r>
              <w:rPr>
                <w:spacing w:val="-6"/>
                <w:sz w:val="24"/>
              </w:rPr>
              <w:t> </w:t>
            </w:r>
            <w:r>
              <w:rPr>
                <w:sz w:val="24"/>
              </w:rPr>
              <w:t>by</w:t>
            </w:r>
            <w:r>
              <w:rPr>
                <w:spacing w:val="-6"/>
                <w:sz w:val="24"/>
              </w:rPr>
              <w:t> </w:t>
            </w:r>
            <w:r>
              <w:rPr>
                <w:sz w:val="24"/>
              </w:rPr>
              <w:t>the </w:t>
            </w:r>
            <w:r>
              <w:rPr>
                <w:spacing w:val="-2"/>
                <w:sz w:val="24"/>
              </w:rPr>
              <w:t>owner</w:t>
            </w:r>
          </w:p>
        </w:tc>
      </w:tr>
      <w:tr>
        <w:trPr>
          <w:trHeight w:val="424" w:hRule="atLeast"/>
        </w:trPr>
        <w:tc>
          <w:tcPr>
            <w:tcW w:w="1174" w:type="dxa"/>
          </w:tcPr>
          <w:p>
            <w:pPr>
              <w:pStyle w:val="TableParagraph"/>
              <w:spacing w:before="1"/>
              <w:ind w:right="358"/>
              <w:jc w:val="right"/>
              <w:rPr>
                <w:sz w:val="24"/>
              </w:rPr>
            </w:pPr>
            <w:r>
              <w:rPr>
                <w:spacing w:val="-10"/>
                <w:sz w:val="24"/>
              </w:rPr>
              <w:t>1</w:t>
            </w:r>
          </w:p>
        </w:tc>
        <w:tc>
          <w:tcPr>
            <w:tcW w:w="1681" w:type="dxa"/>
          </w:tcPr>
          <w:p>
            <w:pPr>
              <w:pStyle w:val="TableParagraph"/>
              <w:spacing w:before="1"/>
              <w:ind w:left="290"/>
              <w:jc w:val="center"/>
              <w:rPr>
                <w:sz w:val="24"/>
              </w:rPr>
            </w:pPr>
            <w:r>
              <w:rPr>
                <w:spacing w:val="-10"/>
                <w:sz w:val="24"/>
              </w:rPr>
              <w:t>2</w:t>
            </w:r>
          </w:p>
        </w:tc>
        <w:tc>
          <w:tcPr>
            <w:tcW w:w="1896" w:type="dxa"/>
          </w:tcPr>
          <w:p>
            <w:pPr>
              <w:pStyle w:val="TableParagraph"/>
              <w:spacing w:before="1"/>
              <w:ind w:left="1014"/>
              <w:rPr>
                <w:sz w:val="24"/>
              </w:rPr>
            </w:pPr>
            <w:r>
              <w:rPr>
                <w:spacing w:val="-10"/>
                <w:sz w:val="24"/>
              </w:rPr>
              <w:t>3</w:t>
            </w:r>
          </w:p>
        </w:tc>
        <w:tc>
          <w:tcPr>
            <w:tcW w:w="1944" w:type="dxa"/>
          </w:tcPr>
          <w:p>
            <w:pPr>
              <w:pStyle w:val="TableParagraph"/>
              <w:spacing w:before="1"/>
              <w:ind w:left="1038"/>
              <w:rPr>
                <w:sz w:val="24"/>
              </w:rPr>
            </w:pPr>
            <w:r>
              <w:rPr>
                <w:spacing w:val="-10"/>
                <w:sz w:val="24"/>
              </w:rPr>
              <w:t>4</w:t>
            </w:r>
          </w:p>
        </w:tc>
        <w:tc>
          <w:tcPr>
            <w:tcW w:w="2544" w:type="dxa"/>
          </w:tcPr>
          <w:p>
            <w:pPr>
              <w:pStyle w:val="TableParagraph"/>
              <w:spacing w:before="1"/>
              <w:ind w:left="297"/>
              <w:jc w:val="center"/>
              <w:rPr>
                <w:sz w:val="24"/>
              </w:rPr>
            </w:pPr>
            <w:r>
              <w:rPr>
                <w:spacing w:val="-10"/>
                <w:sz w:val="24"/>
              </w:rPr>
              <w:t>5</w:t>
            </w:r>
          </w:p>
        </w:tc>
      </w:tr>
      <w:tr>
        <w:trPr>
          <w:trHeight w:val="421" w:hRule="atLeast"/>
        </w:trPr>
        <w:tc>
          <w:tcPr>
            <w:tcW w:w="1174" w:type="dxa"/>
          </w:tcPr>
          <w:p>
            <w:pPr>
              <w:pStyle w:val="TableParagraph"/>
              <w:spacing w:line="281" w:lineRule="exact"/>
              <w:ind w:right="358"/>
              <w:jc w:val="right"/>
              <w:rPr>
                <w:sz w:val="24"/>
              </w:rPr>
            </w:pPr>
            <w:r>
              <w:rPr>
                <w:spacing w:val="-10"/>
                <w:sz w:val="24"/>
              </w:rPr>
              <w:t>1</w:t>
            </w:r>
          </w:p>
        </w:tc>
        <w:tc>
          <w:tcPr>
            <w:tcW w:w="1681" w:type="dxa"/>
          </w:tcPr>
          <w:p>
            <w:pPr>
              <w:pStyle w:val="TableParagraph"/>
              <w:spacing w:line="281" w:lineRule="exact"/>
              <w:ind w:left="107"/>
              <w:rPr>
                <w:sz w:val="24"/>
              </w:rPr>
            </w:pPr>
            <w:r>
              <w:rPr>
                <w:sz w:val="24"/>
              </w:rPr>
              <w:t>No</w:t>
            </w:r>
            <w:r>
              <w:rPr>
                <w:spacing w:val="-1"/>
                <w:sz w:val="24"/>
              </w:rPr>
              <w:t> </w:t>
            </w:r>
            <w:r>
              <w:rPr>
                <w:spacing w:val="-2"/>
                <w:sz w:val="24"/>
              </w:rPr>
              <w:t>limit</w:t>
            </w:r>
          </w:p>
        </w:tc>
        <w:tc>
          <w:tcPr>
            <w:tcW w:w="1896" w:type="dxa"/>
          </w:tcPr>
          <w:p>
            <w:pPr>
              <w:pStyle w:val="TableParagraph"/>
              <w:spacing w:line="281" w:lineRule="exact"/>
              <w:ind w:left="939"/>
              <w:rPr>
                <w:sz w:val="24"/>
              </w:rPr>
            </w:pPr>
            <w:r>
              <w:rPr>
                <w:spacing w:val="-5"/>
                <w:sz w:val="24"/>
              </w:rPr>
              <w:t>33</w:t>
            </w:r>
          </w:p>
        </w:tc>
        <w:tc>
          <w:tcPr>
            <w:tcW w:w="1944" w:type="dxa"/>
          </w:tcPr>
          <w:p>
            <w:pPr>
              <w:pStyle w:val="TableParagraph"/>
              <w:spacing w:line="281" w:lineRule="exact"/>
              <w:ind w:left="964"/>
              <w:rPr>
                <w:sz w:val="24"/>
              </w:rPr>
            </w:pPr>
            <w:r>
              <w:rPr>
                <w:spacing w:val="-5"/>
                <w:sz w:val="24"/>
              </w:rPr>
              <w:t>33</w:t>
            </w:r>
          </w:p>
        </w:tc>
        <w:tc>
          <w:tcPr>
            <w:tcW w:w="2544" w:type="dxa"/>
          </w:tcPr>
          <w:p>
            <w:pPr>
              <w:pStyle w:val="TableParagraph"/>
              <w:spacing w:line="281" w:lineRule="exact"/>
              <w:ind w:left="297"/>
              <w:jc w:val="center"/>
              <w:rPr>
                <w:sz w:val="24"/>
              </w:rPr>
            </w:pPr>
            <w:r>
              <w:rPr>
                <w:spacing w:val="-5"/>
                <w:sz w:val="24"/>
              </w:rPr>
              <w:t>34</w:t>
            </w:r>
          </w:p>
        </w:tc>
      </w:tr>
    </w:tbl>
    <w:p>
      <w:pPr>
        <w:pStyle w:val="TableParagraph"/>
        <w:spacing w:after="0" w:line="281" w:lineRule="exact"/>
        <w:jc w:val="center"/>
        <w:rPr>
          <w:sz w:val="24"/>
        </w:rPr>
        <w:sectPr>
          <w:pgSz w:w="11910" w:h="16840"/>
          <w:pgMar w:header="1058" w:footer="1088" w:top="1500" w:bottom="1280" w:left="360" w:right="360"/>
        </w:sectPr>
      </w:pPr>
    </w:p>
    <w:p>
      <w:pPr>
        <w:pStyle w:val="Heading5"/>
        <w:spacing w:before="255"/>
        <w:ind w:left="2213"/>
      </w:pPr>
      <w:r>
        <w:rPr/>
        <w:t>(kept</w:t>
      </w:r>
      <w:r>
        <w:rPr>
          <w:spacing w:val="-1"/>
        </w:rPr>
        <w:t> </w:t>
      </w:r>
      <w:r>
        <w:rPr/>
        <w:t>in </w:t>
      </w:r>
      <w:r>
        <w:rPr>
          <w:spacing w:val="-2"/>
        </w:rPr>
        <w:t>abeyance)</w:t>
      </w:r>
    </w:p>
    <w:p>
      <w:pPr>
        <w:pStyle w:val="BodyText"/>
        <w:spacing w:before="242"/>
        <w:jc w:val="left"/>
        <w:rPr>
          <w:b/>
        </w:rPr>
      </w:pPr>
    </w:p>
    <w:p>
      <w:pPr>
        <w:pStyle w:val="BodyText"/>
        <w:spacing w:before="1"/>
        <w:ind w:left="1056"/>
        <w:jc w:val="left"/>
      </w:pPr>
      <w:r>
        <w:rPr>
          <w:spacing w:val="-2"/>
        </w:rPr>
        <w:t>Notes-</w:t>
      </w:r>
    </w:p>
    <w:p>
      <w:pPr>
        <w:pStyle w:val="ListParagraph"/>
        <w:numPr>
          <w:ilvl w:val="2"/>
          <w:numId w:val="239"/>
        </w:numPr>
        <w:tabs>
          <w:tab w:pos="1362" w:val="left" w:leader="none"/>
        </w:tabs>
        <w:spacing w:line="240" w:lineRule="auto" w:before="1" w:after="0"/>
        <w:ind w:left="1056" w:right="768" w:firstLine="0"/>
        <w:jc w:val="both"/>
        <w:rPr>
          <w:sz w:val="24"/>
        </w:rPr>
      </w:pPr>
      <w:r>
        <w:rPr>
          <w:sz w:val="24"/>
        </w:rPr>
        <w:t>In addition to the land to be earmarked for garden/playground or any other open</w:t>
      </w:r>
      <w:r>
        <w:rPr>
          <w:spacing w:val="-8"/>
          <w:sz w:val="24"/>
        </w:rPr>
        <w:t> </w:t>
      </w:r>
      <w:r>
        <w:rPr>
          <w:sz w:val="24"/>
        </w:rPr>
        <w:t>use</w:t>
      </w:r>
      <w:r>
        <w:rPr>
          <w:spacing w:val="-8"/>
          <w:sz w:val="24"/>
        </w:rPr>
        <w:t> </w:t>
      </w:r>
      <w:r>
        <w:rPr>
          <w:sz w:val="24"/>
        </w:rPr>
        <w:t>as</w:t>
      </w:r>
      <w:r>
        <w:rPr>
          <w:spacing w:val="-8"/>
          <w:sz w:val="24"/>
        </w:rPr>
        <w:t> </w:t>
      </w:r>
      <w:r>
        <w:rPr>
          <w:sz w:val="24"/>
        </w:rPr>
        <w:t>in</w:t>
      </w:r>
      <w:r>
        <w:rPr>
          <w:spacing w:val="-8"/>
          <w:sz w:val="24"/>
        </w:rPr>
        <w:t> </w:t>
      </w:r>
      <w:r>
        <w:rPr>
          <w:sz w:val="24"/>
        </w:rPr>
        <w:t>column</w:t>
      </w:r>
      <w:r>
        <w:rPr>
          <w:spacing w:val="-8"/>
          <w:sz w:val="24"/>
        </w:rPr>
        <w:t> </w:t>
      </w:r>
      <w:r>
        <w:rPr>
          <w:sz w:val="24"/>
        </w:rPr>
        <w:t>(3)</w:t>
      </w:r>
      <w:r>
        <w:rPr>
          <w:spacing w:val="-8"/>
          <w:sz w:val="24"/>
        </w:rPr>
        <w:t> </w:t>
      </w:r>
      <w:r>
        <w:rPr>
          <w:sz w:val="24"/>
        </w:rPr>
        <w:t>of</w:t>
      </w:r>
      <w:r>
        <w:rPr>
          <w:spacing w:val="-7"/>
          <w:sz w:val="24"/>
        </w:rPr>
        <w:t> </w:t>
      </w:r>
      <w:r>
        <w:rPr>
          <w:sz w:val="24"/>
        </w:rPr>
        <w:t>the</w:t>
      </w:r>
      <w:r>
        <w:rPr>
          <w:spacing w:val="-8"/>
          <w:sz w:val="24"/>
        </w:rPr>
        <w:t> </w:t>
      </w:r>
      <w:r>
        <w:rPr>
          <w:sz w:val="24"/>
        </w:rPr>
        <w:t>above</w:t>
      </w:r>
      <w:r>
        <w:rPr>
          <w:spacing w:val="-8"/>
          <w:sz w:val="24"/>
        </w:rPr>
        <w:t> </w:t>
      </w:r>
      <w:r>
        <w:rPr>
          <w:sz w:val="24"/>
        </w:rPr>
        <w:t>Table,</w:t>
      </w:r>
      <w:r>
        <w:rPr>
          <w:spacing w:val="-8"/>
          <w:sz w:val="24"/>
        </w:rPr>
        <w:t> </w:t>
      </w:r>
      <w:r>
        <w:rPr>
          <w:sz w:val="24"/>
        </w:rPr>
        <w:t>open</w:t>
      </w:r>
      <w:r>
        <w:rPr>
          <w:spacing w:val="-8"/>
          <w:sz w:val="24"/>
        </w:rPr>
        <w:t> </w:t>
      </w:r>
      <w:r>
        <w:rPr>
          <w:sz w:val="24"/>
        </w:rPr>
        <w:t>spaces,</w:t>
      </w:r>
      <w:r>
        <w:rPr>
          <w:spacing w:val="-8"/>
          <w:sz w:val="24"/>
        </w:rPr>
        <w:t> </w:t>
      </w:r>
      <w:r>
        <w:rPr>
          <w:sz w:val="24"/>
        </w:rPr>
        <w:t>public</w:t>
      </w:r>
      <w:r>
        <w:rPr>
          <w:spacing w:val="-8"/>
          <w:sz w:val="24"/>
        </w:rPr>
        <w:t> </w:t>
      </w:r>
      <w:r>
        <w:rPr>
          <w:sz w:val="24"/>
        </w:rPr>
        <w:t>amenities</w:t>
      </w:r>
      <w:r>
        <w:rPr>
          <w:spacing w:val="-8"/>
          <w:sz w:val="24"/>
        </w:rPr>
        <w:t> </w:t>
      </w:r>
      <w:r>
        <w:rPr>
          <w:sz w:val="24"/>
        </w:rPr>
        <w:t>and utilities for the lands shown in columns (4) and (5) of the above Table as otherwise required under these Regulations shall also be provided.</w:t>
      </w:r>
    </w:p>
    <w:p>
      <w:pPr>
        <w:pStyle w:val="BodyText"/>
        <w:jc w:val="left"/>
      </w:pPr>
    </w:p>
    <w:p>
      <w:pPr>
        <w:pStyle w:val="ListParagraph"/>
        <w:numPr>
          <w:ilvl w:val="2"/>
          <w:numId w:val="239"/>
        </w:numPr>
        <w:tabs>
          <w:tab w:pos="1434" w:val="left" w:leader="none"/>
        </w:tabs>
        <w:spacing w:line="240" w:lineRule="auto" w:before="0" w:after="0"/>
        <w:ind w:left="1056" w:right="773" w:firstLine="0"/>
        <w:jc w:val="both"/>
        <w:rPr>
          <w:sz w:val="24"/>
        </w:rPr>
      </w:pPr>
      <w:r>
        <w:rPr>
          <w:sz w:val="24"/>
        </w:rPr>
        <w:t>Segregating distance as required under these Regulations shall be provided within the lands intended to be used for residential/commercial uses.</w:t>
      </w:r>
    </w:p>
    <w:p>
      <w:pPr>
        <w:pStyle w:val="BodyText"/>
        <w:jc w:val="left"/>
      </w:pPr>
    </w:p>
    <w:p>
      <w:pPr>
        <w:pStyle w:val="ListParagraph"/>
        <w:numPr>
          <w:ilvl w:val="2"/>
          <w:numId w:val="239"/>
        </w:numPr>
        <w:tabs>
          <w:tab w:pos="1511" w:val="left" w:leader="none"/>
        </w:tabs>
        <w:spacing w:line="240" w:lineRule="auto" w:before="0" w:after="0"/>
        <w:ind w:left="1056" w:right="769" w:firstLine="0"/>
        <w:jc w:val="both"/>
        <w:rPr>
          <w:sz w:val="24"/>
        </w:rPr>
      </w:pPr>
      <w:r>
        <w:rPr>
          <w:sz w:val="24"/>
        </w:rPr>
        <w:t>The owner of the land will be entitled for the FSI as per the Regulation No 30(A) (1) and (4), excludingarea of notional plot of residential buildings/chawls located on the lands of Cotton Textile Mills if any.</w:t>
      </w:r>
    </w:p>
    <w:p>
      <w:pPr>
        <w:pStyle w:val="ListParagraph"/>
        <w:numPr>
          <w:ilvl w:val="2"/>
          <w:numId w:val="239"/>
        </w:numPr>
        <w:tabs>
          <w:tab w:pos="1489" w:val="left" w:leader="none"/>
        </w:tabs>
        <w:spacing w:line="240" w:lineRule="auto" w:before="281" w:after="0"/>
        <w:ind w:left="1056" w:right="771" w:firstLine="0"/>
        <w:jc w:val="both"/>
        <w:rPr>
          <w:sz w:val="24"/>
        </w:rPr>
      </w:pPr>
      <w:r>
        <w:rPr>
          <w:sz w:val="24"/>
        </w:rPr>
        <w:t>Where FSI is in balance but open land is not available, for the purposes of column</w:t>
      </w:r>
      <w:r>
        <w:rPr>
          <w:spacing w:val="-12"/>
          <w:sz w:val="24"/>
        </w:rPr>
        <w:t> </w:t>
      </w:r>
      <w:r>
        <w:rPr>
          <w:sz w:val="24"/>
        </w:rPr>
        <w:t>(3)</w:t>
      </w:r>
      <w:r>
        <w:rPr>
          <w:spacing w:val="-12"/>
          <w:sz w:val="24"/>
        </w:rPr>
        <w:t> </w:t>
      </w:r>
      <w:r>
        <w:rPr>
          <w:sz w:val="24"/>
        </w:rPr>
        <w:t>and</w:t>
      </w:r>
      <w:r>
        <w:rPr>
          <w:spacing w:val="-12"/>
          <w:sz w:val="24"/>
        </w:rPr>
        <w:t> </w:t>
      </w:r>
      <w:r>
        <w:rPr>
          <w:sz w:val="24"/>
        </w:rPr>
        <w:t>(4)</w:t>
      </w:r>
      <w:r>
        <w:rPr>
          <w:spacing w:val="-12"/>
          <w:sz w:val="24"/>
        </w:rPr>
        <w:t> </w:t>
      </w:r>
      <w:r>
        <w:rPr>
          <w:sz w:val="24"/>
        </w:rPr>
        <w:t>of</w:t>
      </w:r>
      <w:r>
        <w:rPr>
          <w:spacing w:val="-14"/>
          <w:sz w:val="24"/>
        </w:rPr>
        <w:t> </w:t>
      </w:r>
      <w:r>
        <w:rPr>
          <w:sz w:val="24"/>
        </w:rPr>
        <w:t>the</w:t>
      </w:r>
      <w:r>
        <w:rPr>
          <w:spacing w:val="-12"/>
          <w:sz w:val="24"/>
        </w:rPr>
        <w:t> </w:t>
      </w:r>
      <w:r>
        <w:rPr>
          <w:sz w:val="24"/>
        </w:rPr>
        <w:t>above</w:t>
      </w:r>
      <w:r>
        <w:rPr>
          <w:spacing w:val="-12"/>
          <w:sz w:val="24"/>
        </w:rPr>
        <w:t> </w:t>
      </w:r>
      <w:r>
        <w:rPr>
          <w:sz w:val="24"/>
        </w:rPr>
        <w:t>Table,</w:t>
      </w:r>
      <w:r>
        <w:rPr>
          <w:spacing w:val="-12"/>
          <w:sz w:val="24"/>
        </w:rPr>
        <w:t> </w:t>
      </w:r>
      <w:r>
        <w:rPr>
          <w:sz w:val="24"/>
        </w:rPr>
        <w:t>land</w:t>
      </w:r>
      <w:r>
        <w:rPr>
          <w:spacing w:val="-12"/>
          <w:sz w:val="24"/>
        </w:rPr>
        <w:t> </w:t>
      </w:r>
      <w:r>
        <w:rPr>
          <w:sz w:val="24"/>
        </w:rPr>
        <w:t>will</w:t>
      </w:r>
      <w:r>
        <w:rPr>
          <w:spacing w:val="-12"/>
          <w:sz w:val="24"/>
        </w:rPr>
        <w:t> </w:t>
      </w:r>
      <w:r>
        <w:rPr>
          <w:sz w:val="24"/>
        </w:rPr>
        <w:t>be</w:t>
      </w:r>
      <w:r>
        <w:rPr>
          <w:spacing w:val="-12"/>
          <w:sz w:val="24"/>
        </w:rPr>
        <w:t> </w:t>
      </w:r>
      <w:r>
        <w:rPr>
          <w:sz w:val="24"/>
        </w:rPr>
        <w:t>made</w:t>
      </w:r>
      <w:r>
        <w:rPr>
          <w:spacing w:val="-12"/>
          <w:sz w:val="24"/>
        </w:rPr>
        <w:t> </w:t>
      </w:r>
      <w:r>
        <w:rPr>
          <w:sz w:val="24"/>
        </w:rPr>
        <w:t>open</w:t>
      </w:r>
      <w:r>
        <w:rPr>
          <w:spacing w:val="-14"/>
          <w:sz w:val="24"/>
        </w:rPr>
        <w:t> </w:t>
      </w:r>
      <w:r>
        <w:rPr>
          <w:sz w:val="24"/>
        </w:rPr>
        <w:t>by</w:t>
      </w:r>
      <w:r>
        <w:rPr>
          <w:spacing w:val="-11"/>
          <w:sz w:val="24"/>
        </w:rPr>
        <w:t> </w:t>
      </w:r>
      <w:r>
        <w:rPr>
          <w:sz w:val="24"/>
        </w:rPr>
        <w:t>demolishing</w:t>
      </w:r>
      <w:r>
        <w:rPr>
          <w:spacing w:val="-12"/>
          <w:sz w:val="24"/>
        </w:rPr>
        <w:t> </w:t>
      </w:r>
      <w:r>
        <w:rPr>
          <w:sz w:val="24"/>
        </w:rPr>
        <w:t>the existing structures to the extent necessary and made available accordingly.</w:t>
      </w:r>
    </w:p>
    <w:p>
      <w:pPr>
        <w:pStyle w:val="BodyText"/>
        <w:spacing w:before="1"/>
        <w:jc w:val="left"/>
      </w:pPr>
    </w:p>
    <w:p>
      <w:pPr>
        <w:pStyle w:val="ListParagraph"/>
        <w:numPr>
          <w:ilvl w:val="2"/>
          <w:numId w:val="239"/>
        </w:numPr>
        <w:tabs>
          <w:tab w:pos="1405" w:val="left" w:leader="none"/>
        </w:tabs>
        <w:spacing w:line="240" w:lineRule="auto" w:before="0" w:after="0"/>
        <w:ind w:left="1056" w:right="768" w:firstLine="0"/>
        <w:jc w:val="both"/>
        <w:rPr>
          <w:sz w:val="24"/>
        </w:rPr>
      </w:pPr>
      <w:r>
        <w:rPr>
          <w:sz w:val="24"/>
        </w:rPr>
        <w:t>Where the lands accruing as per Columns (3) &amp; (4) are, in the opinion of the Commissioner, of such small sizes that they do not admit of separate specific uses provided for in the said columns, he may, earmark the said lands for use as</w:t>
      </w:r>
      <w:r>
        <w:rPr>
          <w:spacing w:val="-6"/>
          <w:sz w:val="24"/>
        </w:rPr>
        <w:t> </w:t>
      </w:r>
      <w:r>
        <w:rPr>
          <w:sz w:val="24"/>
        </w:rPr>
        <w:t>provided</w:t>
      </w:r>
      <w:r>
        <w:rPr>
          <w:spacing w:val="-6"/>
          <w:sz w:val="24"/>
        </w:rPr>
        <w:t> </w:t>
      </w:r>
      <w:r>
        <w:rPr>
          <w:sz w:val="24"/>
        </w:rPr>
        <w:t>in</w:t>
      </w:r>
      <w:r>
        <w:rPr>
          <w:spacing w:val="-6"/>
          <w:sz w:val="24"/>
        </w:rPr>
        <w:t> </w:t>
      </w:r>
      <w:r>
        <w:rPr>
          <w:sz w:val="24"/>
        </w:rPr>
        <w:t>Column</w:t>
      </w:r>
      <w:r>
        <w:rPr>
          <w:spacing w:val="-6"/>
          <w:sz w:val="24"/>
        </w:rPr>
        <w:t> </w:t>
      </w:r>
      <w:r>
        <w:rPr>
          <w:sz w:val="24"/>
        </w:rPr>
        <w:t>(3);the</w:t>
      </w:r>
      <w:r>
        <w:rPr>
          <w:spacing w:val="-6"/>
          <w:sz w:val="24"/>
        </w:rPr>
        <w:t> </w:t>
      </w:r>
      <w:r>
        <w:rPr>
          <w:sz w:val="24"/>
        </w:rPr>
        <w:t>commissioner</w:t>
      </w:r>
      <w:r>
        <w:rPr>
          <w:spacing w:val="-6"/>
          <w:sz w:val="24"/>
        </w:rPr>
        <w:t> </w:t>
      </w:r>
      <w:r>
        <w:rPr>
          <w:sz w:val="24"/>
        </w:rPr>
        <w:t>may</w:t>
      </w:r>
      <w:r>
        <w:rPr>
          <w:spacing w:val="-6"/>
          <w:sz w:val="24"/>
        </w:rPr>
        <w:t> </w:t>
      </w:r>
      <w:r>
        <w:rPr>
          <w:sz w:val="24"/>
        </w:rPr>
        <w:t>allow</w:t>
      </w:r>
      <w:r>
        <w:rPr>
          <w:spacing w:val="-6"/>
          <w:sz w:val="24"/>
        </w:rPr>
        <w:t> </w:t>
      </w:r>
      <w:r>
        <w:rPr>
          <w:sz w:val="24"/>
        </w:rPr>
        <w:t>any</w:t>
      </w:r>
      <w:r>
        <w:rPr>
          <w:spacing w:val="-11"/>
          <w:sz w:val="24"/>
        </w:rPr>
        <w:t> </w:t>
      </w:r>
      <w:r>
        <w:rPr>
          <w:sz w:val="24"/>
        </w:rPr>
        <w:t>other</w:t>
      </w:r>
      <w:r>
        <w:rPr>
          <w:spacing w:val="-5"/>
          <w:sz w:val="24"/>
        </w:rPr>
        <w:t> </w:t>
      </w:r>
      <w:r>
        <w:rPr>
          <w:sz w:val="24"/>
        </w:rPr>
        <w:t>POS</w:t>
      </w:r>
      <w:r>
        <w:rPr>
          <w:spacing w:val="-6"/>
          <w:sz w:val="24"/>
        </w:rPr>
        <w:t> </w:t>
      </w:r>
      <w:r>
        <w:rPr>
          <w:sz w:val="24"/>
        </w:rPr>
        <w:t>Lands</w:t>
      </w:r>
      <w:r>
        <w:rPr>
          <w:spacing w:val="-6"/>
          <w:sz w:val="24"/>
        </w:rPr>
        <w:t> </w:t>
      </w:r>
      <w:r>
        <w:rPr>
          <w:sz w:val="24"/>
        </w:rPr>
        <w:t>for any Mills received as Municipal Corporation of Greater Mumbai's share of Mill land as per column no.(3), to be earmarked for MHADA in exchange of such plots, for using as per column no. (4), special permission of Commissioner.</w:t>
      </w:r>
    </w:p>
    <w:p>
      <w:pPr>
        <w:pStyle w:val="ListParagraph"/>
        <w:numPr>
          <w:ilvl w:val="0"/>
          <w:numId w:val="240"/>
        </w:numPr>
        <w:tabs>
          <w:tab w:pos="2213" w:val="left" w:leader="none"/>
        </w:tabs>
        <w:spacing w:line="240" w:lineRule="auto" w:before="0" w:after="0"/>
        <w:ind w:left="1044" w:right="836" w:firstLine="0"/>
        <w:jc w:val="both"/>
        <w:rPr>
          <w:sz w:val="24"/>
        </w:rPr>
      </w:pPr>
      <w:r>
        <w:rPr>
          <w:sz w:val="24"/>
        </w:rPr>
        <w:t>It</w:t>
      </w:r>
      <w:r>
        <w:rPr>
          <w:spacing w:val="-20"/>
          <w:sz w:val="24"/>
        </w:rPr>
        <w:t> </w:t>
      </w:r>
      <w:r>
        <w:rPr>
          <w:sz w:val="24"/>
        </w:rPr>
        <w:t>shall</w:t>
      </w:r>
      <w:r>
        <w:rPr>
          <w:spacing w:val="-19"/>
          <w:sz w:val="24"/>
        </w:rPr>
        <w:t> </w:t>
      </w:r>
      <w:r>
        <w:rPr>
          <w:sz w:val="24"/>
        </w:rPr>
        <w:t>be</w:t>
      </w:r>
      <w:r>
        <w:rPr>
          <w:spacing w:val="-19"/>
          <w:sz w:val="24"/>
        </w:rPr>
        <w:t> </w:t>
      </w:r>
      <w:r>
        <w:rPr>
          <w:sz w:val="24"/>
        </w:rPr>
        <w:t>permissible</w:t>
      </w:r>
      <w:r>
        <w:rPr>
          <w:spacing w:val="-19"/>
          <w:sz w:val="24"/>
        </w:rPr>
        <w:t> </w:t>
      </w:r>
      <w:r>
        <w:rPr>
          <w:sz w:val="24"/>
        </w:rPr>
        <w:t>for</w:t>
      </w:r>
      <w:r>
        <w:rPr>
          <w:spacing w:val="-19"/>
          <w:sz w:val="24"/>
        </w:rPr>
        <w:t> </w:t>
      </w:r>
      <w:r>
        <w:rPr>
          <w:sz w:val="24"/>
        </w:rPr>
        <w:t>the</w:t>
      </w:r>
      <w:r>
        <w:rPr>
          <w:spacing w:val="-20"/>
          <w:sz w:val="24"/>
        </w:rPr>
        <w:t> </w:t>
      </w:r>
      <w:r>
        <w:rPr>
          <w:sz w:val="24"/>
        </w:rPr>
        <w:t>owners</w:t>
      </w:r>
      <w:r>
        <w:rPr>
          <w:spacing w:val="-19"/>
          <w:sz w:val="24"/>
        </w:rPr>
        <w:t> </w:t>
      </w:r>
      <w:r>
        <w:rPr>
          <w:sz w:val="24"/>
        </w:rPr>
        <w:t>of</w:t>
      </w:r>
      <w:r>
        <w:rPr>
          <w:spacing w:val="-19"/>
          <w:sz w:val="24"/>
        </w:rPr>
        <w:t> </w:t>
      </w:r>
      <w:r>
        <w:rPr>
          <w:sz w:val="24"/>
        </w:rPr>
        <w:t>the</w:t>
      </w:r>
      <w:r>
        <w:rPr>
          <w:spacing w:val="-19"/>
          <w:sz w:val="24"/>
        </w:rPr>
        <w:t> </w:t>
      </w:r>
      <w:r>
        <w:rPr>
          <w:sz w:val="24"/>
        </w:rPr>
        <w:t>land</w:t>
      </w:r>
      <w:r>
        <w:rPr>
          <w:spacing w:val="-19"/>
          <w:sz w:val="24"/>
        </w:rPr>
        <w:t> </w:t>
      </w:r>
      <w:r>
        <w:rPr>
          <w:sz w:val="24"/>
        </w:rPr>
        <w:t>to</w:t>
      </w:r>
      <w:r>
        <w:rPr>
          <w:spacing w:val="-20"/>
          <w:sz w:val="24"/>
        </w:rPr>
        <w:t> </w:t>
      </w:r>
      <w:r>
        <w:rPr>
          <w:sz w:val="24"/>
        </w:rPr>
        <w:t>submit</w:t>
      </w:r>
      <w:r>
        <w:rPr>
          <w:spacing w:val="-19"/>
          <w:sz w:val="24"/>
        </w:rPr>
        <w:t> </w:t>
      </w:r>
      <w:r>
        <w:rPr>
          <w:sz w:val="24"/>
        </w:rPr>
        <w:t>a</w:t>
      </w:r>
      <w:r>
        <w:rPr>
          <w:spacing w:val="-19"/>
          <w:sz w:val="24"/>
        </w:rPr>
        <w:t> </w:t>
      </w:r>
      <w:r>
        <w:rPr>
          <w:sz w:val="24"/>
        </w:rPr>
        <w:t>composite scheme</w:t>
      </w:r>
      <w:r>
        <w:rPr>
          <w:spacing w:val="-7"/>
          <w:sz w:val="24"/>
        </w:rPr>
        <w:t> </w:t>
      </w:r>
      <w:r>
        <w:rPr>
          <w:sz w:val="24"/>
        </w:rPr>
        <w:t>for</w:t>
      </w:r>
      <w:r>
        <w:rPr>
          <w:spacing w:val="-7"/>
          <w:sz w:val="24"/>
        </w:rPr>
        <w:t> </w:t>
      </w:r>
      <w:r>
        <w:rPr>
          <w:sz w:val="24"/>
        </w:rPr>
        <w:t>the</w:t>
      </w:r>
      <w:r>
        <w:rPr>
          <w:spacing w:val="-7"/>
          <w:sz w:val="24"/>
        </w:rPr>
        <w:t> </w:t>
      </w:r>
      <w:r>
        <w:rPr>
          <w:sz w:val="24"/>
        </w:rPr>
        <w:t>development</w:t>
      </w:r>
      <w:r>
        <w:rPr>
          <w:spacing w:val="-7"/>
          <w:sz w:val="24"/>
        </w:rPr>
        <w:t> </w:t>
      </w:r>
      <w:r>
        <w:rPr>
          <w:sz w:val="24"/>
        </w:rPr>
        <w:t>or</w:t>
      </w:r>
      <w:r>
        <w:rPr>
          <w:spacing w:val="-7"/>
          <w:sz w:val="24"/>
        </w:rPr>
        <w:t> </w:t>
      </w:r>
      <w:r>
        <w:rPr>
          <w:sz w:val="24"/>
        </w:rPr>
        <w:t>redevelopment</w:t>
      </w:r>
      <w:r>
        <w:rPr>
          <w:spacing w:val="-7"/>
          <w:sz w:val="24"/>
        </w:rPr>
        <w:t> </w:t>
      </w:r>
      <w:r>
        <w:rPr>
          <w:sz w:val="24"/>
        </w:rPr>
        <w:t>of</w:t>
      </w:r>
      <w:r>
        <w:rPr>
          <w:spacing w:val="-7"/>
          <w:sz w:val="24"/>
        </w:rPr>
        <w:t> </w:t>
      </w:r>
      <w:r>
        <w:rPr>
          <w:sz w:val="24"/>
        </w:rPr>
        <w:t>lands</w:t>
      </w:r>
      <w:r>
        <w:rPr>
          <w:spacing w:val="-7"/>
          <w:sz w:val="24"/>
        </w:rPr>
        <w:t> </w:t>
      </w:r>
      <w:r>
        <w:rPr>
          <w:sz w:val="24"/>
        </w:rPr>
        <w:t>of</w:t>
      </w:r>
      <w:r>
        <w:rPr>
          <w:spacing w:val="-7"/>
          <w:sz w:val="24"/>
        </w:rPr>
        <w:t> </w:t>
      </w:r>
      <w:r>
        <w:rPr>
          <w:sz w:val="24"/>
        </w:rPr>
        <w:t>different</w:t>
      </w:r>
      <w:r>
        <w:rPr>
          <w:spacing w:val="-6"/>
          <w:sz w:val="24"/>
        </w:rPr>
        <w:t> </w:t>
      </w:r>
      <w:r>
        <w:rPr>
          <w:sz w:val="24"/>
        </w:rPr>
        <w:t>cotton</w:t>
      </w:r>
      <w:r>
        <w:rPr>
          <w:spacing w:val="-7"/>
          <w:sz w:val="24"/>
        </w:rPr>
        <w:t> </w:t>
      </w:r>
      <w:r>
        <w:rPr>
          <w:sz w:val="24"/>
        </w:rPr>
        <w:t>textile mills,</w:t>
      </w:r>
      <w:r>
        <w:rPr>
          <w:spacing w:val="-20"/>
          <w:sz w:val="24"/>
        </w:rPr>
        <w:t> </w:t>
      </w:r>
      <w:r>
        <w:rPr>
          <w:sz w:val="24"/>
        </w:rPr>
        <w:t>whether</w:t>
      </w:r>
      <w:r>
        <w:rPr>
          <w:spacing w:val="-19"/>
          <w:sz w:val="24"/>
        </w:rPr>
        <w:t> </w:t>
      </w:r>
      <w:r>
        <w:rPr>
          <w:sz w:val="24"/>
        </w:rPr>
        <w:t>under</w:t>
      </w:r>
      <w:r>
        <w:rPr>
          <w:spacing w:val="-19"/>
          <w:sz w:val="24"/>
        </w:rPr>
        <w:t> </w:t>
      </w:r>
      <w:r>
        <w:rPr>
          <w:sz w:val="24"/>
        </w:rPr>
        <w:t>different/common</w:t>
      </w:r>
      <w:r>
        <w:rPr>
          <w:spacing w:val="-19"/>
          <w:sz w:val="24"/>
        </w:rPr>
        <w:t> </w:t>
      </w:r>
      <w:r>
        <w:rPr>
          <w:sz w:val="24"/>
        </w:rPr>
        <w:t>ownership</w:t>
      </w:r>
      <w:r>
        <w:rPr>
          <w:spacing w:val="-19"/>
          <w:sz w:val="24"/>
        </w:rPr>
        <w:t> </w:t>
      </w:r>
      <w:r>
        <w:rPr>
          <w:sz w:val="24"/>
        </w:rPr>
        <w:t>or</w:t>
      </w:r>
      <w:r>
        <w:rPr>
          <w:spacing w:val="-20"/>
          <w:sz w:val="24"/>
        </w:rPr>
        <w:t> </w:t>
      </w:r>
      <w:r>
        <w:rPr>
          <w:sz w:val="24"/>
        </w:rPr>
        <w:t>otherwise,</w:t>
      </w:r>
      <w:r>
        <w:rPr>
          <w:spacing w:val="-19"/>
          <w:sz w:val="24"/>
        </w:rPr>
        <w:t> </w:t>
      </w:r>
      <w:r>
        <w:rPr>
          <w:sz w:val="24"/>
        </w:rPr>
        <w:t>upon</w:t>
      </w:r>
      <w:r>
        <w:rPr>
          <w:spacing w:val="-19"/>
          <w:sz w:val="24"/>
        </w:rPr>
        <w:t> </w:t>
      </w:r>
      <w:r>
        <w:rPr>
          <w:sz w:val="24"/>
        </w:rPr>
        <w:t>which</w:t>
      </w:r>
      <w:r>
        <w:rPr>
          <w:spacing w:val="-19"/>
          <w:sz w:val="24"/>
        </w:rPr>
        <w:t> </w:t>
      </w:r>
      <w:r>
        <w:rPr>
          <w:sz w:val="24"/>
        </w:rPr>
        <w:t>the lands comprised in the integrated scheme shall be considered by the Commissioner in an integrated manner. The land to be handed over as per column no (3) and (4) shall be preferably handed over in the respective land of mills.</w:t>
      </w:r>
      <w:r>
        <w:rPr>
          <w:spacing w:val="-5"/>
          <w:sz w:val="24"/>
        </w:rPr>
        <w:t> </w:t>
      </w:r>
      <w:r>
        <w:rPr>
          <w:sz w:val="24"/>
        </w:rPr>
        <w:t>Provided</w:t>
      </w:r>
      <w:r>
        <w:rPr>
          <w:spacing w:val="-5"/>
          <w:sz w:val="24"/>
        </w:rPr>
        <w:t> </w:t>
      </w:r>
      <w:r>
        <w:rPr>
          <w:sz w:val="24"/>
        </w:rPr>
        <w:t>further</w:t>
      </w:r>
      <w:r>
        <w:rPr>
          <w:spacing w:val="-5"/>
          <w:sz w:val="24"/>
        </w:rPr>
        <w:t> </w:t>
      </w:r>
      <w:r>
        <w:rPr>
          <w:sz w:val="24"/>
        </w:rPr>
        <w:t>that</w:t>
      </w:r>
      <w:r>
        <w:rPr>
          <w:spacing w:val="-5"/>
          <w:sz w:val="24"/>
        </w:rPr>
        <w:t> </w:t>
      </w:r>
      <w:r>
        <w:rPr>
          <w:sz w:val="24"/>
        </w:rPr>
        <w:t>where</w:t>
      </w:r>
      <w:r>
        <w:rPr>
          <w:spacing w:val="-5"/>
          <w:sz w:val="24"/>
        </w:rPr>
        <w:t> </w:t>
      </w:r>
      <w:r>
        <w:rPr>
          <w:sz w:val="24"/>
        </w:rPr>
        <w:t>owner</w:t>
      </w:r>
      <w:r>
        <w:rPr>
          <w:spacing w:val="-2"/>
          <w:sz w:val="24"/>
        </w:rPr>
        <w:t> </w:t>
      </w:r>
      <w:r>
        <w:rPr>
          <w:sz w:val="24"/>
        </w:rPr>
        <w:t>intends</w:t>
      </w:r>
      <w:r>
        <w:rPr>
          <w:spacing w:val="-5"/>
          <w:sz w:val="24"/>
        </w:rPr>
        <w:t> </w:t>
      </w:r>
      <w:r>
        <w:rPr>
          <w:sz w:val="24"/>
        </w:rPr>
        <w:t>to</w:t>
      </w:r>
      <w:r>
        <w:rPr>
          <w:spacing w:val="-5"/>
          <w:sz w:val="24"/>
        </w:rPr>
        <w:t> </w:t>
      </w:r>
      <w:r>
        <w:rPr>
          <w:sz w:val="24"/>
        </w:rPr>
        <w:t>hand</w:t>
      </w:r>
      <w:r>
        <w:rPr>
          <w:spacing w:val="-5"/>
          <w:sz w:val="24"/>
        </w:rPr>
        <w:t> </w:t>
      </w:r>
      <w:r>
        <w:rPr>
          <w:sz w:val="24"/>
        </w:rPr>
        <w:t>over</w:t>
      </w:r>
      <w:r>
        <w:rPr>
          <w:spacing w:val="-3"/>
          <w:sz w:val="24"/>
        </w:rPr>
        <w:t> </w:t>
      </w:r>
      <w:r>
        <w:rPr>
          <w:sz w:val="24"/>
        </w:rPr>
        <w:t>the</w:t>
      </w:r>
      <w:r>
        <w:rPr>
          <w:spacing w:val="-5"/>
          <w:sz w:val="24"/>
        </w:rPr>
        <w:t> </w:t>
      </w:r>
      <w:r>
        <w:rPr>
          <w:sz w:val="24"/>
        </w:rPr>
        <w:t>share</w:t>
      </w:r>
      <w:r>
        <w:rPr>
          <w:spacing w:val="-5"/>
          <w:sz w:val="24"/>
        </w:rPr>
        <w:t> </w:t>
      </w:r>
      <w:r>
        <w:rPr>
          <w:sz w:val="24"/>
        </w:rPr>
        <w:t>of</w:t>
      </w:r>
      <w:r>
        <w:rPr>
          <w:spacing w:val="-5"/>
          <w:sz w:val="24"/>
        </w:rPr>
        <w:t> </w:t>
      </w:r>
      <w:r>
        <w:rPr>
          <w:sz w:val="24"/>
        </w:rPr>
        <w:t>land as per column no (3) and (4) at other mill within the integrated scheme having different stamp duty ready reckoner rate then area to be handed over shall be in proportion to the stamp duty ready reckoner rate of these lands of mills.</w:t>
      </w:r>
    </w:p>
    <w:p>
      <w:pPr>
        <w:pStyle w:val="BodyText"/>
        <w:spacing w:before="240"/>
        <w:ind w:left="1056" w:right="769"/>
      </w:pPr>
      <w:r>
        <w:rPr/>
        <w:t>(vii) Notwithstanding anything above, the layout of mill land shall be submitted by the mill owner within six months of closure of the mill or within six months from sanction of these Regulations whichever is later and the lands earmarked for MHADA &amp; POS shall be handed over to the concerned Authority within six months</w:t>
      </w:r>
      <w:r>
        <w:rPr>
          <w:spacing w:val="-12"/>
        </w:rPr>
        <w:t> </w:t>
      </w:r>
      <w:r>
        <w:rPr/>
        <w:t>after</w:t>
      </w:r>
      <w:r>
        <w:rPr>
          <w:spacing w:val="-12"/>
        </w:rPr>
        <w:t> </w:t>
      </w:r>
      <w:r>
        <w:rPr/>
        <w:t>the</w:t>
      </w:r>
      <w:r>
        <w:rPr>
          <w:spacing w:val="-12"/>
        </w:rPr>
        <w:t> </w:t>
      </w:r>
      <w:r>
        <w:rPr/>
        <w:t>approval</w:t>
      </w:r>
      <w:r>
        <w:rPr>
          <w:spacing w:val="-12"/>
        </w:rPr>
        <w:t> </w:t>
      </w:r>
      <w:r>
        <w:rPr/>
        <w:t>of</w:t>
      </w:r>
      <w:r>
        <w:rPr>
          <w:spacing w:val="-11"/>
        </w:rPr>
        <w:t> </w:t>
      </w:r>
      <w:r>
        <w:rPr/>
        <w:t>layout</w:t>
      </w:r>
      <w:r>
        <w:rPr>
          <w:spacing w:val="-12"/>
        </w:rPr>
        <w:t> </w:t>
      </w:r>
      <w:r>
        <w:rPr/>
        <w:t>and</w:t>
      </w:r>
      <w:r>
        <w:rPr>
          <w:spacing w:val="-10"/>
        </w:rPr>
        <w:t> </w:t>
      </w:r>
      <w:r>
        <w:rPr/>
        <w:t>such</w:t>
      </w:r>
      <w:r>
        <w:rPr>
          <w:spacing w:val="-12"/>
        </w:rPr>
        <w:t> </w:t>
      </w:r>
      <w:r>
        <w:rPr/>
        <w:t>period</w:t>
      </w:r>
      <w:r>
        <w:rPr>
          <w:spacing w:val="-12"/>
        </w:rPr>
        <w:t> </w:t>
      </w:r>
      <w:r>
        <w:rPr/>
        <w:t>of</w:t>
      </w:r>
      <w:r>
        <w:rPr>
          <w:spacing w:val="-12"/>
        </w:rPr>
        <w:t> </w:t>
      </w:r>
      <w:r>
        <w:rPr/>
        <w:t>handing</w:t>
      </w:r>
      <w:r>
        <w:rPr>
          <w:spacing w:val="-12"/>
        </w:rPr>
        <w:t> </w:t>
      </w:r>
      <w:r>
        <w:rPr/>
        <w:t>over</w:t>
      </w:r>
      <w:r>
        <w:rPr>
          <w:spacing w:val="-12"/>
        </w:rPr>
        <w:t> </w:t>
      </w:r>
      <w:r>
        <w:rPr/>
        <w:t>shall</w:t>
      </w:r>
      <w:r>
        <w:rPr>
          <w:spacing w:val="-12"/>
        </w:rPr>
        <w:t> </w:t>
      </w:r>
      <w:r>
        <w:rPr/>
        <w:t>not</w:t>
      </w:r>
      <w:r>
        <w:rPr>
          <w:spacing w:val="-10"/>
        </w:rPr>
        <w:t> </w:t>
      </w:r>
      <w:r>
        <w:rPr/>
        <w:t>be more than six months.</w:t>
      </w:r>
    </w:p>
    <w:p>
      <w:pPr>
        <w:pStyle w:val="BodyText"/>
        <w:spacing w:before="1"/>
        <w:jc w:val="left"/>
      </w:pPr>
    </w:p>
    <w:p>
      <w:pPr>
        <w:pStyle w:val="ListParagraph"/>
        <w:numPr>
          <w:ilvl w:val="0"/>
          <w:numId w:val="239"/>
        </w:numPr>
        <w:tabs>
          <w:tab w:pos="1432" w:val="left" w:leader="none"/>
        </w:tabs>
        <w:spacing w:line="240" w:lineRule="auto" w:before="0" w:after="0"/>
        <w:ind w:left="1056" w:right="771" w:firstLine="0"/>
        <w:jc w:val="both"/>
        <w:rPr>
          <w:sz w:val="24"/>
        </w:rPr>
      </w:pPr>
      <w:r>
        <w:rPr>
          <w:b/>
          <w:sz w:val="24"/>
        </w:rPr>
        <w:t>Lands</w:t>
      </w:r>
      <w:r>
        <w:rPr>
          <w:b/>
          <w:spacing w:val="-21"/>
          <w:sz w:val="24"/>
        </w:rPr>
        <w:t> </w:t>
      </w:r>
      <w:r>
        <w:rPr>
          <w:b/>
          <w:sz w:val="24"/>
        </w:rPr>
        <w:t>of</w:t>
      </w:r>
      <w:r>
        <w:rPr>
          <w:b/>
          <w:spacing w:val="-20"/>
          <w:sz w:val="24"/>
        </w:rPr>
        <w:t> </w:t>
      </w:r>
      <w:r>
        <w:rPr>
          <w:b/>
          <w:sz w:val="24"/>
        </w:rPr>
        <w:t>cotton</w:t>
      </w:r>
      <w:r>
        <w:rPr>
          <w:b/>
          <w:spacing w:val="-21"/>
          <w:sz w:val="24"/>
        </w:rPr>
        <w:t> </w:t>
      </w:r>
      <w:r>
        <w:rPr>
          <w:b/>
          <w:sz w:val="24"/>
        </w:rPr>
        <w:t>textile</w:t>
      </w:r>
      <w:r>
        <w:rPr>
          <w:b/>
          <w:spacing w:val="-20"/>
          <w:sz w:val="24"/>
        </w:rPr>
        <w:t> </w:t>
      </w:r>
      <w:r>
        <w:rPr>
          <w:b/>
          <w:sz w:val="24"/>
        </w:rPr>
        <w:t>mills</w:t>
      </w:r>
      <w:r>
        <w:rPr>
          <w:b/>
          <w:spacing w:val="-20"/>
          <w:sz w:val="24"/>
        </w:rPr>
        <w:t> </w:t>
      </w:r>
      <w:r>
        <w:rPr>
          <w:b/>
          <w:sz w:val="24"/>
        </w:rPr>
        <w:t>for</w:t>
      </w:r>
      <w:r>
        <w:rPr>
          <w:b/>
          <w:spacing w:val="-21"/>
          <w:sz w:val="24"/>
        </w:rPr>
        <w:t> </w:t>
      </w:r>
      <w:r>
        <w:rPr>
          <w:b/>
          <w:sz w:val="24"/>
        </w:rPr>
        <w:t>purpose</w:t>
      </w:r>
      <w:r>
        <w:rPr>
          <w:b/>
          <w:spacing w:val="-20"/>
          <w:sz w:val="24"/>
        </w:rPr>
        <w:t> </w:t>
      </w:r>
      <w:r>
        <w:rPr>
          <w:b/>
          <w:sz w:val="24"/>
        </w:rPr>
        <w:t>of</w:t>
      </w:r>
      <w:r>
        <w:rPr>
          <w:b/>
          <w:spacing w:val="-21"/>
          <w:sz w:val="24"/>
        </w:rPr>
        <w:t> </w:t>
      </w:r>
      <w:r>
        <w:rPr>
          <w:b/>
          <w:sz w:val="24"/>
        </w:rPr>
        <w:t>modernization</w:t>
      </w:r>
      <w:r>
        <w:rPr>
          <w:sz w:val="24"/>
        </w:rPr>
        <w:t>.-</w:t>
      </w:r>
      <w:r>
        <w:rPr>
          <w:spacing w:val="-19"/>
          <w:sz w:val="24"/>
        </w:rPr>
        <w:t> </w:t>
      </w:r>
      <w:r>
        <w:rPr>
          <w:sz w:val="24"/>
        </w:rPr>
        <w:t>With</w:t>
      </w:r>
      <w:r>
        <w:rPr>
          <w:spacing w:val="-19"/>
          <w:sz w:val="24"/>
        </w:rPr>
        <w:t> </w:t>
      </w:r>
      <w:r>
        <w:rPr>
          <w:sz w:val="24"/>
        </w:rPr>
        <w:t>previous approval</w:t>
      </w:r>
      <w:r>
        <w:rPr>
          <w:spacing w:val="71"/>
          <w:w w:val="150"/>
          <w:sz w:val="24"/>
        </w:rPr>
        <w:t> </w:t>
      </w:r>
      <w:r>
        <w:rPr>
          <w:sz w:val="24"/>
        </w:rPr>
        <w:t>of</w:t>
      </w:r>
      <w:r>
        <w:rPr>
          <w:spacing w:val="71"/>
          <w:w w:val="150"/>
          <w:sz w:val="24"/>
        </w:rPr>
        <w:t> </w:t>
      </w:r>
      <w:r>
        <w:rPr>
          <w:sz w:val="24"/>
        </w:rPr>
        <w:t>the</w:t>
      </w:r>
      <w:r>
        <w:rPr>
          <w:spacing w:val="71"/>
          <w:w w:val="150"/>
          <w:sz w:val="24"/>
        </w:rPr>
        <w:t> </w:t>
      </w:r>
      <w:r>
        <w:rPr>
          <w:sz w:val="24"/>
        </w:rPr>
        <w:t>Commissioner</w:t>
      </w:r>
      <w:r>
        <w:rPr>
          <w:spacing w:val="71"/>
          <w:w w:val="150"/>
          <w:sz w:val="24"/>
        </w:rPr>
        <w:t> </w:t>
      </w:r>
      <w:r>
        <w:rPr>
          <w:sz w:val="24"/>
        </w:rPr>
        <w:t>to</w:t>
      </w:r>
      <w:r>
        <w:rPr>
          <w:spacing w:val="71"/>
          <w:w w:val="150"/>
          <w:sz w:val="24"/>
        </w:rPr>
        <w:t> </w:t>
      </w:r>
      <w:r>
        <w:rPr>
          <w:sz w:val="24"/>
        </w:rPr>
        <w:t>a</w:t>
      </w:r>
      <w:r>
        <w:rPr>
          <w:spacing w:val="74"/>
          <w:w w:val="150"/>
          <w:sz w:val="24"/>
        </w:rPr>
        <w:t> </w:t>
      </w:r>
      <w:r>
        <w:rPr>
          <w:sz w:val="24"/>
        </w:rPr>
        <w:t>layout</w:t>
      </w:r>
      <w:r>
        <w:rPr>
          <w:spacing w:val="71"/>
          <w:w w:val="150"/>
          <w:sz w:val="24"/>
        </w:rPr>
        <w:t> </w:t>
      </w:r>
      <w:r>
        <w:rPr>
          <w:sz w:val="24"/>
        </w:rPr>
        <w:t>prepared</w:t>
      </w:r>
      <w:r>
        <w:rPr>
          <w:spacing w:val="71"/>
          <w:w w:val="150"/>
          <w:sz w:val="24"/>
        </w:rPr>
        <w:t> </w:t>
      </w:r>
      <w:r>
        <w:rPr>
          <w:sz w:val="24"/>
        </w:rPr>
        <w:t>for</w:t>
      </w:r>
      <w:r>
        <w:rPr>
          <w:spacing w:val="71"/>
          <w:w w:val="150"/>
          <w:sz w:val="24"/>
        </w:rPr>
        <w:t> </w:t>
      </w:r>
      <w:r>
        <w:rPr>
          <w:sz w:val="24"/>
        </w:rPr>
        <w:t>development</w:t>
      </w:r>
      <w:r>
        <w:rPr>
          <w:spacing w:val="71"/>
          <w:w w:val="150"/>
          <w:sz w:val="24"/>
        </w:rPr>
        <w:t> </w:t>
      </w:r>
      <w:r>
        <w:rPr>
          <w:sz w:val="24"/>
        </w:rPr>
        <w:t>or</w:t>
      </w:r>
    </w:p>
    <w:p>
      <w:pPr>
        <w:pStyle w:val="ListParagraph"/>
        <w:spacing w:after="0" w:line="240" w:lineRule="auto"/>
        <w:jc w:val="both"/>
        <w:rPr>
          <w:sz w:val="24"/>
        </w:rPr>
        <w:sectPr>
          <w:pgSz w:w="11910" w:h="16840"/>
          <w:pgMar w:header="1058" w:footer="1088" w:top="1500" w:bottom="1280" w:left="360" w:right="360"/>
        </w:sectPr>
      </w:pPr>
    </w:p>
    <w:p>
      <w:pPr>
        <w:pStyle w:val="BodyText"/>
        <w:spacing w:before="255"/>
        <w:ind w:left="1056" w:right="769"/>
      </w:pPr>
      <w:r>
        <w:rPr/>
        <w:t>redevelopment</w:t>
      </w:r>
      <w:r>
        <w:rPr>
          <w:spacing w:val="-1"/>
        </w:rPr>
        <w:t> </w:t>
      </w:r>
      <w:r>
        <w:rPr/>
        <w:t>of</w:t>
      </w:r>
      <w:r>
        <w:rPr>
          <w:spacing w:val="-1"/>
        </w:rPr>
        <w:t> </w:t>
      </w:r>
      <w:r>
        <w:rPr/>
        <w:t>the</w:t>
      </w:r>
      <w:r>
        <w:rPr>
          <w:spacing w:val="-4"/>
        </w:rPr>
        <w:t> </w:t>
      </w:r>
      <w:r>
        <w:rPr/>
        <w:t>entire</w:t>
      </w:r>
      <w:r>
        <w:rPr>
          <w:spacing w:val="-1"/>
        </w:rPr>
        <w:t> </w:t>
      </w:r>
      <w:r>
        <w:rPr/>
        <w:t>open</w:t>
      </w:r>
      <w:r>
        <w:rPr>
          <w:spacing w:val="-1"/>
        </w:rPr>
        <w:t> </w:t>
      </w:r>
      <w:r>
        <w:rPr/>
        <w:t>land</w:t>
      </w:r>
      <w:r>
        <w:rPr>
          <w:spacing w:val="-1"/>
        </w:rPr>
        <w:t> </w:t>
      </w:r>
      <w:r>
        <w:rPr/>
        <w:t>and/or</w:t>
      </w:r>
      <w:r>
        <w:rPr>
          <w:spacing w:val="-1"/>
        </w:rPr>
        <w:t> </w:t>
      </w:r>
      <w:r>
        <w:rPr/>
        <w:t>built-up</w:t>
      </w:r>
      <w:r>
        <w:rPr>
          <w:spacing w:val="-1"/>
        </w:rPr>
        <w:t> </w:t>
      </w:r>
      <w:r>
        <w:rPr/>
        <w:t>area</w:t>
      </w:r>
      <w:r>
        <w:rPr>
          <w:spacing w:val="-1"/>
        </w:rPr>
        <w:t> </w:t>
      </w:r>
      <w:r>
        <w:rPr/>
        <w:t>of</w:t>
      </w:r>
      <w:r>
        <w:rPr>
          <w:spacing w:val="-4"/>
        </w:rPr>
        <w:t> </w:t>
      </w:r>
      <w:r>
        <w:rPr/>
        <w:t>the</w:t>
      </w:r>
      <w:r>
        <w:rPr>
          <w:spacing w:val="-1"/>
        </w:rPr>
        <w:t> </w:t>
      </w:r>
      <w:r>
        <w:rPr/>
        <w:t>premises</w:t>
      </w:r>
      <w:r>
        <w:rPr>
          <w:spacing w:val="-1"/>
        </w:rPr>
        <w:t> </w:t>
      </w:r>
      <w:r>
        <w:rPr/>
        <w:t>of</w:t>
      </w:r>
      <w:r>
        <w:rPr>
          <w:spacing w:val="-4"/>
        </w:rPr>
        <w:t> </w:t>
      </w:r>
      <w:r>
        <w:rPr/>
        <w:t>a cotton</w:t>
      </w:r>
      <w:r>
        <w:rPr>
          <w:spacing w:val="-14"/>
        </w:rPr>
        <w:t> </w:t>
      </w:r>
      <w:r>
        <w:rPr/>
        <w:t>textile</w:t>
      </w:r>
      <w:r>
        <w:rPr>
          <w:spacing w:val="-14"/>
        </w:rPr>
        <w:t> </w:t>
      </w:r>
      <w:r>
        <w:rPr/>
        <w:t>mill</w:t>
      </w:r>
      <w:r>
        <w:rPr>
          <w:spacing w:val="-14"/>
        </w:rPr>
        <w:t> </w:t>
      </w:r>
      <w:r>
        <w:rPr/>
        <w:t>which</w:t>
      </w:r>
      <w:r>
        <w:rPr>
          <w:spacing w:val="-14"/>
        </w:rPr>
        <w:t> </w:t>
      </w:r>
      <w:r>
        <w:rPr/>
        <w:t>is</w:t>
      </w:r>
      <w:r>
        <w:rPr>
          <w:spacing w:val="-14"/>
        </w:rPr>
        <w:t> </w:t>
      </w:r>
      <w:r>
        <w:rPr/>
        <w:t>not</w:t>
      </w:r>
      <w:r>
        <w:rPr>
          <w:spacing w:val="-14"/>
        </w:rPr>
        <w:t> </w:t>
      </w:r>
      <w:r>
        <w:rPr/>
        <w:t>sick</w:t>
      </w:r>
      <w:r>
        <w:rPr>
          <w:spacing w:val="-14"/>
        </w:rPr>
        <w:t> </w:t>
      </w:r>
      <w:r>
        <w:rPr/>
        <w:t>or</w:t>
      </w:r>
      <w:r>
        <w:rPr>
          <w:spacing w:val="-14"/>
        </w:rPr>
        <w:t> </w:t>
      </w:r>
      <w:r>
        <w:rPr/>
        <w:t>closed,</w:t>
      </w:r>
      <w:r>
        <w:rPr>
          <w:spacing w:val="-13"/>
        </w:rPr>
        <w:t> </w:t>
      </w:r>
      <w:r>
        <w:rPr/>
        <w:t>but</w:t>
      </w:r>
      <w:r>
        <w:rPr>
          <w:spacing w:val="-14"/>
        </w:rPr>
        <w:t> </w:t>
      </w:r>
      <w:r>
        <w:rPr/>
        <w:t>requiring</w:t>
      </w:r>
      <w:r>
        <w:rPr>
          <w:spacing w:val="-14"/>
        </w:rPr>
        <w:t> </w:t>
      </w:r>
      <w:r>
        <w:rPr/>
        <w:t>modernization</w:t>
      </w:r>
      <w:r>
        <w:rPr>
          <w:spacing w:val="-13"/>
        </w:rPr>
        <w:t> </w:t>
      </w:r>
      <w:r>
        <w:rPr/>
        <w:t>on</w:t>
      </w:r>
      <w:r>
        <w:rPr>
          <w:spacing w:val="-14"/>
        </w:rPr>
        <w:t> </w:t>
      </w:r>
      <w:r>
        <w:rPr/>
        <w:t>the same land as approved by the competent authorities, such development or redevelopment</w:t>
      </w:r>
      <w:r>
        <w:rPr>
          <w:spacing w:val="-8"/>
        </w:rPr>
        <w:t> </w:t>
      </w:r>
      <w:r>
        <w:rPr/>
        <w:t>shall</w:t>
      </w:r>
      <w:r>
        <w:rPr>
          <w:spacing w:val="-8"/>
        </w:rPr>
        <w:t> </w:t>
      </w:r>
      <w:r>
        <w:rPr/>
        <w:t>be</w:t>
      </w:r>
      <w:r>
        <w:rPr>
          <w:spacing w:val="-8"/>
        </w:rPr>
        <w:t> </w:t>
      </w:r>
      <w:r>
        <w:rPr/>
        <w:t>permitted</w:t>
      </w:r>
      <w:r>
        <w:rPr>
          <w:spacing w:val="-8"/>
        </w:rPr>
        <w:t> </w:t>
      </w:r>
      <w:r>
        <w:rPr/>
        <w:t>by</w:t>
      </w:r>
      <w:r>
        <w:rPr>
          <w:spacing w:val="-8"/>
        </w:rPr>
        <w:t> </w:t>
      </w:r>
      <w:r>
        <w:rPr/>
        <w:t>the</w:t>
      </w:r>
      <w:r>
        <w:rPr>
          <w:spacing w:val="-8"/>
        </w:rPr>
        <w:t> </w:t>
      </w:r>
      <w:r>
        <w:rPr/>
        <w:t>Commissioner,</w:t>
      </w:r>
      <w:r>
        <w:rPr>
          <w:spacing w:val="-8"/>
        </w:rPr>
        <w:t> </w:t>
      </w:r>
      <w:r>
        <w:rPr/>
        <w:t>subject</w:t>
      </w:r>
      <w:r>
        <w:rPr>
          <w:spacing w:val="-8"/>
        </w:rPr>
        <w:t> </w:t>
      </w:r>
      <w:r>
        <w:rPr/>
        <w:t>to</w:t>
      </w:r>
      <w:r>
        <w:rPr>
          <w:spacing w:val="-8"/>
        </w:rPr>
        <w:t> </w:t>
      </w:r>
      <w:r>
        <w:rPr/>
        <w:t>the</w:t>
      </w:r>
      <w:r>
        <w:rPr>
          <w:spacing w:val="-8"/>
        </w:rPr>
        <w:t> </w:t>
      </w:r>
      <w:r>
        <w:rPr/>
        <w:t>condition that it shall also be in accordance with scheme approved by Government, provided that, with regards to the utilization of built up area, the provisions of clause (a) of sub-Regulation (1) of this Regulation shall apply.</w:t>
      </w:r>
    </w:p>
    <w:p>
      <w:pPr>
        <w:pStyle w:val="ListParagraph"/>
        <w:numPr>
          <w:ilvl w:val="0"/>
          <w:numId w:val="239"/>
        </w:numPr>
        <w:tabs>
          <w:tab w:pos="1456" w:val="left" w:leader="none"/>
        </w:tabs>
        <w:spacing w:line="240" w:lineRule="auto" w:before="0" w:after="0"/>
        <w:ind w:left="1056" w:right="769" w:firstLine="0"/>
        <w:jc w:val="both"/>
        <w:rPr>
          <w:sz w:val="24"/>
        </w:rPr>
      </w:pPr>
      <w:r>
        <w:rPr>
          <w:b/>
          <w:sz w:val="24"/>
        </w:rPr>
        <w:t>Lands of cotton textile mills after shifting</w:t>
      </w:r>
      <w:r>
        <w:rPr>
          <w:sz w:val="24"/>
        </w:rPr>
        <w:t>--If a cotton textile mill is to be shifted</w:t>
      </w:r>
      <w:r>
        <w:rPr>
          <w:spacing w:val="-11"/>
          <w:sz w:val="24"/>
        </w:rPr>
        <w:t> </w:t>
      </w:r>
      <w:r>
        <w:rPr>
          <w:sz w:val="24"/>
        </w:rPr>
        <w:t>outside</w:t>
      </w:r>
      <w:r>
        <w:rPr>
          <w:spacing w:val="-10"/>
          <w:sz w:val="24"/>
        </w:rPr>
        <w:t> </w:t>
      </w:r>
      <w:r>
        <w:rPr>
          <w:sz w:val="24"/>
        </w:rPr>
        <w:t>Greater</w:t>
      </w:r>
      <w:r>
        <w:rPr>
          <w:spacing w:val="-11"/>
          <w:sz w:val="24"/>
        </w:rPr>
        <w:t> </w:t>
      </w:r>
      <w:r>
        <w:rPr>
          <w:sz w:val="24"/>
        </w:rPr>
        <w:t>Mumbai</w:t>
      </w:r>
      <w:r>
        <w:rPr>
          <w:spacing w:val="-11"/>
          <w:sz w:val="24"/>
        </w:rPr>
        <w:t> </w:t>
      </w:r>
      <w:r>
        <w:rPr>
          <w:sz w:val="24"/>
        </w:rPr>
        <w:t>but</w:t>
      </w:r>
      <w:r>
        <w:rPr>
          <w:spacing w:val="-11"/>
          <w:sz w:val="24"/>
        </w:rPr>
        <w:t> </w:t>
      </w:r>
      <w:r>
        <w:rPr>
          <w:sz w:val="24"/>
        </w:rPr>
        <w:t>within</w:t>
      </w:r>
      <w:r>
        <w:rPr>
          <w:spacing w:val="-11"/>
          <w:sz w:val="24"/>
        </w:rPr>
        <w:t> </w:t>
      </w:r>
      <w:r>
        <w:rPr>
          <w:sz w:val="24"/>
        </w:rPr>
        <w:t>the</w:t>
      </w:r>
      <w:r>
        <w:rPr>
          <w:spacing w:val="-11"/>
          <w:sz w:val="24"/>
        </w:rPr>
        <w:t> </w:t>
      </w:r>
      <w:r>
        <w:rPr>
          <w:sz w:val="24"/>
        </w:rPr>
        <w:t>State,</w:t>
      </w:r>
      <w:r>
        <w:rPr>
          <w:spacing w:val="-11"/>
          <w:sz w:val="24"/>
        </w:rPr>
        <w:t> </w:t>
      </w:r>
      <w:r>
        <w:rPr>
          <w:sz w:val="24"/>
        </w:rPr>
        <w:t>with</w:t>
      </w:r>
      <w:r>
        <w:rPr>
          <w:spacing w:val="-11"/>
          <w:sz w:val="24"/>
        </w:rPr>
        <w:t> </w:t>
      </w:r>
      <w:r>
        <w:rPr>
          <w:sz w:val="24"/>
        </w:rPr>
        <w:t>due</w:t>
      </w:r>
      <w:r>
        <w:rPr>
          <w:spacing w:val="-13"/>
          <w:sz w:val="24"/>
        </w:rPr>
        <w:t> </w:t>
      </w:r>
      <w:r>
        <w:rPr>
          <w:sz w:val="24"/>
        </w:rPr>
        <w:t>permission</w:t>
      </w:r>
      <w:r>
        <w:rPr>
          <w:spacing w:val="-11"/>
          <w:sz w:val="24"/>
        </w:rPr>
        <w:t> </w:t>
      </w:r>
      <w:r>
        <w:rPr>
          <w:sz w:val="24"/>
        </w:rPr>
        <w:t>of</w:t>
      </w:r>
      <w:r>
        <w:rPr>
          <w:spacing w:val="-11"/>
          <w:sz w:val="24"/>
        </w:rPr>
        <w:t> </w:t>
      </w:r>
      <w:r>
        <w:rPr>
          <w:sz w:val="24"/>
        </w:rPr>
        <w:t>the competent authorities, and in accordance with a scheme approved by Government, the provisions of sub-clauses (a) and (b) of Sub-Regulation (1) of this Regulation shall also apply in regard to the development or redevelopment of its land after shifting.</w:t>
      </w:r>
    </w:p>
    <w:p>
      <w:pPr>
        <w:pStyle w:val="BodyText"/>
        <w:spacing w:before="2"/>
        <w:jc w:val="left"/>
      </w:pPr>
    </w:p>
    <w:p>
      <w:pPr>
        <w:pStyle w:val="ListParagraph"/>
        <w:numPr>
          <w:ilvl w:val="0"/>
          <w:numId w:val="239"/>
        </w:numPr>
        <w:tabs>
          <w:tab w:pos="1465" w:val="left" w:leader="none"/>
        </w:tabs>
        <w:spacing w:line="240" w:lineRule="auto" w:before="0" w:after="0"/>
        <w:ind w:left="1056" w:right="769" w:firstLine="0"/>
        <w:jc w:val="both"/>
        <w:rPr>
          <w:sz w:val="24"/>
        </w:rPr>
      </w:pPr>
      <w:r>
        <w:rPr>
          <w:sz w:val="24"/>
        </w:rPr>
        <w:t>The condition of recommendation by the Board of Industrial and Financial Reconstruction</w:t>
      </w:r>
      <w:r>
        <w:rPr>
          <w:spacing w:val="-2"/>
          <w:sz w:val="24"/>
        </w:rPr>
        <w:t> </w:t>
      </w:r>
      <w:r>
        <w:rPr>
          <w:sz w:val="24"/>
        </w:rPr>
        <w:t>(BIFR)</w:t>
      </w:r>
      <w:r>
        <w:rPr>
          <w:spacing w:val="-2"/>
          <w:sz w:val="24"/>
        </w:rPr>
        <w:t> </w:t>
      </w:r>
      <w:r>
        <w:rPr>
          <w:sz w:val="24"/>
        </w:rPr>
        <w:t>shall</w:t>
      </w:r>
      <w:r>
        <w:rPr>
          <w:spacing w:val="-2"/>
          <w:sz w:val="24"/>
        </w:rPr>
        <w:t> </w:t>
      </w:r>
      <w:r>
        <w:rPr>
          <w:sz w:val="24"/>
        </w:rPr>
        <w:t>not</w:t>
      </w:r>
      <w:r>
        <w:rPr>
          <w:spacing w:val="-2"/>
          <w:sz w:val="24"/>
        </w:rPr>
        <w:t> </w:t>
      </w:r>
      <w:r>
        <w:rPr>
          <w:sz w:val="24"/>
        </w:rPr>
        <w:t>be</w:t>
      </w:r>
      <w:r>
        <w:rPr>
          <w:spacing w:val="-2"/>
          <w:sz w:val="24"/>
        </w:rPr>
        <w:t> </w:t>
      </w:r>
      <w:r>
        <w:rPr>
          <w:sz w:val="24"/>
        </w:rPr>
        <w:t>mandatory</w:t>
      </w:r>
      <w:r>
        <w:rPr>
          <w:spacing w:val="-2"/>
          <w:sz w:val="24"/>
        </w:rPr>
        <w:t> </w:t>
      </w:r>
      <w:r>
        <w:rPr>
          <w:sz w:val="24"/>
        </w:rPr>
        <w:t>in</w:t>
      </w:r>
      <w:r>
        <w:rPr>
          <w:spacing w:val="-2"/>
          <w:sz w:val="24"/>
        </w:rPr>
        <w:t> </w:t>
      </w:r>
      <w:r>
        <w:rPr>
          <w:sz w:val="24"/>
        </w:rPr>
        <w:t>the</w:t>
      </w:r>
      <w:r>
        <w:rPr>
          <w:spacing w:val="-1"/>
          <w:sz w:val="24"/>
        </w:rPr>
        <w:t> </w:t>
      </w:r>
      <w:r>
        <w:rPr>
          <w:sz w:val="24"/>
        </w:rPr>
        <w:t>case</w:t>
      </w:r>
      <w:r>
        <w:rPr>
          <w:spacing w:val="-2"/>
          <w:sz w:val="24"/>
        </w:rPr>
        <w:t> </w:t>
      </w:r>
      <w:r>
        <w:rPr>
          <w:sz w:val="24"/>
        </w:rPr>
        <w:t>of the</w:t>
      </w:r>
      <w:r>
        <w:rPr>
          <w:spacing w:val="-2"/>
          <w:sz w:val="24"/>
        </w:rPr>
        <w:t> </w:t>
      </w:r>
      <w:r>
        <w:rPr>
          <w:sz w:val="24"/>
        </w:rPr>
        <w:t>type</w:t>
      </w:r>
      <w:r>
        <w:rPr>
          <w:spacing w:val="-2"/>
          <w:sz w:val="24"/>
        </w:rPr>
        <w:t> </w:t>
      </w:r>
      <w:r>
        <w:rPr>
          <w:sz w:val="24"/>
        </w:rPr>
        <w:t>referred</w:t>
      </w:r>
      <w:r>
        <w:rPr>
          <w:spacing w:val="-2"/>
          <w:sz w:val="24"/>
        </w:rPr>
        <w:t> </w:t>
      </w:r>
      <w:r>
        <w:rPr>
          <w:sz w:val="24"/>
        </w:rPr>
        <w:t>to in sub-Regulations (2) and (3) above.</w:t>
      </w:r>
    </w:p>
    <w:p>
      <w:pPr>
        <w:pStyle w:val="ListParagraph"/>
        <w:numPr>
          <w:ilvl w:val="0"/>
          <w:numId w:val="239"/>
        </w:numPr>
        <w:tabs>
          <w:tab w:pos="1495" w:val="left" w:leader="none"/>
        </w:tabs>
        <w:spacing w:line="240" w:lineRule="auto" w:before="280" w:after="0"/>
        <w:ind w:left="1056" w:right="770" w:firstLine="0"/>
        <w:jc w:val="both"/>
        <w:rPr>
          <w:sz w:val="24"/>
        </w:rPr>
      </w:pPr>
      <w:r>
        <w:rPr>
          <w:sz w:val="24"/>
        </w:rPr>
        <w:t>Notwithstanding anything contained above, the Commissioner may allow additional development to the extent of the balance FSI on open lands or otherwise by the cotton textile mill itself for the same cotton textile or related </w:t>
      </w:r>
      <w:r>
        <w:rPr>
          <w:spacing w:val="-4"/>
          <w:sz w:val="24"/>
        </w:rPr>
        <w:t>use.</w:t>
      </w:r>
    </w:p>
    <w:p>
      <w:pPr>
        <w:pStyle w:val="BodyText"/>
        <w:jc w:val="left"/>
      </w:pPr>
    </w:p>
    <w:p>
      <w:pPr>
        <w:pStyle w:val="ListParagraph"/>
        <w:numPr>
          <w:ilvl w:val="0"/>
          <w:numId w:val="239"/>
        </w:numPr>
        <w:tabs>
          <w:tab w:pos="1482" w:val="left" w:leader="none"/>
        </w:tabs>
        <w:spacing w:line="240" w:lineRule="auto" w:before="0" w:after="0"/>
        <w:ind w:left="1056" w:right="770" w:firstLine="0"/>
        <w:jc w:val="both"/>
        <w:rPr>
          <w:sz w:val="24"/>
        </w:rPr>
      </w:pPr>
      <w:r>
        <w:rPr>
          <w:sz w:val="24"/>
        </w:rPr>
        <w:t>With the previous approval of the Commissioner to a layout prepared for development or redevelopment of the entire open land and/or built up area of the premises of a cotton textile mill which is either sick and/or closed or requiring modernization on the same land, the Commissioner may allow:--</w:t>
      </w:r>
    </w:p>
    <w:p>
      <w:pPr>
        <w:pStyle w:val="ListParagraph"/>
        <w:numPr>
          <w:ilvl w:val="1"/>
          <w:numId w:val="239"/>
        </w:numPr>
        <w:tabs>
          <w:tab w:pos="1415" w:val="left" w:leader="none"/>
        </w:tabs>
        <w:spacing w:line="240" w:lineRule="auto" w:before="2" w:after="0"/>
        <w:ind w:left="1056" w:right="768" w:firstLine="0"/>
        <w:jc w:val="both"/>
        <w:rPr>
          <w:sz w:val="24"/>
        </w:rPr>
      </w:pPr>
      <w:r>
        <w:rPr>
          <w:sz w:val="24"/>
        </w:rPr>
        <w:t>Reconstruction</w:t>
      </w:r>
      <w:r>
        <w:rPr>
          <w:spacing w:val="-4"/>
          <w:sz w:val="24"/>
        </w:rPr>
        <w:t> </w:t>
      </w:r>
      <w:r>
        <w:rPr>
          <w:sz w:val="24"/>
        </w:rPr>
        <w:t>after</w:t>
      </w:r>
      <w:r>
        <w:rPr>
          <w:spacing w:val="-4"/>
          <w:sz w:val="24"/>
        </w:rPr>
        <w:t> </w:t>
      </w:r>
      <w:r>
        <w:rPr>
          <w:sz w:val="24"/>
        </w:rPr>
        <w:t>demolition</w:t>
      </w:r>
      <w:r>
        <w:rPr>
          <w:spacing w:val="-4"/>
          <w:sz w:val="24"/>
        </w:rPr>
        <w:t> </w:t>
      </w:r>
      <w:r>
        <w:rPr>
          <w:sz w:val="24"/>
        </w:rPr>
        <w:t>of</w:t>
      </w:r>
      <w:r>
        <w:rPr>
          <w:spacing w:val="-4"/>
          <w:sz w:val="24"/>
        </w:rPr>
        <w:t> </w:t>
      </w:r>
      <w:r>
        <w:rPr>
          <w:sz w:val="24"/>
        </w:rPr>
        <w:t>existing</w:t>
      </w:r>
      <w:r>
        <w:rPr>
          <w:spacing w:val="-4"/>
          <w:sz w:val="24"/>
        </w:rPr>
        <w:t> </w:t>
      </w:r>
      <w:r>
        <w:rPr>
          <w:sz w:val="24"/>
        </w:rPr>
        <w:t>structures</w:t>
      </w:r>
      <w:r>
        <w:rPr>
          <w:spacing w:val="-4"/>
          <w:sz w:val="24"/>
        </w:rPr>
        <w:t> </w:t>
      </w:r>
      <w:r>
        <w:rPr>
          <w:sz w:val="24"/>
        </w:rPr>
        <w:t>limited</w:t>
      </w:r>
      <w:r>
        <w:rPr>
          <w:spacing w:val="-4"/>
          <w:sz w:val="24"/>
        </w:rPr>
        <w:t> </w:t>
      </w:r>
      <w:r>
        <w:rPr>
          <w:sz w:val="24"/>
        </w:rPr>
        <w:t>to</w:t>
      </w:r>
      <w:r>
        <w:rPr>
          <w:spacing w:val="-4"/>
          <w:sz w:val="24"/>
        </w:rPr>
        <w:t> </w:t>
      </w:r>
      <w:r>
        <w:rPr>
          <w:sz w:val="24"/>
        </w:rPr>
        <w:t>the</w:t>
      </w:r>
      <w:r>
        <w:rPr>
          <w:spacing w:val="-3"/>
          <w:sz w:val="24"/>
        </w:rPr>
        <w:t> </w:t>
      </w:r>
      <w:r>
        <w:rPr>
          <w:sz w:val="24"/>
        </w:rPr>
        <w:t>extent</w:t>
      </w:r>
      <w:r>
        <w:rPr>
          <w:spacing w:val="-4"/>
          <w:sz w:val="24"/>
        </w:rPr>
        <w:t> </w:t>
      </w:r>
      <w:r>
        <w:rPr>
          <w:sz w:val="24"/>
        </w:rPr>
        <w:t>of the built up area of the demolished structures, including by aggregating in one or more structures the built up areas of the demolished structures;</w:t>
      </w:r>
    </w:p>
    <w:p>
      <w:pPr>
        <w:spacing w:line="276" w:lineRule="auto" w:before="0"/>
        <w:ind w:left="1044" w:right="773" w:firstLine="0"/>
        <w:jc w:val="both"/>
        <w:rPr>
          <w:sz w:val="22"/>
        </w:rPr>
      </w:pPr>
      <w:r>
        <w:rPr>
          <w:sz w:val="22"/>
        </w:rPr>
        <w:t>Multi-mills aggregation of</w:t>
      </w:r>
      <w:r>
        <w:rPr>
          <w:spacing w:val="-1"/>
          <w:sz w:val="22"/>
        </w:rPr>
        <w:t> </w:t>
      </w:r>
      <w:r>
        <w:rPr>
          <w:sz w:val="22"/>
        </w:rPr>
        <w:t>the built-up areas</w:t>
      </w:r>
      <w:r>
        <w:rPr>
          <w:spacing w:val="-2"/>
          <w:sz w:val="22"/>
        </w:rPr>
        <w:t> </w:t>
      </w:r>
      <w:r>
        <w:rPr>
          <w:sz w:val="22"/>
        </w:rPr>
        <w:t>of</w:t>
      </w:r>
      <w:r>
        <w:rPr>
          <w:spacing w:val="-3"/>
          <w:sz w:val="22"/>
        </w:rPr>
        <w:t> </w:t>
      </w:r>
      <w:r>
        <w:rPr>
          <w:sz w:val="22"/>
        </w:rPr>
        <w:t>existing structures</w:t>
      </w:r>
      <w:r>
        <w:rPr>
          <w:spacing w:val="-4"/>
          <w:sz w:val="22"/>
        </w:rPr>
        <w:t> </w:t>
      </w:r>
      <w:r>
        <w:rPr>
          <w:sz w:val="22"/>
        </w:rPr>
        <w:t>where an integrated scheme for demolition and reconstruction of the existing structures of more than one mill, whether under common ownership or otherwise, is duly submitted, provided that FSI is in balance in the receiving mill land.</w:t>
      </w:r>
    </w:p>
    <w:p>
      <w:pPr>
        <w:spacing w:before="199"/>
        <w:ind w:left="1044" w:right="842" w:firstLine="0"/>
        <w:jc w:val="both"/>
        <w:rPr>
          <w:b/>
          <w:sz w:val="24"/>
        </w:rPr>
      </w:pPr>
      <w:r>
        <w:rPr>
          <w:sz w:val="22"/>
        </w:rPr>
        <w:t>Provided further that FSI on each individual plot of integrated scheme of mill land as per column no 5</w:t>
      </w:r>
      <w:r>
        <w:rPr>
          <w:spacing w:val="40"/>
          <w:sz w:val="22"/>
        </w:rPr>
        <w:t> </w:t>
      </w:r>
      <w:r>
        <w:rPr>
          <w:sz w:val="22"/>
        </w:rPr>
        <w:t>of table of sub-regulation 1(b) above (excluding the area of notional plot of residential buildings/chawls located on the lands of Cotton Textile Mills if any) shall not exceed 4. </w:t>
      </w:r>
      <w:r>
        <w:rPr>
          <w:b/>
          <w:sz w:val="24"/>
        </w:rPr>
        <w:t>( Clause 6(b)kept in abeyance)</w:t>
      </w:r>
    </w:p>
    <w:p>
      <w:pPr>
        <w:pStyle w:val="BodyText"/>
        <w:spacing w:before="121"/>
        <w:jc w:val="left"/>
        <w:rPr>
          <w:b/>
          <w:sz w:val="22"/>
        </w:rPr>
      </w:pPr>
    </w:p>
    <w:p>
      <w:pPr>
        <w:pStyle w:val="ListParagraph"/>
        <w:numPr>
          <w:ilvl w:val="0"/>
          <w:numId w:val="239"/>
        </w:numPr>
        <w:tabs>
          <w:tab w:pos="1444" w:val="left" w:leader="none"/>
        </w:tabs>
        <w:spacing w:line="281" w:lineRule="exact" w:before="0" w:after="0"/>
        <w:ind w:left="1444" w:right="0" w:hanging="388"/>
        <w:jc w:val="both"/>
        <w:rPr>
          <w:sz w:val="24"/>
        </w:rPr>
      </w:pPr>
      <w:r>
        <w:rPr>
          <w:sz w:val="24"/>
        </w:rPr>
        <w:t>Notwithstanding</w:t>
      </w:r>
      <w:r>
        <w:rPr>
          <w:spacing w:val="-3"/>
          <w:sz w:val="24"/>
        </w:rPr>
        <w:t> </w:t>
      </w:r>
      <w:r>
        <w:rPr>
          <w:sz w:val="24"/>
        </w:rPr>
        <w:t>anything</w:t>
      </w:r>
      <w:r>
        <w:rPr>
          <w:spacing w:val="-2"/>
          <w:sz w:val="24"/>
        </w:rPr>
        <w:t> </w:t>
      </w:r>
      <w:r>
        <w:rPr>
          <w:sz w:val="24"/>
        </w:rPr>
        <w:t>contained</w:t>
      </w:r>
      <w:r>
        <w:rPr>
          <w:spacing w:val="-2"/>
          <w:sz w:val="24"/>
        </w:rPr>
        <w:t> </w:t>
      </w:r>
      <w:r>
        <w:rPr>
          <w:sz w:val="24"/>
        </w:rPr>
        <w:t>above--</w:t>
      </w:r>
      <w:r>
        <w:rPr>
          <w:spacing w:val="-10"/>
          <w:sz w:val="24"/>
        </w:rPr>
        <w:t>-</w:t>
      </w:r>
    </w:p>
    <w:p>
      <w:pPr>
        <w:pStyle w:val="ListParagraph"/>
        <w:numPr>
          <w:ilvl w:val="1"/>
          <w:numId w:val="239"/>
        </w:numPr>
        <w:tabs>
          <w:tab w:pos="1508" w:val="left" w:leader="none"/>
        </w:tabs>
        <w:spacing w:line="240" w:lineRule="auto" w:before="0" w:after="0"/>
        <w:ind w:left="1056" w:right="768" w:firstLine="0"/>
        <w:jc w:val="both"/>
        <w:rPr>
          <w:sz w:val="24"/>
        </w:rPr>
      </w:pPr>
      <w:r>
        <w:rPr>
          <w:sz w:val="24"/>
        </w:rPr>
        <w:t>if and when the built up areas of a cotton textile mill occupied for residential/residential</w:t>
      </w:r>
      <w:r>
        <w:rPr>
          <w:spacing w:val="-20"/>
          <w:sz w:val="24"/>
        </w:rPr>
        <w:t> </w:t>
      </w:r>
      <w:r>
        <w:rPr>
          <w:sz w:val="24"/>
        </w:rPr>
        <w:t>cum</w:t>
      </w:r>
      <w:r>
        <w:rPr>
          <w:spacing w:val="-19"/>
          <w:sz w:val="24"/>
        </w:rPr>
        <w:t> </w:t>
      </w:r>
      <w:r>
        <w:rPr>
          <w:sz w:val="24"/>
        </w:rPr>
        <w:t>commercial</w:t>
      </w:r>
      <w:r>
        <w:rPr>
          <w:spacing w:val="24"/>
          <w:sz w:val="24"/>
        </w:rPr>
        <w:t> </w:t>
      </w:r>
      <w:r>
        <w:rPr>
          <w:sz w:val="24"/>
        </w:rPr>
        <w:t>purposes</w:t>
      </w:r>
      <w:r>
        <w:rPr>
          <w:spacing w:val="-20"/>
          <w:sz w:val="24"/>
        </w:rPr>
        <w:t> </w:t>
      </w:r>
      <w:r>
        <w:rPr>
          <w:sz w:val="24"/>
        </w:rPr>
        <w:t>as</w:t>
      </w:r>
      <w:r>
        <w:rPr>
          <w:spacing w:val="-19"/>
          <w:sz w:val="24"/>
        </w:rPr>
        <w:t> </w:t>
      </w:r>
      <w:r>
        <w:rPr>
          <w:sz w:val="24"/>
        </w:rPr>
        <w:t>on</w:t>
      </w:r>
      <w:r>
        <w:rPr>
          <w:spacing w:val="-19"/>
          <w:sz w:val="24"/>
        </w:rPr>
        <w:t> </w:t>
      </w:r>
      <w:r>
        <w:rPr>
          <w:sz w:val="24"/>
        </w:rPr>
        <w:t>the</w:t>
      </w:r>
      <w:r>
        <w:rPr>
          <w:spacing w:val="-19"/>
          <w:sz w:val="24"/>
        </w:rPr>
        <w:t> </w:t>
      </w:r>
      <w:r>
        <w:rPr>
          <w:sz w:val="24"/>
        </w:rPr>
        <w:t>1st</w:t>
      </w:r>
      <w:r>
        <w:rPr>
          <w:spacing w:val="-19"/>
          <w:sz w:val="24"/>
        </w:rPr>
        <w:t> </w:t>
      </w:r>
      <w:r>
        <w:rPr>
          <w:sz w:val="24"/>
        </w:rPr>
        <w:t>of</w:t>
      </w:r>
      <w:r>
        <w:rPr>
          <w:spacing w:val="-19"/>
          <w:sz w:val="24"/>
        </w:rPr>
        <w:t> </w:t>
      </w:r>
      <w:r>
        <w:rPr>
          <w:sz w:val="24"/>
        </w:rPr>
        <w:t>January,</w:t>
      </w:r>
      <w:r>
        <w:rPr>
          <w:spacing w:val="-20"/>
          <w:sz w:val="24"/>
        </w:rPr>
        <w:t> </w:t>
      </w:r>
      <w:r>
        <w:rPr>
          <w:sz w:val="24"/>
        </w:rPr>
        <w:t>2000 developed or redeveloped, it shall be obligatory on the part of the land owner to provide</w:t>
      </w:r>
      <w:r>
        <w:rPr>
          <w:spacing w:val="-10"/>
          <w:sz w:val="24"/>
        </w:rPr>
        <w:t> </w:t>
      </w:r>
      <w:r>
        <w:rPr>
          <w:sz w:val="24"/>
        </w:rPr>
        <w:t>to</w:t>
      </w:r>
      <w:r>
        <w:rPr>
          <w:spacing w:val="-10"/>
          <w:sz w:val="24"/>
        </w:rPr>
        <w:t> </w:t>
      </w:r>
      <w:r>
        <w:rPr>
          <w:sz w:val="24"/>
        </w:rPr>
        <w:t>the</w:t>
      </w:r>
      <w:r>
        <w:rPr>
          <w:spacing w:val="-10"/>
          <w:sz w:val="24"/>
        </w:rPr>
        <w:t> </w:t>
      </w:r>
      <w:r>
        <w:rPr>
          <w:sz w:val="24"/>
        </w:rPr>
        <w:t>occupants</w:t>
      </w:r>
      <w:r>
        <w:rPr>
          <w:spacing w:val="-10"/>
          <w:sz w:val="24"/>
        </w:rPr>
        <w:t> </w:t>
      </w:r>
      <w:r>
        <w:rPr>
          <w:sz w:val="24"/>
        </w:rPr>
        <w:t>in</w:t>
      </w:r>
      <w:r>
        <w:rPr>
          <w:spacing w:val="-10"/>
          <w:sz w:val="24"/>
        </w:rPr>
        <w:t> </w:t>
      </w:r>
      <w:r>
        <w:rPr>
          <w:sz w:val="24"/>
        </w:rPr>
        <w:t>lieu</w:t>
      </w:r>
      <w:r>
        <w:rPr>
          <w:spacing w:val="-10"/>
          <w:sz w:val="24"/>
        </w:rPr>
        <w:t> </w:t>
      </w:r>
      <w:r>
        <w:rPr>
          <w:sz w:val="24"/>
        </w:rPr>
        <w:t>of</w:t>
      </w:r>
      <w:r>
        <w:rPr>
          <w:spacing w:val="-10"/>
          <w:sz w:val="24"/>
        </w:rPr>
        <w:t> </w:t>
      </w:r>
      <w:r>
        <w:rPr>
          <w:sz w:val="24"/>
        </w:rPr>
        <w:t>each</w:t>
      </w:r>
      <w:r>
        <w:rPr>
          <w:spacing w:val="-10"/>
          <w:sz w:val="24"/>
        </w:rPr>
        <w:t> </w:t>
      </w:r>
      <w:r>
        <w:rPr>
          <w:sz w:val="24"/>
        </w:rPr>
        <w:t>tenement</w:t>
      </w:r>
      <w:r>
        <w:rPr>
          <w:spacing w:val="-10"/>
          <w:sz w:val="24"/>
        </w:rPr>
        <w:t> </w:t>
      </w:r>
      <w:r>
        <w:rPr>
          <w:sz w:val="24"/>
        </w:rPr>
        <w:t>covered</w:t>
      </w:r>
      <w:r>
        <w:rPr>
          <w:spacing w:val="-10"/>
          <w:sz w:val="24"/>
        </w:rPr>
        <w:t> </w:t>
      </w:r>
      <w:r>
        <w:rPr>
          <w:sz w:val="24"/>
        </w:rPr>
        <w:t>by</w:t>
      </w:r>
      <w:r>
        <w:rPr>
          <w:spacing w:val="-10"/>
          <w:sz w:val="24"/>
        </w:rPr>
        <w:t> </w:t>
      </w:r>
      <w:r>
        <w:rPr>
          <w:sz w:val="24"/>
        </w:rPr>
        <w:t>the</w:t>
      </w:r>
      <w:r>
        <w:rPr>
          <w:spacing w:val="-10"/>
          <w:sz w:val="24"/>
        </w:rPr>
        <w:t> </w:t>
      </w:r>
      <w:r>
        <w:rPr>
          <w:sz w:val="24"/>
        </w:rPr>
        <w:t>development</w:t>
      </w:r>
      <w:r>
        <w:rPr>
          <w:spacing w:val="-10"/>
          <w:sz w:val="24"/>
        </w:rPr>
        <w:t> </w:t>
      </w:r>
      <w:r>
        <w:rPr>
          <w:sz w:val="24"/>
        </w:rPr>
        <w:t>or redevelopment scheme, free of cost, an alternative tenement of the size of</w:t>
      </w:r>
      <w:r>
        <w:rPr>
          <w:spacing w:val="80"/>
          <w:w w:val="150"/>
          <w:sz w:val="24"/>
        </w:rPr>
        <w:t> </w:t>
      </w:r>
      <w:r>
        <w:rPr>
          <w:sz w:val="24"/>
        </w:rPr>
        <w:t>405 sq</w:t>
      </w:r>
      <w:r>
        <w:rPr>
          <w:spacing w:val="-14"/>
          <w:sz w:val="24"/>
        </w:rPr>
        <w:t> </w:t>
      </w:r>
      <w:r>
        <w:rPr>
          <w:sz w:val="24"/>
        </w:rPr>
        <w:t>ft</w:t>
      </w:r>
      <w:r>
        <w:rPr>
          <w:spacing w:val="-14"/>
          <w:sz w:val="24"/>
        </w:rPr>
        <w:t> </w:t>
      </w:r>
      <w:r>
        <w:rPr>
          <w:sz w:val="24"/>
        </w:rPr>
        <w:t>carpet</w:t>
      </w:r>
      <w:r>
        <w:rPr>
          <w:spacing w:val="-14"/>
          <w:sz w:val="24"/>
        </w:rPr>
        <w:t> </w:t>
      </w:r>
      <w:r>
        <w:rPr>
          <w:sz w:val="24"/>
        </w:rPr>
        <w:t>area;</w:t>
      </w:r>
      <w:r>
        <w:rPr>
          <w:spacing w:val="-12"/>
          <w:sz w:val="24"/>
        </w:rPr>
        <w:t> </w:t>
      </w:r>
      <w:r>
        <w:rPr>
          <w:sz w:val="24"/>
        </w:rPr>
        <w:t>Provided</w:t>
      </w:r>
      <w:r>
        <w:rPr>
          <w:spacing w:val="-14"/>
          <w:sz w:val="24"/>
        </w:rPr>
        <w:t> </w:t>
      </w:r>
      <w:r>
        <w:rPr>
          <w:sz w:val="24"/>
        </w:rPr>
        <w:t>that</w:t>
      </w:r>
      <w:r>
        <w:rPr>
          <w:spacing w:val="-14"/>
          <w:sz w:val="24"/>
        </w:rPr>
        <w:t> </w:t>
      </w:r>
      <w:r>
        <w:rPr>
          <w:sz w:val="24"/>
        </w:rPr>
        <w:t>no</w:t>
      </w:r>
      <w:r>
        <w:rPr>
          <w:spacing w:val="-14"/>
          <w:sz w:val="24"/>
        </w:rPr>
        <w:t> </w:t>
      </w:r>
      <w:r>
        <w:rPr>
          <w:sz w:val="24"/>
        </w:rPr>
        <w:t>such</w:t>
      </w:r>
      <w:r>
        <w:rPr>
          <w:spacing w:val="-11"/>
          <w:sz w:val="24"/>
        </w:rPr>
        <w:t> </w:t>
      </w:r>
      <w:r>
        <w:rPr>
          <w:sz w:val="24"/>
        </w:rPr>
        <w:t>occupants</w:t>
      </w:r>
      <w:r>
        <w:rPr>
          <w:spacing w:val="-14"/>
          <w:sz w:val="24"/>
        </w:rPr>
        <w:t> </w:t>
      </w:r>
      <w:r>
        <w:rPr>
          <w:sz w:val="24"/>
        </w:rPr>
        <w:t>shall</w:t>
      </w:r>
      <w:r>
        <w:rPr>
          <w:spacing w:val="-14"/>
          <w:sz w:val="24"/>
        </w:rPr>
        <w:t> </w:t>
      </w:r>
      <w:r>
        <w:rPr>
          <w:sz w:val="24"/>
        </w:rPr>
        <w:t>be</w:t>
      </w:r>
      <w:r>
        <w:rPr>
          <w:spacing w:val="-14"/>
          <w:sz w:val="24"/>
        </w:rPr>
        <w:t> </w:t>
      </w:r>
      <w:r>
        <w:rPr>
          <w:sz w:val="24"/>
        </w:rPr>
        <w:t>evicted</w:t>
      </w:r>
      <w:r>
        <w:rPr>
          <w:spacing w:val="-14"/>
          <w:sz w:val="24"/>
        </w:rPr>
        <w:t> </w:t>
      </w:r>
      <w:r>
        <w:rPr>
          <w:sz w:val="24"/>
        </w:rPr>
        <w:t>till</w:t>
      </w:r>
      <w:r>
        <w:rPr>
          <w:spacing w:val="-13"/>
          <w:sz w:val="24"/>
        </w:rPr>
        <w:t> </w:t>
      </w:r>
      <w:r>
        <w:rPr>
          <w:sz w:val="24"/>
        </w:rPr>
        <w:t>such</w:t>
      </w:r>
      <w:r>
        <w:rPr>
          <w:spacing w:val="-14"/>
          <w:sz w:val="24"/>
        </w:rPr>
        <w:t> </w:t>
      </w:r>
      <w:r>
        <w:rPr>
          <w:sz w:val="24"/>
        </w:rPr>
        <w:t>time,</w:t>
      </w:r>
    </w:p>
    <w:p>
      <w:pPr>
        <w:pStyle w:val="ListParagraph"/>
        <w:spacing w:after="0" w:line="240" w:lineRule="auto"/>
        <w:jc w:val="both"/>
        <w:rPr>
          <w:sz w:val="24"/>
        </w:rPr>
        <w:sectPr>
          <w:pgSz w:w="11910" w:h="16840"/>
          <w:pgMar w:header="1058" w:footer="1088" w:top="1500" w:bottom="1280" w:left="360" w:right="360"/>
        </w:sectPr>
      </w:pPr>
    </w:p>
    <w:p>
      <w:pPr>
        <w:pStyle w:val="BodyText"/>
        <w:spacing w:before="255"/>
        <w:ind w:left="1056" w:right="771"/>
      </w:pPr>
      <w:r>
        <w:rPr/>
        <w:t>he/she is provided with alternative accommodation of the size</w:t>
      </w:r>
      <w:r>
        <w:rPr>
          <w:spacing w:val="40"/>
        </w:rPr>
        <w:t> </w:t>
      </w:r>
      <w:r>
        <w:rPr/>
        <w:t>405 sq ft carpet area in such development or redevelopment scheme. However, fungible compensatory area as permissible as per Regulation No 31(3) on the rehab component shall not be allowed for residential/ residential cum commercial. Fungible compensatory area as permissible as per Regulation No 31(3) shall be allowed only for non residential units or existing authorized area.</w:t>
      </w:r>
    </w:p>
    <w:p>
      <w:pPr>
        <w:pStyle w:val="BodyText"/>
        <w:spacing w:before="1"/>
        <w:ind w:left="1056" w:right="768"/>
      </w:pPr>
      <w:r>
        <w:rPr/>
        <w:t>For reconstruction/redevelopment to be undertaken by landlord/or Co-</w:t>
      </w:r>
      <w:r>
        <w:rPr/>
        <w:t>op. Housing society of occupiers in respect of residential buildings/chawls located on the lands of Cotton Textile Mills, the following conditions shall apply.</w:t>
      </w:r>
    </w:p>
    <w:p>
      <w:pPr>
        <w:pStyle w:val="ListParagraph"/>
        <w:numPr>
          <w:ilvl w:val="0"/>
          <w:numId w:val="241"/>
        </w:numPr>
        <w:tabs>
          <w:tab w:pos="1311" w:val="left" w:leader="none"/>
        </w:tabs>
        <w:spacing w:line="240" w:lineRule="auto" w:before="0" w:after="0"/>
        <w:ind w:left="1056" w:right="772" w:firstLine="0"/>
        <w:jc w:val="both"/>
        <w:rPr>
          <w:sz w:val="24"/>
        </w:rPr>
      </w:pPr>
      <w:r>
        <w:rPr>
          <w:sz w:val="24"/>
        </w:rPr>
        <w:t>In case of redevelopment of buildings occupying part of larger holding, the notional area of plot on the basis ofZonal (basic)FSI and the total built up area of</w:t>
      </w:r>
      <w:r>
        <w:rPr>
          <w:spacing w:val="-6"/>
          <w:sz w:val="24"/>
        </w:rPr>
        <w:t> </w:t>
      </w:r>
      <w:r>
        <w:rPr>
          <w:sz w:val="24"/>
        </w:rPr>
        <w:t>the</w:t>
      </w:r>
      <w:r>
        <w:rPr>
          <w:spacing w:val="-6"/>
          <w:sz w:val="24"/>
        </w:rPr>
        <w:t> </w:t>
      </w:r>
      <w:r>
        <w:rPr>
          <w:sz w:val="24"/>
        </w:rPr>
        <w:t>building</w:t>
      </w:r>
      <w:r>
        <w:rPr>
          <w:spacing w:val="-6"/>
          <w:sz w:val="24"/>
        </w:rPr>
        <w:t> </w:t>
      </w:r>
      <w:r>
        <w:rPr>
          <w:sz w:val="24"/>
        </w:rPr>
        <w:t>shall</w:t>
      </w:r>
      <w:r>
        <w:rPr>
          <w:spacing w:val="-6"/>
          <w:sz w:val="24"/>
        </w:rPr>
        <w:t> </w:t>
      </w:r>
      <w:r>
        <w:rPr>
          <w:sz w:val="24"/>
        </w:rPr>
        <w:t>be</w:t>
      </w:r>
      <w:r>
        <w:rPr>
          <w:spacing w:val="-5"/>
          <w:sz w:val="24"/>
        </w:rPr>
        <w:t> </w:t>
      </w:r>
      <w:r>
        <w:rPr>
          <w:sz w:val="24"/>
        </w:rPr>
        <w:t>computed</w:t>
      </w:r>
      <w:r>
        <w:rPr>
          <w:spacing w:val="-6"/>
          <w:sz w:val="24"/>
        </w:rPr>
        <w:t> </w:t>
      </w:r>
      <w:r>
        <w:rPr>
          <w:sz w:val="24"/>
        </w:rPr>
        <w:t>and</w:t>
      </w:r>
      <w:r>
        <w:rPr>
          <w:spacing w:val="-6"/>
          <w:sz w:val="24"/>
        </w:rPr>
        <w:t> </w:t>
      </w:r>
      <w:r>
        <w:rPr>
          <w:sz w:val="24"/>
        </w:rPr>
        <w:t>thereafter</w:t>
      </w:r>
      <w:r>
        <w:rPr>
          <w:spacing w:val="-6"/>
          <w:sz w:val="24"/>
        </w:rPr>
        <w:t> </w:t>
      </w:r>
      <w:r>
        <w:rPr>
          <w:sz w:val="24"/>
        </w:rPr>
        <w:t>considering</w:t>
      </w:r>
      <w:r>
        <w:rPr>
          <w:spacing w:val="-6"/>
          <w:sz w:val="24"/>
        </w:rPr>
        <w:t> </w:t>
      </w:r>
      <w:r>
        <w:rPr>
          <w:sz w:val="24"/>
        </w:rPr>
        <w:t>such</w:t>
      </w:r>
      <w:r>
        <w:rPr>
          <w:spacing w:val="-6"/>
          <w:sz w:val="24"/>
        </w:rPr>
        <w:t> </w:t>
      </w:r>
      <w:r>
        <w:rPr>
          <w:sz w:val="24"/>
        </w:rPr>
        <w:t>notional</w:t>
      </w:r>
      <w:r>
        <w:rPr>
          <w:spacing w:val="-6"/>
          <w:sz w:val="24"/>
        </w:rPr>
        <w:t> </w:t>
      </w:r>
      <w:r>
        <w:rPr>
          <w:sz w:val="24"/>
        </w:rPr>
        <w:t>area of the plot, FSI of 4.0 shall be allowed.</w:t>
      </w:r>
    </w:p>
    <w:p>
      <w:pPr>
        <w:pStyle w:val="BodyText"/>
        <w:spacing w:before="1"/>
        <w:jc w:val="left"/>
      </w:pPr>
    </w:p>
    <w:p>
      <w:pPr>
        <w:pStyle w:val="ListParagraph"/>
        <w:numPr>
          <w:ilvl w:val="0"/>
          <w:numId w:val="241"/>
        </w:numPr>
        <w:tabs>
          <w:tab w:pos="1348" w:val="left" w:leader="none"/>
        </w:tabs>
        <w:spacing w:line="280" w:lineRule="exact" w:before="0" w:after="0"/>
        <w:ind w:left="1348" w:right="0" w:hanging="292"/>
        <w:jc w:val="both"/>
        <w:rPr>
          <w:sz w:val="24"/>
        </w:rPr>
      </w:pPr>
      <w:r>
        <w:rPr>
          <w:sz w:val="24"/>
        </w:rPr>
        <w:t>The</w:t>
      </w:r>
      <w:r>
        <w:rPr>
          <w:spacing w:val="-2"/>
          <w:sz w:val="24"/>
        </w:rPr>
        <w:t> </w:t>
      </w:r>
      <w:r>
        <w:rPr>
          <w:sz w:val="24"/>
        </w:rPr>
        <w:t>FSI</w:t>
      </w:r>
      <w:r>
        <w:rPr>
          <w:spacing w:val="-1"/>
          <w:sz w:val="24"/>
        </w:rPr>
        <w:t> </w:t>
      </w:r>
      <w:r>
        <w:rPr>
          <w:sz w:val="24"/>
        </w:rPr>
        <w:t>computation</w:t>
      </w:r>
      <w:r>
        <w:rPr>
          <w:spacing w:val="-2"/>
          <w:sz w:val="24"/>
        </w:rPr>
        <w:t> </w:t>
      </w:r>
      <w:r>
        <w:rPr>
          <w:sz w:val="24"/>
        </w:rPr>
        <w:t>of</w:t>
      </w:r>
      <w:r>
        <w:rPr>
          <w:spacing w:val="-2"/>
          <w:sz w:val="24"/>
        </w:rPr>
        <w:t> </w:t>
      </w:r>
      <w:r>
        <w:rPr>
          <w:sz w:val="24"/>
        </w:rPr>
        <w:t>4.00</w:t>
      </w:r>
      <w:r>
        <w:rPr>
          <w:spacing w:val="-1"/>
          <w:sz w:val="24"/>
        </w:rPr>
        <w:t> </w:t>
      </w:r>
      <w:r>
        <w:rPr>
          <w:sz w:val="24"/>
        </w:rPr>
        <w:t>shall</w:t>
      </w:r>
      <w:r>
        <w:rPr>
          <w:spacing w:val="-2"/>
          <w:sz w:val="24"/>
        </w:rPr>
        <w:t> </w:t>
      </w:r>
      <w:r>
        <w:rPr>
          <w:sz w:val="24"/>
        </w:rPr>
        <w:t>be</w:t>
      </w:r>
      <w:r>
        <w:rPr>
          <w:spacing w:val="-2"/>
          <w:sz w:val="24"/>
        </w:rPr>
        <w:t> </w:t>
      </w:r>
      <w:r>
        <w:rPr>
          <w:sz w:val="24"/>
        </w:rPr>
        <w:t>as</w:t>
      </w:r>
      <w:r>
        <w:rPr>
          <w:spacing w:val="-1"/>
          <w:sz w:val="24"/>
        </w:rPr>
        <w:t> </w:t>
      </w:r>
      <w:r>
        <w:rPr>
          <w:spacing w:val="-2"/>
          <w:sz w:val="24"/>
        </w:rPr>
        <w:t>follows:</w:t>
      </w:r>
    </w:p>
    <w:p>
      <w:pPr>
        <w:pStyle w:val="BodyText"/>
        <w:spacing w:line="276" w:lineRule="auto"/>
        <w:ind w:left="1056" w:right="768"/>
      </w:pPr>
      <w:r>
        <w:rPr/>
        <w:t>Rehab area shall be the total built up area required for rehabilitation of all the occupants of residential buildings/chawls with the carpet area of</w:t>
      </w:r>
      <w:r>
        <w:rPr>
          <w:spacing w:val="40"/>
        </w:rPr>
        <w:t> </w:t>
      </w:r>
      <w:r>
        <w:rPr/>
        <w:t>37.63 sq m ( 405sq. ft) each or existing carpet area whichever is more. In case of authorized non-residential occupier existing on 1st January, 2000 the area to be given in the reconstructed building will be equivalent to the area occupied in the old building. Provided further that each eligible residential cum commercial occupant shall be entitled to a tenement of minimum carpet area of</w:t>
      </w:r>
      <w:r>
        <w:rPr>
          <w:spacing w:val="80"/>
        </w:rPr>
        <w:t> </w:t>
      </w:r>
      <w:r>
        <w:rPr/>
        <w:t>37.63 sq. m (( 405 sq. ft.).However, fungible compensatory area as permissible as per Regulation No 31(3) on the rehab component shall not be allowed.</w:t>
      </w:r>
      <w:r>
        <w:rPr>
          <w:spacing w:val="40"/>
        </w:rPr>
        <w:t> </w:t>
      </w:r>
      <w:r>
        <w:rPr/>
        <w:t>for residential/ residential cum commercial. Fungible compensatory area as permissible as per Regulation No 31(3) shall be allowed only</w:t>
      </w:r>
      <w:r>
        <w:rPr>
          <w:spacing w:val="-1"/>
        </w:rPr>
        <w:t> </w:t>
      </w:r>
      <w:r>
        <w:rPr/>
        <w:t>for non residential units or existing authorized area.</w:t>
      </w:r>
    </w:p>
    <w:p>
      <w:pPr>
        <w:pStyle w:val="BodyText"/>
        <w:spacing w:before="200"/>
        <w:ind w:left="1056" w:right="772"/>
      </w:pPr>
      <w:r>
        <w:rPr/>
        <w:t>Difference</w:t>
      </w:r>
      <w:r>
        <w:rPr>
          <w:spacing w:val="-20"/>
        </w:rPr>
        <w:t> </w:t>
      </w:r>
      <w:r>
        <w:rPr/>
        <w:t>between</w:t>
      </w:r>
      <w:r>
        <w:rPr>
          <w:spacing w:val="-19"/>
        </w:rPr>
        <w:t> </w:t>
      </w:r>
      <w:r>
        <w:rPr/>
        <w:t>FSI</w:t>
      </w:r>
      <w:r>
        <w:rPr>
          <w:spacing w:val="-19"/>
        </w:rPr>
        <w:t> </w:t>
      </w:r>
      <w:r>
        <w:rPr/>
        <w:t>4.00</w:t>
      </w:r>
      <w:r>
        <w:rPr>
          <w:spacing w:val="-19"/>
        </w:rPr>
        <w:t> </w:t>
      </w:r>
      <w:r>
        <w:rPr/>
        <w:t>and</w:t>
      </w:r>
      <w:r>
        <w:rPr>
          <w:spacing w:val="-19"/>
        </w:rPr>
        <w:t> </w:t>
      </w:r>
      <w:r>
        <w:rPr/>
        <w:t>FSI</w:t>
      </w:r>
      <w:r>
        <w:rPr>
          <w:spacing w:val="-18"/>
        </w:rPr>
        <w:t> </w:t>
      </w:r>
      <w:r>
        <w:rPr/>
        <w:t>used</w:t>
      </w:r>
      <w:r>
        <w:rPr>
          <w:spacing w:val="-20"/>
        </w:rPr>
        <w:t> </w:t>
      </w:r>
      <w:r>
        <w:rPr/>
        <w:t>for</w:t>
      </w:r>
      <w:r>
        <w:rPr>
          <w:spacing w:val="-19"/>
        </w:rPr>
        <w:t> </w:t>
      </w:r>
      <w:r>
        <w:rPr/>
        <w:t>rehabilitation</w:t>
      </w:r>
      <w:r>
        <w:rPr>
          <w:spacing w:val="-19"/>
        </w:rPr>
        <w:t> </w:t>
      </w:r>
      <w:r>
        <w:rPr/>
        <w:t>of</w:t>
      </w:r>
      <w:r>
        <w:rPr>
          <w:spacing w:val="-16"/>
        </w:rPr>
        <w:t> </w:t>
      </w:r>
      <w:r>
        <w:rPr/>
        <w:t>existing</w:t>
      </w:r>
      <w:r>
        <w:rPr>
          <w:spacing w:val="-19"/>
        </w:rPr>
        <w:t> </w:t>
      </w:r>
      <w:r>
        <w:rPr/>
        <w:t>occupants shall be used and shared as follow:</w:t>
      </w:r>
    </w:p>
    <w:p>
      <w:pPr>
        <w:pStyle w:val="BodyText"/>
        <w:spacing w:before="2"/>
        <w:jc w:val="left"/>
      </w:pPr>
    </w:p>
    <w:p>
      <w:pPr>
        <w:pStyle w:val="ListParagraph"/>
        <w:numPr>
          <w:ilvl w:val="1"/>
          <w:numId w:val="241"/>
        </w:numPr>
        <w:tabs>
          <w:tab w:pos="1343" w:val="left" w:leader="none"/>
        </w:tabs>
        <w:spacing w:line="281" w:lineRule="exact" w:before="1" w:after="0"/>
        <w:ind w:left="1343" w:right="0" w:hanging="287"/>
        <w:jc w:val="both"/>
        <w:rPr>
          <w:sz w:val="24"/>
        </w:rPr>
      </w:pPr>
      <w:r>
        <w:rPr>
          <w:sz w:val="24"/>
        </w:rPr>
        <w:t>Available</w:t>
      </w:r>
      <w:r>
        <w:rPr>
          <w:spacing w:val="-2"/>
          <w:sz w:val="24"/>
        </w:rPr>
        <w:t> </w:t>
      </w:r>
      <w:r>
        <w:rPr>
          <w:sz w:val="24"/>
        </w:rPr>
        <w:t>difference</w:t>
      </w:r>
      <w:r>
        <w:rPr>
          <w:spacing w:val="-1"/>
          <w:sz w:val="24"/>
        </w:rPr>
        <w:t> </w:t>
      </w:r>
      <w:r>
        <w:rPr>
          <w:sz w:val="24"/>
        </w:rPr>
        <w:t>shall</w:t>
      </w:r>
      <w:r>
        <w:rPr>
          <w:spacing w:val="-1"/>
          <w:sz w:val="24"/>
        </w:rPr>
        <w:t> </w:t>
      </w:r>
      <w:r>
        <w:rPr>
          <w:sz w:val="24"/>
        </w:rPr>
        <w:t>be</w:t>
      </w:r>
      <w:r>
        <w:rPr>
          <w:spacing w:val="-2"/>
          <w:sz w:val="24"/>
        </w:rPr>
        <w:t> </w:t>
      </w:r>
      <w:r>
        <w:rPr>
          <w:sz w:val="24"/>
        </w:rPr>
        <w:t>divided</w:t>
      </w:r>
      <w:r>
        <w:rPr>
          <w:spacing w:val="-1"/>
          <w:sz w:val="24"/>
        </w:rPr>
        <w:t> </w:t>
      </w:r>
      <w:r>
        <w:rPr>
          <w:sz w:val="24"/>
        </w:rPr>
        <w:t>into</w:t>
      </w:r>
      <w:r>
        <w:rPr>
          <w:spacing w:val="-1"/>
          <w:sz w:val="24"/>
        </w:rPr>
        <w:t> </w:t>
      </w:r>
      <w:r>
        <w:rPr>
          <w:sz w:val="24"/>
        </w:rPr>
        <w:t>two</w:t>
      </w:r>
      <w:r>
        <w:rPr>
          <w:spacing w:val="-2"/>
          <w:sz w:val="24"/>
        </w:rPr>
        <w:t> </w:t>
      </w:r>
      <w:r>
        <w:rPr>
          <w:sz w:val="24"/>
        </w:rPr>
        <w:t>parts</w:t>
      </w:r>
      <w:r>
        <w:rPr>
          <w:spacing w:val="-1"/>
          <w:sz w:val="24"/>
        </w:rPr>
        <w:t> </w:t>
      </w:r>
      <w:r>
        <w:rPr>
          <w:sz w:val="24"/>
        </w:rPr>
        <w:t>in</w:t>
      </w:r>
      <w:r>
        <w:rPr>
          <w:spacing w:val="-1"/>
          <w:sz w:val="24"/>
        </w:rPr>
        <w:t> </w:t>
      </w:r>
      <w:r>
        <w:rPr>
          <w:sz w:val="24"/>
        </w:rPr>
        <w:t>a</w:t>
      </w:r>
      <w:r>
        <w:rPr>
          <w:spacing w:val="-2"/>
          <w:sz w:val="24"/>
        </w:rPr>
        <w:t> </w:t>
      </w:r>
      <w:r>
        <w:rPr>
          <w:sz w:val="24"/>
        </w:rPr>
        <w:t>ratio</w:t>
      </w:r>
      <w:r>
        <w:rPr>
          <w:spacing w:val="-1"/>
          <w:sz w:val="24"/>
        </w:rPr>
        <w:t> </w:t>
      </w:r>
      <w:r>
        <w:rPr>
          <w:sz w:val="24"/>
        </w:rPr>
        <w:t>of</w:t>
      </w:r>
      <w:r>
        <w:rPr>
          <w:spacing w:val="-1"/>
          <w:sz w:val="24"/>
        </w:rPr>
        <w:t> </w:t>
      </w:r>
      <w:r>
        <w:rPr>
          <w:spacing w:val="-2"/>
          <w:sz w:val="24"/>
        </w:rPr>
        <w:t>1:60.</w:t>
      </w:r>
    </w:p>
    <w:p>
      <w:pPr>
        <w:pStyle w:val="ListParagraph"/>
        <w:numPr>
          <w:ilvl w:val="1"/>
          <w:numId w:val="241"/>
        </w:numPr>
        <w:tabs>
          <w:tab w:pos="1374" w:val="left" w:leader="none"/>
        </w:tabs>
        <w:spacing w:line="240" w:lineRule="auto" w:before="0" w:after="0"/>
        <w:ind w:left="1056" w:right="773" w:firstLine="0"/>
        <w:jc w:val="both"/>
        <w:rPr>
          <w:sz w:val="24"/>
        </w:rPr>
      </w:pPr>
      <w:r>
        <w:rPr>
          <w:sz w:val="24"/>
        </w:rPr>
        <w:t>Out of these two parts, 1.00 shall be constructed by the mill owners in the form</w:t>
      </w:r>
      <w:r>
        <w:rPr>
          <w:spacing w:val="-15"/>
          <w:sz w:val="24"/>
        </w:rPr>
        <w:t> </w:t>
      </w:r>
      <w:r>
        <w:rPr>
          <w:sz w:val="24"/>
        </w:rPr>
        <w:t>ofadditional</w:t>
      </w:r>
      <w:r>
        <w:rPr>
          <w:spacing w:val="-15"/>
          <w:sz w:val="24"/>
        </w:rPr>
        <w:t> </w:t>
      </w:r>
      <w:r>
        <w:rPr>
          <w:sz w:val="24"/>
        </w:rPr>
        <w:t>tenements</w:t>
      </w:r>
      <w:r>
        <w:rPr>
          <w:spacing w:val="-15"/>
          <w:sz w:val="24"/>
        </w:rPr>
        <w:t> </w:t>
      </w:r>
      <w:r>
        <w:rPr>
          <w:sz w:val="24"/>
        </w:rPr>
        <w:t>having</w:t>
      </w:r>
      <w:r>
        <w:rPr>
          <w:spacing w:val="-15"/>
          <w:sz w:val="24"/>
        </w:rPr>
        <w:t> </w:t>
      </w:r>
      <w:r>
        <w:rPr>
          <w:sz w:val="24"/>
        </w:rPr>
        <w:t>27.88</w:t>
      </w:r>
      <w:r>
        <w:rPr>
          <w:spacing w:val="-15"/>
          <w:sz w:val="24"/>
        </w:rPr>
        <w:t> </w:t>
      </w:r>
      <w:r>
        <w:rPr>
          <w:sz w:val="24"/>
        </w:rPr>
        <w:t>sq.</w:t>
      </w:r>
      <w:r>
        <w:rPr>
          <w:spacing w:val="-15"/>
          <w:sz w:val="24"/>
        </w:rPr>
        <w:t> </w:t>
      </w:r>
      <w:r>
        <w:rPr>
          <w:sz w:val="24"/>
        </w:rPr>
        <w:t>m(300</w:t>
      </w:r>
      <w:r>
        <w:rPr>
          <w:spacing w:val="-15"/>
          <w:sz w:val="24"/>
        </w:rPr>
        <w:t> </w:t>
      </w:r>
      <w:r>
        <w:rPr>
          <w:sz w:val="24"/>
        </w:rPr>
        <w:t>sq.</w:t>
      </w:r>
      <w:r>
        <w:rPr>
          <w:spacing w:val="-15"/>
          <w:sz w:val="24"/>
        </w:rPr>
        <w:t> </w:t>
      </w:r>
      <w:r>
        <w:rPr>
          <w:sz w:val="24"/>
        </w:rPr>
        <w:t>ft)</w:t>
      </w:r>
      <w:r>
        <w:rPr>
          <w:spacing w:val="40"/>
          <w:sz w:val="24"/>
        </w:rPr>
        <w:t> </w:t>
      </w:r>
      <w:r>
        <w:rPr>
          <w:sz w:val="24"/>
        </w:rPr>
        <w:t>carpet</w:t>
      </w:r>
      <w:r>
        <w:rPr>
          <w:spacing w:val="-15"/>
          <w:sz w:val="24"/>
        </w:rPr>
        <w:t> </w:t>
      </w:r>
      <w:r>
        <w:rPr>
          <w:sz w:val="24"/>
        </w:rPr>
        <w:t>area</w:t>
      </w:r>
      <w:r>
        <w:rPr>
          <w:spacing w:val="-15"/>
          <w:sz w:val="24"/>
        </w:rPr>
        <w:t> </w:t>
      </w:r>
      <w:r>
        <w:rPr>
          <w:sz w:val="24"/>
        </w:rPr>
        <w:t>each</w:t>
      </w:r>
      <w:r>
        <w:rPr>
          <w:spacing w:val="-15"/>
          <w:sz w:val="24"/>
        </w:rPr>
        <w:t> </w:t>
      </w:r>
      <w:r>
        <w:rPr>
          <w:sz w:val="24"/>
        </w:rPr>
        <w:t>and shall be handed over to MHADA/Government and to be used for rehabilitation of mill workers.</w:t>
      </w:r>
    </w:p>
    <w:p>
      <w:pPr>
        <w:pStyle w:val="ListParagraph"/>
        <w:numPr>
          <w:ilvl w:val="1"/>
          <w:numId w:val="241"/>
        </w:numPr>
        <w:tabs>
          <w:tab w:pos="1340" w:val="left" w:leader="none"/>
        </w:tabs>
        <w:spacing w:line="240" w:lineRule="auto" w:before="1" w:after="0"/>
        <w:ind w:left="1056" w:right="773" w:firstLine="0"/>
        <w:jc w:val="both"/>
        <w:rPr>
          <w:sz w:val="24"/>
        </w:rPr>
      </w:pPr>
      <w:r>
        <w:rPr>
          <w:sz w:val="24"/>
        </w:rPr>
        <w:t>The mill owners shall be entitled for FSI of above 0.6parts as stated in (a) in lieu of construction done and handed over to MHADA/Government.</w:t>
      </w:r>
    </w:p>
    <w:p>
      <w:pPr>
        <w:pStyle w:val="ListParagraph"/>
        <w:numPr>
          <w:ilvl w:val="1"/>
          <w:numId w:val="241"/>
        </w:numPr>
        <w:tabs>
          <w:tab w:pos="1518" w:val="left" w:leader="none"/>
        </w:tabs>
        <w:spacing w:line="240" w:lineRule="auto" w:before="0" w:after="0"/>
        <w:ind w:left="1056" w:right="768" w:firstLine="0"/>
        <w:jc w:val="both"/>
        <w:rPr>
          <w:sz w:val="24"/>
        </w:rPr>
      </w:pPr>
      <w:r>
        <w:rPr>
          <w:sz w:val="24"/>
        </w:rPr>
        <w:t>Construction for rehabilitation of all the occupants of residential buildings/chawls shall be done by mill owner. No incentive FSI against such construction shall be given to landlord/or Co-op. Housing society of occupiers.</w:t>
      </w:r>
    </w:p>
    <w:p>
      <w:pPr>
        <w:pStyle w:val="ListParagraph"/>
        <w:numPr>
          <w:ilvl w:val="0"/>
          <w:numId w:val="241"/>
        </w:numPr>
        <w:tabs>
          <w:tab w:pos="1499" w:val="left" w:leader="none"/>
        </w:tabs>
        <w:spacing w:line="240" w:lineRule="auto" w:before="0" w:after="0"/>
        <w:ind w:left="1056" w:right="768" w:firstLine="0"/>
        <w:jc w:val="both"/>
        <w:rPr>
          <w:sz w:val="24"/>
        </w:rPr>
      </w:pPr>
      <w:r>
        <w:rPr>
          <w:sz w:val="24"/>
        </w:rPr>
        <w:t>All the occupant of the old building shall be re-accommodated in the redeveloped building.</w:t>
      </w:r>
    </w:p>
    <w:p>
      <w:pPr>
        <w:pStyle w:val="ListParagraph"/>
        <w:spacing w:after="0" w:line="240" w:lineRule="auto"/>
        <w:jc w:val="both"/>
        <w:rPr>
          <w:sz w:val="24"/>
        </w:rPr>
        <w:sectPr>
          <w:pgSz w:w="11910" w:h="16840"/>
          <w:pgMar w:header="1058" w:footer="1088" w:top="1500" w:bottom="1280" w:left="360" w:right="360"/>
        </w:sectPr>
      </w:pPr>
    </w:p>
    <w:p>
      <w:pPr>
        <w:pStyle w:val="ListParagraph"/>
        <w:numPr>
          <w:ilvl w:val="0"/>
          <w:numId w:val="241"/>
        </w:numPr>
        <w:tabs>
          <w:tab w:pos="1405" w:val="left" w:leader="none"/>
        </w:tabs>
        <w:spacing w:line="240" w:lineRule="auto" w:before="255" w:after="0"/>
        <w:ind w:left="1056" w:right="770" w:firstLine="0"/>
        <w:jc w:val="both"/>
        <w:rPr>
          <w:sz w:val="24"/>
        </w:rPr>
      </w:pPr>
      <w:r>
        <w:rPr>
          <w:sz w:val="24"/>
        </w:rPr>
        <w:t>In case of the case building, the list of occupants and area occupied by each of</w:t>
      </w:r>
      <w:r>
        <w:rPr>
          <w:spacing w:val="-5"/>
          <w:sz w:val="24"/>
        </w:rPr>
        <w:t> </w:t>
      </w:r>
      <w:r>
        <w:rPr>
          <w:sz w:val="24"/>
        </w:rPr>
        <w:t>them</w:t>
      </w:r>
      <w:r>
        <w:rPr>
          <w:spacing w:val="-5"/>
          <w:sz w:val="24"/>
        </w:rPr>
        <w:t> </w:t>
      </w:r>
      <w:r>
        <w:rPr>
          <w:sz w:val="24"/>
        </w:rPr>
        <w:t>in</w:t>
      </w:r>
      <w:r>
        <w:rPr>
          <w:spacing w:val="-5"/>
          <w:sz w:val="24"/>
        </w:rPr>
        <w:t> </w:t>
      </w:r>
      <w:r>
        <w:rPr>
          <w:sz w:val="24"/>
        </w:rPr>
        <w:t>the</w:t>
      </w:r>
      <w:r>
        <w:rPr>
          <w:spacing w:val="-5"/>
          <w:sz w:val="24"/>
        </w:rPr>
        <w:t> </w:t>
      </w:r>
      <w:r>
        <w:rPr>
          <w:sz w:val="24"/>
        </w:rPr>
        <w:t>old</w:t>
      </w:r>
      <w:r>
        <w:rPr>
          <w:spacing w:val="-5"/>
          <w:sz w:val="24"/>
        </w:rPr>
        <w:t> </w:t>
      </w:r>
      <w:r>
        <w:rPr>
          <w:sz w:val="24"/>
        </w:rPr>
        <w:t>building</w:t>
      </w:r>
      <w:r>
        <w:rPr>
          <w:spacing w:val="-5"/>
          <w:sz w:val="24"/>
        </w:rPr>
        <w:t> </w:t>
      </w:r>
      <w:r>
        <w:rPr>
          <w:sz w:val="24"/>
        </w:rPr>
        <w:t>shall</w:t>
      </w:r>
      <w:r>
        <w:rPr>
          <w:spacing w:val="-5"/>
          <w:sz w:val="24"/>
        </w:rPr>
        <w:t> </w:t>
      </w:r>
      <w:r>
        <w:rPr>
          <w:sz w:val="24"/>
        </w:rPr>
        <w:t>be</w:t>
      </w:r>
      <w:r>
        <w:rPr>
          <w:spacing w:val="-5"/>
          <w:sz w:val="24"/>
        </w:rPr>
        <w:t> </w:t>
      </w:r>
      <w:r>
        <w:rPr>
          <w:sz w:val="24"/>
        </w:rPr>
        <w:t>certified</w:t>
      </w:r>
      <w:r>
        <w:rPr>
          <w:spacing w:val="-5"/>
          <w:sz w:val="24"/>
        </w:rPr>
        <w:t> </w:t>
      </w:r>
      <w:r>
        <w:rPr>
          <w:sz w:val="24"/>
        </w:rPr>
        <w:t>by</w:t>
      </w:r>
      <w:r>
        <w:rPr>
          <w:spacing w:val="-5"/>
          <w:sz w:val="24"/>
        </w:rPr>
        <w:t> </w:t>
      </w:r>
      <w:r>
        <w:rPr>
          <w:sz w:val="24"/>
        </w:rPr>
        <w:t>MHADA</w:t>
      </w:r>
      <w:r>
        <w:rPr>
          <w:spacing w:val="-4"/>
          <w:sz w:val="24"/>
        </w:rPr>
        <w:t> </w:t>
      </w:r>
      <w:r>
        <w:rPr>
          <w:sz w:val="24"/>
        </w:rPr>
        <w:t>and</w:t>
      </w:r>
      <w:r>
        <w:rPr>
          <w:spacing w:val="-5"/>
          <w:sz w:val="24"/>
        </w:rPr>
        <w:t> </w:t>
      </w:r>
      <w:r>
        <w:rPr>
          <w:sz w:val="24"/>
        </w:rPr>
        <w:t>for</w:t>
      </w:r>
      <w:r>
        <w:rPr>
          <w:spacing w:val="-5"/>
          <w:sz w:val="24"/>
        </w:rPr>
        <w:t> </w:t>
      </w:r>
      <w:r>
        <w:rPr>
          <w:sz w:val="24"/>
        </w:rPr>
        <w:t>other</w:t>
      </w:r>
      <w:r>
        <w:rPr>
          <w:spacing w:val="-5"/>
          <w:sz w:val="24"/>
        </w:rPr>
        <w:t> </w:t>
      </w:r>
      <w:r>
        <w:rPr>
          <w:sz w:val="24"/>
        </w:rPr>
        <w:t>building</w:t>
      </w:r>
      <w:r>
        <w:rPr>
          <w:spacing w:val="-5"/>
          <w:sz w:val="24"/>
        </w:rPr>
        <w:t> </w:t>
      </w:r>
      <w:r>
        <w:rPr>
          <w:sz w:val="24"/>
        </w:rPr>
        <w:t>it shall also be certified by MHADA.</w:t>
      </w:r>
    </w:p>
    <w:p>
      <w:pPr>
        <w:pStyle w:val="ListParagraph"/>
        <w:numPr>
          <w:ilvl w:val="0"/>
          <w:numId w:val="241"/>
        </w:numPr>
        <w:tabs>
          <w:tab w:pos="1350" w:val="left" w:leader="none"/>
        </w:tabs>
        <w:spacing w:line="240" w:lineRule="auto" w:before="2" w:after="0"/>
        <w:ind w:left="1056" w:right="770" w:firstLine="0"/>
        <w:jc w:val="both"/>
        <w:rPr>
          <w:sz w:val="24"/>
        </w:rPr>
      </w:pPr>
      <w:r>
        <w:rPr>
          <w:sz w:val="24"/>
        </w:rPr>
        <w:t>In case of dispute the matter shall be referred to the Monitoring Committee and the decision of the committee shall be binding on all parties.</w:t>
      </w:r>
    </w:p>
    <w:p>
      <w:pPr>
        <w:pStyle w:val="ListParagraph"/>
        <w:numPr>
          <w:ilvl w:val="0"/>
          <w:numId w:val="241"/>
        </w:numPr>
        <w:tabs>
          <w:tab w:pos="1415" w:val="left" w:leader="none"/>
        </w:tabs>
        <w:spacing w:line="240" w:lineRule="auto" w:before="0" w:after="0"/>
        <w:ind w:left="1056" w:right="770" w:firstLine="0"/>
        <w:jc w:val="both"/>
        <w:rPr>
          <w:sz w:val="24"/>
        </w:rPr>
      </w:pPr>
      <w:r>
        <w:rPr>
          <w:sz w:val="24"/>
        </w:rPr>
        <w:t>An amount of Rs. 50.000/- per tenement have to be deposited by developer as a corpus fund with the society of the occupants at the time of completion of construction, for maintenance of the buildings.</w:t>
      </w:r>
    </w:p>
    <w:p>
      <w:pPr>
        <w:pStyle w:val="ListParagraph"/>
        <w:numPr>
          <w:ilvl w:val="0"/>
          <w:numId w:val="241"/>
        </w:numPr>
        <w:tabs>
          <w:tab w:pos="1525" w:val="left" w:leader="none"/>
        </w:tabs>
        <w:spacing w:line="240" w:lineRule="auto" w:before="0" w:after="0"/>
        <w:ind w:left="1056" w:right="770" w:firstLine="0"/>
        <w:jc w:val="both"/>
        <w:rPr>
          <w:sz w:val="24"/>
        </w:rPr>
      </w:pPr>
      <w:r>
        <w:rPr>
          <w:sz w:val="24"/>
        </w:rPr>
        <w:t>Notwithstanding anything contained in these Regulation, the relaxations </w:t>
      </w:r>
      <w:r>
        <w:rPr>
          <w:spacing w:val="-2"/>
          <w:sz w:val="24"/>
        </w:rPr>
        <w:t>incorporated</w:t>
      </w:r>
      <w:r>
        <w:rPr>
          <w:spacing w:val="-11"/>
          <w:sz w:val="24"/>
        </w:rPr>
        <w:t> </w:t>
      </w:r>
      <w:r>
        <w:rPr>
          <w:spacing w:val="-2"/>
          <w:sz w:val="24"/>
        </w:rPr>
        <w:t>in</w:t>
      </w:r>
      <w:r>
        <w:rPr>
          <w:spacing w:val="-10"/>
          <w:sz w:val="24"/>
        </w:rPr>
        <w:t> </w:t>
      </w:r>
      <w:r>
        <w:rPr>
          <w:spacing w:val="-2"/>
          <w:sz w:val="24"/>
        </w:rPr>
        <w:t>clause</w:t>
      </w:r>
      <w:r>
        <w:rPr>
          <w:spacing w:val="-11"/>
          <w:sz w:val="24"/>
        </w:rPr>
        <w:t> </w:t>
      </w:r>
      <w:r>
        <w:rPr>
          <w:spacing w:val="-2"/>
          <w:sz w:val="24"/>
        </w:rPr>
        <w:t>8</w:t>
      </w:r>
      <w:r>
        <w:rPr>
          <w:spacing w:val="-11"/>
          <w:sz w:val="24"/>
        </w:rPr>
        <w:t> </w:t>
      </w:r>
      <w:r>
        <w:rPr>
          <w:spacing w:val="-2"/>
          <w:sz w:val="24"/>
        </w:rPr>
        <w:t>of</w:t>
      </w:r>
      <w:r>
        <w:rPr>
          <w:spacing w:val="-10"/>
          <w:sz w:val="24"/>
        </w:rPr>
        <w:t> </w:t>
      </w:r>
      <w:r>
        <w:rPr>
          <w:spacing w:val="-2"/>
          <w:sz w:val="24"/>
        </w:rPr>
        <w:t>regulation</w:t>
      </w:r>
      <w:r>
        <w:rPr>
          <w:spacing w:val="-11"/>
          <w:sz w:val="24"/>
        </w:rPr>
        <w:t> </w:t>
      </w:r>
      <w:r>
        <w:rPr>
          <w:spacing w:val="-2"/>
          <w:sz w:val="24"/>
        </w:rPr>
        <w:t>No.</w:t>
      </w:r>
      <w:r>
        <w:rPr>
          <w:spacing w:val="-11"/>
          <w:sz w:val="24"/>
        </w:rPr>
        <w:t> </w:t>
      </w:r>
      <w:r>
        <w:rPr>
          <w:spacing w:val="-2"/>
          <w:sz w:val="24"/>
        </w:rPr>
        <w:t>33(7)</w:t>
      </w:r>
      <w:r>
        <w:rPr>
          <w:spacing w:val="-11"/>
          <w:sz w:val="24"/>
        </w:rPr>
        <w:t> </w:t>
      </w:r>
      <w:r>
        <w:rPr>
          <w:spacing w:val="-2"/>
          <w:sz w:val="24"/>
        </w:rPr>
        <w:t>of</w:t>
      </w:r>
      <w:r>
        <w:rPr>
          <w:spacing w:val="-11"/>
          <w:sz w:val="24"/>
        </w:rPr>
        <w:t> </w:t>
      </w:r>
      <w:r>
        <w:rPr>
          <w:spacing w:val="-2"/>
          <w:sz w:val="24"/>
        </w:rPr>
        <w:t>these</w:t>
      </w:r>
      <w:r>
        <w:rPr>
          <w:spacing w:val="-11"/>
          <w:sz w:val="24"/>
        </w:rPr>
        <w:t> </w:t>
      </w:r>
      <w:r>
        <w:rPr>
          <w:spacing w:val="-2"/>
          <w:sz w:val="24"/>
        </w:rPr>
        <w:t>regulations</w:t>
      </w:r>
      <w:r>
        <w:rPr>
          <w:spacing w:val="-11"/>
          <w:sz w:val="24"/>
        </w:rPr>
        <w:t> </w:t>
      </w:r>
      <w:r>
        <w:rPr>
          <w:spacing w:val="-2"/>
          <w:sz w:val="24"/>
        </w:rPr>
        <w:t>and</w:t>
      </w:r>
      <w:r>
        <w:rPr>
          <w:spacing w:val="-11"/>
          <w:sz w:val="24"/>
        </w:rPr>
        <w:t> </w:t>
      </w:r>
      <w:r>
        <w:rPr>
          <w:spacing w:val="-2"/>
          <w:sz w:val="24"/>
        </w:rPr>
        <w:t>amended </w:t>
      </w:r>
      <w:r>
        <w:rPr>
          <w:sz w:val="24"/>
        </w:rPr>
        <w:t>from time to time, shall apply.</w:t>
      </w:r>
    </w:p>
    <w:p>
      <w:pPr>
        <w:pStyle w:val="ListParagraph"/>
        <w:numPr>
          <w:ilvl w:val="0"/>
          <w:numId w:val="242"/>
        </w:numPr>
        <w:tabs>
          <w:tab w:pos="1551" w:val="left" w:leader="none"/>
        </w:tabs>
        <w:spacing w:line="240" w:lineRule="auto" w:before="281" w:after="0"/>
        <w:ind w:left="1056" w:right="769" w:firstLine="76"/>
        <w:jc w:val="both"/>
        <w:rPr>
          <w:sz w:val="24"/>
        </w:rPr>
      </w:pPr>
      <w:r>
        <w:rPr>
          <w:sz w:val="24"/>
        </w:rPr>
        <w:t>If and when a cotton textile mill is shifted or the mill owner establishes a diversified industry, he shall offer on priority in the relocated mill or the diversified industry, as the case may be, employment to the worker or at least one member of the family of the worker in the employ of the mill on the 1st January 2000 who possesses the requisite qualifications or skills for the job;</w:t>
      </w:r>
    </w:p>
    <w:p>
      <w:pPr>
        <w:pStyle w:val="ListParagraph"/>
        <w:numPr>
          <w:ilvl w:val="0"/>
          <w:numId w:val="242"/>
        </w:numPr>
        <w:tabs>
          <w:tab w:pos="1615" w:val="left" w:leader="none"/>
        </w:tabs>
        <w:spacing w:line="240" w:lineRule="auto" w:before="0" w:after="0"/>
        <w:ind w:left="1056" w:right="770" w:firstLine="76"/>
        <w:jc w:val="both"/>
        <w:rPr>
          <w:sz w:val="24"/>
        </w:rPr>
      </w:pPr>
      <w:r>
        <w:rPr>
          <w:sz w:val="24"/>
        </w:rPr>
        <w:t>For purposes of clause (b) above, the cotton textile mill owner shall undertake and complete training of candidates for employment before the recruitment</w:t>
      </w:r>
      <w:r>
        <w:rPr>
          <w:spacing w:val="-15"/>
          <w:sz w:val="24"/>
        </w:rPr>
        <w:t> </w:t>
      </w:r>
      <w:r>
        <w:rPr>
          <w:sz w:val="24"/>
        </w:rPr>
        <w:t>of</w:t>
      </w:r>
      <w:r>
        <w:rPr>
          <w:spacing w:val="-15"/>
          <w:sz w:val="24"/>
        </w:rPr>
        <w:t> </w:t>
      </w:r>
      <w:r>
        <w:rPr>
          <w:sz w:val="24"/>
        </w:rPr>
        <w:t>personnel</w:t>
      </w:r>
      <w:r>
        <w:rPr>
          <w:spacing w:val="-15"/>
          <w:sz w:val="24"/>
        </w:rPr>
        <w:t> </w:t>
      </w:r>
      <w:r>
        <w:rPr>
          <w:sz w:val="24"/>
        </w:rPr>
        <w:t>and</w:t>
      </w:r>
      <w:r>
        <w:rPr>
          <w:spacing w:val="-15"/>
          <w:sz w:val="24"/>
        </w:rPr>
        <w:t> </w:t>
      </w:r>
      <w:r>
        <w:rPr>
          <w:sz w:val="24"/>
        </w:rPr>
        <w:t>starting</w:t>
      </w:r>
      <w:r>
        <w:rPr>
          <w:spacing w:val="-15"/>
          <w:sz w:val="24"/>
        </w:rPr>
        <w:t> </w:t>
      </w:r>
      <w:r>
        <w:rPr>
          <w:sz w:val="24"/>
        </w:rPr>
        <w:t>of</w:t>
      </w:r>
      <w:r>
        <w:rPr>
          <w:spacing w:val="-13"/>
          <w:sz w:val="24"/>
        </w:rPr>
        <w:t> </w:t>
      </w:r>
      <w:r>
        <w:rPr>
          <w:sz w:val="24"/>
        </w:rPr>
        <w:t>the</w:t>
      </w:r>
      <w:r>
        <w:rPr>
          <w:spacing w:val="-15"/>
          <w:sz w:val="24"/>
        </w:rPr>
        <w:t> </w:t>
      </w:r>
      <w:r>
        <w:rPr>
          <w:sz w:val="24"/>
        </w:rPr>
        <w:t>relocated</w:t>
      </w:r>
      <w:r>
        <w:rPr>
          <w:spacing w:val="-15"/>
          <w:sz w:val="24"/>
        </w:rPr>
        <w:t> </w:t>
      </w:r>
      <w:r>
        <w:rPr>
          <w:sz w:val="24"/>
        </w:rPr>
        <w:t>mill</w:t>
      </w:r>
      <w:r>
        <w:rPr>
          <w:spacing w:val="-15"/>
          <w:sz w:val="24"/>
        </w:rPr>
        <w:t> </w:t>
      </w:r>
      <w:r>
        <w:rPr>
          <w:sz w:val="24"/>
        </w:rPr>
        <w:t>or</w:t>
      </w:r>
      <w:r>
        <w:rPr>
          <w:spacing w:val="-13"/>
          <w:sz w:val="24"/>
        </w:rPr>
        <w:t> </w:t>
      </w:r>
      <w:r>
        <w:rPr>
          <w:sz w:val="24"/>
        </w:rPr>
        <w:t>diversified</w:t>
      </w:r>
      <w:r>
        <w:rPr>
          <w:spacing w:val="-14"/>
          <w:sz w:val="24"/>
        </w:rPr>
        <w:t> </w:t>
      </w:r>
      <w:r>
        <w:rPr>
          <w:sz w:val="24"/>
        </w:rPr>
        <w:t>industry takes place.</w:t>
      </w:r>
    </w:p>
    <w:p>
      <w:pPr>
        <w:pStyle w:val="ListParagraph"/>
        <w:numPr>
          <w:ilvl w:val="0"/>
          <w:numId w:val="242"/>
        </w:numPr>
        <w:tabs>
          <w:tab w:pos="1541" w:val="left" w:leader="none"/>
        </w:tabs>
        <w:spacing w:line="240" w:lineRule="auto" w:before="1" w:after="0"/>
        <w:ind w:left="1056" w:right="771" w:firstLine="76"/>
        <w:jc w:val="both"/>
        <w:rPr>
          <w:sz w:val="24"/>
        </w:rPr>
      </w:pPr>
      <w:r>
        <w:rPr>
          <w:sz w:val="24"/>
        </w:rPr>
        <w:t>Notwithstanding</w:t>
      </w:r>
      <w:r>
        <w:rPr>
          <w:spacing w:val="-6"/>
          <w:sz w:val="24"/>
        </w:rPr>
        <w:t> </w:t>
      </w:r>
      <w:r>
        <w:rPr>
          <w:sz w:val="24"/>
        </w:rPr>
        <w:t>anything</w:t>
      </w:r>
      <w:r>
        <w:rPr>
          <w:spacing w:val="-6"/>
          <w:sz w:val="24"/>
        </w:rPr>
        <w:t> </w:t>
      </w:r>
      <w:r>
        <w:rPr>
          <w:sz w:val="24"/>
        </w:rPr>
        <w:t>contained</w:t>
      </w:r>
      <w:r>
        <w:rPr>
          <w:spacing w:val="-6"/>
          <w:sz w:val="24"/>
        </w:rPr>
        <w:t> </w:t>
      </w:r>
      <w:r>
        <w:rPr>
          <w:sz w:val="24"/>
        </w:rPr>
        <w:t>above,</w:t>
      </w:r>
      <w:r>
        <w:rPr>
          <w:spacing w:val="-6"/>
          <w:sz w:val="24"/>
        </w:rPr>
        <w:t> </w:t>
      </w:r>
      <w:r>
        <w:rPr>
          <w:sz w:val="24"/>
        </w:rPr>
        <w:t>if</w:t>
      </w:r>
      <w:r>
        <w:rPr>
          <w:spacing w:val="-5"/>
          <w:sz w:val="24"/>
        </w:rPr>
        <w:t> </w:t>
      </w:r>
      <w:r>
        <w:rPr>
          <w:sz w:val="24"/>
        </w:rPr>
        <w:t>and</w:t>
      </w:r>
      <w:r>
        <w:rPr>
          <w:spacing w:val="-6"/>
          <w:sz w:val="24"/>
        </w:rPr>
        <w:t> </w:t>
      </w:r>
      <w:r>
        <w:rPr>
          <w:sz w:val="24"/>
        </w:rPr>
        <w:t>when</w:t>
      </w:r>
      <w:r>
        <w:rPr>
          <w:spacing w:val="-6"/>
          <w:sz w:val="24"/>
        </w:rPr>
        <w:t> </w:t>
      </w:r>
      <w:r>
        <w:rPr>
          <w:sz w:val="24"/>
        </w:rPr>
        <w:t>a</w:t>
      </w:r>
      <w:r>
        <w:rPr>
          <w:spacing w:val="-6"/>
          <w:sz w:val="24"/>
        </w:rPr>
        <w:t> </w:t>
      </w:r>
      <w:r>
        <w:rPr>
          <w:sz w:val="24"/>
        </w:rPr>
        <w:t>cotton</w:t>
      </w:r>
      <w:r>
        <w:rPr>
          <w:spacing w:val="-6"/>
          <w:sz w:val="24"/>
        </w:rPr>
        <w:t> </w:t>
      </w:r>
      <w:r>
        <w:rPr>
          <w:sz w:val="24"/>
        </w:rPr>
        <w:t>textile</w:t>
      </w:r>
      <w:r>
        <w:rPr>
          <w:spacing w:val="-6"/>
          <w:sz w:val="24"/>
        </w:rPr>
        <w:t> </w:t>
      </w:r>
      <w:r>
        <w:rPr>
          <w:sz w:val="24"/>
        </w:rPr>
        <w:t>mill is taken up for development / redevelopment for any industrial/commercial purposes, the mill owner or the developer or the occupier of the premises shall </w:t>
      </w:r>
      <w:r>
        <w:rPr>
          <w:spacing w:val="-2"/>
          <w:sz w:val="24"/>
        </w:rPr>
        <w:t>on</w:t>
      </w:r>
      <w:r>
        <w:rPr>
          <w:spacing w:val="-12"/>
          <w:sz w:val="24"/>
        </w:rPr>
        <w:t> </w:t>
      </w:r>
      <w:r>
        <w:rPr>
          <w:spacing w:val="-2"/>
          <w:sz w:val="24"/>
        </w:rPr>
        <w:t>priority</w:t>
      </w:r>
      <w:r>
        <w:rPr>
          <w:spacing w:val="-12"/>
          <w:sz w:val="24"/>
        </w:rPr>
        <w:t> </w:t>
      </w:r>
      <w:r>
        <w:rPr>
          <w:spacing w:val="-2"/>
          <w:sz w:val="24"/>
        </w:rPr>
        <w:t>provide</w:t>
      </w:r>
      <w:r>
        <w:rPr>
          <w:spacing w:val="-12"/>
          <w:sz w:val="24"/>
        </w:rPr>
        <w:t> </w:t>
      </w:r>
      <w:r>
        <w:rPr>
          <w:spacing w:val="-2"/>
          <w:sz w:val="24"/>
        </w:rPr>
        <w:t>employment</w:t>
      </w:r>
      <w:r>
        <w:rPr>
          <w:spacing w:val="-12"/>
          <w:sz w:val="24"/>
        </w:rPr>
        <w:t> </w:t>
      </w:r>
      <w:r>
        <w:rPr>
          <w:spacing w:val="-2"/>
          <w:sz w:val="24"/>
        </w:rPr>
        <w:t>to</w:t>
      </w:r>
      <w:r>
        <w:rPr>
          <w:spacing w:val="-12"/>
          <w:sz w:val="24"/>
        </w:rPr>
        <w:t> </w:t>
      </w:r>
      <w:r>
        <w:rPr>
          <w:spacing w:val="-2"/>
          <w:sz w:val="24"/>
        </w:rPr>
        <w:t>the</w:t>
      </w:r>
      <w:r>
        <w:rPr>
          <w:spacing w:val="-12"/>
          <w:sz w:val="24"/>
        </w:rPr>
        <w:t> </w:t>
      </w:r>
      <w:r>
        <w:rPr>
          <w:spacing w:val="-2"/>
          <w:sz w:val="24"/>
        </w:rPr>
        <w:t>worker</w:t>
      </w:r>
      <w:r>
        <w:rPr>
          <w:spacing w:val="-12"/>
          <w:sz w:val="24"/>
        </w:rPr>
        <w:t> </w:t>
      </w:r>
      <w:r>
        <w:rPr>
          <w:spacing w:val="-2"/>
          <w:sz w:val="24"/>
        </w:rPr>
        <w:t>or</w:t>
      </w:r>
      <w:r>
        <w:rPr>
          <w:spacing w:val="-12"/>
          <w:sz w:val="24"/>
        </w:rPr>
        <w:t> </w:t>
      </w:r>
      <w:r>
        <w:rPr>
          <w:spacing w:val="-2"/>
          <w:sz w:val="24"/>
        </w:rPr>
        <w:t>at</w:t>
      </w:r>
      <w:r>
        <w:rPr>
          <w:spacing w:val="-12"/>
          <w:sz w:val="24"/>
        </w:rPr>
        <w:t> </w:t>
      </w:r>
      <w:r>
        <w:rPr>
          <w:spacing w:val="-2"/>
          <w:sz w:val="24"/>
        </w:rPr>
        <w:t>least</w:t>
      </w:r>
      <w:r>
        <w:rPr>
          <w:spacing w:val="-12"/>
          <w:sz w:val="24"/>
        </w:rPr>
        <w:t> </w:t>
      </w:r>
      <w:r>
        <w:rPr>
          <w:spacing w:val="-2"/>
          <w:sz w:val="24"/>
        </w:rPr>
        <w:t>one</w:t>
      </w:r>
      <w:r>
        <w:rPr>
          <w:spacing w:val="-12"/>
          <w:sz w:val="24"/>
        </w:rPr>
        <w:t> </w:t>
      </w:r>
      <w:r>
        <w:rPr>
          <w:spacing w:val="-2"/>
          <w:sz w:val="24"/>
        </w:rPr>
        <w:t>member</w:t>
      </w:r>
      <w:r>
        <w:rPr>
          <w:spacing w:val="-11"/>
          <w:sz w:val="24"/>
        </w:rPr>
        <w:t> </w:t>
      </w:r>
      <w:r>
        <w:rPr>
          <w:spacing w:val="-2"/>
          <w:sz w:val="24"/>
        </w:rPr>
        <w:t>of</w:t>
      </w:r>
      <w:r>
        <w:rPr>
          <w:spacing w:val="-12"/>
          <w:sz w:val="24"/>
        </w:rPr>
        <w:t> </w:t>
      </w:r>
      <w:r>
        <w:rPr>
          <w:spacing w:val="-2"/>
          <w:sz w:val="24"/>
        </w:rPr>
        <w:t>the</w:t>
      </w:r>
      <w:r>
        <w:rPr>
          <w:spacing w:val="-12"/>
          <w:sz w:val="24"/>
        </w:rPr>
        <w:t> </w:t>
      </w:r>
      <w:r>
        <w:rPr>
          <w:spacing w:val="-2"/>
          <w:sz w:val="24"/>
        </w:rPr>
        <w:t>family </w:t>
      </w:r>
      <w:r>
        <w:rPr>
          <w:sz w:val="24"/>
        </w:rPr>
        <w:t>of the worker in the employ of the mill on the 1st January,</w:t>
      </w:r>
    </w:p>
    <w:p>
      <w:pPr>
        <w:pStyle w:val="BodyText"/>
        <w:spacing w:line="279" w:lineRule="exact"/>
        <w:ind w:left="1056"/>
      </w:pPr>
      <w:r>
        <w:rPr/>
        <w:t>2000</w:t>
      </w:r>
      <w:r>
        <w:rPr>
          <w:spacing w:val="-1"/>
        </w:rPr>
        <w:t> </w:t>
      </w:r>
      <w:r>
        <w:rPr/>
        <w:t>who possesses</w:t>
      </w:r>
      <w:r>
        <w:rPr>
          <w:spacing w:val="-1"/>
        </w:rPr>
        <w:t> </w:t>
      </w:r>
      <w:r>
        <w:rPr/>
        <w:t>the requisite</w:t>
      </w:r>
      <w:r>
        <w:rPr>
          <w:spacing w:val="-1"/>
        </w:rPr>
        <w:t> </w:t>
      </w:r>
      <w:r>
        <w:rPr/>
        <w:t>qualifications or</w:t>
      </w:r>
      <w:r>
        <w:rPr>
          <w:spacing w:val="-1"/>
        </w:rPr>
        <w:t> </w:t>
      </w:r>
      <w:r>
        <w:rPr/>
        <w:t>skills for</w:t>
      </w:r>
      <w:r>
        <w:rPr>
          <w:spacing w:val="-1"/>
        </w:rPr>
        <w:t> </w:t>
      </w:r>
      <w:r>
        <w:rPr/>
        <w:t>the </w:t>
      </w:r>
      <w:r>
        <w:rPr>
          <w:spacing w:val="-4"/>
        </w:rPr>
        <w:t>job.</w:t>
      </w:r>
    </w:p>
    <w:p>
      <w:pPr>
        <w:pStyle w:val="ListParagraph"/>
        <w:numPr>
          <w:ilvl w:val="0"/>
          <w:numId w:val="242"/>
        </w:numPr>
        <w:tabs>
          <w:tab w:pos="1715" w:val="left" w:leader="none"/>
        </w:tabs>
        <w:spacing w:line="276" w:lineRule="auto" w:before="0" w:after="0"/>
        <w:ind w:left="1056" w:right="771" w:firstLine="76"/>
        <w:jc w:val="both"/>
        <w:rPr>
          <w:sz w:val="24"/>
        </w:rPr>
      </w:pPr>
      <w:r>
        <w:rPr>
          <w:sz w:val="24"/>
        </w:rPr>
        <w:t>Notwithstanding anything contained above, the reconstruction / redevelopment</w:t>
      </w:r>
      <w:r>
        <w:rPr>
          <w:spacing w:val="40"/>
          <w:sz w:val="24"/>
        </w:rPr>
        <w:t> </w:t>
      </w:r>
      <w:r>
        <w:rPr>
          <w:sz w:val="24"/>
        </w:rPr>
        <w:t>to be undertaken by landlord / or</w:t>
      </w:r>
      <w:r>
        <w:rPr>
          <w:spacing w:val="40"/>
          <w:sz w:val="24"/>
        </w:rPr>
        <w:t> </w:t>
      </w:r>
      <w:r>
        <w:rPr>
          <w:sz w:val="24"/>
        </w:rPr>
        <w:t>co-op Housing</w:t>
      </w:r>
      <w:r>
        <w:rPr>
          <w:spacing w:val="40"/>
          <w:sz w:val="24"/>
        </w:rPr>
        <w:t> </w:t>
      </w:r>
      <w:r>
        <w:rPr>
          <w:sz w:val="24"/>
        </w:rPr>
        <w:t>Society of occupiers in respect</w:t>
      </w:r>
      <w:r>
        <w:rPr>
          <w:spacing w:val="40"/>
          <w:sz w:val="24"/>
        </w:rPr>
        <w:t> </w:t>
      </w:r>
      <w:r>
        <w:rPr>
          <w:sz w:val="24"/>
        </w:rPr>
        <w:t>of residential buildings/ chawls located on the lands of cotton</w:t>
      </w:r>
      <w:r>
        <w:rPr>
          <w:spacing w:val="-1"/>
          <w:sz w:val="24"/>
        </w:rPr>
        <w:t> </w:t>
      </w:r>
      <w:r>
        <w:rPr>
          <w:sz w:val="24"/>
        </w:rPr>
        <w:t>Textile</w:t>
      </w:r>
      <w:r>
        <w:rPr>
          <w:spacing w:val="-1"/>
          <w:sz w:val="24"/>
        </w:rPr>
        <w:t> </w:t>
      </w:r>
      <w:r>
        <w:rPr>
          <w:sz w:val="24"/>
        </w:rPr>
        <w:t>Mills</w:t>
      </w:r>
      <w:r>
        <w:rPr>
          <w:spacing w:val="1"/>
          <w:sz w:val="24"/>
        </w:rPr>
        <w:t> </w:t>
      </w:r>
      <w:r>
        <w:rPr>
          <w:sz w:val="24"/>
        </w:rPr>
        <w:t>shall</w:t>
      </w:r>
      <w:r>
        <w:rPr>
          <w:spacing w:val="-1"/>
          <w:sz w:val="24"/>
        </w:rPr>
        <w:t> </w:t>
      </w:r>
      <w:r>
        <w:rPr>
          <w:sz w:val="24"/>
        </w:rPr>
        <w:t>be</w:t>
      </w:r>
      <w:r>
        <w:rPr>
          <w:spacing w:val="-1"/>
          <w:sz w:val="24"/>
        </w:rPr>
        <w:t> </w:t>
      </w:r>
      <w:r>
        <w:rPr>
          <w:sz w:val="24"/>
        </w:rPr>
        <w:t>carried</w:t>
      </w:r>
      <w:r>
        <w:rPr>
          <w:spacing w:val="-1"/>
          <w:sz w:val="24"/>
        </w:rPr>
        <w:t> </w:t>
      </w:r>
      <w:r>
        <w:rPr>
          <w:sz w:val="24"/>
        </w:rPr>
        <w:t>out</w:t>
      </w:r>
      <w:r>
        <w:rPr>
          <w:spacing w:val="-1"/>
          <w:sz w:val="24"/>
        </w:rPr>
        <w:t> </w:t>
      </w:r>
      <w:r>
        <w:rPr>
          <w:sz w:val="24"/>
        </w:rPr>
        <w:t>simultaneously</w:t>
      </w:r>
      <w:r>
        <w:rPr>
          <w:spacing w:val="-1"/>
          <w:sz w:val="24"/>
        </w:rPr>
        <w:t> </w:t>
      </w:r>
      <w:r>
        <w:rPr>
          <w:sz w:val="24"/>
        </w:rPr>
        <w:t>with</w:t>
      </w:r>
      <w:r>
        <w:rPr>
          <w:spacing w:val="75"/>
          <w:sz w:val="24"/>
        </w:rPr>
        <w:t> </w:t>
      </w:r>
      <w:r>
        <w:rPr>
          <w:sz w:val="24"/>
        </w:rPr>
        <w:t>the</w:t>
      </w:r>
      <w:r>
        <w:rPr>
          <w:spacing w:val="-1"/>
          <w:sz w:val="24"/>
        </w:rPr>
        <w:t> </w:t>
      </w:r>
      <w:r>
        <w:rPr>
          <w:spacing w:val="-2"/>
          <w:sz w:val="24"/>
        </w:rPr>
        <w:t>reconstruction</w:t>
      </w:r>
    </w:p>
    <w:p>
      <w:pPr>
        <w:pStyle w:val="BodyText"/>
        <w:spacing w:before="2"/>
        <w:ind w:left="1056"/>
      </w:pPr>
      <w:r>
        <w:rPr/>
        <w:t>/ redevelopment</w:t>
      </w:r>
      <w:r>
        <w:rPr>
          <w:spacing w:val="76"/>
        </w:rPr>
        <w:t> </w:t>
      </w:r>
      <w:r>
        <w:rPr/>
        <w:t>of Mill </w:t>
      </w:r>
      <w:r>
        <w:rPr>
          <w:spacing w:val="-2"/>
        </w:rPr>
        <w:t>Land.</w:t>
      </w:r>
    </w:p>
    <w:p>
      <w:pPr>
        <w:pStyle w:val="BodyText"/>
        <w:spacing w:before="242"/>
        <w:ind w:left="1056" w:right="769"/>
      </w:pPr>
      <w:r>
        <w:rPr/>
        <w:t>(8)(a)</w:t>
      </w:r>
      <w:r>
        <w:rPr>
          <w:spacing w:val="-15"/>
        </w:rPr>
        <w:t> </w:t>
      </w:r>
      <w:r>
        <w:rPr/>
        <w:t>Funds</w:t>
      </w:r>
      <w:r>
        <w:rPr>
          <w:spacing w:val="-15"/>
        </w:rPr>
        <w:t> </w:t>
      </w:r>
      <w:r>
        <w:rPr/>
        <w:t>accruing</w:t>
      </w:r>
      <w:r>
        <w:rPr>
          <w:spacing w:val="-15"/>
        </w:rPr>
        <w:t> </w:t>
      </w:r>
      <w:r>
        <w:rPr/>
        <w:t>to</w:t>
      </w:r>
      <w:r>
        <w:rPr>
          <w:spacing w:val="-15"/>
        </w:rPr>
        <w:t> </w:t>
      </w:r>
      <w:r>
        <w:rPr/>
        <w:t>a</w:t>
      </w:r>
      <w:r>
        <w:rPr>
          <w:spacing w:val="-15"/>
        </w:rPr>
        <w:t> </w:t>
      </w:r>
      <w:r>
        <w:rPr/>
        <w:t>sick</w:t>
      </w:r>
      <w:r>
        <w:rPr>
          <w:spacing w:val="-15"/>
        </w:rPr>
        <w:t> </w:t>
      </w:r>
      <w:r>
        <w:rPr/>
        <w:t>and/or</w:t>
      </w:r>
      <w:r>
        <w:rPr>
          <w:spacing w:val="-15"/>
        </w:rPr>
        <w:t> </w:t>
      </w:r>
      <w:r>
        <w:rPr/>
        <w:t>closed</w:t>
      </w:r>
      <w:r>
        <w:rPr>
          <w:spacing w:val="-15"/>
        </w:rPr>
        <w:t> </w:t>
      </w:r>
      <w:r>
        <w:rPr/>
        <w:t>cotton</w:t>
      </w:r>
      <w:r>
        <w:rPr>
          <w:spacing w:val="-15"/>
        </w:rPr>
        <w:t> </w:t>
      </w:r>
      <w:r>
        <w:rPr/>
        <w:t>textile</w:t>
      </w:r>
      <w:r>
        <w:rPr>
          <w:spacing w:val="-15"/>
        </w:rPr>
        <w:t> </w:t>
      </w:r>
      <w:r>
        <w:rPr/>
        <w:t>mill</w:t>
      </w:r>
      <w:r>
        <w:rPr>
          <w:spacing w:val="-15"/>
        </w:rPr>
        <w:t> </w:t>
      </w:r>
      <w:r>
        <w:rPr/>
        <w:t>or</w:t>
      </w:r>
      <w:r>
        <w:rPr>
          <w:spacing w:val="-15"/>
        </w:rPr>
        <w:t> </w:t>
      </w:r>
      <w:r>
        <w:rPr/>
        <w:t>a</w:t>
      </w:r>
      <w:r>
        <w:rPr>
          <w:spacing w:val="-15"/>
        </w:rPr>
        <w:t> </w:t>
      </w:r>
      <w:r>
        <w:rPr/>
        <w:t>cotton</w:t>
      </w:r>
      <w:r>
        <w:rPr>
          <w:spacing w:val="-15"/>
        </w:rPr>
        <w:t> </w:t>
      </w:r>
      <w:r>
        <w:rPr/>
        <w:t>textile mill requiring modernization or a cotton textile mill to be shifted, from the utilization</w:t>
      </w:r>
      <w:r>
        <w:rPr>
          <w:spacing w:val="-7"/>
        </w:rPr>
        <w:t> </w:t>
      </w:r>
      <w:r>
        <w:rPr/>
        <w:t>of</w:t>
      </w:r>
      <w:r>
        <w:rPr>
          <w:spacing w:val="-7"/>
        </w:rPr>
        <w:t> </w:t>
      </w:r>
      <w:r>
        <w:rPr/>
        <w:t>built</w:t>
      </w:r>
      <w:r>
        <w:rPr>
          <w:spacing w:val="-7"/>
        </w:rPr>
        <w:t> </w:t>
      </w:r>
      <w:r>
        <w:rPr/>
        <w:t>up</w:t>
      </w:r>
      <w:r>
        <w:rPr>
          <w:spacing w:val="-7"/>
        </w:rPr>
        <w:t> </w:t>
      </w:r>
      <w:r>
        <w:rPr/>
        <w:t>areas</w:t>
      </w:r>
      <w:r>
        <w:rPr>
          <w:spacing w:val="-7"/>
        </w:rPr>
        <w:t> </w:t>
      </w:r>
      <w:r>
        <w:rPr/>
        <w:t>as</w:t>
      </w:r>
      <w:r>
        <w:rPr>
          <w:spacing w:val="-7"/>
        </w:rPr>
        <w:t> </w:t>
      </w:r>
      <w:r>
        <w:rPr/>
        <w:t>per</w:t>
      </w:r>
      <w:r>
        <w:rPr>
          <w:spacing w:val="-7"/>
        </w:rPr>
        <w:t> </w:t>
      </w:r>
      <w:r>
        <w:rPr/>
        <w:t>this</w:t>
      </w:r>
      <w:r>
        <w:rPr>
          <w:spacing w:val="-5"/>
        </w:rPr>
        <w:t> </w:t>
      </w:r>
      <w:r>
        <w:rPr/>
        <w:t>Regulation</w:t>
      </w:r>
      <w:r>
        <w:rPr>
          <w:spacing w:val="-6"/>
        </w:rPr>
        <w:t> </w:t>
      </w:r>
      <w:r>
        <w:rPr/>
        <w:t>shall</w:t>
      </w:r>
      <w:r>
        <w:rPr>
          <w:spacing w:val="-7"/>
        </w:rPr>
        <w:t> </w:t>
      </w:r>
      <w:r>
        <w:rPr/>
        <w:t>be</w:t>
      </w:r>
      <w:r>
        <w:rPr>
          <w:spacing w:val="-7"/>
        </w:rPr>
        <w:t> </w:t>
      </w:r>
      <w:r>
        <w:rPr/>
        <w:t>credited</w:t>
      </w:r>
      <w:r>
        <w:rPr>
          <w:spacing w:val="-7"/>
        </w:rPr>
        <w:t> </w:t>
      </w:r>
      <w:r>
        <w:rPr/>
        <w:t>to</w:t>
      </w:r>
      <w:r>
        <w:rPr>
          <w:spacing w:val="-7"/>
        </w:rPr>
        <w:t> </w:t>
      </w:r>
      <w:r>
        <w:rPr/>
        <w:t>an</w:t>
      </w:r>
      <w:r>
        <w:rPr>
          <w:spacing w:val="-7"/>
        </w:rPr>
        <w:t> </w:t>
      </w:r>
      <w:r>
        <w:rPr/>
        <w:t>escrow account to be operated as hereinafter provided.</w:t>
      </w:r>
    </w:p>
    <w:p>
      <w:pPr>
        <w:pStyle w:val="ListParagraph"/>
        <w:numPr>
          <w:ilvl w:val="1"/>
          <w:numId w:val="239"/>
        </w:numPr>
        <w:tabs>
          <w:tab w:pos="1525" w:val="left" w:leader="none"/>
        </w:tabs>
        <w:spacing w:line="240" w:lineRule="auto" w:before="2" w:after="0"/>
        <w:ind w:left="1104" w:right="836" w:firstLine="0"/>
        <w:jc w:val="both"/>
        <w:rPr>
          <w:sz w:val="24"/>
        </w:rPr>
      </w:pPr>
      <w:r>
        <w:rPr>
          <w:sz w:val="24"/>
        </w:rPr>
        <w:t>The funds credited to the escrow account shall be utilised only for the revival/ rehabilitation or modernization or shifting of the cotton textile mill, as the</w:t>
      </w:r>
      <w:r>
        <w:rPr>
          <w:spacing w:val="-5"/>
          <w:sz w:val="24"/>
        </w:rPr>
        <w:t> </w:t>
      </w:r>
      <w:r>
        <w:rPr>
          <w:sz w:val="24"/>
        </w:rPr>
        <w:t>case</w:t>
      </w:r>
      <w:r>
        <w:rPr>
          <w:spacing w:val="-5"/>
          <w:sz w:val="24"/>
        </w:rPr>
        <w:t> </w:t>
      </w:r>
      <w:r>
        <w:rPr>
          <w:sz w:val="24"/>
        </w:rPr>
        <w:t>may</w:t>
      </w:r>
      <w:r>
        <w:rPr>
          <w:spacing w:val="-5"/>
          <w:sz w:val="24"/>
        </w:rPr>
        <w:t> </w:t>
      </w:r>
      <w:r>
        <w:rPr>
          <w:sz w:val="24"/>
        </w:rPr>
        <w:t>be,</w:t>
      </w:r>
      <w:r>
        <w:rPr>
          <w:spacing w:val="-5"/>
          <w:sz w:val="24"/>
        </w:rPr>
        <w:t> </w:t>
      </w:r>
      <w:r>
        <w:rPr>
          <w:sz w:val="24"/>
        </w:rPr>
        <w:t>provided</w:t>
      </w:r>
      <w:r>
        <w:rPr>
          <w:spacing w:val="-5"/>
          <w:sz w:val="24"/>
        </w:rPr>
        <w:t> </w:t>
      </w:r>
      <w:r>
        <w:rPr>
          <w:sz w:val="24"/>
        </w:rPr>
        <w:t>that</w:t>
      </w:r>
      <w:r>
        <w:rPr>
          <w:spacing w:val="-5"/>
          <w:sz w:val="24"/>
        </w:rPr>
        <w:t> </w:t>
      </w:r>
      <w:r>
        <w:rPr>
          <w:sz w:val="24"/>
        </w:rPr>
        <w:t>the</w:t>
      </w:r>
      <w:r>
        <w:rPr>
          <w:spacing w:val="-5"/>
          <w:sz w:val="24"/>
        </w:rPr>
        <w:t> </w:t>
      </w:r>
      <w:r>
        <w:rPr>
          <w:sz w:val="24"/>
        </w:rPr>
        <w:t>said</w:t>
      </w:r>
      <w:r>
        <w:rPr>
          <w:spacing w:val="-5"/>
          <w:sz w:val="24"/>
        </w:rPr>
        <w:t> </w:t>
      </w:r>
      <w:r>
        <w:rPr>
          <w:sz w:val="24"/>
        </w:rPr>
        <w:t>funds</w:t>
      </w:r>
      <w:r>
        <w:rPr>
          <w:spacing w:val="-5"/>
          <w:sz w:val="24"/>
        </w:rPr>
        <w:t> </w:t>
      </w:r>
      <w:r>
        <w:rPr>
          <w:sz w:val="24"/>
        </w:rPr>
        <w:t>may</w:t>
      </w:r>
      <w:r>
        <w:rPr>
          <w:spacing w:val="-3"/>
          <w:sz w:val="24"/>
        </w:rPr>
        <w:t> </w:t>
      </w:r>
      <w:r>
        <w:rPr>
          <w:sz w:val="24"/>
        </w:rPr>
        <w:t>also</w:t>
      </w:r>
      <w:r>
        <w:rPr>
          <w:spacing w:val="-5"/>
          <w:sz w:val="24"/>
        </w:rPr>
        <w:t> </w:t>
      </w:r>
      <w:r>
        <w:rPr>
          <w:sz w:val="24"/>
        </w:rPr>
        <w:t>be</w:t>
      </w:r>
      <w:r>
        <w:rPr>
          <w:spacing w:val="-5"/>
          <w:sz w:val="24"/>
        </w:rPr>
        <w:t> </w:t>
      </w:r>
      <w:r>
        <w:rPr>
          <w:sz w:val="24"/>
        </w:rPr>
        <w:t>utilised</w:t>
      </w:r>
      <w:r>
        <w:rPr>
          <w:spacing w:val="-5"/>
          <w:sz w:val="24"/>
        </w:rPr>
        <w:t> </w:t>
      </w:r>
      <w:r>
        <w:rPr>
          <w:sz w:val="24"/>
        </w:rPr>
        <w:t>for</w:t>
      </w:r>
      <w:r>
        <w:rPr>
          <w:spacing w:val="-5"/>
          <w:sz w:val="24"/>
        </w:rPr>
        <w:t> </w:t>
      </w:r>
      <w:r>
        <w:rPr>
          <w:sz w:val="24"/>
        </w:rPr>
        <w:t>payment of workers dues, payments under Voluntary Retirement Schemes (VRS), repayment of loans of banks and financial institutions taken for the revival/rehabilitation</w:t>
      </w:r>
      <w:r>
        <w:rPr>
          <w:spacing w:val="-20"/>
          <w:sz w:val="24"/>
        </w:rPr>
        <w:t> </w:t>
      </w:r>
      <w:r>
        <w:rPr>
          <w:sz w:val="24"/>
        </w:rPr>
        <w:t>or</w:t>
      </w:r>
      <w:r>
        <w:rPr>
          <w:spacing w:val="-19"/>
          <w:sz w:val="24"/>
        </w:rPr>
        <w:t> </w:t>
      </w:r>
      <w:r>
        <w:rPr>
          <w:sz w:val="24"/>
        </w:rPr>
        <w:t>modernization</w:t>
      </w:r>
      <w:r>
        <w:rPr>
          <w:spacing w:val="-19"/>
          <w:sz w:val="24"/>
        </w:rPr>
        <w:t> </w:t>
      </w:r>
      <w:r>
        <w:rPr>
          <w:sz w:val="24"/>
        </w:rPr>
        <w:t>of</w:t>
      </w:r>
      <w:r>
        <w:rPr>
          <w:spacing w:val="-19"/>
          <w:sz w:val="24"/>
        </w:rPr>
        <w:t> </w:t>
      </w:r>
      <w:r>
        <w:rPr>
          <w:sz w:val="24"/>
        </w:rPr>
        <w:t>the</w:t>
      </w:r>
      <w:r>
        <w:rPr>
          <w:spacing w:val="-19"/>
          <w:sz w:val="24"/>
        </w:rPr>
        <w:t> </w:t>
      </w:r>
      <w:r>
        <w:rPr>
          <w:sz w:val="24"/>
        </w:rPr>
        <w:t>cotton</w:t>
      </w:r>
      <w:r>
        <w:rPr>
          <w:spacing w:val="-20"/>
          <w:sz w:val="24"/>
        </w:rPr>
        <w:t> </w:t>
      </w:r>
      <w:r>
        <w:rPr>
          <w:sz w:val="24"/>
        </w:rPr>
        <w:t>textile</w:t>
      </w:r>
      <w:r>
        <w:rPr>
          <w:spacing w:val="-19"/>
          <w:sz w:val="24"/>
        </w:rPr>
        <w:t> </w:t>
      </w:r>
      <w:r>
        <w:rPr>
          <w:sz w:val="24"/>
        </w:rPr>
        <w:t>mill</w:t>
      </w:r>
      <w:r>
        <w:rPr>
          <w:spacing w:val="-19"/>
          <w:sz w:val="24"/>
        </w:rPr>
        <w:t> </w:t>
      </w:r>
      <w:r>
        <w:rPr>
          <w:sz w:val="24"/>
        </w:rPr>
        <w:t>or</w:t>
      </w:r>
      <w:r>
        <w:rPr>
          <w:spacing w:val="-19"/>
          <w:sz w:val="24"/>
        </w:rPr>
        <w:t> </w:t>
      </w:r>
      <w:r>
        <w:rPr>
          <w:sz w:val="24"/>
        </w:rPr>
        <w:t>for</w:t>
      </w:r>
      <w:r>
        <w:rPr>
          <w:spacing w:val="-19"/>
          <w:sz w:val="24"/>
        </w:rPr>
        <w:t> </w:t>
      </w:r>
      <w:r>
        <w:rPr>
          <w:sz w:val="24"/>
        </w:rPr>
        <w:t>its</w:t>
      </w:r>
      <w:r>
        <w:rPr>
          <w:spacing w:val="-20"/>
          <w:sz w:val="24"/>
        </w:rPr>
        <w:t> </w:t>
      </w:r>
      <w:r>
        <w:rPr>
          <w:sz w:val="24"/>
        </w:rPr>
        <w:t>shifting outside Greater Mumbai but within the State. The escrow account may be closed after compliance of all the terms and conditions.</w:t>
      </w:r>
    </w:p>
    <w:p>
      <w:pPr>
        <w:pStyle w:val="ListParagraph"/>
        <w:spacing w:after="0" w:line="240" w:lineRule="auto"/>
        <w:jc w:val="both"/>
        <w:rPr>
          <w:sz w:val="24"/>
        </w:rPr>
        <w:sectPr>
          <w:pgSz w:w="11910" w:h="16840"/>
          <w:pgMar w:header="1058" w:footer="1088" w:top="1500" w:bottom="1280" w:left="360" w:right="360"/>
        </w:sectPr>
      </w:pPr>
    </w:p>
    <w:p>
      <w:pPr>
        <w:pStyle w:val="BodyText"/>
        <w:spacing w:before="255"/>
        <w:ind w:left="1056" w:right="769"/>
      </w:pPr>
      <w:r>
        <w:rPr/>
        <w:t>(9)(a) In order to oversee the due implementation of the package of measures recommended by the Board of Industrial and Financial Reconstruction (BIFR) for the revival/rehabilitation of a potentially sick and/or closed textile mill, or schemes approved by Government for the modernization or shifting of cotton textile mills, and the permissions for development or redevelopment of lands of cotton textile mills granted by the Commissioner under this Regulation, the Government</w:t>
      </w:r>
      <w:r>
        <w:rPr>
          <w:spacing w:val="-8"/>
        </w:rPr>
        <w:t> </w:t>
      </w:r>
      <w:r>
        <w:rPr/>
        <w:t>shall</w:t>
      </w:r>
      <w:r>
        <w:rPr>
          <w:spacing w:val="-8"/>
        </w:rPr>
        <w:t> </w:t>
      </w:r>
      <w:r>
        <w:rPr/>
        <w:t>appoint</w:t>
      </w:r>
      <w:r>
        <w:rPr>
          <w:spacing w:val="-8"/>
        </w:rPr>
        <w:t> </w:t>
      </w:r>
      <w:r>
        <w:rPr/>
        <w:t>a</w:t>
      </w:r>
      <w:r>
        <w:rPr>
          <w:spacing w:val="-8"/>
        </w:rPr>
        <w:t> </w:t>
      </w:r>
      <w:r>
        <w:rPr/>
        <w:t>Monitoring</w:t>
      </w:r>
      <w:r>
        <w:rPr>
          <w:spacing w:val="-8"/>
        </w:rPr>
        <w:t> </w:t>
      </w:r>
      <w:r>
        <w:rPr/>
        <w:t>Committee</w:t>
      </w:r>
      <w:r>
        <w:rPr>
          <w:spacing w:val="-8"/>
        </w:rPr>
        <w:t> </w:t>
      </w:r>
      <w:r>
        <w:rPr/>
        <w:t>under</w:t>
      </w:r>
      <w:r>
        <w:rPr>
          <w:spacing w:val="-8"/>
        </w:rPr>
        <w:t> </w:t>
      </w:r>
      <w:r>
        <w:rPr/>
        <w:t>the</w:t>
      </w:r>
      <w:r>
        <w:rPr>
          <w:spacing w:val="-8"/>
        </w:rPr>
        <w:t> </w:t>
      </w:r>
      <w:r>
        <w:rPr/>
        <w:t>chairmanship</w:t>
      </w:r>
      <w:r>
        <w:rPr>
          <w:spacing w:val="-8"/>
        </w:rPr>
        <w:t> </w:t>
      </w:r>
      <w:r>
        <w:rPr/>
        <w:t>of</w:t>
      </w:r>
      <w:r>
        <w:rPr>
          <w:spacing w:val="-8"/>
        </w:rPr>
        <w:t> </w:t>
      </w:r>
      <w:r>
        <w:rPr/>
        <w:t>a retired High Court Judge with one representative each of the cotton textile mill owners,</w:t>
      </w:r>
      <w:r>
        <w:rPr>
          <w:spacing w:val="-6"/>
        </w:rPr>
        <w:t> </w:t>
      </w:r>
      <w:r>
        <w:rPr/>
        <w:t>recognised</w:t>
      </w:r>
      <w:r>
        <w:rPr>
          <w:spacing w:val="-6"/>
        </w:rPr>
        <w:t> </w:t>
      </w:r>
      <w:r>
        <w:rPr/>
        <w:t>trade</w:t>
      </w:r>
      <w:r>
        <w:rPr>
          <w:spacing w:val="-6"/>
        </w:rPr>
        <w:t> </w:t>
      </w:r>
      <w:r>
        <w:rPr/>
        <w:t>union</w:t>
      </w:r>
      <w:r>
        <w:rPr>
          <w:spacing w:val="-6"/>
        </w:rPr>
        <w:t> </w:t>
      </w:r>
      <w:r>
        <w:rPr/>
        <w:t>of</w:t>
      </w:r>
      <w:r>
        <w:rPr>
          <w:spacing w:val="-6"/>
        </w:rPr>
        <w:t> </w:t>
      </w:r>
      <w:r>
        <w:rPr/>
        <w:t>cotton</w:t>
      </w:r>
      <w:r>
        <w:rPr>
          <w:spacing w:val="-8"/>
        </w:rPr>
        <w:t> </w:t>
      </w:r>
      <w:r>
        <w:rPr/>
        <w:t>textile</w:t>
      </w:r>
      <w:r>
        <w:rPr>
          <w:spacing w:val="-6"/>
        </w:rPr>
        <w:t> </w:t>
      </w:r>
      <w:r>
        <w:rPr/>
        <w:t>mill</w:t>
      </w:r>
      <w:r>
        <w:rPr>
          <w:spacing w:val="-6"/>
        </w:rPr>
        <w:t> </w:t>
      </w:r>
      <w:r>
        <w:rPr/>
        <w:t>workers,</w:t>
      </w:r>
      <w:r>
        <w:rPr>
          <w:spacing w:val="-8"/>
        </w:rPr>
        <w:t> </w:t>
      </w:r>
      <w:r>
        <w:rPr/>
        <w:t>the</w:t>
      </w:r>
      <w:r>
        <w:rPr>
          <w:spacing w:val="-6"/>
        </w:rPr>
        <w:t> </w:t>
      </w:r>
      <w:r>
        <w:rPr/>
        <w:t>Commissioner and the Government as members.</w:t>
      </w:r>
    </w:p>
    <w:p>
      <w:pPr>
        <w:pStyle w:val="ListParagraph"/>
        <w:numPr>
          <w:ilvl w:val="0"/>
          <w:numId w:val="243"/>
        </w:numPr>
        <w:tabs>
          <w:tab w:pos="1427" w:val="left" w:leader="none"/>
        </w:tabs>
        <w:spacing w:line="240" w:lineRule="auto" w:before="0" w:after="0"/>
        <w:ind w:left="1056" w:right="770" w:firstLine="0"/>
        <w:jc w:val="both"/>
        <w:rPr>
          <w:sz w:val="24"/>
        </w:rPr>
      </w:pPr>
      <w:r>
        <w:rPr>
          <w:sz w:val="24"/>
        </w:rPr>
        <w:t>The</w:t>
      </w:r>
      <w:r>
        <w:rPr>
          <w:spacing w:val="-1"/>
          <w:sz w:val="24"/>
        </w:rPr>
        <w:t> </w:t>
      </w:r>
      <w:r>
        <w:rPr>
          <w:sz w:val="24"/>
        </w:rPr>
        <w:t>Commissioner</w:t>
      </w:r>
      <w:r>
        <w:rPr>
          <w:spacing w:val="-1"/>
          <w:sz w:val="24"/>
        </w:rPr>
        <w:t> </w:t>
      </w:r>
      <w:r>
        <w:rPr>
          <w:sz w:val="24"/>
        </w:rPr>
        <w:t>shall</w:t>
      </w:r>
      <w:r>
        <w:rPr>
          <w:spacing w:val="-1"/>
          <w:sz w:val="24"/>
        </w:rPr>
        <w:t> </w:t>
      </w:r>
      <w:r>
        <w:rPr>
          <w:sz w:val="24"/>
        </w:rPr>
        <w:t>provide</w:t>
      </w:r>
      <w:r>
        <w:rPr>
          <w:spacing w:val="-1"/>
          <w:sz w:val="24"/>
        </w:rPr>
        <w:t> </w:t>
      </w:r>
      <w:r>
        <w:rPr>
          <w:sz w:val="24"/>
        </w:rPr>
        <w:t>to</w:t>
      </w:r>
      <w:r>
        <w:rPr>
          <w:spacing w:val="-1"/>
          <w:sz w:val="24"/>
        </w:rPr>
        <w:t> </w:t>
      </w:r>
      <w:r>
        <w:rPr>
          <w:sz w:val="24"/>
        </w:rPr>
        <w:t>the</w:t>
      </w:r>
      <w:r>
        <w:rPr>
          <w:spacing w:val="-1"/>
          <w:sz w:val="24"/>
        </w:rPr>
        <w:t> </w:t>
      </w:r>
      <w:r>
        <w:rPr>
          <w:sz w:val="24"/>
        </w:rPr>
        <w:t>Monitoring</w:t>
      </w:r>
      <w:r>
        <w:rPr>
          <w:spacing w:val="-1"/>
          <w:sz w:val="24"/>
        </w:rPr>
        <w:t> </w:t>
      </w:r>
      <w:r>
        <w:rPr>
          <w:sz w:val="24"/>
        </w:rPr>
        <w:t>Committee</w:t>
      </w:r>
      <w:r>
        <w:rPr>
          <w:spacing w:val="-1"/>
          <w:sz w:val="24"/>
        </w:rPr>
        <w:t> </w:t>
      </w:r>
      <w:r>
        <w:rPr>
          <w:sz w:val="24"/>
        </w:rPr>
        <w:t>the</w:t>
      </w:r>
      <w:r>
        <w:rPr>
          <w:spacing w:val="-1"/>
          <w:sz w:val="24"/>
        </w:rPr>
        <w:t> </w:t>
      </w:r>
      <w:r>
        <w:rPr>
          <w:sz w:val="24"/>
        </w:rPr>
        <w:t>services</w:t>
      </w:r>
      <w:r>
        <w:rPr>
          <w:spacing w:val="-1"/>
          <w:sz w:val="24"/>
        </w:rPr>
        <w:t> </w:t>
      </w:r>
      <w:r>
        <w:rPr>
          <w:sz w:val="24"/>
        </w:rPr>
        <w:t>of a Secretary and other required staff and also the necessary facilities for its </w:t>
      </w:r>
      <w:r>
        <w:rPr>
          <w:spacing w:val="-2"/>
          <w:sz w:val="24"/>
        </w:rPr>
        <w:t>functioning.</w:t>
      </w:r>
    </w:p>
    <w:p>
      <w:pPr>
        <w:pStyle w:val="ListParagraph"/>
        <w:numPr>
          <w:ilvl w:val="0"/>
          <w:numId w:val="243"/>
        </w:numPr>
        <w:tabs>
          <w:tab w:pos="1403" w:val="left" w:leader="none"/>
        </w:tabs>
        <w:spacing w:line="240" w:lineRule="auto" w:before="0" w:after="0"/>
        <w:ind w:left="1056" w:right="775" w:firstLine="0"/>
        <w:jc w:val="both"/>
        <w:rPr>
          <w:sz w:val="24"/>
        </w:rPr>
      </w:pPr>
      <w:r>
        <w:rPr>
          <w:sz w:val="24"/>
        </w:rPr>
        <w:t>Without prejudice to the generality of the functions provided for in clause (a) of this Sub-Regulation, the Monitoring Committee shall:--</w:t>
      </w:r>
    </w:p>
    <w:p>
      <w:pPr>
        <w:pStyle w:val="ListParagraph"/>
        <w:numPr>
          <w:ilvl w:val="1"/>
          <w:numId w:val="243"/>
        </w:numPr>
        <w:tabs>
          <w:tab w:pos="1352" w:val="left" w:leader="none"/>
        </w:tabs>
        <w:spacing w:line="240" w:lineRule="auto" w:before="1" w:after="0"/>
        <w:ind w:left="1056" w:right="776" w:firstLine="0"/>
        <w:jc w:val="both"/>
        <w:rPr>
          <w:sz w:val="24"/>
        </w:rPr>
      </w:pPr>
      <w:r>
        <w:rPr>
          <w:sz w:val="24"/>
        </w:rPr>
        <w:t>lay down guidelines for the transparent disposal by sale or otherwise of built up space, open lands and balance FSI by the cotton textile mills;</w:t>
      </w:r>
    </w:p>
    <w:p>
      <w:pPr>
        <w:pStyle w:val="ListParagraph"/>
        <w:numPr>
          <w:ilvl w:val="1"/>
          <w:numId w:val="243"/>
        </w:numPr>
        <w:tabs>
          <w:tab w:pos="1506" w:val="left" w:leader="none"/>
        </w:tabs>
        <w:spacing w:line="240" w:lineRule="auto" w:before="0" w:after="0"/>
        <w:ind w:left="1056" w:right="775" w:firstLine="0"/>
        <w:jc w:val="both"/>
        <w:rPr>
          <w:sz w:val="24"/>
        </w:rPr>
      </w:pPr>
      <w:r>
        <w:rPr>
          <w:sz w:val="24"/>
        </w:rPr>
        <w:t>lay down guidelines for the opening, operation and closure of escrow </w:t>
      </w:r>
      <w:r>
        <w:rPr>
          <w:spacing w:val="-2"/>
          <w:sz w:val="24"/>
        </w:rPr>
        <w:t>accounts;</w:t>
      </w:r>
    </w:p>
    <w:p>
      <w:pPr>
        <w:pStyle w:val="ListParagraph"/>
        <w:numPr>
          <w:ilvl w:val="1"/>
          <w:numId w:val="243"/>
        </w:numPr>
        <w:tabs>
          <w:tab w:pos="1542" w:val="left" w:leader="none"/>
        </w:tabs>
        <w:spacing w:line="240" w:lineRule="auto" w:before="1" w:after="0"/>
        <w:ind w:left="1056" w:right="770" w:firstLine="0"/>
        <w:jc w:val="both"/>
        <w:rPr>
          <w:sz w:val="24"/>
        </w:rPr>
      </w:pPr>
      <w:r>
        <w:rPr>
          <w:sz w:val="24"/>
        </w:rPr>
        <w:t>approve proposals for the withdrawal and application of funds from the escrow accounts;</w:t>
      </w:r>
    </w:p>
    <w:p>
      <w:pPr>
        <w:pStyle w:val="ListParagraph"/>
        <w:numPr>
          <w:ilvl w:val="1"/>
          <w:numId w:val="243"/>
        </w:numPr>
        <w:tabs>
          <w:tab w:pos="1496" w:val="left" w:leader="none"/>
        </w:tabs>
        <w:spacing w:line="240" w:lineRule="auto" w:before="1" w:after="0"/>
        <w:ind w:left="1056" w:right="770" w:firstLine="0"/>
        <w:jc w:val="both"/>
        <w:rPr>
          <w:sz w:val="24"/>
        </w:rPr>
      </w:pPr>
      <w:r>
        <w:rPr>
          <w:sz w:val="24"/>
        </w:rPr>
        <w:t>monitor the implementation of the provisions of this regulation as regards housing, alternative employment and related training of cotton textile mill </w:t>
      </w:r>
      <w:r>
        <w:rPr>
          <w:spacing w:val="-2"/>
          <w:sz w:val="24"/>
        </w:rPr>
        <w:t>workers.</w:t>
      </w:r>
    </w:p>
    <w:p>
      <w:pPr>
        <w:pStyle w:val="ListParagraph"/>
        <w:numPr>
          <w:ilvl w:val="0"/>
          <w:numId w:val="243"/>
        </w:numPr>
        <w:tabs>
          <w:tab w:pos="1456" w:val="left" w:leader="none"/>
        </w:tabs>
        <w:spacing w:line="240" w:lineRule="auto" w:before="0" w:after="0"/>
        <w:ind w:left="1056" w:right="770" w:firstLine="0"/>
        <w:jc w:val="both"/>
        <w:rPr>
          <w:sz w:val="24"/>
        </w:rPr>
      </w:pPr>
      <w:r>
        <w:rPr>
          <w:sz w:val="24"/>
        </w:rPr>
        <w:t>The Monitoring Committee shall have the powers of issuing and </w:t>
      </w:r>
      <w:r>
        <w:rPr>
          <w:sz w:val="24"/>
        </w:rPr>
        <w:t>enforcing notices and attendance in the manner of a Civil Court.</w:t>
      </w:r>
    </w:p>
    <w:p>
      <w:pPr>
        <w:pStyle w:val="ListParagraph"/>
        <w:numPr>
          <w:ilvl w:val="0"/>
          <w:numId w:val="243"/>
        </w:numPr>
        <w:tabs>
          <w:tab w:pos="1429" w:val="left" w:leader="none"/>
        </w:tabs>
        <w:spacing w:line="240" w:lineRule="auto" w:before="0" w:after="0"/>
        <w:ind w:left="1056" w:right="770" w:firstLine="0"/>
        <w:jc w:val="both"/>
        <w:rPr>
          <w:sz w:val="24"/>
        </w:rPr>
      </w:pPr>
      <w:r>
        <w:rPr>
          <w:sz w:val="24"/>
        </w:rPr>
        <w:t>Every direction or decision of the Monitoring Committee shall be final and conclusive and binding on all concerned.</w:t>
      </w:r>
    </w:p>
    <w:p>
      <w:pPr>
        <w:pStyle w:val="ListParagraph"/>
        <w:numPr>
          <w:ilvl w:val="0"/>
          <w:numId w:val="243"/>
        </w:numPr>
        <w:tabs>
          <w:tab w:pos="1417" w:val="left" w:leader="none"/>
        </w:tabs>
        <w:spacing w:line="240" w:lineRule="auto" w:before="0" w:after="0"/>
        <w:ind w:left="1056" w:right="772" w:firstLine="0"/>
        <w:jc w:val="both"/>
        <w:rPr>
          <w:sz w:val="24"/>
        </w:rPr>
      </w:pPr>
      <w:r>
        <w:rPr>
          <w:sz w:val="24"/>
        </w:rPr>
        <w:t>The Monitoring Committee shall determine for itself the procedures and modalities of its functioning.</w:t>
      </w:r>
    </w:p>
    <w:p>
      <w:pPr>
        <w:pStyle w:val="BodyText"/>
        <w:ind w:left="1056" w:right="770"/>
      </w:pPr>
      <w:r>
        <w:rPr/>
        <w:t>(10) Notwithstanding anything stated or omitted to be stated in these Regulations, the development or redevelopment of all lands in Gr. Mumbai owned or held by all cotton textile mills, irrespective of the operational or other status of the said mills or of the land use zoning relating to the said lands or of the actual use for the time being of the said lands or of any other factor, circumstance or consideration whatsoever shall be regulated by the provisions of</w:t>
      </w:r>
      <w:r>
        <w:rPr>
          <w:spacing w:val="-1"/>
        </w:rPr>
        <w:t> </w:t>
      </w:r>
      <w:r>
        <w:rPr/>
        <w:t>this</w:t>
      </w:r>
      <w:r>
        <w:rPr>
          <w:spacing w:val="-1"/>
        </w:rPr>
        <w:t> </w:t>
      </w:r>
      <w:r>
        <w:rPr/>
        <w:t>regulation</w:t>
      </w:r>
      <w:r>
        <w:rPr>
          <w:spacing w:val="-1"/>
        </w:rPr>
        <w:t> </w:t>
      </w:r>
      <w:r>
        <w:rPr/>
        <w:t>and</w:t>
      </w:r>
      <w:r>
        <w:rPr>
          <w:spacing w:val="-1"/>
        </w:rPr>
        <w:t> </w:t>
      </w:r>
      <w:r>
        <w:rPr/>
        <w:t>not under</w:t>
      </w:r>
      <w:r>
        <w:rPr>
          <w:spacing w:val="-1"/>
        </w:rPr>
        <w:t> </w:t>
      </w:r>
      <w:r>
        <w:rPr/>
        <w:t>any</w:t>
      </w:r>
      <w:r>
        <w:rPr>
          <w:spacing w:val="-1"/>
        </w:rPr>
        <w:t> </w:t>
      </w:r>
      <w:r>
        <w:rPr/>
        <w:t>other</w:t>
      </w:r>
      <w:r>
        <w:rPr>
          <w:spacing w:val="-1"/>
        </w:rPr>
        <w:t> </w:t>
      </w:r>
      <w:r>
        <w:rPr/>
        <w:t>Regulation except</w:t>
      </w:r>
      <w:r>
        <w:rPr>
          <w:spacing w:val="-1"/>
        </w:rPr>
        <w:t> </w:t>
      </w:r>
      <w:r>
        <w:rPr/>
        <w:t>TDR</w:t>
      </w:r>
      <w:r>
        <w:rPr>
          <w:spacing w:val="-1"/>
        </w:rPr>
        <w:t> </w:t>
      </w:r>
      <w:r>
        <w:rPr/>
        <w:t>and</w:t>
      </w:r>
      <w:r>
        <w:rPr>
          <w:spacing w:val="-1"/>
        </w:rPr>
        <w:t> </w:t>
      </w:r>
      <w:r>
        <w:rPr/>
        <w:t>Fungible Compensatory FSI.</w:t>
      </w:r>
    </w:p>
    <w:p>
      <w:pPr>
        <w:pStyle w:val="BodyText"/>
        <w:ind w:left="1056" w:right="768"/>
      </w:pPr>
      <w:r>
        <w:rPr/>
        <w:t>However</w:t>
      </w:r>
      <w:r>
        <w:rPr>
          <w:spacing w:val="-20"/>
        </w:rPr>
        <w:t> </w:t>
      </w:r>
      <w:r>
        <w:rPr/>
        <w:t>the</w:t>
      </w:r>
      <w:r>
        <w:rPr>
          <w:spacing w:val="-19"/>
        </w:rPr>
        <w:t> </w:t>
      </w:r>
      <w:r>
        <w:rPr/>
        <w:t>lands</w:t>
      </w:r>
      <w:r>
        <w:rPr>
          <w:spacing w:val="-19"/>
        </w:rPr>
        <w:t> </w:t>
      </w:r>
      <w:r>
        <w:rPr/>
        <w:t>reserved</w:t>
      </w:r>
      <w:r>
        <w:rPr>
          <w:spacing w:val="-19"/>
        </w:rPr>
        <w:t> </w:t>
      </w:r>
      <w:r>
        <w:rPr/>
        <w:t>for</w:t>
      </w:r>
      <w:r>
        <w:rPr>
          <w:spacing w:val="-19"/>
        </w:rPr>
        <w:t> </w:t>
      </w:r>
      <w:r>
        <w:rPr/>
        <w:t>public</w:t>
      </w:r>
      <w:r>
        <w:rPr>
          <w:spacing w:val="-20"/>
        </w:rPr>
        <w:t> </w:t>
      </w:r>
      <w:r>
        <w:rPr/>
        <w:t>purposes</w:t>
      </w:r>
      <w:r>
        <w:rPr>
          <w:spacing w:val="-19"/>
        </w:rPr>
        <w:t> </w:t>
      </w:r>
      <w:r>
        <w:rPr/>
        <w:t>which</w:t>
      </w:r>
      <w:r>
        <w:rPr>
          <w:spacing w:val="-19"/>
        </w:rPr>
        <w:t> </w:t>
      </w:r>
      <w:r>
        <w:rPr/>
        <w:t>is</w:t>
      </w:r>
      <w:r>
        <w:rPr>
          <w:spacing w:val="-19"/>
        </w:rPr>
        <w:t> </w:t>
      </w:r>
      <w:r>
        <w:rPr/>
        <w:t>owned</w:t>
      </w:r>
      <w:r>
        <w:rPr>
          <w:spacing w:val="-19"/>
        </w:rPr>
        <w:t> </w:t>
      </w:r>
      <w:r>
        <w:rPr/>
        <w:t>or</w:t>
      </w:r>
      <w:r>
        <w:rPr>
          <w:spacing w:val="-20"/>
        </w:rPr>
        <w:t> </w:t>
      </w:r>
      <w:r>
        <w:rPr/>
        <w:t>held</w:t>
      </w:r>
      <w:r>
        <w:rPr>
          <w:spacing w:val="-19"/>
        </w:rPr>
        <w:t> </w:t>
      </w:r>
      <w:r>
        <w:rPr/>
        <w:t>by</w:t>
      </w:r>
      <w:r>
        <w:rPr>
          <w:spacing w:val="-19"/>
        </w:rPr>
        <w:t> </w:t>
      </w:r>
      <w:r>
        <w:rPr/>
        <w:t>Cotton Textile Mills, shall not be regulated by the provisions of this regulations and reserved lands shall be handed over to MCGM or the Appropriate Authority in lieu of TDR or shall be developed as per the provisions laid down under Regulation No 17</w:t>
      </w:r>
    </w:p>
    <w:p>
      <w:pPr>
        <w:pStyle w:val="BodyText"/>
        <w:ind w:left="1104" w:right="838"/>
      </w:pPr>
      <w:r>
        <w:rPr/>
        <w:t>If the residential buildings/chawls are situated on a reserved parcel of land, then land component of the chawl shall be developed as per the provisions of clause</w:t>
      </w:r>
      <w:r>
        <w:rPr>
          <w:spacing w:val="18"/>
        </w:rPr>
        <w:t> </w:t>
      </w:r>
      <w:r>
        <w:rPr/>
        <w:t>(7)</w:t>
      </w:r>
      <w:r>
        <w:rPr>
          <w:spacing w:val="19"/>
        </w:rPr>
        <w:t> </w:t>
      </w:r>
      <w:r>
        <w:rPr/>
        <w:t>of</w:t>
      </w:r>
      <w:r>
        <w:rPr>
          <w:spacing w:val="19"/>
        </w:rPr>
        <w:t> </w:t>
      </w:r>
      <w:r>
        <w:rPr/>
        <w:t>this</w:t>
      </w:r>
      <w:r>
        <w:rPr>
          <w:spacing w:val="17"/>
        </w:rPr>
        <w:t> </w:t>
      </w:r>
      <w:r>
        <w:rPr/>
        <w:t>Regulation</w:t>
      </w:r>
      <w:r>
        <w:rPr>
          <w:spacing w:val="19"/>
        </w:rPr>
        <w:t> </w:t>
      </w:r>
      <w:r>
        <w:rPr/>
        <w:t>without</w:t>
      </w:r>
      <w:r>
        <w:rPr>
          <w:spacing w:val="19"/>
        </w:rPr>
        <w:t> </w:t>
      </w:r>
      <w:r>
        <w:rPr/>
        <w:t>considering</w:t>
      </w:r>
      <w:r>
        <w:rPr>
          <w:spacing w:val="19"/>
        </w:rPr>
        <w:t> </w:t>
      </w:r>
      <w:r>
        <w:rPr/>
        <w:t>the</w:t>
      </w:r>
      <w:r>
        <w:rPr>
          <w:spacing w:val="19"/>
        </w:rPr>
        <w:t> </w:t>
      </w:r>
      <w:r>
        <w:rPr/>
        <w:t>reservation</w:t>
      </w:r>
      <w:r>
        <w:rPr>
          <w:spacing w:val="19"/>
        </w:rPr>
        <w:t> </w:t>
      </w:r>
      <w:r>
        <w:rPr/>
        <w:t>&amp;</w:t>
      </w:r>
      <w:r>
        <w:rPr>
          <w:spacing w:val="23"/>
        </w:rPr>
        <w:t> </w:t>
      </w:r>
      <w:r>
        <w:rPr>
          <w:spacing w:val="-2"/>
        </w:rPr>
        <w:t>remaining</w:t>
      </w:r>
    </w:p>
    <w:p>
      <w:pPr>
        <w:pStyle w:val="BodyText"/>
        <w:spacing w:after="0"/>
        <w:sectPr>
          <w:pgSz w:w="11910" w:h="16840"/>
          <w:pgMar w:header="1058" w:footer="1088" w:top="1500" w:bottom="1280" w:left="360" w:right="360"/>
        </w:sectPr>
      </w:pPr>
    </w:p>
    <w:p>
      <w:pPr>
        <w:pStyle w:val="BodyText"/>
        <w:spacing w:before="255"/>
        <w:ind w:left="1104" w:right="840"/>
      </w:pPr>
      <w:r>
        <w:rPr/>
        <w:t>reserved land shall be developed as per the provisions laid down under Regulation No 17.</w:t>
      </w:r>
    </w:p>
    <w:p>
      <w:pPr>
        <w:pStyle w:val="ListParagraph"/>
        <w:numPr>
          <w:ilvl w:val="0"/>
          <w:numId w:val="144"/>
        </w:numPr>
        <w:tabs>
          <w:tab w:pos="1530" w:val="left" w:leader="none"/>
        </w:tabs>
        <w:spacing w:line="240" w:lineRule="auto" w:before="96" w:after="0"/>
        <w:ind w:left="1044" w:right="842" w:firstLine="0"/>
        <w:jc w:val="both"/>
        <w:rPr>
          <w:b/>
          <w:sz w:val="24"/>
        </w:rPr>
      </w:pPr>
      <w:r>
        <w:rPr>
          <w:sz w:val="24"/>
        </w:rPr>
        <w:t>The provisions of sub Regulation no 1(b) of this Regulation shall not be applicable</w:t>
      </w:r>
      <w:r>
        <w:rPr>
          <w:spacing w:val="-18"/>
          <w:sz w:val="24"/>
        </w:rPr>
        <w:t> </w:t>
      </w:r>
      <w:r>
        <w:rPr>
          <w:sz w:val="24"/>
        </w:rPr>
        <w:t>where</w:t>
      </w:r>
      <w:r>
        <w:rPr>
          <w:spacing w:val="-18"/>
          <w:sz w:val="24"/>
        </w:rPr>
        <w:t> </w:t>
      </w:r>
      <w:r>
        <w:rPr>
          <w:sz w:val="24"/>
        </w:rPr>
        <w:t>the</w:t>
      </w:r>
      <w:r>
        <w:rPr>
          <w:spacing w:val="-20"/>
          <w:sz w:val="24"/>
        </w:rPr>
        <w:t> </w:t>
      </w:r>
      <w:r>
        <w:rPr>
          <w:sz w:val="24"/>
        </w:rPr>
        <w:t>share</w:t>
      </w:r>
      <w:r>
        <w:rPr>
          <w:spacing w:val="-17"/>
          <w:sz w:val="24"/>
        </w:rPr>
        <w:t> </w:t>
      </w:r>
      <w:r>
        <w:rPr>
          <w:sz w:val="24"/>
        </w:rPr>
        <w:t>of</w:t>
      </w:r>
      <w:r>
        <w:rPr>
          <w:spacing w:val="-18"/>
          <w:sz w:val="24"/>
        </w:rPr>
        <w:t> </w:t>
      </w:r>
      <w:r>
        <w:rPr>
          <w:sz w:val="24"/>
        </w:rPr>
        <w:t>MHADA</w:t>
      </w:r>
      <w:r>
        <w:rPr>
          <w:spacing w:val="-18"/>
          <w:sz w:val="24"/>
        </w:rPr>
        <w:t> </w:t>
      </w:r>
      <w:r>
        <w:rPr>
          <w:sz w:val="24"/>
        </w:rPr>
        <w:t>and</w:t>
      </w:r>
      <w:r>
        <w:rPr>
          <w:spacing w:val="-18"/>
          <w:sz w:val="24"/>
        </w:rPr>
        <w:t> </w:t>
      </w:r>
      <w:r>
        <w:rPr>
          <w:sz w:val="24"/>
        </w:rPr>
        <w:t>MCGM</w:t>
      </w:r>
      <w:r>
        <w:rPr>
          <w:spacing w:val="-18"/>
          <w:sz w:val="24"/>
        </w:rPr>
        <w:t> </w:t>
      </w:r>
      <w:r>
        <w:rPr>
          <w:sz w:val="24"/>
        </w:rPr>
        <w:t>land</w:t>
      </w:r>
      <w:r>
        <w:rPr>
          <w:spacing w:val="-18"/>
          <w:sz w:val="24"/>
        </w:rPr>
        <w:t> </w:t>
      </w:r>
      <w:r>
        <w:rPr>
          <w:sz w:val="24"/>
        </w:rPr>
        <w:t>has</w:t>
      </w:r>
      <w:r>
        <w:rPr>
          <w:spacing w:val="-18"/>
          <w:sz w:val="24"/>
        </w:rPr>
        <w:t> </w:t>
      </w:r>
      <w:r>
        <w:rPr>
          <w:sz w:val="24"/>
        </w:rPr>
        <w:t>already</w:t>
      </w:r>
      <w:r>
        <w:rPr>
          <w:spacing w:val="-18"/>
          <w:sz w:val="24"/>
        </w:rPr>
        <w:t> </w:t>
      </w:r>
      <w:r>
        <w:rPr>
          <w:sz w:val="24"/>
        </w:rPr>
        <w:t>been</w:t>
      </w:r>
      <w:r>
        <w:rPr>
          <w:spacing w:val="-18"/>
          <w:sz w:val="24"/>
        </w:rPr>
        <w:t> </w:t>
      </w:r>
      <w:r>
        <w:rPr>
          <w:sz w:val="24"/>
        </w:rPr>
        <w:t>handed over as per then prevailing Regulations. </w:t>
      </w:r>
      <w:r>
        <w:rPr>
          <w:b/>
          <w:sz w:val="24"/>
        </w:rPr>
        <w:t>( Clause 11 kept in abeyance)</w:t>
      </w:r>
    </w:p>
    <w:p>
      <w:pPr>
        <w:pStyle w:val="ListParagraph"/>
        <w:numPr>
          <w:ilvl w:val="0"/>
          <w:numId w:val="144"/>
        </w:numPr>
        <w:tabs>
          <w:tab w:pos="1492" w:val="left" w:leader="none"/>
        </w:tabs>
        <w:spacing w:line="276" w:lineRule="auto" w:before="94" w:after="0"/>
        <w:ind w:left="1056" w:right="770" w:firstLine="0"/>
        <w:jc w:val="both"/>
        <w:rPr>
          <w:sz w:val="24"/>
        </w:rPr>
      </w:pPr>
      <w:r>
        <w:rPr>
          <w:sz w:val="24"/>
        </w:rPr>
        <w:t>“Notwithstanding</w:t>
      </w:r>
      <w:r>
        <w:rPr>
          <w:spacing w:val="-15"/>
          <w:sz w:val="24"/>
        </w:rPr>
        <w:t> </w:t>
      </w:r>
      <w:r>
        <w:rPr>
          <w:sz w:val="24"/>
        </w:rPr>
        <w:t>anything</w:t>
      </w:r>
      <w:r>
        <w:rPr>
          <w:spacing w:val="-15"/>
          <w:sz w:val="24"/>
        </w:rPr>
        <w:t> </w:t>
      </w:r>
      <w:r>
        <w:rPr>
          <w:sz w:val="24"/>
        </w:rPr>
        <w:t>contained</w:t>
      </w:r>
      <w:r>
        <w:rPr>
          <w:spacing w:val="-17"/>
          <w:sz w:val="24"/>
        </w:rPr>
        <w:t> </w:t>
      </w:r>
      <w:r>
        <w:rPr>
          <w:sz w:val="24"/>
        </w:rPr>
        <w:t>above,</w:t>
      </w:r>
      <w:r>
        <w:rPr>
          <w:spacing w:val="-15"/>
          <w:sz w:val="24"/>
        </w:rPr>
        <w:t> </w:t>
      </w:r>
      <w:r>
        <w:rPr>
          <w:sz w:val="24"/>
        </w:rPr>
        <w:t>the</w:t>
      </w:r>
      <w:r>
        <w:rPr>
          <w:spacing w:val="-15"/>
          <w:sz w:val="24"/>
        </w:rPr>
        <w:t> </w:t>
      </w:r>
      <w:r>
        <w:rPr>
          <w:sz w:val="24"/>
        </w:rPr>
        <w:t>provisions</w:t>
      </w:r>
      <w:r>
        <w:rPr>
          <w:spacing w:val="-15"/>
          <w:sz w:val="24"/>
        </w:rPr>
        <w:t> </w:t>
      </w:r>
      <w:r>
        <w:rPr>
          <w:sz w:val="24"/>
        </w:rPr>
        <w:t>of</w:t>
      </w:r>
      <w:r>
        <w:rPr>
          <w:spacing w:val="-15"/>
          <w:sz w:val="24"/>
        </w:rPr>
        <w:t> </w:t>
      </w:r>
      <w:r>
        <w:rPr>
          <w:sz w:val="24"/>
        </w:rPr>
        <w:t>this</w:t>
      </w:r>
      <w:r>
        <w:rPr>
          <w:spacing w:val="-15"/>
          <w:sz w:val="24"/>
        </w:rPr>
        <w:t> </w:t>
      </w:r>
      <w:r>
        <w:rPr>
          <w:sz w:val="24"/>
        </w:rPr>
        <w:t>regulation will not be applicable to any future amendments which may be proposed in the layouts</w:t>
      </w:r>
      <w:r>
        <w:rPr>
          <w:spacing w:val="-6"/>
          <w:sz w:val="24"/>
        </w:rPr>
        <w:t> </w:t>
      </w:r>
      <w:r>
        <w:rPr>
          <w:sz w:val="24"/>
        </w:rPr>
        <w:t>of</w:t>
      </w:r>
      <w:r>
        <w:rPr>
          <w:spacing w:val="-6"/>
          <w:sz w:val="24"/>
        </w:rPr>
        <w:t> </w:t>
      </w:r>
      <w:r>
        <w:rPr>
          <w:sz w:val="24"/>
        </w:rPr>
        <w:t>existing</w:t>
      </w:r>
      <w:r>
        <w:rPr>
          <w:spacing w:val="-6"/>
          <w:sz w:val="24"/>
        </w:rPr>
        <w:t> </w:t>
      </w:r>
      <w:r>
        <w:rPr>
          <w:sz w:val="24"/>
        </w:rPr>
        <w:t>integrated</w:t>
      </w:r>
      <w:r>
        <w:rPr>
          <w:spacing w:val="-6"/>
          <w:sz w:val="24"/>
        </w:rPr>
        <w:t> </w:t>
      </w:r>
      <w:r>
        <w:rPr>
          <w:sz w:val="24"/>
        </w:rPr>
        <w:t>Development</w:t>
      </w:r>
      <w:r>
        <w:rPr>
          <w:spacing w:val="-6"/>
          <w:sz w:val="24"/>
        </w:rPr>
        <w:t> </w:t>
      </w:r>
      <w:r>
        <w:rPr>
          <w:sz w:val="24"/>
        </w:rPr>
        <w:t>Schemes</w:t>
      </w:r>
      <w:r>
        <w:rPr>
          <w:spacing w:val="-6"/>
          <w:sz w:val="24"/>
        </w:rPr>
        <w:t> </w:t>
      </w:r>
      <w:r>
        <w:rPr>
          <w:sz w:val="24"/>
        </w:rPr>
        <w:t>for</w:t>
      </w:r>
      <w:r>
        <w:rPr>
          <w:spacing w:val="-6"/>
          <w:sz w:val="24"/>
        </w:rPr>
        <w:t> </w:t>
      </w:r>
      <w:r>
        <w:rPr>
          <w:sz w:val="24"/>
        </w:rPr>
        <w:t>Textile</w:t>
      </w:r>
      <w:r>
        <w:rPr>
          <w:spacing w:val="-6"/>
          <w:sz w:val="24"/>
        </w:rPr>
        <w:t> </w:t>
      </w:r>
      <w:r>
        <w:rPr>
          <w:sz w:val="24"/>
        </w:rPr>
        <w:t>Mills</w:t>
      </w:r>
      <w:r>
        <w:rPr>
          <w:spacing w:val="-6"/>
          <w:sz w:val="24"/>
        </w:rPr>
        <w:t> </w:t>
      </w:r>
      <w:r>
        <w:rPr>
          <w:sz w:val="24"/>
        </w:rPr>
        <w:t>which</w:t>
      </w:r>
      <w:r>
        <w:rPr>
          <w:spacing w:val="-6"/>
          <w:sz w:val="24"/>
        </w:rPr>
        <w:t> </w:t>
      </w:r>
      <w:r>
        <w:rPr>
          <w:sz w:val="24"/>
        </w:rPr>
        <w:t>have been approved under Regulations 58 of DCR 1991 and where the proportionate share of land of MCGM/ MHADA as per the approved layout has been handed over to MCGM / Appropriate Authority prior to the coming in force of this </w:t>
      </w:r>
      <w:r>
        <w:rPr>
          <w:spacing w:val="-2"/>
          <w:sz w:val="24"/>
        </w:rPr>
        <w:t>regulation”</w:t>
      </w:r>
    </w:p>
    <w:p>
      <w:pPr>
        <w:pStyle w:val="BodyText"/>
        <w:spacing w:line="276" w:lineRule="auto"/>
        <w:ind w:left="1056" w:right="768"/>
        <w:rPr>
          <w:b/>
        </w:rPr>
      </w:pPr>
      <w:r>
        <w:rPr/>
        <w:t>However,</w:t>
      </w:r>
      <w:r>
        <w:rPr>
          <w:spacing w:val="-13"/>
        </w:rPr>
        <w:t> </w:t>
      </w:r>
      <w:r>
        <w:rPr/>
        <w:t>the</w:t>
      </w:r>
      <w:r>
        <w:rPr>
          <w:spacing w:val="-13"/>
        </w:rPr>
        <w:t> </w:t>
      </w:r>
      <w:r>
        <w:rPr/>
        <w:t>total</w:t>
      </w:r>
      <w:r>
        <w:rPr>
          <w:spacing w:val="-13"/>
        </w:rPr>
        <w:t> </w:t>
      </w:r>
      <w:r>
        <w:rPr/>
        <w:t>permissible</w:t>
      </w:r>
      <w:r>
        <w:rPr>
          <w:spacing w:val="-13"/>
        </w:rPr>
        <w:t> </w:t>
      </w:r>
      <w:r>
        <w:rPr/>
        <w:t>FSI</w:t>
      </w:r>
      <w:r>
        <w:rPr>
          <w:spacing w:val="-13"/>
        </w:rPr>
        <w:t> </w:t>
      </w:r>
      <w:r>
        <w:rPr/>
        <w:t>in</w:t>
      </w:r>
      <w:r>
        <w:rPr>
          <w:spacing w:val="-13"/>
        </w:rPr>
        <w:t> </w:t>
      </w:r>
      <w:r>
        <w:rPr/>
        <w:t>such</w:t>
      </w:r>
      <w:r>
        <w:rPr>
          <w:spacing w:val="-13"/>
        </w:rPr>
        <w:t> </w:t>
      </w:r>
      <w:r>
        <w:rPr/>
        <w:t>cases</w:t>
      </w:r>
      <w:r>
        <w:rPr>
          <w:spacing w:val="-13"/>
        </w:rPr>
        <w:t> </w:t>
      </w:r>
      <w:r>
        <w:rPr/>
        <w:t>will</w:t>
      </w:r>
      <w:r>
        <w:rPr>
          <w:spacing w:val="-13"/>
        </w:rPr>
        <w:t> </w:t>
      </w:r>
      <w:r>
        <w:rPr/>
        <w:t>be</w:t>
      </w:r>
      <w:r>
        <w:rPr>
          <w:spacing w:val="-13"/>
        </w:rPr>
        <w:t> </w:t>
      </w:r>
      <w:r>
        <w:rPr/>
        <w:t>restricted</w:t>
      </w:r>
      <w:r>
        <w:rPr>
          <w:spacing w:val="-13"/>
        </w:rPr>
        <w:t> </w:t>
      </w:r>
      <w:r>
        <w:rPr/>
        <w:t>to</w:t>
      </w:r>
      <w:r>
        <w:rPr>
          <w:spacing w:val="-13"/>
        </w:rPr>
        <w:t> </w:t>
      </w:r>
      <w:r>
        <w:rPr/>
        <w:t>a</w:t>
      </w:r>
      <w:r>
        <w:rPr>
          <w:spacing w:val="-13"/>
        </w:rPr>
        <w:t> </w:t>
      </w:r>
      <w:r>
        <w:rPr/>
        <w:t>maximum of 4 FSI. Provided further that in such cases the total permissible FSI may be allowed to be utilized by way of NTC FSI, TDR or Additional FSI by payment of premium in various combinations, at the option of the developer.</w:t>
      </w:r>
      <w:r>
        <w:rPr>
          <w:spacing w:val="40"/>
        </w:rPr>
        <w:t> </w:t>
      </w:r>
      <w:r>
        <w:rPr>
          <w:b/>
        </w:rPr>
        <w:t>(Clause 12 kept in abeyance)</w:t>
      </w:r>
    </w:p>
    <w:p>
      <w:pPr>
        <w:pStyle w:val="BodyText"/>
        <w:spacing w:after="0" w:line="276" w:lineRule="auto"/>
        <w:rPr>
          <w:b/>
        </w:rPr>
        <w:sectPr>
          <w:pgSz w:w="11910" w:h="16840"/>
          <w:pgMar w:header="1058" w:footer="1088" w:top="1500" w:bottom="1280" w:left="360" w:right="360"/>
        </w:sectPr>
      </w:pPr>
    </w:p>
    <w:p>
      <w:pPr>
        <w:pStyle w:val="BodyText"/>
        <w:spacing w:before="161"/>
        <w:jc w:val="left"/>
        <w:rPr>
          <w:b/>
          <w:sz w:val="32"/>
        </w:rPr>
      </w:pPr>
    </w:p>
    <w:p>
      <w:pPr>
        <w:pStyle w:val="Heading1"/>
        <w:spacing w:before="0"/>
        <w:ind w:right="4"/>
      </w:pPr>
      <w:r>
        <w:rPr/>
        <w:t>PART</w:t>
      </w:r>
      <w:r>
        <w:rPr>
          <w:spacing w:val="-19"/>
        </w:rPr>
        <w:t> </w:t>
      </w:r>
      <w:r>
        <w:rPr/>
        <w:t>VIII</w:t>
      </w:r>
      <w:r>
        <w:rPr>
          <w:spacing w:val="-13"/>
        </w:rPr>
        <w:t> </w:t>
      </w:r>
      <w:r>
        <w:rPr/>
        <w:t>GENERAL</w:t>
      </w:r>
      <w:r>
        <w:rPr>
          <w:spacing w:val="-28"/>
        </w:rPr>
        <w:t> </w:t>
      </w:r>
      <w:r>
        <w:rPr/>
        <w:t>BUILDING</w:t>
      </w:r>
      <w:r>
        <w:rPr>
          <w:spacing w:val="-27"/>
        </w:rPr>
        <w:t> </w:t>
      </w:r>
      <w:r>
        <w:rPr>
          <w:spacing w:val="-2"/>
        </w:rPr>
        <w:t>REQUIREMENTS</w:t>
      </w:r>
    </w:p>
    <w:p>
      <w:pPr>
        <w:pStyle w:val="Heading3"/>
        <w:numPr>
          <w:ilvl w:val="0"/>
          <w:numId w:val="133"/>
        </w:numPr>
        <w:tabs>
          <w:tab w:pos="1490" w:val="left" w:leader="none"/>
        </w:tabs>
        <w:spacing w:line="240" w:lineRule="auto" w:before="279" w:after="0"/>
        <w:ind w:left="1490" w:right="0" w:hanging="718"/>
        <w:jc w:val="both"/>
      </w:pPr>
      <w:r>
        <w:rPr/>
        <w:t>Occupancy</w:t>
      </w:r>
      <w:r>
        <w:rPr>
          <w:spacing w:val="-13"/>
        </w:rPr>
        <w:t> </w:t>
      </w:r>
      <w:r>
        <w:rPr>
          <w:spacing w:val="-4"/>
        </w:rPr>
        <w:t>Load</w:t>
      </w:r>
    </w:p>
    <w:p>
      <w:pPr>
        <w:pStyle w:val="BodyText"/>
        <w:spacing w:before="4"/>
        <w:ind w:left="1313" w:right="781"/>
      </w:pPr>
      <w:r>
        <w:rPr>
          <w:i/>
        </w:rPr>
        <w:t>Space</w:t>
      </w:r>
      <w:r>
        <w:rPr>
          <w:i/>
          <w:spacing w:val="40"/>
        </w:rPr>
        <w:t> </w:t>
      </w:r>
      <w:r>
        <w:rPr>
          <w:i/>
        </w:rPr>
        <w:t>requirements</w:t>
      </w:r>
      <w:r>
        <w:rPr>
          <w:i/>
          <w:spacing w:val="40"/>
        </w:rPr>
        <w:t> </w:t>
      </w:r>
      <w:r>
        <w:rPr>
          <w:i/>
        </w:rPr>
        <w:t>of</w:t>
      </w:r>
      <w:r>
        <w:rPr>
          <w:i/>
          <w:spacing w:val="40"/>
        </w:rPr>
        <w:t> </w:t>
      </w:r>
      <w:r>
        <w:rPr>
          <w:i/>
        </w:rPr>
        <w:t>various</w:t>
      </w:r>
      <w:r>
        <w:rPr>
          <w:i/>
          <w:spacing w:val="40"/>
        </w:rPr>
        <w:t> </w:t>
      </w:r>
      <w:r>
        <w:rPr>
          <w:i/>
        </w:rPr>
        <w:t>parts</w:t>
      </w:r>
      <w:r>
        <w:rPr>
          <w:i/>
          <w:spacing w:val="40"/>
        </w:rPr>
        <w:t> </w:t>
      </w:r>
      <w:r>
        <w:rPr>
          <w:i/>
        </w:rPr>
        <w:t>of</w:t>
      </w:r>
      <w:r>
        <w:rPr>
          <w:i/>
          <w:spacing w:val="40"/>
        </w:rPr>
        <w:t> </w:t>
      </w:r>
      <w:r>
        <w:rPr>
          <w:i/>
          <w:spacing w:val="9"/>
        </w:rPr>
        <w:t>Buildings,</w:t>
      </w:r>
      <w:r>
        <w:rPr>
          <w:i/>
          <w:spacing w:val="40"/>
        </w:rPr>
        <w:t> </w:t>
      </w:r>
      <w:r>
        <w:rPr>
          <w:i/>
          <w:spacing w:val="9"/>
        </w:rPr>
        <w:t>etc</w:t>
      </w:r>
      <w:r>
        <w:rPr>
          <w:spacing w:val="9"/>
        </w:rPr>
        <w:t>.-</w:t>
      </w:r>
      <w:r>
        <w:rPr/>
        <w:t>This</w:t>
      </w:r>
      <w:r>
        <w:rPr>
          <w:spacing w:val="40"/>
        </w:rPr>
        <w:t> </w:t>
      </w:r>
      <w:r>
        <w:rPr/>
        <w:t>Part</w:t>
      </w:r>
      <w:r>
        <w:rPr>
          <w:spacing w:val="40"/>
        </w:rPr>
        <w:t> </w:t>
      </w:r>
      <w:r>
        <w:rPr/>
        <w:t>sets</w:t>
      </w:r>
      <w:r>
        <w:rPr>
          <w:spacing w:val="40"/>
        </w:rPr>
        <w:t> </w:t>
      </w:r>
      <w:r>
        <w:rPr/>
        <w:t>out the</w:t>
      </w:r>
      <w:r>
        <w:rPr>
          <w:spacing w:val="38"/>
        </w:rPr>
        <w:t> </w:t>
      </w:r>
      <w:r>
        <w:rPr/>
        <w:t>standard</w:t>
      </w:r>
      <w:r>
        <w:rPr>
          <w:spacing w:val="38"/>
        </w:rPr>
        <w:t> </w:t>
      </w:r>
      <w:r>
        <w:rPr/>
        <w:t>space</w:t>
      </w:r>
      <w:r>
        <w:rPr>
          <w:spacing w:val="40"/>
        </w:rPr>
        <w:t> </w:t>
      </w:r>
      <w:r>
        <w:rPr/>
        <w:t>requirements</w:t>
      </w:r>
      <w:r>
        <w:rPr>
          <w:spacing w:val="40"/>
        </w:rPr>
        <w:t> </w:t>
      </w:r>
      <w:r>
        <w:rPr/>
        <w:t>of</w:t>
      </w:r>
      <w:r>
        <w:rPr>
          <w:spacing w:val="38"/>
        </w:rPr>
        <w:t> </w:t>
      </w:r>
      <w:r>
        <w:rPr/>
        <w:t>various</w:t>
      </w:r>
      <w:r>
        <w:rPr>
          <w:spacing w:val="40"/>
        </w:rPr>
        <w:t> </w:t>
      </w:r>
      <w:r>
        <w:rPr/>
        <w:t>parts</w:t>
      </w:r>
      <w:r>
        <w:rPr>
          <w:spacing w:val="40"/>
        </w:rPr>
        <w:t> </w:t>
      </w:r>
      <w:r>
        <w:rPr/>
        <w:t>of</w:t>
      </w:r>
      <w:r>
        <w:rPr>
          <w:spacing w:val="40"/>
        </w:rPr>
        <w:t> </w:t>
      </w:r>
      <w:r>
        <w:rPr/>
        <w:t>a</w:t>
      </w:r>
      <w:r>
        <w:rPr>
          <w:spacing w:val="40"/>
        </w:rPr>
        <w:t> </w:t>
      </w:r>
      <w:r>
        <w:rPr/>
        <w:t>building</w:t>
      </w:r>
      <w:r>
        <w:rPr>
          <w:spacing w:val="40"/>
        </w:rPr>
        <w:t> </w:t>
      </w:r>
      <w:r>
        <w:rPr/>
        <w:t>and</w:t>
      </w:r>
      <w:r>
        <w:rPr>
          <w:spacing w:val="40"/>
        </w:rPr>
        <w:t> </w:t>
      </w:r>
      <w:r>
        <w:rPr/>
        <w:t>those of</w:t>
      </w:r>
      <w:r>
        <w:rPr>
          <w:spacing w:val="40"/>
        </w:rPr>
        <w:t> </w:t>
      </w:r>
      <w:r>
        <w:rPr/>
        <w:t>light</w:t>
      </w:r>
      <w:r>
        <w:rPr>
          <w:spacing w:val="40"/>
        </w:rPr>
        <w:t> </w:t>
      </w:r>
      <w:r>
        <w:rPr/>
        <w:t>and</w:t>
      </w:r>
      <w:r>
        <w:rPr>
          <w:spacing w:val="40"/>
        </w:rPr>
        <w:t> </w:t>
      </w:r>
      <w:r>
        <w:rPr/>
        <w:t>ventilation,</w:t>
      </w:r>
      <w:r>
        <w:rPr>
          <w:spacing w:val="40"/>
        </w:rPr>
        <w:t> </w:t>
      </w:r>
      <w:r>
        <w:rPr/>
        <w:t>the</w:t>
      </w:r>
      <w:r>
        <w:rPr>
          <w:spacing w:val="40"/>
        </w:rPr>
        <w:t> </w:t>
      </w:r>
      <w:r>
        <w:rPr/>
        <w:t>building</w:t>
      </w:r>
      <w:r>
        <w:rPr>
          <w:spacing w:val="40"/>
        </w:rPr>
        <w:t> </w:t>
      </w:r>
      <w:r>
        <w:rPr/>
        <w:t>services,</w:t>
      </w:r>
      <w:r>
        <w:rPr>
          <w:spacing w:val="40"/>
        </w:rPr>
        <w:t> </w:t>
      </w:r>
      <w:r>
        <w:rPr/>
        <w:t>fire</w:t>
      </w:r>
      <w:r>
        <w:rPr>
          <w:spacing w:val="40"/>
        </w:rPr>
        <w:t> </w:t>
      </w:r>
      <w:r>
        <w:rPr/>
        <w:t>safety,</w:t>
      </w:r>
      <w:r>
        <w:rPr>
          <w:spacing w:val="40"/>
        </w:rPr>
        <w:t> </w:t>
      </w:r>
      <w:r>
        <w:rPr/>
        <w:t>etc.</w:t>
      </w:r>
      <w:r>
        <w:rPr>
          <w:spacing w:val="40"/>
        </w:rPr>
        <w:t> </w:t>
      </w:r>
      <w:r>
        <w:rPr/>
        <w:t>Some</w:t>
      </w:r>
      <w:r>
        <w:rPr>
          <w:spacing w:val="40"/>
        </w:rPr>
        <w:t> </w:t>
      </w:r>
      <w:r>
        <w:rPr/>
        <w:t>of these</w:t>
      </w:r>
      <w:r>
        <w:rPr>
          <w:spacing w:val="40"/>
        </w:rPr>
        <w:t> </w:t>
      </w:r>
      <w:r>
        <w:rPr/>
        <w:t>items</w:t>
      </w:r>
      <w:r>
        <w:rPr>
          <w:spacing w:val="40"/>
        </w:rPr>
        <w:t> </w:t>
      </w:r>
      <w:r>
        <w:rPr/>
        <w:t>depend</w:t>
      </w:r>
      <w:r>
        <w:rPr>
          <w:spacing w:val="40"/>
        </w:rPr>
        <w:t> </w:t>
      </w:r>
      <w:r>
        <w:rPr/>
        <w:t>on</w:t>
      </w:r>
      <w:r>
        <w:rPr>
          <w:spacing w:val="40"/>
        </w:rPr>
        <w:t> </w:t>
      </w:r>
      <w:r>
        <w:rPr/>
        <w:t>the</w:t>
      </w:r>
      <w:r>
        <w:rPr>
          <w:spacing w:val="40"/>
        </w:rPr>
        <w:t> </w:t>
      </w:r>
      <w:r>
        <w:rPr/>
        <w:t>number</w:t>
      </w:r>
      <w:r>
        <w:rPr>
          <w:spacing w:val="40"/>
        </w:rPr>
        <w:t> </w:t>
      </w:r>
      <w:r>
        <w:rPr/>
        <w:t>of</w:t>
      </w:r>
      <w:r>
        <w:rPr>
          <w:spacing w:val="40"/>
        </w:rPr>
        <w:t> </w:t>
      </w:r>
      <w:r>
        <w:rPr/>
        <w:t>persons</w:t>
      </w:r>
      <w:r>
        <w:rPr>
          <w:spacing w:val="40"/>
        </w:rPr>
        <w:t> </w:t>
      </w:r>
      <w:r>
        <w:rPr/>
        <w:t>who</w:t>
      </w:r>
      <w:r>
        <w:rPr>
          <w:spacing w:val="40"/>
        </w:rPr>
        <w:t> </w:t>
      </w:r>
      <w:r>
        <w:rPr/>
        <w:t>would</w:t>
      </w:r>
      <w:r>
        <w:rPr>
          <w:spacing w:val="40"/>
        </w:rPr>
        <w:t> </w:t>
      </w:r>
      <w:r>
        <w:rPr/>
        <w:t>normally</w:t>
      </w:r>
      <w:r>
        <w:rPr>
          <w:spacing w:val="40"/>
        </w:rPr>
        <w:t> </w:t>
      </w:r>
      <w:r>
        <w:rPr/>
        <w:t>occupy</w:t>
      </w:r>
      <w:r>
        <w:rPr>
          <w:spacing w:val="40"/>
        </w:rPr>
        <w:t> </w:t>
      </w:r>
      <w:r>
        <w:rPr/>
        <w:t>the</w:t>
      </w:r>
      <w:r>
        <w:rPr>
          <w:spacing w:val="40"/>
        </w:rPr>
        <w:t> </w:t>
      </w:r>
      <w:r>
        <w:rPr/>
        <w:t>building,</w:t>
      </w:r>
      <w:r>
        <w:rPr>
          <w:spacing w:val="40"/>
        </w:rPr>
        <w:t> </w:t>
      </w:r>
      <w:r>
        <w:rPr/>
        <w:t>for</w:t>
      </w:r>
      <w:r>
        <w:rPr>
          <w:spacing w:val="40"/>
        </w:rPr>
        <w:t> </w:t>
      </w:r>
      <w:r>
        <w:rPr/>
        <w:t>which</w:t>
      </w:r>
      <w:r>
        <w:rPr>
          <w:spacing w:val="40"/>
        </w:rPr>
        <w:t> </w:t>
      </w:r>
      <w:r>
        <w:rPr/>
        <w:t>the</w:t>
      </w:r>
      <w:r>
        <w:rPr>
          <w:spacing w:val="40"/>
        </w:rPr>
        <w:t> </w:t>
      </w:r>
      <w:r>
        <w:rPr/>
        <w:t>occupant</w:t>
      </w:r>
      <w:r>
        <w:rPr>
          <w:spacing w:val="40"/>
        </w:rPr>
        <w:t> </w:t>
      </w:r>
      <w:r>
        <w:rPr/>
        <w:t>load</w:t>
      </w:r>
      <w:r>
        <w:rPr>
          <w:spacing w:val="40"/>
        </w:rPr>
        <w:t> </w:t>
      </w:r>
      <w:r>
        <w:rPr/>
        <w:t>should</w:t>
      </w:r>
      <w:r>
        <w:rPr>
          <w:spacing w:val="40"/>
        </w:rPr>
        <w:t> </w:t>
      </w:r>
      <w:r>
        <w:rPr/>
        <w:t>be</w:t>
      </w:r>
      <w:r>
        <w:rPr>
          <w:spacing w:val="40"/>
        </w:rPr>
        <w:t> </w:t>
      </w:r>
      <w:r>
        <w:rPr/>
        <w:t>worked</w:t>
      </w:r>
      <w:r>
        <w:rPr>
          <w:spacing w:val="40"/>
        </w:rPr>
        <w:t> </w:t>
      </w:r>
      <w:r>
        <w:rPr/>
        <w:t>out from</w:t>
      </w:r>
      <w:r>
        <w:rPr>
          <w:spacing w:val="40"/>
        </w:rPr>
        <w:t> </w:t>
      </w:r>
      <w:r>
        <w:rPr/>
        <w:t>Table</w:t>
      </w:r>
      <w:r>
        <w:rPr>
          <w:spacing w:val="40"/>
        </w:rPr>
        <w:t> </w:t>
      </w:r>
      <w:r>
        <w:rPr/>
        <w:t>No</w:t>
      </w:r>
      <w:r>
        <w:rPr>
          <w:spacing w:val="40"/>
        </w:rPr>
        <w:t> </w:t>
      </w:r>
      <w:r>
        <w:rPr/>
        <w:t>13</w:t>
      </w:r>
      <w:r>
        <w:rPr>
          <w:spacing w:val="40"/>
        </w:rPr>
        <w:t> </w:t>
      </w:r>
      <w:r>
        <w:rPr/>
        <w:t>hereunder:</w:t>
      </w:r>
    </w:p>
    <w:p>
      <w:pPr>
        <w:pStyle w:val="Heading5"/>
        <w:spacing w:before="280"/>
        <w:ind w:left="1313"/>
        <w:jc w:val="both"/>
      </w:pPr>
      <w:r>
        <w:rPr/>
        <w:t>Table</w:t>
      </w:r>
      <w:r>
        <w:rPr>
          <w:spacing w:val="47"/>
        </w:rPr>
        <w:t> </w:t>
      </w:r>
      <w:r>
        <w:rPr/>
        <w:t>No:</w:t>
      </w:r>
      <w:r>
        <w:rPr>
          <w:spacing w:val="47"/>
        </w:rPr>
        <w:t> </w:t>
      </w:r>
      <w:r>
        <w:rPr>
          <w:spacing w:val="-5"/>
        </w:rPr>
        <w:t>13</w:t>
      </w:r>
    </w:p>
    <w:p>
      <w:pPr>
        <w:spacing w:before="2"/>
        <w:ind w:left="0" w:right="0" w:firstLine="0"/>
        <w:jc w:val="center"/>
        <w:rPr>
          <w:b/>
          <w:sz w:val="24"/>
        </w:rPr>
      </w:pPr>
      <w:r>
        <w:rPr>
          <w:b/>
          <w:sz w:val="24"/>
        </w:rPr>
        <w:t>Occupant </w:t>
      </w:r>
      <w:r>
        <w:rPr>
          <w:b/>
          <w:spacing w:val="-4"/>
          <w:sz w:val="24"/>
        </w:rPr>
        <w:t>Load</w:t>
      </w:r>
    </w:p>
    <w:p>
      <w:pPr>
        <w:pStyle w:val="BodyText"/>
        <w:spacing w:before="176"/>
        <w:jc w:val="left"/>
        <w:rPr>
          <w:b/>
          <w:sz w:val="20"/>
        </w:rPr>
      </w:pPr>
    </w:p>
    <w:tbl>
      <w:tblPr>
        <w:tblW w:w="0" w:type="auto"/>
        <w:jc w:val="left"/>
        <w:tblInd w:w="15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52"/>
        <w:gridCol w:w="4967"/>
        <w:gridCol w:w="2329"/>
      </w:tblGrid>
      <w:tr>
        <w:trPr>
          <w:trHeight w:val="1504" w:hRule="atLeast"/>
        </w:trPr>
        <w:tc>
          <w:tcPr>
            <w:tcW w:w="852" w:type="dxa"/>
            <w:shd w:val="clear" w:color="auto" w:fill="EDEBE0"/>
          </w:tcPr>
          <w:p>
            <w:pPr>
              <w:pStyle w:val="TableParagraph"/>
              <w:spacing w:before="95"/>
              <w:ind w:left="107" w:right="120"/>
              <w:rPr>
                <w:sz w:val="24"/>
              </w:rPr>
            </w:pPr>
            <w:r>
              <w:rPr>
                <w:spacing w:val="-2"/>
                <w:sz w:val="24"/>
              </w:rPr>
              <w:t>Seria </w:t>
            </w:r>
            <w:r>
              <w:rPr>
                <w:spacing w:val="-10"/>
                <w:sz w:val="24"/>
              </w:rPr>
              <w:t>l</w:t>
            </w:r>
          </w:p>
          <w:p>
            <w:pPr>
              <w:pStyle w:val="TableParagraph"/>
              <w:ind w:left="107" w:right="333"/>
              <w:rPr>
                <w:sz w:val="24"/>
              </w:rPr>
            </w:pPr>
            <w:r>
              <w:rPr>
                <w:spacing w:val="-4"/>
                <w:sz w:val="24"/>
              </w:rPr>
              <w:t>No. (1)</w:t>
            </w:r>
          </w:p>
        </w:tc>
        <w:tc>
          <w:tcPr>
            <w:tcW w:w="4967" w:type="dxa"/>
            <w:shd w:val="clear" w:color="auto" w:fill="EDEBE0"/>
          </w:tcPr>
          <w:p>
            <w:pPr>
              <w:pStyle w:val="TableParagraph"/>
              <w:spacing w:line="480" w:lineRule="auto"/>
              <w:ind w:left="107" w:right="2400"/>
              <w:rPr>
                <w:sz w:val="24"/>
              </w:rPr>
            </w:pPr>
            <w:r>
              <w:rPr>
                <w:sz w:val="24"/>
              </w:rPr>
              <w:t>Type</w:t>
            </w:r>
            <w:r>
              <w:rPr>
                <w:spacing w:val="-20"/>
                <w:sz w:val="24"/>
              </w:rPr>
              <w:t> </w:t>
            </w:r>
            <w:r>
              <w:rPr>
                <w:sz w:val="24"/>
              </w:rPr>
              <w:t>of</w:t>
            </w:r>
            <w:r>
              <w:rPr>
                <w:spacing w:val="-19"/>
                <w:sz w:val="24"/>
              </w:rPr>
              <w:t> </w:t>
            </w:r>
            <w:r>
              <w:rPr>
                <w:sz w:val="24"/>
              </w:rPr>
              <w:t>Occupancy </w:t>
            </w:r>
            <w:r>
              <w:rPr>
                <w:spacing w:val="-4"/>
                <w:sz w:val="24"/>
              </w:rPr>
              <w:t>(2)</w:t>
            </w:r>
          </w:p>
        </w:tc>
        <w:tc>
          <w:tcPr>
            <w:tcW w:w="2329" w:type="dxa"/>
            <w:shd w:val="clear" w:color="auto" w:fill="EDEBE0"/>
          </w:tcPr>
          <w:p>
            <w:pPr>
              <w:pStyle w:val="TableParagraph"/>
              <w:ind w:left="107" w:right="134"/>
              <w:rPr>
                <w:sz w:val="24"/>
              </w:rPr>
            </w:pPr>
            <w:r>
              <w:rPr>
                <w:sz w:val="24"/>
              </w:rPr>
              <w:t>Occupant load per</w:t>
            </w:r>
            <w:r>
              <w:rPr>
                <w:spacing w:val="-10"/>
                <w:sz w:val="24"/>
              </w:rPr>
              <w:t> </w:t>
            </w:r>
            <w:r>
              <w:rPr>
                <w:sz w:val="24"/>
              </w:rPr>
              <w:t>100</w:t>
            </w:r>
            <w:r>
              <w:rPr>
                <w:spacing w:val="-10"/>
                <w:sz w:val="24"/>
              </w:rPr>
              <w:t> </w:t>
            </w:r>
            <w:r>
              <w:rPr>
                <w:sz w:val="24"/>
              </w:rPr>
              <w:t>sq.</w:t>
            </w:r>
            <w:r>
              <w:rPr>
                <w:spacing w:val="-10"/>
                <w:sz w:val="24"/>
              </w:rPr>
              <w:t> </w:t>
            </w:r>
            <w:r>
              <w:rPr>
                <w:sz w:val="24"/>
              </w:rPr>
              <w:t>m.</w:t>
            </w:r>
            <w:r>
              <w:rPr>
                <w:spacing w:val="-10"/>
                <w:sz w:val="24"/>
              </w:rPr>
              <w:t> </w:t>
            </w:r>
            <w:r>
              <w:rPr>
                <w:sz w:val="24"/>
              </w:rPr>
              <w:t>of plinth</w:t>
            </w:r>
            <w:r>
              <w:rPr>
                <w:spacing w:val="-17"/>
                <w:sz w:val="24"/>
              </w:rPr>
              <w:t> </w:t>
            </w:r>
            <w:r>
              <w:rPr>
                <w:sz w:val="24"/>
              </w:rPr>
              <w:t>or</w:t>
            </w:r>
            <w:r>
              <w:rPr>
                <w:spacing w:val="-17"/>
                <w:sz w:val="24"/>
              </w:rPr>
              <w:t> </w:t>
            </w:r>
            <w:r>
              <w:rPr>
                <w:sz w:val="24"/>
              </w:rPr>
              <w:t>covered </w:t>
            </w:r>
            <w:r>
              <w:rPr>
                <w:spacing w:val="-4"/>
                <w:sz w:val="24"/>
              </w:rPr>
              <w:t>area</w:t>
            </w:r>
          </w:p>
          <w:p>
            <w:pPr>
              <w:pStyle w:val="TableParagraph"/>
              <w:ind w:left="107"/>
              <w:rPr>
                <w:sz w:val="24"/>
              </w:rPr>
            </w:pPr>
            <w:r>
              <w:rPr>
                <w:spacing w:val="-5"/>
                <w:sz w:val="24"/>
              </w:rPr>
              <w:t>(3)</w:t>
            </w:r>
          </w:p>
        </w:tc>
      </w:tr>
      <w:tr>
        <w:trPr>
          <w:trHeight w:val="378" w:hRule="atLeast"/>
        </w:trPr>
        <w:tc>
          <w:tcPr>
            <w:tcW w:w="852" w:type="dxa"/>
          </w:tcPr>
          <w:p>
            <w:pPr>
              <w:pStyle w:val="TableParagraph"/>
              <w:spacing w:line="261" w:lineRule="exact" w:before="97"/>
              <w:ind w:left="107"/>
              <w:rPr>
                <w:sz w:val="24"/>
              </w:rPr>
            </w:pPr>
            <w:r>
              <w:rPr>
                <w:spacing w:val="-10"/>
                <w:sz w:val="24"/>
              </w:rPr>
              <w:t>1</w:t>
            </w:r>
          </w:p>
        </w:tc>
        <w:tc>
          <w:tcPr>
            <w:tcW w:w="4967" w:type="dxa"/>
          </w:tcPr>
          <w:p>
            <w:pPr>
              <w:pStyle w:val="TableParagraph"/>
              <w:spacing w:before="1"/>
              <w:ind w:left="107"/>
              <w:rPr>
                <w:sz w:val="24"/>
              </w:rPr>
            </w:pPr>
            <w:r>
              <w:rPr>
                <w:spacing w:val="-2"/>
                <w:sz w:val="24"/>
              </w:rPr>
              <w:t>Residential</w:t>
            </w:r>
          </w:p>
        </w:tc>
        <w:tc>
          <w:tcPr>
            <w:tcW w:w="2329" w:type="dxa"/>
          </w:tcPr>
          <w:p>
            <w:pPr>
              <w:pStyle w:val="TableParagraph"/>
              <w:spacing w:before="1"/>
              <w:ind w:left="107"/>
              <w:rPr>
                <w:sz w:val="24"/>
              </w:rPr>
            </w:pPr>
            <w:r>
              <w:rPr>
                <w:spacing w:val="-10"/>
                <w:sz w:val="24"/>
              </w:rPr>
              <w:t>8</w:t>
            </w:r>
          </w:p>
        </w:tc>
      </w:tr>
      <w:tr>
        <w:trPr>
          <w:trHeight w:val="378" w:hRule="atLeast"/>
        </w:trPr>
        <w:tc>
          <w:tcPr>
            <w:tcW w:w="852" w:type="dxa"/>
          </w:tcPr>
          <w:p>
            <w:pPr>
              <w:pStyle w:val="TableParagraph"/>
              <w:spacing w:line="264" w:lineRule="exact" w:before="95"/>
              <w:ind w:left="107"/>
              <w:rPr>
                <w:sz w:val="24"/>
              </w:rPr>
            </w:pPr>
            <w:r>
              <w:rPr>
                <w:spacing w:val="-10"/>
                <w:sz w:val="24"/>
              </w:rPr>
              <w:t>2</w:t>
            </w:r>
          </w:p>
        </w:tc>
        <w:tc>
          <w:tcPr>
            <w:tcW w:w="4967" w:type="dxa"/>
          </w:tcPr>
          <w:p>
            <w:pPr>
              <w:pStyle w:val="TableParagraph"/>
              <w:spacing w:line="281" w:lineRule="exact"/>
              <w:ind w:left="107"/>
              <w:rPr>
                <w:sz w:val="24"/>
              </w:rPr>
            </w:pPr>
            <w:r>
              <w:rPr>
                <w:spacing w:val="-2"/>
                <w:sz w:val="24"/>
              </w:rPr>
              <w:t>Educational</w:t>
            </w:r>
          </w:p>
        </w:tc>
        <w:tc>
          <w:tcPr>
            <w:tcW w:w="2329" w:type="dxa"/>
          </w:tcPr>
          <w:p>
            <w:pPr>
              <w:pStyle w:val="TableParagraph"/>
              <w:spacing w:line="281" w:lineRule="exact"/>
              <w:ind w:left="107"/>
              <w:rPr>
                <w:sz w:val="24"/>
              </w:rPr>
            </w:pPr>
            <w:r>
              <w:rPr>
                <w:spacing w:val="-5"/>
                <w:sz w:val="24"/>
              </w:rPr>
              <w:t>25</w:t>
            </w:r>
          </w:p>
        </w:tc>
      </w:tr>
      <w:tr>
        <w:trPr>
          <w:trHeight w:val="376" w:hRule="atLeast"/>
        </w:trPr>
        <w:tc>
          <w:tcPr>
            <w:tcW w:w="852" w:type="dxa"/>
          </w:tcPr>
          <w:p>
            <w:pPr>
              <w:pStyle w:val="TableParagraph"/>
              <w:spacing w:line="261" w:lineRule="exact" w:before="95"/>
              <w:ind w:left="107"/>
              <w:rPr>
                <w:sz w:val="24"/>
              </w:rPr>
            </w:pPr>
            <w:r>
              <w:rPr>
                <w:spacing w:val="-10"/>
                <w:sz w:val="24"/>
              </w:rPr>
              <w:t>3</w:t>
            </w:r>
          </w:p>
        </w:tc>
        <w:tc>
          <w:tcPr>
            <w:tcW w:w="4967" w:type="dxa"/>
          </w:tcPr>
          <w:p>
            <w:pPr>
              <w:pStyle w:val="TableParagraph"/>
              <w:spacing w:line="281" w:lineRule="exact"/>
              <w:ind w:left="107"/>
              <w:rPr>
                <w:sz w:val="24"/>
              </w:rPr>
            </w:pPr>
            <w:r>
              <w:rPr>
                <w:spacing w:val="-2"/>
                <w:sz w:val="24"/>
              </w:rPr>
              <w:t>Institutional</w:t>
            </w:r>
          </w:p>
        </w:tc>
        <w:tc>
          <w:tcPr>
            <w:tcW w:w="2329" w:type="dxa"/>
          </w:tcPr>
          <w:p>
            <w:pPr>
              <w:pStyle w:val="TableParagraph"/>
              <w:spacing w:line="281" w:lineRule="exact"/>
              <w:ind w:left="107"/>
              <w:rPr>
                <w:sz w:val="24"/>
              </w:rPr>
            </w:pPr>
            <w:r>
              <w:rPr>
                <w:spacing w:val="-4"/>
                <w:sz w:val="24"/>
              </w:rPr>
              <w:t>6.6*</w:t>
            </w:r>
          </w:p>
        </w:tc>
      </w:tr>
      <w:tr>
        <w:trPr>
          <w:trHeight w:val="1408" w:hRule="atLeast"/>
        </w:trPr>
        <w:tc>
          <w:tcPr>
            <w:tcW w:w="852" w:type="dxa"/>
          </w:tcPr>
          <w:p>
            <w:pPr>
              <w:pStyle w:val="TableParagraph"/>
              <w:spacing w:before="95"/>
              <w:ind w:left="107"/>
              <w:rPr>
                <w:sz w:val="24"/>
              </w:rPr>
            </w:pPr>
            <w:r>
              <w:rPr>
                <w:spacing w:val="-10"/>
                <w:sz w:val="24"/>
              </w:rPr>
              <w:t>4</w:t>
            </w:r>
          </w:p>
        </w:tc>
        <w:tc>
          <w:tcPr>
            <w:tcW w:w="4967" w:type="dxa"/>
          </w:tcPr>
          <w:p>
            <w:pPr>
              <w:pStyle w:val="TableParagraph"/>
              <w:spacing w:line="281" w:lineRule="exact"/>
              <w:ind w:left="107"/>
              <w:rPr>
                <w:sz w:val="24"/>
              </w:rPr>
            </w:pPr>
            <w:r>
              <w:rPr>
                <w:sz w:val="24"/>
              </w:rPr>
              <w:t>Assembly </w:t>
            </w:r>
            <w:r>
              <w:rPr>
                <w:spacing w:val="-10"/>
                <w:sz w:val="24"/>
              </w:rPr>
              <w:t>:</w:t>
            </w:r>
          </w:p>
          <w:p>
            <w:pPr>
              <w:pStyle w:val="TableParagraph"/>
              <w:numPr>
                <w:ilvl w:val="0"/>
                <w:numId w:val="244"/>
              </w:numPr>
              <w:tabs>
                <w:tab w:pos="387" w:val="left" w:leader="none"/>
              </w:tabs>
              <w:spacing w:line="240" w:lineRule="auto" w:before="1" w:after="0"/>
              <w:ind w:left="107" w:right="412" w:firstLine="0"/>
              <w:jc w:val="left"/>
              <w:rPr>
                <w:sz w:val="24"/>
              </w:rPr>
            </w:pPr>
            <w:r>
              <w:rPr>
                <w:sz w:val="24"/>
              </w:rPr>
              <w:t>With</w:t>
            </w:r>
            <w:r>
              <w:rPr>
                <w:spacing w:val="-6"/>
                <w:sz w:val="24"/>
              </w:rPr>
              <w:t> </w:t>
            </w:r>
            <w:r>
              <w:rPr>
                <w:sz w:val="24"/>
              </w:rPr>
              <w:t>fixed</w:t>
            </w:r>
            <w:r>
              <w:rPr>
                <w:spacing w:val="-6"/>
                <w:sz w:val="24"/>
              </w:rPr>
              <w:t> </w:t>
            </w:r>
            <w:r>
              <w:rPr>
                <w:sz w:val="24"/>
              </w:rPr>
              <w:t>or</w:t>
            </w:r>
            <w:r>
              <w:rPr>
                <w:spacing w:val="-6"/>
                <w:sz w:val="24"/>
              </w:rPr>
              <w:t> </w:t>
            </w:r>
            <w:r>
              <w:rPr>
                <w:sz w:val="24"/>
              </w:rPr>
              <w:t>loose</w:t>
            </w:r>
            <w:r>
              <w:rPr>
                <w:spacing w:val="-6"/>
                <w:sz w:val="24"/>
              </w:rPr>
              <w:t> </w:t>
            </w:r>
            <w:r>
              <w:rPr>
                <w:sz w:val="24"/>
              </w:rPr>
              <w:t>seats</w:t>
            </w:r>
            <w:r>
              <w:rPr>
                <w:spacing w:val="-6"/>
                <w:sz w:val="24"/>
              </w:rPr>
              <w:t> </w:t>
            </w:r>
            <w:r>
              <w:rPr>
                <w:sz w:val="24"/>
              </w:rPr>
              <w:t>and</w:t>
            </w:r>
            <w:r>
              <w:rPr>
                <w:spacing w:val="-6"/>
                <w:sz w:val="24"/>
              </w:rPr>
              <w:t> </w:t>
            </w:r>
            <w:r>
              <w:rPr>
                <w:sz w:val="24"/>
              </w:rPr>
              <w:t>dance </w:t>
            </w:r>
            <w:r>
              <w:rPr>
                <w:spacing w:val="-2"/>
                <w:sz w:val="24"/>
              </w:rPr>
              <w:t>floor</w:t>
            </w:r>
          </w:p>
          <w:p>
            <w:pPr>
              <w:pStyle w:val="TableParagraph"/>
              <w:numPr>
                <w:ilvl w:val="0"/>
                <w:numId w:val="244"/>
              </w:numPr>
              <w:tabs>
                <w:tab w:pos="399" w:val="left" w:leader="none"/>
              </w:tabs>
              <w:spacing w:line="280" w:lineRule="exact" w:before="0" w:after="0"/>
              <w:ind w:left="107" w:right="512" w:firstLine="0"/>
              <w:jc w:val="left"/>
              <w:rPr>
                <w:sz w:val="24"/>
              </w:rPr>
            </w:pPr>
            <w:r>
              <w:rPr>
                <w:sz w:val="24"/>
              </w:rPr>
              <w:t>without</w:t>
            </w:r>
            <w:r>
              <w:rPr>
                <w:spacing w:val="-12"/>
                <w:sz w:val="24"/>
              </w:rPr>
              <w:t> </w:t>
            </w:r>
            <w:r>
              <w:rPr>
                <w:sz w:val="24"/>
              </w:rPr>
              <w:t>seating</w:t>
            </w:r>
            <w:r>
              <w:rPr>
                <w:spacing w:val="-12"/>
                <w:sz w:val="24"/>
              </w:rPr>
              <w:t> </w:t>
            </w:r>
            <w:r>
              <w:rPr>
                <w:sz w:val="24"/>
              </w:rPr>
              <w:t>facilities</w:t>
            </w:r>
            <w:r>
              <w:rPr>
                <w:spacing w:val="-12"/>
                <w:sz w:val="24"/>
              </w:rPr>
              <w:t> </w:t>
            </w:r>
            <w:r>
              <w:rPr>
                <w:sz w:val="24"/>
              </w:rPr>
              <w:t>including dining rooms</w:t>
            </w:r>
          </w:p>
        </w:tc>
        <w:tc>
          <w:tcPr>
            <w:tcW w:w="2329" w:type="dxa"/>
          </w:tcPr>
          <w:p>
            <w:pPr>
              <w:pStyle w:val="TableParagraph"/>
              <w:rPr>
                <w:b/>
                <w:sz w:val="24"/>
              </w:rPr>
            </w:pPr>
          </w:p>
          <w:p>
            <w:pPr>
              <w:pStyle w:val="TableParagraph"/>
              <w:spacing w:line="281" w:lineRule="exact" w:before="1"/>
              <w:ind w:left="107"/>
              <w:rPr>
                <w:sz w:val="24"/>
              </w:rPr>
            </w:pPr>
            <w:r>
              <w:rPr>
                <w:spacing w:val="-2"/>
                <w:sz w:val="24"/>
              </w:rPr>
              <w:t>166.6**</w:t>
            </w:r>
          </w:p>
          <w:p>
            <w:pPr>
              <w:pStyle w:val="TableParagraph"/>
              <w:spacing w:line="281" w:lineRule="exact"/>
              <w:ind w:left="107"/>
              <w:rPr>
                <w:sz w:val="24"/>
              </w:rPr>
            </w:pPr>
            <w:r>
              <w:rPr>
                <w:spacing w:val="-2"/>
                <w:sz w:val="24"/>
              </w:rPr>
              <w:t>66.6**</w:t>
            </w:r>
          </w:p>
        </w:tc>
      </w:tr>
      <w:tr>
        <w:trPr>
          <w:trHeight w:val="942" w:hRule="atLeast"/>
        </w:trPr>
        <w:tc>
          <w:tcPr>
            <w:tcW w:w="852" w:type="dxa"/>
          </w:tcPr>
          <w:p>
            <w:pPr>
              <w:pStyle w:val="TableParagraph"/>
              <w:spacing w:before="97"/>
              <w:ind w:left="107"/>
              <w:rPr>
                <w:sz w:val="24"/>
              </w:rPr>
            </w:pPr>
            <w:r>
              <w:rPr>
                <w:spacing w:val="-10"/>
                <w:sz w:val="24"/>
              </w:rPr>
              <w:t>5</w:t>
            </w:r>
          </w:p>
        </w:tc>
        <w:tc>
          <w:tcPr>
            <w:tcW w:w="4967" w:type="dxa"/>
          </w:tcPr>
          <w:p>
            <w:pPr>
              <w:pStyle w:val="TableParagraph"/>
              <w:spacing w:line="281" w:lineRule="exact" w:before="1"/>
              <w:ind w:left="107"/>
              <w:rPr>
                <w:sz w:val="24"/>
              </w:rPr>
            </w:pPr>
            <w:r>
              <w:rPr>
                <w:sz w:val="24"/>
              </w:rPr>
              <w:t>Mercantile </w:t>
            </w:r>
            <w:r>
              <w:rPr>
                <w:spacing w:val="-10"/>
                <w:sz w:val="24"/>
              </w:rPr>
              <w:t>:</w:t>
            </w:r>
          </w:p>
          <w:p>
            <w:pPr>
              <w:pStyle w:val="TableParagraph"/>
              <w:numPr>
                <w:ilvl w:val="0"/>
                <w:numId w:val="245"/>
              </w:numPr>
              <w:tabs>
                <w:tab w:pos="390" w:val="left" w:leader="none"/>
              </w:tabs>
              <w:spacing w:line="281" w:lineRule="exact" w:before="0" w:after="0"/>
              <w:ind w:left="390" w:right="0" w:hanging="283"/>
              <w:jc w:val="left"/>
              <w:rPr>
                <w:sz w:val="24"/>
              </w:rPr>
            </w:pPr>
            <w:r>
              <w:rPr>
                <w:sz w:val="24"/>
              </w:rPr>
              <w:t>Street</w:t>
            </w:r>
            <w:r>
              <w:rPr>
                <w:spacing w:val="-1"/>
                <w:sz w:val="24"/>
              </w:rPr>
              <w:t> </w:t>
            </w:r>
            <w:r>
              <w:rPr>
                <w:sz w:val="24"/>
              </w:rPr>
              <w:t>floor and</w:t>
            </w:r>
            <w:r>
              <w:rPr>
                <w:spacing w:val="-1"/>
                <w:sz w:val="24"/>
              </w:rPr>
              <w:t> </w:t>
            </w:r>
            <w:r>
              <w:rPr>
                <w:sz w:val="24"/>
              </w:rPr>
              <w:t>sales </w:t>
            </w:r>
            <w:r>
              <w:rPr>
                <w:spacing w:val="-2"/>
                <w:sz w:val="24"/>
              </w:rPr>
              <w:t>basement</w:t>
            </w:r>
          </w:p>
          <w:p>
            <w:pPr>
              <w:pStyle w:val="TableParagraph"/>
              <w:numPr>
                <w:ilvl w:val="0"/>
                <w:numId w:val="245"/>
              </w:numPr>
              <w:tabs>
                <w:tab w:pos="399" w:val="left" w:leader="none"/>
              </w:tabs>
              <w:spacing w:line="281" w:lineRule="exact" w:before="0" w:after="0"/>
              <w:ind w:left="399" w:right="0" w:hanging="292"/>
              <w:jc w:val="left"/>
              <w:rPr>
                <w:sz w:val="24"/>
              </w:rPr>
            </w:pPr>
            <w:r>
              <w:rPr>
                <w:sz w:val="24"/>
              </w:rPr>
              <w:t>Upper sales </w:t>
            </w:r>
            <w:r>
              <w:rPr>
                <w:spacing w:val="-2"/>
                <w:sz w:val="24"/>
              </w:rPr>
              <w:t>floors</w:t>
            </w:r>
          </w:p>
        </w:tc>
        <w:tc>
          <w:tcPr>
            <w:tcW w:w="2329" w:type="dxa"/>
          </w:tcPr>
          <w:p>
            <w:pPr>
              <w:pStyle w:val="TableParagraph"/>
              <w:rPr>
                <w:b/>
                <w:sz w:val="24"/>
              </w:rPr>
            </w:pPr>
          </w:p>
          <w:p>
            <w:pPr>
              <w:pStyle w:val="TableParagraph"/>
              <w:spacing w:line="281" w:lineRule="exact"/>
              <w:ind w:left="107"/>
              <w:rPr>
                <w:sz w:val="24"/>
              </w:rPr>
            </w:pPr>
            <w:r>
              <w:rPr>
                <w:spacing w:val="-4"/>
                <w:sz w:val="24"/>
              </w:rPr>
              <w:t>33.3</w:t>
            </w:r>
          </w:p>
          <w:p>
            <w:pPr>
              <w:pStyle w:val="TableParagraph"/>
              <w:spacing w:line="281" w:lineRule="exact"/>
              <w:ind w:left="107"/>
              <w:rPr>
                <w:sz w:val="24"/>
              </w:rPr>
            </w:pPr>
            <w:r>
              <w:rPr>
                <w:spacing w:val="-4"/>
                <w:sz w:val="24"/>
              </w:rPr>
              <w:t>16.6</w:t>
            </w:r>
          </w:p>
        </w:tc>
      </w:tr>
      <w:tr>
        <w:trPr>
          <w:trHeight w:val="376" w:hRule="atLeast"/>
        </w:trPr>
        <w:tc>
          <w:tcPr>
            <w:tcW w:w="852" w:type="dxa"/>
          </w:tcPr>
          <w:p>
            <w:pPr>
              <w:pStyle w:val="TableParagraph"/>
              <w:spacing w:line="261" w:lineRule="exact" w:before="95"/>
              <w:ind w:left="107"/>
              <w:rPr>
                <w:sz w:val="24"/>
              </w:rPr>
            </w:pPr>
            <w:r>
              <w:rPr>
                <w:spacing w:val="-10"/>
                <w:sz w:val="24"/>
              </w:rPr>
              <w:t>6</w:t>
            </w:r>
          </w:p>
        </w:tc>
        <w:tc>
          <w:tcPr>
            <w:tcW w:w="4967" w:type="dxa"/>
          </w:tcPr>
          <w:p>
            <w:pPr>
              <w:pStyle w:val="TableParagraph"/>
              <w:spacing w:line="281" w:lineRule="exact"/>
              <w:ind w:left="107"/>
              <w:rPr>
                <w:sz w:val="24"/>
              </w:rPr>
            </w:pPr>
            <w:r>
              <w:rPr>
                <w:sz w:val="24"/>
              </w:rPr>
              <w:t>Business</w:t>
            </w:r>
            <w:r>
              <w:rPr>
                <w:spacing w:val="-1"/>
                <w:sz w:val="24"/>
              </w:rPr>
              <w:t> </w:t>
            </w:r>
            <w:r>
              <w:rPr>
                <w:sz w:val="24"/>
              </w:rPr>
              <w:t>and</w:t>
            </w:r>
            <w:r>
              <w:rPr>
                <w:spacing w:val="-1"/>
                <w:sz w:val="24"/>
              </w:rPr>
              <w:t> </w:t>
            </w:r>
            <w:r>
              <w:rPr>
                <w:spacing w:val="-2"/>
                <w:sz w:val="24"/>
              </w:rPr>
              <w:t>Industrial</w:t>
            </w:r>
          </w:p>
        </w:tc>
        <w:tc>
          <w:tcPr>
            <w:tcW w:w="2329" w:type="dxa"/>
          </w:tcPr>
          <w:p>
            <w:pPr>
              <w:pStyle w:val="TableParagraph"/>
              <w:spacing w:line="281" w:lineRule="exact"/>
              <w:ind w:left="107"/>
              <w:rPr>
                <w:sz w:val="24"/>
              </w:rPr>
            </w:pPr>
            <w:r>
              <w:rPr>
                <w:spacing w:val="-5"/>
                <w:sz w:val="24"/>
              </w:rPr>
              <w:t>10</w:t>
            </w:r>
          </w:p>
        </w:tc>
      </w:tr>
      <w:tr>
        <w:trPr>
          <w:trHeight w:val="378" w:hRule="atLeast"/>
        </w:trPr>
        <w:tc>
          <w:tcPr>
            <w:tcW w:w="852" w:type="dxa"/>
          </w:tcPr>
          <w:p>
            <w:pPr>
              <w:pStyle w:val="TableParagraph"/>
              <w:spacing w:line="261" w:lineRule="exact" w:before="97"/>
              <w:ind w:left="107"/>
              <w:rPr>
                <w:sz w:val="24"/>
              </w:rPr>
            </w:pPr>
            <w:r>
              <w:rPr>
                <w:spacing w:val="-10"/>
                <w:sz w:val="24"/>
              </w:rPr>
              <w:t>7</w:t>
            </w:r>
          </w:p>
        </w:tc>
        <w:tc>
          <w:tcPr>
            <w:tcW w:w="4967" w:type="dxa"/>
          </w:tcPr>
          <w:p>
            <w:pPr>
              <w:pStyle w:val="TableParagraph"/>
              <w:spacing w:before="1"/>
              <w:ind w:left="107"/>
              <w:rPr>
                <w:sz w:val="24"/>
              </w:rPr>
            </w:pPr>
            <w:r>
              <w:rPr>
                <w:sz w:val="24"/>
              </w:rPr>
              <w:t>Storage</w:t>
            </w:r>
            <w:r>
              <w:rPr>
                <w:color w:val="000000"/>
                <w:sz w:val="24"/>
                <w:shd w:fill="FFCCFF" w:color="auto" w:val="clear"/>
              </w:rPr>
              <w:t>,</w:t>
            </w:r>
            <w:r>
              <w:rPr>
                <w:color w:val="000000"/>
                <w:spacing w:val="-3"/>
                <w:sz w:val="24"/>
                <w:shd w:fill="FFCCFF" w:color="auto" w:val="clear"/>
              </w:rPr>
              <w:t> </w:t>
            </w:r>
            <w:r>
              <w:rPr>
                <w:color w:val="000000"/>
                <w:sz w:val="24"/>
                <w:shd w:fill="FFCCFF" w:color="auto" w:val="clear"/>
              </w:rPr>
              <w:t>Wholesale </w:t>
            </w:r>
            <w:r>
              <w:rPr>
                <w:color w:val="000000"/>
                <w:spacing w:val="-2"/>
                <w:sz w:val="24"/>
                <w:shd w:fill="FFCCFF" w:color="auto" w:val="clear"/>
              </w:rPr>
              <w:t>establishment</w:t>
            </w:r>
          </w:p>
        </w:tc>
        <w:tc>
          <w:tcPr>
            <w:tcW w:w="2329" w:type="dxa"/>
          </w:tcPr>
          <w:p>
            <w:pPr>
              <w:pStyle w:val="TableParagraph"/>
              <w:spacing w:before="1"/>
              <w:ind w:left="107"/>
              <w:rPr>
                <w:sz w:val="24"/>
              </w:rPr>
            </w:pPr>
            <w:r>
              <w:rPr>
                <w:spacing w:val="-5"/>
                <w:sz w:val="24"/>
              </w:rPr>
              <w:t>3.3</w:t>
            </w:r>
          </w:p>
        </w:tc>
      </w:tr>
      <w:tr>
        <w:trPr>
          <w:trHeight w:val="378" w:hRule="atLeast"/>
        </w:trPr>
        <w:tc>
          <w:tcPr>
            <w:tcW w:w="852" w:type="dxa"/>
          </w:tcPr>
          <w:p>
            <w:pPr>
              <w:pStyle w:val="TableParagraph"/>
              <w:spacing w:line="264" w:lineRule="exact" w:before="95"/>
              <w:ind w:left="107"/>
              <w:rPr>
                <w:sz w:val="24"/>
              </w:rPr>
            </w:pPr>
            <w:r>
              <w:rPr>
                <w:spacing w:val="-10"/>
                <w:sz w:val="24"/>
              </w:rPr>
              <w:t>8</w:t>
            </w:r>
          </w:p>
        </w:tc>
        <w:tc>
          <w:tcPr>
            <w:tcW w:w="4967" w:type="dxa"/>
          </w:tcPr>
          <w:p>
            <w:pPr>
              <w:pStyle w:val="TableParagraph"/>
              <w:spacing w:line="281" w:lineRule="exact"/>
              <w:ind w:left="107"/>
              <w:rPr>
                <w:sz w:val="24"/>
              </w:rPr>
            </w:pPr>
            <w:r>
              <w:rPr>
                <w:spacing w:val="-2"/>
                <w:sz w:val="24"/>
              </w:rPr>
              <w:t>Hazardous</w:t>
            </w:r>
          </w:p>
        </w:tc>
        <w:tc>
          <w:tcPr>
            <w:tcW w:w="2329" w:type="dxa"/>
          </w:tcPr>
          <w:p>
            <w:pPr>
              <w:pStyle w:val="TableParagraph"/>
              <w:spacing w:line="281" w:lineRule="exact"/>
              <w:ind w:left="107"/>
              <w:rPr>
                <w:sz w:val="24"/>
              </w:rPr>
            </w:pPr>
            <w:r>
              <w:rPr>
                <w:spacing w:val="-5"/>
                <w:sz w:val="24"/>
              </w:rPr>
              <w:t>10</w:t>
            </w:r>
          </w:p>
        </w:tc>
      </w:tr>
    </w:tbl>
    <w:p>
      <w:pPr>
        <w:pStyle w:val="BodyText"/>
        <w:spacing w:before="3"/>
        <w:ind w:left="1493" w:right="792" w:firstLine="359"/>
      </w:pPr>
      <w:r>
        <w:rPr/>
        <w:t>*The occupant load in dormitory portions of homes for the aged, orphanages or mental hospitals, etc. where sleeping accommodation is provided</w:t>
      </w:r>
      <w:r>
        <w:rPr>
          <w:spacing w:val="40"/>
        </w:rPr>
        <w:t> </w:t>
      </w:r>
      <w:r>
        <w:rPr/>
        <w:t>shall</w:t>
      </w:r>
      <w:r>
        <w:rPr>
          <w:spacing w:val="40"/>
        </w:rPr>
        <w:t> </w:t>
      </w:r>
      <w:r>
        <w:rPr/>
        <w:t>be</w:t>
      </w:r>
      <w:r>
        <w:rPr>
          <w:spacing w:val="40"/>
        </w:rPr>
        <w:t> </w:t>
      </w:r>
      <w:r>
        <w:rPr/>
        <w:t>calculated</w:t>
      </w:r>
      <w:r>
        <w:rPr>
          <w:spacing w:val="40"/>
        </w:rPr>
        <w:t> </w:t>
      </w:r>
      <w:r>
        <w:rPr/>
        <w:t>at</w:t>
      </w:r>
      <w:r>
        <w:rPr>
          <w:spacing w:val="40"/>
        </w:rPr>
        <w:t> </w:t>
      </w:r>
      <w:r>
        <w:rPr/>
        <w:t>not</w:t>
      </w:r>
      <w:r>
        <w:rPr>
          <w:spacing w:val="40"/>
        </w:rPr>
        <w:t> </w:t>
      </w:r>
      <w:r>
        <w:rPr/>
        <w:t>less</w:t>
      </w:r>
      <w:r>
        <w:rPr>
          <w:spacing w:val="40"/>
        </w:rPr>
        <w:t> </w:t>
      </w:r>
      <w:r>
        <w:rPr/>
        <w:t>than</w:t>
      </w:r>
      <w:r>
        <w:rPr>
          <w:spacing w:val="40"/>
        </w:rPr>
        <w:t> </w:t>
      </w:r>
      <w:r>
        <w:rPr/>
        <w:t>13.3</w:t>
      </w:r>
      <w:r>
        <w:rPr>
          <w:spacing w:val="40"/>
        </w:rPr>
        <w:t> </w:t>
      </w:r>
      <w:r>
        <w:rPr/>
        <w:t>persons</w:t>
      </w:r>
      <w:r>
        <w:rPr>
          <w:spacing w:val="40"/>
        </w:rPr>
        <w:t> </w:t>
      </w:r>
      <w:r>
        <w:rPr/>
        <w:t>per</w:t>
      </w:r>
      <w:r>
        <w:rPr>
          <w:spacing w:val="40"/>
        </w:rPr>
        <w:t> </w:t>
      </w:r>
      <w:r>
        <w:rPr/>
        <w:t>100</w:t>
      </w:r>
      <w:r>
        <w:rPr>
          <w:spacing w:val="40"/>
        </w:rPr>
        <w:t> </w:t>
      </w:r>
      <w:r>
        <w:rPr/>
        <w:t>sq </w:t>
      </w:r>
      <w:r>
        <w:rPr>
          <w:spacing w:val="-6"/>
        </w:rPr>
        <w:t>m.</w:t>
      </w:r>
    </w:p>
    <w:p>
      <w:pPr>
        <w:pStyle w:val="BodyText"/>
        <w:jc w:val="left"/>
      </w:pPr>
    </w:p>
    <w:p>
      <w:pPr>
        <w:pStyle w:val="BodyText"/>
        <w:ind w:left="1493" w:right="774" w:firstLine="359"/>
      </w:pPr>
      <w:r>
        <w:rPr>
          <w:b/>
        </w:rPr>
        <w:t>** </w:t>
      </w:r>
      <w:r>
        <w:rPr/>
        <w:t>The plinth or covered area shall include, in addition to the main assembly room or space, any occupied connecting room or space in the same</w:t>
      </w:r>
      <w:r>
        <w:rPr>
          <w:spacing w:val="40"/>
        </w:rPr>
        <w:t> </w:t>
      </w:r>
      <w:r>
        <w:rPr/>
        <w:t>storey</w:t>
      </w:r>
      <w:r>
        <w:rPr>
          <w:spacing w:val="40"/>
        </w:rPr>
        <w:t> </w:t>
      </w:r>
      <w:r>
        <w:rPr/>
        <w:t>or</w:t>
      </w:r>
      <w:r>
        <w:rPr>
          <w:spacing w:val="40"/>
        </w:rPr>
        <w:t> </w:t>
      </w:r>
      <w:r>
        <w:rPr/>
        <w:t>in</w:t>
      </w:r>
      <w:r>
        <w:rPr>
          <w:spacing w:val="40"/>
        </w:rPr>
        <w:t> </w:t>
      </w:r>
      <w:r>
        <w:rPr/>
        <w:t>the</w:t>
      </w:r>
      <w:r>
        <w:rPr>
          <w:spacing w:val="40"/>
        </w:rPr>
        <w:t> </w:t>
      </w:r>
      <w:r>
        <w:rPr/>
        <w:t>storeys</w:t>
      </w:r>
      <w:r>
        <w:rPr>
          <w:spacing w:val="40"/>
        </w:rPr>
        <w:t> </w:t>
      </w:r>
      <w:r>
        <w:rPr/>
        <w:t>above</w:t>
      </w:r>
      <w:r>
        <w:rPr>
          <w:spacing w:val="40"/>
        </w:rPr>
        <w:t> </w:t>
      </w:r>
      <w:r>
        <w:rPr/>
        <w:t>or</w:t>
      </w:r>
      <w:r>
        <w:rPr>
          <w:spacing w:val="40"/>
        </w:rPr>
        <w:t> </w:t>
      </w:r>
      <w:r>
        <w:rPr/>
        <w:t>below,</w:t>
      </w:r>
      <w:r>
        <w:rPr>
          <w:spacing w:val="40"/>
        </w:rPr>
        <w:t> </w:t>
      </w:r>
      <w:r>
        <w:rPr/>
        <w:t>where</w:t>
      </w:r>
      <w:r>
        <w:rPr>
          <w:spacing w:val="40"/>
        </w:rPr>
        <w:t> </w:t>
      </w:r>
      <w:r>
        <w:rPr/>
        <w:t>entrance</w:t>
      </w:r>
      <w:r>
        <w:rPr>
          <w:spacing w:val="40"/>
        </w:rPr>
        <w:t> </w:t>
      </w:r>
      <w:r>
        <w:rPr/>
        <w:t>is</w:t>
      </w:r>
      <w:r>
        <w:rPr>
          <w:spacing w:val="40"/>
        </w:rPr>
        <w:t> </w:t>
      </w:r>
      <w:r>
        <w:rPr/>
        <w:t>common</w:t>
      </w:r>
      <w:r>
        <w:rPr>
          <w:spacing w:val="40"/>
        </w:rPr>
        <w:t> </w:t>
      </w:r>
      <w:r>
        <w:rPr/>
        <w:t>to</w:t>
      </w:r>
      <w:r>
        <w:rPr>
          <w:spacing w:val="40"/>
        </w:rPr>
        <w:t> </w:t>
      </w:r>
      <w:r>
        <w:rPr/>
        <w:t>such</w:t>
      </w:r>
      <w:r>
        <w:rPr>
          <w:spacing w:val="40"/>
        </w:rPr>
        <w:t> </w:t>
      </w:r>
      <w:r>
        <w:rPr/>
        <w:t>rooms</w:t>
      </w:r>
      <w:r>
        <w:rPr>
          <w:spacing w:val="40"/>
        </w:rPr>
        <w:t> </w:t>
      </w:r>
      <w:r>
        <w:rPr/>
        <w:t>and</w:t>
      </w:r>
      <w:r>
        <w:rPr>
          <w:spacing w:val="40"/>
        </w:rPr>
        <w:t> </w:t>
      </w:r>
      <w:r>
        <w:rPr/>
        <w:t>spaces</w:t>
      </w:r>
      <w:r>
        <w:rPr>
          <w:spacing w:val="40"/>
        </w:rPr>
        <w:t> </w:t>
      </w:r>
      <w:r>
        <w:rPr/>
        <w:t>and</w:t>
      </w:r>
      <w:r>
        <w:rPr>
          <w:spacing w:val="40"/>
        </w:rPr>
        <w:t> </w:t>
      </w:r>
      <w:r>
        <w:rPr/>
        <w:t>they</w:t>
      </w:r>
      <w:r>
        <w:rPr>
          <w:spacing w:val="40"/>
        </w:rPr>
        <w:t> </w:t>
      </w:r>
      <w:r>
        <w:rPr/>
        <w:t>are</w:t>
      </w:r>
      <w:r>
        <w:rPr>
          <w:spacing w:val="40"/>
        </w:rPr>
        <w:t> </w:t>
      </w:r>
      <w:r>
        <w:rPr/>
        <w:t>available</w:t>
      </w:r>
      <w:r>
        <w:rPr>
          <w:spacing w:val="40"/>
        </w:rPr>
        <w:t> </w:t>
      </w:r>
      <w:r>
        <w:rPr/>
        <w:t>for</w:t>
      </w:r>
      <w:r>
        <w:rPr>
          <w:spacing w:val="40"/>
        </w:rPr>
        <w:t> </w:t>
      </w:r>
      <w:r>
        <w:rPr/>
        <w:t>use</w:t>
      </w:r>
      <w:r>
        <w:rPr>
          <w:spacing w:val="40"/>
        </w:rPr>
        <w:t> </w:t>
      </w:r>
      <w:r>
        <w:rPr/>
        <w:t>by the</w:t>
      </w:r>
      <w:r>
        <w:rPr>
          <w:spacing w:val="69"/>
        </w:rPr>
        <w:t> </w:t>
      </w:r>
      <w:r>
        <w:rPr/>
        <w:t>occupants</w:t>
      </w:r>
      <w:r>
        <w:rPr>
          <w:spacing w:val="69"/>
        </w:rPr>
        <w:t> </w:t>
      </w:r>
      <w:r>
        <w:rPr/>
        <w:t>of</w:t>
      </w:r>
      <w:r>
        <w:rPr>
          <w:spacing w:val="69"/>
        </w:rPr>
        <w:t> </w:t>
      </w:r>
      <w:r>
        <w:rPr/>
        <w:t>the</w:t>
      </w:r>
      <w:r>
        <w:rPr>
          <w:spacing w:val="69"/>
        </w:rPr>
        <w:t> </w:t>
      </w:r>
      <w:r>
        <w:rPr/>
        <w:t>assembly</w:t>
      </w:r>
      <w:r>
        <w:rPr>
          <w:spacing w:val="69"/>
        </w:rPr>
        <w:t> </w:t>
      </w:r>
      <w:r>
        <w:rPr/>
        <w:t>place.</w:t>
      </w:r>
      <w:r>
        <w:rPr>
          <w:spacing w:val="80"/>
        </w:rPr>
        <w:t> </w:t>
      </w:r>
      <w:r>
        <w:rPr/>
        <w:t>No</w:t>
      </w:r>
      <w:r>
        <w:rPr>
          <w:spacing w:val="69"/>
        </w:rPr>
        <w:t> </w:t>
      </w:r>
      <w:r>
        <w:rPr/>
        <w:t>deductions</w:t>
      </w:r>
      <w:r>
        <w:rPr>
          <w:spacing w:val="69"/>
        </w:rPr>
        <w:t> </w:t>
      </w:r>
      <w:r>
        <w:rPr/>
        <w:t>shall</w:t>
      </w:r>
      <w:r>
        <w:rPr>
          <w:spacing w:val="69"/>
        </w:rPr>
        <w:t> </w:t>
      </w:r>
      <w:r>
        <w:rPr/>
        <w:t>be</w:t>
      </w:r>
      <w:r>
        <w:rPr>
          <w:spacing w:val="69"/>
        </w:rPr>
        <w:t> </w:t>
      </w:r>
      <w:r>
        <w:rPr/>
        <w:t>made</w:t>
      </w:r>
      <w:r>
        <w:rPr>
          <w:spacing w:val="69"/>
        </w:rPr>
        <w:t> </w:t>
      </w:r>
      <w:r>
        <w:rPr/>
        <w:t>in</w:t>
      </w:r>
    </w:p>
    <w:p>
      <w:pPr>
        <w:pStyle w:val="BodyText"/>
        <w:spacing w:after="0"/>
        <w:sectPr>
          <w:headerReference w:type="default" r:id="rId55"/>
          <w:footerReference w:type="default" r:id="rId56"/>
          <w:pgSz w:w="11910" w:h="16840"/>
          <w:pgMar w:header="1058" w:footer="1201" w:top="1500" w:bottom="1400" w:left="360" w:right="360"/>
          <w:pgNumType w:start="311"/>
        </w:sectPr>
      </w:pPr>
    </w:p>
    <w:p>
      <w:pPr>
        <w:pStyle w:val="BodyText"/>
        <w:spacing w:before="255"/>
        <w:ind w:left="1493" w:right="785"/>
      </w:pPr>
      <w:r>
        <w:rPr/>
        <w:t>the</w:t>
      </w:r>
      <w:r>
        <w:rPr>
          <w:spacing w:val="40"/>
        </w:rPr>
        <w:t> </w:t>
      </w:r>
      <w:r>
        <w:rPr/>
        <w:t>plinth/covered</w:t>
      </w:r>
      <w:r>
        <w:rPr>
          <w:spacing w:val="40"/>
        </w:rPr>
        <w:t> </w:t>
      </w:r>
      <w:r>
        <w:rPr/>
        <w:t>area</w:t>
      </w:r>
      <w:r>
        <w:rPr>
          <w:spacing w:val="40"/>
        </w:rPr>
        <w:t> </w:t>
      </w:r>
      <w:r>
        <w:rPr/>
        <w:t>for</w:t>
      </w:r>
      <w:r>
        <w:rPr>
          <w:spacing w:val="40"/>
        </w:rPr>
        <w:t> </w:t>
      </w:r>
      <w:r>
        <w:rPr/>
        <w:t>corridors,</w:t>
      </w:r>
      <w:r>
        <w:rPr>
          <w:spacing w:val="40"/>
        </w:rPr>
        <w:t> </w:t>
      </w:r>
      <w:r>
        <w:rPr/>
        <w:t>closets</w:t>
      </w:r>
      <w:r>
        <w:rPr>
          <w:spacing w:val="40"/>
        </w:rPr>
        <w:t> </w:t>
      </w:r>
      <w:r>
        <w:rPr/>
        <w:t>and</w:t>
      </w:r>
      <w:r>
        <w:rPr>
          <w:spacing w:val="40"/>
        </w:rPr>
        <w:t> </w:t>
      </w:r>
      <w:r>
        <w:rPr/>
        <w:t>other</w:t>
      </w:r>
      <w:r>
        <w:rPr>
          <w:spacing w:val="13"/>
        </w:rPr>
        <w:t> sub-</w:t>
      </w:r>
      <w:r>
        <w:rPr/>
        <w:t>divisions; that area shall include all space serving the particular assembly </w:t>
      </w:r>
      <w:r>
        <w:rPr>
          <w:spacing w:val="7"/>
        </w:rPr>
        <w:t>occupancy.</w:t>
      </w:r>
    </w:p>
    <w:p>
      <w:pPr>
        <w:pStyle w:val="Heading2"/>
        <w:numPr>
          <w:ilvl w:val="0"/>
          <w:numId w:val="133"/>
        </w:numPr>
        <w:tabs>
          <w:tab w:pos="1490" w:val="left" w:leader="none"/>
        </w:tabs>
        <w:spacing w:line="240" w:lineRule="auto" w:before="0" w:after="0"/>
        <w:ind w:left="1490" w:right="0" w:hanging="718"/>
        <w:jc w:val="both"/>
      </w:pPr>
      <w:r>
        <w:rPr/>
        <w:t>Requirements</w:t>
      </w:r>
      <w:r>
        <w:rPr>
          <w:spacing w:val="-5"/>
        </w:rPr>
        <w:t> </w:t>
      </w:r>
      <w:r>
        <w:rPr/>
        <w:t>of</w:t>
      </w:r>
      <w:r>
        <w:rPr>
          <w:spacing w:val="-4"/>
        </w:rPr>
        <w:t> </w:t>
      </w:r>
      <w:r>
        <w:rPr/>
        <w:t>parts</w:t>
      </w:r>
      <w:r>
        <w:rPr>
          <w:spacing w:val="-4"/>
        </w:rPr>
        <w:t> </w:t>
      </w:r>
      <w:r>
        <w:rPr/>
        <w:t>of</w:t>
      </w:r>
      <w:r>
        <w:rPr>
          <w:spacing w:val="-3"/>
        </w:rPr>
        <w:t> </w:t>
      </w:r>
      <w:r>
        <w:rPr>
          <w:spacing w:val="-2"/>
        </w:rPr>
        <w:t>buildings</w:t>
      </w:r>
    </w:p>
    <w:p>
      <w:pPr>
        <w:pStyle w:val="ListParagraph"/>
        <w:numPr>
          <w:ilvl w:val="0"/>
          <w:numId w:val="246"/>
        </w:numPr>
        <w:tabs>
          <w:tab w:pos="1728" w:val="left" w:leader="none"/>
        </w:tabs>
        <w:spacing w:line="240" w:lineRule="auto" w:before="280" w:after="0"/>
        <w:ind w:left="1313" w:right="779" w:firstLine="0"/>
        <w:jc w:val="both"/>
        <w:rPr>
          <w:sz w:val="24"/>
        </w:rPr>
      </w:pPr>
      <w:r>
        <w:rPr>
          <w:b/>
          <w:i/>
          <w:sz w:val="24"/>
        </w:rPr>
        <w:t>Plinth: </w:t>
      </w:r>
      <w:r>
        <w:rPr>
          <w:sz w:val="24"/>
        </w:rPr>
        <w:t>The plinth or any part of a building or outhouse shall be so located</w:t>
      </w:r>
      <w:r>
        <w:rPr>
          <w:spacing w:val="40"/>
          <w:sz w:val="24"/>
        </w:rPr>
        <w:t> </w:t>
      </w:r>
      <w:r>
        <w:rPr>
          <w:sz w:val="24"/>
        </w:rPr>
        <w:t>with</w:t>
      </w:r>
      <w:r>
        <w:rPr>
          <w:spacing w:val="40"/>
          <w:sz w:val="24"/>
        </w:rPr>
        <w:t> </w:t>
      </w:r>
      <w:r>
        <w:rPr>
          <w:sz w:val="24"/>
        </w:rPr>
        <w:t>respect</w:t>
      </w:r>
      <w:r>
        <w:rPr>
          <w:spacing w:val="40"/>
          <w:sz w:val="24"/>
        </w:rPr>
        <w:t> </w:t>
      </w:r>
      <w:r>
        <w:rPr>
          <w:sz w:val="24"/>
        </w:rPr>
        <w:t>to</w:t>
      </w:r>
      <w:r>
        <w:rPr>
          <w:spacing w:val="40"/>
          <w:sz w:val="24"/>
        </w:rPr>
        <w:t> </w:t>
      </w:r>
      <w:r>
        <w:rPr>
          <w:sz w:val="24"/>
        </w:rPr>
        <w:t>the</w:t>
      </w:r>
      <w:r>
        <w:rPr>
          <w:spacing w:val="40"/>
          <w:sz w:val="24"/>
        </w:rPr>
        <w:t> </w:t>
      </w:r>
      <w:r>
        <w:rPr>
          <w:sz w:val="24"/>
        </w:rPr>
        <w:t>surrounding</w:t>
      </w:r>
      <w:r>
        <w:rPr>
          <w:spacing w:val="40"/>
          <w:sz w:val="24"/>
        </w:rPr>
        <w:t> </w:t>
      </w:r>
      <w:r>
        <w:rPr>
          <w:sz w:val="24"/>
        </w:rPr>
        <w:t>ground</w:t>
      </w:r>
      <w:r>
        <w:rPr>
          <w:spacing w:val="40"/>
          <w:sz w:val="24"/>
        </w:rPr>
        <w:t> </w:t>
      </w:r>
      <w:r>
        <w:rPr>
          <w:sz w:val="24"/>
        </w:rPr>
        <w:t>level</w:t>
      </w:r>
      <w:r>
        <w:rPr>
          <w:spacing w:val="40"/>
          <w:sz w:val="24"/>
        </w:rPr>
        <w:t> </w:t>
      </w:r>
      <w:r>
        <w:rPr>
          <w:sz w:val="24"/>
        </w:rPr>
        <w:t>that</w:t>
      </w:r>
      <w:r>
        <w:rPr>
          <w:spacing w:val="9"/>
          <w:sz w:val="24"/>
        </w:rPr>
        <w:t> adequate </w:t>
      </w:r>
      <w:r>
        <w:rPr>
          <w:sz w:val="24"/>
        </w:rPr>
        <w:t>drainage</w:t>
      </w:r>
      <w:r>
        <w:rPr>
          <w:spacing w:val="40"/>
          <w:sz w:val="24"/>
        </w:rPr>
        <w:t> </w:t>
      </w:r>
      <w:r>
        <w:rPr>
          <w:sz w:val="24"/>
        </w:rPr>
        <w:t>of</w:t>
      </w:r>
      <w:r>
        <w:rPr>
          <w:spacing w:val="40"/>
          <w:sz w:val="24"/>
        </w:rPr>
        <w:t> </w:t>
      </w:r>
      <w:r>
        <w:rPr>
          <w:sz w:val="24"/>
        </w:rPr>
        <w:t>the</w:t>
      </w:r>
      <w:r>
        <w:rPr>
          <w:spacing w:val="40"/>
          <w:sz w:val="24"/>
        </w:rPr>
        <w:t> </w:t>
      </w:r>
      <w:r>
        <w:rPr>
          <w:sz w:val="24"/>
        </w:rPr>
        <w:t>site</w:t>
      </w:r>
      <w:r>
        <w:rPr>
          <w:spacing w:val="40"/>
          <w:sz w:val="24"/>
        </w:rPr>
        <w:t> </w:t>
      </w:r>
      <w:r>
        <w:rPr>
          <w:sz w:val="24"/>
        </w:rPr>
        <w:t>is</w:t>
      </w:r>
      <w:r>
        <w:rPr>
          <w:spacing w:val="9"/>
          <w:sz w:val="24"/>
        </w:rPr>
        <w:t> assured.</w:t>
      </w:r>
    </w:p>
    <w:p>
      <w:pPr>
        <w:pStyle w:val="ListParagraph"/>
        <w:numPr>
          <w:ilvl w:val="1"/>
          <w:numId w:val="246"/>
        </w:numPr>
        <w:tabs>
          <w:tab w:pos="1642" w:val="left" w:leader="none"/>
        </w:tabs>
        <w:spacing w:line="240" w:lineRule="auto" w:before="0" w:after="0"/>
        <w:ind w:left="1313" w:right="787" w:firstLine="0"/>
        <w:jc w:val="both"/>
        <w:rPr>
          <w:sz w:val="24"/>
        </w:rPr>
      </w:pPr>
      <w:r>
        <w:rPr>
          <w:b/>
          <w:i/>
          <w:sz w:val="24"/>
        </w:rPr>
        <w:t>Main</w:t>
      </w:r>
      <w:r>
        <w:rPr>
          <w:b/>
          <w:i/>
          <w:spacing w:val="40"/>
          <w:sz w:val="24"/>
        </w:rPr>
        <w:t> </w:t>
      </w:r>
      <w:r>
        <w:rPr>
          <w:b/>
          <w:i/>
          <w:sz w:val="24"/>
        </w:rPr>
        <w:t>Building</w:t>
      </w:r>
      <w:r>
        <w:rPr>
          <w:i/>
          <w:sz w:val="24"/>
        </w:rPr>
        <w:t>:</w:t>
      </w:r>
      <w:r>
        <w:rPr>
          <w:i/>
          <w:spacing w:val="40"/>
          <w:sz w:val="24"/>
        </w:rPr>
        <w:t> </w:t>
      </w:r>
      <w:r>
        <w:rPr>
          <w:sz w:val="24"/>
        </w:rPr>
        <w:t>The</w:t>
      </w:r>
      <w:r>
        <w:rPr>
          <w:spacing w:val="40"/>
          <w:sz w:val="24"/>
        </w:rPr>
        <w:t> </w:t>
      </w:r>
      <w:r>
        <w:rPr>
          <w:sz w:val="24"/>
        </w:rPr>
        <w:t>height</w:t>
      </w:r>
      <w:r>
        <w:rPr>
          <w:spacing w:val="40"/>
          <w:sz w:val="24"/>
        </w:rPr>
        <w:t> </w:t>
      </w:r>
      <w:r>
        <w:rPr>
          <w:sz w:val="24"/>
        </w:rPr>
        <w:t>of</w:t>
      </w:r>
      <w:r>
        <w:rPr>
          <w:spacing w:val="40"/>
          <w:sz w:val="24"/>
        </w:rPr>
        <w:t> </w:t>
      </w:r>
      <w:r>
        <w:rPr>
          <w:sz w:val="24"/>
        </w:rPr>
        <w:t>the</w:t>
      </w:r>
      <w:r>
        <w:rPr>
          <w:spacing w:val="40"/>
          <w:sz w:val="24"/>
        </w:rPr>
        <w:t> </w:t>
      </w:r>
      <w:r>
        <w:rPr>
          <w:sz w:val="24"/>
        </w:rPr>
        <w:t>plinth</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30</w:t>
      </w:r>
      <w:r>
        <w:rPr>
          <w:spacing w:val="40"/>
          <w:sz w:val="24"/>
        </w:rPr>
        <w:t> </w:t>
      </w:r>
      <w:r>
        <w:rPr>
          <w:sz w:val="24"/>
        </w:rPr>
        <w:t>cm with</w:t>
      </w:r>
      <w:r>
        <w:rPr>
          <w:spacing w:val="40"/>
          <w:sz w:val="24"/>
        </w:rPr>
        <w:t> </w:t>
      </w:r>
      <w:r>
        <w:rPr>
          <w:sz w:val="24"/>
        </w:rPr>
        <w:t>respect</w:t>
      </w:r>
      <w:r>
        <w:rPr>
          <w:spacing w:val="40"/>
          <w:sz w:val="24"/>
        </w:rPr>
        <w:t> </w:t>
      </w:r>
      <w:r>
        <w:rPr>
          <w:sz w:val="24"/>
        </w:rPr>
        <w:t>to</w:t>
      </w:r>
      <w:r>
        <w:rPr>
          <w:spacing w:val="40"/>
          <w:sz w:val="24"/>
        </w:rPr>
        <w:t> </w:t>
      </w:r>
      <w:r>
        <w:rPr>
          <w:sz w:val="24"/>
        </w:rPr>
        <w:t>the</w:t>
      </w:r>
      <w:r>
        <w:rPr>
          <w:spacing w:val="40"/>
          <w:sz w:val="24"/>
        </w:rPr>
        <w:t> </w:t>
      </w:r>
      <w:r>
        <w:rPr>
          <w:sz w:val="24"/>
        </w:rPr>
        <w:t>surrounding</w:t>
      </w:r>
      <w:r>
        <w:rPr>
          <w:spacing w:val="40"/>
          <w:sz w:val="24"/>
        </w:rPr>
        <w:t> </w:t>
      </w:r>
      <w:r>
        <w:rPr>
          <w:sz w:val="24"/>
        </w:rPr>
        <w:t>ground</w:t>
      </w:r>
      <w:r>
        <w:rPr>
          <w:spacing w:val="40"/>
          <w:sz w:val="24"/>
        </w:rPr>
        <w:t> </w:t>
      </w:r>
      <w:r>
        <w:rPr>
          <w:sz w:val="24"/>
        </w:rPr>
        <w:t>level</w:t>
      </w:r>
      <w:r>
        <w:rPr>
          <w:spacing w:val="40"/>
          <w:sz w:val="24"/>
        </w:rPr>
        <w:t> </w:t>
      </w:r>
      <w:r>
        <w:rPr>
          <w:sz w:val="24"/>
        </w:rPr>
        <w:t>or</w:t>
      </w:r>
      <w:r>
        <w:rPr>
          <w:spacing w:val="40"/>
          <w:sz w:val="24"/>
        </w:rPr>
        <w:t> </w:t>
      </w:r>
      <w:r>
        <w:rPr>
          <w:sz w:val="24"/>
        </w:rPr>
        <w:t>plinth</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 than 15 cm with respect to the surrounding ground level in case of stilt/covered</w:t>
      </w:r>
      <w:r>
        <w:rPr>
          <w:spacing w:val="40"/>
          <w:sz w:val="24"/>
        </w:rPr>
        <w:t> </w:t>
      </w:r>
      <w:r>
        <w:rPr>
          <w:sz w:val="24"/>
        </w:rPr>
        <w:t>parking</w:t>
      </w:r>
      <w:r>
        <w:rPr>
          <w:spacing w:val="40"/>
          <w:sz w:val="24"/>
        </w:rPr>
        <w:t> </w:t>
      </w:r>
      <w:r>
        <w:rPr>
          <w:sz w:val="24"/>
        </w:rPr>
        <w:t>spaces.</w:t>
      </w:r>
      <w:r>
        <w:rPr>
          <w:spacing w:val="40"/>
          <w:sz w:val="24"/>
        </w:rPr>
        <w:t> </w:t>
      </w:r>
      <w:r>
        <w:rPr>
          <w:sz w:val="24"/>
        </w:rPr>
        <w:t>In</w:t>
      </w:r>
      <w:r>
        <w:rPr>
          <w:spacing w:val="40"/>
          <w:sz w:val="24"/>
        </w:rPr>
        <w:t> </w:t>
      </w:r>
      <w:r>
        <w:rPr>
          <w:sz w:val="24"/>
        </w:rPr>
        <w:t>areas</w:t>
      </w:r>
      <w:r>
        <w:rPr>
          <w:spacing w:val="40"/>
          <w:sz w:val="24"/>
        </w:rPr>
        <w:t> </w:t>
      </w:r>
      <w:r>
        <w:rPr>
          <w:sz w:val="24"/>
        </w:rPr>
        <w:t>subject</w:t>
      </w:r>
      <w:r>
        <w:rPr>
          <w:spacing w:val="40"/>
          <w:sz w:val="24"/>
        </w:rPr>
        <w:t> </w:t>
      </w:r>
      <w:r>
        <w:rPr>
          <w:sz w:val="24"/>
        </w:rPr>
        <w:t>to</w:t>
      </w:r>
      <w:r>
        <w:rPr>
          <w:spacing w:val="40"/>
          <w:sz w:val="24"/>
        </w:rPr>
        <w:t> </w:t>
      </w:r>
      <w:r>
        <w:rPr>
          <w:sz w:val="24"/>
        </w:rPr>
        <w:t>flooding,</w:t>
      </w:r>
      <w:r>
        <w:rPr>
          <w:spacing w:val="40"/>
          <w:sz w:val="24"/>
        </w:rPr>
        <w:t> </w:t>
      </w:r>
      <w:r>
        <w:rPr>
          <w:sz w:val="24"/>
        </w:rPr>
        <w:t>the</w:t>
      </w:r>
      <w:r>
        <w:rPr>
          <w:spacing w:val="40"/>
          <w:sz w:val="24"/>
        </w:rPr>
        <w:t> </w:t>
      </w:r>
      <w:r>
        <w:rPr>
          <w:sz w:val="24"/>
        </w:rPr>
        <w:t>height</w:t>
      </w:r>
      <w:r>
        <w:rPr>
          <w:spacing w:val="40"/>
          <w:sz w:val="24"/>
        </w:rPr>
        <w:t> </w:t>
      </w:r>
      <w:r>
        <w:rPr>
          <w:sz w:val="24"/>
        </w:rPr>
        <w:t>of the</w:t>
      </w:r>
      <w:r>
        <w:rPr>
          <w:spacing w:val="40"/>
          <w:sz w:val="24"/>
        </w:rPr>
        <w:t> </w:t>
      </w:r>
      <w:r>
        <w:rPr>
          <w:sz w:val="24"/>
        </w:rPr>
        <w:t>plinth</w:t>
      </w:r>
      <w:r>
        <w:rPr>
          <w:spacing w:val="40"/>
          <w:sz w:val="24"/>
        </w:rPr>
        <w:t> </w:t>
      </w:r>
      <w:r>
        <w:rPr>
          <w:sz w:val="24"/>
        </w:rPr>
        <w:t>shall</w:t>
      </w:r>
      <w:r>
        <w:rPr>
          <w:spacing w:val="40"/>
          <w:sz w:val="24"/>
        </w:rPr>
        <w:t> </w:t>
      </w:r>
      <w:r>
        <w:rPr>
          <w:sz w:val="24"/>
        </w:rPr>
        <w:t>be</w:t>
      </w:r>
      <w:r>
        <w:rPr>
          <w:spacing w:val="40"/>
          <w:sz w:val="24"/>
        </w:rPr>
        <w:t> </w:t>
      </w:r>
      <w:r>
        <w:rPr>
          <w:sz w:val="24"/>
        </w:rPr>
        <w:t>at</w:t>
      </w:r>
      <w:r>
        <w:rPr>
          <w:spacing w:val="40"/>
          <w:sz w:val="24"/>
        </w:rPr>
        <w:t> </w:t>
      </w:r>
      <w:r>
        <w:rPr>
          <w:sz w:val="24"/>
        </w:rPr>
        <w:t>least</w:t>
      </w:r>
      <w:r>
        <w:rPr>
          <w:spacing w:val="40"/>
          <w:sz w:val="24"/>
        </w:rPr>
        <w:t> </w:t>
      </w:r>
      <w:r>
        <w:rPr>
          <w:sz w:val="24"/>
        </w:rPr>
        <w:t>60</w:t>
      </w:r>
      <w:r>
        <w:rPr>
          <w:spacing w:val="40"/>
          <w:sz w:val="24"/>
        </w:rPr>
        <w:t> </w:t>
      </w:r>
      <w:r>
        <w:rPr>
          <w:sz w:val="24"/>
        </w:rPr>
        <w:t>cm</w:t>
      </w:r>
      <w:r>
        <w:rPr>
          <w:spacing w:val="40"/>
          <w:sz w:val="24"/>
        </w:rPr>
        <w:t> </w:t>
      </w:r>
      <w:r>
        <w:rPr>
          <w:sz w:val="24"/>
        </w:rPr>
        <w:t>above</w:t>
      </w:r>
      <w:r>
        <w:rPr>
          <w:spacing w:val="40"/>
          <w:sz w:val="24"/>
        </w:rPr>
        <w:t> </w:t>
      </w:r>
      <w:r>
        <w:rPr>
          <w:sz w:val="24"/>
        </w:rPr>
        <w:t>the</w:t>
      </w:r>
      <w:r>
        <w:rPr>
          <w:spacing w:val="40"/>
          <w:sz w:val="24"/>
        </w:rPr>
        <w:t> </w:t>
      </w:r>
      <w:r>
        <w:rPr>
          <w:sz w:val="24"/>
        </w:rPr>
        <w:t>high</w:t>
      </w:r>
      <w:r>
        <w:rPr>
          <w:spacing w:val="40"/>
          <w:sz w:val="24"/>
        </w:rPr>
        <w:t> </w:t>
      </w:r>
      <w:r>
        <w:rPr>
          <w:sz w:val="24"/>
        </w:rPr>
        <w:t>flood</w:t>
      </w:r>
      <w:r>
        <w:rPr>
          <w:spacing w:val="40"/>
          <w:sz w:val="24"/>
        </w:rPr>
        <w:t> </w:t>
      </w:r>
      <w:r>
        <w:rPr>
          <w:sz w:val="24"/>
        </w:rPr>
        <w:t>level</w:t>
      </w:r>
      <w:r>
        <w:rPr>
          <w:spacing w:val="40"/>
          <w:sz w:val="24"/>
        </w:rPr>
        <w:t> </w:t>
      </w:r>
      <w:r>
        <w:rPr>
          <w:sz w:val="24"/>
        </w:rPr>
        <w:t>or</w:t>
      </w:r>
      <w:r>
        <w:rPr>
          <w:spacing w:val="40"/>
          <w:sz w:val="24"/>
        </w:rPr>
        <w:t> </w:t>
      </w:r>
      <w:r>
        <w:rPr>
          <w:sz w:val="24"/>
        </w:rPr>
        <w:t>shall</w:t>
      </w:r>
      <w:r>
        <w:rPr>
          <w:spacing w:val="40"/>
          <w:sz w:val="24"/>
        </w:rPr>
        <w:t> </w:t>
      </w:r>
      <w:r>
        <w:rPr>
          <w:sz w:val="24"/>
        </w:rPr>
        <w:t>be at least 45 cm above the high flood level in case of stilt/covered parking spaces.</w:t>
      </w:r>
      <w:r>
        <w:rPr>
          <w:spacing w:val="40"/>
          <w:sz w:val="24"/>
        </w:rPr>
        <w:t> </w:t>
      </w:r>
      <w:r>
        <w:rPr>
          <w:sz w:val="24"/>
        </w:rPr>
        <w:t>Architect</w:t>
      </w:r>
      <w:r>
        <w:rPr>
          <w:spacing w:val="40"/>
          <w:sz w:val="24"/>
        </w:rPr>
        <w:t> </w:t>
      </w:r>
      <w:r>
        <w:rPr>
          <w:sz w:val="24"/>
        </w:rPr>
        <w:t>on</w:t>
      </w:r>
      <w:r>
        <w:rPr>
          <w:spacing w:val="40"/>
          <w:sz w:val="24"/>
        </w:rPr>
        <w:t> </w:t>
      </w:r>
      <w:r>
        <w:rPr>
          <w:sz w:val="24"/>
        </w:rPr>
        <w:t>record</w:t>
      </w:r>
      <w:r>
        <w:rPr>
          <w:spacing w:val="40"/>
          <w:sz w:val="24"/>
        </w:rPr>
        <w:t> </w:t>
      </w:r>
      <w:r>
        <w:rPr>
          <w:sz w:val="24"/>
        </w:rPr>
        <w:t>shall</w:t>
      </w:r>
      <w:r>
        <w:rPr>
          <w:spacing w:val="40"/>
          <w:sz w:val="24"/>
        </w:rPr>
        <w:t> </w:t>
      </w:r>
      <w:r>
        <w:rPr>
          <w:sz w:val="24"/>
        </w:rPr>
        <w:t>certify</w:t>
      </w:r>
      <w:r>
        <w:rPr>
          <w:spacing w:val="40"/>
          <w:sz w:val="24"/>
        </w:rPr>
        <w:t> </w:t>
      </w:r>
      <w:r>
        <w:rPr>
          <w:sz w:val="24"/>
        </w:rPr>
        <w:t>that</w:t>
      </w:r>
      <w:r>
        <w:rPr>
          <w:spacing w:val="40"/>
          <w:sz w:val="24"/>
        </w:rPr>
        <w:t> </w:t>
      </w:r>
      <w:r>
        <w:rPr>
          <w:sz w:val="24"/>
        </w:rPr>
        <w:t>the</w:t>
      </w:r>
      <w:r>
        <w:rPr>
          <w:spacing w:val="40"/>
          <w:sz w:val="24"/>
        </w:rPr>
        <w:t> </w:t>
      </w:r>
      <w:r>
        <w:rPr>
          <w:sz w:val="24"/>
        </w:rPr>
        <w:t>plinth</w:t>
      </w:r>
      <w:r>
        <w:rPr>
          <w:spacing w:val="40"/>
          <w:sz w:val="24"/>
        </w:rPr>
        <w:t> </w:t>
      </w:r>
      <w:r>
        <w:rPr>
          <w:sz w:val="24"/>
        </w:rPr>
        <w:t>has</w:t>
      </w:r>
      <w:r>
        <w:rPr>
          <w:spacing w:val="40"/>
          <w:sz w:val="24"/>
        </w:rPr>
        <w:t> </w:t>
      </w:r>
      <w:r>
        <w:rPr>
          <w:sz w:val="24"/>
        </w:rPr>
        <w:t>been</w:t>
      </w:r>
      <w:r>
        <w:rPr>
          <w:spacing w:val="40"/>
          <w:sz w:val="24"/>
        </w:rPr>
        <w:t> </w:t>
      </w:r>
      <w:r>
        <w:rPr>
          <w:sz w:val="24"/>
        </w:rPr>
        <w:t>proposed after taking due cognizance of High Flood Level (HFL) with</w:t>
      </w:r>
      <w:r>
        <w:rPr>
          <w:spacing w:val="40"/>
          <w:sz w:val="24"/>
        </w:rPr>
        <w:t> </w:t>
      </w:r>
      <w:r>
        <w:rPr>
          <w:sz w:val="24"/>
        </w:rPr>
        <w:t>reference</w:t>
      </w:r>
      <w:r>
        <w:rPr>
          <w:spacing w:val="40"/>
          <w:sz w:val="24"/>
        </w:rPr>
        <w:t> </w:t>
      </w:r>
      <w:r>
        <w:rPr>
          <w:sz w:val="24"/>
        </w:rPr>
        <w:t>to</w:t>
      </w:r>
      <w:r>
        <w:rPr>
          <w:spacing w:val="40"/>
          <w:sz w:val="24"/>
        </w:rPr>
        <w:t> </w:t>
      </w:r>
      <w:r>
        <w:rPr>
          <w:sz w:val="24"/>
        </w:rPr>
        <w:t>available</w:t>
      </w:r>
      <w:r>
        <w:rPr>
          <w:spacing w:val="40"/>
          <w:sz w:val="24"/>
        </w:rPr>
        <w:t> </w:t>
      </w:r>
      <w:r>
        <w:rPr>
          <w:sz w:val="24"/>
        </w:rPr>
        <w:t>Contour</w:t>
      </w:r>
      <w:r>
        <w:rPr>
          <w:spacing w:val="40"/>
          <w:sz w:val="24"/>
        </w:rPr>
        <w:t> </w:t>
      </w:r>
      <w:r>
        <w:rPr>
          <w:spacing w:val="9"/>
          <w:sz w:val="24"/>
        </w:rPr>
        <w:t>map.</w:t>
      </w:r>
    </w:p>
    <w:p>
      <w:pPr>
        <w:pStyle w:val="BodyText"/>
        <w:spacing w:before="1"/>
        <w:jc w:val="left"/>
      </w:pPr>
    </w:p>
    <w:p>
      <w:pPr>
        <w:pStyle w:val="ListParagraph"/>
        <w:numPr>
          <w:ilvl w:val="1"/>
          <w:numId w:val="246"/>
        </w:numPr>
        <w:tabs>
          <w:tab w:pos="1636" w:val="left" w:leader="none"/>
        </w:tabs>
        <w:spacing w:line="240" w:lineRule="auto" w:before="0" w:after="0"/>
        <w:ind w:left="1313" w:right="784" w:firstLine="0"/>
        <w:jc w:val="both"/>
        <w:rPr>
          <w:sz w:val="24"/>
        </w:rPr>
      </w:pPr>
      <w:r>
        <w:rPr>
          <w:b/>
          <w:i/>
          <w:sz w:val="24"/>
        </w:rPr>
        <w:t>Interior </w:t>
      </w:r>
      <w:r>
        <w:rPr>
          <w:b/>
          <w:i/>
          <w:spacing w:val="9"/>
          <w:sz w:val="24"/>
        </w:rPr>
        <w:t>court-</w:t>
      </w:r>
      <w:r>
        <w:rPr>
          <w:b/>
          <w:i/>
          <w:sz w:val="24"/>
        </w:rPr>
        <w:t>yards, covered parking spaces and </w:t>
      </w:r>
      <w:r>
        <w:rPr>
          <w:b/>
          <w:i/>
          <w:spacing w:val="9"/>
          <w:sz w:val="24"/>
        </w:rPr>
        <w:t>garages: </w:t>
      </w:r>
      <w:r>
        <w:rPr>
          <w:sz w:val="24"/>
        </w:rPr>
        <w:t>These shall</w:t>
      </w:r>
      <w:r>
        <w:rPr>
          <w:spacing w:val="40"/>
          <w:sz w:val="24"/>
        </w:rPr>
        <w:t> </w:t>
      </w:r>
      <w:r>
        <w:rPr>
          <w:sz w:val="24"/>
        </w:rPr>
        <w:t>be</w:t>
      </w:r>
      <w:r>
        <w:rPr>
          <w:spacing w:val="40"/>
          <w:sz w:val="24"/>
        </w:rPr>
        <w:t> </w:t>
      </w:r>
      <w:r>
        <w:rPr>
          <w:sz w:val="24"/>
        </w:rPr>
        <w:t>raised</w:t>
      </w:r>
      <w:r>
        <w:rPr>
          <w:spacing w:val="40"/>
          <w:sz w:val="24"/>
        </w:rPr>
        <w:t> </w:t>
      </w:r>
      <w:r>
        <w:rPr>
          <w:sz w:val="24"/>
        </w:rPr>
        <w:t>at</w:t>
      </w:r>
      <w:r>
        <w:rPr>
          <w:spacing w:val="40"/>
          <w:sz w:val="24"/>
        </w:rPr>
        <w:t> </w:t>
      </w:r>
      <w:r>
        <w:rPr>
          <w:sz w:val="24"/>
        </w:rPr>
        <w:t>least</w:t>
      </w:r>
      <w:r>
        <w:rPr>
          <w:spacing w:val="40"/>
          <w:sz w:val="24"/>
        </w:rPr>
        <w:t> </w:t>
      </w:r>
      <w:r>
        <w:rPr>
          <w:sz w:val="24"/>
        </w:rPr>
        <w:t>15cmabove</w:t>
      </w:r>
      <w:r>
        <w:rPr>
          <w:spacing w:val="40"/>
          <w:sz w:val="24"/>
        </w:rPr>
        <w:t> </w:t>
      </w:r>
      <w:r>
        <w:rPr>
          <w:sz w:val="24"/>
        </w:rPr>
        <w:t>the</w:t>
      </w:r>
      <w:r>
        <w:rPr>
          <w:spacing w:val="40"/>
          <w:sz w:val="24"/>
        </w:rPr>
        <w:t> </w:t>
      </w:r>
      <w:r>
        <w:rPr>
          <w:sz w:val="24"/>
        </w:rPr>
        <w:t>surrounding</w:t>
      </w:r>
      <w:r>
        <w:rPr>
          <w:spacing w:val="40"/>
          <w:sz w:val="24"/>
        </w:rPr>
        <w:t> </w:t>
      </w:r>
      <w:r>
        <w:rPr>
          <w:sz w:val="24"/>
        </w:rPr>
        <w:t>ground</w:t>
      </w:r>
      <w:r>
        <w:rPr>
          <w:spacing w:val="40"/>
          <w:sz w:val="24"/>
        </w:rPr>
        <w:t> </w:t>
      </w:r>
      <w:r>
        <w:rPr>
          <w:sz w:val="24"/>
        </w:rPr>
        <w:t>level</w:t>
      </w:r>
      <w:r>
        <w:rPr>
          <w:spacing w:val="40"/>
          <w:sz w:val="24"/>
        </w:rPr>
        <w:t> </w:t>
      </w:r>
      <w:r>
        <w:rPr>
          <w:sz w:val="24"/>
        </w:rPr>
        <w:t>and</w:t>
      </w:r>
      <w:r>
        <w:rPr>
          <w:spacing w:val="40"/>
          <w:sz w:val="24"/>
        </w:rPr>
        <w:t> </w:t>
      </w:r>
      <w:r>
        <w:rPr>
          <w:sz w:val="24"/>
        </w:rPr>
        <w:t>shall</w:t>
      </w:r>
      <w:r>
        <w:rPr>
          <w:spacing w:val="40"/>
          <w:sz w:val="24"/>
        </w:rPr>
        <w:t> </w:t>
      </w:r>
      <w:r>
        <w:rPr>
          <w:sz w:val="24"/>
        </w:rPr>
        <w:t>be</w:t>
      </w:r>
      <w:r>
        <w:rPr>
          <w:spacing w:val="40"/>
          <w:sz w:val="24"/>
        </w:rPr>
        <w:t> </w:t>
      </w:r>
      <w:r>
        <w:rPr>
          <w:sz w:val="24"/>
        </w:rPr>
        <w:t>satisfactorily</w:t>
      </w:r>
      <w:r>
        <w:rPr>
          <w:spacing w:val="9"/>
          <w:sz w:val="24"/>
        </w:rPr>
        <w:t> drained.</w:t>
      </w:r>
    </w:p>
    <w:p>
      <w:pPr>
        <w:pStyle w:val="BodyText"/>
        <w:spacing w:before="1"/>
        <w:jc w:val="left"/>
      </w:pPr>
    </w:p>
    <w:p>
      <w:pPr>
        <w:pStyle w:val="Heading6"/>
        <w:numPr>
          <w:ilvl w:val="0"/>
          <w:numId w:val="246"/>
        </w:numPr>
        <w:tabs>
          <w:tab w:pos="1714" w:val="left" w:leader="none"/>
        </w:tabs>
        <w:spacing w:line="281" w:lineRule="exact" w:before="0" w:after="0"/>
        <w:ind w:left="1714" w:right="0" w:hanging="401"/>
        <w:jc w:val="both"/>
        <w:rPr>
          <w:b w:val="0"/>
          <w:i w:val="0"/>
        </w:rPr>
      </w:pPr>
      <w:r>
        <w:rPr/>
        <w:t>Habitable</w:t>
      </w:r>
      <w:r>
        <w:rPr>
          <w:spacing w:val="51"/>
          <w:w w:val="150"/>
        </w:rPr>
        <w:t> </w:t>
      </w:r>
      <w:r>
        <w:rPr>
          <w:spacing w:val="-2"/>
        </w:rPr>
        <w:t>Rooms/Rooms:</w:t>
      </w:r>
    </w:p>
    <w:p>
      <w:pPr>
        <w:pStyle w:val="ListParagraph"/>
        <w:numPr>
          <w:ilvl w:val="1"/>
          <w:numId w:val="246"/>
        </w:numPr>
        <w:tabs>
          <w:tab w:pos="1668" w:val="left" w:leader="none"/>
        </w:tabs>
        <w:spacing w:line="240" w:lineRule="auto" w:before="0" w:after="0"/>
        <w:ind w:left="1313" w:right="792" w:firstLine="0"/>
        <w:jc w:val="both"/>
        <w:rPr>
          <w:sz w:val="24"/>
        </w:rPr>
      </w:pPr>
      <w:r>
        <w:rPr>
          <w:b/>
          <w:i/>
          <w:sz w:val="24"/>
        </w:rPr>
        <w:t>Size</w:t>
      </w:r>
      <w:r>
        <w:rPr>
          <w:b/>
          <w:i/>
          <w:spacing w:val="40"/>
          <w:sz w:val="24"/>
        </w:rPr>
        <w:t> </w:t>
      </w:r>
      <w:r>
        <w:rPr>
          <w:b/>
          <w:i/>
          <w:sz w:val="24"/>
        </w:rPr>
        <w:t>and</w:t>
      </w:r>
      <w:r>
        <w:rPr>
          <w:b/>
          <w:i/>
          <w:spacing w:val="40"/>
          <w:sz w:val="24"/>
        </w:rPr>
        <w:t> </w:t>
      </w:r>
      <w:r>
        <w:rPr>
          <w:b/>
          <w:i/>
          <w:sz w:val="24"/>
        </w:rPr>
        <w:t>Width:</w:t>
      </w:r>
      <w:r>
        <w:rPr>
          <w:b/>
          <w:i/>
          <w:spacing w:val="40"/>
          <w:sz w:val="24"/>
        </w:rPr>
        <w:t> </w:t>
      </w:r>
      <w:r>
        <w:rPr>
          <w:sz w:val="24"/>
        </w:rPr>
        <w:t>The</w:t>
      </w:r>
      <w:r>
        <w:rPr>
          <w:spacing w:val="40"/>
          <w:sz w:val="24"/>
        </w:rPr>
        <w:t> </w:t>
      </w:r>
      <w:r>
        <w:rPr>
          <w:sz w:val="24"/>
        </w:rPr>
        <w:t>minimum</w:t>
      </w:r>
      <w:r>
        <w:rPr>
          <w:spacing w:val="40"/>
          <w:sz w:val="24"/>
        </w:rPr>
        <w:t> </w:t>
      </w:r>
      <w:r>
        <w:rPr>
          <w:sz w:val="24"/>
        </w:rPr>
        <w:t>size</w:t>
      </w:r>
      <w:r>
        <w:rPr>
          <w:spacing w:val="40"/>
          <w:sz w:val="24"/>
        </w:rPr>
        <w:t> </w:t>
      </w:r>
      <w:r>
        <w:rPr>
          <w:sz w:val="24"/>
        </w:rPr>
        <w:t>and</w:t>
      </w:r>
      <w:r>
        <w:rPr>
          <w:spacing w:val="40"/>
          <w:sz w:val="24"/>
        </w:rPr>
        <w:t> </w:t>
      </w:r>
      <w:r>
        <w:rPr>
          <w:sz w:val="24"/>
        </w:rPr>
        <w:t>width</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given</w:t>
      </w:r>
      <w:r>
        <w:rPr>
          <w:spacing w:val="40"/>
          <w:sz w:val="24"/>
        </w:rPr>
        <w:t> </w:t>
      </w:r>
      <w:r>
        <w:rPr>
          <w:sz w:val="24"/>
        </w:rPr>
        <w:t>in the</w:t>
      </w:r>
      <w:r>
        <w:rPr>
          <w:spacing w:val="40"/>
          <w:sz w:val="24"/>
        </w:rPr>
        <w:t> </w:t>
      </w:r>
      <w:r>
        <w:rPr>
          <w:sz w:val="24"/>
        </w:rPr>
        <w:t>Table</w:t>
      </w:r>
      <w:r>
        <w:rPr>
          <w:spacing w:val="40"/>
          <w:sz w:val="24"/>
        </w:rPr>
        <w:t> </w:t>
      </w:r>
      <w:r>
        <w:rPr>
          <w:sz w:val="24"/>
        </w:rPr>
        <w:t>No</w:t>
      </w:r>
      <w:r>
        <w:rPr>
          <w:spacing w:val="40"/>
          <w:sz w:val="24"/>
        </w:rPr>
        <w:t> </w:t>
      </w:r>
      <w:r>
        <w:rPr>
          <w:sz w:val="24"/>
        </w:rPr>
        <w:t>14</w:t>
      </w:r>
      <w:r>
        <w:rPr>
          <w:spacing w:val="40"/>
          <w:sz w:val="24"/>
        </w:rPr>
        <w:t> </w:t>
      </w:r>
      <w:r>
        <w:rPr>
          <w:sz w:val="24"/>
        </w:rPr>
        <w:t>hereunder.</w:t>
      </w:r>
    </w:p>
    <w:p>
      <w:pPr>
        <w:pStyle w:val="BodyText"/>
        <w:spacing w:before="2"/>
        <w:jc w:val="left"/>
      </w:pPr>
    </w:p>
    <w:p>
      <w:pPr>
        <w:pStyle w:val="Heading5"/>
        <w:spacing w:line="281" w:lineRule="exact"/>
        <w:ind w:left="343" w:right="8303"/>
        <w:jc w:val="center"/>
      </w:pPr>
      <w:r>
        <w:rPr/>
        <w:t>Table</w:t>
      </w:r>
      <w:r>
        <w:rPr>
          <w:spacing w:val="47"/>
        </w:rPr>
        <w:t> </w:t>
      </w:r>
      <w:r>
        <w:rPr/>
        <w:t>No:</w:t>
      </w:r>
      <w:r>
        <w:rPr>
          <w:spacing w:val="47"/>
        </w:rPr>
        <w:t> </w:t>
      </w:r>
      <w:r>
        <w:rPr>
          <w:spacing w:val="-5"/>
        </w:rPr>
        <w:t>14</w:t>
      </w:r>
    </w:p>
    <w:p>
      <w:pPr>
        <w:spacing w:line="281" w:lineRule="exact" w:before="0"/>
        <w:ind w:left="0" w:right="3" w:firstLine="0"/>
        <w:jc w:val="center"/>
        <w:rPr>
          <w:b/>
          <w:sz w:val="24"/>
        </w:rPr>
      </w:pPr>
      <w:r>
        <w:rPr>
          <w:b/>
          <w:sz w:val="24"/>
        </w:rPr>
        <w:t>Minimum</w:t>
      </w:r>
      <w:r>
        <w:rPr>
          <w:b/>
          <w:spacing w:val="9"/>
          <w:sz w:val="24"/>
        </w:rPr>
        <w:t> </w:t>
      </w:r>
      <w:r>
        <w:rPr>
          <w:b/>
          <w:sz w:val="24"/>
        </w:rPr>
        <w:t>size</w:t>
      </w:r>
      <w:r>
        <w:rPr>
          <w:b/>
          <w:spacing w:val="10"/>
          <w:sz w:val="24"/>
        </w:rPr>
        <w:t> </w:t>
      </w:r>
      <w:r>
        <w:rPr>
          <w:b/>
          <w:sz w:val="24"/>
        </w:rPr>
        <w:t>and</w:t>
      </w:r>
      <w:r>
        <w:rPr>
          <w:b/>
          <w:spacing w:val="12"/>
          <w:sz w:val="24"/>
        </w:rPr>
        <w:t> </w:t>
      </w:r>
      <w:r>
        <w:rPr>
          <w:b/>
          <w:sz w:val="24"/>
        </w:rPr>
        <w:t>width</w:t>
      </w:r>
      <w:r>
        <w:rPr>
          <w:b/>
          <w:spacing w:val="10"/>
          <w:sz w:val="24"/>
        </w:rPr>
        <w:t> </w:t>
      </w:r>
      <w:r>
        <w:rPr>
          <w:b/>
          <w:sz w:val="24"/>
        </w:rPr>
        <w:t>of</w:t>
      </w:r>
      <w:r>
        <w:rPr>
          <w:b/>
          <w:spacing w:val="11"/>
          <w:sz w:val="24"/>
        </w:rPr>
        <w:t> </w:t>
      </w:r>
      <w:r>
        <w:rPr>
          <w:b/>
          <w:sz w:val="24"/>
        </w:rPr>
        <w:t>Habitable</w:t>
      </w:r>
      <w:r>
        <w:rPr>
          <w:b/>
          <w:spacing w:val="34"/>
          <w:sz w:val="24"/>
        </w:rPr>
        <w:t> </w:t>
      </w:r>
      <w:r>
        <w:rPr>
          <w:b/>
          <w:spacing w:val="-2"/>
          <w:sz w:val="24"/>
        </w:rPr>
        <w:t>Rooms</w:t>
      </w:r>
    </w:p>
    <w:p>
      <w:pPr>
        <w:pStyle w:val="BodyText"/>
        <w:spacing w:before="7"/>
        <w:jc w:val="left"/>
        <w:rPr>
          <w:b/>
          <w:sz w:val="20"/>
        </w:rPr>
      </w:pPr>
    </w:p>
    <w:tbl>
      <w:tblPr>
        <w:tblW w:w="0" w:type="auto"/>
        <w:jc w:val="left"/>
        <w:tblInd w:w="10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67"/>
        <w:gridCol w:w="3834"/>
        <w:gridCol w:w="1800"/>
        <w:gridCol w:w="2072"/>
      </w:tblGrid>
      <w:tr>
        <w:trPr>
          <w:trHeight w:val="940" w:hRule="atLeast"/>
        </w:trPr>
        <w:tc>
          <w:tcPr>
            <w:tcW w:w="1567" w:type="dxa"/>
            <w:shd w:val="clear" w:color="auto" w:fill="EDEBE0"/>
          </w:tcPr>
          <w:p>
            <w:pPr>
              <w:pStyle w:val="TableParagraph"/>
              <w:spacing w:before="95"/>
              <w:ind w:left="287" w:right="270"/>
              <w:jc w:val="center"/>
              <w:rPr>
                <w:sz w:val="24"/>
              </w:rPr>
            </w:pPr>
            <w:r>
              <w:rPr>
                <w:spacing w:val="-2"/>
                <w:sz w:val="24"/>
              </w:rPr>
              <w:t>Serial</w:t>
            </w:r>
          </w:p>
          <w:p>
            <w:pPr>
              <w:pStyle w:val="TableParagraph"/>
              <w:spacing w:line="280" w:lineRule="exact"/>
              <w:ind w:left="476" w:right="457"/>
              <w:jc w:val="center"/>
              <w:rPr>
                <w:sz w:val="24"/>
              </w:rPr>
            </w:pPr>
            <w:r>
              <w:rPr>
                <w:spacing w:val="-4"/>
                <w:sz w:val="24"/>
              </w:rPr>
              <w:t>No. (1)</w:t>
            </w:r>
          </w:p>
        </w:tc>
        <w:tc>
          <w:tcPr>
            <w:tcW w:w="3834" w:type="dxa"/>
            <w:shd w:val="clear" w:color="auto" w:fill="EDEBE0"/>
          </w:tcPr>
          <w:p>
            <w:pPr>
              <w:pStyle w:val="TableParagraph"/>
              <w:spacing w:line="281" w:lineRule="exact"/>
              <w:ind w:left="107"/>
              <w:rPr>
                <w:sz w:val="24"/>
              </w:rPr>
            </w:pPr>
            <w:r>
              <w:rPr>
                <w:spacing w:val="-2"/>
                <w:sz w:val="24"/>
              </w:rPr>
              <w:t>Occupancy</w:t>
            </w:r>
          </w:p>
          <w:p>
            <w:pPr>
              <w:pStyle w:val="TableParagraph"/>
              <w:rPr>
                <w:b/>
                <w:sz w:val="24"/>
              </w:rPr>
            </w:pPr>
          </w:p>
          <w:p>
            <w:pPr>
              <w:pStyle w:val="TableParagraph"/>
              <w:ind w:left="107"/>
              <w:rPr>
                <w:sz w:val="24"/>
              </w:rPr>
            </w:pPr>
            <w:r>
              <w:rPr>
                <w:spacing w:val="-5"/>
                <w:sz w:val="24"/>
              </w:rPr>
              <w:t>(2)</w:t>
            </w:r>
          </w:p>
        </w:tc>
        <w:tc>
          <w:tcPr>
            <w:tcW w:w="1800" w:type="dxa"/>
            <w:shd w:val="clear" w:color="auto" w:fill="EDEBE0"/>
          </w:tcPr>
          <w:p>
            <w:pPr>
              <w:pStyle w:val="TableParagraph"/>
              <w:ind w:left="110" w:right="134"/>
              <w:rPr>
                <w:sz w:val="24"/>
              </w:rPr>
            </w:pPr>
            <w:r>
              <w:rPr>
                <w:spacing w:val="-2"/>
                <w:sz w:val="24"/>
              </w:rPr>
              <w:t>Minimum </w:t>
            </w:r>
            <w:r>
              <w:rPr>
                <w:sz w:val="24"/>
              </w:rPr>
              <w:t>size</w:t>
            </w:r>
            <w:r>
              <w:rPr>
                <w:spacing w:val="-19"/>
                <w:sz w:val="24"/>
              </w:rPr>
              <w:t> </w:t>
            </w:r>
            <w:r>
              <w:rPr>
                <w:sz w:val="24"/>
              </w:rPr>
              <w:t>in</w:t>
            </w:r>
            <w:r>
              <w:rPr>
                <w:spacing w:val="-19"/>
                <w:sz w:val="24"/>
              </w:rPr>
              <w:t> </w:t>
            </w:r>
            <w:r>
              <w:rPr>
                <w:sz w:val="24"/>
              </w:rPr>
              <w:t>sq.m </w:t>
            </w:r>
            <w:r>
              <w:rPr>
                <w:spacing w:val="-4"/>
                <w:sz w:val="24"/>
              </w:rPr>
              <w:t>(3)</w:t>
            </w:r>
          </w:p>
        </w:tc>
        <w:tc>
          <w:tcPr>
            <w:tcW w:w="2072" w:type="dxa"/>
            <w:shd w:val="clear" w:color="auto" w:fill="EDEBE0"/>
          </w:tcPr>
          <w:p>
            <w:pPr>
              <w:pStyle w:val="TableParagraph"/>
              <w:ind w:left="110" w:right="458"/>
              <w:rPr>
                <w:sz w:val="24"/>
              </w:rPr>
            </w:pPr>
            <w:r>
              <w:rPr>
                <w:spacing w:val="-2"/>
                <w:sz w:val="24"/>
              </w:rPr>
              <w:t>Minimum </w:t>
            </w:r>
            <w:r>
              <w:rPr>
                <w:sz w:val="24"/>
              </w:rPr>
              <w:t>width</w:t>
            </w:r>
            <w:r>
              <w:rPr>
                <w:spacing w:val="-20"/>
                <w:sz w:val="24"/>
              </w:rPr>
              <w:t> </w:t>
            </w:r>
            <w:r>
              <w:rPr>
                <w:sz w:val="24"/>
              </w:rPr>
              <w:t>in</w:t>
            </w:r>
            <w:r>
              <w:rPr>
                <w:spacing w:val="-19"/>
                <w:sz w:val="24"/>
              </w:rPr>
              <w:t> </w:t>
            </w:r>
            <w:r>
              <w:rPr>
                <w:sz w:val="24"/>
              </w:rPr>
              <w:t>m </w:t>
            </w:r>
            <w:r>
              <w:rPr>
                <w:spacing w:val="-4"/>
                <w:sz w:val="24"/>
              </w:rPr>
              <w:t>(4)</w:t>
            </w:r>
          </w:p>
        </w:tc>
      </w:tr>
      <w:tr>
        <w:trPr>
          <w:trHeight w:val="563" w:hRule="atLeast"/>
        </w:trPr>
        <w:tc>
          <w:tcPr>
            <w:tcW w:w="1567" w:type="dxa"/>
          </w:tcPr>
          <w:p>
            <w:pPr>
              <w:pStyle w:val="TableParagraph"/>
              <w:spacing w:before="188"/>
              <w:ind w:right="691"/>
              <w:jc w:val="right"/>
              <w:rPr>
                <w:sz w:val="24"/>
              </w:rPr>
            </w:pPr>
            <w:r>
              <w:rPr>
                <w:spacing w:val="-10"/>
                <w:sz w:val="24"/>
              </w:rPr>
              <w:t>1</w:t>
            </w:r>
          </w:p>
        </w:tc>
        <w:tc>
          <w:tcPr>
            <w:tcW w:w="3834" w:type="dxa"/>
          </w:tcPr>
          <w:p>
            <w:pPr>
              <w:pStyle w:val="TableParagraph"/>
              <w:spacing w:before="1"/>
              <w:ind w:left="107"/>
              <w:rPr>
                <w:sz w:val="24"/>
              </w:rPr>
            </w:pPr>
            <w:r>
              <w:rPr>
                <w:sz w:val="24"/>
              </w:rPr>
              <w:t>Any habitable </w:t>
            </w:r>
            <w:r>
              <w:rPr>
                <w:spacing w:val="-2"/>
                <w:sz w:val="24"/>
              </w:rPr>
              <w:t>room.</w:t>
            </w:r>
          </w:p>
        </w:tc>
        <w:tc>
          <w:tcPr>
            <w:tcW w:w="1800" w:type="dxa"/>
            <w:shd w:val="clear" w:color="auto" w:fill="FFCCFF"/>
          </w:tcPr>
          <w:p>
            <w:pPr>
              <w:pStyle w:val="TableParagraph"/>
              <w:spacing w:before="140"/>
              <w:ind w:left="105" w:right="86"/>
              <w:jc w:val="center"/>
              <w:rPr>
                <w:sz w:val="24"/>
              </w:rPr>
            </w:pPr>
            <w:r>
              <w:rPr>
                <w:sz w:val="24"/>
              </w:rPr>
              <w:t>---</w:t>
            </w:r>
            <w:r>
              <w:rPr>
                <w:spacing w:val="-10"/>
                <w:sz w:val="24"/>
              </w:rPr>
              <w:t>-</w:t>
            </w:r>
          </w:p>
        </w:tc>
        <w:tc>
          <w:tcPr>
            <w:tcW w:w="2072" w:type="dxa"/>
          </w:tcPr>
          <w:p>
            <w:pPr>
              <w:pStyle w:val="TableParagraph"/>
              <w:spacing w:before="92"/>
              <w:ind w:left="88" w:right="72"/>
              <w:jc w:val="center"/>
              <w:rPr>
                <w:sz w:val="24"/>
              </w:rPr>
            </w:pPr>
            <w:r>
              <w:rPr>
                <w:spacing w:val="-5"/>
                <w:sz w:val="24"/>
              </w:rPr>
              <w:t>2.4</w:t>
            </w:r>
          </w:p>
        </w:tc>
      </w:tr>
      <w:tr>
        <w:trPr>
          <w:trHeight w:val="2351" w:hRule="atLeast"/>
        </w:trPr>
        <w:tc>
          <w:tcPr>
            <w:tcW w:w="1567" w:type="dxa"/>
          </w:tcPr>
          <w:p>
            <w:pPr>
              <w:pStyle w:val="TableParagraph"/>
              <w:spacing w:before="96"/>
              <w:rPr>
                <w:b/>
                <w:sz w:val="24"/>
              </w:rPr>
            </w:pPr>
          </w:p>
          <w:p>
            <w:pPr>
              <w:pStyle w:val="TableParagraph"/>
              <w:ind w:right="691"/>
              <w:jc w:val="right"/>
              <w:rPr>
                <w:sz w:val="24"/>
              </w:rPr>
            </w:pPr>
            <w:r>
              <w:rPr>
                <w:spacing w:val="-10"/>
                <w:sz w:val="24"/>
              </w:rPr>
              <w:t>2</w:t>
            </w:r>
          </w:p>
        </w:tc>
        <w:tc>
          <w:tcPr>
            <w:tcW w:w="3834" w:type="dxa"/>
          </w:tcPr>
          <w:p>
            <w:pPr>
              <w:pStyle w:val="TableParagraph"/>
              <w:spacing w:before="49"/>
              <w:ind w:left="107"/>
              <w:rPr>
                <w:sz w:val="24"/>
              </w:rPr>
            </w:pPr>
            <w:r>
              <w:rPr>
                <w:sz w:val="24"/>
              </w:rPr>
              <w:t>Rooms</w:t>
            </w:r>
            <w:r>
              <w:rPr>
                <w:spacing w:val="-10"/>
                <w:sz w:val="24"/>
              </w:rPr>
              <w:t> </w:t>
            </w:r>
            <w:r>
              <w:rPr>
                <w:sz w:val="24"/>
              </w:rPr>
              <w:t>in</w:t>
            </w:r>
            <w:r>
              <w:rPr>
                <w:spacing w:val="-10"/>
                <w:sz w:val="24"/>
              </w:rPr>
              <w:t> </w:t>
            </w:r>
            <w:r>
              <w:rPr>
                <w:sz w:val="24"/>
              </w:rPr>
              <w:t>a</w:t>
            </w:r>
            <w:r>
              <w:rPr>
                <w:spacing w:val="-10"/>
                <w:sz w:val="24"/>
              </w:rPr>
              <w:t> </w:t>
            </w:r>
            <w:r>
              <w:rPr>
                <w:sz w:val="24"/>
              </w:rPr>
              <w:t>two-room</w:t>
            </w:r>
            <w:r>
              <w:rPr>
                <w:spacing w:val="-10"/>
                <w:sz w:val="24"/>
              </w:rPr>
              <w:t> </w:t>
            </w:r>
            <w:r>
              <w:rPr>
                <w:sz w:val="24"/>
              </w:rPr>
              <w:t>Kitchen tenement &amp; above</w:t>
            </w:r>
          </w:p>
          <w:p>
            <w:pPr>
              <w:pStyle w:val="TableParagraph"/>
              <w:rPr>
                <w:b/>
                <w:sz w:val="24"/>
              </w:rPr>
            </w:pPr>
          </w:p>
          <w:p>
            <w:pPr>
              <w:pStyle w:val="TableParagraph"/>
              <w:spacing w:line="477" w:lineRule="auto"/>
              <w:ind w:left="107" w:right="1082"/>
              <w:rPr>
                <w:sz w:val="24"/>
              </w:rPr>
            </w:pPr>
            <w:r>
              <w:rPr>
                <w:sz w:val="24"/>
              </w:rPr>
              <w:t>one of the rooms. other </w:t>
            </w:r>
            <w:r>
              <w:rPr>
                <w:spacing w:val="-2"/>
                <w:sz w:val="24"/>
              </w:rPr>
              <w:t>room/rooms</w:t>
            </w:r>
          </w:p>
          <w:p>
            <w:pPr>
              <w:pStyle w:val="TableParagraph"/>
              <w:spacing w:before="5"/>
              <w:ind w:left="184"/>
              <w:rPr>
                <w:sz w:val="24"/>
              </w:rPr>
            </w:pPr>
            <w:r>
              <w:rPr>
                <w:spacing w:val="-2"/>
                <w:sz w:val="24"/>
              </w:rPr>
              <w:t>Kitchen</w:t>
            </w:r>
          </w:p>
        </w:tc>
        <w:tc>
          <w:tcPr>
            <w:tcW w:w="1800" w:type="dxa"/>
            <w:shd w:val="clear" w:color="auto" w:fill="FFCCFF"/>
          </w:tcPr>
          <w:p>
            <w:pPr>
              <w:pStyle w:val="TableParagraph"/>
              <w:rPr>
                <w:b/>
                <w:sz w:val="24"/>
              </w:rPr>
            </w:pPr>
          </w:p>
          <w:p>
            <w:pPr>
              <w:pStyle w:val="TableParagraph"/>
              <w:spacing w:before="189"/>
              <w:rPr>
                <w:b/>
                <w:sz w:val="24"/>
              </w:rPr>
            </w:pPr>
          </w:p>
          <w:p>
            <w:pPr>
              <w:pStyle w:val="TableParagraph"/>
              <w:ind w:left="105" w:right="86"/>
              <w:jc w:val="center"/>
              <w:rPr>
                <w:sz w:val="24"/>
              </w:rPr>
            </w:pPr>
            <w:r>
              <w:rPr>
                <w:sz w:val="24"/>
              </w:rPr>
              <w:t>---</w:t>
            </w:r>
            <w:r>
              <w:rPr>
                <w:spacing w:val="-10"/>
                <w:sz w:val="24"/>
              </w:rPr>
              <w:t>-</w:t>
            </w:r>
          </w:p>
          <w:p>
            <w:pPr>
              <w:pStyle w:val="TableParagraph"/>
              <w:spacing w:before="2"/>
              <w:rPr>
                <w:b/>
                <w:sz w:val="14"/>
              </w:rPr>
            </w:pPr>
          </w:p>
          <w:p>
            <w:pPr>
              <w:pStyle w:val="TableParagraph"/>
              <w:spacing w:line="20" w:lineRule="exact"/>
              <w:ind w:left="710"/>
              <w:rPr>
                <w:sz w:val="2"/>
              </w:rPr>
            </w:pPr>
            <w:r>
              <w:rPr>
                <w:sz w:val="2"/>
              </w:rPr>
              <mc:AlternateContent>
                <mc:Choice Requires="wps">
                  <w:drawing>
                    <wp:inline distT="0" distB="0" distL="0" distR="0">
                      <wp:extent cx="243840" cy="9525"/>
                      <wp:effectExtent l="9525" t="0" r="3810" b="0"/>
                      <wp:docPr id="407" name="Group 407"/>
                      <wp:cNvGraphicFramePr>
                        <a:graphicFrameLocks/>
                      </wp:cNvGraphicFramePr>
                      <a:graphic>
                        <a:graphicData uri="http://schemas.microsoft.com/office/word/2010/wordprocessingGroup">
                          <wpg:wgp>
                            <wpg:cNvPr id="407" name="Group 407"/>
                            <wpg:cNvGrpSpPr/>
                            <wpg:grpSpPr>
                              <a:xfrm>
                                <a:off x="0" y="0"/>
                                <a:ext cx="243840" cy="9525"/>
                                <a:chExt cx="243840" cy="9525"/>
                              </a:xfrm>
                            </wpg:grpSpPr>
                            <wps:wsp>
                              <wps:cNvPr id="408" name="Graphic 408"/>
                              <wps:cNvSpPr/>
                              <wps:spPr>
                                <a:xfrm>
                                  <a:off x="0" y="4572"/>
                                  <a:ext cx="243840" cy="1270"/>
                                </a:xfrm>
                                <a:custGeom>
                                  <a:avLst/>
                                  <a:gdLst/>
                                  <a:ahLst/>
                                  <a:cxnLst/>
                                  <a:rect l="l" t="t" r="r" b="b"/>
                                  <a:pathLst>
                                    <a:path w="243840" h="0">
                                      <a:moveTo>
                                        <a:pt x="0" y="0"/>
                                      </a:moveTo>
                                      <a:lnTo>
                                        <a:pt x="243840" y="0"/>
                                      </a:lnTo>
                                    </a:path>
                                  </a:pathLst>
                                </a:custGeom>
                                <a:ln w="9144">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9.2pt;height:.75pt;mso-position-horizontal-relative:char;mso-position-vertical-relative:line" id="docshapegroup351" coordorigin="0,0" coordsize="384,15">
                      <v:line style="position:absolute" from="0,7" to="384,7" stroked="true" strokeweight=".72pt" strokecolor="#000000">
                        <v:stroke dashstyle="dash"/>
                      </v:line>
                    </v:group>
                  </w:pict>
                </mc:Fallback>
              </mc:AlternateContent>
            </w:r>
            <w:r>
              <w:rPr>
                <w:sz w:val="2"/>
              </w:rPr>
            </w:r>
          </w:p>
          <w:p>
            <w:pPr>
              <w:pStyle w:val="TableParagraph"/>
              <w:spacing w:before="96"/>
              <w:ind w:left="105" w:right="86"/>
              <w:jc w:val="center"/>
              <w:rPr>
                <w:sz w:val="24"/>
              </w:rPr>
            </w:pPr>
            <w:r>
              <w:rPr>
                <w:sz w:val="24"/>
              </w:rPr>
              <w:t>--</w:t>
            </w:r>
            <w:r>
              <w:rPr>
                <w:spacing w:val="-10"/>
                <w:sz w:val="24"/>
              </w:rPr>
              <w:t>-</w:t>
            </w:r>
          </w:p>
        </w:tc>
        <w:tc>
          <w:tcPr>
            <w:tcW w:w="2072"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88" w:right="72"/>
              <w:jc w:val="center"/>
              <w:rPr>
                <w:sz w:val="24"/>
              </w:rPr>
            </w:pPr>
            <w:r>
              <w:rPr>
                <w:spacing w:val="-5"/>
                <w:sz w:val="24"/>
              </w:rPr>
              <w:t>2.4</w:t>
            </w:r>
          </w:p>
          <w:p>
            <w:pPr>
              <w:pStyle w:val="TableParagraph"/>
              <w:spacing w:before="280"/>
              <w:ind w:left="88" w:right="72"/>
              <w:jc w:val="center"/>
              <w:rPr>
                <w:sz w:val="24"/>
              </w:rPr>
            </w:pPr>
            <w:r>
              <w:rPr>
                <w:spacing w:val="-5"/>
                <w:sz w:val="24"/>
              </w:rPr>
              <w:t>2.4</w:t>
            </w:r>
          </w:p>
          <w:p>
            <w:pPr>
              <w:pStyle w:val="TableParagraph"/>
              <w:spacing w:before="1"/>
              <w:rPr>
                <w:b/>
                <w:sz w:val="24"/>
              </w:rPr>
            </w:pPr>
          </w:p>
          <w:p>
            <w:pPr>
              <w:pStyle w:val="TableParagraph"/>
              <w:ind w:left="88" w:right="72"/>
              <w:jc w:val="center"/>
              <w:rPr>
                <w:sz w:val="24"/>
              </w:rPr>
            </w:pPr>
            <w:r>
              <w:rPr>
                <w:spacing w:val="-5"/>
                <w:sz w:val="24"/>
              </w:rPr>
              <w:t>1.8</w:t>
            </w:r>
          </w:p>
        </w:tc>
      </w:tr>
      <w:tr>
        <w:trPr>
          <w:trHeight w:val="1127" w:hRule="atLeast"/>
        </w:trPr>
        <w:tc>
          <w:tcPr>
            <w:tcW w:w="1567" w:type="dxa"/>
          </w:tcPr>
          <w:p>
            <w:pPr>
              <w:pStyle w:val="TableParagraph"/>
              <w:spacing w:before="187"/>
              <w:rPr>
                <w:b/>
                <w:sz w:val="24"/>
              </w:rPr>
            </w:pPr>
          </w:p>
          <w:p>
            <w:pPr>
              <w:pStyle w:val="TableParagraph"/>
              <w:ind w:left="110"/>
              <w:rPr>
                <w:sz w:val="24"/>
              </w:rPr>
            </w:pPr>
            <w:r>
              <w:rPr>
                <w:spacing w:val="-10"/>
                <w:sz w:val="24"/>
              </w:rPr>
              <w:t>3</w:t>
            </w:r>
          </w:p>
        </w:tc>
        <w:tc>
          <w:tcPr>
            <w:tcW w:w="3834" w:type="dxa"/>
          </w:tcPr>
          <w:p>
            <w:pPr>
              <w:pStyle w:val="TableParagraph"/>
              <w:spacing w:line="281" w:lineRule="exact"/>
              <w:ind w:left="107"/>
              <w:rPr>
                <w:sz w:val="24"/>
              </w:rPr>
            </w:pPr>
            <w:r>
              <w:rPr>
                <w:sz w:val="24"/>
              </w:rPr>
              <w:t>One</w:t>
            </w:r>
            <w:r>
              <w:rPr>
                <w:spacing w:val="-4"/>
                <w:sz w:val="24"/>
              </w:rPr>
              <w:t> </w:t>
            </w:r>
            <w:r>
              <w:rPr>
                <w:sz w:val="24"/>
              </w:rPr>
              <w:t>room</w:t>
            </w:r>
            <w:r>
              <w:rPr>
                <w:spacing w:val="-2"/>
                <w:sz w:val="24"/>
              </w:rPr>
              <w:t> </w:t>
            </w:r>
            <w:r>
              <w:rPr>
                <w:sz w:val="24"/>
              </w:rPr>
              <w:t>Kitchen</w:t>
            </w:r>
            <w:r>
              <w:rPr>
                <w:spacing w:val="-2"/>
                <w:sz w:val="24"/>
              </w:rPr>
              <w:t> tenements</w:t>
            </w:r>
          </w:p>
          <w:p>
            <w:pPr>
              <w:pStyle w:val="TableParagraph"/>
              <w:rPr>
                <w:b/>
                <w:sz w:val="24"/>
              </w:rPr>
            </w:pPr>
          </w:p>
          <w:p>
            <w:pPr>
              <w:pStyle w:val="TableParagraph"/>
              <w:ind w:left="107"/>
              <w:rPr>
                <w:sz w:val="24"/>
              </w:rPr>
            </w:pPr>
            <w:r>
              <w:rPr>
                <w:sz w:val="24"/>
              </w:rPr>
              <w:t>one </w:t>
            </w:r>
            <w:r>
              <w:rPr>
                <w:spacing w:val="-4"/>
                <w:sz w:val="24"/>
              </w:rPr>
              <w:t>room</w:t>
            </w:r>
          </w:p>
        </w:tc>
        <w:tc>
          <w:tcPr>
            <w:tcW w:w="1800" w:type="dxa"/>
            <w:shd w:val="clear" w:color="auto" w:fill="FFCCFF"/>
          </w:tcPr>
          <w:p>
            <w:pPr>
              <w:pStyle w:val="TableParagraph"/>
              <w:spacing w:before="281"/>
              <w:rPr>
                <w:b/>
                <w:sz w:val="24"/>
              </w:rPr>
            </w:pPr>
          </w:p>
          <w:p>
            <w:pPr>
              <w:pStyle w:val="TableParagraph"/>
              <w:ind w:left="105" w:right="86"/>
              <w:jc w:val="center"/>
              <w:rPr>
                <w:sz w:val="24"/>
              </w:rPr>
            </w:pPr>
            <w:r>
              <w:rPr>
                <w:sz w:val="24"/>
              </w:rPr>
              <mc:AlternateContent>
                <mc:Choice Requires="wps">
                  <w:drawing>
                    <wp:anchor distT="0" distB="0" distL="0" distR="0" allowOverlap="1" layoutInCell="1" locked="0" behindDoc="0" simplePos="0" relativeHeight="15744000">
                      <wp:simplePos x="0" y="0"/>
                      <wp:positionH relativeFrom="column">
                        <wp:posOffset>451104</wp:posOffset>
                      </wp:positionH>
                      <wp:positionV relativeFrom="paragraph">
                        <wp:posOffset>279583</wp:posOffset>
                      </wp:positionV>
                      <wp:extent cx="243840" cy="9525"/>
                      <wp:effectExtent l="0" t="0" r="0" b="0"/>
                      <wp:wrapNone/>
                      <wp:docPr id="409" name="Group 409"/>
                      <wp:cNvGraphicFramePr>
                        <a:graphicFrameLocks/>
                      </wp:cNvGraphicFramePr>
                      <a:graphic>
                        <a:graphicData uri="http://schemas.microsoft.com/office/word/2010/wordprocessingGroup">
                          <wpg:wgp>
                            <wpg:cNvPr id="409" name="Group 409"/>
                            <wpg:cNvGrpSpPr/>
                            <wpg:grpSpPr>
                              <a:xfrm>
                                <a:off x="0" y="0"/>
                                <a:ext cx="243840" cy="9525"/>
                                <a:chExt cx="243840" cy="9525"/>
                              </a:xfrm>
                            </wpg:grpSpPr>
                            <wps:wsp>
                              <wps:cNvPr id="410" name="Graphic 410"/>
                              <wps:cNvSpPr/>
                              <wps:spPr>
                                <a:xfrm>
                                  <a:off x="0" y="4572"/>
                                  <a:ext cx="243840" cy="1270"/>
                                </a:xfrm>
                                <a:custGeom>
                                  <a:avLst/>
                                  <a:gdLst/>
                                  <a:ahLst/>
                                  <a:cxnLst/>
                                  <a:rect l="l" t="t" r="r" b="b"/>
                                  <a:pathLst>
                                    <a:path w="243840" h="0">
                                      <a:moveTo>
                                        <a:pt x="0" y="0"/>
                                      </a:moveTo>
                                      <a:lnTo>
                                        <a:pt x="243840" y="0"/>
                                      </a:lnTo>
                                    </a:path>
                                  </a:pathLst>
                                </a:custGeom>
                                <a:ln w="9144">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35.520pt;margin-top:22.014456pt;width:19.2pt;height:.75pt;mso-position-horizontal-relative:column;mso-position-vertical-relative:paragraph;z-index:15744000" id="docshapegroup352" coordorigin="710,440" coordsize="384,15">
                      <v:line style="position:absolute" from="710,447" to="1094,447" stroked="true" strokeweight=".72pt" strokecolor="#000000">
                        <v:stroke dashstyle="dash"/>
                      </v:line>
                      <w10:wrap type="none"/>
                    </v:group>
                  </w:pict>
                </mc:Fallback>
              </mc:AlternateContent>
            </w:r>
            <w:r>
              <w:rPr>
                <w:sz w:val="24"/>
              </w:rPr>
              <w:t>---</w:t>
            </w:r>
            <w:r>
              <w:rPr>
                <w:spacing w:val="-10"/>
                <w:sz w:val="24"/>
              </w:rPr>
              <w:t>-</w:t>
            </w:r>
          </w:p>
        </w:tc>
        <w:tc>
          <w:tcPr>
            <w:tcW w:w="2072" w:type="dxa"/>
          </w:tcPr>
          <w:p>
            <w:pPr>
              <w:pStyle w:val="TableParagraph"/>
              <w:spacing w:before="281"/>
              <w:rPr>
                <w:b/>
                <w:sz w:val="24"/>
              </w:rPr>
            </w:pPr>
          </w:p>
          <w:p>
            <w:pPr>
              <w:pStyle w:val="TableParagraph"/>
              <w:ind w:left="88" w:right="72"/>
              <w:jc w:val="center"/>
              <w:rPr>
                <w:sz w:val="24"/>
              </w:rPr>
            </w:pPr>
            <w:r>
              <w:rPr>
                <w:spacing w:val="-5"/>
                <w:sz w:val="24"/>
              </w:rPr>
              <w:t>2.4</w:t>
            </w:r>
          </w:p>
        </w:tc>
      </w:tr>
    </w:tbl>
    <w:p>
      <w:pPr>
        <w:pStyle w:val="TableParagraph"/>
        <w:spacing w:after="0"/>
        <w:jc w:val="center"/>
        <w:rPr>
          <w:sz w:val="24"/>
        </w:rPr>
        <w:sectPr>
          <w:pgSz w:w="11910" w:h="16840"/>
          <w:pgMar w:header="1058" w:footer="1201" w:top="1500" w:bottom="1400" w:left="360" w:right="360"/>
        </w:sectPr>
      </w:pPr>
    </w:p>
    <w:p>
      <w:pPr>
        <w:pStyle w:val="BodyText"/>
        <w:spacing w:before="20"/>
        <w:jc w:val="left"/>
        <w:rPr>
          <w:b/>
          <w:sz w:val="20"/>
        </w:rPr>
      </w:pPr>
    </w:p>
    <w:tbl>
      <w:tblPr>
        <w:tblW w:w="0" w:type="auto"/>
        <w:jc w:val="left"/>
        <w:tblInd w:w="10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67"/>
        <w:gridCol w:w="3834"/>
        <w:gridCol w:w="1800"/>
        <w:gridCol w:w="2072"/>
      </w:tblGrid>
      <w:tr>
        <w:trPr>
          <w:trHeight w:val="942" w:hRule="atLeast"/>
        </w:trPr>
        <w:tc>
          <w:tcPr>
            <w:tcW w:w="1567" w:type="dxa"/>
            <w:shd w:val="clear" w:color="auto" w:fill="EDEBE0"/>
          </w:tcPr>
          <w:p>
            <w:pPr>
              <w:pStyle w:val="TableParagraph"/>
              <w:spacing w:before="98"/>
              <w:ind w:left="287" w:right="268"/>
              <w:jc w:val="center"/>
              <w:rPr>
                <w:sz w:val="24"/>
              </w:rPr>
            </w:pPr>
            <w:r>
              <w:rPr>
                <w:spacing w:val="-2"/>
                <w:sz w:val="24"/>
              </w:rPr>
              <w:t>Serial </w:t>
            </w:r>
            <w:r>
              <w:rPr>
                <w:spacing w:val="-4"/>
                <w:sz w:val="24"/>
              </w:rPr>
              <w:t>No.</w:t>
            </w:r>
          </w:p>
          <w:p>
            <w:pPr>
              <w:pStyle w:val="TableParagraph"/>
              <w:spacing w:line="261" w:lineRule="exact"/>
              <w:ind w:left="287" w:right="271"/>
              <w:jc w:val="center"/>
              <w:rPr>
                <w:sz w:val="24"/>
              </w:rPr>
            </w:pPr>
            <w:r>
              <w:rPr>
                <w:spacing w:val="-5"/>
                <w:sz w:val="24"/>
              </w:rPr>
              <w:t>(1)</w:t>
            </w:r>
          </w:p>
        </w:tc>
        <w:tc>
          <w:tcPr>
            <w:tcW w:w="3834" w:type="dxa"/>
            <w:shd w:val="clear" w:color="auto" w:fill="EDEBE0"/>
          </w:tcPr>
          <w:p>
            <w:pPr>
              <w:pStyle w:val="TableParagraph"/>
              <w:spacing w:before="2"/>
              <w:ind w:left="107"/>
              <w:rPr>
                <w:sz w:val="24"/>
              </w:rPr>
            </w:pPr>
            <w:r>
              <w:rPr>
                <w:spacing w:val="-2"/>
                <w:sz w:val="24"/>
              </w:rPr>
              <w:t>Occupancy</w:t>
            </w:r>
          </w:p>
          <w:p>
            <w:pPr>
              <w:pStyle w:val="TableParagraph"/>
              <w:rPr>
                <w:b/>
                <w:sz w:val="24"/>
              </w:rPr>
            </w:pPr>
          </w:p>
          <w:p>
            <w:pPr>
              <w:pStyle w:val="TableParagraph"/>
              <w:ind w:left="107"/>
              <w:rPr>
                <w:sz w:val="24"/>
              </w:rPr>
            </w:pPr>
            <w:r>
              <w:rPr>
                <w:spacing w:val="-5"/>
                <w:sz w:val="24"/>
              </w:rPr>
              <w:t>(2)</w:t>
            </w:r>
          </w:p>
        </w:tc>
        <w:tc>
          <w:tcPr>
            <w:tcW w:w="1800" w:type="dxa"/>
            <w:shd w:val="clear" w:color="auto" w:fill="EDEBE0"/>
          </w:tcPr>
          <w:p>
            <w:pPr>
              <w:pStyle w:val="TableParagraph"/>
              <w:spacing w:before="2"/>
              <w:ind w:left="110" w:right="134"/>
              <w:rPr>
                <w:sz w:val="24"/>
              </w:rPr>
            </w:pPr>
            <w:r>
              <w:rPr>
                <w:spacing w:val="-2"/>
                <w:sz w:val="24"/>
              </w:rPr>
              <w:t>Minimum </w:t>
            </w:r>
            <w:r>
              <w:rPr>
                <w:sz w:val="24"/>
              </w:rPr>
              <w:t>size</w:t>
            </w:r>
            <w:r>
              <w:rPr>
                <w:spacing w:val="-19"/>
                <w:sz w:val="24"/>
              </w:rPr>
              <w:t> </w:t>
            </w:r>
            <w:r>
              <w:rPr>
                <w:sz w:val="24"/>
              </w:rPr>
              <w:t>in</w:t>
            </w:r>
            <w:r>
              <w:rPr>
                <w:spacing w:val="-19"/>
                <w:sz w:val="24"/>
              </w:rPr>
              <w:t> </w:t>
            </w:r>
            <w:r>
              <w:rPr>
                <w:sz w:val="24"/>
              </w:rPr>
              <w:t>sq.m </w:t>
            </w:r>
            <w:r>
              <w:rPr>
                <w:spacing w:val="-4"/>
                <w:sz w:val="24"/>
              </w:rPr>
              <w:t>(3)</w:t>
            </w:r>
          </w:p>
        </w:tc>
        <w:tc>
          <w:tcPr>
            <w:tcW w:w="2072" w:type="dxa"/>
            <w:shd w:val="clear" w:color="auto" w:fill="EDEBE0"/>
          </w:tcPr>
          <w:p>
            <w:pPr>
              <w:pStyle w:val="TableParagraph"/>
              <w:spacing w:before="2"/>
              <w:ind w:left="110" w:right="458"/>
              <w:rPr>
                <w:sz w:val="24"/>
              </w:rPr>
            </w:pPr>
            <w:r>
              <w:rPr>
                <w:spacing w:val="-2"/>
                <w:sz w:val="24"/>
              </w:rPr>
              <w:t>Minimum </w:t>
            </w:r>
            <w:r>
              <w:rPr>
                <w:sz w:val="24"/>
              </w:rPr>
              <w:t>width</w:t>
            </w:r>
            <w:r>
              <w:rPr>
                <w:spacing w:val="-20"/>
                <w:sz w:val="24"/>
              </w:rPr>
              <w:t> </w:t>
            </w:r>
            <w:r>
              <w:rPr>
                <w:sz w:val="24"/>
              </w:rPr>
              <w:t>in</w:t>
            </w:r>
            <w:r>
              <w:rPr>
                <w:spacing w:val="-19"/>
                <w:sz w:val="24"/>
              </w:rPr>
              <w:t> </w:t>
            </w:r>
            <w:r>
              <w:rPr>
                <w:sz w:val="24"/>
              </w:rPr>
              <w:t>m </w:t>
            </w:r>
            <w:r>
              <w:rPr>
                <w:spacing w:val="-4"/>
                <w:sz w:val="24"/>
              </w:rPr>
              <w:t>(4)</w:t>
            </w:r>
          </w:p>
        </w:tc>
      </w:tr>
      <w:tr>
        <w:trPr>
          <w:trHeight w:val="378" w:hRule="atLeast"/>
        </w:trPr>
        <w:tc>
          <w:tcPr>
            <w:tcW w:w="1567" w:type="dxa"/>
          </w:tcPr>
          <w:p>
            <w:pPr>
              <w:pStyle w:val="TableParagraph"/>
              <w:rPr>
                <w:rFonts w:ascii="Times New Roman"/>
                <w:sz w:val="22"/>
              </w:rPr>
            </w:pPr>
          </w:p>
        </w:tc>
        <w:tc>
          <w:tcPr>
            <w:tcW w:w="3834" w:type="dxa"/>
          </w:tcPr>
          <w:p>
            <w:pPr>
              <w:pStyle w:val="TableParagraph"/>
              <w:spacing w:line="281" w:lineRule="exact"/>
              <w:ind w:left="107"/>
              <w:rPr>
                <w:sz w:val="24"/>
              </w:rPr>
            </w:pPr>
            <w:r>
              <w:rPr>
                <w:spacing w:val="-2"/>
                <w:sz w:val="24"/>
              </w:rPr>
              <w:t>Kitchen</w:t>
            </w:r>
          </w:p>
        </w:tc>
        <w:tc>
          <w:tcPr>
            <w:tcW w:w="1800" w:type="dxa"/>
            <w:shd w:val="clear" w:color="auto" w:fill="FFCCFF"/>
          </w:tcPr>
          <w:p>
            <w:pPr>
              <w:pStyle w:val="TableParagraph"/>
              <w:rPr>
                <w:rFonts w:ascii="Times New Roman"/>
                <w:sz w:val="22"/>
              </w:rPr>
            </w:pPr>
          </w:p>
        </w:tc>
        <w:tc>
          <w:tcPr>
            <w:tcW w:w="2072" w:type="dxa"/>
          </w:tcPr>
          <w:p>
            <w:pPr>
              <w:pStyle w:val="TableParagraph"/>
              <w:spacing w:line="281" w:lineRule="exact"/>
              <w:ind w:left="88" w:right="72"/>
              <w:jc w:val="center"/>
              <w:rPr>
                <w:sz w:val="24"/>
              </w:rPr>
            </w:pPr>
            <w:r>
              <w:rPr>
                <w:spacing w:val="-5"/>
                <w:sz w:val="24"/>
              </w:rPr>
              <w:t>2.1</w:t>
            </w:r>
          </w:p>
        </w:tc>
      </w:tr>
      <w:tr>
        <w:trPr>
          <w:trHeight w:val="659" w:hRule="atLeast"/>
        </w:trPr>
        <w:tc>
          <w:tcPr>
            <w:tcW w:w="1567" w:type="dxa"/>
          </w:tcPr>
          <w:p>
            <w:pPr>
              <w:pStyle w:val="TableParagraph"/>
              <w:spacing w:before="234"/>
              <w:ind w:left="287" w:right="271"/>
              <w:jc w:val="center"/>
              <w:rPr>
                <w:sz w:val="24"/>
              </w:rPr>
            </w:pPr>
            <w:r>
              <w:rPr>
                <w:spacing w:val="-10"/>
                <w:sz w:val="24"/>
              </w:rPr>
              <w:t>4</w:t>
            </w:r>
          </w:p>
        </w:tc>
        <w:tc>
          <w:tcPr>
            <w:tcW w:w="3834" w:type="dxa"/>
          </w:tcPr>
          <w:p>
            <w:pPr>
              <w:pStyle w:val="TableParagraph"/>
              <w:spacing w:before="47"/>
              <w:ind w:left="107" w:right="819"/>
              <w:rPr>
                <w:sz w:val="24"/>
              </w:rPr>
            </w:pPr>
            <w:r>
              <w:rPr>
                <w:sz w:val="24"/>
              </w:rPr>
              <w:t>Multipurpose Room (with</w:t>
            </w:r>
            <w:r>
              <w:rPr>
                <w:spacing w:val="-13"/>
                <w:sz w:val="24"/>
              </w:rPr>
              <w:t> </w:t>
            </w:r>
            <w:r>
              <w:rPr>
                <w:sz w:val="24"/>
              </w:rPr>
              <w:t>provision</w:t>
            </w:r>
            <w:r>
              <w:rPr>
                <w:spacing w:val="-13"/>
                <w:sz w:val="24"/>
              </w:rPr>
              <w:t> </w:t>
            </w:r>
            <w:r>
              <w:rPr>
                <w:sz w:val="24"/>
              </w:rPr>
              <w:t>of</w:t>
            </w:r>
            <w:r>
              <w:rPr>
                <w:spacing w:val="-13"/>
                <w:sz w:val="24"/>
              </w:rPr>
              <w:t> </w:t>
            </w:r>
            <w:r>
              <w:rPr>
                <w:sz w:val="24"/>
              </w:rPr>
              <w:t>alcove)</w:t>
            </w:r>
          </w:p>
        </w:tc>
        <w:tc>
          <w:tcPr>
            <w:tcW w:w="1800" w:type="dxa"/>
          </w:tcPr>
          <w:p>
            <w:pPr>
              <w:pStyle w:val="TableParagraph"/>
              <w:spacing w:before="46"/>
              <w:rPr>
                <w:b/>
                <w:sz w:val="24"/>
              </w:rPr>
            </w:pPr>
          </w:p>
          <w:p>
            <w:pPr>
              <w:pStyle w:val="TableParagraph"/>
              <w:ind w:left="105" w:right="87"/>
              <w:jc w:val="center"/>
              <w:rPr>
                <w:sz w:val="24"/>
              </w:rPr>
            </w:pPr>
            <w:r>
              <w:rPr>
                <w:spacing w:val="-4"/>
                <w:sz w:val="24"/>
              </w:rPr>
              <w:t>12.5</w:t>
            </w:r>
          </w:p>
        </w:tc>
        <w:tc>
          <w:tcPr>
            <w:tcW w:w="2072" w:type="dxa"/>
          </w:tcPr>
          <w:p>
            <w:pPr>
              <w:pStyle w:val="TableParagraph"/>
              <w:spacing w:before="280"/>
              <w:ind w:left="88" w:right="72"/>
              <w:jc w:val="center"/>
              <w:rPr>
                <w:sz w:val="24"/>
              </w:rPr>
            </w:pPr>
            <w:r>
              <w:rPr>
                <w:spacing w:val="-5"/>
                <w:sz w:val="24"/>
              </w:rPr>
              <w:t>2.4</w:t>
            </w:r>
          </w:p>
        </w:tc>
      </w:tr>
      <w:tr>
        <w:trPr>
          <w:trHeight w:val="844" w:hRule="atLeast"/>
        </w:trPr>
        <w:tc>
          <w:tcPr>
            <w:tcW w:w="1567" w:type="dxa"/>
          </w:tcPr>
          <w:p>
            <w:pPr>
              <w:pStyle w:val="TableParagraph"/>
              <w:spacing w:before="46"/>
              <w:rPr>
                <w:b/>
                <w:sz w:val="24"/>
              </w:rPr>
            </w:pPr>
          </w:p>
          <w:p>
            <w:pPr>
              <w:pStyle w:val="TableParagraph"/>
              <w:ind w:left="287" w:right="271"/>
              <w:jc w:val="center"/>
              <w:rPr>
                <w:sz w:val="24"/>
              </w:rPr>
            </w:pPr>
            <w:r>
              <w:rPr>
                <w:spacing w:val="-10"/>
                <w:sz w:val="24"/>
              </w:rPr>
              <w:t>5</w:t>
            </w:r>
          </w:p>
        </w:tc>
        <w:tc>
          <w:tcPr>
            <w:tcW w:w="3834" w:type="dxa"/>
          </w:tcPr>
          <w:p>
            <w:pPr>
              <w:pStyle w:val="TableParagraph"/>
              <w:spacing w:before="138"/>
              <w:ind w:left="107" w:right="819"/>
              <w:rPr>
                <w:sz w:val="24"/>
              </w:rPr>
            </w:pPr>
            <w:r>
              <w:rPr>
                <w:sz w:val="24"/>
              </w:rPr>
              <w:t>Single-bedded</w:t>
            </w:r>
            <w:r>
              <w:rPr>
                <w:spacing w:val="-13"/>
                <w:sz w:val="24"/>
              </w:rPr>
              <w:t> </w:t>
            </w:r>
            <w:r>
              <w:rPr>
                <w:sz w:val="24"/>
              </w:rPr>
              <w:t>room</w:t>
            </w:r>
            <w:r>
              <w:rPr>
                <w:spacing w:val="-13"/>
                <w:sz w:val="24"/>
              </w:rPr>
              <w:t> </w:t>
            </w:r>
            <w:r>
              <w:rPr>
                <w:sz w:val="24"/>
              </w:rPr>
              <w:t>in</w:t>
            </w:r>
            <w:r>
              <w:rPr>
                <w:spacing w:val="-13"/>
                <w:sz w:val="24"/>
              </w:rPr>
              <w:t> </w:t>
            </w:r>
            <w:r>
              <w:rPr>
                <w:sz w:val="24"/>
              </w:rPr>
              <w:t>a </w:t>
            </w:r>
            <w:r>
              <w:rPr>
                <w:spacing w:val="-2"/>
                <w:sz w:val="24"/>
              </w:rPr>
              <w:t>hostel.</w:t>
            </w:r>
          </w:p>
        </w:tc>
        <w:tc>
          <w:tcPr>
            <w:tcW w:w="1800" w:type="dxa"/>
          </w:tcPr>
          <w:p>
            <w:pPr>
              <w:pStyle w:val="TableParagraph"/>
              <w:spacing w:before="280"/>
              <w:ind w:left="105" w:right="87"/>
              <w:jc w:val="center"/>
              <w:rPr>
                <w:sz w:val="24"/>
              </w:rPr>
            </w:pPr>
            <w:r>
              <w:rPr>
                <w:spacing w:val="-5"/>
                <w:sz w:val="24"/>
              </w:rPr>
              <w:t>7.5</w:t>
            </w:r>
          </w:p>
        </w:tc>
        <w:tc>
          <w:tcPr>
            <w:tcW w:w="2072" w:type="dxa"/>
          </w:tcPr>
          <w:p>
            <w:pPr>
              <w:pStyle w:val="TableParagraph"/>
              <w:spacing w:before="91"/>
              <w:rPr>
                <w:b/>
                <w:sz w:val="24"/>
              </w:rPr>
            </w:pPr>
          </w:p>
          <w:p>
            <w:pPr>
              <w:pStyle w:val="TableParagraph"/>
              <w:ind w:left="88" w:right="72"/>
              <w:jc w:val="center"/>
              <w:rPr>
                <w:sz w:val="24"/>
              </w:rPr>
            </w:pPr>
            <w:r>
              <w:rPr>
                <w:spacing w:val="-5"/>
                <w:sz w:val="24"/>
              </w:rPr>
              <w:t>2.4</w:t>
            </w:r>
          </w:p>
        </w:tc>
      </w:tr>
      <w:tr>
        <w:trPr>
          <w:trHeight w:val="563" w:hRule="atLeast"/>
        </w:trPr>
        <w:tc>
          <w:tcPr>
            <w:tcW w:w="1567" w:type="dxa"/>
          </w:tcPr>
          <w:p>
            <w:pPr>
              <w:pStyle w:val="TableParagraph"/>
              <w:spacing w:before="188"/>
              <w:ind w:left="287" w:right="271"/>
              <w:jc w:val="center"/>
              <w:rPr>
                <w:sz w:val="24"/>
              </w:rPr>
            </w:pPr>
            <w:r>
              <w:rPr>
                <w:spacing w:val="-10"/>
                <w:sz w:val="24"/>
              </w:rPr>
              <w:t>6</w:t>
            </w:r>
          </w:p>
        </w:tc>
        <w:tc>
          <w:tcPr>
            <w:tcW w:w="3834" w:type="dxa"/>
          </w:tcPr>
          <w:p>
            <w:pPr>
              <w:pStyle w:val="TableParagraph"/>
              <w:spacing w:line="281" w:lineRule="exact"/>
              <w:ind w:left="107"/>
              <w:rPr>
                <w:sz w:val="24"/>
              </w:rPr>
            </w:pPr>
            <w:r>
              <w:rPr>
                <w:spacing w:val="-4"/>
                <w:sz w:val="24"/>
              </w:rPr>
              <w:t>Shop</w:t>
            </w:r>
          </w:p>
        </w:tc>
        <w:tc>
          <w:tcPr>
            <w:tcW w:w="1800" w:type="dxa"/>
          </w:tcPr>
          <w:p>
            <w:pPr>
              <w:pStyle w:val="TableParagraph"/>
              <w:spacing w:before="140"/>
              <w:ind w:left="105" w:right="87"/>
              <w:jc w:val="center"/>
              <w:rPr>
                <w:sz w:val="24"/>
              </w:rPr>
            </w:pPr>
            <w:r>
              <w:rPr>
                <w:spacing w:val="-5"/>
                <w:sz w:val="24"/>
              </w:rPr>
              <w:t>6.0</w:t>
            </w:r>
          </w:p>
        </w:tc>
        <w:tc>
          <w:tcPr>
            <w:tcW w:w="2072" w:type="dxa"/>
          </w:tcPr>
          <w:p>
            <w:pPr>
              <w:pStyle w:val="TableParagraph"/>
              <w:spacing w:before="92"/>
              <w:ind w:left="88" w:right="72"/>
              <w:jc w:val="center"/>
              <w:rPr>
                <w:sz w:val="24"/>
              </w:rPr>
            </w:pPr>
            <w:r>
              <w:rPr>
                <w:spacing w:val="-5"/>
                <w:sz w:val="24"/>
              </w:rPr>
              <w:t>1.2</w:t>
            </w:r>
          </w:p>
        </w:tc>
      </w:tr>
      <w:tr>
        <w:trPr>
          <w:trHeight w:val="563" w:hRule="atLeast"/>
        </w:trPr>
        <w:tc>
          <w:tcPr>
            <w:tcW w:w="1567" w:type="dxa"/>
          </w:tcPr>
          <w:p>
            <w:pPr>
              <w:pStyle w:val="TableParagraph"/>
              <w:spacing w:before="189"/>
              <w:ind w:left="287" w:right="271"/>
              <w:jc w:val="center"/>
              <w:rPr>
                <w:sz w:val="24"/>
              </w:rPr>
            </w:pPr>
            <w:r>
              <w:rPr>
                <w:spacing w:val="-10"/>
                <w:sz w:val="24"/>
              </w:rPr>
              <w:t>7</w:t>
            </w:r>
          </w:p>
        </w:tc>
        <w:tc>
          <w:tcPr>
            <w:tcW w:w="3834" w:type="dxa"/>
          </w:tcPr>
          <w:p>
            <w:pPr>
              <w:pStyle w:val="TableParagraph"/>
              <w:spacing w:line="281" w:lineRule="exact"/>
              <w:ind w:left="107"/>
              <w:rPr>
                <w:sz w:val="24"/>
              </w:rPr>
            </w:pPr>
            <w:r>
              <w:rPr>
                <w:sz w:val="24"/>
              </w:rPr>
              <w:t>Vending stalls &amp; </w:t>
            </w:r>
            <w:r>
              <w:rPr>
                <w:spacing w:val="-2"/>
                <w:sz w:val="24"/>
              </w:rPr>
              <w:t>kiosks</w:t>
            </w:r>
          </w:p>
        </w:tc>
        <w:tc>
          <w:tcPr>
            <w:tcW w:w="1800" w:type="dxa"/>
          </w:tcPr>
          <w:p>
            <w:pPr>
              <w:pStyle w:val="TableParagraph"/>
              <w:spacing w:before="141"/>
              <w:ind w:left="105" w:right="87"/>
              <w:jc w:val="center"/>
              <w:rPr>
                <w:sz w:val="24"/>
              </w:rPr>
            </w:pPr>
            <w:r>
              <w:rPr>
                <w:spacing w:val="-5"/>
                <w:sz w:val="24"/>
              </w:rPr>
              <w:t>3.0</w:t>
            </w:r>
          </w:p>
        </w:tc>
        <w:tc>
          <w:tcPr>
            <w:tcW w:w="2072" w:type="dxa"/>
          </w:tcPr>
          <w:p>
            <w:pPr>
              <w:pStyle w:val="TableParagraph"/>
              <w:spacing w:before="93"/>
              <w:ind w:left="88" w:right="72"/>
              <w:jc w:val="center"/>
              <w:rPr>
                <w:sz w:val="24"/>
              </w:rPr>
            </w:pPr>
            <w:r>
              <w:rPr>
                <w:spacing w:val="-5"/>
                <w:sz w:val="24"/>
              </w:rPr>
              <w:t>1.2</w:t>
            </w:r>
          </w:p>
        </w:tc>
      </w:tr>
      <w:tr>
        <w:trPr>
          <w:trHeight w:val="1972" w:hRule="atLeast"/>
        </w:trPr>
        <w:tc>
          <w:tcPr>
            <w:tcW w:w="1567" w:type="dxa"/>
          </w:tcPr>
          <w:p>
            <w:pPr>
              <w:pStyle w:val="TableParagraph"/>
              <w:rPr>
                <w:b/>
                <w:sz w:val="24"/>
              </w:rPr>
            </w:pPr>
          </w:p>
          <w:p>
            <w:pPr>
              <w:pStyle w:val="TableParagraph"/>
              <w:spacing w:before="189"/>
              <w:rPr>
                <w:b/>
                <w:sz w:val="24"/>
              </w:rPr>
            </w:pPr>
          </w:p>
          <w:p>
            <w:pPr>
              <w:pStyle w:val="TableParagraph"/>
              <w:ind w:left="287" w:right="271"/>
              <w:jc w:val="center"/>
              <w:rPr>
                <w:sz w:val="24"/>
              </w:rPr>
            </w:pPr>
            <w:r>
              <w:rPr>
                <w:spacing w:val="-10"/>
                <w:sz w:val="24"/>
              </w:rPr>
              <w:t>8</w:t>
            </w:r>
          </w:p>
        </w:tc>
        <w:tc>
          <w:tcPr>
            <w:tcW w:w="3834" w:type="dxa"/>
          </w:tcPr>
          <w:p>
            <w:pPr>
              <w:pStyle w:val="TableParagraph"/>
              <w:rPr>
                <w:b/>
                <w:sz w:val="24"/>
              </w:rPr>
            </w:pPr>
          </w:p>
          <w:p>
            <w:pPr>
              <w:pStyle w:val="TableParagraph"/>
              <w:spacing w:before="141"/>
              <w:rPr>
                <w:b/>
                <w:sz w:val="24"/>
              </w:rPr>
            </w:pPr>
          </w:p>
          <w:p>
            <w:pPr>
              <w:pStyle w:val="TableParagraph"/>
              <w:ind w:left="107"/>
              <w:rPr>
                <w:sz w:val="24"/>
              </w:rPr>
            </w:pPr>
            <w:r>
              <w:rPr>
                <w:sz w:val="24"/>
              </w:rPr>
              <w:t>Class</w:t>
            </w:r>
            <w:r>
              <w:rPr>
                <w:spacing w:val="-10"/>
                <w:sz w:val="24"/>
              </w:rPr>
              <w:t> </w:t>
            </w:r>
            <w:r>
              <w:rPr>
                <w:sz w:val="24"/>
              </w:rPr>
              <w:t>room</w:t>
            </w:r>
            <w:r>
              <w:rPr>
                <w:spacing w:val="-10"/>
                <w:sz w:val="24"/>
              </w:rPr>
              <w:t> </w:t>
            </w:r>
            <w:r>
              <w:rPr>
                <w:sz w:val="24"/>
              </w:rPr>
              <w:t>in</w:t>
            </w:r>
            <w:r>
              <w:rPr>
                <w:spacing w:val="-10"/>
                <w:sz w:val="24"/>
              </w:rPr>
              <w:t> </w:t>
            </w:r>
            <w:r>
              <w:rPr>
                <w:sz w:val="24"/>
              </w:rPr>
              <w:t>an</w:t>
            </w:r>
            <w:r>
              <w:rPr>
                <w:spacing w:val="-10"/>
                <w:sz w:val="24"/>
              </w:rPr>
              <w:t> </w:t>
            </w:r>
            <w:r>
              <w:rPr>
                <w:sz w:val="24"/>
              </w:rPr>
              <w:t>Educational </w:t>
            </w:r>
            <w:r>
              <w:rPr>
                <w:spacing w:val="-2"/>
                <w:sz w:val="24"/>
              </w:rPr>
              <w:t>building</w:t>
            </w:r>
          </w:p>
        </w:tc>
        <w:tc>
          <w:tcPr>
            <w:tcW w:w="1800" w:type="dxa"/>
          </w:tcPr>
          <w:p>
            <w:pPr>
              <w:pStyle w:val="TableParagraph"/>
              <w:ind w:left="148" w:right="119" w:firstLine="40"/>
              <w:rPr>
                <w:sz w:val="24"/>
              </w:rPr>
            </w:pPr>
            <w:r>
              <w:rPr>
                <w:sz w:val="24"/>
              </w:rPr>
              <w:t>38.0 or area at the rate </w:t>
            </w:r>
            <w:r>
              <w:rPr>
                <w:spacing w:val="-5"/>
                <w:sz w:val="24"/>
              </w:rPr>
              <w:t>o</w:t>
            </w:r>
            <w:r>
              <w:rPr>
                <w:spacing w:val="-5"/>
                <w:sz w:val="24"/>
              </w:rPr>
              <w:t>f</w:t>
            </w:r>
          </w:p>
          <w:p>
            <w:pPr>
              <w:pStyle w:val="TableParagraph"/>
              <w:ind w:left="198" w:hanging="72"/>
              <w:rPr>
                <w:sz w:val="24"/>
              </w:rPr>
            </w:pPr>
            <w:r>
              <w:rPr>
                <w:sz w:val="24"/>
              </w:rPr>
              <w:t>0.8</w:t>
            </w:r>
            <w:r>
              <w:rPr>
                <w:spacing w:val="-19"/>
                <w:sz w:val="24"/>
              </w:rPr>
              <w:t> </w:t>
            </w:r>
            <w:r>
              <w:rPr>
                <w:sz w:val="24"/>
              </w:rPr>
              <w:t>sq.m.</w:t>
            </w:r>
            <w:r>
              <w:rPr>
                <w:spacing w:val="-19"/>
                <w:sz w:val="24"/>
              </w:rPr>
              <w:t> </w:t>
            </w:r>
            <w:r>
              <w:rPr>
                <w:sz w:val="24"/>
              </w:rPr>
              <w:t>per </w:t>
            </w:r>
            <w:r>
              <w:rPr>
                <w:spacing w:val="-2"/>
                <w:sz w:val="24"/>
              </w:rPr>
              <w:t>student</w:t>
            </w:r>
            <w:r>
              <w:rPr>
                <w:color w:val="000000"/>
                <w:spacing w:val="-2"/>
                <w:sz w:val="24"/>
                <w:shd w:fill="FFCCFF" w:color="auto" w:val="clear"/>
              </w:rPr>
              <w:t>oras</w:t>
            </w:r>
            <w:r>
              <w:rPr>
                <w:color w:val="000000"/>
                <w:spacing w:val="-2"/>
                <w:sz w:val="24"/>
              </w:rPr>
              <w:t> </w:t>
            </w:r>
            <w:r>
              <w:rPr>
                <w:color w:val="000000"/>
                <w:sz w:val="24"/>
                <w:shd w:fill="FFCCFF" w:color="auto" w:val="clear"/>
              </w:rPr>
              <w:t>decided by</w:t>
            </w:r>
            <w:r>
              <w:rPr>
                <w:color w:val="000000"/>
                <w:sz w:val="24"/>
              </w:rPr>
              <w:t> </w:t>
            </w:r>
            <w:r>
              <w:rPr>
                <w:color w:val="000000"/>
                <w:sz w:val="24"/>
                <w:shd w:fill="FFCCFF" w:color="auto" w:val="clear"/>
              </w:rPr>
              <w:t>Govt. from</w:t>
            </w:r>
          </w:p>
          <w:p>
            <w:pPr>
              <w:pStyle w:val="TableParagraph"/>
              <w:spacing w:line="261" w:lineRule="exact"/>
              <w:ind w:left="160"/>
              <w:rPr>
                <w:sz w:val="24"/>
              </w:rPr>
            </w:pPr>
            <w:r>
              <w:rPr>
                <w:color w:val="000000"/>
                <w:sz w:val="24"/>
                <w:shd w:fill="FFCCFF" w:color="auto" w:val="clear"/>
              </w:rPr>
              <w:t>time</w:t>
            </w:r>
            <w:r>
              <w:rPr>
                <w:color w:val="000000"/>
                <w:spacing w:val="-1"/>
                <w:sz w:val="24"/>
                <w:shd w:fill="FFCCFF" w:color="auto" w:val="clear"/>
              </w:rPr>
              <w:t> </w:t>
            </w:r>
            <w:r>
              <w:rPr>
                <w:color w:val="000000"/>
                <w:sz w:val="24"/>
                <w:shd w:fill="FFCCFF" w:color="auto" w:val="clear"/>
              </w:rPr>
              <w:t>to </w:t>
            </w:r>
            <w:r>
              <w:rPr>
                <w:color w:val="000000"/>
                <w:spacing w:val="-2"/>
                <w:sz w:val="24"/>
                <w:shd w:fill="FFCCFF" w:color="auto" w:val="clear"/>
              </w:rPr>
              <w:t>time.</w:t>
            </w:r>
          </w:p>
        </w:tc>
        <w:tc>
          <w:tcPr>
            <w:tcW w:w="2072" w:type="dxa"/>
          </w:tcPr>
          <w:p>
            <w:pPr>
              <w:pStyle w:val="TableParagraph"/>
              <w:rPr>
                <w:b/>
                <w:sz w:val="24"/>
              </w:rPr>
            </w:pPr>
          </w:p>
          <w:p>
            <w:pPr>
              <w:pStyle w:val="TableParagraph"/>
              <w:rPr>
                <w:b/>
                <w:sz w:val="24"/>
              </w:rPr>
            </w:pPr>
          </w:p>
          <w:p>
            <w:pPr>
              <w:pStyle w:val="TableParagraph"/>
              <w:spacing w:before="92"/>
              <w:rPr>
                <w:b/>
                <w:sz w:val="24"/>
              </w:rPr>
            </w:pPr>
          </w:p>
          <w:p>
            <w:pPr>
              <w:pStyle w:val="TableParagraph"/>
              <w:ind w:left="88" w:right="72"/>
              <w:jc w:val="center"/>
              <w:rPr>
                <w:sz w:val="24"/>
              </w:rPr>
            </w:pPr>
            <w:r>
              <w:rPr>
                <w:spacing w:val="-5"/>
                <w:sz w:val="24"/>
              </w:rPr>
              <w:t>5.5</w:t>
            </w:r>
          </w:p>
        </w:tc>
      </w:tr>
      <w:tr>
        <w:trPr>
          <w:trHeight w:val="1408" w:hRule="atLeast"/>
        </w:trPr>
        <w:tc>
          <w:tcPr>
            <w:tcW w:w="1567" w:type="dxa"/>
          </w:tcPr>
          <w:p>
            <w:pPr>
              <w:pStyle w:val="TableParagraph"/>
              <w:spacing w:before="187"/>
              <w:rPr>
                <w:b/>
                <w:sz w:val="24"/>
              </w:rPr>
            </w:pPr>
          </w:p>
          <w:p>
            <w:pPr>
              <w:pStyle w:val="TableParagraph"/>
              <w:ind w:left="287" w:right="271"/>
              <w:jc w:val="center"/>
              <w:rPr>
                <w:sz w:val="24"/>
              </w:rPr>
            </w:pPr>
            <w:r>
              <w:rPr>
                <w:spacing w:val="-10"/>
                <w:sz w:val="24"/>
              </w:rPr>
              <w:t>9</w:t>
            </w:r>
          </w:p>
        </w:tc>
        <w:tc>
          <w:tcPr>
            <w:tcW w:w="3834" w:type="dxa"/>
          </w:tcPr>
          <w:p>
            <w:pPr>
              <w:pStyle w:val="TableParagraph"/>
              <w:spacing w:line="281" w:lineRule="exact"/>
              <w:ind w:left="107"/>
              <w:rPr>
                <w:sz w:val="24"/>
              </w:rPr>
            </w:pPr>
            <w:r>
              <w:rPr>
                <w:sz w:val="24"/>
              </w:rPr>
              <w:t>Institutional</w:t>
            </w:r>
            <w:r>
              <w:rPr>
                <w:spacing w:val="2"/>
                <w:sz w:val="24"/>
              </w:rPr>
              <w:t> </w:t>
            </w:r>
            <w:r>
              <w:rPr>
                <w:spacing w:val="-2"/>
                <w:sz w:val="24"/>
              </w:rPr>
              <w:t>building</w:t>
            </w:r>
          </w:p>
          <w:p>
            <w:pPr>
              <w:pStyle w:val="TableParagraph"/>
              <w:numPr>
                <w:ilvl w:val="0"/>
                <w:numId w:val="247"/>
              </w:numPr>
              <w:tabs>
                <w:tab w:pos="697" w:val="left" w:leader="none"/>
                <w:tab w:pos="2489" w:val="left" w:leader="none"/>
                <w:tab w:pos="2873" w:val="left" w:leader="none"/>
              </w:tabs>
              <w:spacing w:line="240" w:lineRule="auto" w:before="1" w:after="0"/>
              <w:ind w:left="697" w:right="0" w:hanging="436"/>
              <w:jc w:val="left"/>
              <w:rPr>
                <w:sz w:val="24"/>
              </w:rPr>
            </w:pPr>
            <w:r>
              <w:rPr>
                <w:sz w:val="24"/>
              </w:rPr>
              <w:t>special </w:t>
            </w:r>
            <w:r>
              <w:rPr>
                <w:spacing w:val="-4"/>
                <w:sz w:val="24"/>
              </w:rPr>
              <w:t>room</w:t>
            </w:r>
            <w:r>
              <w:rPr>
                <w:sz w:val="24"/>
              </w:rPr>
              <w:tab/>
            </w:r>
            <w:r>
              <w:rPr>
                <w:spacing w:val="-5"/>
                <w:sz w:val="24"/>
              </w:rPr>
              <w:t>..</w:t>
            </w:r>
            <w:r>
              <w:rPr>
                <w:sz w:val="24"/>
              </w:rPr>
              <w:tab/>
            </w:r>
            <w:r>
              <w:rPr>
                <w:spacing w:val="-5"/>
                <w:sz w:val="24"/>
              </w:rPr>
              <w:t>..</w:t>
            </w:r>
          </w:p>
          <w:p>
            <w:pPr>
              <w:pStyle w:val="TableParagraph"/>
              <w:numPr>
                <w:ilvl w:val="0"/>
                <w:numId w:val="247"/>
              </w:numPr>
              <w:tabs>
                <w:tab w:pos="630" w:val="left" w:leader="none"/>
                <w:tab w:pos="2450" w:val="left" w:leader="none"/>
                <w:tab w:pos="2834" w:val="left" w:leader="none"/>
              </w:tabs>
              <w:spacing w:line="240" w:lineRule="auto" w:before="280" w:after="0"/>
              <w:ind w:left="630" w:right="0" w:hanging="446"/>
              <w:jc w:val="left"/>
              <w:rPr>
                <w:sz w:val="24"/>
              </w:rPr>
            </w:pPr>
            <w:r>
              <w:rPr>
                <w:sz w:val="24"/>
              </w:rPr>
              <w:t>general </w:t>
            </w:r>
            <w:r>
              <w:rPr>
                <w:spacing w:val="-4"/>
                <w:sz w:val="24"/>
              </w:rPr>
              <w:t>ward</w:t>
            </w:r>
            <w:r>
              <w:rPr>
                <w:sz w:val="24"/>
              </w:rPr>
              <w:tab/>
            </w:r>
            <w:r>
              <w:rPr>
                <w:spacing w:val="-5"/>
                <w:sz w:val="24"/>
              </w:rPr>
              <w:t>..</w:t>
            </w:r>
            <w:r>
              <w:rPr>
                <w:sz w:val="24"/>
              </w:rPr>
              <w:tab/>
            </w:r>
            <w:r>
              <w:rPr>
                <w:spacing w:val="-5"/>
                <w:sz w:val="24"/>
              </w:rPr>
              <w:t>..</w:t>
            </w:r>
          </w:p>
        </w:tc>
        <w:tc>
          <w:tcPr>
            <w:tcW w:w="1800" w:type="dxa"/>
          </w:tcPr>
          <w:p>
            <w:pPr>
              <w:pStyle w:val="TableParagraph"/>
              <w:spacing w:before="139"/>
              <w:rPr>
                <w:b/>
                <w:sz w:val="24"/>
              </w:rPr>
            </w:pPr>
          </w:p>
          <w:p>
            <w:pPr>
              <w:pStyle w:val="TableParagraph"/>
              <w:ind w:left="105" w:right="87"/>
              <w:jc w:val="center"/>
              <w:rPr>
                <w:sz w:val="24"/>
              </w:rPr>
            </w:pPr>
            <w:r>
              <w:rPr>
                <w:spacing w:val="-5"/>
                <w:sz w:val="24"/>
              </w:rPr>
              <w:t>9.5</w:t>
            </w:r>
          </w:p>
          <w:p>
            <w:pPr>
              <w:pStyle w:val="TableParagraph"/>
              <w:spacing w:before="1"/>
              <w:rPr>
                <w:b/>
                <w:sz w:val="24"/>
              </w:rPr>
            </w:pPr>
          </w:p>
          <w:p>
            <w:pPr>
              <w:pStyle w:val="TableParagraph"/>
              <w:ind w:left="105" w:right="87"/>
              <w:jc w:val="center"/>
              <w:rPr>
                <w:sz w:val="24"/>
              </w:rPr>
            </w:pPr>
            <w:r>
              <w:rPr>
                <w:spacing w:val="-4"/>
                <w:sz w:val="24"/>
              </w:rPr>
              <w:t>40.0</w:t>
            </w:r>
          </w:p>
        </w:tc>
        <w:tc>
          <w:tcPr>
            <w:tcW w:w="2072" w:type="dxa"/>
          </w:tcPr>
          <w:p>
            <w:pPr>
              <w:pStyle w:val="TableParagraph"/>
              <w:spacing w:before="91"/>
              <w:rPr>
                <w:b/>
                <w:sz w:val="24"/>
              </w:rPr>
            </w:pPr>
          </w:p>
          <w:p>
            <w:pPr>
              <w:pStyle w:val="TableParagraph"/>
              <w:ind w:left="88" w:right="72"/>
              <w:jc w:val="center"/>
              <w:rPr>
                <w:sz w:val="24"/>
              </w:rPr>
            </w:pPr>
            <w:r>
              <w:rPr>
                <w:spacing w:val="-5"/>
                <w:sz w:val="24"/>
              </w:rPr>
              <w:t>3.0</w:t>
            </w:r>
          </w:p>
          <w:p>
            <w:pPr>
              <w:pStyle w:val="TableParagraph"/>
              <w:spacing w:before="1"/>
              <w:rPr>
                <w:b/>
                <w:sz w:val="24"/>
              </w:rPr>
            </w:pPr>
          </w:p>
          <w:p>
            <w:pPr>
              <w:pStyle w:val="TableParagraph"/>
              <w:ind w:left="88" w:right="72"/>
              <w:jc w:val="center"/>
              <w:rPr>
                <w:sz w:val="24"/>
              </w:rPr>
            </w:pPr>
            <w:r>
              <w:rPr>
                <w:spacing w:val="-5"/>
                <w:sz w:val="24"/>
              </w:rPr>
              <w:t>5.5</w:t>
            </w:r>
          </w:p>
        </w:tc>
      </w:tr>
      <w:tr>
        <w:trPr>
          <w:trHeight w:val="659" w:hRule="atLeast"/>
        </w:trPr>
        <w:tc>
          <w:tcPr>
            <w:tcW w:w="1567" w:type="dxa"/>
          </w:tcPr>
          <w:p>
            <w:pPr>
              <w:pStyle w:val="TableParagraph"/>
              <w:spacing w:before="95"/>
              <w:ind w:left="287" w:right="271"/>
              <w:jc w:val="center"/>
              <w:rPr>
                <w:sz w:val="24"/>
              </w:rPr>
            </w:pPr>
            <w:r>
              <w:rPr>
                <w:spacing w:val="-5"/>
                <w:sz w:val="24"/>
              </w:rPr>
              <w:t>10</w:t>
            </w:r>
          </w:p>
        </w:tc>
        <w:tc>
          <w:tcPr>
            <w:tcW w:w="3834" w:type="dxa"/>
          </w:tcPr>
          <w:p>
            <w:pPr>
              <w:pStyle w:val="TableParagraph"/>
              <w:spacing w:before="188"/>
              <w:ind w:left="107"/>
              <w:rPr>
                <w:sz w:val="24"/>
              </w:rPr>
            </w:pPr>
            <w:r>
              <w:rPr>
                <w:spacing w:val="-2"/>
                <w:sz w:val="24"/>
              </w:rPr>
              <w:t>Bathroom</w:t>
            </w:r>
          </w:p>
        </w:tc>
        <w:tc>
          <w:tcPr>
            <w:tcW w:w="1800" w:type="dxa"/>
          </w:tcPr>
          <w:p>
            <w:pPr>
              <w:pStyle w:val="TableParagraph"/>
              <w:spacing w:before="188"/>
              <w:ind w:left="105" w:right="87"/>
              <w:jc w:val="center"/>
              <w:rPr>
                <w:sz w:val="24"/>
              </w:rPr>
            </w:pPr>
            <w:r>
              <w:rPr>
                <w:spacing w:val="-4"/>
                <w:sz w:val="24"/>
              </w:rPr>
              <w:t>1.50</w:t>
            </w:r>
          </w:p>
        </w:tc>
        <w:tc>
          <w:tcPr>
            <w:tcW w:w="2072" w:type="dxa"/>
          </w:tcPr>
          <w:p>
            <w:pPr>
              <w:pStyle w:val="TableParagraph"/>
              <w:spacing w:before="140"/>
              <w:ind w:left="88" w:right="72"/>
              <w:jc w:val="center"/>
              <w:rPr>
                <w:sz w:val="24"/>
              </w:rPr>
            </w:pPr>
            <w:r>
              <w:rPr>
                <w:spacing w:val="-4"/>
                <w:sz w:val="24"/>
              </w:rPr>
              <w:t>1.10</w:t>
            </w:r>
          </w:p>
        </w:tc>
      </w:tr>
      <w:tr>
        <w:trPr>
          <w:trHeight w:val="474" w:hRule="atLeast"/>
        </w:trPr>
        <w:tc>
          <w:tcPr>
            <w:tcW w:w="1567" w:type="dxa"/>
          </w:tcPr>
          <w:p>
            <w:pPr>
              <w:pStyle w:val="TableParagraph"/>
              <w:spacing w:before="95"/>
              <w:ind w:left="287" w:right="271"/>
              <w:jc w:val="center"/>
              <w:rPr>
                <w:sz w:val="24"/>
              </w:rPr>
            </w:pPr>
            <w:r>
              <w:rPr>
                <w:spacing w:val="-5"/>
                <w:sz w:val="24"/>
              </w:rPr>
              <w:t>11</w:t>
            </w:r>
          </w:p>
        </w:tc>
        <w:tc>
          <w:tcPr>
            <w:tcW w:w="3834" w:type="dxa"/>
          </w:tcPr>
          <w:p>
            <w:pPr>
              <w:pStyle w:val="TableParagraph"/>
              <w:spacing w:before="143"/>
              <w:ind w:left="182"/>
              <w:rPr>
                <w:sz w:val="24"/>
              </w:rPr>
            </w:pPr>
            <w:r>
              <w:rPr>
                <w:sz w:val="24"/>
              </w:rPr>
              <w:t>Water</w:t>
            </w:r>
            <w:r>
              <w:rPr>
                <w:spacing w:val="-8"/>
                <w:sz w:val="24"/>
              </w:rPr>
              <w:t> </w:t>
            </w:r>
            <w:r>
              <w:rPr>
                <w:sz w:val="24"/>
              </w:rPr>
              <w:t>Closet</w:t>
            </w:r>
            <w:r>
              <w:rPr>
                <w:spacing w:val="-6"/>
                <w:sz w:val="24"/>
              </w:rPr>
              <w:t> </w:t>
            </w:r>
            <w:r>
              <w:rPr>
                <w:spacing w:val="-2"/>
                <w:sz w:val="24"/>
              </w:rPr>
              <w:t>(W.C.)</w:t>
            </w:r>
          </w:p>
        </w:tc>
        <w:tc>
          <w:tcPr>
            <w:tcW w:w="1800" w:type="dxa"/>
          </w:tcPr>
          <w:p>
            <w:pPr>
              <w:pStyle w:val="TableParagraph"/>
              <w:spacing w:before="95"/>
              <w:ind w:left="90"/>
              <w:jc w:val="center"/>
              <w:rPr>
                <w:sz w:val="24"/>
              </w:rPr>
            </w:pPr>
            <w:r>
              <w:rPr>
                <w:spacing w:val="-4"/>
                <w:sz w:val="24"/>
              </w:rPr>
              <w:t>1.10</w:t>
            </w:r>
          </w:p>
        </w:tc>
        <w:tc>
          <w:tcPr>
            <w:tcW w:w="2072" w:type="dxa"/>
          </w:tcPr>
          <w:p>
            <w:pPr>
              <w:pStyle w:val="TableParagraph"/>
              <w:spacing w:before="47"/>
              <w:ind w:left="88"/>
              <w:jc w:val="center"/>
              <w:rPr>
                <w:sz w:val="24"/>
              </w:rPr>
            </w:pPr>
            <w:r>
              <w:rPr>
                <w:spacing w:val="-4"/>
                <w:sz w:val="24"/>
              </w:rPr>
              <w:t>0.90</w:t>
            </w:r>
          </w:p>
        </w:tc>
      </w:tr>
      <w:tr>
        <w:trPr>
          <w:trHeight w:val="659" w:hRule="atLeast"/>
        </w:trPr>
        <w:tc>
          <w:tcPr>
            <w:tcW w:w="1567" w:type="dxa"/>
          </w:tcPr>
          <w:p>
            <w:pPr>
              <w:pStyle w:val="TableParagraph"/>
              <w:spacing w:before="188"/>
              <w:ind w:left="287" w:right="271"/>
              <w:jc w:val="center"/>
              <w:rPr>
                <w:sz w:val="24"/>
              </w:rPr>
            </w:pPr>
            <w:r>
              <w:rPr>
                <w:spacing w:val="-5"/>
                <w:sz w:val="24"/>
              </w:rPr>
              <w:t>12</w:t>
            </w:r>
          </w:p>
        </w:tc>
        <w:tc>
          <w:tcPr>
            <w:tcW w:w="3834" w:type="dxa"/>
          </w:tcPr>
          <w:p>
            <w:pPr>
              <w:pStyle w:val="TableParagraph"/>
              <w:spacing w:line="280" w:lineRule="exact" w:before="79"/>
              <w:ind w:left="55" w:right="175"/>
              <w:rPr>
                <w:sz w:val="24"/>
              </w:rPr>
            </w:pPr>
            <w:r>
              <w:rPr>
                <w:sz w:val="24"/>
              </w:rPr>
              <w:t>Combined</w:t>
            </w:r>
            <w:r>
              <w:rPr>
                <w:spacing w:val="-20"/>
                <w:sz w:val="24"/>
              </w:rPr>
              <w:t> </w:t>
            </w:r>
            <w:r>
              <w:rPr>
                <w:sz w:val="24"/>
              </w:rPr>
              <w:t>Bathroom</w:t>
            </w:r>
            <w:r>
              <w:rPr>
                <w:spacing w:val="-19"/>
                <w:sz w:val="24"/>
              </w:rPr>
              <w:t> </w:t>
            </w:r>
            <w:r>
              <w:rPr>
                <w:sz w:val="24"/>
              </w:rPr>
              <w:t>and Water Closet (W.C.)</w:t>
            </w:r>
          </w:p>
        </w:tc>
        <w:tc>
          <w:tcPr>
            <w:tcW w:w="1800" w:type="dxa"/>
          </w:tcPr>
          <w:p>
            <w:pPr>
              <w:pStyle w:val="TableParagraph"/>
              <w:spacing w:before="188"/>
              <w:ind w:left="90"/>
              <w:jc w:val="center"/>
              <w:rPr>
                <w:sz w:val="24"/>
              </w:rPr>
            </w:pPr>
            <w:r>
              <w:rPr>
                <w:spacing w:val="-4"/>
                <w:sz w:val="24"/>
              </w:rPr>
              <w:t>2.20</w:t>
            </w:r>
          </w:p>
        </w:tc>
        <w:tc>
          <w:tcPr>
            <w:tcW w:w="2072" w:type="dxa"/>
          </w:tcPr>
          <w:p>
            <w:pPr>
              <w:pStyle w:val="TableParagraph"/>
              <w:spacing w:before="140"/>
              <w:ind w:left="88"/>
              <w:jc w:val="center"/>
              <w:rPr>
                <w:sz w:val="24"/>
              </w:rPr>
            </w:pPr>
            <w:r>
              <w:rPr>
                <w:spacing w:val="-4"/>
                <w:sz w:val="24"/>
              </w:rPr>
              <w:t>1.10</w:t>
            </w:r>
          </w:p>
        </w:tc>
      </w:tr>
      <w:tr>
        <w:trPr>
          <w:trHeight w:val="844" w:hRule="atLeast"/>
        </w:trPr>
        <w:tc>
          <w:tcPr>
            <w:tcW w:w="1567" w:type="dxa"/>
          </w:tcPr>
          <w:p>
            <w:pPr>
              <w:pStyle w:val="TableParagraph"/>
              <w:spacing w:before="46"/>
              <w:rPr>
                <w:b/>
                <w:sz w:val="24"/>
              </w:rPr>
            </w:pPr>
          </w:p>
          <w:p>
            <w:pPr>
              <w:pStyle w:val="TableParagraph"/>
              <w:ind w:left="287" w:right="271"/>
              <w:jc w:val="center"/>
              <w:rPr>
                <w:sz w:val="24"/>
              </w:rPr>
            </w:pPr>
            <w:r>
              <w:rPr>
                <w:spacing w:val="-5"/>
                <w:sz w:val="24"/>
              </w:rPr>
              <w:t>13</w:t>
            </w:r>
          </w:p>
        </w:tc>
        <w:tc>
          <w:tcPr>
            <w:tcW w:w="3834" w:type="dxa"/>
          </w:tcPr>
          <w:p>
            <w:pPr>
              <w:pStyle w:val="TableParagraph"/>
              <w:ind w:left="107"/>
              <w:rPr>
                <w:sz w:val="24"/>
              </w:rPr>
            </w:pPr>
            <w:r>
              <w:rPr>
                <w:sz w:val="24"/>
              </w:rPr>
              <w:t>Cinema hall, theatre, auditorium,</w:t>
            </w:r>
            <w:r>
              <w:rPr>
                <w:spacing w:val="-19"/>
                <w:sz w:val="24"/>
              </w:rPr>
              <w:t> </w:t>
            </w:r>
            <w:r>
              <w:rPr>
                <w:sz w:val="24"/>
              </w:rPr>
              <w:t>assembly</w:t>
            </w:r>
            <w:r>
              <w:rPr>
                <w:spacing w:val="-19"/>
                <w:sz w:val="24"/>
              </w:rPr>
              <w:t> </w:t>
            </w:r>
            <w:r>
              <w:rPr>
                <w:sz w:val="24"/>
              </w:rPr>
              <w:t>hall,</w:t>
            </w:r>
          </w:p>
          <w:p>
            <w:pPr>
              <w:pStyle w:val="TableParagraph"/>
              <w:spacing w:line="261" w:lineRule="exact"/>
              <w:ind w:left="107"/>
              <w:rPr>
                <w:sz w:val="24"/>
              </w:rPr>
            </w:pPr>
            <w:r>
              <w:rPr>
                <w:spacing w:val="-4"/>
                <w:sz w:val="24"/>
              </w:rPr>
              <w:t>etc.</w:t>
            </w:r>
          </w:p>
        </w:tc>
        <w:tc>
          <w:tcPr>
            <w:tcW w:w="3872" w:type="dxa"/>
            <w:gridSpan w:val="2"/>
          </w:tcPr>
          <w:p>
            <w:pPr>
              <w:pStyle w:val="TableParagraph"/>
              <w:spacing w:before="92"/>
              <w:ind w:left="110"/>
              <w:rPr>
                <w:sz w:val="24"/>
              </w:rPr>
            </w:pPr>
            <w:r>
              <w:rPr>
                <w:sz w:val="24"/>
              </w:rPr>
              <w:t>In conformity with the Maharashtra</w:t>
            </w:r>
            <w:r>
              <w:rPr>
                <w:spacing w:val="-19"/>
                <w:sz w:val="24"/>
              </w:rPr>
              <w:t> </w:t>
            </w:r>
            <w:r>
              <w:rPr>
                <w:sz w:val="24"/>
              </w:rPr>
              <w:t>Cinema</w:t>
            </w:r>
            <w:r>
              <w:rPr>
                <w:spacing w:val="-19"/>
                <w:sz w:val="24"/>
              </w:rPr>
              <w:t> </w:t>
            </w:r>
            <w:r>
              <w:rPr>
                <w:sz w:val="24"/>
              </w:rPr>
              <w:t>Rules.</w:t>
            </w:r>
          </w:p>
        </w:tc>
      </w:tr>
      <w:tr>
        <w:trPr>
          <w:trHeight w:val="1223" w:hRule="atLeast"/>
        </w:trPr>
        <w:tc>
          <w:tcPr>
            <w:tcW w:w="1567" w:type="dxa"/>
          </w:tcPr>
          <w:p>
            <w:pPr>
              <w:pStyle w:val="TableParagraph"/>
              <w:spacing w:before="236"/>
              <w:rPr>
                <w:b/>
                <w:sz w:val="24"/>
              </w:rPr>
            </w:pPr>
          </w:p>
          <w:p>
            <w:pPr>
              <w:pStyle w:val="TableParagraph"/>
              <w:ind w:left="287" w:right="271"/>
              <w:jc w:val="center"/>
              <w:rPr>
                <w:sz w:val="24"/>
              </w:rPr>
            </w:pPr>
            <w:r>
              <w:rPr>
                <w:spacing w:val="-5"/>
                <w:sz w:val="24"/>
              </w:rPr>
              <w:t>14</w:t>
            </w:r>
          </w:p>
        </w:tc>
        <w:tc>
          <w:tcPr>
            <w:tcW w:w="3834" w:type="dxa"/>
          </w:tcPr>
          <w:p>
            <w:pPr>
              <w:pStyle w:val="TableParagraph"/>
              <w:spacing w:before="49"/>
              <w:rPr>
                <w:b/>
                <w:sz w:val="24"/>
              </w:rPr>
            </w:pPr>
          </w:p>
          <w:p>
            <w:pPr>
              <w:pStyle w:val="TableParagraph"/>
              <w:ind w:left="107"/>
              <w:rPr>
                <w:sz w:val="24"/>
              </w:rPr>
            </w:pPr>
            <w:r>
              <w:rPr>
                <w:sz w:val="24"/>
              </w:rPr>
              <w:t>Multiplex/Multiplex</w:t>
            </w:r>
            <w:r>
              <w:rPr>
                <w:spacing w:val="-20"/>
                <w:sz w:val="24"/>
              </w:rPr>
              <w:t> </w:t>
            </w:r>
            <w:r>
              <w:rPr>
                <w:sz w:val="24"/>
              </w:rPr>
              <w:t>theatre </w:t>
            </w:r>
            <w:r>
              <w:rPr>
                <w:spacing w:val="-2"/>
                <w:sz w:val="24"/>
              </w:rPr>
              <w:t>complex</w:t>
            </w:r>
          </w:p>
        </w:tc>
        <w:tc>
          <w:tcPr>
            <w:tcW w:w="3872" w:type="dxa"/>
            <w:gridSpan w:val="2"/>
          </w:tcPr>
          <w:p>
            <w:pPr>
              <w:pStyle w:val="TableParagraph"/>
              <w:ind w:left="110" w:right="107"/>
              <w:jc w:val="both"/>
              <w:rPr>
                <w:sz w:val="24"/>
              </w:rPr>
            </w:pPr>
            <w:r>
              <w:rPr>
                <w:sz w:val="24"/>
              </w:rPr>
              <w:t>In</w:t>
            </w:r>
            <w:r>
              <w:rPr>
                <w:spacing w:val="-10"/>
                <w:sz w:val="24"/>
              </w:rPr>
              <w:t> </w:t>
            </w:r>
            <w:r>
              <w:rPr>
                <w:sz w:val="24"/>
              </w:rPr>
              <w:t>conformity</w:t>
            </w:r>
            <w:r>
              <w:rPr>
                <w:spacing w:val="-10"/>
                <w:sz w:val="24"/>
              </w:rPr>
              <w:t> </w:t>
            </w:r>
            <w:r>
              <w:rPr>
                <w:sz w:val="24"/>
              </w:rPr>
              <w:t>with</w:t>
            </w:r>
            <w:r>
              <w:rPr>
                <w:spacing w:val="-10"/>
                <w:sz w:val="24"/>
              </w:rPr>
              <w:t> </w:t>
            </w:r>
            <w:r>
              <w:rPr>
                <w:sz w:val="24"/>
              </w:rPr>
              <w:t>the</w:t>
            </w:r>
            <w:r>
              <w:rPr>
                <w:spacing w:val="-10"/>
                <w:sz w:val="24"/>
              </w:rPr>
              <w:t> </w:t>
            </w:r>
            <w:r>
              <w:rPr>
                <w:sz w:val="24"/>
              </w:rPr>
              <w:t>Bombay Entertainment Duty Act 1923, Revenue and Forest Dept.</w:t>
            </w:r>
          </w:p>
          <w:p>
            <w:pPr>
              <w:pStyle w:val="TableParagraph"/>
              <w:spacing w:before="1"/>
              <w:ind w:left="110"/>
              <w:jc w:val="both"/>
              <w:rPr>
                <w:sz w:val="24"/>
              </w:rPr>
            </w:pPr>
            <w:r>
              <w:rPr>
                <w:sz w:val="24"/>
              </w:rPr>
              <w:t>Govt. of </w:t>
            </w:r>
            <w:r>
              <w:rPr>
                <w:spacing w:val="-2"/>
                <w:sz w:val="24"/>
              </w:rPr>
              <w:t>Maharashtra.</w:t>
            </w:r>
          </w:p>
        </w:tc>
      </w:tr>
    </w:tbl>
    <w:p>
      <w:pPr>
        <w:pStyle w:val="BodyText"/>
        <w:spacing w:before="7"/>
        <w:jc w:val="left"/>
        <w:rPr>
          <w:b/>
        </w:rPr>
      </w:pPr>
    </w:p>
    <w:p>
      <w:pPr>
        <w:pStyle w:val="ListParagraph"/>
        <w:numPr>
          <w:ilvl w:val="1"/>
          <w:numId w:val="246"/>
        </w:numPr>
        <w:tabs>
          <w:tab w:pos="1669" w:val="left" w:leader="none"/>
        </w:tabs>
        <w:spacing w:line="240" w:lineRule="auto" w:before="0" w:after="0"/>
        <w:ind w:left="1313" w:right="772" w:firstLine="0"/>
        <w:jc w:val="both"/>
        <w:rPr>
          <w:sz w:val="24"/>
        </w:rPr>
      </w:pPr>
      <w:r>
        <w:rPr>
          <w:b/>
          <w:sz w:val="24"/>
        </w:rPr>
        <w:t>Height</w:t>
      </w:r>
      <w:r>
        <w:rPr>
          <w:sz w:val="24"/>
        </w:rPr>
        <w:t>-(i)</w:t>
      </w:r>
      <w:r>
        <w:rPr>
          <w:spacing w:val="-10"/>
          <w:sz w:val="24"/>
        </w:rPr>
        <w:t> </w:t>
      </w:r>
      <w:r>
        <w:rPr>
          <w:sz w:val="24"/>
        </w:rPr>
        <w:t>The</w:t>
      </w:r>
      <w:r>
        <w:rPr>
          <w:spacing w:val="-10"/>
          <w:sz w:val="24"/>
        </w:rPr>
        <w:t> </w:t>
      </w:r>
      <w:r>
        <w:rPr>
          <w:sz w:val="24"/>
        </w:rPr>
        <w:t>minimum</w:t>
      </w:r>
      <w:r>
        <w:rPr>
          <w:spacing w:val="-10"/>
          <w:sz w:val="24"/>
        </w:rPr>
        <w:t> </w:t>
      </w:r>
      <w:r>
        <w:rPr>
          <w:sz w:val="24"/>
        </w:rPr>
        <w:t>and</w:t>
      </w:r>
      <w:r>
        <w:rPr>
          <w:spacing w:val="-10"/>
          <w:sz w:val="24"/>
        </w:rPr>
        <w:t> </w:t>
      </w:r>
      <w:r>
        <w:rPr>
          <w:sz w:val="24"/>
        </w:rPr>
        <w:t>maximum</w:t>
      </w:r>
      <w:r>
        <w:rPr>
          <w:spacing w:val="-10"/>
          <w:sz w:val="24"/>
        </w:rPr>
        <w:t> </w:t>
      </w:r>
      <w:r>
        <w:rPr>
          <w:sz w:val="24"/>
        </w:rPr>
        <w:t>height</w:t>
      </w:r>
      <w:r>
        <w:rPr>
          <w:spacing w:val="-10"/>
          <w:sz w:val="24"/>
        </w:rPr>
        <w:t> </w:t>
      </w:r>
      <w:r>
        <w:rPr>
          <w:sz w:val="24"/>
        </w:rPr>
        <w:t>of</w:t>
      </w:r>
      <w:r>
        <w:rPr>
          <w:spacing w:val="-10"/>
          <w:sz w:val="24"/>
        </w:rPr>
        <w:t> </w:t>
      </w:r>
      <w:r>
        <w:rPr>
          <w:sz w:val="24"/>
        </w:rPr>
        <w:t>a</w:t>
      </w:r>
      <w:r>
        <w:rPr>
          <w:spacing w:val="-10"/>
          <w:sz w:val="24"/>
        </w:rPr>
        <w:t> </w:t>
      </w:r>
      <w:r>
        <w:rPr>
          <w:sz w:val="24"/>
        </w:rPr>
        <w:t>habitable</w:t>
      </w:r>
      <w:r>
        <w:rPr>
          <w:spacing w:val="-10"/>
          <w:sz w:val="24"/>
        </w:rPr>
        <w:t> </w:t>
      </w:r>
      <w:r>
        <w:rPr>
          <w:sz w:val="24"/>
        </w:rPr>
        <w:t>room</w:t>
      </w:r>
      <w:r>
        <w:rPr>
          <w:spacing w:val="-10"/>
          <w:sz w:val="24"/>
        </w:rPr>
        <w:t> </w:t>
      </w:r>
      <w:r>
        <w:rPr>
          <w:sz w:val="24"/>
        </w:rPr>
        <w:t>shall</w:t>
      </w:r>
      <w:r>
        <w:rPr>
          <w:spacing w:val="-10"/>
          <w:sz w:val="24"/>
        </w:rPr>
        <w:t> </w:t>
      </w:r>
      <w:r>
        <w:rPr>
          <w:sz w:val="24"/>
        </w:rPr>
        <w:t>be as given in </w:t>
      </w:r>
      <w:r>
        <w:rPr>
          <w:b/>
          <w:sz w:val="24"/>
        </w:rPr>
        <w:t>T</w:t>
      </w:r>
      <w:r>
        <w:rPr>
          <w:sz w:val="24"/>
        </w:rPr>
        <w:t>ableNo 15hereunder: -</w:t>
      </w:r>
    </w:p>
    <w:p>
      <w:pPr>
        <w:pStyle w:val="ListParagraph"/>
        <w:numPr>
          <w:ilvl w:val="0"/>
          <w:numId w:val="248"/>
        </w:numPr>
        <w:tabs>
          <w:tab w:pos="1746" w:val="left" w:leader="none"/>
        </w:tabs>
        <w:spacing w:line="240" w:lineRule="auto" w:before="0" w:after="0"/>
        <w:ind w:left="1313" w:right="771" w:firstLine="0"/>
        <w:jc w:val="both"/>
        <w:rPr>
          <w:sz w:val="24"/>
        </w:rPr>
      </w:pPr>
      <w:r>
        <w:rPr>
          <w:sz w:val="24"/>
        </w:rPr>
        <w:t>Notwithstanding the above restriction as stated in </w:t>
      </w:r>
      <w:r>
        <w:rPr>
          <w:b/>
          <w:sz w:val="24"/>
        </w:rPr>
        <w:t>T</w:t>
      </w:r>
      <w:r>
        <w:rPr>
          <w:sz w:val="24"/>
        </w:rPr>
        <w:t>ableNo. 15, any telematics</w:t>
      </w:r>
      <w:r>
        <w:rPr>
          <w:spacing w:val="-11"/>
          <w:sz w:val="24"/>
        </w:rPr>
        <w:t> </w:t>
      </w:r>
      <w:r>
        <w:rPr>
          <w:sz w:val="24"/>
        </w:rPr>
        <w:t>equipment</w:t>
      </w:r>
      <w:r>
        <w:rPr>
          <w:spacing w:val="-11"/>
          <w:sz w:val="24"/>
        </w:rPr>
        <w:t> </w:t>
      </w:r>
      <w:r>
        <w:rPr>
          <w:sz w:val="24"/>
        </w:rPr>
        <w:t>storage</w:t>
      </w:r>
      <w:r>
        <w:rPr>
          <w:spacing w:val="-10"/>
          <w:sz w:val="24"/>
        </w:rPr>
        <w:t> </w:t>
      </w:r>
      <w:r>
        <w:rPr>
          <w:sz w:val="24"/>
        </w:rPr>
        <w:t>or</w:t>
      </w:r>
      <w:r>
        <w:rPr>
          <w:spacing w:val="-11"/>
          <w:sz w:val="24"/>
        </w:rPr>
        <w:t> </w:t>
      </w:r>
      <w:r>
        <w:rPr>
          <w:sz w:val="24"/>
        </w:rPr>
        <w:t>erection</w:t>
      </w:r>
      <w:r>
        <w:rPr>
          <w:spacing w:val="-11"/>
          <w:sz w:val="24"/>
        </w:rPr>
        <w:t> </w:t>
      </w:r>
      <w:r>
        <w:rPr>
          <w:sz w:val="24"/>
        </w:rPr>
        <w:t>facility</w:t>
      </w:r>
      <w:r>
        <w:rPr>
          <w:spacing w:val="-11"/>
          <w:sz w:val="24"/>
        </w:rPr>
        <w:t> </w:t>
      </w:r>
      <w:r>
        <w:rPr>
          <w:sz w:val="24"/>
        </w:rPr>
        <w:t>can</w:t>
      </w:r>
      <w:r>
        <w:rPr>
          <w:spacing w:val="-11"/>
          <w:sz w:val="24"/>
        </w:rPr>
        <w:t> </w:t>
      </w:r>
      <w:r>
        <w:rPr>
          <w:sz w:val="24"/>
        </w:rPr>
        <w:t>have</w:t>
      </w:r>
      <w:r>
        <w:rPr>
          <w:spacing w:val="-11"/>
          <w:sz w:val="24"/>
        </w:rPr>
        <w:t> </w:t>
      </w:r>
      <w:r>
        <w:rPr>
          <w:sz w:val="24"/>
        </w:rPr>
        <w:t>a</w:t>
      </w:r>
      <w:r>
        <w:rPr>
          <w:spacing w:val="-11"/>
          <w:sz w:val="24"/>
        </w:rPr>
        <w:t> </w:t>
      </w:r>
      <w:r>
        <w:rPr>
          <w:sz w:val="24"/>
        </w:rPr>
        <w:t>height</w:t>
      </w:r>
      <w:r>
        <w:rPr>
          <w:spacing w:val="-11"/>
          <w:sz w:val="24"/>
        </w:rPr>
        <w:t> </w:t>
      </w:r>
      <w:r>
        <w:rPr>
          <w:sz w:val="24"/>
        </w:rPr>
        <w:t>as</w:t>
      </w:r>
      <w:r>
        <w:rPr>
          <w:spacing w:val="-11"/>
          <w:sz w:val="24"/>
        </w:rPr>
        <w:t> </w:t>
      </w:r>
      <w:r>
        <w:rPr>
          <w:sz w:val="24"/>
        </w:rPr>
        <w:t>required for effective functioning of that system.</w:t>
      </w:r>
    </w:p>
    <w:p>
      <w:pPr>
        <w:pStyle w:val="ListParagraph"/>
        <w:spacing w:after="0" w:line="240" w:lineRule="auto"/>
        <w:jc w:val="both"/>
        <w:rPr>
          <w:sz w:val="24"/>
        </w:rPr>
        <w:sectPr>
          <w:pgSz w:w="11910" w:h="16840"/>
          <w:pgMar w:header="1058" w:footer="1201" w:top="1500" w:bottom="1400" w:left="360" w:right="360"/>
        </w:sectPr>
      </w:pPr>
    </w:p>
    <w:p>
      <w:pPr>
        <w:pStyle w:val="ListParagraph"/>
        <w:numPr>
          <w:ilvl w:val="0"/>
          <w:numId w:val="248"/>
        </w:numPr>
        <w:tabs>
          <w:tab w:pos="1825" w:val="left" w:leader="none"/>
        </w:tabs>
        <w:spacing w:line="240" w:lineRule="auto" w:before="255" w:after="0"/>
        <w:ind w:left="1313" w:right="771" w:firstLine="0"/>
        <w:jc w:val="both"/>
        <w:rPr>
          <w:sz w:val="24"/>
        </w:rPr>
      </w:pPr>
      <w:r>
        <w:rPr>
          <w:sz w:val="24"/>
        </w:rPr>
        <w:t>Notwithstanding the above restrictions as stated in </w:t>
      </w:r>
      <w:r>
        <w:rPr>
          <w:b/>
          <w:sz w:val="24"/>
        </w:rPr>
        <w:t>T</w:t>
      </w:r>
      <w:r>
        <w:rPr>
          <w:sz w:val="24"/>
        </w:rPr>
        <w:t>ableNo.15, for cinema/TV</w:t>
      </w:r>
      <w:r>
        <w:rPr>
          <w:spacing w:val="-13"/>
          <w:sz w:val="24"/>
        </w:rPr>
        <w:t> </w:t>
      </w:r>
      <w:r>
        <w:rPr>
          <w:sz w:val="24"/>
        </w:rPr>
        <w:t>films</w:t>
      </w:r>
      <w:r>
        <w:rPr>
          <w:spacing w:val="-12"/>
          <w:sz w:val="24"/>
        </w:rPr>
        <w:t> </w:t>
      </w:r>
      <w:r>
        <w:rPr>
          <w:sz w:val="24"/>
        </w:rPr>
        <w:t>production,</w:t>
      </w:r>
      <w:r>
        <w:rPr>
          <w:spacing w:val="-13"/>
          <w:sz w:val="24"/>
        </w:rPr>
        <w:t> </w:t>
      </w:r>
      <w:r>
        <w:rPr>
          <w:sz w:val="24"/>
        </w:rPr>
        <w:t>shooting,</w:t>
      </w:r>
      <w:r>
        <w:rPr>
          <w:spacing w:val="-13"/>
          <w:sz w:val="24"/>
        </w:rPr>
        <w:t> </w:t>
      </w:r>
      <w:r>
        <w:rPr>
          <w:sz w:val="24"/>
        </w:rPr>
        <w:t>editing,</w:t>
      </w:r>
      <w:r>
        <w:rPr>
          <w:spacing w:val="-13"/>
          <w:sz w:val="24"/>
        </w:rPr>
        <w:t> </w:t>
      </w:r>
      <w:r>
        <w:rPr>
          <w:sz w:val="24"/>
        </w:rPr>
        <w:t>recording</w:t>
      </w:r>
      <w:r>
        <w:rPr>
          <w:spacing w:val="-13"/>
          <w:sz w:val="24"/>
        </w:rPr>
        <w:t> </w:t>
      </w:r>
      <w:r>
        <w:rPr>
          <w:sz w:val="24"/>
        </w:rPr>
        <w:t>studios,</w:t>
      </w:r>
      <w:r>
        <w:rPr>
          <w:spacing w:val="-13"/>
          <w:sz w:val="24"/>
        </w:rPr>
        <w:t> </w:t>
      </w:r>
      <w:r>
        <w:rPr>
          <w:sz w:val="24"/>
        </w:rPr>
        <w:t>more</w:t>
      </w:r>
      <w:r>
        <w:rPr>
          <w:spacing w:val="-13"/>
          <w:sz w:val="24"/>
        </w:rPr>
        <w:t> </w:t>
      </w:r>
      <w:r>
        <w:rPr>
          <w:sz w:val="24"/>
        </w:rPr>
        <w:t>height as required for their effective functioning shall be permitted.</w:t>
      </w:r>
    </w:p>
    <w:p>
      <w:pPr>
        <w:pStyle w:val="Heading5"/>
        <w:spacing w:before="242"/>
        <w:ind w:left="772"/>
      </w:pPr>
      <w:r>
        <w:rPr/>
        <w:t>TableNo:</w:t>
      </w:r>
      <w:r>
        <w:rPr>
          <w:spacing w:val="43"/>
          <w:w w:val="150"/>
        </w:rPr>
        <w:t> </w:t>
      </w:r>
      <w:r>
        <w:rPr>
          <w:spacing w:val="-5"/>
        </w:rPr>
        <w:t>15</w:t>
      </w:r>
    </w:p>
    <w:p>
      <w:pPr>
        <w:spacing w:before="280"/>
        <w:ind w:left="0" w:right="0" w:firstLine="0"/>
        <w:jc w:val="center"/>
        <w:rPr>
          <w:b/>
          <w:sz w:val="24"/>
        </w:rPr>
      </w:pPr>
      <w:r>
        <w:rPr>
          <w:b/>
          <w:sz w:val="24"/>
        </w:rPr>
        <w:t>Height</w:t>
      </w:r>
      <w:r>
        <w:rPr>
          <w:b/>
          <w:spacing w:val="-3"/>
          <w:sz w:val="24"/>
        </w:rPr>
        <w:t> </w:t>
      </w:r>
      <w:r>
        <w:rPr>
          <w:b/>
          <w:sz w:val="24"/>
        </w:rPr>
        <w:t>of</w:t>
      </w:r>
      <w:r>
        <w:rPr>
          <w:b/>
          <w:spacing w:val="-3"/>
          <w:sz w:val="24"/>
        </w:rPr>
        <w:t> </w:t>
      </w:r>
      <w:r>
        <w:rPr>
          <w:b/>
          <w:sz w:val="24"/>
        </w:rPr>
        <w:t>Habitable</w:t>
      </w:r>
      <w:r>
        <w:rPr>
          <w:b/>
          <w:spacing w:val="-2"/>
          <w:sz w:val="24"/>
        </w:rPr>
        <w:t> Room/s</w:t>
      </w:r>
    </w:p>
    <w:p>
      <w:pPr>
        <w:pStyle w:val="BodyText"/>
        <w:spacing w:before="7"/>
        <w:jc w:val="left"/>
        <w:rPr>
          <w:b/>
          <w:sz w:val="20"/>
        </w:rPr>
      </w:pPr>
    </w:p>
    <w:tbl>
      <w:tblPr>
        <w:tblW w:w="0" w:type="auto"/>
        <w:jc w:val="left"/>
        <w:tblInd w:w="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3889"/>
        <w:gridCol w:w="1525"/>
        <w:gridCol w:w="3306"/>
      </w:tblGrid>
      <w:tr>
        <w:trPr>
          <w:trHeight w:val="702" w:hRule="atLeast"/>
        </w:trPr>
        <w:tc>
          <w:tcPr>
            <w:tcW w:w="624" w:type="dxa"/>
            <w:shd w:val="clear" w:color="auto" w:fill="EDEBE0"/>
          </w:tcPr>
          <w:p>
            <w:pPr>
              <w:pStyle w:val="TableParagraph"/>
              <w:spacing w:before="94"/>
              <w:ind w:left="107"/>
              <w:rPr>
                <w:sz w:val="20"/>
              </w:rPr>
            </w:pPr>
            <w:r>
              <w:rPr>
                <w:spacing w:val="-5"/>
                <w:sz w:val="20"/>
              </w:rPr>
              <w:t>Sr.</w:t>
            </w:r>
          </w:p>
          <w:p>
            <w:pPr>
              <w:pStyle w:val="TableParagraph"/>
              <w:spacing w:before="1"/>
              <w:ind w:left="107"/>
              <w:rPr>
                <w:sz w:val="20"/>
              </w:rPr>
            </w:pPr>
            <w:r>
              <w:rPr>
                <w:spacing w:val="-5"/>
                <w:sz w:val="20"/>
              </w:rPr>
              <w:t>No.</w:t>
            </w:r>
          </w:p>
        </w:tc>
        <w:tc>
          <w:tcPr>
            <w:tcW w:w="3889" w:type="dxa"/>
            <w:shd w:val="clear" w:color="auto" w:fill="EDEBE0"/>
          </w:tcPr>
          <w:p>
            <w:pPr>
              <w:pStyle w:val="TableParagraph"/>
              <w:spacing w:line="233" w:lineRule="exact"/>
              <w:ind w:right="1"/>
              <w:jc w:val="center"/>
              <w:rPr>
                <w:sz w:val="20"/>
              </w:rPr>
            </w:pPr>
            <w:r>
              <w:rPr>
                <w:spacing w:val="-2"/>
                <w:sz w:val="20"/>
              </w:rPr>
              <w:t>Occupancy</w:t>
            </w:r>
          </w:p>
        </w:tc>
        <w:tc>
          <w:tcPr>
            <w:tcW w:w="1525" w:type="dxa"/>
            <w:shd w:val="clear" w:color="auto" w:fill="EDEBE0"/>
          </w:tcPr>
          <w:p>
            <w:pPr>
              <w:pStyle w:val="TableParagraph"/>
              <w:ind w:left="14" w:right="7"/>
              <w:jc w:val="center"/>
              <w:rPr>
                <w:sz w:val="20"/>
              </w:rPr>
            </w:pPr>
            <w:r>
              <w:rPr>
                <w:spacing w:val="-2"/>
                <w:sz w:val="20"/>
              </w:rPr>
              <w:t>Minimum height</w:t>
            </w:r>
          </w:p>
          <w:p>
            <w:pPr>
              <w:pStyle w:val="TableParagraph"/>
              <w:spacing w:line="214" w:lineRule="exact"/>
              <w:ind w:left="14" w:right="9"/>
              <w:jc w:val="center"/>
              <w:rPr>
                <w:sz w:val="20"/>
              </w:rPr>
            </w:pPr>
            <w:r>
              <w:rPr>
                <w:sz w:val="20"/>
              </w:rPr>
              <w:t>in</w:t>
            </w:r>
            <w:r>
              <w:rPr>
                <w:spacing w:val="-4"/>
                <w:sz w:val="20"/>
              </w:rPr>
              <w:t> </w:t>
            </w:r>
            <w:r>
              <w:rPr>
                <w:sz w:val="20"/>
              </w:rPr>
              <w:t>meters</w:t>
            </w:r>
            <w:r>
              <w:rPr>
                <w:spacing w:val="-4"/>
                <w:sz w:val="20"/>
              </w:rPr>
              <w:t> </w:t>
            </w:r>
            <w:r>
              <w:rPr>
                <w:spacing w:val="-5"/>
                <w:sz w:val="20"/>
              </w:rPr>
              <w:t>(m)</w:t>
            </w:r>
          </w:p>
        </w:tc>
        <w:tc>
          <w:tcPr>
            <w:tcW w:w="3306" w:type="dxa"/>
            <w:shd w:val="clear" w:color="auto" w:fill="EDEBE0"/>
          </w:tcPr>
          <w:p>
            <w:pPr>
              <w:pStyle w:val="TableParagraph"/>
              <w:ind w:left="1004" w:right="813" w:hanging="185"/>
              <w:rPr>
                <w:sz w:val="20"/>
              </w:rPr>
            </w:pPr>
            <w:r>
              <w:rPr>
                <w:sz w:val="20"/>
              </w:rPr>
              <w:t>Maximum</w:t>
            </w:r>
            <w:r>
              <w:rPr>
                <w:spacing w:val="-16"/>
                <w:sz w:val="20"/>
              </w:rPr>
              <w:t> </w:t>
            </w:r>
            <w:r>
              <w:rPr>
                <w:sz w:val="20"/>
              </w:rPr>
              <w:t>height in meters (m)</w:t>
            </w:r>
          </w:p>
        </w:tc>
      </w:tr>
      <w:tr>
        <w:trPr>
          <w:trHeight w:val="705" w:hRule="atLeast"/>
        </w:trPr>
        <w:tc>
          <w:tcPr>
            <w:tcW w:w="624" w:type="dxa"/>
          </w:tcPr>
          <w:p>
            <w:pPr>
              <w:pStyle w:val="TableParagraph"/>
              <w:spacing w:before="94"/>
              <w:rPr>
                <w:b/>
                <w:sz w:val="20"/>
              </w:rPr>
            </w:pPr>
          </w:p>
          <w:p>
            <w:pPr>
              <w:pStyle w:val="TableParagraph"/>
              <w:spacing w:before="1"/>
              <w:ind w:left="107"/>
              <w:rPr>
                <w:sz w:val="20"/>
              </w:rPr>
            </w:pPr>
            <w:r>
              <w:rPr>
                <w:spacing w:val="-5"/>
                <w:sz w:val="20"/>
              </w:rPr>
              <w:t>(1)</w:t>
            </w:r>
          </w:p>
        </w:tc>
        <w:tc>
          <w:tcPr>
            <w:tcW w:w="3889" w:type="dxa"/>
          </w:tcPr>
          <w:p>
            <w:pPr>
              <w:pStyle w:val="TableParagraph"/>
              <w:spacing w:before="233"/>
              <w:ind w:left="1" w:right="1"/>
              <w:jc w:val="center"/>
              <w:rPr>
                <w:sz w:val="20"/>
              </w:rPr>
            </w:pPr>
            <w:r>
              <w:rPr>
                <w:spacing w:val="-5"/>
                <w:sz w:val="20"/>
              </w:rPr>
              <w:t>(2)</w:t>
            </w:r>
          </w:p>
        </w:tc>
        <w:tc>
          <w:tcPr>
            <w:tcW w:w="1525" w:type="dxa"/>
          </w:tcPr>
          <w:p>
            <w:pPr>
              <w:pStyle w:val="TableParagraph"/>
              <w:spacing w:before="233"/>
              <w:ind w:left="14" w:right="11"/>
              <w:jc w:val="center"/>
              <w:rPr>
                <w:sz w:val="20"/>
              </w:rPr>
            </w:pPr>
            <w:r>
              <w:rPr>
                <w:spacing w:val="-5"/>
                <w:sz w:val="20"/>
              </w:rPr>
              <w:t>(3)</w:t>
            </w:r>
          </w:p>
        </w:tc>
        <w:tc>
          <w:tcPr>
            <w:tcW w:w="3306" w:type="dxa"/>
          </w:tcPr>
          <w:p>
            <w:pPr>
              <w:pStyle w:val="TableParagraph"/>
              <w:spacing w:before="233"/>
              <w:ind w:left="100" w:right="98"/>
              <w:jc w:val="center"/>
              <w:rPr>
                <w:sz w:val="20"/>
              </w:rPr>
            </w:pPr>
            <w:r>
              <w:rPr>
                <w:spacing w:val="-5"/>
                <w:sz w:val="20"/>
              </w:rPr>
              <w:t>(4)</w:t>
            </w:r>
          </w:p>
        </w:tc>
      </w:tr>
      <w:tr>
        <w:trPr>
          <w:trHeight w:val="7279" w:hRule="atLeast"/>
        </w:trPr>
        <w:tc>
          <w:tcPr>
            <w:tcW w:w="624" w:type="dxa"/>
          </w:tcPr>
          <w:p>
            <w:pPr>
              <w:pStyle w:val="TableParagraph"/>
              <w:spacing w:before="94"/>
              <w:ind w:left="107"/>
              <w:rPr>
                <w:sz w:val="20"/>
              </w:rPr>
            </w:pPr>
            <w:r>
              <w:rPr>
                <w:spacing w:val="-5"/>
                <w:sz w:val="20"/>
              </w:rPr>
              <w:t>1.</w:t>
            </w:r>
          </w:p>
        </w:tc>
        <w:tc>
          <w:tcPr>
            <w:tcW w:w="3889" w:type="dxa"/>
          </w:tcPr>
          <w:p>
            <w:pPr>
              <w:pStyle w:val="TableParagraph"/>
              <w:spacing w:line="233" w:lineRule="exact"/>
              <w:ind w:left="105"/>
              <w:jc w:val="both"/>
              <w:rPr>
                <w:sz w:val="20"/>
              </w:rPr>
            </w:pPr>
            <w:r>
              <w:rPr>
                <w:sz w:val="20"/>
              </w:rPr>
              <w:t>Flat</w:t>
            </w:r>
            <w:r>
              <w:rPr>
                <w:spacing w:val="-3"/>
                <w:sz w:val="20"/>
              </w:rPr>
              <w:t> </w:t>
            </w:r>
            <w:r>
              <w:rPr>
                <w:spacing w:val="-2"/>
                <w:sz w:val="20"/>
              </w:rPr>
              <w:t>roof.</w:t>
            </w:r>
          </w:p>
          <w:p>
            <w:pPr>
              <w:pStyle w:val="TableParagraph"/>
              <w:rPr>
                <w:b/>
                <w:sz w:val="20"/>
              </w:rPr>
            </w:pPr>
          </w:p>
          <w:p>
            <w:pPr>
              <w:pStyle w:val="TableParagraph"/>
              <w:numPr>
                <w:ilvl w:val="0"/>
                <w:numId w:val="249"/>
              </w:numPr>
              <w:tabs>
                <w:tab w:pos="403" w:val="left" w:leader="none"/>
              </w:tabs>
              <w:spacing w:line="240" w:lineRule="auto" w:before="1" w:after="0"/>
              <w:ind w:left="403" w:right="0" w:hanging="298"/>
              <w:jc w:val="both"/>
              <w:rPr>
                <w:sz w:val="20"/>
              </w:rPr>
            </w:pPr>
            <w:r>
              <w:rPr>
                <w:sz w:val="20"/>
              </w:rPr>
              <w:t>Any</w:t>
            </w:r>
            <w:r>
              <w:rPr>
                <w:spacing w:val="-9"/>
                <w:sz w:val="20"/>
              </w:rPr>
              <w:t> </w:t>
            </w:r>
            <w:r>
              <w:rPr>
                <w:sz w:val="20"/>
              </w:rPr>
              <w:t>habitable</w:t>
            </w:r>
            <w:r>
              <w:rPr>
                <w:spacing w:val="-9"/>
                <w:sz w:val="20"/>
              </w:rPr>
              <w:t> </w:t>
            </w:r>
            <w:r>
              <w:rPr>
                <w:spacing w:val="-4"/>
                <w:sz w:val="20"/>
              </w:rPr>
              <w:t>room</w:t>
            </w:r>
          </w:p>
          <w:p>
            <w:pPr>
              <w:pStyle w:val="TableParagraph"/>
              <w:spacing w:before="233"/>
              <w:rPr>
                <w:b/>
                <w:sz w:val="20"/>
              </w:rPr>
            </w:pPr>
          </w:p>
          <w:p>
            <w:pPr>
              <w:pStyle w:val="TableParagraph"/>
              <w:numPr>
                <w:ilvl w:val="0"/>
                <w:numId w:val="249"/>
              </w:numPr>
              <w:tabs>
                <w:tab w:pos="659" w:val="left" w:leader="none"/>
              </w:tabs>
              <w:spacing w:line="240" w:lineRule="auto" w:before="0" w:after="0"/>
              <w:ind w:left="105" w:right="100" w:firstLine="0"/>
              <w:jc w:val="both"/>
              <w:rPr>
                <w:sz w:val="20"/>
              </w:rPr>
            </w:pPr>
            <w:r>
              <w:rPr>
                <w:sz w:val="20"/>
              </w:rPr>
              <w:t>Bathrooms, Water Closets, combined Bath &amp; WC</w:t>
            </w:r>
          </w:p>
          <w:p>
            <w:pPr>
              <w:pStyle w:val="TableParagraph"/>
              <w:spacing w:before="1"/>
              <w:ind w:left="105" w:firstLine="129"/>
              <w:rPr>
                <w:sz w:val="20"/>
              </w:rPr>
            </w:pPr>
            <w:r>
              <w:rPr>
                <w:sz w:val="20"/>
              </w:rPr>
              <w:t>(Measured</w:t>
            </w:r>
            <w:r>
              <w:rPr>
                <w:spacing w:val="38"/>
                <w:sz w:val="20"/>
              </w:rPr>
              <w:t> </w:t>
            </w:r>
            <w:r>
              <w:rPr>
                <w:sz w:val="20"/>
              </w:rPr>
              <w:t>from</w:t>
            </w:r>
            <w:r>
              <w:rPr>
                <w:spacing w:val="39"/>
                <w:sz w:val="20"/>
              </w:rPr>
              <w:t> </w:t>
            </w:r>
            <w:r>
              <w:rPr>
                <w:sz w:val="20"/>
              </w:rPr>
              <w:t>the</w:t>
            </w:r>
            <w:r>
              <w:rPr>
                <w:spacing w:val="39"/>
                <w:sz w:val="20"/>
              </w:rPr>
              <w:t> </w:t>
            </w:r>
            <w:r>
              <w:rPr>
                <w:sz w:val="20"/>
              </w:rPr>
              <w:t>surface</w:t>
            </w:r>
            <w:r>
              <w:rPr>
                <w:spacing w:val="39"/>
                <w:sz w:val="20"/>
              </w:rPr>
              <w:t> </w:t>
            </w:r>
            <w:r>
              <w:rPr>
                <w:sz w:val="20"/>
              </w:rPr>
              <w:t>of</w:t>
            </w:r>
            <w:r>
              <w:rPr>
                <w:spacing w:val="40"/>
                <w:sz w:val="20"/>
              </w:rPr>
              <w:t> </w:t>
            </w:r>
            <w:r>
              <w:rPr>
                <w:sz w:val="20"/>
              </w:rPr>
              <w:t>the floor</w:t>
            </w:r>
            <w:r>
              <w:rPr>
                <w:spacing w:val="-5"/>
                <w:sz w:val="20"/>
              </w:rPr>
              <w:t> </w:t>
            </w:r>
            <w:r>
              <w:rPr>
                <w:sz w:val="20"/>
              </w:rPr>
              <w:t>to</w:t>
            </w:r>
            <w:r>
              <w:rPr>
                <w:spacing w:val="-6"/>
                <w:sz w:val="20"/>
              </w:rPr>
              <w:t> </w:t>
            </w:r>
            <w:r>
              <w:rPr>
                <w:sz w:val="20"/>
              </w:rPr>
              <w:t>the</w:t>
            </w:r>
            <w:r>
              <w:rPr>
                <w:spacing w:val="-5"/>
                <w:sz w:val="20"/>
              </w:rPr>
              <w:t> </w:t>
            </w:r>
            <w:r>
              <w:rPr>
                <w:sz w:val="20"/>
              </w:rPr>
              <w:t>lowest</w:t>
            </w:r>
            <w:r>
              <w:rPr>
                <w:spacing w:val="-4"/>
                <w:sz w:val="20"/>
              </w:rPr>
              <w:t> </w:t>
            </w:r>
            <w:r>
              <w:rPr>
                <w:sz w:val="20"/>
              </w:rPr>
              <w:t>point</w:t>
            </w:r>
            <w:r>
              <w:rPr>
                <w:spacing w:val="-3"/>
                <w:sz w:val="20"/>
              </w:rPr>
              <w:t> </w:t>
            </w:r>
            <w:r>
              <w:rPr>
                <w:sz w:val="20"/>
              </w:rPr>
              <w:t>of</w:t>
            </w:r>
            <w:r>
              <w:rPr>
                <w:spacing w:val="-4"/>
                <w:sz w:val="20"/>
              </w:rPr>
              <w:t> </w:t>
            </w:r>
            <w:r>
              <w:rPr>
                <w:sz w:val="20"/>
              </w:rPr>
              <w:t>the</w:t>
            </w:r>
            <w:r>
              <w:rPr>
                <w:spacing w:val="-5"/>
                <w:sz w:val="20"/>
              </w:rPr>
              <w:t> </w:t>
            </w:r>
            <w:r>
              <w:rPr>
                <w:spacing w:val="-2"/>
                <w:sz w:val="20"/>
              </w:rPr>
              <w:t>ceiling)</w:t>
            </w:r>
          </w:p>
          <w:p>
            <w:pPr>
              <w:pStyle w:val="TableParagraph"/>
              <w:numPr>
                <w:ilvl w:val="0"/>
                <w:numId w:val="249"/>
              </w:numPr>
              <w:tabs>
                <w:tab w:pos="392" w:val="left" w:leader="none"/>
              </w:tabs>
              <w:spacing w:line="240" w:lineRule="auto" w:before="234" w:after="0"/>
              <w:ind w:left="392" w:right="0" w:hanging="287"/>
              <w:jc w:val="both"/>
              <w:rPr>
                <w:sz w:val="20"/>
              </w:rPr>
            </w:pPr>
            <w:r>
              <w:rPr>
                <w:sz w:val="20"/>
              </w:rPr>
              <w:t>Air-conditioned</w:t>
            </w:r>
            <w:r>
              <w:rPr>
                <w:spacing w:val="-16"/>
                <w:sz w:val="20"/>
              </w:rPr>
              <w:t> </w:t>
            </w:r>
            <w:r>
              <w:rPr>
                <w:sz w:val="20"/>
              </w:rPr>
              <w:t>habitable</w:t>
            </w:r>
            <w:r>
              <w:rPr>
                <w:spacing w:val="-15"/>
                <w:sz w:val="20"/>
              </w:rPr>
              <w:t> </w:t>
            </w:r>
            <w:r>
              <w:rPr>
                <w:spacing w:val="-4"/>
                <w:sz w:val="20"/>
              </w:rPr>
              <w:t>room.</w:t>
            </w:r>
          </w:p>
          <w:p>
            <w:pPr>
              <w:pStyle w:val="TableParagraph"/>
              <w:rPr>
                <w:b/>
                <w:sz w:val="20"/>
              </w:rPr>
            </w:pPr>
          </w:p>
          <w:p>
            <w:pPr>
              <w:pStyle w:val="TableParagraph"/>
              <w:numPr>
                <w:ilvl w:val="0"/>
                <w:numId w:val="249"/>
              </w:numPr>
              <w:tabs>
                <w:tab w:pos="549" w:val="left" w:leader="none"/>
              </w:tabs>
              <w:spacing w:line="240" w:lineRule="auto" w:before="1" w:after="0"/>
              <w:ind w:left="105" w:right="100" w:firstLine="0"/>
              <w:jc w:val="both"/>
              <w:rPr>
                <w:sz w:val="20"/>
              </w:rPr>
            </w:pPr>
            <w:r>
              <w:rPr>
                <w:sz w:val="20"/>
              </w:rPr>
              <w:t>i) Assembly halls, residential hotels of all types, institutional, educational,</w:t>
            </w:r>
            <w:r>
              <w:rPr>
                <w:spacing w:val="-2"/>
                <w:sz w:val="20"/>
              </w:rPr>
              <w:t> </w:t>
            </w:r>
            <w:r>
              <w:rPr>
                <w:sz w:val="20"/>
              </w:rPr>
              <w:t>industrial,</w:t>
            </w:r>
            <w:r>
              <w:rPr>
                <w:spacing w:val="-3"/>
                <w:sz w:val="20"/>
              </w:rPr>
              <w:t> </w:t>
            </w:r>
            <w:r>
              <w:rPr>
                <w:sz w:val="20"/>
              </w:rPr>
              <w:t>hazardous</w:t>
            </w:r>
            <w:r>
              <w:rPr>
                <w:spacing w:val="-3"/>
                <w:sz w:val="20"/>
              </w:rPr>
              <w:t> </w:t>
            </w:r>
            <w:r>
              <w:rPr>
                <w:sz w:val="20"/>
              </w:rPr>
              <w:t>or storage occupancies, departmental stores, malls, entrance halls and lobbies to departmental stores and assembly, Data Centre, Data ware house, Large/ Big Box Retailors</w:t>
            </w:r>
          </w:p>
          <w:p>
            <w:pPr>
              <w:pStyle w:val="TableParagraph"/>
              <w:spacing w:before="234"/>
              <w:ind w:left="105"/>
              <w:jc w:val="both"/>
              <w:rPr>
                <w:sz w:val="20"/>
              </w:rPr>
            </w:pPr>
            <w:r>
              <w:rPr>
                <w:sz w:val="20"/>
              </w:rPr>
              <w:t>ii)</w:t>
            </w:r>
            <w:r>
              <w:rPr>
                <w:spacing w:val="53"/>
                <w:sz w:val="20"/>
              </w:rPr>
              <w:t> </w:t>
            </w:r>
            <w:r>
              <w:rPr>
                <w:sz w:val="20"/>
              </w:rPr>
              <w:t>IT</w:t>
            </w:r>
            <w:r>
              <w:rPr>
                <w:spacing w:val="-7"/>
                <w:sz w:val="20"/>
              </w:rPr>
              <w:t> </w:t>
            </w:r>
            <w:r>
              <w:rPr>
                <w:sz w:val="20"/>
              </w:rPr>
              <w:t>buildings,</w:t>
            </w:r>
            <w:r>
              <w:rPr>
                <w:spacing w:val="-4"/>
                <w:sz w:val="20"/>
              </w:rPr>
              <w:t> </w:t>
            </w:r>
            <w:r>
              <w:rPr>
                <w:sz w:val="20"/>
              </w:rPr>
              <w:t>office</w:t>
            </w:r>
            <w:r>
              <w:rPr>
                <w:spacing w:val="-4"/>
                <w:sz w:val="20"/>
              </w:rPr>
              <w:t> </w:t>
            </w:r>
            <w:r>
              <w:rPr>
                <w:spacing w:val="-2"/>
                <w:sz w:val="20"/>
              </w:rPr>
              <w:t>buildings</w:t>
            </w:r>
          </w:p>
          <w:p>
            <w:pPr>
              <w:pStyle w:val="TableParagraph"/>
              <w:spacing w:before="1"/>
              <w:rPr>
                <w:b/>
                <w:sz w:val="20"/>
              </w:rPr>
            </w:pPr>
          </w:p>
          <w:p>
            <w:pPr>
              <w:pStyle w:val="TableParagraph"/>
              <w:ind w:left="105" w:right="99"/>
              <w:jc w:val="both"/>
              <w:rPr>
                <w:sz w:val="20"/>
              </w:rPr>
            </w:pPr>
            <w:r>
              <w:rPr>
                <w:sz w:val="20"/>
              </w:rPr>
              <w:t>(e)i) Exhibition cum Convention Centre, Sport facility requiring more </w:t>
            </w:r>
            <w:r>
              <w:rPr>
                <w:spacing w:val="-2"/>
                <w:sz w:val="20"/>
              </w:rPr>
              <w:t>height</w:t>
            </w:r>
          </w:p>
          <w:p>
            <w:pPr>
              <w:pStyle w:val="TableParagraph"/>
              <w:spacing w:before="234"/>
              <w:ind w:left="170"/>
              <w:rPr>
                <w:sz w:val="20"/>
              </w:rPr>
            </w:pPr>
            <w:r>
              <w:rPr>
                <w:sz w:val="20"/>
              </w:rPr>
              <w:t>ii)</w:t>
            </w:r>
            <w:r>
              <w:rPr>
                <w:spacing w:val="24"/>
                <w:sz w:val="20"/>
              </w:rPr>
              <w:t>  </w:t>
            </w:r>
            <w:r>
              <w:rPr>
                <w:sz w:val="20"/>
              </w:rPr>
              <w:t>Sound</w:t>
            </w:r>
            <w:r>
              <w:rPr>
                <w:spacing w:val="79"/>
                <w:w w:val="150"/>
                <w:sz w:val="20"/>
              </w:rPr>
              <w:t> </w:t>
            </w:r>
            <w:r>
              <w:rPr>
                <w:sz w:val="20"/>
              </w:rPr>
              <w:t>Recording/Film</w:t>
            </w:r>
            <w:r>
              <w:rPr>
                <w:spacing w:val="24"/>
                <w:sz w:val="20"/>
              </w:rPr>
              <w:t>  </w:t>
            </w:r>
            <w:r>
              <w:rPr>
                <w:spacing w:val="-2"/>
                <w:sz w:val="20"/>
              </w:rPr>
              <w:t>Studio,</w:t>
            </w:r>
          </w:p>
          <w:p>
            <w:pPr>
              <w:pStyle w:val="TableParagraph"/>
              <w:ind w:left="105"/>
              <w:rPr>
                <w:sz w:val="20"/>
              </w:rPr>
            </w:pPr>
            <w:r>
              <w:rPr>
                <w:spacing w:val="-2"/>
                <w:sz w:val="20"/>
              </w:rPr>
              <w:t>Warehouse</w:t>
            </w:r>
          </w:p>
          <w:p>
            <w:pPr>
              <w:pStyle w:val="TableParagraph"/>
              <w:spacing w:before="2"/>
              <w:rPr>
                <w:b/>
                <w:sz w:val="20"/>
              </w:rPr>
            </w:pPr>
          </w:p>
          <w:p>
            <w:pPr>
              <w:pStyle w:val="TableParagraph"/>
              <w:spacing w:line="216" w:lineRule="exact"/>
              <w:ind w:left="105"/>
              <w:rPr>
                <w:sz w:val="20"/>
              </w:rPr>
            </w:pPr>
            <w:r>
              <w:rPr>
                <w:sz w:val="20"/>
              </w:rPr>
              <w:t>(f)</w:t>
            </w:r>
            <w:r>
              <w:rPr>
                <w:spacing w:val="62"/>
                <w:sz w:val="20"/>
              </w:rPr>
              <w:t> </w:t>
            </w:r>
            <w:r>
              <w:rPr>
                <w:spacing w:val="-2"/>
                <w:sz w:val="20"/>
              </w:rPr>
              <w:t>Shops.</w:t>
            </w:r>
          </w:p>
        </w:tc>
        <w:tc>
          <w:tcPr>
            <w:tcW w:w="1525" w:type="dxa"/>
          </w:tcPr>
          <w:p>
            <w:pPr>
              <w:pStyle w:val="TableParagraph"/>
              <w:spacing w:before="234"/>
              <w:rPr>
                <w:b/>
                <w:sz w:val="20"/>
              </w:rPr>
            </w:pPr>
          </w:p>
          <w:p>
            <w:pPr>
              <w:pStyle w:val="TableParagraph"/>
              <w:ind w:left="14" w:right="10"/>
              <w:jc w:val="center"/>
              <w:rPr>
                <w:sz w:val="20"/>
              </w:rPr>
            </w:pPr>
            <w:r>
              <w:rPr>
                <w:spacing w:val="-4"/>
                <w:sz w:val="20"/>
              </w:rPr>
              <w:t>2.75</w:t>
            </w:r>
          </w:p>
          <w:p>
            <w:pPr>
              <w:pStyle w:val="TableParagraph"/>
              <w:spacing w:before="233"/>
              <w:rPr>
                <w:b/>
                <w:sz w:val="20"/>
              </w:rPr>
            </w:pPr>
          </w:p>
          <w:p>
            <w:pPr>
              <w:pStyle w:val="TableParagraph"/>
              <w:ind w:left="14" w:right="10"/>
              <w:jc w:val="center"/>
              <w:rPr>
                <w:sz w:val="20"/>
              </w:rPr>
            </w:pPr>
            <w:r>
              <w:rPr>
                <w:spacing w:val="-5"/>
                <w:sz w:val="20"/>
              </w:rPr>
              <w:t>2.2</w:t>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ind w:left="14" w:right="10"/>
              <w:jc w:val="center"/>
              <w:rPr>
                <w:sz w:val="20"/>
              </w:rPr>
            </w:pPr>
            <w:r>
              <w:rPr>
                <w:spacing w:val="-5"/>
                <w:sz w:val="20"/>
              </w:rPr>
              <w:t>2.4</w:t>
            </w:r>
          </w:p>
          <w:p>
            <w:pPr>
              <w:pStyle w:val="TableParagraph"/>
              <w:rPr>
                <w:b/>
                <w:sz w:val="20"/>
              </w:rPr>
            </w:pPr>
          </w:p>
          <w:p>
            <w:pPr>
              <w:pStyle w:val="TableParagraph"/>
              <w:rPr>
                <w:b/>
                <w:sz w:val="20"/>
              </w:rPr>
            </w:pPr>
          </w:p>
          <w:p>
            <w:pPr>
              <w:pStyle w:val="TableParagraph"/>
              <w:spacing w:before="2"/>
              <w:rPr>
                <w:b/>
                <w:sz w:val="20"/>
              </w:rPr>
            </w:pPr>
          </w:p>
          <w:p>
            <w:pPr>
              <w:pStyle w:val="TableParagraph"/>
              <w:ind w:left="14" w:right="10"/>
              <w:jc w:val="center"/>
              <w:rPr>
                <w:sz w:val="20"/>
              </w:rPr>
            </w:pPr>
            <w:r>
              <w:rPr>
                <w:spacing w:val="-5"/>
                <w:sz w:val="20"/>
              </w:rPr>
              <w:t>3.6</w:t>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
              <w:ind w:left="14" w:right="10"/>
              <w:jc w:val="center"/>
              <w:rPr>
                <w:sz w:val="20"/>
              </w:rPr>
            </w:pPr>
            <w:r>
              <w:rPr>
                <w:spacing w:val="-4"/>
                <w:sz w:val="20"/>
              </w:rPr>
              <w:t>2.75</w:t>
            </w:r>
          </w:p>
          <w:p>
            <w:pPr>
              <w:pStyle w:val="TableParagraph"/>
              <w:spacing w:before="233"/>
              <w:ind w:left="14" w:right="10"/>
              <w:jc w:val="center"/>
              <w:rPr>
                <w:sz w:val="20"/>
              </w:rPr>
            </w:pPr>
            <w:r>
              <w:rPr>
                <w:spacing w:val="-5"/>
                <w:sz w:val="20"/>
              </w:rPr>
              <w:t>4.2</w:t>
            </w:r>
          </w:p>
          <w:p>
            <w:pPr>
              <w:pStyle w:val="TableParagraph"/>
              <w:rPr>
                <w:b/>
                <w:sz w:val="20"/>
              </w:rPr>
            </w:pPr>
          </w:p>
          <w:p>
            <w:pPr>
              <w:pStyle w:val="TableParagraph"/>
              <w:spacing w:before="1"/>
              <w:rPr>
                <w:b/>
                <w:sz w:val="20"/>
              </w:rPr>
            </w:pPr>
          </w:p>
          <w:p>
            <w:pPr>
              <w:pStyle w:val="TableParagraph"/>
              <w:ind w:left="14" w:right="10"/>
              <w:jc w:val="center"/>
              <w:rPr>
                <w:sz w:val="20"/>
              </w:rPr>
            </w:pPr>
            <w:r>
              <w:rPr>
                <w:spacing w:val="-5"/>
                <w:sz w:val="20"/>
              </w:rPr>
              <w:t>4.2</w:t>
            </w:r>
          </w:p>
          <w:p>
            <w:pPr>
              <w:pStyle w:val="TableParagraph"/>
              <w:spacing w:before="233"/>
              <w:ind w:left="14" w:right="10"/>
              <w:jc w:val="center"/>
              <w:rPr>
                <w:sz w:val="20"/>
              </w:rPr>
            </w:pPr>
            <w:r>
              <w:rPr>
                <w:spacing w:val="-4"/>
                <w:sz w:val="20"/>
              </w:rPr>
              <w:t>2.75</w:t>
            </w:r>
          </w:p>
        </w:tc>
        <w:tc>
          <w:tcPr>
            <w:tcW w:w="3306" w:type="dxa"/>
          </w:tcPr>
          <w:p>
            <w:pPr>
              <w:pStyle w:val="TableParagraph"/>
              <w:spacing w:before="234"/>
              <w:rPr>
                <w:b/>
                <w:sz w:val="20"/>
              </w:rPr>
            </w:pPr>
          </w:p>
          <w:p>
            <w:pPr>
              <w:pStyle w:val="TableParagraph"/>
              <w:ind w:left="100" w:right="97"/>
              <w:jc w:val="center"/>
              <w:rPr>
                <w:sz w:val="20"/>
              </w:rPr>
            </w:pPr>
            <w:r>
              <w:rPr>
                <w:spacing w:val="-5"/>
                <w:sz w:val="20"/>
              </w:rPr>
              <w:t>4.2</w:t>
            </w:r>
          </w:p>
          <w:p>
            <w:pPr>
              <w:pStyle w:val="TableParagraph"/>
              <w:spacing w:before="233"/>
              <w:rPr>
                <w:b/>
                <w:sz w:val="20"/>
              </w:rPr>
            </w:pPr>
          </w:p>
          <w:p>
            <w:pPr>
              <w:pStyle w:val="TableParagraph"/>
              <w:ind w:left="100" w:right="97"/>
              <w:jc w:val="center"/>
              <w:rPr>
                <w:sz w:val="20"/>
              </w:rPr>
            </w:pPr>
            <w:r>
              <w:rPr>
                <w:spacing w:val="-5"/>
                <w:sz w:val="20"/>
              </w:rPr>
              <w:t>4.2</w:t>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ind w:left="100" w:right="97"/>
              <w:jc w:val="center"/>
              <w:rPr>
                <w:sz w:val="20"/>
              </w:rPr>
            </w:pPr>
            <w:r>
              <w:rPr>
                <w:spacing w:val="-5"/>
                <w:sz w:val="20"/>
              </w:rPr>
              <w:t>4.2</w:t>
            </w:r>
          </w:p>
          <w:p>
            <w:pPr>
              <w:pStyle w:val="TableParagraph"/>
              <w:rPr>
                <w:b/>
                <w:sz w:val="20"/>
              </w:rPr>
            </w:pPr>
          </w:p>
          <w:p>
            <w:pPr>
              <w:pStyle w:val="TableParagraph"/>
              <w:rPr>
                <w:b/>
                <w:sz w:val="20"/>
              </w:rPr>
            </w:pPr>
          </w:p>
          <w:p>
            <w:pPr>
              <w:pStyle w:val="TableParagraph"/>
              <w:spacing w:before="2"/>
              <w:rPr>
                <w:b/>
                <w:sz w:val="20"/>
              </w:rPr>
            </w:pPr>
          </w:p>
          <w:p>
            <w:pPr>
              <w:pStyle w:val="TableParagraph"/>
              <w:ind w:left="100" w:right="97"/>
              <w:jc w:val="center"/>
              <w:rPr>
                <w:sz w:val="20"/>
              </w:rPr>
            </w:pPr>
            <w:r>
              <w:rPr>
                <w:spacing w:val="-4"/>
                <w:sz w:val="20"/>
              </w:rPr>
              <w:t>6.0*</w:t>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
              <w:ind w:left="100" w:right="98"/>
              <w:jc w:val="center"/>
              <w:rPr>
                <w:sz w:val="20"/>
              </w:rPr>
            </w:pPr>
            <w:r>
              <w:rPr>
                <w:spacing w:val="-4"/>
                <w:sz w:val="20"/>
              </w:rPr>
              <w:t>4.2*</w:t>
            </w:r>
          </w:p>
          <w:p>
            <w:pPr>
              <w:pStyle w:val="TableParagraph"/>
              <w:spacing w:before="233"/>
              <w:ind w:left="100" w:right="97"/>
              <w:jc w:val="center"/>
              <w:rPr>
                <w:sz w:val="20"/>
              </w:rPr>
            </w:pPr>
            <w:r>
              <w:rPr>
                <w:spacing w:val="-4"/>
                <w:sz w:val="20"/>
              </w:rPr>
              <w:t>8.8*</w:t>
            </w:r>
          </w:p>
          <w:p>
            <w:pPr>
              <w:pStyle w:val="TableParagraph"/>
              <w:rPr>
                <w:b/>
                <w:sz w:val="20"/>
              </w:rPr>
            </w:pPr>
          </w:p>
          <w:p>
            <w:pPr>
              <w:pStyle w:val="TableParagraph"/>
              <w:spacing w:before="1"/>
              <w:rPr>
                <w:b/>
                <w:sz w:val="20"/>
              </w:rPr>
            </w:pPr>
          </w:p>
          <w:p>
            <w:pPr>
              <w:pStyle w:val="TableParagraph"/>
              <w:ind w:left="100" w:right="100"/>
              <w:jc w:val="center"/>
              <w:rPr>
                <w:sz w:val="20"/>
              </w:rPr>
            </w:pPr>
            <w:r>
              <w:rPr>
                <w:spacing w:val="-5"/>
                <w:sz w:val="20"/>
              </w:rPr>
              <w:t>12*</w:t>
            </w:r>
          </w:p>
          <w:p>
            <w:pPr>
              <w:pStyle w:val="TableParagraph"/>
              <w:spacing w:before="233"/>
              <w:ind w:left="100" w:right="97"/>
              <w:jc w:val="center"/>
              <w:rPr>
                <w:sz w:val="20"/>
              </w:rPr>
            </w:pPr>
            <w:r>
              <w:rPr>
                <w:spacing w:val="-5"/>
                <w:sz w:val="20"/>
              </w:rPr>
              <w:t>4.2</w:t>
            </w:r>
          </w:p>
        </w:tc>
      </w:tr>
      <w:tr>
        <w:trPr>
          <w:trHeight w:val="1269" w:hRule="atLeast"/>
        </w:trPr>
        <w:tc>
          <w:tcPr>
            <w:tcW w:w="624" w:type="dxa"/>
          </w:tcPr>
          <w:p>
            <w:pPr>
              <w:pStyle w:val="TableParagraph"/>
              <w:spacing w:before="94"/>
              <w:ind w:left="7"/>
              <w:jc w:val="center"/>
              <w:rPr>
                <w:sz w:val="20"/>
              </w:rPr>
            </w:pPr>
            <w:r>
              <w:rPr>
                <w:spacing w:val="-5"/>
                <w:sz w:val="20"/>
              </w:rPr>
              <w:t>2.</w:t>
            </w:r>
          </w:p>
        </w:tc>
        <w:tc>
          <w:tcPr>
            <w:tcW w:w="3889" w:type="dxa"/>
          </w:tcPr>
          <w:p>
            <w:pPr>
              <w:pStyle w:val="TableParagraph"/>
              <w:spacing w:line="233" w:lineRule="exact"/>
              <w:ind w:left="105"/>
              <w:rPr>
                <w:sz w:val="20"/>
              </w:rPr>
            </w:pPr>
            <w:r>
              <w:rPr>
                <w:sz w:val="20"/>
              </w:rPr>
              <w:t>Pitched</w:t>
            </w:r>
            <w:r>
              <w:rPr>
                <w:spacing w:val="-8"/>
                <w:sz w:val="20"/>
              </w:rPr>
              <w:t> </w:t>
            </w:r>
            <w:r>
              <w:rPr>
                <w:sz w:val="20"/>
              </w:rPr>
              <w:t>roof</w:t>
            </w:r>
            <w:r>
              <w:rPr>
                <w:spacing w:val="-5"/>
                <w:sz w:val="20"/>
              </w:rPr>
              <w:t> </w:t>
            </w:r>
            <w:r>
              <w:rPr>
                <w:spacing w:val="-10"/>
                <w:sz w:val="20"/>
              </w:rPr>
              <w:t>–</w:t>
            </w:r>
          </w:p>
          <w:p>
            <w:pPr>
              <w:pStyle w:val="TableParagraph"/>
              <w:ind w:left="105"/>
              <w:rPr>
                <w:sz w:val="20"/>
              </w:rPr>
            </w:pPr>
            <w:r>
              <w:rPr>
                <w:sz w:val="20"/>
              </w:rPr>
              <w:t>(a)</w:t>
            </w:r>
            <w:r>
              <w:rPr>
                <w:spacing w:val="-8"/>
                <w:sz w:val="20"/>
              </w:rPr>
              <w:t> </w:t>
            </w:r>
            <w:r>
              <w:rPr>
                <w:sz w:val="20"/>
              </w:rPr>
              <w:t>Any</w:t>
            </w:r>
            <w:r>
              <w:rPr>
                <w:spacing w:val="-6"/>
                <w:sz w:val="20"/>
              </w:rPr>
              <w:t> </w:t>
            </w:r>
            <w:r>
              <w:rPr>
                <w:sz w:val="20"/>
              </w:rPr>
              <w:t>habitable</w:t>
            </w:r>
            <w:r>
              <w:rPr>
                <w:spacing w:val="-7"/>
                <w:sz w:val="20"/>
              </w:rPr>
              <w:t> </w:t>
            </w:r>
            <w:r>
              <w:rPr>
                <w:spacing w:val="-4"/>
                <w:sz w:val="20"/>
              </w:rPr>
              <w:t>room</w:t>
            </w:r>
          </w:p>
        </w:tc>
        <w:tc>
          <w:tcPr>
            <w:tcW w:w="1525" w:type="dxa"/>
          </w:tcPr>
          <w:p>
            <w:pPr>
              <w:pStyle w:val="TableParagraph"/>
              <w:spacing w:line="234" w:lineRule="exact" w:before="233"/>
              <w:ind w:left="14" w:right="10"/>
              <w:jc w:val="center"/>
              <w:rPr>
                <w:sz w:val="20"/>
              </w:rPr>
            </w:pPr>
            <w:r>
              <w:rPr>
                <w:spacing w:val="-4"/>
                <w:sz w:val="20"/>
              </w:rPr>
              <w:t>2.75</w:t>
            </w:r>
          </w:p>
          <w:p>
            <w:pPr>
              <w:pStyle w:val="TableParagraph"/>
              <w:spacing w:line="234" w:lineRule="exact"/>
              <w:ind w:left="14" w:right="8"/>
              <w:jc w:val="center"/>
              <w:rPr>
                <w:sz w:val="20"/>
              </w:rPr>
            </w:pPr>
            <w:r>
              <w:rPr>
                <w:sz w:val="20"/>
              </w:rPr>
              <w:t>(average</w:t>
            </w:r>
            <w:r>
              <w:rPr>
                <w:spacing w:val="-7"/>
                <w:sz w:val="20"/>
              </w:rPr>
              <w:t> </w:t>
            </w:r>
            <w:r>
              <w:rPr>
                <w:spacing w:val="-4"/>
                <w:sz w:val="20"/>
              </w:rPr>
              <w:t>with</w:t>
            </w:r>
          </w:p>
          <w:p>
            <w:pPr>
              <w:pStyle w:val="TableParagraph"/>
              <w:spacing w:before="1"/>
              <w:ind w:left="140" w:firstLine="21"/>
              <w:rPr>
                <w:sz w:val="20"/>
              </w:rPr>
            </w:pPr>
            <w:r>
              <w:rPr>
                <w:sz w:val="20"/>
              </w:rPr>
              <w:t>2.4</w:t>
            </w:r>
            <w:r>
              <w:rPr>
                <w:spacing w:val="-7"/>
                <w:sz w:val="20"/>
              </w:rPr>
              <w:t> </w:t>
            </w:r>
            <w:r>
              <w:rPr>
                <w:sz w:val="20"/>
              </w:rPr>
              <w:t>m</w:t>
            </w:r>
            <w:r>
              <w:rPr>
                <w:spacing w:val="-6"/>
                <w:sz w:val="20"/>
              </w:rPr>
              <w:t> </w:t>
            </w:r>
            <w:r>
              <w:rPr>
                <w:sz w:val="20"/>
              </w:rPr>
              <w:t>at</w:t>
            </w:r>
            <w:r>
              <w:rPr>
                <w:spacing w:val="-5"/>
                <w:sz w:val="20"/>
              </w:rPr>
              <w:t> </w:t>
            </w:r>
            <w:r>
              <w:rPr>
                <w:sz w:val="20"/>
              </w:rPr>
              <w:t>the lowest</w:t>
            </w:r>
            <w:r>
              <w:rPr>
                <w:spacing w:val="-8"/>
                <w:sz w:val="20"/>
              </w:rPr>
              <w:t> </w:t>
            </w:r>
            <w:r>
              <w:rPr>
                <w:spacing w:val="-2"/>
                <w:sz w:val="20"/>
              </w:rPr>
              <w:t>point)</w:t>
            </w:r>
          </w:p>
        </w:tc>
        <w:tc>
          <w:tcPr>
            <w:tcW w:w="3306" w:type="dxa"/>
          </w:tcPr>
          <w:p>
            <w:pPr>
              <w:pStyle w:val="TableParagraph"/>
              <w:spacing w:line="234" w:lineRule="exact" w:before="233"/>
              <w:ind w:left="100" w:right="97"/>
              <w:jc w:val="center"/>
              <w:rPr>
                <w:sz w:val="20"/>
              </w:rPr>
            </w:pPr>
            <w:r>
              <w:rPr>
                <w:spacing w:val="-5"/>
                <w:sz w:val="20"/>
              </w:rPr>
              <w:t>4.2</w:t>
            </w:r>
          </w:p>
          <w:p>
            <w:pPr>
              <w:pStyle w:val="TableParagraph"/>
              <w:ind w:left="100" w:right="97"/>
              <w:jc w:val="center"/>
              <w:rPr>
                <w:sz w:val="20"/>
              </w:rPr>
            </w:pPr>
            <w:r>
              <w:rPr>
                <w:sz w:val="20"/>
              </w:rPr>
              <w:t>(Average</w:t>
            </w:r>
            <w:r>
              <w:rPr>
                <w:spacing w:val="-8"/>
                <w:sz w:val="20"/>
              </w:rPr>
              <w:t> </w:t>
            </w:r>
            <w:r>
              <w:rPr>
                <w:sz w:val="20"/>
              </w:rPr>
              <w:t>with</w:t>
            </w:r>
            <w:r>
              <w:rPr>
                <w:spacing w:val="-8"/>
                <w:sz w:val="20"/>
              </w:rPr>
              <w:t> </w:t>
            </w:r>
            <w:r>
              <w:rPr>
                <w:sz w:val="20"/>
              </w:rPr>
              <w:t>2.8</w:t>
            </w:r>
            <w:r>
              <w:rPr>
                <w:spacing w:val="-9"/>
                <w:sz w:val="20"/>
              </w:rPr>
              <w:t> </w:t>
            </w:r>
            <w:r>
              <w:rPr>
                <w:sz w:val="20"/>
              </w:rPr>
              <w:t>m</w:t>
            </w:r>
            <w:r>
              <w:rPr>
                <w:spacing w:val="-8"/>
                <w:sz w:val="20"/>
              </w:rPr>
              <w:t> </w:t>
            </w:r>
            <w:r>
              <w:rPr>
                <w:sz w:val="20"/>
              </w:rPr>
              <w:t>at</w:t>
            </w:r>
            <w:r>
              <w:rPr>
                <w:spacing w:val="-8"/>
                <w:sz w:val="20"/>
              </w:rPr>
              <w:t> </w:t>
            </w:r>
            <w:r>
              <w:rPr>
                <w:sz w:val="20"/>
              </w:rPr>
              <w:t>the lowest point).</w:t>
            </w:r>
          </w:p>
        </w:tc>
      </w:tr>
    </w:tbl>
    <w:p>
      <w:pPr>
        <w:pStyle w:val="BodyText"/>
        <w:ind w:left="772" w:right="838" w:firstLine="720"/>
        <w:jc w:val="left"/>
      </w:pPr>
      <w:r>
        <w:rPr>
          <w:b/>
          <w:i/>
        </w:rPr>
        <w:t>*</w:t>
      </w:r>
      <w:r>
        <w:rPr>
          <w:b/>
          <w:i/>
          <w:spacing w:val="-8"/>
        </w:rPr>
        <w:t> </w:t>
      </w:r>
      <w:r>
        <w:rPr/>
        <w:t>Subject</w:t>
      </w:r>
      <w:r>
        <w:rPr>
          <w:spacing w:val="-3"/>
        </w:rPr>
        <w:t> </w:t>
      </w:r>
      <w:r>
        <w:rPr/>
        <w:t>to</w:t>
      </w:r>
      <w:r>
        <w:rPr>
          <w:spacing w:val="-3"/>
        </w:rPr>
        <w:t> </w:t>
      </w:r>
      <w:r>
        <w:rPr/>
        <w:t>the</w:t>
      </w:r>
      <w:r>
        <w:rPr>
          <w:spacing w:val="-3"/>
        </w:rPr>
        <w:t> </w:t>
      </w:r>
      <w:r>
        <w:rPr/>
        <w:t>special</w:t>
      </w:r>
      <w:r>
        <w:rPr>
          <w:spacing w:val="-3"/>
        </w:rPr>
        <w:t> </w:t>
      </w:r>
      <w:r>
        <w:rPr/>
        <w:t>permission</w:t>
      </w:r>
      <w:r>
        <w:rPr>
          <w:spacing w:val="-3"/>
        </w:rPr>
        <w:t> </w:t>
      </w:r>
      <w:r>
        <w:rPr/>
        <w:t>of</w:t>
      </w:r>
      <w:r>
        <w:rPr>
          <w:spacing w:val="-3"/>
        </w:rPr>
        <w:t> </w:t>
      </w:r>
      <w:r>
        <w:rPr/>
        <w:t>the</w:t>
      </w:r>
      <w:r>
        <w:rPr>
          <w:spacing w:val="-3"/>
        </w:rPr>
        <w:t> </w:t>
      </w:r>
      <w:r>
        <w:rPr/>
        <w:t>Commissioner</w:t>
      </w:r>
      <w:r>
        <w:rPr>
          <w:spacing w:val="-3"/>
        </w:rPr>
        <w:t> </w:t>
      </w:r>
      <w:r>
        <w:rPr/>
        <w:t>greater</w:t>
      </w:r>
      <w:r>
        <w:rPr>
          <w:spacing w:val="-3"/>
        </w:rPr>
        <w:t> </w:t>
      </w:r>
      <w:r>
        <w:rPr/>
        <w:t>height</w:t>
      </w:r>
      <w:r>
        <w:rPr>
          <w:spacing w:val="-3"/>
        </w:rPr>
        <w:t> </w:t>
      </w:r>
      <w:r>
        <w:rPr/>
        <w:t>may be permitted.</w:t>
      </w:r>
    </w:p>
    <w:p>
      <w:pPr>
        <w:pStyle w:val="BodyText"/>
        <w:spacing w:after="0"/>
        <w:jc w:val="left"/>
        <w:sectPr>
          <w:pgSz w:w="11910" w:h="16840"/>
          <w:pgMar w:header="1058" w:footer="1201" w:top="1500" w:bottom="1400" w:left="360" w:right="360"/>
        </w:sectPr>
      </w:pPr>
    </w:p>
    <w:p>
      <w:pPr>
        <w:pStyle w:val="BodyText"/>
        <w:spacing w:before="255"/>
        <w:ind w:left="1313" w:right="770"/>
      </w:pPr>
      <w:r>
        <w:rPr/>
        <w:t>Provided that- (i) the minimum clear head-way under any beam/tie beam of pitched roof shall be 2.4 m.</w:t>
      </w:r>
    </w:p>
    <w:p>
      <w:pPr>
        <w:pStyle w:val="ListParagraph"/>
        <w:numPr>
          <w:ilvl w:val="0"/>
          <w:numId w:val="250"/>
        </w:numPr>
        <w:tabs>
          <w:tab w:pos="1693" w:val="left" w:leader="none"/>
        </w:tabs>
        <w:spacing w:line="240" w:lineRule="auto" w:before="0" w:after="0"/>
        <w:ind w:left="1313" w:right="771" w:firstLine="0"/>
        <w:jc w:val="both"/>
        <w:rPr>
          <w:sz w:val="24"/>
        </w:rPr>
      </w:pPr>
      <w:r>
        <w:rPr>
          <w:sz w:val="24"/>
        </w:rPr>
        <w:t>In all occupancies except those included in Sr. No. 1(d) &amp; (e) in the table above, any height in excess of </w:t>
      </w:r>
      <w:r>
        <w:rPr>
          <w:color w:val="000000"/>
          <w:sz w:val="24"/>
          <w:shd w:fill="FFCCFF" w:color="auto" w:val="clear"/>
        </w:rPr>
        <w:t>4.2 </w:t>
      </w:r>
      <w:r>
        <w:rPr>
          <w:color w:val="000000"/>
          <w:sz w:val="24"/>
        </w:rPr>
        <w:t>m shall be deemed to have consumed an additional F.S.I. of 50% of the relevant floor area.</w:t>
      </w:r>
    </w:p>
    <w:p>
      <w:pPr>
        <w:pStyle w:val="ListParagraph"/>
        <w:numPr>
          <w:ilvl w:val="0"/>
          <w:numId w:val="250"/>
        </w:numPr>
        <w:tabs>
          <w:tab w:pos="1804" w:val="left" w:leader="none"/>
        </w:tabs>
        <w:spacing w:line="240" w:lineRule="auto" w:before="0" w:after="0"/>
        <w:ind w:left="1313" w:right="771" w:firstLine="0"/>
        <w:jc w:val="left"/>
        <w:rPr>
          <w:sz w:val="24"/>
        </w:rPr>
      </w:pPr>
      <w:r>
        <w:rPr>
          <w:sz w:val="24"/>
        </w:rPr>
        <w:t>Other</w:t>
      </w:r>
      <w:r>
        <w:rPr>
          <w:spacing w:val="40"/>
          <w:sz w:val="24"/>
        </w:rPr>
        <w:t> </w:t>
      </w:r>
      <w:r>
        <w:rPr>
          <w:sz w:val="24"/>
        </w:rPr>
        <w:t>requirements-</w:t>
      </w:r>
      <w:r>
        <w:rPr>
          <w:spacing w:val="40"/>
          <w:sz w:val="24"/>
        </w:rPr>
        <w:t> </w:t>
      </w:r>
      <w:r>
        <w:rPr>
          <w:sz w:val="24"/>
        </w:rPr>
        <w:t>One</w:t>
      </w:r>
      <w:r>
        <w:rPr>
          <w:spacing w:val="40"/>
          <w:sz w:val="24"/>
        </w:rPr>
        <w:t> </w:t>
      </w:r>
      <w:r>
        <w:rPr>
          <w:sz w:val="24"/>
        </w:rPr>
        <w:t>full</w:t>
      </w:r>
      <w:r>
        <w:rPr>
          <w:spacing w:val="40"/>
          <w:sz w:val="24"/>
        </w:rPr>
        <w:t> </w:t>
      </w:r>
      <w:r>
        <w:rPr>
          <w:sz w:val="24"/>
        </w:rPr>
        <w:t>side</w:t>
      </w:r>
      <w:r>
        <w:rPr>
          <w:spacing w:val="40"/>
          <w:sz w:val="24"/>
        </w:rPr>
        <w:t> </w:t>
      </w:r>
      <w:r>
        <w:rPr>
          <w:sz w:val="24"/>
        </w:rPr>
        <w:t>of</w:t>
      </w:r>
      <w:r>
        <w:rPr>
          <w:spacing w:val="40"/>
          <w:sz w:val="24"/>
        </w:rPr>
        <w:t> </w:t>
      </w:r>
      <w:r>
        <w:rPr>
          <w:sz w:val="24"/>
        </w:rPr>
        <w:t>a</w:t>
      </w:r>
      <w:r>
        <w:rPr>
          <w:spacing w:val="40"/>
          <w:sz w:val="24"/>
        </w:rPr>
        <w:t> </w:t>
      </w:r>
      <w:r>
        <w:rPr>
          <w:sz w:val="24"/>
        </w:rPr>
        <w:t>habitable</w:t>
      </w:r>
      <w:r>
        <w:rPr>
          <w:spacing w:val="40"/>
          <w:sz w:val="24"/>
        </w:rPr>
        <w:t> </w:t>
      </w:r>
      <w:r>
        <w:rPr>
          <w:sz w:val="24"/>
        </w:rPr>
        <w:t>room</w:t>
      </w:r>
      <w:r>
        <w:rPr>
          <w:spacing w:val="40"/>
          <w:sz w:val="24"/>
        </w:rPr>
        <w:t> </w:t>
      </w:r>
      <w:r>
        <w:rPr>
          <w:sz w:val="24"/>
        </w:rPr>
        <w:t>must</w:t>
      </w:r>
      <w:r>
        <w:rPr>
          <w:spacing w:val="40"/>
          <w:sz w:val="24"/>
        </w:rPr>
        <w:t> </w:t>
      </w:r>
      <w:r>
        <w:rPr>
          <w:sz w:val="24"/>
        </w:rPr>
        <w:t>abut</w:t>
      </w:r>
      <w:r>
        <w:rPr>
          <w:spacing w:val="40"/>
          <w:sz w:val="24"/>
        </w:rPr>
        <w:t> </w:t>
      </w:r>
      <w:r>
        <w:rPr>
          <w:sz w:val="24"/>
        </w:rPr>
        <w:t>an exterior open space same as provided in sub-regulation(2) of Regulation 41. (iv)Other Requirements of Kitchen- Every room to be used as a kitchen shall </w:t>
      </w:r>
      <w:r>
        <w:rPr>
          <w:spacing w:val="-2"/>
          <w:sz w:val="24"/>
        </w:rPr>
        <w:t>have-</w:t>
      </w:r>
    </w:p>
    <w:p>
      <w:pPr>
        <w:pStyle w:val="ListParagraph"/>
        <w:numPr>
          <w:ilvl w:val="1"/>
          <w:numId w:val="250"/>
        </w:numPr>
        <w:tabs>
          <w:tab w:pos="2197" w:val="left" w:leader="none"/>
        </w:tabs>
        <w:spacing w:line="240" w:lineRule="auto" w:before="241" w:after="0"/>
        <w:ind w:left="1493" w:right="773" w:firstLine="0"/>
        <w:jc w:val="both"/>
        <w:rPr>
          <w:sz w:val="24"/>
        </w:rPr>
      </w:pPr>
      <w:r>
        <w:rPr>
          <w:sz w:val="24"/>
        </w:rPr>
        <w:t>unless separately provided in a pantry, means for the washing of kitchen utensils which shall lead directly or through a sink to a grated and trapped connection to the waste pipe;</w:t>
      </w:r>
    </w:p>
    <w:p>
      <w:pPr>
        <w:pStyle w:val="ListParagraph"/>
        <w:numPr>
          <w:ilvl w:val="1"/>
          <w:numId w:val="250"/>
        </w:numPr>
        <w:tabs>
          <w:tab w:pos="2197" w:val="left" w:leader="none"/>
        </w:tabs>
        <w:spacing w:line="281" w:lineRule="exact" w:before="0" w:after="0"/>
        <w:ind w:left="2197" w:right="0" w:hanging="704"/>
        <w:jc w:val="both"/>
        <w:rPr>
          <w:sz w:val="24"/>
        </w:rPr>
      </w:pPr>
      <w:r>
        <w:rPr>
          <w:sz w:val="24"/>
        </w:rPr>
        <w:t>on</w:t>
      </w:r>
      <w:r>
        <w:rPr>
          <w:spacing w:val="-1"/>
          <w:sz w:val="24"/>
        </w:rPr>
        <w:t> </w:t>
      </w:r>
      <w:r>
        <w:rPr>
          <w:sz w:val="24"/>
        </w:rPr>
        <w:t>an upper</w:t>
      </w:r>
      <w:r>
        <w:rPr>
          <w:spacing w:val="-1"/>
          <w:sz w:val="24"/>
        </w:rPr>
        <w:t> </w:t>
      </w:r>
      <w:r>
        <w:rPr>
          <w:sz w:val="24"/>
        </w:rPr>
        <w:t>floor, an</w:t>
      </w:r>
      <w:r>
        <w:rPr>
          <w:spacing w:val="-1"/>
          <w:sz w:val="24"/>
        </w:rPr>
        <w:t> </w:t>
      </w:r>
      <w:r>
        <w:rPr>
          <w:sz w:val="24"/>
        </w:rPr>
        <w:t>impermeable </w:t>
      </w:r>
      <w:r>
        <w:rPr>
          <w:spacing w:val="-2"/>
          <w:sz w:val="24"/>
        </w:rPr>
        <w:t>floor;</w:t>
      </w:r>
    </w:p>
    <w:p>
      <w:pPr>
        <w:pStyle w:val="ListParagraph"/>
        <w:numPr>
          <w:ilvl w:val="1"/>
          <w:numId w:val="250"/>
        </w:numPr>
        <w:tabs>
          <w:tab w:pos="2198" w:val="left" w:leader="none"/>
        </w:tabs>
        <w:spacing w:line="240" w:lineRule="auto" w:before="0" w:after="0"/>
        <w:ind w:left="1493" w:right="770" w:firstLine="0"/>
        <w:jc w:val="both"/>
        <w:rPr>
          <w:sz w:val="24"/>
        </w:rPr>
      </w:pPr>
      <w:r>
        <w:rPr>
          <w:sz w:val="24"/>
        </w:rPr>
        <w:t>at least a window not less than 1 sq.m in area, opening directly on to an interior or exterior open space.</w:t>
      </w:r>
    </w:p>
    <w:p>
      <w:pPr>
        <w:pStyle w:val="Heading6"/>
        <w:numPr>
          <w:ilvl w:val="0"/>
          <w:numId w:val="246"/>
        </w:numPr>
        <w:tabs>
          <w:tab w:pos="1723" w:val="left" w:leader="none"/>
        </w:tabs>
        <w:spacing w:line="240" w:lineRule="auto" w:before="281" w:after="0"/>
        <w:ind w:left="1723" w:right="0" w:hanging="410"/>
        <w:jc w:val="both"/>
        <w:rPr>
          <w:b w:val="0"/>
          <w:i w:val="0"/>
        </w:rPr>
      </w:pPr>
      <w:r>
        <w:rPr/>
        <w:t>Bathroom</w:t>
      </w:r>
      <w:r>
        <w:rPr>
          <w:spacing w:val="60"/>
        </w:rPr>
        <w:t> </w:t>
      </w:r>
      <w:r>
        <w:rPr/>
        <w:t>and</w:t>
      </w:r>
      <w:r>
        <w:rPr>
          <w:spacing w:val="62"/>
        </w:rPr>
        <w:t> </w:t>
      </w:r>
      <w:r>
        <w:rPr/>
        <w:t>water</w:t>
      </w:r>
      <w:r>
        <w:rPr>
          <w:spacing w:val="58"/>
        </w:rPr>
        <w:t> </w:t>
      </w:r>
      <w:r>
        <w:rPr>
          <w:spacing w:val="-2"/>
        </w:rPr>
        <w:t>closets:</w:t>
      </w:r>
    </w:p>
    <w:p>
      <w:pPr>
        <w:pStyle w:val="ListParagraph"/>
        <w:numPr>
          <w:ilvl w:val="1"/>
          <w:numId w:val="246"/>
        </w:numPr>
        <w:tabs>
          <w:tab w:pos="1493" w:val="left" w:leader="none"/>
          <w:tab w:pos="1737" w:val="left" w:leader="none"/>
        </w:tabs>
        <w:spacing w:line="240" w:lineRule="auto" w:before="2" w:after="0"/>
        <w:ind w:left="1493" w:right="779" w:hanging="94"/>
        <w:jc w:val="both"/>
        <w:rPr>
          <w:i/>
          <w:sz w:val="24"/>
        </w:rPr>
      </w:pPr>
      <w:r>
        <w:rPr>
          <w:sz w:val="24"/>
        </w:rPr>
        <w:t>A</w:t>
      </w:r>
      <w:r>
        <w:rPr>
          <w:spacing w:val="40"/>
          <w:sz w:val="24"/>
        </w:rPr>
        <w:t> </w:t>
      </w:r>
      <w:r>
        <w:rPr>
          <w:sz w:val="24"/>
        </w:rPr>
        <w:t>sanitary</w:t>
      </w:r>
      <w:r>
        <w:rPr>
          <w:spacing w:val="40"/>
          <w:sz w:val="24"/>
        </w:rPr>
        <w:t> </w:t>
      </w:r>
      <w:r>
        <w:rPr>
          <w:sz w:val="24"/>
        </w:rPr>
        <w:t>block</w:t>
      </w:r>
      <w:r>
        <w:rPr>
          <w:spacing w:val="40"/>
          <w:sz w:val="24"/>
        </w:rPr>
        <w:t> </w:t>
      </w:r>
      <w:r>
        <w:rPr>
          <w:sz w:val="24"/>
        </w:rPr>
        <w:t>consisting</w:t>
      </w:r>
      <w:r>
        <w:rPr>
          <w:spacing w:val="40"/>
          <w:sz w:val="24"/>
        </w:rPr>
        <w:t> </w:t>
      </w:r>
      <w:r>
        <w:rPr>
          <w:sz w:val="24"/>
        </w:rPr>
        <w:t>of</w:t>
      </w:r>
      <w:r>
        <w:rPr>
          <w:spacing w:val="40"/>
          <w:sz w:val="24"/>
        </w:rPr>
        <w:t> </w:t>
      </w:r>
      <w:r>
        <w:rPr>
          <w:sz w:val="24"/>
        </w:rPr>
        <w:t>a</w:t>
      </w:r>
      <w:r>
        <w:rPr>
          <w:spacing w:val="40"/>
          <w:sz w:val="24"/>
        </w:rPr>
        <w:t> </w:t>
      </w:r>
      <w:r>
        <w:rPr>
          <w:sz w:val="24"/>
        </w:rPr>
        <w:t>bathroom</w:t>
      </w:r>
      <w:r>
        <w:rPr>
          <w:spacing w:val="40"/>
          <w:sz w:val="24"/>
        </w:rPr>
        <w:t> </w:t>
      </w:r>
      <w:r>
        <w:rPr>
          <w:sz w:val="24"/>
        </w:rPr>
        <w:t>and</w:t>
      </w:r>
      <w:r>
        <w:rPr>
          <w:spacing w:val="40"/>
          <w:sz w:val="24"/>
        </w:rPr>
        <w:t> </w:t>
      </w:r>
      <w:r>
        <w:rPr>
          <w:sz w:val="24"/>
        </w:rPr>
        <w:t>water</w:t>
      </w:r>
      <w:r>
        <w:rPr>
          <w:spacing w:val="40"/>
          <w:sz w:val="24"/>
        </w:rPr>
        <w:t> </w:t>
      </w:r>
      <w:r>
        <w:rPr>
          <w:sz w:val="24"/>
        </w:rPr>
        <w:t>closet</w:t>
      </w:r>
      <w:r>
        <w:rPr>
          <w:spacing w:val="40"/>
          <w:sz w:val="24"/>
        </w:rPr>
        <w:t> </w:t>
      </w:r>
      <w:r>
        <w:rPr>
          <w:sz w:val="24"/>
        </w:rPr>
        <w:t>for</w:t>
      </w:r>
      <w:r>
        <w:rPr>
          <w:spacing w:val="40"/>
          <w:sz w:val="24"/>
        </w:rPr>
        <w:t> </w:t>
      </w:r>
      <w:r>
        <w:rPr>
          <w:sz w:val="24"/>
        </w:rPr>
        <w:t>each wing of each floor at each </w:t>
      </w:r>
      <w:r>
        <w:rPr>
          <w:spacing w:val="9"/>
          <w:sz w:val="24"/>
        </w:rPr>
        <w:t>mid-</w:t>
      </w:r>
      <w:r>
        <w:rPr>
          <w:sz w:val="24"/>
        </w:rPr>
        <w:t>landing staircase</w:t>
      </w:r>
      <w:r>
        <w:rPr>
          <w:spacing w:val="40"/>
          <w:sz w:val="24"/>
        </w:rPr>
        <w:t> </w:t>
      </w:r>
      <w:r>
        <w:rPr>
          <w:sz w:val="24"/>
        </w:rPr>
        <w:t>level/</w:t>
      </w:r>
      <w:r>
        <w:rPr>
          <w:color w:val="000000"/>
          <w:sz w:val="24"/>
          <w:shd w:fill="FFCCFF" w:color="auto" w:val="clear"/>
        </w:rPr>
        <w:t>stilt/podium/parking </w:t>
      </w:r>
      <w:r>
        <w:rPr>
          <w:color w:val="000000"/>
          <w:spacing w:val="9"/>
          <w:sz w:val="24"/>
          <w:shd w:fill="FFCCFF" w:color="auto" w:val="clear"/>
        </w:rPr>
        <w:t>floor</w:t>
      </w:r>
      <w:r>
        <w:rPr>
          <w:color w:val="000000"/>
          <w:spacing w:val="9"/>
          <w:sz w:val="24"/>
        </w:rPr>
        <w:t>of </w:t>
      </w:r>
      <w:r>
        <w:rPr>
          <w:color w:val="000000"/>
          <w:sz w:val="24"/>
        </w:rPr>
        <w:t>the building for the use of domestic servants engaged on the premises may be permitted by the</w:t>
      </w:r>
      <w:r>
        <w:rPr>
          <w:color w:val="000000"/>
          <w:spacing w:val="40"/>
          <w:sz w:val="24"/>
        </w:rPr>
        <w:t> </w:t>
      </w:r>
      <w:r>
        <w:rPr>
          <w:color w:val="000000"/>
          <w:sz w:val="24"/>
        </w:rPr>
        <w:t>Commissioner(ii)</w:t>
      </w:r>
      <w:r>
        <w:rPr>
          <w:color w:val="000000"/>
          <w:spacing w:val="80"/>
          <w:sz w:val="24"/>
        </w:rPr>
        <w:t> </w:t>
      </w:r>
      <w:r>
        <w:rPr>
          <w:i/>
          <w:color w:val="000000"/>
          <w:sz w:val="24"/>
        </w:rPr>
        <w:t>Other</w:t>
      </w:r>
      <w:r>
        <w:rPr>
          <w:i/>
          <w:color w:val="000000"/>
          <w:spacing w:val="80"/>
          <w:sz w:val="24"/>
        </w:rPr>
        <w:t> </w:t>
      </w:r>
      <w:r>
        <w:rPr>
          <w:i/>
          <w:color w:val="000000"/>
          <w:sz w:val="24"/>
        </w:rPr>
        <w:t>Requirements</w:t>
      </w:r>
      <w:r>
        <w:rPr>
          <w:i/>
          <w:color w:val="000000"/>
          <w:spacing w:val="80"/>
          <w:sz w:val="24"/>
        </w:rPr>
        <w:t> </w:t>
      </w:r>
      <w:r>
        <w:rPr>
          <w:i/>
          <w:color w:val="000000"/>
          <w:sz w:val="24"/>
        </w:rPr>
        <w:t>Bathroom</w:t>
      </w:r>
      <w:r>
        <w:rPr>
          <w:i/>
          <w:color w:val="000000"/>
          <w:spacing w:val="80"/>
          <w:sz w:val="24"/>
        </w:rPr>
        <w:t> </w:t>
      </w:r>
      <w:r>
        <w:rPr>
          <w:i/>
          <w:color w:val="000000"/>
          <w:sz w:val="24"/>
        </w:rPr>
        <w:t>or</w:t>
      </w:r>
      <w:r>
        <w:rPr>
          <w:i/>
          <w:color w:val="000000"/>
          <w:spacing w:val="80"/>
          <w:sz w:val="24"/>
        </w:rPr>
        <w:t> </w:t>
      </w:r>
      <w:r>
        <w:rPr>
          <w:i/>
          <w:color w:val="000000"/>
          <w:sz w:val="24"/>
        </w:rPr>
        <w:t>Water</w:t>
      </w:r>
      <w:r>
        <w:rPr>
          <w:i/>
          <w:color w:val="000000"/>
          <w:spacing w:val="80"/>
          <w:sz w:val="24"/>
        </w:rPr>
        <w:t> </w:t>
      </w:r>
      <w:r>
        <w:rPr>
          <w:i/>
          <w:color w:val="000000"/>
          <w:sz w:val="24"/>
        </w:rPr>
        <w:t>Closet</w:t>
      </w:r>
    </w:p>
    <w:p>
      <w:pPr>
        <w:pStyle w:val="ListParagraph"/>
        <w:numPr>
          <w:ilvl w:val="0"/>
          <w:numId w:val="251"/>
        </w:numPr>
        <w:tabs>
          <w:tab w:pos="1493" w:val="left" w:leader="none"/>
          <w:tab w:pos="1709" w:val="left" w:leader="none"/>
        </w:tabs>
        <w:spacing w:line="240" w:lineRule="auto" w:before="0" w:after="0"/>
        <w:ind w:left="1493" w:right="776" w:hanging="180"/>
        <w:jc w:val="both"/>
        <w:rPr>
          <w:sz w:val="24"/>
        </w:rPr>
      </w:pPr>
      <w:r>
        <w:rPr>
          <w:sz w:val="24"/>
        </w:rPr>
        <w:t>Every</w:t>
      </w:r>
      <w:r>
        <w:rPr>
          <w:spacing w:val="40"/>
          <w:sz w:val="24"/>
        </w:rPr>
        <w:t> </w:t>
      </w:r>
      <w:r>
        <w:rPr>
          <w:sz w:val="24"/>
        </w:rPr>
        <w:t>bathroom</w:t>
      </w:r>
      <w:r>
        <w:rPr>
          <w:spacing w:val="40"/>
          <w:sz w:val="24"/>
        </w:rPr>
        <w:t> </w:t>
      </w:r>
      <w:r>
        <w:rPr>
          <w:sz w:val="24"/>
        </w:rPr>
        <w:t>or</w:t>
      </w:r>
      <w:r>
        <w:rPr>
          <w:spacing w:val="40"/>
          <w:sz w:val="24"/>
        </w:rPr>
        <w:t> </w:t>
      </w:r>
      <w:r>
        <w:rPr>
          <w:sz w:val="24"/>
        </w:rPr>
        <w:t>water</w:t>
      </w:r>
      <w:r>
        <w:rPr>
          <w:spacing w:val="40"/>
          <w:sz w:val="24"/>
        </w:rPr>
        <w:t> </w:t>
      </w:r>
      <w:r>
        <w:rPr>
          <w:sz w:val="24"/>
        </w:rPr>
        <w:t>closet</w:t>
      </w:r>
      <w:r>
        <w:rPr>
          <w:spacing w:val="40"/>
          <w:sz w:val="24"/>
        </w:rPr>
        <w:t> </w:t>
      </w:r>
      <w:r>
        <w:rPr>
          <w:sz w:val="24"/>
        </w:rPr>
        <w:t>shall</w:t>
      </w:r>
      <w:r>
        <w:rPr>
          <w:spacing w:val="40"/>
          <w:sz w:val="24"/>
        </w:rPr>
        <w:t> </w:t>
      </w:r>
      <w:r>
        <w:rPr>
          <w:sz w:val="24"/>
        </w:rPr>
        <w:t>be</w:t>
      </w:r>
      <w:r>
        <w:rPr>
          <w:spacing w:val="40"/>
          <w:sz w:val="24"/>
        </w:rPr>
        <w:t> </w:t>
      </w:r>
      <w:r>
        <w:rPr>
          <w:sz w:val="24"/>
        </w:rPr>
        <w:t>so</w:t>
      </w:r>
      <w:r>
        <w:rPr>
          <w:spacing w:val="40"/>
          <w:sz w:val="24"/>
        </w:rPr>
        <w:t> </w:t>
      </w:r>
      <w:r>
        <w:rPr>
          <w:sz w:val="24"/>
        </w:rPr>
        <w:t>situated</w:t>
      </w:r>
      <w:r>
        <w:rPr>
          <w:spacing w:val="40"/>
          <w:sz w:val="24"/>
        </w:rPr>
        <w:t> </w:t>
      </w:r>
      <w:r>
        <w:rPr>
          <w:sz w:val="24"/>
        </w:rPr>
        <w:t>that</w:t>
      </w:r>
      <w:r>
        <w:rPr>
          <w:spacing w:val="40"/>
          <w:sz w:val="24"/>
        </w:rPr>
        <w:t> </w:t>
      </w:r>
      <w:r>
        <w:rPr>
          <w:sz w:val="24"/>
        </w:rPr>
        <w:t>at</w:t>
      </w:r>
      <w:r>
        <w:rPr>
          <w:spacing w:val="40"/>
          <w:sz w:val="24"/>
        </w:rPr>
        <w:t> </w:t>
      </w:r>
      <w:r>
        <w:rPr>
          <w:sz w:val="24"/>
        </w:rPr>
        <w:t>least</w:t>
      </w:r>
      <w:r>
        <w:rPr>
          <w:spacing w:val="40"/>
          <w:sz w:val="24"/>
        </w:rPr>
        <w:t> </w:t>
      </w:r>
      <w:r>
        <w:rPr>
          <w:sz w:val="24"/>
        </w:rPr>
        <w:t>one of</w:t>
      </w:r>
      <w:r>
        <w:rPr>
          <w:spacing w:val="40"/>
          <w:sz w:val="24"/>
        </w:rPr>
        <w:t> </w:t>
      </w:r>
      <w:r>
        <w:rPr>
          <w:sz w:val="24"/>
        </w:rPr>
        <w:t>its</w:t>
      </w:r>
      <w:r>
        <w:rPr>
          <w:spacing w:val="40"/>
          <w:sz w:val="24"/>
        </w:rPr>
        <w:t> </w:t>
      </w:r>
      <w:r>
        <w:rPr>
          <w:sz w:val="24"/>
        </w:rPr>
        <w:t>walls</w:t>
      </w:r>
      <w:r>
        <w:rPr>
          <w:spacing w:val="40"/>
          <w:sz w:val="24"/>
        </w:rPr>
        <w:t> </w:t>
      </w:r>
      <w:r>
        <w:rPr>
          <w:sz w:val="24"/>
        </w:rPr>
        <w:t>shall</w:t>
      </w:r>
      <w:r>
        <w:rPr>
          <w:spacing w:val="40"/>
          <w:sz w:val="24"/>
        </w:rPr>
        <w:t> </w:t>
      </w:r>
      <w:r>
        <w:rPr>
          <w:sz w:val="24"/>
        </w:rPr>
        <w:t>abut</w:t>
      </w:r>
      <w:r>
        <w:rPr>
          <w:spacing w:val="40"/>
          <w:sz w:val="24"/>
        </w:rPr>
        <w:t> </w:t>
      </w:r>
      <w:r>
        <w:rPr>
          <w:sz w:val="24"/>
        </w:rPr>
        <w:t>on</w:t>
      </w:r>
      <w:r>
        <w:rPr>
          <w:spacing w:val="40"/>
          <w:sz w:val="24"/>
        </w:rPr>
        <w:t> </w:t>
      </w:r>
      <w:r>
        <w:rPr>
          <w:sz w:val="24"/>
        </w:rPr>
        <w:t>to</w:t>
      </w:r>
      <w:r>
        <w:rPr>
          <w:spacing w:val="40"/>
          <w:sz w:val="24"/>
        </w:rPr>
        <w:t> </w:t>
      </w:r>
      <w:r>
        <w:rPr>
          <w:sz w:val="24"/>
        </w:rPr>
        <w:t>an</w:t>
      </w:r>
      <w:r>
        <w:rPr>
          <w:spacing w:val="40"/>
          <w:sz w:val="24"/>
        </w:rPr>
        <w:t> </w:t>
      </w:r>
      <w:r>
        <w:rPr>
          <w:sz w:val="24"/>
        </w:rPr>
        <w:t>exterior</w:t>
      </w:r>
      <w:r>
        <w:rPr>
          <w:spacing w:val="40"/>
          <w:sz w:val="24"/>
        </w:rPr>
        <w:t> </w:t>
      </w:r>
      <w:r>
        <w:rPr>
          <w:sz w:val="24"/>
        </w:rPr>
        <w:t>open</w:t>
      </w:r>
      <w:r>
        <w:rPr>
          <w:spacing w:val="40"/>
          <w:sz w:val="24"/>
        </w:rPr>
        <w:t> </w:t>
      </w:r>
      <w:r>
        <w:rPr>
          <w:sz w:val="24"/>
        </w:rPr>
        <w:t>space</w:t>
      </w:r>
      <w:r>
        <w:rPr>
          <w:spacing w:val="40"/>
          <w:sz w:val="24"/>
        </w:rPr>
        <w:t> </w:t>
      </w:r>
      <w:r>
        <w:rPr>
          <w:sz w:val="24"/>
        </w:rPr>
        <w:t>or</w:t>
      </w:r>
      <w:r>
        <w:rPr>
          <w:spacing w:val="40"/>
          <w:sz w:val="24"/>
        </w:rPr>
        <w:t> </w:t>
      </w:r>
      <w:r>
        <w:rPr>
          <w:sz w:val="24"/>
        </w:rPr>
        <w:t>an interior/exterior</w:t>
      </w:r>
      <w:r>
        <w:rPr>
          <w:spacing w:val="80"/>
          <w:sz w:val="24"/>
        </w:rPr>
        <w:t> </w:t>
      </w:r>
      <w:r>
        <w:rPr>
          <w:sz w:val="24"/>
        </w:rPr>
        <w:t>chowkor</w:t>
      </w:r>
      <w:r>
        <w:rPr>
          <w:spacing w:val="80"/>
          <w:sz w:val="24"/>
        </w:rPr>
        <w:t> </w:t>
      </w:r>
      <w:r>
        <w:rPr>
          <w:sz w:val="24"/>
        </w:rPr>
        <w:t>ventilation</w:t>
      </w:r>
      <w:r>
        <w:rPr>
          <w:spacing w:val="80"/>
          <w:sz w:val="24"/>
        </w:rPr>
        <w:t> </w:t>
      </w:r>
      <w:r>
        <w:rPr>
          <w:sz w:val="24"/>
        </w:rPr>
        <w:t>shaft</w:t>
      </w:r>
      <w:r>
        <w:rPr>
          <w:spacing w:val="80"/>
          <w:sz w:val="24"/>
        </w:rPr>
        <w:t> </w:t>
      </w:r>
      <w:r>
        <w:rPr>
          <w:sz w:val="24"/>
        </w:rPr>
        <w:t>of</w:t>
      </w:r>
      <w:r>
        <w:rPr>
          <w:spacing w:val="80"/>
          <w:sz w:val="24"/>
        </w:rPr>
        <w:t> </w:t>
      </w:r>
      <w:r>
        <w:rPr>
          <w:sz w:val="24"/>
        </w:rPr>
        <w:t>the</w:t>
      </w:r>
      <w:r>
        <w:rPr>
          <w:spacing w:val="80"/>
          <w:sz w:val="24"/>
        </w:rPr>
        <w:t> </w:t>
      </w:r>
      <w:r>
        <w:rPr>
          <w:sz w:val="24"/>
        </w:rPr>
        <w:t>size</w:t>
      </w:r>
      <w:r>
        <w:rPr>
          <w:spacing w:val="80"/>
          <w:sz w:val="24"/>
        </w:rPr>
        <w:t> </w:t>
      </w:r>
      <w:r>
        <w:rPr>
          <w:sz w:val="24"/>
        </w:rPr>
        <w:t>specified</w:t>
      </w:r>
      <w:r>
        <w:rPr>
          <w:spacing w:val="80"/>
          <w:sz w:val="24"/>
        </w:rPr>
        <w:t> </w:t>
      </w:r>
      <w:r>
        <w:rPr>
          <w:sz w:val="24"/>
        </w:rPr>
        <w:t>in clause</w:t>
      </w:r>
      <w:r>
        <w:rPr>
          <w:spacing w:val="68"/>
          <w:sz w:val="24"/>
        </w:rPr>
        <w:t> </w:t>
      </w:r>
      <w:r>
        <w:rPr>
          <w:sz w:val="24"/>
        </w:rPr>
        <w:t>(a)</w:t>
      </w:r>
      <w:r>
        <w:rPr>
          <w:spacing w:val="68"/>
          <w:sz w:val="24"/>
        </w:rPr>
        <w:t> </w:t>
      </w:r>
      <w:r>
        <w:rPr>
          <w:sz w:val="24"/>
        </w:rPr>
        <w:t>of</w:t>
      </w:r>
      <w:r>
        <w:rPr>
          <w:spacing w:val="68"/>
          <w:sz w:val="24"/>
        </w:rPr>
        <w:t> </w:t>
      </w:r>
      <w:r>
        <w:rPr>
          <w:spacing w:val="10"/>
          <w:sz w:val="24"/>
        </w:rPr>
        <w:t>sub-</w:t>
      </w:r>
      <w:r>
        <w:rPr>
          <w:sz w:val="24"/>
        </w:rPr>
        <w:t>regulation</w:t>
      </w:r>
      <w:r>
        <w:rPr>
          <w:spacing w:val="68"/>
          <w:sz w:val="24"/>
        </w:rPr>
        <w:t> </w:t>
      </w:r>
      <w:r>
        <w:rPr>
          <w:sz w:val="24"/>
        </w:rPr>
        <w:t>(8)</w:t>
      </w:r>
      <w:r>
        <w:rPr>
          <w:spacing w:val="68"/>
          <w:sz w:val="24"/>
        </w:rPr>
        <w:t> </w:t>
      </w:r>
      <w:r>
        <w:rPr>
          <w:sz w:val="24"/>
        </w:rPr>
        <w:t>of</w:t>
      </w:r>
      <w:r>
        <w:rPr>
          <w:spacing w:val="68"/>
          <w:sz w:val="24"/>
        </w:rPr>
        <w:t> </w:t>
      </w:r>
      <w:r>
        <w:rPr>
          <w:sz w:val="24"/>
        </w:rPr>
        <w:t>Regulation</w:t>
      </w:r>
      <w:r>
        <w:rPr>
          <w:spacing w:val="74"/>
          <w:sz w:val="24"/>
        </w:rPr>
        <w:t> </w:t>
      </w:r>
      <w:r>
        <w:rPr>
          <w:sz w:val="24"/>
        </w:rPr>
        <w:t>41</w:t>
      </w:r>
      <w:r>
        <w:rPr>
          <w:spacing w:val="70"/>
          <w:sz w:val="24"/>
        </w:rPr>
        <w:t> </w:t>
      </w:r>
      <w:r>
        <w:rPr>
          <w:sz w:val="24"/>
        </w:rPr>
        <w:t>or</w:t>
      </w:r>
      <w:r>
        <w:rPr>
          <w:spacing w:val="68"/>
          <w:sz w:val="24"/>
        </w:rPr>
        <w:t> </w:t>
      </w:r>
      <w:r>
        <w:rPr>
          <w:sz w:val="24"/>
        </w:rPr>
        <w:t>a</w:t>
      </w:r>
      <w:r>
        <w:rPr>
          <w:spacing w:val="68"/>
          <w:sz w:val="24"/>
        </w:rPr>
        <w:t> </w:t>
      </w:r>
      <w:r>
        <w:rPr>
          <w:sz w:val="24"/>
        </w:rPr>
        <w:t>ventilation</w:t>
      </w:r>
      <w:r>
        <w:rPr>
          <w:spacing w:val="68"/>
          <w:sz w:val="24"/>
        </w:rPr>
        <w:t> </w:t>
      </w:r>
      <w:r>
        <w:rPr>
          <w:sz w:val="24"/>
        </w:rPr>
        <w:t>shaft of the size specified in </w:t>
      </w:r>
      <w:r>
        <w:rPr>
          <w:spacing w:val="11"/>
          <w:sz w:val="24"/>
        </w:rPr>
        <w:t>sub-</w:t>
      </w:r>
      <w:r>
        <w:rPr>
          <w:sz w:val="24"/>
        </w:rPr>
        <w:t>regulation (2) of Regulation 40 with the</w:t>
      </w:r>
      <w:r>
        <w:rPr>
          <w:spacing w:val="40"/>
          <w:sz w:val="24"/>
        </w:rPr>
        <w:t> </w:t>
      </w:r>
      <w:r>
        <w:rPr>
          <w:sz w:val="24"/>
        </w:rPr>
        <w:t>openings</w:t>
      </w:r>
      <w:r>
        <w:rPr>
          <w:spacing w:val="40"/>
          <w:sz w:val="24"/>
        </w:rPr>
        <w:t> </w:t>
      </w:r>
      <w:r>
        <w:rPr>
          <w:sz w:val="24"/>
        </w:rPr>
        <w:t>(windows,</w:t>
      </w:r>
      <w:r>
        <w:rPr>
          <w:spacing w:val="40"/>
          <w:sz w:val="24"/>
        </w:rPr>
        <w:t> </w:t>
      </w:r>
      <w:r>
        <w:rPr>
          <w:sz w:val="24"/>
        </w:rPr>
        <w:t>ventilators,</w:t>
      </w:r>
      <w:r>
        <w:rPr>
          <w:spacing w:val="40"/>
          <w:sz w:val="24"/>
        </w:rPr>
        <w:t> </w:t>
      </w:r>
      <w:r>
        <w:rPr>
          <w:sz w:val="24"/>
        </w:rPr>
        <w:t>louvers)</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0.3</w:t>
      </w:r>
      <w:r>
        <w:rPr>
          <w:spacing w:val="40"/>
          <w:sz w:val="24"/>
        </w:rPr>
        <w:t> </w:t>
      </w:r>
      <w:r>
        <w:rPr>
          <w:sz w:val="24"/>
        </w:rPr>
        <w:t>sq.m</w:t>
      </w:r>
      <w:r>
        <w:rPr>
          <w:spacing w:val="40"/>
          <w:sz w:val="24"/>
        </w:rPr>
        <w:t> </w:t>
      </w:r>
      <w:r>
        <w:rPr>
          <w:sz w:val="24"/>
        </w:rPr>
        <w:t>in</w:t>
      </w:r>
      <w:r>
        <w:rPr>
          <w:spacing w:val="40"/>
          <w:sz w:val="24"/>
        </w:rPr>
        <w:t> </w:t>
      </w:r>
      <w:r>
        <w:rPr>
          <w:sz w:val="24"/>
        </w:rPr>
        <w:t>area or 0.3 m in </w:t>
      </w:r>
      <w:r>
        <w:rPr>
          <w:spacing w:val="9"/>
          <w:sz w:val="24"/>
        </w:rPr>
        <w:t>width.</w:t>
      </w:r>
    </w:p>
    <w:p>
      <w:pPr>
        <w:pStyle w:val="ListParagraph"/>
        <w:numPr>
          <w:ilvl w:val="0"/>
          <w:numId w:val="251"/>
        </w:numPr>
        <w:tabs>
          <w:tab w:pos="1493" w:val="left" w:leader="none"/>
          <w:tab w:pos="1704" w:val="left" w:leader="none"/>
        </w:tabs>
        <w:spacing w:line="240" w:lineRule="auto" w:before="1" w:after="0"/>
        <w:ind w:left="1493" w:right="780" w:hanging="180"/>
        <w:jc w:val="both"/>
        <w:rPr>
          <w:sz w:val="24"/>
        </w:rPr>
      </w:pPr>
      <w:r>
        <w:rPr>
          <w:sz w:val="24"/>
        </w:rPr>
        <w:t>No bathrooms or water closet shall be situated directly over any room other</w:t>
      </w:r>
      <w:r>
        <w:rPr>
          <w:spacing w:val="40"/>
          <w:sz w:val="24"/>
        </w:rPr>
        <w:t> </w:t>
      </w:r>
      <w:r>
        <w:rPr>
          <w:sz w:val="24"/>
        </w:rPr>
        <w:t>than</w:t>
      </w:r>
      <w:r>
        <w:rPr>
          <w:spacing w:val="40"/>
          <w:sz w:val="24"/>
        </w:rPr>
        <w:t> </w:t>
      </w:r>
      <w:r>
        <w:rPr>
          <w:sz w:val="24"/>
        </w:rPr>
        <w:t>another</w:t>
      </w:r>
      <w:r>
        <w:rPr>
          <w:spacing w:val="40"/>
          <w:sz w:val="24"/>
        </w:rPr>
        <w:t> </w:t>
      </w:r>
      <w:r>
        <w:rPr>
          <w:sz w:val="24"/>
        </w:rPr>
        <w:t>water</w:t>
      </w:r>
      <w:r>
        <w:rPr>
          <w:spacing w:val="40"/>
          <w:sz w:val="24"/>
        </w:rPr>
        <w:t> </w:t>
      </w:r>
      <w:r>
        <w:rPr>
          <w:sz w:val="24"/>
        </w:rPr>
        <w:t>closet,</w:t>
      </w:r>
      <w:r>
        <w:rPr>
          <w:spacing w:val="40"/>
          <w:sz w:val="24"/>
        </w:rPr>
        <w:t> </w:t>
      </w:r>
      <w:r>
        <w:rPr>
          <w:sz w:val="24"/>
        </w:rPr>
        <w:t>washing</w:t>
      </w:r>
      <w:r>
        <w:rPr>
          <w:spacing w:val="40"/>
          <w:sz w:val="24"/>
        </w:rPr>
        <w:t> </w:t>
      </w:r>
      <w:r>
        <w:rPr>
          <w:sz w:val="24"/>
        </w:rPr>
        <w:t>place,</w:t>
      </w:r>
      <w:r>
        <w:rPr>
          <w:spacing w:val="40"/>
          <w:sz w:val="24"/>
        </w:rPr>
        <w:t> </w:t>
      </w:r>
      <w:r>
        <w:rPr>
          <w:sz w:val="24"/>
        </w:rPr>
        <w:t>bathroom</w:t>
      </w:r>
      <w:r>
        <w:rPr>
          <w:spacing w:val="40"/>
          <w:sz w:val="24"/>
        </w:rPr>
        <w:t> </w:t>
      </w:r>
      <w:r>
        <w:rPr>
          <w:sz w:val="24"/>
        </w:rPr>
        <w:t>or</w:t>
      </w:r>
      <w:r>
        <w:rPr>
          <w:spacing w:val="40"/>
          <w:sz w:val="24"/>
        </w:rPr>
        <w:t> </w:t>
      </w:r>
      <w:r>
        <w:rPr>
          <w:sz w:val="24"/>
        </w:rPr>
        <w:t>terrace unless the said floor is made impervious with adequate </w:t>
      </w:r>
      <w:r>
        <w:rPr>
          <w:spacing w:val="10"/>
          <w:sz w:val="24"/>
        </w:rPr>
        <w:t>water-</w:t>
      </w:r>
      <w:r>
        <w:rPr>
          <w:sz w:val="24"/>
        </w:rPr>
        <w:t>proofing treatment. However, in no case shall a water closet or bathroom be</w:t>
      </w:r>
      <w:r>
        <w:rPr>
          <w:spacing w:val="40"/>
          <w:sz w:val="24"/>
        </w:rPr>
        <w:t> </w:t>
      </w:r>
      <w:r>
        <w:rPr>
          <w:sz w:val="24"/>
        </w:rPr>
        <w:t>provided over a </w:t>
      </w:r>
      <w:r>
        <w:rPr>
          <w:spacing w:val="9"/>
          <w:sz w:val="24"/>
        </w:rPr>
        <w:t>kitchen.</w:t>
      </w:r>
    </w:p>
    <w:p>
      <w:pPr>
        <w:pStyle w:val="ListParagraph"/>
        <w:numPr>
          <w:ilvl w:val="0"/>
          <w:numId w:val="251"/>
        </w:numPr>
        <w:tabs>
          <w:tab w:pos="1493" w:val="left" w:leader="none"/>
          <w:tab w:pos="1833" w:val="left" w:leader="none"/>
        </w:tabs>
        <w:spacing w:line="240" w:lineRule="auto" w:before="0" w:after="0"/>
        <w:ind w:left="1493" w:right="801" w:hanging="180"/>
        <w:jc w:val="both"/>
        <w:rPr>
          <w:sz w:val="24"/>
        </w:rPr>
      </w:pPr>
      <w:r>
        <w:rPr>
          <w:sz w:val="24"/>
        </w:rPr>
        <w:t>Every bathroom or water closet shall have the platform or seat or flooring</w:t>
      </w:r>
      <w:r>
        <w:rPr>
          <w:spacing w:val="40"/>
          <w:sz w:val="24"/>
        </w:rPr>
        <w:t> </w:t>
      </w:r>
      <w:r>
        <w:rPr>
          <w:sz w:val="24"/>
        </w:rPr>
        <w:t>made</w:t>
      </w:r>
      <w:r>
        <w:rPr>
          <w:spacing w:val="40"/>
          <w:sz w:val="24"/>
        </w:rPr>
        <w:t> </w:t>
      </w:r>
      <w:r>
        <w:rPr>
          <w:sz w:val="24"/>
        </w:rPr>
        <w:t>of</w:t>
      </w:r>
      <w:r>
        <w:rPr>
          <w:spacing w:val="40"/>
          <w:sz w:val="24"/>
        </w:rPr>
        <w:t> </w:t>
      </w:r>
      <w:r>
        <w:rPr>
          <w:spacing w:val="9"/>
          <w:sz w:val="24"/>
        </w:rPr>
        <w:t>water-</w:t>
      </w:r>
      <w:r>
        <w:rPr>
          <w:sz w:val="24"/>
        </w:rPr>
        <w:t>tight</w:t>
      </w:r>
      <w:r>
        <w:rPr>
          <w:spacing w:val="40"/>
          <w:sz w:val="24"/>
        </w:rPr>
        <w:t> </w:t>
      </w:r>
      <w:r>
        <w:rPr>
          <w:spacing w:val="10"/>
          <w:sz w:val="24"/>
        </w:rPr>
        <w:t>non-</w:t>
      </w:r>
      <w:r>
        <w:rPr>
          <w:sz w:val="24"/>
        </w:rPr>
        <w:t>absorbent</w:t>
      </w:r>
      <w:r>
        <w:rPr>
          <w:spacing w:val="40"/>
          <w:sz w:val="24"/>
        </w:rPr>
        <w:t> </w:t>
      </w:r>
      <w:r>
        <w:rPr>
          <w:sz w:val="24"/>
        </w:rPr>
        <w:t>material.</w:t>
      </w:r>
    </w:p>
    <w:p>
      <w:pPr>
        <w:pStyle w:val="BodyText"/>
        <w:ind w:left="1493" w:right="786" w:hanging="180"/>
      </w:pPr>
      <w:r>
        <w:rPr>
          <w:spacing w:val="10"/>
        </w:rPr>
        <w:t>(e)(d) </w:t>
      </w:r>
      <w:r>
        <w:rPr/>
        <w:t>It shall be</w:t>
      </w:r>
      <w:r>
        <w:rPr>
          <w:spacing w:val="40"/>
        </w:rPr>
        <w:t> </w:t>
      </w:r>
      <w:r>
        <w:rPr/>
        <w:t>enclosed by walls or</w:t>
      </w:r>
      <w:r>
        <w:rPr>
          <w:spacing w:val="40"/>
        </w:rPr>
        <w:t> </w:t>
      </w:r>
      <w:r>
        <w:rPr/>
        <w:t>partitions and the surface of every such</w:t>
      </w:r>
      <w:r>
        <w:rPr>
          <w:spacing w:val="40"/>
        </w:rPr>
        <w:t> </w:t>
      </w:r>
      <w:r>
        <w:rPr/>
        <w:t>wall</w:t>
      </w:r>
      <w:r>
        <w:rPr>
          <w:spacing w:val="40"/>
        </w:rPr>
        <w:t> </w:t>
      </w:r>
      <w:r>
        <w:rPr/>
        <w:t>or</w:t>
      </w:r>
      <w:r>
        <w:rPr>
          <w:spacing w:val="40"/>
        </w:rPr>
        <w:t> </w:t>
      </w:r>
      <w:r>
        <w:rPr/>
        <w:t>partition</w:t>
      </w:r>
      <w:r>
        <w:rPr>
          <w:spacing w:val="40"/>
        </w:rPr>
        <w:t> </w:t>
      </w:r>
      <w:r>
        <w:rPr/>
        <w:t>shall</w:t>
      </w:r>
      <w:r>
        <w:rPr>
          <w:spacing w:val="40"/>
        </w:rPr>
        <w:t> </w:t>
      </w:r>
      <w:r>
        <w:rPr/>
        <w:t>be</w:t>
      </w:r>
      <w:r>
        <w:rPr>
          <w:spacing w:val="40"/>
        </w:rPr>
        <w:t> </w:t>
      </w:r>
      <w:r>
        <w:rPr/>
        <w:t>finished</w:t>
      </w:r>
      <w:r>
        <w:rPr>
          <w:spacing w:val="40"/>
        </w:rPr>
        <w:t> </w:t>
      </w:r>
      <w:r>
        <w:rPr/>
        <w:t>with</w:t>
      </w:r>
      <w:r>
        <w:rPr>
          <w:spacing w:val="40"/>
        </w:rPr>
        <w:t> </w:t>
      </w:r>
      <w:r>
        <w:rPr/>
        <w:t>a</w:t>
      </w:r>
      <w:r>
        <w:rPr>
          <w:spacing w:val="40"/>
        </w:rPr>
        <w:t> </w:t>
      </w:r>
      <w:r>
        <w:rPr/>
        <w:t>smooth</w:t>
      </w:r>
      <w:r>
        <w:rPr>
          <w:spacing w:val="40"/>
        </w:rPr>
        <w:t> </w:t>
      </w:r>
      <w:r>
        <w:rPr/>
        <w:t>impervious material</w:t>
      </w:r>
      <w:r>
        <w:rPr>
          <w:spacing w:val="40"/>
        </w:rPr>
        <w:t> </w:t>
      </w:r>
      <w:r>
        <w:rPr/>
        <w:t>to</w:t>
      </w:r>
      <w:r>
        <w:rPr>
          <w:spacing w:val="40"/>
        </w:rPr>
        <w:t> </w:t>
      </w:r>
      <w:r>
        <w:rPr/>
        <w:t>a</w:t>
      </w:r>
      <w:r>
        <w:rPr>
          <w:spacing w:val="40"/>
        </w:rPr>
        <w:t> </w:t>
      </w:r>
      <w:r>
        <w:rPr/>
        <w:t>height</w:t>
      </w:r>
      <w:r>
        <w:rPr>
          <w:spacing w:val="40"/>
        </w:rPr>
        <w:t> </w:t>
      </w:r>
      <w:r>
        <w:rPr/>
        <w:t>of</w:t>
      </w:r>
      <w:r>
        <w:rPr>
          <w:spacing w:val="40"/>
        </w:rPr>
        <w:t> </w:t>
      </w:r>
      <w:r>
        <w:rPr/>
        <w:t>not</w:t>
      </w:r>
      <w:r>
        <w:rPr>
          <w:spacing w:val="40"/>
        </w:rPr>
        <w:t> </w:t>
      </w:r>
      <w:r>
        <w:rPr/>
        <w:t>less</w:t>
      </w:r>
      <w:r>
        <w:rPr>
          <w:spacing w:val="40"/>
        </w:rPr>
        <w:t> </w:t>
      </w:r>
      <w:r>
        <w:rPr/>
        <w:t>than</w:t>
      </w:r>
      <w:r>
        <w:rPr>
          <w:spacing w:val="40"/>
        </w:rPr>
        <w:t> </w:t>
      </w:r>
      <w:r>
        <w:rPr/>
        <w:t>1m</w:t>
      </w:r>
      <w:r>
        <w:rPr>
          <w:spacing w:val="40"/>
        </w:rPr>
        <w:t> </w:t>
      </w:r>
      <w:r>
        <w:rPr/>
        <w:t>above</w:t>
      </w:r>
      <w:r>
        <w:rPr>
          <w:spacing w:val="40"/>
        </w:rPr>
        <w:t> </w:t>
      </w:r>
      <w:r>
        <w:rPr/>
        <w:t>the</w:t>
      </w:r>
      <w:r>
        <w:rPr>
          <w:spacing w:val="40"/>
        </w:rPr>
        <w:t> </w:t>
      </w:r>
      <w:r>
        <w:rPr/>
        <w:t>floor</w:t>
      </w:r>
      <w:r>
        <w:rPr>
          <w:spacing w:val="40"/>
        </w:rPr>
        <w:t> </w:t>
      </w:r>
      <w:r>
        <w:rPr/>
        <w:t>of</w:t>
      </w:r>
      <w:r>
        <w:rPr>
          <w:spacing w:val="40"/>
        </w:rPr>
        <w:t> </w:t>
      </w:r>
      <w:r>
        <w:rPr/>
        <w:t>such</w:t>
      </w:r>
      <w:r>
        <w:rPr>
          <w:spacing w:val="40"/>
        </w:rPr>
        <w:t> </w:t>
      </w:r>
      <w:r>
        <w:rPr/>
        <w:t>a room.It</w:t>
      </w:r>
      <w:r>
        <w:rPr>
          <w:spacing w:val="40"/>
        </w:rPr>
        <w:t> </w:t>
      </w:r>
      <w:r>
        <w:rPr/>
        <w:t>shall</w:t>
      </w:r>
      <w:r>
        <w:rPr>
          <w:spacing w:val="40"/>
        </w:rPr>
        <w:t> </w:t>
      </w:r>
      <w:r>
        <w:rPr/>
        <w:t>be</w:t>
      </w:r>
      <w:r>
        <w:rPr>
          <w:spacing w:val="40"/>
        </w:rPr>
        <w:t> </w:t>
      </w:r>
      <w:r>
        <w:rPr/>
        <w:t>provided</w:t>
      </w:r>
      <w:r>
        <w:rPr>
          <w:spacing w:val="40"/>
        </w:rPr>
        <w:t> </w:t>
      </w:r>
      <w:r>
        <w:rPr/>
        <w:t>with</w:t>
      </w:r>
      <w:r>
        <w:rPr>
          <w:spacing w:val="40"/>
        </w:rPr>
        <w:t> </w:t>
      </w:r>
      <w:r>
        <w:rPr/>
        <w:t>an</w:t>
      </w:r>
      <w:r>
        <w:rPr>
          <w:spacing w:val="40"/>
        </w:rPr>
        <w:t> </w:t>
      </w:r>
      <w:r>
        <w:rPr/>
        <w:t>impervious</w:t>
      </w:r>
      <w:r>
        <w:rPr>
          <w:spacing w:val="40"/>
        </w:rPr>
        <w:t> </w:t>
      </w:r>
      <w:r>
        <w:rPr/>
        <w:t>floor</w:t>
      </w:r>
      <w:r>
        <w:rPr>
          <w:spacing w:val="40"/>
        </w:rPr>
        <w:t> </w:t>
      </w:r>
      <w:r>
        <w:rPr/>
        <w:t>covering</w:t>
      </w:r>
      <w:r>
        <w:rPr>
          <w:spacing w:val="40"/>
        </w:rPr>
        <w:t> </w:t>
      </w:r>
      <w:r>
        <w:rPr/>
        <w:t>sloping towards</w:t>
      </w:r>
      <w:r>
        <w:rPr>
          <w:spacing w:val="40"/>
        </w:rPr>
        <w:t> </w:t>
      </w:r>
      <w:r>
        <w:rPr/>
        <w:t>the</w:t>
      </w:r>
      <w:r>
        <w:rPr>
          <w:spacing w:val="40"/>
        </w:rPr>
        <w:t> </w:t>
      </w:r>
      <w:r>
        <w:rPr/>
        <w:t>drain</w:t>
      </w:r>
      <w:r>
        <w:rPr>
          <w:spacing w:val="40"/>
        </w:rPr>
        <w:t> </w:t>
      </w:r>
      <w:r>
        <w:rPr/>
        <w:t>with</w:t>
      </w:r>
      <w:r>
        <w:rPr>
          <w:spacing w:val="40"/>
        </w:rPr>
        <w:t> </w:t>
      </w:r>
      <w:r>
        <w:rPr/>
        <w:t>a</w:t>
      </w:r>
      <w:r>
        <w:rPr>
          <w:spacing w:val="40"/>
        </w:rPr>
        <w:t> </w:t>
      </w:r>
      <w:r>
        <w:rPr/>
        <w:t>suitable</w:t>
      </w:r>
      <w:r>
        <w:rPr>
          <w:spacing w:val="40"/>
        </w:rPr>
        <w:t> </w:t>
      </w:r>
      <w:r>
        <w:rPr/>
        <w:t>grade</w:t>
      </w:r>
      <w:r>
        <w:rPr>
          <w:spacing w:val="40"/>
        </w:rPr>
        <w:t> </w:t>
      </w:r>
      <w:r>
        <w:rPr/>
        <w:t>and</w:t>
      </w:r>
      <w:r>
        <w:rPr>
          <w:spacing w:val="40"/>
        </w:rPr>
        <w:t> </w:t>
      </w:r>
      <w:r>
        <w:rPr/>
        <w:t>not</w:t>
      </w:r>
      <w:r>
        <w:rPr>
          <w:spacing w:val="40"/>
        </w:rPr>
        <w:t> </w:t>
      </w:r>
      <w:r>
        <w:rPr/>
        <w:t>towards</w:t>
      </w:r>
      <w:r>
        <w:rPr>
          <w:spacing w:val="40"/>
        </w:rPr>
        <w:t> </w:t>
      </w:r>
      <w:r>
        <w:rPr/>
        <w:t>a</w:t>
      </w:r>
      <w:r>
        <w:rPr>
          <w:spacing w:val="40"/>
        </w:rPr>
        <w:t> </w:t>
      </w:r>
      <w:r>
        <w:rPr/>
        <w:t>verandah</w:t>
      </w:r>
      <w:r>
        <w:rPr>
          <w:spacing w:val="40"/>
        </w:rPr>
        <w:t> </w:t>
      </w:r>
      <w:r>
        <w:rPr/>
        <w:t>or any other room.</w:t>
      </w:r>
    </w:p>
    <w:p>
      <w:pPr>
        <w:pStyle w:val="BodyText"/>
        <w:ind w:left="1493" w:right="788" w:hanging="180"/>
      </w:pPr>
      <w:r>
        <w:rPr/>
        <w:t>Every</w:t>
      </w:r>
      <w:r>
        <w:rPr>
          <w:spacing w:val="64"/>
        </w:rPr>
        <w:t> </w:t>
      </w:r>
      <w:r>
        <w:rPr/>
        <w:t>water</w:t>
      </w:r>
      <w:r>
        <w:rPr>
          <w:spacing w:val="64"/>
        </w:rPr>
        <w:t> </w:t>
      </w:r>
      <w:r>
        <w:rPr/>
        <w:t>closet</w:t>
      </w:r>
      <w:r>
        <w:rPr>
          <w:spacing w:val="67"/>
        </w:rPr>
        <w:t> </w:t>
      </w:r>
      <w:r>
        <w:rPr/>
        <w:t>and/or</w:t>
      </w:r>
      <w:r>
        <w:rPr>
          <w:spacing w:val="64"/>
        </w:rPr>
        <w:t> </w:t>
      </w:r>
      <w:r>
        <w:rPr/>
        <w:t>a</w:t>
      </w:r>
      <w:r>
        <w:rPr>
          <w:spacing w:val="67"/>
        </w:rPr>
        <w:t> </w:t>
      </w:r>
      <w:r>
        <w:rPr/>
        <w:t>set</w:t>
      </w:r>
      <w:r>
        <w:rPr>
          <w:spacing w:val="64"/>
        </w:rPr>
        <w:t> </w:t>
      </w:r>
      <w:r>
        <w:rPr/>
        <w:t>of</w:t>
      </w:r>
      <w:r>
        <w:rPr>
          <w:spacing w:val="67"/>
        </w:rPr>
        <w:t> </w:t>
      </w:r>
      <w:r>
        <w:rPr/>
        <w:t>urinals</w:t>
      </w:r>
      <w:r>
        <w:rPr>
          <w:spacing w:val="64"/>
        </w:rPr>
        <w:t> </w:t>
      </w:r>
      <w:r>
        <w:rPr/>
        <w:t>shall</w:t>
      </w:r>
      <w:r>
        <w:rPr>
          <w:spacing w:val="64"/>
        </w:rPr>
        <w:t> </w:t>
      </w:r>
      <w:r>
        <w:rPr/>
        <w:t>have</w:t>
      </w:r>
      <w:r>
        <w:rPr>
          <w:spacing w:val="67"/>
        </w:rPr>
        <w:t> </w:t>
      </w:r>
      <w:r>
        <w:rPr/>
        <w:t>a</w:t>
      </w:r>
      <w:r>
        <w:rPr>
          <w:spacing w:val="64"/>
        </w:rPr>
        <w:t> </w:t>
      </w:r>
      <w:r>
        <w:rPr/>
        <w:t>flushing</w:t>
      </w:r>
      <w:r>
        <w:rPr>
          <w:spacing w:val="64"/>
        </w:rPr>
        <w:t> </w:t>
      </w:r>
      <w:r>
        <w:rPr/>
        <w:t>cistern of</w:t>
      </w:r>
      <w:r>
        <w:rPr>
          <w:spacing w:val="40"/>
        </w:rPr>
        <w:t> </w:t>
      </w:r>
      <w:r>
        <w:rPr/>
        <w:t>adequate</w:t>
      </w:r>
      <w:r>
        <w:rPr>
          <w:spacing w:val="40"/>
        </w:rPr>
        <w:t> </w:t>
      </w:r>
      <w:r>
        <w:rPr/>
        <w:t>capacity</w:t>
      </w:r>
      <w:r>
        <w:rPr>
          <w:spacing w:val="40"/>
        </w:rPr>
        <w:t> </w:t>
      </w:r>
      <w:r>
        <w:rPr/>
        <w:t>attached</w:t>
      </w:r>
      <w:r>
        <w:rPr>
          <w:spacing w:val="40"/>
        </w:rPr>
        <w:t> </w:t>
      </w:r>
      <w:r>
        <w:rPr/>
        <w:t>to</w:t>
      </w:r>
      <w:r>
        <w:rPr>
          <w:spacing w:val="40"/>
        </w:rPr>
        <w:t> </w:t>
      </w:r>
      <w:r>
        <w:rPr/>
        <w:t>it.(g)</w:t>
      </w:r>
      <w:r>
        <w:rPr>
          <w:spacing w:val="80"/>
        </w:rPr>
        <w:t>  </w:t>
      </w:r>
      <w:r>
        <w:rPr/>
        <w:t>All</w:t>
      </w:r>
      <w:r>
        <w:rPr>
          <w:spacing w:val="80"/>
        </w:rPr>
        <w:t> </w:t>
      </w:r>
      <w:r>
        <w:rPr/>
        <w:t>the</w:t>
      </w:r>
      <w:r>
        <w:rPr>
          <w:spacing w:val="80"/>
        </w:rPr>
        <w:t> </w:t>
      </w:r>
      <w:r>
        <w:rPr/>
        <w:t>sewerage</w:t>
      </w:r>
      <w:r>
        <w:rPr>
          <w:spacing w:val="80"/>
        </w:rPr>
        <w:t> </w:t>
      </w:r>
      <w:r>
        <w:rPr/>
        <w:t>outlets</w:t>
      </w:r>
      <w:r>
        <w:rPr>
          <w:spacing w:val="80"/>
        </w:rPr>
        <w:t> </w:t>
      </w:r>
      <w:r>
        <w:rPr/>
        <w:t>shall be</w:t>
      </w:r>
      <w:r>
        <w:rPr>
          <w:spacing w:val="41"/>
        </w:rPr>
        <w:t> </w:t>
      </w:r>
      <w:r>
        <w:rPr/>
        <w:t>connected</w:t>
      </w:r>
      <w:r>
        <w:rPr>
          <w:spacing w:val="41"/>
        </w:rPr>
        <w:t> </w:t>
      </w:r>
      <w:r>
        <w:rPr/>
        <w:t>to</w:t>
      </w:r>
      <w:r>
        <w:rPr>
          <w:spacing w:val="44"/>
        </w:rPr>
        <w:t> </w:t>
      </w:r>
      <w:r>
        <w:rPr/>
        <w:t>the</w:t>
      </w:r>
      <w:r>
        <w:rPr>
          <w:spacing w:val="46"/>
        </w:rPr>
        <w:t> </w:t>
      </w:r>
      <w:r>
        <w:rPr/>
        <w:t>municipal</w:t>
      </w:r>
      <w:r>
        <w:rPr>
          <w:spacing w:val="41"/>
        </w:rPr>
        <w:t> </w:t>
      </w:r>
      <w:r>
        <w:rPr/>
        <w:t>sewerage</w:t>
      </w:r>
      <w:r>
        <w:rPr>
          <w:spacing w:val="41"/>
        </w:rPr>
        <w:t> </w:t>
      </w:r>
      <w:r>
        <w:rPr/>
        <w:t>system.</w:t>
      </w:r>
      <w:r>
        <w:rPr>
          <w:spacing w:val="46"/>
        </w:rPr>
        <w:t> </w:t>
      </w:r>
      <w:r>
        <w:rPr/>
        <w:t>Where</w:t>
      </w:r>
      <w:r>
        <w:rPr>
          <w:spacing w:val="45"/>
        </w:rPr>
        <w:t> </w:t>
      </w:r>
      <w:r>
        <w:rPr/>
        <w:t>no</w:t>
      </w:r>
      <w:r>
        <w:rPr>
          <w:spacing w:val="44"/>
        </w:rPr>
        <w:t> </w:t>
      </w:r>
      <w:r>
        <w:rPr/>
        <w:t>such</w:t>
      </w:r>
      <w:r>
        <w:rPr>
          <w:spacing w:val="42"/>
        </w:rPr>
        <w:t> </w:t>
      </w:r>
      <w:r>
        <w:rPr>
          <w:spacing w:val="-2"/>
        </w:rPr>
        <w:t>system</w:t>
      </w:r>
    </w:p>
    <w:p>
      <w:pPr>
        <w:pStyle w:val="BodyText"/>
        <w:spacing w:after="0"/>
        <w:sectPr>
          <w:pgSz w:w="11910" w:h="16840"/>
          <w:pgMar w:header="1058" w:footer="1201" w:top="1500" w:bottom="1400" w:left="360" w:right="360"/>
        </w:sectPr>
      </w:pPr>
    </w:p>
    <w:p>
      <w:pPr>
        <w:pStyle w:val="BodyText"/>
        <w:spacing w:before="255"/>
        <w:ind w:left="1493" w:right="786"/>
      </w:pPr>
      <w:r>
        <w:rPr/>
        <w:t>exists, a septic tank shall be provided within the plot conforming to the requirements</w:t>
      </w:r>
      <w:r>
        <w:rPr>
          <w:spacing w:val="40"/>
        </w:rPr>
        <w:t> </w:t>
      </w:r>
      <w:r>
        <w:rPr/>
        <w:t>of</w:t>
      </w:r>
      <w:r>
        <w:rPr>
          <w:spacing w:val="40"/>
        </w:rPr>
        <w:t> </w:t>
      </w:r>
      <w:r>
        <w:rPr>
          <w:spacing w:val="9"/>
        </w:rPr>
        <w:t>sub-</w:t>
      </w:r>
      <w:r>
        <w:rPr/>
        <w:t>regulation</w:t>
      </w:r>
      <w:r>
        <w:rPr>
          <w:spacing w:val="80"/>
        </w:rPr>
        <w:t> </w:t>
      </w:r>
      <w:r>
        <w:rPr/>
        <w:t>27</w:t>
      </w:r>
      <w:r>
        <w:rPr>
          <w:spacing w:val="40"/>
        </w:rPr>
        <w:t> </w:t>
      </w:r>
      <w:r>
        <w:rPr/>
        <w:t>of</w:t>
      </w:r>
      <w:r>
        <w:rPr>
          <w:spacing w:val="80"/>
        </w:rPr>
        <w:t> </w:t>
      </w:r>
      <w:r>
        <w:rPr/>
        <w:t>Regulation</w:t>
      </w:r>
      <w:r>
        <w:rPr>
          <w:spacing w:val="80"/>
        </w:rPr>
        <w:t> </w:t>
      </w:r>
      <w:r>
        <w:rPr/>
        <w:t>37.</w:t>
      </w:r>
    </w:p>
    <w:p>
      <w:pPr>
        <w:pStyle w:val="BodyText"/>
        <w:jc w:val="left"/>
      </w:pPr>
    </w:p>
    <w:p>
      <w:pPr>
        <w:pStyle w:val="BodyText"/>
        <w:spacing w:before="238"/>
        <w:jc w:val="left"/>
      </w:pPr>
    </w:p>
    <w:p>
      <w:pPr>
        <w:pStyle w:val="Heading6"/>
        <w:numPr>
          <w:ilvl w:val="0"/>
          <w:numId w:val="246"/>
        </w:numPr>
        <w:tabs>
          <w:tab w:pos="1681" w:val="left" w:leader="none"/>
        </w:tabs>
        <w:spacing w:line="240" w:lineRule="auto" w:before="0" w:after="0"/>
        <w:ind w:left="1681" w:right="0" w:hanging="368"/>
        <w:jc w:val="both"/>
        <w:rPr>
          <w:b w:val="0"/>
          <w:i w:val="0"/>
        </w:rPr>
      </w:pPr>
      <w:r>
        <w:rPr>
          <w:spacing w:val="-2"/>
        </w:rPr>
        <w:t>Loft:</w:t>
      </w:r>
    </w:p>
    <w:p>
      <w:pPr>
        <w:pStyle w:val="ListParagraph"/>
        <w:numPr>
          <w:ilvl w:val="1"/>
          <w:numId w:val="246"/>
        </w:numPr>
        <w:tabs>
          <w:tab w:pos="1493" w:val="left" w:leader="none"/>
          <w:tab w:pos="1696" w:val="left" w:leader="none"/>
        </w:tabs>
        <w:spacing w:line="240" w:lineRule="auto" w:before="2" w:after="0"/>
        <w:ind w:left="1493" w:right="780" w:hanging="180"/>
        <w:jc w:val="both"/>
        <w:rPr>
          <w:sz w:val="24"/>
        </w:rPr>
      </w:pPr>
      <w:r>
        <w:rPr>
          <w:sz w:val="24"/>
        </w:rPr>
        <w:t>Location: Lofts may be provided over kitchens, habitable rooms, bathrooms,</w:t>
      </w:r>
      <w:r>
        <w:rPr>
          <w:spacing w:val="80"/>
          <w:sz w:val="24"/>
        </w:rPr>
        <w:t> </w:t>
      </w:r>
      <w:r>
        <w:rPr>
          <w:sz w:val="24"/>
        </w:rPr>
        <w:t>water</w:t>
      </w:r>
      <w:r>
        <w:rPr>
          <w:spacing w:val="80"/>
          <w:sz w:val="24"/>
        </w:rPr>
        <w:t> </w:t>
      </w:r>
      <w:r>
        <w:rPr>
          <w:sz w:val="24"/>
        </w:rPr>
        <w:t>closets</w:t>
      </w:r>
      <w:r>
        <w:rPr>
          <w:spacing w:val="80"/>
          <w:sz w:val="24"/>
        </w:rPr>
        <w:t> </w:t>
      </w:r>
      <w:r>
        <w:rPr>
          <w:sz w:val="24"/>
        </w:rPr>
        <w:t>and</w:t>
      </w:r>
      <w:r>
        <w:rPr>
          <w:spacing w:val="80"/>
          <w:sz w:val="24"/>
        </w:rPr>
        <w:t> </w:t>
      </w:r>
      <w:r>
        <w:rPr>
          <w:sz w:val="24"/>
        </w:rPr>
        <w:t>corridors</w:t>
      </w:r>
      <w:r>
        <w:rPr>
          <w:spacing w:val="80"/>
          <w:sz w:val="24"/>
        </w:rPr>
        <w:t> </w:t>
      </w:r>
      <w:r>
        <w:rPr>
          <w:sz w:val="24"/>
        </w:rPr>
        <w:t>within</w:t>
      </w:r>
      <w:r>
        <w:rPr>
          <w:spacing w:val="80"/>
          <w:sz w:val="24"/>
        </w:rPr>
        <w:t> </w:t>
      </w:r>
      <w:r>
        <w:rPr>
          <w:sz w:val="24"/>
        </w:rPr>
        <w:t>a</w:t>
      </w:r>
      <w:r>
        <w:rPr>
          <w:spacing w:val="80"/>
          <w:sz w:val="24"/>
        </w:rPr>
        <w:t> </w:t>
      </w:r>
      <w:r>
        <w:rPr>
          <w:sz w:val="24"/>
        </w:rPr>
        <w:t>tenement</w:t>
      </w:r>
      <w:r>
        <w:rPr>
          <w:spacing w:val="80"/>
          <w:sz w:val="24"/>
        </w:rPr>
        <w:t> </w:t>
      </w:r>
      <w:r>
        <w:rPr>
          <w:sz w:val="24"/>
        </w:rPr>
        <w:t>in residential</w:t>
      </w:r>
      <w:r>
        <w:rPr>
          <w:spacing w:val="80"/>
          <w:sz w:val="24"/>
        </w:rPr>
        <w:t> </w:t>
      </w:r>
      <w:r>
        <w:rPr>
          <w:sz w:val="24"/>
        </w:rPr>
        <w:t>buildings,</w:t>
      </w:r>
      <w:r>
        <w:rPr>
          <w:spacing w:val="80"/>
          <w:sz w:val="24"/>
        </w:rPr>
        <w:t> </w:t>
      </w:r>
      <w:r>
        <w:rPr>
          <w:sz w:val="24"/>
        </w:rPr>
        <w:t>in</w:t>
      </w:r>
      <w:r>
        <w:rPr>
          <w:spacing w:val="80"/>
          <w:sz w:val="24"/>
        </w:rPr>
        <w:t> </w:t>
      </w:r>
      <w:r>
        <w:rPr>
          <w:sz w:val="24"/>
        </w:rPr>
        <w:t>shops</w:t>
      </w:r>
      <w:r>
        <w:rPr>
          <w:spacing w:val="80"/>
          <w:sz w:val="24"/>
        </w:rPr>
        <w:t> </w:t>
      </w:r>
      <w:r>
        <w:rPr>
          <w:sz w:val="24"/>
        </w:rPr>
        <w:t>and</w:t>
      </w:r>
      <w:r>
        <w:rPr>
          <w:spacing w:val="80"/>
          <w:sz w:val="24"/>
        </w:rPr>
        <w:t> </w:t>
      </w:r>
      <w:r>
        <w:rPr>
          <w:sz w:val="24"/>
        </w:rPr>
        <w:t>in</w:t>
      </w:r>
      <w:r>
        <w:rPr>
          <w:spacing w:val="80"/>
          <w:sz w:val="24"/>
        </w:rPr>
        <w:t> </w:t>
      </w:r>
      <w:r>
        <w:rPr>
          <w:sz w:val="24"/>
        </w:rPr>
        <w:t>industrial</w:t>
      </w:r>
      <w:r>
        <w:rPr>
          <w:spacing w:val="80"/>
          <w:sz w:val="24"/>
        </w:rPr>
        <w:t> </w:t>
      </w:r>
      <w:r>
        <w:rPr>
          <w:sz w:val="24"/>
        </w:rPr>
        <w:t>buildings.</w:t>
      </w:r>
    </w:p>
    <w:p>
      <w:pPr>
        <w:pStyle w:val="ListParagraph"/>
        <w:numPr>
          <w:ilvl w:val="1"/>
          <w:numId w:val="246"/>
        </w:numPr>
        <w:tabs>
          <w:tab w:pos="1493" w:val="left" w:leader="none"/>
          <w:tab w:pos="1763" w:val="left" w:leader="none"/>
        </w:tabs>
        <w:spacing w:line="240" w:lineRule="auto" w:before="2" w:after="0"/>
        <w:ind w:left="1493" w:right="781" w:hanging="180"/>
        <w:jc w:val="both"/>
        <w:rPr>
          <w:sz w:val="24"/>
        </w:rPr>
      </w:pPr>
      <w:r>
        <w:rPr>
          <w:sz w:val="24"/>
        </w:rPr>
        <w:t>Height:</w:t>
      </w:r>
      <w:r>
        <w:rPr>
          <w:spacing w:val="40"/>
          <w:sz w:val="24"/>
        </w:rPr>
        <w:t> </w:t>
      </w:r>
      <w:r>
        <w:rPr>
          <w:sz w:val="24"/>
        </w:rPr>
        <w:t>The</w:t>
      </w:r>
      <w:r>
        <w:rPr>
          <w:spacing w:val="40"/>
          <w:sz w:val="24"/>
        </w:rPr>
        <w:t> </w:t>
      </w:r>
      <w:r>
        <w:rPr>
          <w:sz w:val="24"/>
        </w:rPr>
        <w:t>height</w:t>
      </w:r>
      <w:r>
        <w:rPr>
          <w:spacing w:val="40"/>
          <w:sz w:val="24"/>
        </w:rPr>
        <w:t> </w:t>
      </w:r>
      <w:r>
        <w:rPr>
          <w:sz w:val="24"/>
        </w:rPr>
        <w:t>of</w:t>
      </w:r>
      <w:r>
        <w:rPr>
          <w:spacing w:val="40"/>
          <w:sz w:val="24"/>
        </w:rPr>
        <w:t> </w:t>
      </w:r>
      <w:r>
        <w:rPr>
          <w:sz w:val="24"/>
        </w:rPr>
        <w:t>the</w:t>
      </w:r>
      <w:r>
        <w:rPr>
          <w:spacing w:val="40"/>
          <w:sz w:val="24"/>
        </w:rPr>
        <w:t> </w:t>
      </w:r>
      <w:r>
        <w:rPr>
          <w:sz w:val="24"/>
        </w:rPr>
        <w:t>loft</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more</w:t>
      </w:r>
      <w:r>
        <w:rPr>
          <w:spacing w:val="40"/>
          <w:sz w:val="24"/>
        </w:rPr>
        <w:t> </w:t>
      </w:r>
      <w:r>
        <w:rPr>
          <w:sz w:val="24"/>
        </w:rPr>
        <w:t>than</w:t>
      </w:r>
      <w:r>
        <w:rPr>
          <w:spacing w:val="40"/>
          <w:sz w:val="24"/>
        </w:rPr>
        <w:t> </w:t>
      </w:r>
      <w:r>
        <w:rPr>
          <w:sz w:val="24"/>
        </w:rPr>
        <w:t>1.5</w:t>
      </w:r>
      <w:r>
        <w:rPr>
          <w:spacing w:val="40"/>
          <w:sz w:val="24"/>
        </w:rPr>
        <w:t> </w:t>
      </w:r>
      <w:r>
        <w:rPr>
          <w:sz w:val="24"/>
        </w:rPr>
        <w:t>m.</w:t>
      </w:r>
      <w:r>
        <w:rPr>
          <w:spacing w:val="40"/>
          <w:sz w:val="24"/>
        </w:rPr>
        <w:t> </w:t>
      </w:r>
      <w:r>
        <w:rPr>
          <w:sz w:val="24"/>
        </w:rPr>
        <w:t>If</w:t>
      </w:r>
      <w:r>
        <w:rPr>
          <w:spacing w:val="40"/>
          <w:sz w:val="24"/>
        </w:rPr>
        <w:t> </w:t>
      </w:r>
      <w:r>
        <w:rPr>
          <w:sz w:val="24"/>
        </w:rPr>
        <w:t>it exceeds</w:t>
      </w:r>
      <w:r>
        <w:rPr>
          <w:spacing w:val="40"/>
          <w:sz w:val="24"/>
        </w:rPr>
        <w:t> </w:t>
      </w:r>
      <w:r>
        <w:rPr>
          <w:sz w:val="24"/>
        </w:rPr>
        <w:t>1.5</w:t>
      </w:r>
      <w:r>
        <w:rPr>
          <w:spacing w:val="40"/>
          <w:sz w:val="24"/>
        </w:rPr>
        <w:t> </w:t>
      </w:r>
      <w:r>
        <w:rPr>
          <w:sz w:val="24"/>
        </w:rPr>
        <w:t>m,it</w:t>
      </w:r>
      <w:r>
        <w:rPr>
          <w:spacing w:val="40"/>
          <w:sz w:val="24"/>
        </w:rPr>
        <w:t> </w:t>
      </w:r>
      <w:r>
        <w:rPr>
          <w:sz w:val="24"/>
        </w:rPr>
        <w:t>shall</w:t>
      </w:r>
      <w:r>
        <w:rPr>
          <w:spacing w:val="40"/>
          <w:sz w:val="24"/>
        </w:rPr>
        <w:t> </w:t>
      </w:r>
      <w:r>
        <w:rPr>
          <w:sz w:val="24"/>
        </w:rPr>
        <w:t>be</w:t>
      </w:r>
      <w:r>
        <w:rPr>
          <w:spacing w:val="40"/>
          <w:sz w:val="24"/>
        </w:rPr>
        <w:t> </w:t>
      </w:r>
      <w:r>
        <w:rPr>
          <w:sz w:val="24"/>
        </w:rPr>
        <w:t>counted</w:t>
      </w:r>
      <w:r>
        <w:rPr>
          <w:spacing w:val="40"/>
          <w:sz w:val="24"/>
        </w:rPr>
        <w:t> </w:t>
      </w:r>
      <w:r>
        <w:rPr>
          <w:sz w:val="24"/>
        </w:rPr>
        <w:t>towards</w:t>
      </w:r>
      <w:r>
        <w:rPr>
          <w:spacing w:val="40"/>
          <w:sz w:val="24"/>
        </w:rPr>
        <w:t> </w:t>
      </w:r>
      <w:r>
        <w:rPr>
          <w:sz w:val="24"/>
        </w:rPr>
        <w:t>FSI.</w:t>
      </w:r>
    </w:p>
    <w:p>
      <w:pPr>
        <w:pStyle w:val="ListParagraph"/>
        <w:numPr>
          <w:ilvl w:val="1"/>
          <w:numId w:val="246"/>
        </w:numPr>
        <w:tabs>
          <w:tab w:pos="1493" w:val="left" w:leader="none"/>
          <w:tab w:pos="1825" w:val="left" w:leader="none"/>
        </w:tabs>
        <w:spacing w:line="240" w:lineRule="auto" w:before="0" w:after="0"/>
        <w:ind w:left="1493" w:right="780" w:hanging="180"/>
        <w:jc w:val="both"/>
        <w:rPr>
          <w:b/>
          <w:sz w:val="24"/>
        </w:rPr>
      </w:pPr>
      <w:r>
        <w:rPr>
          <w:sz w:val="24"/>
        </w:rPr>
        <w:t>The</w:t>
      </w:r>
      <w:r>
        <w:rPr>
          <w:spacing w:val="40"/>
          <w:sz w:val="24"/>
        </w:rPr>
        <w:t> </w:t>
      </w:r>
      <w:r>
        <w:rPr>
          <w:sz w:val="24"/>
        </w:rPr>
        <w:t>lofts</w:t>
      </w:r>
      <w:r>
        <w:rPr>
          <w:spacing w:val="40"/>
          <w:sz w:val="24"/>
        </w:rPr>
        <w:t> </w:t>
      </w:r>
      <w:r>
        <w:rPr>
          <w:sz w:val="24"/>
        </w:rPr>
        <w:t>in</w:t>
      </w:r>
      <w:r>
        <w:rPr>
          <w:spacing w:val="40"/>
          <w:sz w:val="24"/>
        </w:rPr>
        <w:t> </w:t>
      </w:r>
      <w:r>
        <w:rPr>
          <w:spacing w:val="10"/>
          <w:sz w:val="24"/>
        </w:rPr>
        <w:t>non-</w:t>
      </w:r>
      <w:r>
        <w:rPr>
          <w:sz w:val="24"/>
        </w:rPr>
        <w:t>residential</w:t>
      </w:r>
      <w:r>
        <w:rPr>
          <w:spacing w:val="40"/>
          <w:sz w:val="24"/>
        </w:rPr>
        <w:t> </w:t>
      </w:r>
      <w:r>
        <w:rPr>
          <w:sz w:val="24"/>
        </w:rPr>
        <w:t>buildings</w:t>
      </w:r>
      <w:r>
        <w:rPr>
          <w:spacing w:val="40"/>
          <w:sz w:val="24"/>
        </w:rPr>
        <w:t> </w:t>
      </w:r>
      <w:r>
        <w:rPr>
          <w:sz w:val="24"/>
        </w:rPr>
        <w:t>shall</w:t>
      </w:r>
      <w:r>
        <w:rPr>
          <w:spacing w:val="40"/>
          <w:sz w:val="24"/>
        </w:rPr>
        <w:t> </w:t>
      </w:r>
      <w:r>
        <w:rPr>
          <w:sz w:val="24"/>
        </w:rPr>
        <w:t>be</w:t>
      </w:r>
      <w:r>
        <w:rPr>
          <w:spacing w:val="40"/>
          <w:sz w:val="24"/>
        </w:rPr>
        <w:t> </w:t>
      </w:r>
      <w:r>
        <w:rPr>
          <w:sz w:val="24"/>
        </w:rPr>
        <w:t>located</w:t>
      </w:r>
      <w:r>
        <w:rPr>
          <w:spacing w:val="40"/>
          <w:sz w:val="24"/>
        </w:rPr>
        <w:t> </w:t>
      </w:r>
      <w:r>
        <w:rPr>
          <w:sz w:val="24"/>
        </w:rPr>
        <w:t>at</w:t>
      </w:r>
      <w:r>
        <w:rPr>
          <w:spacing w:val="40"/>
          <w:sz w:val="24"/>
        </w:rPr>
        <w:t> </w:t>
      </w:r>
      <w:r>
        <w:rPr>
          <w:sz w:val="24"/>
        </w:rPr>
        <w:t>least</w:t>
      </w:r>
      <w:r>
        <w:rPr>
          <w:spacing w:val="40"/>
          <w:sz w:val="24"/>
        </w:rPr>
        <w:t> </w:t>
      </w:r>
      <w:r>
        <w:rPr>
          <w:sz w:val="24"/>
        </w:rPr>
        <w:t>2</w:t>
      </w:r>
      <w:r>
        <w:rPr>
          <w:spacing w:val="40"/>
          <w:sz w:val="24"/>
        </w:rPr>
        <w:t> </w:t>
      </w:r>
      <w:r>
        <w:rPr>
          <w:sz w:val="24"/>
        </w:rPr>
        <w:t>M away</w:t>
      </w:r>
      <w:r>
        <w:rPr>
          <w:spacing w:val="40"/>
          <w:sz w:val="24"/>
        </w:rPr>
        <w:t> </w:t>
      </w:r>
      <w:r>
        <w:rPr>
          <w:sz w:val="24"/>
        </w:rPr>
        <w:t>from</w:t>
      </w:r>
      <w:r>
        <w:rPr>
          <w:spacing w:val="40"/>
          <w:sz w:val="24"/>
        </w:rPr>
        <w:t> </w:t>
      </w:r>
      <w:r>
        <w:rPr>
          <w:sz w:val="24"/>
        </w:rPr>
        <w:t>the</w:t>
      </w:r>
      <w:r>
        <w:rPr>
          <w:spacing w:val="40"/>
          <w:sz w:val="24"/>
        </w:rPr>
        <w:t> </w:t>
      </w:r>
      <w:r>
        <w:rPr>
          <w:sz w:val="24"/>
        </w:rPr>
        <w:t>entrance</w:t>
      </w:r>
      <w:r>
        <w:rPr>
          <w:b/>
          <w:sz w:val="24"/>
        </w:rPr>
        <w:t>.</w:t>
      </w:r>
    </w:p>
    <w:p>
      <w:pPr>
        <w:pStyle w:val="Heading6"/>
        <w:numPr>
          <w:ilvl w:val="0"/>
          <w:numId w:val="246"/>
        </w:numPr>
        <w:tabs>
          <w:tab w:pos="1632" w:val="left" w:leader="none"/>
        </w:tabs>
        <w:spacing w:line="240" w:lineRule="auto" w:before="237" w:after="0"/>
        <w:ind w:left="1632" w:right="0" w:hanging="319"/>
        <w:jc w:val="both"/>
        <w:rPr>
          <w:b w:val="0"/>
          <w:i w:val="0"/>
          <w:sz w:val="22"/>
        </w:rPr>
      </w:pPr>
      <w:r>
        <w:rPr/>
        <w:t>Mezzanine</w:t>
      </w:r>
      <w:r>
        <w:rPr>
          <w:spacing w:val="51"/>
          <w:w w:val="150"/>
        </w:rPr>
        <w:t> </w:t>
      </w:r>
      <w:r>
        <w:rPr>
          <w:spacing w:val="-2"/>
        </w:rPr>
        <w:t>Floor:</w:t>
      </w:r>
    </w:p>
    <w:p>
      <w:pPr>
        <w:pStyle w:val="ListParagraph"/>
        <w:numPr>
          <w:ilvl w:val="1"/>
          <w:numId w:val="246"/>
        </w:numPr>
        <w:tabs>
          <w:tab w:pos="1493" w:val="left" w:leader="none"/>
          <w:tab w:pos="1557" w:val="left" w:leader="none"/>
        </w:tabs>
        <w:spacing w:line="240" w:lineRule="auto" w:before="1" w:after="0"/>
        <w:ind w:left="1493" w:right="794" w:hanging="180"/>
        <w:jc w:val="both"/>
        <w:rPr>
          <w:sz w:val="24"/>
        </w:rPr>
      </w:pPr>
      <w:r>
        <w:rPr>
          <w:sz w:val="24"/>
        </w:rPr>
        <w:t>The</w:t>
      </w:r>
      <w:r>
        <w:rPr>
          <w:spacing w:val="40"/>
          <w:sz w:val="24"/>
        </w:rPr>
        <w:t> </w:t>
      </w:r>
      <w:r>
        <w:rPr>
          <w:sz w:val="24"/>
        </w:rPr>
        <w:t>aggregate</w:t>
      </w:r>
      <w:r>
        <w:rPr>
          <w:spacing w:val="40"/>
          <w:sz w:val="24"/>
        </w:rPr>
        <w:t> </w:t>
      </w:r>
      <w:r>
        <w:rPr>
          <w:sz w:val="24"/>
        </w:rPr>
        <w:t>area</w:t>
      </w:r>
      <w:r>
        <w:rPr>
          <w:spacing w:val="40"/>
          <w:sz w:val="24"/>
        </w:rPr>
        <w:t> </w:t>
      </w:r>
      <w:r>
        <w:rPr>
          <w:sz w:val="24"/>
        </w:rPr>
        <w:t>of</w:t>
      </w:r>
      <w:r>
        <w:rPr>
          <w:spacing w:val="40"/>
          <w:sz w:val="24"/>
        </w:rPr>
        <w:t> </w:t>
      </w:r>
      <w:r>
        <w:rPr>
          <w:sz w:val="24"/>
        </w:rPr>
        <w:t>mezzanine</w:t>
      </w:r>
      <w:r>
        <w:rPr>
          <w:spacing w:val="40"/>
          <w:sz w:val="24"/>
        </w:rPr>
        <w:t> </w:t>
      </w:r>
      <w:r>
        <w:rPr>
          <w:sz w:val="24"/>
        </w:rPr>
        <w:t>floor</w:t>
      </w:r>
      <w:r>
        <w:rPr>
          <w:spacing w:val="40"/>
          <w:sz w:val="24"/>
        </w:rPr>
        <w:t> </w:t>
      </w:r>
      <w:r>
        <w:rPr>
          <w:sz w:val="24"/>
        </w:rPr>
        <w:t>in</w:t>
      </w:r>
      <w:r>
        <w:rPr>
          <w:spacing w:val="40"/>
          <w:sz w:val="24"/>
        </w:rPr>
        <w:t> </w:t>
      </w:r>
      <w:r>
        <w:rPr>
          <w:sz w:val="24"/>
        </w:rPr>
        <w:t>any</w:t>
      </w:r>
      <w:r>
        <w:rPr>
          <w:spacing w:val="40"/>
          <w:sz w:val="24"/>
        </w:rPr>
        <w:t> </w:t>
      </w:r>
      <w:r>
        <w:rPr>
          <w:sz w:val="24"/>
        </w:rPr>
        <w:t>room</w:t>
      </w:r>
      <w:r>
        <w:rPr>
          <w:spacing w:val="40"/>
          <w:sz w:val="24"/>
        </w:rPr>
        <w:t> </w:t>
      </w:r>
      <w:r>
        <w:rPr>
          <w:sz w:val="24"/>
        </w:rPr>
        <w:t>shall</w:t>
      </w:r>
      <w:r>
        <w:rPr>
          <w:spacing w:val="40"/>
          <w:sz w:val="24"/>
        </w:rPr>
        <w:t> </w:t>
      </w:r>
      <w:r>
        <w:rPr>
          <w:sz w:val="24"/>
        </w:rPr>
        <w:t>not</w:t>
      </w:r>
      <w:r>
        <w:rPr>
          <w:spacing w:val="40"/>
          <w:sz w:val="24"/>
        </w:rPr>
        <w:t> </w:t>
      </w:r>
      <w:r>
        <w:rPr>
          <w:sz w:val="24"/>
        </w:rPr>
        <w:t>exceed 50%</w:t>
      </w:r>
      <w:r>
        <w:rPr>
          <w:spacing w:val="40"/>
          <w:sz w:val="24"/>
        </w:rPr>
        <w:t> </w:t>
      </w:r>
      <w:r>
        <w:rPr>
          <w:sz w:val="24"/>
        </w:rPr>
        <w:t>of</w:t>
      </w:r>
      <w:r>
        <w:rPr>
          <w:spacing w:val="40"/>
          <w:sz w:val="24"/>
        </w:rPr>
        <w:t> </w:t>
      </w:r>
      <w:r>
        <w:rPr>
          <w:sz w:val="24"/>
        </w:rPr>
        <w:t>the</w:t>
      </w:r>
      <w:r>
        <w:rPr>
          <w:spacing w:val="40"/>
          <w:sz w:val="24"/>
        </w:rPr>
        <w:t> </w:t>
      </w:r>
      <w:r>
        <w:rPr>
          <w:sz w:val="24"/>
        </w:rPr>
        <w:t>BUA</w:t>
      </w:r>
      <w:r>
        <w:rPr>
          <w:spacing w:val="40"/>
          <w:sz w:val="24"/>
        </w:rPr>
        <w:t> </w:t>
      </w:r>
      <w:r>
        <w:rPr>
          <w:sz w:val="24"/>
        </w:rPr>
        <w:t>of</w:t>
      </w:r>
      <w:r>
        <w:rPr>
          <w:spacing w:val="40"/>
          <w:sz w:val="24"/>
        </w:rPr>
        <w:t> </w:t>
      </w:r>
      <w:r>
        <w:rPr>
          <w:sz w:val="24"/>
        </w:rPr>
        <w:t>that</w:t>
      </w:r>
      <w:r>
        <w:rPr>
          <w:spacing w:val="40"/>
          <w:sz w:val="24"/>
        </w:rPr>
        <w:t> </w:t>
      </w:r>
      <w:r>
        <w:rPr>
          <w:sz w:val="24"/>
        </w:rPr>
        <w:t>room.</w:t>
      </w:r>
      <w:r>
        <w:rPr>
          <w:spacing w:val="40"/>
          <w:sz w:val="24"/>
        </w:rPr>
        <w:t> </w:t>
      </w:r>
      <w:r>
        <w:rPr>
          <w:sz w:val="24"/>
        </w:rPr>
        <w:t>The</w:t>
      </w:r>
      <w:r>
        <w:rPr>
          <w:spacing w:val="40"/>
          <w:sz w:val="24"/>
        </w:rPr>
        <w:t> </w:t>
      </w:r>
      <w:r>
        <w:rPr>
          <w:sz w:val="24"/>
        </w:rPr>
        <w:t>size</w:t>
      </w:r>
      <w:r>
        <w:rPr>
          <w:spacing w:val="40"/>
          <w:sz w:val="24"/>
        </w:rPr>
        <w:t> </w:t>
      </w:r>
      <w:r>
        <w:rPr>
          <w:sz w:val="24"/>
        </w:rPr>
        <w:t>of</w:t>
      </w:r>
      <w:r>
        <w:rPr>
          <w:spacing w:val="40"/>
          <w:sz w:val="24"/>
        </w:rPr>
        <w:t> </w:t>
      </w:r>
      <w:r>
        <w:rPr>
          <w:sz w:val="24"/>
        </w:rPr>
        <w:t>mezzanine</w:t>
      </w:r>
      <w:r>
        <w:rPr>
          <w:spacing w:val="40"/>
          <w:sz w:val="24"/>
        </w:rPr>
        <w:t> </w:t>
      </w:r>
      <w:r>
        <w:rPr>
          <w:sz w:val="24"/>
        </w:rPr>
        <w:t>floor</w:t>
      </w:r>
      <w:r>
        <w:rPr>
          <w:spacing w:val="40"/>
          <w:sz w:val="24"/>
        </w:rPr>
        <w:t> </w:t>
      </w:r>
      <w:r>
        <w:rPr>
          <w:sz w:val="24"/>
        </w:rPr>
        <w:t>shall</w:t>
      </w:r>
      <w:r>
        <w:rPr>
          <w:spacing w:val="40"/>
          <w:sz w:val="24"/>
        </w:rPr>
        <w:t> </w:t>
      </w:r>
      <w:r>
        <w:rPr>
          <w:sz w:val="24"/>
        </w:rPr>
        <w:t>not</w:t>
      </w:r>
      <w:r>
        <w:rPr>
          <w:spacing w:val="40"/>
          <w:sz w:val="24"/>
        </w:rPr>
        <w:t> </w:t>
      </w:r>
      <w:r>
        <w:rPr>
          <w:sz w:val="24"/>
        </w:rPr>
        <w:t>be less</w:t>
      </w:r>
      <w:r>
        <w:rPr>
          <w:spacing w:val="40"/>
          <w:sz w:val="24"/>
        </w:rPr>
        <w:t> </w:t>
      </w:r>
      <w:r>
        <w:rPr>
          <w:sz w:val="24"/>
        </w:rPr>
        <w:t>than</w:t>
      </w:r>
      <w:r>
        <w:rPr>
          <w:spacing w:val="40"/>
          <w:sz w:val="24"/>
        </w:rPr>
        <w:t> </w:t>
      </w:r>
      <w:r>
        <w:rPr>
          <w:sz w:val="24"/>
        </w:rPr>
        <w:t>9.5</w:t>
      </w:r>
      <w:r>
        <w:rPr>
          <w:spacing w:val="40"/>
          <w:sz w:val="24"/>
        </w:rPr>
        <w:t> </w:t>
      </w:r>
      <w:r>
        <w:rPr>
          <w:sz w:val="24"/>
        </w:rPr>
        <w:t>sq.mif</w:t>
      </w:r>
      <w:r>
        <w:rPr>
          <w:spacing w:val="40"/>
          <w:sz w:val="24"/>
        </w:rPr>
        <w:t> </w:t>
      </w:r>
      <w:r>
        <w:rPr>
          <w:sz w:val="24"/>
        </w:rPr>
        <w:t>it</w:t>
      </w:r>
      <w:r>
        <w:rPr>
          <w:spacing w:val="40"/>
          <w:sz w:val="24"/>
        </w:rPr>
        <w:t> </w:t>
      </w:r>
      <w:r>
        <w:rPr>
          <w:sz w:val="24"/>
        </w:rPr>
        <w:t>is</w:t>
      </w:r>
      <w:r>
        <w:rPr>
          <w:spacing w:val="40"/>
          <w:sz w:val="24"/>
        </w:rPr>
        <w:t> </w:t>
      </w:r>
      <w:r>
        <w:rPr>
          <w:sz w:val="24"/>
        </w:rPr>
        <w:t>used</w:t>
      </w:r>
      <w:r>
        <w:rPr>
          <w:spacing w:val="40"/>
          <w:sz w:val="24"/>
        </w:rPr>
        <w:t> </w:t>
      </w:r>
      <w:r>
        <w:rPr>
          <w:sz w:val="24"/>
        </w:rPr>
        <w:t>as</w:t>
      </w:r>
      <w:r>
        <w:rPr>
          <w:spacing w:val="40"/>
          <w:sz w:val="24"/>
        </w:rPr>
        <w:t> </w:t>
      </w:r>
      <w:r>
        <w:rPr>
          <w:sz w:val="24"/>
        </w:rPr>
        <w:t>a</w:t>
      </w:r>
      <w:r>
        <w:rPr>
          <w:spacing w:val="40"/>
          <w:sz w:val="24"/>
        </w:rPr>
        <w:t> </w:t>
      </w:r>
      <w:r>
        <w:rPr>
          <w:sz w:val="24"/>
        </w:rPr>
        <w:t>living</w:t>
      </w:r>
      <w:r>
        <w:rPr>
          <w:spacing w:val="40"/>
          <w:sz w:val="24"/>
        </w:rPr>
        <w:t> </w:t>
      </w:r>
      <w:r>
        <w:rPr>
          <w:sz w:val="24"/>
        </w:rPr>
        <w:t>room.</w:t>
      </w:r>
      <w:r>
        <w:rPr>
          <w:spacing w:val="40"/>
          <w:sz w:val="24"/>
        </w:rPr>
        <w:t> </w:t>
      </w:r>
      <w:r>
        <w:rPr>
          <w:sz w:val="24"/>
        </w:rPr>
        <w:t>The</w:t>
      </w:r>
      <w:r>
        <w:rPr>
          <w:spacing w:val="40"/>
          <w:sz w:val="24"/>
        </w:rPr>
        <w:t> </w:t>
      </w:r>
      <w:r>
        <w:rPr>
          <w:sz w:val="24"/>
        </w:rPr>
        <w:t>area</w:t>
      </w:r>
      <w:r>
        <w:rPr>
          <w:spacing w:val="40"/>
          <w:sz w:val="24"/>
        </w:rPr>
        <w:t> </w:t>
      </w:r>
      <w:r>
        <w:rPr>
          <w:sz w:val="24"/>
        </w:rPr>
        <w:t>of</w:t>
      </w:r>
      <w:r>
        <w:rPr>
          <w:spacing w:val="40"/>
          <w:sz w:val="24"/>
        </w:rPr>
        <w:t> </w:t>
      </w:r>
      <w:r>
        <w:rPr>
          <w:sz w:val="24"/>
        </w:rPr>
        <w:t>the mezzanine</w:t>
      </w:r>
      <w:r>
        <w:rPr>
          <w:spacing w:val="40"/>
          <w:sz w:val="24"/>
        </w:rPr>
        <w:t> </w:t>
      </w:r>
      <w:r>
        <w:rPr>
          <w:sz w:val="24"/>
        </w:rPr>
        <w:t>floor</w:t>
      </w:r>
      <w:r>
        <w:rPr>
          <w:spacing w:val="40"/>
          <w:sz w:val="24"/>
        </w:rPr>
        <w:t> </w:t>
      </w:r>
      <w:r>
        <w:rPr>
          <w:sz w:val="24"/>
        </w:rPr>
        <w:t>shall</w:t>
      </w:r>
      <w:r>
        <w:rPr>
          <w:spacing w:val="40"/>
          <w:sz w:val="24"/>
        </w:rPr>
        <w:t> </w:t>
      </w:r>
      <w:r>
        <w:rPr>
          <w:sz w:val="24"/>
        </w:rPr>
        <w:t>be</w:t>
      </w:r>
      <w:r>
        <w:rPr>
          <w:spacing w:val="40"/>
          <w:sz w:val="24"/>
        </w:rPr>
        <w:t> </w:t>
      </w:r>
      <w:r>
        <w:rPr>
          <w:sz w:val="24"/>
        </w:rPr>
        <w:t>counted</w:t>
      </w:r>
      <w:r>
        <w:rPr>
          <w:spacing w:val="40"/>
          <w:sz w:val="24"/>
        </w:rPr>
        <w:t> </w:t>
      </w:r>
      <w:r>
        <w:rPr>
          <w:sz w:val="24"/>
        </w:rPr>
        <w:t>towards</w:t>
      </w:r>
      <w:r>
        <w:rPr>
          <w:spacing w:val="40"/>
          <w:sz w:val="24"/>
        </w:rPr>
        <w:t> </w:t>
      </w:r>
      <w:r>
        <w:rPr>
          <w:sz w:val="24"/>
        </w:rPr>
        <w:t>FSI.</w:t>
      </w:r>
    </w:p>
    <w:p>
      <w:pPr>
        <w:pStyle w:val="BodyText"/>
        <w:spacing w:before="1"/>
        <w:ind w:left="1493" w:right="777"/>
      </w:pPr>
      <w:r>
        <w:rPr/>
        <w:t>Provided,</w:t>
      </w:r>
      <w:r>
        <w:rPr>
          <w:spacing w:val="40"/>
        </w:rPr>
        <w:t> </w:t>
      </w:r>
      <w:r>
        <w:rPr/>
        <w:t>however,</w:t>
      </w:r>
      <w:r>
        <w:rPr>
          <w:spacing w:val="40"/>
        </w:rPr>
        <w:t> </w:t>
      </w:r>
      <w:r>
        <w:rPr/>
        <w:t>that</w:t>
      </w:r>
      <w:r>
        <w:rPr>
          <w:spacing w:val="40"/>
        </w:rPr>
        <w:t> </w:t>
      </w:r>
      <w:r>
        <w:rPr/>
        <w:t>in</w:t>
      </w:r>
      <w:r>
        <w:rPr>
          <w:spacing w:val="40"/>
        </w:rPr>
        <w:t> </w:t>
      </w:r>
      <w:r>
        <w:rPr/>
        <w:t>existing</w:t>
      </w:r>
      <w:r>
        <w:rPr>
          <w:spacing w:val="40"/>
        </w:rPr>
        <w:t> </w:t>
      </w:r>
      <w:r>
        <w:rPr/>
        <w:t>authorized</w:t>
      </w:r>
      <w:r>
        <w:rPr>
          <w:spacing w:val="40"/>
        </w:rPr>
        <w:t> </w:t>
      </w:r>
      <w:r>
        <w:rPr/>
        <w:t>buildings</w:t>
      </w:r>
      <w:r>
        <w:rPr>
          <w:spacing w:val="40"/>
        </w:rPr>
        <w:t> </w:t>
      </w:r>
      <w:r>
        <w:rPr/>
        <w:t>having</w:t>
      </w:r>
      <w:r>
        <w:rPr>
          <w:spacing w:val="40"/>
        </w:rPr>
        <w:t> </w:t>
      </w:r>
      <w:r>
        <w:rPr/>
        <w:t>no balance</w:t>
      </w:r>
      <w:r>
        <w:rPr>
          <w:spacing w:val="40"/>
        </w:rPr>
        <w:t> </w:t>
      </w:r>
      <w:r>
        <w:rPr/>
        <w:t>FSI,</w:t>
      </w:r>
      <w:r>
        <w:rPr>
          <w:spacing w:val="40"/>
        </w:rPr>
        <w:t> </w:t>
      </w:r>
      <w:r>
        <w:rPr/>
        <w:t>area</w:t>
      </w:r>
      <w:r>
        <w:rPr>
          <w:spacing w:val="40"/>
        </w:rPr>
        <w:t> </w:t>
      </w:r>
      <w:r>
        <w:rPr/>
        <w:t>of</w:t>
      </w:r>
      <w:r>
        <w:rPr>
          <w:spacing w:val="40"/>
        </w:rPr>
        <w:t> </w:t>
      </w:r>
      <w:r>
        <w:rPr/>
        <w:t>the</w:t>
      </w:r>
      <w:r>
        <w:rPr>
          <w:spacing w:val="40"/>
        </w:rPr>
        <w:t> </w:t>
      </w:r>
      <w:r>
        <w:rPr/>
        <w:t>mezzanine</w:t>
      </w:r>
      <w:r>
        <w:rPr>
          <w:spacing w:val="40"/>
        </w:rPr>
        <w:t> </w:t>
      </w:r>
      <w:r>
        <w:rPr/>
        <w:t>floors</w:t>
      </w:r>
      <w:r>
        <w:rPr>
          <w:spacing w:val="40"/>
        </w:rPr>
        <w:t> </w:t>
      </w:r>
      <w:r>
        <w:rPr/>
        <w:t>constructed</w:t>
      </w:r>
      <w:r>
        <w:rPr>
          <w:spacing w:val="40"/>
        </w:rPr>
        <w:t> </w:t>
      </w:r>
      <w:r>
        <w:rPr/>
        <w:t>prior</w:t>
      </w:r>
      <w:r>
        <w:rPr>
          <w:spacing w:val="40"/>
        </w:rPr>
        <w:t> </w:t>
      </w:r>
      <w:r>
        <w:rPr/>
        <w:t>to</w:t>
      </w:r>
      <w:r>
        <w:rPr>
          <w:spacing w:val="40"/>
        </w:rPr>
        <w:t> </w:t>
      </w:r>
      <w:r>
        <w:rPr/>
        <w:t>15th August, 1997 without approval, may be exempted from FSI with special permission</w:t>
      </w:r>
      <w:r>
        <w:rPr>
          <w:spacing w:val="40"/>
        </w:rPr>
        <w:t> </w:t>
      </w:r>
      <w:r>
        <w:rPr/>
        <w:t>of</w:t>
      </w:r>
      <w:r>
        <w:rPr>
          <w:spacing w:val="40"/>
        </w:rPr>
        <w:t> </w:t>
      </w:r>
      <w:r>
        <w:rPr/>
        <w:t>the</w:t>
      </w:r>
      <w:r>
        <w:rPr>
          <w:spacing w:val="40"/>
        </w:rPr>
        <w:t> </w:t>
      </w:r>
      <w:r>
        <w:rPr/>
        <w:t>Commissioner</w:t>
      </w:r>
      <w:r>
        <w:rPr>
          <w:spacing w:val="40"/>
        </w:rPr>
        <w:t> </w:t>
      </w:r>
      <w:r>
        <w:rPr/>
        <w:t>subject</w:t>
      </w:r>
      <w:r>
        <w:rPr>
          <w:spacing w:val="40"/>
        </w:rPr>
        <w:t> </w:t>
      </w:r>
      <w:r>
        <w:rPr/>
        <w:t>to</w:t>
      </w:r>
      <w:r>
        <w:rPr>
          <w:spacing w:val="40"/>
        </w:rPr>
        <w:t> </w:t>
      </w:r>
      <w:r>
        <w:rPr/>
        <w:t>the</w:t>
      </w:r>
      <w:r>
        <w:rPr>
          <w:spacing w:val="40"/>
        </w:rPr>
        <w:t> </w:t>
      </w:r>
      <w:r>
        <w:rPr/>
        <w:t>terms</w:t>
      </w:r>
      <w:r>
        <w:rPr>
          <w:spacing w:val="40"/>
        </w:rPr>
        <w:t> </w:t>
      </w:r>
      <w:r>
        <w:rPr/>
        <w:t>and</w:t>
      </w:r>
      <w:r>
        <w:rPr>
          <w:spacing w:val="40"/>
        </w:rPr>
        <w:t> </w:t>
      </w:r>
      <w:r>
        <w:rPr/>
        <w:t>conditions</w:t>
      </w:r>
      <w:r>
        <w:rPr>
          <w:spacing w:val="80"/>
        </w:rPr>
        <w:t> </w:t>
      </w:r>
      <w:r>
        <w:rPr/>
        <w:t>and</w:t>
      </w:r>
      <w:r>
        <w:rPr>
          <w:spacing w:val="40"/>
        </w:rPr>
        <w:t> </w:t>
      </w:r>
      <w:r>
        <w:rPr/>
        <w:t>payment</w:t>
      </w:r>
      <w:r>
        <w:rPr>
          <w:spacing w:val="40"/>
        </w:rPr>
        <w:t> </w:t>
      </w:r>
      <w:r>
        <w:rPr/>
        <w:t>of</w:t>
      </w:r>
      <w:r>
        <w:rPr>
          <w:spacing w:val="40"/>
        </w:rPr>
        <w:t> </w:t>
      </w:r>
      <w:r>
        <w:rPr/>
        <w:t>premium</w:t>
      </w:r>
      <w:r>
        <w:rPr>
          <w:spacing w:val="40"/>
        </w:rPr>
        <w:t> </w:t>
      </w:r>
      <w:r>
        <w:rPr/>
        <w:t>as</w:t>
      </w:r>
      <w:r>
        <w:rPr>
          <w:spacing w:val="40"/>
        </w:rPr>
        <w:t> </w:t>
      </w:r>
      <w:r>
        <w:rPr/>
        <w:t>may</w:t>
      </w:r>
      <w:r>
        <w:rPr>
          <w:spacing w:val="40"/>
        </w:rPr>
        <w:t> </w:t>
      </w:r>
      <w:r>
        <w:rPr/>
        <w:t>be</w:t>
      </w:r>
      <w:r>
        <w:rPr>
          <w:spacing w:val="40"/>
        </w:rPr>
        <w:t> </w:t>
      </w:r>
      <w:r>
        <w:rPr/>
        <w:t>specified</w:t>
      </w:r>
      <w:r>
        <w:rPr>
          <w:spacing w:val="40"/>
        </w:rPr>
        <w:t> </w:t>
      </w:r>
      <w:r>
        <w:rPr/>
        <w:t>by</w:t>
      </w:r>
      <w:r>
        <w:rPr>
          <w:spacing w:val="40"/>
        </w:rPr>
        <w:t> </w:t>
      </w:r>
      <w:r>
        <w:rPr/>
        <w:t>the</w:t>
      </w:r>
      <w:r>
        <w:rPr>
          <w:spacing w:val="40"/>
        </w:rPr>
        <w:t> </w:t>
      </w:r>
      <w:r>
        <w:rPr>
          <w:spacing w:val="9"/>
        </w:rPr>
        <w:t>Commissioner.</w:t>
      </w:r>
    </w:p>
    <w:p>
      <w:pPr>
        <w:pStyle w:val="BodyText"/>
        <w:jc w:val="left"/>
      </w:pPr>
    </w:p>
    <w:p>
      <w:pPr>
        <w:pStyle w:val="BodyText"/>
        <w:spacing w:line="242" w:lineRule="auto"/>
        <w:ind w:left="1493" w:right="796"/>
      </w:pPr>
      <w:r>
        <w:rPr/>
        <w:t>Note-</w:t>
      </w:r>
      <w:r>
        <w:rPr>
          <w:spacing w:val="40"/>
        </w:rPr>
        <w:t> </w:t>
      </w:r>
      <w:r>
        <w:rPr/>
        <w:t>Lofts</w:t>
      </w:r>
      <w:r>
        <w:rPr>
          <w:spacing w:val="40"/>
        </w:rPr>
        <w:t> </w:t>
      </w:r>
      <w:r>
        <w:rPr/>
        <w:t>having</w:t>
      </w:r>
      <w:r>
        <w:rPr>
          <w:spacing w:val="40"/>
        </w:rPr>
        <w:t> </w:t>
      </w:r>
      <w:r>
        <w:rPr/>
        <w:t>head</w:t>
      </w:r>
      <w:r>
        <w:rPr>
          <w:spacing w:val="40"/>
        </w:rPr>
        <w:t> </w:t>
      </w:r>
      <w:r>
        <w:rPr/>
        <w:t>room</w:t>
      </w:r>
      <w:r>
        <w:rPr>
          <w:spacing w:val="40"/>
        </w:rPr>
        <w:t> </w:t>
      </w:r>
      <w:r>
        <w:rPr/>
        <w:t>more</w:t>
      </w:r>
      <w:r>
        <w:rPr>
          <w:spacing w:val="40"/>
        </w:rPr>
        <w:t> </w:t>
      </w:r>
      <w:r>
        <w:rPr/>
        <w:t>than</w:t>
      </w:r>
      <w:r>
        <w:rPr>
          <w:spacing w:val="40"/>
        </w:rPr>
        <w:t> </w:t>
      </w:r>
      <w:r>
        <w:rPr/>
        <w:t>1.5</w:t>
      </w:r>
      <w:r>
        <w:rPr>
          <w:spacing w:val="40"/>
        </w:rPr>
        <w:t> </w:t>
      </w:r>
      <w:r>
        <w:rPr/>
        <w:t>m</w:t>
      </w:r>
      <w:r>
        <w:rPr>
          <w:spacing w:val="40"/>
        </w:rPr>
        <w:t> </w:t>
      </w:r>
      <w:r>
        <w:rPr/>
        <w:t>above</w:t>
      </w:r>
      <w:r>
        <w:rPr>
          <w:spacing w:val="40"/>
        </w:rPr>
        <w:t> </w:t>
      </w:r>
      <w:r>
        <w:rPr/>
        <w:t>shall</w:t>
      </w:r>
      <w:r>
        <w:rPr>
          <w:spacing w:val="40"/>
        </w:rPr>
        <w:t> </w:t>
      </w:r>
      <w:r>
        <w:rPr/>
        <w:t>be</w:t>
      </w:r>
      <w:r>
        <w:rPr>
          <w:spacing w:val="40"/>
        </w:rPr>
        <w:t> </w:t>
      </w:r>
      <w:r>
        <w:rPr/>
        <w:t>treated as mezzanine </w:t>
      </w:r>
      <w:r>
        <w:rPr>
          <w:spacing w:val="9"/>
        </w:rPr>
        <w:t>floor.</w:t>
      </w:r>
    </w:p>
    <w:p>
      <w:pPr>
        <w:pStyle w:val="BodyText"/>
        <w:spacing w:before="2"/>
        <w:jc w:val="left"/>
        <w:rPr>
          <w:sz w:val="6"/>
        </w:rPr>
      </w:pPr>
      <w:r>
        <w:rPr>
          <w:sz w:val="6"/>
        </w:rPr>
        <mc:AlternateContent>
          <mc:Choice Requires="wps">
            <w:drawing>
              <wp:anchor distT="0" distB="0" distL="0" distR="0" allowOverlap="1" layoutInCell="1" locked="0" behindDoc="1" simplePos="0" relativeHeight="487603712">
                <wp:simplePos x="0" y="0"/>
                <wp:positionH relativeFrom="page">
                  <wp:posOffset>1158544</wp:posOffset>
                </wp:positionH>
                <wp:positionV relativeFrom="paragraph">
                  <wp:posOffset>61529</wp:posOffset>
                </wp:positionV>
                <wp:extent cx="5701030" cy="9525"/>
                <wp:effectExtent l="0" t="0" r="0" b="0"/>
                <wp:wrapTopAndBottom/>
                <wp:docPr id="411" name="Graphic 411"/>
                <wp:cNvGraphicFramePr>
                  <a:graphicFrameLocks/>
                </wp:cNvGraphicFramePr>
                <a:graphic>
                  <a:graphicData uri="http://schemas.microsoft.com/office/word/2010/wordprocessingShape">
                    <wps:wsp>
                      <wps:cNvPr id="411" name="Graphic 411"/>
                      <wps:cNvSpPr/>
                      <wps:spPr>
                        <a:xfrm>
                          <a:off x="0" y="0"/>
                          <a:ext cx="5701030" cy="9525"/>
                        </a:xfrm>
                        <a:custGeom>
                          <a:avLst/>
                          <a:gdLst/>
                          <a:ahLst/>
                          <a:cxnLst/>
                          <a:rect l="l" t="t" r="r" b="b"/>
                          <a:pathLst>
                            <a:path w="5701030" h="9525">
                              <a:moveTo>
                                <a:pt x="5700649" y="0"/>
                              </a:moveTo>
                              <a:lnTo>
                                <a:pt x="0" y="0"/>
                              </a:lnTo>
                              <a:lnTo>
                                <a:pt x="0" y="9144"/>
                              </a:lnTo>
                              <a:lnTo>
                                <a:pt x="5700649" y="9144"/>
                              </a:lnTo>
                              <a:lnTo>
                                <a:pt x="57006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1.223999pt;margin-top:4.844844pt;width:448.87pt;height:.72pt;mso-position-horizontal-relative:page;mso-position-vertical-relative:paragraph;z-index:-15712768;mso-wrap-distance-left:0;mso-wrap-distance-right:0" id="docshape353" filled="true" fillcolor="#000000" stroked="false">
                <v:fill type="solid"/>
                <w10:wrap type="topAndBottom"/>
              </v:rect>
            </w:pict>
          </mc:Fallback>
        </mc:AlternateContent>
      </w:r>
    </w:p>
    <w:p>
      <w:pPr>
        <w:pStyle w:val="ListParagraph"/>
        <w:numPr>
          <w:ilvl w:val="1"/>
          <w:numId w:val="246"/>
        </w:numPr>
        <w:tabs>
          <w:tab w:pos="1493" w:val="left" w:leader="none"/>
          <w:tab w:pos="1660" w:val="left" w:leader="none"/>
        </w:tabs>
        <w:spacing w:line="240" w:lineRule="auto" w:before="0" w:after="0"/>
        <w:ind w:left="1493" w:right="790" w:hanging="180"/>
        <w:jc w:val="both"/>
        <w:rPr>
          <w:sz w:val="24"/>
        </w:rPr>
      </w:pPr>
      <w:r>
        <w:rPr>
          <w:i/>
          <w:spacing w:val="9"/>
          <w:sz w:val="24"/>
        </w:rPr>
        <w:t>Height</w:t>
      </w:r>
      <w:r>
        <w:rPr>
          <w:spacing w:val="9"/>
          <w:sz w:val="24"/>
        </w:rPr>
        <w:t>-</w:t>
      </w:r>
      <w:r>
        <w:rPr>
          <w:sz w:val="24"/>
        </w:rPr>
        <w:t>The minimum </w:t>
      </w:r>
      <w:r>
        <w:rPr>
          <w:spacing w:val="9"/>
          <w:sz w:val="24"/>
        </w:rPr>
        <w:t>height/head-</w:t>
      </w:r>
      <w:r>
        <w:rPr>
          <w:sz w:val="24"/>
        </w:rPr>
        <w:t>room above a mezzanine floor shall</w:t>
      </w:r>
      <w:r>
        <w:rPr>
          <w:spacing w:val="40"/>
          <w:sz w:val="24"/>
        </w:rPr>
        <w:t> </w:t>
      </w:r>
      <w:r>
        <w:rPr>
          <w:sz w:val="24"/>
        </w:rPr>
        <w:t>be 2.2m. The </w:t>
      </w:r>
      <w:r>
        <w:rPr>
          <w:spacing w:val="10"/>
          <w:sz w:val="24"/>
        </w:rPr>
        <w:t>head-</w:t>
      </w:r>
      <w:r>
        <w:rPr>
          <w:sz w:val="24"/>
        </w:rPr>
        <w:t>room under a mezzanine floor shall not be less than </w:t>
      </w:r>
      <w:r>
        <w:rPr>
          <w:spacing w:val="-2"/>
          <w:sz w:val="24"/>
        </w:rPr>
        <w:t>2.2m.</w:t>
      </w:r>
    </w:p>
    <w:p>
      <w:pPr>
        <w:pStyle w:val="ListParagraph"/>
        <w:numPr>
          <w:ilvl w:val="1"/>
          <w:numId w:val="246"/>
        </w:numPr>
        <w:tabs>
          <w:tab w:pos="1493" w:val="left" w:leader="none"/>
          <w:tab w:pos="1794" w:val="left" w:leader="none"/>
        </w:tabs>
        <w:spacing w:line="240" w:lineRule="auto" w:before="0" w:after="0"/>
        <w:ind w:left="1493" w:right="793" w:hanging="180"/>
        <w:jc w:val="both"/>
        <w:rPr>
          <w:sz w:val="24"/>
        </w:rPr>
      </w:pPr>
      <w:r>
        <w:rPr>
          <w:i/>
          <w:sz w:val="24"/>
        </w:rPr>
        <w:t>Other</w:t>
      </w:r>
      <w:r>
        <w:rPr>
          <w:i/>
          <w:spacing w:val="40"/>
          <w:sz w:val="24"/>
        </w:rPr>
        <w:t> </w:t>
      </w:r>
      <w:r>
        <w:rPr>
          <w:i/>
          <w:spacing w:val="9"/>
          <w:sz w:val="24"/>
        </w:rPr>
        <w:t>Requirements</w:t>
      </w:r>
      <w:r>
        <w:rPr>
          <w:spacing w:val="9"/>
          <w:sz w:val="24"/>
        </w:rPr>
        <w:t>-</w:t>
      </w:r>
      <w:r>
        <w:rPr>
          <w:sz w:val="24"/>
        </w:rPr>
        <w:t>A</w:t>
      </w:r>
      <w:r>
        <w:rPr>
          <w:spacing w:val="40"/>
          <w:sz w:val="24"/>
        </w:rPr>
        <w:t> </w:t>
      </w:r>
      <w:r>
        <w:rPr>
          <w:sz w:val="24"/>
        </w:rPr>
        <w:t>mezzanine</w:t>
      </w:r>
      <w:r>
        <w:rPr>
          <w:spacing w:val="40"/>
          <w:sz w:val="24"/>
        </w:rPr>
        <w:t> </w:t>
      </w:r>
      <w:r>
        <w:rPr>
          <w:sz w:val="24"/>
        </w:rPr>
        <w:t>floor</w:t>
      </w:r>
      <w:r>
        <w:rPr>
          <w:spacing w:val="40"/>
          <w:sz w:val="24"/>
        </w:rPr>
        <w:t> </w:t>
      </w:r>
      <w:r>
        <w:rPr>
          <w:sz w:val="24"/>
        </w:rPr>
        <w:t>may</w:t>
      </w:r>
      <w:r>
        <w:rPr>
          <w:spacing w:val="40"/>
          <w:sz w:val="24"/>
        </w:rPr>
        <w:t> </w:t>
      </w:r>
      <w:r>
        <w:rPr>
          <w:sz w:val="24"/>
        </w:rPr>
        <w:t>be</w:t>
      </w:r>
      <w:r>
        <w:rPr>
          <w:spacing w:val="40"/>
          <w:sz w:val="24"/>
        </w:rPr>
        <w:t> </w:t>
      </w:r>
      <w:r>
        <w:rPr>
          <w:sz w:val="24"/>
        </w:rPr>
        <w:t>permitted</w:t>
      </w:r>
      <w:r>
        <w:rPr>
          <w:spacing w:val="40"/>
          <w:sz w:val="24"/>
        </w:rPr>
        <w:t> </w:t>
      </w:r>
      <w:r>
        <w:rPr>
          <w:sz w:val="24"/>
        </w:rPr>
        <w:t>over</w:t>
      </w:r>
      <w:r>
        <w:rPr>
          <w:spacing w:val="40"/>
          <w:sz w:val="24"/>
        </w:rPr>
        <w:t> </w:t>
      </w:r>
      <w:r>
        <w:rPr>
          <w:sz w:val="24"/>
        </w:rPr>
        <w:t>a</w:t>
      </w:r>
      <w:r>
        <w:rPr>
          <w:spacing w:val="40"/>
          <w:sz w:val="24"/>
        </w:rPr>
        <w:t> </w:t>
      </w:r>
      <w:r>
        <w:rPr>
          <w:sz w:val="24"/>
        </w:rPr>
        <w:t>room or a compartment, if</w:t>
      </w:r>
    </w:p>
    <w:p>
      <w:pPr>
        <w:pStyle w:val="ListParagraph"/>
        <w:numPr>
          <w:ilvl w:val="2"/>
          <w:numId w:val="246"/>
        </w:numPr>
        <w:tabs>
          <w:tab w:pos="1493" w:val="left" w:leader="none"/>
          <w:tab w:pos="2213" w:val="left" w:leader="none"/>
        </w:tabs>
        <w:spacing w:line="240" w:lineRule="auto" w:before="280" w:after="0"/>
        <w:ind w:left="1493" w:right="800" w:hanging="180"/>
        <w:jc w:val="left"/>
        <w:rPr>
          <w:sz w:val="24"/>
        </w:rPr>
      </w:pPr>
      <w:r>
        <w:rPr>
          <w:sz w:val="24"/>
        </w:rPr>
        <w:t>it</w:t>
      </w:r>
      <w:r>
        <w:rPr>
          <w:spacing w:val="40"/>
          <w:sz w:val="24"/>
        </w:rPr>
        <w:t> </w:t>
      </w:r>
      <w:r>
        <w:rPr>
          <w:sz w:val="24"/>
        </w:rPr>
        <w:t>conforms</w:t>
      </w:r>
      <w:r>
        <w:rPr>
          <w:spacing w:val="40"/>
          <w:sz w:val="24"/>
        </w:rPr>
        <w:t> </w:t>
      </w:r>
      <w:r>
        <w:rPr>
          <w:sz w:val="24"/>
        </w:rPr>
        <w:t>to</w:t>
      </w:r>
      <w:r>
        <w:rPr>
          <w:spacing w:val="40"/>
          <w:sz w:val="24"/>
        </w:rPr>
        <w:t> </w:t>
      </w:r>
      <w:r>
        <w:rPr>
          <w:sz w:val="24"/>
        </w:rPr>
        <w:t>the</w:t>
      </w:r>
      <w:r>
        <w:rPr>
          <w:spacing w:val="40"/>
          <w:sz w:val="24"/>
        </w:rPr>
        <w:t> </w:t>
      </w:r>
      <w:r>
        <w:rPr>
          <w:sz w:val="24"/>
        </w:rPr>
        <w:t>standards</w:t>
      </w:r>
      <w:r>
        <w:rPr>
          <w:spacing w:val="40"/>
          <w:sz w:val="24"/>
        </w:rPr>
        <w:t> </w:t>
      </w:r>
      <w:r>
        <w:rPr>
          <w:sz w:val="24"/>
        </w:rPr>
        <w:t>of</w:t>
      </w:r>
      <w:r>
        <w:rPr>
          <w:spacing w:val="40"/>
          <w:sz w:val="24"/>
        </w:rPr>
        <w:t> </w:t>
      </w:r>
      <w:r>
        <w:rPr>
          <w:sz w:val="24"/>
        </w:rPr>
        <w:t>living</w:t>
      </w:r>
      <w:r>
        <w:rPr>
          <w:spacing w:val="40"/>
          <w:sz w:val="24"/>
        </w:rPr>
        <w:t> </w:t>
      </w:r>
      <w:r>
        <w:rPr>
          <w:sz w:val="24"/>
        </w:rPr>
        <w:t>rooms</w:t>
      </w:r>
      <w:r>
        <w:rPr>
          <w:spacing w:val="40"/>
          <w:sz w:val="24"/>
        </w:rPr>
        <w:t> </w:t>
      </w:r>
      <w:r>
        <w:rPr>
          <w:sz w:val="24"/>
        </w:rPr>
        <w:t>in</w:t>
      </w:r>
      <w:r>
        <w:rPr>
          <w:spacing w:val="40"/>
          <w:sz w:val="24"/>
        </w:rPr>
        <w:t> </w:t>
      </w:r>
      <w:r>
        <w:rPr>
          <w:sz w:val="24"/>
        </w:rPr>
        <w:t>regard</w:t>
      </w:r>
      <w:r>
        <w:rPr>
          <w:spacing w:val="40"/>
          <w:sz w:val="24"/>
        </w:rPr>
        <w:t> </w:t>
      </w:r>
      <w:r>
        <w:rPr>
          <w:sz w:val="24"/>
        </w:rPr>
        <w:t>to</w:t>
      </w:r>
      <w:r>
        <w:rPr>
          <w:spacing w:val="40"/>
          <w:sz w:val="24"/>
        </w:rPr>
        <w:t> </w:t>
      </w:r>
      <w:r>
        <w:rPr>
          <w:sz w:val="24"/>
        </w:rPr>
        <w:t>lighting and</w:t>
      </w:r>
      <w:r>
        <w:rPr>
          <w:spacing w:val="40"/>
          <w:sz w:val="24"/>
        </w:rPr>
        <w:t> </w:t>
      </w:r>
      <w:r>
        <w:rPr>
          <w:sz w:val="24"/>
        </w:rPr>
        <w:t>ventilation</w:t>
      </w:r>
      <w:r>
        <w:rPr>
          <w:spacing w:val="40"/>
          <w:sz w:val="24"/>
        </w:rPr>
        <w:t> </w:t>
      </w:r>
      <w:r>
        <w:rPr>
          <w:sz w:val="24"/>
        </w:rPr>
        <w:t>in</w:t>
      </w:r>
      <w:r>
        <w:rPr>
          <w:spacing w:val="40"/>
          <w:sz w:val="24"/>
        </w:rPr>
        <w:t> </w:t>
      </w:r>
      <w:r>
        <w:rPr>
          <w:sz w:val="24"/>
        </w:rPr>
        <w:t>case</w:t>
      </w:r>
      <w:r>
        <w:rPr>
          <w:spacing w:val="40"/>
          <w:sz w:val="24"/>
        </w:rPr>
        <w:t> </w:t>
      </w:r>
      <w:r>
        <w:rPr>
          <w:sz w:val="24"/>
        </w:rPr>
        <w:t>its</w:t>
      </w:r>
      <w:r>
        <w:rPr>
          <w:spacing w:val="40"/>
          <w:sz w:val="24"/>
        </w:rPr>
        <w:t> </w:t>
      </w:r>
      <w:r>
        <w:rPr>
          <w:sz w:val="24"/>
        </w:rPr>
        <w:t>size</w:t>
      </w:r>
      <w:r>
        <w:rPr>
          <w:spacing w:val="40"/>
          <w:sz w:val="24"/>
        </w:rPr>
        <w:t> </w:t>
      </w:r>
      <w:r>
        <w:rPr>
          <w:sz w:val="24"/>
        </w:rPr>
        <w:t>is</w:t>
      </w:r>
      <w:r>
        <w:rPr>
          <w:spacing w:val="40"/>
          <w:sz w:val="24"/>
        </w:rPr>
        <w:t> </w:t>
      </w:r>
      <w:r>
        <w:rPr>
          <w:sz w:val="24"/>
        </w:rPr>
        <w:t>9.5</w:t>
      </w:r>
      <w:r>
        <w:rPr>
          <w:spacing w:val="40"/>
          <w:sz w:val="24"/>
        </w:rPr>
        <w:t> </w:t>
      </w:r>
      <w:r>
        <w:rPr>
          <w:sz w:val="24"/>
        </w:rPr>
        <w:t>sq.</w:t>
      </w:r>
      <w:r>
        <w:rPr>
          <w:spacing w:val="40"/>
          <w:sz w:val="24"/>
        </w:rPr>
        <w:t> </w:t>
      </w:r>
      <w:r>
        <w:rPr>
          <w:sz w:val="24"/>
        </w:rPr>
        <w:t>m</w:t>
      </w:r>
      <w:r>
        <w:rPr>
          <w:spacing w:val="40"/>
          <w:sz w:val="24"/>
        </w:rPr>
        <w:t> </w:t>
      </w:r>
      <w:r>
        <w:rPr>
          <w:sz w:val="24"/>
        </w:rPr>
        <w:t>or</w:t>
      </w:r>
      <w:r>
        <w:rPr>
          <w:spacing w:val="40"/>
          <w:sz w:val="24"/>
        </w:rPr>
        <w:t> </w:t>
      </w:r>
      <w:r>
        <w:rPr>
          <w:sz w:val="24"/>
        </w:rPr>
        <w:t>more;</w:t>
      </w:r>
    </w:p>
    <w:p>
      <w:pPr>
        <w:pStyle w:val="ListParagraph"/>
        <w:numPr>
          <w:ilvl w:val="2"/>
          <w:numId w:val="246"/>
        </w:numPr>
        <w:tabs>
          <w:tab w:pos="1493" w:val="left" w:leader="none"/>
          <w:tab w:pos="2213" w:val="left" w:leader="none"/>
        </w:tabs>
        <w:spacing w:line="240" w:lineRule="auto" w:before="0" w:after="0"/>
        <w:ind w:left="1493" w:right="801" w:hanging="180"/>
        <w:jc w:val="left"/>
        <w:rPr>
          <w:sz w:val="24"/>
        </w:rPr>
      </w:pPr>
      <w:r>
        <w:rPr>
          <w:sz w:val="24"/>
        </w:rPr>
        <w:t>it</w:t>
      </w:r>
      <w:r>
        <w:rPr>
          <w:spacing w:val="40"/>
          <w:sz w:val="24"/>
        </w:rPr>
        <w:t> </w:t>
      </w:r>
      <w:r>
        <w:rPr>
          <w:sz w:val="24"/>
        </w:rPr>
        <w:t>is</w:t>
      </w:r>
      <w:r>
        <w:rPr>
          <w:spacing w:val="40"/>
          <w:sz w:val="24"/>
        </w:rPr>
        <w:t> </w:t>
      </w:r>
      <w:r>
        <w:rPr>
          <w:sz w:val="24"/>
        </w:rPr>
        <w:t>so</w:t>
      </w:r>
      <w:r>
        <w:rPr>
          <w:spacing w:val="40"/>
          <w:sz w:val="24"/>
        </w:rPr>
        <w:t> </w:t>
      </w:r>
      <w:r>
        <w:rPr>
          <w:sz w:val="24"/>
        </w:rPr>
        <w:t>constructed</w:t>
      </w:r>
      <w:r>
        <w:rPr>
          <w:spacing w:val="40"/>
          <w:sz w:val="24"/>
        </w:rPr>
        <w:t> </w:t>
      </w:r>
      <w:r>
        <w:rPr>
          <w:sz w:val="24"/>
        </w:rPr>
        <w:t>as</w:t>
      </w:r>
      <w:r>
        <w:rPr>
          <w:spacing w:val="40"/>
          <w:sz w:val="24"/>
        </w:rPr>
        <w:t> </w:t>
      </w:r>
      <w:r>
        <w:rPr>
          <w:sz w:val="24"/>
        </w:rPr>
        <w:t>not</w:t>
      </w:r>
      <w:r>
        <w:rPr>
          <w:spacing w:val="40"/>
          <w:sz w:val="24"/>
        </w:rPr>
        <w:t> </w:t>
      </w:r>
      <w:r>
        <w:rPr>
          <w:sz w:val="24"/>
        </w:rPr>
        <w:t>to</w:t>
      </w:r>
      <w:r>
        <w:rPr>
          <w:spacing w:val="40"/>
          <w:sz w:val="24"/>
        </w:rPr>
        <w:t> </w:t>
      </w:r>
      <w:r>
        <w:rPr>
          <w:sz w:val="24"/>
        </w:rPr>
        <w:t>interfere</w:t>
      </w:r>
      <w:r>
        <w:rPr>
          <w:spacing w:val="40"/>
          <w:sz w:val="24"/>
        </w:rPr>
        <w:t> </w:t>
      </w:r>
      <w:r>
        <w:rPr>
          <w:sz w:val="24"/>
        </w:rPr>
        <w:t>under</w:t>
      </w:r>
      <w:r>
        <w:rPr>
          <w:spacing w:val="40"/>
          <w:sz w:val="24"/>
        </w:rPr>
        <w:t> </w:t>
      </w:r>
      <w:r>
        <w:rPr>
          <w:sz w:val="24"/>
        </w:rPr>
        <w:t>any</w:t>
      </w:r>
      <w:r>
        <w:rPr>
          <w:spacing w:val="40"/>
          <w:sz w:val="24"/>
        </w:rPr>
        <w:t> </w:t>
      </w:r>
      <w:r>
        <w:rPr>
          <w:sz w:val="24"/>
        </w:rPr>
        <w:t>circumstances</w:t>
      </w:r>
      <w:r>
        <w:rPr>
          <w:spacing w:val="80"/>
          <w:sz w:val="24"/>
        </w:rPr>
        <w:t> </w:t>
      </w:r>
      <w:r>
        <w:rPr>
          <w:sz w:val="24"/>
        </w:rPr>
        <w:t>with</w:t>
      </w:r>
      <w:r>
        <w:rPr>
          <w:spacing w:val="40"/>
          <w:sz w:val="24"/>
        </w:rPr>
        <w:t> </w:t>
      </w:r>
      <w:r>
        <w:rPr>
          <w:sz w:val="24"/>
        </w:rPr>
        <w:t>the</w:t>
      </w:r>
      <w:r>
        <w:rPr>
          <w:spacing w:val="40"/>
          <w:sz w:val="24"/>
        </w:rPr>
        <w:t> </w:t>
      </w:r>
      <w:r>
        <w:rPr>
          <w:sz w:val="24"/>
        </w:rPr>
        <w:t>ventilation</w:t>
      </w:r>
      <w:r>
        <w:rPr>
          <w:spacing w:val="40"/>
          <w:sz w:val="24"/>
        </w:rPr>
        <w:t> </w:t>
      </w:r>
      <w:r>
        <w:rPr>
          <w:sz w:val="24"/>
        </w:rPr>
        <w:t>of</w:t>
      </w:r>
      <w:r>
        <w:rPr>
          <w:spacing w:val="40"/>
          <w:sz w:val="24"/>
        </w:rPr>
        <w:t> </w:t>
      </w:r>
      <w:r>
        <w:rPr>
          <w:sz w:val="24"/>
        </w:rPr>
        <w:t>the</w:t>
      </w:r>
      <w:r>
        <w:rPr>
          <w:spacing w:val="40"/>
          <w:sz w:val="24"/>
        </w:rPr>
        <w:t> </w:t>
      </w:r>
      <w:r>
        <w:rPr>
          <w:sz w:val="24"/>
        </w:rPr>
        <w:t>space</w:t>
      </w:r>
      <w:r>
        <w:rPr>
          <w:spacing w:val="40"/>
          <w:sz w:val="24"/>
        </w:rPr>
        <w:t> </w:t>
      </w:r>
      <w:r>
        <w:rPr>
          <w:sz w:val="24"/>
        </w:rPr>
        <w:t>over</w:t>
      </w:r>
      <w:r>
        <w:rPr>
          <w:spacing w:val="40"/>
          <w:sz w:val="24"/>
        </w:rPr>
        <w:t> </w:t>
      </w:r>
      <w:r>
        <w:rPr>
          <w:sz w:val="24"/>
        </w:rPr>
        <w:t>and</w:t>
      </w:r>
      <w:r>
        <w:rPr>
          <w:spacing w:val="40"/>
          <w:sz w:val="24"/>
        </w:rPr>
        <w:t> </w:t>
      </w:r>
      <w:r>
        <w:rPr>
          <w:sz w:val="24"/>
        </w:rPr>
        <w:t>under</w:t>
      </w:r>
      <w:r>
        <w:rPr>
          <w:spacing w:val="40"/>
          <w:sz w:val="24"/>
        </w:rPr>
        <w:t> </w:t>
      </w:r>
      <w:r>
        <w:rPr>
          <w:sz w:val="24"/>
        </w:rPr>
        <w:t>it;</w:t>
      </w:r>
    </w:p>
    <w:p>
      <w:pPr>
        <w:pStyle w:val="ListParagraph"/>
        <w:numPr>
          <w:ilvl w:val="2"/>
          <w:numId w:val="246"/>
        </w:numPr>
        <w:tabs>
          <w:tab w:pos="1623" w:val="left" w:leader="none"/>
        </w:tabs>
        <w:spacing w:line="282" w:lineRule="exact" w:before="1" w:after="0"/>
        <w:ind w:left="1623" w:right="0" w:hanging="310"/>
        <w:jc w:val="left"/>
        <w:rPr>
          <w:sz w:val="24"/>
        </w:rPr>
      </w:pPr>
      <w:r>
        <w:rPr>
          <w:sz w:val="24"/>
        </w:rPr>
        <w:t>no</w:t>
      </w:r>
      <w:r>
        <w:rPr>
          <w:spacing w:val="42"/>
          <w:sz w:val="24"/>
        </w:rPr>
        <w:t> </w:t>
      </w:r>
      <w:r>
        <w:rPr>
          <w:sz w:val="24"/>
        </w:rPr>
        <w:t>part</w:t>
      </w:r>
      <w:r>
        <w:rPr>
          <w:spacing w:val="45"/>
          <w:sz w:val="24"/>
        </w:rPr>
        <w:t> </w:t>
      </w:r>
      <w:r>
        <w:rPr>
          <w:sz w:val="24"/>
        </w:rPr>
        <w:t>of</w:t>
      </w:r>
      <w:r>
        <w:rPr>
          <w:spacing w:val="43"/>
          <w:sz w:val="24"/>
        </w:rPr>
        <w:t> </w:t>
      </w:r>
      <w:r>
        <w:rPr>
          <w:sz w:val="24"/>
        </w:rPr>
        <w:t>it</w:t>
      </w:r>
      <w:r>
        <w:rPr>
          <w:spacing w:val="43"/>
          <w:sz w:val="24"/>
        </w:rPr>
        <w:t> </w:t>
      </w:r>
      <w:r>
        <w:rPr>
          <w:sz w:val="24"/>
        </w:rPr>
        <w:t>is</w:t>
      </w:r>
      <w:r>
        <w:rPr>
          <w:spacing w:val="43"/>
          <w:sz w:val="24"/>
        </w:rPr>
        <w:t> </w:t>
      </w:r>
      <w:r>
        <w:rPr>
          <w:sz w:val="24"/>
        </w:rPr>
        <w:t>put</w:t>
      </w:r>
      <w:r>
        <w:rPr>
          <w:spacing w:val="45"/>
          <w:sz w:val="24"/>
        </w:rPr>
        <w:t> </w:t>
      </w:r>
      <w:r>
        <w:rPr>
          <w:sz w:val="24"/>
        </w:rPr>
        <w:t>to</w:t>
      </w:r>
      <w:r>
        <w:rPr>
          <w:spacing w:val="43"/>
          <w:sz w:val="24"/>
        </w:rPr>
        <w:t> </w:t>
      </w:r>
      <w:r>
        <w:rPr>
          <w:sz w:val="24"/>
        </w:rPr>
        <w:t>use</w:t>
      </w:r>
      <w:r>
        <w:rPr>
          <w:spacing w:val="42"/>
          <w:sz w:val="24"/>
        </w:rPr>
        <w:t> </w:t>
      </w:r>
      <w:r>
        <w:rPr>
          <w:sz w:val="24"/>
        </w:rPr>
        <w:t>as</w:t>
      </w:r>
      <w:r>
        <w:rPr>
          <w:spacing w:val="43"/>
          <w:sz w:val="24"/>
        </w:rPr>
        <w:t> </w:t>
      </w:r>
      <w:r>
        <w:rPr>
          <w:sz w:val="24"/>
        </w:rPr>
        <w:t>a</w:t>
      </w:r>
      <w:r>
        <w:rPr>
          <w:spacing w:val="43"/>
          <w:sz w:val="24"/>
        </w:rPr>
        <w:t> </w:t>
      </w:r>
      <w:r>
        <w:rPr>
          <w:sz w:val="24"/>
        </w:rPr>
        <w:t>kitchen/sanitary</w:t>
      </w:r>
      <w:r>
        <w:rPr>
          <w:spacing w:val="43"/>
          <w:sz w:val="24"/>
        </w:rPr>
        <w:t> </w:t>
      </w:r>
      <w:r>
        <w:rPr>
          <w:spacing w:val="7"/>
          <w:sz w:val="24"/>
        </w:rPr>
        <w:t>block;</w:t>
      </w:r>
    </w:p>
    <w:p>
      <w:pPr>
        <w:pStyle w:val="ListParagraph"/>
        <w:numPr>
          <w:ilvl w:val="2"/>
          <w:numId w:val="246"/>
        </w:numPr>
        <w:tabs>
          <w:tab w:pos="1493" w:val="left" w:leader="none"/>
          <w:tab w:pos="2213" w:val="left" w:leader="none"/>
        </w:tabs>
        <w:spacing w:line="240" w:lineRule="auto" w:before="0" w:after="0"/>
        <w:ind w:left="1493" w:right="795" w:hanging="180"/>
        <w:jc w:val="left"/>
        <w:rPr>
          <w:sz w:val="24"/>
        </w:rPr>
      </w:pPr>
      <w:r>
        <w:rPr>
          <w:sz w:val="24"/>
        </w:rPr>
        <w:t>it</w:t>
      </w:r>
      <w:r>
        <w:rPr>
          <w:spacing w:val="38"/>
          <w:sz w:val="24"/>
        </w:rPr>
        <w:t> </w:t>
      </w:r>
      <w:r>
        <w:rPr>
          <w:sz w:val="24"/>
        </w:rPr>
        <w:t>is</w:t>
      </w:r>
      <w:r>
        <w:rPr>
          <w:spacing w:val="40"/>
          <w:sz w:val="24"/>
        </w:rPr>
        <w:t> </w:t>
      </w:r>
      <w:r>
        <w:rPr>
          <w:sz w:val="24"/>
        </w:rPr>
        <w:t>not</w:t>
      </w:r>
      <w:r>
        <w:rPr>
          <w:spacing w:val="40"/>
          <w:sz w:val="24"/>
        </w:rPr>
        <w:t> </w:t>
      </w:r>
      <w:r>
        <w:rPr>
          <w:sz w:val="24"/>
        </w:rPr>
        <w:t>closed,</w:t>
      </w:r>
      <w:r>
        <w:rPr>
          <w:spacing w:val="40"/>
          <w:sz w:val="24"/>
        </w:rPr>
        <w:t> </w:t>
      </w:r>
      <w:r>
        <w:rPr>
          <w:sz w:val="24"/>
        </w:rPr>
        <w:t>so</w:t>
      </w:r>
      <w:r>
        <w:rPr>
          <w:spacing w:val="40"/>
          <w:sz w:val="24"/>
        </w:rPr>
        <w:t> </w:t>
      </w:r>
      <w:r>
        <w:rPr>
          <w:sz w:val="24"/>
        </w:rPr>
        <w:t>that</w:t>
      </w:r>
      <w:r>
        <w:rPr>
          <w:spacing w:val="38"/>
          <w:sz w:val="24"/>
        </w:rPr>
        <w:t> </w:t>
      </w:r>
      <w:r>
        <w:rPr>
          <w:sz w:val="24"/>
        </w:rPr>
        <w:t>it</w:t>
      </w:r>
      <w:r>
        <w:rPr>
          <w:spacing w:val="40"/>
          <w:sz w:val="24"/>
        </w:rPr>
        <w:t> </w:t>
      </w:r>
      <w:r>
        <w:rPr>
          <w:sz w:val="24"/>
        </w:rPr>
        <w:t>could</w:t>
      </w:r>
      <w:r>
        <w:rPr>
          <w:spacing w:val="40"/>
          <w:sz w:val="24"/>
        </w:rPr>
        <w:t> </w:t>
      </w:r>
      <w:r>
        <w:rPr>
          <w:sz w:val="24"/>
        </w:rPr>
        <w:t>be</w:t>
      </w:r>
      <w:r>
        <w:rPr>
          <w:spacing w:val="40"/>
          <w:sz w:val="24"/>
        </w:rPr>
        <w:t> </w:t>
      </w:r>
      <w:r>
        <w:rPr>
          <w:sz w:val="24"/>
        </w:rPr>
        <w:t>converted</w:t>
      </w:r>
      <w:r>
        <w:rPr>
          <w:spacing w:val="40"/>
          <w:sz w:val="24"/>
        </w:rPr>
        <w:t> </w:t>
      </w:r>
      <w:r>
        <w:rPr>
          <w:sz w:val="24"/>
        </w:rPr>
        <w:t>into</w:t>
      </w:r>
      <w:r>
        <w:rPr>
          <w:spacing w:val="40"/>
          <w:sz w:val="24"/>
        </w:rPr>
        <w:t> </w:t>
      </w:r>
      <w:r>
        <w:rPr>
          <w:sz w:val="24"/>
        </w:rPr>
        <w:t>an</w:t>
      </w:r>
      <w:r>
        <w:rPr>
          <w:spacing w:val="40"/>
          <w:sz w:val="24"/>
        </w:rPr>
        <w:t> </w:t>
      </w:r>
      <w:r>
        <w:rPr>
          <w:sz w:val="24"/>
        </w:rPr>
        <w:t>unventilated </w:t>
      </w:r>
      <w:r>
        <w:rPr>
          <w:spacing w:val="7"/>
          <w:sz w:val="24"/>
        </w:rPr>
        <w:t>compartment;</w:t>
      </w:r>
    </w:p>
    <w:p>
      <w:pPr>
        <w:pStyle w:val="ListParagraph"/>
        <w:numPr>
          <w:ilvl w:val="2"/>
          <w:numId w:val="246"/>
        </w:numPr>
        <w:tabs>
          <w:tab w:pos="1623" w:val="left" w:leader="none"/>
        </w:tabs>
        <w:spacing w:line="240" w:lineRule="auto" w:before="0" w:after="0"/>
        <w:ind w:left="1623" w:right="0" w:hanging="310"/>
        <w:jc w:val="left"/>
        <w:rPr>
          <w:sz w:val="24"/>
        </w:rPr>
      </w:pPr>
      <w:r>
        <w:rPr>
          <w:sz w:val="24"/>
        </w:rPr>
        <w:t>it</w:t>
      </w:r>
      <w:r>
        <w:rPr>
          <w:spacing w:val="40"/>
          <w:sz w:val="24"/>
        </w:rPr>
        <w:t> </w:t>
      </w:r>
      <w:r>
        <w:rPr>
          <w:sz w:val="24"/>
        </w:rPr>
        <w:t>is</w:t>
      </w:r>
      <w:r>
        <w:rPr>
          <w:spacing w:val="41"/>
          <w:sz w:val="24"/>
        </w:rPr>
        <w:t> </w:t>
      </w:r>
      <w:r>
        <w:rPr>
          <w:sz w:val="24"/>
        </w:rPr>
        <w:t>at</w:t>
      </w:r>
      <w:r>
        <w:rPr>
          <w:spacing w:val="44"/>
          <w:sz w:val="24"/>
        </w:rPr>
        <w:t> </w:t>
      </w:r>
      <w:r>
        <w:rPr>
          <w:sz w:val="24"/>
        </w:rPr>
        <w:t>least</w:t>
      </w:r>
      <w:r>
        <w:rPr>
          <w:spacing w:val="43"/>
          <w:sz w:val="24"/>
        </w:rPr>
        <w:t> </w:t>
      </w:r>
      <w:r>
        <w:rPr>
          <w:sz w:val="24"/>
        </w:rPr>
        <w:t>1.8</w:t>
      </w:r>
      <w:r>
        <w:rPr>
          <w:spacing w:val="41"/>
          <w:sz w:val="24"/>
        </w:rPr>
        <w:t> </w:t>
      </w:r>
      <w:r>
        <w:rPr>
          <w:sz w:val="24"/>
        </w:rPr>
        <w:t>m</w:t>
      </w:r>
      <w:r>
        <w:rPr>
          <w:spacing w:val="43"/>
          <w:sz w:val="24"/>
        </w:rPr>
        <w:t> </w:t>
      </w:r>
      <w:r>
        <w:rPr>
          <w:sz w:val="24"/>
        </w:rPr>
        <w:t>away</w:t>
      </w:r>
      <w:r>
        <w:rPr>
          <w:spacing w:val="41"/>
          <w:sz w:val="24"/>
        </w:rPr>
        <w:t> </w:t>
      </w:r>
      <w:r>
        <w:rPr>
          <w:sz w:val="24"/>
        </w:rPr>
        <w:t>from</w:t>
      </w:r>
      <w:r>
        <w:rPr>
          <w:spacing w:val="44"/>
          <w:sz w:val="24"/>
        </w:rPr>
        <w:t> </w:t>
      </w:r>
      <w:r>
        <w:rPr>
          <w:sz w:val="24"/>
        </w:rPr>
        <w:t>the</w:t>
      </w:r>
      <w:r>
        <w:rPr>
          <w:spacing w:val="36"/>
          <w:sz w:val="24"/>
        </w:rPr>
        <w:t>  </w:t>
      </w:r>
      <w:r>
        <w:rPr>
          <w:sz w:val="24"/>
        </w:rPr>
        <w:t>wall</w:t>
      </w:r>
      <w:r>
        <w:rPr>
          <w:spacing w:val="43"/>
          <w:sz w:val="24"/>
        </w:rPr>
        <w:t> </w:t>
      </w:r>
      <w:r>
        <w:rPr>
          <w:sz w:val="24"/>
        </w:rPr>
        <w:t>deriving</w:t>
      </w:r>
      <w:r>
        <w:rPr>
          <w:spacing w:val="40"/>
          <w:sz w:val="24"/>
        </w:rPr>
        <w:t> </w:t>
      </w:r>
      <w:r>
        <w:rPr>
          <w:sz w:val="24"/>
        </w:rPr>
        <w:t>access</w:t>
      </w:r>
      <w:r>
        <w:rPr>
          <w:spacing w:val="46"/>
          <w:sz w:val="24"/>
        </w:rPr>
        <w:t> </w:t>
      </w:r>
      <w:r>
        <w:rPr>
          <w:sz w:val="24"/>
        </w:rPr>
        <w:t>of</w:t>
      </w:r>
      <w:r>
        <w:rPr>
          <w:spacing w:val="43"/>
          <w:sz w:val="24"/>
        </w:rPr>
        <w:t> </w:t>
      </w:r>
      <w:r>
        <w:rPr>
          <w:sz w:val="24"/>
        </w:rPr>
        <w:t>such</w:t>
      </w:r>
      <w:r>
        <w:rPr>
          <w:spacing w:val="40"/>
          <w:sz w:val="24"/>
        </w:rPr>
        <w:t> </w:t>
      </w:r>
      <w:r>
        <w:rPr>
          <w:spacing w:val="-2"/>
          <w:sz w:val="24"/>
        </w:rPr>
        <w:t>room;</w:t>
      </w:r>
    </w:p>
    <w:p>
      <w:pPr>
        <w:pStyle w:val="ListParagraph"/>
        <w:numPr>
          <w:ilvl w:val="2"/>
          <w:numId w:val="246"/>
        </w:numPr>
        <w:tabs>
          <w:tab w:pos="1493" w:val="left" w:leader="none"/>
          <w:tab w:pos="1623" w:val="left" w:leader="none"/>
        </w:tabs>
        <w:spacing w:line="240" w:lineRule="auto" w:before="2" w:after="0"/>
        <w:ind w:left="1493" w:right="793" w:hanging="180"/>
        <w:jc w:val="left"/>
        <w:rPr>
          <w:sz w:val="24"/>
        </w:rPr>
      </w:pPr>
      <w:r>
        <w:rPr>
          <w:sz w:val="24"/>
        </w:rPr>
        <w:t>access</w:t>
      </w:r>
      <w:r>
        <w:rPr>
          <w:spacing w:val="40"/>
          <w:sz w:val="24"/>
        </w:rPr>
        <w:t> </w:t>
      </w:r>
      <w:r>
        <w:rPr>
          <w:sz w:val="24"/>
        </w:rPr>
        <w:t>to</w:t>
      </w:r>
      <w:r>
        <w:rPr>
          <w:spacing w:val="40"/>
          <w:sz w:val="24"/>
        </w:rPr>
        <w:t> </w:t>
      </w:r>
      <w:r>
        <w:rPr>
          <w:sz w:val="24"/>
        </w:rPr>
        <w:t>the</w:t>
      </w:r>
      <w:r>
        <w:rPr>
          <w:spacing w:val="40"/>
          <w:sz w:val="24"/>
        </w:rPr>
        <w:t> </w:t>
      </w:r>
      <w:r>
        <w:rPr>
          <w:sz w:val="24"/>
        </w:rPr>
        <w:t>mezzanine</w:t>
      </w:r>
      <w:r>
        <w:rPr>
          <w:spacing w:val="40"/>
          <w:sz w:val="24"/>
        </w:rPr>
        <w:t> </w:t>
      </w:r>
      <w:r>
        <w:rPr>
          <w:sz w:val="24"/>
        </w:rPr>
        <w:t>floor</w:t>
      </w:r>
      <w:r>
        <w:rPr>
          <w:spacing w:val="40"/>
          <w:sz w:val="24"/>
        </w:rPr>
        <w:t> </w:t>
      </w:r>
      <w:r>
        <w:rPr>
          <w:sz w:val="24"/>
        </w:rPr>
        <w:t>is</w:t>
      </w:r>
      <w:r>
        <w:rPr>
          <w:spacing w:val="40"/>
          <w:sz w:val="24"/>
        </w:rPr>
        <w:t> </w:t>
      </w:r>
      <w:r>
        <w:rPr>
          <w:sz w:val="24"/>
        </w:rPr>
        <w:t>from</w:t>
      </w:r>
      <w:r>
        <w:rPr>
          <w:spacing w:val="40"/>
          <w:sz w:val="24"/>
        </w:rPr>
        <w:t> </w:t>
      </w:r>
      <w:r>
        <w:rPr>
          <w:sz w:val="24"/>
        </w:rPr>
        <w:t>within</w:t>
      </w:r>
      <w:r>
        <w:rPr>
          <w:spacing w:val="40"/>
          <w:sz w:val="24"/>
        </w:rPr>
        <w:t> </w:t>
      </w:r>
      <w:r>
        <w:rPr>
          <w:sz w:val="24"/>
        </w:rPr>
        <w:t>the</w:t>
      </w:r>
      <w:r>
        <w:rPr>
          <w:spacing w:val="40"/>
          <w:sz w:val="24"/>
        </w:rPr>
        <w:t> </w:t>
      </w:r>
      <w:r>
        <w:rPr>
          <w:sz w:val="24"/>
        </w:rPr>
        <w:t>respective</w:t>
      </w:r>
      <w:r>
        <w:rPr>
          <w:spacing w:val="40"/>
          <w:sz w:val="24"/>
        </w:rPr>
        <w:t> </w:t>
      </w:r>
      <w:r>
        <w:rPr>
          <w:sz w:val="24"/>
        </w:rPr>
        <w:t>room</w:t>
      </w:r>
      <w:r>
        <w:rPr>
          <w:spacing w:val="40"/>
          <w:sz w:val="24"/>
        </w:rPr>
        <w:t> </w:t>
      </w:r>
      <w:r>
        <w:rPr>
          <w:sz w:val="24"/>
        </w:rPr>
        <w:t>below </w:t>
      </w:r>
      <w:r>
        <w:rPr>
          <w:spacing w:val="-2"/>
          <w:sz w:val="24"/>
        </w:rPr>
        <w:t>only;</w:t>
      </w:r>
    </w:p>
    <w:p>
      <w:pPr>
        <w:pStyle w:val="ListParagraph"/>
        <w:numPr>
          <w:ilvl w:val="2"/>
          <w:numId w:val="246"/>
        </w:numPr>
        <w:tabs>
          <w:tab w:pos="1493" w:val="left" w:leader="none"/>
          <w:tab w:pos="1623" w:val="left" w:leader="none"/>
        </w:tabs>
        <w:spacing w:line="240" w:lineRule="auto" w:before="0" w:after="0"/>
        <w:ind w:left="1493" w:right="789" w:hanging="180"/>
        <w:jc w:val="left"/>
        <w:rPr>
          <w:sz w:val="24"/>
        </w:rPr>
      </w:pPr>
      <w:r>
        <w:rPr>
          <w:sz w:val="24"/>
        </w:rPr>
        <w:t>where</w:t>
      </w:r>
      <w:r>
        <w:rPr>
          <w:spacing w:val="37"/>
          <w:sz w:val="24"/>
        </w:rPr>
        <w:t> </w:t>
      </w:r>
      <w:r>
        <w:rPr>
          <w:sz w:val="24"/>
        </w:rPr>
        <w:t>it</w:t>
      </w:r>
      <w:r>
        <w:rPr>
          <w:spacing w:val="40"/>
          <w:sz w:val="24"/>
        </w:rPr>
        <w:t> </w:t>
      </w:r>
      <w:r>
        <w:rPr>
          <w:sz w:val="24"/>
        </w:rPr>
        <w:t>is</w:t>
      </w:r>
      <w:r>
        <w:rPr>
          <w:spacing w:val="37"/>
          <w:sz w:val="24"/>
        </w:rPr>
        <w:t> </w:t>
      </w:r>
      <w:r>
        <w:rPr>
          <w:sz w:val="24"/>
        </w:rPr>
        <w:t>in</w:t>
      </w:r>
      <w:r>
        <w:rPr>
          <w:spacing w:val="37"/>
          <w:sz w:val="24"/>
        </w:rPr>
        <w:t> </w:t>
      </w:r>
      <w:r>
        <w:rPr>
          <w:sz w:val="24"/>
        </w:rPr>
        <w:t>an</w:t>
      </w:r>
      <w:r>
        <w:rPr>
          <w:spacing w:val="40"/>
          <w:sz w:val="24"/>
        </w:rPr>
        <w:t> </w:t>
      </w:r>
      <w:r>
        <w:rPr>
          <w:sz w:val="24"/>
        </w:rPr>
        <w:t>industrial</w:t>
      </w:r>
      <w:r>
        <w:rPr>
          <w:spacing w:val="40"/>
          <w:sz w:val="24"/>
        </w:rPr>
        <w:t> </w:t>
      </w:r>
      <w:r>
        <w:rPr>
          <w:sz w:val="24"/>
        </w:rPr>
        <w:t>building,</w:t>
      </w:r>
      <w:r>
        <w:rPr>
          <w:spacing w:val="40"/>
          <w:sz w:val="24"/>
        </w:rPr>
        <w:t> </w:t>
      </w:r>
      <w:r>
        <w:rPr>
          <w:sz w:val="24"/>
        </w:rPr>
        <w:t>NOC</w:t>
      </w:r>
      <w:r>
        <w:rPr>
          <w:spacing w:val="38"/>
          <w:sz w:val="24"/>
        </w:rPr>
        <w:t> </w:t>
      </w:r>
      <w:r>
        <w:rPr>
          <w:sz w:val="24"/>
        </w:rPr>
        <w:t>from</w:t>
      </w:r>
      <w:r>
        <w:rPr>
          <w:spacing w:val="40"/>
          <w:sz w:val="24"/>
        </w:rPr>
        <w:t> </w:t>
      </w:r>
      <w:r>
        <w:rPr>
          <w:sz w:val="24"/>
        </w:rPr>
        <w:t>the</w:t>
      </w:r>
      <w:r>
        <w:rPr>
          <w:spacing w:val="37"/>
          <w:sz w:val="24"/>
        </w:rPr>
        <w:t> </w:t>
      </w:r>
      <w:r>
        <w:rPr>
          <w:sz w:val="24"/>
        </w:rPr>
        <w:t>relevant</w:t>
      </w:r>
      <w:r>
        <w:rPr>
          <w:spacing w:val="37"/>
          <w:sz w:val="24"/>
        </w:rPr>
        <w:t> </w:t>
      </w:r>
      <w:r>
        <w:rPr>
          <w:sz w:val="24"/>
        </w:rPr>
        <w:t>authorities of</w:t>
      </w:r>
      <w:r>
        <w:rPr>
          <w:spacing w:val="72"/>
          <w:sz w:val="24"/>
        </w:rPr>
        <w:t> </w:t>
      </w:r>
      <w:r>
        <w:rPr>
          <w:sz w:val="24"/>
        </w:rPr>
        <w:t>the</w:t>
      </w:r>
      <w:r>
        <w:rPr>
          <w:spacing w:val="72"/>
          <w:sz w:val="24"/>
        </w:rPr>
        <w:t> </w:t>
      </w:r>
      <w:r>
        <w:rPr>
          <w:sz w:val="24"/>
        </w:rPr>
        <w:t>Industries</w:t>
      </w:r>
      <w:r>
        <w:rPr>
          <w:spacing w:val="72"/>
          <w:sz w:val="24"/>
        </w:rPr>
        <w:t> </w:t>
      </w:r>
      <w:r>
        <w:rPr>
          <w:sz w:val="24"/>
        </w:rPr>
        <w:t>Department</w:t>
      </w:r>
      <w:r>
        <w:rPr>
          <w:spacing w:val="72"/>
          <w:sz w:val="24"/>
        </w:rPr>
        <w:t> </w:t>
      </w:r>
      <w:r>
        <w:rPr>
          <w:sz w:val="24"/>
        </w:rPr>
        <w:t>is</w:t>
      </w:r>
      <w:r>
        <w:rPr>
          <w:spacing w:val="72"/>
          <w:sz w:val="24"/>
        </w:rPr>
        <w:t> </w:t>
      </w:r>
      <w:r>
        <w:rPr>
          <w:sz w:val="24"/>
        </w:rPr>
        <w:t>obtained</w:t>
      </w:r>
      <w:r>
        <w:rPr>
          <w:spacing w:val="71"/>
          <w:sz w:val="24"/>
        </w:rPr>
        <w:t> </w:t>
      </w:r>
      <w:r>
        <w:rPr>
          <w:sz w:val="24"/>
        </w:rPr>
        <w:t>for</w:t>
      </w:r>
      <w:r>
        <w:rPr>
          <w:spacing w:val="75"/>
          <w:sz w:val="24"/>
        </w:rPr>
        <w:t> </w:t>
      </w:r>
      <w:r>
        <w:rPr>
          <w:sz w:val="24"/>
        </w:rPr>
        <w:t>the</w:t>
      </w:r>
      <w:r>
        <w:rPr>
          <w:spacing w:val="71"/>
          <w:sz w:val="24"/>
        </w:rPr>
        <w:t> </w:t>
      </w:r>
      <w:r>
        <w:rPr>
          <w:sz w:val="24"/>
        </w:rPr>
        <w:t>additional</w:t>
      </w:r>
      <w:r>
        <w:rPr>
          <w:spacing w:val="71"/>
          <w:sz w:val="24"/>
        </w:rPr>
        <w:t> </w:t>
      </w:r>
      <w:r>
        <w:rPr>
          <w:sz w:val="24"/>
        </w:rPr>
        <w:t>floor</w:t>
      </w:r>
      <w:r>
        <w:rPr>
          <w:spacing w:val="75"/>
          <w:sz w:val="24"/>
        </w:rPr>
        <w:t> </w:t>
      </w:r>
      <w:r>
        <w:rPr>
          <w:sz w:val="24"/>
        </w:rPr>
        <w:t>area.</w:t>
      </w:r>
    </w:p>
    <w:p>
      <w:pPr>
        <w:pStyle w:val="ListParagraph"/>
        <w:spacing w:after="0" w:line="240" w:lineRule="auto"/>
        <w:jc w:val="left"/>
        <w:rPr>
          <w:sz w:val="24"/>
        </w:rPr>
        <w:sectPr>
          <w:pgSz w:w="11910" w:h="16840"/>
          <w:pgMar w:header="1058" w:footer="1201" w:top="1500" w:bottom="1400" w:left="360" w:right="360"/>
        </w:sectPr>
      </w:pPr>
    </w:p>
    <w:p>
      <w:pPr>
        <w:pStyle w:val="Heading6"/>
        <w:numPr>
          <w:ilvl w:val="0"/>
          <w:numId w:val="246"/>
        </w:numPr>
        <w:tabs>
          <w:tab w:pos="1810" w:val="left" w:leader="none"/>
        </w:tabs>
        <w:spacing w:line="240" w:lineRule="auto" w:before="252" w:after="0"/>
        <w:ind w:left="1810" w:right="0" w:hanging="406"/>
        <w:jc w:val="both"/>
      </w:pPr>
      <w:r>
        <w:rPr>
          <w:spacing w:val="-2"/>
        </w:rPr>
        <w:t>Garage:</w:t>
      </w:r>
    </w:p>
    <w:p>
      <w:pPr>
        <w:pStyle w:val="ListParagraph"/>
        <w:numPr>
          <w:ilvl w:val="0"/>
          <w:numId w:val="252"/>
        </w:numPr>
        <w:tabs>
          <w:tab w:pos="1493" w:val="left" w:leader="none"/>
          <w:tab w:pos="1642" w:val="left" w:leader="none"/>
        </w:tabs>
        <w:spacing w:line="240" w:lineRule="auto" w:before="4" w:after="0"/>
        <w:ind w:left="1493" w:right="783" w:hanging="180"/>
        <w:jc w:val="both"/>
        <w:rPr>
          <w:sz w:val="24"/>
        </w:rPr>
      </w:pPr>
      <w:r>
        <w:rPr>
          <w:i/>
          <w:spacing w:val="9"/>
          <w:sz w:val="24"/>
        </w:rPr>
        <w:t>Size</w:t>
      </w:r>
      <w:r>
        <w:rPr>
          <w:spacing w:val="9"/>
          <w:sz w:val="24"/>
        </w:rPr>
        <w:t>-</w:t>
      </w:r>
      <w:r>
        <w:rPr>
          <w:sz w:val="24"/>
        </w:rPr>
        <w:t>The</w:t>
      </w:r>
      <w:r>
        <w:rPr>
          <w:spacing w:val="38"/>
          <w:sz w:val="24"/>
        </w:rPr>
        <w:t> </w:t>
      </w:r>
      <w:r>
        <w:rPr>
          <w:sz w:val="24"/>
        </w:rPr>
        <w:t>size</w:t>
      </w:r>
      <w:r>
        <w:rPr>
          <w:spacing w:val="38"/>
          <w:sz w:val="24"/>
        </w:rPr>
        <w:t> </w:t>
      </w:r>
      <w:r>
        <w:rPr>
          <w:sz w:val="24"/>
        </w:rPr>
        <w:t>of</w:t>
      </w:r>
      <w:r>
        <w:rPr>
          <w:spacing w:val="40"/>
          <w:sz w:val="24"/>
        </w:rPr>
        <w:t> </w:t>
      </w:r>
      <w:r>
        <w:rPr>
          <w:sz w:val="24"/>
        </w:rPr>
        <w:t>a</w:t>
      </w:r>
      <w:r>
        <w:rPr>
          <w:spacing w:val="38"/>
          <w:sz w:val="24"/>
        </w:rPr>
        <w:t> </w:t>
      </w:r>
      <w:r>
        <w:rPr>
          <w:sz w:val="24"/>
        </w:rPr>
        <w:t>private</w:t>
      </w:r>
      <w:r>
        <w:rPr>
          <w:spacing w:val="40"/>
          <w:sz w:val="24"/>
        </w:rPr>
        <w:t> </w:t>
      </w:r>
      <w:r>
        <w:rPr>
          <w:sz w:val="24"/>
        </w:rPr>
        <w:t>garage</w:t>
      </w:r>
      <w:r>
        <w:rPr>
          <w:spacing w:val="38"/>
          <w:sz w:val="24"/>
        </w:rPr>
        <w:t> </w:t>
      </w:r>
      <w:r>
        <w:rPr>
          <w:sz w:val="24"/>
        </w:rPr>
        <w:t>shall</w:t>
      </w:r>
      <w:r>
        <w:rPr>
          <w:spacing w:val="38"/>
          <w:sz w:val="24"/>
        </w:rPr>
        <w:t> </w:t>
      </w:r>
      <w:r>
        <w:rPr>
          <w:sz w:val="24"/>
        </w:rPr>
        <w:t>not</w:t>
      </w:r>
      <w:r>
        <w:rPr>
          <w:spacing w:val="38"/>
          <w:sz w:val="24"/>
        </w:rPr>
        <w:t> </w:t>
      </w:r>
      <w:r>
        <w:rPr>
          <w:sz w:val="24"/>
        </w:rPr>
        <w:t>be</w:t>
      </w:r>
      <w:r>
        <w:rPr>
          <w:spacing w:val="38"/>
          <w:sz w:val="24"/>
        </w:rPr>
        <w:t> </w:t>
      </w:r>
      <w:r>
        <w:rPr>
          <w:sz w:val="24"/>
        </w:rPr>
        <w:t>less</w:t>
      </w:r>
      <w:r>
        <w:rPr>
          <w:spacing w:val="40"/>
          <w:sz w:val="24"/>
        </w:rPr>
        <w:t> </w:t>
      </w:r>
      <w:r>
        <w:rPr>
          <w:sz w:val="24"/>
        </w:rPr>
        <w:t>than</w:t>
      </w:r>
      <w:r>
        <w:rPr>
          <w:spacing w:val="40"/>
          <w:sz w:val="24"/>
        </w:rPr>
        <w:t> </w:t>
      </w:r>
      <w:r>
        <w:rPr>
          <w:sz w:val="24"/>
        </w:rPr>
        <w:t>2.5</w:t>
      </w:r>
      <w:r>
        <w:rPr>
          <w:spacing w:val="38"/>
          <w:sz w:val="24"/>
        </w:rPr>
        <w:t> </w:t>
      </w:r>
      <w:r>
        <w:rPr>
          <w:sz w:val="24"/>
        </w:rPr>
        <w:t>m</w:t>
      </w:r>
      <w:r>
        <w:rPr>
          <w:spacing w:val="40"/>
          <w:sz w:val="24"/>
        </w:rPr>
        <w:t> </w:t>
      </w:r>
      <w:r>
        <w:rPr>
          <w:sz w:val="24"/>
        </w:rPr>
        <w:t>x</w:t>
      </w:r>
      <w:r>
        <w:rPr>
          <w:spacing w:val="39"/>
          <w:sz w:val="24"/>
        </w:rPr>
        <w:t> </w:t>
      </w:r>
      <w:r>
        <w:rPr>
          <w:sz w:val="24"/>
        </w:rPr>
        <w:t>5.5</w:t>
      </w:r>
      <w:r>
        <w:rPr>
          <w:spacing w:val="38"/>
          <w:sz w:val="24"/>
        </w:rPr>
        <w:t> </w:t>
      </w:r>
      <w:r>
        <w:rPr>
          <w:sz w:val="24"/>
        </w:rPr>
        <w:t>m or 2.3 mx 4.5m as provided in clause (ii) and the note under it in sub- regulation</w:t>
      </w:r>
      <w:r>
        <w:rPr>
          <w:spacing w:val="40"/>
          <w:sz w:val="24"/>
        </w:rPr>
        <w:t> </w:t>
      </w:r>
      <w:r>
        <w:rPr>
          <w:sz w:val="24"/>
        </w:rPr>
        <w:t>(1)</w:t>
      </w:r>
      <w:r>
        <w:rPr>
          <w:spacing w:val="40"/>
          <w:sz w:val="24"/>
        </w:rPr>
        <w:t> </w:t>
      </w:r>
      <w:r>
        <w:rPr>
          <w:sz w:val="24"/>
        </w:rPr>
        <w:t>of</w:t>
      </w:r>
      <w:r>
        <w:rPr>
          <w:spacing w:val="40"/>
          <w:sz w:val="24"/>
        </w:rPr>
        <w:t> </w:t>
      </w:r>
      <w:r>
        <w:rPr>
          <w:sz w:val="24"/>
        </w:rPr>
        <w:t>Regulation</w:t>
      </w:r>
      <w:r>
        <w:rPr>
          <w:spacing w:val="40"/>
          <w:sz w:val="24"/>
        </w:rPr>
        <w:t> </w:t>
      </w:r>
      <w:r>
        <w:rPr>
          <w:sz w:val="24"/>
        </w:rPr>
        <w:t>44.</w:t>
      </w:r>
    </w:p>
    <w:p>
      <w:pPr>
        <w:pStyle w:val="ListParagraph"/>
        <w:numPr>
          <w:ilvl w:val="0"/>
          <w:numId w:val="252"/>
        </w:numPr>
        <w:tabs>
          <w:tab w:pos="1493" w:val="left" w:leader="none"/>
          <w:tab w:pos="1742" w:val="left" w:leader="none"/>
        </w:tabs>
        <w:spacing w:line="240" w:lineRule="auto" w:before="0" w:after="0"/>
        <w:ind w:left="1493" w:right="796" w:hanging="180"/>
        <w:jc w:val="both"/>
        <w:rPr>
          <w:sz w:val="24"/>
        </w:rPr>
      </w:pPr>
      <w:r>
        <w:rPr>
          <w:i/>
          <w:spacing w:val="9"/>
          <w:sz w:val="24"/>
        </w:rPr>
        <w:t>Location</w:t>
      </w:r>
      <w:r>
        <w:rPr>
          <w:spacing w:val="9"/>
          <w:sz w:val="24"/>
        </w:rPr>
        <w:t>-</w:t>
      </w:r>
      <w:r>
        <w:rPr>
          <w:sz w:val="24"/>
        </w:rPr>
        <w:t>If</w:t>
      </w:r>
      <w:r>
        <w:rPr>
          <w:spacing w:val="40"/>
          <w:sz w:val="24"/>
        </w:rPr>
        <w:t> </w:t>
      </w:r>
      <w:r>
        <w:rPr>
          <w:sz w:val="24"/>
        </w:rPr>
        <w:t>not</w:t>
      </w:r>
      <w:r>
        <w:rPr>
          <w:spacing w:val="40"/>
          <w:sz w:val="24"/>
        </w:rPr>
        <w:t> </w:t>
      </w:r>
      <w:r>
        <w:rPr>
          <w:sz w:val="24"/>
        </w:rPr>
        <w:t>within</w:t>
      </w:r>
      <w:r>
        <w:rPr>
          <w:spacing w:val="40"/>
          <w:sz w:val="24"/>
        </w:rPr>
        <w:t> </w:t>
      </w:r>
      <w:r>
        <w:rPr>
          <w:sz w:val="24"/>
        </w:rPr>
        <w:t>the</w:t>
      </w:r>
      <w:r>
        <w:rPr>
          <w:spacing w:val="40"/>
          <w:sz w:val="24"/>
        </w:rPr>
        <w:t> </w:t>
      </w:r>
      <w:r>
        <w:rPr>
          <w:sz w:val="24"/>
        </w:rPr>
        <w:t>building</w:t>
      </w:r>
      <w:r>
        <w:rPr>
          <w:spacing w:val="40"/>
          <w:sz w:val="24"/>
        </w:rPr>
        <w:t> </w:t>
      </w:r>
      <w:r>
        <w:rPr>
          <w:sz w:val="24"/>
        </w:rPr>
        <w:t>the</w:t>
      </w:r>
      <w:r>
        <w:rPr>
          <w:spacing w:val="40"/>
          <w:sz w:val="24"/>
        </w:rPr>
        <w:t> </w:t>
      </w:r>
      <w:r>
        <w:rPr>
          <w:sz w:val="24"/>
        </w:rPr>
        <w:t>garage</w:t>
      </w:r>
      <w:r>
        <w:rPr>
          <w:spacing w:val="40"/>
          <w:sz w:val="24"/>
        </w:rPr>
        <w:t> </w:t>
      </w:r>
      <w:r>
        <w:rPr>
          <w:sz w:val="24"/>
        </w:rPr>
        <w:t>may</w:t>
      </w:r>
      <w:r>
        <w:rPr>
          <w:spacing w:val="40"/>
          <w:sz w:val="24"/>
        </w:rPr>
        <w:t> </w:t>
      </w:r>
      <w:r>
        <w:rPr>
          <w:sz w:val="24"/>
        </w:rPr>
        <w:t>be</w:t>
      </w:r>
      <w:r>
        <w:rPr>
          <w:spacing w:val="40"/>
          <w:sz w:val="24"/>
        </w:rPr>
        <w:t> </w:t>
      </w:r>
      <w:r>
        <w:rPr>
          <w:sz w:val="24"/>
        </w:rPr>
        <w:t>located</w:t>
      </w:r>
      <w:r>
        <w:rPr>
          <w:spacing w:val="40"/>
          <w:sz w:val="24"/>
        </w:rPr>
        <w:t> </w:t>
      </w:r>
      <w:r>
        <w:rPr>
          <w:sz w:val="24"/>
        </w:rPr>
        <w:t>at</w:t>
      </w:r>
      <w:r>
        <w:rPr>
          <w:spacing w:val="40"/>
          <w:sz w:val="24"/>
        </w:rPr>
        <w:t> </w:t>
      </w:r>
      <w:r>
        <w:rPr>
          <w:sz w:val="24"/>
        </w:rPr>
        <w:t>its side</w:t>
      </w:r>
      <w:r>
        <w:rPr>
          <w:spacing w:val="40"/>
          <w:sz w:val="24"/>
        </w:rPr>
        <w:t> </w:t>
      </w:r>
      <w:r>
        <w:rPr>
          <w:sz w:val="24"/>
        </w:rPr>
        <w:t>or</w:t>
      </w:r>
      <w:r>
        <w:rPr>
          <w:spacing w:val="40"/>
          <w:sz w:val="24"/>
        </w:rPr>
        <w:t> </w:t>
      </w:r>
      <w:r>
        <w:rPr>
          <w:sz w:val="24"/>
        </w:rPr>
        <w:t>rear,</w:t>
      </w:r>
      <w:r>
        <w:rPr>
          <w:spacing w:val="40"/>
          <w:sz w:val="24"/>
        </w:rPr>
        <w:t> </w:t>
      </w:r>
      <w:r>
        <w:rPr>
          <w:sz w:val="24"/>
        </w:rPr>
        <w:t>but</w:t>
      </w:r>
      <w:r>
        <w:rPr>
          <w:spacing w:val="40"/>
          <w:sz w:val="24"/>
        </w:rPr>
        <w:t> </w:t>
      </w:r>
      <w:r>
        <w:rPr>
          <w:sz w:val="24"/>
        </w:rPr>
        <w:t>at</w:t>
      </w:r>
      <w:r>
        <w:rPr>
          <w:spacing w:val="40"/>
          <w:sz w:val="24"/>
        </w:rPr>
        <w:t> </w:t>
      </w:r>
      <w:r>
        <w:rPr>
          <w:sz w:val="24"/>
        </w:rPr>
        <w:t>least</w:t>
      </w:r>
      <w:r>
        <w:rPr>
          <w:spacing w:val="40"/>
          <w:sz w:val="24"/>
        </w:rPr>
        <w:t> </w:t>
      </w:r>
      <w:r>
        <w:rPr>
          <w:sz w:val="24"/>
        </w:rPr>
        <w:t>7.5</w:t>
      </w:r>
      <w:r>
        <w:rPr>
          <w:spacing w:val="40"/>
          <w:sz w:val="24"/>
        </w:rPr>
        <w:t> </w:t>
      </w:r>
      <w:r>
        <w:rPr>
          <w:sz w:val="24"/>
        </w:rPr>
        <w:t>m</w:t>
      </w:r>
      <w:r>
        <w:rPr>
          <w:spacing w:val="40"/>
          <w:sz w:val="24"/>
        </w:rPr>
        <w:t> </w:t>
      </w:r>
      <w:r>
        <w:rPr>
          <w:sz w:val="24"/>
        </w:rPr>
        <w:t>away</w:t>
      </w:r>
      <w:r>
        <w:rPr>
          <w:spacing w:val="40"/>
          <w:sz w:val="24"/>
        </w:rPr>
        <w:t> </w:t>
      </w:r>
      <w:r>
        <w:rPr>
          <w:sz w:val="24"/>
        </w:rPr>
        <w:t>from</w:t>
      </w:r>
      <w:r>
        <w:rPr>
          <w:spacing w:val="40"/>
          <w:sz w:val="24"/>
        </w:rPr>
        <w:t> </w:t>
      </w:r>
      <w:r>
        <w:rPr>
          <w:sz w:val="24"/>
        </w:rPr>
        <w:t>any</w:t>
      </w:r>
      <w:r>
        <w:rPr>
          <w:spacing w:val="40"/>
          <w:sz w:val="24"/>
        </w:rPr>
        <w:t> </w:t>
      </w:r>
      <w:r>
        <w:rPr>
          <w:sz w:val="24"/>
        </w:rPr>
        <w:t>access</w:t>
      </w:r>
      <w:r>
        <w:rPr>
          <w:spacing w:val="40"/>
          <w:sz w:val="24"/>
        </w:rPr>
        <w:t> </w:t>
      </w:r>
      <w:r>
        <w:rPr>
          <w:spacing w:val="9"/>
          <w:sz w:val="24"/>
        </w:rPr>
        <w:t>road.</w:t>
      </w:r>
    </w:p>
    <w:p>
      <w:pPr>
        <w:pStyle w:val="ListParagraph"/>
        <w:numPr>
          <w:ilvl w:val="0"/>
          <w:numId w:val="252"/>
        </w:numPr>
        <w:tabs>
          <w:tab w:pos="1493" w:val="left" w:leader="none"/>
          <w:tab w:pos="1828" w:val="left" w:leader="none"/>
        </w:tabs>
        <w:spacing w:line="240" w:lineRule="auto" w:before="0" w:after="0"/>
        <w:ind w:left="1493" w:right="801" w:hanging="180"/>
        <w:jc w:val="both"/>
        <w:rPr>
          <w:sz w:val="24"/>
        </w:rPr>
      </w:pPr>
      <w:r>
        <w:rPr>
          <w:sz w:val="24"/>
        </w:rPr>
        <w:t>Area</w:t>
      </w:r>
      <w:r>
        <w:rPr>
          <w:spacing w:val="40"/>
          <w:sz w:val="24"/>
        </w:rPr>
        <w:t> </w:t>
      </w:r>
      <w:r>
        <w:rPr>
          <w:sz w:val="24"/>
        </w:rPr>
        <w:t>of</w:t>
      </w:r>
      <w:r>
        <w:rPr>
          <w:spacing w:val="40"/>
          <w:sz w:val="24"/>
        </w:rPr>
        <w:t> </w:t>
      </w:r>
      <w:r>
        <w:rPr>
          <w:sz w:val="24"/>
        </w:rPr>
        <w:t>garage</w:t>
      </w:r>
      <w:r>
        <w:rPr>
          <w:spacing w:val="40"/>
          <w:sz w:val="24"/>
        </w:rPr>
        <w:t> </w:t>
      </w:r>
      <w:r>
        <w:rPr>
          <w:sz w:val="24"/>
        </w:rPr>
        <w:t>shall</w:t>
      </w:r>
      <w:r>
        <w:rPr>
          <w:spacing w:val="40"/>
          <w:sz w:val="24"/>
        </w:rPr>
        <w:t> </w:t>
      </w:r>
      <w:r>
        <w:rPr>
          <w:sz w:val="24"/>
        </w:rPr>
        <w:t>be</w:t>
      </w:r>
      <w:r>
        <w:rPr>
          <w:spacing w:val="40"/>
          <w:sz w:val="24"/>
        </w:rPr>
        <w:t> </w:t>
      </w:r>
      <w:r>
        <w:rPr>
          <w:sz w:val="24"/>
        </w:rPr>
        <w:t>counted</w:t>
      </w:r>
      <w:r>
        <w:rPr>
          <w:spacing w:val="40"/>
          <w:sz w:val="24"/>
        </w:rPr>
        <w:t> </w:t>
      </w:r>
      <w:r>
        <w:rPr>
          <w:sz w:val="24"/>
        </w:rPr>
        <w:t>in</w:t>
      </w:r>
      <w:r>
        <w:rPr>
          <w:spacing w:val="40"/>
          <w:sz w:val="24"/>
        </w:rPr>
        <w:t> </w:t>
      </w:r>
      <w:r>
        <w:rPr>
          <w:sz w:val="24"/>
        </w:rPr>
        <w:t>FSI</w:t>
      </w:r>
      <w:r>
        <w:rPr>
          <w:spacing w:val="40"/>
          <w:sz w:val="24"/>
        </w:rPr>
        <w:t> </w:t>
      </w:r>
      <w:r>
        <w:rPr>
          <w:sz w:val="24"/>
        </w:rPr>
        <w:t>&amp;</w:t>
      </w:r>
      <w:r>
        <w:rPr>
          <w:spacing w:val="40"/>
          <w:sz w:val="24"/>
        </w:rPr>
        <w:t> </w:t>
      </w:r>
      <w:r>
        <w:rPr>
          <w:sz w:val="24"/>
        </w:rPr>
        <w:t>it</w:t>
      </w:r>
      <w:r>
        <w:rPr>
          <w:spacing w:val="40"/>
          <w:sz w:val="24"/>
        </w:rPr>
        <w:t> </w:t>
      </w:r>
      <w:r>
        <w:rPr>
          <w:sz w:val="24"/>
        </w:rPr>
        <w:t>shall</w:t>
      </w:r>
      <w:r>
        <w:rPr>
          <w:spacing w:val="40"/>
          <w:sz w:val="24"/>
        </w:rPr>
        <w:t> </w:t>
      </w:r>
      <w:r>
        <w:rPr>
          <w:sz w:val="24"/>
        </w:rPr>
        <w:t>be</w:t>
      </w:r>
      <w:r>
        <w:rPr>
          <w:spacing w:val="40"/>
          <w:sz w:val="24"/>
        </w:rPr>
        <w:t> </w:t>
      </w:r>
      <w:r>
        <w:rPr>
          <w:sz w:val="24"/>
        </w:rPr>
        <w:t>at</w:t>
      </w:r>
      <w:r>
        <w:rPr>
          <w:spacing w:val="40"/>
          <w:sz w:val="24"/>
        </w:rPr>
        <w:t> </w:t>
      </w:r>
      <w:r>
        <w:rPr>
          <w:sz w:val="24"/>
        </w:rPr>
        <w:t>least</w:t>
      </w:r>
      <w:r>
        <w:rPr>
          <w:spacing w:val="40"/>
          <w:sz w:val="24"/>
        </w:rPr>
        <w:t> </w:t>
      </w:r>
      <w:r>
        <w:rPr>
          <w:sz w:val="24"/>
        </w:rPr>
        <w:t>1.5m meter</w:t>
      </w:r>
      <w:r>
        <w:rPr>
          <w:spacing w:val="40"/>
          <w:sz w:val="24"/>
        </w:rPr>
        <w:t> </w:t>
      </w:r>
      <w:r>
        <w:rPr>
          <w:sz w:val="24"/>
        </w:rPr>
        <w:t>away</w:t>
      </w:r>
      <w:r>
        <w:rPr>
          <w:spacing w:val="40"/>
          <w:sz w:val="24"/>
        </w:rPr>
        <w:t> </w:t>
      </w:r>
      <w:r>
        <w:rPr>
          <w:sz w:val="24"/>
        </w:rPr>
        <w:t>from</w:t>
      </w:r>
      <w:r>
        <w:rPr>
          <w:spacing w:val="40"/>
          <w:sz w:val="24"/>
        </w:rPr>
        <w:t> </w:t>
      </w:r>
      <w:r>
        <w:rPr>
          <w:sz w:val="24"/>
        </w:rPr>
        <w:t>compound</w:t>
      </w:r>
      <w:r>
        <w:rPr>
          <w:spacing w:val="40"/>
          <w:sz w:val="24"/>
        </w:rPr>
        <w:t> </w:t>
      </w:r>
      <w:r>
        <w:rPr>
          <w:sz w:val="24"/>
        </w:rPr>
        <w:t>wall.</w:t>
      </w:r>
    </w:p>
    <w:p>
      <w:pPr>
        <w:pStyle w:val="BodyText"/>
        <w:spacing w:before="279"/>
        <w:ind w:left="1493" w:right="789" w:hanging="180"/>
      </w:pPr>
      <w:r>
        <w:rPr>
          <w:i/>
        </w:rPr>
        <w:t>Explanation</w:t>
      </w:r>
      <w:r>
        <w:rPr>
          <w:b/>
          <w:i/>
        </w:rPr>
        <w:t>:</w:t>
      </w:r>
      <w:r>
        <w:rPr>
          <w:b/>
          <w:i/>
          <w:spacing w:val="80"/>
        </w:rPr>
        <w:t> </w:t>
      </w:r>
      <w:r>
        <w:rPr/>
        <w:t>For</w:t>
      </w:r>
      <w:r>
        <w:rPr>
          <w:spacing w:val="80"/>
        </w:rPr>
        <w:t> </w:t>
      </w:r>
      <w:r>
        <w:rPr/>
        <w:t>purposes</w:t>
      </w:r>
      <w:r>
        <w:rPr>
          <w:spacing w:val="80"/>
        </w:rPr>
        <w:t> </w:t>
      </w:r>
      <w:r>
        <w:rPr/>
        <w:t>of</w:t>
      </w:r>
      <w:r>
        <w:rPr>
          <w:spacing w:val="80"/>
        </w:rPr>
        <w:t> </w:t>
      </w:r>
      <w:r>
        <w:rPr/>
        <w:t>this</w:t>
      </w:r>
      <w:r>
        <w:rPr>
          <w:spacing w:val="80"/>
        </w:rPr>
        <w:t> </w:t>
      </w:r>
      <w:r>
        <w:rPr/>
        <w:t>Regulation,</w:t>
      </w:r>
      <w:r>
        <w:rPr>
          <w:spacing w:val="80"/>
        </w:rPr>
        <w:t> </w:t>
      </w:r>
      <w:r>
        <w:rPr/>
        <w:t>the</w:t>
      </w:r>
      <w:r>
        <w:rPr>
          <w:spacing w:val="80"/>
        </w:rPr>
        <w:t> </w:t>
      </w:r>
      <w:r>
        <w:rPr/>
        <w:t>term</w:t>
      </w:r>
      <w:r>
        <w:rPr>
          <w:spacing w:val="80"/>
        </w:rPr>
        <w:t> </w:t>
      </w:r>
      <w:r>
        <w:rPr/>
        <w:t>"garage"</w:t>
      </w:r>
      <w:r>
        <w:rPr>
          <w:spacing w:val="80"/>
        </w:rPr>
        <w:t> </w:t>
      </w:r>
      <w:r>
        <w:rPr/>
        <w:t>means a</w:t>
      </w:r>
      <w:r>
        <w:rPr>
          <w:spacing w:val="40"/>
        </w:rPr>
        <w:t> </w:t>
      </w:r>
      <w:r>
        <w:rPr/>
        <w:t>detached</w:t>
      </w:r>
      <w:r>
        <w:rPr>
          <w:spacing w:val="40"/>
        </w:rPr>
        <w:t> </w:t>
      </w:r>
      <w:r>
        <w:rPr/>
        <w:t>ground</w:t>
      </w:r>
      <w:r>
        <w:rPr>
          <w:spacing w:val="40"/>
        </w:rPr>
        <w:t> </w:t>
      </w:r>
      <w:r>
        <w:rPr/>
        <w:t>floor</w:t>
      </w:r>
      <w:r>
        <w:rPr>
          <w:spacing w:val="40"/>
        </w:rPr>
        <w:t> </w:t>
      </w:r>
      <w:r>
        <w:rPr/>
        <w:t>structure</w:t>
      </w:r>
      <w:r>
        <w:rPr>
          <w:spacing w:val="40"/>
        </w:rPr>
        <w:t> </w:t>
      </w:r>
      <w:r>
        <w:rPr/>
        <w:t>in</w:t>
      </w:r>
      <w:r>
        <w:rPr>
          <w:spacing w:val="40"/>
        </w:rPr>
        <w:t> </w:t>
      </w:r>
      <w:r>
        <w:rPr/>
        <w:t>the</w:t>
      </w:r>
      <w:r>
        <w:rPr>
          <w:spacing w:val="40"/>
        </w:rPr>
        <w:t> </w:t>
      </w:r>
      <w:r>
        <w:rPr/>
        <w:t>open</w:t>
      </w:r>
      <w:r>
        <w:rPr>
          <w:spacing w:val="40"/>
        </w:rPr>
        <w:t> </w:t>
      </w:r>
      <w:r>
        <w:rPr/>
        <w:t>space</w:t>
      </w:r>
      <w:r>
        <w:rPr>
          <w:spacing w:val="40"/>
        </w:rPr>
        <w:t> </w:t>
      </w:r>
      <w:r>
        <w:rPr/>
        <w:t>of</w:t>
      </w:r>
      <w:r>
        <w:rPr>
          <w:spacing w:val="40"/>
        </w:rPr>
        <w:t> </w:t>
      </w:r>
      <w:r>
        <w:rPr/>
        <w:t>the</w:t>
      </w:r>
      <w:r>
        <w:rPr>
          <w:spacing w:val="40"/>
        </w:rPr>
        <w:t> </w:t>
      </w:r>
      <w:r>
        <w:rPr/>
        <w:t>plot</w:t>
      </w:r>
      <w:r>
        <w:rPr>
          <w:spacing w:val="40"/>
        </w:rPr>
        <w:t> </w:t>
      </w:r>
      <w:r>
        <w:rPr/>
        <w:t>or</w:t>
      </w:r>
      <w:r>
        <w:rPr>
          <w:spacing w:val="40"/>
        </w:rPr>
        <w:t> </w:t>
      </w:r>
      <w:r>
        <w:rPr/>
        <w:t>on the ground floor of a building and intended for parking or shelter of mechanically</w:t>
      </w:r>
      <w:r>
        <w:rPr>
          <w:spacing w:val="40"/>
        </w:rPr>
        <w:t> </w:t>
      </w:r>
      <w:r>
        <w:rPr/>
        <w:t>controlled</w:t>
      </w:r>
      <w:r>
        <w:rPr>
          <w:spacing w:val="40"/>
        </w:rPr>
        <w:t> </w:t>
      </w:r>
      <w:r>
        <w:rPr/>
        <w:t>vehicles</w:t>
      </w:r>
      <w:r>
        <w:rPr>
          <w:spacing w:val="80"/>
        </w:rPr>
        <w:t> </w:t>
      </w:r>
      <w:r>
        <w:rPr/>
        <w:t>but</w:t>
      </w:r>
      <w:r>
        <w:rPr>
          <w:spacing w:val="80"/>
        </w:rPr>
        <w:t> </w:t>
      </w:r>
      <w:r>
        <w:rPr/>
        <w:t>not</w:t>
      </w:r>
      <w:r>
        <w:rPr>
          <w:spacing w:val="40"/>
        </w:rPr>
        <w:t> </w:t>
      </w:r>
      <w:r>
        <w:rPr/>
        <w:t>for</w:t>
      </w:r>
      <w:r>
        <w:rPr>
          <w:spacing w:val="40"/>
        </w:rPr>
        <w:t> </w:t>
      </w:r>
      <w:r>
        <w:rPr/>
        <w:t>their</w:t>
      </w:r>
      <w:r>
        <w:rPr>
          <w:spacing w:val="40"/>
        </w:rPr>
        <w:t> </w:t>
      </w:r>
      <w:r>
        <w:rPr>
          <w:spacing w:val="9"/>
        </w:rPr>
        <w:t>repairs.</w:t>
      </w:r>
    </w:p>
    <w:p>
      <w:pPr>
        <w:pStyle w:val="Heading6"/>
        <w:numPr>
          <w:ilvl w:val="0"/>
          <w:numId w:val="246"/>
        </w:numPr>
        <w:tabs>
          <w:tab w:pos="1651" w:val="left" w:leader="none"/>
        </w:tabs>
        <w:spacing w:line="240" w:lineRule="auto" w:before="1" w:after="0"/>
        <w:ind w:left="1651" w:right="0" w:hanging="338"/>
        <w:jc w:val="left"/>
        <w:rPr>
          <w:i w:val="0"/>
          <w:sz w:val="22"/>
        </w:rPr>
      </w:pPr>
      <w:r>
        <w:rPr>
          <w:spacing w:val="-2"/>
        </w:rPr>
        <w:t>Basement:</w:t>
      </w:r>
    </w:p>
    <w:p>
      <w:pPr>
        <w:pStyle w:val="ListParagraph"/>
        <w:numPr>
          <w:ilvl w:val="1"/>
          <w:numId w:val="246"/>
        </w:numPr>
        <w:tabs>
          <w:tab w:pos="1481" w:val="left" w:leader="none"/>
          <w:tab w:pos="1626" w:val="left" w:leader="none"/>
          <w:tab w:pos="1934" w:val="left" w:leader="none"/>
          <w:tab w:pos="2540" w:val="left" w:leader="none"/>
          <w:tab w:pos="3197" w:val="left" w:leader="none"/>
          <w:tab w:pos="3805" w:val="left" w:leader="none"/>
          <w:tab w:pos="4576" w:val="left" w:leader="none"/>
          <w:tab w:pos="4624" w:val="left" w:leader="none"/>
          <w:tab w:pos="5434" w:val="left" w:leader="none"/>
          <w:tab w:pos="5483" w:val="left" w:leader="none"/>
          <w:tab w:pos="6350" w:val="left" w:leader="none"/>
          <w:tab w:pos="6841" w:val="left" w:leader="none"/>
          <w:tab w:pos="7301" w:val="left" w:leader="none"/>
          <w:tab w:pos="7364" w:val="left" w:leader="none"/>
          <w:tab w:pos="7910" w:val="left" w:leader="none"/>
          <w:tab w:pos="8060" w:val="left" w:leader="none"/>
          <w:tab w:pos="8587" w:val="left" w:leader="none"/>
          <w:tab w:pos="9275" w:val="left" w:leader="none"/>
          <w:tab w:pos="9709" w:val="left" w:leader="none"/>
          <w:tab w:pos="9907" w:val="left" w:leader="none"/>
        </w:tabs>
        <w:spacing w:line="240" w:lineRule="auto" w:before="2" w:after="0"/>
        <w:ind w:left="1481" w:right="778" w:hanging="168"/>
        <w:jc w:val="left"/>
        <w:rPr>
          <w:sz w:val="24"/>
        </w:rPr>
      </w:pPr>
      <w:r>
        <w:rPr>
          <w:sz w:val="24"/>
        </w:rPr>
        <w:t>The</w:t>
      </w:r>
      <w:r>
        <w:rPr>
          <w:spacing w:val="40"/>
          <w:sz w:val="24"/>
        </w:rPr>
        <w:t> </w:t>
      </w:r>
      <w:r>
        <w:rPr>
          <w:sz w:val="24"/>
        </w:rPr>
        <w:t>basement</w:t>
      </w:r>
      <w:r>
        <w:rPr>
          <w:spacing w:val="40"/>
          <w:sz w:val="24"/>
        </w:rPr>
        <w:t> </w:t>
      </w:r>
      <w:r>
        <w:rPr>
          <w:sz w:val="24"/>
        </w:rPr>
        <w:t>may</w:t>
      </w:r>
      <w:r>
        <w:rPr>
          <w:spacing w:val="40"/>
          <w:sz w:val="24"/>
        </w:rPr>
        <w:t> </w:t>
      </w:r>
      <w:r>
        <w:rPr>
          <w:sz w:val="24"/>
        </w:rPr>
        <w:t>be</w:t>
      </w:r>
      <w:r>
        <w:rPr>
          <w:spacing w:val="40"/>
          <w:sz w:val="24"/>
        </w:rPr>
        <w:t> </w:t>
      </w:r>
      <w:r>
        <w:rPr>
          <w:sz w:val="24"/>
        </w:rPr>
        <w:t>allowed</w:t>
      </w:r>
      <w:r>
        <w:rPr>
          <w:spacing w:val="40"/>
          <w:sz w:val="24"/>
        </w:rPr>
        <w:t> </w:t>
      </w:r>
      <w:r>
        <w:rPr>
          <w:sz w:val="24"/>
        </w:rPr>
        <w:t>to</w:t>
      </w:r>
      <w:r>
        <w:rPr>
          <w:spacing w:val="40"/>
          <w:sz w:val="24"/>
        </w:rPr>
        <w:t> </w:t>
      </w:r>
      <w:r>
        <w:rPr>
          <w:sz w:val="24"/>
        </w:rPr>
        <w:t>be</w:t>
      </w:r>
      <w:r>
        <w:rPr>
          <w:spacing w:val="40"/>
          <w:sz w:val="24"/>
        </w:rPr>
        <w:t> </w:t>
      </w:r>
      <w:r>
        <w:rPr>
          <w:sz w:val="24"/>
        </w:rPr>
        <w:t>constructed</w:t>
      </w:r>
      <w:r>
        <w:rPr>
          <w:spacing w:val="40"/>
          <w:sz w:val="24"/>
        </w:rPr>
        <w:t> </w:t>
      </w:r>
      <w:r>
        <w:rPr>
          <w:sz w:val="24"/>
        </w:rPr>
        <w:t>beyond</w:t>
      </w:r>
      <w:r>
        <w:rPr>
          <w:spacing w:val="40"/>
          <w:sz w:val="24"/>
        </w:rPr>
        <w:t> </w:t>
      </w:r>
      <w:r>
        <w:rPr>
          <w:sz w:val="24"/>
        </w:rPr>
        <w:t>building</w:t>
      </w:r>
      <w:r>
        <w:rPr>
          <w:spacing w:val="40"/>
          <w:sz w:val="24"/>
        </w:rPr>
        <w:t> </w:t>
      </w:r>
      <w:r>
        <w:rPr>
          <w:sz w:val="24"/>
        </w:rPr>
        <w:t>line</w:t>
      </w:r>
      <w:r>
        <w:rPr>
          <w:spacing w:val="40"/>
          <w:sz w:val="24"/>
        </w:rPr>
        <w:t> </w:t>
      </w:r>
      <w:r>
        <w:rPr>
          <w:spacing w:val="-6"/>
          <w:sz w:val="24"/>
        </w:rPr>
        <w:t>in</w:t>
      </w:r>
      <w:r>
        <w:rPr>
          <w:sz w:val="24"/>
        </w:rPr>
        <w:tab/>
      </w:r>
      <w:r>
        <w:rPr>
          <w:spacing w:val="-4"/>
          <w:sz w:val="24"/>
        </w:rPr>
        <w:t>the</w:t>
      </w:r>
      <w:r>
        <w:rPr>
          <w:sz w:val="24"/>
        </w:rPr>
        <w:tab/>
      </w:r>
      <w:r>
        <w:rPr>
          <w:spacing w:val="-2"/>
          <w:sz w:val="24"/>
        </w:rPr>
        <w:t>required</w:t>
      </w:r>
      <w:r>
        <w:rPr>
          <w:sz w:val="24"/>
        </w:rPr>
        <w:tab/>
      </w:r>
      <w:r>
        <w:rPr>
          <w:spacing w:val="-4"/>
          <w:sz w:val="24"/>
        </w:rPr>
        <w:t>front</w:t>
      </w:r>
      <w:r>
        <w:rPr>
          <w:sz w:val="24"/>
        </w:rPr>
        <w:tab/>
        <w:tab/>
      </w:r>
      <w:r>
        <w:rPr>
          <w:spacing w:val="-4"/>
          <w:sz w:val="24"/>
        </w:rPr>
        <w:t>open</w:t>
      </w:r>
      <w:r>
        <w:rPr>
          <w:sz w:val="24"/>
        </w:rPr>
        <w:tab/>
      </w:r>
      <w:r>
        <w:rPr>
          <w:spacing w:val="-2"/>
          <w:sz w:val="24"/>
        </w:rPr>
        <w:t>space</w:t>
      </w:r>
      <w:r>
        <w:rPr>
          <w:sz w:val="24"/>
        </w:rPr>
        <w:tab/>
      </w:r>
      <w:r>
        <w:rPr>
          <w:spacing w:val="-2"/>
          <w:sz w:val="24"/>
        </w:rPr>
        <w:t>under</w:t>
      </w:r>
      <w:r>
        <w:rPr>
          <w:sz w:val="24"/>
        </w:rPr>
        <w:tab/>
      </w:r>
      <w:r>
        <w:rPr>
          <w:spacing w:val="-4"/>
          <w:sz w:val="24"/>
        </w:rPr>
        <w:t>the</w:t>
      </w:r>
      <w:r>
        <w:rPr>
          <w:sz w:val="24"/>
        </w:rPr>
        <w:tab/>
      </w:r>
      <w:r>
        <w:rPr>
          <w:spacing w:val="-2"/>
          <w:sz w:val="24"/>
        </w:rPr>
        <w:t>provision</w:t>
      </w:r>
      <w:r>
        <w:rPr>
          <w:sz w:val="24"/>
        </w:rPr>
        <w:tab/>
      </w:r>
      <w:r>
        <w:rPr>
          <w:spacing w:val="-6"/>
          <w:sz w:val="24"/>
        </w:rPr>
        <w:t>of</w:t>
      </w:r>
      <w:r>
        <w:rPr>
          <w:sz w:val="24"/>
        </w:rPr>
        <w:tab/>
      </w:r>
      <w:r>
        <w:rPr>
          <w:spacing w:val="-2"/>
          <w:sz w:val="24"/>
        </w:rPr>
        <w:t>these regulations</w:t>
      </w:r>
      <w:r>
        <w:rPr>
          <w:sz w:val="24"/>
        </w:rPr>
        <w:tab/>
      </w:r>
      <w:r>
        <w:rPr>
          <w:spacing w:val="-2"/>
          <w:sz w:val="24"/>
        </w:rPr>
        <w:t>provided</w:t>
      </w:r>
      <w:r>
        <w:rPr>
          <w:sz w:val="24"/>
        </w:rPr>
        <w:tab/>
      </w:r>
      <w:r>
        <w:rPr>
          <w:spacing w:val="-2"/>
          <w:sz w:val="24"/>
        </w:rPr>
        <w:t>clear</w:t>
      </w:r>
      <w:r>
        <w:rPr>
          <w:sz w:val="24"/>
        </w:rPr>
        <w:tab/>
        <w:tab/>
      </w:r>
      <w:r>
        <w:rPr>
          <w:spacing w:val="-2"/>
          <w:sz w:val="24"/>
        </w:rPr>
        <w:t>distance</w:t>
      </w:r>
      <w:r>
        <w:rPr>
          <w:sz w:val="24"/>
        </w:rPr>
        <w:tab/>
      </w:r>
      <w:r>
        <w:rPr>
          <w:spacing w:val="-6"/>
          <w:sz w:val="24"/>
        </w:rPr>
        <w:t>of</w:t>
      </w:r>
      <w:r>
        <w:rPr>
          <w:sz w:val="24"/>
        </w:rPr>
        <w:tab/>
        <w:tab/>
      </w:r>
      <w:r>
        <w:rPr>
          <w:spacing w:val="-4"/>
          <w:sz w:val="24"/>
        </w:rPr>
        <w:t>3.0</w:t>
      </w:r>
      <w:r>
        <w:rPr>
          <w:sz w:val="24"/>
        </w:rPr>
        <w:tab/>
        <w:tab/>
      </w:r>
      <w:r>
        <w:rPr>
          <w:spacing w:val="-10"/>
          <w:sz w:val="24"/>
        </w:rPr>
        <w:t>m</w:t>
      </w:r>
      <w:r>
        <w:rPr>
          <w:sz w:val="24"/>
        </w:rPr>
        <w:tab/>
      </w:r>
      <w:r>
        <w:rPr>
          <w:spacing w:val="-2"/>
          <w:sz w:val="24"/>
        </w:rPr>
        <w:t>between</w:t>
      </w:r>
      <w:r>
        <w:rPr>
          <w:sz w:val="24"/>
        </w:rPr>
        <w:tab/>
        <w:tab/>
      </w:r>
      <w:r>
        <w:rPr>
          <w:spacing w:val="-4"/>
          <w:sz w:val="24"/>
        </w:rPr>
        <w:t>plot </w:t>
      </w:r>
      <w:r>
        <w:rPr>
          <w:sz w:val="24"/>
        </w:rPr>
        <w:t>boundary/edge</w:t>
      </w:r>
      <w:r>
        <w:rPr>
          <w:spacing w:val="80"/>
          <w:sz w:val="24"/>
        </w:rPr>
        <w:t> </w:t>
      </w:r>
      <w:r>
        <w:rPr>
          <w:sz w:val="24"/>
        </w:rPr>
        <w:t>of</w:t>
      </w:r>
      <w:r>
        <w:rPr>
          <w:spacing w:val="80"/>
          <w:w w:val="150"/>
          <w:sz w:val="24"/>
        </w:rPr>
        <w:t> </w:t>
      </w:r>
      <w:r>
        <w:rPr>
          <w:sz w:val="24"/>
        </w:rPr>
        <w:t>road</w:t>
      </w:r>
      <w:r>
        <w:rPr>
          <w:spacing w:val="80"/>
          <w:sz w:val="24"/>
        </w:rPr>
        <w:t> </w:t>
      </w:r>
      <w:r>
        <w:rPr>
          <w:sz w:val="24"/>
        </w:rPr>
        <w:t>and</w:t>
      </w:r>
      <w:r>
        <w:rPr>
          <w:spacing w:val="80"/>
          <w:sz w:val="24"/>
        </w:rPr>
        <w:t> </w:t>
      </w:r>
      <w:r>
        <w:rPr>
          <w:sz w:val="24"/>
        </w:rPr>
        <w:t>basement</w:t>
      </w:r>
      <w:r>
        <w:rPr>
          <w:spacing w:val="80"/>
          <w:sz w:val="24"/>
        </w:rPr>
        <w:t> </w:t>
      </w:r>
      <w:r>
        <w:rPr>
          <w:sz w:val="24"/>
        </w:rPr>
        <w:t>line</w:t>
      </w:r>
      <w:r>
        <w:rPr>
          <w:spacing w:val="80"/>
          <w:sz w:val="24"/>
        </w:rPr>
        <w:t> </w:t>
      </w:r>
      <w:r>
        <w:rPr>
          <w:sz w:val="24"/>
        </w:rPr>
        <w:t>is</w:t>
      </w:r>
      <w:r>
        <w:rPr>
          <w:spacing w:val="80"/>
          <w:sz w:val="24"/>
        </w:rPr>
        <w:t> </w:t>
      </w:r>
      <w:r>
        <w:rPr>
          <w:sz w:val="24"/>
        </w:rPr>
        <w:t>maintained.</w:t>
      </w:r>
      <w:r>
        <w:rPr>
          <w:spacing w:val="80"/>
          <w:sz w:val="24"/>
        </w:rPr>
        <w:t> </w:t>
      </w:r>
      <w:r>
        <w:rPr>
          <w:sz w:val="24"/>
        </w:rPr>
        <w:t>The</w:t>
      </w:r>
      <w:r>
        <w:rPr>
          <w:spacing w:val="80"/>
          <w:sz w:val="24"/>
        </w:rPr>
        <w:t> </w:t>
      </w:r>
      <w:r>
        <w:rPr>
          <w:sz w:val="24"/>
        </w:rPr>
        <w:t>open</w:t>
      </w:r>
      <w:r>
        <w:rPr>
          <w:spacing w:val="80"/>
          <w:sz w:val="24"/>
        </w:rPr>
        <w:t> </w:t>
      </w:r>
      <w:r>
        <w:rPr>
          <w:sz w:val="24"/>
        </w:rPr>
        <w:t>spaces</w:t>
      </w:r>
      <w:r>
        <w:rPr>
          <w:spacing w:val="75"/>
          <w:sz w:val="24"/>
        </w:rPr>
        <w:t> </w:t>
      </w:r>
      <w:r>
        <w:rPr>
          <w:sz w:val="24"/>
        </w:rPr>
        <w:t>from</w:t>
      </w:r>
      <w:r>
        <w:rPr>
          <w:spacing w:val="75"/>
          <w:sz w:val="24"/>
        </w:rPr>
        <w:t> </w:t>
      </w:r>
      <w:r>
        <w:rPr>
          <w:sz w:val="24"/>
        </w:rPr>
        <w:t>the</w:t>
      </w:r>
      <w:r>
        <w:rPr>
          <w:spacing w:val="75"/>
          <w:sz w:val="24"/>
        </w:rPr>
        <w:t> </w:t>
      </w:r>
      <w:r>
        <w:rPr>
          <w:sz w:val="24"/>
        </w:rPr>
        <w:t>other</w:t>
      </w:r>
      <w:r>
        <w:rPr>
          <w:spacing w:val="75"/>
          <w:sz w:val="24"/>
        </w:rPr>
        <w:t> </w:t>
      </w:r>
      <w:r>
        <w:rPr>
          <w:sz w:val="24"/>
        </w:rPr>
        <w:t>boundaries</w:t>
      </w:r>
      <w:r>
        <w:rPr>
          <w:spacing w:val="75"/>
          <w:sz w:val="24"/>
        </w:rPr>
        <w:t> </w:t>
      </w:r>
      <w:r>
        <w:rPr>
          <w:sz w:val="24"/>
        </w:rPr>
        <w:t>of</w:t>
      </w:r>
      <w:r>
        <w:rPr>
          <w:spacing w:val="79"/>
          <w:sz w:val="24"/>
        </w:rPr>
        <w:t> </w:t>
      </w:r>
      <w:r>
        <w:rPr>
          <w:sz w:val="24"/>
        </w:rPr>
        <w:t>the</w:t>
      </w:r>
      <w:r>
        <w:rPr>
          <w:spacing w:val="75"/>
          <w:sz w:val="24"/>
        </w:rPr>
        <w:t> </w:t>
      </w:r>
      <w:r>
        <w:rPr>
          <w:sz w:val="24"/>
        </w:rPr>
        <w:t>plot</w:t>
      </w:r>
      <w:r>
        <w:rPr>
          <w:spacing w:val="75"/>
          <w:sz w:val="24"/>
        </w:rPr>
        <w:t> </w:t>
      </w:r>
      <w:r>
        <w:rPr>
          <w:sz w:val="24"/>
        </w:rPr>
        <w:t>except</w:t>
      </w:r>
      <w:r>
        <w:rPr>
          <w:spacing w:val="75"/>
          <w:sz w:val="24"/>
        </w:rPr>
        <w:t> </w:t>
      </w:r>
      <w:r>
        <w:rPr>
          <w:sz w:val="24"/>
        </w:rPr>
        <w:t>front</w:t>
      </w:r>
      <w:r>
        <w:rPr>
          <w:spacing w:val="75"/>
          <w:sz w:val="24"/>
        </w:rPr>
        <w:t> </w:t>
      </w:r>
      <w:r>
        <w:rPr>
          <w:sz w:val="24"/>
        </w:rPr>
        <w:t>open</w:t>
      </w:r>
      <w:r>
        <w:rPr>
          <w:spacing w:val="75"/>
          <w:sz w:val="24"/>
        </w:rPr>
        <w:t> </w:t>
      </w:r>
      <w:r>
        <w:rPr>
          <w:sz w:val="24"/>
        </w:rPr>
        <w:t>space 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1.5</w:t>
      </w:r>
      <w:r>
        <w:rPr>
          <w:spacing w:val="40"/>
          <w:sz w:val="24"/>
        </w:rPr>
        <w:t> </w:t>
      </w:r>
      <w:r>
        <w:rPr>
          <w:sz w:val="24"/>
        </w:rPr>
        <w:t>m.</w:t>
      </w:r>
      <w:r>
        <w:rPr>
          <w:spacing w:val="40"/>
          <w:sz w:val="24"/>
        </w:rPr>
        <w:t> </w:t>
      </w:r>
      <w:r>
        <w:rPr>
          <w:sz w:val="24"/>
        </w:rPr>
        <w:t>Basement</w:t>
      </w:r>
      <w:r>
        <w:rPr>
          <w:spacing w:val="40"/>
          <w:sz w:val="24"/>
        </w:rPr>
        <w:t> </w:t>
      </w:r>
      <w:r>
        <w:rPr>
          <w:sz w:val="24"/>
        </w:rPr>
        <w:t>may</w:t>
      </w:r>
      <w:r>
        <w:rPr>
          <w:spacing w:val="40"/>
          <w:sz w:val="24"/>
        </w:rPr>
        <w:t> </w:t>
      </w:r>
      <w:r>
        <w:rPr>
          <w:sz w:val="24"/>
        </w:rPr>
        <w:t>be</w:t>
      </w:r>
      <w:r>
        <w:rPr>
          <w:spacing w:val="40"/>
          <w:sz w:val="24"/>
        </w:rPr>
        <w:t> </w:t>
      </w:r>
      <w:r>
        <w:rPr>
          <w:sz w:val="24"/>
        </w:rPr>
        <w:t>at</w:t>
      </w:r>
      <w:r>
        <w:rPr>
          <w:spacing w:val="40"/>
          <w:sz w:val="24"/>
        </w:rPr>
        <w:t> </w:t>
      </w:r>
      <w:r>
        <w:rPr>
          <w:sz w:val="24"/>
        </w:rPr>
        <w:t>one</w:t>
      </w:r>
      <w:r>
        <w:rPr>
          <w:spacing w:val="40"/>
          <w:sz w:val="24"/>
        </w:rPr>
        <w:t> </w:t>
      </w:r>
      <w:r>
        <w:rPr>
          <w:sz w:val="24"/>
        </w:rPr>
        <w:t>level</w:t>
      </w:r>
      <w:r>
        <w:rPr>
          <w:spacing w:val="40"/>
          <w:sz w:val="24"/>
        </w:rPr>
        <w:t> </w:t>
      </w:r>
      <w:r>
        <w:rPr>
          <w:sz w:val="24"/>
        </w:rPr>
        <w:t>or</w:t>
      </w:r>
      <w:r>
        <w:rPr>
          <w:spacing w:val="40"/>
          <w:sz w:val="24"/>
        </w:rPr>
        <w:t> </w:t>
      </w:r>
      <w:r>
        <w:rPr>
          <w:spacing w:val="9"/>
          <w:sz w:val="24"/>
        </w:rPr>
        <w:t>more. </w:t>
      </w:r>
      <w:r>
        <w:rPr>
          <w:sz w:val="24"/>
        </w:rPr>
        <w:t>Provided</w:t>
      </w:r>
      <w:r>
        <w:rPr>
          <w:spacing w:val="40"/>
          <w:sz w:val="24"/>
        </w:rPr>
        <w:t> </w:t>
      </w:r>
      <w:r>
        <w:rPr>
          <w:sz w:val="24"/>
        </w:rPr>
        <w:t>further</w:t>
      </w:r>
      <w:r>
        <w:rPr>
          <w:spacing w:val="40"/>
          <w:sz w:val="24"/>
        </w:rPr>
        <w:t> </w:t>
      </w:r>
      <w:r>
        <w:rPr>
          <w:sz w:val="24"/>
        </w:rPr>
        <w:t>that</w:t>
      </w:r>
      <w:r>
        <w:rPr>
          <w:spacing w:val="40"/>
          <w:sz w:val="24"/>
        </w:rPr>
        <w:t> </w:t>
      </w:r>
      <w:r>
        <w:rPr>
          <w:sz w:val="24"/>
        </w:rPr>
        <w:t>if</w:t>
      </w:r>
      <w:r>
        <w:rPr>
          <w:spacing w:val="40"/>
          <w:sz w:val="24"/>
        </w:rPr>
        <w:t> </w:t>
      </w:r>
      <w:r>
        <w:rPr>
          <w:sz w:val="24"/>
        </w:rPr>
        <w:t>total</w:t>
      </w:r>
      <w:r>
        <w:rPr>
          <w:spacing w:val="40"/>
          <w:sz w:val="24"/>
        </w:rPr>
        <w:t> </w:t>
      </w:r>
      <w:r>
        <w:rPr>
          <w:sz w:val="24"/>
        </w:rPr>
        <w:t>depth</w:t>
      </w:r>
      <w:r>
        <w:rPr>
          <w:spacing w:val="40"/>
          <w:sz w:val="24"/>
        </w:rPr>
        <w:t> </w:t>
      </w:r>
      <w:r>
        <w:rPr>
          <w:sz w:val="24"/>
        </w:rPr>
        <w:t>of</w:t>
      </w:r>
      <w:r>
        <w:rPr>
          <w:spacing w:val="40"/>
          <w:sz w:val="24"/>
        </w:rPr>
        <w:t> </w:t>
      </w:r>
      <w:r>
        <w:rPr>
          <w:sz w:val="24"/>
        </w:rPr>
        <w:t>basements</w:t>
      </w:r>
      <w:r>
        <w:rPr>
          <w:spacing w:val="40"/>
          <w:sz w:val="24"/>
        </w:rPr>
        <w:t> </w:t>
      </w:r>
      <w:r>
        <w:rPr>
          <w:sz w:val="24"/>
        </w:rPr>
        <w:t>exceed</w:t>
      </w:r>
      <w:r>
        <w:rPr>
          <w:spacing w:val="40"/>
          <w:sz w:val="24"/>
        </w:rPr>
        <w:t> </w:t>
      </w:r>
      <w:r>
        <w:rPr>
          <w:sz w:val="24"/>
        </w:rPr>
        <w:t>beyond</w:t>
      </w:r>
      <w:r>
        <w:rPr>
          <w:spacing w:val="40"/>
          <w:sz w:val="24"/>
        </w:rPr>
        <w:t> </w:t>
      </w:r>
      <w:r>
        <w:rPr>
          <w:sz w:val="24"/>
        </w:rPr>
        <w:t>8.4</w:t>
      </w:r>
      <w:r>
        <w:rPr>
          <w:spacing w:val="40"/>
          <w:sz w:val="24"/>
        </w:rPr>
        <w:t> </w:t>
      </w:r>
      <w:r>
        <w:rPr>
          <w:sz w:val="24"/>
        </w:rPr>
        <w:t>m then</w:t>
      </w:r>
      <w:r>
        <w:rPr>
          <w:spacing w:val="34"/>
          <w:sz w:val="24"/>
        </w:rPr>
        <w:t> </w:t>
      </w:r>
      <w:r>
        <w:rPr>
          <w:sz w:val="24"/>
        </w:rPr>
        <w:t>the</w:t>
      </w:r>
      <w:r>
        <w:rPr>
          <w:spacing w:val="34"/>
          <w:sz w:val="24"/>
        </w:rPr>
        <w:t> </w:t>
      </w:r>
      <w:r>
        <w:rPr>
          <w:sz w:val="24"/>
        </w:rPr>
        <w:t>open</w:t>
      </w:r>
      <w:r>
        <w:rPr>
          <w:spacing w:val="34"/>
          <w:sz w:val="24"/>
        </w:rPr>
        <w:t> </w:t>
      </w:r>
      <w:r>
        <w:rPr>
          <w:sz w:val="24"/>
        </w:rPr>
        <w:t>spaces</w:t>
      </w:r>
      <w:r>
        <w:rPr>
          <w:spacing w:val="34"/>
          <w:sz w:val="24"/>
        </w:rPr>
        <w:t> </w:t>
      </w:r>
      <w:r>
        <w:rPr>
          <w:sz w:val="24"/>
        </w:rPr>
        <w:t>from</w:t>
      </w:r>
      <w:r>
        <w:rPr>
          <w:spacing w:val="37"/>
          <w:sz w:val="24"/>
        </w:rPr>
        <w:t> </w:t>
      </w:r>
      <w:r>
        <w:rPr>
          <w:sz w:val="24"/>
        </w:rPr>
        <w:t>the</w:t>
      </w:r>
      <w:r>
        <w:rPr>
          <w:spacing w:val="37"/>
          <w:sz w:val="24"/>
        </w:rPr>
        <w:t> </w:t>
      </w:r>
      <w:r>
        <w:rPr>
          <w:sz w:val="24"/>
        </w:rPr>
        <w:t>boundaries</w:t>
      </w:r>
      <w:r>
        <w:rPr>
          <w:spacing w:val="34"/>
          <w:sz w:val="24"/>
        </w:rPr>
        <w:t> </w:t>
      </w:r>
      <w:r>
        <w:rPr>
          <w:sz w:val="24"/>
        </w:rPr>
        <w:t>of</w:t>
      </w:r>
      <w:r>
        <w:rPr>
          <w:spacing w:val="37"/>
          <w:sz w:val="24"/>
        </w:rPr>
        <w:t> </w:t>
      </w:r>
      <w:r>
        <w:rPr>
          <w:sz w:val="24"/>
        </w:rPr>
        <w:t>the</w:t>
      </w:r>
      <w:r>
        <w:rPr>
          <w:spacing w:val="37"/>
          <w:sz w:val="24"/>
        </w:rPr>
        <w:t> </w:t>
      </w:r>
      <w:r>
        <w:rPr>
          <w:sz w:val="24"/>
        </w:rPr>
        <w:t>plot</w:t>
      </w:r>
      <w:r>
        <w:rPr>
          <w:spacing w:val="37"/>
          <w:sz w:val="24"/>
        </w:rPr>
        <w:t> </w:t>
      </w:r>
      <w:r>
        <w:rPr>
          <w:spacing w:val="10"/>
          <w:sz w:val="24"/>
        </w:rPr>
        <w:t>shall </w:t>
      </w:r>
      <w:r>
        <w:rPr>
          <w:sz w:val="24"/>
        </w:rPr>
        <w:t>be</w:t>
      </w:r>
      <w:r>
        <w:rPr>
          <w:spacing w:val="34"/>
          <w:sz w:val="24"/>
        </w:rPr>
        <w:t> </w:t>
      </w:r>
      <w:r>
        <w:rPr>
          <w:sz w:val="24"/>
        </w:rPr>
        <w:t>increased by</w:t>
      </w:r>
      <w:r>
        <w:rPr>
          <w:spacing w:val="40"/>
          <w:sz w:val="24"/>
        </w:rPr>
        <w:t> </w:t>
      </w:r>
      <w:r>
        <w:rPr>
          <w:sz w:val="24"/>
        </w:rPr>
        <w:t>1.5</w:t>
      </w:r>
      <w:r>
        <w:rPr>
          <w:spacing w:val="40"/>
          <w:sz w:val="24"/>
        </w:rPr>
        <w:t> </w:t>
      </w:r>
      <w:r>
        <w:rPr>
          <w:sz w:val="24"/>
        </w:rPr>
        <w:t>m</w:t>
      </w:r>
      <w:r>
        <w:rPr>
          <w:spacing w:val="40"/>
          <w:sz w:val="24"/>
        </w:rPr>
        <w:t> </w:t>
      </w:r>
      <w:r>
        <w:rPr>
          <w:sz w:val="24"/>
        </w:rPr>
        <w:t>for</w:t>
      </w:r>
      <w:r>
        <w:rPr>
          <w:spacing w:val="40"/>
          <w:sz w:val="24"/>
        </w:rPr>
        <w:t> </w:t>
      </w:r>
      <w:r>
        <w:rPr>
          <w:sz w:val="24"/>
        </w:rPr>
        <w:t>every</w:t>
      </w:r>
      <w:r>
        <w:rPr>
          <w:spacing w:val="40"/>
          <w:sz w:val="24"/>
        </w:rPr>
        <w:t> </w:t>
      </w:r>
      <w:r>
        <w:rPr>
          <w:sz w:val="24"/>
        </w:rPr>
        <w:t>8.4</w:t>
      </w:r>
      <w:r>
        <w:rPr>
          <w:spacing w:val="40"/>
          <w:sz w:val="24"/>
        </w:rPr>
        <w:t> </w:t>
      </w:r>
      <w:r>
        <w:rPr>
          <w:sz w:val="24"/>
        </w:rPr>
        <w:t>m</w:t>
      </w:r>
      <w:r>
        <w:rPr>
          <w:spacing w:val="40"/>
          <w:sz w:val="24"/>
        </w:rPr>
        <w:t> </w:t>
      </w:r>
      <w:r>
        <w:rPr>
          <w:sz w:val="24"/>
        </w:rPr>
        <w:t>or</w:t>
      </w:r>
      <w:r>
        <w:rPr>
          <w:spacing w:val="40"/>
          <w:sz w:val="24"/>
        </w:rPr>
        <w:t> </w:t>
      </w:r>
      <w:r>
        <w:rPr>
          <w:sz w:val="24"/>
        </w:rPr>
        <w:t>fraction</w:t>
      </w:r>
      <w:r>
        <w:rPr>
          <w:spacing w:val="40"/>
          <w:sz w:val="24"/>
        </w:rPr>
        <w:t> </w:t>
      </w:r>
      <w:r>
        <w:rPr>
          <w:sz w:val="24"/>
        </w:rPr>
        <w:t>thereof</w:t>
      </w:r>
      <w:r>
        <w:rPr>
          <w:spacing w:val="40"/>
          <w:sz w:val="24"/>
        </w:rPr>
        <w:t> </w:t>
      </w:r>
      <w:r>
        <w:rPr>
          <w:sz w:val="24"/>
        </w:rPr>
        <w:t>beyond</w:t>
      </w:r>
      <w:r>
        <w:rPr>
          <w:spacing w:val="40"/>
          <w:sz w:val="24"/>
        </w:rPr>
        <w:t> </w:t>
      </w:r>
      <w:r>
        <w:rPr>
          <w:sz w:val="24"/>
        </w:rPr>
        <w:t>the</w:t>
      </w:r>
      <w:r>
        <w:rPr>
          <w:spacing w:val="40"/>
          <w:sz w:val="24"/>
        </w:rPr>
        <w:t> </w:t>
      </w:r>
      <w:r>
        <w:rPr>
          <w:sz w:val="24"/>
        </w:rPr>
        <w:t>open</w:t>
      </w:r>
      <w:r>
        <w:rPr>
          <w:spacing w:val="40"/>
          <w:sz w:val="24"/>
        </w:rPr>
        <w:t> </w:t>
      </w:r>
      <w:r>
        <w:rPr>
          <w:sz w:val="24"/>
        </w:rPr>
        <w:t>spaces</w:t>
      </w:r>
      <w:r>
        <w:rPr>
          <w:spacing w:val="40"/>
          <w:sz w:val="24"/>
        </w:rPr>
        <w:t> </w:t>
      </w:r>
      <w:r>
        <w:rPr>
          <w:sz w:val="24"/>
        </w:rPr>
        <w:t>as described </w:t>
      </w:r>
      <w:r>
        <w:rPr>
          <w:spacing w:val="9"/>
          <w:sz w:val="24"/>
        </w:rPr>
        <w:t>above.</w:t>
      </w:r>
    </w:p>
    <w:p>
      <w:pPr>
        <w:pStyle w:val="ListParagraph"/>
        <w:numPr>
          <w:ilvl w:val="1"/>
          <w:numId w:val="246"/>
        </w:numPr>
        <w:tabs>
          <w:tab w:pos="1493" w:val="left" w:leader="none"/>
          <w:tab w:pos="1828" w:val="left" w:leader="none"/>
        </w:tabs>
        <w:spacing w:line="240" w:lineRule="auto" w:before="241" w:after="0"/>
        <w:ind w:left="1493" w:right="783" w:hanging="180"/>
        <w:jc w:val="both"/>
        <w:rPr>
          <w:sz w:val="24"/>
        </w:rPr>
      </w:pPr>
      <w:r>
        <w:rPr>
          <w:sz w:val="24"/>
        </w:rPr>
        <w:t>Height-</w:t>
      </w:r>
      <w:r>
        <w:rPr>
          <w:spacing w:val="71"/>
          <w:sz w:val="24"/>
        </w:rPr>
        <w:t> </w:t>
      </w:r>
      <w:r>
        <w:rPr>
          <w:sz w:val="24"/>
        </w:rPr>
        <w:t>The</w:t>
      </w:r>
      <w:r>
        <w:rPr>
          <w:spacing w:val="67"/>
          <w:sz w:val="24"/>
        </w:rPr>
        <w:t> </w:t>
      </w:r>
      <w:r>
        <w:rPr>
          <w:sz w:val="24"/>
        </w:rPr>
        <w:t>height</w:t>
      </w:r>
      <w:r>
        <w:rPr>
          <w:spacing w:val="40"/>
          <w:sz w:val="24"/>
        </w:rPr>
        <w:t> </w:t>
      </w:r>
      <w:r>
        <w:rPr>
          <w:sz w:val="24"/>
        </w:rPr>
        <w:t>of</w:t>
      </w:r>
      <w:r>
        <w:rPr>
          <w:spacing w:val="67"/>
          <w:sz w:val="24"/>
        </w:rPr>
        <w:t> </w:t>
      </w:r>
      <w:r>
        <w:rPr>
          <w:sz w:val="24"/>
        </w:rPr>
        <w:t>the</w:t>
      </w:r>
      <w:r>
        <w:rPr>
          <w:spacing w:val="67"/>
          <w:sz w:val="24"/>
        </w:rPr>
        <w:t> </w:t>
      </w:r>
      <w:r>
        <w:rPr>
          <w:sz w:val="24"/>
        </w:rPr>
        <w:t>basement</w:t>
      </w:r>
      <w:r>
        <w:rPr>
          <w:spacing w:val="40"/>
          <w:sz w:val="24"/>
        </w:rPr>
        <w:t> </w:t>
      </w:r>
      <w:r>
        <w:rPr>
          <w:sz w:val="24"/>
        </w:rPr>
        <w:t>from</w:t>
      </w:r>
      <w:r>
        <w:rPr>
          <w:spacing w:val="67"/>
          <w:sz w:val="24"/>
        </w:rPr>
        <w:t> </w:t>
      </w:r>
      <w:r>
        <w:rPr>
          <w:sz w:val="24"/>
        </w:rPr>
        <w:t>the</w:t>
      </w:r>
      <w:r>
        <w:rPr>
          <w:spacing w:val="40"/>
          <w:sz w:val="24"/>
        </w:rPr>
        <w:t> </w:t>
      </w:r>
      <w:r>
        <w:rPr>
          <w:sz w:val="24"/>
        </w:rPr>
        <w:t>floor</w:t>
      </w:r>
      <w:r>
        <w:rPr>
          <w:spacing w:val="67"/>
          <w:sz w:val="24"/>
        </w:rPr>
        <w:t> </w:t>
      </w:r>
      <w:r>
        <w:rPr>
          <w:sz w:val="24"/>
        </w:rPr>
        <w:t>to</w:t>
      </w:r>
      <w:r>
        <w:rPr>
          <w:spacing w:val="40"/>
          <w:sz w:val="24"/>
        </w:rPr>
        <w:t> </w:t>
      </w:r>
      <w:r>
        <w:rPr>
          <w:sz w:val="24"/>
        </w:rPr>
        <w:t>the</w:t>
      </w:r>
      <w:r>
        <w:rPr>
          <w:spacing w:val="40"/>
          <w:sz w:val="24"/>
        </w:rPr>
        <w:t> </w:t>
      </w:r>
      <w:r>
        <w:rPr>
          <w:sz w:val="24"/>
        </w:rPr>
        <w:t>underside of</w:t>
      </w:r>
      <w:r>
        <w:rPr>
          <w:spacing w:val="40"/>
          <w:sz w:val="24"/>
        </w:rPr>
        <w:t> </w:t>
      </w:r>
      <w:r>
        <w:rPr>
          <w:sz w:val="24"/>
        </w:rPr>
        <w:t>the</w:t>
      </w:r>
      <w:r>
        <w:rPr>
          <w:spacing w:val="40"/>
          <w:sz w:val="24"/>
        </w:rPr>
        <w:t> </w:t>
      </w:r>
      <w:r>
        <w:rPr>
          <w:spacing w:val="9"/>
          <w:sz w:val="24"/>
        </w:rPr>
        <w:t>roof-</w:t>
      </w:r>
      <w:r>
        <w:rPr>
          <w:sz w:val="24"/>
        </w:rPr>
        <w:t>slab</w:t>
      </w:r>
      <w:r>
        <w:rPr>
          <w:spacing w:val="40"/>
          <w:sz w:val="24"/>
        </w:rPr>
        <w:t> </w:t>
      </w:r>
      <w:r>
        <w:rPr>
          <w:sz w:val="24"/>
        </w:rPr>
        <w:t>or</w:t>
      </w:r>
      <w:r>
        <w:rPr>
          <w:spacing w:val="40"/>
          <w:sz w:val="24"/>
        </w:rPr>
        <w:t> </w:t>
      </w:r>
      <w:r>
        <w:rPr>
          <w:sz w:val="24"/>
        </w:rPr>
        <w:t>ceiling</w:t>
      </w:r>
      <w:r>
        <w:rPr>
          <w:spacing w:val="40"/>
          <w:sz w:val="24"/>
        </w:rPr>
        <w:t> </w:t>
      </w:r>
      <w:r>
        <w:rPr>
          <w:sz w:val="24"/>
        </w:rPr>
        <w:t>or</w:t>
      </w:r>
      <w:r>
        <w:rPr>
          <w:spacing w:val="40"/>
          <w:sz w:val="24"/>
        </w:rPr>
        <w:t> </w:t>
      </w:r>
      <w:r>
        <w:rPr>
          <w:sz w:val="24"/>
        </w:rPr>
        <w:t>under</w:t>
      </w:r>
      <w:r>
        <w:rPr>
          <w:spacing w:val="40"/>
          <w:sz w:val="24"/>
        </w:rPr>
        <w:t> </w:t>
      </w:r>
      <w:r>
        <w:rPr>
          <w:sz w:val="24"/>
        </w:rPr>
        <w:t>side</w:t>
      </w:r>
      <w:r>
        <w:rPr>
          <w:spacing w:val="40"/>
          <w:sz w:val="24"/>
        </w:rPr>
        <w:t> </w:t>
      </w:r>
      <w:r>
        <w:rPr>
          <w:sz w:val="24"/>
        </w:rPr>
        <w:t>of</w:t>
      </w:r>
      <w:r>
        <w:rPr>
          <w:spacing w:val="40"/>
          <w:sz w:val="24"/>
        </w:rPr>
        <w:t> </w:t>
      </w:r>
      <w:r>
        <w:rPr>
          <w:sz w:val="24"/>
        </w:rPr>
        <w:t>a</w:t>
      </w:r>
      <w:r>
        <w:rPr>
          <w:spacing w:val="40"/>
          <w:sz w:val="24"/>
        </w:rPr>
        <w:t> </w:t>
      </w:r>
      <w:r>
        <w:rPr>
          <w:sz w:val="24"/>
        </w:rPr>
        <w:t>beam</w:t>
      </w:r>
      <w:r>
        <w:rPr>
          <w:spacing w:val="40"/>
          <w:sz w:val="24"/>
        </w:rPr>
        <w:t> </w:t>
      </w:r>
      <w:r>
        <w:rPr>
          <w:sz w:val="24"/>
        </w:rPr>
        <w:t>when</w:t>
      </w:r>
      <w:r>
        <w:rPr>
          <w:spacing w:val="40"/>
          <w:sz w:val="24"/>
        </w:rPr>
        <w:t> </w:t>
      </w:r>
      <w:r>
        <w:rPr>
          <w:sz w:val="24"/>
        </w:rPr>
        <w:t>the</w:t>
      </w:r>
      <w:r>
        <w:rPr>
          <w:spacing w:val="40"/>
          <w:sz w:val="24"/>
        </w:rPr>
        <w:t> </w:t>
      </w:r>
      <w:r>
        <w:rPr>
          <w:sz w:val="24"/>
        </w:rPr>
        <w:t>basement has a beam shall not be less than 2.4 m. The height of basement below soffit of the slab shall not be more than 3.9 </w:t>
      </w:r>
      <w:r>
        <w:rPr>
          <w:spacing w:val="10"/>
          <w:sz w:val="24"/>
        </w:rPr>
        <w:t>m. </w:t>
      </w:r>
      <w:r>
        <w:rPr>
          <w:sz w:val="24"/>
        </w:rPr>
        <w:t>In case of mechanical parking</w:t>
      </w:r>
      <w:r>
        <w:rPr>
          <w:spacing w:val="40"/>
          <w:sz w:val="24"/>
        </w:rPr>
        <w:t> </w:t>
      </w:r>
      <w:r>
        <w:rPr>
          <w:sz w:val="24"/>
        </w:rPr>
        <w:t>more</w:t>
      </w:r>
      <w:r>
        <w:rPr>
          <w:spacing w:val="40"/>
          <w:sz w:val="24"/>
        </w:rPr>
        <w:t> </w:t>
      </w:r>
      <w:r>
        <w:rPr>
          <w:sz w:val="24"/>
        </w:rPr>
        <w:t>height</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requirement</w:t>
      </w:r>
      <w:r>
        <w:rPr>
          <w:spacing w:val="40"/>
          <w:sz w:val="24"/>
        </w:rPr>
        <w:t> </w:t>
      </w:r>
      <w:r>
        <w:rPr>
          <w:sz w:val="24"/>
        </w:rPr>
        <w:t>may</w:t>
      </w:r>
      <w:r>
        <w:rPr>
          <w:spacing w:val="40"/>
          <w:sz w:val="24"/>
        </w:rPr>
        <w:t> </w:t>
      </w:r>
      <w:r>
        <w:rPr>
          <w:sz w:val="24"/>
        </w:rPr>
        <w:t>be</w:t>
      </w:r>
      <w:r>
        <w:rPr>
          <w:spacing w:val="40"/>
          <w:sz w:val="24"/>
        </w:rPr>
        <w:t> </w:t>
      </w:r>
      <w:r>
        <w:rPr>
          <w:spacing w:val="9"/>
          <w:sz w:val="24"/>
        </w:rPr>
        <w:t>allowed.</w:t>
      </w:r>
    </w:p>
    <w:p>
      <w:pPr>
        <w:pStyle w:val="ListParagraph"/>
        <w:numPr>
          <w:ilvl w:val="1"/>
          <w:numId w:val="246"/>
        </w:numPr>
        <w:tabs>
          <w:tab w:pos="1493" w:val="left" w:leader="none"/>
          <w:tab w:pos="1813" w:val="left" w:leader="none"/>
        </w:tabs>
        <w:spacing w:line="240" w:lineRule="auto" w:before="240" w:after="0"/>
        <w:ind w:left="1493" w:right="781" w:hanging="180"/>
        <w:jc w:val="both"/>
        <w:rPr>
          <w:sz w:val="24"/>
        </w:rPr>
      </w:pPr>
      <w:r>
        <w:rPr>
          <w:sz w:val="24"/>
        </w:rPr>
        <w:t>Ventilation-</w:t>
      </w:r>
      <w:r>
        <w:rPr>
          <w:spacing w:val="40"/>
          <w:sz w:val="24"/>
        </w:rPr>
        <w:t> </w:t>
      </w:r>
      <w:r>
        <w:rPr>
          <w:sz w:val="24"/>
        </w:rPr>
        <w:t>The</w:t>
      </w:r>
      <w:r>
        <w:rPr>
          <w:spacing w:val="40"/>
          <w:sz w:val="24"/>
        </w:rPr>
        <w:t> </w:t>
      </w:r>
      <w:r>
        <w:rPr>
          <w:sz w:val="24"/>
        </w:rPr>
        <w:t>extent</w:t>
      </w:r>
      <w:r>
        <w:rPr>
          <w:spacing w:val="40"/>
          <w:sz w:val="24"/>
        </w:rPr>
        <w:t> </w:t>
      </w:r>
      <w:r>
        <w:rPr>
          <w:sz w:val="24"/>
        </w:rPr>
        <w:t>of</w:t>
      </w:r>
      <w:r>
        <w:rPr>
          <w:spacing w:val="40"/>
          <w:sz w:val="24"/>
        </w:rPr>
        <w:t> </w:t>
      </w:r>
      <w:r>
        <w:rPr>
          <w:sz w:val="24"/>
        </w:rPr>
        <w:t>ventilation</w:t>
      </w:r>
      <w:r>
        <w:rPr>
          <w:spacing w:val="40"/>
          <w:sz w:val="24"/>
        </w:rPr>
        <w:t> </w:t>
      </w:r>
      <w:r>
        <w:rPr>
          <w:sz w:val="24"/>
        </w:rPr>
        <w:t>shall</w:t>
      </w:r>
      <w:r>
        <w:rPr>
          <w:spacing w:val="40"/>
          <w:sz w:val="24"/>
        </w:rPr>
        <w:t> </w:t>
      </w:r>
      <w:r>
        <w:rPr>
          <w:sz w:val="24"/>
        </w:rPr>
        <w:t>be</w:t>
      </w:r>
      <w:r>
        <w:rPr>
          <w:spacing w:val="40"/>
          <w:sz w:val="24"/>
        </w:rPr>
        <w:t> </w:t>
      </w:r>
      <w:r>
        <w:rPr>
          <w:sz w:val="24"/>
        </w:rPr>
        <w:t>the</w:t>
      </w:r>
      <w:r>
        <w:rPr>
          <w:spacing w:val="40"/>
          <w:sz w:val="24"/>
        </w:rPr>
        <w:t> </w:t>
      </w:r>
      <w:r>
        <w:rPr>
          <w:sz w:val="24"/>
        </w:rPr>
        <w:t>same</w:t>
      </w:r>
      <w:r>
        <w:rPr>
          <w:spacing w:val="40"/>
          <w:sz w:val="24"/>
        </w:rPr>
        <w:t> </w:t>
      </w:r>
      <w:r>
        <w:rPr>
          <w:sz w:val="24"/>
        </w:rPr>
        <w:t>as</w:t>
      </w:r>
      <w:r>
        <w:rPr>
          <w:spacing w:val="80"/>
          <w:sz w:val="24"/>
        </w:rPr>
        <w:t> </w:t>
      </w:r>
      <w:r>
        <w:rPr>
          <w:sz w:val="24"/>
        </w:rPr>
        <w:t>required</w:t>
      </w:r>
      <w:r>
        <w:rPr>
          <w:spacing w:val="40"/>
          <w:sz w:val="24"/>
        </w:rPr>
        <w:t> </w:t>
      </w:r>
      <w:r>
        <w:rPr>
          <w:sz w:val="24"/>
        </w:rPr>
        <w:t>by the particular occupancy for which the basement is used.</w:t>
      </w:r>
      <w:r>
        <w:rPr>
          <w:spacing w:val="80"/>
          <w:sz w:val="24"/>
        </w:rPr>
        <w:t> </w:t>
      </w:r>
      <w:r>
        <w:rPr>
          <w:sz w:val="24"/>
        </w:rPr>
        <w:t>Any deficiency must be made good by resort to a mechanical system, viz. blowers,</w:t>
      </w:r>
      <w:r>
        <w:rPr>
          <w:spacing w:val="40"/>
          <w:sz w:val="24"/>
        </w:rPr>
        <w:t> </w:t>
      </w:r>
      <w:r>
        <w:rPr>
          <w:sz w:val="24"/>
        </w:rPr>
        <w:t>exhaust</w:t>
      </w:r>
      <w:r>
        <w:rPr>
          <w:spacing w:val="40"/>
          <w:sz w:val="24"/>
        </w:rPr>
        <w:t> </w:t>
      </w:r>
      <w:r>
        <w:rPr>
          <w:sz w:val="24"/>
        </w:rPr>
        <w:t>fans,</w:t>
      </w:r>
      <w:r>
        <w:rPr>
          <w:spacing w:val="10"/>
          <w:sz w:val="24"/>
        </w:rPr>
        <w:t> air-</w:t>
      </w:r>
      <w:r>
        <w:rPr>
          <w:sz w:val="24"/>
        </w:rPr>
        <w:t>conditioning</w:t>
      </w:r>
      <w:r>
        <w:rPr>
          <w:spacing w:val="40"/>
          <w:sz w:val="24"/>
        </w:rPr>
        <w:t> </w:t>
      </w:r>
      <w:r>
        <w:rPr>
          <w:sz w:val="24"/>
        </w:rPr>
        <w:t>system,</w:t>
      </w:r>
      <w:r>
        <w:rPr>
          <w:spacing w:val="40"/>
          <w:sz w:val="24"/>
        </w:rPr>
        <w:t> </w:t>
      </w:r>
      <w:r>
        <w:rPr>
          <w:sz w:val="24"/>
        </w:rPr>
        <w:t>according</w:t>
      </w:r>
      <w:r>
        <w:rPr>
          <w:spacing w:val="40"/>
          <w:sz w:val="24"/>
        </w:rPr>
        <w:t> </w:t>
      </w:r>
      <w:r>
        <w:rPr>
          <w:sz w:val="24"/>
        </w:rPr>
        <w:t>to</w:t>
      </w:r>
      <w:r>
        <w:rPr>
          <w:spacing w:val="40"/>
          <w:sz w:val="24"/>
        </w:rPr>
        <w:t> </w:t>
      </w:r>
      <w:r>
        <w:rPr>
          <w:sz w:val="24"/>
        </w:rPr>
        <w:t>the standards</w:t>
      </w:r>
      <w:r>
        <w:rPr>
          <w:spacing w:val="40"/>
          <w:sz w:val="24"/>
        </w:rPr>
        <w:t> </w:t>
      </w:r>
      <w:r>
        <w:rPr>
          <w:sz w:val="24"/>
        </w:rPr>
        <w:t>in</w:t>
      </w:r>
      <w:r>
        <w:rPr>
          <w:spacing w:val="40"/>
          <w:sz w:val="24"/>
        </w:rPr>
        <w:t> </w:t>
      </w:r>
      <w:r>
        <w:rPr>
          <w:sz w:val="24"/>
        </w:rPr>
        <w:t>Part</w:t>
      </w:r>
      <w:r>
        <w:rPr>
          <w:spacing w:val="40"/>
          <w:sz w:val="24"/>
        </w:rPr>
        <w:t> </w:t>
      </w:r>
      <w:r>
        <w:rPr>
          <w:sz w:val="24"/>
        </w:rPr>
        <w:t>VIII</w:t>
      </w:r>
      <w:r>
        <w:rPr>
          <w:spacing w:val="40"/>
          <w:sz w:val="24"/>
        </w:rPr>
        <w:t> </w:t>
      </w:r>
      <w:r>
        <w:rPr>
          <w:sz w:val="24"/>
        </w:rPr>
        <w:t>Building</w:t>
      </w:r>
      <w:r>
        <w:rPr>
          <w:spacing w:val="40"/>
          <w:sz w:val="24"/>
        </w:rPr>
        <w:t> </w:t>
      </w:r>
      <w:r>
        <w:rPr>
          <w:sz w:val="24"/>
        </w:rPr>
        <w:t>Services</w:t>
      </w:r>
      <w:r>
        <w:rPr>
          <w:spacing w:val="40"/>
          <w:sz w:val="24"/>
        </w:rPr>
        <w:t> </w:t>
      </w:r>
      <w:r>
        <w:rPr>
          <w:sz w:val="24"/>
        </w:rPr>
        <w:t>Section</w:t>
      </w:r>
      <w:r>
        <w:rPr>
          <w:spacing w:val="40"/>
          <w:sz w:val="24"/>
        </w:rPr>
        <w:t> </w:t>
      </w:r>
      <w:r>
        <w:rPr>
          <w:spacing w:val="10"/>
          <w:sz w:val="24"/>
        </w:rPr>
        <w:t>I-</w:t>
      </w:r>
      <w:r>
        <w:rPr>
          <w:sz w:val="24"/>
        </w:rPr>
        <w:t>Lighting</w:t>
      </w:r>
      <w:r>
        <w:rPr>
          <w:spacing w:val="40"/>
          <w:sz w:val="24"/>
        </w:rPr>
        <w:t> </w:t>
      </w:r>
      <w:r>
        <w:rPr>
          <w:sz w:val="24"/>
        </w:rPr>
        <w:t>and Ventilation, NBC.</w:t>
      </w:r>
    </w:p>
    <w:p>
      <w:pPr>
        <w:pStyle w:val="ListParagraph"/>
        <w:numPr>
          <w:ilvl w:val="1"/>
          <w:numId w:val="246"/>
        </w:numPr>
        <w:tabs>
          <w:tab w:pos="1689" w:val="left" w:leader="none"/>
        </w:tabs>
        <w:spacing w:line="240" w:lineRule="auto" w:before="240" w:after="0"/>
        <w:ind w:left="1689" w:right="0" w:hanging="376"/>
        <w:jc w:val="left"/>
        <w:rPr>
          <w:sz w:val="24"/>
        </w:rPr>
      </w:pPr>
      <w:r>
        <w:rPr>
          <w:sz w:val="24"/>
        </w:rPr>
        <w:t>Uses</w:t>
      </w:r>
      <w:r>
        <w:rPr>
          <w:spacing w:val="48"/>
          <w:sz w:val="24"/>
        </w:rPr>
        <w:t> </w:t>
      </w:r>
      <w:r>
        <w:rPr>
          <w:sz w:val="24"/>
        </w:rPr>
        <w:t>permitted</w:t>
      </w:r>
      <w:r>
        <w:rPr>
          <w:spacing w:val="51"/>
          <w:sz w:val="24"/>
        </w:rPr>
        <w:t> </w:t>
      </w:r>
      <w:r>
        <w:rPr>
          <w:sz w:val="24"/>
        </w:rPr>
        <w:t>–</w:t>
      </w:r>
      <w:r>
        <w:rPr>
          <w:spacing w:val="48"/>
          <w:sz w:val="24"/>
        </w:rPr>
        <w:t> </w:t>
      </w:r>
      <w:r>
        <w:rPr>
          <w:sz w:val="24"/>
        </w:rPr>
        <w:t>A</w:t>
      </w:r>
      <w:r>
        <w:rPr>
          <w:spacing w:val="46"/>
          <w:sz w:val="24"/>
        </w:rPr>
        <w:t> </w:t>
      </w:r>
      <w:r>
        <w:rPr>
          <w:sz w:val="24"/>
        </w:rPr>
        <w:t>basement</w:t>
      </w:r>
      <w:r>
        <w:rPr>
          <w:spacing w:val="46"/>
          <w:sz w:val="24"/>
        </w:rPr>
        <w:t> </w:t>
      </w:r>
      <w:r>
        <w:rPr>
          <w:sz w:val="24"/>
        </w:rPr>
        <w:t>may</w:t>
      </w:r>
      <w:r>
        <w:rPr>
          <w:spacing w:val="50"/>
          <w:sz w:val="24"/>
        </w:rPr>
        <w:t> </w:t>
      </w:r>
      <w:r>
        <w:rPr>
          <w:sz w:val="24"/>
        </w:rPr>
        <w:t>be</w:t>
      </w:r>
      <w:r>
        <w:rPr>
          <w:spacing w:val="53"/>
          <w:sz w:val="24"/>
        </w:rPr>
        <w:t> </w:t>
      </w:r>
      <w:r>
        <w:rPr>
          <w:sz w:val="24"/>
        </w:rPr>
        <w:t>put</w:t>
      </w:r>
      <w:r>
        <w:rPr>
          <w:spacing w:val="47"/>
          <w:sz w:val="24"/>
        </w:rPr>
        <w:t> </w:t>
      </w:r>
      <w:r>
        <w:rPr>
          <w:sz w:val="24"/>
        </w:rPr>
        <w:t>to</w:t>
      </w:r>
      <w:r>
        <w:rPr>
          <w:spacing w:val="46"/>
          <w:sz w:val="24"/>
        </w:rPr>
        <w:t> </w:t>
      </w:r>
      <w:r>
        <w:rPr>
          <w:sz w:val="24"/>
        </w:rPr>
        <w:t>the</w:t>
      </w:r>
      <w:r>
        <w:rPr>
          <w:spacing w:val="50"/>
          <w:sz w:val="24"/>
        </w:rPr>
        <w:t> </w:t>
      </w:r>
      <w:r>
        <w:rPr>
          <w:sz w:val="24"/>
        </w:rPr>
        <w:t>following</w:t>
      </w:r>
      <w:r>
        <w:rPr>
          <w:spacing w:val="46"/>
          <w:sz w:val="24"/>
        </w:rPr>
        <w:t> </w:t>
      </w:r>
      <w:r>
        <w:rPr>
          <w:sz w:val="24"/>
        </w:rPr>
        <w:t>uses</w:t>
      </w:r>
      <w:r>
        <w:rPr>
          <w:spacing w:val="47"/>
          <w:sz w:val="24"/>
        </w:rPr>
        <w:t> </w:t>
      </w:r>
      <w:r>
        <w:rPr>
          <w:spacing w:val="-2"/>
          <w:sz w:val="24"/>
        </w:rPr>
        <w:t>only:</w:t>
      </w:r>
    </w:p>
    <w:p>
      <w:pPr>
        <w:pStyle w:val="BodyText"/>
        <w:jc w:val="left"/>
      </w:pPr>
    </w:p>
    <w:p>
      <w:pPr>
        <w:pStyle w:val="BodyText"/>
        <w:spacing w:line="281" w:lineRule="exact"/>
        <w:ind w:left="1313"/>
        <w:jc w:val="left"/>
      </w:pPr>
      <w:r>
        <w:rPr/>
        <w:t>(a)(i)</w:t>
      </w:r>
      <w:r>
        <w:rPr>
          <w:spacing w:val="59"/>
        </w:rPr>
        <w:t> </w:t>
      </w:r>
      <w:r>
        <w:rPr/>
        <w:t>Storage</w:t>
      </w:r>
      <w:r>
        <w:rPr>
          <w:spacing w:val="68"/>
        </w:rPr>
        <w:t> </w:t>
      </w:r>
      <w:r>
        <w:rPr/>
        <w:t>of</w:t>
      </w:r>
      <w:r>
        <w:rPr>
          <w:spacing w:val="61"/>
        </w:rPr>
        <w:t> </w:t>
      </w:r>
      <w:r>
        <w:rPr/>
        <w:t>household</w:t>
      </w:r>
      <w:r>
        <w:rPr>
          <w:spacing w:val="66"/>
        </w:rPr>
        <w:t> </w:t>
      </w:r>
      <w:r>
        <w:rPr/>
        <w:t>or</w:t>
      </w:r>
      <w:r>
        <w:rPr>
          <w:spacing w:val="61"/>
        </w:rPr>
        <w:t> </w:t>
      </w:r>
      <w:r>
        <w:rPr/>
        <w:t>other</w:t>
      </w:r>
      <w:r>
        <w:rPr>
          <w:spacing w:val="61"/>
        </w:rPr>
        <w:t> </w:t>
      </w:r>
      <w:r>
        <w:rPr>
          <w:spacing w:val="11"/>
        </w:rPr>
        <w:t>non-</w:t>
      </w:r>
      <w:r>
        <w:rPr/>
        <w:t>hazardous</w:t>
      </w:r>
      <w:r>
        <w:rPr>
          <w:spacing w:val="62"/>
        </w:rPr>
        <w:t> </w:t>
      </w:r>
      <w:r>
        <w:rPr>
          <w:spacing w:val="-2"/>
        </w:rPr>
        <w:t>goods;</w:t>
      </w:r>
    </w:p>
    <w:p>
      <w:pPr>
        <w:pStyle w:val="BodyText"/>
        <w:spacing w:line="281" w:lineRule="exact"/>
        <w:ind w:left="1313"/>
        <w:jc w:val="left"/>
      </w:pPr>
      <w:r>
        <w:rPr/>
        <w:t>(ii)</w:t>
      </w:r>
      <w:r>
        <w:rPr>
          <w:spacing w:val="52"/>
        </w:rPr>
        <w:t> </w:t>
      </w:r>
      <w:r>
        <w:rPr/>
        <w:t>Store</w:t>
      </w:r>
      <w:r>
        <w:rPr>
          <w:spacing w:val="55"/>
        </w:rPr>
        <w:t> </w:t>
      </w:r>
      <w:r>
        <w:rPr/>
        <w:t>rooms,</w:t>
      </w:r>
      <w:r>
        <w:rPr>
          <w:spacing w:val="54"/>
        </w:rPr>
        <w:t> </w:t>
      </w:r>
      <w:r>
        <w:rPr/>
        <w:t>bank</w:t>
      </w:r>
      <w:r>
        <w:rPr>
          <w:spacing w:val="55"/>
        </w:rPr>
        <w:t> </w:t>
      </w:r>
      <w:r>
        <w:rPr/>
        <w:t>lockers</w:t>
      </w:r>
      <w:r>
        <w:rPr>
          <w:spacing w:val="54"/>
        </w:rPr>
        <w:t> </w:t>
      </w:r>
      <w:r>
        <w:rPr/>
        <w:t>or</w:t>
      </w:r>
      <w:r>
        <w:rPr>
          <w:spacing w:val="58"/>
        </w:rPr>
        <w:t> </w:t>
      </w:r>
      <w:r>
        <w:rPr/>
        <w:t>safe</w:t>
      </w:r>
      <w:r>
        <w:rPr>
          <w:spacing w:val="57"/>
        </w:rPr>
        <w:t> </w:t>
      </w:r>
      <w:r>
        <w:rPr/>
        <w:t>deposit</w:t>
      </w:r>
      <w:r>
        <w:rPr>
          <w:spacing w:val="58"/>
        </w:rPr>
        <w:t> </w:t>
      </w:r>
      <w:r>
        <w:rPr>
          <w:spacing w:val="-2"/>
        </w:rPr>
        <w:t>vaults;</w:t>
      </w:r>
    </w:p>
    <w:p>
      <w:pPr>
        <w:pStyle w:val="ListParagraph"/>
        <w:numPr>
          <w:ilvl w:val="0"/>
          <w:numId w:val="253"/>
        </w:numPr>
        <w:tabs>
          <w:tab w:pos="1493" w:val="left" w:leader="none"/>
          <w:tab w:pos="1815" w:val="left" w:leader="none"/>
        </w:tabs>
        <w:spacing w:line="240" w:lineRule="auto" w:before="2" w:after="0"/>
        <w:ind w:left="1493" w:right="787" w:hanging="180"/>
        <w:jc w:val="left"/>
        <w:rPr>
          <w:sz w:val="24"/>
        </w:rPr>
      </w:pPr>
      <w:r>
        <w:rPr>
          <w:sz w:val="24"/>
        </w:rPr>
        <w:t>Air</w:t>
      </w:r>
      <w:r>
        <w:rPr>
          <w:spacing w:val="80"/>
          <w:w w:val="150"/>
          <w:sz w:val="24"/>
        </w:rPr>
        <w:t> </w:t>
      </w:r>
      <w:r>
        <w:rPr>
          <w:sz w:val="24"/>
        </w:rPr>
        <w:t>conditioning</w:t>
      </w:r>
      <w:r>
        <w:rPr>
          <w:spacing w:val="80"/>
          <w:w w:val="150"/>
          <w:sz w:val="24"/>
        </w:rPr>
        <w:t> </w:t>
      </w:r>
      <w:r>
        <w:rPr>
          <w:spacing w:val="9"/>
          <w:sz w:val="24"/>
        </w:rPr>
        <w:t>equipment/AHU</w:t>
      </w:r>
      <w:r>
        <w:rPr>
          <w:spacing w:val="80"/>
          <w:w w:val="150"/>
          <w:sz w:val="24"/>
        </w:rPr>
        <w:t> </w:t>
      </w:r>
      <w:r>
        <w:rPr>
          <w:sz w:val="24"/>
        </w:rPr>
        <w:t>and</w:t>
      </w:r>
      <w:r>
        <w:rPr>
          <w:spacing w:val="80"/>
          <w:w w:val="150"/>
          <w:sz w:val="24"/>
        </w:rPr>
        <w:t> </w:t>
      </w:r>
      <w:r>
        <w:rPr>
          <w:sz w:val="24"/>
        </w:rPr>
        <w:t>other</w:t>
      </w:r>
      <w:r>
        <w:rPr>
          <w:spacing w:val="80"/>
          <w:w w:val="150"/>
          <w:sz w:val="24"/>
        </w:rPr>
        <w:t> </w:t>
      </w:r>
      <w:r>
        <w:rPr>
          <w:sz w:val="24"/>
        </w:rPr>
        <w:t>machines</w:t>
      </w:r>
      <w:r>
        <w:rPr>
          <w:spacing w:val="80"/>
          <w:w w:val="150"/>
          <w:sz w:val="24"/>
        </w:rPr>
        <w:t> </w:t>
      </w:r>
      <w:r>
        <w:rPr>
          <w:sz w:val="24"/>
        </w:rPr>
        <w:t>used</w:t>
      </w:r>
      <w:r>
        <w:rPr>
          <w:spacing w:val="80"/>
          <w:w w:val="150"/>
          <w:sz w:val="24"/>
        </w:rPr>
        <w:t> </w:t>
      </w:r>
      <w:r>
        <w:rPr>
          <w:sz w:val="24"/>
        </w:rPr>
        <w:t>for</w:t>
      </w:r>
      <w:r>
        <w:rPr>
          <w:spacing w:val="80"/>
          <w:sz w:val="24"/>
        </w:rPr>
        <w:t> </w:t>
      </w:r>
      <w:r>
        <w:rPr>
          <w:sz w:val="24"/>
        </w:rPr>
        <w:t>services</w:t>
      </w:r>
      <w:r>
        <w:rPr>
          <w:spacing w:val="40"/>
          <w:sz w:val="24"/>
        </w:rPr>
        <w:t> </w:t>
      </w:r>
      <w:r>
        <w:rPr>
          <w:sz w:val="24"/>
        </w:rPr>
        <w:t>and</w:t>
      </w:r>
      <w:r>
        <w:rPr>
          <w:spacing w:val="40"/>
          <w:sz w:val="24"/>
        </w:rPr>
        <w:t> </w:t>
      </w:r>
      <w:r>
        <w:rPr>
          <w:sz w:val="24"/>
        </w:rPr>
        <w:t>utilities</w:t>
      </w:r>
      <w:r>
        <w:rPr>
          <w:spacing w:val="40"/>
          <w:sz w:val="24"/>
        </w:rPr>
        <w:t> </w:t>
      </w:r>
      <w:r>
        <w:rPr>
          <w:sz w:val="24"/>
        </w:rPr>
        <w:t>of</w:t>
      </w:r>
      <w:r>
        <w:rPr>
          <w:spacing w:val="40"/>
          <w:sz w:val="24"/>
        </w:rPr>
        <w:t> </w:t>
      </w:r>
      <w:r>
        <w:rPr>
          <w:sz w:val="24"/>
        </w:rPr>
        <w:t>the</w:t>
      </w:r>
      <w:r>
        <w:rPr>
          <w:spacing w:val="40"/>
          <w:sz w:val="24"/>
        </w:rPr>
        <w:t> </w:t>
      </w:r>
      <w:r>
        <w:rPr>
          <w:spacing w:val="9"/>
          <w:sz w:val="24"/>
        </w:rPr>
        <w:t>building;</w:t>
      </w:r>
    </w:p>
    <w:p>
      <w:pPr>
        <w:pStyle w:val="ListParagraph"/>
        <w:numPr>
          <w:ilvl w:val="0"/>
          <w:numId w:val="253"/>
        </w:numPr>
        <w:tabs>
          <w:tab w:pos="1695" w:val="left" w:leader="none"/>
        </w:tabs>
        <w:spacing w:line="280" w:lineRule="exact" w:before="0" w:after="0"/>
        <w:ind w:left="1695" w:right="0" w:hanging="382"/>
        <w:jc w:val="left"/>
        <w:rPr>
          <w:sz w:val="24"/>
        </w:rPr>
      </w:pPr>
      <w:r>
        <w:rPr>
          <w:sz w:val="24"/>
        </w:rPr>
        <w:t>Parking</w:t>
      </w:r>
      <w:r>
        <w:rPr>
          <w:spacing w:val="73"/>
          <w:sz w:val="24"/>
        </w:rPr>
        <w:t> </w:t>
      </w:r>
      <w:r>
        <w:rPr>
          <w:spacing w:val="7"/>
          <w:sz w:val="24"/>
        </w:rPr>
        <w:t>spaces;</w:t>
      </w:r>
    </w:p>
    <w:p>
      <w:pPr>
        <w:pStyle w:val="ListParagraph"/>
        <w:numPr>
          <w:ilvl w:val="0"/>
          <w:numId w:val="253"/>
        </w:numPr>
        <w:tabs>
          <w:tab w:pos="1493" w:val="left" w:leader="none"/>
          <w:tab w:pos="1743" w:val="left" w:leader="none"/>
        </w:tabs>
        <w:spacing w:line="240" w:lineRule="auto" w:before="1" w:after="0"/>
        <w:ind w:left="1493" w:right="801" w:hanging="180"/>
        <w:jc w:val="left"/>
        <w:rPr>
          <w:sz w:val="24"/>
        </w:rPr>
      </w:pPr>
      <w:r>
        <w:rPr>
          <w:sz w:val="24"/>
        </w:rPr>
        <w:t>DG</w:t>
      </w:r>
      <w:r>
        <w:rPr>
          <w:spacing w:val="80"/>
          <w:sz w:val="24"/>
        </w:rPr>
        <w:t> </w:t>
      </w:r>
      <w:r>
        <w:rPr>
          <w:sz w:val="24"/>
        </w:rPr>
        <w:t>set,</w:t>
      </w:r>
      <w:r>
        <w:rPr>
          <w:spacing w:val="80"/>
          <w:sz w:val="24"/>
        </w:rPr>
        <w:t> </w:t>
      </w:r>
      <w:r>
        <w:rPr>
          <w:sz w:val="24"/>
        </w:rPr>
        <w:t>meter</w:t>
      </w:r>
      <w:r>
        <w:rPr>
          <w:spacing w:val="80"/>
          <w:sz w:val="24"/>
        </w:rPr>
        <w:t> </w:t>
      </w:r>
      <w:r>
        <w:rPr>
          <w:sz w:val="24"/>
        </w:rPr>
        <w:t>room</w:t>
      </w:r>
      <w:r>
        <w:rPr>
          <w:spacing w:val="80"/>
          <w:sz w:val="24"/>
        </w:rPr>
        <w:t> </w:t>
      </w:r>
      <w:r>
        <w:rPr>
          <w:sz w:val="24"/>
        </w:rPr>
        <w:t>and</w:t>
      </w:r>
      <w:r>
        <w:rPr>
          <w:spacing w:val="80"/>
          <w:sz w:val="24"/>
        </w:rPr>
        <w:t> </w:t>
      </w:r>
      <w:r>
        <w:rPr>
          <w:sz w:val="24"/>
        </w:rPr>
        <w:t>Electric</w:t>
      </w:r>
      <w:r>
        <w:rPr>
          <w:spacing w:val="80"/>
          <w:sz w:val="24"/>
        </w:rPr>
        <w:t> </w:t>
      </w:r>
      <w:r>
        <w:rPr>
          <w:sz w:val="24"/>
        </w:rPr>
        <w:t>substation</w:t>
      </w:r>
      <w:r>
        <w:rPr>
          <w:spacing w:val="80"/>
          <w:sz w:val="24"/>
        </w:rPr>
        <w:t> </w:t>
      </w:r>
      <w:r>
        <w:rPr>
          <w:sz w:val="24"/>
        </w:rPr>
        <w:t>(which</w:t>
      </w:r>
      <w:r>
        <w:rPr>
          <w:spacing w:val="80"/>
          <w:sz w:val="24"/>
        </w:rPr>
        <w:t> </w:t>
      </w:r>
      <w:r>
        <w:rPr>
          <w:sz w:val="24"/>
        </w:rPr>
        <w:t>will</w:t>
      </w:r>
      <w:r>
        <w:rPr>
          <w:spacing w:val="80"/>
          <w:sz w:val="24"/>
        </w:rPr>
        <w:t> </w:t>
      </w:r>
      <w:r>
        <w:rPr>
          <w:sz w:val="24"/>
        </w:rPr>
        <w:t>conform</w:t>
      </w:r>
      <w:r>
        <w:rPr>
          <w:spacing w:val="80"/>
          <w:sz w:val="24"/>
        </w:rPr>
        <w:t> </w:t>
      </w:r>
      <w:r>
        <w:rPr>
          <w:sz w:val="24"/>
        </w:rPr>
        <w:t>to specified safety </w:t>
      </w:r>
      <w:r>
        <w:rPr>
          <w:spacing w:val="9"/>
          <w:sz w:val="24"/>
        </w:rPr>
        <w:t>requirements);</w:t>
      </w:r>
    </w:p>
    <w:p>
      <w:pPr>
        <w:pStyle w:val="ListParagraph"/>
        <w:spacing w:after="0" w:line="240" w:lineRule="auto"/>
        <w:jc w:val="left"/>
        <w:rPr>
          <w:sz w:val="24"/>
        </w:rPr>
        <w:sectPr>
          <w:pgSz w:w="11910" w:h="16840"/>
          <w:pgMar w:header="1058" w:footer="1201" w:top="1500" w:bottom="1400" w:left="360" w:right="360"/>
        </w:sectPr>
      </w:pPr>
    </w:p>
    <w:p>
      <w:pPr>
        <w:pStyle w:val="ListParagraph"/>
        <w:numPr>
          <w:ilvl w:val="0"/>
          <w:numId w:val="253"/>
        </w:numPr>
        <w:tabs>
          <w:tab w:pos="1493" w:val="left" w:leader="none"/>
          <w:tab w:pos="1680" w:val="left" w:leader="none"/>
        </w:tabs>
        <w:spacing w:line="240" w:lineRule="auto" w:before="255" w:after="0"/>
        <w:ind w:left="1493" w:right="785" w:hanging="180"/>
        <w:jc w:val="left"/>
        <w:rPr>
          <w:sz w:val="24"/>
        </w:rPr>
      </w:pPr>
      <w:r>
        <w:rPr>
          <w:sz w:val="24"/>
        </w:rPr>
        <w:t>Effluent</w:t>
      </w:r>
      <w:r>
        <w:rPr>
          <w:spacing w:val="40"/>
          <w:sz w:val="24"/>
        </w:rPr>
        <w:t> </w:t>
      </w:r>
      <w:r>
        <w:rPr>
          <w:sz w:val="24"/>
        </w:rPr>
        <w:t>Treatment</w:t>
      </w:r>
      <w:r>
        <w:rPr>
          <w:spacing w:val="40"/>
          <w:sz w:val="24"/>
        </w:rPr>
        <w:t> </w:t>
      </w:r>
      <w:r>
        <w:rPr>
          <w:sz w:val="24"/>
        </w:rPr>
        <w:t>Plant,</w:t>
      </w:r>
      <w:r>
        <w:rPr>
          <w:spacing w:val="40"/>
          <w:sz w:val="24"/>
        </w:rPr>
        <w:t> </w:t>
      </w:r>
      <w:r>
        <w:rPr>
          <w:sz w:val="24"/>
        </w:rPr>
        <w:t>suction</w:t>
      </w:r>
      <w:r>
        <w:rPr>
          <w:spacing w:val="40"/>
          <w:sz w:val="24"/>
        </w:rPr>
        <w:t> </w:t>
      </w:r>
      <w:r>
        <w:rPr>
          <w:sz w:val="24"/>
        </w:rPr>
        <w:t>tank,</w:t>
      </w:r>
      <w:r>
        <w:rPr>
          <w:spacing w:val="40"/>
          <w:sz w:val="24"/>
        </w:rPr>
        <w:t> </w:t>
      </w:r>
      <w:r>
        <w:rPr>
          <w:sz w:val="24"/>
        </w:rPr>
        <w:t>pump</w:t>
      </w:r>
      <w:r>
        <w:rPr>
          <w:spacing w:val="40"/>
          <w:sz w:val="24"/>
        </w:rPr>
        <w:t> </w:t>
      </w:r>
      <w:r>
        <w:rPr>
          <w:spacing w:val="10"/>
          <w:sz w:val="24"/>
        </w:rPr>
        <w:t>room,</w:t>
      </w:r>
      <w:r>
        <w:rPr>
          <w:spacing w:val="40"/>
          <w:sz w:val="24"/>
        </w:rPr>
        <w:t> </w:t>
      </w:r>
      <w:r>
        <w:rPr>
          <w:sz w:val="24"/>
        </w:rPr>
        <w:t>Water</w:t>
      </w:r>
      <w:r>
        <w:rPr>
          <w:spacing w:val="40"/>
          <w:sz w:val="24"/>
        </w:rPr>
        <w:t> </w:t>
      </w:r>
      <w:r>
        <w:rPr>
          <w:sz w:val="24"/>
        </w:rPr>
        <w:t>Treatment Plant,</w:t>
      </w:r>
      <w:r>
        <w:rPr>
          <w:spacing w:val="80"/>
          <w:sz w:val="24"/>
        </w:rPr>
        <w:t> </w:t>
      </w:r>
      <w:r>
        <w:rPr>
          <w:sz w:val="24"/>
        </w:rPr>
        <w:t>Sewerage</w:t>
      </w:r>
      <w:r>
        <w:rPr>
          <w:spacing w:val="80"/>
          <w:sz w:val="24"/>
        </w:rPr>
        <w:t> </w:t>
      </w:r>
      <w:r>
        <w:rPr>
          <w:sz w:val="24"/>
        </w:rPr>
        <w:t>Treatment</w:t>
      </w:r>
      <w:r>
        <w:rPr>
          <w:spacing w:val="80"/>
          <w:sz w:val="24"/>
        </w:rPr>
        <w:t> </w:t>
      </w:r>
      <w:r>
        <w:rPr>
          <w:sz w:val="24"/>
        </w:rPr>
        <w:t>Plant,</w:t>
      </w:r>
      <w:r>
        <w:rPr>
          <w:spacing w:val="80"/>
          <w:sz w:val="24"/>
        </w:rPr>
        <w:t> </w:t>
      </w:r>
      <w:r>
        <w:rPr>
          <w:sz w:val="24"/>
        </w:rPr>
        <w:t>Laundry</w:t>
      </w:r>
      <w:r>
        <w:rPr>
          <w:spacing w:val="80"/>
          <w:sz w:val="24"/>
        </w:rPr>
        <w:t> </w:t>
      </w:r>
      <w:r>
        <w:rPr>
          <w:sz w:val="24"/>
        </w:rPr>
        <w:t>Room,</w:t>
      </w:r>
      <w:r>
        <w:rPr>
          <w:spacing w:val="80"/>
          <w:sz w:val="24"/>
        </w:rPr>
        <w:t> </w:t>
      </w:r>
      <w:r>
        <w:rPr>
          <w:sz w:val="24"/>
        </w:rPr>
        <w:t>Boiler</w:t>
      </w:r>
      <w:r>
        <w:rPr>
          <w:spacing w:val="80"/>
          <w:sz w:val="24"/>
        </w:rPr>
        <w:t> </w:t>
      </w:r>
      <w:r>
        <w:rPr>
          <w:sz w:val="24"/>
        </w:rPr>
        <w:t>Room;</w:t>
      </w:r>
    </w:p>
    <w:p>
      <w:pPr>
        <w:pStyle w:val="ListParagraph"/>
        <w:numPr>
          <w:ilvl w:val="0"/>
          <w:numId w:val="253"/>
        </w:numPr>
        <w:tabs>
          <w:tab w:pos="1493" w:val="left" w:leader="none"/>
          <w:tab w:pos="1704" w:val="left" w:leader="none"/>
        </w:tabs>
        <w:spacing w:line="240" w:lineRule="auto" w:before="0" w:after="0"/>
        <w:ind w:left="1493" w:right="785" w:hanging="180"/>
        <w:jc w:val="left"/>
        <w:rPr>
          <w:sz w:val="22"/>
        </w:rPr>
      </w:pPr>
      <w:r>
        <w:rPr>
          <w:sz w:val="22"/>
        </w:rPr>
        <w:t>MRI,</w:t>
      </w:r>
      <w:r>
        <w:rPr>
          <w:spacing w:val="80"/>
          <w:w w:val="150"/>
          <w:sz w:val="22"/>
        </w:rPr>
        <w:t> </w:t>
      </w:r>
      <w:r>
        <w:rPr>
          <w:sz w:val="22"/>
        </w:rPr>
        <w:t>Cancer</w:t>
      </w:r>
      <w:r>
        <w:rPr>
          <w:spacing w:val="80"/>
          <w:w w:val="150"/>
          <w:sz w:val="22"/>
        </w:rPr>
        <w:t> </w:t>
      </w:r>
      <w:r>
        <w:rPr>
          <w:sz w:val="22"/>
        </w:rPr>
        <w:t>Radiation</w:t>
      </w:r>
      <w:r>
        <w:rPr>
          <w:spacing w:val="80"/>
          <w:w w:val="150"/>
          <w:sz w:val="22"/>
        </w:rPr>
        <w:t> </w:t>
      </w:r>
      <w:r>
        <w:rPr>
          <w:sz w:val="22"/>
        </w:rPr>
        <w:t>Area,</w:t>
      </w:r>
      <w:r>
        <w:rPr>
          <w:spacing w:val="40"/>
          <w:sz w:val="22"/>
        </w:rPr>
        <w:t>  </w:t>
      </w:r>
      <w:r>
        <w:rPr>
          <w:sz w:val="22"/>
        </w:rPr>
        <w:t>X-Ray</w:t>
      </w:r>
      <w:r>
        <w:rPr>
          <w:spacing w:val="40"/>
          <w:sz w:val="22"/>
        </w:rPr>
        <w:t>  </w:t>
      </w:r>
      <w:r>
        <w:rPr>
          <w:sz w:val="22"/>
        </w:rPr>
        <w:t>roomsand</w:t>
      </w:r>
      <w:r>
        <w:rPr>
          <w:spacing w:val="80"/>
          <w:w w:val="150"/>
          <w:sz w:val="22"/>
        </w:rPr>
        <w:t> </w:t>
      </w:r>
      <w:r>
        <w:rPr>
          <w:sz w:val="22"/>
        </w:rPr>
        <w:t>other</w:t>
      </w:r>
      <w:r>
        <w:rPr>
          <w:spacing w:val="80"/>
          <w:w w:val="150"/>
          <w:sz w:val="22"/>
        </w:rPr>
        <w:t> </w:t>
      </w:r>
      <w:r>
        <w:rPr>
          <w:sz w:val="22"/>
        </w:rPr>
        <w:t>uses</w:t>
      </w:r>
      <w:r>
        <w:rPr>
          <w:spacing w:val="80"/>
          <w:w w:val="150"/>
          <w:sz w:val="22"/>
        </w:rPr>
        <w:t> </w:t>
      </w:r>
      <w:r>
        <w:rPr>
          <w:sz w:val="22"/>
        </w:rPr>
        <w:t>allowed</w:t>
      </w:r>
      <w:r>
        <w:rPr>
          <w:spacing w:val="80"/>
          <w:w w:val="150"/>
          <w:sz w:val="22"/>
        </w:rPr>
        <w:t> </w:t>
      </w:r>
      <w:r>
        <w:rPr>
          <w:sz w:val="22"/>
        </w:rPr>
        <w:t>by GoM.from time</w:t>
      </w:r>
      <w:r>
        <w:rPr>
          <w:spacing w:val="40"/>
          <w:sz w:val="22"/>
        </w:rPr>
        <w:t> </w:t>
      </w:r>
      <w:r>
        <w:rPr>
          <w:sz w:val="22"/>
        </w:rPr>
        <w:t>to</w:t>
      </w:r>
      <w:r>
        <w:rPr>
          <w:spacing w:val="40"/>
          <w:sz w:val="22"/>
        </w:rPr>
        <w:t> </w:t>
      </w:r>
      <w:r>
        <w:rPr>
          <w:sz w:val="22"/>
        </w:rPr>
        <w:t>time;</w:t>
      </w:r>
    </w:p>
    <w:p>
      <w:pPr>
        <w:pStyle w:val="ListParagraph"/>
        <w:numPr>
          <w:ilvl w:val="0"/>
          <w:numId w:val="253"/>
        </w:numPr>
        <w:tabs>
          <w:tab w:pos="1674" w:val="left" w:leader="none"/>
        </w:tabs>
        <w:spacing w:line="258" w:lineRule="exact" w:before="0" w:after="0"/>
        <w:ind w:left="1674" w:right="0" w:hanging="361"/>
        <w:jc w:val="left"/>
        <w:rPr>
          <w:sz w:val="22"/>
        </w:rPr>
      </w:pPr>
      <w:r>
        <w:rPr>
          <w:sz w:val="22"/>
        </w:rPr>
        <w:t>Shops</w:t>
      </w:r>
      <w:r>
        <w:rPr>
          <w:spacing w:val="67"/>
          <w:sz w:val="22"/>
        </w:rPr>
        <w:t> </w:t>
      </w:r>
      <w:r>
        <w:rPr>
          <w:sz w:val="22"/>
        </w:rPr>
        <w:t>and</w:t>
      </w:r>
      <w:r>
        <w:rPr>
          <w:spacing w:val="66"/>
          <w:sz w:val="22"/>
        </w:rPr>
        <w:t> </w:t>
      </w:r>
      <w:r>
        <w:rPr>
          <w:sz w:val="22"/>
        </w:rPr>
        <w:t>offices,</w:t>
      </w:r>
      <w:r>
        <w:rPr>
          <w:spacing w:val="65"/>
          <w:sz w:val="22"/>
        </w:rPr>
        <w:t> </w:t>
      </w:r>
      <w:r>
        <w:rPr>
          <w:sz w:val="22"/>
        </w:rPr>
        <w:t>recording</w:t>
      </w:r>
      <w:r>
        <w:rPr>
          <w:spacing w:val="73"/>
          <w:sz w:val="22"/>
        </w:rPr>
        <w:t> </w:t>
      </w:r>
      <w:r>
        <w:rPr>
          <w:spacing w:val="-2"/>
          <w:sz w:val="22"/>
        </w:rPr>
        <w:t>studio;</w:t>
      </w:r>
    </w:p>
    <w:p>
      <w:pPr>
        <w:pStyle w:val="ListParagraph"/>
        <w:numPr>
          <w:ilvl w:val="0"/>
          <w:numId w:val="253"/>
        </w:numPr>
        <w:tabs>
          <w:tab w:pos="1493" w:val="left" w:leader="none"/>
          <w:tab w:pos="1700" w:val="left" w:leader="none"/>
        </w:tabs>
        <w:spacing w:line="240" w:lineRule="auto" w:before="1" w:after="0"/>
        <w:ind w:left="1493" w:right="789" w:hanging="180"/>
        <w:jc w:val="left"/>
        <w:rPr>
          <w:sz w:val="22"/>
        </w:rPr>
      </w:pPr>
      <w:r>
        <w:rPr>
          <w:sz w:val="22"/>
        </w:rPr>
        <w:t>Commercial</w:t>
      </w:r>
      <w:r>
        <w:rPr>
          <w:spacing w:val="80"/>
          <w:sz w:val="22"/>
        </w:rPr>
        <w:t> </w:t>
      </w:r>
      <w:r>
        <w:rPr>
          <w:sz w:val="22"/>
        </w:rPr>
        <w:t>userexcept</w:t>
      </w:r>
      <w:r>
        <w:rPr>
          <w:spacing w:val="80"/>
          <w:sz w:val="22"/>
        </w:rPr>
        <w:t> </w:t>
      </w:r>
      <w:r>
        <w:rPr>
          <w:sz w:val="22"/>
        </w:rPr>
        <w:t>kitchen</w:t>
      </w:r>
      <w:r>
        <w:rPr>
          <w:spacing w:val="80"/>
          <w:sz w:val="22"/>
        </w:rPr>
        <w:t> </w:t>
      </w:r>
      <w:r>
        <w:rPr>
          <w:sz w:val="22"/>
        </w:rPr>
        <w:t>with</w:t>
      </w:r>
      <w:r>
        <w:rPr>
          <w:spacing w:val="80"/>
          <w:sz w:val="22"/>
        </w:rPr>
        <w:t> </w:t>
      </w:r>
      <w:r>
        <w:rPr>
          <w:sz w:val="22"/>
        </w:rPr>
        <w:t>flame.</w:t>
      </w:r>
      <w:r>
        <w:rPr>
          <w:spacing w:val="40"/>
          <w:sz w:val="22"/>
        </w:rPr>
        <w:t> </w:t>
      </w:r>
      <w:r>
        <w:rPr>
          <w:sz w:val="22"/>
        </w:rPr>
        <w:t>(kitchen</w:t>
      </w:r>
      <w:r>
        <w:rPr>
          <w:spacing w:val="80"/>
          <w:sz w:val="22"/>
        </w:rPr>
        <w:t> </w:t>
      </w:r>
      <w:r>
        <w:rPr>
          <w:sz w:val="22"/>
        </w:rPr>
        <w:t>without</w:t>
      </w:r>
      <w:r>
        <w:rPr>
          <w:spacing w:val="80"/>
          <w:sz w:val="22"/>
        </w:rPr>
        <w:t> </w:t>
      </w:r>
      <w:r>
        <w:rPr>
          <w:sz w:val="22"/>
        </w:rPr>
        <w:t>flame</w:t>
      </w:r>
      <w:r>
        <w:rPr>
          <w:spacing w:val="80"/>
          <w:sz w:val="22"/>
        </w:rPr>
        <w:t> </w:t>
      </w:r>
      <w:r>
        <w:rPr>
          <w:sz w:val="22"/>
        </w:rPr>
        <w:t>may</w:t>
      </w:r>
      <w:r>
        <w:rPr>
          <w:spacing w:val="80"/>
          <w:sz w:val="22"/>
        </w:rPr>
        <w:t> </w:t>
      </w:r>
      <w:r>
        <w:rPr>
          <w:sz w:val="22"/>
        </w:rPr>
        <w:t>be </w:t>
      </w:r>
      <w:r>
        <w:rPr>
          <w:spacing w:val="-2"/>
          <w:sz w:val="22"/>
        </w:rPr>
        <w:t>permitted)</w:t>
      </w:r>
    </w:p>
    <w:p>
      <w:pPr>
        <w:pStyle w:val="ListParagraph"/>
        <w:numPr>
          <w:ilvl w:val="0"/>
          <w:numId w:val="253"/>
        </w:numPr>
        <w:tabs>
          <w:tab w:pos="1620" w:val="left" w:leader="none"/>
        </w:tabs>
        <w:spacing w:line="258" w:lineRule="exact" w:before="0" w:after="0"/>
        <w:ind w:left="1620" w:right="0" w:hanging="307"/>
        <w:jc w:val="left"/>
        <w:rPr>
          <w:sz w:val="22"/>
        </w:rPr>
      </w:pPr>
      <w:r>
        <w:rPr>
          <w:sz w:val="22"/>
        </w:rPr>
        <w:t>Sanitary</w:t>
      </w:r>
      <w:r>
        <w:rPr>
          <w:spacing w:val="45"/>
          <w:w w:val="150"/>
          <w:sz w:val="22"/>
        </w:rPr>
        <w:t> </w:t>
      </w:r>
      <w:r>
        <w:rPr>
          <w:spacing w:val="-2"/>
          <w:sz w:val="22"/>
        </w:rPr>
        <w:t>facility</w:t>
      </w:r>
    </w:p>
    <w:p>
      <w:pPr>
        <w:pStyle w:val="ListParagraph"/>
        <w:numPr>
          <w:ilvl w:val="0"/>
          <w:numId w:val="253"/>
        </w:numPr>
        <w:tabs>
          <w:tab w:pos="1493" w:val="left" w:leader="none"/>
          <w:tab w:pos="1541" w:val="left" w:leader="none"/>
        </w:tabs>
        <w:spacing w:line="240" w:lineRule="auto" w:before="1" w:after="0"/>
        <w:ind w:left="1493" w:right="784" w:hanging="180"/>
        <w:jc w:val="left"/>
        <w:rPr>
          <w:sz w:val="20"/>
        </w:rPr>
      </w:pPr>
      <w:r>
        <w:rPr>
          <w:sz w:val="22"/>
        </w:rPr>
        <w:t>Play</w:t>
      </w:r>
      <w:r>
        <w:rPr>
          <w:spacing w:val="72"/>
          <w:sz w:val="22"/>
        </w:rPr>
        <w:t> </w:t>
      </w:r>
      <w:r>
        <w:rPr>
          <w:sz w:val="22"/>
        </w:rPr>
        <w:t>area</w:t>
      </w:r>
      <w:r>
        <w:rPr>
          <w:spacing w:val="69"/>
          <w:sz w:val="22"/>
        </w:rPr>
        <w:t> </w:t>
      </w:r>
      <w:r>
        <w:rPr>
          <w:sz w:val="22"/>
        </w:rPr>
        <w:t>for</w:t>
      </w:r>
      <w:r>
        <w:rPr>
          <w:spacing w:val="72"/>
          <w:sz w:val="22"/>
        </w:rPr>
        <w:t> </w:t>
      </w:r>
      <w:r>
        <w:rPr>
          <w:sz w:val="22"/>
        </w:rPr>
        <w:t>school</w:t>
      </w:r>
      <w:r>
        <w:rPr>
          <w:spacing w:val="77"/>
          <w:sz w:val="22"/>
        </w:rPr>
        <w:t> </w:t>
      </w:r>
      <w:r>
        <w:rPr>
          <w:sz w:val="22"/>
        </w:rPr>
        <w:t>if</w:t>
      </w:r>
      <w:r>
        <w:rPr>
          <w:spacing w:val="69"/>
          <w:sz w:val="22"/>
        </w:rPr>
        <w:t> </w:t>
      </w:r>
      <w:r>
        <w:rPr>
          <w:sz w:val="22"/>
        </w:rPr>
        <w:t>other</w:t>
      </w:r>
      <w:r>
        <w:rPr>
          <w:spacing w:val="69"/>
          <w:sz w:val="22"/>
        </w:rPr>
        <w:t> </w:t>
      </w:r>
      <w:r>
        <w:rPr>
          <w:sz w:val="22"/>
        </w:rPr>
        <w:t>ancillary</w:t>
      </w:r>
      <w:r>
        <w:rPr>
          <w:spacing w:val="72"/>
          <w:sz w:val="22"/>
        </w:rPr>
        <w:t> </w:t>
      </w:r>
      <w:r>
        <w:rPr>
          <w:sz w:val="22"/>
        </w:rPr>
        <w:t>uses</w:t>
      </w:r>
      <w:r>
        <w:rPr>
          <w:spacing w:val="70"/>
          <w:sz w:val="22"/>
        </w:rPr>
        <w:t> </w:t>
      </w:r>
      <w:r>
        <w:rPr>
          <w:sz w:val="22"/>
        </w:rPr>
        <w:t>have</w:t>
      </w:r>
      <w:r>
        <w:rPr>
          <w:spacing w:val="75"/>
          <w:sz w:val="22"/>
        </w:rPr>
        <w:t> </w:t>
      </w:r>
      <w:r>
        <w:rPr>
          <w:sz w:val="22"/>
        </w:rPr>
        <w:t>not</w:t>
      </w:r>
      <w:r>
        <w:rPr>
          <w:spacing w:val="70"/>
          <w:sz w:val="22"/>
        </w:rPr>
        <w:t> </w:t>
      </w:r>
      <w:r>
        <w:rPr>
          <w:sz w:val="22"/>
        </w:rPr>
        <w:t>been</w:t>
      </w:r>
      <w:r>
        <w:rPr>
          <w:spacing w:val="72"/>
          <w:sz w:val="22"/>
        </w:rPr>
        <w:t> </w:t>
      </w:r>
      <w:r>
        <w:rPr>
          <w:sz w:val="22"/>
        </w:rPr>
        <w:t>proposed</w:t>
      </w:r>
      <w:r>
        <w:rPr>
          <w:spacing w:val="80"/>
          <w:sz w:val="22"/>
        </w:rPr>
        <w:t> </w:t>
      </w:r>
      <w:r>
        <w:rPr>
          <w:sz w:val="22"/>
        </w:rPr>
        <w:t>at</w:t>
      </w:r>
      <w:r>
        <w:rPr>
          <w:spacing w:val="70"/>
          <w:sz w:val="22"/>
        </w:rPr>
        <w:t> </w:t>
      </w:r>
      <w:r>
        <w:rPr>
          <w:sz w:val="22"/>
        </w:rPr>
        <w:t>that level of basement.</w:t>
      </w:r>
    </w:p>
    <w:p>
      <w:pPr>
        <w:pStyle w:val="BodyText"/>
        <w:spacing w:before="22"/>
        <w:jc w:val="left"/>
        <w:rPr>
          <w:sz w:val="22"/>
        </w:rPr>
      </w:pPr>
    </w:p>
    <w:p>
      <w:pPr>
        <w:pStyle w:val="BodyText"/>
        <w:ind w:left="1493" w:right="782"/>
      </w:pPr>
      <w:r>
        <w:rPr/>
        <w:t>Provided that the uses mentioned at (a),</w:t>
      </w:r>
      <w:r>
        <w:rPr>
          <w:spacing w:val="80"/>
        </w:rPr>
        <w:t> </w:t>
      </w:r>
      <w:r>
        <w:rPr/>
        <w:t>(g), (h) &amp; (j) above shall be permitted</w:t>
      </w:r>
      <w:r>
        <w:rPr>
          <w:spacing w:val="40"/>
        </w:rPr>
        <w:t> </w:t>
      </w:r>
      <w:r>
        <w:rPr/>
        <w:t>in</w:t>
      </w:r>
      <w:r>
        <w:rPr>
          <w:spacing w:val="40"/>
        </w:rPr>
        <w:t> </w:t>
      </w:r>
      <w:r>
        <w:rPr/>
        <w:t>the</w:t>
      </w:r>
      <w:r>
        <w:rPr>
          <w:spacing w:val="40"/>
        </w:rPr>
        <w:t> </w:t>
      </w:r>
      <w:r>
        <w:rPr/>
        <w:t>1</w:t>
      </w:r>
      <w:r>
        <w:rPr>
          <w:position w:val="6"/>
          <w:sz w:val="16"/>
        </w:rPr>
        <w:t>st</w:t>
      </w:r>
      <w:r>
        <w:rPr>
          <w:spacing w:val="80"/>
          <w:position w:val="6"/>
          <w:sz w:val="16"/>
        </w:rPr>
        <w:t> </w:t>
      </w:r>
      <w:r>
        <w:rPr/>
        <w:t>basementand</w:t>
      </w:r>
      <w:r>
        <w:rPr>
          <w:spacing w:val="40"/>
        </w:rPr>
        <w:t> </w:t>
      </w:r>
      <w:r>
        <w:rPr/>
        <w:t>the</w:t>
      </w:r>
      <w:r>
        <w:rPr>
          <w:spacing w:val="40"/>
        </w:rPr>
        <w:t> </w:t>
      </w:r>
      <w:r>
        <w:rPr/>
        <w:t>uses</w:t>
      </w:r>
      <w:r>
        <w:rPr>
          <w:spacing w:val="40"/>
        </w:rPr>
        <w:t> </w:t>
      </w:r>
      <w:r>
        <w:rPr/>
        <w:t>as</w:t>
      </w:r>
      <w:r>
        <w:rPr>
          <w:spacing w:val="40"/>
        </w:rPr>
        <w:t> </w:t>
      </w:r>
      <w:r>
        <w:rPr/>
        <w:t>mentioned</w:t>
      </w:r>
      <w:r>
        <w:rPr>
          <w:spacing w:val="40"/>
        </w:rPr>
        <w:t> </w:t>
      </w:r>
      <w:r>
        <w:rPr/>
        <w:t>in</w:t>
      </w:r>
      <w:r>
        <w:rPr>
          <w:spacing w:val="40"/>
        </w:rPr>
        <w:t> </w:t>
      </w:r>
      <w:r>
        <w:rPr/>
        <w:t>(f) aboveshall</w:t>
      </w:r>
      <w:r>
        <w:rPr>
          <w:spacing w:val="40"/>
        </w:rPr>
        <w:t> </w:t>
      </w:r>
      <w:r>
        <w:rPr/>
        <w:t>be</w:t>
      </w:r>
      <w:r>
        <w:rPr>
          <w:spacing w:val="40"/>
        </w:rPr>
        <w:t> </w:t>
      </w:r>
      <w:r>
        <w:rPr/>
        <w:t>permitted</w:t>
      </w:r>
      <w:r>
        <w:rPr>
          <w:spacing w:val="40"/>
        </w:rPr>
        <w:t> </w:t>
      </w:r>
      <w:r>
        <w:rPr/>
        <w:t>in</w:t>
      </w:r>
      <w:r>
        <w:rPr>
          <w:spacing w:val="40"/>
        </w:rPr>
        <w:t> </w:t>
      </w:r>
      <w:r>
        <w:rPr/>
        <w:t>lower</w:t>
      </w:r>
      <w:r>
        <w:rPr>
          <w:spacing w:val="40"/>
        </w:rPr>
        <w:t> </w:t>
      </w:r>
      <w:r>
        <w:rPr/>
        <w:t>basement</w:t>
      </w:r>
      <w:r>
        <w:rPr>
          <w:spacing w:val="40"/>
        </w:rPr>
        <w:t> </w:t>
      </w:r>
      <w:r>
        <w:rPr/>
        <w:t>only</w:t>
      </w:r>
      <w:r>
        <w:rPr>
          <w:spacing w:val="40"/>
        </w:rPr>
        <w:t> </w:t>
      </w:r>
      <w:r>
        <w:rPr/>
        <w:t>by</w:t>
      </w:r>
      <w:r>
        <w:rPr>
          <w:spacing w:val="40"/>
        </w:rPr>
        <w:t> </w:t>
      </w:r>
      <w:r>
        <w:rPr/>
        <w:t>counting</w:t>
      </w:r>
      <w:r>
        <w:rPr>
          <w:spacing w:val="40"/>
        </w:rPr>
        <w:t> </w:t>
      </w:r>
      <w:r>
        <w:rPr/>
        <w:t>in</w:t>
      </w:r>
      <w:r>
        <w:rPr>
          <w:spacing w:val="40"/>
        </w:rPr>
        <w:t> </w:t>
      </w:r>
      <w:r>
        <w:rPr/>
        <w:t>FSI subject</w:t>
      </w:r>
      <w:r>
        <w:rPr>
          <w:spacing w:val="40"/>
        </w:rPr>
        <w:t> </w:t>
      </w:r>
      <w:r>
        <w:rPr/>
        <w:t>to</w:t>
      </w:r>
      <w:r>
        <w:rPr>
          <w:spacing w:val="40"/>
        </w:rPr>
        <w:t> </w:t>
      </w:r>
      <w:r>
        <w:rPr>
          <w:sz w:val="22"/>
        </w:rPr>
        <w:t>compliance</w:t>
      </w:r>
      <w:r>
        <w:rPr>
          <w:spacing w:val="40"/>
          <w:sz w:val="22"/>
        </w:rPr>
        <w:t> </w:t>
      </w:r>
      <w:r>
        <w:rPr>
          <w:sz w:val="22"/>
        </w:rPr>
        <w:t>of</w:t>
      </w:r>
      <w:r>
        <w:rPr>
          <w:spacing w:val="40"/>
          <w:sz w:val="22"/>
        </w:rPr>
        <w:t> </w:t>
      </w:r>
      <w:r>
        <w:rPr>
          <w:sz w:val="22"/>
        </w:rPr>
        <w:t>requirements</w:t>
      </w:r>
      <w:r>
        <w:rPr>
          <w:spacing w:val="40"/>
          <w:sz w:val="22"/>
        </w:rPr>
        <w:t> </w:t>
      </w:r>
      <w:r>
        <w:rPr>
          <w:sz w:val="22"/>
        </w:rPr>
        <w:t>of</w:t>
      </w:r>
      <w:r>
        <w:rPr>
          <w:spacing w:val="40"/>
          <w:sz w:val="22"/>
        </w:rPr>
        <w:t> </w:t>
      </w:r>
      <w:r>
        <w:rPr>
          <w:sz w:val="22"/>
        </w:rPr>
        <w:t>habitable</w:t>
      </w:r>
      <w:r>
        <w:rPr>
          <w:spacing w:val="40"/>
          <w:sz w:val="22"/>
        </w:rPr>
        <w:t> </w:t>
      </w:r>
      <w:r>
        <w:rPr>
          <w:sz w:val="22"/>
        </w:rPr>
        <w:t>rooms</w:t>
      </w:r>
      <w:r>
        <w:rPr>
          <w:spacing w:val="40"/>
          <w:sz w:val="22"/>
        </w:rPr>
        <w:t> </w:t>
      </w:r>
      <w:r>
        <w:rPr/>
        <w:t>subject</w:t>
      </w:r>
      <w:r>
        <w:rPr>
          <w:spacing w:val="40"/>
        </w:rPr>
        <w:t> </w:t>
      </w:r>
      <w:r>
        <w:rPr/>
        <w:t>to following </w:t>
      </w:r>
      <w:r>
        <w:rPr>
          <w:spacing w:val="9"/>
        </w:rPr>
        <w:t>conditions:</w:t>
      </w:r>
    </w:p>
    <w:p>
      <w:pPr>
        <w:pStyle w:val="ListParagraph"/>
        <w:numPr>
          <w:ilvl w:val="1"/>
          <w:numId w:val="253"/>
        </w:numPr>
        <w:tabs>
          <w:tab w:pos="1654" w:val="left" w:leader="none"/>
        </w:tabs>
        <w:spacing w:line="240" w:lineRule="auto" w:before="241" w:after="0"/>
        <w:ind w:left="1493" w:right="797" w:firstLine="0"/>
        <w:jc w:val="both"/>
        <w:rPr>
          <w:sz w:val="24"/>
        </w:rPr>
      </w:pPr>
      <w:r>
        <w:rPr>
          <w:sz w:val="24"/>
        </w:rPr>
        <w:t>All requirements regarding access, safety (including fire safety), ventilation,</w:t>
      </w:r>
      <w:r>
        <w:rPr>
          <w:spacing w:val="40"/>
          <w:sz w:val="24"/>
        </w:rPr>
        <w:t> </w:t>
      </w:r>
      <w:r>
        <w:rPr>
          <w:sz w:val="24"/>
        </w:rPr>
        <w:t>etc.</w:t>
      </w:r>
      <w:r>
        <w:rPr>
          <w:spacing w:val="40"/>
          <w:sz w:val="24"/>
        </w:rPr>
        <w:t> </w:t>
      </w:r>
      <w:r>
        <w:rPr>
          <w:sz w:val="24"/>
        </w:rPr>
        <w:t>shall</w:t>
      </w:r>
      <w:r>
        <w:rPr>
          <w:spacing w:val="40"/>
          <w:sz w:val="24"/>
        </w:rPr>
        <w:t> </w:t>
      </w:r>
      <w:r>
        <w:rPr>
          <w:sz w:val="24"/>
        </w:rPr>
        <w:t>be</w:t>
      </w:r>
      <w:r>
        <w:rPr>
          <w:spacing w:val="40"/>
          <w:sz w:val="24"/>
        </w:rPr>
        <w:t> </w:t>
      </w:r>
      <w:r>
        <w:rPr>
          <w:sz w:val="24"/>
        </w:rPr>
        <w:t>complied</w:t>
      </w:r>
      <w:r>
        <w:rPr>
          <w:spacing w:val="40"/>
          <w:sz w:val="24"/>
        </w:rPr>
        <w:t> </w:t>
      </w:r>
      <w:r>
        <w:rPr>
          <w:sz w:val="24"/>
        </w:rPr>
        <w:t>with.</w:t>
      </w:r>
    </w:p>
    <w:p>
      <w:pPr>
        <w:pStyle w:val="ListParagraph"/>
        <w:numPr>
          <w:ilvl w:val="1"/>
          <w:numId w:val="253"/>
        </w:numPr>
        <w:tabs>
          <w:tab w:pos="1493" w:val="left" w:leader="none"/>
          <w:tab w:pos="1555" w:val="left" w:leader="none"/>
        </w:tabs>
        <w:spacing w:line="240" w:lineRule="auto" w:before="1" w:after="0"/>
        <w:ind w:left="1493" w:right="799" w:hanging="180"/>
        <w:jc w:val="left"/>
        <w:rPr>
          <w:sz w:val="24"/>
        </w:rPr>
      </w:pPr>
      <w:r>
        <w:rPr>
          <w:sz w:val="24"/>
        </w:rPr>
        <w:t>All</w:t>
      </w:r>
      <w:r>
        <w:rPr>
          <w:spacing w:val="80"/>
          <w:sz w:val="24"/>
        </w:rPr>
        <w:t> </w:t>
      </w:r>
      <w:r>
        <w:rPr>
          <w:sz w:val="24"/>
        </w:rPr>
        <w:t>the</w:t>
      </w:r>
      <w:r>
        <w:rPr>
          <w:spacing w:val="80"/>
          <w:sz w:val="24"/>
        </w:rPr>
        <w:t> </w:t>
      </w:r>
      <w:r>
        <w:rPr>
          <w:sz w:val="24"/>
        </w:rPr>
        <w:t>planning</w:t>
      </w:r>
      <w:r>
        <w:rPr>
          <w:spacing w:val="80"/>
          <w:sz w:val="24"/>
        </w:rPr>
        <w:t> </w:t>
      </w:r>
      <w:r>
        <w:rPr>
          <w:sz w:val="24"/>
        </w:rPr>
        <w:t>standards</w:t>
      </w:r>
      <w:r>
        <w:rPr>
          <w:spacing w:val="80"/>
          <w:sz w:val="24"/>
        </w:rPr>
        <w:t> </w:t>
      </w:r>
      <w:r>
        <w:rPr>
          <w:sz w:val="24"/>
        </w:rPr>
        <w:t>(particularly</w:t>
      </w:r>
      <w:r>
        <w:rPr>
          <w:spacing w:val="80"/>
          <w:sz w:val="24"/>
        </w:rPr>
        <w:t> </w:t>
      </w:r>
      <w:r>
        <w:rPr>
          <w:sz w:val="24"/>
        </w:rPr>
        <w:t>as</w:t>
      </w:r>
      <w:r>
        <w:rPr>
          <w:spacing w:val="80"/>
          <w:sz w:val="24"/>
        </w:rPr>
        <w:t> </w:t>
      </w:r>
      <w:r>
        <w:rPr>
          <w:sz w:val="24"/>
        </w:rPr>
        <w:t>regarding</w:t>
      </w:r>
      <w:r>
        <w:rPr>
          <w:spacing w:val="80"/>
          <w:sz w:val="24"/>
        </w:rPr>
        <w:t> </w:t>
      </w:r>
      <w:r>
        <w:rPr>
          <w:sz w:val="24"/>
        </w:rPr>
        <w:t>parking)</w:t>
      </w:r>
      <w:r>
        <w:rPr>
          <w:spacing w:val="80"/>
          <w:sz w:val="24"/>
        </w:rPr>
        <w:t> </w:t>
      </w:r>
      <w:r>
        <w:rPr>
          <w:sz w:val="24"/>
        </w:rPr>
        <w:t>should be</w:t>
      </w:r>
      <w:r>
        <w:rPr>
          <w:spacing w:val="40"/>
          <w:sz w:val="24"/>
        </w:rPr>
        <w:t> </w:t>
      </w:r>
      <w:r>
        <w:rPr>
          <w:sz w:val="24"/>
        </w:rPr>
        <w:t>strictly</w:t>
      </w:r>
      <w:r>
        <w:rPr>
          <w:spacing w:val="40"/>
          <w:sz w:val="24"/>
        </w:rPr>
        <w:t> </w:t>
      </w:r>
      <w:r>
        <w:rPr>
          <w:sz w:val="24"/>
        </w:rPr>
        <w:t>adhered</w:t>
      </w:r>
      <w:r>
        <w:rPr>
          <w:spacing w:val="40"/>
          <w:sz w:val="24"/>
        </w:rPr>
        <w:t> </w:t>
      </w:r>
      <w:r>
        <w:rPr>
          <w:sz w:val="24"/>
        </w:rPr>
        <w:t>to.</w:t>
      </w:r>
    </w:p>
    <w:p>
      <w:pPr>
        <w:pStyle w:val="ListParagraph"/>
        <w:numPr>
          <w:ilvl w:val="1"/>
          <w:numId w:val="246"/>
        </w:numPr>
        <w:tabs>
          <w:tab w:pos="1493" w:val="left" w:leader="none"/>
          <w:tab w:pos="1830" w:val="left" w:leader="none"/>
          <w:tab w:pos="2772" w:val="left" w:leader="none"/>
          <w:tab w:pos="5555" w:val="left" w:leader="none"/>
          <w:tab w:pos="6993" w:val="left" w:leader="none"/>
          <w:tab w:pos="7829" w:val="left" w:leader="none"/>
          <w:tab w:pos="8656" w:val="left" w:leader="none"/>
          <w:tab w:pos="9287" w:val="left" w:leader="none"/>
        </w:tabs>
        <w:spacing w:line="240" w:lineRule="auto" w:before="281" w:after="0"/>
        <w:ind w:left="1493" w:right="782" w:hanging="180"/>
        <w:jc w:val="left"/>
        <w:rPr>
          <w:sz w:val="24"/>
        </w:rPr>
      </w:pPr>
      <w:r>
        <w:rPr>
          <w:spacing w:val="-2"/>
          <w:sz w:val="24"/>
        </w:rPr>
        <w:t>Other</w:t>
      </w:r>
      <w:r>
        <w:rPr>
          <w:sz w:val="24"/>
        </w:rPr>
        <w:tab/>
      </w:r>
      <w:r>
        <w:rPr>
          <w:spacing w:val="7"/>
          <w:sz w:val="24"/>
        </w:rPr>
        <w:t>Requirements-</w:t>
      </w:r>
      <w:r>
        <w:rPr>
          <w:sz w:val="24"/>
        </w:rPr>
        <w:t>Every</w:t>
        <w:tab/>
      </w:r>
      <w:r>
        <w:rPr>
          <w:spacing w:val="-2"/>
          <w:sz w:val="24"/>
        </w:rPr>
        <w:t>basement</w:t>
      </w:r>
      <w:r>
        <w:rPr>
          <w:sz w:val="24"/>
        </w:rPr>
        <w:tab/>
      </w:r>
      <w:r>
        <w:rPr>
          <w:spacing w:val="-2"/>
          <w:sz w:val="24"/>
        </w:rPr>
        <w:t>shall</w:t>
      </w:r>
      <w:r>
        <w:rPr>
          <w:sz w:val="24"/>
        </w:rPr>
        <w:tab/>
      </w:r>
      <w:r>
        <w:rPr>
          <w:spacing w:val="-4"/>
          <w:sz w:val="24"/>
        </w:rPr>
        <w:t>meet</w:t>
      </w:r>
      <w:r>
        <w:rPr>
          <w:sz w:val="24"/>
        </w:rPr>
        <w:tab/>
      </w:r>
      <w:r>
        <w:rPr>
          <w:spacing w:val="-4"/>
          <w:sz w:val="24"/>
        </w:rPr>
        <w:t>the</w:t>
      </w:r>
      <w:r>
        <w:rPr>
          <w:sz w:val="24"/>
        </w:rPr>
        <w:tab/>
      </w:r>
      <w:r>
        <w:rPr>
          <w:spacing w:val="-2"/>
          <w:sz w:val="24"/>
        </w:rPr>
        <w:t>following specifications:</w:t>
      </w:r>
    </w:p>
    <w:p>
      <w:pPr>
        <w:pStyle w:val="ListParagraph"/>
        <w:numPr>
          <w:ilvl w:val="2"/>
          <w:numId w:val="246"/>
        </w:numPr>
        <w:tabs>
          <w:tab w:pos="1493" w:val="left" w:leader="none"/>
          <w:tab w:pos="1694" w:val="left" w:leader="none"/>
        </w:tabs>
        <w:spacing w:line="240" w:lineRule="auto" w:before="281" w:after="0"/>
        <w:ind w:left="1493" w:right="784" w:hanging="180"/>
        <w:jc w:val="both"/>
        <w:rPr>
          <w:sz w:val="24"/>
        </w:rPr>
      </w:pPr>
      <w:r>
        <w:rPr>
          <w:sz w:val="24"/>
        </w:rPr>
        <w:t>The ceiling of an upper basement shall be at least 0.6 m and not more than</w:t>
      </w:r>
      <w:r>
        <w:rPr>
          <w:spacing w:val="40"/>
          <w:sz w:val="24"/>
        </w:rPr>
        <w:t> </w:t>
      </w:r>
      <w:r>
        <w:rPr>
          <w:sz w:val="24"/>
        </w:rPr>
        <w:t>1.2</w:t>
      </w:r>
      <w:r>
        <w:rPr>
          <w:spacing w:val="40"/>
          <w:sz w:val="24"/>
        </w:rPr>
        <w:t> </w:t>
      </w:r>
      <w:r>
        <w:rPr>
          <w:sz w:val="24"/>
        </w:rPr>
        <w:t>m</w:t>
      </w:r>
      <w:r>
        <w:rPr>
          <w:spacing w:val="40"/>
          <w:sz w:val="24"/>
        </w:rPr>
        <w:t> </w:t>
      </w:r>
      <w:r>
        <w:rPr>
          <w:sz w:val="24"/>
        </w:rPr>
        <w:t>above</w:t>
      </w:r>
      <w:r>
        <w:rPr>
          <w:spacing w:val="40"/>
          <w:sz w:val="24"/>
        </w:rPr>
        <w:t> </w:t>
      </w:r>
      <w:r>
        <w:rPr>
          <w:sz w:val="24"/>
        </w:rPr>
        <w:t>the</w:t>
      </w:r>
      <w:r>
        <w:rPr>
          <w:spacing w:val="40"/>
          <w:sz w:val="24"/>
        </w:rPr>
        <w:t> </w:t>
      </w:r>
      <w:r>
        <w:rPr>
          <w:sz w:val="24"/>
        </w:rPr>
        <w:t>average</w:t>
      </w:r>
      <w:r>
        <w:rPr>
          <w:spacing w:val="40"/>
          <w:sz w:val="24"/>
        </w:rPr>
        <w:t> </w:t>
      </w:r>
      <w:r>
        <w:rPr>
          <w:sz w:val="24"/>
        </w:rPr>
        <w:t>surrounding</w:t>
      </w:r>
      <w:r>
        <w:rPr>
          <w:spacing w:val="40"/>
          <w:sz w:val="24"/>
        </w:rPr>
        <w:t> </w:t>
      </w:r>
      <w:r>
        <w:rPr>
          <w:sz w:val="24"/>
        </w:rPr>
        <w:t>ground</w:t>
      </w:r>
      <w:r>
        <w:rPr>
          <w:spacing w:val="40"/>
          <w:sz w:val="24"/>
        </w:rPr>
        <w:t> </w:t>
      </w:r>
      <w:r>
        <w:rPr>
          <w:sz w:val="24"/>
        </w:rPr>
        <w:t>level</w:t>
      </w:r>
      <w:r>
        <w:rPr>
          <w:spacing w:val="40"/>
          <w:sz w:val="24"/>
        </w:rPr>
        <w:t> </w:t>
      </w:r>
      <w:r>
        <w:rPr>
          <w:sz w:val="24"/>
        </w:rPr>
        <w:t>within</w:t>
      </w:r>
      <w:r>
        <w:rPr>
          <w:spacing w:val="40"/>
          <w:sz w:val="24"/>
        </w:rPr>
        <w:t> </w:t>
      </w:r>
      <w:r>
        <w:rPr>
          <w:sz w:val="24"/>
        </w:rPr>
        <w:t>the building line &amp; may be flush with the average surrounding ground level beyond</w:t>
      </w:r>
      <w:r>
        <w:rPr>
          <w:spacing w:val="40"/>
          <w:sz w:val="24"/>
        </w:rPr>
        <w:t> </w:t>
      </w:r>
      <w:r>
        <w:rPr>
          <w:sz w:val="24"/>
        </w:rPr>
        <w:t>building</w:t>
      </w:r>
      <w:r>
        <w:rPr>
          <w:spacing w:val="40"/>
          <w:sz w:val="24"/>
        </w:rPr>
        <w:t> </w:t>
      </w:r>
      <w:r>
        <w:rPr>
          <w:sz w:val="24"/>
        </w:rPr>
        <w:t>line,</w:t>
      </w:r>
      <w:r>
        <w:rPr>
          <w:spacing w:val="40"/>
          <w:sz w:val="24"/>
        </w:rPr>
        <w:t> </w:t>
      </w:r>
      <w:r>
        <w:rPr>
          <w:sz w:val="24"/>
        </w:rPr>
        <w:t>Provided</w:t>
      </w:r>
      <w:r>
        <w:rPr>
          <w:spacing w:val="40"/>
          <w:sz w:val="24"/>
        </w:rPr>
        <w:t> </w:t>
      </w:r>
      <w:r>
        <w:rPr>
          <w:sz w:val="24"/>
        </w:rPr>
        <w:t>further</w:t>
      </w:r>
      <w:r>
        <w:rPr>
          <w:spacing w:val="40"/>
          <w:sz w:val="24"/>
        </w:rPr>
        <w:t> </w:t>
      </w:r>
      <w:r>
        <w:rPr>
          <w:sz w:val="24"/>
        </w:rPr>
        <w:t>that</w:t>
      </w:r>
      <w:r>
        <w:rPr>
          <w:spacing w:val="80"/>
          <w:sz w:val="24"/>
        </w:rPr>
        <w:t> </w:t>
      </w:r>
      <w:r>
        <w:rPr>
          <w:sz w:val="24"/>
        </w:rPr>
        <w:t>the</w:t>
      </w:r>
      <w:r>
        <w:rPr>
          <w:spacing w:val="40"/>
          <w:sz w:val="24"/>
        </w:rPr>
        <w:t> </w:t>
      </w:r>
      <w:r>
        <w:rPr>
          <w:sz w:val="24"/>
        </w:rPr>
        <w:t>height</w:t>
      </w:r>
      <w:r>
        <w:rPr>
          <w:spacing w:val="40"/>
          <w:sz w:val="24"/>
        </w:rPr>
        <w:t> </w:t>
      </w:r>
      <w:r>
        <w:rPr>
          <w:sz w:val="24"/>
        </w:rPr>
        <w:t>of</w:t>
      </w:r>
      <w:r>
        <w:rPr>
          <w:spacing w:val="40"/>
          <w:sz w:val="24"/>
        </w:rPr>
        <w:t> </w:t>
      </w:r>
      <w:r>
        <w:rPr>
          <w:sz w:val="24"/>
        </w:rPr>
        <w:t>basement</w:t>
      </w:r>
      <w:r>
        <w:rPr>
          <w:spacing w:val="40"/>
          <w:sz w:val="24"/>
        </w:rPr>
        <w:t> </w:t>
      </w:r>
      <w:r>
        <w:rPr>
          <w:sz w:val="24"/>
        </w:rPr>
        <w:t>above average surrounding ground level within building line may be reduced</w:t>
      </w:r>
      <w:r>
        <w:rPr>
          <w:spacing w:val="40"/>
          <w:sz w:val="24"/>
        </w:rPr>
        <w:t> </w:t>
      </w:r>
      <w:r>
        <w:rPr>
          <w:sz w:val="24"/>
        </w:rPr>
        <w:t>up</w:t>
      </w:r>
      <w:r>
        <w:rPr>
          <w:spacing w:val="40"/>
          <w:sz w:val="24"/>
        </w:rPr>
        <w:t> </w:t>
      </w:r>
      <w:r>
        <w:rPr>
          <w:sz w:val="24"/>
        </w:rPr>
        <w:t>to</w:t>
      </w:r>
      <w:r>
        <w:rPr>
          <w:spacing w:val="40"/>
          <w:sz w:val="24"/>
        </w:rPr>
        <w:t> </w:t>
      </w:r>
      <w:r>
        <w:rPr>
          <w:sz w:val="24"/>
        </w:rPr>
        <w:t>0.15</w:t>
      </w:r>
      <w:r>
        <w:rPr>
          <w:spacing w:val="40"/>
          <w:sz w:val="24"/>
        </w:rPr>
        <w:t> </w:t>
      </w:r>
      <w:r>
        <w:rPr>
          <w:sz w:val="24"/>
        </w:rPr>
        <w:t>m</w:t>
      </w:r>
      <w:r>
        <w:rPr>
          <w:spacing w:val="40"/>
          <w:sz w:val="24"/>
        </w:rPr>
        <w:t> </w:t>
      </w:r>
      <w:r>
        <w:rPr>
          <w:sz w:val="24"/>
        </w:rPr>
        <w:t>case</w:t>
      </w:r>
      <w:r>
        <w:rPr>
          <w:spacing w:val="40"/>
          <w:sz w:val="24"/>
        </w:rPr>
        <w:t> </w:t>
      </w:r>
      <w:r>
        <w:rPr>
          <w:sz w:val="24"/>
        </w:rPr>
        <w:t>of</w:t>
      </w:r>
      <w:r>
        <w:rPr>
          <w:spacing w:val="40"/>
          <w:sz w:val="24"/>
        </w:rPr>
        <w:t> </w:t>
      </w:r>
      <w:r>
        <w:rPr>
          <w:sz w:val="24"/>
        </w:rPr>
        <w:t>stilt</w:t>
      </w:r>
      <w:r>
        <w:rPr>
          <w:spacing w:val="40"/>
          <w:sz w:val="24"/>
        </w:rPr>
        <w:t> </w:t>
      </w:r>
      <w:r>
        <w:rPr>
          <w:sz w:val="24"/>
        </w:rPr>
        <w:t>and</w:t>
      </w:r>
      <w:r>
        <w:rPr>
          <w:spacing w:val="40"/>
          <w:sz w:val="24"/>
        </w:rPr>
        <w:t> </w:t>
      </w:r>
      <w:r>
        <w:rPr>
          <w:sz w:val="24"/>
        </w:rPr>
        <w:t>0.30</w:t>
      </w:r>
      <w:r>
        <w:rPr>
          <w:spacing w:val="40"/>
          <w:sz w:val="24"/>
        </w:rPr>
        <w:t> </w:t>
      </w:r>
      <w:r>
        <w:rPr>
          <w:sz w:val="24"/>
        </w:rPr>
        <w:t>m</w:t>
      </w:r>
      <w:r>
        <w:rPr>
          <w:spacing w:val="40"/>
          <w:sz w:val="24"/>
        </w:rPr>
        <w:t> </w:t>
      </w:r>
      <w:r>
        <w:rPr>
          <w:sz w:val="24"/>
        </w:rPr>
        <w:t>in</w:t>
      </w:r>
      <w:r>
        <w:rPr>
          <w:spacing w:val="40"/>
          <w:sz w:val="24"/>
        </w:rPr>
        <w:t> </w:t>
      </w:r>
      <w:r>
        <w:rPr>
          <w:sz w:val="24"/>
        </w:rPr>
        <w:t>case</w:t>
      </w:r>
      <w:r>
        <w:rPr>
          <w:spacing w:val="40"/>
          <w:sz w:val="24"/>
        </w:rPr>
        <w:t> </w:t>
      </w:r>
      <w:r>
        <w:rPr>
          <w:sz w:val="24"/>
        </w:rPr>
        <w:t>ground</w:t>
      </w:r>
      <w:r>
        <w:rPr>
          <w:spacing w:val="40"/>
          <w:sz w:val="24"/>
        </w:rPr>
        <w:t> </w:t>
      </w:r>
      <w:r>
        <w:rPr>
          <w:sz w:val="24"/>
        </w:rPr>
        <w:t>floor, when basement beyond building line is flush with average surrounding ground</w:t>
      </w:r>
      <w:r>
        <w:rPr>
          <w:spacing w:val="80"/>
          <w:sz w:val="24"/>
        </w:rPr>
        <w:t> </w:t>
      </w:r>
      <w:r>
        <w:rPr>
          <w:sz w:val="24"/>
        </w:rPr>
        <w:t>level,</w:t>
      </w:r>
      <w:r>
        <w:rPr>
          <w:spacing w:val="80"/>
          <w:sz w:val="24"/>
        </w:rPr>
        <w:t> </w:t>
      </w:r>
      <w:r>
        <w:rPr>
          <w:sz w:val="24"/>
        </w:rPr>
        <w:t>subject</w:t>
      </w:r>
      <w:r>
        <w:rPr>
          <w:spacing w:val="80"/>
          <w:sz w:val="24"/>
        </w:rPr>
        <w:t> </w:t>
      </w:r>
      <w:r>
        <w:rPr>
          <w:sz w:val="24"/>
        </w:rPr>
        <w:t>to</w:t>
      </w:r>
      <w:r>
        <w:rPr>
          <w:spacing w:val="80"/>
          <w:sz w:val="24"/>
        </w:rPr>
        <w:t> </w:t>
      </w:r>
      <w:r>
        <w:rPr>
          <w:sz w:val="24"/>
        </w:rPr>
        <w:t>provision</w:t>
      </w:r>
      <w:r>
        <w:rPr>
          <w:spacing w:val="80"/>
          <w:sz w:val="24"/>
        </w:rPr>
        <w:t> </w:t>
      </w:r>
      <w:r>
        <w:rPr>
          <w:sz w:val="24"/>
        </w:rPr>
        <w:t>of</w:t>
      </w:r>
      <w:r>
        <w:rPr>
          <w:spacing w:val="80"/>
          <w:sz w:val="24"/>
        </w:rPr>
        <w:t> </w:t>
      </w:r>
      <w:r>
        <w:rPr>
          <w:sz w:val="24"/>
        </w:rPr>
        <w:t>artificial</w:t>
      </w:r>
      <w:r>
        <w:rPr>
          <w:spacing w:val="80"/>
          <w:sz w:val="24"/>
        </w:rPr>
        <w:t> </w:t>
      </w:r>
      <w:r>
        <w:rPr>
          <w:sz w:val="24"/>
        </w:rPr>
        <w:t>light</w:t>
      </w:r>
      <w:r>
        <w:rPr>
          <w:spacing w:val="80"/>
          <w:sz w:val="24"/>
        </w:rPr>
        <w:t> </w:t>
      </w:r>
      <w:r>
        <w:rPr>
          <w:sz w:val="24"/>
        </w:rPr>
        <w:t>and</w:t>
      </w:r>
      <w:r>
        <w:rPr>
          <w:spacing w:val="80"/>
          <w:sz w:val="24"/>
        </w:rPr>
        <w:t> </w:t>
      </w:r>
      <w:r>
        <w:rPr>
          <w:sz w:val="24"/>
        </w:rPr>
        <w:t>ventilation.</w:t>
      </w:r>
    </w:p>
    <w:p>
      <w:pPr>
        <w:pStyle w:val="ListParagraph"/>
        <w:numPr>
          <w:ilvl w:val="2"/>
          <w:numId w:val="246"/>
        </w:numPr>
        <w:tabs>
          <w:tab w:pos="1493" w:val="left" w:leader="none"/>
          <w:tab w:pos="1632" w:val="left" w:leader="none"/>
        </w:tabs>
        <w:spacing w:line="240" w:lineRule="auto" w:before="1" w:after="0"/>
        <w:ind w:left="1493" w:right="775" w:hanging="180"/>
        <w:jc w:val="both"/>
        <w:rPr>
          <w:sz w:val="24"/>
        </w:rPr>
      </w:pPr>
      <w:r>
        <w:rPr>
          <w:sz w:val="24"/>
        </w:rPr>
        <w:t>Adequate arrangements shall be made to ensure that surface </w:t>
      </w:r>
      <w:r>
        <w:rPr>
          <w:spacing w:val="9"/>
          <w:sz w:val="24"/>
        </w:rPr>
        <w:t>drainage </w:t>
      </w:r>
      <w:r>
        <w:rPr>
          <w:sz w:val="24"/>
        </w:rPr>
        <w:t>does</w:t>
      </w:r>
      <w:r>
        <w:rPr>
          <w:spacing w:val="40"/>
          <w:sz w:val="24"/>
        </w:rPr>
        <w:t> </w:t>
      </w:r>
      <w:r>
        <w:rPr>
          <w:sz w:val="24"/>
        </w:rPr>
        <w:t>not</w:t>
      </w:r>
      <w:r>
        <w:rPr>
          <w:spacing w:val="40"/>
          <w:sz w:val="24"/>
        </w:rPr>
        <w:t> </w:t>
      </w:r>
      <w:r>
        <w:rPr>
          <w:sz w:val="24"/>
        </w:rPr>
        <w:t>enter</w:t>
      </w:r>
      <w:r>
        <w:rPr>
          <w:spacing w:val="40"/>
          <w:sz w:val="24"/>
        </w:rPr>
        <w:t> </w:t>
      </w:r>
      <w:r>
        <w:rPr>
          <w:sz w:val="24"/>
        </w:rPr>
        <w:t>the</w:t>
      </w:r>
      <w:r>
        <w:rPr>
          <w:spacing w:val="40"/>
          <w:sz w:val="24"/>
        </w:rPr>
        <w:t> </w:t>
      </w:r>
      <w:r>
        <w:rPr>
          <w:sz w:val="24"/>
        </w:rPr>
        <w:t>basement.</w:t>
      </w:r>
    </w:p>
    <w:p>
      <w:pPr>
        <w:pStyle w:val="ListParagraph"/>
        <w:numPr>
          <w:ilvl w:val="2"/>
          <w:numId w:val="246"/>
        </w:numPr>
        <w:tabs>
          <w:tab w:pos="1493" w:val="left" w:leader="none"/>
          <w:tab w:pos="1611" w:val="left" w:leader="none"/>
        </w:tabs>
        <w:spacing w:line="240" w:lineRule="auto" w:before="0" w:after="0"/>
        <w:ind w:left="1493" w:right="787" w:hanging="180"/>
        <w:jc w:val="both"/>
        <w:rPr>
          <w:sz w:val="24"/>
        </w:rPr>
      </w:pPr>
      <w:r>
        <w:rPr>
          <w:sz w:val="24"/>
        </w:rPr>
        <w:t>The</w:t>
      </w:r>
      <w:r>
        <w:rPr>
          <w:spacing w:val="29"/>
          <w:sz w:val="24"/>
        </w:rPr>
        <w:t> </w:t>
      </w:r>
      <w:r>
        <w:rPr>
          <w:sz w:val="24"/>
        </w:rPr>
        <w:t>walls</w:t>
      </w:r>
      <w:r>
        <w:rPr>
          <w:spacing w:val="29"/>
          <w:sz w:val="24"/>
        </w:rPr>
        <w:t> </w:t>
      </w:r>
      <w:r>
        <w:rPr>
          <w:sz w:val="24"/>
        </w:rPr>
        <w:t>and</w:t>
      </w:r>
      <w:r>
        <w:rPr>
          <w:spacing w:val="29"/>
          <w:sz w:val="24"/>
        </w:rPr>
        <w:t> </w:t>
      </w:r>
      <w:r>
        <w:rPr>
          <w:sz w:val="24"/>
        </w:rPr>
        <w:t>floors</w:t>
      </w:r>
      <w:r>
        <w:rPr>
          <w:spacing w:val="27"/>
          <w:sz w:val="24"/>
        </w:rPr>
        <w:t> </w:t>
      </w:r>
      <w:r>
        <w:rPr>
          <w:sz w:val="24"/>
        </w:rPr>
        <w:t>of</w:t>
      </w:r>
      <w:r>
        <w:rPr>
          <w:spacing w:val="29"/>
          <w:sz w:val="24"/>
        </w:rPr>
        <w:t> </w:t>
      </w:r>
      <w:r>
        <w:rPr>
          <w:sz w:val="24"/>
        </w:rPr>
        <w:t>the</w:t>
      </w:r>
      <w:r>
        <w:rPr>
          <w:spacing w:val="29"/>
          <w:sz w:val="24"/>
        </w:rPr>
        <w:t> </w:t>
      </w:r>
      <w:r>
        <w:rPr>
          <w:sz w:val="24"/>
        </w:rPr>
        <w:t>basement</w:t>
      </w:r>
      <w:r>
        <w:rPr>
          <w:spacing w:val="29"/>
          <w:sz w:val="24"/>
        </w:rPr>
        <w:t> </w:t>
      </w:r>
      <w:r>
        <w:rPr>
          <w:sz w:val="24"/>
        </w:rPr>
        <w:t>shall</w:t>
      </w:r>
      <w:r>
        <w:rPr>
          <w:spacing w:val="29"/>
          <w:sz w:val="24"/>
        </w:rPr>
        <w:t> </w:t>
      </w:r>
      <w:r>
        <w:rPr>
          <w:sz w:val="24"/>
        </w:rPr>
        <w:t>be</w:t>
      </w:r>
      <w:r>
        <w:rPr>
          <w:spacing w:val="11"/>
          <w:sz w:val="24"/>
        </w:rPr>
        <w:t> water-</w:t>
      </w:r>
      <w:r>
        <w:rPr>
          <w:sz w:val="24"/>
        </w:rPr>
        <w:t>tight</w:t>
      </w:r>
      <w:r>
        <w:rPr>
          <w:spacing w:val="27"/>
          <w:sz w:val="24"/>
        </w:rPr>
        <w:t> </w:t>
      </w:r>
      <w:r>
        <w:rPr>
          <w:sz w:val="24"/>
        </w:rPr>
        <w:t>and</w:t>
      </w:r>
      <w:r>
        <w:rPr>
          <w:spacing w:val="29"/>
          <w:sz w:val="24"/>
        </w:rPr>
        <w:t> </w:t>
      </w:r>
      <w:r>
        <w:rPr>
          <w:sz w:val="24"/>
        </w:rPr>
        <w:t>the</w:t>
      </w:r>
      <w:r>
        <w:rPr>
          <w:spacing w:val="29"/>
          <w:sz w:val="24"/>
        </w:rPr>
        <w:t> </w:t>
      </w:r>
      <w:r>
        <w:rPr>
          <w:sz w:val="24"/>
        </w:rPr>
        <w:t>effect of</w:t>
      </w:r>
      <w:r>
        <w:rPr>
          <w:spacing w:val="40"/>
          <w:sz w:val="24"/>
        </w:rPr>
        <w:t> </w:t>
      </w:r>
      <w:r>
        <w:rPr>
          <w:sz w:val="24"/>
        </w:rPr>
        <w:t>the</w:t>
      </w:r>
      <w:r>
        <w:rPr>
          <w:spacing w:val="40"/>
          <w:sz w:val="24"/>
        </w:rPr>
        <w:t> </w:t>
      </w:r>
      <w:r>
        <w:rPr>
          <w:sz w:val="24"/>
        </w:rPr>
        <w:t>surrounding</w:t>
      </w:r>
      <w:r>
        <w:rPr>
          <w:spacing w:val="40"/>
          <w:sz w:val="24"/>
        </w:rPr>
        <w:t> </w:t>
      </w:r>
      <w:r>
        <w:rPr>
          <w:sz w:val="24"/>
        </w:rPr>
        <w:t>soil</w:t>
      </w:r>
      <w:r>
        <w:rPr>
          <w:spacing w:val="40"/>
          <w:sz w:val="24"/>
        </w:rPr>
        <w:t> </w:t>
      </w:r>
      <w:r>
        <w:rPr>
          <w:sz w:val="24"/>
        </w:rPr>
        <w:t>and</w:t>
      </w:r>
      <w:r>
        <w:rPr>
          <w:spacing w:val="40"/>
          <w:sz w:val="24"/>
        </w:rPr>
        <w:t> </w:t>
      </w:r>
      <w:r>
        <w:rPr>
          <w:sz w:val="24"/>
        </w:rPr>
        <w:t>moisture,</w:t>
      </w:r>
      <w:r>
        <w:rPr>
          <w:spacing w:val="40"/>
          <w:sz w:val="24"/>
        </w:rPr>
        <w:t> </w:t>
      </w:r>
      <w:r>
        <w:rPr>
          <w:sz w:val="24"/>
        </w:rPr>
        <w:t>if</w:t>
      </w:r>
      <w:r>
        <w:rPr>
          <w:spacing w:val="40"/>
          <w:sz w:val="24"/>
        </w:rPr>
        <w:t> </w:t>
      </w:r>
      <w:r>
        <w:rPr>
          <w:sz w:val="24"/>
        </w:rPr>
        <w:t>any,</w:t>
      </w:r>
      <w:r>
        <w:rPr>
          <w:spacing w:val="40"/>
          <w:sz w:val="24"/>
        </w:rPr>
        <w:t> </w:t>
      </w:r>
      <w:r>
        <w:rPr>
          <w:sz w:val="24"/>
        </w:rPr>
        <w:t>should</w:t>
      </w:r>
      <w:r>
        <w:rPr>
          <w:spacing w:val="40"/>
          <w:sz w:val="24"/>
        </w:rPr>
        <w:t> </w:t>
      </w:r>
      <w:r>
        <w:rPr>
          <w:sz w:val="24"/>
        </w:rPr>
        <w:t>be</w:t>
      </w:r>
      <w:r>
        <w:rPr>
          <w:spacing w:val="40"/>
          <w:sz w:val="24"/>
        </w:rPr>
        <w:t> </w:t>
      </w:r>
      <w:r>
        <w:rPr>
          <w:sz w:val="24"/>
        </w:rPr>
        <w:t>taken</w:t>
      </w:r>
      <w:r>
        <w:rPr>
          <w:spacing w:val="40"/>
          <w:sz w:val="24"/>
        </w:rPr>
        <w:t> </w:t>
      </w:r>
      <w:r>
        <w:rPr>
          <w:sz w:val="24"/>
        </w:rPr>
        <w:t>into account</w:t>
      </w:r>
      <w:r>
        <w:rPr>
          <w:spacing w:val="40"/>
          <w:sz w:val="24"/>
        </w:rPr>
        <w:t> </w:t>
      </w:r>
      <w:r>
        <w:rPr>
          <w:sz w:val="24"/>
        </w:rPr>
        <w:t>in</w:t>
      </w:r>
      <w:r>
        <w:rPr>
          <w:spacing w:val="40"/>
          <w:sz w:val="24"/>
        </w:rPr>
        <w:t> </w:t>
      </w:r>
      <w:r>
        <w:rPr>
          <w:sz w:val="24"/>
        </w:rPr>
        <w:t>design</w:t>
      </w:r>
      <w:r>
        <w:rPr>
          <w:spacing w:val="40"/>
          <w:sz w:val="24"/>
        </w:rPr>
        <w:t> </w:t>
      </w:r>
      <w:r>
        <w:rPr>
          <w:sz w:val="24"/>
        </w:rPr>
        <w:t>and</w:t>
      </w:r>
      <w:r>
        <w:rPr>
          <w:spacing w:val="40"/>
          <w:sz w:val="24"/>
        </w:rPr>
        <w:t> </w:t>
      </w:r>
      <w:r>
        <w:rPr>
          <w:sz w:val="24"/>
        </w:rPr>
        <w:t>adequate</w:t>
      </w:r>
      <w:r>
        <w:rPr>
          <w:spacing w:val="40"/>
          <w:sz w:val="24"/>
        </w:rPr>
        <w:t> </w:t>
      </w:r>
      <w:r>
        <w:rPr>
          <w:spacing w:val="11"/>
          <w:sz w:val="24"/>
        </w:rPr>
        <w:t>damp-</w:t>
      </w:r>
      <w:r>
        <w:rPr>
          <w:sz w:val="24"/>
        </w:rPr>
        <w:t>proofing</w:t>
      </w:r>
      <w:r>
        <w:rPr>
          <w:spacing w:val="40"/>
          <w:sz w:val="24"/>
        </w:rPr>
        <w:t> </w:t>
      </w:r>
      <w:r>
        <w:rPr>
          <w:sz w:val="24"/>
        </w:rPr>
        <w:t>treatment</w:t>
      </w:r>
      <w:r>
        <w:rPr>
          <w:spacing w:val="40"/>
          <w:sz w:val="24"/>
        </w:rPr>
        <w:t> </w:t>
      </w:r>
      <w:r>
        <w:rPr>
          <w:sz w:val="24"/>
        </w:rPr>
        <w:t>shall</w:t>
      </w:r>
      <w:r>
        <w:rPr>
          <w:spacing w:val="40"/>
          <w:sz w:val="24"/>
        </w:rPr>
        <w:t> </w:t>
      </w:r>
      <w:r>
        <w:rPr>
          <w:sz w:val="24"/>
        </w:rPr>
        <w:t>be</w:t>
      </w:r>
      <w:r>
        <w:rPr>
          <w:spacing w:val="80"/>
          <w:sz w:val="24"/>
        </w:rPr>
        <w:t> </w:t>
      </w:r>
      <w:r>
        <w:rPr>
          <w:spacing w:val="-2"/>
          <w:sz w:val="24"/>
        </w:rPr>
        <w:t>given.</w:t>
      </w:r>
    </w:p>
    <w:p>
      <w:pPr>
        <w:pStyle w:val="ListParagraph"/>
        <w:numPr>
          <w:ilvl w:val="2"/>
          <w:numId w:val="246"/>
        </w:numPr>
        <w:tabs>
          <w:tab w:pos="1493" w:val="left" w:leader="none"/>
          <w:tab w:pos="1728" w:val="left" w:leader="none"/>
        </w:tabs>
        <w:spacing w:line="240" w:lineRule="auto" w:before="2" w:after="0"/>
        <w:ind w:left="1493" w:right="783" w:hanging="180"/>
        <w:jc w:val="both"/>
        <w:rPr>
          <w:sz w:val="24"/>
        </w:rPr>
      </w:pPr>
      <w:r>
        <w:rPr>
          <w:sz w:val="24"/>
        </w:rPr>
        <w:t>Any access to the basement through a staircase or </w:t>
      </w:r>
      <w:r>
        <w:rPr>
          <w:spacing w:val="10"/>
          <w:sz w:val="24"/>
        </w:rPr>
        <w:t>pedestrian </w:t>
      </w:r>
      <w:r>
        <w:rPr>
          <w:sz w:val="24"/>
        </w:rPr>
        <w:t>ramp</w:t>
      </w:r>
      <w:r>
        <w:rPr>
          <w:spacing w:val="40"/>
          <w:sz w:val="24"/>
        </w:rPr>
        <w:t> </w:t>
      </w:r>
      <w:r>
        <w:rPr>
          <w:sz w:val="24"/>
        </w:rPr>
        <w:t>shall</w:t>
      </w:r>
      <w:r>
        <w:rPr>
          <w:spacing w:val="40"/>
          <w:sz w:val="24"/>
        </w:rPr>
        <w:t> </w:t>
      </w:r>
      <w:r>
        <w:rPr>
          <w:sz w:val="24"/>
        </w:rPr>
        <w:t>meet</w:t>
      </w:r>
      <w:r>
        <w:rPr>
          <w:spacing w:val="40"/>
          <w:sz w:val="24"/>
        </w:rPr>
        <w:t> </w:t>
      </w:r>
      <w:r>
        <w:rPr>
          <w:sz w:val="24"/>
        </w:rPr>
        <w:t>requirements</w:t>
      </w:r>
      <w:r>
        <w:rPr>
          <w:spacing w:val="40"/>
          <w:sz w:val="24"/>
        </w:rPr>
        <w:t> </w:t>
      </w:r>
      <w:r>
        <w:rPr>
          <w:sz w:val="24"/>
        </w:rPr>
        <w:t>of</w:t>
      </w:r>
      <w:r>
        <w:rPr>
          <w:spacing w:val="40"/>
          <w:sz w:val="24"/>
        </w:rPr>
        <w:t> </w:t>
      </w:r>
      <w:r>
        <w:rPr>
          <w:sz w:val="24"/>
        </w:rPr>
        <w:t>clause</w:t>
      </w:r>
      <w:r>
        <w:rPr>
          <w:spacing w:val="9"/>
          <w:sz w:val="24"/>
        </w:rPr>
        <w:t> (16) </w:t>
      </w:r>
      <w:r>
        <w:rPr>
          <w:sz w:val="24"/>
        </w:rPr>
        <w:t>of</w:t>
      </w:r>
      <w:r>
        <w:rPr>
          <w:spacing w:val="40"/>
          <w:sz w:val="24"/>
        </w:rPr>
        <w:t> </w:t>
      </w:r>
      <w:r>
        <w:rPr>
          <w:sz w:val="24"/>
        </w:rPr>
        <w:t>this</w:t>
      </w:r>
      <w:r>
        <w:rPr>
          <w:spacing w:val="40"/>
          <w:sz w:val="24"/>
        </w:rPr>
        <w:t> </w:t>
      </w:r>
      <w:r>
        <w:rPr>
          <w:sz w:val="24"/>
        </w:rPr>
        <w:t>Regulation.</w:t>
      </w:r>
      <w:r>
        <w:rPr>
          <w:spacing w:val="40"/>
          <w:sz w:val="24"/>
        </w:rPr>
        <w:t> </w:t>
      </w:r>
      <w:r>
        <w:rPr>
          <w:sz w:val="24"/>
        </w:rPr>
        <w:t>Open</w:t>
      </w:r>
      <w:r>
        <w:rPr>
          <w:spacing w:val="40"/>
          <w:sz w:val="24"/>
        </w:rPr>
        <w:t> </w:t>
      </w:r>
      <w:r>
        <w:rPr>
          <w:sz w:val="24"/>
        </w:rPr>
        <w:t>ramps may</w:t>
      </w:r>
      <w:r>
        <w:rPr>
          <w:spacing w:val="40"/>
          <w:sz w:val="24"/>
        </w:rPr>
        <w:t> </w:t>
      </w:r>
      <w:r>
        <w:rPr>
          <w:sz w:val="24"/>
        </w:rPr>
        <w:t>be</w:t>
      </w:r>
      <w:r>
        <w:rPr>
          <w:spacing w:val="40"/>
          <w:sz w:val="24"/>
        </w:rPr>
        <w:t> </w:t>
      </w:r>
      <w:r>
        <w:rPr>
          <w:sz w:val="24"/>
        </w:rPr>
        <w:t>permitted</w:t>
      </w:r>
      <w:r>
        <w:rPr>
          <w:spacing w:val="40"/>
          <w:sz w:val="24"/>
        </w:rPr>
        <w:t> </w:t>
      </w:r>
      <w:r>
        <w:rPr>
          <w:sz w:val="24"/>
        </w:rPr>
        <w:t>in</w:t>
      </w:r>
      <w:r>
        <w:rPr>
          <w:spacing w:val="40"/>
          <w:sz w:val="24"/>
        </w:rPr>
        <w:t> </w:t>
      </w:r>
      <w:r>
        <w:rPr>
          <w:sz w:val="24"/>
        </w:rPr>
        <w:t>the</w:t>
      </w:r>
      <w:r>
        <w:rPr>
          <w:spacing w:val="40"/>
          <w:sz w:val="24"/>
        </w:rPr>
        <w:t> </w:t>
      </w:r>
      <w:r>
        <w:rPr>
          <w:sz w:val="24"/>
        </w:rPr>
        <w:t>open</w:t>
      </w:r>
      <w:r>
        <w:rPr>
          <w:spacing w:val="40"/>
          <w:sz w:val="24"/>
        </w:rPr>
        <w:t> </w:t>
      </w:r>
      <w:r>
        <w:rPr>
          <w:sz w:val="24"/>
        </w:rPr>
        <w:t>spaces</w:t>
      </w:r>
      <w:r>
        <w:rPr>
          <w:spacing w:val="40"/>
          <w:sz w:val="24"/>
        </w:rPr>
        <w:t> </w:t>
      </w:r>
      <w:r>
        <w:rPr>
          <w:sz w:val="24"/>
        </w:rPr>
        <w:t>except</w:t>
      </w:r>
      <w:r>
        <w:rPr>
          <w:spacing w:val="40"/>
          <w:sz w:val="24"/>
        </w:rPr>
        <w:t> </w:t>
      </w:r>
      <w:r>
        <w:rPr>
          <w:sz w:val="24"/>
        </w:rPr>
        <w:t>in</w:t>
      </w:r>
      <w:r>
        <w:rPr>
          <w:spacing w:val="40"/>
          <w:sz w:val="24"/>
        </w:rPr>
        <w:t> </w:t>
      </w:r>
      <w:r>
        <w:rPr>
          <w:sz w:val="24"/>
        </w:rPr>
        <w:t>the</w:t>
      </w:r>
      <w:r>
        <w:rPr>
          <w:spacing w:val="40"/>
          <w:sz w:val="24"/>
        </w:rPr>
        <w:t> </w:t>
      </w:r>
      <w:r>
        <w:rPr>
          <w:sz w:val="24"/>
        </w:rPr>
        <w:t>front</w:t>
      </w:r>
      <w:r>
        <w:rPr>
          <w:spacing w:val="40"/>
          <w:sz w:val="24"/>
        </w:rPr>
        <w:t> </w:t>
      </w:r>
      <w:r>
        <w:rPr>
          <w:sz w:val="24"/>
        </w:rPr>
        <w:t>open</w:t>
      </w:r>
      <w:r>
        <w:rPr>
          <w:spacing w:val="40"/>
          <w:sz w:val="24"/>
        </w:rPr>
        <w:t> </w:t>
      </w:r>
      <w:r>
        <w:rPr>
          <w:sz w:val="24"/>
        </w:rPr>
        <w:t>space within plot boundary, subject to </w:t>
      </w:r>
      <w:r>
        <w:rPr>
          <w:spacing w:val="9"/>
          <w:sz w:val="24"/>
        </w:rPr>
        <w:t>(b)</w:t>
      </w:r>
      <w:r>
        <w:rPr>
          <w:spacing w:val="9"/>
          <w:sz w:val="24"/>
        </w:rPr>
        <w:t> </w:t>
      </w:r>
      <w:r>
        <w:rPr>
          <w:sz w:val="24"/>
        </w:rPr>
        <w:t>above and the fire protection </w:t>
      </w:r>
      <w:r>
        <w:rPr>
          <w:spacing w:val="7"/>
          <w:sz w:val="24"/>
        </w:rPr>
        <w:t>requirements.</w:t>
      </w:r>
    </w:p>
    <w:p>
      <w:pPr>
        <w:pStyle w:val="ListParagraph"/>
        <w:numPr>
          <w:ilvl w:val="2"/>
          <w:numId w:val="246"/>
        </w:numPr>
        <w:tabs>
          <w:tab w:pos="1493" w:val="left" w:leader="none"/>
          <w:tab w:pos="1608" w:val="left" w:leader="none"/>
        </w:tabs>
        <w:spacing w:line="240" w:lineRule="auto" w:before="0" w:after="0"/>
        <w:ind w:left="1493" w:right="795" w:hanging="180"/>
        <w:jc w:val="both"/>
        <w:rPr>
          <w:sz w:val="24"/>
        </w:rPr>
      </w:pPr>
      <w:r>
        <w:rPr>
          <w:sz w:val="24"/>
        </w:rPr>
        <w:t>Any access to the basement through vehicular ramps shall meet the requirements</w:t>
      </w:r>
      <w:r>
        <w:rPr>
          <w:spacing w:val="80"/>
          <w:sz w:val="24"/>
        </w:rPr>
        <w:t> </w:t>
      </w:r>
      <w:r>
        <w:rPr>
          <w:sz w:val="24"/>
        </w:rPr>
        <w:t>of</w:t>
      </w:r>
      <w:r>
        <w:rPr>
          <w:spacing w:val="80"/>
          <w:sz w:val="24"/>
        </w:rPr>
        <w:t> </w:t>
      </w:r>
      <w:r>
        <w:rPr>
          <w:sz w:val="24"/>
        </w:rPr>
        <w:t>item,</w:t>
      </w:r>
      <w:r>
        <w:rPr>
          <w:spacing w:val="80"/>
          <w:sz w:val="24"/>
        </w:rPr>
        <w:t> </w:t>
      </w:r>
      <w:r>
        <w:rPr>
          <w:sz w:val="24"/>
        </w:rPr>
        <w:t>(ii)of</w:t>
      </w:r>
      <w:r>
        <w:rPr>
          <w:spacing w:val="80"/>
          <w:sz w:val="24"/>
        </w:rPr>
        <w:t> </w:t>
      </w:r>
      <w:r>
        <w:rPr>
          <w:sz w:val="24"/>
        </w:rPr>
        <w:t>clause</w:t>
      </w:r>
      <w:r>
        <w:rPr>
          <w:spacing w:val="80"/>
          <w:sz w:val="24"/>
        </w:rPr>
        <w:t> </w:t>
      </w:r>
      <w:r>
        <w:rPr>
          <w:sz w:val="24"/>
        </w:rPr>
        <w:t>(16)</w:t>
      </w:r>
      <w:r>
        <w:rPr>
          <w:spacing w:val="80"/>
          <w:sz w:val="24"/>
        </w:rPr>
        <w:t> </w:t>
      </w:r>
      <w:r>
        <w:rPr>
          <w:sz w:val="24"/>
        </w:rPr>
        <w:t>of</w:t>
      </w:r>
      <w:r>
        <w:rPr>
          <w:spacing w:val="80"/>
          <w:sz w:val="24"/>
        </w:rPr>
        <w:t> </w:t>
      </w:r>
      <w:r>
        <w:rPr>
          <w:sz w:val="24"/>
        </w:rPr>
        <w:t>this</w:t>
      </w:r>
      <w:r>
        <w:rPr>
          <w:spacing w:val="80"/>
          <w:sz w:val="24"/>
        </w:rPr>
        <w:t> </w:t>
      </w:r>
      <w:r>
        <w:rPr>
          <w:sz w:val="24"/>
        </w:rPr>
        <w:t>Regulation.</w:t>
      </w:r>
    </w:p>
    <w:p>
      <w:pPr>
        <w:pStyle w:val="ListParagraph"/>
        <w:spacing w:after="0" w:line="240" w:lineRule="auto"/>
        <w:jc w:val="both"/>
        <w:rPr>
          <w:sz w:val="24"/>
        </w:rPr>
        <w:sectPr>
          <w:pgSz w:w="11910" w:h="16840"/>
          <w:pgMar w:header="1058" w:footer="1201" w:top="1500" w:bottom="1400" w:left="360" w:right="360"/>
        </w:sectPr>
      </w:pPr>
    </w:p>
    <w:p>
      <w:pPr>
        <w:pStyle w:val="ListParagraph"/>
        <w:numPr>
          <w:ilvl w:val="0"/>
          <w:numId w:val="246"/>
        </w:numPr>
        <w:tabs>
          <w:tab w:pos="1493" w:val="left" w:leader="none"/>
          <w:tab w:pos="1627" w:val="left" w:leader="none"/>
        </w:tabs>
        <w:spacing w:line="240" w:lineRule="auto" w:before="252" w:after="0"/>
        <w:ind w:left="1493" w:right="789" w:hanging="180"/>
        <w:jc w:val="both"/>
        <w:rPr>
          <w:b/>
          <w:i/>
          <w:sz w:val="22"/>
        </w:rPr>
      </w:pPr>
      <w:r>
        <w:rPr>
          <w:b/>
          <w:i/>
          <w:sz w:val="24"/>
        </w:rPr>
        <w:t>Cabin:</w:t>
      </w:r>
      <w:r>
        <w:rPr>
          <w:b/>
          <w:i/>
          <w:spacing w:val="80"/>
          <w:sz w:val="24"/>
        </w:rPr>
        <w:t> </w:t>
      </w:r>
      <w:r>
        <w:rPr>
          <w:sz w:val="24"/>
        </w:rPr>
        <w:t>Where</w:t>
      </w:r>
      <w:r>
        <w:rPr>
          <w:spacing w:val="76"/>
          <w:sz w:val="24"/>
        </w:rPr>
        <w:t> </w:t>
      </w:r>
      <w:r>
        <w:rPr>
          <w:sz w:val="24"/>
        </w:rPr>
        <w:t>cabins</w:t>
      </w:r>
      <w:r>
        <w:rPr>
          <w:spacing w:val="76"/>
          <w:sz w:val="24"/>
        </w:rPr>
        <w:t> </w:t>
      </w:r>
      <w:r>
        <w:rPr>
          <w:sz w:val="24"/>
        </w:rPr>
        <w:t>are</w:t>
      </w:r>
      <w:r>
        <w:rPr>
          <w:spacing w:val="76"/>
          <w:sz w:val="24"/>
        </w:rPr>
        <w:t> </w:t>
      </w:r>
      <w:r>
        <w:rPr>
          <w:sz w:val="24"/>
        </w:rPr>
        <w:t>provided,</w:t>
      </w:r>
      <w:r>
        <w:rPr>
          <w:spacing w:val="76"/>
          <w:sz w:val="24"/>
        </w:rPr>
        <w:t> </w:t>
      </w:r>
      <w:r>
        <w:rPr>
          <w:sz w:val="24"/>
        </w:rPr>
        <w:t>a</w:t>
      </w:r>
      <w:r>
        <w:rPr>
          <w:spacing w:val="76"/>
          <w:sz w:val="24"/>
        </w:rPr>
        <w:t> </w:t>
      </w:r>
      <w:r>
        <w:rPr>
          <w:sz w:val="24"/>
        </w:rPr>
        <w:t>clear</w:t>
      </w:r>
      <w:r>
        <w:rPr>
          <w:spacing w:val="76"/>
          <w:sz w:val="24"/>
        </w:rPr>
        <w:t> </w:t>
      </w:r>
      <w:r>
        <w:rPr>
          <w:sz w:val="24"/>
        </w:rPr>
        <w:t>passage</w:t>
      </w:r>
      <w:r>
        <w:rPr>
          <w:spacing w:val="76"/>
          <w:sz w:val="24"/>
        </w:rPr>
        <w:t> </w:t>
      </w:r>
      <w:r>
        <w:rPr>
          <w:sz w:val="24"/>
        </w:rPr>
        <w:t>not</w:t>
      </w:r>
      <w:r>
        <w:rPr>
          <w:spacing w:val="76"/>
          <w:sz w:val="24"/>
        </w:rPr>
        <w:t> </w:t>
      </w:r>
      <w:r>
        <w:rPr>
          <w:sz w:val="24"/>
        </w:rPr>
        <w:t>less</w:t>
      </w:r>
      <w:r>
        <w:rPr>
          <w:spacing w:val="76"/>
          <w:sz w:val="24"/>
        </w:rPr>
        <w:t> </w:t>
      </w:r>
      <w:r>
        <w:rPr>
          <w:sz w:val="24"/>
        </w:rPr>
        <w:t>than</w:t>
      </w:r>
      <w:r>
        <w:rPr>
          <w:spacing w:val="76"/>
          <w:sz w:val="24"/>
        </w:rPr>
        <w:t> </w:t>
      </w:r>
      <w:r>
        <w:rPr>
          <w:sz w:val="24"/>
        </w:rPr>
        <w:t>0.9 m</w:t>
      </w:r>
      <w:r>
        <w:rPr>
          <w:spacing w:val="40"/>
          <w:sz w:val="24"/>
        </w:rPr>
        <w:t> </w:t>
      </w:r>
      <w:r>
        <w:rPr>
          <w:sz w:val="24"/>
        </w:rPr>
        <w:t>wide</w:t>
      </w:r>
      <w:r>
        <w:rPr>
          <w:spacing w:val="40"/>
          <w:sz w:val="24"/>
        </w:rPr>
        <w:t> </w:t>
      </w:r>
      <w:r>
        <w:rPr>
          <w:sz w:val="24"/>
        </w:rPr>
        <w:t>will</w:t>
      </w:r>
      <w:r>
        <w:rPr>
          <w:spacing w:val="40"/>
          <w:sz w:val="24"/>
        </w:rPr>
        <w:t> </w:t>
      </w:r>
      <w:r>
        <w:rPr>
          <w:sz w:val="24"/>
        </w:rPr>
        <w:t>be</w:t>
      </w:r>
      <w:r>
        <w:rPr>
          <w:spacing w:val="40"/>
          <w:sz w:val="24"/>
        </w:rPr>
        <w:t> </w:t>
      </w:r>
      <w:r>
        <w:rPr>
          <w:sz w:val="24"/>
        </w:rPr>
        <w:t>maintained.</w:t>
      </w:r>
      <w:r>
        <w:rPr>
          <w:spacing w:val="40"/>
          <w:sz w:val="24"/>
        </w:rPr>
        <w:t>  </w:t>
      </w:r>
      <w:r>
        <w:rPr>
          <w:sz w:val="24"/>
        </w:rPr>
        <w:t>The</w:t>
      </w:r>
      <w:r>
        <w:rPr>
          <w:spacing w:val="40"/>
          <w:sz w:val="24"/>
        </w:rPr>
        <w:t> </w:t>
      </w:r>
      <w:r>
        <w:rPr>
          <w:sz w:val="24"/>
        </w:rPr>
        <w:t>size</w:t>
      </w:r>
      <w:r>
        <w:rPr>
          <w:spacing w:val="40"/>
          <w:sz w:val="24"/>
        </w:rPr>
        <w:t> </w:t>
      </w:r>
      <w:r>
        <w:rPr>
          <w:sz w:val="24"/>
        </w:rPr>
        <w:t>of</w:t>
      </w:r>
      <w:r>
        <w:rPr>
          <w:spacing w:val="40"/>
          <w:sz w:val="24"/>
        </w:rPr>
        <w:t> </w:t>
      </w:r>
      <w:r>
        <w:rPr>
          <w:sz w:val="24"/>
        </w:rPr>
        <w:t>a</w:t>
      </w:r>
      <w:r>
        <w:rPr>
          <w:spacing w:val="40"/>
          <w:sz w:val="24"/>
        </w:rPr>
        <w:t> </w:t>
      </w:r>
      <w:r>
        <w:rPr>
          <w:sz w:val="24"/>
        </w:rPr>
        <w:t>cabin</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80"/>
          <w:sz w:val="24"/>
        </w:rPr>
        <w:t> </w:t>
      </w:r>
      <w:r>
        <w:rPr>
          <w:sz w:val="24"/>
        </w:rPr>
        <w:t>3 sq. m and the distance from the farthest space of cabin to the nearest</w:t>
      </w:r>
      <w:r>
        <w:rPr>
          <w:spacing w:val="40"/>
          <w:sz w:val="24"/>
        </w:rPr>
        <w:t> </w:t>
      </w:r>
      <w:r>
        <w:rPr>
          <w:sz w:val="24"/>
        </w:rPr>
        <w:t>exit</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more</w:t>
      </w:r>
      <w:r>
        <w:rPr>
          <w:spacing w:val="40"/>
          <w:sz w:val="24"/>
        </w:rPr>
        <w:t> </w:t>
      </w:r>
      <w:r>
        <w:rPr>
          <w:sz w:val="24"/>
        </w:rPr>
        <w:t>than18.5</w:t>
      </w:r>
      <w:r>
        <w:rPr>
          <w:spacing w:val="40"/>
          <w:sz w:val="24"/>
        </w:rPr>
        <w:t> </w:t>
      </w:r>
      <w:r>
        <w:rPr>
          <w:sz w:val="24"/>
        </w:rPr>
        <w:t>m.</w:t>
      </w:r>
      <w:r>
        <w:rPr>
          <w:spacing w:val="80"/>
          <w:w w:val="150"/>
          <w:sz w:val="24"/>
        </w:rPr>
        <w:t> </w:t>
      </w:r>
      <w:r>
        <w:rPr>
          <w:sz w:val="24"/>
        </w:rPr>
        <w:t>If</w:t>
      </w:r>
      <w:r>
        <w:rPr>
          <w:spacing w:val="40"/>
          <w:sz w:val="24"/>
        </w:rPr>
        <w:t> </w:t>
      </w:r>
      <w:r>
        <w:rPr>
          <w:sz w:val="24"/>
        </w:rPr>
        <w:t>the</w:t>
      </w:r>
      <w:r>
        <w:rPr>
          <w:spacing w:val="40"/>
          <w:sz w:val="24"/>
        </w:rPr>
        <w:t> </w:t>
      </w:r>
      <w:r>
        <w:rPr>
          <w:sz w:val="24"/>
        </w:rPr>
        <w:t>cabin</w:t>
      </w:r>
      <w:r>
        <w:rPr>
          <w:spacing w:val="40"/>
          <w:sz w:val="24"/>
        </w:rPr>
        <w:t> </w:t>
      </w:r>
      <w:r>
        <w:rPr>
          <w:sz w:val="24"/>
        </w:rPr>
        <w:t>does</w:t>
      </w:r>
      <w:r>
        <w:rPr>
          <w:spacing w:val="40"/>
          <w:sz w:val="24"/>
        </w:rPr>
        <w:t> </w:t>
      </w:r>
      <w:r>
        <w:rPr>
          <w:sz w:val="24"/>
        </w:rPr>
        <w:t>not</w:t>
      </w:r>
      <w:r>
        <w:rPr>
          <w:spacing w:val="40"/>
          <w:sz w:val="24"/>
        </w:rPr>
        <w:t> </w:t>
      </w:r>
      <w:r>
        <w:rPr>
          <w:sz w:val="24"/>
        </w:rPr>
        <w:t>derive</w:t>
      </w:r>
      <w:r>
        <w:rPr>
          <w:spacing w:val="40"/>
          <w:sz w:val="24"/>
        </w:rPr>
        <w:t> </w:t>
      </w:r>
      <w:r>
        <w:rPr>
          <w:sz w:val="24"/>
        </w:rPr>
        <w:t>direct light and ventilation from any open spaces/mechanical means, its maximum</w:t>
      </w:r>
      <w:r>
        <w:rPr>
          <w:spacing w:val="40"/>
          <w:sz w:val="24"/>
        </w:rPr>
        <w:t> </w:t>
      </w:r>
      <w:r>
        <w:rPr>
          <w:sz w:val="24"/>
        </w:rPr>
        <w:t>height</w:t>
      </w:r>
      <w:r>
        <w:rPr>
          <w:spacing w:val="40"/>
          <w:sz w:val="24"/>
        </w:rPr>
        <w:t> </w:t>
      </w:r>
      <w:r>
        <w:rPr>
          <w:sz w:val="24"/>
        </w:rPr>
        <w:t>shall</w:t>
      </w:r>
      <w:r>
        <w:rPr>
          <w:spacing w:val="40"/>
          <w:sz w:val="24"/>
        </w:rPr>
        <w:t> </w:t>
      </w:r>
      <w:r>
        <w:rPr>
          <w:sz w:val="24"/>
        </w:rPr>
        <w:t>be</w:t>
      </w:r>
      <w:r>
        <w:rPr>
          <w:spacing w:val="40"/>
          <w:sz w:val="24"/>
        </w:rPr>
        <w:t> </w:t>
      </w:r>
      <w:r>
        <w:rPr>
          <w:sz w:val="24"/>
        </w:rPr>
        <w:t>2.2</w:t>
      </w:r>
      <w:r>
        <w:rPr>
          <w:spacing w:val="40"/>
          <w:sz w:val="24"/>
        </w:rPr>
        <w:t> </w:t>
      </w:r>
      <w:r>
        <w:rPr>
          <w:sz w:val="24"/>
        </w:rPr>
        <w:t>m.</w:t>
      </w:r>
    </w:p>
    <w:p>
      <w:pPr>
        <w:pStyle w:val="BodyText"/>
        <w:spacing w:before="1"/>
        <w:jc w:val="left"/>
      </w:pPr>
    </w:p>
    <w:p>
      <w:pPr>
        <w:pStyle w:val="ListParagraph"/>
        <w:numPr>
          <w:ilvl w:val="0"/>
          <w:numId w:val="246"/>
        </w:numPr>
        <w:tabs>
          <w:tab w:pos="1493" w:val="left" w:leader="none"/>
          <w:tab w:pos="1651" w:val="left" w:leader="none"/>
        </w:tabs>
        <w:spacing w:line="240" w:lineRule="auto" w:before="0" w:after="0"/>
        <w:ind w:left="1493" w:right="781" w:hanging="180"/>
        <w:jc w:val="both"/>
        <w:rPr>
          <w:b/>
          <w:sz w:val="22"/>
        </w:rPr>
      </w:pPr>
      <w:r>
        <w:rPr>
          <w:b/>
          <w:i/>
          <w:sz w:val="24"/>
        </w:rPr>
        <w:t>Office</w:t>
      </w:r>
      <w:r>
        <w:rPr>
          <w:b/>
          <w:i/>
          <w:spacing w:val="80"/>
          <w:sz w:val="24"/>
        </w:rPr>
        <w:t> </w:t>
      </w:r>
      <w:r>
        <w:rPr>
          <w:b/>
          <w:i/>
          <w:spacing w:val="9"/>
          <w:sz w:val="24"/>
        </w:rPr>
        <w:t>Room:</w:t>
      </w:r>
      <w:r>
        <w:rPr>
          <w:spacing w:val="9"/>
          <w:sz w:val="24"/>
        </w:rPr>
        <w:t>In</w:t>
      </w:r>
      <w:r>
        <w:rPr>
          <w:spacing w:val="80"/>
          <w:sz w:val="24"/>
        </w:rPr>
        <w:t> </w:t>
      </w:r>
      <w:r>
        <w:rPr>
          <w:sz w:val="24"/>
        </w:rPr>
        <w:t>every</w:t>
      </w:r>
      <w:r>
        <w:rPr>
          <w:spacing w:val="80"/>
          <w:sz w:val="24"/>
        </w:rPr>
        <w:t> </w:t>
      </w:r>
      <w:r>
        <w:rPr>
          <w:spacing w:val="9"/>
          <w:sz w:val="24"/>
        </w:rPr>
        <w:t>residential/non-</w:t>
      </w:r>
      <w:r>
        <w:rPr>
          <w:sz w:val="24"/>
        </w:rPr>
        <w:t>residential</w:t>
      </w:r>
      <w:r>
        <w:rPr>
          <w:spacing w:val="80"/>
          <w:sz w:val="24"/>
        </w:rPr>
        <w:t> </w:t>
      </w:r>
      <w:r>
        <w:rPr>
          <w:sz w:val="24"/>
        </w:rPr>
        <w:t>building,</w:t>
      </w:r>
      <w:r>
        <w:rPr>
          <w:spacing w:val="80"/>
          <w:sz w:val="24"/>
        </w:rPr>
        <w:t> </w:t>
      </w:r>
      <w:r>
        <w:rPr>
          <w:sz w:val="24"/>
        </w:rPr>
        <w:t>constructed or proposed to be constructed for the use of a </w:t>
      </w:r>
      <w:r>
        <w:rPr>
          <w:spacing w:val="10"/>
          <w:sz w:val="24"/>
        </w:rPr>
        <w:t>co-</w:t>
      </w:r>
      <w:r>
        <w:rPr>
          <w:sz w:val="24"/>
        </w:rPr>
        <w:t>operative society</w:t>
      </w:r>
      <w:r>
        <w:rPr>
          <w:spacing w:val="40"/>
          <w:sz w:val="24"/>
        </w:rPr>
        <w:t> </w:t>
      </w:r>
      <w:r>
        <w:rPr>
          <w:sz w:val="24"/>
        </w:rPr>
        <w:t>or</w:t>
      </w:r>
      <w:r>
        <w:rPr>
          <w:spacing w:val="40"/>
          <w:sz w:val="24"/>
        </w:rPr>
        <w:t> </w:t>
      </w:r>
      <w:r>
        <w:rPr>
          <w:sz w:val="24"/>
        </w:rPr>
        <w:t>an</w:t>
      </w:r>
      <w:r>
        <w:rPr>
          <w:spacing w:val="40"/>
          <w:sz w:val="24"/>
        </w:rPr>
        <w:t> </w:t>
      </w:r>
      <w:r>
        <w:rPr>
          <w:sz w:val="24"/>
        </w:rPr>
        <w:t>apartment</w:t>
      </w:r>
      <w:r>
        <w:rPr>
          <w:spacing w:val="40"/>
          <w:sz w:val="24"/>
        </w:rPr>
        <w:t> </w:t>
      </w:r>
      <w:r>
        <w:rPr>
          <w:spacing w:val="9"/>
          <w:sz w:val="24"/>
        </w:rPr>
        <w:t>owners’/lessee’s</w:t>
      </w:r>
      <w:r>
        <w:rPr>
          <w:spacing w:val="40"/>
          <w:sz w:val="24"/>
        </w:rPr>
        <w:t> </w:t>
      </w:r>
      <w:r>
        <w:rPr>
          <w:sz w:val="24"/>
        </w:rPr>
        <w:t>association,</w:t>
      </w:r>
      <w:r>
        <w:rPr>
          <w:spacing w:val="40"/>
          <w:sz w:val="24"/>
        </w:rPr>
        <w:t> </w:t>
      </w:r>
      <w:r>
        <w:rPr>
          <w:sz w:val="24"/>
        </w:rPr>
        <w:t>an</w:t>
      </w:r>
      <w:r>
        <w:rPr>
          <w:spacing w:val="40"/>
          <w:sz w:val="24"/>
        </w:rPr>
        <w:t> </w:t>
      </w:r>
      <w:r>
        <w:rPr>
          <w:sz w:val="24"/>
        </w:rPr>
        <w:t>office</w:t>
      </w:r>
      <w:r>
        <w:rPr>
          <w:spacing w:val="40"/>
          <w:sz w:val="24"/>
        </w:rPr>
        <w:t> </w:t>
      </w:r>
      <w:r>
        <w:rPr>
          <w:sz w:val="24"/>
        </w:rPr>
        <w:t>room</w:t>
      </w:r>
      <w:r>
        <w:rPr>
          <w:spacing w:val="40"/>
          <w:sz w:val="24"/>
        </w:rPr>
        <w:t> </w:t>
      </w:r>
      <w:r>
        <w:rPr>
          <w:sz w:val="24"/>
        </w:rPr>
        <w:t>one</w:t>
      </w:r>
      <w:r>
        <w:rPr>
          <w:spacing w:val="40"/>
          <w:sz w:val="24"/>
        </w:rPr>
        <w:t> </w:t>
      </w:r>
      <w:r>
        <w:rPr>
          <w:sz w:val="24"/>
        </w:rPr>
        <w:t>for</w:t>
      </w:r>
      <w:r>
        <w:rPr>
          <w:spacing w:val="40"/>
          <w:sz w:val="24"/>
        </w:rPr>
        <w:t> </w:t>
      </w:r>
      <w:r>
        <w:rPr>
          <w:sz w:val="24"/>
        </w:rPr>
        <w:t>each</w:t>
      </w:r>
      <w:r>
        <w:rPr>
          <w:spacing w:val="40"/>
          <w:sz w:val="24"/>
        </w:rPr>
        <w:t> </w:t>
      </w:r>
      <w:r>
        <w:rPr>
          <w:sz w:val="24"/>
        </w:rPr>
        <w:t>societywill</w:t>
      </w:r>
      <w:r>
        <w:rPr>
          <w:spacing w:val="40"/>
          <w:sz w:val="24"/>
        </w:rPr>
        <w:t> </w:t>
      </w:r>
      <w:r>
        <w:rPr>
          <w:sz w:val="24"/>
        </w:rPr>
        <w:t>be</w:t>
      </w:r>
      <w:r>
        <w:rPr>
          <w:spacing w:val="40"/>
          <w:sz w:val="24"/>
        </w:rPr>
        <w:t> </w:t>
      </w:r>
      <w:r>
        <w:rPr>
          <w:sz w:val="24"/>
        </w:rPr>
        <w:t>permitted</w:t>
      </w:r>
      <w:r>
        <w:rPr>
          <w:spacing w:val="40"/>
          <w:sz w:val="24"/>
        </w:rPr>
        <w:t> </w:t>
      </w:r>
      <w:r>
        <w:rPr>
          <w:sz w:val="24"/>
        </w:rPr>
        <w:t>on</w:t>
      </w:r>
      <w:r>
        <w:rPr>
          <w:spacing w:val="40"/>
          <w:sz w:val="24"/>
        </w:rPr>
        <w:t> </w:t>
      </w:r>
      <w:r>
        <w:rPr>
          <w:position w:val="6"/>
          <w:sz w:val="16"/>
        </w:rPr>
        <w:t>t</w:t>
      </w:r>
      <w:r>
        <w:rPr>
          <w:sz w:val="24"/>
        </w:rPr>
        <w:t>anyfloor</w:t>
      </w:r>
      <w:r>
        <w:rPr>
          <w:spacing w:val="40"/>
          <w:sz w:val="24"/>
        </w:rPr>
        <w:t> </w:t>
      </w:r>
      <w:r>
        <w:rPr>
          <w:sz w:val="24"/>
        </w:rPr>
        <w:t>or</w:t>
      </w:r>
      <w:r>
        <w:rPr>
          <w:spacing w:val="40"/>
          <w:sz w:val="24"/>
        </w:rPr>
        <w:t> </w:t>
      </w:r>
      <w:r>
        <w:rPr>
          <w:sz w:val="24"/>
        </w:rPr>
        <w:t>parking</w:t>
      </w:r>
      <w:r>
        <w:rPr>
          <w:spacing w:val="40"/>
          <w:sz w:val="24"/>
        </w:rPr>
        <w:t> </w:t>
      </w:r>
      <w:r>
        <w:rPr>
          <w:sz w:val="24"/>
        </w:rPr>
        <w:t>floors</w:t>
      </w:r>
      <w:r>
        <w:rPr>
          <w:spacing w:val="40"/>
          <w:sz w:val="24"/>
        </w:rPr>
        <w:t> </w:t>
      </w:r>
      <w:r>
        <w:rPr>
          <w:sz w:val="24"/>
        </w:rPr>
        <w:t>or stilt floor.</w:t>
      </w:r>
      <w:r>
        <w:rPr>
          <w:spacing w:val="80"/>
          <w:sz w:val="24"/>
        </w:rPr>
        <w:t> </w:t>
      </w:r>
      <w:r>
        <w:rPr>
          <w:sz w:val="24"/>
        </w:rPr>
        <w:t>In an already developed property, it may be on an upper floor.The</w:t>
      </w:r>
      <w:r>
        <w:rPr>
          <w:spacing w:val="40"/>
          <w:sz w:val="24"/>
        </w:rPr>
        <w:t> </w:t>
      </w:r>
      <w:r>
        <w:rPr>
          <w:sz w:val="24"/>
        </w:rPr>
        <w:t>area</w:t>
      </w:r>
      <w:r>
        <w:rPr>
          <w:spacing w:val="40"/>
          <w:sz w:val="24"/>
        </w:rPr>
        <w:t> </w:t>
      </w:r>
      <w:r>
        <w:rPr>
          <w:sz w:val="24"/>
        </w:rPr>
        <w:t>of</w:t>
      </w:r>
      <w:r>
        <w:rPr>
          <w:spacing w:val="40"/>
          <w:sz w:val="24"/>
        </w:rPr>
        <w:t> </w:t>
      </w:r>
      <w:r>
        <w:rPr>
          <w:sz w:val="24"/>
        </w:rPr>
        <w:t>the</w:t>
      </w:r>
      <w:r>
        <w:rPr>
          <w:spacing w:val="40"/>
          <w:sz w:val="24"/>
        </w:rPr>
        <w:t> </w:t>
      </w:r>
      <w:r>
        <w:rPr>
          <w:sz w:val="24"/>
        </w:rPr>
        <w:t>room</w:t>
      </w:r>
      <w:r>
        <w:rPr>
          <w:spacing w:val="40"/>
          <w:sz w:val="24"/>
        </w:rPr>
        <w:t> </w:t>
      </w:r>
      <w:r>
        <w:rPr>
          <w:sz w:val="24"/>
        </w:rPr>
        <w:t>inclusive</w:t>
      </w:r>
      <w:r>
        <w:rPr>
          <w:spacing w:val="40"/>
          <w:sz w:val="24"/>
        </w:rPr>
        <w:t> </w:t>
      </w:r>
      <w:r>
        <w:rPr>
          <w:sz w:val="24"/>
        </w:rPr>
        <w:t>of</w:t>
      </w:r>
      <w:r>
        <w:rPr>
          <w:spacing w:val="40"/>
          <w:sz w:val="24"/>
        </w:rPr>
        <w:t> </w:t>
      </w:r>
      <w:r>
        <w:rPr>
          <w:sz w:val="24"/>
        </w:rPr>
        <w:t>toilet</w:t>
      </w:r>
      <w:r>
        <w:rPr>
          <w:spacing w:val="70"/>
          <w:sz w:val="24"/>
        </w:rPr>
        <w:t> </w:t>
      </w:r>
      <w:r>
        <w:rPr>
          <w:sz w:val="24"/>
        </w:rPr>
        <w:t>shall</w:t>
      </w:r>
      <w:r>
        <w:rPr>
          <w:spacing w:val="40"/>
          <w:sz w:val="24"/>
        </w:rPr>
        <w:t> </w:t>
      </w:r>
      <w:r>
        <w:rPr>
          <w:sz w:val="24"/>
        </w:rPr>
        <w:t>be</w:t>
      </w:r>
      <w:r>
        <w:rPr>
          <w:spacing w:val="40"/>
          <w:sz w:val="24"/>
        </w:rPr>
        <w:t> </w:t>
      </w:r>
      <w:r>
        <w:rPr>
          <w:sz w:val="24"/>
        </w:rPr>
        <w:t>limited</w:t>
      </w:r>
      <w:r>
        <w:rPr>
          <w:spacing w:val="40"/>
          <w:sz w:val="24"/>
        </w:rPr>
        <w:t> </w:t>
      </w:r>
      <w:r>
        <w:rPr>
          <w:sz w:val="24"/>
        </w:rPr>
        <w:t>to</w:t>
      </w:r>
      <w:r>
        <w:rPr>
          <w:spacing w:val="40"/>
          <w:sz w:val="24"/>
        </w:rPr>
        <w:t> </w:t>
      </w:r>
      <w:r>
        <w:rPr>
          <w:sz w:val="24"/>
        </w:rPr>
        <w:t>20</w:t>
      </w:r>
      <w:r>
        <w:rPr>
          <w:spacing w:val="40"/>
          <w:sz w:val="24"/>
        </w:rPr>
        <w:t> </w:t>
      </w:r>
      <w:r>
        <w:rPr>
          <w:sz w:val="24"/>
        </w:rPr>
        <w:t>sq. </w:t>
      </w:r>
      <w:r>
        <w:rPr>
          <w:spacing w:val="-6"/>
          <w:sz w:val="24"/>
        </w:rPr>
        <w:t>m.</w:t>
      </w:r>
    </w:p>
    <w:p>
      <w:pPr>
        <w:pStyle w:val="BodyText"/>
        <w:spacing w:before="1"/>
        <w:ind w:left="1493" w:right="790" w:hanging="180"/>
      </w:pPr>
      <w:r>
        <w:rPr>
          <w:b/>
        </w:rPr>
        <w:t>(10)</w:t>
      </w:r>
      <w:r>
        <w:rPr/>
        <w:t>(a) </w:t>
      </w:r>
      <w:r>
        <w:rPr>
          <w:b/>
          <w:i/>
        </w:rPr>
        <w:t>Letter Box Room: </w:t>
      </w:r>
      <w:r>
        <w:rPr/>
        <w:t>A separate letter box room of appropriate dimensions</w:t>
      </w:r>
      <w:r>
        <w:rPr>
          <w:spacing w:val="40"/>
        </w:rPr>
        <w:t> </w:t>
      </w:r>
      <w:r>
        <w:rPr/>
        <w:t>shall</w:t>
      </w:r>
      <w:r>
        <w:rPr>
          <w:spacing w:val="40"/>
        </w:rPr>
        <w:t> </w:t>
      </w:r>
      <w:r>
        <w:rPr/>
        <w:t>be</w:t>
      </w:r>
      <w:r>
        <w:rPr>
          <w:spacing w:val="40"/>
        </w:rPr>
        <w:t> </w:t>
      </w:r>
      <w:r>
        <w:rPr/>
        <w:t>provided</w:t>
      </w:r>
      <w:r>
        <w:rPr>
          <w:spacing w:val="40"/>
        </w:rPr>
        <w:t> </w:t>
      </w:r>
      <w:r>
        <w:rPr/>
        <w:t>on</w:t>
      </w:r>
      <w:r>
        <w:rPr>
          <w:spacing w:val="40"/>
        </w:rPr>
        <w:t> </w:t>
      </w:r>
      <w:r>
        <w:rPr/>
        <w:t>the</w:t>
      </w:r>
      <w:r>
        <w:rPr>
          <w:spacing w:val="40"/>
        </w:rPr>
        <w:t> </w:t>
      </w:r>
      <w:r>
        <w:rPr/>
        <w:t>ground</w:t>
      </w:r>
      <w:r>
        <w:rPr>
          <w:spacing w:val="40"/>
        </w:rPr>
        <w:t> </w:t>
      </w:r>
      <w:r>
        <w:rPr/>
        <w:t>floor</w:t>
      </w:r>
      <w:r>
        <w:rPr>
          <w:spacing w:val="40"/>
        </w:rPr>
        <w:t> </w:t>
      </w:r>
      <w:r>
        <w:rPr/>
        <w:t>/stilt</w:t>
      </w:r>
      <w:r>
        <w:rPr>
          <w:spacing w:val="40"/>
        </w:rPr>
        <w:t> </w:t>
      </w:r>
      <w:r>
        <w:rPr/>
        <w:t>floor/over podium or any other convenient location in residential, commercial and industrial</w:t>
      </w:r>
      <w:r>
        <w:rPr>
          <w:spacing w:val="40"/>
        </w:rPr>
        <w:t> </w:t>
      </w:r>
      <w:r>
        <w:rPr/>
        <w:t>occupancy</w:t>
      </w:r>
      <w:r>
        <w:rPr>
          <w:spacing w:val="40"/>
        </w:rPr>
        <w:t> </w:t>
      </w:r>
      <w:r>
        <w:rPr/>
        <w:t>in</w:t>
      </w:r>
      <w:r>
        <w:rPr>
          <w:spacing w:val="40"/>
        </w:rPr>
        <w:t> </w:t>
      </w:r>
      <w:r>
        <w:rPr/>
        <w:t>each</w:t>
      </w:r>
      <w:r>
        <w:rPr>
          <w:spacing w:val="40"/>
        </w:rPr>
        <w:t> </w:t>
      </w:r>
      <w:r>
        <w:rPr>
          <w:spacing w:val="9"/>
        </w:rPr>
        <w:t>wing.</w:t>
      </w:r>
    </w:p>
    <w:p>
      <w:pPr>
        <w:pStyle w:val="ListParagraph"/>
        <w:numPr>
          <w:ilvl w:val="0"/>
          <w:numId w:val="254"/>
        </w:numPr>
        <w:tabs>
          <w:tab w:pos="1493" w:val="left" w:leader="none"/>
          <w:tab w:pos="1632" w:val="left" w:leader="none"/>
        </w:tabs>
        <w:spacing w:line="242" w:lineRule="auto" w:before="239" w:after="0"/>
        <w:ind w:left="1493" w:right="776" w:hanging="180"/>
        <w:jc w:val="both"/>
        <w:rPr>
          <w:sz w:val="24"/>
        </w:rPr>
      </w:pPr>
      <w:r>
        <w:rPr>
          <w:b/>
          <w:i/>
          <w:sz w:val="24"/>
        </w:rPr>
        <w:t>Letter</w:t>
      </w:r>
      <w:r>
        <w:rPr>
          <w:b/>
          <w:i/>
          <w:spacing w:val="80"/>
          <w:sz w:val="24"/>
        </w:rPr>
        <w:t> </w:t>
      </w:r>
      <w:r>
        <w:rPr>
          <w:b/>
          <w:i/>
          <w:sz w:val="24"/>
        </w:rPr>
        <w:t>Boxes</w:t>
      </w:r>
      <w:r>
        <w:rPr>
          <w:sz w:val="24"/>
        </w:rPr>
        <w:t>-</w:t>
      </w:r>
      <w:r>
        <w:rPr>
          <w:spacing w:val="80"/>
          <w:sz w:val="24"/>
        </w:rPr>
        <w:t> </w:t>
      </w:r>
      <w:r>
        <w:rPr>
          <w:sz w:val="24"/>
        </w:rPr>
        <w:t>Letter</w:t>
      </w:r>
      <w:r>
        <w:rPr>
          <w:spacing w:val="80"/>
          <w:sz w:val="24"/>
        </w:rPr>
        <w:t> </w:t>
      </w:r>
      <w:r>
        <w:rPr>
          <w:sz w:val="24"/>
        </w:rPr>
        <w:t>boxes</w:t>
      </w:r>
      <w:r>
        <w:rPr>
          <w:spacing w:val="80"/>
          <w:sz w:val="24"/>
        </w:rPr>
        <w:t> </w:t>
      </w:r>
      <w:r>
        <w:rPr>
          <w:sz w:val="24"/>
        </w:rPr>
        <w:t>of</w:t>
      </w:r>
      <w:r>
        <w:rPr>
          <w:spacing w:val="80"/>
          <w:sz w:val="24"/>
        </w:rPr>
        <w:t> </w:t>
      </w:r>
      <w:r>
        <w:rPr>
          <w:sz w:val="24"/>
        </w:rPr>
        <w:t>appropriate</w:t>
      </w:r>
      <w:r>
        <w:rPr>
          <w:spacing w:val="80"/>
          <w:sz w:val="24"/>
        </w:rPr>
        <w:t> </w:t>
      </w:r>
      <w:r>
        <w:rPr>
          <w:sz w:val="24"/>
        </w:rPr>
        <w:t>dimensions</w:t>
      </w:r>
      <w:r>
        <w:rPr>
          <w:spacing w:val="80"/>
          <w:sz w:val="24"/>
        </w:rPr>
        <w:t> </w:t>
      </w:r>
      <w:r>
        <w:rPr>
          <w:sz w:val="24"/>
        </w:rPr>
        <w:t>shall</w:t>
      </w:r>
      <w:r>
        <w:rPr>
          <w:spacing w:val="80"/>
          <w:sz w:val="24"/>
        </w:rPr>
        <w:t> </w:t>
      </w:r>
      <w:r>
        <w:rPr>
          <w:sz w:val="24"/>
        </w:rPr>
        <w:t>be provided at a convenient location on the ground floor/stilt </w:t>
      </w:r>
      <w:r>
        <w:rPr>
          <w:spacing w:val="9"/>
          <w:sz w:val="24"/>
        </w:rPr>
        <w:t>floor/over </w:t>
      </w:r>
      <w:r>
        <w:rPr>
          <w:sz w:val="24"/>
        </w:rPr>
        <w:t>podium or any other convenient location for every unit of residential, commercial</w:t>
      </w:r>
      <w:r>
        <w:rPr>
          <w:spacing w:val="80"/>
          <w:sz w:val="24"/>
        </w:rPr>
        <w:t> </w:t>
      </w:r>
      <w:r>
        <w:rPr>
          <w:sz w:val="24"/>
        </w:rPr>
        <w:t>and</w:t>
      </w:r>
      <w:r>
        <w:rPr>
          <w:spacing w:val="80"/>
          <w:sz w:val="24"/>
        </w:rPr>
        <w:t> </w:t>
      </w:r>
      <w:r>
        <w:rPr>
          <w:sz w:val="24"/>
        </w:rPr>
        <w:t>industrial</w:t>
      </w:r>
      <w:r>
        <w:rPr>
          <w:spacing w:val="80"/>
          <w:sz w:val="24"/>
        </w:rPr>
        <w:t> </w:t>
      </w:r>
      <w:r>
        <w:rPr>
          <w:sz w:val="24"/>
        </w:rPr>
        <w:t>occupancy</w:t>
      </w:r>
      <w:r>
        <w:rPr>
          <w:spacing w:val="80"/>
          <w:sz w:val="24"/>
        </w:rPr>
        <w:t> </w:t>
      </w:r>
      <w:r>
        <w:rPr>
          <w:sz w:val="24"/>
        </w:rPr>
        <w:t>in</w:t>
      </w:r>
      <w:r>
        <w:rPr>
          <w:spacing w:val="80"/>
          <w:sz w:val="24"/>
        </w:rPr>
        <w:t> </w:t>
      </w:r>
      <w:r>
        <w:rPr>
          <w:sz w:val="24"/>
        </w:rPr>
        <w:t>each</w:t>
      </w:r>
      <w:r>
        <w:rPr>
          <w:spacing w:val="80"/>
          <w:sz w:val="24"/>
        </w:rPr>
        <w:t> </w:t>
      </w:r>
      <w:r>
        <w:rPr>
          <w:sz w:val="24"/>
        </w:rPr>
        <w:t>wing.</w:t>
      </w:r>
    </w:p>
    <w:p>
      <w:pPr>
        <w:pStyle w:val="ListParagraph"/>
        <w:numPr>
          <w:ilvl w:val="0"/>
          <w:numId w:val="255"/>
        </w:numPr>
        <w:tabs>
          <w:tab w:pos="1493" w:val="left" w:leader="none"/>
          <w:tab w:pos="1800" w:val="left" w:leader="none"/>
        </w:tabs>
        <w:spacing w:line="240" w:lineRule="auto" w:before="230" w:after="0"/>
        <w:ind w:left="1493" w:right="776" w:hanging="180"/>
        <w:jc w:val="both"/>
        <w:rPr>
          <w:sz w:val="24"/>
        </w:rPr>
      </w:pPr>
      <w:r>
        <w:rPr>
          <w:b/>
          <w:i/>
          <w:sz w:val="24"/>
        </w:rPr>
        <w:t>Electric</w:t>
      </w:r>
      <w:r>
        <w:rPr>
          <w:b/>
          <w:i/>
          <w:spacing w:val="80"/>
          <w:w w:val="150"/>
          <w:sz w:val="24"/>
        </w:rPr>
        <w:t> </w:t>
      </w:r>
      <w:r>
        <w:rPr>
          <w:b/>
          <w:i/>
          <w:sz w:val="24"/>
        </w:rPr>
        <w:t>Meter/Service</w:t>
      </w:r>
      <w:r>
        <w:rPr>
          <w:b/>
          <w:i/>
          <w:spacing w:val="80"/>
          <w:w w:val="150"/>
          <w:sz w:val="24"/>
        </w:rPr>
        <w:t> </w:t>
      </w:r>
      <w:r>
        <w:rPr>
          <w:b/>
          <w:i/>
          <w:sz w:val="24"/>
        </w:rPr>
        <w:t>UtilityRoom:</w:t>
      </w:r>
      <w:r>
        <w:rPr>
          <w:b/>
          <w:i/>
          <w:spacing w:val="80"/>
          <w:w w:val="150"/>
          <w:sz w:val="24"/>
        </w:rPr>
        <w:t> </w:t>
      </w:r>
      <w:r>
        <w:rPr>
          <w:sz w:val="24"/>
        </w:rPr>
        <w:t>An</w:t>
      </w:r>
      <w:r>
        <w:rPr>
          <w:spacing w:val="80"/>
          <w:w w:val="150"/>
          <w:sz w:val="24"/>
        </w:rPr>
        <w:t> </w:t>
      </w:r>
      <w:r>
        <w:rPr>
          <w:sz w:val="24"/>
        </w:rPr>
        <w:t>independent</w:t>
      </w:r>
      <w:r>
        <w:rPr>
          <w:spacing w:val="80"/>
          <w:w w:val="150"/>
          <w:sz w:val="24"/>
        </w:rPr>
        <w:t> </w:t>
      </w:r>
      <w:r>
        <w:rPr>
          <w:sz w:val="24"/>
        </w:rPr>
        <w:t>and ventilated</w:t>
      </w:r>
      <w:r>
        <w:rPr>
          <w:spacing w:val="80"/>
          <w:sz w:val="24"/>
        </w:rPr>
        <w:t> </w:t>
      </w:r>
      <w:r>
        <w:rPr>
          <w:sz w:val="24"/>
        </w:rPr>
        <w:t>Electric</w:t>
      </w:r>
      <w:r>
        <w:rPr>
          <w:spacing w:val="80"/>
          <w:sz w:val="24"/>
        </w:rPr>
        <w:t> </w:t>
      </w:r>
      <w:r>
        <w:rPr>
          <w:sz w:val="24"/>
        </w:rPr>
        <w:t>meter/Service</w:t>
      </w:r>
      <w:r>
        <w:rPr>
          <w:spacing w:val="80"/>
          <w:sz w:val="24"/>
        </w:rPr>
        <w:t> </w:t>
      </w:r>
      <w:r>
        <w:rPr>
          <w:sz w:val="24"/>
        </w:rPr>
        <w:t>utility</w:t>
      </w:r>
      <w:r>
        <w:rPr>
          <w:spacing w:val="80"/>
          <w:sz w:val="24"/>
        </w:rPr>
        <w:t> </w:t>
      </w:r>
      <w:r>
        <w:rPr>
          <w:sz w:val="24"/>
        </w:rPr>
        <w:t>room</w:t>
      </w:r>
      <w:r>
        <w:rPr>
          <w:spacing w:val="80"/>
          <w:sz w:val="24"/>
        </w:rPr>
        <w:t> </w:t>
      </w:r>
      <w:r>
        <w:rPr>
          <w:sz w:val="24"/>
        </w:rPr>
        <w:t>directly</w:t>
      </w:r>
      <w:r>
        <w:rPr>
          <w:spacing w:val="80"/>
          <w:sz w:val="24"/>
        </w:rPr>
        <w:t> </w:t>
      </w:r>
      <w:r>
        <w:rPr>
          <w:sz w:val="24"/>
        </w:rPr>
        <w:t>accessible</w:t>
      </w:r>
      <w:r>
        <w:rPr>
          <w:spacing w:val="80"/>
          <w:sz w:val="24"/>
        </w:rPr>
        <w:t> </w:t>
      </w:r>
      <w:r>
        <w:rPr>
          <w:sz w:val="24"/>
        </w:rPr>
        <w:t>from the outside common areas shall be provided on ground floor and/or on upper </w:t>
      </w:r>
      <w:r>
        <w:rPr>
          <w:spacing w:val="9"/>
          <w:sz w:val="24"/>
        </w:rPr>
        <w:t>floors/Podium/Parking </w:t>
      </w:r>
      <w:r>
        <w:rPr>
          <w:sz w:val="24"/>
        </w:rPr>
        <w:t>floor and in the first basement floor with properventilation, according to the requirements of the electric supply undertaking.</w:t>
      </w:r>
      <w:r>
        <w:rPr>
          <w:spacing w:val="40"/>
          <w:sz w:val="24"/>
        </w:rPr>
        <w:t>  </w:t>
      </w:r>
      <w:r>
        <w:rPr>
          <w:sz w:val="24"/>
        </w:rPr>
        <w:t>The</w:t>
      </w:r>
      <w:r>
        <w:rPr>
          <w:spacing w:val="40"/>
          <w:sz w:val="24"/>
        </w:rPr>
        <w:t> </w:t>
      </w:r>
      <w:r>
        <w:rPr>
          <w:sz w:val="24"/>
        </w:rPr>
        <w:t>door</w:t>
      </w:r>
      <w:r>
        <w:rPr>
          <w:spacing w:val="40"/>
          <w:sz w:val="24"/>
        </w:rPr>
        <w:t> </w:t>
      </w:r>
      <w:r>
        <w:rPr>
          <w:sz w:val="24"/>
        </w:rPr>
        <w:t>to</w:t>
      </w:r>
      <w:r>
        <w:rPr>
          <w:spacing w:val="40"/>
          <w:sz w:val="24"/>
        </w:rPr>
        <w:t> </w:t>
      </w:r>
      <w:r>
        <w:rPr>
          <w:sz w:val="24"/>
        </w:rPr>
        <w:t>the</w:t>
      </w:r>
      <w:r>
        <w:rPr>
          <w:spacing w:val="40"/>
          <w:sz w:val="24"/>
        </w:rPr>
        <w:t> </w:t>
      </w:r>
      <w:r>
        <w:rPr>
          <w:sz w:val="24"/>
        </w:rPr>
        <w:t>room</w:t>
      </w:r>
      <w:r>
        <w:rPr>
          <w:spacing w:val="40"/>
          <w:sz w:val="24"/>
        </w:rPr>
        <w:t> </w:t>
      </w:r>
      <w:r>
        <w:rPr>
          <w:sz w:val="24"/>
        </w:rPr>
        <w:t>shall</w:t>
      </w:r>
      <w:r>
        <w:rPr>
          <w:spacing w:val="40"/>
          <w:sz w:val="24"/>
        </w:rPr>
        <w:t> </w:t>
      </w:r>
      <w:r>
        <w:rPr>
          <w:sz w:val="24"/>
        </w:rPr>
        <w:t>have</w:t>
      </w:r>
      <w:r>
        <w:rPr>
          <w:spacing w:val="40"/>
          <w:sz w:val="24"/>
        </w:rPr>
        <w:t> </w:t>
      </w:r>
      <w:r>
        <w:rPr>
          <w:sz w:val="24"/>
        </w:rPr>
        <w:t>fire</w:t>
      </w:r>
      <w:r>
        <w:rPr>
          <w:spacing w:val="40"/>
          <w:sz w:val="24"/>
        </w:rPr>
        <w:t> </w:t>
      </w:r>
      <w:r>
        <w:rPr>
          <w:sz w:val="24"/>
        </w:rPr>
        <w:t>resistance</w:t>
      </w:r>
      <w:r>
        <w:rPr>
          <w:spacing w:val="40"/>
          <w:sz w:val="24"/>
        </w:rPr>
        <w:t> </w:t>
      </w:r>
      <w:r>
        <w:rPr>
          <w:sz w:val="24"/>
        </w:rPr>
        <w:t>of</w:t>
      </w:r>
      <w:r>
        <w:rPr>
          <w:spacing w:val="40"/>
          <w:sz w:val="24"/>
        </w:rPr>
        <w:t> </w:t>
      </w:r>
      <w:r>
        <w:rPr>
          <w:spacing w:val="9"/>
          <w:sz w:val="24"/>
        </w:rPr>
        <w:t>not</w:t>
      </w:r>
      <w:r>
        <w:rPr>
          <w:spacing w:val="80"/>
          <w:sz w:val="24"/>
        </w:rPr>
        <w:t> </w:t>
      </w:r>
      <w:r>
        <w:rPr>
          <w:sz w:val="24"/>
        </w:rPr>
        <w:t>less than two </w:t>
      </w:r>
      <w:r>
        <w:rPr>
          <w:spacing w:val="9"/>
          <w:sz w:val="24"/>
        </w:rPr>
        <w:t>hours.</w:t>
      </w:r>
    </w:p>
    <w:p>
      <w:pPr>
        <w:pStyle w:val="ListParagraph"/>
        <w:numPr>
          <w:ilvl w:val="0"/>
          <w:numId w:val="255"/>
        </w:numPr>
        <w:tabs>
          <w:tab w:pos="1493" w:val="left" w:leader="none"/>
          <w:tab w:pos="1915" w:val="left" w:leader="none"/>
        </w:tabs>
        <w:spacing w:line="240" w:lineRule="auto" w:before="241" w:after="0"/>
        <w:ind w:left="1493" w:right="768" w:hanging="180"/>
        <w:jc w:val="both"/>
        <w:rPr>
          <w:sz w:val="24"/>
        </w:rPr>
      </w:pPr>
      <w:r>
        <w:rPr>
          <w:b/>
          <w:i/>
          <w:sz w:val="24"/>
        </w:rPr>
        <w:t>Refuse Chute/Garbage Chute: </w:t>
      </w:r>
      <w:r>
        <w:rPr>
          <w:sz w:val="24"/>
        </w:rPr>
        <w:t>In all residential buildings, refuse chutes/garbage chute may be provided with openings on each floor or on mid-landing. Design and specifications of refuse chutes shall be in accordance with provisions of IS 6924.</w:t>
      </w:r>
    </w:p>
    <w:p>
      <w:pPr>
        <w:pStyle w:val="ListParagraph"/>
        <w:numPr>
          <w:ilvl w:val="0"/>
          <w:numId w:val="255"/>
        </w:numPr>
        <w:tabs>
          <w:tab w:pos="1493" w:val="left" w:leader="none"/>
          <w:tab w:pos="1927" w:val="left" w:leader="none"/>
        </w:tabs>
        <w:spacing w:line="240" w:lineRule="auto" w:before="239" w:after="0"/>
        <w:ind w:left="1493" w:right="790" w:hanging="180"/>
        <w:jc w:val="both"/>
        <w:rPr>
          <w:sz w:val="24"/>
        </w:rPr>
      </w:pPr>
      <w:r>
        <w:rPr>
          <w:b/>
          <w:i/>
          <w:sz w:val="24"/>
        </w:rPr>
        <w:t>Corridor:</w:t>
      </w:r>
      <w:r>
        <w:rPr>
          <w:b/>
          <w:i/>
          <w:spacing w:val="40"/>
          <w:sz w:val="24"/>
        </w:rPr>
        <w:t> </w:t>
      </w:r>
      <w:r>
        <w:rPr>
          <w:sz w:val="24"/>
        </w:rPr>
        <w:t>The</w:t>
      </w:r>
      <w:r>
        <w:rPr>
          <w:spacing w:val="40"/>
          <w:sz w:val="24"/>
        </w:rPr>
        <w:t> </w:t>
      </w:r>
      <w:r>
        <w:rPr>
          <w:sz w:val="24"/>
        </w:rPr>
        <w:t>minimum</w:t>
      </w:r>
      <w:r>
        <w:rPr>
          <w:spacing w:val="40"/>
          <w:sz w:val="24"/>
        </w:rPr>
        <w:t> </w:t>
      </w:r>
      <w:r>
        <w:rPr>
          <w:sz w:val="24"/>
        </w:rPr>
        <w:t>width</w:t>
      </w:r>
      <w:r>
        <w:rPr>
          <w:spacing w:val="40"/>
          <w:sz w:val="24"/>
        </w:rPr>
        <w:t> </w:t>
      </w:r>
      <w:r>
        <w:rPr>
          <w:sz w:val="24"/>
        </w:rPr>
        <w:t>of</w:t>
      </w:r>
      <w:r>
        <w:rPr>
          <w:spacing w:val="40"/>
          <w:sz w:val="24"/>
        </w:rPr>
        <w:t> </w:t>
      </w:r>
      <w:r>
        <w:rPr>
          <w:sz w:val="24"/>
        </w:rPr>
        <w:t>a</w:t>
      </w:r>
      <w:r>
        <w:rPr>
          <w:spacing w:val="40"/>
          <w:sz w:val="24"/>
        </w:rPr>
        <w:t> </w:t>
      </w:r>
      <w:r>
        <w:rPr>
          <w:sz w:val="24"/>
        </w:rPr>
        <w:t>common</w:t>
      </w:r>
      <w:r>
        <w:rPr>
          <w:spacing w:val="40"/>
          <w:sz w:val="24"/>
        </w:rPr>
        <w:t> </w:t>
      </w:r>
      <w:r>
        <w:rPr>
          <w:sz w:val="24"/>
        </w:rPr>
        <w:t>corridor</w:t>
      </w:r>
      <w:r>
        <w:rPr>
          <w:spacing w:val="40"/>
          <w:sz w:val="24"/>
        </w:rPr>
        <w:t> </w:t>
      </w:r>
      <w:r>
        <w:rPr>
          <w:sz w:val="24"/>
        </w:rPr>
        <w:t>shall</w:t>
      </w:r>
      <w:r>
        <w:rPr>
          <w:spacing w:val="40"/>
          <w:sz w:val="24"/>
        </w:rPr>
        <w:t> </w:t>
      </w:r>
      <w:r>
        <w:rPr>
          <w:sz w:val="24"/>
        </w:rPr>
        <w:t>be</w:t>
      </w:r>
      <w:r>
        <w:rPr>
          <w:spacing w:val="40"/>
          <w:sz w:val="24"/>
        </w:rPr>
        <w:t> </w:t>
      </w:r>
      <w:r>
        <w:rPr>
          <w:sz w:val="24"/>
        </w:rPr>
        <w:t>as shown</w:t>
      </w:r>
      <w:r>
        <w:rPr>
          <w:spacing w:val="40"/>
          <w:sz w:val="24"/>
        </w:rPr>
        <w:t> </w:t>
      </w:r>
      <w:r>
        <w:rPr>
          <w:sz w:val="24"/>
        </w:rPr>
        <w:t>in</w:t>
      </w:r>
      <w:r>
        <w:rPr>
          <w:spacing w:val="40"/>
          <w:sz w:val="24"/>
        </w:rPr>
        <w:t> </w:t>
      </w:r>
      <w:r>
        <w:rPr>
          <w:sz w:val="24"/>
        </w:rPr>
        <w:t>Table</w:t>
      </w:r>
      <w:r>
        <w:rPr>
          <w:spacing w:val="40"/>
          <w:sz w:val="24"/>
        </w:rPr>
        <w:t> </w:t>
      </w:r>
      <w:r>
        <w:rPr>
          <w:sz w:val="24"/>
        </w:rPr>
        <w:t>No</w:t>
      </w:r>
      <w:r>
        <w:rPr>
          <w:spacing w:val="40"/>
          <w:sz w:val="24"/>
        </w:rPr>
        <w:t> </w:t>
      </w:r>
      <w:r>
        <w:rPr>
          <w:sz w:val="24"/>
        </w:rPr>
        <w:t>16</w:t>
      </w:r>
      <w:r>
        <w:rPr>
          <w:spacing w:val="40"/>
          <w:sz w:val="24"/>
        </w:rPr>
        <w:t> </w:t>
      </w:r>
      <w:r>
        <w:rPr>
          <w:sz w:val="24"/>
        </w:rPr>
        <w:t>hereunder.</w:t>
      </w:r>
      <w:r>
        <w:rPr>
          <w:spacing w:val="40"/>
          <w:sz w:val="24"/>
        </w:rPr>
        <w:t> </w:t>
      </w:r>
      <w:r>
        <w:rPr>
          <w:sz w:val="24"/>
        </w:rPr>
        <w:t>Provided</w:t>
      </w:r>
      <w:r>
        <w:rPr>
          <w:spacing w:val="40"/>
          <w:sz w:val="24"/>
        </w:rPr>
        <w:t> </w:t>
      </w:r>
      <w:r>
        <w:rPr>
          <w:sz w:val="24"/>
        </w:rPr>
        <w:t>that</w:t>
      </w:r>
      <w:r>
        <w:rPr>
          <w:spacing w:val="40"/>
          <w:sz w:val="24"/>
        </w:rPr>
        <w:t> </w:t>
      </w:r>
      <w:r>
        <w:rPr>
          <w:sz w:val="24"/>
        </w:rPr>
        <w:t>any</w:t>
      </w:r>
      <w:r>
        <w:rPr>
          <w:spacing w:val="40"/>
          <w:sz w:val="24"/>
        </w:rPr>
        <w:t> </w:t>
      </w:r>
      <w:r>
        <w:rPr>
          <w:sz w:val="24"/>
        </w:rPr>
        <w:t>corridor</w:t>
      </w:r>
      <w:r>
        <w:rPr>
          <w:spacing w:val="40"/>
          <w:sz w:val="24"/>
        </w:rPr>
        <w:t> </w:t>
      </w:r>
      <w:r>
        <w:rPr>
          <w:sz w:val="24"/>
        </w:rPr>
        <w:t>identified as an exit (vide Regulations 47) shall also conform the requirements </w:t>
      </w:r>
      <w:r>
        <w:rPr>
          <w:spacing w:val="-2"/>
          <w:sz w:val="24"/>
        </w:rPr>
        <w:t>therein.</w:t>
      </w:r>
    </w:p>
    <w:p>
      <w:pPr>
        <w:pStyle w:val="BodyText"/>
        <w:spacing w:before="1"/>
        <w:jc w:val="left"/>
      </w:pPr>
    </w:p>
    <w:p>
      <w:pPr>
        <w:pStyle w:val="ListParagraph"/>
        <w:numPr>
          <w:ilvl w:val="0"/>
          <w:numId w:val="255"/>
        </w:numPr>
        <w:tabs>
          <w:tab w:pos="1493" w:val="left" w:leader="none"/>
          <w:tab w:pos="1917" w:val="left" w:leader="none"/>
        </w:tabs>
        <w:spacing w:line="240" w:lineRule="auto" w:before="0" w:after="0"/>
        <w:ind w:left="1493" w:right="780" w:hanging="180"/>
        <w:jc w:val="both"/>
        <w:rPr>
          <w:sz w:val="24"/>
        </w:rPr>
      </w:pPr>
      <w:r>
        <w:rPr>
          <w:b/>
          <w:i/>
          <w:sz w:val="24"/>
        </w:rPr>
        <w:t>Door:</w:t>
      </w:r>
      <w:r>
        <w:rPr>
          <w:b/>
          <w:i/>
          <w:spacing w:val="40"/>
          <w:sz w:val="24"/>
        </w:rPr>
        <w:t> </w:t>
      </w:r>
      <w:r>
        <w:rPr>
          <w:sz w:val="24"/>
        </w:rPr>
        <w:t>Doors shall conform to the under mentioned provisions.In addition, in order to satisfy </w:t>
      </w:r>
      <w:r>
        <w:rPr>
          <w:spacing w:val="10"/>
          <w:sz w:val="24"/>
        </w:rPr>
        <w:t>fire-</w:t>
      </w:r>
      <w:r>
        <w:rPr>
          <w:sz w:val="24"/>
        </w:rPr>
        <w:t>fighting requirements, any doorway identified as an exit shall conform to the requirements stipulated in Regulation 47,</w:t>
      </w:r>
    </w:p>
    <w:p>
      <w:pPr>
        <w:pStyle w:val="ListParagraph"/>
        <w:spacing w:after="0" w:line="240" w:lineRule="auto"/>
        <w:jc w:val="both"/>
        <w:rPr>
          <w:sz w:val="24"/>
        </w:rPr>
        <w:sectPr>
          <w:pgSz w:w="11910" w:h="16840"/>
          <w:pgMar w:header="1058" w:footer="1201" w:top="1500" w:bottom="1400" w:left="360" w:right="360"/>
        </w:sectPr>
      </w:pPr>
    </w:p>
    <w:p>
      <w:pPr>
        <w:pStyle w:val="ListParagraph"/>
        <w:numPr>
          <w:ilvl w:val="1"/>
          <w:numId w:val="255"/>
        </w:numPr>
        <w:tabs>
          <w:tab w:pos="1493" w:val="left" w:leader="none"/>
          <w:tab w:pos="1692" w:val="left" w:leader="none"/>
        </w:tabs>
        <w:spacing w:line="240" w:lineRule="auto" w:before="255" w:after="0"/>
        <w:ind w:left="1493" w:right="795" w:hanging="180"/>
        <w:jc w:val="both"/>
        <w:rPr>
          <w:sz w:val="24"/>
        </w:rPr>
      </w:pPr>
      <w:r>
        <w:rPr>
          <w:sz w:val="24"/>
        </w:rPr>
        <w:t>Width-</w:t>
      </w:r>
      <w:r>
        <w:rPr>
          <w:spacing w:val="40"/>
          <w:sz w:val="24"/>
        </w:rPr>
        <w:t> </w:t>
      </w:r>
      <w:r>
        <w:rPr>
          <w:sz w:val="24"/>
        </w:rPr>
        <w:t>A</w:t>
      </w:r>
      <w:r>
        <w:rPr>
          <w:spacing w:val="40"/>
          <w:sz w:val="24"/>
        </w:rPr>
        <w:t> </w:t>
      </w:r>
      <w:r>
        <w:rPr>
          <w:sz w:val="24"/>
        </w:rPr>
        <w:t>door</w:t>
      </w:r>
      <w:r>
        <w:rPr>
          <w:spacing w:val="40"/>
          <w:sz w:val="24"/>
        </w:rPr>
        <w:t> </w:t>
      </w:r>
      <w:r>
        <w:rPr>
          <w:sz w:val="24"/>
        </w:rPr>
        <w:t>shall</w:t>
      </w:r>
      <w:r>
        <w:rPr>
          <w:spacing w:val="40"/>
          <w:sz w:val="24"/>
        </w:rPr>
        <w:t> </w:t>
      </w:r>
      <w:r>
        <w:rPr>
          <w:sz w:val="24"/>
        </w:rPr>
        <w:t>be</w:t>
      </w:r>
      <w:r>
        <w:rPr>
          <w:spacing w:val="40"/>
          <w:sz w:val="24"/>
        </w:rPr>
        <w:t> </w:t>
      </w:r>
      <w:r>
        <w:rPr>
          <w:sz w:val="24"/>
        </w:rPr>
        <w:t>at</w:t>
      </w:r>
      <w:r>
        <w:rPr>
          <w:spacing w:val="40"/>
          <w:sz w:val="24"/>
        </w:rPr>
        <w:t> </w:t>
      </w:r>
      <w:r>
        <w:rPr>
          <w:sz w:val="24"/>
        </w:rPr>
        <w:t>least</w:t>
      </w:r>
      <w:r>
        <w:rPr>
          <w:spacing w:val="40"/>
          <w:sz w:val="24"/>
        </w:rPr>
        <w:t> </w:t>
      </w:r>
      <w:r>
        <w:rPr>
          <w:sz w:val="24"/>
        </w:rPr>
        <w:t>0.9</w:t>
      </w:r>
      <w:r>
        <w:rPr>
          <w:spacing w:val="40"/>
          <w:sz w:val="24"/>
        </w:rPr>
        <w:t> </w:t>
      </w:r>
      <w:r>
        <w:rPr>
          <w:sz w:val="24"/>
        </w:rPr>
        <w:t>m</w:t>
      </w:r>
      <w:r>
        <w:rPr>
          <w:spacing w:val="40"/>
          <w:sz w:val="24"/>
        </w:rPr>
        <w:t> </w:t>
      </w:r>
      <w:r>
        <w:rPr>
          <w:sz w:val="24"/>
        </w:rPr>
        <w:t>wide,</w:t>
      </w:r>
      <w:r>
        <w:rPr>
          <w:spacing w:val="40"/>
          <w:sz w:val="24"/>
        </w:rPr>
        <w:t> </w:t>
      </w:r>
      <w:r>
        <w:rPr>
          <w:sz w:val="24"/>
        </w:rPr>
        <w:t>except</w:t>
      </w:r>
      <w:r>
        <w:rPr>
          <w:spacing w:val="40"/>
          <w:sz w:val="24"/>
        </w:rPr>
        <w:t> </w:t>
      </w:r>
      <w:r>
        <w:rPr>
          <w:sz w:val="24"/>
        </w:rPr>
        <w:t>that</w:t>
      </w:r>
      <w:r>
        <w:rPr>
          <w:spacing w:val="40"/>
          <w:sz w:val="24"/>
        </w:rPr>
        <w:t> </w:t>
      </w:r>
      <w:r>
        <w:rPr>
          <w:sz w:val="24"/>
        </w:rPr>
        <w:t>doors</w:t>
      </w:r>
      <w:r>
        <w:rPr>
          <w:spacing w:val="40"/>
          <w:sz w:val="24"/>
        </w:rPr>
        <w:t> </w:t>
      </w:r>
      <w:r>
        <w:rPr>
          <w:sz w:val="24"/>
        </w:rPr>
        <w:t>to bathrooms,</w:t>
      </w:r>
      <w:r>
        <w:rPr>
          <w:spacing w:val="40"/>
          <w:sz w:val="24"/>
        </w:rPr>
        <w:t> </w:t>
      </w:r>
      <w:r>
        <w:rPr>
          <w:spacing w:val="10"/>
          <w:sz w:val="24"/>
        </w:rPr>
        <w:t>water-</w:t>
      </w:r>
      <w:r>
        <w:rPr>
          <w:sz w:val="24"/>
        </w:rPr>
        <w:t>closets</w:t>
      </w:r>
      <w:r>
        <w:rPr>
          <w:spacing w:val="40"/>
          <w:sz w:val="24"/>
        </w:rPr>
        <w:t> </w:t>
      </w:r>
      <w:r>
        <w:rPr>
          <w:sz w:val="24"/>
        </w:rPr>
        <w:t>or</w:t>
      </w:r>
      <w:r>
        <w:rPr>
          <w:spacing w:val="40"/>
          <w:sz w:val="24"/>
        </w:rPr>
        <w:t> </w:t>
      </w:r>
      <w:r>
        <w:rPr>
          <w:sz w:val="24"/>
        </w:rPr>
        <w:t>stores</w:t>
      </w:r>
      <w:r>
        <w:rPr>
          <w:spacing w:val="40"/>
          <w:sz w:val="24"/>
        </w:rPr>
        <w:t> </w:t>
      </w:r>
      <w:r>
        <w:rPr>
          <w:sz w:val="24"/>
        </w:rPr>
        <w:t>may</w:t>
      </w:r>
      <w:r>
        <w:rPr>
          <w:spacing w:val="40"/>
          <w:sz w:val="24"/>
        </w:rPr>
        <w:t> </w:t>
      </w:r>
      <w:r>
        <w:rPr>
          <w:sz w:val="24"/>
        </w:rPr>
        <w:t>at</w:t>
      </w:r>
      <w:r>
        <w:rPr>
          <w:spacing w:val="40"/>
          <w:sz w:val="24"/>
        </w:rPr>
        <w:t> </w:t>
      </w:r>
      <w:r>
        <w:rPr>
          <w:sz w:val="24"/>
        </w:rPr>
        <w:t>least</w:t>
      </w:r>
      <w:r>
        <w:rPr>
          <w:spacing w:val="40"/>
          <w:sz w:val="24"/>
        </w:rPr>
        <w:t> </w:t>
      </w:r>
      <w:r>
        <w:rPr>
          <w:sz w:val="24"/>
        </w:rPr>
        <w:t>be</w:t>
      </w:r>
      <w:r>
        <w:rPr>
          <w:spacing w:val="40"/>
          <w:sz w:val="24"/>
        </w:rPr>
        <w:t> </w:t>
      </w:r>
      <w:r>
        <w:rPr>
          <w:sz w:val="24"/>
        </w:rPr>
        <w:t>0.7</w:t>
      </w:r>
      <w:r>
        <w:rPr>
          <w:spacing w:val="40"/>
          <w:sz w:val="24"/>
        </w:rPr>
        <w:t> </w:t>
      </w:r>
      <w:r>
        <w:rPr>
          <w:sz w:val="24"/>
        </w:rPr>
        <w:t>m</w:t>
      </w:r>
      <w:r>
        <w:rPr>
          <w:spacing w:val="40"/>
          <w:sz w:val="24"/>
        </w:rPr>
        <w:t> </w:t>
      </w:r>
      <w:r>
        <w:rPr>
          <w:sz w:val="24"/>
        </w:rPr>
        <w:t>wide.</w:t>
      </w:r>
    </w:p>
    <w:p>
      <w:pPr>
        <w:pStyle w:val="ListParagraph"/>
        <w:numPr>
          <w:ilvl w:val="1"/>
          <w:numId w:val="255"/>
        </w:numPr>
        <w:tabs>
          <w:tab w:pos="1718" w:val="left" w:leader="none"/>
        </w:tabs>
        <w:spacing w:line="240" w:lineRule="auto" w:before="0" w:after="0"/>
        <w:ind w:left="1718" w:right="0" w:hanging="405"/>
        <w:jc w:val="left"/>
        <w:rPr>
          <w:sz w:val="24"/>
        </w:rPr>
      </w:pPr>
      <w:r>
        <w:rPr>
          <w:i/>
          <w:spacing w:val="9"/>
          <w:sz w:val="24"/>
        </w:rPr>
        <w:t>Height</w:t>
      </w:r>
      <w:r>
        <w:rPr>
          <w:spacing w:val="9"/>
          <w:sz w:val="24"/>
        </w:rPr>
        <w:t>-</w:t>
      </w:r>
      <w:r>
        <w:rPr>
          <w:sz w:val="24"/>
        </w:rPr>
        <w:t>The</w:t>
      </w:r>
      <w:r>
        <w:rPr>
          <w:spacing w:val="48"/>
          <w:sz w:val="24"/>
        </w:rPr>
        <w:t> </w:t>
      </w:r>
      <w:r>
        <w:rPr>
          <w:sz w:val="24"/>
        </w:rPr>
        <w:t>minimum</w:t>
      </w:r>
      <w:r>
        <w:rPr>
          <w:spacing w:val="44"/>
          <w:sz w:val="24"/>
        </w:rPr>
        <w:t> </w:t>
      </w:r>
      <w:r>
        <w:rPr>
          <w:sz w:val="24"/>
        </w:rPr>
        <w:t>height</w:t>
      </w:r>
      <w:r>
        <w:rPr>
          <w:spacing w:val="44"/>
          <w:sz w:val="24"/>
        </w:rPr>
        <w:t> </w:t>
      </w:r>
      <w:r>
        <w:rPr>
          <w:sz w:val="24"/>
        </w:rPr>
        <w:t>of</w:t>
      </w:r>
      <w:r>
        <w:rPr>
          <w:spacing w:val="48"/>
          <w:sz w:val="24"/>
        </w:rPr>
        <w:t> </w:t>
      </w:r>
      <w:r>
        <w:rPr>
          <w:sz w:val="24"/>
        </w:rPr>
        <w:t>a</w:t>
      </w:r>
      <w:r>
        <w:rPr>
          <w:spacing w:val="44"/>
          <w:sz w:val="24"/>
        </w:rPr>
        <w:t> </w:t>
      </w:r>
      <w:r>
        <w:rPr>
          <w:sz w:val="24"/>
        </w:rPr>
        <w:t>doorway</w:t>
      </w:r>
      <w:r>
        <w:rPr>
          <w:spacing w:val="44"/>
          <w:sz w:val="24"/>
        </w:rPr>
        <w:t> </w:t>
      </w:r>
      <w:r>
        <w:rPr>
          <w:sz w:val="24"/>
        </w:rPr>
        <w:t>shall</w:t>
      </w:r>
      <w:r>
        <w:rPr>
          <w:spacing w:val="44"/>
          <w:sz w:val="24"/>
        </w:rPr>
        <w:t> </w:t>
      </w:r>
      <w:r>
        <w:rPr>
          <w:sz w:val="24"/>
        </w:rPr>
        <w:t>be</w:t>
      </w:r>
      <w:r>
        <w:rPr>
          <w:spacing w:val="45"/>
          <w:sz w:val="24"/>
        </w:rPr>
        <w:t> </w:t>
      </w:r>
      <w:r>
        <w:rPr>
          <w:sz w:val="24"/>
        </w:rPr>
        <w:t>2</w:t>
      </w:r>
      <w:r>
        <w:rPr>
          <w:spacing w:val="48"/>
          <w:sz w:val="24"/>
        </w:rPr>
        <w:t> </w:t>
      </w:r>
      <w:r>
        <w:rPr>
          <w:spacing w:val="-5"/>
          <w:sz w:val="24"/>
        </w:rPr>
        <w:t>m.</w:t>
      </w:r>
    </w:p>
    <w:p>
      <w:pPr>
        <w:pStyle w:val="ListParagraph"/>
        <w:numPr>
          <w:ilvl w:val="0"/>
          <w:numId w:val="255"/>
        </w:numPr>
        <w:tabs>
          <w:tab w:pos="1493" w:val="left" w:leader="none"/>
          <w:tab w:pos="1800" w:val="left" w:leader="none"/>
        </w:tabs>
        <w:spacing w:line="240" w:lineRule="auto" w:before="280" w:after="0"/>
        <w:ind w:left="1493" w:right="780" w:hanging="180"/>
        <w:jc w:val="both"/>
        <w:rPr>
          <w:sz w:val="24"/>
        </w:rPr>
      </w:pPr>
      <w:r>
        <w:rPr>
          <w:b/>
          <w:i/>
          <w:sz w:val="24"/>
        </w:rPr>
        <w:t>Stairway: </w:t>
      </w:r>
      <w:r>
        <w:rPr>
          <w:sz w:val="24"/>
        </w:rPr>
        <w:t>Stairways shall conform to the following provisions in</w:t>
      </w:r>
      <w:r>
        <w:rPr>
          <w:spacing w:val="40"/>
          <w:sz w:val="24"/>
        </w:rPr>
        <w:t> </w:t>
      </w:r>
      <w:r>
        <w:rPr>
          <w:sz w:val="24"/>
        </w:rPr>
        <w:t>addition to items (i) to (ix) below.</w:t>
      </w:r>
      <w:r>
        <w:rPr>
          <w:spacing w:val="80"/>
          <w:sz w:val="24"/>
        </w:rPr>
        <w:t> </w:t>
      </w:r>
      <w:r>
        <w:rPr>
          <w:sz w:val="24"/>
        </w:rPr>
        <w:t>In addition, in order to satisfy </w:t>
      </w:r>
      <w:r>
        <w:rPr>
          <w:spacing w:val="9"/>
          <w:sz w:val="24"/>
        </w:rPr>
        <w:t>fire- </w:t>
      </w:r>
      <w:r>
        <w:rPr>
          <w:sz w:val="24"/>
        </w:rPr>
        <w:t>fighting requirements, any stairway identified as an exit stairway shall conform</w:t>
      </w:r>
      <w:r>
        <w:rPr>
          <w:spacing w:val="80"/>
          <w:sz w:val="24"/>
        </w:rPr>
        <w:t> </w:t>
      </w:r>
      <w:r>
        <w:rPr>
          <w:sz w:val="24"/>
        </w:rPr>
        <w:t>to</w:t>
      </w:r>
      <w:r>
        <w:rPr>
          <w:spacing w:val="80"/>
          <w:sz w:val="24"/>
        </w:rPr>
        <w:t> </w:t>
      </w:r>
      <w:r>
        <w:rPr>
          <w:sz w:val="24"/>
        </w:rPr>
        <w:t>the</w:t>
      </w:r>
      <w:r>
        <w:rPr>
          <w:spacing w:val="80"/>
          <w:sz w:val="24"/>
        </w:rPr>
        <w:t> </w:t>
      </w:r>
      <w:r>
        <w:rPr>
          <w:sz w:val="24"/>
        </w:rPr>
        <w:t>requirements</w:t>
      </w:r>
      <w:r>
        <w:rPr>
          <w:spacing w:val="80"/>
          <w:sz w:val="24"/>
        </w:rPr>
        <w:t> </w:t>
      </w:r>
      <w:r>
        <w:rPr>
          <w:sz w:val="24"/>
        </w:rPr>
        <w:t>stipulated</w:t>
      </w:r>
      <w:r>
        <w:rPr>
          <w:spacing w:val="80"/>
          <w:sz w:val="24"/>
        </w:rPr>
        <w:t> </w:t>
      </w:r>
      <w:r>
        <w:rPr>
          <w:sz w:val="24"/>
        </w:rPr>
        <w:t>in</w:t>
      </w:r>
      <w:r>
        <w:rPr>
          <w:spacing w:val="80"/>
          <w:sz w:val="24"/>
        </w:rPr>
        <w:t> </w:t>
      </w:r>
      <w:r>
        <w:rPr>
          <w:sz w:val="24"/>
        </w:rPr>
        <w:t>Regulation</w:t>
      </w:r>
      <w:r>
        <w:rPr>
          <w:spacing w:val="80"/>
          <w:sz w:val="24"/>
        </w:rPr>
        <w:t> </w:t>
      </w:r>
      <w:r>
        <w:rPr>
          <w:sz w:val="24"/>
        </w:rPr>
        <w:t>47</w:t>
      </w:r>
    </w:p>
    <w:p>
      <w:pPr>
        <w:pStyle w:val="ListParagraph"/>
        <w:numPr>
          <w:ilvl w:val="1"/>
          <w:numId w:val="255"/>
        </w:numPr>
        <w:tabs>
          <w:tab w:pos="1493" w:val="left" w:leader="none"/>
          <w:tab w:pos="1676" w:val="left" w:leader="none"/>
        </w:tabs>
        <w:spacing w:line="240" w:lineRule="auto" w:before="3" w:after="0"/>
        <w:ind w:left="1493" w:right="794" w:hanging="180"/>
        <w:jc w:val="both"/>
        <w:rPr>
          <w:sz w:val="24"/>
        </w:rPr>
      </w:pPr>
      <w:r>
        <w:rPr>
          <w:i/>
          <w:sz w:val="24"/>
        </w:rPr>
        <w:t>Width</w:t>
      </w:r>
      <w:r>
        <w:rPr>
          <w:sz w:val="24"/>
        </w:rPr>
        <w:t>-</w:t>
      </w:r>
      <w:r>
        <w:rPr>
          <w:spacing w:val="80"/>
          <w:sz w:val="24"/>
        </w:rPr>
        <w:t> </w:t>
      </w:r>
      <w:r>
        <w:rPr>
          <w:sz w:val="24"/>
        </w:rPr>
        <w:t>The</w:t>
      </w:r>
      <w:r>
        <w:rPr>
          <w:spacing w:val="80"/>
          <w:sz w:val="24"/>
        </w:rPr>
        <w:t> </w:t>
      </w:r>
      <w:r>
        <w:rPr>
          <w:sz w:val="24"/>
        </w:rPr>
        <w:t>minimum</w:t>
      </w:r>
      <w:r>
        <w:rPr>
          <w:spacing w:val="80"/>
          <w:sz w:val="24"/>
        </w:rPr>
        <w:t> </w:t>
      </w:r>
      <w:r>
        <w:rPr>
          <w:sz w:val="24"/>
        </w:rPr>
        <w:t>width</w:t>
      </w:r>
      <w:r>
        <w:rPr>
          <w:spacing w:val="80"/>
          <w:sz w:val="24"/>
        </w:rPr>
        <w:t> </w:t>
      </w:r>
      <w:r>
        <w:rPr>
          <w:sz w:val="24"/>
        </w:rPr>
        <w:t>of</w:t>
      </w:r>
      <w:r>
        <w:rPr>
          <w:spacing w:val="80"/>
          <w:sz w:val="24"/>
        </w:rPr>
        <w:t> </w:t>
      </w:r>
      <w:r>
        <w:rPr>
          <w:sz w:val="24"/>
        </w:rPr>
        <w:t>a</w:t>
      </w:r>
      <w:r>
        <w:rPr>
          <w:spacing w:val="80"/>
          <w:sz w:val="24"/>
        </w:rPr>
        <w:t> </w:t>
      </w:r>
      <w:r>
        <w:rPr>
          <w:sz w:val="24"/>
        </w:rPr>
        <w:t>staircase</w:t>
      </w:r>
      <w:r>
        <w:rPr>
          <w:spacing w:val="80"/>
          <w:sz w:val="24"/>
        </w:rPr>
        <w:t> </w:t>
      </w:r>
      <w:r>
        <w:rPr>
          <w:sz w:val="24"/>
        </w:rPr>
        <w:t>other</w:t>
      </w:r>
      <w:r>
        <w:rPr>
          <w:spacing w:val="80"/>
          <w:sz w:val="24"/>
        </w:rPr>
        <w:t> </w:t>
      </w:r>
      <w:r>
        <w:rPr>
          <w:sz w:val="24"/>
        </w:rPr>
        <w:t>than</w:t>
      </w:r>
      <w:r>
        <w:rPr>
          <w:spacing w:val="80"/>
          <w:sz w:val="24"/>
        </w:rPr>
        <w:t> </w:t>
      </w:r>
      <w:r>
        <w:rPr>
          <w:sz w:val="24"/>
        </w:rPr>
        <w:t>a</w:t>
      </w:r>
      <w:r>
        <w:rPr>
          <w:spacing w:val="80"/>
          <w:sz w:val="24"/>
        </w:rPr>
        <w:t> </w:t>
      </w:r>
      <w:r>
        <w:rPr>
          <w:sz w:val="24"/>
        </w:rPr>
        <w:t>fire</w:t>
      </w:r>
      <w:r>
        <w:rPr>
          <w:spacing w:val="80"/>
          <w:sz w:val="24"/>
        </w:rPr>
        <w:t> </w:t>
      </w:r>
      <w:r>
        <w:rPr>
          <w:sz w:val="24"/>
        </w:rPr>
        <w:t>escape shall</w:t>
      </w:r>
      <w:r>
        <w:rPr>
          <w:spacing w:val="40"/>
          <w:sz w:val="24"/>
        </w:rPr>
        <w:t> </w:t>
      </w:r>
      <w:r>
        <w:rPr>
          <w:sz w:val="24"/>
        </w:rPr>
        <w:t>be</w:t>
      </w:r>
      <w:r>
        <w:rPr>
          <w:spacing w:val="40"/>
          <w:sz w:val="24"/>
        </w:rPr>
        <w:t> </w:t>
      </w:r>
      <w:r>
        <w:rPr>
          <w:sz w:val="24"/>
        </w:rPr>
        <w:t>as</w:t>
      </w:r>
      <w:r>
        <w:rPr>
          <w:spacing w:val="40"/>
          <w:sz w:val="24"/>
        </w:rPr>
        <w:t> </w:t>
      </w:r>
      <w:r>
        <w:rPr>
          <w:sz w:val="24"/>
        </w:rPr>
        <w:t>given</w:t>
      </w:r>
      <w:r>
        <w:rPr>
          <w:spacing w:val="40"/>
          <w:sz w:val="24"/>
        </w:rPr>
        <w:t> </w:t>
      </w:r>
      <w:r>
        <w:rPr>
          <w:sz w:val="24"/>
        </w:rPr>
        <w:t>in</w:t>
      </w:r>
      <w:r>
        <w:rPr>
          <w:spacing w:val="40"/>
          <w:sz w:val="24"/>
        </w:rPr>
        <w:t> </w:t>
      </w:r>
      <w:r>
        <w:rPr>
          <w:sz w:val="24"/>
        </w:rPr>
        <w:t>Table</w:t>
      </w:r>
      <w:r>
        <w:rPr>
          <w:spacing w:val="40"/>
          <w:sz w:val="24"/>
        </w:rPr>
        <w:t> </w:t>
      </w:r>
      <w:r>
        <w:rPr>
          <w:sz w:val="24"/>
        </w:rPr>
        <w:t>No</w:t>
      </w:r>
      <w:r>
        <w:rPr>
          <w:spacing w:val="40"/>
          <w:sz w:val="24"/>
        </w:rPr>
        <w:t> </w:t>
      </w:r>
      <w:r>
        <w:rPr>
          <w:sz w:val="24"/>
        </w:rPr>
        <w:t>16</w:t>
      </w:r>
      <w:r>
        <w:rPr>
          <w:spacing w:val="40"/>
          <w:sz w:val="24"/>
        </w:rPr>
        <w:t> </w:t>
      </w:r>
      <w:r>
        <w:rPr>
          <w:sz w:val="24"/>
        </w:rPr>
        <w:t>hereunder.</w:t>
      </w:r>
    </w:p>
    <w:p>
      <w:pPr>
        <w:pStyle w:val="Heading5"/>
        <w:spacing w:before="241"/>
        <w:ind w:left="772"/>
      </w:pPr>
      <w:r>
        <w:rPr/>
        <w:t>Table</w:t>
      </w:r>
      <w:r>
        <w:rPr>
          <w:spacing w:val="7"/>
        </w:rPr>
        <w:t> </w:t>
      </w:r>
      <w:r>
        <w:rPr/>
        <w:t>No:</w:t>
      </w:r>
      <w:r>
        <w:rPr>
          <w:spacing w:val="8"/>
        </w:rPr>
        <w:t> </w:t>
      </w:r>
      <w:r>
        <w:rPr>
          <w:spacing w:val="-5"/>
        </w:rPr>
        <w:t>16</w:t>
      </w:r>
    </w:p>
    <w:p>
      <w:pPr>
        <w:spacing w:before="280"/>
        <w:ind w:left="897" w:right="0" w:firstLine="0"/>
        <w:jc w:val="left"/>
        <w:rPr>
          <w:i/>
          <w:sz w:val="24"/>
        </w:rPr>
      </w:pPr>
      <w:r>
        <w:rPr>
          <w:b/>
          <w:sz w:val="24"/>
        </w:rPr>
        <w:t>Minimum</w:t>
      </w:r>
      <w:r>
        <w:rPr>
          <w:b/>
          <w:spacing w:val="18"/>
          <w:sz w:val="24"/>
        </w:rPr>
        <w:t> </w:t>
      </w:r>
      <w:r>
        <w:rPr>
          <w:b/>
          <w:sz w:val="24"/>
        </w:rPr>
        <w:t>width</w:t>
      </w:r>
      <w:r>
        <w:rPr>
          <w:b/>
          <w:spacing w:val="17"/>
          <w:sz w:val="24"/>
        </w:rPr>
        <w:t> </w:t>
      </w:r>
      <w:r>
        <w:rPr>
          <w:b/>
          <w:sz w:val="24"/>
        </w:rPr>
        <w:t>of</w:t>
      </w:r>
      <w:r>
        <w:rPr>
          <w:b/>
          <w:spacing w:val="17"/>
          <w:sz w:val="24"/>
        </w:rPr>
        <w:t> </w:t>
      </w:r>
      <w:r>
        <w:rPr>
          <w:b/>
          <w:sz w:val="24"/>
        </w:rPr>
        <w:t>common</w:t>
      </w:r>
      <w:r>
        <w:rPr>
          <w:b/>
          <w:spacing w:val="21"/>
          <w:sz w:val="24"/>
        </w:rPr>
        <w:t> </w:t>
      </w:r>
      <w:r>
        <w:rPr>
          <w:b/>
          <w:sz w:val="24"/>
        </w:rPr>
        <w:t>Stairways/Corridors</w:t>
      </w:r>
      <w:r>
        <w:rPr>
          <w:b/>
          <w:spacing w:val="20"/>
          <w:sz w:val="24"/>
        </w:rPr>
        <w:t> </w:t>
      </w:r>
      <w:r>
        <w:rPr>
          <w:b/>
          <w:sz w:val="24"/>
        </w:rPr>
        <w:t>for</w:t>
      </w:r>
      <w:r>
        <w:rPr>
          <w:b/>
          <w:spacing w:val="21"/>
          <w:sz w:val="24"/>
        </w:rPr>
        <w:t> </w:t>
      </w:r>
      <w:r>
        <w:rPr>
          <w:b/>
          <w:sz w:val="24"/>
        </w:rPr>
        <w:t>various</w:t>
      </w:r>
      <w:r>
        <w:rPr>
          <w:b/>
          <w:spacing w:val="21"/>
          <w:sz w:val="24"/>
        </w:rPr>
        <w:t> </w:t>
      </w:r>
      <w:r>
        <w:rPr>
          <w:b/>
          <w:spacing w:val="-2"/>
          <w:sz w:val="24"/>
        </w:rPr>
        <w:t>occupancies</w:t>
      </w:r>
      <w:r>
        <w:rPr>
          <w:i/>
          <w:spacing w:val="-2"/>
          <w:sz w:val="24"/>
        </w:rPr>
        <w:t>.</w:t>
      </w:r>
    </w:p>
    <w:p>
      <w:pPr>
        <w:pStyle w:val="BodyText"/>
        <w:spacing w:before="7"/>
        <w:jc w:val="left"/>
        <w:rPr>
          <w:i/>
          <w:sz w:val="20"/>
        </w:rPr>
      </w:pPr>
    </w:p>
    <w:tbl>
      <w:tblPr>
        <w:tblW w:w="0" w:type="auto"/>
        <w:jc w:val="left"/>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8"/>
        <w:gridCol w:w="3932"/>
        <w:gridCol w:w="2341"/>
        <w:gridCol w:w="2298"/>
      </w:tblGrid>
      <w:tr>
        <w:trPr>
          <w:trHeight w:val="2068" w:hRule="atLeast"/>
        </w:trPr>
        <w:tc>
          <w:tcPr>
            <w:tcW w:w="648" w:type="dxa"/>
            <w:shd w:val="clear" w:color="auto" w:fill="EDEBE0"/>
          </w:tcPr>
          <w:p>
            <w:pPr>
              <w:pStyle w:val="TableParagraph"/>
              <w:spacing w:line="281" w:lineRule="exact" w:before="95"/>
              <w:ind w:left="107"/>
              <w:rPr>
                <w:sz w:val="24"/>
              </w:rPr>
            </w:pPr>
            <w:r>
              <w:rPr>
                <w:spacing w:val="-5"/>
                <w:sz w:val="24"/>
              </w:rPr>
              <w:t>Sr.</w:t>
            </w:r>
          </w:p>
          <w:p>
            <w:pPr>
              <w:pStyle w:val="TableParagraph"/>
              <w:spacing w:line="281" w:lineRule="exact"/>
              <w:ind w:left="107"/>
              <w:rPr>
                <w:sz w:val="24"/>
              </w:rPr>
            </w:pPr>
            <w:r>
              <w:rPr>
                <w:spacing w:val="-5"/>
                <w:sz w:val="24"/>
              </w:rPr>
              <w:t>No.</w:t>
            </w:r>
          </w:p>
        </w:tc>
        <w:tc>
          <w:tcPr>
            <w:tcW w:w="3932" w:type="dxa"/>
            <w:shd w:val="clear" w:color="auto" w:fill="EDEBE0"/>
          </w:tcPr>
          <w:p>
            <w:pPr>
              <w:pStyle w:val="TableParagraph"/>
              <w:spacing w:line="281" w:lineRule="exact"/>
              <w:ind w:left="107"/>
              <w:rPr>
                <w:sz w:val="24"/>
              </w:rPr>
            </w:pPr>
            <w:r>
              <w:rPr>
                <w:sz w:val="24"/>
              </w:rPr>
              <w:t>Type</w:t>
            </w:r>
            <w:r>
              <w:rPr>
                <w:spacing w:val="-2"/>
                <w:sz w:val="24"/>
              </w:rPr>
              <w:t> </w:t>
            </w:r>
            <w:r>
              <w:rPr>
                <w:sz w:val="24"/>
              </w:rPr>
              <w:t>of</w:t>
            </w:r>
            <w:r>
              <w:rPr>
                <w:spacing w:val="-1"/>
                <w:sz w:val="24"/>
              </w:rPr>
              <w:t> </w:t>
            </w:r>
            <w:r>
              <w:rPr>
                <w:spacing w:val="-2"/>
                <w:sz w:val="24"/>
              </w:rPr>
              <w:t>Occupancy</w:t>
            </w:r>
          </w:p>
        </w:tc>
        <w:tc>
          <w:tcPr>
            <w:tcW w:w="2341" w:type="dxa"/>
            <w:shd w:val="clear" w:color="auto" w:fill="EDEBE0"/>
          </w:tcPr>
          <w:p>
            <w:pPr>
              <w:pStyle w:val="TableParagraph"/>
              <w:tabs>
                <w:tab w:pos="731" w:val="left" w:leader="none"/>
                <w:tab w:pos="1693" w:val="left" w:leader="none"/>
                <w:tab w:pos="1915" w:val="left" w:leader="none"/>
              </w:tabs>
              <w:ind w:left="107" w:right="99"/>
              <w:rPr>
                <w:sz w:val="24"/>
              </w:rPr>
            </w:pPr>
            <w:r>
              <w:rPr>
                <w:spacing w:val="-2"/>
                <w:sz w:val="24"/>
              </w:rPr>
              <w:t>Minimum</w:t>
            </w:r>
            <w:r>
              <w:rPr>
                <w:spacing w:val="-20"/>
                <w:sz w:val="24"/>
              </w:rPr>
              <w:t> </w:t>
            </w:r>
            <w:r>
              <w:rPr>
                <w:spacing w:val="-2"/>
                <w:sz w:val="24"/>
              </w:rPr>
              <w:t>width</w:t>
            </w:r>
            <w:r>
              <w:rPr>
                <w:spacing w:val="-20"/>
                <w:sz w:val="24"/>
              </w:rPr>
              <w:t> </w:t>
            </w:r>
            <w:r>
              <w:rPr>
                <w:spacing w:val="-2"/>
                <w:sz w:val="24"/>
              </w:rPr>
              <w:t>of stairway/corridor </w:t>
            </w:r>
            <w:r>
              <w:rPr>
                <w:spacing w:val="-4"/>
                <w:sz w:val="24"/>
              </w:rPr>
              <w:t>(in</w:t>
            </w:r>
            <w:r>
              <w:rPr>
                <w:sz w:val="24"/>
              </w:rPr>
              <w:tab/>
            </w:r>
            <w:r>
              <w:rPr>
                <w:spacing w:val="-2"/>
                <w:sz w:val="24"/>
              </w:rPr>
              <w:t>meters)</w:t>
            </w:r>
            <w:r>
              <w:rPr>
                <w:sz w:val="24"/>
              </w:rPr>
              <w:tab/>
              <w:tab/>
            </w:r>
            <w:r>
              <w:rPr>
                <w:spacing w:val="-4"/>
                <w:sz w:val="24"/>
              </w:rPr>
              <w:t>for </w:t>
            </w:r>
            <w:r>
              <w:rPr>
                <w:spacing w:val="-2"/>
                <w:sz w:val="24"/>
              </w:rPr>
              <w:t>buildings</w:t>
            </w:r>
            <w:r>
              <w:rPr>
                <w:sz w:val="24"/>
              </w:rPr>
              <w:tab/>
            </w:r>
            <w:r>
              <w:rPr>
                <w:spacing w:val="-4"/>
                <w:sz w:val="24"/>
              </w:rPr>
              <w:t>upto</w:t>
            </w:r>
          </w:p>
          <w:p>
            <w:pPr>
              <w:pStyle w:val="TableParagraph"/>
              <w:spacing w:line="280" w:lineRule="exact"/>
              <w:ind w:left="107"/>
              <w:rPr>
                <w:sz w:val="24"/>
              </w:rPr>
            </w:pPr>
            <w:r>
              <w:rPr>
                <w:sz w:val="24"/>
              </w:rPr>
              <w:t>70.00</w:t>
            </w:r>
            <w:r>
              <w:rPr>
                <w:spacing w:val="-2"/>
                <w:sz w:val="24"/>
              </w:rPr>
              <w:t> </w:t>
            </w:r>
            <w:r>
              <w:rPr>
                <w:sz w:val="24"/>
              </w:rPr>
              <w:t>m</w:t>
            </w:r>
            <w:r>
              <w:rPr>
                <w:spacing w:val="-2"/>
                <w:sz w:val="24"/>
              </w:rPr>
              <w:t> height</w:t>
            </w:r>
          </w:p>
        </w:tc>
        <w:tc>
          <w:tcPr>
            <w:tcW w:w="2298" w:type="dxa"/>
            <w:shd w:val="clear" w:color="auto" w:fill="EDEBE0"/>
          </w:tcPr>
          <w:p>
            <w:pPr>
              <w:pStyle w:val="TableParagraph"/>
              <w:tabs>
                <w:tab w:pos="1565" w:val="left" w:leader="none"/>
              </w:tabs>
              <w:ind w:left="104" w:right="98"/>
              <w:jc w:val="both"/>
              <w:rPr>
                <w:sz w:val="24"/>
              </w:rPr>
            </w:pPr>
            <w:r>
              <w:rPr>
                <w:sz w:val="24"/>
              </w:rPr>
              <w:t>Minimum </w:t>
            </w:r>
            <w:r>
              <w:rPr>
                <w:sz w:val="24"/>
              </w:rPr>
              <w:t>width </w:t>
            </w:r>
            <w:r>
              <w:rPr>
                <w:spacing w:val="-5"/>
                <w:sz w:val="24"/>
              </w:rPr>
              <w:t>of</w:t>
            </w:r>
            <w:r>
              <w:rPr>
                <w:sz w:val="24"/>
              </w:rPr>
              <w:tab/>
            </w:r>
            <w:r>
              <w:rPr>
                <w:spacing w:val="-4"/>
                <w:sz w:val="24"/>
              </w:rPr>
              <w:t>stair-</w:t>
            </w:r>
          </w:p>
          <w:p>
            <w:pPr>
              <w:pStyle w:val="TableParagraph"/>
              <w:tabs>
                <w:tab w:pos="1871" w:val="left" w:leader="none"/>
              </w:tabs>
              <w:ind w:left="104" w:right="98"/>
              <w:jc w:val="both"/>
              <w:rPr>
                <w:sz w:val="24"/>
              </w:rPr>
            </w:pPr>
            <w:r>
              <w:rPr>
                <w:sz w:val="24"/>
              </w:rPr>
              <w:t>way/corridor </w:t>
            </w:r>
            <w:r>
              <w:rPr>
                <w:sz w:val="24"/>
              </w:rPr>
              <w:t>(in </w:t>
            </w:r>
            <w:r>
              <w:rPr>
                <w:spacing w:val="-2"/>
                <w:sz w:val="24"/>
              </w:rPr>
              <w:t>meters)</w:t>
            </w:r>
            <w:r>
              <w:rPr>
                <w:sz w:val="24"/>
              </w:rPr>
              <w:tab/>
            </w:r>
            <w:r>
              <w:rPr>
                <w:spacing w:val="-4"/>
                <w:sz w:val="24"/>
              </w:rPr>
              <w:t>for </w:t>
            </w:r>
            <w:r>
              <w:rPr>
                <w:sz w:val="24"/>
              </w:rPr>
              <w:t>buildings more than 70.00 m </w:t>
            </w:r>
            <w:r>
              <w:rPr>
                <w:spacing w:val="-2"/>
                <w:sz w:val="24"/>
              </w:rPr>
              <w:t>height</w:t>
            </w:r>
          </w:p>
        </w:tc>
      </w:tr>
      <w:tr>
        <w:trPr>
          <w:trHeight w:val="376" w:hRule="atLeast"/>
        </w:trPr>
        <w:tc>
          <w:tcPr>
            <w:tcW w:w="648" w:type="dxa"/>
          </w:tcPr>
          <w:p>
            <w:pPr>
              <w:pStyle w:val="TableParagraph"/>
              <w:spacing w:line="261" w:lineRule="exact" w:before="95"/>
              <w:ind w:left="107"/>
              <w:rPr>
                <w:sz w:val="24"/>
              </w:rPr>
            </w:pPr>
            <w:r>
              <w:rPr>
                <w:spacing w:val="-10"/>
                <w:sz w:val="24"/>
              </w:rPr>
              <w:t>1</w:t>
            </w:r>
          </w:p>
        </w:tc>
        <w:tc>
          <w:tcPr>
            <w:tcW w:w="3932" w:type="dxa"/>
          </w:tcPr>
          <w:p>
            <w:pPr>
              <w:pStyle w:val="TableParagraph"/>
              <w:spacing w:line="281" w:lineRule="exact"/>
              <w:ind w:left="107"/>
              <w:rPr>
                <w:sz w:val="24"/>
              </w:rPr>
            </w:pPr>
            <w:r>
              <w:rPr>
                <w:sz w:val="24"/>
              </w:rPr>
              <w:t>Residential </w:t>
            </w:r>
            <w:r>
              <w:rPr>
                <w:spacing w:val="-2"/>
                <w:sz w:val="24"/>
              </w:rPr>
              <w:t>buildings-</w:t>
            </w:r>
          </w:p>
        </w:tc>
        <w:tc>
          <w:tcPr>
            <w:tcW w:w="2341" w:type="dxa"/>
          </w:tcPr>
          <w:p>
            <w:pPr>
              <w:pStyle w:val="TableParagraph"/>
              <w:rPr>
                <w:rFonts w:ascii="Times New Roman"/>
                <w:sz w:val="22"/>
              </w:rPr>
            </w:pPr>
          </w:p>
        </w:tc>
        <w:tc>
          <w:tcPr>
            <w:tcW w:w="2298" w:type="dxa"/>
          </w:tcPr>
          <w:p>
            <w:pPr>
              <w:pStyle w:val="TableParagraph"/>
              <w:rPr>
                <w:rFonts w:ascii="Times New Roman"/>
                <w:sz w:val="22"/>
              </w:rPr>
            </w:pPr>
          </w:p>
        </w:tc>
      </w:tr>
      <w:tr>
        <w:trPr>
          <w:trHeight w:val="378" w:hRule="atLeast"/>
        </w:trPr>
        <w:tc>
          <w:tcPr>
            <w:tcW w:w="648" w:type="dxa"/>
          </w:tcPr>
          <w:p>
            <w:pPr>
              <w:pStyle w:val="TableParagraph"/>
              <w:rPr>
                <w:rFonts w:ascii="Times New Roman"/>
                <w:sz w:val="22"/>
              </w:rPr>
            </w:pPr>
          </w:p>
        </w:tc>
        <w:tc>
          <w:tcPr>
            <w:tcW w:w="3932" w:type="dxa"/>
          </w:tcPr>
          <w:p>
            <w:pPr>
              <w:pStyle w:val="TableParagraph"/>
              <w:spacing w:line="281" w:lineRule="exact"/>
              <w:ind w:left="467"/>
              <w:rPr>
                <w:sz w:val="24"/>
              </w:rPr>
            </w:pPr>
            <w:r>
              <w:rPr>
                <w:sz w:val="24"/>
              </w:rPr>
              <w:t>(a) </w:t>
            </w:r>
            <w:r>
              <w:rPr>
                <w:spacing w:val="-2"/>
                <w:sz w:val="24"/>
              </w:rPr>
              <w:t>General</w:t>
            </w:r>
          </w:p>
        </w:tc>
        <w:tc>
          <w:tcPr>
            <w:tcW w:w="2341" w:type="dxa"/>
          </w:tcPr>
          <w:p>
            <w:pPr>
              <w:pStyle w:val="TableParagraph"/>
              <w:spacing w:line="281" w:lineRule="exact"/>
              <w:ind w:left="204" w:right="198"/>
              <w:jc w:val="center"/>
              <w:rPr>
                <w:sz w:val="24"/>
              </w:rPr>
            </w:pPr>
            <w:r>
              <w:rPr>
                <w:spacing w:val="-4"/>
                <w:sz w:val="24"/>
              </w:rPr>
              <w:t>1.50</w:t>
            </w:r>
          </w:p>
        </w:tc>
        <w:tc>
          <w:tcPr>
            <w:tcW w:w="2298" w:type="dxa"/>
          </w:tcPr>
          <w:p>
            <w:pPr>
              <w:pStyle w:val="TableParagraph"/>
              <w:spacing w:line="281" w:lineRule="exact"/>
              <w:ind w:left="5"/>
              <w:jc w:val="center"/>
              <w:rPr>
                <w:sz w:val="24"/>
              </w:rPr>
            </w:pPr>
            <w:r>
              <w:rPr>
                <w:spacing w:val="-4"/>
                <w:sz w:val="24"/>
              </w:rPr>
              <w:t>2.00</w:t>
            </w:r>
          </w:p>
        </w:tc>
      </w:tr>
      <w:tr>
        <w:trPr>
          <w:trHeight w:val="844" w:hRule="atLeast"/>
        </w:trPr>
        <w:tc>
          <w:tcPr>
            <w:tcW w:w="648" w:type="dxa"/>
          </w:tcPr>
          <w:p>
            <w:pPr>
              <w:pStyle w:val="TableParagraph"/>
              <w:rPr>
                <w:rFonts w:ascii="Times New Roman"/>
                <w:sz w:val="22"/>
              </w:rPr>
            </w:pPr>
          </w:p>
        </w:tc>
        <w:tc>
          <w:tcPr>
            <w:tcW w:w="3932" w:type="dxa"/>
          </w:tcPr>
          <w:p>
            <w:pPr>
              <w:pStyle w:val="TableParagraph"/>
              <w:ind w:left="827" w:right="94" w:hanging="360"/>
              <w:rPr>
                <w:sz w:val="24"/>
              </w:rPr>
            </w:pPr>
            <w:r>
              <w:rPr>
                <w:sz w:val="24"/>
              </w:rPr>
              <w:t>(b)</w:t>
            </w:r>
            <w:r>
              <w:rPr>
                <w:spacing w:val="-17"/>
                <w:sz w:val="24"/>
              </w:rPr>
              <w:t> </w:t>
            </w:r>
            <w:r>
              <w:rPr>
                <w:sz w:val="24"/>
              </w:rPr>
              <w:t>Row housing (2 storeyed) or</w:t>
            </w:r>
            <w:r>
              <w:rPr>
                <w:spacing w:val="69"/>
                <w:w w:val="150"/>
                <w:sz w:val="24"/>
              </w:rPr>
              <w:t> </w:t>
            </w:r>
            <w:r>
              <w:rPr>
                <w:sz w:val="24"/>
              </w:rPr>
              <w:t>internal</w:t>
            </w:r>
            <w:r>
              <w:rPr>
                <w:spacing w:val="69"/>
                <w:w w:val="150"/>
                <w:sz w:val="24"/>
              </w:rPr>
              <w:t> </w:t>
            </w:r>
            <w:r>
              <w:rPr>
                <w:sz w:val="24"/>
              </w:rPr>
              <w:t>staircase</w:t>
            </w:r>
            <w:r>
              <w:rPr>
                <w:spacing w:val="69"/>
                <w:w w:val="150"/>
                <w:sz w:val="24"/>
              </w:rPr>
              <w:t> </w:t>
            </w:r>
            <w:r>
              <w:rPr>
                <w:spacing w:val="-5"/>
                <w:sz w:val="24"/>
              </w:rPr>
              <w:t>i</w:t>
            </w:r>
            <w:r>
              <w:rPr>
                <w:spacing w:val="-5"/>
                <w:sz w:val="24"/>
              </w:rPr>
              <w:t>n</w:t>
            </w:r>
          </w:p>
          <w:p>
            <w:pPr>
              <w:pStyle w:val="TableParagraph"/>
              <w:spacing w:line="261" w:lineRule="exact"/>
              <w:ind w:left="827"/>
              <w:rPr>
                <w:sz w:val="24"/>
              </w:rPr>
            </w:pPr>
            <w:r>
              <w:rPr>
                <w:sz w:val="24"/>
              </w:rPr>
              <w:t>duplex</w:t>
            </w:r>
            <w:r>
              <w:rPr>
                <w:spacing w:val="-5"/>
                <w:sz w:val="24"/>
              </w:rPr>
              <w:t> </w:t>
            </w:r>
            <w:r>
              <w:rPr>
                <w:spacing w:val="-4"/>
                <w:sz w:val="24"/>
              </w:rPr>
              <w:t>flat</w:t>
            </w:r>
          </w:p>
        </w:tc>
        <w:tc>
          <w:tcPr>
            <w:tcW w:w="2341" w:type="dxa"/>
          </w:tcPr>
          <w:p>
            <w:pPr>
              <w:pStyle w:val="TableParagraph"/>
              <w:spacing w:line="281" w:lineRule="exact"/>
              <w:ind w:left="204" w:right="198"/>
              <w:jc w:val="center"/>
              <w:rPr>
                <w:sz w:val="24"/>
              </w:rPr>
            </w:pPr>
            <w:r>
              <w:rPr>
                <w:spacing w:val="-4"/>
                <w:sz w:val="24"/>
              </w:rPr>
              <w:t>0.90</w:t>
            </w:r>
          </w:p>
        </w:tc>
        <w:tc>
          <w:tcPr>
            <w:tcW w:w="2298" w:type="dxa"/>
          </w:tcPr>
          <w:p>
            <w:pPr>
              <w:pStyle w:val="TableParagraph"/>
              <w:spacing w:line="281" w:lineRule="exact"/>
              <w:ind w:left="5"/>
              <w:jc w:val="center"/>
              <w:rPr>
                <w:sz w:val="24"/>
              </w:rPr>
            </w:pPr>
            <w:r>
              <w:rPr>
                <w:spacing w:val="-10"/>
                <w:sz w:val="24"/>
              </w:rPr>
              <w:t>-</w:t>
            </w:r>
          </w:p>
        </w:tc>
      </w:tr>
      <w:tr>
        <w:trPr>
          <w:trHeight w:val="378" w:hRule="atLeast"/>
        </w:trPr>
        <w:tc>
          <w:tcPr>
            <w:tcW w:w="648" w:type="dxa"/>
          </w:tcPr>
          <w:p>
            <w:pPr>
              <w:pStyle w:val="TableParagraph"/>
              <w:rPr>
                <w:rFonts w:ascii="Times New Roman"/>
                <w:sz w:val="22"/>
              </w:rPr>
            </w:pPr>
          </w:p>
        </w:tc>
        <w:tc>
          <w:tcPr>
            <w:tcW w:w="3932" w:type="dxa"/>
          </w:tcPr>
          <w:p>
            <w:pPr>
              <w:pStyle w:val="TableParagraph"/>
              <w:spacing w:line="281" w:lineRule="exact"/>
              <w:ind w:left="467"/>
              <w:rPr>
                <w:sz w:val="24"/>
              </w:rPr>
            </w:pPr>
            <w:r>
              <w:rPr>
                <w:sz w:val="24"/>
              </w:rPr>
              <w:t>(c)</w:t>
            </w:r>
            <w:r>
              <w:rPr>
                <w:spacing w:val="14"/>
                <w:sz w:val="24"/>
              </w:rPr>
              <w:t> </w:t>
            </w:r>
            <w:r>
              <w:rPr>
                <w:spacing w:val="-2"/>
                <w:sz w:val="24"/>
              </w:rPr>
              <w:t>Hotels</w:t>
            </w:r>
          </w:p>
        </w:tc>
        <w:tc>
          <w:tcPr>
            <w:tcW w:w="2341" w:type="dxa"/>
          </w:tcPr>
          <w:p>
            <w:pPr>
              <w:pStyle w:val="TableParagraph"/>
              <w:spacing w:line="281" w:lineRule="exact"/>
              <w:ind w:left="204" w:right="198"/>
              <w:jc w:val="center"/>
              <w:rPr>
                <w:sz w:val="24"/>
              </w:rPr>
            </w:pPr>
            <w:r>
              <w:rPr>
                <w:spacing w:val="-4"/>
                <w:sz w:val="24"/>
              </w:rPr>
              <w:t>1.50</w:t>
            </w:r>
          </w:p>
        </w:tc>
        <w:tc>
          <w:tcPr>
            <w:tcW w:w="2298" w:type="dxa"/>
          </w:tcPr>
          <w:p>
            <w:pPr>
              <w:pStyle w:val="TableParagraph"/>
              <w:spacing w:line="281" w:lineRule="exact"/>
              <w:ind w:left="5"/>
              <w:jc w:val="center"/>
              <w:rPr>
                <w:sz w:val="24"/>
              </w:rPr>
            </w:pPr>
            <w:r>
              <w:rPr>
                <w:spacing w:val="-5"/>
                <w:sz w:val="24"/>
              </w:rPr>
              <w:t>2.0</w:t>
            </w:r>
          </w:p>
        </w:tc>
      </w:tr>
      <w:tr>
        <w:trPr>
          <w:trHeight w:val="376" w:hRule="atLeast"/>
        </w:trPr>
        <w:tc>
          <w:tcPr>
            <w:tcW w:w="648" w:type="dxa"/>
          </w:tcPr>
          <w:p>
            <w:pPr>
              <w:pStyle w:val="TableParagraph"/>
              <w:spacing w:line="261" w:lineRule="exact" w:before="95"/>
              <w:ind w:left="107"/>
              <w:rPr>
                <w:sz w:val="24"/>
              </w:rPr>
            </w:pPr>
            <w:r>
              <w:rPr>
                <w:spacing w:val="-10"/>
                <w:sz w:val="24"/>
              </w:rPr>
              <w:t>2</w:t>
            </w:r>
          </w:p>
        </w:tc>
        <w:tc>
          <w:tcPr>
            <w:tcW w:w="3932" w:type="dxa"/>
          </w:tcPr>
          <w:p>
            <w:pPr>
              <w:pStyle w:val="TableParagraph"/>
              <w:spacing w:line="281" w:lineRule="exact"/>
              <w:ind w:left="107"/>
              <w:rPr>
                <w:sz w:val="24"/>
              </w:rPr>
            </w:pPr>
            <w:r>
              <w:rPr>
                <w:sz w:val="24"/>
              </w:rPr>
              <w:t>Educational </w:t>
            </w:r>
            <w:r>
              <w:rPr>
                <w:spacing w:val="-2"/>
                <w:sz w:val="24"/>
              </w:rPr>
              <w:t>buildings</w:t>
            </w:r>
          </w:p>
        </w:tc>
        <w:tc>
          <w:tcPr>
            <w:tcW w:w="2341" w:type="dxa"/>
          </w:tcPr>
          <w:p>
            <w:pPr>
              <w:pStyle w:val="TableParagraph"/>
              <w:rPr>
                <w:rFonts w:ascii="Times New Roman"/>
                <w:sz w:val="22"/>
              </w:rPr>
            </w:pPr>
          </w:p>
        </w:tc>
        <w:tc>
          <w:tcPr>
            <w:tcW w:w="2298" w:type="dxa"/>
          </w:tcPr>
          <w:p>
            <w:pPr>
              <w:pStyle w:val="TableParagraph"/>
              <w:rPr>
                <w:rFonts w:ascii="Times New Roman"/>
                <w:sz w:val="22"/>
              </w:rPr>
            </w:pPr>
          </w:p>
        </w:tc>
      </w:tr>
      <w:tr>
        <w:trPr>
          <w:trHeight w:val="378" w:hRule="atLeast"/>
        </w:trPr>
        <w:tc>
          <w:tcPr>
            <w:tcW w:w="648" w:type="dxa"/>
          </w:tcPr>
          <w:p>
            <w:pPr>
              <w:pStyle w:val="TableParagraph"/>
              <w:rPr>
                <w:rFonts w:ascii="Times New Roman"/>
                <w:sz w:val="22"/>
              </w:rPr>
            </w:pPr>
          </w:p>
        </w:tc>
        <w:tc>
          <w:tcPr>
            <w:tcW w:w="3932" w:type="dxa"/>
          </w:tcPr>
          <w:p>
            <w:pPr>
              <w:pStyle w:val="TableParagraph"/>
              <w:spacing w:line="281" w:lineRule="exact"/>
              <w:ind w:right="1258"/>
              <w:jc w:val="right"/>
              <w:rPr>
                <w:sz w:val="24"/>
              </w:rPr>
            </w:pPr>
            <w:r>
              <w:rPr>
                <w:sz w:val="24"/>
              </w:rPr>
              <w:t>(a)</w:t>
            </w:r>
            <w:r>
              <w:rPr>
                <w:spacing w:val="-3"/>
                <w:sz w:val="24"/>
              </w:rPr>
              <w:t> </w:t>
            </w:r>
            <w:r>
              <w:rPr>
                <w:sz w:val="24"/>
              </w:rPr>
              <w:t>Upto</w:t>
            </w:r>
            <w:r>
              <w:rPr>
                <w:spacing w:val="-1"/>
                <w:sz w:val="24"/>
              </w:rPr>
              <w:t> </w:t>
            </w:r>
            <w:r>
              <w:rPr>
                <w:sz w:val="24"/>
              </w:rPr>
              <w:t>32</w:t>
            </w:r>
            <w:r>
              <w:rPr>
                <w:spacing w:val="-1"/>
                <w:sz w:val="24"/>
              </w:rPr>
              <w:t> </w:t>
            </w:r>
            <w:r>
              <w:rPr>
                <w:sz w:val="24"/>
              </w:rPr>
              <w:t>m </w:t>
            </w:r>
            <w:r>
              <w:rPr>
                <w:spacing w:val="-4"/>
                <w:sz w:val="24"/>
              </w:rPr>
              <w:t>high</w:t>
            </w:r>
          </w:p>
        </w:tc>
        <w:tc>
          <w:tcPr>
            <w:tcW w:w="2341" w:type="dxa"/>
          </w:tcPr>
          <w:p>
            <w:pPr>
              <w:pStyle w:val="TableParagraph"/>
              <w:spacing w:line="281" w:lineRule="exact"/>
              <w:ind w:left="204" w:right="198"/>
              <w:jc w:val="center"/>
              <w:rPr>
                <w:sz w:val="24"/>
              </w:rPr>
            </w:pPr>
            <w:r>
              <w:rPr>
                <w:spacing w:val="-4"/>
                <w:sz w:val="24"/>
              </w:rPr>
              <w:t>1.50</w:t>
            </w:r>
          </w:p>
        </w:tc>
        <w:tc>
          <w:tcPr>
            <w:tcW w:w="2298" w:type="dxa"/>
          </w:tcPr>
          <w:p>
            <w:pPr>
              <w:pStyle w:val="TableParagraph"/>
              <w:spacing w:line="281" w:lineRule="exact"/>
              <w:ind w:left="5"/>
              <w:jc w:val="center"/>
              <w:rPr>
                <w:sz w:val="24"/>
              </w:rPr>
            </w:pPr>
            <w:r>
              <w:rPr>
                <w:spacing w:val="-10"/>
                <w:sz w:val="24"/>
              </w:rPr>
              <w:t>-</w:t>
            </w:r>
          </w:p>
        </w:tc>
      </w:tr>
      <w:tr>
        <w:trPr>
          <w:trHeight w:val="376" w:hRule="atLeast"/>
        </w:trPr>
        <w:tc>
          <w:tcPr>
            <w:tcW w:w="648" w:type="dxa"/>
          </w:tcPr>
          <w:p>
            <w:pPr>
              <w:pStyle w:val="TableParagraph"/>
              <w:rPr>
                <w:rFonts w:ascii="Times New Roman"/>
                <w:sz w:val="22"/>
              </w:rPr>
            </w:pPr>
          </w:p>
        </w:tc>
        <w:tc>
          <w:tcPr>
            <w:tcW w:w="3932" w:type="dxa"/>
          </w:tcPr>
          <w:p>
            <w:pPr>
              <w:pStyle w:val="TableParagraph"/>
              <w:spacing w:line="281" w:lineRule="exact"/>
              <w:ind w:right="1272"/>
              <w:jc w:val="right"/>
              <w:rPr>
                <w:sz w:val="24"/>
              </w:rPr>
            </w:pPr>
            <w:r>
              <w:rPr>
                <w:sz w:val="24"/>
              </w:rPr>
              <w:t>(b)</w:t>
            </w:r>
            <w:r>
              <w:rPr>
                <w:spacing w:val="-11"/>
                <w:sz w:val="24"/>
              </w:rPr>
              <w:t> </w:t>
            </w:r>
            <w:r>
              <w:rPr>
                <w:sz w:val="24"/>
              </w:rPr>
              <w:t>Over 32 m </w:t>
            </w:r>
            <w:r>
              <w:rPr>
                <w:spacing w:val="-4"/>
                <w:sz w:val="24"/>
              </w:rPr>
              <w:t>high</w:t>
            </w:r>
          </w:p>
        </w:tc>
        <w:tc>
          <w:tcPr>
            <w:tcW w:w="2341" w:type="dxa"/>
          </w:tcPr>
          <w:p>
            <w:pPr>
              <w:pStyle w:val="TableParagraph"/>
              <w:spacing w:line="281" w:lineRule="exact"/>
              <w:ind w:left="204" w:right="198"/>
              <w:jc w:val="center"/>
              <w:rPr>
                <w:sz w:val="24"/>
              </w:rPr>
            </w:pPr>
            <w:r>
              <w:rPr>
                <w:spacing w:val="-5"/>
                <w:sz w:val="24"/>
              </w:rPr>
              <w:t>2.0</w:t>
            </w:r>
          </w:p>
        </w:tc>
        <w:tc>
          <w:tcPr>
            <w:tcW w:w="2298" w:type="dxa"/>
          </w:tcPr>
          <w:p>
            <w:pPr>
              <w:pStyle w:val="TableParagraph"/>
              <w:spacing w:line="281" w:lineRule="exact"/>
              <w:ind w:left="5"/>
              <w:jc w:val="center"/>
              <w:rPr>
                <w:sz w:val="24"/>
              </w:rPr>
            </w:pPr>
            <w:r>
              <w:rPr>
                <w:spacing w:val="-10"/>
                <w:sz w:val="24"/>
              </w:rPr>
              <w:t>-</w:t>
            </w:r>
          </w:p>
        </w:tc>
      </w:tr>
      <w:tr>
        <w:trPr>
          <w:trHeight w:val="378" w:hRule="atLeast"/>
        </w:trPr>
        <w:tc>
          <w:tcPr>
            <w:tcW w:w="648" w:type="dxa"/>
          </w:tcPr>
          <w:p>
            <w:pPr>
              <w:pStyle w:val="TableParagraph"/>
              <w:spacing w:line="264" w:lineRule="exact" w:before="95"/>
              <w:ind w:left="107"/>
              <w:rPr>
                <w:sz w:val="24"/>
              </w:rPr>
            </w:pPr>
            <w:r>
              <w:rPr>
                <w:spacing w:val="-10"/>
                <w:sz w:val="24"/>
              </w:rPr>
              <w:t>3</w:t>
            </w:r>
          </w:p>
        </w:tc>
        <w:tc>
          <w:tcPr>
            <w:tcW w:w="3932" w:type="dxa"/>
          </w:tcPr>
          <w:p>
            <w:pPr>
              <w:pStyle w:val="TableParagraph"/>
              <w:spacing w:line="281" w:lineRule="exact"/>
              <w:ind w:left="107"/>
              <w:rPr>
                <w:sz w:val="24"/>
              </w:rPr>
            </w:pPr>
            <w:r>
              <w:rPr>
                <w:sz w:val="24"/>
              </w:rPr>
              <w:t>Institutional</w:t>
            </w:r>
            <w:r>
              <w:rPr>
                <w:spacing w:val="2"/>
                <w:sz w:val="24"/>
              </w:rPr>
              <w:t> </w:t>
            </w:r>
            <w:r>
              <w:rPr>
                <w:spacing w:val="-2"/>
                <w:sz w:val="24"/>
              </w:rPr>
              <w:t>buildings</w:t>
            </w:r>
          </w:p>
        </w:tc>
        <w:tc>
          <w:tcPr>
            <w:tcW w:w="2341" w:type="dxa"/>
          </w:tcPr>
          <w:p>
            <w:pPr>
              <w:pStyle w:val="TableParagraph"/>
              <w:spacing w:line="281" w:lineRule="exact"/>
              <w:ind w:left="204" w:right="198"/>
              <w:jc w:val="center"/>
              <w:rPr>
                <w:sz w:val="24"/>
              </w:rPr>
            </w:pPr>
            <w:r>
              <w:rPr>
                <w:spacing w:val="-4"/>
                <w:sz w:val="24"/>
              </w:rPr>
              <w:t>1.50</w:t>
            </w:r>
          </w:p>
        </w:tc>
        <w:tc>
          <w:tcPr>
            <w:tcW w:w="2298" w:type="dxa"/>
          </w:tcPr>
          <w:p>
            <w:pPr>
              <w:pStyle w:val="TableParagraph"/>
              <w:spacing w:line="281" w:lineRule="exact"/>
              <w:ind w:left="5"/>
              <w:jc w:val="center"/>
              <w:rPr>
                <w:sz w:val="24"/>
              </w:rPr>
            </w:pPr>
            <w:r>
              <w:rPr>
                <w:spacing w:val="-5"/>
                <w:sz w:val="24"/>
              </w:rPr>
              <w:t>2.0</w:t>
            </w:r>
          </w:p>
        </w:tc>
      </w:tr>
      <w:tr>
        <w:trPr>
          <w:trHeight w:val="376" w:hRule="atLeast"/>
        </w:trPr>
        <w:tc>
          <w:tcPr>
            <w:tcW w:w="648" w:type="dxa"/>
          </w:tcPr>
          <w:p>
            <w:pPr>
              <w:pStyle w:val="TableParagraph"/>
              <w:spacing w:line="261" w:lineRule="exact" w:before="95"/>
              <w:ind w:left="107"/>
              <w:rPr>
                <w:sz w:val="24"/>
              </w:rPr>
            </w:pPr>
            <w:r>
              <w:rPr>
                <w:spacing w:val="-10"/>
                <w:sz w:val="24"/>
              </w:rPr>
              <w:t>4</w:t>
            </w:r>
          </w:p>
        </w:tc>
        <w:tc>
          <w:tcPr>
            <w:tcW w:w="3932" w:type="dxa"/>
          </w:tcPr>
          <w:p>
            <w:pPr>
              <w:pStyle w:val="TableParagraph"/>
              <w:spacing w:line="281" w:lineRule="exact"/>
              <w:ind w:left="107"/>
              <w:rPr>
                <w:sz w:val="24"/>
              </w:rPr>
            </w:pPr>
            <w:r>
              <w:rPr>
                <w:sz w:val="24"/>
              </w:rPr>
              <w:t>Assembly </w:t>
            </w:r>
            <w:r>
              <w:rPr>
                <w:spacing w:val="-2"/>
                <w:sz w:val="24"/>
              </w:rPr>
              <w:t>buildings</w:t>
            </w:r>
          </w:p>
        </w:tc>
        <w:tc>
          <w:tcPr>
            <w:tcW w:w="2341" w:type="dxa"/>
          </w:tcPr>
          <w:p>
            <w:pPr>
              <w:pStyle w:val="TableParagraph"/>
              <w:spacing w:line="281" w:lineRule="exact"/>
              <w:ind w:left="204" w:right="198"/>
              <w:jc w:val="center"/>
              <w:rPr>
                <w:sz w:val="24"/>
              </w:rPr>
            </w:pPr>
            <w:r>
              <w:rPr>
                <w:spacing w:val="-5"/>
                <w:sz w:val="24"/>
              </w:rPr>
              <w:t>2.0</w:t>
            </w:r>
          </w:p>
        </w:tc>
        <w:tc>
          <w:tcPr>
            <w:tcW w:w="2298" w:type="dxa"/>
          </w:tcPr>
          <w:p>
            <w:pPr>
              <w:pStyle w:val="TableParagraph"/>
              <w:spacing w:line="281" w:lineRule="exact"/>
              <w:ind w:left="5"/>
              <w:jc w:val="center"/>
              <w:rPr>
                <w:sz w:val="24"/>
              </w:rPr>
            </w:pPr>
            <w:r>
              <w:rPr>
                <w:spacing w:val="-5"/>
                <w:sz w:val="24"/>
              </w:rPr>
              <w:t>2.0</w:t>
            </w:r>
          </w:p>
        </w:tc>
      </w:tr>
      <w:tr>
        <w:trPr>
          <w:trHeight w:val="564" w:hRule="atLeast"/>
        </w:trPr>
        <w:tc>
          <w:tcPr>
            <w:tcW w:w="648" w:type="dxa"/>
          </w:tcPr>
          <w:p>
            <w:pPr>
              <w:pStyle w:val="TableParagraph"/>
              <w:spacing w:before="95"/>
              <w:ind w:left="107"/>
              <w:rPr>
                <w:sz w:val="24"/>
              </w:rPr>
            </w:pPr>
            <w:r>
              <w:rPr>
                <w:spacing w:val="-10"/>
                <w:sz w:val="24"/>
              </w:rPr>
              <w:t>5</w:t>
            </w:r>
          </w:p>
        </w:tc>
        <w:tc>
          <w:tcPr>
            <w:tcW w:w="3932" w:type="dxa"/>
          </w:tcPr>
          <w:p>
            <w:pPr>
              <w:pStyle w:val="TableParagraph"/>
              <w:spacing w:line="281" w:lineRule="exact"/>
              <w:ind w:left="107"/>
              <w:rPr>
                <w:sz w:val="24"/>
              </w:rPr>
            </w:pPr>
            <w:r>
              <w:rPr>
                <w:sz w:val="24"/>
              </w:rPr>
              <w:t>Mercantile</w:t>
            </w:r>
            <w:r>
              <w:rPr>
                <w:spacing w:val="46"/>
                <w:w w:val="150"/>
                <w:sz w:val="24"/>
              </w:rPr>
              <w:t> </w:t>
            </w:r>
            <w:r>
              <w:rPr>
                <w:sz w:val="24"/>
              </w:rPr>
              <w:t>storage,</w:t>
            </w:r>
            <w:r>
              <w:rPr>
                <w:spacing w:val="47"/>
                <w:w w:val="150"/>
                <w:sz w:val="24"/>
              </w:rPr>
              <w:t> </w:t>
            </w:r>
            <w:r>
              <w:rPr>
                <w:spacing w:val="-2"/>
                <w:sz w:val="24"/>
              </w:rPr>
              <w:t>hazardous</w:t>
            </w:r>
          </w:p>
          <w:p>
            <w:pPr>
              <w:pStyle w:val="TableParagraph"/>
              <w:spacing w:line="262" w:lineRule="exact" w:before="1"/>
              <w:ind w:left="107"/>
              <w:rPr>
                <w:sz w:val="24"/>
              </w:rPr>
            </w:pPr>
            <w:r>
              <w:rPr>
                <w:spacing w:val="-2"/>
                <w:sz w:val="24"/>
              </w:rPr>
              <w:t>buildings</w:t>
            </w:r>
          </w:p>
        </w:tc>
        <w:tc>
          <w:tcPr>
            <w:tcW w:w="2341" w:type="dxa"/>
          </w:tcPr>
          <w:p>
            <w:pPr>
              <w:pStyle w:val="TableParagraph"/>
              <w:spacing w:line="281" w:lineRule="exact"/>
              <w:ind w:left="204" w:right="198"/>
              <w:jc w:val="center"/>
              <w:rPr>
                <w:sz w:val="24"/>
              </w:rPr>
            </w:pPr>
            <w:r>
              <w:rPr>
                <w:spacing w:val="-4"/>
                <w:sz w:val="24"/>
              </w:rPr>
              <w:t>1.50</w:t>
            </w:r>
          </w:p>
        </w:tc>
        <w:tc>
          <w:tcPr>
            <w:tcW w:w="2298" w:type="dxa"/>
          </w:tcPr>
          <w:p>
            <w:pPr>
              <w:pStyle w:val="TableParagraph"/>
              <w:spacing w:line="281" w:lineRule="exact"/>
              <w:ind w:left="5"/>
              <w:jc w:val="center"/>
              <w:rPr>
                <w:sz w:val="24"/>
              </w:rPr>
            </w:pPr>
            <w:r>
              <w:rPr>
                <w:spacing w:val="-5"/>
                <w:sz w:val="24"/>
              </w:rPr>
              <w:t>2.0</w:t>
            </w:r>
          </w:p>
        </w:tc>
      </w:tr>
      <w:tr>
        <w:trPr>
          <w:trHeight w:val="378" w:hRule="atLeast"/>
        </w:trPr>
        <w:tc>
          <w:tcPr>
            <w:tcW w:w="648" w:type="dxa"/>
          </w:tcPr>
          <w:p>
            <w:pPr>
              <w:pStyle w:val="TableParagraph"/>
              <w:spacing w:line="264" w:lineRule="exact" w:before="95"/>
              <w:ind w:left="107"/>
              <w:rPr>
                <w:sz w:val="24"/>
              </w:rPr>
            </w:pPr>
            <w:r>
              <w:rPr>
                <w:spacing w:val="-10"/>
                <w:sz w:val="24"/>
              </w:rPr>
              <w:t>6</w:t>
            </w:r>
          </w:p>
        </w:tc>
        <w:tc>
          <w:tcPr>
            <w:tcW w:w="3932" w:type="dxa"/>
          </w:tcPr>
          <w:p>
            <w:pPr>
              <w:pStyle w:val="TableParagraph"/>
              <w:spacing w:line="281" w:lineRule="exact"/>
              <w:ind w:left="107"/>
              <w:rPr>
                <w:sz w:val="24"/>
              </w:rPr>
            </w:pPr>
            <w:r>
              <w:rPr>
                <w:sz w:val="24"/>
              </w:rPr>
              <w:t>Industrial </w:t>
            </w:r>
            <w:r>
              <w:rPr>
                <w:spacing w:val="-2"/>
                <w:sz w:val="24"/>
              </w:rPr>
              <w:t>Building</w:t>
            </w:r>
          </w:p>
        </w:tc>
        <w:tc>
          <w:tcPr>
            <w:tcW w:w="2341" w:type="dxa"/>
          </w:tcPr>
          <w:p>
            <w:pPr>
              <w:pStyle w:val="TableParagraph"/>
              <w:spacing w:line="281" w:lineRule="exact"/>
              <w:ind w:left="204" w:right="198"/>
              <w:jc w:val="center"/>
              <w:rPr>
                <w:sz w:val="24"/>
              </w:rPr>
            </w:pPr>
            <w:r>
              <w:rPr>
                <w:spacing w:val="-4"/>
                <w:sz w:val="24"/>
              </w:rPr>
              <w:t>2.00</w:t>
            </w:r>
          </w:p>
        </w:tc>
        <w:tc>
          <w:tcPr>
            <w:tcW w:w="2298" w:type="dxa"/>
          </w:tcPr>
          <w:p>
            <w:pPr>
              <w:pStyle w:val="TableParagraph"/>
              <w:rPr>
                <w:rFonts w:ascii="Times New Roman"/>
                <w:sz w:val="22"/>
              </w:rPr>
            </w:pPr>
          </w:p>
        </w:tc>
      </w:tr>
    </w:tbl>
    <w:p>
      <w:pPr>
        <w:pStyle w:val="BodyText"/>
        <w:spacing w:before="5"/>
        <w:jc w:val="left"/>
        <w:rPr>
          <w:i/>
        </w:rPr>
      </w:pPr>
    </w:p>
    <w:p>
      <w:pPr>
        <w:pStyle w:val="BodyText"/>
        <w:ind w:left="1313"/>
        <w:jc w:val="left"/>
      </w:pPr>
      <w:r>
        <w:rPr>
          <w:spacing w:val="-2"/>
        </w:rPr>
        <w:t>Note:</w:t>
      </w:r>
    </w:p>
    <w:p>
      <w:pPr>
        <w:pStyle w:val="BodyText"/>
        <w:spacing w:line="281" w:lineRule="exact" w:before="1"/>
        <w:ind w:left="1313"/>
        <w:jc w:val="left"/>
      </w:pPr>
      <w:r>
        <w:rPr/>
        <w:t>Width</w:t>
      </w:r>
      <w:r>
        <w:rPr>
          <w:spacing w:val="68"/>
        </w:rPr>
        <w:t> </w:t>
      </w:r>
      <w:r>
        <w:rPr/>
        <w:t>of</w:t>
      </w:r>
      <w:r>
        <w:rPr>
          <w:spacing w:val="70"/>
        </w:rPr>
        <w:t> </w:t>
      </w:r>
      <w:r>
        <w:rPr/>
        <w:t>stairways</w:t>
      </w:r>
      <w:r>
        <w:rPr>
          <w:spacing w:val="71"/>
        </w:rPr>
        <w:t> </w:t>
      </w:r>
      <w:r>
        <w:rPr/>
        <w:t>or</w:t>
      </w:r>
      <w:r>
        <w:rPr>
          <w:spacing w:val="68"/>
        </w:rPr>
        <w:t> </w:t>
      </w:r>
      <w:r>
        <w:rPr/>
        <w:t>corridor</w:t>
      </w:r>
      <w:r>
        <w:rPr>
          <w:spacing w:val="68"/>
        </w:rPr>
        <w:t> </w:t>
      </w:r>
      <w:r>
        <w:rPr/>
        <w:t>in</w:t>
      </w:r>
      <w:r>
        <w:rPr>
          <w:spacing w:val="69"/>
        </w:rPr>
        <w:t> </w:t>
      </w:r>
      <w:r>
        <w:rPr/>
        <w:t>case</w:t>
      </w:r>
      <w:r>
        <w:rPr>
          <w:spacing w:val="68"/>
        </w:rPr>
        <w:t> </w:t>
      </w:r>
      <w:r>
        <w:rPr/>
        <w:t>of</w:t>
      </w:r>
      <w:r>
        <w:rPr>
          <w:spacing w:val="70"/>
        </w:rPr>
        <w:t> </w:t>
      </w:r>
      <w:r>
        <w:rPr/>
        <w:t>1(b)</w:t>
      </w:r>
      <w:r>
        <w:rPr>
          <w:spacing w:val="70"/>
        </w:rPr>
        <w:t> </w:t>
      </w:r>
      <w:r>
        <w:rPr/>
        <w:t>above</w:t>
      </w:r>
      <w:r>
        <w:rPr>
          <w:spacing w:val="68"/>
        </w:rPr>
        <w:t> </w:t>
      </w:r>
      <w:r>
        <w:rPr/>
        <w:t>shall</w:t>
      </w:r>
      <w:r>
        <w:rPr>
          <w:spacing w:val="70"/>
        </w:rPr>
        <w:t> </w:t>
      </w:r>
      <w:r>
        <w:rPr/>
        <w:t>be</w:t>
      </w:r>
      <w:r>
        <w:rPr>
          <w:spacing w:val="68"/>
        </w:rPr>
        <w:t> </w:t>
      </w:r>
      <w:r>
        <w:rPr/>
        <w:t>limited</w:t>
      </w:r>
      <w:r>
        <w:rPr>
          <w:spacing w:val="69"/>
        </w:rPr>
        <w:t> </w:t>
      </w:r>
      <w:r>
        <w:rPr>
          <w:spacing w:val="-5"/>
        </w:rPr>
        <w:t>to</w:t>
      </w:r>
    </w:p>
    <w:p>
      <w:pPr>
        <w:pStyle w:val="BodyText"/>
        <w:spacing w:line="281" w:lineRule="exact"/>
        <w:ind w:left="1313"/>
        <w:jc w:val="left"/>
      </w:pPr>
      <w:r>
        <w:rPr/>
        <w:t>1.20</w:t>
      </w:r>
      <w:r>
        <w:rPr>
          <w:spacing w:val="46"/>
        </w:rPr>
        <w:t> </w:t>
      </w:r>
      <w:r>
        <w:rPr>
          <w:spacing w:val="-5"/>
        </w:rPr>
        <w:t>m.</w:t>
      </w:r>
    </w:p>
    <w:p>
      <w:pPr>
        <w:pStyle w:val="ListParagraph"/>
        <w:numPr>
          <w:ilvl w:val="1"/>
          <w:numId w:val="255"/>
        </w:numPr>
        <w:tabs>
          <w:tab w:pos="1577" w:val="left" w:leader="none"/>
        </w:tabs>
        <w:spacing w:line="240" w:lineRule="auto" w:before="2" w:after="0"/>
        <w:ind w:left="1313" w:right="797" w:firstLine="0"/>
        <w:jc w:val="left"/>
        <w:rPr>
          <w:i/>
          <w:sz w:val="22"/>
        </w:rPr>
      </w:pPr>
      <w:r>
        <w:rPr>
          <w:i/>
          <w:sz w:val="24"/>
        </w:rPr>
        <w:t>Flight</w:t>
      </w:r>
      <w:r>
        <w:rPr>
          <w:sz w:val="24"/>
        </w:rPr>
        <w:t>-</w:t>
      </w:r>
      <w:r>
        <w:rPr>
          <w:spacing w:val="73"/>
          <w:sz w:val="24"/>
        </w:rPr>
        <w:t> </w:t>
      </w:r>
      <w:r>
        <w:rPr>
          <w:sz w:val="24"/>
        </w:rPr>
        <w:t>No</w:t>
      </w:r>
      <w:r>
        <w:rPr>
          <w:spacing w:val="69"/>
          <w:sz w:val="24"/>
        </w:rPr>
        <w:t> </w:t>
      </w:r>
      <w:r>
        <w:rPr>
          <w:sz w:val="24"/>
        </w:rPr>
        <w:t>flight</w:t>
      </w:r>
      <w:r>
        <w:rPr>
          <w:spacing w:val="76"/>
          <w:sz w:val="24"/>
        </w:rPr>
        <w:t> </w:t>
      </w:r>
      <w:r>
        <w:rPr>
          <w:sz w:val="24"/>
        </w:rPr>
        <w:t>shall</w:t>
      </w:r>
      <w:r>
        <w:rPr>
          <w:spacing w:val="69"/>
          <w:sz w:val="24"/>
        </w:rPr>
        <w:t> </w:t>
      </w:r>
      <w:r>
        <w:rPr>
          <w:sz w:val="24"/>
        </w:rPr>
        <w:t>contain</w:t>
      </w:r>
      <w:r>
        <w:rPr>
          <w:spacing w:val="73"/>
          <w:sz w:val="24"/>
        </w:rPr>
        <w:t> </w:t>
      </w:r>
      <w:r>
        <w:rPr>
          <w:sz w:val="24"/>
        </w:rPr>
        <w:t>more</w:t>
      </w:r>
      <w:r>
        <w:rPr>
          <w:spacing w:val="73"/>
          <w:sz w:val="24"/>
        </w:rPr>
        <w:t> </w:t>
      </w:r>
      <w:r>
        <w:rPr>
          <w:sz w:val="24"/>
        </w:rPr>
        <w:t>than</w:t>
      </w:r>
      <w:r>
        <w:rPr>
          <w:spacing w:val="73"/>
          <w:sz w:val="24"/>
        </w:rPr>
        <w:t> </w:t>
      </w:r>
      <w:r>
        <w:rPr>
          <w:sz w:val="24"/>
        </w:rPr>
        <w:t>12</w:t>
      </w:r>
      <w:r>
        <w:rPr>
          <w:spacing w:val="69"/>
          <w:sz w:val="24"/>
        </w:rPr>
        <w:t> </w:t>
      </w:r>
      <w:r>
        <w:rPr>
          <w:sz w:val="24"/>
        </w:rPr>
        <w:t>risers,</w:t>
      </w:r>
      <w:r>
        <w:rPr>
          <w:spacing w:val="73"/>
          <w:sz w:val="24"/>
        </w:rPr>
        <w:t> </w:t>
      </w:r>
      <w:r>
        <w:rPr>
          <w:sz w:val="24"/>
        </w:rPr>
        <w:t>but</w:t>
      </w:r>
      <w:r>
        <w:rPr>
          <w:spacing w:val="69"/>
          <w:sz w:val="24"/>
        </w:rPr>
        <w:t> </w:t>
      </w:r>
      <w:r>
        <w:rPr>
          <w:sz w:val="24"/>
        </w:rPr>
        <w:t>in</w:t>
      </w:r>
      <w:r>
        <w:rPr>
          <w:spacing w:val="69"/>
          <w:sz w:val="24"/>
        </w:rPr>
        <w:t> </w:t>
      </w:r>
      <w:r>
        <w:rPr>
          <w:sz w:val="24"/>
        </w:rPr>
        <w:t>residential buildings,</w:t>
      </w:r>
      <w:r>
        <w:rPr>
          <w:spacing w:val="80"/>
          <w:sz w:val="24"/>
        </w:rPr>
        <w:t> </w:t>
      </w:r>
      <w:r>
        <w:rPr>
          <w:sz w:val="24"/>
        </w:rPr>
        <w:t>in</w:t>
      </w:r>
      <w:r>
        <w:rPr>
          <w:spacing w:val="80"/>
          <w:sz w:val="24"/>
        </w:rPr>
        <w:t> </w:t>
      </w:r>
      <w:r>
        <w:rPr>
          <w:sz w:val="24"/>
        </w:rPr>
        <w:t>narrow</w:t>
      </w:r>
      <w:r>
        <w:rPr>
          <w:spacing w:val="80"/>
          <w:sz w:val="24"/>
        </w:rPr>
        <w:t> </w:t>
      </w:r>
      <w:r>
        <w:rPr>
          <w:sz w:val="24"/>
        </w:rPr>
        <w:t>plots</w:t>
      </w:r>
      <w:r>
        <w:rPr>
          <w:spacing w:val="79"/>
          <w:sz w:val="24"/>
        </w:rPr>
        <w:t> </w:t>
      </w:r>
      <w:r>
        <w:rPr>
          <w:sz w:val="24"/>
        </w:rPr>
        <w:t>a</w:t>
      </w:r>
      <w:r>
        <w:rPr>
          <w:spacing w:val="80"/>
          <w:sz w:val="24"/>
        </w:rPr>
        <w:t> </w:t>
      </w:r>
      <w:r>
        <w:rPr>
          <w:sz w:val="24"/>
        </w:rPr>
        <w:t>single</w:t>
      </w:r>
      <w:r>
        <w:rPr>
          <w:spacing w:val="79"/>
          <w:sz w:val="24"/>
        </w:rPr>
        <w:t> </w:t>
      </w:r>
      <w:r>
        <w:rPr>
          <w:sz w:val="24"/>
        </w:rPr>
        <w:t>flight</w:t>
      </w:r>
      <w:r>
        <w:rPr>
          <w:spacing w:val="79"/>
          <w:sz w:val="24"/>
        </w:rPr>
        <w:t> </w:t>
      </w:r>
      <w:r>
        <w:rPr>
          <w:sz w:val="24"/>
        </w:rPr>
        <w:t>staircase</w:t>
      </w:r>
      <w:r>
        <w:rPr>
          <w:spacing w:val="79"/>
          <w:sz w:val="24"/>
        </w:rPr>
        <w:t> </w:t>
      </w:r>
      <w:r>
        <w:rPr>
          <w:sz w:val="24"/>
        </w:rPr>
        <w:t>may</w:t>
      </w:r>
      <w:r>
        <w:rPr>
          <w:spacing w:val="79"/>
          <w:sz w:val="24"/>
        </w:rPr>
        <w:t> </w:t>
      </w:r>
      <w:r>
        <w:rPr>
          <w:sz w:val="24"/>
        </w:rPr>
        <w:t>be</w:t>
      </w:r>
      <w:r>
        <w:rPr>
          <w:spacing w:val="79"/>
          <w:sz w:val="24"/>
        </w:rPr>
        <w:t> </w:t>
      </w:r>
      <w:r>
        <w:rPr>
          <w:sz w:val="24"/>
        </w:rPr>
        <w:t>permitted.</w:t>
      </w:r>
    </w:p>
    <w:p>
      <w:pPr>
        <w:pStyle w:val="ListParagraph"/>
        <w:spacing w:after="0" w:line="240" w:lineRule="auto"/>
        <w:jc w:val="left"/>
        <w:rPr>
          <w:i/>
          <w:sz w:val="22"/>
        </w:rPr>
        <w:sectPr>
          <w:pgSz w:w="11910" w:h="16840"/>
          <w:pgMar w:header="1058" w:footer="1201" w:top="1500" w:bottom="1400" w:left="360" w:right="360"/>
        </w:sectPr>
      </w:pPr>
    </w:p>
    <w:p>
      <w:pPr>
        <w:pStyle w:val="ListParagraph"/>
        <w:numPr>
          <w:ilvl w:val="1"/>
          <w:numId w:val="255"/>
        </w:numPr>
        <w:tabs>
          <w:tab w:pos="1693" w:val="left" w:leader="none"/>
        </w:tabs>
        <w:spacing w:line="240" w:lineRule="auto" w:before="255" w:after="0"/>
        <w:ind w:left="1313" w:right="785" w:firstLine="0"/>
        <w:jc w:val="both"/>
        <w:rPr>
          <w:i/>
          <w:sz w:val="22"/>
        </w:rPr>
      </w:pPr>
      <w:r>
        <w:rPr>
          <w:i/>
          <w:sz w:val="24"/>
        </w:rPr>
        <w:t>Risers</w:t>
      </w:r>
      <w:r>
        <w:rPr>
          <w:sz w:val="24"/>
        </w:rPr>
        <w:t>- The maximum height of a riser shall be 17.50 cm in any occupancy.</w:t>
      </w:r>
      <w:r>
        <w:rPr>
          <w:spacing w:val="80"/>
          <w:w w:val="150"/>
          <w:sz w:val="24"/>
        </w:rPr>
        <w:t> </w:t>
      </w:r>
      <w:r>
        <w:rPr>
          <w:sz w:val="24"/>
        </w:rPr>
        <w:t>However,</w:t>
      </w:r>
      <w:r>
        <w:rPr>
          <w:spacing w:val="40"/>
          <w:sz w:val="24"/>
        </w:rPr>
        <w:t> </w:t>
      </w:r>
      <w:r>
        <w:rPr>
          <w:sz w:val="24"/>
        </w:rPr>
        <w:t>on</w:t>
      </w:r>
      <w:r>
        <w:rPr>
          <w:spacing w:val="40"/>
          <w:sz w:val="24"/>
        </w:rPr>
        <w:t> </w:t>
      </w:r>
      <w:r>
        <w:rPr>
          <w:sz w:val="24"/>
        </w:rPr>
        <w:t>an</w:t>
      </w:r>
      <w:r>
        <w:rPr>
          <w:spacing w:val="40"/>
          <w:sz w:val="24"/>
        </w:rPr>
        <w:t> </w:t>
      </w:r>
      <w:r>
        <w:rPr>
          <w:sz w:val="24"/>
        </w:rPr>
        <w:t>internal</w:t>
      </w:r>
      <w:r>
        <w:rPr>
          <w:spacing w:val="40"/>
          <w:sz w:val="24"/>
        </w:rPr>
        <w:t> </w:t>
      </w:r>
      <w:r>
        <w:rPr>
          <w:sz w:val="24"/>
        </w:rPr>
        <w:t>stairway</w:t>
      </w:r>
      <w:r>
        <w:rPr>
          <w:spacing w:val="40"/>
          <w:sz w:val="24"/>
        </w:rPr>
        <w:t> </w:t>
      </w:r>
      <w:r>
        <w:rPr>
          <w:sz w:val="24"/>
        </w:rPr>
        <w:t>within</w:t>
      </w:r>
      <w:r>
        <w:rPr>
          <w:spacing w:val="40"/>
          <w:sz w:val="24"/>
        </w:rPr>
        <w:t> </w:t>
      </w:r>
      <w:r>
        <w:rPr>
          <w:sz w:val="24"/>
        </w:rPr>
        <w:t>a</w:t>
      </w:r>
      <w:r>
        <w:rPr>
          <w:spacing w:val="40"/>
          <w:sz w:val="24"/>
        </w:rPr>
        <w:t> </w:t>
      </w:r>
      <w:r>
        <w:rPr>
          <w:sz w:val="24"/>
        </w:rPr>
        <w:t>dwelling</w:t>
      </w:r>
      <w:r>
        <w:rPr>
          <w:spacing w:val="40"/>
          <w:sz w:val="24"/>
        </w:rPr>
        <w:t> </w:t>
      </w:r>
      <w:r>
        <w:rPr>
          <w:sz w:val="24"/>
        </w:rPr>
        <w:t>unit</w:t>
      </w:r>
      <w:r>
        <w:rPr>
          <w:spacing w:val="40"/>
          <w:sz w:val="24"/>
        </w:rPr>
        <w:t> </w:t>
      </w:r>
      <w:r>
        <w:rPr>
          <w:sz w:val="24"/>
        </w:rPr>
        <w:t>a riser</w:t>
      </w:r>
      <w:r>
        <w:rPr>
          <w:spacing w:val="40"/>
          <w:sz w:val="24"/>
        </w:rPr>
        <w:t> </w:t>
      </w:r>
      <w:r>
        <w:rPr>
          <w:sz w:val="24"/>
        </w:rPr>
        <w:t>may</w:t>
      </w:r>
      <w:r>
        <w:rPr>
          <w:spacing w:val="40"/>
          <w:sz w:val="24"/>
        </w:rPr>
        <w:t> </w:t>
      </w:r>
      <w:r>
        <w:rPr>
          <w:sz w:val="24"/>
        </w:rPr>
        <w:t>be</w:t>
      </w:r>
      <w:r>
        <w:rPr>
          <w:spacing w:val="40"/>
          <w:sz w:val="24"/>
        </w:rPr>
        <w:t> </w:t>
      </w:r>
      <w:r>
        <w:rPr>
          <w:sz w:val="24"/>
        </w:rPr>
        <w:t>25</w:t>
      </w:r>
      <w:r>
        <w:rPr>
          <w:spacing w:val="40"/>
          <w:sz w:val="24"/>
        </w:rPr>
        <w:t> </w:t>
      </w:r>
      <w:r>
        <w:rPr>
          <w:sz w:val="24"/>
        </w:rPr>
        <w:t>cm</w:t>
      </w:r>
      <w:r>
        <w:rPr>
          <w:spacing w:val="40"/>
          <w:sz w:val="24"/>
        </w:rPr>
        <w:t> </w:t>
      </w:r>
      <w:r>
        <w:rPr>
          <w:sz w:val="24"/>
        </w:rPr>
        <w:t>high.</w:t>
      </w:r>
    </w:p>
    <w:p>
      <w:pPr>
        <w:pStyle w:val="ListParagraph"/>
        <w:numPr>
          <w:ilvl w:val="1"/>
          <w:numId w:val="255"/>
        </w:numPr>
        <w:tabs>
          <w:tab w:pos="1682" w:val="left" w:leader="none"/>
        </w:tabs>
        <w:spacing w:line="240" w:lineRule="auto" w:before="2" w:after="0"/>
        <w:ind w:left="1313" w:right="768" w:firstLine="0"/>
        <w:jc w:val="both"/>
        <w:rPr>
          <w:i/>
          <w:sz w:val="22"/>
        </w:rPr>
      </w:pPr>
      <w:r>
        <w:rPr>
          <w:sz w:val="24"/>
        </w:rPr>
        <w:t>T</w:t>
      </w:r>
      <w:r>
        <w:rPr>
          <w:i/>
          <w:sz w:val="24"/>
        </w:rPr>
        <w:t>reads</w:t>
      </w:r>
      <w:r>
        <w:rPr>
          <w:sz w:val="24"/>
        </w:rPr>
        <w:t>-</w:t>
      </w:r>
      <w:r>
        <w:rPr>
          <w:spacing w:val="40"/>
          <w:sz w:val="24"/>
        </w:rPr>
        <w:t> </w:t>
      </w:r>
      <w:r>
        <w:rPr>
          <w:sz w:val="24"/>
        </w:rPr>
        <w:t>The</w:t>
      </w:r>
      <w:r>
        <w:rPr>
          <w:spacing w:val="40"/>
          <w:sz w:val="24"/>
        </w:rPr>
        <w:t> </w:t>
      </w:r>
      <w:r>
        <w:rPr>
          <w:sz w:val="24"/>
        </w:rPr>
        <w:t>minimum</w:t>
      </w:r>
      <w:r>
        <w:rPr>
          <w:spacing w:val="40"/>
          <w:sz w:val="24"/>
        </w:rPr>
        <w:t> </w:t>
      </w:r>
      <w:r>
        <w:rPr>
          <w:sz w:val="24"/>
        </w:rPr>
        <w:t>width</w:t>
      </w:r>
      <w:r>
        <w:rPr>
          <w:spacing w:val="40"/>
          <w:sz w:val="24"/>
        </w:rPr>
        <w:t> </w:t>
      </w:r>
      <w:r>
        <w:rPr>
          <w:sz w:val="24"/>
        </w:rPr>
        <w:t>of</w:t>
      </w:r>
      <w:r>
        <w:rPr>
          <w:spacing w:val="40"/>
          <w:sz w:val="24"/>
        </w:rPr>
        <w:t> </w:t>
      </w:r>
      <w:r>
        <w:rPr>
          <w:sz w:val="24"/>
        </w:rPr>
        <w:t>the</w:t>
      </w:r>
      <w:r>
        <w:rPr>
          <w:spacing w:val="40"/>
          <w:sz w:val="24"/>
        </w:rPr>
        <w:t> </w:t>
      </w:r>
      <w:r>
        <w:rPr>
          <w:sz w:val="24"/>
        </w:rPr>
        <w:t>tread</w:t>
      </w:r>
      <w:r>
        <w:rPr>
          <w:spacing w:val="40"/>
          <w:sz w:val="24"/>
        </w:rPr>
        <w:t> </w:t>
      </w:r>
      <w:r>
        <w:rPr>
          <w:sz w:val="24"/>
        </w:rPr>
        <w:t>without</w:t>
      </w:r>
      <w:r>
        <w:rPr>
          <w:spacing w:val="40"/>
          <w:sz w:val="24"/>
        </w:rPr>
        <w:t> </w:t>
      </w:r>
      <w:r>
        <w:rPr>
          <w:sz w:val="24"/>
        </w:rPr>
        <w:t>nosing</w:t>
      </w:r>
      <w:r>
        <w:rPr>
          <w:spacing w:val="40"/>
          <w:sz w:val="24"/>
        </w:rPr>
        <w:t> </w:t>
      </w:r>
      <w:r>
        <w:rPr>
          <w:sz w:val="24"/>
        </w:rPr>
        <w:t>shall</w:t>
      </w:r>
      <w:r>
        <w:rPr>
          <w:spacing w:val="40"/>
          <w:sz w:val="24"/>
        </w:rPr>
        <w:t> </w:t>
      </w:r>
      <w:r>
        <w:rPr>
          <w:sz w:val="24"/>
        </w:rPr>
        <w:t>be</w:t>
      </w:r>
      <w:r>
        <w:rPr>
          <w:spacing w:val="80"/>
          <w:sz w:val="24"/>
        </w:rPr>
        <w:t> </w:t>
      </w:r>
      <w:r>
        <w:rPr>
          <w:sz w:val="24"/>
        </w:rPr>
        <w:t>25cm for staircases of a residential building, other than fire escapes.</w:t>
      </w:r>
      <w:r>
        <w:rPr>
          <w:spacing w:val="80"/>
          <w:sz w:val="24"/>
        </w:rPr>
        <w:t> </w:t>
      </w:r>
      <w:r>
        <w:rPr>
          <w:sz w:val="24"/>
        </w:rPr>
        <w:t>In</w:t>
      </w:r>
      <w:r>
        <w:rPr>
          <w:spacing w:val="40"/>
          <w:sz w:val="24"/>
        </w:rPr>
        <w:t> </w:t>
      </w:r>
      <w:r>
        <w:rPr>
          <w:sz w:val="24"/>
        </w:rPr>
        <w:t>other</w:t>
      </w:r>
      <w:r>
        <w:rPr>
          <w:spacing w:val="40"/>
          <w:sz w:val="24"/>
        </w:rPr>
        <w:t> </w:t>
      </w:r>
      <w:r>
        <w:rPr>
          <w:sz w:val="24"/>
        </w:rPr>
        <w:t>occupancies,</w:t>
      </w:r>
      <w:r>
        <w:rPr>
          <w:spacing w:val="40"/>
          <w:sz w:val="24"/>
        </w:rPr>
        <w:t> </w:t>
      </w:r>
      <w:r>
        <w:rPr>
          <w:sz w:val="24"/>
        </w:rPr>
        <w:t>the</w:t>
      </w:r>
      <w:r>
        <w:rPr>
          <w:spacing w:val="40"/>
          <w:sz w:val="24"/>
        </w:rPr>
        <w:t> </w:t>
      </w:r>
      <w:r>
        <w:rPr>
          <w:sz w:val="24"/>
        </w:rPr>
        <w:t>minimum</w:t>
      </w:r>
      <w:r>
        <w:rPr>
          <w:spacing w:val="40"/>
          <w:sz w:val="24"/>
        </w:rPr>
        <w:t> </w:t>
      </w:r>
      <w:r>
        <w:rPr>
          <w:sz w:val="24"/>
        </w:rPr>
        <w:t>width</w:t>
      </w:r>
      <w:r>
        <w:rPr>
          <w:spacing w:val="40"/>
          <w:sz w:val="24"/>
        </w:rPr>
        <w:t> </w:t>
      </w:r>
      <w:r>
        <w:rPr>
          <w:sz w:val="24"/>
        </w:rPr>
        <w:t>of</w:t>
      </w:r>
      <w:r>
        <w:rPr>
          <w:spacing w:val="40"/>
          <w:sz w:val="24"/>
        </w:rPr>
        <w:t> </w:t>
      </w:r>
      <w:r>
        <w:rPr>
          <w:sz w:val="24"/>
        </w:rPr>
        <w:t>the</w:t>
      </w:r>
      <w:r>
        <w:rPr>
          <w:spacing w:val="40"/>
          <w:sz w:val="24"/>
        </w:rPr>
        <w:t> </w:t>
      </w:r>
      <w:r>
        <w:rPr>
          <w:sz w:val="24"/>
        </w:rPr>
        <w:t>tread</w:t>
      </w:r>
      <w:r>
        <w:rPr>
          <w:spacing w:val="40"/>
          <w:sz w:val="24"/>
        </w:rPr>
        <w:t> </w:t>
      </w:r>
      <w:r>
        <w:rPr>
          <w:sz w:val="24"/>
        </w:rPr>
        <w:t>shall</w:t>
      </w:r>
      <w:r>
        <w:rPr>
          <w:spacing w:val="40"/>
          <w:sz w:val="24"/>
        </w:rPr>
        <w:t> </w:t>
      </w:r>
      <w:r>
        <w:rPr>
          <w:sz w:val="24"/>
        </w:rPr>
        <w:t>be</w:t>
      </w:r>
      <w:r>
        <w:rPr>
          <w:spacing w:val="40"/>
          <w:sz w:val="24"/>
        </w:rPr>
        <w:t> </w:t>
      </w:r>
      <w:r>
        <w:rPr>
          <w:sz w:val="24"/>
        </w:rPr>
        <w:t>30</w:t>
      </w:r>
      <w:r>
        <w:rPr>
          <w:spacing w:val="-20"/>
          <w:sz w:val="24"/>
        </w:rPr>
        <w:t> </w:t>
      </w:r>
      <w:r>
        <w:rPr>
          <w:sz w:val="24"/>
        </w:rPr>
        <w:t>cm</w:t>
      </w:r>
      <w:r>
        <w:rPr>
          <w:spacing w:val="40"/>
          <w:sz w:val="24"/>
        </w:rPr>
        <w:t> </w:t>
      </w:r>
      <w:r>
        <w:rPr>
          <w:spacing w:val="12"/>
          <w:sz w:val="24"/>
        </w:rPr>
        <w:t>it </w:t>
      </w:r>
      <w:r>
        <w:rPr>
          <w:sz w:val="24"/>
        </w:rPr>
        <w:t>shall</w:t>
      </w:r>
      <w:r>
        <w:rPr>
          <w:spacing w:val="40"/>
          <w:sz w:val="24"/>
        </w:rPr>
        <w:t> </w:t>
      </w:r>
      <w:r>
        <w:rPr>
          <w:sz w:val="24"/>
        </w:rPr>
        <w:t>have</w:t>
      </w:r>
      <w:r>
        <w:rPr>
          <w:spacing w:val="40"/>
          <w:sz w:val="24"/>
        </w:rPr>
        <w:t> </w:t>
      </w:r>
      <w:r>
        <w:rPr>
          <w:sz w:val="24"/>
        </w:rPr>
        <w:t>a</w:t>
      </w:r>
      <w:r>
        <w:rPr>
          <w:spacing w:val="40"/>
          <w:sz w:val="24"/>
        </w:rPr>
        <w:t> </w:t>
      </w:r>
      <w:r>
        <w:rPr>
          <w:spacing w:val="10"/>
          <w:sz w:val="24"/>
        </w:rPr>
        <w:t>non-</w:t>
      </w:r>
      <w:r>
        <w:rPr>
          <w:sz w:val="24"/>
        </w:rPr>
        <w:t>slippery</w:t>
      </w:r>
      <w:r>
        <w:rPr>
          <w:spacing w:val="40"/>
          <w:sz w:val="24"/>
        </w:rPr>
        <w:t> </w:t>
      </w:r>
      <w:r>
        <w:rPr>
          <w:sz w:val="24"/>
        </w:rPr>
        <w:t>finish.</w:t>
      </w:r>
    </w:p>
    <w:p>
      <w:pPr>
        <w:pStyle w:val="ListParagraph"/>
        <w:numPr>
          <w:ilvl w:val="1"/>
          <w:numId w:val="255"/>
        </w:numPr>
        <w:tabs>
          <w:tab w:pos="1603" w:val="left" w:leader="none"/>
        </w:tabs>
        <w:spacing w:line="240" w:lineRule="auto" w:before="0" w:after="0"/>
        <w:ind w:left="1313" w:right="789" w:firstLine="0"/>
        <w:jc w:val="both"/>
        <w:rPr>
          <w:i/>
          <w:sz w:val="22"/>
        </w:rPr>
      </w:pPr>
      <w:r>
        <w:rPr>
          <w:i/>
          <w:sz w:val="24"/>
        </w:rPr>
        <w:t>Head-room</w:t>
      </w:r>
      <w:r>
        <w:rPr>
          <w:sz w:val="24"/>
        </w:rPr>
        <w:t>-</w:t>
      </w:r>
      <w:r>
        <w:rPr>
          <w:spacing w:val="40"/>
          <w:sz w:val="24"/>
        </w:rPr>
        <w:t> </w:t>
      </w:r>
      <w:r>
        <w:rPr>
          <w:sz w:val="24"/>
        </w:rPr>
        <w:t>The</w:t>
      </w:r>
      <w:r>
        <w:rPr>
          <w:spacing w:val="40"/>
          <w:sz w:val="24"/>
        </w:rPr>
        <w:t> </w:t>
      </w:r>
      <w:r>
        <w:rPr>
          <w:sz w:val="24"/>
        </w:rPr>
        <w:t>minimum</w:t>
      </w:r>
      <w:r>
        <w:rPr>
          <w:spacing w:val="40"/>
          <w:sz w:val="24"/>
        </w:rPr>
        <w:t> </w:t>
      </w:r>
      <w:r>
        <w:rPr>
          <w:spacing w:val="10"/>
          <w:sz w:val="24"/>
        </w:rPr>
        <w:t>head-</w:t>
      </w:r>
      <w:r>
        <w:rPr>
          <w:sz w:val="24"/>
        </w:rPr>
        <w:t>room</w:t>
      </w:r>
      <w:r>
        <w:rPr>
          <w:spacing w:val="40"/>
          <w:sz w:val="24"/>
        </w:rPr>
        <w:t> </w:t>
      </w:r>
      <w:r>
        <w:rPr>
          <w:sz w:val="24"/>
        </w:rPr>
        <w:t>in</w:t>
      </w:r>
      <w:r>
        <w:rPr>
          <w:spacing w:val="40"/>
          <w:sz w:val="24"/>
        </w:rPr>
        <w:t> </w:t>
      </w:r>
      <w:r>
        <w:rPr>
          <w:sz w:val="24"/>
        </w:rPr>
        <w:t>a</w:t>
      </w:r>
      <w:r>
        <w:rPr>
          <w:spacing w:val="40"/>
          <w:sz w:val="24"/>
        </w:rPr>
        <w:t> </w:t>
      </w:r>
      <w:r>
        <w:rPr>
          <w:sz w:val="24"/>
        </w:rPr>
        <w:t>passage</w:t>
      </w:r>
      <w:r>
        <w:rPr>
          <w:spacing w:val="40"/>
          <w:sz w:val="24"/>
        </w:rPr>
        <w:t> </w:t>
      </w:r>
      <w:r>
        <w:rPr>
          <w:sz w:val="24"/>
        </w:rPr>
        <w:t>under</w:t>
      </w:r>
      <w:r>
        <w:rPr>
          <w:spacing w:val="40"/>
          <w:sz w:val="24"/>
        </w:rPr>
        <w:t> </w:t>
      </w:r>
      <w:r>
        <w:rPr>
          <w:sz w:val="24"/>
        </w:rPr>
        <w:t>the</w:t>
      </w:r>
      <w:r>
        <w:rPr>
          <w:spacing w:val="40"/>
          <w:sz w:val="24"/>
        </w:rPr>
        <w:t> </w:t>
      </w:r>
      <w:r>
        <w:rPr>
          <w:sz w:val="24"/>
        </w:rPr>
        <w:t>landing of</w:t>
      </w:r>
      <w:r>
        <w:rPr>
          <w:spacing w:val="40"/>
          <w:sz w:val="24"/>
        </w:rPr>
        <w:t> </w:t>
      </w:r>
      <w:r>
        <w:rPr>
          <w:sz w:val="24"/>
        </w:rPr>
        <w:t>a</w:t>
      </w:r>
      <w:r>
        <w:rPr>
          <w:spacing w:val="40"/>
          <w:sz w:val="24"/>
        </w:rPr>
        <w:t> </w:t>
      </w:r>
      <w:r>
        <w:rPr>
          <w:sz w:val="24"/>
        </w:rPr>
        <w:t>staircase</w:t>
      </w:r>
      <w:r>
        <w:rPr>
          <w:spacing w:val="40"/>
          <w:sz w:val="24"/>
        </w:rPr>
        <w:t> </w:t>
      </w:r>
      <w:r>
        <w:rPr>
          <w:sz w:val="24"/>
        </w:rPr>
        <w:t>and</w:t>
      </w:r>
      <w:r>
        <w:rPr>
          <w:spacing w:val="40"/>
          <w:sz w:val="24"/>
        </w:rPr>
        <w:t> </w:t>
      </w:r>
      <w:r>
        <w:rPr>
          <w:sz w:val="24"/>
        </w:rPr>
        <w:t>under</w:t>
      </w:r>
      <w:r>
        <w:rPr>
          <w:spacing w:val="40"/>
          <w:sz w:val="24"/>
        </w:rPr>
        <w:t> </w:t>
      </w:r>
      <w:r>
        <w:rPr>
          <w:sz w:val="24"/>
        </w:rPr>
        <w:t>the</w:t>
      </w:r>
      <w:r>
        <w:rPr>
          <w:spacing w:val="40"/>
          <w:sz w:val="24"/>
        </w:rPr>
        <w:t> </w:t>
      </w:r>
      <w:r>
        <w:rPr>
          <w:sz w:val="24"/>
        </w:rPr>
        <w:t>staircase</w:t>
      </w:r>
      <w:r>
        <w:rPr>
          <w:spacing w:val="40"/>
          <w:sz w:val="24"/>
        </w:rPr>
        <w:t> </w:t>
      </w:r>
      <w:r>
        <w:rPr>
          <w:sz w:val="24"/>
        </w:rPr>
        <w:t>shall</w:t>
      </w:r>
      <w:r>
        <w:rPr>
          <w:spacing w:val="40"/>
          <w:sz w:val="24"/>
        </w:rPr>
        <w:t> </w:t>
      </w:r>
      <w:r>
        <w:rPr>
          <w:sz w:val="24"/>
        </w:rPr>
        <w:t>be</w:t>
      </w:r>
      <w:r>
        <w:rPr>
          <w:spacing w:val="40"/>
          <w:sz w:val="24"/>
        </w:rPr>
        <w:t> </w:t>
      </w:r>
      <w:r>
        <w:rPr>
          <w:spacing w:val="9"/>
          <w:sz w:val="24"/>
        </w:rPr>
        <w:t>2.2m.</w:t>
      </w:r>
    </w:p>
    <w:p>
      <w:pPr>
        <w:pStyle w:val="ListParagraph"/>
        <w:numPr>
          <w:ilvl w:val="1"/>
          <w:numId w:val="255"/>
        </w:numPr>
        <w:tabs>
          <w:tab w:pos="1680" w:val="left" w:leader="none"/>
        </w:tabs>
        <w:spacing w:line="240" w:lineRule="auto" w:before="0" w:after="0"/>
        <w:ind w:left="1313" w:right="775" w:firstLine="0"/>
        <w:jc w:val="both"/>
        <w:rPr>
          <w:i/>
          <w:sz w:val="22"/>
        </w:rPr>
      </w:pPr>
      <w:r>
        <w:rPr>
          <w:i/>
          <w:sz w:val="24"/>
        </w:rPr>
        <w:t>Floor</w:t>
      </w:r>
      <w:r>
        <w:rPr>
          <w:i/>
          <w:spacing w:val="40"/>
          <w:sz w:val="24"/>
        </w:rPr>
        <w:t> </w:t>
      </w:r>
      <w:r>
        <w:rPr>
          <w:i/>
          <w:sz w:val="24"/>
        </w:rPr>
        <w:t>Indicator</w:t>
      </w:r>
      <w:r>
        <w:rPr>
          <w:sz w:val="24"/>
        </w:rPr>
        <w:t>-</w:t>
      </w:r>
      <w:r>
        <w:rPr>
          <w:spacing w:val="40"/>
          <w:sz w:val="24"/>
        </w:rPr>
        <w:t> </w:t>
      </w:r>
      <w:r>
        <w:rPr>
          <w:sz w:val="24"/>
        </w:rPr>
        <w:t>The</w:t>
      </w:r>
      <w:r>
        <w:rPr>
          <w:spacing w:val="40"/>
          <w:sz w:val="24"/>
        </w:rPr>
        <w:t> </w:t>
      </w:r>
      <w:r>
        <w:rPr>
          <w:sz w:val="24"/>
        </w:rPr>
        <w:t>number</w:t>
      </w:r>
      <w:r>
        <w:rPr>
          <w:spacing w:val="40"/>
          <w:sz w:val="24"/>
        </w:rPr>
        <w:t> </w:t>
      </w:r>
      <w:r>
        <w:rPr>
          <w:sz w:val="24"/>
        </w:rPr>
        <w:t>of</w:t>
      </w:r>
      <w:r>
        <w:rPr>
          <w:spacing w:val="40"/>
          <w:sz w:val="24"/>
        </w:rPr>
        <w:t> </w:t>
      </w:r>
      <w:r>
        <w:rPr>
          <w:sz w:val="24"/>
        </w:rPr>
        <w:t>each</w:t>
      </w:r>
      <w:r>
        <w:rPr>
          <w:spacing w:val="40"/>
          <w:sz w:val="24"/>
        </w:rPr>
        <w:t> </w:t>
      </w:r>
      <w:r>
        <w:rPr>
          <w:sz w:val="24"/>
        </w:rPr>
        <w:t>floor</w:t>
      </w:r>
      <w:r>
        <w:rPr>
          <w:spacing w:val="40"/>
          <w:sz w:val="24"/>
        </w:rPr>
        <w:t> </w:t>
      </w:r>
      <w:r>
        <w:rPr>
          <w:sz w:val="24"/>
        </w:rPr>
        <w:t>shall</w:t>
      </w:r>
      <w:r>
        <w:rPr>
          <w:spacing w:val="40"/>
          <w:sz w:val="24"/>
        </w:rPr>
        <w:t> </w:t>
      </w:r>
      <w:r>
        <w:rPr>
          <w:sz w:val="24"/>
        </w:rPr>
        <w:t>be</w:t>
      </w:r>
      <w:r>
        <w:rPr>
          <w:spacing w:val="40"/>
          <w:sz w:val="24"/>
        </w:rPr>
        <w:t> </w:t>
      </w:r>
      <w:r>
        <w:rPr>
          <w:sz w:val="24"/>
        </w:rPr>
        <w:t>conspicuously painted in figures at least 15cm large on the wall facing the flights of a stairway</w:t>
      </w:r>
      <w:r>
        <w:rPr>
          <w:spacing w:val="40"/>
          <w:sz w:val="24"/>
        </w:rPr>
        <w:t> </w:t>
      </w:r>
      <w:r>
        <w:rPr>
          <w:sz w:val="24"/>
        </w:rPr>
        <w:t>or</w:t>
      </w:r>
      <w:r>
        <w:rPr>
          <w:spacing w:val="38"/>
          <w:sz w:val="24"/>
        </w:rPr>
        <w:t> </w:t>
      </w:r>
      <w:r>
        <w:rPr>
          <w:sz w:val="24"/>
        </w:rPr>
        <w:t>at</w:t>
      </w:r>
      <w:r>
        <w:rPr>
          <w:spacing w:val="40"/>
          <w:sz w:val="24"/>
        </w:rPr>
        <w:t> </w:t>
      </w:r>
      <w:r>
        <w:rPr>
          <w:sz w:val="24"/>
        </w:rPr>
        <w:t>such</w:t>
      </w:r>
      <w:r>
        <w:rPr>
          <w:spacing w:val="40"/>
          <w:sz w:val="24"/>
        </w:rPr>
        <w:t> </w:t>
      </w:r>
      <w:r>
        <w:rPr>
          <w:sz w:val="24"/>
        </w:rPr>
        <w:t>suitable</w:t>
      </w:r>
      <w:r>
        <w:rPr>
          <w:spacing w:val="38"/>
          <w:sz w:val="24"/>
        </w:rPr>
        <w:t> </w:t>
      </w:r>
      <w:r>
        <w:rPr>
          <w:sz w:val="24"/>
        </w:rPr>
        <w:t>place</w:t>
      </w:r>
      <w:r>
        <w:rPr>
          <w:spacing w:val="38"/>
          <w:sz w:val="24"/>
        </w:rPr>
        <w:t> </w:t>
      </w:r>
      <w:r>
        <w:rPr>
          <w:sz w:val="24"/>
        </w:rPr>
        <w:t>as</w:t>
      </w:r>
      <w:r>
        <w:rPr>
          <w:spacing w:val="40"/>
          <w:sz w:val="24"/>
        </w:rPr>
        <w:t> </w:t>
      </w:r>
      <w:r>
        <w:rPr>
          <w:sz w:val="24"/>
        </w:rPr>
        <w:t>is</w:t>
      </w:r>
      <w:r>
        <w:rPr>
          <w:spacing w:val="38"/>
          <w:sz w:val="24"/>
        </w:rPr>
        <w:t> </w:t>
      </w:r>
      <w:r>
        <w:rPr>
          <w:sz w:val="24"/>
        </w:rPr>
        <w:t>distinctly</w:t>
      </w:r>
      <w:r>
        <w:rPr>
          <w:spacing w:val="38"/>
          <w:sz w:val="24"/>
        </w:rPr>
        <w:t> </w:t>
      </w:r>
      <w:r>
        <w:rPr>
          <w:sz w:val="24"/>
        </w:rPr>
        <w:t>visible</w:t>
      </w:r>
      <w:r>
        <w:rPr>
          <w:spacing w:val="40"/>
          <w:sz w:val="24"/>
        </w:rPr>
        <w:t> </w:t>
      </w:r>
      <w:r>
        <w:rPr>
          <w:sz w:val="24"/>
        </w:rPr>
        <w:t>from</w:t>
      </w:r>
      <w:r>
        <w:rPr>
          <w:spacing w:val="38"/>
          <w:sz w:val="24"/>
        </w:rPr>
        <w:t> </w:t>
      </w:r>
      <w:r>
        <w:rPr>
          <w:sz w:val="24"/>
        </w:rPr>
        <w:t>the</w:t>
      </w:r>
      <w:r>
        <w:rPr>
          <w:spacing w:val="40"/>
          <w:sz w:val="24"/>
        </w:rPr>
        <w:t> </w:t>
      </w:r>
      <w:r>
        <w:rPr>
          <w:spacing w:val="9"/>
          <w:sz w:val="24"/>
        </w:rPr>
        <w:t>flights.</w:t>
      </w:r>
    </w:p>
    <w:p>
      <w:pPr>
        <w:pStyle w:val="ListParagraph"/>
        <w:numPr>
          <w:ilvl w:val="1"/>
          <w:numId w:val="255"/>
        </w:numPr>
        <w:tabs>
          <w:tab w:pos="1823" w:val="left" w:leader="none"/>
        </w:tabs>
        <w:spacing w:line="240" w:lineRule="auto" w:before="0" w:after="0"/>
        <w:ind w:left="1313" w:right="782" w:firstLine="0"/>
        <w:jc w:val="both"/>
        <w:rPr>
          <w:i/>
          <w:sz w:val="24"/>
        </w:rPr>
      </w:pPr>
      <w:r>
        <w:rPr>
          <w:i/>
          <w:sz w:val="24"/>
        </w:rPr>
        <w:t>Hand</w:t>
      </w:r>
      <w:r>
        <w:rPr>
          <w:i/>
          <w:spacing w:val="37"/>
          <w:sz w:val="24"/>
        </w:rPr>
        <w:t> </w:t>
      </w:r>
      <w:r>
        <w:rPr>
          <w:i/>
          <w:sz w:val="24"/>
        </w:rPr>
        <w:t>rail</w:t>
      </w:r>
      <w:r>
        <w:rPr>
          <w:sz w:val="24"/>
        </w:rPr>
        <w:t>-</w:t>
      </w:r>
      <w:r>
        <w:rPr>
          <w:spacing w:val="39"/>
          <w:sz w:val="24"/>
        </w:rPr>
        <w:t> </w:t>
      </w:r>
      <w:r>
        <w:rPr>
          <w:sz w:val="24"/>
        </w:rPr>
        <w:t>Handrails</w:t>
      </w:r>
      <w:r>
        <w:rPr>
          <w:spacing w:val="39"/>
          <w:sz w:val="24"/>
        </w:rPr>
        <w:t> </w:t>
      </w:r>
      <w:r>
        <w:rPr>
          <w:sz w:val="24"/>
        </w:rPr>
        <w:t>with</w:t>
      </w:r>
      <w:r>
        <w:rPr>
          <w:spacing w:val="39"/>
          <w:sz w:val="24"/>
        </w:rPr>
        <w:t> </w:t>
      </w:r>
      <w:r>
        <w:rPr>
          <w:sz w:val="24"/>
        </w:rPr>
        <w:t>a</w:t>
      </w:r>
      <w:r>
        <w:rPr>
          <w:spacing w:val="39"/>
          <w:sz w:val="24"/>
        </w:rPr>
        <w:t> </w:t>
      </w:r>
      <w:r>
        <w:rPr>
          <w:sz w:val="24"/>
        </w:rPr>
        <w:t>minimum</w:t>
      </w:r>
      <w:r>
        <w:rPr>
          <w:spacing w:val="39"/>
          <w:sz w:val="24"/>
        </w:rPr>
        <w:t> </w:t>
      </w:r>
      <w:r>
        <w:rPr>
          <w:sz w:val="24"/>
        </w:rPr>
        <w:t>height</w:t>
      </w:r>
      <w:r>
        <w:rPr>
          <w:spacing w:val="39"/>
          <w:sz w:val="24"/>
        </w:rPr>
        <w:t> </w:t>
      </w:r>
      <w:r>
        <w:rPr>
          <w:sz w:val="24"/>
        </w:rPr>
        <w:t>of</w:t>
      </w:r>
      <w:r>
        <w:rPr>
          <w:spacing w:val="39"/>
          <w:sz w:val="24"/>
        </w:rPr>
        <w:t> </w:t>
      </w:r>
      <w:r>
        <w:rPr>
          <w:sz w:val="24"/>
        </w:rPr>
        <w:t>0.9m</w:t>
      </w:r>
      <w:r>
        <w:rPr>
          <w:spacing w:val="39"/>
          <w:sz w:val="24"/>
        </w:rPr>
        <w:t> </w:t>
      </w:r>
      <w:r>
        <w:rPr>
          <w:sz w:val="24"/>
        </w:rPr>
        <w:t>from</w:t>
      </w:r>
      <w:r>
        <w:rPr>
          <w:spacing w:val="39"/>
          <w:sz w:val="24"/>
        </w:rPr>
        <w:t> </w:t>
      </w:r>
      <w:r>
        <w:rPr>
          <w:sz w:val="24"/>
        </w:rPr>
        <w:t>the</w:t>
      </w:r>
      <w:r>
        <w:rPr>
          <w:spacing w:val="40"/>
          <w:sz w:val="24"/>
        </w:rPr>
        <w:t> </w:t>
      </w:r>
      <w:r>
        <w:rPr>
          <w:sz w:val="24"/>
        </w:rPr>
        <w:t>center of</w:t>
      </w:r>
      <w:r>
        <w:rPr>
          <w:spacing w:val="40"/>
          <w:sz w:val="24"/>
        </w:rPr>
        <w:t> </w:t>
      </w:r>
      <w:r>
        <w:rPr>
          <w:sz w:val="24"/>
        </w:rPr>
        <w:t>the</w:t>
      </w:r>
      <w:r>
        <w:rPr>
          <w:spacing w:val="40"/>
          <w:sz w:val="24"/>
        </w:rPr>
        <w:t> </w:t>
      </w:r>
      <w:r>
        <w:rPr>
          <w:sz w:val="24"/>
        </w:rPr>
        <w:t>treads</w:t>
      </w:r>
      <w:r>
        <w:rPr>
          <w:spacing w:val="40"/>
          <w:sz w:val="24"/>
        </w:rPr>
        <w:t> </w:t>
      </w:r>
      <w:r>
        <w:rPr>
          <w:sz w:val="24"/>
        </w:rPr>
        <w:t>shall</w:t>
      </w:r>
      <w:r>
        <w:rPr>
          <w:spacing w:val="40"/>
          <w:sz w:val="24"/>
        </w:rPr>
        <w:t> </w:t>
      </w:r>
      <w:r>
        <w:rPr>
          <w:sz w:val="24"/>
        </w:rPr>
        <w:t>be</w:t>
      </w:r>
      <w:r>
        <w:rPr>
          <w:spacing w:val="40"/>
          <w:sz w:val="24"/>
        </w:rPr>
        <w:t> </w:t>
      </w:r>
      <w:r>
        <w:rPr>
          <w:sz w:val="24"/>
        </w:rPr>
        <w:t>provided.</w:t>
      </w:r>
    </w:p>
    <w:p>
      <w:pPr>
        <w:pStyle w:val="ListParagraph"/>
        <w:numPr>
          <w:ilvl w:val="1"/>
          <w:numId w:val="255"/>
        </w:numPr>
        <w:tabs>
          <w:tab w:pos="1936" w:val="left" w:leader="none"/>
        </w:tabs>
        <w:spacing w:line="240" w:lineRule="auto" w:before="0" w:after="0"/>
        <w:ind w:left="1313" w:right="771" w:firstLine="0"/>
        <w:jc w:val="both"/>
        <w:rPr>
          <w:i/>
          <w:sz w:val="24"/>
        </w:rPr>
      </w:pPr>
      <w:r>
        <w:rPr>
          <w:sz w:val="24"/>
        </w:rPr>
        <w:t>Except for the row houses or for the internal staircase of a duplex tenement, no staircase shall be made of wooden or other combustible </w:t>
      </w:r>
      <w:r>
        <w:rPr>
          <w:spacing w:val="-2"/>
          <w:sz w:val="24"/>
        </w:rPr>
        <w:t>material.</w:t>
      </w:r>
    </w:p>
    <w:p>
      <w:pPr>
        <w:pStyle w:val="ListParagraph"/>
        <w:numPr>
          <w:ilvl w:val="1"/>
          <w:numId w:val="255"/>
        </w:numPr>
        <w:tabs>
          <w:tab w:pos="1735" w:val="left" w:leader="none"/>
        </w:tabs>
        <w:spacing w:line="240" w:lineRule="auto" w:before="0" w:after="0"/>
        <w:ind w:left="1313" w:right="776" w:firstLine="0"/>
        <w:jc w:val="both"/>
        <w:rPr>
          <w:i/>
          <w:sz w:val="24"/>
        </w:rPr>
      </w:pPr>
      <w:r>
        <w:rPr>
          <w:sz w:val="24"/>
        </w:rPr>
        <w:t>Corridors and Stairway side identified as fire exits shall conform toother relevant provisions of National Building Code.</w:t>
      </w:r>
    </w:p>
    <w:p>
      <w:pPr>
        <w:pStyle w:val="Heading6"/>
        <w:numPr>
          <w:ilvl w:val="0"/>
          <w:numId w:val="255"/>
        </w:numPr>
        <w:tabs>
          <w:tab w:pos="1800" w:val="left" w:leader="none"/>
        </w:tabs>
        <w:spacing w:line="240" w:lineRule="auto" w:before="236" w:after="0"/>
        <w:ind w:left="1800" w:right="0" w:hanging="487"/>
        <w:jc w:val="left"/>
      </w:pPr>
      <w:r>
        <w:rPr>
          <w:spacing w:val="-2"/>
        </w:rPr>
        <w:t>Ramps:</w:t>
      </w:r>
    </w:p>
    <w:p>
      <w:pPr>
        <w:pStyle w:val="ListParagraph"/>
        <w:numPr>
          <w:ilvl w:val="1"/>
          <w:numId w:val="255"/>
        </w:numPr>
        <w:tabs>
          <w:tab w:pos="1642" w:val="left" w:leader="none"/>
        </w:tabs>
        <w:spacing w:line="281" w:lineRule="exact" w:before="1" w:after="0"/>
        <w:ind w:left="1642" w:right="0" w:hanging="329"/>
        <w:jc w:val="left"/>
        <w:rPr>
          <w:sz w:val="24"/>
        </w:rPr>
      </w:pPr>
      <w:r>
        <w:rPr>
          <w:b/>
          <w:i/>
          <w:sz w:val="24"/>
        </w:rPr>
        <w:t>Ramps</w:t>
      </w:r>
      <w:r>
        <w:rPr>
          <w:b/>
          <w:i/>
          <w:spacing w:val="48"/>
          <w:sz w:val="24"/>
        </w:rPr>
        <w:t> </w:t>
      </w:r>
      <w:r>
        <w:rPr>
          <w:b/>
          <w:i/>
          <w:sz w:val="24"/>
        </w:rPr>
        <w:t>for</w:t>
      </w:r>
      <w:r>
        <w:rPr>
          <w:b/>
          <w:i/>
          <w:spacing w:val="45"/>
          <w:sz w:val="24"/>
        </w:rPr>
        <w:t> </w:t>
      </w:r>
      <w:r>
        <w:rPr>
          <w:b/>
          <w:i/>
          <w:spacing w:val="7"/>
          <w:sz w:val="24"/>
        </w:rPr>
        <w:t>pedestrians</w:t>
      </w:r>
      <w:r>
        <w:rPr>
          <w:i/>
          <w:spacing w:val="7"/>
          <w:sz w:val="24"/>
        </w:rPr>
        <w:t>-</w:t>
      </w:r>
    </w:p>
    <w:p>
      <w:pPr>
        <w:pStyle w:val="ListParagraph"/>
        <w:numPr>
          <w:ilvl w:val="2"/>
          <w:numId w:val="255"/>
        </w:numPr>
        <w:tabs>
          <w:tab w:pos="1622" w:val="left" w:leader="none"/>
        </w:tabs>
        <w:spacing w:line="242" w:lineRule="auto" w:before="0" w:after="0"/>
        <w:ind w:left="1313" w:right="791" w:firstLine="0"/>
        <w:jc w:val="both"/>
        <w:rPr>
          <w:sz w:val="24"/>
        </w:rPr>
      </w:pPr>
      <w:r>
        <w:rPr>
          <w:i/>
          <w:sz w:val="24"/>
        </w:rPr>
        <w:t>Genera</w:t>
      </w:r>
      <w:r>
        <w:rPr>
          <w:b/>
          <w:i/>
          <w:sz w:val="24"/>
        </w:rPr>
        <w:t>l:</w:t>
      </w:r>
      <w:r>
        <w:rPr>
          <w:b/>
          <w:i/>
          <w:spacing w:val="80"/>
          <w:sz w:val="24"/>
        </w:rPr>
        <w:t> </w:t>
      </w:r>
      <w:r>
        <w:rPr>
          <w:sz w:val="24"/>
        </w:rPr>
        <w:t>The</w:t>
      </w:r>
      <w:r>
        <w:rPr>
          <w:spacing w:val="80"/>
          <w:sz w:val="24"/>
        </w:rPr>
        <w:t> </w:t>
      </w:r>
      <w:r>
        <w:rPr>
          <w:sz w:val="24"/>
        </w:rPr>
        <w:t>provision</w:t>
      </w:r>
      <w:r>
        <w:rPr>
          <w:spacing w:val="80"/>
          <w:sz w:val="24"/>
        </w:rPr>
        <w:t> </w:t>
      </w:r>
      <w:r>
        <w:rPr>
          <w:sz w:val="24"/>
        </w:rPr>
        <w:t>applicable</w:t>
      </w:r>
      <w:r>
        <w:rPr>
          <w:spacing w:val="80"/>
          <w:sz w:val="24"/>
        </w:rPr>
        <w:t> </w:t>
      </w:r>
      <w:r>
        <w:rPr>
          <w:sz w:val="24"/>
        </w:rPr>
        <w:t>to</w:t>
      </w:r>
      <w:r>
        <w:rPr>
          <w:spacing w:val="80"/>
          <w:sz w:val="24"/>
        </w:rPr>
        <w:t> </w:t>
      </w:r>
      <w:r>
        <w:rPr>
          <w:sz w:val="24"/>
        </w:rPr>
        <w:t>stairways</w:t>
      </w:r>
      <w:r>
        <w:rPr>
          <w:spacing w:val="80"/>
          <w:sz w:val="24"/>
        </w:rPr>
        <w:t> </w:t>
      </w:r>
      <w:r>
        <w:rPr>
          <w:sz w:val="24"/>
        </w:rPr>
        <w:t>shall</w:t>
      </w:r>
      <w:r>
        <w:rPr>
          <w:spacing w:val="80"/>
          <w:sz w:val="24"/>
        </w:rPr>
        <w:t> </w:t>
      </w:r>
      <w:r>
        <w:rPr>
          <w:sz w:val="24"/>
        </w:rPr>
        <w:t>generally</w:t>
      </w:r>
      <w:r>
        <w:rPr>
          <w:spacing w:val="80"/>
          <w:sz w:val="24"/>
        </w:rPr>
        <w:t> </w:t>
      </w:r>
      <w:r>
        <w:rPr>
          <w:sz w:val="24"/>
        </w:rPr>
        <w:t>apply to ramps. A ramp in a hospital shall not be less than 2.25 m wide.</w:t>
      </w:r>
      <w:r>
        <w:rPr>
          <w:spacing w:val="40"/>
          <w:sz w:val="24"/>
        </w:rPr>
        <w:t> </w:t>
      </w:r>
      <w:r>
        <w:rPr>
          <w:sz w:val="24"/>
        </w:rPr>
        <w:t>In addition,</w:t>
      </w:r>
      <w:r>
        <w:rPr>
          <w:spacing w:val="40"/>
          <w:sz w:val="24"/>
        </w:rPr>
        <w:t> </w:t>
      </w:r>
      <w:r>
        <w:rPr>
          <w:sz w:val="24"/>
        </w:rPr>
        <w:t>to</w:t>
      </w:r>
      <w:r>
        <w:rPr>
          <w:spacing w:val="40"/>
          <w:sz w:val="24"/>
        </w:rPr>
        <w:t> </w:t>
      </w:r>
      <w:r>
        <w:rPr>
          <w:sz w:val="24"/>
        </w:rPr>
        <w:t>satisfy</w:t>
      </w:r>
      <w:r>
        <w:rPr>
          <w:spacing w:val="40"/>
          <w:sz w:val="24"/>
        </w:rPr>
        <w:t> </w:t>
      </w:r>
      <w:r>
        <w:rPr>
          <w:sz w:val="24"/>
        </w:rPr>
        <w:t>the</w:t>
      </w:r>
      <w:r>
        <w:rPr>
          <w:spacing w:val="40"/>
          <w:sz w:val="24"/>
        </w:rPr>
        <w:t> </w:t>
      </w:r>
      <w:r>
        <w:rPr>
          <w:spacing w:val="9"/>
          <w:sz w:val="24"/>
        </w:rPr>
        <w:t>fire-</w:t>
      </w:r>
      <w:r>
        <w:rPr>
          <w:sz w:val="24"/>
        </w:rPr>
        <w:t>fighting</w:t>
      </w:r>
      <w:r>
        <w:rPr>
          <w:spacing w:val="40"/>
          <w:sz w:val="24"/>
        </w:rPr>
        <w:t> </w:t>
      </w:r>
      <w:r>
        <w:rPr>
          <w:sz w:val="24"/>
        </w:rPr>
        <w:t>requirements,</w:t>
      </w:r>
      <w:r>
        <w:rPr>
          <w:spacing w:val="40"/>
          <w:sz w:val="24"/>
        </w:rPr>
        <w:t> </w:t>
      </w:r>
      <w:r>
        <w:rPr>
          <w:sz w:val="24"/>
        </w:rPr>
        <w:t>a</w:t>
      </w:r>
      <w:r>
        <w:rPr>
          <w:spacing w:val="40"/>
          <w:sz w:val="24"/>
        </w:rPr>
        <w:t> </w:t>
      </w:r>
      <w:r>
        <w:rPr>
          <w:sz w:val="24"/>
        </w:rPr>
        <w:t>ramp</w:t>
      </w:r>
      <w:r>
        <w:rPr>
          <w:spacing w:val="40"/>
          <w:sz w:val="24"/>
        </w:rPr>
        <w:t> </w:t>
      </w:r>
      <w:r>
        <w:rPr>
          <w:sz w:val="24"/>
        </w:rPr>
        <w:t>shall</w:t>
      </w:r>
      <w:r>
        <w:rPr>
          <w:spacing w:val="40"/>
          <w:sz w:val="24"/>
        </w:rPr>
        <w:t> </w:t>
      </w:r>
      <w:r>
        <w:rPr>
          <w:sz w:val="24"/>
        </w:rPr>
        <w:t>conform</w:t>
      </w:r>
      <w:r>
        <w:rPr>
          <w:spacing w:val="80"/>
          <w:sz w:val="24"/>
        </w:rPr>
        <w:t> </w:t>
      </w:r>
      <w:r>
        <w:rPr>
          <w:sz w:val="24"/>
        </w:rPr>
        <w:t>to</w:t>
      </w:r>
      <w:r>
        <w:rPr>
          <w:spacing w:val="40"/>
          <w:sz w:val="24"/>
        </w:rPr>
        <w:t> </w:t>
      </w:r>
      <w:r>
        <w:rPr>
          <w:sz w:val="24"/>
        </w:rPr>
        <w:t>sub-regulation</w:t>
      </w:r>
      <w:r>
        <w:rPr>
          <w:spacing w:val="40"/>
          <w:sz w:val="24"/>
        </w:rPr>
        <w:t> </w:t>
      </w:r>
      <w:r>
        <w:rPr>
          <w:sz w:val="24"/>
        </w:rPr>
        <w:t>(7)</w:t>
      </w:r>
      <w:r>
        <w:rPr>
          <w:spacing w:val="40"/>
          <w:sz w:val="24"/>
        </w:rPr>
        <w:t> </w:t>
      </w:r>
      <w:r>
        <w:rPr>
          <w:sz w:val="24"/>
        </w:rPr>
        <w:t>of</w:t>
      </w:r>
      <w:r>
        <w:rPr>
          <w:spacing w:val="40"/>
          <w:sz w:val="24"/>
        </w:rPr>
        <w:t> </w:t>
      </w:r>
      <w:r>
        <w:rPr>
          <w:sz w:val="24"/>
        </w:rPr>
        <w:t>Regulation</w:t>
      </w:r>
      <w:r>
        <w:rPr>
          <w:spacing w:val="40"/>
          <w:sz w:val="24"/>
        </w:rPr>
        <w:t> </w:t>
      </w:r>
      <w:r>
        <w:rPr>
          <w:sz w:val="24"/>
        </w:rPr>
        <w:t>48</w:t>
      </w:r>
    </w:p>
    <w:p>
      <w:pPr>
        <w:pStyle w:val="ListParagraph"/>
        <w:numPr>
          <w:ilvl w:val="2"/>
          <w:numId w:val="255"/>
        </w:numPr>
        <w:tabs>
          <w:tab w:pos="1618" w:val="left" w:leader="none"/>
        </w:tabs>
        <w:spacing w:line="240" w:lineRule="auto" w:before="0" w:after="0"/>
        <w:ind w:left="1313" w:right="786" w:firstLine="0"/>
        <w:jc w:val="both"/>
        <w:rPr>
          <w:sz w:val="24"/>
        </w:rPr>
      </w:pPr>
      <w:r>
        <w:rPr>
          <w:i/>
          <w:sz w:val="24"/>
        </w:rPr>
        <w:t>Slope</w:t>
      </w:r>
      <w:r>
        <w:rPr>
          <w:b/>
          <w:i/>
          <w:sz w:val="24"/>
        </w:rPr>
        <w:t>: </w:t>
      </w:r>
      <w:r>
        <w:rPr>
          <w:sz w:val="24"/>
        </w:rPr>
        <w:t>A</w:t>
      </w:r>
      <w:r>
        <w:rPr>
          <w:spacing w:val="40"/>
          <w:sz w:val="24"/>
        </w:rPr>
        <w:t> </w:t>
      </w:r>
      <w:r>
        <w:rPr>
          <w:sz w:val="24"/>
        </w:rPr>
        <w:t>ramp</w:t>
      </w:r>
      <w:r>
        <w:rPr>
          <w:spacing w:val="40"/>
          <w:sz w:val="24"/>
        </w:rPr>
        <w:t> </w:t>
      </w:r>
      <w:r>
        <w:rPr>
          <w:sz w:val="24"/>
        </w:rPr>
        <w:t>shall</w:t>
      </w:r>
      <w:r>
        <w:rPr>
          <w:spacing w:val="40"/>
          <w:sz w:val="24"/>
        </w:rPr>
        <w:t> </w:t>
      </w:r>
      <w:r>
        <w:rPr>
          <w:sz w:val="24"/>
        </w:rPr>
        <w:t>have</w:t>
      </w:r>
      <w:r>
        <w:rPr>
          <w:spacing w:val="40"/>
          <w:sz w:val="24"/>
        </w:rPr>
        <w:t> </w:t>
      </w:r>
      <w:r>
        <w:rPr>
          <w:sz w:val="24"/>
        </w:rPr>
        <w:t>a</w:t>
      </w:r>
      <w:r>
        <w:rPr>
          <w:spacing w:val="40"/>
          <w:sz w:val="24"/>
        </w:rPr>
        <w:t> </w:t>
      </w:r>
      <w:r>
        <w:rPr>
          <w:sz w:val="24"/>
        </w:rPr>
        <w:t>slope</w:t>
      </w:r>
      <w:r>
        <w:rPr>
          <w:spacing w:val="40"/>
          <w:sz w:val="24"/>
        </w:rPr>
        <w:t> </w:t>
      </w:r>
      <w:r>
        <w:rPr>
          <w:sz w:val="24"/>
        </w:rPr>
        <w:t>of</w:t>
      </w:r>
      <w:r>
        <w:rPr>
          <w:spacing w:val="40"/>
          <w:sz w:val="24"/>
        </w:rPr>
        <w:t> </w:t>
      </w:r>
      <w:r>
        <w:rPr>
          <w:sz w:val="24"/>
        </w:rPr>
        <w:t>not</w:t>
      </w:r>
      <w:r>
        <w:rPr>
          <w:spacing w:val="40"/>
          <w:sz w:val="24"/>
        </w:rPr>
        <w:t> </w:t>
      </w:r>
      <w:r>
        <w:rPr>
          <w:color w:val="000000"/>
          <w:sz w:val="24"/>
          <w:shd w:fill="FFCCFF" w:color="auto" w:val="clear"/>
        </w:rPr>
        <w:t>less</w:t>
      </w:r>
      <w:r>
        <w:rPr>
          <w:color w:val="000000"/>
          <w:sz w:val="24"/>
        </w:rPr>
        <w:t>than</w:t>
      </w:r>
      <w:r>
        <w:rPr>
          <w:color w:val="000000"/>
          <w:spacing w:val="40"/>
          <w:sz w:val="24"/>
        </w:rPr>
        <w:t> </w:t>
      </w:r>
      <w:r>
        <w:rPr>
          <w:color w:val="000000"/>
          <w:sz w:val="24"/>
        </w:rPr>
        <w:t>1</w:t>
      </w:r>
      <w:r>
        <w:rPr>
          <w:color w:val="000000"/>
          <w:spacing w:val="40"/>
          <w:sz w:val="24"/>
        </w:rPr>
        <w:t> </w:t>
      </w:r>
      <w:r>
        <w:rPr>
          <w:color w:val="000000"/>
          <w:sz w:val="24"/>
        </w:rPr>
        <w:t>in</w:t>
      </w:r>
      <w:r>
        <w:rPr>
          <w:color w:val="000000"/>
          <w:spacing w:val="40"/>
          <w:sz w:val="24"/>
        </w:rPr>
        <w:t> </w:t>
      </w:r>
      <w:r>
        <w:rPr>
          <w:color w:val="000000"/>
          <w:sz w:val="24"/>
          <w:shd w:fill="FFCCFF" w:color="auto" w:val="clear"/>
        </w:rPr>
        <w:t>8</w:t>
      </w:r>
      <w:r>
        <w:rPr>
          <w:color w:val="000000"/>
          <w:spacing w:val="40"/>
          <w:sz w:val="24"/>
          <w:shd w:fill="FFCCFF" w:color="auto" w:val="clear"/>
        </w:rPr>
        <w:t> </w:t>
      </w:r>
      <w:r>
        <w:rPr>
          <w:color w:val="000000"/>
          <w:sz w:val="24"/>
          <w:shd w:fill="FFCCFF" w:color="auto" w:val="clear"/>
        </w:rPr>
        <w:t>for</w:t>
      </w:r>
      <w:r>
        <w:rPr>
          <w:color w:val="000000"/>
          <w:spacing w:val="40"/>
          <w:sz w:val="24"/>
          <w:shd w:fill="FFCCFF" w:color="auto" w:val="clear"/>
        </w:rPr>
        <w:t> </w:t>
      </w:r>
      <w:r>
        <w:rPr>
          <w:color w:val="000000"/>
          <w:sz w:val="24"/>
          <w:shd w:fill="FFCCFF" w:color="auto" w:val="clear"/>
        </w:rPr>
        <w:t>vehicular</w:t>
      </w:r>
      <w:r>
        <w:rPr>
          <w:color w:val="000000"/>
          <w:sz w:val="24"/>
        </w:rPr>
        <w:t> </w:t>
      </w:r>
      <w:r>
        <w:rPr>
          <w:color w:val="000000"/>
          <w:sz w:val="24"/>
          <w:shd w:fill="FFCCFF" w:color="auto" w:val="clear"/>
        </w:rPr>
        <w:t>traffic</w:t>
      </w:r>
      <w:r>
        <w:rPr>
          <w:color w:val="000000"/>
          <w:spacing w:val="40"/>
          <w:sz w:val="24"/>
          <w:shd w:fill="FFCCFF" w:color="auto" w:val="clear"/>
        </w:rPr>
        <w:t> </w:t>
      </w:r>
      <w:r>
        <w:rPr>
          <w:color w:val="000000"/>
          <w:sz w:val="24"/>
          <w:shd w:fill="FFCCFF" w:color="auto" w:val="clear"/>
        </w:rPr>
        <w:t>&amp;</w:t>
      </w:r>
      <w:r>
        <w:rPr>
          <w:color w:val="000000"/>
          <w:spacing w:val="40"/>
          <w:sz w:val="24"/>
          <w:shd w:fill="FFCCFF" w:color="auto" w:val="clear"/>
        </w:rPr>
        <w:t> </w:t>
      </w:r>
      <w:r>
        <w:rPr>
          <w:color w:val="000000"/>
          <w:sz w:val="24"/>
          <w:shd w:fill="FFCCFF" w:color="auto" w:val="clear"/>
        </w:rPr>
        <w:t>1</w:t>
      </w:r>
      <w:r>
        <w:rPr>
          <w:color w:val="000000"/>
          <w:spacing w:val="40"/>
          <w:sz w:val="24"/>
          <w:shd w:fill="FFCCFF" w:color="auto" w:val="clear"/>
        </w:rPr>
        <w:t> </w:t>
      </w:r>
      <w:r>
        <w:rPr>
          <w:color w:val="000000"/>
          <w:sz w:val="24"/>
          <w:shd w:fill="FFCCFF" w:color="auto" w:val="clear"/>
        </w:rPr>
        <w:t>in12</w:t>
      </w:r>
      <w:r>
        <w:rPr>
          <w:color w:val="000000"/>
          <w:spacing w:val="40"/>
          <w:sz w:val="24"/>
          <w:shd w:fill="FFCCFF" w:color="auto" w:val="clear"/>
        </w:rPr>
        <w:t> </w:t>
      </w:r>
      <w:r>
        <w:rPr>
          <w:color w:val="000000"/>
          <w:sz w:val="24"/>
          <w:shd w:fill="FFCCFF" w:color="auto" w:val="clear"/>
        </w:rPr>
        <w:t>for</w:t>
      </w:r>
      <w:r>
        <w:rPr>
          <w:color w:val="000000"/>
          <w:spacing w:val="40"/>
          <w:sz w:val="24"/>
          <w:shd w:fill="FFCCFF" w:color="auto" w:val="clear"/>
        </w:rPr>
        <w:t> </w:t>
      </w:r>
      <w:r>
        <w:rPr>
          <w:color w:val="000000"/>
          <w:sz w:val="24"/>
          <w:shd w:fill="FFCCFF" w:color="auto" w:val="clear"/>
        </w:rPr>
        <w:t>pedestrian.</w:t>
      </w:r>
      <w:r>
        <w:rPr>
          <w:color w:val="000000"/>
          <w:spacing w:val="40"/>
          <w:sz w:val="24"/>
        </w:rPr>
        <w:t>  </w:t>
      </w:r>
      <w:r>
        <w:rPr>
          <w:color w:val="000000"/>
          <w:sz w:val="24"/>
        </w:rPr>
        <w:t>It</w:t>
      </w:r>
      <w:r>
        <w:rPr>
          <w:color w:val="000000"/>
          <w:spacing w:val="40"/>
          <w:sz w:val="24"/>
        </w:rPr>
        <w:t> </w:t>
      </w:r>
      <w:r>
        <w:rPr>
          <w:color w:val="000000"/>
          <w:sz w:val="24"/>
        </w:rPr>
        <w:t>shall</w:t>
      </w:r>
      <w:r>
        <w:rPr>
          <w:color w:val="000000"/>
          <w:spacing w:val="40"/>
          <w:sz w:val="24"/>
        </w:rPr>
        <w:t> </w:t>
      </w:r>
      <w:r>
        <w:rPr>
          <w:color w:val="000000"/>
          <w:sz w:val="24"/>
        </w:rPr>
        <w:t>be</w:t>
      </w:r>
      <w:r>
        <w:rPr>
          <w:color w:val="000000"/>
          <w:spacing w:val="40"/>
          <w:sz w:val="24"/>
        </w:rPr>
        <w:t> </w:t>
      </w:r>
      <w:r>
        <w:rPr>
          <w:color w:val="000000"/>
          <w:sz w:val="24"/>
        </w:rPr>
        <w:t>of</w:t>
      </w:r>
      <w:r>
        <w:rPr>
          <w:color w:val="000000"/>
          <w:spacing w:val="40"/>
          <w:sz w:val="24"/>
        </w:rPr>
        <w:t> </w:t>
      </w:r>
      <w:r>
        <w:rPr>
          <w:color w:val="000000"/>
          <w:spacing w:val="10"/>
          <w:sz w:val="24"/>
        </w:rPr>
        <w:t>non-</w:t>
      </w:r>
      <w:r>
        <w:rPr>
          <w:color w:val="000000"/>
          <w:sz w:val="24"/>
        </w:rPr>
        <w:t>slippery</w:t>
      </w:r>
      <w:r>
        <w:rPr>
          <w:color w:val="000000"/>
          <w:spacing w:val="40"/>
          <w:sz w:val="24"/>
        </w:rPr>
        <w:t> </w:t>
      </w:r>
      <w:r>
        <w:rPr>
          <w:color w:val="000000"/>
          <w:sz w:val="24"/>
        </w:rPr>
        <w:t>material.</w:t>
      </w:r>
    </w:p>
    <w:p>
      <w:pPr>
        <w:pStyle w:val="ListParagraph"/>
        <w:numPr>
          <w:ilvl w:val="0"/>
          <w:numId w:val="256"/>
        </w:numPr>
        <w:tabs>
          <w:tab w:pos="1671" w:val="left" w:leader="none"/>
          <w:tab w:pos="1673" w:val="left" w:leader="none"/>
        </w:tabs>
        <w:spacing w:line="240" w:lineRule="auto" w:before="0" w:after="0"/>
        <w:ind w:left="1673" w:right="796" w:hanging="360"/>
        <w:jc w:val="both"/>
        <w:rPr>
          <w:sz w:val="24"/>
        </w:rPr>
      </w:pPr>
      <w:r>
        <w:rPr>
          <w:i/>
          <w:sz w:val="24"/>
        </w:rPr>
        <w:t>Handrail</w:t>
      </w:r>
      <w:r>
        <w:rPr>
          <w:sz w:val="24"/>
        </w:rPr>
        <w:t>-</w:t>
      </w:r>
      <w:r>
        <w:rPr>
          <w:spacing w:val="40"/>
          <w:sz w:val="24"/>
        </w:rPr>
        <w:t> </w:t>
      </w:r>
      <w:r>
        <w:rPr>
          <w:sz w:val="24"/>
        </w:rPr>
        <w:t>A</w:t>
      </w:r>
      <w:r>
        <w:rPr>
          <w:spacing w:val="40"/>
          <w:sz w:val="24"/>
        </w:rPr>
        <w:t> </w:t>
      </w:r>
      <w:r>
        <w:rPr>
          <w:sz w:val="24"/>
        </w:rPr>
        <w:t>handrail</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on</w:t>
      </w:r>
      <w:r>
        <w:rPr>
          <w:spacing w:val="40"/>
          <w:sz w:val="24"/>
        </w:rPr>
        <w:t> </w:t>
      </w:r>
      <w:r>
        <w:rPr>
          <w:sz w:val="24"/>
        </w:rPr>
        <w:t>both</w:t>
      </w:r>
      <w:r>
        <w:rPr>
          <w:spacing w:val="40"/>
          <w:sz w:val="24"/>
        </w:rPr>
        <w:t> </w:t>
      </w:r>
      <w:r>
        <w:rPr>
          <w:sz w:val="24"/>
        </w:rPr>
        <w:t>the</w:t>
      </w:r>
      <w:r>
        <w:rPr>
          <w:spacing w:val="40"/>
          <w:sz w:val="24"/>
        </w:rPr>
        <w:t> </w:t>
      </w:r>
      <w:r>
        <w:rPr>
          <w:sz w:val="24"/>
        </w:rPr>
        <w:t>sides</w:t>
      </w:r>
      <w:r>
        <w:rPr>
          <w:spacing w:val="40"/>
          <w:sz w:val="24"/>
        </w:rPr>
        <w:t> </w:t>
      </w:r>
      <w:r>
        <w:rPr>
          <w:sz w:val="24"/>
        </w:rPr>
        <w:t>of</w:t>
      </w:r>
      <w:r>
        <w:rPr>
          <w:spacing w:val="40"/>
          <w:sz w:val="24"/>
        </w:rPr>
        <w:t> </w:t>
      </w:r>
      <w:r>
        <w:rPr>
          <w:sz w:val="24"/>
        </w:rPr>
        <w:t>the</w:t>
      </w:r>
      <w:r>
        <w:rPr>
          <w:spacing w:val="40"/>
          <w:sz w:val="24"/>
        </w:rPr>
        <w:t> </w:t>
      </w:r>
      <w:r>
        <w:rPr>
          <w:sz w:val="24"/>
        </w:rPr>
        <w:t>ramp with</w:t>
      </w:r>
      <w:r>
        <w:rPr>
          <w:spacing w:val="40"/>
          <w:sz w:val="24"/>
        </w:rPr>
        <w:t> </w:t>
      </w:r>
      <w:r>
        <w:rPr>
          <w:sz w:val="24"/>
        </w:rPr>
        <w:t>minimum</w:t>
      </w:r>
      <w:r>
        <w:rPr>
          <w:spacing w:val="40"/>
          <w:sz w:val="24"/>
        </w:rPr>
        <w:t> </w:t>
      </w:r>
      <w:r>
        <w:rPr>
          <w:sz w:val="24"/>
        </w:rPr>
        <w:t>height</w:t>
      </w:r>
      <w:r>
        <w:rPr>
          <w:spacing w:val="40"/>
          <w:sz w:val="24"/>
        </w:rPr>
        <w:t> </w:t>
      </w:r>
      <w:r>
        <w:rPr>
          <w:sz w:val="24"/>
        </w:rPr>
        <w:t>of</w:t>
      </w:r>
      <w:r>
        <w:rPr>
          <w:spacing w:val="40"/>
          <w:sz w:val="24"/>
        </w:rPr>
        <w:t> </w:t>
      </w:r>
      <w:r>
        <w:rPr>
          <w:sz w:val="24"/>
        </w:rPr>
        <w:t>0.90</w:t>
      </w:r>
      <w:r>
        <w:rPr>
          <w:spacing w:val="40"/>
          <w:sz w:val="24"/>
        </w:rPr>
        <w:t> </w:t>
      </w:r>
      <w:r>
        <w:rPr>
          <w:sz w:val="24"/>
        </w:rPr>
        <w:t>m</w:t>
      </w:r>
      <w:r>
        <w:rPr>
          <w:spacing w:val="40"/>
          <w:sz w:val="24"/>
        </w:rPr>
        <w:t> </w:t>
      </w:r>
      <w:r>
        <w:rPr>
          <w:sz w:val="24"/>
        </w:rPr>
        <w:t>above</w:t>
      </w:r>
      <w:r>
        <w:rPr>
          <w:spacing w:val="40"/>
          <w:sz w:val="24"/>
        </w:rPr>
        <w:t> </w:t>
      </w:r>
      <w:r>
        <w:rPr>
          <w:sz w:val="24"/>
        </w:rPr>
        <w:t>the</w:t>
      </w:r>
      <w:r>
        <w:rPr>
          <w:spacing w:val="40"/>
          <w:sz w:val="24"/>
        </w:rPr>
        <w:t> </w:t>
      </w:r>
      <w:r>
        <w:rPr>
          <w:sz w:val="24"/>
        </w:rPr>
        <w:t>surface</w:t>
      </w:r>
      <w:r>
        <w:rPr>
          <w:spacing w:val="40"/>
          <w:sz w:val="24"/>
        </w:rPr>
        <w:t> </w:t>
      </w:r>
      <w:r>
        <w:rPr>
          <w:sz w:val="24"/>
        </w:rPr>
        <w:t>of</w:t>
      </w:r>
      <w:r>
        <w:rPr>
          <w:spacing w:val="40"/>
          <w:sz w:val="24"/>
        </w:rPr>
        <w:t> </w:t>
      </w:r>
      <w:r>
        <w:rPr>
          <w:sz w:val="24"/>
        </w:rPr>
        <w:t>the</w:t>
      </w:r>
      <w:r>
        <w:rPr>
          <w:spacing w:val="40"/>
          <w:sz w:val="24"/>
        </w:rPr>
        <w:t> </w:t>
      </w:r>
      <w:r>
        <w:rPr>
          <w:sz w:val="24"/>
        </w:rPr>
        <w:t>ramp.</w:t>
      </w:r>
    </w:p>
    <w:p>
      <w:pPr>
        <w:pStyle w:val="ListParagraph"/>
        <w:numPr>
          <w:ilvl w:val="0"/>
          <w:numId w:val="256"/>
        </w:numPr>
        <w:tabs>
          <w:tab w:pos="1671" w:val="left" w:leader="none"/>
        </w:tabs>
        <w:spacing w:line="281" w:lineRule="exact" w:before="0" w:after="0"/>
        <w:ind w:left="1671" w:right="0" w:hanging="358"/>
        <w:jc w:val="both"/>
        <w:rPr>
          <w:sz w:val="24"/>
        </w:rPr>
      </w:pPr>
      <w:r>
        <w:rPr>
          <w:sz w:val="24"/>
        </w:rPr>
        <w:t>For</w:t>
      </w:r>
      <w:r>
        <w:rPr>
          <w:spacing w:val="39"/>
          <w:sz w:val="24"/>
        </w:rPr>
        <w:t> </w:t>
      </w:r>
      <w:r>
        <w:rPr>
          <w:sz w:val="24"/>
        </w:rPr>
        <w:t>every</w:t>
      </w:r>
      <w:r>
        <w:rPr>
          <w:spacing w:val="39"/>
          <w:sz w:val="24"/>
        </w:rPr>
        <w:t> </w:t>
      </w:r>
      <w:r>
        <w:rPr>
          <w:sz w:val="24"/>
        </w:rPr>
        <w:t>9</w:t>
      </w:r>
      <w:r>
        <w:rPr>
          <w:spacing w:val="40"/>
          <w:sz w:val="24"/>
        </w:rPr>
        <w:t> </w:t>
      </w:r>
      <w:r>
        <w:rPr>
          <w:sz w:val="24"/>
        </w:rPr>
        <w:t>m</w:t>
      </w:r>
      <w:r>
        <w:rPr>
          <w:spacing w:val="42"/>
          <w:sz w:val="24"/>
        </w:rPr>
        <w:t> </w:t>
      </w:r>
      <w:r>
        <w:rPr>
          <w:sz w:val="24"/>
        </w:rPr>
        <w:t>of</w:t>
      </w:r>
      <w:r>
        <w:rPr>
          <w:spacing w:val="39"/>
          <w:sz w:val="24"/>
        </w:rPr>
        <w:t> </w:t>
      </w:r>
      <w:r>
        <w:rPr>
          <w:sz w:val="24"/>
        </w:rPr>
        <w:t>ramp</w:t>
      </w:r>
      <w:r>
        <w:rPr>
          <w:spacing w:val="39"/>
          <w:sz w:val="24"/>
        </w:rPr>
        <w:t> </w:t>
      </w:r>
      <w:r>
        <w:rPr>
          <w:sz w:val="24"/>
        </w:rPr>
        <w:t>length,</w:t>
      </w:r>
      <w:r>
        <w:rPr>
          <w:spacing w:val="40"/>
          <w:sz w:val="24"/>
        </w:rPr>
        <w:t> </w:t>
      </w:r>
      <w:r>
        <w:rPr>
          <w:sz w:val="24"/>
        </w:rPr>
        <w:t>a</w:t>
      </w:r>
      <w:r>
        <w:rPr>
          <w:spacing w:val="39"/>
          <w:sz w:val="24"/>
        </w:rPr>
        <w:t> </w:t>
      </w:r>
      <w:r>
        <w:rPr>
          <w:sz w:val="24"/>
        </w:rPr>
        <w:t>landing</w:t>
      </w:r>
      <w:r>
        <w:rPr>
          <w:spacing w:val="40"/>
          <w:sz w:val="24"/>
        </w:rPr>
        <w:t> </w:t>
      </w:r>
      <w:r>
        <w:rPr>
          <w:sz w:val="24"/>
        </w:rPr>
        <w:t>of</w:t>
      </w:r>
      <w:r>
        <w:rPr>
          <w:spacing w:val="39"/>
          <w:sz w:val="24"/>
        </w:rPr>
        <w:t> </w:t>
      </w:r>
      <w:r>
        <w:rPr>
          <w:sz w:val="24"/>
        </w:rPr>
        <w:t>1.5</w:t>
      </w:r>
      <w:r>
        <w:rPr>
          <w:spacing w:val="39"/>
          <w:sz w:val="24"/>
        </w:rPr>
        <w:t> </w:t>
      </w:r>
      <w:r>
        <w:rPr>
          <w:sz w:val="24"/>
        </w:rPr>
        <w:t>m</w:t>
      </w:r>
      <w:r>
        <w:rPr>
          <w:spacing w:val="40"/>
          <w:sz w:val="24"/>
        </w:rPr>
        <w:t> </w:t>
      </w:r>
      <w:r>
        <w:rPr>
          <w:sz w:val="24"/>
        </w:rPr>
        <w:t>shall</w:t>
      </w:r>
      <w:r>
        <w:rPr>
          <w:spacing w:val="39"/>
          <w:sz w:val="24"/>
        </w:rPr>
        <w:t> </w:t>
      </w:r>
      <w:r>
        <w:rPr>
          <w:sz w:val="24"/>
        </w:rPr>
        <w:t>be</w:t>
      </w:r>
      <w:r>
        <w:rPr>
          <w:spacing w:val="40"/>
          <w:sz w:val="24"/>
        </w:rPr>
        <w:t> </w:t>
      </w:r>
      <w:r>
        <w:rPr>
          <w:spacing w:val="7"/>
          <w:sz w:val="24"/>
        </w:rPr>
        <w:t>provided</w:t>
      </w:r>
    </w:p>
    <w:p>
      <w:pPr>
        <w:pStyle w:val="ListParagraph"/>
        <w:numPr>
          <w:ilvl w:val="0"/>
          <w:numId w:val="256"/>
        </w:numPr>
        <w:tabs>
          <w:tab w:pos="1673" w:val="left" w:leader="none"/>
        </w:tabs>
        <w:spacing w:line="240" w:lineRule="auto" w:before="0" w:after="0"/>
        <w:ind w:left="1673" w:right="790" w:hanging="360"/>
        <w:jc w:val="both"/>
        <w:rPr>
          <w:sz w:val="24"/>
        </w:rPr>
      </w:pPr>
      <w:r>
        <w:rPr>
          <w:sz w:val="24"/>
        </w:rPr>
        <w:t>Landing</w:t>
      </w:r>
      <w:r>
        <w:rPr>
          <w:spacing w:val="40"/>
          <w:sz w:val="24"/>
        </w:rPr>
        <w:t> </w:t>
      </w:r>
      <w:r>
        <w:rPr>
          <w:sz w:val="24"/>
        </w:rPr>
        <w:t>of</w:t>
      </w:r>
      <w:r>
        <w:rPr>
          <w:spacing w:val="40"/>
          <w:sz w:val="24"/>
        </w:rPr>
        <w:t> </w:t>
      </w:r>
      <w:r>
        <w:rPr>
          <w:sz w:val="24"/>
        </w:rPr>
        <w:t>minimum</w:t>
      </w:r>
      <w:r>
        <w:rPr>
          <w:spacing w:val="40"/>
          <w:sz w:val="24"/>
        </w:rPr>
        <w:t> </w:t>
      </w:r>
      <w:r>
        <w:rPr>
          <w:sz w:val="24"/>
        </w:rPr>
        <w:t>1.5</w:t>
      </w:r>
      <w:r>
        <w:rPr>
          <w:spacing w:val="40"/>
          <w:sz w:val="24"/>
        </w:rPr>
        <w:t> </w:t>
      </w:r>
      <w:r>
        <w:rPr>
          <w:sz w:val="24"/>
        </w:rPr>
        <w:t>m</w:t>
      </w:r>
      <w:r>
        <w:rPr>
          <w:spacing w:val="40"/>
          <w:sz w:val="24"/>
        </w:rPr>
        <w:t> </w:t>
      </w:r>
      <w:r>
        <w:rPr>
          <w:sz w:val="24"/>
        </w:rPr>
        <w:t>length</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at</w:t>
      </w:r>
      <w:r>
        <w:rPr>
          <w:spacing w:val="40"/>
          <w:sz w:val="24"/>
        </w:rPr>
        <w:t> </w:t>
      </w:r>
      <w:r>
        <w:rPr>
          <w:sz w:val="24"/>
        </w:rPr>
        <w:t>every</w:t>
      </w:r>
      <w:r>
        <w:rPr>
          <w:spacing w:val="40"/>
          <w:sz w:val="24"/>
        </w:rPr>
        <w:t> </w:t>
      </w:r>
      <w:r>
        <w:rPr>
          <w:sz w:val="24"/>
        </w:rPr>
        <w:t>entry</w:t>
      </w:r>
      <w:r>
        <w:rPr>
          <w:spacing w:val="40"/>
          <w:sz w:val="24"/>
        </w:rPr>
        <w:t> </w:t>
      </w:r>
      <w:r>
        <w:rPr>
          <w:sz w:val="24"/>
        </w:rPr>
        <w:t>&amp; exit of </w:t>
      </w:r>
      <w:r>
        <w:rPr>
          <w:spacing w:val="9"/>
          <w:sz w:val="24"/>
        </w:rPr>
        <w:t>ramp.</w:t>
      </w:r>
    </w:p>
    <w:p>
      <w:pPr>
        <w:pStyle w:val="ListParagraph"/>
        <w:numPr>
          <w:ilvl w:val="1"/>
          <w:numId w:val="255"/>
        </w:numPr>
        <w:tabs>
          <w:tab w:pos="1783" w:val="left" w:leader="none"/>
        </w:tabs>
        <w:spacing w:line="240" w:lineRule="auto" w:before="231" w:after="0"/>
        <w:ind w:left="1313" w:right="771" w:firstLine="0"/>
        <w:jc w:val="both"/>
        <w:rPr>
          <w:sz w:val="24"/>
        </w:rPr>
      </w:pPr>
      <w:r>
        <w:rPr>
          <w:b/>
          <w:i/>
          <w:sz w:val="24"/>
        </w:rPr>
        <w:t>Ramps for basement or </w:t>
      </w:r>
      <w:r>
        <w:rPr>
          <w:b/>
          <w:i/>
          <w:color w:val="000000"/>
          <w:sz w:val="24"/>
          <w:shd w:fill="FFCCFF" w:color="auto" w:val="clear"/>
        </w:rPr>
        <w:t>podium, </w:t>
      </w:r>
      <w:r>
        <w:rPr>
          <w:b/>
          <w:i/>
          <w:color w:val="000000"/>
          <w:spacing w:val="9"/>
          <w:sz w:val="24"/>
        </w:rPr>
        <w:t>multi-</w:t>
      </w:r>
      <w:r>
        <w:rPr>
          <w:b/>
          <w:i/>
          <w:color w:val="000000"/>
          <w:sz w:val="24"/>
        </w:rPr>
        <w:t>storeyed parking</w:t>
      </w:r>
      <w:r>
        <w:rPr>
          <w:color w:val="000000"/>
          <w:sz w:val="24"/>
        </w:rPr>
        <w:t>- For</w:t>
      </w:r>
      <w:r>
        <w:rPr>
          <w:color w:val="000000"/>
          <w:spacing w:val="40"/>
          <w:sz w:val="24"/>
        </w:rPr>
        <w:t> </w:t>
      </w:r>
      <w:r>
        <w:rPr>
          <w:color w:val="000000"/>
          <w:sz w:val="24"/>
        </w:rPr>
        <w:t>parking</w:t>
      </w:r>
      <w:r>
        <w:rPr>
          <w:color w:val="000000"/>
          <w:spacing w:val="40"/>
          <w:sz w:val="24"/>
        </w:rPr>
        <w:t> </w:t>
      </w:r>
      <w:r>
        <w:rPr>
          <w:color w:val="000000"/>
          <w:sz w:val="24"/>
        </w:rPr>
        <w:t>spaces</w:t>
      </w:r>
      <w:r>
        <w:rPr>
          <w:color w:val="000000"/>
          <w:spacing w:val="40"/>
          <w:sz w:val="24"/>
        </w:rPr>
        <w:t> </w:t>
      </w:r>
      <w:r>
        <w:rPr>
          <w:color w:val="000000"/>
          <w:sz w:val="24"/>
        </w:rPr>
        <w:t>in</w:t>
      </w:r>
      <w:r>
        <w:rPr>
          <w:color w:val="000000"/>
          <w:spacing w:val="40"/>
          <w:sz w:val="24"/>
        </w:rPr>
        <w:t> </w:t>
      </w:r>
      <w:r>
        <w:rPr>
          <w:color w:val="000000"/>
          <w:sz w:val="24"/>
        </w:rPr>
        <w:t>a</w:t>
      </w:r>
      <w:r>
        <w:rPr>
          <w:color w:val="000000"/>
          <w:spacing w:val="40"/>
          <w:sz w:val="24"/>
        </w:rPr>
        <w:t> </w:t>
      </w:r>
      <w:r>
        <w:rPr>
          <w:color w:val="000000"/>
          <w:sz w:val="24"/>
        </w:rPr>
        <w:t>basement</w:t>
      </w:r>
      <w:r>
        <w:rPr>
          <w:color w:val="000000"/>
          <w:spacing w:val="40"/>
          <w:sz w:val="24"/>
        </w:rPr>
        <w:t> </w:t>
      </w:r>
      <w:r>
        <w:rPr>
          <w:color w:val="000000"/>
          <w:sz w:val="24"/>
        </w:rPr>
        <w:t>and</w:t>
      </w:r>
      <w:r>
        <w:rPr>
          <w:color w:val="000000"/>
          <w:spacing w:val="40"/>
          <w:sz w:val="24"/>
        </w:rPr>
        <w:t> </w:t>
      </w:r>
      <w:r>
        <w:rPr>
          <w:color w:val="000000"/>
          <w:sz w:val="24"/>
        </w:rPr>
        <w:t>upper</w:t>
      </w:r>
      <w:r>
        <w:rPr>
          <w:color w:val="000000"/>
          <w:spacing w:val="40"/>
          <w:sz w:val="24"/>
        </w:rPr>
        <w:t> </w:t>
      </w:r>
      <w:r>
        <w:rPr>
          <w:color w:val="000000"/>
          <w:sz w:val="24"/>
        </w:rPr>
        <w:t>floors,</w:t>
      </w:r>
      <w:r>
        <w:rPr>
          <w:color w:val="000000"/>
          <w:spacing w:val="40"/>
          <w:sz w:val="24"/>
        </w:rPr>
        <w:t> </w:t>
      </w:r>
      <w:r>
        <w:rPr>
          <w:color w:val="000000"/>
          <w:sz w:val="24"/>
        </w:rPr>
        <w:t>ramps</w:t>
      </w:r>
      <w:r>
        <w:rPr>
          <w:color w:val="000000"/>
          <w:spacing w:val="40"/>
          <w:sz w:val="24"/>
        </w:rPr>
        <w:t> </w:t>
      </w:r>
      <w:r>
        <w:rPr>
          <w:color w:val="000000"/>
          <w:sz w:val="24"/>
        </w:rPr>
        <w:t>of</w:t>
      </w:r>
      <w:r>
        <w:rPr>
          <w:color w:val="000000"/>
          <w:spacing w:val="40"/>
          <w:sz w:val="24"/>
        </w:rPr>
        <w:t> </w:t>
      </w:r>
      <w:r>
        <w:rPr>
          <w:color w:val="000000"/>
          <w:sz w:val="24"/>
        </w:rPr>
        <w:t>adequate</w:t>
      </w:r>
      <w:r>
        <w:rPr>
          <w:color w:val="000000"/>
          <w:spacing w:val="40"/>
          <w:sz w:val="24"/>
        </w:rPr>
        <w:t> </w:t>
      </w:r>
      <w:r>
        <w:rPr>
          <w:color w:val="000000"/>
          <w:sz w:val="24"/>
        </w:rPr>
        <w:t>width as</w:t>
      </w:r>
      <w:r>
        <w:rPr>
          <w:color w:val="000000"/>
          <w:spacing w:val="80"/>
          <w:sz w:val="24"/>
        </w:rPr>
        <w:t> </w:t>
      </w:r>
      <w:r>
        <w:rPr>
          <w:color w:val="000000"/>
          <w:sz w:val="24"/>
        </w:rPr>
        <w:t>tabulated</w:t>
      </w:r>
      <w:r>
        <w:rPr>
          <w:color w:val="000000"/>
          <w:spacing w:val="80"/>
          <w:sz w:val="24"/>
        </w:rPr>
        <w:t> </w:t>
      </w:r>
      <w:r>
        <w:rPr>
          <w:color w:val="000000"/>
          <w:sz w:val="24"/>
        </w:rPr>
        <w:t>below</w:t>
      </w:r>
      <w:r>
        <w:rPr>
          <w:color w:val="000000"/>
          <w:spacing w:val="80"/>
          <w:sz w:val="24"/>
        </w:rPr>
        <w:t> </w:t>
      </w:r>
      <w:r>
        <w:rPr>
          <w:color w:val="000000"/>
          <w:sz w:val="24"/>
        </w:rPr>
        <w:t>and</w:t>
      </w:r>
      <w:r>
        <w:rPr>
          <w:color w:val="000000"/>
          <w:spacing w:val="80"/>
          <w:sz w:val="24"/>
        </w:rPr>
        <w:t> </w:t>
      </w:r>
      <w:r>
        <w:rPr>
          <w:color w:val="000000"/>
          <w:sz w:val="24"/>
        </w:rPr>
        <w:t>adequate</w:t>
      </w:r>
      <w:r>
        <w:rPr>
          <w:color w:val="000000"/>
          <w:spacing w:val="80"/>
          <w:sz w:val="24"/>
        </w:rPr>
        <w:t> </w:t>
      </w:r>
      <w:r>
        <w:rPr>
          <w:color w:val="000000"/>
          <w:sz w:val="24"/>
        </w:rPr>
        <w:t>slope</w:t>
      </w:r>
      <w:r>
        <w:rPr>
          <w:color w:val="000000"/>
          <w:spacing w:val="80"/>
          <w:sz w:val="24"/>
        </w:rPr>
        <w:t> </w:t>
      </w:r>
      <w:r>
        <w:rPr>
          <w:color w:val="000000"/>
          <w:sz w:val="24"/>
        </w:rPr>
        <w:t>shall</w:t>
      </w:r>
      <w:r>
        <w:rPr>
          <w:color w:val="000000"/>
          <w:spacing w:val="80"/>
          <w:sz w:val="24"/>
        </w:rPr>
        <w:t> </w:t>
      </w:r>
      <w:r>
        <w:rPr>
          <w:color w:val="000000"/>
          <w:sz w:val="24"/>
        </w:rPr>
        <w:t>be</w:t>
      </w:r>
      <w:r>
        <w:rPr>
          <w:color w:val="000000"/>
          <w:spacing w:val="80"/>
          <w:sz w:val="24"/>
        </w:rPr>
        <w:t> </w:t>
      </w:r>
      <w:r>
        <w:rPr>
          <w:color w:val="000000"/>
          <w:sz w:val="24"/>
        </w:rPr>
        <w:t>provided</w:t>
      </w:r>
      <w:r>
        <w:rPr>
          <w:color w:val="000000"/>
          <w:spacing w:val="80"/>
          <w:sz w:val="24"/>
        </w:rPr>
        <w:t> </w:t>
      </w:r>
      <w:r>
        <w:rPr>
          <w:color w:val="000000"/>
          <w:sz w:val="24"/>
        </w:rPr>
        <w:t>preferably</w:t>
      </w:r>
      <w:r>
        <w:rPr>
          <w:color w:val="000000"/>
          <w:spacing w:val="80"/>
          <w:sz w:val="24"/>
        </w:rPr>
        <w:t> </w:t>
      </w:r>
      <w:r>
        <w:rPr>
          <w:color w:val="000000"/>
          <w:sz w:val="24"/>
        </w:rPr>
        <w:t>at the opposite ends. Such ramps may be permitted in the side and rear marginal open spaces after leaving sufficient space for movement of fire- fighting</w:t>
      </w:r>
      <w:r>
        <w:rPr>
          <w:color w:val="000000"/>
          <w:spacing w:val="40"/>
          <w:sz w:val="24"/>
        </w:rPr>
        <w:t> </w:t>
      </w:r>
      <w:r>
        <w:rPr>
          <w:color w:val="000000"/>
          <w:sz w:val="24"/>
        </w:rPr>
        <w:t>vehicles</w:t>
      </w:r>
      <w:r>
        <w:rPr>
          <w:color w:val="000000"/>
          <w:spacing w:val="40"/>
          <w:sz w:val="24"/>
        </w:rPr>
        <w:t> </w:t>
      </w:r>
      <w:r>
        <w:rPr>
          <w:color w:val="000000"/>
          <w:sz w:val="24"/>
        </w:rPr>
        <w:t>subject</w:t>
      </w:r>
      <w:r>
        <w:rPr>
          <w:color w:val="000000"/>
          <w:spacing w:val="40"/>
          <w:sz w:val="24"/>
        </w:rPr>
        <w:t> </w:t>
      </w:r>
      <w:r>
        <w:rPr>
          <w:color w:val="000000"/>
          <w:sz w:val="24"/>
        </w:rPr>
        <w:t>to</w:t>
      </w:r>
      <w:r>
        <w:rPr>
          <w:color w:val="000000"/>
          <w:spacing w:val="40"/>
          <w:sz w:val="24"/>
        </w:rPr>
        <w:t> </w:t>
      </w:r>
      <w:r>
        <w:rPr>
          <w:color w:val="000000"/>
          <w:sz w:val="24"/>
        </w:rPr>
        <w:t>the</w:t>
      </w:r>
      <w:r>
        <w:rPr>
          <w:color w:val="000000"/>
          <w:spacing w:val="40"/>
          <w:sz w:val="24"/>
        </w:rPr>
        <w:t> </w:t>
      </w:r>
      <w:r>
        <w:rPr>
          <w:color w:val="000000"/>
          <w:sz w:val="24"/>
        </w:rPr>
        <w:t>provision</w:t>
      </w:r>
      <w:r>
        <w:rPr>
          <w:color w:val="000000"/>
          <w:spacing w:val="40"/>
          <w:sz w:val="24"/>
        </w:rPr>
        <w:t> </w:t>
      </w:r>
      <w:r>
        <w:rPr>
          <w:color w:val="000000"/>
          <w:sz w:val="24"/>
        </w:rPr>
        <w:t>of</w:t>
      </w:r>
      <w:r>
        <w:rPr>
          <w:color w:val="000000"/>
          <w:spacing w:val="40"/>
          <w:sz w:val="24"/>
        </w:rPr>
        <w:t> </w:t>
      </w:r>
      <w:r>
        <w:rPr>
          <w:color w:val="000000"/>
          <w:spacing w:val="11"/>
          <w:sz w:val="24"/>
        </w:rPr>
        <w:t>sub-</w:t>
      </w:r>
      <w:r>
        <w:rPr>
          <w:color w:val="000000"/>
          <w:sz w:val="24"/>
        </w:rPr>
        <w:t>regulation</w:t>
      </w:r>
      <w:r>
        <w:rPr>
          <w:color w:val="000000"/>
          <w:spacing w:val="40"/>
          <w:sz w:val="24"/>
        </w:rPr>
        <w:t> </w:t>
      </w:r>
      <w:r>
        <w:rPr>
          <w:color w:val="000000"/>
          <w:sz w:val="24"/>
        </w:rPr>
        <w:t>(7)</w:t>
      </w:r>
      <w:r>
        <w:rPr>
          <w:color w:val="000000"/>
          <w:spacing w:val="40"/>
          <w:sz w:val="24"/>
        </w:rPr>
        <w:t> </w:t>
      </w:r>
      <w:r>
        <w:rPr>
          <w:color w:val="000000"/>
          <w:sz w:val="24"/>
        </w:rPr>
        <w:t>of Regulation</w:t>
      </w:r>
      <w:r>
        <w:rPr>
          <w:color w:val="000000"/>
          <w:spacing w:val="40"/>
          <w:sz w:val="24"/>
        </w:rPr>
        <w:t> </w:t>
      </w:r>
      <w:r>
        <w:rPr>
          <w:color w:val="000000"/>
          <w:sz w:val="24"/>
        </w:rPr>
        <w:t>48.</w:t>
      </w:r>
      <w:r>
        <w:rPr>
          <w:color w:val="000000"/>
          <w:spacing w:val="40"/>
          <w:sz w:val="24"/>
        </w:rPr>
        <w:t> </w:t>
      </w:r>
      <w:r>
        <w:rPr>
          <w:color w:val="000000"/>
          <w:sz w:val="24"/>
        </w:rPr>
        <w:t>Provided</w:t>
      </w:r>
      <w:r>
        <w:rPr>
          <w:color w:val="000000"/>
          <w:spacing w:val="40"/>
          <w:sz w:val="24"/>
        </w:rPr>
        <w:t> </w:t>
      </w:r>
      <w:r>
        <w:rPr>
          <w:color w:val="000000"/>
          <w:sz w:val="24"/>
        </w:rPr>
        <w:t>that,</w:t>
      </w:r>
      <w:r>
        <w:rPr>
          <w:color w:val="000000"/>
          <w:spacing w:val="40"/>
          <w:sz w:val="24"/>
        </w:rPr>
        <w:t> </w:t>
      </w:r>
      <w:r>
        <w:rPr>
          <w:color w:val="000000"/>
          <w:sz w:val="24"/>
        </w:rPr>
        <w:t>when</w:t>
      </w:r>
      <w:r>
        <w:rPr>
          <w:color w:val="000000"/>
          <w:spacing w:val="40"/>
          <w:sz w:val="24"/>
        </w:rPr>
        <w:t> </w:t>
      </w:r>
      <w:r>
        <w:rPr>
          <w:color w:val="000000"/>
          <w:sz w:val="24"/>
        </w:rPr>
        <w:t>a</w:t>
      </w:r>
      <w:r>
        <w:rPr>
          <w:color w:val="000000"/>
          <w:spacing w:val="40"/>
          <w:sz w:val="24"/>
        </w:rPr>
        <w:t> </w:t>
      </w:r>
      <w:r>
        <w:rPr>
          <w:color w:val="000000"/>
          <w:sz w:val="24"/>
        </w:rPr>
        <w:t>building</w:t>
      </w:r>
      <w:r>
        <w:rPr>
          <w:color w:val="000000"/>
          <w:spacing w:val="40"/>
          <w:sz w:val="24"/>
        </w:rPr>
        <w:t> </w:t>
      </w:r>
      <w:r>
        <w:rPr>
          <w:color w:val="000000"/>
          <w:sz w:val="24"/>
        </w:rPr>
        <w:t>abuts</w:t>
      </w:r>
      <w:r>
        <w:rPr>
          <w:color w:val="000000"/>
          <w:spacing w:val="40"/>
          <w:sz w:val="24"/>
        </w:rPr>
        <w:t> </w:t>
      </w:r>
      <w:r>
        <w:rPr>
          <w:color w:val="000000"/>
          <w:sz w:val="24"/>
        </w:rPr>
        <w:t>3</w:t>
      </w:r>
      <w:r>
        <w:rPr>
          <w:color w:val="000000"/>
          <w:spacing w:val="40"/>
          <w:sz w:val="24"/>
        </w:rPr>
        <w:t> </w:t>
      </w:r>
      <w:r>
        <w:rPr>
          <w:color w:val="000000"/>
          <w:sz w:val="24"/>
        </w:rPr>
        <w:t>or</w:t>
      </w:r>
      <w:r>
        <w:rPr>
          <w:color w:val="000000"/>
          <w:spacing w:val="40"/>
          <w:sz w:val="24"/>
        </w:rPr>
        <w:t> </w:t>
      </w:r>
      <w:r>
        <w:rPr>
          <w:color w:val="000000"/>
          <w:sz w:val="24"/>
        </w:rPr>
        <w:t>more</w:t>
      </w:r>
      <w:r>
        <w:rPr>
          <w:color w:val="000000"/>
          <w:spacing w:val="40"/>
          <w:sz w:val="24"/>
        </w:rPr>
        <w:t> </w:t>
      </w:r>
      <w:r>
        <w:rPr>
          <w:color w:val="000000"/>
          <w:sz w:val="24"/>
        </w:rPr>
        <w:t>roads, then ramps shall be allowed in front marginal open space facing the road having</w:t>
      </w:r>
      <w:r>
        <w:rPr>
          <w:color w:val="000000"/>
          <w:spacing w:val="40"/>
          <w:sz w:val="24"/>
        </w:rPr>
        <w:t> </w:t>
      </w:r>
      <w:r>
        <w:rPr>
          <w:color w:val="000000"/>
          <w:sz w:val="24"/>
        </w:rPr>
        <w:t>least</w:t>
      </w:r>
      <w:r>
        <w:rPr>
          <w:color w:val="000000"/>
          <w:spacing w:val="40"/>
          <w:sz w:val="24"/>
        </w:rPr>
        <w:t> </w:t>
      </w:r>
      <w:r>
        <w:rPr>
          <w:color w:val="000000"/>
          <w:sz w:val="24"/>
        </w:rPr>
        <w:t>width.</w:t>
      </w:r>
      <w:r>
        <w:rPr>
          <w:color w:val="000000"/>
          <w:spacing w:val="40"/>
          <w:sz w:val="24"/>
        </w:rPr>
        <w:t> </w:t>
      </w:r>
      <w:r>
        <w:rPr>
          <w:color w:val="000000"/>
          <w:sz w:val="24"/>
        </w:rPr>
        <w:t>Alternatively,</w:t>
      </w:r>
      <w:r>
        <w:rPr>
          <w:color w:val="000000"/>
          <w:spacing w:val="40"/>
          <w:sz w:val="24"/>
        </w:rPr>
        <w:t> </w:t>
      </w:r>
      <w:r>
        <w:rPr>
          <w:color w:val="000000"/>
          <w:sz w:val="24"/>
        </w:rPr>
        <w:t>for</w:t>
      </w:r>
      <w:r>
        <w:rPr>
          <w:color w:val="000000"/>
          <w:spacing w:val="40"/>
          <w:sz w:val="24"/>
        </w:rPr>
        <w:t> </w:t>
      </w:r>
      <w:r>
        <w:rPr>
          <w:color w:val="000000"/>
          <w:sz w:val="24"/>
        </w:rPr>
        <w:t>ingress</w:t>
      </w:r>
      <w:r>
        <w:rPr>
          <w:color w:val="000000"/>
          <w:spacing w:val="40"/>
          <w:sz w:val="24"/>
        </w:rPr>
        <w:t> </w:t>
      </w:r>
      <w:r>
        <w:rPr>
          <w:color w:val="000000"/>
          <w:sz w:val="24"/>
        </w:rPr>
        <w:t>&amp;</w:t>
      </w:r>
      <w:r>
        <w:rPr>
          <w:color w:val="000000"/>
          <w:spacing w:val="40"/>
          <w:sz w:val="24"/>
        </w:rPr>
        <w:t> </w:t>
      </w:r>
      <w:r>
        <w:rPr>
          <w:color w:val="000000"/>
          <w:sz w:val="24"/>
        </w:rPr>
        <w:t>egress</w:t>
      </w:r>
      <w:r>
        <w:rPr>
          <w:color w:val="000000"/>
          <w:spacing w:val="40"/>
          <w:sz w:val="24"/>
        </w:rPr>
        <w:t> </w:t>
      </w:r>
      <w:r>
        <w:rPr>
          <w:color w:val="000000"/>
          <w:sz w:val="24"/>
        </w:rPr>
        <w:t>of</w:t>
      </w:r>
      <w:r>
        <w:rPr>
          <w:color w:val="000000"/>
          <w:spacing w:val="40"/>
          <w:sz w:val="24"/>
        </w:rPr>
        <w:t> </w:t>
      </w:r>
      <w:r>
        <w:rPr>
          <w:color w:val="000000"/>
          <w:sz w:val="24"/>
        </w:rPr>
        <w:t>vehicles</w:t>
      </w:r>
      <w:r>
        <w:rPr>
          <w:color w:val="000000"/>
          <w:spacing w:val="80"/>
          <w:sz w:val="24"/>
        </w:rPr>
        <w:t> </w:t>
      </w:r>
      <w:r>
        <w:rPr>
          <w:color w:val="000000"/>
          <w:sz w:val="24"/>
        </w:rPr>
        <w:t>minimum</w:t>
      </w:r>
      <w:r>
        <w:rPr>
          <w:color w:val="000000"/>
          <w:spacing w:val="40"/>
          <w:sz w:val="24"/>
        </w:rPr>
        <w:t> </w:t>
      </w:r>
      <w:r>
        <w:rPr>
          <w:color w:val="000000"/>
          <w:sz w:val="24"/>
        </w:rPr>
        <w:t>two</w:t>
      </w:r>
      <w:r>
        <w:rPr>
          <w:color w:val="000000"/>
          <w:spacing w:val="40"/>
          <w:sz w:val="24"/>
        </w:rPr>
        <w:t> </w:t>
      </w:r>
      <w:r>
        <w:rPr>
          <w:color w:val="000000"/>
          <w:sz w:val="24"/>
        </w:rPr>
        <w:t>numbers</w:t>
      </w:r>
      <w:r>
        <w:rPr>
          <w:color w:val="000000"/>
          <w:spacing w:val="40"/>
          <w:sz w:val="24"/>
        </w:rPr>
        <w:t> </w:t>
      </w:r>
      <w:r>
        <w:rPr>
          <w:color w:val="000000"/>
          <w:sz w:val="24"/>
        </w:rPr>
        <w:t>of</w:t>
      </w:r>
      <w:r>
        <w:rPr>
          <w:color w:val="000000"/>
          <w:spacing w:val="40"/>
          <w:sz w:val="24"/>
        </w:rPr>
        <w:t> </w:t>
      </w:r>
      <w:r>
        <w:rPr>
          <w:color w:val="000000"/>
          <w:sz w:val="24"/>
        </w:rPr>
        <w:t>car</w:t>
      </w:r>
      <w:r>
        <w:rPr>
          <w:color w:val="000000"/>
          <w:spacing w:val="40"/>
          <w:sz w:val="24"/>
        </w:rPr>
        <w:t> </w:t>
      </w:r>
      <w:r>
        <w:rPr>
          <w:color w:val="000000"/>
          <w:sz w:val="24"/>
        </w:rPr>
        <w:t>lifts</w:t>
      </w:r>
      <w:r>
        <w:rPr>
          <w:color w:val="000000"/>
          <w:spacing w:val="40"/>
          <w:sz w:val="24"/>
        </w:rPr>
        <w:t> </w:t>
      </w:r>
      <w:r>
        <w:rPr>
          <w:color w:val="000000"/>
          <w:sz w:val="24"/>
        </w:rPr>
        <w:t>for</w:t>
      </w:r>
      <w:r>
        <w:rPr>
          <w:color w:val="000000"/>
          <w:spacing w:val="40"/>
          <w:sz w:val="24"/>
        </w:rPr>
        <w:t> </w:t>
      </w:r>
      <w:r>
        <w:rPr>
          <w:color w:val="000000"/>
          <w:sz w:val="24"/>
        </w:rPr>
        <w:t>vehicles</w:t>
      </w:r>
      <w:r>
        <w:rPr>
          <w:color w:val="000000"/>
          <w:spacing w:val="40"/>
          <w:sz w:val="24"/>
        </w:rPr>
        <w:t> </w:t>
      </w:r>
      <w:r>
        <w:rPr>
          <w:color w:val="000000"/>
          <w:sz w:val="24"/>
        </w:rPr>
        <w:t>up</w:t>
      </w:r>
      <w:r>
        <w:rPr>
          <w:color w:val="000000"/>
          <w:spacing w:val="40"/>
          <w:sz w:val="24"/>
        </w:rPr>
        <w:t> </w:t>
      </w:r>
      <w:r>
        <w:rPr>
          <w:color w:val="000000"/>
          <w:sz w:val="24"/>
        </w:rPr>
        <w:t>to</w:t>
      </w:r>
      <w:r>
        <w:rPr>
          <w:color w:val="000000"/>
          <w:spacing w:val="40"/>
          <w:sz w:val="24"/>
        </w:rPr>
        <w:t> </w:t>
      </w:r>
      <w:r>
        <w:rPr>
          <w:color w:val="000000"/>
          <w:sz w:val="24"/>
        </w:rPr>
        <w:t>200</w:t>
      </w:r>
      <w:r>
        <w:rPr>
          <w:color w:val="000000"/>
          <w:spacing w:val="40"/>
          <w:sz w:val="24"/>
        </w:rPr>
        <w:t> </w:t>
      </w:r>
      <w:r>
        <w:rPr>
          <w:color w:val="000000"/>
          <w:sz w:val="24"/>
        </w:rPr>
        <w:t>parking</w:t>
      </w:r>
      <w:r>
        <w:rPr>
          <w:color w:val="000000"/>
          <w:spacing w:val="40"/>
          <w:sz w:val="24"/>
        </w:rPr>
        <w:t> </w:t>
      </w:r>
      <w:r>
        <w:rPr>
          <w:color w:val="000000"/>
          <w:sz w:val="24"/>
        </w:rPr>
        <w:t>and</w:t>
      </w:r>
      <w:r>
        <w:rPr>
          <w:color w:val="000000"/>
          <w:spacing w:val="80"/>
          <w:sz w:val="24"/>
        </w:rPr>
        <w:t> </w:t>
      </w:r>
      <w:r>
        <w:rPr>
          <w:color w:val="000000"/>
          <w:sz w:val="24"/>
        </w:rPr>
        <w:t>one additional car lift for every 100 parking beyond200 parking or part thereof shall be </w:t>
      </w:r>
      <w:r>
        <w:rPr>
          <w:color w:val="000000"/>
          <w:spacing w:val="9"/>
          <w:sz w:val="24"/>
        </w:rPr>
        <w:t>provided.</w:t>
      </w:r>
    </w:p>
    <w:p>
      <w:pPr>
        <w:pStyle w:val="ListParagraph"/>
        <w:spacing w:after="0" w:line="240" w:lineRule="auto"/>
        <w:jc w:val="both"/>
        <w:rPr>
          <w:sz w:val="24"/>
        </w:rPr>
        <w:sectPr>
          <w:pgSz w:w="11910" w:h="16840"/>
          <w:pgMar w:header="1058" w:footer="1201" w:top="1500" w:bottom="1400" w:left="360" w:right="360"/>
        </w:sectPr>
      </w:pPr>
    </w:p>
    <w:p>
      <w:pPr>
        <w:pStyle w:val="BodyText"/>
        <w:spacing w:before="20"/>
        <w:jc w:val="left"/>
        <w:rPr>
          <w:sz w:val="20"/>
        </w:rPr>
      </w:pPr>
    </w:p>
    <w:tbl>
      <w:tblPr>
        <w:tblW w:w="0" w:type="auto"/>
        <w:jc w:val="left"/>
        <w:tblInd w:w="1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3601"/>
        <w:gridCol w:w="1801"/>
        <w:gridCol w:w="2881"/>
      </w:tblGrid>
      <w:tr>
        <w:trPr>
          <w:trHeight w:val="283" w:hRule="atLeast"/>
        </w:trPr>
        <w:tc>
          <w:tcPr>
            <w:tcW w:w="540" w:type="dxa"/>
            <w:vMerge w:val="restart"/>
            <w:shd w:val="clear" w:color="auto" w:fill="EDEBE0"/>
          </w:tcPr>
          <w:p>
            <w:pPr>
              <w:pStyle w:val="TableParagraph"/>
              <w:spacing w:line="281" w:lineRule="exact" w:before="2"/>
              <w:ind w:left="107"/>
              <w:rPr>
                <w:sz w:val="24"/>
              </w:rPr>
            </w:pPr>
            <w:r>
              <w:rPr>
                <w:spacing w:val="-5"/>
                <w:sz w:val="24"/>
              </w:rPr>
              <w:t>Sr</w:t>
            </w:r>
          </w:p>
          <w:p>
            <w:pPr>
              <w:pStyle w:val="TableParagraph"/>
              <w:spacing w:line="281" w:lineRule="exact"/>
              <w:ind w:left="107"/>
              <w:rPr>
                <w:sz w:val="24"/>
              </w:rPr>
            </w:pPr>
            <w:r>
              <w:rPr>
                <w:spacing w:val="-5"/>
                <w:sz w:val="24"/>
              </w:rPr>
              <w:t>.N</w:t>
            </w:r>
          </w:p>
          <w:p>
            <w:pPr>
              <w:pStyle w:val="TableParagraph"/>
              <w:spacing w:line="281" w:lineRule="exact"/>
              <w:ind w:left="107"/>
              <w:rPr>
                <w:sz w:val="24"/>
              </w:rPr>
            </w:pPr>
            <w:r>
              <w:rPr>
                <w:spacing w:val="-10"/>
                <w:sz w:val="24"/>
              </w:rPr>
              <w:t>o</w:t>
            </w:r>
          </w:p>
        </w:tc>
        <w:tc>
          <w:tcPr>
            <w:tcW w:w="3601" w:type="dxa"/>
            <w:vMerge w:val="restart"/>
            <w:shd w:val="clear" w:color="auto" w:fill="EDEBE0"/>
          </w:tcPr>
          <w:p>
            <w:pPr>
              <w:pStyle w:val="TableParagraph"/>
              <w:spacing w:before="2"/>
              <w:ind w:left="107"/>
              <w:rPr>
                <w:sz w:val="24"/>
              </w:rPr>
            </w:pPr>
            <w:r>
              <w:rPr>
                <w:sz w:val="24"/>
              </w:rPr>
              <w:t>Type</w:t>
            </w:r>
            <w:r>
              <w:rPr>
                <w:spacing w:val="-2"/>
                <w:sz w:val="24"/>
              </w:rPr>
              <w:t> </w:t>
            </w:r>
            <w:r>
              <w:rPr>
                <w:sz w:val="24"/>
              </w:rPr>
              <w:t>of</w:t>
            </w:r>
            <w:r>
              <w:rPr>
                <w:spacing w:val="-1"/>
                <w:sz w:val="24"/>
              </w:rPr>
              <w:t> </w:t>
            </w:r>
            <w:r>
              <w:rPr>
                <w:spacing w:val="-2"/>
                <w:sz w:val="24"/>
              </w:rPr>
              <w:t>Vehicle</w:t>
            </w:r>
          </w:p>
        </w:tc>
        <w:tc>
          <w:tcPr>
            <w:tcW w:w="4682" w:type="dxa"/>
            <w:gridSpan w:val="2"/>
            <w:shd w:val="clear" w:color="auto" w:fill="EDEBE0"/>
          </w:tcPr>
          <w:p>
            <w:pPr>
              <w:pStyle w:val="TableParagraph"/>
              <w:spacing w:line="261" w:lineRule="exact" w:before="2"/>
              <w:ind w:left="107"/>
              <w:rPr>
                <w:sz w:val="24"/>
              </w:rPr>
            </w:pPr>
            <w:r>
              <w:rPr>
                <w:sz w:val="24"/>
              </w:rPr>
              <w:t>Clear</w:t>
            </w:r>
            <w:r>
              <w:rPr>
                <w:spacing w:val="-4"/>
                <w:sz w:val="24"/>
              </w:rPr>
              <w:t> </w:t>
            </w:r>
            <w:r>
              <w:rPr>
                <w:sz w:val="24"/>
              </w:rPr>
              <w:t>width</w:t>
            </w:r>
            <w:r>
              <w:rPr>
                <w:spacing w:val="-2"/>
                <w:sz w:val="24"/>
              </w:rPr>
              <w:t> </w:t>
            </w:r>
            <w:r>
              <w:rPr>
                <w:sz w:val="24"/>
              </w:rPr>
              <w:t>of</w:t>
            </w:r>
            <w:r>
              <w:rPr>
                <w:spacing w:val="-1"/>
                <w:sz w:val="24"/>
              </w:rPr>
              <w:t> </w:t>
            </w:r>
            <w:r>
              <w:rPr>
                <w:sz w:val="24"/>
              </w:rPr>
              <w:t>Ramp</w:t>
            </w:r>
            <w:r>
              <w:rPr>
                <w:spacing w:val="-2"/>
                <w:sz w:val="24"/>
              </w:rPr>
              <w:t> </w:t>
            </w:r>
            <w:r>
              <w:rPr>
                <w:sz w:val="24"/>
              </w:rPr>
              <w:t>in</w:t>
            </w:r>
            <w:r>
              <w:rPr>
                <w:spacing w:val="-1"/>
                <w:sz w:val="24"/>
              </w:rPr>
              <w:t> </w:t>
            </w:r>
            <w:r>
              <w:rPr>
                <w:spacing w:val="-2"/>
                <w:sz w:val="24"/>
              </w:rPr>
              <w:t>meters(m)</w:t>
            </w:r>
          </w:p>
        </w:tc>
      </w:tr>
      <w:tr>
        <w:trPr>
          <w:trHeight w:val="844" w:hRule="atLeast"/>
        </w:trPr>
        <w:tc>
          <w:tcPr>
            <w:tcW w:w="540" w:type="dxa"/>
            <w:vMerge/>
            <w:tcBorders>
              <w:top w:val="nil"/>
            </w:tcBorders>
            <w:shd w:val="clear" w:color="auto" w:fill="EDEBE0"/>
          </w:tcPr>
          <w:p>
            <w:pPr>
              <w:rPr>
                <w:sz w:val="2"/>
                <w:szCs w:val="2"/>
              </w:rPr>
            </w:pPr>
          </w:p>
        </w:tc>
        <w:tc>
          <w:tcPr>
            <w:tcW w:w="3601" w:type="dxa"/>
            <w:vMerge/>
            <w:tcBorders>
              <w:top w:val="nil"/>
            </w:tcBorders>
            <w:shd w:val="clear" w:color="auto" w:fill="EDEBE0"/>
          </w:tcPr>
          <w:p>
            <w:pPr>
              <w:rPr>
                <w:sz w:val="2"/>
                <w:szCs w:val="2"/>
              </w:rPr>
            </w:pPr>
          </w:p>
        </w:tc>
        <w:tc>
          <w:tcPr>
            <w:tcW w:w="1801" w:type="dxa"/>
            <w:shd w:val="clear" w:color="auto" w:fill="EDEBE0"/>
          </w:tcPr>
          <w:p>
            <w:pPr>
              <w:pStyle w:val="TableParagraph"/>
              <w:tabs>
                <w:tab w:pos="1191" w:val="left" w:leader="none"/>
              </w:tabs>
              <w:ind w:left="107" w:right="97"/>
              <w:rPr>
                <w:sz w:val="24"/>
              </w:rPr>
            </w:pPr>
            <w:r>
              <w:rPr>
                <w:spacing w:val="-4"/>
                <w:sz w:val="24"/>
              </w:rPr>
              <w:t>One</w:t>
            </w:r>
            <w:r>
              <w:rPr>
                <w:sz w:val="24"/>
              </w:rPr>
              <w:tab/>
            </w:r>
            <w:r>
              <w:rPr>
                <w:spacing w:val="-4"/>
                <w:sz w:val="24"/>
              </w:rPr>
              <w:t>Way Ramp</w:t>
            </w:r>
          </w:p>
        </w:tc>
        <w:tc>
          <w:tcPr>
            <w:tcW w:w="2881" w:type="dxa"/>
            <w:shd w:val="clear" w:color="auto" w:fill="EDEBE0"/>
          </w:tcPr>
          <w:p>
            <w:pPr>
              <w:pStyle w:val="TableParagraph"/>
              <w:tabs>
                <w:tab w:pos="1078" w:val="left" w:leader="none"/>
                <w:tab w:pos="2081" w:val="left" w:leader="none"/>
              </w:tabs>
              <w:ind w:left="106" w:right="97"/>
              <w:rPr>
                <w:sz w:val="24"/>
              </w:rPr>
            </w:pPr>
            <w:r>
              <w:rPr>
                <w:spacing w:val="-4"/>
                <w:sz w:val="24"/>
              </w:rPr>
              <w:t>Two</w:t>
            </w:r>
            <w:r>
              <w:rPr>
                <w:sz w:val="24"/>
              </w:rPr>
              <w:tab/>
            </w:r>
            <w:r>
              <w:rPr>
                <w:spacing w:val="-4"/>
                <w:sz w:val="24"/>
              </w:rPr>
              <w:t>Way</w:t>
            </w:r>
            <w:r>
              <w:rPr>
                <w:sz w:val="24"/>
              </w:rPr>
              <w:tab/>
            </w:r>
            <w:r>
              <w:rPr>
                <w:spacing w:val="-4"/>
                <w:sz w:val="24"/>
              </w:rPr>
              <w:t>Ramp </w:t>
            </w:r>
            <w:r>
              <w:rPr>
                <w:sz w:val="24"/>
              </w:rPr>
              <w:t>without central </w:t>
            </w:r>
            <w:r>
              <w:rPr>
                <w:spacing w:val="-2"/>
                <w:sz w:val="24"/>
              </w:rPr>
              <w:t>divider</w:t>
            </w:r>
          </w:p>
        </w:tc>
      </w:tr>
      <w:tr>
        <w:trPr>
          <w:trHeight w:val="282" w:hRule="atLeast"/>
        </w:trPr>
        <w:tc>
          <w:tcPr>
            <w:tcW w:w="540" w:type="dxa"/>
          </w:tcPr>
          <w:p>
            <w:pPr>
              <w:pStyle w:val="TableParagraph"/>
              <w:spacing w:line="261" w:lineRule="exact" w:before="1"/>
              <w:ind w:left="93" w:right="86"/>
              <w:jc w:val="center"/>
              <w:rPr>
                <w:sz w:val="24"/>
              </w:rPr>
            </w:pPr>
            <w:r>
              <w:rPr>
                <w:spacing w:val="-10"/>
                <w:sz w:val="24"/>
              </w:rPr>
              <w:t>I</w:t>
            </w:r>
          </w:p>
        </w:tc>
        <w:tc>
          <w:tcPr>
            <w:tcW w:w="3601" w:type="dxa"/>
          </w:tcPr>
          <w:p>
            <w:pPr>
              <w:pStyle w:val="TableParagraph"/>
              <w:spacing w:line="261" w:lineRule="exact" w:before="1"/>
              <w:ind w:left="107"/>
              <w:rPr>
                <w:sz w:val="24"/>
              </w:rPr>
            </w:pPr>
            <w:r>
              <w:rPr>
                <w:sz w:val="24"/>
              </w:rPr>
              <w:t>Light Motor Vehicle </w:t>
            </w:r>
            <w:r>
              <w:rPr>
                <w:spacing w:val="-2"/>
                <w:sz w:val="24"/>
              </w:rPr>
              <w:t>(LMV)</w:t>
            </w:r>
          </w:p>
        </w:tc>
        <w:tc>
          <w:tcPr>
            <w:tcW w:w="1801" w:type="dxa"/>
          </w:tcPr>
          <w:p>
            <w:pPr>
              <w:pStyle w:val="TableParagraph"/>
              <w:spacing w:line="261" w:lineRule="exact" w:before="1"/>
              <w:ind w:left="8"/>
              <w:jc w:val="center"/>
              <w:rPr>
                <w:sz w:val="24"/>
              </w:rPr>
            </w:pPr>
            <w:r>
              <w:rPr>
                <w:spacing w:val="-4"/>
                <w:sz w:val="24"/>
              </w:rPr>
              <w:t>3.00</w:t>
            </w:r>
          </w:p>
        </w:tc>
        <w:tc>
          <w:tcPr>
            <w:tcW w:w="2881" w:type="dxa"/>
          </w:tcPr>
          <w:p>
            <w:pPr>
              <w:pStyle w:val="TableParagraph"/>
              <w:spacing w:line="261" w:lineRule="exact" w:before="1"/>
              <w:ind w:left="6"/>
              <w:jc w:val="center"/>
              <w:rPr>
                <w:sz w:val="24"/>
              </w:rPr>
            </w:pPr>
            <w:r>
              <w:rPr>
                <w:spacing w:val="-4"/>
                <w:sz w:val="24"/>
              </w:rPr>
              <w:t>6.00</w:t>
            </w:r>
          </w:p>
        </w:tc>
      </w:tr>
      <w:tr>
        <w:trPr>
          <w:trHeight w:val="563" w:hRule="atLeast"/>
        </w:trPr>
        <w:tc>
          <w:tcPr>
            <w:tcW w:w="540" w:type="dxa"/>
          </w:tcPr>
          <w:p>
            <w:pPr>
              <w:pStyle w:val="TableParagraph"/>
              <w:spacing w:line="281" w:lineRule="exact"/>
              <w:ind w:left="9"/>
              <w:jc w:val="center"/>
              <w:rPr>
                <w:sz w:val="24"/>
              </w:rPr>
            </w:pPr>
            <w:r>
              <w:rPr>
                <w:spacing w:val="-5"/>
                <w:sz w:val="24"/>
              </w:rPr>
              <w:t>Ii</w:t>
            </w:r>
          </w:p>
        </w:tc>
        <w:tc>
          <w:tcPr>
            <w:tcW w:w="3601" w:type="dxa"/>
          </w:tcPr>
          <w:p>
            <w:pPr>
              <w:pStyle w:val="TableParagraph"/>
              <w:spacing w:line="280" w:lineRule="exact"/>
              <w:ind w:left="107"/>
              <w:rPr>
                <w:sz w:val="24"/>
              </w:rPr>
            </w:pPr>
            <w:r>
              <w:rPr>
                <w:sz w:val="24"/>
              </w:rPr>
              <w:t>Medium</w:t>
            </w:r>
            <w:r>
              <w:rPr>
                <w:spacing w:val="-5"/>
                <w:sz w:val="24"/>
              </w:rPr>
              <w:t> </w:t>
            </w:r>
            <w:r>
              <w:rPr>
                <w:sz w:val="24"/>
              </w:rPr>
              <w:t>Commercial</w:t>
            </w:r>
            <w:r>
              <w:rPr>
                <w:spacing w:val="-5"/>
                <w:sz w:val="24"/>
              </w:rPr>
              <w:t> </w:t>
            </w:r>
            <w:r>
              <w:rPr>
                <w:sz w:val="24"/>
              </w:rPr>
              <w:t>Vehicle </w:t>
            </w:r>
            <w:r>
              <w:rPr>
                <w:spacing w:val="-2"/>
                <w:sz w:val="24"/>
              </w:rPr>
              <w:t>(MCV)</w:t>
            </w:r>
          </w:p>
        </w:tc>
        <w:tc>
          <w:tcPr>
            <w:tcW w:w="1801" w:type="dxa"/>
          </w:tcPr>
          <w:p>
            <w:pPr>
              <w:pStyle w:val="TableParagraph"/>
              <w:spacing w:line="281" w:lineRule="exact"/>
              <w:ind w:left="8"/>
              <w:jc w:val="center"/>
              <w:rPr>
                <w:sz w:val="24"/>
              </w:rPr>
            </w:pPr>
            <w:r>
              <w:rPr>
                <w:spacing w:val="-4"/>
                <w:sz w:val="24"/>
              </w:rPr>
              <w:t>3.50</w:t>
            </w:r>
          </w:p>
        </w:tc>
        <w:tc>
          <w:tcPr>
            <w:tcW w:w="2881" w:type="dxa"/>
          </w:tcPr>
          <w:p>
            <w:pPr>
              <w:pStyle w:val="TableParagraph"/>
              <w:spacing w:line="281" w:lineRule="exact"/>
              <w:ind w:left="6"/>
              <w:jc w:val="center"/>
              <w:rPr>
                <w:sz w:val="24"/>
              </w:rPr>
            </w:pPr>
            <w:r>
              <w:rPr>
                <w:spacing w:val="-4"/>
                <w:sz w:val="24"/>
              </w:rPr>
              <w:t>7.00</w:t>
            </w:r>
          </w:p>
        </w:tc>
      </w:tr>
      <w:tr>
        <w:trPr>
          <w:trHeight w:val="282" w:hRule="atLeast"/>
        </w:trPr>
        <w:tc>
          <w:tcPr>
            <w:tcW w:w="540" w:type="dxa"/>
          </w:tcPr>
          <w:p>
            <w:pPr>
              <w:pStyle w:val="TableParagraph"/>
              <w:spacing w:line="263" w:lineRule="exact"/>
              <w:ind w:left="9"/>
              <w:jc w:val="center"/>
              <w:rPr>
                <w:sz w:val="24"/>
              </w:rPr>
            </w:pPr>
            <w:r>
              <w:rPr>
                <w:spacing w:val="-5"/>
                <w:sz w:val="24"/>
              </w:rPr>
              <w:t>Iii</w:t>
            </w:r>
          </w:p>
        </w:tc>
        <w:tc>
          <w:tcPr>
            <w:tcW w:w="3601" w:type="dxa"/>
          </w:tcPr>
          <w:p>
            <w:pPr>
              <w:pStyle w:val="TableParagraph"/>
              <w:spacing w:line="263" w:lineRule="exact"/>
              <w:ind w:left="107"/>
              <w:rPr>
                <w:sz w:val="24"/>
              </w:rPr>
            </w:pPr>
            <w:r>
              <w:rPr>
                <w:sz w:val="24"/>
              </w:rPr>
              <w:t>Heavy Motor Vehicle </w:t>
            </w:r>
            <w:r>
              <w:rPr>
                <w:spacing w:val="-2"/>
                <w:sz w:val="24"/>
              </w:rPr>
              <w:t>(HMV)</w:t>
            </w:r>
          </w:p>
        </w:tc>
        <w:tc>
          <w:tcPr>
            <w:tcW w:w="1801" w:type="dxa"/>
          </w:tcPr>
          <w:p>
            <w:pPr>
              <w:pStyle w:val="TableParagraph"/>
              <w:spacing w:line="263" w:lineRule="exact"/>
              <w:ind w:left="8"/>
              <w:jc w:val="center"/>
              <w:rPr>
                <w:sz w:val="24"/>
              </w:rPr>
            </w:pPr>
            <w:r>
              <w:rPr>
                <w:spacing w:val="-4"/>
                <w:sz w:val="24"/>
              </w:rPr>
              <w:t>4.50</w:t>
            </w:r>
          </w:p>
        </w:tc>
        <w:tc>
          <w:tcPr>
            <w:tcW w:w="2881" w:type="dxa"/>
          </w:tcPr>
          <w:p>
            <w:pPr>
              <w:pStyle w:val="TableParagraph"/>
              <w:spacing w:line="263" w:lineRule="exact"/>
              <w:ind w:left="6"/>
              <w:jc w:val="center"/>
              <w:rPr>
                <w:sz w:val="24"/>
              </w:rPr>
            </w:pPr>
            <w:r>
              <w:rPr>
                <w:spacing w:val="-4"/>
                <w:sz w:val="24"/>
              </w:rPr>
              <w:t>9.00</w:t>
            </w:r>
          </w:p>
        </w:tc>
      </w:tr>
    </w:tbl>
    <w:p>
      <w:pPr>
        <w:pStyle w:val="BodyText"/>
        <w:jc w:val="left"/>
      </w:pPr>
    </w:p>
    <w:p>
      <w:pPr>
        <w:pStyle w:val="BodyText"/>
        <w:ind w:left="1313" w:right="792"/>
      </w:pPr>
      <w:r>
        <w:rPr/>
        <w:t>Note- a) In case of two-way ramp with dividers, each carriageway will be considered</w:t>
      </w:r>
      <w:r>
        <w:rPr>
          <w:spacing w:val="40"/>
        </w:rPr>
        <w:t> </w:t>
      </w:r>
      <w:r>
        <w:rPr/>
        <w:t>as</w:t>
      </w:r>
      <w:r>
        <w:rPr>
          <w:spacing w:val="40"/>
        </w:rPr>
        <w:t> </w:t>
      </w:r>
      <w:r>
        <w:rPr/>
        <w:t>one</w:t>
      </w:r>
      <w:r>
        <w:rPr>
          <w:spacing w:val="40"/>
        </w:rPr>
        <w:t> </w:t>
      </w:r>
      <w:r>
        <w:rPr/>
        <w:t>way</w:t>
      </w:r>
      <w:r>
        <w:rPr>
          <w:spacing w:val="40"/>
        </w:rPr>
        <w:t> </w:t>
      </w:r>
      <w:r>
        <w:rPr/>
        <w:t>ramp.</w:t>
      </w:r>
    </w:p>
    <w:p>
      <w:pPr>
        <w:pStyle w:val="ListParagraph"/>
        <w:numPr>
          <w:ilvl w:val="0"/>
          <w:numId w:val="257"/>
        </w:numPr>
        <w:tabs>
          <w:tab w:pos="1867" w:val="left" w:leader="none"/>
        </w:tabs>
        <w:spacing w:line="240" w:lineRule="auto" w:before="1" w:after="0"/>
        <w:ind w:left="1313" w:right="785" w:firstLine="0"/>
        <w:jc w:val="both"/>
        <w:rPr>
          <w:sz w:val="24"/>
        </w:rPr>
      </w:pPr>
      <w:r>
        <w:rPr>
          <w:sz w:val="24"/>
        </w:rPr>
        <w:t>At turnings, width of ramp mentioned above shall be enhanced/increased</w:t>
      </w:r>
      <w:r>
        <w:rPr>
          <w:spacing w:val="40"/>
          <w:sz w:val="24"/>
        </w:rPr>
        <w:t> </w:t>
      </w:r>
      <w:r>
        <w:rPr>
          <w:sz w:val="24"/>
        </w:rPr>
        <w:t>for</w:t>
      </w:r>
      <w:r>
        <w:rPr>
          <w:spacing w:val="40"/>
          <w:sz w:val="24"/>
        </w:rPr>
        <w:t> </w:t>
      </w:r>
      <w:r>
        <w:rPr>
          <w:sz w:val="24"/>
        </w:rPr>
        <w:t>smooth</w:t>
      </w:r>
      <w:r>
        <w:rPr>
          <w:spacing w:val="40"/>
          <w:sz w:val="24"/>
        </w:rPr>
        <w:t> </w:t>
      </w:r>
      <w:r>
        <w:rPr>
          <w:sz w:val="24"/>
        </w:rPr>
        <w:t>maneuvering</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sketch</w:t>
      </w:r>
      <w:r>
        <w:rPr>
          <w:spacing w:val="40"/>
          <w:sz w:val="24"/>
        </w:rPr>
        <w:t> </w:t>
      </w:r>
      <w:r>
        <w:rPr>
          <w:sz w:val="24"/>
        </w:rPr>
        <w:t>of Annexure</w:t>
      </w:r>
      <w:r>
        <w:rPr>
          <w:spacing w:val="40"/>
          <w:sz w:val="24"/>
        </w:rPr>
        <w:t> </w:t>
      </w:r>
      <w:r>
        <w:rPr>
          <w:sz w:val="24"/>
        </w:rPr>
        <w:t>23</w:t>
      </w:r>
      <w:r>
        <w:rPr>
          <w:spacing w:val="40"/>
          <w:sz w:val="24"/>
        </w:rPr>
        <w:t> </w:t>
      </w:r>
      <w:r>
        <w:rPr>
          <w:sz w:val="24"/>
        </w:rPr>
        <w:t>appended</w:t>
      </w:r>
      <w:r>
        <w:rPr>
          <w:spacing w:val="40"/>
          <w:sz w:val="24"/>
        </w:rPr>
        <w:t> </w:t>
      </w:r>
      <w:r>
        <w:rPr>
          <w:sz w:val="24"/>
        </w:rPr>
        <w:t>herewith.</w:t>
      </w:r>
    </w:p>
    <w:p>
      <w:pPr>
        <w:pStyle w:val="ListParagraph"/>
        <w:numPr>
          <w:ilvl w:val="0"/>
          <w:numId w:val="257"/>
        </w:numPr>
        <w:tabs>
          <w:tab w:pos="1616" w:val="left" w:leader="none"/>
        </w:tabs>
        <w:spacing w:line="281" w:lineRule="exact" w:before="0" w:after="0"/>
        <w:ind w:left="1616" w:right="0" w:hanging="303"/>
        <w:jc w:val="both"/>
        <w:rPr>
          <w:sz w:val="24"/>
        </w:rPr>
      </w:pPr>
      <w:r>
        <w:rPr>
          <w:sz w:val="24"/>
        </w:rPr>
        <w:t>The</w:t>
      </w:r>
      <w:r>
        <w:rPr>
          <w:spacing w:val="39"/>
          <w:sz w:val="24"/>
        </w:rPr>
        <w:t> </w:t>
      </w:r>
      <w:r>
        <w:rPr>
          <w:sz w:val="24"/>
        </w:rPr>
        <w:t>gradient</w:t>
      </w:r>
      <w:r>
        <w:rPr>
          <w:spacing w:val="39"/>
          <w:sz w:val="24"/>
        </w:rPr>
        <w:t> </w:t>
      </w:r>
      <w:r>
        <w:rPr>
          <w:sz w:val="24"/>
        </w:rPr>
        <w:t>of</w:t>
      </w:r>
      <w:r>
        <w:rPr>
          <w:spacing w:val="40"/>
          <w:sz w:val="24"/>
        </w:rPr>
        <w:t> </w:t>
      </w:r>
      <w:r>
        <w:rPr>
          <w:sz w:val="24"/>
        </w:rPr>
        <w:t>the</w:t>
      </w:r>
      <w:r>
        <w:rPr>
          <w:spacing w:val="39"/>
          <w:sz w:val="24"/>
        </w:rPr>
        <w:t> </w:t>
      </w:r>
      <w:r>
        <w:rPr>
          <w:sz w:val="24"/>
        </w:rPr>
        <w:t>ramp</w:t>
      </w:r>
      <w:r>
        <w:rPr>
          <w:spacing w:val="43"/>
          <w:sz w:val="24"/>
        </w:rPr>
        <w:t> </w:t>
      </w:r>
      <w:r>
        <w:rPr>
          <w:sz w:val="24"/>
        </w:rPr>
        <w:t>shall</w:t>
      </w:r>
      <w:r>
        <w:rPr>
          <w:spacing w:val="43"/>
          <w:sz w:val="24"/>
        </w:rPr>
        <w:t> </w:t>
      </w:r>
      <w:r>
        <w:rPr>
          <w:sz w:val="24"/>
        </w:rPr>
        <w:t>not</w:t>
      </w:r>
      <w:r>
        <w:rPr>
          <w:spacing w:val="43"/>
          <w:sz w:val="24"/>
        </w:rPr>
        <w:t> </w:t>
      </w:r>
      <w:r>
        <w:rPr>
          <w:sz w:val="24"/>
        </w:rPr>
        <w:t>be</w:t>
      </w:r>
      <w:r>
        <w:rPr>
          <w:spacing w:val="40"/>
          <w:sz w:val="24"/>
        </w:rPr>
        <w:t> </w:t>
      </w:r>
      <w:r>
        <w:rPr>
          <w:sz w:val="24"/>
        </w:rPr>
        <w:t>more</w:t>
      </w:r>
      <w:r>
        <w:rPr>
          <w:spacing w:val="43"/>
          <w:sz w:val="24"/>
        </w:rPr>
        <w:t> </w:t>
      </w:r>
      <w:r>
        <w:rPr>
          <w:sz w:val="24"/>
        </w:rPr>
        <w:t>than</w:t>
      </w:r>
      <w:r>
        <w:rPr>
          <w:spacing w:val="39"/>
          <w:sz w:val="24"/>
        </w:rPr>
        <w:t> </w:t>
      </w:r>
      <w:r>
        <w:rPr>
          <w:sz w:val="24"/>
        </w:rPr>
        <w:t>1</w:t>
      </w:r>
      <w:r>
        <w:rPr>
          <w:spacing w:val="43"/>
          <w:sz w:val="24"/>
        </w:rPr>
        <w:t> </w:t>
      </w:r>
      <w:r>
        <w:rPr>
          <w:sz w:val="24"/>
        </w:rPr>
        <w:t>in</w:t>
      </w:r>
      <w:r>
        <w:rPr>
          <w:spacing w:val="61"/>
          <w:sz w:val="24"/>
        </w:rPr>
        <w:t> </w:t>
      </w:r>
      <w:r>
        <w:rPr>
          <w:spacing w:val="-5"/>
          <w:sz w:val="24"/>
        </w:rPr>
        <w:t>8.</w:t>
      </w:r>
    </w:p>
    <w:p>
      <w:pPr>
        <w:pStyle w:val="ListParagraph"/>
        <w:numPr>
          <w:ilvl w:val="0"/>
          <w:numId w:val="257"/>
        </w:numPr>
        <w:tabs>
          <w:tab w:pos="1638" w:val="left" w:leader="none"/>
        </w:tabs>
        <w:spacing w:line="281" w:lineRule="exact" w:before="0" w:after="0"/>
        <w:ind w:left="1638" w:right="0" w:hanging="325"/>
        <w:jc w:val="both"/>
        <w:rPr>
          <w:sz w:val="24"/>
        </w:rPr>
      </w:pPr>
      <w:r>
        <w:rPr>
          <w:sz w:val="24"/>
        </w:rPr>
        <w:t>Separate</w:t>
      </w:r>
      <w:r>
        <w:rPr>
          <w:spacing w:val="55"/>
          <w:sz w:val="24"/>
        </w:rPr>
        <w:t> </w:t>
      </w:r>
      <w:r>
        <w:rPr>
          <w:sz w:val="24"/>
        </w:rPr>
        <w:t>provision</w:t>
      </w:r>
      <w:r>
        <w:rPr>
          <w:spacing w:val="57"/>
          <w:sz w:val="24"/>
        </w:rPr>
        <w:t> </w:t>
      </w:r>
      <w:r>
        <w:rPr>
          <w:sz w:val="24"/>
        </w:rPr>
        <w:t>for</w:t>
      </w:r>
      <w:r>
        <w:rPr>
          <w:spacing w:val="58"/>
          <w:sz w:val="24"/>
        </w:rPr>
        <w:t> </w:t>
      </w:r>
      <w:r>
        <w:rPr>
          <w:sz w:val="24"/>
        </w:rPr>
        <w:t>ingress</w:t>
      </w:r>
      <w:r>
        <w:rPr>
          <w:spacing w:val="60"/>
          <w:sz w:val="24"/>
        </w:rPr>
        <w:t> </w:t>
      </w:r>
      <w:r>
        <w:rPr>
          <w:sz w:val="24"/>
        </w:rPr>
        <w:t>&amp;</w:t>
      </w:r>
      <w:r>
        <w:rPr>
          <w:spacing w:val="57"/>
          <w:sz w:val="24"/>
        </w:rPr>
        <w:t> </w:t>
      </w:r>
      <w:r>
        <w:rPr>
          <w:sz w:val="24"/>
        </w:rPr>
        <w:t>egress</w:t>
      </w:r>
      <w:r>
        <w:rPr>
          <w:spacing w:val="58"/>
          <w:sz w:val="24"/>
        </w:rPr>
        <w:t> </w:t>
      </w:r>
      <w:r>
        <w:rPr>
          <w:sz w:val="24"/>
        </w:rPr>
        <w:t>shall</w:t>
      </w:r>
      <w:r>
        <w:rPr>
          <w:spacing w:val="57"/>
          <w:sz w:val="24"/>
        </w:rPr>
        <w:t> </w:t>
      </w:r>
      <w:r>
        <w:rPr>
          <w:sz w:val="24"/>
        </w:rPr>
        <w:t>be</w:t>
      </w:r>
      <w:r>
        <w:rPr>
          <w:spacing w:val="61"/>
          <w:sz w:val="24"/>
        </w:rPr>
        <w:t> </w:t>
      </w:r>
      <w:r>
        <w:rPr>
          <w:spacing w:val="-2"/>
          <w:sz w:val="24"/>
        </w:rPr>
        <w:t>made.</w:t>
      </w:r>
    </w:p>
    <w:p>
      <w:pPr>
        <w:pStyle w:val="ListParagraph"/>
        <w:numPr>
          <w:ilvl w:val="0"/>
          <w:numId w:val="255"/>
        </w:numPr>
        <w:tabs>
          <w:tab w:pos="1800" w:val="left" w:leader="none"/>
        </w:tabs>
        <w:spacing w:line="240" w:lineRule="auto" w:before="239" w:after="0"/>
        <w:ind w:left="1313" w:right="798" w:firstLine="0"/>
        <w:jc w:val="both"/>
        <w:rPr>
          <w:sz w:val="24"/>
        </w:rPr>
      </w:pPr>
      <w:r>
        <w:rPr>
          <w:b/>
          <w:i/>
          <w:sz w:val="24"/>
        </w:rPr>
        <w:t>Lifts: </w:t>
      </w:r>
      <w:r>
        <w:rPr>
          <w:sz w:val="24"/>
        </w:rPr>
        <w:t>Lifts shall conform to the provisions given below and to the provisions</w:t>
      </w:r>
      <w:r>
        <w:rPr>
          <w:spacing w:val="40"/>
          <w:sz w:val="24"/>
        </w:rPr>
        <w:t> </w:t>
      </w:r>
      <w:r>
        <w:rPr>
          <w:sz w:val="24"/>
        </w:rPr>
        <w:t>of</w:t>
      </w:r>
      <w:r>
        <w:rPr>
          <w:spacing w:val="80"/>
          <w:sz w:val="24"/>
        </w:rPr>
        <w:t> </w:t>
      </w:r>
      <w:r>
        <w:rPr>
          <w:spacing w:val="9"/>
          <w:sz w:val="24"/>
        </w:rPr>
        <w:t>sub-</w:t>
      </w:r>
      <w:r>
        <w:rPr>
          <w:sz w:val="24"/>
        </w:rPr>
        <w:t>regulation</w:t>
      </w:r>
      <w:r>
        <w:rPr>
          <w:spacing w:val="40"/>
          <w:sz w:val="24"/>
        </w:rPr>
        <w:t> </w:t>
      </w:r>
      <w:r>
        <w:rPr>
          <w:sz w:val="24"/>
        </w:rPr>
        <w:t>(2)</w:t>
      </w:r>
      <w:r>
        <w:rPr>
          <w:spacing w:val="80"/>
          <w:sz w:val="24"/>
        </w:rPr>
        <w:t> </w:t>
      </w:r>
      <w:r>
        <w:rPr>
          <w:sz w:val="24"/>
        </w:rPr>
        <w:t>of</w:t>
      </w:r>
      <w:r>
        <w:rPr>
          <w:spacing w:val="40"/>
          <w:sz w:val="24"/>
        </w:rPr>
        <w:t> </w:t>
      </w:r>
      <w:r>
        <w:rPr>
          <w:sz w:val="24"/>
        </w:rPr>
        <w:t>Regulation</w:t>
      </w:r>
      <w:r>
        <w:rPr>
          <w:spacing w:val="80"/>
          <w:sz w:val="24"/>
        </w:rPr>
        <w:t> </w:t>
      </w:r>
      <w:r>
        <w:rPr>
          <w:sz w:val="24"/>
        </w:rPr>
        <w:t>50.</w:t>
      </w:r>
    </w:p>
    <w:p>
      <w:pPr>
        <w:pStyle w:val="ListParagraph"/>
        <w:numPr>
          <w:ilvl w:val="1"/>
          <w:numId w:val="255"/>
        </w:numPr>
        <w:tabs>
          <w:tab w:pos="1555" w:val="left" w:leader="none"/>
        </w:tabs>
        <w:spacing w:line="240" w:lineRule="auto" w:before="1" w:after="0"/>
        <w:ind w:left="1313" w:right="779" w:firstLine="0"/>
        <w:jc w:val="both"/>
        <w:rPr>
          <w:sz w:val="22"/>
        </w:rPr>
      </w:pPr>
      <w:r>
        <w:rPr>
          <w:sz w:val="24"/>
        </w:rPr>
        <w:t>At least one lift shall be provided in every building more than 16m in height.</w:t>
      </w:r>
      <w:r>
        <w:rPr>
          <w:spacing w:val="40"/>
          <w:sz w:val="24"/>
        </w:rPr>
        <w:t>  </w:t>
      </w:r>
      <w:r>
        <w:rPr>
          <w:sz w:val="24"/>
        </w:rPr>
        <w:t>In</w:t>
      </w:r>
      <w:r>
        <w:rPr>
          <w:spacing w:val="40"/>
          <w:sz w:val="24"/>
        </w:rPr>
        <w:t> </w:t>
      </w:r>
      <w:r>
        <w:rPr>
          <w:sz w:val="24"/>
        </w:rPr>
        <w:t>case</w:t>
      </w:r>
      <w:r>
        <w:rPr>
          <w:spacing w:val="40"/>
          <w:sz w:val="24"/>
        </w:rPr>
        <w:t> </w:t>
      </w:r>
      <w:r>
        <w:rPr>
          <w:sz w:val="24"/>
        </w:rPr>
        <w:t>of</w:t>
      </w:r>
      <w:r>
        <w:rPr>
          <w:spacing w:val="40"/>
          <w:sz w:val="24"/>
        </w:rPr>
        <w:t> </w:t>
      </w:r>
      <w:r>
        <w:rPr>
          <w:sz w:val="24"/>
        </w:rPr>
        <w:t>buildings</w:t>
      </w:r>
      <w:r>
        <w:rPr>
          <w:spacing w:val="40"/>
          <w:sz w:val="24"/>
        </w:rPr>
        <w:t> </w:t>
      </w:r>
      <w:r>
        <w:rPr>
          <w:sz w:val="24"/>
        </w:rPr>
        <w:t>more</w:t>
      </w:r>
      <w:r>
        <w:rPr>
          <w:spacing w:val="40"/>
          <w:sz w:val="24"/>
        </w:rPr>
        <w:t> </w:t>
      </w:r>
      <w:r>
        <w:rPr>
          <w:sz w:val="24"/>
        </w:rPr>
        <w:t>than</w:t>
      </w:r>
      <w:r>
        <w:rPr>
          <w:spacing w:val="40"/>
          <w:sz w:val="24"/>
        </w:rPr>
        <w:t> </w:t>
      </w:r>
      <w:r>
        <w:rPr>
          <w:sz w:val="24"/>
        </w:rPr>
        <w:t>24m</w:t>
      </w:r>
      <w:r>
        <w:rPr>
          <w:spacing w:val="40"/>
          <w:sz w:val="24"/>
        </w:rPr>
        <w:t> </w:t>
      </w:r>
      <w:r>
        <w:rPr>
          <w:sz w:val="24"/>
        </w:rPr>
        <w:t>high</w:t>
      </w:r>
      <w:r>
        <w:rPr>
          <w:spacing w:val="40"/>
          <w:sz w:val="24"/>
        </w:rPr>
        <w:t> </w:t>
      </w:r>
      <w:r>
        <w:rPr>
          <w:sz w:val="24"/>
        </w:rPr>
        <w:t>at</w:t>
      </w:r>
      <w:r>
        <w:rPr>
          <w:spacing w:val="40"/>
          <w:sz w:val="24"/>
        </w:rPr>
        <w:t> </w:t>
      </w:r>
      <w:r>
        <w:rPr>
          <w:sz w:val="24"/>
        </w:rPr>
        <w:t>least</w:t>
      </w:r>
      <w:r>
        <w:rPr>
          <w:spacing w:val="40"/>
          <w:sz w:val="24"/>
        </w:rPr>
        <w:t> </w:t>
      </w:r>
      <w:r>
        <w:rPr>
          <w:sz w:val="24"/>
        </w:rPr>
        <w:t>two</w:t>
      </w:r>
      <w:r>
        <w:rPr>
          <w:spacing w:val="40"/>
          <w:sz w:val="24"/>
        </w:rPr>
        <w:t> </w:t>
      </w:r>
      <w:r>
        <w:rPr>
          <w:sz w:val="24"/>
        </w:rPr>
        <w:t>lifts</w:t>
      </w:r>
      <w:r>
        <w:rPr>
          <w:spacing w:val="40"/>
          <w:sz w:val="24"/>
        </w:rPr>
        <w:t> </w:t>
      </w:r>
      <w:r>
        <w:rPr>
          <w:sz w:val="24"/>
        </w:rPr>
        <w:t>shall be</w:t>
      </w:r>
      <w:r>
        <w:rPr>
          <w:spacing w:val="40"/>
          <w:sz w:val="24"/>
        </w:rPr>
        <w:t> </w:t>
      </w:r>
      <w:r>
        <w:rPr>
          <w:sz w:val="24"/>
        </w:rPr>
        <w:t>provided</w:t>
      </w:r>
      <w:r>
        <w:rPr>
          <w:spacing w:val="40"/>
          <w:sz w:val="24"/>
        </w:rPr>
        <w:t> </w:t>
      </w:r>
      <w:r>
        <w:rPr>
          <w:sz w:val="24"/>
        </w:rPr>
        <w:t>in</w:t>
      </w:r>
      <w:r>
        <w:rPr>
          <w:spacing w:val="40"/>
          <w:sz w:val="24"/>
        </w:rPr>
        <w:t> </w:t>
      </w:r>
      <w:r>
        <w:rPr>
          <w:sz w:val="24"/>
        </w:rPr>
        <w:t>order</w:t>
      </w:r>
      <w:r>
        <w:rPr>
          <w:spacing w:val="40"/>
          <w:sz w:val="24"/>
        </w:rPr>
        <w:t> </w:t>
      </w:r>
      <w:r>
        <w:rPr>
          <w:sz w:val="24"/>
        </w:rPr>
        <w:t>to</w:t>
      </w:r>
      <w:r>
        <w:rPr>
          <w:spacing w:val="40"/>
          <w:sz w:val="24"/>
        </w:rPr>
        <w:t> </w:t>
      </w:r>
      <w:r>
        <w:rPr>
          <w:sz w:val="24"/>
        </w:rPr>
        <w:t>serve</w:t>
      </w:r>
      <w:r>
        <w:rPr>
          <w:spacing w:val="40"/>
          <w:sz w:val="24"/>
        </w:rPr>
        <w:t> </w:t>
      </w:r>
      <w:r>
        <w:rPr>
          <w:sz w:val="24"/>
        </w:rPr>
        <w:t>each</w:t>
      </w:r>
      <w:r>
        <w:rPr>
          <w:spacing w:val="40"/>
          <w:sz w:val="24"/>
        </w:rPr>
        <w:t> </w:t>
      </w:r>
      <w:r>
        <w:rPr>
          <w:sz w:val="24"/>
        </w:rPr>
        <w:t>dwelling</w:t>
      </w:r>
      <w:r>
        <w:rPr>
          <w:spacing w:val="40"/>
          <w:sz w:val="24"/>
        </w:rPr>
        <w:t> </w:t>
      </w:r>
      <w:r>
        <w:rPr>
          <w:sz w:val="24"/>
        </w:rPr>
        <w:t>unit.</w:t>
      </w:r>
      <w:r>
        <w:rPr>
          <w:spacing w:val="40"/>
          <w:sz w:val="24"/>
        </w:rPr>
        <w:t> </w:t>
      </w:r>
      <w:r>
        <w:rPr>
          <w:sz w:val="24"/>
        </w:rPr>
        <w:t>One</w:t>
      </w:r>
      <w:r>
        <w:rPr>
          <w:spacing w:val="40"/>
          <w:sz w:val="24"/>
        </w:rPr>
        <w:t> </w:t>
      </w:r>
      <w:r>
        <w:rPr>
          <w:sz w:val="24"/>
        </w:rPr>
        <w:t>of</w:t>
      </w:r>
      <w:r>
        <w:rPr>
          <w:spacing w:val="40"/>
          <w:sz w:val="24"/>
        </w:rPr>
        <w:t> </w:t>
      </w:r>
      <w:r>
        <w:rPr>
          <w:sz w:val="24"/>
        </w:rPr>
        <w:t>these</w:t>
      </w:r>
      <w:r>
        <w:rPr>
          <w:spacing w:val="40"/>
          <w:sz w:val="24"/>
        </w:rPr>
        <w:t> </w:t>
      </w:r>
      <w:r>
        <w:rPr>
          <w:sz w:val="24"/>
        </w:rPr>
        <w:t>lifts</w:t>
      </w:r>
      <w:r>
        <w:rPr>
          <w:spacing w:val="40"/>
          <w:sz w:val="24"/>
        </w:rPr>
        <w:t> </w:t>
      </w:r>
      <w:r>
        <w:rPr>
          <w:sz w:val="24"/>
        </w:rPr>
        <w:t>shall be</w:t>
      </w:r>
      <w:r>
        <w:rPr>
          <w:spacing w:val="40"/>
          <w:sz w:val="24"/>
        </w:rPr>
        <w:t> </w:t>
      </w:r>
      <w:r>
        <w:rPr>
          <w:sz w:val="24"/>
        </w:rPr>
        <w:t>fire</w:t>
      </w:r>
      <w:r>
        <w:rPr>
          <w:spacing w:val="40"/>
          <w:sz w:val="24"/>
        </w:rPr>
        <w:t> </w:t>
      </w:r>
      <w:r>
        <w:rPr>
          <w:sz w:val="24"/>
        </w:rPr>
        <w:t>lift</w:t>
      </w:r>
      <w:r>
        <w:rPr>
          <w:spacing w:val="40"/>
          <w:sz w:val="24"/>
        </w:rPr>
        <w:t> </w:t>
      </w:r>
      <w:r>
        <w:rPr>
          <w:sz w:val="24"/>
        </w:rPr>
        <w:t>&amp;</w:t>
      </w:r>
      <w:r>
        <w:rPr>
          <w:spacing w:val="40"/>
          <w:sz w:val="24"/>
        </w:rPr>
        <w:t> </w:t>
      </w:r>
      <w:r>
        <w:rPr>
          <w:sz w:val="24"/>
        </w:rPr>
        <w:t>shall</w:t>
      </w:r>
      <w:r>
        <w:rPr>
          <w:spacing w:val="40"/>
          <w:sz w:val="24"/>
        </w:rPr>
        <w:t> </w:t>
      </w:r>
      <w:r>
        <w:rPr>
          <w:sz w:val="24"/>
        </w:rPr>
        <w:t>be</w:t>
      </w:r>
      <w:r>
        <w:rPr>
          <w:spacing w:val="40"/>
          <w:sz w:val="24"/>
        </w:rPr>
        <w:t> </w:t>
      </w:r>
      <w:r>
        <w:rPr>
          <w:sz w:val="24"/>
        </w:rPr>
        <w:t>in</w:t>
      </w:r>
      <w:r>
        <w:rPr>
          <w:spacing w:val="40"/>
          <w:sz w:val="24"/>
        </w:rPr>
        <w:t> </w:t>
      </w:r>
      <w:r>
        <w:rPr>
          <w:sz w:val="24"/>
        </w:rPr>
        <w:t>conformity</w:t>
      </w:r>
      <w:r>
        <w:rPr>
          <w:spacing w:val="40"/>
          <w:sz w:val="24"/>
        </w:rPr>
        <w:t> </w:t>
      </w:r>
      <w:r>
        <w:rPr>
          <w:sz w:val="24"/>
        </w:rPr>
        <w:t>with</w:t>
      </w:r>
      <w:r>
        <w:rPr>
          <w:spacing w:val="40"/>
          <w:sz w:val="24"/>
        </w:rPr>
        <w:t> </w:t>
      </w:r>
      <w:r>
        <w:rPr>
          <w:sz w:val="24"/>
        </w:rPr>
        <w:t>the</w:t>
      </w:r>
      <w:r>
        <w:rPr>
          <w:spacing w:val="40"/>
          <w:sz w:val="24"/>
        </w:rPr>
        <w:t> </w:t>
      </w:r>
      <w:r>
        <w:rPr>
          <w:sz w:val="24"/>
        </w:rPr>
        <w:t>fire</w:t>
      </w:r>
      <w:r>
        <w:rPr>
          <w:spacing w:val="40"/>
          <w:sz w:val="24"/>
        </w:rPr>
        <w:t> </w:t>
      </w:r>
      <w:r>
        <w:rPr>
          <w:sz w:val="24"/>
        </w:rPr>
        <w:t>safety</w:t>
      </w:r>
      <w:r>
        <w:rPr>
          <w:spacing w:val="40"/>
          <w:sz w:val="24"/>
        </w:rPr>
        <w:t> </w:t>
      </w:r>
      <w:r>
        <w:rPr>
          <w:sz w:val="24"/>
        </w:rPr>
        <w:t>regulations.</w:t>
      </w:r>
      <w:r>
        <w:rPr>
          <w:spacing w:val="40"/>
          <w:sz w:val="24"/>
        </w:rPr>
        <w:t> </w:t>
      </w:r>
      <w:r>
        <w:rPr>
          <w:sz w:val="24"/>
        </w:rPr>
        <w:t>It shall</w:t>
      </w:r>
      <w:r>
        <w:rPr>
          <w:spacing w:val="40"/>
          <w:sz w:val="24"/>
        </w:rPr>
        <w:t> </w:t>
      </w:r>
      <w:r>
        <w:rPr>
          <w:sz w:val="24"/>
        </w:rPr>
        <w:t>be</w:t>
      </w:r>
      <w:r>
        <w:rPr>
          <w:spacing w:val="40"/>
          <w:sz w:val="24"/>
        </w:rPr>
        <w:t> </w:t>
      </w:r>
      <w:r>
        <w:rPr>
          <w:sz w:val="24"/>
        </w:rPr>
        <w:t>ensured</w:t>
      </w:r>
      <w:r>
        <w:rPr>
          <w:spacing w:val="40"/>
          <w:sz w:val="24"/>
        </w:rPr>
        <w:t> </w:t>
      </w:r>
      <w:r>
        <w:rPr>
          <w:sz w:val="24"/>
        </w:rPr>
        <w:t>that</w:t>
      </w:r>
      <w:r>
        <w:rPr>
          <w:spacing w:val="40"/>
          <w:sz w:val="24"/>
        </w:rPr>
        <w:t> </w:t>
      </w:r>
      <w:r>
        <w:rPr>
          <w:sz w:val="24"/>
        </w:rPr>
        <w:t>atleast</w:t>
      </w:r>
      <w:r>
        <w:rPr>
          <w:spacing w:val="40"/>
          <w:sz w:val="24"/>
        </w:rPr>
        <w:t> </w:t>
      </w:r>
      <w:r>
        <w:rPr>
          <w:sz w:val="24"/>
        </w:rPr>
        <w:t>one</w:t>
      </w:r>
      <w:r>
        <w:rPr>
          <w:spacing w:val="40"/>
          <w:sz w:val="24"/>
        </w:rPr>
        <w:t> </w:t>
      </w:r>
      <w:r>
        <w:rPr>
          <w:sz w:val="24"/>
        </w:rPr>
        <w:t>lift</w:t>
      </w:r>
      <w:r>
        <w:rPr>
          <w:spacing w:val="80"/>
          <w:sz w:val="24"/>
        </w:rPr>
        <w:t> </w:t>
      </w:r>
      <w:r>
        <w:rPr>
          <w:sz w:val="24"/>
        </w:rPr>
        <w:t>must</w:t>
      </w:r>
      <w:r>
        <w:rPr>
          <w:spacing w:val="40"/>
          <w:sz w:val="24"/>
        </w:rPr>
        <w:t> </w:t>
      </w:r>
      <w:r>
        <w:rPr>
          <w:sz w:val="24"/>
        </w:rPr>
        <w:t>serve</w:t>
      </w:r>
      <w:r>
        <w:rPr>
          <w:spacing w:val="40"/>
          <w:sz w:val="24"/>
        </w:rPr>
        <w:t> </w:t>
      </w:r>
      <w:r>
        <w:rPr>
          <w:sz w:val="24"/>
        </w:rPr>
        <w:t>access</w:t>
      </w:r>
      <w:r>
        <w:rPr>
          <w:spacing w:val="40"/>
          <w:sz w:val="24"/>
        </w:rPr>
        <w:t> </w:t>
      </w:r>
      <w:r>
        <w:rPr>
          <w:sz w:val="24"/>
        </w:rPr>
        <w:t>to</w:t>
      </w:r>
      <w:r>
        <w:rPr>
          <w:spacing w:val="40"/>
          <w:sz w:val="24"/>
        </w:rPr>
        <w:t> </w:t>
      </w:r>
      <w:r>
        <w:rPr>
          <w:sz w:val="24"/>
        </w:rPr>
        <w:t>the</w:t>
      </w:r>
      <w:r>
        <w:rPr>
          <w:spacing w:val="40"/>
          <w:sz w:val="24"/>
        </w:rPr>
        <w:t> </w:t>
      </w:r>
      <w:r>
        <w:rPr>
          <w:sz w:val="24"/>
        </w:rPr>
        <w:t>lowest</w:t>
      </w:r>
      <w:r>
        <w:rPr>
          <w:spacing w:val="40"/>
          <w:sz w:val="24"/>
        </w:rPr>
        <w:t> </w:t>
      </w:r>
      <w:r>
        <w:rPr>
          <w:sz w:val="24"/>
        </w:rPr>
        <w:t>level of basement &amp;</w:t>
      </w:r>
      <w:r>
        <w:rPr>
          <w:spacing w:val="40"/>
          <w:sz w:val="24"/>
        </w:rPr>
        <w:t> </w:t>
      </w:r>
      <w:r>
        <w:rPr>
          <w:sz w:val="24"/>
        </w:rPr>
        <w:t>may also extend up to</w:t>
      </w:r>
      <w:r>
        <w:rPr>
          <w:spacing w:val="40"/>
          <w:sz w:val="24"/>
        </w:rPr>
        <w:t> </w:t>
      </w:r>
      <w:r>
        <w:rPr>
          <w:sz w:val="24"/>
        </w:rPr>
        <w:t>terrace floor</w:t>
      </w:r>
      <w:r>
        <w:rPr>
          <w:spacing w:val="40"/>
          <w:sz w:val="24"/>
        </w:rPr>
        <w:t> </w:t>
      </w:r>
      <w:r>
        <w:rPr>
          <w:sz w:val="24"/>
        </w:rPr>
        <w:t>except in areas where</w:t>
      </w:r>
      <w:r>
        <w:rPr>
          <w:spacing w:val="80"/>
          <w:sz w:val="24"/>
        </w:rPr>
        <w:t> </w:t>
      </w:r>
      <w:r>
        <w:rPr>
          <w:sz w:val="24"/>
        </w:rPr>
        <w:t>civil</w:t>
      </w:r>
      <w:r>
        <w:rPr>
          <w:spacing w:val="80"/>
          <w:sz w:val="24"/>
        </w:rPr>
        <w:t> </w:t>
      </w:r>
      <w:r>
        <w:rPr>
          <w:sz w:val="24"/>
        </w:rPr>
        <w:t>aviation</w:t>
      </w:r>
      <w:r>
        <w:rPr>
          <w:spacing w:val="80"/>
          <w:sz w:val="24"/>
        </w:rPr>
        <w:t> </w:t>
      </w:r>
      <w:r>
        <w:rPr>
          <w:sz w:val="24"/>
        </w:rPr>
        <w:t>and</w:t>
      </w:r>
      <w:r>
        <w:rPr>
          <w:spacing w:val="80"/>
          <w:sz w:val="24"/>
        </w:rPr>
        <w:t> </w:t>
      </w:r>
      <w:r>
        <w:rPr>
          <w:sz w:val="24"/>
        </w:rPr>
        <w:t>other</w:t>
      </w:r>
      <w:r>
        <w:rPr>
          <w:spacing w:val="80"/>
          <w:sz w:val="24"/>
        </w:rPr>
        <w:t> </w:t>
      </w:r>
      <w:r>
        <w:rPr>
          <w:sz w:val="24"/>
        </w:rPr>
        <w:t>restrictions</w:t>
      </w:r>
      <w:r>
        <w:rPr>
          <w:spacing w:val="80"/>
          <w:sz w:val="24"/>
        </w:rPr>
        <w:t> </w:t>
      </w:r>
      <w:r>
        <w:rPr>
          <w:sz w:val="24"/>
        </w:rPr>
        <w:t>operate.</w:t>
      </w:r>
    </w:p>
    <w:p>
      <w:pPr>
        <w:pStyle w:val="ListParagraph"/>
        <w:numPr>
          <w:ilvl w:val="1"/>
          <w:numId w:val="255"/>
        </w:numPr>
        <w:tabs>
          <w:tab w:pos="1809" w:val="left" w:leader="none"/>
        </w:tabs>
        <w:spacing w:line="240" w:lineRule="auto" w:before="1" w:after="0"/>
        <w:ind w:left="1809" w:right="0" w:hanging="496"/>
        <w:jc w:val="both"/>
        <w:rPr>
          <w:sz w:val="24"/>
        </w:rPr>
      </w:pPr>
      <w:r>
        <w:rPr>
          <w:i/>
          <w:sz w:val="24"/>
        </w:rPr>
        <w:t>Other</w:t>
      </w:r>
      <w:r>
        <w:rPr>
          <w:i/>
          <w:spacing w:val="58"/>
          <w:w w:val="150"/>
          <w:sz w:val="24"/>
        </w:rPr>
        <w:t> </w:t>
      </w:r>
      <w:r>
        <w:rPr>
          <w:i/>
          <w:sz w:val="24"/>
        </w:rPr>
        <w:t>requirements</w:t>
      </w:r>
      <w:r>
        <w:rPr>
          <w:sz w:val="24"/>
        </w:rPr>
        <w:t>.</w:t>
      </w:r>
      <w:r>
        <w:rPr>
          <w:spacing w:val="59"/>
          <w:w w:val="150"/>
          <w:sz w:val="24"/>
        </w:rPr>
        <w:t> </w:t>
      </w:r>
      <w:r>
        <w:rPr>
          <w:spacing w:val="-10"/>
          <w:sz w:val="24"/>
        </w:rPr>
        <w:t>-</w:t>
      </w:r>
    </w:p>
    <w:p>
      <w:pPr>
        <w:pStyle w:val="ListParagraph"/>
        <w:numPr>
          <w:ilvl w:val="0"/>
          <w:numId w:val="258"/>
        </w:numPr>
        <w:tabs>
          <w:tab w:pos="1671" w:val="left" w:leader="none"/>
        </w:tabs>
        <w:spacing w:line="240" w:lineRule="auto" w:before="1" w:after="0"/>
        <w:ind w:left="1313" w:right="779" w:firstLine="0"/>
        <w:jc w:val="both"/>
        <w:rPr>
          <w:sz w:val="24"/>
        </w:rPr>
      </w:pPr>
      <w:r>
        <w:rPr>
          <w:sz w:val="24"/>
        </w:rPr>
        <w:t>The</w:t>
      </w:r>
      <w:r>
        <w:rPr>
          <w:spacing w:val="79"/>
          <w:sz w:val="24"/>
        </w:rPr>
        <w:t> </w:t>
      </w:r>
      <w:r>
        <w:rPr>
          <w:sz w:val="24"/>
        </w:rPr>
        <w:t>number,</w:t>
      </w:r>
      <w:r>
        <w:rPr>
          <w:spacing w:val="79"/>
          <w:sz w:val="24"/>
        </w:rPr>
        <w:t> </w:t>
      </w:r>
      <w:r>
        <w:rPr>
          <w:sz w:val="24"/>
        </w:rPr>
        <w:t>type</w:t>
      </w:r>
      <w:r>
        <w:rPr>
          <w:spacing w:val="80"/>
          <w:sz w:val="24"/>
        </w:rPr>
        <w:t> </w:t>
      </w:r>
      <w:r>
        <w:rPr>
          <w:sz w:val="24"/>
        </w:rPr>
        <w:t>and</w:t>
      </w:r>
      <w:r>
        <w:rPr>
          <w:spacing w:val="79"/>
          <w:sz w:val="24"/>
        </w:rPr>
        <w:t> </w:t>
      </w:r>
      <w:r>
        <w:rPr>
          <w:sz w:val="24"/>
        </w:rPr>
        <w:t>capacity</w:t>
      </w:r>
      <w:r>
        <w:rPr>
          <w:spacing w:val="79"/>
          <w:sz w:val="24"/>
        </w:rPr>
        <w:t> </w:t>
      </w:r>
      <w:r>
        <w:rPr>
          <w:sz w:val="24"/>
        </w:rPr>
        <w:t>of</w:t>
      </w:r>
      <w:r>
        <w:rPr>
          <w:spacing w:val="79"/>
          <w:sz w:val="24"/>
        </w:rPr>
        <w:t> </w:t>
      </w:r>
      <w:r>
        <w:rPr>
          <w:sz w:val="24"/>
        </w:rPr>
        <w:t>lift</w:t>
      </w:r>
      <w:r>
        <w:rPr>
          <w:spacing w:val="80"/>
          <w:sz w:val="24"/>
        </w:rPr>
        <w:t> </w:t>
      </w:r>
      <w:r>
        <w:rPr>
          <w:sz w:val="24"/>
        </w:rPr>
        <w:t>shall</w:t>
      </w:r>
      <w:r>
        <w:rPr>
          <w:spacing w:val="79"/>
          <w:sz w:val="24"/>
        </w:rPr>
        <w:t> </w:t>
      </w:r>
      <w:r>
        <w:rPr>
          <w:sz w:val="24"/>
        </w:rPr>
        <w:t>satisfy</w:t>
      </w:r>
      <w:r>
        <w:rPr>
          <w:spacing w:val="79"/>
          <w:sz w:val="24"/>
        </w:rPr>
        <w:t> </w:t>
      </w:r>
      <w:r>
        <w:rPr>
          <w:sz w:val="24"/>
        </w:rPr>
        <w:t>the</w:t>
      </w:r>
      <w:r>
        <w:rPr>
          <w:spacing w:val="80"/>
          <w:sz w:val="24"/>
        </w:rPr>
        <w:t> </w:t>
      </w:r>
      <w:r>
        <w:rPr>
          <w:sz w:val="24"/>
        </w:rPr>
        <w:t>requirements of part 8, Sec.5, and those of Installation of Lifts and Escalators National Building</w:t>
      </w:r>
      <w:r>
        <w:rPr>
          <w:spacing w:val="40"/>
          <w:sz w:val="24"/>
        </w:rPr>
        <w:t> </w:t>
      </w:r>
      <w:r>
        <w:rPr>
          <w:sz w:val="24"/>
        </w:rPr>
        <w:t>Code</w:t>
      </w:r>
      <w:r>
        <w:rPr>
          <w:spacing w:val="40"/>
          <w:sz w:val="24"/>
        </w:rPr>
        <w:t> </w:t>
      </w:r>
      <w:r>
        <w:rPr>
          <w:sz w:val="24"/>
        </w:rPr>
        <w:t>of</w:t>
      </w:r>
      <w:r>
        <w:rPr>
          <w:spacing w:val="40"/>
          <w:sz w:val="24"/>
        </w:rPr>
        <w:t> </w:t>
      </w:r>
      <w:r>
        <w:rPr>
          <w:sz w:val="24"/>
        </w:rPr>
        <w:t>India</w:t>
      </w:r>
      <w:r>
        <w:rPr>
          <w:spacing w:val="40"/>
          <w:sz w:val="24"/>
        </w:rPr>
        <w:t> </w:t>
      </w:r>
      <w:r>
        <w:rPr>
          <w:sz w:val="24"/>
        </w:rPr>
        <w:t>and</w:t>
      </w:r>
      <w:r>
        <w:rPr>
          <w:spacing w:val="40"/>
          <w:sz w:val="24"/>
        </w:rPr>
        <w:t> </w:t>
      </w:r>
      <w:r>
        <w:rPr>
          <w:sz w:val="24"/>
        </w:rPr>
        <w:t>modified</w:t>
      </w:r>
      <w:r>
        <w:rPr>
          <w:spacing w:val="40"/>
          <w:sz w:val="24"/>
        </w:rPr>
        <w:t> </w:t>
      </w:r>
      <w:r>
        <w:rPr>
          <w:sz w:val="24"/>
        </w:rPr>
        <w:t>provision</w:t>
      </w:r>
      <w:r>
        <w:rPr>
          <w:spacing w:val="40"/>
          <w:sz w:val="24"/>
        </w:rPr>
        <w:t> </w:t>
      </w:r>
      <w:r>
        <w:rPr>
          <w:sz w:val="24"/>
        </w:rPr>
        <w:t>thereof</w:t>
      </w:r>
      <w:r>
        <w:rPr>
          <w:spacing w:val="40"/>
          <w:sz w:val="24"/>
        </w:rPr>
        <w:t> </w:t>
      </w:r>
      <w:r>
        <w:rPr>
          <w:sz w:val="24"/>
        </w:rPr>
        <w:t>from</w:t>
      </w:r>
      <w:r>
        <w:rPr>
          <w:spacing w:val="40"/>
          <w:sz w:val="24"/>
        </w:rPr>
        <w:t> </w:t>
      </w:r>
      <w:r>
        <w:rPr>
          <w:sz w:val="24"/>
        </w:rPr>
        <w:t>time</w:t>
      </w:r>
      <w:r>
        <w:rPr>
          <w:spacing w:val="40"/>
          <w:sz w:val="24"/>
        </w:rPr>
        <w:t> </w:t>
      </w:r>
      <w:r>
        <w:rPr>
          <w:sz w:val="24"/>
        </w:rPr>
        <w:t>to</w:t>
      </w:r>
      <w:r>
        <w:rPr>
          <w:spacing w:val="40"/>
          <w:sz w:val="24"/>
        </w:rPr>
        <w:t> </w:t>
      </w:r>
      <w:r>
        <w:rPr>
          <w:spacing w:val="9"/>
          <w:sz w:val="24"/>
        </w:rPr>
        <w:t>time.</w:t>
      </w:r>
    </w:p>
    <w:p>
      <w:pPr>
        <w:pStyle w:val="ListParagraph"/>
        <w:numPr>
          <w:ilvl w:val="0"/>
          <w:numId w:val="258"/>
        </w:numPr>
        <w:tabs>
          <w:tab w:pos="1672" w:val="left" w:leader="none"/>
        </w:tabs>
        <w:spacing w:line="240" w:lineRule="auto" w:before="0" w:after="0"/>
        <w:ind w:left="1313" w:right="800" w:firstLine="0"/>
        <w:jc w:val="both"/>
        <w:rPr>
          <w:sz w:val="24"/>
        </w:rPr>
      </w:pPr>
      <w:r>
        <w:rPr>
          <w:sz w:val="24"/>
        </w:rPr>
        <w:t>At ground floor level, a grounding switch shall be provided to enable grounding</w:t>
      </w:r>
      <w:r>
        <w:rPr>
          <w:spacing w:val="40"/>
          <w:sz w:val="24"/>
        </w:rPr>
        <w:t> </w:t>
      </w:r>
      <w:r>
        <w:rPr>
          <w:sz w:val="24"/>
        </w:rPr>
        <w:t>the</w:t>
      </w:r>
      <w:r>
        <w:rPr>
          <w:spacing w:val="40"/>
          <w:sz w:val="24"/>
        </w:rPr>
        <w:t> </w:t>
      </w:r>
      <w:r>
        <w:rPr>
          <w:sz w:val="24"/>
        </w:rPr>
        <w:t>lift</w:t>
      </w:r>
      <w:r>
        <w:rPr>
          <w:spacing w:val="40"/>
          <w:sz w:val="24"/>
        </w:rPr>
        <w:t> </w:t>
      </w:r>
      <w:r>
        <w:rPr>
          <w:sz w:val="24"/>
        </w:rPr>
        <w:t>cars</w:t>
      </w:r>
      <w:r>
        <w:rPr>
          <w:spacing w:val="40"/>
          <w:sz w:val="24"/>
        </w:rPr>
        <w:t> </w:t>
      </w:r>
      <w:r>
        <w:rPr>
          <w:sz w:val="24"/>
        </w:rPr>
        <w:t>in</w:t>
      </w:r>
      <w:r>
        <w:rPr>
          <w:spacing w:val="40"/>
          <w:sz w:val="24"/>
        </w:rPr>
        <w:t> </w:t>
      </w:r>
      <w:r>
        <w:rPr>
          <w:sz w:val="24"/>
        </w:rPr>
        <w:t>an</w:t>
      </w:r>
      <w:r>
        <w:rPr>
          <w:spacing w:val="40"/>
          <w:sz w:val="24"/>
        </w:rPr>
        <w:t> </w:t>
      </w:r>
      <w:r>
        <w:rPr>
          <w:spacing w:val="9"/>
          <w:sz w:val="24"/>
        </w:rPr>
        <w:t>emergency.</w:t>
      </w:r>
    </w:p>
    <w:p>
      <w:pPr>
        <w:pStyle w:val="ListParagraph"/>
        <w:numPr>
          <w:ilvl w:val="0"/>
          <w:numId w:val="258"/>
        </w:numPr>
        <w:tabs>
          <w:tab w:pos="1583" w:val="left" w:leader="none"/>
        </w:tabs>
        <w:spacing w:line="240" w:lineRule="auto" w:before="0" w:after="0"/>
        <w:ind w:left="1313" w:right="798" w:firstLine="0"/>
        <w:jc w:val="both"/>
        <w:rPr>
          <w:sz w:val="24"/>
        </w:rPr>
      </w:pPr>
      <w:r>
        <w:rPr>
          <w:sz w:val="24"/>
        </w:rPr>
        <w:t>The lift machine room shall be separate and no machinery other than required</w:t>
      </w:r>
      <w:r>
        <w:rPr>
          <w:spacing w:val="40"/>
          <w:sz w:val="24"/>
        </w:rPr>
        <w:t> </w:t>
      </w:r>
      <w:r>
        <w:rPr>
          <w:sz w:val="24"/>
        </w:rPr>
        <w:t>for</w:t>
      </w:r>
      <w:r>
        <w:rPr>
          <w:spacing w:val="40"/>
          <w:sz w:val="24"/>
        </w:rPr>
        <w:t> </w:t>
      </w:r>
      <w:r>
        <w:rPr>
          <w:sz w:val="24"/>
        </w:rPr>
        <w:t>the</w:t>
      </w:r>
      <w:r>
        <w:rPr>
          <w:spacing w:val="40"/>
          <w:sz w:val="24"/>
        </w:rPr>
        <w:t> </w:t>
      </w:r>
      <w:r>
        <w:rPr>
          <w:sz w:val="24"/>
        </w:rPr>
        <w:t>lift</w:t>
      </w:r>
      <w:r>
        <w:rPr>
          <w:spacing w:val="40"/>
          <w:sz w:val="24"/>
        </w:rPr>
        <w:t> </w:t>
      </w:r>
      <w:r>
        <w:rPr>
          <w:sz w:val="24"/>
        </w:rPr>
        <w:t>shall</w:t>
      </w:r>
      <w:r>
        <w:rPr>
          <w:spacing w:val="40"/>
          <w:sz w:val="24"/>
        </w:rPr>
        <w:t> </w:t>
      </w:r>
      <w:r>
        <w:rPr>
          <w:sz w:val="24"/>
        </w:rPr>
        <w:t>be</w:t>
      </w:r>
      <w:r>
        <w:rPr>
          <w:spacing w:val="40"/>
          <w:sz w:val="24"/>
        </w:rPr>
        <w:t> </w:t>
      </w:r>
      <w:r>
        <w:rPr>
          <w:sz w:val="24"/>
        </w:rPr>
        <w:t>installed</w:t>
      </w:r>
      <w:r>
        <w:rPr>
          <w:spacing w:val="40"/>
          <w:sz w:val="24"/>
        </w:rPr>
        <w:t> </w:t>
      </w:r>
      <w:r>
        <w:rPr>
          <w:spacing w:val="9"/>
          <w:sz w:val="24"/>
        </w:rPr>
        <w:t>therein.</w:t>
      </w:r>
    </w:p>
    <w:p>
      <w:pPr>
        <w:pStyle w:val="ListParagraph"/>
        <w:numPr>
          <w:ilvl w:val="0"/>
          <w:numId w:val="258"/>
        </w:numPr>
        <w:tabs>
          <w:tab w:pos="1672" w:val="left" w:leader="none"/>
        </w:tabs>
        <w:spacing w:line="240" w:lineRule="auto" w:before="0" w:after="0"/>
        <w:ind w:left="1313" w:right="790" w:firstLine="0"/>
        <w:jc w:val="both"/>
        <w:rPr>
          <w:sz w:val="24"/>
        </w:rPr>
      </w:pPr>
      <w:r>
        <w:rPr>
          <w:sz w:val="24"/>
        </w:rPr>
        <w:t>The number of each floor shall be conspicuously painted in figures at least 15cm. large on the wall opposite the lift/lifts opening or on other suitable</w:t>
      </w:r>
      <w:r>
        <w:rPr>
          <w:spacing w:val="73"/>
          <w:sz w:val="24"/>
        </w:rPr>
        <w:t> </w:t>
      </w:r>
      <w:r>
        <w:rPr>
          <w:sz w:val="24"/>
        </w:rPr>
        <w:t>surface</w:t>
      </w:r>
      <w:r>
        <w:rPr>
          <w:spacing w:val="40"/>
          <w:sz w:val="24"/>
        </w:rPr>
        <w:t> </w:t>
      </w:r>
      <w:r>
        <w:rPr>
          <w:sz w:val="24"/>
        </w:rPr>
        <w:t>so</w:t>
      </w:r>
      <w:r>
        <w:rPr>
          <w:spacing w:val="73"/>
          <w:sz w:val="24"/>
        </w:rPr>
        <w:t> </w:t>
      </w:r>
      <w:r>
        <w:rPr>
          <w:sz w:val="24"/>
        </w:rPr>
        <w:t>as</w:t>
      </w:r>
      <w:r>
        <w:rPr>
          <w:spacing w:val="40"/>
          <w:sz w:val="24"/>
        </w:rPr>
        <w:t> </w:t>
      </w:r>
      <w:r>
        <w:rPr>
          <w:sz w:val="24"/>
        </w:rPr>
        <w:t>to</w:t>
      </w:r>
      <w:r>
        <w:rPr>
          <w:spacing w:val="40"/>
          <w:sz w:val="24"/>
        </w:rPr>
        <w:t> </w:t>
      </w:r>
      <w:r>
        <w:rPr>
          <w:sz w:val="24"/>
        </w:rPr>
        <w:t>be</w:t>
      </w:r>
      <w:r>
        <w:rPr>
          <w:spacing w:val="40"/>
          <w:sz w:val="24"/>
        </w:rPr>
        <w:t> </w:t>
      </w:r>
      <w:r>
        <w:rPr>
          <w:sz w:val="24"/>
        </w:rPr>
        <w:t>distinctly</w:t>
      </w:r>
      <w:r>
        <w:rPr>
          <w:spacing w:val="73"/>
          <w:sz w:val="24"/>
        </w:rPr>
        <w:t> </w:t>
      </w:r>
      <w:r>
        <w:rPr>
          <w:sz w:val="24"/>
        </w:rPr>
        <w:t>visible</w:t>
      </w:r>
      <w:r>
        <w:rPr>
          <w:spacing w:val="40"/>
          <w:sz w:val="24"/>
        </w:rPr>
        <w:t> </w:t>
      </w:r>
      <w:r>
        <w:rPr>
          <w:sz w:val="24"/>
        </w:rPr>
        <w:t>from</w:t>
      </w:r>
      <w:r>
        <w:rPr>
          <w:spacing w:val="40"/>
          <w:sz w:val="24"/>
        </w:rPr>
        <w:t> </w:t>
      </w:r>
      <w:r>
        <w:rPr>
          <w:sz w:val="24"/>
        </w:rPr>
        <w:t>the</w:t>
      </w:r>
      <w:r>
        <w:rPr>
          <w:spacing w:val="40"/>
          <w:sz w:val="24"/>
        </w:rPr>
        <w:t> </w:t>
      </w:r>
      <w:r>
        <w:rPr>
          <w:sz w:val="24"/>
        </w:rPr>
        <w:t>lift</w:t>
      </w:r>
      <w:r>
        <w:rPr>
          <w:spacing w:val="73"/>
          <w:sz w:val="24"/>
        </w:rPr>
        <w:t> </w:t>
      </w:r>
      <w:r>
        <w:rPr>
          <w:sz w:val="24"/>
        </w:rPr>
        <w:t>cage.</w:t>
      </w:r>
    </w:p>
    <w:p>
      <w:pPr>
        <w:pStyle w:val="ListParagraph"/>
        <w:numPr>
          <w:ilvl w:val="0"/>
          <w:numId w:val="258"/>
        </w:numPr>
        <w:tabs>
          <w:tab w:pos="1636" w:val="left" w:leader="none"/>
        </w:tabs>
        <w:spacing w:line="240" w:lineRule="auto" w:before="0" w:after="0"/>
        <w:ind w:left="1313" w:right="797" w:firstLine="0"/>
        <w:jc w:val="both"/>
        <w:rPr>
          <w:sz w:val="24"/>
        </w:rPr>
      </w:pPr>
      <w:r>
        <w:rPr>
          <w:sz w:val="24"/>
        </w:rPr>
        <w:t>In</w:t>
      </w:r>
      <w:r>
        <w:rPr>
          <w:spacing w:val="76"/>
          <w:sz w:val="24"/>
        </w:rPr>
        <w:t> </w:t>
      </w:r>
      <w:r>
        <w:rPr>
          <w:sz w:val="24"/>
        </w:rPr>
        <w:t>high</w:t>
      </w:r>
      <w:r>
        <w:rPr>
          <w:spacing w:val="76"/>
          <w:sz w:val="24"/>
        </w:rPr>
        <w:t> </w:t>
      </w:r>
      <w:r>
        <w:rPr>
          <w:sz w:val="24"/>
        </w:rPr>
        <w:t>rise</w:t>
      </w:r>
      <w:r>
        <w:rPr>
          <w:spacing w:val="76"/>
          <w:sz w:val="24"/>
        </w:rPr>
        <w:t> </w:t>
      </w:r>
      <w:r>
        <w:rPr>
          <w:sz w:val="24"/>
        </w:rPr>
        <w:t>residential</w:t>
      </w:r>
      <w:r>
        <w:rPr>
          <w:spacing w:val="76"/>
          <w:sz w:val="24"/>
        </w:rPr>
        <w:t> </w:t>
      </w:r>
      <w:r>
        <w:rPr>
          <w:sz w:val="24"/>
        </w:rPr>
        <w:t>buildings</w:t>
      </w:r>
      <w:r>
        <w:rPr>
          <w:spacing w:val="76"/>
          <w:sz w:val="24"/>
        </w:rPr>
        <w:t> </w:t>
      </w:r>
      <w:r>
        <w:rPr>
          <w:sz w:val="24"/>
        </w:rPr>
        <w:t>having</w:t>
      </w:r>
      <w:r>
        <w:rPr>
          <w:spacing w:val="76"/>
          <w:sz w:val="24"/>
        </w:rPr>
        <w:t> </w:t>
      </w:r>
      <w:r>
        <w:rPr>
          <w:sz w:val="24"/>
        </w:rPr>
        <w:t>height</w:t>
      </w:r>
      <w:r>
        <w:rPr>
          <w:spacing w:val="76"/>
          <w:sz w:val="24"/>
        </w:rPr>
        <w:t> </w:t>
      </w:r>
      <w:r>
        <w:rPr>
          <w:sz w:val="24"/>
        </w:rPr>
        <w:t>more</w:t>
      </w:r>
      <w:r>
        <w:rPr>
          <w:spacing w:val="79"/>
          <w:sz w:val="24"/>
        </w:rPr>
        <w:t> </w:t>
      </w:r>
      <w:r>
        <w:rPr>
          <w:sz w:val="24"/>
        </w:rPr>
        <w:t>than</w:t>
      </w:r>
      <w:r>
        <w:rPr>
          <w:spacing w:val="76"/>
          <w:sz w:val="24"/>
        </w:rPr>
        <w:t> </w:t>
      </w:r>
      <w:r>
        <w:rPr>
          <w:sz w:val="24"/>
        </w:rPr>
        <w:t>70m,</w:t>
      </w:r>
      <w:r>
        <w:rPr>
          <w:spacing w:val="76"/>
          <w:sz w:val="24"/>
        </w:rPr>
        <w:t> </w:t>
      </w:r>
      <w:r>
        <w:rPr>
          <w:sz w:val="24"/>
        </w:rPr>
        <w:t>one of</w:t>
      </w:r>
      <w:r>
        <w:rPr>
          <w:spacing w:val="40"/>
          <w:sz w:val="24"/>
        </w:rPr>
        <w:t> </w:t>
      </w:r>
      <w:r>
        <w:rPr>
          <w:sz w:val="24"/>
        </w:rPr>
        <w:t>the</w:t>
      </w:r>
      <w:r>
        <w:rPr>
          <w:spacing w:val="40"/>
          <w:sz w:val="24"/>
        </w:rPr>
        <w:t> </w:t>
      </w:r>
      <w:r>
        <w:rPr>
          <w:sz w:val="24"/>
        </w:rPr>
        <w:t>lifts</w:t>
      </w:r>
      <w:r>
        <w:rPr>
          <w:spacing w:val="40"/>
          <w:sz w:val="24"/>
        </w:rPr>
        <w:t> </w:t>
      </w:r>
      <w:r>
        <w:rPr>
          <w:sz w:val="24"/>
        </w:rPr>
        <w:t>installed</w:t>
      </w:r>
      <w:r>
        <w:rPr>
          <w:spacing w:val="40"/>
          <w:sz w:val="24"/>
        </w:rPr>
        <w:t> </w:t>
      </w:r>
      <w:r>
        <w:rPr>
          <w:sz w:val="24"/>
        </w:rPr>
        <w:t>shall</w:t>
      </w:r>
      <w:r>
        <w:rPr>
          <w:spacing w:val="40"/>
          <w:sz w:val="24"/>
        </w:rPr>
        <w:t> </w:t>
      </w:r>
      <w:r>
        <w:rPr>
          <w:sz w:val="24"/>
        </w:rPr>
        <w:t>be</w:t>
      </w:r>
      <w:r>
        <w:rPr>
          <w:spacing w:val="40"/>
          <w:sz w:val="24"/>
        </w:rPr>
        <w:t> </w:t>
      </w:r>
      <w:r>
        <w:rPr>
          <w:sz w:val="24"/>
        </w:rPr>
        <w:t>a</w:t>
      </w:r>
      <w:r>
        <w:rPr>
          <w:spacing w:val="40"/>
          <w:sz w:val="24"/>
        </w:rPr>
        <w:t> </w:t>
      </w:r>
      <w:r>
        <w:rPr>
          <w:sz w:val="24"/>
        </w:rPr>
        <w:t>freight</w:t>
      </w:r>
      <w:r>
        <w:rPr>
          <w:spacing w:val="40"/>
          <w:sz w:val="24"/>
        </w:rPr>
        <w:t> </w:t>
      </w:r>
      <w:r>
        <w:rPr>
          <w:sz w:val="24"/>
        </w:rPr>
        <w:t>lift.</w:t>
      </w:r>
      <w:r>
        <w:rPr>
          <w:spacing w:val="40"/>
          <w:sz w:val="24"/>
        </w:rPr>
        <w:t> </w:t>
      </w:r>
      <w:r>
        <w:rPr>
          <w:sz w:val="24"/>
        </w:rPr>
        <w:t>The</w:t>
      </w:r>
      <w:r>
        <w:rPr>
          <w:spacing w:val="40"/>
          <w:sz w:val="24"/>
        </w:rPr>
        <w:t> </w:t>
      </w:r>
      <w:r>
        <w:rPr>
          <w:sz w:val="24"/>
        </w:rPr>
        <w:t>freight</w:t>
      </w:r>
      <w:r>
        <w:rPr>
          <w:spacing w:val="40"/>
          <w:sz w:val="24"/>
        </w:rPr>
        <w:t> </w:t>
      </w:r>
      <w:r>
        <w:rPr>
          <w:sz w:val="24"/>
        </w:rPr>
        <w:t>lift</w:t>
      </w:r>
      <w:r>
        <w:rPr>
          <w:spacing w:val="40"/>
          <w:sz w:val="24"/>
        </w:rPr>
        <w:t> </w:t>
      </w:r>
      <w:r>
        <w:rPr>
          <w:sz w:val="24"/>
        </w:rPr>
        <w:t>will</w:t>
      </w:r>
      <w:r>
        <w:rPr>
          <w:spacing w:val="40"/>
          <w:sz w:val="24"/>
        </w:rPr>
        <w:t> </w:t>
      </w:r>
      <w:r>
        <w:rPr>
          <w:sz w:val="24"/>
        </w:rPr>
        <w:t>be</w:t>
      </w:r>
      <w:r>
        <w:rPr>
          <w:spacing w:val="40"/>
          <w:sz w:val="24"/>
        </w:rPr>
        <w:t> </w:t>
      </w:r>
      <w:r>
        <w:rPr>
          <w:sz w:val="24"/>
        </w:rPr>
        <w:t>designed in</w:t>
      </w:r>
      <w:r>
        <w:rPr>
          <w:spacing w:val="40"/>
          <w:sz w:val="24"/>
        </w:rPr>
        <w:t> </w:t>
      </w:r>
      <w:r>
        <w:rPr>
          <w:sz w:val="24"/>
        </w:rPr>
        <w:t>such</w:t>
      </w:r>
      <w:r>
        <w:rPr>
          <w:spacing w:val="40"/>
          <w:sz w:val="24"/>
        </w:rPr>
        <w:t> </w:t>
      </w:r>
      <w:r>
        <w:rPr>
          <w:sz w:val="24"/>
        </w:rPr>
        <w:t>a</w:t>
      </w:r>
      <w:r>
        <w:rPr>
          <w:spacing w:val="40"/>
          <w:sz w:val="24"/>
        </w:rPr>
        <w:t> </w:t>
      </w:r>
      <w:r>
        <w:rPr>
          <w:sz w:val="24"/>
        </w:rPr>
        <w:t>way</w:t>
      </w:r>
      <w:r>
        <w:rPr>
          <w:spacing w:val="40"/>
          <w:sz w:val="24"/>
        </w:rPr>
        <w:t> </w:t>
      </w:r>
      <w:r>
        <w:rPr>
          <w:sz w:val="24"/>
        </w:rPr>
        <w:t>that</w:t>
      </w:r>
      <w:r>
        <w:rPr>
          <w:spacing w:val="40"/>
          <w:sz w:val="24"/>
        </w:rPr>
        <w:t> </w:t>
      </w:r>
      <w:r>
        <w:rPr>
          <w:sz w:val="24"/>
        </w:rPr>
        <w:t>it</w:t>
      </w:r>
      <w:r>
        <w:rPr>
          <w:spacing w:val="40"/>
          <w:sz w:val="24"/>
        </w:rPr>
        <w:t> </w:t>
      </w:r>
      <w:r>
        <w:rPr>
          <w:sz w:val="24"/>
        </w:rPr>
        <w:t>shall</w:t>
      </w:r>
      <w:r>
        <w:rPr>
          <w:spacing w:val="40"/>
          <w:sz w:val="24"/>
        </w:rPr>
        <w:t> </w:t>
      </w:r>
      <w:r>
        <w:rPr>
          <w:sz w:val="24"/>
        </w:rPr>
        <w:t>serve</w:t>
      </w:r>
      <w:r>
        <w:rPr>
          <w:spacing w:val="40"/>
          <w:sz w:val="24"/>
        </w:rPr>
        <w:t> </w:t>
      </w:r>
      <w:r>
        <w:rPr>
          <w:sz w:val="24"/>
        </w:rPr>
        <w:t>as</w:t>
      </w:r>
      <w:r>
        <w:rPr>
          <w:spacing w:val="40"/>
          <w:sz w:val="24"/>
        </w:rPr>
        <w:t> </w:t>
      </w:r>
      <w:r>
        <w:rPr>
          <w:sz w:val="24"/>
        </w:rPr>
        <w:t>stretcher</w:t>
      </w:r>
      <w:r>
        <w:rPr>
          <w:spacing w:val="40"/>
          <w:sz w:val="24"/>
        </w:rPr>
        <w:t> </w:t>
      </w:r>
      <w:r>
        <w:rPr>
          <w:sz w:val="24"/>
        </w:rPr>
        <w:t>lift</w:t>
      </w:r>
      <w:r>
        <w:rPr>
          <w:spacing w:val="40"/>
          <w:sz w:val="24"/>
        </w:rPr>
        <w:t> </w:t>
      </w:r>
      <w:r>
        <w:rPr>
          <w:spacing w:val="9"/>
          <w:sz w:val="24"/>
        </w:rPr>
        <w:t>also.</w:t>
      </w:r>
    </w:p>
    <w:p>
      <w:pPr>
        <w:pStyle w:val="ListParagraph"/>
        <w:numPr>
          <w:ilvl w:val="0"/>
          <w:numId w:val="258"/>
        </w:numPr>
        <w:tabs>
          <w:tab w:pos="1578" w:val="left" w:leader="none"/>
        </w:tabs>
        <w:spacing w:line="240" w:lineRule="auto" w:before="1" w:after="0"/>
        <w:ind w:left="1313" w:right="800" w:firstLine="0"/>
        <w:jc w:val="both"/>
        <w:rPr>
          <w:sz w:val="24"/>
        </w:rPr>
      </w:pPr>
      <w:r>
        <w:rPr>
          <w:sz w:val="24"/>
        </w:rPr>
        <w:t>A</w:t>
      </w:r>
      <w:r>
        <w:rPr>
          <w:spacing w:val="40"/>
          <w:sz w:val="24"/>
        </w:rPr>
        <w:t> </w:t>
      </w:r>
      <w:r>
        <w:rPr>
          <w:sz w:val="24"/>
        </w:rPr>
        <w:t>new</w:t>
      </w:r>
      <w:r>
        <w:rPr>
          <w:spacing w:val="40"/>
          <w:sz w:val="24"/>
        </w:rPr>
        <w:t> </w:t>
      </w:r>
      <w:r>
        <w:rPr>
          <w:sz w:val="24"/>
        </w:rPr>
        <w:t>lift</w:t>
      </w:r>
      <w:r>
        <w:rPr>
          <w:spacing w:val="40"/>
          <w:sz w:val="24"/>
        </w:rPr>
        <w:t> </w:t>
      </w:r>
      <w:r>
        <w:rPr>
          <w:sz w:val="24"/>
        </w:rPr>
        <w:t>with</w:t>
      </w:r>
      <w:r>
        <w:rPr>
          <w:spacing w:val="40"/>
          <w:sz w:val="24"/>
        </w:rPr>
        <w:t> </w:t>
      </w:r>
      <w:r>
        <w:rPr>
          <w:sz w:val="24"/>
        </w:rPr>
        <w:t>passage</w:t>
      </w:r>
      <w:r>
        <w:rPr>
          <w:spacing w:val="40"/>
          <w:sz w:val="24"/>
        </w:rPr>
        <w:t> </w:t>
      </w:r>
      <w:r>
        <w:rPr>
          <w:sz w:val="24"/>
        </w:rPr>
        <w:t>thereto</w:t>
      </w:r>
      <w:r>
        <w:rPr>
          <w:spacing w:val="40"/>
          <w:sz w:val="24"/>
        </w:rPr>
        <w:t> </w:t>
      </w:r>
      <w:r>
        <w:rPr>
          <w:sz w:val="24"/>
        </w:rPr>
        <w:t>in</w:t>
      </w:r>
      <w:r>
        <w:rPr>
          <w:spacing w:val="40"/>
          <w:sz w:val="24"/>
        </w:rPr>
        <w:t> </w:t>
      </w:r>
      <w:r>
        <w:rPr>
          <w:sz w:val="24"/>
        </w:rPr>
        <w:t>an</w:t>
      </w:r>
      <w:r>
        <w:rPr>
          <w:spacing w:val="40"/>
          <w:sz w:val="24"/>
        </w:rPr>
        <w:t> </w:t>
      </w:r>
      <w:r>
        <w:rPr>
          <w:sz w:val="24"/>
        </w:rPr>
        <w:t>existing</w:t>
      </w:r>
      <w:r>
        <w:rPr>
          <w:spacing w:val="40"/>
          <w:sz w:val="24"/>
        </w:rPr>
        <w:t> </w:t>
      </w:r>
      <w:r>
        <w:rPr>
          <w:sz w:val="24"/>
        </w:rPr>
        <w:t>building</w:t>
      </w:r>
      <w:r>
        <w:rPr>
          <w:spacing w:val="40"/>
          <w:sz w:val="24"/>
        </w:rPr>
        <w:t> </w:t>
      </w:r>
      <w:r>
        <w:rPr>
          <w:sz w:val="24"/>
        </w:rPr>
        <w:t>with</w:t>
      </w:r>
      <w:r>
        <w:rPr>
          <w:spacing w:val="40"/>
          <w:sz w:val="24"/>
        </w:rPr>
        <w:t> </w:t>
      </w:r>
      <w:r>
        <w:rPr>
          <w:sz w:val="24"/>
        </w:rPr>
        <w:t>height</w:t>
      </w:r>
      <w:r>
        <w:rPr>
          <w:spacing w:val="40"/>
          <w:sz w:val="24"/>
        </w:rPr>
        <w:t> </w:t>
      </w:r>
      <w:r>
        <w:rPr>
          <w:sz w:val="24"/>
        </w:rPr>
        <w:t>up to</w:t>
      </w:r>
      <w:r>
        <w:rPr>
          <w:spacing w:val="40"/>
          <w:sz w:val="24"/>
        </w:rPr>
        <w:t> </w:t>
      </w:r>
      <w:r>
        <w:rPr>
          <w:sz w:val="24"/>
        </w:rPr>
        <w:t>16m</w:t>
      </w:r>
      <w:r>
        <w:rPr>
          <w:spacing w:val="40"/>
          <w:sz w:val="24"/>
        </w:rPr>
        <w:t> </w:t>
      </w:r>
      <w:r>
        <w:rPr>
          <w:sz w:val="24"/>
        </w:rPr>
        <w:t>may</w:t>
      </w:r>
      <w:r>
        <w:rPr>
          <w:spacing w:val="40"/>
          <w:sz w:val="24"/>
        </w:rPr>
        <w:t> </w:t>
      </w:r>
      <w:r>
        <w:rPr>
          <w:sz w:val="24"/>
        </w:rPr>
        <w:t>be</w:t>
      </w:r>
      <w:r>
        <w:rPr>
          <w:spacing w:val="77"/>
          <w:sz w:val="24"/>
        </w:rPr>
        <w:t> </w:t>
      </w:r>
      <w:r>
        <w:rPr>
          <w:sz w:val="24"/>
        </w:rPr>
        <w:t>permitted</w:t>
      </w:r>
      <w:r>
        <w:rPr>
          <w:spacing w:val="40"/>
          <w:sz w:val="24"/>
        </w:rPr>
        <w:t> </w:t>
      </w:r>
      <w:r>
        <w:rPr>
          <w:sz w:val="24"/>
        </w:rPr>
        <w:t>with</w:t>
      </w:r>
      <w:r>
        <w:rPr>
          <w:spacing w:val="40"/>
          <w:sz w:val="24"/>
        </w:rPr>
        <w:t> </w:t>
      </w:r>
      <w:r>
        <w:rPr>
          <w:sz w:val="24"/>
        </w:rPr>
        <w:t>the</w:t>
      </w:r>
      <w:r>
        <w:rPr>
          <w:spacing w:val="77"/>
          <w:sz w:val="24"/>
        </w:rPr>
        <w:t> </w:t>
      </w:r>
      <w:r>
        <w:rPr>
          <w:sz w:val="24"/>
        </w:rPr>
        <w:t>permission</w:t>
      </w:r>
      <w:r>
        <w:rPr>
          <w:spacing w:val="80"/>
          <w:sz w:val="24"/>
        </w:rPr>
        <w:t> </w:t>
      </w:r>
      <w:r>
        <w:rPr>
          <w:sz w:val="24"/>
        </w:rPr>
        <w:t>of</w:t>
      </w:r>
      <w:r>
        <w:rPr>
          <w:spacing w:val="40"/>
          <w:sz w:val="24"/>
        </w:rPr>
        <w:t> </w:t>
      </w:r>
      <w:r>
        <w:rPr>
          <w:sz w:val="24"/>
        </w:rPr>
        <w:t>the</w:t>
      </w:r>
      <w:r>
        <w:rPr>
          <w:spacing w:val="77"/>
          <w:sz w:val="24"/>
        </w:rPr>
        <w:t> </w:t>
      </w:r>
      <w:r>
        <w:rPr>
          <w:sz w:val="24"/>
        </w:rPr>
        <w:t>Commissioner.</w:t>
      </w:r>
    </w:p>
    <w:p>
      <w:pPr>
        <w:pStyle w:val="ListParagraph"/>
        <w:numPr>
          <w:ilvl w:val="0"/>
          <w:numId w:val="255"/>
        </w:numPr>
        <w:tabs>
          <w:tab w:pos="1800" w:val="left" w:leader="none"/>
        </w:tabs>
        <w:spacing w:line="240" w:lineRule="auto" w:before="0" w:after="0"/>
        <w:ind w:left="1313" w:right="779" w:firstLine="0"/>
        <w:jc w:val="both"/>
        <w:rPr>
          <w:sz w:val="24"/>
        </w:rPr>
      </w:pPr>
      <w:r>
        <w:rPr>
          <w:b/>
          <w:i/>
          <w:sz w:val="24"/>
        </w:rPr>
        <w:t>Porch: </w:t>
      </w:r>
      <w:r>
        <w:rPr>
          <w:sz w:val="24"/>
        </w:rPr>
        <w:t>A</w:t>
      </w:r>
      <w:r>
        <w:rPr>
          <w:spacing w:val="40"/>
          <w:sz w:val="24"/>
        </w:rPr>
        <w:t> </w:t>
      </w:r>
      <w:r>
        <w:rPr>
          <w:sz w:val="24"/>
        </w:rPr>
        <w:t>porch,</w:t>
      </w:r>
      <w:r>
        <w:rPr>
          <w:spacing w:val="40"/>
          <w:sz w:val="24"/>
        </w:rPr>
        <w:t> </w:t>
      </w:r>
      <w:r>
        <w:rPr>
          <w:sz w:val="24"/>
        </w:rPr>
        <w:t>if</w:t>
      </w:r>
      <w:r>
        <w:rPr>
          <w:spacing w:val="40"/>
          <w:sz w:val="24"/>
        </w:rPr>
        <w:t> </w:t>
      </w:r>
      <w:r>
        <w:rPr>
          <w:sz w:val="24"/>
        </w:rPr>
        <w:t>any,</w:t>
      </w:r>
      <w:r>
        <w:rPr>
          <w:spacing w:val="40"/>
          <w:sz w:val="24"/>
        </w:rPr>
        <w:t> </w:t>
      </w:r>
      <w:r>
        <w:rPr>
          <w:sz w:val="24"/>
        </w:rPr>
        <w:t>shall</w:t>
      </w:r>
      <w:r>
        <w:rPr>
          <w:spacing w:val="40"/>
          <w:sz w:val="24"/>
        </w:rPr>
        <w:t> </w:t>
      </w:r>
      <w:r>
        <w:rPr>
          <w:sz w:val="24"/>
        </w:rPr>
        <w:t>be</w:t>
      </w:r>
      <w:r>
        <w:rPr>
          <w:spacing w:val="40"/>
          <w:sz w:val="24"/>
        </w:rPr>
        <w:t> </w:t>
      </w:r>
      <w:r>
        <w:rPr>
          <w:sz w:val="24"/>
        </w:rPr>
        <w:t>at</w:t>
      </w:r>
      <w:r>
        <w:rPr>
          <w:spacing w:val="40"/>
          <w:sz w:val="24"/>
        </w:rPr>
        <w:t> </w:t>
      </w:r>
      <w:r>
        <w:rPr>
          <w:sz w:val="24"/>
        </w:rPr>
        <w:t>least</w:t>
      </w:r>
      <w:r>
        <w:rPr>
          <w:spacing w:val="40"/>
          <w:sz w:val="24"/>
        </w:rPr>
        <w:t> </w:t>
      </w:r>
      <w:r>
        <w:rPr>
          <w:sz w:val="24"/>
        </w:rPr>
        <w:t>1.5</w:t>
      </w:r>
      <w:r>
        <w:rPr>
          <w:spacing w:val="40"/>
          <w:sz w:val="24"/>
        </w:rPr>
        <w:t> </w:t>
      </w:r>
      <w:r>
        <w:rPr>
          <w:sz w:val="24"/>
        </w:rPr>
        <w:t>m</w:t>
      </w:r>
      <w:r>
        <w:rPr>
          <w:spacing w:val="40"/>
          <w:sz w:val="24"/>
        </w:rPr>
        <w:t> </w:t>
      </w:r>
      <w:r>
        <w:rPr>
          <w:sz w:val="24"/>
        </w:rPr>
        <w:t>clear</w:t>
      </w:r>
      <w:r>
        <w:rPr>
          <w:spacing w:val="40"/>
          <w:sz w:val="24"/>
        </w:rPr>
        <w:t> </w:t>
      </w:r>
      <w:r>
        <w:rPr>
          <w:sz w:val="24"/>
        </w:rPr>
        <w:t>of</w:t>
      </w:r>
      <w:r>
        <w:rPr>
          <w:spacing w:val="40"/>
          <w:sz w:val="24"/>
        </w:rPr>
        <w:t> </w:t>
      </w:r>
      <w:r>
        <w:rPr>
          <w:sz w:val="24"/>
        </w:rPr>
        <w:t>the</w:t>
      </w:r>
      <w:r>
        <w:rPr>
          <w:spacing w:val="40"/>
          <w:sz w:val="24"/>
        </w:rPr>
        <w:t> </w:t>
      </w:r>
      <w:r>
        <w:rPr>
          <w:sz w:val="24"/>
        </w:rPr>
        <w:t>plot boundary,</w:t>
      </w:r>
      <w:r>
        <w:rPr>
          <w:spacing w:val="63"/>
          <w:sz w:val="24"/>
        </w:rPr>
        <w:t> </w:t>
      </w:r>
      <w:r>
        <w:rPr>
          <w:sz w:val="24"/>
        </w:rPr>
        <w:t>shall</w:t>
      </w:r>
      <w:r>
        <w:rPr>
          <w:spacing w:val="65"/>
          <w:sz w:val="24"/>
        </w:rPr>
        <w:t> </w:t>
      </w:r>
      <w:r>
        <w:rPr>
          <w:sz w:val="24"/>
        </w:rPr>
        <w:t>have</w:t>
      </w:r>
      <w:r>
        <w:rPr>
          <w:spacing w:val="63"/>
          <w:sz w:val="24"/>
        </w:rPr>
        <w:t> </w:t>
      </w:r>
      <w:r>
        <w:rPr>
          <w:sz w:val="24"/>
        </w:rPr>
        <w:t>a</w:t>
      </w:r>
      <w:r>
        <w:rPr>
          <w:spacing w:val="65"/>
          <w:sz w:val="24"/>
        </w:rPr>
        <w:t> </w:t>
      </w:r>
      <w:r>
        <w:rPr>
          <w:sz w:val="24"/>
        </w:rPr>
        <w:t>level</w:t>
      </w:r>
      <w:r>
        <w:rPr>
          <w:spacing w:val="65"/>
          <w:sz w:val="24"/>
        </w:rPr>
        <w:t> </w:t>
      </w:r>
      <w:r>
        <w:rPr>
          <w:sz w:val="24"/>
        </w:rPr>
        <w:t>difference</w:t>
      </w:r>
      <w:r>
        <w:rPr>
          <w:spacing w:val="63"/>
          <w:sz w:val="24"/>
        </w:rPr>
        <w:t> </w:t>
      </w:r>
      <w:r>
        <w:rPr>
          <w:sz w:val="24"/>
        </w:rPr>
        <w:t>of</w:t>
      </w:r>
      <w:r>
        <w:rPr>
          <w:spacing w:val="65"/>
          <w:sz w:val="24"/>
        </w:rPr>
        <w:t> </w:t>
      </w:r>
      <w:r>
        <w:rPr>
          <w:sz w:val="24"/>
        </w:rPr>
        <w:t>0.3</w:t>
      </w:r>
      <w:r>
        <w:rPr>
          <w:spacing w:val="65"/>
          <w:sz w:val="24"/>
        </w:rPr>
        <w:t> </w:t>
      </w:r>
      <w:r>
        <w:rPr>
          <w:sz w:val="24"/>
        </w:rPr>
        <w:t>m</w:t>
      </w:r>
      <w:r>
        <w:rPr>
          <w:spacing w:val="65"/>
          <w:sz w:val="24"/>
        </w:rPr>
        <w:t> </w:t>
      </w:r>
      <w:r>
        <w:rPr>
          <w:sz w:val="24"/>
        </w:rPr>
        <w:t>in</w:t>
      </w:r>
      <w:r>
        <w:rPr>
          <w:spacing w:val="65"/>
          <w:sz w:val="24"/>
        </w:rPr>
        <w:t> </w:t>
      </w:r>
      <w:r>
        <w:rPr>
          <w:sz w:val="24"/>
        </w:rPr>
        <w:t>relation</w:t>
      </w:r>
      <w:r>
        <w:rPr>
          <w:spacing w:val="63"/>
          <w:sz w:val="24"/>
        </w:rPr>
        <w:t> </w:t>
      </w:r>
      <w:r>
        <w:rPr>
          <w:sz w:val="24"/>
        </w:rPr>
        <w:t>to</w:t>
      </w:r>
      <w:r>
        <w:rPr>
          <w:spacing w:val="65"/>
          <w:sz w:val="24"/>
        </w:rPr>
        <w:t> </w:t>
      </w:r>
      <w:r>
        <w:rPr>
          <w:sz w:val="24"/>
        </w:rPr>
        <w:t>the</w:t>
      </w:r>
      <w:r>
        <w:rPr>
          <w:spacing w:val="65"/>
          <w:sz w:val="24"/>
        </w:rPr>
        <w:t> </w:t>
      </w:r>
      <w:r>
        <w:rPr>
          <w:spacing w:val="9"/>
          <w:sz w:val="24"/>
        </w:rPr>
        <w:t>level </w:t>
      </w:r>
      <w:r>
        <w:rPr>
          <w:sz w:val="24"/>
        </w:rPr>
        <w:t>of the floor; the area of a porch upto 5.5 m in length (parallel to the main building)</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counted</w:t>
      </w:r>
      <w:r>
        <w:rPr>
          <w:spacing w:val="40"/>
          <w:sz w:val="24"/>
        </w:rPr>
        <w:t> </w:t>
      </w:r>
      <w:r>
        <w:rPr>
          <w:sz w:val="24"/>
        </w:rPr>
        <w:t>towards</w:t>
      </w:r>
      <w:r>
        <w:rPr>
          <w:spacing w:val="40"/>
          <w:sz w:val="24"/>
        </w:rPr>
        <w:t> </w:t>
      </w:r>
      <w:r>
        <w:rPr>
          <w:sz w:val="24"/>
        </w:rPr>
        <w:t>FSI.</w:t>
      </w:r>
      <w:r>
        <w:rPr>
          <w:spacing w:val="40"/>
          <w:sz w:val="24"/>
        </w:rPr>
        <w:t> </w:t>
      </w:r>
      <w:r>
        <w:rPr>
          <w:sz w:val="24"/>
        </w:rPr>
        <w:t>A</w:t>
      </w:r>
      <w:r>
        <w:rPr>
          <w:spacing w:val="40"/>
          <w:sz w:val="24"/>
        </w:rPr>
        <w:t> </w:t>
      </w:r>
      <w:r>
        <w:rPr>
          <w:sz w:val="24"/>
        </w:rPr>
        <w:t>parapet</w:t>
      </w:r>
      <w:r>
        <w:rPr>
          <w:spacing w:val="40"/>
          <w:sz w:val="24"/>
        </w:rPr>
        <w:t> </w:t>
      </w:r>
      <w:r>
        <w:rPr>
          <w:sz w:val="24"/>
        </w:rPr>
        <w:t>wall</w:t>
      </w:r>
      <w:r>
        <w:rPr>
          <w:spacing w:val="40"/>
          <w:sz w:val="24"/>
        </w:rPr>
        <w:t> </w:t>
      </w:r>
      <w:r>
        <w:rPr>
          <w:sz w:val="24"/>
        </w:rPr>
        <w:t>0.23</w:t>
      </w:r>
      <w:r>
        <w:rPr>
          <w:spacing w:val="40"/>
          <w:sz w:val="24"/>
        </w:rPr>
        <w:t> </w:t>
      </w:r>
      <w:r>
        <w:rPr>
          <w:sz w:val="24"/>
        </w:rPr>
        <w:t>m</w:t>
      </w:r>
      <w:r>
        <w:rPr>
          <w:spacing w:val="40"/>
          <w:sz w:val="24"/>
        </w:rPr>
        <w:t> </w:t>
      </w:r>
      <w:r>
        <w:rPr>
          <w:sz w:val="24"/>
        </w:rPr>
        <w:t>in height</w:t>
      </w:r>
      <w:r>
        <w:rPr>
          <w:spacing w:val="40"/>
          <w:sz w:val="24"/>
        </w:rPr>
        <w:t> </w:t>
      </w:r>
      <w:r>
        <w:rPr>
          <w:sz w:val="24"/>
        </w:rPr>
        <w:t>is</w:t>
      </w:r>
      <w:r>
        <w:rPr>
          <w:spacing w:val="40"/>
          <w:sz w:val="24"/>
        </w:rPr>
        <w:t> </w:t>
      </w:r>
      <w:r>
        <w:rPr>
          <w:sz w:val="24"/>
        </w:rPr>
        <w:t>permissible</w:t>
      </w:r>
      <w:r>
        <w:rPr>
          <w:spacing w:val="40"/>
          <w:sz w:val="24"/>
        </w:rPr>
        <w:t> </w:t>
      </w:r>
      <w:r>
        <w:rPr>
          <w:sz w:val="24"/>
        </w:rPr>
        <w:t>over</w:t>
      </w:r>
      <w:r>
        <w:rPr>
          <w:spacing w:val="40"/>
          <w:sz w:val="24"/>
        </w:rPr>
        <w:t> </w:t>
      </w:r>
      <w:r>
        <w:rPr>
          <w:sz w:val="24"/>
        </w:rPr>
        <w:t>a</w:t>
      </w:r>
      <w:r>
        <w:rPr>
          <w:spacing w:val="40"/>
          <w:sz w:val="24"/>
        </w:rPr>
        <w:t> </w:t>
      </w:r>
      <w:r>
        <w:rPr>
          <w:sz w:val="24"/>
        </w:rPr>
        <w:t>porch.</w:t>
      </w:r>
      <w:r>
        <w:rPr>
          <w:spacing w:val="40"/>
          <w:sz w:val="24"/>
        </w:rPr>
        <w:t> </w:t>
      </w:r>
      <w:r>
        <w:rPr>
          <w:sz w:val="24"/>
        </w:rPr>
        <w:t>The</w:t>
      </w:r>
      <w:r>
        <w:rPr>
          <w:spacing w:val="40"/>
          <w:sz w:val="24"/>
        </w:rPr>
        <w:t> </w:t>
      </w:r>
      <w:r>
        <w:rPr>
          <w:sz w:val="24"/>
        </w:rPr>
        <w:t>Commissioner</w:t>
      </w:r>
      <w:r>
        <w:rPr>
          <w:spacing w:val="40"/>
          <w:sz w:val="24"/>
        </w:rPr>
        <w:t> </w:t>
      </w:r>
      <w:r>
        <w:rPr>
          <w:sz w:val="24"/>
        </w:rPr>
        <w:t>may</w:t>
      </w:r>
      <w:r>
        <w:rPr>
          <w:spacing w:val="40"/>
          <w:sz w:val="24"/>
        </w:rPr>
        <w:t> </w:t>
      </w:r>
      <w:r>
        <w:rPr>
          <w:sz w:val="24"/>
        </w:rPr>
        <w:t>permit</w:t>
      </w:r>
      <w:r>
        <w:rPr>
          <w:spacing w:val="40"/>
          <w:sz w:val="24"/>
        </w:rPr>
        <w:t> </w:t>
      </w:r>
      <w:r>
        <w:rPr>
          <w:sz w:val="24"/>
        </w:rPr>
        <w:t>larger</w:t>
      </w:r>
    </w:p>
    <w:p>
      <w:pPr>
        <w:pStyle w:val="ListParagraph"/>
        <w:spacing w:after="0" w:line="240" w:lineRule="auto"/>
        <w:jc w:val="both"/>
        <w:rPr>
          <w:sz w:val="24"/>
        </w:rPr>
        <w:sectPr>
          <w:pgSz w:w="11910" w:h="16840"/>
          <w:pgMar w:header="1058" w:footer="1201" w:top="1500" w:bottom="1400" w:left="360" w:right="360"/>
        </w:sectPr>
      </w:pPr>
    </w:p>
    <w:p>
      <w:pPr>
        <w:pStyle w:val="BodyText"/>
        <w:spacing w:before="255"/>
        <w:ind w:left="1313" w:right="785"/>
      </w:pPr>
      <w:r>
        <w:rPr/>
        <w:t>porches</w:t>
      </w:r>
      <w:r>
        <w:rPr>
          <w:spacing w:val="40"/>
        </w:rPr>
        <w:t> </w:t>
      </w:r>
      <w:r>
        <w:rPr/>
        <w:t>for</w:t>
      </w:r>
      <w:r>
        <w:rPr>
          <w:spacing w:val="40"/>
        </w:rPr>
        <w:t> </w:t>
      </w:r>
      <w:r>
        <w:rPr/>
        <w:t>mercantile,</w:t>
      </w:r>
      <w:r>
        <w:rPr>
          <w:spacing w:val="40"/>
        </w:rPr>
        <w:t> </w:t>
      </w:r>
      <w:r>
        <w:rPr>
          <w:color w:val="000000"/>
          <w:shd w:fill="FFCCFF" w:color="auto" w:val="clear"/>
        </w:rPr>
        <w:t>institutional,</w:t>
      </w:r>
      <w:r>
        <w:rPr>
          <w:color w:val="000000"/>
          <w:spacing w:val="40"/>
          <w:shd w:fill="FFCCFF" w:color="auto" w:val="clear"/>
        </w:rPr>
        <w:t> </w:t>
      </w:r>
      <w:r>
        <w:rPr>
          <w:color w:val="000000"/>
          <w:shd w:fill="FFCCFF" w:color="auto" w:val="clear"/>
        </w:rPr>
        <w:t>IT,</w:t>
      </w:r>
      <w:r>
        <w:rPr>
          <w:color w:val="000000"/>
          <w:spacing w:val="40"/>
          <w:shd w:fill="FFCCFF" w:color="auto" w:val="clear"/>
        </w:rPr>
        <w:t> </w:t>
      </w:r>
      <w:r>
        <w:rPr>
          <w:color w:val="000000"/>
          <w:shd w:fill="FFCCFF" w:color="auto" w:val="clear"/>
        </w:rPr>
        <w:t>Mall,</w:t>
      </w:r>
      <w:r>
        <w:rPr>
          <w:color w:val="000000"/>
          <w:spacing w:val="40"/>
          <w:shd w:fill="FFCCFF" w:color="auto" w:val="clear"/>
        </w:rPr>
        <w:t> </w:t>
      </w:r>
      <w:r>
        <w:rPr>
          <w:color w:val="000000"/>
          <w:shd w:fill="FFCCFF" w:color="auto" w:val="clear"/>
        </w:rPr>
        <w:t>Commercial,</w:t>
      </w:r>
      <w:r>
        <w:rPr>
          <w:color w:val="000000"/>
          <w:spacing w:val="40"/>
          <w:shd w:fill="FFCCFF" w:color="auto" w:val="clear"/>
        </w:rPr>
        <w:t> </w:t>
      </w:r>
      <w:r>
        <w:rPr>
          <w:color w:val="000000"/>
        </w:rPr>
        <w:t>hotel</w:t>
      </w:r>
      <w:r>
        <w:rPr>
          <w:color w:val="000000"/>
          <w:spacing w:val="40"/>
        </w:rPr>
        <w:t> </w:t>
      </w:r>
      <w:r>
        <w:rPr>
          <w:color w:val="000000"/>
        </w:rPr>
        <w:t>and public </w:t>
      </w:r>
      <w:r>
        <w:rPr>
          <w:color w:val="000000"/>
          <w:spacing w:val="9"/>
        </w:rPr>
        <w:t>buildings.</w:t>
      </w:r>
    </w:p>
    <w:p>
      <w:pPr>
        <w:pStyle w:val="BodyText"/>
        <w:spacing w:before="281"/>
        <w:ind w:left="1313" w:right="780"/>
      </w:pPr>
      <w:r>
        <w:rPr/>
        <w:t>)</w:t>
      </w:r>
      <w:r>
        <w:rPr>
          <w:b/>
          <w:i/>
        </w:rPr>
        <w:t>(19)</w:t>
      </w:r>
      <w:r>
        <w:rPr>
          <w:b/>
          <w:i/>
          <w:spacing w:val="40"/>
        </w:rPr>
        <w:t> </w:t>
      </w:r>
      <w:r>
        <w:rPr>
          <w:b/>
          <w:i/>
        </w:rPr>
        <w:t>Canopy:</w:t>
      </w:r>
      <w:r>
        <w:rPr>
          <w:b/>
          <w:i/>
          <w:spacing w:val="40"/>
        </w:rPr>
        <w:t> </w:t>
      </w:r>
      <w:r>
        <w:rPr/>
        <w:t>A</w:t>
      </w:r>
      <w:r>
        <w:rPr>
          <w:spacing w:val="80"/>
        </w:rPr>
        <w:t> </w:t>
      </w:r>
      <w:r>
        <w:rPr/>
        <w:t>cantilevered</w:t>
      </w:r>
      <w:r>
        <w:rPr>
          <w:spacing w:val="80"/>
        </w:rPr>
        <w:t> </w:t>
      </w:r>
      <w:r>
        <w:rPr/>
        <w:t>and</w:t>
      </w:r>
      <w:r>
        <w:rPr>
          <w:spacing w:val="80"/>
        </w:rPr>
        <w:t> </w:t>
      </w:r>
      <w:r>
        <w:rPr>
          <w:spacing w:val="11"/>
        </w:rPr>
        <w:t>un-</w:t>
      </w:r>
      <w:r>
        <w:rPr/>
        <w:t>enclosed</w:t>
      </w:r>
      <w:r>
        <w:rPr>
          <w:spacing w:val="80"/>
        </w:rPr>
        <w:t> </w:t>
      </w:r>
      <w:r>
        <w:rPr/>
        <w:t>canopy</w:t>
      </w:r>
      <w:r>
        <w:rPr>
          <w:spacing w:val="80"/>
        </w:rPr>
        <w:t> </w:t>
      </w:r>
      <w:r>
        <w:rPr/>
        <w:t>with</w:t>
      </w:r>
      <w:r>
        <w:rPr>
          <w:spacing w:val="80"/>
        </w:rPr>
        <w:t> </w:t>
      </w:r>
      <w:r>
        <w:rPr/>
        <w:t>level difference</w:t>
      </w:r>
      <w:r>
        <w:rPr>
          <w:spacing w:val="40"/>
        </w:rPr>
        <w:t> </w:t>
      </w:r>
      <w:r>
        <w:rPr/>
        <w:t>of</w:t>
      </w:r>
      <w:r>
        <w:rPr>
          <w:spacing w:val="40"/>
        </w:rPr>
        <w:t> </w:t>
      </w:r>
      <w:r>
        <w:rPr/>
        <w:t>0.3</w:t>
      </w:r>
      <w:r>
        <w:rPr>
          <w:spacing w:val="40"/>
        </w:rPr>
        <w:t> </w:t>
      </w:r>
      <w:r>
        <w:rPr/>
        <w:t>m</w:t>
      </w:r>
      <w:r>
        <w:rPr>
          <w:spacing w:val="40"/>
        </w:rPr>
        <w:t> </w:t>
      </w:r>
      <w:r>
        <w:rPr/>
        <w:t>in</w:t>
      </w:r>
      <w:r>
        <w:rPr>
          <w:spacing w:val="40"/>
        </w:rPr>
        <w:t> </w:t>
      </w:r>
      <w:r>
        <w:rPr/>
        <w:t>relation</w:t>
      </w:r>
      <w:r>
        <w:rPr>
          <w:spacing w:val="40"/>
        </w:rPr>
        <w:t> </w:t>
      </w:r>
      <w:r>
        <w:rPr/>
        <w:t>to</w:t>
      </w:r>
      <w:r>
        <w:rPr>
          <w:spacing w:val="40"/>
        </w:rPr>
        <w:t> </w:t>
      </w:r>
      <w:r>
        <w:rPr/>
        <w:t>the</w:t>
      </w:r>
      <w:r>
        <w:rPr>
          <w:spacing w:val="40"/>
        </w:rPr>
        <w:t> </w:t>
      </w:r>
      <w:r>
        <w:rPr/>
        <w:t>floor</w:t>
      </w:r>
      <w:r>
        <w:rPr>
          <w:spacing w:val="40"/>
        </w:rPr>
        <w:t> </w:t>
      </w:r>
      <w:r>
        <w:rPr/>
        <w:t>level</w:t>
      </w:r>
      <w:r>
        <w:rPr>
          <w:spacing w:val="40"/>
        </w:rPr>
        <w:t> </w:t>
      </w:r>
      <w:r>
        <w:rPr/>
        <w:t>may</w:t>
      </w:r>
      <w:r>
        <w:rPr>
          <w:spacing w:val="40"/>
        </w:rPr>
        <w:t> </w:t>
      </w:r>
      <w:r>
        <w:rPr/>
        <w:t>be</w:t>
      </w:r>
      <w:r>
        <w:rPr>
          <w:spacing w:val="40"/>
        </w:rPr>
        <w:t> </w:t>
      </w:r>
      <w:r>
        <w:rPr/>
        <w:t>permitted</w:t>
      </w:r>
      <w:r>
        <w:rPr>
          <w:spacing w:val="40"/>
        </w:rPr>
        <w:t> </w:t>
      </w:r>
      <w:r>
        <w:rPr/>
        <w:t>over each entrance and staircase, if a clear distance of at least 1.5 m is maintained between the</w:t>
      </w:r>
      <w:r>
        <w:rPr>
          <w:spacing w:val="40"/>
        </w:rPr>
        <w:t> </w:t>
      </w:r>
      <w:r>
        <w:rPr/>
        <w:t>plot</w:t>
      </w:r>
      <w:r>
        <w:rPr>
          <w:spacing w:val="40"/>
        </w:rPr>
        <w:t> </w:t>
      </w:r>
      <w:r>
        <w:rPr/>
        <w:t>boundary and the</w:t>
      </w:r>
      <w:r>
        <w:rPr>
          <w:spacing w:val="40"/>
        </w:rPr>
        <w:t> </w:t>
      </w:r>
      <w:r>
        <w:rPr/>
        <w:t>outer edge of</w:t>
      </w:r>
      <w:r>
        <w:rPr>
          <w:spacing w:val="40"/>
        </w:rPr>
        <w:t> </w:t>
      </w:r>
      <w:r>
        <w:rPr/>
        <w:t>the</w:t>
      </w:r>
      <w:r>
        <w:rPr>
          <w:spacing w:val="40"/>
        </w:rPr>
        <w:t> </w:t>
      </w:r>
      <w:r>
        <w:rPr/>
        <w:t>canopy. The</w:t>
      </w:r>
      <w:r>
        <w:rPr>
          <w:spacing w:val="40"/>
        </w:rPr>
        <w:t> </w:t>
      </w:r>
      <w:r>
        <w:rPr/>
        <w:t>minimum</w:t>
      </w:r>
      <w:r>
        <w:rPr>
          <w:spacing w:val="40"/>
        </w:rPr>
        <w:t> </w:t>
      </w:r>
      <w:r>
        <w:rPr/>
        <w:t>clear</w:t>
      </w:r>
      <w:r>
        <w:rPr>
          <w:spacing w:val="40"/>
        </w:rPr>
        <w:t> </w:t>
      </w:r>
      <w:r>
        <w:rPr/>
        <w:t>height</w:t>
      </w:r>
      <w:r>
        <w:rPr>
          <w:spacing w:val="40"/>
        </w:rPr>
        <w:t> </w:t>
      </w:r>
      <w:r>
        <w:rPr/>
        <w:t>of</w:t>
      </w:r>
      <w:r>
        <w:rPr>
          <w:spacing w:val="40"/>
        </w:rPr>
        <w:t> </w:t>
      </w:r>
      <w:r>
        <w:rPr/>
        <w:t>the</w:t>
      </w:r>
      <w:r>
        <w:rPr>
          <w:spacing w:val="40"/>
        </w:rPr>
        <w:t> </w:t>
      </w:r>
      <w:r>
        <w:rPr/>
        <w:t>canopy</w:t>
      </w:r>
      <w:r>
        <w:rPr>
          <w:spacing w:val="40"/>
        </w:rPr>
        <w:t> </w:t>
      </w:r>
      <w:r>
        <w:rPr/>
        <w:t>shall</w:t>
      </w:r>
      <w:r>
        <w:rPr>
          <w:spacing w:val="40"/>
        </w:rPr>
        <w:t> </w:t>
      </w:r>
      <w:r>
        <w:rPr/>
        <w:t>be</w:t>
      </w:r>
      <w:r>
        <w:rPr>
          <w:spacing w:val="40"/>
        </w:rPr>
        <w:t> </w:t>
      </w:r>
      <w:r>
        <w:rPr/>
        <w:t>2.2</w:t>
      </w:r>
      <w:r>
        <w:rPr>
          <w:spacing w:val="40"/>
        </w:rPr>
        <w:t> </w:t>
      </w:r>
      <w:r>
        <w:rPr/>
        <w:t>m.</w:t>
      </w:r>
      <w:r>
        <w:rPr>
          <w:spacing w:val="40"/>
        </w:rPr>
        <w:t> </w:t>
      </w:r>
      <w:r>
        <w:rPr/>
        <w:t>The Commissioner</w:t>
      </w:r>
      <w:r>
        <w:rPr>
          <w:spacing w:val="80"/>
        </w:rPr>
        <w:t> </w:t>
      </w:r>
      <w:r>
        <w:rPr/>
        <w:t>may</w:t>
      </w:r>
      <w:r>
        <w:rPr>
          <w:spacing w:val="80"/>
        </w:rPr>
        <w:t> </w:t>
      </w:r>
      <w:r>
        <w:rPr/>
        <w:t>permit</w:t>
      </w:r>
      <w:r>
        <w:rPr>
          <w:spacing w:val="80"/>
        </w:rPr>
        <w:t> </w:t>
      </w:r>
      <w:r>
        <w:rPr/>
        <w:t>larger</w:t>
      </w:r>
      <w:r>
        <w:rPr>
          <w:spacing w:val="80"/>
        </w:rPr>
        <w:t> </w:t>
      </w:r>
      <w:r>
        <w:rPr/>
        <w:t>canopies</w:t>
      </w:r>
      <w:r>
        <w:rPr>
          <w:spacing w:val="80"/>
        </w:rPr>
        <w:t> </w:t>
      </w:r>
      <w:r>
        <w:rPr/>
        <w:t>for</w:t>
      </w:r>
      <w:r>
        <w:rPr>
          <w:spacing w:val="80"/>
        </w:rPr>
        <w:t> </w:t>
      </w:r>
      <w:r>
        <w:rPr/>
        <w:t>mercantile,</w:t>
      </w:r>
      <w:r>
        <w:rPr>
          <w:spacing w:val="80"/>
        </w:rPr>
        <w:t> </w:t>
      </w:r>
      <w:r>
        <w:rPr>
          <w:color w:val="000000"/>
          <w:shd w:fill="FFCCFF" w:color="auto" w:val="clear"/>
        </w:rPr>
        <w:t>institutional,</w:t>
      </w:r>
      <w:r>
        <w:rPr>
          <w:color w:val="000000"/>
        </w:rPr>
        <w:t> </w:t>
      </w:r>
      <w:r>
        <w:rPr>
          <w:color w:val="000000"/>
          <w:shd w:fill="FFCCFF" w:color="auto" w:val="clear"/>
        </w:rPr>
        <w:t>IT,</w:t>
      </w:r>
      <w:r>
        <w:rPr>
          <w:color w:val="000000"/>
          <w:spacing w:val="80"/>
          <w:shd w:fill="FFCCFF" w:color="auto" w:val="clear"/>
        </w:rPr>
        <w:t> </w:t>
      </w:r>
      <w:r>
        <w:rPr>
          <w:color w:val="000000"/>
          <w:shd w:fill="FFCCFF" w:color="auto" w:val="clear"/>
        </w:rPr>
        <w:t>Mall,</w:t>
      </w:r>
      <w:r>
        <w:rPr>
          <w:color w:val="000000"/>
          <w:spacing w:val="80"/>
          <w:shd w:fill="FFCCFF" w:color="auto" w:val="clear"/>
        </w:rPr>
        <w:t> </w:t>
      </w:r>
      <w:r>
        <w:rPr>
          <w:color w:val="000000"/>
          <w:shd w:fill="FFCCFF" w:color="auto" w:val="clear"/>
        </w:rPr>
        <w:t>Commercial</w:t>
      </w:r>
      <w:r>
        <w:rPr>
          <w:color w:val="000000"/>
        </w:rPr>
        <w:t>hotel</w:t>
      </w:r>
      <w:r>
        <w:rPr>
          <w:color w:val="000000"/>
          <w:spacing w:val="80"/>
        </w:rPr>
        <w:t> </w:t>
      </w:r>
      <w:r>
        <w:rPr>
          <w:color w:val="000000"/>
        </w:rPr>
        <w:t>and</w:t>
      </w:r>
      <w:r>
        <w:rPr>
          <w:color w:val="000000"/>
          <w:spacing w:val="80"/>
        </w:rPr>
        <w:t> </w:t>
      </w:r>
      <w:r>
        <w:rPr>
          <w:color w:val="000000"/>
        </w:rPr>
        <w:t>public</w:t>
      </w:r>
      <w:r>
        <w:rPr>
          <w:color w:val="000000"/>
          <w:spacing w:val="80"/>
        </w:rPr>
        <w:t> </w:t>
      </w:r>
      <w:r>
        <w:rPr>
          <w:color w:val="000000"/>
        </w:rPr>
        <w:t>buildings.</w:t>
      </w:r>
    </w:p>
    <w:p>
      <w:pPr>
        <w:pStyle w:val="ListParagraph"/>
        <w:numPr>
          <w:ilvl w:val="0"/>
          <w:numId w:val="259"/>
        </w:numPr>
        <w:tabs>
          <w:tab w:pos="1910" w:val="left" w:leader="none"/>
        </w:tabs>
        <w:spacing w:line="240" w:lineRule="auto" w:before="238" w:after="0"/>
        <w:ind w:left="1910" w:right="0" w:hanging="597"/>
        <w:jc w:val="both"/>
        <w:rPr>
          <w:b/>
          <w:sz w:val="24"/>
        </w:rPr>
      </w:pPr>
      <w:r>
        <w:rPr>
          <w:b/>
          <w:i/>
          <w:sz w:val="24"/>
        </w:rPr>
        <w:t>Balcony:</w:t>
      </w:r>
      <w:r>
        <w:rPr>
          <w:b/>
          <w:i/>
          <w:spacing w:val="47"/>
          <w:sz w:val="24"/>
        </w:rPr>
        <w:t>  </w:t>
      </w:r>
      <w:r>
        <w:rPr>
          <w:sz w:val="24"/>
        </w:rPr>
        <w:t>Balconies</w:t>
      </w:r>
      <w:r>
        <w:rPr>
          <w:spacing w:val="52"/>
          <w:sz w:val="24"/>
        </w:rPr>
        <w:t> </w:t>
      </w:r>
      <w:r>
        <w:rPr>
          <w:sz w:val="24"/>
        </w:rPr>
        <w:t>may</w:t>
      </w:r>
      <w:r>
        <w:rPr>
          <w:spacing w:val="53"/>
          <w:sz w:val="24"/>
        </w:rPr>
        <w:t> </w:t>
      </w:r>
      <w:r>
        <w:rPr>
          <w:sz w:val="24"/>
        </w:rPr>
        <w:t>be</w:t>
      </w:r>
      <w:r>
        <w:rPr>
          <w:spacing w:val="57"/>
          <w:sz w:val="24"/>
        </w:rPr>
        <w:t> </w:t>
      </w:r>
      <w:r>
        <w:rPr>
          <w:sz w:val="24"/>
        </w:rPr>
        <w:t>permitted</w:t>
      </w:r>
      <w:r>
        <w:rPr>
          <w:spacing w:val="52"/>
          <w:sz w:val="24"/>
        </w:rPr>
        <w:t> </w:t>
      </w:r>
      <w:r>
        <w:rPr>
          <w:sz w:val="24"/>
        </w:rPr>
        <w:t>at</w:t>
      </w:r>
      <w:r>
        <w:rPr>
          <w:spacing w:val="57"/>
          <w:sz w:val="24"/>
        </w:rPr>
        <w:t> </w:t>
      </w:r>
      <w:r>
        <w:rPr>
          <w:sz w:val="24"/>
        </w:rPr>
        <w:t>each</w:t>
      </w:r>
      <w:r>
        <w:rPr>
          <w:spacing w:val="57"/>
          <w:sz w:val="24"/>
        </w:rPr>
        <w:t> </w:t>
      </w:r>
      <w:r>
        <w:rPr>
          <w:spacing w:val="-2"/>
          <w:sz w:val="24"/>
        </w:rPr>
        <w:t>floor.</w:t>
      </w:r>
    </w:p>
    <w:p>
      <w:pPr>
        <w:pStyle w:val="ListParagraph"/>
        <w:numPr>
          <w:ilvl w:val="1"/>
          <w:numId w:val="259"/>
        </w:numPr>
        <w:tabs>
          <w:tab w:pos="1673" w:val="left" w:leader="none"/>
        </w:tabs>
        <w:spacing w:line="240" w:lineRule="auto" w:before="4" w:after="0"/>
        <w:ind w:left="1313" w:right="771" w:firstLine="0"/>
        <w:jc w:val="both"/>
        <w:rPr>
          <w:sz w:val="24"/>
        </w:rPr>
      </w:pPr>
      <w:r>
        <w:rPr>
          <w:sz w:val="24"/>
        </w:rPr>
        <w:t>No</w:t>
      </w:r>
      <w:r>
        <w:rPr>
          <w:spacing w:val="40"/>
          <w:sz w:val="24"/>
        </w:rPr>
        <w:t> </w:t>
      </w:r>
      <w:r>
        <w:rPr>
          <w:sz w:val="24"/>
        </w:rPr>
        <w:t>balcony</w:t>
      </w:r>
      <w:r>
        <w:rPr>
          <w:spacing w:val="40"/>
          <w:sz w:val="24"/>
        </w:rPr>
        <w:t> </w:t>
      </w:r>
      <w:r>
        <w:rPr>
          <w:sz w:val="24"/>
        </w:rPr>
        <w:t>shall</w:t>
      </w:r>
      <w:r>
        <w:rPr>
          <w:spacing w:val="40"/>
          <w:sz w:val="24"/>
        </w:rPr>
        <w:t> </w:t>
      </w:r>
      <w:r>
        <w:rPr>
          <w:sz w:val="24"/>
        </w:rPr>
        <w:t>reduce</w:t>
      </w:r>
      <w:r>
        <w:rPr>
          <w:spacing w:val="40"/>
          <w:sz w:val="24"/>
        </w:rPr>
        <w:t> </w:t>
      </w:r>
      <w:r>
        <w:rPr>
          <w:sz w:val="24"/>
        </w:rPr>
        <w:t>the</w:t>
      </w:r>
      <w:r>
        <w:rPr>
          <w:spacing w:val="40"/>
          <w:sz w:val="24"/>
        </w:rPr>
        <w:t> </w:t>
      </w:r>
      <w:r>
        <w:rPr>
          <w:sz w:val="24"/>
        </w:rPr>
        <w:t>minimum</w:t>
      </w:r>
      <w:r>
        <w:rPr>
          <w:spacing w:val="40"/>
          <w:sz w:val="24"/>
        </w:rPr>
        <w:t> </w:t>
      </w:r>
      <w:r>
        <w:rPr>
          <w:sz w:val="24"/>
        </w:rPr>
        <w:t>marginal</w:t>
      </w:r>
      <w:r>
        <w:rPr>
          <w:spacing w:val="40"/>
          <w:sz w:val="24"/>
        </w:rPr>
        <w:t> </w:t>
      </w:r>
      <w:r>
        <w:rPr>
          <w:sz w:val="24"/>
        </w:rPr>
        <w:t>open</w:t>
      </w:r>
      <w:r>
        <w:rPr>
          <w:spacing w:val="40"/>
          <w:sz w:val="24"/>
        </w:rPr>
        <w:t> </w:t>
      </w:r>
      <w:r>
        <w:rPr>
          <w:sz w:val="24"/>
        </w:rPr>
        <w:t>space</w:t>
      </w:r>
      <w:r>
        <w:rPr>
          <w:spacing w:val="40"/>
          <w:sz w:val="24"/>
        </w:rPr>
        <w:t> </w:t>
      </w:r>
      <w:r>
        <w:rPr>
          <w:sz w:val="24"/>
        </w:rPr>
        <w:t>to</w:t>
      </w:r>
      <w:r>
        <w:rPr>
          <w:spacing w:val="40"/>
          <w:sz w:val="24"/>
        </w:rPr>
        <w:t> </w:t>
      </w:r>
      <w:r>
        <w:rPr>
          <w:sz w:val="24"/>
        </w:rPr>
        <w:t>less than 3 m at the rear and sides and 1.5m in the front. The width of the balcony</w:t>
      </w:r>
      <w:r>
        <w:rPr>
          <w:spacing w:val="80"/>
          <w:sz w:val="24"/>
        </w:rPr>
        <w:t> </w:t>
      </w:r>
      <w:r>
        <w:rPr>
          <w:sz w:val="24"/>
        </w:rPr>
        <w:t>will</w:t>
      </w:r>
      <w:r>
        <w:rPr>
          <w:spacing w:val="80"/>
          <w:sz w:val="24"/>
        </w:rPr>
        <w:t> </w:t>
      </w:r>
      <w:r>
        <w:rPr>
          <w:sz w:val="24"/>
        </w:rPr>
        <w:t>be</w:t>
      </w:r>
      <w:r>
        <w:rPr>
          <w:spacing w:val="80"/>
          <w:sz w:val="24"/>
        </w:rPr>
        <w:t> </w:t>
      </w:r>
      <w:r>
        <w:rPr>
          <w:sz w:val="24"/>
        </w:rPr>
        <w:t>measured</w:t>
      </w:r>
      <w:r>
        <w:rPr>
          <w:spacing w:val="80"/>
          <w:sz w:val="24"/>
        </w:rPr>
        <w:t> </w:t>
      </w:r>
      <w:r>
        <w:rPr>
          <w:sz w:val="24"/>
        </w:rPr>
        <w:t>perpendicular</w:t>
      </w:r>
      <w:r>
        <w:rPr>
          <w:spacing w:val="80"/>
          <w:sz w:val="24"/>
        </w:rPr>
        <w:t> </w:t>
      </w:r>
      <w:r>
        <w:rPr>
          <w:sz w:val="24"/>
        </w:rPr>
        <w:t>to</w:t>
      </w:r>
      <w:r>
        <w:rPr>
          <w:spacing w:val="80"/>
          <w:sz w:val="24"/>
        </w:rPr>
        <w:t> </w:t>
      </w:r>
      <w:r>
        <w:rPr>
          <w:sz w:val="24"/>
        </w:rPr>
        <w:t>the</w:t>
      </w:r>
      <w:r>
        <w:rPr>
          <w:spacing w:val="80"/>
          <w:sz w:val="24"/>
        </w:rPr>
        <w:t> </w:t>
      </w:r>
      <w:r>
        <w:rPr>
          <w:sz w:val="24"/>
        </w:rPr>
        <w:t>building</w:t>
      </w:r>
      <w:r>
        <w:rPr>
          <w:spacing w:val="80"/>
          <w:sz w:val="24"/>
        </w:rPr>
        <w:t> </w:t>
      </w:r>
      <w:r>
        <w:rPr>
          <w:sz w:val="24"/>
        </w:rPr>
        <w:t>line</w:t>
      </w:r>
      <w:r>
        <w:rPr>
          <w:spacing w:val="80"/>
          <w:sz w:val="24"/>
        </w:rPr>
        <w:t> </w:t>
      </w:r>
      <w:r>
        <w:rPr>
          <w:sz w:val="24"/>
        </w:rPr>
        <w:t>and reckoned</w:t>
      </w:r>
      <w:r>
        <w:rPr>
          <w:spacing w:val="40"/>
          <w:sz w:val="24"/>
        </w:rPr>
        <w:t> </w:t>
      </w:r>
      <w:r>
        <w:rPr>
          <w:sz w:val="24"/>
        </w:rPr>
        <w:t>from</w:t>
      </w:r>
      <w:r>
        <w:rPr>
          <w:spacing w:val="40"/>
          <w:sz w:val="24"/>
        </w:rPr>
        <w:t> </w:t>
      </w:r>
      <w:r>
        <w:rPr>
          <w:sz w:val="24"/>
        </w:rPr>
        <w:t>that</w:t>
      </w:r>
      <w:r>
        <w:rPr>
          <w:spacing w:val="40"/>
          <w:sz w:val="24"/>
        </w:rPr>
        <w:t> </w:t>
      </w:r>
      <w:r>
        <w:rPr>
          <w:sz w:val="24"/>
        </w:rPr>
        <w:t>line</w:t>
      </w:r>
      <w:r>
        <w:rPr>
          <w:spacing w:val="40"/>
          <w:sz w:val="24"/>
        </w:rPr>
        <w:t> </w:t>
      </w:r>
      <w:r>
        <w:rPr>
          <w:sz w:val="24"/>
        </w:rPr>
        <w:t>to</w:t>
      </w:r>
      <w:r>
        <w:rPr>
          <w:spacing w:val="40"/>
          <w:sz w:val="24"/>
        </w:rPr>
        <w:t> </w:t>
      </w:r>
      <w:r>
        <w:rPr>
          <w:sz w:val="24"/>
        </w:rPr>
        <w:t>the</w:t>
      </w:r>
      <w:r>
        <w:rPr>
          <w:spacing w:val="40"/>
          <w:sz w:val="24"/>
        </w:rPr>
        <w:t> </w:t>
      </w:r>
      <w:r>
        <w:rPr>
          <w:sz w:val="24"/>
        </w:rPr>
        <w:t>balcony's</w:t>
      </w:r>
      <w:r>
        <w:rPr>
          <w:spacing w:val="40"/>
          <w:sz w:val="24"/>
        </w:rPr>
        <w:t> </w:t>
      </w:r>
      <w:r>
        <w:rPr>
          <w:sz w:val="24"/>
        </w:rPr>
        <w:t>outermost</w:t>
      </w:r>
      <w:r>
        <w:rPr>
          <w:spacing w:val="40"/>
          <w:sz w:val="24"/>
        </w:rPr>
        <w:t> </w:t>
      </w:r>
      <w:r>
        <w:rPr>
          <w:sz w:val="24"/>
        </w:rPr>
        <w:t>edge.</w:t>
      </w:r>
      <w:r>
        <w:rPr>
          <w:spacing w:val="40"/>
          <w:sz w:val="24"/>
        </w:rPr>
        <w:t> </w:t>
      </w:r>
      <w:r>
        <w:rPr>
          <w:sz w:val="24"/>
        </w:rPr>
        <w:t>Balcony</w:t>
      </w:r>
      <w:r>
        <w:rPr>
          <w:spacing w:val="40"/>
          <w:sz w:val="24"/>
        </w:rPr>
        <w:t> </w:t>
      </w:r>
      <w:r>
        <w:rPr>
          <w:sz w:val="24"/>
        </w:rPr>
        <w:t>shall</w:t>
      </w:r>
      <w:r>
        <w:rPr>
          <w:spacing w:val="40"/>
          <w:sz w:val="24"/>
        </w:rPr>
        <w:t> </w:t>
      </w:r>
      <w:r>
        <w:rPr>
          <w:sz w:val="24"/>
        </w:rPr>
        <w:t>not be enclosed.Balcony shall not be permissible on ground floor.</w:t>
      </w:r>
    </w:p>
    <w:p>
      <w:pPr>
        <w:pStyle w:val="Heading6"/>
        <w:numPr>
          <w:ilvl w:val="0"/>
          <w:numId w:val="259"/>
        </w:numPr>
        <w:tabs>
          <w:tab w:pos="1910" w:val="left" w:leader="none"/>
        </w:tabs>
        <w:spacing w:line="240" w:lineRule="auto" w:before="280" w:after="0"/>
        <w:ind w:left="1910" w:right="0" w:hanging="597"/>
        <w:jc w:val="both"/>
        <w:rPr>
          <w:i w:val="0"/>
        </w:rPr>
      </w:pPr>
      <w:r>
        <w:rPr>
          <w:spacing w:val="-2"/>
        </w:rPr>
        <w:t>Roof:</w:t>
      </w:r>
    </w:p>
    <w:p>
      <w:pPr>
        <w:pStyle w:val="ListParagraph"/>
        <w:numPr>
          <w:ilvl w:val="1"/>
          <w:numId w:val="259"/>
        </w:numPr>
        <w:tabs>
          <w:tab w:pos="1555" w:val="left" w:leader="none"/>
        </w:tabs>
        <w:spacing w:line="240" w:lineRule="auto" w:before="1" w:after="0"/>
        <w:ind w:left="1313" w:right="777" w:firstLine="0"/>
        <w:jc w:val="both"/>
        <w:rPr>
          <w:sz w:val="22"/>
        </w:rPr>
      </w:pPr>
      <w:r>
        <w:rPr>
          <w:sz w:val="24"/>
        </w:rPr>
        <w:t>Effective drainage of rain water- The roof of a building shall be so constructed</w:t>
      </w:r>
      <w:r>
        <w:rPr>
          <w:spacing w:val="40"/>
          <w:sz w:val="24"/>
        </w:rPr>
        <w:t> </w:t>
      </w:r>
      <w:r>
        <w:rPr>
          <w:sz w:val="24"/>
        </w:rPr>
        <w:t>or</w:t>
      </w:r>
      <w:r>
        <w:rPr>
          <w:spacing w:val="40"/>
          <w:sz w:val="24"/>
        </w:rPr>
        <w:t> </w:t>
      </w:r>
      <w:r>
        <w:rPr>
          <w:sz w:val="24"/>
        </w:rPr>
        <w:t>framed</w:t>
      </w:r>
      <w:r>
        <w:rPr>
          <w:spacing w:val="40"/>
          <w:sz w:val="24"/>
        </w:rPr>
        <w:t> </w:t>
      </w:r>
      <w:r>
        <w:rPr>
          <w:sz w:val="24"/>
        </w:rPr>
        <w:t>as</w:t>
      </w:r>
      <w:r>
        <w:rPr>
          <w:spacing w:val="40"/>
          <w:sz w:val="24"/>
        </w:rPr>
        <w:t> </w:t>
      </w:r>
      <w:r>
        <w:rPr>
          <w:sz w:val="24"/>
        </w:rPr>
        <w:t>to</w:t>
      </w:r>
      <w:r>
        <w:rPr>
          <w:spacing w:val="40"/>
          <w:sz w:val="24"/>
        </w:rPr>
        <w:t> </w:t>
      </w:r>
      <w:r>
        <w:rPr>
          <w:sz w:val="24"/>
        </w:rPr>
        <w:t>permit</w:t>
      </w:r>
      <w:r>
        <w:rPr>
          <w:spacing w:val="40"/>
          <w:sz w:val="24"/>
        </w:rPr>
        <w:t> </w:t>
      </w:r>
      <w:r>
        <w:rPr>
          <w:sz w:val="24"/>
        </w:rPr>
        <w:t>effective</w:t>
      </w:r>
      <w:r>
        <w:rPr>
          <w:spacing w:val="40"/>
          <w:sz w:val="24"/>
        </w:rPr>
        <w:t> </w:t>
      </w:r>
      <w:r>
        <w:rPr>
          <w:sz w:val="24"/>
        </w:rPr>
        <w:t>drainage</w:t>
      </w:r>
      <w:r>
        <w:rPr>
          <w:spacing w:val="40"/>
          <w:sz w:val="24"/>
        </w:rPr>
        <w:t> </w:t>
      </w:r>
      <w:r>
        <w:rPr>
          <w:sz w:val="24"/>
        </w:rPr>
        <w:t>of</w:t>
      </w:r>
      <w:r>
        <w:rPr>
          <w:spacing w:val="40"/>
          <w:sz w:val="24"/>
        </w:rPr>
        <w:t> </w:t>
      </w:r>
      <w:r>
        <w:rPr>
          <w:sz w:val="24"/>
        </w:rPr>
        <w:t>the</w:t>
      </w:r>
      <w:r>
        <w:rPr>
          <w:spacing w:val="40"/>
          <w:sz w:val="24"/>
        </w:rPr>
        <w:t> </w:t>
      </w:r>
      <w:r>
        <w:rPr>
          <w:sz w:val="24"/>
        </w:rPr>
        <w:t>rain</w:t>
      </w:r>
      <w:r>
        <w:rPr>
          <w:spacing w:val="40"/>
          <w:sz w:val="24"/>
        </w:rPr>
        <w:t> </w:t>
      </w:r>
      <w:r>
        <w:rPr>
          <w:sz w:val="24"/>
        </w:rPr>
        <w:t>water there</w:t>
      </w:r>
      <w:r>
        <w:rPr>
          <w:spacing w:val="40"/>
          <w:sz w:val="24"/>
        </w:rPr>
        <w:t> </w:t>
      </w:r>
      <w:r>
        <w:rPr>
          <w:sz w:val="24"/>
        </w:rPr>
        <w:t>from</w:t>
      </w:r>
      <w:r>
        <w:rPr>
          <w:spacing w:val="40"/>
          <w:sz w:val="24"/>
        </w:rPr>
        <w:t> </w:t>
      </w:r>
      <w:r>
        <w:rPr>
          <w:sz w:val="24"/>
        </w:rPr>
        <w:t>by</w:t>
      </w:r>
      <w:r>
        <w:rPr>
          <w:spacing w:val="40"/>
          <w:sz w:val="24"/>
        </w:rPr>
        <w:t> </w:t>
      </w:r>
      <w:r>
        <w:rPr>
          <w:sz w:val="24"/>
        </w:rPr>
        <w:t>means</w:t>
      </w:r>
      <w:r>
        <w:rPr>
          <w:spacing w:val="40"/>
          <w:sz w:val="24"/>
        </w:rPr>
        <w:t> </w:t>
      </w:r>
      <w:r>
        <w:rPr>
          <w:sz w:val="24"/>
        </w:rPr>
        <w:t>of</w:t>
      </w:r>
      <w:r>
        <w:rPr>
          <w:spacing w:val="40"/>
          <w:sz w:val="24"/>
        </w:rPr>
        <w:t> </w:t>
      </w:r>
      <w:r>
        <w:rPr>
          <w:sz w:val="24"/>
        </w:rPr>
        <w:t>rain</w:t>
      </w:r>
      <w:r>
        <w:rPr>
          <w:spacing w:val="40"/>
          <w:sz w:val="24"/>
        </w:rPr>
        <w:t> </w:t>
      </w:r>
      <w:r>
        <w:rPr>
          <w:sz w:val="24"/>
        </w:rPr>
        <w:t>water</w:t>
      </w:r>
      <w:r>
        <w:rPr>
          <w:spacing w:val="40"/>
          <w:sz w:val="24"/>
        </w:rPr>
        <w:t> </w:t>
      </w:r>
      <w:r>
        <w:rPr>
          <w:sz w:val="24"/>
        </w:rPr>
        <w:t>pipes</w:t>
      </w:r>
      <w:r>
        <w:rPr>
          <w:spacing w:val="40"/>
          <w:sz w:val="24"/>
        </w:rPr>
        <w:t> </w:t>
      </w:r>
      <w:r>
        <w:rPr>
          <w:sz w:val="24"/>
        </w:rPr>
        <w:t>at</w:t>
      </w:r>
      <w:r>
        <w:rPr>
          <w:spacing w:val="40"/>
          <w:sz w:val="24"/>
        </w:rPr>
        <w:t> </w:t>
      </w:r>
      <w:r>
        <w:rPr>
          <w:sz w:val="24"/>
        </w:rPr>
        <w:t>the</w:t>
      </w:r>
      <w:r>
        <w:rPr>
          <w:spacing w:val="40"/>
          <w:sz w:val="24"/>
        </w:rPr>
        <w:t> </w:t>
      </w:r>
      <w:r>
        <w:rPr>
          <w:sz w:val="24"/>
        </w:rPr>
        <w:t>scale</w:t>
      </w:r>
      <w:r>
        <w:rPr>
          <w:spacing w:val="40"/>
          <w:sz w:val="24"/>
        </w:rPr>
        <w:t> </w:t>
      </w:r>
      <w:r>
        <w:rPr>
          <w:sz w:val="24"/>
        </w:rPr>
        <w:t>of</w:t>
      </w:r>
      <w:r>
        <w:rPr>
          <w:spacing w:val="40"/>
          <w:sz w:val="24"/>
        </w:rPr>
        <w:t> </w:t>
      </w:r>
      <w:r>
        <w:rPr>
          <w:sz w:val="24"/>
        </w:rPr>
        <w:t>at</w:t>
      </w:r>
      <w:r>
        <w:rPr>
          <w:spacing w:val="40"/>
          <w:sz w:val="24"/>
        </w:rPr>
        <w:t> </w:t>
      </w:r>
      <w:r>
        <w:rPr>
          <w:sz w:val="24"/>
        </w:rPr>
        <w:t>least</w:t>
      </w:r>
      <w:r>
        <w:rPr>
          <w:spacing w:val="40"/>
          <w:sz w:val="24"/>
        </w:rPr>
        <w:t> </w:t>
      </w:r>
      <w:r>
        <w:rPr>
          <w:sz w:val="24"/>
        </w:rPr>
        <w:t>one</w:t>
      </w:r>
      <w:r>
        <w:rPr>
          <w:spacing w:val="40"/>
          <w:sz w:val="24"/>
        </w:rPr>
        <w:t> </w:t>
      </w:r>
      <w:r>
        <w:rPr>
          <w:sz w:val="24"/>
        </w:rPr>
        <w:t>pipe of 10cm diameter for every </w:t>
      </w:r>
      <w:r>
        <w:rPr>
          <w:spacing w:val="10"/>
          <w:sz w:val="24"/>
        </w:rPr>
        <w:t>40-</w:t>
      </w:r>
      <w:r>
        <w:rPr>
          <w:sz w:val="24"/>
        </w:rPr>
        <w:t>sq.m of roof area.</w:t>
      </w:r>
      <w:r>
        <w:rPr>
          <w:spacing w:val="40"/>
          <w:sz w:val="24"/>
        </w:rPr>
        <w:t> </w:t>
      </w:r>
      <w:r>
        <w:rPr>
          <w:sz w:val="24"/>
        </w:rPr>
        <w:t>Such pipes shall be so arranged,</w:t>
      </w:r>
      <w:r>
        <w:rPr>
          <w:spacing w:val="40"/>
          <w:sz w:val="24"/>
        </w:rPr>
        <w:t> </w:t>
      </w:r>
      <w:r>
        <w:rPr>
          <w:sz w:val="24"/>
        </w:rPr>
        <w:t>jointed</w:t>
      </w:r>
      <w:r>
        <w:rPr>
          <w:spacing w:val="40"/>
          <w:sz w:val="24"/>
        </w:rPr>
        <w:t> </w:t>
      </w:r>
      <w:r>
        <w:rPr>
          <w:sz w:val="24"/>
        </w:rPr>
        <w:t>and</w:t>
      </w:r>
      <w:r>
        <w:rPr>
          <w:spacing w:val="40"/>
          <w:sz w:val="24"/>
        </w:rPr>
        <w:t> </w:t>
      </w:r>
      <w:r>
        <w:rPr>
          <w:sz w:val="24"/>
        </w:rPr>
        <w:t>fixed</w:t>
      </w:r>
      <w:r>
        <w:rPr>
          <w:spacing w:val="40"/>
          <w:sz w:val="24"/>
        </w:rPr>
        <w:t> </w:t>
      </w:r>
      <w:r>
        <w:rPr>
          <w:sz w:val="24"/>
        </w:rPr>
        <w:t>as</w:t>
      </w:r>
      <w:r>
        <w:rPr>
          <w:spacing w:val="40"/>
          <w:sz w:val="24"/>
        </w:rPr>
        <w:t> </w:t>
      </w:r>
      <w:r>
        <w:rPr>
          <w:sz w:val="24"/>
        </w:rPr>
        <w:t>to</w:t>
      </w:r>
      <w:r>
        <w:rPr>
          <w:spacing w:val="40"/>
          <w:sz w:val="24"/>
        </w:rPr>
        <w:t> </w:t>
      </w:r>
      <w:r>
        <w:rPr>
          <w:sz w:val="24"/>
        </w:rPr>
        <w:t>ensure</w:t>
      </w:r>
      <w:r>
        <w:rPr>
          <w:spacing w:val="40"/>
          <w:sz w:val="24"/>
        </w:rPr>
        <w:t> </w:t>
      </w:r>
      <w:r>
        <w:rPr>
          <w:sz w:val="24"/>
        </w:rPr>
        <w:t>that</w:t>
      </w:r>
      <w:r>
        <w:rPr>
          <w:spacing w:val="40"/>
          <w:sz w:val="24"/>
        </w:rPr>
        <w:t> </w:t>
      </w:r>
      <w:r>
        <w:rPr>
          <w:sz w:val="24"/>
        </w:rPr>
        <w:t>the</w:t>
      </w:r>
      <w:r>
        <w:rPr>
          <w:spacing w:val="40"/>
          <w:sz w:val="24"/>
        </w:rPr>
        <w:t> </w:t>
      </w:r>
      <w:r>
        <w:rPr>
          <w:sz w:val="24"/>
        </w:rPr>
        <w:t>rain</w:t>
      </w:r>
      <w:r>
        <w:rPr>
          <w:spacing w:val="40"/>
          <w:sz w:val="24"/>
        </w:rPr>
        <w:t> </w:t>
      </w:r>
      <w:r>
        <w:rPr>
          <w:sz w:val="24"/>
        </w:rPr>
        <w:t>water</w:t>
      </w:r>
      <w:r>
        <w:rPr>
          <w:spacing w:val="40"/>
          <w:sz w:val="24"/>
        </w:rPr>
        <w:t> </w:t>
      </w:r>
      <w:r>
        <w:rPr>
          <w:sz w:val="24"/>
        </w:rPr>
        <w:t>is</w:t>
      </w:r>
      <w:r>
        <w:rPr>
          <w:spacing w:val="40"/>
          <w:sz w:val="24"/>
        </w:rPr>
        <w:t> </w:t>
      </w:r>
      <w:r>
        <w:rPr>
          <w:spacing w:val="9"/>
          <w:sz w:val="24"/>
        </w:rPr>
        <w:t>carried </w:t>
      </w:r>
      <w:r>
        <w:rPr>
          <w:sz w:val="24"/>
        </w:rPr>
        <w:t>away </w:t>
      </w:r>
      <w:r>
        <w:rPr>
          <w:spacing w:val="9"/>
          <w:sz w:val="24"/>
        </w:rPr>
        <w:t>efficiently.</w:t>
      </w:r>
    </w:p>
    <w:p>
      <w:pPr>
        <w:pStyle w:val="ListParagraph"/>
        <w:numPr>
          <w:ilvl w:val="1"/>
          <w:numId w:val="259"/>
        </w:numPr>
        <w:tabs>
          <w:tab w:pos="1636" w:val="left" w:leader="none"/>
        </w:tabs>
        <w:spacing w:line="240" w:lineRule="auto" w:before="2" w:after="0"/>
        <w:ind w:left="1313" w:right="783" w:firstLine="0"/>
        <w:jc w:val="both"/>
        <w:rPr>
          <w:sz w:val="22"/>
        </w:rPr>
      </w:pPr>
      <w:r>
        <w:rPr>
          <w:sz w:val="24"/>
        </w:rPr>
        <w:t>Rain</w:t>
      </w:r>
      <w:r>
        <w:rPr>
          <w:spacing w:val="40"/>
          <w:sz w:val="24"/>
        </w:rPr>
        <w:t> </w:t>
      </w:r>
      <w:r>
        <w:rPr>
          <w:sz w:val="24"/>
        </w:rPr>
        <w:t>water</w:t>
      </w:r>
      <w:r>
        <w:rPr>
          <w:spacing w:val="40"/>
          <w:sz w:val="24"/>
        </w:rPr>
        <w:t> </w:t>
      </w:r>
      <w:r>
        <w:rPr>
          <w:sz w:val="24"/>
        </w:rPr>
        <w:t>pipes</w:t>
      </w:r>
      <w:r>
        <w:rPr>
          <w:spacing w:val="40"/>
          <w:sz w:val="24"/>
        </w:rPr>
        <w:t> </w:t>
      </w:r>
      <w:r>
        <w:rPr>
          <w:sz w:val="24"/>
        </w:rPr>
        <w:t>shall</w:t>
      </w:r>
      <w:r>
        <w:rPr>
          <w:spacing w:val="40"/>
          <w:sz w:val="24"/>
        </w:rPr>
        <w:t> </w:t>
      </w:r>
      <w:r>
        <w:rPr>
          <w:sz w:val="24"/>
        </w:rPr>
        <w:t>be</w:t>
      </w:r>
      <w:r>
        <w:rPr>
          <w:spacing w:val="40"/>
          <w:sz w:val="24"/>
        </w:rPr>
        <w:t> </w:t>
      </w:r>
      <w:r>
        <w:rPr>
          <w:sz w:val="24"/>
        </w:rPr>
        <w:t>connected</w:t>
      </w:r>
      <w:r>
        <w:rPr>
          <w:spacing w:val="40"/>
          <w:sz w:val="24"/>
        </w:rPr>
        <w:t> </w:t>
      </w:r>
      <w:r>
        <w:rPr>
          <w:sz w:val="24"/>
        </w:rPr>
        <w:t>to</w:t>
      </w:r>
      <w:r>
        <w:rPr>
          <w:spacing w:val="40"/>
          <w:sz w:val="24"/>
        </w:rPr>
        <w:t> </w:t>
      </w:r>
      <w:r>
        <w:rPr>
          <w:sz w:val="24"/>
        </w:rPr>
        <w:t>Rain</w:t>
      </w:r>
      <w:r>
        <w:rPr>
          <w:spacing w:val="40"/>
          <w:sz w:val="24"/>
        </w:rPr>
        <w:t> </w:t>
      </w:r>
      <w:r>
        <w:rPr>
          <w:sz w:val="24"/>
        </w:rPr>
        <w:t>Water</w:t>
      </w:r>
      <w:r>
        <w:rPr>
          <w:spacing w:val="40"/>
          <w:sz w:val="24"/>
        </w:rPr>
        <w:t> </w:t>
      </w:r>
      <w:r>
        <w:rPr>
          <w:sz w:val="24"/>
        </w:rPr>
        <w:t>Harvesting</w:t>
      </w:r>
      <w:r>
        <w:rPr>
          <w:spacing w:val="40"/>
          <w:sz w:val="24"/>
        </w:rPr>
        <w:t> </w:t>
      </w:r>
      <w:r>
        <w:rPr>
          <w:sz w:val="24"/>
        </w:rPr>
        <w:t>system, if</w:t>
      </w:r>
      <w:r>
        <w:rPr>
          <w:spacing w:val="40"/>
          <w:sz w:val="24"/>
        </w:rPr>
        <w:t> </w:t>
      </w:r>
      <w:r>
        <w:rPr>
          <w:sz w:val="24"/>
        </w:rPr>
        <w:t>required</w:t>
      </w:r>
      <w:r>
        <w:rPr>
          <w:spacing w:val="40"/>
          <w:sz w:val="24"/>
        </w:rPr>
        <w:t> </w:t>
      </w:r>
      <w:r>
        <w:rPr>
          <w:sz w:val="24"/>
        </w:rPr>
        <w:t>to</w:t>
      </w:r>
      <w:r>
        <w:rPr>
          <w:spacing w:val="40"/>
          <w:sz w:val="24"/>
        </w:rPr>
        <w:t> </w:t>
      </w:r>
      <w:r>
        <w:rPr>
          <w:sz w:val="24"/>
        </w:rPr>
        <w:t>be</w:t>
      </w:r>
      <w:r>
        <w:rPr>
          <w:spacing w:val="40"/>
          <w:sz w:val="24"/>
        </w:rPr>
        <w:t> </w:t>
      </w:r>
      <w:r>
        <w:rPr>
          <w:sz w:val="24"/>
        </w:rPr>
        <w:t>provided</w:t>
      </w:r>
      <w:r>
        <w:rPr>
          <w:spacing w:val="40"/>
          <w:sz w:val="24"/>
        </w:rPr>
        <w:t> </w:t>
      </w:r>
      <w:r>
        <w:rPr>
          <w:sz w:val="24"/>
        </w:rPr>
        <w:t>under</w:t>
      </w:r>
      <w:r>
        <w:rPr>
          <w:spacing w:val="40"/>
          <w:sz w:val="24"/>
        </w:rPr>
        <w:t> </w:t>
      </w:r>
      <w:r>
        <w:rPr>
          <w:sz w:val="24"/>
        </w:rPr>
        <w:t>these</w:t>
      </w:r>
      <w:r>
        <w:rPr>
          <w:spacing w:val="40"/>
          <w:sz w:val="24"/>
        </w:rPr>
        <w:t> </w:t>
      </w:r>
      <w:r>
        <w:rPr>
          <w:sz w:val="24"/>
        </w:rPr>
        <w:t>Regulations</w:t>
      </w:r>
      <w:r>
        <w:rPr>
          <w:spacing w:val="40"/>
          <w:sz w:val="24"/>
        </w:rPr>
        <w:t> </w:t>
      </w:r>
      <w:r>
        <w:rPr>
          <w:sz w:val="24"/>
        </w:rPr>
        <w:t>or</w:t>
      </w:r>
      <w:r>
        <w:rPr>
          <w:spacing w:val="40"/>
          <w:sz w:val="24"/>
        </w:rPr>
        <w:t> </w:t>
      </w:r>
      <w:r>
        <w:rPr>
          <w:sz w:val="24"/>
        </w:rPr>
        <w:t>to</w:t>
      </w:r>
      <w:r>
        <w:rPr>
          <w:spacing w:val="40"/>
          <w:sz w:val="24"/>
        </w:rPr>
        <w:t> </w:t>
      </w:r>
      <w:r>
        <w:rPr>
          <w:sz w:val="24"/>
        </w:rPr>
        <w:t>a</w:t>
      </w:r>
      <w:r>
        <w:rPr>
          <w:spacing w:val="40"/>
          <w:sz w:val="24"/>
        </w:rPr>
        <w:t> </w:t>
      </w:r>
      <w:r>
        <w:rPr>
          <w:sz w:val="24"/>
        </w:rPr>
        <w:t>drain</w:t>
      </w:r>
      <w:r>
        <w:rPr>
          <w:spacing w:val="40"/>
          <w:sz w:val="24"/>
        </w:rPr>
        <w:t> </w:t>
      </w:r>
      <w:r>
        <w:rPr>
          <w:sz w:val="24"/>
        </w:rPr>
        <w:t>through</w:t>
      </w:r>
      <w:r>
        <w:rPr>
          <w:spacing w:val="40"/>
          <w:sz w:val="24"/>
        </w:rPr>
        <w:t> </w:t>
      </w:r>
      <w:r>
        <w:rPr>
          <w:sz w:val="24"/>
        </w:rPr>
        <w:t>a</w:t>
      </w:r>
      <w:r>
        <w:rPr>
          <w:spacing w:val="40"/>
          <w:sz w:val="24"/>
        </w:rPr>
        <w:t> </w:t>
      </w:r>
      <w:r>
        <w:rPr>
          <w:sz w:val="24"/>
        </w:rPr>
        <w:t>covered</w:t>
      </w:r>
      <w:r>
        <w:rPr>
          <w:spacing w:val="40"/>
          <w:sz w:val="24"/>
        </w:rPr>
        <w:t> </w:t>
      </w:r>
      <w:r>
        <w:rPr>
          <w:sz w:val="24"/>
        </w:rPr>
        <w:t>channel</w:t>
      </w:r>
      <w:r>
        <w:rPr>
          <w:spacing w:val="80"/>
          <w:sz w:val="24"/>
        </w:rPr>
        <w:t> </w:t>
      </w:r>
      <w:r>
        <w:rPr>
          <w:sz w:val="24"/>
        </w:rPr>
        <w:t>formed</w:t>
      </w:r>
      <w:r>
        <w:rPr>
          <w:spacing w:val="80"/>
          <w:sz w:val="24"/>
        </w:rPr>
        <w:t> </w:t>
      </w:r>
      <w:r>
        <w:rPr>
          <w:sz w:val="24"/>
        </w:rPr>
        <w:t>beneath</w:t>
      </w:r>
      <w:r>
        <w:rPr>
          <w:spacing w:val="80"/>
          <w:sz w:val="24"/>
        </w:rPr>
        <w:t> </w:t>
      </w:r>
      <w:r>
        <w:rPr>
          <w:sz w:val="24"/>
        </w:rPr>
        <w:t>the</w:t>
      </w:r>
      <w:r>
        <w:rPr>
          <w:spacing w:val="40"/>
          <w:sz w:val="24"/>
        </w:rPr>
        <w:t> </w:t>
      </w:r>
      <w:r>
        <w:rPr>
          <w:sz w:val="24"/>
        </w:rPr>
        <w:t>public</w:t>
      </w:r>
      <w:r>
        <w:rPr>
          <w:spacing w:val="40"/>
          <w:sz w:val="24"/>
        </w:rPr>
        <w:t> </w:t>
      </w:r>
      <w:r>
        <w:rPr>
          <w:sz w:val="24"/>
        </w:rPr>
        <w:t>footpath</w:t>
      </w:r>
      <w:r>
        <w:rPr>
          <w:spacing w:val="80"/>
          <w:sz w:val="24"/>
        </w:rPr>
        <w:t> </w:t>
      </w:r>
      <w:r>
        <w:rPr>
          <w:sz w:val="24"/>
        </w:rPr>
        <w:t>to</w:t>
      </w:r>
      <w:r>
        <w:rPr>
          <w:spacing w:val="40"/>
          <w:sz w:val="24"/>
        </w:rPr>
        <w:t> </w:t>
      </w:r>
      <w:r>
        <w:rPr>
          <w:sz w:val="24"/>
        </w:rPr>
        <w:t>connect</w:t>
      </w:r>
      <w:r>
        <w:rPr>
          <w:spacing w:val="80"/>
          <w:sz w:val="24"/>
        </w:rPr>
        <w:t> </w:t>
      </w:r>
      <w:r>
        <w:rPr>
          <w:sz w:val="24"/>
        </w:rPr>
        <w:t>the rain</w:t>
      </w:r>
      <w:r>
        <w:rPr>
          <w:spacing w:val="40"/>
          <w:sz w:val="24"/>
        </w:rPr>
        <w:t> </w:t>
      </w:r>
      <w:r>
        <w:rPr>
          <w:sz w:val="24"/>
        </w:rPr>
        <w:t>water</w:t>
      </w:r>
      <w:r>
        <w:rPr>
          <w:spacing w:val="40"/>
          <w:sz w:val="24"/>
        </w:rPr>
        <w:t> </w:t>
      </w:r>
      <w:r>
        <w:rPr>
          <w:sz w:val="24"/>
        </w:rPr>
        <w:t>pipes</w:t>
      </w:r>
      <w:r>
        <w:rPr>
          <w:spacing w:val="40"/>
          <w:sz w:val="24"/>
        </w:rPr>
        <w:t> </w:t>
      </w:r>
      <w:r>
        <w:rPr>
          <w:sz w:val="24"/>
        </w:rPr>
        <w:t>to</w:t>
      </w:r>
      <w:r>
        <w:rPr>
          <w:spacing w:val="40"/>
          <w:sz w:val="24"/>
        </w:rPr>
        <w:t> </w:t>
      </w:r>
      <w:r>
        <w:rPr>
          <w:sz w:val="24"/>
        </w:rPr>
        <w:t>the</w:t>
      </w:r>
      <w:r>
        <w:rPr>
          <w:spacing w:val="40"/>
          <w:sz w:val="24"/>
        </w:rPr>
        <w:t> </w:t>
      </w:r>
      <w:r>
        <w:rPr>
          <w:sz w:val="24"/>
        </w:rPr>
        <w:t>road</w:t>
      </w:r>
      <w:r>
        <w:rPr>
          <w:spacing w:val="40"/>
          <w:sz w:val="24"/>
        </w:rPr>
        <w:t> </w:t>
      </w:r>
      <w:r>
        <w:rPr>
          <w:sz w:val="24"/>
        </w:rPr>
        <w:t>side</w:t>
      </w:r>
      <w:r>
        <w:rPr>
          <w:spacing w:val="40"/>
          <w:sz w:val="24"/>
        </w:rPr>
        <w:t> </w:t>
      </w:r>
      <w:r>
        <w:rPr>
          <w:sz w:val="24"/>
        </w:rPr>
        <w:t>storm</w:t>
      </w:r>
      <w:r>
        <w:rPr>
          <w:spacing w:val="40"/>
          <w:sz w:val="24"/>
        </w:rPr>
        <w:t> </w:t>
      </w:r>
      <w:r>
        <w:rPr>
          <w:sz w:val="24"/>
        </w:rPr>
        <w:t>water</w:t>
      </w:r>
      <w:r>
        <w:rPr>
          <w:spacing w:val="40"/>
          <w:sz w:val="24"/>
        </w:rPr>
        <w:t> </w:t>
      </w:r>
      <w:r>
        <w:rPr>
          <w:sz w:val="24"/>
        </w:rPr>
        <w:t>drain</w:t>
      </w:r>
      <w:r>
        <w:rPr>
          <w:spacing w:val="40"/>
          <w:sz w:val="24"/>
        </w:rPr>
        <w:t> </w:t>
      </w:r>
      <w:r>
        <w:rPr>
          <w:sz w:val="24"/>
        </w:rPr>
        <w:t>or</w:t>
      </w:r>
      <w:r>
        <w:rPr>
          <w:spacing w:val="40"/>
          <w:sz w:val="24"/>
        </w:rPr>
        <w:t> </w:t>
      </w:r>
      <w:r>
        <w:rPr>
          <w:sz w:val="24"/>
        </w:rPr>
        <w:t>in</w:t>
      </w:r>
      <w:r>
        <w:rPr>
          <w:spacing w:val="40"/>
          <w:sz w:val="24"/>
        </w:rPr>
        <w:t> </w:t>
      </w:r>
      <w:r>
        <w:rPr>
          <w:sz w:val="24"/>
        </w:rPr>
        <w:t>any</w:t>
      </w:r>
      <w:r>
        <w:rPr>
          <w:spacing w:val="10"/>
          <w:sz w:val="24"/>
        </w:rPr>
        <w:t> other </w:t>
      </w:r>
      <w:r>
        <w:rPr>
          <w:sz w:val="24"/>
        </w:rPr>
        <w:t>approved </w:t>
      </w:r>
      <w:r>
        <w:rPr>
          <w:spacing w:val="9"/>
          <w:sz w:val="24"/>
        </w:rPr>
        <w:t>manner.</w:t>
      </w:r>
    </w:p>
    <w:p>
      <w:pPr>
        <w:pStyle w:val="ListParagraph"/>
        <w:numPr>
          <w:ilvl w:val="1"/>
          <w:numId w:val="259"/>
        </w:numPr>
        <w:tabs>
          <w:tab w:pos="1717" w:val="left" w:leader="none"/>
        </w:tabs>
        <w:spacing w:line="240" w:lineRule="auto" w:before="0" w:after="0"/>
        <w:ind w:left="1313" w:right="789" w:firstLine="0"/>
        <w:jc w:val="both"/>
        <w:rPr>
          <w:sz w:val="22"/>
        </w:rPr>
      </w:pPr>
      <w:r>
        <w:rPr>
          <w:sz w:val="24"/>
        </w:rPr>
        <w:t>Manner</w:t>
      </w:r>
      <w:r>
        <w:rPr>
          <w:spacing w:val="40"/>
          <w:sz w:val="24"/>
        </w:rPr>
        <w:t> </w:t>
      </w:r>
      <w:r>
        <w:rPr>
          <w:sz w:val="24"/>
        </w:rPr>
        <w:t>of</w:t>
      </w:r>
      <w:r>
        <w:rPr>
          <w:spacing w:val="40"/>
          <w:sz w:val="24"/>
        </w:rPr>
        <w:t> </w:t>
      </w:r>
      <w:r>
        <w:rPr>
          <w:sz w:val="24"/>
        </w:rPr>
        <w:t>fixing</w:t>
      </w:r>
      <w:r>
        <w:rPr>
          <w:spacing w:val="40"/>
          <w:sz w:val="24"/>
        </w:rPr>
        <w:t> </w:t>
      </w:r>
      <w:r>
        <w:rPr>
          <w:sz w:val="24"/>
        </w:rPr>
        <w:t>rain</w:t>
      </w:r>
      <w:r>
        <w:rPr>
          <w:spacing w:val="40"/>
          <w:sz w:val="24"/>
        </w:rPr>
        <w:t> </w:t>
      </w:r>
      <w:r>
        <w:rPr>
          <w:sz w:val="24"/>
        </w:rPr>
        <w:t>water</w:t>
      </w:r>
      <w:r>
        <w:rPr>
          <w:spacing w:val="40"/>
          <w:sz w:val="24"/>
        </w:rPr>
        <w:t> </w:t>
      </w:r>
      <w:r>
        <w:rPr>
          <w:spacing w:val="9"/>
          <w:sz w:val="24"/>
        </w:rPr>
        <w:t>pipes-</w:t>
      </w:r>
      <w:r>
        <w:rPr>
          <w:spacing w:val="40"/>
          <w:sz w:val="24"/>
        </w:rPr>
        <w:t>  </w:t>
      </w:r>
      <w:r>
        <w:rPr>
          <w:sz w:val="24"/>
        </w:rPr>
        <w:t>Rain</w:t>
      </w:r>
      <w:r>
        <w:rPr>
          <w:spacing w:val="40"/>
          <w:sz w:val="24"/>
        </w:rPr>
        <w:t> </w:t>
      </w:r>
      <w:r>
        <w:rPr>
          <w:sz w:val="24"/>
        </w:rPr>
        <w:t>water</w:t>
      </w:r>
      <w:r>
        <w:rPr>
          <w:spacing w:val="40"/>
          <w:sz w:val="24"/>
        </w:rPr>
        <w:t> </w:t>
      </w:r>
      <w:r>
        <w:rPr>
          <w:sz w:val="24"/>
        </w:rPr>
        <w:t>pipes</w:t>
      </w:r>
      <w:r>
        <w:rPr>
          <w:spacing w:val="40"/>
          <w:sz w:val="24"/>
        </w:rPr>
        <w:t> </w:t>
      </w:r>
      <w:r>
        <w:rPr>
          <w:sz w:val="24"/>
        </w:rPr>
        <w:t>shall</w:t>
      </w:r>
      <w:r>
        <w:rPr>
          <w:spacing w:val="40"/>
          <w:sz w:val="24"/>
        </w:rPr>
        <w:t> </w:t>
      </w:r>
      <w:r>
        <w:rPr>
          <w:sz w:val="24"/>
        </w:rPr>
        <w:t>be</w:t>
      </w:r>
      <w:r>
        <w:rPr>
          <w:spacing w:val="40"/>
          <w:sz w:val="24"/>
        </w:rPr>
        <w:t> </w:t>
      </w:r>
      <w:r>
        <w:rPr>
          <w:sz w:val="24"/>
        </w:rPr>
        <w:t>affixed to the outside of the walls of the building or in recesses or chases cut or formed</w:t>
      </w:r>
      <w:r>
        <w:rPr>
          <w:spacing w:val="40"/>
          <w:sz w:val="24"/>
        </w:rPr>
        <w:t> </w:t>
      </w:r>
      <w:r>
        <w:rPr>
          <w:sz w:val="24"/>
        </w:rPr>
        <w:t>in</w:t>
      </w:r>
      <w:r>
        <w:rPr>
          <w:spacing w:val="40"/>
          <w:sz w:val="24"/>
        </w:rPr>
        <w:t> </w:t>
      </w:r>
      <w:r>
        <w:rPr>
          <w:sz w:val="24"/>
        </w:rPr>
        <w:t>such</w:t>
      </w:r>
      <w:r>
        <w:rPr>
          <w:spacing w:val="40"/>
          <w:sz w:val="24"/>
        </w:rPr>
        <w:t> </w:t>
      </w:r>
      <w:r>
        <w:rPr>
          <w:sz w:val="24"/>
        </w:rPr>
        <w:t>walls</w:t>
      </w:r>
      <w:r>
        <w:rPr>
          <w:spacing w:val="40"/>
          <w:sz w:val="24"/>
        </w:rPr>
        <w:t> </w:t>
      </w:r>
      <w:r>
        <w:rPr>
          <w:sz w:val="24"/>
        </w:rPr>
        <w:t>or</w:t>
      </w:r>
      <w:r>
        <w:rPr>
          <w:spacing w:val="40"/>
          <w:sz w:val="24"/>
        </w:rPr>
        <w:t> </w:t>
      </w:r>
      <w:r>
        <w:rPr>
          <w:sz w:val="24"/>
        </w:rPr>
        <w:t>in</w:t>
      </w:r>
      <w:r>
        <w:rPr>
          <w:spacing w:val="40"/>
          <w:sz w:val="24"/>
        </w:rPr>
        <w:t> </w:t>
      </w:r>
      <w:r>
        <w:rPr>
          <w:sz w:val="24"/>
        </w:rPr>
        <w:t>such</w:t>
      </w:r>
      <w:r>
        <w:rPr>
          <w:spacing w:val="40"/>
          <w:sz w:val="24"/>
        </w:rPr>
        <w:t> </w:t>
      </w:r>
      <w:r>
        <w:rPr>
          <w:sz w:val="24"/>
        </w:rPr>
        <w:t>any</w:t>
      </w:r>
      <w:r>
        <w:rPr>
          <w:spacing w:val="40"/>
          <w:sz w:val="24"/>
        </w:rPr>
        <w:t> </w:t>
      </w:r>
      <w:r>
        <w:rPr>
          <w:sz w:val="24"/>
        </w:rPr>
        <w:t>other</w:t>
      </w:r>
      <w:r>
        <w:rPr>
          <w:spacing w:val="40"/>
          <w:sz w:val="24"/>
        </w:rPr>
        <w:t> </w:t>
      </w:r>
      <w:r>
        <w:rPr>
          <w:sz w:val="24"/>
        </w:rPr>
        <w:t>manner</w:t>
      </w:r>
      <w:r>
        <w:rPr>
          <w:spacing w:val="40"/>
          <w:sz w:val="24"/>
        </w:rPr>
        <w:t> </w:t>
      </w:r>
      <w:r>
        <w:rPr>
          <w:sz w:val="24"/>
        </w:rPr>
        <w:t>as</w:t>
      </w:r>
      <w:r>
        <w:rPr>
          <w:spacing w:val="40"/>
          <w:sz w:val="24"/>
        </w:rPr>
        <w:t> </w:t>
      </w:r>
      <w:r>
        <w:rPr>
          <w:sz w:val="24"/>
        </w:rPr>
        <w:t>may</w:t>
      </w:r>
      <w:r>
        <w:rPr>
          <w:spacing w:val="40"/>
          <w:sz w:val="24"/>
        </w:rPr>
        <w:t> </w:t>
      </w:r>
      <w:r>
        <w:rPr>
          <w:sz w:val="24"/>
        </w:rPr>
        <w:t>be</w:t>
      </w:r>
      <w:r>
        <w:rPr>
          <w:spacing w:val="40"/>
          <w:sz w:val="24"/>
        </w:rPr>
        <w:t> </w:t>
      </w:r>
      <w:r>
        <w:rPr>
          <w:sz w:val="24"/>
        </w:rPr>
        <w:t>approved by the </w:t>
      </w:r>
      <w:r>
        <w:rPr>
          <w:spacing w:val="9"/>
          <w:sz w:val="24"/>
        </w:rPr>
        <w:t>Commissioner.</w:t>
      </w:r>
    </w:p>
    <w:p>
      <w:pPr>
        <w:pStyle w:val="ListParagraph"/>
        <w:numPr>
          <w:ilvl w:val="0"/>
          <w:numId w:val="259"/>
        </w:numPr>
        <w:tabs>
          <w:tab w:pos="1881" w:val="left" w:leader="none"/>
        </w:tabs>
        <w:spacing w:line="240" w:lineRule="auto" w:before="280" w:after="0"/>
        <w:ind w:left="1313" w:right="771" w:firstLine="0"/>
        <w:jc w:val="both"/>
        <w:rPr>
          <w:b/>
          <w:i/>
          <w:sz w:val="24"/>
        </w:rPr>
      </w:pPr>
      <w:r>
        <w:rPr>
          <w:b/>
          <w:i/>
          <w:sz w:val="24"/>
        </w:rPr>
        <w:t>Common Terraces: </w:t>
      </w:r>
      <w:r>
        <w:rPr>
          <w:sz w:val="24"/>
        </w:rPr>
        <w:t>Common Terraces shall not be </w:t>
      </w:r>
      <w:r>
        <w:rPr>
          <w:spacing w:val="11"/>
          <w:sz w:val="24"/>
        </w:rPr>
        <w:t>sub-</w:t>
      </w:r>
      <w:r>
        <w:rPr>
          <w:sz w:val="24"/>
        </w:rPr>
        <w:t>divided and shall</w:t>
      </w:r>
      <w:r>
        <w:rPr>
          <w:spacing w:val="40"/>
          <w:sz w:val="24"/>
        </w:rPr>
        <w:t> </w:t>
      </w:r>
      <w:r>
        <w:rPr>
          <w:sz w:val="24"/>
        </w:rPr>
        <w:t>be</w:t>
      </w:r>
      <w:r>
        <w:rPr>
          <w:spacing w:val="40"/>
          <w:sz w:val="24"/>
        </w:rPr>
        <w:t> </w:t>
      </w:r>
      <w:r>
        <w:rPr>
          <w:sz w:val="24"/>
        </w:rPr>
        <w:t>accessible</w:t>
      </w:r>
      <w:r>
        <w:rPr>
          <w:spacing w:val="40"/>
          <w:sz w:val="24"/>
        </w:rPr>
        <w:t> </w:t>
      </w:r>
      <w:r>
        <w:rPr>
          <w:sz w:val="24"/>
        </w:rPr>
        <w:t>by</w:t>
      </w:r>
      <w:r>
        <w:rPr>
          <w:spacing w:val="40"/>
          <w:sz w:val="24"/>
        </w:rPr>
        <w:t> </w:t>
      </w:r>
      <w:r>
        <w:rPr>
          <w:sz w:val="24"/>
        </w:rPr>
        <w:t>a</w:t>
      </w:r>
      <w:r>
        <w:rPr>
          <w:spacing w:val="40"/>
          <w:sz w:val="24"/>
        </w:rPr>
        <w:t> </w:t>
      </w:r>
      <w:r>
        <w:rPr>
          <w:sz w:val="24"/>
        </w:rPr>
        <w:t>common</w:t>
      </w:r>
      <w:r>
        <w:rPr>
          <w:spacing w:val="40"/>
          <w:sz w:val="24"/>
        </w:rPr>
        <w:t> </w:t>
      </w:r>
      <w:r>
        <w:rPr>
          <w:spacing w:val="9"/>
          <w:sz w:val="24"/>
        </w:rPr>
        <w:t>staircases/lift.</w:t>
      </w:r>
      <w:r>
        <w:rPr>
          <w:spacing w:val="40"/>
          <w:sz w:val="24"/>
        </w:rPr>
        <w:t> </w:t>
      </w:r>
      <w:r>
        <w:rPr>
          <w:sz w:val="24"/>
        </w:rPr>
        <w:t>The</w:t>
      </w:r>
      <w:r>
        <w:rPr>
          <w:spacing w:val="40"/>
          <w:sz w:val="24"/>
        </w:rPr>
        <w:t> </w:t>
      </w:r>
      <w:r>
        <w:rPr>
          <w:sz w:val="24"/>
        </w:rPr>
        <w:t>terraces</w:t>
      </w:r>
      <w:r>
        <w:rPr>
          <w:spacing w:val="40"/>
          <w:sz w:val="24"/>
        </w:rPr>
        <w:t> </w:t>
      </w:r>
      <w:r>
        <w:rPr>
          <w:sz w:val="24"/>
        </w:rPr>
        <w:t>may</w:t>
      </w:r>
      <w:r>
        <w:rPr>
          <w:spacing w:val="40"/>
          <w:sz w:val="24"/>
        </w:rPr>
        <w:t> </w:t>
      </w:r>
      <w:r>
        <w:rPr>
          <w:sz w:val="24"/>
        </w:rPr>
        <w:t>be used</w:t>
      </w:r>
      <w:r>
        <w:rPr>
          <w:spacing w:val="80"/>
          <w:sz w:val="24"/>
        </w:rPr>
        <w:t> </w:t>
      </w:r>
      <w:r>
        <w:rPr>
          <w:sz w:val="24"/>
        </w:rPr>
        <w:t>for</w:t>
      </w:r>
      <w:r>
        <w:rPr>
          <w:spacing w:val="80"/>
          <w:sz w:val="24"/>
        </w:rPr>
        <w:t> </w:t>
      </w:r>
      <w:r>
        <w:rPr>
          <w:sz w:val="24"/>
        </w:rPr>
        <w:t>additional</w:t>
      </w:r>
      <w:r>
        <w:rPr>
          <w:spacing w:val="80"/>
          <w:sz w:val="24"/>
        </w:rPr>
        <w:t> </w:t>
      </w:r>
      <w:r>
        <w:rPr>
          <w:sz w:val="24"/>
        </w:rPr>
        <w:t>recreational</w:t>
      </w:r>
      <w:r>
        <w:rPr>
          <w:spacing w:val="80"/>
          <w:sz w:val="24"/>
        </w:rPr>
        <w:t> </w:t>
      </w:r>
      <w:r>
        <w:rPr>
          <w:sz w:val="24"/>
        </w:rPr>
        <w:t>green</w:t>
      </w:r>
      <w:r>
        <w:rPr>
          <w:spacing w:val="80"/>
          <w:sz w:val="24"/>
        </w:rPr>
        <w:t> </w:t>
      </w:r>
      <w:r>
        <w:rPr>
          <w:sz w:val="24"/>
        </w:rPr>
        <w:t>area</w:t>
      </w:r>
      <w:r>
        <w:rPr>
          <w:spacing w:val="80"/>
          <w:sz w:val="24"/>
        </w:rPr>
        <w:t> </w:t>
      </w:r>
      <w:r>
        <w:rPr>
          <w:sz w:val="24"/>
        </w:rPr>
        <w:t>over</w:t>
      </w:r>
      <w:r>
        <w:rPr>
          <w:spacing w:val="80"/>
          <w:sz w:val="24"/>
        </w:rPr>
        <w:t> </w:t>
      </w:r>
      <w:r>
        <w:rPr>
          <w:sz w:val="24"/>
        </w:rPr>
        <w:t>and</w:t>
      </w:r>
      <w:r>
        <w:rPr>
          <w:spacing w:val="80"/>
          <w:sz w:val="24"/>
        </w:rPr>
        <w:t> </w:t>
      </w:r>
      <w:r>
        <w:rPr>
          <w:sz w:val="24"/>
        </w:rPr>
        <w:t>above</w:t>
      </w:r>
      <w:r>
        <w:rPr>
          <w:spacing w:val="80"/>
          <w:sz w:val="24"/>
        </w:rPr>
        <w:t> </w:t>
      </w:r>
      <w:r>
        <w:rPr>
          <w:sz w:val="24"/>
        </w:rPr>
        <w:t>the mandatory LOS requirement under these Regulations, provided that the terrace shall be designed and made impervious considering recreational green</w:t>
      </w:r>
      <w:r>
        <w:rPr>
          <w:spacing w:val="40"/>
          <w:sz w:val="24"/>
        </w:rPr>
        <w:t> </w:t>
      </w:r>
      <w:r>
        <w:rPr>
          <w:sz w:val="24"/>
        </w:rPr>
        <w:t>area.</w:t>
      </w:r>
      <w:r>
        <w:rPr>
          <w:spacing w:val="80"/>
          <w:sz w:val="24"/>
        </w:rPr>
        <w:t> </w:t>
      </w:r>
      <w:r>
        <w:rPr>
          <w:sz w:val="24"/>
        </w:rPr>
        <w:t>The</w:t>
      </w:r>
      <w:r>
        <w:rPr>
          <w:spacing w:val="40"/>
          <w:sz w:val="24"/>
        </w:rPr>
        <w:t> </w:t>
      </w:r>
      <w:r>
        <w:rPr>
          <w:sz w:val="24"/>
        </w:rPr>
        <w:t>terraces</w:t>
      </w:r>
      <w:r>
        <w:rPr>
          <w:spacing w:val="40"/>
          <w:sz w:val="24"/>
        </w:rPr>
        <w:t> </w:t>
      </w:r>
      <w:r>
        <w:rPr>
          <w:sz w:val="24"/>
        </w:rPr>
        <w:t>will</w:t>
      </w:r>
      <w:r>
        <w:rPr>
          <w:spacing w:val="40"/>
          <w:sz w:val="24"/>
        </w:rPr>
        <w:t> </w:t>
      </w:r>
      <w:r>
        <w:rPr>
          <w:sz w:val="24"/>
        </w:rPr>
        <w:t>also</w:t>
      </w:r>
      <w:r>
        <w:rPr>
          <w:spacing w:val="40"/>
          <w:sz w:val="24"/>
        </w:rPr>
        <w:t> </w:t>
      </w:r>
      <w:r>
        <w:rPr>
          <w:sz w:val="24"/>
        </w:rPr>
        <w:t>serve</w:t>
      </w:r>
      <w:r>
        <w:rPr>
          <w:spacing w:val="40"/>
          <w:sz w:val="24"/>
        </w:rPr>
        <w:t> </w:t>
      </w:r>
      <w:r>
        <w:rPr>
          <w:sz w:val="24"/>
        </w:rPr>
        <w:t>as</w:t>
      </w:r>
      <w:r>
        <w:rPr>
          <w:spacing w:val="40"/>
          <w:sz w:val="24"/>
        </w:rPr>
        <w:t> </w:t>
      </w:r>
      <w:r>
        <w:rPr>
          <w:sz w:val="24"/>
        </w:rPr>
        <w:t>community</w:t>
      </w:r>
      <w:r>
        <w:rPr>
          <w:spacing w:val="40"/>
          <w:sz w:val="24"/>
        </w:rPr>
        <w:t> </w:t>
      </w:r>
      <w:r>
        <w:rPr>
          <w:sz w:val="24"/>
        </w:rPr>
        <w:t>open</w:t>
      </w:r>
      <w:r>
        <w:rPr>
          <w:spacing w:val="40"/>
          <w:sz w:val="24"/>
        </w:rPr>
        <w:t> </w:t>
      </w:r>
      <w:r>
        <w:rPr>
          <w:sz w:val="24"/>
        </w:rPr>
        <w:t>spaces</w:t>
      </w:r>
      <w:r>
        <w:rPr>
          <w:spacing w:val="40"/>
          <w:sz w:val="24"/>
        </w:rPr>
        <w:t> </w:t>
      </w:r>
      <w:r>
        <w:rPr>
          <w:sz w:val="24"/>
        </w:rPr>
        <w:t>for</w:t>
      </w:r>
      <w:r>
        <w:rPr>
          <w:spacing w:val="40"/>
          <w:sz w:val="24"/>
        </w:rPr>
        <w:t> </w:t>
      </w:r>
      <w:r>
        <w:rPr>
          <w:sz w:val="24"/>
        </w:rPr>
        <w:t>the occupants of the building.</w:t>
      </w:r>
      <w:r>
        <w:rPr>
          <w:spacing w:val="40"/>
          <w:sz w:val="24"/>
        </w:rPr>
        <w:t> </w:t>
      </w:r>
      <w:r>
        <w:rPr>
          <w:sz w:val="24"/>
        </w:rPr>
        <w:t>The terraces may allowed for roof top</w:t>
      </w:r>
      <w:r>
        <w:rPr>
          <w:spacing w:val="40"/>
          <w:sz w:val="24"/>
        </w:rPr>
        <w:t> </w:t>
      </w:r>
      <w:r>
        <w:rPr>
          <w:sz w:val="24"/>
        </w:rPr>
        <w:t>farming/ gardening Overhang of terrace to the extent of 1.20 m beyond building line subject to requirement of open spaces as per Regulation no 42(e)</w:t>
      </w:r>
      <w:r>
        <w:rPr>
          <w:spacing w:val="40"/>
          <w:sz w:val="24"/>
        </w:rPr>
        <w:t> </w:t>
      </w:r>
      <w:r>
        <w:rPr>
          <w:sz w:val="24"/>
        </w:rPr>
        <w:t>&amp;</w:t>
      </w:r>
      <w:r>
        <w:rPr>
          <w:spacing w:val="40"/>
          <w:sz w:val="24"/>
        </w:rPr>
        <w:t> </w:t>
      </w:r>
      <w:r>
        <w:rPr>
          <w:sz w:val="24"/>
        </w:rPr>
        <w:t>42(f)may</w:t>
      </w:r>
      <w:r>
        <w:rPr>
          <w:spacing w:val="40"/>
          <w:sz w:val="24"/>
        </w:rPr>
        <w:t> </w:t>
      </w:r>
      <w:r>
        <w:rPr>
          <w:sz w:val="24"/>
        </w:rPr>
        <w:t>be</w:t>
      </w:r>
      <w:r>
        <w:rPr>
          <w:spacing w:val="40"/>
          <w:sz w:val="24"/>
        </w:rPr>
        <w:t> </w:t>
      </w:r>
      <w:r>
        <w:rPr>
          <w:sz w:val="24"/>
        </w:rPr>
        <w:t>allowed</w:t>
      </w:r>
      <w:r>
        <w:rPr>
          <w:spacing w:val="80"/>
          <w:sz w:val="24"/>
        </w:rPr>
        <w:t> </w:t>
      </w:r>
      <w:r>
        <w:rPr>
          <w:sz w:val="24"/>
        </w:rPr>
        <w:t>from</w:t>
      </w:r>
      <w:r>
        <w:rPr>
          <w:spacing w:val="40"/>
          <w:sz w:val="24"/>
        </w:rPr>
        <w:t> </w:t>
      </w:r>
      <w:r>
        <w:rPr>
          <w:sz w:val="24"/>
        </w:rPr>
        <w:t>elevation</w:t>
      </w:r>
      <w:r>
        <w:rPr>
          <w:spacing w:val="40"/>
          <w:sz w:val="24"/>
        </w:rPr>
        <w:t> </w:t>
      </w:r>
      <w:r>
        <w:rPr>
          <w:sz w:val="24"/>
        </w:rPr>
        <w:t>point</w:t>
      </w:r>
      <w:r>
        <w:rPr>
          <w:spacing w:val="40"/>
          <w:sz w:val="24"/>
        </w:rPr>
        <w:t> </w:t>
      </w:r>
      <w:r>
        <w:rPr>
          <w:sz w:val="24"/>
        </w:rPr>
        <w:t>of</w:t>
      </w:r>
      <w:r>
        <w:rPr>
          <w:spacing w:val="40"/>
          <w:sz w:val="24"/>
        </w:rPr>
        <w:t> </w:t>
      </w:r>
      <w:r>
        <w:rPr>
          <w:sz w:val="24"/>
        </w:rPr>
        <w:t>view.</w:t>
      </w:r>
    </w:p>
    <w:p>
      <w:pPr>
        <w:pStyle w:val="BodyText"/>
        <w:spacing w:before="1"/>
        <w:ind w:left="1313" w:right="779"/>
      </w:pPr>
      <w:r>
        <w:rPr/>
        <w:t>Provided</w:t>
      </w:r>
      <w:r>
        <w:rPr>
          <w:spacing w:val="80"/>
        </w:rPr>
        <w:t> </w:t>
      </w:r>
      <w:r>
        <w:rPr/>
        <w:t>further</w:t>
      </w:r>
      <w:r>
        <w:rPr>
          <w:spacing w:val="80"/>
        </w:rPr>
        <w:t> </w:t>
      </w:r>
      <w:r>
        <w:rPr/>
        <w:t>that</w:t>
      </w:r>
      <w:r>
        <w:rPr>
          <w:spacing w:val="80"/>
        </w:rPr>
        <w:t> </w:t>
      </w:r>
      <w:r>
        <w:rPr/>
        <w:t>completely</w:t>
      </w:r>
      <w:r>
        <w:rPr>
          <w:spacing w:val="80"/>
        </w:rPr>
        <w:t> </w:t>
      </w:r>
      <w:r>
        <w:rPr/>
        <w:t>commercial</w:t>
      </w:r>
      <w:r>
        <w:rPr>
          <w:spacing w:val="80"/>
        </w:rPr>
        <w:t> </w:t>
      </w:r>
      <w:r>
        <w:rPr/>
        <w:t>buildings</w:t>
      </w:r>
      <w:r>
        <w:rPr>
          <w:spacing w:val="80"/>
        </w:rPr>
        <w:t> </w:t>
      </w:r>
      <w:r>
        <w:rPr/>
        <w:t>including buildings</w:t>
      </w:r>
      <w:r>
        <w:rPr>
          <w:spacing w:val="66"/>
        </w:rPr>
        <w:t> </w:t>
      </w:r>
      <w:r>
        <w:rPr/>
        <w:t>of</w:t>
      </w:r>
      <w:r>
        <w:rPr>
          <w:spacing w:val="66"/>
        </w:rPr>
        <w:t> </w:t>
      </w:r>
      <w:r>
        <w:rPr/>
        <w:t>residential</w:t>
      </w:r>
      <w:r>
        <w:rPr>
          <w:spacing w:val="66"/>
        </w:rPr>
        <w:t> </w:t>
      </w:r>
      <w:r>
        <w:rPr/>
        <w:t>hotels,</w:t>
      </w:r>
      <w:r>
        <w:rPr>
          <w:spacing w:val="66"/>
        </w:rPr>
        <w:t> </w:t>
      </w:r>
      <w:r>
        <w:rPr/>
        <w:t>terraces</w:t>
      </w:r>
      <w:r>
        <w:rPr>
          <w:spacing w:val="66"/>
        </w:rPr>
        <w:t> </w:t>
      </w:r>
      <w:r>
        <w:rPr/>
        <w:t>may</w:t>
      </w:r>
      <w:r>
        <w:rPr>
          <w:spacing w:val="66"/>
        </w:rPr>
        <w:t> </w:t>
      </w:r>
      <w:r>
        <w:rPr/>
        <w:t>be</w:t>
      </w:r>
      <w:r>
        <w:rPr>
          <w:spacing w:val="69"/>
        </w:rPr>
        <w:t> </w:t>
      </w:r>
      <w:r>
        <w:rPr/>
        <w:t>permitted</w:t>
      </w:r>
      <w:r>
        <w:rPr>
          <w:spacing w:val="66"/>
        </w:rPr>
        <w:t> </w:t>
      </w:r>
      <w:r>
        <w:rPr/>
        <w:t>to</w:t>
      </w:r>
      <w:r>
        <w:rPr>
          <w:spacing w:val="66"/>
        </w:rPr>
        <w:t> </w:t>
      </w:r>
      <w:r>
        <w:rPr/>
        <w:t>be</w:t>
      </w:r>
      <w:r>
        <w:rPr>
          <w:spacing w:val="66"/>
        </w:rPr>
        <w:t> </w:t>
      </w:r>
      <w:r>
        <w:rPr/>
        <w:t>used</w:t>
      </w:r>
      <w:r>
        <w:rPr>
          <w:spacing w:val="66"/>
        </w:rPr>
        <w:t> </w:t>
      </w:r>
      <w:r>
        <w:rPr/>
        <w:t>as</w:t>
      </w:r>
    </w:p>
    <w:p>
      <w:pPr>
        <w:pStyle w:val="BodyText"/>
        <w:spacing w:after="0"/>
        <w:sectPr>
          <w:headerReference w:type="default" r:id="rId57"/>
          <w:footerReference w:type="default" r:id="rId58"/>
          <w:pgSz w:w="11910" w:h="16840"/>
          <w:pgMar w:header="1058" w:footer="1201" w:top="1500" w:bottom="1400" w:left="360" w:right="360"/>
        </w:sectPr>
      </w:pPr>
    </w:p>
    <w:p>
      <w:pPr>
        <w:pStyle w:val="BodyText"/>
        <w:spacing w:before="255"/>
        <w:ind w:left="1313" w:right="787"/>
      </w:pPr>
      <w:r>
        <w:rPr/>
        <w:t>restaurant;</w:t>
      </w:r>
      <w:r>
        <w:rPr>
          <w:spacing w:val="40"/>
        </w:rPr>
        <w:t> </w:t>
      </w:r>
      <w:r>
        <w:rPr/>
        <w:t>subject</w:t>
      </w:r>
      <w:r>
        <w:rPr>
          <w:spacing w:val="40"/>
        </w:rPr>
        <w:t> </w:t>
      </w:r>
      <w:r>
        <w:rPr/>
        <w:t>to</w:t>
      </w:r>
      <w:r>
        <w:rPr>
          <w:spacing w:val="40"/>
        </w:rPr>
        <w:t> </w:t>
      </w:r>
      <w:r>
        <w:rPr/>
        <w:t>condition</w:t>
      </w:r>
      <w:r>
        <w:rPr>
          <w:spacing w:val="40"/>
        </w:rPr>
        <w:t> </w:t>
      </w:r>
      <w:r>
        <w:rPr/>
        <w:t>that</w:t>
      </w:r>
      <w:r>
        <w:rPr>
          <w:spacing w:val="40"/>
        </w:rPr>
        <w:t> </w:t>
      </w:r>
      <w:r>
        <w:rPr/>
        <w:t>no</w:t>
      </w:r>
      <w:r>
        <w:rPr>
          <w:spacing w:val="40"/>
        </w:rPr>
        <w:t> </w:t>
      </w:r>
      <w:r>
        <w:rPr/>
        <w:t>inflammable</w:t>
      </w:r>
      <w:r>
        <w:rPr>
          <w:spacing w:val="40"/>
        </w:rPr>
        <w:t> </w:t>
      </w:r>
      <w:r>
        <w:rPr/>
        <w:t>material</w:t>
      </w:r>
      <w:r>
        <w:rPr>
          <w:spacing w:val="40"/>
        </w:rPr>
        <w:t> </w:t>
      </w:r>
      <w:r>
        <w:rPr/>
        <w:t>shall</w:t>
      </w:r>
      <w:r>
        <w:rPr>
          <w:spacing w:val="40"/>
        </w:rPr>
        <w:t> </w:t>
      </w:r>
      <w:r>
        <w:rPr/>
        <w:t>be used</w:t>
      </w:r>
      <w:r>
        <w:rPr>
          <w:spacing w:val="40"/>
        </w:rPr>
        <w:t> </w:t>
      </w:r>
      <w:r>
        <w:rPr/>
        <w:t>and</w:t>
      </w:r>
      <w:r>
        <w:rPr>
          <w:spacing w:val="40"/>
        </w:rPr>
        <w:t> </w:t>
      </w:r>
      <w:r>
        <w:rPr/>
        <w:t>safety</w:t>
      </w:r>
      <w:r>
        <w:rPr>
          <w:spacing w:val="40"/>
        </w:rPr>
        <w:t> </w:t>
      </w:r>
      <w:r>
        <w:rPr/>
        <w:t>and</w:t>
      </w:r>
      <w:r>
        <w:rPr>
          <w:spacing w:val="40"/>
        </w:rPr>
        <w:t> </w:t>
      </w:r>
      <w:r>
        <w:rPr/>
        <w:t>security</w:t>
      </w:r>
      <w:r>
        <w:rPr>
          <w:spacing w:val="40"/>
        </w:rPr>
        <w:t> </w:t>
      </w:r>
      <w:r>
        <w:rPr/>
        <w:t>shall</w:t>
      </w:r>
      <w:r>
        <w:rPr>
          <w:spacing w:val="40"/>
        </w:rPr>
        <w:t> </w:t>
      </w:r>
      <w:r>
        <w:rPr/>
        <w:t>be</w:t>
      </w:r>
      <w:r>
        <w:rPr>
          <w:spacing w:val="40"/>
        </w:rPr>
        <w:t> </w:t>
      </w:r>
      <w:r>
        <w:rPr/>
        <w:t>ensured.</w:t>
      </w:r>
      <w:r>
        <w:rPr>
          <w:spacing w:val="40"/>
        </w:rPr>
        <w:t> </w:t>
      </w:r>
      <w:r>
        <w:rPr/>
        <w:t>No</w:t>
      </w:r>
      <w:r>
        <w:rPr>
          <w:spacing w:val="40"/>
        </w:rPr>
        <w:t> </w:t>
      </w:r>
      <w:r>
        <w:rPr/>
        <w:t>construction whatsoever,</w:t>
      </w:r>
      <w:r>
        <w:rPr>
          <w:spacing w:val="40"/>
        </w:rPr>
        <w:t> </w:t>
      </w:r>
      <w:r>
        <w:rPr/>
        <w:t>temporary</w:t>
      </w:r>
      <w:r>
        <w:rPr>
          <w:spacing w:val="40"/>
        </w:rPr>
        <w:t> </w:t>
      </w:r>
      <w:r>
        <w:rPr/>
        <w:t>or</w:t>
      </w:r>
      <w:r>
        <w:rPr>
          <w:spacing w:val="9"/>
        </w:rPr>
        <w:t> permanent,</w:t>
      </w:r>
      <w:r>
        <w:rPr>
          <w:spacing w:val="9"/>
        </w:rPr>
        <w:t> </w:t>
      </w:r>
      <w:r>
        <w:rPr/>
        <w:t>except</w:t>
      </w:r>
      <w:r>
        <w:rPr>
          <w:spacing w:val="40"/>
        </w:rPr>
        <w:t> </w:t>
      </w:r>
      <w:r>
        <w:rPr/>
        <w:t>service</w:t>
      </w:r>
      <w:r>
        <w:rPr>
          <w:spacing w:val="40"/>
        </w:rPr>
        <w:t> </w:t>
      </w:r>
      <w:r>
        <w:rPr/>
        <w:t>platform</w:t>
      </w:r>
      <w:r>
        <w:rPr>
          <w:spacing w:val="40"/>
        </w:rPr>
        <w:t> </w:t>
      </w:r>
      <w:r>
        <w:rPr/>
        <w:t>&amp;</w:t>
      </w:r>
      <w:r>
        <w:rPr>
          <w:spacing w:val="40"/>
        </w:rPr>
        <w:t> </w:t>
      </w:r>
      <w:r>
        <w:rPr/>
        <w:t>toilet block, shall be </w:t>
      </w:r>
      <w:r>
        <w:rPr>
          <w:spacing w:val="9"/>
        </w:rPr>
        <w:t>permissible.</w:t>
      </w:r>
    </w:p>
    <w:p>
      <w:pPr>
        <w:pStyle w:val="ListParagraph"/>
        <w:numPr>
          <w:ilvl w:val="0"/>
          <w:numId w:val="259"/>
        </w:numPr>
        <w:tabs>
          <w:tab w:pos="1886" w:val="left" w:leader="none"/>
        </w:tabs>
        <w:spacing w:line="240" w:lineRule="auto" w:before="279" w:after="0"/>
        <w:ind w:left="1313" w:right="784" w:firstLine="0"/>
        <w:jc w:val="both"/>
        <w:rPr>
          <w:b/>
          <w:i/>
          <w:sz w:val="24"/>
        </w:rPr>
      </w:pPr>
      <w:r>
        <w:rPr>
          <w:b/>
          <w:i/>
          <w:sz w:val="24"/>
        </w:rPr>
        <w:t>Parapet: </w:t>
      </w:r>
      <w:r>
        <w:rPr>
          <w:sz w:val="24"/>
        </w:rPr>
        <w:t>Parapet walls and </w:t>
      </w:r>
      <w:r>
        <w:rPr>
          <w:spacing w:val="10"/>
          <w:sz w:val="24"/>
        </w:rPr>
        <w:t>hand-</w:t>
      </w:r>
      <w:r>
        <w:rPr>
          <w:sz w:val="24"/>
        </w:rPr>
        <w:t>rails provided on the edges of</w:t>
      </w:r>
      <w:r>
        <w:rPr>
          <w:spacing w:val="40"/>
          <w:sz w:val="24"/>
        </w:rPr>
        <w:t> </w:t>
      </w:r>
      <w:r>
        <w:rPr>
          <w:sz w:val="24"/>
        </w:rPr>
        <w:t>the</w:t>
      </w:r>
      <w:r>
        <w:rPr>
          <w:spacing w:val="40"/>
          <w:sz w:val="24"/>
        </w:rPr>
        <w:t> </w:t>
      </w:r>
      <w:r>
        <w:rPr>
          <w:sz w:val="24"/>
        </w:rPr>
        <w:t>roof terrace, balcony, etc. shall not be less than</w:t>
      </w:r>
      <w:r>
        <w:rPr>
          <w:spacing w:val="40"/>
          <w:sz w:val="24"/>
        </w:rPr>
        <w:t> </w:t>
      </w:r>
      <w:r>
        <w:rPr>
          <w:color w:val="000000"/>
          <w:sz w:val="24"/>
          <w:shd w:fill="FFCCFF" w:color="auto" w:val="clear"/>
        </w:rPr>
        <w:t>1.50</w:t>
      </w:r>
      <w:r>
        <w:rPr>
          <w:color w:val="000000"/>
          <w:sz w:val="24"/>
        </w:rPr>
        <w:t>m from the finished</w:t>
      </w:r>
      <w:r>
        <w:rPr>
          <w:color w:val="000000"/>
          <w:spacing w:val="40"/>
          <w:sz w:val="24"/>
        </w:rPr>
        <w:t> </w:t>
      </w:r>
      <w:r>
        <w:rPr>
          <w:color w:val="000000"/>
          <w:sz w:val="24"/>
        </w:rPr>
        <w:t>floor</w:t>
      </w:r>
      <w:r>
        <w:rPr>
          <w:color w:val="000000"/>
          <w:spacing w:val="40"/>
          <w:sz w:val="24"/>
        </w:rPr>
        <w:t> </w:t>
      </w:r>
      <w:r>
        <w:rPr>
          <w:color w:val="000000"/>
          <w:sz w:val="24"/>
        </w:rPr>
        <w:t>level</w:t>
      </w:r>
      <w:r>
        <w:rPr>
          <w:color w:val="000000"/>
          <w:spacing w:val="40"/>
          <w:sz w:val="24"/>
        </w:rPr>
        <w:t> </w:t>
      </w:r>
      <w:r>
        <w:rPr>
          <w:color w:val="000000"/>
          <w:sz w:val="24"/>
          <w:shd w:fill="FFCCFF" w:color="auto" w:val="clear"/>
        </w:rPr>
        <w:t>.</w:t>
      </w:r>
      <w:r>
        <w:rPr>
          <w:color w:val="000000"/>
          <w:spacing w:val="40"/>
          <w:sz w:val="24"/>
        </w:rPr>
        <w:t> </w:t>
      </w:r>
      <w:r>
        <w:rPr>
          <w:color w:val="000000"/>
          <w:sz w:val="24"/>
        </w:rPr>
        <w:t>Parapet</w:t>
      </w:r>
      <w:r>
        <w:rPr>
          <w:color w:val="000000"/>
          <w:spacing w:val="40"/>
          <w:sz w:val="24"/>
        </w:rPr>
        <w:t> </w:t>
      </w:r>
      <w:r>
        <w:rPr>
          <w:color w:val="000000"/>
          <w:sz w:val="24"/>
        </w:rPr>
        <w:t>wall</w:t>
      </w:r>
      <w:r>
        <w:rPr>
          <w:color w:val="000000"/>
          <w:spacing w:val="40"/>
          <w:sz w:val="24"/>
        </w:rPr>
        <w:t> </w:t>
      </w:r>
      <w:r>
        <w:rPr>
          <w:color w:val="000000"/>
          <w:sz w:val="24"/>
        </w:rPr>
        <w:t>having</w:t>
      </w:r>
      <w:r>
        <w:rPr>
          <w:color w:val="000000"/>
          <w:spacing w:val="40"/>
          <w:sz w:val="24"/>
        </w:rPr>
        <w:t> </w:t>
      </w:r>
      <w:r>
        <w:rPr>
          <w:color w:val="000000"/>
          <w:sz w:val="24"/>
        </w:rPr>
        <w:t>height</w:t>
      </w:r>
      <w:r>
        <w:rPr>
          <w:color w:val="000000"/>
          <w:spacing w:val="40"/>
          <w:sz w:val="24"/>
        </w:rPr>
        <w:t> </w:t>
      </w:r>
      <w:r>
        <w:rPr>
          <w:color w:val="000000"/>
          <w:sz w:val="24"/>
        </w:rPr>
        <w:t>more</w:t>
      </w:r>
      <w:r>
        <w:rPr>
          <w:color w:val="000000"/>
          <w:spacing w:val="40"/>
          <w:sz w:val="24"/>
        </w:rPr>
        <w:t> </w:t>
      </w:r>
      <w:r>
        <w:rPr>
          <w:color w:val="000000"/>
          <w:sz w:val="24"/>
        </w:rPr>
        <w:t>than</w:t>
      </w:r>
      <w:r>
        <w:rPr>
          <w:color w:val="000000"/>
          <w:spacing w:val="40"/>
          <w:sz w:val="24"/>
        </w:rPr>
        <w:t> </w:t>
      </w:r>
      <w:r>
        <w:rPr>
          <w:color w:val="000000"/>
          <w:sz w:val="24"/>
          <w:shd w:fill="FFCCFF" w:color="auto" w:val="clear"/>
        </w:rPr>
        <w:t>1.50</w:t>
      </w:r>
      <w:r>
        <w:rPr>
          <w:color w:val="000000"/>
          <w:sz w:val="24"/>
        </w:rPr>
        <w:t>m</w:t>
      </w:r>
      <w:r>
        <w:rPr>
          <w:color w:val="000000"/>
          <w:spacing w:val="40"/>
          <w:sz w:val="24"/>
        </w:rPr>
        <w:t> </w:t>
      </w:r>
      <w:r>
        <w:rPr>
          <w:color w:val="000000"/>
          <w:sz w:val="24"/>
        </w:rPr>
        <w:t>may</w:t>
      </w:r>
      <w:r>
        <w:rPr>
          <w:color w:val="000000"/>
          <w:spacing w:val="40"/>
          <w:sz w:val="24"/>
        </w:rPr>
        <w:t> </w:t>
      </w:r>
      <w:r>
        <w:rPr>
          <w:color w:val="000000"/>
          <w:sz w:val="24"/>
        </w:rPr>
        <w:t>be</w:t>
      </w:r>
      <w:r>
        <w:rPr>
          <w:color w:val="000000"/>
          <w:spacing w:val="40"/>
          <w:sz w:val="24"/>
        </w:rPr>
        <w:t> </w:t>
      </w:r>
      <w:r>
        <w:rPr>
          <w:color w:val="000000"/>
          <w:sz w:val="24"/>
        </w:rPr>
        <w:t>allowed on</w:t>
      </w:r>
      <w:r>
        <w:rPr>
          <w:color w:val="000000"/>
          <w:spacing w:val="80"/>
          <w:sz w:val="24"/>
        </w:rPr>
        <w:t> </w:t>
      </w:r>
      <w:r>
        <w:rPr>
          <w:color w:val="000000"/>
          <w:sz w:val="24"/>
        </w:rPr>
        <w:t>top</w:t>
      </w:r>
      <w:r>
        <w:rPr>
          <w:color w:val="000000"/>
          <w:spacing w:val="80"/>
          <w:sz w:val="24"/>
        </w:rPr>
        <w:t> </w:t>
      </w:r>
      <w:r>
        <w:rPr>
          <w:color w:val="000000"/>
          <w:sz w:val="24"/>
        </w:rPr>
        <w:t>most</w:t>
      </w:r>
      <w:r>
        <w:rPr>
          <w:color w:val="000000"/>
          <w:spacing w:val="80"/>
          <w:sz w:val="24"/>
        </w:rPr>
        <w:t> </w:t>
      </w:r>
      <w:r>
        <w:rPr>
          <w:color w:val="000000"/>
          <w:sz w:val="24"/>
        </w:rPr>
        <w:t>common</w:t>
      </w:r>
      <w:r>
        <w:rPr>
          <w:color w:val="000000"/>
          <w:spacing w:val="80"/>
          <w:sz w:val="24"/>
        </w:rPr>
        <w:t> </w:t>
      </w:r>
      <w:r>
        <w:rPr>
          <w:color w:val="000000"/>
          <w:sz w:val="24"/>
        </w:rPr>
        <w:t>terrace</w:t>
      </w:r>
      <w:r>
        <w:rPr>
          <w:color w:val="000000"/>
          <w:spacing w:val="80"/>
          <w:sz w:val="24"/>
        </w:rPr>
        <w:t> </w:t>
      </w:r>
      <w:r>
        <w:rPr>
          <w:color w:val="000000"/>
          <w:sz w:val="24"/>
        </w:rPr>
        <w:t>level</w:t>
      </w:r>
      <w:r>
        <w:rPr>
          <w:color w:val="000000"/>
          <w:spacing w:val="80"/>
          <w:sz w:val="24"/>
        </w:rPr>
        <w:t> </w:t>
      </w:r>
      <w:r>
        <w:rPr>
          <w:color w:val="000000"/>
          <w:sz w:val="24"/>
        </w:rPr>
        <w:t>with</w:t>
      </w:r>
      <w:r>
        <w:rPr>
          <w:color w:val="000000"/>
          <w:spacing w:val="80"/>
          <w:sz w:val="24"/>
        </w:rPr>
        <w:t> </w:t>
      </w:r>
      <w:r>
        <w:rPr>
          <w:color w:val="000000"/>
          <w:sz w:val="24"/>
        </w:rPr>
        <w:t>the</w:t>
      </w:r>
      <w:r>
        <w:rPr>
          <w:color w:val="000000"/>
          <w:spacing w:val="80"/>
          <w:sz w:val="24"/>
        </w:rPr>
        <w:t> </w:t>
      </w:r>
      <w:r>
        <w:rPr>
          <w:color w:val="000000"/>
          <w:sz w:val="24"/>
        </w:rPr>
        <w:t>approval</w:t>
      </w:r>
      <w:r>
        <w:rPr>
          <w:color w:val="000000"/>
          <w:spacing w:val="80"/>
          <w:sz w:val="24"/>
        </w:rPr>
        <w:t> </w:t>
      </w:r>
      <w:r>
        <w:rPr>
          <w:color w:val="000000"/>
          <w:sz w:val="24"/>
        </w:rPr>
        <w:t>of</w:t>
      </w:r>
      <w:r>
        <w:rPr>
          <w:color w:val="000000"/>
          <w:spacing w:val="80"/>
          <w:sz w:val="24"/>
        </w:rPr>
        <w:t> </w:t>
      </w:r>
      <w:r>
        <w:rPr>
          <w:color w:val="000000"/>
          <w:sz w:val="24"/>
        </w:rPr>
        <w:t>commissioner. For</w:t>
      </w:r>
      <w:r>
        <w:rPr>
          <w:color w:val="000000"/>
          <w:spacing w:val="40"/>
          <w:sz w:val="24"/>
        </w:rPr>
        <w:t> </w:t>
      </w:r>
      <w:r>
        <w:rPr>
          <w:color w:val="000000"/>
          <w:sz w:val="24"/>
        </w:rPr>
        <w:t>the</w:t>
      </w:r>
      <w:r>
        <w:rPr>
          <w:color w:val="000000"/>
          <w:spacing w:val="40"/>
          <w:sz w:val="24"/>
        </w:rPr>
        <w:t> </w:t>
      </w:r>
      <w:r>
        <w:rPr>
          <w:color w:val="000000"/>
          <w:sz w:val="24"/>
        </w:rPr>
        <w:t>height</w:t>
      </w:r>
      <w:r>
        <w:rPr>
          <w:color w:val="000000"/>
          <w:spacing w:val="40"/>
          <w:sz w:val="24"/>
        </w:rPr>
        <w:t> </w:t>
      </w:r>
      <w:r>
        <w:rPr>
          <w:color w:val="000000"/>
          <w:sz w:val="24"/>
        </w:rPr>
        <w:t>of</w:t>
      </w:r>
      <w:r>
        <w:rPr>
          <w:color w:val="000000"/>
          <w:spacing w:val="40"/>
          <w:sz w:val="24"/>
        </w:rPr>
        <w:t> </w:t>
      </w:r>
      <w:r>
        <w:rPr>
          <w:color w:val="000000"/>
          <w:sz w:val="24"/>
        </w:rPr>
        <w:t>building</w:t>
      </w:r>
      <w:r>
        <w:rPr>
          <w:color w:val="000000"/>
          <w:spacing w:val="40"/>
          <w:sz w:val="24"/>
        </w:rPr>
        <w:t> </w:t>
      </w:r>
      <w:r>
        <w:rPr>
          <w:color w:val="000000"/>
          <w:sz w:val="24"/>
        </w:rPr>
        <w:t>beyond</w:t>
      </w:r>
      <w:r>
        <w:rPr>
          <w:color w:val="000000"/>
          <w:spacing w:val="40"/>
          <w:sz w:val="24"/>
        </w:rPr>
        <w:t> </w:t>
      </w:r>
      <w:r>
        <w:rPr>
          <w:color w:val="000000"/>
          <w:sz w:val="24"/>
        </w:rPr>
        <w:t>32</w:t>
      </w:r>
      <w:r>
        <w:rPr>
          <w:color w:val="000000"/>
          <w:spacing w:val="40"/>
          <w:sz w:val="24"/>
        </w:rPr>
        <w:t> </w:t>
      </w:r>
      <w:r>
        <w:rPr>
          <w:color w:val="000000"/>
          <w:sz w:val="24"/>
        </w:rPr>
        <w:t>m</w:t>
      </w:r>
      <w:r>
        <w:rPr>
          <w:color w:val="000000"/>
          <w:spacing w:val="40"/>
          <w:sz w:val="24"/>
        </w:rPr>
        <w:t> </w:t>
      </w:r>
      <w:r>
        <w:rPr>
          <w:color w:val="000000"/>
          <w:sz w:val="24"/>
        </w:rPr>
        <w:t>&amp;up</w:t>
      </w:r>
      <w:r>
        <w:rPr>
          <w:color w:val="000000"/>
          <w:spacing w:val="40"/>
          <w:sz w:val="24"/>
        </w:rPr>
        <w:t> </w:t>
      </w:r>
      <w:r>
        <w:rPr>
          <w:color w:val="000000"/>
          <w:sz w:val="24"/>
        </w:rPr>
        <w:t>to</w:t>
      </w:r>
      <w:r>
        <w:rPr>
          <w:color w:val="000000"/>
          <w:spacing w:val="40"/>
          <w:sz w:val="24"/>
        </w:rPr>
        <w:t> </w:t>
      </w:r>
      <w:r>
        <w:rPr>
          <w:color w:val="000000"/>
          <w:sz w:val="24"/>
        </w:rPr>
        <w:t>70</w:t>
      </w:r>
      <w:r>
        <w:rPr>
          <w:color w:val="000000"/>
          <w:spacing w:val="40"/>
          <w:sz w:val="24"/>
        </w:rPr>
        <w:t> </w:t>
      </w:r>
      <w:r>
        <w:rPr>
          <w:color w:val="000000"/>
          <w:sz w:val="24"/>
        </w:rPr>
        <w:t>m</w:t>
      </w:r>
      <w:r>
        <w:rPr>
          <w:color w:val="000000"/>
          <w:spacing w:val="40"/>
          <w:sz w:val="24"/>
        </w:rPr>
        <w:t> </w:t>
      </w:r>
      <w:r>
        <w:rPr>
          <w:color w:val="000000"/>
          <w:sz w:val="24"/>
        </w:rPr>
        <w:t>parapet</w:t>
      </w:r>
      <w:r>
        <w:rPr>
          <w:color w:val="000000"/>
          <w:spacing w:val="40"/>
          <w:sz w:val="24"/>
        </w:rPr>
        <w:t> </w:t>
      </w:r>
      <w:r>
        <w:rPr>
          <w:color w:val="000000"/>
          <w:sz w:val="24"/>
        </w:rPr>
        <w:t>wall</w:t>
      </w:r>
      <w:r>
        <w:rPr>
          <w:color w:val="000000"/>
          <w:spacing w:val="40"/>
          <w:sz w:val="24"/>
        </w:rPr>
        <w:t> </w:t>
      </w:r>
      <w:r>
        <w:rPr>
          <w:color w:val="000000"/>
          <w:sz w:val="24"/>
        </w:rPr>
        <w:t>of height</w:t>
      </w:r>
      <w:r>
        <w:rPr>
          <w:color w:val="000000"/>
          <w:spacing w:val="36"/>
          <w:sz w:val="24"/>
        </w:rPr>
        <w:t> </w:t>
      </w:r>
      <w:r>
        <w:rPr>
          <w:color w:val="000000"/>
          <w:sz w:val="24"/>
        </w:rPr>
        <w:t>2</w:t>
      </w:r>
      <w:r>
        <w:rPr>
          <w:color w:val="000000"/>
          <w:spacing w:val="35"/>
          <w:sz w:val="24"/>
        </w:rPr>
        <w:t> </w:t>
      </w:r>
      <w:r>
        <w:rPr>
          <w:color w:val="000000"/>
          <w:sz w:val="24"/>
        </w:rPr>
        <w:t>m,</w:t>
      </w:r>
      <w:r>
        <w:rPr>
          <w:color w:val="000000"/>
          <w:spacing w:val="32"/>
          <w:sz w:val="24"/>
        </w:rPr>
        <w:t> </w:t>
      </w:r>
      <w:r>
        <w:rPr>
          <w:color w:val="000000"/>
          <w:sz w:val="24"/>
        </w:rPr>
        <w:t>for</w:t>
      </w:r>
      <w:r>
        <w:rPr>
          <w:color w:val="000000"/>
          <w:spacing w:val="32"/>
          <w:sz w:val="24"/>
        </w:rPr>
        <w:t> </w:t>
      </w:r>
      <w:r>
        <w:rPr>
          <w:color w:val="000000"/>
          <w:sz w:val="24"/>
        </w:rPr>
        <w:t>the</w:t>
      </w:r>
      <w:r>
        <w:rPr>
          <w:color w:val="000000"/>
          <w:spacing w:val="36"/>
          <w:sz w:val="24"/>
        </w:rPr>
        <w:t> </w:t>
      </w:r>
      <w:r>
        <w:rPr>
          <w:color w:val="000000"/>
          <w:sz w:val="24"/>
        </w:rPr>
        <w:t>building</w:t>
      </w:r>
      <w:r>
        <w:rPr>
          <w:color w:val="000000"/>
          <w:spacing w:val="36"/>
          <w:sz w:val="24"/>
        </w:rPr>
        <w:t> </w:t>
      </w:r>
      <w:r>
        <w:rPr>
          <w:color w:val="000000"/>
          <w:sz w:val="24"/>
        </w:rPr>
        <w:t>height</w:t>
      </w:r>
      <w:r>
        <w:rPr>
          <w:color w:val="000000"/>
          <w:spacing w:val="36"/>
          <w:sz w:val="24"/>
        </w:rPr>
        <w:t> </w:t>
      </w:r>
      <w:r>
        <w:rPr>
          <w:color w:val="000000"/>
          <w:sz w:val="24"/>
        </w:rPr>
        <w:t>beyond</w:t>
      </w:r>
      <w:r>
        <w:rPr>
          <w:color w:val="000000"/>
          <w:spacing w:val="32"/>
          <w:sz w:val="24"/>
        </w:rPr>
        <w:t> </w:t>
      </w:r>
      <w:r>
        <w:rPr>
          <w:color w:val="000000"/>
          <w:sz w:val="24"/>
        </w:rPr>
        <w:t>70</w:t>
      </w:r>
      <w:r>
        <w:rPr>
          <w:color w:val="000000"/>
          <w:spacing w:val="35"/>
          <w:sz w:val="24"/>
        </w:rPr>
        <w:t> </w:t>
      </w:r>
      <w:r>
        <w:rPr>
          <w:color w:val="000000"/>
          <w:sz w:val="24"/>
        </w:rPr>
        <w:t>m</w:t>
      </w:r>
      <w:r>
        <w:rPr>
          <w:color w:val="000000"/>
          <w:spacing w:val="36"/>
          <w:sz w:val="24"/>
        </w:rPr>
        <w:t> </w:t>
      </w:r>
      <w:r>
        <w:rPr>
          <w:color w:val="000000"/>
          <w:sz w:val="24"/>
        </w:rPr>
        <w:t>parapet</w:t>
      </w:r>
      <w:r>
        <w:rPr>
          <w:color w:val="000000"/>
          <w:spacing w:val="39"/>
          <w:sz w:val="24"/>
        </w:rPr>
        <w:t> </w:t>
      </w:r>
      <w:r>
        <w:rPr>
          <w:color w:val="000000"/>
          <w:sz w:val="24"/>
        </w:rPr>
        <w:t>wall</w:t>
      </w:r>
      <w:r>
        <w:rPr>
          <w:color w:val="000000"/>
          <w:spacing w:val="10"/>
          <w:sz w:val="24"/>
        </w:rPr>
        <w:t> with </w:t>
      </w:r>
      <w:r>
        <w:rPr>
          <w:color w:val="000000"/>
          <w:sz w:val="24"/>
        </w:rPr>
        <w:t>height up</w:t>
      </w:r>
      <w:r>
        <w:rPr>
          <w:color w:val="000000"/>
          <w:spacing w:val="40"/>
          <w:sz w:val="24"/>
        </w:rPr>
        <w:t> </w:t>
      </w:r>
      <w:r>
        <w:rPr>
          <w:color w:val="000000"/>
          <w:sz w:val="24"/>
        </w:rPr>
        <w:t>to</w:t>
      </w:r>
      <w:r>
        <w:rPr>
          <w:color w:val="000000"/>
          <w:spacing w:val="40"/>
          <w:sz w:val="24"/>
        </w:rPr>
        <w:t> </w:t>
      </w:r>
      <w:r>
        <w:rPr>
          <w:color w:val="000000"/>
          <w:sz w:val="24"/>
        </w:rPr>
        <w:t>5</w:t>
      </w:r>
      <w:r>
        <w:rPr>
          <w:color w:val="000000"/>
          <w:spacing w:val="40"/>
          <w:sz w:val="24"/>
        </w:rPr>
        <w:t> </w:t>
      </w:r>
      <w:r>
        <w:rPr>
          <w:color w:val="000000"/>
          <w:sz w:val="24"/>
        </w:rPr>
        <w:t>m</w:t>
      </w:r>
      <w:r>
        <w:rPr>
          <w:color w:val="000000"/>
          <w:spacing w:val="40"/>
          <w:sz w:val="24"/>
        </w:rPr>
        <w:t> </w:t>
      </w:r>
      <w:r>
        <w:rPr>
          <w:color w:val="000000"/>
          <w:sz w:val="24"/>
        </w:rPr>
        <w:t>with</w:t>
      </w:r>
      <w:r>
        <w:rPr>
          <w:color w:val="000000"/>
          <w:spacing w:val="40"/>
          <w:sz w:val="24"/>
        </w:rPr>
        <w:t> </w:t>
      </w:r>
      <w:r>
        <w:rPr>
          <w:color w:val="000000"/>
          <w:sz w:val="24"/>
        </w:rPr>
        <w:t>60%</w:t>
      </w:r>
      <w:r>
        <w:rPr>
          <w:color w:val="000000"/>
          <w:spacing w:val="40"/>
          <w:sz w:val="24"/>
        </w:rPr>
        <w:t> </w:t>
      </w:r>
      <w:r>
        <w:rPr>
          <w:color w:val="000000"/>
          <w:sz w:val="24"/>
        </w:rPr>
        <w:t>voids</w:t>
      </w:r>
      <w:r>
        <w:rPr>
          <w:color w:val="000000"/>
          <w:spacing w:val="40"/>
          <w:sz w:val="24"/>
        </w:rPr>
        <w:t> </w:t>
      </w:r>
      <w:r>
        <w:rPr>
          <w:color w:val="000000"/>
          <w:sz w:val="24"/>
        </w:rPr>
        <w:t>in</w:t>
      </w:r>
      <w:r>
        <w:rPr>
          <w:color w:val="000000"/>
          <w:spacing w:val="40"/>
          <w:sz w:val="24"/>
        </w:rPr>
        <w:t> </w:t>
      </w:r>
      <w:r>
        <w:rPr>
          <w:color w:val="000000"/>
          <w:sz w:val="24"/>
        </w:rPr>
        <w:t>surface</w:t>
      </w:r>
      <w:r>
        <w:rPr>
          <w:color w:val="000000"/>
          <w:spacing w:val="40"/>
          <w:sz w:val="24"/>
        </w:rPr>
        <w:t> </w:t>
      </w:r>
      <w:r>
        <w:rPr>
          <w:color w:val="000000"/>
          <w:sz w:val="24"/>
        </w:rPr>
        <w:t>area</w:t>
      </w:r>
      <w:r>
        <w:rPr>
          <w:color w:val="000000"/>
          <w:spacing w:val="40"/>
          <w:sz w:val="24"/>
        </w:rPr>
        <w:t> </w:t>
      </w:r>
      <w:r>
        <w:rPr>
          <w:color w:val="000000"/>
          <w:sz w:val="24"/>
        </w:rPr>
        <w:t>beyond</w:t>
      </w:r>
      <w:r>
        <w:rPr>
          <w:color w:val="000000"/>
          <w:spacing w:val="40"/>
          <w:sz w:val="24"/>
        </w:rPr>
        <w:t> </w:t>
      </w:r>
      <w:r>
        <w:rPr>
          <w:color w:val="000000"/>
          <w:sz w:val="24"/>
        </w:rPr>
        <w:t>height</w:t>
      </w:r>
      <w:r>
        <w:rPr>
          <w:color w:val="000000"/>
          <w:spacing w:val="40"/>
          <w:sz w:val="24"/>
        </w:rPr>
        <w:t> </w:t>
      </w:r>
      <w:r>
        <w:rPr>
          <w:color w:val="000000"/>
          <w:sz w:val="24"/>
        </w:rPr>
        <w:t>of</w:t>
      </w:r>
      <w:r>
        <w:rPr>
          <w:color w:val="000000"/>
          <w:spacing w:val="40"/>
          <w:sz w:val="24"/>
        </w:rPr>
        <w:t> </w:t>
      </w:r>
      <w:r>
        <w:rPr>
          <w:color w:val="000000"/>
          <w:sz w:val="24"/>
        </w:rPr>
        <w:t>1.30</w:t>
      </w:r>
      <w:r>
        <w:rPr>
          <w:color w:val="000000"/>
          <w:spacing w:val="40"/>
          <w:sz w:val="24"/>
        </w:rPr>
        <w:t> </w:t>
      </w:r>
      <w:r>
        <w:rPr>
          <w:color w:val="000000"/>
          <w:sz w:val="24"/>
        </w:rPr>
        <w:t>m</w:t>
      </w:r>
      <w:r>
        <w:rPr>
          <w:color w:val="000000"/>
          <w:spacing w:val="40"/>
          <w:sz w:val="24"/>
        </w:rPr>
        <w:t> </w:t>
      </w:r>
      <w:r>
        <w:rPr>
          <w:color w:val="000000"/>
          <w:sz w:val="24"/>
        </w:rPr>
        <w:t>only on</w:t>
      </w:r>
      <w:r>
        <w:rPr>
          <w:color w:val="000000"/>
          <w:spacing w:val="40"/>
          <w:sz w:val="24"/>
        </w:rPr>
        <w:t> </w:t>
      </w:r>
      <w:r>
        <w:rPr>
          <w:color w:val="000000"/>
          <w:sz w:val="24"/>
        </w:rPr>
        <w:t>two</w:t>
      </w:r>
      <w:r>
        <w:rPr>
          <w:color w:val="000000"/>
          <w:spacing w:val="40"/>
          <w:sz w:val="24"/>
        </w:rPr>
        <w:t> </w:t>
      </w:r>
      <w:r>
        <w:rPr>
          <w:color w:val="000000"/>
          <w:sz w:val="24"/>
        </w:rPr>
        <w:t>sides</w:t>
      </w:r>
      <w:r>
        <w:rPr>
          <w:color w:val="000000"/>
          <w:spacing w:val="40"/>
          <w:sz w:val="24"/>
        </w:rPr>
        <w:t> </w:t>
      </w:r>
      <w:r>
        <w:rPr>
          <w:color w:val="000000"/>
          <w:sz w:val="24"/>
        </w:rPr>
        <w:t>of</w:t>
      </w:r>
      <w:r>
        <w:rPr>
          <w:color w:val="000000"/>
          <w:spacing w:val="40"/>
          <w:sz w:val="24"/>
        </w:rPr>
        <w:t> </w:t>
      </w:r>
      <w:r>
        <w:rPr>
          <w:color w:val="000000"/>
          <w:sz w:val="24"/>
        </w:rPr>
        <w:t>common</w:t>
      </w:r>
      <w:r>
        <w:rPr>
          <w:color w:val="000000"/>
          <w:spacing w:val="40"/>
          <w:sz w:val="24"/>
        </w:rPr>
        <w:t> </w:t>
      </w:r>
      <w:r>
        <w:rPr>
          <w:color w:val="000000"/>
          <w:sz w:val="24"/>
        </w:rPr>
        <w:t>terrace</w:t>
      </w:r>
      <w:r>
        <w:rPr>
          <w:color w:val="000000"/>
          <w:spacing w:val="40"/>
          <w:sz w:val="24"/>
        </w:rPr>
        <w:t> </w:t>
      </w:r>
      <w:r>
        <w:rPr>
          <w:color w:val="000000"/>
          <w:sz w:val="24"/>
        </w:rPr>
        <w:t>may</w:t>
      </w:r>
      <w:r>
        <w:rPr>
          <w:color w:val="000000"/>
          <w:spacing w:val="40"/>
          <w:sz w:val="24"/>
        </w:rPr>
        <w:t> </w:t>
      </w:r>
      <w:r>
        <w:rPr>
          <w:color w:val="000000"/>
          <w:sz w:val="24"/>
        </w:rPr>
        <w:t>be</w:t>
      </w:r>
      <w:r>
        <w:rPr>
          <w:color w:val="000000"/>
          <w:spacing w:val="40"/>
          <w:sz w:val="24"/>
        </w:rPr>
        <w:t> </w:t>
      </w:r>
      <w:r>
        <w:rPr>
          <w:color w:val="000000"/>
          <w:sz w:val="24"/>
        </w:rPr>
        <w:t>allowed.</w:t>
      </w:r>
    </w:p>
    <w:p>
      <w:pPr>
        <w:pStyle w:val="BodyText"/>
        <w:spacing w:before="2"/>
        <w:jc w:val="left"/>
      </w:pPr>
    </w:p>
    <w:p>
      <w:pPr>
        <w:pStyle w:val="Heading6"/>
        <w:numPr>
          <w:ilvl w:val="0"/>
          <w:numId w:val="259"/>
        </w:numPr>
        <w:tabs>
          <w:tab w:pos="1891" w:val="left" w:leader="none"/>
        </w:tabs>
        <w:spacing w:line="240" w:lineRule="auto" w:before="0" w:after="0"/>
        <w:ind w:left="1891" w:right="0" w:hanging="578"/>
        <w:jc w:val="both"/>
      </w:pPr>
      <w:r>
        <w:rPr/>
        <w:t>Boundary</w:t>
      </w:r>
      <w:r>
        <w:rPr>
          <w:spacing w:val="57"/>
        </w:rPr>
        <w:t> </w:t>
      </w:r>
      <w:r>
        <w:rPr/>
        <w:t>wall</w:t>
      </w:r>
      <w:r>
        <w:rPr>
          <w:spacing w:val="53"/>
        </w:rPr>
        <w:t> </w:t>
      </w:r>
      <w:r>
        <w:rPr/>
        <w:t>and</w:t>
      </w:r>
      <w:r>
        <w:rPr>
          <w:spacing w:val="53"/>
        </w:rPr>
        <w:t> </w:t>
      </w:r>
      <w:r>
        <w:rPr/>
        <w:t>main</w:t>
      </w:r>
      <w:r>
        <w:rPr>
          <w:spacing w:val="53"/>
        </w:rPr>
        <w:t> </w:t>
      </w:r>
      <w:r>
        <w:rPr>
          <w:spacing w:val="-2"/>
        </w:rPr>
        <w:t>entrance:</w:t>
      </w:r>
    </w:p>
    <w:p>
      <w:pPr>
        <w:pStyle w:val="ListParagraph"/>
        <w:numPr>
          <w:ilvl w:val="1"/>
          <w:numId w:val="259"/>
        </w:numPr>
        <w:tabs>
          <w:tab w:pos="1622" w:val="left" w:leader="none"/>
        </w:tabs>
        <w:spacing w:line="240" w:lineRule="auto" w:before="2" w:after="0"/>
        <w:ind w:left="1622" w:right="0" w:hanging="309"/>
        <w:jc w:val="both"/>
        <w:rPr>
          <w:i/>
          <w:sz w:val="24"/>
        </w:rPr>
      </w:pPr>
      <w:r>
        <w:rPr>
          <w:i/>
          <w:sz w:val="24"/>
        </w:rPr>
        <w:t>Boundary</w:t>
      </w:r>
      <w:r>
        <w:rPr>
          <w:i/>
          <w:spacing w:val="53"/>
          <w:w w:val="150"/>
          <w:sz w:val="24"/>
        </w:rPr>
        <w:t> </w:t>
      </w:r>
      <w:r>
        <w:rPr>
          <w:i/>
          <w:spacing w:val="-4"/>
          <w:sz w:val="24"/>
        </w:rPr>
        <w:t>wall</w:t>
      </w:r>
      <w:r>
        <w:rPr>
          <w:spacing w:val="-4"/>
          <w:sz w:val="24"/>
        </w:rPr>
        <w:t>-</w:t>
      </w:r>
    </w:p>
    <w:p>
      <w:pPr>
        <w:pStyle w:val="BodyText"/>
        <w:jc w:val="left"/>
      </w:pPr>
    </w:p>
    <w:p>
      <w:pPr>
        <w:pStyle w:val="BodyText"/>
        <w:ind w:left="1313" w:right="783"/>
      </w:pPr>
      <w:r>
        <w:rPr/>
        <w:t>(a)</w:t>
      </w:r>
      <w:r>
        <w:rPr>
          <w:spacing w:val="80"/>
        </w:rPr>
        <w:t> </w:t>
      </w:r>
      <w:r>
        <w:rPr/>
        <w:t>Except</w:t>
      </w:r>
      <w:r>
        <w:rPr>
          <w:spacing w:val="80"/>
        </w:rPr>
        <w:t> </w:t>
      </w:r>
      <w:r>
        <w:rPr/>
        <w:t>with</w:t>
      </w:r>
      <w:r>
        <w:rPr>
          <w:spacing w:val="80"/>
        </w:rPr>
        <w:t> </w:t>
      </w:r>
      <w:r>
        <w:rPr/>
        <w:t>the</w:t>
      </w:r>
      <w:r>
        <w:rPr>
          <w:spacing w:val="80"/>
        </w:rPr>
        <w:t> </w:t>
      </w:r>
      <w:r>
        <w:rPr/>
        <w:t>permission</w:t>
      </w:r>
      <w:r>
        <w:rPr>
          <w:spacing w:val="80"/>
        </w:rPr>
        <w:t> </w:t>
      </w:r>
      <w:r>
        <w:rPr/>
        <w:t>of</w:t>
      </w:r>
      <w:r>
        <w:rPr>
          <w:spacing w:val="80"/>
        </w:rPr>
        <w:t> </w:t>
      </w:r>
      <w:r>
        <w:rPr/>
        <w:t>the</w:t>
      </w:r>
      <w:r>
        <w:rPr>
          <w:spacing w:val="80"/>
        </w:rPr>
        <w:t> </w:t>
      </w:r>
      <w:r>
        <w:rPr/>
        <w:t>Commissioner,</w:t>
      </w:r>
      <w:r>
        <w:rPr>
          <w:spacing w:val="80"/>
        </w:rPr>
        <w:t> </w:t>
      </w:r>
      <w:r>
        <w:rPr/>
        <w:t>the</w:t>
      </w:r>
      <w:r>
        <w:rPr>
          <w:spacing w:val="80"/>
        </w:rPr>
        <w:t> </w:t>
      </w:r>
      <w:r>
        <w:rPr/>
        <w:t>maximum height</w:t>
      </w:r>
      <w:r>
        <w:rPr>
          <w:spacing w:val="40"/>
        </w:rPr>
        <w:t> </w:t>
      </w:r>
      <w:r>
        <w:rPr/>
        <w:t>of</w:t>
      </w:r>
      <w:r>
        <w:rPr>
          <w:spacing w:val="40"/>
        </w:rPr>
        <w:t> </w:t>
      </w:r>
      <w:r>
        <w:rPr/>
        <w:t>a</w:t>
      </w:r>
      <w:r>
        <w:rPr>
          <w:spacing w:val="40"/>
        </w:rPr>
        <w:t> </w:t>
      </w:r>
      <w:r>
        <w:rPr/>
        <w:t>boundary</w:t>
      </w:r>
      <w:r>
        <w:rPr>
          <w:spacing w:val="40"/>
        </w:rPr>
        <w:t> </w:t>
      </w:r>
      <w:r>
        <w:rPr/>
        <w:t>wall</w:t>
      </w:r>
      <w:r>
        <w:rPr>
          <w:spacing w:val="40"/>
        </w:rPr>
        <w:t> </w:t>
      </w:r>
      <w:r>
        <w:rPr/>
        <w:t>shall</w:t>
      </w:r>
      <w:r>
        <w:rPr>
          <w:spacing w:val="40"/>
        </w:rPr>
        <w:t> </w:t>
      </w:r>
      <w:r>
        <w:rPr/>
        <w:t>be</w:t>
      </w:r>
      <w:r>
        <w:rPr>
          <w:spacing w:val="40"/>
        </w:rPr>
        <w:t> </w:t>
      </w:r>
      <w:r>
        <w:rPr>
          <w:color w:val="000000"/>
          <w:shd w:fill="FFCCFF" w:color="auto" w:val="clear"/>
        </w:rPr>
        <w:t>2.4</w:t>
      </w:r>
      <w:r>
        <w:rPr>
          <w:color w:val="000000"/>
        </w:rPr>
        <w:t> m</w:t>
      </w:r>
      <w:r>
        <w:rPr>
          <w:color w:val="000000"/>
          <w:spacing w:val="40"/>
        </w:rPr>
        <w:t> </w:t>
      </w:r>
      <w:r>
        <w:rPr>
          <w:color w:val="000000"/>
        </w:rPr>
        <w:t>above</w:t>
      </w:r>
      <w:r>
        <w:rPr>
          <w:color w:val="000000"/>
          <w:spacing w:val="40"/>
        </w:rPr>
        <w:t> </w:t>
      </w:r>
      <w:r>
        <w:rPr>
          <w:color w:val="000000"/>
        </w:rPr>
        <w:t>the</w:t>
      </w:r>
      <w:r>
        <w:rPr>
          <w:color w:val="000000"/>
          <w:spacing w:val="40"/>
        </w:rPr>
        <w:t> </w:t>
      </w:r>
      <w:r>
        <w:rPr>
          <w:color w:val="000000"/>
        </w:rPr>
        <w:t>surrounding</w:t>
      </w:r>
      <w:r>
        <w:rPr>
          <w:color w:val="000000"/>
          <w:spacing w:val="40"/>
        </w:rPr>
        <w:t> </w:t>
      </w:r>
      <w:r>
        <w:rPr>
          <w:color w:val="000000"/>
        </w:rPr>
        <w:t>ground level</w:t>
      </w:r>
      <w:r>
        <w:rPr>
          <w:color w:val="000000"/>
          <w:spacing w:val="35"/>
        </w:rPr>
        <w:t> </w:t>
      </w:r>
      <w:r>
        <w:rPr>
          <w:color w:val="000000"/>
        </w:rPr>
        <w:t>of</w:t>
      </w:r>
      <w:r>
        <w:rPr>
          <w:color w:val="000000"/>
          <w:spacing w:val="35"/>
        </w:rPr>
        <w:t> </w:t>
      </w:r>
      <w:r>
        <w:rPr>
          <w:color w:val="000000"/>
        </w:rPr>
        <w:t>plot.</w:t>
      </w:r>
      <w:r>
        <w:rPr>
          <w:color w:val="000000"/>
          <w:spacing w:val="80"/>
          <w:w w:val="150"/>
        </w:rPr>
        <w:t> </w:t>
      </w:r>
      <w:r>
        <w:rPr>
          <w:color w:val="000000"/>
        </w:rPr>
        <w:t>A</w:t>
      </w:r>
      <w:r>
        <w:rPr>
          <w:color w:val="000000"/>
          <w:spacing w:val="35"/>
        </w:rPr>
        <w:t> </w:t>
      </w:r>
      <w:r>
        <w:rPr>
          <w:color w:val="000000"/>
        </w:rPr>
        <w:t>boundary</w:t>
      </w:r>
      <w:r>
        <w:rPr>
          <w:color w:val="000000"/>
          <w:spacing w:val="35"/>
        </w:rPr>
        <w:t> </w:t>
      </w:r>
      <w:r>
        <w:rPr>
          <w:color w:val="000000"/>
        </w:rPr>
        <w:t>wall</w:t>
      </w:r>
      <w:r>
        <w:rPr>
          <w:color w:val="000000"/>
          <w:spacing w:val="40"/>
        </w:rPr>
        <w:t> </w:t>
      </w:r>
      <w:r>
        <w:rPr>
          <w:color w:val="000000"/>
          <w:spacing w:val="23"/>
          <w:shd w:fill="FFCCFF" w:color="auto" w:val="clear"/>
        </w:rPr>
        <w:t> </w:t>
      </w:r>
      <w:r>
        <w:rPr>
          <w:color w:val="000000"/>
          <w:shd w:fill="FFCCFF" w:color="auto" w:val="clear"/>
        </w:rPr>
        <w:t>more</w:t>
      </w:r>
      <w:r>
        <w:rPr>
          <w:color w:val="000000"/>
          <w:spacing w:val="35"/>
          <w:shd w:fill="FFCCFF" w:color="auto" w:val="clear"/>
        </w:rPr>
        <w:t> </w:t>
      </w:r>
      <w:r>
        <w:rPr>
          <w:color w:val="000000"/>
          <w:shd w:fill="FFCCFF" w:color="auto" w:val="clear"/>
        </w:rPr>
        <w:t>than</w:t>
      </w:r>
      <w:r>
        <w:rPr>
          <w:color w:val="000000"/>
          <w:spacing w:val="37"/>
        </w:rPr>
        <w:t> </w:t>
      </w:r>
      <w:r>
        <w:rPr>
          <w:color w:val="000000"/>
        </w:rPr>
        <w:t>2.4</w:t>
      </w:r>
      <w:r>
        <w:rPr>
          <w:color w:val="000000"/>
          <w:spacing w:val="35"/>
        </w:rPr>
        <w:t> </w:t>
      </w:r>
      <w:r>
        <w:rPr>
          <w:color w:val="000000"/>
        </w:rPr>
        <w:t>m</w:t>
      </w:r>
      <w:r>
        <w:rPr>
          <w:color w:val="000000"/>
          <w:spacing w:val="35"/>
        </w:rPr>
        <w:t> </w:t>
      </w:r>
      <w:r>
        <w:rPr>
          <w:color w:val="000000"/>
        </w:rPr>
        <w:t>height</w:t>
      </w:r>
      <w:r>
        <w:rPr>
          <w:color w:val="000000"/>
          <w:spacing w:val="35"/>
        </w:rPr>
        <w:t> </w:t>
      </w:r>
      <w:r>
        <w:rPr>
          <w:color w:val="000000"/>
        </w:rPr>
        <w:t>may</w:t>
      </w:r>
      <w:r>
        <w:rPr>
          <w:color w:val="000000"/>
          <w:spacing w:val="35"/>
        </w:rPr>
        <w:t> </w:t>
      </w:r>
      <w:r>
        <w:rPr>
          <w:color w:val="000000"/>
        </w:rPr>
        <w:t>be</w:t>
      </w:r>
      <w:r>
        <w:rPr>
          <w:color w:val="000000"/>
          <w:spacing w:val="35"/>
        </w:rPr>
        <w:t> </w:t>
      </w:r>
      <w:r>
        <w:rPr>
          <w:color w:val="000000"/>
        </w:rPr>
        <w:t>permitted if the top 0.9m is of open type construction, to </w:t>
      </w:r>
      <w:r>
        <w:rPr>
          <w:color w:val="000000"/>
          <w:spacing w:val="9"/>
        </w:rPr>
        <w:t>facilitate </w:t>
      </w:r>
      <w:r>
        <w:rPr>
          <w:color w:val="000000"/>
        </w:rPr>
        <w:t>through vision.</w:t>
      </w:r>
      <w:r>
        <w:rPr>
          <w:color w:val="000000"/>
          <w:spacing w:val="40"/>
        </w:rPr>
        <w:t> </w:t>
      </w:r>
      <w:r>
        <w:rPr>
          <w:color w:val="000000"/>
        </w:rPr>
        <w:t>(b)At a corner plot, the height of the boundary wall shall be restricted to 0.75m</w:t>
      </w:r>
      <w:r>
        <w:rPr>
          <w:color w:val="000000"/>
          <w:spacing w:val="39"/>
        </w:rPr>
        <w:t> </w:t>
      </w:r>
      <w:r>
        <w:rPr>
          <w:color w:val="000000"/>
        </w:rPr>
        <w:t>for</w:t>
      </w:r>
      <w:r>
        <w:rPr>
          <w:color w:val="000000"/>
          <w:spacing w:val="39"/>
        </w:rPr>
        <w:t> </w:t>
      </w:r>
      <w:r>
        <w:rPr>
          <w:color w:val="000000"/>
        </w:rPr>
        <w:t>a</w:t>
      </w:r>
      <w:r>
        <w:rPr>
          <w:color w:val="000000"/>
          <w:spacing w:val="39"/>
        </w:rPr>
        <w:t> </w:t>
      </w:r>
      <w:r>
        <w:rPr>
          <w:color w:val="000000"/>
        </w:rPr>
        <w:t>length</w:t>
      </w:r>
      <w:r>
        <w:rPr>
          <w:color w:val="000000"/>
          <w:spacing w:val="40"/>
        </w:rPr>
        <w:t> </w:t>
      </w:r>
      <w:r>
        <w:rPr>
          <w:color w:val="000000"/>
        </w:rPr>
        <w:t>of</w:t>
      </w:r>
      <w:r>
        <w:rPr>
          <w:color w:val="000000"/>
          <w:spacing w:val="39"/>
        </w:rPr>
        <w:t> </w:t>
      </w:r>
      <w:r>
        <w:rPr>
          <w:color w:val="000000"/>
        </w:rPr>
        <w:t>10m</w:t>
      </w:r>
      <w:r>
        <w:rPr>
          <w:color w:val="000000"/>
          <w:spacing w:val="40"/>
        </w:rPr>
        <w:t> </w:t>
      </w:r>
      <w:r>
        <w:rPr>
          <w:color w:val="000000"/>
        </w:rPr>
        <w:t>on</w:t>
      </w:r>
      <w:r>
        <w:rPr>
          <w:color w:val="000000"/>
          <w:spacing w:val="39"/>
        </w:rPr>
        <w:t> </w:t>
      </w:r>
      <w:r>
        <w:rPr>
          <w:color w:val="000000"/>
        </w:rPr>
        <w:t>the</w:t>
      </w:r>
      <w:r>
        <w:rPr>
          <w:color w:val="000000"/>
          <w:spacing w:val="39"/>
        </w:rPr>
        <w:t> </w:t>
      </w:r>
      <w:r>
        <w:rPr>
          <w:color w:val="000000"/>
        </w:rPr>
        <w:t>front</w:t>
      </w:r>
      <w:r>
        <w:rPr>
          <w:color w:val="000000"/>
          <w:spacing w:val="39"/>
        </w:rPr>
        <w:t> </w:t>
      </w:r>
      <w:r>
        <w:rPr>
          <w:color w:val="000000"/>
        </w:rPr>
        <w:t>and</w:t>
      </w:r>
      <w:r>
        <w:rPr>
          <w:color w:val="000000"/>
          <w:spacing w:val="39"/>
        </w:rPr>
        <w:t> </w:t>
      </w:r>
      <w:r>
        <w:rPr>
          <w:color w:val="000000"/>
        </w:rPr>
        <w:t>side</w:t>
      </w:r>
      <w:r>
        <w:rPr>
          <w:color w:val="000000"/>
          <w:spacing w:val="39"/>
        </w:rPr>
        <w:t> </w:t>
      </w:r>
      <w:r>
        <w:rPr>
          <w:color w:val="000000"/>
        </w:rPr>
        <w:t>of</w:t>
      </w:r>
      <w:r>
        <w:rPr>
          <w:color w:val="000000"/>
          <w:spacing w:val="40"/>
        </w:rPr>
        <w:t> </w:t>
      </w:r>
      <w:r>
        <w:rPr>
          <w:color w:val="000000"/>
        </w:rPr>
        <w:t>the</w:t>
      </w:r>
      <w:r>
        <w:rPr>
          <w:color w:val="000000"/>
          <w:spacing w:val="12"/>
        </w:rPr>
        <w:t> inter-</w:t>
      </w:r>
      <w:r>
        <w:rPr>
          <w:color w:val="000000"/>
        </w:rPr>
        <w:t>section</w:t>
      </w:r>
      <w:r>
        <w:rPr>
          <w:color w:val="000000"/>
          <w:spacing w:val="39"/>
        </w:rPr>
        <w:t> </w:t>
      </w:r>
      <w:r>
        <w:rPr>
          <w:color w:val="000000"/>
        </w:rPr>
        <w:t>and the</w:t>
      </w:r>
      <w:r>
        <w:rPr>
          <w:color w:val="000000"/>
          <w:spacing w:val="40"/>
        </w:rPr>
        <w:t> </w:t>
      </w:r>
      <w:r>
        <w:rPr>
          <w:color w:val="000000"/>
        </w:rPr>
        <w:t>balance</w:t>
      </w:r>
      <w:r>
        <w:rPr>
          <w:color w:val="000000"/>
          <w:spacing w:val="40"/>
        </w:rPr>
        <w:t> </w:t>
      </w:r>
      <w:r>
        <w:rPr>
          <w:color w:val="000000"/>
        </w:rPr>
        <w:t>height</w:t>
      </w:r>
      <w:r>
        <w:rPr>
          <w:color w:val="000000"/>
          <w:spacing w:val="40"/>
        </w:rPr>
        <w:t> </w:t>
      </w:r>
      <w:r>
        <w:rPr>
          <w:color w:val="000000"/>
        </w:rPr>
        <w:t>of</w:t>
      </w:r>
      <w:r>
        <w:rPr>
          <w:color w:val="000000"/>
          <w:spacing w:val="40"/>
        </w:rPr>
        <w:t> </w:t>
      </w:r>
      <w:r>
        <w:rPr>
          <w:color w:val="000000"/>
        </w:rPr>
        <w:t>0.75m</w:t>
      </w:r>
      <w:r>
        <w:rPr>
          <w:color w:val="000000"/>
          <w:spacing w:val="40"/>
        </w:rPr>
        <w:t> </w:t>
      </w:r>
      <w:r>
        <w:rPr>
          <w:color w:val="000000"/>
        </w:rPr>
        <w:t>if</w:t>
      </w:r>
      <w:r>
        <w:rPr>
          <w:color w:val="000000"/>
          <w:spacing w:val="40"/>
        </w:rPr>
        <w:t> </w:t>
      </w:r>
      <w:r>
        <w:rPr>
          <w:color w:val="000000"/>
        </w:rPr>
        <w:t>required</w:t>
      </w:r>
      <w:r>
        <w:rPr>
          <w:color w:val="000000"/>
          <w:spacing w:val="40"/>
        </w:rPr>
        <w:t> </w:t>
      </w:r>
      <w:r>
        <w:rPr>
          <w:color w:val="000000"/>
        </w:rPr>
        <w:t>in</w:t>
      </w:r>
      <w:r>
        <w:rPr>
          <w:color w:val="000000"/>
          <w:spacing w:val="40"/>
        </w:rPr>
        <w:t> </w:t>
      </w:r>
      <w:r>
        <w:rPr>
          <w:color w:val="000000"/>
        </w:rPr>
        <w:t>accordance</w:t>
      </w:r>
      <w:r>
        <w:rPr>
          <w:color w:val="000000"/>
          <w:spacing w:val="40"/>
        </w:rPr>
        <w:t> </w:t>
      </w:r>
      <w:r>
        <w:rPr>
          <w:color w:val="000000"/>
        </w:rPr>
        <w:t>with</w:t>
      </w:r>
      <w:r>
        <w:rPr>
          <w:color w:val="000000"/>
          <w:spacing w:val="40"/>
        </w:rPr>
        <w:t> </w:t>
      </w:r>
      <w:r>
        <w:rPr>
          <w:color w:val="000000"/>
        </w:rPr>
        <w:t>(i)</w:t>
      </w:r>
      <w:r>
        <w:rPr>
          <w:color w:val="000000"/>
          <w:spacing w:val="40"/>
        </w:rPr>
        <w:t> </w:t>
      </w:r>
      <w:r>
        <w:rPr>
          <w:color w:val="000000"/>
        </w:rPr>
        <w:t>above</w:t>
      </w:r>
      <w:r>
        <w:rPr>
          <w:color w:val="000000"/>
          <w:spacing w:val="40"/>
        </w:rPr>
        <w:t> </w:t>
      </w:r>
      <w:r>
        <w:rPr>
          <w:color w:val="000000"/>
        </w:rPr>
        <w:t>may be</w:t>
      </w:r>
      <w:r>
        <w:rPr>
          <w:color w:val="000000"/>
          <w:spacing w:val="40"/>
        </w:rPr>
        <w:t> </w:t>
      </w:r>
      <w:r>
        <w:rPr>
          <w:color w:val="000000"/>
        </w:rPr>
        <w:t>made</w:t>
      </w:r>
      <w:r>
        <w:rPr>
          <w:color w:val="000000"/>
          <w:spacing w:val="80"/>
        </w:rPr>
        <w:t> </w:t>
      </w:r>
      <w:r>
        <w:rPr>
          <w:color w:val="000000"/>
        </w:rPr>
        <w:t>up</w:t>
      </w:r>
      <w:r>
        <w:rPr>
          <w:color w:val="000000"/>
          <w:spacing w:val="40"/>
        </w:rPr>
        <w:t> </w:t>
      </w:r>
      <w:r>
        <w:rPr>
          <w:color w:val="000000"/>
        </w:rPr>
        <w:t>of</w:t>
      </w:r>
      <w:r>
        <w:rPr>
          <w:color w:val="000000"/>
          <w:spacing w:val="80"/>
        </w:rPr>
        <w:t> </w:t>
      </w:r>
      <w:r>
        <w:rPr>
          <w:color w:val="000000"/>
        </w:rPr>
        <w:t>open</w:t>
      </w:r>
      <w:r>
        <w:rPr>
          <w:color w:val="000000"/>
          <w:spacing w:val="40"/>
        </w:rPr>
        <w:t> </w:t>
      </w:r>
      <w:r>
        <w:rPr>
          <w:color w:val="000000"/>
        </w:rPr>
        <w:t>type</w:t>
      </w:r>
      <w:r>
        <w:rPr>
          <w:color w:val="000000"/>
          <w:spacing w:val="40"/>
        </w:rPr>
        <w:t> </w:t>
      </w:r>
      <w:r>
        <w:rPr>
          <w:color w:val="000000"/>
        </w:rPr>
        <w:t>construction</w:t>
      </w:r>
      <w:r>
        <w:rPr>
          <w:color w:val="000000"/>
          <w:spacing w:val="40"/>
        </w:rPr>
        <w:t> </w:t>
      </w:r>
      <w:r>
        <w:rPr>
          <w:color w:val="000000"/>
        </w:rPr>
        <w:t>(through</w:t>
      </w:r>
      <w:r>
        <w:rPr>
          <w:color w:val="000000"/>
          <w:spacing w:val="40"/>
        </w:rPr>
        <w:t> </w:t>
      </w:r>
      <w:r>
        <w:rPr>
          <w:color w:val="000000"/>
        </w:rPr>
        <w:t>railings).</w:t>
      </w:r>
    </w:p>
    <w:p>
      <w:pPr>
        <w:pStyle w:val="ListParagraph"/>
        <w:numPr>
          <w:ilvl w:val="0"/>
          <w:numId w:val="254"/>
        </w:numPr>
        <w:tabs>
          <w:tab w:pos="1731" w:val="left" w:leader="none"/>
        </w:tabs>
        <w:spacing w:line="240" w:lineRule="auto" w:before="0" w:after="0"/>
        <w:ind w:left="1313" w:right="796" w:firstLine="0"/>
        <w:jc w:val="both"/>
        <w:rPr>
          <w:sz w:val="24"/>
        </w:rPr>
      </w:pP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(a)</w:t>
      </w:r>
      <w:r>
        <w:rPr>
          <w:spacing w:val="40"/>
          <w:sz w:val="24"/>
        </w:rPr>
        <w:t> </w:t>
      </w:r>
      <w:r>
        <w:rPr>
          <w:sz w:val="24"/>
        </w:rPr>
        <w:t>and</w:t>
      </w:r>
      <w:r>
        <w:rPr>
          <w:spacing w:val="40"/>
          <w:sz w:val="24"/>
        </w:rPr>
        <w:t> </w:t>
      </w:r>
      <w:r>
        <w:rPr>
          <w:sz w:val="24"/>
        </w:rPr>
        <w:t>(b)</w:t>
      </w:r>
      <w:r>
        <w:rPr>
          <w:spacing w:val="40"/>
          <w:sz w:val="24"/>
        </w:rPr>
        <w:t> </w:t>
      </w:r>
      <w:r>
        <w:rPr>
          <w:sz w:val="24"/>
        </w:rPr>
        <w:t>above</w:t>
      </w:r>
      <w:r>
        <w:rPr>
          <w:spacing w:val="40"/>
          <w:sz w:val="24"/>
        </w:rPr>
        <w:t> </w:t>
      </w:r>
      <w:r>
        <w:rPr>
          <w:sz w:val="24"/>
        </w:rPr>
        <w:t>will</w:t>
      </w:r>
      <w:r>
        <w:rPr>
          <w:spacing w:val="40"/>
          <w:sz w:val="24"/>
        </w:rPr>
        <w:t> </w:t>
      </w:r>
      <w:r>
        <w:rPr>
          <w:sz w:val="24"/>
        </w:rPr>
        <w:t>not</w:t>
      </w:r>
      <w:r>
        <w:rPr>
          <w:spacing w:val="40"/>
          <w:sz w:val="24"/>
        </w:rPr>
        <w:t> </w:t>
      </w:r>
      <w:r>
        <w:rPr>
          <w:sz w:val="24"/>
        </w:rPr>
        <w:t>apply</w:t>
      </w:r>
      <w:r>
        <w:rPr>
          <w:spacing w:val="40"/>
          <w:sz w:val="24"/>
        </w:rPr>
        <w:t> </w:t>
      </w:r>
      <w:r>
        <w:rPr>
          <w:sz w:val="24"/>
        </w:rPr>
        <w:t>to</w:t>
      </w:r>
      <w:r>
        <w:rPr>
          <w:spacing w:val="40"/>
          <w:sz w:val="24"/>
        </w:rPr>
        <w:t> </w:t>
      </w:r>
      <w:r>
        <w:rPr>
          <w:sz w:val="24"/>
        </w:rPr>
        <w:t>the</w:t>
      </w:r>
      <w:r>
        <w:rPr>
          <w:spacing w:val="40"/>
          <w:sz w:val="24"/>
        </w:rPr>
        <w:t> </w:t>
      </w:r>
      <w:r>
        <w:rPr>
          <w:sz w:val="24"/>
        </w:rPr>
        <w:t>boundary walls</w:t>
      </w:r>
      <w:r>
        <w:rPr>
          <w:spacing w:val="80"/>
          <w:sz w:val="24"/>
        </w:rPr>
        <w:t> </w:t>
      </w:r>
      <w:r>
        <w:rPr>
          <w:sz w:val="24"/>
        </w:rPr>
        <w:t>of</w:t>
      </w:r>
      <w:r>
        <w:rPr>
          <w:spacing w:val="80"/>
          <w:sz w:val="24"/>
        </w:rPr>
        <w:t> </w:t>
      </w:r>
      <w:r>
        <w:rPr>
          <w:sz w:val="24"/>
        </w:rPr>
        <w:t>correction</w:t>
      </w:r>
      <w:r>
        <w:rPr>
          <w:spacing w:val="80"/>
          <w:sz w:val="24"/>
        </w:rPr>
        <w:t> </w:t>
      </w:r>
      <w:r>
        <w:rPr>
          <w:sz w:val="24"/>
        </w:rPr>
        <w:t>facilities</w:t>
      </w:r>
      <w:r>
        <w:rPr>
          <w:spacing w:val="80"/>
          <w:sz w:val="24"/>
        </w:rPr>
        <w:t> </w:t>
      </w:r>
      <w:r>
        <w:rPr>
          <w:sz w:val="24"/>
        </w:rPr>
        <w:t>(jails/prison/remand</w:t>
      </w:r>
      <w:r>
        <w:rPr>
          <w:spacing w:val="80"/>
          <w:sz w:val="24"/>
        </w:rPr>
        <w:t> </w:t>
      </w:r>
      <w:r>
        <w:rPr>
          <w:spacing w:val="9"/>
          <w:sz w:val="24"/>
        </w:rPr>
        <w:t>home).</w:t>
      </w:r>
    </w:p>
    <w:p>
      <w:pPr>
        <w:pStyle w:val="ListParagraph"/>
        <w:numPr>
          <w:ilvl w:val="0"/>
          <w:numId w:val="254"/>
        </w:numPr>
        <w:tabs>
          <w:tab w:pos="1836" w:val="left" w:leader="none"/>
        </w:tabs>
        <w:spacing w:line="240" w:lineRule="auto" w:before="1" w:after="0"/>
        <w:ind w:left="1313" w:right="771" w:firstLine="0"/>
        <w:jc w:val="both"/>
        <w:rPr>
          <w:sz w:val="24"/>
        </w:rPr>
      </w:pPr>
      <w:r>
        <w:rPr>
          <w:sz w:val="24"/>
        </w:rPr>
        <w:t>In</w:t>
      </w:r>
      <w:r>
        <w:rPr>
          <w:spacing w:val="40"/>
          <w:sz w:val="24"/>
        </w:rPr>
        <w:t> </w:t>
      </w:r>
      <w:r>
        <w:rPr>
          <w:sz w:val="24"/>
        </w:rPr>
        <w:t>case</w:t>
      </w:r>
      <w:r>
        <w:rPr>
          <w:spacing w:val="40"/>
          <w:sz w:val="24"/>
        </w:rPr>
        <w:t> </w:t>
      </w:r>
      <w:r>
        <w:rPr>
          <w:sz w:val="24"/>
        </w:rPr>
        <w:t>of</w:t>
      </w:r>
      <w:r>
        <w:rPr>
          <w:spacing w:val="40"/>
          <w:sz w:val="24"/>
        </w:rPr>
        <w:t> </w:t>
      </w:r>
      <w:r>
        <w:rPr>
          <w:sz w:val="24"/>
        </w:rPr>
        <w:t>,</w:t>
      </w:r>
      <w:r>
        <w:rPr>
          <w:spacing w:val="40"/>
          <w:sz w:val="24"/>
        </w:rPr>
        <w:t> </w:t>
      </w:r>
      <w:r>
        <w:rPr>
          <w:sz w:val="24"/>
        </w:rPr>
        <w:t>transformer</w:t>
      </w:r>
      <w:r>
        <w:rPr>
          <w:spacing w:val="40"/>
          <w:sz w:val="24"/>
        </w:rPr>
        <w:t> </w:t>
      </w:r>
      <w:r>
        <w:rPr>
          <w:sz w:val="24"/>
        </w:rPr>
        <w:t>stations,</w:t>
      </w:r>
      <w:r>
        <w:rPr>
          <w:spacing w:val="40"/>
          <w:sz w:val="24"/>
        </w:rPr>
        <w:t> </w:t>
      </w:r>
      <w:r>
        <w:rPr>
          <w:sz w:val="24"/>
        </w:rPr>
        <w:t>institutional</w:t>
      </w:r>
      <w:r>
        <w:rPr>
          <w:spacing w:val="40"/>
          <w:sz w:val="24"/>
        </w:rPr>
        <w:t> </w:t>
      </w:r>
      <w:r>
        <w:rPr>
          <w:sz w:val="24"/>
        </w:rPr>
        <w:t>buildings</w:t>
      </w:r>
      <w:r>
        <w:rPr>
          <w:spacing w:val="40"/>
          <w:sz w:val="24"/>
        </w:rPr>
        <w:t> </w:t>
      </w:r>
      <w:r>
        <w:rPr>
          <w:spacing w:val="9"/>
          <w:sz w:val="24"/>
        </w:rPr>
        <w:t>like </w:t>
      </w:r>
      <w:r>
        <w:rPr>
          <w:sz w:val="24"/>
        </w:rPr>
        <w:t>sanatoria,</w:t>
      </w:r>
      <w:r>
        <w:rPr>
          <w:spacing w:val="80"/>
          <w:sz w:val="24"/>
        </w:rPr>
        <w:t> </w:t>
      </w:r>
      <w:r>
        <w:rPr>
          <w:sz w:val="24"/>
        </w:rPr>
        <w:t>hospitals,</w:t>
      </w:r>
      <w:r>
        <w:rPr>
          <w:spacing w:val="80"/>
          <w:sz w:val="24"/>
        </w:rPr>
        <w:t> </w:t>
      </w:r>
      <w:r>
        <w:rPr>
          <w:sz w:val="24"/>
        </w:rPr>
        <w:t>educational</w:t>
      </w:r>
      <w:r>
        <w:rPr>
          <w:spacing w:val="80"/>
          <w:sz w:val="24"/>
        </w:rPr>
        <w:t> </w:t>
      </w:r>
      <w:r>
        <w:rPr>
          <w:sz w:val="24"/>
        </w:rPr>
        <w:t>buildings</w:t>
      </w:r>
      <w:r>
        <w:rPr>
          <w:spacing w:val="80"/>
          <w:sz w:val="24"/>
        </w:rPr>
        <w:t> </w:t>
      </w:r>
      <w:r>
        <w:rPr>
          <w:sz w:val="24"/>
        </w:rPr>
        <w:t>like</w:t>
      </w:r>
      <w:r>
        <w:rPr>
          <w:spacing w:val="80"/>
          <w:sz w:val="24"/>
        </w:rPr>
        <w:t> </w:t>
      </w:r>
      <w:r>
        <w:rPr>
          <w:sz w:val="24"/>
        </w:rPr>
        <w:t>schools,</w:t>
      </w:r>
      <w:r>
        <w:rPr>
          <w:spacing w:val="80"/>
          <w:sz w:val="24"/>
        </w:rPr>
        <w:t> </w:t>
      </w:r>
      <w:r>
        <w:rPr>
          <w:sz w:val="24"/>
        </w:rPr>
        <w:t>colleges, including hostels, industrial buildings and other uses of public utility undertakings,</w:t>
      </w:r>
      <w:r>
        <w:rPr>
          <w:spacing w:val="71"/>
          <w:sz w:val="24"/>
        </w:rPr>
        <w:t> </w:t>
      </w:r>
      <w:r>
        <w:rPr>
          <w:sz w:val="24"/>
        </w:rPr>
        <w:t>a</w:t>
      </w:r>
      <w:r>
        <w:rPr>
          <w:spacing w:val="67"/>
          <w:sz w:val="24"/>
        </w:rPr>
        <w:t> </w:t>
      </w:r>
      <w:r>
        <w:rPr>
          <w:sz w:val="24"/>
        </w:rPr>
        <w:t>height</w:t>
      </w:r>
      <w:r>
        <w:rPr>
          <w:spacing w:val="69"/>
          <w:sz w:val="24"/>
        </w:rPr>
        <w:t> </w:t>
      </w:r>
      <w:r>
        <w:rPr>
          <w:sz w:val="24"/>
        </w:rPr>
        <w:t>upto</w:t>
      </w:r>
      <w:r>
        <w:rPr>
          <w:spacing w:val="71"/>
          <w:sz w:val="24"/>
        </w:rPr>
        <w:t> </w:t>
      </w:r>
      <w:r>
        <w:rPr>
          <w:sz w:val="24"/>
        </w:rPr>
        <w:t>2.4m</w:t>
      </w:r>
      <w:r>
        <w:rPr>
          <w:spacing w:val="69"/>
          <w:sz w:val="24"/>
        </w:rPr>
        <w:t> </w:t>
      </w:r>
      <w:r>
        <w:rPr>
          <w:sz w:val="24"/>
        </w:rPr>
        <w:t>may</w:t>
      </w:r>
      <w:r>
        <w:rPr>
          <w:spacing w:val="69"/>
          <w:sz w:val="24"/>
        </w:rPr>
        <w:t> </w:t>
      </w:r>
      <w:r>
        <w:rPr>
          <w:sz w:val="24"/>
        </w:rPr>
        <w:t>be</w:t>
      </w:r>
      <w:r>
        <w:rPr>
          <w:spacing w:val="69"/>
          <w:sz w:val="24"/>
        </w:rPr>
        <w:t> </w:t>
      </w:r>
      <w:r>
        <w:rPr>
          <w:sz w:val="24"/>
        </w:rPr>
        <w:t>permitted</w:t>
      </w:r>
      <w:r>
        <w:rPr>
          <w:spacing w:val="74"/>
          <w:sz w:val="24"/>
        </w:rPr>
        <w:t> </w:t>
      </w:r>
      <w:r>
        <w:rPr>
          <w:color w:val="000000"/>
          <w:sz w:val="24"/>
          <w:shd w:fill="FFCCFF" w:color="auto" w:val="clear"/>
        </w:rPr>
        <w:t>.</w:t>
      </w:r>
      <w:r>
        <w:rPr>
          <w:color w:val="000000"/>
          <w:spacing w:val="71"/>
          <w:sz w:val="24"/>
          <w:shd w:fill="FFCCFF" w:color="auto" w:val="clear"/>
        </w:rPr>
        <w:t> </w:t>
      </w:r>
      <w:r>
        <w:rPr>
          <w:color w:val="000000"/>
          <w:sz w:val="24"/>
          <w:shd w:fill="FFCCFF" w:color="auto" w:val="clear"/>
        </w:rPr>
        <w:t>However,</w:t>
      </w:r>
      <w:r>
        <w:rPr>
          <w:color w:val="000000"/>
          <w:spacing w:val="71"/>
          <w:sz w:val="24"/>
          <w:shd w:fill="FFCCFF" w:color="auto" w:val="clear"/>
        </w:rPr>
        <w:t> </w:t>
      </w:r>
      <w:r>
        <w:rPr>
          <w:color w:val="000000"/>
          <w:sz w:val="24"/>
          <w:shd w:fill="FFCCFF" w:color="auto" w:val="clear"/>
        </w:rPr>
        <w:t>in</w:t>
      </w:r>
      <w:r>
        <w:rPr>
          <w:color w:val="000000"/>
          <w:spacing w:val="69"/>
          <w:sz w:val="24"/>
          <w:shd w:fill="FFCCFF" w:color="auto" w:val="clear"/>
        </w:rPr>
        <w:t> </w:t>
      </w:r>
      <w:r>
        <w:rPr>
          <w:color w:val="000000"/>
          <w:sz w:val="24"/>
          <w:shd w:fill="FFCCFF" w:color="auto" w:val="clear"/>
        </w:rPr>
        <w:t>case</w:t>
      </w:r>
      <w:r>
        <w:rPr>
          <w:color w:val="000000"/>
          <w:sz w:val="24"/>
        </w:rPr>
        <w:t> </w:t>
      </w:r>
      <w:r>
        <w:rPr>
          <w:color w:val="000000"/>
          <w:sz w:val="24"/>
          <w:shd w:fill="FFCCFF" w:color="auto" w:val="clear"/>
        </w:rPr>
        <w:t>of</w:t>
      </w:r>
      <w:r>
        <w:rPr>
          <w:color w:val="000000"/>
          <w:spacing w:val="40"/>
          <w:sz w:val="24"/>
          <w:shd w:fill="FFCCFF" w:color="auto" w:val="clear"/>
        </w:rPr>
        <w:t> </w:t>
      </w:r>
      <w:r>
        <w:rPr>
          <w:color w:val="000000"/>
          <w:sz w:val="24"/>
          <w:shd w:fill="FFCCFF" w:color="auto" w:val="clear"/>
        </w:rPr>
        <w:t>electric</w:t>
      </w:r>
      <w:r>
        <w:rPr>
          <w:color w:val="000000"/>
          <w:spacing w:val="40"/>
          <w:sz w:val="24"/>
          <w:shd w:fill="FFCCFF" w:color="auto" w:val="clear"/>
        </w:rPr>
        <w:t> </w:t>
      </w:r>
      <w:r>
        <w:rPr>
          <w:color w:val="000000"/>
          <w:spacing w:val="9"/>
          <w:sz w:val="24"/>
          <w:shd w:fill="FFCCFF" w:color="auto" w:val="clear"/>
        </w:rPr>
        <w:t>sub-</w:t>
      </w:r>
      <w:r>
        <w:rPr>
          <w:color w:val="000000"/>
          <w:sz w:val="24"/>
          <w:shd w:fill="FFCCFF" w:color="auto" w:val="clear"/>
        </w:rPr>
        <w:t>stations</w:t>
      </w:r>
      <w:r>
        <w:rPr>
          <w:color w:val="000000"/>
          <w:spacing w:val="40"/>
          <w:sz w:val="24"/>
          <w:shd w:fill="FFCCFF" w:color="auto" w:val="clear"/>
        </w:rPr>
        <w:t> </w:t>
      </w:r>
      <w:r>
        <w:rPr>
          <w:color w:val="000000"/>
          <w:sz w:val="24"/>
          <w:shd w:fill="FFCCFF" w:color="auto" w:val="clear"/>
        </w:rPr>
        <w:t>a</w:t>
      </w:r>
      <w:r>
        <w:rPr>
          <w:color w:val="000000"/>
          <w:spacing w:val="40"/>
          <w:sz w:val="24"/>
          <w:shd w:fill="FFCCFF" w:color="auto" w:val="clear"/>
        </w:rPr>
        <w:t> </w:t>
      </w:r>
      <w:r>
        <w:rPr>
          <w:color w:val="000000"/>
          <w:sz w:val="24"/>
          <w:shd w:fill="FFCCFF" w:color="auto" w:val="clear"/>
        </w:rPr>
        <w:t>height</w:t>
      </w:r>
      <w:r>
        <w:rPr>
          <w:color w:val="000000"/>
          <w:spacing w:val="40"/>
          <w:sz w:val="24"/>
          <w:shd w:fill="FFCCFF" w:color="auto" w:val="clear"/>
        </w:rPr>
        <w:t> </w:t>
      </w:r>
      <w:r>
        <w:rPr>
          <w:color w:val="000000"/>
          <w:sz w:val="24"/>
          <w:shd w:fill="FFCCFF" w:color="auto" w:val="clear"/>
        </w:rPr>
        <w:t>up</w:t>
      </w:r>
      <w:r>
        <w:rPr>
          <w:color w:val="000000"/>
          <w:spacing w:val="40"/>
          <w:sz w:val="24"/>
          <w:shd w:fill="FFCCFF" w:color="auto" w:val="clear"/>
        </w:rPr>
        <w:t> </w:t>
      </w:r>
      <w:r>
        <w:rPr>
          <w:color w:val="000000"/>
          <w:sz w:val="24"/>
          <w:shd w:fill="FFCCFF" w:color="auto" w:val="clear"/>
        </w:rPr>
        <w:t>to</w:t>
      </w:r>
      <w:r>
        <w:rPr>
          <w:color w:val="000000"/>
          <w:spacing w:val="40"/>
          <w:sz w:val="24"/>
          <w:shd w:fill="FFCCFF" w:color="auto" w:val="clear"/>
        </w:rPr>
        <w:t> </w:t>
      </w:r>
      <w:r>
        <w:rPr>
          <w:color w:val="000000"/>
          <w:sz w:val="24"/>
          <w:shd w:fill="FFCCFF" w:color="auto" w:val="clear"/>
        </w:rPr>
        <w:t>3.6</w:t>
      </w:r>
      <w:r>
        <w:rPr>
          <w:color w:val="000000"/>
          <w:spacing w:val="40"/>
          <w:sz w:val="24"/>
          <w:shd w:fill="FFCCFF" w:color="auto" w:val="clear"/>
        </w:rPr>
        <w:t> </w:t>
      </w:r>
      <w:r>
        <w:rPr>
          <w:color w:val="000000"/>
          <w:sz w:val="24"/>
          <w:shd w:fill="FFCCFF" w:color="auto" w:val="clear"/>
        </w:rPr>
        <w:t>m</w:t>
      </w:r>
      <w:r>
        <w:rPr>
          <w:color w:val="000000"/>
          <w:spacing w:val="40"/>
          <w:sz w:val="24"/>
          <w:shd w:fill="FFCCFF" w:color="auto" w:val="clear"/>
        </w:rPr>
        <w:t> </w:t>
      </w:r>
      <w:r>
        <w:rPr>
          <w:color w:val="000000"/>
          <w:sz w:val="24"/>
          <w:shd w:fill="FFCCFF" w:color="auto" w:val="clear"/>
        </w:rPr>
        <w:t>may</w:t>
      </w:r>
      <w:r>
        <w:rPr>
          <w:color w:val="000000"/>
          <w:spacing w:val="40"/>
          <w:sz w:val="24"/>
          <w:shd w:fill="FFCCFF" w:color="auto" w:val="clear"/>
        </w:rPr>
        <w:t> </w:t>
      </w:r>
      <w:r>
        <w:rPr>
          <w:color w:val="000000"/>
          <w:sz w:val="24"/>
          <w:shd w:fill="FFCCFF" w:color="auto" w:val="clear"/>
        </w:rPr>
        <w:t>be</w:t>
      </w:r>
      <w:r>
        <w:rPr>
          <w:color w:val="000000"/>
          <w:spacing w:val="40"/>
          <w:sz w:val="24"/>
          <w:shd w:fill="FFCCFF" w:color="auto" w:val="clear"/>
        </w:rPr>
        <w:t> </w:t>
      </w:r>
      <w:r>
        <w:rPr>
          <w:color w:val="000000"/>
          <w:sz w:val="24"/>
          <w:shd w:fill="FFCCFF" w:color="auto" w:val="clear"/>
        </w:rPr>
        <w:t>permitted.</w:t>
      </w:r>
    </w:p>
    <w:p>
      <w:pPr>
        <w:pStyle w:val="ListParagraph"/>
        <w:numPr>
          <w:ilvl w:val="0"/>
          <w:numId w:val="254"/>
        </w:numPr>
        <w:tabs>
          <w:tab w:pos="1762" w:val="left" w:leader="none"/>
        </w:tabs>
        <w:spacing w:line="240" w:lineRule="auto" w:before="0" w:after="0"/>
        <w:ind w:left="1313" w:right="771" w:firstLine="0"/>
        <w:jc w:val="both"/>
        <w:rPr>
          <w:sz w:val="24"/>
        </w:rPr>
      </w:pPr>
      <w:r>
        <w:rPr>
          <w:sz w:val="24"/>
        </w:rPr>
        <w:t>In case a boundary wall around a POS such asPlay Ground, is contemplated,</w:t>
      </w:r>
      <w:r>
        <w:rPr>
          <w:spacing w:val="80"/>
          <w:sz w:val="24"/>
        </w:rPr>
        <w:t> </w:t>
      </w:r>
      <w:r>
        <w:rPr>
          <w:sz w:val="24"/>
        </w:rPr>
        <w:t>the</w:t>
      </w:r>
      <w:r>
        <w:rPr>
          <w:spacing w:val="80"/>
          <w:sz w:val="24"/>
        </w:rPr>
        <w:t> </w:t>
      </w:r>
      <w:r>
        <w:rPr>
          <w:sz w:val="24"/>
        </w:rPr>
        <w:t>height</w:t>
      </w:r>
      <w:r>
        <w:rPr>
          <w:spacing w:val="80"/>
          <w:sz w:val="24"/>
        </w:rPr>
        <w:t> </w:t>
      </w:r>
      <w:r>
        <w:rPr>
          <w:sz w:val="24"/>
        </w:rPr>
        <w:t>of</w:t>
      </w:r>
      <w:r>
        <w:rPr>
          <w:spacing w:val="80"/>
          <w:sz w:val="24"/>
        </w:rPr>
        <w:t> </w:t>
      </w:r>
      <w:r>
        <w:rPr>
          <w:sz w:val="24"/>
        </w:rPr>
        <w:t>Boundary</w:t>
      </w:r>
      <w:r>
        <w:rPr>
          <w:spacing w:val="80"/>
          <w:sz w:val="24"/>
        </w:rPr>
        <w:t> </w:t>
      </w:r>
      <w:r>
        <w:rPr>
          <w:sz w:val="24"/>
        </w:rPr>
        <w:t>shall</w:t>
      </w:r>
      <w:r>
        <w:rPr>
          <w:spacing w:val="80"/>
          <w:sz w:val="24"/>
        </w:rPr>
        <w:t> </w:t>
      </w:r>
      <w:r>
        <w:rPr>
          <w:sz w:val="24"/>
        </w:rPr>
        <w:t>not</w:t>
      </w:r>
      <w:r>
        <w:rPr>
          <w:spacing w:val="80"/>
          <w:sz w:val="24"/>
        </w:rPr>
        <w:t> </w:t>
      </w:r>
      <w:r>
        <w:rPr>
          <w:sz w:val="24"/>
        </w:rPr>
        <w:t>be</w:t>
      </w:r>
      <w:r>
        <w:rPr>
          <w:spacing w:val="80"/>
          <w:sz w:val="24"/>
        </w:rPr>
        <w:t> </w:t>
      </w:r>
      <w:r>
        <w:rPr>
          <w:sz w:val="24"/>
        </w:rPr>
        <w:t>preferably</w:t>
      </w:r>
      <w:r>
        <w:rPr>
          <w:spacing w:val="80"/>
          <w:sz w:val="24"/>
        </w:rPr>
        <w:t> </w:t>
      </w:r>
      <w:r>
        <w:rPr>
          <w:sz w:val="24"/>
        </w:rPr>
        <w:t>higher than</w:t>
      </w:r>
      <w:r>
        <w:rPr>
          <w:spacing w:val="40"/>
          <w:sz w:val="24"/>
        </w:rPr>
        <w:t> </w:t>
      </w:r>
      <w:r>
        <w:rPr>
          <w:sz w:val="24"/>
        </w:rPr>
        <w:t>0.45</w:t>
      </w:r>
      <w:r>
        <w:rPr>
          <w:spacing w:val="40"/>
          <w:sz w:val="24"/>
        </w:rPr>
        <w:t> </w:t>
      </w:r>
      <w:r>
        <w:rPr>
          <w:sz w:val="24"/>
        </w:rPr>
        <w:t>m</w:t>
      </w:r>
      <w:r>
        <w:rPr>
          <w:spacing w:val="40"/>
          <w:sz w:val="24"/>
        </w:rPr>
        <w:t> </w:t>
      </w:r>
      <w:r>
        <w:rPr>
          <w:sz w:val="24"/>
        </w:rPr>
        <w:t>&amp;</w:t>
      </w:r>
      <w:r>
        <w:rPr>
          <w:spacing w:val="40"/>
          <w:sz w:val="24"/>
        </w:rPr>
        <w:t> </w:t>
      </w:r>
      <w:r>
        <w:rPr>
          <w:sz w:val="24"/>
        </w:rPr>
        <w:t>shall</w:t>
      </w:r>
      <w:r>
        <w:rPr>
          <w:spacing w:val="40"/>
          <w:sz w:val="24"/>
        </w:rPr>
        <w:t> </w:t>
      </w:r>
      <w:r>
        <w:rPr>
          <w:sz w:val="24"/>
        </w:rPr>
        <w:t>have</w:t>
      </w:r>
      <w:r>
        <w:rPr>
          <w:spacing w:val="40"/>
          <w:sz w:val="24"/>
        </w:rPr>
        <w:t> </w:t>
      </w:r>
      <w:r>
        <w:rPr>
          <w:sz w:val="24"/>
        </w:rPr>
        <w:t>width</w:t>
      </w:r>
      <w:r>
        <w:rPr>
          <w:spacing w:val="40"/>
          <w:sz w:val="24"/>
        </w:rPr>
        <w:t> </w:t>
      </w:r>
      <w:r>
        <w:rPr>
          <w:sz w:val="24"/>
        </w:rPr>
        <w:t>of</w:t>
      </w:r>
      <w:r>
        <w:rPr>
          <w:spacing w:val="40"/>
          <w:sz w:val="24"/>
        </w:rPr>
        <w:t> </w:t>
      </w:r>
      <w:r>
        <w:rPr>
          <w:sz w:val="24"/>
        </w:rPr>
        <w:t>0.45</w:t>
      </w:r>
      <w:r>
        <w:rPr>
          <w:spacing w:val="40"/>
          <w:sz w:val="24"/>
        </w:rPr>
        <w:t> </w:t>
      </w:r>
      <w:r>
        <w:rPr>
          <w:sz w:val="24"/>
        </w:rPr>
        <w:t>m</w:t>
      </w:r>
      <w:r>
        <w:rPr>
          <w:spacing w:val="40"/>
          <w:sz w:val="24"/>
        </w:rPr>
        <w:t> </w:t>
      </w:r>
      <w:r>
        <w:rPr>
          <w:sz w:val="24"/>
        </w:rPr>
        <w:t>or</w:t>
      </w:r>
      <w:r>
        <w:rPr>
          <w:spacing w:val="40"/>
          <w:sz w:val="24"/>
        </w:rPr>
        <w:t> </w:t>
      </w:r>
      <w:r>
        <w:rPr>
          <w:sz w:val="24"/>
        </w:rPr>
        <w:t>wider</w:t>
      </w:r>
      <w:r>
        <w:rPr>
          <w:spacing w:val="40"/>
          <w:sz w:val="24"/>
        </w:rPr>
        <w:t> </w:t>
      </w:r>
      <w:r>
        <w:rPr>
          <w:sz w:val="24"/>
        </w:rPr>
        <w:t>(in</w:t>
      </w:r>
      <w:r>
        <w:rPr>
          <w:spacing w:val="40"/>
          <w:sz w:val="24"/>
        </w:rPr>
        <w:t> </w:t>
      </w:r>
      <w:r>
        <w:rPr>
          <w:sz w:val="24"/>
        </w:rPr>
        <w:t>any</w:t>
      </w:r>
      <w:r>
        <w:rPr>
          <w:spacing w:val="40"/>
          <w:sz w:val="24"/>
        </w:rPr>
        <w:t> </w:t>
      </w:r>
      <w:r>
        <w:rPr>
          <w:sz w:val="24"/>
        </w:rPr>
        <w:t>case</w:t>
      </w:r>
      <w:r>
        <w:rPr>
          <w:spacing w:val="40"/>
          <w:sz w:val="24"/>
        </w:rPr>
        <w:t> </w:t>
      </w:r>
      <w:r>
        <w:rPr>
          <w:sz w:val="24"/>
        </w:rPr>
        <w:t>the height</w:t>
      </w:r>
      <w:r>
        <w:rPr>
          <w:spacing w:val="40"/>
          <w:sz w:val="24"/>
        </w:rPr>
        <w:t> </w:t>
      </w:r>
      <w:r>
        <w:rPr>
          <w:sz w:val="24"/>
        </w:rPr>
        <w:t>of</w:t>
      </w:r>
      <w:r>
        <w:rPr>
          <w:spacing w:val="40"/>
          <w:sz w:val="24"/>
        </w:rPr>
        <w:t> </w:t>
      </w:r>
      <w:r>
        <w:rPr>
          <w:sz w:val="24"/>
        </w:rPr>
        <w:t>boundary</w:t>
      </w:r>
      <w:r>
        <w:rPr>
          <w:spacing w:val="40"/>
          <w:sz w:val="24"/>
        </w:rPr>
        <w:t> </w:t>
      </w:r>
      <w:r>
        <w:rPr>
          <w:sz w:val="24"/>
        </w:rPr>
        <w:t>wall</w:t>
      </w:r>
      <w:r>
        <w:rPr>
          <w:spacing w:val="40"/>
          <w:sz w:val="24"/>
        </w:rPr>
        <w:t> </w:t>
      </w:r>
      <w:r>
        <w:rPr>
          <w:sz w:val="24"/>
        </w:rPr>
        <w:t>shall</w:t>
      </w:r>
      <w:r>
        <w:rPr>
          <w:spacing w:val="40"/>
          <w:sz w:val="24"/>
        </w:rPr>
        <w:t> </w:t>
      </w:r>
      <w:r>
        <w:rPr>
          <w:sz w:val="24"/>
        </w:rPr>
        <w:t>not</w:t>
      </w:r>
      <w:r>
        <w:rPr>
          <w:spacing w:val="40"/>
          <w:sz w:val="24"/>
        </w:rPr>
        <w:t> </w:t>
      </w:r>
      <w:r>
        <w:rPr>
          <w:sz w:val="24"/>
        </w:rPr>
        <w:t>exceed</w:t>
      </w:r>
      <w:r>
        <w:rPr>
          <w:spacing w:val="40"/>
          <w:sz w:val="24"/>
        </w:rPr>
        <w:t> </w:t>
      </w:r>
      <w:r>
        <w:rPr>
          <w:sz w:val="24"/>
        </w:rPr>
        <w:t>1.50</w:t>
      </w:r>
      <w:r>
        <w:rPr>
          <w:spacing w:val="40"/>
          <w:sz w:val="24"/>
        </w:rPr>
        <w:t> </w:t>
      </w:r>
      <w:r>
        <w:rPr>
          <w:spacing w:val="10"/>
          <w:sz w:val="24"/>
        </w:rPr>
        <w:t>mor</w:t>
      </w:r>
      <w:r>
        <w:rPr>
          <w:spacing w:val="40"/>
          <w:sz w:val="24"/>
        </w:rPr>
        <w:t> </w:t>
      </w:r>
      <w:r>
        <w:rPr>
          <w:sz w:val="24"/>
        </w:rPr>
        <w:t>as</w:t>
      </w:r>
      <w:r>
        <w:rPr>
          <w:spacing w:val="40"/>
          <w:sz w:val="24"/>
        </w:rPr>
        <w:t> </w:t>
      </w:r>
      <w:r>
        <w:rPr>
          <w:sz w:val="24"/>
        </w:rPr>
        <w:t>per</w:t>
      </w:r>
      <w:r>
        <w:rPr>
          <w:spacing w:val="40"/>
          <w:sz w:val="24"/>
        </w:rPr>
        <w:t> </w:t>
      </w:r>
      <w:r>
        <w:rPr>
          <w:sz w:val="24"/>
        </w:rPr>
        <w:t>the requirements of Commissioner) with smooth top finish which can be comfortable for sitting purpose. However, for Gardens &amp; Parks </w:t>
      </w:r>
      <w:r>
        <w:rPr>
          <w:spacing w:val="9"/>
          <w:sz w:val="24"/>
        </w:rPr>
        <w:t>boundary </w:t>
      </w:r>
      <w:r>
        <w:rPr>
          <w:sz w:val="24"/>
        </w:rPr>
        <w:t>wall up to 1.5 m height may be permitted if the top 0.9 m is of open type construction,</w:t>
      </w:r>
      <w:r>
        <w:rPr>
          <w:spacing w:val="40"/>
          <w:sz w:val="24"/>
        </w:rPr>
        <w:t> </w:t>
      </w:r>
      <w:r>
        <w:rPr>
          <w:sz w:val="24"/>
        </w:rPr>
        <w:t>to</w:t>
      </w:r>
      <w:r>
        <w:rPr>
          <w:spacing w:val="40"/>
          <w:sz w:val="24"/>
        </w:rPr>
        <w:t> </w:t>
      </w:r>
      <w:r>
        <w:rPr>
          <w:sz w:val="24"/>
        </w:rPr>
        <w:t>facilitate</w:t>
      </w:r>
      <w:r>
        <w:rPr>
          <w:spacing w:val="40"/>
          <w:sz w:val="24"/>
        </w:rPr>
        <w:t> </w:t>
      </w:r>
      <w:r>
        <w:rPr>
          <w:sz w:val="24"/>
        </w:rPr>
        <w:t>through</w:t>
      </w:r>
      <w:r>
        <w:rPr>
          <w:spacing w:val="40"/>
          <w:sz w:val="24"/>
        </w:rPr>
        <w:t> </w:t>
      </w:r>
      <w:r>
        <w:rPr>
          <w:spacing w:val="9"/>
          <w:sz w:val="24"/>
        </w:rPr>
        <w:t>vision.</w:t>
      </w:r>
    </w:p>
    <w:p>
      <w:pPr>
        <w:pStyle w:val="ListParagraph"/>
        <w:numPr>
          <w:ilvl w:val="1"/>
          <w:numId w:val="259"/>
        </w:numPr>
        <w:tabs>
          <w:tab w:pos="1851" w:val="left" w:leader="none"/>
        </w:tabs>
        <w:spacing w:line="240" w:lineRule="auto" w:before="281" w:after="0"/>
        <w:ind w:left="1313" w:right="782" w:firstLine="0"/>
        <w:jc w:val="both"/>
        <w:rPr>
          <w:sz w:val="24"/>
        </w:rPr>
      </w:pPr>
      <w:r>
        <w:rPr>
          <w:i/>
          <w:sz w:val="24"/>
        </w:rPr>
        <w:t>Main</w:t>
      </w:r>
      <w:r>
        <w:rPr>
          <w:i/>
          <w:spacing w:val="40"/>
          <w:sz w:val="24"/>
        </w:rPr>
        <w:t> </w:t>
      </w:r>
      <w:r>
        <w:rPr>
          <w:i/>
          <w:spacing w:val="9"/>
          <w:sz w:val="24"/>
        </w:rPr>
        <w:t>Entrance</w:t>
      </w:r>
      <w:r>
        <w:rPr>
          <w:spacing w:val="9"/>
          <w:sz w:val="24"/>
        </w:rPr>
        <w:t>-</w:t>
      </w:r>
      <w:r>
        <w:rPr>
          <w:sz w:val="24"/>
        </w:rPr>
        <w:t>The</w:t>
      </w:r>
      <w:r>
        <w:rPr>
          <w:spacing w:val="40"/>
          <w:sz w:val="24"/>
        </w:rPr>
        <w:t> </w:t>
      </w:r>
      <w:r>
        <w:rPr>
          <w:sz w:val="24"/>
        </w:rPr>
        <w:t>main</w:t>
      </w:r>
      <w:r>
        <w:rPr>
          <w:spacing w:val="40"/>
          <w:sz w:val="24"/>
        </w:rPr>
        <w:t> </w:t>
      </w:r>
      <w:r>
        <w:rPr>
          <w:sz w:val="24"/>
        </w:rPr>
        <w:t>entrance</w:t>
      </w:r>
      <w:r>
        <w:rPr>
          <w:spacing w:val="40"/>
          <w:sz w:val="24"/>
        </w:rPr>
        <w:t> </w:t>
      </w:r>
      <w:r>
        <w:rPr>
          <w:sz w:val="24"/>
        </w:rPr>
        <w:t>to</w:t>
      </w:r>
      <w:r>
        <w:rPr>
          <w:spacing w:val="40"/>
          <w:sz w:val="24"/>
        </w:rPr>
        <w:t> </w:t>
      </w:r>
      <w:r>
        <w:rPr>
          <w:sz w:val="24"/>
        </w:rPr>
        <w:t>a</w:t>
      </w:r>
      <w:r>
        <w:rPr>
          <w:spacing w:val="40"/>
          <w:sz w:val="24"/>
        </w:rPr>
        <w:t> </w:t>
      </w:r>
      <w:r>
        <w:rPr>
          <w:sz w:val="24"/>
        </w:rPr>
        <w:t>plot</w:t>
      </w:r>
      <w:r>
        <w:rPr>
          <w:spacing w:val="40"/>
          <w:sz w:val="24"/>
        </w:rPr>
        <w:t> </w:t>
      </w:r>
      <w:r>
        <w:rPr>
          <w:sz w:val="24"/>
        </w:rPr>
        <w:t>accommodating</w:t>
      </w:r>
      <w:r>
        <w:rPr>
          <w:spacing w:val="40"/>
          <w:sz w:val="24"/>
        </w:rPr>
        <w:t> </w:t>
      </w:r>
      <w:r>
        <w:rPr>
          <w:sz w:val="24"/>
        </w:rPr>
        <w:t>a</w:t>
      </w:r>
      <w:r>
        <w:rPr>
          <w:spacing w:val="40"/>
          <w:sz w:val="24"/>
        </w:rPr>
        <w:t> </w:t>
      </w:r>
      <w:r>
        <w:rPr>
          <w:sz w:val="24"/>
        </w:rPr>
        <w:t>high rise or a special building shall be at least 4.5m wide and shall be so</w:t>
      </w:r>
      <w:r>
        <w:rPr>
          <w:spacing w:val="80"/>
          <w:sz w:val="24"/>
        </w:rPr>
        <w:t> </w:t>
      </w:r>
      <w:r>
        <w:rPr>
          <w:sz w:val="24"/>
        </w:rPr>
        <w:t>designed as not to obstruct easy movement of a </w:t>
      </w:r>
      <w:r>
        <w:rPr>
          <w:spacing w:val="9"/>
          <w:sz w:val="24"/>
        </w:rPr>
        <w:t>fire-</w:t>
      </w:r>
      <w:r>
        <w:rPr>
          <w:sz w:val="24"/>
        </w:rPr>
        <w:t>engine or truck.</w:t>
      </w:r>
      <w:r>
        <w:rPr>
          <w:spacing w:val="40"/>
          <w:sz w:val="24"/>
        </w:rPr>
        <w:t> </w:t>
      </w:r>
      <w:r>
        <w:rPr>
          <w:sz w:val="24"/>
        </w:rPr>
        <w:t>The entrance gate to it shall open inside and fold back against the compound </w:t>
      </w:r>
      <w:r>
        <w:rPr>
          <w:spacing w:val="-2"/>
          <w:sz w:val="24"/>
        </w:rPr>
        <w:t>wall.</w:t>
      </w:r>
    </w:p>
    <w:p>
      <w:pPr>
        <w:pStyle w:val="ListParagraph"/>
        <w:spacing w:after="0" w:line="240" w:lineRule="auto"/>
        <w:jc w:val="both"/>
        <w:rPr>
          <w:sz w:val="24"/>
        </w:rPr>
        <w:sectPr>
          <w:pgSz w:w="11910" w:h="16840"/>
          <w:pgMar w:header="1058" w:footer="1201" w:top="1500" w:bottom="1400" w:left="360" w:right="360"/>
        </w:sectPr>
      </w:pPr>
    </w:p>
    <w:p>
      <w:pPr>
        <w:pStyle w:val="BodyText"/>
        <w:spacing w:before="255"/>
        <w:ind w:left="1313" w:right="793" w:firstLine="604"/>
      </w:pPr>
      <w:r>
        <w:rPr/>
        <w:t>Provided</w:t>
      </w:r>
      <w:r>
        <w:rPr>
          <w:spacing w:val="40"/>
        </w:rPr>
        <w:t> </w:t>
      </w:r>
      <w:r>
        <w:rPr/>
        <w:t>further</w:t>
      </w:r>
      <w:r>
        <w:rPr>
          <w:spacing w:val="40"/>
        </w:rPr>
        <w:t> </w:t>
      </w:r>
      <w:r>
        <w:rPr/>
        <w:t>that</w:t>
      </w:r>
      <w:r>
        <w:rPr>
          <w:spacing w:val="40"/>
        </w:rPr>
        <w:t> </w:t>
      </w:r>
      <w:r>
        <w:rPr/>
        <w:t>ornamental</w:t>
      </w:r>
      <w:r>
        <w:rPr>
          <w:spacing w:val="40"/>
        </w:rPr>
        <w:t> </w:t>
      </w:r>
      <w:r>
        <w:rPr/>
        <w:t>entrance</w:t>
      </w:r>
      <w:r>
        <w:rPr>
          <w:spacing w:val="40"/>
        </w:rPr>
        <w:t> </w:t>
      </w:r>
      <w:r>
        <w:rPr/>
        <w:t>gate</w:t>
      </w:r>
      <w:r>
        <w:rPr>
          <w:spacing w:val="40"/>
        </w:rPr>
        <w:t> </w:t>
      </w:r>
      <w:r>
        <w:rPr/>
        <w:t>with</w:t>
      </w:r>
      <w:r>
        <w:rPr>
          <w:spacing w:val="40"/>
        </w:rPr>
        <w:t> </w:t>
      </w:r>
      <w:r>
        <w:rPr/>
        <w:t>the</w:t>
      </w:r>
      <w:r>
        <w:rPr>
          <w:spacing w:val="40"/>
        </w:rPr>
        <w:t> </w:t>
      </w:r>
      <w:r>
        <w:rPr/>
        <w:t>height</w:t>
      </w:r>
      <w:r>
        <w:rPr>
          <w:spacing w:val="40"/>
        </w:rPr>
        <w:t> </w:t>
      </w:r>
      <w:r>
        <w:rPr/>
        <w:t>not less than 4.5m or as required for movement of fire Engine shall be </w:t>
      </w:r>
      <w:r>
        <w:rPr>
          <w:spacing w:val="7"/>
        </w:rPr>
        <w:t>permissible.</w:t>
      </w:r>
    </w:p>
    <w:p>
      <w:pPr>
        <w:pStyle w:val="ListParagraph"/>
        <w:numPr>
          <w:ilvl w:val="0"/>
          <w:numId w:val="259"/>
        </w:numPr>
        <w:tabs>
          <w:tab w:pos="1927" w:val="left" w:leader="none"/>
        </w:tabs>
        <w:spacing w:line="240" w:lineRule="auto" w:before="280" w:after="0"/>
        <w:ind w:left="1313" w:right="771" w:firstLine="0"/>
        <w:jc w:val="both"/>
        <w:rPr>
          <w:b/>
          <w:i/>
          <w:sz w:val="24"/>
        </w:rPr>
      </w:pPr>
      <w:r>
        <w:rPr>
          <w:b/>
          <w:i/>
          <w:sz w:val="24"/>
        </w:rPr>
        <w:t>Bore well/Tube well/Open </w:t>
      </w:r>
      <w:r>
        <w:rPr>
          <w:b/>
          <w:i/>
          <w:spacing w:val="9"/>
          <w:sz w:val="24"/>
        </w:rPr>
        <w:t>well:</w:t>
      </w:r>
      <w:r>
        <w:rPr>
          <w:spacing w:val="9"/>
          <w:sz w:val="24"/>
        </w:rPr>
        <w:t>(a)</w:t>
      </w:r>
      <w:r>
        <w:rPr>
          <w:spacing w:val="9"/>
          <w:sz w:val="24"/>
        </w:rPr>
        <w:t> </w:t>
      </w:r>
      <w:r>
        <w:rPr>
          <w:sz w:val="24"/>
        </w:rPr>
        <w:t>May be constructed with the locational approval from the Hydraulic Engineering Department of MCGM.The</w:t>
      </w:r>
      <w:r>
        <w:rPr>
          <w:spacing w:val="40"/>
          <w:sz w:val="24"/>
        </w:rPr>
        <w:t> </w:t>
      </w:r>
      <w:r>
        <w:rPr>
          <w:sz w:val="24"/>
        </w:rPr>
        <w:t>construction</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provision</w:t>
      </w:r>
      <w:r>
        <w:rPr>
          <w:spacing w:val="40"/>
          <w:sz w:val="24"/>
        </w:rPr>
        <w:t> </w:t>
      </w:r>
      <w:r>
        <w:rPr>
          <w:sz w:val="24"/>
        </w:rPr>
        <w:t>of</w:t>
      </w:r>
      <w:r>
        <w:rPr>
          <w:spacing w:val="40"/>
          <w:sz w:val="24"/>
        </w:rPr>
        <w:t> </w:t>
      </w:r>
      <w:r>
        <w:rPr>
          <w:sz w:val="24"/>
        </w:rPr>
        <w:t>State</w:t>
      </w:r>
      <w:r>
        <w:rPr>
          <w:spacing w:val="40"/>
          <w:sz w:val="24"/>
        </w:rPr>
        <w:t> </w:t>
      </w:r>
      <w:r>
        <w:rPr>
          <w:sz w:val="24"/>
        </w:rPr>
        <w:t>Ground Water</w:t>
      </w:r>
      <w:r>
        <w:rPr>
          <w:spacing w:val="40"/>
          <w:sz w:val="24"/>
        </w:rPr>
        <w:t> </w:t>
      </w:r>
      <w:r>
        <w:rPr>
          <w:sz w:val="24"/>
        </w:rPr>
        <w:t>Survey</w:t>
      </w:r>
      <w:r>
        <w:rPr>
          <w:spacing w:val="40"/>
          <w:sz w:val="24"/>
        </w:rPr>
        <w:t> </w:t>
      </w:r>
      <w:r>
        <w:rPr>
          <w:sz w:val="24"/>
        </w:rPr>
        <w:t>Department.</w:t>
      </w:r>
    </w:p>
    <w:p>
      <w:pPr>
        <w:pStyle w:val="BodyText"/>
        <w:jc w:val="left"/>
      </w:pPr>
    </w:p>
    <w:p>
      <w:pPr>
        <w:pStyle w:val="ListParagraph"/>
        <w:numPr>
          <w:ilvl w:val="0"/>
          <w:numId w:val="259"/>
        </w:numPr>
        <w:tabs>
          <w:tab w:pos="1965" w:val="left" w:leader="none"/>
        </w:tabs>
        <w:spacing w:line="240" w:lineRule="auto" w:before="0" w:after="0"/>
        <w:ind w:left="1313" w:right="777" w:firstLine="0"/>
        <w:jc w:val="both"/>
        <w:rPr>
          <w:b/>
          <w:i/>
          <w:sz w:val="24"/>
        </w:rPr>
      </w:pPr>
      <w:r>
        <w:rPr>
          <w:b/>
          <w:i/>
          <w:sz w:val="24"/>
        </w:rPr>
        <w:t>Overhead Tanks: </w:t>
      </w:r>
      <w:r>
        <w:rPr>
          <w:sz w:val="24"/>
        </w:rPr>
        <w:t>Every overhead water storage tank shall be maintained</w:t>
      </w:r>
      <w:r>
        <w:rPr>
          <w:spacing w:val="80"/>
          <w:sz w:val="24"/>
        </w:rPr>
        <w:t> </w:t>
      </w:r>
      <w:r>
        <w:rPr>
          <w:sz w:val="24"/>
        </w:rPr>
        <w:t>in</w:t>
      </w:r>
      <w:r>
        <w:rPr>
          <w:spacing w:val="80"/>
          <w:sz w:val="24"/>
        </w:rPr>
        <w:t> </w:t>
      </w:r>
      <w:r>
        <w:rPr>
          <w:sz w:val="24"/>
        </w:rPr>
        <w:t>proper</w:t>
      </w:r>
      <w:r>
        <w:rPr>
          <w:spacing w:val="80"/>
          <w:sz w:val="24"/>
        </w:rPr>
        <w:t> </w:t>
      </w:r>
      <w:r>
        <w:rPr>
          <w:sz w:val="24"/>
        </w:rPr>
        <w:t>hygienic</w:t>
      </w:r>
      <w:r>
        <w:rPr>
          <w:spacing w:val="80"/>
          <w:sz w:val="24"/>
        </w:rPr>
        <w:t> </w:t>
      </w:r>
      <w:r>
        <w:rPr>
          <w:sz w:val="24"/>
        </w:rPr>
        <w:t>condition.</w:t>
      </w:r>
      <w:r>
        <w:rPr>
          <w:spacing w:val="80"/>
          <w:sz w:val="24"/>
        </w:rPr>
        <w:t> </w:t>
      </w:r>
      <w:r>
        <w:rPr>
          <w:sz w:val="24"/>
        </w:rPr>
        <w:t>The</w:t>
      </w:r>
      <w:r>
        <w:rPr>
          <w:spacing w:val="80"/>
          <w:sz w:val="24"/>
        </w:rPr>
        <w:t> </w:t>
      </w:r>
      <w:r>
        <w:rPr>
          <w:sz w:val="24"/>
        </w:rPr>
        <w:t>distance</w:t>
      </w:r>
      <w:r>
        <w:rPr>
          <w:spacing w:val="80"/>
          <w:sz w:val="24"/>
        </w:rPr>
        <w:t> </w:t>
      </w:r>
      <w:r>
        <w:rPr>
          <w:sz w:val="24"/>
        </w:rPr>
        <w:t>between</w:t>
      </w:r>
      <w:r>
        <w:rPr>
          <w:spacing w:val="80"/>
          <w:sz w:val="24"/>
        </w:rPr>
        <w:t> </w:t>
      </w:r>
      <w:r>
        <w:rPr>
          <w:sz w:val="24"/>
        </w:rPr>
        <w:t>terrace &amp;</w:t>
      </w:r>
      <w:r>
        <w:rPr>
          <w:spacing w:val="40"/>
          <w:sz w:val="24"/>
        </w:rPr>
        <w:t> </w:t>
      </w:r>
      <w:r>
        <w:rPr>
          <w:sz w:val="24"/>
        </w:rPr>
        <w:t>soffit</w:t>
      </w:r>
      <w:r>
        <w:rPr>
          <w:spacing w:val="40"/>
          <w:sz w:val="24"/>
        </w:rPr>
        <w:t> </w:t>
      </w:r>
      <w:r>
        <w:rPr>
          <w:sz w:val="24"/>
        </w:rPr>
        <w:t>of</w:t>
      </w:r>
      <w:r>
        <w:rPr>
          <w:spacing w:val="40"/>
          <w:sz w:val="24"/>
        </w:rPr>
        <w:t> </w:t>
      </w:r>
      <w:r>
        <w:rPr>
          <w:sz w:val="24"/>
        </w:rPr>
        <w:t>the</w:t>
      </w:r>
      <w:r>
        <w:rPr>
          <w:spacing w:val="40"/>
          <w:sz w:val="24"/>
        </w:rPr>
        <w:t> </w:t>
      </w:r>
      <w:r>
        <w:rPr>
          <w:sz w:val="24"/>
        </w:rPr>
        <w:t>overhead</w:t>
      </w:r>
      <w:r>
        <w:rPr>
          <w:spacing w:val="40"/>
          <w:sz w:val="24"/>
        </w:rPr>
        <w:t> </w:t>
      </w:r>
      <w:r>
        <w:rPr>
          <w:sz w:val="24"/>
        </w:rPr>
        <w:t>water</w:t>
      </w:r>
      <w:r>
        <w:rPr>
          <w:spacing w:val="40"/>
          <w:sz w:val="24"/>
        </w:rPr>
        <w:t> </w:t>
      </w:r>
      <w:r>
        <w:rPr>
          <w:sz w:val="24"/>
        </w:rPr>
        <w:t>tank</w:t>
      </w:r>
      <w:r>
        <w:rPr>
          <w:spacing w:val="40"/>
          <w:sz w:val="24"/>
        </w:rPr>
        <w:t> </w:t>
      </w:r>
      <w:r>
        <w:rPr>
          <w:sz w:val="24"/>
        </w:rPr>
        <w:t>shall</w:t>
      </w:r>
      <w:r>
        <w:rPr>
          <w:spacing w:val="40"/>
          <w:sz w:val="24"/>
        </w:rPr>
        <w:t> </w:t>
      </w:r>
      <w:r>
        <w:rPr>
          <w:sz w:val="24"/>
        </w:rPr>
        <w:t>not</w:t>
      </w:r>
      <w:r>
        <w:rPr>
          <w:spacing w:val="40"/>
          <w:sz w:val="24"/>
        </w:rPr>
        <w:t> </w:t>
      </w:r>
      <w:r>
        <w:rPr>
          <w:sz w:val="24"/>
        </w:rPr>
        <w:t>exceed</w:t>
      </w:r>
      <w:r>
        <w:rPr>
          <w:spacing w:val="40"/>
          <w:sz w:val="24"/>
        </w:rPr>
        <w:t> </w:t>
      </w:r>
      <w:r>
        <w:rPr>
          <w:sz w:val="24"/>
        </w:rPr>
        <w:t>1.5</w:t>
      </w:r>
      <w:r>
        <w:rPr>
          <w:spacing w:val="40"/>
          <w:sz w:val="24"/>
        </w:rPr>
        <w:t> </w:t>
      </w:r>
      <w:r>
        <w:rPr>
          <w:sz w:val="24"/>
        </w:rPr>
        <w:t>m.</w:t>
      </w:r>
      <w:r>
        <w:rPr>
          <w:spacing w:val="40"/>
          <w:sz w:val="24"/>
        </w:rPr>
        <w:t> </w:t>
      </w:r>
      <w:r>
        <w:rPr>
          <w:sz w:val="24"/>
        </w:rPr>
        <w:t>The construction</w:t>
      </w:r>
      <w:r>
        <w:rPr>
          <w:spacing w:val="40"/>
          <w:sz w:val="24"/>
        </w:rPr>
        <w:t> </w:t>
      </w:r>
      <w:r>
        <w:rPr>
          <w:sz w:val="24"/>
        </w:rPr>
        <w:t>of</w:t>
      </w:r>
      <w:r>
        <w:rPr>
          <w:spacing w:val="40"/>
          <w:sz w:val="24"/>
        </w:rPr>
        <w:t> </w:t>
      </w:r>
      <w:r>
        <w:rPr>
          <w:sz w:val="24"/>
        </w:rPr>
        <w:t>the</w:t>
      </w:r>
      <w:r>
        <w:rPr>
          <w:spacing w:val="40"/>
          <w:sz w:val="24"/>
        </w:rPr>
        <w:t> </w:t>
      </w:r>
      <w:r>
        <w:rPr>
          <w:sz w:val="24"/>
        </w:rPr>
        <w:t>water</w:t>
      </w:r>
      <w:r>
        <w:rPr>
          <w:spacing w:val="40"/>
          <w:sz w:val="24"/>
        </w:rPr>
        <w:t> </w:t>
      </w:r>
      <w:r>
        <w:rPr>
          <w:sz w:val="24"/>
        </w:rPr>
        <w:t>storage</w:t>
      </w:r>
      <w:r>
        <w:rPr>
          <w:spacing w:val="40"/>
          <w:sz w:val="24"/>
        </w:rPr>
        <w:t> </w:t>
      </w:r>
      <w:r>
        <w:rPr>
          <w:sz w:val="24"/>
        </w:rPr>
        <w:t>tanks</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per</w:t>
      </w:r>
      <w:r>
        <w:rPr>
          <w:spacing w:val="40"/>
          <w:sz w:val="24"/>
        </w:rPr>
        <w:t> </w:t>
      </w:r>
      <w:r>
        <w:rPr>
          <w:sz w:val="24"/>
        </w:rPr>
        <w:t>the</w:t>
      </w:r>
      <w:r>
        <w:rPr>
          <w:spacing w:val="9"/>
          <w:sz w:val="24"/>
        </w:rPr>
        <w:t> guidelines </w:t>
      </w:r>
      <w:r>
        <w:rPr>
          <w:sz w:val="24"/>
        </w:rPr>
        <w:t>issued</w:t>
      </w:r>
      <w:r>
        <w:rPr>
          <w:spacing w:val="80"/>
          <w:sz w:val="24"/>
        </w:rPr>
        <w:t> </w:t>
      </w:r>
      <w:r>
        <w:rPr>
          <w:sz w:val="24"/>
        </w:rPr>
        <w:t>by</w:t>
      </w:r>
      <w:r>
        <w:rPr>
          <w:spacing w:val="80"/>
          <w:sz w:val="24"/>
        </w:rPr>
        <w:t> </w:t>
      </w:r>
      <w:r>
        <w:rPr>
          <w:sz w:val="24"/>
        </w:rPr>
        <w:t>Hydraulic</w:t>
      </w:r>
      <w:r>
        <w:rPr>
          <w:spacing w:val="80"/>
          <w:sz w:val="24"/>
        </w:rPr>
        <w:t> </w:t>
      </w:r>
      <w:r>
        <w:rPr>
          <w:sz w:val="24"/>
        </w:rPr>
        <w:t>Engineering</w:t>
      </w:r>
      <w:r>
        <w:rPr>
          <w:spacing w:val="80"/>
          <w:sz w:val="24"/>
        </w:rPr>
        <w:t> </w:t>
      </w:r>
      <w:r>
        <w:rPr>
          <w:sz w:val="24"/>
        </w:rPr>
        <w:t>Department</w:t>
      </w:r>
      <w:r>
        <w:rPr>
          <w:spacing w:val="80"/>
          <w:sz w:val="24"/>
        </w:rPr>
        <w:t> </w:t>
      </w:r>
      <w:r>
        <w:rPr>
          <w:sz w:val="24"/>
        </w:rPr>
        <w:t>of</w:t>
      </w:r>
      <w:r>
        <w:rPr>
          <w:spacing w:val="80"/>
          <w:sz w:val="24"/>
        </w:rPr>
        <w:t> </w:t>
      </w:r>
      <w:r>
        <w:rPr>
          <w:sz w:val="24"/>
        </w:rPr>
        <w:t>MCGM.</w:t>
      </w:r>
    </w:p>
    <w:p>
      <w:pPr>
        <w:pStyle w:val="BodyText"/>
        <w:jc w:val="left"/>
      </w:pPr>
    </w:p>
    <w:p>
      <w:pPr>
        <w:pStyle w:val="ListParagraph"/>
        <w:numPr>
          <w:ilvl w:val="0"/>
          <w:numId w:val="259"/>
        </w:numPr>
        <w:tabs>
          <w:tab w:pos="2016" w:val="left" w:leader="none"/>
        </w:tabs>
        <w:spacing w:line="240" w:lineRule="auto" w:before="0" w:after="0"/>
        <w:ind w:left="1313" w:right="771" w:firstLine="0"/>
        <w:jc w:val="both"/>
        <w:rPr>
          <w:b/>
          <w:sz w:val="24"/>
        </w:rPr>
      </w:pPr>
      <w:r>
        <w:rPr>
          <w:b/>
          <w:i/>
          <w:sz w:val="24"/>
        </w:rPr>
        <w:t>Septic </w:t>
      </w:r>
      <w:r>
        <w:rPr>
          <w:b/>
          <w:i/>
          <w:spacing w:val="10"/>
          <w:sz w:val="24"/>
        </w:rPr>
        <w:t>Tanks-</w:t>
      </w:r>
      <w:r>
        <w:rPr>
          <w:b/>
          <w:i/>
          <w:sz w:val="24"/>
        </w:rPr>
        <w:t>Location and </w:t>
      </w:r>
      <w:r>
        <w:rPr>
          <w:b/>
          <w:i/>
          <w:spacing w:val="10"/>
          <w:sz w:val="24"/>
        </w:rPr>
        <w:t>sub-</w:t>
      </w:r>
      <w:r>
        <w:rPr>
          <w:b/>
          <w:i/>
          <w:sz w:val="24"/>
        </w:rPr>
        <w:t>soil dispersion: </w:t>
      </w:r>
      <w:r>
        <w:rPr>
          <w:sz w:val="24"/>
        </w:rPr>
        <w:t>A </w:t>
      </w:r>
      <w:r>
        <w:rPr>
          <w:spacing w:val="9"/>
          <w:sz w:val="24"/>
        </w:rPr>
        <w:t>sub-</w:t>
      </w:r>
      <w:r>
        <w:rPr>
          <w:sz w:val="24"/>
        </w:rPr>
        <w:t>soil dispersion system shall not be closer than 12m to any source of </w:t>
      </w:r>
      <w:r>
        <w:rPr>
          <w:spacing w:val="9"/>
          <w:sz w:val="24"/>
        </w:rPr>
        <w:t>drinking </w:t>
      </w:r>
      <w:r>
        <w:rPr>
          <w:sz w:val="24"/>
        </w:rPr>
        <w:t>water</w:t>
      </w:r>
      <w:r>
        <w:rPr>
          <w:spacing w:val="40"/>
          <w:sz w:val="24"/>
        </w:rPr>
        <w:t> </w:t>
      </w:r>
      <w:r>
        <w:rPr>
          <w:sz w:val="24"/>
        </w:rPr>
        <w:t>such</w:t>
      </w:r>
      <w:r>
        <w:rPr>
          <w:spacing w:val="40"/>
          <w:sz w:val="24"/>
        </w:rPr>
        <w:t> </w:t>
      </w:r>
      <w:r>
        <w:rPr>
          <w:sz w:val="24"/>
        </w:rPr>
        <w:t>as</w:t>
      </w:r>
      <w:r>
        <w:rPr>
          <w:spacing w:val="40"/>
          <w:sz w:val="24"/>
        </w:rPr>
        <w:t> </w:t>
      </w:r>
      <w:r>
        <w:rPr>
          <w:sz w:val="24"/>
        </w:rPr>
        <w:t>a</w:t>
      </w:r>
      <w:r>
        <w:rPr>
          <w:spacing w:val="40"/>
          <w:sz w:val="24"/>
        </w:rPr>
        <w:t> </w:t>
      </w:r>
      <w:r>
        <w:rPr>
          <w:sz w:val="24"/>
        </w:rPr>
        <w:t>well,</w:t>
      </w:r>
      <w:r>
        <w:rPr>
          <w:spacing w:val="40"/>
          <w:sz w:val="24"/>
        </w:rPr>
        <w:t> </w:t>
      </w:r>
      <w:r>
        <w:rPr>
          <w:sz w:val="24"/>
        </w:rPr>
        <w:t>to</w:t>
      </w:r>
      <w:r>
        <w:rPr>
          <w:spacing w:val="40"/>
          <w:sz w:val="24"/>
        </w:rPr>
        <w:t> </w:t>
      </w:r>
      <w:r>
        <w:rPr>
          <w:sz w:val="24"/>
        </w:rPr>
        <w:t>mitigate</w:t>
      </w:r>
      <w:r>
        <w:rPr>
          <w:spacing w:val="40"/>
          <w:sz w:val="24"/>
        </w:rPr>
        <w:t> </w:t>
      </w:r>
      <w:r>
        <w:rPr>
          <w:sz w:val="24"/>
        </w:rPr>
        <w:t>the</w:t>
      </w:r>
      <w:r>
        <w:rPr>
          <w:spacing w:val="40"/>
          <w:sz w:val="24"/>
        </w:rPr>
        <w:t> </w:t>
      </w:r>
      <w:r>
        <w:rPr>
          <w:sz w:val="24"/>
        </w:rPr>
        <w:t>possibility</w:t>
      </w:r>
      <w:r>
        <w:rPr>
          <w:spacing w:val="40"/>
          <w:sz w:val="24"/>
        </w:rPr>
        <w:t> </w:t>
      </w:r>
      <w:r>
        <w:rPr>
          <w:sz w:val="24"/>
        </w:rPr>
        <w:t>of</w:t>
      </w:r>
      <w:r>
        <w:rPr>
          <w:spacing w:val="40"/>
          <w:sz w:val="24"/>
        </w:rPr>
        <w:t> </w:t>
      </w:r>
      <w:r>
        <w:rPr>
          <w:sz w:val="24"/>
        </w:rPr>
        <w:t>bacterial</w:t>
      </w:r>
      <w:r>
        <w:rPr>
          <w:spacing w:val="40"/>
          <w:sz w:val="24"/>
        </w:rPr>
        <w:t> </w:t>
      </w:r>
      <w:r>
        <w:rPr>
          <w:sz w:val="24"/>
        </w:rPr>
        <w:t>pollution</w:t>
      </w:r>
      <w:r>
        <w:rPr>
          <w:spacing w:val="40"/>
          <w:sz w:val="24"/>
        </w:rPr>
        <w:t> </w:t>
      </w:r>
      <w:r>
        <w:rPr>
          <w:sz w:val="24"/>
        </w:rPr>
        <w:t>of water</w:t>
      </w:r>
      <w:r>
        <w:rPr>
          <w:spacing w:val="40"/>
          <w:sz w:val="24"/>
        </w:rPr>
        <w:t> </w:t>
      </w:r>
      <w:r>
        <w:rPr>
          <w:sz w:val="24"/>
        </w:rPr>
        <w:t>supply.</w:t>
      </w:r>
      <w:r>
        <w:rPr>
          <w:spacing w:val="40"/>
          <w:sz w:val="24"/>
        </w:rPr>
        <w:t> </w:t>
      </w:r>
      <w:r>
        <w:rPr>
          <w:sz w:val="24"/>
        </w:rPr>
        <w:t>It</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closer</w:t>
      </w:r>
      <w:r>
        <w:rPr>
          <w:spacing w:val="40"/>
          <w:sz w:val="24"/>
        </w:rPr>
        <w:t> </w:t>
      </w:r>
      <w:r>
        <w:rPr>
          <w:sz w:val="24"/>
        </w:rPr>
        <w:t>than</w:t>
      </w:r>
      <w:r>
        <w:rPr>
          <w:spacing w:val="40"/>
          <w:sz w:val="24"/>
        </w:rPr>
        <w:t> </w:t>
      </w:r>
      <w:r>
        <w:rPr>
          <w:sz w:val="24"/>
        </w:rPr>
        <w:t>3</w:t>
      </w:r>
      <w:r>
        <w:rPr>
          <w:spacing w:val="40"/>
          <w:sz w:val="24"/>
        </w:rPr>
        <w:t> </w:t>
      </w:r>
      <w:r>
        <w:rPr>
          <w:sz w:val="24"/>
        </w:rPr>
        <w:t>m</w:t>
      </w:r>
      <w:r>
        <w:rPr>
          <w:spacing w:val="40"/>
          <w:sz w:val="24"/>
        </w:rPr>
        <w:t> </w:t>
      </w:r>
      <w:r>
        <w:rPr>
          <w:spacing w:val="10"/>
          <w:sz w:val="24"/>
        </w:rPr>
        <w:t>from</w:t>
      </w:r>
      <w:r>
        <w:rPr>
          <w:spacing w:val="40"/>
          <w:sz w:val="24"/>
        </w:rPr>
        <w:t> </w:t>
      </w:r>
      <w:r>
        <w:rPr>
          <w:sz w:val="24"/>
        </w:rPr>
        <w:t>Tube</w:t>
      </w:r>
      <w:r>
        <w:rPr>
          <w:spacing w:val="40"/>
          <w:sz w:val="24"/>
        </w:rPr>
        <w:t> </w:t>
      </w:r>
      <w:r>
        <w:rPr>
          <w:sz w:val="24"/>
        </w:rPr>
        <w:t>well/Bore</w:t>
      </w:r>
      <w:r>
        <w:rPr>
          <w:spacing w:val="40"/>
          <w:sz w:val="24"/>
        </w:rPr>
        <w:t> </w:t>
      </w:r>
      <w:r>
        <w:rPr>
          <w:sz w:val="24"/>
        </w:rPr>
        <w:t>well.</w:t>
      </w:r>
      <w:r>
        <w:rPr>
          <w:spacing w:val="40"/>
          <w:sz w:val="24"/>
        </w:rPr>
        <w:t> </w:t>
      </w:r>
      <w:r>
        <w:rPr>
          <w:sz w:val="24"/>
        </w:rPr>
        <w:t>It shall also be as far removed from the nearest habitable building as economically feasible but not closer than 2 m to avoid damage to the </w:t>
      </w:r>
      <w:r>
        <w:rPr>
          <w:spacing w:val="7"/>
          <w:sz w:val="24"/>
        </w:rPr>
        <w:t>structure.</w:t>
      </w:r>
    </w:p>
    <w:p>
      <w:pPr>
        <w:pStyle w:val="BodyText"/>
        <w:spacing w:before="3"/>
        <w:ind w:left="1313" w:right="801"/>
      </w:pPr>
      <w:r>
        <w:rPr/>
        <w:t>The construction of septic tank shall be carried out as per the relevant provisions</w:t>
      </w:r>
      <w:r>
        <w:rPr>
          <w:spacing w:val="40"/>
        </w:rPr>
        <w:t> </w:t>
      </w:r>
      <w:r>
        <w:rPr/>
        <w:t>of</w:t>
      </w:r>
      <w:r>
        <w:rPr>
          <w:spacing w:val="40"/>
        </w:rPr>
        <w:t> </w:t>
      </w:r>
      <w:r>
        <w:rPr/>
        <w:t>ISCode</w:t>
      </w:r>
      <w:r>
        <w:rPr>
          <w:spacing w:val="40"/>
        </w:rPr>
        <w:t> </w:t>
      </w:r>
      <w:r>
        <w:rPr>
          <w:spacing w:val="9"/>
        </w:rPr>
        <w:t>2470-</w:t>
      </w:r>
      <w:r>
        <w:rPr/>
        <w:t>1985</w:t>
      </w:r>
      <w:r>
        <w:rPr>
          <w:spacing w:val="40"/>
        </w:rPr>
        <w:t> </w:t>
      </w:r>
      <w:r>
        <w:rPr/>
        <w:t>Part</w:t>
      </w:r>
      <w:r>
        <w:rPr>
          <w:spacing w:val="40"/>
        </w:rPr>
        <w:t> </w:t>
      </w:r>
      <w:r>
        <w:rPr/>
        <w:t>I</w:t>
      </w:r>
      <w:r>
        <w:rPr>
          <w:spacing w:val="40"/>
        </w:rPr>
        <w:t> </w:t>
      </w:r>
      <w:r>
        <w:rPr/>
        <w:t>&amp;</w:t>
      </w:r>
      <w:r>
        <w:rPr>
          <w:spacing w:val="40"/>
        </w:rPr>
        <w:t> </w:t>
      </w:r>
      <w:r>
        <w:rPr/>
        <w:t>II.</w:t>
      </w:r>
    </w:p>
    <w:p>
      <w:pPr>
        <w:pStyle w:val="ListParagraph"/>
        <w:numPr>
          <w:ilvl w:val="0"/>
          <w:numId w:val="259"/>
        </w:numPr>
        <w:tabs>
          <w:tab w:pos="1910" w:val="left" w:leader="none"/>
        </w:tabs>
        <w:spacing w:line="240" w:lineRule="auto" w:before="239" w:after="0"/>
        <w:ind w:left="1313" w:right="779" w:firstLine="0"/>
        <w:jc w:val="both"/>
        <w:rPr>
          <w:b/>
          <w:i/>
          <w:sz w:val="24"/>
        </w:rPr>
      </w:pPr>
      <w:r>
        <w:rPr>
          <w:b/>
          <w:i/>
          <w:sz w:val="24"/>
        </w:rPr>
        <w:t>Yogalaya or Fitness </w:t>
      </w:r>
      <w:r>
        <w:rPr>
          <w:b/>
          <w:i/>
          <w:spacing w:val="9"/>
          <w:sz w:val="24"/>
        </w:rPr>
        <w:t>Centre: </w:t>
      </w:r>
      <w:r>
        <w:rPr>
          <w:sz w:val="24"/>
        </w:rPr>
        <w:t>In every residential building, either existing</w:t>
      </w:r>
      <w:r>
        <w:rPr>
          <w:spacing w:val="40"/>
          <w:sz w:val="24"/>
        </w:rPr>
        <w:t> </w:t>
      </w:r>
      <w:r>
        <w:rPr>
          <w:sz w:val="24"/>
        </w:rPr>
        <w:t>or</w:t>
      </w:r>
      <w:r>
        <w:rPr>
          <w:spacing w:val="40"/>
          <w:sz w:val="24"/>
        </w:rPr>
        <w:t> </w:t>
      </w:r>
      <w:r>
        <w:rPr>
          <w:sz w:val="24"/>
        </w:rPr>
        <w:t>constructed</w:t>
      </w:r>
      <w:r>
        <w:rPr>
          <w:spacing w:val="40"/>
          <w:sz w:val="24"/>
        </w:rPr>
        <w:t> </w:t>
      </w:r>
      <w:r>
        <w:rPr>
          <w:sz w:val="24"/>
        </w:rPr>
        <w:t>or</w:t>
      </w:r>
      <w:r>
        <w:rPr>
          <w:spacing w:val="40"/>
          <w:sz w:val="24"/>
        </w:rPr>
        <w:t> </w:t>
      </w:r>
      <w:r>
        <w:rPr>
          <w:sz w:val="24"/>
        </w:rPr>
        <w:t>proposed</w:t>
      </w:r>
      <w:r>
        <w:rPr>
          <w:spacing w:val="40"/>
          <w:sz w:val="24"/>
        </w:rPr>
        <w:t> </w:t>
      </w:r>
      <w:r>
        <w:rPr>
          <w:sz w:val="24"/>
        </w:rPr>
        <w:t>to</w:t>
      </w:r>
      <w:r>
        <w:rPr>
          <w:spacing w:val="40"/>
          <w:sz w:val="24"/>
        </w:rPr>
        <w:t> </w:t>
      </w:r>
      <w:r>
        <w:rPr>
          <w:sz w:val="24"/>
        </w:rPr>
        <w:t>be</w:t>
      </w:r>
      <w:r>
        <w:rPr>
          <w:spacing w:val="40"/>
          <w:sz w:val="24"/>
        </w:rPr>
        <w:t> </w:t>
      </w:r>
      <w:r>
        <w:rPr>
          <w:sz w:val="24"/>
        </w:rPr>
        <w:t>constructed</w:t>
      </w:r>
      <w:r>
        <w:rPr>
          <w:spacing w:val="40"/>
          <w:sz w:val="24"/>
        </w:rPr>
        <w:t> </w:t>
      </w:r>
      <w:r>
        <w:rPr>
          <w:sz w:val="24"/>
        </w:rPr>
        <w:t>for</w:t>
      </w:r>
      <w:r>
        <w:rPr>
          <w:spacing w:val="40"/>
          <w:sz w:val="24"/>
        </w:rPr>
        <w:t> </w:t>
      </w:r>
      <w:r>
        <w:rPr>
          <w:sz w:val="24"/>
        </w:rPr>
        <w:t>the</w:t>
      </w:r>
      <w:r>
        <w:rPr>
          <w:spacing w:val="40"/>
          <w:sz w:val="24"/>
        </w:rPr>
        <w:t> </w:t>
      </w:r>
      <w:r>
        <w:rPr>
          <w:sz w:val="24"/>
        </w:rPr>
        <w:t>use</w:t>
      </w:r>
      <w:r>
        <w:rPr>
          <w:spacing w:val="40"/>
          <w:sz w:val="24"/>
        </w:rPr>
        <w:t> </w:t>
      </w:r>
      <w:r>
        <w:rPr>
          <w:sz w:val="24"/>
        </w:rPr>
        <w:t>of existing</w:t>
      </w:r>
      <w:r>
        <w:rPr>
          <w:spacing w:val="40"/>
          <w:sz w:val="24"/>
        </w:rPr>
        <w:t> </w:t>
      </w:r>
      <w:r>
        <w:rPr>
          <w:sz w:val="24"/>
        </w:rPr>
        <w:t>or</w:t>
      </w:r>
      <w:r>
        <w:rPr>
          <w:spacing w:val="40"/>
          <w:sz w:val="24"/>
        </w:rPr>
        <w:t> </w:t>
      </w:r>
      <w:r>
        <w:rPr>
          <w:sz w:val="24"/>
        </w:rPr>
        <w:t>proposed</w:t>
      </w:r>
      <w:r>
        <w:rPr>
          <w:spacing w:val="40"/>
          <w:sz w:val="24"/>
        </w:rPr>
        <w:t> </w:t>
      </w:r>
      <w:r>
        <w:rPr>
          <w:spacing w:val="9"/>
          <w:sz w:val="24"/>
        </w:rPr>
        <w:t>Co-</w:t>
      </w:r>
      <w:r>
        <w:rPr>
          <w:sz w:val="24"/>
        </w:rPr>
        <w:t>Operative</w:t>
      </w:r>
      <w:r>
        <w:rPr>
          <w:spacing w:val="40"/>
          <w:sz w:val="24"/>
        </w:rPr>
        <w:t> </w:t>
      </w:r>
      <w:r>
        <w:rPr>
          <w:sz w:val="24"/>
        </w:rPr>
        <w:t>Housing</w:t>
      </w:r>
      <w:r>
        <w:rPr>
          <w:spacing w:val="40"/>
          <w:sz w:val="24"/>
        </w:rPr>
        <w:t> </w:t>
      </w:r>
      <w:r>
        <w:rPr>
          <w:sz w:val="24"/>
        </w:rPr>
        <w:t>Society</w:t>
      </w:r>
      <w:r>
        <w:rPr>
          <w:spacing w:val="40"/>
          <w:sz w:val="24"/>
        </w:rPr>
        <w:t> </w:t>
      </w:r>
      <w:r>
        <w:rPr>
          <w:sz w:val="24"/>
        </w:rPr>
        <w:t>or</w:t>
      </w:r>
      <w:r>
        <w:rPr>
          <w:spacing w:val="40"/>
          <w:sz w:val="24"/>
        </w:rPr>
        <w:t> </w:t>
      </w:r>
      <w:r>
        <w:rPr>
          <w:sz w:val="24"/>
        </w:rPr>
        <w:t>an</w:t>
      </w:r>
      <w:r>
        <w:rPr>
          <w:spacing w:val="40"/>
          <w:sz w:val="24"/>
        </w:rPr>
        <w:t> </w:t>
      </w:r>
      <w:r>
        <w:rPr>
          <w:sz w:val="24"/>
        </w:rPr>
        <w:t>Apartment Owners</w:t>
      </w:r>
      <w:r>
        <w:rPr>
          <w:spacing w:val="80"/>
          <w:sz w:val="24"/>
        </w:rPr>
        <w:t> </w:t>
      </w:r>
      <w:r>
        <w:rPr>
          <w:sz w:val="24"/>
        </w:rPr>
        <w:t>Association,</w:t>
      </w:r>
      <w:r>
        <w:rPr>
          <w:spacing w:val="80"/>
          <w:sz w:val="24"/>
        </w:rPr>
        <w:t> </w:t>
      </w:r>
      <w:r>
        <w:rPr>
          <w:sz w:val="24"/>
        </w:rPr>
        <w:t>a</w:t>
      </w:r>
      <w:r>
        <w:rPr>
          <w:spacing w:val="80"/>
          <w:sz w:val="24"/>
        </w:rPr>
        <w:t> </w:t>
      </w:r>
      <w:r>
        <w:rPr>
          <w:sz w:val="24"/>
        </w:rPr>
        <w:t>Yogalaya</w:t>
      </w:r>
      <w:r>
        <w:rPr>
          <w:spacing w:val="80"/>
          <w:sz w:val="24"/>
        </w:rPr>
        <w:t> </w:t>
      </w:r>
      <w:r>
        <w:rPr>
          <w:sz w:val="24"/>
        </w:rPr>
        <w:t>or</w:t>
      </w:r>
      <w:r>
        <w:rPr>
          <w:spacing w:val="80"/>
          <w:sz w:val="24"/>
        </w:rPr>
        <w:t> </w:t>
      </w:r>
      <w:r>
        <w:rPr>
          <w:sz w:val="24"/>
        </w:rPr>
        <w:t>Fitness</w:t>
      </w:r>
      <w:r>
        <w:rPr>
          <w:spacing w:val="80"/>
          <w:sz w:val="24"/>
        </w:rPr>
        <w:t> </w:t>
      </w:r>
      <w:r>
        <w:rPr>
          <w:sz w:val="24"/>
        </w:rPr>
        <w:t>Centre</w:t>
      </w:r>
      <w:r>
        <w:rPr>
          <w:spacing w:val="80"/>
          <w:sz w:val="24"/>
        </w:rPr>
        <w:t> </w:t>
      </w:r>
      <w:r>
        <w:rPr>
          <w:sz w:val="24"/>
        </w:rPr>
        <w:t>including</w:t>
      </w:r>
      <w:r>
        <w:rPr>
          <w:spacing w:val="80"/>
          <w:sz w:val="24"/>
        </w:rPr>
        <w:t> </w:t>
      </w:r>
      <w:r>
        <w:rPr>
          <w:sz w:val="24"/>
        </w:rPr>
        <w:t>toilet facilities</w:t>
      </w:r>
      <w:r>
        <w:rPr>
          <w:spacing w:val="80"/>
          <w:sz w:val="24"/>
        </w:rPr>
        <w:t> </w:t>
      </w:r>
      <w:r>
        <w:rPr>
          <w:sz w:val="24"/>
        </w:rPr>
        <w:t>will</w:t>
      </w:r>
      <w:r>
        <w:rPr>
          <w:spacing w:val="80"/>
          <w:sz w:val="24"/>
        </w:rPr>
        <w:t> </w:t>
      </w:r>
      <w:r>
        <w:rPr>
          <w:sz w:val="24"/>
        </w:rPr>
        <w:t>be</w:t>
      </w:r>
      <w:r>
        <w:rPr>
          <w:spacing w:val="80"/>
          <w:sz w:val="24"/>
        </w:rPr>
        <w:t> </w:t>
      </w:r>
      <w:r>
        <w:rPr>
          <w:sz w:val="24"/>
        </w:rPr>
        <w:t>permitted</w:t>
      </w:r>
      <w:r>
        <w:rPr>
          <w:spacing w:val="80"/>
          <w:sz w:val="24"/>
        </w:rPr>
        <w:t> </w:t>
      </w:r>
      <w:r>
        <w:rPr>
          <w:sz w:val="24"/>
        </w:rPr>
        <w:t>subject</w:t>
      </w:r>
      <w:r>
        <w:rPr>
          <w:spacing w:val="80"/>
          <w:sz w:val="24"/>
        </w:rPr>
        <w:t> </w:t>
      </w:r>
      <w:r>
        <w:rPr>
          <w:sz w:val="24"/>
        </w:rPr>
        <w:t>to</w:t>
      </w:r>
      <w:r>
        <w:rPr>
          <w:spacing w:val="80"/>
          <w:sz w:val="24"/>
        </w:rPr>
        <w:t> </w:t>
      </w:r>
      <w:r>
        <w:rPr>
          <w:sz w:val="24"/>
        </w:rPr>
        <w:t>following</w:t>
      </w:r>
      <w:r>
        <w:rPr>
          <w:spacing w:val="80"/>
          <w:sz w:val="24"/>
        </w:rPr>
        <w:t> </w:t>
      </w:r>
      <w:r>
        <w:rPr>
          <w:sz w:val="24"/>
        </w:rPr>
        <w:t>conditions:</w:t>
      </w:r>
    </w:p>
    <w:p>
      <w:pPr>
        <w:pStyle w:val="ListParagraph"/>
        <w:numPr>
          <w:ilvl w:val="0"/>
          <w:numId w:val="260"/>
        </w:numPr>
        <w:tabs>
          <w:tab w:pos="1580" w:val="left" w:leader="none"/>
        </w:tabs>
        <w:spacing w:line="240" w:lineRule="auto" w:before="3" w:after="0"/>
        <w:ind w:left="1313" w:right="779" w:firstLine="0"/>
        <w:jc w:val="both"/>
        <w:rPr>
          <w:sz w:val="24"/>
        </w:rPr>
      </w:pPr>
      <w:r>
        <w:rPr>
          <w:sz w:val="24"/>
        </w:rPr>
        <w:t>The</w:t>
      </w:r>
      <w:r>
        <w:rPr>
          <w:spacing w:val="40"/>
          <w:sz w:val="24"/>
        </w:rPr>
        <w:t> </w:t>
      </w:r>
      <w:r>
        <w:rPr>
          <w:sz w:val="24"/>
        </w:rPr>
        <w:t>application</w:t>
      </w:r>
      <w:r>
        <w:rPr>
          <w:spacing w:val="40"/>
          <w:sz w:val="24"/>
        </w:rPr>
        <w:t> </w:t>
      </w:r>
      <w:r>
        <w:rPr>
          <w:sz w:val="24"/>
        </w:rPr>
        <w:t>for</w:t>
      </w:r>
      <w:r>
        <w:rPr>
          <w:spacing w:val="40"/>
          <w:sz w:val="24"/>
        </w:rPr>
        <w:t> </w:t>
      </w:r>
      <w:r>
        <w:rPr>
          <w:sz w:val="24"/>
        </w:rPr>
        <w:t>the</w:t>
      </w:r>
      <w:r>
        <w:rPr>
          <w:spacing w:val="40"/>
          <w:sz w:val="24"/>
        </w:rPr>
        <w:t> </w:t>
      </w:r>
      <w:r>
        <w:rPr>
          <w:sz w:val="24"/>
        </w:rPr>
        <w:t>proposed</w:t>
      </w:r>
      <w:r>
        <w:rPr>
          <w:spacing w:val="40"/>
          <w:sz w:val="24"/>
        </w:rPr>
        <w:t> </w:t>
      </w:r>
      <w:r>
        <w:rPr>
          <w:sz w:val="24"/>
        </w:rPr>
        <w:t>Yogalaya</w:t>
      </w:r>
      <w:r>
        <w:rPr>
          <w:spacing w:val="40"/>
          <w:sz w:val="24"/>
        </w:rPr>
        <w:t> </w:t>
      </w:r>
      <w:r>
        <w:rPr>
          <w:sz w:val="24"/>
        </w:rPr>
        <w:t>or</w:t>
      </w:r>
      <w:r>
        <w:rPr>
          <w:spacing w:val="40"/>
          <w:sz w:val="24"/>
        </w:rPr>
        <w:t> </w:t>
      </w:r>
      <w:r>
        <w:rPr>
          <w:sz w:val="24"/>
        </w:rPr>
        <w:t>Fitness</w:t>
      </w:r>
      <w:r>
        <w:rPr>
          <w:spacing w:val="10"/>
          <w:sz w:val="24"/>
        </w:rPr>
        <w:t> Centre </w:t>
      </w:r>
      <w:r>
        <w:rPr>
          <w:sz w:val="24"/>
        </w:rPr>
        <w:t>shall</w:t>
      </w:r>
      <w:r>
        <w:rPr>
          <w:spacing w:val="40"/>
          <w:sz w:val="24"/>
        </w:rPr>
        <w:t> </w:t>
      </w:r>
      <w:r>
        <w:rPr>
          <w:sz w:val="24"/>
        </w:rPr>
        <w:t>be made</w:t>
      </w:r>
      <w:r>
        <w:rPr>
          <w:spacing w:val="80"/>
          <w:sz w:val="24"/>
        </w:rPr>
        <w:t> </w:t>
      </w:r>
      <w:r>
        <w:rPr>
          <w:sz w:val="24"/>
        </w:rPr>
        <w:t>by</w:t>
      </w:r>
      <w:r>
        <w:rPr>
          <w:spacing w:val="80"/>
          <w:sz w:val="24"/>
        </w:rPr>
        <w:t> </w:t>
      </w:r>
      <w:r>
        <w:rPr>
          <w:sz w:val="24"/>
        </w:rPr>
        <w:t>the</w:t>
      </w:r>
      <w:r>
        <w:rPr>
          <w:spacing w:val="80"/>
          <w:sz w:val="24"/>
        </w:rPr>
        <w:t> </w:t>
      </w:r>
      <w:r>
        <w:rPr>
          <w:sz w:val="24"/>
        </w:rPr>
        <w:t>Registered</w:t>
      </w:r>
      <w:r>
        <w:rPr>
          <w:spacing w:val="80"/>
          <w:sz w:val="24"/>
        </w:rPr>
        <w:t> </w:t>
      </w:r>
      <w:r>
        <w:rPr>
          <w:spacing w:val="12"/>
          <w:sz w:val="24"/>
        </w:rPr>
        <w:t>Co-</w:t>
      </w:r>
      <w:r>
        <w:rPr>
          <w:sz w:val="24"/>
        </w:rPr>
        <w:t>Operative</w:t>
      </w:r>
      <w:r>
        <w:rPr>
          <w:spacing w:val="80"/>
          <w:sz w:val="24"/>
        </w:rPr>
        <w:t> </w:t>
      </w:r>
      <w:r>
        <w:rPr>
          <w:sz w:val="24"/>
        </w:rPr>
        <w:t>Housing</w:t>
      </w:r>
      <w:r>
        <w:rPr>
          <w:spacing w:val="80"/>
          <w:sz w:val="24"/>
        </w:rPr>
        <w:t> </w:t>
      </w:r>
      <w:r>
        <w:rPr>
          <w:sz w:val="24"/>
        </w:rPr>
        <w:t>Society/Apartment Owners Association of the </w:t>
      </w:r>
      <w:r>
        <w:rPr>
          <w:spacing w:val="9"/>
          <w:sz w:val="24"/>
        </w:rPr>
        <w:t>buildings </w:t>
      </w:r>
      <w:r>
        <w:rPr>
          <w:sz w:val="24"/>
        </w:rPr>
        <w:t>that has been issued the occupation certificate/BCC.</w:t>
      </w:r>
      <w:r>
        <w:rPr>
          <w:spacing w:val="40"/>
          <w:sz w:val="24"/>
        </w:rPr>
        <w:t> </w:t>
      </w:r>
      <w:r>
        <w:rPr>
          <w:sz w:val="24"/>
        </w:rPr>
        <w:t>The</w:t>
      </w:r>
      <w:r>
        <w:rPr>
          <w:spacing w:val="40"/>
          <w:sz w:val="24"/>
        </w:rPr>
        <w:t> </w:t>
      </w:r>
      <w:r>
        <w:rPr>
          <w:sz w:val="24"/>
        </w:rPr>
        <w:t>owner/developer</w:t>
      </w:r>
      <w:r>
        <w:rPr>
          <w:spacing w:val="40"/>
          <w:sz w:val="24"/>
        </w:rPr>
        <w:t> </w:t>
      </w:r>
      <w:r>
        <w:rPr>
          <w:sz w:val="24"/>
        </w:rPr>
        <w:t>may</w:t>
      </w:r>
      <w:r>
        <w:rPr>
          <w:spacing w:val="40"/>
          <w:sz w:val="24"/>
        </w:rPr>
        <w:t> </w:t>
      </w:r>
      <w:r>
        <w:rPr>
          <w:sz w:val="24"/>
        </w:rPr>
        <w:t>make</w:t>
      </w:r>
      <w:r>
        <w:rPr>
          <w:spacing w:val="40"/>
          <w:sz w:val="24"/>
        </w:rPr>
        <w:t> </w:t>
      </w:r>
      <w:r>
        <w:rPr>
          <w:sz w:val="24"/>
        </w:rPr>
        <w:t>an</w:t>
      </w:r>
      <w:r>
        <w:rPr>
          <w:spacing w:val="40"/>
          <w:sz w:val="24"/>
        </w:rPr>
        <w:t> </w:t>
      </w:r>
      <w:r>
        <w:rPr>
          <w:sz w:val="24"/>
        </w:rPr>
        <w:t>application</w:t>
      </w:r>
      <w:r>
        <w:rPr>
          <w:spacing w:val="40"/>
          <w:sz w:val="24"/>
        </w:rPr>
        <w:t> </w:t>
      </w:r>
      <w:r>
        <w:rPr>
          <w:sz w:val="24"/>
        </w:rPr>
        <w:t>for proposed</w:t>
      </w:r>
      <w:r>
        <w:rPr>
          <w:spacing w:val="40"/>
          <w:sz w:val="24"/>
        </w:rPr>
        <w:t> </w:t>
      </w:r>
      <w:r>
        <w:rPr>
          <w:sz w:val="24"/>
        </w:rPr>
        <w:t>Yogalaya</w:t>
      </w:r>
      <w:r>
        <w:rPr>
          <w:spacing w:val="40"/>
          <w:sz w:val="24"/>
        </w:rPr>
        <w:t> </w:t>
      </w:r>
      <w:r>
        <w:rPr>
          <w:sz w:val="24"/>
        </w:rPr>
        <w:t>or Fitness Centre</w:t>
      </w:r>
      <w:r>
        <w:rPr>
          <w:spacing w:val="40"/>
          <w:sz w:val="24"/>
        </w:rPr>
        <w:t> </w:t>
      </w:r>
      <w:r>
        <w:rPr>
          <w:sz w:val="24"/>
        </w:rPr>
        <w:t>with registered undertaking</w:t>
      </w:r>
      <w:r>
        <w:rPr>
          <w:spacing w:val="40"/>
          <w:sz w:val="24"/>
        </w:rPr>
        <w:t> </w:t>
      </w:r>
      <w:r>
        <w:rPr>
          <w:sz w:val="24"/>
        </w:rPr>
        <w:t>stating that constructed Yogalaya or Fitness Centre shall be handed over to</w:t>
      </w:r>
      <w:r>
        <w:rPr>
          <w:spacing w:val="40"/>
          <w:sz w:val="24"/>
        </w:rPr>
        <w:t> </w:t>
      </w:r>
      <w:r>
        <w:rPr>
          <w:sz w:val="24"/>
        </w:rPr>
        <w:t>proposed</w:t>
      </w:r>
      <w:r>
        <w:rPr>
          <w:spacing w:val="10"/>
          <w:sz w:val="24"/>
        </w:rPr>
        <w:t> Co-</w:t>
      </w:r>
      <w:r>
        <w:rPr>
          <w:sz w:val="24"/>
        </w:rPr>
        <w:t>Operative Housing</w:t>
      </w:r>
      <w:r>
        <w:rPr>
          <w:spacing w:val="40"/>
          <w:sz w:val="24"/>
        </w:rPr>
        <w:t> </w:t>
      </w:r>
      <w:r>
        <w:rPr>
          <w:sz w:val="24"/>
        </w:rPr>
        <w:t>Society/Apartment</w:t>
      </w:r>
      <w:r>
        <w:rPr>
          <w:spacing w:val="40"/>
          <w:sz w:val="24"/>
        </w:rPr>
        <w:t> </w:t>
      </w:r>
      <w:r>
        <w:rPr>
          <w:sz w:val="24"/>
        </w:rPr>
        <w:t>Owners Association; and</w:t>
      </w:r>
      <w:r>
        <w:rPr>
          <w:spacing w:val="40"/>
          <w:sz w:val="24"/>
        </w:rPr>
        <w:t> </w:t>
      </w:r>
      <w:r>
        <w:rPr>
          <w:sz w:val="24"/>
        </w:rPr>
        <w:t>in</w:t>
      </w:r>
      <w:r>
        <w:rPr>
          <w:spacing w:val="40"/>
          <w:sz w:val="24"/>
        </w:rPr>
        <w:t> </w:t>
      </w:r>
      <w:r>
        <w:rPr>
          <w:sz w:val="24"/>
        </w:rPr>
        <w:t>turn</w:t>
      </w:r>
      <w:r>
        <w:rPr>
          <w:spacing w:val="40"/>
          <w:sz w:val="24"/>
        </w:rPr>
        <w:t> </w:t>
      </w:r>
      <w:r>
        <w:rPr>
          <w:sz w:val="24"/>
        </w:rPr>
        <w:t>shall</w:t>
      </w:r>
      <w:r>
        <w:rPr>
          <w:spacing w:val="40"/>
          <w:sz w:val="24"/>
        </w:rPr>
        <w:t> </w:t>
      </w:r>
      <w:r>
        <w:rPr>
          <w:sz w:val="24"/>
        </w:rPr>
        <w:t>ensure</w:t>
      </w:r>
      <w:r>
        <w:rPr>
          <w:spacing w:val="40"/>
          <w:sz w:val="24"/>
        </w:rPr>
        <w:t> </w:t>
      </w:r>
      <w:r>
        <w:rPr>
          <w:sz w:val="24"/>
        </w:rPr>
        <w:t>the</w:t>
      </w:r>
      <w:r>
        <w:rPr>
          <w:spacing w:val="40"/>
          <w:sz w:val="24"/>
        </w:rPr>
        <w:t> </w:t>
      </w:r>
      <w:r>
        <w:rPr>
          <w:sz w:val="24"/>
        </w:rPr>
        <w:t>handing</w:t>
      </w:r>
      <w:r>
        <w:rPr>
          <w:spacing w:val="40"/>
          <w:sz w:val="24"/>
        </w:rPr>
        <w:t> </w:t>
      </w:r>
      <w:r>
        <w:rPr>
          <w:sz w:val="24"/>
        </w:rPr>
        <w:t>over</w:t>
      </w:r>
      <w:r>
        <w:rPr>
          <w:spacing w:val="40"/>
          <w:sz w:val="24"/>
        </w:rPr>
        <w:t> </w:t>
      </w:r>
      <w:r>
        <w:rPr>
          <w:sz w:val="24"/>
        </w:rPr>
        <w:t>on</w:t>
      </w:r>
      <w:r>
        <w:rPr>
          <w:spacing w:val="40"/>
          <w:sz w:val="24"/>
        </w:rPr>
        <w:t> </w:t>
      </w:r>
      <w:r>
        <w:rPr>
          <w:sz w:val="24"/>
        </w:rPr>
        <w:t>completion.</w:t>
      </w:r>
    </w:p>
    <w:p>
      <w:pPr>
        <w:pStyle w:val="ListParagraph"/>
        <w:numPr>
          <w:ilvl w:val="0"/>
          <w:numId w:val="260"/>
        </w:numPr>
        <w:tabs>
          <w:tab w:pos="1690" w:val="left" w:leader="none"/>
        </w:tabs>
        <w:spacing w:line="240" w:lineRule="auto" w:before="0" w:after="0"/>
        <w:ind w:left="1313" w:right="780" w:firstLine="0"/>
        <w:jc w:val="both"/>
        <w:rPr>
          <w:sz w:val="24"/>
        </w:rPr>
      </w:pPr>
      <w:r>
        <w:rPr>
          <w:sz w:val="24"/>
        </w:rPr>
        <w:t>The</w:t>
      </w:r>
      <w:r>
        <w:rPr>
          <w:spacing w:val="40"/>
          <w:sz w:val="24"/>
        </w:rPr>
        <w:t> </w:t>
      </w:r>
      <w:r>
        <w:rPr>
          <w:sz w:val="24"/>
        </w:rPr>
        <w:t>area</w:t>
      </w:r>
      <w:r>
        <w:rPr>
          <w:spacing w:val="40"/>
          <w:sz w:val="24"/>
        </w:rPr>
        <w:t> </w:t>
      </w:r>
      <w:r>
        <w:rPr>
          <w:sz w:val="24"/>
        </w:rPr>
        <w:t>of</w:t>
      </w:r>
      <w:r>
        <w:rPr>
          <w:spacing w:val="40"/>
          <w:sz w:val="24"/>
        </w:rPr>
        <w:t> </w:t>
      </w:r>
      <w:r>
        <w:rPr>
          <w:sz w:val="24"/>
        </w:rPr>
        <w:t>such</w:t>
      </w:r>
      <w:r>
        <w:rPr>
          <w:spacing w:val="40"/>
          <w:sz w:val="24"/>
        </w:rPr>
        <w:t> </w:t>
      </w:r>
      <w:r>
        <w:rPr>
          <w:sz w:val="24"/>
        </w:rPr>
        <w:t>center</w:t>
      </w:r>
      <w:r>
        <w:rPr>
          <w:spacing w:val="40"/>
          <w:sz w:val="24"/>
        </w:rPr>
        <w:t> </w:t>
      </w:r>
      <w:r>
        <w:rPr>
          <w:sz w:val="24"/>
        </w:rPr>
        <w:t>shall</w:t>
      </w:r>
      <w:r>
        <w:rPr>
          <w:spacing w:val="40"/>
          <w:sz w:val="24"/>
        </w:rPr>
        <w:t> </w:t>
      </w:r>
      <w:r>
        <w:rPr>
          <w:sz w:val="24"/>
        </w:rPr>
        <w:t>be</w:t>
      </w:r>
      <w:r>
        <w:rPr>
          <w:spacing w:val="40"/>
          <w:sz w:val="24"/>
        </w:rPr>
        <w:t> </w:t>
      </w:r>
      <w:r>
        <w:rPr>
          <w:sz w:val="24"/>
        </w:rPr>
        <w:t>allowed</w:t>
      </w:r>
      <w:r>
        <w:rPr>
          <w:spacing w:val="40"/>
          <w:sz w:val="24"/>
        </w:rPr>
        <w:t> </w:t>
      </w:r>
      <w:r>
        <w:rPr>
          <w:sz w:val="24"/>
        </w:rPr>
        <w:t>free</w:t>
      </w:r>
      <w:r>
        <w:rPr>
          <w:spacing w:val="40"/>
          <w:sz w:val="24"/>
        </w:rPr>
        <w:t> </w:t>
      </w:r>
      <w:r>
        <w:rPr>
          <w:sz w:val="24"/>
        </w:rPr>
        <w:t>of</w:t>
      </w:r>
      <w:r>
        <w:rPr>
          <w:spacing w:val="40"/>
          <w:sz w:val="24"/>
        </w:rPr>
        <w:t> </w:t>
      </w:r>
      <w:r>
        <w:rPr>
          <w:sz w:val="24"/>
        </w:rPr>
        <w:t>FSI</w:t>
      </w:r>
      <w:r>
        <w:rPr>
          <w:spacing w:val="40"/>
          <w:sz w:val="24"/>
        </w:rPr>
        <w:t> </w:t>
      </w:r>
      <w:r>
        <w:rPr>
          <w:sz w:val="24"/>
        </w:rPr>
        <w:t>equivalent</w:t>
      </w:r>
      <w:r>
        <w:rPr>
          <w:spacing w:val="40"/>
          <w:sz w:val="24"/>
        </w:rPr>
        <w:t> </w:t>
      </w:r>
      <w:r>
        <w:rPr>
          <w:sz w:val="24"/>
        </w:rPr>
        <w:t>to 2(two)</w:t>
      </w:r>
      <w:r>
        <w:rPr>
          <w:spacing w:val="40"/>
          <w:sz w:val="24"/>
        </w:rPr>
        <w:t> </w:t>
      </w:r>
      <w:r>
        <w:rPr>
          <w:sz w:val="24"/>
        </w:rPr>
        <w:t>percent</w:t>
      </w:r>
      <w:r>
        <w:rPr>
          <w:spacing w:val="40"/>
          <w:sz w:val="24"/>
        </w:rPr>
        <w:t> </w:t>
      </w:r>
      <w:r>
        <w:rPr>
          <w:sz w:val="24"/>
        </w:rPr>
        <w:t>of</w:t>
      </w:r>
      <w:r>
        <w:rPr>
          <w:spacing w:val="40"/>
          <w:sz w:val="24"/>
        </w:rPr>
        <w:t> </w:t>
      </w:r>
      <w:r>
        <w:rPr>
          <w:sz w:val="24"/>
        </w:rPr>
        <w:t>the</w:t>
      </w:r>
      <w:r>
        <w:rPr>
          <w:spacing w:val="40"/>
          <w:sz w:val="24"/>
        </w:rPr>
        <w:t> </w:t>
      </w:r>
      <w:r>
        <w:rPr>
          <w:sz w:val="24"/>
        </w:rPr>
        <w:t>total</w:t>
      </w:r>
      <w:r>
        <w:rPr>
          <w:spacing w:val="40"/>
          <w:sz w:val="24"/>
        </w:rPr>
        <w:t> </w:t>
      </w:r>
      <w:r>
        <w:rPr>
          <w:sz w:val="24"/>
        </w:rPr>
        <w:t>BUA</w:t>
      </w:r>
      <w:r>
        <w:rPr>
          <w:spacing w:val="40"/>
          <w:sz w:val="24"/>
        </w:rPr>
        <w:t> </w:t>
      </w:r>
      <w:r>
        <w:rPr>
          <w:sz w:val="24"/>
        </w:rPr>
        <w:t>for</w:t>
      </w:r>
      <w:r>
        <w:rPr>
          <w:spacing w:val="40"/>
          <w:sz w:val="24"/>
        </w:rPr>
        <w:t> </w:t>
      </w:r>
      <w:r>
        <w:rPr>
          <w:sz w:val="24"/>
        </w:rPr>
        <w:t>every</w:t>
      </w:r>
      <w:r>
        <w:rPr>
          <w:spacing w:val="40"/>
          <w:sz w:val="24"/>
        </w:rPr>
        <w:t> </w:t>
      </w:r>
      <w:r>
        <w:rPr>
          <w:sz w:val="24"/>
        </w:rPr>
        <w:t>building</w:t>
      </w:r>
      <w:r>
        <w:rPr>
          <w:spacing w:val="40"/>
          <w:sz w:val="24"/>
        </w:rPr>
        <w:t> </w:t>
      </w:r>
      <w:r>
        <w:rPr>
          <w:sz w:val="24"/>
        </w:rPr>
        <w:t>distributed</w:t>
      </w:r>
      <w:r>
        <w:rPr>
          <w:spacing w:val="40"/>
          <w:sz w:val="24"/>
        </w:rPr>
        <w:t> </w:t>
      </w:r>
      <w:r>
        <w:rPr>
          <w:sz w:val="24"/>
        </w:rPr>
        <w:t>as</w:t>
      </w:r>
      <w:r>
        <w:rPr>
          <w:spacing w:val="40"/>
          <w:sz w:val="24"/>
        </w:rPr>
        <w:t> </w:t>
      </w:r>
      <w:r>
        <w:rPr>
          <w:sz w:val="24"/>
        </w:rPr>
        <w:t>desired. Any</w:t>
      </w:r>
      <w:r>
        <w:rPr>
          <w:spacing w:val="40"/>
          <w:sz w:val="24"/>
        </w:rPr>
        <w:t> </w:t>
      </w:r>
      <w:r>
        <w:rPr>
          <w:sz w:val="24"/>
        </w:rPr>
        <w:t>additional</w:t>
      </w:r>
      <w:r>
        <w:rPr>
          <w:spacing w:val="80"/>
          <w:sz w:val="24"/>
        </w:rPr>
        <w:t> </w:t>
      </w:r>
      <w:r>
        <w:rPr>
          <w:sz w:val="24"/>
        </w:rPr>
        <w:t>BUA,</w:t>
      </w:r>
      <w:r>
        <w:rPr>
          <w:spacing w:val="40"/>
          <w:sz w:val="24"/>
        </w:rPr>
        <w:t> </w:t>
      </w:r>
      <w:r>
        <w:rPr>
          <w:sz w:val="24"/>
        </w:rPr>
        <w:t>in</w:t>
      </w:r>
      <w:r>
        <w:rPr>
          <w:spacing w:val="40"/>
          <w:sz w:val="24"/>
        </w:rPr>
        <w:t> </w:t>
      </w:r>
      <w:r>
        <w:rPr>
          <w:sz w:val="24"/>
        </w:rPr>
        <w:t>excess</w:t>
      </w:r>
      <w:r>
        <w:rPr>
          <w:spacing w:val="40"/>
          <w:sz w:val="24"/>
        </w:rPr>
        <w:t> </w:t>
      </w:r>
      <w:r>
        <w:rPr>
          <w:sz w:val="24"/>
        </w:rPr>
        <w:t>of</w:t>
      </w:r>
      <w:r>
        <w:rPr>
          <w:spacing w:val="40"/>
          <w:sz w:val="24"/>
        </w:rPr>
        <w:t> </w:t>
      </w:r>
      <w:r>
        <w:rPr>
          <w:sz w:val="24"/>
        </w:rPr>
        <w:t>this</w:t>
      </w:r>
      <w:r>
        <w:rPr>
          <w:spacing w:val="40"/>
          <w:sz w:val="24"/>
        </w:rPr>
        <w:t> </w:t>
      </w:r>
      <w:r>
        <w:rPr>
          <w:sz w:val="24"/>
        </w:rPr>
        <w:t>limit</w:t>
      </w:r>
      <w:r>
        <w:rPr>
          <w:spacing w:val="40"/>
          <w:sz w:val="24"/>
        </w:rPr>
        <w:t> </w:t>
      </w:r>
      <w:r>
        <w:rPr>
          <w:sz w:val="24"/>
        </w:rPr>
        <w:t>would</w:t>
      </w:r>
      <w:r>
        <w:rPr>
          <w:spacing w:val="40"/>
          <w:sz w:val="24"/>
        </w:rPr>
        <w:t> </w:t>
      </w:r>
      <w:r>
        <w:rPr>
          <w:sz w:val="24"/>
        </w:rPr>
        <w:t>be</w:t>
      </w:r>
      <w:r>
        <w:rPr>
          <w:spacing w:val="80"/>
          <w:sz w:val="24"/>
        </w:rPr>
        <w:t> </w:t>
      </w:r>
      <w:r>
        <w:rPr>
          <w:sz w:val="24"/>
        </w:rPr>
        <w:t>counted</w:t>
      </w:r>
      <w:r>
        <w:rPr>
          <w:spacing w:val="40"/>
          <w:sz w:val="24"/>
        </w:rPr>
        <w:t> </w:t>
      </w:r>
      <w:r>
        <w:rPr>
          <w:sz w:val="24"/>
        </w:rPr>
        <w:t>towards </w:t>
      </w:r>
      <w:r>
        <w:rPr>
          <w:spacing w:val="-4"/>
          <w:sz w:val="24"/>
        </w:rPr>
        <w:t>FSI.</w:t>
      </w:r>
    </w:p>
    <w:p>
      <w:pPr>
        <w:pStyle w:val="ListParagraph"/>
        <w:numPr>
          <w:ilvl w:val="0"/>
          <w:numId w:val="260"/>
        </w:numPr>
        <w:tabs>
          <w:tab w:pos="1745" w:val="left" w:leader="none"/>
        </w:tabs>
        <w:spacing w:line="240" w:lineRule="auto" w:before="0" w:after="0"/>
        <w:ind w:left="1313" w:right="795" w:firstLine="0"/>
        <w:jc w:val="both"/>
        <w:rPr>
          <w:sz w:val="24"/>
        </w:rPr>
      </w:pPr>
      <w:r>
        <w:rPr>
          <w:sz w:val="24"/>
        </w:rPr>
        <w:t>The center</w:t>
      </w:r>
      <w:r>
        <w:rPr>
          <w:spacing w:val="40"/>
          <w:sz w:val="24"/>
        </w:rPr>
        <w:t> </w:t>
      </w:r>
      <w:r>
        <w:rPr>
          <w:sz w:val="24"/>
        </w:rPr>
        <w:t>shall not be used for any purpose other than for fitness</w:t>
      </w:r>
      <w:r>
        <w:rPr>
          <w:spacing w:val="40"/>
          <w:sz w:val="24"/>
        </w:rPr>
        <w:t> </w:t>
      </w:r>
      <w:r>
        <w:rPr>
          <w:sz w:val="24"/>
        </w:rPr>
        <w:t>centre</w:t>
      </w:r>
      <w:r>
        <w:rPr>
          <w:spacing w:val="40"/>
          <w:sz w:val="24"/>
        </w:rPr>
        <w:t> </w:t>
      </w:r>
      <w:r>
        <w:rPr>
          <w:sz w:val="24"/>
        </w:rPr>
        <w:t>activities</w:t>
      </w:r>
      <w:r>
        <w:rPr>
          <w:spacing w:val="40"/>
          <w:sz w:val="24"/>
        </w:rPr>
        <w:t> </w:t>
      </w:r>
      <w:r>
        <w:rPr>
          <w:sz w:val="24"/>
        </w:rPr>
        <w:t>and</w:t>
      </w:r>
      <w:r>
        <w:rPr>
          <w:spacing w:val="40"/>
          <w:sz w:val="24"/>
        </w:rPr>
        <w:t> </w:t>
      </w:r>
      <w:r>
        <w:rPr>
          <w:sz w:val="24"/>
        </w:rPr>
        <w:t>Reading</w:t>
      </w:r>
      <w:r>
        <w:rPr>
          <w:spacing w:val="40"/>
          <w:sz w:val="24"/>
        </w:rPr>
        <w:t> </w:t>
      </w:r>
      <w:r>
        <w:rPr>
          <w:sz w:val="24"/>
        </w:rPr>
        <w:t>Room.</w:t>
      </w:r>
    </w:p>
    <w:p>
      <w:pPr>
        <w:pStyle w:val="ListParagraph"/>
        <w:numPr>
          <w:ilvl w:val="0"/>
          <w:numId w:val="260"/>
        </w:numPr>
        <w:tabs>
          <w:tab w:pos="1685" w:val="left" w:leader="none"/>
        </w:tabs>
        <w:spacing w:line="240" w:lineRule="auto" w:before="0" w:after="0"/>
        <w:ind w:left="1313" w:right="784" w:firstLine="0"/>
        <w:jc w:val="both"/>
        <w:rPr>
          <w:sz w:val="24"/>
        </w:rPr>
      </w:pPr>
      <w:r>
        <w:rPr>
          <w:sz w:val="24"/>
        </w:rPr>
        <w:t>The</w:t>
      </w:r>
      <w:r>
        <w:rPr>
          <w:spacing w:val="40"/>
          <w:sz w:val="24"/>
        </w:rPr>
        <w:t> </w:t>
      </w:r>
      <w:r>
        <w:rPr>
          <w:sz w:val="24"/>
        </w:rPr>
        <w:t>Yogalaya</w:t>
      </w:r>
      <w:r>
        <w:rPr>
          <w:spacing w:val="40"/>
          <w:sz w:val="24"/>
        </w:rPr>
        <w:t> </w:t>
      </w:r>
      <w:r>
        <w:rPr>
          <w:sz w:val="24"/>
        </w:rPr>
        <w:t>or</w:t>
      </w:r>
      <w:r>
        <w:rPr>
          <w:spacing w:val="40"/>
          <w:sz w:val="24"/>
        </w:rPr>
        <w:t> </w:t>
      </w:r>
      <w:r>
        <w:rPr>
          <w:sz w:val="24"/>
        </w:rPr>
        <w:t>Fitness</w:t>
      </w:r>
      <w:r>
        <w:rPr>
          <w:spacing w:val="40"/>
          <w:sz w:val="24"/>
        </w:rPr>
        <w:t> </w:t>
      </w:r>
      <w:r>
        <w:rPr>
          <w:sz w:val="24"/>
        </w:rPr>
        <w:t>Centre</w:t>
      </w:r>
      <w:r>
        <w:rPr>
          <w:spacing w:val="40"/>
          <w:sz w:val="24"/>
        </w:rPr>
        <w:t> </w:t>
      </w:r>
      <w:r>
        <w:rPr>
          <w:sz w:val="24"/>
        </w:rPr>
        <w:t>activities</w:t>
      </w:r>
      <w:r>
        <w:rPr>
          <w:spacing w:val="40"/>
          <w:sz w:val="24"/>
        </w:rPr>
        <w:t> </w:t>
      </w:r>
      <w:r>
        <w:rPr>
          <w:sz w:val="24"/>
        </w:rPr>
        <w:t>shall</w:t>
      </w:r>
      <w:r>
        <w:rPr>
          <w:spacing w:val="40"/>
          <w:sz w:val="24"/>
        </w:rPr>
        <w:t> </w:t>
      </w:r>
      <w:r>
        <w:rPr>
          <w:sz w:val="24"/>
        </w:rPr>
        <w:t>be</w:t>
      </w:r>
      <w:r>
        <w:rPr>
          <w:spacing w:val="40"/>
          <w:sz w:val="24"/>
        </w:rPr>
        <w:t> </w:t>
      </w:r>
      <w:r>
        <w:rPr>
          <w:sz w:val="24"/>
        </w:rPr>
        <w:t>exclusively</w:t>
      </w:r>
      <w:r>
        <w:rPr>
          <w:spacing w:val="40"/>
          <w:sz w:val="24"/>
        </w:rPr>
        <w:t> </w:t>
      </w:r>
      <w:r>
        <w:rPr>
          <w:sz w:val="24"/>
        </w:rPr>
        <w:t>confined for to the members of the concerned housing society or an Apartment</w:t>
      </w:r>
      <w:r>
        <w:rPr>
          <w:spacing w:val="40"/>
          <w:sz w:val="24"/>
        </w:rPr>
        <w:t> </w:t>
      </w:r>
      <w:r>
        <w:rPr>
          <w:sz w:val="24"/>
        </w:rPr>
        <w:t>Owners Association.</w:t>
      </w:r>
    </w:p>
    <w:p>
      <w:pPr>
        <w:pStyle w:val="ListParagraph"/>
        <w:spacing w:after="0" w:line="240" w:lineRule="auto"/>
        <w:jc w:val="both"/>
        <w:rPr>
          <w:sz w:val="24"/>
        </w:rPr>
        <w:sectPr>
          <w:pgSz w:w="11910" w:h="16840"/>
          <w:pgMar w:header="1058" w:footer="1201" w:top="1500" w:bottom="1400" w:left="360" w:right="360"/>
        </w:sectPr>
      </w:pPr>
    </w:p>
    <w:p>
      <w:pPr>
        <w:pStyle w:val="ListParagraph"/>
        <w:numPr>
          <w:ilvl w:val="0"/>
          <w:numId w:val="260"/>
        </w:numPr>
        <w:tabs>
          <w:tab w:pos="1614" w:val="left" w:leader="none"/>
        </w:tabs>
        <w:spacing w:line="240" w:lineRule="auto" w:before="255" w:after="0"/>
        <w:ind w:left="1313" w:right="784" w:firstLine="0"/>
        <w:jc w:val="both"/>
        <w:rPr>
          <w:sz w:val="24"/>
        </w:rPr>
      </w:pPr>
      <w:r>
        <w:rPr>
          <w:sz w:val="24"/>
        </w:rPr>
        <w:t>The</w:t>
      </w:r>
      <w:r>
        <w:rPr>
          <w:spacing w:val="40"/>
          <w:sz w:val="24"/>
        </w:rPr>
        <w:t> </w:t>
      </w:r>
      <w:r>
        <w:rPr>
          <w:sz w:val="24"/>
        </w:rPr>
        <w:t>ownership</w:t>
      </w:r>
      <w:r>
        <w:rPr>
          <w:spacing w:val="40"/>
          <w:sz w:val="24"/>
        </w:rPr>
        <w:t> </w:t>
      </w:r>
      <w:r>
        <w:rPr>
          <w:sz w:val="24"/>
        </w:rPr>
        <w:t>of</w:t>
      </w:r>
      <w:r>
        <w:rPr>
          <w:spacing w:val="40"/>
          <w:sz w:val="24"/>
        </w:rPr>
        <w:t> </w:t>
      </w:r>
      <w:r>
        <w:rPr>
          <w:sz w:val="24"/>
        </w:rPr>
        <w:t>the</w:t>
      </w:r>
      <w:r>
        <w:rPr>
          <w:spacing w:val="40"/>
          <w:sz w:val="24"/>
        </w:rPr>
        <w:t> </w:t>
      </w:r>
      <w:r>
        <w:rPr>
          <w:sz w:val="24"/>
        </w:rPr>
        <w:t>premises</w:t>
      </w:r>
      <w:r>
        <w:rPr>
          <w:spacing w:val="40"/>
          <w:sz w:val="24"/>
        </w:rPr>
        <w:t> </w:t>
      </w:r>
      <w:r>
        <w:rPr>
          <w:sz w:val="24"/>
        </w:rPr>
        <w:t>of</w:t>
      </w:r>
      <w:r>
        <w:rPr>
          <w:spacing w:val="40"/>
          <w:sz w:val="24"/>
        </w:rPr>
        <w:t> </w:t>
      </w:r>
      <w:r>
        <w:rPr>
          <w:sz w:val="24"/>
        </w:rPr>
        <w:t>the</w:t>
      </w:r>
      <w:r>
        <w:rPr>
          <w:spacing w:val="40"/>
          <w:sz w:val="24"/>
        </w:rPr>
        <w:t> </w:t>
      </w:r>
      <w:r>
        <w:rPr>
          <w:sz w:val="24"/>
        </w:rPr>
        <w:t>Yogalaya</w:t>
      </w:r>
      <w:r>
        <w:rPr>
          <w:spacing w:val="40"/>
          <w:sz w:val="24"/>
        </w:rPr>
        <w:t> </w:t>
      </w:r>
      <w:r>
        <w:rPr>
          <w:sz w:val="24"/>
        </w:rPr>
        <w:t>or</w:t>
      </w:r>
      <w:r>
        <w:rPr>
          <w:spacing w:val="40"/>
          <w:sz w:val="24"/>
        </w:rPr>
        <w:t> </w:t>
      </w:r>
      <w:r>
        <w:rPr>
          <w:sz w:val="24"/>
        </w:rPr>
        <w:t>Fitness</w:t>
      </w:r>
      <w:r>
        <w:rPr>
          <w:spacing w:val="40"/>
          <w:sz w:val="24"/>
        </w:rPr>
        <w:t> </w:t>
      </w:r>
      <w:r>
        <w:rPr>
          <w:sz w:val="24"/>
        </w:rPr>
        <w:t>Centre</w:t>
      </w:r>
      <w:r>
        <w:rPr>
          <w:spacing w:val="40"/>
          <w:sz w:val="24"/>
        </w:rPr>
        <w:t> </w:t>
      </w:r>
      <w:r>
        <w:rPr>
          <w:sz w:val="24"/>
        </w:rPr>
        <w:t>shall vest</w:t>
      </w:r>
      <w:r>
        <w:rPr>
          <w:spacing w:val="80"/>
          <w:sz w:val="24"/>
        </w:rPr>
        <w:t> </w:t>
      </w:r>
      <w:r>
        <w:rPr>
          <w:sz w:val="24"/>
        </w:rPr>
        <w:t>only</w:t>
      </w:r>
      <w:r>
        <w:rPr>
          <w:spacing w:val="80"/>
          <w:sz w:val="24"/>
        </w:rPr>
        <w:t> </w:t>
      </w:r>
      <w:r>
        <w:rPr>
          <w:sz w:val="24"/>
        </w:rPr>
        <w:t>with</w:t>
      </w:r>
      <w:r>
        <w:rPr>
          <w:spacing w:val="80"/>
          <w:sz w:val="24"/>
        </w:rPr>
        <w:t> </w:t>
      </w:r>
      <w:r>
        <w:rPr>
          <w:sz w:val="24"/>
        </w:rPr>
        <w:t>the</w:t>
      </w:r>
      <w:r>
        <w:rPr>
          <w:spacing w:val="80"/>
          <w:sz w:val="24"/>
        </w:rPr>
        <w:t> </w:t>
      </w:r>
      <w:r>
        <w:rPr>
          <w:sz w:val="24"/>
        </w:rPr>
        <w:t>concerned</w:t>
      </w:r>
      <w:r>
        <w:rPr>
          <w:spacing w:val="80"/>
          <w:sz w:val="24"/>
        </w:rPr>
        <w:t> </w:t>
      </w:r>
      <w:r>
        <w:rPr>
          <w:sz w:val="24"/>
        </w:rPr>
        <w:t>society</w:t>
      </w:r>
      <w:r>
        <w:rPr>
          <w:spacing w:val="80"/>
          <w:sz w:val="24"/>
        </w:rPr>
        <w:t> </w:t>
      </w:r>
      <w:r>
        <w:rPr>
          <w:sz w:val="24"/>
        </w:rPr>
        <w:t>or</w:t>
      </w:r>
      <w:r>
        <w:rPr>
          <w:spacing w:val="80"/>
          <w:sz w:val="24"/>
        </w:rPr>
        <w:t> </w:t>
      </w:r>
      <w:r>
        <w:rPr>
          <w:sz w:val="24"/>
        </w:rPr>
        <w:t>the</w:t>
      </w:r>
      <w:r>
        <w:rPr>
          <w:spacing w:val="80"/>
          <w:sz w:val="24"/>
        </w:rPr>
        <w:t> </w:t>
      </w:r>
      <w:r>
        <w:rPr>
          <w:sz w:val="24"/>
        </w:rPr>
        <w:t>apartment</w:t>
      </w:r>
      <w:r>
        <w:rPr>
          <w:spacing w:val="80"/>
          <w:sz w:val="24"/>
        </w:rPr>
        <w:t> </w:t>
      </w:r>
      <w:r>
        <w:rPr>
          <w:sz w:val="24"/>
        </w:rPr>
        <w:t>owner’s association</w:t>
      </w:r>
      <w:r>
        <w:rPr>
          <w:spacing w:val="40"/>
          <w:sz w:val="24"/>
        </w:rPr>
        <w:t> </w:t>
      </w:r>
      <w:r>
        <w:rPr>
          <w:sz w:val="24"/>
        </w:rPr>
        <w:t>as</w:t>
      </w:r>
      <w:r>
        <w:rPr>
          <w:spacing w:val="40"/>
          <w:sz w:val="24"/>
        </w:rPr>
        <w:t> </w:t>
      </w:r>
      <w:r>
        <w:rPr>
          <w:sz w:val="24"/>
        </w:rPr>
        <w:t>the</w:t>
      </w:r>
      <w:r>
        <w:rPr>
          <w:spacing w:val="40"/>
          <w:sz w:val="24"/>
        </w:rPr>
        <w:t> </w:t>
      </w:r>
      <w:r>
        <w:rPr>
          <w:sz w:val="24"/>
        </w:rPr>
        <w:t>case</w:t>
      </w:r>
      <w:r>
        <w:rPr>
          <w:spacing w:val="40"/>
          <w:sz w:val="24"/>
        </w:rPr>
        <w:t> </w:t>
      </w:r>
      <w:r>
        <w:rPr>
          <w:sz w:val="24"/>
        </w:rPr>
        <w:t>may</w:t>
      </w:r>
      <w:r>
        <w:rPr>
          <w:spacing w:val="40"/>
          <w:sz w:val="24"/>
        </w:rPr>
        <w:t> </w:t>
      </w:r>
      <w:r>
        <w:rPr>
          <w:sz w:val="24"/>
        </w:rPr>
        <w:t>be.</w:t>
      </w:r>
    </w:p>
    <w:p>
      <w:pPr>
        <w:pStyle w:val="ListParagraph"/>
        <w:numPr>
          <w:ilvl w:val="0"/>
          <w:numId w:val="260"/>
        </w:numPr>
        <w:tabs>
          <w:tab w:pos="1697" w:val="left" w:leader="none"/>
        </w:tabs>
        <w:spacing w:line="240" w:lineRule="auto" w:before="2" w:after="0"/>
        <w:ind w:left="1313" w:right="782" w:firstLine="0"/>
        <w:jc w:val="both"/>
        <w:rPr>
          <w:sz w:val="24"/>
        </w:rPr>
      </w:pPr>
      <w:r>
        <w:rPr>
          <w:sz w:val="24"/>
        </w:rPr>
        <w:t>In</w:t>
      </w:r>
      <w:r>
        <w:rPr>
          <w:spacing w:val="40"/>
          <w:sz w:val="24"/>
        </w:rPr>
        <w:t> </w:t>
      </w:r>
      <w:r>
        <w:rPr>
          <w:sz w:val="24"/>
        </w:rPr>
        <w:t>case</w:t>
      </w:r>
      <w:r>
        <w:rPr>
          <w:spacing w:val="40"/>
          <w:sz w:val="24"/>
        </w:rPr>
        <w:t> </w:t>
      </w:r>
      <w:r>
        <w:rPr>
          <w:sz w:val="24"/>
        </w:rPr>
        <w:t>of</w:t>
      </w:r>
      <w:r>
        <w:rPr>
          <w:spacing w:val="40"/>
          <w:sz w:val="24"/>
        </w:rPr>
        <w:t> </w:t>
      </w:r>
      <w:r>
        <w:rPr>
          <w:sz w:val="24"/>
        </w:rPr>
        <w:t>larger</w:t>
      </w:r>
      <w:r>
        <w:rPr>
          <w:spacing w:val="40"/>
          <w:sz w:val="24"/>
        </w:rPr>
        <w:t> </w:t>
      </w:r>
      <w:r>
        <w:rPr>
          <w:sz w:val="24"/>
        </w:rPr>
        <w:t>layout</w:t>
      </w:r>
      <w:r>
        <w:rPr>
          <w:spacing w:val="40"/>
          <w:sz w:val="24"/>
        </w:rPr>
        <w:t> </w:t>
      </w:r>
      <w:r>
        <w:rPr>
          <w:sz w:val="24"/>
        </w:rPr>
        <w:t>where</w:t>
      </w:r>
      <w:r>
        <w:rPr>
          <w:spacing w:val="40"/>
          <w:sz w:val="24"/>
        </w:rPr>
        <w:t> </w:t>
      </w:r>
      <w:r>
        <w:rPr>
          <w:sz w:val="24"/>
        </w:rPr>
        <w:t>there</w:t>
      </w:r>
      <w:r>
        <w:rPr>
          <w:spacing w:val="40"/>
          <w:sz w:val="24"/>
        </w:rPr>
        <w:t> </w:t>
      </w:r>
      <w:r>
        <w:rPr>
          <w:sz w:val="24"/>
        </w:rPr>
        <w:t>is</w:t>
      </w:r>
      <w:r>
        <w:rPr>
          <w:spacing w:val="40"/>
          <w:sz w:val="24"/>
        </w:rPr>
        <w:t> </w:t>
      </w:r>
      <w:r>
        <w:rPr>
          <w:sz w:val="24"/>
        </w:rPr>
        <w:t>existing/proposed</w:t>
      </w:r>
      <w:r>
        <w:rPr>
          <w:spacing w:val="79"/>
          <w:sz w:val="24"/>
        </w:rPr>
        <w:t> </w:t>
      </w:r>
      <w:r>
        <w:rPr>
          <w:sz w:val="24"/>
        </w:rPr>
        <w:t>Club</w:t>
      </w:r>
      <w:r>
        <w:rPr>
          <w:spacing w:val="40"/>
          <w:sz w:val="24"/>
        </w:rPr>
        <w:t> </w:t>
      </w:r>
      <w:r>
        <w:rPr>
          <w:sz w:val="24"/>
        </w:rPr>
        <w:t>House in</w:t>
      </w:r>
      <w:r>
        <w:rPr>
          <w:spacing w:val="40"/>
          <w:sz w:val="24"/>
        </w:rPr>
        <w:t> </w:t>
      </w:r>
      <w:r>
        <w:rPr>
          <w:sz w:val="24"/>
        </w:rPr>
        <w:t>layout</w:t>
      </w:r>
      <w:r>
        <w:rPr>
          <w:spacing w:val="40"/>
          <w:sz w:val="24"/>
        </w:rPr>
        <w:t> </w:t>
      </w:r>
      <w:r>
        <w:rPr>
          <w:sz w:val="24"/>
        </w:rPr>
        <w:t>RG</w:t>
      </w:r>
      <w:r>
        <w:rPr>
          <w:spacing w:val="40"/>
          <w:sz w:val="24"/>
        </w:rPr>
        <w:t> </w:t>
      </w:r>
      <w:r>
        <w:rPr>
          <w:sz w:val="24"/>
        </w:rPr>
        <w:t>under</w:t>
      </w:r>
      <w:r>
        <w:rPr>
          <w:spacing w:val="40"/>
          <w:sz w:val="24"/>
        </w:rPr>
        <w:t> </w:t>
      </w:r>
      <w:r>
        <w:rPr>
          <w:sz w:val="24"/>
        </w:rPr>
        <w:t>Regulation</w:t>
      </w:r>
      <w:r>
        <w:rPr>
          <w:spacing w:val="40"/>
          <w:sz w:val="24"/>
        </w:rPr>
        <w:t> </w:t>
      </w:r>
      <w:r>
        <w:rPr>
          <w:sz w:val="24"/>
        </w:rPr>
        <w:t>27</w:t>
      </w:r>
      <w:r>
        <w:rPr>
          <w:spacing w:val="40"/>
          <w:sz w:val="24"/>
        </w:rPr>
        <w:t> </w:t>
      </w:r>
      <w:r>
        <w:rPr>
          <w:sz w:val="24"/>
        </w:rPr>
        <w:t>ofthese</w:t>
      </w:r>
      <w:r>
        <w:rPr>
          <w:spacing w:val="40"/>
          <w:sz w:val="24"/>
        </w:rPr>
        <w:t> </w:t>
      </w:r>
      <w:r>
        <w:rPr>
          <w:sz w:val="24"/>
        </w:rPr>
        <w:t>regulations,</w:t>
      </w:r>
      <w:r>
        <w:rPr>
          <w:spacing w:val="40"/>
          <w:sz w:val="24"/>
        </w:rPr>
        <w:t> </w:t>
      </w:r>
      <w:r>
        <w:rPr>
          <w:sz w:val="24"/>
        </w:rPr>
        <w:t>then</w:t>
      </w:r>
      <w:r>
        <w:rPr>
          <w:spacing w:val="40"/>
          <w:sz w:val="24"/>
        </w:rPr>
        <w:t> </w:t>
      </w:r>
      <w:r>
        <w:rPr>
          <w:sz w:val="24"/>
        </w:rPr>
        <w:t>the</w:t>
      </w:r>
      <w:r>
        <w:rPr>
          <w:spacing w:val="40"/>
          <w:sz w:val="24"/>
        </w:rPr>
        <w:t> </w:t>
      </w:r>
      <w:r>
        <w:rPr>
          <w:sz w:val="24"/>
        </w:rPr>
        <w:t>Yogalaya or</w:t>
      </w:r>
      <w:r>
        <w:rPr>
          <w:spacing w:val="40"/>
          <w:sz w:val="24"/>
        </w:rPr>
        <w:t> </w:t>
      </w:r>
      <w:r>
        <w:rPr>
          <w:sz w:val="24"/>
        </w:rPr>
        <w:t>Fitness</w:t>
      </w:r>
      <w:r>
        <w:rPr>
          <w:spacing w:val="40"/>
          <w:sz w:val="24"/>
        </w:rPr>
        <w:t> </w:t>
      </w:r>
      <w:r>
        <w:rPr>
          <w:sz w:val="24"/>
        </w:rPr>
        <w:t>Centre</w:t>
      </w:r>
      <w:r>
        <w:rPr>
          <w:spacing w:val="40"/>
          <w:sz w:val="24"/>
        </w:rPr>
        <w:t> </w:t>
      </w:r>
      <w:r>
        <w:rPr>
          <w:sz w:val="24"/>
        </w:rPr>
        <w:t>in</w:t>
      </w:r>
      <w:r>
        <w:rPr>
          <w:spacing w:val="40"/>
          <w:sz w:val="24"/>
        </w:rPr>
        <w:t> </w:t>
      </w:r>
      <w:r>
        <w:rPr>
          <w:sz w:val="24"/>
        </w:rPr>
        <w:t>the</w:t>
      </w:r>
      <w:r>
        <w:rPr>
          <w:spacing w:val="40"/>
          <w:sz w:val="24"/>
        </w:rPr>
        <w:t> </w:t>
      </w:r>
      <w:r>
        <w:rPr>
          <w:sz w:val="24"/>
        </w:rPr>
        <w:t>individual</w:t>
      </w:r>
      <w:r>
        <w:rPr>
          <w:spacing w:val="40"/>
          <w:sz w:val="24"/>
        </w:rPr>
        <w:t> </w:t>
      </w:r>
      <w:r>
        <w:rPr>
          <w:spacing w:val="9"/>
          <w:sz w:val="24"/>
        </w:rPr>
        <w:t>building</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permissible</w:t>
      </w:r>
      <w:r>
        <w:rPr>
          <w:spacing w:val="40"/>
          <w:sz w:val="24"/>
        </w:rPr>
        <w:t> </w:t>
      </w:r>
      <w:r>
        <w:rPr>
          <w:sz w:val="24"/>
        </w:rPr>
        <w:t>free of FSI.</w:t>
      </w:r>
    </w:p>
    <w:p>
      <w:pPr>
        <w:pStyle w:val="ListParagraph"/>
        <w:numPr>
          <w:ilvl w:val="0"/>
          <w:numId w:val="259"/>
        </w:numPr>
        <w:tabs>
          <w:tab w:pos="1963" w:val="left" w:leader="none"/>
        </w:tabs>
        <w:spacing w:line="240" w:lineRule="auto" w:before="236" w:after="0"/>
        <w:ind w:left="1313" w:right="771" w:firstLine="0"/>
        <w:jc w:val="both"/>
        <w:rPr>
          <w:b/>
          <w:i/>
          <w:sz w:val="24"/>
        </w:rPr>
      </w:pPr>
      <w:r>
        <w:rPr>
          <w:b/>
          <w:i/>
          <w:sz w:val="24"/>
        </w:rPr>
        <w:t>Special Provisions for Institutional, Assembly, Business or Mercantile</w:t>
      </w:r>
      <w:r>
        <w:rPr>
          <w:b/>
          <w:i/>
          <w:spacing w:val="40"/>
          <w:sz w:val="24"/>
        </w:rPr>
        <w:t> </w:t>
      </w:r>
      <w:r>
        <w:rPr>
          <w:b/>
          <w:i/>
          <w:sz w:val="24"/>
        </w:rPr>
        <w:t>and</w:t>
      </w:r>
      <w:r>
        <w:rPr>
          <w:b/>
          <w:i/>
          <w:spacing w:val="40"/>
          <w:sz w:val="24"/>
        </w:rPr>
        <w:t> </w:t>
      </w:r>
      <w:r>
        <w:rPr>
          <w:b/>
          <w:i/>
          <w:sz w:val="24"/>
        </w:rPr>
        <w:t>Industrial</w:t>
      </w:r>
      <w:r>
        <w:rPr>
          <w:b/>
          <w:i/>
          <w:spacing w:val="40"/>
          <w:sz w:val="24"/>
        </w:rPr>
        <w:t> </w:t>
      </w:r>
      <w:r>
        <w:rPr>
          <w:b/>
          <w:i/>
          <w:sz w:val="24"/>
        </w:rPr>
        <w:t>Buildings:</w:t>
      </w:r>
      <w:r>
        <w:rPr>
          <w:b/>
          <w:i/>
          <w:spacing w:val="40"/>
          <w:sz w:val="24"/>
        </w:rPr>
        <w:t> </w:t>
      </w:r>
      <w:r>
        <w:rPr>
          <w:sz w:val="24"/>
        </w:rPr>
        <w:t>A</w:t>
      </w:r>
      <w:r>
        <w:rPr>
          <w:spacing w:val="40"/>
          <w:sz w:val="24"/>
        </w:rPr>
        <w:t> </w:t>
      </w:r>
      <w:r>
        <w:rPr>
          <w:sz w:val="24"/>
        </w:rPr>
        <w:t>Crèche</w:t>
      </w:r>
      <w:r>
        <w:rPr>
          <w:spacing w:val="40"/>
          <w:sz w:val="24"/>
        </w:rPr>
        <w:t> </w:t>
      </w:r>
      <w:r>
        <w:rPr>
          <w:sz w:val="24"/>
        </w:rPr>
        <w:t>of</w:t>
      </w:r>
      <w:r>
        <w:rPr>
          <w:spacing w:val="40"/>
          <w:sz w:val="24"/>
        </w:rPr>
        <w:t> </w:t>
      </w:r>
      <w:r>
        <w:rPr>
          <w:sz w:val="24"/>
        </w:rPr>
        <w:t>minimum</w:t>
      </w:r>
      <w:r>
        <w:rPr>
          <w:spacing w:val="40"/>
          <w:sz w:val="24"/>
        </w:rPr>
        <w:t> </w:t>
      </w:r>
      <w:r>
        <w:rPr>
          <w:sz w:val="24"/>
        </w:rPr>
        <w:t>40</w:t>
      </w:r>
      <w:r>
        <w:rPr>
          <w:spacing w:val="40"/>
          <w:sz w:val="24"/>
        </w:rPr>
        <w:t> </w:t>
      </w:r>
      <w:r>
        <w:rPr>
          <w:sz w:val="24"/>
        </w:rPr>
        <w:t>sq. mBUA</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for</w:t>
      </w:r>
      <w:r>
        <w:rPr>
          <w:spacing w:val="40"/>
          <w:sz w:val="24"/>
        </w:rPr>
        <w:t> </w:t>
      </w:r>
      <w:r>
        <w:rPr>
          <w:sz w:val="24"/>
        </w:rPr>
        <w:t>Institutional,</w:t>
      </w:r>
      <w:r>
        <w:rPr>
          <w:spacing w:val="40"/>
          <w:sz w:val="24"/>
        </w:rPr>
        <w:t> </w:t>
      </w:r>
      <w:r>
        <w:rPr>
          <w:sz w:val="24"/>
        </w:rPr>
        <w:t>Assembly,</w:t>
      </w:r>
      <w:r>
        <w:rPr>
          <w:spacing w:val="40"/>
          <w:sz w:val="24"/>
        </w:rPr>
        <w:t> </w:t>
      </w:r>
      <w:r>
        <w:rPr>
          <w:sz w:val="24"/>
        </w:rPr>
        <w:t>Business</w:t>
      </w:r>
      <w:r>
        <w:rPr>
          <w:spacing w:val="40"/>
          <w:sz w:val="24"/>
        </w:rPr>
        <w:t> </w:t>
      </w:r>
      <w:r>
        <w:rPr>
          <w:sz w:val="24"/>
        </w:rPr>
        <w:t>or Mercantile</w:t>
      </w:r>
      <w:r>
        <w:rPr>
          <w:spacing w:val="80"/>
          <w:sz w:val="24"/>
        </w:rPr>
        <w:t> </w:t>
      </w:r>
      <w:r>
        <w:rPr>
          <w:sz w:val="24"/>
        </w:rPr>
        <w:t>Building</w:t>
      </w:r>
      <w:r>
        <w:rPr>
          <w:spacing w:val="80"/>
          <w:sz w:val="24"/>
        </w:rPr>
        <w:t> </w:t>
      </w:r>
      <w:r>
        <w:rPr>
          <w:sz w:val="24"/>
        </w:rPr>
        <w:t>where</w:t>
      </w:r>
      <w:r>
        <w:rPr>
          <w:spacing w:val="80"/>
          <w:sz w:val="24"/>
        </w:rPr>
        <w:t> </w:t>
      </w:r>
      <w:r>
        <w:rPr>
          <w:sz w:val="24"/>
        </w:rPr>
        <w:t>total</w:t>
      </w:r>
      <w:r>
        <w:rPr>
          <w:spacing w:val="80"/>
          <w:sz w:val="24"/>
        </w:rPr>
        <w:t> </w:t>
      </w:r>
      <w:r>
        <w:rPr>
          <w:sz w:val="24"/>
        </w:rPr>
        <w:t>number</w:t>
      </w:r>
      <w:r>
        <w:rPr>
          <w:spacing w:val="80"/>
          <w:sz w:val="24"/>
        </w:rPr>
        <w:t> </w:t>
      </w:r>
      <w:r>
        <w:rPr>
          <w:sz w:val="24"/>
        </w:rPr>
        <w:t>of</w:t>
      </w:r>
      <w:r>
        <w:rPr>
          <w:spacing w:val="80"/>
          <w:sz w:val="24"/>
        </w:rPr>
        <w:t> </w:t>
      </w:r>
      <w:r>
        <w:rPr>
          <w:sz w:val="24"/>
        </w:rPr>
        <w:t>employeesis</w:t>
      </w:r>
      <w:r>
        <w:rPr>
          <w:spacing w:val="80"/>
          <w:sz w:val="24"/>
        </w:rPr>
        <w:t> </w:t>
      </w:r>
      <w:r>
        <w:rPr>
          <w:sz w:val="24"/>
        </w:rPr>
        <w:t>1000or</w:t>
      </w:r>
      <w:r>
        <w:rPr>
          <w:spacing w:val="80"/>
          <w:sz w:val="24"/>
        </w:rPr>
        <w:t> </w:t>
      </w:r>
      <w:r>
        <w:rPr>
          <w:sz w:val="24"/>
        </w:rPr>
        <w:t>more.</w:t>
      </w:r>
    </w:p>
    <w:p>
      <w:pPr>
        <w:pStyle w:val="ListParagraph"/>
        <w:numPr>
          <w:ilvl w:val="0"/>
          <w:numId w:val="259"/>
        </w:numPr>
        <w:tabs>
          <w:tab w:pos="1915" w:val="left" w:leader="none"/>
        </w:tabs>
        <w:spacing w:line="240" w:lineRule="auto" w:before="242" w:after="0"/>
        <w:ind w:left="1313" w:right="779" w:firstLine="0"/>
        <w:jc w:val="both"/>
        <w:rPr>
          <w:b/>
          <w:i/>
          <w:sz w:val="24"/>
        </w:rPr>
      </w:pPr>
      <w:r>
        <w:rPr>
          <w:b/>
          <w:i/>
          <w:sz w:val="24"/>
        </w:rPr>
        <w:t>Parking floor: </w:t>
      </w:r>
      <w:r>
        <w:rPr>
          <w:sz w:val="24"/>
        </w:rPr>
        <w:t>The parking floors above </w:t>
      </w:r>
      <w:r>
        <w:rPr>
          <w:spacing w:val="9"/>
          <w:sz w:val="24"/>
        </w:rPr>
        <w:t>ground/stilt</w:t>
      </w:r>
      <w:r>
        <w:rPr>
          <w:spacing w:val="9"/>
          <w:sz w:val="24"/>
        </w:rPr>
        <w:t> </w:t>
      </w:r>
      <w:r>
        <w:rPr>
          <w:sz w:val="24"/>
        </w:rPr>
        <w:t>floor within building</w:t>
      </w:r>
      <w:r>
        <w:rPr>
          <w:spacing w:val="75"/>
          <w:sz w:val="24"/>
        </w:rPr>
        <w:t> </w:t>
      </w:r>
      <w:r>
        <w:rPr>
          <w:sz w:val="24"/>
        </w:rPr>
        <w:t>line,</w:t>
      </w:r>
      <w:r>
        <w:rPr>
          <w:spacing w:val="75"/>
          <w:sz w:val="24"/>
        </w:rPr>
        <w:t> </w:t>
      </w:r>
      <w:r>
        <w:rPr>
          <w:sz w:val="24"/>
        </w:rPr>
        <w:t>for</w:t>
      </w:r>
      <w:r>
        <w:rPr>
          <w:spacing w:val="40"/>
          <w:sz w:val="24"/>
        </w:rPr>
        <w:t> </w:t>
      </w:r>
      <w:r>
        <w:rPr>
          <w:sz w:val="24"/>
        </w:rPr>
        <w:t>the</w:t>
      </w:r>
      <w:r>
        <w:rPr>
          <w:spacing w:val="40"/>
          <w:sz w:val="24"/>
        </w:rPr>
        <w:t> </w:t>
      </w:r>
      <w:r>
        <w:rPr>
          <w:sz w:val="24"/>
        </w:rPr>
        <w:t>provision</w:t>
      </w:r>
      <w:r>
        <w:rPr>
          <w:spacing w:val="40"/>
          <w:sz w:val="24"/>
        </w:rPr>
        <w:t> </w:t>
      </w:r>
      <w:r>
        <w:rPr>
          <w:sz w:val="24"/>
        </w:rPr>
        <w:t>of</w:t>
      </w:r>
      <w:r>
        <w:rPr>
          <w:spacing w:val="73"/>
          <w:sz w:val="24"/>
        </w:rPr>
        <w:t> </w:t>
      </w:r>
      <w:r>
        <w:rPr>
          <w:sz w:val="24"/>
        </w:rPr>
        <w:t>parking,</w:t>
      </w:r>
      <w:r>
        <w:rPr>
          <w:spacing w:val="40"/>
          <w:sz w:val="24"/>
        </w:rPr>
        <w:t> </w:t>
      </w:r>
      <w:r>
        <w:rPr>
          <w:sz w:val="24"/>
        </w:rPr>
        <w:t>accessible</w:t>
      </w:r>
      <w:r>
        <w:rPr>
          <w:spacing w:val="40"/>
          <w:sz w:val="24"/>
        </w:rPr>
        <w:t> </w:t>
      </w:r>
      <w:r>
        <w:rPr>
          <w:sz w:val="24"/>
        </w:rPr>
        <w:t>either</w:t>
      </w:r>
      <w:r>
        <w:rPr>
          <w:spacing w:val="40"/>
          <w:sz w:val="24"/>
        </w:rPr>
        <w:t> </w:t>
      </w:r>
      <w:r>
        <w:rPr>
          <w:sz w:val="24"/>
        </w:rPr>
        <w:t>by</w:t>
      </w:r>
      <w:r>
        <w:rPr>
          <w:spacing w:val="40"/>
          <w:sz w:val="24"/>
        </w:rPr>
        <w:t> </w:t>
      </w:r>
      <w:r>
        <w:rPr>
          <w:sz w:val="24"/>
        </w:rPr>
        <w:t>ramp</w:t>
      </w:r>
      <w:r>
        <w:rPr>
          <w:spacing w:val="40"/>
          <w:sz w:val="24"/>
        </w:rPr>
        <w:t> </w:t>
      </w:r>
      <w:r>
        <w:rPr>
          <w:sz w:val="24"/>
        </w:rPr>
        <w:t>or by</w:t>
      </w:r>
      <w:r>
        <w:rPr>
          <w:spacing w:val="40"/>
          <w:sz w:val="24"/>
        </w:rPr>
        <w:t> </w:t>
      </w:r>
      <w:r>
        <w:rPr>
          <w:sz w:val="24"/>
        </w:rPr>
        <w:t>minimum</w:t>
      </w:r>
      <w:r>
        <w:rPr>
          <w:spacing w:val="74"/>
          <w:sz w:val="24"/>
        </w:rPr>
        <w:t> </w:t>
      </w:r>
      <w:r>
        <w:rPr>
          <w:sz w:val="24"/>
        </w:rPr>
        <w:t>two</w:t>
      </w:r>
      <w:r>
        <w:rPr>
          <w:spacing w:val="74"/>
          <w:sz w:val="24"/>
        </w:rPr>
        <w:t> </w:t>
      </w:r>
      <w:r>
        <w:rPr>
          <w:sz w:val="24"/>
        </w:rPr>
        <w:t>car</w:t>
      </w:r>
      <w:r>
        <w:rPr>
          <w:spacing w:val="40"/>
          <w:sz w:val="24"/>
        </w:rPr>
        <w:t> </w:t>
      </w:r>
      <w:r>
        <w:rPr>
          <w:sz w:val="24"/>
        </w:rPr>
        <w:t>liftsup</w:t>
      </w:r>
      <w:r>
        <w:rPr>
          <w:spacing w:val="74"/>
          <w:sz w:val="24"/>
        </w:rPr>
        <w:t> </w:t>
      </w:r>
      <w:r>
        <w:rPr>
          <w:sz w:val="24"/>
        </w:rPr>
        <w:t>to</w:t>
      </w:r>
      <w:r>
        <w:rPr>
          <w:spacing w:val="40"/>
          <w:sz w:val="24"/>
        </w:rPr>
        <w:t> </w:t>
      </w:r>
      <w:r>
        <w:rPr>
          <w:sz w:val="24"/>
        </w:rPr>
        <w:t>200</w:t>
      </w:r>
      <w:r>
        <w:rPr>
          <w:spacing w:val="74"/>
          <w:sz w:val="24"/>
        </w:rPr>
        <w:t> </w:t>
      </w:r>
      <w:r>
        <w:rPr>
          <w:sz w:val="24"/>
        </w:rPr>
        <w:t>parking</w:t>
      </w:r>
      <w:r>
        <w:rPr>
          <w:spacing w:val="74"/>
          <w:sz w:val="24"/>
        </w:rPr>
        <w:t> </w:t>
      </w:r>
      <w:r>
        <w:rPr>
          <w:sz w:val="24"/>
        </w:rPr>
        <w:t>and</w:t>
      </w:r>
      <w:r>
        <w:rPr>
          <w:spacing w:val="74"/>
          <w:sz w:val="24"/>
        </w:rPr>
        <w:t> </w:t>
      </w:r>
      <w:r>
        <w:rPr>
          <w:sz w:val="24"/>
        </w:rPr>
        <w:t>one</w:t>
      </w:r>
      <w:r>
        <w:rPr>
          <w:spacing w:val="74"/>
          <w:sz w:val="24"/>
        </w:rPr>
        <w:t> </w:t>
      </w:r>
      <w:r>
        <w:rPr>
          <w:sz w:val="24"/>
        </w:rPr>
        <w:t>additional</w:t>
      </w:r>
      <w:r>
        <w:rPr>
          <w:spacing w:val="74"/>
          <w:sz w:val="24"/>
        </w:rPr>
        <w:t> </w:t>
      </w:r>
      <w:r>
        <w:rPr>
          <w:sz w:val="24"/>
        </w:rPr>
        <w:t>car</w:t>
      </w:r>
      <w:r>
        <w:rPr>
          <w:spacing w:val="74"/>
          <w:sz w:val="24"/>
        </w:rPr>
        <w:t> </w:t>
      </w:r>
      <w:r>
        <w:rPr>
          <w:sz w:val="24"/>
        </w:rPr>
        <w:t>lift for</w:t>
      </w:r>
      <w:r>
        <w:rPr>
          <w:spacing w:val="40"/>
          <w:sz w:val="24"/>
        </w:rPr>
        <w:t> </w:t>
      </w:r>
      <w:r>
        <w:rPr>
          <w:sz w:val="24"/>
        </w:rPr>
        <w:t>every</w:t>
      </w:r>
      <w:r>
        <w:rPr>
          <w:spacing w:val="40"/>
          <w:sz w:val="24"/>
        </w:rPr>
        <w:t> </w:t>
      </w:r>
      <w:r>
        <w:rPr>
          <w:sz w:val="24"/>
        </w:rPr>
        <w:t>100</w:t>
      </w:r>
      <w:r>
        <w:rPr>
          <w:spacing w:val="40"/>
          <w:sz w:val="24"/>
        </w:rPr>
        <w:t> </w:t>
      </w:r>
      <w:r>
        <w:rPr>
          <w:sz w:val="24"/>
        </w:rPr>
        <w:t>parking</w:t>
      </w:r>
      <w:r>
        <w:rPr>
          <w:spacing w:val="40"/>
          <w:sz w:val="24"/>
        </w:rPr>
        <w:t> </w:t>
      </w:r>
      <w:r>
        <w:rPr>
          <w:sz w:val="24"/>
        </w:rPr>
        <w:t>beyond</w:t>
      </w:r>
      <w:r>
        <w:rPr>
          <w:spacing w:val="40"/>
          <w:sz w:val="24"/>
        </w:rPr>
        <w:t> </w:t>
      </w:r>
      <w:r>
        <w:rPr>
          <w:sz w:val="24"/>
        </w:rPr>
        <w:t>200</w:t>
      </w:r>
      <w:r>
        <w:rPr>
          <w:spacing w:val="40"/>
          <w:sz w:val="24"/>
        </w:rPr>
        <w:t> </w:t>
      </w:r>
      <w:r>
        <w:rPr>
          <w:sz w:val="24"/>
        </w:rPr>
        <w:t>parking</w:t>
      </w:r>
      <w:r>
        <w:rPr>
          <w:spacing w:val="40"/>
          <w:sz w:val="24"/>
        </w:rPr>
        <w:t> </w:t>
      </w:r>
      <w:r>
        <w:rPr>
          <w:sz w:val="24"/>
        </w:rPr>
        <w:t>or</w:t>
      </w:r>
      <w:r>
        <w:rPr>
          <w:spacing w:val="40"/>
          <w:sz w:val="24"/>
        </w:rPr>
        <w:t> </w:t>
      </w:r>
      <w:r>
        <w:rPr>
          <w:sz w:val="24"/>
        </w:rPr>
        <w:t>part</w:t>
      </w:r>
      <w:r>
        <w:rPr>
          <w:spacing w:val="40"/>
          <w:sz w:val="24"/>
        </w:rPr>
        <w:t> </w:t>
      </w:r>
      <w:r>
        <w:rPr>
          <w:sz w:val="24"/>
        </w:rPr>
        <w:t>thereof.</w:t>
      </w:r>
      <w:r>
        <w:rPr>
          <w:spacing w:val="40"/>
          <w:sz w:val="24"/>
        </w:rPr>
        <w:t> </w:t>
      </w:r>
      <w:r>
        <w:rPr>
          <w:sz w:val="24"/>
        </w:rPr>
        <w:t>The</w:t>
      </w:r>
      <w:r>
        <w:rPr>
          <w:spacing w:val="40"/>
          <w:sz w:val="24"/>
        </w:rPr>
        <w:t> </w:t>
      </w:r>
      <w:r>
        <w:rPr>
          <w:sz w:val="24"/>
        </w:rPr>
        <w:t>height</w:t>
      </w:r>
      <w:r>
        <w:rPr>
          <w:spacing w:val="40"/>
          <w:sz w:val="24"/>
        </w:rPr>
        <w:t> </w:t>
      </w:r>
      <w:r>
        <w:rPr>
          <w:sz w:val="24"/>
        </w:rPr>
        <w:t>of the parking floor shall not be more than 2.4m below soffit of the beam&amp; maximum</w:t>
      </w:r>
      <w:r>
        <w:rPr>
          <w:spacing w:val="40"/>
          <w:sz w:val="24"/>
        </w:rPr>
        <w:t> </w:t>
      </w:r>
      <w:r>
        <w:rPr>
          <w:sz w:val="24"/>
        </w:rPr>
        <w:t>height</w:t>
      </w:r>
      <w:r>
        <w:rPr>
          <w:spacing w:val="40"/>
          <w:sz w:val="24"/>
        </w:rPr>
        <w:t> </w:t>
      </w:r>
      <w:r>
        <w:rPr>
          <w:sz w:val="24"/>
        </w:rPr>
        <w:t>of</w:t>
      </w:r>
      <w:r>
        <w:rPr>
          <w:spacing w:val="40"/>
          <w:sz w:val="24"/>
        </w:rPr>
        <w:t> </w:t>
      </w:r>
      <w:r>
        <w:rPr>
          <w:sz w:val="24"/>
        </w:rPr>
        <w:t>the</w:t>
      </w:r>
      <w:r>
        <w:rPr>
          <w:spacing w:val="40"/>
          <w:sz w:val="24"/>
        </w:rPr>
        <w:t> </w:t>
      </w:r>
      <w:r>
        <w:rPr>
          <w:sz w:val="24"/>
        </w:rPr>
        <w:t>floor</w:t>
      </w:r>
      <w:r>
        <w:rPr>
          <w:spacing w:val="40"/>
          <w:sz w:val="24"/>
        </w:rPr>
        <w:t> </w:t>
      </w:r>
      <w:r>
        <w:rPr>
          <w:sz w:val="24"/>
        </w:rPr>
        <w:t>permitted</w:t>
      </w:r>
      <w:r>
        <w:rPr>
          <w:spacing w:val="40"/>
          <w:sz w:val="24"/>
        </w:rPr>
        <w:t> </w:t>
      </w:r>
      <w:r>
        <w:rPr>
          <w:sz w:val="24"/>
        </w:rPr>
        <w:t>in</w:t>
      </w:r>
      <w:r>
        <w:rPr>
          <w:spacing w:val="40"/>
          <w:sz w:val="24"/>
        </w:rPr>
        <w:t> </w:t>
      </w:r>
      <w:r>
        <w:rPr>
          <w:sz w:val="24"/>
        </w:rPr>
        <w:t>this</w:t>
      </w:r>
      <w:r>
        <w:rPr>
          <w:spacing w:val="40"/>
          <w:sz w:val="24"/>
        </w:rPr>
        <w:t> </w:t>
      </w:r>
      <w:r>
        <w:rPr>
          <w:sz w:val="24"/>
        </w:rPr>
        <w:t>regulation</w:t>
      </w:r>
      <w:r>
        <w:rPr>
          <w:spacing w:val="40"/>
          <w:sz w:val="24"/>
        </w:rPr>
        <w:t> </w:t>
      </w:r>
      <w:r>
        <w:rPr>
          <w:sz w:val="24"/>
        </w:rPr>
        <w:t>below</w:t>
      </w:r>
      <w:r>
        <w:rPr>
          <w:spacing w:val="40"/>
          <w:sz w:val="24"/>
        </w:rPr>
        <w:t> </w:t>
      </w:r>
      <w:r>
        <w:rPr>
          <w:sz w:val="24"/>
        </w:rPr>
        <w:t>soffit</w:t>
      </w:r>
      <w:r>
        <w:rPr>
          <w:spacing w:val="40"/>
          <w:sz w:val="24"/>
        </w:rPr>
        <w:t> </w:t>
      </w:r>
      <w:r>
        <w:rPr>
          <w:sz w:val="24"/>
        </w:rPr>
        <w:t>of slab.</w:t>
      </w:r>
      <w:r>
        <w:rPr>
          <w:spacing w:val="40"/>
          <w:sz w:val="24"/>
        </w:rPr>
        <w:t> </w:t>
      </w:r>
      <w:r>
        <w:rPr>
          <w:sz w:val="24"/>
        </w:rPr>
        <w:t>In</w:t>
      </w:r>
      <w:r>
        <w:rPr>
          <w:spacing w:val="40"/>
          <w:sz w:val="24"/>
        </w:rPr>
        <w:t> </w:t>
      </w:r>
      <w:r>
        <w:rPr>
          <w:sz w:val="24"/>
        </w:rPr>
        <w:t>case</w:t>
      </w:r>
      <w:r>
        <w:rPr>
          <w:spacing w:val="40"/>
          <w:sz w:val="24"/>
        </w:rPr>
        <w:t> </w:t>
      </w:r>
      <w:r>
        <w:rPr>
          <w:sz w:val="24"/>
        </w:rPr>
        <w:t>of</w:t>
      </w:r>
      <w:r>
        <w:rPr>
          <w:spacing w:val="40"/>
          <w:sz w:val="24"/>
        </w:rPr>
        <w:t> </w:t>
      </w:r>
      <w:r>
        <w:rPr>
          <w:sz w:val="24"/>
        </w:rPr>
        <w:t>mechanical</w:t>
      </w:r>
      <w:r>
        <w:rPr>
          <w:spacing w:val="40"/>
          <w:sz w:val="24"/>
        </w:rPr>
        <w:t> </w:t>
      </w:r>
      <w:r>
        <w:rPr>
          <w:sz w:val="24"/>
        </w:rPr>
        <w:t>parking</w:t>
      </w:r>
      <w:r>
        <w:rPr>
          <w:spacing w:val="40"/>
          <w:sz w:val="24"/>
        </w:rPr>
        <w:t> </w:t>
      </w:r>
      <w:r>
        <w:rPr>
          <w:sz w:val="24"/>
        </w:rPr>
        <w:t>more</w:t>
      </w:r>
      <w:r>
        <w:rPr>
          <w:spacing w:val="40"/>
          <w:sz w:val="24"/>
        </w:rPr>
        <w:t> </w:t>
      </w:r>
      <w:r>
        <w:rPr>
          <w:sz w:val="24"/>
        </w:rPr>
        <w:t>height</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requirement may be </w:t>
      </w:r>
      <w:r>
        <w:rPr>
          <w:spacing w:val="9"/>
          <w:sz w:val="24"/>
        </w:rPr>
        <w:t>allowed.</w:t>
      </w:r>
    </w:p>
    <w:p>
      <w:pPr>
        <w:pStyle w:val="ListParagraph"/>
        <w:numPr>
          <w:ilvl w:val="0"/>
          <w:numId w:val="259"/>
        </w:numPr>
        <w:tabs>
          <w:tab w:pos="1891" w:val="left" w:leader="none"/>
        </w:tabs>
        <w:spacing w:line="242" w:lineRule="auto" w:before="280" w:after="0"/>
        <w:ind w:left="1313" w:right="783" w:firstLine="0"/>
        <w:jc w:val="both"/>
        <w:rPr>
          <w:b/>
          <w:i/>
          <w:sz w:val="24"/>
        </w:rPr>
      </w:pPr>
      <w:r>
        <w:rPr>
          <w:b/>
          <w:i/>
          <w:sz w:val="24"/>
        </w:rPr>
        <w:t>Podium:</w:t>
      </w:r>
      <w:r>
        <w:rPr>
          <w:b/>
          <w:i/>
          <w:spacing w:val="40"/>
          <w:sz w:val="24"/>
        </w:rPr>
        <w:t> </w:t>
      </w:r>
      <w:r>
        <w:rPr>
          <w:sz w:val="24"/>
        </w:rPr>
        <w:t>A</w:t>
      </w:r>
      <w:r>
        <w:rPr>
          <w:spacing w:val="40"/>
          <w:sz w:val="24"/>
        </w:rPr>
        <w:t> </w:t>
      </w:r>
      <w:r>
        <w:rPr>
          <w:sz w:val="24"/>
        </w:rPr>
        <w:t>podium</w:t>
      </w:r>
      <w:r>
        <w:rPr>
          <w:spacing w:val="40"/>
          <w:sz w:val="24"/>
        </w:rPr>
        <w:t> </w:t>
      </w:r>
      <w:r>
        <w:rPr>
          <w:sz w:val="24"/>
        </w:rPr>
        <w:t>may</w:t>
      </w:r>
      <w:r>
        <w:rPr>
          <w:spacing w:val="40"/>
          <w:sz w:val="24"/>
        </w:rPr>
        <w:t> </w:t>
      </w:r>
      <w:r>
        <w:rPr>
          <w:sz w:val="24"/>
        </w:rPr>
        <w:t>be</w:t>
      </w:r>
      <w:r>
        <w:rPr>
          <w:spacing w:val="40"/>
          <w:sz w:val="24"/>
        </w:rPr>
        <w:t> </w:t>
      </w:r>
      <w:r>
        <w:rPr>
          <w:sz w:val="24"/>
        </w:rPr>
        <w:t>permitted</w:t>
      </w:r>
      <w:r>
        <w:rPr>
          <w:spacing w:val="40"/>
          <w:sz w:val="24"/>
        </w:rPr>
        <w:t> </w:t>
      </w:r>
      <w:r>
        <w:rPr>
          <w:sz w:val="24"/>
        </w:rPr>
        <w:t>in</w:t>
      </w:r>
      <w:r>
        <w:rPr>
          <w:spacing w:val="40"/>
          <w:sz w:val="24"/>
        </w:rPr>
        <w:t> </w:t>
      </w:r>
      <w:r>
        <w:rPr>
          <w:spacing w:val="9"/>
          <w:sz w:val="24"/>
        </w:rPr>
        <w:t>plot</w:t>
      </w:r>
      <w:r>
        <w:rPr>
          <w:spacing w:val="40"/>
          <w:sz w:val="24"/>
        </w:rPr>
        <w:t> </w:t>
      </w:r>
      <w:r>
        <w:rPr>
          <w:sz w:val="24"/>
        </w:rPr>
        <w:t>admeasuring</w:t>
      </w:r>
      <w:r>
        <w:rPr>
          <w:spacing w:val="40"/>
          <w:sz w:val="24"/>
        </w:rPr>
        <w:t> </w:t>
      </w:r>
      <w:r>
        <w:rPr>
          <w:sz w:val="24"/>
        </w:rPr>
        <w:t>1000</w:t>
      </w:r>
      <w:r>
        <w:rPr>
          <w:spacing w:val="40"/>
          <w:sz w:val="24"/>
        </w:rPr>
        <w:t> </w:t>
      </w:r>
      <w:r>
        <w:rPr>
          <w:sz w:val="24"/>
        </w:rPr>
        <w:t>sq. m or more.</w:t>
      </w:r>
    </w:p>
    <w:p>
      <w:pPr>
        <w:pStyle w:val="BodyText"/>
        <w:spacing w:before="279"/>
        <w:ind w:left="1313" w:right="798"/>
      </w:pPr>
      <w:r>
        <w:rPr/>
        <w:t>The</w:t>
      </w:r>
      <w:r>
        <w:rPr>
          <w:spacing w:val="40"/>
        </w:rPr>
        <w:t> </w:t>
      </w:r>
      <w:r>
        <w:rPr/>
        <w:t>podium</w:t>
      </w:r>
      <w:r>
        <w:rPr>
          <w:spacing w:val="40"/>
        </w:rPr>
        <w:t> </w:t>
      </w:r>
      <w:r>
        <w:rPr/>
        <w:t>provided</w:t>
      </w:r>
      <w:r>
        <w:rPr>
          <w:spacing w:val="40"/>
        </w:rPr>
        <w:t> </w:t>
      </w:r>
      <w:r>
        <w:rPr/>
        <w:t>with</w:t>
      </w:r>
      <w:r>
        <w:rPr>
          <w:spacing w:val="40"/>
        </w:rPr>
        <w:t> </w:t>
      </w:r>
      <w:r>
        <w:rPr/>
        <w:t>ramp</w:t>
      </w:r>
      <w:r>
        <w:rPr>
          <w:spacing w:val="40"/>
        </w:rPr>
        <w:t> </w:t>
      </w:r>
      <w:r>
        <w:rPr/>
        <w:t>may</w:t>
      </w:r>
      <w:r>
        <w:rPr>
          <w:spacing w:val="40"/>
        </w:rPr>
        <w:t> </w:t>
      </w:r>
      <w:r>
        <w:rPr/>
        <w:t>be</w:t>
      </w:r>
      <w:r>
        <w:rPr>
          <w:spacing w:val="40"/>
        </w:rPr>
        <w:t> </w:t>
      </w:r>
      <w:r>
        <w:rPr/>
        <w:t>permitted</w:t>
      </w:r>
      <w:r>
        <w:rPr>
          <w:spacing w:val="40"/>
        </w:rPr>
        <w:t> </w:t>
      </w:r>
      <w:r>
        <w:rPr/>
        <w:t>in</w:t>
      </w:r>
      <w:r>
        <w:rPr>
          <w:spacing w:val="40"/>
        </w:rPr>
        <w:t> </w:t>
      </w:r>
      <w:r>
        <w:rPr/>
        <w:t>one</w:t>
      </w:r>
      <w:r>
        <w:rPr>
          <w:spacing w:val="40"/>
        </w:rPr>
        <w:t> </w:t>
      </w:r>
      <w:r>
        <w:rPr/>
        <w:t>or</w:t>
      </w:r>
      <w:r>
        <w:rPr>
          <w:spacing w:val="40"/>
        </w:rPr>
        <w:t> </w:t>
      </w:r>
      <w:r>
        <w:rPr/>
        <w:t>more</w:t>
      </w:r>
      <w:r>
        <w:rPr>
          <w:spacing w:val="40"/>
        </w:rPr>
        <w:t> </w:t>
      </w:r>
      <w:r>
        <w:rPr/>
        <w:t>level, total</w:t>
      </w:r>
      <w:r>
        <w:rPr>
          <w:spacing w:val="40"/>
        </w:rPr>
        <w:t> </w:t>
      </w:r>
      <w:r>
        <w:rPr/>
        <w:t>height</w:t>
      </w:r>
      <w:r>
        <w:rPr>
          <w:spacing w:val="40"/>
        </w:rPr>
        <w:t> </w:t>
      </w:r>
      <w:r>
        <w:rPr/>
        <w:t>not</w:t>
      </w:r>
      <w:r>
        <w:rPr>
          <w:spacing w:val="40"/>
        </w:rPr>
        <w:t> </w:t>
      </w:r>
      <w:r>
        <w:rPr/>
        <w:t>exceeding</w:t>
      </w:r>
      <w:r>
        <w:rPr>
          <w:spacing w:val="40"/>
        </w:rPr>
        <w:t> </w:t>
      </w:r>
      <w:r>
        <w:rPr/>
        <w:t>32</w:t>
      </w:r>
      <w:r>
        <w:rPr>
          <w:spacing w:val="40"/>
        </w:rPr>
        <w:t> </w:t>
      </w:r>
      <w:r>
        <w:rPr/>
        <w:t>m</w:t>
      </w:r>
      <w:r>
        <w:rPr>
          <w:spacing w:val="40"/>
        </w:rPr>
        <w:t> </w:t>
      </w:r>
      <w:r>
        <w:rPr/>
        <w:t>above</w:t>
      </w:r>
      <w:r>
        <w:rPr>
          <w:spacing w:val="40"/>
        </w:rPr>
        <w:t> </w:t>
      </w:r>
      <w:r>
        <w:rPr/>
        <w:t>ground</w:t>
      </w:r>
      <w:r>
        <w:rPr>
          <w:spacing w:val="40"/>
        </w:rPr>
        <w:t> </w:t>
      </w:r>
      <w:r>
        <w:rPr/>
        <w:t>level.</w:t>
      </w:r>
    </w:p>
    <w:p>
      <w:pPr>
        <w:pStyle w:val="BodyText"/>
        <w:spacing w:before="1"/>
        <w:ind w:left="1313" w:right="784"/>
      </w:pPr>
      <w:r>
        <w:rPr/>
        <w:t>Podium</w:t>
      </w:r>
      <w:r>
        <w:rPr>
          <w:spacing w:val="40"/>
        </w:rPr>
        <w:t> </w:t>
      </w:r>
      <w:r>
        <w:rPr/>
        <w:t>not</w:t>
      </w:r>
      <w:r>
        <w:rPr>
          <w:spacing w:val="40"/>
        </w:rPr>
        <w:t> </w:t>
      </w:r>
      <w:r>
        <w:rPr/>
        <w:t>provided</w:t>
      </w:r>
      <w:r>
        <w:rPr>
          <w:spacing w:val="40"/>
        </w:rPr>
        <w:t> </w:t>
      </w:r>
      <w:r>
        <w:rPr/>
        <w:t>with</w:t>
      </w:r>
      <w:r>
        <w:rPr>
          <w:spacing w:val="40"/>
        </w:rPr>
        <w:t> </w:t>
      </w:r>
      <w:r>
        <w:rPr/>
        <w:t>ramp</w:t>
      </w:r>
      <w:r>
        <w:rPr>
          <w:spacing w:val="40"/>
        </w:rPr>
        <w:t> </w:t>
      </w:r>
      <w:r>
        <w:rPr/>
        <w:t>but</w:t>
      </w:r>
      <w:r>
        <w:rPr>
          <w:spacing w:val="40"/>
        </w:rPr>
        <w:t> </w:t>
      </w:r>
      <w:r>
        <w:rPr/>
        <w:t>provided</w:t>
      </w:r>
      <w:r>
        <w:rPr>
          <w:spacing w:val="40"/>
        </w:rPr>
        <w:t> </w:t>
      </w:r>
      <w:r>
        <w:rPr/>
        <w:t>with</w:t>
      </w:r>
      <w:r>
        <w:rPr>
          <w:spacing w:val="40"/>
        </w:rPr>
        <w:t> </w:t>
      </w:r>
      <w:r>
        <w:rPr/>
        <w:t>car</w:t>
      </w:r>
      <w:r>
        <w:rPr>
          <w:spacing w:val="40"/>
        </w:rPr>
        <w:t> </w:t>
      </w:r>
      <w:r>
        <w:rPr/>
        <w:t>lifts</w:t>
      </w:r>
      <w:r>
        <w:rPr>
          <w:spacing w:val="40"/>
        </w:rPr>
        <w:t> </w:t>
      </w:r>
      <w:r>
        <w:rPr/>
        <w:t>may</w:t>
      </w:r>
      <w:r>
        <w:rPr>
          <w:spacing w:val="40"/>
        </w:rPr>
        <w:t> </w:t>
      </w:r>
      <w:r>
        <w:rPr/>
        <w:t>be allowed subject to minimum two numbers, for vehicles up to 200 parking and</w:t>
      </w:r>
      <w:r>
        <w:rPr>
          <w:spacing w:val="40"/>
        </w:rPr>
        <w:t> </w:t>
      </w:r>
      <w:r>
        <w:rPr/>
        <w:t>one</w:t>
      </w:r>
      <w:r>
        <w:rPr>
          <w:spacing w:val="40"/>
        </w:rPr>
        <w:t> </w:t>
      </w:r>
      <w:r>
        <w:rPr/>
        <w:t>additional</w:t>
      </w:r>
      <w:r>
        <w:rPr>
          <w:spacing w:val="40"/>
        </w:rPr>
        <w:t> </w:t>
      </w:r>
      <w:r>
        <w:rPr/>
        <w:t>car</w:t>
      </w:r>
      <w:r>
        <w:rPr>
          <w:spacing w:val="40"/>
        </w:rPr>
        <w:t> </w:t>
      </w:r>
      <w:r>
        <w:rPr/>
        <w:t>lift</w:t>
      </w:r>
      <w:r>
        <w:rPr>
          <w:spacing w:val="40"/>
        </w:rPr>
        <w:t> </w:t>
      </w:r>
      <w:r>
        <w:rPr/>
        <w:t>for</w:t>
      </w:r>
      <w:r>
        <w:rPr>
          <w:spacing w:val="40"/>
        </w:rPr>
        <w:t> </w:t>
      </w:r>
      <w:r>
        <w:rPr/>
        <w:t>every</w:t>
      </w:r>
      <w:r>
        <w:rPr>
          <w:spacing w:val="40"/>
        </w:rPr>
        <w:t> </w:t>
      </w:r>
      <w:r>
        <w:rPr/>
        <w:t>100</w:t>
      </w:r>
      <w:r>
        <w:rPr>
          <w:spacing w:val="40"/>
        </w:rPr>
        <w:t> </w:t>
      </w:r>
      <w:r>
        <w:rPr/>
        <w:t>parking</w:t>
      </w:r>
      <w:r>
        <w:rPr>
          <w:spacing w:val="40"/>
        </w:rPr>
        <w:t> </w:t>
      </w:r>
      <w:r>
        <w:rPr/>
        <w:t>beyond</w:t>
      </w:r>
      <w:r>
        <w:rPr>
          <w:spacing w:val="40"/>
        </w:rPr>
        <w:t> </w:t>
      </w:r>
      <w:r>
        <w:rPr/>
        <w:t>200</w:t>
      </w:r>
      <w:r>
        <w:rPr>
          <w:spacing w:val="40"/>
        </w:rPr>
        <w:t> </w:t>
      </w:r>
      <w:r>
        <w:rPr/>
        <w:t>parking</w:t>
      </w:r>
      <w:r>
        <w:rPr>
          <w:spacing w:val="40"/>
        </w:rPr>
        <w:t> </w:t>
      </w:r>
      <w:r>
        <w:rPr/>
        <w:t>or part </w:t>
      </w:r>
      <w:r>
        <w:rPr>
          <w:spacing w:val="9"/>
        </w:rPr>
        <w:t>thereof.</w:t>
      </w:r>
    </w:p>
    <w:p>
      <w:pPr>
        <w:pStyle w:val="BodyText"/>
        <w:spacing w:before="1"/>
        <w:ind w:left="1313" w:right="785"/>
      </w:pPr>
      <w:r>
        <w:rPr/>
        <w:t>The</w:t>
      </w:r>
      <w:r>
        <w:rPr>
          <w:spacing w:val="40"/>
        </w:rPr>
        <w:t> </w:t>
      </w:r>
      <w:r>
        <w:rPr/>
        <w:t>podium</w:t>
      </w:r>
      <w:r>
        <w:rPr>
          <w:spacing w:val="40"/>
        </w:rPr>
        <w:t> </w:t>
      </w:r>
      <w:r>
        <w:rPr/>
        <w:t>shall</w:t>
      </w:r>
      <w:r>
        <w:rPr>
          <w:spacing w:val="40"/>
        </w:rPr>
        <w:t> </w:t>
      </w:r>
      <w:r>
        <w:rPr/>
        <w:t>be</w:t>
      </w:r>
      <w:r>
        <w:rPr>
          <w:spacing w:val="40"/>
        </w:rPr>
        <w:t> </w:t>
      </w:r>
      <w:r>
        <w:rPr/>
        <w:t>used</w:t>
      </w:r>
      <w:r>
        <w:rPr>
          <w:spacing w:val="40"/>
        </w:rPr>
        <w:t> </w:t>
      </w:r>
      <w:r>
        <w:rPr/>
        <w:t>for</w:t>
      </w:r>
      <w:r>
        <w:rPr>
          <w:spacing w:val="40"/>
        </w:rPr>
        <w:t> </w:t>
      </w:r>
      <w:r>
        <w:rPr/>
        <w:t>the</w:t>
      </w:r>
      <w:r>
        <w:rPr>
          <w:spacing w:val="40"/>
        </w:rPr>
        <w:t> </w:t>
      </w:r>
      <w:r>
        <w:rPr/>
        <w:t>parking</w:t>
      </w:r>
      <w:r>
        <w:rPr>
          <w:spacing w:val="40"/>
        </w:rPr>
        <w:t> </w:t>
      </w:r>
      <w:r>
        <w:rPr/>
        <w:t>of</w:t>
      </w:r>
      <w:r>
        <w:rPr>
          <w:spacing w:val="40"/>
        </w:rPr>
        <w:t> </w:t>
      </w:r>
      <w:r>
        <w:rPr/>
        <w:t>vehicles,</w:t>
      </w:r>
      <w:r>
        <w:rPr>
          <w:spacing w:val="40"/>
        </w:rPr>
        <w:t> </w:t>
      </w:r>
      <w:r>
        <w:rPr/>
        <w:t>provision</w:t>
      </w:r>
      <w:r>
        <w:rPr>
          <w:spacing w:val="40"/>
        </w:rPr>
        <w:t> </w:t>
      </w:r>
      <w:r>
        <w:rPr/>
        <w:t>of</w:t>
      </w:r>
      <w:r>
        <w:rPr>
          <w:spacing w:val="40"/>
        </w:rPr>
        <w:t> </w:t>
      </w:r>
      <w:r>
        <w:rPr/>
        <w:t>DG</w:t>
      </w:r>
      <w:r>
        <w:rPr>
          <w:spacing w:val="40"/>
        </w:rPr>
        <w:t> </w:t>
      </w:r>
      <w:r>
        <w:rPr/>
        <w:t>set,</w:t>
      </w:r>
      <w:r>
        <w:rPr>
          <w:spacing w:val="40"/>
        </w:rPr>
        <w:t> </w:t>
      </w:r>
      <w:r>
        <w:rPr/>
        <w:t>and</w:t>
      </w:r>
      <w:r>
        <w:rPr>
          <w:spacing w:val="40"/>
        </w:rPr>
        <w:t> </w:t>
      </w:r>
      <w:r>
        <w:rPr/>
        <w:t>substation</w:t>
      </w:r>
      <w:r>
        <w:rPr>
          <w:spacing w:val="40"/>
        </w:rPr>
        <w:t> </w:t>
      </w:r>
      <w:r>
        <w:rPr/>
        <w:t>as</w:t>
      </w:r>
      <w:r>
        <w:rPr>
          <w:spacing w:val="40"/>
        </w:rPr>
        <w:t> </w:t>
      </w:r>
      <w:r>
        <w:rPr/>
        <w:t>per</w:t>
      </w:r>
      <w:r>
        <w:rPr>
          <w:spacing w:val="40"/>
        </w:rPr>
        <w:t> </w:t>
      </w:r>
      <w:r>
        <w:rPr/>
        <w:t>requirement</w:t>
      </w:r>
      <w:r>
        <w:rPr>
          <w:spacing w:val="40"/>
        </w:rPr>
        <w:t> </w:t>
      </w:r>
      <w:r>
        <w:rPr/>
        <w:t>of</w:t>
      </w:r>
      <w:r>
        <w:rPr>
          <w:spacing w:val="40"/>
        </w:rPr>
        <w:t> </w:t>
      </w:r>
      <w:r>
        <w:rPr/>
        <w:t>electric</w:t>
      </w:r>
      <w:r>
        <w:rPr>
          <w:spacing w:val="40"/>
        </w:rPr>
        <w:t> </w:t>
      </w:r>
      <w:r>
        <w:rPr/>
        <w:t>supply</w:t>
      </w:r>
      <w:r>
        <w:rPr>
          <w:spacing w:val="40"/>
        </w:rPr>
        <w:t> </w:t>
      </w:r>
      <w:r>
        <w:rPr/>
        <w:t>company. Further,</w:t>
      </w:r>
      <w:r>
        <w:rPr>
          <w:spacing w:val="40"/>
        </w:rPr>
        <w:t> </w:t>
      </w:r>
      <w:r>
        <w:rPr/>
        <w:t>drivers’</w:t>
      </w:r>
      <w:r>
        <w:rPr>
          <w:spacing w:val="40"/>
        </w:rPr>
        <w:t> </w:t>
      </w:r>
      <w:r>
        <w:rPr/>
        <w:t>room,</w:t>
      </w:r>
      <w:r>
        <w:rPr>
          <w:spacing w:val="40"/>
        </w:rPr>
        <w:t> </w:t>
      </w:r>
      <w:r>
        <w:rPr/>
        <w:t>toilet</w:t>
      </w:r>
      <w:r>
        <w:rPr>
          <w:spacing w:val="40"/>
        </w:rPr>
        <w:t> </w:t>
      </w:r>
      <w:r>
        <w:rPr/>
        <w:t>block,</w:t>
      </w:r>
      <w:r>
        <w:rPr>
          <w:spacing w:val="40"/>
        </w:rPr>
        <w:t> </w:t>
      </w:r>
      <w:r>
        <w:rPr/>
        <w:t>society</w:t>
      </w:r>
      <w:r>
        <w:rPr>
          <w:spacing w:val="40"/>
        </w:rPr>
        <w:t> </w:t>
      </w:r>
      <w:r>
        <w:rPr>
          <w:spacing w:val="9"/>
        </w:rPr>
        <w:t>office,</w:t>
      </w:r>
      <w:r>
        <w:rPr>
          <w:spacing w:val="40"/>
        </w:rPr>
        <w:t> </w:t>
      </w:r>
      <w:r>
        <w:rPr/>
        <w:t>Air</w:t>
      </w:r>
      <w:r>
        <w:rPr>
          <w:spacing w:val="40"/>
        </w:rPr>
        <w:t> </w:t>
      </w:r>
      <w:r>
        <w:rPr/>
        <w:t>Handling</w:t>
      </w:r>
      <w:r>
        <w:rPr>
          <w:spacing w:val="40"/>
        </w:rPr>
        <w:t> </w:t>
      </w:r>
      <w:r>
        <w:rPr/>
        <w:t>Unit</w:t>
      </w:r>
      <w:r>
        <w:rPr>
          <w:spacing w:val="80"/>
        </w:rPr>
        <w:t> </w:t>
      </w:r>
      <w:r>
        <w:rPr/>
        <w:t>(AHU) and Yogalaya or Fitness </w:t>
      </w:r>
      <w:r>
        <w:rPr>
          <w:spacing w:val="9"/>
        </w:rPr>
        <w:t>Centre,</w:t>
      </w:r>
      <w:r>
        <w:rPr>
          <w:spacing w:val="9"/>
        </w:rPr>
        <w:t> </w:t>
      </w:r>
      <w:r>
        <w:rPr/>
        <w:t>swimming pool on top most podiumopen</w:t>
      </w:r>
      <w:r>
        <w:rPr>
          <w:spacing w:val="40"/>
        </w:rPr>
        <w:t> </w:t>
      </w:r>
      <w:r>
        <w:rPr/>
        <w:t>to</w:t>
      </w:r>
      <w:r>
        <w:rPr>
          <w:spacing w:val="40"/>
        </w:rPr>
        <w:t> </w:t>
      </w:r>
      <w:r>
        <w:rPr/>
        <w:t>skymay</w:t>
      </w:r>
      <w:r>
        <w:rPr>
          <w:spacing w:val="40"/>
        </w:rPr>
        <w:t> </w:t>
      </w:r>
      <w:r>
        <w:rPr/>
        <w:t>also</w:t>
      </w:r>
      <w:r>
        <w:rPr>
          <w:spacing w:val="40"/>
        </w:rPr>
        <w:t> </w:t>
      </w:r>
      <w:r>
        <w:rPr/>
        <w:t>be</w:t>
      </w:r>
      <w:r>
        <w:rPr>
          <w:spacing w:val="40"/>
        </w:rPr>
        <w:t> </w:t>
      </w:r>
      <w:r>
        <w:rPr/>
        <w:t>permitted</w:t>
      </w:r>
      <w:r>
        <w:rPr>
          <w:spacing w:val="40"/>
        </w:rPr>
        <w:t> </w:t>
      </w:r>
      <w:r>
        <w:rPr/>
        <w:t>without</w:t>
      </w:r>
      <w:r>
        <w:rPr>
          <w:spacing w:val="40"/>
        </w:rPr>
        <w:t> </w:t>
      </w:r>
      <w:r>
        <w:rPr/>
        <w:t>affecting</w:t>
      </w:r>
      <w:r>
        <w:rPr>
          <w:spacing w:val="40"/>
        </w:rPr>
        <w:t> </w:t>
      </w:r>
      <w:r>
        <w:rPr/>
        <w:t>recreational area</w:t>
      </w:r>
      <w:r>
        <w:rPr>
          <w:spacing w:val="40"/>
        </w:rPr>
        <w:t> </w:t>
      </w:r>
      <w:r>
        <w:rPr/>
        <w:t>if</w:t>
      </w:r>
      <w:r>
        <w:rPr>
          <w:spacing w:val="40"/>
        </w:rPr>
        <w:t> </w:t>
      </w:r>
      <w:r>
        <w:rPr/>
        <w:t>provided</w:t>
      </w:r>
      <w:r>
        <w:rPr>
          <w:spacing w:val="40"/>
        </w:rPr>
        <w:t> </w:t>
      </w:r>
      <w:r>
        <w:rPr/>
        <w:t>and</w:t>
      </w:r>
      <w:r>
        <w:rPr>
          <w:spacing w:val="40"/>
        </w:rPr>
        <w:t> </w:t>
      </w:r>
      <w:r>
        <w:rPr/>
        <w:t>if</w:t>
      </w:r>
      <w:r>
        <w:rPr>
          <w:spacing w:val="40"/>
        </w:rPr>
        <w:t> </w:t>
      </w:r>
      <w:r>
        <w:rPr/>
        <w:t>other</w:t>
      </w:r>
      <w:r>
        <w:rPr>
          <w:spacing w:val="40"/>
        </w:rPr>
        <w:t> </w:t>
      </w:r>
      <w:r>
        <w:rPr/>
        <w:t>requirements</w:t>
      </w:r>
      <w:r>
        <w:rPr>
          <w:spacing w:val="40"/>
        </w:rPr>
        <w:t> </w:t>
      </w:r>
      <w:r>
        <w:rPr/>
        <w:t>of</w:t>
      </w:r>
      <w:r>
        <w:rPr>
          <w:spacing w:val="40"/>
        </w:rPr>
        <w:t> </w:t>
      </w:r>
      <w:r>
        <w:rPr/>
        <w:t>these</w:t>
      </w:r>
      <w:r>
        <w:rPr>
          <w:spacing w:val="40"/>
        </w:rPr>
        <w:t> </w:t>
      </w:r>
      <w:r>
        <w:rPr/>
        <w:t>Regulations</w:t>
      </w:r>
      <w:r>
        <w:rPr>
          <w:spacing w:val="40"/>
        </w:rPr>
        <w:t> </w:t>
      </w:r>
      <w:r>
        <w:rPr/>
        <w:t>are </w:t>
      </w:r>
      <w:r>
        <w:rPr>
          <w:spacing w:val="-2"/>
        </w:rPr>
        <w:t>fulfilled.</w:t>
      </w:r>
    </w:p>
    <w:p>
      <w:pPr>
        <w:pStyle w:val="BodyText"/>
        <w:ind w:left="1313" w:right="772"/>
      </w:pPr>
      <w:r>
        <w:rPr/>
        <w:t>The</w:t>
      </w:r>
      <w:r>
        <w:rPr>
          <w:spacing w:val="40"/>
        </w:rPr>
        <w:t> </w:t>
      </w:r>
      <w:r>
        <w:rPr/>
        <w:t>LOS</w:t>
      </w:r>
      <w:r>
        <w:rPr>
          <w:spacing w:val="40"/>
        </w:rPr>
        <w:t> </w:t>
      </w:r>
      <w:r>
        <w:rPr/>
        <w:t>as</w:t>
      </w:r>
      <w:r>
        <w:rPr>
          <w:spacing w:val="40"/>
        </w:rPr>
        <w:t> </w:t>
      </w:r>
      <w:r>
        <w:rPr/>
        <w:t>laid</w:t>
      </w:r>
      <w:r>
        <w:rPr>
          <w:spacing w:val="40"/>
        </w:rPr>
        <w:t> </w:t>
      </w:r>
      <w:r>
        <w:rPr/>
        <w:t>down</w:t>
      </w:r>
      <w:r>
        <w:rPr>
          <w:spacing w:val="40"/>
        </w:rPr>
        <w:t> </w:t>
      </w:r>
      <w:r>
        <w:rPr/>
        <w:t>under</w:t>
      </w:r>
      <w:r>
        <w:rPr>
          <w:spacing w:val="40"/>
        </w:rPr>
        <w:t> </w:t>
      </w:r>
      <w:r>
        <w:rPr/>
        <w:t>Regulation</w:t>
      </w:r>
      <w:r>
        <w:rPr>
          <w:spacing w:val="40"/>
        </w:rPr>
        <w:t> </w:t>
      </w:r>
      <w:r>
        <w:rPr/>
        <w:t>No</w:t>
      </w:r>
      <w:r>
        <w:rPr>
          <w:spacing w:val="40"/>
        </w:rPr>
        <w:t> </w:t>
      </w:r>
      <w:r>
        <w:rPr/>
        <w:t>27,</w:t>
      </w:r>
      <w:r>
        <w:rPr>
          <w:spacing w:val="40"/>
        </w:rPr>
        <w:t> </w:t>
      </w:r>
      <w:r>
        <w:rPr/>
        <w:t>may</w:t>
      </w:r>
      <w:r>
        <w:rPr>
          <w:spacing w:val="40"/>
        </w:rPr>
        <w:t> </w:t>
      </w:r>
      <w:r>
        <w:rPr/>
        <w:t>be</w:t>
      </w:r>
      <w:r>
        <w:rPr>
          <w:spacing w:val="40"/>
        </w:rPr>
        <w:t> </w:t>
      </w:r>
      <w:r>
        <w:rPr/>
        <w:t>provided</w:t>
      </w:r>
      <w:r>
        <w:rPr>
          <w:spacing w:val="40"/>
        </w:rPr>
        <w:t> </w:t>
      </w:r>
      <w:r>
        <w:rPr/>
        <w:t>as</w:t>
      </w:r>
      <w:r>
        <w:rPr>
          <w:spacing w:val="40"/>
        </w:rPr>
        <w:t> </w:t>
      </w:r>
      <w:r>
        <w:rPr/>
        <w:t>per note</w:t>
      </w:r>
      <w:r>
        <w:rPr>
          <w:spacing w:val="40"/>
        </w:rPr>
        <w:t> </w:t>
      </w:r>
      <w:r>
        <w:rPr/>
        <w:t>therein.</w:t>
      </w:r>
      <w:r>
        <w:rPr>
          <w:spacing w:val="40"/>
        </w:rPr>
        <w:t>  </w:t>
      </w:r>
      <w:r>
        <w:rPr/>
        <w:t>The</w:t>
      </w:r>
      <w:r>
        <w:rPr>
          <w:spacing w:val="40"/>
        </w:rPr>
        <w:t> </w:t>
      </w:r>
      <w:r>
        <w:rPr/>
        <w:t>additional</w:t>
      </w:r>
      <w:r>
        <w:rPr>
          <w:spacing w:val="40"/>
        </w:rPr>
        <w:t> </w:t>
      </w:r>
      <w:r>
        <w:rPr/>
        <w:t>LOS,</w:t>
      </w:r>
      <w:r>
        <w:rPr>
          <w:spacing w:val="40"/>
        </w:rPr>
        <w:t> </w:t>
      </w:r>
      <w:r>
        <w:rPr/>
        <w:t>if</w:t>
      </w:r>
      <w:r>
        <w:rPr>
          <w:spacing w:val="40"/>
        </w:rPr>
        <w:t> </w:t>
      </w:r>
      <w:r>
        <w:rPr/>
        <w:t>any,</w:t>
      </w:r>
      <w:r>
        <w:rPr>
          <w:spacing w:val="40"/>
        </w:rPr>
        <w:t> </w:t>
      </w:r>
      <w:r>
        <w:rPr/>
        <w:t>may</w:t>
      </w:r>
      <w:r>
        <w:rPr>
          <w:spacing w:val="40"/>
        </w:rPr>
        <w:t> </w:t>
      </w:r>
      <w:r>
        <w:rPr/>
        <w:t>be</w:t>
      </w:r>
      <w:r>
        <w:rPr>
          <w:spacing w:val="40"/>
        </w:rPr>
        <w:t> </w:t>
      </w:r>
      <w:r>
        <w:rPr/>
        <w:t>provided</w:t>
      </w:r>
      <w:r>
        <w:rPr>
          <w:spacing w:val="40"/>
        </w:rPr>
        <w:t> </w:t>
      </w:r>
      <w:r>
        <w:rPr/>
        <w:t>on</w:t>
      </w:r>
      <w:r>
        <w:rPr>
          <w:spacing w:val="40"/>
        </w:rPr>
        <w:t> </w:t>
      </w:r>
      <w:r>
        <w:rPr/>
        <w:t>the</w:t>
      </w:r>
      <w:r>
        <w:rPr>
          <w:spacing w:val="40"/>
        </w:rPr>
        <w:t> </w:t>
      </w:r>
      <w:r>
        <w:rPr>
          <w:spacing w:val="-2"/>
        </w:rPr>
        <w:t>podium.</w:t>
      </w:r>
    </w:p>
    <w:p>
      <w:pPr>
        <w:pStyle w:val="BodyText"/>
        <w:ind w:left="1313" w:right="778"/>
      </w:pPr>
      <w:r>
        <w:rPr/>
        <w:t>Podium may be allowed to be constructed beyond building line in the required</w:t>
      </w:r>
      <w:r>
        <w:rPr>
          <w:spacing w:val="40"/>
        </w:rPr>
        <w:t> </w:t>
      </w:r>
      <w:r>
        <w:rPr/>
        <w:t>front</w:t>
      </w:r>
      <w:r>
        <w:rPr>
          <w:spacing w:val="40"/>
        </w:rPr>
        <w:t> </w:t>
      </w:r>
      <w:r>
        <w:rPr/>
        <w:t>open</w:t>
      </w:r>
      <w:r>
        <w:rPr>
          <w:spacing w:val="40"/>
        </w:rPr>
        <w:t> </w:t>
      </w:r>
      <w:r>
        <w:rPr/>
        <w:t>space</w:t>
      </w:r>
      <w:r>
        <w:rPr>
          <w:spacing w:val="40"/>
        </w:rPr>
        <w:t> </w:t>
      </w:r>
      <w:r>
        <w:rPr/>
        <w:t>under</w:t>
      </w:r>
      <w:r>
        <w:rPr>
          <w:spacing w:val="40"/>
        </w:rPr>
        <w:t> </w:t>
      </w:r>
      <w:r>
        <w:rPr/>
        <w:t>the</w:t>
      </w:r>
      <w:r>
        <w:rPr>
          <w:spacing w:val="40"/>
        </w:rPr>
        <w:t> </w:t>
      </w:r>
      <w:r>
        <w:rPr/>
        <w:t>provisions</w:t>
      </w:r>
      <w:r>
        <w:rPr>
          <w:spacing w:val="40"/>
        </w:rPr>
        <w:t> </w:t>
      </w:r>
      <w:r>
        <w:rPr/>
        <w:t>of</w:t>
      </w:r>
      <w:r>
        <w:rPr>
          <w:spacing w:val="40"/>
        </w:rPr>
        <w:t> </w:t>
      </w:r>
      <w:r>
        <w:rPr/>
        <w:t>these</w:t>
      </w:r>
      <w:r>
        <w:rPr>
          <w:spacing w:val="40"/>
        </w:rPr>
        <w:t> </w:t>
      </w:r>
      <w:r>
        <w:rPr/>
        <w:t>Regulations provided</w:t>
      </w:r>
      <w:r>
        <w:rPr>
          <w:spacing w:val="80"/>
        </w:rPr>
        <w:t> </w:t>
      </w:r>
      <w:r>
        <w:rPr/>
        <w:t>clear</w:t>
      </w:r>
      <w:r>
        <w:rPr>
          <w:spacing w:val="80"/>
        </w:rPr>
        <w:t> </w:t>
      </w:r>
      <w:r>
        <w:rPr/>
        <w:t>distance</w:t>
      </w:r>
      <w:r>
        <w:rPr>
          <w:spacing w:val="80"/>
        </w:rPr>
        <w:t> </w:t>
      </w:r>
      <w:r>
        <w:rPr/>
        <w:t>of</w:t>
      </w:r>
      <w:r>
        <w:rPr>
          <w:spacing w:val="80"/>
        </w:rPr>
        <w:t> </w:t>
      </w:r>
      <w:r>
        <w:rPr/>
        <w:t>3.0</w:t>
      </w:r>
      <w:r>
        <w:rPr>
          <w:spacing w:val="80"/>
        </w:rPr>
        <w:t> </w:t>
      </w:r>
      <w:r>
        <w:rPr/>
        <w:t>m</w:t>
      </w:r>
      <w:r>
        <w:rPr>
          <w:spacing w:val="80"/>
        </w:rPr>
        <w:t> </w:t>
      </w:r>
      <w:r>
        <w:rPr/>
        <w:t>between</w:t>
      </w:r>
      <w:r>
        <w:rPr>
          <w:spacing w:val="80"/>
        </w:rPr>
        <w:t> </w:t>
      </w:r>
      <w:r>
        <w:rPr/>
        <w:t>plot</w:t>
      </w:r>
      <w:r>
        <w:rPr>
          <w:spacing w:val="80"/>
        </w:rPr>
        <w:t> </w:t>
      </w:r>
      <w:r>
        <w:rPr/>
        <w:t>boundary/edge</w:t>
      </w:r>
      <w:r>
        <w:rPr>
          <w:spacing w:val="80"/>
        </w:rPr>
        <w:t> </w:t>
      </w:r>
      <w:r>
        <w:rPr/>
        <w:t>of</w:t>
      </w:r>
      <w:r>
        <w:rPr>
          <w:spacing w:val="80"/>
        </w:rPr>
        <w:t> </w:t>
      </w:r>
      <w:r>
        <w:rPr/>
        <w:t>road and podium line is </w:t>
      </w:r>
      <w:r>
        <w:rPr>
          <w:spacing w:val="9"/>
        </w:rPr>
        <w:t>maintained.</w:t>
      </w:r>
    </w:p>
    <w:p>
      <w:pPr>
        <w:pStyle w:val="BodyText"/>
        <w:ind w:left="1313" w:right="795"/>
      </w:pPr>
      <w:r>
        <w:rPr/>
        <w:t>Such</w:t>
      </w:r>
      <w:r>
        <w:rPr>
          <w:spacing w:val="40"/>
        </w:rPr>
        <w:t> </w:t>
      </w:r>
      <w:r>
        <w:rPr/>
        <w:t>podium</w:t>
      </w:r>
      <w:r>
        <w:rPr>
          <w:spacing w:val="40"/>
        </w:rPr>
        <w:t> </w:t>
      </w:r>
      <w:r>
        <w:rPr/>
        <w:t>may</w:t>
      </w:r>
      <w:r>
        <w:rPr>
          <w:spacing w:val="40"/>
        </w:rPr>
        <w:t> </w:t>
      </w:r>
      <w:r>
        <w:rPr/>
        <w:t>be</w:t>
      </w:r>
      <w:r>
        <w:rPr>
          <w:spacing w:val="40"/>
        </w:rPr>
        <w:t> </w:t>
      </w:r>
      <w:r>
        <w:rPr/>
        <w:t>extended</w:t>
      </w:r>
      <w:r>
        <w:rPr>
          <w:spacing w:val="40"/>
        </w:rPr>
        <w:t> </w:t>
      </w:r>
      <w:r>
        <w:rPr/>
        <w:t>beyond</w:t>
      </w:r>
      <w:r>
        <w:rPr>
          <w:spacing w:val="40"/>
        </w:rPr>
        <w:t> </w:t>
      </w:r>
      <w:r>
        <w:rPr/>
        <w:t>the</w:t>
      </w:r>
      <w:r>
        <w:rPr>
          <w:spacing w:val="40"/>
        </w:rPr>
        <w:t> </w:t>
      </w:r>
      <w:r>
        <w:rPr/>
        <w:t>building</w:t>
      </w:r>
      <w:r>
        <w:rPr>
          <w:spacing w:val="40"/>
        </w:rPr>
        <w:t> </w:t>
      </w:r>
      <w:r>
        <w:rPr/>
        <w:t>line</w:t>
      </w:r>
      <w:r>
        <w:rPr>
          <w:spacing w:val="40"/>
        </w:rPr>
        <w:t> </w:t>
      </w:r>
      <w:r>
        <w:rPr/>
        <w:t>in</w:t>
      </w:r>
      <w:r>
        <w:rPr>
          <w:spacing w:val="40"/>
        </w:rPr>
        <w:t> </w:t>
      </w:r>
      <w:r>
        <w:rPr/>
        <w:t>consonance with</w:t>
      </w:r>
      <w:r>
        <w:rPr>
          <w:spacing w:val="40"/>
        </w:rPr>
        <w:t> </w:t>
      </w:r>
      <w:r>
        <w:rPr/>
        <w:t>provisions</w:t>
      </w:r>
      <w:r>
        <w:rPr>
          <w:spacing w:val="40"/>
        </w:rPr>
        <w:t> </w:t>
      </w:r>
      <w:r>
        <w:rPr/>
        <w:t>of</w:t>
      </w:r>
      <w:r>
        <w:rPr>
          <w:spacing w:val="40"/>
        </w:rPr>
        <w:t> </w:t>
      </w:r>
      <w:r>
        <w:rPr/>
        <w:t>DC</w:t>
      </w:r>
      <w:r>
        <w:rPr>
          <w:spacing w:val="40"/>
        </w:rPr>
        <w:t> </w:t>
      </w:r>
      <w:r>
        <w:rPr/>
        <w:t>Regulation</w:t>
      </w:r>
      <w:r>
        <w:rPr>
          <w:spacing w:val="40"/>
        </w:rPr>
        <w:t> </w:t>
      </w:r>
      <w:r>
        <w:rPr/>
        <w:t>47(1)</w:t>
      </w:r>
    </w:p>
    <w:p>
      <w:pPr>
        <w:pStyle w:val="BodyText"/>
        <w:spacing w:after="0"/>
        <w:sectPr>
          <w:headerReference w:type="default" r:id="rId59"/>
          <w:footerReference w:type="default" r:id="rId60"/>
          <w:pgSz w:w="11910" w:h="16840"/>
          <w:pgMar w:header="1058" w:footer="1201" w:top="1500" w:bottom="1400" w:left="360" w:right="360"/>
        </w:sectPr>
      </w:pPr>
    </w:p>
    <w:p>
      <w:pPr>
        <w:pStyle w:val="BodyText"/>
        <w:spacing w:before="255"/>
        <w:ind w:right="151"/>
        <w:jc w:val="center"/>
      </w:pPr>
      <w:r>
        <w:rPr/>
        <w:t>Ramps</w:t>
      </w:r>
      <w:r>
        <w:rPr>
          <w:spacing w:val="57"/>
        </w:rPr>
        <w:t> </w:t>
      </w:r>
      <w:r>
        <w:rPr/>
        <w:t>may</w:t>
      </w:r>
      <w:r>
        <w:rPr>
          <w:spacing w:val="57"/>
        </w:rPr>
        <w:t> </w:t>
      </w:r>
      <w:r>
        <w:rPr/>
        <w:t>be</w:t>
      </w:r>
      <w:r>
        <w:rPr>
          <w:spacing w:val="57"/>
        </w:rPr>
        <w:t> </w:t>
      </w:r>
      <w:r>
        <w:rPr/>
        <w:t>provided</w:t>
      </w:r>
      <w:r>
        <w:rPr>
          <w:spacing w:val="57"/>
        </w:rPr>
        <w:t> </w:t>
      </w:r>
      <w:r>
        <w:rPr/>
        <w:t>in</w:t>
      </w:r>
      <w:r>
        <w:rPr>
          <w:spacing w:val="60"/>
        </w:rPr>
        <w:t> </w:t>
      </w:r>
      <w:r>
        <w:rPr/>
        <w:t>accordance</w:t>
      </w:r>
      <w:r>
        <w:rPr>
          <w:spacing w:val="57"/>
        </w:rPr>
        <w:t> </w:t>
      </w:r>
      <w:r>
        <w:rPr/>
        <w:t>with</w:t>
      </w:r>
      <w:r>
        <w:rPr>
          <w:spacing w:val="57"/>
        </w:rPr>
        <w:t> </w:t>
      </w:r>
      <w:r>
        <w:rPr/>
        <w:t>DC</w:t>
      </w:r>
      <w:r>
        <w:rPr>
          <w:spacing w:val="65"/>
        </w:rPr>
        <w:t> </w:t>
      </w:r>
      <w:r>
        <w:rPr/>
        <w:t>Regulation</w:t>
      </w:r>
      <w:r>
        <w:rPr>
          <w:spacing w:val="60"/>
        </w:rPr>
        <w:t> </w:t>
      </w:r>
      <w:r>
        <w:rPr>
          <w:spacing w:val="7"/>
        </w:rPr>
        <w:t>37</w:t>
      </w:r>
      <w:r>
        <w:rPr>
          <w:color w:val="000000"/>
          <w:spacing w:val="7"/>
          <w:shd w:fill="FFCCFF" w:color="auto" w:val="clear"/>
        </w:rPr>
        <w:t>(16).</w:t>
      </w:r>
    </w:p>
    <w:p>
      <w:pPr>
        <w:pStyle w:val="ListParagraph"/>
        <w:numPr>
          <w:ilvl w:val="0"/>
          <w:numId w:val="259"/>
        </w:numPr>
        <w:tabs>
          <w:tab w:pos="1886" w:val="left" w:leader="none"/>
        </w:tabs>
        <w:spacing w:line="240" w:lineRule="auto" w:before="280" w:after="0"/>
        <w:ind w:left="1313" w:right="779" w:firstLine="0"/>
        <w:jc w:val="both"/>
        <w:rPr>
          <w:b/>
          <w:i/>
          <w:sz w:val="24"/>
        </w:rPr>
      </w:pPr>
      <w:r>
        <w:rPr>
          <w:b/>
          <w:i/>
          <w:sz w:val="24"/>
        </w:rPr>
        <w:t>Service Floor: </w:t>
      </w:r>
      <w:r>
        <w:rPr>
          <w:sz w:val="24"/>
        </w:rPr>
        <w:t>A service floor of height not exceeding 1.8 m may be provided in a building exclusively for provision/diversion of services.</w:t>
      </w:r>
      <w:r>
        <w:rPr>
          <w:spacing w:val="40"/>
          <w:sz w:val="24"/>
        </w:rPr>
        <w:t> </w:t>
      </w:r>
      <w:r>
        <w:rPr>
          <w:sz w:val="24"/>
        </w:rPr>
        <w:t>Provided further that a service floor with height exceeding 1.8 m may be allowed</w:t>
      </w:r>
      <w:r>
        <w:rPr>
          <w:spacing w:val="40"/>
          <w:sz w:val="24"/>
        </w:rPr>
        <w:t> </w:t>
      </w:r>
      <w:r>
        <w:rPr>
          <w:sz w:val="24"/>
        </w:rPr>
        <w:t>in</w:t>
      </w:r>
      <w:r>
        <w:rPr>
          <w:spacing w:val="40"/>
          <w:sz w:val="24"/>
        </w:rPr>
        <w:t> </w:t>
      </w:r>
      <w:r>
        <w:rPr>
          <w:sz w:val="24"/>
        </w:rPr>
        <w:t>a</w:t>
      </w:r>
      <w:r>
        <w:rPr>
          <w:spacing w:val="40"/>
          <w:sz w:val="24"/>
        </w:rPr>
        <w:t> </w:t>
      </w:r>
      <w:r>
        <w:rPr>
          <w:sz w:val="24"/>
        </w:rPr>
        <w:t>building</w:t>
      </w:r>
      <w:r>
        <w:rPr>
          <w:spacing w:val="40"/>
          <w:sz w:val="24"/>
        </w:rPr>
        <w:t> </w:t>
      </w:r>
      <w:r>
        <w:rPr>
          <w:sz w:val="24"/>
        </w:rPr>
        <w:t>of</w:t>
      </w:r>
      <w:r>
        <w:rPr>
          <w:spacing w:val="40"/>
          <w:sz w:val="24"/>
        </w:rPr>
        <w:t> </w:t>
      </w:r>
      <w:r>
        <w:rPr>
          <w:sz w:val="24"/>
        </w:rPr>
        <w:t>medical</w:t>
      </w:r>
      <w:r>
        <w:rPr>
          <w:spacing w:val="40"/>
          <w:sz w:val="24"/>
        </w:rPr>
        <w:t> </w:t>
      </w:r>
      <w:r>
        <w:rPr>
          <w:sz w:val="24"/>
        </w:rPr>
        <w:t>use</w:t>
      </w:r>
      <w:r>
        <w:rPr>
          <w:spacing w:val="40"/>
          <w:sz w:val="24"/>
        </w:rPr>
        <w:t> </w:t>
      </w:r>
      <w:r>
        <w:rPr>
          <w:sz w:val="24"/>
        </w:rPr>
        <w:t>or</w:t>
      </w:r>
      <w:r>
        <w:rPr>
          <w:spacing w:val="40"/>
          <w:sz w:val="24"/>
        </w:rPr>
        <w:t> </w:t>
      </w:r>
      <w:r>
        <w:rPr>
          <w:sz w:val="24"/>
        </w:rPr>
        <w:t>in</w:t>
      </w:r>
      <w:r>
        <w:rPr>
          <w:spacing w:val="40"/>
          <w:sz w:val="24"/>
        </w:rPr>
        <w:t> </w:t>
      </w:r>
      <w:r>
        <w:rPr>
          <w:sz w:val="24"/>
        </w:rPr>
        <w:t>building</w:t>
      </w:r>
      <w:r>
        <w:rPr>
          <w:spacing w:val="40"/>
          <w:sz w:val="24"/>
        </w:rPr>
        <w:t> </w:t>
      </w:r>
      <w:r>
        <w:rPr>
          <w:sz w:val="24"/>
        </w:rPr>
        <w:t>having</w:t>
      </w:r>
      <w:r>
        <w:rPr>
          <w:spacing w:val="40"/>
          <w:sz w:val="24"/>
        </w:rPr>
        <w:t> </w:t>
      </w:r>
      <w:r>
        <w:rPr>
          <w:sz w:val="24"/>
        </w:rPr>
        <w:t>height</w:t>
      </w:r>
      <w:r>
        <w:rPr>
          <w:spacing w:val="40"/>
          <w:sz w:val="24"/>
        </w:rPr>
        <w:t> </w:t>
      </w:r>
      <w:r>
        <w:rPr>
          <w:sz w:val="24"/>
        </w:rPr>
        <w:t>more than 70 m with the special permission of Commissioner with </w:t>
      </w:r>
      <w:r>
        <w:rPr>
          <w:spacing w:val="10"/>
          <w:sz w:val="24"/>
        </w:rPr>
        <w:t>reasons </w:t>
      </w:r>
      <w:r>
        <w:rPr>
          <w:sz w:val="24"/>
        </w:rPr>
        <w:t>recorded in writing.</w:t>
      </w:r>
    </w:p>
    <w:p>
      <w:pPr>
        <w:pStyle w:val="BodyText"/>
        <w:jc w:val="left"/>
      </w:pPr>
    </w:p>
    <w:p>
      <w:pPr>
        <w:pStyle w:val="ListParagraph"/>
        <w:numPr>
          <w:ilvl w:val="0"/>
          <w:numId w:val="259"/>
        </w:numPr>
        <w:tabs>
          <w:tab w:pos="1912" w:val="left" w:leader="none"/>
        </w:tabs>
        <w:spacing w:line="240" w:lineRule="auto" w:before="0" w:after="0"/>
        <w:ind w:left="1313" w:right="797" w:firstLine="0"/>
        <w:jc w:val="both"/>
        <w:rPr>
          <w:b/>
          <w:i/>
          <w:sz w:val="24"/>
        </w:rPr>
      </w:pPr>
      <w:r>
        <w:rPr>
          <w:b/>
          <w:i/>
          <w:sz w:val="24"/>
        </w:rPr>
        <w:t>Helipad: </w:t>
      </w:r>
      <w:r>
        <w:rPr>
          <w:sz w:val="24"/>
        </w:rPr>
        <w:t>A helipad may be allowed on the rooftop of the building subject to;</w:t>
      </w:r>
    </w:p>
    <w:p>
      <w:pPr>
        <w:pStyle w:val="BodyText"/>
        <w:spacing w:before="3"/>
        <w:jc w:val="left"/>
      </w:pPr>
    </w:p>
    <w:p>
      <w:pPr>
        <w:spacing w:line="281" w:lineRule="exact" w:before="0"/>
        <w:ind w:left="1399" w:right="0" w:firstLine="0"/>
        <w:jc w:val="left"/>
        <w:rPr>
          <w:sz w:val="24"/>
        </w:rPr>
      </w:pPr>
      <w:r>
        <w:rPr>
          <w:spacing w:val="-10"/>
          <w:sz w:val="24"/>
        </w:rPr>
        <w:t>,</w:t>
      </w:r>
    </w:p>
    <w:p>
      <w:pPr>
        <w:pStyle w:val="ListParagraph"/>
        <w:numPr>
          <w:ilvl w:val="1"/>
          <w:numId w:val="259"/>
        </w:numPr>
        <w:tabs>
          <w:tab w:pos="1953" w:val="left" w:leader="none"/>
          <w:tab w:pos="3453" w:val="left" w:leader="none"/>
          <w:tab w:pos="4704" w:val="left" w:leader="none"/>
          <w:tab w:pos="6184" w:val="left" w:leader="none"/>
          <w:tab w:pos="6987" w:val="left" w:leader="none"/>
          <w:tab w:pos="7612" w:val="left" w:leader="none"/>
          <w:tab w:pos="9083" w:val="left" w:leader="none"/>
        </w:tabs>
        <w:spacing w:line="281" w:lineRule="exact" w:before="0" w:after="0"/>
        <w:ind w:left="1953" w:right="0" w:hanging="467"/>
        <w:jc w:val="left"/>
        <w:rPr>
          <w:sz w:val="24"/>
        </w:rPr>
      </w:pPr>
      <w:r>
        <w:rPr>
          <w:spacing w:val="-2"/>
          <w:sz w:val="24"/>
        </w:rPr>
        <w:t>structural</w:t>
      </w:r>
      <w:r>
        <w:rPr>
          <w:sz w:val="24"/>
        </w:rPr>
        <w:tab/>
      </w:r>
      <w:r>
        <w:rPr>
          <w:spacing w:val="-2"/>
          <w:sz w:val="24"/>
        </w:rPr>
        <w:t>stability</w:t>
      </w:r>
      <w:r>
        <w:rPr>
          <w:sz w:val="24"/>
        </w:rPr>
        <w:tab/>
      </w:r>
      <w:r>
        <w:rPr>
          <w:spacing w:val="-2"/>
          <w:sz w:val="24"/>
        </w:rPr>
        <w:t>certificate</w:t>
      </w:r>
      <w:r>
        <w:rPr>
          <w:sz w:val="24"/>
        </w:rPr>
        <w:tab/>
      </w:r>
      <w:r>
        <w:rPr>
          <w:spacing w:val="-4"/>
          <w:sz w:val="24"/>
        </w:rPr>
        <w:t>from</w:t>
      </w:r>
      <w:r>
        <w:rPr>
          <w:sz w:val="24"/>
        </w:rPr>
        <w:tab/>
      </w:r>
      <w:r>
        <w:rPr>
          <w:spacing w:val="-5"/>
          <w:sz w:val="24"/>
        </w:rPr>
        <w:t>the</w:t>
      </w:r>
      <w:r>
        <w:rPr>
          <w:sz w:val="24"/>
        </w:rPr>
        <w:tab/>
      </w:r>
      <w:r>
        <w:rPr>
          <w:spacing w:val="-2"/>
          <w:sz w:val="24"/>
        </w:rPr>
        <w:t>registered</w:t>
      </w:r>
      <w:r>
        <w:rPr>
          <w:sz w:val="24"/>
        </w:rPr>
        <w:tab/>
      </w:r>
      <w:r>
        <w:rPr>
          <w:spacing w:val="-2"/>
          <w:sz w:val="24"/>
        </w:rPr>
        <w:t>Structural</w:t>
      </w:r>
    </w:p>
    <w:p>
      <w:pPr>
        <w:pStyle w:val="BodyText"/>
        <w:spacing w:line="281" w:lineRule="exact" w:before="1"/>
        <w:ind w:left="1313"/>
        <w:jc w:val="left"/>
      </w:pPr>
      <w:r>
        <w:rPr>
          <w:spacing w:val="-2"/>
        </w:rPr>
        <w:t>Engineer,</w:t>
      </w:r>
    </w:p>
    <w:p>
      <w:pPr>
        <w:pStyle w:val="ListParagraph"/>
        <w:numPr>
          <w:ilvl w:val="1"/>
          <w:numId w:val="259"/>
        </w:numPr>
        <w:tabs>
          <w:tab w:pos="1703" w:val="left" w:leader="none"/>
        </w:tabs>
        <w:spacing w:line="281" w:lineRule="exact" w:before="0" w:after="0"/>
        <w:ind w:left="1703" w:right="0" w:hanging="364"/>
        <w:jc w:val="left"/>
        <w:rPr>
          <w:sz w:val="24"/>
        </w:rPr>
      </w:pPr>
      <w:r>
        <w:rPr>
          <w:sz w:val="24"/>
        </w:rPr>
        <w:t>All other statutory </w:t>
      </w:r>
      <w:r>
        <w:rPr>
          <w:spacing w:val="-2"/>
          <w:sz w:val="24"/>
        </w:rPr>
        <w:t>permissions.</w:t>
      </w:r>
    </w:p>
    <w:p>
      <w:pPr>
        <w:pStyle w:val="BodyText"/>
        <w:spacing w:before="1"/>
        <w:jc w:val="left"/>
      </w:pPr>
    </w:p>
    <w:p>
      <w:pPr>
        <w:pStyle w:val="ListParagraph"/>
        <w:numPr>
          <w:ilvl w:val="1"/>
          <w:numId w:val="259"/>
        </w:numPr>
        <w:tabs>
          <w:tab w:pos="2029" w:val="left" w:leader="none"/>
        </w:tabs>
        <w:spacing w:line="240" w:lineRule="auto" w:before="0" w:after="0"/>
        <w:ind w:left="1313" w:right="786" w:firstLine="86"/>
        <w:jc w:val="both"/>
        <w:rPr>
          <w:sz w:val="24"/>
        </w:rPr>
      </w:pPr>
      <w:r>
        <w:rPr>
          <w:sz w:val="24"/>
        </w:rPr>
        <w:t>unrestricted</w:t>
      </w:r>
      <w:r>
        <w:rPr>
          <w:spacing w:val="80"/>
          <w:sz w:val="24"/>
        </w:rPr>
        <w:t> </w:t>
      </w:r>
      <w:r>
        <w:rPr>
          <w:sz w:val="24"/>
        </w:rPr>
        <w:t>access</w:t>
      </w:r>
      <w:r>
        <w:rPr>
          <w:spacing w:val="80"/>
          <w:sz w:val="24"/>
        </w:rPr>
        <w:t> </w:t>
      </w:r>
      <w:r>
        <w:rPr>
          <w:sz w:val="24"/>
        </w:rPr>
        <w:t>as</w:t>
      </w:r>
      <w:r>
        <w:rPr>
          <w:spacing w:val="80"/>
          <w:sz w:val="24"/>
        </w:rPr>
        <w:t> </w:t>
      </w:r>
      <w:r>
        <w:rPr>
          <w:sz w:val="24"/>
        </w:rPr>
        <w:t>required</w:t>
      </w:r>
      <w:r>
        <w:rPr>
          <w:spacing w:val="80"/>
          <w:sz w:val="24"/>
        </w:rPr>
        <w:t> </w:t>
      </w:r>
      <w:r>
        <w:rPr>
          <w:sz w:val="24"/>
        </w:rPr>
        <w:t>by</w:t>
      </w:r>
      <w:r>
        <w:rPr>
          <w:spacing w:val="80"/>
          <w:sz w:val="24"/>
        </w:rPr>
        <w:t> </w:t>
      </w:r>
      <w:r>
        <w:rPr>
          <w:sz w:val="24"/>
        </w:rPr>
        <w:t>MCGM/any</w:t>
      </w:r>
      <w:r>
        <w:rPr>
          <w:spacing w:val="80"/>
          <w:sz w:val="24"/>
        </w:rPr>
        <w:t> </w:t>
      </w:r>
      <w:r>
        <w:rPr>
          <w:sz w:val="24"/>
        </w:rPr>
        <w:t>Government agencies</w:t>
      </w:r>
      <w:r>
        <w:rPr>
          <w:spacing w:val="40"/>
          <w:sz w:val="24"/>
        </w:rPr>
        <w:t> </w:t>
      </w:r>
      <w:r>
        <w:rPr>
          <w:sz w:val="24"/>
        </w:rPr>
        <w:t>in</w:t>
      </w:r>
      <w:r>
        <w:rPr>
          <w:spacing w:val="40"/>
          <w:sz w:val="24"/>
        </w:rPr>
        <w:t> </w:t>
      </w:r>
      <w:r>
        <w:rPr>
          <w:sz w:val="24"/>
        </w:rPr>
        <w:t>case</w:t>
      </w:r>
      <w:r>
        <w:rPr>
          <w:spacing w:val="40"/>
          <w:sz w:val="24"/>
        </w:rPr>
        <w:t> </w:t>
      </w:r>
      <w:r>
        <w:rPr>
          <w:sz w:val="24"/>
        </w:rPr>
        <w:t>of</w:t>
      </w:r>
      <w:r>
        <w:rPr>
          <w:spacing w:val="40"/>
          <w:sz w:val="24"/>
        </w:rPr>
        <w:t> </w:t>
      </w:r>
      <w:r>
        <w:rPr>
          <w:sz w:val="24"/>
        </w:rPr>
        <w:t>emergency</w:t>
      </w:r>
      <w:r>
        <w:rPr>
          <w:spacing w:val="40"/>
          <w:sz w:val="24"/>
        </w:rPr>
        <w:t> </w:t>
      </w:r>
      <w:r>
        <w:rPr>
          <w:sz w:val="24"/>
        </w:rPr>
        <w:t>and</w:t>
      </w:r>
      <w:r>
        <w:rPr>
          <w:spacing w:val="40"/>
          <w:sz w:val="24"/>
        </w:rPr>
        <w:t> </w:t>
      </w:r>
      <w:r>
        <w:rPr>
          <w:sz w:val="24"/>
        </w:rPr>
        <w:t>submission</w:t>
      </w:r>
      <w:r>
        <w:rPr>
          <w:spacing w:val="40"/>
          <w:sz w:val="24"/>
        </w:rPr>
        <w:t> </w:t>
      </w:r>
      <w:r>
        <w:rPr>
          <w:sz w:val="24"/>
        </w:rPr>
        <w:t>of</w:t>
      </w:r>
      <w:r>
        <w:rPr>
          <w:spacing w:val="40"/>
          <w:sz w:val="24"/>
        </w:rPr>
        <w:t> </w:t>
      </w:r>
      <w:r>
        <w:rPr>
          <w:sz w:val="24"/>
        </w:rPr>
        <w:t>registered</w:t>
      </w:r>
      <w:r>
        <w:rPr>
          <w:spacing w:val="40"/>
          <w:sz w:val="24"/>
        </w:rPr>
        <w:t> </w:t>
      </w:r>
      <w:r>
        <w:rPr>
          <w:sz w:val="24"/>
        </w:rPr>
        <w:t>undertaking to that </w:t>
      </w:r>
      <w:r>
        <w:rPr>
          <w:spacing w:val="9"/>
          <w:sz w:val="24"/>
        </w:rPr>
        <w:t>effect.</w:t>
      </w:r>
    </w:p>
    <w:p>
      <w:pPr>
        <w:pStyle w:val="Heading3"/>
        <w:numPr>
          <w:ilvl w:val="0"/>
          <w:numId w:val="261"/>
        </w:numPr>
        <w:tabs>
          <w:tab w:pos="1491" w:val="left" w:leader="none"/>
        </w:tabs>
        <w:spacing w:line="240" w:lineRule="auto" w:before="236" w:after="0"/>
        <w:ind w:left="1491" w:right="0" w:hanging="719"/>
        <w:jc w:val="left"/>
      </w:pPr>
      <w:r>
        <w:rPr/>
        <w:t>Special</w:t>
      </w:r>
      <w:r>
        <w:rPr>
          <w:spacing w:val="-9"/>
        </w:rPr>
        <w:t> </w:t>
      </w:r>
      <w:r>
        <w:rPr/>
        <w:t>Design</w:t>
      </w:r>
      <w:r>
        <w:rPr>
          <w:spacing w:val="-8"/>
        </w:rPr>
        <w:t> </w:t>
      </w:r>
      <w:r>
        <w:rPr/>
        <w:t>Requirement</w:t>
      </w:r>
      <w:r>
        <w:rPr>
          <w:spacing w:val="-8"/>
        </w:rPr>
        <w:t> </w:t>
      </w:r>
      <w:r>
        <w:rPr>
          <w:spacing w:val="-5"/>
        </w:rPr>
        <w:t>For</w:t>
      </w:r>
    </w:p>
    <w:p>
      <w:pPr>
        <w:pStyle w:val="Heading6"/>
        <w:numPr>
          <w:ilvl w:val="1"/>
          <w:numId w:val="261"/>
        </w:numPr>
        <w:tabs>
          <w:tab w:pos="2211" w:val="left" w:leader="none"/>
        </w:tabs>
        <w:spacing w:line="240" w:lineRule="auto" w:before="282" w:after="0"/>
        <w:ind w:left="2211" w:right="0" w:hanging="898"/>
        <w:jc w:val="both"/>
      </w:pPr>
      <w:r>
        <w:rPr/>
        <w:t>Educational</w:t>
      </w:r>
      <w:r>
        <w:rPr>
          <w:spacing w:val="70"/>
          <w:w w:val="150"/>
        </w:rPr>
        <w:t> </w:t>
      </w:r>
      <w:r>
        <w:rPr>
          <w:spacing w:val="-2"/>
        </w:rPr>
        <w:t>Building:</w:t>
      </w:r>
    </w:p>
    <w:p>
      <w:pPr>
        <w:pStyle w:val="BodyText"/>
        <w:spacing w:before="3"/>
        <w:jc w:val="left"/>
        <w:rPr>
          <w:b/>
          <w:i/>
        </w:rPr>
      </w:pPr>
    </w:p>
    <w:p>
      <w:pPr>
        <w:pStyle w:val="ListParagraph"/>
        <w:numPr>
          <w:ilvl w:val="2"/>
          <w:numId w:val="261"/>
        </w:numPr>
        <w:tabs>
          <w:tab w:pos="1671" w:val="left" w:leader="none"/>
        </w:tabs>
        <w:spacing w:line="240" w:lineRule="auto" w:before="1" w:after="0"/>
        <w:ind w:left="1313" w:right="785" w:firstLine="0"/>
        <w:jc w:val="both"/>
        <w:rPr>
          <w:sz w:val="24"/>
        </w:rPr>
      </w:pPr>
      <w:r>
        <w:rPr>
          <w:sz w:val="24"/>
        </w:rPr>
        <w:t>In addition to the </w:t>
      </w:r>
      <w:r>
        <w:rPr>
          <w:spacing w:val="10"/>
          <w:sz w:val="24"/>
        </w:rPr>
        <w:t>class-</w:t>
      </w:r>
      <w:r>
        <w:rPr>
          <w:sz w:val="24"/>
        </w:rPr>
        <w:t>rooms and other areas, every educational</w:t>
      </w:r>
      <w:r>
        <w:rPr>
          <w:spacing w:val="40"/>
          <w:sz w:val="24"/>
        </w:rPr>
        <w:t> </w:t>
      </w:r>
      <w:r>
        <w:rPr>
          <w:sz w:val="24"/>
        </w:rPr>
        <w:t>building</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with-</w:t>
      </w:r>
    </w:p>
    <w:p>
      <w:pPr>
        <w:pStyle w:val="ListParagraph"/>
        <w:numPr>
          <w:ilvl w:val="3"/>
          <w:numId w:val="261"/>
        </w:numPr>
        <w:tabs>
          <w:tab w:pos="1701" w:val="left" w:leader="none"/>
        </w:tabs>
        <w:spacing w:line="240" w:lineRule="auto" w:before="281" w:after="0"/>
        <w:ind w:left="1313" w:right="800" w:firstLine="0"/>
        <w:jc w:val="left"/>
        <w:rPr>
          <w:sz w:val="24"/>
        </w:rPr>
      </w:pPr>
      <w:r>
        <w:rPr>
          <w:sz w:val="24"/>
        </w:rPr>
        <w:t>a</w:t>
      </w:r>
      <w:r>
        <w:rPr>
          <w:spacing w:val="36"/>
          <w:sz w:val="24"/>
        </w:rPr>
        <w:t> </w:t>
      </w:r>
      <w:r>
        <w:rPr>
          <w:sz w:val="24"/>
        </w:rPr>
        <w:t>tiffin</w:t>
      </w:r>
      <w:r>
        <w:rPr>
          <w:spacing w:val="38"/>
          <w:sz w:val="24"/>
        </w:rPr>
        <w:t> </w:t>
      </w:r>
      <w:r>
        <w:rPr>
          <w:sz w:val="24"/>
        </w:rPr>
        <w:t>room</w:t>
      </w:r>
      <w:r>
        <w:rPr>
          <w:spacing w:val="36"/>
          <w:sz w:val="24"/>
        </w:rPr>
        <w:t> </w:t>
      </w:r>
      <w:r>
        <w:rPr>
          <w:sz w:val="24"/>
        </w:rPr>
        <w:t>with</w:t>
      </w:r>
      <w:r>
        <w:rPr>
          <w:spacing w:val="36"/>
          <w:sz w:val="24"/>
        </w:rPr>
        <w:t> </w:t>
      </w:r>
      <w:r>
        <w:rPr>
          <w:sz w:val="24"/>
        </w:rPr>
        <w:t>a</w:t>
      </w:r>
      <w:r>
        <w:rPr>
          <w:spacing w:val="36"/>
          <w:sz w:val="24"/>
        </w:rPr>
        <w:t> </w:t>
      </w:r>
      <w:r>
        <w:rPr>
          <w:sz w:val="24"/>
        </w:rPr>
        <w:t>minimum</w:t>
      </w:r>
      <w:r>
        <w:rPr>
          <w:spacing w:val="38"/>
          <w:sz w:val="24"/>
        </w:rPr>
        <w:t> </w:t>
      </w:r>
      <w:r>
        <w:rPr>
          <w:sz w:val="24"/>
        </w:rPr>
        <w:t>area</w:t>
      </w:r>
      <w:r>
        <w:rPr>
          <w:spacing w:val="38"/>
          <w:sz w:val="24"/>
        </w:rPr>
        <w:t> </w:t>
      </w:r>
      <w:r>
        <w:rPr>
          <w:sz w:val="24"/>
        </w:rPr>
        <w:t>of</w:t>
      </w:r>
      <w:r>
        <w:rPr>
          <w:spacing w:val="36"/>
          <w:sz w:val="24"/>
        </w:rPr>
        <w:t> </w:t>
      </w:r>
      <w:r>
        <w:rPr>
          <w:sz w:val="24"/>
        </w:rPr>
        <w:t>18</w:t>
      </w:r>
      <w:r>
        <w:rPr>
          <w:spacing w:val="36"/>
          <w:sz w:val="24"/>
        </w:rPr>
        <w:t> </w:t>
      </w:r>
      <w:r>
        <w:rPr>
          <w:sz w:val="24"/>
        </w:rPr>
        <w:t>sq.</w:t>
      </w:r>
      <w:r>
        <w:rPr>
          <w:spacing w:val="36"/>
          <w:sz w:val="24"/>
        </w:rPr>
        <w:t> </w:t>
      </w:r>
      <w:r>
        <w:rPr>
          <w:sz w:val="24"/>
        </w:rPr>
        <w:t>m</w:t>
      </w:r>
      <w:r>
        <w:rPr>
          <w:spacing w:val="36"/>
          <w:sz w:val="24"/>
        </w:rPr>
        <w:t> </w:t>
      </w:r>
      <w:r>
        <w:rPr>
          <w:sz w:val="24"/>
        </w:rPr>
        <w:t>for</w:t>
      </w:r>
      <w:r>
        <w:rPr>
          <w:spacing w:val="36"/>
          <w:sz w:val="24"/>
        </w:rPr>
        <w:t> </w:t>
      </w:r>
      <w:r>
        <w:rPr>
          <w:sz w:val="24"/>
        </w:rPr>
        <w:t>every</w:t>
      </w:r>
      <w:r>
        <w:rPr>
          <w:spacing w:val="36"/>
          <w:sz w:val="24"/>
        </w:rPr>
        <w:t> </w:t>
      </w:r>
      <w:r>
        <w:rPr>
          <w:sz w:val="24"/>
        </w:rPr>
        <w:t>800</w:t>
      </w:r>
      <w:r>
        <w:rPr>
          <w:spacing w:val="36"/>
          <w:sz w:val="24"/>
        </w:rPr>
        <w:t> </w:t>
      </w:r>
      <w:r>
        <w:rPr>
          <w:sz w:val="24"/>
        </w:rPr>
        <w:t>students orpart thereof;</w:t>
      </w:r>
    </w:p>
    <w:p>
      <w:pPr>
        <w:pStyle w:val="ListParagraph"/>
        <w:numPr>
          <w:ilvl w:val="3"/>
          <w:numId w:val="261"/>
        </w:numPr>
        <w:tabs>
          <w:tab w:pos="1699" w:val="left" w:leader="none"/>
        </w:tabs>
        <w:spacing w:line="240" w:lineRule="auto" w:before="1" w:after="0"/>
        <w:ind w:left="1313" w:right="796" w:firstLine="0"/>
        <w:jc w:val="left"/>
        <w:rPr>
          <w:sz w:val="24"/>
        </w:rPr>
      </w:pPr>
      <w:r>
        <w:rPr>
          <w:sz w:val="24"/>
        </w:rPr>
        <w:t>a</w:t>
      </w:r>
      <w:r>
        <w:rPr>
          <w:spacing w:val="40"/>
          <w:sz w:val="24"/>
        </w:rPr>
        <w:t> </w:t>
      </w:r>
      <w:r>
        <w:rPr>
          <w:sz w:val="24"/>
        </w:rPr>
        <w:t>separate</w:t>
      </w:r>
      <w:r>
        <w:rPr>
          <w:spacing w:val="40"/>
          <w:sz w:val="24"/>
        </w:rPr>
        <w:t> </w:t>
      </w:r>
      <w:r>
        <w:rPr>
          <w:sz w:val="24"/>
        </w:rPr>
        <w:t>tiffin</w:t>
      </w:r>
      <w:r>
        <w:rPr>
          <w:spacing w:val="40"/>
          <w:sz w:val="24"/>
        </w:rPr>
        <w:t> </w:t>
      </w:r>
      <w:r>
        <w:rPr>
          <w:sz w:val="24"/>
        </w:rPr>
        <w:t>room</w:t>
      </w:r>
      <w:r>
        <w:rPr>
          <w:spacing w:val="40"/>
          <w:sz w:val="24"/>
        </w:rPr>
        <w:t> </w:t>
      </w:r>
      <w:r>
        <w:rPr>
          <w:sz w:val="24"/>
        </w:rPr>
        <w:t>for</w:t>
      </w:r>
      <w:r>
        <w:rPr>
          <w:spacing w:val="40"/>
          <w:sz w:val="24"/>
        </w:rPr>
        <w:t> </w:t>
      </w:r>
      <w:r>
        <w:rPr>
          <w:sz w:val="24"/>
        </w:rPr>
        <w:t>teachers</w:t>
      </w:r>
      <w:r>
        <w:rPr>
          <w:spacing w:val="40"/>
          <w:sz w:val="24"/>
        </w:rPr>
        <w:t> </w:t>
      </w:r>
      <w:r>
        <w:rPr>
          <w:sz w:val="24"/>
        </w:rPr>
        <w:t>where</w:t>
      </w:r>
      <w:r>
        <w:rPr>
          <w:spacing w:val="40"/>
          <w:sz w:val="24"/>
        </w:rPr>
        <w:t> </w:t>
      </w:r>
      <w:r>
        <w:rPr>
          <w:sz w:val="24"/>
        </w:rPr>
        <w:t>strength</w:t>
      </w:r>
      <w:r>
        <w:rPr>
          <w:spacing w:val="40"/>
          <w:sz w:val="24"/>
        </w:rPr>
        <w:t> </w:t>
      </w:r>
      <w:r>
        <w:rPr>
          <w:sz w:val="24"/>
        </w:rPr>
        <w:t>of</w:t>
      </w:r>
      <w:r>
        <w:rPr>
          <w:spacing w:val="40"/>
          <w:sz w:val="24"/>
        </w:rPr>
        <w:t> </w:t>
      </w:r>
      <w:r>
        <w:rPr>
          <w:sz w:val="24"/>
        </w:rPr>
        <w:t>students</w:t>
      </w:r>
      <w:r>
        <w:rPr>
          <w:spacing w:val="40"/>
          <w:sz w:val="24"/>
        </w:rPr>
        <w:t> </w:t>
      </w:r>
      <w:r>
        <w:rPr>
          <w:sz w:val="24"/>
        </w:rPr>
        <w:t>exceeds </w:t>
      </w:r>
      <w:r>
        <w:rPr>
          <w:spacing w:val="-2"/>
          <w:sz w:val="24"/>
        </w:rPr>
        <w:t>1000;</w:t>
      </w:r>
    </w:p>
    <w:p>
      <w:pPr>
        <w:pStyle w:val="ListParagraph"/>
        <w:numPr>
          <w:ilvl w:val="3"/>
          <w:numId w:val="261"/>
        </w:numPr>
        <w:tabs>
          <w:tab w:pos="1690" w:val="left" w:leader="none"/>
        </w:tabs>
        <w:spacing w:line="240" w:lineRule="auto" w:before="0" w:after="0"/>
        <w:ind w:left="1313" w:right="795" w:firstLine="0"/>
        <w:jc w:val="left"/>
        <w:rPr>
          <w:sz w:val="24"/>
        </w:rPr>
      </w:pPr>
      <w:r>
        <w:rPr>
          <w:sz w:val="24"/>
        </w:rPr>
        <w:t>a</w:t>
      </w:r>
      <w:r>
        <w:rPr>
          <w:spacing w:val="40"/>
          <w:sz w:val="24"/>
        </w:rPr>
        <w:t> </w:t>
      </w:r>
      <w:r>
        <w:rPr>
          <w:sz w:val="24"/>
        </w:rPr>
        <w:t>room/space</w:t>
      </w:r>
      <w:r>
        <w:rPr>
          <w:spacing w:val="40"/>
          <w:sz w:val="24"/>
        </w:rPr>
        <w:t> </w:t>
      </w:r>
      <w:r>
        <w:rPr>
          <w:sz w:val="24"/>
        </w:rPr>
        <w:t>with</w:t>
      </w:r>
      <w:r>
        <w:rPr>
          <w:spacing w:val="40"/>
          <w:sz w:val="24"/>
        </w:rPr>
        <w:t> </w:t>
      </w:r>
      <w:r>
        <w:rPr>
          <w:sz w:val="24"/>
        </w:rPr>
        <w:t>drinking</w:t>
      </w:r>
      <w:r>
        <w:rPr>
          <w:spacing w:val="40"/>
          <w:sz w:val="24"/>
        </w:rPr>
        <w:t> </w:t>
      </w:r>
      <w:r>
        <w:rPr>
          <w:sz w:val="24"/>
        </w:rPr>
        <w:t>water</w:t>
      </w:r>
      <w:r>
        <w:rPr>
          <w:spacing w:val="40"/>
          <w:sz w:val="24"/>
        </w:rPr>
        <w:t> </w:t>
      </w:r>
      <w:r>
        <w:rPr>
          <w:sz w:val="24"/>
        </w:rPr>
        <w:t>facilities</w:t>
      </w:r>
      <w:r>
        <w:rPr>
          <w:spacing w:val="40"/>
          <w:sz w:val="24"/>
        </w:rPr>
        <w:t> </w:t>
      </w:r>
      <w:r>
        <w:rPr>
          <w:sz w:val="24"/>
        </w:rPr>
        <w:t>for</w:t>
      </w:r>
      <w:r>
        <w:rPr>
          <w:spacing w:val="40"/>
          <w:sz w:val="24"/>
        </w:rPr>
        <w:t> </w:t>
      </w:r>
      <w:r>
        <w:rPr>
          <w:sz w:val="24"/>
        </w:rPr>
        <w:t>every</w:t>
      </w:r>
      <w:r>
        <w:rPr>
          <w:spacing w:val="40"/>
          <w:sz w:val="24"/>
        </w:rPr>
        <w:t> </w:t>
      </w:r>
      <w:r>
        <w:rPr>
          <w:sz w:val="24"/>
        </w:rPr>
        <w:t>300</w:t>
      </w:r>
      <w:r>
        <w:rPr>
          <w:spacing w:val="40"/>
          <w:sz w:val="24"/>
        </w:rPr>
        <w:t> </w:t>
      </w:r>
      <w:r>
        <w:rPr>
          <w:sz w:val="24"/>
        </w:rPr>
        <w:t>students</w:t>
      </w:r>
      <w:r>
        <w:rPr>
          <w:spacing w:val="40"/>
          <w:sz w:val="24"/>
        </w:rPr>
        <w:t> </w:t>
      </w:r>
      <w:r>
        <w:rPr>
          <w:sz w:val="24"/>
        </w:rPr>
        <w:t>or part</w:t>
      </w:r>
      <w:r>
        <w:rPr>
          <w:spacing w:val="40"/>
          <w:sz w:val="24"/>
        </w:rPr>
        <w:t> </w:t>
      </w:r>
      <w:r>
        <w:rPr>
          <w:sz w:val="24"/>
        </w:rPr>
        <w:t>thereof</w:t>
      </w:r>
      <w:r>
        <w:rPr>
          <w:spacing w:val="40"/>
          <w:sz w:val="24"/>
        </w:rPr>
        <w:t> </w:t>
      </w:r>
      <w:r>
        <w:rPr>
          <w:sz w:val="24"/>
        </w:rPr>
        <w:t>on</w:t>
      </w:r>
      <w:r>
        <w:rPr>
          <w:spacing w:val="40"/>
          <w:sz w:val="24"/>
        </w:rPr>
        <w:t> </w:t>
      </w:r>
      <w:r>
        <w:rPr>
          <w:sz w:val="24"/>
        </w:rPr>
        <w:t>each</w:t>
      </w:r>
      <w:r>
        <w:rPr>
          <w:spacing w:val="40"/>
          <w:sz w:val="24"/>
        </w:rPr>
        <w:t> </w:t>
      </w:r>
      <w:r>
        <w:rPr>
          <w:sz w:val="24"/>
        </w:rPr>
        <w:t>of</w:t>
      </w:r>
      <w:r>
        <w:rPr>
          <w:spacing w:val="40"/>
          <w:sz w:val="24"/>
        </w:rPr>
        <w:t> </w:t>
      </w:r>
      <w:r>
        <w:rPr>
          <w:sz w:val="24"/>
        </w:rPr>
        <w:t>the</w:t>
      </w:r>
      <w:r>
        <w:rPr>
          <w:spacing w:val="40"/>
          <w:sz w:val="24"/>
        </w:rPr>
        <w:t> </w:t>
      </w:r>
      <w:r>
        <w:rPr>
          <w:sz w:val="24"/>
        </w:rPr>
        <w:t>floors.</w:t>
      </w:r>
    </w:p>
    <w:p>
      <w:pPr>
        <w:pStyle w:val="BodyText"/>
        <w:jc w:val="left"/>
      </w:pPr>
    </w:p>
    <w:p>
      <w:pPr>
        <w:pStyle w:val="BodyText"/>
        <w:tabs>
          <w:tab w:pos="2288" w:val="left" w:leader="none"/>
          <w:tab w:pos="4215" w:val="left" w:leader="none"/>
          <w:tab w:pos="4984" w:val="left" w:leader="none"/>
          <w:tab w:pos="5523" w:val="left" w:leader="none"/>
          <w:tab w:pos="6909" w:val="left" w:leader="none"/>
          <w:tab w:pos="7453" w:val="left" w:leader="none"/>
          <w:tab w:pos="8102" w:val="left" w:leader="none"/>
          <w:tab w:pos="10149" w:val="left" w:leader="none"/>
        </w:tabs>
        <w:ind w:left="1313" w:right="795"/>
        <w:jc w:val="left"/>
      </w:pPr>
      <w:r>
        <w:rPr>
          <w:spacing w:val="-2"/>
        </w:rPr>
        <w:t>These</w:t>
      </w:r>
      <w:r>
        <w:rPr/>
        <w:tab/>
      </w:r>
      <w:r>
        <w:rPr>
          <w:spacing w:val="-2"/>
        </w:rPr>
        <w:t>requirements</w:t>
      </w:r>
      <w:r>
        <w:rPr/>
        <w:tab/>
      </w:r>
      <w:r>
        <w:rPr>
          <w:spacing w:val="-4"/>
        </w:rPr>
        <w:t>may</w:t>
      </w:r>
      <w:r>
        <w:rPr/>
        <w:tab/>
      </w:r>
      <w:r>
        <w:rPr>
          <w:spacing w:val="-6"/>
        </w:rPr>
        <w:t>be</w:t>
      </w:r>
      <w:r>
        <w:rPr/>
        <w:tab/>
      </w:r>
      <w:r>
        <w:rPr>
          <w:spacing w:val="-2"/>
        </w:rPr>
        <w:t>amended</w:t>
      </w:r>
      <w:r>
        <w:rPr/>
        <w:tab/>
      </w:r>
      <w:r>
        <w:rPr>
          <w:spacing w:val="-6"/>
        </w:rPr>
        <w:t>by</w:t>
      </w:r>
      <w:r>
        <w:rPr/>
        <w:tab/>
      </w:r>
      <w:r>
        <w:rPr>
          <w:spacing w:val="-4"/>
        </w:rPr>
        <w:t>the</w:t>
      </w:r>
      <w:r>
        <w:rPr/>
        <w:tab/>
      </w:r>
      <w:r>
        <w:rPr>
          <w:spacing w:val="-2"/>
        </w:rPr>
        <w:t>Commissioner</w:t>
      </w:r>
      <w:r>
        <w:rPr/>
        <w:tab/>
      </w:r>
      <w:r>
        <w:rPr>
          <w:spacing w:val="-6"/>
        </w:rPr>
        <w:t>in </w:t>
      </w:r>
      <w:r>
        <w:rPr/>
        <w:t>consultation</w:t>
      </w:r>
      <w:r>
        <w:rPr>
          <w:spacing w:val="80"/>
        </w:rPr>
        <w:t> </w:t>
      </w:r>
      <w:r>
        <w:rPr/>
        <w:t>with</w:t>
      </w:r>
      <w:r>
        <w:rPr>
          <w:spacing w:val="80"/>
        </w:rPr>
        <w:t> </w:t>
      </w:r>
      <w:r>
        <w:rPr/>
        <w:t>the</w:t>
      </w:r>
      <w:r>
        <w:rPr>
          <w:spacing w:val="80"/>
        </w:rPr>
        <w:t> </w:t>
      </w:r>
      <w:r>
        <w:rPr/>
        <w:t>Education</w:t>
      </w:r>
      <w:r>
        <w:rPr>
          <w:spacing w:val="80"/>
        </w:rPr>
        <w:t> </w:t>
      </w:r>
      <w:r>
        <w:rPr/>
        <w:t>Department</w:t>
      </w:r>
      <w:r>
        <w:rPr>
          <w:spacing w:val="80"/>
        </w:rPr>
        <w:t> </w:t>
      </w:r>
      <w:r>
        <w:rPr/>
        <w:t>of</w:t>
      </w:r>
      <w:r>
        <w:rPr>
          <w:spacing w:val="80"/>
        </w:rPr>
        <w:t> </w:t>
      </w:r>
      <w:r>
        <w:rPr/>
        <w:t>the</w:t>
      </w:r>
      <w:r>
        <w:rPr>
          <w:spacing w:val="80"/>
        </w:rPr>
        <w:t> </w:t>
      </w:r>
      <w:r>
        <w:rPr/>
        <w:t>State</w:t>
      </w:r>
      <w:r>
        <w:rPr>
          <w:spacing w:val="80"/>
        </w:rPr>
        <w:t> </w:t>
      </w:r>
      <w:r>
        <w:rPr>
          <w:spacing w:val="9"/>
        </w:rPr>
        <w:t>Government.</w:t>
      </w:r>
    </w:p>
    <w:p>
      <w:pPr>
        <w:pStyle w:val="BodyText"/>
        <w:jc w:val="left"/>
      </w:pPr>
    </w:p>
    <w:p>
      <w:pPr>
        <w:pStyle w:val="ListParagraph"/>
        <w:numPr>
          <w:ilvl w:val="2"/>
          <w:numId w:val="261"/>
        </w:numPr>
        <w:tabs>
          <w:tab w:pos="2213" w:val="left" w:leader="none"/>
        </w:tabs>
        <w:spacing w:line="240" w:lineRule="auto" w:before="0" w:after="0"/>
        <w:ind w:left="2213" w:right="0" w:hanging="900"/>
        <w:jc w:val="left"/>
        <w:rPr>
          <w:i/>
          <w:sz w:val="24"/>
        </w:rPr>
      </w:pPr>
      <w:r>
        <w:rPr>
          <w:i/>
          <w:sz w:val="24"/>
        </w:rPr>
        <w:t>Play</w:t>
      </w:r>
      <w:r>
        <w:rPr>
          <w:i/>
          <w:spacing w:val="44"/>
          <w:sz w:val="24"/>
        </w:rPr>
        <w:t> </w:t>
      </w:r>
      <w:r>
        <w:rPr>
          <w:i/>
          <w:spacing w:val="-2"/>
          <w:sz w:val="24"/>
        </w:rPr>
        <w:t>Ground-</w:t>
      </w:r>
    </w:p>
    <w:p>
      <w:pPr>
        <w:pStyle w:val="BodyText"/>
        <w:jc w:val="left"/>
        <w:rPr>
          <w:i/>
        </w:rPr>
      </w:pPr>
    </w:p>
    <w:p>
      <w:pPr>
        <w:pStyle w:val="ListParagraph"/>
        <w:numPr>
          <w:ilvl w:val="3"/>
          <w:numId w:val="261"/>
        </w:numPr>
        <w:tabs>
          <w:tab w:pos="2211" w:val="left" w:leader="none"/>
        </w:tabs>
        <w:spacing w:line="240" w:lineRule="auto" w:before="0" w:after="0"/>
        <w:ind w:left="1313" w:right="780" w:firstLine="0"/>
        <w:jc w:val="both"/>
        <w:rPr>
          <w:sz w:val="24"/>
        </w:rPr>
      </w:pPr>
      <w:r>
        <w:rPr>
          <w:sz w:val="24"/>
        </w:rPr>
        <w:t>In case of educational development by Educational Institution on their vacant land, at least 40% of the plot area at one place (inclusive of recreational area as required under Regulation No 27)shall be provided mandatorily for Play Ground. However as per these Regulations, for the educational</w:t>
      </w:r>
      <w:r>
        <w:rPr>
          <w:spacing w:val="80"/>
          <w:sz w:val="24"/>
        </w:rPr>
        <w:t> </w:t>
      </w:r>
      <w:r>
        <w:rPr>
          <w:sz w:val="24"/>
        </w:rPr>
        <w:t>purpose</w:t>
      </w:r>
      <w:r>
        <w:rPr>
          <w:spacing w:val="80"/>
          <w:sz w:val="24"/>
        </w:rPr>
        <w:t> </w:t>
      </w:r>
      <w:r>
        <w:rPr>
          <w:sz w:val="24"/>
        </w:rPr>
        <w:t>if</w:t>
      </w:r>
      <w:r>
        <w:rPr>
          <w:spacing w:val="80"/>
          <w:sz w:val="24"/>
        </w:rPr>
        <w:t> </w:t>
      </w:r>
      <w:r>
        <w:rPr>
          <w:sz w:val="24"/>
        </w:rPr>
        <w:t>additional</w:t>
      </w:r>
      <w:r>
        <w:rPr>
          <w:spacing w:val="80"/>
          <w:sz w:val="24"/>
        </w:rPr>
        <w:t> </w:t>
      </w:r>
      <w:r>
        <w:rPr>
          <w:sz w:val="24"/>
        </w:rPr>
        <w:t>FSI</w:t>
      </w:r>
      <w:r>
        <w:rPr>
          <w:spacing w:val="80"/>
          <w:sz w:val="24"/>
        </w:rPr>
        <w:t> </w:t>
      </w:r>
      <w:r>
        <w:rPr>
          <w:sz w:val="24"/>
        </w:rPr>
        <w:t>is</w:t>
      </w:r>
      <w:r>
        <w:rPr>
          <w:spacing w:val="80"/>
          <w:sz w:val="24"/>
        </w:rPr>
        <w:t> </w:t>
      </w:r>
      <w:r>
        <w:rPr>
          <w:sz w:val="24"/>
        </w:rPr>
        <w:t>due,</w:t>
      </w:r>
      <w:r>
        <w:rPr>
          <w:spacing w:val="80"/>
          <w:sz w:val="24"/>
        </w:rPr>
        <w:t> </w:t>
      </w:r>
      <w:r>
        <w:rPr>
          <w:sz w:val="24"/>
        </w:rPr>
        <w:t>then</w:t>
      </w:r>
      <w:r>
        <w:rPr>
          <w:spacing w:val="80"/>
          <w:sz w:val="24"/>
        </w:rPr>
        <w:t> </w:t>
      </w:r>
      <w:r>
        <w:rPr>
          <w:sz w:val="24"/>
        </w:rPr>
        <w:t>while</w:t>
      </w:r>
      <w:r>
        <w:rPr>
          <w:spacing w:val="80"/>
          <w:sz w:val="24"/>
        </w:rPr>
        <w:t> </w:t>
      </w:r>
      <w:r>
        <w:rPr>
          <w:sz w:val="24"/>
        </w:rPr>
        <w:t>allowing</w:t>
      </w:r>
      <w:r>
        <w:rPr>
          <w:spacing w:val="80"/>
          <w:sz w:val="24"/>
        </w:rPr>
        <w:t> </w:t>
      </w:r>
      <w:r>
        <w:rPr>
          <w:sz w:val="24"/>
        </w:rPr>
        <w:t>said due</w:t>
      </w:r>
      <w:r>
        <w:rPr>
          <w:spacing w:val="40"/>
          <w:sz w:val="24"/>
        </w:rPr>
        <w:t> </w:t>
      </w:r>
      <w:r>
        <w:rPr>
          <w:sz w:val="24"/>
        </w:rPr>
        <w:t>FSI,</w:t>
      </w:r>
      <w:r>
        <w:rPr>
          <w:spacing w:val="40"/>
          <w:sz w:val="24"/>
        </w:rPr>
        <w:t> </w:t>
      </w:r>
      <w:r>
        <w:rPr>
          <w:sz w:val="24"/>
        </w:rPr>
        <w:t>it</w:t>
      </w:r>
      <w:r>
        <w:rPr>
          <w:spacing w:val="40"/>
          <w:sz w:val="24"/>
        </w:rPr>
        <w:t> </w:t>
      </w:r>
      <w:r>
        <w:rPr>
          <w:sz w:val="24"/>
        </w:rPr>
        <w:t>is</w:t>
      </w:r>
      <w:r>
        <w:rPr>
          <w:spacing w:val="40"/>
          <w:sz w:val="24"/>
        </w:rPr>
        <w:t> </w:t>
      </w:r>
      <w:r>
        <w:rPr>
          <w:sz w:val="24"/>
        </w:rPr>
        <w:t>not</w:t>
      </w:r>
      <w:r>
        <w:rPr>
          <w:spacing w:val="40"/>
          <w:sz w:val="24"/>
        </w:rPr>
        <w:t> </w:t>
      </w:r>
      <w:r>
        <w:rPr>
          <w:sz w:val="24"/>
        </w:rPr>
        <w:t>necessary</w:t>
      </w:r>
      <w:r>
        <w:rPr>
          <w:spacing w:val="40"/>
          <w:sz w:val="24"/>
        </w:rPr>
        <w:t> </w:t>
      </w:r>
      <w:r>
        <w:rPr>
          <w:sz w:val="24"/>
        </w:rPr>
        <w:t>to</w:t>
      </w:r>
      <w:r>
        <w:rPr>
          <w:spacing w:val="40"/>
          <w:sz w:val="24"/>
        </w:rPr>
        <w:t> </w:t>
      </w:r>
      <w:r>
        <w:rPr>
          <w:sz w:val="24"/>
        </w:rPr>
        <w:t>increase</w:t>
      </w:r>
      <w:r>
        <w:rPr>
          <w:spacing w:val="40"/>
          <w:sz w:val="24"/>
        </w:rPr>
        <w:t> </w:t>
      </w:r>
      <w:r>
        <w:rPr>
          <w:sz w:val="24"/>
        </w:rPr>
        <w:t>the</w:t>
      </w:r>
      <w:r>
        <w:rPr>
          <w:spacing w:val="40"/>
          <w:sz w:val="24"/>
        </w:rPr>
        <w:t> </w:t>
      </w:r>
      <w:r>
        <w:rPr>
          <w:sz w:val="24"/>
        </w:rPr>
        <w:t>area</w:t>
      </w:r>
      <w:r>
        <w:rPr>
          <w:spacing w:val="40"/>
          <w:sz w:val="24"/>
        </w:rPr>
        <w:t> </w:t>
      </w:r>
      <w:r>
        <w:rPr>
          <w:sz w:val="24"/>
        </w:rPr>
        <w:t>of</w:t>
      </w:r>
      <w:r>
        <w:rPr>
          <w:spacing w:val="40"/>
          <w:sz w:val="24"/>
        </w:rPr>
        <w:t> </w:t>
      </w:r>
      <w:r>
        <w:rPr>
          <w:sz w:val="24"/>
        </w:rPr>
        <w:t>Play</w:t>
      </w:r>
      <w:r>
        <w:rPr>
          <w:spacing w:val="40"/>
          <w:sz w:val="24"/>
        </w:rPr>
        <w:t> </w:t>
      </w:r>
      <w:r>
        <w:rPr>
          <w:spacing w:val="10"/>
          <w:sz w:val="24"/>
        </w:rPr>
        <w:t>Ground.</w:t>
      </w:r>
    </w:p>
    <w:p>
      <w:pPr>
        <w:pStyle w:val="ListParagraph"/>
        <w:spacing w:after="0" w:line="240" w:lineRule="auto"/>
        <w:jc w:val="both"/>
        <w:rPr>
          <w:sz w:val="24"/>
        </w:rPr>
        <w:sectPr>
          <w:pgSz w:w="11910" w:h="16840"/>
          <w:pgMar w:header="1058" w:footer="1201" w:top="1500" w:bottom="1400" w:left="360" w:right="360"/>
        </w:sectPr>
      </w:pPr>
    </w:p>
    <w:p>
      <w:pPr>
        <w:pStyle w:val="ListParagraph"/>
        <w:numPr>
          <w:ilvl w:val="3"/>
          <w:numId w:val="261"/>
        </w:numPr>
        <w:tabs>
          <w:tab w:pos="1762" w:val="left" w:leader="none"/>
        </w:tabs>
        <w:spacing w:line="240" w:lineRule="auto" w:before="255" w:after="0"/>
        <w:ind w:left="1313" w:right="776" w:firstLine="0"/>
        <w:jc w:val="both"/>
        <w:rPr>
          <w:sz w:val="24"/>
        </w:rPr>
      </w:pPr>
      <w:r>
        <w:rPr>
          <w:sz w:val="24"/>
        </w:rPr>
        <w:t>In</w:t>
      </w:r>
      <w:r>
        <w:rPr>
          <w:spacing w:val="80"/>
          <w:sz w:val="24"/>
        </w:rPr>
        <w:t> </w:t>
      </w:r>
      <w:r>
        <w:rPr>
          <w:sz w:val="24"/>
        </w:rPr>
        <w:t>case</w:t>
      </w:r>
      <w:r>
        <w:rPr>
          <w:spacing w:val="80"/>
          <w:sz w:val="24"/>
        </w:rPr>
        <w:t> </w:t>
      </w:r>
      <w:r>
        <w:rPr>
          <w:sz w:val="24"/>
        </w:rPr>
        <w:t>of</w:t>
      </w:r>
      <w:r>
        <w:rPr>
          <w:spacing w:val="80"/>
          <w:sz w:val="24"/>
        </w:rPr>
        <w:t> </w:t>
      </w:r>
      <w:r>
        <w:rPr>
          <w:sz w:val="24"/>
        </w:rPr>
        <w:t>educational</w:t>
      </w:r>
      <w:r>
        <w:rPr>
          <w:spacing w:val="80"/>
          <w:sz w:val="24"/>
        </w:rPr>
        <w:t> </w:t>
      </w:r>
      <w:r>
        <w:rPr>
          <w:sz w:val="24"/>
        </w:rPr>
        <w:t>development</w:t>
      </w:r>
      <w:r>
        <w:rPr>
          <w:spacing w:val="80"/>
          <w:sz w:val="24"/>
        </w:rPr>
        <w:t> </w:t>
      </w:r>
      <w:r>
        <w:rPr>
          <w:sz w:val="24"/>
        </w:rPr>
        <w:t>by</w:t>
      </w:r>
      <w:r>
        <w:rPr>
          <w:spacing w:val="80"/>
          <w:sz w:val="24"/>
        </w:rPr>
        <w:t> </w:t>
      </w:r>
      <w:r>
        <w:rPr>
          <w:sz w:val="24"/>
        </w:rPr>
        <w:t>Educational</w:t>
      </w:r>
      <w:r>
        <w:rPr>
          <w:spacing w:val="80"/>
          <w:sz w:val="24"/>
        </w:rPr>
        <w:t> </w:t>
      </w:r>
      <w:r>
        <w:rPr>
          <w:sz w:val="24"/>
        </w:rPr>
        <w:t>Institution</w:t>
      </w:r>
      <w:r>
        <w:rPr>
          <w:spacing w:val="80"/>
          <w:sz w:val="24"/>
        </w:rPr>
        <w:t> </w:t>
      </w:r>
      <w:r>
        <w:rPr>
          <w:sz w:val="24"/>
        </w:rPr>
        <w:t>on their</w:t>
      </w:r>
      <w:r>
        <w:rPr>
          <w:spacing w:val="40"/>
          <w:sz w:val="24"/>
        </w:rPr>
        <w:t> </w:t>
      </w:r>
      <w:r>
        <w:rPr>
          <w:sz w:val="24"/>
        </w:rPr>
        <w:t>land,</w:t>
      </w:r>
      <w:r>
        <w:rPr>
          <w:spacing w:val="40"/>
          <w:sz w:val="24"/>
        </w:rPr>
        <w:t> </w:t>
      </w:r>
      <w:r>
        <w:rPr>
          <w:sz w:val="24"/>
        </w:rPr>
        <w:t>if</w:t>
      </w:r>
      <w:r>
        <w:rPr>
          <w:spacing w:val="40"/>
          <w:sz w:val="24"/>
        </w:rPr>
        <w:t> </w:t>
      </w:r>
      <w:r>
        <w:rPr>
          <w:sz w:val="24"/>
        </w:rPr>
        <w:t>additional</w:t>
      </w:r>
      <w:r>
        <w:rPr>
          <w:spacing w:val="40"/>
          <w:sz w:val="24"/>
        </w:rPr>
        <w:t> </w:t>
      </w:r>
      <w:r>
        <w:rPr>
          <w:sz w:val="24"/>
        </w:rPr>
        <w:t>FSI</w:t>
      </w:r>
      <w:r>
        <w:rPr>
          <w:spacing w:val="40"/>
          <w:sz w:val="24"/>
        </w:rPr>
        <w:t> </w:t>
      </w:r>
      <w:r>
        <w:rPr>
          <w:sz w:val="24"/>
        </w:rPr>
        <w:t>is</w:t>
      </w:r>
      <w:r>
        <w:rPr>
          <w:spacing w:val="40"/>
          <w:sz w:val="24"/>
        </w:rPr>
        <w:t> </w:t>
      </w:r>
      <w:r>
        <w:rPr>
          <w:sz w:val="24"/>
        </w:rPr>
        <w:t>dueand</w:t>
      </w:r>
      <w:r>
        <w:rPr>
          <w:spacing w:val="40"/>
          <w:sz w:val="24"/>
        </w:rPr>
        <w:t> </w:t>
      </w:r>
      <w:r>
        <w:rPr>
          <w:sz w:val="24"/>
        </w:rPr>
        <w:t>if</w:t>
      </w:r>
      <w:r>
        <w:rPr>
          <w:spacing w:val="40"/>
          <w:sz w:val="24"/>
        </w:rPr>
        <w:t> </w:t>
      </w:r>
      <w:r>
        <w:rPr>
          <w:sz w:val="24"/>
        </w:rPr>
        <w:t>the</w:t>
      </w:r>
      <w:r>
        <w:rPr>
          <w:spacing w:val="40"/>
          <w:sz w:val="24"/>
        </w:rPr>
        <w:t> </w:t>
      </w:r>
      <w:r>
        <w:rPr>
          <w:sz w:val="24"/>
        </w:rPr>
        <w:t>existing</w:t>
      </w:r>
      <w:r>
        <w:rPr>
          <w:spacing w:val="40"/>
          <w:sz w:val="24"/>
        </w:rPr>
        <w:t> </w:t>
      </w:r>
      <w:r>
        <w:rPr>
          <w:sz w:val="24"/>
        </w:rPr>
        <w:t>open</w:t>
      </w:r>
      <w:r>
        <w:rPr>
          <w:spacing w:val="40"/>
          <w:sz w:val="24"/>
        </w:rPr>
        <w:t> </w:t>
      </w:r>
      <w:r>
        <w:rPr>
          <w:sz w:val="24"/>
        </w:rPr>
        <w:t>area</w:t>
      </w:r>
      <w:r>
        <w:rPr>
          <w:spacing w:val="40"/>
          <w:sz w:val="24"/>
        </w:rPr>
        <w:t> </w:t>
      </w:r>
      <w:r>
        <w:rPr>
          <w:sz w:val="24"/>
        </w:rPr>
        <w:t>is</w:t>
      </w:r>
      <w:r>
        <w:rPr>
          <w:spacing w:val="40"/>
          <w:sz w:val="24"/>
        </w:rPr>
        <w:t> </w:t>
      </w:r>
      <w:r>
        <w:rPr>
          <w:sz w:val="24"/>
        </w:rPr>
        <w:t>less than 40%of the plot area, additional FSI can be sanctioned as per these regulations</w:t>
      </w:r>
      <w:r>
        <w:rPr>
          <w:spacing w:val="40"/>
          <w:sz w:val="24"/>
        </w:rPr>
        <w:t> </w:t>
      </w:r>
      <w:r>
        <w:rPr>
          <w:sz w:val="24"/>
        </w:rPr>
        <w:t>without</w:t>
      </w:r>
      <w:r>
        <w:rPr>
          <w:spacing w:val="40"/>
          <w:sz w:val="24"/>
        </w:rPr>
        <w:t> </w:t>
      </w:r>
      <w:r>
        <w:rPr>
          <w:sz w:val="24"/>
        </w:rPr>
        <w:t>reducing</w:t>
      </w:r>
      <w:r>
        <w:rPr>
          <w:spacing w:val="40"/>
          <w:sz w:val="24"/>
        </w:rPr>
        <w:t> </w:t>
      </w:r>
      <w:r>
        <w:rPr>
          <w:sz w:val="24"/>
        </w:rPr>
        <w:t>the</w:t>
      </w:r>
      <w:r>
        <w:rPr>
          <w:spacing w:val="40"/>
          <w:sz w:val="24"/>
        </w:rPr>
        <w:t> </w:t>
      </w:r>
      <w:r>
        <w:rPr>
          <w:sz w:val="24"/>
        </w:rPr>
        <w:t>open</w:t>
      </w:r>
      <w:r>
        <w:rPr>
          <w:spacing w:val="40"/>
          <w:sz w:val="24"/>
        </w:rPr>
        <w:t> </w:t>
      </w:r>
      <w:r>
        <w:rPr>
          <w:sz w:val="24"/>
        </w:rPr>
        <w:t>area</w:t>
      </w:r>
      <w:r>
        <w:rPr>
          <w:spacing w:val="40"/>
          <w:sz w:val="24"/>
        </w:rPr>
        <w:t> </w:t>
      </w:r>
      <w:r>
        <w:rPr>
          <w:sz w:val="24"/>
        </w:rPr>
        <w:t>further</w:t>
      </w:r>
      <w:r>
        <w:rPr>
          <w:spacing w:val="40"/>
          <w:sz w:val="24"/>
        </w:rPr>
        <w:t> </w:t>
      </w:r>
      <w:r>
        <w:rPr>
          <w:sz w:val="24"/>
        </w:rPr>
        <w:t>and</w:t>
      </w:r>
      <w:r>
        <w:rPr>
          <w:spacing w:val="40"/>
          <w:sz w:val="24"/>
        </w:rPr>
        <w:t> </w:t>
      </w:r>
      <w:r>
        <w:rPr>
          <w:spacing w:val="9"/>
          <w:sz w:val="24"/>
        </w:rPr>
        <w:t>without </w:t>
      </w:r>
      <w:r>
        <w:rPr>
          <w:sz w:val="24"/>
        </w:rPr>
        <w:t>increasing</w:t>
      </w:r>
      <w:r>
        <w:rPr>
          <w:spacing w:val="80"/>
          <w:sz w:val="24"/>
        </w:rPr>
        <w:t> </w:t>
      </w:r>
      <w:r>
        <w:rPr>
          <w:sz w:val="24"/>
        </w:rPr>
        <w:t>the</w:t>
      </w:r>
      <w:r>
        <w:rPr>
          <w:spacing w:val="80"/>
          <w:sz w:val="24"/>
        </w:rPr>
        <w:t> </w:t>
      </w:r>
      <w:r>
        <w:rPr>
          <w:sz w:val="24"/>
        </w:rPr>
        <w:t>plinth</w:t>
      </w:r>
      <w:r>
        <w:rPr>
          <w:spacing w:val="80"/>
          <w:sz w:val="24"/>
        </w:rPr>
        <w:t> </w:t>
      </w:r>
      <w:r>
        <w:rPr>
          <w:sz w:val="24"/>
        </w:rPr>
        <w:t>coverage</w:t>
      </w:r>
      <w:r>
        <w:rPr>
          <w:spacing w:val="80"/>
          <w:sz w:val="24"/>
        </w:rPr>
        <w:t> </w:t>
      </w:r>
      <w:r>
        <w:rPr>
          <w:sz w:val="24"/>
        </w:rPr>
        <w:t>area,</w:t>
      </w:r>
      <w:r>
        <w:rPr>
          <w:spacing w:val="80"/>
          <w:sz w:val="24"/>
        </w:rPr>
        <w:t> </w:t>
      </w:r>
      <w:r>
        <w:rPr>
          <w:sz w:val="24"/>
        </w:rPr>
        <w:t>by</w:t>
      </w:r>
      <w:r>
        <w:rPr>
          <w:spacing w:val="80"/>
          <w:sz w:val="24"/>
        </w:rPr>
        <w:t> </w:t>
      </w:r>
      <w:r>
        <w:rPr>
          <w:sz w:val="24"/>
        </w:rPr>
        <w:t>ensuring</w:t>
      </w:r>
      <w:r>
        <w:rPr>
          <w:spacing w:val="80"/>
          <w:sz w:val="24"/>
        </w:rPr>
        <w:t> </w:t>
      </w:r>
      <w:r>
        <w:rPr>
          <w:sz w:val="24"/>
        </w:rPr>
        <w:t>structural</w:t>
      </w:r>
      <w:r>
        <w:rPr>
          <w:spacing w:val="80"/>
          <w:sz w:val="24"/>
        </w:rPr>
        <w:t> </w:t>
      </w:r>
      <w:r>
        <w:rPr>
          <w:sz w:val="24"/>
        </w:rPr>
        <w:t>stability</w:t>
      </w:r>
      <w:r>
        <w:rPr>
          <w:spacing w:val="80"/>
          <w:sz w:val="24"/>
        </w:rPr>
        <w:t> </w:t>
      </w:r>
      <w:r>
        <w:rPr>
          <w:sz w:val="24"/>
        </w:rPr>
        <w:t>of the</w:t>
      </w:r>
      <w:r>
        <w:rPr>
          <w:spacing w:val="40"/>
          <w:sz w:val="24"/>
        </w:rPr>
        <w:t> </w:t>
      </w:r>
      <w:r>
        <w:rPr>
          <w:sz w:val="24"/>
        </w:rPr>
        <w:t>existing</w:t>
      </w:r>
      <w:r>
        <w:rPr>
          <w:spacing w:val="40"/>
          <w:sz w:val="24"/>
        </w:rPr>
        <w:t> </w:t>
      </w:r>
      <w:r>
        <w:rPr>
          <w:sz w:val="24"/>
        </w:rPr>
        <w:t>building.</w:t>
      </w:r>
      <w:r>
        <w:rPr>
          <w:spacing w:val="40"/>
          <w:sz w:val="24"/>
        </w:rPr>
        <w:t> </w:t>
      </w:r>
      <w:r>
        <w:rPr>
          <w:sz w:val="24"/>
        </w:rPr>
        <w:t>Further</w:t>
      </w:r>
      <w:r>
        <w:rPr>
          <w:spacing w:val="40"/>
          <w:sz w:val="24"/>
        </w:rPr>
        <w:t> </w:t>
      </w:r>
      <w:r>
        <w:rPr>
          <w:sz w:val="24"/>
        </w:rPr>
        <w:t>where</w:t>
      </w:r>
      <w:r>
        <w:rPr>
          <w:spacing w:val="80"/>
          <w:sz w:val="24"/>
        </w:rPr>
        <w:t> </w:t>
      </w:r>
      <w:r>
        <w:rPr>
          <w:sz w:val="24"/>
        </w:rPr>
        <w:t>existing</w:t>
      </w:r>
      <w:r>
        <w:rPr>
          <w:spacing w:val="40"/>
          <w:sz w:val="24"/>
        </w:rPr>
        <w:t> </w:t>
      </w:r>
      <w:r>
        <w:rPr>
          <w:sz w:val="24"/>
        </w:rPr>
        <w:t>open</w:t>
      </w:r>
      <w:r>
        <w:rPr>
          <w:spacing w:val="80"/>
          <w:sz w:val="24"/>
        </w:rPr>
        <w:t> </w:t>
      </w:r>
      <w:r>
        <w:rPr>
          <w:sz w:val="24"/>
        </w:rPr>
        <w:t>area</w:t>
      </w:r>
      <w:r>
        <w:rPr>
          <w:spacing w:val="40"/>
          <w:sz w:val="24"/>
        </w:rPr>
        <w:t> </w:t>
      </w:r>
      <w:r>
        <w:rPr>
          <w:sz w:val="24"/>
        </w:rPr>
        <w:t>is</w:t>
      </w:r>
      <w:r>
        <w:rPr>
          <w:spacing w:val="40"/>
          <w:sz w:val="24"/>
        </w:rPr>
        <w:t> </w:t>
      </w:r>
      <w:r>
        <w:rPr>
          <w:sz w:val="24"/>
        </w:rPr>
        <w:t>more</w:t>
      </w:r>
      <w:r>
        <w:rPr>
          <w:spacing w:val="40"/>
          <w:sz w:val="24"/>
        </w:rPr>
        <w:t> </w:t>
      </w:r>
      <w:r>
        <w:rPr>
          <w:sz w:val="24"/>
        </w:rPr>
        <w:t>than 40%, then minimum 40% of plot area shall be maintained as open area (inclusive of recreational area as required under Regulation No 27) while allowing</w:t>
      </w:r>
      <w:r>
        <w:rPr>
          <w:spacing w:val="40"/>
          <w:sz w:val="24"/>
        </w:rPr>
        <w:t> </w:t>
      </w:r>
      <w:r>
        <w:rPr>
          <w:sz w:val="24"/>
        </w:rPr>
        <w:t>additional</w:t>
      </w:r>
      <w:r>
        <w:rPr>
          <w:spacing w:val="40"/>
          <w:sz w:val="24"/>
        </w:rPr>
        <w:t> </w:t>
      </w:r>
      <w:r>
        <w:rPr>
          <w:sz w:val="24"/>
        </w:rPr>
        <w:t>FSI</w:t>
      </w:r>
      <w:r>
        <w:rPr>
          <w:spacing w:val="40"/>
          <w:sz w:val="24"/>
        </w:rPr>
        <w:t> </w:t>
      </w:r>
      <w:r>
        <w:rPr>
          <w:sz w:val="24"/>
        </w:rPr>
        <w:t>as</w:t>
      </w:r>
      <w:r>
        <w:rPr>
          <w:spacing w:val="40"/>
          <w:sz w:val="24"/>
        </w:rPr>
        <w:t> </w:t>
      </w:r>
      <w:r>
        <w:rPr>
          <w:sz w:val="24"/>
        </w:rPr>
        <w:t>per</w:t>
      </w:r>
      <w:r>
        <w:rPr>
          <w:spacing w:val="40"/>
          <w:sz w:val="24"/>
        </w:rPr>
        <w:t> </w:t>
      </w:r>
      <w:r>
        <w:rPr>
          <w:sz w:val="24"/>
        </w:rPr>
        <w:t>these</w:t>
      </w:r>
      <w:r>
        <w:rPr>
          <w:spacing w:val="40"/>
          <w:sz w:val="24"/>
        </w:rPr>
        <w:t> </w:t>
      </w:r>
      <w:r>
        <w:rPr>
          <w:spacing w:val="9"/>
          <w:sz w:val="24"/>
        </w:rPr>
        <w:t>Regulations.</w:t>
      </w:r>
    </w:p>
    <w:p>
      <w:pPr>
        <w:pStyle w:val="BodyText"/>
        <w:spacing w:line="281" w:lineRule="exact" w:before="121"/>
        <w:ind w:left="1313"/>
      </w:pPr>
      <w:r>
        <w:rPr/>
        <w:t>Note-</w:t>
      </w:r>
      <w:r>
        <w:rPr>
          <w:spacing w:val="21"/>
        </w:rPr>
        <w:t> </w:t>
      </w:r>
      <w:r>
        <w:rPr/>
        <w:t>1)</w:t>
      </w:r>
      <w:r>
        <w:rPr>
          <w:spacing w:val="47"/>
        </w:rPr>
        <w:t> </w:t>
      </w:r>
      <w:r>
        <w:rPr/>
        <w:t>The</w:t>
      </w:r>
      <w:r>
        <w:rPr>
          <w:spacing w:val="44"/>
        </w:rPr>
        <w:t> </w:t>
      </w:r>
      <w:r>
        <w:rPr/>
        <w:t>permissible</w:t>
      </w:r>
      <w:r>
        <w:rPr>
          <w:spacing w:val="45"/>
        </w:rPr>
        <w:t> </w:t>
      </w:r>
      <w:r>
        <w:rPr/>
        <w:t>FSI</w:t>
      </w:r>
      <w:r>
        <w:rPr>
          <w:spacing w:val="47"/>
        </w:rPr>
        <w:t> </w:t>
      </w:r>
      <w:r>
        <w:rPr/>
        <w:t>shall</w:t>
      </w:r>
      <w:r>
        <w:rPr>
          <w:spacing w:val="44"/>
        </w:rPr>
        <w:t> </w:t>
      </w:r>
      <w:r>
        <w:rPr/>
        <w:t>be</w:t>
      </w:r>
      <w:r>
        <w:rPr>
          <w:spacing w:val="44"/>
        </w:rPr>
        <w:t> </w:t>
      </w:r>
      <w:r>
        <w:rPr/>
        <w:t>on</w:t>
      </w:r>
      <w:r>
        <w:rPr>
          <w:spacing w:val="44"/>
        </w:rPr>
        <w:t> </w:t>
      </w:r>
      <w:r>
        <w:rPr/>
        <w:t>the</w:t>
      </w:r>
      <w:r>
        <w:rPr>
          <w:spacing w:val="44"/>
        </w:rPr>
        <w:t> </w:t>
      </w:r>
      <w:r>
        <w:rPr/>
        <w:t>entire</w:t>
      </w:r>
      <w:r>
        <w:rPr>
          <w:spacing w:val="45"/>
        </w:rPr>
        <w:t> </w:t>
      </w:r>
      <w:r>
        <w:rPr>
          <w:spacing w:val="-2"/>
        </w:rPr>
        <w:t>plot.</w:t>
      </w:r>
    </w:p>
    <w:p>
      <w:pPr>
        <w:pStyle w:val="BodyText"/>
        <w:ind w:left="1313" w:right="771"/>
      </w:pPr>
      <w:r>
        <w:rPr/>
        <w:t>2) If existing Municipal Play </w:t>
      </w:r>
      <w:r>
        <w:rPr>
          <w:spacing w:val="9"/>
        </w:rPr>
        <w:t>Ground/POS</w:t>
      </w:r>
      <w:r>
        <w:rPr>
          <w:spacing w:val="9"/>
        </w:rPr>
        <w:t> </w:t>
      </w:r>
      <w:r>
        <w:rPr/>
        <w:t>is abutting to the plot of Educational</w:t>
      </w:r>
      <w:r>
        <w:rPr>
          <w:spacing w:val="40"/>
        </w:rPr>
        <w:t> </w:t>
      </w:r>
      <w:r>
        <w:rPr/>
        <w:t>Institute</w:t>
      </w:r>
      <w:r>
        <w:rPr>
          <w:spacing w:val="40"/>
        </w:rPr>
        <w:t> </w:t>
      </w:r>
      <w:r>
        <w:rPr/>
        <w:t>or</w:t>
      </w:r>
      <w:r>
        <w:rPr>
          <w:spacing w:val="40"/>
        </w:rPr>
        <w:t> </w:t>
      </w:r>
      <w:r>
        <w:rPr/>
        <w:t>may</w:t>
      </w:r>
      <w:r>
        <w:rPr>
          <w:spacing w:val="40"/>
        </w:rPr>
        <w:t> </w:t>
      </w:r>
      <w:r>
        <w:rPr/>
        <w:t>be</w:t>
      </w:r>
      <w:r>
        <w:rPr>
          <w:spacing w:val="40"/>
        </w:rPr>
        <w:t> </w:t>
      </w:r>
      <w:r>
        <w:rPr/>
        <w:t>across</w:t>
      </w:r>
      <w:r>
        <w:rPr>
          <w:spacing w:val="40"/>
        </w:rPr>
        <w:t> </w:t>
      </w:r>
      <w:r>
        <w:rPr/>
        <w:t>the</w:t>
      </w:r>
      <w:r>
        <w:rPr>
          <w:spacing w:val="40"/>
        </w:rPr>
        <w:t> </w:t>
      </w:r>
      <w:r>
        <w:rPr/>
        <w:t>road,</w:t>
      </w:r>
      <w:r>
        <w:rPr>
          <w:spacing w:val="40"/>
        </w:rPr>
        <w:t> </w:t>
      </w:r>
      <w:r>
        <w:rPr/>
        <w:t>then</w:t>
      </w:r>
      <w:r>
        <w:rPr>
          <w:spacing w:val="40"/>
        </w:rPr>
        <w:t> </w:t>
      </w:r>
      <w:r>
        <w:rPr/>
        <w:t>the</w:t>
      </w:r>
      <w:r>
        <w:rPr>
          <w:spacing w:val="40"/>
        </w:rPr>
        <w:t> </w:t>
      </w:r>
      <w:r>
        <w:rPr/>
        <w:t>provision</w:t>
      </w:r>
      <w:r>
        <w:rPr>
          <w:spacing w:val="40"/>
        </w:rPr>
        <w:t> </w:t>
      </w:r>
      <w:r>
        <w:rPr/>
        <w:t>of 40%</w:t>
      </w:r>
      <w:r>
        <w:rPr>
          <w:spacing w:val="40"/>
        </w:rPr>
        <w:t> </w:t>
      </w:r>
      <w:r>
        <w:rPr/>
        <w:t>of</w:t>
      </w:r>
      <w:r>
        <w:rPr>
          <w:spacing w:val="40"/>
        </w:rPr>
        <w:t> </w:t>
      </w:r>
      <w:r>
        <w:rPr/>
        <w:t>play</w:t>
      </w:r>
      <w:r>
        <w:rPr>
          <w:spacing w:val="40"/>
        </w:rPr>
        <w:t> </w:t>
      </w:r>
      <w:r>
        <w:rPr/>
        <w:t>area</w:t>
      </w:r>
      <w:r>
        <w:rPr>
          <w:spacing w:val="40"/>
        </w:rPr>
        <w:t> </w:t>
      </w:r>
      <w:r>
        <w:rPr/>
        <w:t>within</w:t>
      </w:r>
      <w:r>
        <w:rPr>
          <w:spacing w:val="40"/>
        </w:rPr>
        <w:t> </w:t>
      </w:r>
      <w:r>
        <w:rPr/>
        <w:t>plot</w:t>
      </w:r>
      <w:r>
        <w:rPr>
          <w:spacing w:val="40"/>
        </w:rPr>
        <w:t> </w:t>
      </w:r>
      <w:r>
        <w:rPr/>
        <w:t>of</w:t>
      </w:r>
      <w:r>
        <w:rPr>
          <w:spacing w:val="40"/>
        </w:rPr>
        <w:t> </w:t>
      </w:r>
      <w:r>
        <w:rPr/>
        <w:t>Educational</w:t>
      </w:r>
      <w:r>
        <w:rPr>
          <w:spacing w:val="40"/>
        </w:rPr>
        <w:t> </w:t>
      </w:r>
      <w:r>
        <w:rPr/>
        <w:t>Institution</w:t>
      </w:r>
      <w:r>
        <w:rPr>
          <w:spacing w:val="40"/>
        </w:rPr>
        <w:t> </w:t>
      </w:r>
      <w:r>
        <w:rPr/>
        <w:t>may</w:t>
      </w:r>
      <w:r>
        <w:rPr>
          <w:spacing w:val="40"/>
        </w:rPr>
        <w:t> </w:t>
      </w:r>
      <w:r>
        <w:rPr/>
        <w:t>not</w:t>
      </w:r>
      <w:r>
        <w:rPr>
          <w:spacing w:val="40"/>
        </w:rPr>
        <w:t> </w:t>
      </w:r>
      <w:r>
        <w:rPr/>
        <w:t>be insisted</w:t>
      </w:r>
      <w:r>
        <w:rPr>
          <w:spacing w:val="40"/>
        </w:rPr>
        <w:t> </w:t>
      </w:r>
      <w:r>
        <w:rPr/>
        <w:t>upon</w:t>
      </w:r>
      <w:r>
        <w:rPr>
          <w:spacing w:val="40"/>
        </w:rPr>
        <w:t> </w:t>
      </w:r>
      <w:r>
        <w:rPr/>
        <w:t>if</w:t>
      </w:r>
      <w:r>
        <w:rPr>
          <w:spacing w:val="40"/>
        </w:rPr>
        <w:t> </w:t>
      </w:r>
      <w:r>
        <w:rPr/>
        <w:t>the</w:t>
      </w:r>
      <w:r>
        <w:rPr>
          <w:spacing w:val="40"/>
        </w:rPr>
        <w:t> </w:t>
      </w:r>
      <w:r>
        <w:rPr/>
        <w:t>combined</w:t>
      </w:r>
      <w:r>
        <w:rPr>
          <w:spacing w:val="40"/>
        </w:rPr>
        <w:t> </w:t>
      </w:r>
      <w:r>
        <w:rPr/>
        <w:t>play</w:t>
      </w:r>
      <w:r>
        <w:rPr>
          <w:spacing w:val="40"/>
        </w:rPr>
        <w:t> </w:t>
      </w:r>
      <w:r>
        <w:rPr/>
        <w:t>area</w:t>
      </w:r>
      <w:r>
        <w:rPr>
          <w:spacing w:val="40"/>
        </w:rPr>
        <w:t> </w:t>
      </w:r>
      <w:r>
        <w:rPr/>
        <w:t>available</w:t>
      </w:r>
      <w:r>
        <w:rPr>
          <w:spacing w:val="40"/>
        </w:rPr>
        <w:t> </w:t>
      </w:r>
      <w:r>
        <w:rPr/>
        <w:t>is</w:t>
      </w:r>
      <w:r>
        <w:rPr>
          <w:spacing w:val="40"/>
        </w:rPr>
        <w:t> </w:t>
      </w:r>
      <w:r>
        <w:rPr/>
        <w:t>at</w:t>
      </w:r>
      <w:r>
        <w:rPr>
          <w:spacing w:val="40"/>
        </w:rPr>
        <w:t> </w:t>
      </w:r>
      <w:r>
        <w:rPr/>
        <w:t>least</w:t>
      </w:r>
      <w:r>
        <w:rPr>
          <w:spacing w:val="40"/>
        </w:rPr>
        <w:t> </w:t>
      </w:r>
      <w:r>
        <w:rPr/>
        <w:t>40%</w:t>
      </w:r>
      <w:r>
        <w:rPr>
          <w:spacing w:val="40"/>
        </w:rPr>
        <w:t> </w:t>
      </w:r>
      <w:r>
        <w:rPr/>
        <w:t>of</w:t>
      </w:r>
      <w:r>
        <w:rPr>
          <w:spacing w:val="40"/>
        </w:rPr>
        <w:t> </w:t>
      </w:r>
      <w:r>
        <w:rPr/>
        <w:t>plot area. Provided </w:t>
      </w:r>
      <w:r>
        <w:rPr>
          <w:spacing w:val="9"/>
        </w:rPr>
        <w:t>further, </w:t>
      </w:r>
      <w:r>
        <w:rPr/>
        <w:t>if ownership of Play Ground/POS having area at</w:t>
      </w:r>
      <w:r>
        <w:rPr>
          <w:spacing w:val="80"/>
        </w:rPr>
        <w:t> </w:t>
      </w:r>
      <w:r>
        <w:rPr/>
        <w:t>least</w:t>
      </w:r>
      <w:r>
        <w:rPr>
          <w:spacing w:val="40"/>
        </w:rPr>
        <w:t> </w:t>
      </w:r>
      <w:r>
        <w:rPr/>
        <w:t>40%</w:t>
      </w:r>
      <w:r>
        <w:rPr>
          <w:spacing w:val="40"/>
        </w:rPr>
        <w:t> </w:t>
      </w:r>
      <w:r>
        <w:rPr/>
        <w:t>of</w:t>
      </w:r>
      <w:r>
        <w:rPr>
          <w:spacing w:val="40"/>
        </w:rPr>
        <w:t> </w:t>
      </w:r>
      <w:r>
        <w:rPr/>
        <w:t>area</w:t>
      </w:r>
      <w:r>
        <w:rPr>
          <w:spacing w:val="40"/>
        </w:rPr>
        <w:t> </w:t>
      </w:r>
      <w:r>
        <w:rPr/>
        <w:t>abutting</w:t>
      </w:r>
      <w:r>
        <w:rPr>
          <w:spacing w:val="40"/>
        </w:rPr>
        <w:t> </w:t>
      </w:r>
      <w:r>
        <w:rPr/>
        <w:t>to</w:t>
      </w:r>
      <w:r>
        <w:rPr>
          <w:spacing w:val="40"/>
        </w:rPr>
        <w:t> </w:t>
      </w:r>
      <w:r>
        <w:rPr/>
        <w:t>the</w:t>
      </w:r>
      <w:r>
        <w:rPr>
          <w:spacing w:val="40"/>
        </w:rPr>
        <w:t> </w:t>
      </w:r>
      <w:r>
        <w:rPr/>
        <w:t>plot</w:t>
      </w:r>
      <w:r>
        <w:rPr>
          <w:spacing w:val="40"/>
        </w:rPr>
        <w:t> </w:t>
      </w:r>
      <w:r>
        <w:rPr/>
        <w:t>of</w:t>
      </w:r>
      <w:r>
        <w:rPr>
          <w:spacing w:val="40"/>
        </w:rPr>
        <w:t> </w:t>
      </w:r>
      <w:r>
        <w:rPr/>
        <w:t>Educational</w:t>
      </w:r>
      <w:r>
        <w:rPr>
          <w:spacing w:val="40"/>
        </w:rPr>
        <w:t> </w:t>
      </w:r>
      <w:r>
        <w:rPr/>
        <w:t>Institute</w:t>
      </w:r>
      <w:r>
        <w:rPr>
          <w:spacing w:val="40"/>
        </w:rPr>
        <w:t> </w:t>
      </w:r>
      <w:r>
        <w:rPr/>
        <w:t>is</w:t>
      </w:r>
      <w:r>
        <w:rPr>
          <w:spacing w:val="40"/>
        </w:rPr>
        <w:t> </w:t>
      </w:r>
      <w:r>
        <w:rPr/>
        <w:t>vesting with the Educational Institution, then the provision of 40% of play area within</w:t>
      </w:r>
      <w:r>
        <w:rPr>
          <w:spacing w:val="80"/>
        </w:rPr>
        <w:t> </w:t>
      </w:r>
      <w:r>
        <w:rPr/>
        <w:t>plot</w:t>
      </w:r>
      <w:r>
        <w:rPr>
          <w:spacing w:val="80"/>
        </w:rPr>
        <w:t> </w:t>
      </w:r>
      <w:r>
        <w:rPr/>
        <w:t>of</w:t>
      </w:r>
      <w:r>
        <w:rPr>
          <w:spacing w:val="80"/>
        </w:rPr>
        <w:t> </w:t>
      </w:r>
      <w:r>
        <w:rPr/>
        <w:t>Educational</w:t>
      </w:r>
      <w:r>
        <w:rPr>
          <w:spacing w:val="80"/>
        </w:rPr>
        <w:t> </w:t>
      </w:r>
      <w:r>
        <w:rPr/>
        <w:t>Institution</w:t>
      </w:r>
      <w:r>
        <w:rPr>
          <w:spacing w:val="80"/>
        </w:rPr>
        <w:t> </w:t>
      </w:r>
      <w:r>
        <w:rPr/>
        <w:t>may</w:t>
      </w:r>
      <w:r>
        <w:rPr>
          <w:spacing w:val="80"/>
        </w:rPr>
        <w:t> </w:t>
      </w:r>
      <w:r>
        <w:rPr/>
        <w:t>not</w:t>
      </w:r>
      <w:r>
        <w:rPr>
          <w:spacing w:val="80"/>
        </w:rPr>
        <w:t> </w:t>
      </w:r>
      <w:r>
        <w:rPr/>
        <w:t>be</w:t>
      </w:r>
      <w:r>
        <w:rPr>
          <w:spacing w:val="80"/>
        </w:rPr>
        <w:t> </w:t>
      </w:r>
      <w:r>
        <w:rPr/>
        <w:t>insisted</w:t>
      </w:r>
      <w:r>
        <w:rPr>
          <w:spacing w:val="80"/>
        </w:rPr>
        <w:t> </w:t>
      </w:r>
      <w:r>
        <w:rPr/>
        <w:t>upon.</w:t>
      </w:r>
    </w:p>
    <w:p>
      <w:pPr>
        <w:pStyle w:val="BodyText"/>
        <w:ind w:left="1313" w:right="782"/>
      </w:pPr>
      <w:r>
        <w:rPr/>
        <w:t>3.</w:t>
      </w:r>
      <w:r>
        <w:rPr>
          <w:spacing w:val="40"/>
        </w:rPr>
        <w:t> </w:t>
      </w:r>
      <w:r>
        <w:rPr/>
        <w:t>50%</w:t>
      </w:r>
      <w:r>
        <w:rPr>
          <w:spacing w:val="40"/>
        </w:rPr>
        <w:t> </w:t>
      </w:r>
      <w:r>
        <w:rPr/>
        <w:t>of</w:t>
      </w:r>
      <w:r>
        <w:rPr>
          <w:spacing w:val="40"/>
        </w:rPr>
        <w:t> </w:t>
      </w:r>
      <w:r>
        <w:rPr/>
        <w:t>the</w:t>
      </w:r>
      <w:r>
        <w:rPr>
          <w:spacing w:val="40"/>
        </w:rPr>
        <w:t> </w:t>
      </w:r>
      <w:r>
        <w:rPr/>
        <w:t>required</w:t>
      </w:r>
      <w:r>
        <w:rPr>
          <w:spacing w:val="40"/>
        </w:rPr>
        <w:t> </w:t>
      </w:r>
      <w:r>
        <w:rPr/>
        <w:t>Play</w:t>
      </w:r>
      <w:r>
        <w:rPr>
          <w:spacing w:val="40"/>
        </w:rPr>
        <w:t> </w:t>
      </w:r>
      <w:r>
        <w:rPr/>
        <w:t>Ground</w:t>
      </w:r>
      <w:r>
        <w:rPr>
          <w:spacing w:val="40"/>
        </w:rPr>
        <w:t> </w:t>
      </w:r>
      <w:r>
        <w:rPr/>
        <w:t>area</w:t>
      </w:r>
      <w:r>
        <w:rPr>
          <w:spacing w:val="40"/>
        </w:rPr>
        <w:t> </w:t>
      </w:r>
      <w:r>
        <w:rPr/>
        <w:t>may</w:t>
      </w:r>
      <w:r>
        <w:rPr>
          <w:spacing w:val="40"/>
        </w:rPr>
        <w:t> </w:t>
      </w:r>
      <w:r>
        <w:rPr/>
        <w:t>be</w:t>
      </w:r>
      <w:r>
        <w:rPr>
          <w:spacing w:val="40"/>
        </w:rPr>
        <w:t> </w:t>
      </w:r>
      <w:r>
        <w:rPr/>
        <w:t>allowed</w:t>
      </w:r>
      <w:r>
        <w:rPr>
          <w:spacing w:val="40"/>
        </w:rPr>
        <w:t> </w:t>
      </w:r>
      <w:r>
        <w:rPr/>
        <w:t>in</w:t>
      </w:r>
      <w:r>
        <w:rPr>
          <w:spacing w:val="40"/>
        </w:rPr>
        <w:t> </w:t>
      </w:r>
      <w:r>
        <w:rPr/>
        <w:t>stilt</w:t>
      </w:r>
      <w:r>
        <w:rPr>
          <w:spacing w:val="74"/>
        </w:rPr>
        <w:t> </w:t>
      </w:r>
      <w:r>
        <w:rPr/>
        <w:t>subject to</w:t>
      </w:r>
      <w:r>
        <w:rPr>
          <w:spacing w:val="67"/>
        </w:rPr>
        <w:t> </w:t>
      </w:r>
      <w:r>
        <w:rPr/>
        <w:t>condition</w:t>
      </w:r>
      <w:r>
        <w:rPr>
          <w:spacing w:val="69"/>
        </w:rPr>
        <w:t> </w:t>
      </w:r>
      <w:r>
        <w:rPr/>
        <w:t>that</w:t>
      </w:r>
      <w:r>
        <w:rPr>
          <w:spacing w:val="70"/>
        </w:rPr>
        <w:t> </w:t>
      </w:r>
      <w:r>
        <w:rPr/>
        <w:t>said</w:t>
      </w:r>
      <w:r>
        <w:rPr>
          <w:spacing w:val="67"/>
        </w:rPr>
        <w:t> </w:t>
      </w:r>
      <w:r>
        <w:rPr/>
        <w:t>carved</w:t>
      </w:r>
      <w:r>
        <w:rPr>
          <w:spacing w:val="67"/>
        </w:rPr>
        <w:t> </w:t>
      </w:r>
      <w:r>
        <w:rPr/>
        <w:t>out</w:t>
      </w:r>
      <w:r>
        <w:rPr>
          <w:spacing w:val="67"/>
        </w:rPr>
        <w:t> </w:t>
      </w:r>
      <w:r>
        <w:rPr/>
        <w:t>area</w:t>
      </w:r>
      <w:r>
        <w:rPr>
          <w:spacing w:val="67"/>
        </w:rPr>
        <w:t> </w:t>
      </w:r>
      <w:r>
        <w:rPr/>
        <w:t>will</w:t>
      </w:r>
      <w:r>
        <w:rPr>
          <w:spacing w:val="70"/>
        </w:rPr>
        <w:t> </w:t>
      </w:r>
      <w:r>
        <w:rPr/>
        <w:t>not</w:t>
      </w:r>
      <w:r>
        <w:rPr>
          <w:spacing w:val="70"/>
        </w:rPr>
        <w:t> </w:t>
      </w:r>
      <w:r>
        <w:rPr/>
        <w:t>be</w:t>
      </w:r>
      <w:r>
        <w:rPr>
          <w:spacing w:val="67"/>
        </w:rPr>
        <w:t> </w:t>
      </w:r>
      <w:r>
        <w:rPr/>
        <w:t>used</w:t>
      </w:r>
      <w:r>
        <w:rPr>
          <w:spacing w:val="69"/>
        </w:rPr>
        <w:t> </w:t>
      </w:r>
      <w:r>
        <w:rPr/>
        <w:t>for</w:t>
      </w:r>
      <w:r>
        <w:rPr>
          <w:spacing w:val="67"/>
        </w:rPr>
        <w:t> </w:t>
      </w:r>
      <w:r>
        <w:rPr/>
        <w:t>the</w:t>
      </w:r>
      <w:r>
        <w:rPr>
          <w:spacing w:val="69"/>
        </w:rPr>
        <w:t> </w:t>
      </w:r>
      <w:r>
        <w:rPr/>
        <w:t>parking or</w:t>
      </w:r>
      <w:r>
        <w:rPr>
          <w:spacing w:val="40"/>
        </w:rPr>
        <w:t> </w:t>
      </w:r>
      <w:r>
        <w:rPr/>
        <w:t>any</w:t>
      </w:r>
      <w:r>
        <w:rPr>
          <w:spacing w:val="40"/>
        </w:rPr>
        <w:t> </w:t>
      </w:r>
      <w:r>
        <w:rPr/>
        <w:t>other</w:t>
      </w:r>
      <w:r>
        <w:rPr>
          <w:spacing w:val="40"/>
        </w:rPr>
        <w:t> </w:t>
      </w:r>
      <w:r>
        <w:rPr/>
        <w:t>utility</w:t>
      </w:r>
      <w:r>
        <w:rPr>
          <w:spacing w:val="40"/>
        </w:rPr>
        <w:t> </w:t>
      </w:r>
      <w:r>
        <w:rPr/>
        <w:t>purpose</w:t>
      </w:r>
      <w:r>
        <w:rPr>
          <w:spacing w:val="40"/>
        </w:rPr>
        <w:t> </w:t>
      </w:r>
      <w:r>
        <w:rPr/>
        <w:t>by</w:t>
      </w:r>
      <w:r>
        <w:rPr>
          <w:spacing w:val="40"/>
        </w:rPr>
        <w:t> </w:t>
      </w:r>
      <w:r>
        <w:rPr/>
        <w:t>taking</w:t>
      </w:r>
      <w:r>
        <w:rPr>
          <w:spacing w:val="40"/>
        </w:rPr>
        <w:t> </w:t>
      </w:r>
      <w:r>
        <w:rPr/>
        <w:t>proper</w:t>
      </w:r>
      <w:r>
        <w:rPr>
          <w:spacing w:val="40"/>
        </w:rPr>
        <w:t> </w:t>
      </w:r>
      <w:r>
        <w:rPr/>
        <w:t>safety</w:t>
      </w:r>
      <w:r>
        <w:rPr>
          <w:spacing w:val="40"/>
        </w:rPr>
        <w:t> </w:t>
      </w:r>
      <w:r>
        <w:rPr>
          <w:spacing w:val="9"/>
        </w:rPr>
        <w:t>measures.</w:t>
      </w:r>
    </w:p>
    <w:p>
      <w:pPr>
        <w:pStyle w:val="BodyText"/>
        <w:spacing w:before="119"/>
        <w:jc w:val="left"/>
      </w:pPr>
    </w:p>
    <w:p>
      <w:pPr>
        <w:pStyle w:val="Heading6"/>
        <w:numPr>
          <w:ilvl w:val="1"/>
          <w:numId w:val="261"/>
        </w:numPr>
        <w:tabs>
          <w:tab w:pos="2213" w:val="left" w:leader="none"/>
        </w:tabs>
        <w:spacing w:line="240" w:lineRule="auto" w:before="0" w:after="0"/>
        <w:ind w:left="2213" w:right="0" w:hanging="900"/>
        <w:jc w:val="left"/>
        <w:rPr>
          <w:b w:val="0"/>
          <w:i w:val="0"/>
        </w:rPr>
      </w:pPr>
      <w:r>
        <w:rPr/>
        <w:t>Building</w:t>
      </w:r>
      <w:r>
        <w:rPr>
          <w:spacing w:val="69"/>
        </w:rPr>
        <w:t> </w:t>
      </w:r>
      <w:r>
        <w:rPr/>
        <w:t>for</w:t>
      </w:r>
      <w:r>
        <w:rPr>
          <w:spacing w:val="64"/>
        </w:rPr>
        <w:t> </w:t>
      </w:r>
      <w:r>
        <w:rPr/>
        <w:t>Medical</w:t>
      </w:r>
      <w:r>
        <w:rPr>
          <w:spacing w:val="64"/>
        </w:rPr>
        <w:t> </w:t>
      </w:r>
      <w:r>
        <w:rPr>
          <w:spacing w:val="-4"/>
        </w:rPr>
        <w:t>use</w:t>
      </w:r>
      <w:r>
        <w:rPr>
          <w:b w:val="0"/>
          <w:i w:val="0"/>
          <w:spacing w:val="-4"/>
        </w:rPr>
        <w:t>-</w:t>
      </w:r>
    </w:p>
    <w:p>
      <w:pPr>
        <w:pStyle w:val="BodyText"/>
        <w:spacing w:before="121"/>
        <w:ind w:left="1313" w:right="838"/>
        <w:jc w:val="left"/>
      </w:pPr>
      <w:r>
        <w:rPr/>
        <w:t>For</w:t>
      </w:r>
      <w:r>
        <w:rPr>
          <w:spacing w:val="40"/>
        </w:rPr>
        <w:t> </w:t>
      </w:r>
      <w:r>
        <w:rPr/>
        <w:t>Hospital,</w:t>
      </w:r>
      <w:r>
        <w:rPr>
          <w:spacing w:val="40"/>
        </w:rPr>
        <w:t> </w:t>
      </w:r>
      <w:r>
        <w:rPr/>
        <w:t>Maternity</w:t>
      </w:r>
      <w:r>
        <w:rPr>
          <w:spacing w:val="40"/>
        </w:rPr>
        <w:t> </w:t>
      </w:r>
      <w:r>
        <w:rPr/>
        <w:t>Homes</w:t>
      </w:r>
      <w:r>
        <w:rPr>
          <w:spacing w:val="40"/>
        </w:rPr>
        <w:t> </w:t>
      </w:r>
      <w:r>
        <w:rPr/>
        <w:t>and</w:t>
      </w:r>
      <w:r>
        <w:rPr>
          <w:spacing w:val="40"/>
        </w:rPr>
        <w:t> </w:t>
      </w:r>
      <w:r>
        <w:rPr/>
        <w:t>Health</w:t>
      </w:r>
      <w:r>
        <w:rPr>
          <w:spacing w:val="40"/>
        </w:rPr>
        <w:t> </w:t>
      </w:r>
      <w:r>
        <w:rPr/>
        <w:t>Centre,</w:t>
      </w:r>
      <w:r>
        <w:rPr>
          <w:spacing w:val="40"/>
        </w:rPr>
        <w:t> </w:t>
      </w:r>
      <w:r>
        <w:rPr/>
        <w:t>Sanatorium,</w:t>
      </w:r>
      <w:r>
        <w:rPr>
          <w:spacing w:val="80"/>
        </w:rPr>
        <w:t> </w:t>
      </w:r>
      <w:r>
        <w:rPr/>
        <w:t>Multi-</w:t>
      </w:r>
      <w:r>
        <w:rPr>
          <w:spacing w:val="40"/>
        </w:rPr>
        <w:t> </w:t>
      </w:r>
      <w:r>
        <w:rPr>
          <w:spacing w:val="-2"/>
        </w:rPr>
        <w:t>Specialty</w:t>
      </w:r>
    </w:p>
    <w:p>
      <w:pPr>
        <w:pStyle w:val="BodyText"/>
        <w:spacing w:line="281" w:lineRule="exact" w:before="1"/>
        <w:ind w:left="1313"/>
        <w:jc w:val="left"/>
      </w:pPr>
      <w:r>
        <w:rPr>
          <w:spacing w:val="-2"/>
        </w:rPr>
        <w:t>Hospitals:</w:t>
      </w:r>
    </w:p>
    <w:p>
      <w:pPr>
        <w:pStyle w:val="ListParagraph"/>
        <w:numPr>
          <w:ilvl w:val="0"/>
          <w:numId w:val="262"/>
        </w:numPr>
        <w:tabs>
          <w:tab w:pos="1628" w:val="left" w:leader="none"/>
        </w:tabs>
        <w:spacing w:line="240" w:lineRule="auto" w:before="0" w:after="0"/>
        <w:ind w:left="1313" w:right="1248" w:firstLine="0"/>
        <w:jc w:val="left"/>
        <w:rPr>
          <w:sz w:val="24"/>
        </w:rPr>
      </w:pPr>
      <w:r>
        <w:rPr>
          <w:sz w:val="24"/>
        </w:rPr>
        <w:t>minimum</w:t>
      </w:r>
      <w:r>
        <w:rPr>
          <w:spacing w:val="40"/>
          <w:sz w:val="24"/>
        </w:rPr>
        <w:t> </w:t>
      </w:r>
      <w:r>
        <w:rPr>
          <w:sz w:val="24"/>
        </w:rPr>
        <w:t>area</w:t>
      </w:r>
      <w:r>
        <w:rPr>
          <w:spacing w:val="40"/>
          <w:sz w:val="24"/>
        </w:rPr>
        <w:t> </w:t>
      </w:r>
      <w:r>
        <w:rPr>
          <w:sz w:val="24"/>
        </w:rPr>
        <w:t>of</w:t>
      </w:r>
      <w:r>
        <w:rPr>
          <w:spacing w:val="40"/>
          <w:sz w:val="24"/>
        </w:rPr>
        <w:t> </w:t>
      </w:r>
      <w:r>
        <w:rPr>
          <w:sz w:val="24"/>
        </w:rPr>
        <w:t>general</w:t>
      </w:r>
      <w:r>
        <w:rPr>
          <w:spacing w:val="40"/>
          <w:sz w:val="24"/>
        </w:rPr>
        <w:t> </w:t>
      </w:r>
      <w:r>
        <w:rPr>
          <w:sz w:val="24"/>
        </w:rPr>
        <w:t>wards</w:t>
      </w:r>
      <w:r>
        <w:rPr>
          <w:spacing w:val="40"/>
          <w:sz w:val="24"/>
        </w:rPr>
        <w:t> </w:t>
      </w:r>
      <w:r>
        <w:rPr>
          <w:sz w:val="24"/>
        </w:rPr>
        <w:t>shall</w:t>
      </w:r>
      <w:r>
        <w:rPr>
          <w:spacing w:val="40"/>
          <w:sz w:val="24"/>
        </w:rPr>
        <w:t> </w:t>
      </w:r>
      <w:r>
        <w:rPr>
          <w:sz w:val="24"/>
        </w:rPr>
        <w:t>be</w:t>
      </w:r>
      <w:r>
        <w:rPr>
          <w:spacing w:val="40"/>
          <w:sz w:val="24"/>
        </w:rPr>
        <w:t> </w:t>
      </w:r>
      <w:r>
        <w:rPr>
          <w:sz w:val="24"/>
        </w:rPr>
        <w:t>40sq.m</w:t>
      </w:r>
      <w:r>
        <w:rPr>
          <w:spacing w:val="40"/>
          <w:sz w:val="24"/>
        </w:rPr>
        <w:t> </w:t>
      </w:r>
      <w:r>
        <w:rPr>
          <w:sz w:val="24"/>
        </w:rPr>
        <w:t>with</w:t>
      </w:r>
      <w:r>
        <w:rPr>
          <w:spacing w:val="40"/>
          <w:sz w:val="24"/>
        </w:rPr>
        <w:t> </w:t>
      </w:r>
      <w:r>
        <w:rPr>
          <w:sz w:val="24"/>
        </w:rPr>
        <w:t>no</w:t>
      </w:r>
      <w:r>
        <w:rPr>
          <w:spacing w:val="40"/>
          <w:sz w:val="24"/>
        </w:rPr>
        <w:t> </w:t>
      </w:r>
      <w:r>
        <w:rPr>
          <w:sz w:val="24"/>
        </w:rPr>
        <w:t>side</w:t>
      </w:r>
      <w:r>
        <w:rPr>
          <w:spacing w:val="40"/>
          <w:sz w:val="24"/>
        </w:rPr>
        <w:t> </w:t>
      </w:r>
      <w:r>
        <w:rPr>
          <w:sz w:val="24"/>
        </w:rPr>
        <w:t>less than 5.5 m;</w:t>
      </w:r>
    </w:p>
    <w:p>
      <w:pPr>
        <w:pStyle w:val="ListParagraph"/>
        <w:numPr>
          <w:ilvl w:val="0"/>
          <w:numId w:val="262"/>
        </w:numPr>
        <w:tabs>
          <w:tab w:pos="1638" w:val="left" w:leader="none"/>
        </w:tabs>
        <w:spacing w:line="240" w:lineRule="auto" w:before="0" w:after="0"/>
        <w:ind w:left="1313" w:right="807" w:firstLine="0"/>
        <w:jc w:val="left"/>
        <w:rPr>
          <w:sz w:val="24"/>
        </w:rPr>
      </w:pPr>
      <w:r>
        <w:rPr>
          <w:sz w:val="24"/>
        </w:rPr>
        <w:t>the</w:t>
      </w:r>
      <w:r>
        <w:rPr>
          <w:spacing w:val="40"/>
          <w:sz w:val="24"/>
        </w:rPr>
        <w:t> </w:t>
      </w:r>
      <w:r>
        <w:rPr>
          <w:sz w:val="24"/>
        </w:rPr>
        <w:t>basic</w:t>
      </w:r>
      <w:r>
        <w:rPr>
          <w:spacing w:val="40"/>
          <w:sz w:val="24"/>
        </w:rPr>
        <w:t> </w:t>
      </w:r>
      <w:r>
        <w:rPr>
          <w:sz w:val="24"/>
        </w:rPr>
        <w:t>requirements</w:t>
      </w:r>
      <w:r>
        <w:rPr>
          <w:spacing w:val="40"/>
          <w:sz w:val="24"/>
        </w:rPr>
        <w:t> </w:t>
      </w:r>
      <w:r>
        <w:rPr>
          <w:sz w:val="24"/>
        </w:rPr>
        <w:t>for</w:t>
      </w:r>
      <w:r>
        <w:rPr>
          <w:spacing w:val="40"/>
          <w:sz w:val="24"/>
        </w:rPr>
        <w:t> </w:t>
      </w:r>
      <w:r>
        <w:rPr>
          <w:sz w:val="24"/>
        </w:rPr>
        <w:t>building</w:t>
      </w:r>
      <w:r>
        <w:rPr>
          <w:spacing w:val="40"/>
          <w:sz w:val="24"/>
        </w:rPr>
        <w:t> </w:t>
      </w:r>
      <w:r>
        <w:rPr>
          <w:sz w:val="24"/>
        </w:rPr>
        <w:t>put</w:t>
      </w:r>
      <w:r>
        <w:rPr>
          <w:spacing w:val="40"/>
          <w:sz w:val="24"/>
        </w:rPr>
        <w:t> </w:t>
      </w:r>
      <w:r>
        <w:rPr>
          <w:sz w:val="24"/>
        </w:rPr>
        <w:t>to</w:t>
      </w:r>
      <w:r>
        <w:rPr>
          <w:spacing w:val="40"/>
          <w:sz w:val="24"/>
        </w:rPr>
        <w:t> </w:t>
      </w:r>
      <w:r>
        <w:rPr>
          <w:sz w:val="24"/>
        </w:rPr>
        <w:t>medical</w:t>
      </w:r>
      <w:r>
        <w:rPr>
          <w:spacing w:val="40"/>
          <w:sz w:val="24"/>
        </w:rPr>
        <w:t> </w:t>
      </w:r>
      <w:r>
        <w:rPr>
          <w:sz w:val="24"/>
        </w:rPr>
        <w:t>use</w:t>
      </w:r>
      <w:r>
        <w:rPr>
          <w:spacing w:val="40"/>
          <w:sz w:val="24"/>
        </w:rPr>
        <w:t> </w:t>
      </w:r>
      <w:r>
        <w:rPr>
          <w:sz w:val="24"/>
        </w:rPr>
        <w:t>shall</w:t>
      </w:r>
      <w:r>
        <w:rPr>
          <w:spacing w:val="40"/>
          <w:sz w:val="24"/>
        </w:rPr>
        <w:t> </w:t>
      </w:r>
      <w:r>
        <w:rPr>
          <w:sz w:val="24"/>
        </w:rPr>
        <w:t>conform</w:t>
      </w:r>
      <w:r>
        <w:rPr>
          <w:spacing w:val="40"/>
          <w:sz w:val="24"/>
        </w:rPr>
        <w:t> </w:t>
      </w:r>
      <w:r>
        <w:rPr>
          <w:sz w:val="24"/>
        </w:rPr>
        <w:t>to IS 12433:2001</w:t>
      </w:r>
    </w:p>
    <w:p>
      <w:pPr>
        <w:pStyle w:val="Heading6"/>
        <w:numPr>
          <w:ilvl w:val="1"/>
          <w:numId w:val="261"/>
        </w:numPr>
        <w:tabs>
          <w:tab w:pos="2213" w:val="left" w:leader="none"/>
        </w:tabs>
        <w:spacing w:line="240" w:lineRule="auto" w:before="238" w:after="0"/>
        <w:ind w:left="2213" w:right="0" w:hanging="900"/>
        <w:jc w:val="left"/>
        <w:rPr>
          <w:b w:val="0"/>
          <w:i w:val="0"/>
        </w:rPr>
      </w:pPr>
      <w:r>
        <w:rPr/>
        <w:t>Public</w:t>
      </w:r>
      <w:r>
        <w:rPr>
          <w:spacing w:val="64"/>
        </w:rPr>
        <w:t> </w:t>
      </w:r>
      <w:r>
        <w:rPr>
          <w:spacing w:val="-2"/>
        </w:rPr>
        <w:t>Building</w:t>
      </w:r>
      <w:r>
        <w:rPr>
          <w:b w:val="0"/>
          <w:i w:val="0"/>
          <w:spacing w:val="-2"/>
        </w:rPr>
        <w:t>-</w:t>
      </w:r>
    </w:p>
    <w:p>
      <w:pPr>
        <w:pStyle w:val="BodyText"/>
        <w:spacing w:before="2"/>
        <w:ind w:left="1313"/>
        <w:jc w:val="left"/>
      </w:pPr>
      <w:r>
        <w:rPr/>
        <w:t>A</w:t>
      </w:r>
      <w:r>
        <w:rPr>
          <w:spacing w:val="45"/>
        </w:rPr>
        <w:t> </w:t>
      </w:r>
      <w:r>
        <w:rPr/>
        <w:t>Crèche</w:t>
      </w:r>
      <w:r>
        <w:rPr>
          <w:spacing w:val="51"/>
        </w:rPr>
        <w:t> </w:t>
      </w:r>
      <w:r>
        <w:rPr/>
        <w:t>shall</w:t>
      </w:r>
      <w:r>
        <w:rPr>
          <w:spacing w:val="50"/>
        </w:rPr>
        <w:t> </w:t>
      </w:r>
      <w:r>
        <w:rPr/>
        <w:t>be</w:t>
      </w:r>
      <w:r>
        <w:rPr>
          <w:spacing w:val="51"/>
        </w:rPr>
        <w:t> </w:t>
      </w:r>
      <w:r>
        <w:rPr/>
        <w:t>provided</w:t>
      </w:r>
      <w:r>
        <w:rPr>
          <w:spacing w:val="50"/>
        </w:rPr>
        <w:t> </w:t>
      </w:r>
      <w:r>
        <w:rPr/>
        <w:t>as</w:t>
      </w:r>
      <w:r>
        <w:rPr>
          <w:spacing w:val="48"/>
        </w:rPr>
        <w:t> </w:t>
      </w:r>
      <w:r>
        <w:rPr/>
        <w:t>per</w:t>
      </w:r>
      <w:r>
        <w:rPr>
          <w:spacing w:val="48"/>
        </w:rPr>
        <w:t> </w:t>
      </w:r>
      <w:r>
        <w:rPr/>
        <w:t>the</w:t>
      </w:r>
      <w:r>
        <w:rPr>
          <w:spacing w:val="50"/>
        </w:rPr>
        <w:t> </w:t>
      </w:r>
      <w:r>
        <w:rPr/>
        <w:t>Regulation</w:t>
      </w:r>
      <w:r>
        <w:rPr>
          <w:spacing w:val="48"/>
        </w:rPr>
        <w:t> </w:t>
      </w:r>
      <w:r>
        <w:rPr/>
        <w:t>no</w:t>
      </w:r>
      <w:r>
        <w:rPr>
          <w:spacing w:val="51"/>
        </w:rPr>
        <w:t> </w:t>
      </w:r>
      <w:r>
        <w:rPr>
          <w:spacing w:val="-2"/>
        </w:rPr>
        <w:t>37(29)</w:t>
      </w:r>
    </w:p>
    <w:p>
      <w:pPr>
        <w:pStyle w:val="Heading3"/>
        <w:numPr>
          <w:ilvl w:val="0"/>
          <w:numId w:val="263"/>
        </w:numPr>
        <w:tabs>
          <w:tab w:pos="1428" w:val="left" w:leader="none"/>
        </w:tabs>
        <w:spacing w:line="240" w:lineRule="auto" w:before="237" w:after="0"/>
        <w:ind w:left="1428" w:right="0" w:hanging="656"/>
        <w:jc w:val="left"/>
        <w:rPr>
          <w:i w:val="0"/>
        </w:rPr>
      </w:pPr>
      <w:r>
        <w:rPr/>
        <w:t>Special</w:t>
      </w:r>
      <w:r>
        <w:rPr>
          <w:spacing w:val="-13"/>
        </w:rPr>
        <w:t> </w:t>
      </w:r>
      <w:r>
        <w:rPr/>
        <w:t>Regulations</w:t>
      </w:r>
      <w:r>
        <w:rPr>
          <w:spacing w:val="-8"/>
        </w:rPr>
        <w:t> </w:t>
      </w:r>
      <w:r>
        <w:rPr/>
        <w:t>for</w:t>
      </w:r>
      <w:r>
        <w:rPr>
          <w:spacing w:val="-9"/>
        </w:rPr>
        <w:t> </w:t>
      </w:r>
      <w:r>
        <w:rPr/>
        <w:t>Differently</w:t>
      </w:r>
      <w:r>
        <w:rPr>
          <w:spacing w:val="-8"/>
        </w:rPr>
        <w:t> </w:t>
      </w:r>
      <w:r>
        <w:rPr/>
        <w:t>abled</w:t>
      </w:r>
      <w:r>
        <w:rPr>
          <w:spacing w:val="-6"/>
        </w:rPr>
        <w:t> </w:t>
      </w:r>
      <w:r>
        <w:rPr>
          <w:spacing w:val="-2"/>
        </w:rPr>
        <w:t>persons</w:t>
      </w:r>
    </w:p>
    <w:p>
      <w:pPr>
        <w:pStyle w:val="Heading5"/>
        <w:spacing w:line="282" w:lineRule="exact" w:before="285"/>
        <w:ind w:left="1313"/>
        <w:jc w:val="both"/>
      </w:pPr>
      <w:r>
        <w:rPr/>
        <w:t>Differently</w:t>
      </w:r>
      <w:r>
        <w:rPr>
          <w:spacing w:val="-9"/>
        </w:rPr>
        <w:t> </w:t>
      </w:r>
      <w:r>
        <w:rPr/>
        <w:t>Abled</w:t>
      </w:r>
      <w:r>
        <w:rPr>
          <w:spacing w:val="-7"/>
        </w:rPr>
        <w:t> </w:t>
      </w:r>
      <w:r>
        <w:rPr>
          <w:spacing w:val="-2"/>
        </w:rPr>
        <w:t>People</w:t>
      </w:r>
    </w:p>
    <w:p>
      <w:pPr>
        <w:pStyle w:val="BodyText"/>
        <w:ind w:left="1313" w:right="778"/>
      </w:pPr>
      <w:r>
        <w:rPr/>
        <w:t>As per the provisions of </w:t>
      </w:r>
      <w:hyperlink r:id="rId61">
        <w:r>
          <w:rPr/>
          <w:t>the Persons with Disabilities Act, 1995,</w:t>
        </w:r>
      </w:hyperlink>
      <w:r>
        <w:rPr/>
        <w:t> seven categories of disabilities have been identified viz., blindness, low </w:t>
      </w:r>
      <w:r>
        <w:rPr>
          <w:spacing w:val="9"/>
        </w:rPr>
        <w:t>vision, </w:t>
      </w:r>
      <w:r>
        <w:rPr/>
        <w:t>leprosy</w:t>
      </w:r>
      <w:r>
        <w:rPr>
          <w:spacing w:val="40"/>
        </w:rPr>
        <w:t> </w:t>
      </w:r>
      <w:r>
        <w:rPr/>
        <w:t>cured,</w:t>
      </w:r>
      <w:r>
        <w:rPr>
          <w:spacing w:val="40"/>
        </w:rPr>
        <w:t> </w:t>
      </w:r>
      <w:r>
        <w:rPr/>
        <w:t>hearing</w:t>
      </w:r>
      <w:r>
        <w:rPr>
          <w:spacing w:val="40"/>
        </w:rPr>
        <w:t> </w:t>
      </w:r>
      <w:r>
        <w:rPr/>
        <w:t>impairment,</w:t>
      </w:r>
      <w:r>
        <w:rPr>
          <w:spacing w:val="40"/>
        </w:rPr>
        <w:t> </w:t>
      </w:r>
      <w:r>
        <w:rPr/>
        <w:t>locomotor</w:t>
      </w:r>
      <w:r>
        <w:rPr>
          <w:spacing w:val="40"/>
        </w:rPr>
        <w:t> </w:t>
      </w:r>
      <w:r>
        <w:rPr/>
        <w:t>disability,</w:t>
      </w:r>
      <w:r>
        <w:rPr>
          <w:spacing w:val="40"/>
        </w:rPr>
        <w:t> </w:t>
      </w:r>
      <w:r>
        <w:rPr/>
        <w:t>mental</w:t>
      </w:r>
      <w:r>
        <w:rPr>
          <w:spacing w:val="40"/>
        </w:rPr>
        <w:t> </w:t>
      </w:r>
      <w:r>
        <w:rPr/>
        <w:t>retardation</w:t>
      </w:r>
      <w:r>
        <w:rPr>
          <w:spacing w:val="80"/>
        </w:rPr>
        <w:t> </w:t>
      </w:r>
      <w:r>
        <w:rPr/>
        <w:t>and</w:t>
      </w:r>
      <w:r>
        <w:rPr>
          <w:spacing w:val="80"/>
        </w:rPr>
        <w:t> </w:t>
      </w:r>
      <w:r>
        <w:rPr/>
        <w:t>mental</w:t>
      </w:r>
      <w:r>
        <w:rPr>
          <w:spacing w:val="80"/>
        </w:rPr>
        <w:t> </w:t>
      </w:r>
      <w:r>
        <w:rPr/>
        <w:t>illness.</w:t>
      </w:r>
      <w:r>
        <w:rPr>
          <w:spacing w:val="80"/>
        </w:rPr>
        <w:t> </w:t>
      </w:r>
      <w:r>
        <w:rPr/>
        <w:t>Persons</w:t>
      </w:r>
      <w:r>
        <w:rPr>
          <w:spacing w:val="80"/>
        </w:rPr>
        <w:t> </w:t>
      </w:r>
      <w:r>
        <w:rPr/>
        <w:t>falling</w:t>
      </w:r>
      <w:r>
        <w:rPr>
          <w:spacing w:val="80"/>
        </w:rPr>
        <w:t> </w:t>
      </w:r>
      <w:r>
        <w:rPr/>
        <w:t>under</w:t>
      </w:r>
      <w:r>
        <w:rPr>
          <w:spacing w:val="80"/>
        </w:rPr>
        <w:t> </w:t>
      </w:r>
      <w:r>
        <w:rPr/>
        <w:t>the</w:t>
      </w:r>
      <w:r>
        <w:rPr>
          <w:spacing w:val="80"/>
        </w:rPr>
        <w:t> </w:t>
      </w:r>
      <w:r>
        <w:rPr/>
        <w:t>above categories</w:t>
      </w:r>
      <w:r>
        <w:rPr>
          <w:spacing w:val="40"/>
        </w:rPr>
        <w:t> </w:t>
      </w:r>
      <w:r>
        <w:rPr/>
        <w:t>with</w:t>
      </w:r>
      <w:r>
        <w:rPr>
          <w:spacing w:val="40"/>
        </w:rPr>
        <w:t> </w:t>
      </w:r>
      <w:r>
        <w:rPr/>
        <w:t>a</w:t>
      </w:r>
      <w:r>
        <w:rPr>
          <w:spacing w:val="40"/>
        </w:rPr>
        <w:t> </w:t>
      </w:r>
      <w:r>
        <w:rPr/>
        <w:t>minimum</w:t>
      </w:r>
      <w:r>
        <w:rPr>
          <w:spacing w:val="40"/>
        </w:rPr>
        <w:t> </w:t>
      </w:r>
      <w:r>
        <w:rPr/>
        <w:t>of</w:t>
      </w:r>
      <w:r>
        <w:rPr>
          <w:spacing w:val="40"/>
        </w:rPr>
        <w:t> </w:t>
      </w:r>
      <w:r>
        <w:rPr/>
        <w:t>40%</w:t>
      </w:r>
      <w:r>
        <w:rPr>
          <w:spacing w:val="40"/>
        </w:rPr>
        <w:t> </w:t>
      </w:r>
      <w:r>
        <w:rPr/>
        <w:t>disability</w:t>
      </w:r>
      <w:r>
        <w:rPr>
          <w:spacing w:val="40"/>
        </w:rPr>
        <w:t> </w:t>
      </w:r>
      <w:r>
        <w:rPr/>
        <w:t>are</w:t>
      </w:r>
      <w:r>
        <w:rPr>
          <w:spacing w:val="40"/>
        </w:rPr>
        <w:t> </w:t>
      </w:r>
      <w:r>
        <w:rPr/>
        <w:t>covered</w:t>
      </w:r>
      <w:r>
        <w:rPr>
          <w:spacing w:val="40"/>
        </w:rPr>
        <w:t> </w:t>
      </w:r>
      <w:r>
        <w:rPr/>
        <w:t>under</w:t>
      </w:r>
      <w:r>
        <w:rPr>
          <w:spacing w:val="80"/>
        </w:rPr>
        <w:t> </w:t>
      </w:r>
      <w:r>
        <w:rPr/>
        <w:t>Differently</w:t>
      </w:r>
      <w:r>
        <w:rPr>
          <w:spacing w:val="40"/>
        </w:rPr>
        <w:t> </w:t>
      </w:r>
      <w:r>
        <w:rPr/>
        <w:t>Abled</w:t>
      </w:r>
      <w:r>
        <w:rPr>
          <w:spacing w:val="40"/>
        </w:rPr>
        <w:t> </w:t>
      </w:r>
      <w:r>
        <w:rPr/>
        <w:t>People.</w:t>
      </w:r>
      <w:r>
        <w:rPr>
          <w:spacing w:val="40"/>
        </w:rPr>
        <w:t> </w:t>
      </w:r>
      <w:r>
        <w:rPr/>
        <w:t>The</w:t>
      </w:r>
      <w:r>
        <w:rPr>
          <w:spacing w:val="40"/>
        </w:rPr>
        <w:t> </w:t>
      </w:r>
      <w:r>
        <w:rPr/>
        <w:t>provisions</w:t>
      </w:r>
      <w:r>
        <w:rPr>
          <w:spacing w:val="40"/>
        </w:rPr>
        <w:t> </w:t>
      </w:r>
      <w:r>
        <w:rPr/>
        <w:t>made</w:t>
      </w:r>
      <w:r>
        <w:rPr>
          <w:spacing w:val="40"/>
        </w:rPr>
        <w:t> </w:t>
      </w:r>
      <w:r>
        <w:rPr/>
        <w:t>under</w:t>
      </w:r>
      <w:r>
        <w:rPr>
          <w:spacing w:val="40"/>
        </w:rPr>
        <w:t> </w:t>
      </w:r>
      <w:r>
        <w:rPr/>
        <w:t>Differently</w:t>
      </w:r>
      <w:r>
        <w:rPr>
          <w:spacing w:val="40"/>
        </w:rPr>
        <w:t> </w:t>
      </w:r>
      <w:r>
        <w:rPr/>
        <w:t>Abled People are also applicable to elderly, pregnant women and mothers with small</w:t>
      </w:r>
      <w:r>
        <w:rPr>
          <w:spacing w:val="40"/>
        </w:rPr>
        <w:t> </w:t>
      </w:r>
      <w:r>
        <w:rPr/>
        <w:t>children</w:t>
      </w:r>
      <w:r>
        <w:rPr>
          <w:spacing w:val="40"/>
        </w:rPr>
        <w:t> </w:t>
      </w:r>
      <w:r>
        <w:rPr/>
        <w:t>on</w:t>
      </w:r>
      <w:r>
        <w:rPr>
          <w:spacing w:val="40"/>
        </w:rPr>
        <w:t> </w:t>
      </w:r>
      <w:r>
        <w:rPr/>
        <w:t>prams.</w:t>
      </w:r>
    </w:p>
    <w:p>
      <w:pPr>
        <w:pStyle w:val="BodyText"/>
        <w:spacing w:after="0"/>
        <w:sectPr>
          <w:pgSz w:w="11910" w:h="16840"/>
          <w:pgMar w:header="1058" w:footer="1201" w:top="1500" w:bottom="1400" w:left="360" w:right="360"/>
        </w:sectPr>
      </w:pPr>
    </w:p>
    <w:p>
      <w:pPr>
        <w:spacing w:before="252"/>
        <w:ind w:left="1313" w:right="0" w:firstLine="0"/>
        <w:jc w:val="both"/>
        <w:rPr>
          <w:sz w:val="24"/>
        </w:rPr>
      </w:pPr>
      <w:r>
        <w:rPr>
          <w:sz w:val="24"/>
        </w:rPr>
        <w:t>1</w:t>
      </w:r>
      <w:r>
        <w:rPr>
          <w:spacing w:val="19"/>
          <w:sz w:val="24"/>
        </w:rPr>
        <w:t> </w:t>
      </w:r>
      <w:r>
        <w:rPr>
          <w:b/>
          <w:i/>
          <w:spacing w:val="-2"/>
          <w:sz w:val="24"/>
        </w:rPr>
        <w:t>Scope</w:t>
      </w:r>
      <w:r>
        <w:rPr>
          <w:spacing w:val="-2"/>
          <w:sz w:val="24"/>
        </w:rPr>
        <w:t>:</w:t>
      </w:r>
    </w:p>
    <w:p>
      <w:pPr>
        <w:pStyle w:val="BodyText"/>
        <w:spacing w:before="4"/>
        <w:ind w:left="1313" w:right="800"/>
      </w:pPr>
      <w:r>
        <w:rPr/>
        <w:t>These</w:t>
      </w:r>
      <w:r>
        <w:rPr>
          <w:spacing w:val="40"/>
        </w:rPr>
        <w:t> </w:t>
      </w:r>
      <w:r>
        <w:rPr/>
        <w:t>bye</w:t>
      </w:r>
      <w:r>
        <w:rPr>
          <w:spacing w:val="40"/>
        </w:rPr>
        <w:t> </w:t>
      </w:r>
      <w:r>
        <w:rPr/>
        <w:t>laws</w:t>
      </w:r>
      <w:r>
        <w:rPr>
          <w:spacing w:val="40"/>
        </w:rPr>
        <w:t> </w:t>
      </w:r>
      <w:r>
        <w:rPr/>
        <w:t>are</w:t>
      </w:r>
      <w:r>
        <w:rPr>
          <w:spacing w:val="40"/>
        </w:rPr>
        <w:t> </w:t>
      </w:r>
      <w:r>
        <w:rPr/>
        <w:t>applicable</w:t>
      </w:r>
      <w:r>
        <w:rPr>
          <w:spacing w:val="40"/>
        </w:rPr>
        <w:t> </w:t>
      </w:r>
      <w:r>
        <w:rPr/>
        <w:t>to</w:t>
      </w:r>
      <w:r>
        <w:rPr>
          <w:spacing w:val="40"/>
        </w:rPr>
        <w:t> </w:t>
      </w:r>
      <w:r>
        <w:rPr/>
        <w:t>all</w:t>
      </w:r>
      <w:r>
        <w:rPr>
          <w:spacing w:val="40"/>
        </w:rPr>
        <w:t> </w:t>
      </w:r>
      <w:r>
        <w:rPr/>
        <w:t>existing</w:t>
      </w:r>
      <w:r>
        <w:rPr>
          <w:spacing w:val="40"/>
        </w:rPr>
        <w:t> </w:t>
      </w:r>
      <w:r>
        <w:rPr/>
        <w:t>and</w:t>
      </w:r>
      <w:r>
        <w:rPr>
          <w:spacing w:val="40"/>
        </w:rPr>
        <w:t> </w:t>
      </w:r>
      <w:r>
        <w:rPr/>
        <w:t>proposed</w:t>
      </w:r>
      <w:r>
        <w:rPr>
          <w:spacing w:val="40"/>
        </w:rPr>
        <w:t> </w:t>
      </w:r>
      <w:r>
        <w:rPr/>
        <w:t>public buildings</w:t>
      </w:r>
      <w:r>
        <w:rPr>
          <w:spacing w:val="40"/>
        </w:rPr>
        <w:t> </w:t>
      </w:r>
      <w:r>
        <w:rPr/>
        <w:t>&amp;</w:t>
      </w:r>
      <w:r>
        <w:rPr>
          <w:spacing w:val="40"/>
        </w:rPr>
        <w:t> </w:t>
      </w:r>
      <w:r>
        <w:rPr/>
        <w:t>facilities</w:t>
      </w:r>
      <w:r>
        <w:rPr>
          <w:spacing w:val="40"/>
        </w:rPr>
        <w:t> </w:t>
      </w:r>
      <w:r>
        <w:rPr/>
        <w:t>having</w:t>
      </w:r>
      <w:r>
        <w:rPr>
          <w:spacing w:val="40"/>
        </w:rPr>
        <w:t> </w:t>
      </w:r>
      <w:r>
        <w:rPr/>
        <w:t>BUA</w:t>
      </w:r>
      <w:r>
        <w:rPr>
          <w:spacing w:val="40"/>
        </w:rPr>
        <w:t> </w:t>
      </w:r>
      <w:r>
        <w:rPr/>
        <w:t>more</w:t>
      </w:r>
      <w:r>
        <w:rPr>
          <w:spacing w:val="40"/>
        </w:rPr>
        <w:t> </w:t>
      </w:r>
      <w:r>
        <w:rPr/>
        <w:t>than</w:t>
      </w:r>
      <w:r>
        <w:rPr>
          <w:spacing w:val="40"/>
        </w:rPr>
        <w:t> </w:t>
      </w:r>
      <w:r>
        <w:rPr/>
        <w:t>2000</w:t>
      </w:r>
      <w:r>
        <w:rPr>
          <w:spacing w:val="40"/>
        </w:rPr>
        <w:t> </w:t>
      </w:r>
      <w:r>
        <w:rPr/>
        <w:t>sq.</w:t>
      </w:r>
      <w:r>
        <w:rPr>
          <w:spacing w:val="40"/>
        </w:rPr>
        <w:t> </w:t>
      </w:r>
      <w:r>
        <w:rPr/>
        <w:t>m.</w:t>
      </w:r>
    </w:p>
    <w:p>
      <w:pPr>
        <w:pStyle w:val="BodyText"/>
        <w:spacing w:before="1"/>
        <w:ind w:left="1313" w:right="778"/>
      </w:pPr>
      <w:r>
        <w:rPr/>
        <w:t>In case of proposed residential buildings and public buildings/facilities having BUA less than 2000sq. m the access path and walkways up to lift/staircase on ground level/stilt/podium from drop off zone shall be provided</w:t>
      </w:r>
      <w:r>
        <w:rPr>
          <w:spacing w:val="40"/>
        </w:rPr>
        <w:t> </w:t>
      </w:r>
      <w:r>
        <w:rPr/>
        <w:t>for</w:t>
      </w:r>
      <w:r>
        <w:rPr>
          <w:spacing w:val="40"/>
        </w:rPr>
        <w:t> </w:t>
      </w:r>
      <w:r>
        <w:rPr/>
        <w:t>differently</w:t>
      </w:r>
      <w:r>
        <w:rPr>
          <w:spacing w:val="40"/>
        </w:rPr>
        <w:t> </w:t>
      </w:r>
      <w:r>
        <w:rPr/>
        <w:t>abled</w:t>
      </w:r>
      <w:r>
        <w:rPr>
          <w:spacing w:val="40"/>
        </w:rPr>
        <w:t> </w:t>
      </w:r>
      <w:r>
        <w:rPr>
          <w:spacing w:val="9"/>
        </w:rPr>
        <w:t>persons.</w:t>
      </w:r>
    </w:p>
    <w:p>
      <w:pPr>
        <w:pStyle w:val="Heading6"/>
        <w:numPr>
          <w:ilvl w:val="0"/>
          <w:numId w:val="264"/>
        </w:numPr>
        <w:tabs>
          <w:tab w:pos="1643" w:val="left" w:leader="none"/>
        </w:tabs>
        <w:spacing w:line="240" w:lineRule="auto" w:before="279" w:after="0"/>
        <w:ind w:left="1643" w:right="0" w:hanging="330"/>
        <w:jc w:val="both"/>
        <w:rPr>
          <w:b w:val="0"/>
          <w:i w:val="0"/>
        </w:rPr>
      </w:pPr>
      <w:r>
        <w:rPr/>
        <w:t>Site</w:t>
      </w:r>
      <w:r>
        <w:rPr>
          <w:spacing w:val="45"/>
        </w:rPr>
        <w:t> </w:t>
      </w:r>
      <w:r>
        <w:rPr>
          <w:spacing w:val="7"/>
        </w:rPr>
        <w:t>Development</w:t>
      </w:r>
      <w:r>
        <w:rPr>
          <w:b w:val="0"/>
          <w:i w:val="0"/>
          <w:spacing w:val="7"/>
        </w:rPr>
        <w:t>:</w:t>
      </w:r>
    </w:p>
    <w:p>
      <w:pPr>
        <w:pStyle w:val="BodyText"/>
        <w:spacing w:before="2"/>
        <w:ind w:left="1313" w:right="801"/>
      </w:pPr>
      <w:r>
        <w:rPr/>
        <w:t>Level</w:t>
      </w:r>
      <w:r>
        <w:rPr>
          <w:spacing w:val="40"/>
        </w:rPr>
        <w:t> </w:t>
      </w:r>
      <w:r>
        <w:rPr/>
        <w:t>of</w:t>
      </w:r>
      <w:r>
        <w:rPr>
          <w:spacing w:val="40"/>
        </w:rPr>
        <w:t> </w:t>
      </w:r>
      <w:r>
        <w:rPr/>
        <w:t>the</w:t>
      </w:r>
      <w:r>
        <w:rPr>
          <w:spacing w:val="40"/>
        </w:rPr>
        <w:t> </w:t>
      </w:r>
      <w:r>
        <w:rPr/>
        <w:t>roads,</w:t>
      </w:r>
      <w:r>
        <w:rPr>
          <w:spacing w:val="40"/>
        </w:rPr>
        <w:t> </w:t>
      </w:r>
      <w:r>
        <w:rPr/>
        <w:t>access</w:t>
      </w:r>
      <w:r>
        <w:rPr>
          <w:spacing w:val="40"/>
        </w:rPr>
        <w:t> </w:t>
      </w:r>
      <w:r>
        <w:rPr/>
        <w:t>paths</w:t>
      </w:r>
      <w:r>
        <w:rPr>
          <w:spacing w:val="40"/>
        </w:rPr>
        <w:t> </w:t>
      </w:r>
      <w:r>
        <w:rPr/>
        <w:t>and</w:t>
      </w:r>
      <w:r>
        <w:rPr>
          <w:spacing w:val="40"/>
        </w:rPr>
        <w:t> </w:t>
      </w:r>
      <w:r>
        <w:rPr/>
        <w:t>parking</w:t>
      </w:r>
      <w:r>
        <w:rPr>
          <w:spacing w:val="40"/>
        </w:rPr>
        <w:t> </w:t>
      </w:r>
      <w:r>
        <w:rPr/>
        <w:t>areas</w:t>
      </w:r>
      <w:r>
        <w:rPr>
          <w:spacing w:val="40"/>
        </w:rPr>
        <w:t> </w:t>
      </w:r>
      <w:r>
        <w:rPr/>
        <w:t>shall</w:t>
      </w:r>
      <w:r>
        <w:rPr>
          <w:spacing w:val="40"/>
        </w:rPr>
        <w:t> </w:t>
      </w:r>
      <w:r>
        <w:rPr/>
        <w:t>be</w:t>
      </w:r>
      <w:r>
        <w:rPr>
          <w:spacing w:val="40"/>
        </w:rPr>
        <w:t> </w:t>
      </w:r>
      <w:r>
        <w:rPr/>
        <w:t>described</w:t>
      </w:r>
      <w:r>
        <w:rPr>
          <w:spacing w:val="40"/>
        </w:rPr>
        <w:t> </w:t>
      </w:r>
      <w:r>
        <w:rPr/>
        <w:t>in the</w:t>
      </w:r>
      <w:r>
        <w:rPr>
          <w:spacing w:val="40"/>
        </w:rPr>
        <w:t> </w:t>
      </w:r>
      <w:r>
        <w:rPr/>
        <w:t>plan</w:t>
      </w:r>
      <w:r>
        <w:rPr>
          <w:spacing w:val="80"/>
        </w:rPr>
        <w:t> </w:t>
      </w:r>
      <w:r>
        <w:rPr/>
        <w:t>along</w:t>
      </w:r>
      <w:r>
        <w:rPr>
          <w:spacing w:val="80"/>
        </w:rPr>
        <w:t> </w:t>
      </w:r>
      <w:r>
        <w:rPr/>
        <w:t>with</w:t>
      </w:r>
      <w:r>
        <w:rPr>
          <w:spacing w:val="80"/>
        </w:rPr>
        <w:t> </w:t>
      </w:r>
      <w:r>
        <w:rPr/>
        <w:t>specification</w:t>
      </w:r>
      <w:r>
        <w:rPr>
          <w:spacing w:val="80"/>
        </w:rPr>
        <w:t> </w:t>
      </w:r>
      <w:r>
        <w:rPr/>
        <w:t>of</w:t>
      </w:r>
      <w:r>
        <w:rPr>
          <w:spacing w:val="40"/>
        </w:rPr>
        <w:t> </w:t>
      </w:r>
      <w:r>
        <w:rPr/>
        <w:t>the</w:t>
      </w:r>
      <w:r>
        <w:rPr>
          <w:spacing w:val="40"/>
        </w:rPr>
        <w:t> </w:t>
      </w:r>
      <w:r>
        <w:rPr/>
        <w:t>materials.</w:t>
      </w:r>
    </w:p>
    <w:p>
      <w:pPr>
        <w:pStyle w:val="ListParagraph"/>
        <w:numPr>
          <w:ilvl w:val="1"/>
          <w:numId w:val="264"/>
        </w:numPr>
        <w:tabs>
          <w:tab w:pos="2211" w:val="left" w:leader="none"/>
        </w:tabs>
        <w:spacing w:line="282" w:lineRule="exact" w:before="0" w:after="0"/>
        <w:ind w:left="2211" w:right="0" w:hanging="898"/>
        <w:jc w:val="both"/>
        <w:rPr>
          <w:sz w:val="24"/>
        </w:rPr>
      </w:pPr>
      <w:r>
        <w:rPr>
          <w:sz w:val="24"/>
        </w:rPr>
        <w:t>Access</w:t>
      </w:r>
      <w:r>
        <w:rPr>
          <w:spacing w:val="78"/>
          <w:sz w:val="24"/>
        </w:rPr>
        <w:t> </w:t>
      </w:r>
      <w:r>
        <w:rPr>
          <w:sz w:val="24"/>
        </w:rPr>
        <w:t>path/walk</w:t>
      </w:r>
      <w:r>
        <w:rPr>
          <w:spacing w:val="44"/>
          <w:w w:val="150"/>
          <w:sz w:val="24"/>
        </w:rPr>
        <w:t> </w:t>
      </w:r>
      <w:r>
        <w:rPr>
          <w:spacing w:val="-4"/>
          <w:sz w:val="24"/>
        </w:rPr>
        <w:t>way-</w:t>
      </w:r>
    </w:p>
    <w:p>
      <w:pPr>
        <w:pStyle w:val="BodyText"/>
        <w:ind w:left="1313" w:right="779"/>
      </w:pPr>
      <w:r>
        <w:rPr/>
        <w:t>Access</w:t>
      </w:r>
      <w:r>
        <w:rPr>
          <w:spacing w:val="40"/>
        </w:rPr>
        <w:t> </w:t>
      </w:r>
      <w:r>
        <w:rPr/>
        <w:t>path</w:t>
      </w:r>
      <w:r>
        <w:rPr>
          <w:spacing w:val="40"/>
        </w:rPr>
        <w:t> </w:t>
      </w:r>
      <w:r>
        <w:rPr/>
        <w:t>from</w:t>
      </w:r>
      <w:r>
        <w:rPr>
          <w:spacing w:val="40"/>
        </w:rPr>
        <w:t> </w:t>
      </w:r>
      <w:r>
        <w:rPr/>
        <w:t>plot</w:t>
      </w:r>
      <w:r>
        <w:rPr>
          <w:spacing w:val="40"/>
        </w:rPr>
        <w:t> </w:t>
      </w:r>
      <w:r>
        <w:rPr/>
        <w:t>entry</w:t>
      </w:r>
      <w:r>
        <w:rPr>
          <w:spacing w:val="40"/>
        </w:rPr>
        <w:t> </w:t>
      </w:r>
      <w:r>
        <w:rPr/>
        <w:t>and</w:t>
      </w:r>
      <w:r>
        <w:rPr>
          <w:spacing w:val="40"/>
        </w:rPr>
        <w:t> </w:t>
      </w:r>
      <w:r>
        <w:rPr/>
        <w:t>surface</w:t>
      </w:r>
      <w:r>
        <w:rPr>
          <w:spacing w:val="40"/>
        </w:rPr>
        <w:t> </w:t>
      </w:r>
      <w:r>
        <w:rPr/>
        <w:t>parking</w:t>
      </w:r>
      <w:r>
        <w:rPr>
          <w:spacing w:val="40"/>
        </w:rPr>
        <w:t> </w:t>
      </w:r>
      <w:r>
        <w:rPr/>
        <w:t>to</w:t>
      </w:r>
      <w:r>
        <w:rPr>
          <w:spacing w:val="40"/>
        </w:rPr>
        <w:t> </w:t>
      </w:r>
      <w:r>
        <w:rPr/>
        <w:t>building</w:t>
      </w:r>
      <w:r>
        <w:rPr>
          <w:spacing w:val="40"/>
        </w:rPr>
        <w:t> </w:t>
      </w:r>
      <w:r>
        <w:rPr/>
        <w:t>entrance shall be of minimum 1.5 m width having even surface without any slope. Slope if</w:t>
      </w:r>
      <w:r>
        <w:rPr>
          <w:spacing w:val="40"/>
        </w:rPr>
        <w:t> </w:t>
      </w:r>
      <w:r>
        <w:rPr/>
        <w:t>any shall</w:t>
      </w:r>
      <w:r>
        <w:rPr>
          <w:spacing w:val="40"/>
        </w:rPr>
        <w:t> </w:t>
      </w:r>
      <w:r>
        <w:rPr/>
        <w:t>not</w:t>
      </w:r>
      <w:r>
        <w:rPr>
          <w:spacing w:val="40"/>
        </w:rPr>
        <w:t> </w:t>
      </w:r>
      <w:r>
        <w:rPr/>
        <w:t>have gradient</w:t>
      </w:r>
      <w:r>
        <w:rPr>
          <w:spacing w:val="40"/>
        </w:rPr>
        <w:t> </w:t>
      </w:r>
      <w:r>
        <w:rPr/>
        <w:t>greater than 1 in 20.</w:t>
      </w:r>
      <w:r>
        <w:rPr>
          <w:spacing w:val="80"/>
        </w:rPr>
        <w:t> </w:t>
      </w:r>
      <w:r>
        <w:rPr/>
        <w:t>Finishes shall have</w:t>
      </w:r>
      <w:r>
        <w:rPr>
          <w:spacing w:val="40"/>
        </w:rPr>
        <w:t> </w:t>
      </w:r>
      <w:r>
        <w:rPr/>
        <w:t>a</w:t>
      </w:r>
      <w:r>
        <w:rPr>
          <w:spacing w:val="40"/>
        </w:rPr>
        <w:t> </w:t>
      </w:r>
      <w:r>
        <w:rPr/>
        <w:t>nonskid</w:t>
      </w:r>
      <w:r>
        <w:rPr>
          <w:spacing w:val="40"/>
        </w:rPr>
        <w:t> </w:t>
      </w:r>
      <w:r>
        <w:rPr/>
        <w:t>surface</w:t>
      </w:r>
      <w:r>
        <w:rPr>
          <w:spacing w:val="40"/>
        </w:rPr>
        <w:t> </w:t>
      </w:r>
      <w:r>
        <w:rPr/>
        <w:t>with</w:t>
      </w:r>
      <w:r>
        <w:rPr>
          <w:spacing w:val="40"/>
        </w:rPr>
        <w:t> </w:t>
      </w:r>
      <w:r>
        <w:rPr/>
        <w:t>a</w:t>
      </w:r>
      <w:r>
        <w:rPr>
          <w:spacing w:val="40"/>
        </w:rPr>
        <w:t> </w:t>
      </w:r>
      <w:r>
        <w:rPr/>
        <w:t>texture</w:t>
      </w:r>
      <w:r>
        <w:rPr>
          <w:spacing w:val="40"/>
        </w:rPr>
        <w:t> </w:t>
      </w:r>
      <w:r>
        <w:rPr/>
        <w:t>traversable</w:t>
      </w:r>
      <w:r>
        <w:rPr>
          <w:spacing w:val="40"/>
        </w:rPr>
        <w:t> </w:t>
      </w:r>
      <w:r>
        <w:rPr/>
        <w:t>by</w:t>
      </w:r>
      <w:r>
        <w:rPr>
          <w:spacing w:val="40"/>
        </w:rPr>
        <w:t> </w:t>
      </w:r>
      <w:r>
        <w:rPr/>
        <w:t>a</w:t>
      </w:r>
      <w:r>
        <w:rPr>
          <w:spacing w:val="40"/>
        </w:rPr>
        <w:t> </w:t>
      </w:r>
      <w:r>
        <w:rPr/>
        <w:t>wheel</w:t>
      </w:r>
      <w:r>
        <w:rPr>
          <w:spacing w:val="40"/>
        </w:rPr>
        <w:t> </w:t>
      </w:r>
      <w:r>
        <w:rPr/>
        <w:t>chair. Where transfer has to be made from a vehicular surface to a pedestrian surface,</w:t>
      </w:r>
      <w:r>
        <w:rPr>
          <w:spacing w:val="40"/>
        </w:rPr>
        <w:t> </w:t>
      </w:r>
      <w:r>
        <w:rPr/>
        <w:t>the</w:t>
      </w:r>
      <w:r>
        <w:rPr>
          <w:spacing w:val="40"/>
        </w:rPr>
        <w:t> </w:t>
      </w:r>
      <w:r>
        <w:rPr/>
        <w:t>driveway</w:t>
      </w:r>
      <w:r>
        <w:rPr>
          <w:spacing w:val="40"/>
        </w:rPr>
        <w:t> </w:t>
      </w:r>
      <w:r>
        <w:rPr/>
        <w:t>and</w:t>
      </w:r>
      <w:r>
        <w:rPr>
          <w:spacing w:val="40"/>
        </w:rPr>
        <w:t> </w:t>
      </w:r>
      <w:r>
        <w:rPr/>
        <w:t>the</w:t>
      </w:r>
      <w:r>
        <w:rPr>
          <w:spacing w:val="40"/>
        </w:rPr>
        <w:t> </w:t>
      </w:r>
      <w:r>
        <w:rPr/>
        <w:t>pavement</w:t>
      </w:r>
      <w:r>
        <w:rPr>
          <w:spacing w:val="40"/>
        </w:rPr>
        <w:t> </w:t>
      </w:r>
      <w:r>
        <w:rPr/>
        <w:t>or</w:t>
      </w:r>
      <w:r>
        <w:rPr>
          <w:spacing w:val="40"/>
        </w:rPr>
        <w:t> </w:t>
      </w:r>
      <w:r>
        <w:rPr/>
        <w:t>footway</w:t>
      </w:r>
      <w:r>
        <w:rPr>
          <w:spacing w:val="40"/>
        </w:rPr>
        <w:t> </w:t>
      </w:r>
      <w:r>
        <w:rPr/>
        <w:t>surfaces</w:t>
      </w:r>
      <w:r>
        <w:rPr>
          <w:spacing w:val="40"/>
        </w:rPr>
        <w:t> </w:t>
      </w:r>
      <w:r>
        <w:rPr/>
        <w:t>shall</w:t>
      </w:r>
      <w:r>
        <w:rPr>
          <w:spacing w:val="40"/>
        </w:rPr>
        <w:t> </w:t>
      </w:r>
      <w:r>
        <w:rPr/>
        <w:t>be blended to a common level or ramp. Kerb Ramps shall be preferably</w:t>
      </w:r>
      <w:r>
        <w:rPr>
          <w:spacing w:val="40"/>
        </w:rPr>
        <w:t> </w:t>
      </w:r>
      <w:r>
        <w:rPr>
          <w:spacing w:val="-2"/>
        </w:rPr>
        <w:t>provided.</w:t>
      </w:r>
    </w:p>
    <w:p>
      <w:pPr>
        <w:pStyle w:val="BodyText"/>
        <w:spacing w:before="240"/>
        <w:ind w:left="1313"/>
      </w:pPr>
      <w:r>
        <w:rPr/>
        <w:t>(A)</w:t>
      </w:r>
      <w:r>
        <w:rPr>
          <w:spacing w:val="39"/>
        </w:rPr>
        <w:t> </w:t>
      </w:r>
      <w:r>
        <w:rPr/>
        <w:t>Kerb</w:t>
      </w:r>
      <w:r>
        <w:rPr>
          <w:spacing w:val="44"/>
        </w:rPr>
        <w:t> </w:t>
      </w:r>
      <w:r>
        <w:rPr>
          <w:spacing w:val="-4"/>
        </w:rPr>
        <w:t>Ramps</w:t>
      </w:r>
    </w:p>
    <w:p>
      <w:pPr>
        <w:pStyle w:val="BodyText"/>
        <w:spacing w:before="7"/>
        <w:jc w:val="left"/>
        <w:rPr>
          <w:sz w:val="20"/>
        </w:rPr>
      </w:pPr>
    </w:p>
    <w:tbl>
      <w:tblPr>
        <w:tblW w:w="0" w:type="auto"/>
        <w:jc w:val="left"/>
        <w:tblInd w:w="1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4"/>
        <w:gridCol w:w="7244"/>
      </w:tblGrid>
      <w:tr>
        <w:trPr>
          <w:trHeight w:val="1326" w:hRule="atLeast"/>
        </w:trPr>
        <w:tc>
          <w:tcPr>
            <w:tcW w:w="1514" w:type="dxa"/>
          </w:tcPr>
          <w:p>
            <w:pPr>
              <w:pStyle w:val="TableParagraph"/>
              <w:spacing w:before="140"/>
              <w:ind w:left="100" w:right="252"/>
              <w:rPr>
                <w:sz w:val="24"/>
              </w:rPr>
            </w:pPr>
            <w:r>
              <w:rPr>
                <w:spacing w:val="-2"/>
                <w:sz w:val="24"/>
              </w:rPr>
              <w:t>Provision </w:t>
            </w:r>
            <w:r>
              <w:rPr>
                <w:spacing w:val="-4"/>
                <w:sz w:val="24"/>
              </w:rPr>
              <w:t>and </w:t>
            </w:r>
            <w:r>
              <w:rPr>
                <w:spacing w:val="-2"/>
                <w:sz w:val="24"/>
              </w:rPr>
              <w:t>Location</w:t>
            </w:r>
          </w:p>
        </w:tc>
        <w:tc>
          <w:tcPr>
            <w:tcW w:w="7244" w:type="dxa"/>
          </w:tcPr>
          <w:p>
            <w:pPr>
              <w:pStyle w:val="TableParagraph"/>
              <w:spacing w:before="99"/>
              <w:ind w:left="203" w:right="88"/>
              <w:jc w:val="both"/>
              <w:rPr>
                <w:sz w:val="24"/>
              </w:rPr>
            </w:pPr>
            <w:r>
              <w:rPr>
                <w:sz w:val="24"/>
              </w:rPr>
              <w:t>Kerb</w:t>
            </w:r>
            <w:r>
              <w:rPr>
                <w:spacing w:val="40"/>
                <w:sz w:val="24"/>
              </w:rPr>
              <w:t> </w:t>
            </w:r>
            <w:r>
              <w:rPr>
                <w:sz w:val="24"/>
              </w:rPr>
              <w:t>Ramps</w:t>
            </w:r>
            <w:r>
              <w:rPr>
                <w:spacing w:val="40"/>
                <w:sz w:val="24"/>
              </w:rPr>
              <w:t> </w:t>
            </w:r>
            <w:r>
              <w:rPr>
                <w:sz w:val="24"/>
              </w:rPr>
              <w:t>are</w:t>
            </w:r>
            <w:r>
              <w:rPr>
                <w:spacing w:val="40"/>
                <w:sz w:val="24"/>
              </w:rPr>
              <w:t> </w:t>
            </w:r>
            <w:r>
              <w:rPr>
                <w:sz w:val="24"/>
              </w:rPr>
              <w:t>to</w:t>
            </w:r>
            <w:r>
              <w:rPr>
                <w:spacing w:val="40"/>
                <w:sz w:val="24"/>
              </w:rPr>
              <w:t> </w:t>
            </w:r>
            <w:r>
              <w:rPr>
                <w:sz w:val="24"/>
              </w:rPr>
              <w:t>be</w:t>
            </w:r>
            <w:r>
              <w:rPr>
                <w:spacing w:val="40"/>
                <w:sz w:val="24"/>
              </w:rPr>
              <w:t> </w:t>
            </w:r>
            <w:r>
              <w:rPr>
                <w:sz w:val="24"/>
              </w:rPr>
              <w:t>provided</w:t>
            </w:r>
            <w:r>
              <w:rPr>
                <w:spacing w:val="40"/>
                <w:sz w:val="24"/>
              </w:rPr>
              <w:t> </w:t>
            </w:r>
            <w:r>
              <w:rPr>
                <w:sz w:val="24"/>
              </w:rPr>
              <w:t>where</w:t>
            </w:r>
            <w:r>
              <w:rPr>
                <w:spacing w:val="40"/>
                <w:sz w:val="24"/>
              </w:rPr>
              <w:t> </w:t>
            </w:r>
            <w:r>
              <w:rPr>
                <w:sz w:val="24"/>
              </w:rPr>
              <w:t>the</w:t>
            </w:r>
            <w:r>
              <w:rPr>
                <w:spacing w:val="40"/>
                <w:sz w:val="24"/>
              </w:rPr>
              <w:t> </w:t>
            </w:r>
            <w:r>
              <w:rPr>
                <w:sz w:val="24"/>
              </w:rPr>
              <w:t>vertical</w:t>
            </w:r>
            <w:r>
              <w:rPr>
                <w:spacing w:val="40"/>
                <w:sz w:val="24"/>
              </w:rPr>
              <w:t> </w:t>
            </w:r>
            <w:r>
              <w:rPr>
                <w:sz w:val="24"/>
              </w:rPr>
              <w:t>rise</w:t>
            </w:r>
            <w:r>
              <w:rPr>
                <w:spacing w:val="80"/>
                <w:sz w:val="24"/>
              </w:rPr>
              <w:t> </w:t>
            </w:r>
            <w:r>
              <w:rPr>
                <w:sz w:val="24"/>
              </w:rPr>
              <w:t>is less than 0.15m, located or protected to prevent obstruction by parked vehicles and should be free from any</w:t>
            </w:r>
            <w:r>
              <w:rPr>
                <w:spacing w:val="80"/>
                <w:sz w:val="24"/>
              </w:rPr>
              <w:t> </w:t>
            </w:r>
            <w:r>
              <w:rPr>
                <w:sz w:val="24"/>
              </w:rPr>
              <w:t>obstruction</w:t>
            </w:r>
            <w:r>
              <w:rPr>
                <w:spacing w:val="80"/>
                <w:sz w:val="24"/>
              </w:rPr>
              <w:t> </w:t>
            </w:r>
            <w:r>
              <w:rPr>
                <w:sz w:val="24"/>
              </w:rPr>
              <w:t>such</w:t>
            </w:r>
            <w:r>
              <w:rPr>
                <w:spacing w:val="80"/>
                <w:sz w:val="24"/>
              </w:rPr>
              <w:t> </w:t>
            </w:r>
            <w:r>
              <w:rPr>
                <w:sz w:val="24"/>
              </w:rPr>
              <w:t>as</w:t>
            </w:r>
            <w:r>
              <w:rPr>
                <w:spacing w:val="80"/>
                <w:sz w:val="24"/>
              </w:rPr>
              <w:t> </w:t>
            </w:r>
            <w:r>
              <w:rPr>
                <w:sz w:val="24"/>
              </w:rPr>
              <w:t>signposts,</w:t>
            </w:r>
            <w:r>
              <w:rPr>
                <w:spacing w:val="80"/>
                <w:sz w:val="24"/>
              </w:rPr>
              <w:t> </w:t>
            </w:r>
            <w:r>
              <w:rPr>
                <w:sz w:val="24"/>
              </w:rPr>
              <w:t>traffic</w:t>
            </w:r>
            <w:r>
              <w:rPr>
                <w:spacing w:val="80"/>
                <w:sz w:val="24"/>
              </w:rPr>
              <w:t> </w:t>
            </w:r>
            <w:r>
              <w:rPr>
                <w:sz w:val="24"/>
              </w:rPr>
              <w:t>lights,</w:t>
            </w:r>
            <w:r>
              <w:rPr>
                <w:spacing w:val="80"/>
                <w:sz w:val="24"/>
              </w:rPr>
              <w:t> </w:t>
            </w:r>
            <w:r>
              <w:rPr>
                <w:sz w:val="24"/>
              </w:rPr>
              <w:t>etc.</w:t>
            </w:r>
          </w:p>
        </w:tc>
      </w:tr>
      <w:tr>
        <w:trPr>
          <w:trHeight w:val="1045" w:hRule="atLeast"/>
        </w:trPr>
        <w:tc>
          <w:tcPr>
            <w:tcW w:w="1514" w:type="dxa"/>
          </w:tcPr>
          <w:p>
            <w:pPr>
              <w:pStyle w:val="TableParagraph"/>
              <w:spacing w:before="99"/>
              <w:ind w:left="100" w:right="252"/>
              <w:rPr>
                <w:sz w:val="24"/>
              </w:rPr>
            </w:pPr>
            <w:r>
              <w:rPr>
                <w:spacing w:val="-2"/>
                <w:sz w:val="24"/>
              </w:rPr>
              <w:t>Dimensio </w:t>
            </w:r>
            <w:r>
              <w:rPr>
                <w:sz w:val="24"/>
              </w:rPr>
              <w:t>ns and </w:t>
            </w:r>
            <w:r>
              <w:rPr>
                <w:spacing w:val="-2"/>
                <w:sz w:val="24"/>
              </w:rPr>
              <w:t>slopes</w:t>
            </w:r>
          </w:p>
        </w:tc>
        <w:tc>
          <w:tcPr>
            <w:tcW w:w="7244" w:type="dxa"/>
            <w:tcBorders>
              <w:right w:val="single" w:sz="6" w:space="0" w:color="000000"/>
            </w:tcBorders>
          </w:tcPr>
          <w:p>
            <w:pPr>
              <w:pStyle w:val="TableParagraph"/>
              <w:spacing w:before="99"/>
              <w:ind w:left="223" w:right="123"/>
              <w:jc w:val="both"/>
              <w:rPr>
                <w:sz w:val="24"/>
              </w:rPr>
            </w:pPr>
            <w:r>
              <w:rPr>
                <w:sz w:val="24"/>
              </w:rPr>
              <w:t>The gradient of a kerb ramp should not be steeper than 1:12,</w:t>
            </w:r>
            <w:r>
              <w:rPr>
                <w:spacing w:val="40"/>
                <w:sz w:val="24"/>
              </w:rPr>
              <w:t> </w:t>
            </w:r>
            <w:r>
              <w:rPr>
                <w:sz w:val="24"/>
              </w:rPr>
              <w:t>the</w:t>
            </w:r>
            <w:r>
              <w:rPr>
                <w:spacing w:val="40"/>
                <w:sz w:val="24"/>
              </w:rPr>
              <w:t> </w:t>
            </w:r>
            <w:r>
              <w:rPr>
                <w:sz w:val="24"/>
              </w:rPr>
              <w:t>flared</w:t>
            </w:r>
            <w:r>
              <w:rPr>
                <w:spacing w:val="40"/>
                <w:sz w:val="24"/>
              </w:rPr>
              <w:t> </w:t>
            </w:r>
            <w:r>
              <w:rPr>
                <w:sz w:val="24"/>
              </w:rPr>
              <w:t>sides</w:t>
            </w:r>
            <w:r>
              <w:rPr>
                <w:spacing w:val="40"/>
                <w:sz w:val="24"/>
              </w:rPr>
              <w:t> </w:t>
            </w:r>
            <w:r>
              <w:rPr>
                <w:sz w:val="24"/>
              </w:rPr>
              <w:t>should</w:t>
            </w:r>
            <w:r>
              <w:rPr>
                <w:spacing w:val="40"/>
                <w:sz w:val="24"/>
              </w:rPr>
              <w:t> </w:t>
            </w:r>
            <w:r>
              <w:rPr>
                <w:sz w:val="24"/>
              </w:rPr>
              <w:t>not</w:t>
            </w:r>
            <w:r>
              <w:rPr>
                <w:spacing w:val="40"/>
                <w:sz w:val="24"/>
              </w:rPr>
              <w:t> </w:t>
            </w:r>
            <w:r>
              <w:rPr>
                <w:sz w:val="24"/>
              </w:rPr>
              <w:t>be</w:t>
            </w:r>
            <w:r>
              <w:rPr>
                <w:spacing w:val="40"/>
                <w:sz w:val="24"/>
              </w:rPr>
              <w:t> </w:t>
            </w:r>
            <w:r>
              <w:rPr>
                <w:sz w:val="24"/>
              </w:rPr>
              <w:t>more</w:t>
            </w:r>
            <w:r>
              <w:rPr>
                <w:spacing w:val="40"/>
                <w:sz w:val="24"/>
              </w:rPr>
              <w:t> </w:t>
            </w:r>
            <w:r>
              <w:rPr>
                <w:sz w:val="24"/>
              </w:rPr>
              <w:t>than</w:t>
            </w:r>
            <w:r>
              <w:rPr>
                <w:spacing w:val="40"/>
                <w:sz w:val="24"/>
              </w:rPr>
              <w:t> </w:t>
            </w:r>
            <w:r>
              <w:rPr>
                <w:sz w:val="24"/>
              </w:rPr>
              <w:t>1:10 and</w:t>
            </w:r>
            <w:r>
              <w:rPr>
                <w:spacing w:val="40"/>
                <w:sz w:val="24"/>
              </w:rPr>
              <w:t> </w:t>
            </w:r>
            <w:r>
              <w:rPr>
                <w:sz w:val="24"/>
              </w:rPr>
              <w:t>width</w:t>
            </w:r>
            <w:r>
              <w:rPr>
                <w:spacing w:val="40"/>
                <w:sz w:val="24"/>
              </w:rPr>
              <w:t> </w:t>
            </w:r>
            <w:r>
              <w:rPr>
                <w:sz w:val="24"/>
              </w:rPr>
              <w:t>should</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0.9</w:t>
            </w:r>
            <w:r>
              <w:rPr>
                <w:spacing w:val="40"/>
                <w:sz w:val="24"/>
              </w:rPr>
              <w:t> </w:t>
            </w:r>
            <w:r>
              <w:rPr>
                <w:sz w:val="24"/>
              </w:rPr>
              <w:t>m.</w:t>
            </w:r>
          </w:p>
        </w:tc>
      </w:tr>
      <w:tr>
        <w:trPr>
          <w:trHeight w:val="1045" w:hRule="atLeast"/>
        </w:trPr>
        <w:tc>
          <w:tcPr>
            <w:tcW w:w="1514" w:type="dxa"/>
          </w:tcPr>
          <w:p>
            <w:pPr>
              <w:pStyle w:val="TableParagraph"/>
              <w:spacing w:before="99"/>
              <w:ind w:left="100" w:right="252"/>
              <w:rPr>
                <w:sz w:val="24"/>
              </w:rPr>
            </w:pPr>
            <w:r>
              <w:rPr>
                <w:spacing w:val="-2"/>
                <w:sz w:val="24"/>
              </w:rPr>
              <w:t>Design </w:t>
            </w:r>
            <w:r>
              <w:rPr>
                <w:spacing w:val="-4"/>
                <w:sz w:val="24"/>
              </w:rPr>
              <w:t>and </w:t>
            </w:r>
            <w:r>
              <w:rPr>
                <w:spacing w:val="-2"/>
                <w:sz w:val="24"/>
              </w:rPr>
              <w:t>Finish</w:t>
            </w:r>
          </w:p>
        </w:tc>
        <w:tc>
          <w:tcPr>
            <w:tcW w:w="7244" w:type="dxa"/>
          </w:tcPr>
          <w:p>
            <w:pPr>
              <w:pStyle w:val="TableParagraph"/>
              <w:spacing w:before="99"/>
              <w:ind w:left="203" w:right="88"/>
              <w:jc w:val="both"/>
              <w:rPr>
                <w:sz w:val="24"/>
              </w:rPr>
            </w:pPr>
            <w:r>
              <w:rPr>
                <w:sz w:val="24"/>
              </w:rPr>
              <w:t>A</w:t>
            </w:r>
            <w:r>
              <w:rPr>
                <w:spacing w:val="40"/>
                <w:sz w:val="24"/>
              </w:rPr>
              <w:t> </w:t>
            </w:r>
            <w:r>
              <w:rPr>
                <w:spacing w:val="9"/>
                <w:sz w:val="24"/>
              </w:rPr>
              <w:t>slip-</w:t>
            </w:r>
            <w:r>
              <w:rPr>
                <w:sz w:val="24"/>
              </w:rPr>
              <w:t>resistant</w:t>
            </w:r>
            <w:r>
              <w:rPr>
                <w:spacing w:val="40"/>
                <w:sz w:val="24"/>
              </w:rPr>
              <w:t> </w:t>
            </w:r>
            <w:r>
              <w:rPr>
                <w:sz w:val="24"/>
              </w:rPr>
              <w:t>surface,</w:t>
            </w:r>
            <w:r>
              <w:rPr>
                <w:spacing w:val="40"/>
                <w:sz w:val="24"/>
              </w:rPr>
              <w:t> </w:t>
            </w:r>
            <w:r>
              <w:rPr>
                <w:sz w:val="24"/>
              </w:rPr>
              <w:t>should</w:t>
            </w:r>
            <w:r>
              <w:rPr>
                <w:spacing w:val="40"/>
                <w:sz w:val="24"/>
              </w:rPr>
              <w:t> </w:t>
            </w:r>
            <w:r>
              <w:rPr>
                <w:sz w:val="24"/>
              </w:rPr>
              <w:t>be</w:t>
            </w:r>
            <w:r>
              <w:rPr>
                <w:spacing w:val="40"/>
                <w:sz w:val="24"/>
              </w:rPr>
              <w:t> </w:t>
            </w:r>
            <w:r>
              <w:rPr>
                <w:sz w:val="24"/>
              </w:rPr>
              <w:t>designed</w:t>
            </w:r>
            <w:r>
              <w:rPr>
                <w:spacing w:val="80"/>
                <w:sz w:val="24"/>
              </w:rPr>
              <w:t> </w:t>
            </w:r>
            <w:r>
              <w:rPr>
                <w:sz w:val="24"/>
              </w:rPr>
              <w:t>not</w:t>
            </w:r>
            <w:r>
              <w:rPr>
                <w:spacing w:val="40"/>
                <w:sz w:val="24"/>
              </w:rPr>
              <w:t> </w:t>
            </w:r>
            <w:r>
              <w:rPr>
                <w:sz w:val="24"/>
              </w:rPr>
              <w:t>to</w:t>
            </w:r>
            <w:r>
              <w:rPr>
                <w:spacing w:val="40"/>
                <w:sz w:val="24"/>
              </w:rPr>
              <w:t> </w:t>
            </w:r>
            <w:r>
              <w:rPr>
                <w:sz w:val="24"/>
              </w:rPr>
              <w:t>allow</w:t>
            </w:r>
            <w:r>
              <w:rPr>
                <w:spacing w:val="40"/>
                <w:sz w:val="24"/>
              </w:rPr>
              <w:t> </w:t>
            </w:r>
            <w:r>
              <w:rPr>
                <w:sz w:val="24"/>
              </w:rPr>
              <w:t>water</w:t>
            </w:r>
            <w:r>
              <w:rPr>
                <w:spacing w:val="40"/>
                <w:sz w:val="24"/>
              </w:rPr>
              <w:t> </w:t>
            </w:r>
            <w:r>
              <w:rPr>
                <w:sz w:val="24"/>
              </w:rPr>
              <w:t>accumulating</w:t>
            </w:r>
            <w:r>
              <w:rPr>
                <w:spacing w:val="40"/>
                <w:sz w:val="24"/>
              </w:rPr>
              <w:t> </w:t>
            </w:r>
            <w:r>
              <w:rPr>
                <w:sz w:val="24"/>
              </w:rPr>
              <w:t>on</w:t>
            </w:r>
            <w:r>
              <w:rPr>
                <w:spacing w:val="40"/>
                <w:sz w:val="24"/>
              </w:rPr>
              <w:t> </w:t>
            </w:r>
            <w:r>
              <w:rPr>
                <w:sz w:val="24"/>
              </w:rPr>
              <w:t>the</w:t>
            </w:r>
            <w:r>
              <w:rPr>
                <w:spacing w:val="40"/>
                <w:sz w:val="24"/>
              </w:rPr>
              <w:t> </w:t>
            </w:r>
            <w:r>
              <w:rPr>
                <w:sz w:val="24"/>
              </w:rPr>
              <w:t>walking</w:t>
            </w:r>
            <w:r>
              <w:rPr>
                <w:spacing w:val="40"/>
                <w:sz w:val="24"/>
              </w:rPr>
              <w:t> </w:t>
            </w:r>
            <w:r>
              <w:rPr>
                <w:sz w:val="24"/>
              </w:rPr>
              <w:t>surface,</w:t>
            </w:r>
            <w:r>
              <w:rPr>
                <w:spacing w:val="40"/>
                <w:sz w:val="24"/>
              </w:rPr>
              <w:t> </w:t>
            </w:r>
            <w:r>
              <w:rPr>
                <w:sz w:val="24"/>
              </w:rPr>
              <w:t>should</w:t>
            </w:r>
            <w:r>
              <w:rPr>
                <w:spacing w:val="40"/>
                <w:sz w:val="24"/>
              </w:rPr>
              <w:t> </w:t>
            </w:r>
            <w:r>
              <w:rPr>
                <w:sz w:val="24"/>
              </w:rPr>
              <w:t>not</w:t>
            </w:r>
            <w:r>
              <w:rPr>
                <w:spacing w:val="40"/>
                <w:sz w:val="24"/>
              </w:rPr>
              <w:t> </w:t>
            </w:r>
            <w:r>
              <w:rPr>
                <w:sz w:val="24"/>
              </w:rPr>
              <w:t>project</w:t>
            </w:r>
            <w:r>
              <w:rPr>
                <w:spacing w:val="40"/>
                <w:sz w:val="24"/>
              </w:rPr>
              <w:t> </w:t>
            </w:r>
            <w:r>
              <w:rPr>
                <w:sz w:val="24"/>
              </w:rPr>
              <w:t>onto</w:t>
            </w:r>
            <w:r>
              <w:rPr>
                <w:spacing w:val="40"/>
                <w:sz w:val="24"/>
              </w:rPr>
              <w:t> </w:t>
            </w:r>
            <w:r>
              <w:rPr>
                <w:sz w:val="24"/>
              </w:rPr>
              <w:t>the</w:t>
            </w:r>
            <w:r>
              <w:rPr>
                <w:spacing w:val="40"/>
                <w:sz w:val="24"/>
              </w:rPr>
              <w:t> </w:t>
            </w:r>
            <w:r>
              <w:rPr>
                <w:sz w:val="24"/>
              </w:rPr>
              <w:t>road</w:t>
            </w:r>
            <w:r>
              <w:rPr>
                <w:spacing w:val="40"/>
                <w:sz w:val="24"/>
              </w:rPr>
              <w:t> </w:t>
            </w:r>
            <w:r>
              <w:rPr>
                <w:spacing w:val="9"/>
                <w:sz w:val="24"/>
              </w:rPr>
              <w:t>surface</w:t>
            </w:r>
          </w:p>
        </w:tc>
      </w:tr>
    </w:tbl>
    <w:p>
      <w:pPr>
        <w:pStyle w:val="ListParagraph"/>
        <w:numPr>
          <w:ilvl w:val="0"/>
          <w:numId w:val="265"/>
        </w:numPr>
        <w:tabs>
          <w:tab w:pos="1580" w:val="left" w:leader="none"/>
        </w:tabs>
        <w:spacing w:line="240" w:lineRule="auto" w:before="281" w:after="0"/>
        <w:ind w:left="1580" w:right="0" w:hanging="267"/>
        <w:jc w:val="both"/>
        <w:rPr>
          <w:sz w:val="24"/>
        </w:rPr>
      </w:pPr>
      <w:r>
        <w:rPr>
          <w:sz w:val="24"/>
        </w:rPr>
        <w:t>Drop-off</w:t>
      </w:r>
      <w:r>
        <w:rPr>
          <w:spacing w:val="44"/>
          <w:w w:val="150"/>
          <w:sz w:val="24"/>
        </w:rPr>
        <w:t> </w:t>
      </w:r>
      <w:r>
        <w:rPr>
          <w:spacing w:val="-4"/>
          <w:sz w:val="24"/>
        </w:rPr>
        <w:t>Zone</w:t>
      </w:r>
    </w:p>
    <w:p>
      <w:pPr>
        <w:pStyle w:val="BodyText"/>
        <w:spacing w:before="49"/>
        <w:jc w:val="left"/>
        <w:rPr>
          <w:sz w:val="20"/>
        </w:rPr>
      </w:pPr>
    </w:p>
    <w:tbl>
      <w:tblPr>
        <w:tblW w:w="0" w:type="auto"/>
        <w:jc w:val="left"/>
        <w:tblInd w:w="1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3"/>
        <w:gridCol w:w="6729"/>
      </w:tblGrid>
      <w:tr>
        <w:trPr>
          <w:trHeight w:val="563" w:hRule="atLeast"/>
        </w:trPr>
        <w:tc>
          <w:tcPr>
            <w:tcW w:w="2273" w:type="dxa"/>
          </w:tcPr>
          <w:p>
            <w:pPr>
              <w:pStyle w:val="TableParagraph"/>
              <w:spacing w:line="280" w:lineRule="exact"/>
              <w:ind w:left="107"/>
              <w:rPr>
                <w:sz w:val="24"/>
              </w:rPr>
            </w:pPr>
            <w:r>
              <w:rPr>
                <w:sz w:val="24"/>
              </w:rPr>
              <w:t>Provision </w:t>
            </w:r>
            <w:r>
              <w:rPr>
                <w:sz w:val="24"/>
              </w:rPr>
              <w:t>&amp; </w:t>
            </w:r>
            <w:r>
              <w:rPr>
                <w:spacing w:val="-2"/>
                <w:sz w:val="24"/>
              </w:rPr>
              <w:t>Location</w:t>
            </w:r>
          </w:p>
        </w:tc>
        <w:tc>
          <w:tcPr>
            <w:tcW w:w="6729" w:type="dxa"/>
          </w:tcPr>
          <w:p>
            <w:pPr>
              <w:pStyle w:val="TableParagraph"/>
              <w:spacing w:line="280" w:lineRule="exact"/>
              <w:ind w:left="108"/>
              <w:rPr>
                <w:sz w:val="24"/>
              </w:rPr>
            </w:pPr>
            <w:r>
              <w:rPr>
                <w:sz w:val="24"/>
              </w:rPr>
              <w:t>Drop-off</w:t>
            </w:r>
            <w:r>
              <w:rPr>
                <w:spacing w:val="40"/>
                <w:sz w:val="24"/>
              </w:rPr>
              <w:t> </w:t>
            </w:r>
            <w:r>
              <w:rPr>
                <w:sz w:val="24"/>
              </w:rPr>
              <w:t>zones</w:t>
            </w:r>
            <w:r>
              <w:rPr>
                <w:spacing w:val="40"/>
                <w:sz w:val="24"/>
              </w:rPr>
              <w:t> </w:t>
            </w:r>
            <w:r>
              <w:rPr>
                <w:sz w:val="24"/>
              </w:rPr>
              <w:t>if</w:t>
            </w:r>
            <w:r>
              <w:rPr>
                <w:spacing w:val="40"/>
                <w:sz w:val="24"/>
              </w:rPr>
              <w:t> </w:t>
            </w:r>
            <w:r>
              <w:rPr>
                <w:sz w:val="24"/>
              </w:rPr>
              <w:t>provided</w:t>
            </w:r>
            <w:r>
              <w:rPr>
                <w:spacing w:val="40"/>
                <w:sz w:val="24"/>
              </w:rPr>
              <w:t> </w:t>
            </w:r>
            <w:r>
              <w:rPr>
                <w:sz w:val="24"/>
              </w:rPr>
              <w:t>should</w:t>
            </w:r>
            <w:r>
              <w:rPr>
                <w:spacing w:val="40"/>
                <w:sz w:val="24"/>
              </w:rPr>
              <w:t> </w:t>
            </w:r>
            <w:r>
              <w:rPr>
                <w:sz w:val="24"/>
              </w:rPr>
              <w:t>be</w:t>
            </w:r>
            <w:r>
              <w:rPr>
                <w:spacing w:val="40"/>
                <w:sz w:val="24"/>
              </w:rPr>
              <w:t> </w:t>
            </w:r>
            <w:r>
              <w:rPr>
                <w:sz w:val="24"/>
              </w:rPr>
              <w:t>at</w:t>
            </w:r>
            <w:r>
              <w:rPr>
                <w:spacing w:val="40"/>
                <w:sz w:val="24"/>
              </w:rPr>
              <w:t> </w:t>
            </w:r>
            <w:r>
              <w:rPr>
                <w:sz w:val="24"/>
              </w:rPr>
              <w:t>the</w:t>
            </w:r>
            <w:r>
              <w:rPr>
                <w:spacing w:val="40"/>
                <w:sz w:val="24"/>
              </w:rPr>
              <w:t> </w:t>
            </w:r>
            <w:r>
              <w:rPr>
                <w:sz w:val="24"/>
              </w:rPr>
              <w:t>same grade as the </w:t>
            </w:r>
            <w:r>
              <w:rPr>
                <w:spacing w:val="9"/>
                <w:sz w:val="24"/>
              </w:rPr>
              <w:t>driveway</w:t>
            </w:r>
          </w:p>
        </w:tc>
      </w:tr>
      <w:tr>
        <w:trPr>
          <w:trHeight w:val="1439" w:hRule="atLeast"/>
        </w:trPr>
        <w:tc>
          <w:tcPr>
            <w:tcW w:w="2273" w:type="dxa"/>
          </w:tcPr>
          <w:p>
            <w:pPr>
              <w:pStyle w:val="TableParagraph"/>
              <w:spacing w:line="281" w:lineRule="exact"/>
              <w:ind w:left="107"/>
              <w:rPr>
                <w:sz w:val="24"/>
              </w:rPr>
            </w:pPr>
            <w:r>
              <w:rPr>
                <w:spacing w:val="7"/>
                <w:sz w:val="24"/>
              </w:rPr>
              <w:t>Dimensions</w:t>
            </w:r>
          </w:p>
        </w:tc>
        <w:tc>
          <w:tcPr>
            <w:tcW w:w="6729" w:type="dxa"/>
          </w:tcPr>
          <w:p>
            <w:pPr>
              <w:pStyle w:val="TableParagraph"/>
              <w:numPr>
                <w:ilvl w:val="0"/>
                <w:numId w:val="266"/>
              </w:numPr>
              <w:tabs>
                <w:tab w:pos="537" w:val="left" w:leader="none"/>
                <w:tab w:pos="607" w:val="left" w:leader="none"/>
              </w:tabs>
              <w:spacing w:line="240" w:lineRule="auto" w:before="0" w:after="0"/>
              <w:ind w:left="607" w:right="813" w:hanging="360"/>
              <w:jc w:val="left"/>
              <w:rPr>
                <w:sz w:val="24"/>
              </w:rPr>
            </w:pPr>
            <w:r>
              <w:rPr>
                <w:sz w:val="24"/>
              </w:rPr>
              <w:t>Min</w:t>
            </w:r>
            <w:r>
              <w:rPr>
                <w:spacing w:val="37"/>
                <w:sz w:val="24"/>
              </w:rPr>
              <w:t> </w:t>
            </w:r>
            <w:r>
              <w:rPr>
                <w:sz w:val="24"/>
              </w:rPr>
              <w:t>width</w:t>
            </w:r>
            <w:r>
              <w:rPr>
                <w:spacing w:val="40"/>
                <w:sz w:val="24"/>
              </w:rPr>
              <w:t> </w:t>
            </w:r>
            <w:r>
              <w:rPr>
                <w:sz w:val="24"/>
              </w:rPr>
              <w:t>of</w:t>
            </w:r>
            <w:r>
              <w:rPr>
                <w:spacing w:val="10"/>
                <w:sz w:val="24"/>
              </w:rPr>
              <w:t> drop-</w:t>
            </w:r>
            <w:r>
              <w:rPr>
                <w:sz w:val="24"/>
              </w:rPr>
              <w:t>off</w:t>
            </w:r>
            <w:r>
              <w:rPr>
                <w:spacing w:val="37"/>
                <w:sz w:val="24"/>
              </w:rPr>
              <w:t> </w:t>
            </w:r>
            <w:r>
              <w:rPr>
                <w:sz w:val="24"/>
              </w:rPr>
              <w:t>zone</w:t>
            </w:r>
            <w:r>
              <w:rPr>
                <w:spacing w:val="40"/>
                <w:sz w:val="24"/>
              </w:rPr>
              <w:t> </w:t>
            </w:r>
            <w:r>
              <w:rPr>
                <w:sz w:val="24"/>
              </w:rPr>
              <w:t>1.5</w:t>
            </w:r>
            <w:r>
              <w:rPr>
                <w:spacing w:val="37"/>
                <w:sz w:val="24"/>
              </w:rPr>
              <w:t> </w:t>
            </w:r>
            <w:r>
              <w:rPr>
                <w:sz w:val="24"/>
              </w:rPr>
              <w:t>m,</w:t>
            </w:r>
            <w:r>
              <w:rPr>
                <w:spacing w:val="40"/>
                <w:sz w:val="24"/>
              </w:rPr>
              <w:t> </w:t>
            </w:r>
            <w:r>
              <w:rPr>
                <w:sz w:val="24"/>
              </w:rPr>
              <w:t>and</w:t>
            </w:r>
            <w:r>
              <w:rPr>
                <w:spacing w:val="40"/>
                <w:sz w:val="24"/>
              </w:rPr>
              <w:t> </w:t>
            </w:r>
            <w:r>
              <w:rPr>
                <w:sz w:val="24"/>
              </w:rPr>
              <w:t>min length 4.5 m.</w:t>
            </w:r>
          </w:p>
          <w:p>
            <w:pPr>
              <w:pStyle w:val="TableParagraph"/>
              <w:numPr>
                <w:ilvl w:val="0"/>
                <w:numId w:val="266"/>
              </w:numPr>
              <w:tabs>
                <w:tab w:pos="537" w:val="left" w:leader="none"/>
              </w:tabs>
              <w:spacing w:line="240" w:lineRule="auto" w:before="0" w:after="0"/>
              <w:ind w:left="537" w:right="0" w:hanging="290"/>
              <w:jc w:val="left"/>
              <w:rPr>
                <w:sz w:val="24"/>
              </w:rPr>
            </w:pPr>
            <w:r>
              <w:rPr>
                <w:sz w:val="24"/>
              </w:rPr>
              <w:t>Change</w:t>
            </w:r>
            <w:r>
              <w:rPr>
                <w:spacing w:val="48"/>
                <w:sz w:val="24"/>
              </w:rPr>
              <w:t> </w:t>
            </w:r>
            <w:r>
              <w:rPr>
                <w:sz w:val="24"/>
              </w:rPr>
              <w:t>in</w:t>
            </w:r>
            <w:r>
              <w:rPr>
                <w:spacing w:val="48"/>
                <w:sz w:val="24"/>
              </w:rPr>
              <w:t> </w:t>
            </w:r>
            <w:r>
              <w:rPr>
                <w:sz w:val="24"/>
              </w:rPr>
              <w:t>level</w:t>
            </w:r>
            <w:r>
              <w:rPr>
                <w:spacing w:val="49"/>
                <w:sz w:val="24"/>
              </w:rPr>
              <w:t> </w:t>
            </w:r>
            <w:r>
              <w:rPr>
                <w:sz w:val="24"/>
              </w:rPr>
              <w:t>between</w:t>
            </w:r>
            <w:r>
              <w:rPr>
                <w:spacing w:val="48"/>
                <w:sz w:val="24"/>
              </w:rPr>
              <w:t> </w:t>
            </w:r>
            <w:r>
              <w:rPr>
                <w:sz w:val="24"/>
              </w:rPr>
              <w:t>the</w:t>
            </w:r>
            <w:r>
              <w:rPr>
                <w:spacing w:val="51"/>
                <w:sz w:val="24"/>
              </w:rPr>
              <w:t> </w:t>
            </w:r>
            <w:r>
              <w:rPr>
                <w:spacing w:val="10"/>
                <w:sz w:val="24"/>
              </w:rPr>
              <w:t>drop-</w:t>
            </w:r>
            <w:r>
              <w:rPr>
                <w:sz w:val="24"/>
              </w:rPr>
              <w:t>off</w:t>
            </w:r>
            <w:r>
              <w:rPr>
                <w:spacing w:val="47"/>
                <w:sz w:val="24"/>
              </w:rPr>
              <w:t> </w:t>
            </w:r>
            <w:r>
              <w:rPr>
                <w:sz w:val="24"/>
              </w:rPr>
              <w:t>and</w:t>
            </w:r>
            <w:r>
              <w:rPr>
                <w:spacing w:val="48"/>
                <w:sz w:val="24"/>
              </w:rPr>
              <w:t> </w:t>
            </w:r>
            <w:r>
              <w:rPr>
                <w:spacing w:val="-5"/>
                <w:sz w:val="24"/>
              </w:rPr>
              <w:t>the</w:t>
            </w:r>
          </w:p>
          <w:p>
            <w:pPr>
              <w:pStyle w:val="TableParagraph"/>
              <w:spacing w:line="280" w:lineRule="exact"/>
              <w:ind w:left="607"/>
              <w:rPr>
                <w:sz w:val="24"/>
              </w:rPr>
            </w:pPr>
            <w:r>
              <w:rPr>
                <w:sz w:val="24"/>
              </w:rPr>
              <w:t>plinth</w:t>
            </w:r>
            <w:r>
              <w:rPr>
                <w:spacing w:val="40"/>
                <w:sz w:val="24"/>
              </w:rPr>
              <w:t> </w:t>
            </w:r>
            <w:r>
              <w:rPr>
                <w:sz w:val="24"/>
              </w:rPr>
              <w:t>should</w:t>
            </w:r>
            <w:r>
              <w:rPr>
                <w:spacing w:val="40"/>
                <w:sz w:val="24"/>
              </w:rPr>
              <w:t> </w:t>
            </w:r>
            <w:r>
              <w:rPr>
                <w:sz w:val="24"/>
              </w:rPr>
              <w:t>be</w:t>
            </w:r>
            <w:r>
              <w:rPr>
                <w:spacing w:val="40"/>
                <w:sz w:val="24"/>
              </w:rPr>
              <w:t> </w:t>
            </w:r>
            <w:r>
              <w:rPr>
                <w:sz w:val="24"/>
              </w:rPr>
              <w:t>through</w:t>
            </w:r>
            <w:r>
              <w:rPr>
                <w:spacing w:val="40"/>
                <w:sz w:val="24"/>
              </w:rPr>
              <w:t> </w:t>
            </w:r>
            <w:r>
              <w:rPr>
                <w:sz w:val="24"/>
              </w:rPr>
              <w:t>a</w:t>
            </w:r>
            <w:r>
              <w:rPr>
                <w:spacing w:val="40"/>
                <w:sz w:val="24"/>
              </w:rPr>
              <w:t> </w:t>
            </w:r>
            <w:r>
              <w:rPr>
                <w:sz w:val="24"/>
              </w:rPr>
              <w:t>ramp</w:t>
            </w:r>
            <w:r>
              <w:rPr>
                <w:spacing w:val="40"/>
                <w:sz w:val="24"/>
              </w:rPr>
              <w:t> </w:t>
            </w:r>
            <w:r>
              <w:rPr>
                <w:sz w:val="24"/>
              </w:rPr>
              <w:t>of</w:t>
            </w:r>
            <w:r>
              <w:rPr>
                <w:spacing w:val="9"/>
                <w:sz w:val="24"/>
              </w:rPr>
              <w:t> maximum </w:t>
            </w:r>
            <w:r>
              <w:rPr>
                <w:sz w:val="24"/>
              </w:rPr>
              <w:t>gradient 1:12</w:t>
            </w:r>
          </w:p>
        </w:tc>
      </w:tr>
    </w:tbl>
    <w:p>
      <w:pPr>
        <w:pStyle w:val="TableParagraph"/>
        <w:spacing w:after="0" w:line="280" w:lineRule="exact"/>
        <w:rPr>
          <w:sz w:val="24"/>
        </w:rPr>
        <w:sectPr>
          <w:pgSz w:w="11910" w:h="16840"/>
          <w:pgMar w:header="1058" w:footer="1201" w:top="1500" w:bottom="1400" w:left="360" w:right="360"/>
        </w:sectPr>
      </w:pPr>
    </w:p>
    <w:p>
      <w:pPr>
        <w:pStyle w:val="BodyText"/>
        <w:spacing w:before="20"/>
        <w:jc w:val="left"/>
        <w:rPr>
          <w:sz w:val="20"/>
        </w:rPr>
      </w:pPr>
    </w:p>
    <w:tbl>
      <w:tblPr>
        <w:tblW w:w="0" w:type="auto"/>
        <w:jc w:val="left"/>
        <w:tblInd w:w="1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3"/>
        <w:gridCol w:w="6729"/>
      </w:tblGrid>
      <w:tr>
        <w:trPr>
          <w:trHeight w:val="566" w:hRule="atLeast"/>
        </w:trPr>
        <w:tc>
          <w:tcPr>
            <w:tcW w:w="2273" w:type="dxa"/>
          </w:tcPr>
          <w:p>
            <w:pPr>
              <w:pStyle w:val="TableParagraph"/>
              <w:spacing w:before="2"/>
              <w:ind w:left="107"/>
              <w:rPr>
                <w:sz w:val="24"/>
              </w:rPr>
            </w:pPr>
            <w:r>
              <w:rPr>
                <w:sz w:val="24"/>
              </w:rPr>
              <w:t>Design</w:t>
            </w:r>
            <w:r>
              <w:rPr>
                <w:spacing w:val="41"/>
                <w:sz w:val="24"/>
              </w:rPr>
              <w:t> </w:t>
            </w:r>
            <w:r>
              <w:rPr>
                <w:sz w:val="24"/>
              </w:rPr>
              <w:t>&amp;</w:t>
            </w:r>
            <w:r>
              <w:rPr>
                <w:spacing w:val="44"/>
                <w:sz w:val="24"/>
              </w:rPr>
              <w:t> </w:t>
            </w:r>
            <w:r>
              <w:rPr>
                <w:spacing w:val="-2"/>
                <w:sz w:val="24"/>
              </w:rPr>
              <w:t>Finish</w:t>
            </w:r>
          </w:p>
        </w:tc>
        <w:tc>
          <w:tcPr>
            <w:tcW w:w="6729" w:type="dxa"/>
          </w:tcPr>
          <w:p>
            <w:pPr>
              <w:pStyle w:val="TableParagraph"/>
              <w:spacing w:line="280" w:lineRule="exact"/>
              <w:ind w:left="108"/>
              <w:rPr>
                <w:sz w:val="24"/>
              </w:rPr>
            </w:pPr>
            <w:r>
              <w:rPr>
                <w:sz w:val="24"/>
              </w:rPr>
              <w:t>The</w:t>
            </w:r>
            <w:r>
              <w:rPr>
                <w:spacing w:val="40"/>
                <w:sz w:val="24"/>
              </w:rPr>
              <w:t> </w:t>
            </w:r>
            <w:r>
              <w:rPr>
                <w:sz w:val="24"/>
              </w:rPr>
              <w:t>surface</w:t>
            </w:r>
            <w:r>
              <w:rPr>
                <w:spacing w:val="40"/>
                <w:sz w:val="24"/>
              </w:rPr>
              <w:t> </w:t>
            </w:r>
            <w:r>
              <w:rPr>
                <w:sz w:val="24"/>
              </w:rPr>
              <w:t>of</w:t>
            </w:r>
            <w:r>
              <w:rPr>
                <w:spacing w:val="40"/>
                <w:sz w:val="24"/>
              </w:rPr>
              <w:t> </w:t>
            </w:r>
            <w:r>
              <w:rPr>
                <w:sz w:val="24"/>
              </w:rPr>
              <w:t>the</w:t>
            </w:r>
            <w:r>
              <w:rPr>
                <w:spacing w:val="40"/>
                <w:sz w:val="24"/>
              </w:rPr>
              <w:t> </w:t>
            </w:r>
            <w:r>
              <w:rPr>
                <w:spacing w:val="10"/>
                <w:sz w:val="24"/>
              </w:rPr>
              <w:t>drop-</w:t>
            </w:r>
            <w:r>
              <w:rPr>
                <w:sz w:val="24"/>
              </w:rPr>
              <w:t>off</w:t>
            </w:r>
            <w:r>
              <w:rPr>
                <w:spacing w:val="40"/>
                <w:sz w:val="24"/>
              </w:rPr>
              <w:t> </w:t>
            </w:r>
            <w:r>
              <w:rPr>
                <w:sz w:val="24"/>
              </w:rPr>
              <w:t>zone</w:t>
            </w:r>
            <w:r>
              <w:rPr>
                <w:spacing w:val="40"/>
                <w:sz w:val="24"/>
              </w:rPr>
              <w:t> </w:t>
            </w:r>
            <w:r>
              <w:rPr>
                <w:sz w:val="24"/>
              </w:rPr>
              <w:t>should</w:t>
            </w:r>
            <w:r>
              <w:rPr>
                <w:spacing w:val="40"/>
                <w:sz w:val="24"/>
              </w:rPr>
              <w:t> </w:t>
            </w:r>
            <w:r>
              <w:rPr>
                <w:sz w:val="24"/>
              </w:rPr>
              <w:t>be</w:t>
            </w:r>
            <w:r>
              <w:rPr>
                <w:spacing w:val="40"/>
                <w:sz w:val="24"/>
              </w:rPr>
              <w:t> </w:t>
            </w:r>
            <w:r>
              <w:rPr>
                <w:sz w:val="24"/>
              </w:rPr>
              <w:t>finished with a </w:t>
            </w:r>
            <w:r>
              <w:rPr>
                <w:spacing w:val="9"/>
                <w:sz w:val="24"/>
              </w:rPr>
              <w:t>non-</w:t>
            </w:r>
            <w:r>
              <w:rPr>
                <w:sz w:val="24"/>
              </w:rPr>
              <w:t>skid material</w:t>
            </w:r>
          </w:p>
        </w:tc>
      </w:tr>
    </w:tbl>
    <w:p>
      <w:pPr>
        <w:pStyle w:val="ListParagraph"/>
        <w:numPr>
          <w:ilvl w:val="0"/>
          <w:numId w:val="265"/>
        </w:numPr>
        <w:tabs>
          <w:tab w:pos="1666" w:val="left" w:leader="none"/>
        </w:tabs>
        <w:spacing w:line="240" w:lineRule="auto" w:before="280" w:after="0"/>
        <w:ind w:left="1666" w:right="0" w:hanging="353"/>
        <w:jc w:val="left"/>
        <w:rPr>
          <w:sz w:val="24"/>
        </w:rPr>
      </w:pPr>
      <w:r>
        <w:rPr>
          <w:sz w:val="24"/>
        </w:rPr>
        <w:t>Access</w:t>
      </w:r>
      <w:r>
        <w:rPr>
          <w:spacing w:val="65"/>
          <w:sz w:val="24"/>
        </w:rPr>
        <w:t> </w:t>
      </w:r>
      <w:r>
        <w:rPr>
          <w:spacing w:val="-2"/>
          <w:sz w:val="24"/>
        </w:rPr>
        <w:t>Path:</w:t>
      </w:r>
    </w:p>
    <w:p>
      <w:pPr>
        <w:pStyle w:val="BodyText"/>
        <w:spacing w:before="48"/>
        <w:jc w:val="left"/>
        <w:rPr>
          <w:sz w:val="20"/>
        </w:rPr>
      </w:pPr>
    </w:p>
    <w:tbl>
      <w:tblPr>
        <w:tblW w:w="0" w:type="auto"/>
        <w:jc w:val="left"/>
        <w:tblInd w:w="11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0"/>
        <w:gridCol w:w="6753"/>
      </w:tblGrid>
      <w:tr>
        <w:trPr>
          <w:trHeight w:val="4425" w:hRule="atLeast"/>
        </w:trPr>
        <w:tc>
          <w:tcPr>
            <w:tcW w:w="2160" w:type="dxa"/>
          </w:tcPr>
          <w:p>
            <w:pPr>
              <w:pStyle w:val="TableParagraph"/>
              <w:spacing w:before="99"/>
              <w:ind w:left="100"/>
              <w:rPr>
                <w:sz w:val="24"/>
              </w:rPr>
            </w:pPr>
            <w:r>
              <w:rPr>
                <w:sz w:val="24"/>
              </w:rPr>
              <w:t>Provision </w:t>
            </w:r>
            <w:r>
              <w:rPr>
                <w:sz w:val="24"/>
              </w:rPr>
              <w:t>and </w:t>
            </w:r>
            <w:r>
              <w:rPr>
                <w:spacing w:val="-2"/>
                <w:sz w:val="24"/>
              </w:rPr>
              <w:t>Location</w:t>
            </w:r>
          </w:p>
        </w:tc>
        <w:tc>
          <w:tcPr>
            <w:tcW w:w="6753" w:type="dxa"/>
          </w:tcPr>
          <w:p>
            <w:pPr>
              <w:pStyle w:val="TableParagraph"/>
              <w:numPr>
                <w:ilvl w:val="0"/>
                <w:numId w:val="267"/>
              </w:numPr>
              <w:tabs>
                <w:tab w:pos="312" w:val="left" w:leader="none"/>
              </w:tabs>
              <w:spacing w:line="240" w:lineRule="auto" w:before="99" w:after="0"/>
              <w:ind w:left="312" w:right="100" w:hanging="212"/>
              <w:jc w:val="both"/>
              <w:rPr>
                <w:sz w:val="24"/>
              </w:rPr>
            </w:pPr>
            <w:r>
              <w:rPr>
                <w:sz w:val="24"/>
              </w:rPr>
              <w:t>At least one continuous unobstructed accessible route or accessible path of travel shall be provided which</w:t>
            </w:r>
            <w:r>
              <w:rPr>
                <w:spacing w:val="40"/>
                <w:sz w:val="24"/>
              </w:rPr>
              <w:t> </w:t>
            </w:r>
            <w:r>
              <w:rPr>
                <w:sz w:val="24"/>
              </w:rPr>
              <w:t>connects</w:t>
            </w:r>
            <w:r>
              <w:rPr>
                <w:spacing w:val="40"/>
                <w:sz w:val="24"/>
              </w:rPr>
              <w:t> </w:t>
            </w:r>
            <w:r>
              <w:rPr>
                <w:sz w:val="24"/>
              </w:rPr>
              <w:t>all</w:t>
            </w:r>
            <w:r>
              <w:rPr>
                <w:spacing w:val="40"/>
                <w:sz w:val="24"/>
              </w:rPr>
              <w:t> </w:t>
            </w:r>
            <w:r>
              <w:rPr>
                <w:sz w:val="24"/>
              </w:rPr>
              <w:t>accessible</w:t>
            </w:r>
            <w:r>
              <w:rPr>
                <w:spacing w:val="40"/>
                <w:sz w:val="24"/>
              </w:rPr>
              <w:t> </w:t>
            </w:r>
            <w:r>
              <w:rPr>
                <w:sz w:val="24"/>
              </w:rPr>
              <w:t>elements</w:t>
            </w:r>
            <w:r>
              <w:rPr>
                <w:spacing w:val="40"/>
                <w:sz w:val="24"/>
              </w:rPr>
              <w:t> </w:t>
            </w:r>
            <w:r>
              <w:rPr>
                <w:sz w:val="24"/>
              </w:rPr>
              <w:t>and</w:t>
            </w:r>
            <w:r>
              <w:rPr>
                <w:spacing w:val="40"/>
                <w:sz w:val="24"/>
              </w:rPr>
              <w:t> </w:t>
            </w:r>
            <w:r>
              <w:rPr>
                <w:sz w:val="24"/>
              </w:rPr>
              <w:t>spaces in a building or facility for Differently Abled </w:t>
            </w:r>
            <w:r>
              <w:rPr>
                <w:spacing w:val="7"/>
                <w:sz w:val="24"/>
              </w:rPr>
              <w:t>individuals.</w:t>
            </w:r>
          </w:p>
          <w:p>
            <w:pPr>
              <w:pStyle w:val="TableParagraph"/>
              <w:numPr>
                <w:ilvl w:val="0"/>
                <w:numId w:val="267"/>
              </w:numPr>
              <w:tabs>
                <w:tab w:pos="312" w:val="left" w:leader="none"/>
              </w:tabs>
              <w:spacing w:line="240" w:lineRule="auto" w:before="1" w:after="0"/>
              <w:ind w:left="312" w:right="83" w:hanging="212"/>
              <w:jc w:val="both"/>
              <w:rPr>
                <w:sz w:val="24"/>
              </w:rPr>
            </w:pPr>
            <w:r>
              <w:rPr>
                <w:sz w:val="24"/>
              </w:rPr>
              <w:t>An accessible route shall be </w:t>
            </w:r>
            <w:r>
              <w:rPr>
                <w:spacing w:val="9"/>
                <w:sz w:val="24"/>
              </w:rPr>
              <w:t>provided </w:t>
            </w:r>
            <w:r>
              <w:rPr>
                <w:sz w:val="24"/>
              </w:rPr>
              <w:t>from public transportation</w:t>
            </w:r>
            <w:r>
              <w:rPr>
                <w:spacing w:val="80"/>
                <w:w w:val="150"/>
                <w:sz w:val="24"/>
              </w:rPr>
              <w:t> </w:t>
            </w:r>
            <w:r>
              <w:rPr>
                <w:sz w:val="24"/>
              </w:rPr>
              <w:t>stops,</w:t>
            </w:r>
            <w:r>
              <w:rPr>
                <w:spacing w:val="80"/>
                <w:w w:val="150"/>
                <w:sz w:val="24"/>
              </w:rPr>
              <w:t> </w:t>
            </w:r>
            <w:r>
              <w:rPr>
                <w:sz w:val="24"/>
              </w:rPr>
              <w:t>accessible</w:t>
            </w:r>
            <w:r>
              <w:rPr>
                <w:spacing w:val="80"/>
                <w:w w:val="150"/>
                <w:sz w:val="24"/>
              </w:rPr>
              <w:t> </w:t>
            </w:r>
            <w:r>
              <w:rPr>
                <w:sz w:val="24"/>
              </w:rPr>
              <w:t>parking, passenger loading zones and public streets or sidewalks to the accessible building entrances and lifts </w:t>
            </w:r>
            <w:r>
              <w:rPr>
                <w:spacing w:val="9"/>
                <w:sz w:val="24"/>
              </w:rPr>
              <w:t>served.</w:t>
            </w:r>
          </w:p>
          <w:p>
            <w:pPr>
              <w:pStyle w:val="TableParagraph"/>
              <w:numPr>
                <w:ilvl w:val="0"/>
                <w:numId w:val="267"/>
              </w:numPr>
              <w:tabs>
                <w:tab w:pos="312" w:val="left" w:leader="none"/>
              </w:tabs>
              <w:spacing w:line="240" w:lineRule="auto" w:before="0" w:after="0"/>
              <w:ind w:left="312" w:right="79" w:hanging="212"/>
              <w:jc w:val="both"/>
              <w:rPr>
                <w:sz w:val="24"/>
              </w:rPr>
            </w:pPr>
            <w:r>
              <w:rPr>
                <w:sz w:val="24"/>
              </w:rPr>
              <w:t>Directional signs bearing the symbol shall be displayed</w:t>
            </w:r>
            <w:r>
              <w:rPr>
                <w:spacing w:val="40"/>
                <w:sz w:val="24"/>
              </w:rPr>
              <w:t> </w:t>
            </w:r>
            <w:r>
              <w:rPr>
                <w:sz w:val="24"/>
              </w:rPr>
              <w:t>at</w:t>
            </w:r>
            <w:r>
              <w:rPr>
                <w:spacing w:val="40"/>
                <w:sz w:val="24"/>
              </w:rPr>
              <w:t> </w:t>
            </w:r>
            <w:r>
              <w:rPr>
                <w:sz w:val="24"/>
              </w:rPr>
              <w:t>all</w:t>
            </w:r>
            <w:r>
              <w:rPr>
                <w:spacing w:val="40"/>
                <w:sz w:val="24"/>
              </w:rPr>
              <w:t> </w:t>
            </w:r>
            <w:r>
              <w:rPr>
                <w:sz w:val="24"/>
              </w:rPr>
              <w:t>other</w:t>
            </w:r>
            <w:r>
              <w:rPr>
                <w:spacing w:val="40"/>
                <w:sz w:val="24"/>
              </w:rPr>
              <w:t> </w:t>
            </w:r>
            <w:r>
              <w:rPr>
                <w:spacing w:val="9"/>
                <w:sz w:val="24"/>
              </w:rPr>
              <w:t>non-</w:t>
            </w:r>
            <w:r>
              <w:rPr>
                <w:sz w:val="24"/>
              </w:rPr>
              <w:t>accessible</w:t>
            </w:r>
            <w:r>
              <w:rPr>
                <w:spacing w:val="80"/>
                <w:w w:val="150"/>
                <w:sz w:val="24"/>
              </w:rPr>
              <w:t>  </w:t>
            </w:r>
            <w:r>
              <w:rPr>
                <w:spacing w:val="9"/>
                <w:sz w:val="24"/>
              </w:rPr>
              <w:t>entrances </w:t>
            </w:r>
            <w:r>
              <w:rPr>
                <w:sz w:val="24"/>
              </w:rPr>
              <w:t>to</w:t>
            </w:r>
            <w:r>
              <w:rPr>
                <w:spacing w:val="40"/>
                <w:sz w:val="24"/>
              </w:rPr>
              <w:t> </w:t>
            </w:r>
            <w:r>
              <w:rPr>
                <w:sz w:val="24"/>
              </w:rPr>
              <w:t>direct</w:t>
            </w:r>
            <w:r>
              <w:rPr>
                <w:spacing w:val="40"/>
                <w:sz w:val="24"/>
              </w:rPr>
              <w:t> </w:t>
            </w:r>
            <w:r>
              <w:rPr>
                <w:sz w:val="24"/>
              </w:rPr>
              <w:t>to</w:t>
            </w:r>
            <w:r>
              <w:rPr>
                <w:spacing w:val="40"/>
                <w:sz w:val="24"/>
              </w:rPr>
              <w:t> </w:t>
            </w:r>
            <w:r>
              <w:rPr>
                <w:sz w:val="24"/>
              </w:rPr>
              <w:t>the</w:t>
            </w:r>
            <w:r>
              <w:rPr>
                <w:spacing w:val="40"/>
                <w:sz w:val="24"/>
              </w:rPr>
              <w:t> </w:t>
            </w:r>
            <w:r>
              <w:rPr>
                <w:sz w:val="24"/>
              </w:rPr>
              <w:t>accessible</w:t>
            </w:r>
            <w:r>
              <w:rPr>
                <w:spacing w:val="40"/>
                <w:sz w:val="24"/>
              </w:rPr>
              <w:t> </w:t>
            </w:r>
            <w:r>
              <w:rPr>
                <w:spacing w:val="9"/>
                <w:sz w:val="24"/>
              </w:rPr>
              <w:t>entrance.</w:t>
            </w:r>
          </w:p>
          <w:p>
            <w:pPr>
              <w:pStyle w:val="TableParagraph"/>
              <w:numPr>
                <w:ilvl w:val="0"/>
                <w:numId w:val="267"/>
              </w:numPr>
              <w:tabs>
                <w:tab w:pos="312" w:val="left" w:leader="none"/>
              </w:tabs>
              <w:spacing w:line="240" w:lineRule="auto" w:before="0" w:after="0"/>
              <w:ind w:left="312" w:right="100" w:hanging="212"/>
              <w:jc w:val="both"/>
              <w:rPr>
                <w:sz w:val="24"/>
              </w:rPr>
            </w:pPr>
            <w:r>
              <w:rPr>
                <w:sz w:val="24"/>
              </w:rPr>
              <w:t>The access path should have an even surface</w:t>
            </w:r>
            <w:r>
              <w:rPr>
                <w:spacing w:val="80"/>
                <w:sz w:val="24"/>
              </w:rPr>
              <w:t> </w:t>
            </w:r>
            <w:r>
              <w:rPr>
                <w:sz w:val="24"/>
              </w:rPr>
              <w:t>without any </w:t>
            </w:r>
            <w:r>
              <w:rPr>
                <w:spacing w:val="9"/>
                <w:sz w:val="24"/>
              </w:rPr>
              <w:t>slope.</w:t>
            </w:r>
          </w:p>
        </w:tc>
      </w:tr>
      <w:tr>
        <w:trPr>
          <w:trHeight w:val="1043" w:hRule="atLeast"/>
        </w:trPr>
        <w:tc>
          <w:tcPr>
            <w:tcW w:w="2160" w:type="dxa"/>
          </w:tcPr>
          <w:p>
            <w:pPr>
              <w:pStyle w:val="TableParagraph"/>
              <w:spacing w:before="99"/>
              <w:ind w:left="100"/>
              <w:rPr>
                <w:sz w:val="24"/>
              </w:rPr>
            </w:pPr>
            <w:r>
              <w:rPr>
                <w:spacing w:val="7"/>
                <w:sz w:val="24"/>
              </w:rPr>
              <w:t>Dimensions</w:t>
            </w:r>
          </w:p>
        </w:tc>
        <w:tc>
          <w:tcPr>
            <w:tcW w:w="6753" w:type="dxa"/>
            <w:tcBorders>
              <w:bottom w:val="single" w:sz="6" w:space="0" w:color="000000"/>
              <w:right w:val="single" w:sz="6" w:space="0" w:color="000000"/>
            </w:tcBorders>
          </w:tcPr>
          <w:p>
            <w:pPr>
              <w:pStyle w:val="TableParagraph"/>
              <w:spacing w:before="99"/>
              <w:ind w:left="225" w:right="105"/>
              <w:jc w:val="both"/>
              <w:rPr>
                <w:sz w:val="24"/>
              </w:rPr>
            </w:pPr>
            <w:r>
              <w:rPr>
                <w:sz w:val="24"/>
              </w:rPr>
              <w:t>Access path from plot entry and surface parking to building entrance shall be of minimum 1.5 m width and</w:t>
            </w:r>
            <w:r>
              <w:rPr>
                <w:spacing w:val="40"/>
                <w:sz w:val="24"/>
              </w:rPr>
              <w:t> </w:t>
            </w:r>
            <w:r>
              <w:rPr>
                <w:sz w:val="24"/>
              </w:rPr>
              <w:t>for</w:t>
            </w:r>
            <w:r>
              <w:rPr>
                <w:spacing w:val="40"/>
                <w:sz w:val="24"/>
              </w:rPr>
              <w:t> </w:t>
            </w:r>
            <w:r>
              <w:rPr>
                <w:sz w:val="24"/>
              </w:rPr>
              <w:t>a</w:t>
            </w:r>
            <w:r>
              <w:rPr>
                <w:spacing w:val="40"/>
                <w:sz w:val="24"/>
              </w:rPr>
              <w:t> </w:t>
            </w:r>
            <w:r>
              <w:rPr>
                <w:sz w:val="24"/>
              </w:rPr>
              <w:t>two-way</w:t>
            </w:r>
            <w:r>
              <w:rPr>
                <w:spacing w:val="40"/>
                <w:sz w:val="24"/>
              </w:rPr>
              <w:t> </w:t>
            </w:r>
            <w:r>
              <w:rPr>
                <w:sz w:val="24"/>
              </w:rPr>
              <w:t>traffic,</w:t>
            </w:r>
            <w:r>
              <w:rPr>
                <w:spacing w:val="40"/>
                <w:sz w:val="24"/>
              </w:rPr>
              <w:t> </w:t>
            </w:r>
            <w:r>
              <w:rPr>
                <w:sz w:val="24"/>
              </w:rPr>
              <w:t>it</w:t>
            </w:r>
            <w:r>
              <w:rPr>
                <w:spacing w:val="40"/>
                <w:sz w:val="24"/>
              </w:rPr>
              <w:t> </w:t>
            </w:r>
            <w:r>
              <w:rPr>
                <w:sz w:val="24"/>
              </w:rPr>
              <w:t>should</w:t>
            </w:r>
            <w:r>
              <w:rPr>
                <w:spacing w:val="40"/>
                <w:sz w:val="24"/>
              </w:rPr>
              <w:t> </w:t>
            </w:r>
            <w:r>
              <w:rPr>
                <w:sz w:val="24"/>
              </w:rPr>
              <w:t>be</w:t>
            </w:r>
            <w:r>
              <w:rPr>
                <w:spacing w:val="40"/>
                <w:sz w:val="24"/>
              </w:rPr>
              <w:t> </w:t>
            </w:r>
            <w:r>
              <w:rPr>
                <w:sz w:val="24"/>
              </w:rPr>
              <w:t>1.8</w:t>
            </w:r>
            <w:r>
              <w:rPr>
                <w:spacing w:val="40"/>
                <w:sz w:val="24"/>
              </w:rPr>
              <w:t> </w:t>
            </w:r>
            <w:r>
              <w:rPr>
                <w:sz w:val="24"/>
              </w:rPr>
              <w:t>m</w:t>
            </w:r>
            <w:r>
              <w:rPr>
                <w:spacing w:val="40"/>
                <w:sz w:val="24"/>
              </w:rPr>
              <w:t> </w:t>
            </w:r>
            <w:r>
              <w:rPr>
                <w:sz w:val="24"/>
              </w:rPr>
              <w:t>wide.</w:t>
            </w:r>
          </w:p>
        </w:tc>
      </w:tr>
      <w:tr>
        <w:trPr>
          <w:trHeight w:val="2174" w:hRule="atLeast"/>
        </w:trPr>
        <w:tc>
          <w:tcPr>
            <w:tcW w:w="2160" w:type="dxa"/>
          </w:tcPr>
          <w:p>
            <w:pPr>
              <w:pStyle w:val="TableParagraph"/>
              <w:spacing w:before="102"/>
              <w:ind w:left="186"/>
              <w:rPr>
                <w:sz w:val="24"/>
              </w:rPr>
            </w:pPr>
            <w:r>
              <w:rPr>
                <w:spacing w:val="-2"/>
                <w:sz w:val="24"/>
              </w:rPr>
              <w:t>Slope</w:t>
            </w:r>
          </w:p>
        </w:tc>
        <w:tc>
          <w:tcPr>
            <w:tcW w:w="6753" w:type="dxa"/>
            <w:tcBorders>
              <w:top w:val="single" w:sz="6" w:space="0" w:color="000000"/>
              <w:right w:val="single" w:sz="6" w:space="0" w:color="000000"/>
            </w:tcBorders>
          </w:tcPr>
          <w:p>
            <w:pPr>
              <w:pStyle w:val="TableParagraph"/>
              <w:numPr>
                <w:ilvl w:val="0"/>
                <w:numId w:val="268"/>
              </w:numPr>
              <w:tabs>
                <w:tab w:pos="331" w:val="left" w:leader="none"/>
              </w:tabs>
              <w:spacing w:line="240" w:lineRule="auto" w:before="102" w:after="0"/>
              <w:ind w:left="331" w:right="123" w:hanging="212"/>
              <w:jc w:val="both"/>
              <w:rPr>
                <w:sz w:val="24"/>
              </w:rPr>
            </w:pPr>
            <w:r>
              <w:rPr>
                <w:sz w:val="24"/>
              </w:rPr>
              <w:t>Slope</w:t>
            </w:r>
            <w:r>
              <w:rPr>
                <w:spacing w:val="71"/>
                <w:sz w:val="24"/>
              </w:rPr>
              <w:t> </w:t>
            </w:r>
            <w:r>
              <w:rPr>
                <w:sz w:val="24"/>
              </w:rPr>
              <w:t>if</w:t>
            </w:r>
            <w:r>
              <w:rPr>
                <w:spacing w:val="72"/>
                <w:sz w:val="24"/>
              </w:rPr>
              <w:t> </w:t>
            </w:r>
            <w:r>
              <w:rPr>
                <w:sz w:val="24"/>
              </w:rPr>
              <w:t>any</w:t>
            </w:r>
            <w:r>
              <w:rPr>
                <w:spacing w:val="71"/>
                <w:sz w:val="24"/>
              </w:rPr>
              <w:t> </w:t>
            </w:r>
            <w:r>
              <w:rPr>
                <w:sz w:val="24"/>
              </w:rPr>
              <w:t>shall</w:t>
            </w:r>
            <w:r>
              <w:rPr>
                <w:spacing w:val="73"/>
                <w:sz w:val="24"/>
              </w:rPr>
              <w:t> </w:t>
            </w:r>
            <w:r>
              <w:rPr>
                <w:sz w:val="24"/>
              </w:rPr>
              <w:t>not</w:t>
            </w:r>
            <w:r>
              <w:rPr>
                <w:spacing w:val="72"/>
                <w:sz w:val="24"/>
              </w:rPr>
              <w:t> </w:t>
            </w:r>
            <w:r>
              <w:rPr>
                <w:sz w:val="24"/>
              </w:rPr>
              <w:t>have</w:t>
            </w:r>
            <w:r>
              <w:rPr>
                <w:spacing w:val="71"/>
                <w:sz w:val="24"/>
              </w:rPr>
              <w:t> </w:t>
            </w:r>
            <w:r>
              <w:rPr>
                <w:sz w:val="24"/>
              </w:rPr>
              <w:t>gradient</w:t>
            </w:r>
            <w:r>
              <w:rPr>
                <w:spacing w:val="73"/>
                <w:sz w:val="24"/>
              </w:rPr>
              <w:t> </w:t>
            </w:r>
            <w:r>
              <w:rPr>
                <w:sz w:val="24"/>
              </w:rPr>
              <w:t>greater</w:t>
            </w:r>
            <w:r>
              <w:rPr>
                <w:spacing w:val="71"/>
                <w:sz w:val="24"/>
              </w:rPr>
              <w:t> </w:t>
            </w:r>
            <w:r>
              <w:rPr>
                <w:sz w:val="24"/>
              </w:rPr>
              <w:t>than 1 in 20.</w:t>
            </w:r>
          </w:p>
          <w:p>
            <w:pPr>
              <w:pStyle w:val="TableParagraph"/>
              <w:numPr>
                <w:ilvl w:val="0"/>
                <w:numId w:val="268"/>
              </w:numPr>
              <w:tabs>
                <w:tab w:pos="331" w:val="left" w:leader="none"/>
              </w:tabs>
              <w:spacing w:line="240" w:lineRule="auto" w:before="1" w:after="0"/>
              <w:ind w:left="331" w:right="105" w:hanging="212"/>
              <w:jc w:val="both"/>
              <w:rPr>
                <w:sz w:val="24"/>
              </w:rPr>
            </w:pPr>
            <w:r>
              <w:rPr>
                <w:sz w:val="24"/>
              </w:rPr>
              <w:t>Such</w:t>
            </w:r>
            <w:r>
              <w:rPr>
                <w:spacing w:val="40"/>
                <w:sz w:val="24"/>
              </w:rPr>
              <w:t> </w:t>
            </w:r>
            <w:r>
              <w:rPr>
                <w:sz w:val="24"/>
              </w:rPr>
              <w:t>access</w:t>
            </w:r>
            <w:r>
              <w:rPr>
                <w:spacing w:val="40"/>
                <w:sz w:val="24"/>
              </w:rPr>
              <w:t> </w:t>
            </w:r>
            <w:r>
              <w:rPr>
                <w:sz w:val="24"/>
              </w:rPr>
              <w:t>shall</w:t>
            </w:r>
            <w:r>
              <w:rPr>
                <w:spacing w:val="40"/>
                <w:sz w:val="24"/>
              </w:rPr>
              <w:t> </w:t>
            </w:r>
            <w:r>
              <w:rPr>
                <w:sz w:val="24"/>
              </w:rPr>
              <w:t>be</w:t>
            </w:r>
            <w:r>
              <w:rPr>
                <w:spacing w:val="40"/>
                <w:sz w:val="24"/>
              </w:rPr>
              <w:t> </w:t>
            </w:r>
            <w:r>
              <w:rPr>
                <w:sz w:val="24"/>
              </w:rPr>
              <w:t>free</w:t>
            </w:r>
            <w:r>
              <w:rPr>
                <w:spacing w:val="40"/>
                <w:sz w:val="24"/>
              </w:rPr>
              <w:t> </w:t>
            </w:r>
            <w:r>
              <w:rPr>
                <w:sz w:val="24"/>
              </w:rPr>
              <w:t>from</w:t>
            </w:r>
            <w:r>
              <w:rPr>
                <w:spacing w:val="40"/>
                <w:sz w:val="24"/>
              </w:rPr>
              <w:t> </w:t>
            </w:r>
            <w:r>
              <w:rPr>
                <w:sz w:val="24"/>
              </w:rPr>
              <w:t>protrusion,</w:t>
            </w:r>
            <w:r>
              <w:rPr>
                <w:spacing w:val="80"/>
                <w:sz w:val="24"/>
              </w:rPr>
              <w:t> </w:t>
            </w:r>
            <w:r>
              <w:rPr>
                <w:sz w:val="24"/>
              </w:rPr>
              <w:t>hazards, steps, kerbs other than dropper kerbs, doors</w:t>
            </w:r>
            <w:r>
              <w:rPr>
                <w:spacing w:val="40"/>
                <w:sz w:val="24"/>
              </w:rPr>
              <w:t> </w:t>
            </w:r>
            <w:r>
              <w:rPr>
                <w:sz w:val="24"/>
              </w:rPr>
              <w:t>or</w:t>
            </w:r>
            <w:r>
              <w:rPr>
                <w:spacing w:val="40"/>
                <w:sz w:val="24"/>
              </w:rPr>
              <w:t> </w:t>
            </w:r>
            <w:r>
              <w:rPr>
                <w:sz w:val="24"/>
              </w:rPr>
              <w:t>doorways</w:t>
            </w:r>
            <w:r>
              <w:rPr>
                <w:spacing w:val="40"/>
                <w:sz w:val="24"/>
              </w:rPr>
              <w:t> </w:t>
            </w:r>
            <w:r>
              <w:rPr>
                <w:sz w:val="24"/>
              </w:rPr>
              <w:t>which</w:t>
            </w:r>
            <w:r>
              <w:rPr>
                <w:spacing w:val="40"/>
                <w:sz w:val="24"/>
              </w:rPr>
              <w:t> </w:t>
            </w:r>
            <w:r>
              <w:rPr>
                <w:sz w:val="24"/>
              </w:rPr>
              <w:t>will</w:t>
            </w:r>
            <w:r>
              <w:rPr>
                <w:spacing w:val="40"/>
                <w:sz w:val="24"/>
              </w:rPr>
              <w:t> </w:t>
            </w:r>
            <w:r>
              <w:rPr>
                <w:sz w:val="24"/>
              </w:rPr>
              <w:t>impede</w:t>
            </w:r>
            <w:r>
              <w:rPr>
                <w:spacing w:val="40"/>
                <w:sz w:val="24"/>
              </w:rPr>
              <w:t> </w:t>
            </w:r>
            <w:r>
              <w:rPr>
                <w:sz w:val="24"/>
              </w:rPr>
              <w:t>the</w:t>
            </w:r>
            <w:r>
              <w:rPr>
                <w:spacing w:val="40"/>
                <w:sz w:val="24"/>
              </w:rPr>
              <w:t> </w:t>
            </w:r>
            <w:r>
              <w:rPr>
                <w:sz w:val="24"/>
              </w:rPr>
              <w:t>passage of a wheelchair, or other form of barrier which will prevent</w:t>
            </w:r>
            <w:r>
              <w:rPr>
                <w:spacing w:val="40"/>
                <w:sz w:val="24"/>
              </w:rPr>
              <w:t> </w:t>
            </w:r>
            <w:r>
              <w:rPr>
                <w:sz w:val="24"/>
              </w:rPr>
              <w:t>access</w:t>
            </w:r>
            <w:r>
              <w:rPr>
                <w:spacing w:val="40"/>
                <w:sz w:val="24"/>
              </w:rPr>
              <w:t> </w:t>
            </w:r>
            <w:r>
              <w:rPr>
                <w:sz w:val="24"/>
              </w:rPr>
              <w:t>by</w:t>
            </w:r>
            <w:r>
              <w:rPr>
                <w:spacing w:val="40"/>
                <w:sz w:val="24"/>
              </w:rPr>
              <w:t> </w:t>
            </w:r>
            <w:r>
              <w:rPr>
                <w:sz w:val="24"/>
              </w:rPr>
              <w:t>Differently</w:t>
            </w:r>
            <w:r>
              <w:rPr>
                <w:spacing w:val="40"/>
                <w:sz w:val="24"/>
              </w:rPr>
              <w:t> </w:t>
            </w:r>
            <w:r>
              <w:rPr>
                <w:sz w:val="24"/>
              </w:rPr>
              <w:t>Abled</w:t>
            </w:r>
            <w:r>
              <w:rPr>
                <w:spacing w:val="40"/>
                <w:sz w:val="24"/>
              </w:rPr>
              <w:t> </w:t>
            </w:r>
            <w:r>
              <w:rPr>
                <w:spacing w:val="9"/>
                <w:sz w:val="24"/>
              </w:rPr>
              <w:t>persons.</w:t>
            </w:r>
          </w:p>
        </w:tc>
      </w:tr>
      <w:tr>
        <w:trPr>
          <w:trHeight w:val="1893" w:hRule="atLeast"/>
        </w:trPr>
        <w:tc>
          <w:tcPr>
            <w:tcW w:w="2160" w:type="dxa"/>
          </w:tcPr>
          <w:p>
            <w:pPr>
              <w:pStyle w:val="TableParagraph"/>
              <w:spacing w:before="99"/>
              <w:ind w:left="100" w:right="7"/>
              <w:rPr>
                <w:sz w:val="24"/>
              </w:rPr>
            </w:pPr>
            <w:r>
              <w:rPr>
                <w:sz w:val="24"/>
              </w:rPr>
              <w:t>Design </w:t>
            </w:r>
            <w:r>
              <w:rPr>
                <w:sz w:val="24"/>
              </w:rPr>
              <w:t>and </w:t>
            </w:r>
            <w:r>
              <w:rPr>
                <w:spacing w:val="-2"/>
                <w:sz w:val="24"/>
              </w:rPr>
              <w:t>Finish</w:t>
            </w:r>
          </w:p>
        </w:tc>
        <w:tc>
          <w:tcPr>
            <w:tcW w:w="6753" w:type="dxa"/>
          </w:tcPr>
          <w:p>
            <w:pPr>
              <w:pStyle w:val="TableParagraph"/>
              <w:numPr>
                <w:ilvl w:val="0"/>
                <w:numId w:val="269"/>
              </w:numPr>
              <w:tabs>
                <w:tab w:pos="312" w:val="left" w:leader="none"/>
              </w:tabs>
              <w:spacing w:line="240" w:lineRule="auto" w:before="99" w:after="0"/>
              <w:ind w:left="312" w:right="101" w:hanging="212"/>
              <w:jc w:val="both"/>
              <w:rPr>
                <w:sz w:val="24"/>
              </w:rPr>
            </w:pPr>
            <w:r>
              <w:rPr>
                <w:sz w:val="24"/>
              </w:rPr>
              <w:t>The</w:t>
            </w:r>
            <w:r>
              <w:rPr>
                <w:spacing w:val="40"/>
                <w:sz w:val="24"/>
              </w:rPr>
              <w:t> </w:t>
            </w:r>
            <w:r>
              <w:rPr>
                <w:sz w:val="24"/>
              </w:rPr>
              <w:t>surface</w:t>
            </w:r>
            <w:r>
              <w:rPr>
                <w:spacing w:val="40"/>
                <w:sz w:val="24"/>
              </w:rPr>
              <w:t> </w:t>
            </w:r>
            <w:r>
              <w:rPr>
                <w:sz w:val="24"/>
              </w:rPr>
              <w:t>of</w:t>
            </w:r>
            <w:r>
              <w:rPr>
                <w:spacing w:val="40"/>
                <w:sz w:val="24"/>
              </w:rPr>
              <w:t> </w:t>
            </w:r>
            <w:r>
              <w:rPr>
                <w:sz w:val="24"/>
              </w:rPr>
              <w:t>an</w:t>
            </w:r>
            <w:r>
              <w:rPr>
                <w:spacing w:val="40"/>
                <w:sz w:val="24"/>
              </w:rPr>
              <w:t> </w:t>
            </w:r>
            <w:r>
              <w:rPr>
                <w:sz w:val="24"/>
              </w:rPr>
              <w:t>access</w:t>
            </w:r>
            <w:r>
              <w:rPr>
                <w:spacing w:val="40"/>
                <w:sz w:val="24"/>
              </w:rPr>
              <w:t> </w:t>
            </w:r>
            <w:r>
              <w:rPr>
                <w:sz w:val="24"/>
              </w:rPr>
              <w:t>route</w:t>
            </w:r>
            <w:r>
              <w:rPr>
                <w:spacing w:val="40"/>
                <w:sz w:val="24"/>
              </w:rPr>
              <w:t> </w:t>
            </w:r>
            <w:r>
              <w:rPr>
                <w:sz w:val="24"/>
              </w:rPr>
              <w:t>shall</w:t>
            </w:r>
            <w:r>
              <w:rPr>
                <w:spacing w:val="40"/>
                <w:sz w:val="24"/>
              </w:rPr>
              <w:t> </w:t>
            </w:r>
            <w:r>
              <w:rPr>
                <w:sz w:val="24"/>
              </w:rPr>
              <w:t>be</w:t>
            </w:r>
            <w:r>
              <w:rPr>
                <w:spacing w:val="40"/>
                <w:sz w:val="24"/>
              </w:rPr>
              <w:t> </w:t>
            </w:r>
            <w:r>
              <w:rPr>
                <w:sz w:val="24"/>
              </w:rPr>
              <w:t>firm</w:t>
            </w:r>
            <w:r>
              <w:rPr>
                <w:spacing w:val="40"/>
                <w:sz w:val="24"/>
              </w:rPr>
              <w:t> </w:t>
            </w:r>
            <w:r>
              <w:rPr>
                <w:sz w:val="24"/>
              </w:rPr>
              <w:t>and </w:t>
            </w:r>
            <w:r>
              <w:rPr>
                <w:spacing w:val="-2"/>
                <w:sz w:val="24"/>
              </w:rPr>
              <w:t>non-slippery.</w:t>
            </w:r>
          </w:p>
          <w:p>
            <w:pPr>
              <w:pStyle w:val="TableParagraph"/>
              <w:numPr>
                <w:ilvl w:val="0"/>
                <w:numId w:val="269"/>
              </w:numPr>
              <w:tabs>
                <w:tab w:pos="312" w:val="left" w:leader="none"/>
              </w:tabs>
              <w:spacing w:line="240" w:lineRule="auto" w:before="1" w:after="0"/>
              <w:ind w:left="312" w:right="94" w:hanging="212"/>
              <w:jc w:val="both"/>
              <w:rPr>
                <w:sz w:val="24"/>
              </w:rPr>
            </w:pPr>
            <w:r>
              <w:rPr>
                <w:sz w:val="24"/>
              </w:rPr>
              <w:t>Tactile</w:t>
            </w:r>
            <w:r>
              <w:rPr>
                <w:spacing w:val="40"/>
                <w:sz w:val="24"/>
              </w:rPr>
              <w:t> </w:t>
            </w:r>
            <w:r>
              <w:rPr>
                <w:sz w:val="24"/>
              </w:rPr>
              <w:t>guiding</w:t>
            </w:r>
            <w:r>
              <w:rPr>
                <w:spacing w:val="40"/>
                <w:sz w:val="24"/>
              </w:rPr>
              <w:t> </w:t>
            </w:r>
            <w:r>
              <w:rPr>
                <w:sz w:val="24"/>
              </w:rPr>
              <w:t>path</w:t>
            </w:r>
            <w:r>
              <w:rPr>
                <w:spacing w:val="40"/>
                <w:sz w:val="24"/>
              </w:rPr>
              <w:t> </w:t>
            </w:r>
            <w:r>
              <w:rPr>
                <w:sz w:val="24"/>
              </w:rPr>
              <w:t>is</w:t>
            </w:r>
            <w:r>
              <w:rPr>
                <w:spacing w:val="40"/>
                <w:sz w:val="24"/>
              </w:rPr>
              <w:t> </w:t>
            </w:r>
            <w:r>
              <w:rPr>
                <w:sz w:val="24"/>
              </w:rPr>
              <w:t>requirement</w:t>
            </w:r>
            <w:r>
              <w:rPr>
                <w:spacing w:val="40"/>
                <w:sz w:val="24"/>
              </w:rPr>
              <w:t> </w:t>
            </w:r>
            <w:r>
              <w:rPr>
                <w:sz w:val="24"/>
              </w:rPr>
              <w:t>to</w:t>
            </w:r>
            <w:r>
              <w:rPr>
                <w:spacing w:val="40"/>
                <w:sz w:val="24"/>
              </w:rPr>
              <w:t> </w:t>
            </w:r>
            <w:r>
              <w:rPr>
                <w:sz w:val="24"/>
              </w:rPr>
              <w:t>ensure visually impaired person familiarize with the road</w:t>
            </w:r>
            <w:r>
              <w:rPr>
                <w:spacing w:val="40"/>
                <w:sz w:val="24"/>
              </w:rPr>
              <w:t> </w:t>
            </w:r>
            <w:r>
              <w:rPr>
                <w:sz w:val="24"/>
              </w:rPr>
              <w:t>and path. It shall be avoided with the vehicular </w:t>
            </w:r>
            <w:r>
              <w:rPr>
                <w:spacing w:val="-2"/>
                <w:sz w:val="24"/>
              </w:rPr>
              <w:t>movement.</w:t>
            </w:r>
          </w:p>
        </w:tc>
      </w:tr>
    </w:tbl>
    <w:p>
      <w:pPr>
        <w:pStyle w:val="BodyText"/>
        <w:spacing w:before="279"/>
        <w:jc w:val="left"/>
      </w:pPr>
    </w:p>
    <w:p>
      <w:pPr>
        <w:pStyle w:val="ListParagraph"/>
        <w:numPr>
          <w:ilvl w:val="0"/>
          <w:numId w:val="265"/>
        </w:numPr>
        <w:tabs>
          <w:tab w:pos="1680" w:val="left" w:leader="none"/>
        </w:tabs>
        <w:spacing w:line="240" w:lineRule="auto" w:before="0" w:after="0"/>
        <w:ind w:left="1680" w:right="0" w:hanging="367"/>
        <w:jc w:val="left"/>
        <w:rPr>
          <w:sz w:val="24"/>
        </w:rPr>
      </w:pPr>
      <w:r>
        <w:rPr>
          <w:spacing w:val="-2"/>
          <w:sz w:val="24"/>
        </w:rPr>
        <w:t>Ramps:</w:t>
      </w:r>
    </w:p>
    <w:p>
      <w:pPr>
        <w:pStyle w:val="BodyText"/>
        <w:spacing w:before="48"/>
        <w:jc w:val="left"/>
        <w:rPr>
          <w:sz w:val="20"/>
        </w:rPr>
      </w:pPr>
    </w:p>
    <w:tbl>
      <w:tblPr>
        <w:tblW w:w="0" w:type="auto"/>
        <w:jc w:val="left"/>
        <w:tblInd w:w="1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89"/>
        <w:gridCol w:w="6751"/>
      </w:tblGrid>
      <w:tr>
        <w:trPr>
          <w:trHeight w:val="764" w:hRule="atLeast"/>
        </w:trPr>
        <w:tc>
          <w:tcPr>
            <w:tcW w:w="2189" w:type="dxa"/>
          </w:tcPr>
          <w:p>
            <w:pPr>
              <w:pStyle w:val="TableParagraph"/>
              <w:spacing w:before="99"/>
              <w:ind w:left="100" w:right="36"/>
              <w:rPr>
                <w:sz w:val="24"/>
              </w:rPr>
            </w:pPr>
            <w:r>
              <w:rPr>
                <w:sz w:val="24"/>
              </w:rPr>
              <w:t>Provision </w:t>
            </w:r>
            <w:r>
              <w:rPr>
                <w:sz w:val="24"/>
              </w:rPr>
              <w:t>and </w:t>
            </w:r>
            <w:r>
              <w:rPr>
                <w:spacing w:val="-2"/>
                <w:sz w:val="24"/>
              </w:rPr>
              <w:t>Location</w:t>
            </w:r>
          </w:p>
        </w:tc>
        <w:tc>
          <w:tcPr>
            <w:tcW w:w="6751" w:type="dxa"/>
          </w:tcPr>
          <w:p>
            <w:pPr>
              <w:pStyle w:val="TableParagraph"/>
              <w:numPr>
                <w:ilvl w:val="0"/>
                <w:numId w:val="270"/>
              </w:numPr>
              <w:tabs>
                <w:tab w:pos="527" w:val="left" w:leader="none"/>
                <w:tab w:pos="1706" w:val="left" w:leader="none"/>
                <w:tab w:pos="2068" w:val="left" w:leader="none"/>
                <w:tab w:pos="2506" w:val="left" w:leader="none"/>
                <w:tab w:pos="3587" w:val="left" w:leader="none"/>
                <w:tab w:pos="4107" w:val="left" w:leader="none"/>
                <w:tab w:pos="5662" w:val="left" w:leader="none"/>
              </w:tabs>
              <w:spacing w:line="240" w:lineRule="auto" w:before="99" w:after="0"/>
              <w:ind w:left="527" w:right="96" w:hanging="286"/>
              <w:jc w:val="left"/>
              <w:rPr>
                <w:sz w:val="24"/>
              </w:rPr>
            </w:pPr>
            <w:r>
              <w:rPr>
                <w:sz w:val="24"/>
              </w:rPr>
              <w:t>When</w:t>
            </w:r>
            <w:r>
              <w:rPr>
                <w:spacing w:val="40"/>
                <w:sz w:val="24"/>
              </w:rPr>
              <w:t> </w:t>
            </w:r>
            <w:r>
              <w:rPr>
                <w:sz w:val="24"/>
              </w:rPr>
              <w:t>the</w:t>
            </w:r>
            <w:r>
              <w:rPr>
                <w:spacing w:val="40"/>
                <w:sz w:val="24"/>
              </w:rPr>
              <w:t> </w:t>
            </w:r>
            <w:r>
              <w:rPr>
                <w:sz w:val="24"/>
              </w:rPr>
              <w:t>horizontal</w:t>
            </w:r>
            <w:r>
              <w:rPr>
                <w:spacing w:val="40"/>
                <w:sz w:val="24"/>
              </w:rPr>
              <w:t> </w:t>
            </w:r>
            <w:r>
              <w:rPr>
                <w:sz w:val="24"/>
              </w:rPr>
              <w:t>run</w:t>
            </w:r>
            <w:r>
              <w:rPr>
                <w:spacing w:val="80"/>
                <w:sz w:val="24"/>
              </w:rPr>
              <w:t> </w:t>
            </w:r>
            <w:r>
              <w:rPr>
                <w:sz w:val="24"/>
              </w:rPr>
              <w:t>of</w:t>
            </w:r>
            <w:r>
              <w:rPr>
                <w:spacing w:val="40"/>
                <w:sz w:val="24"/>
              </w:rPr>
              <w:t> </w:t>
            </w:r>
            <w:r>
              <w:rPr>
                <w:sz w:val="24"/>
              </w:rPr>
              <w:t>the</w:t>
            </w:r>
            <w:r>
              <w:rPr>
                <w:spacing w:val="40"/>
                <w:sz w:val="24"/>
              </w:rPr>
              <w:t> </w:t>
            </w:r>
            <w:r>
              <w:rPr>
                <w:sz w:val="24"/>
              </w:rPr>
              <w:t>approach</w:t>
            </w:r>
            <w:r>
              <w:rPr>
                <w:spacing w:val="40"/>
                <w:sz w:val="24"/>
              </w:rPr>
              <w:t> </w:t>
            </w:r>
            <w:r>
              <w:rPr>
                <w:sz w:val="24"/>
              </w:rPr>
              <w:t>ramp</w:t>
            </w:r>
            <w:r>
              <w:rPr>
                <w:spacing w:val="40"/>
                <w:sz w:val="24"/>
              </w:rPr>
              <w:t> </w:t>
            </w:r>
            <w:r>
              <w:rPr>
                <w:spacing w:val="-2"/>
                <w:sz w:val="24"/>
              </w:rPr>
              <w:t>exceeds</w:t>
            </w:r>
            <w:r>
              <w:rPr>
                <w:sz w:val="24"/>
              </w:rPr>
              <w:tab/>
            </w:r>
            <w:r>
              <w:rPr>
                <w:spacing w:val="-10"/>
                <w:sz w:val="24"/>
              </w:rPr>
              <w:t>9</w:t>
            </w:r>
            <w:r>
              <w:rPr>
                <w:sz w:val="24"/>
              </w:rPr>
              <w:tab/>
            </w:r>
            <w:r>
              <w:rPr>
                <w:spacing w:val="-10"/>
                <w:sz w:val="24"/>
              </w:rPr>
              <w:t>m</w:t>
            </w:r>
            <w:r>
              <w:rPr>
                <w:sz w:val="24"/>
              </w:rPr>
              <w:tab/>
            </w:r>
            <w:r>
              <w:rPr>
                <w:spacing w:val="-2"/>
                <w:sz w:val="24"/>
              </w:rPr>
              <w:t>length,</w:t>
            </w:r>
            <w:r>
              <w:rPr>
                <w:sz w:val="24"/>
              </w:rPr>
              <w:tab/>
            </w:r>
            <w:r>
              <w:rPr>
                <w:spacing w:val="-6"/>
                <w:sz w:val="24"/>
              </w:rPr>
              <w:t>an</w:t>
            </w:r>
            <w:r>
              <w:rPr>
                <w:sz w:val="24"/>
              </w:rPr>
              <w:tab/>
            </w:r>
            <w:r>
              <w:rPr>
                <w:spacing w:val="-2"/>
                <w:sz w:val="24"/>
              </w:rPr>
              <w:t>alternative</w:t>
            </w:r>
            <w:r>
              <w:rPr>
                <w:sz w:val="24"/>
              </w:rPr>
              <w:tab/>
            </w:r>
            <w:r>
              <w:rPr>
                <w:spacing w:val="-2"/>
                <w:sz w:val="24"/>
              </w:rPr>
              <w:t>stepped</w:t>
            </w:r>
          </w:p>
        </w:tc>
      </w:tr>
    </w:tbl>
    <w:p>
      <w:pPr>
        <w:pStyle w:val="TableParagraph"/>
        <w:spacing w:after="0" w:line="240" w:lineRule="auto"/>
        <w:jc w:val="left"/>
        <w:rPr>
          <w:sz w:val="24"/>
        </w:rPr>
        <w:sectPr>
          <w:pgSz w:w="11910" w:h="16840"/>
          <w:pgMar w:header="1058" w:footer="1201" w:top="1500" w:bottom="1400" w:left="360" w:right="360"/>
        </w:sectPr>
      </w:pPr>
    </w:p>
    <w:p>
      <w:pPr>
        <w:pStyle w:val="BodyText"/>
        <w:spacing w:before="20"/>
        <w:jc w:val="left"/>
        <w:rPr>
          <w:sz w:val="20"/>
        </w:rPr>
      </w:pPr>
    </w:p>
    <w:tbl>
      <w:tblPr>
        <w:tblW w:w="0" w:type="auto"/>
        <w:jc w:val="left"/>
        <w:tblInd w:w="1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89"/>
        <w:gridCol w:w="6751"/>
      </w:tblGrid>
      <w:tr>
        <w:trPr>
          <w:trHeight w:val="1890" w:hRule="atLeast"/>
        </w:trPr>
        <w:tc>
          <w:tcPr>
            <w:tcW w:w="2189" w:type="dxa"/>
          </w:tcPr>
          <w:p>
            <w:pPr>
              <w:pStyle w:val="TableParagraph"/>
              <w:rPr>
                <w:rFonts w:ascii="Times New Roman"/>
                <w:sz w:val="22"/>
              </w:rPr>
            </w:pPr>
          </w:p>
        </w:tc>
        <w:tc>
          <w:tcPr>
            <w:tcW w:w="6751" w:type="dxa"/>
          </w:tcPr>
          <w:p>
            <w:pPr>
              <w:pStyle w:val="TableParagraph"/>
              <w:spacing w:before="100"/>
              <w:ind w:left="527" w:right="81"/>
              <w:jc w:val="both"/>
              <w:rPr>
                <w:sz w:val="24"/>
              </w:rPr>
            </w:pPr>
            <w:r>
              <w:rPr>
                <w:sz w:val="24"/>
              </w:rPr>
              <w:t>approach (Refer Staircases section) is to be</w:t>
            </w:r>
            <w:r>
              <w:rPr>
                <w:spacing w:val="40"/>
                <w:sz w:val="24"/>
              </w:rPr>
              <w:t> </w:t>
            </w:r>
            <w:r>
              <w:rPr>
                <w:sz w:val="24"/>
              </w:rPr>
              <w:t>provided</w:t>
            </w:r>
            <w:r>
              <w:rPr>
                <w:spacing w:val="40"/>
                <w:sz w:val="24"/>
              </w:rPr>
              <w:t> </w:t>
            </w:r>
            <w:r>
              <w:rPr>
                <w:sz w:val="24"/>
              </w:rPr>
              <w:t>in</w:t>
            </w:r>
            <w:r>
              <w:rPr>
                <w:spacing w:val="40"/>
                <w:sz w:val="24"/>
              </w:rPr>
              <w:t> </w:t>
            </w:r>
            <w:r>
              <w:rPr>
                <w:sz w:val="24"/>
              </w:rPr>
              <w:t>addition</w:t>
            </w:r>
            <w:r>
              <w:rPr>
                <w:spacing w:val="40"/>
                <w:sz w:val="24"/>
              </w:rPr>
              <w:t> </w:t>
            </w:r>
            <w:r>
              <w:rPr>
                <w:sz w:val="24"/>
              </w:rPr>
              <w:t>to</w:t>
            </w:r>
            <w:r>
              <w:rPr>
                <w:spacing w:val="40"/>
                <w:sz w:val="24"/>
              </w:rPr>
              <w:t> </w:t>
            </w:r>
            <w:r>
              <w:rPr>
                <w:sz w:val="24"/>
              </w:rPr>
              <w:t>the</w:t>
            </w:r>
            <w:r>
              <w:rPr>
                <w:spacing w:val="40"/>
                <w:sz w:val="24"/>
              </w:rPr>
              <w:t> </w:t>
            </w:r>
            <w:r>
              <w:rPr>
                <w:sz w:val="24"/>
              </w:rPr>
              <w:t>ramp</w:t>
            </w:r>
            <w:r>
              <w:rPr>
                <w:spacing w:val="40"/>
                <w:sz w:val="24"/>
              </w:rPr>
              <w:t> </w:t>
            </w:r>
            <w:r>
              <w:rPr>
                <w:spacing w:val="9"/>
                <w:sz w:val="24"/>
              </w:rPr>
              <w:t>approach.</w:t>
            </w:r>
          </w:p>
          <w:p>
            <w:pPr>
              <w:pStyle w:val="TableParagraph"/>
              <w:numPr>
                <w:ilvl w:val="0"/>
                <w:numId w:val="271"/>
              </w:numPr>
              <w:tabs>
                <w:tab w:pos="527" w:val="left" w:leader="none"/>
              </w:tabs>
              <w:spacing w:line="240" w:lineRule="auto" w:before="0" w:after="0"/>
              <w:ind w:left="527" w:right="80" w:hanging="286"/>
              <w:jc w:val="both"/>
              <w:rPr>
                <w:sz w:val="24"/>
              </w:rPr>
            </w:pPr>
            <w:r>
              <w:rPr>
                <w:sz w:val="24"/>
              </w:rPr>
              <w:t>Where there is a large change in elevation that requires</w:t>
            </w:r>
            <w:r>
              <w:rPr>
                <w:spacing w:val="40"/>
                <w:sz w:val="24"/>
              </w:rPr>
              <w:t> </w:t>
            </w:r>
            <w:r>
              <w:rPr>
                <w:sz w:val="24"/>
              </w:rPr>
              <w:t>multiple</w:t>
            </w:r>
            <w:r>
              <w:rPr>
                <w:spacing w:val="40"/>
                <w:sz w:val="24"/>
              </w:rPr>
              <w:t> </w:t>
            </w:r>
            <w:r>
              <w:rPr>
                <w:sz w:val="24"/>
              </w:rPr>
              <w:t>ramps</w:t>
            </w:r>
            <w:r>
              <w:rPr>
                <w:spacing w:val="40"/>
                <w:sz w:val="24"/>
              </w:rPr>
              <w:t> </w:t>
            </w:r>
            <w:r>
              <w:rPr>
                <w:sz w:val="24"/>
              </w:rPr>
              <w:t>and</w:t>
            </w:r>
            <w:r>
              <w:rPr>
                <w:spacing w:val="40"/>
                <w:sz w:val="24"/>
              </w:rPr>
              <w:t> </w:t>
            </w:r>
            <w:r>
              <w:rPr>
                <w:sz w:val="24"/>
              </w:rPr>
              <w:t>landing combinations, other solutions such as elevators should be </w:t>
            </w:r>
            <w:r>
              <w:rPr>
                <w:spacing w:val="9"/>
                <w:sz w:val="24"/>
              </w:rPr>
              <w:t>considered.</w:t>
            </w:r>
          </w:p>
        </w:tc>
      </w:tr>
      <w:tr>
        <w:trPr>
          <w:trHeight w:val="1893" w:hRule="atLeast"/>
        </w:trPr>
        <w:tc>
          <w:tcPr>
            <w:tcW w:w="2189" w:type="dxa"/>
          </w:tcPr>
          <w:p>
            <w:pPr>
              <w:pStyle w:val="TableParagraph"/>
              <w:spacing w:before="99"/>
              <w:ind w:left="100" w:right="36"/>
              <w:rPr>
                <w:sz w:val="24"/>
              </w:rPr>
            </w:pPr>
            <w:r>
              <w:rPr>
                <w:sz w:val="24"/>
              </w:rPr>
              <w:t>Design </w:t>
            </w:r>
            <w:r>
              <w:rPr>
                <w:sz w:val="24"/>
              </w:rPr>
              <w:t>and </w:t>
            </w:r>
            <w:r>
              <w:rPr>
                <w:spacing w:val="-2"/>
                <w:sz w:val="24"/>
              </w:rPr>
              <w:t>Finish</w:t>
            </w:r>
          </w:p>
        </w:tc>
        <w:tc>
          <w:tcPr>
            <w:tcW w:w="6751" w:type="dxa"/>
          </w:tcPr>
          <w:p>
            <w:pPr>
              <w:pStyle w:val="TableParagraph"/>
              <w:numPr>
                <w:ilvl w:val="0"/>
                <w:numId w:val="272"/>
              </w:numPr>
              <w:tabs>
                <w:tab w:pos="527" w:val="left" w:leader="none"/>
              </w:tabs>
              <w:spacing w:line="240" w:lineRule="auto" w:before="99" w:after="0"/>
              <w:ind w:left="527" w:right="97" w:hanging="286"/>
              <w:jc w:val="both"/>
              <w:rPr>
                <w:sz w:val="24"/>
              </w:rPr>
            </w:pPr>
            <w:r>
              <w:rPr>
                <w:sz w:val="24"/>
              </w:rPr>
              <w:t>Single row of tactile warning blocks should be placed at beginning and end of each ramp at also</w:t>
            </w:r>
            <w:r>
              <w:rPr>
                <w:spacing w:val="80"/>
                <w:sz w:val="24"/>
              </w:rPr>
              <w:t> </w:t>
            </w:r>
            <w:r>
              <w:rPr>
                <w:sz w:val="24"/>
              </w:rPr>
              <w:t>at</w:t>
            </w:r>
            <w:r>
              <w:rPr>
                <w:spacing w:val="40"/>
                <w:sz w:val="24"/>
              </w:rPr>
              <w:t> </w:t>
            </w:r>
            <w:r>
              <w:rPr>
                <w:sz w:val="24"/>
              </w:rPr>
              <w:t>beginning</w:t>
            </w:r>
            <w:r>
              <w:rPr>
                <w:spacing w:val="40"/>
                <w:sz w:val="24"/>
              </w:rPr>
              <w:t> </w:t>
            </w:r>
            <w:r>
              <w:rPr>
                <w:sz w:val="24"/>
              </w:rPr>
              <w:t>and</w:t>
            </w:r>
            <w:r>
              <w:rPr>
                <w:spacing w:val="40"/>
                <w:sz w:val="24"/>
              </w:rPr>
              <w:t> </w:t>
            </w:r>
            <w:r>
              <w:rPr>
                <w:sz w:val="24"/>
              </w:rPr>
              <w:t>end</w:t>
            </w:r>
            <w:r>
              <w:rPr>
                <w:spacing w:val="40"/>
                <w:sz w:val="24"/>
              </w:rPr>
              <w:t> </w:t>
            </w:r>
            <w:r>
              <w:rPr>
                <w:sz w:val="24"/>
              </w:rPr>
              <w:t>of</w:t>
            </w:r>
            <w:r>
              <w:rPr>
                <w:spacing w:val="40"/>
                <w:sz w:val="24"/>
              </w:rPr>
              <w:t> </w:t>
            </w:r>
            <w:r>
              <w:rPr>
                <w:sz w:val="24"/>
              </w:rPr>
              <w:t>each</w:t>
            </w:r>
            <w:r>
              <w:rPr>
                <w:spacing w:val="40"/>
                <w:sz w:val="24"/>
              </w:rPr>
              <w:t> </w:t>
            </w:r>
            <w:r>
              <w:rPr>
                <w:sz w:val="24"/>
              </w:rPr>
              <w:t>run.</w:t>
            </w:r>
          </w:p>
          <w:p>
            <w:pPr>
              <w:pStyle w:val="TableParagraph"/>
              <w:numPr>
                <w:ilvl w:val="0"/>
                <w:numId w:val="272"/>
              </w:numPr>
              <w:tabs>
                <w:tab w:pos="527" w:val="left" w:leader="none"/>
              </w:tabs>
              <w:spacing w:line="240" w:lineRule="auto" w:before="2" w:after="0"/>
              <w:ind w:left="527" w:right="95" w:hanging="286"/>
              <w:jc w:val="both"/>
              <w:rPr>
                <w:sz w:val="24"/>
              </w:rPr>
            </w:pPr>
            <w:r>
              <w:rPr>
                <w:sz w:val="24"/>
              </w:rPr>
              <w:t>Ramps and landing surfaces should be slip </w:t>
            </w:r>
            <w:r>
              <w:rPr>
                <w:spacing w:val="7"/>
                <w:sz w:val="24"/>
              </w:rPr>
              <w:t>resistant.</w:t>
            </w:r>
          </w:p>
        </w:tc>
      </w:tr>
    </w:tbl>
    <w:p>
      <w:pPr>
        <w:pStyle w:val="BodyText"/>
        <w:spacing w:before="280"/>
        <w:ind w:left="1313"/>
        <w:jc w:val="left"/>
      </w:pPr>
      <w:r>
        <w:rPr>
          <w:spacing w:val="7"/>
        </w:rPr>
        <w:t>Dimensions</w:t>
      </w:r>
    </w:p>
    <w:p>
      <w:pPr>
        <w:pStyle w:val="BodyText"/>
        <w:spacing w:before="48"/>
        <w:jc w:val="left"/>
        <w:rPr>
          <w:sz w:val="20"/>
        </w:rPr>
      </w:pPr>
    </w:p>
    <w:tbl>
      <w:tblPr>
        <w:tblW w:w="0" w:type="auto"/>
        <w:jc w:val="left"/>
        <w:tblInd w:w="1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5"/>
        <w:gridCol w:w="1702"/>
        <w:gridCol w:w="1702"/>
        <w:gridCol w:w="3550"/>
      </w:tblGrid>
      <w:tr>
        <w:trPr>
          <w:trHeight w:val="762" w:hRule="atLeast"/>
        </w:trPr>
        <w:tc>
          <w:tcPr>
            <w:tcW w:w="1985" w:type="dxa"/>
          </w:tcPr>
          <w:p>
            <w:pPr>
              <w:pStyle w:val="TableParagraph"/>
              <w:spacing w:before="99"/>
              <w:ind w:left="352" w:firstLine="321"/>
              <w:rPr>
                <w:sz w:val="24"/>
              </w:rPr>
            </w:pPr>
            <w:r>
              <w:rPr>
                <w:spacing w:val="-2"/>
                <w:sz w:val="24"/>
              </w:rPr>
              <w:t>Level Difference</w:t>
            </w:r>
          </w:p>
        </w:tc>
        <w:tc>
          <w:tcPr>
            <w:tcW w:w="1702" w:type="dxa"/>
          </w:tcPr>
          <w:p>
            <w:pPr>
              <w:pStyle w:val="TableParagraph"/>
              <w:spacing w:before="99"/>
              <w:ind w:left="100"/>
              <w:rPr>
                <w:sz w:val="24"/>
              </w:rPr>
            </w:pPr>
            <w:r>
              <w:rPr>
                <w:spacing w:val="-2"/>
                <w:sz w:val="24"/>
              </w:rPr>
              <w:t>Minimum gradient</w:t>
            </w:r>
          </w:p>
        </w:tc>
        <w:tc>
          <w:tcPr>
            <w:tcW w:w="1702" w:type="dxa"/>
          </w:tcPr>
          <w:p>
            <w:pPr>
              <w:pStyle w:val="TableParagraph"/>
              <w:spacing w:before="99"/>
              <w:ind w:left="474" w:firstLine="12"/>
              <w:rPr>
                <w:sz w:val="24"/>
              </w:rPr>
            </w:pPr>
            <w:r>
              <w:rPr>
                <w:spacing w:val="-4"/>
                <w:sz w:val="24"/>
              </w:rPr>
              <w:t>Ramp </w:t>
            </w:r>
            <w:r>
              <w:rPr>
                <w:spacing w:val="-2"/>
                <w:sz w:val="24"/>
              </w:rPr>
              <w:t>Width</w:t>
            </w:r>
          </w:p>
        </w:tc>
        <w:tc>
          <w:tcPr>
            <w:tcW w:w="3550" w:type="dxa"/>
          </w:tcPr>
          <w:p>
            <w:pPr>
              <w:pStyle w:val="TableParagraph"/>
              <w:spacing w:before="99"/>
              <w:ind w:left="1103"/>
              <w:rPr>
                <w:sz w:val="24"/>
              </w:rPr>
            </w:pPr>
            <w:r>
              <w:rPr>
                <w:spacing w:val="-2"/>
                <w:sz w:val="24"/>
              </w:rPr>
              <w:t>Comments</w:t>
            </w:r>
          </w:p>
        </w:tc>
      </w:tr>
      <w:tr>
        <w:trPr>
          <w:trHeight w:val="764" w:hRule="atLeast"/>
        </w:trPr>
        <w:tc>
          <w:tcPr>
            <w:tcW w:w="1985" w:type="dxa"/>
          </w:tcPr>
          <w:p>
            <w:pPr>
              <w:pStyle w:val="TableParagraph"/>
              <w:spacing w:before="99"/>
              <w:ind w:left="100"/>
              <w:rPr>
                <w:sz w:val="24"/>
              </w:rPr>
            </w:pPr>
            <w:r>
              <w:rPr>
                <w:sz w:val="24"/>
              </w:rPr>
              <w:t>≥</w:t>
            </w:r>
            <w:r>
              <w:rPr>
                <w:spacing w:val="27"/>
                <w:sz w:val="24"/>
              </w:rPr>
              <w:t> </w:t>
            </w:r>
            <w:r>
              <w:rPr>
                <w:sz w:val="24"/>
              </w:rPr>
              <w:t>0.15</w:t>
            </w:r>
            <w:r>
              <w:rPr>
                <w:spacing w:val="27"/>
                <w:sz w:val="24"/>
              </w:rPr>
              <w:t> </w:t>
            </w:r>
            <w:r>
              <w:rPr>
                <w:sz w:val="24"/>
              </w:rPr>
              <w:t>m</w:t>
            </w:r>
            <w:r>
              <w:rPr>
                <w:spacing w:val="31"/>
                <w:sz w:val="24"/>
              </w:rPr>
              <w:t> </w:t>
            </w:r>
            <w:r>
              <w:rPr>
                <w:spacing w:val="-10"/>
                <w:sz w:val="24"/>
              </w:rPr>
              <w:t>&lt;</w:t>
            </w:r>
          </w:p>
          <w:p>
            <w:pPr>
              <w:pStyle w:val="TableParagraph"/>
              <w:spacing w:before="2"/>
              <w:ind w:left="100"/>
              <w:rPr>
                <w:sz w:val="24"/>
              </w:rPr>
            </w:pPr>
            <w:r>
              <w:rPr>
                <w:sz w:val="24"/>
              </w:rPr>
              <w:t>0.30</w:t>
            </w:r>
            <w:r>
              <w:rPr>
                <w:spacing w:val="46"/>
                <w:sz w:val="24"/>
              </w:rPr>
              <w:t> </w:t>
            </w:r>
            <w:r>
              <w:rPr>
                <w:spacing w:val="-10"/>
                <w:sz w:val="24"/>
              </w:rPr>
              <w:t>m</w:t>
            </w:r>
          </w:p>
        </w:tc>
        <w:tc>
          <w:tcPr>
            <w:tcW w:w="1702" w:type="dxa"/>
          </w:tcPr>
          <w:p>
            <w:pPr>
              <w:pStyle w:val="TableParagraph"/>
              <w:spacing w:before="99"/>
              <w:ind w:left="16"/>
              <w:jc w:val="center"/>
              <w:rPr>
                <w:sz w:val="24"/>
              </w:rPr>
            </w:pPr>
            <w:r>
              <w:rPr>
                <w:spacing w:val="-4"/>
                <w:sz w:val="24"/>
              </w:rPr>
              <w:t>1:12</w:t>
            </w:r>
          </w:p>
        </w:tc>
        <w:tc>
          <w:tcPr>
            <w:tcW w:w="1702" w:type="dxa"/>
          </w:tcPr>
          <w:p>
            <w:pPr>
              <w:pStyle w:val="TableParagraph"/>
              <w:spacing w:before="99"/>
              <w:ind w:left="486"/>
              <w:rPr>
                <w:sz w:val="24"/>
              </w:rPr>
            </w:pPr>
            <w:r>
              <w:rPr>
                <w:sz w:val="24"/>
              </w:rPr>
              <w:t>1.2</w:t>
            </w:r>
            <w:r>
              <w:rPr>
                <w:spacing w:val="35"/>
                <w:sz w:val="24"/>
              </w:rPr>
              <w:t> </w:t>
            </w:r>
            <w:r>
              <w:rPr>
                <w:spacing w:val="-10"/>
                <w:sz w:val="24"/>
              </w:rPr>
              <w:t>m</w:t>
            </w:r>
          </w:p>
        </w:tc>
        <w:tc>
          <w:tcPr>
            <w:tcW w:w="3550" w:type="dxa"/>
          </w:tcPr>
          <w:p>
            <w:pPr>
              <w:pStyle w:val="TableParagraph"/>
              <w:rPr>
                <w:rFonts w:ascii="Times New Roman"/>
                <w:sz w:val="22"/>
              </w:rPr>
            </w:pPr>
          </w:p>
        </w:tc>
      </w:tr>
      <w:tr>
        <w:trPr>
          <w:trHeight w:val="762" w:hRule="atLeast"/>
        </w:trPr>
        <w:tc>
          <w:tcPr>
            <w:tcW w:w="1985" w:type="dxa"/>
          </w:tcPr>
          <w:p>
            <w:pPr>
              <w:pStyle w:val="TableParagraph"/>
              <w:spacing w:line="281" w:lineRule="exact" w:before="99"/>
              <w:ind w:left="100"/>
              <w:rPr>
                <w:sz w:val="24"/>
              </w:rPr>
            </w:pPr>
            <w:r>
              <w:rPr>
                <w:sz w:val="24"/>
              </w:rPr>
              <w:t>≥</w:t>
            </w:r>
            <w:r>
              <w:rPr>
                <w:spacing w:val="27"/>
                <w:sz w:val="24"/>
              </w:rPr>
              <w:t> </w:t>
            </w:r>
            <w:r>
              <w:rPr>
                <w:sz w:val="24"/>
              </w:rPr>
              <w:t>0.30</w:t>
            </w:r>
            <w:r>
              <w:rPr>
                <w:spacing w:val="27"/>
                <w:sz w:val="24"/>
              </w:rPr>
              <w:t> </w:t>
            </w:r>
            <w:r>
              <w:rPr>
                <w:sz w:val="24"/>
              </w:rPr>
              <w:t>m</w:t>
            </w:r>
            <w:r>
              <w:rPr>
                <w:spacing w:val="31"/>
                <w:sz w:val="24"/>
              </w:rPr>
              <w:t> </w:t>
            </w:r>
            <w:r>
              <w:rPr>
                <w:spacing w:val="-10"/>
                <w:sz w:val="24"/>
              </w:rPr>
              <w:t>&lt;</w:t>
            </w:r>
          </w:p>
          <w:p>
            <w:pPr>
              <w:pStyle w:val="TableParagraph"/>
              <w:spacing w:line="281" w:lineRule="exact"/>
              <w:ind w:left="100"/>
              <w:rPr>
                <w:sz w:val="24"/>
              </w:rPr>
            </w:pPr>
            <w:r>
              <w:rPr>
                <w:sz w:val="24"/>
              </w:rPr>
              <w:t>0.75</w:t>
            </w:r>
            <w:r>
              <w:rPr>
                <w:spacing w:val="46"/>
                <w:sz w:val="24"/>
              </w:rPr>
              <w:t> </w:t>
            </w:r>
            <w:r>
              <w:rPr>
                <w:spacing w:val="-10"/>
                <w:sz w:val="24"/>
              </w:rPr>
              <w:t>m</w:t>
            </w:r>
          </w:p>
        </w:tc>
        <w:tc>
          <w:tcPr>
            <w:tcW w:w="1702" w:type="dxa"/>
          </w:tcPr>
          <w:p>
            <w:pPr>
              <w:pStyle w:val="TableParagraph"/>
              <w:spacing w:before="99"/>
              <w:ind w:left="16"/>
              <w:jc w:val="center"/>
              <w:rPr>
                <w:sz w:val="24"/>
              </w:rPr>
            </w:pPr>
            <w:r>
              <w:rPr>
                <w:spacing w:val="-4"/>
                <w:sz w:val="24"/>
              </w:rPr>
              <w:t>1:12</w:t>
            </w:r>
          </w:p>
        </w:tc>
        <w:tc>
          <w:tcPr>
            <w:tcW w:w="1702" w:type="dxa"/>
          </w:tcPr>
          <w:p>
            <w:pPr>
              <w:pStyle w:val="TableParagraph"/>
              <w:spacing w:before="99"/>
              <w:ind w:left="486"/>
              <w:rPr>
                <w:sz w:val="24"/>
              </w:rPr>
            </w:pPr>
            <w:r>
              <w:rPr>
                <w:sz w:val="24"/>
              </w:rPr>
              <w:t>1.5</w:t>
            </w:r>
            <w:r>
              <w:rPr>
                <w:spacing w:val="35"/>
                <w:sz w:val="24"/>
              </w:rPr>
              <w:t> </w:t>
            </w:r>
            <w:r>
              <w:rPr>
                <w:spacing w:val="-10"/>
                <w:sz w:val="24"/>
              </w:rPr>
              <w:t>m</w:t>
            </w:r>
          </w:p>
        </w:tc>
        <w:tc>
          <w:tcPr>
            <w:tcW w:w="3550" w:type="dxa"/>
          </w:tcPr>
          <w:p>
            <w:pPr>
              <w:pStyle w:val="TableParagraph"/>
              <w:spacing w:before="99"/>
              <w:ind w:left="1173" w:right="30" w:hanging="725"/>
              <w:rPr>
                <w:sz w:val="24"/>
              </w:rPr>
            </w:pPr>
            <w:r>
              <w:rPr>
                <w:sz w:val="24"/>
              </w:rPr>
              <w:t>Landing every 5 m of ramp run</w:t>
            </w:r>
          </w:p>
        </w:tc>
      </w:tr>
      <w:tr>
        <w:trPr>
          <w:trHeight w:val="765" w:hRule="atLeast"/>
        </w:trPr>
        <w:tc>
          <w:tcPr>
            <w:tcW w:w="1985" w:type="dxa"/>
          </w:tcPr>
          <w:p>
            <w:pPr>
              <w:pStyle w:val="TableParagraph"/>
              <w:spacing w:before="100"/>
              <w:ind w:left="100"/>
              <w:rPr>
                <w:sz w:val="24"/>
              </w:rPr>
            </w:pPr>
            <w:r>
              <w:rPr>
                <w:sz w:val="24"/>
              </w:rPr>
              <w:t>≥</w:t>
            </w:r>
            <w:r>
              <w:rPr>
                <w:spacing w:val="27"/>
                <w:sz w:val="24"/>
              </w:rPr>
              <w:t> </w:t>
            </w:r>
            <w:r>
              <w:rPr>
                <w:sz w:val="24"/>
              </w:rPr>
              <w:t>0.75</w:t>
            </w:r>
            <w:r>
              <w:rPr>
                <w:spacing w:val="27"/>
                <w:sz w:val="24"/>
              </w:rPr>
              <w:t> </w:t>
            </w:r>
            <w:r>
              <w:rPr>
                <w:sz w:val="24"/>
              </w:rPr>
              <w:t>m</w:t>
            </w:r>
            <w:r>
              <w:rPr>
                <w:spacing w:val="31"/>
                <w:sz w:val="24"/>
              </w:rPr>
              <w:t> </w:t>
            </w:r>
            <w:r>
              <w:rPr>
                <w:spacing w:val="-10"/>
                <w:sz w:val="24"/>
              </w:rPr>
              <w:t>&lt;</w:t>
            </w:r>
          </w:p>
          <w:p>
            <w:pPr>
              <w:pStyle w:val="TableParagraph"/>
              <w:spacing w:before="1"/>
              <w:ind w:left="100"/>
              <w:rPr>
                <w:sz w:val="24"/>
              </w:rPr>
            </w:pPr>
            <w:r>
              <w:rPr>
                <w:sz w:val="24"/>
              </w:rPr>
              <w:t>3.0</w:t>
            </w:r>
            <w:r>
              <w:rPr>
                <w:spacing w:val="35"/>
                <w:sz w:val="24"/>
              </w:rPr>
              <w:t> </w:t>
            </w:r>
            <w:r>
              <w:rPr>
                <w:spacing w:val="-10"/>
                <w:sz w:val="24"/>
              </w:rPr>
              <w:t>m</w:t>
            </w:r>
          </w:p>
        </w:tc>
        <w:tc>
          <w:tcPr>
            <w:tcW w:w="1702" w:type="dxa"/>
          </w:tcPr>
          <w:p>
            <w:pPr>
              <w:pStyle w:val="TableParagraph"/>
              <w:spacing w:before="100"/>
              <w:ind w:left="16"/>
              <w:jc w:val="center"/>
              <w:rPr>
                <w:sz w:val="24"/>
              </w:rPr>
            </w:pPr>
            <w:r>
              <w:rPr>
                <w:spacing w:val="-4"/>
                <w:sz w:val="24"/>
              </w:rPr>
              <w:t>1:15</w:t>
            </w:r>
          </w:p>
        </w:tc>
        <w:tc>
          <w:tcPr>
            <w:tcW w:w="1702" w:type="dxa"/>
          </w:tcPr>
          <w:p>
            <w:pPr>
              <w:pStyle w:val="TableParagraph"/>
              <w:spacing w:before="100"/>
              <w:ind w:left="486"/>
              <w:rPr>
                <w:sz w:val="24"/>
              </w:rPr>
            </w:pPr>
            <w:r>
              <w:rPr>
                <w:sz w:val="24"/>
              </w:rPr>
              <w:t>1.8</w:t>
            </w:r>
            <w:r>
              <w:rPr>
                <w:spacing w:val="35"/>
                <w:sz w:val="24"/>
              </w:rPr>
              <w:t> </w:t>
            </w:r>
            <w:r>
              <w:rPr>
                <w:spacing w:val="-10"/>
                <w:sz w:val="24"/>
              </w:rPr>
              <w:t>m</w:t>
            </w:r>
          </w:p>
        </w:tc>
        <w:tc>
          <w:tcPr>
            <w:tcW w:w="3550" w:type="dxa"/>
          </w:tcPr>
          <w:p>
            <w:pPr>
              <w:pStyle w:val="TableParagraph"/>
              <w:spacing w:before="100"/>
              <w:ind w:left="1173" w:right="30" w:hanging="725"/>
              <w:rPr>
                <w:sz w:val="24"/>
              </w:rPr>
            </w:pPr>
            <w:r>
              <w:rPr>
                <w:sz w:val="24"/>
              </w:rPr>
              <w:t>Landing every 9 m of ramp run</w:t>
            </w:r>
          </w:p>
        </w:tc>
      </w:tr>
      <w:tr>
        <w:trPr>
          <w:trHeight w:val="762" w:hRule="atLeast"/>
        </w:trPr>
        <w:tc>
          <w:tcPr>
            <w:tcW w:w="1985" w:type="dxa"/>
          </w:tcPr>
          <w:p>
            <w:pPr>
              <w:pStyle w:val="TableParagraph"/>
              <w:spacing w:before="99"/>
              <w:ind w:left="515"/>
              <w:rPr>
                <w:sz w:val="24"/>
              </w:rPr>
            </w:pPr>
            <w:r>
              <w:rPr>
                <w:sz w:val="24"/>
              </w:rPr>
              <w:t>≥</w:t>
            </w:r>
            <w:r>
              <w:rPr>
                <w:spacing w:val="28"/>
                <w:sz w:val="24"/>
              </w:rPr>
              <w:t> </w:t>
            </w:r>
            <w:r>
              <w:rPr>
                <w:sz w:val="24"/>
              </w:rPr>
              <w:t>3.0</w:t>
            </w:r>
            <w:r>
              <w:rPr>
                <w:spacing w:val="27"/>
                <w:sz w:val="24"/>
              </w:rPr>
              <w:t> </w:t>
            </w:r>
            <w:r>
              <w:rPr>
                <w:spacing w:val="-10"/>
                <w:sz w:val="24"/>
              </w:rPr>
              <w:t>m</w:t>
            </w:r>
          </w:p>
        </w:tc>
        <w:tc>
          <w:tcPr>
            <w:tcW w:w="1702" w:type="dxa"/>
          </w:tcPr>
          <w:p>
            <w:pPr>
              <w:pStyle w:val="TableParagraph"/>
              <w:spacing w:before="99"/>
              <w:ind w:left="16"/>
              <w:jc w:val="center"/>
              <w:rPr>
                <w:sz w:val="24"/>
              </w:rPr>
            </w:pPr>
            <w:r>
              <w:rPr>
                <w:spacing w:val="-4"/>
                <w:sz w:val="24"/>
              </w:rPr>
              <w:t>1:20</w:t>
            </w:r>
          </w:p>
        </w:tc>
        <w:tc>
          <w:tcPr>
            <w:tcW w:w="1702" w:type="dxa"/>
          </w:tcPr>
          <w:p>
            <w:pPr>
              <w:pStyle w:val="TableParagraph"/>
              <w:spacing w:before="99"/>
              <w:ind w:left="486"/>
              <w:rPr>
                <w:sz w:val="24"/>
              </w:rPr>
            </w:pPr>
            <w:r>
              <w:rPr>
                <w:sz w:val="24"/>
              </w:rPr>
              <w:t>1.8</w:t>
            </w:r>
            <w:r>
              <w:rPr>
                <w:spacing w:val="35"/>
                <w:sz w:val="24"/>
              </w:rPr>
              <w:t> </w:t>
            </w:r>
            <w:r>
              <w:rPr>
                <w:spacing w:val="-10"/>
                <w:sz w:val="24"/>
              </w:rPr>
              <w:t>m</w:t>
            </w:r>
          </w:p>
        </w:tc>
        <w:tc>
          <w:tcPr>
            <w:tcW w:w="3550" w:type="dxa"/>
          </w:tcPr>
          <w:p>
            <w:pPr>
              <w:pStyle w:val="TableParagraph"/>
              <w:spacing w:before="99"/>
              <w:ind w:left="1173" w:right="30" w:hanging="725"/>
              <w:rPr>
                <w:sz w:val="24"/>
              </w:rPr>
            </w:pPr>
            <w:r>
              <w:rPr>
                <w:sz w:val="24"/>
              </w:rPr>
              <w:t>Landing every 9 m of ramp run</w:t>
            </w:r>
          </w:p>
        </w:tc>
      </w:tr>
    </w:tbl>
    <w:p>
      <w:pPr>
        <w:pStyle w:val="BodyText"/>
        <w:jc w:val="left"/>
      </w:pPr>
    </w:p>
    <w:p>
      <w:pPr>
        <w:pStyle w:val="BodyText"/>
        <w:spacing w:before="1"/>
        <w:jc w:val="left"/>
      </w:pPr>
    </w:p>
    <w:p>
      <w:pPr>
        <w:pStyle w:val="ListParagraph"/>
        <w:numPr>
          <w:ilvl w:val="1"/>
          <w:numId w:val="264"/>
        </w:numPr>
        <w:tabs>
          <w:tab w:pos="1791" w:val="left" w:leader="none"/>
        </w:tabs>
        <w:spacing w:line="240" w:lineRule="auto" w:before="0" w:after="0"/>
        <w:ind w:left="1313" w:right="787" w:firstLine="0"/>
        <w:jc w:val="both"/>
        <w:rPr>
          <w:sz w:val="24"/>
        </w:rPr>
      </w:pPr>
      <w:r>
        <w:rPr>
          <w:sz w:val="24"/>
        </w:rPr>
        <w:t>Parking- For parking of vehicles by Differently abled individuals, the following</w:t>
      </w:r>
      <w:r>
        <w:rPr>
          <w:spacing w:val="40"/>
          <w:sz w:val="24"/>
        </w:rPr>
        <w:t> </w:t>
      </w:r>
      <w:r>
        <w:rPr>
          <w:sz w:val="24"/>
        </w:rPr>
        <w:t>provisions</w:t>
      </w:r>
      <w:r>
        <w:rPr>
          <w:spacing w:val="40"/>
          <w:sz w:val="24"/>
        </w:rPr>
        <w:t> </w:t>
      </w:r>
      <w:r>
        <w:rPr>
          <w:sz w:val="24"/>
        </w:rPr>
        <w:t>shall</w:t>
      </w:r>
      <w:r>
        <w:rPr>
          <w:spacing w:val="40"/>
          <w:sz w:val="24"/>
        </w:rPr>
        <w:t> </w:t>
      </w:r>
      <w:r>
        <w:rPr>
          <w:sz w:val="24"/>
        </w:rPr>
        <w:t>be</w:t>
      </w:r>
      <w:r>
        <w:rPr>
          <w:spacing w:val="40"/>
          <w:sz w:val="24"/>
        </w:rPr>
        <w:t> </w:t>
      </w:r>
      <w:r>
        <w:rPr>
          <w:spacing w:val="9"/>
          <w:sz w:val="24"/>
        </w:rPr>
        <w:t>made:</w:t>
      </w:r>
    </w:p>
    <w:p>
      <w:pPr>
        <w:pStyle w:val="ListParagraph"/>
        <w:numPr>
          <w:ilvl w:val="0"/>
          <w:numId w:val="273"/>
        </w:numPr>
        <w:tabs>
          <w:tab w:pos="1623" w:val="left" w:leader="none"/>
        </w:tabs>
        <w:spacing w:line="240" w:lineRule="auto" w:before="1" w:after="0"/>
        <w:ind w:left="1313" w:right="785" w:firstLine="0"/>
        <w:jc w:val="both"/>
        <w:rPr>
          <w:sz w:val="24"/>
        </w:rPr>
      </w:pPr>
      <w:r>
        <w:rPr>
          <w:sz w:val="24"/>
        </w:rPr>
        <w:t>Minimum</w:t>
      </w:r>
      <w:r>
        <w:rPr>
          <w:spacing w:val="40"/>
          <w:sz w:val="24"/>
        </w:rPr>
        <w:t> </w:t>
      </w:r>
      <w:r>
        <w:rPr>
          <w:sz w:val="24"/>
        </w:rPr>
        <w:t>two</w:t>
      </w:r>
      <w:r>
        <w:rPr>
          <w:spacing w:val="40"/>
          <w:sz w:val="24"/>
        </w:rPr>
        <w:t> </w:t>
      </w:r>
      <w:r>
        <w:rPr>
          <w:sz w:val="24"/>
        </w:rPr>
        <w:t>surface</w:t>
      </w:r>
      <w:r>
        <w:rPr>
          <w:spacing w:val="40"/>
          <w:sz w:val="24"/>
        </w:rPr>
        <w:t> </w:t>
      </w:r>
      <w:r>
        <w:rPr>
          <w:sz w:val="24"/>
        </w:rPr>
        <w:t>parking</w:t>
      </w:r>
      <w:r>
        <w:rPr>
          <w:spacing w:val="40"/>
          <w:sz w:val="24"/>
        </w:rPr>
        <w:t> </w:t>
      </w:r>
      <w:r>
        <w:rPr>
          <w:sz w:val="24"/>
        </w:rPr>
        <w:t>spaces</w:t>
      </w:r>
      <w:r>
        <w:rPr>
          <w:spacing w:val="40"/>
          <w:sz w:val="24"/>
        </w:rPr>
        <w:t> </w:t>
      </w:r>
      <w:r>
        <w:rPr>
          <w:sz w:val="24"/>
        </w:rPr>
        <w:t>for</w:t>
      </w:r>
      <w:r>
        <w:rPr>
          <w:spacing w:val="40"/>
          <w:sz w:val="24"/>
        </w:rPr>
        <w:t> </w:t>
      </w:r>
      <w:r>
        <w:rPr>
          <w:sz w:val="24"/>
        </w:rPr>
        <w:t>the</w:t>
      </w:r>
      <w:r>
        <w:rPr>
          <w:spacing w:val="40"/>
          <w:sz w:val="24"/>
        </w:rPr>
        <w:t> </w:t>
      </w:r>
      <w:r>
        <w:rPr>
          <w:sz w:val="24"/>
        </w:rPr>
        <w:t>first</w:t>
      </w:r>
      <w:r>
        <w:rPr>
          <w:spacing w:val="40"/>
          <w:sz w:val="24"/>
        </w:rPr>
        <w:t> </w:t>
      </w:r>
      <w:r>
        <w:rPr>
          <w:sz w:val="24"/>
        </w:rPr>
        <w:t>100</w:t>
      </w:r>
      <w:r>
        <w:rPr>
          <w:spacing w:val="40"/>
          <w:sz w:val="24"/>
        </w:rPr>
        <w:t> </w:t>
      </w:r>
      <w:r>
        <w:rPr>
          <w:sz w:val="24"/>
        </w:rPr>
        <w:t>parking</w:t>
      </w:r>
      <w:r>
        <w:rPr>
          <w:spacing w:val="40"/>
          <w:sz w:val="24"/>
        </w:rPr>
        <w:t> </w:t>
      </w:r>
      <w:r>
        <w:rPr>
          <w:sz w:val="24"/>
        </w:rPr>
        <w:t>spaces and</w:t>
      </w:r>
      <w:r>
        <w:rPr>
          <w:spacing w:val="40"/>
          <w:sz w:val="24"/>
        </w:rPr>
        <w:t> </w:t>
      </w:r>
      <w:r>
        <w:rPr>
          <w:sz w:val="24"/>
        </w:rPr>
        <w:t>one</w:t>
      </w:r>
      <w:r>
        <w:rPr>
          <w:spacing w:val="40"/>
          <w:sz w:val="24"/>
        </w:rPr>
        <w:t> </w:t>
      </w:r>
      <w:r>
        <w:rPr>
          <w:sz w:val="24"/>
        </w:rPr>
        <w:t>parking</w:t>
      </w:r>
      <w:r>
        <w:rPr>
          <w:spacing w:val="40"/>
          <w:sz w:val="24"/>
        </w:rPr>
        <w:t> </w:t>
      </w:r>
      <w:r>
        <w:rPr>
          <w:sz w:val="24"/>
        </w:rPr>
        <w:t>space</w:t>
      </w:r>
      <w:r>
        <w:rPr>
          <w:spacing w:val="40"/>
          <w:sz w:val="24"/>
        </w:rPr>
        <w:t> </w:t>
      </w:r>
      <w:r>
        <w:rPr>
          <w:sz w:val="24"/>
        </w:rPr>
        <w:t>for</w:t>
      </w:r>
      <w:r>
        <w:rPr>
          <w:spacing w:val="40"/>
          <w:sz w:val="24"/>
        </w:rPr>
        <w:t> </w:t>
      </w:r>
      <w:r>
        <w:rPr>
          <w:sz w:val="24"/>
        </w:rPr>
        <w:t>next</w:t>
      </w:r>
      <w:r>
        <w:rPr>
          <w:spacing w:val="40"/>
          <w:sz w:val="24"/>
        </w:rPr>
        <w:t> </w:t>
      </w:r>
      <w:r>
        <w:rPr>
          <w:sz w:val="24"/>
        </w:rPr>
        <w:t>200</w:t>
      </w:r>
      <w:r>
        <w:rPr>
          <w:spacing w:val="40"/>
          <w:sz w:val="24"/>
        </w:rPr>
        <w:t> </w:t>
      </w:r>
      <w:r>
        <w:rPr>
          <w:sz w:val="24"/>
        </w:rPr>
        <w:t>parking</w:t>
      </w:r>
      <w:r>
        <w:rPr>
          <w:spacing w:val="40"/>
          <w:sz w:val="24"/>
        </w:rPr>
        <w:t> </w:t>
      </w:r>
      <w:r>
        <w:rPr>
          <w:sz w:val="24"/>
        </w:rPr>
        <w:t>spaces</w:t>
      </w:r>
      <w:r>
        <w:rPr>
          <w:spacing w:val="40"/>
          <w:sz w:val="24"/>
        </w:rPr>
        <w:t> </w:t>
      </w:r>
      <w:r>
        <w:rPr>
          <w:sz w:val="24"/>
        </w:rPr>
        <w:t>or</w:t>
      </w:r>
      <w:r>
        <w:rPr>
          <w:spacing w:val="40"/>
          <w:sz w:val="24"/>
        </w:rPr>
        <w:t> </w:t>
      </w:r>
      <w:r>
        <w:rPr>
          <w:sz w:val="24"/>
        </w:rPr>
        <w:t>part</w:t>
      </w:r>
      <w:r>
        <w:rPr>
          <w:spacing w:val="40"/>
          <w:sz w:val="24"/>
        </w:rPr>
        <w:t> </w:t>
      </w:r>
      <w:r>
        <w:rPr>
          <w:sz w:val="24"/>
        </w:rPr>
        <w:t>thereof</w:t>
      </w:r>
      <w:r>
        <w:rPr>
          <w:spacing w:val="40"/>
          <w:sz w:val="24"/>
        </w:rPr>
        <w:t> </w:t>
      </w:r>
      <w:r>
        <w:rPr>
          <w:sz w:val="24"/>
        </w:rPr>
        <w:t>shall be</w:t>
      </w:r>
      <w:r>
        <w:rPr>
          <w:spacing w:val="40"/>
          <w:sz w:val="24"/>
        </w:rPr>
        <w:t> </w:t>
      </w:r>
      <w:r>
        <w:rPr>
          <w:sz w:val="24"/>
        </w:rPr>
        <w:t>provided</w:t>
      </w:r>
      <w:r>
        <w:rPr>
          <w:spacing w:val="40"/>
          <w:sz w:val="24"/>
        </w:rPr>
        <w:t> </w:t>
      </w:r>
      <w:r>
        <w:rPr>
          <w:sz w:val="24"/>
        </w:rPr>
        <w:t>near</w:t>
      </w:r>
      <w:r>
        <w:rPr>
          <w:spacing w:val="40"/>
          <w:sz w:val="24"/>
        </w:rPr>
        <w:t> </w:t>
      </w:r>
      <w:r>
        <w:rPr>
          <w:sz w:val="24"/>
        </w:rPr>
        <w:t>entrance</w:t>
      </w:r>
      <w:r>
        <w:rPr>
          <w:spacing w:val="40"/>
          <w:sz w:val="24"/>
        </w:rPr>
        <w:t> </w:t>
      </w:r>
      <w:r>
        <w:rPr>
          <w:sz w:val="24"/>
        </w:rPr>
        <w:t>for</w:t>
      </w:r>
      <w:r>
        <w:rPr>
          <w:spacing w:val="40"/>
          <w:sz w:val="24"/>
        </w:rPr>
        <w:t> </w:t>
      </w:r>
      <w:r>
        <w:rPr>
          <w:sz w:val="24"/>
        </w:rPr>
        <w:t>the</w:t>
      </w:r>
      <w:r>
        <w:rPr>
          <w:spacing w:val="40"/>
          <w:sz w:val="24"/>
        </w:rPr>
        <w:t> </w:t>
      </w:r>
      <w:r>
        <w:rPr>
          <w:sz w:val="24"/>
        </w:rPr>
        <w:t>Differently</w:t>
      </w:r>
      <w:r>
        <w:rPr>
          <w:spacing w:val="40"/>
          <w:sz w:val="24"/>
        </w:rPr>
        <w:t> </w:t>
      </w:r>
      <w:r>
        <w:rPr>
          <w:sz w:val="24"/>
        </w:rPr>
        <w:t>abled</w:t>
      </w:r>
      <w:r>
        <w:rPr>
          <w:spacing w:val="40"/>
          <w:sz w:val="24"/>
        </w:rPr>
        <w:t> </w:t>
      </w:r>
      <w:r>
        <w:rPr>
          <w:sz w:val="24"/>
        </w:rPr>
        <w:t>persons</w:t>
      </w:r>
      <w:r>
        <w:rPr>
          <w:spacing w:val="40"/>
          <w:sz w:val="24"/>
        </w:rPr>
        <w:t> </w:t>
      </w:r>
      <w:r>
        <w:rPr>
          <w:sz w:val="24"/>
        </w:rPr>
        <w:t>with</w:t>
      </w:r>
      <w:r>
        <w:rPr>
          <w:spacing w:val="40"/>
          <w:sz w:val="24"/>
        </w:rPr>
        <w:t> </w:t>
      </w:r>
      <w:r>
        <w:rPr>
          <w:sz w:val="24"/>
        </w:rPr>
        <w:t>maximum</w:t>
      </w:r>
      <w:r>
        <w:rPr>
          <w:spacing w:val="40"/>
          <w:sz w:val="24"/>
        </w:rPr>
        <w:t> </w:t>
      </w:r>
      <w:r>
        <w:rPr>
          <w:sz w:val="24"/>
        </w:rPr>
        <w:t>travel</w:t>
      </w:r>
      <w:r>
        <w:rPr>
          <w:spacing w:val="40"/>
          <w:sz w:val="24"/>
        </w:rPr>
        <w:t> </w:t>
      </w:r>
      <w:r>
        <w:rPr>
          <w:sz w:val="24"/>
        </w:rPr>
        <w:t>distance</w:t>
      </w:r>
      <w:r>
        <w:rPr>
          <w:spacing w:val="40"/>
          <w:sz w:val="24"/>
        </w:rPr>
        <w:t> </w:t>
      </w:r>
      <w:r>
        <w:rPr>
          <w:sz w:val="24"/>
        </w:rPr>
        <w:t>of</w:t>
      </w:r>
      <w:r>
        <w:rPr>
          <w:spacing w:val="40"/>
          <w:sz w:val="24"/>
        </w:rPr>
        <w:t> </w:t>
      </w:r>
      <w:r>
        <w:rPr>
          <w:sz w:val="24"/>
        </w:rPr>
        <w:t>30</w:t>
      </w:r>
      <w:r>
        <w:rPr>
          <w:spacing w:val="40"/>
          <w:sz w:val="24"/>
        </w:rPr>
        <w:t> </w:t>
      </w:r>
      <w:r>
        <w:rPr>
          <w:sz w:val="24"/>
        </w:rPr>
        <w:t>m</w:t>
      </w:r>
      <w:r>
        <w:rPr>
          <w:spacing w:val="40"/>
          <w:sz w:val="24"/>
        </w:rPr>
        <w:t> </w:t>
      </w:r>
      <w:r>
        <w:rPr>
          <w:sz w:val="24"/>
        </w:rPr>
        <w:t>from</w:t>
      </w:r>
      <w:r>
        <w:rPr>
          <w:spacing w:val="40"/>
          <w:sz w:val="24"/>
        </w:rPr>
        <w:t> </w:t>
      </w:r>
      <w:r>
        <w:rPr>
          <w:sz w:val="24"/>
        </w:rPr>
        <w:t>building</w:t>
      </w:r>
      <w:r>
        <w:rPr>
          <w:spacing w:val="40"/>
          <w:sz w:val="24"/>
        </w:rPr>
        <w:t> </w:t>
      </w:r>
      <w:r>
        <w:rPr>
          <w:spacing w:val="9"/>
          <w:sz w:val="24"/>
        </w:rPr>
        <w:t>entrance.</w:t>
      </w:r>
    </w:p>
    <w:p>
      <w:pPr>
        <w:pStyle w:val="ListParagraph"/>
        <w:numPr>
          <w:ilvl w:val="0"/>
          <w:numId w:val="273"/>
        </w:numPr>
        <w:tabs>
          <w:tab w:pos="1640" w:val="left" w:leader="none"/>
        </w:tabs>
        <w:spacing w:line="281" w:lineRule="exact" w:before="0" w:after="0"/>
        <w:ind w:left="1640" w:right="0" w:hanging="327"/>
        <w:jc w:val="both"/>
        <w:rPr>
          <w:sz w:val="24"/>
        </w:rPr>
      </w:pPr>
      <w:r>
        <w:rPr>
          <w:sz w:val="24"/>
        </w:rPr>
        <w:t>The</w:t>
      </w:r>
      <w:r>
        <w:rPr>
          <w:spacing w:val="45"/>
          <w:sz w:val="24"/>
        </w:rPr>
        <w:t> </w:t>
      </w:r>
      <w:r>
        <w:rPr>
          <w:sz w:val="24"/>
        </w:rPr>
        <w:t>width</w:t>
      </w:r>
      <w:r>
        <w:rPr>
          <w:spacing w:val="46"/>
          <w:sz w:val="24"/>
        </w:rPr>
        <w:t> </w:t>
      </w:r>
      <w:r>
        <w:rPr>
          <w:sz w:val="24"/>
        </w:rPr>
        <w:t>of</w:t>
      </w:r>
      <w:r>
        <w:rPr>
          <w:spacing w:val="49"/>
          <w:sz w:val="24"/>
        </w:rPr>
        <w:t> </w:t>
      </w:r>
      <w:r>
        <w:rPr>
          <w:sz w:val="24"/>
        </w:rPr>
        <w:t>parking</w:t>
      </w:r>
      <w:r>
        <w:rPr>
          <w:spacing w:val="46"/>
          <w:sz w:val="24"/>
        </w:rPr>
        <w:t> </w:t>
      </w:r>
      <w:r>
        <w:rPr>
          <w:sz w:val="24"/>
        </w:rPr>
        <w:t>bay</w:t>
      </w:r>
      <w:r>
        <w:rPr>
          <w:spacing w:val="49"/>
          <w:sz w:val="24"/>
        </w:rPr>
        <w:t> </w:t>
      </w:r>
      <w:r>
        <w:rPr>
          <w:sz w:val="24"/>
        </w:rPr>
        <w:t>shall</w:t>
      </w:r>
      <w:r>
        <w:rPr>
          <w:spacing w:val="50"/>
          <w:sz w:val="24"/>
        </w:rPr>
        <w:t> </w:t>
      </w:r>
      <w:r>
        <w:rPr>
          <w:sz w:val="24"/>
        </w:rPr>
        <w:t>be</w:t>
      </w:r>
      <w:r>
        <w:rPr>
          <w:spacing w:val="49"/>
          <w:sz w:val="24"/>
        </w:rPr>
        <w:t> </w:t>
      </w:r>
      <w:r>
        <w:rPr>
          <w:sz w:val="24"/>
        </w:rPr>
        <w:t>minimum</w:t>
      </w:r>
      <w:r>
        <w:rPr>
          <w:spacing w:val="50"/>
          <w:sz w:val="24"/>
        </w:rPr>
        <w:t> </w:t>
      </w:r>
      <w:r>
        <w:rPr>
          <w:sz w:val="24"/>
        </w:rPr>
        <w:t>3.6</w:t>
      </w:r>
      <w:r>
        <w:rPr>
          <w:spacing w:val="46"/>
          <w:sz w:val="24"/>
        </w:rPr>
        <w:t> </w:t>
      </w:r>
      <w:r>
        <w:rPr>
          <w:spacing w:val="-5"/>
          <w:sz w:val="24"/>
        </w:rPr>
        <w:t>m.</w:t>
      </w:r>
    </w:p>
    <w:p>
      <w:pPr>
        <w:pStyle w:val="ListParagraph"/>
        <w:numPr>
          <w:ilvl w:val="0"/>
          <w:numId w:val="273"/>
        </w:numPr>
        <w:tabs>
          <w:tab w:pos="1659" w:val="left" w:leader="none"/>
        </w:tabs>
        <w:spacing w:line="240" w:lineRule="auto" w:before="1" w:after="0"/>
        <w:ind w:left="1313" w:right="798" w:firstLine="0"/>
        <w:jc w:val="both"/>
        <w:rPr>
          <w:sz w:val="24"/>
        </w:rPr>
      </w:pPr>
      <w:r>
        <w:rPr>
          <w:sz w:val="24"/>
        </w:rPr>
        <w:t>The</w:t>
      </w:r>
      <w:r>
        <w:rPr>
          <w:spacing w:val="40"/>
          <w:sz w:val="24"/>
        </w:rPr>
        <w:t> </w:t>
      </w:r>
      <w:r>
        <w:rPr>
          <w:sz w:val="24"/>
        </w:rPr>
        <w:t>information</w:t>
      </w:r>
      <w:r>
        <w:rPr>
          <w:spacing w:val="40"/>
          <w:sz w:val="24"/>
        </w:rPr>
        <w:t> </w:t>
      </w:r>
      <w:r>
        <w:rPr>
          <w:sz w:val="24"/>
        </w:rPr>
        <w:t>stating</w:t>
      </w:r>
      <w:r>
        <w:rPr>
          <w:spacing w:val="40"/>
          <w:sz w:val="24"/>
        </w:rPr>
        <w:t> </w:t>
      </w:r>
      <w:r>
        <w:rPr>
          <w:sz w:val="24"/>
        </w:rPr>
        <w:t>that</w:t>
      </w:r>
      <w:r>
        <w:rPr>
          <w:spacing w:val="40"/>
          <w:sz w:val="24"/>
        </w:rPr>
        <w:t> </w:t>
      </w:r>
      <w:r>
        <w:rPr>
          <w:sz w:val="24"/>
        </w:rPr>
        <w:t>the</w:t>
      </w:r>
      <w:r>
        <w:rPr>
          <w:spacing w:val="40"/>
          <w:sz w:val="24"/>
        </w:rPr>
        <w:t> </w:t>
      </w:r>
      <w:r>
        <w:rPr>
          <w:sz w:val="24"/>
        </w:rPr>
        <w:t>space</w:t>
      </w:r>
      <w:r>
        <w:rPr>
          <w:spacing w:val="40"/>
          <w:sz w:val="24"/>
        </w:rPr>
        <w:t> </w:t>
      </w:r>
      <w:r>
        <w:rPr>
          <w:sz w:val="24"/>
        </w:rPr>
        <w:t>is</w:t>
      </w:r>
      <w:r>
        <w:rPr>
          <w:spacing w:val="40"/>
          <w:sz w:val="24"/>
        </w:rPr>
        <w:t> </w:t>
      </w:r>
      <w:r>
        <w:rPr>
          <w:sz w:val="24"/>
        </w:rPr>
        <w:t>reserved</w:t>
      </w:r>
      <w:r>
        <w:rPr>
          <w:spacing w:val="40"/>
          <w:sz w:val="24"/>
        </w:rPr>
        <w:t> </w:t>
      </w:r>
      <w:r>
        <w:rPr>
          <w:sz w:val="24"/>
        </w:rPr>
        <w:t>for</w:t>
      </w:r>
      <w:r>
        <w:rPr>
          <w:spacing w:val="40"/>
          <w:sz w:val="24"/>
        </w:rPr>
        <w:t> </w:t>
      </w:r>
      <w:r>
        <w:rPr>
          <w:sz w:val="24"/>
        </w:rPr>
        <w:t>wheel</w:t>
      </w:r>
      <w:r>
        <w:rPr>
          <w:spacing w:val="40"/>
          <w:sz w:val="24"/>
        </w:rPr>
        <w:t> </w:t>
      </w:r>
      <w:r>
        <w:rPr>
          <w:sz w:val="24"/>
        </w:rPr>
        <w:t>chair users</w:t>
      </w:r>
      <w:r>
        <w:rPr>
          <w:spacing w:val="40"/>
          <w:sz w:val="24"/>
        </w:rPr>
        <w:t> </w:t>
      </w:r>
      <w:r>
        <w:rPr>
          <w:sz w:val="24"/>
        </w:rPr>
        <w:t>shall</w:t>
      </w:r>
      <w:r>
        <w:rPr>
          <w:spacing w:val="40"/>
          <w:sz w:val="24"/>
        </w:rPr>
        <w:t> </w:t>
      </w:r>
      <w:r>
        <w:rPr>
          <w:sz w:val="24"/>
        </w:rPr>
        <w:t>be</w:t>
      </w:r>
      <w:r>
        <w:rPr>
          <w:spacing w:val="40"/>
          <w:sz w:val="24"/>
        </w:rPr>
        <w:t> </w:t>
      </w:r>
      <w:r>
        <w:rPr>
          <w:sz w:val="24"/>
        </w:rPr>
        <w:t>conspicuously</w:t>
      </w:r>
      <w:r>
        <w:rPr>
          <w:spacing w:val="40"/>
          <w:sz w:val="24"/>
        </w:rPr>
        <w:t> </w:t>
      </w:r>
      <w:r>
        <w:rPr>
          <w:spacing w:val="9"/>
          <w:sz w:val="24"/>
        </w:rPr>
        <w:t>displayed.</w:t>
      </w:r>
    </w:p>
    <w:p>
      <w:pPr>
        <w:pStyle w:val="ListParagraph"/>
        <w:numPr>
          <w:ilvl w:val="0"/>
          <w:numId w:val="273"/>
        </w:numPr>
        <w:tabs>
          <w:tab w:pos="1751" w:val="left" w:leader="none"/>
        </w:tabs>
        <w:spacing w:line="240" w:lineRule="auto" w:before="1" w:after="0"/>
        <w:ind w:left="1313" w:right="789" w:firstLine="0"/>
        <w:jc w:val="both"/>
        <w:rPr>
          <w:sz w:val="24"/>
        </w:rPr>
      </w:pPr>
      <w:r>
        <w:rPr>
          <w:sz w:val="24"/>
        </w:rPr>
        <w:t>Indication/directional</w:t>
      </w:r>
      <w:r>
        <w:rPr>
          <w:spacing w:val="80"/>
          <w:sz w:val="24"/>
        </w:rPr>
        <w:t> </w:t>
      </w:r>
      <w:r>
        <w:rPr>
          <w:sz w:val="24"/>
        </w:rPr>
        <w:t>signage</w:t>
      </w:r>
      <w:r>
        <w:rPr>
          <w:spacing w:val="80"/>
          <w:sz w:val="24"/>
        </w:rPr>
        <w:t> </w:t>
      </w:r>
      <w:r>
        <w:rPr>
          <w:sz w:val="24"/>
        </w:rPr>
        <w:t>along</w:t>
      </w:r>
      <w:r>
        <w:rPr>
          <w:spacing w:val="80"/>
          <w:sz w:val="24"/>
        </w:rPr>
        <w:t> </w:t>
      </w:r>
      <w:r>
        <w:rPr>
          <w:sz w:val="24"/>
        </w:rPr>
        <w:t>driveway</w:t>
      </w:r>
      <w:r>
        <w:rPr>
          <w:spacing w:val="80"/>
          <w:sz w:val="24"/>
        </w:rPr>
        <w:t> </w:t>
      </w:r>
      <w:r>
        <w:rPr>
          <w:sz w:val="24"/>
        </w:rPr>
        <w:t>showing</w:t>
      </w:r>
      <w:r>
        <w:rPr>
          <w:spacing w:val="80"/>
          <w:sz w:val="24"/>
        </w:rPr>
        <w:t> </w:t>
      </w:r>
      <w:r>
        <w:rPr>
          <w:sz w:val="24"/>
        </w:rPr>
        <w:t>the</w:t>
      </w:r>
      <w:r>
        <w:rPr>
          <w:spacing w:val="80"/>
          <w:sz w:val="24"/>
        </w:rPr>
        <w:t> </w:t>
      </w:r>
      <w:r>
        <w:rPr>
          <w:sz w:val="24"/>
        </w:rPr>
        <w:t>way leading</w:t>
      </w:r>
      <w:r>
        <w:rPr>
          <w:spacing w:val="40"/>
          <w:sz w:val="24"/>
        </w:rPr>
        <w:t> </w:t>
      </w:r>
      <w:r>
        <w:rPr>
          <w:sz w:val="24"/>
        </w:rPr>
        <w:t>to</w:t>
      </w:r>
      <w:r>
        <w:rPr>
          <w:spacing w:val="40"/>
          <w:sz w:val="24"/>
        </w:rPr>
        <w:t> </w:t>
      </w:r>
      <w:r>
        <w:rPr>
          <w:sz w:val="24"/>
        </w:rPr>
        <w:t>the</w:t>
      </w:r>
      <w:r>
        <w:rPr>
          <w:spacing w:val="40"/>
          <w:sz w:val="24"/>
        </w:rPr>
        <w:t> </w:t>
      </w:r>
      <w:r>
        <w:rPr>
          <w:sz w:val="24"/>
        </w:rPr>
        <w:t>parking</w:t>
      </w:r>
      <w:r>
        <w:rPr>
          <w:spacing w:val="40"/>
          <w:sz w:val="24"/>
        </w:rPr>
        <w:t> </w:t>
      </w:r>
      <w:r>
        <w:rPr>
          <w:sz w:val="24"/>
        </w:rPr>
        <w:t>spaces</w:t>
      </w:r>
      <w:r>
        <w:rPr>
          <w:spacing w:val="40"/>
          <w:sz w:val="24"/>
        </w:rPr>
        <w:t> </w:t>
      </w:r>
      <w:r>
        <w:rPr>
          <w:sz w:val="24"/>
        </w:rPr>
        <w:t>reserved</w:t>
      </w:r>
      <w:r>
        <w:rPr>
          <w:spacing w:val="40"/>
          <w:sz w:val="24"/>
        </w:rPr>
        <w:t> </w:t>
      </w:r>
      <w:r>
        <w:rPr>
          <w:sz w:val="24"/>
        </w:rPr>
        <w:t>for</w:t>
      </w:r>
      <w:r>
        <w:rPr>
          <w:spacing w:val="40"/>
          <w:sz w:val="24"/>
        </w:rPr>
        <w:t> </w:t>
      </w:r>
      <w:r>
        <w:rPr>
          <w:sz w:val="24"/>
        </w:rPr>
        <w:t>Differently</w:t>
      </w:r>
      <w:r>
        <w:rPr>
          <w:spacing w:val="40"/>
          <w:sz w:val="24"/>
        </w:rPr>
        <w:t> </w:t>
      </w:r>
      <w:r>
        <w:rPr>
          <w:sz w:val="24"/>
        </w:rPr>
        <w:t>abled</w:t>
      </w:r>
      <w:r>
        <w:rPr>
          <w:spacing w:val="40"/>
          <w:sz w:val="24"/>
        </w:rPr>
        <w:t> </w:t>
      </w:r>
      <w:r>
        <w:rPr>
          <w:sz w:val="24"/>
        </w:rPr>
        <w:t>persons should be </w:t>
      </w:r>
      <w:r>
        <w:rPr>
          <w:spacing w:val="9"/>
          <w:sz w:val="24"/>
        </w:rPr>
        <w:t>provided</w:t>
      </w:r>
    </w:p>
    <w:p>
      <w:pPr>
        <w:pStyle w:val="ListParagraph"/>
        <w:spacing w:after="0" w:line="240" w:lineRule="auto"/>
        <w:jc w:val="both"/>
        <w:rPr>
          <w:sz w:val="24"/>
        </w:rPr>
        <w:sectPr>
          <w:pgSz w:w="11910" w:h="16840"/>
          <w:pgMar w:header="1058" w:footer="1201" w:top="1500" w:bottom="1400" w:left="360" w:right="360"/>
        </w:sectPr>
      </w:pPr>
    </w:p>
    <w:p>
      <w:pPr>
        <w:pStyle w:val="Heading6"/>
        <w:numPr>
          <w:ilvl w:val="0"/>
          <w:numId w:val="264"/>
        </w:numPr>
        <w:tabs>
          <w:tab w:pos="1643" w:val="left" w:leader="none"/>
        </w:tabs>
        <w:spacing w:line="240" w:lineRule="auto" w:before="252" w:after="0"/>
        <w:ind w:left="1643" w:right="0" w:hanging="330"/>
        <w:jc w:val="left"/>
        <w:rPr>
          <w:b w:val="0"/>
          <w:i w:val="0"/>
        </w:rPr>
      </w:pPr>
      <w:r>
        <w:rPr/>
        <w:t>Building</w:t>
      </w:r>
      <w:r>
        <w:rPr>
          <w:spacing w:val="42"/>
          <w:w w:val="150"/>
        </w:rPr>
        <w:t> </w:t>
      </w:r>
      <w:r>
        <w:rPr>
          <w:spacing w:val="7"/>
        </w:rPr>
        <w:t>Requirements</w:t>
      </w:r>
      <w:r>
        <w:rPr>
          <w:b w:val="0"/>
          <w:i w:val="0"/>
          <w:spacing w:val="7"/>
        </w:rPr>
        <w:t>:</w:t>
      </w:r>
    </w:p>
    <w:p>
      <w:pPr>
        <w:pStyle w:val="BodyText"/>
        <w:spacing w:before="3"/>
        <w:jc w:val="left"/>
      </w:pPr>
    </w:p>
    <w:p>
      <w:pPr>
        <w:pStyle w:val="BodyText"/>
        <w:ind w:left="1313" w:right="768"/>
        <w:jc w:val="left"/>
      </w:pPr>
      <w:r>
        <w:rPr/>
        <w:t>The</w:t>
      </w:r>
      <w:r>
        <w:rPr>
          <w:spacing w:val="75"/>
          <w:w w:val="150"/>
        </w:rPr>
        <w:t> </w:t>
      </w:r>
      <w:r>
        <w:rPr/>
        <w:t>specified</w:t>
      </w:r>
      <w:r>
        <w:rPr>
          <w:spacing w:val="78"/>
          <w:w w:val="150"/>
        </w:rPr>
        <w:t> </w:t>
      </w:r>
      <w:r>
        <w:rPr/>
        <w:t>facilities</w:t>
      </w:r>
      <w:r>
        <w:rPr>
          <w:spacing w:val="75"/>
          <w:w w:val="150"/>
        </w:rPr>
        <w:t> </w:t>
      </w:r>
      <w:r>
        <w:rPr/>
        <w:t>for</w:t>
      </w:r>
      <w:r>
        <w:rPr>
          <w:spacing w:val="78"/>
          <w:w w:val="150"/>
        </w:rPr>
        <w:t> </w:t>
      </w:r>
      <w:r>
        <w:rPr/>
        <w:t>the</w:t>
      </w:r>
      <w:r>
        <w:rPr>
          <w:spacing w:val="78"/>
          <w:w w:val="150"/>
        </w:rPr>
        <w:t> </w:t>
      </w:r>
      <w:r>
        <w:rPr/>
        <w:t>buildings</w:t>
      </w:r>
      <w:r>
        <w:rPr>
          <w:spacing w:val="75"/>
          <w:w w:val="150"/>
        </w:rPr>
        <w:t> </w:t>
      </w:r>
      <w:r>
        <w:rPr/>
        <w:t>for</w:t>
      </w:r>
      <w:r>
        <w:rPr>
          <w:spacing w:val="80"/>
          <w:w w:val="150"/>
        </w:rPr>
        <w:t> </w:t>
      </w:r>
      <w:r>
        <w:rPr/>
        <w:t>Differently</w:t>
      </w:r>
      <w:r>
        <w:rPr>
          <w:spacing w:val="78"/>
          <w:w w:val="150"/>
        </w:rPr>
        <w:t> </w:t>
      </w:r>
      <w:r>
        <w:rPr/>
        <w:t>abled</w:t>
      </w:r>
      <w:r>
        <w:rPr>
          <w:spacing w:val="80"/>
          <w:w w:val="150"/>
        </w:rPr>
        <w:t> </w:t>
      </w:r>
      <w:r>
        <w:rPr/>
        <w:t>persons shall be as </w:t>
      </w:r>
      <w:r>
        <w:rPr>
          <w:spacing w:val="9"/>
        </w:rPr>
        <w:t>follows:</w:t>
      </w:r>
    </w:p>
    <w:p>
      <w:pPr>
        <w:pStyle w:val="ListParagraph"/>
        <w:numPr>
          <w:ilvl w:val="0"/>
          <w:numId w:val="274"/>
        </w:numPr>
        <w:tabs>
          <w:tab w:pos="1643" w:val="left" w:leader="none"/>
        </w:tabs>
        <w:spacing w:line="281" w:lineRule="exact" w:before="1" w:after="0"/>
        <w:ind w:left="1643" w:right="0" w:hanging="330"/>
        <w:jc w:val="left"/>
        <w:rPr>
          <w:sz w:val="24"/>
        </w:rPr>
      </w:pPr>
      <w:r>
        <w:rPr>
          <w:sz w:val="24"/>
        </w:rPr>
        <w:t>Approach</w:t>
      </w:r>
      <w:r>
        <w:rPr>
          <w:spacing w:val="57"/>
          <w:sz w:val="24"/>
        </w:rPr>
        <w:t> </w:t>
      </w:r>
      <w:r>
        <w:rPr>
          <w:sz w:val="24"/>
        </w:rPr>
        <w:t>to</w:t>
      </w:r>
      <w:r>
        <w:rPr>
          <w:spacing w:val="61"/>
          <w:sz w:val="24"/>
        </w:rPr>
        <w:t> </w:t>
      </w:r>
      <w:r>
        <w:rPr>
          <w:sz w:val="24"/>
        </w:rPr>
        <w:t>plinth</w:t>
      </w:r>
      <w:r>
        <w:rPr>
          <w:spacing w:val="60"/>
          <w:sz w:val="24"/>
        </w:rPr>
        <w:t> </w:t>
      </w:r>
      <w:r>
        <w:rPr>
          <w:spacing w:val="-2"/>
          <w:sz w:val="24"/>
        </w:rPr>
        <w:t>level.</w:t>
      </w:r>
    </w:p>
    <w:p>
      <w:pPr>
        <w:pStyle w:val="ListParagraph"/>
        <w:numPr>
          <w:ilvl w:val="0"/>
          <w:numId w:val="274"/>
        </w:numPr>
        <w:tabs>
          <w:tab w:pos="1745" w:val="left" w:leader="none"/>
          <w:tab w:pos="7599" w:val="left" w:leader="none"/>
          <w:tab w:pos="8204" w:val="left" w:leader="none"/>
        </w:tabs>
        <w:spacing w:line="240" w:lineRule="auto" w:before="0" w:after="0"/>
        <w:ind w:left="1313" w:right="787" w:firstLine="0"/>
        <w:jc w:val="left"/>
        <w:rPr>
          <w:sz w:val="24"/>
        </w:rPr>
      </w:pPr>
      <w:r>
        <w:rPr>
          <w:sz w:val="24"/>
        </w:rPr>
        <w:t>Corridor</w:t>
      </w:r>
      <w:r>
        <w:rPr>
          <w:spacing w:val="80"/>
          <w:sz w:val="24"/>
        </w:rPr>
        <w:t> </w:t>
      </w:r>
      <w:r>
        <w:rPr>
          <w:sz w:val="24"/>
        </w:rPr>
        <w:t>connecting</w:t>
      </w:r>
      <w:r>
        <w:rPr>
          <w:spacing w:val="80"/>
          <w:sz w:val="24"/>
        </w:rPr>
        <w:t> </w:t>
      </w:r>
      <w:r>
        <w:rPr>
          <w:sz w:val="24"/>
        </w:rPr>
        <w:t>the</w:t>
      </w:r>
      <w:r>
        <w:rPr>
          <w:spacing w:val="80"/>
          <w:sz w:val="24"/>
        </w:rPr>
        <w:t> </w:t>
      </w:r>
      <w:r>
        <w:rPr>
          <w:sz w:val="24"/>
        </w:rPr>
        <w:t>entrance/exit</w:t>
      </w:r>
      <w:r>
        <w:rPr>
          <w:spacing w:val="80"/>
          <w:sz w:val="24"/>
        </w:rPr>
        <w:t> </w:t>
      </w:r>
      <w:r>
        <w:rPr>
          <w:sz w:val="24"/>
        </w:rPr>
        <w:t>for</w:t>
        <w:tab/>
      </w:r>
      <w:r>
        <w:rPr>
          <w:spacing w:val="-4"/>
          <w:sz w:val="24"/>
        </w:rPr>
        <w:t>the</w:t>
      </w:r>
      <w:r>
        <w:rPr>
          <w:sz w:val="24"/>
        </w:rPr>
        <w:tab/>
        <w:t>Differently</w:t>
      </w:r>
      <w:r>
        <w:rPr>
          <w:spacing w:val="80"/>
          <w:sz w:val="24"/>
        </w:rPr>
        <w:t> </w:t>
      </w:r>
      <w:r>
        <w:rPr>
          <w:sz w:val="24"/>
        </w:rPr>
        <w:t>abled </w:t>
      </w:r>
      <w:r>
        <w:rPr>
          <w:spacing w:val="-2"/>
          <w:sz w:val="24"/>
        </w:rPr>
        <w:t>persons.</w:t>
      </w:r>
    </w:p>
    <w:p>
      <w:pPr>
        <w:pStyle w:val="ListParagraph"/>
        <w:numPr>
          <w:ilvl w:val="0"/>
          <w:numId w:val="274"/>
        </w:numPr>
        <w:tabs>
          <w:tab w:pos="1643" w:val="left" w:leader="none"/>
        </w:tabs>
        <w:spacing w:line="240" w:lineRule="auto" w:before="0" w:after="0"/>
        <w:ind w:left="1643" w:right="0" w:hanging="330"/>
        <w:jc w:val="left"/>
        <w:rPr>
          <w:sz w:val="24"/>
        </w:rPr>
      </w:pPr>
      <w:r>
        <w:rPr>
          <w:spacing w:val="7"/>
          <w:sz w:val="24"/>
        </w:rPr>
        <w:t>Stairways.</w:t>
      </w:r>
    </w:p>
    <w:p>
      <w:pPr>
        <w:pStyle w:val="ListParagraph"/>
        <w:numPr>
          <w:ilvl w:val="0"/>
          <w:numId w:val="274"/>
        </w:numPr>
        <w:tabs>
          <w:tab w:pos="1643" w:val="left" w:leader="none"/>
        </w:tabs>
        <w:spacing w:line="281" w:lineRule="exact" w:before="1" w:after="0"/>
        <w:ind w:left="1643" w:right="0" w:hanging="330"/>
        <w:jc w:val="left"/>
        <w:rPr>
          <w:sz w:val="24"/>
        </w:rPr>
      </w:pPr>
      <w:r>
        <w:rPr>
          <w:spacing w:val="-2"/>
          <w:sz w:val="24"/>
        </w:rPr>
        <w:t>Lift.</w:t>
      </w:r>
    </w:p>
    <w:p>
      <w:pPr>
        <w:pStyle w:val="ListParagraph"/>
        <w:numPr>
          <w:ilvl w:val="0"/>
          <w:numId w:val="274"/>
        </w:numPr>
        <w:tabs>
          <w:tab w:pos="1645" w:val="left" w:leader="none"/>
        </w:tabs>
        <w:spacing w:line="281" w:lineRule="exact" w:before="0" w:after="0"/>
        <w:ind w:left="1645" w:right="0" w:hanging="332"/>
        <w:jc w:val="left"/>
        <w:rPr>
          <w:sz w:val="24"/>
        </w:rPr>
      </w:pPr>
      <w:r>
        <w:rPr>
          <w:spacing w:val="-2"/>
          <w:sz w:val="24"/>
        </w:rPr>
        <w:t>Toilet.</w:t>
      </w:r>
    </w:p>
    <w:p>
      <w:pPr>
        <w:pStyle w:val="ListParagraph"/>
        <w:numPr>
          <w:ilvl w:val="0"/>
          <w:numId w:val="274"/>
        </w:numPr>
        <w:tabs>
          <w:tab w:pos="1643" w:val="left" w:leader="none"/>
        </w:tabs>
        <w:spacing w:line="281" w:lineRule="exact" w:before="0" w:after="0"/>
        <w:ind w:left="1643" w:right="0" w:hanging="330"/>
        <w:jc w:val="left"/>
        <w:rPr>
          <w:sz w:val="24"/>
        </w:rPr>
      </w:pPr>
      <w:r>
        <w:rPr>
          <w:sz w:val="24"/>
        </w:rPr>
        <w:t>Drinking</w:t>
      </w:r>
      <w:r>
        <w:rPr>
          <w:spacing w:val="45"/>
          <w:w w:val="150"/>
          <w:sz w:val="24"/>
        </w:rPr>
        <w:t> </w:t>
      </w:r>
      <w:r>
        <w:rPr>
          <w:spacing w:val="7"/>
          <w:sz w:val="24"/>
        </w:rPr>
        <w:t>Water.</w:t>
      </w:r>
    </w:p>
    <w:p>
      <w:pPr>
        <w:pStyle w:val="BodyText"/>
        <w:spacing w:before="1"/>
        <w:jc w:val="left"/>
      </w:pPr>
    </w:p>
    <w:p>
      <w:pPr>
        <w:pStyle w:val="ListParagraph"/>
        <w:numPr>
          <w:ilvl w:val="1"/>
          <w:numId w:val="264"/>
        </w:numPr>
        <w:tabs>
          <w:tab w:pos="2211" w:val="left" w:leader="none"/>
        </w:tabs>
        <w:spacing w:line="240" w:lineRule="auto" w:before="1" w:after="0"/>
        <w:ind w:left="1313" w:right="775" w:firstLine="0"/>
        <w:jc w:val="both"/>
        <w:rPr>
          <w:sz w:val="24"/>
        </w:rPr>
      </w:pPr>
      <w:r>
        <w:rPr>
          <w:sz w:val="24"/>
        </w:rPr>
        <w:t>Approach to Plinth Level- Every building shall have at least one entrance</w:t>
      </w:r>
      <w:r>
        <w:rPr>
          <w:spacing w:val="40"/>
          <w:sz w:val="24"/>
        </w:rPr>
        <w:t> </w:t>
      </w:r>
      <w:r>
        <w:rPr>
          <w:sz w:val="24"/>
        </w:rPr>
        <w:t>accessible</w:t>
      </w:r>
      <w:r>
        <w:rPr>
          <w:spacing w:val="40"/>
          <w:sz w:val="24"/>
        </w:rPr>
        <w:t> </w:t>
      </w:r>
      <w:r>
        <w:rPr>
          <w:sz w:val="24"/>
        </w:rPr>
        <w:t>to</w:t>
      </w:r>
      <w:r>
        <w:rPr>
          <w:spacing w:val="40"/>
          <w:sz w:val="24"/>
        </w:rPr>
        <w:t> </w:t>
      </w:r>
      <w:r>
        <w:rPr>
          <w:sz w:val="24"/>
        </w:rPr>
        <w:t>the</w:t>
      </w:r>
      <w:r>
        <w:rPr>
          <w:spacing w:val="80"/>
          <w:sz w:val="24"/>
        </w:rPr>
        <w:t> </w:t>
      </w:r>
      <w:r>
        <w:rPr>
          <w:sz w:val="24"/>
        </w:rPr>
        <w:t>Differently</w:t>
      </w:r>
      <w:r>
        <w:rPr>
          <w:spacing w:val="40"/>
          <w:sz w:val="24"/>
        </w:rPr>
        <w:t> </w:t>
      </w:r>
      <w:r>
        <w:rPr>
          <w:sz w:val="24"/>
        </w:rPr>
        <w:t>abled</w:t>
      </w:r>
      <w:r>
        <w:rPr>
          <w:spacing w:val="40"/>
          <w:sz w:val="24"/>
        </w:rPr>
        <w:t> </w:t>
      </w:r>
      <w:r>
        <w:rPr>
          <w:sz w:val="24"/>
        </w:rPr>
        <w:t>persons</w:t>
      </w:r>
      <w:r>
        <w:rPr>
          <w:spacing w:val="80"/>
          <w:sz w:val="24"/>
        </w:rPr>
        <w:t> </w:t>
      </w:r>
      <w:r>
        <w:rPr>
          <w:sz w:val="24"/>
        </w:rPr>
        <w:t>and</w:t>
      </w:r>
      <w:r>
        <w:rPr>
          <w:spacing w:val="40"/>
          <w:sz w:val="24"/>
        </w:rPr>
        <w:t> </w:t>
      </w:r>
      <w:r>
        <w:rPr>
          <w:sz w:val="24"/>
        </w:rPr>
        <w:t>shall</w:t>
      </w:r>
      <w:r>
        <w:rPr>
          <w:spacing w:val="40"/>
          <w:sz w:val="24"/>
        </w:rPr>
        <w:t> </w:t>
      </w:r>
      <w:r>
        <w:rPr>
          <w:sz w:val="24"/>
        </w:rPr>
        <w:t>be indicated</w:t>
      </w:r>
      <w:r>
        <w:rPr>
          <w:spacing w:val="40"/>
          <w:sz w:val="24"/>
        </w:rPr>
        <w:t> </w:t>
      </w:r>
      <w:r>
        <w:rPr>
          <w:sz w:val="24"/>
        </w:rPr>
        <w:t>by</w:t>
      </w:r>
      <w:r>
        <w:rPr>
          <w:spacing w:val="40"/>
          <w:sz w:val="24"/>
        </w:rPr>
        <w:t> </w:t>
      </w:r>
      <w:r>
        <w:rPr>
          <w:sz w:val="24"/>
        </w:rPr>
        <w:t>proper</w:t>
      </w:r>
      <w:r>
        <w:rPr>
          <w:spacing w:val="40"/>
          <w:sz w:val="24"/>
        </w:rPr>
        <w:t> </w:t>
      </w:r>
      <w:r>
        <w:rPr>
          <w:sz w:val="24"/>
        </w:rPr>
        <w:t>signage.</w:t>
      </w:r>
      <w:r>
        <w:rPr>
          <w:spacing w:val="40"/>
          <w:sz w:val="24"/>
        </w:rPr>
        <w:t> </w:t>
      </w:r>
      <w:r>
        <w:rPr>
          <w:sz w:val="24"/>
        </w:rPr>
        <w:t>This</w:t>
      </w:r>
      <w:r>
        <w:rPr>
          <w:spacing w:val="40"/>
          <w:sz w:val="24"/>
        </w:rPr>
        <w:t> </w:t>
      </w:r>
      <w:r>
        <w:rPr>
          <w:sz w:val="24"/>
        </w:rPr>
        <w:t>entrance</w:t>
      </w:r>
      <w:r>
        <w:rPr>
          <w:spacing w:val="40"/>
          <w:sz w:val="24"/>
        </w:rPr>
        <w:t> </w:t>
      </w:r>
      <w:r>
        <w:rPr>
          <w:sz w:val="24"/>
        </w:rPr>
        <w:t>shall</w:t>
      </w:r>
      <w:r>
        <w:rPr>
          <w:spacing w:val="40"/>
          <w:sz w:val="24"/>
        </w:rPr>
        <w:t> </w:t>
      </w:r>
      <w:r>
        <w:rPr>
          <w:sz w:val="24"/>
        </w:rPr>
        <w:t>be</w:t>
      </w:r>
      <w:r>
        <w:rPr>
          <w:spacing w:val="40"/>
          <w:sz w:val="24"/>
        </w:rPr>
        <w:t> </w:t>
      </w:r>
      <w:r>
        <w:rPr>
          <w:sz w:val="24"/>
        </w:rPr>
        <w:t>approached</w:t>
      </w:r>
      <w:r>
        <w:rPr>
          <w:spacing w:val="40"/>
          <w:sz w:val="24"/>
        </w:rPr>
        <w:t> </w:t>
      </w:r>
      <w:r>
        <w:rPr>
          <w:spacing w:val="9"/>
          <w:sz w:val="24"/>
        </w:rPr>
        <w:t>through</w:t>
      </w:r>
      <w:r>
        <w:rPr>
          <w:spacing w:val="80"/>
          <w:sz w:val="24"/>
        </w:rPr>
        <w:t> </w:t>
      </w:r>
      <w:r>
        <w:rPr>
          <w:sz w:val="24"/>
        </w:rPr>
        <w:t>a</w:t>
      </w:r>
      <w:r>
        <w:rPr>
          <w:spacing w:val="40"/>
          <w:sz w:val="24"/>
        </w:rPr>
        <w:t> </w:t>
      </w:r>
      <w:r>
        <w:rPr>
          <w:sz w:val="24"/>
        </w:rPr>
        <w:t>ramp</w:t>
      </w:r>
      <w:r>
        <w:rPr>
          <w:spacing w:val="40"/>
          <w:sz w:val="24"/>
        </w:rPr>
        <w:t> </w:t>
      </w:r>
      <w:r>
        <w:rPr>
          <w:sz w:val="24"/>
        </w:rPr>
        <w:t>together</w:t>
      </w:r>
      <w:r>
        <w:rPr>
          <w:spacing w:val="40"/>
          <w:sz w:val="24"/>
        </w:rPr>
        <w:t> </w:t>
      </w:r>
      <w:r>
        <w:rPr>
          <w:sz w:val="24"/>
        </w:rPr>
        <w:t>with</w:t>
      </w:r>
      <w:r>
        <w:rPr>
          <w:spacing w:val="40"/>
          <w:sz w:val="24"/>
        </w:rPr>
        <w:t> </w:t>
      </w:r>
      <w:r>
        <w:rPr>
          <w:sz w:val="24"/>
        </w:rPr>
        <w:t>the</w:t>
      </w:r>
      <w:r>
        <w:rPr>
          <w:spacing w:val="40"/>
          <w:sz w:val="24"/>
        </w:rPr>
        <w:t> </w:t>
      </w:r>
      <w:r>
        <w:rPr>
          <w:sz w:val="24"/>
        </w:rPr>
        <w:t>stepped</w:t>
      </w:r>
      <w:r>
        <w:rPr>
          <w:spacing w:val="40"/>
          <w:sz w:val="24"/>
        </w:rPr>
        <w:t> </w:t>
      </w:r>
      <w:r>
        <w:rPr>
          <w:spacing w:val="9"/>
          <w:sz w:val="24"/>
        </w:rPr>
        <w:t>entry.</w:t>
      </w:r>
    </w:p>
    <w:p>
      <w:pPr>
        <w:pStyle w:val="ListParagraph"/>
        <w:numPr>
          <w:ilvl w:val="2"/>
          <w:numId w:val="264"/>
        </w:numPr>
        <w:tabs>
          <w:tab w:pos="2210" w:val="left" w:leader="none"/>
        </w:tabs>
        <w:spacing w:line="240" w:lineRule="auto" w:before="1" w:after="0"/>
        <w:ind w:left="1313" w:right="777" w:firstLine="0"/>
        <w:jc w:val="both"/>
        <w:rPr>
          <w:sz w:val="24"/>
        </w:rPr>
      </w:pPr>
      <w:r>
        <w:rPr>
          <w:sz w:val="24"/>
        </w:rPr>
        <w:t>Ramped</w:t>
      </w:r>
      <w:r>
        <w:rPr>
          <w:spacing w:val="40"/>
          <w:sz w:val="24"/>
        </w:rPr>
        <w:t> </w:t>
      </w:r>
      <w:r>
        <w:rPr>
          <w:sz w:val="24"/>
        </w:rPr>
        <w:t>Approach-</w:t>
      </w:r>
      <w:r>
        <w:rPr>
          <w:spacing w:val="40"/>
          <w:sz w:val="24"/>
        </w:rPr>
        <w:t> </w:t>
      </w:r>
      <w:r>
        <w:rPr>
          <w:sz w:val="24"/>
        </w:rPr>
        <w:t>Ramp</w:t>
      </w:r>
      <w:r>
        <w:rPr>
          <w:spacing w:val="40"/>
          <w:sz w:val="24"/>
        </w:rPr>
        <w:t> </w:t>
      </w:r>
      <w:r>
        <w:rPr>
          <w:sz w:val="24"/>
        </w:rPr>
        <w:t>to</w:t>
      </w:r>
      <w:r>
        <w:rPr>
          <w:spacing w:val="40"/>
          <w:sz w:val="24"/>
        </w:rPr>
        <w:t> </w:t>
      </w:r>
      <w:r>
        <w:rPr>
          <w:sz w:val="24"/>
        </w:rPr>
        <w:t>enter</w:t>
      </w:r>
      <w:r>
        <w:rPr>
          <w:spacing w:val="40"/>
          <w:sz w:val="24"/>
        </w:rPr>
        <w:t> </w:t>
      </w:r>
      <w:r>
        <w:rPr>
          <w:sz w:val="24"/>
        </w:rPr>
        <w:t>the</w:t>
      </w:r>
      <w:r>
        <w:rPr>
          <w:spacing w:val="40"/>
          <w:sz w:val="24"/>
        </w:rPr>
        <w:t> </w:t>
      </w:r>
      <w:r>
        <w:rPr>
          <w:sz w:val="24"/>
        </w:rPr>
        <w:t>building</w:t>
      </w:r>
      <w:r>
        <w:rPr>
          <w:spacing w:val="40"/>
          <w:sz w:val="24"/>
        </w:rPr>
        <w:t> </w:t>
      </w:r>
      <w:r>
        <w:rPr>
          <w:sz w:val="24"/>
        </w:rPr>
        <w:t>shall</w:t>
      </w:r>
      <w:r>
        <w:rPr>
          <w:spacing w:val="40"/>
          <w:sz w:val="24"/>
        </w:rPr>
        <w:t> </w:t>
      </w:r>
      <w:r>
        <w:rPr>
          <w:sz w:val="24"/>
        </w:rPr>
        <w:t>be</w:t>
      </w:r>
      <w:r>
        <w:rPr>
          <w:spacing w:val="40"/>
          <w:sz w:val="24"/>
        </w:rPr>
        <w:t> </w:t>
      </w:r>
      <w:r>
        <w:rPr>
          <w:sz w:val="24"/>
        </w:rPr>
        <w:t>finished with </w:t>
      </w:r>
      <w:r>
        <w:rPr>
          <w:spacing w:val="10"/>
          <w:sz w:val="24"/>
        </w:rPr>
        <w:t>non-</w:t>
      </w:r>
      <w:r>
        <w:rPr>
          <w:sz w:val="24"/>
        </w:rPr>
        <w:t>skid material.</w:t>
      </w:r>
      <w:r>
        <w:rPr>
          <w:spacing w:val="40"/>
          <w:sz w:val="24"/>
        </w:rPr>
        <w:t> </w:t>
      </w:r>
      <w:r>
        <w:rPr>
          <w:sz w:val="24"/>
        </w:rPr>
        <w:t>Minimum width of ramp shall be 1.5 m with maximum</w:t>
      </w:r>
      <w:r>
        <w:rPr>
          <w:spacing w:val="58"/>
          <w:sz w:val="24"/>
        </w:rPr>
        <w:t> </w:t>
      </w:r>
      <w:r>
        <w:rPr>
          <w:sz w:val="24"/>
        </w:rPr>
        <w:t>gradient</w:t>
      </w:r>
      <w:r>
        <w:rPr>
          <w:spacing w:val="62"/>
          <w:sz w:val="24"/>
        </w:rPr>
        <w:t> </w:t>
      </w:r>
      <w:r>
        <w:rPr>
          <w:sz w:val="24"/>
        </w:rPr>
        <w:t>1:12.</w:t>
      </w:r>
      <w:r>
        <w:rPr>
          <w:spacing w:val="59"/>
          <w:sz w:val="24"/>
        </w:rPr>
        <w:t> </w:t>
      </w:r>
      <w:r>
        <w:rPr>
          <w:sz w:val="24"/>
        </w:rPr>
        <w:t>Length</w:t>
      </w:r>
      <w:r>
        <w:rPr>
          <w:spacing w:val="58"/>
          <w:sz w:val="24"/>
        </w:rPr>
        <w:t> </w:t>
      </w:r>
      <w:r>
        <w:rPr>
          <w:sz w:val="24"/>
        </w:rPr>
        <w:t>of</w:t>
      </w:r>
      <w:r>
        <w:rPr>
          <w:spacing w:val="62"/>
          <w:sz w:val="24"/>
        </w:rPr>
        <w:t> </w:t>
      </w:r>
      <w:r>
        <w:rPr>
          <w:sz w:val="24"/>
        </w:rPr>
        <w:t>ramp</w:t>
      </w:r>
      <w:r>
        <w:rPr>
          <w:spacing w:val="59"/>
          <w:sz w:val="24"/>
        </w:rPr>
        <w:t> </w:t>
      </w:r>
      <w:r>
        <w:rPr>
          <w:sz w:val="24"/>
        </w:rPr>
        <w:t>shall</w:t>
      </w:r>
      <w:r>
        <w:rPr>
          <w:spacing w:val="61"/>
          <w:sz w:val="24"/>
        </w:rPr>
        <w:t> </w:t>
      </w:r>
      <w:r>
        <w:rPr>
          <w:sz w:val="24"/>
        </w:rPr>
        <w:t>not</w:t>
      </w:r>
      <w:r>
        <w:rPr>
          <w:spacing w:val="59"/>
          <w:sz w:val="24"/>
        </w:rPr>
        <w:t> </w:t>
      </w:r>
      <w:r>
        <w:rPr>
          <w:sz w:val="24"/>
        </w:rPr>
        <w:t>exceed</w:t>
      </w:r>
      <w:r>
        <w:rPr>
          <w:spacing w:val="59"/>
          <w:sz w:val="24"/>
        </w:rPr>
        <w:t> </w:t>
      </w:r>
      <w:r>
        <w:rPr>
          <w:sz w:val="24"/>
        </w:rPr>
        <w:t>9.0</w:t>
      </w:r>
      <w:r>
        <w:rPr>
          <w:spacing w:val="59"/>
          <w:sz w:val="24"/>
        </w:rPr>
        <w:t> </w:t>
      </w:r>
      <w:r>
        <w:rPr>
          <w:sz w:val="24"/>
        </w:rPr>
        <w:t>m</w:t>
      </w:r>
      <w:r>
        <w:rPr>
          <w:spacing w:val="59"/>
          <w:sz w:val="24"/>
        </w:rPr>
        <w:t> </w:t>
      </w:r>
      <w:r>
        <w:rPr>
          <w:spacing w:val="7"/>
          <w:sz w:val="24"/>
        </w:rPr>
        <w:t>having</w:t>
      </w:r>
    </w:p>
    <w:p>
      <w:pPr>
        <w:pStyle w:val="BodyText"/>
        <w:ind w:left="1313" w:right="800"/>
      </w:pPr>
      <w:r>
        <w:rPr/>
        <w:t>0.9</w:t>
      </w:r>
      <w:r>
        <w:rPr>
          <w:spacing w:val="40"/>
        </w:rPr>
        <w:t> </w:t>
      </w:r>
      <w:r>
        <w:rPr/>
        <w:t>m</w:t>
      </w:r>
      <w:r>
        <w:rPr>
          <w:spacing w:val="40"/>
        </w:rPr>
        <w:t> </w:t>
      </w:r>
      <w:r>
        <w:rPr/>
        <w:t>high</w:t>
      </w:r>
      <w:r>
        <w:rPr>
          <w:spacing w:val="40"/>
        </w:rPr>
        <w:t> </w:t>
      </w:r>
      <w:r>
        <w:rPr/>
        <w:t>hand</w:t>
      </w:r>
      <w:r>
        <w:rPr>
          <w:spacing w:val="40"/>
        </w:rPr>
        <w:t> </w:t>
      </w:r>
      <w:r>
        <w:rPr/>
        <w:t>rail</w:t>
      </w:r>
      <w:r>
        <w:rPr>
          <w:spacing w:val="40"/>
        </w:rPr>
        <w:t> </w:t>
      </w:r>
      <w:r>
        <w:rPr/>
        <w:t>on</w:t>
      </w:r>
      <w:r>
        <w:rPr>
          <w:spacing w:val="40"/>
        </w:rPr>
        <w:t> </w:t>
      </w:r>
      <w:r>
        <w:rPr/>
        <w:t>both</w:t>
      </w:r>
      <w:r>
        <w:rPr>
          <w:spacing w:val="40"/>
        </w:rPr>
        <w:t> </w:t>
      </w:r>
      <w:r>
        <w:rPr/>
        <w:t>sides</w:t>
      </w:r>
      <w:r>
        <w:rPr>
          <w:spacing w:val="40"/>
        </w:rPr>
        <w:t> </w:t>
      </w:r>
      <w:r>
        <w:rPr/>
        <w:t>extending</w:t>
      </w:r>
      <w:r>
        <w:rPr>
          <w:spacing w:val="40"/>
        </w:rPr>
        <w:t> </w:t>
      </w:r>
      <w:r>
        <w:rPr/>
        <w:t>0.3</w:t>
      </w:r>
      <w:r>
        <w:rPr>
          <w:spacing w:val="40"/>
        </w:rPr>
        <w:t> </w:t>
      </w:r>
      <w:r>
        <w:rPr/>
        <w:t>m</w:t>
      </w:r>
      <w:r>
        <w:rPr>
          <w:spacing w:val="40"/>
        </w:rPr>
        <w:t> </w:t>
      </w:r>
      <w:r>
        <w:rPr/>
        <w:t>beyond</w:t>
      </w:r>
      <w:r>
        <w:rPr>
          <w:spacing w:val="40"/>
        </w:rPr>
        <w:t> </w:t>
      </w:r>
      <w:r>
        <w:rPr/>
        <w:t>top</w:t>
      </w:r>
      <w:r>
        <w:rPr>
          <w:spacing w:val="40"/>
        </w:rPr>
        <w:t> </w:t>
      </w:r>
      <w:r>
        <w:rPr/>
        <w:t>and bottom</w:t>
      </w:r>
      <w:r>
        <w:rPr>
          <w:spacing w:val="40"/>
        </w:rPr>
        <w:t> </w:t>
      </w:r>
      <w:r>
        <w:rPr/>
        <w:t>of</w:t>
      </w:r>
      <w:r>
        <w:rPr>
          <w:spacing w:val="40"/>
        </w:rPr>
        <w:t> </w:t>
      </w:r>
      <w:r>
        <w:rPr/>
        <w:t>the</w:t>
      </w:r>
      <w:r>
        <w:rPr>
          <w:spacing w:val="40"/>
        </w:rPr>
        <w:t> </w:t>
      </w:r>
      <w:r>
        <w:rPr/>
        <w:t>ramp.</w:t>
      </w:r>
      <w:r>
        <w:rPr>
          <w:spacing w:val="40"/>
        </w:rPr>
        <w:t> </w:t>
      </w:r>
      <w:r>
        <w:rPr/>
        <w:t>Minimum</w:t>
      </w:r>
      <w:r>
        <w:rPr>
          <w:spacing w:val="40"/>
        </w:rPr>
        <w:t> </w:t>
      </w:r>
      <w:r>
        <w:rPr/>
        <w:t>gap</w:t>
      </w:r>
      <w:r>
        <w:rPr>
          <w:spacing w:val="40"/>
        </w:rPr>
        <w:t> </w:t>
      </w:r>
      <w:r>
        <w:rPr/>
        <w:t>from</w:t>
      </w:r>
      <w:r>
        <w:rPr>
          <w:spacing w:val="40"/>
        </w:rPr>
        <w:t> </w:t>
      </w:r>
      <w:r>
        <w:rPr/>
        <w:t>the</w:t>
      </w:r>
      <w:r>
        <w:rPr>
          <w:spacing w:val="40"/>
        </w:rPr>
        <w:t> </w:t>
      </w:r>
      <w:r>
        <w:rPr/>
        <w:t>adjacent</w:t>
      </w:r>
      <w:r>
        <w:rPr>
          <w:spacing w:val="40"/>
        </w:rPr>
        <w:t> </w:t>
      </w:r>
      <w:r>
        <w:rPr/>
        <w:t>wall</w:t>
      </w:r>
      <w:r>
        <w:rPr>
          <w:spacing w:val="40"/>
        </w:rPr>
        <w:t> </w:t>
      </w:r>
      <w:r>
        <w:rPr/>
        <w:t>to</w:t>
      </w:r>
      <w:r>
        <w:rPr>
          <w:spacing w:val="40"/>
        </w:rPr>
        <w:t> </w:t>
      </w:r>
      <w:r>
        <w:rPr/>
        <w:t>the</w:t>
      </w:r>
      <w:r>
        <w:rPr>
          <w:spacing w:val="40"/>
        </w:rPr>
        <w:t> </w:t>
      </w:r>
      <w:r>
        <w:rPr/>
        <w:t>hand rail shall be 0.050</w:t>
      </w:r>
      <w:r>
        <w:rPr>
          <w:spacing w:val="40"/>
        </w:rPr>
        <w:t> </w:t>
      </w:r>
      <w:r>
        <w:rPr/>
        <w:t>m.</w:t>
      </w:r>
    </w:p>
    <w:p>
      <w:pPr>
        <w:pStyle w:val="ListParagraph"/>
        <w:numPr>
          <w:ilvl w:val="2"/>
          <w:numId w:val="264"/>
        </w:numPr>
        <w:tabs>
          <w:tab w:pos="2210" w:val="left" w:leader="none"/>
        </w:tabs>
        <w:spacing w:line="240" w:lineRule="auto" w:before="0" w:after="0"/>
        <w:ind w:left="1313" w:right="794" w:firstLine="0"/>
        <w:jc w:val="both"/>
        <w:rPr>
          <w:sz w:val="24"/>
        </w:rPr>
      </w:pPr>
      <w:r>
        <w:rPr>
          <w:sz w:val="24"/>
        </w:rPr>
        <w:t>Stepped</w:t>
      </w:r>
      <w:r>
        <w:rPr>
          <w:spacing w:val="40"/>
          <w:sz w:val="24"/>
        </w:rPr>
        <w:t> </w:t>
      </w:r>
      <w:r>
        <w:rPr>
          <w:sz w:val="24"/>
        </w:rPr>
        <w:t>Approach-</w:t>
      </w:r>
      <w:r>
        <w:rPr>
          <w:spacing w:val="40"/>
          <w:sz w:val="24"/>
        </w:rPr>
        <w:t> </w:t>
      </w:r>
      <w:r>
        <w:rPr>
          <w:sz w:val="24"/>
        </w:rPr>
        <w:t>For</w:t>
      </w:r>
      <w:r>
        <w:rPr>
          <w:spacing w:val="40"/>
          <w:sz w:val="24"/>
        </w:rPr>
        <w:t> </w:t>
      </w:r>
      <w:r>
        <w:rPr>
          <w:sz w:val="24"/>
        </w:rPr>
        <w:t>stepped</w:t>
      </w:r>
      <w:r>
        <w:rPr>
          <w:spacing w:val="40"/>
          <w:sz w:val="24"/>
        </w:rPr>
        <w:t> </w:t>
      </w:r>
      <w:r>
        <w:rPr>
          <w:sz w:val="24"/>
        </w:rPr>
        <w:t>approach</w:t>
      </w:r>
      <w:r>
        <w:rPr>
          <w:spacing w:val="40"/>
          <w:sz w:val="24"/>
        </w:rPr>
        <w:t> </w:t>
      </w:r>
      <w:r>
        <w:rPr>
          <w:sz w:val="24"/>
        </w:rPr>
        <w:t>size</w:t>
      </w:r>
      <w:r>
        <w:rPr>
          <w:spacing w:val="40"/>
          <w:sz w:val="24"/>
        </w:rPr>
        <w:t> </w:t>
      </w:r>
      <w:r>
        <w:rPr>
          <w:sz w:val="24"/>
        </w:rPr>
        <w:t>of</w:t>
      </w:r>
      <w:r>
        <w:rPr>
          <w:spacing w:val="40"/>
          <w:sz w:val="24"/>
        </w:rPr>
        <w:t> </w:t>
      </w:r>
      <w:r>
        <w:rPr>
          <w:sz w:val="24"/>
        </w:rPr>
        <w:t>tread</w:t>
      </w:r>
      <w:r>
        <w:rPr>
          <w:spacing w:val="40"/>
          <w:sz w:val="24"/>
        </w:rPr>
        <w:t> </w:t>
      </w:r>
      <w:r>
        <w:rPr>
          <w:sz w:val="24"/>
        </w:rPr>
        <w:t>shall</w:t>
      </w:r>
      <w:r>
        <w:rPr>
          <w:spacing w:val="40"/>
          <w:sz w:val="24"/>
        </w:rPr>
        <w:t> </w:t>
      </w:r>
      <w:r>
        <w:rPr>
          <w:sz w:val="24"/>
        </w:rPr>
        <w:t>not</w:t>
      </w:r>
      <w:r>
        <w:rPr>
          <w:spacing w:val="80"/>
          <w:sz w:val="24"/>
        </w:rPr>
        <w:t> </w:t>
      </w:r>
      <w:r>
        <w:rPr>
          <w:sz w:val="24"/>
        </w:rPr>
        <w:t>be</w:t>
      </w:r>
      <w:r>
        <w:rPr>
          <w:spacing w:val="37"/>
          <w:sz w:val="24"/>
        </w:rPr>
        <w:t> </w:t>
      </w:r>
      <w:r>
        <w:rPr>
          <w:sz w:val="24"/>
        </w:rPr>
        <w:t>less</w:t>
      </w:r>
      <w:r>
        <w:rPr>
          <w:spacing w:val="40"/>
          <w:sz w:val="24"/>
        </w:rPr>
        <w:t> </w:t>
      </w:r>
      <w:r>
        <w:rPr>
          <w:sz w:val="24"/>
        </w:rPr>
        <w:t>than</w:t>
      </w:r>
      <w:r>
        <w:rPr>
          <w:spacing w:val="37"/>
          <w:sz w:val="24"/>
        </w:rPr>
        <w:t> </w:t>
      </w:r>
      <w:r>
        <w:rPr>
          <w:sz w:val="24"/>
        </w:rPr>
        <w:t>0.3</w:t>
      </w:r>
      <w:r>
        <w:rPr>
          <w:spacing w:val="37"/>
          <w:sz w:val="24"/>
        </w:rPr>
        <w:t> </w:t>
      </w:r>
      <w:r>
        <w:rPr>
          <w:sz w:val="24"/>
        </w:rPr>
        <w:t>m</w:t>
      </w:r>
      <w:r>
        <w:rPr>
          <w:spacing w:val="40"/>
          <w:sz w:val="24"/>
        </w:rPr>
        <w:t> </w:t>
      </w:r>
      <w:r>
        <w:rPr>
          <w:sz w:val="24"/>
        </w:rPr>
        <w:t>and</w:t>
      </w:r>
      <w:r>
        <w:rPr>
          <w:spacing w:val="37"/>
          <w:sz w:val="24"/>
        </w:rPr>
        <w:t> </w:t>
      </w:r>
      <w:r>
        <w:rPr>
          <w:sz w:val="24"/>
        </w:rPr>
        <w:t>maximum</w:t>
      </w:r>
      <w:r>
        <w:rPr>
          <w:spacing w:val="40"/>
          <w:sz w:val="24"/>
        </w:rPr>
        <w:t> </w:t>
      </w:r>
      <w:r>
        <w:rPr>
          <w:sz w:val="24"/>
        </w:rPr>
        <w:t>riser</w:t>
      </w:r>
      <w:r>
        <w:rPr>
          <w:spacing w:val="37"/>
          <w:sz w:val="24"/>
        </w:rPr>
        <w:t> </w:t>
      </w:r>
      <w:r>
        <w:rPr>
          <w:sz w:val="24"/>
        </w:rPr>
        <w:t>shall</w:t>
      </w:r>
      <w:r>
        <w:rPr>
          <w:spacing w:val="40"/>
          <w:sz w:val="24"/>
        </w:rPr>
        <w:t> </w:t>
      </w:r>
      <w:r>
        <w:rPr>
          <w:sz w:val="24"/>
        </w:rPr>
        <w:t>be</w:t>
      </w:r>
      <w:r>
        <w:rPr>
          <w:spacing w:val="40"/>
          <w:sz w:val="24"/>
        </w:rPr>
        <w:t> </w:t>
      </w:r>
      <w:r>
        <w:rPr>
          <w:sz w:val="24"/>
        </w:rPr>
        <w:t>0.15</w:t>
      </w:r>
      <w:r>
        <w:rPr>
          <w:spacing w:val="40"/>
          <w:sz w:val="24"/>
        </w:rPr>
        <w:t> </w:t>
      </w:r>
      <w:r>
        <w:rPr>
          <w:sz w:val="24"/>
        </w:rPr>
        <w:t>m</w:t>
      </w:r>
      <w:r>
        <w:rPr>
          <w:spacing w:val="40"/>
          <w:sz w:val="24"/>
        </w:rPr>
        <w:t> </w:t>
      </w:r>
      <w:r>
        <w:rPr>
          <w:sz w:val="24"/>
        </w:rPr>
        <w:t>with</w:t>
      </w:r>
      <w:r>
        <w:rPr>
          <w:spacing w:val="37"/>
          <w:sz w:val="24"/>
        </w:rPr>
        <w:t> </w:t>
      </w:r>
      <w:r>
        <w:rPr>
          <w:sz w:val="24"/>
        </w:rPr>
        <w:t>provision</w:t>
      </w:r>
      <w:r>
        <w:rPr>
          <w:spacing w:val="40"/>
          <w:sz w:val="24"/>
        </w:rPr>
        <w:t> </w:t>
      </w:r>
      <w:r>
        <w:rPr>
          <w:sz w:val="24"/>
        </w:rPr>
        <w:t>of</w:t>
      </w:r>
    </w:p>
    <w:p>
      <w:pPr>
        <w:pStyle w:val="BodyText"/>
        <w:ind w:left="1313" w:right="798"/>
      </w:pPr>
      <w:r>
        <w:rPr/>
        <w:t>0.9</w:t>
      </w:r>
      <w:r>
        <w:rPr>
          <w:spacing w:val="40"/>
        </w:rPr>
        <w:t> </w:t>
      </w:r>
      <w:r>
        <w:rPr/>
        <w:t>m</w:t>
      </w:r>
      <w:r>
        <w:rPr>
          <w:spacing w:val="40"/>
        </w:rPr>
        <w:t> </w:t>
      </w:r>
      <w:r>
        <w:rPr/>
        <w:t>high</w:t>
      </w:r>
      <w:r>
        <w:rPr>
          <w:spacing w:val="40"/>
        </w:rPr>
        <w:t> </w:t>
      </w:r>
      <w:r>
        <w:rPr/>
        <w:t>hand</w:t>
      </w:r>
      <w:r>
        <w:rPr>
          <w:spacing w:val="40"/>
        </w:rPr>
        <w:t> </w:t>
      </w:r>
      <w:r>
        <w:rPr/>
        <w:t>rail</w:t>
      </w:r>
      <w:r>
        <w:rPr>
          <w:spacing w:val="40"/>
        </w:rPr>
        <w:t> </w:t>
      </w:r>
      <w:r>
        <w:rPr/>
        <w:t>on</w:t>
      </w:r>
      <w:r>
        <w:rPr>
          <w:spacing w:val="40"/>
        </w:rPr>
        <w:t> </w:t>
      </w:r>
      <w:r>
        <w:rPr/>
        <w:t>both</w:t>
      </w:r>
      <w:r>
        <w:rPr>
          <w:spacing w:val="40"/>
        </w:rPr>
        <w:t> </w:t>
      </w:r>
      <w:r>
        <w:rPr/>
        <w:t>sides</w:t>
      </w:r>
      <w:r>
        <w:rPr>
          <w:spacing w:val="40"/>
        </w:rPr>
        <w:t> </w:t>
      </w:r>
      <w:r>
        <w:rPr/>
        <w:t>of</w:t>
      </w:r>
      <w:r>
        <w:rPr>
          <w:spacing w:val="40"/>
        </w:rPr>
        <w:t> </w:t>
      </w:r>
      <w:r>
        <w:rPr/>
        <w:t>the</w:t>
      </w:r>
      <w:r>
        <w:rPr>
          <w:spacing w:val="40"/>
        </w:rPr>
        <w:t> </w:t>
      </w:r>
      <w:r>
        <w:rPr/>
        <w:t>stepped</w:t>
      </w:r>
      <w:r>
        <w:rPr>
          <w:spacing w:val="40"/>
        </w:rPr>
        <w:t> </w:t>
      </w:r>
      <w:r>
        <w:rPr/>
        <w:t>approach</w:t>
      </w:r>
      <w:r>
        <w:rPr>
          <w:spacing w:val="40"/>
        </w:rPr>
        <w:t> </w:t>
      </w:r>
      <w:r>
        <w:rPr/>
        <w:t>similar</w:t>
      </w:r>
      <w:r>
        <w:rPr>
          <w:spacing w:val="40"/>
        </w:rPr>
        <w:t> </w:t>
      </w:r>
      <w:r>
        <w:rPr/>
        <w:t>to the ramped </w:t>
      </w:r>
      <w:r>
        <w:rPr>
          <w:spacing w:val="9"/>
        </w:rPr>
        <w:t>approach.</w:t>
      </w:r>
    </w:p>
    <w:p>
      <w:pPr>
        <w:pStyle w:val="ListParagraph"/>
        <w:numPr>
          <w:ilvl w:val="2"/>
          <w:numId w:val="264"/>
        </w:numPr>
        <w:tabs>
          <w:tab w:pos="2210" w:val="left" w:leader="none"/>
        </w:tabs>
        <w:spacing w:line="280" w:lineRule="exact" w:before="0" w:after="0"/>
        <w:ind w:left="2210" w:right="0" w:hanging="897"/>
        <w:jc w:val="both"/>
        <w:rPr>
          <w:sz w:val="24"/>
        </w:rPr>
      </w:pPr>
      <w:r>
        <w:rPr>
          <w:sz w:val="24"/>
        </w:rPr>
        <w:t>Exit/Entrance</w:t>
      </w:r>
      <w:r>
        <w:rPr>
          <w:spacing w:val="58"/>
          <w:sz w:val="24"/>
        </w:rPr>
        <w:t> </w:t>
      </w:r>
      <w:r>
        <w:rPr>
          <w:sz w:val="24"/>
        </w:rPr>
        <w:t>Door:</w:t>
      </w:r>
      <w:r>
        <w:rPr>
          <w:spacing w:val="63"/>
          <w:sz w:val="24"/>
        </w:rPr>
        <w:t> </w:t>
      </w:r>
      <w:r>
        <w:rPr>
          <w:spacing w:val="12"/>
          <w:sz w:val="24"/>
        </w:rPr>
        <w:t>-</w:t>
      </w:r>
      <w:r>
        <w:rPr>
          <w:sz w:val="24"/>
        </w:rPr>
        <w:t>The</w:t>
      </w:r>
      <w:r>
        <w:rPr>
          <w:spacing w:val="61"/>
          <w:sz w:val="24"/>
        </w:rPr>
        <w:t> </w:t>
      </w:r>
      <w:r>
        <w:rPr>
          <w:sz w:val="24"/>
        </w:rPr>
        <w:t>details</w:t>
      </w:r>
      <w:r>
        <w:rPr>
          <w:spacing w:val="61"/>
          <w:sz w:val="24"/>
        </w:rPr>
        <w:t> </w:t>
      </w:r>
      <w:r>
        <w:rPr>
          <w:sz w:val="24"/>
        </w:rPr>
        <w:t>shall</w:t>
      </w:r>
      <w:r>
        <w:rPr>
          <w:spacing w:val="56"/>
          <w:sz w:val="24"/>
        </w:rPr>
        <w:t> </w:t>
      </w:r>
      <w:r>
        <w:rPr>
          <w:sz w:val="24"/>
        </w:rPr>
        <w:t>be</w:t>
      </w:r>
      <w:r>
        <w:rPr>
          <w:spacing w:val="56"/>
          <w:sz w:val="24"/>
        </w:rPr>
        <w:t> </w:t>
      </w:r>
      <w:r>
        <w:rPr>
          <w:sz w:val="24"/>
        </w:rPr>
        <w:t>as</w:t>
      </w:r>
      <w:r>
        <w:rPr>
          <w:spacing w:val="69"/>
          <w:sz w:val="24"/>
        </w:rPr>
        <w:t> </w:t>
      </w:r>
      <w:r>
        <w:rPr>
          <w:sz w:val="24"/>
        </w:rPr>
        <w:t>under:</w:t>
      </w:r>
      <w:r>
        <w:rPr>
          <w:spacing w:val="64"/>
          <w:sz w:val="24"/>
        </w:rPr>
        <w:t> </w:t>
      </w:r>
      <w:r>
        <w:rPr>
          <w:spacing w:val="-10"/>
          <w:sz w:val="24"/>
        </w:rPr>
        <w:t>-</w:t>
      </w:r>
    </w:p>
    <w:p>
      <w:pPr>
        <w:pStyle w:val="BodyText"/>
        <w:spacing w:before="48"/>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8"/>
        <w:gridCol w:w="6681"/>
      </w:tblGrid>
      <w:tr>
        <w:trPr>
          <w:trHeight w:val="1972" w:hRule="atLeast"/>
        </w:trPr>
        <w:tc>
          <w:tcPr>
            <w:tcW w:w="2088" w:type="dxa"/>
          </w:tcPr>
          <w:p>
            <w:pPr>
              <w:pStyle w:val="TableParagraph"/>
              <w:tabs>
                <w:tab w:pos="1775" w:val="left" w:leader="none"/>
              </w:tabs>
              <w:ind w:left="107" w:right="108"/>
              <w:rPr>
                <w:sz w:val="24"/>
              </w:rPr>
            </w:pPr>
            <w:r>
              <w:rPr>
                <w:spacing w:val="-2"/>
                <w:sz w:val="24"/>
              </w:rPr>
              <w:t>Provision</w:t>
            </w:r>
            <w:r>
              <w:rPr>
                <w:sz w:val="24"/>
              </w:rPr>
              <w:tab/>
            </w:r>
            <w:r>
              <w:rPr>
                <w:spacing w:val="-10"/>
                <w:sz w:val="24"/>
              </w:rPr>
              <w:t>&amp; </w:t>
            </w:r>
            <w:r>
              <w:rPr>
                <w:spacing w:val="-2"/>
                <w:sz w:val="24"/>
              </w:rPr>
              <w:t>Location</w:t>
            </w:r>
          </w:p>
        </w:tc>
        <w:tc>
          <w:tcPr>
            <w:tcW w:w="6681" w:type="dxa"/>
          </w:tcPr>
          <w:p>
            <w:pPr>
              <w:pStyle w:val="TableParagraph"/>
              <w:ind w:left="107" w:right="101"/>
              <w:jc w:val="both"/>
              <w:rPr>
                <w:sz w:val="24"/>
              </w:rPr>
            </w:pPr>
            <w:r>
              <w:rPr>
                <w:sz w:val="24"/>
              </w:rPr>
              <w:t>Publicly</w:t>
            </w:r>
            <w:r>
              <w:rPr>
                <w:spacing w:val="80"/>
                <w:sz w:val="24"/>
              </w:rPr>
              <w:t> </w:t>
            </w:r>
            <w:r>
              <w:rPr>
                <w:sz w:val="24"/>
              </w:rPr>
              <w:t>accessible</w:t>
            </w:r>
            <w:r>
              <w:rPr>
                <w:spacing w:val="80"/>
                <w:sz w:val="24"/>
              </w:rPr>
              <w:t> </w:t>
            </w:r>
            <w:r>
              <w:rPr>
                <w:sz w:val="24"/>
              </w:rPr>
              <w:t>buildings</w:t>
            </w:r>
            <w:r>
              <w:rPr>
                <w:spacing w:val="80"/>
                <w:sz w:val="24"/>
              </w:rPr>
              <w:t> </w:t>
            </w:r>
            <w:r>
              <w:rPr>
                <w:sz w:val="24"/>
              </w:rPr>
              <w:t>should</w:t>
            </w:r>
            <w:r>
              <w:rPr>
                <w:spacing w:val="80"/>
                <w:sz w:val="24"/>
              </w:rPr>
              <w:t> </w:t>
            </w:r>
            <w:r>
              <w:rPr>
                <w:spacing w:val="9"/>
                <w:sz w:val="24"/>
              </w:rPr>
              <w:t>preferably </w:t>
            </w:r>
            <w:r>
              <w:rPr>
                <w:sz w:val="24"/>
              </w:rPr>
              <w:t>have</w:t>
            </w:r>
            <w:r>
              <w:rPr>
                <w:spacing w:val="9"/>
                <w:sz w:val="24"/>
              </w:rPr>
              <w:t> automatic/self-</w:t>
            </w:r>
            <w:r>
              <w:rPr>
                <w:sz w:val="24"/>
              </w:rPr>
              <w:t>closing</w:t>
            </w:r>
            <w:r>
              <w:rPr>
                <w:spacing w:val="40"/>
                <w:sz w:val="24"/>
              </w:rPr>
              <w:t> </w:t>
            </w:r>
            <w:r>
              <w:rPr>
                <w:sz w:val="24"/>
              </w:rPr>
              <w:t>doors,</w:t>
            </w:r>
            <w:r>
              <w:rPr>
                <w:spacing w:val="40"/>
                <w:sz w:val="24"/>
              </w:rPr>
              <w:t> </w:t>
            </w:r>
            <w:r>
              <w:rPr>
                <w:sz w:val="24"/>
              </w:rPr>
              <w:t>instead</w:t>
            </w:r>
            <w:r>
              <w:rPr>
                <w:spacing w:val="40"/>
                <w:sz w:val="24"/>
              </w:rPr>
              <w:t> </w:t>
            </w:r>
            <w:r>
              <w:rPr>
                <w:sz w:val="24"/>
              </w:rPr>
              <w:t>of manual</w:t>
            </w:r>
            <w:r>
              <w:rPr>
                <w:spacing w:val="40"/>
                <w:sz w:val="24"/>
              </w:rPr>
              <w:t> </w:t>
            </w:r>
            <w:r>
              <w:rPr>
                <w:sz w:val="24"/>
              </w:rPr>
              <w:t>doors.</w:t>
            </w:r>
            <w:r>
              <w:rPr>
                <w:spacing w:val="40"/>
                <w:sz w:val="24"/>
              </w:rPr>
              <w:t> </w:t>
            </w:r>
            <w:r>
              <w:rPr>
                <w:sz w:val="24"/>
              </w:rPr>
              <w:t>Manual</w:t>
            </w:r>
            <w:r>
              <w:rPr>
                <w:spacing w:val="40"/>
                <w:sz w:val="24"/>
              </w:rPr>
              <w:t> </w:t>
            </w:r>
            <w:r>
              <w:rPr>
                <w:sz w:val="24"/>
              </w:rPr>
              <w:t>doors</w:t>
            </w:r>
            <w:r>
              <w:rPr>
                <w:spacing w:val="40"/>
                <w:sz w:val="24"/>
              </w:rPr>
              <w:t> </w:t>
            </w:r>
            <w:r>
              <w:rPr>
                <w:sz w:val="24"/>
              </w:rPr>
              <w:t>should</w:t>
            </w:r>
            <w:r>
              <w:rPr>
                <w:spacing w:val="40"/>
                <w:sz w:val="24"/>
              </w:rPr>
              <w:t> </w:t>
            </w:r>
            <w:r>
              <w:rPr>
                <w:sz w:val="24"/>
              </w:rPr>
              <w:t>be</w:t>
            </w:r>
            <w:r>
              <w:rPr>
                <w:spacing w:val="40"/>
                <w:sz w:val="24"/>
              </w:rPr>
              <w:t> </w:t>
            </w:r>
            <w:r>
              <w:rPr>
                <w:sz w:val="24"/>
              </w:rPr>
              <w:t>easy</w:t>
            </w:r>
            <w:r>
              <w:rPr>
                <w:spacing w:val="40"/>
                <w:sz w:val="24"/>
              </w:rPr>
              <w:t> </w:t>
            </w:r>
            <w:r>
              <w:rPr>
                <w:sz w:val="24"/>
              </w:rPr>
              <w:t>and light</w:t>
            </w:r>
            <w:r>
              <w:rPr>
                <w:spacing w:val="40"/>
                <w:sz w:val="24"/>
              </w:rPr>
              <w:t> </w:t>
            </w:r>
            <w:r>
              <w:rPr>
                <w:sz w:val="24"/>
              </w:rPr>
              <w:t>in</w:t>
            </w:r>
            <w:r>
              <w:rPr>
                <w:spacing w:val="40"/>
                <w:sz w:val="24"/>
              </w:rPr>
              <w:t> </w:t>
            </w:r>
            <w:r>
              <w:rPr>
                <w:sz w:val="24"/>
              </w:rPr>
              <w:t>operation.</w:t>
            </w:r>
            <w:r>
              <w:rPr>
                <w:spacing w:val="40"/>
                <w:sz w:val="24"/>
              </w:rPr>
              <w:t> </w:t>
            </w:r>
            <w:r>
              <w:rPr>
                <w:sz w:val="24"/>
              </w:rPr>
              <w:t>Revolving</w:t>
            </w:r>
            <w:r>
              <w:rPr>
                <w:spacing w:val="40"/>
                <w:sz w:val="24"/>
              </w:rPr>
              <w:t> </w:t>
            </w:r>
            <w:r>
              <w:rPr>
                <w:sz w:val="24"/>
              </w:rPr>
              <w:t>doors</w:t>
            </w:r>
            <w:r>
              <w:rPr>
                <w:spacing w:val="40"/>
                <w:sz w:val="24"/>
              </w:rPr>
              <w:t> </w:t>
            </w:r>
            <w:r>
              <w:rPr>
                <w:sz w:val="24"/>
              </w:rPr>
              <w:t>should</w:t>
            </w:r>
            <w:r>
              <w:rPr>
                <w:spacing w:val="40"/>
                <w:sz w:val="24"/>
              </w:rPr>
              <w:t> </w:t>
            </w:r>
            <w:r>
              <w:rPr>
                <w:sz w:val="24"/>
              </w:rPr>
              <w:t>be avoided, but, in cases where a revolving door is </w:t>
            </w:r>
            <w:r>
              <w:rPr>
                <w:spacing w:val="9"/>
                <w:sz w:val="24"/>
              </w:rPr>
              <w:t>the </w:t>
            </w:r>
            <w:r>
              <w:rPr>
                <w:sz w:val="24"/>
              </w:rPr>
              <w:t>single</w:t>
            </w:r>
            <w:r>
              <w:rPr>
                <w:spacing w:val="60"/>
                <w:w w:val="150"/>
                <w:sz w:val="24"/>
              </w:rPr>
              <w:t>  </w:t>
            </w:r>
            <w:r>
              <w:rPr>
                <w:sz w:val="24"/>
              </w:rPr>
              <w:t>means</w:t>
            </w:r>
            <w:r>
              <w:rPr>
                <w:spacing w:val="60"/>
                <w:w w:val="150"/>
                <w:sz w:val="24"/>
              </w:rPr>
              <w:t>  </w:t>
            </w:r>
            <w:r>
              <w:rPr>
                <w:sz w:val="24"/>
              </w:rPr>
              <w:t>of</w:t>
            </w:r>
            <w:r>
              <w:rPr>
                <w:spacing w:val="61"/>
                <w:w w:val="150"/>
                <w:sz w:val="24"/>
              </w:rPr>
              <w:t>  </w:t>
            </w:r>
            <w:r>
              <w:rPr>
                <w:sz w:val="24"/>
              </w:rPr>
              <w:t>entry,</w:t>
            </w:r>
            <w:r>
              <w:rPr>
                <w:spacing w:val="61"/>
                <w:w w:val="150"/>
                <w:sz w:val="24"/>
              </w:rPr>
              <w:t>  </w:t>
            </w:r>
            <w:r>
              <w:rPr>
                <w:sz w:val="24"/>
              </w:rPr>
              <w:t>adequate</w:t>
            </w:r>
            <w:r>
              <w:rPr>
                <w:spacing w:val="60"/>
                <w:w w:val="150"/>
                <w:sz w:val="24"/>
              </w:rPr>
              <w:t>  </w:t>
            </w:r>
            <w:r>
              <w:rPr>
                <w:sz w:val="24"/>
              </w:rPr>
              <w:t>space</w:t>
            </w:r>
            <w:r>
              <w:rPr>
                <w:spacing w:val="60"/>
                <w:w w:val="150"/>
                <w:sz w:val="24"/>
              </w:rPr>
              <w:t>  </w:t>
            </w:r>
            <w:r>
              <w:rPr>
                <w:spacing w:val="-5"/>
                <w:sz w:val="24"/>
              </w:rPr>
              <w:t>to</w:t>
            </w:r>
          </w:p>
          <w:p>
            <w:pPr>
              <w:pStyle w:val="TableParagraph"/>
              <w:spacing w:line="261" w:lineRule="exact"/>
              <w:ind w:left="107"/>
              <w:jc w:val="both"/>
              <w:rPr>
                <w:sz w:val="24"/>
              </w:rPr>
            </w:pPr>
            <w:r>
              <w:rPr>
                <w:sz w:val="24"/>
              </w:rPr>
              <w:t>accommodate</w:t>
            </w:r>
            <w:r>
              <w:rPr>
                <w:spacing w:val="55"/>
                <w:sz w:val="24"/>
              </w:rPr>
              <w:t> </w:t>
            </w:r>
            <w:r>
              <w:rPr>
                <w:sz w:val="24"/>
              </w:rPr>
              <w:t>wheelchair</w:t>
            </w:r>
            <w:r>
              <w:rPr>
                <w:spacing w:val="56"/>
                <w:sz w:val="24"/>
              </w:rPr>
              <w:t> </w:t>
            </w:r>
            <w:r>
              <w:rPr>
                <w:sz w:val="24"/>
              </w:rPr>
              <w:t>users</w:t>
            </w:r>
            <w:r>
              <w:rPr>
                <w:spacing w:val="56"/>
                <w:sz w:val="24"/>
              </w:rPr>
              <w:t> </w:t>
            </w:r>
            <w:r>
              <w:rPr>
                <w:sz w:val="24"/>
              </w:rPr>
              <w:t>should</w:t>
            </w:r>
            <w:r>
              <w:rPr>
                <w:spacing w:val="60"/>
                <w:sz w:val="24"/>
              </w:rPr>
              <w:t> </w:t>
            </w:r>
            <w:r>
              <w:rPr>
                <w:sz w:val="24"/>
              </w:rPr>
              <w:t>be</w:t>
            </w:r>
            <w:r>
              <w:rPr>
                <w:spacing w:val="56"/>
                <w:sz w:val="24"/>
              </w:rPr>
              <w:t> </w:t>
            </w:r>
            <w:r>
              <w:rPr>
                <w:spacing w:val="7"/>
                <w:sz w:val="24"/>
              </w:rPr>
              <w:t>provided.</w:t>
            </w:r>
          </w:p>
        </w:tc>
      </w:tr>
      <w:tr>
        <w:trPr>
          <w:trHeight w:val="3381" w:hRule="atLeast"/>
        </w:trPr>
        <w:tc>
          <w:tcPr>
            <w:tcW w:w="2088" w:type="dxa"/>
          </w:tcPr>
          <w:p>
            <w:pPr>
              <w:pStyle w:val="TableParagraph"/>
              <w:spacing w:line="281" w:lineRule="exact"/>
              <w:ind w:left="107"/>
              <w:rPr>
                <w:sz w:val="24"/>
              </w:rPr>
            </w:pPr>
            <w:r>
              <w:rPr>
                <w:spacing w:val="7"/>
                <w:sz w:val="24"/>
              </w:rPr>
              <w:t>Dimensions</w:t>
            </w:r>
          </w:p>
        </w:tc>
        <w:tc>
          <w:tcPr>
            <w:tcW w:w="6681" w:type="dxa"/>
          </w:tcPr>
          <w:p>
            <w:pPr>
              <w:pStyle w:val="TableParagraph"/>
              <w:numPr>
                <w:ilvl w:val="0"/>
                <w:numId w:val="275"/>
              </w:numPr>
              <w:tabs>
                <w:tab w:pos="466" w:val="left" w:leader="none"/>
                <w:tab w:pos="468" w:val="left" w:leader="none"/>
              </w:tabs>
              <w:spacing w:line="240" w:lineRule="auto" w:before="0" w:after="0"/>
              <w:ind w:left="468" w:right="381" w:hanging="361"/>
              <w:jc w:val="left"/>
              <w:rPr>
                <w:sz w:val="24"/>
              </w:rPr>
            </w:pPr>
            <w:r>
              <w:rPr>
                <w:sz w:val="24"/>
              </w:rPr>
              <w:t>The</w:t>
            </w:r>
            <w:r>
              <w:rPr>
                <w:spacing w:val="40"/>
                <w:sz w:val="24"/>
              </w:rPr>
              <w:t> </w:t>
            </w:r>
            <w:r>
              <w:rPr>
                <w:sz w:val="24"/>
              </w:rPr>
              <w:t>minimum</w:t>
            </w:r>
            <w:r>
              <w:rPr>
                <w:spacing w:val="40"/>
                <w:sz w:val="24"/>
              </w:rPr>
              <w:t> </w:t>
            </w:r>
            <w:r>
              <w:rPr>
                <w:sz w:val="24"/>
              </w:rPr>
              <w:t>clear</w:t>
            </w:r>
            <w:r>
              <w:rPr>
                <w:spacing w:val="40"/>
                <w:sz w:val="24"/>
              </w:rPr>
              <w:t> </w:t>
            </w:r>
            <w:r>
              <w:rPr>
                <w:sz w:val="24"/>
              </w:rPr>
              <w:t>opening</w:t>
            </w:r>
            <w:r>
              <w:rPr>
                <w:spacing w:val="40"/>
                <w:sz w:val="24"/>
              </w:rPr>
              <w:t> </w:t>
            </w:r>
            <w:r>
              <w:rPr>
                <w:sz w:val="24"/>
              </w:rPr>
              <w:t>of</w:t>
            </w:r>
            <w:r>
              <w:rPr>
                <w:spacing w:val="40"/>
                <w:sz w:val="24"/>
              </w:rPr>
              <w:t> </w:t>
            </w:r>
            <w:r>
              <w:rPr>
                <w:sz w:val="24"/>
              </w:rPr>
              <w:t>doorways</w:t>
            </w:r>
            <w:r>
              <w:rPr>
                <w:spacing w:val="40"/>
                <w:sz w:val="24"/>
              </w:rPr>
              <w:t> </w:t>
            </w:r>
            <w:r>
              <w:rPr>
                <w:sz w:val="24"/>
              </w:rPr>
              <w:t>shall be</w:t>
            </w:r>
            <w:r>
              <w:rPr>
                <w:spacing w:val="40"/>
                <w:sz w:val="24"/>
              </w:rPr>
              <w:t> </w:t>
            </w:r>
            <w:r>
              <w:rPr>
                <w:sz w:val="24"/>
              </w:rPr>
              <w:t>0.9</w:t>
            </w:r>
            <w:r>
              <w:rPr>
                <w:spacing w:val="40"/>
                <w:sz w:val="24"/>
              </w:rPr>
              <w:t> </w:t>
            </w:r>
            <w:r>
              <w:rPr>
                <w:sz w:val="24"/>
              </w:rPr>
              <w:t>m</w:t>
            </w:r>
            <w:r>
              <w:rPr>
                <w:spacing w:val="40"/>
                <w:sz w:val="24"/>
              </w:rPr>
              <w:t> </w:t>
            </w:r>
            <w:r>
              <w:rPr>
                <w:sz w:val="24"/>
              </w:rPr>
              <w:t>measured</w:t>
            </w:r>
            <w:r>
              <w:rPr>
                <w:spacing w:val="40"/>
                <w:sz w:val="24"/>
              </w:rPr>
              <w:t> </w:t>
            </w:r>
            <w:r>
              <w:rPr>
                <w:sz w:val="24"/>
              </w:rPr>
              <w:t>between</w:t>
            </w:r>
            <w:r>
              <w:rPr>
                <w:spacing w:val="40"/>
                <w:sz w:val="24"/>
              </w:rPr>
              <w:t> </w:t>
            </w:r>
            <w:r>
              <w:rPr>
                <w:sz w:val="24"/>
              </w:rPr>
              <w:t>the</w:t>
            </w:r>
            <w:r>
              <w:rPr>
                <w:spacing w:val="40"/>
                <w:sz w:val="24"/>
              </w:rPr>
              <w:t> </w:t>
            </w:r>
            <w:r>
              <w:rPr>
                <w:sz w:val="24"/>
              </w:rPr>
              <w:t>face</w:t>
            </w:r>
            <w:r>
              <w:rPr>
                <w:spacing w:val="40"/>
                <w:sz w:val="24"/>
              </w:rPr>
              <w:t> </w:t>
            </w:r>
            <w:r>
              <w:rPr>
                <w:sz w:val="24"/>
              </w:rPr>
              <w:t>of</w:t>
            </w:r>
            <w:r>
              <w:rPr>
                <w:spacing w:val="40"/>
                <w:sz w:val="24"/>
              </w:rPr>
              <w:t> </w:t>
            </w:r>
            <w:r>
              <w:rPr>
                <w:sz w:val="24"/>
              </w:rPr>
              <w:t>the door</w:t>
            </w:r>
            <w:r>
              <w:rPr>
                <w:spacing w:val="40"/>
                <w:sz w:val="24"/>
              </w:rPr>
              <w:t> </w:t>
            </w:r>
            <w:r>
              <w:rPr>
                <w:sz w:val="24"/>
              </w:rPr>
              <w:t>and</w:t>
            </w:r>
            <w:r>
              <w:rPr>
                <w:spacing w:val="40"/>
                <w:sz w:val="24"/>
              </w:rPr>
              <w:t> </w:t>
            </w:r>
            <w:r>
              <w:rPr>
                <w:sz w:val="24"/>
              </w:rPr>
              <w:t>the</w:t>
            </w:r>
            <w:r>
              <w:rPr>
                <w:spacing w:val="40"/>
                <w:sz w:val="24"/>
              </w:rPr>
              <w:t> </w:t>
            </w:r>
            <w:r>
              <w:rPr>
                <w:sz w:val="24"/>
              </w:rPr>
              <w:t>face</w:t>
            </w:r>
            <w:r>
              <w:rPr>
                <w:spacing w:val="40"/>
                <w:sz w:val="24"/>
              </w:rPr>
              <w:t> </w:t>
            </w:r>
            <w:r>
              <w:rPr>
                <w:sz w:val="24"/>
              </w:rPr>
              <w:t>of</w:t>
            </w:r>
            <w:r>
              <w:rPr>
                <w:spacing w:val="40"/>
                <w:sz w:val="24"/>
              </w:rPr>
              <w:t> </w:t>
            </w:r>
            <w:r>
              <w:rPr>
                <w:sz w:val="24"/>
              </w:rPr>
              <w:t>the</w:t>
            </w:r>
            <w:r>
              <w:rPr>
                <w:spacing w:val="40"/>
                <w:sz w:val="24"/>
              </w:rPr>
              <w:t> </w:t>
            </w:r>
            <w:r>
              <w:rPr>
                <w:sz w:val="24"/>
              </w:rPr>
              <w:t>doorstop</w:t>
            </w:r>
            <w:r>
              <w:rPr>
                <w:spacing w:val="40"/>
                <w:sz w:val="24"/>
              </w:rPr>
              <w:t> </w:t>
            </w:r>
            <w:r>
              <w:rPr>
                <w:sz w:val="24"/>
              </w:rPr>
              <w:t>with</w:t>
            </w:r>
            <w:r>
              <w:rPr>
                <w:spacing w:val="40"/>
                <w:sz w:val="24"/>
              </w:rPr>
              <w:t> </w:t>
            </w:r>
            <w:r>
              <w:rPr>
                <w:sz w:val="24"/>
              </w:rPr>
              <w:t>the</w:t>
            </w:r>
            <w:r>
              <w:rPr>
                <w:spacing w:val="40"/>
                <w:sz w:val="24"/>
              </w:rPr>
              <w:t> </w:t>
            </w:r>
            <w:r>
              <w:rPr>
                <w:sz w:val="24"/>
              </w:rPr>
              <w:t>door</w:t>
            </w:r>
            <w:r>
              <w:rPr>
                <w:spacing w:val="40"/>
                <w:sz w:val="24"/>
              </w:rPr>
              <w:t> </w:t>
            </w:r>
            <w:r>
              <w:rPr>
                <w:sz w:val="24"/>
              </w:rPr>
              <w:t>open</w:t>
            </w:r>
            <w:r>
              <w:rPr>
                <w:spacing w:val="40"/>
                <w:sz w:val="24"/>
              </w:rPr>
              <w:t> </w:t>
            </w:r>
            <w:r>
              <w:rPr>
                <w:sz w:val="24"/>
              </w:rPr>
              <w:t>at</w:t>
            </w:r>
            <w:r>
              <w:rPr>
                <w:spacing w:val="40"/>
                <w:sz w:val="24"/>
              </w:rPr>
              <w:t> </w:t>
            </w:r>
            <w:r>
              <w:rPr>
                <w:sz w:val="24"/>
              </w:rPr>
              <w:t>90°</w:t>
            </w:r>
            <w:r>
              <w:rPr>
                <w:spacing w:val="40"/>
                <w:sz w:val="24"/>
              </w:rPr>
              <w:t> </w:t>
            </w:r>
            <w:r>
              <w:rPr>
                <w:sz w:val="24"/>
              </w:rPr>
              <w:t>as</w:t>
            </w:r>
            <w:r>
              <w:rPr>
                <w:spacing w:val="40"/>
                <w:sz w:val="24"/>
              </w:rPr>
              <w:t> </w:t>
            </w:r>
            <w:r>
              <w:rPr>
                <w:sz w:val="24"/>
              </w:rPr>
              <w:t>illustrated</w:t>
            </w:r>
            <w:r>
              <w:rPr>
                <w:spacing w:val="40"/>
                <w:sz w:val="24"/>
              </w:rPr>
              <w:t> </w:t>
            </w:r>
            <w:r>
              <w:rPr>
                <w:sz w:val="24"/>
              </w:rPr>
              <w:t>in</w:t>
            </w:r>
            <w:r>
              <w:rPr>
                <w:spacing w:val="40"/>
                <w:sz w:val="24"/>
              </w:rPr>
              <w:t> </w:t>
            </w:r>
            <w:r>
              <w:rPr>
                <w:sz w:val="24"/>
              </w:rPr>
              <w:t>Sketch</w:t>
            </w:r>
            <w:r>
              <w:rPr>
                <w:spacing w:val="40"/>
                <w:sz w:val="24"/>
              </w:rPr>
              <w:t> </w:t>
            </w:r>
            <w:r>
              <w:rPr>
                <w:sz w:val="24"/>
              </w:rPr>
              <w:t>No</w:t>
            </w:r>
            <w:r>
              <w:rPr>
                <w:spacing w:val="40"/>
                <w:sz w:val="24"/>
              </w:rPr>
              <w:t> </w:t>
            </w:r>
            <w:r>
              <w:rPr>
                <w:sz w:val="24"/>
              </w:rPr>
              <w:t>1 in Annexure 23</w:t>
            </w:r>
          </w:p>
          <w:p>
            <w:pPr>
              <w:pStyle w:val="TableParagraph"/>
              <w:numPr>
                <w:ilvl w:val="0"/>
                <w:numId w:val="275"/>
              </w:numPr>
              <w:tabs>
                <w:tab w:pos="466" w:val="left" w:leader="none"/>
              </w:tabs>
              <w:spacing w:line="240" w:lineRule="auto" w:before="0" w:after="0"/>
              <w:ind w:left="466" w:right="0" w:hanging="359"/>
              <w:jc w:val="left"/>
              <w:rPr>
                <w:sz w:val="24"/>
              </w:rPr>
            </w:pPr>
            <w:r>
              <w:rPr>
                <w:sz w:val="24"/>
              </w:rPr>
              <w:t>Thresholds</w:t>
            </w:r>
            <w:r>
              <w:rPr>
                <w:spacing w:val="62"/>
                <w:sz w:val="24"/>
              </w:rPr>
              <w:t> </w:t>
            </w:r>
            <w:r>
              <w:rPr>
                <w:sz w:val="24"/>
              </w:rPr>
              <w:t>of</w:t>
            </w:r>
            <w:r>
              <w:rPr>
                <w:spacing w:val="67"/>
                <w:sz w:val="24"/>
              </w:rPr>
              <w:t> </w:t>
            </w:r>
            <w:r>
              <w:rPr>
                <w:sz w:val="24"/>
              </w:rPr>
              <w:t>doorways</w:t>
            </w:r>
            <w:r>
              <w:rPr>
                <w:spacing w:val="62"/>
                <w:sz w:val="24"/>
              </w:rPr>
              <w:t> </w:t>
            </w:r>
            <w:r>
              <w:rPr>
                <w:sz w:val="24"/>
              </w:rPr>
              <w:t>should</w:t>
            </w:r>
            <w:r>
              <w:rPr>
                <w:spacing w:val="62"/>
                <w:sz w:val="24"/>
              </w:rPr>
              <w:t> </w:t>
            </w:r>
            <w:r>
              <w:rPr>
                <w:sz w:val="24"/>
              </w:rPr>
              <w:t>not</w:t>
            </w:r>
            <w:r>
              <w:rPr>
                <w:spacing w:val="63"/>
                <w:sz w:val="24"/>
              </w:rPr>
              <w:t> </w:t>
            </w:r>
            <w:r>
              <w:rPr>
                <w:spacing w:val="-2"/>
                <w:sz w:val="24"/>
              </w:rPr>
              <w:t>exceed12</w:t>
            </w:r>
          </w:p>
          <w:p>
            <w:pPr>
              <w:pStyle w:val="TableParagraph"/>
              <w:spacing w:before="1"/>
              <w:ind w:left="468" w:right="418"/>
              <w:rPr>
                <w:sz w:val="24"/>
              </w:rPr>
            </w:pPr>
            <w:r>
              <w:rPr>
                <w:sz w:val="24"/>
              </w:rPr>
              <w:t>mm.</w:t>
            </w:r>
            <w:r>
              <w:rPr>
                <w:spacing w:val="40"/>
                <w:sz w:val="24"/>
              </w:rPr>
              <w:t> </w:t>
            </w:r>
            <w:r>
              <w:rPr>
                <w:sz w:val="24"/>
              </w:rPr>
              <w:t>Raised</w:t>
            </w:r>
            <w:r>
              <w:rPr>
                <w:spacing w:val="40"/>
                <w:sz w:val="24"/>
              </w:rPr>
              <w:t> </w:t>
            </w:r>
            <w:r>
              <w:rPr>
                <w:sz w:val="24"/>
              </w:rPr>
              <w:t>threshold</w:t>
            </w:r>
            <w:r>
              <w:rPr>
                <w:spacing w:val="40"/>
                <w:sz w:val="24"/>
              </w:rPr>
              <w:t> </w:t>
            </w:r>
            <w:r>
              <w:rPr>
                <w:sz w:val="24"/>
              </w:rPr>
              <w:t>and</w:t>
            </w:r>
            <w:r>
              <w:rPr>
                <w:spacing w:val="40"/>
                <w:sz w:val="24"/>
              </w:rPr>
              <w:t> </w:t>
            </w:r>
            <w:r>
              <w:rPr>
                <w:sz w:val="24"/>
              </w:rPr>
              <w:t>floor</w:t>
            </w:r>
            <w:r>
              <w:rPr>
                <w:spacing w:val="40"/>
                <w:sz w:val="24"/>
              </w:rPr>
              <w:t> </w:t>
            </w:r>
            <w:r>
              <w:rPr>
                <w:sz w:val="24"/>
              </w:rPr>
              <w:t>level</w:t>
            </w:r>
            <w:r>
              <w:rPr>
                <w:spacing w:val="40"/>
                <w:sz w:val="24"/>
              </w:rPr>
              <w:t> </w:t>
            </w:r>
            <w:r>
              <w:rPr>
                <w:sz w:val="24"/>
              </w:rPr>
              <w:t>changes at</w:t>
            </w:r>
            <w:r>
              <w:rPr>
                <w:spacing w:val="75"/>
                <w:sz w:val="24"/>
              </w:rPr>
              <w:t> </w:t>
            </w:r>
            <w:r>
              <w:rPr>
                <w:sz w:val="24"/>
              </w:rPr>
              <w:t>doorways</w:t>
            </w:r>
            <w:r>
              <w:rPr>
                <w:spacing w:val="75"/>
                <w:sz w:val="24"/>
              </w:rPr>
              <w:t> </w:t>
            </w:r>
            <w:r>
              <w:rPr>
                <w:sz w:val="24"/>
              </w:rPr>
              <w:t>should</w:t>
            </w:r>
            <w:r>
              <w:rPr>
                <w:spacing w:val="75"/>
                <w:sz w:val="24"/>
              </w:rPr>
              <w:t> </w:t>
            </w:r>
            <w:r>
              <w:rPr>
                <w:sz w:val="24"/>
              </w:rPr>
              <w:t>be</w:t>
            </w:r>
            <w:r>
              <w:rPr>
                <w:spacing w:val="75"/>
                <w:sz w:val="24"/>
              </w:rPr>
              <w:t> </w:t>
            </w:r>
            <w:r>
              <w:rPr>
                <w:sz w:val="24"/>
              </w:rPr>
              <w:t>leveled</w:t>
            </w:r>
            <w:r>
              <w:rPr>
                <w:spacing w:val="75"/>
                <w:sz w:val="24"/>
              </w:rPr>
              <w:t> </w:t>
            </w:r>
            <w:r>
              <w:rPr>
                <w:sz w:val="24"/>
              </w:rPr>
              <w:t>off</w:t>
            </w:r>
            <w:r>
              <w:rPr>
                <w:spacing w:val="75"/>
                <w:sz w:val="24"/>
              </w:rPr>
              <w:t> </w:t>
            </w:r>
            <w:r>
              <w:rPr>
                <w:sz w:val="24"/>
              </w:rPr>
              <w:t>with</w:t>
            </w:r>
            <w:r>
              <w:rPr>
                <w:spacing w:val="75"/>
                <w:sz w:val="24"/>
              </w:rPr>
              <w:t> </w:t>
            </w:r>
            <w:r>
              <w:rPr>
                <w:sz w:val="24"/>
              </w:rPr>
              <w:t>a</w:t>
            </w:r>
            <w:r>
              <w:rPr>
                <w:sz w:val="24"/>
              </w:rPr>
              <w:t> slope</w:t>
            </w:r>
            <w:r>
              <w:rPr>
                <w:spacing w:val="40"/>
                <w:sz w:val="24"/>
              </w:rPr>
              <w:t> </w:t>
            </w:r>
            <w:r>
              <w:rPr>
                <w:sz w:val="24"/>
              </w:rPr>
              <w:t>on</w:t>
            </w:r>
            <w:r>
              <w:rPr>
                <w:spacing w:val="40"/>
                <w:sz w:val="24"/>
              </w:rPr>
              <w:t> </w:t>
            </w:r>
            <w:r>
              <w:rPr>
                <w:sz w:val="24"/>
              </w:rPr>
              <w:t>each</w:t>
            </w:r>
            <w:r>
              <w:rPr>
                <w:spacing w:val="40"/>
                <w:sz w:val="24"/>
              </w:rPr>
              <w:t> </w:t>
            </w:r>
            <w:r>
              <w:rPr>
                <w:sz w:val="24"/>
              </w:rPr>
              <w:t>side</w:t>
            </w:r>
            <w:r>
              <w:rPr>
                <w:spacing w:val="40"/>
                <w:sz w:val="24"/>
              </w:rPr>
              <w:t> </w:t>
            </w:r>
            <w:r>
              <w:rPr>
                <w:sz w:val="24"/>
              </w:rPr>
              <w:t>of</w:t>
            </w:r>
            <w:r>
              <w:rPr>
                <w:spacing w:val="9"/>
                <w:sz w:val="24"/>
              </w:rPr>
              <w:t> threshold.</w:t>
            </w:r>
          </w:p>
          <w:p>
            <w:pPr>
              <w:pStyle w:val="TableParagraph"/>
              <w:numPr>
                <w:ilvl w:val="0"/>
                <w:numId w:val="275"/>
              </w:numPr>
              <w:tabs>
                <w:tab w:pos="466" w:val="left" w:leader="none"/>
              </w:tabs>
              <w:spacing w:line="281" w:lineRule="exact" w:before="0" w:after="0"/>
              <w:ind w:left="466" w:right="0" w:hanging="359"/>
              <w:jc w:val="left"/>
              <w:rPr>
                <w:sz w:val="24"/>
              </w:rPr>
            </w:pPr>
            <w:r>
              <w:rPr>
                <w:sz w:val="24"/>
              </w:rPr>
              <w:t>Manual</w:t>
            </w:r>
            <w:r>
              <w:rPr>
                <w:spacing w:val="68"/>
                <w:sz w:val="24"/>
              </w:rPr>
              <w:t> </w:t>
            </w:r>
            <w:r>
              <w:rPr>
                <w:sz w:val="24"/>
              </w:rPr>
              <w:t>doors</w:t>
            </w:r>
            <w:r>
              <w:rPr>
                <w:spacing w:val="69"/>
                <w:sz w:val="24"/>
              </w:rPr>
              <w:t> </w:t>
            </w:r>
            <w:r>
              <w:rPr>
                <w:sz w:val="24"/>
              </w:rPr>
              <w:t>should</w:t>
            </w:r>
            <w:r>
              <w:rPr>
                <w:spacing w:val="69"/>
                <w:sz w:val="24"/>
              </w:rPr>
              <w:t> </w:t>
            </w:r>
            <w:r>
              <w:rPr>
                <w:sz w:val="24"/>
              </w:rPr>
              <w:t>incorporate</w:t>
            </w:r>
            <w:r>
              <w:rPr>
                <w:spacing w:val="72"/>
                <w:sz w:val="24"/>
              </w:rPr>
              <w:t> </w:t>
            </w:r>
            <w:r>
              <w:rPr>
                <w:sz w:val="24"/>
              </w:rPr>
              <w:t>kick</w:t>
            </w:r>
            <w:r>
              <w:rPr>
                <w:spacing w:val="72"/>
                <w:sz w:val="24"/>
              </w:rPr>
              <w:t> </w:t>
            </w:r>
            <w:r>
              <w:rPr>
                <w:spacing w:val="-2"/>
                <w:sz w:val="24"/>
              </w:rPr>
              <w:t>plates</w:t>
            </w:r>
          </w:p>
          <w:p>
            <w:pPr>
              <w:pStyle w:val="TableParagraph"/>
              <w:spacing w:line="280" w:lineRule="exact"/>
              <w:ind w:left="468" w:right="418"/>
              <w:rPr>
                <w:sz w:val="24"/>
              </w:rPr>
            </w:pPr>
            <w:r>
              <w:rPr>
                <w:sz w:val="24"/>
              </w:rPr>
              <w:t>0.3</w:t>
            </w:r>
            <w:r>
              <w:rPr>
                <w:spacing w:val="40"/>
                <w:sz w:val="24"/>
              </w:rPr>
              <w:t> </w:t>
            </w:r>
            <w:r>
              <w:rPr>
                <w:sz w:val="24"/>
              </w:rPr>
              <w:t>m-0.4</w:t>
            </w:r>
            <w:r>
              <w:rPr>
                <w:spacing w:val="40"/>
                <w:sz w:val="24"/>
              </w:rPr>
              <w:t> </w:t>
            </w:r>
            <w:r>
              <w:rPr>
                <w:sz w:val="24"/>
              </w:rPr>
              <w:t>m</w:t>
            </w:r>
            <w:r>
              <w:rPr>
                <w:spacing w:val="40"/>
                <w:sz w:val="24"/>
              </w:rPr>
              <w:t> </w:t>
            </w:r>
            <w:r>
              <w:rPr>
                <w:sz w:val="24"/>
              </w:rPr>
              <w:t>high</w:t>
            </w:r>
            <w:r>
              <w:rPr>
                <w:spacing w:val="40"/>
                <w:sz w:val="24"/>
              </w:rPr>
              <w:t> </w:t>
            </w:r>
            <w:r>
              <w:rPr>
                <w:sz w:val="24"/>
              </w:rPr>
              <w:t>to</w:t>
            </w:r>
            <w:r>
              <w:rPr>
                <w:spacing w:val="40"/>
                <w:sz w:val="24"/>
              </w:rPr>
              <w:t> </w:t>
            </w:r>
            <w:r>
              <w:rPr>
                <w:sz w:val="24"/>
              </w:rPr>
              <w:t>withstand</w:t>
            </w:r>
            <w:r>
              <w:rPr>
                <w:spacing w:val="40"/>
                <w:sz w:val="24"/>
              </w:rPr>
              <w:t> </w:t>
            </w:r>
            <w:r>
              <w:rPr>
                <w:sz w:val="24"/>
              </w:rPr>
              <w:t>impact</w:t>
            </w:r>
            <w:r>
              <w:rPr>
                <w:spacing w:val="40"/>
                <w:sz w:val="24"/>
              </w:rPr>
              <w:t> </w:t>
            </w:r>
            <w:r>
              <w:rPr>
                <w:sz w:val="24"/>
              </w:rPr>
              <w:t>of wheelchair</w:t>
            </w:r>
            <w:r>
              <w:rPr>
                <w:spacing w:val="40"/>
                <w:sz w:val="24"/>
              </w:rPr>
              <w:t> </w:t>
            </w:r>
            <w:r>
              <w:rPr>
                <w:sz w:val="24"/>
              </w:rPr>
              <w:t>footrest</w:t>
            </w:r>
            <w:r>
              <w:rPr>
                <w:spacing w:val="40"/>
                <w:sz w:val="24"/>
              </w:rPr>
              <w:t> </w:t>
            </w:r>
            <w:r>
              <w:rPr>
                <w:sz w:val="24"/>
              </w:rPr>
              <w:t>(this</w:t>
            </w:r>
            <w:r>
              <w:rPr>
                <w:spacing w:val="40"/>
                <w:sz w:val="24"/>
              </w:rPr>
              <w:t> </w:t>
            </w:r>
            <w:r>
              <w:rPr>
                <w:sz w:val="24"/>
              </w:rPr>
              <w:t>is</w:t>
            </w:r>
            <w:r>
              <w:rPr>
                <w:spacing w:val="40"/>
                <w:sz w:val="24"/>
              </w:rPr>
              <w:t> </w:t>
            </w:r>
            <w:r>
              <w:rPr>
                <w:spacing w:val="9"/>
                <w:sz w:val="24"/>
              </w:rPr>
              <w:t>especially</w:t>
            </w:r>
          </w:p>
        </w:tc>
      </w:tr>
    </w:tbl>
    <w:p>
      <w:pPr>
        <w:pStyle w:val="TableParagraph"/>
        <w:spacing w:after="0" w:line="280" w:lineRule="exact"/>
        <w:rPr>
          <w:sz w:val="24"/>
        </w:rPr>
        <w:sectPr>
          <w:pgSz w:w="11910" w:h="16840"/>
          <w:pgMar w:header="1058" w:footer="1201" w:top="1500" w:bottom="1400" w:left="360" w:right="360"/>
        </w:sectPr>
      </w:pPr>
    </w:p>
    <w:p>
      <w:pPr>
        <w:pStyle w:val="BodyText"/>
        <w:spacing w:before="20"/>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8"/>
        <w:gridCol w:w="6681"/>
      </w:tblGrid>
      <w:tr>
        <w:trPr>
          <w:trHeight w:val="6338" w:hRule="atLeast"/>
        </w:trPr>
        <w:tc>
          <w:tcPr>
            <w:tcW w:w="2088" w:type="dxa"/>
          </w:tcPr>
          <w:p>
            <w:pPr>
              <w:pStyle w:val="TableParagraph"/>
              <w:rPr>
                <w:rFonts w:ascii="Times New Roman"/>
                <w:sz w:val="22"/>
              </w:rPr>
            </w:pPr>
          </w:p>
        </w:tc>
        <w:tc>
          <w:tcPr>
            <w:tcW w:w="6681" w:type="dxa"/>
          </w:tcPr>
          <w:p>
            <w:pPr>
              <w:pStyle w:val="TableParagraph"/>
              <w:spacing w:line="281" w:lineRule="exact" w:before="2"/>
              <w:ind w:left="468"/>
              <w:rPr>
                <w:sz w:val="24"/>
              </w:rPr>
            </w:pPr>
            <w:r>
              <w:rPr>
                <w:sz w:val="24"/>
              </w:rPr>
              <w:t>important</w:t>
            </w:r>
            <w:r>
              <w:rPr>
                <w:spacing w:val="60"/>
                <w:sz w:val="24"/>
              </w:rPr>
              <w:t> </w:t>
            </w:r>
            <w:r>
              <w:rPr>
                <w:sz w:val="24"/>
              </w:rPr>
              <w:t>where</w:t>
            </w:r>
            <w:r>
              <w:rPr>
                <w:spacing w:val="61"/>
                <w:sz w:val="24"/>
              </w:rPr>
              <w:t> </w:t>
            </w:r>
            <w:r>
              <w:rPr>
                <w:sz w:val="24"/>
              </w:rPr>
              <w:t>doors</w:t>
            </w:r>
            <w:r>
              <w:rPr>
                <w:spacing w:val="61"/>
                <w:sz w:val="24"/>
              </w:rPr>
              <w:t> </w:t>
            </w:r>
            <w:r>
              <w:rPr>
                <w:sz w:val="24"/>
              </w:rPr>
              <w:t>are</w:t>
            </w:r>
            <w:r>
              <w:rPr>
                <w:spacing w:val="64"/>
                <w:sz w:val="24"/>
              </w:rPr>
              <w:t> </w:t>
            </w:r>
            <w:r>
              <w:rPr>
                <w:spacing w:val="7"/>
                <w:sz w:val="24"/>
              </w:rPr>
              <w:t>glazed).</w:t>
            </w:r>
          </w:p>
          <w:p>
            <w:pPr>
              <w:pStyle w:val="TableParagraph"/>
              <w:numPr>
                <w:ilvl w:val="0"/>
                <w:numId w:val="276"/>
              </w:numPr>
              <w:tabs>
                <w:tab w:pos="466" w:val="left" w:leader="none"/>
                <w:tab w:pos="468" w:val="left" w:leader="none"/>
              </w:tabs>
              <w:spacing w:line="240" w:lineRule="auto" w:before="0" w:after="0"/>
              <w:ind w:left="468" w:right="1238" w:hanging="361"/>
              <w:jc w:val="left"/>
              <w:rPr>
                <w:rFonts w:ascii="Arial"/>
                <w:color w:val="221F1F"/>
                <w:sz w:val="20"/>
              </w:rPr>
            </w:pPr>
            <w:r>
              <w:rPr>
                <w:sz w:val="24"/>
              </w:rPr>
              <w:t>All doors opening outwards (into a</w:t>
            </w:r>
            <w:r>
              <w:rPr>
                <w:spacing w:val="80"/>
                <w:sz w:val="24"/>
              </w:rPr>
              <w:t> </w:t>
            </w:r>
            <w:r>
              <w:rPr>
                <w:sz w:val="24"/>
              </w:rPr>
              <w:t>circulation</w:t>
            </w:r>
            <w:r>
              <w:rPr>
                <w:spacing w:val="40"/>
                <w:sz w:val="24"/>
              </w:rPr>
              <w:t> </w:t>
            </w:r>
            <w:r>
              <w:rPr>
                <w:sz w:val="24"/>
              </w:rPr>
              <w:t>space)</w:t>
            </w:r>
            <w:r>
              <w:rPr>
                <w:spacing w:val="40"/>
                <w:sz w:val="24"/>
              </w:rPr>
              <w:t> </w:t>
            </w:r>
            <w:r>
              <w:rPr>
                <w:sz w:val="24"/>
              </w:rPr>
              <w:t>should</w:t>
            </w:r>
            <w:r>
              <w:rPr>
                <w:spacing w:val="40"/>
                <w:sz w:val="24"/>
              </w:rPr>
              <w:t> </w:t>
            </w:r>
            <w:r>
              <w:rPr>
                <w:sz w:val="24"/>
              </w:rPr>
              <w:t>be</w:t>
            </w:r>
            <w:r>
              <w:rPr>
                <w:spacing w:val="40"/>
                <w:sz w:val="24"/>
              </w:rPr>
              <w:t> </w:t>
            </w:r>
            <w:r>
              <w:rPr>
                <w:sz w:val="24"/>
              </w:rPr>
              <w:t>fitted</w:t>
            </w:r>
            <w:r>
              <w:rPr>
                <w:spacing w:val="9"/>
                <w:sz w:val="24"/>
              </w:rPr>
              <w:t> with </w:t>
            </w:r>
            <w:r>
              <w:rPr>
                <w:sz w:val="24"/>
              </w:rPr>
              <w:t>vision</w:t>
            </w:r>
            <w:r>
              <w:rPr>
                <w:spacing w:val="40"/>
                <w:sz w:val="24"/>
              </w:rPr>
              <w:t> </w:t>
            </w:r>
            <w:r>
              <w:rPr>
                <w:sz w:val="24"/>
              </w:rPr>
              <w:t>panels</w:t>
            </w:r>
            <w:r>
              <w:rPr>
                <w:spacing w:val="40"/>
                <w:sz w:val="24"/>
              </w:rPr>
              <w:t> </w:t>
            </w:r>
            <w:r>
              <w:rPr>
                <w:sz w:val="24"/>
              </w:rPr>
              <w:t>between</w:t>
            </w:r>
            <w:r>
              <w:rPr>
                <w:spacing w:val="40"/>
                <w:sz w:val="24"/>
              </w:rPr>
              <w:t> </w:t>
            </w:r>
            <w:r>
              <w:rPr>
                <w:sz w:val="24"/>
              </w:rPr>
              <w:t>0.9</w:t>
            </w:r>
            <w:r>
              <w:rPr>
                <w:spacing w:val="40"/>
                <w:sz w:val="24"/>
              </w:rPr>
              <w:t> </w:t>
            </w:r>
            <w:r>
              <w:rPr>
                <w:sz w:val="24"/>
              </w:rPr>
              <w:t>m</w:t>
            </w:r>
            <w:r>
              <w:rPr>
                <w:spacing w:val="40"/>
                <w:sz w:val="24"/>
              </w:rPr>
              <w:t> </w:t>
            </w:r>
            <w:r>
              <w:rPr>
                <w:sz w:val="24"/>
              </w:rPr>
              <w:t>and</w:t>
            </w:r>
            <w:r>
              <w:rPr>
                <w:spacing w:val="40"/>
                <w:sz w:val="24"/>
              </w:rPr>
              <w:t> </w:t>
            </w:r>
            <w:r>
              <w:rPr>
                <w:sz w:val="24"/>
              </w:rPr>
              <w:t>1.5</w:t>
            </w:r>
            <w:r>
              <w:rPr>
                <w:spacing w:val="40"/>
                <w:sz w:val="24"/>
              </w:rPr>
              <w:t> </w:t>
            </w:r>
            <w:r>
              <w:rPr>
                <w:sz w:val="24"/>
              </w:rPr>
              <w:t>m from</w:t>
            </w:r>
            <w:r>
              <w:rPr>
                <w:spacing w:val="40"/>
                <w:sz w:val="24"/>
              </w:rPr>
              <w:t> </w:t>
            </w:r>
            <w:r>
              <w:rPr>
                <w:sz w:val="24"/>
              </w:rPr>
              <w:t>finished</w:t>
            </w:r>
            <w:r>
              <w:rPr>
                <w:spacing w:val="40"/>
                <w:sz w:val="24"/>
              </w:rPr>
              <w:t> </w:t>
            </w:r>
            <w:r>
              <w:rPr>
                <w:sz w:val="24"/>
              </w:rPr>
              <w:t>floor</w:t>
            </w:r>
            <w:r>
              <w:rPr>
                <w:spacing w:val="40"/>
                <w:sz w:val="24"/>
              </w:rPr>
              <w:t> </w:t>
            </w:r>
            <w:r>
              <w:rPr>
                <w:sz w:val="24"/>
              </w:rPr>
              <w:t>level.</w:t>
            </w:r>
          </w:p>
          <w:p>
            <w:pPr>
              <w:pStyle w:val="TableParagraph"/>
              <w:numPr>
                <w:ilvl w:val="0"/>
                <w:numId w:val="276"/>
              </w:numPr>
              <w:tabs>
                <w:tab w:pos="466" w:val="left" w:leader="none"/>
                <w:tab w:pos="468" w:val="left" w:leader="none"/>
              </w:tabs>
              <w:spacing w:line="240" w:lineRule="auto" w:before="0" w:after="0"/>
              <w:ind w:left="468" w:right="388" w:hanging="361"/>
              <w:jc w:val="left"/>
              <w:rPr>
                <w:rFonts w:ascii="Arial"/>
                <w:color w:val="221F1F"/>
                <w:sz w:val="20"/>
              </w:rPr>
            </w:pPr>
            <w:r>
              <w:rPr>
                <w:sz w:val="24"/>
              </w:rPr>
              <w:t>The</w:t>
            </w:r>
            <w:r>
              <w:rPr>
                <w:spacing w:val="40"/>
                <w:sz w:val="24"/>
              </w:rPr>
              <w:t> </w:t>
            </w:r>
            <w:r>
              <w:rPr>
                <w:sz w:val="24"/>
              </w:rPr>
              <w:t>doorway</w:t>
            </w:r>
            <w:r>
              <w:rPr>
                <w:spacing w:val="40"/>
                <w:sz w:val="24"/>
              </w:rPr>
              <w:t> </w:t>
            </w:r>
            <w:r>
              <w:rPr>
                <w:sz w:val="24"/>
              </w:rPr>
              <w:t>of</w:t>
            </w:r>
            <w:r>
              <w:rPr>
                <w:spacing w:val="40"/>
                <w:sz w:val="24"/>
              </w:rPr>
              <w:t> </w:t>
            </w:r>
            <w:r>
              <w:rPr>
                <w:sz w:val="24"/>
              </w:rPr>
              <w:t>a</w:t>
            </w:r>
            <w:r>
              <w:rPr>
                <w:spacing w:val="40"/>
                <w:sz w:val="24"/>
              </w:rPr>
              <w:t> </w:t>
            </w:r>
            <w:r>
              <w:rPr>
                <w:spacing w:val="10"/>
                <w:sz w:val="24"/>
              </w:rPr>
              <w:t>one-</w:t>
            </w:r>
            <w:r>
              <w:rPr>
                <w:sz w:val="24"/>
              </w:rPr>
              <w:t>way</w:t>
            </w:r>
            <w:r>
              <w:rPr>
                <w:spacing w:val="40"/>
                <w:sz w:val="24"/>
              </w:rPr>
              <w:t> </w:t>
            </w:r>
            <w:r>
              <w:rPr>
                <w:sz w:val="24"/>
              </w:rPr>
              <w:t>swing</w:t>
            </w:r>
            <w:r>
              <w:rPr>
                <w:spacing w:val="40"/>
                <w:sz w:val="24"/>
              </w:rPr>
              <w:t> </w:t>
            </w:r>
            <w:r>
              <w:rPr>
                <w:sz w:val="24"/>
              </w:rPr>
              <w:t>door</w:t>
            </w:r>
            <w:r>
              <w:rPr>
                <w:spacing w:val="40"/>
                <w:sz w:val="24"/>
              </w:rPr>
              <w:t> </w:t>
            </w:r>
            <w:r>
              <w:rPr>
                <w:sz w:val="24"/>
              </w:rPr>
              <w:t>shall have</w:t>
            </w:r>
            <w:r>
              <w:rPr>
                <w:spacing w:val="40"/>
                <w:sz w:val="24"/>
              </w:rPr>
              <w:t> </w:t>
            </w:r>
            <w:r>
              <w:rPr>
                <w:sz w:val="24"/>
              </w:rPr>
              <w:t>maneuvering</w:t>
            </w:r>
            <w:r>
              <w:rPr>
                <w:spacing w:val="40"/>
                <w:sz w:val="24"/>
              </w:rPr>
              <w:t> </w:t>
            </w:r>
            <w:r>
              <w:rPr>
                <w:sz w:val="24"/>
              </w:rPr>
              <w:t>spaces</w:t>
            </w:r>
            <w:r>
              <w:rPr>
                <w:spacing w:val="40"/>
                <w:sz w:val="24"/>
              </w:rPr>
              <w:t> </w:t>
            </w:r>
            <w:r>
              <w:rPr>
                <w:sz w:val="24"/>
              </w:rPr>
              <w:t>on</w:t>
            </w:r>
            <w:r>
              <w:rPr>
                <w:spacing w:val="40"/>
                <w:sz w:val="24"/>
              </w:rPr>
              <w:t> </w:t>
            </w:r>
            <w:r>
              <w:rPr>
                <w:sz w:val="24"/>
              </w:rPr>
              <w:t>both</w:t>
            </w:r>
            <w:r>
              <w:rPr>
                <w:spacing w:val="40"/>
                <w:sz w:val="24"/>
              </w:rPr>
              <w:t> </w:t>
            </w:r>
            <w:r>
              <w:rPr>
                <w:sz w:val="24"/>
              </w:rPr>
              <w:t>sides</w:t>
            </w:r>
            <w:r>
              <w:rPr>
                <w:spacing w:val="40"/>
                <w:sz w:val="24"/>
              </w:rPr>
              <w:t> </w:t>
            </w:r>
            <w:r>
              <w:rPr>
                <w:sz w:val="24"/>
              </w:rPr>
              <w:t>for wheelchairs</w:t>
            </w:r>
            <w:r>
              <w:rPr>
                <w:spacing w:val="40"/>
                <w:sz w:val="24"/>
              </w:rPr>
              <w:t> </w:t>
            </w:r>
            <w:r>
              <w:rPr>
                <w:sz w:val="24"/>
              </w:rPr>
              <w:t>and</w:t>
            </w:r>
            <w:r>
              <w:rPr>
                <w:spacing w:val="40"/>
                <w:sz w:val="24"/>
              </w:rPr>
              <w:t> </w:t>
            </w:r>
            <w:r>
              <w:rPr>
                <w:sz w:val="24"/>
              </w:rPr>
              <w:t>the</w:t>
            </w:r>
            <w:r>
              <w:rPr>
                <w:spacing w:val="40"/>
                <w:sz w:val="24"/>
              </w:rPr>
              <w:t> </w:t>
            </w:r>
            <w:r>
              <w:rPr>
                <w:sz w:val="24"/>
              </w:rPr>
              <w:t>following</w:t>
            </w:r>
            <w:r>
              <w:rPr>
                <w:spacing w:val="40"/>
                <w:sz w:val="24"/>
              </w:rPr>
              <w:t> </w:t>
            </w:r>
            <w:r>
              <w:rPr>
                <w:sz w:val="24"/>
              </w:rPr>
              <w:t>clear</w:t>
            </w:r>
            <w:r>
              <w:rPr>
                <w:spacing w:val="40"/>
                <w:sz w:val="24"/>
              </w:rPr>
              <w:t> </w:t>
            </w:r>
            <w:r>
              <w:rPr>
                <w:sz w:val="24"/>
              </w:rPr>
              <w:t>spaces</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adjacent</w:t>
            </w:r>
            <w:r>
              <w:rPr>
                <w:spacing w:val="40"/>
                <w:sz w:val="24"/>
              </w:rPr>
              <w:t> </w:t>
            </w:r>
            <w:r>
              <w:rPr>
                <w:sz w:val="24"/>
              </w:rPr>
              <w:t>to</w:t>
            </w:r>
            <w:r>
              <w:rPr>
                <w:spacing w:val="40"/>
                <w:sz w:val="24"/>
              </w:rPr>
              <w:t> </w:t>
            </w:r>
            <w:r>
              <w:rPr>
                <w:sz w:val="24"/>
              </w:rPr>
              <w:t>the</w:t>
            </w:r>
            <w:r>
              <w:rPr>
                <w:spacing w:val="40"/>
                <w:sz w:val="24"/>
              </w:rPr>
              <w:t> </w:t>
            </w:r>
            <w:r>
              <w:rPr>
                <w:sz w:val="24"/>
              </w:rPr>
              <w:t>leading</w:t>
            </w:r>
            <w:r>
              <w:rPr>
                <w:spacing w:val="40"/>
                <w:sz w:val="24"/>
              </w:rPr>
              <w:t> </w:t>
            </w:r>
            <w:r>
              <w:rPr>
                <w:sz w:val="24"/>
              </w:rPr>
              <w:t>edge of</w:t>
            </w:r>
            <w:r>
              <w:rPr>
                <w:spacing w:val="40"/>
                <w:sz w:val="24"/>
              </w:rPr>
              <w:t> </w:t>
            </w:r>
            <w:r>
              <w:rPr>
                <w:sz w:val="24"/>
              </w:rPr>
              <w:t>the</w:t>
            </w:r>
            <w:r>
              <w:rPr>
                <w:spacing w:val="40"/>
                <w:sz w:val="24"/>
              </w:rPr>
              <w:t> </w:t>
            </w:r>
            <w:r>
              <w:rPr>
                <w:sz w:val="24"/>
              </w:rPr>
              <w:t>door</w:t>
            </w:r>
            <w:r>
              <w:rPr>
                <w:spacing w:val="40"/>
                <w:sz w:val="24"/>
              </w:rPr>
              <w:t> </w:t>
            </w:r>
            <w:r>
              <w:rPr>
                <w:sz w:val="24"/>
              </w:rPr>
              <w:t>as</w:t>
            </w:r>
            <w:r>
              <w:rPr>
                <w:spacing w:val="40"/>
                <w:sz w:val="24"/>
              </w:rPr>
              <w:t> </w:t>
            </w:r>
            <w:r>
              <w:rPr>
                <w:sz w:val="24"/>
              </w:rPr>
              <w:t>illustrated</w:t>
            </w:r>
            <w:r>
              <w:rPr>
                <w:spacing w:val="40"/>
                <w:sz w:val="24"/>
              </w:rPr>
              <w:t> </w:t>
            </w:r>
            <w:r>
              <w:rPr>
                <w:sz w:val="24"/>
              </w:rPr>
              <w:t>in</w:t>
            </w:r>
            <w:r>
              <w:rPr>
                <w:spacing w:val="40"/>
                <w:sz w:val="24"/>
              </w:rPr>
              <w:t> </w:t>
            </w:r>
            <w:r>
              <w:rPr>
                <w:sz w:val="24"/>
              </w:rPr>
              <w:t>SketchNo</w:t>
            </w:r>
            <w:r>
              <w:rPr>
                <w:spacing w:val="40"/>
                <w:sz w:val="24"/>
              </w:rPr>
              <w:t> </w:t>
            </w:r>
            <w:r>
              <w:rPr>
                <w:sz w:val="24"/>
              </w:rPr>
              <w:t>2</w:t>
            </w:r>
            <w:r>
              <w:rPr>
                <w:spacing w:val="40"/>
                <w:sz w:val="24"/>
              </w:rPr>
              <w:t> </w:t>
            </w:r>
            <w:r>
              <w:rPr>
                <w:sz w:val="24"/>
              </w:rPr>
              <w:t>in Annexure 23</w:t>
            </w:r>
          </w:p>
          <w:p>
            <w:pPr>
              <w:pStyle w:val="TableParagraph"/>
              <w:ind w:left="631"/>
              <w:rPr>
                <w:sz w:val="24"/>
              </w:rPr>
            </w:pPr>
            <w:r>
              <w:rPr>
                <w:rFonts w:ascii="MS Mincho" w:hAnsi="MS Mincho"/>
                <w:sz w:val="24"/>
              </w:rPr>
              <w:t>▶</w:t>
            </w:r>
            <w:r>
              <w:rPr>
                <w:rFonts w:ascii="MS Mincho" w:hAnsi="MS Mincho"/>
                <w:spacing w:val="5"/>
                <w:sz w:val="24"/>
              </w:rPr>
              <w:t> </w:t>
            </w:r>
            <w:r>
              <w:rPr>
                <w:sz w:val="24"/>
              </w:rPr>
              <w:t>On</w:t>
            </w:r>
            <w:r>
              <w:rPr>
                <w:spacing w:val="48"/>
                <w:sz w:val="24"/>
              </w:rPr>
              <w:t> </w:t>
            </w:r>
            <w:r>
              <w:rPr>
                <w:sz w:val="24"/>
              </w:rPr>
              <w:t>Pull</w:t>
            </w:r>
            <w:r>
              <w:rPr>
                <w:spacing w:val="51"/>
                <w:sz w:val="24"/>
              </w:rPr>
              <w:t> </w:t>
            </w:r>
            <w:r>
              <w:rPr>
                <w:sz w:val="24"/>
              </w:rPr>
              <w:t>Side–Minimum</w:t>
            </w:r>
            <w:r>
              <w:rPr>
                <w:spacing w:val="47"/>
                <w:sz w:val="24"/>
              </w:rPr>
              <w:t> </w:t>
            </w:r>
            <w:r>
              <w:rPr>
                <w:sz w:val="24"/>
              </w:rPr>
              <w:t>space</w:t>
            </w:r>
            <w:r>
              <w:rPr>
                <w:spacing w:val="47"/>
                <w:sz w:val="24"/>
              </w:rPr>
              <w:t> </w:t>
            </w:r>
            <w:r>
              <w:rPr>
                <w:sz w:val="24"/>
              </w:rPr>
              <w:t>of</w:t>
            </w:r>
            <w:r>
              <w:rPr>
                <w:spacing w:val="51"/>
                <w:sz w:val="24"/>
              </w:rPr>
              <w:t> </w:t>
            </w:r>
            <w:r>
              <w:rPr>
                <w:sz w:val="24"/>
              </w:rPr>
              <w:t>0.6</w:t>
            </w:r>
            <w:r>
              <w:rPr>
                <w:spacing w:val="51"/>
                <w:sz w:val="24"/>
              </w:rPr>
              <w:t> </w:t>
            </w:r>
            <w:r>
              <w:rPr>
                <w:spacing w:val="-10"/>
                <w:sz w:val="24"/>
              </w:rPr>
              <w:t>m</w:t>
            </w:r>
          </w:p>
          <w:p>
            <w:pPr>
              <w:pStyle w:val="TableParagraph"/>
              <w:spacing w:before="5"/>
              <w:ind w:left="107" w:right="121" w:firstLine="523"/>
              <w:rPr>
                <w:sz w:val="24"/>
              </w:rPr>
            </w:pPr>
            <w:r>
              <w:rPr>
                <w:rFonts w:ascii="MS Mincho" w:hAnsi="MS Mincho"/>
                <w:sz w:val="24"/>
              </w:rPr>
              <w:t>▶ </w:t>
            </w:r>
            <w:r>
              <w:rPr>
                <w:sz w:val="24"/>
              </w:rPr>
              <w:t>On</w:t>
            </w:r>
            <w:r>
              <w:rPr>
                <w:spacing w:val="40"/>
                <w:sz w:val="24"/>
              </w:rPr>
              <w:t> </w:t>
            </w:r>
            <w:r>
              <w:rPr>
                <w:sz w:val="24"/>
              </w:rPr>
              <w:t>Push</w:t>
            </w:r>
            <w:r>
              <w:rPr>
                <w:spacing w:val="40"/>
                <w:sz w:val="24"/>
              </w:rPr>
              <w:t> </w:t>
            </w:r>
            <w:r>
              <w:rPr>
                <w:sz w:val="24"/>
              </w:rPr>
              <w:t>Side–Minimum</w:t>
            </w:r>
            <w:r>
              <w:rPr>
                <w:spacing w:val="40"/>
                <w:sz w:val="24"/>
              </w:rPr>
              <w:t> </w:t>
            </w:r>
            <w:r>
              <w:rPr>
                <w:sz w:val="24"/>
              </w:rPr>
              <w:t>Space</w:t>
            </w:r>
            <w:r>
              <w:rPr>
                <w:spacing w:val="40"/>
                <w:sz w:val="24"/>
              </w:rPr>
              <w:t> </w:t>
            </w:r>
            <w:r>
              <w:rPr>
                <w:sz w:val="24"/>
              </w:rPr>
              <w:t>of</w:t>
            </w:r>
            <w:r>
              <w:rPr>
                <w:spacing w:val="40"/>
                <w:sz w:val="24"/>
              </w:rPr>
              <w:t> </w:t>
            </w:r>
            <w:r>
              <w:rPr>
                <w:sz w:val="24"/>
              </w:rPr>
              <w:t>0.3</w:t>
            </w:r>
            <w:r>
              <w:rPr>
                <w:spacing w:val="40"/>
                <w:sz w:val="24"/>
              </w:rPr>
              <w:t> </w:t>
            </w:r>
            <w:r>
              <w:rPr>
                <w:sz w:val="24"/>
              </w:rPr>
              <w:t>m</w:t>
            </w:r>
            <w:r>
              <w:rPr>
                <w:spacing w:val="40"/>
                <w:sz w:val="24"/>
              </w:rPr>
              <w:t> </w:t>
            </w:r>
            <w:r>
              <w:rPr>
                <w:sz w:val="24"/>
              </w:rPr>
              <w:t>Where</w:t>
            </w:r>
            <w:r>
              <w:rPr>
                <w:spacing w:val="80"/>
                <w:sz w:val="24"/>
              </w:rPr>
              <w:t> </w:t>
            </w:r>
            <w:r>
              <w:rPr>
                <w:spacing w:val="10"/>
                <w:sz w:val="24"/>
              </w:rPr>
              <w:t>two-</w:t>
            </w:r>
            <w:r>
              <w:rPr>
                <w:sz w:val="24"/>
              </w:rPr>
              <w:t>way</w:t>
            </w:r>
            <w:r>
              <w:rPr>
                <w:spacing w:val="80"/>
                <w:sz w:val="24"/>
              </w:rPr>
              <w:t> </w:t>
            </w:r>
            <w:r>
              <w:rPr>
                <w:sz w:val="24"/>
              </w:rPr>
              <w:t>swing</w:t>
            </w:r>
            <w:r>
              <w:rPr>
                <w:spacing w:val="80"/>
                <w:sz w:val="24"/>
              </w:rPr>
              <w:t> </w:t>
            </w:r>
            <w:r>
              <w:rPr>
                <w:sz w:val="24"/>
              </w:rPr>
              <w:t>doors</w:t>
            </w:r>
            <w:r>
              <w:rPr>
                <w:spacing w:val="80"/>
                <w:sz w:val="24"/>
              </w:rPr>
              <w:t> </w:t>
            </w:r>
            <w:r>
              <w:rPr>
                <w:sz w:val="24"/>
              </w:rPr>
              <w:t>or</w:t>
            </w:r>
            <w:r>
              <w:rPr>
                <w:spacing w:val="80"/>
                <w:sz w:val="24"/>
              </w:rPr>
              <w:t> </w:t>
            </w:r>
            <w:r>
              <w:rPr>
                <w:sz w:val="24"/>
              </w:rPr>
              <w:t>sliding</w:t>
            </w:r>
            <w:r>
              <w:rPr>
                <w:spacing w:val="80"/>
                <w:sz w:val="24"/>
              </w:rPr>
              <w:t> </w:t>
            </w:r>
            <w:r>
              <w:rPr>
                <w:sz w:val="24"/>
              </w:rPr>
              <w:t>doors</w:t>
            </w:r>
            <w:r>
              <w:rPr>
                <w:spacing w:val="80"/>
                <w:sz w:val="24"/>
              </w:rPr>
              <w:t> </w:t>
            </w:r>
            <w:r>
              <w:rPr>
                <w:sz w:val="24"/>
              </w:rPr>
              <w:t>are used,</w:t>
            </w:r>
            <w:r>
              <w:rPr>
                <w:spacing w:val="80"/>
                <w:sz w:val="24"/>
              </w:rPr>
              <w:t> </w:t>
            </w:r>
            <w:r>
              <w:rPr>
                <w:sz w:val="24"/>
              </w:rPr>
              <w:t>a</w:t>
            </w:r>
            <w:r>
              <w:rPr>
                <w:spacing w:val="80"/>
                <w:sz w:val="24"/>
              </w:rPr>
              <w:t> </w:t>
            </w:r>
            <w:r>
              <w:rPr>
                <w:sz w:val="24"/>
              </w:rPr>
              <w:t>minimum</w:t>
            </w:r>
            <w:r>
              <w:rPr>
                <w:spacing w:val="80"/>
                <w:sz w:val="24"/>
              </w:rPr>
              <w:t> </w:t>
            </w:r>
            <w:r>
              <w:rPr>
                <w:sz w:val="24"/>
              </w:rPr>
              <w:t>space</w:t>
            </w:r>
            <w:r>
              <w:rPr>
                <w:spacing w:val="80"/>
                <w:sz w:val="24"/>
              </w:rPr>
              <w:t> </w:t>
            </w:r>
            <w:r>
              <w:rPr>
                <w:sz w:val="24"/>
              </w:rPr>
              <w:t>of</w:t>
            </w:r>
            <w:r>
              <w:rPr>
                <w:spacing w:val="80"/>
                <w:sz w:val="24"/>
              </w:rPr>
              <w:t> </w:t>
            </w:r>
            <w:r>
              <w:rPr>
                <w:sz w:val="24"/>
              </w:rPr>
              <w:t>0.3</w:t>
            </w:r>
            <w:r>
              <w:rPr>
                <w:spacing w:val="80"/>
                <w:sz w:val="24"/>
              </w:rPr>
              <w:t> </w:t>
            </w:r>
            <w:r>
              <w:rPr>
                <w:sz w:val="24"/>
              </w:rPr>
              <w:t>m</w:t>
            </w:r>
            <w:r>
              <w:rPr>
                <w:spacing w:val="80"/>
                <w:sz w:val="24"/>
              </w:rPr>
              <w:t> </w:t>
            </w:r>
            <w:r>
              <w:rPr>
                <w:sz w:val="24"/>
              </w:rPr>
              <w:t>adjacent</w:t>
            </w:r>
            <w:r>
              <w:rPr>
                <w:spacing w:val="80"/>
                <w:sz w:val="24"/>
              </w:rPr>
              <w:t> </w:t>
            </w:r>
            <w:r>
              <w:rPr>
                <w:sz w:val="24"/>
              </w:rPr>
              <w:t>to</w:t>
            </w:r>
            <w:r>
              <w:rPr>
                <w:spacing w:val="80"/>
                <w:sz w:val="24"/>
              </w:rPr>
              <w:t> </w:t>
            </w:r>
            <w:r>
              <w:rPr>
                <w:sz w:val="24"/>
              </w:rPr>
              <w:t>the leading</w:t>
            </w:r>
            <w:r>
              <w:rPr>
                <w:spacing w:val="40"/>
                <w:sz w:val="24"/>
              </w:rPr>
              <w:t> </w:t>
            </w:r>
            <w:r>
              <w:rPr>
                <w:sz w:val="24"/>
              </w:rPr>
              <w:t>edge</w:t>
            </w:r>
            <w:r>
              <w:rPr>
                <w:spacing w:val="40"/>
                <w:sz w:val="24"/>
              </w:rPr>
              <w:t> </w:t>
            </w:r>
            <w:r>
              <w:rPr>
                <w:sz w:val="24"/>
              </w:rPr>
              <w:t>of</w:t>
            </w:r>
            <w:r>
              <w:rPr>
                <w:spacing w:val="40"/>
                <w:sz w:val="24"/>
              </w:rPr>
              <w:t> </w:t>
            </w:r>
            <w:r>
              <w:rPr>
                <w:sz w:val="24"/>
              </w:rPr>
              <w:t>the</w:t>
            </w:r>
            <w:r>
              <w:rPr>
                <w:spacing w:val="40"/>
                <w:sz w:val="24"/>
              </w:rPr>
              <w:t> </w:t>
            </w:r>
            <w:r>
              <w:rPr>
                <w:sz w:val="24"/>
              </w:rPr>
              <w:t>door</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on</w:t>
            </w:r>
            <w:r>
              <w:rPr>
                <w:spacing w:val="40"/>
                <w:sz w:val="24"/>
              </w:rPr>
              <w:t> </w:t>
            </w:r>
            <w:r>
              <w:rPr>
                <w:sz w:val="24"/>
              </w:rPr>
              <w:t>each side of the </w:t>
            </w:r>
            <w:r>
              <w:rPr>
                <w:spacing w:val="9"/>
                <w:sz w:val="24"/>
              </w:rPr>
              <w:t>door.</w:t>
            </w:r>
          </w:p>
          <w:p>
            <w:pPr>
              <w:pStyle w:val="TableParagraph"/>
              <w:numPr>
                <w:ilvl w:val="0"/>
                <w:numId w:val="276"/>
              </w:numPr>
              <w:tabs>
                <w:tab w:pos="451" w:val="left" w:leader="none"/>
                <w:tab w:pos="624" w:val="left" w:leader="none"/>
              </w:tabs>
              <w:spacing w:line="240" w:lineRule="auto" w:before="41" w:after="0"/>
              <w:ind w:left="451" w:right="564" w:hanging="344"/>
              <w:jc w:val="left"/>
              <w:rPr>
                <w:sz w:val="24"/>
              </w:rPr>
            </w:pPr>
            <w:r>
              <w:rPr>
                <w:sz w:val="24"/>
              </w:rPr>
              <w:tab/>
              <w:t>If</w:t>
            </w:r>
            <w:r>
              <w:rPr>
                <w:spacing w:val="40"/>
                <w:sz w:val="24"/>
              </w:rPr>
              <w:t> </w:t>
            </w:r>
            <w:r>
              <w:rPr>
                <w:sz w:val="24"/>
              </w:rPr>
              <w:t>frameless</w:t>
            </w:r>
            <w:r>
              <w:rPr>
                <w:spacing w:val="40"/>
                <w:sz w:val="24"/>
              </w:rPr>
              <w:t> </w:t>
            </w:r>
            <w:r>
              <w:rPr>
                <w:sz w:val="24"/>
              </w:rPr>
              <w:t>doors</w:t>
            </w:r>
            <w:r>
              <w:rPr>
                <w:spacing w:val="40"/>
                <w:sz w:val="24"/>
              </w:rPr>
              <w:t> </w:t>
            </w:r>
            <w:r>
              <w:rPr>
                <w:sz w:val="24"/>
              </w:rPr>
              <w:t>are</w:t>
            </w:r>
            <w:r>
              <w:rPr>
                <w:spacing w:val="40"/>
                <w:sz w:val="24"/>
              </w:rPr>
              <w:t> </w:t>
            </w:r>
            <w:r>
              <w:rPr>
                <w:sz w:val="24"/>
              </w:rPr>
              <w:t>used,</w:t>
            </w:r>
            <w:r>
              <w:rPr>
                <w:spacing w:val="40"/>
                <w:sz w:val="24"/>
              </w:rPr>
              <w:t> </w:t>
            </w:r>
            <w:r>
              <w:rPr>
                <w:sz w:val="24"/>
              </w:rPr>
              <w:t>it</w:t>
            </w:r>
            <w:r>
              <w:rPr>
                <w:spacing w:val="40"/>
                <w:sz w:val="24"/>
              </w:rPr>
              <w:t> </w:t>
            </w:r>
            <w:r>
              <w:rPr>
                <w:sz w:val="24"/>
              </w:rPr>
              <w:t>shall</w:t>
            </w:r>
            <w:r>
              <w:rPr>
                <w:spacing w:val="40"/>
                <w:sz w:val="24"/>
              </w:rPr>
              <w:t> </w:t>
            </w:r>
            <w:r>
              <w:rPr>
                <w:sz w:val="24"/>
              </w:rPr>
              <w:t>be prominently</w:t>
            </w:r>
            <w:r>
              <w:rPr>
                <w:spacing w:val="40"/>
                <w:sz w:val="24"/>
              </w:rPr>
              <w:t> </w:t>
            </w:r>
            <w:r>
              <w:rPr>
                <w:sz w:val="24"/>
              </w:rPr>
              <w:t>marked</w:t>
            </w:r>
            <w:r>
              <w:rPr>
                <w:spacing w:val="40"/>
                <w:sz w:val="24"/>
              </w:rPr>
              <w:t> </w:t>
            </w:r>
            <w:r>
              <w:rPr>
                <w:sz w:val="24"/>
              </w:rPr>
              <w:t>so</w:t>
            </w:r>
            <w:r>
              <w:rPr>
                <w:spacing w:val="40"/>
                <w:sz w:val="24"/>
              </w:rPr>
              <w:t> </w:t>
            </w:r>
            <w:r>
              <w:rPr>
                <w:sz w:val="24"/>
              </w:rPr>
              <w:t>as</w:t>
            </w:r>
            <w:r>
              <w:rPr>
                <w:spacing w:val="40"/>
                <w:sz w:val="24"/>
              </w:rPr>
              <w:t> </w:t>
            </w:r>
            <w:r>
              <w:rPr>
                <w:sz w:val="24"/>
              </w:rPr>
              <w:t>to</w:t>
            </w:r>
            <w:r>
              <w:rPr>
                <w:spacing w:val="40"/>
                <w:sz w:val="24"/>
              </w:rPr>
              <w:t> </w:t>
            </w:r>
            <w:r>
              <w:rPr>
                <w:sz w:val="24"/>
              </w:rPr>
              <w:t>make</w:t>
            </w:r>
            <w:r>
              <w:rPr>
                <w:spacing w:val="40"/>
                <w:sz w:val="24"/>
              </w:rPr>
              <w:t> </w:t>
            </w:r>
            <w:r>
              <w:rPr>
                <w:sz w:val="24"/>
              </w:rPr>
              <w:t>it</w:t>
            </w:r>
            <w:r>
              <w:rPr>
                <w:spacing w:val="40"/>
                <w:sz w:val="24"/>
              </w:rPr>
              <w:t> </w:t>
            </w:r>
            <w:r>
              <w:rPr>
                <w:sz w:val="24"/>
              </w:rPr>
              <w:t>visible.</w:t>
            </w:r>
          </w:p>
          <w:p>
            <w:pPr>
              <w:pStyle w:val="TableParagraph"/>
              <w:numPr>
                <w:ilvl w:val="0"/>
                <w:numId w:val="276"/>
              </w:numPr>
              <w:tabs>
                <w:tab w:pos="451" w:val="left" w:leader="none"/>
                <w:tab w:pos="735" w:val="left" w:leader="none"/>
              </w:tabs>
              <w:spacing w:line="240" w:lineRule="auto" w:before="42" w:after="0"/>
              <w:ind w:left="451" w:right="114" w:hanging="344"/>
              <w:jc w:val="left"/>
              <w:rPr>
                <w:sz w:val="24"/>
              </w:rPr>
            </w:pPr>
            <w:r>
              <w:rPr>
                <w:sz w:val="24"/>
              </w:rPr>
              <w:tab/>
              <w:t>Double</w:t>
            </w:r>
            <w:r>
              <w:rPr>
                <w:spacing w:val="80"/>
                <w:sz w:val="24"/>
              </w:rPr>
              <w:t> </w:t>
            </w:r>
            <w:r>
              <w:rPr>
                <w:sz w:val="24"/>
              </w:rPr>
              <w:t>action</w:t>
            </w:r>
            <w:r>
              <w:rPr>
                <w:spacing w:val="80"/>
                <w:sz w:val="24"/>
              </w:rPr>
              <w:t> </w:t>
            </w:r>
            <w:r>
              <w:rPr>
                <w:spacing w:val="10"/>
                <w:sz w:val="24"/>
              </w:rPr>
              <w:t>self-</w:t>
            </w:r>
            <w:r>
              <w:rPr>
                <w:sz w:val="24"/>
              </w:rPr>
              <w:t>closing</w:t>
            </w:r>
            <w:r>
              <w:rPr>
                <w:spacing w:val="80"/>
                <w:sz w:val="24"/>
              </w:rPr>
              <w:t> </w:t>
            </w:r>
            <w:r>
              <w:rPr>
                <w:sz w:val="24"/>
              </w:rPr>
              <w:t>door</w:t>
            </w:r>
            <w:r>
              <w:rPr>
                <w:spacing w:val="80"/>
                <w:sz w:val="24"/>
              </w:rPr>
              <w:t> </w:t>
            </w:r>
            <w:r>
              <w:rPr>
                <w:sz w:val="24"/>
              </w:rPr>
              <w:t>shall</w:t>
            </w:r>
            <w:r>
              <w:rPr>
                <w:spacing w:val="80"/>
                <w:sz w:val="24"/>
              </w:rPr>
              <w:t> </w:t>
            </w:r>
            <w:r>
              <w:rPr>
                <w:sz w:val="24"/>
              </w:rPr>
              <w:t>have</w:t>
            </w:r>
            <w:r>
              <w:rPr>
                <w:spacing w:val="80"/>
                <w:sz w:val="24"/>
              </w:rPr>
              <w:t> </w:t>
            </w:r>
            <w:r>
              <w:rPr>
                <w:sz w:val="24"/>
              </w:rPr>
              <w:t>a check</w:t>
            </w:r>
            <w:r>
              <w:rPr>
                <w:spacing w:val="42"/>
                <w:w w:val="150"/>
                <w:sz w:val="24"/>
              </w:rPr>
              <w:t> </w:t>
            </w:r>
            <w:r>
              <w:rPr>
                <w:sz w:val="24"/>
              </w:rPr>
              <w:t>mechanism</w:t>
            </w:r>
            <w:r>
              <w:rPr>
                <w:spacing w:val="52"/>
                <w:w w:val="150"/>
                <w:sz w:val="24"/>
              </w:rPr>
              <w:t> </w:t>
            </w:r>
            <w:r>
              <w:rPr>
                <w:sz w:val="24"/>
              </w:rPr>
              <w:t>to</w:t>
            </w:r>
            <w:r>
              <w:rPr>
                <w:spacing w:val="78"/>
                <w:sz w:val="24"/>
              </w:rPr>
              <w:t> </w:t>
            </w:r>
            <w:r>
              <w:rPr>
                <w:sz w:val="24"/>
              </w:rPr>
              <w:t>prevent</w:t>
            </w:r>
            <w:r>
              <w:rPr>
                <w:spacing w:val="42"/>
                <w:w w:val="150"/>
                <w:sz w:val="24"/>
              </w:rPr>
              <w:t> </w:t>
            </w:r>
            <w:r>
              <w:rPr>
                <w:sz w:val="24"/>
              </w:rPr>
              <w:t>the</w:t>
            </w:r>
            <w:r>
              <w:rPr>
                <w:spacing w:val="43"/>
                <w:w w:val="150"/>
                <w:sz w:val="24"/>
              </w:rPr>
              <w:t> </w:t>
            </w:r>
            <w:r>
              <w:rPr>
                <w:sz w:val="24"/>
              </w:rPr>
              <w:t>door</w:t>
            </w:r>
            <w:r>
              <w:rPr>
                <w:spacing w:val="78"/>
                <w:sz w:val="24"/>
              </w:rPr>
              <w:t> </w:t>
            </w:r>
            <w:r>
              <w:rPr>
                <w:spacing w:val="-2"/>
                <w:sz w:val="24"/>
              </w:rPr>
              <w:t>swinging</w:t>
            </w:r>
          </w:p>
          <w:p>
            <w:pPr>
              <w:pStyle w:val="TableParagraph"/>
              <w:spacing w:line="261" w:lineRule="exact"/>
              <w:ind w:left="451"/>
              <w:rPr>
                <w:sz w:val="24"/>
              </w:rPr>
            </w:pPr>
            <w:r>
              <w:rPr>
                <w:sz w:val="24"/>
              </w:rPr>
              <w:t>beyond</w:t>
            </w:r>
            <w:r>
              <w:rPr>
                <w:spacing w:val="62"/>
                <w:sz w:val="24"/>
              </w:rPr>
              <w:t> </w:t>
            </w:r>
            <w:r>
              <w:rPr>
                <w:sz w:val="24"/>
              </w:rPr>
              <w:t>closed</w:t>
            </w:r>
            <w:r>
              <w:rPr>
                <w:spacing w:val="68"/>
                <w:sz w:val="24"/>
              </w:rPr>
              <w:t> </w:t>
            </w:r>
            <w:r>
              <w:rPr>
                <w:spacing w:val="7"/>
                <w:sz w:val="24"/>
              </w:rPr>
              <w:t>position</w:t>
            </w:r>
          </w:p>
        </w:tc>
      </w:tr>
    </w:tbl>
    <w:p>
      <w:pPr>
        <w:pStyle w:val="BodyText"/>
        <w:spacing w:before="1"/>
        <w:jc w:val="left"/>
      </w:pPr>
    </w:p>
    <w:p>
      <w:pPr>
        <w:pStyle w:val="ListParagraph"/>
        <w:numPr>
          <w:ilvl w:val="2"/>
          <w:numId w:val="264"/>
        </w:numPr>
        <w:tabs>
          <w:tab w:pos="2210" w:val="left" w:leader="none"/>
        </w:tabs>
        <w:spacing w:line="240" w:lineRule="auto" w:before="0" w:after="0"/>
        <w:ind w:left="1313" w:right="775" w:firstLine="0"/>
        <w:jc w:val="both"/>
        <w:rPr>
          <w:sz w:val="24"/>
        </w:rPr>
      </w:pPr>
      <w:r>
        <w:rPr>
          <w:sz w:val="24"/>
        </w:rPr>
        <w:t>Entrance</w:t>
      </w:r>
      <w:r>
        <w:rPr>
          <w:spacing w:val="80"/>
          <w:sz w:val="24"/>
        </w:rPr>
        <w:t> </w:t>
      </w:r>
      <w:r>
        <w:rPr>
          <w:sz w:val="24"/>
        </w:rPr>
        <w:t>Landing-</w:t>
      </w:r>
      <w:r>
        <w:rPr>
          <w:spacing w:val="80"/>
          <w:sz w:val="24"/>
        </w:rPr>
        <w:t> </w:t>
      </w:r>
      <w:r>
        <w:rPr>
          <w:sz w:val="24"/>
        </w:rPr>
        <w:t>Entrance</w:t>
      </w:r>
      <w:r>
        <w:rPr>
          <w:spacing w:val="80"/>
          <w:sz w:val="24"/>
        </w:rPr>
        <w:t> </w:t>
      </w:r>
      <w:r>
        <w:rPr>
          <w:sz w:val="24"/>
        </w:rPr>
        <w:t>landing</w:t>
      </w:r>
      <w:r>
        <w:rPr>
          <w:spacing w:val="80"/>
          <w:sz w:val="24"/>
        </w:rPr>
        <w:t> </w:t>
      </w:r>
      <w:r>
        <w:rPr>
          <w:sz w:val="24"/>
        </w:rPr>
        <w:t>shall</w:t>
      </w:r>
      <w:r>
        <w:rPr>
          <w:spacing w:val="80"/>
          <w:sz w:val="24"/>
        </w:rPr>
        <w:t> </w:t>
      </w:r>
      <w:r>
        <w:rPr>
          <w:sz w:val="24"/>
        </w:rPr>
        <w:t>be</w:t>
      </w:r>
      <w:r>
        <w:rPr>
          <w:spacing w:val="80"/>
          <w:sz w:val="24"/>
        </w:rPr>
        <w:t> </w:t>
      </w:r>
      <w:r>
        <w:rPr>
          <w:sz w:val="24"/>
        </w:rPr>
        <w:t>provided</w:t>
      </w:r>
      <w:r>
        <w:rPr>
          <w:spacing w:val="80"/>
          <w:sz w:val="24"/>
        </w:rPr>
        <w:t> </w:t>
      </w:r>
      <w:r>
        <w:rPr>
          <w:sz w:val="24"/>
        </w:rPr>
        <w:t>adjacent to ramp with the minimum dimension 1.8 m x 2.0 m. It shall have a </w:t>
      </w:r>
      <w:r>
        <w:rPr>
          <w:spacing w:val="10"/>
          <w:sz w:val="24"/>
        </w:rPr>
        <w:t>non- </w:t>
      </w:r>
      <w:r>
        <w:rPr>
          <w:sz w:val="24"/>
        </w:rPr>
        <w:t>skid surface with a texture traversable by a wheel chair. Kerbs wherever provided</w:t>
      </w:r>
      <w:r>
        <w:rPr>
          <w:spacing w:val="40"/>
          <w:sz w:val="24"/>
        </w:rPr>
        <w:t> </w:t>
      </w:r>
      <w:r>
        <w:rPr>
          <w:sz w:val="24"/>
        </w:rPr>
        <w:t>should</w:t>
      </w:r>
      <w:r>
        <w:rPr>
          <w:spacing w:val="40"/>
          <w:sz w:val="24"/>
        </w:rPr>
        <w:t> </w:t>
      </w:r>
      <w:r>
        <w:rPr>
          <w:sz w:val="24"/>
        </w:rPr>
        <w:t>blend</w:t>
      </w:r>
      <w:r>
        <w:rPr>
          <w:spacing w:val="40"/>
          <w:sz w:val="24"/>
        </w:rPr>
        <w:t> </w:t>
      </w:r>
      <w:r>
        <w:rPr>
          <w:sz w:val="24"/>
        </w:rPr>
        <w:t>to</w:t>
      </w:r>
      <w:r>
        <w:rPr>
          <w:spacing w:val="40"/>
          <w:sz w:val="24"/>
        </w:rPr>
        <w:t> </w:t>
      </w:r>
      <w:r>
        <w:rPr>
          <w:sz w:val="24"/>
        </w:rPr>
        <w:t>a</w:t>
      </w:r>
      <w:r>
        <w:rPr>
          <w:spacing w:val="40"/>
          <w:sz w:val="24"/>
        </w:rPr>
        <w:t> </w:t>
      </w:r>
      <w:r>
        <w:rPr>
          <w:sz w:val="24"/>
        </w:rPr>
        <w:t>common</w:t>
      </w:r>
      <w:r>
        <w:rPr>
          <w:spacing w:val="40"/>
          <w:sz w:val="24"/>
        </w:rPr>
        <w:t> </w:t>
      </w:r>
      <w:r>
        <w:rPr>
          <w:spacing w:val="9"/>
          <w:sz w:val="24"/>
        </w:rPr>
        <w:t>level.</w:t>
      </w:r>
    </w:p>
    <w:p>
      <w:pPr>
        <w:pStyle w:val="ListParagraph"/>
        <w:numPr>
          <w:ilvl w:val="1"/>
          <w:numId w:val="264"/>
        </w:numPr>
        <w:tabs>
          <w:tab w:pos="2211" w:val="left" w:leader="none"/>
        </w:tabs>
        <w:spacing w:line="240" w:lineRule="auto" w:before="0" w:after="0"/>
        <w:ind w:left="1313" w:right="779" w:firstLine="0"/>
        <w:jc w:val="both"/>
        <w:rPr>
          <w:sz w:val="24"/>
        </w:rPr>
      </w:pPr>
      <w:r>
        <w:rPr>
          <w:sz w:val="24"/>
        </w:rPr>
        <w:t>Corridor Connecting the Entrance/Exit for the Differently abled persons</w:t>
      </w:r>
      <w:r>
        <w:rPr>
          <w:spacing w:val="40"/>
          <w:sz w:val="24"/>
        </w:rPr>
        <w:t> </w:t>
      </w:r>
      <w:r>
        <w:rPr>
          <w:sz w:val="24"/>
        </w:rPr>
        <w:t>-</w:t>
      </w:r>
      <w:r>
        <w:rPr>
          <w:spacing w:val="40"/>
          <w:sz w:val="24"/>
        </w:rPr>
        <w:t> </w:t>
      </w:r>
      <w:r>
        <w:rPr>
          <w:sz w:val="24"/>
        </w:rPr>
        <w:t>The</w:t>
      </w:r>
      <w:r>
        <w:rPr>
          <w:spacing w:val="40"/>
          <w:sz w:val="24"/>
        </w:rPr>
        <w:t> </w:t>
      </w:r>
      <w:r>
        <w:rPr>
          <w:sz w:val="24"/>
        </w:rPr>
        <w:t>corridor</w:t>
      </w:r>
      <w:r>
        <w:rPr>
          <w:spacing w:val="40"/>
          <w:sz w:val="24"/>
        </w:rPr>
        <w:t> </w:t>
      </w:r>
      <w:r>
        <w:rPr>
          <w:sz w:val="24"/>
        </w:rPr>
        <w:t>connecting</w:t>
      </w:r>
      <w:r>
        <w:rPr>
          <w:spacing w:val="40"/>
          <w:sz w:val="24"/>
        </w:rPr>
        <w:t> </w:t>
      </w:r>
      <w:r>
        <w:rPr>
          <w:sz w:val="24"/>
        </w:rPr>
        <w:t>the</w:t>
      </w:r>
      <w:r>
        <w:rPr>
          <w:spacing w:val="40"/>
          <w:sz w:val="24"/>
        </w:rPr>
        <w:t> </w:t>
      </w:r>
      <w:r>
        <w:rPr>
          <w:sz w:val="24"/>
        </w:rPr>
        <w:t>outdoors</w:t>
      </w:r>
      <w:r>
        <w:rPr>
          <w:spacing w:val="40"/>
          <w:sz w:val="24"/>
        </w:rPr>
        <w:t> </w:t>
      </w:r>
      <w:r>
        <w:rPr>
          <w:sz w:val="24"/>
        </w:rPr>
        <w:t>to</w:t>
      </w:r>
      <w:r>
        <w:rPr>
          <w:spacing w:val="40"/>
          <w:sz w:val="24"/>
        </w:rPr>
        <w:t> </w:t>
      </w:r>
      <w:r>
        <w:rPr>
          <w:sz w:val="24"/>
        </w:rPr>
        <w:t>a</w:t>
      </w:r>
      <w:r>
        <w:rPr>
          <w:spacing w:val="40"/>
          <w:sz w:val="24"/>
        </w:rPr>
        <w:t> </w:t>
      </w:r>
      <w:r>
        <w:rPr>
          <w:sz w:val="24"/>
        </w:rPr>
        <w:t>place</w:t>
      </w:r>
      <w:r>
        <w:rPr>
          <w:spacing w:val="40"/>
          <w:sz w:val="24"/>
        </w:rPr>
        <w:t> </w:t>
      </w:r>
      <w:r>
        <w:rPr>
          <w:sz w:val="24"/>
        </w:rPr>
        <w:t>where information concerning the overall use of the specified building can be provided</w:t>
      </w:r>
      <w:r>
        <w:rPr>
          <w:spacing w:val="40"/>
          <w:sz w:val="24"/>
        </w:rPr>
        <w:t> </w:t>
      </w:r>
      <w:r>
        <w:rPr>
          <w:sz w:val="24"/>
        </w:rPr>
        <w:t>to</w:t>
      </w:r>
      <w:r>
        <w:rPr>
          <w:spacing w:val="40"/>
          <w:sz w:val="24"/>
        </w:rPr>
        <w:t> </w:t>
      </w:r>
      <w:r>
        <w:rPr>
          <w:sz w:val="24"/>
        </w:rPr>
        <w:t>visually</w:t>
      </w:r>
      <w:r>
        <w:rPr>
          <w:spacing w:val="40"/>
          <w:sz w:val="24"/>
        </w:rPr>
        <w:t> </w:t>
      </w:r>
      <w:r>
        <w:rPr>
          <w:sz w:val="24"/>
        </w:rPr>
        <w:t>impaired</w:t>
      </w:r>
      <w:r>
        <w:rPr>
          <w:spacing w:val="40"/>
          <w:sz w:val="24"/>
        </w:rPr>
        <w:t> </w:t>
      </w:r>
      <w:r>
        <w:rPr>
          <w:sz w:val="24"/>
        </w:rPr>
        <w:t>persons</w:t>
      </w:r>
      <w:r>
        <w:rPr>
          <w:spacing w:val="40"/>
          <w:sz w:val="24"/>
        </w:rPr>
        <w:t> </w:t>
      </w:r>
      <w:r>
        <w:rPr>
          <w:sz w:val="24"/>
        </w:rPr>
        <w:t>either</w:t>
      </w:r>
      <w:r>
        <w:rPr>
          <w:spacing w:val="40"/>
          <w:sz w:val="24"/>
        </w:rPr>
        <w:t> </w:t>
      </w:r>
      <w:r>
        <w:rPr>
          <w:sz w:val="24"/>
        </w:rPr>
        <w:t>by</w:t>
      </w:r>
      <w:r>
        <w:rPr>
          <w:spacing w:val="40"/>
          <w:sz w:val="24"/>
        </w:rPr>
        <w:t> </w:t>
      </w:r>
      <w:r>
        <w:rPr>
          <w:sz w:val="24"/>
        </w:rPr>
        <w:t>a</w:t>
      </w:r>
      <w:r>
        <w:rPr>
          <w:spacing w:val="40"/>
          <w:sz w:val="24"/>
        </w:rPr>
        <w:t> </w:t>
      </w:r>
      <w:r>
        <w:rPr>
          <w:sz w:val="24"/>
        </w:rPr>
        <w:t>person</w:t>
      </w:r>
      <w:r>
        <w:rPr>
          <w:spacing w:val="40"/>
          <w:sz w:val="24"/>
        </w:rPr>
        <w:t> </w:t>
      </w:r>
      <w:r>
        <w:rPr>
          <w:sz w:val="24"/>
        </w:rPr>
        <w:t>or</w:t>
      </w:r>
      <w:r>
        <w:rPr>
          <w:spacing w:val="40"/>
          <w:sz w:val="24"/>
        </w:rPr>
        <w:t> </w:t>
      </w:r>
      <w:r>
        <w:rPr>
          <w:sz w:val="24"/>
        </w:rPr>
        <w:t>by</w:t>
      </w:r>
      <w:r>
        <w:rPr>
          <w:spacing w:val="40"/>
          <w:sz w:val="24"/>
        </w:rPr>
        <w:t> </w:t>
      </w:r>
      <w:r>
        <w:rPr>
          <w:sz w:val="24"/>
        </w:rPr>
        <w:t>signs,</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as</w:t>
      </w:r>
      <w:r>
        <w:rPr>
          <w:spacing w:val="40"/>
          <w:sz w:val="24"/>
        </w:rPr>
        <w:t> </w:t>
      </w:r>
      <w:r>
        <w:rPr>
          <w:sz w:val="24"/>
        </w:rPr>
        <w:t>follows:</w:t>
      </w:r>
    </w:p>
    <w:p>
      <w:pPr>
        <w:pStyle w:val="ListParagraph"/>
        <w:numPr>
          <w:ilvl w:val="0"/>
          <w:numId w:val="277"/>
        </w:numPr>
        <w:tabs>
          <w:tab w:pos="1630" w:val="left" w:leader="none"/>
        </w:tabs>
        <w:spacing w:line="281" w:lineRule="exact" w:before="0" w:after="0"/>
        <w:ind w:left="1630" w:right="0" w:hanging="317"/>
        <w:jc w:val="both"/>
        <w:rPr>
          <w:sz w:val="24"/>
        </w:rPr>
      </w:pPr>
      <w:r>
        <w:rPr>
          <w:sz w:val="24"/>
        </w:rPr>
        <w:t>The</w:t>
      </w:r>
      <w:r>
        <w:rPr>
          <w:spacing w:val="47"/>
          <w:sz w:val="24"/>
        </w:rPr>
        <w:t> </w:t>
      </w:r>
      <w:r>
        <w:rPr>
          <w:sz w:val="24"/>
        </w:rPr>
        <w:t>minimum</w:t>
      </w:r>
      <w:r>
        <w:rPr>
          <w:spacing w:val="51"/>
          <w:sz w:val="24"/>
        </w:rPr>
        <w:t> </w:t>
      </w:r>
      <w:r>
        <w:rPr>
          <w:sz w:val="24"/>
        </w:rPr>
        <w:t>width</w:t>
      </w:r>
      <w:r>
        <w:rPr>
          <w:spacing w:val="47"/>
          <w:sz w:val="24"/>
        </w:rPr>
        <w:t> </w:t>
      </w:r>
      <w:r>
        <w:rPr>
          <w:sz w:val="24"/>
        </w:rPr>
        <w:t>shall</w:t>
      </w:r>
      <w:r>
        <w:rPr>
          <w:spacing w:val="47"/>
          <w:sz w:val="24"/>
        </w:rPr>
        <w:t> </w:t>
      </w:r>
      <w:r>
        <w:rPr>
          <w:sz w:val="24"/>
        </w:rPr>
        <w:t>be</w:t>
      </w:r>
      <w:r>
        <w:rPr>
          <w:spacing w:val="47"/>
          <w:sz w:val="24"/>
        </w:rPr>
        <w:t> </w:t>
      </w:r>
      <w:r>
        <w:rPr>
          <w:sz w:val="24"/>
        </w:rPr>
        <w:t>1.5</w:t>
      </w:r>
      <w:r>
        <w:rPr>
          <w:spacing w:val="48"/>
          <w:sz w:val="24"/>
        </w:rPr>
        <w:t> </w:t>
      </w:r>
      <w:r>
        <w:rPr>
          <w:spacing w:val="-10"/>
          <w:sz w:val="24"/>
        </w:rPr>
        <w:t>m</w:t>
      </w:r>
    </w:p>
    <w:p>
      <w:pPr>
        <w:pStyle w:val="ListParagraph"/>
        <w:numPr>
          <w:ilvl w:val="0"/>
          <w:numId w:val="277"/>
        </w:numPr>
        <w:tabs>
          <w:tab w:pos="1628" w:val="left" w:leader="none"/>
        </w:tabs>
        <w:spacing w:line="240" w:lineRule="auto" w:before="0" w:after="0"/>
        <w:ind w:left="1313" w:right="799" w:firstLine="0"/>
        <w:jc w:val="both"/>
        <w:rPr>
          <w:sz w:val="24"/>
        </w:rPr>
      </w:pPr>
      <w:r>
        <w:rPr>
          <w:sz w:val="24"/>
        </w:rPr>
        <w:t>In</w:t>
      </w:r>
      <w:r>
        <w:rPr>
          <w:spacing w:val="40"/>
          <w:sz w:val="24"/>
        </w:rPr>
        <w:t> </w:t>
      </w:r>
      <w:r>
        <w:rPr>
          <w:sz w:val="24"/>
        </w:rPr>
        <w:t>case</w:t>
      </w:r>
      <w:r>
        <w:rPr>
          <w:spacing w:val="40"/>
          <w:sz w:val="24"/>
        </w:rPr>
        <w:t> </w:t>
      </w:r>
      <w:r>
        <w:rPr>
          <w:sz w:val="24"/>
        </w:rPr>
        <w:t>there</w:t>
      </w:r>
      <w:r>
        <w:rPr>
          <w:spacing w:val="40"/>
          <w:sz w:val="24"/>
        </w:rPr>
        <w:t> </w:t>
      </w:r>
      <w:r>
        <w:rPr>
          <w:sz w:val="24"/>
        </w:rPr>
        <w:t>is</w:t>
      </w:r>
      <w:r>
        <w:rPr>
          <w:spacing w:val="40"/>
          <w:sz w:val="24"/>
        </w:rPr>
        <w:t> </w:t>
      </w:r>
      <w:r>
        <w:rPr>
          <w:sz w:val="24"/>
        </w:rPr>
        <w:t>a</w:t>
      </w:r>
      <w:r>
        <w:rPr>
          <w:spacing w:val="40"/>
          <w:sz w:val="24"/>
        </w:rPr>
        <w:t> </w:t>
      </w:r>
      <w:r>
        <w:rPr>
          <w:sz w:val="24"/>
        </w:rPr>
        <w:t>difference</w:t>
      </w:r>
      <w:r>
        <w:rPr>
          <w:spacing w:val="40"/>
          <w:sz w:val="24"/>
        </w:rPr>
        <w:t> </w:t>
      </w:r>
      <w:r>
        <w:rPr>
          <w:sz w:val="24"/>
        </w:rPr>
        <w:t>of</w:t>
      </w:r>
      <w:r>
        <w:rPr>
          <w:spacing w:val="40"/>
          <w:sz w:val="24"/>
        </w:rPr>
        <w:t> </w:t>
      </w:r>
      <w:r>
        <w:rPr>
          <w:sz w:val="24"/>
        </w:rPr>
        <w:t>level,</w:t>
      </w:r>
      <w:r>
        <w:rPr>
          <w:spacing w:val="40"/>
          <w:sz w:val="24"/>
        </w:rPr>
        <w:t> </w:t>
      </w:r>
      <w:r>
        <w:rPr>
          <w:sz w:val="24"/>
        </w:rPr>
        <w:t>slope</w:t>
      </w:r>
      <w:r>
        <w:rPr>
          <w:spacing w:val="40"/>
          <w:sz w:val="24"/>
        </w:rPr>
        <w:t> </w:t>
      </w:r>
      <w:r>
        <w:rPr>
          <w:sz w:val="24"/>
        </w:rPr>
        <w:t>ways</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with a slope of</w:t>
      </w:r>
      <w:r>
        <w:rPr>
          <w:spacing w:val="80"/>
          <w:w w:val="150"/>
          <w:sz w:val="24"/>
        </w:rPr>
        <w:t> </w:t>
      </w:r>
      <w:r>
        <w:rPr>
          <w:spacing w:val="9"/>
          <w:sz w:val="24"/>
        </w:rPr>
        <w:t>1:12.</w:t>
      </w:r>
    </w:p>
    <w:p>
      <w:pPr>
        <w:pStyle w:val="ListParagraph"/>
        <w:numPr>
          <w:ilvl w:val="0"/>
          <w:numId w:val="277"/>
        </w:numPr>
        <w:tabs>
          <w:tab w:pos="1614" w:val="left" w:leader="none"/>
        </w:tabs>
        <w:spacing w:line="240" w:lineRule="auto" w:before="0" w:after="0"/>
        <w:ind w:left="1614" w:right="0" w:hanging="301"/>
        <w:jc w:val="both"/>
        <w:rPr>
          <w:sz w:val="24"/>
        </w:rPr>
      </w:pPr>
      <w:r>
        <w:rPr>
          <w:sz w:val="24"/>
        </w:rPr>
        <w:t>Hand</w:t>
      </w:r>
      <w:r>
        <w:rPr>
          <w:spacing w:val="58"/>
          <w:sz w:val="24"/>
        </w:rPr>
        <w:t> </w:t>
      </w:r>
      <w:r>
        <w:rPr>
          <w:sz w:val="24"/>
        </w:rPr>
        <w:t>rails</w:t>
      </w:r>
      <w:r>
        <w:rPr>
          <w:spacing w:val="61"/>
          <w:sz w:val="24"/>
        </w:rPr>
        <w:t> </w:t>
      </w:r>
      <w:r>
        <w:rPr>
          <w:sz w:val="24"/>
        </w:rPr>
        <w:t>shall</w:t>
      </w:r>
      <w:r>
        <w:rPr>
          <w:spacing w:val="64"/>
          <w:sz w:val="24"/>
        </w:rPr>
        <w:t> </w:t>
      </w:r>
      <w:r>
        <w:rPr>
          <w:sz w:val="24"/>
        </w:rPr>
        <w:t>be</w:t>
      </w:r>
      <w:r>
        <w:rPr>
          <w:spacing w:val="60"/>
          <w:sz w:val="24"/>
        </w:rPr>
        <w:t> </w:t>
      </w:r>
      <w:r>
        <w:rPr>
          <w:sz w:val="24"/>
        </w:rPr>
        <w:t>provided</w:t>
      </w:r>
      <w:r>
        <w:rPr>
          <w:spacing w:val="60"/>
          <w:sz w:val="24"/>
        </w:rPr>
        <w:t> </w:t>
      </w:r>
      <w:r>
        <w:rPr>
          <w:sz w:val="24"/>
        </w:rPr>
        <w:t>for</w:t>
      </w:r>
      <w:r>
        <w:rPr>
          <w:spacing w:val="59"/>
          <w:sz w:val="24"/>
        </w:rPr>
        <w:t> </w:t>
      </w:r>
      <w:r>
        <w:rPr>
          <w:sz w:val="24"/>
        </w:rPr>
        <w:t>ramps/slope</w:t>
      </w:r>
      <w:r>
        <w:rPr>
          <w:spacing w:val="60"/>
          <w:sz w:val="24"/>
        </w:rPr>
        <w:t> </w:t>
      </w:r>
      <w:r>
        <w:rPr>
          <w:spacing w:val="-2"/>
          <w:sz w:val="24"/>
        </w:rPr>
        <w:t>ways.</w:t>
      </w:r>
    </w:p>
    <w:p>
      <w:pPr>
        <w:pStyle w:val="ListParagraph"/>
        <w:numPr>
          <w:ilvl w:val="0"/>
          <w:numId w:val="277"/>
        </w:numPr>
        <w:tabs>
          <w:tab w:pos="1640" w:val="left" w:leader="none"/>
        </w:tabs>
        <w:spacing w:line="240" w:lineRule="auto" w:before="1" w:after="0"/>
        <w:ind w:left="1313" w:right="795" w:firstLine="0"/>
        <w:jc w:val="both"/>
        <w:rPr>
          <w:sz w:val="24"/>
        </w:rPr>
      </w:pPr>
      <w:r>
        <w:rPr>
          <w:sz w:val="24"/>
        </w:rPr>
        <w:t>No</w:t>
      </w:r>
      <w:r>
        <w:rPr>
          <w:spacing w:val="40"/>
          <w:sz w:val="24"/>
        </w:rPr>
        <w:t> </w:t>
      </w:r>
      <w:r>
        <w:rPr>
          <w:sz w:val="24"/>
        </w:rPr>
        <w:t>appliances,</w:t>
      </w:r>
      <w:r>
        <w:rPr>
          <w:spacing w:val="40"/>
          <w:sz w:val="24"/>
        </w:rPr>
        <w:t> </w:t>
      </w:r>
      <w:r>
        <w:rPr>
          <w:sz w:val="24"/>
        </w:rPr>
        <w:t>fixtures</w:t>
      </w:r>
      <w:r>
        <w:rPr>
          <w:spacing w:val="40"/>
          <w:sz w:val="24"/>
        </w:rPr>
        <w:t> </w:t>
      </w:r>
      <w:r>
        <w:rPr>
          <w:sz w:val="24"/>
        </w:rPr>
        <w:t>and</w:t>
      </w:r>
      <w:r>
        <w:rPr>
          <w:spacing w:val="40"/>
          <w:sz w:val="24"/>
        </w:rPr>
        <w:t> </w:t>
      </w:r>
      <w:r>
        <w:rPr>
          <w:sz w:val="24"/>
        </w:rPr>
        <w:t>fittings</w:t>
      </w:r>
      <w:r>
        <w:rPr>
          <w:spacing w:val="40"/>
          <w:sz w:val="24"/>
        </w:rPr>
        <w:t> </w:t>
      </w:r>
      <w:r>
        <w:rPr>
          <w:sz w:val="24"/>
        </w:rPr>
        <w:t>shall</w:t>
      </w:r>
      <w:r>
        <w:rPr>
          <w:spacing w:val="40"/>
          <w:sz w:val="24"/>
        </w:rPr>
        <w:t> </w:t>
      </w:r>
      <w:r>
        <w:rPr>
          <w:sz w:val="24"/>
        </w:rPr>
        <w:t>project</w:t>
      </w:r>
      <w:r>
        <w:rPr>
          <w:spacing w:val="40"/>
          <w:sz w:val="24"/>
        </w:rPr>
        <w:t> </w:t>
      </w:r>
      <w:r>
        <w:rPr>
          <w:sz w:val="24"/>
        </w:rPr>
        <w:t>beyond</w:t>
      </w:r>
      <w:r>
        <w:rPr>
          <w:spacing w:val="40"/>
          <w:sz w:val="24"/>
        </w:rPr>
        <w:t> </w:t>
      </w:r>
      <w:r>
        <w:rPr>
          <w:sz w:val="24"/>
        </w:rPr>
        <w:t>90</w:t>
      </w:r>
      <w:r>
        <w:rPr>
          <w:spacing w:val="40"/>
          <w:sz w:val="24"/>
        </w:rPr>
        <w:t> </w:t>
      </w:r>
      <w:r>
        <w:rPr>
          <w:sz w:val="24"/>
        </w:rPr>
        <w:t>mm</w:t>
      </w:r>
      <w:r>
        <w:rPr>
          <w:spacing w:val="40"/>
          <w:sz w:val="24"/>
        </w:rPr>
        <w:t> </w:t>
      </w:r>
      <w:r>
        <w:rPr>
          <w:sz w:val="24"/>
        </w:rPr>
        <w:t>from the surface of any wall in corridors, paths and lobbies below a level of 2000mm</w:t>
      </w:r>
      <w:r>
        <w:rPr>
          <w:spacing w:val="40"/>
          <w:sz w:val="24"/>
        </w:rPr>
        <w:t> </w:t>
      </w:r>
      <w:r>
        <w:rPr>
          <w:sz w:val="24"/>
        </w:rPr>
        <w:t>above</w:t>
      </w:r>
      <w:r>
        <w:rPr>
          <w:spacing w:val="40"/>
          <w:sz w:val="24"/>
        </w:rPr>
        <w:t> </w:t>
      </w:r>
      <w:r>
        <w:rPr>
          <w:sz w:val="24"/>
        </w:rPr>
        <w:t>the</w:t>
      </w:r>
      <w:r>
        <w:rPr>
          <w:spacing w:val="40"/>
          <w:sz w:val="24"/>
        </w:rPr>
        <w:t> </w:t>
      </w:r>
      <w:r>
        <w:rPr>
          <w:sz w:val="24"/>
        </w:rPr>
        <w:t>finished</w:t>
      </w:r>
      <w:r>
        <w:rPr>
          <w:spacing w:val="40"/>
          <w:sz w:val="24"/>
        </w:rPr>
        <w:t> </w:t>
      </w:r>
      <w:r>
        <w:rPr>
          <w:sz w:val="24"/>
        </w:rPr>
        <w:t>floor</w:t>
      </w:r>
      <w:r>
        <w:rPr>
          <w:spacing w:val="40"/>
          <w:sz w:val="24"/>
        </w:rPr>
        <w:t> </w:t>
      </w:r>
      <w:r>
        <w:rPr>
          <w:sz w:val="24"/>
        </w:rPr>
        <w:t>level</w:t>
      </w:r>
      <w:r>
        <w:rPr>
          <w:spacing w:val="40"/>
          <w:sz w:val="24"/>
        </w:rPr>
        <w:t> </w:t>
      </w:r>
      <w:r>
        <w:rPr>
          <w:sz w:val="24"/>
        </w:rPr>
        <w:t>unless</w:t>
      </w:r>
      <w:r>
        <w:rPr>
          <w:spacing w:val="40"/>
          <w:sz w:val="24"/>
        </w:rPr>
        <w:t> </w:t>
      </w:r>
      <w:r>
        <w:rPr>
          <w:sz w:val="24"/>
        </w:rPr>
        <w:t>they</w:t>
      </w:r>
      <w:r>
        <w:rPr>
          <w:spacing w:val="40"/>
          <w:sz w:val="24"/>
        </w:rPr>
        <w:t> </w:t>
      </w:r>
      <w:r>
        <w:rPr>
          <w:sz w:val="24"/>
        </w:rPr>
        <w:t>are</w:t>
      </w:r>
      <w:r>
        <w:rPr>
          <w:spacing w:val="40"/>
          <w:sz w:val="24"/>
        </w:rPr>
        <w:t> </w:t>
      </w:r>
      <w:r>
        <w:rPr>
          <w:sz w:val="24"/>
        </w:rPr>
        <w:t>unavoidable,</w:t>
      </w:r>
      <w:r>
        <w:rPr>
          <w:spacing w:val="40"/>
          <w:sz w:val="24"/>
        </w:rPr>
        <w:t> </w:t>
      </w:r>
      <w:r>
        <w:rPr>
          <w:sz w:val="24"/>
        </w:rPr>
        <w:t>in which</w:t>
      </w:r>
      <w:r>
        <w:rPr>
          <w:spacing w:val="40"/>
          <w:sz w:val="24"/>
        </w:rPr>
        <w:t> </w:t>
      </w:r>
      <w:r>
        <w:rPr>
          <w:sz w:val="24"/>
        </w:rPr>
        <w:t>case</w:t>
      </w:r>
      <w:r>
        <w:rPr>
          <w:spacing w:val="40"/>
          <w:sz w:val="24"/>
        </w:rPr>
        <w:t> </w:t>
      </w:r>
      <w:r>
        <w:rPr>
          <w:sz w:val="24"/>
        </w:rPr>
        <w:t>they</w:t>
      </w:r>
      <w:r>
        <w:rPr>
          <w:spacing w:val="40"/>
          <w:sz w:val="24"/>
        </w:rPr>
        <w:t> </w:t>
      </w:r>
      <w:r>
        <w:rPr>
          <w:sz w:val="24"/>
        </w:rPr>
        <w:t>shall</w:t>
      </w:r>
      <w:r>
        <w:rPr>
          <w:spacing w:val="40"/>
          <w:sz w:val="24"/>
        </w:rPr>
        <w:t> </w:t>
      </w:r>
      <w:r>
        <w:rPr>
          <w:sz w:val="24"/>
        </w:rPr>
        <w:t>also</w:t>
      </w:r>
      <w:r>
        <w:rPr>
          <w:spacing w:val="40"/>
          <w:sz w:val="24"/>
        </w:rPr>
        <w:t> </w:t>
      </w:r>
      <w:r>
        <w:rPr>
          <w:sz w:val="24"/>
        </w:rPr>
        <w:t>be</w:t>
      </w:r>
      <w:r>
        <w:rPr>
          <w:spacing w:val="40"/>
          <w:sz w:val="24"/>
        </w:rPr>
        <w:t> </w:t>
      </w:r>
      <w:r>
        <w:rPr>
          <w:sz w:val="24"/>
        </w:rPr>
        <w:t>extended</w:t>
      </w:r>
      <w:r>
        <w:rPr>
          <w:spacing w:val="40"/>
          <w:sz w:val="24"/>
        </w:rPr>
        <w:t> </w:t>
      </w:r>
      <w:r>
        <w:rPr>
          <w:sz w:val="24"/>
        </w:rPr>
        <w:t>downwards</w:t>
      </w:r>
      <w:r>
        <w:rPr>
          <w:spacing w:val="40"/>
          <w:sz w:val="24"/>
        </w:rPr>
        <w:t> </w:t>
      </w:r>
      <w:r>
        <w:rPr>
          <w:sz w:val="24"/>
        </w:rPr>
        <w:t>to</w:t>
      </w:r>
      <w:r>
        <w:rPr>
          <w:spacing w:val="40"/>
          <w:sz w:val="24"/>
        </w:rPr>
        <w:t> </w:t>
      </w:r>
      <w:r>
        <w:rPr>
          <w:sz w:val="24"/>
        </w:rPr>
        <w:t>the</w:t>
      </w:r>
      <w:r>
        <w:rPr>
          <w:spacing w:val="40"/>
          <w:sz w:val="24"/>
        </w:rPr>
        <w:t> </w:t>
      </w:r>
      <w:r>
        <w:rPr>
          <w:sz w:val="24"/>
        </w:rPr>
        <w:t>finished</w:t>
      </w:r>
      <w:r>
        <w:rPr>
          <w:spacing w:val="40"/>
          <w:sz w:val="24"/>
        </w:rPr>
        <w:t> </w:t>
      </w:r>
      <w:r>
        <w:rPr>
          <w:sz w:val="24"/>
        </w:rPr>
        <w:t>floor level</w:t>
      </w:r>
      <w:r>
        <w:rPr>
          <w:spacing w:val="40"/>
          <w:sz w:val="24"/>
        </w:rPr>
        <w:t> </w:t>
      </w:r>
      <w:r>
        <w:rPr>
          <w:sz w:val="24"/>
        </w:rPr>
        <w:t>or</w:t>
      </w:r>
      <w:r>
        <w:rPr>
          <w:spacing w:val="40"/>
          <w:sz w:val="24"/>
        </w:rPr>
        <w:t> </w:t>
      </w:r>
      <w:r>
        <w:rPr>
          <w:sz w:val="24"/>
        </w:rPr>
        <w:t>guided</w:t>
      </w:r>
      <w:r>
        <w:rPr>
          <w:spacing w:val="40"/>
          <w:sz w:val="24"/>
        </w:rPr>
        <w:t> </w:t>
      </w:r>
      <w:r>
        <w:rPr>
          <w:sz w:val="24"/>
        </w:rPr>
        <w:t>by</w:t>
      </w:r>
      <w:r>
        <w:rPr>
          <w:spacing w:val="40"/>
          <w:sz w:val="24"/>
        </w:rPr>
        <w:t> </w:t>
      </w:r>
      <w:r>
        <w:rPr>
          <w:sz w:val="24"/>
        </w:rPr>
        <w:t>tactile</w:t>
      </w:r>
      <w:r>
        <w:rPr>
          <w:spacing w:val="40"/>
          <w:sz w:val="24"/>
        </w:rPr>
        <w:t> </w:t>
      </w:r>
      <w:r>
        <w:rPr>
          <w:sz w:val="24"/>
        </w:rPr>
        <w:t>flowing</w:t>
      </w:r>
      <w:r>
        <w:rPr>
          <w:spacing w:val="40"/>
          <w:sz w:val="24"/>
        </w:rPr>
        <w:t> </w:t>
      </w:r>
      <w:r>
        <w:rPr>
          <w:spacing w:val="9"/>
          <w:sz w:val="24"/>
        </w:rPr>
        <w:t>materials.</w:t>
      </w:r>
    </w:p>
    <w:p>
      <w:pPr>
        <w:pStyle w:val="ListParagraph"/>
        <w:numPr>
          <w:ilvl w:val="0"/>
          <w:numId w:val="277"/>
        </w:numPr>
        <w:tabs>
          <w:tab w:pos="1683" w:val="left" w:leader="none"/>
        </w:tabs>
        <w:spacing w:line="240" w:lineRule="auto" w:before="0" w:after="0"/>
        <w:ind w:left="1313" w:right="778" w:firstLine="0"/>
        <w:jc w:val="both"/>
        <w:rPr>
          <w:sz w:val="24"/>
        </w:rPr>
      </w:pPr>
      <w:r>
        <w:rPr>
          <w:sz w:val="24"/>
        </w:rPr>
        <w:t>To</w:t>
      </w:r>
      <w:r>
        <w:rPr>
          <w:spacing w:val="40"/>
          <w:sz w:val="24"/>
        </w:rPr>
        <w:t> </w:t>
      </w:r>
      <w:r>
        <w:rPr>
          <w:sz w:val="24"/>
        </w:rPr>
        <w:t>facilitate</w:t>
      </w:r>
      <w:r>
        <w:rPr>
          <w:spacing w:val="40"/>
          <w:sz w:val="24"/>
        </w:rPr>
        <w:t> </w:t>
      </w:r>
      <w:r>
        <w:rPr>
          <w:sz w:val="24"/>
        </w:rPr>
        <w:t>the</w:t>
      </w:r>
      <w:r>
        <w:rPr>
          <w:spacing w:val="10"/>
          <w:sz w:val="24"/>
        </w:rPr>
        <w:t> way-</w:t>
      </w:r>
      <w:r>
        <w:rPr>
          <w:sz w:val="24"/>
        </w:rPr>
        <w:t>finding</w:t>
      </w:r>
      <w:r>
        <w:rPr>
          <w:spacing w:val="40"/>
          <w:sz w:val="24"/>
        </w:rPr>
        <w:t> </w:t>
      </w:r>
      <w:r>
        <w:rPr>
          <w:sz w:val="24"/>
        </w:rPr>
        <w:t>for</w:t>
      </w:r>
      <w:r>
        <w:rPr>
          <w:spacing w:val="40"/>
          <w:sz w:val="24"/>
        </w:rPr>
        <w:t> </w:t>
      </w:r>
      <w:r>
        <w:rPr>
          <w:sz w:val="24"/>
        </w:rPr>
        <w:t>persons</w:t>
      </w:r>
      <w:r>
        <w:rPr>
          <w:spacing w:val="40"/>
          <w:sz w:val="24"/>
        </w:rPr>
        <w:t> </w:t>
      </w:r>
      <w:r>
        <w:rPr>
          <w:sz w:val="24"/>
        </w:rPr>
        <w:t>with</w:t>
      </w:r>
      <w:r>
        <w:rPr>
          <w:spacing w:val="40"/>
          <w:sz w:val="24"/>
        </w:rPr>
        <w:t> </w:t>
      </w:r>
      <w:r>
        <w:rPr>
          <w:sz w:val="24"/>
        </w:rPr>
        <w:t>visual</w:t>
      </w:r>
      <w:r>
        <w:rPr>
          <w:spacing w:val="40"/>
          <w:sz w:val="24"/>
        </w:rPr>
        <w:t> </w:t>
      </w:r>
      <w:r>
        <w:rPr>
          <w:sz w:val="24"/>
        </w:rPr>
        <w:t>impairment, surfaces and finishes with luminous contrast between the wall and the ceiling,</w:t>
      </w:r>
      <w:r>
        <w:rPr>
          <w:spacing w:val="40"/>
          <w:sz w:val="24"/>
        </w:rPr>
        <w:t> </w:t>
      </w:r>
      <w:r>
        <w:rPr>
          <w:sz w:val="24"/>
        </w:rPr>
        <w:t>and</w:t>
      </w:r>
      <w:r>
        <w:rPr>
          <w:spacing w:val="40"/>
          <w:sz w:val="24"/>
        </w:rPr>
        <w:t> </w:t>
      </w:r>
      <w:r>
        <w:rPr>
          <w:sz w:val="24"/>
        </w:rPr>
        <w:t>between</w:t>
      </w:r>
      <w:r>
        <w:rPr>
          <w:spacing w:val="40"/>
          <w:sz w:val="24"/>
        </w:rPr>
        <w:t> </w:t>
      </w:r>
      <w:r>
        <w:rPr>
          <w:sz w:val="24"/>
        </w:rPr>
        <w:t>the</w:t>
      </w:r>
      <w:r>
        <w:rPr>
          <w:spacing w:val="40"/>
          <w:sz w:val="24"/>
        </w:rPr>
        <w:t> </w:t>
      </w:r>
      <w:r>
        <w:rPr>
          <w:sz w:val="24"/>
        </w:rPr>
        <w:t>wall</w:t>
      </w:r>
      <w:r>
        <w:rPr>
          <w:spacing w:val="40"/>
          <w:sz w:val="24"/>
        </w:rPr>
        <w:t> </w:t>
      </w:r>
      <w:r>
        <w:rPr>
          <w:sz w:val="24"/>
        </w:rPr>
        <w:t>and</w:t>
      </w:r>
      <w:r>
        <w:rPr>
          <w:spacing w:val="40"/>
          <w:sz w:val="24"/>
        </w:rPr>
        <w:t> </w:t>
      </w:r>
      <w:r>
        <w:rPr>
          <w:sz w:val="24"/>
        </w:rPr>
        <w:t>the</w:t>
      </w:r>
      <w:r>
        <w:rPr>
          <w:spacing w:val="40"/>
          <w:sz w:val="24"/>
        </w:rPr>
        <w:t> </w:t>
      </w:r>
      <w:r>
        <w:rPr>
          <w:sz w:val="24"/>
        </w:rPr>
        <w:t>floor</w:t>
      </w:r>
      <w:r>
        <w:rPr>
          <w:spacing w:val="40"/>
          <w:sz w:val="24"/>
        </w:rPr>
        <w:t> </w:t>
      </w:r>
      <w:r>
        <w:rPr>
          <w:sz w:val="24"/>
        </w:rPr>
        <w:t>should</w:t>
      </w:r>
      <w:r>
        <w:rPr>
          <w:spacing w:val="40"/>
          <w:sz w:val="24"/>
        </w:rPr>
        <w:t> </w:t>
      </w:r>
      <w:r>
        <w:rPr>
          <w:sz w:val="24"/>
        </w:rPr>
        <w:t>be</w:t>
      </w:r>
      <w:r>
        <w:rPr>
          <w:spacing w:val="40"/>
          <w:sz w:val="24"/>
        </w:rPr>
        <w:t> </w:t>
      </w:r>
      <w:r>
        <w:rPr>
          <w:sz w:val="24"/>
        </w:rPr>
        <w:t>adopted. Appropriate lighting design with adequate illumination should be </w:t>
      </w:r>
      <w:r>
        <w:rPr>
          <w:spacing w:val="7"/>
          <w:sz w:val="24"/>
        </w:rPr>
        <w:t>considered.</w:t>
      </w:r>
    </w:p>
    <w:p>
      <w:pPr>
        <w:pStyle w:val="ListParagraph"/>
        <w:spacing w:after="0" w:line="240" w:lineRule="auto"/>
        <w:jc w:val="both"/>
        <w:rPr>
          <w:sz w:val="24"/>
        </w:rPr>
        <w:sectPr>
          <w:pgSz w:w="11910" w:h="16840"/>
          <w:pgMar w:header="1058" w:footer="1201" w:top="1500" w:bottom="1400" w:left="360" w:right="360"/>
        </w:sectPr>
      </w:pPr>
    </w:p>
    <w:p>
      <w:pPr>
        <w:pStyle w:val="ListParagraph"/>
        <w:numPr>
          <w:ilvl w:val="0"/>
          <w:numId w:val="277"/>
        </w:numPr>
        <w:tabs>
          <w:tab w:pos="1566" w:val="left" w:leader="none"/>
        </w:tabs>
        <w:spacing w:line="240" w:lineRule="auto" w:before="255" w:after="0"/>
        <w:ind w:left="1566" w:right="0" w:hanging="253"/>
        <w:jc w:val="both"/>
        <w:rPr>
          <w:sz w:val="24"/>
        </w:rPr>
      </w:pPr>
      <w:r>
        <w:rPr>
          <w:sz w:val="24"/>
        </w:rPr>
        <w:t>All</w:t>
      </w:r>
      <w:r>
        <w:rPr>
          <w:spacing w:val="75"/>
          <w:sz w:val="24"/>
        </w:rPr>
        <w:t> </w:t>
      </w:r>
      <w:r>
        <w:rPr>
          <w:sz w:val="24"/>
        </w:rPr>
        <w:t>corridors</w:t>
      </w:r>
      <w:r>
        <w:rPr>
          <w:spacing w:val="75"/>
          <w:sz w:val="24"/>
        </w:rPr>
        <w:t> </w:t>
      </w:r>
      <w:r>
        <w:rPr>
          <w:sz w:val="24"/>
        </w:rPr>
        <w:t>should</w:t>
      </w:r>
      <w:r>
        <w:rPr>
          <w:spacing w:val="75"/>
          <w:sz w:val="24"/>
        </w:rPr>
        <w:t> </w:t>
      </w:r>
      <w:r>
        <w:rPr>
          <w:sz w:val="24"/>
        </w:rPr>
        <w:t>have</w:t>
      </w:r>
      <w:r>
        <w:rPr>
          <w:spacing w:val="42"/>
          <w:w w:val="150"/>
          <w:sz w:val="24"/>
        </w:rPr>
        <w:t> </w:t>
      </w:r>
      <w:r>
        <w:rPr>
          <w:sz w:val="24"/>
        </w:rPr>
        <w:t>non-</w:t>
      </w:r>
      <w:r>
        <w:rPr>
          <w:spacing w:val="9"/>
          <w:sz w:val="24"/>
        </w:rPr>
        <w:t>slippery-</w:t>
      </w:r>
      <w:r>
        <w:rPr>
          <w:sz w:val="24"/>
        </w:rPr>
        <w:t>resistant</w:t>
      </w:r>
      <w:r>
        <w:rPr>
          <w:spacing w:val="78"/>
          <w:sz w:val="24"/>
        </w:rPr>
        <w:t> </w:t>
      </w:r>
      <w:r>
        <w:rPr>
          <w:spacing w:val="-2"/>
          <w:sz w:val="24"/>
        </w:rPr>
        <w:t>surfaces.</w:t>
      </w:r>
    </w:p>
    <w:p>
      <w:pPr>
        <w:pStyle w:val="ListParagraph"/>
        <w:numPr>
          <w:ilvl w:val="0"/>
          <w:numId w:val="277"/>
        </w:numPr>
        <w:tabs>
          <w:tab w:pos="1630" w:val="left" w:leader="none"/>
        </w:tabs>
        <w:spacing w:line="240" w:lineRule="auto" w:before="1" w:after="0"/>
        <w:ind w:left="1313" w:right="798" w:firstLine="0"/>
        <w:jc w:val="both"/>
        <w:rPr>
          <w:sz w:val="24"/>
        </w:rPr>
      </w:pPr>
      <w:r>
        <w:rPr>
          <w:sz w:val="24"/>
        </w:rPr>
        <w:t>A</w:t>
      </w:r>
      <w:r>
        <w:rPr>
          <w:spacing w:val="40"/>
          <w:sz w:val="24"/>
        </w:rPr>
        <w:t> </w:t>
      </w:r>
      <w:r>
        <w:rPr>
          <w:sz w:val="24"/>
        </w:rPr>
        <w:t>minimum</w:t>
      </w:r>
      <w:r>
        <w:rPr>
          <w:spacing w:val="40"/>
          <w:sz w:val="24"/>
        </w:rPr>
        <w:t> </w:t>
      </w:r>
      <w:r>
        <w:rPr>
          <w:sz w:val="24"/>
        </w:rPr>
        <w:t>luminous</w:t>
      </w:r>
      <w:r>
        <w:rPr>
          <w:spacing w:val="40"/>
          <w:sz w:val="24"/>
        </w:rPr>
        <w:t> </w:t>
      </w:r>
      <w:r>
        <w:rPr>
          <w:sz w:val="24"/>
        </w:rPr>
        <w:t>contrast</w:t>
      </w:r>
      <w:r>
        <w:rPr>
          <w:spacing w:val="40"/>
          <w:sz w:val="24"/>
        </w:rPr>
        <w:t> </w:t>
      </w:r>
      <w:r>
        <w:rPr>
          <w:sz w:val="24"/>
        </w:rPr>
        <w:t>of</w:t>
      </w:r>
      <w:r>
        <w:rPr>
          <w:spacing w:val="40"/>
          <w:sz w:val="24"/>
        </w:rPr>
        <w:t> </w:t>
      </w:r>
      <w:r>
        <w:rPr>
          <w:sz w:val="24"/>
        </w:rPr>
        <w:t>30%</w:t>
      </w:r>
      <w:r>
        <w:rPr>
          <w:spacing w:val="40"/>
          <w:sz w:val="24"/>
        </w:rPr>
        <w:t> </w:t>
      </w:r>
      <w:r>
        <w:rPr>
          <w:sz w:val="24"/>
        </w:rPr>
        <w:t>should</w:t>
      </w:r>
      <w:r>
        <w:rPr>
          <w:spacing w:val="40"/>
          <w:sz w:val="24"/>
        </w:rPr>
        <w:t> </w:t>
      </w:r>
      <w:r>
        <w:rPr>
          <w:sz w:val="24"/>
        </w:rPr>
        <w:t>clearly</w:t>
      </w:r>
      <w:r>
        <w:rPr>
          <w:spacing w:val="40"/>
          <w:sz w:val="24"/>
        </w:rPr>
        <w:t> </w:t>
      </w:r>
      <w:r>
        <w:rPr>
          <w:sz w:val="24"/>
        </w:rPr>
        <w:t>define</w:t>
      </w:r>
      <w:r>
        <w:rPr>
          <w:spacing w:val="40"/>
          <w:sz w:val="24"/>
        </w:rPr>
        <w:t> </w:t>
      </w:r>
      <w:r>
        <w:rPr>
          <w:sz w:val="24"/>
        </w:rPr>
        <w:t>between wall, floor and</w:t>
      </w:r>
      <w:r>
        <w:rPr>
          <w:spacing w:val="40"/>
          <w:sz w:val="24"/>
        </w:rPr>
        <w:t> </w:t>
      </w:r>
      <w:r>
        <w:rPr>
          <w:sz w:val="24"/>
        </w:rPr>
        <w:t>door </w:t>
      </w:r>
      <w:r>
        <w:rPr>
          <w:spacing w:val="9"/>
          <w:sz w:val="24"/>
        </w:rPr>
        <w:t>surfaces.</w:t>
      </w:r>
    </w:p>
    <w:p>
      <w:pPr>
        <w:pStyle w:val="BodyText"/>
        <w:jc w:val="left"/>
      </w:pPr>
    </w:p>
    <w:p>
      <w:pPr>
        <w:pStyle w:val="ListParagraph"/>
        <w:numPr>
          <w:ilvl w:val="1"/>
          <w:numId w:val="264"/>
        </w:numPr>
        <w:tabs>
          <w:tab w:pos="2211" w:val="left" w:leader="none"/>
        </w:tabs>
        <w:spacing w:line="240" w:lineRule="auto" w:before="0" w:after="0"/>
        <w:ind w:left="1313" w:right="792" w:firstLine="0"/>
        <w:jc w:val="both"/>
        <w:rPr>
          <w:sz w:val="24"/>
        </w:rPr>
      </w:pPr>
      <w:r>
        <w:rPr>
          <w:sz w:val="24"/>
        </w:rPr>
        <w:t>Stair Ways- One of the </w:t>
      </w:r>
      <w:r>
        <w:rPr>
          <w:spacing w:val="10"/>
          <w:sz w:val="24"/>
        </w:rPr>
        <w:t>stair-</w:t>
      </w:r>
      <w:r>
        <w:rPr>
          <w:sz w:val="24"/>
        </w:rPr>
        <w:t>ways near the entrance/exit for the Differently</w:t>
      </w:r>
      <w:r>
        <w:rPr>
          <w:spacing w:val="80"/>
          <w:sz w:val="24"/>
        </w:rPr>
        <w:t> </w:t>
      </w:r>
      <w:r>
        <w:rPr>
          <w:sz w:val="24"/>
        </w:rPr>
        <w:t>abled</w:t>
      </w:r>
      <w:r>
        <w:rPr>
          <w:spacing w:val="80"/>
          <w:sz w:val="24"/>
        </w:rPr>
        <w:t> </w:t>
      </w:r>
      <w:r>
        <w:rPr>
          <w:sz w:val="24"/>
        </w:rPr>
        <w:t>persons</w:t>
      </w:r>
      <w:r>
        <w:rPr>
          <w:spacing w:val="80"/>
          <w:sz w:val="24"/>
        </w:rPr>
        <w:t> </w:t>
      </w:r>
      <w:r>
        <w:rPr>
          <w:sz w:val="24"/>
        </w:rPr>
        <w:t>shall</w:t>
      </w:r>
      <w:r>
        <w:rPr>
          <w:spacing w:val="80"/>
          <w:sz w:val="24"/>
        </w:rPr>
        <w:t> </w:t>
      </w:r>
      <w:r>
        <w:rPr>
          <w:sz w:val="24"/>
        </w:rPr>
        <w:t>have</w:t>
      </w:r>
      <w:r>
        <w:rPr>
          <w:spacing w:val="80"/>
          <w:sz w:val="24"/>
        </w:rPr>
        <w:t> </w:t>
      </w:r>
      <w:r>
        <w:rPr>
          <w:sz w:val="24"/>
        </w:rPr>
        <w:t>the</w:t>
      </w:r>
      <w:r>
        <w:rPr>
          <w:spacing w:val="80"/>
          <w:sz w:val="24"/>
        </w:rPr>
        <w:t> </w:t>
      </w:r>
      <w:r>
        <w:rPr>
          <w:sz w:val="24"/>
        </w:rPr>
        <w:t>following</w:t>
      </w:r>
      <w:r>
        <w:rPr>
          <w:spacing w:val="80"/>
          <w:sz w:val="24"/>
        </w:rPr>
        <w:t> </w:t>
      </w:r>
      <w:r>
        <w:rPr>
          <w:sz w:val="24"/>
        </w:rPr>
        <w:t>provisions:</w:t>
      </w:r>
    </w:p>
    <w:p>
      <w:pPr>
        <w:pStyle w:val="ListParagraph"/>
        <w:numPr>
          <w:ilvl w:val="0"/>
          <w:numId w:val="278"/>
        </w:numPr>
        <w:tabs>
          <w:tab w:pos="1630" w:val="left" w:leader="none"/>
        </w:tabs>
        <w:spacing w:line="281" w:lineRule="exact" w:before="0" w:after="0"/>
        <w:ind w:left="1630" w:right="0" w:hanging="317"/>
        <w:jc w:val="both"/>
        <w:rPr>
          <w:sz w:val="24"/>
        </w:rPr>
      </w:pPr>
      <w:r>
        <w:rPr>
          <w:sz w:val="24"/>
        </w:rPr>
        <w:t>The</w:t>
      </w:r>
      <w:r>
        <w:rPr>
          <w:spacing w:val="54"/>
          <w:sz w:val="24"/>
        </w:rPr>
        <w:t> </w:t>
      </w:r>
      <w:r>
        <w:rPr>
          <w:sz w:val="24"/>
        </w:rPr>
        <w:t>minimum</w:t>
      </w:r>
      <w:r>
        <w:rPr>
          <w:spacing w:val="59"/>
          <w:sz w:val="24"/>
        </w:rPr>
        <w:t> </w:t>
      </w:r>
      <w:r>
        <w:rPr>
          <w:sz w:val="24"/>
        </w:rPr>
        <w:t>width</w:t>
      </w:r>
      <w:r>
        <w:rPr>
          <w:spacing w:val="55"/>
          <w:sz w:val="24"/>
        </w:rPr>
        <w:t> </w:t>
      </w:r>
      <w:r>
        <w:rPr>
          <w:sz w:val="24"/>
        </w:rPr>
        <w:t>shall</w:t>
      </w:r>
      <w:r>
        <w:rPr>
          <w:spacing w:val="55"/>
          <w:sz w:val="24"/>
        </w:rPr>
        <w:t> </w:t>
      </w:r>
      <w:r>
        <w:rPr>
          <w:sz w:val="24"/>
        </w:rPr>
        <w:t>be1.5</w:t>
      </w:r>
      <w:r>
        <w:rPr>
          <w:spacing w:val="55"/>
          <w:sz w:val="24"/>
        </w:rPr>
        <w:t> </w:t>
      </w:r>
      <w:r>
        <w:rPr>
          <w:spacing w:val="-5"/>
          <w:sz w:val="24"/>
        </w:rPr>
        <w:t>m.</w:t>
      </w:r>
    </w:p>
    <w:p>
      <w:pPr>
        <w:pStyle w:val="ListParagraph"/>
        <w:numPr>
          <w:ilvl w:val="0"/>
          <w:numId w:val="278"/>
        </w:numPr>
        <w:tabs>
          <w:tab w:pos="1662" w:val="left" w:leader="none"/>
        </w:tabs>
        <w:spacing w:line="240" w:lineRule="auto" w:before="0" w:after="0"/>
        <w:ind w:left="1313" w:right="783" w:firstLine="0"/>
        <w:jc w:val="both"/>
        <w:rPr>
          <w:sz w:val="24"/>
        </w:rPr>
      </w:pPr>
      <w:r>
        <w:rPr>
          <w:sz w:val="24"/>
        </w:rPr>
        <w:t>Height</w:t>
      </w:r>
      <w:r>
        <w:rPr>
          <w:spacing w:val="40"/>
          <w:sz w:val="24"/>
        </w:rPr>
        <w:t> </w:t>
      </w:r>
      <w:r>
        <w:rPr>
          <w:sz w:val="24"/>
        </w:rPr>
        <w:t>of</w:t>
      </w:r>
      <w:r>
        <w:rPr>
          <w:spacing w:val="40"/>
          <w:sz w:val="24"/>
        </w:rPr>
        <w:t> </w:t>
      </w:r>
      <w:r>
        <w:rPr>
          <w:sz w:val="24"/>
        </w:rPr>
        <w:t>the</w:t>
      </w:r>
      <w:r>
        <w:rPr>
          <w:spacing w:val="40"/>
          <w:sz w:val="24"/>
        </w:rPr>
        <w:t> </w:t>
      </w:r>
      <w:r>
        <w:rPr>
          <w:sz w:val="24"/>
        </w:rPr>
        <w:t>riser</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more</w:t>
      </w:r>
      <w:r>
        <w:rPr>
          <w:spacing w:val="40"/>
          <w:sz w:val="24"/>
        </w:rPr>
        <w:t> </w:t>
      </w:r>
      <w:r>
        <w:rPr>
          <w:sz w:val="24"/>
        </w:rPr>
        <w:t>than</w:t>
      </w:r>
      <w:r>
        <w:rPr>
          <w:spacing w:val="40"/>
          <w:sz w:val="24"/>
        </w:rPr>
        <w:t> </w:t>
      </w:r>
      <w:r>
        <w:rPr>
          <w:sz w:val="24"/>
        </w:rPr>
        <w:t>0.15</w:t>
      </w:r>
      <w:r>
        <w:rPr>
          <w:spacing w:val="40"/>
          <w:sz w:val="24"/>
        </w:rPr>
        <w:t> </w:t>
      </w:r>
      <w:r>
        <w:rPr>
          <w:sz w:val="24"/>
        </w:rPr>
        <w:t>m</w:t>
      </w:r>
      <w:r>
        <w:rPr>
          <w:spacing w:val="40"/>
          <w:sz w:val="24"/>
        </w:rPr>
        <w:t> </w:t>
      </w:r>
      <w:r>
        <w:rPr>
          <w:spacing w:val="11"/>
          <w:sz w:val="24"/>
        </w:rPr>
        <w:t>and</w:t>
      </w:r>
      <w:r>
        <w:rPr>
          <w:spacing w:val="40"/>
          <w:sz w:val="24"/>
        </w:rPr>
        <w:t> </w:t>
      </w:r>
      <w:r>
        <w:rPr>
          <w:sz w:val="24"/>
        </w:rPr>
        <w:t>width</w:t>
      </w:r>
      <w:r>
        <w:rPr>
          <w:spacing w:val="40"/>
          <w:sz w:val="24"/>
        </w:rPr>
        <w:t> </w:t>
      </w:r>
      <w:r>
        <w:rPr>
          <w:sz w:val="24"/>
        </w:rPr>
        <w:t>of</w:t>
      </w:r>
      <w:r>
        <w:rPr>
          <w:spacing w:val="40"/>
          <w:sz w:val="24"/>
        </w:rPr>
        <w:t> </w:t>
      </w:r>
      <w:r>
        <w:rPr>
          <w:sz w:val="24"/>
        </w:rPr>
        <w:t>the tread</w:t>
      </w:r>
      <w:r>
        <w:rPr>
          <w:spacing w:val="40"/>
          <w:sz w:val="24"/>
        </w:rPr>
        <w:t> </w:t>
      </w:r>
      <w:r>
        <w:rPr>
          <w:sz w:val="24"/>
        </w:rPr>
        <w:t>0.3</w:t>
      </w:r>
      <w:r>
        <w:rPr>
          <w:spacing w:val="40"/>
          <w:sz w:val="24"/>
        </w:rPr>
        <w:t> </w:t>
      </w:r>
      <w:r>
        <w:rPr>
          <w:sz w:val="24"/>
        </w:rPr>
        <w:t>m.</w:t>
      </w:r>
      <w:r>
        <w:rPr>
          <w:spacing w:val="40"/>
          <w:sz w:val="24"/>
        </w:rPr>
        <w:t>  </w:t>
      </w:r>
      <w:r>
        <w:rPr>
          <w:sz w:val="24"/>
        </w:rPr>
        <w:t>The</w:t>
      </w:r>
      <w:r>
        <w:rPr>
          <w:spacing w:val="40"/>
          <w:sz w:val="24"/>
        </w:rPr>
        <w:t> </w:t>
      </w:r>
      <w:r>
        <w:rPr>
          <w:sz w:val="24"/>
        </w:rPr>
        <w:t>steps</w:t>
      </w:r>
      <w:r>
        <w:rPr>
          <w:spacing w:val="40"/>
          <w:sz w:val="24"/>
        </w:rPr>
        <w:t> </w:t>
      </w:r>
      <w:r>
        <w:rPr>
          <w:sz w:val="24"/>
        </w:rPr>
        <w:t>shall</w:t>
      </w:r>
      <w:r>
        <w:rPr>
          <w:spacing w:val="40"/>
          <w:sz w:val="24"/>
        </w:rPr>
        <w:t> </w:t>
      </w:r>
      <w:r>
        <w:rPr>
          <w:sz w:val="24"/>
        </w:rPr>
        <w:t>not</w:t>
      </w:r>
      <w:r>
        <w:rPr>
          <w:spacing w:val="40"/>
          <w:sz w:val="24"/>
        </w:rPr>
        <w:t> </w:t>
      </w:r>
      <w:r>
        <w:rPr>
          <w:sz w:val="24"/>
        </w:rPr>
        <w:t>have</w:t>
      </w:r>
      <w:r>
        <w:rPr>
          <w:spacing w:val="40"/>
          <w:sz w:val="24"/>
        </w:rPr>
        <w:t> </w:t>
      </w:r>
      <w:r>
        <w:rPr>
          <w:sz w:val="24"/>
        </w:rPr>
        <w:t>abrupt</w:t>
      </w:r>
      <w:r>
        <w:rPr>
          <w:spacing w:val="40"/>
          <w:sz w:val="24"/>
        </w:rPr>
        <w:t> </w:t>
      </w:r>
      <w:r>
        <w:rPr>
          <w:sz w:val="24"/>
        </w:rPr>
        <w:t>(square)</w:t>
      </w:r>
      <w:r>
        <w:rPr>
          <w:spacing w:val="40"/>
          <w:sz w:val="24"/>
        </w:rPr>
        <w:t> </w:t>
      </w:r>
      <w:r>
        <w:rPr>
          <w:spacing w:val="9"/>
          <w:sz w:val="24"/>
        </w:rPr>
        <w:t>nosing.</w:t>
      </w:r>
    </w:p>
    <w:p>
      <w:pPr>
        <w:pStyle w:val="ListParagraph"/>
        <w:numPr>
          <w:ilvl w:val="0"/>
          <w:numId w:val="278"/>
        </w:numPr>
        <w:tabs>
          <w:tab w:pos="1614" w:val="left" w:leader="none"/>
        </w:tabs>
        <w:spacing w:line="281" w:lineRule="exact" w:before="1" w:after="0"/>
        <w:ind w:left="1614" w:right="0" w:hanging="301"/>
        <w:jc w:val="both"/>
        <w:rPr>
          <w:sz w:val="24"/>
        </w:rPr>
      </w:pPr>
      <w:r>
        <w:rPr>
          <w:sz w:val="24"/>
        </w:rPr>
        <w:t>Maximum</w:t>
      </w:r>
      <w:r>
        <w:rPr>
          <w:spacing w:val="48"/>
          <w:sz w:val="24"/>
        </w:rPr>
        <w:t> </w:t>
      </w:r>
      <w:r>
        <w:rPr>
          <w:sz w:val="24"/>
        </w:rPr>
        <w:t>number</w:t>
      </w:r>
      <w:r>
        <w:rPr>
          <w:spacing w:val="49"/>
          <w:sz w:val="24"/>
        </w:rPr>
        <w:t> </w:t>
      </w:r>
      <w:r>
        <w:rPr>
          <w:sz w:val="24"/>
        </w:rPr>
        <w:t>of</w:t>
      </w:r>
      <w:r>
        <w:rPr>
          <w:spacing w:val="49"/>
          <w:sz w:val="24"/>
        </w:rPr>
        <w:t> </w:t>
      </w:r>
      <w:r>
        <w:rPr>
          <w:sz w:val="24"/>
        </w:rPr>
        <w:t>risers</w:t>
      </w:r>
      <w:r>
        <w:rPr>
          <w:spacing w:val="49"/>
          <w:sz w:val="24"/>
        </w:rPr>
        <w:t> </w:t>
      </w:r>
      <w:r>
        <w:rPr>
          <w:sz w:val="24"/>
        </w:rPr>
        <w:t>on</w:t>
      </w:r>
      <w:r>
        <w:rPr>
          <w:spacing w:val="51"/>
          <w:sz w:val="24"/>
        </w:rPr>
        <w:t> </w:t>
      </w:r>
      <w:r>
        <w:rPr>
          <w:sz w:val="24"/>
        </w:rPr>
        <w:t>a</w:t>
      </w:r>
      <w:r>
        <w:rPr>
          <w:spacing w:val="49"/>
          <w:sz w:val="24"/>
        </w:rPr>
        <w:t> </w:t>
      </w:r>
      <w:r>
        <w:rPr>
          <w:sz w:val="24"/>
        </w:rPr>
        <w:t>flight</w:t>
      </w:r>
      <w:r>
        <w:rPr>
          <w:spacing w:val="49"/>
          <w:sz w:val="24"/>
        </w:rPr>
        <w:t> </w:t>
      </w:r>
      <w:r>
        <w:rPr>
          <w:sz w:val="24"/>
        </w:rPr>
        <w:t>shall</w:t>
      </w:r>
      <w:r>
        <w:rPr>
          <w:spacing w:val="48"/>
          <w:sz w:val="24"/>
        </w:rPr>
        <w:t> </w:t>
      </w:r>
      <w:r>
        <w:rPr>
          <w:sz w:val="24"/>
        </w:rPr>
        <w:t>be</w:t>
      </w:r>
      <w:r>
        <w:rPr>
          <w:spacing w:val="49"/>
          <w:sz w:val="24"/>
        </w:rPr>
        <w:t> </w:t>
      </w:r>
      <w:r>
        <w:rPr>
          <w:sz w:val="24"/>
        </w:rPr>
        <w:t>limited</w:t>
      </w:r>
      <w:r>
        <w:rPr>
          <w:spacing w:val="52"/>
          <w:sz w:val="24"/>
        </w:rPr>
        <w:t> </w:t>
      </w:r>
      <w:r>
        <w:rPr>
          <w:sz w:val="24"/>
        </w:rPr>
        <w:t>to</w:t>
      </w:r>
      <w:r>
        <w:rPr>
          <w:spacing w:val="49"/>
          <w:sz w:val="24"/>
        </w:rPr>
        <w:t> </w:t>
      </w:r>
      <w:r>
        <w:rPr>
          <w:spacing w:val="-5"/>
          <w:sz w:val="24"/>
        </w:rPr>
        <w:t>12.</w:t>
      </w:r>
    </w:p>
    <w:p>
      <w:pPr>
        <w:pStyle w:val="ListParagraph"/>
        <w:numPr>
          <w:ilvl w:val="0"/>
          <w:numId w:val="278"/>
        </w:numPr>
        <w:tabs>
          <w:tab w:pos="1638" w:val="left" w:leader="none"/>
        </w:tabs>
        <w:spacing w:line="240" w:lineRule="auto" w:before="0" w:after="0"/>
        <w:ind w:left="1313" w:right="776" w:firstLine="0"/>
        <w:jc w:val="both"/>
        <w:rPr>
          <w:sz w:val="24"/>
        </w:rPr>
      </w:pPr>
      <w:r>
        <w:rPr>
          <w:sz w:val="24"/>
        </w:rPr>
        <w:t>Hand</w:t>
      </w:r>
      <w:r>
        <w:rPr>
          <w:spacing w:val="40"/>
          <w:sz w:val="24"/>
        </w:rPr>
        <w:t> </w:t>
      </w:r>
      <w:r>
        <w:rPr>
          <w:sz w:val="24"/>
        </w:rPr>
        <w:t>rails</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on</w:t>
      </w:r>
      <w:r>
        <w:rPr>
          <w:spacing w:val="40"/>
          <w:sz w:val="24"/>
        </w:rPr>
        <w:t> </w:t>
      </w:r>
      <w:r>
        <w:rPr>
          <w:sz w:val="24"/>
        </w:rPr>
        <w:t>both</w:t>
      </w:r>
      <w:r>
        <w:rPr>
          <w:spacing w:val="40"/>
          <w:sz w:val="24"/>
        </w:rPr>
        <w:t> </w:t>
      </w:r>
      <w:r>
        <w:rPr>
          <w:sz w:val="24"/>
        </w:rPr>
        <w:t>sides</w:t>
      </w:r>
      <w:r>
        <w:rPr>
          <w:spacing w:val="40"/>
          <w:sz w:val="24"/>
        </w:rPr>
        <w:t> </w:t>
      </w:r>
      <w:r>
        <w:rPr>
          <w:sz w:val="24"/>
        </w:rPr>
        <w:t>and</w:t>
      </w:r>
      <w:r>
        <w:rPr>
          <w:spacing w:val="40"/>
          <w:sz w:val="24"/>
        </w:rPr>
        <w:t> </w:t>
      </w:r>
      <w:r>
        <w:rPr>
          <w:sz w:val="24"/>
        </w:rPr>
        <w:t>shall</w:t>
      </w:r>
      <w:r>
        <w:rPr>
          <w:spacing w:val="40"/>
          <w:sz w:val="24"/>
        </w:rPr>
        <w:t> </w:t>
      </w:r>
      <w:r>
        <w:rPr>
          <w:sz w:val="24"/>
        </w:rPr>
        <w:t>extend</w:t>
      </w:r>
      <w:r>
        <w:rPr>
          <w:spacing w:val="40"/>
          <w:sz w:val="24"/>
        </w:rPr>
        <w:t> </w:t>
      </w:r>
      <w:r>
        <w:rPr>
          <w:sz w:val="24"/>
        </w:rPr>
        <w:t>0.3</w:t>
      </w:r>
      <w:r>
        <w:rPr>
          <w:spacing w:val="40"/>
          <w:sz w:val="24"/>
        </w:rPr>
        <w:t> </w:t>
      </w:r>
      <w:r>
        <w:rPr>
          <w:sz w:val="24"/>
        </w:rPr>
        <w:t>m</w:t>
      </w:r>
      <w:r>
        <w:rPr>
          <w:spacing w:val="40"/>
          <w:sz w:val="24"/>
        </w:rPr>
        <w:t> </w:t>
      </w:r>
      <w:r>
        <w:rPr>
          <w:sz w:val="24"/>
        </w:rPr>
        <w:t>on both</w:t>
      </w:r>
      <w:r>
        <w:rPr>
          <w:spacing w:val="40"/>
          <w:sz w:val="24"/>
        </w:rPr>
        <w:t> </w:t>
      </w:r>
      <w:r>
        <w:rPr>
          <w:sz w:val="24"/>
        </w:rPr>
        <w:t>sides</w:t>
      </w:r>
      <w:r>
        <w:rPr>
          <w:spacing w:val="40"/>
          <w:sz w:val="24"/>
        </w:rPr>
        <w:t> </w:t>
      </w:r>
      <w:r>
        <w:rPr>
          <w:sz w:val="24"/>
        </w:rPr>
        <w:t>and</w:t>
      </w:r>
      <w:r>
        <w:rPr>
          <w:spacing w:val="40"/>
          <w:sz w:val="24"/>
        </w:rPr>
        <w:t> </w:t>
      </w:r>
      <w:r>
        <w:rPr>
          <w:sz w:val="24"/>
        </w:rPr>
        <w:t>shall</w:t>
      </w:r>
      <w:r>
        <w:rPr>
          <w:spacing w:val="40"/>
          <w:sz w:val="24"/>
        </w:rPr>
        <w:t> </w:t>
      </w:r>
      <w:r>
        <w:rPr>
          <w:sz w:val="24"/>
        </w:rPr>
        <w:t>extend</w:t>
      </w:r>
      <w:r>
        <w:rPr>
          <w:spacing w:val="40"/>
          <w:sz w:val="24"/>
        </w:rPr>
        <w:t> </w:t>
      </w:r>
      <w:r>
        <w:rPr>
          <w:sz w:val="24"/>
        </w:rPr>
        <w:t>0.3</w:t>
      </w:r>
      <w:r>
        <w:rPr>
          <w:spacing w:val="40"/>
          <w:sz w:val="24"/>
        </w:rPr>
        <w:t> </w:t>
      </w:r>
      <w:r>
        <w:rPr>
          <w:sz w:val="24"/>
        </w:rPr>
        <w:t>m</w:t>
      </w:r>
      <w:r>
        <w:rPr>
          <w:spacing w:val="40"/>
          <w:sz w:val="24"/>
        </w:rPr>
        <w:t> </w:t>
      </w:r>
      <w:r>
        <w:rPr>
          <w:sz w:val="24"/>
        </w:rPr>
        <w:t>on</w:t>
      </w:r>
      <w:r>
        <w:rPr>
          <w:spacing w:val="40"/>
          <w:sz w:val="24"/>
        </w:rPr>
        <w:t> </w:t>
      </w:r>
      <w:r>
        <w:rPr>
          <w:sz w:val="24"/>
        </w:rPr>
        <w:t>the</w:t>
      </w:r>
      <w:r>
        <w:rPr>
          <w:spacing w:val="40"/>
          <w:sz w:val="24"/>
        </w:rPr>
        <w:t> </w:t>
      </w:r>
      <w:r>
        <w:rPr>
          <w:spacing w:val="9"/>
          <w:sz w:val="24"/>
        </w:rPr>
        <w:t>top</w:t>
      </w:r>
      <w:r>
        <w:rPr>
          <w:spacing w:val="40"/>
          <w:sz w:val="24"/>
        </w:rPr>
        <w:t> </w:t>
      </w:r>
      <w:r>
        <w:rPr>
          <w:sz w:val="24"/>
        </w:rPr>
        <w:t>and</w:t>
      </w:r>
      <w:r>
        <w:rPr>
          <w:spacing w:val="40"/>
          <w:sz w:val="24"/>
        </w:rPr>
        <w:t> </w:t>
      </w:r>
      <w:r>
        <w:rPr>
          <w:sz w:val="24"/>
        </w:rPr>
        <w:t>bottom</w:t>
      </w:r>
      <w:r>
        <w:rPr>
          <w:spacing w:val="40"/>
          <w:sz w:val="24"/>
        </w:rPr>
        <w:t> </w:t>
      </w:r>
      <w:r>
        <w:rPr>
          <w:sz w:val="24"/>
        </w:rPr>
        <w:t>of</w:t>
      </w:r>
      <w:r>
        <w:rPr>
          <w:spacing w:val="40"/>
          <w:sz w:val="24"/>
        </w:rPr>
        <w:t> </w:t>
      </w:r>
      <w:r>
        <w:rPr>
          <w:sz w:val="24"/>
        </w:rPr>
        <w:t>each</w:t>
      </w:r>
      <w:r>
        <w:rPr>
          <w:spacing w:val="40"/>
          <w:sz w:val="24"/>
        </w:rPr>
        <w:t> </w:t>
      </w:r>
      <w:r>
        <w:rPr>
          <w:sz w:val="24"/>
        </w:rPr>
        <w:t>flight of steps.</w:t>
      </w:r>
    </w:p>
    <w:p>
      <w:pPr>
        <w:pStyle w:val="ListParagraph"/>
        <w:numPr>
          <w:ilvl w:val="0"/>
          <w:numId w:val="278"/>
        </w:numPr>
        <w:tabs>
          <w:tab w:pos="1630" w:val="left" w:leader="none"/>
        </w:tabs>
        <w:spacing w:line="240" w:lineRule="auto" w:before="0" w:after="0"/>
        <w:ind w:left="1313" w:right="800" w:firstLine="0"/>
        <w:jc w:val="both"/>
        <w:rPr>
          <w:sz w:val="24"/>
        </w:rPr>
      </w:pPr>
      <w:r>
        <w:rPr>
          <w:sz w:val="24"/>
        </w:rPr>
        <w:t>The minimum clear headroom in pedestrian area such as walkways,</w:t>
      </w:r>
      <w:r>
        <w:rPr>
          <w:spacing w:val="80"/>
          <w:sz w:val="24"/>
        </w:rPr>
        <w:t> </w:t>
      </w:r>
      <w:r>
        <w:rPr>
          <w:sz w:val="24"/>
        </w:rPr>
        <w:t>halls,</w:t>
      </w:r>
      <w:r>
        <w:rPr>
          <w:spacing w:val="40"/>
          <w:sz w:val="24"/>
        </w:rPr>
        <w:t> </w:t>
      </w:r>
      <w:r>
        <w:rPr>
          <w:sz w:val="24"/>
        </w:rPr>
        <w:t>corridors,</w:t>
      </w:r>
      <w:r>
        <w:rPr>
          <w:spacing w:val="40"/>
          <w:sz w:val="24"/>
        </w:rPr>
        <w:t> </w:t>
      </w:r>
      <w:r>
        <w:rPr>
          <w:sz w:val="24"/>
        </w:rPr>
        <w:t>passageways</w:t>
      </w:r>
      <w:r>
        <w:rPr>
          <w:spacing w:val="40"/>
          <w:sz w:val="24"/>
        </w:rPr>
        <w:t> </w:t>
      </w:r>
      <w:r>
        <w:rPr>
          <w:sz w:val="24"/>
        </w:rPr>
        <w:t>or</w:t>
      </w:r>
      <w:r>
        <w:rPr>
          <w:spacing w:val="40"/>
          <w:sz w:val="24"/>
        </w:rPr>
        <w:t> </w:t>
      </w:r>
      <w:r>
        <w:rPr>
          <w:sz w:val="24"/>
        </w:rPr>
        <w:t>aisles</w:t>
      </w:r>
      <w:r>
        <w:rPr>
          <w:spacing w:val="40"/>
          <w:sz w:val="24"/>
        </w:rPr>
        <w:t> </w:t>
      </w:r>
      <w:r>
        <w:rPr>
          <w:sz w:val="24"/>
        </w:rPr>
        <w:t>shall</w:t>
      </w:r>
      <w:r>
        <w:rPr>
          <w:spacing w:val="80"/>
          <w:sz w:val="24"/>
        </w:rPr>
        <w:t> </w:t>
      </w:r>
      <w:r>
        <w:rPr>
          <w:sz w:val="24"/>
        </w:rPr>
        <w:t>be</w:t>
      </w:r>
      <w:r>
        <w:rPr>
          <w:spacing w:val="40"/>
          <w:sz w:val="24"/>
        </w:rPr>
        <w:t> </w:t>
      </w:r>
      <w:r>
        <w:rPr>
          <w:sz w:val="24"/>
        </w:rPr>
        <w:t>2.2</w:t>
      </w:r>
      <w:r>
        <w:rPr>
          <w:spacing w:val="80"/>
          <w:sz w:val="24"/>
        </w:rPr>
        <w:t> </w:t>
      </w:r>
      <w:r>
        <w:rPr>
          <w:sz w:val="24"/>
        </w:rPr>
        <w:t>m.</w:t>
      </w:r>
    </w:p>
    <w:p>
      <w:pPr>
        <w:pStyle w:val="ListParagraph"/>
        <w:numPr>
          <w:ilvl w:val="0"/>
          <w:numId w:val="278"/>
        </w:numPr>
        <w:tabs>
          <w:tab w:pos="1592" w:val="left" w:leader="none"/>
        </w:tabs>
        <w:spacing w:line="240" w:lineRule="auto" w:before="0" w:after="0"/>
        <w:ind w:left="1313" w:right="794" w:firstLine="0"/>
        <w:jc w:val="both"/>
        <w:rPr>
          <w:sz w:val="24"/>
        </w:rPr>
      </w:pPr>
      <w:r>
        <w:rPr>
          <w:sz w:val="24"/>
        </w:rPr>
        <w:t>A</w:t>
      </w:r>
      <w:r>
        <w:rPr>
          <w:spacing w:val="40"/>
          <w:sz w:val="24"/>
        </w:rPr>
        <w:t> </w:t>
      </w:r>
      <w:r>
        <w:rPr>
          <w:sz w:val="24"/>
        </w:rPr>
        <w:t>detectable</w:t>
      </w:r>
      <w:r>
        <w:rPr>
          <w:spacing w:val="40"/>
          <w:sz w:val="24"/>
        </w:rPr>
        <w:t> </w:t>
      </w:r>
      <w:r>
        <w:rPr>
          <w:sz w:val="24"/>
        </w:rPr>
        <w:t>guardrail</w:t>
      </w:r>
      <w:r>
        <w:rPr>
          <w:spacing w:val="40"/>
          <w:sz w:val="24"/>
        </w:rPr>
        <w:t> </w:t>
      </w:r>
      <w:r>
        <w:rPr>
          <w:sz w:val="24"/>
        </w:rPr>
        <w:t>or</w:t>
      </w:r>
      <w:r>
        <w:rPr>
          <w:spacing w:val="40"/>
          <w:sz w:val="24"/>
        </w:rPr>
        <w:t> </w:t>
      </w:r>
      <w:r>
        <w:rPr>
          <w:sz w:val="24"/>
        </w:rPr>
        <w:t>other</w:t>
      </w:r>
      <w:r>
        <w:rPr>
          <w:spacing w:val="40"/>
          <w:sz w:val="24"/>
        </w:rPr>
        <w:t> </w:t>
      </w:r>
      <w:r>
        <w:rPr>
          <w:sz w:val="24"/>
        </w:rPr>
        <w:t>barrier</w:t>
      </w:r>
      <w:r>
        <w:rPr>
          <w:spacing w:val="40"/>
          <w:sz w:val="24"/>
        </w:rPr>
        <w:t> </w:t>
      </w:r>
      <w:r>
        <w:rPr>
          <w:sz w:val="24"/>
        </w:rPr>
        <w:t>having</w:t>
      </w:r>
      <w:r>
        <w:rPr>
          <w:spacing w:val="40"/>
          <w:sz w:val="24"/>
        </w:rPr>
        <w:t> </w:t>
      </w:r>
      <w:r>
        <w:rPr>
          <w:sz w:val="24"/>
        </w:rPr>
        <w:t>its</w:t>
      </w:r>
      <w:r>
        <w:rPr>
          <w:spacing w:val="40"/>
          <w:sz w:val="24"/>
        </w:rPr>
        <w:t> </w:t>
      </w:r>
      <w:r>
        <w:rPr>
          <w:sz w:val="24"/>
        </w:rPr>
        <w:t>leading</w:t>
      </w:r>
      <w:r>
        <w:rPr>
          <w:spacing w:val="40"/>
          <w:sz w:val="24"/>
        </w:rPr>
        <w:t> </w:t>
      </w:r>
      <w:r>
        <w:rPr>
          <w:sz w:val="24"/>
        </w:rPr>
        <w:t>edge</w:t>
      </w:r>
      <w:r>
        <w:rPr>
          <w:spacing w:val="40"/>
          <w:sz w:val="24"/>
        </w:rPr>
        <w:t> </w:t>
      </w:r>
      <w:r>
        <w:rPr>
          <w:sz w:val="24"/>
        </w:rPr>
        <w:t>at</w:t>
      </w:r>
      <w:r>
        <w:rPr>
          <w:spacing w:val="40"/>
          <w:sz w:val="24"/>
        </w:rPr>
        <w:t> </w:t>
      </w:r>
      <w:r>
        <w:rPr>
          <w:sz w:val="24"/>
        </w:rPr>
        <w:t>or below</w:t>
      </w:r>
      <w:r>
        <w:rPr>
          <w:spacing w:val="34"/>
          <w:sz w:val="24"/>
        </w:rPr>
        <w:t> </w:t>
      </w:r>
      <w:r>
        <w:rPr>
          <w:sz w:val="24"/>
        </w:rPr>
        <w:t>0.580</w:t>
      </w:r>
      <w:r>
        <w:rPr>
          <w:spacing w:val="34"/>
          <w:sz w:val="24"/>
        </w:rPr>
        <w:t> </w:t>
      </w:r>
      <w:r>
        <w:rPr>
          <w:sz w:val="24"/>
        </w:rPr>
        <w:t>m</w:t>
      </w:r>
      <w:r>
        <w:rPr>
          <w:spacing w:val="34"/>
          <w:sz w:val="24"/>
        </w:rPr>
        <w:t> </w:t>
      </w:r>
      <w:r>
        <w:rPr>
          <w:sz w:val="24"/>
        </w:rPr>
        <w:t>from</w:t>
      </w:r>
      <w:r>
        <w:rPr>
          <w:spacing w:val="30"/>
          <w:sz w:val="24"/>
        </w:rPr>
        <w:t> </w:t>
      </w:r>
      <w:r>
        <w:rPr>
          <w:sz w:val="24"/>
        </w:rPr>
        <w:t>the</w:t>
      </w:r>
      <w:r>
        <w:rPr>
          <w:spacing w:val="34"/>
          <w:sz w:val="24"/>
        </w:rPr>
        <w:t> </w:t>
      </w:r>
      <w:r>
        <w:rPr>
          <w:sz w:val="24"/>
        </w:rPr>
        <w:t>floor</w:t>
      </w:r>
      <w:r>
        <w:rPr>
          <w:spacing w:val="30"/>
          <w:sz w:val="24"/>
        </w:rPr>
        <w:t> </w:t>
      </w:r>
      <w:r>
        <w:rPr>
          <w:sz w:val="24"/>
        </w:rPr>
        <w:t>level</w:t>
      </w:r>
      <w:r>
        <w:rPr>
          <w:spacing w:val="34"/>
          <w:sz w:val="24"/>
        </w:rPr>
        <w:t> </w:t>
      </w:r>
      <w:r>
        <w:rPr>
          <w:sz w:val="24"/>
        </w:rPr>
        <w:t>shall</w:t>
      </w:r>
      <w:r>
        <w:rPr>
          <w:spacing w:val="30"/>
          <w:sz w:val="24"/>
        </w:rPr>
        <w:t> </w:t>
      </w:r>
      <w:r>
        <w:rPr>
          <w:sz w:val="24"/>
        </w:rPr>
        <w:t>be</w:t>
      </w:r>
      <w:r>
        <w:rPr>
          <w:spacing w:val="34"/>
          <w:sz w:val="24"/>
        </w:rPr>
        <w:t> </w:t>
      </w:r>
      <w:r>
        <w:rPr>
          <w:sz w:val="24"/>
        </w:rPr>
        <w:t>provided</w:t>
      </w:r>
      <w:r>
        <w:rPr>
          <w:spacing w:val="34"/>
          <w:sz w:val="24"/>
        </w:rPr>
        <w:t> </w:t>
      </w:r>
      <w:r>
        <w:rPr>
          <w:sz w:val="24"/>
        </w:rPr>
        <w:t>where</w:t>
      </w:r>
      <w:r>
        <w:rPr>
          <w:spacing w:val="30"/>
          <w:sz w:val="24"/>
        </w:rPr>
        <w:t> </w:t>
      </w:r>
      <w:r>
        <w:rPr>
          <w:sz w:val="24"/>
        </w:rPr>
        <w:t>the</w:t>
      </w:r>
      <w:r>
        <w:rPr>
          <w:spacing w:val="34"/>
          <w:sz w:val="24"/>
        </w:rPr>
        <w:t> </w:t>
      </w:r>
      <w:r>
        <w:rPr>
          <w:sz w:val="24"/>
        </w:rPr>
        <w:t>head</w:t>
      </w:r>
      <w:r>
        <w:rPr>
          <w:spacing w:val="30"/>
          <w:sz w:val="24"/>
        </w:rPr>
        <w:t> </w:t>
      </w:r>
      <w:r>
        <w:rPr>
          <w:sz w:val="24"/>
        </w:rPr>
        <w:t>room of an area adjoining an accessible route is reduced to less than 2.2 m as shown</w:t>
      </w:r>
      <w:r>
        <w:rPr>
          <w:spacing w:val="40"/>
          <w:sz w:val="24"/>
        </w:rPr>
        <w:t> </w:t>
      </w:r>
      <w:r>
        <w:rPr>
          <w:sz w:val="24"/>
        </w:rPr>
        <w:t>in</w:t>
      </w:r>
      <w:r>
        <w:rPr>
          <w:spacing w:val="40"/>
          <w:sz w:val="24"/>
        </w:rPr>
        <w:t> </w:t>
      </w:r>
      <w:r>
        <w:rPr>
          <w:sz w:val="24"/>
        </w:rPr>
        <w:t>the</w:t>
      </w:r>
      <w:r>
        <w:rPr>
          <w:spacing w:val="40"/>
          <w:sz w:val="24"/>
        </w:rPr>
        <w:t> </w:t>
      </w:r>
      <w:r>
        <w:rPr>
          <w:sz w:val="24"/>
        </w:rPr>
        <w:t>Sketch</w:t>
      </w:r>
      <w:r>
        <w:rPr>
          <w:spacing w:val="40"/>
          <w:sz w:val="24"/>
        </w:rPr>
        <w:t> </w:t>
      </w:r>
      <w:r>
        <w:rPr>
          <w:sz w:val="24"/>
        </w:rPr>
        <w:t>No</w:t>
      </w:r>
      <w:r>
        <w:rPr>
          <w:spacing w:val="40"/>
          <w:sz w:val="24"/>
        </w:rPr>
        <w:t> </w:t>
      </w:r>
      <w:r>
        <w:rPr>
          <w:sz w:val="24"/>
        </w:rPr>
        <w:t>3</w:t>
      </w:r>
      <w:r>
        <w:rPr>
          <w:spacing w:val="40"/>
          <w:sz w:val="24"/>
        </w:rPr>
        <w:t> </w:t>
      </w:r>
      <w:r>
        <w:rPr>
          <w:sz w:val="24"/>
        </w:rPr>
        <w:t>in</w:t>
      </w:r>
      <w:r>
        <w:rPr>
          <w:spacing w:val="40"/>
          <w:sz w:val="24"/>
        </w:rPr>
        <w:t> </w:t>
      </w:r>
      <w:r>
        <w:rPr>
          <w:sz w:val="24"/>
        </w:rPr>
        <w:t>Annexure</w:t>
      </w:r>
      <w:r>
        <w:rPr>
          <w:spacing w:val="40"/>
          <w:sz w:val="24"/>
        </w:rPr>
        <w:t> </w:t>
      </w:r>
      <w:r>
        <w:rPr>
          <w:sz w:val="24"/>
        </w:rPr>
        <w:t>23</w:t>
      </w:r>
    </w:p>
    <w:p>
      <w:pPr>
        <w:pStyle w:val="ListParagraph"/>
        <w:numPr>
          <w:ilvl w:val="0"/>
          <w:numId w:val="278"/>
        </w:numPr>
        <w:tabs>
          <w:tab w:pos="1735" w:val="left" w:leader="none"/>
        </w:tabs>
        <w:spacing w:line="240" w:lineRule="auto" w:before="1" w:after="0"/>
        <w:ind w:left="1313" w:right="794" w:firstLine="0"/>
        <w:jc w:val="both"/>
        <w:rPr>
          <w:sz w:val="24"/>
        </w:rPr>
      </w:pPr>
      <w:r>
        <w:rPr>
          <w:sz w:val="24"/>
        </w:rPr>
        <w:t>The provision of Braille and high luminous contrast signs is recommended</w:t>
      </w:r>
      <w:r>
        <w:rPr>
          <w:spacing w:val="40"/>
          <w:sz w:val="24"/>
        </w:rPr>
        <w:t> </w:t>
      </w:r>
      <w:r>
        <w:rPr>
          <w:sz w:val="24"/>
        </w:rPr>
        <w:t>along</w:t>
      </w:r>
      <w:r>
        <w:rPr>
          <w:spacing w:val="40"/>
          <w:sz w:val="24"/>
        </w:rPr>
        <w:t> </w:t>
      </w:r>
      <w:r>
        <w:rPr>
          <w:sz w:val="24"/>
        </w:rPr>
        <w:t>with</w:t>
      </w:r>
      <w:r>
        <w:rPr>
          <w:spacing w:val="40"/>
          <w:sz w:val="24"/>
        </w:rPr>
        <w:t> </w:t>
      </w:r>
      <w:r>
        <w:rPr>
          <w:sz w:val="24"/>
        </w:rPr>
        <w:t>tactile</w:t>
      </w:r>
      <w:r>
        <w:rPr>
          <w:spacing w:val="80"/>
          <w:sz w:val="24"/>
        </w:rPr>
        <w:t> </w:t>
      </w:r>
      <w:r>
        <w:rPr>
          <w:sz w:val="24"/>
        </w:rPr>
        <w:t>guiding</w:t>
      </w:r>
      <w:r>
        <w:rPr>
          <w:spacing w:val="40"/>
          <w:sz w:val="24"/>
        </w:rPr>
        <w:t> </w:t>
      </w:r>
      <w:r>
        <w:rPr>
          <w:sz w:val="24"/>
        </w:rPr>
        <w:t>path</w:t>
      </w:r>
    </w:p>
    <w:p>
      <w:pPr>
        <w:pStyle w:val="ListParagraph"/>
        <w:numPr>
          <w:ilvl w:val="1"/>
          <w:numId w:val="264"/>
        </w:numPr>
        <w:tabs>
          <w:tab w:pos="2211" w:val="left" w:leader="none"/>
        </w:tabs>
        <w:spacing w:line="240" w:lineRule="auto" w:before="281" w:after="0"/>
        <w:ind w:left="1313" w:right="788" w:firstLine="0"/>
        <w:jc w:val="both"/>
        <w:rPr>
          <w:sz w:val="24"/>
        </w:rPr>
      </w:pPr>
      <w:r>
        <w:rPr>
          <w:sz w:val="24"/>
        </w:rPr>
        <w:t>Lifts-</w:t>
      </w:r>
      <w:r>
        <w:rPr>
          <w:spacing w:val="40"/>
          <w:sz w:val="24"/>
        </w:rPr>
        <w:t> </w:t>
      </w:r>
      <w:r>
        <w:rPr>
          <w:sz w:val="24"/>
        </w:rPr>
        <w:t>Wherever</w:t>
      </w:r>
      <w:r>
        <w:rPr>
          <w:spacing w:val="40"/>
          <w:sz w:val="24"/>
        </w:rPr>
        <w:t> </w:t>
      </w:r>
      <w:r>
        <w:rPr>
          <w:sz w:val="24"/>
        </w:rPr>
        <w:t>lift</w:t>
      </w:r>
      <w:r>
        <w:rPr>
          <w:spacing w:val="40"/>
          <w:sz w:val="24"/>
        </w:rPr>
        <w:t> </w:t>
      </w:r>
      <w:r>
        <w:rPr>
          <w:sz w:val="24"/>
        </w:rPr>
        <w:t>is</w:t>
      </w:r>
      <w:r>
        <w:rPr>
          <w:spacing w:val="40"/>
          <w:sz w:val="24"/>
        </w:rPr>
        <w:t> </w:t>
      </w:r>
      <w:r>
        <w:rPr>
          <w:sz w:val="24"/>
        </w:rPr>
        <w:t>required</w:t>
      </w:r>
      <w:r>
        <w:rPr>
          <w:spacing w:val="40"/>
          <w:sz w:val="24"/>
        </w:rPr>
        <w:t> </w:t>
      </w:r>
      <w:r>
        <w:rPr>
          <w:sz w:val="24"/>
        </w:rPr>
        <w:t>as</w:t>
      </w:r>
      <w:r>
        <w:rPr>
          <w:spacing w:val="40"/>
          <w:sz w:val="24"/>
        </w:rPr>
        <w:t> </w:t>
      </w:r>
      <w:r>
        <w:rPr>
          <w:sz w:val="24"/>
        </w:rPr>
        <w:t>per</w:t>
      </w:r>
      <w:r>
        <w:rPr>
          <w:spacing w:val="40"/>
          <w:sz w:val="24"/>
        </w:rPr>
        <w:t> </w:t>
      </w:r>
      <w:r>
        <w:rPr>
          <w:spacing w:val="11"/>
          <w:sz w:val="24"/>
        </w:rPr>
        <w:t>bye-</w:t>
      </w:r>
      <w:r>
        <w:rPr>
          <w:sz w:val="24"/>
        </w:rPr>
        <w:t>laws,</w:t>
      </w:r>
      <w:r>
        <w:rPr>
          <w:spacing w:val="40"/>
          <w:sz w:val="24"/>
        </w:rPr>
        <w:t> </w:t>
      </w:r>
      <w:r>
        <w:rPr>
          <w:sz w:val="24"/>
        </w:rPr>
        <w:t>provision</w:t>
      </w:r>
      <w:r>
        <w:rPr>
          <w:spacing w:val="40"/>
          <w:sz w:val="24"/>
        </w:rPr>
        <w:t> </w:t>
      </w:r>
      <w:r>
        <w:rPr>
          <w:sz w:val="24"/>
        </w:rPr>
        <w:t>of</w:t>
      </w:r>
      <w:r>
        <w:rPr>
          <w:spacing w:val="40"/>
          <w:sz w:val="24"/>
        </w:rPr>
        <w:t> </w:t>
      </w:r>
      <w:r>
        <w:rPr>
          <w:sz w:val="24"/>
        </w:rPr>
        <w:t>at least</w:t>
      </w:r>
      <w:r>
        <w:rPr>
          <w:spacing w:val="40"/>
          <w:sz w:val="24"/>
        </w:rPr>
        <w:t> </w:t>
      </w:r>
      <w:r>
        <w:rPr>
          <w:sz w:val="24"/>
        </w:rPr>
        <w:t>one</w:t>
      </w:r>
      <w:r>
        <w:rPr>
          <w:spacing w:val="40"/>
          <w:sz w:val="24"/>
        </w:rPr>
        <w:t> </w:t>
      </w:r>
      <w:r>
        <w:rPr>
          <w:sz w:val="24"/>
        </w:rPr>
        <w:t>lift</w:t>
      </w:r>
      <w:r>
        <w:rPr>
          <w:spacing w:val="40"/>
          <w:sz w:val="24"/>
        </w:rPr>
        <w:t> </w:t>
      </w:r>
      <w:r>
        <w:rPr>
          <w:sz w:val="24"/>
        </w:rPr>
        <w:t>shall</w:t>
      </w:r>
      <w:r>
        <w:rPr>
          <w:spacing w:val="40"/>
          <w:sz w:val="24"/>
        </w:rPr>
        <w:t> </w:t>
      </w:r>
      <w:r>
        <w:rPr>
          <w:sz w:val="24"/>
        </w:rPr>
        <w:t>be</w:t>
      </w:r>
      <w:r>
        <w:rPr>
          <w:spacing w:val="40"/>
          <w:sz w:val="24"/>
        </w:rPr>
        <w:t> </w:t>
      </w:r>
      <w:r>
        <w:rPr>
          <w:sz w:val="24"/>
        </w:rPr>
        <w:t>made</w:t>
      </w:r>
      <w:r>
        <w:rPr>
          <w:spacing w:val="40"/>
          <w:sz w:val="24"/>
        </w:rPr>
        <w:t> </w:t>
      </w:r>
      <w:r>
        <w:rPr>
          <w:sz w:val="24"/>
        </w:rPr>
        <w:t>for</w:t>
      </w:r>
      <w:r>
        <w:rPr>
          <w:spacing w:val="40"/>
          <w:sz w:val="24"/>
        </w:rPr>
        <w:t> </w:t>
      </w:r>
      <w:r>
        <w:rPr>
          <w:sz w:val="24"/>
        </w:rPr>
        <w:t>the</w:t>
      </w:r>
      <w:r>
        <w:rPr>
          <w:spacing w:val="40"/>
          <w:sz w:val="24"/>
        </w:rPr>
        <w:t> </w:t>
      </w:r>
      <w:r>
        <w:rPr>
          <w:sz w:val="24"/>
        </w:rPr>
        <w:t>wheel</w:t>
      </w:r>
      <w:r>
        <w:rPr>
          <w:spacing w:val="40"/>
          <w:sz w:val="24"/>
        </w:rPr>
        <w:t> </w:t>
      </w:r>
      <w:r>
        <w:rPr>
          <w:sz w:val="24"/>
        </w:rPr>
        <w:t>chair</w:t>
      </w:r>
      <w:r>
        <w:rPr>
          <w:spacing w:val="40"/>
          <w:sz w:val="24"/>
        </w:rPr>
        <w:t> </w:t>
      </w:r>
      <w:r>
        <w:rPr>
          <w:sz w:val="24"/>
        </w:rPr>
        <w:t>user</w:t>
      </w:r>
      <w:r>
        <w:rPr>
          <w:spacing w:val="40"/>
          <w:sz w:val="24"/>
        </w:rPr>
        <w:t> </w:t>
      </w:r>
      <w:r>
        <w:rPr>
          <w:sz w:val="24"/>
        </w:rPr>
        <w:t>with</w:t>
      </w:r>
      <w:r>
        <w:rPr>
          <w:spacing w:val="40"/>
          <w:sz w:val="24"/>
        </w:rPr>
        <w:t> </w:t>
      </w:r>
      <w:r>
        <w:rPr>
          <w:sz w:val="24"/>
        </w:rPr>
        <w:t>the</w:t>
      </w:r>
      <w:r>
        <w:rPr>
          <w:spacing w:val="40"/>
          <w:sz w:val="24"/>
        </w:rPr>
        <w:t> </w:t>
      </w:r>
      <w:r>
        <w:rPr>
          <w:sz w:val="24"/>
        </w:rPr>
        <w:t>following cage </w:t>
      </w:r>
      <w:r>
        <w:rPr>
          <w:spacing w:val="9"/>
          <w:sz w:val="24"/>
        </w:rPr>
        <w:t>dimensions:</w:t>
      </w:r>
    </w:p>
    <w:p>
      <w:pPr>
        <w:pStyle w:val="BodyText"/>
        <w:ind w:left="1313" w:right="6095"/>
      </w:pPr>
      <w:r>
        <w:rPr/>
        <w:t>Clear internal depth:</w:t>
      </w:r>
      <w:r>
        <w:rPr>
          <w:spacing w:val="80"/>
        </w:rPr>
        <w:t> </w:t>
      </w:r>
      <w:r>
        <w:rPr/>
        <w:t>1.2 m Clear internal width:</w:t>
      </w:r>
      <w:r>
        <w:rPr>
          <w:spacing w:val="80"/>
        </w:rPr>
        <w:t> </w:t>
      </w:r>
      <w:r>
        <w:rPr/>
        <w:t>1.4 m Entrance</w:t>
      </w:r>
      <w:r>
        <w:rPr>
          <w:spacing w:val="43"/>
        </w:rPr>
        <w:t> </w:t>
      </w:r>
      <w:r>
        <w:rPr/>
        <w:t>door</w:t>
      </w:r>
      <w:r>
        <w:rPr>
          <w:spacing w:val="43"/>
        </w:rPr>
        <w:t> </w:t>
      </w:r>
      <w:r>
        <w:rPr/>
        <w:t>width:</w:t>
      </w:r>
      <w:r>
        <w:rPr>
          <w:spacing w:val="42"/>
          <w:w w:val="150"/>
        </w:rPr>
        <w:t>   </w:t>
      </w:r>
      <w:r>
        <w:rPr/>
        <w:t>0.9</w:t>
      </w:r>
      <w:r>
        <w:rPr>
          <w:spacing w:val="43"/>
        </w:rPr>
        <w:t> </w:t>
      </w:r>
      <w:r>
        <w:rPr>
          <w:spacing w:val="-10"/>
        </w:rPr>
        <w:t>m</w:t>
      </w:r>
    </w:p>
    <w:p>
      <w:pPr>
        <w:pStyle w:val="BodyText"/>
        <w:spacing w:before="1"/>
        <w:jc w:val="left"/>
      </w:pPr>
    </w:p>
    <w:p>
      <w:pPr>
        <w:pStyle w:val="ListParagraph"/>
        <w:numPr>
          <w:ilvl w:val="0"/>
          <w:numId w:val="279"/>
        </w:numPr>
        <w:tabs>
          <w:tab w:pos="1639" w:val="left" w:leader="none"/>
        </w:tabs>
        <w:spacing w:line="240" w:lineRule="auto" w:before="1" w:after="0"/>
        <w:ind w:left="1313" w:right="797" w:firstLine="0"/>
        <w:jc w:val="both"/>
        <w:rPr>
          <w:sz w:val="24"/>
        </w:rPr>
      </w:pPr>
      <w:r>
        <w:rPr>
          <w:sz w:val="24"/>
        </w:rPr>
        <w:t>A</w:t>
      </w:r>
      <w:r>
        <w:rPr>
          <w:spacing w:val="40"/>
          <w:sz w:val="24"/>
        </w:rPr>
        <w:t> </w:t>
      </w:r>
      <w:r>
        <w:rPr>
          <w:sz w:val="24"/>
        </w:rPr>
        <w:t>hand</w:t>
      </w:r>
      <w:r>
        <w:rPr>
          <w:spacing w:val="40"/>
          <w:sz w:val="24"/>
        </w:rPr>
        <w:t> </w:t>
      </w:r>
      <w:r>
        <w:rPr>
          <w:sz w:val="24"/>
        </w:rPr>
        <w:t>rail</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0.6</w:t>
      </w:r>
      <w:r>
        <w:rPr>
          <w:spacing w:val="40"/>
          <w:sz w:val="24"/>
        </w:rPr>
        <w:t> </w:t>
      </w:r>
      <w:r>
        <w:rPr>
          <w:sz w:val="24"/>
        </w:rPr>
        <w:t>m</w:t>
      </w:r>
      <w:r>
        <w:rPr>
          <w:spacing w:val="40"/>
          <w:sz w:val="24"/>
        </w:rPr>
        <w:t> </w:t>
      </w:r>
      <w:r>
        <w:rPr>
          <w:sz w:val="24"/>
        </w:rPr>
        <w:t>long</w:t>
      </w:r>
      <w:r>
        <w:rPr>
          <w:spacing w:val="40"/>
          <w:sz w:val="24"/>
        </w:rPr>
        <w:t> </w:t>
      </w:r>
      <w:r>
        <w:rPr>
          <w:sz w:val="24"/>
        </w:rPr>
        <w:t>at</w:t>
      </w:r>
      <w:r>
        <w:rPr>
          <w:spacing w:val="40"/>
          <w:sz w:val="24"/>
        </w:rPr>
        <w:t> </w:t>
      </w:r>
      <w:r>
        <w:rPr>
          <w:sz w:val="24"/>
        </w:rPr>
        <w:t>1.0</w:t>
      </w:r>
      <w:r>
        <w:rPr>
          <w:spacing w:val="40"/>
          <w:sz w:val="24"/>
        </w:rPr>
        <w:t> </w:t>
      </w:r>
      <w:r>
        <w:rPr>
          <w:sz w:val="24"/>
        </w:rPr>
        <w:t>m</w:t>
      </w:r>
      <w:r>
        <w:rPr>
          <w:spacing w:val="40"/>
          <w:sz w:val="24"/>
        </w:rPr>
        <w:t> </w:t>
      </w:r>
      <w:r>
        <w:rPr>
          <w:sz w:val="24"/>
        </w:rPr>
        <w:t>above</w:t>
      </w:r>
      <w:r>
        <w:rPr>
          <w:spacing w:val="40"/>
          <w:sz w:val="24"/>
        </w:rPr>
        <w:t> </w:t>
      </w:r>
      <w:r>
        <w:rPr>
          <w:sz w:val="24"/>
        </w:rPr>
        <w:t>floor</w:t>
      </w:r>
      <w:r>
        <w:rPr>
          <w:spacing w:val="40"/>
          <w:sz w:val="24"/>
        </w:rPr>
        <w:t> </w:t>
      </w:r>
      <w:r>
        <w:rPr>
          <w:sz w:val="24"/>
        </w:rPr>
        <w:t>level</w:t>
      </w:r>
      <w:r>
        <w:rPr>
          <w:spacing w:val="40"/>
          <w:sz w:val="24"/>
        </w:rPr>
        <w:t> </w:t>
      </w:r>
      <w:r>
        <w:rPr>
          <w:sz w:val="24"/>
        </w:rPr>
        <w:t>shall be</w:t>
      </w:r>
      <w:r>
        <w:rPr>
          <w:spacing w:val="40"/>
          <w:sz w:val="24"/>
        </w:rPr>
        <w:t> </w:t>
      </w:r>
      <w:r>
        <w:rPr>
          <w:sz w:val="24"/>
        </w:rPr>
        <w:t>fixed</w:t>
      </w:r>
      <w:r>
        <w:rPr>
          <w:spacing w:val="40"/>
          <w:sz w:val="24"/>
        </w:rPr>
        <w:t> </w:t>
      </w:r>
      <w:r>
        <w:rPr>
          <w:sz w:val="24"/>
        </w:rPr>
        <w:t>adjacent</w:t>
      </w:r>
      <w:r>
        <w:rPr>
          <w:spacing w:val="40"/>
          <w:sz w:val="24"/>
        </w:rPr>
        <w:t> </w:t>
      </w:r>
      <w:r>
        <w:rPr>
          <w:sz w:val="24"/>
        </w:rPr>
        <w:t>to</w:t>
      </w:r>
      <w:r>
        <w:rPr>
          <w:spacing w:val="40"/>
          <w:sz w:val="24"/>
        </w:rPr>
        <w:t> </w:t>
      </w:r>
      <w:r>
        <w:rPr>
          <w:sz w:val="24"/>
        </w:rPr>
        <w:t>the</w:t>
      </w:r>
      <w:r>
        <w:rPr>
          <w:spacing w:val="40"/>
          <w:sz w:val="24"/>
        </w:rPr>
        <w:t> </w:t>
      </w:r>
      <w:r>
        <w:rPr>
          <w:sz w:val="24"/>
        </w:rPr>
        <w:t>control</w:t>
      </w:r>
      <w:r>
        <w:rPr>
          <w:spacing w:val="40"/>
          <w:sz w:val="24"/>
        </w:rPr>
        <w:t> </w:t>
      </w:r>
      <w:r>
        <w:rPr>
          <w:sz w:val="24"/>
        </w:rPr>
        <w:t>panel.</w:t>
      </w:r>
      <w:r>
        <w:rPr>
          <w:spacing w:val="40"/>
          <w:sz w:val="24"/>
        </w:rPr>
        <w:t> </w:t>
      </w:r>
      <w:r>
        <w:rPr>
          <w:sz w:val="24"/>
        </w:rPr>
        <w:t>Also,</w:t>
      </w:r>
      <w:r>
        <w:rPr>
          <w:spacing w:val="40"/>
          <w:sz w:val="24"/>
        </w:rPr>
        <w:t> </w:t>
      </w:r>
      <w:r>
        <w:rPr>
          <w:sz w:val="24"/>
        </w:rPr>
        <w:t>switch</w:t>
      </w:r>
      <w:r>
        <w:rPr>
          <w:spacing w:val="40"/>
          <w:sz w:val="24"/>
        </w:rPr>
        <w:t> </w:t>
      </w:r>
      <w:r>
        <w:rPr>
          <w:sz w:val="24"/>
        </w:rPr>
        <w:t>control</w:t>
      </w:r>
      <w:r>
        <w:rPr>
          <w:spacing w:val="40"/>
          <w:sz w:val="24"/>
        </w:rPr>
        <w:t> </w:t>
      </w:r>
      <w:r>
        <w:rPr>
          <w:sz w:val="24"/>
        </w:rPr>
        <w:t>/call</w:t>
      </w:r>
      <w:r>
        <w:rPr>
          <w:spacing w:val="40"/>
          <w:sz w:val="24"/>
        </w:rPr>
        <w:t> </w:t>
      </w:r>
      <w:r>
        <w:rPr>
          <w:sz w:val="24"/>
        </w:rPr>
        <w:t>button shall</w:t>
      </w:r>
      <w:r>
        <w:rPr>
          <w:spacing w:val="40"/>
          <w:sz w:val="24"/>
        </w:rPr>
        <w:t> </w:t>
      </w:r>
      <w:r>
        <w:rPr>
          <w:sz w:val="24"/>
        </w:rPr>
        <w:t>be</w:t>
      </w:r>
      <w:r>
        <w:rPr>
          <w:spacing w:val="40"/>
          <w:sz w:val="24"/>
        </w:rPr>
        <w:t> </w:t>
      </w:r>
      <w:r>
        <w:rPr>
          <w:sz w:val="24"/>
        </w:rPr>
        <w:t>at</w:t>
      </w:r>
      <w:r>
        <w:rPr>
          <w:spacing w:val="40"/>
          <w:sz w:val="24"/>
        </w:rPr>
        <w:t> </w:t>
      </w:r>
      <w:r>
        <w:rPr>
          <w:sz w:val="24"/>
        </w:rPr>
        <w:t>an</w:t>
      </w:r>
      <w:r>
        <w:rPr>
          <w:spacing w:val="40"/>
          <w:sz w:val="24"/>
        </w:rPr>
        <w:t> </w:t>
      </w:r>
      <w:r>
        <w:rPr>
          <w:sz w:val="24"/>
        </w:rPr>
        <w:t>operating</w:t>
      </w:r>
      <w:r>
        <w:rPr>
          <w:spacing w:val="40"/>
          <w:sz w:val="24"/>
        </w:rPr>
        <w:t> </w:t>
      </w:r>
      <w:r>
        <w:rPr>
          <w:sz w:val="24"/>
        </w:rPr>
        <w:t>height</w:t>
      </w:r>
      <w:r>
        <w:rPr>
          <w:spacing w:val="40"/>
          <w:sz w:val="24"/>
        </w:rPr>
        <w:t> </w:t>
      </w:r>
      <w:r>
        <w:rPr>
          <w:sz w:val="24"/>
        </w:rPr>
        <w:t>of</w:t>
      </w:r>
      <w:r>
        <w:rPr>
          <w:spacing w:val="40"/>
          <w:sz w:val="24"/>
        </w:rPr>
        <w:t> </w:t>
      </w:r>
      <w:r>
        <w:rPr>
          <w:sz w:val="24"/>
        </w:rPr>
        <w:t>0.9</w:t>
      </w:r>
      <w:r>
        <w:rPr>
          <w:spacing w:val="40"/>
          <w:sz w:val="24"/>
        </w:rPr>
        <w:t> </w:t>
      </w:r>
      <w:r>
        <w:rPr>
          <w:sz w:val="24"/>
        </w:rPr>
        <w:t>m</w:t>
      </w:r>
      <w:r>
        <w:rPr>
          <w:spacing w:val="40"/>
          <w:sz w:val="24"/>
        </w:rPr>
        <w:t> </w:t>
      </w:r>
      <w:r>
        <w:rPr>
          <w:sz w:val="24"/>
        </w:rPr>
        <w:t>to</w:t>
      </w:r>
      <w:r>
        <w:rPr>
          <w:spacing w:val="40"/>
          <w:sz w:val="24"/>
        </w:rPr>
        <w:t> </w:t>
      </w:r>
      <w:r>
        <w:rPr>
          <w:sz w:val="24"/>
        </w:rPr>
        <w:t>1.2</w:t>
      </w:r>
      <w:r>
        <w:rPr>
          <w:spacing w:val="40"/>
          <w:sz w:val="24"/>
        </w:rPr>
        <w:t> </w:t>
      </w:r>
      <w:r>
        <w:rPr>
          <w:sz w:val="24"/>
        </w:rPr>
        <w:t>m.</w:t>
      </w:r>
    </w:p>
    <w:p>
      <w:pPr>
        <w:pStyle w:val="ListParagraph"/>
        <w:numPr>
          <w:ilvl w:val="0"/>
          <w:numId w:val="279"/>
        </w:numPr>
        <w:tabs>
          <w:tab w:pos="1647" w:val="left" w:leader="none"/>
        </w:tabs>
        <w:spacing w:line="240" w:lineRule="auto" w:before="0" w:after="0"/>
        <w:ind w:left="1313" w:right="786" w:firstLine="0"/>
        <w:jc w:val="both"/>
        <w:rPr>
          <w:sz w:val="24"/>
        </w:rPr>
      </w:pPr>
      <w:r>
        <w:rPr>
          <w:sz w:val="24"/>
        </w:rPr>
        <w:t>The lift lobby shall be of an inside </w:t>
      </w:r>
      <w:r>
        <w:rPr>
          <w:spacing w:val="9"/>
          <w:sz w:val="24"/>
        </w:rPr>
        <w:t>measurement </w:t>
      </w:r>
      <w:r>
        <w:rPr>
          <w:sz w:val="24"/>
        </w:rPr>
        <w:t>of 1.8 m x 1.8 m or </w:t>
      </w:r>
      <w:r>
        <w:rPr>
          <w:spacing w:val="-2"/>
          <w:sz w:val="24"/>
        </w:rPr>
        <w:t>more.</w:t>
      </w:r>
    </w:p>
    <w:p>
      <w:pPr>
        <w:pStyle w:val="ListParagraph"/>
        <w:numPr>
          <w:ilvl w:val="0"/>
          <w:numId w:val="279"/>
        </w:numPr>
        <w:tabs>
          <w:tab w:pos="1676" w:val="left" w:leader="none"/>
        </w:tabs>
        <w:spacing w:line="240" w:lineRule="auto" w:before="0" w:after="0"/>
        <w:ind w:left="1313" w:right="802" w:firstLine="0"/>
        <w:jc w:val="both"/>
        <w:rPr>
          <w:sz w:val="24"/>
        </w:rPr>
      </w:pPr>
      <w:r>
        <w:rPr>
          <w:sz w:val="24"/>
        </w:rPr>
        <w:t>The</w:t>
      </w:r>
      <w:r>
        <w:rPr>
          <w:spacing w:val="40"/>
          <w:sz w:val="24"/>
        </w:rPr>
        <w:t> </w:t>
      </w:r>
      <w:r>
        <w:rPr>
          <w:sz w:val="24"/>
        </w:rPr>
        <w:t>time</w:t>
      </w:r>
      <w:r>
        <w:rPr>
          <w:spacing w:val="40"/>
          <w:sz w:val="24"/>
        </w:rPr>
        <w:t> </w:t>
      </w:r>
      <w:r>
        <w:rPr>
          <w:sz w:val="24"/>
        </w:rPr>
        <w:t>of</w:t>
      </w:r>
      <w:r>
        <w:rPr>
          <w:spacing w:val="40"/>
          <w:sz w:val="24"/>
        </w:rPr>
        <w:t> </w:t>
      </w:r>
      <w:r>
        <w:rPr>
          <w:sz w:val="24"/>
        </w:rPr>
        <w:t>an</w:t>
      </w:r>
      <w:r>
        <w:rPr>
          <w:spacing w:val="40"/>
          <w:sz w:val="24"/>
        </w:rPr>
        <w:t> </w:t>
      </w:r>
      <w:r>
        <w:rPr>
          <w:sz w:val="24"/>
        </w:rPr>
        <w:t>automatically</w:t>
      </w:r>
      <w:r>
        <w:rPr>
          <w:spacing w:val="40"/>
          <w:sz w:val="24"/>
        </w:rPr>
        <w:t> </w:t>
      </w:r>
      <w:r>
        <w:rPr>
          <w:sz w:val="24"/>
        </w:rPr>
        <w:t>closing</w:t>
      </w:r>
      <w:r>
        <w:rPr>
          <w:spacing w:val="40"/>
          <w:sz w:val="24"/>
        </w:rPr>
        <w:t> </w:t>
      </w:r>
      <w:r>
        <w:rPr>
          <w:sz w:val="24"/>
        </w:rPr>
        <w:t>door</w:t>
      </w:r>
      <w:r>
        <w:rPr>
          <w:spacing w:val="40"/>
          <w:sz w:val="24"/>
        </w:rPr>
        <w:t> </w:t>
      </w:r>
      <w:r>
        <w:rPr>
          <w:sz w:val="24"/>
        </w:rPr>
        <w:t>should</w:t>
      </w:r>
      <w:r>
        <w:rPr>
          <w:spacing w:val="40"/>
          <w:sz w:val="24"/>
        </w:rPr>
        <w:t> </w:t>
      </w:r>
      <w:r>
        <w:rPr>
          <w:sz w:val="24"/>
        </w:rPr>
        <w:t>be</w:t>
      </w:r>
      <w:r>
        <w:rPr>
          <w:spacing w:val="40"/>
          <w:sz w:val="24"/>
        </w:rPr>
        <w:t> </w:t>
      </w:r>
      <w:r>
        <w:rPr>
          <w:sz w:val="24"/>
        </w:rPr>
        <w:t>minimum</w:t>
      </w:r>
      <w:r>
        <w:rPr>
          <w:spacing w:val="40"/>
          <w:sz w:val="24"/>
        </w:rPr>
        <w:t> </w:t>
      </w:r>
      <w:r>
        <w:rPr>
          <w:sz w:val="24"/>
        </w:rPr>
        <w:t>5 second</w:t>
      </w:r>
      <w:r>
        <w:rPr>
          <w:spacing w:val="40"/>
          <w:sz w:val="24"/>
        </w:rPr>
        <w:t> </w:t>
      </w:r>
      <w:r>
        <w:rPr>
          <w:sz w:val="24"/>
        </w:rPr>
        <w:t>and</w:t>
      </w:r>
      <w:r>
        <w:rPr>
          <w:spacing w:val="40"/>
          <w:sz w:val="24"/>
        </w:rPr>
        <w:t> </w:t>
      </w:r>
      <w:r>
        <w:rPr>
          <w:sz w:val="24"/>
        </w:rPr>
        <w:t>the</w:t>
      </w:r>
      <w:r>
        <w:rPr>
          <w:spacing w:val="40"/>
          <w:sz w:val="24"/>
        </w:rPr>
        <w:t> </w:t>
      </w:r>
      <w:r>
        <w:rPr>
          <w:sz w:val="24"/>
        </w:rPr>
        <w:t>closing</w:t>
      </w:r>
      <w:r>
        <w:rPr>
          <w:spacing w:val="40"/>
          <w:sz w:val="24"/>
        </w:rPr>
        <w:t> </w:t>
      </w:r>
      <w:r>
        <w:rPr>
          <w:sz w:val="24"/>
        </w:rPr>
        <w:t>speed</w:t>
      </w:r>
      <w:r>
        <w:rPr>
          <w:spacing w:val="40"/>
          <w:sz w:val="24"/>
        </w:rPr>
        <w:t> </w:t>
      </w:r>
      <w:r>
        <w:rPr>
          <w:sz w:val="24"/>
        </w:rPr>
        <w:t>should</w:t>
      </w:r>
      <w:r>
        <w:rPr>
          <w:spacing w:val="40"/>
          <w:sz w:val="24"/>
        </w:rPr>
        <w:t> </w:t>
      </w:r>
      <w:r>
        <w:rPr>
          <w:sz w:val="24"/>
        </w:rPr>
        <w:t>not</w:t>
      </w:r>
      <w:r>
        <w:rPr>
          <w:spacing w:val="40"/>
          <w:sz w:val="24"/>
        </w:rPr>
        <w:t> </w:t>
      </w:r>
      <w:r>
        <w:rPr>
          <w:sz w:val="24"/>
        </w:rPr>
        <w:t>exceed</w:t>
      </w:r>
      <w:r>
        <w:rPr>
          <w:spacing w:val="40"/>
          <w:sz w:val="24"/>
        </w:rPr>
        <w:t> </w:t>
      </w:r>
      <w:r>
        <w:rPr>
          <w:sz w:val="24"/>
        </w:rPr>
        <w:t>0.25</w:t>
      </w:r>
      <w:r>
        <w:rPr>
          <w:spacing w:val="40"/>
          <w:sz w:val="24"/>
        </w:rPr>
        <w:t> </w:t>
      </w:r>
      <w:r>
        <w:rPr>
          <w:spacing w:val="9"/>
          <w:sz w:val="24"/>
        </w:rPr>
        <w:t>m/sec.</w:t>
      </w:r>
    </w:p>
    <w:p>
      <w:pPr>
        <w:pStyle w:val="ListParagraph"/>
        <w:numPr>
          <w:ilvl w:val="0"/>
          <w:numId w:val="279"/>
        </w:numPr>
        <w:tabs>
          <w:tab w:pos="1654" w:val="left" w:leader="none"/>
        </w:tabs>
        <w:spacing w:line="240" w:lineRule="auto" w:before="0" w:after="0"/>
        <w:ind w:left="1313" w:right="793" w:firstLine="0"/>
        <w:jc w:val="both"/>
        <w:rPr>
          <w:sz w:val="24"/>
        </w:rPr>
      </w:pPr>
      <w:r>
        <w:rPr>
          <w:sz w:val="24"/>
        </w:rPr>
        <w:t>The interior of the cage shall be provided with a device that audibly indicates</w:t>
      </w:r>
      <w:r>
        <w:rPr>
          <w:spacing w:val="40"/>
          <w:sz w:val="24"/>
        </w:rPr>
        <w:t> </w:t>
      </w:r>
      <w:r>
        <w:rPr>
          <w:sz w:val="24"/>
        </w:rPr>
        <w:t>the</w:t>
      </w:r>
      <w:r>
        <w:rPr>
          <w:spacing w:val="40"/>
          <w:sz w:val="24"/>
        </w:rPr>
        <w:t> </w:t>
      </w:r>
      <w:r>
        <w:rPr>
          <w:sz w:val="24"/>
        </w:rPr>
        <w:t>floor</w:t>
      </w:r>
      <w:r>
        <w:rPr>
          <w:spacing w:val="40"/>
          <w:sz w:val="24"/>
        </w:rPr>
        <w:t> </w:t>
      </w:r>
      <w:r>
        <w:rPr>
          <w:sz w:val="24"/>
        </w:rPr>
        <w:t>the</w:t>
      </w:r>
      <w:r>
        <w:rPr>
          <w:spacing w:val="40"/>
          <w:sz w:val="24"/>
        </w:rPr>
        <w:t> </w:t>
      </w:r>
      <w:r>
        <w:rPr>
          <w:sz w:val="24"/>
        </w:rPr>
        <w:t>cage</w:t>
      </w:r>
      <w:r>
        <w:rPr>
          <w:spacing w:val="40"/>
          <w:sz w:val="24"/>
        </w:rPr>
        <w:t> </w:t>
      </w:r>
      <w:r>
        <w:rPr>
          <w:sz w:val="24"/>
        </w:rPr>
        <w:t>has</w:t>
      </w:r>
      <w:r>
        <w:rPr>
          <w:spacing w:val="40"/>
          <w:sz w:val="24"/>
        </w:rPr>
        <w:t> </w:t>
      </w:r>
      <w:r>
        <w:rPr>
          <w:sz w:val="24"/>
        </w:rPr>
        <w:t>reached</w:t>
      </w:r>
      <w:r>
        <w:rPr>
          <w:spacing w:val="40"/>
          <w:sz w:val="24"/>
        </w:rPr>
        <w:t> </w:t>
      </w:r>
      <w:r>
        <w:rPr>
          <w:sz w:val="24"/>
        </w:rPr>
        <w:t>and</w:t>
      </w:r>
      <w:r>
        <w:rPr>
          <w:spacing w:val="40"/>
          <w:sz w:val="24"/>
        </w:rPr>
        <w:t> </w:t>
      </w:r>
      <w:r>
        <w:rPr>
          <w:sz w:val="24"/>
        </w:rPr>
        <w:t>indicates</w:t>
      </w:r>
      <w:r>
        <w:rPr>
          <w:spacing w:val="40"/>
          <w:sz w:val="24"/>
        </w:rPr>
        <w:t> </w:t>
      </w:r>
      <w:r>
        <w:rPr>
          <w:sz w:val="24"/>
        </w:rPr>
        <w:t>that</w:t>
      </w:r>
      <w:r>
        <w:rPr>
          <w:spacing w:val="40"/>
          <w:sz w:val="24"/>
        </w:rPr>
        <w:t> </w:t>
      </w:r>
      <w:r>
        <w:rPr>
          <w:sz w:val="24"/>
        </w:rPr>
        <w:t>the</w:t>
      </w:r>
      <w:r>
        <w:rPr>
          <w:spacing w:val="40"/>
          <w:sz w:val="24"/>
        </w:rPr>
        <w:t> </w:t>
      </w:r>
      <w:r>
        <w:rPr>
          <w:sz w:val="24"/>
        </w:rPr>
        <w:t>door</w:t>
      </w:r>
      <w:r>
        <w:rPr>
          <w:spacing w:val="40"/>
          <w:sz w:val="24"/>
        </w:rPr>
        <w:t> </w:t>
      </w:r>
      <w:r>
        <w:rPr>
          <w:sz w:val="24"/>
        </w:rPr>
        <w:t>of the</w:t>
      </w:r>
      <w:r>
        <w:rPr>
          <w:spacing w:val="40"/>
          <w:sz w:val="24"/>
        </w:rPr>
        <w:t> </w:t>
      </w:r>
      <w:r>
        <w:rPr>
          <w:sz w:val="24"/>
        </w:rPr>
        <w:t>cage</w:t>
      </w:r>
      <w:r>
        <w:rPr>
          <w:spacing w:val="40"/>
          <w:sz w:val="24"/>
        </w:rPr>
        <w:t> </w:t>
      </w:r>
      <w:r>
        <w:rPr>
          <w:sz w:val="24"/>
        </w:rPr>
        <w:t>for</w:t>
      </w:r>
      <w:r>
        <w:rPr>
          <w:spacing w:val="40"/>
          <w:sz w:val="24"/>
        </w:rPr>
        <w:t> </w:t>
      </w:r>
      <w:r>
        <w:rPr>
          <w:sz w:val="24"/>
        </w:rPr>
        <w:t>entrance/exit</w:t>
      </w:r>
      <w:r>
        <w:rPr>
          <w:spacing w:val="40"/>
          <w:sz w:val="24"/>
        </w:rPr>
        <w:t> </w:t>
      </w:r>
      <w:r>
        <w:rPr>
          <w:sz w:val="24"/>
        </w:rPr>
        <w:t>is</w:t>
      </w:r>
      <w:r>
        <w:rPr>
          <w:spacing w:val="40"/>
          <w:sz w:val="24"/>
        </w:rPr>
        <w:t> </w:t>
      </w:r>
      <w:r>
        <w:rPr>
          <w:sz w:val="24"/>
        </w:rPr>
        <w:t>either</w:t>
      </w:r>
      <w:r>
        <w:rPr>
          <w:spacing w:val="40"/>
          <w:sz w:val="24"/>
        </w:rPr>
        <w:t> </w:t>
      </w:r>
      <w:r>
        <w:rPr>
          <w:sz w:val="24"/>
        </w:rPr>
        <w:t>open</w:t>
      </w:r>
      <w:r>
        <w:rPr>
          <w:spacing w:val="40"/>
          <w:sz w:val="24"/>
        </w:rPr>
        <w:t> </w:t>
      </w:r>
      <w:r>
        <w:rPr>
          <w:sz w:val="24"/>
        </w:rPr>
        <w:t>or</w:t>
      </w:r>
      <w:r>
        <w:rPr>
          <w:spacing w:val="40"/>
          <w:sz w:val="24"/>
        </w:rPr>
        <w:t> </w:t>
      </w:r>
      <w:r>
        <w:rPr>
          <w:spacing w:val="9"/>
          <w:sz w:val="24"/>
        </w:rPr>
        <w:t>closed.</w:t>
      </w:r>
    </w:p>
    <w:p>
      <w:pPr>
        <w:pStyle w:val="ListParagraph"/>
        <w:numPr>
          <w:ilvl w:val="0"/>
          <w:numId w:val="279"/>
        </w:numPr>
        <w:tabs>
          <w:tab w:pos="1604" w:val="left" w:leader="none"/>
        </w:tabs>
        <w:spacing w:line="240" w:lineRule="auto" w:before="0" w:after="0"/>
        <w:ind w:left="1313" w:right="796" w:firstLine="0"/>
        <w:jc w:val="both"/>
        <w:rPr>
          <w:sz w:val="24"/>
        </w:rPr>
      </w:pPr>
      <w:r>
        <w:rPr>
          <w:sz w:val="24"/>
        </w:rPr>
        <w:t>The</w:t>
      </w:r>
      <w:r>
        <w:rPr>
          <w:spacing w:val="39"/>
          <w:sz w:val="24"/>
        </w:rPr>
        <w:t> </w:t>
      </w:r>
      <w:r>
        <w:rPr>
          <w:sz w:val="24"/>
        </w:rPr>
        <w:t>gap</w:t>
      </w:r>
      <w:r>
        <w:rPr>
          <w:spacing w:val="39"/>
          <w:sz w:val="24"/>
        </w:rPr>
        <w:t> </w:t>
      </w:r>
      <w:r>
        <w:rPr>
          <w:sz w:val="24"/>
        </w:rPr>
        <w:t>between</w:t>
      </w:r>
      <w:r>
        <w:rPr>
          <w:spacing w:val="40"/>
          <w:sz w:val="24"/>
        </w:rPr>
        <w:t> </w:t>
      </w:r>
      <w:r>
        <w:rPr>
          <w:sz w:val="24"/>
        </w:rPr>
        <w:t>the</w:t>
      </w:r>
      <w:r>
        <w:rPr>
          <w:spacing w:val="39"/>
          <w:sz w:val="24"/>
        </w:rPr>
        <w:t> </w:t>
      </w:r>
      <w:r>
        <w:rPr>
          <w:sz w:val="24"/>
        </w:rPr>
        <w:t>lift</w:t>
      </w:r>
      <w:r>
        <w:rPr>
          <w:spacing w:val="39"/>
          <w:sz w:val="24"/>
        </w:rPr>
        <w:t> </w:t>
      </w:r>
      <w:r>
        <w:rPr>
          <w:sz w:val="24"/>
        </w:rPr>
        <w:t>floor</w:t>
      </w:r>
      <w:r>
        <w:rPr>
          <w:spacing w:val="39"/>
          <w:sz w:val="24"/>
        </w:rPr>
        <w:t> </w:t>
      </w:r>
      <w:r>
        <w:rPr>
          <w:sz w:val="24"/>
        </w:rPr>
        <w:t>and</w:t>
      </w:r>
      <w:r>
        <w:rPr>
          <w:spacing w:val="39"/>
          <w:sz w:val="24"/>
        </w:rPr>
        <w:t> </w:t>
      </w:r>
      <w:r>
        <w:rPr>
          <w:sz w:val="24"/>
        </w:rPr>
        <w:t>floor</w:t>
      </w:r>
      <w:r>
        <w:rPr>
          <w:spacing w:val="39"/>
          <w:sz w:val="24"/>
        </w:rPr>
        <w:t> </w:t>
      </w:r>
      <w:r>
        <w:rPr>
          <w:sz w:val="24"/>
        </w:rPr>
        <w:t>landing</w:t>
      </w:r>
      <w:r>
        <w:rPr>
          <w:spacing w:val="39"/>
          <w:sz w:val="24"/>
        </w:rPr>
        <w:t> </w:t>
      </w:r>
      <w:r>
        <w:rPr>
          <w:sz w:val="24"/>
        </w:rPr>
        <w:t>shall</w:t>
      </w:r>
      <w:r>
        <w:rPr>
          <w:spacing w:val="40"/>
          <w:sz w:val="24"/>
        </w:rPr>
        <w:t> </w:t>
      </w:r>
      <w:r>
        <w:rPr>
          <w:sz w:val="24"/>
        </w:rPr>
        <w:t>not</w:t>
      </w:r>
      <w:r>
        <w:rPr>
          <w:spacing w:val="39"/>
          <w:sz w:val="24"/>
        </w:rPr>
        <w:t> </w:t>
      </w:r>
      <w:r>
        <w:rPr>
          <w:sz w:val="24"/>
        </w:rPr>
        <w:t>be</w:t>
      </w:r>
      <w:r>
        <w:rPr>
          <w:spacing w:val="39"/>
          <w:sz w:val="24"/>
        </w:rPr>
        <w:t> </w:t>
      </w:r>
      <w:r>
        <w:rPr>
          <w:sz w:val="24"/>
        </w:rPr>
        <w:t>more</w:t>
      </w:r>
      <w:r>
        <w:rPr>
          <w:spacing w:val="39"/>
          <w:sz w:val="24"/>
        </w:rPr>
        <w:t> </w:t>
      </w:r>
      <w:r>
        <w:rPr>
          <w:sz w:val="24"/>
        </w:rPr>
        <w:t>than 12 mm.</w:t>
      </w:r>
    </w:p>
    <w:p>
      <w:pPr>
        <w:pStyle w:val="ListParagraph"/>
        <w:numPr>
          <w:ilvl w:val="0"/>
          <w:numId w:val="279"/>
        </w:numPr>
        <w:tabs>
          <w:tab w:pos="1575" w:val="left" w:leader="none"/>
        </w:tabs>
        <w:spacing w:line="240" w:lineRule="auto" w:before="0" w:after="0"/>
        <w:ind w:left="1313" w:right="781" w:firstLine="0"/>
        <w:jc w:val="both"/>
        <w:rPr>
          <w:sz w:val="24"/>
        </w:rPr>
      </w:pPr>
      <w:r>
        <w:rPr>
          <w:sz w:val="24"/>
        </w:rPr>
        <w:t>Grab</w:t>
      </w:r>
      <w:r>
        <w:rPr>
          <w:spacing w:val="59"/>
          <w:sz w:val="24"/>
        </w:rPr>
        <w:t> </w:t>
      </w:r>
      <w:r>
        <w:rPr>
          <w:sz w:val="24"/>
        </w:rPr>
        <w:t>bars</w:t>
      </w:r>
      <w:r>
        <w:rPr>
          <w:spacing w:val="59"/>
          <w:sz w:val="24"/>
        </w:rPr>
        <w:t> </w:t>
      </w:r>
      <w:r>
        <w:rPr>
          <w:sz w:val="24"/>
        </w:rPr>
        <w:t>shall</w:t>
      </w:r>
      <w:r>
        <w:rPr>
          <w:spacing w:val="59"/>
          <w:sz w:val="24"/>
        </w:rPr>
        <w:t> </w:t>
      </w:r>
      <w:r>
        <w:rPr>
          <w:sz w:val="24"/>
        </w:rPr>
        <w:t>be</w:t>
      </w:r>
      <w:r>
        <w:rPr>
          <w:spacing w:val="56"/>
          <w:sz w:val="24"/>
        </w:rPr>
        <w:t> </w:t>
      </w:r>
      <w:r>
        <w:rPr>
          <w:sz w:val="24"/>
        </w:rPr>
        <w:t>placed</w:t>
      </w:r>
      <w:r>
        <w:rPr>
          <w:spacing w:val="56"/>
          <w:sz w:val="24"/>
        </w:rPr>
        <w:t> </w:t>
      </w:r>
      <w:r>
        <w:rPr>
          <w:sz w:val="24"/>
        </w:rPr>
        <w:t>on</w:t>
      </w:r>
      <w:r>
        <w:rPr>
          <w:spacing w:val="59"/>
          <w:sz w:val="24"/>
        </w:rPr>
        <w:t> </w:t>
      </w:r>
      <w:r>
        <w:rPr>
          <w:sz w:val="24"/>
        </w:rPr>
        <w:t>all</w:t>
      </w:r>
      <w:r>
        <w:rPr>
          <w:spacing w:val="59"/>
          <w:sz w:val="24"/>
        </w:rPr>
        <w:t> </w:t>
      </w:r>
      <w:r>
        <w:rPr>
          <w:sz w:val="24"/>
        </w:rPr>
        <w:t>three</w:t>
      </w:r>
      <w:r>
        <w:rPr>
          <w:spacing w:val="56"/>
          <w:sz w:val="24"/>
        </w:rPr>
        <w:t> </w:t>
      </w:r>
      <w:r>
        <w:rPr>
          <w:sz w:val="24"/>
        </w:rPr>
        <w:t>internal</w:t>
      </w:r>
      <w:r>
        <w:rPr>
          <w:spacing w:val="59"/>
          <w:sz w:val="24"/>
        </w:rPr>
        <w:t> </w:t>
      </w:r>
      <w:r>
        <w:rPr>
          <w:sz w:val="24"/>
        </w:rPr>
        <w:t>sides</w:t>
      </w:r>
      <w:r>
        <w:rPr>
          <w:spacing w:val="62"/>
          <w:sz w:val="24"/>
        </w:rPr>
        <w:t> </w:t>
      </w:r>
      <w:r>
        <w:rPr>
          <w:sz w:val="24"/>
        </w:rPr>
        <w:t>of</w:t>
      </w:r>
      <w:r>
        <w:rPr>
          <w:spacing w:val="56"/>
          <w:sz w:val="24"/>
        </w:rPr>
        <w:t> </w:t>
      </w:r>
      <w:r>
        <w:rPr>
          <w:sz w:val="24"/>
        </w:rPr>
        <w:t>the</w:t>
      </w:r>
      <w:r>
        <w:rPr>
          <w:spacing w:val="59"/>
          <w:sz w:val="24"/>
        </w:rPr>
        <w:t> </w:t>
      </w:r>
      <w:r>
        <w:rPr>
          <w:sz w:val="24"/>
        </w:rPr>
        <w:t>lift</w:t>
      </w:r>
      <w:r>
        <w:rPr>
          <w:spacing w:val="59"/>
          <w:sz w:val="24"/>
        </w:rPr>
        <w:t> </w:t>
      </w:r>
      <w:r>
        <w:rPr>
          <w:sz w:val="24"/>
        </w:rPr>
        <w:t>car</w:t>
      </w:r>
      <w:r>
        <w:rPr>
          <w:spacing w:val="59"/>
          <w:sz w:val="24"/>
        </w:rPr>
        <w:t> </w:t>
      </w:r>
      <w:r>
        <w:rPr>
          <w:sz w:val="24"/>
        </w:rPr>
        <w:t>at a</w:t>
      </w:r>
      <w:r>
        <w:rPr>
          <w:spacing w:val="40"/>
          <w:sz w:val="24"/>
        </w:rPr>
        <w:t> </w:t>
      </w:r>
      <w:r>
        <w:rPr>
          <w:sz w:val="24"/>
        </w:rPr>
        <w:t>height</w:t>
      </w:r>
      <w:r>
        <w:rPr>
          <w:spacing w:val="40"/>
          <w:sz w:val="24"/>
        </w:rPr>
        <w:t> </w:t>
      </w:r>
      <w:r>
        <w:rPr>
          <w:sz w:val="24"/>
        </w:rPr>
        <w:t>of</w:t>
      </w:r>
      <w:r>
        <w:rPr>
          <w:spacing w:val="40"/>
          <w:sz w:val="24"/>
        </w:rPr>
        <w:t> </w:t>
      </w:r>
      <w:r>
        <w:rPr>
          <w:sz w:val="24"/>
        </w:rPr>
        <w:t>0.9</w:t>
      </w:r>
      <w:r>
        <w:rPr>
          <w:spacing w:val="40"/>
          <w:sz w:val="24"/>
        </w:rPr>
        <w:t> </w:t>
      </w:r>
      <w:r>
        <w:rPr>
          <w:sz w:val="24"/>
        </w:rPr>
        <w:t>m</w:t>
      </w:r>
      <w:r>
        <w:rPr>
          <w:spacing w:val="40"/>
          <w:sz w:val="24"/>
        </w:rPr>
        <w:t> </w:t>
      </w:r>
      <w:r>
        <w:rPr>
          <w:sz w:val="24"/>
        </w:rPr>
        <w:t>from</w:t>
      </w:r>
      <w:r>
        <w:rPr>
          <w:spacing w:val="40"/>
          <w:sz w:val="24"/>
        </w:rPr>
        <w:t> </w:t>
      </w:r>
      <w:r>
        <w:rPr>
          <w:sz w:val="24"/>
        </w:rPr>
        <w:t>the</w:t>
      </w:r>
      <w:r>
        <w:rPr>
          <w:spacing w:val="40"/>
          <w:sz w:val="24"/>
        </w:rPr>
        <w:t> </w:t>
      </w:r>
      <w:r>
        <w:rPr>
          <w:sz w:val="24"/>
        </w:rPr>
        <w:t>finished</w:t>
      </w:r>
      <w:r>
        <w:rPr>
          <w:spacing w:val="40"/>
          <w:sz w:val="24"/>
        </w:rPr>
        <w:t> </w:t>
      </w:r>
      <w:r>
        <w:rPr>
          <w:sz w:val="24"/>
        </w:rPr>
        <w:t>floor</w:t>
      </w:r>
      <w:r>
        <w:rPr>
          <w:spacing w:val="40"/>
          <w:sz w:val="24"/>
        </w:rPr>
        <w:t> </w:t>
      </w:r>
      <w:r>
        <w:rPr>
          <w:sz w:val="24"/>
        </w:rPr>
        <w:t>level.</w:t>
      </w:r>
      <w:r>
        <w:rPr>
          <w:spacing w:val="40"/>
          <w:sz w:val="24"/>
        </w:rPr>
        <w:t> </w:t>
      </w:r>
      <w:r>
        <w:rPr>
          <w:sz w:val="24"/>
        </w:rPr>
        <w:t>Grab</w:t>
      </w:r>
      <w:r>
        <w:rPr>
          <w:spacing w:val="40"/>
          <w:sz w:val="24"/>
        </w:rPr>
        <w:t> </w:t>
      </w:r>
      <w:r>
        <w:rPr>
          <w:sz w:val="24"/>
        </w:rPr>
        <w:t>bars</w:t>
      </w:r>
      <w:r>
        <w:rPr>
          <w:spacing w:val="40"/>
          <w:sz w:val="24"/>
        </w:rPr>
        <w:t> </w:t>
      </w:r>
      <w:r>
        <w:rPr>
          <w:sz w:val="24"/>
        </w:rPr>
        <w:t>shall</w:t>
      </w:r>
      <w:r>
        <w:rPr>
          <w:spacing w:val="40"/>
          <w:sz w:val="24"/>
        </w:rPr>
        <w:t> </w:t>
      </w:r>
      <w:r>
        <w:rPr>
          <w:sz w:val="24"/>
        </w:rPr>
        <w:t>not</w:t>
      </w:r>
      <w:r>
        <w:rPr>
          <w:spacing w:val="40"/>
          <w:sz w:val="24"/>
        </w:rPr>
        <w:t> </w:t>
      </w:r>
      <w:r>
        <w:rPr>
          <w:sz w:val="24"/>
        </w:rPr>
        <w:t>have</w:t>
      </w:r>
      <w:r>
        <w:rPr>
          <w:spacing w:val="40"/>
          <w:sz w:val="24"/>
        </w:rPr>
        <w:t> </w:t>
      </w:r>
      <w:r>
        <w:rPr>
          <w:sz w:val="24"/>
        </w:rPr>
        <w:t>a</w:t>
      </w:r>
      <w:r>
        <w:rPr>
          <w:spacing w:val="40"/>
          <w:sz w:val="24"/>
        </w:rPr>
        <w:t> </w:t>
      </w:r>
      <w:r>
        <w:rPr>
          <w:sz w:val="24"/>
        </w:rPr>
        <w:t>gap</w:t>
      </w:r>
      <w:r>
        <w:rPr>
          <w:spacing w:val="40"/>
          <w:sz w:val="24"/>
        </w:rPr>
        <w:t> </w:t>
      </w:r>
      <w:r>
        <w:rPr>
          <w:sz w:val="24"/>
        </w:rPr>
        <w:t>of</w:t>
      </w:r>
      <w:r>
        <w:rPr>
          <w:spacing w:val="40"/>
          <w:sz w:val="24"/>
        </w:rPr>
        <w:t> </w:t>
      </w:r>
      <w:r>
        <w:rPr>
          <w:sz w:val="24"/>
        </w:rPr>
        <w:t>wider</w:t>
      </w:r>
      <w:r>
        <w:rPr>
          <w:spacing w:val="40"/>
          <w:sz w:val="24"/>
        </w:rPr>
        <w:t> </w:t>
      </w:r>
      <w:r>
        <w:rPr>
          <w:sz w:val="24"/>
        </w:rPr>
        <w:t>than</w:t>
      </w:r>
      <w:r>
        <w:rPr>
          <w:spacing w:val="40"/>
          <w:sz w:val="24"/>
        </w:rPr>
        <w:t> </w:t>
      </w:r>
      <w:r>
        <w:rPr>
          <w:sz w:val="24"/>
        </w:rPr>
        <w:t>0.15</w:t>
      </w:r>
      <w:r>
        <w:rPr>
          <w:spacing w:val="40"/>
          <w:sz w:val="24"/>
        </w:rPr>
        <w:t> </w:t>
      </w:r>
      <w:r>
        <w:rPr>
          <w:sz w:val="24"/>
        </w:rPr>
        <w:t>m</w:t>
      </w:r>
      <w:r>
        <w:rPr>
          <w:spacing w:val="40"/>
          <w:sz w:val="24"/>
        </w:rPr>
        <w:t> </w:t>
      </w:r>
      <w:r>
        <w:rPr>
          <w:sz w:val="24"/>
        </w:rPr>
        <w:t>at</w:t>
      </w:r>
      <w:r>
        <w:rPr>
          <w:spacing w:val="40"/>
          <w:sz w:val="24"/>
        </w:rPr>
        <w:t> </w:t>
      </w:r>
      <w:r>
        <w:rPr>
          <w:sz w:val="24"/>
        </w:rPr>
        <w:t>the</w:t>
      </w:r>
      <w:r>
        <w:rPr>
          <w:spacing w:val="40"/>
          <w:sz w:val="24"/>
        </w:rPr>
        <w:t> </w:t>
      </w:r>
      <w:r>
        <w:rPr>
          <w:sz w:val="24"/>
        </w:rPr>
        <w:t>corners</w:t>
      </w:r>
      <w:r>
        <w:rPr>
          <w:spacing w:val="40"/>
          <w:sz w:val="24"/>
        </w:rPr>
        <w:t> </w:t>
      </w:r>
      <w:r>
        <w:rPr>
          <w:sz w:val="24"/>
        </w:rPr>
        <w:t>as</w:t>
      </w:r>
      <w:r>
        <w:rPr>
          <w:spacing w:val="40"/>
          <w:sz w:val="24"/>
        </w:rPr>
        <w:t> </w:t>
      </w:r>
      <w:r>
        <w:rPr>
          <w:sz w:val="24"/>
        </w:rPr>
        <w:t>shown</w:t>
      </w:r>
      <w:r>
        <w:rPr>
          <w:spacing w:val="40"/>
          <w:sz w:val="24"/>
        </w:rPr>
        <w:t> </w:t>
      </w:r>
      <w:r>
        <w:rPr>
          <w:sz w:val="24"/>
        </w:rPr>
        <w:t>in</w:t>
      </w:r>
      <w:r>
        <w:rPr>
          <w:spacing w:val="40"/>
          <w:sz w:val="24"/>
        </w:rPr>
        <w:t> </w:t>
      </w:r>
      <w:r>
        <w:rPr>
          <w:sz w:val="24"/>
        </w:rPr>
        <w:t>the</w:t>
      </w:r>
      <w:r>
        <w:rPr>
          <w:spacing w:val="40"/>
          <w:sz w:val="24"/>
        </w:rPr>
        <w:t> </w:t>
      </w:r>
      <w:r>
        <w:rPr>
          <w:sz w:val="24"/>
        </w:rPr>
        <w:t>Sketch</w:t>
      </w:r>
      <w:r>
        <w:rPr>
          <w:spacing w:val="40"/>
          <w:sz w:val="24"/>
        </w:rPr>
        <w:t> </w:t>
      </w:r>
      <w:r>
        <w:rPr>
          <w:sz w:val="24"/>
        </w:rPr>
        <w:t>No</w:t>
      </w:r>
      <w:r>
        <w:rPr>
          <w:spacing w:val="40"/>
          <w:sz w:val="24"/>
        </w:rPr>
        <w:t> </w:t>
      </w:r>
      <w:r>
        <w:rPr>
          <w:sz w:val="24"/>
        </w:rPr>
        <w:t>4 in Annexure 23.</w:t>
      </w:r>
    </w:p>
    <w:p>
      <w:pPr>
        <w:pStyle w:val="ListParagraph"/>
        <w:numPr>
          <w:ilvl w:val="0"/>
          <w:numId w:val="279"/>
        </w:numPr>
        <w:tabs>
          <w:tab w:pos="1619" w:val="left" w:leader="none"/>
        </w:tabs>
        <w:spacing w:line="240" w:lineRule="auto" w:before="0" w:after="0"/>
        <w:ind w:left="1619" w:right="0" w:hanging="306"/>
        <w:jc w:val="both"/>
        <w:rPr>
          <w:sz w:val="24"/>
        </w:rPr>
      </w:pPr>
      <w:r>
        <w:rPr>
          <w:sz w:val="24"/>
        </w:rPr>
        <w:t>Audio</w:t>
      </w:r>
      <w:r>
        <w:rPr>
          <w:spacing w:val="59"/>
          <w:sz w:val="24"/>
        </w:rPr>
        <w:t> </w:t>
      </w:r>
      <w:r>
        <w:rPr>
          <w:sz w:val="24"/>
        </w:rPr>
        <w:t>announcement</w:t>
      </w:r>
      <w:r>
        <w:rPr>
          <w:spacing w:val="57"/>
          <w:sz w:val="24"/>
        </w:rPr>
        <w:t> </w:t>
      </w:r>
      <w:r>
        <w:rPr>
          <w:sz w:val="24"/>
        </w:rPr>
        <w:t>system</w:t>
      </w:r>
      <w:r>
        <w:rPr>
          <w:spacing w:val="58"/>
          <w:sz w:val="24"/>
        </w:rPr>
        <w:t> </w:t>
      </w:r>
      <w:r>
        <w:rPr>
          <w:sz w:val="24"/>
        </w:rPr>
        <w:t>in</w:t>
      </w:r>
      <w:r>
        <w:rPr>
          <w:spacing w:val="59"/>
          <w:sz w:val="24"/>
        </w:rPr>
        <w:t> </w:t>
      </w:r>
      <w:r>
        <w:rPr>
          <w:sz w:val="24"/>
        </w:rPr>
        <w:t>lift</w:t>
      </w:r>
      <w:r>
        <w:rPr>
          <w:spacing w:val="60"/>
          <w:sz w:val="24"/>
        </w:rPr>
        <w:t> </w:t>
      </w:r>
      <w:r>
        <w:rPr>
          <w:sz w:val="24"/>
        </w:rPr>
        <w:t>shall</w:t>
      </w:r>
      <w:r>
        <w:rPr>
          <w:spacing w:val="57"/>
          <w:sz w:val="24"/>
        </w:rPr>
        <w:t> </w:t>
      </w:r>
      <w:r>
        <w:rPr>
          <w:sz w:val="24"/>
        </w:rPr>
        <w:t>be</w:t>
      </w:r>
      <w:r>
        <w:rPr>
          <w:spacing w:val="58"/>
          <w:sz w:val="24"/>
        </w:rPr>
        <w:t> </w:t>
      </w:r>
      <w:r>
        <w:rPr>
          <w:spacing w:val="7"/>
          <w:sz w:val="24"/>
        </w:rPr>
        <w:t>provided.</w:t>
      </w:r>
    </w:p>
    <w:p>
      <w:pPr>
        <w:pStyle w:val="ListParagraph"/>
        <w:spacing w:after="0" w:line="240" w:lineRule="auto"/>
        <w:jc w:val="both"/>
        <w:rPr>
          <w:sz w:val="24"/>
        </w:rPr>
        <w:sectPr>
          <w:pgSz w:w="11910" w:h="16840"/>
          <w:pgMar w:header="1058" w:footer="1201" w:top="1500" w:bottom="1400" w:left="360" w:right="360"/>
        </w:sectPr>
      </w:pPr>
    </w:p>
    <w:p>
      <w:pPr>
        <w:pStyle w:val="ListParagraph"/>
        <w:numPr>
          <w:ilvl w:val="1"/>
          <w:numId w:val="264"/>
        </w:numPr>
        <w:tabs>
          <w:tab w:pos="2211" w:val="left" w:leader="none"/>
        </w:tabs>
        <w:spacing w:line="240" w:lineRule="auto" w:before="255" w:after="0"/>
        <w:ind w:left="1313" w:right="779" w:firstLine="0"/>
        <w:jc w:val="both"/>
        <w:rPr>
          <w:sz w:val="24"/>
        </w:rPr>
      </w:pPr>
      <w:r>
        <w:rPr>
          <w:sz w:val="24"/>
        </w:rPr>
        <w:t>Toilets-</w:t>
      </w:r>
      <w:r>
        <w:rPr>
          <w:spacing w:val="40"/>
          <w:sz w:val="24"/>
        </w:rPr>
        <w:t> </w:t>
      </w:r>
      <w:r>
        <w:rPr>
          <w:sz w:val="24"/>
        </w:rPr>
        <w:t>One special</w:t>
      </w:r>
      <w:r>
        <w:rPr>
          <w:spacing w:val="40"/>
          <w:sz w:val="24"/>
        </w:rPr>
        <w:t> </w:t>
      </w:r>
      <w:r>
        <w:rPr>
          <w:sz w:val="24"/>
        </w:rPr>
        <w:t>W.C.</w:t>
      </w:r>
      <w:r>
        <w:rPr>
          <w:spacing w:val="40"/>
          <w:sz w:val="24"/>
        </w:rPr>
        <w:t> </w:t>
      </w:r>
      <w:r>
        <w:rPr>
          <w:sz w:val="24"/>
        </w:rPr>
        <w:t>in a set</w:t>
      </w:r>
      <w:r>
        <w:rPr>
          <w:spacing w:val="40"/>
          <w:sz w:val="24"/>
        </w:rPr>
        <w:t> </w:t>
      </w:r>
      <w:r>
        <w:rPr>
          <w:sz w:val="24"/>
        </w:rPr>
        <w:t>of</w:t>
      </w:r>
      <w:r>
        <w:rPr>
          <w:spacing w:val="40"/>
          <w:sz w:val="24"/>
        </w:rPr>
        <w:t> </w:t>
      </w:r>
      <w:r>
        <w:rPr>
          <w:sz w:val="24"/>
        </w:rPr>
        <w:t>toilet</w:t>
      </w:r>
      <w:r>
        <w:rPr>
          <w:spacing w:val="40"/>
          <w:sz w:val="24"/>
        </w:rPr>
        <w:t> </w:t>
      </w:r>
      <w:r>
        <w:rPr>
          <w:sz w:val="24"/>
        </w:rPr>
        <w:t>with </w:t>
      </w:r>
      <w:r>
        <w:rPr>
          <w:spacing w:val="10"/>
          <w:sz w:val="24"/>
        </w:rPr>
        <w:t>non-</w:t>
      </w:r>
      <w:r>
        <w:rPr>
          <w:sz w:val="24"/>
        </w:rPr>
        <w:t>skid</w:t>
      </w:r>
      <w:r>
        <w:rPr>
          <w:spacing w:val="40"/>
          <w:sz w:val="24"/>
        </w:rPr>
        <w:t> </w:t>
      </w:r>
      <w:r>
        <w:rPr>
          <w:sz w:val="24"/>
        </w:rPr>
        <w:t>surface shall</w:t>
      </w:r>
      <w:r>
        <w:rPr>
          <w:spacing w:val="40"/>
          <w:sz w:val="24"/>
        </w:rPr>
        <w:t> </w:t>
      </w:r>
      <w:r>
        <w:rPr>
          <w:sz w:val="24"/>
        </w:rPr>
        <w:t>be</w:t>
      </w:r>
      <w:r>
        <w:rPr>
          <w:spacing w:val="40"/>
          <w:sz w:val="24"/>
        </w:rPr>
        <w:t> </w:t>
      </w:r>
      <w:r>
        <w:rPr>
          <w:sz w:val="24"/>
        </w:rPr>
        <w:t>provided</w:t>
      </w:r>
      <w:r>
        <w:rPr>
          <w:spacing w:val="40"/>
          <w:sz w:val="24"/>
        </w:rPr>
        <w:t> </w:t>
      </w:r>
      <w:r>
        <w:rPr>
          <w:sz w:val="24"/>
        </w:rPr>
        <w:t>for</w:t>
      </w:r>
      <w:r>
        <w:rPr>
          <w:spacing w:val="40"/>
          <w:sz w:val="24"/>
        </w:rPr>
        <w:t> </w:t>
      </w:r>
      <w:r>
        <w:rPr>
          <w:sz w:val="24"/>
        </w:rPr>
        <w:t>the</w:t>
      </w:r>
      <w:r>
        <w:rPr>
          <w:spacing w:val="40"/>
          <w:sz w:val="24"/>
        </w:rPr>
        <w:t> </w:t>
      </w:r>
      <w:r>
        <w:rPr>
          <w:sz w:val="24"/>
        </w:rPr>
        <w:t>use</w:t>
      </w:r>
      <w:r>
        <w:rPr>
          <w:spacing w:val="40"/>
          <w:sz w:val="24"/>
        </w:rPr>
        <w:t> </w:t>
      </w:r>
      <w:r>
        <w:rPr>
          <w:sz w:val="24"/>
        </w:rPr>
        <w:t>by</w:t>
      </w:r>
      <w:r>
        <w:rPr>
          <w:spacing w:val="40"/>
          <w:sz w:val="24"/>
        </w:rPr>
        <w:t> </w:t>
      </w:r>
      <w:r>
        <w:rPr>
          <w:sz w:val="24"/>
        </w:rPr>
        <w:t>the</w:t>
      </w:r>
      <w:r>
        <w:rPr>
          <w:spacing w:val="40"/>
          <w:sz w:val="24"/>
        </w:rPr>
        <w:t> </w:t>
      </w:r>
      <w:r>
        <w:rPr>
          <w:sz w:val="24"/>
        </w:rPr>
        <w:t>Differently</w:t>
      </w:r>
      <w:r>
        <w:rPr>
          <w:spacing w:val="40"/>
          <w:sz w:val="24"/>
        </w:rPr>
        <w:t> </w:t>
      </w:r>
      <w:r>
        <w:rPr>
          <w:sz w:val="24"/>
        </w:rPr>
        <w:t>abled</w:t>
      </w:r>
      <w:r>
        <w:rPr>
          <w:spacing w:val="40"/>
          <w:sz w:val="24"/>
        </w:rPr>
        <w:t> </w:t>
      </w:r>
      <w:r>
        <w:rPr>
          <w:sz w:val="24"/>
        </w:rPr>
        <w:t>persons</w:t>
      </w:r>
      <w:r>
        <w:rPr>
          <w:spacing w:val="40"/>
          <w:sz w:val="24"/>
        </w:rPr>
        <w:t> </w:t>
      </w:r>
      <w:r>
        <w:rPr>
          <w:sz w:val="24"/>
        </w:rPr>
        <w:t>with essential</w:t>
      </w:r>
      <w:r>
        <w:rPr>
          <w:spacing w:val="40"/>
          <w:sz w:val="24"/>
        </w:rPr>
        <w:t> </w:t>
      </w:r>
      <w:r>
        <w:rPr>
          <w:sz w:val="24"/>
        </w:rPr>
        <w:t>provision</w:t>
      </w:r>
      <w:r>
        <w:rPr>
          <w:spacing w:val="40"/>
          <w:sz w:val="24"/>
        </w:rPr>
        <w:t> </w:t>
      </w:r>
      <w:r>
        <w:rPr>
          <w:sz w:val="24"/>
        </w:rPr>
        <w:t>of</w:t>
      </w:r>
      <w:r>
        <w:rPr>
          <w:spacing w:val="40"/>
          <w:sz w:val="24"/>
        </w:rPr>
        <w:t> </w:t>
      </w:r>
      <w:r>
        <w:rPr>
          <w:sz w:val="24"/>
        </w:rPr>
        <w:t>wash</w:t>
      </w:r>
      <w:r>
        <w:rPr>
          <w:spacing w:val="40"/>
          <w:sz w:val="24"/>
        </w:rPr>
        <w:t> </w:t>
      </w:r>
      <w:r>
        <w:rPr>
          <w:sz w:val="24"/>
        </w:rPr>
        <w:t>basin</w:t>
      </w:r>
      <w:r>
        <w:rPr>
          <w:spacing w:val="40"/>
          <w:sz w:val="24"/>
        </w:rPr>
        <w:t> </w:t>
      </w:r>
      <w:r>
        <w:rPr>
          <w:sz w:val="24"/>
        </w:rPr>
        <w:t>near</w:t>
      </w:r>
      <w:r>
        <w:rPr>
          <w:spacing w:val="40"/>
          <w:sz w:val="24"/>
        </w:rPr>
        <w:t> </w:t>
      </w:r>
      <w:r>
        <w:rPr>
          <w:sz w:val="24"/>
        </w:rPr>
        <w:t>the</w:t>
      </w:r>
      <w:r>
        <w:rPr>
          <w:spacing w:val="80"/>
          <w:sz w:val="24"/>
        </w:rPr>
        <w:t> </w:t>
      </w:r>
      <w:r>
        <w:rPr>
          <w:sz w:val="24"/>
        </w:rPr>
        <w:t>entrance:</w:t>
      </w:r>
      <w:r>
        <w:rPr>
          <w:spacing w:val="40"/>
          <w:sz w:val="24"/>
        </w:rPr>
        <w:t> </w:t>
      </w:r>
      <w:r>
        <w:rPr>
          <w:sz w:val="24"/>
        </w:rPr>
        <w:t>-</w:t>
      </w:r>
    </w:p>
    <w:p>
      <w:pPr>
        <w:pStyle w:val="ListParagraph"/>
        <w:numPr>
          <w:ilvl w:val="0"/>
          <w:numId w:val="280"/>
        </w:numPr>
        <w:tabs>
          <w:tab w:pos="1852" w:val="left" w:leader="none"/>
        </w:tabs>
        <w:spacing w:line="281" w:lineRule="exact" w:before="2" w:after="0"/>
        <w:ind w:left="1852" w:right="0" w:hanging="539"/>
        <w:jc w:val="both"/>
        <w:rPr>
          <w:sz w:val="24"/>
        </w:rPr>
      </w:pPr>
      <w:r>
        <w:rPr>
          <w:sz w:val="24"/>
        </w:rPr>
        <w:t>The</w:t>
      </w:r>
      <w:r>
        <w:rPr>
          <w:spacing w:val="39"/>
          <w:sz w:val="24"/>
        </w:rPr>
        <w:t> </w:t>
      </w:r>
      <w:r>
        <w:rPr>
          <w:sz w:val="24"/>
        </w:rPr>
        <w:t>minimum</w:t>
      </w:r>
      <w:r>
        <w:rPr>
          <w:spacing w:val="39"/>
          <w:sz w:val="24"/>
        </w:rPr>
        <w:t> </w:t>
      </w:r>
      <w:r>
        <w:rPr>
          <w:sz w:val="24"/>
        </w:rPr>
        <w:t>size</w:t>
      </w:r>
      <w:r>
        <w:rPr>
          <w:spacing w:val="43"/>
          <w:sz w:val="24"/>
        </w:rPr>
        <w:t> </w:t>
      </w:r>
      <w:r>
        <w:rPr>
          <w:sz w:val="24"/>
        </w:rPr>
        <w:t>shall</w:t>
      </w:r>
      <w:r>
        <w:rPr>
          <w:spacing w:val="40"/>
          <w:sz w:val="24"/>
        </w:rPr>
        <w:t> </w:t>
      </w:r>
      <w:r>
        <w:rPr>
          <w:sz w:val="24"/>
        </w:rPr>
        <w:t>be</w:t>
      </w:r>
      <w:r>
        <w:rPr>
          <w:spacing w:val="43"/>
          <w:sz w:val="24"/>
        </w:rPr>
        <w:t> </w:t>
      </w:r>
      <w:r>
        <w:rPr>
          <w:sz w:val="24"/>
        </w:rPr>
        <w:t>1.5</w:t>
      </w:r>
      <w:r>
        <w:rPr>
          <w:spacing w:val="39"/>
          <w:sz w:val="24"/>
        </w:rPr>
        <w:t> </w:t>
      </w:r>
      <w:r>
        <w:rPr>
          <w:sz w:val="24"/>
        </w:rPr>
        <w:t>m</w:t>
      </w:r>
      <w:r>
        <w:rPr>
          <w:spacing w:val="43"/>
          <w:sz w:val="24"/>
        </w:rPr>
        <w:t> </w:t>
      </w:r>
      <w:r>
        <w:rPr>
          <w:sz w:val="24"/>
        </w:rPr>
        <w:t>x</w:t>
      </w:r>
      <w:r>
        <w:rPr>
          <w:spacing w:val="39"/>
          <w:sz w:val="24"/>
        </w:rPr>
        <w:t> </w:t>
      </w:r>
      <w:r>
        <w:rPr>
          <w:sz w:val="24"/>
        </w:rPr>
        <w:t>1.75</w:t>
      </w:r>
      <w:r>
        <w:rPr>
          <w:spacing w:val="40"/>
          <w:sz w:val="24"/>
        </w:rPr>
        <w:t> </w:t>
      </w:r>
      <w:r>
        <w:rPr>
          <w:spacing w:val="-10"/>
          <w:sz w:val="24"/>
        </w:rPr>
        <w:t>m</w:t>
      </w:r>
    </w:p>
    <w:p>
      <w:pPr>
        <w:pStyle w:val="ListParagraph"/>
        <w:numPr>
          <w:ilvl w:val="0"/>
          <w:numId w:val="280"/>
        </w:numPr>
        <w:tabs>
          <w:tab w:pos="1853" w:val="left" w:leader="none"/>
        </w:tabs>
        <w:spacing w:line="240" w:lineRule="auto" w:before="0" w:after="0"/>
        <w:ind w:left="1313" w:right="783" w:firstLine="0"/>
        <w:jc w:val="left"/>
        <w:rPr>
          <w:sz w:val="24"/>
        </w:rPr>
      </w:pPr>
      <w:r>
        <w:rPr>
          <w:sz w:val="24"/>
        </w:rPr>
        <w:t>Minimum</w:t>
      </w:r>
      <w:r>
        <w:rPr>
          <w:spacing w:val="32"/>
          <w:sz w:val="24"/>
        </w:rPr>
        <w:t> </w:t>
      </w:r>
      <w:r>
        <w:rPr>
          <w:sz w:val="24"/>
        </w:rPr>
        <w:t>clear</w:t>
      </w:r>
      <w:r>
        <w:rPr>
          <w:spacing w:val="32"/>
          <w:sz w:val="24"/>
        </w:rPr>
        <w:t> </w:t>
      </w:r>
      <w:r>
        <w:rPr>
          <w:sz w:val="24"/>
        </w:rPr>
        <w:t>opening</w:t>
      </w:r>
      <w:r>
        <w:rPr>
          <w:spacing w:val="32"/>
          <w:sz w:val="24"/>
        </w:rPr>
        <w:t> </w:t>
      </w:r>
      <w:r>
        <w:rPr>
          <w:sz w:val="24"/>
        </w:rPr>
        <w:t>of</w:t>
      </w:r>
      <w:r>
        <w:rPr>
          <w:spacing w:val="32"/>
          <w:sz w:val="24"/>
        </w:rPr>
        <w:t> </w:t>
      </w:r>
      <w:r>
        <w:rPr>
          <w:sz w:val="24"/>
        </w:rPr>
        <w:t>the</w:t>
      </w:r>
      <w:r>
        <w:rPr>
          <w:spacing w:val="32"/>
          <w:sz w:val="24"/>
        </w:rPr>
        <w:t> </w:t>
      </w:r>
      <w:r>
        <w:rPr>
          <w:sz w:val="24"/>
        </w:rPr>
        <w:t>door</w:t>
      </w:r>
      <w:r>
        <w:rPr>
          <w:spacing w:val="32"/>
          <w:sz w:val="24"/>
        </w:rPr>
        <w:t> </w:t>
      </w:r>
      <w:r>
        <w:rPr>
          <w:sz w:val="24"/>
        </w:rPr>
        <w:t>shall</w:t>
      </w:r>
      <w:r>
        <w:rPr>
          <w:spacing w:val="32"/>
          <w:sz w:val="24"/>
        </w:rPr>
        <w:t> </w:t>
      </w:r>
      <w:r>
        <w:rPr>
          <w:sz w:val="24"/>
        </w:rPr>
        <w:t>be</w:t>
      </w:r>
      <w:r>
        <w:rPr>
          <w:spacing w:val="32"/>
          <w:sz w:val="24"/>
        </w:rPr>
        <w:t> </w:t>
      </w:r>
      <w:r>
        <w:rPr>
          <w:sz w:val="24"/>
        </w:rPr>
        <w:t>0.9</w:t>
      </w:r>
      <w:r>
        <w:rPr>
          <w:spacing w:val="32"/>
          <w:sz w:val="24"/>
        </w:rPr>
        <w:t> </w:t>
      </w:r>
      <w:r>
        <w:rPr>
          <w:sz w:val="24"/>
        </w:rPr>
        <w:t>m</w:t>
      </w:r>
      <w:r>
        <w:rPr>
          <w:spacing w:val="32"/>
          <w:sz w:val="24"/>
        </w:rPr>
        <w:t> </w:t>
      </w:r>
      <w:r>
        <w:rPr>
          <w:sz w:val="24"/>
        </w:rPr>
        <w:t>and</w:t>
      </w:r>
      <w:r>
        <w:rPr>
          <w:spacing w:val="32"/>
          <w:sz w:val="24"/>
        </w:rPr>
        <w:t> </w:t>
      </w:r>
      <w:r>
        <w:rPr>
          <w:sz w:val="24"/>
        </w:rPr>
        <w:t>the</w:t>
      </w:r>
      <w:r>
        <w:rPr>
          <w:spacing w:val="32"/>
          <w:sz w:val="24"/>
        </w:rPr>
        <w:t> </w:t>
      </w:r>
      <w:r>
        <w:rPr>
          <w:sz w:val="24"/>
        </w:rPr>
        <w:t>door</w:t>
      </w:r>
      <w:r>
        <w:rPr>
          <w:spacing w:val="32"/>
          <w:sz w:val="24"/>
        </w:rPr>
        <w:t> </w:t>
      </w:r>
      <w:r>
        <w:rPr>
          <w:sz w:val="24"/>
        </w:rPr>
        <w:t>shall swing </w:t>
      </w:r>
      <w:r>
        <w:rPr>
          <w:spacing w:val="9"/>
          <w:sz w:val="24"/>
        </w:rPr>
        <w:t>out.</w:t>
      </w:r>
    </w:p>
    <w:p>
      <w:pPr>
        <w:pStyle w:val="ListParagraph"/>
        <w:numPr>
          <w:ilvl w:val="0"/>
          <w:numId w:val="280"/>
        </w:numPr>
        <w:tabs>
          <w:tab w:pos="1853" w:val="left" w:leader="none"/>
        </w:tabs>
        <w:spacing w:line="240" w:lineRule="auto" w:before="0" w:after="0"/>
        <w:ind w:left="1313" w:right="777" w:firstLine="0"/>
        <w:jc w:val="left"/>
        <w:rPr>
          <w:sz w:val="24"/>
        </w:rPr>
      </w:pPr>
      <w:r>
        <w:rPr>
          <w:sz w:val="24"/>
        </w:rPr>
        <w:t>Suitable</w:t>
      </w:r>
      <w:r>
        <w:rPr>
          <w:spacing w:val="80"/>
          <w:sz w:val="24"/>
        </w:rPr>
        <w:t> </w:t>
      </w:r>
      <w:r>
        <w:rPr>
          <w:sz w:val="24"/>
        </w:rPr>
        <w:t>arrangement</w:t>
      </w:r>
      <w:r>
        <w:rPr>
          <w:spacing w:val="80"/>
          <w:sz w:val="24"/>
        </w:rPr>
        <w:t> </w:t>
      </w:r>
      <w:r>
        <w:rPr>
          <w:sz w:val="24"/>
        </w:rPr>
        <w:t>of</w:t>
      </w:r>
      <w:r>
        <w:rPr>
          <w:spacing w:val="80"/>
          <w:sz w:val="24"/>
        </w:rPr>
        <w:t> </w:t>
      </w:r>
      <w:r>
        <w:rPr>
          <w:sz w:val="24"/>
        </w:rPr>
        <w:t>vertical/horizontal</w:t>
      </w:r>
      <w:r>
        <w:rPr>
          <w:spacing w:val="80"/>
          <w:sz w:val="24"/>
        </w:rPr>
        <w:t> </w:t>
      </w:r>
      <w:r>
        <w:rPr>
          <w:sz w:val="24"/>
        </w:rPr>
        <w:t>handrails</w:t>
      </w:r>
      <w:r>
        <w:rPr>
          <w:spacing w:val="80"/>
          <w:sz w:val="24"/>
        </w:rPr>
        <w:t> </w:t>
      </w:r>
      <w:r>
        <w:rPr>
          <w:sz w:val="24"/>
        </w:rPr>
        <w:t>with</w:t>
      </w:r>
      <w:r>
        <w:rPr>
          <w:spacing w:val="80"/>
          <w:sz w:val="24"/>
        </w:rPr>
        <w:t> </w:t>
      </w:r>
      <w:r>
        <w:rPr>
          <w:sz w:val="24"/>
        </w:rPr>
        <w:t>50</w:t>
      </w:r>
      <w:r>
        <w:rPr>
          <w:spacing w:val="80"/>
          <w:sz w:val="24"/>
        </w:rPr>
        <w:t> </w:t>
      </w:r>
      <w:r>
        <w:rPr>
          <w:sz w:val="24"/>
        </w:rPr>
        <w:t>mm clearance</w:t>
      </w:r>
      <w:r>
        <w:rPr>
          <w:spacing w:val="40"/>
          <w:sz w:val="24"/>
        </w:rPr>
        <w:t> </w:t>
      </w:r>
      <w:r>
        <w:rPr>
          <w:sz w:val="24"/>
        </w:rPr>
        <w:t>from</w:t>
      </w:r>
      <w:r>
        <w:rPr>
          <w:spacing w:val="40"/>
          <w:sz w:val="24"/>
        </w:rPr>
        <w:t> </w:t>
      </w:r>
      <w:r>
        <w:rPr>
          <w:sz w:val="24"/>
        </w:rPr>
        <w:t>wall</w:t>
      </w:r>
      <w:r>
        <w:rPr>
          <w:spacing w:val="40"/>
          <w:sz w:val="24"/>
        </w:rPr>
        <w:t> </w:t>
      </w:r>
      <w:r>
        <w:rPr>
          <w:sz w:val="24"/>
        </w:rPr>
        <w:t>shall</w:t>
      </w:r>
      <w:r>
        <w:rPr>
          <w:spacing w:val="40"/>
          <w:sz w:val="24"/>
        </w:rPr>
        <w:t> </w:t>
      </w:r>
      <w:r>
        <w:rPr>
          <w:sz w:val="24"/>
        </w:rPr>
        <w:t>be</w:t>
      </w:r>
      <w:r>
        <w:rPr>
          <w:spacing w:val="40"/>
          <w:sz w:val="24"/>
        </w:rPr>
        <w:t> </w:t>
      </w:r>
      <w:r>
        <w:rPr>
          <w:sz w:val="24"/>
        </w:rPr>
        <w:t>made</w:t>
      </w:r>
      <w:r>
        <w:rPr>
          <w:spacing w:val="40"/>
          <w:sz w:val="24"/>
        </w:rPr>
        <w:t> </w:t>
      </w:r>
      <w:r>
        <w:rPr>
          <w:sz w:val="24"/>
        </w:rPr>
        <w:t>in</w:t>
      </w:r>
      <w:r>
        <w:rPr>
          <w:spacing w:val="40"/>
          <w:sz w:val="24"/>
        </w:rPr>
        <w:t> </w:t>
      </w:r>
      <w:r>
        <w:rPr>
          <w:sz w:val="24"/>
        </w:rPr>
        <w:t>the</w:t>
      </w:r>
      <w:r>
        <w:rPr>
          <w:spacing w:val="40"/>
          <w:sz w:val="24"/>
        </w:rPr>
        <w:t> </w:t>
      </w:r>
      <w:r>
        <w:rPr>
          <w:sz w:val="24"/>
        </w:rPr>
        <w:t>toilet.</w:t>
      </w:r>
    </w:p>
    <w:p>
      <w:pPr>
        <w:pStyle w:val="ListParagraph"/>
        <w:numPr>
          <w:ilvl w:val="0"/>
          <w:numId w:val="280"/>
        </w:numPr>
        <w:tabs>
          <w:tab w:pos="1642" w:val="left" w:leader="none"/>
        </w:tabs>
        <w:spacing w:line="240" w:lineRule="auto" w:before="0" w:after="0"/>
        <w:ind w:left="1313" w:right="790" w:firstLine="0"/>
        <w:jc w:val="left"/>
        <w:rPr>
          <w:sz w:val="24"/>
        </w:rPr>
      </w:pPr>
      <w:r>
        <w:rPr>
          <w:sz w:val="24"/>
        </w:rPr>
        <w:t>The</w:t>
      </w:r>
      <w:r>
        <w:rPr>
          <w:spacing w:val="40"/>
          <w:sz w:val="24"/>
        </w:rPr>
        <w:t> </w:t>
      </w:r>
      <w:r>
        <w:rPr>
          <w:sz w:val="24"/>
        </w:rPr>
        <w:t>WC</w:t>
      </w:r>
      <w:r>
        <w:rPr>
          <w:spacing w:val="40"/>
          <w:sz w:val="24"/>
        </w:rPr>
        <w:t> </w:t>
      </w:r>
      <w:r>
        <w:rPr>
          <w:sz w:val="24"/>
        </w:rPr>
        <w:t>seat</w:t>
      </w:r>
      <w:r>
        <w:rPr>
          <w:spacing w:val="40"/>
          <w:sz w:val="24"/>
        </w:rPr>
        <w:t> </w:t>
      </w:r>
      <w:r>
        <w:rPr>
          <w:sz w:val="24"/>
        </w:rPr>
        <w:t>shall</w:t>
      </w:r>
      <w:r>
        <w:rPr>
          <w:spacing w:val="40"/>
          <w:sz w:val="24"/>
        </w:rPr>
        <w:t> </w:t>
      </w:r>
      <w:r>
        <w:rPr>
          <w:sz w:val="24"/>
        </w:rPr>
        <w:t>be</w:t>
      </w:r>
      <w:r>
        <w:rPr>
          <w:spacing w:val="40"/>
          <w:sz w:val="24"/>
        </w:rPr>
        <w:t> </w:t>
      </w:r>
      <w:r>
        <w:rPr>
          <w:sz w:val="24"/>
        </w:rPr>
        <w:t>0.5</w:t>
      </w:r>
      <w:r>
        <w:rPr>
          <w:spacing w:val="40"/>
          <w:sz w:val="24"/>
        </w:rPr>
        <w:t> </w:t>
      </w:r>
      <w:r>
        <w:rPr>
          <w:sz w:val="24"/>
        </w:rPr>
        <w:t>m</w:t>
      </w:r>
      <w:r>
        <w:rPr>
          <w:spacing w:val="40"/>
          <w:sz w:val="24"/>
        </w:rPr>
        <w:t> </w:t>
      </w:r>
      <w:r>
        <w:rPr>
          <w:sz w:val="24"/>
        </w:rPr>
        <w:t>from</w:t>
      </w:r>
      <w:r>
        <w:rPr>
          <w:spacing w:val="40"/>
          <w:sz w:val="24"/>
        </w:rPr>
        <w:t> </w:t>
      </w:r>
      <w:r>
        <w:rPr>
          <w:sz w:val="24"/>
        </w:rPr>
        <w:t>the</w:t>
      </w:r>
      <w:r>
        <w:rPr>
          <w:spacing w:val="40"/>
          <w:sz w:val="24"/>
        </w:rPr>
        <w:t> </w:t>
      </w:r>
      <w:r>
        <w:rPr>
          <w:sz w:val="24"/>
        </w:rPr>
        <w:t>floor.</w:t>
      </w:r>
      <w:r>
        <w:rPr>
          <w:spacing w:val="40"/>
          <w:sz w:val="24"/>
        </w:rPr>
        <w:t> </w:t>
      </w:r>
      <w:r>
        <w:rPr>
          <w:sz w:val="24"/>
        </w:rPr>
        <w:t>The</w:t>
      </w:r>
      <w:r>
        <w:rPr>
          <w:spacing w:val="40"/>
          <w:sz w:val="24"/>
        </w:rPr>
        <w:t> </w:t>
      </w:r>
      <w:r>
        <w:rPr>
          <w:sz w:val="24"/>
        </w:rPr>
        <w:t>flushing</w:t>
      </w:r>
      <w:r>
        <w:rPr>
          <w:spacing w:val="40"/>
          <w:sz w:val="24"/>
        </w:rPr>
        <w:t> </w:t>
      </w:r>
      <w:r>
        <w:rPr>
          <w:sz w:val="24"/>
        </w:rPr>
        <w:t>control</w:t>
      </w:r>
      <w:r>
        <w:rPr>
          <w:spacing w:val="40"/>
          <w:sz w:val="24"/>
        </w:rPr>
        <w:t> </w:t>
      </w:r>
      <w:r>
        <w:rPr>
          <w:sz w:val="24"/>
        </w:rPr>
        <w:t>shall be</w:t>
      </w:r>
      <w:r>
        <w:rPr>
          <w:spacing w:val="66"/>
          <w:sz w:val="24"/>
        </w:rPr>
        <w:t> </w:t>
      </w:r>
      <w:r>
        <w:rPr>
          <w:sz w:val="24"/>
        </w:rPr>
        <w:t>mounted</w:t>
      </w:r>
      <w:r>
        <w:rPr>
          <w:spacing w:val="66"/>
          <w:sz w:val="24"/>
        </w:rPr>
        <w:t> </w:t>
      </w:r>
      <w:r>
        <w:rPr>
          <w:sz w:val="24"/>
        </w:rPr>
        <w:t>on</w:t>
      </w:r>
      <w:r>
        <w:rPr>
          <w:spacing w:val="66"/>
          <w:sz w:val="24"/>
        </w:rPr>
        <w:t> </w:t>
      </w:r>
      <w:r>
        <w:rPr>
          <w:sz w:val="24"/>
        </w:rPr>
        <w:t>the</w:t>
      </w:r>
      <w:r>
        <w:rPr>
          <w:spacing w:val="66"/>
          <w:sz w:val="24"/>
        </w:rPr>
        <w:t> </w:t>
      </w:r>
      <w:r>
        <w:rPr>
          <w:sz w:val="24"/>
        </w:rPr>
        <w:t>wide</w:t>
      </w:r>
      <w:r>
        <w:rPr>
          <w:spacing w:val="66"/>
          <w:sz w:val="24"/>
        </w:rPr>
        <w:t> </w:t>
      </w:r>
      <w:r>
        <w:rPr>
          <w:sz w:val="24"/>
        </w:rPr>
        <w:t>side</w:t>
      </w:r>
      <w:r>
        <w:rPr>
          <w:spacing w:val="68"/>
          <w:sz w:val="24"/>
        </w:rPr>
        <w:t> </w:t>
      </w:r>
      <w:r>
        <w:rPr>
          <w:sz w:val="24"/>
        </w:rPr>
        <w:t>of</w:t>
      </w:r>
      <w:r>
        <w:rPr>
          <w:spacing w:val="76"/>
          <w:sz w:val="24"/>
        </w:rPr>
        <w:t> </w:t>
      </w:r>
      <w:r>
        <w:rPr>
          <w:sz w:val="24"/>
        </w:rPr>
        <w:t>the</w:t>
      </w:r>
      <w:r>
        <w:rPr>
          <w:spacing w:val="68"/>
          <w:sz w:val="24"/>
        </w:rPr>
        <w:t> </w:t>
      </w:r>
      <w:r>
        <w:rPr>
          <w:sz w:val="24"/>
        </w:rPr>
        <w:t>cubicle</w:t>
      </w:r>
      <w:r>
        <w:rPr>
          <w:spacing w:val="66"/>
          <w:sz w:val="24"/>
        </w:rPr>
        <w:t> </w:t>
      </w:r>
      <w:r>
        <w:rPr>
          <w:sz w:val="24"/>
        </w:rPr>
        <w:t>at</w:t>
      </w:r>
      <w:r>
        <w:rPr>
          <w:spacing w:val="68"/>
          <w:sz w:val="24"/>
        </w:rPr>
        <w:t> </w:t>
      </w:r>
      <w:r>
        <w:rPr>
          <w:sz w:val="24"/>
        </w:rPr>
        <w:t>a</w:t>
      </w:r>
      <w:r>
        <w:rPr>
          <w:spacing w:val="66"/>
          <w:sz w:val="24"/>
        </w:rPr>
        <w:t> </w:t>
      </w:r>
      <w:r>
        <w:rPr>
          <w:sz w:val="24"/>
        </w:rPr>
        <w:t>height</w:t>
      </w:r>
      <w:r>
        <w:rPr>
          <w:spacing w:val="68"/>
          <w:sz w:val="24"/>
        </w:rPr>
        <w:t> </w:t>
      </w:r>
      <w:r>
        <w:rPr>
          <w:sz w:val="24"/>
        </w:rPr>
        <w:t>from</w:t>
      </w:r>
      <w:r>
        <w:rPr>
          <w:spacing w:val="66"/>
          <w:sz w:val="24"/>
        </w:rPr>
        <w:t> </w:t>
      </w:r>
      <w:r>
        <w:rPr>
          <w:sz w:val="24"/>
        </w:rPr>
        <w:t>0.6</w:t>
      </w:r>
      <w:r>
        <w:rPr>
          <w:spacing w:val="66"/>
          <w:sz w:val="24"/>
        </w:rPr>
        <w:t> </w:t>
      </w:r>
      <w:r>
        <w:rPr>
          <w:sz w:val="24"/>
        </w:rPr>
        <w:t>m</w:t>
      </w:r>
      <w:r>
        <w:rPr>
          <w:spacing w:val="66"/>
          <w:sz w:val="24"/>
        </w:rPr>
        <w:t> </w:t>
      </w:r>
      <w:r>
        <w:rPr>
          <w:sz w:val="24"/>
        </w:rPr>
        <w:t>to</w:t>
      </w:r>
    </w:p>
    <w:p>
      <w:pPr>
        <w:pStyle w:val="BodyText"/>
        <w:spacing w:line="280" w:lineRule="exact"/>
        <w:ind w:left="1313"/>
        <w:jc w:val="left"/>
      </w:pPr>
      <w:r>
        <w:rPr/>
        <w:t>1.05</w:t>
      </w:r>
      <w:r>
        <w:rPr>
          <w:spacing w:val="50"/>
        </w:rPr>
        <w:t> </w:t>
      </w:r>
      <w:r>
        <w:rPr/>
        <w:t>m</w:t>
      </w:r>
      <w:r>
        <w:rPr>
          <w:spacing w:val="51"/>
        </w:rPr>
        <w:t> </w:t>
      </w:r>
      <w:r>
        <w:rPr/>
        <w:t>above</w:t>
      </w:r>
      <w:r>
        <w:rPr>
          <w:spacing w:val="49"/>
        </w:rPr>
        <w:t> </w:t>
      </w:r>
      <w:r>
        <w:rPr/>
        <w:t>the</w:t>
      </w:r>
      <w:r>
        <w:rPr>
          <w:spacing w:val="49"/>
        </w:rPr>
        <w:t> </w:t>
      </w:r>
      <w:r>
        <w:rPr/>
        <w:t>finished</w:t>
      </w:r>
      <w:r>
        <w:rPr>
          <w:spacing w:val="49"/>
        </w:rPr>
        <w:t> </w:t>
      </w:r>
      <w:r>
        <w:rPr/>
        <w:t>floor</w:t>
      </w:r>
      <w:r>
        <w:rPr>
          <w:spacing w:val="50"/>
        </w:rPr>
        <w:t> </w:t>
      </w:r>
      <w:r>
        <w:rPr>
          <w:spacing w:val="-2"/>
        </w:rPr>
        <w:t>level.</w:t>
      </w:r>
    </w:p>
    <w:p>
      <w:pPr>
        <w:pStyle w:val="ListParagraph"/>
        <w:numPr>
          <w:ilvl w:val="0"/>
          <w:numId w:val="280"/>
        </w:numPr>
        <w:tabs>
          <w:tab w:pos="1628" w:val="left" w:leader="none"/>
        </w:tabs>
        <w:spacing w:line="240" w:lineRule="auto" w:before="2" w:after="0"/>
        <w:ind w:left="1313" w:right="784" w:firstLine="0"/>
        <w:jc w:val="both"/>
        <w:rPr>
          <w:sz w:val="24"/>
        </w:rPr>
      </w:pPr>
      <w:r>
        <w:rPr>
          <w:sz w:val="24"/>
        </w:rPr>
        <w:t>The</w:t>
      </w:r>
      <w:r>
        <w:rPr>
          <w:spacing w:val="40"/>
          <w:sz w:val="24"/>
        </w:rPr>
        <w:t> </w:t>
      </w:r>
      <w:r>
        <w:rPr>
          <w:sz w:val="24"/>
        </w:rPr>
        <w:t>wash</w:t>
      </w:r>
      <w:r>
        <w:rPr>
          <w:spacing w:val="40"/>
          <w:sz w:val="24"/>
        </w:rPr>
        <w:t> </w:t>
      </w:r>
      <w:r>
        <w:rPr>
          <w:sz w:val="24"/>
        </w:rPr>
        <w:t>basin</w:t>
      </w:r>
      <w:r>
        <w:rPr>
          <w:spacing w:val="40"/>
          <w:sz w:val="24"/>
        </w:rPr>
        <w:t> </w:t>
      </w:r>
      <w:r>
        <w:rPr>
          <w:sz w:val="24"/>
        </w:rPr>
        <w:t>shall</w:t>
      </w:r>
      <w:r>
        <w:rPr>
          <w:spacing w:val="40"/>
          <w:sz w:val="24"/>
        </w:rPr>
        <w:t> </w:t>
      </w:r>
      <w:r>
        <w:rPr>
          <w:sz w:val="24"/>
        </w:rPr>
        <w:t>be</w:t>
      </w:r>
      <w:r>
        <w:rPr>
          <w:spacing w:val="40"/>
          <w:sz w:val="24"/>
        </w:rPr>
        <w:t> </w:t>
      </w:r>
      <w:r>
        <w:rPr>
          <w:sz w:val="24"/>
        </w:rPr>
        <w:t>mounted</w:t>
      </w:r>
      <w:r>
        <w:rPr>
          <w:spacing w:val="40"/>
          <w:sz w:val="24"/>
        </w:rPr>
        <w:t> </w:t>
      </w:r>
      <w:r>
        <w:rPr>
          <w:spacing w:val="9"/>
          <w:sz w:val="24"/>
        </w:rPr>
        <w:t>with</w:t>
      </w:r>
      <w:r>
        <w:rPr>
          <w:spacing w:val="40"/>
          <w:sz w:val="24"/>
        </w:rPr>
        <w:t> </w:t>
      </w:r>
      <w:r>
        <w:rPr>
          <w:sz w:val="24"/>
        </w:rPr>
        <w:t>the</w:t>
      </w:r>
      <w:r>
        <w:rPr>
          <w:spacing w:val="40"/>
          <w:sz w:val="24"/>
        </w:rPr>
        <w:t> </w:t>
      </w:r>
      <w:r>
        <w:rPr>
          <w:sz w:val="24"/>
        </w:rPr>
        <w:t>rim</w:t>
      </w:r>
      <w:r>
        <w:rPr>
          <w:spacing w:val="40"/>
          <w:sz w:val="24"/>
        </w:rPr>
        <w:t> </w:t>
      </w:r>
      <w:r>
        <w:rPr>
          <w:sz w:val="24"/>
        </w:rPr>
        <w:t>not</w:t>
      </w:r>
      <w:r>
        <w:rPr>
          <w:spacing w:val="40"/>
          <w:sz w:val="24"/>
        </w:rPr>
        <w:t> </w:t>
      </w:r>
      <w:r>
        <w:rPr>
          <w:sz w:val="24"/>
        </w:rPr>
        <w:t>higher</w:t>
      </w:r>
      <w:r>
        <w:rPr>
          <w:spacing w:val="40"/>
          <w:sz w:val="24"/>
        </w:rPr>
        <w:t> </w:t>
      </w:r>
      <w:r>
        <w:rPr>
          <w:sz w:val="24"/>
        </w:rPr>
        <w:t>than</w:t>
      </w:r>
      <w:r>
        <w:rPr>
          <w:spacing w:val="40"/>
          <w:sz w:val="24"/>
        </w:rPr>
        <w:t> </w:t>
      </w:r>
      <w:r>
        <w:rPr>
          <w:sz w:val="24"/>
        </w:rPr>
        <w:t>0.75</w:t>
      </w:r>
      <w:r>
        <w:rPr>
          <w:spacing w:val="40"/>
          <w:sz w:val="24"/>
        </w:rPr>
        <w:t> </w:t>
      </w:r>
      <w:r>
        <w:rPr>
          <w:sz w:val="24"/>
        </w:rPr>
        <w:t>m</w:t>
      </w:r>
      <w:r>
        <w:rPr>
          <w:spacing w:val="40"/>
          <w:sz w:val="24"/>
        </w:rPr>
        <w:t> </w:t>
      </w:r>
      <w:r>
        <w:rPr>
          <w:sz w:val="24"/>
        </w:rPr>
        <w:t>above</w:t>
      </w:r>
      <w:r>
        <w:rPr>
          <w:spacing w:val="40"/>
          <w:sz w:val="24"/>
        </w:rPr>
        <w:t> </w:t>
      </w:r>
      <w:r>
        <w:rPr>
          <w:sz w:val="24"/>
        </w:rPr>
        <w:t>the</w:t>
      </w:r>
      <w:r>
        <w:rPr>
          <w:spacing w:val="40"/>
          <w:sz w:val="24"/>
        </w:rPr>
        <w:t> </w:t>
      </w:r>
      <w:r>
        <w:rPr>
          <w:sz w:val="24"/>
        </w:rPr>
        <w:t>finished</w:t>
      </w:r>
      <w:r>
        <w:rPr>
          <w:spacing w:val="40"/>
          <w:sz w:val="24"/>
        </w:rPr>
        <w:t> </w:t>
      </w:r>
      <w:r>
        <w:rPr>
          <w:sz w:val="24"/>
        </w:rPr>
        <w:t>floor</w:t>
      </w:r>
      <w:r>
        <w:rPr>
          <w:spacing w:val="40"/>
          <w:sz w:val="24"/>
        </w:rPr>
        <w:t> </w:t>
      </w:r>
      <w:r>
        <w:rPr>
          <w:sz w:val="24"/>
        </w:rPr>
        <w:t>level.</w:t>
      </w:r>
      <w:r>
        <w:rPr>
          <w:spacing w:val="40"/>
          <w:sz w:val="24"/>
        </w:rPr>
        <w:t> </w:t>
      </w:r>
      <w:r>
        <w:rPr>
          <w:sz w:val="24"/>
        </w:rPr>
        <w:t>A</w:t>
      </w:r>
      <w:r>
        <w:rPr>
          <w:spacing w:val="40"/>
          <w:sz w:val="24"/>
        </w:rPr>
        <w:t> </w:t>
      </w:r>
      <w:r>
        <w:rPr>
          <w:sz w:val="24"/>
        </w:rPr>
        <w:t>clearance</w:t>
      </w:r>
      <w:r>
        <w:rPr>
          <w:spacing w:val="40"/>
          <w:sz w:val="24"/>
        </w:rPr>
        <w:t> </w:t>
      </w:r>
      <w:r>
        <w:rPr>
          <w:sz w:val="24"/>
        </w:rPr>
        <w:t>of</w:t>
      </w:r>
      <w:r>
        <w:rPr>
          <w:spacing w:val="40"/>
          <w:sz w:val="24"/>
        </w:rPr>
        <w:t> </w:t>
      </w:r>
      <w:r>
        <w:rPr>
          <w:sz w:val="24"/>
        </w:rPr>
        <w:t>0.55</w:t>
      </w:r>
      <w:r>
        <w:rPr>
          <w:spacing w:val="40"/>
          <w:sz w:val="24"/>
        </w:rPr>
        <w:t> </w:t>
      </w:r>
      <w:r>
        <w:rPr>
          <w:sz w:val="24"/>
        </w:rPr>
        <w:t>m</w:t>
      </w:r>
      <w:r>
        <w:rPr>
          <w:spacing w:val="40"/>
          <w:sz w:val="24"/>
        </w:rPr>
        <w:t> </w:t>
      </w:r>
      <w:r>
        <w:rPr>
          <w:sz w:val="24"/>
        </w:rPr>
        <w:t>shall</w:t>
      </w:r>
      <w:r>
        <w:rPr>
          <w:spacing w:val="40"/>
          <w:sz w:val="24"/>
        </w:rPr>
        <w:t> </w:t>
      </w:r>
      <w:r>
        <w:rPr>
          <w:sz w:val="24"/>
        </w:rPr>
        <w:t>be maintained</w:t>
      </w:r>
      <w:r>
        <w:rPr>
          <w:spacing w:val="40"/>
          <w:sz w:val="24"/>
        </w:rPr>
        <w:t> </w:t>
      </w:r>
      <w:r>
        <w:rPr>
          <w:sz w:val="24"/>
        </w:rPr>
        <w:t>from</w:t>
      </w:r>
      <w:r>
        <w:rPr>
          <w:spacing w:val="40"/>
          <w:sz w:val="24"/>
        </w:rPr>
        <w:t> </w:t>
      </w:r>
      <w:r>
        <w:rPr>
          <w:sz w:val="24"/>
        </w:rPr>
        <w:t>the</w:t>
      </w:r>
      <w:r>
        <w:rPr>
          <w:spacing w:val="40"/>
          <w:sz w:val="24"/>
        </w:rPr>
        <w:t> </w:t>
      </w:r>
      <w:r>
        <w:rPr>
          <w:sz w:val="24"/>
        </w:rPr>
        <w:t>finished</w:t>
      </w:r>
      <w:r>
        <w:rPr>
          <w:spacing w:val="40"/>
          <w:sz w:val="24"/>
        </w:rPr>
        <w:t> </w:t>
      </w:r>
      <w:r>
        <w:rPr>
          <w:sz w:val="24"/>
        </w:rPr>
        <w:t>floor</w:t>
      </w:r>
      <w:r>
        <w:rPr>
          <w:spacing w:val="40"/>
          <w:sz w:val="24"/>
        </w:rPr>
        <w:t> </w:t>
      </w:r>
      <w:r>
        <w:rPr>
          <w:sz w:val="24"/>
        </w:rPr>
        <w:t>level</w:t>
      </w:r>
      <w:r>
        <w:rPr>
          <w:spacing w:val="40"/>
          <w:sz w:val="24"/>
        </w:rPr>
        <w:t> </w:t>
      </w:r>
      <w:r>
        <w:rPr>
          <w:sz w:val="24"/>
        </w:rPr>
        <w:t>to</w:t>
      </w:r>
      <w:r>
        <w:rPr>
          <w:spacing w:val="40"/>
          <w:sz w:val="24"/>
        </w:rPr>
        <w:t> </w:t>
      </w:r>
      <w:r>
        <w:rPr>
          <w:sz w:val="24"/>
        </w:rPr>
        <w:t>the</w:t>
      </w:r>
      <w:r>
        <w:rPr>
          <w:spacing w:val="40"/>
          <w:sz w:val="24"/>
        </w:rPr>
        <w:t> </w:t>
      </w:r>
      <w:r>
        <w:rPr>
          <w:sz w:val="24"/>
        </w:rPr>
        <w:t>bottom</w:t>
      </w:r>
      <w:r>
        <w:rPr>
          <w:spacing w:val="40"/>
          <w:sz w:val="24"/>
        </w:rPr>
        <w:t> </w:t>
      </w:r>
      <w:r>
        <w:rPr>
          <w:sz w:val="24"/>
        </w:rPr>
        <w:t>of</w:t>
      </w:r>
      <w:r>
        <w:rPr>
          <w:spacing w:val="40"/>
          <w:sz w:val="24"/>
        </w:rPr>
        <w:t> </w:t>
      </w:r>
      <w:r>
        <w:rPr>
          <w:sz w:val="24"/>
        </w:rPr>
        <w:t>the</w:t>
      </w:r>
      <w:r>
        <w:rPr>
          <w:spacing w:val="40"/>
          <w:sz w:val="24"/>
        </w:rPr>
        <w:t> </w:t>
      </w:r>
      <w:r>
        <w:rPr>
          <w:spacing w:val="9"/>
          <w:sz w:val="24"/>
        </w:rPr>
        <w:t>apron.</w:t>
      </w:r>
    </w:p>
    <w:p>
      <w:pPr>
        <w:pStyle w:val="ListParagraph"/>
        <w:numPr>
          <w:ilvl w:val="0"/>
          <w:numId w:val="280"/>
        </w:numPr>
        <w:tabs>
          <w:tab w:pos="1609" w:val="left" w:leader="none"/>
        </w:tabs>
        <w:spacing w:line="240" w:lineRule="auto" w:before="0" w:after="0"/>
        <w:ind w:left="1313" w:right="779" w:firstLine="0"/>
        <w:jc w:val="both"/>
        <w:rPr>
          <w:sz w:val="24"/>
        </w:rPr>
      </w:pPr>
      <w:r>
        <w:rPr>
          <w:sz w:val="24"/>
        </w:rPr>
        <w:t>Two</w:t>
      </w:r>
      <w:r>
        <w:rPr>
          <w:spacing w:val="40"/>
          <w:sz w:val="24"/>
        </w:rPr>
        <w:t> </w:t>
      </w:r>
      <w:r>
        <w:rPr>
          <w:sz w:val="24"/>
        </w:rPr>
        <w:t>horizontal</w:t>
      </w:r>
      <w:r>
        <w:rPr>
          <w:spacing w:val="40"/>
          <w:sz w:val="24"/>
        </w:rPr>
        <w:t> </w:t>
      </w:r>
      <w:r>
        <w:rPr>
          <w:sz w:val="24"/>
        </w:rPr>
        <w:t>grab</w:t>
      </w:r>
      <w:r>
        <w:rPr>
          <w:spacing w:val="40"/>
          <w:sz w:val="24"/>
        </w:rPr>
        <w:t> </w:t>
      </w:r>
      <w:r>
        <w:rPr>
          <w:sz w:val="24"/>
        </w:rPr>
        <w:t>rails</w:t>
      </w:r>
      <w:r>
        <w:rPr>
          <w:spacing w:val="40"/>
          <w:sz w:val="24"/>
        </w:rPr>
        <w:t> </w:t>
      </w:r>
      <w:r>
        <w:rPr>
          <w:sz w:val="24"/>
        </w:rPr>
        <w:t>not</w:t>
      </w:r>
      <w:r>
        <w:rPr>
          <w:spacing w:val="9"/>
          <w:sz w:val="24"/>
        </w:rPr>
        <w:t> less</w:t>
      </w:r>
      <w:r>
        <w:rPr>
          <w:spacing w:val="9"/>
          <w:sz w:val="24"/>
        </w:rPr>
        <w:t> </w:t>
      </w:r>
      <w:r>
        <w:rPr>
          <w:sz w:val="24"/>
        </w:rPr>
        <w:t>than</w:t>
      </w:r>
      <w:r>
        <w:rPr>
          <w:spacing w:val="40"/>
          <w:sz w:val="24"/>
        </w:rPr>
        <w:t> </w:t>
      </w:r>
      <w:r>
        <w:rPr>
          <w:sz w:val="24"/>
        </w:rPr>
        <w:t>0.35</w:t>
      </w:r>
      <w:r>
        <w:rPr>
          <w:spacing w:val="40"/>
          <w:sz w:val="24"/>
        </w:rPr>
        <w:t> </w:t>
      </w:r>
      <w:r>
        <w:rPr>
          <w:sz w:val="24"/>
        </w:rPr>
        <w:t>m</w:t>
      </w:r>
      <w:r>
        <w:rPr>
          <w:spacing w:val="40"/>
          <w:sz w:val="24"/>
        </w:rPr>
        <w:t> </w:t>
      </w:r>
      <w:r>
        <w:rPr>
          <w:sz w:val="24"/>
        </w:rPr>
        <w:t>to</w:t>
      </w:r>
      <w:r>
        <w:rPr>
          <w:spacing w:val="40"/>
          <w:sz w:val="24"/>
        </w:rPr>
        <w:t> </w:t>
      </w:r>
      <w:r>
        <w:rPr>
          <w:sz w:val="24"/>
        </w:rPr>
        <w:t>0.50</w:t>
      </w:r>
      <w:r>
        <w:rPr>
          <w:spacing w:val="40"/>
          <w:sz w:val="24"/>
        </w:rPr>
        <w:t> </w:t>
      </w:r>
      <w:r>
        <w:rPr>
          <w:sz w:val="24"/>
        </w:rPr>
        <w:t>m</w:t>
      </w:r>
      <w:r>
        <w:rPr>
          <w:spacing w:val="40"/>
          <w:sz w:val="24"/>
        </w:rPr>
        <w:t> </w:t>
      </w:r>
      <w:r>
        <w:rPr>
          <w:sz w:val="24"/>
        </w:rPr>
        <w:t>shall</w:t>
      </w:r>
      <w:r>
        <w:rPr>
          <w:spacing w:val="40"/>
          <w:sz w:val="24"/>
        </w:rPr>
        <w:t> </w:t>
      </w:r>
      <w:r>
        <w:rPr>
          <w:sz w:val="24"/>
        </w:rPr>
        <w:t>be provided</w:t>
      </w:r>
      <w:r>
        <w:rPr>
          <w:spacing w:val="40"/>
          <w:sz w:val="24"/>
        </w:rPr>
        <w:t> </w:t>
      </w:r>
      <w:r>
        <w:rPr>
          <w:sz w:val="24"/>
        </w:rPr>
        <w:t>on</w:t>
      </w:r>
      <w:r>
        <w:rPr>
          <w:spacing w:val="40"/>
          <w:sz w:val="24"/>
        </w:rPr>
        <w:t> </w:t>
      </w:r>
      <w:r>
        <w:rPr>
          <w:sz w:val="24"/>
        </w:rPr>
        <w:t>the</w:t>
      </w:r>
      <w:r>
        <w:rPr>
          <w:spacing w:val="40"/>
          <w:sz w:val="24"/>
        </w:rPr>
        <w:t> </w:t>
      </w:r>
      <w:r>
        <w:rPr>
          <w:sz w:val="24"/>
        </w:rPr>
        <w:t>rear</w:t>
      </w:r>
      <w:r>
        <w:rPr>
          <w:spacing w:val="40"/>
          <w:sz w:val="24"/>
        </w:rPr>
        <w:t> </w:t>
      </w:r>
      <w:r>
        <w:rPr>
          <w:sz w:val="24"/>
        </w:rPr>
        <w:t>side</w:t>
      </w:r>
      <w:r>
        <w:rPr>
          <w:spacing w:val="40"/>
          <w:sz w:val="24"/>
        </w:rPr>
        <w:t> </w:t>
      </w:r>
      <w:r>
        <w:rPr>
          <w:sz w:val="24"/>
        </w:rPr>
        <w:t>and</w:t>
      </w:r>
      <w:r>
        <w:rPr>
          <w:spacing w:val="40"/>
          <w:sz w:val="24"/>
        </w:rPr>
        <w:t> </w:t>
      </w:r>
      <w:r>
        <w:rPr>
          <w:sz w:val="24"/>
        </w:rPr>
        <w:t>on</w:t>
      </w:r>
      <w:r>
        <w:rPr>
          <w:spacing w:val="40"/>
          <w:sz w:val="24"/>
        </w:rPr>
        <w:t> </w:t>
      </w:r>
      <w:r>
        <w:rPr>
          <w:sz w:val="24"/>
        </w:rPr>
        <w:t>other</w:t>
      </w:r>
      <w:r>
        <w:rPr>
          <w:spacing w:val="40"/>
          <w:sz w:val="24"/>
        </w:rPr>
        <w:t> </w:t>
      </w:r>
      <w:r>
        <w:rPr>
          <w:sz w:val="24"/>
        </w:rPr>
        <w:t>side</w:t>
      </w:r>
      <w:r>
        <w:rPr>
          <w:spacing w:val="40"/>
          <w:sz w:val="24"/>
        </w:rPr>
        <w:t> </w:t>
      </w:r>
      <w:r>
        <w:rPr>
          <w:sz w:val="24"/>
        </w:rPr>
        <w:t>(different</w:t>
      </w:r>
      <w:r>
        <w:rPr>
          <w:spacing w:val="40"/>
          <w:sz w:val="24"/>
        </w:rPr>
        <w:t> </w:t>
      </w:r>
      <w:r>
        <w:rPr>
          <w:sz w:val="24"/>
        </w:rPr>
        <w:t>side</w:t>
      </w:r>
      <w:r>
        <w:rPr>
          <w:spacing w:val="40"/>
          <w:sz w:val="24"/>
        </w:rPr>
        <w:t> </w:t>
      </w:r>
      <w:r>
        <w:rPr>
          <w:sz w:val="24"/>
        </w:rPr>
        <w:t>from</w:t>
      </w:r>
      <w:r>
        <w:rPr>
          <w:spacing w:val="40"/>
          <w:sz w:val="24"/>
        </w:rPr>
        <w:t> </w:t>
      </w:r>
      <w:r>
        <w:rPr>
          <w:sz w:val="24"/>
        </w:rPr>
        <w:t>the</w:t>
      </w:r>
      <w:r>
        <w:rPr>
          <w:spacing w:val="40"/>
          <w:sz w:val="24"/>
        </w:rPr>
        <w:t> </w:t>
      </w:r>
      <w:r>
        <w:rPr>
          <w:sz w:val="24"/>
        </w:rPr>
        <w:t>one with wash basin). Drop down </w:t>
      </w:r>
      <w:r>
        <w:rPr>
          <w:spacing w:val="9"/>
          <w:sz w:val="24"/>
        </w:rPr>
        <w:t>vertical </w:t>
      </w:r>
      <w:r>
        <w:rPr>
          <w:sz w:val="24"/>
        </w:rPr>
        <w:t>grab bars shall be provided on both sides</w:t>
      </w:r>
      <w:r>
        <w:rPr>
          <w:spacing w:val="40"/>
          <w:sz w:val="24"/>
        </w:rPr>
        <w:t> </w:t>
      </w:r>
      <w:r>
        <w:rPr>
          <w:sz w:val="24"/>
        </w:rPr>
        <w:t>of</w:t>
      </w:r>
      <w:r>
        <w:rPr>
          <w:spacing w:val="40"/>
          <w:sz w:val="24"/>
        </w:rPr>
        <w:t> </w:t>
      </w:r>
      <w:r>
        <w:rPr>
          <w:sz w:val="24"/>
        </w:rPr>
        <w:t>WC.</w:t>
      </w:r>
      <w:r>
        <w:rPr>
          <w:spacing w:val="40"/>
          <w:sz w:val="24"/>
        </w:rPr>
        <w:t> </w:t>
      </w:r>
      <w:r>
        <w:rPr>
          <w:sz w:val="24"/>
        </w:rPr>
        <w:t>Grab</w:t>
      </w:r>
      <w:r>
        <w:rPr>
          <w:spacing w:val="40"/>
          <w:sz w:val="24"/>
        </w:rPr>
        <w:t> </w:t>
      </w:r>
      <w:r>
        <w:rPr>
          <w:sz w:val="24"/>
        </w:rPr>
        <w:t>bars</w:t>
      </w:r>
      <w:r>
        <w:rPr>
          <w:spacing w:val="40"/>
          <w:sz w:val="24"/>
        </w:rPr>
        <w:t> </w:t>
      </w:r>
      <w:r>
        <w:rPr>
          <w:sz w:val="24"/>
        </w:rPr>
        <w:t>shall</w:t>
      </w:r>
      <w:r>
        <w:rPr>
          <w:spacing w:val="40"/>
          <w:sz w:val="24"/>
        </w:rPr>
        <w:t> </w:t>
      </w:r>
      <w:r>
        <w:rPr>
          <w:sz w:val="24"/>
        </w:rPr>
        <w:t>have</w:t>
      </w:r>
      <w:r>
        <w:rPr>
          <w:spacing w:val="40"/>
          <w:sz w:val="24"/>
        </w:rPr>
        <w:t> </w:t>
      </w:r>
      <w:r>
        <w:rPr>
          <w:sz w:val="24"/>
        </w:rPr>
        <w:t>50</w:t>
      </w:r>
      <w:r>
        <w:rPr>
          <w:spacing w:val="40"/>
          <w:sz w:val="24"/>
        </w:rPr>
        <w:t> </w:t>
      </w:r>
      <w:r>
        <w:rPr>
          <w:sz w:val="24"/>
        </w:rPr>
        <w:t>mm</w:t>
      </w:r>
      <w:r>
        <w:rPr>
          <w:spacing w:val="40"/>
          <w:sz w:val="24"/>
        </w:rPr>
        <w:t> </w:t>
      </w:r>
      <w:r>
        <w:rPr>
          <w:sz w:val="24"/>
        </w:rPr>
        <w:t>clearance</w:t>
      </w:r>
      <w:r>
        <w:rPr>
          <w:spacing w:val="40"/>
          <w:sz w:val="24"/>
        </w:rPr>
        <w:t> </w:t>
      </w:r>
      <w:r>
        <w:rPr>
          <w:sz w:val="24"/>
        </w:rPr>
        <w:t>from</w:t>
      </w:r>
      <w:r>
        <w:rPr>
          <w:spacing w:val="40"/>
          <w:sz w:val="24"/>
        </w:rPr>
        <w:t> </w:t>
      </w:r>
      <w:r>
        <w:rPr>
          <w:sz w:val="24"/>
        </w:rPr>
        <w:t>the</w:t>
      </w:r>
      <w:r>
        <w:rPr>
          <w:spacing w:val="40"/>
          <w:sz w:val="24"/>
        </w:rPr>
        <w:t> </w:t>
      </w:r>
      <w:r>
        <w:rPr>
          <w:sz w:val="24"/>
        </w:rPr>
        <w:t>wall.</w:t>
      </w:r>
      <w:r>
        <w:rPr>
          <w:spacing w:val="40"/>
          <w:sz w:val="24"/>
        </w:rPr>
        <w:t> </w:t>
      </w:r>
      <w:r>
        <w:rPr>
          <w:sz w:val="24"/>
        </w:rPr>
        <w:t>The grip</w:t>
      </w:r>
      <w:r>
        <w:rPr>
          <w:spacing w:val="40"/>
          <w:sz w:val="24"/>
        </w:rPr>
        <w:t> </w:t>
      </w:r>
      <w:r>
        <w:rPr>
          <w:sz w:val="24"/>
        </w:rPr>
        <w:t>space</w:t>
      </w:r>
      <w:r>
        <w:rPr>
          <w:spacing w:val="40"/>
          <w:sz w:val="24"/>
        </w:rPr>
        <w:t> </w:t>
      </w:r>
      <w:r>
        <w:rPr>
          <w:sz w:val="24"/>
        </w:rPr>
        <w:t>shall</w:t>
      </w:r>
      <w:r>
        <w:rPr>
          <w:spacing w:val="40"/>
          <w:sz w:val="24"/>
        </w:rPr>
        <w:t> </w:t>
      </w:r>
      <w:r>
        <w:rPr>
          <w:sz w:val="24"/>
        </w:rPr>
        <w:t>be</w:t>
      </w:r>
      <w:r>
        <w:rPr>
          <w:spacing w:val="40"/>
          <w:sz w:val="24"/>
        </w:rPr>
        <w:t> </w:t>
      </w:r>
      <w:r>
        <w:rPr>
          <w:sz w:val="24"/>
        </w:rPr>
        <w:t>0.30</w:t>
      </w:r>
      <w:r>
        <w:rPr>
          <w:spacing w:val="40"/>
          <w:sz w:val="24"/>
        </w:rPr>
        <w:t> </w:t>
      </w:r>
      <w:r>
        <w:rPr>
          <w:sz w:val="24"/>
        </w:rPr>
        <w:t>m</w:t>
      </w:r>
      <w:r>
        <w:rPr>
          <w:spacing w:val="40"/>
          <w:sz w:val="24"/>
        </w:rPr>
        <w:t> </w:t>
      </w:r>
      <w:r>
        <w:rPr>
          <w:sz w:val="24"/>
        </w:rPr>
        <w:t>clear</w:t>
      </w:r>
      <w:r>
        <w:rPr>
          <w:spacing w:val="40"/>
          <w:sz w:val="24"/>
        </w:rPr>
        <w:t> </w:t>
      </w:r>
      <w:r>
        <w:rPr>
          <w:sz w:val="24"/>
        </w:rPr>
        <w:t>of</w:t>
      </w:r>
      <w:r>
        <w:rPr>
          <w:spacing w:val="40"/>
          <w:sz w:val="24"/>
        </w:rPr>
        <w:t> </w:t>
      </w:r>
      <w:r>
        <w:rPr>
          <w:sz w:val="24"/>
        </w:rPr>
        <w:t>mounting</w:t>
      </w:r>
      <w:r>
        <w:rPr>
          <w:spacing w:val="40"/>
          <w:sz w:val="24"/>
        </w:rPr>
        <w:t> </w:t>
      </w:r>
      <w:r>
        <w:rPr>
          <w:sz w:val="24"/>
        </w:rPr>
        <w:t>wall.</w:t>
      </w:r>
      <w:r>
        <w:rPr>
          <w:spacing w:val="40"/>
          <w:sz w:val="24"/>
        </w:rPr>
        <w:t> </w:t>
      </w:r>
      <w:r>
        <w:rPr>
          <w:sz w:val="24"/>
        </w:rPr>
        <w:t>One</w:t>
      </w:r>
      <w:r>
        <w:rPr>
          <w:spacing w:val="40"/>
          <w:sz w:val="24"/>
        </w:rPr>
        <w:t> </w:t>
      </w:r>
      <w:r>
        <w:rPr>
          <w:sz w:val="24"/>
        </w:rPr>
        <w:t>folding</w:t>
      </w:r>
      <w:r>
        <w:rPr>
          <w:spacing w:val="40"/>
          <w:sz w:val="24"/>
        </w:rPr>
        <w:t> </w:t>
      </w:r>
      <w:r>
        <w:rPr>
          <w:sz w:val="24"/>
        </w:rPr>
        <w:t>grab</w:t>
      </w:r>
      <w:r>
        <w:rPr>
          <w:spacing w:val="40"/>
          <w:sz w:val="24"/>
        </w:rPr>
        <w:t> </w:t>
      </w:r>
      <w:r>
        <w:rPr>
          <w:sz w:val="24"/>
        </w:rPr>
        <w:t>rail on</w:t>
      </w:r>
      <w:r>
        <w:rPr>
          <w:spacing w:val="27"/>
          <w:sz w:val="24"/>
        </w:rPr>
        <w:t> </w:t>
      </w:r>
      <w:r>
        <w:rPr>
          <w:sz w:val="24"/>
        </w:rPr>
        <w:t>the</w:t>
      </w:r>
      <w:r>
        <w:rPr>
          <w:spacing w:val="28"/>
          <w:sz w:val="24"/>
        </w:rPr>
        <w:t> </w:t>
      </w:r>
      <w:r>
        <w:rPr>
          <w:sz w:val="24"/>
        </w:rPr>
        <w:t>wide</w:t>
      </w:r>
      <w:r>
        <w:rPr>
          <w:spacing w:val="28"/>
          <w:sz w:val="24"/>
        </w:rPr>
        <w:t> </w:t>
      </w:r>
      <w:r>
        <w:rPr>
          <w:sz w:val="24"/>
        </w:rPr>
        <w:t>side</w:t>
      </w:r>
      <w:r>
        <w:rPr>
          <w:spacing w:val="28"/>
          <w:sz w:val="24"/>
        </w:rPr>
        <w:t> </w:t>
      </w:r>
      <w:r>
        <w:rPr>
          <w:sz w:val="24"/>
        </w:rPr>
        <w:t>of</w:t>
      </w:r>
      <w:r>
        <w:rPr>
          <w:spacing w:val="28"/>
          <w:sz w:val="24"/>
        </w:rPr>
        <w:t> </w:t>
      </w:r>
      <w:r>
        <w:rPr>
          <w:sz w:val="24"/>
        </w:rPr>
        <w:t>the</w:t>
      </w:r>
      <w:r>
        <w:rPr>
          <w:spacing w:val="28"/>
          <w:sz w:val="24"/>
        </w:rPr>
        <w:t> </w:t>
      </w:r>
      <w:r>
        <w:rPr>
          <w:sz w:val="24"/>
        </w:rPr>
        <w:t>cubicle</w:t>
      </w:r>
      <w:r>
        <w:rPr>
          <w:spacing w:val="9"/>
          <w:sz w:val="24"/>
        </w:rPr>
        <w:t> adjacent </w:t>
      </w:r>
      <w:r>
        <w:rPr>
          <w:sz w:val="24"/>
        </w:rPr>
        <w:t>to</w:t>
      </w:r>
      <w:r>
        <w:rPr>
          <w:spacing w:val="27"/>
          <w:sz w:val="24"/>
        </w:rPr>
        <w:t> </w:t>
      </w:r>
      <w:r>
        <w:rPr>
          <w:sz w:val="24"/>
        </w:rPr>
        <w:t>the</w:t>
      </w:r>
      <w:r>
        <w:rPr>
          <w:spacing w:val="28"/>
          <w:sz w:val="24"/>
        </w:rPr>
        <w:t> </w:t>
      </w:r>
      <w:r>
        <w:rPr>
          <w:sz w:val="24"/>
        </w:rPr>
        <w:t>WC</w:t>
      </w:r>
      <w:r>
        <w:rPr>
          <w:spacing w:val="28"/>
          <w:sz w:val="24"/>
        </w:rPr>
        <w:t> </w:t>
      </w:r>
      <w:r>
        <w:rPr>
          <w:sz w:val="24"/>
        </w:rPr>
        <w:t>at</w:t>
      </w:r>
      <w:r>
        <w:rPr>
          <w:spacing w:val="28"/>
          <w:sz w:val="24"/>
        </w:rPr>
        <w:t> </w:t>
      </w:r>
      <w:r>
        <w:rPr>
          <w:sz w:val="24"/>
        </w:rPr>
        <w:t>a</w:t>
      </w:r>
      <w:r>
        <w:rPr>
          <w:spacing w:val="27"/>
          <w:sz w:val="24"/>
        </w:rPr>
        <w:t> </w:t>
      </w:r>
      <w:r>
        <w:rPr>
          <w:sz w:val="24"/>
        </w:rPr>
        <w:t>height</w:t>
      </w:r>
      <w:r>
        <w:rPr>
          <w:spacing w:val="28"/>
          <w:sz w:val="24"/>
        </w:rPr>
        <w:t> </w:t>
      </w:r>
      <w:r>
        <w:rPr>
          <w:sz w:val="24"/>
        </w:rPr>
        <w:t>from</w:t>
      </w:r>
      <w:r>
        <w:rPr>
          <w:spacing w:val="28"/>
          <w:sz w:val="24"/>
        </w:rPr>
        <w:t> </w:t>
      </w:r>
      <w:r>
        <w:rPr>
          <w:sz w:val="24"/>
        </w:rPr>
        <w:t>0.725 m</w:t>
      </w:r>
      <w:r>
        <w:rPr>
          <w:spacing w:val="40"/>
          <w:sz w:val="24"/>
        </w:rPr>
        <w:t> </w:t>
      </w:r>
      <w:r>
        <w:rPr>
          <w:sz w:val="24"/>
        </w:rPr>
        <w:t>to</w:t>
      </w:r>
      <w:r>
        <w:rPr>
          <w:spacing w:val="40"/>
          <w:sz w:val="24"/>
        </w:rPr>
        <w:t> </w:t>
      </w:r>
      <w:r>
        <w:rPr>
          <w:sz w:val="24"/>
        </w:rPr>
        <w:t>0.75</w:t>
      </w:r>
      <w:r>
        <w:rPr>
          <w:spacing w:val="40"/>
          <w:sz w:val="24"/>
        </w:rPr>
        <w:t> </w:t>
      </w:r>
      <w:r>
        <w:rPr>
          <w:sz w:val="24"/>
        </w:rPr>
        <w:t>m</w:t>
      </w:r>
      <w:r>
        <w:rPr>
          <w:spacing w:val="40"/>
          <w:sz w:val="24"/>
        </w:rPr>
        <w:t> </w:t>
      </w:r>
      <w:r>
        <w:rPr>
          <w:sz w:val="24"/>
        </w:rPr>
        <w:t>above</w:t>
      </w:r>
      <w:r>
        <w:rPr>
          <w:spacing w:val="40"/>
          <w:sz w:val="24"/>
        </w:rPr>
        <w:t> </w:t>
      </w:r>
      <w:r>
        <w:rPr>
          <w:sz w:val="24"/>
        </w:rPr>
        <w:t>the</w:t>
      </w:r>
      <w:r>
        <w:rPr>
          <w:spacing w:val="40"/>
          <w:sz w:val="24"/>
        </w:rPr>
        <w:t> </w:t>
      </w:r>
      <w:r>
        <w:rPr>
          <w:sz w:val="24"/>
        </w:rPr>
        <w:t>finished</w:t>
      </w:r>
      <w:r>
        <w:rPr>
          <w:spacing w:val="40"/>
          <w:sz w:val="24"/>
        </w:rPr>
        <w:t> </w:t>
      </w:r>
      <w:r>
        <w:rPr>
          <w:sz w:val="24"/>
        </w:rPr>
        <w:t>floor</w:t>
      </w:r>
      <w:r>
        <w:rPr>
          <w:spacing w:val="40"/>
          <w:sz w:val="24"/>
        </w:rPr>
        <w:t> </w:t>
      </w:r>
      <w:r>
        <w:rPr>
          <w:sz w:val="24"/>
        </w:rPr>
        <w:t>level</w:t>
      </w:r>
      <w:r>
        <w:rPr>
          <w:spacing w:val="40"/>
          <w:sz w:val="24"/>
        </w:rPr>
        <w:t> </w:t>
      </w:r>
      <w:r>
        <w:rPr>
          <w:sz w:val="24"/>
        </w:rPr>
        <w:t>when</w:t>
      </w:r>
      <w:r>
        <w:rPr>
          <w:spacing w:val="40"/>
          <w:sz w:val="24"/>
        </w:rPr>
        <w:t> </w:t>
      </w:r>
      <w:r>
        <w:rPr>
          <w:sz w:val="24"/>
        </w:rPr>
        <w:t>lowered</w:t>
      </w:r>
      <w:r>
        <w:rPr>
          <w:spacing w:val="40"/>
          <w:sz w:val="24"/>
        </w:rPr>
        <w:t> </w:t>
      </w:r>
      <w:r>
        <w:rPr>
          <w:sz w:val="24"/>
        </w:rPr>
        <w:t>from</w:t>
      </w:r>
      <w:r>
        <w:rPr>
          <w:spacing w:val="40"/>
          <w:sz w:val="24"/>
        </w:rPr>
        <w:t> </w:t>
      </w:r>
      <w:r>
        <w:rPr>
          <w:sz w:val="24"/>
        </w:rPr>
        <w:t>the</w:t>
      </w:r>
      <w:r>
        <w:rPr>
          <w:spacing w:val="40"/>
          <w:sz w:val="24"/>
        </w:rPr>
        <w:t> </w:t>
      </w:r>
      <w:r>
        <w:rPr>
          <w:sz w:val="24"/>
        </w:rPr>
        <w:t>wall.</w:t>
      </w:r>
    </w:p>
    <w:p>
      <w:pPr>
        <w:pStyle w:val="ListParagraph"/>
        <w:numPr>
          <w:ilvl w:val="0"/>
          <w:numId w:val="280"/>
        </w:numPr>
        <w:tabs>
          <w:tab w:pos="1635" w:val="left" w:leader="none"/>
        </w:tabs>
        <w:spacing w:line="240" w:lineRule="auto" w:before="1" w:after="0"/>
        <w:ind w:left="1313" w:right="787" w:firstLine="0"/>
        <w:jc w:val="both"/>
        <w:rPr>
          <w:sz w:val="24"/>
        </w:rPr>
      </w:pPr>
      <w:r>
        <w:rPr>
          <w:sz w:val="24"/>
        </w:rPr>
        <w:t>If</w:t>
      </w:r>
      <w:r>
        <w:rPr>
          <w:spacing w:val="40"/>
          <w:sz w:val="24"/>
        </w:rPr>
        <w:t> </w:t>
      </w:r>
      <w:r>
        <w:rPr>
          <w:sz w:val="24"/>
        </w:rPr>
        <w:t>more</w:t>
      </w:r>
      <w:r>
        <w:rPr>
          <w:spacing w:val="40"/>
          <w:sz w:val="24"/>
        </w:rPr>
        <w:t> </w:t>
      </w:r>
      <w:r>
        <w:rPr>
          <w:sz w:val="24"/>
        </w:rPr>
        <w:t>than</w:t>
      </w:r>
      <w:r>
        <w:rPr>
          <w:spacing w:val="40"/>
          <w:sz w:val="24"/>
        </w:rPr>
        <w:t> </w:t>
      </w:r>
      <w:r>
        <w:rPr>
          <w:sz w:val="24"/>
        </w:rPr>
        <w:t>one</w:t>
      </w:r>
      <w:r>
        <w:rPr>
          <w:spacing w:val="40"/>
          <w:sz w:val="24"/>
        </w:rPr>
        <w:t> </w:t>
      </w:r>
      <w:r>
        <w:rPr>
          <w:sz w:val="24"/>
        </w:rPr>
        <w:t>urinal</w:t>
      </w:r>
      <w:r>
        <w:rPr>
          <w:spacing w:val="40"/>
          <w:sz w:val="24"/>
        </w:rPr>
        <w:t> </w:t>
      </w:r>
      <w:r>
        <w:rPr>
          <w:sz w:val="24"/>
        </w:rPr>
        <w:t>is</w:t>
      </w:r>
      <w:r>
        <w:rPr>
          <w:spacing w:val="40"/>
          <w:sz w:val="24"/>
        </w:rPr>
        <w:t> </w:t>
      </w:r>
      <w:r>
        <w:rPr>
          <w:sz w:val="24"/>
        </w:rPr>
        <w:t>provided,</w:t>
      </w:r>
      <w:r>
        <w:rPr>
          <w:spacing w:val="40"/>
          <w:sz w:val="24"/>
        </w:rPr>
        <w:t> </w:t>
      </w:r>
      <w:r>
        <w:rPr>
          <w:sz w:val="24"/>
        </w:rPr>
        <w:t>at</w:t>
      </w:r>
      <w:r>
        <w:rPr>
          <w:spacing w:val="40"/>
          <w:sz w:val="24"/>
        </w:rPr>
        <w:t> </w:t>
      </w:r>
      <w:r>
        <w:rPr>
          <w:sz w:val="24"/>
        </w:rPr>
        <w:t>least</w:t>
      </w:r>
      <w:r>
        <w:rPr>
          <w:spacing w:val="40"/>
          <w:sz w:val="24"/>
        </w:rPr>
        <w:t> </w:t>
      </w:r>
      <w:r>
        <w:rPr>
          <w:sz w:val="24"/>
        </w:rPr>
        <w:t>one</w:t>
      </w:r>
      <w:r>
        <w:rPr>
          <w:spacing w:val="40"/>
          <w:sz w:val="24"/>
        </w:rPr>
        <w:t> </w:t>
      </w:r>
      <w:r>
        <w:rPr>
          <w:sz w:val="24"/>
        </w:rPr>
        <w:t>urinal</w:t>
      </w:r>
      <w:r>
        <w:rPr>
          <w:spacing w:val="40"/>
          <w:sz w:val="24"/>
        </w:rPr>
        <w:t> </w:t>
      </w:r>
      <w:r>
        <w:rPr>
          <w:sz w:val="24"/>
        </w:rPr>
        <w:t>shall</w:t>
      </w:r>
      <w:r>
        <w:rPr>
          <w:spacing w:val="40"/>
          <w:sz w:val="24"/>
        </w:rPr>
        <w:t> </w:t>
      </w:r>
      <w:r>
        <w:rPr>
          <w:sz w:val="24"/>
        </w:rPr>
        <w:t>have</w:t>
      </w:r>
      <w:r>
        <w:rPr>
          <w:spacing w:val="40"/>
          <w:sz w:val="24"/>
        </w:rPr>
        <w:t> </w:t>
      </w:r>
      <w:r>
        <w:rPr>
          <w:sz w:val="24"/>
        </w:rPr>
        <w:t>a clear leveled space of not less than 0.80 m wide x 1.5 m deep in front. A vertical</w:t>
      </w:r>
      <w:r>
        <w:rPr>
          <w:spacing w:val="40"/>
          <w:sz w:val="24"/>
        </w:rPr>
        <w:t> </w:t>
      </w:r>
      <w:r>
        <w:rPr>
          <w:sz w:val="24"/>
        </w:rPr>
        <w:t>grab</w:t>
      </w:r>
      <w:r>
        <w:rPr>
          <w:spacing w:val="40"/>
          <w:sz w:val="24"/>
        </w:rPr>
        <w:t> </w:t>
      </w:r>
      <w:r>
        <w:rPr>
          <w:sz w:val="24"/>
        </w:rPr>
        <w:t>rail</w:t>
      </w:r>
      <w:r>
        <w:rPr>
          <w:spacing w:val="40"/>
          <w:sz w:val="24"/>
        </w:rPr>
        <w:t> </w:t>
      </w:r>
      <w:r>
        <w:rPr>
          <w:sz w:val="24"/>
        </w:rPr>
        <w:t>near</w:t>
      </w:r>
      <w:r>
        <w:rPr>
          <w:spacing w:val="9"/>
          <w:sz w:val="24"/>
        </w:rPr>
        <w:t> urinal.</w:t>
      </w:r>
    </w:p>
    <w:p>
      <w:pPr>
        <w:pStyle w:val="ListParagraph"/>
        <w:numPr>
          <w:ilvl w:val="0"/>
          <w:numId w:val="280"/>
        </w:numPr>
        <w:tabs>
          <w:tab w:pos="1645" w:val="left" w:leader="none"/>
        </w:tabs>
        <w:spacing w:line="281" w:lineRule="exact" w:before="0" w:after="0"/>
        <w:ind w:left="1645" w:right="0" w:hanging="332"/>
        <w:jc w:val="both"/>
        <w:rPr>
          <w:sz w:val="24"/>
        </w:rPr>
      </w:pPr>
      <w:r>
        <w:rPr>
          <w:sz w:val="24"/>
        </w:rPr>
        <w:t>An</w:t>
      </w:r>
      <w:r>
        <w:rPr>
          <w:spacing w:val="49"/>
          <w:sz w:val="24"/>
        </w:rPr>
        <w:t> </w:t>
      </w:r>
      <w:r>
        <w:rPr>
          <w:sz w:val="24"/>
        </w:rPr>
        <w:t>emergency</w:t>
      </w:r>
      <w:r>
        <w:rPr>
          <w:spacing w:val="49"/>
          <w:sz w:val="24"/>
        </w:rPr>
        <w:t> </w:t>
      </w:r>
      <w:r>
        <w:rPr>
          <w:sz w:val="24"/>
        </w:rPr>
        <w:t>call</w:t>
      </w:r>
      <w:r>
        <w:rPr>
          <w:spacing w:val="49"/>
          <w:sz w:val="24"/>
        </w:rPr>
        <w:t> </w:t>
      </w:r>
      <w:r>
        <w:rPr>
          <w:sz w:val="24"/>
        </w:rPr>
        <w:t>bell</w:t>
      </w:r>
      <w:r>
        <w:rPr>
          <w:spacing w:val="49"/>
          <w:sz w:val="24"/>
        </w:rPr>
        <w:t> </w:t>
      </w:r>
      <w:r>
        <w:rPr>
          <w:sz w:val="24"/>
        </w:rPr>
        <w:t>shall</w:t>
      </w:r>
      <w:r>
        <w:rPr>
          <w:spacing w:val="49"/>
          <w:sz w:val="24"/>
        </w:rPr>
        <w:t> </w:t>
      </w:r>
      <w:r>
        <w:rPr>
          <w:sz w:val="24"/>
        </w:rPr>
        <w:t>be</w:t>
      </w:r>
      <w:r>
        <w:rPr>
          <w:spacing w:val="50"/>
          <w:sz w:val="24"/>
        </w:rPr>
        <w:t> </w:t>
      </w:r>
      <w:r>
        <w:rPr>
          <w:sz w:val="24"/>
        </w:rPr>
        <w:t>provided</w:t>
      </w:r>
      <w:r>
        <w:rPr>
          <w:spacing w:val="49"/>
          <w:sz w:val="24"/>
        </w:rPr>
        <w:t> </w:t>
      </w:r>
      <w:r>
        <w:rPr>
          <w:sz w:val="24"/>
        </w:rPr>
        <w:t>in</w:t>
      </w:r>
      <w:r>
        <w:rPr>
          <w:spacing w:val="49"/>
          <w:sz w:val="24"/>
        </w:rPr>
        <w:t> </w:t>
      </w:r>
      <w:r>
        <w:rPr>
          <w:sz w:val="24"/>
        </w:rPr>
        <w:t>an</w:t>
      </w:r>
      <w:r>
        <w:rPr>
          <w:spacing w:val="49"/>
          <w:sz w:val="24"/>
        </w:rPr>
        <w:t> </w:t>
      </w:r>
      <w:r>
        <w:rPr>
          <w:sz w:val="24"/>
        </w:rPr>
        <w:t>accessible</w:t>
      </w:r>
      <w:r>
        <w:rPr>
          <w:spacing w:val="49"/>
          <w:sz w:val="24"/>
        </w:rPr>
        <w:t> </w:t>
      </w:r>
      <w:r>
        <w:rPr>
          <w:sz w:val="24"/>
        </w:rPr>
        <w:t>WC</w:t>
      </w:r>
      <w:r>
        <w:rPr>
          <w:spacing w:val="50"/>
          <w:sz w:val="24"/>
        </w:rPr>
        <w:t> </w:t>
      </w:r>
      <w:r>
        <w:rPr>
          <w:spacing w:val="-2"/>
          <w:sz w:val="24"/>
        </w:rPr>
        <w:t>cubicle.</w:t>
      </w:r>
    </w:p>
    <w:p>
      <w:pPr>
        <w:pStyle w:val="ListParagraph"/>
        <w:numPr>
          <w:ilvl w:val="1"/>
          <w:numId w:val="264"/>
        </w:numPr>
        <w:tabs>
          <w:tab w:pos="2211" w:val="left" w:leader="none"/>
        </w:tabs>
        <w:spacing w:line="240" w:lineRule="auto" w:before="280" w:after="0"/>
        <w:ind w:left="1313" w:right="791" w:firstLine="0"/>
        <w:jc w:val="both"/>
        <w:rPr>
          <w:sz w:val="24"/>
        </w:rPr>
      </w:pPr>
      <w:r>
        <w:rPr>
          <w:sz w:val="24"/>
        </w:rPr>
        <w:t>Drinking</w:t>
      </w:r>
      <w:r>
        <w:rPr>
          <w:spacing w:val="40"/>
          <w:sz w:val="24"/>
        </w:rPr>
        <w:t> </w:t>
      </w:r>
      <w:r>
        <w:rPr>
          <w:sz w:val="24"/>
        </w:rPr>
        <w:t>Water-</w:t>
      </w:r>
      <w:r>
        <w:rPr>
          <w:spacing w:val="40"/>
          <w:sz w:val="24"/>
        </w:rPr>
        <w:t> </w:t>
      </w:r>
      <w:r>
        <w:rPr>
          <w:sz w:val="24"/>
        </w:rPr>
        <w:t>Suitable</w:t>
      </w:r>
      <w:r>
        <w:rPr>
          <w:spacing w:val="40"/>
          <w:sz w:val="24"/>
        </w:rPr>
        <w:t> </w:t>
      </w:r>
      <w:r>
        <w:rPr>
          <w:sz w:val="24"/>
        </w:rPr>
        <w:t>provision</w:t>
      </w:r>
      <w:r>
        <w:rPr>
          <w:spacing w:val="40"/>
          <w:sz w:val="24"/>
        </w:rPr>
        <w:t> </w:t>
      </w:r>
      <w:r>
        <w:rPr>
          <w:sz w:val="24"/>
        </w:rPr>
        <w:t>of</w:t>
      </w:r>
      <w:r>
        <w:rPr>
          <w:spacing w:val="40"/>
          <w:sz w:val="24"/>
        </w:rPr>
        <w:t> </w:t>
      </w:r>
      <w:r>
        <w:rPr>
          <w:sz w:val="24"/>
        </w:rPr>
        <w:t>drinking</w:t>
      </w:r>
      <w:r>
        <w:rPr>
          <w:spacing w:val="40"/>
          <w:sz w:val="24"/>
        </w:rPr>
        <w:t> </w:t>
      </w:r>
      <w:r>
        <w:rPr>
          <w:sz w:val="24"/>
        </w:rPr>
        <w:t>water</w:t>
      </w:r>
      <w:r>
        <w:rPr>
          <w:spacing w:val="40"/>
          <w:sz w:val="24"/>
        </w:rPr>
        <w:t> </w:t>
      </w:r>
      <w:r>
        <w:rPr>
          <w:sz w:val="24"/>
        </w:rPr>
        <w:t>shall</w:t>
      </w:r>
      <w:r>
        <w:rPr>
          <w:spacing w:val="40"/>
          <w:sz w:val="24"/>
        </w:rPr>
        <w:t> </w:t>
      </w:r>
      <w:r>
        <w:rPr>
          <w:sz w:val="24"/>
        </w:rPr>
        <w:t>be</w:t>
      </w:r>
      <w:r>
        <w:rPr>
          <w:spacing w:val="40"/>
          <w:sz w:val="24"/>
        </w:rPr>
        <w:t> </w:t>
      </w:r>
      <w:r>
        <w:rPr>
          <w:sz w:val="24"/>
        </w:rPr>
        <w:t>made</w:t>
      </w:r>
      <w:r>
        <w:rPr>
          <w:spacing w:val="80"/>
          <w:sz w:val="24"/>
        </w:rPr>
        <w:t> </w:t>
      </w:r>
      <w:r>
        <w:rPr>
          <w:sz w:val="24"/>
        </w:rPr>
        <w:t>for</w:t>
      </w:r>
      <w:r>
        <w:rPr>
          <w:spacing w:val="80"/>
          <w:sz w:val="24"/>
        </w:rPr>
        <w:t> </w:t>
      </w:r>
      <w:r>
        <w:rPr>
          <w:sz w:val="24"/>
        </w:rPr>
        <w:t>the</w:t>
      </w:r>
      <w:r>
        <w:rPr>
          <w:spacing w:val="80"/>
          <w:sz w:val="24"/>
        </w:rPr>
        <w:t> </w:t>
      </w:r>
      <w:r>
        <w:rPr>
          <w:sz w:val="24"/>
        </w:rPr>
        <w:t>Differently</w:t>
      </w:r>
      <w:r>
        <w:rPr>
          <w:spacing w:val="80"/>
          <w:sz w:val="24"/>
        </w:rPr>
        <w:t> </w:t>
      </w:r>
      <w:r>
        <w:rPr>
          <w:sz w:val="24"/>
        </w:rPr>
        <w:t>abled</w:t>
      </w:r>
      <w:r>
        <w:rPr>
          <w:spacing w:val="80"/>
          <w:sz w:val="24"/>
        </w:rPr>
        <w:t> </w:t>
      </w:r>
      <w:r>
        <w:rPr>
          <w:sz w:val="24"/>
        </w:rPr>
        <w:t>persons</w:t>
      </w:r>
      <w:r>
        <w:rPr>
          <w:spacing w:val="80"/>
          <w:sz w:val="24"/>
        </w:rPr>
        <w:t> </w:t>
      </w:r>
      <w:r>
        <w:rPr>
          <w:sz w:val="24"/>
        </w:rPr>
        <w:t>near</w:t>
      </w:r>
      <w:r>
        <w:rPr>
          <w:spacing w:val="80"/>
          <w:sz w:val="24"/>
        </w:rPr>
        <w:t> </w:t>
      </w:r>
      <w:r>
        <w:rPr>
          <w:sz w:val="24"/>
        </w:rPr>
        <w:t>the</w:t>
      </w:r>
      <w:r>
        <w:rPr>
          <w:spacing w:val="80"/>
          <w:sz w:val="24"/>
        </w:rPr>
        <w:t> </w:t>
      </w:r>
      <w:r>
        <w:rPr>
          <w:sz w:val="24"/>
        </w:rPr>
        <w:t>special</w:t>
      </w:r>
      <w:r>
        <w:rPr>
          <w:spacing w:val="80"/>
          <w:sz w:val="24"/>
        </w:rPr>
        <w:t> </w:t>
      </w:r>
      <w:r>
        <w:rPr>
          <w:sz w:val="24"/>
        </w:rPr>
        <w:t>toilet</w:t>
      </w:r>
      <w:r>
        <w:rPr>
          <w:spacing w:val="80"/>
          <w:sz w:val="24"/>
        </w:rPr>
        <w:t> </w:t>
      </w:r>
      <w:r>
        <w:rPr>
          <w:sz w:val="24"/>
        </w:rPr>
        <w:t>provided for them.</w:t>
      </w:r>
    </w:p>
    <w:p>
      <w:pPr>
        <w:pStyle w:val="BodyText"/>
        <w:spacing w:before="1"/>
        <w:jc w:val="left"/>
      </w:pPr>
    </w:p>
    <w:p>
      <w:pPr>
        <w:pStyle w:val="ListParagraph"/>
        <w:numPr>
          <w:ilvl w:val="1"/>
          <w:numId w:val="264"/>
        </w:numPr>
        <w:tabs>
          <w:tab w:pos="1806" w:val="left" w:leader="none"/>
        </w:tabs>
        <w:spacing w:line="240" w:lineRule="auto" w:before="0" w:after="0"/>
        <w:ind w:left="1313" w:right="782" w:firstLine="0"/>
        <w:jc w:val="both"/>
        <w:rPr>
          <w:sz w:val="24"/>
        </w:rPr>
      </w:pPr>
      <w:r>
        <w:rPr>
          <w:sz w:val="24"/>
        </w:rPr>
        <w:t>Designing</w:t>
      </w:r>
      <w:r>
        <w:rPr>
          <w:spacing w:val="40"/>
          <w:sz w:val="24"/>
        </w:rPr>
        <w:t> </w:t>
      </w:r>
      <w:r>
        <w:rPr>
          <w:sz w:val="24"/>
        </w:rPr>
        <w:t>for</w:t>
      </w:r>
      <w:r>
        <w:rPr>
          <w:spacing w:val="40"/>
          <w:sz w:val="24"/>
        </w:rPr>
        <w:t> </w:t>
      </w:r>
      <w:r>
        <w:rPr>
          <w:sz w:val="24"/>
        </w:rPr>
        <w:t>Children-</w:t>
      </w:r>
      <w:r>
        <w:rPr>
          <w:spacing w:val="40"/>
          <w:sz w:val="24"/>
        </w:rPr>
        <w:t> </w:t>
      </w:r>
      <w:r>
        <w:rPr>
          <w:sz w:val="24"/>
        </w:rPr>
        <w:t>In</w:t>
      </w:r>
      <w:r>
        <w:rPr>
          <w:spacing w:val="40"/>
          <w:sz w:val="24"/>
        </w:rPr>
        <w:t> </w:t>
      </w:r>
      <w:r>
        <w:rPr>
          <w:sz w:val="24"/>
        </w:rPr>
        <w:t>the</w:t>
      </w:r>
      <w:r>
        <w:rPr>
          <w:spacing w:val="40"/>
          <w:sz w:val="24"/>
        </w:rPr>
        <w:t> </w:t>
      </w:r>
      <w:r>
        <w:rPr>
          <w:sz w:val="24"/>
        </w:rPr>
        <w:t>buildings,</w:t>
      </w:r>
      <w:r>
        <w:rPr>
          <w:spacing w:val="40"/>
          <w:sz w:val="24"/>
        </w:rPr>
        <w:t> </w:t>
      </w:r>
      <w:r>
        <w:rPr>
          <w:sz w:val="24"/>
        </w:rPr>
        <w:t>including</w:t>
      </w:r>
      <w:r>
        <w:rPr>
          <w:spacing w:val="40"/>
          <w:sz w:val="24"/>
        </w:rPr>
        <w:t> </w:t>
      </w:r>
      <w:r>
        <w:rPr>
          <w:sz w:val="24"/>
        </w:rPr>
        <w:t>toilet,</w:t>
      </w:r>
      <w:r>
        <w:rPr>
          <w:spacing w:val="40"/>
          <w:sz w:val="24"/>
        </w:rPr>
        <w:t> </w:t>
      </w:r>
      <w:r>
        <w:rPr>
          <w:sz w:val="24"/>
        </w:rPr>
        <w:t>meant</w:t>
      </w:r>
      <w:r>
        <w:rPr>
          <w:spacing w:val="40"/>
          <w:sz w:val="24"/>
        </w:rPr>
        <w:t> </w:t>
      </w:r>
      <w:r>
        <w:rPr>
          <w:sz w:val="24"/>
        </w:rPr>
        <w:t>for the</w:t>
      </w:r>
      <w:r>
        <w:rPr>
          <w:spacing w:val="40"/>
          <w:sz w:val="24"/>
        </w:rPr>
        <w:t> </w:t>
      </w:r>
      <w:r>
        <w:rPr>
          <w:sz w:val="24"/>
        </w:rPr>
        <w:t>predominant</w:t>
      </w:r>
      <w:r>
        <w:rPr>
          <w:spacing w:val="40"/>
          <w:sz w:val="24"/>
        </w:rPr>
        <w:t> </w:t>
      </w:r>
      <w:r>
        <w:rPr>
          <w:sz w:val="24"/>
        </w:rPr>
        <w:t>use</w:t>
      </w:r>
      <w:r>
        <w:rPr>
          <w:spacing w:val="40"/>
          <w:sz w:val="24"/>
        </w:rPr>
        <w:t> </w:t>
      </w:r>
      <w:r>
        <w:rPr>
          <w:sz w:val="24"/>
        </w:rPr>
        <w:t>by</w:t>
      </w:r>
      <w:r>
        <w:rPr>
          <w:spacing w:val="40"/>
          <w:sz w:val="24"/>
        </w:rPr>
        <w:t> </w:t>
      </w:r>
      <w:r>
        <w:rPr>
          <w:sz w:val="24"/>
        </w:rPr>
        <w:t>children,</w:t>
      </w:r>
      <w:r>
        <w:rPr>
          <w:spacing w:val="40"/>
          <w:sz w:val="24"/>
        </w:rPr>
        <w:t> </w:t>
      </w:r>
      <w:r>
        <w:rPr>
          <w:sz w:val="24"/>
        </w:rPr>
        <w:t>it</w:t>
      </w:r>
      <w:r>
        <w:rPr>
          <w:spacing w:val="40"/>
          <w:sz w:val="24"/>
        </w:rPr>
        <w:t> </w:t>
      </w:r>
      <w:r>
        <w:rPr>
          <w:sz w:val="24"/>
        </w:rPr>
        <w:t>will</w:t>
      </w:r>
      <w:r>
        <w:rPr>
          <w:spacing w:val="40"/>
          <w:sz w:val="24"/>
        </w:rPr>
        <w:t> </w:t>
      </w:r>
      <w:r>
        <w:rPr>
          <w:sz w:val="24"/>
        </w:rPr>
        <w:t>be</w:t>
      </w:r>
      <w:r>
        <w:rPr>
          <w:spacing w:val="40"/>
          <w:sz w:val="24"/>
        </w:rPr>
        <w:t> </w:t>
      </w:r>
      <w:r>
        <w:rPr>
          <w:sz w:val="24"/>
        </w:rPr>
        <w:t>mandatory</w:t>
      </w:r>
      <w:r>
        <w:rPr>
          <w:spacing w:val="40"/>
          <w:sz w:val="24"/>
        </w:rPr>
        <w:t> </w:t>
      </w:r>
      <w:r>
        <w:rPr>
          <w:sz w:val="24"/>
        </w:rPr>
        <w:t>to</w:t>
      </w:r>
      <w:r>
        <w:rPr>
          <w:spacing w:val="80"/>
          <w:sz w:val="24"/>
        </w:rPr>
        <w:t> </w:t>
      </w:r>
      <w:r>
        <w:rPr>
          <w:sz w:val="24"/>
        </w:rPr>
        <w:t>adjust</w:t>
      </w:r>
      <w:r>
        <w:rPr>
          <w:spacing w:val="40"/>
          <w:sz w:val="24"/>
        </w:rPr>
        <w:t> </w:t>
      </w:r>
      <w:r>
        <w:rPr>
          <w:sz w:val="24"/>
        </w:rPr>
        <w:t>the height</w:t>
      </w:r>
      <w:r>
        <w:rPr>
          <w:spacing w:val="40"/>
          <w:sz w:val="24"/>
        </w:rPr>
        <w:t> </w:t>
      </w:r>
      <w:r>
        <w:rPr>
          <w:sz w:val="24"/>
        </w:rPr>
        <w:t>of</w:t>
      </w:r>
      <w:r>
        <w:rPr>
          <w:spacing w:val="40"/>
          <w:sz w:val="24"/>
        </w:rPr>
        <w:t> </w:t>
      </w:r>
      <w:r>
        <w:rPr>
          <w:sz w:val="24"/>
        </w:rPr>
        <w:t>the</w:t>
      </w:r>
      <w:r>
        <w:rPr>
          <w:spacing w:val="40"/>
          <w:sz w:val="24"/>
        </w:rPr>
        <w:t> </w:t>
      </w:r>
      <w:r>
        <w:rPr>
          <w:sz w:val="24"/>
        </w:rPr>
        <w:t>handrail</w:t>
      </w:r>
      <w:r>
        <w:rPr>
          <w:spacing w:val="40"/>
          <w:sz w:val="24"/>
        </w:rPr>
        <w:t> </w:t>
      </w:r>
      <w:r>
        <w:rPr>
          <w:sz w:val="24"/>
        </w:rPr>
        <w:t>and</w:t>
      </w:r>
      <w:r>
        <w:rPr>
          <w:spacing w:val="40"/>
          <w:sz w:val="24"/>
        </w:rPr>
        <w:t> </w:t>
      </w:r>
      <w:r>
        <w:rPr>
          <w:sz w:val="24"/>
        </w:rPr>
        <w:t>other</w:t>
      </w:r>
      <w:r>
        <w:rPr>
          <w:spacing w:val="40"/>
          <w:sz w:val="24"/>
        </w:rPr>
        <w:t> </w:t>
      </w:r>
      <w:r>
        <w:rPr>
          <w:sz w:val="24"/>
        </w:rPr>
        <w:t>fittings</w:t>
      </w:r>
      <w:r>
        <w:rPr>
          <w:spacing w:val="40"/>
          <w:sz w:val="24"/>
        </w:rPr>
        <w:t> </w:t>
      </w:r>
      <w:r>
        <w:rPr>
          <w:sz w:val="24"/>
        </w:rPr>
        <w:t>and</w:t>
      </w:r>
      <w:r>
        <w:rPr>
          <w:spacing w:val="40"/>
          <w:sz w:val="24"/>
        </w:rPr>
        <w:t> </w:t>
      </w:r>
      <w:r>
        <w:rPr>
          <w:sz w:val="24"/>
        </w:rPr>
        <w:t>fixtures,</w:t>
      </w:r>
      <w:r>
        <w:rPr>
          <w:spacing w:val="40"/>
          <w:sz w:val="24"/>
        </w:rPr>
        <w:t> </w:t>
      </w:r>
      <w:r>
        <w:rPr>
          <w:sz w:val="24"/>
        </w:rPr>
        <w:t>etc.</w:t>
      </w:r>
      <w:r>
        <w:rPr>
          <w:spacing w:val="40"/>
          <w:sz w:val="24"/>
        </w:rPr>
        <w:t> </w:t>
      </w:r>
      <w:r>
        <w:rPr>
          <w:spacing w:val="9"/>
          <w:sz w:val="24"/>
        </w:rPr>
        <w:t>suitably.</w:t>
      </w:r>
    </w:p>
    <w:p>
      <w:pPr>
        <w:pStyle w:val="BodyText"/>
        <w:spacing w:before="1"/>
        <w:jc w:val="left"/>
      </w:pPr>
    </w:p>
    <w:p>
      <w:pPr>
        <w:pStyle w:val="ListParagraph"/>
        <w:numPr>
          <w:ilvl w:val="1"/>
          <w:numId w:val="264"/>
        </w:numPr>
        <w:tabs>
          <w:tab w:pos="2069" w:val="left" w:leader="none"/>
        </w:tabs>
        <w:spacing w:line="240" w:lineRule="auto" w:before="0" w:after="0"/>
        <w:ind w:left="2069" w:right="0" w:hanging="605"/>
        <w:jc w:val="left"/>
        <w:rPr>
          <w:sz w:val="24"/>
        </w:rPr>
      </w:pPr>
      <w:r>
        <w:rPr>
          <w:sz w:val="24"/>
        </w:rPr>
        <w:t>Protruded</w:t>
      </w:r>
      <w:r>
        <w:rPr>
          <w:spacing w:val="-8"/>
          <w:sz w:val="24"/>
        </w:rPr>
        <w:t> </w:t>
      </w:r>
      <w:r>
        <w:rPr>
          <w:sz w:val="24"/>
        </w:rPr>
        <w:t>objects</w:t>
      </w:r>
      <w:r>
        <w:rPr>
          <w:spacing w:val="-8"/>
          <w:sz w:val="24"/>
        </w:rPr>
        <w:t> </w:t>
      </w:r>
      <w:r>
        <w:rPr>
          <w:sz w:val="24"/>
        </w:rPr>
        <w:t>in</w:t>
      </w:r>
      <w:r>
        <w:rPr>
          <w:spacing w:val="-8"/>
          <w:sz w:val="24"/>
        </w:rPr>
        <w:t> </w:t>
      </w:r>
      <w:r>
        <w:rPr>
          <w:sz w:val="24"/>
        </w:rPr>
        <w:t>the</w:t>
      </w:r>
      <w:r>
        <w:rPr>
          <w:spacing w:val="-8"/>
          <w:sz w:val="24"/>
        </w:rPr>
        <w:t> </w:t>
      </w:r>
      <w:r>
        <w:rPr>
          <w:sz w:val="24"/>
        </w:rPr>
        <w:t>common</w:t>
      </w:r>
      <w:r>
        <w:rPr>
          <w:spacing w:val="-8"/>
          <w:sz w:val="24"/>
        </w:rPr>
        <w:t> </w:t>
      </w:r>
      <w:r>
        <w:rPr>
          <w:sz w:val="24"/>
        </w:rPr>
        <w:t>areas</w:t>
      </w:r>
      <w:r>
        <w:rPr>
          <w:spacing w:val="-8"/>
          <w:sz w:val="24"/>
        </w:rPr>
        <w:t> </w:t>
      </w:r>
      <w:r>
        <w:rPr>
          <w:sz w:val="24"/>
        </w:rPr>
        <w:t>or</w:t>
      </w:r>
      <w:r>
        <w:rPr>
          <w:spacing w:val="-14"/>
          <w:sz w:val="24"/>
        </w:rPr>
        <w:t> </w:t>
      </w:r>
      <w:r>
        <w:rPr>
          <w:sz w:val="24"/>
        </w:rPr>
        <w:t>common</w:t>
      </w:r>
      <w:r>
        <w:rPr>
          <w:spacing w:val="-7"/>
          <w:sz w:val="24"/>
        </w:rPr>
        <w:t> </w:t>
      </w:r>
      <w:r>
        <w:rPr>
          <w:spacing w:val="-4"/>
          <w:sz w:val="24"/>
        </w:rPr>
        <w:t>ways</w:t>
      </w:r>
    </w:p>
    <w:p>
      <w:pPr>
        <w:pStyle w:val="ListParagraph"/>
        <w:numPr>
          <w:ilvl w:val="1"/>
          <w:numId w:val="280"/>
        </w:numPr>
        <w:tabs>
          <w:tab w:pos="1628" w:val="left" w:leader="none"/>
        </w:tabs>
        <w:spacing w:line="240" w:lineRule="auto" w:before="280" w:after="0"/>
        <w:ind w:left="1628" w:right="0" w:hanging="315"/>
        <w:jc w:val="left"/>
        <w:rPr>
          <w:sz w:val="24"/>
        </w:rPr>
      </w:pPr>
      <w:r>
        <w:rPr>
          <w:sz w:val="24"/>
        </w:rPr>
        <w:t>Objects</w:t>
      </w:r>
      <w:r>
        <w:rPr>
          <w:spacing w:val="42"/>
          <w:sz w:val="24"/>
        </w:rPr>
        <w:t> </w:t>
      </w:r>
      <w:r>
        <w:rPr>
          <w:sz w:val="24"/>
        </w:rPr>
        <w:t>or</w:t>
      </w:r>
      <w:r>
        <w:rPr>
          <w:spacing w:val="44"/>
          <w:sz w:val="24"/>
        </w:rPr>
        <w:t> </w:t>
      </w:r>
      <w:r>
        <w:rPr>
          <w:sz w:val="24"/>
        </w:rPr>
        <w:t>obstructions,</w:t>
      </w:r>
      <w:r>
        <w:rPr>
          <w:spacing w:val="49"/>
          <w:sz w:val="24"/>
        </w:rPr>
        <w:t> </w:t>
      </w:r>
      <w:r>
        <w:rPr>
          <w:sz w:val="24"/>
        </w:rPr>
        <w:t>with</w:t>
      </w:r>
      <w:r>
        <w:rPr>
          <w:spacing w:val="44"/>
          <w:sz w:val="24"/>
        </w:rPr>
        <w:t> </w:t>
      </w:r>
      <w:r>
        <w:rPr>
          <w:sz w:val="24"/>
        </w:rPr>
        <w:t>their</w:t>
      </w:r>
      <w:r>
        <w:rPr>
          <w:spacing w:val="49"/>
          <w:sz w:val="24"/>
        </w:rPr>
        <w:t> </w:t>
      </w:r>
      <w:r>
        <w:rPr>
          <w:sz w:val="24"/>
        </w:rPr>
        <w:t>leading</w:t>
      </w:r>
      <w:r>
        <w:rPr>
          <w:spacing w:val="45"/>
          <w:sz w:val="24"/>
        </w:rPr>
        <w:t> </w:t>
      </w:r>
      <w:r>
        <w:rPr>
          <w:sz w:val="24"/>
        </w:rPr>
        <w:t>edges</w:t>
      </w:r>
      <w:r>
        <w:rPr>
          <w:spacing w:val="44"/>
          <w:sz w:val="24"/>
        </w:rPr>
        <w:t> </w:t>
      </w:r>
      <w:r>
        <w:rPr>
          <w:sz w:val="24"/>
        </w:rPr>
        <w:t>at</w:t>
      </w:r>
      <w:r>
        <w:rPr>
          <w:spacing w:val="49"/>
          <w:sz w:val="24"/>
        </w:rPr>
        <w:t> </w:t>
      </w:r>
      <w:r>
        <w:rPr>
          <w:sz w:val="24"/>
        </w:rPr>
        <w:t>any</w:t>
      </w:r>
      <w:r>
        <w:rPr>
          <w:spacing w:val="44"/>
          <w:sz w:val="24"/>
        </w:rPr>
        <w:t> </w:t>
      </w:r>
      <w:r>
        <w:rPr>
          <w:sz w:val="24"/>
        </w:rPr>
        <w:t>height</w:t>
      </w:r>
      <w:r>
        <w:rPr>
          <w:spacing w:val="45"/>
          <w:sz w:val="24"/>
        </w:rPr>
        <w:t> </w:t>
      </w:r>
      <w:r>
        <w:rPr>
          <w:spacing w:val="-2"/>
          <w:sz w:val="24"/>
        </w:rPr>
        <w:t>above</w:t>
      </w:r>
    </w:p>
    <w:p>
      <w:pPr>
        <w:pStyle w:val="BodyText"/>
        <w:spacing w:before="2"/>
        <w:ind w:left="1313" w:right="838"/>
        <w:jc w:val="left"/>
      </w:pPr>
      <w:r>
        <w:rPr/>
        <w:t>0.580</w:t>
      </w:r>
      <w:r>
        <w:rPr>
          <w:spacing w:val="40"/>
        </w:rPr>
        <w:t> </w:t>
      </w:r>
      <w:r>
        <w:rPr/>
        <w:t>m</w:t>
      </w:r>
      <w:r>
        <w:rPr>
          <w:spacing w:val="40"/>
        </w:rPr>
        <w:t> </w:t>
      </w:r>
      <w:r>
        <w:rPr/>
        <w:t>from</w:t>
      </w:r>
      <w:r>
        <w:rPr>
          <w:spacing w:val="40"/>
        </w:rPr>
        <w:t> </w:t>
      </w:r>
      <w:r>
        <w:rPr/>
        <w:t>the</w:t>
      </w:r>
      <w:r>
        <w:rPr>
          <w:spacing w:val="40"/>
        </w:rPr>
        <w:t> </w:t>
      </w:r>
      <w:r>
        <w:rPr/>
        <w:t>floor</w:t>
      </w:r>
      <w:r>
        <w:rPr>
          <w:spacing w:val="40"/>
        </w:rPr>
        <w:t> </w:t>
      </w:r>
      <w:r>
        <w:rPr/>
        <w:t>level</w:t>
      </w:r>
      <w:r>
        <w:rPr>
          <w:spacing w:val="40"/>
        </w:rPr>
        <w:t> </w:t>
      </w:r>
      <w:r>
        <w:rPr/>
        <w:t>shall</w:t>
      </w:r>
      <w:r>
        <w:rPr>
          <w:spacing w:val="40"/>
        </w:rPr>
        <w:t> </w:t>
      </w:r>
      <w:r>
        <w:rPr/>
        <w:t>not</w:t>
      </w:r>
      <w:r>
        <w:rPr>
          <w:spacing w:val="40"/>
        </w:rPr>
        <w:t> </w:t>
      </w:r>
      <w:r>
        <w:rPr/>
        <w:t>protrude</w:t>
      </w:r>
      <w:r>
        <w:rPr>
          <w:spacing w:val="40"/>
        </w:rPr>
        <w:t> </w:t>
      </w:r>
      <w:r>
        <w:rPr/>
        <w:t>more</w:t>
      </w:r>
      <w:r>
        <w:rPr>
          <w:spacing w:val="40"/>
        </w:rPr>
        <w:t> </w:t>
      </w:r>
      <w:r>
        <w:rPr/>
        <w:t>than</w:t>
      </w:r>
      <w:r>
        <w:rPr>
          <w:spacing w:val="40"/>
        </w:rPr>
        <w:t> </w:t>
      </w:r>
      <w:r>
        <w:rPr/>
        <w:t>0.1</w:t>
      </w:r>
      <w:r>
        <w:rPr>
          <w:spacing w:val="40"/>
        </w:rPr>
        <w:t> </w:t>
      </w:r>
      <w:r>
        <w:rPr/>
        <w:t>m</w:t>
      </w:r>
      <w:r>
        <w:rPr>
          <w:spacing w:val="40"/>
        </w:rPr>
        <w:t> </w:t>
      </w:r>
      <w:r>
        <w:rPr/>
        <w:t>in</w:t>
      </w:r>
      <w:r>
        <w:rPr>
          <w:spacing w:val="40"/>
        </w:rPr>
        <w:t> </w:t>
      </w:r>
      <w:r>
        <w:rPr/>
        <w:t>to pedestrian</w:t>
      </w:r>
      <w:r>
        <w:rPr>
          <w:spacing w:val="40"/>
        </w:rPr>
        <w:t> </w:t>
      </w:r>
      <w:r>
        <w:rPr/>
        <w:t>areas</w:t>
      </w:r>
      <w:r>
        <w:rPr>
          <w:spacing w:val="40"/>
        </w:rPr>
        <w:t> </w:t>
      </w:r>
      <w:r>
        <w:rPr/>
        <w:t>as</w:t>
      </w:r>
      <w:r>
        <w:rPr>
          <w:spacing w:val="40"/>
        </w:rPr>
        <w:t> </w:t>
      </w:r>
      <w:r>
        <w:rPr/>
        <w:t>illustrated</w:t>
      </w:r>
      <w:r>
        <w:rPr>
          <w:spacing w:val="40"/>
        </w:rPr>
        <w:t> </w:t>
      </w:r>
      <w:r>
        <w:rPr/>
        <w:t>in</w:t>
      </w:r>
      <w:r>
        <w:rPr>
          <w:spacing w:val="40"/>
        </w:rPr>
        <w:t> </w:t>
      </w:r>
      <w:r>
        <w:rPr/>
        <w:t>Sketch</w:t>
      </w:r>
      <w:r>
        <w:rPr>
          <w:spacing w:val="40"/>
        </w:rPr>
        <w:t> </w:t>
      </w:r>
      <w:r>
        <w:rPr/>
        <w:t>No</w:t>
      </w:r>
      <w:r>
        <w:rPr>
          <w:spacing w:val="40"/>
        </w:rPr>
        <w:t> </w:t>
      </w:r>
      <w:r>
        <w:rPr/>
        <w:t>5</w:t>
      </w:r>
      <w:r>
        <w:rPr>
          <w:spacing w:val="40"/>
        </w:rPr>
        <w:t> </w:t>
      </w:r>
      <w:r>
        <w:rPr/>
        <w:t>in</w:t>
      </w:r>
      <w:r>
        <w:rPr>
          <w:spacing w:val="40"/>
        </w:rPr>
        <w:t> </w:t>
      </w:r>
      <w:r>
        <w:rPr/>
        <w:t>Annexure</w:t>
      </w:r>
      <w:r>
        <w:rPr>
          <w:spacing w:val="40"/>
        </w:rPr>
        <w:t> </w:t>
      </w:r>
      <w:r>
        <w:rPr/>
        <w:t>23.</w:t>
      </w:r>
    </w:p>
    <w:p>
      <w:pPr>
        <w:pStyle w:val="ListParagraph"/>
        <w:numPr>
          <w:ilvl w:val="1"/>
          <w:numId w:val="280"/>
        </w:numPr>
        <w:tabs>
          <w:tab w:pos="1901" w:val="left" w:leader="none"/>
        </w:tabs>
        <w:spacing w:line="240" w:lineRule="auto" w:before="0" w:after="0"/>
        <w:ind w:left="1313" w:right="874" w:firstLine="172"/>
        <w:jc w:val="left"/>
        <w:rPr>
          <w:sz w:val="24"/>
        </w:rPr>
      </w:pPr>
      <w:r>
        <w:rPr>
          <w:sz w:val="24"/>
        </w:rPr>
        <w:t>Objects</w:t>
      </w:r>
      <w:r>
        <w:rPr>
          <w:spacing w:val="40"/>
          <w:sz w:val="24"/>
        </w:rPr>
        <w:t> </w:t>
      </w:r>
      <w:r>
        <w:rPr>
          <w:sz w:val="24"/>
        </w:rPr>
        <w:t>or</w:t>
      </w:r>
      <w:r>
        <w:rPr>
          <w:spacing w:val="40"/>
          <w:sz w:val="24"/>
        </w:rPr>
        <w:t> </w:t>
      </w:r>
      <w:r>
        <w:rPr>
          <w:sz w:val="24"/>
        </w:rPr>
        <w:t>obstructions,</w:t>
      </w:r>
      <w:r>
        <w:rPr>
          <w:spacing w:val="40"/>
          <w:sz w:val="24"/>
        </w:rPr>
        <w:t> </w:t>
      </w:r>
      <w:r>
        <w:rPr>
          <w:sz w:val="24"/>
        </w:rPr>
        <w:t>with</w:t>
      </w:r>
      <w:r>
        <w:rPr>
          <w:spacing w:val="40"/>
          <w:sz w:val="24"/>
        </w:rPr>
        <w:t> </w:t>
      </w:r>
      <w:r>
        <w:rPr>
          <w:sz w:val="24"/>
        </w:rPr>
        <w:t>their</w:t>
      </w:r>
      <w:r>
        <w:rPr>
          <w:spacing w:val="40"/>
          <w:sz w:val="24"/>
        </w:rPr>
        <w:t> </w:t>
      </w:r>
      <w:r>
        <w:rPr>
          <w:sz w:val="24"/>
        </w:rPr>
        <w:t>leading</w:t>
      </w:r>
      <w:r>
        <w:rPr>
          <w:spacing w:val="80"/>
          <w:sz w:val="24"/>
        </w:rPr>
        <w:t> </w:t>
      </w:r>
      <w:r>
        <w:rPr>
          <w:sz w:val="24"/>
        </w:rPr>
        <w:t>edges</w:t>
      </w:r>
      <w:r>
        <w:rPr>
          <w:spacing w:val="40"/>
          <w:sz w:val="24"/>
        </w:rPr>
        <w:t> </w:t>
      </w:r>
      <w:r>
        <w:rPr>
          <w:sz w:val="24"/>
        </w:rPr>
        <w:t>upto</w:t>
      </w:r>
      <w:r>
        <w:rPr>
          <w:spacing w:val="40"/>
          <w:sz w:val="24"/>
        </w:rPr>
        <w:t> </w:t>
      </w:r>
      <w:r>
        <w:rPr>
          <w:sz w:val="24"/>
        </w:rPr>
        <w:t>a</w:t>
      </w:r>
      <w:r>
        <w:rPr>
          <w:spacing w:val="40"/>
          <w:sz w:val="24"/>
        </w:rPr>
        <w:t> </w:t>
      </w:r>
      <w:r>
        <w:rPr>
          <w:sz w:val="24"/>
        </w:rPr>
        <w:t>maximum height</w:t>
      </w:r>
      <w:r>
        <w:rPr>
          <w:spacing w:val="40"/>
          <w:sz w:val="24"/>
        </w:rPr>
        <w:t> </w:t>
      </w:r>
      <w:r>
        <w:rPr>
          <w:sz w:val="24"/>
        </w:rPr>
        <w:t>of</w:t>
      </w:r>
      <w:r>
        <w:rPr>
          <w:spacing w:val="40"/>
          <w:sz w:val="24"/>
        </w:rPr>
        <w:t> </w:t>
      </w:r>
      <w:r>
        <w:rPr>
          <w:sz w:val="24"/>
        </w:rPr>
        <w:t>580</w:t>
      </w:r>
      <w:r>
        <w:rPr>
          <w:spacing w:val="40"/>
          <w:sz w:val="24"/>
        </w:rPr>
        <w:t> </w:t>
      </w:r>
      <w:r>
        <w:rPr>
          <w:sz w:val="24"/>
        </w:rPr>
        <w:t>mm</w:t>
      </w:r>
      <w:r>
        <w:rPr>
          <w:spacing w:val="40"/>
          <w:sz w:val="24"/>
        </w:rPr>
        <w:t> </w:t>
      </w:r>
      <w:r>
        <w:rPr>
          <w:sz w:val="24"/>
        </w:rPr>
        <w:t>from</w:t>
      </w:r>
      <w:r>
        <w:rPr>
          <w:spacing w:val="40"/>
          <w:sz w:val="24"/>
        </w:rPr>
        <w:t> </w:t>
      </w:r>
      <w:r>
        <w:rPr>
          <w:sz w:val="24"/>
        </w:rPr>
        <w:t>the</w:t>
      </w:r>
      <w:r>
        <w:rPr>
          <w:spacing w:val="40"/>
          <w:sz w:val="24"/>
        </w:rPr>
        <w:t> </w:t>
      </w:r>
      <w:r>
        <w:rPr>
          <w:sz w:val="24"/>
        </w:rPr>
        <w:t>floor</w:t>
      </w:r>
      <w:r>
        <w:rPr>
          <w:spacing w:val="40"/>
          <w:sz w:val="24"/>
        </w:rPr>
        <w:t> </w:t>
      </w:r>
      <w:r>
        <w:rPr>
          <w:sz w:val="24"/>
        </w:rPr>
        <w:t>level,</w:t>
      </w:r>
      <w:r>
        <w:rPr>
          <w:spacing w:val="40"/>
          <w:sz w:val="24"/>
        </w:rPr>
        <w:t> </w:t>
      </w:r>
      <w:r>
        <w:rPr>
          <w:sz w:val="24"/>
        </w:rPr>
        <w:t>may</w:t>
      </w:r>
      <w:r>
        <w:rPr>
          <w:spacing w:val="40"/>
          <w:sz w:val="24"/>
        </w:rPr>
        <w:t> </w:t>
      </w:r>
      <w:r>
        <w:rPr>
          <w:sz w:val="24"/>
        </w:rPr>
        <w:t>protrude</w:t>
      </w:r>
      <w:r>
        <w:rPr>
          <w:spacing w:val="40"/>
          <w:sz w:val="24"/>
        </w:rPr>
        <w:t> </w:t>
      </w:r>
      <w:r>
        <w:rPr>
          <w:sz w:val="24"/>
        </w:rPr>
        <w:t>more</w:t>
      </w:r>
      <w:r>
        <w:rPr>
          <w:spacing w:val="40"/>
          <w:sz w:val="24"/>
        </w:rPr>
        <w:t> </w:t>
      </w:r>
      <w:r>
        <w:rPr>
          <w:sz w:val="24"/>
        </w:rPr>
        <w:t>than</w:t>
      </w:r>
      <w:r>
        <w:rPr>
          <w:spacing w:val="40"/>
          <w:sz w:val="24"/>
        </w:rPr>
        <w:t> </w:t>
      </w:r>
      <w:r>
        <w:rPr>
          <w:sz w:val="24"/>
        </w:rPr>
        <w:t>0.1</w:t>
      </w:r>
      <w:r>
        <w:rPr>
          <w:spacing w:val="40"/>
          <w:sz w:val="24"/>
        </w:rPr>
        <w:t> </w:t>
      </w:r>
      <w:r>
        <w:rPr>
          <w:sz w:val="24"/>
        </w:rPr>
        <w:t>m into</w:t>
      </w:r>
      <w:r>
        <w:rPr>
          <w:spacing w:val="40"/>
          <w:sz w:val="24"/>
        </w:rPr>
        <w:t> </w:t>
      </w:r>
      <w:r>
        <w:rPr>
          <w:sz w:val="24"/>
        </w:rPr>
        <w:t>pedestrian</w:t>
      </w:r>
      <w:r>
        <w:rPr>
          <w:spacing w:val="40"/>
          <w:sz w:val="24"/>
        </w:rPr>
        <w:t> </w:t>
      </w:r>
      <w:r>
        <w:rPr>
          <w:sz w:val="24"/>
        </w:rPr>
        <w:t>are</w:t>
      </w:r>
      <w:r>
        <w:rPr>
          <w:spacing w:val="40"/>
          <w:sz w:val="24"/>
        </w:rPr>
        <w:t> </w:t>
      </w:r>
      <w:r>
        <w:rPr>
          <w:sz w:val="24"/>
        </w:rPr>
        <w:t>as</w:t>
      </w:r>
      <w:r>
        <w:rPr>
          <w:spacing w:val="40"/>
          <w:sz w:val="24"/>
        </w:rPr>
        <w:t> </w:t>
      </w:r>
      <w:r>
        <w:rPr>
          <w:sz w:val="24"/>
        </w:rPr>
        <w:t>illustrated</w:t>
      </w:r>
      <w:r>
        <w:rPr>
          <w:spacing w:val="40"/>
          <w:sz w:val="24"/>
        </w:rPr>
        <w:t> </w:t>
      </w:r>
      <w:r>
        <w:rPr>
          <w:sz w:val="24"/>
        </w:rPr>
        <w:t>in</w:t>
      </w:r>
      <w:r>
        <w:rPr>
          <w:spacing w:val="40"/>
          <w:sz w:val="24"/>
        </w:rPr>
        <w:t> </w:t>
      </w:r>
      <w:r>
        <w:rPr>
          <w:sz w:val="24"/>
        </w:rPr>
        <w:t>Sketch</w:t>
      </w:r>
      <w:r>
        <w:rPr>
          <w:spacing w:val="40"/>
          <w:sz w:val="24"/>
        </w:rPr>
        <w:t> </w:t>
      </w:r>
      <w:r>
        <w:rPr>
          <w:sz w:val="24"/>
        </w:rPr>
        <w:t>No</w:t>
      </w:r>
      <w:r>
        <w:rPr>
          <w:spacing w:val="40"/>
          <w:sz w:val="24"/>
        </w:rPr>
        <w:t> </w:t>
      </w:r>
      <w:r>
        <w:rPr>
          <w:sz w:val="24"/>
        </w:rPr>
        <w:t>5</w:t>
      </w:r>
      <w:r>
        <w:rPr>
          <w:spacing w:val="40"/>
          <w:sz w:val="24"/>
        </w:rPr>
        <w:t> </w:t>
      </w:r>
      <w:r>
        <w:rPr>
          <w:sz w:val="24"/>
        </w:rPr>
        <w:t>in</w:t>
      </w:r>
      <w:r>
        <w:rPr>
          <w:spacing w:val="40"/>
          <w:sz w:val="24"/>
        </w:rPr>
        <w:t> </w:t>
      </w:r>
      <w:r>
        <w:rPr>
          <w:sz w:val="24"/>
        </w:rPr>
        <w:t>Annexure</w:t>
      </w:r>
      <w:r>
        <w:rPr>
          <w:spacing w:val="40"/>
          <w:sz w:val="24"/>
        </w:rPr>
        <w:t> </w:t>
      </w:r>
      <w:r>
        <w:rPr>
          <w:sz w:val="24"/>
        </w:rPr>
        <w:t>23.</w:t>
      </w:r>
    </w:p>
    <w:p>
      <w:pPr>
        <w:pStyle w:val="ListParagraph"/>
        <w:numPr>
          <w:ilvl w:val="1"/>
          <w:numId w:val="280"/>
        </w:numPr>
        <w:tabs>
          <w:tab w:pos="1635" w:val="left" w:leader="none"/>
        </w:tabs>
        <w:spacing w:line="240" w:lineRule="auto" w:before="1" w:after="0"/>
        <w:ind w:left="1313" w:right="882" w:firstLine="0"/>
        <w:jc w:val="both"/>
        <w:rPr>
          <w:sz w:val="24"/>
        </w:rPr>
      </w:pPr>
      <w:r>
        <w:rPr>
          <w:sz w:val="24"/>
        </w:rPr>
        <w:t>Free standing objects placed between the height of 0.58 m and 2.0 m from the floor level shall </w:t>
      </w:r>
      <w:r>
        <w:rPr>
          <w:spacing w:val="9"/>
          <w:sz w:val="24"/>
        </w:rPr>
        <w:t>have </w:t>
      </w:r>
      <w:r>
        <w:rPr>
          <w:sz w:val="24"/>
        </w:rPr>
        <w:t>an overhang of not more than 0.3 m as illustrated</w:t>
      </w:r>
      <w:r>
        <w:rPr>
          <w:spacing w:val="40"/>
          <w:sz w:val="24"/>
        </w:rPr>
        <w:t> </w:t>
      </w:r>
      <w:r>
        <w:rPr>
          <w:sz w:val="24"/>
        </w:rPr>
        <w:t>in</w:t>
      </w:r>
      <w:r>
        <w:rPr>
          <w:spacing w:val="40"/>
          <w:sz w:val="24"/>
        </w:rPr>
        <w:t> </w:t>
      </w:r>
      <w:r>
        <w:rPr>
          <w:sz w:val="24"/>
        </w:rPr>
        <w:t>Sketch</w:t>
      </w:r>
      <w:r>
        <w:rPr>
          <w:spacing w:val="40"/>
          <w:sz w:val="24"/>
        </w:rPr>
        <w:t> </w:t>
      </w:r>
      <w:r>
        <w:rPr>
          <w:sz w:val="24"/>
        </w:rPr>
        <w:t>No</w:t>
      </w:r>
      <w:r>
        <w:rPr>
          <w:spacing w:val="40"/>
          <w:sz w:val="24"/>
        </w:rPr>
        <w:t> </w:t>
      </w:r>
      <w:r>
        <w:rPr>
          <w:sz w:val="24"/>
        </w:rPr>
        <w:t>6</w:t>
      </w:r>
      <w:r>
        <w:rPr>
          <w:spacing w:val="40"/>
          <w:sz w:val="24"/>
        </w:rPr>
        <w:t> </w:t>
      </w:r>
      <w:r>
        <w:rPr>
          <w:sz w:val="24"/>
        </w:rPr>
        <w:t>in</w:t>
      </w:r>
      <w:r>
        <w:rPr>
          <w:spacing w:val="40"/>
          <w:sz w:val="24"/>
        </w:rPr>
        <w:t> </w:t>
      </w:r>
      <w:r>
        <w:rPr>
          <w:sz w:val="24"/>
        </w:rPr>
        <w:t>Annexure</w:t>
      </w:r>
      <w:r>
        <w:rPr>
          <w:spacing w:val="40"/>
          <w:sz w:val="24"/>
        </w:rPr>
        <w:t> </w:t>
      </w:r>
      <w:r>
        <w:rPr>
          <w:sz w:val="24"/>
        </w:rPr>
        <w:t>23.</w:t>
      </w:r>
    </w:p>
    <w:p>
      <w:pPr>
        <w:pStyle w:val="ListParagraph"/>
        <w:numPr>
          <w:ilvl w:val="1"/>
          <w:numId w:val="280"/>
        </w:numPr>
        <w:tabs>
          <w:tab w:pos="1674" w:val="left" w:leader="none"/>
        </w:tabs>
        <w:spacing w:line="240" w:lineRule="auto" w:before="0" w:after="0"/>
        <w:ind w:left="1313" w:right="1066" w:firstLine="0"/>
        <w:jc w:val="both"/>
        <w:rPr>
          <w:sz w:val="24"/>
        </w:rPr>
      </w:pPr>
      <w:r>
        <w:rPr>
          <w:sz w:val="24"/>
        </w:rPr>
        <w:t>The</w:t>
      </w:r>
      <w:r>
        <w:rPr>
          <w:spacing w:val="40"/>
          <w:sz w:val="24"/>
        </w:rPr>
        <w:t> </w:t>
      </w:r>
      <w:r>
        <w:rPr>
          <w:sz w:val="24"/>
        </w:rPr>
        <w:t>maximum</w:t>
      </w:r>
      <w:r>
        <w:rPr>
          <w:spacing w:val="40"/>
          <w:sz w:val="24"/>
        </w:rPr>
        <w:t> </w:t>
      </w:r>
      <w:r>
        <w:rPr>
          <w:sz w:val="24"/>
        </w:rPr>
        <w:t>height</w:t>
      </w:r>
      <w:r>
        <w:rPr>
          <w:spacing w:val="40"/>
          <w:sz w:val="24"/>
        </w:rPr>
        <w:t> </w:t>
      </w:r>
      <w:r>
        <w:rPr>
          <w:sz w:val="24"/>
        </w:rPr>
        <w:t>of</w:t>
      </w:r>
      <w:r>
        <w:rPr>
          <w:spacing w:val="40"/>
          <w:sz w:val="24"/>
        </w:rPr>
        <w:t> </w:t>
      </w:r>
      <w:r>
        <w:rPr>
          <w:sz w:val="24"/>
        </w:rPr>
        <w:t>the</w:t>
      </w:r>
      <w:r>
        <w:rPr>
          <w:spacing w:val="40"/>
          <w:sz w:val="24"/>
        </w:rPr>
        <w:t> </w:t>
      </w:r>
      <w:r>
        <w:rPr>
          <w:sz w:val="24"/>
        </w:rPr>
        <w:t>bottom</w:t>
      </w:r>
      <w:r>
        <w:rPr>
          <w:spacing w:val="40"/>
          <w:sz w:val="24"/>
        </w:rPr>
        <w:t> </w:t>
      </w:r>
      <w:r>
        <w:rPr>
          <w:sz w:val="24"/>
        </w:rPr>
        <w:t>edge</w:t>
      </w:r>
      <w:r>
        <w:rPr>
          <w:spacing w:val="40"/>
          <w:sz w:val="24"/>
        </w:rPr>
        <w:t> </w:t>
      </w:r>
      <w:r>
        <w:rPr>
          <w:sz w:val="24"/>
        </w:rPr>
        <w:t>of</w:t>
      </w:r>
      <w:r>
        <w:rPr>
          <w:spacing w:val="40"/>
          <w:sz w:val="24"/>
        </w:rPr>
        <w:t> </w:t>
      </w:r>
      <w:r>
        <w:rPr>
          <w:sz w:val="24"/>
        </w:rPr>
        <w:t>free</w:t>
      </w:r>
      <w:r>
        <w:rPr>
          <w:spacing w:val="40"/>
          <w:sz w:val="24"/>
        </w:rPr>
        <w:t> </w:t>
      </w:r>
      <w:r>
        <w:rPr>
          <w:sz w:val="24"/>
        </w:rPr>
        <w:t>standing</w:t>
      </w:r>
      <w:r>
        <w:rPr>
          <w:spacing w:val="40"/>
          <w:sz w:val="24"/>
        </w:rPr>
        <w:t> </w:t>
      </w:r>
      <w:r>
        <w:rPr>
          <w:sz w:val="24"/>
        </w:rPr>
        <w:t>objects with</w:t>
      </w:r>
      <w:r>
        <w:rPr>
          <w:spacing w:val="70"/>
          <w:sz w:val="24"/>
        </w:rPr>
        <w:t> </w:t>
      </w:r>
      <w:r>
        <w:rPr>
          <w:sz w:val="24"/>
        </w:rPr>
        <w:t>a</w:t>
      </w:r>
      <w:r>
        <w:rPr>
          <w:spacing w:val="70"/>
          <w:sz w:val="24"/>
        </w:rPr>
        <w:t> </w:t>
      </w:r>
      <w:r>
        <w:rPr>
          <w:sz w:val="24"/>
        </w:rPr>
        <w:t>space</w:t>
      </w:r>
      <w:r>
        <w:rPr>
          <w:spacing w:val="70"/>
          <w:sz w:val="24"/>
        </w:rPr>
        <w:t> </w:t>
      </w:r>
      <w:r>
        <w:rPr>
          <w:sz w:val="24"/>
        </w:rPr>
        <w:t>of</w:t>
      </w:r>
      <w:r>
        <w:rPr>
          <w:spacing w:val="72"/>
          <w:sz w:val="24"/>
        </w:rPr>
        <w:t> </w:t>
      </w:r>
      <w:r>
        <w:rPr>
          <w:sz w:val="24"/>
        </w:rPr>
        <w:t>more</w:t>
      </w:r>
      <w:r>
        <w:rPr>
          <w:spacing w:val="70"/>
          <w:sz w:val="24"/>
        </w:rPr>
        <w:t> </w:t>
      </w:r>
      <w:r>
        <w:rPr>
          <w:sz w:val="24"/>
        </w:rPr>
        <w:t>than</w:t>
      </w:r>
      <w:r>
        <w:rPr>
          <w:spacing w:val="72"/>
          <w:sz w:val="24"/>
        </w:rPr>
        <w:t> </w:t>
      </w:r>
      <w:r>
        <w:rPr>
          <w:sz w:val="24"/>
        </w:rPr>
        <w:t>0.3</w:t>
      </w:r>
      <w:r>
        <w:rPr>
          <w:spacing w:val="70"/>
          <w:sz w:val="24"/>
        </w:rPr>
        <w:t> </w:t>
      </w:r>
      <w:r>
        <w:rPr>
          <w:sz w:val="24"/>
        </w:rPr>
        <w:t>m</w:t>
      </w:r>
      <w:r>
        <w:rPr>
          <w:spacing w:val="70"/>
          <w:sz w:val="24"/>
        </w:rPr>
        <w:t> </w:t>
      </w:r>
      <w:r>
        <w:rPr>
          <w:sz w:val="24"/>
        </w:rPr>
        <w:t>between</w:t>
      </w:r>
      <w:r>
        <w:rPr>
          <w:spacing w:val="70"/>
          <w:sz w:val="24"/>
        </w:rPr>
        <w:t> </w:t>
      </w:r>
      <w:r>
        <w:rPr>
          <w:sz w:val="24"/>
        </w:rPr>
        <w:t>supports</w:t>
      </w:r>
      <w:r>
        <w:rPr>
          <w:spacing w:val="72"/>
          <w:sz w:val="24"/>
        </w:rPr>
        <w:t> </w:t>
      </w:r>
      <w:r>
        <w:rPr>
          <w:sz w:val="24"/>
        </w:rPr>
        <w:t>shall</w:t>
      </w:r>
      <w:r>
        <w:rPr>
          <w:spacing w:val="70"/>
          <w:sz w:val="24"/>
        </w:rPr>
        <w:t> </w:t>
      </w:r>
      <w:r>
        <w:rPr>
          <w:sz w:val="24"/>
        </w:rPr>
        <w:t>be</w:t>
      </w:r>
      <w:r>
        <w:rPr>
          <w:spacing w:val="70"/>
          <w:sz w:val="24"/>
        </w:rPr>
        <w:t> </w:t>
      </w:r>
      <w:r>
        <w:rPr>
          <w:sz w:val="24"/>
        </w:rPr>
        <w:t>0.58</w:t>
      </w:r>
      <w:r>
        <w:rPr>
          <w:spacing w:val="70"/>
          <w:sz w:val="24"/>
        </w:rPr>
        <w:t> </w:t>
      </w:r>
      <w:r>
        <w:rPr>
          <w:sz w:val="24"/>
        </w:rPr>
        <w:t>m</w:t>
      </w:r>
    </w:p>
    <w:p>
      <w:pPr>
        <w:pStyle w:val="ListParagraph"/>
        <w:spacing w:after="0" w:line="240" w:lineRule="auto"/>
        <w:jc w:val="both"/>
        <w:rPr>
          <w:sz w:val="24"/>
        </w:rPr>
        <w:sectPr>
          <w:pgSz w:w="11910" w:h="16840"/>
          <w:pgMar w:header="1058" w:footer="1201" w:top="1500" w:bottom="1400" w:left="360" w:right="360"/>
        </w:sectPr>
      </w:pPr>
    </w:p>
    <w:p>
      <w:pPr>
        <w:pStyle w:val="BodyText"/>
        <w:spacing w:before="255"/>
        <w:ind w:right="332"/>
        <w:jc w:val="center"/>
      </w:pPr>
      <w:r>
        <w:rPr/>
        <w:t>from</w:t>
      </w:r>
      <w:r>
        <w:rPr>
          <w:spacing w:val="46"/>
        </w:rPr>
        <w:t> </w:t>
      </w:r>
      <w:r>
        <w:rPr/>
        <w:t>the</w:t>
      </w:r>
      <w:r>
        <w:rPr>
          <w:spacing w:val="51"/>
        </w:rPr>
        <w:t> </w:t>
      </w:r>
      <w:r>
        <w:rPr/>
        <w:t>floor</w:t>
      </w:r>
      <w:r>
        <w:rPr>
          <w:spacing w:val="51"/>
        </w:rPr>
        <w:t> </w:t>
      </w:r>
      <w:r>
        <w:rPr/>
        <w:t>level</w:t>
      </w:r>
      <w:r>
        <w:rPr>
          <w:spacing w:val="52"/>
        </w:rPr>
        <w:t> </w:t>
      </w:r>
      <w:r>
        <w:rPr/>
        <w:t>as</w:t>
      </w:r>
      <w:r>
        <w:rPr>
          <w:spacing w:val="48"/>
        </w:rPr>
        <w:t> </w:t>
      </w:r>
      <w:r>
        <w:rPr/>
        <w:t>illustrated</w:t>
      </w:r>
      <w:r>
        <w:rPr>
          <w:spacing w:val="51"/>
        </w:rPr>
        <w:t> </w:t>
      </w:r>
      <w:r>
        <w:rPr/>
        <w:t>in</w:t>
      </w:r>
      <w:r>
        <w:rPr>
          <w:spacing w:val="51"/>
        </w:rPr>
        <w:t> </w:t>
      </w:r>
      <w:r>
        <w:rPr/>
        <w:t>Sketch</w:t>
      </w:r>
      <w:r>
        <w:rPr>
          <w:spacing w:val="48"/>
        </w:rPr>
        <w:t> </w:t>
      </w:r>
      <w:r>
        <w:rPr/>
        <w:t>No</w:t>
      </w:r>
      <w:r>
        <w:rPr>
          <w:spacing w:val="51"/>
        </w:rPr>
        <w:t> </w:t>
      </w:r>
      <w:r>
        <w:rPr/>
        <w:t>6</w:t>
      </w:r>
      <w:r>
        <w:rPr>
          <w:spacing w:val="47"/>
        </w:rPr>
        <w:t> </w:t>
      </w:r>
      <w:r>
        <w:rPr/>
        <w:t>in</w:t>
      </w:r>
      <w:r>
        <w:rPr>
          <w:spacing w:val="51"/>
        </w:rPr>
        <w:t> </w:t>
      </w:r>
      <w:r>
        <w:rPr/>
        <w:t>Annexure</w:t>
      </w:r>
      <w:r>
        <w:rPr>
          <w:spacing w:val="48"/>
        </w:rPr>
        <w:t> </w:t>
      </w:r>
      <w:r>
        <w:rPr>
          <w:spacing w:val="-5"/>
        </w:rPr>
        <w:t>23.</w:t>
      </w:r>
    </w:p>
    <w:p>
      <w:pPr>
        <w:pStyle w:val="BodyText"/>
        <w:jc w:val="left"/>
      </w:pPr>
    </w:p>
    <w:p>
      <w:pPr>
        <w:pStyle w:val="ListParagraph"/>
        <w:numPr>
          <w:ilvl w:val="1"/>
          <w:numId w:val="264"/>
        </w:numPr>
        <w:tabs>
          <w:tab w:pos="1846" w:val="left" w:leader="none"/>
        </w:tabs>
        <w:spacing w:line="240" w:lineRule="auto" w:before="0" w:after="0"/>
        <w:ind w:left="1313" w:right="2206" w:firstLine="0"/>
        <w:jc w:val="left"/>
        <w:rPr>
          <w:sz w:val="24"/>
        </w:rPr>
      </w:pPr>
      <w:r>
        <w:rPr>
          <w:sz w:val="24"/>
        </w:rPr>
        <w:t>Special</w:t>
      </w:r>
      <w:r>
        <w:rPr>
          <w:spacing w:val="80"/>
          <w:sz w:val="24"/>
        </w:rPr>
        <w:t> </w:t>
      </w:r>
      <w:r>
        <w:rPr>
          <w:sz w:val="24"/>
        </w:rPr>
        <w:t>requirements</w:t>
      </w:r>
      <w:r>
        <w:rPr>
          <w:spacing w:val="80"/>
          <w:sz w:val="24"/>
        </w:rPr>
        <w:t> </w:t>
      </w:r>
      <w:r>
        <w:rPr>
          <w:sz w:val="24"/>
        </w:rPr>
        <w:t>at</w:t>
      </w:r>
      <w:r>
        <w:rPr>
          <w:spacing w:val="80"/>
          <w:sz w:val="24"/>
        </w:rPr>
        <w:t> </w:t>
      </w:r>
      <w:r>
        <w:rPr>
          <w:sz w:val="24"/>
        </w:rPr>
        <w:t>public</w:t>
      </w:r>
      <w:r>
        <w:rPr>
          <w:spacing w:val="80"/>
          <w:sz w:val="24"/>
        </w:rPr>
        <w:t> </w:t>
      </w:r>
      <w:r>
        <w:rPr>
          <w:sz w:val="24"/>
        </w:rPr>
        <w:t>spaces</w:t>
      </w:r>
      <w:r>
        <w:rPr>
          <w:spacing w:val="80"/>
          <w:sz w:val="24"/>
        </w:rPr>
        <w:t> </w:t>
      </w:r>
      <w:r>
        <w:rPr>
          <w:sz w:val="24"/>
        </w:rPr>
        <w:t>like</w:t>
      </w:r>
      <w:r>
        <w:rPr>
          <w:spacing w:val="80"/>
          <w:sz w:val="24"/>
        </w:rPr>
        <w:t> </w:t>
      </w:r>
      <w:r>
        <w:rPr>
          <w:sz w:val="24"/>
        </w:rPr>
        <w:t>auditorium</w:t>
      </w:r>
      <w:r>
        <w:rPr>
          <w:spacing w:val="80"/>
          <w:sz w:val="24"/>
        </w:rPr>
        <w:t> </w:t>
      </w:r>
      <w:r>
        <w:rPr>
          <w:sz w:val="24"/>
        </w:rPr>
        <w:t>and </w:t>
      </w:r>
      <w:r>
        <w:rPr>
          <w:spacing w:val="9"/>
          <w:sz w:val="24"/>
        </w:rPr>
        <w:t>theatre</w:t>
      </w:r>
    </w:p>
    <w:p>
      <w:pPr>
        <w:pStyle w:val="BodyText"/>
        <w:spacing w:before="47" w:after="1"/>
        <w:jc w:val="left"/>
        <w:rPr>
          <w:sz w:val="20"/>
        </w:rPr>
      </w:pPr>
    </w:p>
    <w:tbl>
      <w:tblPr>
        <w:tblW w:w="0" w:type="auto"/>
        <w:jc w:val="left"/>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7377"/>
      </w:tblGrid>
      <w:tr>
        <w:trPr>
          <w:trHeight w:val="5354" w:hRule="atLeast"/>
        </w:trPr>
        <w:tc>
          <w:tcPr>
            <w:tcW w:w="1985" w:type="dxa"/>
          </w:tcPr>
          <w:p>
            <w:pPr>
              <w:pStyle w:val="TableParagraph"/>
              <w:spacing w:before="1"/>
              <w:ind w:left="107" w:right="70"/>
              <w:rPr>
                <w:sz w:val="24"/>
              </w:rPr>
            </w:pPr>
            <w:r>
              <w:rPr>
                <w:spacing w:val="-2"/>
                <w:sz w:val="24"/>
              </w:rPr>
              <w:t>Provision &amp;Location</w:t>
            </w:r>
          </w:p>
        </w:tc>
        <w:tc>
          <w:tcPr>
            <w:tcW w:w="7377" w:type="dxa"/>
          </w:tcPr>
          <w:p>
            <w:pPr>
              <w:pStyle w:val="TableParagraph"/>
              <w:numPr>
                <w:ilvl w:val="0"/>
                <w:numId w:val="281"/>
              </w:numPr>
              <w:tabs>
                <w:tab w:pos="533" w:val="left" w:leader="none"/>
                <w:tab w:pos="535" w:val="left" w:leader="none"/>
              </w:tabs>
              <w:spacing w:line="240" w:lineRule="auto" w:before="1" w:after="0"/>
              <w:ind w:left="535" w:right="175" w:hanging="361"/>
              <w:jc w:val="both"/>
              <w:rPr>
                <w:rFonts w:ascii="Arial"/>
                <w:sz w:val="20"/>
              </w:rPr>
            </w:pPr>
            <w:r>
              <w:rPr>
                <w:sz w:val="24"/>
              </w:rPr>
              <w:t>In cinemas, theaters, concert halls, stadia or other places of public recreation where permanent fixed seating arrangement is provided, a minimum of two wheelchair</w:t>
            </w:r>
            <w:r>
              <w:rPr>
                <w:spacing w:val="40"/>
                <w:sz w:val="24"/>
              </w:rPr>
              <w:t> </w:t>
            </w:r>
            <w:r>
              <w:rPr>
                <w:sz w:val="24"/>
              </w:rPr>
              <w:t>spaces</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for</w:t>
            </w:r>
            <w:r>
              <w:rPr>
                <w:spacing w:val="40"/>
                <w:sz w:val="24"/>
              </w:rPr>
              <w:t> </w:t>
            </w:r>
            <w:r>
              <w:rPr>
                <w:sz w:val="24"/>
              </w:rPr>
              <w:t>every</w:t>
            </w:r>
            <w:r>
              <w:rPr>
                <w:spacing w:val="40"/>
                <w:sz w:val="24"/>
              </w:rPr>
              <w:t> </w:t>
            </w:r>
            <w:r>
              <w:rPr>
                <w:sz w:val="24"/>
              </w:rPr>
              <w:t>200 seats</w:t>
            </w:r>
            <w:r>
              <w:rPr>
                <w:spacing w:val="40"/>
                <w:sz w:val="24"/>
              </w:rPr>
              <w:t> </w:t>
            </w:r>
            <w:r>
              <w:rPr>
                <w:sz w:val="24"/>
              </w:rPr>
              <w:t>or</w:t>
            </w:r>
            <w:r>
              <w:rPr>
                <w:spacing w:val="40"/>
                <w:sz w:val="24"/>
              </w:rPr>
              <w:t> </w:t>
            </w:r>
            <w:r>
              <w:rPr>
                <w:sz w:val="24"/>
              </w:rPr>
              <w:t>less.</w:t>
            </w:r>
            <w:r>
              <w:rPr>
                <w:spacing w:val="40"/>
                <w:sz w:val="24"/>
              </w:rPr>
              <w:t> </w:t>
            </w:r>
            <w:r>
              <w:rPr>
                <w:sz w:val="24"/>
              </w:rPr>
              <w:t>Additional</w:t>
            </w:r>
            <w:r>
              <w:rPr>
                <w:spacing w:val="40"/>
                <w:sz w:val="24"/>
              </w:rPr>
              <w:t> </w:t>
            </w:r>
            <w:r>
              <w:rPr>
                <w:sz w:val="24"/>
              </w:rPr>
              <w:t>one</w:t>
            </w:r>
            <w:r>
              <w:rPr>
                <w:spacing w:val="40"/>
                <w:sz w:val="24"/>
              </w:rPr>
              <w:t> </w:t>
            </w:r>
            <w:r>
              <w:rPr>
                <w:sz w:val="24"/>
              </w:rPr>
              <w:t>wheel</w:t>
            </w:r>
            <w:r>
              <w:rPr>
                <w:spacing w:val="40"/>
                <w:sz w:val="24"/>
              </w:rPr>
              <w:t> </w:t>
            </w:r>
            <w:r>
              <w:rPr>
                <w:sz w:val="24"/>
              </w:rPr>
              <w:t>chair</w:t>
            </w:r>
            <w:r>
              <w:rPr>
                <w:spacing w:val="40"/>
                <w:sz w:val="24"/>
              </w:rPr>
              <w:t> </w:t>
            </w:r>
            <w:r>
              <w:rPr>
                <w:sz w:val="24"/>
              </w:rPr>
              <w:t>space</w:t>
            </w:r>
            <w:r>
              <w:rPr>
                <w:spacing w:val="40"/>
                <w:sz w:val="24"/>
              </w:rPr>
              <w:t> </w:t>
            </w:r>
            <w:r>
              <w:rPr>
                <w:sz w:val="24"/>
              </w:rPr>
              <w:t>shall be</w:t>
            </w:r>
            <w:r>
              <w:rPr>
                <w:spacing w:val="40"/>
                <w:sz w:val="24"/>
              </w:rPr>
              <w:t> </w:t>
            </w:r>
            <w:r>
              <w:rPr>
                <w:sz w:val="24"/>
              </w:rPr>
              <w:t>provided</w:t>
            </w:r>
            <w:r>
              <w:rPr>
                <w:spacing w:val="40"/>
                <w:sz w:val="24"/>
              </w:rPr>
              <w:t> </w:t>
            </w:r>
            <w:r>
              <w:rPr>
                <w:sz w:val="24"/>
              </w:rPr>
              <w:t>for</w:t>
            </w:r>
            <w:r>
              <w:rPr>
                <w:spacing w:val="40"/>
                <w:sz w:val="24"/>
              </w:rPr>
              <w:t> </w:t>
            </w:r>
            <w:r>
              <w:rPr>
                <w:sz w:val="24"/>
              </w:rPr>
              <w:t>every</w:t>
            </w:r>
            <w:r>
              <w:rPr>
                <w:spacing w:val="40"/>
                <w:sz w:val="24"/>
              </w:rPr>
              <w:t> </w:t>
            </w:r>
            <w:r>
              <w:rPr>
                <w:sz w:val="24"/>
              </w:rPr>
              <w:t>subsequent</w:t>
            </w:r>
            <w:r>
              <w:rPr>
                <w:spacing w:val="40"/>
                <w:sz w:val="24"/>
              </w:rPr>
              <w:t> </w:t>
            </w:r>
            <w:r>
              <w:rPr>
                <w:sz w:val="24"/>
              </w:rPr>
              <w:t>addition</w:t>
            </w:r>
            <w:r>
              <w:rPr>
                <w:spacing w:val="40"/>
                <w:sz w:val="24"/>
              </w:rPr>
              <w:t> </w:t>
            </w:r>
            <w:r>
              <w:rPr>
                <w:sz w:val="24"/>
              </w:rPr>
              <w:t>of</w:t>
            </w:r>
            <w:r>
              <w:rPr>
                <w:spacing w:val="40"/>
                <w:sz w:val="24"/>
              </w:rPr>
              <w:t> </w:t>
            </w:r>
            <w:r>
              <w:rPr>
                <w:sz w:val="24"/>
              </w:rPr>
              <w:t>200</w:t>
            </w:r>
            <w:r>
              <w:rPr>
                <w:spacing w:val="40"/>
                <w:sz w:val="24"/>
              </w:rPr>
              <w:t> </w:t>
            </w:r>
            <w:r>
              <w:rPr>
                <w:sz w:val="24"/>
              </w:rPr>
              <w:t>seats or part thereof accessible seating should be distributed</w:t>
            </w:r>
            <w:r>
              <w:rPr>
                <w:spacing w:val="80"/>
                <w:sz w:val="24"/>
              </w:rPr>
              <w:t> </w:t>
            </w:r>
            <w:r>
              <w:rPr>
                <w:sz w:val="24"/>
              </w:rPr>
              <w:t>and</w:t>
            </w:r>
            <w:r>
              <w:rPr>
                <w:spacing w:val="80"/>
                <w:sz w:val="24"/>
              </w:rPr>
              <w:t> </w:t>
            </w:r>
            <w:r>
              <w:rPr>
                <w:sz w:val="24"/>
              </w:rPr>
              <w:t>integrated</w:t>
            </w:r>
            <w:r>
              <w:rPr>
                <w:spacing w:val="80"/>
                <w:sz w:val="24"/>
              </w:rPr>
              <w:t> </w:t>
            </w:r>
            <w:r>
              <w:rPr>
                <w:sz w:val="24"/>
              </w:rPr>
              <w:t>throughout</w:t>
            </w:r>
            <w:r>
              <w:rPr>
                <w:spacing w:val="80"/>
                <w:sz w:val="24"/>
              </w:rPr>
              <w:t> </w:t>
            </w:r>
            <w:r>
              <w:rPr>
                <w:sz w:val="24"/>
              </w:rPr>
              <w:t>seating</w:t>
            </w:r>
            <w:r>
              <w:rPr>
                <w:spacing w:val="80"/>
                <w:sz w:val="24"/>
              </w:rPr>
              <w:t> </w:t>
            </w:r>
            <w:r>
              <w:rPr>
                <w:sz w:val="24"/>
              </w:rPr>
              <w:t>areas of assembly rooms with different vantage points accessible</w:t>
            </w:r>
            <w:r>
              <w:rPr>
                <w:spacing w:val="40"/>
                <w:sz w:val="24"/>
              </w:rPr>
              <w:t> </w:t>
            </w:r>
            <w:r>
              <w:rPr>
                <w:sz w:val="24"/>
              </w:rPr>
              <w:t>to</w:t>
            </w:r>
            <w:r>
              <w:rPr>
                <w:spacing w:val="40"/>
                <w:sz w:val="24"/>
              </w:rPr>
              <w:t> </w:t>
            </w:r>
            <w:r>
              <w:rPr>
                <w:sz w:val="24"/>
              </w:rPr>
              <w:t>all</w:t>
            </w:r>
            <w:r>
              <w:rPr>
                <w:spacing w:val="40"/>
                <w:sz w:val="24"/>
              </w:rPr>
              <w:t> </w:t>
            </w:r>
            <w:r>
              <w:rPr>
                <w:sz w:val="24"/>
              </w:rPr>
              <w:t>persons</w:t>
            </w:r>
            <w:r>
              <w:rPr>
                <w:spacing w:val="40"/>
                <w:sz w:val="24"/>
              </w:rPr>
              <w:t> </w:t>
            </w:r>
            <w:r>
              <w:rPr>
                <w:sz w:val="24"/>
              </w:rPr>
              <w:t>with</w:t>
            </w:r>
            <w:r>
              <w:rPr>
                <w:spacing w:val="40"/>
                <w:sz w:val="24"/>
              </w:rPr>
              <w:t> </w:t>
            </w:r>
            <w:r>
              <w:rPr>
                <w:spacing w:val="9"/>
                <w:sz w:val="24"/>
              </w:rPr>
              <w:t>disabilities.</w:t>
            </w:r>
          </w:p>
          <w:p>
            <w:pPr>
              <w:pStyle w:val="TableParagraph"/>
              <w:numPr>
                <w:ilvl w:val="0"/>
                <w:numId w:val="281"/>
              </w:numPr>
              <w:tabs>
                <w:tab w:pos="533" w:val="left" w:leader="none"/>
                <w:tab w:pos="535" w:val="left" w:leader="none"/>
              </w:tabs>
              <w:spacing w:line="240" w:lineRule="auto" w:before="0" w:after="0"/>
              <w:ind w:left="535" w:right="183" w:hanging="361"/>
              <w:jc w:val="both"/>
              <w:rPr>
                <w:rFonts w:ascii="Arial"/>
                <w:sz w:val="20"/>
              </w:rPr>
            </w:pPr>
            <w:r>
              <w:rPr>
                <w:sz w:val="24"/>
              </w:rPr>
              <w:t>Guideline: All entertainment and assembly</w:t>
            </w:r>
            <w:r>
              <w:rPr>
                <w:spacing w:val="40"/>
                <w:sz w:val="24"/>
              </w:rPr>
              <w:t> </w:t>
            </w:r>
            <w:r>
              <w:rPr>
                <w:sz w:val="24"/>
              </w:rPr>
              <w:t>areas</w:t>
            </w:r>
            <w:r>
              <w:rPr>
                <w:spacing w:val="80"/>
                <w:sz w:val="24"/>
              </w:rPr>
              <w:t> </w:t>
            </w:r>
            <w:r>
              <w:rPr>
                <w:sz w:val="24"/>
              </w:rPr>
              <w:t>should</w:t>
            </w:r>
            <w:r>
              <w:rPr>
                <w:spacing w:val="40"/>
                <w:sz w:val="24"/>
              </w:rPr>
              <w:t> </w:t>
            </w:r>
            <w:r>
              <w:rPr>
                <w:sz w:val="24"/>
              </w:rPr>
              <w:t>be</w:t>
            </w:r>
            <w:r>
              <w:rPr>
                <w:spacing w:val="40"/>
                <w:sz w:val="24"/>
              </w:rPr>
              <w:t> </w:t>
            </w:r>
            <w:r>
              <w:rPr>
                <w:sz w:val="24"/>
              </w:rPr>
              <w:t>able</w:t>
            </w:r>
            <w:r>
              <w:rPr>
                <w:spacing w:val="40"/>
                <w:sz w:val="24"/>
              </w:rPr>
              <w:t> </w:t>
            </w:r>
            <w:r>
              <w:rPr>
                <w:sz w:val="24"/>
              </w:rPr>
              <w:t>to</w:t>
            </w:r>
            <w:r>
              <w:rPr>
                <w:spacing w:val="40"/>
                <w:sz w:val="24"/>
              </w:rPr>
              <w:t> </w:t>
            </w:r>
            <w:r>
              <w:rPr>
                <w:sz w:val="24"/>
              </w:rPr>
              <w:t>cater</w:t>
            </w:r>
            <w:r>
              <w:rPr>
                <w:spacing w:val="40"/>
                <w:sz w:val="24"/>
              </w:rPr>
              <w:t> </w:t>
            </w:r>
            <w:r>
              <w:rPr>
                <w:sz w:val="24"/>
              </w:rPr>
              <w:t>for</w:t>
            </w:r>
            <w:r>
              <w:rPr>
                <w:spacing w:val="40"/>
                <w:sz w:val="24"/>
              </w:rPr>
              <w:t> </w:t>
            </w:r>
            <w:r>
              <w:rPr>
                <w:sz w:val="24"/>
              </w:rPr>
              <w:t>and</w:t>
            </w:r>
            <w:r>
              <w:rPr>
                <w:spacing w:val="40"/>
                <w:sz w:val="24"/>
              </w:rPr>
              <w:t> </w:t>
            </w:r>
            <w:r>
              <w:rPr>
                <w:sz w:val="24"/>
              </w:rPr>
              <w:t>accommodate Differently</w:t>
            </w:r>
            <w:r>
              <w:rPr>
                <w:spacing w:val="80"/>
                <w:sz w:val="24"/>
              </w:rPr>
              <w:t> </w:t>
            </w:r>
            <w:r>
              <w:rPr>
                <w:sz w:val="24"/>
              </w:rPr>
              <w:t>abled</w:t>
            </w:r>
            <w:r>
              <w:rPr>
                <w:spacing w:val="80"/>
                <w:sz w:val="24"/>
              </w:rPr>
              <w:t> </w:t>
            </w:r>
            <w:r>
              <w:rPr>
                <w:sz w:val="24"/>
              </w:rPr>
              <w:t>persons</w:t>
            </w:r>
            <w:r>
              <w:rPr>
                <w:spacing w:val="80"/>
                <w:sz w:val="24"/>
              </w:rPr>
              <w:t> </w:t>
            </w:r>
            <w:r>
              <w:rPr>
                <w:sz w:val="24"/>
              </w:rPr>
              <w:t>using</w:t>
            </w:r>
            <w:r>
              <w:rPr>
                <w:spacing w:val="80"/>
                <w:sz w:val="24"/>
              </w:rPr>
              <w:t> </w:t>
            </w:r>
            <w:r>
              <w:rPr>
                <w:sz w:val="24"/>
              </w:rPr>
              <w:t>various</w:t>
            </w:r>
            <w:r>
              <w:rPr>
                <w:spacing w:val="80"/>
                <w:sz w:val="24"/>
              </w:rPr>
              <w:t> </w:t>
            </w:r>
            <w:r>
              <w:rPr>
                <w:sz w:val="24"/>
              </w:rPr>
              <w:t>mobility</w:t>
            </w:r>
            <w:r>
              <w:rPr>
                <w:spacing w:val="80"/>
                <w:sz w:val="24"/>
              </w:rPr>
              <w:t> </w:t>
            </w:r>
            <w:r>
              <w:rPr>
                <w:spacing w:val="-2"/>
                <w:sz w:val="24"/>
              </w:rPr>
              <w:t>aids.</w:t>
            </w:r>
          </w:p>
          <w:p>
            <w:pPr>
              <w:pStyle w:val="TableParagraph"/>
              <w:numPr>
                <w:ilvl w:val="0"/>
                <w:numId w:val="281"/>
              </w:numPr>
              <w:tabs>
                <w:tab w:pos="537" w:val="left" w:leader="none"/>
                <w:tab w:pos="716" w:val="left" w:leader="none"/>
              </w:tabs>
              <w:spacing w:line="240" w:lineRule="auto" w:before="0" w:after="0"/>
              <w:ind w:left="537" w:right="117" w:hanging="351"/>
              <w:jc w:val="both"/>
              <w:rPr>
                <w:sz w:val="24"/>
              </w:rPr>
            </w:pPr>
            <w:r>
              <w:rPr>
                <w:sz w:val="24"/>
              </w:rPr>
              <w:tab/>
              <w:t>Wheelchair spaces should be an integral part of any seating plan. Efforts must be made to distribute such seating</w:t>
            </w:r>
            <w:r>
              <w:rPr>
                <w:spacing w:val="40"/>
                <w:sz w:val="24"/>
              </w:rPr>
              <w:t> </w:t>
            </w:r>
            <w:r>
              <w:rPr>
                <w:sz w:val="24"/>
              </w:rPr>
              <w:t>spaces</w:t>
            </w:r>
            <w:r>
              <w:rPr>
                <w:spacing w:val="40"/>
                <w:sz w:val="24"/>
              </w:rPr>
              <w:t> </w:t>
            </w:r>
            <w:r>
              <w:rPr>
                <w:sz w:val="24"/>
              </w:rPr>
              <w:t>throughout</w:t>
            </w:r>
            <w:r>
              <w:rPr>
                <w:spacing w:val="40"/>
                <w:sz w:val="24"/>
              </w:rPr>
              <w:t> </w:t>
            </w:r>
            <w:r>
              <w:rPr>
                <w:sz w:val="24"/>
              </w:rPr>
              <w:t>the</w:t>
            </w:r>
            <w:r>
              <w:rPr>
                <w:spacing w:val="40"/>
                <w:sz w:val="24"/>
              </w:rPr>
              <w:t> </w:t>
            </w:r>
            <w:r>
              <w:rPr>
                <w:sz w:val="24"/>
              </w:rPr>
              <w:t>seating</w:t>
            </w:r>
            <w:r>
              <w:rPr>
                <w:spacing w:val="40"/>
                <w:sz w:val="24"/>
              </w:rPr>
              <w:t> </w:t>
            </w:r>
            <w:r>
              <w:rPr>
                <w:sz w:val="24"/>
              </w:rPr>
              <w:t>area</w:t>
            </w:r>
            <w:r>
              <w:rPr>
                <w:spacing w:val="40"/>
                <w:sz w:val="24"/>
              </w:rPr>
              <w:t> </w:t>
            </w:r>
            <w:r>
              <w:rPr>
                <w:sz w:val="24"/>
              </w:rPr>
              <w:t>and</w:t>
            </w:r>
            <w:r>
              <w:rPr>
                <w:spacing w:val="40"/>
                <w:sz w:val="24"/>
              </w:rPr>
              <w:t> </w:t>
            </w:r>
            <w:r>
              <w:rPr>
                <w:sz w:val="24"/>
              </w:rPr>
              <w:t>in each</w:t>
            </w:r>
            <w:r>
              <w:rPr>
                <w:spacing w:val="65"/>
                <w:sz w:val="24"/>
              </w:rPr>
              <w:t> </w:t>
            </w:r>
            <w:r>
              <w:rPr>
                <w:sz w:val="24"/>
              </w:rPr>
              <w:t>pricing</w:t>
            </w:r>
            <w:r>
              <w:rPr>
                <w:spacing w:val="71"/>
                <w:sz w:val="24"/>
              </w:rPr>
              <w:t> </w:t>
            </w:r>
            <w:r>
              <w:rPr>
                <w:sz w:val="24"/>
              </w:rPr>
              <w:t>tier,</w:t>
            </w:r>
            <w:r>
              <w:rPr>
                <w:spacing w:val="66"/>
                <w:sz w:val="24"/>
              </w:rPr>
              <w:t> </w:t>
            </w:r>
            <w:r>
              <w:rPr>
                <w:sz w:val="24"/>
              </w:rPr>
              <w:t>arranged</w:t>
            </w:r>
            <w:r>
              <w:rPr>
                <w:spacing w:val="72"/>
                <w:sz w:val="24"/>
              </w:rPr>
              <w:t> </w:t>
            </w:r>
            <w:r>
              <w:rPr>
                <w:sz w:val="24"/>
              </w:rPr>
              <w:t>so</w:t>
            </w:r>
            <w:r>
              <w:rPr>
                <w:spacing w:val="68"/>
                <w:sz w:val="24"/>
              </w:rPr>
              <w:t> </w:t>
            </w:r>
            <w:r>
              <w:rPr>
                <w:sz w:val="24"/>
              </w:rPr>
              <w:t>as</w:t>
            </w:r>
            <w:r>
              <w:rPr>
                <w:spacing w:val="65"/>
                <w:sz w:val="24"/>
              </w:rPr>
              <w:t> </w:t>
            </w:r>
            <w:r>
              <w:rPr>
                <w:sz w:val="24"/>
              </w:rPr>
              <w:t>not</w:t>
            </w:r>
            <w:r>
              <w:rPr>
                <w:spacing w:val="69"/>
                <w:sz w:val="24"/>
              </w:rPr>
              <w:t> </w:t>
            </w:r>
            <w:r>
              <w:rPr>
                <w:sz w:val="24"/>
              </w:rPr>
              <w:t>to</w:t>
            </w:r>
            <w:r>
              <w:rPr>
                <w:spacing w:val="65"/>
                <w:sz w:val="24"/>
              </w:rPr>
              <w:t> </w:t>
            </w:r>
            <w:r>
              <w:rPr>
                <w:sz w:val="24"/>
              </w:rPr>
              <w:t>obstruct</w:t>
            </w:r>
            <w:r>
              <w:rPr>
                <w:spacing w:val="69"/>
                <w:sz w:val="24"/>
              </w:rPr>
              <w:t> </w:t>
            </w:r>
            <w:r>
              <w:rPr>
                <w:spacing w:val="-5"/>
                <w:sz w:val="24"/>
              </w:rPr>
              <w:t>the</w:t>
            </w:r>
          </w:p>
          <w:p>
            <w:pPr>
              <w:pStyle w:val="TableParagraph"/>
              <w:spacing w:line="262" w:lineRule="exact"/>
              <w:ind w:left="537"/>
              <w:jc w:val="both"/>
              <w:rPr>
                <w:sz w:val="24"/>
              </w:rPr>
            </w:pPr>
            <w:r>
              <w:rPr>
                <w:sz w:val="24"/>
              </w:rPr>
              <w:t>view</w:t>
            </w:r>
            <w:r>
              <w:rPr>
                <w:spacing w:val="45"/>
                <w:sz w:val="24"/>
              </w:rPr>
              <w:t> </w:t>
            </w:r>
            <w:r>
              <w:rPr>
                <w:sz w:val="24"/>
              </w:rPr>
              <w:t>of</w:t>
            </w:r>
            <w:r>
              <w:rPr>
                <w:spacing w:val="46"/>
                <w:sz w:val="24"/>
              </w:rPr>
              <w:t> </w:t>
            </w:r>
            <w:r>
              <w:rPr>
                <w:sz w:val="24"/>
              </w:rPr>
              <w:t>persons</w:t>
            </w:r>
            <w:r>
              <w:rPr>
                <w:spacing w:val="46"/>
                <w:sz w:val="24"/>
              </w:rPr>
              <w:t> </w:t>
            </w:r>
            <w:r>
              <w:rPr>
                <w:sz w:val="24"/>
              </w:rPr>
              <w:t>who</w:t>
            </w:r>
            <w:r>
              <w:rPr>
                <w:spacing w:val="46"/>
                <w:sz w:val="24"/>
              </w:rPr>
              <w:t> </w:t>
            </w:r>
            <w:r>
              <w:rPr>
                <w:sz w:val="24"/>
              </w:rPr>
              <w:t>may</w:t>
            </w:r>
            <w:r>
              <w:rPr>
                <w:spacing w:val="45"/>
                <w:sz w:val="24"/>
              </w:rPr>
              <w:t> </w:t>
            </w:r>
            <w:r>
              <w:rPr>
                <w:sz w:val="24"/>
              </w:rPr>
              <w:t>be</w:t>
            </w:r>
            <w:r>
              <w:rPr>
                <w:spacing w:val="49"/>
                <w:sz w:val="24"/>
              </w:rPr>
              <w:t> </w:t>
            </w:r>
            <w:r>
              <w:rPr>
                <w:sz w:val="24"/>
              </w:rPr>
              <w:t>seated</w:t>
            </w:r>
            <w:r>
              <w:rPr>
                <w:spacing w:val="46"/>
                <w:sz w:val="24"/>
              </w:rPr>
              <w:t> </w:t>
            </w:r>
            <w:r>
              <w:rPr>
                <w:spacing w:val="-2"/>
                <w:sz w:val="24"/>
              </w:rPr>
              <w:t>behind</w:t>
            </w:r>
          </w:p>
        </w:tc>
      </w:tr>
      <w:tr>
        <w:trPr>
          <w:trHeight w:val="1127" w:hRule="atLeast"/>
        </w:trPr>
        <w:tc>
          <w:tcPr>
            <w:tcW w:w="1985" w:type="dxa"/>
          </w:tcPr>
          <w:p>
            <w:pPr>
              <w:pStyle w:val="TableParagraph"/>
              <w:spacing w:line="281" w:lineRule="exact"/>
              <w:ind w:left="107"/>
              <w:rPr>
                <w:sz w:val="24"/>
              </w:rPr>
            </w:pPr>
            <w:r>
              <w:rPr>
                <w:spacing w:val="7"/>
                <w:sz w:val="24"/>
              </w:rPr>
              <w:t>Dimensions</w:t>
            </w:r>
          </w:p>
        </w:tc>
        <w:tc>
          <w:tcPr>
            <w:tcW w:w="7377" w:type="dxa"/>
          </w:tcPr>
          <w:p>
            <w:pPr>
              <w:pStyle w:val="TableParagraph"/>
              <w:ind w:left="105" w:right="346"/>
              <w:rPr>
                <w:sz w:val="24"/>
              </w:rPr>
            </w:pPr>
            <w:r>
              <w:rPr>
                <w:sz w:val="24"/>
              </w:rPr>
              <w:t>The</w:t>
            </w:r>
            <w:r>
              <w:rPr>
                <w:spacing w:val="40"/>
                <w:sz w:val="24"/>
              </w:rPr>
              <w:t> </w:t>
            </w:r>
            <w:r>
              <w:rPr>
                <w:sz w:val="24"/>
              </w:rPr>
              <w:t>wheelchair</w:t>
            </w:r>
            <w:r>
              <w:rPr>
                <w:spacing w:val="40"/>
                <w:sz w:val="24"/>
              </w:rPr>
              <w:t> </w:t>
            </w:r>
            <w:r>
              <w:rPr>
                <w:sz w:val="24"/>
              </w:rPr>
              <w:t>spaces,</w:t>
            </w:r>
            <w:r>
              <w:rPr>
                <w:spacing w:val="40"/>
                <w:sz w:val="24"/>
              </w:rPr>
              <w:t> </w:t>
            </w:r>
            <w:r>
              <w:rPr>
                <w:sz w:val="24"/>
              </w:rPr>
              <w:t>each</w:t>
            </w:r>
            <w:r>
              <w:rPr>
                <w:spacing w:val="40"/>
                <w:sz w:val="24"/>
              </w:rPr>
              <w:t> </w:t>
            </w:r>
            <w:r>
              <w:rPr>
                <w:sz w:val="24"/>
              </w:rPr>
              <w:t>measuring</w:t>
            </w:r>
            <w:r>
              <w:rPr>
                <w:spacing w:val="40"/>
                <w:sz w:val="24"/>
              </w:rPr>
              <w:t> </w:t>
            </w:r>
            <w:r>
              <w:rPr>
                <w:sz w:val="24"/>
              </w:rPr>
              <w:t>0.9</w:t>
            </w:r>
            <w:r>
              <w:rPr>
                <w:spacing w:val="40"/>
                <w:sz w:val="24"/>
              </w:rPr>
              <w:t> </w:t>
            </w:r>
            <w:r>
              <w:rPr>
                <w:sz w:val="24"/>
              </w:rPr>
              <w:t>m</w:t>
            </w:r>
            <w:r>
              <w:rPr>
                <w:spacing w:val="40"/>
                <w:sz w:val="24"/>
              </w:rPr>
              <w:t> </w:t>
            </w:r>
            <w:r>
              <w:rPr>
                <w:sz w:val="24"/>
              </w:rPr>
              <w:t>x</w:t>
            </w:r>
            <w:r>
              <w:rPr>
                <w:spacing w:val="40"/>
                <w:sz w:val="24"/>
              </w:rPr>
              <w:t> </w:t>
            </w:r>
            <w:r>
              <w:rPr>
                <w:sz w:val="24"/>
              </w:rPr>
              <w:t>1.2</w:t>
            </w:r>
            <w:r>
              <w:rPr>
                <w:spacing w:val="40"/>
                <w:sz w:val="24"/>
              </w:rPr>
              <w:t> </w:t>
            </w:r>
            <w:r>
              <w:rPr>
                <w:sz w:val="24"/>
              </w:rPr>
              <w:t>m shall</w:t>
            </w:r>
            <w:r>
              <w:rPr>
                <w:spacing w:val="40"/>
                <w:sz w:val="24"/>
              </w:rPr>
              <w:t> </w:t>
            </w:r>
            <w:r>
              <w:rPr>
                <w:sz w:val="24"/>
              </w:rPr>
              <w:t>be</w:t>
            </w:r>
            <w:r>
              <w:rPr>
                <w:spacing w:val="40"/>
                <w:sz w:val="24"/>
              </w:rPr>
              <w:t> </w:t>
            </w:r>
            <w:r>
              <w:rPr>
                <w:sz w:val="24"/>
              </w:rPr>
              <w:t>located</w:t>
            </w:r>
            <w:r>
              <w:rPr>
                <w:spacing w:val="40"/>
                <w:sz w:val="24"/>
              </w:rPr>
              <w:t> </w:t>
            </w:r>
            <w:r>
              <w:rPr>
                <w:sz w:val="24"/>
              </w:rPr>
              <w:t>alongside</w:t>
            </w:r>
            <w:r>
              <w:rPr>
                <w:spacing w:val="40"/>
                <w:sz w:val="24"/>
              </w:rPr>
              <w:t> </w:t>
            </w:r>
            <w:r>
              <w:rPr>
                <w:sz w:val="24"/>
              </w:rPr>
              <w:t>the</w:t>
            </w:r>
            <w:r>
              <w:rPr>
                <w:spacing w:val="40"/>
                <w:sz w:val="24"/>
              </w:rPr>
              <w:t> </w:t>
            </w:r>
            <w:r>
              <w:rPr>
                <w:sz w:val="24"/>
              </w:rPr>
              <w:t>fixed</w:t>
            </w:r>
            <w:r>
              <w:rPr>
                <w:spacing w:val="40"/>
                <w:sz w:val="24"/>
              </w:rPr>
              <w:t> </w:t>
            </w:r>
            <w:r>
              <w:rPr>
                <w:sz w:val="24"/>
              </w:rPr>
              <w:t>seats</w:t>
            </w:r>
            <w:r>
              <w:rPr>
                <w:spacing w:val="40"/>
                <w:sz w:val="24"/>
              </w:rPr>
              <w:t> </w:t>
            </w:r>
            <w:r>
              <w:rPr>
                <w:sz w:val="24"/>
              </w:rPr>
              <w:t>to</w:t>
            </w:r>
            <w:r>
              <w:rPr>
                <w:spacing w:val="40"/>
                <w:sz w:val="24"/>
              </w:rPr>
              <w:t> </w:t>
            </w:r>
            <w:r>
              <w:rPr>
                <w:spacing w:val="9"/>
                <w:sz w:val="24"/>
              </w:rPr>
              <w:t>enable</w:t>
            </w:r>
          </w:p>
          <w:p>
            <w:pPr>
              <w:pStyle w:val="TableParagraph"/>
              <w:spacing w:line="280" w:lineRule="exact"/>
              <w:ind w:left="105" w:right="346"/>
              <w:rPr>
                <w:sz w:val="24"/>
              </w:rPr>
            </w:pPr>
            <w:r>
              <w:rPr>
                <w:sz w:val="24"/>
              </w:rPr>
              <w:t>wheelchair</w:t>
            </w:r>
            <w:r>
              <w:rPr>
                <w:spacing w:val="40"/>
                <w:sz w:val="24"/>
              </w:rPr>
              <w:t> </w:t>
            </w:r>
            <w:r>
              <w:rPr>
                <w:sz w:val="24"/>
              </w:rPr>
              <w:t>users</w:t>
            </w:r>
            <w:r>
              <w:rPr>
                <w:spacing w:val="40"/>
                <w:sz w:val="24"/>
              </w:rPr>
              <w:t> </w:t>
            </w:r>
            <w:r>
              <w:rPr>
                <w:sz w:val="24"/>
              </w:rPr>
              <w:t>to</w:t>
            </w:r>
            <w:r>
              <w:rPr>
                <w:spacing w:val="40"/>
                <w:sz w:val="24"/>
              </w:rPr>
              <w:t> </w:t>
            </w:r>
            <w:r>
              <w:rPr>
                <w:sz w:val="24"/>
              </w:rPr>
              <w:t>sit</w:t>
            </w:r>
            <w:r>
              <w:rPr>
                <w:spacing w:val="40"/>
                <w:sz w:val="24"/>
              </w:rPr>
              <w:t> </w:t>
            </w:r>
            <w:r>
              <w:rPr>
                <w:sz w:val="24"/>
              </w:rPr>
              <w:t>together</w:t>
            </w:r>
            <w:r>
              <w:rPr>
                <w:spacing w:val="40"/>
                <w:sz w:val="24"/>
              </w:rPr>
              <w:t> </w:t>
            </w:r>
            <w:r>
              <w:rPr>
                <w:sz w:val="24"/>
              </w:rPr>
              <w:t>with</w:t>
            </w:r>
            <w:r>
              <w:rPr>
                <w:spacing w:val="40"/>
                <w:sz w:val="24"/>
              </w:rPr>
              <w:t> </w:t>
            </w:r>
            <w:r>
              <w:rPr>
                <w:sz w:val="24"/>
              </w:rPr>
              <w:t>their</w:t>
            </w:r>
            <w:r>
              <w:rPr>
                <w:spacing w:val="40"/>
                <w:sz w:val="24"/>
              </w:rPr>
              <w:t> </w:t>
            </w:r>
            <w:r>
              <w:rPr>
                <w:sz w:val="24"/>
              </w:rPr>
              <w:t>able</w:t>
            </w:r>
            <w:r>
              <w:rPr>
                <w:spacing w:val="40"/>
                <w:sz w:val="24"/>
              </w:rPr>
              <w:t> </w:t>
            </w:r>
            <w:r>
              <w:rPr>
                <w:spacing w:val="9"/>
                <w:sz w:val="24"/>
              </w:rPr>
              <w:t>bodied </w:t>
            </w:r>
            <w:r>
              <w:rPr>
                <w:sz w:val="24"/>
              </w:rPr>
              <w:t>or ambulant </w:t>
            </w:r>
            <w:r>
              <w:rPr>
                <w:spacing w:val="9"/>
                <w:sz w:val="24"/>
              </w:rPr>
              <w:t>companion.</w:t>
            </w:r>
          </w:p>
        </w:tc>
      </w:tr>
    </w:tbl>
    <w:p>
      <w:pPr>
        <w:pStyle w:val="ListParagraph"/>
        <w:numPr>
          <w:ilvl w:val="1"/>
          <w:numId w:val="264"/>
        </w:numPr>
        <w:tabs>
          <w:tab w:pos="1959" w:val="left" w:leader="none"/>
        </w:tabs>
        <w:spacing w:line="240" w:lineRule="auto" w:before="281" w:after="0"/>
        <w:ind w:left="1959" w:right="0" w:hanging="646"/>
        <w:jc w:val="left"/>
        <w:rPr>
          <w:sz w:val="24"/>
        </w:rPr>
      </w:pPr>
      <w:r>
        <w:rPr>
          <w:sz w:val="24"/>
        </w:rPr>
        <w:t>Proper</w:t>
      </w:r>
      <w:r>
        <w:rPr>
          <w:spacing w:val="65"/>
          <w:sz w:val="24"/>
        </w:rPr>
        <w:t> </w:t>
      </w:r>
      <w:r>
        <w:rPr>
          <w:spacing w:val="-2"/>
          <w:sz w:val="24"/>
        </w:rPr>
        <w:t>signage</w:t>
      </w:r>
    </w:p>
    <w:p>
      <w:pPr>
        <w:pStyle w:val="BodyText"/>
        <w:jc w:val="left"/>
      </w:pPr>
    </w:p>
    <w:p>
      <w:pPr>
        <w:pStyle w:val="ListParagraph"/>
        <w:numPr>
          <w:ilvl w:val="0"/>
          <w:numId w:val="282"/>
        </w:numPr>
        <w:tabs>
          <w:tab w:pos="1611" w:val="left" w:leader="none"/>
        </w:tabs>
        <w:spacing w:line="240" w:lineRule="auto" w:before="1" w:after="0"/>
        <w:ind w:left="1313" w:right="800" w:firstLine="0"/>
        <w:jc w:val="both"/>
        <w:rPr>
          <w:sz w:val="24"/>
        </w:rPr>
      </w:pPr>
      <w:r>
        <w:rPr>
          <w:sz w:val="24"/>
        </w:rPr>
        <w:t>Appropriate identification of specific facilities within a building for the differently</w:t>
      </w:r>
      <w:r>
        <w:rPr>
          <w:spacing w:val="40"/>
          <w:sz w:val="24"/>
        </w:rPr>
        <w:t> </w:t>
      </w:r>
      <w:r>
        <w:rPr>
          <w:sz w:val="24"/>
        </w:rPr>
        <w:t>abled</w:t>
      </w:r>
      <w:r>
        <w:rPr>
          <w:spacing w:val="40"/>
          <w:sz w:val="24"/>
        </w:rPr>
        <w:t> </w:t>
      </w:r>
      <w:r>
        <w:rPr>
          <w:sz w:val="24"/>
        </w:rPr>
        <w:t>persons</w:t>
      </w:r>
      <w:r>
        <w:rPr>
          <w:spacing w:val="40"/>
          <w:sz w:val="24"/>
        </w:rPr>
        <w:t> </w:t>
      </w:r>
      <w:r>
        <w:rPr>
          <w:sz w:val="24"/>
        </w:rPr>
        <w:t>should</w:t>
      </w:r>
      <w:r>
        <w:rPr>
          <w:spacing w:val="40"/>
          <w:sz w:val="24"/>
        </w:rPr>
        <w:t> </w:t>
      </w:r>
      <w:r>
        <w:rPr>
          <w:sz w:val="24"/>
        </w:rPr>
        <w:t>be</w:t>
      </w:r>
      <w:r>
        <w:rPr>
          <w:spacing w:val="40"/>
          <w:sz w:val="24"/>
        </w:rPr>
        <w:t> </w:t>
      </w:r>
      <w:r>
        <w:rPr>
          <w:sz w:val="24"/>
        </w:rPr>
        <w:t>done</w:t>
      </w:r>
      <w:r>
        <w:rPr>
          <w:spacing w:val="40"/>
          <w:sz w:val="24"/>
        </w:rPr>
        <w:t> </w:t>
      </w:r>
      <w:r>
        <w:rPr>
          <w:sz w:val="24"/>
        </w:rPr>
        <w:t>with</w:t>
      </w:r>
      <w:r>
        <w:rPr>
          <w:spacing w:val="40"/>
          <w:sz w:val="24"/>
        </w:rPr>
        <w:t> </w:t>
      </w:r>
      <w:r>
        <w:rPr>
          <w:sz w:val="24"/>
        </w:rPr>
        <w:t>proper</w:t>
      </w:r>
      <w:r>
        <w:rPr>
          <w:spacing w:val="40"/>
          <w:sz w:val="24"/>
        </w:rPr>
        <w:t> </w:t>
      </w:r>
      <w:r>
        <w:rPr>
          <w:spacing w:val="9"/>
          <w:sz w:val="24"/>
        </w:rPr>
        <w:t>signals.</w:t>
      </w:r>
    </w:p>
    <w:p>
      <w:pPr>
        <w:pStyle w:val="ListParagraph"/>
        <w:numPr>
          <w:ilvl w:val="0"/>
          <w:numId w:val="282"/>
        </w:numPr>
        <w:tabs>
          <w:tab w:pos="1642" w:val="left" w:leader="none"/>
        </w:tabs>
        <w:spacing w:line="240" w:lineRule="auto" w:before="0" w:after="0"/>
        <w:ind w:left="1313" w:right="777" w:firstLine="0"/>
        <w:jc w:val="both"/>
        <w:rPr>
          <w:sz w:val="24"/>
        </w:rPr>
      </w:pPr>
      <w:r>
        <w:rPr>
          <w:sz w:val="24"/>
        </w:rPr>
        <w:t>Visually</w:t>
      </w:r>
      <w:r>
        <w:rPr>
          <w:spacing w:val="40"/>
          <w:sz w:val="24"/>
        </w:rPr>
        <w:t> </w:t>
      </w:r>
      <w:r>
        <w:rPr>
          <w:sz w:val="24"/>
        </w:rPr>
        <w:t>impaired</w:t>
      </w:r>
      <w:r>
        <w:rPr>
          <w:spacing w:val="40"/>
          <w:sz w:val="24"/>
        </w:rPr>
        <w:t> </w:t>
      </w:r>
      <w:r>
        <w:rPr>
          <w:sz w:val="24"/>
        </w:rPr>
        <w:t>persons</w:t>
      </w:r>
      <w:r>
        <w:rPr>
          <w:spacing w:val="40"/>
          <w:sz w:val="24"/>
        </w:rPr>
        <w:t> </w:t>
      </w:r>
      <w:r>
        <w:rPr>
          <w:sz w:val="24"/>
        </w:rPr>
        <w:t>make</w:t>
      </w:r>
      <w:r>
        <w:rPr>
          <w:spacing w:val="40"/>
          <w:sz w:val="24"/>
        </w:rPr>
        <w:t> </w:t>
      </w:r>
      <w:r>
        <w:rPr>
          <w:sz w:val="24"/>
        </w:rPr>
        <w:t>use</w:t>
      </w:r>
      <w:r>
        <w:rPr>
          <w:spacing w:val="40"/>
          <w:sz w:val="24"/>
        </w:rPr>
        <w:t> </w:t>
      </w:r>
      <w:r>
        <w:rPr>
          <w:sz w:val="24"/>
        </w:rPr>
        <w:t>of</w:t>
      </w:r>
      <w:r>
        <w:rPr>
          <w:spacing w:val="40"/>
          <w:sz w:val="24"/>
        </w:rPr>
        <w:t> </w:t>
      </w:r>
      <w:r>
        <w:rPr>
          <w:sz w:val="24"/>
        </w:rPr>
        <w:t>other</w:t>
      </w:r>
      <w:r>
        <w:rPr>
          <w:spacing w:val="40"/>
          <w:sz w:val="24"/>
        </w:rPr>
        <w:t> </w:t>
      </w:r>
      <w:r>
        <w:rPr>
          <w:sz w:val="24"/>
        </w:rPr>
        <w:t>senses</w:t>
      </w:r>
      <w:r>
        <w:rPr>
          <w:spacing w:val="40"/>
          <w:sz w:val="24"/>
        </w:rPr>
        <w:t> </w:t>
      </w:r>
      <w:r>
        <w:rPr>
          <w:sz w:val="24"/>
        </w:rPr>
        <w:t>such</w:t>
      </w:r>
      <w:r>
        <w:rPr>
          <w:spacing w:val="40"/>
          <w:sz w:val="24"/>
        </w:rPr>
        <w:t> </w:t>
      </w:r>
      <w:r>
        <w:rPr>
          <w:sz w:val="24"/>
        </w:rPr>
        <w:t>as</w:t>
      </w:r>
      <w:r>
        <w:rPr>
          <w:spacing w:val="40"/>
          <w:sz w:val="24"/>
        </w:rPr>
        <w:t> </w:t>
      </w:r>
      <w:r>
        <w:rPr>
          <w:sz w:val="24"/>
        </w:rPr>
        <w:t>hearing and touch to compensate for the lack of </w:t>
      </w:r>
      <w:r>
        <w:rPr>
          <w:spacing w:val="9"/>
          <w:sz w:val="24"/>
        </w:rPr>
        <w:t>vision, </w:t>
      </w:r>
      <w:r>
        <w:rPr>
          <w:sz w:val="24"/>
        </w:rPr>
        <w:t>whereas visual signals benefit</w:t>
      </w:r>
      <w:r>
        <w:rPr>
          <w:spacing w:val="40"/>
          <w:sz w:val="24"/>
        </w:rPr>
        <w:t> </w:t>
      </w:r>
      <w:r>
        <w:rPr>
          <w:sz w:val="24"/>
        </w:rPr>
        <w:t>those</w:t>
      </w:r>
      <w:r>
        <w:rPr>
          <w:spacing w:val="40"/>
          <w:sz w:val="24"/>
        </w:rPr>
        <w:t> </w:t>
      </w:r>
      <w:r>
        <w:rPr>
          <w:sz w:val="24"/>
        </w:rPr>
        <w:t>with</w:t>
      </w:r>
      <w:r>
        <w:rPr>
          <w:spacing w:val="40"/>
          <w:sz w:val="24"/>
        </w:rPr>
        <w:t> </w:t>
      </w:r>
      <w:r>
        <w:rPr>
          <w:sz w:val="24"/>
        </w:rPr>
        <w:t>hearing</w:t>
      </w:r>
      <w:r>
        <w:rPr>
          <w:spacing w:val="40"/>
          <w:sz w:val="24"/>
        </w:rPr>
        <w:t> </w:t>
      </w:r>
      <w:r>
        <w:rPr>
          <w:sz w:val="24"/>
        </w:rPr>
        <w:t>disabilities.</w:t>
      </w:r>
      <w:r>
        <w:rPr>
          <w:spacing w:val="40"/>
          <w:sz w:val="24"/>
        </w:rPr>
        <w:t> </w:t>
      </w:r>
      <w:r>
        <w:rPr>
          <w:sz w:val="24"/>
        </w:rPr>
        <w:t>Signs</w:t>
      </w:r>
      <w:r>
        <w:rPr>
          <w:spacing w:val="40"/>
          <w:sz w:val="24"/>
        </w:rPr>
        <w:t> </w:t>
      </w:r>
      <w:r>
        <w:rPr>
          <w:sz w:val="24"/>
        </w:rPr>
        <w:t>should</w:t>
      </w:r>
      <w:r>
        <w:rPr>
          <w:spacing w:val="40"/>
          <w:sz w:val="24"/>
        </w:rPr>
        <w:t> </w:t>
      </w:r>
      <w:r>
        <w:rPr>
          <w:sz w:val="24"/>
        </w:rPr>
        <w:t>be</w:t>
      </w:r>
      <w:r>
        <w:rPr>
          <w:spacing w:val="40"/>
          <w:sz w:val="24"/>
        </w:rPr>
        <w:t> </w:t>
      </w:r>
      <w:r>
        <w:rPr>
          <w:sz w:val="24"/>
        </w:rPr>
        <w:t>designed</w:t>
      </w:r>
      <w:r>
        <w:rPr>
          <w:spacing w:val="40"/>
          <w:sz w:val="24"/>
        </w:rPr>
        <w:t> </w:t>
      </w:r>
      <w:r>
        <w:rPr>
          <w:sz w:val="24"/>
        </w:rPr>
        <w:t>and located</w:t>
      </w:r>
      <w:r>
        <w:rPr>
          <w:spacing w:val="40"/>
          <w:sz w:val="24"/>
        </w:rPr>
        <w:t> </w:t>
      </w:r>
      <w:r>
        <w:rPr>
          <w:sz w:val="24"/>
        </w:rPr>
        <w:t>so</w:t>
      </w:r>
      <w:r>
        <w:rPr>
          <w:spacing w:val="40"/>
          <w:sz w:val="24"/>
        </w:rPr>
        <w:t> </w:t>
      </w:r>
      <w:r>
        <w:rPr>
          <w:sz w:val="24"/>
        </w:rPr>
        <w:t>that</w:t>
      </w:r>
      <w:r>
        <w:rPr>
          <w:spacing w:val="40"/>
          <w:sz w:val="24"/>
        </w:rPr>
        <w:t> </w:t>
      </w:r>
      <w:r>
        <w:rPr>
          <w:sz w:val="24"/>
        </w:rPr>
        <w:t>they</w:t>
      </w:r>
      <w:r>
        <w:rPr>
          <w:spacing w:val="40"/>
          <w:sz w:val="24"/>
        </w:rPr>
        <w:t> </w:t>
      </w:r>
      <w:r>
        <w:rPr>
          <w:sz w:val="24"/>
        </w:rPr>
        <w:t>are</w:t>
      </w:r>
      <w:r>
        <w:rPr>
          <w:spacing w:val="40"/>
          <w:sz w:val="24"/>
        </w:rPr>
        <w:t> </w:t>
      </w:r>
      <w:r>
        <w:rPr>
          <w:sz w:val="24"/>
        </w:rPr>
        <w:t>easily</w:t>
      </w:r>
      <w:r>
        <w:rPr>
          <w:spacing w:val="40"/>
          <w:sz w:val="24"/>
        </w:rPr>
        <w:t> </w:t>
      </w:r>
      <w:r>
        <w:rPr>
          <w:sz w:val="24"/>
        </w:rPr>
        <w:t>legible</w:t>
      </w:r>
      <w:r>
        <w:rPr>
          <w:spacing w:val="40"/>
          <w:sz w:val="24"/>
        </w:rPr>
        <w:t> </w:t>
      </w:r>
      <w:r>
        <w:rPr>
          <w:sz w:val="24"/>
        </w:rPr>
        <w:t>by</w:t>
      </w:r>
      <w:r>
        <w:rPr>
          <w:spacing w:val="40"/>
          <w:sz w:val="24"/>
        </w:rPr>
        <w:t> </w:t>
      </w:r>
      <w:r>
        <w:rPr>
          <w:sz w:val="24"/>
        </w:rPr>
        <w:t>using</w:t>
      </w:r>
      <w:r>
        <w:rPr>
          <w:spacing w:val="40"/>
          <w:sz w:val="24"/>
        </w:rPr>
        <w:t> </w:t>
      </w:r>
      <w:r>
        <w:rPr>
          <w:sz w:val="24"/>
        </w:rPr>
        <w:t>suitable</w:t>
      </w:r>
      <w:r>
        <w:rPr>
          <w:spacing w:val="40"/>
          <w:sz w:val="24"/>
        </w:rPr>
        <w:t> </w:t>
      </w:r>
      <w:r>
        <w:rPr>
          <w:sz w:val="24"/>
        </w:rPr>
        <w:t>letter</w:t>
      </w:r>
      <w:r>
        <w:rPr>
          <w:spacing w:val="40"/>
          <w:sz w:val="24"/>
        </w:rPr>
        <w:t> </w:t>
      </w:r>
      <w:r>
        <w:rPr>
          <w:sz w:val="24"/>
        </w:rPr>
        <w:t>size</w:t>
      </w:r>
      <w:r>
        <w:rPr>
          <w:spacing w:val="40"/>
          <w:sz w:val="24"/>
        </w:rPr>
        <w:t> </w:t>
      </w:r>
      <w:r>
        <w:rPr>
          <w:spacing w:val="9"/>
          <w:sz w:val="24"/>
        </w:rPr>
        <w:t>(not </w:t>
      </w:r>
      <w:r>
        <w:rPr>
          <w:sz w:val="24"/>
        </w:rPr>
        <w:t>less than 20 mm </w:t>
      </w:r>
      <w:r>
        <w:rPr>
          <w:spacing w:val="9"/>
          <w:sz w:val="24"/>
        </w:rPr>
        <w:t>high).</w:t>
      </w:r>
    </w:p>
    <w:p>
      <w:pPr>
        <w:pStyle w:val="ListParagraph"/>
        <w:numPr>
          <w:ilvl w:val="0"/>
          <w:numId w:val="282"/>
        </w:numPr>
        <w:tabs>
          <w:tab w:pos="1635" w:val="left" w:leader="none"/>
        </w:tabs>
        <w:spacing w:line="240" w:lineRule="auto" w:before="1" w:after="0"/>
        <w:ind w:left="1313" w:right="778" w:firstLine="0"/>
        <w:jc w:val="both"/>
        <w:rPr>
          <w:sz w:val="24"/>
        </w:rPr>
      </w:pPr>
      <w:r>
        <w:rPr>
          <w:sz w:val="24"/>
        </w:rPr>
        <w:t>For visually impaired persons, information board in brail should be installed on the wall at a suitable height and it should be possible to approach them </w:t>
      </w:r>
      <w:r>
        <w:rPr>
          <w:spacing w:val="9"/>
          <w:sz w:val="24"/>
        </w:rPr>
        <w:t>closely.</w:t>
      </w:r>
    </w:p>
    <w:p>
      <w:pPr>
        <w:pStyle w:val="ListParagraph"/>
        <w:numPr>
          <w:ilvl w:val="0"/>
          <w:numId w:val="282"/>
        </w:numPr>
        <w:tabs>
          <w:tab w:pos="1714" w:val="left" w:leader="none"/>
        </w:tabs>
        <w:spacing w:line="240" w:lineRule="auto" w:before="0" w:after="0"/>
        <w:ind w:left="1313" w:right="775" w:firstLine="86"/>
        <w:jc w:val="both"/>
        <w:rPr>
          <w:sz w:val="24"/>
        </w:rPr>
      </w:pPr>
      <w:r>
        <w:rPr>
          <w:sz w:val="24"/>
        </w:rPr>
        <w:t>Directional signs and tactile guiding path should readily identify and provide</w:t>
      </w:r>
      <w:r>
        <w:rPr>
          <w:spacing w:val="40"/>
          <w:sz w:val="24"/>
        </w:rPr>
        <w:t> </w:t>
      </w:r>
      <w:r>
        <w:rPr>
          <w:sz w:val="24"/>
        </w:rPr>
        <w:t>a logical sequence from a</w:t>
      </w:r>
      <w:r>
        <w:rPr>
          <w:spacing w:val="40"/>
          <w:sz w:val="24"/>
        </w:rPr>
        <w:t> </w:t>
      </w:r>
      <w:r>
        <w:rPr>
          <w:sz w:val="24"/>
        </w:rPr>
        <w:t>starting point to</w:t>
      </w:r>
      <w:r>
        <w:rPr>
          <w:spacing w:val="40"/>
          <w:sz w:val="24"/>
        </w:rPr>
        <w:t> </w:t>
      </w:r>
      <w:r>
        <w:rPr>
          <w:sz w:val="24"/>
        </w:rPr>
        <w:t>a point of </w:t>
      </w:r>
      <w:r>
        <w:rPr>
          <w:spacing w:val="9"/>
          <w:sz w:val="24"/>
        </w:rPr>
        <w:t>destination </w:t>
      </w:r>
      <w:r>
        <w:rPr>
          <w:sz w:val="24"/>
        </w:rPr>
        <w:t>and</w:t>
      </w:r>
      <w:r>
        <w:rPr>
          <w:spacing w:val="40"/>
          <w:sz w:val="24"/>
        </w:rPr>
        <w:t> </w:t>
      </w:r>
      <w:r>
        <w:rPr>
          <w:sz w:val="24"/>
        </w:rPr>
        <w:t>a</w:t>
      </w:r>
      <w:r>
        <w:rPr>
          <w:spacing w:val="40"/>
          <w:sz w:val="24"/>
        </w:rPr>
        <w:t> </w:t>
      </w:r>
      <w:r>
        <w:rPr>
          <w:sz w:val="24"/>
        </w:rPr>
        <w:t>clear</w:t>
      </w:r>
      <w:r>
        <w:rPr>
          <w:spacing w:val="40"/>
          <w:sz w:val="24"/>
        </w:rPr>
        <w:t> </w:t>
      </w:r>
      <w:r>
        <w:rPr>
          <w:sz w:val="24"/>
        </w:rPr>
        <w:t>indication</w:t>
      </w:r>
      <w:r>
        <w:rPr>
          <w:spacing w:val="40"/>
          <w:sz w:val="24"/>
        </w:rPr>
        <w:t> </w:t>
      </w:r>
      <w:r>
        <w:rPr>
          <w:sz w:val="24"/>
        </w:rPr>
        <w:t>of</w:t>
      </w:r>
      <w:r>
        <w:rPr>
          <w:spacing w:val="40"/>
          <w:sz w:val="24"/>
        </w:rPr>
        <w:t> </w:t>
      </w:r>
      <w:r>
        <w:rPr>
          <w:sz w:val="24"/>
        </w:rPr>
        <w:t>return</w:t>
      </w:r>
      <w:r>
        <w:rPr>
          <w:spacing w:val="40"/>
          <w:sz w:val="24"/>
        </w:rPr>
        <w:t> </w:t>
      </w:r>
      <w:r>
        <w:rPr>
          <w:sz w:val="24"/>
        </w:rPr>
        <w:t>routes</w:t>
      </w:r>
      <w:r>
        <w:rPr>
          <w:spacing w:val="40"/>
          <w:sz w:val="24"/>
        </w:rPr>
        <w:t> </w:t>
      </w:r>
      <w:r>
        <w:rPr>
          <w:sz w:val="24"/>
        </w:rPr>
        <w:t>to</w:t>
      </w:r>
      <w:r>
        <w:rPr>
          <w:spacing w:val="40"/>
          <w:sz w:val="24"/>
        </w:rPr>
        <w:t> </w:t>
      </w:r>
      <w:r>
        <w:rPr>
          <w:sz w:val="24"/>
        </w:rPr>
        <w:t>the</w:t>
      </w:r>
      <w:r>
        <w:rPr>
          <w:spacing w:val="40"/>
          <w:sz w:val="24"/>
        </w:rPr>
        <w:t> </w:t>
      </w:r>
      <w:r>
        <w:rPr>
          <w:sz w:val="24"/>
        </w:rPr>
        <w:t>named</w:t>
      </w:r>
      <w:r>
        <w:rPr>
          <w:spacing w:val="40"/>
          <w:sz w:val="24"/>
        </w:rPr>
        <w:t> </w:t>
      </w:r>
      <w:r>
        <w:rPr>
          <w:sz w:val="24"/>
        </w:rPr>
        <w:t>exits.</w:t>
      </w:r>
      <w:r>
        <w:rPr>
          <w:spacing w:val="40"/>
          <w:sz w:val="24"/>
        </w:rPr>
        <w:t> </w:t>
      </w:r>
      <w:r>
        <w:rPr>
          <w:sz w:val="24"/>
        </w:rPr>
        <w:t>Clear indication</w:t>
      </w:r>
      <w:r>
        <w:rPr>
          <w:spacing w:val="40"/>
          <w:sz w:val="24"/>
        </w:rPr>
        <w:t> </w:t>
      </w:r>
      <w:r>
        <w:rPr>
          <w:sz w:val="24"/>
        </w:rPr>
        <w:t>of</w:t>
      </w:r>
      <w:r>
        <w:rPr>
          <w:spacing w:val="40"/>
          <w:sz w:val="24"/>
        </w:rPr>
        <w:t> </w:t>
      </w:r>
      <w:r>
        <w:rPr>
          <w:sz w:val="24"/>
        </w:rPr>
        <w:t>the</w:t>
      </w:r>
      <w:r>
        <w:rPr>
          <w:spacing w:val="40"/>
          <w:sz w:val="24"/>
        </w:rPr>
        <w:t> </w:t>
      </w:r>
      <w:r>
        <w:rPr>
          <w:sz w:val="24"/>
        </w:rPr>
        <w:t>existence</w:t>
      </w:r>
      <w:r>
        <w:rPr>
          <w:spacing w:val="40"/>
          <w:sz w:val="24"/>
        </w:rPr>
        <w:t> </w:t>
      </w:r>
      <w:r>
        <w:rPr>
          <w:sz w:val="24"/>
        </w:rPr>
        <w:t>of</w:t>
      </w:r>
      <w:r>
        <w:rPr>
          <w:spacing w:val="40"/>
          <w:sz w:val="24"/>
        </w:rPr>
        <w:t> </w:t>
      </w:r>
      <w:r>
        <w:rPr>
          <w:sz w:val="24"/>
        </w:rPr>
        <w:t>steps</w:t>
      </w:r>
      <w:r>
        <w:rPr>
          <w:spacing w:val="40"/>
          <w:sz w:val="24"/>
        </w:rPr>
        <w:t> </w:t>
      </w:r>
      <w:r>
        <w:rPr>
          <w:sz w:val="24"/>
        </w:rPr>
        <w:t>or</w:t>
      </w:r>
      <w:r>
        <w:rPr>
          <w:spacing w:val="40"/>
          <w:sz w:val="24"/>
        </w:rPr>
        <w:t> </w:t>
      </w:r>
      <w:r>
        <w:rPr>
          <w:sz w:val="24"/>
        </w:rPr>
        <w:t>ramps</w:t>
      </w:r>
      <w:r>
        <w:rPr>
          <w:spacing w:val="40"/>
          <w:sz w:val="24"/>
        </w:rPr>
        <w:t> </w:t>
      </w:r>
      <w:r>
        <w:rPr>
          <w:sz w:val="24"/>
        </w:rPr>
        <w:t>on</w:t>
      </w:r>
      <w:r>
        <w:rPr>
          <w:spacing w:val="40"/>
          <w:sz w:val="24"/>
        </w:rPr>
        <w:t> </w:t>
      </w:r>
      <w:r>
        <w:rPr>
          <w:sz w:val="24"/>
        </w:rPr>
        <w:t>a</w:t>
      </w:r>
      <w:r>
        <w:rPr>
          <w:spacing w:val="40"/>
          <w:sz w:val="24"/>
        </w:rPr>
        <w:t> </w:t>
      </w:r>
      <w:r>
        <w:rPr>
          <w:sz w:val="24"/>
        </w:rPr>
        <w:t>route</w:t>
      </w:r>
      <w:r>
        <w:rPr>
          <w:spacing w:val="40"/>
          <w:sz w:val="24"/>
        </w:rPr>
        <w:t> </w:t>
      </w:r>
      <w:r>
        <w:rPr>
          <w:sz w:val="24"/>
        </w:rPr>
        <w:t>should</w:t>
      </w:r>
      <w:r>
        <w:rPr>
          <w:spacing w:val="40"/>
          <w:sz w:val="24"/>
        </w:rPr>
        <w:t> </w:t>
      </w:r>
      <w:r>
        <w:rPr>
          <w:sz w:val="24"/>
        </w:rPr>
        <w:t>be provided</w:t>
      </w:r>
      <w:r>
        <w:rPr>
          <w:spacing w:val="40"/>
          <w:sz w:val="24"/>
        </w:rPr>
        <w:t> </w:t>
      </w:r>
      <w:r>
        <w:rPr>
          <w:sz w:val="24"/>
        </w:rPr>
        <w:t>at</w:t>
      </w:r>
      <w:r>
        <w:rPr>
          <w:spacing w:val="40"/>
          <w:sz w:val="24"/>
        </w:rPr>
        <w:t> </w:t>
      </w:r>
      <w:r>
        <w:rPr>
          <w:sz w:val="24"/>
        </w:rPr>
        <w:t>both</w:t>
      </w:r>
      <w:r>
        <w:rPr>
          <w:spacing w:val="40"/>
          <w:sz w:val="24"/>
        </w:rPr>
        <w:t> </w:t>
      </w:r>
      <w:r>
        <w:rPr>
          <w:sz w:val="24"/>
        </w:rPr>
        <w:t>ends</w:t>
      </w:r>
      <w:r>
        <w:rPr>
          <w:spacing w:val="40"/>
          <w:sz w:val="24"/>
        </w:rPr>
        <w:t> </w:t>
      </w:r>
      <w:r>
        <w:rPr>
          <w:sz w:val="24"/>
        </w:rPr>
        <w:t>of</w:t>
      </w:r>
      <w:r>
        <w:rPr>
          <w:spacing w:val="40"/>
          <w:sz w:val="24"/>
        </w:rPr>
        <w:t> </w:t>
      </w:r>
      <w:r>
        <w:rPr>
          <w:sz w:val="24"/>
        </w:rPr>
        <w:t>the</w:t>
      </w:r>
      <w:r>
        <w:rPr>
          <w:spacing w:val="40"/>
          <w:sz w:val="24"/>
        </w:rPr>
        <w:t> </w:t>
      </w:r>
      <w:r>
        <w:rPr>
          <w:spacing w:val="9"/>
          <w:sz w:val="24"/>
        </w:rPr>
        <w:t>route</w:t>
      </w:r>
    </w:p>
    <w:p>
      <w:pPr>
        <w:pStyle w:val="ListParagraph"/>
        <w:spacing w:after="0" w:line="240" w:lineRule="auto"/>
        <w:jc w:val="both"/>
        <w:rPr>
          <w:sz w:val="24"/>
        </w:rPr>
        <w:sectPr>
          <w:pgSz w:w="11910" w:h="16840"/>
          <w:pgMar w:header="1058" w:footer="1201" w:top="1500" w:bottom="1400" w:left="360" w:right="360"/>
        </w:sectPr>
      </w:pPr>
    </w:p>
    <w:p>
      <w:pPr>
        <w:pStyle w:val="ListParagraph"/>
        <w:numPr>
          <w:ilvl w:val="0"/>
          <w:numId w:val="283"/>
        </w:numPr>
        <w:tabs>
          <w:tab w:pos="1621" w:val="left" w:leader="none"/>
        </w:tabs>
        <w:spacing w:line="240" w:lineRule="auto" w:before="255" w:after="0"/>
        <w:ind w:left="1313" w:right="798" w:firstLine="0"/>
        <w:jc w:val="both"/>
        <w:rPr>
          <w:sz w:val="24"/>
        </w:rPr>
      </w:pPr>
      <w:r>
        <w:rPr>
          <w:sz w:val="24"/>
        </w:rPr>
        <w:t>To ensure safe walking, there should not be any protruding sign which creates</w:t>
      </w:r>
      <w:r>
        <w:rPr>
          <w:spacing w:val="40"/>
          <w:sz w:val="24"/>
        </w:rPr>
        <w:t> </w:t>
      </w:r>
      <w:r>
        <w:rPr>
          <w:sz w:val="24"/>
        </w:rPr>
        <w:t>obstruction</w:t>
      </w:r>
      <w:r>
        <w:rPr>
          <w:spacing w:val="40"/>
          <w:sz w:val="24"/>
        </w:rPr>
        <w:t> </w:t>
      </w:r>
      <w:r>
        <w:rPr>
          <w:sz w:val="24"/>
        </w:rPr>
        <w:t>in</w:t>
      </w:r>
      <w:r>
        <w:rPr>
          <w:spacing w:val="9"/>
          <w:sz w:val="24"/>
        </w:rPr>
        <w:t> walking.</w:t>
      </w:r>
    </w:p>
    <w:p>
      <w:pPr>
        <w:pStyle w:val="ListParagraph"/>
        <w:numPr>
          <w:ilvl w:val="0"/>
          <w:numId w:val="283"/>
        </w:numPr>
        <w:tabs>
          <w:tab w:pos="1614" w:val="left" w:leader="none"/>
        </w:tabs>
        <w:spacing w:line="240" w:lineRule="auto" w:before="0" w:after="0"/>
        <w:ind w:left="1614" w:right="0" w:hanging="301"/>
        <w:jc w:val="both"/>
        <w:rPr>
          <w:sz w:val="24"/>
        </w:rPr>
      </w:pPr>
      <w:r>
        <w:rPr>
          <w:sz w:val="24"/>
        </w:rPr>
        <w:t>Public</w:t>
      </w:r>
      <w:r>
        <w:rPr>
          <w:spacing w:val="54"/>
          <w:sz w:val="24"/>
        </w:rPr>
        <w:t> </w:t>
      </w:r>
      <w:r>
        <w:rPr>
          <w:sz w:val="24"/>
        </w:rPr>
        <w:t>Address</w:t>
      </w:r>
      <w:r>
        <w:rPr>
          <w:spacing w:val="54"/>
          <w:sz w:val="24"/>
        </w:rPr>
        <w:t> </w:t>
      </w:r>
      <w:r>
        <w:rPr>
          <w:sz w:val="24"/>
        </w:rPr>
        <w:t>System</w:t>
      </w:r>
      <w:r>
        <w:rPr>
          <w:spacing w:val="54"/>
          <w:sz w:val="24"/>
        </w:rPr>
        <w:t> </w:t>
      </w:r>
      <w:r>
        <w:rPr>
          <w:sz w:val="24"/>
        </w:rPr>
        <w:t>may</w:t>
      </w:r>
      <w:r>
        <w:rPr>
          <w:spacing w:val="54"/>
          <w:sz w:val="24"/>
        </w:rPr>
        <w:t> </w:t>
      </w:r>
      <w:r>
        <w:rPr>
          <w:sz w:val="24"/>
        </w:rPr>
        <w:t>also</w:t>
      </w:r>
      <w:r>
        <w:rPr>
          <w:spacing w:val="57"/>
          <w:sz w:val="24"/>
        </w:rPr>
        <w:t> </w:t>
      </w:r>
      <w:r>
        <w:rPr>
          <w:sz w:val="24"/>
        </w:rPr>
        <w:t>be</w:t>
      </w:r>
      <w:r>
        <w:rPr>
          <w:spacing w:val="57"/>
          <w:sz w:val="24"/>
        </w:rPr>
        <w:t> </w:t>
      </w:r>
      <w:r>
        <w:rPr>
          <w:sz w:val="24"/>
        </w:rPr>
        <w:t>provided</w:t>
      </w:r>
      <w:r>
        <w:rPr>
          <w:spacing w:val="57"/>
          <w:sz w:val="24"/>
        </w:rPr>
        <w:t> </w:t>
      </w:r>
      <w:r>
        <w:rPr>
          <w:sz w:val="24"/>
        </w:rPr>
        <w:t>in</w:t>
      </w:r>
      <w:r>
        <w:rPr>
          <w:spacing w:val="54"/>
          <w:sz w:val="24"/>
        </w:rPr>
        <w:t> </w:t>
      </w:r>
      <w:r>
        <w:rPr>
          <w:sz w:val="24"/>
        </w:rPr>
        <w:t>busy</w:t>
      </w:r>
      <w:r>
        <w:rPr>
          <w:spacing w:val="54"/>
          <w:sz w:val="24"/>
        </w:rPr>
        <w:t> </w:t>
      </w:r>
      <w:r>
        <w:rPr>
          <w:sz w:val="24"/>
        </w:rPr>
        <w:t>public</w:t>
      </w:r>
      <w:r>
        <w:rPr>
          <w:spacing w:val="55"/>
          <w:sz w:val="24"/>
        </w:rPr>
        <w:t> </w:t>
      </w:r>
      <w:r>
        <w:rPr>
          <w:spacing w:val="7"/>
          <w:sz w:val="24"/>
        </w:rPr>
        <w:t>areas.</w:t>
      </w:r>
    </w:p>
    <w:p>
      <w:pPr>
        <w:pStyle w:val="ListParagraph"/>
        <w:numPr>
          <w:ilvl w:val="0"/>
          <w:numId w:val="283"/>
        </w:numPr>
        <w:tabs>
          <w:tab w:pos="1551" w:val="left" w:leader="none"/>
        </w:tabs>
        <w:spacing w:line="240" w:lineRule="auto" w:before="2" w:after="0"/>
        <w:ind w:left="1313" w:right="794" w:firstLine="0"/>
        <w:jc w:val="both"/>
        <w:rPr>
          <w:sz w:val="24"/>
        </w:rPr>
      </w:pPr>
      <w:r>
        <w:rPr>
          <w:sz w:val="24"/>
        </w:rPr>
        <w:t>The symbols/information should be in contrasting colour and properly illuminated</w:t>
      </w:r>
      <w:r>
        <w:rPr>
          <w:spacing w:val="40"/>
          <w:sz w:val="24"/>
        </w:rPr>
        <w:t> </w:t>
      </w:r>
      <w:r>
        <w:rPr>
          <w:sz w:val="24"/>
        </w:rPr>
        <w:t>because</w:t>
      </w:r>
      <w:r>
        <w:rPr>
          <w:spacing w:val="40"/>
          <w:sz w:val="24"/>
        </w:rPr>
        <w:t> </w:t>
      </w:r>
      <w:r>
        <w:rPr>
          <w:sz w:val="24"/>
        </w:rPr>
        <w:t>people</w:t>
      </w:r>
      <w:r>
        <w:rPr>
          <w:spacing w:val="40"/>
          <w:sz w:val="24"/>
        </w:rPr>
        <w:t> </w:t>
      </w:r>
      <w:r>
        <w:rPr>
          <w:sz w:val="24"/>
        </w:rPr>
        <w:t>with</w:t>
      </w:r>
      <w:r>
        <w:rPr>
          <w:spacing w:val="40"/>
          <w:sz w:val="24"/>
        </w:rPr>
        <w:t> </w:t>
      </w:r>
      <w:r>
        <w:rPr>
          <w:sz w:val="24"/>
        </w:rPr>
        <w:t>limited</w:t>
      </w:r>
      <w:r>
        <w:rPr>
          <w:spacing w:val="40"/>
          <w:sz w:val="24"/>
        </w:rPr>
        <w:t> </w:t>
      </w:r>
      <w:r>
        <w:rPr>
          <w:sz w:val="24"/>
        </w:rPr>
        <w:t>vision</w:t>
      </w:r>
      <w:r>
        <w:rPr>
          <w:spacing w:val="40"/>
          <w:sz w:val="24"/>
        </w:rPr>
        <w:t> </w:t>
      </w:r>
      <w:r>
        <w:rPr>
          <w:sz w:val="24"/>
        </w:rPr>
        <w:t>may</w:t>
      </w:r>
      <w:r>
        <w:rPr>
          <w:spacing w:val="40"/>
          <w:sz w:val="24"/>
        </w:rPr>
        <w:t> </w:t>
      </w:r>
      <w:r>
        <w:rPr>
          <w:sz w:val="24"/>
        </w:rPr>
        <w:t>be</w:t>
      </w:r>
      <w:r>
        <w:rPr>
          <w:spacing w:val="40"/>
          <w:sz w:val="24"/>
        </w:rPr>
        <w:t> </w:t>
      </w:r>
      <w:r>
        <w:rPr>
          <w:sz w:val="24"/>
        </w:rPr>
        <w:t>able</w:t>
      </w:r>
      <w:r>
        <w:rPr>
          <w:spacing w:val="40"/>
          <w:sz w:val="24"/>
        </w:rPr>
        <w:t> </w:t>
      </w:r>
      <w:r>
        <w:rPr>
          <w:sz w:val="24"/>
        </w:rPr>
        <w:t>to</w:t>
      </w:r>
      <w:r>
        <w:rPr>
          <w:spacing w:val="80"/>
          <w:sz w:val="24"/>
        </w:rPr>
        <w:t> </w:t>
      </w:r>
      <w:r>
        <w:rPr>
          <w:sz w:val="24"/>
        </w:rPr>
        <w:t>differentiate</w:t>
      </w:r>
      <w:r>
        <w:rPr>
          <w:spacing w:val="40"/>
          <w:sz w:val="24"/>
        </w:rPr>
        <w:t> </w:t>
      </w:r>
      <w:r>
        <w:rPr>
          <w:sz w:val="24"/>
        </w:rPr>
        <w:t>amongst</w:t>
      </w:r>
      <w:r>
        <w:rPr>
          <w:spacing w:val="40"/>
          <w:sz w:val="24"/>
        </w:rPr>
        <w:t> </w:t>
      </w:r>
      <w:r>
        <w:rPr>
          <w:sz w:val="24"/>
        </w:rPr>
        <w:t>primary</w:t>
      </w:r>
      <w:r>
        <w:rPr>
          <w:spacing w:val="40"/>
          <w:sz w:val="24"/>
        </w:rPr>
        <w:t> </w:t>
      </w:r>
      <w:r>
        <w:rPr>
          <w:spacing w:val="9"/>
          <w:sz w:val="24"/>
        </w:rPr>
        <w:t>colours.</w:t>
      </w:r>
    </w:p>
    <w:p>
      <w:pPr>
        <w:pStyle w:val="ListParagraph"/>
        <w:numPr>
          <w:ilvl w:val="0"/>
          <w:numId w:val="283"/>
        </w:numPr>
        <w:tabs>
          <w:tab w:pos="1611" w:val="left" w:leader="none"/>
        </w:tabs>
        <w:spacing w:line="240" w:lineRule="auto" w:before="0" w:after="0"/>
        <w:ind w:left="1313" w:right="777" w:firstLine="0"/>
        <w:jc w:val="both"/>
        <w:rPr>
          <w:sz w:val="24"/>
        </w:rPr>
      </w:pPr>
      <w:r>
        <w:rPr>
          <w:sz w:val="24"/>
        </w:rPr>
        <w:t>International Symbol Mark for wheel chair be installed in a lift, toilet, staircase, parking areas, etc., that have been provided for the </w:t>
      </w:r>
      <w:r>
        <w:rPr>
          <w:spacing w:val="9"/>
          <w:sz w:val="24"/>
        </w:rPr>
        <w:t>differently </w:t>
      </w:r>
      <w:r>
        <w:rPr>
          <w:spacing w:val="-2"/>
          <w:sz w:val="24"/>
        </w:rPr>
        <w:t>abled</w:t>
      </w:r>
    </w:p>
    <w:p>
      <w:pPr>
        <w:pStyle w:val="Heading6"/>
        <w:spacing w:before="237"/>
        <w:ind w:left="1313"/>
      </w:pPr>
      <w:r>
        <w:rPr>
          <w:b w:val="0"/>
          <w:i w:val="0"/>
        </w:rPr>
        <w:t>4.0</w:t>
      </w:r>
      <w:r>
        <w:rPr/>
        <w:t>Design</w:t>
      </w:r>
      <w:r>
        <w:rPr>
          <w:spacing w:val="71"/>
        </w:rPr>
        <w:t> </w:t>
      </w:r>
      <w:r>
        <w:rPr/>
        <w:t>Guidelines</w:t>
      </w:r>
      <w:r>
        <w:rPr>
          <w:spacing w:val="39"/>
          <w:w w:val="150"/>
        </w:rPr>
        <w:t> </w:t>
      </w:r>
      <w:r>
        <w:rPr/>
        <w:t>–</w:t>
      </w:r>
      <w:r>
        <w:rPr>
          <w:spacing w:val="73"/>
        </w:rPr>
        <w:t> </w:t>
      </w:r>
      <w:r>
        <w:rPr/>
        <w:t>Streetscapes</w:t>
      </w:r>
      <w:r>
        <w:rPr>
          <w:spacing w:val="79"/>
        </w:rPr>
        <w:t> </w:t>
      </w:r>
      <w:r>
        <w:rPr/>
        <w:t>for</w:t>
      </w:r>
      <w:r>
        <w:rPr>
          <w:spacing w:val="73"/>
        </w:rPr>
        <w:t> </w:t>
      </w:r>
      <w:r>
        <w:rPr/>
        <w:t>Public</w:t>
      </w:r>
      <w:r>
        <w:rPr>
          <w:spacing w:val="72"/>
        </w:rPr>
        <w:t> </w:t>
      </w:r>
      <w:r>
        <w:rPr>
          <w:spacing w:val="-2"/>
        </w:rPr>
        <w:t>Street</w:t>
      </w:r>
    </w:p>
    <w:p>
      <w:pPr>
        <w:pStyle w:val="BodyText"/>
        <w:spacing w:before="2"/>
        <w:jc w:val="left"/>
        <w:rPr>
          <w:b/>
          <w:i/>
        </w:rPr>
      </w:pPr>
    </w:p>
    <w:p>
      <w:pPr>
        <w:pStyle w:val="BodyText"/>
        <w:spacing w:before="1"/>
        <w:ind w:left="1313" w:right="838"/>
        <w:jc w:val="left"/>
      </w:pPr>
      <w:r>
        <w:rPr/>
        <w:t>Road</w:t>
      </w:r>
      <w:r>
        <w:rPr>
          <w:spacing w:val="40"/>
        </w:rPr>
        <w:t> </w:t>
      </w:r>
      <w:r>
        <w:rPr/>
        <w:t>Intersections,</w:t>
      </w:r>
      <w:r>
        <w:rPr>
          <w:spacing w:val="40"/>
        </w:rPr>
        <w:t> </w:t>
      </w:r>
      <w:r>
        <w:rPr/>
        <w:t>Median</w:t>
      </w:r>
      <w:r>
        <w:rPr>
          <w:spacing w:val="40"/>
        </w:rPr>
        <w:t> </w:t>
      </w:r>
      <w:r>
        <w:rPr/>
        <w:t>Refuge,</w:t>
      </w:r>
      <w:r>
        <w:rPr>
          <w:spacing w:val="40"/>
        </w:rPr>
        <w:t> </w:t>
      </w:r>
      <w:r>
        <w:rPr/>
        <w:t>Traffic</w:t>
      </w:r>
      <w:r>
        <w:rPr>
          <w:spacing w:val="40"/>
        </w:rPr>
        <w:t> </w:t>
      </w:r>
      <w:r>
        <w:rPr/>
        <w:t>Signals,</w:t>
      </w:r>
      <w:r>
        <w:rPr>
          <w:spacing w:val="40"/>
        </w:rPr>
        <w:t> </w:t>
      </w:r>
      <w:r>
        <w:rPr/>
        <w:t>Subways</w:t>
      </w:r>
      <w:r>
        <w:rPr>
          <w:spacing w:val="40"/>
        </w:rPr>
        <w:t> </w:t>
      </w:r>
      <w:r>
        <w:rPr/>
        <w:t>&amp;</w:t>
      </w:r>
      <w:r>
        <w:rPr>
          <w:spacing w:val="40"/>
        </w:rPr>
        <w:t> </w:t>
      </w:r>
      <w:r>
        <w:rPr/>
        <w:t>Foot</w:t>
      </w:r>
      <w:r>
        <w:rPr>
          <w:spacing w:val="40"/>
        </w:rPr>
        <w:t> </w:t>
      </w:r>
      <w:r>
        <w:rPr/>
        <w:t>over </w:t>
      </w:r>
      <w:r>
        <w:rPr>
          <w:spacing w:val="-2"/>
        </w:rPr>
        <w:t>Bridges</w:t>
      </w:r>
    </w:p>
    <w:p>
      <w:pPr>
        <w:pStyle w:val="ListParagraph"/>
        <w:numPr>
          <w:ilvl w:val="0"/>
          <w:numId w:val="284"/>
        </w:numPr>
        <w:tabs>
          <w:tab w:pos="2213" w:val="left" w:leader="none"/>
        </w:tabs>
        <w:spacing w:line="240" w:lineRule="auto" w:before="0" w:after="0"/>
        <w:ind w:left="1313" w:right="1003" w:firstLine="0"/>
        <w:jc w:val="left"/>
        <w:rPr>
          <w:sz w:val="24"/>
        </w:rPr>
      </w:pPr>
      <w:r>
        <w:rPr>
          <w:sz w:val="24"/>
        </w:rPr>
        <w:t>Guide</w:t>
      </w:r>
      <w:r>
        <w:rPr>
          <w:spacing w:val="40"/>
          <w:sz w:val="24"/>
        </w:rPr>
        <w:t> </w:t>
      </w:r>
      <w:r>
        <w:rPr>
          <w:sz w:val="24"/>
        </w:rPr>
        <w:t>strips</w:t>
      </w:r>
      <w:r>
        <w:rPr>
          <w:spacing w:val="40"/>
          <w:sz w:val="24"/>
        </w:rPr>
        <w:t> </w:t>
      </w:r>
      <w:r>
        <w:rPr>
          <w:sz w:val="24"/>
        </w:rPr>
        <w:t>should</w:t>
      </w:r>
      <w:r>
        <w:rPr>
          <w:spacing w:val="40"/>
          <w:sz w:val="24"/>
        </w:rPr>
        <w:t> </w:t>
      </w:r>
      <w:r>
        <w:rPr>
          <w:sz w:val="24"/>
        </w:rPr>
        <w:t>be</w:t>
      </w:r>
      <w:r>
        <w:rPr>
          <w:spacing w:val="40"/>
          <w:sz w:val="24"/>
        </w:rPr>
        <w:t> </w:t>
      </w:r>
      <w:r>
        <w:rPr>
          <w:sz w:val="24"/>
        </w:rPr>
        <w:t>constructed</w:t>
      </w:r>
      <w:r>
        <w:rPr>
          <w:spacing w:val="40"/>
          <w:sz w:val="24"/>
        </w:rPr>
        <w:t> </w:t>
      </w:r>
      <w:r>
        <w:rPr>
          <w:sz w:val="24"/>
        </w:rPr>
        <w:t>to</w:t>
      </w:r>
      <w:r>
        <w:rPr>
          <w:spacing w:val="40"/>
          <w:sz w:val="24"/>
        </w:rPr>
        <w:t> </w:t>
      </w:r>
      <w:r>
        <w:rPr>
          <w:sz w:val="24"/>
        </w:rPr>
        <w:t>indicate</w:t>
      </w:r>
      <w:r>
        <w:rPr>
          <w:spacing w:val="40"/>
          <w:sz w:val="24"/>
        </w:rPr>
        <w:t> </w:t>
      </w:r>
      <w:r>
        <w:rPr>
          <w:sz w:val="24"/>
        </w:rPr>
        <w:t>the</w:t>
      </w:r>
      <w:r>
        <w:rPr>
          <w:spacing w:val="40"/>
          <w:sz w:val="24"/>
        </w:rPr>
        <w:t> </w:t>
      </w:r>
      <w:r>
        <w:rPr>
          <w:sz w:val="24"/>
        </w:rPr>
        <w:t>position</w:t>
      </w:r>
      <w:r>
        <w:rPr>
          <w:spacing w:val="40"/>
          <w:sz w:val="24"/>
        </w:rPr>
        <w:t> </w:t>
      </w:r>
      <w:r>
        <w:rPr>
          <w:sz w:val="24"/>
        </w:rPr>
        <w:t>of pedestrian</w:t>
      </w:r>
      <w:r>
        <w:rPr>
          <w:spacing w:val="40"/>
          <w:sz w:val="24"/>
        </w:rPr>
        <w:t> </w:t>
      </w:r>
      <w:r>
        <w:rPr>
          <w:sz w:val="24"/>
        </w:rPr>
        <w:t>crossings</w:t>
      </w:r>
      <w:r>
        <w:rPr>
          <w:spacing w:val="40"/>
          <w:sz w:val="24"/>
        </w:rPr>
        <w:t> </w:t>
      </w:r>
      <w:r>
        <w:rPr>
          <w:sz w:val="24"/>
        </w:rPr>
        <w:t>for</w:t>
      </w:r>
      <w:r>
        <w:rPr>
          <w:spacing w:val="40"/>
          <w:sz w:val="24"/>
        </w:rPr>
        <w:t> </w:t>
      </w:r>
      <w:r>
        <w:rPr>
          <w:sz w:val="24"/>
        </w:rPr>
        <w:t>the</w:t>
      </w:r>
      <w:r>
        <w:rPr>
          <w:spacing w:val="40"/>
          <w:sz w:val="24"/>
        </w:rPr>
        <w:t> </w:t>
      </w:r>
      <w:r>
        <w:rPr>
          <w:sz w:val="24"/>
        </w:rPr>
        <w:t>benefit</w:t>
      </w:r>
      <w:r>
        <w:rPr>
          <w:spacing w:val="40"/>
          <w:sz w:val="24"/>
        </w:rPr>
        <w:t> </w:t>
      </w:r>
      <w:r>
        <w:rPr>
          <w:sz w:val="24"/>
        </w:rPr>
        <w:t>of</w:t>
      </w:r>
      <w:r>
        <w:rPr>
          <w:spacing w:val="40"/>
          <w:sz w:val="24"/>
        </w:rPr>
        <w:t> </w:t>
      </w:r>
      <w:r>
        <w:rPr>
          <w:sz w:val="24"/>
        </w:rPr>
        <w:t>people</w:t>
      </w:r>
      <w:r>
        <w:rPr>
          <w:spacing w:val="40"/>
          <w:sz w:val="24"/>
        </w:rPr>
        <w:t> </w:t>
      </w:r>
      <w:r>
        <w:rPr>
          <w:sz w:val="24"/>
        </w:rPr>
        <w:t>with</w:t>
      </w:r>
      <w:r>
        <w:rPr>
          <w:spacing w:val="40"/>
          <w:sz w:val="24"/>
        </w:rPr>
        <w:t> </w:t>
      </w:r>
      <w:r>
        <w:rPr>
          <w:sz w:val="24"/>
        </w:rPr>
        <w:t>visual</w:t>
      </w:r>
      <w:r>
        <w:rPr>
          <w:spacing w:val="40"/>
          <w:sz w:val="24"/>
        </w:rPr>
        <w:t> </w:t>
      </w:r>
      <w:r>
        <w:rPr>
          <w:spacing w:val="9"/>
          <w:sz w:val="24"/>
        </w:rPr>
        <w:t>impairments </w:t>
      </w:r>
      <w:r>
        <w:rPr>
          <w:sz w:val="24"/>
        </w:rPr>
        <w:t>and have kerb </w:t>
      </w:r>
      <w:r>
        <w:rPr>
          <w:spacing w:val="9"/>
          <w:sz w:val="24"/>
        </w:rPr>
        <w:t>ramps</w:t>
      </w:r>
    </w:p>
    <w:p>
      <w:pPr>
        <w:pStyle w:val="ListParagraph"/>
        <w:numPr>
          <w:ilvl w:val="0"/>
          <w:numId w:val="284"/>
        </w:numPr>
        <w:tabs>
          <w:tab w:pos="2213" w:val="left" w:leader="none"/>
        </w:tabs>
        <w:spacing w:line="240" w:lineRule="auto" w:before="0" w:after="0"/>
        <w:ind w:left="1313" w:right="796" w:firstLine="0"/>
        <w:jc w:val="left"/>
        <w:rPr>
          <w:sz w:val="24"/>
        </w:rPr>
      </w:pPr>
      <w:r>
        <w:rPr>
          <w:sz w:val="24"/>
        </w:rPr>
        <w:t>Raised</w:t>
      </w:r>
      <w:r>
        <w:rPr>
          <w:spacing w:val="80"/>
          <w:sz w:val="24"/>
        </w:rPr>
        <w:t> </w:t>
      </w:r>
      <w:r>
        <w:rPr>
          <w:sz w:val="24"/>
        </w:rPr>
        <w:t>Median</w:t>
      </w:r>
      <w:r>
        <w:rPr>
          <w:spacing w:val="77"/>
          <w:sz w:val="24"/>
        </w:rPr>
        <w:t> </w:t>
      </w:r>
      <w:r>
        <w:rPr>
          <w:sz w:val="24"/>
        </w:rPr>
        <w:t>Refuges</w:t>
      </w:r>
      <w:r>
        <w:rPr>
          <w:spacing w:val="79"/>
          <w:sz w:val="24"/>
        </w:rPr>
        <w:t> </w:t>
      </w:r>
      <w:r>
        <w:rPr>
          <w:sz w:val="24"/>
        </w:rPr>
        <w:t>are</w:t>
      </w:r>
      <w:r>
        <w:rPr>
          <w:spacing w:val="80"/>
          <w:sz w:val="24"/>
        </w:rPr>
        <w:t> </w:t>
      </w:r>
      <w:r>
        <w:rPr>
          <w:sz w:val="24"/>
        </w:rPr>
        <w:t>to</w:t>
      </w:r>
      <w:r>
        <w:rPr>
          <w:spacing w:val="79"/>
          <w:sz w:val="24"/>
        </w:rPr>
        <w:t> </w:t>
      </w:r>
      <w:r>
        <w:rPr>
          <w:sz w:val="24"/>
        </w:rPr>
        <w:t>be</w:t>
      </w:r>
      <w:r>
        <w:rPr>
          <w:spacing w:val="79"/>
          <w:sz w:val="24"/>
        </w:rPr>
        <w:t> </w:t>
      </w:r>
      <w:r>
        <w:rPr>
          <w:sz w:val="24"/>
        </w:rPr>
        <w:t>cut</w:t>
      </w:r>
      <w:r>
        <w:rPr>
          <w:spacing w:val="80"/>
          <w:sz w:val="24"/>
        </w:rPr>
        <w:t> </w:t>
      </w:r>
      <w:r>
        <w:rPr>
          <w:sz w:val="24"/>
        </w:rPr>
        <w:t>through</w:t>
      </w:r>
      <w:r>
        <w:rPr>
          <w:spacing w:val="80"/>
          <w:sz w:val="24"/>
        </w:rPr>
        <w:t> </w:t>
      </w:r>
      <w:r>
        <w:rPr>
          <w:sz w:val="24"/>
        </w:rPr>
        <w:t>and</w:t>
      </w:r>
      <w:r>
        <w:rPr>
          <w:spacing w:val="80"/>
          <w:sz w:val="24"/>
        </w:rPr>
        <w:t> </w:t>
      </w:r>
      <w:r>
        <w:rPr>
          <w:sz w:val="24"/>
        </w:rPr>
        <w:t>levelled</w:t>
      </w:r>
      <w:r>
        <w:rPr>
          <w:spacing w:val="77"/>
          <w:sz w:val="24"/>
        </w:rPr>
        <w:t> </w:t>
      </w:r>
      <w:r>
        <w:rPr>
          <w:sz w:val="24"/>
        </w:rPr>
        <w:t>with the</w:t>
      </w:r>
      <w:r>
        <w:rPr>
          <w:spacing w:val="40"/>
          <w:sz w:val="24"/>
        </w:rPr>
        <w:t> </w:t>
      </w:r>
      <w:r>
        <w:rPr>
          <w:sz w:val="24"/>
        </w:rPr>
        <w:t>street</w:t>
      </w:r>
      <w:r>
        <w:rPr>
          <w:spacing w:val="40"/>
          <w:sz w:val="24"/>
        </w:rPr>
        <w:t> </w:t>
      </w:r>
      <w:r>
        <w:rPr>
          <w:sz w:val="24"/>
        </w:rPr>
        <w:t>and</w:t>
      </w:r>
      <w:r>
        <w:rPr>
          <w:spacing w:val="40"/>
          <w:sz w:val="24"/>
        </w:rPr>
        <w:t> </w:t>
      </w:r>
      <w:r>
        <w:rPr>
          <w:sz w:val="24"/>
        </w:rPr>
        <w:t>should</w:t>
      </w:r>
      <w:r>
        <w:rPr>
          <w:spacing w:val="40"/>
          <w:sz w:val="24"/>
        </w:rPr>
        <w:t> </w:t>
      </w:r>
      <w:r>
        <w:rPr>
          <w:sz w:val="24"/>
        </w:rPr>
        <w:t>have</w:t>
      </w:r>
      <w:r>
        <w:rPr>
          <w:spacing w:val="40"/>
          <w:sz w:val="24"/>
        </w:rPr>
        <w:t> </w:t>
      </w:r>
      <w:r>
        <w:rPr>
          <w:sz w:val="24"/>
        </w:rPr>
        <w:t>kerb</w:t>
      </w:r>
      <w:r>
        <w:rPr>
          <w:spacing w:val="40"/>
          <w:sz w:val="24"/>
        </w:rPr>
        <w:t> </w:t>
      </w:r>
      <w:r>
        <w:rPr>
          <w:spacing w:val="9"/>
          <w:sz w:val="24"/>
        </w:rPr>
        <w:t>ramps.</w:t>
      </w:r>
    </w:p>
    <w:p>
      <w:pPr>
        <w:pStyle w:val="ListParagraph"/>
        <w:numPr>
          <w:ilvl w:val="0"/>
          <w:numId w:val="284"/>
        </w:numPr>
        <w:tabs>
          <w:tab w:pos="2211" w:val="left" w:leader="none"/>
        </w:tabs>
        <w:spacing w:line="240" w:lineRule="auto" w:before="0" w:after="0"/>
        <w:ind w:left="1313" w:right="797" w:firstLine="0"/>
        <w:jc w:val="both"/>
        <w:rPr>
          <w:sz w:val="24"/>
        </w:rPr>
      </w:pPr>
      <w:r>
        <w:rPr>
          <w:sz w:val="24"/>
        </w:rPr>
        <w:t>A</w:t>
      </w:r>
      <w:r>
        <w:rPr>
          <w:spacing w:val="40"/>
          <w:sz w:val="24"/>
        </w:rPr>
        <w:t> </w:t>
      </w:r>
      <w:r>
        <w:rPr>
          <w:sz w:val="24"/>
        </w:rPr>
        <w:t>coloured</w:t>
      </w:r>
      <w:r>
        <w:rPr>
          <w:spacing w:val="40"/>
          <w:sz w:val="24"/>
        </w:rPr>
        <w:t> </w:t>
      </w:r>
      <w:r>
        <w:rPr>
          <w:sz w:val="24"/>
        </w:rPr>
        <w:t>tactile</w:t>
      </w:r>
      <w:r>
        <w:rPr>
          <w:spacing w:val="40"/>
          <w:sz w:val="24"/>
        </w:rPr>
        <w:t> </w:t>
      </w:r>
      <w:r>
        <w:rPr>
          <w:sz w:val="24"/>
        </w:rPr>
        <w:t>marking</w:t>
      </w:r>
      <w:r>
        <w:rPr>
          <w:spacing w:val="40"/>
          <w:sz w:val="24"/>
        </w:rPr>
        <w:t> </w:t>
      </w:r>
      <w:r>
        <w:rPr>
          <w:sz w:val="24"/>
        </w:rPr>
        <w:t>strip</w:t>
      </w:r>
      <w:r>
        <w:rPr>
          <w:spacing w:val="40"/>
          <w:sz w:val="24"/>
        </w:rPr>
        <w:t> </w:t>
      </w:r>
      <w:r>
        <w:rPr>
          <w:sz w:val="24"/>
        </w:rPr>
        <w:t>at</w:t>
      </w:r>
      <w:r>
        <w:rPr>
          <w:spacing w:val="40"/>
          <w:sz w:val="24"/>
        </w:rPr>
        <w:t> </w:t>
      </w:r>
      <w:r>
        <w:rPr>
          <w:sz w:val="24"/>
        </w:rPr>
        <w:t>least</w:t>
      </w:r>
      <w:r>
        <w:rPr>
          <w:spacing w:val="40"/>
          <w:sz w:val="24"/>
        </w:rPr>
        <w:t> </w:t>
      </w:r>
      <w:r>
        <w:rPr>
          <w:sz w:val="24"/>
        </w:rPr>
        <w:t>0.6</w:t>
      </w:r>
      <w:r>
        <w:rPr>
          <w:spacing w:val="40"/>
          <w:sz w:val="24"/>
        </w:rPr>
        <w:t> </w:t>
      </w:r>
      <w:r>
        <w:rPr>
          <w:sz w:val="24"/>
        </w:rPr>
        <w:t>m</w:t>
      </w:r>
      <w:r>
        <w:rPr>
          <w:spacing w:val="40"/>
          <w:sz w:val="24"/>
        </w:rPr>
        <w:t> </w:t>
      </w:r>
      <w:r>
        <w:rPr>
          <w:sz w:val="24"/>
        </w:rPr>
        <w:t>wide</w:t>
      </w:r>
      <w:r>
        <w:rPr>
          <w:spacing w:val="40"/>
          <w:sz w:val="24"/>
        </w:rPr>
        <w:t> </w:t>
      </w:r>
      <w:r>
        <w:rPr>
          <w:sz w:val="24"/>
        </w:rPr>
        <w:t>should</w:t>
      </w:r>
      <w:r>
        <w:rPr>
          <w:spacing w:val="40"/>
          <w:sz w:val="24"/>
        </w:rPr>
        <w:t> </w:t>
      </w:r>
      <w:r>
        <w:rPr>
          <w:sz w:val="24"/>
        </w:rPr>
        <w:t>mark the</w:t>
      </w:r>
      <w:r>
        <w:rPr>
          <w:spacing w:val="40"/>
          <w:sz w:val="24"/>
        </w:rPr>
        <w:t> </w:t>
      </w:r>
      <w:r>
        <w:rPr>
          <w:sz w:val="24"/>
        </w:rPr>
        <w:t>beginning</w:t>
      </w:r>
      <w:r>
        <w:rPr>
          <w:spacing w:val="40"/>
          <w:sz w:val="24"/>
        </w:rPr>
        <w:t> </w:t>
      </w:r>
      <w:r>
        <w:rPr>
          <w:sz w:val="24"/>
        </w:rPr>
        <w:t>and</w:t>
      </w:r>
      <w:r>
        <w:rPr>
          <w:spacing w:val="40"/>
          <w:sz w:val="24"/>
        </w:rPr>
        <w:t> </w:t>
      </w:r>
      <w:r>
        <w:rPr>
          <w:sz w:val="24"/>
        </w:rPr>
        <w:t>the</w:t>
      </w:r>
      <w:r>
        <w:rPr>
          <w:spacing w:val="40"/>
          <w:sz w:val="24"/>
        </w:rPr>
        <w:t> </w:t>
      </w:r>
      <w:r>
        <w:rPr>
          <w:sz w:val="24"/>
        </w:rPr>
        <w:t>end</w:t>
      </w:r>
      <w:r>
        <w:rPr>
          <w:spacing w:val="40"/>
          <w:sz w:val="24"/>
        </w:rPr>
        <w:t> </w:t>
      </w:r>
      <w:r>
        <w:rPr>
          <w:sz w:val="24"/>
        </w:rPr>
        <w:t>of</w:t>
      </w:r>
      <w:r>
        <w:rPr>
          <w:spacing w:val="40"/>
          <w:sz w:val="24"/>
        </w:rPr>
        <w:t> </w:t>
      </w:r>
      <w:r>
        <w:rPr>
          <w:sz w:val="24"/>
        </w:rPr>
        <w:t>a</w:t>
      </w:r>
      <w:r>
        <w:rPr>
          <w:spacing w:val="40"/>
          <w:sz w:val="24"/>
        </w:rPr>
        <w:t> </w:t>
      </w:r>
      <w:r>
        <w:rPr>
          <w:sz w:val="24"/>
        </w:rPr>
        <w:t>traffic</w:t>
      </w:r>
      <w:r>
        <w:rPr>
          <w:spacing w:val="40"/>
          <w:sz w:val="24"/>
        </w:rPr>
        <w:t> </w:t>
      </w:r>
      <w:r>
        <w:rPr>
          <w:sz w:val="24"/>
        </w:rPr>
        <w:t>island,</w:t>
      </w:r>
      <w:r>
        <w:rPr>
          <w:spacing w:val="40"/>
          <w:sz w:val="24"/>
        </w:rPr>
        <w:t> </w:t>
      </w:r>
      <w:r>
        <w:rPr>
          <w:sz w:val="24"/>
        </w:rPr>
        <w:t>to</w:t>
      </w:r>
      <w:r>
        <w:rPr>
          <w:spacing w:val="40"/>
          <w:sz w:val="24"/>
        </w:rPr>
        <w:t> </w:t>
      </w:r>
      <w:r>
        <w:rPr>
          <w:sz w:val="24"/>
        </w:rPr>
        <w:t>guide</w:t>
      </w:r>
      <w:r>
        <w:rPr>
          <w:spacing w:val="40"/>
          <w:sz w:val="24"/>
        </w:rPr>
        <w:t> </w:t>
      </w:r>
      <w:r>
        <w:rPr>
          <w:sz w:val="24"/>
        </w:rPr>
        <w:t>pedestrian</w:t>
      </w:r>
      <w:r>
        <w:rPr>
          <w:spacing w:val="40"/>
          <w:sz w:val="24"/>
        </w:rPr>
        <w:t> </w:t>
      </w:r>
      <w:r>
        <w:rPr>
          <w:sz w:val="24"/>
        </w:rPr>
        <w:t>with visual</w:t>
      </w:r>
      <w:r>
        <w:rPr>
          <w:spacing w:val="40"/>
          <w:sz w:val="24"/>
        </w:rPr>
        <w:t> </w:t>
      </w:r>
      <w:r>
        <w:rPr>
          <w:sz w:val="24"/>
        </w:rPr>
        <w:t>impairments</w:t>
      </w:r>
      <w:r>
        <w:rPr>
          <w:spacing w:val="40"/>
          <w:sz w:val="24"/>
        </w:rPr>
        <w:t> </w:t>
      </w:r>
      <w:r>
        <w:rPr>
          <w:sz w:val="24"/>
        </w:rPr>
        <w:t>to</w:t>
      </w:r>
      <w:r>
        <w:rPr>
          <w:spacing w:val="40"/>
          <w:sz w:val="24"/>
        </w:rPr>
        <w:t> </w:t>
      </w:r>
      <w:r>
        <w:rPr>
          <w:sz w:val="24"/>
        </w:rPr>
        <w:t>its</w:t>
      </w:r>
      <w:r>
        <w:rPr>
          <w:spacing w:val="40"/>
          <w:sz w:val="24"/>
        </w:rPr>
        <w:t> </w:t>
      </w:r>
      <w:r>
        <w:rPr>
          <w:spacing w:val="9"/>
          <w:sz w:val="24"/>
        </w:rPr>
        <w:t>location.</w:t>
      </w:r>
    </w:p>
    <w:p>
      <w:pPr>
        <w:pStyle w:val="ListParagraph"/>
        <w:numPr>
          <w:ilvl w:val="0"/>
          <w:numId w:val="284"/>
        </w:numPr>
        <w:tabs>
          <w:tab w:pos="2211" w:val="left" w:leader="none"/>
        </w:tabs>
        <w:spacing w:line="240" w:lineRule="auto" w:before="1" w:after="0"/>
        <w:ind w:left="1313" w:right="777" w:firstLine="0"/>
        <w:jc w:val="both"/>
        <w:rPr>
          <w:sz w:val="24"/>
        </w:rPr>
      </w:pPr>
      <w:r>
        <w:rPr>
          <w:sz w:val="24"/>
        </w:rPr>
        <w:t>Pedestrian</w:t>
      </w:r>
      <w:r>
        <w:rPr>
          <w:spacing w:val="40"/>
          <w:sz w:val="24"/>
        </w:rPr>
        <w:t> </w:t>
      </w:r>
      <w:r>
        <w:rPr>
          <w:sz w:val="24"/>
        </w:rPr>
        <w:t>traffic</w:t>
      </w:r>
      <w:r>
        <w:rPr>
          <w:spacing w:val="40"/>
          <w:sz w:val="24"/>
        </w:rPr>
        <w:t> </w:t>
      </w:r>
      <w:r>
        <w:rPr>
          <w:sz w:val="24"/>
        </w:rPr>
        <w:t>lights</w:t>
      </w:r>
      <w:r>
        <w:rPr>
          <w:spacing w:val="40"/>
          <w:sz w:val="24"/>
        </w:rPr>
        <w:t> </w:t>
      </w:r>
      <w:r>
        <w:rPr>
          <w:sz w:val="24"/>
        </w:rPr>
        <w:t>should</w:t>
      </w:r>
      <w:r>
        <w:rPr>
          <w:spacing w:val="40"/>
          <w:sz w:val="24"/>
        </w:rPr>
        <w:t> </w:t>
      </w:r>
      <w:r>
        <w:rPr>
          <w:sz w:val="24"/>
        </w:rPr>
        <w:t>be</w:t>
      </w:r>
      <w:r>
        <w:rPr>
          <w:spacing w:val="40"/>
          <w:sz w:val="24"/>
        </w:rPr>
        <w:t> </w:t>
      </w:r>
      <w:r>
        <w:rPr>
          <w:sz w:val="24"/>
        </w:rPr>
        <w:t>provided</w:t>
      </w:r>
      <w:r>
        <w:rPr>
          <w:spacing w:val="40"/>
          <w:sz w:val="24"/>
        </w:rPr>
        <w:t> </w:t>
      </w:r>
      <w:r>
        <w:rPr>
          <w:sz w:val="24"/>
        </w:rPr>
        <w:t>with</w:t>
      </w:r>
      <w:r>
        <w:rPr>
          <w:spacing w:val="40"/>
          <w:sz w:val="24"/>
        </w:rPr>
        <w:t> </w:t>
      </w:r>
      <w:r>
        <w:rPr>
          <w:sz w:val="24"/>
        </w:rPr>
        <w:t>clear</w:t>
      </w:r>
      <w:r>
        <w:rPr>
          <w:spacing w:val="40"/>
          <w:sz w:val="24"/>
        </w:rPr>
        <w:t> </w:t>
      </w:r>
      <w:r>
        <w:rPr>
          <w:sz w:val="24"/>
        </w:rPr>
        <w:t>audible signals</w:t>
      </w:r>
      <w:r>
        <w:rPr>
          <w:spacing w:val="40"/>
          <w:sz w:val="24"/>
        </w:rPr>
        <w:t> </w:t>
      </w:r>
      <w:r>
        <w:rPr>
          <w:sz w:val="24"/>
        </w:rPr>
        <w:t>and</w:t>
      </w:r>
      <w:r>
        <w:rPr>
          <w:spacing w:val="40"/>
          <w:sz w:val="24"/>
        </w:rPr>
        <w:t> </w:t>
      </w:r>
      <w:r>
        <w:rPr>
          <w:sz w:val="24"/>
        </w:rPr>
        <w:t>these</w:t>
      </w:r>
      <w:r>
        <w:rPr>
          <w:spacing w:val="40"/>
          <w:sz w:val="24"/>
        </w:rPr>
        <w:t> </w:t>
      </w:r>
      <w:r>
        <w:rPr>
          <w:sz w:val="24"/>
        </w:rPr>
        <w:t>acoustic</w:t>
      </w:r>
      <w:r>
        <w:rPr>
          <w:spacing w:val="40"/>
          <w:sz w:val="24"/>
        </w:rPr>
        <w:t> </w:t>
      </w:r>
      <w:r>
        <w:rPr>
          <w:sz w:val="24"/>
        </w:rPr>
        <w:t>devices</w:t>
      </w:r>
      <w:r>
        <w:rPr>
          <w:spacing w:val="40"/>
          <w:sz w:val="24"/>
        </w:rPr>
        <w:t> </w:t>
      </w:r>
      <w:r>
        <w:rPr>
          <w:sz w:val="24"/>
        </w:rPr>
        <w:t>should</w:t>
      </w:r>
      <w:r>
        <w:rPr>
          <w:spacing w:val="40"/>
          <w:sz w:val="24"/>
        </w:rPr>
        <w:t> </w:t>
      </w:r>
      <w:r>
        <w:rPr>
          <w:sz w:val="24"/>
        </w:rPr>
        <w:t>be</w:t>
      </w:r>
      <w:r>
        <w:rPr>
          <w:spacing w:val="40"/>
          <w:sz w:val="24"/>
        </w:rPr>
        <w:t> </w:t>
      </w:r>
      <w:r>
        <w:rPr>
          <w:sz w:val="24"/>
        </w:rPr>
        <w:t>installed</w:t>
      </w:r>
      <w:r>
        <w:rPr>
          <w:spacing w:val="40"/>
          <w:sz w:val="24"/>
        </w:rPr>
        <w:t> </w:t>
      </w:r>
      <w:r>
        <w:rPr>
          <w:sz w:val="24"/>
        </w:rPr>
        <w:t>on</w:t>
      </w:r>
      <w:r>
        <w:rPr>
          <w:spacing w:val="40"/>
          <w:sz w:val="24"/>
        </w:rPr>
        <w:t> </w:t>
      </w:r>
      <w:r>
        <w:rPr>
          <w:sz w:val="24"/>
        </w:rPr>
        <w:t>a</w:t>
      </w:r>
      <w:r>
        <w:rPr>
          <w:spacing w:val="40"/>
          <w:sz w:val="24"/>
        </w:rPr>
        <w:t> </w:t>
      </w:r>
      <w:r>
        <w:rPr>
          <w:sz w:val="24"/>
        </w:rPr>
        <w:t>pole</w:t>
      </w:r>
      <w:r>
        <w:rPr>
          <w:spacing w:val="40"/>
          <w:sz w:val="24"/>
        </w:rPr>
        <w:t> </w:t>
      </w:r>
      <w:r>
        <w:rPr>
          <w:sz w:val="24"/>
        </w:rPr>
        <w:t>at</w:t>
      </w:r>
      <w:r>
        <w:rPr>
          <w:spacing w:val="40"/>
          <w:sz w:val="24"/>
        </w:rPr>
        <w:t> </w:t>
      </w:r>
      <w:r>
        <w:rPr>
          <w:sz w:val="24"/>
        </w:rPr>
        <w:t>the point</w:t>
      </w:r>
      <w:r>
        <w:rPr>
          <w:spacing w:val="40"/>
          <w:sz w:val="24"/>
        </w:rPr>
        <w:t> </w:t>
      </w:r>
      <w:r>
        <w:rPr>
          <w:sz w:val="24"/>
        </w:rPr>
        <w:t>at</w:t>
      </w:r>
      <w:r>
        <w:rPr>
          <w:spacing w:val="40"/>
          <w:sz w:val="24"/>
        </w:rPr>
        <w:t> </w:t>
      </w:r>
      <w:r>
        <w:rPr>
          <w:sz w:val="24"/>
        </w:rPr>
        <w:t>the</w:t>
      </w:r>
      <w:r>
        <w:rPr>
          <w:spacing w:val="40"/>
          <w:sz w:val="24"/>
        </w:rPr>
        <w:t> </w:t>
      </w:r>
      <w:r>
        <w:rPr>
          <w:sz w:val="24"/>
        </w:rPr>
        <w:t>origin</w:t>
      </w:r>
      <w:r>
        <w:rPr>
          <w:spacing w:val="40"/>
          <w:sz w:val="24"/>
        </w:rPr>
        <w:t> </w:t>
      </w:r>
      <w:r>
        <w:rPr>
          <w:sz w:val="24"/>
        </w:rPr>
        <w:t>of</w:t>
      </w:r>
      <w:r>
        <w:rPr>
          <w:spacing w:val="40"/>
          <w:sz w:val="24"/>
        </w:rPr>
        <w:t> </w:t>
      </w:r>
      <w:r>
        <w:rPr>
          <w:sz w:val="24"/>
        </w:rPr>
        <w:t>crossing</w:t>
      </w:r>
      <w:r>
        <w:rPr>
          <w:spacing w:val="40"/>
          <w:sz w:val="24"/>
        </w:rPr>
        <w:t> </w:t>
      </w:r>
      <w:r>
        <w:rPr>
          <w:sz w:val="24"/>
        </w:rPr>
        <w:t>and</w:t>
      </w:r>
      <w:r>
        <w:rPr>
          <w:spacing w:val="40"/>
          <w:sz w:val="24"/>
        </w:rPr>
        <w:t> </w:t>
      </w:r>
      <w:r>
        <w:rPr>
          <w:sz w:val="24"/>
        </w:rPr>
        <w:t>not</w:t>
      </w:r>
      <w:r>
        <w:rPr>
          <w:spacing w:val="40"/>
          <w:sz w:val="24"/>
        </w:rPr>
        <w:t> </w:t>
      </w:r>
      <w:r>
        <w:rPr>
          <w:sz w:val="24"/>
        </w:rPr>
        <w:t>at</w:t>
      </w:r>
      <w:r>
        <w:rPr>
          <w:spacing w:val="40"/>
          <w:sz w:val="24"/>
        </w:rPr>
        <w:t> </w:t>
      </w:r>
      <w:r>
        <w:rPr>
          <w:sz w:val="24"/>
        </w:rPr>
        <w:t>the</w:t>
      </w:r>
      <w:r>
        <w:rPr>
          <w:spacing w:val="40"/>
          <w:sz w:val="24"/>
        </w:rPr>
        <w:t> </w:t>
      </w:r>
      <w:r>
        <w:rPr>
          <w:sz w:val="24"/>
        </w:rPr>
        <w:t>point</w:t>
      </w:r>
      <w:r>
        <w:rPr>
          <w:spacing w:val="40"/>
          <w:sz w:val="24"/>
        </w:rPr>
        <w:t> </w:t>
      </w:r>
      <w:r>
        <w:rPr>
          <w:sz w:val="24"/>
        </w:rPr>
        <w:t>of</w:t>
      </w:r>
      <w:r>
        <w:rPr>
          <w:spacing w:val="40"/>
          <w:sz w:val="24"/>
        </w:rPr>
        <w:t> </w:t>
      </w:r>
      <w:r>
        <w:rPr>
          <w:spacing w:val="9"/>
          <w:sz w:val="24"/>
        </w:rPr>
        <w:t>destination</w:t>
      </w:r>
    </w:p>
    <w:p>
      <w:pPr>
        <w:pStyle w:val="ListParagraph"/>
        <w:numPr>
          <w:ilvl w:val="0"/>
          <w:numId w:val="284"/>
        </w:numPr>
        <w:tabs>
          <w:tab w:pos="2211" w:val="left" w:leader="none"/>
        </w:tabs>
        <w:spacing w:line="281" w:lineRule="exact" w:before="0" w:after="0"/>
        <w:ind w:left="2211" w:right="0" w:hanging="898"/>
        <w:jc w:val="both"/>
        <w:rPr>
          <w:sz w:val="24"/>
        </w:rPr>
      </w:pPr>
      <w:r>
        <w:rPr>
          <w:sz w:val="24"/>
        </w:rPr>
        <w:t>Signages</w:t>
      </w:r>
      <w:r>
        <w:rPr>
          <w:spacing w:val="50"/>
          <w:sz w:val="24"/>
        </w:rPr>
        <w:t> </w:t>
      </w:r>
      <w:r>
        <w:rPr>
          <w:sz w:val="24"/>
        </w:rPr>
        <w:t>for</w:t>
      </w:r>
      <w:r>
        <w:rPr>
          <w:spacing w:val="50"/>
          <w:sz w:val="24"/>
        </w:rPr>
        <w:t> </w:t>
      </w:r>
      <w:r>
        <w:rPr>
          <w:sz w:val="24"/>
        </w:rPr>
        <w:t>Foot</w:t>
      </w:r>
      <w:r>
        <w:rPr>
          <w:spacing w:val="50"/>
          <w:sz w:val="24"/>
        </w:rPr>
        <w:t> </w:t>
      </w:r>
      <w:r>
        <w:rPr>
          <w:sz w:val="24"/>
        </w:rPr>
        <w:t>over</w:t>
      </w:r>
      <w:r>
        <w:rPr>
          <w:spacing w:val="50"/>
          <w:sz w:val="24"/>
        </w:rPr>
        <w:t> </w:t>
      </w:r>
      <w:r>
        <w:rPr>
          <w:sz w:val="24"/>
        </w:rPr>
        <w:t>bridges</w:t>
      </w:r>
      <w:r>
        <w:rPr>
          <w:spacing w:val="50"/>
          <w:sz w:val="24"/>
        </w:rPr>
        <w:t> </w:t>
      </w:r>
      <w:r>
        <w:rPr>
          <w:sz w:val="24"/>
        </w:rPr>
        <w:t>and</w:t>
      </w:r>
      <w:r>
        <w:rPr>
          <w:spacing w:val="50"/>
          <w:sz w:val="24"/>
        </w:rPr>
        <w:t> </w:t>
      </w:r>
      <w:r>
        <w:rPr>
          <w:sz w:val="24"/>
        </w:rPr>
        <w:t>Subways</w:t>
      </w:r>
      <w:r>
        <w:rPr>
          <w:spacing w:val="50"/>
          <w:sz w:val="24"/>
        </w:rPr>
        <w:t> </w:t>
      </w:r>
      <w:r>
        <w:rPr>
          <w:sz w:val="24"/>
        </w:rPr>
        <w:t>are</w:t>
      </w:r>
      <w:r>
        <w:rPr>
          <w:spacing w:val="50"/>
          <w:sz w:val="24"/>
        </w:rPr>
        <w:t> </w:t>
      </w:r>
      <w:r>
        <w:rPr>
          <w:sz w:val="24"/>
        </w:rPr>
        <w:t>to</w:t>
      </w:r>
      <w:r>
        <w:rPr>
          <w:spacing w:val="50"/>
          <w:sz w:val="24"/>
        </w:rPr>
        <w:t> </w:t>
      </w:r>
      <w:r>
        <w:rPr>
          <w:sz w:val="24"/>
        </w:rPr>
        <w:t>be</w:t>
      </w:r>
      <w:r>
        <w:rPr>
          <w:spacing w:val="51"/>
          <w:sz w:val="24"/>
        </w:rPr>
        <w:t> </w:t>
      </w:r>
      <w:r>
        <w:rPr>
          <w:spacing w:val="7"/>
          <w:sz w:val="24"/>
        </w:rPr>
        <w:t>provided.</w:t>
      </w:r>
    </w:p>
    <w:p>
      <w:pPr>
        <w:pStyle w:val="ListParagraph"/>
        <w:numPr>
          <w:ilvl w:val="0"/>
          <w:numId w:val="284"/>
        </w:numPr>
        <w:tabs>
          <w:tab w:pos="1491" w:val="left" w:leader="none"/>
        </w:tabs>
        <w:spacing w:line="240" w:lineRule="auto" w:before="0" w:after="0"/>
        <w:ind w:left="1313" w:right="796" w:firstLine="0"/>
        <w:jc w:val="both"/>
        <w:rPr>
          <w:sz w:val="24"/>
        </w:rPr>
      </w:pPr>
      <w:r>
        <w:rPr>
          <w:sz w:val="24"/>
        </w:rPr>
        <w:t>There should be a provision of slope ramps/lifts at both ends to enable wheelchair </w:t>
      </w:r>
      <w:r>
        <w:rPr>
          <w:spacing w:val="9"/>
          <w:sz w:val="24"/>
        </w:rPr>
        <w:t>accessibility.</w:t>
      </w:r>
    </w:p>
    <w:p>
      <w:pPr>
        <w:pStyle w:val="ListParagraph"/>
        <w:numPr>
          <w:ilvl w:val="0"/>
          <w:numId w:val="284"/>
        </w:numPr>
        <w:tabs>
          <w:tab w:pos="2213" w:val="left" w:leader="none"/>
        </w:tabs>
        <w:spacing w:line="441" w:lineRule="auto" w:before="0" w:after="0"/>
        <w:ind w:left="1313" w:right="3621" w:firstLine="0"/>
        <w:jc w:val="left"/>
        <w:rPr>
          <w:i/>
          <w:sz w:val="24"/>
        </w:rPr>
      </w:pPr>
      <w:r>
        <w:rPr>
          <w:sz w:val="24"/>
        </w:rPr>
        <w:t>Provisions</w:t>
      </w:r>
      <w:r>
        <w:rPr>
          <w:spacing w:val="40"/>
          <w:sz w:val="24"/>
        </w:rPr>
        <w:t> </w:t>
      </w:r>
      <w:r>
        <w:rPr>
          <w:sz w:val="24"/>
        </w:rPr>
        <w:t>of</w:t>
      </w:r>
      <w:r>
        <w:rPr>
          <w:spacing w:val="40"/>
          <w:sz w:val="24"/>
        </w:rPr>
        <w:t> </w:t>
      </w:r>
      <w:r>
        <w:rPr>
          <w:sz w:val="24"/>
        </w:rPr>
        <w:t>a</w:t>
      </w:r>
      <w:r>
        <w:rPr>
          <w:spacing w:val="40"/>
          <w:sz w:val="24"/>
        </w:rPr>
        <w:t> </w:t>
      </w:r>
      <w:r>
        <w:rPr>
          <w:sz w:val="24"/>
        </w:rPr>
        <w:t>sidewalk</w:t>
      </w:r>
      <w:r>
        <w:rPr>
          <w:spacing w:val="40"/>
          <w:sz w:val="24"/>
        </w:rPr>
        <w:t> </w:t>
      </w:r>
      <w:r>
        <w:rPr>
          <w:sz w:val="24"/>
        </w:rPr>
        <w:t>are</w:t>
      </w:r>
      <w:r>
        <w:rPr>
          <w:spacing w:val="40"/>
          <w:sz w:val="24"/>
        </w:rPr>
        <w:t> </w:t>
      </w:r>
      <w:r>
        <w:rPr>
          <w:sz w:val="24"/>
        </w:rPr>
        <w:t>to</w:t>
      </w:r>
      <w:r>
        <w:rPr>
          <w:spacing w:val="40"/>
          <w:sz w:val="24"/>
        </w:rPr>
        <w:t> </w:t>
      </w:r>
      <w:r>
        <w:rPr>
          <w:sz w:val="24"/>
        </w:rPr>
        <w:t>be</w:t>
      </w:r>
      <w:r>
        <w:rPr>
          <w:spacing w:val="9"/>
          <w:sz w:val="24"/>
        </w:rPr>
        <w:t> followed </w:t>
      </w:r>
      <w:r>
        <w:rPr>
          <w:sz w:val="24"/>
        </w:rPr>
        <w:t>5.0</w:t>
      </w:r>
      <w:r>
        <w:rPr>
          <w:b/>
          <w:i/>
          <w:sz w:val="24"/>
        </w:rPr>
        <w:t>Guidelines</w:t>
      </w:r>
      <w:r>
        <w:rPr>
          <w:b/>
          <w:i/>
          <w:spacing w:val="40"/>
          <w:sz w:val="24"/>
        </w:rPr>
        <w:t> </w:t>
      </w:r>
      <w:r>
        <w:rPr>
          <w:b/>
          <w:i/>
          <w:sz w:val="24"/>
        </w:rPr>
        <w:t>and</w:t>
      </w:r>
      <w:r>
        <w:rPr>
          <w:b/>
          <w:i/>
          <w:spacing w:val="40"/>
          <w:sz w:val="24"/>
        </w:rPr>
        <w:t> </w:t>
      </w:r>
      <w:r>
        <w:rPr>
          <w:b/>
          <w:i/>
          <w:sz w:val="24"/>
        </w:rPr>
        <w:t>Provisions</w:t>
      </w:r>
      <w:r>
        <w:rPr>
          <w:i/>
          <w:sz w:val="24"/>
        </w:rPr>
        <w:t>:</w:t>
      </w:r>
    </w:p>
    <w:p>
      <w:pPr>
        <w:pStyle w:val="BodyText"/>
        <w:spacing w:before="7"/>
        <w:ind w:left="1313" w:right="838"/>
        <w:jc w:val="left"/>
      </w:pPr>
      <w:r>
        <w:rPr/>
        <w:t>For</w:t>
      </w:r>
      <w:r>
        <w:rPr>
          <w:spacing w:val="80"/>
        </w:rPr>
        <w:t> </w:t>
      </w:r>
      <w:r>
        <w:rPr/>
        <w:t>details</w:t>
      </w:r>
      <w:r>
        <w:rPr>
          <w:spacing w:val="80"/>
        </w:rPr>
        <w:t> </w:t>
      </w:r>
      <w:r>
        <w:rPr/>
        <w:t>&amp;</w:t>
      </w:r>
      <w:r>
        <w:rPr>
          <w:spacing w:val="80"/>
        </w:rPr>
        <w:t> </w:t>
      </w:r>
      <w:r>
        <w:rPr/>
        <w:t>additional</w:t>
      </w:r>
      <w:r>
        <w:rPr>
          <w:spacing w:val="80"/>
        </w:rPr>
        <w:t> </w:t>
      </w:r>
      <w:r>
        <w:rPr/>
        <w:t>information/guidelines</w:t>
      </w:r>
      <w:r>
        <w:rPr>
          <w:spacing w:val="80"/>
        </w:rPr>
        <w:t> </w:t>
      </w:r>
      <w:r>
        <w:rPr/>
        <w:t>reference</w:t>
      </w:r>
      <w:r>
        <w:rPr>
          <w:spacing w:val="80"/>
        </w:rPr>
        <w:t> </w:t>
      </w:r>
      <w:r>
        <w:rPr/>
        <w:t>may</w:t>
      </w:r>
      <w:r>
        <w:rPr>
          <w:spacing w:val="80"/>
        </w:rPr>
        <w:t> </w:t>
      </w:r>
      <w:r>
        <w:rPr/>
        <w:t>be</w:t>
      </w:r>
      <w:r>
        <w:rPr>
          <w:spacing w:val="80"/>
        </w:rPr>
        <w:t> </w:t>
      </w:r>
      <w:r>
        <w:rPr/>
        <w:t>made to </w:t>
      </w:r>
      <w:r>
        <w:rPr>
          <w:spacing w:val="9"/>
        </w:rPr>
        <w:t>following</w:t>
      </w:r>
    </w:p>
    <w:p>
      <w:pPr>
        <w:pStyle w:val="ListParagraph"/>
        <w:numPr>
          <w:ilvl w:val="0"/>
          <w:numId w:val="285"/>
        </w:numPr>
        <w:tabs>
          <w:tab w:pos="1700" w:val="left" w:leader="none"/>
        </w:tabs>
        <w:spacing w:line="240" w:lineRule="auto" w:before="0" w:after="0"/>
        <w:ind w:left="1313" w:right="798" w:firstLine="0"/>
        <w:jc w:val="left"/>
        <w:rPr>
          <w:sz w:val="24"/>
        </w:rPr>
      </w:pPr>
      <w:r>
        <w:rPr>
          <w:sz w:val="24"/>
        </w:rPr>
        <w:t>The</w:t>
      </w:r>
      <w:r>
        <w:rPr>
          <w:spacing w:val="80"/>
          <w:w w:val="150"/>
          <w:sz w:val="24"/>
        </w:rPr>
        <w:t> </w:t>
      </w:r>
      <w:r>
        <w:rPr>
          <w:sz w:val="24"/>
        </w:rPr>
        <w:t>Handbook</w:t>
      </w:r>
      <w:r>
        <w:rPr>
          <w:spacing w:val="80"/>
          <w:w w:val="150"/>
          <w:sz w:val="24"/>
        </w:rPr>
        <w:t> </w:t>
      </w:r>
      <w:r>
        <w:rPr>
          <w:sz w:val="24"/>
        </w:rPr>
        <w:t>on</w:t>
      </w:r>
      <w:r>
        <w:rPr>
          <w:spacing w:val="80"/>
          <w:w w:val="150"/>
          <w:sz w:val="24"/>
        </w:rPr>
        <w:t> </w:t>
      </w:r>
      <w:r>
        <w:rPr>
          <w:sz w:val="24"/>
        </w:rPr>
        <w:t>Barrier</w:t>
      </w:r>
      <w:r>
        <w:rPr>
          <w:spacing w:val="80"/>
          <w:w w:val="150"/>
          <w:sz w:val="24"/>
        </w:rPr>
        <w:t> </w:t>
      </w:r>
      <w:r>
        <w:rPr>
          <w:sz w:val="24"/>
        </w:rPr>
        <w:t>Free</w:t>
      </w:r>
      <w:r>
        <w:rPr>
          <w:spacing w:val="80"/>
          <w:w w:val="150"/>
          <w:sz w:val="24"/>
        </w:rPr>
        <w:t> </w:t>
      </w:r>
      <w:r>
        <w:rPr>
          <w:sz w:val="24"/>
        </w:rPr>
        <w:t>and</w:t>
      </w:r>
      <w:r>
        <w:rPr>
          <w:spacing w:val="80"/>
          <w:w w:val="150"/>
          <w:sz w:val="24"/>
        </w:rPr>
        <w:t> </w:t>
      </w:r>
      <w:r>
        <w:rPr>
          <w:sz w:val="24"/>
        </w:rPr>
        <w:t>Accessibility”,</w:t>
      </w:r>
      <w:r>
        <w:rPr>
          <w:spacing w:val="80"/>
          <w:w w:val="150"/>
          <w:sz w:val="24"/>
        </w:rPr>
        <w:t> </w:t>
      </w:r>
      <w:r>
        <w:rPr>
          <w:sz w:val="24"/>
        </w:rPr>
        <w:t>(2014),</w:t>
      </w:r>
      <w:r>
        <w:rPr>
          <w:spacing w:val="80"/>
          <w:w w:val="150"/>
          <w:sz w:val="24"/>
        </w:rPr>
        <w:t> </w:t>
      </w:r>
      <w:r>
        <w:rPr>
          <w:sz w:val="24"/>
        </w:rPr>
        <w:t>Central Public</w:t>
      </w:r>
      <w:r>
        <w:rPr>
          <w:spacing w:val="40"/>
          <w:sz w:val="24"/>
        </w:rPr>
        <w:t> </w:t>
      </w:r>
      <w:r>
        <w:rPr>
          <w:sz w:val="24"/>
        </w:rPr>
        <w:t>Works</w:t>
      </w:r>
      <w:r>
        <w:rPr>
          <w:spacing w:val="40"/>
          <w:sz w:val="24"/>
        </w:rPr>
        <w:t> </w:t>
      </w:r>
      <w:r>
        <w:rPr>
          <w:sz w:val="24"/>
        </w:rPr>
        <w:t>Department,</w:t>
      </w:r>
      <w:r>
        <w:rPr>
          <w:spacing w:val="40"/>
          <w:sz w:val="24"/>
        </w:rPr>
        <w:t> </w:t>
      </w:r>
      <w:r>
        <w:rPr>
          <w:spacing w:val="9"/>
          <w:sz w:val="24"/>
        </w:rPr>
        <w:t>GoI</w:t>
      </w:r>
    </w:p>
    <w:p>
      <w:pPr>
        <w:pStyle w:val="ListParagraph"/>
        <w:numPr>
          <w:ilvl w:val="0"/>
          <w:numId w:val="285"/>
        </w:numPr>
        <w:tabs>
          <w:tab w:pos="1751" w:val="left" w:leader="none"/>
          <w:tab w:pos="2695" w:val="left" w:leader="none"/>
          <w:tab w:pos="3963" w:val="left" w:leader="none"/>
          <w:tab w:pos="5449" w:val="left" w:leader="none"/>
          <w:tab w:pos="6532" w:val="left" w:leader="none"/>
          <w:tab w:pos="7393" w:val="left" w:leader="none"/>
          <w:tab w:pos="8064" w:val="left" w:leader="none"/>
          <w:tab w:pos="9286" w:val="left" w:leader="none"/>
        </w:tabs>
        <w:spacing w:line="240" w:lineRule="auto" w:before="0" w:after="0"/>
        <w:ind w:left="1313" w:right="790" w:firstLine="0"/>
        <w:jc w:val="left"/>
        <w:rPr>
          <w:sz w:val="24"/>
        </w:rPr>
      </w:pPr>
      <w:r>
        <w:rPr>
          <w:spacing w:val="-2"/>
          <w:sz w:val="24"/>
        </w:rPr>
        <w:t>Model</w:t>
      </w:r>
      <w:r>
        <w:rPr>
          <w:sz w:val="24"/>
        </w:rPr>
        <w:tab/>
      </w:r>
      <w:r>
        <w:rPr>
          <w:spacing w:val="-2"/>
          <w:sz w:val="24"/>
        </w:rPr>
        <w:t>Building</w:t>
      </w:r>
      <w:r>
        <w:rPr>
          <w:sz w:val="24"/>
        </w:rPr>
        <w:tab/>
      </w:r>
      <w:r>
        <w:rPr>
          <w:spacing w:val="6"/>
          <w:sz w:val="24"/>
        </w:rPr>
        <w:t>Bye-</w:t>
      </w:r>
      <w:r>
        <w:rPr>
          <w:sz w:val="24"/>
        </w:rPr>
        <w:t>Laws,</w:t>
        <w:tab/>
      </w:r>
      <w:r>
        <w:rPr>
          <w:spacing w:val="-2"/>
          <w:sz w:val="24"/>
        </w:rPr>
        <w:t>(2016),</w:t>
      </w:r>
      <w:r>
        <w:rPr>
          <w:sz w:val="24"/>
        </w:rPr>
        <w:tab/>
      </w:r>
      <w:r>
        <w:rPr>
          <w:spacing w:val="-4"/>
          <w:sz w:val="24"/>
        </w:rPr>
        <w:t>Town</w:t>
      </w:r>
      <w:r>
        <w:rPr>
          <w:sz w:val="24"/>
        </w:rPr>
        <w:tab/>
      </w:r>
      <w:r>
        <w:rPr>
          <w:spacing w:val="-4"/>
          <w:sz w:val="24"/>
        </w:rPr>
        <w:t>and</w:t>
      </w:r>
      <w:r>
        <w:rPr>
          <w:sz w:val="24"/>
        </w:rPr>
        <w:tab/>
      </w:r>
      <w:r>
        <w:rPr>
          <w:spacing w:val="-2"/>
          <w:sz w:val="24"/>
        </w:rPr>
        <w:t>Country</w:t>
      </w:r>
      <w:r>
        <w:rPr>
          <w:sz w:val="24"/>
        </w:rPr>
        <w:tab/>
      </w:r>
      <w:r>
        <w:rPr>
          <w:spacing w:val="-2"/>
          <w:sz w:val="24"/>
        </w:rPr>
        <w:t>Planning </w:t>
      </w:r>
      <w:r>
        <w:rPr>
          <w:sz w:val="24"/>
        </w:rPr>
        <w:t>organisation,</w:t>
      </w:r>
      <w:r>
        <w:rPr>
          <w:spacing w:val="80"/>
          <w:sz w:val="24"/>
        </w:rPr>
        <w:t> </w:t>
      </w:r>
      <w:r>
        <w:rPr>
          <w:sz w:val="24"/>
        </w:rPr>
        <w:t>Ministry</w:t>
      </w:r>
      <w:r>
        <w:rPr>
          <w:spacing w:val="80"/>
          <w:sz w:val="24"/>
        </w:rPr>
        <w:t> </w:t>
      </w:r>
      <w:r>
        <w:rPr>
          <w:sz w:val="24"/>
        </w:rPr>
        <w:t>of</w:t>
      </w:r>
      <w:r>
        <w:rPr>
          <w:spacing w:val="80"/>
          <w:sz w:val="24"/>
        </w:rPr>
        <w:t> </w:t>
      </w:r>
      <w:r>
        <w:rPr>
          <w:sz w:val="24"/>
        </w:rPr>
        <w:t>urban</w:t>
      </w:r>
      <w:r>
        <w:rPr>
          <w:spacing w:val="80"/>
          <w:sz w:val="24"/>
        </w:rPr>
        <w:t> </w:t>
      </w:r>
      <w:r>
        <w:rPr>
          <w:sz w:val="24"/>
        </w:rPr>
        <w:t>Development,</w:t>
      </w:r>
      <w:r>
        <w:rPr>
          <w:spacing w:val="80"/>
          <w:sz w:val="24"/>
        </w:rPr>
        <w:t> </w:t>
      </w:r>
      <w:r>
        <w:rPr>
          <w:sz w:val="24"/>
        </w:rPr>
        <w:t>GoI.</w:t>
      </w:r>
    </w:p>
    <w:p>
      <w:pPr>
        <w:pStyle w:val="ListParagraph"/>
        <w:numPr>
          <w:ilvl w:val="0"/>
          <w:numId w:val="285"/>
        </w:numPr>
        <w:tabs>
          <w:tab w:pos="1703" w:val="left" w:leader="none"/>
        </w:tabs>
        <w:spacing w:line="240" w:lineRule="auto" w:before="0" w:after="0"/>
        <w:ind w:left="1313" w:right="797" w:firstLine="0"/>
        <w:jc w:val="left"/>
        <w:rPr>
          <w:sz w:val="24"/>
        </w:rPr>
      </w:pPr>
      <w:r>
        <w:rPr>
          <w:sz w:val="24"/>
        </w:rPr>
        <w:t>“National</w:t>
      </w:r>
      <w:r>
        <w:rPr>
          <w:spacing w:val="80"/>
          <w:w w:val="150"/>
          <w:sz w:val="24"/>
        </w:rPr>
        <w:t> </w:t>
      </w:r>
      <w:r>
        <w:rPr>
          <w:sz w:val="24"/>
        </w:rPr>
        <w:t>Building</w:t>
      </w:r>
      <w:r>
        <w:rPr>
          <w:spacing w:val="80"/>
          <w:w w:val="150"/>
          <w:sz w:val="24"/>
        </w:rPr>
        <w:t> </w:t>
      </w:r>
      <w:r>
        <w:rPr>
          <w:sz w:val="24"/>
        </w:rPr>
        <w:t>Code”,</w:t>
      </w:r>
      <w:r>
        <w:rPr>
          <w:spacing w:val="80"/>
          <w:w w:val="150"/>
          <w:sz w:val="24"/>
        </w:rPr>
        <w:t> </w:t>
      </w:r>
      <w:r>
        <w:rPr>
          <w:sz w:val="24"/>
        </w:rPr>
        <w:t>amended</w:t>
      </w:r>
      <w:r>
        <w:rPr>
          <w:spacing w:val="80"/>
          <w:w w:val="150"/>
          <w:sz w:val="24"/>
        </w:rPr>
        <w:t> </w:t>
      </w:r>
      <w:r>
        <w:rPr>
          <w:sz w:val="24"/>
        </w:rPr>
        <w:t>up</w:t>
      </w:r>
      <w:r>
        <w:rPr>
          <w:spacing w:val="80"/>
          <w:w w:val="150"/>
          <w:sz w:val="24"/>
        </w:rPr>
        <w:t> </w:t>
      </w:r>
      <w:r>
        <w:rPr>
          <w:sz w:val="24"/>
        </w:rPr>
        <w:t>to</w:t>
      </w:r>
      <w:r>
        <w:rPr>
          <w:spacing w:val="80"/>
          <w:w w:val="150"/>
          <w:sz w:val="24"/>
        </w:rPr>
        <w:t> </w:t>
      </w:r>
      <w:r>
        <w:rPr>
          <w:sz w:val="24"/>
        </w:rPr>
        <w:t>date</w:t>
      </w:r>
      <w:r>
        <w:rPr>
          <w:spacing w:val="80"/>
          <w:w w:val="150"/>
          <w:sz w:val="24"/>
        </w:rPr>
        <w:t> </w:t>
      </w:r>
      <w:r>
        <w:rPr>
          <w:sz w:val="24"/>
        </w:rPr>
        <w:t>(2005),</w:t>
      </w:r>
      <w:r>
        <w:rPr>
          <w:spacing w:val="80"/>
          <w:w w:val="150"/>
          <w:sz w:val="24"/>
        </w:rPr>
        <w:t> </w:t>
      </w:r>
      <w:r>
        <w:rPr>
          <w:sz w:val="24"/>
        </w:rPr>
        <w:t>Bureau</w:t>
      </w:r>
      <w:r>
        <w:rPr>
          <w:spacing w:val="80"/>
          <w:w w:val="150"/>
          <w:sz w:val="24"/>
        </w:rPr>
        <w:t> </w:t>
      </w:r>
      <w:r>
        <w:rPr>
          <w:sz w:val="24"/>
        </w:rPr>
        <w:t>of Indian Standards,</w:t>
      </w:r>
    </w:p>
    <w:p>
      <w:pPr>
        <w:pStyle w:val="ListParagraph"/>
        <w:numPr>
          <w:ilvl w:val="0"/>
          <w:numId w:val="285"/>
        </w:numPr>
        <w:tabs>
          <w:tab w:pos="1643" w:val="left" w:leader="none"/>
        </w:tabs>
        <w:spacing w:line="240" w:lineRule="auto" w:before="0" w:after="0"/>
        <w:ind w:left="1313" w:right="1262" w:firstLine="0"/>
        <w:jc w:val="left"/>
        <w:rPr>
          <w:sz w:val="24"/>
        </w:rPr>
      </w:pPr>
      <w:r>
        <w:rPr>
          <w:sz w:val="24"/>
        </w:rPr>
        <w:t>“National</w:t>
      </w:r>
      <w:r>
        <w:rPr>
          <w:spacing w:val="40"/>
          <w:sz w:val="24"/>
        </w:rPr>
        <w:t> </w:t>
      </w:r>
      <w:r>
        <w:rPr>
          <w:sz w:val="24"/>
        </w:rPr>
        <w:t>Policy</w:t>
      </w:r>
      <w:r>
        <w:rPr>
          <w:spacing w:val="80"/>
          <w:sz w:val="24"/>
        </w:rPr>
        <w:t> </w:t>
      </w:r>
      <w:r>
        <w:rPr>
          <w:sz w:val="24"/>
        </w:rPr>
        <w:t>for</w:t>
      </w:r>
      <w:r>
        <w:rPr>
          <w:spacing w:val="40"/>
          <w:sz w:val="24"/>
        </w:rPr>
        <w:t> </w:t>
      </w:r>
      <w:r>
        <w:rPr>
          <w:sz w:val="24"/>
        </w:rPr>
        <w:t>Persons</w:t>
      </w:r>
      <w:r>
        <w:rPr>
          <w:spacing w:val="40"/>
          <w:sz w:val="24"/>
        </w:rPr>
        <w:t> </w:t>
      </w:r>
      <w:r>
        <w:rPr>
          <w:sz w:val="24"/>
        </w:rPr>
        <w:t>with</w:t>
      </w:r>
      <w:r>
        <w:rPr>
          <w:spacing w:val="40"/>
          <w:sz w:val="24"/>
        </w:rPr>
        <w:t> </w:t>
      </w:r>
      <w:r>
        <w:rPr>
          <w:sz w:val="24"/>
        </w:rPr>
        <w:t>Disabilities”,</w:t>
      </w:r>
      <w:r>
        <w:rPr>
          <w:spacing w:val="40"/>
          <w:sz w:val="24"/>
        </w:rPr>
        <w:t> </w:t>
      </w:r>
      <w:r>
        <w:rPr>
          <w:sz w:val="24"/>
        </w:rPr>
        <w:t>(2006),</w:t>
      </w:r>
      <w:r>
        <w:rPr>
          <w:spacing w:val="80"/>
          <w:sz w:val="24"/>
        </w:rPr>
        <w:t> </w:t>
      </w:r>
      <w:r>
        <w:rPr>
          <w:sz w:val="24"/>
        </w:rPr>
        <w:t>Ministry</w:t>
      </w:r>
      <w:r>
        <w:rPr>
          <w:spacing w:val="80"/>
          <w:sz w:val="24"/>
        </w:rPr>
        <w:t> </w:t>
      </w:r>
      <w:r>
        <w:rPr>
          <w:sz w:val="24"/>
        </w:rPr>
        <w:t>of Social Justice and Empowerment, GoI.</w:t>
      </w:r>
    </w:p>
    <w:p>
      <w:pPr>
        <w:pStyle w:val="ListParagraph"/>
        <w:spacing w:after="0" w:line="240" w:lineRule="auto"/>
        <w:jc w:val="left"/>
        <w:rPr>
          <w:sz w:val="24"/>
        </w:rPr>
        <w:sectPr>
          <w:pgSz w:w="11910" w:h="16840"/>
          <w:pgMar w:header="1058" w:footer="1201" w:top="1500" w:bottom="1400" w:left="360" w:right="360"/>
        </w:sectPr>
      </w:pPr>
    </w:p>
    <w:p>
      <w:pPr>
        <w:pStyle w:val="Heading3"/>
        <w:numPr>
          <w:ilvl w:val="0"/>
          <w:numId w:val="263"/>
        </w:numPr>
        <w:tabs>
          <w:tab w:pos="1478" w:val="left" w:leader="none"/>
        </w:tabs>
        <w:spacing w:line="240" w:lineRule="auto" w:before="251" w:after="0"/>
        <w:ind w:left="1478" w:right="0" w:hanging="706"/>
        <w:jc w:val="left"/>
        <w:rPr>
          <w:i w:val="0"/>
        </w:rPr>
      </w:pPr>
      <w:r>
        <w:rPr/>
        <w:t>Lighting</w:t>
      </w:r>
      <w:r>
        <w:rPr>
          <w:spacing w:val="-4"/>
        </w:rPr>
        <w:t> </w:t>
      </w:r>
      <w:r>
        <w:rPr/>
        <w:t>and</w:t>
      </w:r>
      <w:r>
        <w:rPr>
          <w:spacing w:val="-2"/>
        </w:rPr>
        <w:t> Ventilation</w:t>
      </w:r>
    </w:p>
    <w:p>
      <w:pPr>
        <w:pStyle w:val="ListParagraph"/>
        <w:numPr>
          <w:ilvl w:val="1"/>
          <w:numId w:val="263"/>
        </w:numPr>
        <w:tabs>
          <w:tab w:pos="1787" w:val="left" w:leader="none"/>
        </w:tabs>
        <w:spacing w:line="240" w:lineRule="auto" w:before="287" w:after="0"/>
        <w:ind w:left="1313" w:right="780" w:firstLine="0"/>
        <w:jc w:val="both"/>
        <w:rPr>
          <w:sz w:val="24"/>
        </w:rPr>
      </w:pPr>
      <w:r>
        <w:rPr>
          <w:i/>
          <w:sz w:val="24"/>
        </w:rPr>
        <w:t>Adequacy</w:t>
      </w:r>
      <w:r>
        <w:rPr>
          <w:i/>
          <w:spacing w:val="40"/>
          <w:sz w:val="24"/>
        </w:rPr>
        <w:t> </w:t>
      </w:r>
      <w:r>
        <w:rPr>
          <w:i/>
          <w:sz w:val="24"/>
        </w:rPr>
        <w:t>and</w:t>
      </w:r>
      <w:r>
        <w:rPr>
          <w:i/>
          <w:spacing w:val="40"/>
          <w:sz w:val="24"/>
        </w:rPr>
        <w:t> </w:t>
      </w:r>
      <w:r>
        <w:rPr>
          <w:i/>
          <w:sz w:val="24"/>
        </w:rPr>
        <w:t>manner</w:t>
      </w:r>
      <w:r>
        <w:rPr>
          <w:i/>
          <w:spacing w:val="40"/>
          <w:sz w:val="24"/>
        </w:rPr>
        <w:t> </w:t>
      </w:r>
      <w:r>
        <w:rPr>
          <w:i/>
          <w:sz w:val="24"/>
        </w:rPr>
        <w:t>of</w:t>
      </w:r>
      <w:r>
        <w:rPr>
          <w:i/>
          <w:spacing w:val="40"/>
          <w:sz w:val="24"/>
        </w:rPr>
        <w:t> </w:t>
      </w:r>
      <w:r>
        <w:rPr>
          <w:i/>
          <w:sz w:val="24"/>
        </w:rPr>
        <w:t>provision</w:t>
      </w:r>
      <w:r>
        <w:rPr>
          <w:sz w:val="24"/>
        </w:rPr>
        <w:t>-</w:t>
      </w:r>
      <w:r>
        <w:rPr>
          <w:spacing w:val="40"/>
          <w:sz w:val="24"/>
        </w:rPr>
        <w:t> </w:t>
      </w:r>
      <w:r>
        <w:rPr>
          <w:sz w:val="24"/>
        </w:rPr>
        <w:t>All</w:t>
      </w:r>
      <w:r>
        <w:rPr>
          <w:spacing w:val="40"/>
          <w:sz w:val="24"/>
        </w:rPr>
        <w:t> </w:t>
      </w:r>
      <w:r>
        <w:rPr>
          <w:sz w:val="24"/>
        </w:rPr>
        <w:t>parts</w:t>
      </w:r>
      <w:r>
        <w:rPr>
          <w:spacing w:val="40"/>
          <w:sz w:val="24"/>
        </w:rPr>
        <w:t> </w:t>
      </w:r>
      <w:r>
        <w:rPr>
          <w:sz w:val="24"/>
        </w:rPr>
        <w:t>of</w:t>
      </w:r>
      <w:r>
        <w:rPr>
          <w:spacing w:val="40"/>
          <w:sz w:val="24"/>
        </w:rPr>
        <w:t> </w:t>
      </w:r>
      <w:r>
        <w:rPr>
          <w:sz w:val="24"/>
        </w:rPr>
        <w:t>any</w:t>
      </w:r>
      <w:r>
        <w:rPr>
          <w:spacing w:val="40"/>
          <w:sz w:val="24"/>
        </w:rPr>
        <w:t> </w:t>
      </w:r>
      <w:r>
        <w:rPr>
          <w:sz w:val="24"/>
        </w:rPr>
        <w:t>habitable</w:t>
      </w:r>
      <w:r>
        <w:rPr>
          <w:spacing w:val="40"/>
          <w:sz w:val="24"/>
        </w:rPr>
        <w:t> </w:t>
      </w:r>
      <w:r>
        <w:rPr>
          <w:sz w:val="24"/>
        </w:rPr>
        <w:t>room shall be adequately lighted and ventilated. For this</w:t>
      </w:r>
      <w:r>
        <w:rPr>
          <w:spacing w:val="40"/>
          <w:sz w:val="24"/>
        </w:rPr>
        <w:t> </w:t>
      </w:r>
      <w:r>
        <w:rPr>
          <w:sz w:val="24"/>
        </w:rPr>
        <w:t>purpose, every room</w:t>
      </w:r>
      <w:r>
        <w:rPr>
          <w:spacing w:val="40"/>
          <w:sz w:val="24"/>
        </w:rPr>
        <w:t> </w:t>
      </w:r>
      <w:r>
        <w:rPr>
          <w:sz w:val="24"/>
        </w:rPr>
        <w:t>shall have -</w:t>
      </w:r>
    </w:p>
    <w:p>
      <w:pPr>
        <w:pStyle w:val="ListParagraph"/>
        <w:numPr>
          <w:ilvl w:val="2"/>
          <w:numId w:val="263"/>
        </w:numPr>
        <w:tabs>
          <w:tab w:pos="1706" w:val="left" w:leader="none"/>
        </w:tabs>
        <w:spacing w:line="240" w:lineRule="auto" w:before="0" w:after="0"/>
        <w:ind w:left="1313" w:right="780" w:firstLine="0"/>
        <w:jc w:val="both"/>
        <w:rPr>
          <w:sz w:val="24"/>
        </w:rPr>
      </w:pPr>
      <w:r>
        <w:rPr>
          <w:sz w:val="24"/>
        </w:rPr>
        <w:t>one or more apertures, excluding doors, with area not less than </w:t>
      </w:r>
      <w:r>
        <w:rPr>
          <w:spacing w:val="11"/>
          <w:sz w:val="24"/>
        </w:rPr>
        <w:t>one- </w:t>
      </w:r>
      <w:r>
        <w:rPr>
          <w:sz w:val="24"/>
        </w:rPr>
        <w:t>sixth</w:t>
      </w:r>
      <w:r>
        <w:rPr>
          <w:spacing w:val="40"/>
          <w:sz w:val="24"/>
        </w:rPr>
        <w:t> </w:t>
      </w:r>
      <w:r>
        <w:rPr>
          <w:sz w:val="24"/>
        </w:rPr>
        <w:t>of</w:t>
      </w:r>
      <w:r>
        <w:rPr>
          <w:spacing w:val="40"/>
          <w:sz w:val="24"/>
        </w:rPr>
        <w:t> </w:t>
      </w:r>
      <w:r>
        <w:rPr>
          <w:sz w:val="24"/>
        </w:rPr>
        <w:t>the</w:t>
      </w:r>
      <w:r>
        <w:rPr>
          <w:spacing w:val="40"/>
          <w:sz w:val="24"/>
        </w:rPr>
        <w:t> </w:t>
      </w:r>
      <w:r>
        <w:rPr>
          <w:sz w:val="24"/>
        </w:rPr>
        <w:t>floor</w:t>
      </w:r>
      <w:r>
        <w:rPr>
          <w:spacing w:val="40"/>
          <w:sz w:val="24"/>
        </w:rPr>
        <w:t> </w:t>
      </w:r>
      <w:r>
        <w:rPr>
          <w:sz w:val="24"/>
        </w:rPr>
        <w:t>area</w:t>
      </w:r>
      <w:r>
        <w:rPr>
          <w:spacing w:val="40"/>
          <w:sz w:val="24"/>
        </w:rPr>
        <w:t> </w:t>
      </w:r>
      <w:r>
        <w:rPr>
          <w:sz w:val="24"/>
        </w:rPr>
        <w:t>of</w:t>
      </w:r>
      <w:r>
        <w:rPr>
          <w:spacing w:val="40"/>
          <w:sz w:val="24"/>
        </w:rPr>
        <w:t> </w:t>
      </w:r>
      <w:r>
        <w:rPr>
          <w:sz w:val="24"/>
        </w:rPr>
        <w:t>the</w:t>
      </w:r>
      <w:r>
        <w:rPr>
          <w:spacing w:val="40"/>
          <w:sz w:val="24"/>
        </w:rPr>
        <w:t> </w:t>
      </w:r>
      <w:r>
        <w:rPr>
          <w:sz w:val="24"/>
        </w:rPr>
        <w:t>habitable</w:t>
      </w:r>
      <w:r>
        <w:rPr>
          <w:spacing w:val="40"/>
          <w:sz w:val="24"/>
        </w:rPr>
        <w:t> </w:t>
      </w:r>
      <w:r>
        <w:rPr>
          <w:sz w:val="24"/>
        </w:rPr>
        <w:t>room,</w:t>
      </w:r>
      <w:r>
        <w:rPr>
          <w:spacing w:val="40"/>
          <w:sz w:val="24"/>
        </w:rPr>
        <w:t> </w:t>
      </w:r>
      <w:r>
        <w:rPr>
          <w:sz w:val="24"/>
        </w:rPr>
        <w:t>with</w:t>
      </w:r>
      <w:r>
        <w:rPr>
          <w:spacing w:val="40"/>
          <w:sz w:val="24"/>
        </w:rPr>
        <w:t> </w:t>
      </w:r>
      <w:r>
        <w:rPr>
          <w:sz w:val="24"/>
        </w:rPr>
        <w:t>no</w:t>
      </w:r>
      <w:r>
        <w:rPr>
          <w:spacing w:val="40"/>
          <w:sz w:val="24"/>
        </w:rPr>
        <w:t> </w:t>
      </w:r>
      <w:r>
        <w:rPr>
          <w:sz w:val="24"/>
        </w:rPr>
        <w:t>part</w:t>
      </w:r>
      <w:r>
        <w:rPr>
          <w:spacing w:val="40"/>
          <w:sz w:val="24"/>
        </w:rPr>
        <w:t> </w:t>
      </w:r>
      <w:r>
        <w:rPr>
          <w:sz w:val="24"/>
        </w:rPr>
        <w:t>of</w:t>
      </w:r>
      <w:r>
        <w:rPr>
          <w:spacing w:val="40"/>
          <w:sz w:val="24"/>
        </w:rPr>
        <w:t> </w:t>
      </w:r>
      <w:r>
        <w:rPr>
          <w:sz w:val="24"/>
        </w:rPr>
        <w:t>any habitable</w:t>
      </w:r>
      <w:r>
        <w:rPr>
          <w:spacing w:val="40"/>
          <w:sz w:val="24"/>
        </w:rPr>
        <w:t> </w:t>
      </w:r>
      <w:r>
        <w:rPr>
          <w:sz w:val="24"/>
        </w:rPr>
        <w:t>room</w:t>
      </w:r>
      <w:r>
        <w:rPr>
          <w:spacing w:val="80"/>
          <w:sz w:val="24"/>
        </w:rPr>
        <w:t> </w:t>
      </w:r>
      <w:r>
        <w:rPr>
          <w:sz w:val="24"/>
        </w:rPr>
        <w:t>being</w:t>
      </w:r>
      <w:r>
        <w:rPr>
          <w:spacing w:val="40"/>
          <w:sz w:val="24"/>
        </w:rPr>
        <w:t> </w:t>
      </w:r>
      <w:r>
        <w:rPr>
          <w:sz w:val="24"/>
        </w:rPr>
        <w:t>more</w:t>
      </w:r>
      <w:r>
        <w:rPr>
          <w:spacing w:val="40"/>
          <w:sz w:val="24"/>
        </w:rPr>
        <w:t> </w:t>
      </w:r>
      <w:r>
        <w:rPr>
          <w:sz w:val="24"/>
        </w:rPr>
        <w:t>than7.50</w:t>
      </w:r>
      <w:r>
        <w:rPr>
          <w:spacing w:val="80"/>
          <w:sz w:val="24"/>
        </w:rPr>
        <w:t> </w:t>
      </w:r>
      <w:r>
        <w:rPr>
          <w:sz w:val="24"/>
        </w:rPr>
        <w:t>m</w:t>
      </w:r>
      <w:r>
        <w:rPr>
          <w:spacing w:val="40"/>
          <w:sz w:val="24"/>
        </w:rPr>
        <w:t> </w:t>
      </w:r>
      <w:r>
        <w:rPr>
          <w:sz w:val="24"/>
        </w:rPr>
        <w:t>away</w:t>
      </w:r>
      <w:r>
        <w:rPr>
          <w:spacing w:val="80"/>
          <w:sz w:val="24"/>
        </w:rPr>
        <w:t> </w:t>
      </w:r>
      <w:r>
        <w:rPr>
          <w:sz w:val="24"/>
        </w:rPr>
        <w:t>from</w:t>
      </w:r>
      <w:r>
        <w:rPr>
          <w:spacing w:val="80"/>
          <w:sz w:val="24"/>
        </w:rPr>
        <w:t> </w:t>
      </w:r>
      <w:r>
        <w:rPr>
          <w:sz w:val="24"/>
        </w:rPr>
        <w:t>the</w:t>
      </w:r>
      <w:r>
        <w:rPr>
          <w:spacing w:val="80"/>
          <w:sz w:val="24"/>
        </w:rPr>
        <w:t> </w:t>
      </w:r>
      <w:r>
        <w:rPr>
          <w:sz w:val="24"/>
        </w:rPr>
        <w:t>source</w:t>
      </w:r>
      <w:r>
        <w:rPr>
          <w:spacing w:val="80"/>
          <w:sz w:val="24"/>
        </w:rPr>
        <w:t> </w:t>
      </w:r>
      <w:r>
        <w:rPr>
          <w:sz w:val="24"/>
        </w:rPr>
        <w:t>of</w:t>
      </w:r>
      <w:r>
        <w:rPr>
          <w:spacing w:val="80"/>
          <w:sz w:val="24"/>
        </w:rPr>
        <w:t> </w:t>
      </w:r>
      <w:r>
        <w:rPr>
          <w:sz w:val="24"/>
        </w:rPr>
        <w:t>light and ventilation.However, a staircase shall be deemed to be adequately</w:t>
      </w:r>
      <w:r>
        <w:rPr>
          <w:spacing w:val="80"/>
          <w:sz w:val="24"/>
        </w:rPr>
        <w:t> </w:t>
      </w:r>
      <w:r>
        <w:rPr>
          <w:sz w:val="24"/>
        </w:rPr>
        <w:t>lighted and ventilated, if it has one or more </w:t>
      </w:r>
      <w:r>
        <w:rPr>
          <w:spacing w:val="10"/>
          <w:sz w:val="24"/>
        </w:rPr>
        <w:t>openings, </w:t>
      </w:r>
      <w:r>
        <w:rPr>
          <w:sz w:val="24"/>
        </w:rPr>
        <w:t>their area taken together</w:t>
      </w:r>
      <w:r>
        <w:rPr>
          <w:spacing w:val="40"/>
          <w:sz w:val="24"/>
        </w:rPr>
        <w:t> </w:t>
      </w:r>
      <w:r>
        <w:rPr>
          <w:sz w:val="24"/>
        </w:rPr>
        <w:t>measuring</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1</w:t>
      </w:r>
      <w:r>
        <w:rPr>
          <w:spacing w:val="40"/>
          <w:sz w:val="24"/>
        </w:rPr>
        <w:t> </w:t>
      </w:r>
      <w:r>
        <w:rPr>
          <w:sz w:val="24"/>
        </w:rPr>
        <w:t>sq.</w:t>
      </w:r>
      <w:r>
        <w:rPr>
          <w:spacing w:val="40"/>
          <w:sz w:val="24"/>
        </w:rPr>
        <w:t> </w:t>
      </w:r>
      <w:r>
        <w:rPr>
          <w:sz w:val="24"/>
        </w:rPr>
        <w:t>m</w:t>
      </w:r>
      <w:r>
        <w:rPr>
          <w:spacing w:val="40"/>
          <w:sz w:val="24"/>
        </w:rPr>
        <w:t> </w:t>
      </w:r>
      <w:r>
        <w:rPr>
          <w:sz w:val="24"/>
        </w:rPr>
        <w:t>per</w:t>
      </w:r>
      <w:r>
        <w:rPr>
          <w:spacing w:val="40"/>
          <w:sz w:val="24"/>
        </w:rPr>
        <w:t> </w:t>
      </w:r>
      <w:r>
        <w:rPr>
          <w:sz w:val="24"/>
        </w:rPr>
        <w:t>landing</w:t>
      </w:r>
      <w:r>
        <w:rPr>
          <w:spacing w:val="40"/>
          <w:sz w:val="24"/>
        </w:rPr>
        <w:t> </w:t>
      </w:r>
      <w:r>
        <w:rPr>
          <w:sz w:val="24"/>
        </w:rPr>
        <w:t>on</w:t>
      </w:r>
      <w:r>
        <w:rPr>
          <w:spacing w:val="40"/>
          <w:sz w:val="24"/>
        </w:rPr>
        <w:t> </w:t>
      </w:r>
      <w:r>
        <w:rPr>
          <w:sz w:val="24"/>
        </w:rPr>
        <w:t>the</w:t>
      </w:r>
      <w:r>
        <w:rPr>
          <w:spacing w:val="40"/>
          <w:sz w:val="24"/>
        </w:rPr>
        <w:t> </w:t>
      </w:r>
      <w:r>
        <w:rPr>
          <w:spacing w:val="9"/>
          <w:sz w:val="24"/>
        </w:rPr>
        <w:t>external </w:t>
      </w:r>
      <w:r>
        <w:rPr>
          <w:spacing w:val="-2"/>
          <w:sz w:val="24"/>
        </w:rPr>
        <w:t>wall;</w:t>
      </w:r>
    </w:p>
    <w:p>
      <w:pPr>
        <w:pStyle w:val="ListParagraph"/>
        <w:numPr>
          <w:ilvl w:val="2"/>
          <w:numId w:val="263"/>
        </w:numPr>
        <w:tabs>
          <w:tab w:pos="1738" w:val="left" w:leader="none"/>
        </w:tabs>
        <w:spacing w:line="240" w:lineRule="auto" w:before="1" w:after="0"/>
        <w:ind w:left="1313" w:right="780" w:firstLine="0"/>
        <w:jc w:val="both"/>
        <w:rPr>
          <w:sz w:val="24"/>
        </w:rPr>
      </w:pPr>
      <w:r>
        <w:rPr>
          <w:sz w:val="24"/>
        </w:rPr>
        <w:t>an opening with a minimum area of 1 sq. m in any habitable room including a kitchen, and 0.3 sq. m with one dimension of 0.3 m for </w:t>
      </w:r>
      <w:r>
        <w:rPr>
          <w:spacing w:val="9"/>
          <w:sz w:val="24"/>
        </w:rPr>
        <w:t>any </w:t>
      </w:r>
      <w:r>
        <w:rPr>
          <w:sz w:val="24"/>
        </w:rPr>
        <w:t>bathroom,</w:t>
      </w:r>
      <w:r>
        <w:rPr>
          <w:spacing w:val="40"/>
          <w:sz w:val="24"/>
        </w:rPr>
        <w:t> </w:t>
      </w:r>
      <w:r>
        <w:rPr>
          <w:sz w:val="24"/>
        </w:rPr>
        <w:t>water</w:t>
      </w:r>
      <w:r>
        <w:rPr>
          <w:spacing w:val="40"/>
          <w:sz w:val="24"/>
        </w:rPr>
        <w:t> </w:t>
      </w:r>
      <w:r>
        <w:rPr>
          <w:sz w:val="24"/>
        </w:rPr>
        <w:t>closet</w:t>
      </w:r>
      <w:r>
        <w:rPr>
          <w:spacing w:val="40"/>
          <w:sz w:val="24"/>
        </w:rPr>
        <w:t> </w:t>
      </w:r>
      <w:r>
        <w:rPr>
          <w:sz w:val="24"/>
        </w:rPr>
        <w:t>or</w:t>
      </w:r>
      <w:r>
        <w:rPr>
          <w:spacing w:val="40"/>
          <w:sz w:val="24"/>
        </w:rPr>
        <w:t> </w:t>
      </w:r>
      <w:r>
        <w:rPr>
          <w:sz w:val="24"/>
        </w:rPr>
        <w:t>store/;</w:t>
      </w:r>
    </w:p>
    <w:p>
      <w:pPr>
        <w:pStyle w:val="ListParagraph"/>
        <w:numPr>
          <w:ilvl w:val="2"/>
          <w:numId w:val="263"/>
        </w:numPr>
        <w:tabs>
          <w:tab w:pos="1714" w:val="left" w:leader="none"/>
        </w:tabs>
        <w:spacing w:line="240" w:lineRule="auto" w:before="0" w:after="0"/>
        <w:ind w:left="1313" w:right="783" w:firstLine="0"/>
        <w:jc w:val="both"/>
        <w:rPr>
          <w:sz w:val="24"/>
        </w:rPr>
      </w:pPr>
      <w:r>
        <w:rPr>
          <w:sz w:val="24"/>
        </w:rPr>
        <w:t>all the walls, containing the openings for light and ventilation fully exposed</w:t>
      </w:r>
      <w:r>
        <w:rPr>
          <w:spacing w:val="40"/>
          <w:sz w:val="24"/>
        </w:rPr>
        <w:t> </w:t>
      </w:r>
      <w:r>
        <w:rPr>
          <w:sz w:val="24"/>
        </w:rPr>
        <w:t>to</w:t>
      </w:r>
      <w:r>
        <w:rPr>
          <w:spacing w:val="40"/>
          <w:sz w:val="24"/>
        </w:rPr>
        <w:t> </w:t>
      </w:r>
      <w:r>
        <w:rPr>
          <w:sz w:val="24"/>
        </w:rPr>
        <w:t>an</w:t>
      </w:r>
      <w:r>
        <w:rPr>
          <w:spacing w:val="40"/>
          <w:sz w:val="24"/>
        </w:rPr>
        <w:t> </w:t>
      </w:r>
      <w:r>
        <w:rPr>
          <w:sz w:val="24"/>
        </w:rPr>
        <w:t>exterior</w:t>
      </w:r>
      <w:r>
        <w:rPr>
          <w:spacing w:val="40"/>
          <w:sz w:val="24"/>
        </w:rPr>
        <w:t> </w:t>
      </w:r>
      <w:r>
        <w:rPr>
          <w:sz w:val="24"/>
        </w:rPr>
        <w:t>open</w:t>
      </w:r>
      <w:r>
        <w:rPr>
          <w:spacing w:val="40"/>
          <w:sz w:val="24"/>
        </w:rPr>
        <w:t> </w:t>
      </w:r>
      <w:r>
        <w:rPr>
          <w:sz w:val="24"/>
        </w:rPr>
        <w:t>space</w:t>
      </w:r>
      <w:r>
        <w:rPr>
          <w:spacing w:val="40"/>
          <w:sz w:val="24"/>
        </w:rPr>
        <w:t> </w:t>
      </w:r>
      <w:r>
        <w:rPr>
          <w:sz w:val="24"/>
        </w:rPr>
        <w:t>either</w:t>
      </w:r>
      <w:r>
        <w:rPr>
          <w:spacing w:val="40"/>
          <w:sz w:val="24"/>
        </w:rPr>
        <w:t> </w:t>
      </w:r>
      <w:r>
        <w:rPr>
          <w:sz w:val="24"/>
        </w:rPr>
        <w:t>directly</w:t>
      </w:r>
      <w:r>
        <w:rPr>
          <w:spacing w:val="40"/>
          <w:sz w:val="24"/>
        </w:rPr>
        <w:t> </w:t>
      </w:r>
      <w:r>
        <w:rPr>
          <w:sz w:val="24"/>
        </w:rPr>
        <w:t>or</w:t>
      </w:r>
      <w:r>
        <w:rPr>
          <w:spacing w:val="40"/>
          <w:sz w:val="24"/>
        </w:rPr>
        <w:t> </w:t>
      </w:r>
      <w:r>
        <w:rPr>
          <w:sz w:val="24"/>
        </w:rPr>
        <w:t>through</w:t>
      </w:r>
      <w:r>
        <w:rPr>
          <w:spacing w:val="40"/>
          <w:sz w:val="24"/>
        </w:rPr>
        <w:t> </w:t>
      </w:r>
      <w:r>
        <w:rPr>
          <w:sz w:val="24"/>
        </w:rPr>
        <w:t>a</w:t>
      </w:r>
      <w:r>
        <w:rPr>
          <w:spacing w:val="80"/>
          <w:sz w:val="24"/>
        </w:rPr>
        <w:t> </w:t>
      </w:r>
      <w:r>
        <w:rPr>
          <w:sz w:val="24"/>
        </w:rPr>
        <w:t>balcony not</w:t>
      </w:r>
      <w:r>
        <w:rPr>
          <w:spacing w:val="40"/>
          <w:sz w:val="24"/>
        </w:rPr>
        <w:t> </w:t>
      </w:r>
      <w:r>
        <w:rPr>
          <w:sz w:val="24"/>
        </w:rPr>
        <w:t>exceeding</w:t>
      </w:r>
      <w:r>
        <w:rPr>
          <w:spacing w:val="40"/>
          <w:sz w:val="24"/>
        </w:rPr>
        <w:t> </w:t>
      </w:r>
      <w:r>
        <w:rPr>
          <w:sz w:val="24"/>
        </w:rPr>
        <w:t>2m.</w:t>
      </w:r>
      <w:r>
        <w:rPr>
          <w:spacing w:val="40"/>
          <w:sz w:val="24"/>
        </w:rPr>
        <w:t> </w:t>
      </w:r>
      <w:r>
        <w:rPr>
          <w:sz w:val="24"/>
        </w:rPr>
        <w:t>in</w:t>
      </w:r>
      <w:r>
        <w:rPr>
          <w:spacing w:val="40"/>
          <w:sz w:val="24"/>
        </w:rPr>
        <w:t> </w:t>
      </w:r>
      <w:r>
        <w:rPr>
          <w:sz w:val="24"/>
        </w:rPr>
        <w:t>width</w:t>
      </w:r>
      <w:r>
        <w:rPr>
          <w:spacing w:val="40"/>
          <w:sz w:val="24"/>
        </w:rPr>
        <w:t> </w:t>
      </w:r>
      <w:r>
        <w:rPr>
          <w:sz w:val="24"/>
        </w:rPr>
        <w:t>provided</w:t>
      </w:r>
      <w:r>
        <w:rPr>
          <w:spacing w:val="40"/>
          <w:sz w:val="24"/>
        </w:rPr>
        <w:t> </w:t>
      </w:r>
      <w:r>
        <w:rPr>
          <w:sz w:val="24"/>
        </w:rPr>
        <w:t>that</w:t>
      </w:r>
      <w:r>
        <w:rPr>
          <w:spacing w:val="40"/>
          <w:sz w:val="24"/>
        </w:rPr>
        <w:t> </w:t>
      </w:r>
      <w:r>
        <w:rPr>
          <w:sz w:val="24"/>
        </w:rPr>
        <w:t>a</w:t>
      </w:r>
      <w:r>
        <w:rPr>
          <w:spacing w:val="40"/>
          <w:sz w:val="24"/>
        </w:rPr>
        <w:t> </w:t>
      </w:r>
      <w:r>
        <w:rPr>
          <w:sz w:val="24"/>
        </w:rPr>
        <w:t>room</w:t>
      </w:r>
      <w:r>
        <w:rPr>
          <w:spacing w:val="40"/>
          <w:sz w:val="24"/>
        </w:rPr>
        <w:t> </w:t>
      </w:r>
      <w:r>
        <w:rPr>
          <w:sz w:val="24"/>
        </w:rPr>
        <w:t>meant</w:t>
      </w:r>
      <w:r>
        <w:rPr>
          <w:spacing w:val="40"/>
          <w:sz w:val="24"/>
        </w:rPr>
        <w:t> </w:t>
      </w:r>
      <w:r>
        <w:rPr>
          <w:sz w:val="24"/>
        </w:rPr>
        <w:t>for</w:t>
      </w:r>
      <w:r>
        <w:rPr>
          <w:spacing w:val="40"/>
          <w:sz w:val="24"/>
        </w:rPr>
        <w:t> </w:t>
      </w:r>
      <w:r>
        <w:rPr>
          <w:spacing w:val="10"/>
          <w:sz w:val="24"/>
        </w:rPr>
        <w:t>non- </w:t>
      </w:r>
      <w:r>
        <w:rPr>
          <w:sz w:val="24"/>
        </w:rPr>
        <w:t>residential</w:t>
      </w:r>
      <w:r>
        <w:rPr>
          <w:spacing w:val="40"/>
          <w:sz w:val="24"/>
        </w:rPr>
        <w:t> </w:t>
      </w:r>
      <w:r>
        <w:rPr>
          <w:sz w:val="24"/>
        </w:rPr>
        <w:t>user</w:t>
      </w:r>
      <w:r>
        <w:rPr>
          <w:spacing w:val="40"/>
          <w:sz w:val="24"/>
        </w:rPr>
        <w:t> </w:t>
      </w:r>
      <w:r>
        <w:rPr>
          <w:sz w:val="24"/>
        </w:rPr>
        <w:t>shall</w:t>
      </w:r>
      <w:r>
        <w:rPr>
          <w:spacing w:val="40"/>
          <w:sz w:val="24"/>
        </w:rPr>
        <w:t> </w:t>
      </w:r>
      <w:r>
        <w:rPr>
          <w:sz w:val="24"/>
        </w:rPr>
        <w:t>be</w:t>
      </w:r>
      <w:r>
        <w:rPr>
          <w:spacing w:val="40"/>
          <w:sz w:val="24"/>
        </w:rPr>
        <w:t> </w:t>
      </w:r>
      <w:r>
        <w:rPr>
          <w:sz w:val="24"/>
        </w:rPr>
        <w:t>considered</w:t>
      </w:r>
      <w:r>
        <w:rPr>
          <w:spacing w:val="40"/>
          <w:sz w:val="24"/>
        </w:rPr>
        <w:t> </w:t>
      </w:r>
      <w:r>
        <w:rPr>
          <w:sz w:val="24"/>
        </w:rPr>
        <w:t>as</w:t>
      </w:r>
      <w:r>
        <w:rPr>
          <w:spacing w:val="40"/>
          <w:sz w:val="24"/>
        </w:rPr>
        <w:t> </w:t>
      </w:r>
      <w:r>
        <w:rPr>
          <w:sz w:val="24"/>
        </w:rPr>
        <w:t>adequately</w:t>
      </w:r>
      <w:r>
        <w:rPr>
          <w:spacing w:val="40"/>
          <w:sz w:val="24"/>
        </w:rPr>
        <w:t> </w:t>
      </w:r>
      <w:r>
        <w:rPr>
          <w:sz w:val="24"/>
        </w:rPr>
        <w:t>lighted</w:t>
      </w:r>
      <w:r>
        <w:rPr>
          <w:spacing w:val="40"/>
          <w:sz w:val="24"/>
        </w:rPr>
        <w:t> </w:t>
      </w:r>
      <w:r>
        <w:rPr>
          <w:sz w:val="24"/>
        </w:rPr>
        <w:t>and</w:t>
      </w:r>
      <w:r>
        <w:rPr>
          <w:spacing w:val="40"/>
          <w:sz w:val="24"/>
        </w:rPr>
        <w:t> </w:t>
      </w:r>
      <w:r>
        <w:rPr>
          <w:sz w:val="24"/>
        </w:rPr>
        <w:t>ventilated</w:t>
      </w:r>
      <w:r>
        <w:rPr>
          <w:spacing w:val="80"/>
          <w:sz w:val="24"/>
        </w:rPr>
        <w:t> </w:t>
      </w:r>
      <w:r>
        <w:rPr>
          <w:sz w:val="24"/>
        </w:rPr>
        <w:t>if</w:t>
      </w:r>
      <w:r>
        <w:rPr>
          <w:spacing w:val="40"/>
          <w:sz w:val="24"/>
        </w:rPr>
        <w:t> </w:t>
      </w:r>
      <w:r>
        <w:rPr>
          <w:sz w:val="24"/>
        </w:rPr>
        <w:t>its</w:t>
      </w:r>
      <w:r>
        <w:rPr>
          <w:spacing w:val="40"/>
          <w:sz w:val="24"/>
        </w:rPr>
        <w:t> </w:t>
      </w:r>
      <w:r>
        <w:rPr>
          <w:sz w:val="24"/>
        </w:rPr>
        <w:t>depth</w:t>
      </w:r>
      <w:r>
        <w:rPr>
          <w:spacing w:val="40"/>
          <w:sz w:val="24"/>
        </w:rPr>
        <w:t> </w:t>
      </w:r>
      <w:r>
        <w:rPr>
          <w:sz w:val="24"/>
        </w:rPr>
        <w:t>from</w:t>
      </w:r>
      <w:r>
        <w:rPr>
          <w:spacing w:val="40"/>
          <w:sz w:val="24"/>
        </w:rPr>
        <w:t> </w:t>
      </w:r>
      <w:r>
        <w:rPr>
          <w:sz w:val="24"/>
        </w:rPr>
        <w:t>the</w:t>
      </w:r>
      <w:r>
        <w:rPr>
          <w:spacing w:val="40"/>
          <w:sz w:val="24"/>
        </w:rPr>
        <w:t> </w:t>
      </w:r>
      <w:r>
        <w:rPr>
          <w:sz w:val="24"/>
        </w:rPr>
        <w:t>side</w:t>
      </w:r>
      <w:r>
        <w:rPr>
          <w:spacing w:val="40"/>
          <w:sz w:val="24"/>
        </w:rPr>
        <w:t> </w:t>
      </w:r>
      <w:r>
        <w:rPr>
          <w:sz w:val="24"/>
        </w:rPr>
        <w:t>abutting</w:t>
      </w:r>
      <w:r>
        <w:rPr>
          <w:spacing w:val="40"/>
          <w:sz w:val="24"/>
        </w:rPr>
        <w:t> </w:t>
      </w:r>
      <w:r>
        <w:rPr>
          <w:sz w:val="24"/>
        </w:rPr>
        <w:t>the</w:t>
      </w:r>
      <w:r>
        <w:rPr>
          <w:spacing w:val="40"/>
          <w:sz w:val="24"/>
        </w:rPr>
        <w:t> </w:t>
      </w:r>
      <w:r>
        <w:rPr>
          <w:sz w:val="24"/>
        </w:rPr>
        <w:t>required</w:t>
      </w:r>
      <w:r>
        <w:rPr>
          <w:spacing w:val="40"/>
          <w:sz w:val="24"/>
        </w:rPr>
        <w:t> </w:t>
      </w:r>
      <w:r>
        <w:rPr>
          <w:sz w:val="24"/>
        </w:rPr>
        <w:t>open</w:t>
      </w:r>
      <w:r>
        <w:rPr>
          <w:spacing w:val="40"/>
          <w:sz w:val="24"/>
        </w:rPr>
        <w:t> </w:t>
      </w:r>
      <w:r>
        <w:rPr>
          <w:sz w:val="24"/>
        </w:rPr>
        <w:t>space</w:t>
      </w:r>
      <w:r>
        <w:rPr>
          <w:spacing w:val="40"/>
          <w:sz w:val="24"/>
        </w:rPr>
        <w:t> </w:t>
      </w:r>
      <w:r>
        <w:rPr>
          <w:sz w:val="24"/>
        </w:rPr>
        <w:t>does</w:t>
      </w:r>
      <w:r>
        <w:rPr>
          <w:spacing w:val="40"/>
          <w:sz w:val="24"/>
        </w:rPr>
        <w:t> </w:t>
      </w:r>
      <w:r>
        <w:rPr>
          <w:sz w:val="24"/>
        </w:rPr>
        <w:t>not exceed</w:t>
      </w:r>
      <w:r>
        <w:rPr>
          <w:spacing w:val="40"/>
          <w:sz w:val="24"/>
        </w:rPr>
        <w:t> </w:t>
      </w:r>
      <w:r>
        <w:rPr>
          <w:sz w:val="24"/>
        </w:rPr>
        <w:t>12</w:t>
      </w:r>
      <w:r>
        <w:rPr>
          <w:spacing w:val="40"/>
          <w:sz w:val="24"/>
        </w:rPr>
        <w:t> </w:t>
      </w:r>
      <w:r>
        <w:rPr>
          <w:sz w:val="24"/>
        </w:rPr>
        <w:t>m</w:t>
      </w:r>
      <w:r>
        <w:rPr>
          <w:spacing w:val="40"/>
          <w:sz w:val="24"/>
        </w:rPr>
        <w:t> </w:t>
      </w:r>
      <w:r>
        <w:rPr>
          <w:sz w:val="24"/>
        </w:rPr>
        <w:t>and</w:t>
      </w:r>
      <w:r>
        <w:rPr>
          <w:spacing w:val="40"/>
          <w:sz w:val="24"/>
        </w:rPr>
        <w:t> </w:t>
      </w:r>
      <w:r>
        <w:rPr>
          <w:sz w:val="24"/>
        </w:rPr>
        <w:t>in</w:t>
      </w:r>
      <w:r>
        <w:rPr>
          <w:spacing w:val="40"/>
          <w:sz w:val="24"/>
        </w:rPr>
        <w:t> </w:t>
      </w:r>
      <w:r>
        <w:rPr>
          <w:sz w:val="24"/>
        </w:rPr>
        <w:t>case</w:t>
      </w:r>
      <w:r>
        <w:rPr>
          <w:spacing w:val="40"/>
          <w:sz w:val="24"/>
        </w:rPr>
        <w:t> </w:t>
      </w:r>
      <w:r>
        <w:rPr>
          <w:sz w:val="24"/>
        </w:rPr>
        <w:t>centrally</w:t>
      </w:r>
      <w:r>
        <w:rPr>
          <w:spacing w:val="40"/>
          <w:sz w:val="24"/>
        </w:rPr>
        <w:t> </w:t>
      </w:r>
      <w:r>
        <w:rPr>
          <w:spacing w:val="10"/>
          <w:sz w:val="24"/>
        </w:rPr>
        <w:t>air-</w:t>
      </w:r>
      <w:r>
        <w:rPr>
          <w:sz w:val="24"/>
        </w:rPr>
        <w:t>conditioned</w:t>
      </w:r>
      <w:r>
        <w:rPr>
          <w:spacing w:val="40"/>
          <w:sz w:val="24"/>
        </w:rPr>
        <w:t> </w:t>
      </w:r>
      <w:r>
        <w:rPr>
          <w:sz w:val="24"/>
        </w:rPr>
        <w:t>building</w:t>
      </w:r>
      <w:r>
        <w:rPr>
          <w:spacing w:val="40"/>
          <w:sz w:val="24"/>
        </w:rPr>
        <w:t> </w:t>
      </w:r>
      <w:r>
        <w:rPr>
          <w:sz w:val="24"/>
        </w:rPr>
        <w:t>may</w:t>
      </w:r>
      <w:r>
        <w:rPr>
          <w:spacing w:val="40"/>
          <w:sz w:val="24"/>
        </w:rPr>
        <w:t> </w:t>
      </w:r>
      <w:r>
        <w:rPr>
          <w:sz w:val="24"/>
        </w:rPr>
        <w:t>be allowed</w:t>
      </w:r>
      <w:r>
        <w:rPr>
          <w:spacing w:val="40"/>
          <w:sz w:val="24"/>
        </w:rPr>
        <w:t> </w:t>
      </w:r>
      <w:r>
        <w:rPr>
          <w:sz w:val="24"/>
        </w:rPr>
        <w:t>to</w:t>
      </w:r>
      <w:r>
        <w:rPr>
          <w:spacing w:val="40"/>
          <w:sz w:val="24"/>
        </w:rPr>
        <w:t> </w:t>
      </w:r>
      <w:r>
        <w:rPr>
          <w:sz w:val="24"/>
        </w:rPr>
        <w:t>be</w:t>
      </w:r>
      <w:r>
        <w:rPr>
          <w:spacing w:val="40"/>
          <w:sz w:val="24"/>
        </w:rPr>
        <w:t> </w:t>
      </w:r>
      <w:r>
        <w:rPr>
          <w:sz w:val="24"/>
        </w:rPr>
        <w:t>exceeded</w:t>
      </w:r>
      <w:r>
        <w:rPr>
          <w:spacing w:val="40"/>
          <w:sz w:val="24"/>
        </w:rPr>
        <w:t> </w:t>
      </w:r>
      <w:r>
        <w:rPr>
          <w:sz w:val="24"/>
        </w:rPr>
        <w:t>up</w:t>
      </w:r>
      <w:r>
        <w:rPr>
          <w:spacing w:val="40"/>
          <w:sz w:val="24"/>
        </w:rPr>
        <w:t> </w:t>
      </w:r>
      <w:r>
        <w:rPr>
          <w:sz w:val="24"/>
        </w:rPr>
        <w:t>to</w:t>
      </w:r>
      <w:r>
        <w:rPr>
          <w:spacing w:val="40"/>
          <w:sz w:val="24"/>
        </w:rPr>
        <w:t> </w:t>
      </w:r>
      <w:r>
        <w:rPr>
          <w:sz w:val="24"/>
        </w:rPr>
        <w:t>20</w:t>
      </w:r>
      <w:r>
        <w:rPr>
          <w:spacing w:val="40"/>
          <w:sz w:val="24"/>
        </w:rPr>
        <w:t> </w:t>
      </w:r>
      <w:r>
        <w:rPr>
          <w:sz w:val="24"/>
        </w:rPr>
        <w:t>m.</w:t>
      </w:r>
    </w:p>
    <w:p>
      <w:pPr>
        <w:pStyle w:val="ListParagraph"/>
        <w:numPr>
          <w:ilvl w:val="1"/>
          <w:numId w:val="263"/>
        </w:numPr>
        <w:tabs>
          <w:tab w:pos="2016" w:val="left" w:leader="none"/>
        </w:tabs>
        <w:spacing w:line="240" w:lineRule="auto" w:before="281" w:after="0"/>
        <w:ind w:left="1313" w:right="785" w:firstLine="0"/>
        <w:jc w:val="both"/>
        <w:rPr>
          <w:sz w:val="24"/>
        </w:rPr>
      </w:pPr>
      <w:r>
        <w:rPr>
          <w:i/>
          <w:sz w:val="24"/>
        </w:rPr>
        <w:t>Artificial ventilation shaft</w:t>
      </w:r>
      <w:r>
        <w:rPr>
          <w:sz w:val="24"/>
        </w:rPr>
        <w:t>- A bathroom, water closet, staircase or store/prayer</w:t>
      </w:r>
      <w:r>
        <w:rPr>
          <w:spacing w:val="40"/>
          <w:sz w:val="24"/>
        </w:rPr>
        <w:t> </w:t>
      </w:r>
      <w:r>
        <w:rPr>
          <w:sz w:val="24"/>
        </w:rPr>
        <w:t>room</w:t>
      </w:r>
      <w:r>
        <w:rPr>
          <w:spacing w:val="40"/>
          <w:sz w:val="24"/>
        </w:rPr>
        <w:t> </w:t>
      </w:r>
      <w:r>
        <w:rPr>
          <w:sz w:val="24"/>
        </w:rPr>
        <w:t>may</w:t>
      </w:r>
      <w:r>
        <w:rPr>
          <w:spacing w:val="40"/>
          <w:sz w:val="24"/>
        </w:rPr>
        <w:t> </w:t>
      </w:r>
      <w:r>
        <w:rPr>
          <w:sz w:val="24"/>
        </w:rPr>
        <w:t>abut</w:t>
      </w:r>
      <w:r>
        <w:rPr>
          <w:spacing w:val="40"/>
          <w:sz w:val="24"/>
        </w:rPr>
        <w:t> </w:t>
      </w:r>
      <w:r>
        <w:rPr>
          <w:sz w:val="24"/>
        </w:rPr>
        <w:t>on</w:t>
      </w:r>
      <w:r>
        <w:rPr>
          <w:spacing w:val="40"/>
          <w:sz w:val="24"/>
        </w:rPr>
        <w:t> </w:t>
      </w:r>
      <w:r>
        <w:rPr>
          <w:sz w:val="24"/>
        </w:rPr>
        <w:t>the</w:t>
      </w:r>
      <w:r>
        <w:rPr>
          <w:spacing w:val="40"/>
          <w:sz w:val="24"/>
        </w:rPr>
        <w:t> </w:t>
      </w:r>
      <w:r>
        <w:rPr>
          <w:sz w:val="24"/>
        </w:rPr>
        <w:t>ventilation</w:t>
      </w:r>
      <w:r>
        <w:rPr>
          <w:spacing w:val="40"/>
          <w:sz w:val="24"/>
        </w:rPr>
        <w:t> </w:t>
      </w:r>
      <w:r>
        <w:rPr>
          <w:sz w:val="24"/>
        </w:rPr>
        <w:t>shaft,</w:t>
      </w:r>
      <w:r>
        <w:rPr>
          <w:spacing w:val="40"/>
          <w:sz w:val="24"/>
        </w:rPr>
        <w:t> </w:t>
      </w:r>
      <w:r>
        <w:rPr>
          <w:sz w:val="24"/>
        </w:rPr>
        <w:t>the</w:t>
      </w:r>
      <w:r>
        <w:rPr>
          <w:spacing w:val="40"/>
          <w:sz w:val="24"/>
        </w:rPr>
        <w:t> </w:t>
      </w:r>
      <w:r>
        <w:rPr>
          <w:sz w:val="24"/>
        </w:rPr>
        <w:t>size</w:t>
      </w:r>
      <w:r>
        <w:rPr>
          <w:spacing w:val="40"/>
          <w:sz w:val="24"/>
        </w:rPr>
        <w:t> </w:t>
      </w:r>
      <w:r>
        <w:rPr>
          <w:sz w:val="24"/>
        </w:rPr>
        <w:t>of</w:t>
      </w:r>
      <w:r>
        <w:rPr>
          <w:spacing w:val="40"/>
          <w:sz w:val="24"/>
        </w:rPr>
        <w:t> </w:t>
      </w:r>
      <w:r>
        <w:rPr>
          <w:sz w:val="24"/>
        </w:rPr>
        <w:t>which 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the</w:t>
      </w:r>
      <w:r>
        <w:rPr>
          <w:spacing w:val="40"/>
          <w:sz w:val="24"/>
        </w:rPr>
        <w:t> </w:t>
      </w:r>
      <w:r>
        <w:rPr>
          <w:sz w:val="24"/>
        </w:rPr>
        <w:t>values</w:t>
      </w:r>
      <w:r>
        <w:rPr>
          <w:spacing w:val="40"/>
          <w:sz w:val="24"/>
        </w:rPr>
        <w:t> </w:t>
      </w:r>
      <w:r>
        <w:rPr>
          <w:sz w:val="24"/>
        </w:rPr>
        <w:t>given</w:t>
      </w:r>
      <w:r>
        <w:rPr>
          <w:spacing w:val="40"/>
          <w:sz w:val="24"/>
        </w:rPr>
        <w:t> </w:t>
      </w:r>
      <w:r>
        <w:rPr>
          <w:sz w:val="24"/>
        </w:rPr>
        <w:t>below:</w:t>
      </w:r>
    </w:p>
    <w:p>
      <w:pPr>
        <w:pStyle w:val="BodyText"/>
        <w:spacing w:before="49"/>
        <w:jc w:val="left"/>
        <w:rPr>
          <w:sz w:val="20"/>
        </w:rPr>
      </w:pPr>
    </w:p>
    <w:tbl>
      <w:tblPr>
        <w:tblW w:w="0" w:type="auto"/>
        <w:jc w:val="left"/>
        <w:tblInd w:w="16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54"/>
        <w:gridCol w:w="3118"/>
        <w:gridCol w:w="2249"/>
      </w:tblGrid>
      <w:tr>
        <w:trPr>
          <w:trHeight w:val="1165" w:hRule="atLeast"/>
        </w:trPr>
        <w:tc>
          <w:tcPr>
            <w:tcW w:w="2554" w:type="dxa"/>
            <w:shd w:val="clear" w:color="auto" w:fill="EDEBE0"/>
          </w:tcPr>
          <w:p>
            <w:pPr>
              <w:pStyle w:val="TableParagraph"/>
              <w:ind w:left="501" w:hanging="336"/>
              <w:rPr>
                <w:sz w:val="24"/>
              </w:rPr>
            </w:pPr>
            <w:r>
              <w:rPr>
                <w:sz w:val="24"/>
              </w:rPr>
              <w:t>Height</w:t>
            </w:r>
            <w:r>
              <w:rPr>
                <w:spacing w:val="-19"/>
                <w:sz w:val="24"/>
              </w:rPr>
              <w:t> </w:t>
            </w:r>
            <w:r>
              <w:rPr>
                <w:sz w:val="24"/>
              </w:rPr>
              <w:t>of</w:t>
            </w:r>
            <w:r>
              <w:rPr>
                <w:spacing w:val="-19"/>
                <w:sz w:val="24"/>
              </w:rPr>
              <w:t> </w:t>
            </w:r>
            <w:r>
              <w:rPr>
                <w:sz w:val="24"/>
              </w:rPr>
              <w:t>buildings in metres.(m)</w:t>
            </w:r>
          </w:p>
        </w:tc>
        <w:tc>
          <w:tcPr>
            <w:tcW w:w="3118" w:type="dxa"/>
            <w:shd w:val="clear" w:color="auto" w:fill="EDEBE0"/>
          </w:tcPr>
          <w:p>
            <w:pPr>
              <w:pStyle w:val="TableParagraph"/>
              <w:ind w:left="175" w:right="161"/>
              <w:jc w:val="center"/>
              <w:rPr>
                <w:sz w:val="24"/>
              </w:rPr>
            </w:pPr>
            <w:r>
              <w:rPr>
                <w:sz w:val="24"/>
              </w:rPr>
              <w:t>Cross-section of ventilation</w:t>
            </w:r>
            <w:r>
              <w:rPr>
                <w:spacing w:val="-13"/>
                <w:sz w:val="24"/>
              </w:rPr>
              <w:t> </w:t>
            </w:r>
            <w:r>
              <w:rPr>
                <w:sz w:val="24"/>
              </w:rPr>
              <w:t>shaft</w:t>
            </w:r>
            <w:r>
              <w:rPr>
                <w:spacing w:val="-13"/>
                <w:sz w:val="24"/>
              </w:rPr>
              <w:t> </w:t>
            </w:r>
            <w:r>
              <w:rPr>
                <w:sz w:val="24"/>
              </w:rPr>
              <w:t>in</w:t>
            </w:r>
            <w:r>
              <w:rPr>
                <w:spacing w:val="-13"/>
                <w:sz w:val="24"/>
              </w:rPr>
              <w:t> </w:t>
            </w:r>
            <w:r>
              <w:rPr>
                <w:sz w:val="24"/>
              </w:rPr>
              <w:t>sq. </w:t>
            </w:r>
            <w:r>
              <w:rPr>
                <w:spacing w:val="-10"/>
                <w:sz w:val="24"/>
              </w:rPr>
              <w:t>m</w:t>
            </w:r>
          </w:p>
        </w:tc>
        <w:tc>
          <w:tcPr>
            <w:tcW w:w="2249" w:type="dxa"/>
            <w:shd w:val="clear" w:color="auto" w:fill="EDEBE0"/>
          </w:tcPr>
          <w:p>
            <w:pPr>
              <w:pStyle w:val="TableParagraph"/>
              <w:ind w:left="14"/>
              <w:jc w:val="center"/>
              <w:rPr>
                <w:sz w:val="24"/>
              </w:rPr>
            </w:pPr>
            <w:r>
              <w:rPr>
                <w:spacing w:val="-2"/>
                <w:sz w:val="24"/>
              </w:rPr>
              <w:t>Minimum </w:t>
            </w:r>
            <w:r>
              <w:rPr>
                <w:sz w:val="24"/>
              </w:rPr>
              <w:t>dimension</w:t>
            </w:r>
            <w:r>
              <w:rPr>
                <w:spacing w:val="-19"/>
                <w:sz w:val="24"/>
              </w:rPr>
              <w:t> </w:t>
            </w:r>
            <w:r>
              <w:rPr>
                <w:sz w:val="24"/>
              </w:rPr>
              <w:t>of</w:t>
            </w:r>
            <w:r>
              <w:rPr>
                <w:spacing w:val="-19"/>
                <w:sz w:val="24"/>
              </w:rPr>
              <w:t> </w:t>
            </w:r>
            <w:r>
              <w:rPr>
                <w:sz w:val="24"/>
              </w:rPr>
              <w:t>one side of shaft inmetres (m).</w:t>
            </w:r>
          </w:p>
        </w:tc>
      </w:tr>
      <w:tr>
        <w:trPr>
          <w:trHeight w:val="604" w:hRule="atLeast"/>
        </w:trPr>
        <w:tc>
          <w:tcPr>
            <w:tcW w:w="2554" w:type="dxa"/>
          </w:tcPr>
          <w:p>
            <w:pPr>
              <w:pStyle w:val="TableParagraph"/>
              <w:spacing w:before="40"/>
              <w:ind w:left="13"/>
              <w:jc w:val="center"/>
              <w:rPr>
                <w:sz w:val="24"/>
              </w:rPr>
            </w:pPr>
            <w:r>
              <w:rPr>
                <w:spacing w:val="-2"/>
                <w:sz w:val="24"/>
              </w:rPr>
              <w:t>Upto12</w:t>
            </w:r>
          </w:p>
        </w:tc>
        <w:tc>
          <w:tcPr>
            <w:tcW w:w="3118" w:type="dxa"/>
          </w:tcPr>
          <w:p>
            <w:pPr>
              <w:pStyle w:val="TableParagraph"/>
              <w:spacing w:line="281" w:lineRule="exact"/>
              <w:ind w:left="175" w:right="164"/>
              <w:jc w:val="center"/>
              <w:rPr>
                <w:sz w:val="24"/>
              </w:rPr>
            </w:pPr>
            <w:r>
              <w:rPr>
                <w:spacing w:val="-5"/>
                <w:sz w:val="24"/>
              </w:rPr>
              <w:t>2.8</w:t>
            </w:r>
          </w:p>
        </w:tc>
        <w:tc>
          <w:tcPr>
            <w:tcW w:w="2249" w:type="dxa"/>
          </w:tcPr>
          <w:p>
            <w:pPr>
              <w:pStyle w:val="TableParagraph"/>
              <w:spacing w:line="281" w:lineRule="exact"/>
              <w:ind w:left="14" w:right="3"/>
              <w:jc w:val="center"/>
              <w:rPr>
                <w:sz w:val="24"/>
              </w:rPr>
            </w:pPr>
            <w:r>
              <w:rPr>
                <w:spacing w:val="-5"/>
                <w:sz w:val="24"/>
              </w:rPr>
              <w:t>1.2</w:t>
            </w:r>
          </w:p>
        </w:tc>
      </w:tr>
      <w:tr>
        <w:trPr>
          <w:trHeight w:val="601" w:hRule="atLeast"/>
        </w:trPr>
        <w:tc>
          <w:tcPr>
            <w:tcW w:w="2554" w:type="dxa"/>
          </w:tcPr>
          <w:p>
            <w:pPr>
              <w:pStyle w:val="TableParagraph"/>
              <w:spacing w:before="40"/>
              <w:ind w:left="13"/>
              <w:jc w:val="center"/>
              <w:rPr>
                <w:sz w:val="24"/>
              </w:rPr>
            </w:pPr>
            <w:r>
              <w:rPr>
                <w:spacing w:val="-2"/>
                <w:sz w:val="24"/>
              </w:rPr>
              <w:t>Upto18</w:t>
            </w:r>
          </w:p>
        </w:tc>
        <w:tc>
          <w:tcPr>
            <w:tcW w:w="3118" w:type="dxa"/>
          </w:tcPr>
          <w:p>
            <w:pPr>
              <w:pStyle w:val="TableParagraph"/>
              <w:spacing w:line="281" w:lineRule="exact"/>
              <w:ind w:left="175" w:right="164"/>
              <w:jc w:val="center"/>
              <w:rPr>
                <w:sz w:val="24"/>
              </w:rPr>
            </w:pPr>
            <w:r>
              <w:rPr>
                <w:spacing w:val="-5"/>
                <w:sz w:val="24"/>
              </w:rPr>
              <w:t>4.0</w:t>
            </w:r>
          </w:p>
        </w:tc>
        <w:tc>
          <w:tcPr>
            <w:tcW w:w="2249" w:type="dxa"/>
          </w:tcPr>
          <w:p>
            <w:pPr>
              <w:pStyle w:val="TableParagraph"/>
              <w:spacing w:line="281" w:lineRule="exact"/>
              <w:ind w:left="14" w:right="3"/>
              <w:jc w:val="center"/>
              <w:rPr>
                <w:sz w:val="24"/>
              </w:rPr>
            </w:pPr>
            <w:r>
              <w:rPr>
                <w:spacing w:val="-5"/>
                <w:sz w:val="24"/>
              </w:rPr>
              <w:t>1.5</w:t>
            </w:r>
          </w:p>
        </w:tc>
      </w:tr>
      <w:tr>
        <w:trPr>
          <w:trHeight w:val="604" w:hRule="atLeast"/>
        </w:trPr>
        <w:tc>
          <w:tcPr>
            <w:tcW w:w="2554" w:type="dxa"/>
          </w:tcPr>
          <w:p>
            <w:pPr>
              <w:pStyle w:val="TableParagraph"/>
              <w:spacing w:before="42"/>
              <w:ind w:left="13"/>
              <w:jc w:val="center"/>
              <w:rPr>
                <w:sz w:val="24"/>
              </w:rPr>
            </w:pPr>
            <w:r>
              <w:rPr>
                <w:spacing w:val="-2"/>
                <w:sz w:val="24"/>
              </w:rPr>
              <w:t>Upto24</w:t>
            </w:r>
          </w:p>
        </w:tc>
        <w:tc>
          <w:tcPr>
            <w:tcW w:w="3118" w:type="dxa"/>
          </w:tcPr>
          <w:p>
            <w:pPr>
              <w:pStyle w:val="TableParagraph"/>
              <w:spacing w:before="1"/>
              <w:ind w:left="175" w:right="164"/>
              <w:jc w:val="center"/>
              <w:rPr>
                <w:sz w:val="24"/>
              </w:rPr>
            </w:pPr>
            <w:r>
              <w:rPr>
                <w:spacing w:val="-5"/>
                <w:sz w:val="24"/>
              </w:rPr>
              <w:t>5.4</w:t>
            </w:r>
          </w:p>
        </w:tc>
        <w:tc>
          <w:tcPr>
            <w:tcW w:w="2249" w:type="dxa"/>
          </w:tcPr>
          <w:p>
            <w:pPr>
              <w:pStyle w:val="TableParagraph"/>
              <w:spacing w:before="1"/>
              <w:ind w:left="14" w:right="3"/>
              <w:jc w:val="center"/>
              <w:rPr>
                <w:sz w:val="24"/>
              </w:rPr>
            </w:pPr>
            <w:r>
              <w:rPr>
                <w:spacing w:val="-5"/>
                <w:sz w:val="24"/>
              </w:rPr>
              <w:t>1.8</w:t>
            </w:r>
          </w:p>
        </w:tc>
      </w:tr>
      <w:tr>
        <w:trPr>
          <w:trHeight w:val="604" w:hRule="atLeast"/>
        </w:trPr>
        <w:tc>
          <w:tcPr>
            <w:tcW w:w="2554" w:type="dxa"/>
            <w:tcBorders>
              <w:bottom w:val="single" w:sz="4" w:space="0" w:color="000000"/>
            </w:tcBorders>
          </w:tcPr>
          <w:p>
            <w:pPr>
              <w:pStyle w:val="TableParagraph"/>
              <w:spacing w:before="40"/>
              <w:ind w:left="13"/>
              <w:jc w:val="center"/>
              <w:rPr>
                <w:sz w:val="24"/>
              </w:rPr>
            </w:pPr>
            <w:r>
              <w:rPr>
                <w:spacing w:val="-2"/>
                <w:sz w:val="24"/>
              </w:rPr>
              <w:t>Upto30</w:t>
            </w:r>
          </w:p>
        </w:tc>
        <w:tc>
          <w:tcPr>
            <w:tcW w:w="3118" w:type="dxa"/>
            <w:tcBorders>
              <w:bottom w:val="single" w:sz="4" w:space="0" w:color="000000"/>
            </w:tcBorders>
          </w:tcPr>
          <w:p>
            <w:pPr>
              <w:pStyle w:val="TableParagraph"/>
              <w:spacing w:line="281" w:lineRule="exact"/>
              <w:ind w:left="175" w:right="164"/>
              <w:jc w:val="center"/>
              <w:rPr>
                <w:sz w:val="24"/>
              </w:rPr>
            </w:pPr>
            <w:r>
              <w:rPr>
                <w:spacing w:val="-5"/>
                <w:sz w:val="24"/>
              </w:rPr>
              <w:t>8.0</w:t>
            </w:r>
          </w:p>
        </w:tc>
        <w:tc>
          <w:tcPr>
            <w:tcW w:w="2249" w:type="dxa"/>
            <w:tcBorders>
              <w:bottom w:val="single" w:sz="4" w:space="0" w:color="000000"/>
            </w:tcBorders>
          </w:tcPr>
          <w:p>
            <w:pPr>
              <w:pStyle w:val="TableParagraph"/>
              <w:spacing w:line="281" w:lineRule="exact"/>
              <w:ind w:left="14" w:right="3"/>
              <w:jc w:val="center"/>
              <w:rPr>
                <w:sz w:val="24"/>
              </w:rPr>
            </w:pPr>
            <w:r>
              <w:rPr>
                <w:spacing w:val="-5"/>
                <w:sz w:val="24"/>
              </w:rPr>
              <w:t>2.4</w:t>
            </w:r>
          </w:p>
        </w:tc>
      </w:tr>
      <w:tr>
        <w:trPr>
          <w:trHeight w:val="371" w:hRule="atLeast"/>
        </w:trPr>
        <w:tc>
          <w:tcPr>
            <w:tcW w:w="2554" w:type="dxa"/>
            <w:tcBorders>
              <w:top w:val="single" w:sz="4" w:space="0" w:color="000000"/>
            </w:tcBorders>
          </w:tcPr>
          <w:p>
            <w:pPr>
              <w:pStyle w:val="TableParagraph"/>
              <w:spacing w:before="40"/>
              <w:ind w:left="13"/>
              <w:jc w:val="center"/>
              <w:rPr>
                <w:sz w:val="24"/>
              </w:rPr>
            </w:pPr>
            <w:r>
              <w:rPr>
                <w:sz w:val="24"/>
              </w:rPr>
              <w:t>Above </w:t>
            </w:r>
            <w:r>
              <w:rPr>
                <w:spacing w:val="-5"/>
                <w:sz w:val="24"/>
              </w:rPr>
              <w:t>30</w:t>
            </w:r>
          </w:p>
        </w:tc>
        <w:tc>
          <w:tcPr>
            <w:tcW w:w="3118" w:type="dxa"/>
            <w:tcBorders>
              <w:top w:val="single" w:sz="4" w:space="0" w:color="000000"/>
            </w:tcBorders>
          </w:tcPr>
          <w:p>
            <w:pPr>
              <w:pStyle w:val="TableParagraph"/>
              <w:spacing w:line="281" w:lineRule="exact"/>
              <w:ind w:left="175" w:right="164"/>
              <w:jc w:val="center"/>
              <w:rPr>
                <w:sz w:val="24"/>
              </w:rPr>
            </w:pPr>
            <w:r>
              <w:rPr>
                <w:spacing w:val="-5"/>
                <w:sz w:val="24"/>
              </w:rPr>
              <w:t>9.0</w:t>
            </w:r>
          </w:p>
        </w:tc>
        <w:tc>
          <w:tcPr>
            <w:tcW w:w="2249" w:type="dxa"/>
            <w:tcBorders>
              <w:top w:val="single" w:sz="4" w:space="0" w:color="000000"/>
            </w:tcBorders>
          </w:tcPr>
          <w:p>
            <w:pPr>
              <w:pStyle w:val="TableParagraph"/>
              <w:spacing w:line="281" w:lineRule="exact"/>
              <w:ind w:left="14" w:right="3"/>
              <w:jc w:val="center"/>
              <w:rPr>
                <w:sz w:val="24"/>
              </w:rPr>
            </w:pPr>
            <w:r>
              <w:rPr>
                <w:spacing w:val="-5"/>
                <w:sz w:val="24"/>
              </w:rPr>
              <w:t>3.0</w:t>
            </w:r>
          </w:p>
        </w:tc>
      </w:tr>
    </w:tbl>
    <w:p>
      <w:pPr>
        <w:pStyle w:val="BodyText"/>
        <w:spacing w:before="3"/>
        <w:jc w:val="left"/>
      </w:pPr>
    </w:p>
    <w:p>
      <w:pPr>
        <w:pStyle w:val="BodyText"/>
        <w:ind w:left="1493" w:right="784" w:hanging="180"/>
      </w:pPr>
      <w:r>
        <w:rPr/>
        <w:t>Mechanical ventilation system shall invariably be installed in such</w:t>
      </w:r>
      <w:r>
        <w:rPr>
          <w:spacing w:val="40"/>
        </w:rPr>
        <w:t> </w:t>
      </w:r>
      <w:r>
        <w:rPr/>
        <w:t>ventilation shafts.</w:t>
      </w:r>
      <w:r>
        <w:rPr>
          <w:spacing w:val="40"/>
        </w:rPr>
        <w:t> </w:t>
      </w:r>
      <w:r>
        <w:rPr/>
        <w:t>Further, such ventilation shaft shall be adequately accessible for </w:t>
      </w:r>
      <w:r>
        <w:rPr>
          <w:spacing w:val="9"/>
        </w:rPr>
        <w:t>maintenance.</w:t>
      </w:r>
    </w:p>
    <w:p>
      <w:pPr>
        <w:pStyle w:val="BodyText"/>
        <w:spacing w:after="0"/>
        <w:sectPr>
          <w:pgSz w:w="11910" w:h="16840"/>
          <w:pgMar w:header="1058" w:footer="1201" w:top="1500" w:bottom="1400" w:left="360" w:right="360"/>
        </w:sectPr>
      </w:pPr>
    </w:p>
    <w:p>
      <w:pPr>
        <w:pStyle w:val="BodyText"/>
        <w:jc w:val="left"/>
      </w:pPr>
    </w:p>
    <w:p>
      <w:pPr>
        <w:pStyle w:val="BodyText"/>
        <w:spacing w:before="70"/>
        <w:jc w:val="left"/>
      </w:pPr>
    </w:p>
    <w:p>
      <w:pPr>
        <w:pStyle w:val="ListParagraph"/>
        <w:numPr>
          <w:ilvl w:val="0"/>
          <w:numId w:val="286"/>
        </w:numPr>
        <w:tabs>
          <w:tab w:pos="1493" w:val="left" w:leader="none"/>
          <w:tab w:pos="1793" w:val="left" w:leader="none"/>
        </w:tabs>
        <w:spacing w:line="240" w:lineRule="auto" w:before="0" w:after="0"/>
        <w:ind w:left="1493" w:right="786" w:hanging="180"/>
        <w:jc w:val="both"/>
        <w:rPr>
          <w:sz w:val="24"/>
        </w:rPr>
      </w:pPr>
      <w:r>
        <w:rPr>
          <w:sz w:val="24"/>
        </w:rPr>
        <w:t>Artificial Lighting &amp; Mechanical </w:t>
      </w:r>
      <w:r>
        <w:rPr>
          <w:spacing w:val="9"/>
          <w:sz w:val="24"/>
        </w:rPr>
        <w:t>Ventilation-</w:t>
      </w:r>
      <w:r>
        <w:rPr>
          <w:spacing w:val="9"/>
          <w:sz w:val="24"/>
        </w:rPr>
        <w:t> </w:t>
      </w:r>
      <w:r>
        <w:rPr>
          <w:sz w:val="24"/>
        </w:rPr>
        <w:t>Where lighting and</w:t>
      </w:r>
      <w:r>
        <w:rPr>
          <w:spacing w:val="80"/>
          <w:sz w:val="24"/>
        </w:rPr>
        <w:t> </w:t>
      </w:r>
      <w:r>
        <w:rPr>
          <w:sz w:val="24"/>
        </w:rPr>
        <w:t>ventilation requirements are not met through </w:t>
      </w:r>
      <w:r>
        <w:rPr>
          <w:spacing w:val="10"/>
          <w:sz w:val="24"/>
        </w:rPr>
        <w:t>day-</w:t>
      </w:r>
      <w:r>
        <w:rPr>
          <w:sz w:val="24"/>
        </w:rPr>
        <w:t>lighting and natural ventilation,</w:t>
      </w:r>
      <w:r>
        <w:rPr>
          <w:spacing w:val="40"/>
          <w:sz w:val="24"/>
        </w:rPr>
        <w:t> </w:t>
      </w:r>
      <w:r>
        <w:rPr>
          <w:sz w:val="24"/>
        </w:rPr>
        <w:t>they</w:t>
      </w:r>
      <w:r>
        <w:rPr>
          <w:spacing w:val="40"/>
          <w:sz w:val="24"/>
        </w:rPr>
        <w:t> </w:t>
      </w:r>
      <w:r>
        <w:rPr>
          <w:sz w:val="24"/>
        </w:rPr>
        <w:t>shall</w:t>
      </w:r>
      <w:r>
        <w:rPr>
          <w:spacing w:val="40"/>
          <w:sz w:val="24"/>
        </w:rPr>
        <w:t> </w:t>
      </w:r>
      <w:r>
        <w:rPr>
          <w:sz w:val="24"/>
        </w:rPr>
        <w:t>be</w:t>
      </w:r>
      <w:r>
        <w:rPr>
          <w:spacing w:val="40"/>
          <w:sz w:val="24"/>
        </w:rPr>
        <w:t> </w:t>
      </w:r>
      <w:r>
        <w:rPr>
          <w:sz w:val="24"/>
        </w:rPr>
        <w:t>ensured</w:t>
      </w:r>
      <w:r>
        <w:rPr>
          <w:spacing w:val="40"/>
          <w:sz w:val="24"/>
        </w:rPr>
        <w:t> </w:t>
      </w:r>
      <w:r>
        <w:rPr>
          <w:sz w:val="24"/>
        </w:rPr>
        <w:t>through</w:t>
      </w:r>
      <w:r>
        <w:rPr>
          <w:spacing w:val="40"/>
          <w:sz w:val="24"/>
        </w:rPr>
        <w:t> </w:t>
      </w:r>
      <w:r>
        <w:rPr>
          <w:sz w:val="24"/>
        </w:rPr>
        <w:t>artificial</w:t>
      </w:r>
      <w:r>
        <w:rPr>
          <w:spacing w:val="40"/>
          <w:sz w:val="24"/>
        </w:rPr>
        <w:t> </w:t>
      </w:r>
      <w:r>
        <w:rPr>
          <w:sz w:val="24"/>
        </w:rPr>
        <w:t>lighting</w:t>
      </w:r>
      <w:r>
        <w:rPr>
          <w:spacing w:val="40"/>
          <w:sz w:val="24"/>
        </w:rPr>
        <w:t> </w:t>
      </w:r>
      <w:r>
        <w:rPr>
          <w:sz w:val="24"/>
        </w:rPr>
        <w:t>and ventilation</w:t>
      </w:r>
      <w:r>
        <w:rPr>
          <w:spacing w:val="40"/>
          <w:sz w:val="24"/>
        </w:rPr>
        <w:t> </w:t>
      </w:r>
      <w:r>
        <w:rPr>
          <w:sz w:val="24"/>
        </w:rPr>
        <w:t>in</w:t>
      </w:r>
      <w:r>
        <w:rPr>
          <w:spacing w:val="40"/>
          <w:sz w:val="24"/>
        </w:rPr>
        <w:t> </w:t>
      </w:r>
      <w:r>
        <w:rPr>
          <w:sz w:val="24"/>
        </w:rPr>
        <w:t>accordance</w:t>
      </w:r>
      <w:r>
        <w:rPr>
          <w:spacing w:val="40"/>
          <w:sz w:val="24"/>
        </w:rPr>
        <w:t> </w:t>
      </w:r>
      <w:r>
        <w:rPr>
          <w:sz w:val="24"/>
        </w:rPr>
        <w:t>with</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Part</w:t>
      </w:r>
      <w:r>
        <w:rPr>
          <w:spacing w:val="40"/>
          <w:sz w:val="24"/>
        </w:rPr>
        <w:t> </w:t>
      </w:r>
      <w:r>
        <w:rPr>
          <w:sz w:val="24"/>
        </w:rPr>
        <w:t>VIII,</w:t>
      </w:r>
      <w:r>
        <w:rPr>
          <w:spacing w:val="40"/>
          <w:sz w:val="24"/>
        </w:rPr>
        <w:t> </w:t>
      </w:r>
      <w:r>
        <w:rPr>
          <w:sz w:val="24"/>
        </w:rPr>
        <w:t>Building Service</w:t>
      </w:r>
      <w:r>
        <w:rPr>
          <w:spacing w:val="80"/>
          <w:sz w:val="24"/>
        </w:rPr>
        <w:t> </w:t>
      </w:r>
      <w:r>
        <w:rPr>
          <w:sz w:val="24"/>
        </w:rPr>
        <w:t>Section</w:t>
      </w:r>
      <w:r>
        <w:rPr>
          <w:spacing w:val="80"/>
          <w:sz w:val="24"/>
        </w:rPr>
        <w:t> </w:t>
      </w:r>
      <w:r>
        <w:rPr>
          <w:sz w:val="24"/>
        </w:rPr>
        <w:t>I,</w:t>
      </w:r>
      <w:r>
        <w:rPr>
          <w:spacing w:val="80"/>
          <w:sz w:val="24"/>
        </w:rPr>
        <w:t> </w:t>
      </w:r>
      <w:r>
        <w:rPr>
          <w:sz w:val="24"/>
        </w:rPr>
        <w:t>Lightning</w:t>
      </w:r>
      <w:r>
        <w:rPr>
          <w:spacing w:val="80"/>
          <w:sz w:val="24"/>
        </w:rPr>
        <w:t> </w:t>
      </w:r>
      <w:r>
        <w:rPr>
          <w:sz w:val="24"/>
        </w:rPr>
        <w:t>and</w:t>
      </w:r>
      <w:r>
        <w:rPr>
          <w:spacing w:val="80"/>
          <w:sz w:val="24"/>
        </w:rPr>
        <w:t> </w:t>
      </w:r>
      <w:r>
        <w:rPr>
          <w:sz w:val="24"/>
        </w:rPr>
        <w:t>Ventilation,</w:t>
      </w:r>
      <w:r>
        <w:rPr>
          <w:spacing w:val="80"/>
          <w:sz w:val="24"/>
        </w:rPr>
        <w:t> </w:t>
      </w:r>
      <w:r>
        <w:rPr>
          <w:sz w:val="24"/>
        </w:rPr>
        <w:t>National</w:t>
      </w:r>
      <w:r>
        <w:rPr>
          <w:spacing w:val="80"/>
          <w:sz w:val="24"/>
        </w:rPr>
        <w:t> </w:t>
      </w:r>
      <w:r>
        <w:rPr>
          <w:sz w:val="24"/>
        </w:rPr>
        <w:t>Building</w:t>
      </w:r>
      <w:r>
        <w:rPr>
          <w:spacing w:val="80"/>
          <w:sz w:val="24"/>
        </w:rPr>
        <w:t> </w:t>
      </w:r>
      <w:r>
        <w:rPr>
          <w:spacing w:val="9"/>
          <w:sz w:val="24"/>
        </w:rPr>
        <w:t>Code.</w:t>
      </w:r>
    </w:p>
    <w:p>
      <w:pPr>
        <w:pStyle w:val="BodyText"/>
        <w:spacing w:before="1"/>
        <w:ind w:left="1493" w:right="787" w:hanging="180"/>
      </w:pPr>
      <w:r>
        <w:rPr>
          <w:strike/>
        </w:rPr>
        <w:t>(4)</w:t>
      </w:r>
      <w:r>
        <w:rPr>
          <w:strike w:val="0"/>
          <w:spacing w:val="-20"/>
        </w:rPr>
        <w:t> </w:t>
      </w:r>
      <w:r>
        <w:rPr>
          <w:strike w:val="0"/>
        </w:rPr>
        <w:t>(3)</w:t>
      </w:r>
      <w:r>
        <w:rPr>
          <w:strike w:val="0"/>
          <w:spacing w:val="40"/>
        </w:rPr>
        <w:t> </w:t>
      </w:r>
      <w:r>
        <w:rPr>
          <w:strike w:val="0"/>
        </w:rPr>
        <w:t>In</w:t>
      </w:r>
      <w:r>
        <w:rPr>
          <w:strike w:val="0"/>
          <w:spacing w:val="40"/>
        </w:rPr>
        <w:t> </w:t>
      </w:r>
      <w:r>
        <w:rPr>
          <w:strike w:val="0"/>
        </w:rPr>
        <w:t>any</w:t>
      </w:r>
      <w:r>
        <w:rPr>
          <w:strike w:val="0"/>
          <w:spacing w:val="40"/>
        </w:rPr>
        <w:t> </w:t>
      </w:r>
      <w:r>
        <w:rPr>
          <w:strike w:val="0"/>
        </w:rPr>
        <w:t>residential</w:t>
      </w:r>
      <w:r>
        <w:rPr>
          <w:strike w:val="0"/>
          <w:spacing w:val="40"/>
        </w:rPr>
        <w:t> </w:t>
      </w:r>
      <w:r>
        <w:rPr>
          <w:strike w:val="0"/>
        </w:rPr>
        <w:t>hotel</w:t>
      </w:r>
      <w:r>
        <w:rPr>
          <w:strike w:val="0"/>
          <w:spacing w:val="40"/>
        </w:rPr>
        <w:t> </w:t>
      </w:r>
      <w:r>
        <w:rPr>
          <w:strike w:val="0"/>
        </w:rPr>
        <w:t>where</w:t>
      </w:r>
      <w:r>
        <w:rPr>
          <w:strike w:val="0"/>
          <w:spacing w:val="40"/>
        </w:rPr>
        <w:t> </w:t>
      </w:r>
      <w:r>
        <w:rPr>
          <w:strike w:val="0"/>
        </w:rPr>
        <w:t>toilets</w:t>
      </w:r>
      <w:r>
        <w:rPr>
          <w:strike w:val="0"/>
          <w:spacing w:val="40"/>
        </w:rPr>
        <w:t> </w:t>
      </w:r>
      <w:r>
        <w:rPr>
          <w:strike w:val="0"/>
        </w:rPr>
        <w:t>are</w:t>
      </w:r>
      <w:r>
        <w:rPr>
          <w:strike w:val="0"/>
          <w:spacing w:val="40"/>
        </w:rPr>
        <w:t> </w:t>
      </w:r>
      <w:r>
        <w:rPr>
          <w:strike w:val="0"/>
        </w:rPr>
        <w:t>provided</w:t>
      </w:r>
      <w:r>
        <w:rPr>
          <w:strike w:val="0"/>
          <w:spacing w:val="40"/>
        </w:rPr>
        <w:t> </w:t>
      </w:r>
      <w:r>
        <w:rPr>
          <w:strike w:val="0"/>
        </w:rPr>
        <w:t>with</w:t>
      </w:r>
      <w:r>
        <w:rPr>
          <w:strike w:val="0"/>
          <w:spacing w:val="40"/>
        </w:rPr>
        <w:t> </w:t>
      </w:r>
      <w:r>
        <w:rPr>
          <w:strike w:val="0"/>
        </w:rPr>
        <w:t>a mechanical</w:t>
      </w:r>
      <w:r>
        <w:rPr>
          <w:strike w:val="0"/>
          <w:spacing w:val="40"/>
        </w:rPr>
        <w:t> </w:t>
      </w:r>
      <w:r>
        <w:rPr>
          <w:strike w:val="0"/>
        </w:rPr>
        <w:t>ventilation</w:t>
      </w:r>
      <w:r>
        <w:rPr>
          <w:strike w:val="0"/>
          <w:spacing w:val="40"/>
        </w:rPr>
        <w:t> </w:t>
      </w:r>
      <w:r>
        <w:rPr>
          <w:strike w:val="0"/>
        </w:rPr>
        <w:t>system,</w:t>
      </w:r>
      <w:r>
        <w:rPr>
          <w:strike w:val="0"/>
          <w:spacing w:val="40"/>
        </w:rPr>
        <w:t> </w:t>
      </w:r>
      <w:r>
        <w:rPr>
          <w:strike w:val="0"/>
        </w:rPr>
        <w:t>the</w:t>
      </w:r>
      <w:r>
        <w:rPr>
          <w:strike w:val="0"/>
          <w:spacing w:val="40"/>
        </w:rPr>
        <w:t> </w:t>
      </w:r>
      <w:r>
        <w:rPr>
          <w:strike w:val="0"/>
        </w:rPr>
        <w:t>size</w:t>
      </w:r>
      <w:r>
        <w:rPr>
          <w:strike w:val="0"/>
          <w:spacing w:val="40"/>
        </w:rPr>
        <w:t> </w:t>
      </w:r>
      <w:r>
        <w:rPr>
          <w:strike w:val="0"/>
        </w:rPr>
        <w:t>of</w:t>
      </w:r>
      <w:r>
        <w:rPr>
          <w:strike w:val="0"/>
          <w:spacing w:val="40"/>
        </w:rPr>
        <w:t> </w:t>
      </w:r>
      <w:r>
        <w:rPr>
          <w:strike w:val="0"/>
        </w:rPr>
        <w:t>the</w:t>
      </w:r>
      <w:r>
        <w:rPr>
          <w:strike w:val="0"/>
          <w:spacing w:val="40"/>
        </w:rPr>
        <w:t> </w:t>
      </w:r>
      <w:r>
        <w:rPr>
          <w:strike w:val="0"/>
        </w:rPr>
        <w:t>ventilation</w:t>
      </w:r>
      <w:r>
        <w:rPr>
          <w:strike w:val="0"/>
          <w:spacing w:val="40"/>
        </w:rPr>
        <w:t> </w:t>
      </w:r>
      <w:r>
        <w:rPr>
          <w:strike w:val="0"/>
        </w:rPr>
        <w:t>shaft</w:t>
      </w:r>
      <w:r>
        <w:rPr>
          <w:strike w:val="0"/>
          <w:spacing w:val="40"/>
        </w:rPr>
        <w:t> </w:t>
      </w:r>
      <w:r>
        <w:rPr>
          <w:strike w:val="0"/>
        </w:rPr>
        <w:t>prescribed</w:t>
      </w:r>
      <w:r>
        <w:rPr>
          <w:strike w:val="0"/>
          <w:spacing w:val="40"/>
        </w:rPr>
        <w:t> </w:t>
      </w:r>
      <w:r>
        <w:rPr>
          <w:strike w:val="0"/>
        </w:rPr>
        <w:t>in</w:t>
      </w:r>
      <w:r>
        <w:rPr>
          <w:strike w:val="0"/>
          <w:spacing w:val="40"/>
        </w:rPr>
        <w:t> </w:t>
      </w:r>
      <w:r>
        <w:rPr>
          <w:strike w:val="0"/>
        </w:rPr>
        <w:t>this</w:t>
      </w:r>
      <w:r>
        <w:rPr>
          <w:strike w:val="0"/>
          <w:spacing w:val="40"/>
        </w:rPr>
        <w:t> </w:t>
      </w:r>
      <w:r>
        <w:rPr>
          <w:strike w:val="0"/>
        </w:rPr>
        <w:t>Regulation</w:t>
      </w:r>
      <w:r>
        <w:rPr>
          <w:strike w:val="0"/>
          <w:spacing w:val="40"/>
        </w:rPr>
        <w:t> </w:t>
      </w:r>
      <w:r>
        <w:rPr>
          <w:strike w:val="0"/>
        </w:rPr>
        <w:t>may</w:t>
      </w:r>
      <w:r>
        <w:rPr>
          <w:strike w:val="0"/>
          <w:spacing w:val="40"/>
        </w:rPr>
        <w:t> </w:t>
      </w:r>
      <w:r>
        <w:rPr>
          <w:strike w:val="0"/>
        </w:rPr>
        <w:t>be</w:t>
      </w:r>
      <w:r>
        <w:rPr>
          <w:strike w:val="0"/>
          <w:spacing w:val="40"/>
        </w:rPr>
        <w:t> </w:t>
      </w:r>
      <w:r>
        <w:rPr>
          <w:strike w:val="0"/>
        </w:rPr>
        <w:t>suitably</w:t>
      </w:r>
      <w:r>
        <w:rPr>
          <w:strike w:val="0"/>
          <w:spacing w:val="40"/>
        </w:rPr>
        <w:t> </w:t>
      </w:r>
      <w:r>
        <w:rPr>
          <w:strike w:val="0"/>
        </w:rPr>
        <w:t>relaxed</w:t>
      </w:r>
      <w:r>
        <w:rPr>
          <w:strike w:val="0"/>
          <w:spacing w:val="40"/>
        </w:rPr>
        <w:t> </w:t>
      </w:r>
      <w:r>
        <w:rPr>
          <w:strike w:val="0"/>
        </w:rPr>
        <w:t>bythe </w:t>
      </w:r>
      <w:r>
        <w:rPr>
          <w:strike w:val="0"/>
          <w:spacing w:val="7"/>
        </w:rPr>
        <w:t>Commissioner</w:t>
      </w:r>
    </w:p>
    <w:p>
      <w:pPr>
        <w:pStyle w:val="BodyText"/>
        <w:jc w:val="left"/>
      </w:pPr>
    </w:p>
    <w:p>
      <w:pPr>
        <w:pStyle w:val="BodyText"/>
        <w:spacing w:before="43"/>
        <w:jc w:val="left"/>
      </w:pPr>
    </w:p>
    <w:p>
      <w:pPr>
        <w:pStyle w:val="Heading3"/>
        <w:numPr>
          <w:ilvl w:val="0"/>
          <w:numId w:val="263"/>
        </w:numPr>
        <w:tabs>
          <w:tab w:pos="2213" w:val="left" w:leader="none"/>
        </w:tabs>
        <w:spacing w:line="240" w:lineRule="auto" w:before="0" w:after="0"/>
        <w:ind w:left="2213" w:right="0" w:hanging="1441"/>
        <w:jc w:val="left"/>
        <w:rPr>
          <w:i w:val="0"/>
        </w:rPr>
      </w:pPr>
      <w:r>
        <w:rPr/>
        <w:t>Open</w:t>
      </w:r>
      <w:r>
        <w:rPr>
          <w:spacing w:val="-6"/>
        </w:rPr>
        <w:t> </w:t>
      </w:r>
      <w:r>
        <w:rPr/>
        <w:t>Spaces</w:t>
      </w:r>
      <w:r>
        <w:rPr>
          <w:spacing w:val="-9"/>
        </w:rPr>
        <w:t> </w:t>
      </w:r>
      <w:r>
        <w:rPr/>
        <w:t>within</w:t>
      </w:r>
      <w:r>
        <w:rPr>
          <w:spacing w:val="-6"/>
        </w:rPr>
        <w:t> </w:t>
      </w:r>
      <w:r>
        <w:rPr/>
        <w:t>Building</w:t>
      </w:r>
      <w:r>
        <w:rPr>
          <w:spacing w:val="-5"/>
        </w:rPr>
        <w:t> </w:t>
      </w:r>
      <w:r>
        <w:rPr/>
        <w:t>Plots/</w:t>
      </w:r>
      <w:r>
        <w:rPr>
          <w:spacing w:val="-6"/>
        </w:rPr>
        <w:t> </w:t>
      </w:r>
      <w:r>
        <w:rPr>
          <w:spacing w:val="-2"/>
        </w:rPr>
        <w:t>Layout</w:t>
      </w:r>
    </w:p>
    <w:p>
      <w:pPr>
        <w:pStyle w:val="ListParagraph"/>
        <w:numPr>
          <w:ilvl w:val="1"/>
          <w:numId w:val="263"/>
        </w:numPr>
        <w:tabs>
          <w:tab w:pos="1493" w:val="left" w:leader="none"/>
          <w:tab w:pos="1743" w:val="left" w:leader="none"/>
        </w:tabs>
        <w:spacing w:line="240" w:lineRule="auto" w:before="283" w:after="0"/>
        <w:ind w:left="1493" w:right="782" w:hanging="180"/>
        <w:jc w:val="both"/>
        <w:rPr>
          <w:sz w:val="24"/>
        </w:rPr>
      </w:pPr>
      <w:r>
        <w:rPr>
          <w:i/>
          <w:sz w:val="24"/>
        </w:rPr>
        <w:t>(a)</w:t>
      </w:r>
      <w:r>
        <w:rPr>
          <w:i/>
          <w:spacing w:val="40"/>
          <w:sz w:val="24"/>
        </w:rPr>
        <w:t> </w:t>
      </w:r>
      <w:r>
        <w:rPr>
          <w:b/>
          <w:i/>
          <w:sz w:val="24"/>
        </w:rPr>
        <w:t>Open</w:t>
      </w:r>
      <w:r>
        <w:rPr>
          <w:b/>
          <w:i/>
          <w:spacing w:val="40"/>
          <w:sz w:val="24"/>
        </w:rPr>
        <w:t> </w:t>
      </w:r>
      <w:r>
        <w:rPr>
          <w:b/>
          <w:i/>
          <w:sz w:val="24"/>
        </w:rPr>
        <w:t>spaces</w:t>
      </w:r>
      <w:r>
        <w:rPr>
          <w:b/>
          <w:i/>
          <w:spacing w:val="40"/>
          <w:sz w:val="24"/>
        </w:rPr>
        <w:t> </w:t>
      </w:r>
      <w:r>
        <w:rPr>
          <w:b/>
          <w:i/>
          <w:sz w:val="24"/>
        </w:rPr>
        <w:t>separate</w:t>
      </w:r>
      <w:r>
        <w:rPr>
          <w:b/>
          <w:i/>
          <w:spacing w:val="40"/>
          <w:sz w:val="24"/>
        </w:rPr>
        <w:t> </w:t>
      </w:r>
      <w:r>
        <w:rPr>
          <w:b/>
          <w:i/>
          <w:sz w:val="24"/>
        </w:rPr>
        <w:t>for</w:t>
      </w:r>
      <w:r>
        <w:rPr>
          <w:b/>
          <w:i/>
          <w:spacing w:val="40"/>
          <w:sz w:val="24"/>
        </w:rPr>
        <w:t> </w:t>
      </w:r>
      <w:r>
        <w:rPr>
          <w:b/>
          <w:i/>
          <w:sz w:val="24"/>
        </w:rPr>
        <w:t>each</w:t>
      </w:r>
      <w:r>
        <w:rPr>
          <w:b/>
          <w:i/>
          <w:spacing w:val="40"/>
          <w:sz w:val="24"/>
        </w:rPr>
        <w:t> </w:t>
      </w:r>
      <w:r>
        <w:rPr>
          <w:b/>
          <w:i/>
          <w:sz w:val="24"/>
        </w:rPr>
        <w:t>building</w:t>
      </w:r>
      <w:r>
        <w:rPr>
          <w:b/>
          <w:i/>
          <w:spacing w:val="40"/>
          <w:sz w:val="24"/>
        </w:rPr>
        <w:t> </w:t>
      </w:r>
      <w:r>
        <w:rPr>
          <w:b/>
          <w:i/>
          <w:sz w:val="24"/>
        </w:rPr>
        <w:t>or</w:t>
      </w:r>
      <w:r>
        <w:rPr>
          <w:b/>
          <w:i/>
          <w:spacing w:val="40"/>
          <w:sz w:val="24"/>
        </w:rPr>
        <w:t> </w:t>
      </w:r>
      <w:r>
        <w:rPr>
          <w:b/>
          <w:i/>
          <w:sz w:val="24"/>
        </w:rPr>
        <w:t>wing</w:t>
      </w:r>
      <w:r>
        <w:rPr>
          <w:sz w:val="24"/>
        </w:rPr>
        <w:t>.</w:t>
      </w:r>
      <w:r>
        <w:rPr>
          <w:spacing w:val="40"/>
          <w:sz w:val="24"/>
        </w:rPr>
        <w:t> </w:t>
      </w:r>
      <w:r>
        <w:rPr>
          <w:spacing w:val="12"/>
          <w:sz w:val="24"/>
        </w:rPr>
        <w:t>-</w:t>
      </w:r>
      <w:r>
        <w:rPr>
          <w:sz w:val="24"/>
        </w:rPr>
        <w:t>The</w:t>
      </w:r>
      <w:r>
        <w:rPr>
          <w:spacing w:val="40"/>
          <w:sz w:val="24"/>
        </w:rPr>
        <w:t> </w:t>
      </w:r>
      <w:r>
        <w:rPr>
          <w:sz w:val="24"/>
        </w:rPr>
        <w:t>open spaces</w:t>
      </w:r>
      <w:r>
        <w:rPr>
          <w:spacing w:val="40"/>
          <w:sz w:val="24"/>
        </w:rPr>
        <w:t> </w:t>
      </w:r>
      <w:r>
        <w:rPr>
          <w:sz w:val="24"/>
        </w:rPr>
        <w:t>required</w:t>
      </w:r>
      <w:r>
        <w:rPr>
          <w:spacing w:val="40"/>
          <w:sz w:val="24"/>
        </w:rPr>
        <w:t> </w:t>
      </w:r>
      <w:r>
        <w:rPr>
          <w:sz w:val="24"/>
        </w:rPr>
        <w:t>under</w:t>
      </w:r>
      <w:r>
        <w:rPr>
          <w:spacing w:val="40"/>
          <w:sz w:val="24"/>
        </w:rPr>
        <w:t> </w:t>
      </w:r>
      <w:r>
        <w:rPr>
          <w:sz w:val="24"/>
        </w:rPr>
        <w:t>these</w:t>
      </w:r>
      <w:r>
        <w:rPr>
          <w:spacing w:val="40"/>
          <w:sz w:val="24"/>
        </w:rPr>
        <w:t> </w:t>
      </w:r>
      <w:r>
        <w:rPr>
          <w:sz w:val="24"/>
        </w:rPr>
        <w:t>Regulations</w:t>
      </w:r>
      <w:r>
        <w:rPr>
          <w:spacing w:val="40"/>
          <w:sz w:val="24"/>
        </w:rPr>
        <w:t> </w:t>
      </w:r>
      <w:r>
        <w:rPr>
          <w:sz w:val="24"/>
        </w:rPr>
        <w:t>shall</w:t>
      </w:r>
      <w:r>
        <w:rPr>
          <w:spacing w:val="40"/>
          <w:sz w:val="24"/>
        </w:rPr>
        <w:t> </w:t>
      </w:r>
      <w:r>
        <w:rPr>
          <w:sz w:val="24"/>
        </w:rPr>
        <w:t>be</w:t>
      </w:r>
      <w:r>
        <w:rPr>
          <w:spacing w:val="40"/>
          <w:sz w:val="24"/>
        </w:rPr>
        <w:t> </w:t>
      </w:r>
      <w:r>
        <w:rPr>
          <w:sz w:val="24"/>
        </w:rPr>
        <w:t>separate</w:t>
      </w:r>
      <w:r>
        <w:rPr>
          <w:spacing w:val="40"/>
          <w:sz w:val="24"/>
        </w:rPr>
        <w:t> </w:t>
      </w:r>
      <w:r>
        <w:rPr>
          <w:sz w:val="24"/>
        </w:rPr>
        <w:t>or</w:t>
      </w:r>
      <w:r>
        <w:rPr>
          <w:spacing w:val="40"/>
          <w:sz w:val="24"/>
        </w:rPr>
        <w:t> </w:t>
      </w:r>
      <w:r>
        <w:rPr>
          <w:sz w:val="24"/>
        </w:rPr>
        <w:t>distinct</w:t>
      </w:r>
      <w:r>
        <w:rPr>
          <w:spacing w:val="80"/>
          <w:sz w:val="24"/>
        </w:rPr>
        <w:t> </w:t>
      </w:r>
      <w:r>
        <w:rPr>
          <w:sz w:val="24"/>
        </w:rPr>
        <w:t>for</w:t>
      </w:r>
      <w:r>
        <w:rPr>
          <w:spacing w:val="40"/>
          <w:sz w:val="24"/>
        </w:rPr>
        <w:t> </w:t>
      </w:r>
      <w:r>
        <w:rPr>
          <w:sz w:val="24"/>
        </w:rPr>
        <w:t>each</w:t>
      </w:r>
      <w:r>
        <w:rPr>
          <w:spacing w:val="40"/>
          <w:sz w:val="24"/>
        </w:rPr>
        <w:t> </w:t>
      </w:r>
      <w:r>
        <w:rPr>
          <w:sz w:val="24"/>
        </w:rPr>
        <w:t>building</w:t>
      </w:r>
      <w:r>
        <w:rPr>
          <w:spacing w:val="40"/>
          <w:sz w:val="24"/>
        </w:rPr>
        <w:t> </w:t>
      </w:r>
      <w:r>
        <w:rPr>
          <w:sz w:val="24"/>
        </w:rPr>
        <w:t>and</w:t>
      </w:r>
      <w:r>
        <w:rPr>
          <w:spacing w:val="40"/>
          <w:sz w:val="24"/>
        </w:rPr>
        <w:t> </w:t>
      </w:r>
      <w:r>
        <w:rPr>
          <w:sz w:val="24"/>
        </w:rPr>
        <w:t>where</w:t>
      </w:r>
      <w:r>
        <w:rPr>
          <w:spacing w:val="40"/>
          <w:sz w:val="24"/>
        </w:rPr>
        <w:t> </w:t>
      </w:r>
      <w:r>
        <w:rPr>
          <w:sz w:val="24"/>
        </w:rPr>
        <w:t>a</w:t>
      </w:r>
      <w:r>
        <w:rPr>
          <w:spacing w:val="40"/>
          <w:sz w:val="24"/>
        </w:rPr>
        <w:t> </w:t>
      </w:r>
      <w:r>
        <w:rPr>
          <w:sz w:val="24"/>
        </w:rPr>
        <w:t>building</w:t>
      </w:r>
      <w:r>
        <w:rPr>
          <w:spacing w:val="40"/>
          <w:sz w:val="24"/>
        </w:rPr>
        <w:t> </w:t>
      </w:r>
      <w:r>
        <w:rPr>
          <w:sz w:val="24"/>
        </w:rPr>
        <w:t>has</w:t>
      </w:r>
      <w:r>
        <w:rPr>
          <w:spacing w:val="40"/>
          <w:sz w:val="24"/>
        </w:rPr>
        <w:t> </w:t>
      </w:r>
      <w:r>
        <w:rPr>
          <w:sz w:val="24"/>
        </w:rPr>
        <w:t>two</w:t>
      </w:r>
      <w:r>
        <w:rPr>
          <w:spacing w:val="40"/>
          <w:sz w:val="24"/>
        </w:rPr>
        <w:t> </w:t>
      </w:r>
      <w:r>
        <w:rPr>
          <w:sz w:val="24"/>
        </w:rPr>
        <w:t>or</w:t>
      </w:r>
      <w:r>
        <w:rPr>
          <w:spacing w:val="40"/>
          <w:sz w:val="24"/>
        </w:rPr>
        <w:t> </w:t>
      </w:r>
      <w:r>
        <w:rPr>
          <w:sz w:val="24"/>
        </w:rPr>
        <w:t>more</w:t>
      </w:r>
      <w:r>
        <w:rPr>
          <w:spacing w:val="40"/>
          <w:sz w:val="24"/>
        </w:rPr>
        <w:t> </w:t>
      </w:r>
      <w:r>
        <w:rPr>
          <w:sz w:val="24"/>
        </w:rPr>
        <w:t>wings,</w:t>
      </w:r>
      <w:r>
        <w:rPr>
          <w:spacing w:val="40"/>
          <w:sz w:val="24"/>
        </w:rPr>
        <w:t> </w:t>
      </w:r>
      <w:r>
        <w:rPr>
          <w:sz w:val="24"/>
        </w:rPr>
        <w:t>each wing</w:t>
      </w:r>
      <w:r>
        <w:rPr>
          <w:spacing w:val="40"/>
          <w:sz w:val="24"/>
        </w:rPr>
        <w:t> </w:t>
      </w:r>
      <w:r>
        <w:rPr>
          <w:sz w:val="24"/>
        </w:rPr>
        <w:t>shall</w:t>
      </w:r>
      <w:r>
        <w:rPr>
          <w:spacing w:val="40"/>
          <w:sz w:val="24"/>
        </w:rPr>
        <w:t> </w:t>
      </w:r>
      <w:r>
        <w:rPr>
          <w:sz w:val="24"/>
        </w:rPr>
        <w:t>have</w:t>
      </w:r>
      <w:r>
        <w:rPr>
          <w:spacing w:val="40"/>
          <w:sz w:val="24"/>
        </w:rPr>
        <w:t> </w:t>
      </w:r>
      <w:r>
        <w:rPr>
          <w:sz w:val="24"/>
        </w:rPr>
        <w:t>separate</w:t>
      </w:r>
      <w:r>
        <w:rPr>
          <w:spacing w:val="40"/>
          <w:sz w:val="24"/>
        </w:rPr>
        <w:t> </w:t>
      </w:r>
      <w:r>
        <w:rPr>
          <w:sz w:val="24"/>
        </w:rPr>
        <w:t>or</w:t>
      </w:r>
      <w:r>
        <w:rPr>
          <w:spacing w:val="40"/>
          <w:sz w:val="24"/>
        </w:rPr>
        <w:t> </w:t>
      </w:r>
      <w:r>
        <w:rPr>
          <w:sz w:val="24"/>
        </w:rPr>
        <w:t>distinct</w:t>
      </w:r>
      <w:r>
        <w:rPr>
          <w:spacing w:val="40"/>
          <w:sz w:val="24"/>
        </w:rPr>
        <w:t> </w:t>
      </w:r>
      <w:r>
        <w:rPr>
          <w:sz w:val="24"/>
        </w:rPr>
        <w:t>open</w:t>
      </w:r>
      <w:r>
        <w:rPr>
          <w:spacing w:val="40"/>
          <w:sz w:val="24"/>
        </w:rPr>
        <w:t> </w:t>
      </w:r>
      <w:r>
        <w:rPr>
          <w:sz w:val="24"/>
        </w:rPr>
        <w:t>spaces</w:t>
      </w:r>
      <w:r>
        <w:rPr>
          <w:spacing w:val="40"/>
          <w:sz w:val="24"/>
        </w:rPr>
        <w:t> </w:t>
      </w:r>
      <w:r>
        <w:rPr>
          <w:sz w:val="24"/>
        </w:rPr>
        <w:t>as</w:t>
      </w:r>
      <w:r>
        <w:rPr>
          <w:spacing w:val="40"/>
          <w:sz w:val="24"/>
        </w:rPr>
        <w:t> </w:t>
      </w:r>
      <w:r>
        <w:rPr>
          <w:sz w:val="24"/>
        </w:rPr>
        <w:t>required</w:t>
      </w:r>
      <w:r>
        <w:rPr>
          <w:spacing w:val="40"/>
          <w:sz w:val="24"/>
        </w:rPr>
        <w:t> </w:t>
      </w:r>
      <w:r>
        <w:rPr>
          <w:sz w:val="24"/>
        </w:rPr>
        <w:t>under</w:t>
      </w:r>
      <w:r>
        <w:rPr>
          <w:spacing w:val="40"/>
          <w:sz w:val="24"/>
        </w:rPr>
        <w:t> </w:t>
      </w:r>
      <w:r>
        <w:rPr>
          <w:sz w:val="24"/>
        </w:rPr>
        <w:t>these </w:t>
      </w:r>
      <w:r>
        <w:rPr>
          <w:spacing w:val="9"/>
          <w:sz w:val="24"/>
        </w:rPr>
        <w:t>Regulations;</w:t>
      </w:r>
    </w:p>
    <w:p>
      <w:pPr>
        <w:pStyle w:val="BodyText"/>
        <w:spacing w:before="1"/>
        <w:jc w:val="left"/>
      </w:pPr>
    </w:p>
    <w:p>
      <w:pPr>
        <w:pStyle w:val="BodyText"/>
        <w:spacing w:before="1"/>
        <w:ind w:left="1493" w:right="778"/>
      </w:pPr>
      <w:r>
        <w:rPr/>
        <w:t>Provided</w:t>
      </w:r>
      <w:r>
        <w:rPr>
          <w:spacing w:val="40"/>
        </w:rPr>
        <w:t> </w:t>
      </w:r>
      <w:r>
        <w:rPr/>
        <w:t>that</w:t>
      </w:r>
      <w:r>
        <w:rPr>
          <w:spacing w:val="40"/>
        </w:rPr>
        <w:t> </w:t>
      </w:r>
      <w:r>
        <w:rPr/>
        <w:t>if</w:t>
      </w:r>
      <w:r>
        <w:rPr>
          <w:spacing w:val="40"/>
        </w:rPr>
        <w:t> </w:t>
      </w:r>
      <w:r>
        <w:rPr/>
        <w:t>one</w:t>
      </w:r>
      <w:r>
        <w:rPr>
          <w:spacing w:val="40"/>
        </w:rPr>
        <w:t> </w:t>
      </w:r>
      <w:r>
        <w:rPr/>
        <w:t>of</w:t>
      </w:r>
      <w:r>
        <w:rPr>
          <w:spacing w:val="40"/>
        </w:rPr>
        <w:t> </w:t>
      </w:r>
      <w:r>
        <w:rPr/>
        <w:t>the</w:t>
      </w:r>
      <w:r>
        <w:rPr>
          <w:spacing w:val="40"/>
        </w:rPr>
        <w:t> </w:t>
      </w:r>
      <w:r>
        <w:rPr/>
        <w:t>wings</w:t>
      </w:r>
      <w:r>
        <w:rPr>
          <w:spacing w:val="40"/>
        </w:rPr>
        <w:t> </w:t>
      </w:r>
      <w:r>
        <w:rPr/>
        <w:t>does</w:t>
      </w:r>
      <w:r>
        <w:rPr>
          <w:spacing w:val="40"/>
        </w:rPr>
        <w:t> </w:t>
      </w:r>
      <w:r>
        <w:rPr/>
        <w:t>not</w:t>
      </w:r>
      <w:r>
        <w:rPr>
          <w:spacing w:val="40"/>
        </w:rPr>
        <w:t> </w:t>
      </w:r>
      <w:r>
        <w:rPr/>
        <w:t>depend</w:t>
      </w:r>
      <w:r>
        <w:rPr>
          <w:spacing w:val="40"/>
        </w:rPr>
        <w:t> </w:t>
      </w:r>
      <w:r>
        <w:rPr/>
        <w:t>for</w:t>
      </w:r>
      <w:r>
        <w:rPr>
          <w:spacing w:val="40"/>
        </w:rPr>
        <w:t> </w:t>
      </w:r>
      <w:r>
        <w:rPr/>
        <w:t>light</w:t>
      </w:r>
      <w:r>
        <w:rPr>
          <w:spacing w:val="40"/>
        </w:rPr>
        <w:t> </w:t>
      </w:r>
      <w:r>
        <w:rPr/>
        <w:t>and ventilation</w:t>
      </w:r>
      <w:r>
        <w:rPr>
          <w:spacing w:val="40"/>
        </w:rPr>
        <w:t> </w:t>
      </w:r>
      <w:r>
        <w:rPr/>
        <w:t>on</w:t>
      </w:r>
      <w:r>
        <w:rPr>
          <w:spacing w:val="40"/>
        </w:rPr>
        <w:t> </w:t>
      </w:r>
      <w:r>
        <w:rPr/>
        <w:t>theopen</w:t>
      </w:r>
      <w:r>
        <w:rPr>
          <w:spacing w:val="40"/>
        </w:rPr>
        <w:t> </w:t>
      </w:r>
      <w:r>
        <w:rPr/>
        <w:t>space</w:t>
      </w:r>
      <w:r>
        <w:rPr>
          <w:spacing w:val="40"/>
        </w:rPr>
        <w:t> </w:t>
      </w:r>
      <w:r>
        <w:rPr/>
        <w:t>between</w:t>
      </w:r>
      <w:r>
        <w:rPr>
          <w:spacing w:val="40"/>
        </w:rPr>
        <w:t> </w:t>
      </w:r>
      <w:r>
        <w:rPr/>
        <w:t>the</w:t>
      </w:r>
      <w:r>
        <w:rPr>
          <w:spacing w:val="40"/>
        </w:rPr>
        <w:t> </w:t>
      </w:r>
      <w:r>
        <w:rPr/>
        <w:t>two</w:t>
      </w:r>
      <w:r>
        <w:rPr>
          <w:spacing w:val="40"/>
        </w:rPr>
        <w:t> </w:t>
      </w:r>
      <w:r>
        <w:rPr/>
        <w:t>wings,</w:t>
      </w:r>
      <w:r>
        <w:rPr>
          <w:spacing w:val="40"/>
        </w:rPr>
        <w:t> </w:t>
      </w:r>
      <w:r>
        <w:rPr/>
        <w:t>the</w:t>
      </w:r>
      <w:r>
        <w:rPr>
          <w:spacing w:val="40"/>
        </w:rPr>
        <w:t> </w:t>
      </w:r>
      <w:r>
        <w:rPr/>
        <w:t>said</w:t>
      </w:r>
      <w:r>
        <w:rPr>
          <w:spacing w:val="40"/>
        </w:rPr>
        <w:t> </w:t>
      </w:r>
      <w:r>
        <w:rPr/>
        <w:t>open space shall be the one required for the higher </w:t>
      </w:r>
      <w:r>
        <w:rPr>
          <w:spacing w:val="10"/>
        </w:rPr>
        <w:t>wingor </w:t>
      </w:r>
      <w:r>
        <w:rPr/>
        <w:t>one required for deriving</w:t>
      </w:r>
      <w:r>
        <w:rPr>
          <w:spacing w:val="80"/>
        </w:rPr>
        <w:t> </w:t>
      </w:r>
      <w:r>
        <w:rPr/>
        <w:t>the</w:t>
      </w:r>
      <w:r>
        <w:rPr>
          <w:spacing w:val="80"/>
        </w:rPr>
        <w:t> </w:t>
      </w:r>
      <w:r>
        <w:rPr/>
        <w:t>light</w:t>
      </w:r>
      <w:r>
        <w:rPr>
          <w:spacing w:val="80"/>
        </w:rPr>
        <w:t> </w:t>
      </w:r>
      <w:r>
        <w:rPr/>
        <w:t>and</w:t>
      </w:r>
      <w:r>
        <w:rPr>
          <w:spacing w:val="80"/>
        </w:rPr>
        <w:t> </w:t>
      </w:r>
      <w:r>
        <w:rPr/>
        <w:t>ventilation</w:t>
      </w:r>
      <w:r>
        <w:rPr>
          <w:spacing w:val="80"/>
        </w:rPr>
        <w:t> </w:t>
      </w:r>
      <w:r>
        <w:rPr/>
        <w:t>whichever</w:t>
      </w:r>
      <w:r>
        <w:rPr>
          <w:spacing w:val="80"/>
        </w:rPr>
        <w:t> </w:t>
      </w:r>
      <w:r>
        <w:rPr/>
        <w:t>is</w:t>
      </w:r>
      <w:r>
        <w:rPr>
          <w:spacing w:val="80"/>
        </w:rPr>
        <w:t> </w:t>
      </w:r>
      <w:r>
        <w:rPr/>
        <w:t>higher.</w:t>
      </w:r>
    </w:p>
    <w:p>
      <w:pPr>
        <w:spacing w:before="1"/>
        <w:ind w:left="1493" w:right="782" w:firstLine="0"/>
        <w:jc w:val="both"/>
        <w:rPr>
          <w:sz w:val="24"/>
        </w:rPr>
      </w:pPr>
      <w:r>
        <w:rPr>
          <w:i/>
          <w:sz w:val="24"/>
        </w:rPr>
        <w:t>Open</w:t>
      </w:r>
      <w:r>
        <w:rPr>
          <w:i/>
          <w:spacing w:val="40"/>
          <w:sz w:val="24"/>
        </w:rPr>
        <w:t> </w:t>
      </w:r>
      <w:r>
        <w:rPr>
          <w:i/>
          <w:sz w:val="24"/>
        </w:rPr>
        <w:t>spaces</w:t>
      </w:r>
      <w:r>
        <w:rPr>
          <w:i/>
          <w:spacing w:val="40"/>
          <w:sz w:val="24"/>
        </w:rPr>
        <w:t> </w:t>
      </w:r>
      <w:r>
        <w:rPr>
          <w:i/>
          <w:sz w:val="24"/>
        </w:rPr>
        <w:t>to</w:t>
      </w:r>
      <w:r>
        <w:rPr>
          <w:i/>
          <w:spacing w:val="40"/>
          <w:sz w:val="24"/>
        </w:rPr>
        <w:t> </w:t>
      </w:r>
      <w:r>
        <w:rPr>
          <w:i/>
          <w:sz w:val="24"/>
        </w:rPr>
        <w:t>be</w:t>
      </w:r>
      <w:r>
        <w:rPr>
          <w:i/>
          <w:spacing w:val="40"/>
          <w:sz w:val="24"/>
        </w:rPr>
        <w:t> </w:t>
      </w:r>
      <w:r>
        <w:rPr>
          <w:i/>
          <w:sz w:val="24"/>
        </w:rPr>
        <w:t>provided</w:t>
      </w:r>
      <w:r>
        <w:rPr>
          <w:i/>
          <w:spacing w:val="40"/>
          <w:sz w:val="24"/>
        </w:rPr>
        <w:t> </w:t>
      </w:r>
      <w:r>
        <w:rPr>
          <w:i/>
          <w:sz w:val="24"/>
        </w:rPr>
        <w:t>for</w:t>
      </w:r>
      <w:r>
        <w:rPr>
          <w:i/>
          <w:spacing w:val="40"/>
          <w:sz w:val="24"/>
        </w:rPr>
        <w:t> </w:t>
      </w:r>
      <w:r>
        <w:rPr>
          <w:i/>
          <w:sz w:val="24"/>
        </w:rPr>
        <w:t>the</w:t>
      </w:r>
      <w:r>
        <w:rPr>
          <w:i/>
          <w:spacing w:val="40"/>
          <w:sz w:val="24"/>
        </w:rPr>
        <w:t> </w:t>
      </w:r>
      <w:r>
        <w:rPr>
          <w:i/>
          <w:sz w:val="24"/>
        </w:rPr>
        <w:t>full</w:t>
      </w:r>
      <w:r>
        <w:rPr>
          <w:i/>
          <w:spacing w:val="40"/>
          <w:sz w:val="24"/>
        </w:rPr>
        <w:t> </w:t>
      </w:r>
      <w:r>
        <w:rPr>
          <w:i/>
          <w:sz w:val="24"/>
        </w:rPr>
        <w:t>consumption</w:t>
      </w:r>
      <w:r>
        <w:rPr>
          <w:i/>
          <w:spacing w:val="40"/>
          <w:sz w:val="24"/>
        </w:rPr>
        <w:t> </w:t>
      </w:r>
      <w:r>
        <w:rPr>
          <w:i/>
          <w:sz w:val="24"/>
        </w:rPr>
        <w:t>of</w:t>
      </w:r>
      <w:r>
        <w:rPr>
          <w:i/>
          <w:spacing w:val="40"/>
          <w:sz w:val="24"/>
        </w:rPr>
        <w:t> </w:t>
      </w:r>
      <w:r>
        <w:rPr>
          <w:i/>
          <w:sz w:val="24"/>
        </w:rPr>
        <w:t>FSI</w:t>
      </w:r>
      <w:r>
        <w:rPr>
          <w:i/>
          <w:spacing w:val="-18"/>
          <w:sz w:val="24"/>
        </w:rPr>
        <w:t> </w:t>
      </w:r>
      <w:r>
        <w:rPr>
          <w:spacing w:val="12"/>
          <w:sz w:val="24"/>
        </w:rPr>
        <w:t>-</w:t>
      </w:r>
      <w:r>
        <w:rPr>
          <w:sz w:val="24"/>
        </w:rPr>
        <w:t>The</w:t>
      </w:r>
      <w:r>
        <w:rPr>
          <w:spacing w:val="40"/>
          <w:sz w:val="24"/>
        </w:rPr>
        <w:t> </w:t>
      </w:r>
      <w:r>
        <w:rPr>
          <w:sz w:val="24"/>
        </w:rPr>
        <w:t>open spaces</w:t>
      </w:r>
      <w:r>
        <w:rPr>
          <w:spacing w:val="40"/>
          <w:sz w:val="24"/>
        </w:rPr>
        <w:t> </w:t>
      </w:r>
      <w:r>
        <w:rPr>
          <w:sz w:val="24"/>
        </w:rPr>
        <w:t>to</w:t>
      </w:r>
      <w:r>
        <w:rPr>
          <w:spacing w:val="40"/>
          <w:sz w:val="24"/>
        </w:rPr>
        <w:t> </w:t>
      </w:r>
      <w:r>
        <w:rPr>
          <w:sz w:val="24"/>
        </w:rPr>
        <w:t>be</w:t>
      </w:r>
      <w:r>
        <w:rPr>
          <w:spacing w:val="40"/>
          <w:sz w:val="24"/>
        </w:rPr>
        <w:t> </w:t>
      </w:r>
      <w:r>
        <w:rPr>
          <w:sz w:val="24"/>
        </w:rPr>
        <w:t>left</w:t>
      </w:r>
      <w:r>
        <w:rPr>
          <w:spacing w:val="40"/>
          <w:sz w:val="24"/>
        </w:rPr>
        <w:t> </w:t>
      </w:r>
      <w:r>
        <w:rPr>
          <w:sz w:val="24"/>
        </w:rPr>
        <w:t>at</w:t>
      </w:r>
      <w:r>
        <w:rPr>
          <w:spacing w:val="40"/>
          <w:sz w:val="24"/>
        </w:rPr>
        <w:t> </w:t>
      </w:r>
      <w:r>
        <w:rPr>
          <w:sz w:val="24"/>
        </w:rPr>
        <w:t>the</w:t>
      </w:r>
      <w:r>
        <w:rPr>
          <w:spacing w:val="40"/>
          <w:sz w:val="24"/>
        </w:rPr>
        <w:t> </w:t>
      </w:r>
      <w:r>
        <w:rPr>
          <w:sz w:val="24"/>
        </w:rPr>
        <w:t>sides</w:t>
      </w:r>
      <w:r>
        <w:rPr>
          <w:spacing w:val="40"/>
          <w:sz w:val="24"/>
        </w:rPr>
        <w:t> </w:t>
      </w:r>
      <w:r>
        <w:rPr>
          <w:sz w:val="24"/>
        </w:rPr>
        <w:t>and</w:t>
      </w:r>
      <w:r>
        <w:rPr>
          <w:spacing w:val="40"/>
          <w:sz w:val="24"/>
        </w:rPr>
        <w:t> </w:t>
      </w:r>
      <w:r>
        <w:rPr>
          <w:sz w:val="24"/>
        </w:rPr>
        <w:t>rear</w:t>
      </w:r>
      <w:r>
        <w:rPr>
          <w:spacing w:val="40"/>
          <w:sz w:val="24"/>
        </w:rPr>
        <w:t> </w:t>
      </w:r>
      <w:r>
        <w:rPr>
          <w:sz w:val="24"/>
        </w:rPr>
        <w:t>shall</w:t>
      </w:r>
      <w:r>
        <w:rPr>
          <w:spacing w:val="40"/>
          <w:sz w:val="24"/>
        </w:rPr>
        <w:t> </w:t>
      </w:r>
      <w:r>
        <w:rPr>
          <w:sz w:val="24"/>
        </w:rPr>
        <w:t>relate</w:t>
      </w:r>
      <w:r>
        <w:rPr>
          <w:spacing w:val="40"/>
          <w:sz w:val="24"/>
        </w:rPr>
        <w:t> </w:t>
      </w:r>
      <w:r>
        <w:rPr>
          <w:sz w:val="24"/>
        </w:rPr>
        <w:t>to</w:t>
      </w:r>
      <w:r>
        <w:rPr>
          <w:spacing w:val="40"/>
          <w:sz w:val="24"/>
        </w:rPr>
        <w:t> </w:t>
      </w:r>
      <w:r>
        <w:rPr>
          <w:sz w:val="24"/>
        </w:rPr>
        <w:t>the</w:t>
      </w:r>
      <w:r>
        <w:rPr>
          <w:spacing w:val="40"/>
          <w:sz w:val="24"/>
        </w:rPr>
        <w:t> </w:t>
      </w:r>
      <w:r>
        <w:rPr>
          <w:sz w:val="24"/>
        </w:rPr>
        <w:t>height necessary</w:t>
      </w:r>
      <w:r>
        <w:rPr>
          <w:spacing w:val="80"/>
          <w:sz w:val="24"/>
        </w:rPr>
        <w:t> </w:t>
      </w:r>
      <w:r>
        <w:rPr>
          <w:sz w:val="24"/>
        </w:rPr>
        <w:t>to</w:t>
      </w:r>
      <w:r>
        <w:rPr>
          <w:spacing w:val="80"/>
          <w:sz w:val="24"/>
        </w:rPr>
        <w:t> </w:t>
      </w:r>
      <w:r>
        <w:rPr>
          <w:sz w:val="24"/>
        </w:rPr>
        <w:t>consume</w:t>
      </w:r>
      <w:r>
        <w:rPr>
          <w:spacing w:val="80"/>
          <w:sz w:val="24"/>
        </w:rPr>
        <w:t> </w:t>
      </w:r>
      <w:r>
        <w:rPr>
          <w:sz w:val="24"/>
        </w:rPr>
        <w:t>the</w:t>
      </w:r>
      <w:r>
        <w:rPr>
          <w:spacing w:val="80"/>
          <w:sz w:val="24"/>
        </w:rPr>
        <w:t> </w:t>
      </w:r>
      <w:r>
        <w:rPr>
          <w:sz w:val="24"/>
        </w:rPr>
        <w:t>full</w:t>
      </w:r>
      <w:r>
        <w:rPr>
          <w:spacing w:val="80"/>
          <w:sz w:val="24"/>
        </w:rPr>
        <w:t> </w:t>
      </w:r>
      <w:r>
        <w:rPr>
          <w:sz w:val="24"/>
        </w:rPr>
        <w:t>FSI</w:t>
      </w:r>
      <w:r>
        <w:rPr>
          <w:spacing w:val="80"/>
          <w:sz w:val="24"/>
        </w:rPr>
        <w:t> </w:t>
      </w:r>
      <w:r>
        <w:rPr>
          <w:sz w:val="24"/>
        </w:rPr>
        <w:t>permissible,</w:t>
      </w:r>
      <w:r>
        <w:rPr>
          <w:spacing w:val="80"/>
          <w:sz w:val="24"/>
        </w:rPr>
        <w:t> </w:t>
      </w:r>
      <w:r>
        <w:rPr>
          <w:sz w:val="24"/>
        </w:rPr>
        <w:t>for</w:t>
      </w:r>
      <w:r>
        <w:rPr>
          <w:spacing w:val="80"/>
          <w:sz w:val="24"/>
        </w:rPr>
        <w:t> </w:t>
      </w:r>
      <w:r>
        <w:rPr>
          <w:sz w:val="24"/>
        </w:rPr>
        <w:t>the</w:t>
      </w:r>
      <w:r>
        <w:rPr>
          <w:spacing w:val="80"/>
          <w:sz w:val="24"/>
        </w:rPr>
        <w:t> </w:t>
      </w:r>
      <w:r>
        <w:rPr>
          <w:sz w:val="24"/>
        </w:rPr>
        <w:t>occupancy</w:t>
      </w:r>
      <w:r>
        <w:rPr>
          <w:spacing w:val="80"/>
          <w:sz w:val="24"/>
        </w:rPr>
        <w:t> </w:t>
      </w:r>
      <w:r>
        <w:rPr>
          <w:sz w:val="24"/>
        </w:rPr>
        <w:t>in the zone.</w:t>
      </w:r>
    </w:p>
    <w:p>
      <w:pPr>
        <w:pStyle w:val="ListParagraph"/>
        <w:numPr>
          <w:ilvl w:val="0"/>
          <w:numId w:val="287"/>
        </w:numPr>
        <w:tabs>
          <w:tab w:pos="1798" w:val="left" w:leader="none"/>
        </w:tabs>
        <w:spacing w:line="240" w:lineRule="auto" w:before="279" w:after="0"/>
        <w:ind w:left="1493" w:right="779" w:firstLine="0"/>
        <w:jc w:val="both"/>
        <w:rPr>
          <w:i/>
          <w:sz w:val="22"/>
        </w:rPr>
      </w:pPr>
      <w:r>
        <w:rPr>
          <w:b/>
          <w:i/>
          <w:sz w:val="24"/>
        </w:rPr>
        <w:t>Manner</w:t>
      </w:r>
      <w:r>
        <w:rPr>
          <w:b/>
          <w:i/>
          <w:spacing w:val="40"/>
          <w:sz w:val="24"/>
        </w:rPr>
        <w:t> </w:t>
      </w:r>
      <w:r>
        <w:rPr>
          <w:b/>
          <w:i/>
          <w:sz w:val="24"/>
        </w:rPr>
        <w:t>of</w:t>
      </w:r>
      <w:r>
        <w:rPr>
          <w:b/>
          <w:i/>
          <w:spacing w:val="40"/>
          <w:sz w:val="24"/>
        </w:rPr>
        <w:t> </w:t>
      </w:r>
      <w:r>
        <w:rPr>
          <w:b/>
          <w:i/>
          <w:sz w:val="24"/>
        </w:rPr>
        <w:t>computing</w:t>
      </w:r>
      <w:r>
        <w:rPr>
          <w:b/>
          <w:i/>
          <w:spacing w:val="40"/>
          <w:sz w:val="24"/>
        </w:rPr>
        <w:t> </w:t>
      </w:r>
      <w:r>
        <w:rPr>
          <w:b/>
          <w:i/>
          <w:sz w:val="24"/>
        </w:rPr>
        <w:t>front</w:t>
      </w:r>
      <w:r>
        <w:rPr>
          <w:b/>
          <w:i/>
          <w:spacing w:val="40"/>
          <w:sz w:val="24"/>
        </w:rPr>
        <w:t> </w:t>
      </w:r>
      <w:r>
        <w:rPr>
          <w:b/>
          <w:i/>
          <w:sz w:val="24"/>
        </w:rPr>
        <w:t>open</w:t>
      </w:r>
      <w:r>
        <w:rPr>
          <w:b/>
          <w:i/>
          <w:spacing w:val="40"/>
          <w:sz w:val="24"/>
        </w:rPr>
        <w:t> </w:t>
      </w:r>
      <w:r>
        <w:rPr>
          <w:b/>
          <w:i/>
          <w:sz w:val="24"/>
        </w:rPr>
        <w:t>space/setback</w:t>
      </w:r>
      <w:r>
        <w:rPr>
          <w:b/>
          <w:i/>
          <w:spacing w:val="40"/>
          <w:sz w:val="24"/>
        </w:rPr>
        <w:t> </w:t>
      </w:r>
      <w:r>
        <w:rPr>
          <w:b/>
          <w:i/>
          <w:sz w:val="24"/>
        </w:rPr>
        <w:t>where</w:t>
      </w:r>
      <w:r>
        <w:rPr>
          <w:b/>
          <w:i/>
          <w:spacing w:val="40"/>
          <w:sz w:val="24"/>
        </w:rPr>
        <w:t> </w:t>
      </w:r>
      <w:r>
        <w:rPr>
          <w:b/>
          <w:i/>
          <w:sz w:val="24"/>
        </w:rPr>
        <w:t>the</w:t>
      </w:r>
      <w:r>
        <w:rPr>
          <w:b/>
          <w:i/>
          <w:spacing w:val="40"/>
          <w:sz w:val="24"/>
        </w:rPr>
        <w:t> </w:t>
      </w:r>
      <w:r>
        <w:rPr>
          <w:b/>
          <w:i/>
          <w:sz w:val="24"/>
        </w:rPr>
        <w:t>street is</w:t>
      </w:r>
      <w:r>
        <w:rPr>
          <w:b/>
          <w:i/>
          <w:spacing w:val="32"/>
          <w:sz w:val="24"/>
        </w:rPr>
        <w:t> </w:t>
      </w:r>
      <w:r>
        <w:rPr>
          <w:b/>
          <w:i/>
          <w:sz w:val="24"/>
        </w:rPr>
        <w:t>to</w:t>
      </w:r>
      <w:r>
        <w:rPr>
          <w:b/>
          <w:i/>
          <w:spacing w:val="35"/>
          <w:sz w:val="24"/>
        </w:rPr>
        <w:t> </w:t>
      </w:r>
      <w:r>
        <w:rPr>
          <w:b/>
          <w:i/>
          <w:sz w:val="24"/>
        </w:rPr>
        <w:t>be</w:t>
      </w:r>
      <w:r>
        <w:rPr>
          <w:b/>
          <w:i/>
          <w:spacing w:val="10"/>
          <w:sz w:val="24"/>
        </w:rPr>
        <w:t> widened</w:t>
      </w:r>
      <w:r>
        <w:rPr>
          <w:i/>
          <w:spacing w:val="10"/>
          <w:sz w:val="24"/>
        </w:rPr>
        <w:t>-</w:t>
      </w:r>
      <w:r>
        <w:rPr>
          <w:sz w:val="24"/>
        </w:rPr>
        <w:t>If</w:t>
      </w:r>
      <w:r>
        <w:rPr>
          <w:spacing w:val="31"/>
          <w:sz w:val="24"/>
        </w:rPr>
        <w:t> </w:t>
      </w:r>
      <w:r>
        <w:rPr>
          <w:sz w:val="24"/>
        </w:rPr>
        <w:t>the</w:t>
      </w:r>
      <w:r>
        <w:rPr>
          <w:spacing w:val="34"/>
          <w:sz w:val="24"/>
        </w:rPr>
        <w:t> </w:t>
      </w:r>
      <w:r>
        <w:rPr>
          <w:sz w:val="24"/>
        </w:rPr>
        <w:t>building</w:t>
      </w:r>
      <w:r>
        <w:rPr>
          <w:spacing w:val="34"/>
          <w:sz w:val="24"/>
        </w:rPr>
        <w:t> </w:t>
      </w:r>
      <w:r>
        <w:rPr>
          <w:sz w:val="24"/>
        </w:rPr>
        <w:t>plot</w:t>
      </w:r>
      <w:r>
        <w:rPr>
          <w:spacing w:val="34"/>
          <w:sz w:val="24"/>
        </w:rPr>
        <w:t> </w:t>
      </w:r>
      <w:r>
        <w:rPr>
          <w:sz w:val="24"/>
        </w:rPr>
        <w:t>abuts</w:t>
      </w:r>
      <w:r>
        <w:rPr>
          <w:spacing w:val="31"/>
          <w:sz w:val="24"/>
        </w:rPr>
        <w:t> </w:t>
      </w:r>
      <w:r>
        <w:rPr>
          <w:sz w:val="24"/>
        </w:rPr>
        <w:t>any</w:t>
      </w:r>
      <w:r>
        <w:rPr>
          <w:spacing w:val="34"/>
          <w:sz w:val="24"/>
        </w:rPr>
        <w:t> </w:t>
      </w:r>
      <w:r>
        <w:rPr>
          <w:sz w:val="24"/>
        </w:rPr>
        <w:t>road</w:t>
      </w:r>
      <w:r>
        <w:rPr>
          <w:spacing w:val="34"/>
          <w:sz w:val="24"/>
        </w:rPr>
        <w:t> </w:t>
      </w:r>
      <w:r>
        <w:rPr>
          <w:spacing w:val="9"/>
          <w:sz w:val="24"/>
        </w:rPr>
        <w:t>which </w:t>
      </w:r>
      <w:r>
        <w:rPr>
          <w:sz w:val="24"/>
        </w:rPr>
        <w:t>is</w:t>
      </w:r>
      <w:r>
        <w:rPr>
          <w:spacing w:val="34"/>
          <w:sz w:val="24"/>
        </w:rPr>
        <w:t> </w:t>
      </w:r>
      <w:r>
        <w:rPr>
          <w:sz w:val="24"/>
        </w:rPr>
        <w:t>proposed to</w:t>
      </w:r>
      <w:r>
        <w:rPr>
          <w:spacing w:val="40"/>
          <w:sz w:val="24"/>
        </w:rPr>
        <w:t> </w:t>
      </w:r>
      <w:r>
        <w:rPr>
          <w:sz w:val="24"/>
        </w:rPr>
        <w:t>be</w:t>
      </w:r>
      <w:r>
        <w:rPr>
          <w:spacing w:val="40"/>
          <w:sz w:val="24"/>
        </w:rPr>
        <w:t> </w:t>
      </w:r>
      <w:r>
        <w:rPr>
          <w:sz w:val="24"/>
        </w:rPr>
        <w:t>widened</w:t>
      </w:r>
      <w:r>
        <w:rPr>
          <w:spacing w:val="40"/>
          <w:sz w:val="24"/>
        </w:rPr>
        <w:t> </w:t>
      </w:r>
      <w:r>
        <w:rPr>
          <w:sz w:val="24"/>
        </w:rPr>
        <w:t>under</w:t>
      </w:r>
      <w:r>
        <w:rPr>
          <w:spacing w:val="40"/>
          <w:sz w:val="24"/>
        </w:rPr>
        <w:t> </w:t>
      </w:r>
      <w:r>
        <w:rPr>
          <w:sz w:val="24"/>
        </w:rPr>
        <w:t>the</w:t>
      </w:r>
      <w:r>
        <w:rPr>
          <w:spacing w:val="40"/>
          <w:sz w:val="24"/>
        </w:rPr>
        <w:t> </w:t>
      </w:r>
      <w:r>
        <w:rPr>
          <w:sz w:val="24"/>
        </w:rPr>
        <w:t>Development</w:t>
      </w:r>
      <w:r>
        <w:rPr>
          <w:spacing w:val="40"/>
          <w:sz w:val="24"/>
        </w:rPr>
        <w:t> </w:t>
      </w:r>
      <w:r>
        <w:rPr>
          <w:sz w:val="24"/>
        </w:rPr>
        <w:t>Plan</w:t>
      </w:r>
      <w:r>
        <w:rPr>
          <w:spacing w:val="40"/>
          <w:sz w:val="24"/>
        </w:rPr>
        <w:t> </w:t>
      </w:r>
      <w:r>
        <w:rPr>
          <w:sz w:val="24"/>
        </w:rPr>
        <w:t>or</w:t>
      </w:r>
      <w:r>
        <w:rPr>
          <w:spacing w:val="40"/>
          <w:sz w:val="24"/>
        </w:rPr>
        <w:t> </w:t>
      </w:r>
      <w:r>
        <w:rPr>
          <w:sz w:val="24"/>
        </w:rPr>
        <w:t>because</w:t>
      </w:r>
      <w:r>
        <w:rPr>
          <w:spacing w:val="40"/>
          <w:sz w:val="24"/>
        </w:rPr>
        <w:t> </w:t>
      </w:r>
      <w:r>
        <w:rPr>
          <w:sz w:val="24"/>
        </w:rPr>
        <w:t>of</w:t>
      </w:r>
      <w:r>
        <w:rPr>
          <w:spacing w:val="40"/>
          <w:sz w:val="24"/>
        </w:rPr>
        <w:t> </w:t>
      </w:r>
      <w:r>
        <w:rPr>
          <w:sz w:val="24"/>
        </w:rPr>
        <w:t>the prescription of regular lines of streets under the Mumbai </w:t>
      </w:r>
      <w:r>
        <w:rPr>
          <w:spacing w:val="9"/>
          <w:sz w:val="24"/>
        </w:rPr>
        <w:t>Municipal </w:t>
      </w:r>
      <w:r>
        <w:rPr>
          <w:sz w:val="24"/>
        </w:rPr>
        <w:t>Corporation</w:t>
      </w:r>
      <w:r>
        <w:rPr>
          <w:spacing w:val="40"/>
          <w:sz w:val="24"/>
        </w:rPr>
        <w:t> </w:t>
      </w:r>
      <w:r>
        <w:rPr>
          <w:sz w:val="24"/>
        </w:rPr>
        <w:t>Act,</w:t>
      </w:r>
      <w:r>
        <w:rPr>
          <w:spacing w:val="40"/>
          <w:sz w:val="24"/>
        </w:rPr>
        <w:t> </w:t>
      </w:r>
      <w:r>
        <w:rPr>
          <w:sz w:val="24"/>
        </w:rPr>
        <w:t>1888,</w:t>
      </w:r>
      <w:r>
        <w:rPr>
          <w:spacing w:val="40"/>
          <w:sz w:val="24"/>
        </w:rPr>
        <w:t> </w:t>
      </w:r>
      <w:r>
        <w:rPr>
          <w:sz w:val="24"/>
        </w:rPr>
        <w:t>the</w:t>
      </w:r>
      <w:r>
        <w:rPr>
          <w:spacing w:val="40"/>
          <w:sz w:val="24"/>
        </w:rPr>
        <w:t> </w:t>
      </w:r>
      <w:r>
        <w:rPr>
          <w:sz w:val="24"/>
        </w:rPr>
        <w:t>front</w:t>
      </w:r>
      <w:r>
        <w:rPr>
          <w:spacing w:val="40"/>
          <w:sz w:val="24"/>
        </w:rPr>
        <w:t> </w:t>
      </w:r>
      <w:r>
        <w:rPr>
          <w:sz w:val="24"/>
        </w:rPr>
        <w:t>open</w:t>
      </w:r>
      <w:r>
        <w:rPr>
          <w:spacing w:val="40"/>
          <w:sz w:val="24"/>
        </w:rPr>
        <w:t> </w:t>
      </w:r>
      <w:r>
        <w:rPr>
          <w:sz w:val="24"/>
        </w:rPr>
        <w:t>space</w:t>
      </w:r>
      <w:r>
        <w:rPr>
          <w:spacing w:val="40"/>
          <w:sz w:val="24"/>
        </w:rPr>
        <w:t> </w:t>
      </w:r>
      <w:r>
        <w:rPr>
          <w:spacing w:val="9"/>
          <w:sz w:val="24"/>
        </w:rPr>
        <w:t>/road-</w:t>
      </w:r>
      <w:r>
        <w:rPr>
          <w:sz w:val="24"/>
        </w:rPr>
        <w:t>side</w:t>
      </w:r>
      <w:r>
        <w:rPr>
          <w:spacing w:val="40"/>
          <w:sz w:val="24"/>
        </w:rPr>
        <w:t> </w:t>
      </w:r>
      <w:r>
        <w:rPr>
          <w:sz w:val="24"/>
        </w:rPr>
        <w:t>set</w:t>
      </w:r>
      <w:r>
        <w:rPr>
          <w:spacing w:val="40"/>
          <w:sz w:val="24"/>
        </w:rPr>
        <w:t> </w:t>
      </w:r>
      <w:r>
        <w:rPr>
          <w:sz w:val="24"/>
        </w:rPr>
        <w:t>back</w:t>
      </w:r>
      <w:r>
        <w:rPr>
          <w:spacing w:val="40"/>
          <w:sz w:val="24"/>
        </w:rPr>
        <w:t> </w:t>
      </w:r>
      <w:r>
        <w:rPr>
          <w:sz w:val="24"/>
        </w:rPr>
        <w:t>shall be</w:t>
      </w:r>
      <w:r>
        <w:rPr>
          <w:spacing w:val="40"/>
          <w:sz w:val="24"/>
        </w:rPr>
        <w:t> </w:t>
      </w:r>
      <w:r>
        <w:rPr>
          <w:sz w:val="24"/>
        </w:rPr>
        <w:t>measured</w:t>
      </w:r>
      <w:r>
        <w:rPr>
          <w:spacing w:val="40"/>
          <w:sz w:val="24"/>
        </w:rPr>
        <w:t> </w:t>
      </w:r>
      <w:r>
        <w:rPr>
          <w:sz w:val="24"/>
        </w:rPr>
        <w:t>from</w:t>
      </w:r>
      <w:r>
        <w:rPr>
          <w:spacing w:val="40"/>
          <w:sz w:val="24"/>
        </w:rPr>
        <w:t> </w:t>
      </w:r>
      <w:r>
        <w:rPr>
          <w:sz w:val="24"/>
        </w:rPr>
        <w:t>the</w:t>
      </w:r>
      <w:r>
        <w:rPr>
          <w:spacing w:val="40"/>
          <w:sz w:val="24"/>
        </w:rPr>
        <w:t> </w:t>
      </w:r>
      <w:r>
        <w:rPr>
          <w:sz w:val="24"/>
        </w:rPr>
        <w:t>resulting</w:t>
      </w:r>
      <w:r>
        <w:rPr>
          <w:spacing w:val="40"/>
          <w:sz w:val="24"/>
        </w:rPr>
        <w:t> </w:t>
      </w:r>
      <w:r>
        <w:rPr>
          <w:sz w:val="24"/>
        </w:rPr>
        <w:t>road</w:t>
      </w:r>
      <w:r>
        <w:rPr>
          <w:spacing w:val="40"/>
          <w:sz w:val="24"/>
        </w:rPr>
        <w:t> </w:t>
      </w:r>
      <w:r>
        <w:rPr>
          <w:sz w:val="24"/>
        </w:rPr>
        <w:t>widening</w:t>
      </w:r>
      <w:r>
        <w:rPr>
          <w:spacing w:val="80"/>
          <w:sz w:val="24"/>
        </w:rPr>
        <w:t> </w:t>
      </w:r>
      <w:r>
        <w:rPr>
          <w:sz w:val="24"/>
        </w:rPr>
        <w:t>line.</w:t>
      </w:r>
    </w:p>
    <w:p>
      <w:pPr>
        <w:pStyle w:val="ListParagraph"/>
        <w:numPr>
          <w:ilvl w:val="0"/>
          <w:numId w:val="287"/>
        </w:numPr>
        <w:tabs>
          <w:tab w:pos="1877" w:val="left" w:leader="none"/>
        </w:tabs>
        <w:spacing w:line="240" w:lineRule="auto" w:before="122" w:after="0"/>
        <w:ind w:left="1493" w:right="936" w:firstLine="0"/>
        <w:jc w:val="left"/>
        <w:rPr>
          <w:sz w:val="24"/>
        </w:rPr>
      </w:pPr>
      <w:r>
        <w:rPr>
          <w:sz w:val="24"/>
        </w:rPr>
        <w:t>The</w:t>
      </w:r>
      <w:r>
        <w:rPr>
          <w:spacing w:val="40"/>
          <w:sz w:val="24"/>
        </w:rPr>
        <w:t> </w:t>
      </w:r>
      <w:r>
        <w:rPr>
          <w:sz w:val="24"/>
        </w:rPr>
        <w:t>front</w:t>
      </w:r>
      <w:r>
        <w:rPr>
          <w:spacing w:val="40"/>
          <w:sz w:val="24"/>
        </w:rPr>
        <w:t> </w:t>
      </w:r>
      <w:r>
        <w:rPr>
          <w:sz w:val="24"/>
        </w:rPr>
        <w:t>open</w:t>
      </w:r>
      <w:r>
        <w:rPr>
          <w:spacing w:val="40"/>
          <w:sz w:val="24"/>
        </w:rPr>
        <w:t> </w:t>
      </w:r>
      <w:r>
        <w:rPr>
          <w:sz w:val="24"/>
        </w:rPr>
        <w:t>space</w:t>
      </w:r>
      <w:r>
        <w:rPr>
          <w:spacing w:val="40"/>
          <w:sz w:val="24"/>
        </w:rPr>
        <w:t> </w:t>
      </w:r>
      <w:r>
        <w:rPr>
          <w:sz w:val="24"/>
        </w:rPr>
        <w:t>shall</w:t>
      </w:r>
      <w:r>
        <w:rPr>
          <w:spacing w:val="40"/>
          <w:sz w:val="24"/>
        </w:rPr>
        <w:t> </w:t>
      </w:r>
      <w:r>
        <w:rPr>
          <w:sz w:val="24"/>
        </w:rPr>
        <w:t>be</w:t>
      </w:r>
      <w:r>
        <w:rPr>
          <w:spacing w:val="40"/>
          <w:sz w:val="24"/>
        </w:rPr>
        <w:t> </w:t>
      </w:r>
      <w:r>
        <w:rPr>
          <w:sz w:val="24"/>
        </w:rPr>
        <w:t>measured</w:t>
      </w:r>
      <w:r>
        <w:rPr>
          <w:spacing w:val="40"/>
          <w:sz w:val="24"/>
        </w:rPr>
        <w:t> </w:t>
      </w:r>
      <w:r>
        <w:rPr>
          <w:sz w:val="24"/>
        </w:rPr>
        <w:t>perpendicular</w:t>
      </w:r>
      <w:r>
        <w:rPr>
          <w:spacing w:val="40"/>
          <w:sz w:val="24"/>
        </w:rPr>
        <w:t> </w:t>
      </w:r>
      <w:r>
        <w:rPr>
          <w:sz w:val="24"/>
        </w:rPr>
        <w:t>to</w:t>
      </w:r>
      <w:r>
        <w:rPr>
          <w:spacing w:val="40"/>
          <w:sz w:val="24"/>
        </w:rPr>
        <w:t> </w:t>
      </w:r>
      <w:r>
        <w:rPr>
          <w:sz w:val="24"/>
        </w:rPr>
        <w:t>the</w:t>
      </w:r>
      <w:r>
        <w:rPr>
          <w:spacing w:val="40"/>
          <w:sz w:val="24"/>
        </w:rPr>
        <w:t> </w:t>
      </w:r>
      <w:r>
        <w:rPr>
          <w:sz w:val="24"/>
        </w:rPr>
        <w:t>road line.</w:t>
      </w:r>
      <w:r>
        <w:rPr>
          <w:spacing w:val="40"/>
          <w:sz w:val="24"/>
        </w:rPr>
        <w:t> </w:t>
      </w:r>
      <w:r>
        <w:rPr>
          <w:sz w:val="24"/>
        </w:rPr>
        <w:t>The</w:t>
      </w:r>
      <w:r>
        <w:rPr>
          <w:spacing w:val="40"/>
          <w:sz w:val="24"/>
        </w:rPr>
        <w:t> </w:t>
      </w:r>
      <w:r>
        <w:rPr>
          <w:sz w:val="24"/>
        </w:rPr>
        <w:t>open</w:t>
      </w:r>
      <w:r>
        <w:rPr>
          <w:spacing w:val="40"/>
          <w:sz w:val="24"/>
        </w:rPr>
        <w:t> </w:t>
      </w:r>
      <w:r>
        <w:rPr>
          <w:sz w:val="24"/>
        </w:rPr>
        <w:t>spaces</w:t>
      </w:r>
      <w:r>
        <w:rPr>
          <w:spacing w:val="40"/>
          <w:sz w:val="24"/>
        </w:rPr>
        <w:t> </w:t>
      </w:r>
      <w:r>
        <w:rPr>
          <w:sz w:val="24"/>
        </w:rPr>
        <w:t>for</w:t>
      </w:r>
      <w:r>
        <w:rPr>
          <w:spacing w:val="40"/>
          <w:sz w:val="24"/>
        </w:rPr>
        <w:t> </w:t>
      </w:r>
      <w:r>
        <w:rPr>
          <w:sz w:val="24"/>
        </w:rPr>
        <w:t>light</w:t>
      </w:r>
      <w:r>
        <w:rPr>
          <w:spacing w:val="40"/>
          <w:sz w:val="24"/>
        </w:rPr>
        <w:t> </w:t>
      </w:r>
      <w:r>
        <w:rPr>
          <w:sz w:val="24"/>
        </w:rPr>
        <w:t>and</w:t>
      </w:r>
      <w:r>
        <w:rPr>
          <w:spacing w:val="40"/>
          <w:sz w:val="24"/>
        </w:rPr>
        <w:t> </w:t>
      </w:r>
      <w:r>
        <w:rPr>
          <w:sz w:val="24"/>
        </w:rPr>
        <w:t>ventilation</w:t>
      </w:r>
      <w:r>
        <w:rPr>
          <w:spacing w:val="40"/>
          <w:sz w:val="24"/>
        </w:rPr>
        <w:t> </w:t>
      </w:r>
      <w:r>
        <w:rPr>
          <w:sz w:val="24"/>
        </w:rPr>
        <w:t>shall</w:t>
      </w:r>
      <w:r>
        <w:rPr>
          <w:spacing w:val="40"/>
          <w:sz w:val="24"/>
        </w:rPr>
        <w:t> </w:t>
      </w:r>
      <w:r>
        <w:rPr>
          <w:sz w:val="24"/>
        </w:rPr>
        <w:t>be</w:t>
      </w:r>
      <w:r>
        <w:rPr>
          <w:spacing w:val="40"/>
          <w:sz w:val="24"/>
        </w:rPr>
        <w:t> </w:t>
      </w:r>
      <w:r>
        <w:rPr>
          <w:sz w:val="24"/>
        </w:rPr>
        <w:t>measured perpendicular</w:t>
      </w:r>
      <w:r>
        <w:rPr>
          <w:spacing w:val="78"/>
          <w:sz w:val="24"/>
        </w:rPr>
        <w:t> </w:t>
      </w:r>
      <w:r>
        <w:rPr>
          <w:sz w:val="24"/>
        </w:rPr>
        <w:t>to</w:t>
      </w:r>
      <w:r>
        <w:rPr>
          <w:spacing w:val="75"/>
          <w:sz w:val="24"/>
        </w:rPr>
        <w:t> </w:t>
      </w:r>
      <w:r>
        <w:rPr>
          <w:sz w:val="24"/>
        </w:rPr>
        <w:t>the</w:t>
      </w:r>
      <w:r>
        <w:rPr>
          <w:spacing w:val="75"/>
          <w:sz w:val="24"/>
        </w:rPr>
        <w:t> </w:t>
      </w:r>
      <w:r>
        <w:rPr>
          <w:sz w:val="24"/>
        </w:rPr>
        <w:t>building</w:t>
      </w:r>
      <w:r>
        <w:rPr>
          <w:spacing w:val="77"/>
          <w:sz w:val="24"/>
        </w:rPr>
        <w:t> </w:t>
      </w:r>
      <w:r>
        <w:rPr>
          <w:sz w:val="24"/>
        </w:rPr>
        <w:t>line.</w:t>
      </w:r>
      <w:r>
        <w:rPr>
          <w:spacing w:val="78"/>
          <w:sz w:val="24"/>
        </w:rPr>
        <w:t> </w:t>
      </w:r>
      <w:r>
        <w:rPr>
          <w:sz w:val="24"/>
        </w:rPr>
        <w:t>The</w:t>
      </w:r>
      <w:r>
        <w:rPr>
          <w:spacing w:val="78"/>
          <w:sz w:val="24"/>
        </w:rPr>
        <w:t> </w:t>
      </w:r>
      <w:r>
        <w:rPr>
          <w:sz w:val="24"/>
        </w:rPr>
        <w:t>open</w:t>
      </w:r>
      <w:r>
        <w:rPr>
          <w:spacing w:val="73"/>
          <w:sz w:val="24"/>
        </w:rPr>
        <w:t> </w:t>
      </w:r>
      <w:r>
        <w:rPr>
          <w:sz w:val="24"/>
        </w:rPr>
        <w:t>spaces</w:t>
      </w:r>
      <w:r>
        <w:rPr>
          <w:spacing w:val="73"/>
          <w:sz w:val="24"/>
        </w:rPr>
        <w:t> </w:t>
      </w:r>
      <w:r>
        <w:rPr>
          <w:sz w:val="24"/>
        </w:rPr>
        <w:t>for</w:t>
      </w:r>
      <w:r>
        <w:rPr>
          <w:spacing w:val="73"/>
          <w:sz w:val="24"/>
        </w:rPr>
        <w:t> </w:t>
      </w:r>
      <w:r>
        <w:rPr>
          <w:sz w:val="24"/>
        </w:rPr>
        <w:t>dead</w:t>
      </w:r>
      <w:r>
        <w:rPr>
          <w:spacing w:val="73"/>
          <w:sz w:val="24"/>
        </w:rPr>
        <w:t> </w:t>
      </w:r>
      <w:r>
        <w:rPr>
          <w:sz w:val="24"/>
        </w:rPr>
        <w:t>wall shall</w:t>
      </w:r>
      <w:r>
        <w:rPr>
          <w:spacing w:val="80"/>
          <w:sz w:val="24"/>
        </w:rPr>
        <w:t> </w:t>
      </w:r>
      <w:r>
        <w:rPr>
          <w:sz w:val="24"/>
        </w:rPr>
        <w:t>be</w:t>
      </w:r>
      <w:r>
        <w:rPr>
          <w:spacing w:val="80"/>
          <w:sz w:val="24"/>
        </w:rPr>
        <w:t> </w:t>
      </w:r>
      <w:r>
        <w:rPr>
          <w:sz w:val="24"/>
        </w:rPr>
        <w:t>measured</w:t>
      </w:r>
      <w:r>
        <w:rPr>
          <w:spacing w:val="80"/>
          <w:sz w:val="24"/>
        </w:rPr>
        <w:t> </w:t>
      </w:r>
      <w:r>
        <w:rPr>
          <w:sz w:val="24"/>
        </w:rPr>
        <w:t>perpendicular</w:t>
      </w:r>
      <w:r>
        <w:rPr>
          <w:spacing w:val="80"/>
          <w:sz w:val="24"/>
        </w:rPr>
        <w:t> </w:t>
      </w:r>
      <w:r>
        <w:rPr>
          <w:sz w:val="24"/>
        </w:rPr>
        <w:t>to</w:t>
      </w:r>
      <w:r>
        <w:rPr>
          <w:spacing w:val="80"/>
          <w:sz w:val="24"/>
        </w:rPr>
        <w:t> </w:t>
      </w:r>
      <w:r>
        <w:rPr>
          <w:sz w:val="24"/>
        </w:rPr>
        <w:t>compound</w:t>
      </w:r>
      <w:r>
        <w:rPr>
          <w:spacing w:val="80"/>
          <w:sz w:val="24"/>
        </w:rPr>
        <w:t> </w:t>
      </w:r>
      <w:r>
        <w:rPr>
          <w:sz w:val="24"/>
        </w:rPr>
        <w:t>wall.</w:t>
      </w:r>
    </w:p>
    <w:p>
      <w:pPr>
        <w:pStyle w:val="Heading6"/>
        <w:numPr>
          <w:ilvl w:val="1"/>
          <w:numId w:val="263"/>
        </w:numPr>
        <w:tabs>
          <w:tab w:pos="1493" w:val="left" w:leader="none"/>
          <w:tab w:pos="1800" w:val="left" w:leader="none"/>
        </w:tabs>
        <w:spacing w:line="240" w:lineRule="auto" w:before="119" w:after="0"/>
        <w:ind w:left="1493" w:right="797" w:hanging="180"/>
        <w:jc w:val="left"/>
        <w:rPr>
          <w:b w:val="0"/>
          <w:i w:val="0"/>
        </w:rPr>
      </w:pPr>
      <w:r>
        <w:rPr/>
        <w:t>Side</w:t>
      </w:r>
      <w:r>
        <w:rPr>
          <w:spacing w:val="80"/>
          <w:w w:val="150"/>
        </w:rPr>
        <w:t> </w:t>
      </w:r>
      <w:r>
        <w:rPr/>
        <w:t>and</w:t>
      </w:r>
      <w:r>
        <w:rPr>
          <w:spacing w:val="80"/>
          <w:w w:val="150"/>
        </w:rPr>
        <w:t> </w:t>
      </w:r>
      <w:r>
        <w:rPr/>
        <w:t>rear</w:t>
      </w:r>
      <w:r>
        <w:rPr>
          <w:spacing w:val="80"/>
          <w:w w:val="150"/>
        </w:rPr>
        <w:t> </w:t>
      </w:r>
      <w:r>
        <w:rPr/>
        <w:t>open</w:t>
      </w:r>
      <w:r>
        <w:rPr>
          <w:spacing w:val="80"/>
          <w:w w:val="150"/>
        </w:rPr>
        <w:t> </w:t>
      </w:r>
      <w:r>
        <w:rPr/>
        <w:t>space</w:t>
      </w:r>
      <w:r>
        <w:rPr>
          <w:spacing w:val="80"/>
          <w:w w:val="150"/>
        </w:rPr>
        <w:t> </w:t>
      </w:r>
      <w:r>
        <w:rPr/>
        <w:t>in</w:t>
      </w:r>
      <w:r>
        <w:rPr>
          <w:spacing w:val="80"/>
          <w:w w:val="150"/>
        </w:rPr>
        <w:t> </w:t>
      </w:r>
      <w:r>
        <w:rPr/>
        <w:t>relation</w:t>
      </w:r>
      <w:r>
        <w:rPr>
          <w:spacing w:val="80"/>
          <w:w w:val="150"/>
        </w:rPr>
        <w:t> </w:t>
      </w:r>
      <w:r>
        <w:rPr/>
        <w:t>to</w:t>
      </w:r>
      <w:r>
        <w:rPr>
          <w:spacing w:val="80"/>
          <w:w w:val="150"/>
        </w:rPr>
        <w:t> </w:t>
      </w:r>
      <w:r>
        <w:rPr/>
        <w:t>the</w:t>
      </w:r>
      <w:r>
        <w:rPr>
          <w:spacing w:val="80"/>
          <w:w w:val="150"/>
        </w:rPr>
        <w:t> </w:t>
      </w:r>
      <w:r>
        <w:rPr/>
        <w:t>height</w:t>
      </w:r>
      <w:r>
        <w:rPr>
          <w:spacing w:val="80"/>
          <w:w w:val="150"/>
        </w:rPr>
        <w:t> </w:t>
      </w:r>
      <w:r>
        <w:rPr/>
        <w:t>of</w:t>
      </w:r>
      <w:r>
        <w:rPr>
          <w:spacing w:val="80"/>
          <w:w w:val="150"/>
        </w:rPr>
        <w:t> </w:t>
      </w:r>
      <w:r>
        <w:rPr/>
        <w:t>the building</w:t>
      </w:r>
      <w:r>
        <w:rPr>
          <w:spacing w:val="40"/>
        </w:rPr>
        <w:t> </w:t>
      </w:r>
      <w:r>
        <w:rPr/>
        <w:t>for</w:t>
      </w:r>
      <w:r>
        <w:rPr>
          <w:spacing w:val="40"/>
        </w:rPr>
        <w:t> </w:t>
      </w:r>
      <w:r>
        <w:rPr/>
        <w:t>light</w:t>
      </w:r>
      <w:r>
        <w:rPr>
          <w:spacing w:val="40"/>
        </w:rPr>
        <w:t> </w:t>
      </w:r>
      <w:r>
        <w:rPr/>
        <w:t>and</w:t>
      </w:r>
      <w:r>
        <w:rPr>
          <w:spacing w:val="40"/>
        </w:rPr>
        <w:t> </w:t>
      </w:r>
      <w:r>
        <w:rPr/>
        <w:t>ventilation-</w:t>
      </w:r>
    </w:p>
    <w:p>
      <w:pPr>
        <w:pStyle w:val="ListParagraph"/>
        <w:numPr>
          <w:ilvl w:val="0"/>
          <w:numId w:val="288"/>
        </w:numPr>
        <w:tabs>
          <w:tab w:pos="1721" w:val="left" w:leader="none"/>
        </w:tabs>
        <w:spacing w:line="240" w:lineRule="auto" w:before="0" w:after="0"/>
        <w:ind w:left="1721" w:right="0" w:hanging="228"/>
        <w:jc w:val="left"/>
        <w:rPr>
          <w:i/>
          <w:sz w:val="24"/>
        </w:rPr>
      </w:pPr>
      <w:r>
        <w:rPr>
          <w:b/>
          <w:i/>
          <w:sz w:val="24"/>
        </w:rPr>
        <w:t>Residential</w:t>
      </w:r>
      <w:r>
        <w:rPr>
          <w:b/>
          <w:i/>
          <w:spacing w:val="45"/>
          <w:w w:val="150"/>
          <w:sz w:val="24"/>
        </w:rPr>
        <w:t> </w:t>
      </w:r>
      <w:r>
        <w:rPr>
          <w:b/>
          <w:i/>
          <w:sz w:val="24"/>
        </w:rPr>
        <w:t>and</w:t>
      </w:r>
      <w:r>
        <w:rPr>
          <w:b/>
          <w:i/>
          <w:spacing w:val="45"/>
          <w:w w:val="150"/>
          <w:sz w:val="24"/>
        </w:rPr>
        <w:t> </w:t>
      </w:r>
      <w:r>
        <w:rPr>
          <w:b/>
          <w:i/>
          <w:sz w:val="24"/>
        </w:rPr>
        <w:t>Commercial</w:t>
      </w:r>
      <w:r>
        <w:rPr>
          <w:b/>
          <w:i/>
          <w:spacing w:val="40"/>
          <w:w w:val="150"/>
          <w:sz w:val="24"/>
        </w:rPr>
        <w:t> </w:t>
      </w:r>
      <w:r>
        <w:rPr>
          <w:b/>
          <w:i/>
          <w:spacing w:val="7"/>
          <w:sz w:val="24"/>
        </w:rPr>
        <w:t>Zones</w:t>
      </w:r>
      <w:r>
        <w:rPr>
          <w:i/>
          <w:spacing w:val="7"/>
          <w:sz w:val="24"/>
        </w:rPr>
        <w:t>-</w:t>
      </w:r>
    </w:p>
    <w:p>
      <w:pPr>
        <w:pStyle w:val="ListParagraph"/>
        <w:numPr>
          <w:ilvl w:val="1"/>
          <w:numId w:val="288"/>
        </w:numPr>
        <w:tabs>
          <w:tab w:pos="1805" w:val="left" w:leader="none"/>
        </w:tabs>
        <w:spacing w:line="240" w:lineRule="auto" w:before="2" w:after="0"/>
        <w:ind w:left="1493" w:right="801" w:firstLine="0"/>
        <w:jc w:val="left"/>
        <w:rPr>
          <w:sz w:val="24"/>
        </w:rPr>
      </w:pPr>
      <w:r>
        <w:rPr>
          <w:sz w:val="24"/>
        </w:rPr>
        <w:t>The</w:t>
      </w:r>
      <w:r>
        <w:rPr>
          <w:spacing w:val="40"/>
          <w:sz w:val="24"/>
        </w:rPr>
        <w:t> </w:t>
      </w:r>
      <w:r>
        <w:rPr>
          <w:sz w:val="24"/>
        </w:rPr>
        <w:t>open</w:t>
      </w:r>
      <w:r>
        <w:rPr>
          <w:spacing w:val="40"/>
          <w:sz w:val="24"/>
        </w:rPr>
        <w:t> </w:t>
      </w:r>
      <w:r>
        <w:rPr>
          <w:sz w:val="24"/>
        </w:rPr>
        <w:t>spaces</w:t>
      </w:r>
      <w:r>
        <w:rPr>
          <w:spacing w:val="40"/>
          <w:sz w:val="24"/>
        </w:rPr>
        <w:t> </w:t>
      </w:r>
      <w:r>
        <w:rPr>
          <w:sz w:val="24"/>
        </w:rPr>
        <w:t>on</w:t>
      </w:r>
      <w:r>
        <w:rPr>
          <w:spacing w:val="40"/>
          <w:sz w:val="24"/>
        </w:rPr>
        <w:t> </w:t>
      </w:r>
      <w:r>
        <w:rPr>
          <w:sz w:val="24"/>
        </w:rPr>
        <w:t>all</w:t>
      </w:r>
      <w:r>
        <w:rPr>
          <w:spacing w:val="40"/>
          <w:sz w:val="24"/>
        </w:rPr>
        <w:t> </w:t>
      </w:r>
      <w:r>
        <w:rPr>
          <w:sz w:val="24"/>
        </w:rPr>
        <w:t>sides</w:t>
      </w:r>
      <w:r>
        <w:rPr>
          <w:spacing w:val="40"/>
          <w:sz w:val="24"/>
        </w:rPr>
        <w:t> </w:t>
      </w:r>
      <w:r>
        <w:rPr>
          <w:sz w:val="24"/>
        </w:rPr>
        <w:t>except</w:t>
      </w:r>
      <w:r>
        <w:rPr>
          <w:spacing w:val="40"/>
          <w:sz w:val="24"/>
        </w:rPr>
        <w:t> </w:t>
      </w:r>
      <w:r>
        <w:rPr>
          <w:sz w:val="24"/>
        </w:rPr>
        <w:t>the</w:t>
      </w:r>
      <w:r>
        <w:rPr>
          <w:spacing w:val="40"/>
          <w:sz w:val="24"/>
        </w:rPr>
        <w:t> </w:t>
      </w:r>
      <w:r>
        <w:rPr>
          <w:sz w:val="24"/>
        </w:rPr>
        <w:t>front</w:t>
      </w:r>
      <w:r>
        <w:rPr>
          <w:spacing w:val="40"/>
          <w:sz w:val="24"/>
        </w:rPr>
        <w:t> </w:t>
      </w:r>
      <w:r>
        <w:rPr>
          <w:sz w:val="24"/>
        </w:rPr>
        <w:t>side</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shall be as follows:</w:t>
      </w:r>
    </w:p>
    <w:p>
      <w:pPr>
        <w:pStyle w:val="BodyText"/>
        <w:ind w:left="1313"/>
        <w:jc w:val="left"/>
      </w:pPr>
      <w:r>
        <w:rPr/>
        <w:t>Table</w:t>
      </w:r>
      <w:r>
        <w:rPr>
          <w:spacing w:val="53"/>
        </w:rPr>
        <w:t> </w:t>
      </w:r>
      <w:r>
        <w:rPr>
          <w:spacing w:val="-10"/>
        </w:rPr>
        <w:t>A</w:t>
      </w:r>
    </w:p>
    <w:p>
      <w:pPr>
        <w:pStyle w:val="BodyText"/>
        <w:spacing w:after="0"/>
        <w:jc w:val="left"/>
        <w:sectPr>
          <w:pgSz w:w="11910" w:h="16840"/>
          <w:pgMar w:header="1058" w:footer="1201" w:top="1500" w:bottom="1400" w:left="360" w:right="360"/>
        </w:sectPr>
      </w:pPr>
    </w:p>
    <w:p>
      <w:pPr>
        <w:pStyle w:val="BodyText"/>
        <w:jc w:val="left"/>
        <w:rPr>
          <w:sz w:val="20"/>
        </w:rPr>
      </w:pPr>
    </w:p>
    <w:p>
      <w:pPr>
        <w:pStyle w:val="BodyText"/>
        <w:spacing w:before="69"/>
        <w:jc w:val="left"/>
        <w:rPr>
          <w:sz w:val="20"/>
        </w:rPr>
      </w:pPr>
    </w:p>
    <w:tbl>
      <w:tblPr>
        <w:tblW w:w="0" w:type="auto"/>
        <w:jc w:val="left"/>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1430"/>
        <w:gridCol w:w="2098"/>
        <w:gridCol w:w="1656"/>
        <w:gridCol w:w="2175"/>
        <w:gridCol w:w="1164"/>
      </w:tblGrid>
      <w:tr>
        <w:trPr>
          <w:trHeight w:val="601" w:hRule="atLeast"/>
        </w:trPr>
        <w:tc>
          <w:tcPr>
            <w:tcW w:w="636" w:type="dxa"/>
            <w:vMerge w:val="restart"/>
            <w:shd w:val="clear" w:color="auto" w:fill="EDEBE0"/>
          </w:tcPr>
          <w:p>
            <w:pPr>
              <w:pStyle w:val="TableParagraph"/>
              <w:spacing w:line="280" w:lineRule="exact"/>
              <w:ind w:left="107"/>
              <w:rPr>
                <w:sz w:val="24"/>
              </w:rPr>
            </w:pPr>
            <w:r>
              <w:rPr>
                <w:spacing w:val="-5"/>
                <w:sz w:val="24"/>
              </w:rPr>
              <w:t>Sr.</w:t>
            </w:r>
          </w:p>
          <w:p>
            <w:pPr>
              <w:pStyle w:val="TableParagraph"/>
              <w:spacing w:line="281" w:lineRule="exact"/>
              <w:ind w:left="107"/>
              <w:rPr>
                <w:sz w:val="24"/>
              </w:rPr>
            </w:pPr>
            <w:r>
              <w:rPr>
                <w:spacing w:val="-5"/>
                <w:sz w:val="24"/>
              </w:rPr>
              <w:t>No.</w:t>
            </w:r>
          </w:p>
        </w:tc>
        <w:tc>
          <w:tcPr>
            <w:tcW w:w="1430" w:type="dxa"/>
            <w:vMerge w:val="restart"/>
            <w:shd w:val="clear" w:color="auto" w:fill="EDEBE0"/>
          </w:tcPr>
          <w:p>
            <w:pPr>
              <w:pStyle w:val="TableParagraph"/>
              <w:tabs>
                <w:tab w:pos="1088" w:val="left" w:leader="none"/>
              </w:tabs>
              <w:spacing w:line="280" w:lineRule="exact"/>
              <w:ind w:left="107"/>
              <w:rPr>
                <w:sz w:val="24"/>
              </w:rPr>
            </w:pPr>
            <w:r>
              <w:rPr>
                <w:spacing w:val="-5"/>
                <w:sz w:val="24"/>
              </w:rPr>
              <w:t>Ht.</w:t>
            </w:r>
            <w:r>
              <w:rPr>
                <w:sz w:val="24"/>
              </w:rPr>
              <w:tab/>
            </w:r>
            <w:r>
              <w:rPr>
                <w:spacing w:val="-5"/>
                <w:sz w:val="24"/>
              </w:rPr>
              <w:t>of</w:t>
            </w:r>
          </w:p>
          <w:p>
            <w:pPr>
              <w:pStyle w:val="TableParagraph"/>
              <w:ind w:left="107" w:right="31"/>
              <w:rPr>
                <w:sz w:val="24"/>
              </w:rPr>
            </w:pPr>
            <w:r>
              <w:rPr>
                <w:spacing w:val="-2"/>
                <w:sz w:val="24"/>
              </w:rPr>
              <w:t>Building </w:t>
            </w:r>
            <w:r>
              <w:rPr>
                <w:spacing w:val="-4"/>
                <w:sz w:val="24"/>
              </w:rPr>
              <w:t>(H)</w:t>
            </w:r>
          </w:p>
        </w:tc>
        <w:tc>
          <w:tcPr>
            <w:tcW w:w="3754" w:type="dxa"/>
            <w:gridSpan w:val="2"/>
            <w:shd w:val="clear" w:color="auto" w:fill="EDEBE0"/>
          </w:tcPr>
          <w:p>
            <w:pPr>
              <w:pStyle w:val="TableParagraph"/>
              <w:ind w:left="108" w:firstLine="86"/>
              <w:rPr>
                <w:sz w:val="24"/>
              </w:rPr>
            </w:pPr>
            <w:r>
              <w:rPr>
                <w:sz w:val="24"/>
              </w:rPr>
              <w:t>Side</w:t>
            </w:r>
            <w:r>
              <w:rPr>
                <w:spacing w:val="40"/>
                <w:sz w:val="24"/>
              </w:rPr>
              <w:t> </w:t>
            </w:r>
            <w:r>
              <w:rPr>
                <w:sz w:val="24"/>
              </w:rPr>
              <w:t>&amp;</w:t>
            </w:r>
            <w:r>
              <w:rPr>
                <w:spacing w:val="40"/>
                <w:sz w:val="24"/>
              </w:rPr>
              <w:t> </w:t>
            </w:r>
            <w:r>
              <w:rPr>
                <w:sz w:val="24"/>
              </w:rPr>
              <w:t>rear</w:t>
            </w:r>
            <w:r>
              <w:rPr>
                <w:spacing w:val="40"/>
                <w:sz w:val="24"/>
              </w:rPr>
              <w:t> </w:t>
            </w:r>
            <w:r>
              <w:rPr>
                <w:sz w:val="24"/>
              </w:rPr>
              <w:t>marginal</w:t>
            </w:r>
            <w:r>
              <w:rPr>
                <w:spacing w:val="40"/>
                <w:sz w:val="24"/>
              </w:rPr>
              <w:t> </w:t>
            </w:r>
            <w:r>
              <w:rPr>
                <w:sz w:val="24"/>
              </w:rPr>
              <w:t>open </w:t>
            </w:r>
            <w:r>
              <w:rPr>
                <w:spacing w:val="-2"/>
                <w:sz w:val="24"/>
              </w:rPr>
              <w:t>space</w:t>
            </w:r>
          </w:p>
        </w:tc>
        <w:tc>
          <w:tcPr>
            <w:tcW w:w="3339" w:type="dxa"/>
            <w:gridSpan w:val="2"/>
            <w:shd w:val="clear" w:color="auto" w:fill="EDEBE0"/>
          </w:tcPr>
          <w:p>
            <w:pPr>
              <w:pStyle w:val="TableParagraph"/>
              <w:tabs>
                <w:tab w:pos="909" w:val="left" w:leader="none"/>
                <w:tab w:pos="1350" w:val="left" w:leader="none"/>
                <w:tab w:pos="2102" w:val="left" w:leader="none"/>
              </w:tabs>
              <w:ind w:left="127" w:right="112"/>
              <w:rPr>
                <w:sz w:val="24"/>
              </w:rPr>
            </w:pPr>
            <w:r>
              <w:rPr>
                <w:spacing w:val="-4"/>
                <w:sz w:val="24"/>
              </w:rPr>
              <w:t>Side</w:t>
            </w:r>
            <w:r>
              <w:rPr>
                <w:sz w:val="24"/>
              </w:rPr>
              <w:tab/>
            </w:r>
            <w:r>
              <w:rPr>
                <w:spacing w:val="-10"/>
                <w:sz w:val="24"/>
              </w:rPr>
              <w:t>&amp;</w:t>
            </w:r>
            <w:r>
              <w:rPr>
                <w:sz w:val="24"/>
              </w:rPr>
              <w:tab/>
            </w:r>
            <w:r>
              <w:rPr>
                <w:spacing w:val="-4"/>
                <w:sz w:val="24"/>
              </w:rPr>
              <w:t>rear</w:t>
            </w:r>
            <w:r>
              <w:rPr>
                <w:sz w:val="24"/>
              </w:rPr>
              <w:tab/>
            </w:r>
            <w:r>
              <w:rPr>
                <w:spacing w:val="-2"/>
                <w:sz w:val="24"/>
              </w:rPr>
              <w:t>marginal </w:t>
            </w:r>
            <w:r>
              <w:rPr>
                <w:sz w:val="24"/>
              </w:rPr>
              <w:t>open </w:t>
            </w:r>
            <w:r>
              <w:rPr>
                <w:spacing w:val="9"/>
                <w:sz w:val="24"/>
              </w:rPr>
              <w:t>space</w:t>
            </w:r>
          </w:p>
        </w:tc>
      </w:tr>
      <w:tr>
        <w:trPr>
          <w:trHeight w:val="1168" w:hRule="atLeast"/>
        </w:trPr>
        <w:tc>
          <w:tcPr>
            <w:tcW w:w="636" w:type="dxa"/>
            <w:vMerge/>
            <w:tcBorders>
              <w:top w:val="nil"/>
            </w:tcBorders>
            <w:shd w:val="clear" w:color="auto" w:fill="EDEBE0"/>
          </w:tcPr>
          <w:p>
            <w:pPr>
              <w:rPr>
                <w:sz w:val="2"/>
                <w:szCs w:val="2"/>
              </w:rPr>
            </w:pPr>
          </w:p>
        </w:tc>
        <w:tc>
          <w:tcPr>
            <w:tcW w:w="1430" w:type="dxa"/>
            <w:vMerge/>
            <w:tcBorders>
              <w:top w:val="nil"/>
            </w:tcBorders>
            <w:shd w:val="clear" w:color="auto" w:fill="EDEBE0"/>
          </w:tcPr>
          <w:p>
            <w:pPr>
              <w:rPr>
                <w:sz w:val="2"/>
                <w:szCs w:val="2"/>
              </w:rPr>
            </w:pPr>
          </w:p>
        </w:tc>
        <w:tc>
          <w:tcPr>
            <w:tcW w:w="3754" w:type="dxa"/>
            <w:gridSpan w:val="2"/>
            <w:shd w:val="clear" w:color="auto" w:fill="EDEBE0"/>
          </w:tcPr>
          <w:p>
            <w:pPr>
              <w:pStyle w:val="TableParagraph"/>
              <w:spacing w:before="1"/>
              <w:ind w:left="108" w:right="79"/>
              <w:jc w:val="both"/>
              <w:rPr>
                <w:sz w:val="24"/>
              </w:rPr>
            </w:pPr>
            <w:r>
              <w:rPr>
                <w:sz w:val="24"/>
              </w:rPr>
              <w:t>Plot up to 1000 sq. m or where average </w:t>
            </w:r>
            <w:r>
              <w:rPr>
                <w:spacing w:val="9"/>
                <w:sz w:val="24"/>
              </w:rPr>
              <w:t>width/depth </w:t>
            </w:r>
            <w:r>
              <w:rPr>
                <w:sz w:val="24"/>
              </w:rPr>
              <w:t>of</w:t>
            </w:r>
            <w:r>
              <w:rPr>
                <w:spacing w:val="40"/>
                <w:sz w:val="24"/>
              </w:rPr>
              <w:t> </w:t>
            </w:r>
            <w:r>
              <w:rPr>
                <w:sz w:val="24"/>
              </w:rPr>
              <w:t>plot</w:t>
            </w:r>
            <w:r>
              <w:rPr>
                <w:spacing w:val="40"/>
                <w:sz w:val="24"/>
              </w:rPr>
              <w:t> </w:t>
            </w:r>
            <w:r>
              <w:rPr>
                <w:sz w:val="24"/>
              </w:rPr>
              <w:t>is</w:t>
            </w:r>
            <w:r>
              <w:rPr>
                <w:spacing w:val="40"/>
                <w:sz w:val="24"/>
              </w:rPr>
              <w:t> </w:t>
            </w:r>
            <w:r>
              <w:rPr>
                <w:sz w:val="24"/>
              </w:rPr>
              <w:t>less</w:t>
            </w:r>
            <w:r>
              <w:rPr>
                <w:spacing w:val="40"/>
                <w:sz w:val="24"/>
              </w:rPr>
              <w:t> </w:t>
            </w:r>
            <w:r>
              <w:rPr>
                <w:sz w:val="24"/>
              </w:rPr>
              <w:t>than</w:t>
            </w:r>
            <w:r>
              <w:rPr>
                <w:spacing w:val="40"/>
                <w:sz w:val="24"/>
              </w:rPr>
              <w:t> </w:t>
            </w:r>
            <w:r>
              <w:rPr>
                <w:sz w:val="24"/>
              </w:rPr>
              <w:t>20</w:t>
            </w:r>
            <w:r>
              <w:rPr>
                <w:spacing w:val="40"/>
                <w:sz w:val="24"/>
              </w:rPr>
              <w:t> </w:t>
            </w:r>
            <w:r>
              <w:rPr>
                <w:sz w:val="24"/>
              </w:rPr>
              <w:t>m</w:t>
            </w:r>
          </w:p>
        </w:tc>
        <w:tc>
          <w:tcPr>
            <w:tcW w:w="3339" w:type="dxa"/>
            <w:gridSpan w:val="2"/>
            <w:shd w:val="clear" w:color="auto" w:fill="EDEBE0"/>
          </w:tcPr>
          <w:p>
            <w:pPr>
              <w:pStyle w:val="TableParagraph"/>
              <w:spacing w:before="1"/>
              <w:ind w:left="127" w:right="107"/>
              <w:jc w:val="both"/>
              <w:rPr>
                <w:sz w:val="24"/>
              </w:rPr>
            </w:pPr>
            <w:r>
              <w:rPr>
                <w:sz w:val="24"/>
              </w:rPr>
              <w:t>Plot size more than 1000 sq. m and average width/depth</w:t>
            </w:r>
            <w:r>
              <w:rPr>
                <w:spacing w:val="80"/>
                <w:sz w:val="24"/>
              </w:rPr>
              <w:t> </w:t>
            </w:r>
            <w:r>
              <w:rPr>
                <w:sz w:val="24"/>
              </w:rPr>
              <w:t>of</w:t>
            </w:r>
            <w:r>
              <w:rPr>
                <w:spacing w:val="80"/>
                <w:sz w:val="24"/>
              </w:rPr>
              <w:t> </w:t>
            </w:r>
            <w:r>
              <w:rPr>
                <w:sz w:val="24"/>
              </w:rPr>
              <w:t>plot</w:t>
            </w:r>
            <w:r>
              <w:rPr>
                <w:spacing w:val="40"/>
                <w:sz w:val="24"/>
              </w:rPr>
              <w:t> </w:t>
            </w:r>
            <w:r>
              <w:rPr>
                <w:sz w:val="24"/>
              </w:rPr>
              <w:t>more 20 m</w:t>
            </w:r>
          </w:p>
        </w:tc>
      </w:tr>
      <w:tr>
        <w:trPr>
          <w:trHeight w:val="601" w:hRule="atLeast"/>
        </w:trPr>
        <w:tc>
          <w:tcPr>
            <w:tcW w:w="636" w:type="dxa"/>
          </w:tcPr>
          <w:p>
            <w:pPr>
              <w:pStyle w:val="TableParagraph"/>
              <w:rPr>
                <w:rFonts w:ascii="Times New Roman"/>
                <w:sz w:val="22"/>
              </w:rPr>
            </w:pPr>
          </w:p>
        </w:tc>
        <w:tc>
          <w:tcPr>
            <w:tcW w:w="1430" w:type="dxa"/>
          </w:tcPr>
          <w:p>
            <w:pPr>
              <w:pStyle w:val="TableParagraph"/>
              <w:rPr>
                <w:rFonts w:ascii="Times New Roman"/>
                <w:sz w:val="22"/>
              </w:rPr>
            </w:pPr>
          </w:p>
        </w:tc>
        <w:tc>
          <w:tcPr>
            <w:tcW w:w="2098" w:type="dxa"/>
          </w:tcPr>
          <w:p>
            <w:pPr>
              <w:pStyle w:val="TableParagraph"/>
              <w:tabs>
                <w:tab w:pos="1784" w:val="left" w:leader="none"/>
              </w:tabs>
              <w:spacing w:line="280" w:lineRule="exact"/>
              <w:ind w:left="108"/>
              <w:rPr>
                <w:sz w:val="24"/>
              </w:rPr>
            </w:pPr>
            <w:r>
              <w:rPr>
                <w:spacing w:val="-2"/>
                <w:sz w:val="24"/>
              </w:rPr>
              <w:t>Light</w:t>
            </w:r>
            <w:r>
              <w:rPr>
                <w:sz w:val="24"/>
              </w:rPr>
              <w:tab/>
            </w:r>
            <w:r>
              <w:rPr>
                <w:spacing w:val="-10"/>
                <w:sz w:val="24"/>
              </w:rPr>
              <w:t>&amp;</w:t>
            </w:r>
          </w:p>
          <w:p>
            <w:pPr>
              <w:pStyle w:val="TableParagraph"/>
              <w:spacing w:line="281" w:lineRule="exact"/>
              <w:ind w:left="108"/>
              <w:rPr>
                <w:sz w:val="24"/>
              </w:rPr>
            </w:pPr>
            <w:r>
              <w:rPr>
                <w:spacing w:val="7"/>
                <w:sz w:val="24"/>
              </w:rPr>
              <w:t>ventilation</w:t>
            </w:r>
          </w:p>
        </w:tc>
        <w:tc>
          <w:tcPr>
            <w:tcW w:w="1656" w:type="dxa"/>
          </w:tcPr>
          <w:p>
            <w:pPr>
              <w:pStyle w:val="TableParagraph"/>
              <w:spacing w:line="281" w:lineRule="exact"/>
              <w:ind w:left="105"/>
              <w:rPr>
                <w:sz w:val="24"/>
              </w:rPr>
            </w:pPr>
            <w:r>
              <w:rPr>
                <w:sz w:val="24"/>
              </w:rPr>
              <w:t>Dead</w:t>
            </w:r>
            <w:r>
              <w:rPr>
                <w:spacing w:val="46"/>
                <w:sz w:val="24"/>
              </w:rPr>
              <w:t> </w:t>
            </w:r>
            <w:r>
              <w:rPr>
                <w:spacing w:val="-4"/>
                <w:sz w:val="24"/>
              </w:rPr>
              <w:t>wall</w:t>
            </w:r>
          </w:p>
        </w:tc>
        <w:tc>
          <w:tcPr>
            <w:tcW w:w="2175" w:type="dxa"/>
          </w:tcPr>
          <w:p>
            <w:pPr>
              <w:pStyle w:val="TableParagraph"/>
              <w:tabs>
                <w:tab w:pos="1861" w:val="left" w:leader="none"/>
              </w:tabs>
              <w:spacing w:line="280" w:lineRule="exact"/>
              <w:ind w:left="106"/>
              <w:rPr>
                <w:sz w:val="24"/>
              </w:rPr>
            </w:pPr>
            <w:r>
              <w:rPr>
                <w:spacing w:val="-2"/>
                <w:sz w:val="24"/>
              </w:rPr>
              <w:t>Light</w:t>
            </w:r>
            <w:r>
              <w:rPr>
                <w:sz w:val="24"/>
              </w:rPr>
              <w:tab/>
            </w:r>
            <w:r>
              <w:rPr>
                <w:spacing w:val="-10"/>
                <w:sz w:val="24"/>
              </w:rPr>
              <w:t>&amp;</w:t>
            </w:r>
          </w:p>
          <w:p>
            <w:pPr>
              <w:pStyle w:val="TableParagraph"/>
              <w:spacing w:line="281" w:lineRule="exact"/>
              <w:ind w:left="106"/>
              <w:rPr>
                <w:sz w:val="24"/>
              </w:rPr>
            </w:pPr>
            <w:r>
              <w:rPr>
                <w:spacing w:val="7"/>
                <w:sz w:val="24"/>
              </w:rPr>
              <w:t>ventilation</w:t>
            </w:r>
          </w:p>
        </w:tc>
        <w:tc>
          <w:tcPr>
            <w:tcW w:w="1164" w:type="dxa"/>
          </w:tcPr>
          <w:p>
            <w:pPr>
              <w:pStyle w:val="TableParagraph"/>
              <w:ind w:left="108" w:right="22"/>
              <w:rPr>
                <w:sz w:val="24"/>
              </w:rPr>
            </w:pPr>
            <w:r>
              <w:rPr>
                <w:spacing w:val="-4"/>
                <w:sz w:val="24"/>
              </w:rPr>
              <w:t>Dead wall</w:t>
            </w:r>
          </w:p>
        </w:tc>
      </w:tr>
      <w:tr>
        <w:trPr>
          <w:trHeight w:val="2256" w:hRule="atLeast"/>
        </w:trPr>
        <w:tc>
          <w:tcPr>
            <w:tcW w:w="636" w:type="dxa"/>
          </w:tcPr>
          <w:p>
            <w:pPr>
              <w:pStyle w:val="TableParagraph"/>
              <w:spacing w:before="42"/>
              <w:ind w:left="107"/>
              <w:rPr>
                <w:sz w:val="24"/>
              </w:rPr>
            </w:pPr>
            <w:r>
              <w:rPr>
                <w:spacing w:val="-10"/>
                <w:sz w:val="24"/>
              </w:rPr>
              <w:t>1</w:t>
            </w:r>
          </w:p>
        </w:tc>
        <w:tc>
          <w:tcPr>
            <w:tcW w:w="1430" w:type="dxa"/>
          </w:tcPr>
          <w:p>
            <w:pPr>
              <w:pStyle w:val="TableParagraph"/>
              <w:spacing w:before="1"/>
              <w:ind w:left="107" w:right="31"/>
              <w:rPr>
                <w:sz w:val="24"/>
              </w:rPr>
            </w:pPr>
            <w:r>
              <w:rPr>
                <w:sz w:val="24"/>
              </w:rPr>
              <w:t>Up</w:t>
            </w:r>
            <w:r>
              <w:rPr>
                <w:spacing w:val="40"/>
                <w:sz w:val="24"/>
              </w:rPr>
              <w:t> </w:t>
            </w:r>
            <w:r>
              <w:rPr>
                <w:sz w:val="24"/>
              </w:rPr>
              <w:t>to</w:t>
            </w:r>
            <w:r>
              <w:rPr>
                <w:spacing w:val="40"/>
                <w:sz w:val="24"/>
              </w:rPr>
              <w:t> </w:t>
            </w:r>
            <w:r>
              <w:rPr>
                <w:sz w:val="24"/>
              </w:rPr>
              <w:t>32 </w:t>
            </w:r>
            <w:r>
              <w:rPr>
                <w:spacing w:val="-10"/>
                <w:sz w:val="24"/>
              </w:rPr>
              <w:t>m</w:t>
            </w:r>
          </w:p>
        </w:tc>
        <w:tc>
          <w:tcPr>
            <w:tcW w:w="2098" w:type="dxa"/>
          </w:tcPr>
          <w:p>
            <w:pPr>
              <w:pStyle w:val="TableParagraph"/>
              <w:tabs>
                <w:tab w:pos="907" w:val="left" w:leader="none"/>
                <w:tab w:pos="1332" w:val="left" w:leader="none"/>
                <w:tab w:pos="1755" w:val="left" w:leader="none"/>
              </w:tabs>
              <w:spacing w:before="1"/>
              <w:ind w:left="108" w:right="108"/>
              <w:rPr>
                <w:sz w:val="24"/>
              </w:rPr>
            </w:pPr>
            <w:r>
              <w:rPr>
                <w:spacing w:val="-4"/>
                <w:sz w:val="24"/>
              </w:rPr>
              <w:t>Min</w:t>
            </w:r>
            <w:r>
              <w:rPr>
                <w:sz w:val="24"/>
              </w:rPr>
              <w:tab/>
            </w:r>
            <w:r>
              <w:rPr>
                <w:spacing w:val="-10"/>
                <w:sz w:val="24"/>
              </w:rPr>
              <w:t>-</w:t>
            </w:r>
            <w:r>
              <w:rPr>
                <w:sz w:val="24"/>
              </w:rPr>
              <w:tab/>
            </w:r>
            <w:r>
              <w:rPr>
                <w:spacing w:val="-4"/>
                <w:sz w:val="24"/>
              </w:rPr>
              <w:t>3.6in case</w:t>
            </w:r>
            <w:r>
              <w:rPr>
                <w:sz w:val="24"/>
              </w:rPr>
              <w:tab/>
              <w:tab/>
              <w:tab/>
            </w:r>
            <w:r>
              <w:rPr>
                <w:spacing w:val="-5"/>
                <w:sz w:val="24"/>
              </w:rPr>
              <w:t>of</w:t>
            </w:r>
          </w:p>
          <w:p>
            <w:pPr>
              <w:pStyle w:val="TableParagraph"/>
              <w:tabs>
                <w:tab w:pos="546" w:val="left" w:leader="none"/>
                <w:tab w:pos="999" w:val="left" w:leader="none"/>
                <w:tab w:pos="1754" w:val="left" w:leader="none"/>
              </w:tabs>
              <w:ind w:left="108" w:right="99"/>
              <w:rPr>
                <w:sz w:val="24"/>
              </w:rPr>
            </w:pPr>
            <w:r>
              <w:rPr>
                <w:spacing w:val="7"/>
                <w:sz w:val="24"/>
              </w:rPr>
              <w:t>Residential </w:t>
            </w:r>
            <w:r>
              <w:rPr>
                <w:sz w:val="24"/>
              </w:rPr>
              <w:t>building</w:t>
            </w:r>
            <w:r>
              <w:rPr>
                <w:spacing w:val="40"/>
                <w:sz w:val="24"/>
              </w:rPr>
              <w:t> </w:t>
            </w:r>
            <w:r>
              <w:rPr>
                <w:sz w:val="24"/>
              </w:rPr>
              <w:t>&amp;</w:t>
            </w:r>
            <w:r>
              <w:rPr>
                <w:spacing w:val="40"/>
                <w:sz w:val="24"/>
              </w:rPr>
              <w:t> </w:t>
            </w:r>
            <w:r>
              <w:rPr>
                <w:sz w:val="24"/>
              </w:rPr>
              <w:t>4.5 </w:t>
            </w:r>
            <w:r>
              <w:rPr>
                <w:spacing w:val="-10"/>
                <w:sz w:val="24"/>
              </w:rPr>
              <w:t>m</w:t>
            </w:r>
            <w:r>
              <w:rPr>
                <w:sz w:val="24"/>
              </w:rPr>
              <w:tab/>
            </w:r>
            <w:r>
              <w:rPr>
                <w:spacing w:val="-6"/>
                <w:sz w:val="24"/>
              </w:rPr>
              <w:t>in</w:t>
            </w:r>
            <w:r>
              <w:rPr>
                <w:sz w:val="24"/>
              </w:rPr>
              <w:tab/>
            </w:r>
            <w:r>
              <w:rPr>
                <w:spacing w:val="-4"/>
                <w:sz w:val="24"/>
              </w:rPr>
              <w:t>case</w:t>
            </w:r>
            <w:r>
              <w:rPr>
                <w:sz w:val="24"/>
              </w:rPr>
              <w:tab/>
            </w:r>
            <w:r>
              <w:rPr>
                <w:spacing w:val="-6"/>
                <w:sz w:val="24"/>
              </w:rPr>
              <w:t>of </w:t>
            </w:r>
            <w:r>
              <w:rPr>
                <w:spacing w:val="7"/>
                <w:sz w:val="24"/>
              </w:rPr>
              <w:t>commercial</w:t>
            </w:r>
          </w:p>
          <w:p>
            <w:pPr>
              <w:pStyle w:val="TableParagraph"/>
              <w:spacing w:line="280" w:lineRule="exact"/>
              <w:ind w:left="108" w:right="181"/>
              <w:rPr>
                <w:sz w:val="24"/>
              </w:rPr>
            </w:pPr>
            <w:r>
              <w:rPr>
                <w:spacing w:val="-2"/>
                <w:sz w:val="24"/>
              </w:rPr>
              <w:t>building</w:t>
            </w:r>
            <w:r>
              <w:rPr>
                <w:spacing w:val="40"/>
                <w:sz w:val="24"/>
              </w:rPr>
              <w:t> </w:t>
            </w:r>
            <w:r>
              <w:rPr>
                <w:sz w:val="24"/>
              </w:rPr>
              <w:t>subject to </w:t>
            </w:r>
            <w:r>
              <w:rPr>
                <w:sz w:val="24"/>
              </w:rPr>
              <w:t>H/5</w:t>
            </w:r>
          </w:p>
        </w:tc>
        <w:tc>
          <w:tcPr>
            <w:tcW w:w="1656" w:type="dxa"/>
          </w:tcPr>
          <w:p>
            <w:pPr>
              <w:pStyle w:val="TableParagraph"/>
              <w:spacing w:before="1"/>
              <w:ind w:left="105"/>
              <w:rPr>
                <w:sz w:val="24"/>
              </w:rPr>
            </w:pPr>
            <w:r>
              <w:rPr>
                <w:sz w:val="24"/>
              </w:rPr>
              <w:t>3.6</w:t>
            </w:r>
            <w:r>
              <w:rPr>
                <w:spacing w:val="35"/>
                <w:sz w:val="24"/>
              </w:rPr>
              <w:t> </w:t>
            </w:r>
            <w:r>
              <w:rPr>
                <w:spacing w:val="-10"/>
                <w:sz w:val="24"/>
              </w:rPr>
              <w:t>m</w:t>
            </w:r>
          </w:p>
        </w:tc>
        <w:tc>
          <w:tcPr>
            <w:tcW w:w="2175" w:type="dxa"/>
          </w:tcPr>
          <w:p>
            <w:pPr>
              <w:pStyle w:val="TableParagraph"/>
              <w:tabs>
                <w:tab w:pos="943" w:val="left" w:leader="none"/>
                <w:tab w:pos="1409" w:val="left" w:leader="none"/>
                <w:tab w:pos="1833" w:val="left" w:leader="none"/>
              </w:tabs>
              <w:spacing w:before="1"/>
              <w:ind w:left="106" w:right="108"/>
              <w:rPr>
                <w:sz w:val="24"/>
              </w:rPr>
            </w:pPr>
            <w:r>
              <w:rPr>
                <w:spacing w:val="-4"/>
                <w:sz w:val="24"/>
              </w:rPr>
              <w:t>Min</w:t>
            </w:r>
            <w:r>
              <w:rPr>
                <w:sz w:val="24"/>
              </w:rPr>
              <w:tab/>
            </w:r>
            <w:r>
              <w:rPr>
                <w:spacing w:val="-10"/>
                <w:sz w:val="24"/>
              </w:rPr>
              <w:t>-</w:t>
            </w:r>
            <w:r>
              <w:rPr>
                <w:sz w:val="24"/>
              </w:rPr>
              <w:tab/>
            </w:r>
            <w:r>
              <w:rPr>
                <w:spacing w:val="-4"/>
                <w:sz w:val="24"/>
              </w:rPr>
              <w:t>3.6in case</w:t>
            </w:r>
            <w:r>
              <w:rPr>
                <w:sz w:val="24"/>
              </w:rPr>
              <w:tab/>
              <w:tab/>
              <w:tab/>
            </w:r>
            <w:r>
              <w:rPr>
                <w:spacing w:val="-5"/>
                <w:sz w:val="24"/>
              </w:rPr>
              <w:t>of</w:t>
            </w:r>
          </w:p>
          <w:p>
            <w:pPr>
              <w:pStyle w:val="TableParagraph"/>
              <w:tabs>
                <w:tab w:pos="571" w:val="left" w:leader="none"/>
                <w:tab w:pos="1050" w:val="left" w:leader="none"/>
                <w:tab w:pos="1831" w:val="left" w:leader="none"/>
              </w:tabs>
              <w:ind w:left="106" w:right="99"/>
              <w:rPr>
                <w:sz w:val="24"/>
              </w:rPr>
            </w:pPr>
            <w:r>
              <w:rPr>
                <w:spacing w:val="7"/>
                <w:sz w:val="24"/>
              </w:rPr>
              <w:t>Residential </w:t>
            </w:r>
            <w:r>
              <w:rPr>
                <w:sz w:val="24"/>
              </w:rPr>
              <w:t>building</w:t>
            </w:r>
            <w:r>
              <w:rPr>
                <w:spacing w:val="40"/>
                <w:sz w:val="24"/>
              </w:rPr>
              <w:t> </w:t>
            </w:r>
            <w:r>
              <w:rPr>
                <w:sz w:val="24"/>
              </w:rPr>
              <w:t>&amp;</w:t>
            </w:r>
            <w:r>
              <w:rPr>
                <w:spacing w:val="40"/>
                <w:sz w:val="24"/>
              </w:rPr>
              <w:t> </w:t>
            </w:r>
            <w:r>
              <w:rPr>
                <w:sz w:val="24"/>
              </w:rPr>
              <w:t>4.5 </w:t>
            </w:r>
            <w:r>
              <w:rPr>
                <w:spacing w:val="-10"/>
                <w:sz w:val="24"/>
              </w:rPr>
              <w:t>m</w:t>
            </w:r>
            <w:r>
              <w:rPr>
                <w:sz w:val="24"/>
              </w:rPr>
              <w:tab/>
            </w:r>
            <w:r>
              <w:rPr>
                <w:spacing w:val="-6"/>
                <w:sz w:val="24"/>
              </w:rPr>
              <w:t>in</w:t>
            </w:r>
            <w:r>
              <w:rPr>
                <w:sz w:val="24"/>
              </w:rPr>
              <w:tab/>
            </w:r>
            <w:r>
              <w:rPr>
                <w:spacing w:val="-4"/>
                <w:sz w:val="24"/>
              </w:rPr>
              <w:t>case</w:t>
            </w:r>
            <w:r>
              <w:rPr>
                <w:sz w:val="24"/>
              </w:rPr>
              <w:tab/>
            </w:r>
            <w:r>
              <w:rPr>
                <w:spacing w:val="-6"/>
                <w:sz w:val="24"/>
              </w:rPr>
              <w:t>of </w:t>
            </w:r>
            <w:r>
              <w:rPr>
                <w:spacing w:val="7"/>
                <w:sz w:val="24"/>
              </w:rPr>
              <w:t>commercial</w:t>
            </w:r>
          </w:p>
          <w:p>
            <w:pPr>
              <w:pStyle w:val="TableParagraph"/>
              <w:spacing w:line="280" w:lineRule="exact"/>
              <w:ind w:left="106" w:right="260"/>
              <w:rPr>
                <w:sz w:val="24"/>
              </w:rPr>
            </w:pPr>
            <w:r>
              <w:rPr>
                <w:spacing w:val="-2"/>
                <w:sz w:val="24"/>
              </w:rPr>
              <w:t>building</w:t>
            </w:r>
            <w:r>
              <w:rPr>
                <w:spacing w:val="40"/>
                <w:sz w:val="24"/>
              </w:rPr>
              <w:t> </w:t>
            </w:r>
            <w:r>
              <w:rPr>
                <w:sz w:val="24"/>
              </w:rPr>
              <w:t>subject to </w:t>
            </w:r>
            <w:r>
              <w:rPr>
                <w:sz w:val="24"/>
              </w:rPr>
              <w:t>H/4</w:t>
            </w:r>
          </w:p>
        </w:tc>
        <w:tc>
          <w:tcPr>
            <w:tcW w:w="1164" w:type="dxa"/>
          </w:tcPr>
          <w:p>
            <w:pPr>
              <w:pStyle w:val="TableParagraph"/>
              <w:spacing w:before="1"/>
              <w:ind w:left="108"/>
              <w:rPr>
                <w:sz w:val="24"/>
              </w:rPr>
            </w:pPr>
            <w:r>
              <w:rPr>
                <w:sz w:val="24"/>
              </w:rPr>
              <w:t>3.6</w:t>
            </w:r>
            <w:r>
              <w:rPr>
                <w:spacing w:val="35"/>
                <w:sz w:val="24"/>
              </w:rPr>
              <w:t> </w:t>
            </w:r>
            <w:r>
              <w:rPr>
                <w:spacing w:val="-10"/>
                <w:sz w:val="24"/>
              </w:rPr>
              <w:t>m</w:t>
            </w:r>
          </w:p>
        </w:tc>
      </w:tr>
      <w:tr>
        <w:trPr>
          <w:trHeight w:val="1125" w:hRule="atLeast"/>
        </w:trPr>
        <w:tc>
          <w:tcPr>
            <w:tcW w:w="636" w:type="dxa"/>
          </w:tcPr>
          <w:p>
            <w:pPr>
              <w:pStyle w:val="TableParagraph"/>
              <w:spacing w:before="40"/>
              <w:ind w:left="107"/>
              <w:rPr>
                <w:sz w:val="24"/>
              </w:rPr>
            </w:pPr>
            <w:r>
              <w:rPr>
                <w:spacing w:val="-10"/>
                <w:sz w:val="24"/>
              </w:rPr>
              <w:t>2</w:t>
            </w:r>
          </w:p>
        </w:tc>
        <w:tc>
          <w:tcPr>
            <w:tcW w:w="1430" w:type="dxa"/>
          </w:tcPr>
          <w:p>
            <w:pPr>
              <w:pStyle w:val="TableParagraph"/>
              <w:tabs>
                <w:tab w:pos="1001" w:val="left" w:leader="none"/>
              </w:tabs>
              <w:ind w:left="107" w:right="109"/>
              <w:rPr>
                <w:sz w:val="24"/>
              </w:rPr>
            </w:pPr>
            <w:r>
              <w:rPr>
                <w:spacing w:val="-4"/>
                <w:sz w:val="24"/>
              </w:rPr>
              <w:t>More</w:t>
            </w:r>
            <w:r>
              <w:rPr>
                <w:spacing w:val="80"/>
                <w:sz w:val="24"/>
              </w:rPr>
              <w:t> </w:t>
            </w:r>
            <w:r>
              <w:rPr>
                <w:spacing w:val="-4"/>
                <w:sz w:val="24"/>
              </w:rPr>
              <w:t>than</w:t>
            </w:r>
            <w:r>
              <w:rPr>
                <w:sz w:val="24"/>
              </w:rPr>
              <w:tab/>
            </w:r>
            <w:r>
              <w:rPr>
                <w:spacing w:val="-6"/>
                <w:sz w:val="24"/>
              </w:rPr>
              <w:t>32 </w:t>
            </w:r>
            <w:r>
              <w:rPr>
                <w:sz w:val="24"/>
              </w:rPr>
              <w:t>m</w:t>
            </w:r>
            <w:r>
              <w:rPr>
                <w:spacing w:val="-1"/>
                <w:sz w:val="24"/>
              </w:rPr>
              <w:t> </w:t>
            </w:r>
            <w:r>
              <w:rPr>
                <w:sz w:val="24"/>
              </w:rPr>
              <w:t>&amp;</w:t>
            </w:r>
            <w:r>
              <w:rPr>
                <w:spacing w:val="2"/>
                <w:sz w:val="24"/>
              </w:rPr>
              <w:t> </w:t>
            </w:r>
            <w:r>
              <w:rPr>
                <w:sz w:val="24"/>
              </w:rPr>
              <w:t>up</w:t>
            </w:r>
            <w:r>
              <w:rPr>
                <w:spacing w:val="3"/>
                <w:sz w:val="24"/>
              </w:rPr>
              <w:t> </w:t>
            </w:r>
            <w:r>
              <w:rPr>
                <w:spacing w:val="-5"/>
                <w:sz w:val="24"/>
              </w:rPr>
              <w:t>to</w:t>
            </w:r>
          </w:p>
          <w:p>
            <w:pPr>
              <w:pStyle w:val="TableParagraph"/>
              <w:spacing w:line="261" w:lineRule="exact"/>
              <w:ind w:left="107"/>
              <w:rPr>
                <w:sz w:val="24"/>
              </w:rPr>
            </w:pPr>
            <w:r>
              <w:rPr>
                <w:sz w:val="24"/>
              </w:rPr>
              <w:t>70</w:t>
            </w:r>
            <w:r>
              <w:rPr>
                <w:spacing w:val="28"/>
                <w:sz w:val="24"/>
              </w:rPr>
              <w:t> </w:t>
            </w:r>
            <w:r>
              <w:rPr>
                <w:spacing w:val="-10"/>
                <w:sz w:val="24"/>
              </w:rPr>
              <w:t>m</w:t>
            </w:r>
          </w:p>
        </w:tc>
        <w:tc>
          <w:tcPr>
            <w:tcW w:w="2098" w:type="dxa"/>
          </w:tcPr>
          <w:p>
            <w:pPr>
              <w:pStyle w:val="TableParagraph"/>
              <w:ind w:left="108" w:right="98"/>
              <w:jc w:val="both"/>
              <w:rPr>
                <w:sz w:val="24"/>
              </w:rPr>
            </w:pPr>
            <w:r>
              <w:rPr>
                <w:sz w:val="24"/>
              </w:rPr>
              <w:t>H/5 subject to maximum </w:t>
            </w:r>
            <w:r>
              <w:rPr>
                <w:sz w:val="24"/>
              </w:rPr>
              <w:t>12</w:t>
            </w:r>
            <w:r>
              <w:rPr>
                <w:spacing w:val="80"/>
                <w:sz w:val="24"/>
              </w:rPr>
              <w:t> </w:t>
            </w:r>
            <w:r>
              <w:rPr>
                <w:spacing w:val="-10"/>
                <w:sz w:val="24"/>
              </w:rPr>
              <w:t>m</w:t>
            </w:r>
          </w:p>
        </w:tc>
        <w:tc>
          <w:tcPr>
            <w:tcW w:w="1656" w:type="dxa"/>
          </w:tcPr>
          <w:p>
            <w:pPr>
              <w:pStyle w:val="TableParagraph"/>
              <w:spacing w:line="281" w:lineRule="exact"/>
              <w:ind w:left="105"/>
              <w:rPr>
                <w:sz w:val="24"/>
              </w:rPr>
            </w:pPr>
            <w:r>
              <w:rPr>
                <w:sz w:val="24"/>
              </w:rPr>
              <w:t>6</w:t>
            </w:r>
            <w:r>
              <w:rPr>
                <w:spacing w:val="19"/>
                <w:sz w:val="24"/>
              </w:rPr>
              <w:t> </w:t>
            </w:r>
            <w:r>
              <w:rPr>
                <w:spacing w:val="-10"/>
                <w:sz w:val="24"/>
              </w:rPr>
              <w:t>m</w:t>
            </w:r>
          </w:p>
        </w:tc>
        <w:tc>
          <w:tcPr>
            <w:tcW w:w="2175" w:type="dxa"/>
          </w:tcPr>
          <w:p>
            <w:pPr>
              <w:pStyle w:val="TableParagraph"/>
              <w:ind w:left="106"/>
              <w:rPr>
                <w:sz w:val="24"/>
              </w:rPr>
            </w:pPr>
            <w:r>
              <w:rPr>
                <w:sz w:val="24"/>
              </w:rPr>
              <w:t>H/4</w:t>
            </w:r>
            <w:r>
              <w:rPr>
                <w:spacing w:val="40"/>
                <w:sz w:val="24"/>
              </w:rPr>
              <w:t> </w:t>
            </w:r>
            <w:r>
              <w:rPr>
                <w:sz w:val="24"/>
              </w:rPr>
              <w:t>subject</w:t>
            </w:r>
            <w:r>
              <w:rPr>
                <w:spacing w:val="40"/>
                <w:sz w:val="24"/>
              </w:rPr>
              <w:t> </w:t>
            </w:r>
            <w:r>
              <w:rPr>
                <w:sz w:val="24"/>
              </w:rPr>
              <w:t>to </w:t>
            </w:r>
            <w:r>
              <w:rPr>
                <w:spacing w:val="-2"/>
                <w:sz w:val="24"/>
              </w:rPr>
              <w:t>maximum</w:t>
            </w:r>
          </w:p>
          <w:p>
            <w:pPr>
              <w:pStyle w:val="TableParagraph"/>
              <w:ind w:left="106"/>
              <w:rPr>
                <w:sz w:val="24"/>
              </w:rPr>
            </w:pPr>
            <w:r>
              <w:rPr>
                <w:sz w:val="24"/>
              </w:rPr>
              <w:t>12</w:t>
            </w:r>
            <w:r>
              <w:rPr>
                <w:spacing w:val="28"/>
                <w:sz w:val="24"/>
              </w:rPr>
              <w:t> </w:t>
            </w:r>
            <w:r>
              <w:rPr>
                <w:spacing w:val="-10"/>
                <w:sz w:val="24"/>
              </w:rPr>
              <w:t>m</w:t>
            </w:r>
          </w:p>
        </w:tc>
        <w:tc>
          <w:tcPr>
            <w:tcW w:w="1164" w:type="dxa"/>
          </w:tcPr>
          <w:p>
            <w:pPr>
              <w:pStyle w:val="TableParagraph"/>
              <w:spacing w:line="281" w:lineRule="exact"/>
              <w:ind w:left="108"/>
              <w:rPr>
                <w:sz w:val="24"/>
              </w:rPr>
            </w:pPr>
            <w:r>
              <w:rPr>
                <w:spacing w:val="-5"/>
                <w:sz w:val="24"/>
              </w:rPr>
              <w:t>6m</w:t>
            </w:r>
          </w:p>
        </w:tc>
      </w:tr>
      <w:tr>
        <w:trPr>
          <w:trHeight w:val="1127" w:hRule="atLeast"/>
        </w:trPr>
        <w:tc>
          <w:tcPr>
            <w:tcW w:w="636" w:type="dxa"/>
          </w:tcPr>
          <w:p>
            <w:pPr>
              <w:pStyle w:val="TableParagraph"/>
              <w:spacing w:before="42"/>
              <w:ind w:left="107"/>
              <w:rPr>
                <w:sz w:val="24"/>
              </w:rPr>
            </w:pPr>
            <w:r>
              <w:rPr>
                <w:spacing w:val="-10"/>
                <w:sz w:val="24"/>
              </w:rPr>
              <w:t>3</w:t>
            </w:r>
          </w:p>
        </w:tc>
        <w:tc>
          <w:tcPr>
            <w:tcW w:w="1430" w:type="dxa"/>
          </w:tcPr>
          <w:p>
            <w:pPr>
              <w:pStyle w:val="TableParagraph"/>
              <w:tabs>
                <w:tab w:pos="524" w:val="left" w:leader="none"/>
                <w:tab w:pos="1073" w:val="left" w:leader="none"/>
              </w:tabs>
              <w:spacing w:before="1"/>
              <w:ind w:left="107" w:right="109"/>
              <w:rPr>
                <w:sz w:val="24"/>
              </w:rPr>
            </w:pPr>
            <w:r>
              <w:rPr>
                <w:spacing w:val="-4"/>
                <w:sz w:val="24"/>
              </w:rPr>
              <w:t>More</w:t>
            </w:r>
            <w:r>
              <w:rPr>
                <w:spacing w:val="80"/>
                <w:sz w:val="24"/>
              </w:rPr>
              <w:t> </w:t>
            </w:r>
            <w:r>
              <w:rPr>
                <w:sz w:val="24"/>
              </w:rPr>
              <w:t>than </w:t>
            </w:r>
            <w:r>
              <w:rPr>
                <w:sz w:val="24"/>
              </w:rPr>
              <w:t>70m </w:t>
            </w:r>
            <w:r>
              <w:rPr>
                <w:spacing w:val="-10"/>
                <w:sz w:val="24"/>
              </w:rPr>
              <w:t>&amp;</w:t>
            </w:r>
            <w:r>
              <w:rPr>
                <w:sz w:val="24"/>
              </w:rPr>
              <w:tab/>
            </w:r>
            <w:r>
              <w:rPr>
                <w:spacing w:val="-5"/>
                <w:sz w:val="24"/>
              </w:rPr>
              <w:t>up</w:t>
            </w:r>
            <w:r>
              <w:rPr>
                <w:sz w:val="24"/>
              </w:rPr>
              <w:tab/>
            </w:r>
            <w:r>
              <w:rPr>
                <w:spacing w:val="-5"/>
                <w:sz w:val="24"/>
              </w:rPr>
              <w:t>to</w:t>
            </w:r>
          </w:p>
          <w:p>
            <w:pPr>
              <w:pStyle w:val="TableParagraph"/>
              <w:spacing w:line="261" w:lineRule="exact"/>
              <w:ind w:left="107"/>
              <w:rPr>
                <w:sz w:val="24"/>
              </w:rPr>
            </w:pPr>
            <w:r>
              <w:rPr>
                <w:sz w:val="24"/>
              </w:rPr>
              <w:t>120</w:t>
            </w:r>
            <w:r>
              <w:rPr>
                <w:spacing w:val="35"/>
                <w:sz w:val="24"/>
              </w:rPr>
              <w:t> </w:t>
            </w:r>
            <w:r>
              <w:rPr>
                <w:spacing w:val="-10"/>
                <w:sz w:val="24"/>
              </w:rPr>
              <w:t>m</w:t>
            </w:r>
          </w:p>
        </w:tc>
        <w:tc>
          <w:tcPr>
            <w:tcW w:w="3754" w:type="dxa"/>
            <w:gridSpan w:val="2"/>
          </w:tcPr>
          <w:p>
            <w:pPr>
              <w:pStyle w:val="TableParagraph"/>
              <w:rPr>
                <w:sz w:val="24"/>
              </w:rPr>
            </w:pPr>
          </w:p>
          <w:p>
            <w:pPr>
              <w:pStyle w:val="TableParagraph"/>
              <w:spacing w:line="281" w:lineRule="exact"/>
              <w:ind w:left="1668"/>
              <w:rPr>
                <w:sz w:val="24"/>
              </w:rPr>
            </w:pPr>
            <w:r>
              <w:rPr>
                <w:sz w:val="24"/>
              </w:rPr>
              <w:t>---</w:t>
            </w:r>
            <w:r>
              <w:rPr>
                <w:spacing w:val="11"/>
                <w:sz w:val="24"/>
              </w:rPr>
              <w:t>-</w:t>
            </w:r>
            <w:r>
              <w:rPr>
                <w:sz w:val="24"/>
              </w:rPr>
              <w:t>---</w:t>
            </w:r>
            <w:r>
              <w:rPr>
                <w:spacing w:val="11"/>
                <w:sz w:val="24"/>
              </w:rPr>
              <w:t>-</w:t>
            </w:r>
            <w:r>
              <w:rPr>
                <w:sz w:val="24"/>
              </w:rPr>
              <w:t>--------</w:t>
            </w:r>
            <w:r>
              <w:rPr>
                <w:spacing w:val="11"/>
                <w:sz w:val="24"/>
              </w:rPr>
              <w:t>-</w:t>
            </w:r>
            <w:r>
              <w:rPr>
                <w:spacing w:val="-10"/>
                <w:sz w:val="24"/>
              </w:rPr>
              <w:t>-</w:t>
            </w:r>
          </w:p>
          <w:p>
            <w:pPr>
              <w:pStyle w:val="TableParagraph"/>
              <w:spacing w:line="281" w:lineRule="exact"/>
              <w:ind w:left="108"/>
              <w:rPr>
                <w:sz w:val="24"/>
              </w:rPr>
            </w:pPr>
            <w:r>
              <w:rPr>
                <w:sz w:val="24"/>
              </w:rPr>
              <w:t>--</w:t>
            </w:r>
            <w:r>
              <w:rPr>
                <w:spacing w:val="-10"/>
                <w:sz w:val="24"/>
              </w:rPr>
              <w:t>-</w:t>
            </w:r>
          </w:p>
        </w:tc>
        <w:tc>
          <w:tcPr>
            <w:tcW w:w="2175" w:type="dxa"/>
          </w:tcPr>
          <w:p>
            <w:pPr>
              <w:pStyle w:val="TableParagraph"/>
              <w:tabs>
                <w:tab w:pos="830" w:val="left" w:leader="none"/>
                <w:tab w:pos="1299" w:val="left" w:leader="none"/>
                <w:tab w:pos="1827" w:val="left" w:leader="none"/>
              </w:tabs>
              <w:spacing w:before="1"/>
              <w:ind w:left="106" w:right="110"/>
              <w:rPr>
                <w:sz w:val="24"/>
              </w:rPr>
            </w:pPr>
            <w:r>
              <w:rPr>
                <w:spacing w:val="-4"/>
                <w:sz w:val="24"/>
              </w:rPr>
              <w:t>H/4</w:t>
            </w:r>
            <w:r>
              <w:rPr>
                <w:sz w:val="24"/>
              </w:rPr>
              <w:tab/>
            </w:r>
            <w:r>
              <w:rPr>
                <w:spacing w:val="-6"/>
                <w:sz w:val="24"/>
              </w:rPr>
              <w:t>or</w:t>
            </w:r>
            <w:r>
              <w:rPr>
                <w:sz w:val="24"/>
              </w:rPr>
              <w:tab/>
            </w:r>
            <w:r>
              <w:rPr>
                <w:spacing w:val="-6"/>
                <w:sz w:val="24"/>
              </w:rPr>
              <w:t>16</w:t>
            </w:r>
            <w:r>
              <w:rPr>
                <w:sz w:val="24"/>
              </w:rPr>
              <w:tab/>
            </w:r>
            <w:r>
              <w:rPr>
                <w:spacing w:val="-10"/>
                <w:sz w:val="24"/>
              </w:rPr>
              <w:t>m </w:t>
            </w:r>
            <w:r>
              <w:rPr>
                <w:spacing w:val="-4"/>
                <w:sz w:val="24"/>
              </w:rPr>
              <w:t>Max.</w:t>
            </w:r>
          </w:p>
        </w:tc>
        <w:tc>
          <w:tcPr>
            <w:tcW w:w="1164" w:type="dxa"/>
          </w:tcPr>
          <w:p>
            <w:pPr>
              <w:pStyle w:val="TableParagraph"/>
              <w:spacing w:before="1"/>
              <w:ind w:left="108"/>
              <w:rPr>
                <w:sz w:val="24"/>
              </w:rPr>
            </w:pPr>
            <w:r>
              <w:rPr>
                <w:sz w:val="24"/>
              </w:rPr>
              <w:t>9</w:t>
            </w:r>
            <w:r>
              <w:rPr>
                <w:spacing w:val="19"/>
                <w:sz w:val="24"/>
              </w:rPr>
              <w:t> </w:t>
            </w:r>
            <w:r>
              <w:rPr>
                <w:spacing w:val="-10"/>
                <w:sz w:val="24"/>
              </w:rPr>
              <w:t>m</w:t>
            </w:r>
          </w:p>
        </w:tc>
      </w:tr>
      <w:tr>
        <w:trPr>
          <w:trHeight w:val="846" w:hRule="atLeast"/>
        </w:trPr>
        <w:tc>
          <w:tcPr>
            <w:tcW w:w="636" w:type="dxa"/>
          </w:tcPr>
          <w:p>
            <w:pPr>
              <w:pStyle w:val="TableParagraph"/>
              <w:spacing w:before="40"/>
              <w:ind w:left="107"/>
              <w:rPr>
                <w:sz w:val="24"/>
              </w:rPr>
            </w:pPr>
            <w:r>
              <w:rPr>
                <w:spacing w:val="-10"/>
                <w:sz w:val="24"/>
              </w:rPr>
              <w:t>4</w:t>
            </w:r>
          </w:p>
        </w:tc>
        <w:tc>
          <w:tcPr>
            <w:tcW w:w="1430" w:type="dxa"/>
          </w:tcPr>
          <w:p>
            <w:pPr>
              <w:pStyle w:val="TableParagraph"/>
              <w:spacing w:line="281" w:lineRule="exact"/>
              <w:ind w:left="107"/>
              <w:rPr>
                <w:sz w:val="24"/>
              </w:rPr>
            </w:pPr>
            <w:r>
              <w:rPr>
                <w:spacing w:val="-4"/>
                <w:sz w:val="24"/>
              </w:rPr>
              <w:t>More</w:t>
            </w:r>
          </w:p>
          <w:p>
            <w:pPr>
              <w:pStyle w:val="TableParagraph"/>
              <w:spacing w:line="280" w:lineRule="exact"/>
              <w:ind w:left="107" w:right="31"/>
              <w:rPr>
                <w:sz w:val="24"/>
              </w:rPr>
            </w:pPr>
            <w:r>
              <w:rPr>
                <w:sz w:val="24"/>
              </w:rPr>
              <w:t>than</w:t>
            </w:r>
            <w:r>
              <w:rPr>
                <w:spacing w:val="40"/>
                <w:sz w:val="24"/>
              </w:rPr>
              <w:t> </w:t>
            </w:r>
            <w:r>
              <w:rPr>
                <w:sz w:val="24"/>
              </w:rPr>
              <w:t>120 </w:t>
            </w:r>
            <w:r>
              <w:rPr>
                <w:spacing w:val="-10"/>
                <w:sz w:val="24"/>
              </w:rPr>
              <w:t>m</w:t>
            </w:r>
          </w:p>
        </w:tc>
        <w:tc>
          <w:tcPr>
            <w:tcW w:w="3754" w:type="dxa"/>
            <w:gridSpan w:val="2"/>
          </w:tcPr>
          <w:p>
            <w:pPr>
              <w:pStyle w:val="TableParagraph"/>
              <w:spacing w:line="281" w:lineRule="exact"/>
              <w:ind w:left="108"/>
              <w:rPr>
                <w:sz w:val="24"/>
              </w:rPr>
            </w:pPr>
            <w:r>
              <w:rPr>
                <w:sz w:val="24"/>
              </w:rPr>
              <w:t>--------</w:t>
            </w:r>
            <w:r>
              <w:rPr>
                <w:spacing w:val="11"/>
                <w:sz w:val="24"/>
              </w:rPr>
              <w:t>-</w:t>
            </w:r>
            <w:r>
              <w:rPr>
                <w:sz w:val="24"/>
              </w:rPr>
              <w:t>-----</w:t>
            </w:r>
            <w:r>
              <w:rPr>
                <w:spacing w:val="11"/>
                <w:sz w:val="24"/>
              </w:rPr>
              <w:t>-</w:t>
            </w:r>
            <w:r>
              <w:rPr>
                <w:sz w:val="24"/>
              </w:rPr>
              <w:t>--</w:t>
            </w:r>
            <w:r>
              <w:rPr>
                <w:spacing w:val="-10"/>
                <w:sz w:val="24"/>
              </w:rPr>
              <w:t>-</w:t>
            </w:r>
          </w:p>
        </w:tc>
        <w:tc>
          <w:tcPr>
            <w:tcW w:w="2175" w:type="dxa"/>
          </w:tcPr>
          <w:p>
            <w:pPr>
              <w:pStyle w:val="TableParagraph"/>
              <w:spacing w:line="281" w:lineRule="exact"/>
              <w:ind w:left="106"/>
              <w:rPr>
                <w:sz w:val="24"/>
              </w:rPr>
            </w:pPr>
            <w:r>
              <w:rPr>
                <w:sz w:val="24"/>
              </w:rPr>
              <w:t>20</w:t>
            </w:r>
            <w:r>
              <w:rPr>
                <w:spacing w:val="28"/>
                <w:sz w:val="24"/>
              </w:rPr>
              <w:t> </w:t>
            </w:r>
            <w:r>
              <w:rPr>
                <w:spacing w:val="-10"/>
                <w:sz w:val="24"/>
              </w:rPr>
              <w:t>m</w:t>
            </w:r>
          </w:p>
        </w:tc>
        <w:tc>
          <w:tcPr>
            <w:tcW w:w="1164" w:type="dxa"/>
          </w:tcPr>
          <w:p>
            <w:pPr>
              <w:pStyle w:val="TableParagraph"/>
              <w:spacing w:line="281" w:lineRule="exact"/>
              <w:ind w:left="108"/>
              <w:rPr>
                <w:sz w:val="24"/>
              </w:rPr>
            </w:pPr>
            <w:r>
              <w:rPr>
                <w:sz w:val="24"/>
              </w:rPr>
              <w:t>9</w:t>
            </w:r>
            <w:r>
              <w:rPr>
                <w:spacing w:val="19"/>
                <w:sz w:val="24"/>
              </w:rPr>
              <w:t> </w:t>
            </w:r>
            <w:r>
              <w:rPr>
                <w:spacing w:val="-10"/>
                <w:sz w:val="24"/>
              </w:rPr>
              <w:t>m</w:t>
            </w:r>
          </w:p>
        </w:tc>
      </w:tr>
    </w:tbl>
    <w:p>
      <w:pPr>
        <w:pStyle w:val="BodyText"/>
        <w:jc w:val="left"/>
      </w:pPr>
    </w:p>
    <w:p>
      <w:pPr>
        <w:pStyle w:val="BodyText"/>
        <w:spacing w:before="241"/>
        <w:jc w:val="left"/>
      </w:pPr>
    </w:p>
    <w:p>
      <w:pPr>
        <w:pStyle w:val="BodyText"/>
        <w:ind w:left="1673" w:right="785" w:hanging="360"/>
      </w:pPr>
      <w:r>
        <w:rPr/>
        <w:t>Note</w:t>
      </w:r>
      <w:r>
        <w:rPr>
          <w:spacing w:val="40"/>
        </w:rPr>
        <w:t> </w:t>
      </w:r>
      <w:r>
        <w:rPr/>
        <w:t>i)</w:t>
      </w:r>
      <w:r>
        <w:rPr>
          <w:spacing w:val="40"/>
        </w:rPr>
        <w:t> </w:t>
      </w:r>
      <w:r>
        <w:rPr/>
        <w:t>Provision</w:t>
      </w:r>
      <w:r>
        <w:rPr>
          <w:spacing w:val="40"/>
        </w:rPr>
        <w:t> </w:t>
      </w:r>
      <w:r>
        <w:rPr/>
        <w:t>of</w:t>
      </w:r>
      <w:r>
        <w:rPr>
          <w:spacing w:val="40"/>
        </w:rPr>
        <w:t> </w:t>
      </w:r>
      <w:r>
        <w:rPr/>
        <w:t>glass</w:t>
      </w:r>
      <w:r>
        <w:rPr>
          <w:spacing w:val="40"/>
        </w:rPr>
        <w:t> </w:t>
      </w:r>
      <w:r>
        <w:rPr/>
        <w:t>facade</w:t>
      </w:r>
      <w:r>
        <w:rPr>
          <w:spacing w:val="40"/>
        </w:rPr>
        <w:t> </w:t>
      </w:r>
      <w:r>
        <w:rPr/>
        <w:t>without</w:t>
      </w:r>
      <w:r>
        <w:rPr>
          <w:spacing w:val="40"/>
        </w:rPr>
        <w:t> </w:t>
      </w:r>
      <w:r>
        <w:rPr/>
        <w:t>construction</w:t>
      </w:r>
      <w:r>
        <w:rPr>
          <w:spacing w:val="40"/>
        </w:rPr>
        <w:t> </w:t>
      </w:r>
      <w:r>
        <w:rPr/>
        <w:t>of</w:t>
      </w:r>
      <w:r>
        <w:rPr>
          <w:spacing w:val="40"/>
        </w:rPr>
        <w:t> </w:t>
      </w:r>
      <w:r>
        <w:rPr/>
        <w:t>dead</w:t>
      </w:r>
      <w:r>
        <w:rPr>
          <w:spacing w:val="40"/>
        </w:rPr>
        <w:t> </w:t>
      </w:r>
      <w:r>
        <w:rPr/>
        <w:t>wall</w:t>
      </w:r>
      <w:r>
        <w:rPr>
          <w:spacing w:val="40"/>
        </w:rPr>
        <w:t> </w:t>
      </w:r>
      <w:r>
        <w:rPr/>
        <w:t>inside the</w:t>
      </w:r>
      <w:r>
        <w:rPr>
          <w:spacing w:val="40"/>
        </w:rPr>
        <w:t> </w:t>
      </w:r>
      <w:r>
        <w:rPr/>
        <w:t>facade</w:t>
      </w:r>
      <w:r>
        <w:rPr>
          <w:spacing w:val="40"/>
        </w:rPr>
        <w:t> </w:t>
      </w:r>
      <w:r>
        <w:rPr/>
        <w:t>shall</w:t>
      </w:r>
      <w:r>
        <w:rPr>
          <w:spacing w:val="40"/>
        </w:rPr>
        <w:t> </w:t>
      </w:r>
      <w:r>
        <w:rPr/>
        <w:t>be</w:t>
      </w:r>
      <w:r>
        <w:rPr>
          <w:spacing w:val="40"/>
        </w:rPr>
        <w:t> </w:t>
      </w:r>
      <w:r>
        <w:rPr/>
        <w:t>treated</w:t>
      </w:r>
      <w:r>
        <w:rPr>
          <w:spacing w:val="40"/>
        </w:rPr>
        <w:t> </w:t>
      </w:r>
      <w:r>
        <w:rPr/>
        <w:t>as</w:t>
      </w:r>
      <w:r>
        <w:rPr>
          <w:spacing w:val="40"/>
        </w:rPr>
        <w:t> </w:t>
      </w:r>
      <w:r>
        <w:rPr/>
        <w:t>side</w:t>
      </w:r>
      <w:r>
        <w:rPr>
          <w:spacing w:val="40"/>
        </w:rPr>
        <w:t> </w:t>
      </w:r>
      <w:r>
        <w:rPr/>
        <w:t>deriving</w:t>
      </w:r>
      <w:r>
        <w:rPr>
          <w:spacing w:val="40"/>
        </w:rPr>
        <w:t> </w:t>
      </w:r>
      <w:r>
        <w:rPr/>
        <w:t>Light</w:t>
      </w:r>
      <w:r>
        <w:rPr>
          <w:spacing w:val="40"/>
        </w:rPr>
        <w:t> </w:t>
      </w:r>
      <w:r>
        <w:rPr/>
        <w:t>&amp;</w:t>
      </w:r>
      <w:r>
        <w:rPr>
          <w:spacing w:val="40"/>
        </w:rPr>
        <w:t> </w:t>
      </w:r>
      <w:r>
        <w:rPr>
          <w:spacing w:val="9"/>
        </w:rPr>
        <w:t>Ventilation.</w:t>
      </w:r>
    </w:p>
    <w:p>
      <w:pPr>
        <w:pStyle w:val="ListParagraph"/>
        <w:numPr>
          <w:ilvl w:val="0"/>
          <w:numId w:val="289"/>
        </w:numPr>
        <w:tabs>
          <w:tab w:pos="1630" w:val="left" w:leader="none"/>
          <w:tab w:pos="1673" w:val="left" w:leader="none"/>
        </w:tabs>
        <w:spacing w:line="240" w:lineRule="auto" w:before="1" w:after="0"/>
        <w:ind w:left="1673" w:right="780" w:hanging="360"/>
        <w:jc w:val="both"/>
        <w:rPr>
          <w:sz w:val="24"/>
        </w:rPr>
      </w:pPr>
      <w:r>
        <w:rPr>
          <w:sz w:val="24"/>
          <w:u w:val="single"/>
        </w:rPr>
        <w:t>I</w:t>
      </w:r>
      <w:r>
        <w:rPr>
          <w:sz w:val="24"/>
        </w:rPr>
        <w:t>n case of residential building Glass façade shall be permissible in the portion,</w:t>
      </w:r>
      <w:r>
        <w:rPr>
          <w:spacing w:val="80"/>
          <w:sz w:val="24"/>
        </w:rPr>
        <w:t> </w:t>
      </w:r>
      <w:r>
        <w:rPr>
          <w:sz w:val="24"/>
        </w:rPr>
        <w:t>which</w:t>
      </w:r>
      <w:r>
        <w:rPr>
          <w:spacing w:val="80"/>
          <w:sz w:val="24"/>
        </w:rPr>
        <w:t> </w:t>
      </w:r>
      <w:r>
        <w:rPr>
          <w:sz w:val="24"/>
        </w:rPr>
        <w:t>does</w:t>
      </w:r>
      <w:r>
        <w:rPr>
          <w:spacing w:val="40"/>
          <w:sz w:val="24"/>
        </w:rPr>
        <w:t> </w:t>
      </w:r>
      <w:r>
        <w:rPr>
          <w:sz w:val="24"/>
        </w:rPr>
        <w:t>not</w:t>
      </w:r>
      <w:r>
        <w:rPr>
          <w:spacing w:val="40"/>
          <w:sz w:val="24"/>
        </w:rPr>
        <w:t> </w:t>
      </w:r>
      <w:r>
        <w:rPr>
          <w:sz w:val="24"/>
        </w:rPr>
        <w:t>derive</w:t>
      </w:r>
      <w:r>
        <w:rPr>
          <w:spacing w:val="40"/>
          <w:sz w:val="24"/>
        </w:rPr>
        <w:t> </w:t>
      </w:r>
      <w:r>
        <w:rPr>
          <w:sz w:val="24"/>
        </w:rPr>
        <w:t>light</w:t>
      </w:r>
      <w:r>
        <w:rPr>
          <w:spacing w:val="40"/>
          <w:sz w:val="24"/>
        </w:rPr>
        <w:t> </w:t>
      </w:r>
      <w:r>
        <w:rPr>
          <w:sz w:val="24"/>
        </w:rPr>
        <w:t>and</w:t>
      </w:r>
      <w:r>
        <w:rPr>
          <w:spacing w:val="40"/>
          <w:sz w:val="24"/>
        </w:rPr>
        <w:t> </w:t>
      </w:r>
      <w:r>
        <w:rPr>
          <w:sz w:val="24"/>
        </w:rPr>
        <w:t>ventilation.</w:t>
      </w:r>
    </w:p>
    <w:p>
      <w:pPr>
        <w:pStyle w:val="ListParagraph"/>
        <w:numPr>
          <w:ilvl w:val="0"/>
          <w:numId w:val="289"/>
        </w:numPr>
        <w:tabs>
          <w:tab w:pos="1673" w:val="left" w:leader="none"/>
          <w:tab w:pos="1793" w:val="left" w:leader="none"/>
        </w:tabs>
        <w:spacing w:line="240" w:lineRule="auto" w:before="0" w:after="0"/>
        <w:ind w:left="1673" w:right="779" w:hanging="360"/>
        <w:jc w:val="both"/>
        <w:rPr>
          <w:sz w:val="24"/>
        </w:rPr>
      </w:pPr>
      <w:r>
        <w:rPr>
          <w:sz w:val="24"/>
        </w:rPr>
        <w:tab/>
        <w:t>In case of High Rise building with height more than 32 m the requirements of Fire Safety as specified in these </w:t>
      </w:r>
      <w:r>
        <w:rPr>
          <w:spacing w:val="9"/>
          <w:sz w:val="24"/>
        </w:rPr>
        <w:t>Regulations/Fire </w:t>
      </w:r>
      <w:r>
        <w:rPr>
          <w:sz w:val="24"/>
        </w:rPr>
        <w:t>Brigade</w:t>
      </w:r>
      <w:r>
        <w:rPr>
          <w:spacing w:val="80"/>
          <w:sz w:val="24"/>
        </w:rPr>
        <w:t> </w:t>
      </w:r>
      <w:r>
        <w:rPr>
          <w:sz w:val="24"/>
        </w:rPr>
        <w:t>Authorities</w:t>
      </w:r>
      <w:r>
        <w:rPr>
          <w:spacing w:val="40"/>
          <w:sz w:val="24"/>
        </w:rPr>
        <w:t> </w:t>
      </w:r>
      <w:r>
        <w:rPr>
          <w:sz w:val="24"/>
        </w:rPr>
        <w:t>shall</w:t>
      </w:r>
      <w:r>
        <w:rPr>
          <w:spacing w:val="80"/>
          <w:sz w:val="24"/>
        </w:rPr>
        <w:t> </w:t>
      </w:r>
      <w:r>
        <w:rPr>
          <w:sz w:val="24"/>
        </w:rPr>
        <w:t>be</w:t>
      </w:r>
      <w:r>
        <w:rPr>
          <w:spacing w:val="40"/>
          <w:sz w:val="24"/>
        </w:rPr>
        <w:t> </w:t>
      </w:r>
      <w:r>
        <w:rPr>
          <w:sz w:val="24"/>
        </w:rPr>
        <w:t>fulfilled.</w:t>
      </w:r>
    </w:p>
    <w:p>
      <w:pPr>
        <w:pStyle w:val="BodyText"/>
        <w:spacing w:line="281" w:lineRule="exact" w:before="1"/>
        <w:ind w:left="1313"/>
      </w:pPr>
      <w:r>
        <w:rPr/>
        <w:t>Provided</w:t>
      </w:r>
      <w:r>
        <w:rPr>
          <w:spacing w:val="42"/>
          <w:w w:val="150"/>
        </w:rPr>
        <w:t> </w:t>
      </w:r>
      <w:r>
        <w:rPr/>
        <w:t>further</w:t>
      </w:r>
      <w:r>
        <w:rPr>
          <w:spacing w:val="78"/>
        </w:rPr>
        <w:t> </w:t>
      </w:r>
      <w:r>
        <w:rPr>
          <w:spacing w:val="-4"/>
        </w:rPr>
        <w:t>that;</w:t>
      </w:r>
    </w:p>
    <w:p>
      <w:pPr>
        <w:pStyle w:val="ListParagraph"/>
        <w:numPr>
          <w:ilvl w:val="1"/>
          <w:numId w:val="289"/>
        </w:numPr>
        <w:tabs>
          <w:tab w:pos="1673" w:val="left" w:leader="none"/>
        </w:tabs>
        <w:spacing w:line="240" w:lineRule="auto" w:before="0" w:after="0"/>
        <w:ind w:left="1673" w:right="798" w:hanging="360"/>
        <w:jc w:val="both"/>
        <w:rPr>
          <w:sz w:val="24"/>
        </w:rPr>
      </w:pPr>
      <w:r>
        <w:rPr>
          <w:sz w:val="24"/>
        </w:rPr>
        <w:t>the</w:t>
      </w:r>
      <w:r>
        <w:rPr>
          <w:spacing w:val="40"/>
          <w:sz w:val="24"/>
        </w:rPr>
        <w:t> </w:t>
      </w:r>
      <w:r>
        <w:rPr>
          <w:sz w:val="24"/>
        </w:rPr>
        <w:t>open</w:t>
      </w:r>
      <w:r>
        <w:rPr>
          <w:spacing w:val="40"/>
          <w:sz w:val="24"/>
        </w:rPr>
        <w:t> </w:t>
      </w:r>
      <w:r>
        <w:rPr>
          <w:sz w:val="24"/>
        </w:rPr>
        <w:t>space</w:t>
      </w:r>
      <w:r>
        <w:rPr>
          <w:spacing w:val="40"/>
          <w:sz w:val="24"/>
        </w:rPr>
        <w:t> </w:t>
      </w:r>
      <w:r>
        <w:rPr>
          <w:sz w:val="24"/>
        </w:rPr>
        <w:t>for</w:t>
      </w:r>
      <w:r>
        <w:rPr>
          <w:spacing w:val="40"/>
          <w:sz w:val="24"/>
        </w:rPr>
        <w:t> </w:t>
      </w:r>
      <w:r>
        <w:rPr>
          <w:sz w:val="24"/>
        </w:rPr>
        <w:t>separation</w:t>
      </w:r>
      <w:r>
        <w:rPr>
          <w:spacing w:val="40"/>
          <w:sz w:val="24"/>
        </w:rPr>
        <w:t> </w:t>
      </w:r>
      <w:r>
        <w:rPr>
          <w:sz w:val="24"/>
        </w:rPr>
        <w:t>between</w:t>
      </w:r>
      <w:r>
        <w:rPr>
          <w:spacing w:val="40"/>
          <w:sz w:val="24"/>
        </w:rPr>
        <w:t> </w:t>
      </w:r>
      <w:r>
        <w:rPr>
          <w:sz w:val="24"/>
        </w:rPr>
        <w:t>any</w:t>
      </w:r>
      <w:r>
        <w:rPr>
          <w:spacing w:val="40"/>
          <w:sz w:val="24"/>
        </w:rPr>
        <w:t> </w:t>
      </w:r>
      <w:r>
        <w:rPr>
          <w:sz w:val="24"/>
        </w:rPr>
        <w:t>building</w:t>
      </w:r>
      <w:r>
        <w:rPr>
          <w:spacing w:val="40"/>
          <w:sz w:val="24"/>
        </w:rPr>
        <w:t> </w:t>
      </w:r>
      <w:r>
        <w:rPr>
          <w:sz w:val="24"/>
        </w:rPr>
        <w:t>and</w:t>
      </w:r>
      <w:r>
        <w:rPr>
          <w:spacing w:val="40"/>
          <w:sz w:val="24"/>
        </w:rPr>
        <w:t> </w:t>
      </w:r>
      <w:r>
        <w:rPr>
          <w:sz w:val="24"/>
        </w:rPr>
        <w:t>a</w:t>
      </w:r>
      <w:r>
        <w:rPr>
          <w:spacing w:val="40"/>
          <w:sz w:val="24"/>
        </w:rPr>
        <w:t> </w:t>
      </w:r>
      <w:r>
        <w:rPr>
          <w:sz w:val="24"/>
        </w:rPr>
        <w:t>single storeyed</w:t>
      </w:r>
      <w:r>
        <w:rPr>
          <w:spacing w:val="40"/>
          <w:sz w:val="24"/>
        </w:rPr>
        <w:t> </w:t>
      </w:r>
      <w:r>
        <w:rPr>
          <w:sz w:val="24"/>
        </w:rPr>
        <w:t>accessory</w:t>
      </w:r>
      <w:r>
        <w:rPr>
          <w:spacing w:val="80"/>
          <w:w w:val="150"/>
          <w:sz w:val="24"/>
        </w:rPr>
        <w:t>  </w:t>
      </w:r>
      <w:r>
        <w:rPr>
          <w:sz w:val="24"/>
        </w:rPr>
        <w:t>building</w:t>
      </w:r>
      <w:r>
        <w:rPr>
          <w:spacing w:val="40"/>
          <w:sz w:val="24"/>
        </w:rPr>
        <w:t> </w:t>
      </w:r>
      <w:r>
        <w:rPr>
          <w:sz w:val="24"/>
        </w:rPr>
        <w:t>need</w:t>
      </w:r>
      <w:r>
        <w:rPr>
          <w:spacing w:val="40"/>
          <w:sz w:val="24"/>
        </w:rPr>
        <w:t> </w:t>
      </w:r>
      <w:r>
        <w:rPr>
          <w:sz w:val="24"/>
        </w:rPr>
        <w:t>not</w:t>
      </w:r>
      <w:r>
        <w:rPr>
          <w:spacing w:val="40"/>
          <w:sz w:val="24"/>
        </w:rPr>
        <w:t> </w:t>
      </w:r>
      <w:r>
        <w:rPr>
          <w:sz w:val="24"/>
        </w:rPr>
        <w:t>exceed</w:t>
      </w:r>
      <w:r>
        <w:rPr>
          <w:spacing w:val="40"/>
          <w:sz w:val="24"/>
        </w:rPr>
        <w:t> </w:t>
      </w:r>
      <w:r>
        <w:rPr>
          <w:sz w:val="24"/>
        </w:rPr>
        <w:t>1.5</w:t>
      </w:r>
      <w:r>
        <w:rPr>
          <w:spacing w:val="40"/>
          <w:sz w:val="24"/>
        </w:rPr>
        <w:t> </w:t>
      </w:r>
      <w:r>
        <w:rPr>
          <w:sz w:val="24"/>
        </w:rPr>
        <w:t>m.</w:t>
      </w:r>
    </w:p>
    <w:p>
      <w:pPr>
        <w:pStyle w:val="ListParagraph"/>
        <w:numPr>
          <w:ilvl w:val="1"/>
          <w:numId w:val="289"/>
        </w:numPr>
        <w:tabs>
          <w:tab w:pos="1673" w:val="left" w:leader="none"/>
        </w:tabs>
        <w:spacing w:line="240" w:lineRule="auto" w:before="0" w:after="0"/>
        <w:ind w:left="1673" w:right="783" w:hanging="360"/>
        <w:jc w:val="both"/>
        <w:rPr>
          <w:sz w:val="24"/>
        </w:rPr>
      </w:pPr>
      <w:r>
        <w:rPr>
          <w:sz w:val="24"/>
        </w:rPr>
        <w:t>the marginal open </w:t>
      </w:r>
      <w:r>
        <w:rPr>
          <w:spacing w:val="9"/>
          <w:sz w:val="24"/>
        </w:rPr>
        <w:t>space(distance)between</w:t>
      </w:r>
      <w:r>
        <w:rPr>
          <w:spacing w:val="9"/>
          <w:sz w:val="24"/>
        </w:rPr>
        <w:t> </w:t>
      </w:r>
      <w:r>
        <w:rPr>
          <w:sz w:val="24"/>
        </w:rPr>
        <w:t>building and LOS in the</w:t>
      </w:r>
      <w:r>
        <w:rPr>
          <w:spacing w:val="40"/>
          <w:sz w:val="24"/>
        </w:rPr>
        <w:t> </w:t>
      </w:r>
      <w:r>
        <w:rPr>
          <w:sz w:val="24"/>
        </w:rPr>
        <w:t>same</w:t>
      </w:r>
      <w:r>
        <w:rPr>
          <w:spacing w:val="40"/>
          <w:sz w:val="24"/>
        </w:rPr>
        <w:t> </w:t>
      </w:r>
      <w:r>
        <w:rPr>
          <w:spacing w:val="9"/>
          <w:sz w:val="24"/>
        </w:rPr>
        <w:t>lay-</w:t>
      </w:r>
      <w:r>
        <w:rPr>
          <w:sz w:val="24"/>
        </w:rPr>
        <w:t>out</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3</w:t>
      </w:r>
      <w:r>
        <w:rPr>
          <w:spacing w:val="40"/>
          <w:sz w:val="24"/>
        </w:rPr>
        <w:t> </w:t>
      </w:r>
      <w:r>
        <w:rPr>
          <w:sz w:val="24"/>
        </w:rPr>
        <w:t>m.</w:t>
      </w:r>
    </w:p>
    <w:p>
      <w:pPr>
        <w:pStyle w:val="BodyText"/>
        <w:ind w:left="1673" w:right="768"/>
      </w:pPr>
      <w:r>
        <w:rPr/>
        <w:t>In</w:t>
      </w:r>
      <w:r>
        <w:rPr>
          <w:spacing w:val="40"/>
        </w:rPr>
        <w:t> </w:t>
      </w:r>
      <w:r>
        <w:rPr/>
        <w:t>respect</w:t>
      </w:r>
      <w:r>
        <w:rPr>
          <w:spacing w:val="40"/>
        </w:rPr>
        <w:t> </w:t>
      </w:r>
      <w:r>
        <w:rPr/>
        <w:t>of</w:t>
      </w:r>
      <w:r>
        <w:rPr>
          <w:spacing w:val="40"/>
        </w:rPr>
        <w:t> </w:t>
      </w:r>
      <w:r>
        <w:rPr/>
        <w:t>tolerated</w:t>
      </w:r>
      <w:r>
        <w:rPr>
          <w:spacing w:val="40"/>
        </w:rPr>
        <w:t> </w:t>
      </w:r>
      <w:r>
        <w:rPr>
          <w:spacing w:val="9"/>
        </w:rPr>
        <w:t>Buildings/Approved</w:t>
      </w:r>
      <w:r>
        <w:rPr>
          <w:spacing w:val="40"/>
        </w:rPr>
        <w:t> </w:t>
      </w:r>
      <w:r>
        <w:rPr/>
        <w:t>buildings,</w:t>
      </w:r>
      <w:r>
        <w:rPr>
          <w:spacing w:val="40"/>
        </w:rPr>
        <w:t> </w:t>
      </w:r>
      <w:r>
        <w:rPr/>
        <w:t>additional</w:t>
      </w:r>
      <w:r>
        <w:rPr>
          <w:spacing w:val="40"/>
        </w:rPr>
        <w:t> </w:t>
      </w:r>
      <w:r>
        <w:rPr>
          <w:spacing w:val="12"/>
        </w:rPr>
        <w:t>BUA </w:t>
      </w:r>
      <w:r>
        <w:rPr/>
        <w:t>in</w:t>
      </w:r>
      <w:r>
        <w:rPr>
          <w:spacing w:val="40"/>
        </w:rPr>
        <w:t> </w:t>
      </w:r>
      <w:r>
        <w:rPr/>
        <w:t>lieu</w:t>
      </w:r>
      <w:r>
        <w:rPr>
          <w:spacing w:val="40"/>
        </w:rPr>
        <w:t> </w:t>
      </w:r>
      <w:r>
        <w:rPr/>
        <w:t>of</w:t>
      </w:r>
      <w:r>
        <w:rPr>
          <w:spacing w:val="40"/>
        </w:rPr>
        <w:t> </w:t>
      </w:r>
      <w:r>
        <w:rPr/>
        <w:t>the</w:t>
      </w:r>
      <w:r>
        <w:rPr>
          <w:spacing w:val="40"/>
        </w:rPr>
        <w:t> </w:t>
      </w:r>
      <w:r>
        <w:rPr/>
        <w:t>subsequent</w:t>
      </w:r>
      <w:r>
        <w:rPr>
          <w:spacing w:val="80"/>
          <w:w w:val="150"/>
        </w:rPr>
        <w:t> </w:t>
      </w:r>
      <w:r>
        <w:rPr/>
        <w:t>set</w:t>
      </w:r>
      <w:r>
        <w:rPr>
          <w:spacing w:val="40"/>
        </w:rPr>
        <w:t> </w:t>
      </w:r>
      <w:r>
        <w:rPr/>
        <w:t>back</w:t>
      </w:r>
      <w:r>
        <w:rPr>
          <w:spacing w:val="40"/>
        </w:rPr>
        <w:t> </w:t>
      </w:r>
      <w:r>
        <w:rPr/>
        <w:t>created</w:t>
      </w:r>
      <w:r>
        <w:rPr>
          <w:spacing w:val="40"/>
        </w:rPr>
        <w:t> </w:t>
      </w:r>
      <w:r>
        <w:rPr/>
        <w:t>due</w:t>
      </w:r>
      <w:r>
        <w:rPr>
          <w:spacing w:val="40"/>
        </w:rPr>
        <w:t> </w:t>
      </w:r>
      <w:r>
        <w:rPr/>
        <w:t>to</w:t>
      </w:r>
      <w:r>
        <w:rPr>
          <w:spacing w:val="40"/>
        </w:rPr>
        <w:t> </w:t>
      </w:r>
      <w:r>
        <w:rPr/>
        <w:t>prescription</w:t>
      </w:r>
      <w:r>
        <w:rPr>
          <w:spacing w:val="40"/>
        </w:rPr>
        <w:t> </w:t>
      </w:r>
      <w:r>
        <w:rPr/>
        <w:t>of Regular</w:t>
      </w:r>
      <w:r>
        <w:rPr>
          <w:spacing w:val="40"/>
        </w:rPr>
        <w:t> </w:t>
      </w:r>
      <w:r>
        <w:rPr/>
        <w:t>Line</w:t>
      </w:r>
      <w:r>
        <w:rPr>
          <w:spacing w:val="40"/>
        </w:rPr>
        <w:t> </w:t>
      </w:r>
      <w:r>
        <w:rPr/>
        <w:t>under</w:t>
      </w:r>
      <w:r>
        <w:rPr>
          <w:spacing w:val="40"/>
        </w:rPr>
        <w:t> </w:t>
      </w:r>
      <w:r>
        <w:rPr/>
        <w:t>MMC</w:t>
      </w:r>
      <w:r>
        <w:rPr>
          <w:spacing w:val="40"/>
        </w:rPr>
        <w:t> </w:t>
      </w:r>
      <w:r>
        <w:rPr/>
        <w:t>Act</w:t>
      </w:r>
      <w:r>
        <w:rPr>
          <w:spacing w:val="40"/>
        </w:rPr>
        <w:t> </w:t>
      </w:r>
      <w:r>
        <w:rPr>
          <w:spacing w:val="9"/>
        </w:rPr>
        <w:t>1888/due</w:t>
      </w:r>
      <w:r>
        <w:rPr>
          <w:spacing w:val="40"/>
        </w:rPr>
        <w:t> </w:t>
      </w:r>
      <w:r>
        <w:rPr/>
        <w:t>to</w:t>
      </w:r>
      <w:r>
        <w:rPr>
          <w:spacing w:val="40"/>
        </w:rPr>
        <w:t> </w:t>
      </w:r>
      <w:r>
        <w:rPr/>
        <w:t>proposed</w:t>
      </w:r>
      <w:r>
        <w:rPr>
          <w:spacing w:val="40"/>
        </w:rPr>
        <w:t> </w:t>
      </w:r>
      <w:r>
        <w:rPr/>
        <w:t>widening</w:t>
      </w:r>
      <w:r>
        <w:rPr>
          <w:spacing w:val="40"/>
        </w:rPr>
        <w:t> </w:t>
      </w:r>
      <w:r>
        <w:rPr/>
        <w:t>of</w:t>
      </w:r>
      <w:r>
        <w:rPr>
          <w:spacing w:val="40"/>
        </w:rPr>
        <w:t> </w:t>
      </w:r>
      <w:r>
        <w:rPr/>
        <w:t>road</w:t>
      </w:r>
    </w:p>
    <w:p>
      <w:pPr>
        <w:pStyle w:val="BodyText"/>
        <w:spacing w:after="0"/>
        <w:sectPr>
          <w:pgSz w:w="11910" w:h="16840"/>
          <w:pgMar w:header="1058" w:footer="1201" w:top="1500" w:bottom="1400" w:left="360" w:right="360"/>
        </w:sectPr>
      </w:pPr>
    </w:p>
    <w:p>
      <w:pPr>
        <w:pStyle w:val="BodyText"/>
        <w:spacing w:before="255"/>
        <w:ind w:left="1673" w:right="771"/>
      </w:pPr>
      <w:r>
        <w:rPr/>
        <w:t>by Appropriate Authority, after issuance of development permission/Commencement</w:t>
      </w:r>
      <w:r>
        <w:rPr>
          <w:spacing w:val="40"/>
        </w:rPr>
        <w:t> </w:t>
      </w:r>
      <w:r>
        <w:rPr/>
        <w:t>Certificate,</w:t>
      </w:r>
      <w:r>
        <w:rPr>
          <w:spacing w:val="40"/>
        </w:rPr>
        <w:t> </w:t>
      </w:r>
      <w:r>
        <w:rPr/>
        <w:t>may</w:t>
      </w:r>
      <w:r>
        <w:rPr>
          <w:spacing w:val="40"/>
        </w:rPr>
        <w:t> </w:t>
      </w:r>
      <w:r>
        <w:rPr/>
        <w:t>be</w:t>
      </w:r>
      <w:r>
        <w:rPr>
          <w:spacing w:val="40"/>
        </w:rPr>
        <w:t> </w:t>
      </w:r>
      <w:r>
        <w:rPr/>
        <w:t>permitted</w:t>
      </w:r>
      <w:r>
        <w:rPr>
          <w:spacing w:val="40"/>
        </w:rPr>
        <w:t> </w:t>
      </w:r>
      <w:r>
        <w:rPr/>
        <w:t>at</w:t>
      </w:r>
      <w:r>
        <w:rPr>
          <w:spacing w:val="40"/>
        </w:rPr>
        <w:t> </w:t>
      </w:r>
      <w:r>
        <w:rPr/>
        <w:t>upper floors</w:t>
      </w:r>
      <w:r>
        <w:rPr>
          <w:spacing w:val="40"/>
        </w:rPr>
        <w:t> </w:t>
      </w:r>
      <w:r>
        <w:rPr/>
        <w:t>with</w:t>
      </w:r>
      <w:r>
        <w:rPr>
          <w:spacing w:val="9"/>
        </w:rPr>
        <w:t> step-</w:t>
      </w:r>
      <w:r>
        <w:rPr/>
        <w:t>back tomake</w:t>
      </w:r>
      <w:r>
        <w:rPr>
          <w:spacing w:val="40"/>
        </w:rPr>
        <w:t> </w:t>
      </w:r>
      <w:r>
        <w:rPr/>
        <w:t>up for deficiencies in the open space</w:t>
      </w:r>
      <w:r>
        <w:rPr>
          <w:spacing w:val="40"/>
        </w:rPr>
        <w:t> </w:t>
      </w:r>
      <w:r>
        <w:rPr/>
        <w:t>in case</w:t>
      </w:r>
      <w:r>
        <w:rPr>
          <w:spacing w:val="40"/>
        </w:rPr>
        <w:t> </w:t>
      </w:r>
      <w:r>
        <w:rPr/>
        <w:t>of</w:t>
      </w:r>
      <w:r>
        <w:rPr>
          <w:spacing w:val="40"/>
        </w:rPr>
        <w:t> </w:t>
      </w:r>
      <w:r>
        <w:rPr/>
        <w:t>new</w:t>
      </w:r>
      <w:r>
        <w:rPr>
          <w:spacing w:val="40"/>
        </w:rPr>
        <w:t> </w:t>
      </w:r>
      <w:r>
        <w:rPr/>
        <w:t>development</w:t>
      </w:r>
      <w:r>
        <w:rPr>
          <w:spacing w:val="40"/>
        </w:rPr>
        <w:t> </w:t>
      </w:r>
      <w:r>
        <w:rPr/>
        <w:t>as</w:t>
      </w:r>
      <w:r>
        <w:rPr>
          <w:spacing w:val="40"/>
        </w:rPr>
        <w:t> </w:t>
      </w:r>
      <w:r>
        <w:rPr/>
        <w:t>required</w:t>
      </w:r>
      <w:r>
        <w:rPr>
          <w:spacing w:val="40"/>
        </w:rPr>
        <w:t> </w:t>
      </w:r>
      <w:r>
        <w:rPr/>
        <w:t>under</w:t>
      </w:r>
      <w:r>
        <w:rPr>
          <w:spacing w:val="40"/>
        </w:rPr>
        <w:t> </w:t>
      </w:r>
      <w:r>
        <w:rPr/>
        <w:t>these</w:t>
      </w:r>
      <w:r>
        <w:rPr>
          <w:spacing w:val="40"/>
        </w:rPr>
        <w:t> </w:t>
      </w:r>
      <w:r>
        <w:rPr/>
        <w:t>Regulations</w:t>
      </w:r>
      <w:r>
        <w:rPr>
          <w:spacing w:val="40"/>
        </w:rPr>
        <w:t> </w:t>
      </w:r>
      <w:r>
        <w:rPr/>
        <w:t>subject to</w:t>
      </w:r>
      <w:r>
        <w:rPr>
          <w:spacing w:val="40"/>
        </w:rPr>
        <w:t> </w:t>
      </w:r>
      <w:r>
        <w:rPr/>
        <w:t>fulfillment</w:t>
      </w:r>
      <w:r>
        <w:rPr>
          <w:spacing w:val="40"/>
        </w:rPr>
        <w:t> </w:t>
      </w:r>
      <w:r>
        <w:rPr/>
        <w:t>of</w:t>
      </w:r>
      <w:r>
        <w:rPr>
          <w:spacing w:val="40"/>
        </w:rPr>
        <w:t> </w:t>
      </w:r>
      <w:r>
        <w:rPr/>
        <w:t>structural</w:t>
      </w:r>
      <w:r>
        <w:rPr>
          <w:spacing w:val="40"/>
        </w:rPr>
        <w:t> </w:t>
      </w:r>
      <w:r>
        <w:rPr/>
        <w:t>requirements</w:t>
      </w:r>
      <w:r>
        <w:rPr>
          <w:spacing w:val="40"/>
        </w:rPr>
        <w:t> </w:t>
      </w:r>
      <w:r>
        <w:rPr/>
        <w:t>or</w:t>
      </w:r>
      <w:r>
        <w:rPr>
          <w:spacing w:val="40"/>
        </w:rPr>
        <w:t> </w:t>
      </w:r>
      <w:r>
        <w:rPr/>
        <w:t>else</w:t>
      </w:r>
      <w:r>
        <w:rPr>
          <w:spacing w:val="40"/>
        </w:rPr>
        <w:t> </w:t>
      </w:r>
      <w:r>
        <w:rPr/>
        <w:t>TDR</w:t>
      </w:r>
      <w:r>
        <w:rPr>
          <w:spacing w:val="40"/>
        </w:rPr>
        <w:t> </w:t>
      </w:r>
      <w:r>
        <w:rPr/>
        <w:t>in</w:t>
      </w:r>
      <w:r>
        <w:rPr>
          <w:spacing w:val="40"/>
        </w:rPr>
        <w:t> </w:t>
      </w:r>
      <w:r>
        <w:rPr/>
        <w:t>lieu</w:t>
      </w:r>
      <w:r>
        <w:rPr>
          <w:spacing w:val="40"/>
        </w:rPr>
        <w:t> </w:t>
      </w:r>
      <w:r>
        <w:rPr/>
        <w:t>of subsequent</w:t>
      </w:r>
      <w:r>
        <w:rPr>
          <w:spacing w:val="80"/>
        </w:rPr>
        <w:t> </w:t>
      </w:r>
      <w:r>
        <w:rPr/>
        <w:t>set</w:t>
      </w:r>
      <w:r>
        <w:rPr>
          <w:spacing w:val="80"/>
        </w:rPr>
        <w:t> </w:t>
      </w:r>
      <w:r>
        <w:rPr/>
        <w:t>back</w:t>
      </w:r>
      <w:r>
        <w:rPr>
          <w:spacing w:val="80"/>
        </w:rPr>
        <w:t> </w:t>
      </w:r>
      <w:r>
        <w:rPr/>
        <w:t>area</w:t>
      </w:r>
      <w:r>
        <w:rPr>
          <w:spacing w:val="80"/>
        </w:rPr>
        <w:t> </w:t>
      </w:r>
      <w:r>
        <w:rPr/>
        <w:t>as</w:t>
      </w:r>
      <w:r>
        <w:rPr>
          <w:spacing w:val="80"/>
        </w:rPr>
        <w:t> </w:t>
      </w:r>
      <w:r>
        <w:rPr/>
        <w:t>provided</w:t>
      </w:r>
      <w:r>
        <w:rPr>
          <w:spacing w:val="80"/>
        </w:rPr>
        <w:t> </w:t>
      </w:r>
      <w:r>
        <w:rPr/>
        <w:t>under</w:t>
      </w:r>
      <w:r>
        <w:rPr>
          <w:spacing w:val="80"/>
        </w:rPr>
        <w:t> </w:t>
      </w:r>
      <w:r>
        <w:rPr/>
        <w:t>these</w:t>
      </w:r>
      <w:r>
        <w:rPr>
          <w:spacing w:val="80"/>
        </w:rPr>
        <w:t> </w:t>
      </w:r>
      <w:r>
        <w:rPr/>
        <w:t>regulations</w:t>
      </w:r>
      <w:r>
        <w:rPr>
          <w:spacing w:val="80"/>
        </w:rPr>
        <w:t> </w:t>
      </w:r>
      <w:r>
        <w:rPr/>
        <w:t>may be allowed.</w:t>
      </w:r>
    </w:p>
    <w:p>
      <w:pPr>
        <w:pStyle w:val="BodyText"/>
        <w:spacing w:before="2"/>
        <w:jc w:val="left"/>
      </w:pPr>
    </w:p>
    <w:p>
      <w:pPr>
        <w:pStyle w:val="ListParagraph"/>
        <w:numPr>
          <w:ilvl w:val="1"/>
          <w:numId w:val="288"/>
        </w:numPr>
        <w:tabs>
          <w:tab w:pos="2105" w:val="left" w:leader="none"/>
        </w:tabs>
        <w:spacing w:line="240" w:lineRule="auto" w:before="0" w:after="0"/>
        <w:ind w:left="1673" w:right="775" w:firstLine="0"/>
        <w:jc w:val="both"/>
        <w:rPr>
          <w:sz w:val="24"/>
        </w:rPr>
      </w:pPr>
      <w:r>
        <w:rPr>
          <w:i/>
          <w:spacing w:val="9"/>
          <w:sz w:val="24"/>
        </w:rPr>
        <w:t>Step-</w:t>
      </w:r>
      <w:r>
        <w:rPr>
          <w:i/>
          <w:sz w:val="24"/>
        </w:rPr>
        <w:t>back</w:t>
      </w:r>
      <w:r>
        <w:rPr>
          <w:i/>
          <w:spacing w:val="40"/>
          <w:sz w:val="24"/>
        </w:rPr>
        <w:t> </w:t>
      </w:r>
      <w:r>
        <w:rPr>
          <w:i/>
          <w:sz w:val="24"/>
        </w:rPr>
        <w:t>at</w:t>
      </w:r>
      <w:r>
        <w:rPr>
          <w:i/>
          <w:spacing w:val="40"/>
          <w:sz w:val="24"/>
        </w:rPr>
        <w:t> </w:t>
      </w:r>
      <w:r>
        <w:rPr>
          <w:i/>
          <w:sz w:val="24"/>
        </w:rPr>
        <w:t>upper</w:t>
      </w:r>
      <w:r>
        <w:rPr>
          <w:i/>
          <w:spacing w:val="40"/>
          <w:sz w:val="24"/>
        </w:rPr>
        <w:t> </w:t>
      </w:r>
      <w:r>
        <w:rPr>
          <w:i/>
          <w:sz w:val="24"/>
        </w:rPr>
        <w:t>level</w:t>
      </w:r>
      <w:r>
        <w:rPr>
          <w:sz w:val="24"/>
        </w:rPr>
        <w:t>-</w:t>
      </w:r>
      <w:r>
        <w:rPr>
          <w:spacing w:val="40"/>
          <w:sz w:val="24"/>
        </w:rPr>
        <w:t> </w:t>
      </w:r>
      <w:r>
        <w:rPr>
          <w:sz w:val="24"/>
        </w:rPr>
        <w:t>The</w:t>
      </w:r>
      <w:r>
        <w:rPr>
          <w:spacing w:val="40"/>
          <w:sz w:val="24"/>
        </w:rPr>
        <w:t> </w:t>
      </w:r>
      <w:r>
        <w:rPr>
          <w:sz w:val="24"/>
        </w:rPr>
        <w:t>Commissioner</w:t>
      </w:r>
      <w:r>
        <w:rPr>
          <w:spacing w:val="40"/>
          <w:sz w:val="24"/>
        </w:rPr>
        <w:t> </w:t>
      </w:r>
      <w:r>
        <w:rPr>
          <w:sz w:val="24"/>
        </w:rPr>
        <w:t>may</w:t>
      </w:r>
      <w:r>
        <w:rPr>
          <w:spacing w:val="40"/>
          <w:sz w:val="24"/>
        </w:rPr>
        <w:t> </w:t>
      </w:r>
      <w:r>
        <w:rPr>
          <w:sz w:val="24"/>
        </w:rPr>
        <w:t>permit</w:t>
      </w:r>
      <w:r>
        <w:rPr>
          <w:spacing w:val="40"/>
          <w:sz w:val="24"/>
        </w:rPr>
        <w:t> </w:t>
      </w:r>
      <w:r>
        <w:rPr>
          <w:sz w:val="24"/>
        </w:rPr>
        <w:t>smaller step-backs</w:t>
      </w:r>
      <w:r>
        <w:rPr>
          <w:spacing w:val="68"/>
          <w:sz w:val="24"/>
        </w:rPr>
        <w:t> </w:t>
      </w:r>
      <w:r>
        <w:rPr>
          <w:sz w:val="24"/>
        </w:rPr>
        <w:t>at</w:t>
      </w:r>
      <w:r>
        <w:rPr>
          <w:spacing w:val="66"/>
          <w:sz w:val="24"/>
        </w:rPr>
        <w:t> </w:t>
      </w:r>
      <w:r>
        <w:rPr>
          <w:sz w:val="24"/>
        </w:rPr>
        <w:t>upper</w:t>
      </w:r>
      <w:r>
        <w:rPr>
          <w:spacing w:val="66"/>
          <w:sz w:val="24"/>
        </w:rPr>
        <w:t> </w:t>
      </w:r>
      <w:r>
        <w:rPr>
          <w:sz w:val="24"/>
        </w:rPr>
        <w:t>levels</w:t>
      </w:r>
      <w:r>
        <w:rPr>
          <w:spacing w:val="66"/>
          <w:sz w:val="24"/>
        </w:rPr>
        <w:t> </w:t>
      </w:r>
      <w:r>
        <w:rPr>
          <w:sz w:val="24"/>
        </w:rPr>
        <w:t>and</w:t>
      </w:r>
      <w:r>
        <w:rPr>
          <w:spacing w:val="66"/>
          <w:sz w:val="24"/>
        </w:rPr>
        <w:t> </w:t>
      </w:r>
      <w:r>
        <w:rPr>
          <w:sz w:val="24"/>
        </w:rPr>
        <w:t>also</w:t>
      </w:r>
      <w:r>
        <w:rPr>
          <w:spacing w:val="66"/>
          <w:sz w:val="24"/>
        </w:rPr>
        <w:t> </w:t>
      </w:r>
      <w:r>
        <w:rPr>
          <w:sz w:val="24"/>
        </w:rPr>
        <w:t>permit</w:t>
      </w:r>
      <w:r>
        <w:rPr>
          <w:spacing w:val="66"/>
          <w:sz w:val="24"/>
        </w:rPr>
        <w:t> </w:t>
      </w:r>
      <w:r>
        <w:rPr>
          <w:sz w:val="24"/>
        </w:rPr>
        <w:t>additional</w:t>
      </w:r>
      <w:r>
        <w:rPr>
          <w:spacing w:val="66"/>
          <w:sz w:val="24"/>
        </w:rPr>
        <w:t> </w:t>
      </w:r>
      <w:r>
        <w:rPr>
          <w:sz w:val="24"/>
        </w:rPr>
        <w:t>floor</w:t>
      </w:r>
      <w:r>
        <w:rPr>
          <w:spacing w:val="66"/>
          <w:sz w:val="24"/>
        </w:rPr>
        <w:t> </w:t>
      </w:r>
      <w:r>
        <w:rPr>
          <w:sz w:val="24"/>
        </w:rPr>
        <w:t>area</w:t>
      </w:r>
      <w:r>
        <w:rPr>
          <w:spacing w:val="66"/>
          <w:sz w:val="24"/>
        </w:rPr>
        <w:t> </w:t>
      </w:r>
      <w:r>
        <w:rPr>
          <w:sz w:val="24"/>
        </w:rPr>
        <w:t>upto a</w:t>
      </w:r>
      <w:r>
        <w:rPr>
          <w:spacing w:val="40"/>
          <w:sz w:val="24"/>
        </w:rPr>
        <w:t> </w:t>
      </w:r>
      <w:r>
        <w:rPr>
          <w:sz w:val="24"/>
        </w:rPr>
        <w:t>limit</w:t>
      </w:r>
      <w:r>
        <w:rPr>
          <w:spacing w:val="40"/>
          <w:sz w:val="24"/>
        </w:rPr>
        <w:t> </w:t>
      </w:r>
      <w:r>
        <w:rPr>
          <w:sz w:val="24"/>
        </w:rPr>
        <w:t>of</w:t>
      </w:r>
      <w:r>
        <w:rPr>
          <w:spacing w:val="40"/>
          <w:sz w:val="24"/>
        </w:rPr>
        <w:t> </w:t>
      </w:r>
      <w:r>
        <w:rPr>
          <w:sz w:val="24"/>
        </w:rPr>
        <w:t>10sq.</w:t>
      </w:r>
      <w:r>
        <w:rPr>
          <w:spacing w:val="40"/>
          <w:sz w:val="24"/>
        </w:rPr>
        <w:t> </w:t>
      </w:r>
      <w:r>
        <w:rPr>
          <w:sz w:val="24"/>
        </w:rPr>
        <w:t>m</w:t>
      </w:r>
      <w:r>
        <w:rPr>
          <w:spacing w:val="40"/>
          <w:sz w:val="24"/>
        </w:rPr>
        <w:t> </w:t>
      </w:r>
      <w:r>
        <w:rPr>
          <w:sz w:val="24"/>
        </w:rPr>
        <w:t>over</w:t>
      </w:r>
      <w:r>
        <w:rPr>
          <w:spacing w:val="40"/>
          <w:sz w:val="24"/>
        </w:rPr>
        <w:t> </w:t>
      </w:r>
      <w:r>
        <w:rPr>
          <w:sz w:val="24"/>
        </w:rPr>
        <w:t>the</w:t>
      </w:r>
      <w:r>
        <w:rPr>
          <w:spacing w:val="40"/>
          <w:sz w:val="24"/>
        </w:rPr>
        <w:t> </w:t>
      </w:r>
      <w:r>
        <w:rPr>
          <w:sz w:val="24"/>
        </w:rPr>
        <w:t>permissible</w:t>
      </w:r>
      <w:r>
        <w:rPr>
          <w:spacing w:val="40"/>
          <w:sz w:val="24"/>
        </w:rPr>
        <w:t> </w:t>
      </w:r>
      <w:r>
        <w:rPr>
          <w:sz w:val="24"/>
        </w:rPr>
        <w:t>FSI</w:t>
      </w:r>
      <w:r>
        <w:rPr>
          <w:spacing w:val="40"/>
          <w:sz w:val="24"/>
        </w:rPr>
        <w:t> </w:t>
      </w:r>
      <w:r>
        <w:rPr>
          <w:sz w:val="24"/>
        </w:rPr>
        <w:t>to</w:t>
      </w:r>
      <w:r>
        <w:rPr>
          <w:spacing w:val="40"/>
          <w:sz w:val="24"/>
        </w:rPr>
        <w:t> </w:t>
      </w:r>
      <w:r>
        <w:rPr>
          <w:sz w:val="24"/>
        </w:rPr>
        <w:t>avoid</w:t>
      </w:r>
      <w:r>
        <w:rPr>
          <w:spacing w:val="9"/>
          <w:sz w:val="24"/>
        </w:rPr>
        <w:t> structural </w:t>
      </w:r>
      <w:r>
        <w:rPr>
          <w:sz w:val="24"/>
        </w:rPr>
        <w:t>difficulties or hardship but so as not to affect adversely the light and ventilation</w:t>
      </w:r>
      <w:r>
        <w:rPr>
          <w:spacing w:val="40"/>
          <w:sz w:val="24"/>
        </w:rPr>
        <w:t> </w:t>
      </w:r>
      <w:r>
        <w:rPr>
          <w:sz w:val="24"/>
        </w:rPr>
        <w:t>of</w:t>
      </w:r>
      <w:r>
        <w:rPr>
          <w:spacing w:val="40"/>
          <w:sz w:val="24"/>
        </w:rPr>
        <w:t> </w:t>
      </w:r>
      <w:r>
        <w:rPr>
          <w:sz w:val="24"/>
        </w:rPr>
        <w:t>an</w:t>
      </w:r>
      <w:r>
        <w:rPr>
          <w:spacing w:val="40"/>
          <w:sz w:val="24"/>
        </w:rPr>
        <w:t> </w:t>
      </w:r>
      <w:r>
        <w:rPr>
          <w:sz w:val="24"/>
        </w:rPr>
        <w:t>adjoining</w:t>
      </w:r>
      <w:r>
        <w:rPr>
          <w:spacing w:val="40"/>
          <w:sz w:val="24"/>
        </w:rPr>
        <w:t> </w:t>
      </w:r>
      <w:r>
        <w:rPr>
          <w:sz w:val="24"/>
        </w:rPr>
        <w:t>building</w:t>
      </w:r>
      <w:r>
        <w:rPr>
          <w:spacing w:val="40"/>
          <w:sz w:val="24"/>
        </w:rPr>
        <w:t> </w:t>
      </w:r>
      <w:r>
        <w:rPr>
          <w:sz w:val="24"/>
        </w:rPr>
        <w:t>or</w:t>
      </w:r>
      <w:r>
        <w:rPr>
          <w:spacing w:val="40"/>
          <w:sz w:val="24"/>
        </w:rPr>
        <w:t> </w:t>
      </w:r>
      <w:r>
        <w:rPr>
          <w:sz w:val="24"/>
        </w:rPr>
        <w:t>part</w:t>
      </w:r>
      <w:r>
        <w:rPr>
          <w:spacing w:val="40"/>
          <w:sz w:val="24"/>
        </w:rPr>
        <w:t> </w:t>
      </w:r>
      <w:r>
        <w:rPr>
          <w:spacing w:val="9"/>
          <w:sz w:val="24"/>
        </w:rPr>
        <w:t>thereof.</w:t>
      </w:r>
    </w:p>
    <w:p>
      <w:pPr>
        <w:pStyle w:val="ListParagraph"/>
        <w:numPr>
          <w:ilvl w:val="1"/>
          <w:numId w:val="288"/>
        </w:numPr>
        <w:tabs>
          <w:tab w:pos="1968" w:val="left" w:leader="none"/>
        </w:tabs>
        <w:spacing w:line="240" w:lineRule="auto" w:before="281" w:after="0"/>
        <w:ind w:left="1673" w:right="781" w:firstLine="0"/>
        <w:jc w:val="both"/>
        <w:rPr>
          <w:sz w:val="24"/>
        </w:rPr>
      </w:pPr>
      <w:r>
        <w:rPr>
          <w:i/>
          <w:spacing w:val="9"/>
          <w:sz w:val="24"/>
        </w:rPr>
        <w:t>Tower-</w:t>
      </w:r>
      <w:r>
        <w:rPr>
          <w:i/>
          <w:sz w:val="24"/>
        </w:rPr>
        <w:t>like</w:t>
      </w:r>
      <w:r>
        <w:rPr>
          <w:i/>
          <w:spacing w:val="80"/>
          <w:sz w:val="24"/>
        </w:rPr>
        <w:t> </w:t>
      </w:r>
      <w:r>
        <w:rPr>
          <w:i/>
          <w:sz w:val="24"/>
        </w:rPr>
        <w:t>structures</w:t>
      </w:r>
      <w:r>
        <w:rPr>
          <w:sz w:val="24"/>
        </w:rPr>
        <w:t>-</w:t>
      </w:r>
      <w:r>
        <w:rPr>
          <w:spacing w:val="80"/>
          <w:sz w:val="24"/>
        </w:rPr>
        <w:t> </w:t>
      </w:r>
      <w:r>
        <w:rPr>
          <w:sz w:val="24"/>
        </w:rPr>
        <w:t>Notwithstanding</w:t>
      </w:r>
      <w:r>
        <w:rPr>
          <w:spacing w:val="80"/>
          <w:sz w:val="24"/>
        </w:rPr>
        <w:t> </w:t>
      </w:r>
      <w:r>
        <w:rPr>
          <w:sz w:val="24"/>
        </w:rPr>
        <w:t>any</w:t>
      </w:r>
      <w:r>
        <w:rPr>
          <w:spacing w:val="80"/>
          <w:sz w:val="24"/>
        </w:rPr>
        <w:t> </w:t>
      </w:r>
      <w:r>
        <w:rPr>
          <w:sz w:val="24"/>
        </w:rPr>
        <w:t>provision</w:t>
      </w:r>
      <w:r>
        <w:rPr>
          <w:spacing w:val="80"/>
          <w:sz w:val="24"/>
        </w:rPr>
        <w:t> </w:t>
      </w:r>
      <w:r>
        <w:rPr>
          <w:sz w:val="24"/>
        </w:rPr>
        <w:t>to</w:t>
      </w:r>
      <w:r>
        <w:rPr>
          <w:spacing w:val="80"/>
          <w:sz w:val="24"/>
        </w:rPr>
        <w:t> </w:t>
      </w:r>
      <w:r>
        <w:rPr>
          <w:sz w:val="24"/>
        </w:rPr>
        <w:t>the contrary, a </w:t>
      </w:r>
      <w:r>
        <w:rPr>
          <w:spacing w:val="9"/>
          <w:sz w:val="24"/>
        </w:rPr>
        <w:t>tower-</w:t>
      </w:r>
      <w:r>
        <w:rPr>
          <w:sz w:val="24"/>
        </w:rPr>
        <w:t>like structure may be permitted only with 6 m open space</w:t>
      </w:r>
      <w:r>
        <w:rPr>
          <w:spacing w:val="40"/>
          <w:sz w:val="24"/>
        </w:rPr>
        <w:t> </w:t>
      </w:r>
      <w:r>
        <w:rPr>
          <w:sz w:val="24"/>
        </w:rPr>
        <w:t>at</w:t>
      </w:r>
      <w:r>
        <w:rPr>
          <w:spacing w:val="40"/>
          <w:sz w:val="24"/>
        </w:rPr>
        <w:t> </w:t>
      </w:r>
      <w:r>
        <w:rPr>
          <w:sz w:val="24"/>
        </w:rPr>
        <w:t>the</w:t>
      </w:r>
      <w:r>
        <w:rPr>
          <w:spacing w:val="40"/>
          <w:sz w:val="24"/>
        </w:rPr>
        <w:t> </w:t>
      </w:r>
      <w:r>
        <w:rPr>
          <w:sz w:val="24"/>
        </w:rPr>
        <w:t>ground</w:t>
      </w:r>
      <w:r>
        <w:rPr>
          <w:spacing w:val="40"/>
          <w:sz w:val="24"/>
        </w:rPr>
        <w:t> </w:t>
      </w:r>
      <w:r>
        <w:rPr>
          <w:sz w:val="24"/>
        </w:rPr>
        <w:t>level</w:t>
      </w:r>
      <w:r>
        <w:rPr>
          <w:spacing w:val="40"/>
          <w:sz w:val="24"/>
        </w:rPr>
        <w:t> </w:t>
      </w:r>
      <w:r>
        <w:rPr>
          <w:sz w:val="24"/>
        </w:rPr>
        <w:t>and</w:t>
      </w:r>
      <w:r>
        <w:rPr>
          <w:spacing w:val="40"/>
          <w:sz w:val="24"/>
        </w:rPr>
        <w:t> </w:t>
      </w:r>
      <w:r>
        <w:rPr>
          <w:spacing w:val="10"/>
          <w:sz w:val="24"/>
        </w:rPr>
        <w:t>onestep-</w:t>
      </w:r>
      <w:r>
        <w:rPr>
          <w:sz w:val="24"/>
        </w:rPr>
        <w:t>back</w:t>
      </w:r>
      <w:r>
        <w:rPr>
          <w:spacing w:val="40"/>
          <w:sz w:val="24"/>
        </w:rPr>
        <w:t> </w:t>
      </w:r>
      <w:r>
        <w:rPr>
          <w:sz w:val="24"/>
        </w:rPr>
        <w:t>at</w:t>
      </w:r>
      <w:r>
        <w:rPr>
          <w:spacing w:val="40"/>
          <w:sz w:val="24"/>
        </w:rPr>
        <w:t> </w:t>
      </w:r>
      <w:r>
        <w:rPr>
          <w:sz w:val="24"/>
        </w:rPr>
        <w:t>the</w:t>
      </w:r>
      <w:r>
        <w:rPr>
          <w:spacing w:val="40"/>
          <w:sz w:val="24"/>
        </w:rPr>
        <w:t> </w:t>
      </w:r>
      <w:r>
        <w:rPr>
          <w:sz w:val="24"/>
        </w:rPr>
        <w:t>upper</w:t>
      </w:r>
      <w:r>
        <w:rPr>
          <w:spacing w:val="40"/>
          <w:sz w:val="24"/>
        </w:rPr>
        <w:t> </w:t>
      </w:r>
      <w:r>
        <w:rPr>
          <w:sz w:val="24"/>
        </w:rPr>
        <w:t>levels provided</w:t>
      </w:r>
      <w:r>
        <w:rPr>
          <w:spacing w:val="40"/>
          <w:sz w:val="24"/>
        </w:rPr>
        <w:t> </w:t>
      </w:r>
      <w:r>
        <w:rPr>
          <w:sz w:val="24"/>
        </w:rPr>
        <w:t>that</w:t>
      </w:r>
      <w:r>
        <w:rPr>
          <w:spacing w:val="40"/>
          <w:sz w:val="24"/>
        </w:rPr>
        <w:t> </w:t>
      </w:r>
      <w:r>
        <w:rPr>
          <w:sz w:val="24"/>
        </w:rPr>
        <w:t>the</w:t>
      </w:r>
      <w:r>
        <w:rPr>
          <w:spacing w:val="40"/>
          <w:sz w:val="24"/>
        </w:rPr>
        <w:t> </w:t>
      </w:r>
      <w:r>
        <w:rPr>
          <w:sz w:val="24"/>
        </w:rPr>
        <w:t>total</w:t>
      </w:r>
      <w:r>
        <w:rPr>
          <w:spacing w:val="40"/>
          <w:sz w:val="24"/>
        </w:rPr>
        <w:t> </w:t>
      </w:r>
      <w:r>
        <w:rPr>
          <w:sz w:val="24"/>
        </w:rPr>
        <w:t>height</w:t>
      </w:r>
      <w:r>
        <w:rPr>
          <w:spacing w:val="40"/>
          <w:sz w:val="24"/>
        </w:rPr>
        <w:t> </w:t>
      </w:r>
      <w:r>
        <w:rPr>
          <w:sz w:val="24"/>
        </w:rPr>
        <w:t>does</w:t>
      </w:r>
      <w:r>
        <w:rPr>
          <w:spacing w:val="40"/>
          <w:sz w:val="24"/>
        </w:rPr>
        <w:t> </w:t>
      </w:r>
      <w:r>
        <w:rPr>
          <w:sz w:val="24"/>
        </w:rPr>
        <w:t>not</w:t>
      </w:r>
      <w:r>
        <w:rPr>
          <w:spacing w:val="40"/>
          <w:sz w:val="24"/>
        </w:rPr>
        <w:t> </w:t>
      </w:r>
      <w:r>
        <w:rPr>
          <w:sz w:val="24"/>
        </w:rPr>
        <w:t>exceed</w:t>
      </w:r>
      <w:r>
        <w:rPr>
          <w:spacing w:val="40"/>
          <w:sz w:val="24"/>
        </w:rPr>
        <w:t> </w:t>
      </w:r>
      <w:r>
        <w:rPr>
          <w:sz w:val="24"/>
        </w:rPr>
        <w:t>32m.</w:t>
      </w:r>
      <w:r>
        <w:rPr>
          <w:spacing w:val="80"/>
          <w:sz w:val="24"/>
        </w:rPr>
        <w:t> </w:t>
      </w:r>
      <w:r>
        <w:rPr>
          <w:sz w:val="24"/>
        </w:rPr>
        <w:t>If</w:t>
      </w:r>
      <w:r>
        <w:rPr>
          <w:spacing w:val="40"/>
          <w:sz w:val="24"/>
        </w:rPr>
        <w:t> </w:t>
      </w:r>
      <w:r>
        <w:rPr>
          <w:sz w:val="24"/>
        </w:rPr>
        <w:t>it</w:t>
      </w:r>
      <w:r>
        <w:rPr>
          <w:spacing w:val="38"/>
          <w:sz w:val="24"/>
        </w:rPr>
        <w:t> </w:t>
      </w:r>
      <w:r>
        <w:rPr>
          <w:sz w:val="24"/>
        </w:rPr>
        <w:t>exceeds</w:t>
      </w:r>
      <w:r>
        <w:rPr>
          <w:spacing w:val="40"/>
          <w:sz w:val="24"/>
        </w:rPr>
        <w:t> </w:t>
      </w:r>
      <w:r>
        <w:rPr>
          <w:sz w:val="24"/>
        </w:rPr>
        <w:t>32m but</w:t>
      </w:r>
      <w:r>
        <w:rPr>
          <w:spacing w:val="40"/>
          <w:sz w:val="24"/>
        </w:rPr>
        <w:t> </w:t>
      </w:r>
      <w:r>
        <w:rPr>
          <w:sz w:val="24"/>
        </w:rPr>
        <w:t>does</w:t>
      </w:r>
      <w:r>
        <w:rPr>
          <w:spacing w:val="40"/>
          <w:sz w:val="24"/>
        </w:rPr>
        <w:t> </w:t>
      </w:r>
      <w:r>
        <w:rPr>
          <w:sz w:val="24"/>
        </w:rPr>
        <w:t>not</w:t>
      </w:r>
      <w:r>
        <w:rPr>
          <w:spacing w:val="40"/>
          <w:sz w:val="24"/>
        </w:rPr>
        <w:t> </w:t>
      </w:r>
      <w:r>
        <w:rPr>
          <w:sz w:val="24"/>
        </w:rPr>
        <w:t>exceed</w:t>
      </w:r>
      <w:r>
        <w:rPr>
          <w:spacing w:val="40"/>
          <w:sz w:val="24"/>
        </w:rPr>
        <w:t> </w:t>
      </w:r>
      <w:r>
        <w:rPr>
          <w:sz w:val="24"/>
        </w:rPr>
        <w:t>70m,</w:t>
      </w:r>
      <w:r>
        <w:rPr>
          <w:spacing w:val="40"/>
          <w:sz w:val="24"/>
        </w:rPr>
        <w:t> </w:t>
      </w:r>
      <w:r>
        <w:rPr>
          <w:sz w:val="24"/>
        </w:rPr>
        <w:t>the</w:t>
      </w:r>
      <w:r>
        <w:rPr>
          <w:spacing w:val="40"/>
          <w:sz w:val="24"/>
        </w:rPr>
        <w:t> </w:t>
      </w:r>
      <w:r>
        <w:rPr>
          <w:sz w:val="24"/>
        </w:rPr>
        <w:t>minimum</w:t>
      </w:r>
      <w:r>
        <w:rPr>
          <w:spacing w:val="40"/>
          <w:sz w:val="24"/>
        </w:rPr>
        <w:t> </w:t>
      </w:r>
      <w:r>
        <w:rPr>
          <w:sz w:val="24"/>
        </w:rPr>
        <w:t>open</w:t>
      </w:r>
      <w:r>
        <w:rPr>
          <w:spacing w:val="40"/>
          <w:sz w:val="24"/>
        </w:rPr>
        <w:t> </w:t>
      </w:r>
      <w:r>
        <w:rPr>
          <w:sz w:val="24"/>
        </w:rPr>
        <w:t>space</w:t>
      </w:r>
      <w:r>
        <w:rPr>
          <w:spacing w:val="40"/>
          <w:sz w:val="24"/>
        </w:rPr>
        <w:t> </w:t>
      </w:r>
      <w:r>
        <w:rPr>
          <w:sz w:val="24"/>
        </w:rPr>
        <w:t>at</w:t>
      </w:r>
      <w:r>
        <w:rPr>
          <w:spacing w:val="40"/>
          <w:sz w:val="24"/>
        </w:rPr>
        <w:t> </w:t>
      </w:r>
      <w:r>
        <w:rPr>
          <w:sz w:val="24"/>
        </w:rPr>
        <w:t>ground</w:t>
      </w:r>
      <w:r>
        <w:rPr>
          <w:spacing w:val="40"/>
          <w:sz w:val="24"/>
        </w:rPr>
        <w:t> </w:t>
      </w:r>
      <w:r>
        <w:rPr>
          <w:sz w:val="24"/>
        </w:rPr>
        <w:t>level shall</w:t>
      </w:r>
      <w:r>
        <w:rPr>
          <w:spacing w:val="40"/>
          <w:sz w:val="24"/>
        </w:rPr>
        <w:t> </w:t>
      </w:r>
      <w:r>
        <w:rPr>
          <w:sz w:val="24"/>
        </w:rPr>
        <w:t>be6</w:t>
      </w:r>
      <w:r>
        <w:rPr>
          <w:spacing w:val="40"/>
          <w:sz w:val="24"/>
        </w:rPr>
        <w:t> </w:t>
      </w:r>
      <w:r>
        <w:rPr>
          <w:sz w:val="24"/>
        </w:rPr>
        <w:t>m</w:t>
      </w:r>
      <w:r>
        <w:rPr>
          <w:spacing w:val="40"/>
          <w:sz w:val="24"/>
        </w:rPr>
        <w:t> </w:t>
      </w:r>
      <w:r>
        <w:rPr>
          <w:sz w:val="24"/>
        </w:rPr>
        <w:t>on</w:t>
      </w:r>
      <w:r>
        <w:rPr>
          <w:spacing w:val="40"/>
          <w:sz w:val="24"/>
        </w:rPr>
        <w:t> </w:t>
      </w:r>
      <w:r>
        <w:rPr>
          <w:sz w:val="24"/>
        </w:rPr>
        <w:t>rear</w:t>
      </w:r>
      <w:r>
        <w:rPr>
          <w:spacing w:val="40"/>
          <w:sz w:val="24"/>
        </w:rPr>
        <w:t> </w:t>
      </w:r>
      <w:r>
        <w:rPr>
          <w:sz w:val="24"/>
        </w:rPr>
        <w:t>and</w:t>
      </w:r>
      <w:r>
        <w:rPr>
          <w:spacing w:val="40"/>
          <w:sz w:val="24"/>
        </w:rPr>
        <w:t> </w:t>
      </w:r>
      <w:r>
        <w:rPr>
          <w:sz w:val="24"/>
        </w:rPr>
        <w:t>one</w:t>
      </w:r>
      <w:r>
        <w:rPr>
          <w:spacing w:val="40"/>
          <w:sz w:val="24"/>
        </w:rPr>
        <w:t> </w:t>
      </w:r>
      <w:r>
        <w:rPr>
          <w:sz w:val="24"/>
        </w:rPr>
        <w:t>side</w:t>
      </w:r>
      <w:r>
        <w:rPr>
          <w:spacing w:val="40"/>
          <w:sz w:val="24"/>
        </w:rPr>
        <w:t> </w:t>
      </w:r>
      <w:r>
        <w:rPr>
          <w:sz w:val="24"/>
        </w:rPr>
        <w:t>and</w:t>
      </w:r>
      <w:r>
        <w:rPr>
          <w:spacing w:val="40"/>
          <w:sz w:val="24"/>
        </w:rPr>
        <w:t> </w:t>
      </w:r>
      <w:r>
        <w:rPr>
          <w:sz w:val="24"/>
        </w:rPr>
        <w:t>9mon</w:t>
      </w:r>
      <w:r>
        <w:rPr>
          <w:spacing w:val="40"/>
          <w:sz w:val="24"/>
        </w:rPr>
        <w:t> </w:t>
      </w:r>
      <w:r>
        <w:rPr>
          <w:sz w:val="24"/>
        </w:rPr>
        <w:t>another</w:t>
      </w:r>
      <w:r>
        <w:rPr>
          <w:spacing w:val="40"/>
          <w:sz w:val="24"/>
        </w:rPr>
        <w:t> </w:t>
      </w:r>
      <w:r>
        <w:rPr>
          <w:sz w:val="24"/>
        </w:rPr>
        <w:t>side</w:t>
      </w:r>
      <w:r>
        <w:rPr>
          <w:spacing w:val="40"/>
          <w:sz w:val="24"/>
        </w:rPr>
        <w:t> </w:t>
      </w:r>
      <w:r>
        <w:rPr>
          <w:sz w:val="24"/>
        </w:rPr>
        <w:t>accessible from road. In case of building exceeding the height of</w:t>
      </w:r>
      <w:r>
        <w:rPr>
          <w:spacing w:val="40"/>
          <w:sz w:val="24"/>
        </w:rPr>
        <w:t> </w:t>
      </w:r>
      <w:r>
        <w:rPr>
          <w:sz w:val="24"/>
        </w:rPr>
        <w:t>70 m minimum open</w:t>
      </w:r>
      <w:r>
        <w:rPr>
          <w:spacing w:val="40"/>
          <w:sz w:val="24"/>
        </w:rPr>
        <w:t> </w:t>
      </w:r>
      <w:r>
        <w:rPr>
          <w:sz w:val="24"/>
        </w:rPr>
        <w:t>space</w:t>
      </w:r>
      <w:r>
        <w:rPr>
          <w:spacing w:val="40"/>
          <w:sz w:val="24"/>
        </w:rPr>
        <w:t> </w:t>
      </w:r>
      <w:r>
        <w:rPr>
          <w:sz w:val="24"/>
        </w:rPr>
        <w:t>at</w:t>
      </w:r>
      <w:r>
        <w:rPr>
          <w:spacing w:val="40"/>
          <w:sz w:val="24"/>
        </w:rPr>
        <w:t> </w:t>
      </w:r>
      <w:r>
        <w:rPr>
          <w:sz w:val="24"/>
        </w:rPr>
        <w:t>ground</w:t>
      </w:r>
      <w:r>
        <w:rPr>
          <w:spacing w:val="40"/>
          <w:sz w:val="24"/>
        </w:rPr>
        <w:t> </w:t>
      </w:r>
      <w:r>
        <w:rPr>
          <w:sz w:val="24"/>
        </w:rPr>
        <w:t>level</w:t>
      </w:r>
      <w:r>
        <w:rPr>
          <w:spacing w:val="40"/>
          <w:sz w:val="24"/>
        </w:rPr>
        <w:t> </w:t>
      </w:r>
      <w:r>
        <w:rPr>
          <w:sz w:val="24"/>
        </w:rPr>
        <w:t>shall</w:t>
      </w:r>
      <w:r>
        <w:rPr>
          <w:spacing w:val="40"/>
          <w:sz w:val="24"/>
        </w:rPr>
        <w:t> </w:t>
      </w:r>
      <w:r>
        <w:rPr>
          <w:sz w:val="24"/>
        </w:rPr>
        <w:t>be</w:t>
      </w:r>
      <w:r>
        <w:rPr>
          <w:spacing w:val="40"/>
          <w:sz w:val="24"/>
        </w:rPr>
        <w:t> </w:t>
      </w:r>
      <w:r>
        <w:rPr>
          <w:sz w:val="24"/>
        </w:rPr>
        <w:t>9</w:t>
      </w:r>
      <w:r>
        <w:rPr>
          <w:spacing w:val="40"/>
          <w:sz w:val="24"/>
        </w:rPr>
        <w:t> </w:t>
      </w:r>
      <w:r>
        <w:rPr>
          <w:sz w:val="24"/>
        </w:rPr>
        <w:t>m</w:t>
      </w:r>
      <w:r>
        <w:rPr>
          <w:spacing w:val="40"/>
          <w:sz w:val="24"/>
        </w:rPr>
        <w:t> </w:t>
      </w:r>
      <w:r>
        <w:rPr>
          <w:sz w:val="24"/>
        </w:rPr>
        <w:t>and</w:t>
      </w:r>
      <w:r>
        <w:rPr>
          <w:spacing w:val="40"/>
          <w:sz w:val="24"/>
        </w:rPr>
        <w:t> </w:t>
      </w:r>
      <w:r>
        <w:rPr>
          <w:sz w:val="24"/>
        </w:rPr>
        <w:t>two</w:t>
      </w:r>
      <w:r>
        <w:rPr>
          <w:spacing w:val="9"/>
          <w:sz w:val="24"/>
        </w:rPr>
        <w:t> step-</w:t>
      </w:r>
      <w:r>
        <w:rPr>
          <w:sz w:val="24"/>
        </w:rPr>
        <w:t>back</w:t>
      </w:r>
      <w:r>
        <w:rPr>
          <w:spacing w:val="40"/>
          <w:sz w:val="24"/>
        </w:rPr>
        <w:t> </w:t>
      </w:r>
      <w:r>
        <w:rPr>
          <w:sz w:val="24"/>
        </w:rPr>
        <w:t>at</w:t>
      </w:r>
      <w:r>
        <w:rPr>
          <w:spacing w:val="40"/>
          <w:sz w:val="24"/>
        </w:rPr>
        <w:t> </w:t>
      </w:r>
      <w:r>
        <w:rPr>
          <w:sz w:val="24"/>
        </w:rPr>
        <w:t>upper level</w:t>
      </w:r>
      <w:r>
        <w:rPr>
          <w:spacing w:val="35"/>
          <w:sz w:val="24"/>
        </w:rPr>
        <w:t> </w:t>
      </w:r>
      <w:r>
        <w:rPr>
          <w:sz w:val="24"/>
        </w:rPr>
        <w:t>up</w:t>
      </w:r>
      <w:r>
        <w:rPr>
          <w:spacing w:val="35"/>
          <w:sz w:val="24"/>
        </w:rPr>
        <w:t> </w:t>
      </w:r>
      <w:r>
        <w:rPr>
          <w:sz w:val="24"/>
        </w:rPr>
        <w:t>to</w:t>
      </w:r>
      <w:r>
        <w:rPr>
          <w:spacing w:val="35"/>
          <w:sz w:val="24"/>
        </w:rPr>
        <w:t> </w:t>
      </w:r>
      <w:r>
        <w:rPr>
          <w:sz w:val="24"/>
        </w:rPr>
        <w:t>the</w:t>
      </w:r>
      <w:r>
        <w:rPr>
          <w:spacing w:val="35"/>
          <w:sz w:val="24"/>
        </w:rPr>
        <w:t> </w:t>
      </w:r>
      <w:r>
        <w:rPr>
          <w:sz w:val="24"/>
        </w:rPr>
        <w:t>height</w:t>
      </w:r>
      <w:r>
        <w:rPr>
          <w:spacing w:val="35"/>
          <w:sz w:val="24"/>
        </w:rPr>
        <w:t> </w:t>
      </w:r>
      <w:r>
        <w:rPr>
          <w:sz w:val="24"/>
        </w:rPr>
        <w:t>of</w:t>
      </w:r>
      <w:r>
        <w:rPr>
          <w:spacing w:val="35"/>
          <w:sz w:val="24"/>
        </w:rPr>
        <w:t> </w:t>
      </w:r>
      <w:r>
        <w:rPr>
          <w:sz w:val="24"/>
        </w:rPr>
        <w:t>70</w:t>
      </w:r>
      <w:r>
        <w:rPr>
          <w:spacing w:val="35"/>
          <w:sz w:val="24"/>
        </w:rPr>
        <w:t> </w:t>
      </w:r>
      <w:r>
        <w:rPr>
          <w:sz w:val="24"/>
        </w:rPr>
        <w:t>m</w:t>
      </w:r>
      <w:r>
        <w:rPr>
          <w:spacing w:val="40"/>
          <w:sz w:val="24"/>
        </w:rPr>
        <w:t> </w:t>
      </w:r>
      <w:r>
        <w:rPr>
          <w:sz w:val="24"/>
        </w:rPr>
        <w:t>and</w:t>
      </w:r>
      <w:r>
        <w:rPr>
          <w:spacing w:val="35"/>
          <w:sz w:val="24"/>
        </w:rPr>
        <w:t> </w:t>
      </w:r>
      <w:r>
        <w:rPr>
          <w:sz w:val="24"/>
        </w:rPr>
        <w:t>for</w:t>
      </w:r>
      <w:r>
        <w:rPr>
          <w:spacing w:val="38"/>
          <w:sz w:val="24"/>
        </w:rPr>
        <w:t> </w:t>
      </w:r>
      <w:r>
        <w:rPr>
          <w:sz w:val="24"/>
        </w:rPr>
        <w:t>the</w:t>
      </w:r>
      <w:r>
        <w:rPr>
          <w:spacing w:val="35"/>
          <w:sz w:val="24"/>
        </w:rPr>
        <w:t> </w:t>
      </w:r>
      <w:r>
        <w:rPr>
          <w:sz w:val="24"/>
        </w:rPr>
        <w:t>height</w:t>
      </w:r>
      <w:r>
        <w:rPr>
          <w:spacing w:val="40"/>
          <w:sz w:val="24"/>
        </w:rPr>
        <w:t> </w:t>
      </w:r>
      <w:r>
        <w:rPr>
          <w:sz w:val="24"/>
        </w:rPr>
        <w:t>more</w:t>
      </w:r>
      <w:r>
        <w:rPr>
          <w:spacing w:val="35"/>
          <w:sz w:val="24"/>
        </w:rPr>
        <w:t> </w:t>
      </w:r>
      <w:r>
        <w:rPr>
          <w:sz w:val="24"/>
        </w:rPr>
        <w:t>than</w:t>
      </w:r>
      <w:r>
        <w:rPr>
          <w:spacing w:val="35"/>
          <w:sz w:val="24"/>
        </w:rPr>
        <w:t> </w:t>
      </w:r>
      <w:r>
        <w:rPr>
          <w:sz w:val="24"/>
        </w:rPr>
        <w:t>70</w:t>
      </w:r>
      <w:r>
        <w:rPr>
          <w:spacing w:val="35"/>
          <w:sz w:val="24"/>
        </w:rPr>
        <w:t> </w:t>
      </w:r>
      <w:r>
        <w:rPr>
          <w:sz w:val="24"/>
        </w:rPr>
        <w:t>m</w:t>
      </w:r>
      <w:r>
        <w:rPr>
          <w:spacing w:val="35"/>
          <w:sz w:val="24"/>
        </w:rPr>
        <w:t> </w:t>
      </w:r>
      <w:r>
        <w:rPr>
          <w:sz w:val="24"/>
        </w:rPr>
        <w:t>and up</w:t>
      </w:r>
      <w:r>
        <w:rPr>
          <w:spacing w:val="40"/>
          <w:sz w:val="24"/>
        </w:rPr>
        <w:t> </w:t>
      </w:r>
      <w:r>
        <w:rPr>
          <w:sz w:val="24"/>
        </w:rPr>
        <w:t>to</w:t>
      </w:r>
      <w:r>
        <w:rPr>
          <w:spacing w:val="40"/>
          <w:sz w:val="24"/>
        </w:rPr>
        <w:t> </w:t>
      </w:r>
      <w:r>
        <w:rPr>
          <w:sz w:val="24"/>
        </w:rPr>
        <w:t>120</w:t>
      </w:r>
      <w:r>
        <w:rPr>
          <w:spacing w:val="40"/>
          <w:sz w:val="24"/>
        </w:rPr>
        <w:t> </w:t>
      </w:r>
      <w:r>
        <w:rPr>
          <w:sz w:val="24"/>
        </w:rPr>
        <w:t>m</w:t>
      </w:r>
      <w:r>
        <w:rPr>
          <w:spacing w:val="40"/>
          <w:sz w:val="24"/>
        </w:rPr>
        <w:t> </w:t>
      </w:r>
      <w:r>
        <w:rPr>
          <w:sz w:val="24"/>
        </w:rPr>
        <w:t>three</w:t>
      </w:r>
      <w:r>
        <w:rPr>
          <w:spacing w:val="9"/>
          <w:sz w:val="24"/>
        </w:rPr>
        <w:t> step-</w:t>
      </w:r>
      <w:r>
        <w:rPr>
          <w:sz w:val="24"/>
        </w:rPr>
        <w:t>backs</w:t>
      </w:r>
      <w:r>
        <w:rPr>
          <w:spacing w:val="40"/>
          <w:sz w:val="24"/>
        </w:rPr>
        <w:t> </w:t>
      </w:r>
      <w:r>
        <w:rPr>
          <w:sz w:val="24"/>
        </w:rPr>
        <w:t>and</w:t>
      </w:r>
      <w:r>
        <w:rPr>
          <w:spacing w:val="40"/>
          <w:sz w:val="24"/>
        </w:rPr>
        <w:t> </w:t>
      </w:r>
      <w:r>
        <w:rPr>
          <w:sz w:val="24"/>
        </w:rPr>
        <w:t>for</w:t>
      </w:r>
      <w:r>
        <w:rPr>
          <w:spacing w:val="40"/>
          <w:sz w:val="24"/>
        </w:rPr>
        <w:t> </w:t>
      </w:r>
      <w:r>
        <w:rPr>
          <w:sz w:val="24"/>
        </w:rPr>
        <w:t>the</w:t>
      </w:r>
      <w:r>
        <w:rPr>
          <w:spacing w:val="40"/>
          <w:sz w:val="24"/>
        </w:rPr>
        <w:t> </w:t>
      </w:r>
      <w:r>
        <w:rPr>
          <w:sz w:val="24"/>
        </w:rPr>
        <w:t>height</w:t>
      </w:r>
      <w:r>
        <w:rPr>
          <w:spacing w:val="40"/>
          <w:sz w:val="24"/>
        </w:rPr>
        <w:t> </w:t>
      </w:r>
      <w:r>
        <w:rPr>
          <w:sz w:val="24"/>
        </w:rPr>
        <w:t>beyond</w:t>
      </w:r>
      <w:r>
        <w:rPr>
          <w:spacing w:val="40"/>
          <w:sz w:val="24"/>
        </w:rPr>
        <w:t> </w:t>
      </w:r>
      <w:r>
        <w:rPr>
          <w:sz w:val="24"/>
        </w:rPr>
        <w:t>120</w:t>
      </w:r>
      <w:r>
        <w:rPr>
          <w:spacing w:val="40"/>
          <w:sz w:val="24"/>
        </w:rPr>
        <w:t> </w:t>
      </w:r>
      <w:r>
        <w:rPr>
          <w:sz w:val="24"/>
        </w:rPr>
        <w:t>m</w:t>
      </w:r>
      <w:r>
        <w:rPr>
          <w:spacing w:val="40"/>
          <w:sz w:val="24"/>
        </w:rPr>
        <w:t> </w:t>
      </w:r>
      <w:r>
        <w:rPr>
          <w:sz w:val="24"/>
        </w:rPr>
        <w:t>four step-backs</w:t>
      </w:r>
      <w:r>
        <w:rPr>
          <w:spacing w:val="40"/>
          <w:sz w:val="24"/>
        </w:rPr>
        <w:t> </w:t>
      </w:r>
      <w:r>
        <w:rPr>
          <w:sz w:val="24"/>
        </w:rPr>
        <w:t>may</w:t>
      </w:r>
      <w:r>
        <w:rPr>
          <w:spacing w:val="40"/>
          <w:sz w:val="24"/>
        </w:rPr>
        <w:t> </w:t>
      </w:r>
      <w:r>
        <w:rPr>
          <w:sz w:val="24"/>
        </w:rPr>
        <w:t>be</w:t>
      </w:r>
      <w:r>
        <w:rPr>
          <w:spacing w:val="40"/>
          <w:sz w:val="24"/>
        </w:rPr>
        <w:t> </w:t>
      </w:r>
      <w:r>
        <w:rPr>
          <w:sz w:val="24"/>
        </w:rPr>
        <w:t>allowed.</w:t>
      </w:r>
      <w:r>
        <w:rPr>
          <w:spacing w:val="40"/>
          <w:sz w:val="24"/>
        </w:rPr>
        <w:t> </w:t>
      </w:r>
      <w:r>
        <w:rPr>
          <w:sz w:val="24"/>
        </w:rPr>
        <w:t>The</w:t>
      </w:r>
      <w:r>
        <w:rPr>
          <w:spacing w:val="40"/>
          <w:sz w:val="24"/>
        </w:rPr>
        <w:t> </w:t>
      </w:r>
      <w:r>
        <w:rPr>
          <w:spacing w:val="9"/>
          <w:sz w:val="24"/>
        </w:rPr>
        <w:t>step-</w:t>
      </w:r>
      <w:r>
        <w:rPr>
          <w:sz w:val="24"/>
        </w:rPr>
        <w:t>backs</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in</w:t>
      </w:r>
      <w:r>
        <w:rPr>
          <w:spacing w:val="40"/>
          <w:sz w:val="24"/>
        </w:rPr>
        <w:t> </w:t>
      </w:r>
      <w:r>
        <w:rPr>
          <w:sz w:val="24"/>
        </w:rPr>
        <w:t>such a</w:t>
      </w:r>
      <w:r>
        <w:rPr>
          <w:spacing w:val="40"/>
          <w:sz w:val="24"/>
        </w:rPr>
        <w:t> </w:t>
      </w:r>
      <w:r>
        <w:rPr>
          <w:sz w:val="24"/>
        </w:rPr>
        <w:t>way</w:t>
      </w:r>
      <w:r>
        <w:rPr>
          <w:spacing w:val="40"/>
          <w:sz w:val="24"/>
        </w:rPr>
        <w:t> </w:t>
      </w:r>
      <w:r>
        <w:rPr>
          <w:sz w:val="24"/>
        </w:rPr>
        <w:t>that</w:t>
      </w:r>
      <w:r>
        <w:rPr>
          <w:spacing w:val="40"/>
          <w:sz w:val="24"/>
        </w:rPr>
        <w:t> </w:t>
      </w:r>
      <w:r>
        <w:rPr>
          <w:sz w:val="24"/>
        </w:rPr>
        <w:t>the</w:t>
      </w:r>
      <w:r>
        <w:rPr>
          <w:spacing w:val="40"/>
          <w:sz w:val="24"/>
        </w:rPr>
        <w:t> </w:t>
      </w:r>
      <w:r>
        <w:rPr>
          <w:sz w:val="24"/>
        </w:rPr>
        <w:t>required</w:t>
      </w:r>
      <w:r>
        <w:rPr>
          <w:spacing w:val="40"/>
          <w:sz w:val="24"/>
        </w:rPr>
        <w:t> </w:t>
      </w:r>
      <w:r>
        <w:rPr>
          <w:sz w:val="24"/>
        </w:rPr>
        <w:t>open</w:t>
      </w:r>
      <w:r>
        <w:rPr>
          <w:spacing w:val="40"/>
          <w:sz w:val="24"/>
        </w:rPr>
        <w:t> </w:t>
      </w:r>
      <w:r>
        <w:rPr>
          <w:spacing w:val="9"/>
          <w:sz w:val="24"/>
        </w:rPr>
        <w:t>spaces</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provisions</w:t>
      </w:r>
      <w:r>
        <w:rPr>
          <w:spacing w:val="40"/>
          <w:sz w:val="24"/>
        </w:rPr>
        <w:t> </w:t>
      </w:r>
      <w:r>
        <w:rPr>
          <w:sz w:val="24"/>
        </w:rPr>
        <w:t>of Regulation</w:t>
      </w:r>
      <w:r>
        <w:rPr>
          <w:spacing w:val="80"/>
          <w:sz w:val="24"/>
        </w:rPr>
        <w:t> </w:t>
      </w:r>
      <w:r>
        <w:rPr>
          <w:sz w:val="24"/>
        </w:rPr>
        <w:t>No.</w:t>
      </w:r>
      <w:r>
        <w:rPr>
          <w:spacing w:val="80"/>
          <w:sz w:val="24"/>
        </w:rPr>
        <w:t> </w:t>
      </w:r>
      <w:r>
        <w:rPr>
          <w:sz w:val="24"/>
        </w:rPr>
        <w:t>41(1)(a),41(2)(i)(a)</w:t>
      </w:r>
      <w:r>
        <w:rPr>
          <w:spacing w:val="80"/>
          <w:sz w:val="24"/>
        </w:rPr>
        <w:t> </w:t>
      </w:r>
      <w:r>
        <w:rPr>
          <w:sz w:val="24"/>
        </w:rPr>
        <w:t>&amp;</w:t>
      </w:r>
      <w:r>
        <w:rPr>
          <w:spacing w:val="80"/>
          <w:sz w:val="24"/>
        </w:rPr>
        <w:t> </w:t>
      </w:r>
      <w:r>
        <w:rPr>
          <w:sz w:val="24"/>
        </w:rPr>
        <w:t>43(1)are</w:t>
      </w:r>
      <w:r>
        <w:rPr>
          <w:spacing w:val="80"/>
          <w:sz w:val="24"/>
        </w:rPr>
        <w:t> </w:t>
      </w:r>
      <w:r>
        <w:rPr>
          <w:sz w:val="24"/>
        </w:rPr>
        <w:t>maintained</w:t>
      </w:r>
      <w:r>
        <w:rPr>
          <w:spacing w:val="80"/>
          <w:sz w:val="24"/>
        </w:rPr>
        <w:t> </w:t>
      </w:r>
      <w:r>
        <w:rPr>
          <w:sz w:val="24"/>
        </w:rPr>
        <w:t>at</w:t>
      </w:r>
      <w:r>
        <w:rPr>
          <w:spacing w:val="80"/>
          <w:sz w:val="24"/>
        </w:rPr>
        <w:t> </w:t>
      </w:r>
      <w:r>
        <w:rPr>
          <w:sz w:val="24"/>
        </w:rPr>
        <w:t>upper level.</w:t>
      </w:r>
      <w:r>
        <w:rPr>
          <w:spacing w:val="40"/>
          <w:sz w:val="24"/>
        </w:rPr>
        <w:t> </w:t>
      </w:r>
      <w:r>
        <w:rPr>
          <w:sz w:val="24"/>
        </w:rPr>
        <w:t>The</w:t>
      </w:r>
      <w:r>
        <w:rPr>
          <w:spacing w:val="40"/>
          <w:sz w:val="24"/>
        </w:rPr>
        <w:t> </w:t>
      </w:r>
      <w:r>
        <w:rPr>
          <w:sz w:val="24"/>
        </w:rPr>
        <w:t>terrace</w:t>
      </w:r>
      <w:r>
        <w:rPr>
          <w:spacing w:val="40"/>
          <w:sz w:val="24"/>
        </w:rPr>
        <w:t> </w:t>
      </w:r>
      <w:r>
        <w:rPr>
          <w:sz w:val="24"/>
        </w:rPr>
        <w:t>created</w:t>
      </w:r>
      <w:r>
        <w:rPr>
          <w:spacing w:val="40"/>
          <w:sz w:val="24"/>
        </w:rPr>
        <w:t> </w:t>
      </w:r>
      <w:r>
        <w:rPr>
          <w:sz w:val="24"/>
        </w:rPr>
        <w:t>by</w:t>
      </w:r>
      <w:r>
        <w:rPr>
          <w:spacing w:val="40"/>
          <w:sz w:val="24"/>
        </w:rPr>
        <w:t> </w:t>
      </w:r>
      <w:r>
        <w:rPr>
          <w:sz w:val="24"/>
        </w:rPr>
        <w:t>the</w:t>
      </w:r>
      <w:r>
        <w:rPr>
          <w:spacing w:val="40"/>
          <w:sz w:val="24"/>
        </w:rPr>
        <w:t> </w:t>
      </w:r>
      <w:r>
        <w:rPr>
          <w:spacing w:val="9"/>
          <w:sz w:val="24"/>
        </w:rPr>
        <w:t>step-</w:t>
      </w:r>
      <w:r>
        <w:rPr>
          <w:sz w:val="24"/>
        </w:rPr>
        <w:t>back</w:t>
      </w:r>
      <w:r>
        <w:rPr>
          <w:spacing w:val="40"/>
          <w:sz w:val="24"/>
        </w:rPr>
        <w:t> </w:t>
      </w:r>
      <w:r>
        <w:rPr>
          <w:sz w:val="24"/>
        </w:rPr>
        <w:t>shall</w:t>
      </w:r>
      <w:r>
        <w:rPr>
          <w:spacing w:val="40"/>
          <w:sz w:val="24"/>
        </w:rPr>
        <w:t> </w:t>
      </w:r>
      <w:r>
        <w:rPr>
          <w:sz w:val="24"/>
        </w:rPr>
        <w:t>be</w:t>
      </w:r>
      <w:r>
        <w:rPr>
          <w:spacing w:val="40"/>
          <w:sz w:val="24"/>
        </w:rPr>
        <w:t> </w:t>
      </w:r>
      <w:r>
        <w:rPr>
          <w:sz w:val="24"/>
        </w:rPr>
        <w:t>accessible</w:t>
      </w:r>
      <w:r>
        <w:rPr>
          <w:spacing w:val="40"/>
          <w:sz w:val="24"/>
        </w:rPr>
        <w:t> </w:t>
      </w:r>
      <w:r>
        <w:rPr>
          <w:sz w:val="24"/>
        </w:rPr>
        <w:t>through a</w:t>
      </w:r>
      <w:r>
        <w:rPr>
          <w:spacing w:val="40"/>
          <w:sz w:val="24"/>
        </w:rPr>
        <w:t> </w:t>
      </w:r>
      <w:r>
        <w:rPr>
          <w:sz w:val="24"/>
        </w:rPr>
        <w:t>common</w:t>
      </w:r>
      <w:r>
        <w:rPr>
          <w:spacing w:val="40"/>
          <w:sz w:val="24"/>
        </w:rPr>
        <w:t> </w:t>
      </w:r>
      <w:r>
        <w:rPr>
          <w:sz w:val="24"/>
        </w:rPr>
        <w:t>passage</w:t>
      </w:r>
      <w:r>
        <w:rPr>
          <w:spacing w:val="40"/>
          <w:sz w:val="24"/>
        </w:rPr>
        <w:t> </w:t>
      </w:r>
      <w:r>
        <w:rPr>
          <w:sz w:val="24"/>
        </w:rPr>
        <w:t>and</w:t>
      </w:r>
      <w:r>
        <w:rPr>
          <w:spacing w:val="40"/>
          <w:sz w:val="24"/>
        </w:rPr>
        <w:t> </w:t>
      </w:r>
      <w:r>
        <w:rPr>
          <w:sz w:val="24"/>
        </w:rPr>
        <w:t>/or</w:t>
      </w:r>
      <w:r>
        <w:rPr>
          <w:spacing w:val="40"/>
          <w:sz w:val="24"/>
        </w:rPr>
        <w:t> </w:t>
      </w:r>
      <w:r>
        <w:rPr>
          <w:sz w:val="24"/>
        </w:rPr>
        <w:t>common</w:t>
      </w:r>
      <w:r>
        <w:rPr>
          <w:spacing w:val="40"/>
          <w:sz w:val="24"/>
        </w:rPr>
        <w:t> </w:t>
      </w:r>
      <w:r>
        <w:rPr>
          <w:sz w:val="24"/>
        </w:rPr>
        <w:t>staircase</w:t>
      </w:r>
      <w:r>
        <w:rPr>
          <w:spacing w:val="40"/>
          <w:sz w:val="24"/>
        </w:rPr>
        <w:t> </w:t>
      </w:r>
      <w:r>
        <w:rPr>
          <w:sz w:val="24"/>
        </w:rPr>
        <w:t>only.</w:t>
      </w:r>
    </w:p>
    <w:p>
      <w:pPr>
        <w:pStyle w:val="BodyText"/>
        <w:jc w:val="left"/>
      </w:pPr>
    </w:p>
    <w:p>
      <w:pPr>
        <w:pStyle w:val="BodyText"/>
        <w:ind w:left="1673" w:right="787" w:hanging="360"/>
      </w:pPr>
      <w:r>
        <w:rPr/>
        <w:t>Provided</w:t>
      </w:r>
      <w:r>
        <w:rPr>
          <w:spacing w:val="40"/>
        </w:rPr>
        <w:t> </w:t>
      </w:r>
      <w:r>
        <w:rPr/>
        <w:t>further</w:t>
      </w:r>
      <w:r>
        <w:rPr>
          <w:spacing w:val="40"/>
        </w:rPr>
        <w:t> </w:t>
      </w:r>
      <w:r>
        <w:rPr/>
        <w:t>that</w:t>
      </w:r>
      <w:r>
        <w:rPr>
          <w:spacing w:val="40"/>
        </w:rPr>
        <w:t> </w:t>
      </w:r>
      <w:r>
        <w:rPr/>
        <w:t>such</w:t>
      </w:r>
      <w:r>
        <w:rPr>
          <w:spacing w:val="40"/>
        </w:rPr>
        <w:t> </w:t>
      </w:r>
      <w:r>
        <w:rPr/>
        <w:t>step</w:t>
      </w:r>
      <w:r>
        <w:rPr>
          <w:spacing w:val="40"/>
        </w:rPr>
        <w:t> </w:t>
      </w:r>
      <w:r>
        <w:rPr/>
        <w:t>backs</w:t>
      </w:r>
      <w:r>
        <w:rPr>
          <w:spacing w:val="40"/>
        </w:rPr>
        <w:t> </w:t>
      </w:r>
      <w:r>
        <w:rPr/>
        <w:t>as</w:t>
      </w:r>
      <w:r>
        <w:rPr>
          <w:spacing w:val="40"/>
        </w:rPr>
        <w:t> </w:t>
      </w:r>
      <w:r>
        <w:rPr/>
        <w:t>stated</w:t>
      </w:r>
      <w:r>
        <w:rPr>
          <w:spacing w:val="40"/>
        </w:rPr>
        <w:t> </w:t>
      </w:r>
      <w:r>
        <w:rPr/>
        <w:t>above</w:t>
      </w:r>
      <w:r>
        <w:rPr>
          <w:spacing w:val="40"/>
        </w:rPr>
        <w:t> </w:t>
      </w:r>
      <w:r>
        <w:rPr/>
        <w:t>may</w:t>
      </w:r>
      <w:r>
        <w:rPr>
          <w:spacing w:val="40"/>
        </w:rPr>
        <w:t> </w:t>
      </w:r>
      <w:r>
        <w:rPr/>
        <w:t>also</w:t>
      </w:r>
      <w:r>
        <w:rPr>
          <w:spacing w:val="40"/>
        </w:rPr>
        <w:t> </w:t>
      </w:r>
      <w:r>
        <w:rPr/>
        <w:t>be allowed</w:t>
      </w:r>
      <w:r>
        <w:rPr>
          <w:spacing w:val="40"/>
        </w:rPr>
        <w:t> </w:t>
      </w:r>
      <w:r>
        <w:rPr/>
        <w:t>on</w:t>
      </w:r>
      <w:r>
        <w:rPr>
          <w:spacing w:val="40"/>
        </w:rPr>
        <w:t> </w:t>
      </w:r>
      <w:r>
        <w:rPr/>
        <w:t>one</w:t>
      </w:r>
      <w:r>
        <w:rPr>
          <w:spacing w:val="40"/>
        </w:rPr>
        <w:t> </w:t>
      </w:r>
      <w:r>
        <w:rPr/>
        <w:t>or</w:t>
      </w:r>
      <w:r>
        <w:rPr>
          <w:spacing w:val="40"/>
        </w:rPr>
        <w:t> </w:t>
      </w:r>
      <w:r>
        <w:rPr/>
        <w:t>more sides,</w:t>
      </w:r>
      <w:r>
        <w:rPr>
          <w:spacing w:val="80"/>
        </w:rPr>
        <w:t> </w:t>
      </w:r>
      <w:r>
        <w:rPr/>
        <w:t>however</w:t>
      </w:r>
      <w:r>
        <w:rPr>
          <w:spacing w:val="40"/>
        </w:rPr>
        <w:t> </w:t>
      </w:r>
      <w:r>
        <w:rPr/>
        <w:t>on</w:t>
      </w:r>
      <w:r>
        <w:rPr>
          <w:spacing w:val="40"/>
        </w:rPr>
        <w:t> </w:t>
      </w:r>
      <w:r>
        <w:rPr/>
        <w:t>other sides</w:t>
      </w:r>
      <w:r>
        <w:rPr>
          <w:spacing w:val="40"/>
        </w:rPr>
        <w:t> </w:t>
      </w:r>
      <w:r>
        <w:rPr/>
        <w:t>than the step back, shall have to maintain the regular open spaces as per these </w:t>
      </w:r>
      <w:r>
        <w:rPr>
          <w:spacing w:val="7"/>
        </w:rPr>
        <w:t>regulations.</w:t>
      </w:r>
    </w:p>
    <w:p>
      <w:pPr>
        <w:pStyle w:val="Heading6"/>
        <w:numPr>
          <w:ilvl w:val="0"/>
          <w:numId w:val="288"/>
        </w:numPr>
        <w:tabs>
          <w:tab w:pos="1624" w:val="left" w:leader="none"/>
        </w:tabs>
        <w:spacing w:line="240" w:lineRule="auto" w:before="280" w:after="0"/>
        <w:ind w:left="1624" w:right="0" w:hanging="311"/>
        <w:jc w:val="left"/>
        <w:rPr>
          <w:b w:val="0"/>
          <w:i w:val="0"/>
        </w:rPr>
      </w:pPr>
      <w:r>
        <w:rPr/>
        <w:t>Industrial</w:t>
      </w:r>
      <w:r>
        <w:rPr>
          <w:spacing w:val="63"/>
          <w:w w:val="150"/>
        </w:rPr>
        <w:t> </w:t>
      </w:r>
      <w:r>
        <w:rPr>
          <w:spacing w:val="-4"/>
        </w:rPr>
        <w:t>Zone</w:t>
      </w:r>
      <w:r>
        <w:rPr>
          <w:b w:val="0"/>
          <w:i w:val="0"/>
          <w:spacing w:val="-4"/>
        </w:rPr>
        <w:t>-</w:t>
      </w:r>
    </w:p>
    <w:p>
      <w:pPr>
        <w:pStyle w:val="BodyText"/>
        <w:spacing w:before="2"/>
        <w:jc w:val="left"/>
      </w:pPr>
    </w:p>
    <w:p>
      <w:pPr>
        <w:pStyle w:val="ListParagraph"/>
        <w:numPr>
          <w:ilvl w:val="1"/>
          <w:numId w:val="288"/>
        </w:numPr>
        <w:tabs>
          <w:tab w:pos="1673" w:val="left" w:leader="none"/>
          <w:tab w:pos="1709" w:val="left" w:leader="none"/>
        </w:tabs>
        <w:spacing w:line="240" w:lineRule="auto" w:before="0" w:after="0"/>
        <w:ind w:left="1673" w:right="932" w:hanging="360"/>
        <w:jc w:val="both"/>
        <w:rPr>
          <w:sz w:val="24"/>
        </w:rPr>
      </w:pPr>
      <w:r>
        <w:rPr>
          <w:sz w:val="24"/>
        </w:rPr>
        <w:t>Buildings</w:t>
      </w:r>
      <w:r>
        <w:rPr>
          <w:spacing w:val="80"/>
          <w:sz w:val="24"/>
        </w:rPr>
        <w:t> </w:t>
      </w:r>
      <w:r>
        <w:rPr>
          <w:sz w:val="24"/>
        </w:rPr>
        <w:t>upto</w:t>
      </w:r>
      <w:r>
        <w:rPr>
          <w:spacing w:val="40"/>
          <w:sz w:val="24"/>
        </w:rPr>
        <w:t> </w:t>
      </w:r>
      <w:r>
        <w:rPr>
          <w:sz w:val="24"/>
        </w:rPr>
        <w:t>4</w:t>
      </w:r>
      <w:r>
        <w:rPr>
          <w:spacing w:val="40"/>
          <w:sz w:val="24"/>
        </w:rPr>
        <w:t> </w:t>
      </w:r>
      <w:r>
        <w:rPr>
          <w:sz w:val="24"/>
        </w:rPr>
        <w:t>storeys</w:t>
      </w:r>
      <w:r>
        <w:rPr>
          <w:spacing w:val="40"/>
          <w:sz w:val="24"/>
        </w:rPr>
        <w:t> </w:t>
      </w:r>
      <w:r>
        <w:rPr>
          <w:sz w:val="24"/>
        </w:rPr>
        <w:t>or</w:t>
      </w:r>
      <w:r>
        <w:rPr>
          <w:spacing w:val="40"/>
          <w:sz w:val="24"/>
        </w:rPr>
        <w:t> </w:t>
      </w:r>
      <w:r>
        <w:rPr>
          <w:sz w:val="24"/>
        </w:rPr>
        <w:t>16</w:t>
      </w:r>
      <w:r>
        <w:rPr>
          <w:spacing w:val="40"/>
          <w:sz w:val="24"/>
        </w:rPr>
        <w:t> </w:t>
      </w:r>
      <w:r>
        <w:rPr>
          <w:sz w:val="24"/>
        </w:rPr>
        <w:t>m</w:t>
      </w:r>
      <w:r>
        <w:rPr>
          <w:spacing w:val="40"/>
          <w:sz w:val="24"/>
        </w:rPr>
        <w:t> </w:t>
      </w:r>
      <w:r>
        <w:rPr>
          <w:sz w:val="24"/>
        </w:rPr>
        <w:t>in</w:t>
      </w:r>
      <w:r>
        <w:rPr>
          <w:spacing w:val="40"/>
          <w:sz w:val="24"/>
        </w:rPr>
        <w:t> </w:t>
      </w:r>
      <w:r>
        <w:rPr>
          <w:sz w:val="24"/>
        </w:rPr>
        <w:t>height</w:t>
      </w:r>
      <w:r>
        <w:rPr>
          <w:spacing w:val="40"/>
          <w:sz w:val="24"/>
        </w:rPr>
        <w:t> </w:t>
      </w:r>
      <w:r>
        <w:rPr>
          <w:sz w:val="24"/>
        </w:rPr>
        <w:t>-</w:t>
      </w:r>
      <w:r>
        <w:rPr>
          <w:spacing w:val="40"/>
          <w:sz w:val="24"/>
        </w:rPr>
        <w:t> </w:t>
      </w:r>
      <w:r>
        <w:rPr>
          <w:sz w:val="24"/>
        </w:rPr>
        <w:t>The</w:t>
      </w:r>
      <w:r>
        <w:rPr>
          <w:spacing w:val="40"/>
          <w:sz w:val="24"/>
        </w:rPr>
        <w:t> </w:t>
      </w:r>
      <w:r>
        <w:rPr>
          <w:sz w:val="24"/>
        </w:rPr>
        <w:t>minimum</w:t>
      </w:r>
      <w:r>
        <w:rPr>
          <w:spacing w:val="40"/>
          <w:sz w:val="24"/>
        </w:rPr>
        <w:t> </w:t>
      </w:r>
      <w:r>
        <w:rPr>
          <w:sz w:val="24"/>
        </w:rPr>
        <w:t>width</w:t>
      </w:r>
      <w:r>
        <w:rPr>
          <w:spacing w:val="40"/>
          <w:sz w:val="24"/>
        </w:rPr>
        <w:t> </w:t>
      </w:r>
      <w:r>
        <w:rPr>
          <w:sz w:val="24"/>
        </w:rPr>
        <w:t>of the</w:t>
      </w:r>
      <w:r>
        <w:rPr>
          <w:spacing w:val="40"/>
          <w:sz w:val="24"/>
        </w:rPr>
        <w:t> </w:t>
      </w:r>
      <w:r>
        <w:rPr>
          <w:sz w:val="24"/>
        </w:rPr>
        <w:t>open</w:t>
      </w:r>
      <w:r>
        <w:rPr>
          <w:spacing w:val="40"/>
          <w:sz w:val="24"/>
        </w:rPr>
        <w:t> </w:t>
      </w:r>
      <w:r>
        <w:rPr>
          <w:sz w:val="24"/>
        </w:rPr>
        <w:t>space</w:t>
      </w:r>
      <w:r>
        <w:rPr>
          <w:spacing w:val="40"/>
          <w:sz w:val="24"/>
        </w:rPr>
        <w:t> </w:t>
      </w:r>
      <w:r>
        <w:rPr>
          <w:sz w:val="24"/>
        </w:rPr>
        <w:t>around</w:t>
      </w:r>
      <w:r>
        <w:rPr>
          <w:spacing w:val="40"/>
          <w:sz w:val="24"/>
        </w:rPr>
        <w:t> </w:t>
      </w:r>
      <w:r>
        <w:rPr>
          <w:sz w:val="24"/>
        </w:rPr>
        <w:t>each</w:t>
      </w:r>
      <w:r>
        <w:rPr>
          <w:spacing w:val="40"/>
          <w:sz w:val="24"/>
        </w:rPr>
        <w:t> </w:t>
      </w:r>
      <w:r>
        <w:rPr>
          <w:sz w:val="24"/>
        </w:rPr>
        <w:t>building</w:t>
      </w:r>
      <w:r>
        <w:rPr>
          <w:spacing w:val="40"/>
          <w:sz w:val="24"/>
        </w:rPr>
        <w:t> </w:t>
      </w:r>
      <w:r>
        <w:rPr>
          <w:sz w:val="24"/>
        </w:rPr>
        <w:t>shall</w:t>
      </w:r>
      <w:r>
        <w:rPr>
          <w:spacing w:val="40"/>
          <w:sz w:val="24"/>
        </w:rPr>
        <w:t> </w:t>
      </w:r>
      <w:r>
        <w:rPr>
          <w:sz w:val="24"/>
        </w:rPr>
        <w:t>be</w:t>
      </w:r>
      <w:r>
        <w:rPr>
          <w:spacing w:val="40"/>
          <w:sz w:val="24"/>
        </w:rPr>
        <w:t> </w:t>
      </w:r>
      <w:r>
        <w:rPr>
          <w:sz w:val="24"/>
        </w:rPr>
        <w:t>6m.</w:t>
      </w:r>
    </w:p>
    <w:p>
      <w:pPr>
        <w:pStyle w:val="ListParagraph"/>
        <w:numPr>
          <w:ilvl w:val="1"/>
          <w:numId w:val="288"/>
        </w:numPr>
        <w:tabs>
          <w:tab w:pos="1632" w:val="left" w:leader="none"/>
          <w:tab w:pos="1673" w:val="left" w:leader="none"/>
        </w:tabs>
        <w:spacing w:line="240" w:lineRule="auto" w:before="2" w:after="0"/>
        <w:ind w:left="1673" w:right="777" w:hanging="360"/>
        <w:jc w:val="both"/>
        <w:rPr>
          <w:sz w:val="24"/>
        </w:rPr>
      </w:pPr>
      <w:r>
        <w:rPr>
          <w:sz w:val="24"/>
        </w:rPr>
        <w:t>Building more than 4 storeys or 16 m in </w:t>
      </w:r>
      <w:r>
        <w:rPr>
          <w:spacing w:val="9"/>
          <w:sz w:val="24"/>
        </w:rPr>
        <w:t>height-</w:t>
      </w:r>
      <w:r>
        <w:rPr>
          <w:spacing w:val="9"/>
          <w:sz w:val="24"/>
        </w:rPr>
        <w:t> </w:t>
      </w:r>
      <w:r>
        <w:rPr>
          <w:sz w:val="24"/>
        </w:rPr>
        <w:t>The open space dimension prescribed in (a)</w:t>
      </w:r>
      <w:r>
        <w:rPr>
          <w:spacing w:val="38"/>
          <w:sz w:val="24"/>
        </w:rPr>
        <w:t> </w:t>
      </w:r>
      <w:r>
        <w:rPr>
          <w:sz w:val="24"/>
        </w:rPr>
        <w:t>above</w:t>
      </w:r>
      <w:r>
        <w:rPr>
          <w:spacing w:val="38"/>
          <w:sz w:val="24"/>
        </w:rPr>
        <w:t> </w:t>
      </w:r>
      <w:r>
        <w:rPr>
          <w:sz w:val="24"/>
        </w:rPr>
        <w:t>shall be increased</w:t>
      </w:r>
      <w:r>
        <w:rPr>
          <w:spacing w:val="38"/>
          <w:sz w:val="24"/>
        </w:rPr>
        <w:t> </w:t>
      </w:r>
      <w:r>
        <w:rPr>
          <w:sz w:val="24"/>
        </w:rPr>
        <w:t>by at</w:t>
      </w:r>
      <w:r>
        <w:rPr>
          <w:spacing w:val="38"/>
          <w:sz w:val="24"/>
        </w:rPr>
        <w:t> </w:t>
      </w:r>
      <w:r>
        <w:rPr>
          <w:sz w:val="24"/>
        </w:rPr>
        <w:t>least </w:t>
      </w:r>
      <w:r>
        <w:rPr>
          <w:spacing w:val="9"/>
          <w:sz w:val="24"/>
        </w:rPr>
        <w:t>0.25m </w:t>
      </w:r>
      <w:r>
        <w:rPr>
          <w:sz w:val="24"/>
        </w:rPr>
        <w:t>for</w:t>
      </w:r>
      <w:r>
        <w:rPr>
          <w:spacing w:val="40"/>
          <w:sz w:val="24"/>
        </w:rPr>
        <w:t> </w:t>
      </w:r>
      <w:r>
        <w:rPr>
          <w:sz w:val="24"/>
        </w:rPr>
        <w:t>every</w:t>
      </w:r>
      <w:r>
        <w:rPr>
          <w:spacing w:val="40"/>
          <w:sz w:val="24"/>
        </w:rPr>
        <w:t> </w:t>
      </w:r>
      <w:r>
        <w:rPr>
          <w:sz w:val="24"/>
        </w:rPr>
        <w:t>1</w:t>
      </w:r>
      <w:r>
        <w:rPr>
          <w:spacing w:val="40"/>
          <w:sz w:val="24"/>
        </w:rPr>
        <w:t> </w:t>
      </w:r>
      <w:r>
        <w:rPr>
          <w:sz w:val="24"/>
        </w:rPr>
        <w:t>m</w:t>
      </w:r>
      <w:r>
        <w:rPr>
          <w:spacing w:val="40"/>
          <w:sz w:val="24"/>
        </w:rPr>
        <w:t> </w:t>
      </w:r>
      <w:r>
        <w:rPr>
          <w:sz w:val="24"/>
        </w:rPr>
        <w:t>of</w:t>
      </w:r>
      <w:r>
        <w:rPr>
          <w:spacing w:val="40"/>
          <w:sz w:val="24"/>
        </w:rPr>
        <w:t> </w:t>
      </w:r>
      <w:r>
        <w:rPr>
          <w:sz w:val="24"/>
        </w:rPr>
        <w:t>height</w:t>
      </w:r>
      <w:r>
        <w:rPr>
          <w:spacing w:val="40"/>
          <w:sz w:val="24"/>
        </w:rPr>
        <w:t> </w:t>
      </w:r>
      <w:r>
        <w:rPr>
          <w:sz w:val="24"/>
        </w:rPr>
        <w:t>or</w:t>
      </w:r>
      <w:r>
        <w:rPr>
          <w:spacing w:val="40"/>
          <w:sz w:val="24"/>
        </w:rPr>
        <w:t> </w:t>
      </w:r>
      <w:r>
        <w:rPr>
          <w:sz w:val="24"/>
        </w:rPr>
        <w:t>part</w:t>
      </w:r>
      <w:r>
        <w:rPr>
          <w:spacing w:val="40"/>
          <w:sz w:val="24"/>
        </w:rPr>
        <w:t> </w:t>
      </w:r>
      <w:r>
        <w:rPr>
          <w:sz w:val="24"/>
        </w:rPr>
        <w:t>thereof,</w:t>
      </w:r>
      <w:r>
        <w:rPr>
          <w:spacing w:val="40"/>
          <w:sz w:val="24"/>
        </w:rPr>
        <w:t> </w:t>
      </w:r>
      <w:r>
        <w:rPr>
          <w:sz w:val="24"/>
        </w:rPr>
        <w:t>above</w:t>
      </w:r>
      <w:r>
        <w:rPr>
          <w:spacing w:val="40"/>
          <w:sz w:val="24"/>
        </w:rPr>
        <w:t> </w:t>
      </w:r>
      <w:r>
        <w:rPr>
          <w:sz w:val="24"/>
        </w:rPr>
        <w:t>4</w:t>
      </w:r>
      <w:r>
        <w:rPr>
          <w:spacing w:val="40"/>
          <w:sz w:val="24"/>
        </w:rPr>
        <w:t> </w:t>
      </w:r>
      <w:r>
        <w:rPr>
          <w:sz w:val="24"/>
        </w:rPr>
        <w:t>storeys</w:t>
      </w:r>
      <w:r>
        <w:rPr>
          <w:spacing w:val="40"/>
          <w:sz w:val="24"/>
        </w:rPr>
        <w:t> </w:t>
      </w:r>
      <w:r>
        <w:rPr>
          <w:sz w:val="24"/>
        </w:rPr>
        <w:t>or</w:t>
      </w:r>
      <w:r>
        <w:rPr>
          <w:spacing w:val="40"/>
          <w:sz w:val="24"/>
        </w:rPr>
        <w:t> </w:t>
      </w:r>
      <w:r>
        <w:rPr>
          <w:sz w:val="24"/>
        </w:rPr>
        <w:t>16</w:t>
      </w:r>
      <w:r>
        <w:rPr>
          <w:spacing w:val="40"/>
          <w:sz w:val="24"/>
        </w:rPr>
        <w:t> </w:t>
      </w:r>
      <w:r>
        <w:rPr>
          <w:sz w:val="24"/>
        </w:rPr>
        <w:t>m.</w:t>
      </w:r>
    </w:p>
    <w:p>
      <w:pPr>
        <w:pStyle w:val="BodyText"/>
        <w:spacing w:before="280"/>
        <w:ind w:left="1673" w:right="781" w:hanging="360"/>
      </w:pPr>
      <w:r>
        <w:rPr/>
        <w:t>Provided</w:t>
      </w:r>
      <w:r>
        <w:rPr>
          <w:spacing w:val="40"/>
        </w:rPr>
        <w:t> </w:t>
      </w:r>
      <w:r>
        <w:rPr/>
        <w:t>that</w:t>
      </w:r>
      <w:r>
        <w:rPr>
          <w:spacing w:val="40"/>
        </w:rPr>
        <w:t> </w:t>
      </w:r>
      <w:r>
        <w:rPr/>
        <w:t>no</w:t>
      </w:r>
      <w:r>
        <w:rPr>
          <w:spacing w:val="40"/>
        </w:rPr>
        <w:t> </w:t>
      </w:r>
      <w:r>
        <w:rPr/>
        <w:t>such</w:t>
      </w:r>
      <w:r>
        <w:rPr>
          <w:spacing w:val="40"/>
        </w:rPr>
        <w:t> </w:t>
      </w:r>
      <w:r>
        <w:rPr/>
        <w:t>increase</w:t>
      </w:r>
      <w:r>
        <w:rPr>
          <w:spacing w:val="40"/>
        </w:rPr>
        <w:t> </w:t>
      </w:r>
      <w:r>
        <w:rPr/>
        <w:t>in</w:t>
      </w:r>
      <w:r>
        <w:rPr>
          <w:spacing w:val="40"/>
        </w:rPr>
        <w:t> </w:t>
      </w:r>
      <w:r>
        <w:rPr/>
        <w:t>open</w:t>
      </w:r>
      <w:r>
        <w:rPr>
          <w:spacing w:val="40"/>
        </w:rPr>
        <w:t> </w:t>
      </w:r>
      <w:r>
        <w:rPr/>
        <w:t>spaces</w:t>
      </w:r>
      <w:r>
        <w:rPr>
          <w:spacing w:val="40"/>
        </w:rPr>
        <w:t> </w:t>
      </w:r>
      <w:r>
        <w:rPr/>
        <w:t>is</w:t>
      </w:r>
      <w:r>
        <w:rPr>
          <w:spacing w:val="40"/>
        </w:rPr>
        <w:t> </w:t>
      </w:r>
      <w:r>
        <w:rPr/>
        <w:t>necessary</w:t>
      </w:r>
      <w:r>
        <w:rPr>
          <w:spacing w:val="40"/>
        </w:rPr>
        <w:t> </w:t>
      </w:r>
      <w:r>
        <w:rPr/>
        <w:t>if</w:t>
      </w:r>
      <w:r>
        <w:rPr>
          <w:spacing w:val="40"/>
        </w:rPr>
        <w:t> </w:t>
      </w:r>
      <w:r>
        <w:rPr/>
        <w:t>(i)</w:t>
      </w:r>
      <w:r>
        <w:rPr>
          <w:spacing w:val="40"/>
        </w:rPr>
        <w:t> </w:t>
      </w:r>
      <w:r>
        <w:rPr/>
        <w:t>it</w:t>
      </w:r>
      <w:r>
        <w:rPr>
          <w:spacing w:val="40"/>
        </w:rPr>
        <w:t> </w:t>
      </w:r>
      <w:r>
        <w:rPr/>
        <w:t>is</w:t>
      </w:r>
      <w:r>
        <w:rPr>
          <w:spacing w:val="40"/>
        </w:rPr>
        <w:t> </w:t>
      </w:r>
      <w:r>
        <w:rPr/>
        <w:t>a front</w:t>
      </w:r>
      <w:r>
        <w:rPr>
          <w:spacing w:val="40"/>
        </w:rPr>
        <w:t> </w:t>
      </w:r>
      <w:r>
        <w:rPr/>
        <w:t>margin</w:t>
      </w:r>
      <w:r>
        <w:rPr>
          <w:spacing w:val="40"/>
        </w:rPr>
        <w:t> </w:t>
      </w:r>
      <w:r>
        <w:rPr/>
        <w:t>or</w:t>
      </w:r>
      <w:r>
        <w:rPr>
          <w:spacing w:val="40"/>
        </w:rPr>
        <w:t> </w:t>
      </w:r>
      <w:r>
        <w:rPr/>
        <w:t>(ii)</w:t>
      </w:r>
      <w:r>
        <w:rPr>
          <w:spacing w:val="40"/>
        </w:rPr>
        <w:t> </w:t>
      </w:r>
      <w:r>
        <w:rPr/>
        <w:t>when</w:t>
      </w:r>
      <w:r>
        <w:rPr>
          <w:spacing w:val="40"/>
        </w:rPr>
        <w:t> </w:t>
      </w:r>
      <w:r>
        <w:rPr/>
        <w:t>only</w:t>
      </w:r>
      <w:r>
        <w:rPr>
          <w:spacing w:val="40"/>
        </w:rPr>
        <w:t> </w:t>
      </w:r>
      <w:r>
        <w:rPr/>
        <w:t>store</w:t>
      </w:r>
      <w:r>
        <w:rPr>
          <w:spacing w:val="40"/>
        </w:rPr>
        <w:t> </w:t>
      </w:r>
      <w:r>
        <w:rPr/>
        <w:t>rooms</w:t>
      </w:r>
      <w:r>
        <w:rPr>
          <w:spacing w:val="40"/>
        </w:rPr>
        <w:t> </w:t>
      </w:r>
      <w:r>
        <w:rPr/>
        <w:t>and</w:t>
      </w:r>
      <w:r>
        <w:rPr>
          <w:spacing w:val="40"/>
        </w:rPr>
        <w:t> </w:t>
      </w:r>
      <w:r>
        <w:rPr/>
        <w:t>stairways</w:t>
      </w:r>
      <w:r>
        <w:rPr>
          <w:spacing w:val="40"/>
        </w:rPr>
        <w:t> </w:t>
      </w:r>
      <w:r>
        <w:rPr/>
        <w:t>derive</w:t>
      </w:r>
      <w:r>
        <w:rPr>
          <w:spacing w:val="40"/>
        </w:rPr>
        <w:t> </w:t>
      </w:r>
      <w:r>
        <w:rPr/>
        <w:t>light and</w:t>
      </w:r>
      <w:r>
        <w:rPr>
          <w:spacing w:val="40"/>
        </w:rPr>
        <w:t> </w:t>
      </w:r>
      <w:r>
        <w:rPr/>
        <w:t>ventilation</w:t>
      </w:r>
      <w:r>
        <w:rPr>
          <w:spacing w:val="40"/>
        </w:rPr>
        <w:t> </w:t>
      </w:r>
      <w:r>
        <w:rPr/>
        <w:t>from</w:t>
      </w:r>
      <w:r>
        <w:rPr>
          <w:spacing w:val="40"/>
        </w:rPr>
        <w:t> </w:t>
      </w:r>
      <w:r>
        <w:rPr/>
        <w:t>the</w:t>
      </w:r>
      <w:r>
        <w:rPr>
          <w:spacing w:val="40"/>
        </w:rPr>
        <w:t> </w:t>
      </w:r>
      <w:r>
        <w:rPr/>
        <w:t>open</w:t>
      </w:r>
      <w:r>
        <w:rPr>
          <w:spacing w:val="40"/>
        </w:rPr>
        <w:t> </w:t>
      </w:r>
      <w:r>
        <w:rPr>
          <w:spacing w:val="9"/>
        </w:rPr>
        <w:t>space.</w:t>
      </w:r>
    </w:p>
    <w:p>
      <w:pPr>
        <w:pStyle w:val="BodyText"/>
        <w:spacing w:after="0"/>
        <w:sectPr>
          <w:pgSz w:w="11910" w:h="16840"/>
          <w:pgMar w:header="1058" w:footer="1201" w:top="1500" w:bottom="1400" w:left="360" w:right="360"/>
        </w:sectPr>
      </w:pPr>
    </w:p>
    <w:p>
      <w:pPr>
        <w:pStyle w:val="Heading6"/>
        <w:numPr>
          <w:ilvl w:val="0"/>
          <w:numId w:val="286"/>
        </w:numPr>
        <w:tabs>
          <w:tab w:pos="1651" w:val="left" w:leader="none"/>
          <w:tab w:pos="1673" w:val="left" w:leader="none"/>
        </w:tabs>
        <w:spacing w:line="240" w:lineRule="auto" w:before="252" w:after="0"/>
        <w:ind w:left="1673" w:right="795" w:hanging="360"/>
        <w:jc w:val="both"/>
        <w:rPr>
          <w:i w:val="0"/>
          <w:sz w:val="22"/>
        </w:rPr>
      </w:pPr>
      <w:r>
        <w:rPr/>
        <w:t>Provisions</w:t>
      </w:r>
      <w:r>
        <w:rPr>
          <w:spacing w:val="40"/>
        </w:rPr>
        <w:t> </w:t>
      </w:r>
      <w:r>
        <w:rPr/>
        <w:t>in</w:t>
      </w:r>
      <w:r>
        <w:rPr>
          <w:spacing w:val="40"/>
        </w:rPr>
        <w:t> </w:t>
      </w:r>
      <w:r>
        <w:rPr/>
        <w:t>marginal</w:t>
      </w:r>
      <w:r>
        <w:rPr>
          <w:spacing w:val="40"/>
        </w:rPr>
        <w:t> </w:t>
      </w:r>
      <w:r>
        <w:rPr/>
        <w:t>open</w:t>
      </w:r>
      <w:r>
        <w:rPr>
          <w:spacing w:val="40"/>
        </w:rPr>
        <w:t> </w:t>
      </w:r>
      <w:r>
        <w:rPr/>
        <w:t>spaces</w:t>
      </w:r>
      <w:r>
        <w:rPr>
          <w:spacing w:val="40"/>
        </w:rPr>
        <w:t> </w:t>
      </w:r>
      <w:r>
        <w:rPr/>
        <w:t>if</w:t>
      </w:r>
      <w:r>
        <w:rPr>
          <w:spacing w:val="40"/>
        </w:rPr>
        <w:t> </w:t>
      </w:r>
      <w:r>
        <w:rPr/>
        <w:t>the</w:t>
      </w:r>
      <w:r>
        <w:rPr>
          <w:spacing w:val="40"/>
        </w:rPr>
        <w:t> </w:t>
      </w:r>
      <w:r>
        <w:rPr/>
        <w:t>height</w:t>
      </w:r>
      <w:r>
        <w:rPr>
          <w:spacing w:val="40"/>
        </w:rPr>
        <w:t> </w:t>
      </w:r>
      <w:r>
        <w:rPr/>
        <w:t>of</w:t>
      </w:r>
      <w:r>
        <w:rPr>
          <w:spacing w:val="40"/>
        </w:rPr>
        <w:t> </w:t>
      </w:r>
      <w:r>
        <w:rPr/>
        <w:t>the</w:t>
      </w:r>
      <w:r>
        <w:rPr>
          <w:spacing w:val="40"/>
        </w:rPr>
        <w:t> </w:t>
      </w:r>
      <w:r>
        <w:rPr/>
        <w:t>building is restricted</w:t>
      </w:r>
      <w:r>
        <w:rPr>
          <w:b w:val="0"/>
          <w:i w:val="0"/>
        </w:rPr>
        <w:t>-</w:t>
      </w:r>
    </w:p>
    <w:p>
      <w:pPr>
        <w:pStyle w:val="BodyText"/>
        <w:spacing w:before="5"/>
        <w:jc w:val="left"/>
      </w:pPr>
    </w:p>
    <w:p>
      <w:pPr>
        <w:pStyle w:val="ListParagraph"/>
        <w:numPr>
          <w:ilvl w:val="1"/>
          <w:numId w:val="286"/>
        </w:numPr>
        <w:tabs>
          <w:tab w:pos="1623" w:val="left" w:leader="none"/>
          <w:tab w:pos="1673" w:val="left" w:leader="none"/>
        </w:tabs>
        <w:spacing w:line="240" w:lineRule="auto" w:before="0" w:after="0"/>
        <w:ind w:left="1673" w:right="778" w:hanging="360"/>
        <w:jc w:val="both"/>
        <w:rPr>
          <w:sz w:val="24"/>
        </w:rPr>
      </w:pPr>
      <w:r>
        <w:rPr>
          <w:sz w:val="24"/>
        </w:rPr>
        <w:t>Notwithstanding</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pacing w:val="11"/>
          <w:sz w:val="24"/>
        </w:rPr>
        <w:t>sub-</w:t>
      </w:r>
      <w:r>
        <w:rPr>
          <w:sz w:val="24"/>
        </w:rPr>
        <w:t>regulations</w:t>
      </w:r>
      <w:r>
        <w:rPr>
          <w:spacing w:val="40"/>
          <w:sz w:val="24"/>
        </w:rPr>
        <w:t> </w:t>
      </w:r>
      <w:r>
        <w:rPr>
          <w:sz w:val="24"/>
        </w:rPr>
        <w:t>(2)</w:t>
      </w:r>
      <w:r>
        <w:rPr>
          <w:spacing w:val="40"/>
          <w:sz w:val="24"/>
        </w:rPr>
        <w:t> </w:t>
      </w:r>
      <w:r>
        <w:rPr>
          <w:sz w:val="24"/>
        </w:rPr>
        <w:t>of</w:t>
      </w:r>
      <w:r>
        <w:rPr>
          <w:spacing w:val="40"/>
          <w:sz w:val="24"/>
        </w:rPr>
        <w:t> </w:t>
      </w:r>
      <w:r>
        <w:rPr>
          <w:sz w:val="24"/>
        </w:rPr>
        <w:t>this</w:t>
      </w:r>
      <w:r>
        <w:rPr>
          <w:spacing w:val="40"/>
          <w:sz w:val="24"/>
        </w:rPr>
        <w:t> </w:t>
      </w:r>
      <w:r>
        <w:rPr>
          <w:sz w:val="24"/>
        </w:rPr>
        <w:t>Regulation, the minimum open spaces in plots in residential and commercial zones may be relaxed to the values quoted in Table No 17 below, if the number of storeysare restricted to Ground and one upper floor</w:t>
      </w:r>
      <w:r>
        <w:rPr>
          <w:spacing w:val="40"/>
          <w:sz w:val="24"/>
        </w:rPr>
        <w:t> </w:t>
      </w:r>
      <w:r>
        <w:rPr>
          <w:sz w:val="24"/>
        </w:rPr>
        <w:t>or</w:t>
      </w:r>
      <w:r>
        <w:rPr>
          <w:spacing w:val="40"/>
          <w:sz w:val="24"/>
        </w:rPr>
        <w:t> </w:t>
      </w:r>
      <w:r>
        <w:rPr>
          <w:sz w:val="24"/>
        </w:rPr>
        <w:t>Stilt</w:t>
      </w:r>
      <w:r>
        <w:rPr>
          <w:spacing w:val="40"/>
          <w:sz w:val="24"/>
        </w:rPr>
        <w:t> </w:t>
      </w:r>
      <w:r>
        <w:rPr>
          <w:sz w:val="24"/>
        </w:rPr>
        <w:t>and</w:t>
      </w:r>
      <w:r>
        <w:rPr>
          <w:spacing w:val="40"/>
          <w:sz w:val="24"/>
        </w:rPr>
        <w:t> </w:t>
      </w:r>
      <w:r>
        <w:rPr>
          <w:sz w:val="24"/>
        </w:rPr>
        <w:t>two</w:t>
      </w:r>
      <w:r>
        <w:rPr>
          <w:spacing w:val="40"/>
          <w:sz w:val="24"/>
        </w:rPr>
        <w:t> </w:t>
      </w:r>
      <w:r>
        <w:rPr>
          <w:sz w:val="24"/>
        </w:rPr>
        <w:t>upper</w:t>
      </w:r>
      <w:r>
        <w:rPr>
          <w:spacing w:val="40"/>
          <w:sz w:val="24"/>
        </w:rPr>
        <w:t> </w:t>
      </w:r>
      <w:r>
        <w:rPr>
          <w:sz w:val="24"/>
        </w:rPr>
        <w:t>floors</w:t>
      </w:r>
    </w:p>
    <w:p>
      <w:pPr>
        <w:pStyle w:val="Heading5"/>
        <w:spacing w:before="281"/>
        <w:ind w:left="772"/>
      </w:pPr>
      <w:r>
        <w:rPr/>
        <w:t>Table</w:t>
      </w:r>
      <w:r>
        <w:rPr>
          <w:spacing w:val="41"/>
        </w:rPr>
        <w:t> </w:t>
      </w:r>
      <w:r>
        <w:rPr/>
        <w:t>No</w:t>
      </w:r>
      <w:r>
        <w:rPr>
          <w:spacing w:val="44"/>
        </w:rPr>
        <w:t> </w:t>
      </w:r>
      <w:r>
        <w:rPr>
          <w:spacing w:val="-5"/>
        </w:rPr>
        <w:t>17</w:t>
      </w:r>
    </w:p>
    <w:p>
      <w:pPr>
        <w:pStyle w:val="BodyText"/>
        <w:jc w:val="left"/>
        <w:rPr>
          <w:b/>
        </w:rPr>
      </w:pPr>
    </w:p>
    <w:p>
      <w:pPr>
        <w:spacing w:before="0"/>
        <w:ind w:left="998" w:right="0" w:firstLine="0"/>
        <w:jc w:val="left"/>
        <w:rPr>
          <w:b/>
          <w:sz w:val="24"/>
        </w:rPr>
      </w:pPr>
      <w:r>
        <w:rPr>
          <w:b/>
          <w:sz w:val="24"/>
        </w:rPr>
        <w:t>Provisions</w:t>
      </w:r>
      <w:r>
        <w:rPr>
          <w:b/>
          <w:spacing w:val="-1"/>
          <w:sz w:val="24"/>
        </w:rPr>
        <w:t> </w:t>
      </w:r>
      <w:r>
        <w:rPr>
          <w:b/>
          <w:sz w:val="24"/>
        </w:rPr>
        <w:t>in</w:t>
      </w:r>
      <w:r>
        <w:rPr>
          <w:b/>
          <w:spacing w:val="-1"/>
          <w:sz w:val="24"/>
        </w:rPr>
        <w:t> </w:t>
      </w:r>
      <w:r>
        <w:rPr>
          <w:b/>
          <w:sz w:val="24"/>
        </w:rPr>
        <w:t>Open</w:t>
      </w:r>
      <w:r>
        <w:rPr>
          <w:b/>
          <w:spacing w:val="-1"/>
          <w:sz w:val="24"/>
        </w:rPr>
        <w:t> </w:t>
      </w:r>
      <w:r>
        <w:rPr>
          <w:b/>
          <w:sz w:val="24"/>
        </w:rPr>
        <w:t>Spaces for</w:t>
      </w:r>
      <w:r>
        <w:rPr>
          <w:b/>
          <w:spacing w:val="-1"/>
          <w:sz w:val="24"/>
        </w:rPr>
        <w:t> </w:t>
      </w:r>
      <w:r>
        <w:rPr>
          <w:b/>
          <w:sz w:val="24"/>
        </w:rPr>
        <w:t>Plots</w:t>
      </w:r>
      <w:r>
        <w:rPr>
          <w:b/>
          <w:spacing w:val="-1"/>
          <w:sz w:val="24"/>
        </w:rPr>
        <w:t> </w:t>
      </w:r>
      <w:r>
        <w:rPr>
          <w:b/>
          <w:sz w:val="24"/>
        </w:rPr>
        <w:t>in Residential</w:t>
      </w:r>
      <w:r>
        <w:rPr>
          <w:b/>
          <w:spacing w:val="-1"/>
          <w:sz w:val="24"/>
        </w:rPr>
        <w:t> </w:t>
      </w:r>
      <w:r>
        <w:rPr>
          <w:b/>
          <w:sz w:val="24"/>
        </w:rPr>
        <w:t>and</w:t>
      </w:r>
      <w:r>
        <w:rPr>
          <w:b/>
          <w:spacing w:val="-1"/>
          <w:sz w:val="24"/>
        </w:rPr>
        <w:t> </w:t>
      </w:r>
      <w:r>
        <w:rPr>
          <w:b/>
          <w:sz w:val="24"/>
        </w:rPr>
        <w:t>Commercial </w:t>
      </w:r>
      <w:r>
        <w:rPr>
          <w:b/>
          <w:spacing w:val="-2"/>
          <w:sz w:val="24"/>
        </w:rPr>
        <w:t>Zones</w:t>
      </w:r>
    </w:p>
    <w:p>
      <w:pPr>
        <w:pStyle w:val="BodyText"/>
        <w:spacing w:before="47"/>
        <w:jc w:val="left"/>
        <w:rPr>
          <w:b/>
          <w:sz w:val="20"/>
        </w:rPr>
      </w:pPr>
    </w:p>
    <w:tbl>
      <w:tblPr>
        <w:tblW w:w="0" w:type="auto"/>
        <w:jc w:val="left"/>
        <w:tblInd w:w="13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6"/>
        <w:gridCol w:w="3463"/>
        <w:gridCol w:w="1528"/>
        <w:gridCol w:w="810"/>
        <w:gridCol w:w="988"/>
        <w:gridCol w:w="810"/>
      </w:tblGrid>
      <w:tr>
        <w:trPr>
          <w:trHeight w:val="942" w:hRule="atLeast"/>
        </w:trPr>
        <w:tc>
          <w:tcPr>
            <w:tcW w:w="986" w:type="dxa"/>
            <w:shd w:val="clear" w:color="auto" w:fill="EDEBE0"/>
          </w:tcPr>
          <w:p>
            <w:pPr>
              <w:pStyle w:val="TableParagraph"/>
              <w:spacing w:before="1"/>
              <w:ind w:left="110" w:right="181"/>
              <w:rPr>
                <w:sz w:val="24"/>
              </w:rPr>
            </w:pPr>
            <w:r>
              <w:rPr>
                <w:spacing w:val="-2"/>
                <w:sz w:val="24"/>
              </w:rPr>
              <w:t>Serial </w:t>
            </w:r>
            <w:r>
              <w:rPr>
                <w:spacing w:val="-4"/>
                <w:sz w:val="24"/>
              </w:rPr>
              <w:t>No.</w:t>
            </w:r>
          </w:p>
        </w:tc>
        <w:tc>
          <w:tcPr>
            <w:tcW w:w="3463" w:type="dxa"/>
            <w:shd w:val="clear" w:color="auto" w:fill="EDEBE0"/>
          </w:tcPr>
          <w:p>
            <w:pPr>
              <w:pStyle w:val="TableParagraph"/>
              <w:spacing w:before="1"/>
              <w:ind w:left="108" w:right="1877"/>
              <w:rPr>
                <w:sz w:val="24"/>
              </w:rPr>
            </w:pPr>
            <w:r>
              <w:rPr>
                <w:sz w:val="24"/>
              </w:rPr>
              <w:t>Plot</w:t>
            </w:r>
            <w:r>
              <w:rPr>
                <w:spacing w:val="-20"/>
                <w:sz w:val="24"/>
              </w:rPr>
              <w:t> </w:t>
            </w:r>
            <w:r>
              <w:rPr>
                <w:sz w:val="24"/>
              </w:rPr>
              <w:t>Area (Sq. m.)</w:t>
            </w:r>
          </w:p>
        </w:tc>
        <w:tc>
          <w:tcPr>
            <w:tcW w:w="1528" w:type="dxa"/>
            <w:shd w:val="clear" w:color="auto" w:fill="EDEBE0"/>
          </w:tcPr>
          <w:p>
            <w:pPr>
              <w:pStyle w:val="TableParagraph"/>
              <w:spacing w:before="1"/>
              <w:ind w:left="68" w:firstLine="40"/>
              <w:rPr>
                <w:sz w:val="24"/>
              </w:rPr>
            </w:pPr>
            <w:r>
              <w:rPr>
                <w:sz w:val="24"/>
              </w:rPr>
              <w:t>Type of </w:t>
            </w:r>
            <w:r>
              <w:rPr>
                <w:spacing w:val="-2"/>
                <w:sz w:val="24"/>
              </w:rPr>
              <w:t>Developme </w:t>
            </w:r>
            <w:r>
              <w:rPr>
                <w:spacing w:val="-6"/>
                <w:sz w:val="24"/>
              </w:rPr>
              <w:t>nt</w:t>
            </w:r>
          </w:p>
        </w:tc>
        <w:tc>
          <w:tcPr>
            <w:tcW w:w="2608" w:type="dxa"/>
            <w:gridSpan w:val="3"/>
            <w:shd w:val="clear" w:color="auto" w:fill="EDEBE0"/>
          </w:tcPr>
          <w:p>
            <w:pPr>
              <w:pStyle w:val="TableParagraph"/>
              <w:tabs>
                <w:tab w:pos="1940" w:val="left" w:leader="none"/>
              </w:tabs>
              <w:spacing w:before="1"/>
              <w:ind w:left="112" w:right="83"/>
              <w:rPr>
                <w:sz w:val="24"/>
              </w:rPr>
            </w:pPr>
            <w:r>
              <w:rPr>
                <w:spacing w:val="-2"/>
                <w:sz w:val="24"/>
              </w:rPr>
              <w:t>Minimum</w:t>
            </w:r>
            <w:r>
              <w:rPr>
                <w:sz w:val="24"/>
              </w:rPr>
              <w:tab/>
            </w:r>
            <w:r>
              <w:rPr>
                <w:spacing w:val="-4"/>
                <w:sz w:val="24"/>
              </w:rPr>
              <w:t>open </w:t>
            </w:r>
            <w:r>
              <w:rPr>
                <w:sz w:val="24"/>
              </w:rPr>
              <w:t>spaces (in meters)</w:t>
            </w:r>
          </w:p>
          <w:p>
            <w:pPr>
              <w:pStyle w:val="TableParagraph"/>
              <w:spacing w:line="280" w:lineRule="exact"/>
              <w:ind w:left="1572"/>
              <w:rPr>
                <w:sz w:val="24"/>
              </w:rPr>
            </w:pPr>
            <w:r>
              <w:rPr>
                <w:spacing w:val="-5"/>
                <w:sz w:val="24"/>
              </w:rPr>
              <w:t>(4)</w:t>
            </w:r>
          </w:p>
        </w:tc>
      </w:tr>
      <w:tr>
        <w:trPr>
          <w:trHeight w:val="844" w:hRule="atLeast"/>
        </w:trPr>
        <w:tc>
          <w:tcPr>
            <w:tcW w:w="986" w:type="dxa"/>
          </w:tcPr>
          <w:p>
            <w:pPr>
              <w:pStyle w:val="TableParagraph"/>
              <w:spacing w:before="95"/>
              <w:ind w:left="2"/>
              <w:jc w:val="center"/>
              <w:rPr>
                <w:sz w:val="24"/>
              </w:rPr>
            </w:pPr>
            <w:r>
              <w:rPr>
                <w:spacing w:val="-5"/>
                <w:sz w:val="24"/>
              </w:rPr>
              <w:t>(1)</w:t>
            </w:r>
          </w:p>
        </w:tc>
        <w:tc>
          <w:tcPr>
            <w:tcW w:w="3463" w:type="dxa"/>
          </w:tcPr>
          <w:p>
            <w:pPr>
              <w:pStyle w:val="TableParagraph"/>
              <w:spacing w:line="281" w:lineRule="exact"/>
              <w:ind w:left="748"/>
              <w:jc w:val="center"/>
              <w:rPr>
                <w:sz w:val="24"/>
              </w:rPr>
            </w:pPr>
            <w:r>
              <w:rPr>
                <w:spacing w:val="-5"/>
                <w:sz w:val="24"/>
              </w:rPr>
              <w:t>(2)</w:t>
            </w:r>
          </w:p>
        </w:tc>
        <w:tc>
          <w:tcPr>
            <w:tcW w:w="1528" w:type="dxa"/>
          </w:tcPr>
          <w:p>
            <w:pPr>
              <w:pStyle w:val="TableParagraph"/>
              <w:spacing w:line="281" w:lineRule="exact"/>
              <w:ind w:left="73"/>
              <w:jc w:val="center"/>
              <w:rPr>
                <w:sz w:val="24"/>
              </w:rPr>
            </w:pPr>
            <w:r>
              <w:rPr>
                <w:spacing w:val="-5"/>
                <w:sz w:val="24"/>
              </w:rPr>
              <w:t>(3)</w:t>
            </w:r>
          </w:p>
        </w:tc>
        <w:tc>
          <w:tcPr>
            <w:tcW w:w="810" w:type="dxa"/>
          </w:tcPr>
          <w:p>
            <w:pPr>
              <w:pStyle w:val="TableParagraph"/>
              <w:ind w:left="112" w:right="126"/>
              <w:rPr>
                <w:sz w:val="24"/>
              </w:rPr>
            </w:pPr>
            <w:r>
              <w:rPr>
                <w:spacing w:val="-4"/>
                <w:sz w:val="24"/>
              </w:rPr>
              <w:t>Fron </w:t>
            </w:r>
            <w:r>
              <w:rPr>
                <w:spacing w:val="-10"/>
                <w:sz w:val="24"/>
              </w:rPr>
              <w:t>t</w:t>
            </w:r>
          </w:p>
        </w:tc>
        <w:tc>
          <w:tcPr>
            <w:tcW w:w="988" w:type="dxa"/>
          </w:tcPr>
          <w:p>
            <w:pPr>
              <w:pStyle w:val="TableParagraph"/>
              <w:spacing w:line="281" w:lineRule="exact"/>
              <w:ind w:left="111"/>
              <w:rPr>
                <w:sz w:val="24"/>
              </w:rPr>
            </w:pPr>
            <w:r>
              <w:rPr>
                <w:spacing w:val="-4"/>
                <w:sz w:val="24"/>
              </w:rPr>
              <w:t>Rear</w:t>
            </w:r>
          </w:p>
        </w:tc>
        <w:tc>
          <w:tcPr>
            <w:tcW w:w="810" w:type="dxa"/>
          </w:tcPr>
          <w:p>
            <w:pPr>
              <w:pStyle w:val="TableParagraph"/>
              <w:spacing w:line="281" w:lineRule="exact"/>
              <w:ind w:left="115"/>
              <w:rPr>
                <w:sz w:val="24"/>
              </w:rPr>
            </w:pPr>
            <w:r>
              <w:rPr>
                <w:spacing w:val="-4"/>
                <w:sz w:val="24"/>
              </w:rPr>
              <w:t>Side</w:t>
            </w:r>
          </w:p>
        </w:tc>
      </w:tr>
      <w:tr>
        <w:trPr>
          <w:trHeight w:val="563" w:hRule="atLeast"/>
        </w:trPr>
        <w:tc>
          <w:tcPr>
            <w:tcW w:w="986" w:type="dxa"/>
          </w:tcPr>
          <w:p>
            <w:pPr>
              <w:pStyle w:val="TableParagraph"/>
              <w:spacing w:before="97"/>
              <w:ind w:left="110"/>
              <w:rPr>
                <w:sz w:val="24"/>
              </w:rPr>
            </w:pPr>
            <w:r>
              <w:rPr>
                <w:spacing w:val="-10"/>
                <w:sz w:val="24"/>
              </w:rPr>
              <w:t>1</w:t>
            </w:r>
          </w:p>
        </w:tc>
        <w:tc>
          <w:tcPr>
            <w:tcW w:w="3463" w:type="dxa"/>
          </w:tcPr>
          <w:p>
            <w:pPr>
              <w:pStyle w:val="TableParagraph"/>
              <w:spacing w:line="280" w:lineRule="exact"/>
              <w:ind w:left="108" w:right="70"/>
              <w:rPr>
                <w:sz w:val="24"/>
              </w:rPr>
            </w:pPr>
            <w:r>
              <w:rPr>
                <w:sz w:val="24"/>
              </w:rPr>
              <w:t>21 and above but less than </w:t>
            </w:r>
            <w:r>
              <w:rPr>
                <w:spacing w:val="-6"/>
                <w:sz w:val="24"/>
              </w:rPr>
              <w:t>30</w:t>
            </w:r>
          </w:p>
        </w:tc>
        <w:tc>
          <w:tcPr>
            <w:tcW w:w="1528" w:type="dxa"/>
          </w:tcPr>
          <w:p>
            <w:pPr>
              <w:pStyle w:val="TableParagraph"/>
              <w:spacing w:before="1"/>
              <w:ind w:left="108"/>
              <w:rPr>
                <w:sz w:val="24"/>
              </w:rPr>
            </w:pPr>
            <w:r>
              <w:rPr>
                <w:spacing w:val="-5"/>
                <w:sz w:val="24"/>
              </w:rPr>
              <w:t>Row</w:t>
            </w:r>
          </w:p>
        </w:tc>
        <w:tc>
          <w:tcPr>
            <w:tcW w:w="810" w:type="dxa"/>
          </w:tcPr>
          <w:p>
            <w:pPr>
              <w:pStyle w:val="TableParagraph"/>
              <w:spacing w:line="281" w:lineRule="exact" w:before="1"/>
              <w:ind w:left="112"/>
              <w:rPr>
                <w:sz w:val="24"/>
              </w:rPr>
            </w:pPr>
            <w:r>
              <w:rPr>
                <w:spacing w:val="-4"/>
                <w:sz w:val="24"/>
              </w:rPr>
              <w:t>0.75</w:t>
            </w:r>
          </w:p>
          <w:p>
            <w:pPr>
              <w:pStyle w:val="TableParagraph"/>
              <w:spacing w:line="261" w:lineRule="exact"/>
              <w:ind w:left="112"/>
              <w:rPr>
                <w:sz w:val="24"/>
              </w:rPr>
            </w:pPr>
            <w:r>
              <w:rPr>
                <w:spacing w:val="-4"/>
                <w:sz w:val="24"/>
              </w:rPr>
              <w:t>(ii)</w:t>
            </w:r>
          </w:p>
        </w:tc>
        <w:tc>
          <w:tcPr>
            <w:tcW w:w="988" w:type="dxa"/>
          </w:tcPr>
          <w:p>
            <w:pPr>
              <w:pStyle w:val="TableParagraph"/>
              <w:spacing w:before="1"/>
              <w:ind w:left="111"/>
              <w:rPr>
                <w:sz w:val="24"/>
              </w:rPr>
            </w:pPr>
            <w:r>
              <w:rPr>
                <w:spacing w:val="-5"/>
                <w:sz w:val="24"/>
              </w:rPr>
              <w:t>1.5</w:t>
            </w:r>
          </w:p>
        </w:tc>
        <w:tc>
          <w:tcPr>
            <w:tcW w:w="810" w:type="dxa"/>
          </w:tcPr>
          <w:p>
            <w:pPr>
              <w:pStyle w:val="TableParagraph"/>
              <w:spacing w:before="1"/>
              <w:ind w:left="115"/>
              <w:rPr>
                <w:sz w:val="24"/>
              </w:rPr>
            </w:pPr>
            <w:r>
              <w:rPr>
                <w:spacing w:val="-5"/>
                <w:sz w:val="24"/>
              </w:rPr>
              <w:t>…..</w:t>
            </w:r>
          </w:p>
        </w:tc>
      </w:tr>
      <w:tr>
        <w:trPr>
          <w:trHeight w:val="570" w:hRule="atLeast"/>
        </w:trPr>
        <w:tc>
          <w:tcPr>
            <w:tcW w:w="986" w:type="dxa"/>
          </w:tcPr>
          <w:p>
            <w:pPr>
              <w:pStyle w:val="TableParagraph"/>
              <w:spacing w:before="97"/>
              <w:ind w:left="110"/>
              <w:rPr>
                <w:sz w:val="24"/>
              </w:rPr>
            </w:pPr>
            <w:r>
              <w:rPr>
                <w:spacing w:val="-5"/>
                <w:sz w:val="24"/>
              </w:rPr>
              <w:t>2.</w:t>
            </w:r>
          </w:p>
        </w:tc>
        <w:tc>
          <w:tcPr>
            <w:tcW w:w="3463" w:type="dxa"/>
          </w:tcPr>
          <w:p>
            <w:pPr>
              <w:pStyle w:val="TableParagraph"/>
              <w:spacing w:line="280" w:lineRule="exact"/>
              <w:ind w:left="108" w:right="70"/>
              <w:rPr>
                <w:sz w:val="24"/>
              </w:rPr>
            </w:pPr>
            <w:r>
              <w:rPr>
                <w:sz w:val="24"/>
              </w:rPr>
              <w:t>30 and above but less than </w:t>
            </w:r>
            <w:r>
              <w:rPr>
                <w:spacing w:val="-6"/>
                <w:sz w:val="24"/>
              </w:rPr>
              <w:t>40</w:t>
            </w:r>
          </w:p>
        </w:tc>
        <w:tc>
          <w:tcPr>
            <w:tcW w:w="1528" w:type="dxa"/>
          </w:tcPr>
          <w:p>
            <w:pPr>
              <w:pStyle w:val="TableParagraph"/>
              <w:spacing w:before="1"/>
              <w:ind w:left="108"/>
              <w:rPr>
                <w:sz w:val="24"/>
              </w:rPr>
            </w:pPr>
            <w:r>
              <w:rPr>
                <w:spacing w:val="-5"/>
                <w:sz w:val="24"/>
              </w:rPr>
              <w:t>Row</w:t>
            </w:r>
          </w:p>
        </w:tc>
        <w:tc>
          <w:tcPr>
            <w:tcW w:w="810" w:type="dxa"/>
          </w:tcPr>
          <w:p>
            <w:pPr>
              <w:pStyle w:val="TableParagraph"/>
              <w:spacing w:line="281" w:lineRule="exact" w:before="1"/>
              <w:ind w:left="112"/>
              <w:rPr>
                <w:sz w:val="24"/>
              </w:rPr>
            </w:pPr>
            <w:r>
              <w:rPr>
                <w:spacing w:val="-4"/>
                <w:sz w:val="24"/>
              </w:rPr>
              <w:t>0.75</w:t>
            </w:r>
          </w:p>
          <w:p>
            <w:pPr>
              <w:pStyle w:val="TableParagraph"/>
              <w:spacing w:line="268" w:lineRule="exact"/>
              <w:ind w:left="112"/>
              <w:rPr>
                <w:sz w:val="24"/>
              </w:rPr>
            </w:pPr>
            <w:r>
              <w:rPr>
                <w:spacing w:val="-4"/>
                <w:sz w:val="24"/>
              </w:rPr>
              <w:t>(ii)</w:t>
            </w:r>
          </w:p>
        </w:tc>
        <w:tc>
          <w:tcPr>
            <w:tcW w:w="988" w:type="dxa"/>
          </w:tcPr>
          <w:p>
            <w:pPr>
              <w:pStyle w:val="TableParagraph"/>
              <w:spacing w:before="1"/>
              <w:ind w:left="111"/>
              <w:rPr>
                <w:sz w:val="24"/>
              </w:rPr>
            </w:pPr>
            <w:r>
              <w:rPr>
                <w:spacing w:val="-4"/>
                <w:sz w:val="24"/>
              </w:rPr>
              <w:t>2.25</w:t>
            </w:r>
          </w:p>
        </w:tc>
        <w:tc>
          <w:tcPr>
            <w:tcW w:w="810" w:type="dxa"/>
          </w:tcPr>
          <w:p>
            <w:pPr>
              <w:pStyle w:val="TableParagraph"/>
              <w:spacing w:before="1"/>
              <w:ind w:left="115"/>
              <w:rPr>
                <w:sz w:val="24"/>
              </w:rPr>
            </w:pPr>
            <w:r>
              <w:rPr>
                <w:spacing w:val="-5"/>
                <w:sz w:val="24"/>
              </w:rPr>
              <w:t>….</w:t>
            </w:r>
          </w:p>
        </w:tc>
      </w:tr>
      <w:tr>
        <w:trPr>
          <w:trHeight w:val="659" w:hRule="atLeast"/>
        </w:trPr>
        <w:tc>
          <w:tcPr>
            <w:tcW w:w="986" w:type="dxa"/>
          </w:tcPr>
          <w:p>
            <w:pPr>
              <w:pStyle w:val="TableParagraph"/>
              <w:spacing w:before="95"/>
              <w:ind w:left="110"/>
              <w:rPr>
                <w:sz w:val="24"/>
              </w:rPr>
            </w:pPr>
            <w:r>
              <w:rPr>
                <w:spacing w:val="-5"/>
                <w:sz w:val="24"/>
              </w:rPr>
              <w:t>3.</w:t>
            </w:r>
          </w:p>
        </w:tc>
        <w:tc>
          <w:tcPr>
            <w:tcW w:w="3463" w:type="dxa"/>
          </w:tcPr>
          <w:p>
            <w:pPr>
              <w:pStyle w:val="TableParagraph"/>
              <w:ind w:left="108" w:right="70"/>
              <w:rPr>
                <w:sz w:val="24"/>
              </w:rPr>
            </w:pPr>
            <w:r>
              <w:rPr>
                <w:sz w:val="24"/>
              </w:rPr>
              <w:t>40 and above but less than </w:t>
            </w:r>
            <w:r>
              <w:rPr>
                <w:spacing w:val="-6"/>
                <w:sz w:val="24"/>
              </w:rPr>
              <w:t>60</w:t>
            </w:r>
          </w:p>
        </w:tc>
        <w:tc>
          <w:tcPr>
            <w:tcW w:w="1528" w:type="dxa"/>
          </w:tcPr>
          <w:p>
            <w:pPr>
              <w:pStyle w:val="TableParagraph"/>
              <w:spacing w:line="281" w:lineRule="exact"/>
              <w:ind w:left="108"/>
              <w:rPr>
                <w:sz w:val="24"/>
              </w:rPr>
            </w:pPr>
            <w:r>
              <w:rPr>
                <w:spacing w:val="-2"/>
                <w:sz w:val="24"/>
              </w:rPr>
              <w:t>Row/Semi</w:t>
            </w:r>
          </w:p>
          <w:p>
            <w:pPr>
              <w:pStyle w:val="TableParagraph"/>
              <w:spacing w:before="2"/>
              <w:ind w:left="108"/>
              <w:rPr>
                <w:sz w:val="24"/>
              </w:rPr>
            </w:pPr>
            <w:r>
              <w:rPr>
                <w:sz w:val="24"/>
              </w:rPr>
              <w:t>-</w:t>
            </w:r>
            <w:r>
              <w:rPr>
                <w:spacing w:val="-2"/>
                <w:sz w:val="24"/>
              </w:rPr>
              <w:t>detached</w:t>
            </w:r>
          </w:p>
        </w:tc>
        <w:tc>
          <w:tcPr>
            <w:tcW w:w="810" w:type="dxa"/>
          </w:tcPr>
          <w:p>
            <w:pPr>
              <w:pStyle w:val="TableParagraph"/>
              <w:spacing w:line="281" w:lineRule="exact"/>
              <w:ind w:left="112"/>
              <w:rPr>
                <w:sz w:val="24"/>
              </w:rPr>
            </w:pPr>
            <w:r>
              <w:rPr>
                <w:spacing w:val="-4"/>
                <w:sz w:val="24"/>
              </w:rPr>
              <w:t>1.00</w:t>
            </w:r>
          </w:p>
          <w:p>
            <w:pPr>
              <w:pStyle w:val="TableParagraph"/>
              <w:spacing w:before="2"/>
              <w:ind w:left="112"/>
              <w:rPr>
                <w:sz w:val="24"/>
              </w:rPr>
            </w:pPr>
            <w:r>
              <w:rPr>
                <w:spacing w:val="-4"/>
                <w:sz w:val="24"/>
              </w:rPr>
              <w:t>(ii)</w:t>
            </w:r>
          </w:p>
        </w:tc>
        <w:tc>
          <w:tcPr>
            <w:tcW w:w="988" w:type="dxa"/>
          </w:tcPr>
          <w:p>
            <w:pPr>
              <w:pStyle w:val="TableParagraph"/>
              <w:spacing w:line="281" w:lineRule="exact"/>
              <w:ind w:left="111"/>
              <w:rPr>
                <w:sz w:val="24"/>
              </w:rPr>
            </w:pPr>
            <w:r>
              <w:rPr>
                <w:spacing w:val="-4"/>
                <w:sz w:val="24"/>
              </w:rPr>
              <w:t>2.25</w:t>
            </w:r>
          </w:p>
        </w:tc>
        <w:tc>
          <w:tcPr>
            <w:tcW w:w="810" w:type="dxa"/>
          </w:tcPr>
          <w:p>
            <w:pPr>
              <w:pStyle w:val="TableParagraph"/>
              <w:spacing w:line="281" w:lineRule="exact"/>
              <w:ind w:left="115"/>
              <w:rPr>
                <w:sz w:val="24"/>
              </w:rPr>
            </w:pPr>
            <w:r>
              <w:rPr>
                <w:spacing w:val="-5"/>
                <w:sz w:val="24"/>
              </w:rPr>
              <w:t>1.0</w:t>
            </w:r>
          </w:p>
          <w:p>
            <w:pPr>
              <w:pStyle w:val="TableParagraph"/>
              <w:spacing w:before="2"/>
              <w:ind w:left="115"/>
              <w:rPr>
                <w:sz w:val="24"/>
              </w:rPr>
            </w:pPr>
            <w:r>
              <w:rPr>
                <w:spacing w:val="-5"/>
                <w:sz w:val="24"/>
              </w:rPr>
              <w:t>(i)</w:t>
            </w:r>
          </w:p>
        </w:tc>
      </w:tr>
      <w:tr>
        <w:trPr>
          <w:trHeight w:val="659" w:hRule="atLeast"/>
        </w:trPr>
        <w:tc>
          <w:tcPr>
            <w:tcW w:w="986" w:type="dxa"/>
          </w:tcPr>
          <w:p>
            <w:pPr>
              <w:pStyle w:val="TableParagraph"/>
              <w:spacing w:before="95"/>
              <w:ind w:left="110"/>
              <w:rPr>
                <w:sz w:val="24"/>
              </w:rPr>
            </w:pPr>
            <w:r>
              <w:rPr>
                <w:spacing w:val="-5"/>
                <w:sz w:val="24"/>
              </w:rPr>
              <w:t>4.</w:t>
            </w:r>
          </w:p>
        </w:tc>
        <w:tc>
          <w:tcPr>
            <w:tcW w:w="3463" w:type="dxa"/>
          </w:tcPr>
          <w:p>
            <w:pPr>
              <w:pStyle w:val="TableParagraph"/>
              <w:ind w:left="108" w:right="70"/>
              <w:rPr>
                <w:sz w:val="24"/>
              </w:rPr>
            </w:pPr>
            <w:r>
              <w:rPr>
                <w:sz w:val="24"/>
              </w:rPr>
              <w:t>60 and above but less than </w:t>
            </w:r>
            <w:r>
              <w:rPr>
                <w:spacing w:val="-4"/>
                <w:sz w:val="24"/>
              </w:rPr>
              <w:t>125</w:t>
            </w:r>
          </w:p>
        </w:tc>
        <w:tc>
          <w:tcPr>
            <w:tcW w:w="1528" w:type="dxa"/>
          </w:tcPr>
          <w:p>
            <w:pPr>
              <w:pStyle w:val="TableParagraph"/>
              <w:spacing w:line="281" w:lineRule="exact"/>
              <w:ind w:left="108"/>
              <w:rPr>
                <w:sz w:val="24"/>
              </w:rPr>
            </w:pPr>
            <w:r>
              <w:rPr>
                <w:spacing w:val="-2"/>
                <w:sz w:val="24"/>
              </w:rPr>
              <w:t>Row/Semi</w:t>
            </w:r>
          </w:p>
          <w:p>
            <w:pPr>
              <w:pStyle w:val="TableParagraph"/>
              <w:spacing w:before="1"/>
              <w:ind w:left="108"/>
              <w:rPr>
                <w:sz w:val="24"/>
              </w:rPr>
            </w:pPr>
            <w:r>
              <w:rPr>
                <w:sz w:val="24"/>
              </w:rPr>
              <w:t>-</w:t>
            </w:r>
            <w:r>
              <w:rPr>
                <w:spacing w:val="-2"/>
                <w:sz w:val="24"/>
              </w:rPr>
              <w:t>detached</w:t>
            </w:r>
          </w:p>
        </w:tc>
        <w:tc>
          <w:tcPr>
            <w:tcW w:w="810" w:type="dxa"/>
          </w:tcPr>
          <w:p>
            <w:pPr>
              <w:pStyle w:val="TableParagraph"/>
              <w:spacing w:line="281" w:lineRule="exact"/>
              <w:ind w:left="112"/>
              <w:rPr>
                <w:sz w:val="24"/>
              </w:rPr>
            </w:pPr>
            <w:r>
              <w:rPr>
                <w:spacing w:val="-5"/>
                <w:sz w:val="24"/>
              </w:rPr>
              <w:t>1.5</w:t>
            </w:r>
          </w:p>
        </w:tc>
        <w:tc>
          <w:tcPr>
            <w:tcW w:w="988" w:type="dxa"/>
          </w:tcPr>
          <w:p>
            <w:pPr>
              <w:pStyle w:val="TableParagraph"/>
              <w:spacing w:line="281" w:lineRule="exact"/>
              <w:ind w:left="111"/>
              <w:rPr>
                <w:sz w:val="24"/>
              </w:rPr>
            </w:pPr>
            <w:r>
              <w:rPr>
                <w:spacing w:val="-5"/>
                <w:sz w:val="24"/>
              </w:rPr>
              <w:t>3.0</w:t>
            </w:r>
          </w:p>
        </w:tc>
        <w:tc>
          <w:tcPr>
            <w:tcW w:w="810" w:type="dxa"/>
          </w:tcPr>
          <w:p>
            <w:pPr>
              <w:pStyle w:val="TableParagraph"/>
              <w:spacing w:line="281" w:lineRule="exact"/>
              <w:ind w:left="115"/>
              <w:rPr>
                <w:sz w:val="24"/>
              </w:rPr>
            </w:pPr>
            <w:r>
              <w:rPr>
                <w:spacing w:val="-5"/>
                <w:sz w:val="24"/>
              </w:rPr>
              <w:t>1.0</w:t>
            </w:r>
          </w:p>
          <w:p>
            <w:pPr>
              <w:pStyle w:val="TableParagraph"/>
              <w:spacing w:before="1"/>
              <w:ind w:left="115"/>
              <w:rPr>
                <w:sz w:val="24"/>
              </w:rPr>
            </w:pPr>
            <w:r>
              <w:rPr>
                <w:spacing w:val="-5"/>
                <w:sz w:val="24"/>
              </w:rPr>
              <w:t>(i)</w:t>
            </w:r>
          </w:p>
        </w:tc>
      </w:tr>
      <w:tr>
        <w:trPr>
          <w:trHeight w:val="1127" w:hRule="atLeast"/>
        </w:trPr>
        <w:tc>
          <w:tcPr>
            <w:tcW w:w="986" w:type="dxa"/>
          </w:tcPr>
          <w:p>
            <w:pPr>
              <w:pStyle w:val="TableParagraph"/>
              <w:spacing w:before="95"/>
              <w:ind w:left="110"/>
              <w:rPr>
                <w:sz w:val="24"/>
              </w:rPr>
            </w:pPr>
            <w:r>
              <w:rPr>
                <w:spacing w:val="-5"/>
                <w:sz w:val="24"/>
              </w:rPr>
              <w:t>5.</w:t>
            </w:r>
          </w:p>
        </w:tc>
        <w:tc>
          <w:tcPr>
            <w:tcW w:w="3463" w:type="dxa"/>
          </w:tcPr>
          <w:p>
            <w:pPr>
              <w:pStyle w:val="TableParagraph"/>
              <w:ind w:left="108" w:right="70"/>
              <w:rPr>
                <w:sz w:val="24"/>
              </w:rPr>
            </w:pPr>
            <w:r>
              <w:rPr>
                <w:sz w:val="24"/>
              </w:rPr>
              <w:t>125</w:t>
            </w:r>
            <w:r>
              <w:rPr>
                <w:spacing w:val="-20"/>
                <w:sz w:val="24"/>
              </w:rPr>
              <w:t> </w:t>
            </w:r>
            <w:r>
              <w:rPr>
                <w:sz w:val="24"/>
              </w:rPr>
              <w:t>and</w:t>
            </w:r>
            <w:r>
              <w:rPr>
                <w:spacing w:val="-19"/>
                <w:sz w:val="24"/>
              </w:rPr>
              <w:t> </w:t>
            </w:r>
            <w:r>
              <w:rPr>
                <w:sz w:val="24"/>
              </w:rPr>
              <w:t>above</w:t>
            </w:r>
            <w:r>
              <w:rPr>
                <w:spacing w:val="-19"/>
                <w:sz w:val="24"/>
              </w:rPr>
              <w:t> </w:t>
            </w:r>
            <w:r>
              <w:rPr>
                <w:sz w:val="24"/>
              </w:rPr>
              <w:t>but</w:t>
            </w:r>
            <w:r>
              <w:rPr>
                <w:spacing w:val="-19"/>
                <w:sz w:val="24"/>
              </w:rPr>
              <w:t> </w:t>
            </w:r>
            <w:r>
              <w:rPr>
                <w:sz w:val="24"/>
              </w:rPr>
              <w:t>less</w:t>
            </w:r>
            <w:r>
              <w:rPr>
                <w:spacing w:val="-19"/>
                <w:sz w:val="24"/>
              </w:rPr>
              <w:t> </w:t>
            </w:r>
            <w:r>
              <w:rPr>
                <w:sz w:val="24"/>
              </w:rPr>
              <w:t>than </w:t>
            </w:r>
            <w:r>
              <w:rPr>
                <w:spacing w:val="-4"/>
                <w:sz w:val="24"/>
              </w:rPr>
              <w:t>250</w:t>
            </w:r>
          </w:p>
        </w:tc>
        <w:tc>
          <w:tcPr>
            <w:tcW w:w="1528" w:type="dxa"/>
          </w:tcPr>
          <w:p>
            <w:pPr>
              <w:pStyle w:val="TableParagraph"/>
              <w:spacing w:line="281" w:lineRule="exact"/>
              <w:ind w:left="108"/>
              <w:rPr>
                <w:sz w:val="24"/>
              </w:rPr>
            </w:pPr>
            <w:r>
              <w:rPr>
                <w:spacing w:val="-2"/>
                <w:sz w:val="24"/>
              </w:rPr>
              <w:t>Row/Semi</w:t>
            </w:r>
          </w:p>
          <w:p>
            <w:pPr>
              <w:pStyle w:val="TableParagraph"/>
              <w:spacing w:line="281" w:lineRule="exact" w:before="1"/>
              <w:ind w:left="108"/>
              <w:rPr>
                <w:sz w:val="24"/>
              </w:rPr>
            </w:pPr>
            <w:r>
              <w:rPr>
                <w:spacing w:val="-10"/>
                <w:sz w:val="24"/>
              </w:rPr>
              <w:t>-</w:t>
            </w:r>
          </w:p>
          <w:p>
            <w:pPr>
              <w:pStyle w:val="TableParagraph"/>
              <w:spacing w:line="280" w:lineRule="exact"/>
              <w:ind w:left="108"/>
              <w:rPr>
                <w:sz w:val="24"/>
              </w:rPr>
            </w:pPr>
            <w:r>
              <w:rPr>
                <w:spacing w:val="-2"/>
                <w:sz w:val="24"/>
              </w:rPr>
              <w:t>detached/ Detached</w:t>
            </w:r>
          </w:p>
        </w:tc>
        <w:tc>
          <w:tcPr>
            <w:tcW w:w="810" w:type="dxa"/>
          </w:tcPr>
          <w:p>
            <w:pPr>
              <w:pStyle w:val="TableParagraph"/>
              <w:spacing w:line="281" w:lineRule="exact"/>
              <w:ind w:left="112"/>
              <w:rPr>
                <w:sz w:val="24"/>
              </w:rPr>
            </w:pPr>
            <w:r>
              <w:rPr>
                <w:spacing w:val="-5"/>
                <w:sz w:val="24"/>
              </w:rPr>
              <w:t>3.0</w:t>
            </w:r>
          </w:p>
        </w:tc>
        <w:tc>
          <w:tcPr>
            <w:tcW w:w="988" w:type="dxa"/>
          </w:tcPr>
          <w:p>
            <w:pPr>
              <w:pStyle w:val="TableParagraph"/>
              <w:spacing w:line="281" w:lineRule="exact"/>
              <w:ind w:left="111"/>
              <w:rPr>
                <w:sz w:val="24"/>
              </w:rPr>
            </w:pPr>
            <w:r>
              <w:rPr>
                <w:spacing w:val="-5"/>
                <w:sz w:val="24"/>
              </w:rPr>
              <w:t>3.0</w:t>
            </w:r>
          </w:p>
        </w:tc>
        <w:tc>
          <w:tcPr>
            <w:tcW w:w="810" w:type="dxa"/>
          </w:tcPr>
          <w:p>
            <w:pPr>
              <w:pStyle w:val="TableParagraph"/>
              <w:spacing w:line="281" w:lineRule="exact"/>
              <w:ind w:left="115"/>
              <w:rPr>
                <w:sz w:val="24"/>
              </w:rPr>
            </w:pPr>
            <w:r>
              <w:rPr>
                <w:spacing w:val="-5"/>
                <w:sz w:val="24"/>
              </w:rPr>
              <w:t>1.5</w:t>
            </w:r>
          </w:p>
          <w:p>
            <w:pPr>
              <w:pStyle w:val="TableParagraph"/>
              <w:spacing w:before="1"/>
              <w:ind w:left="115"/>
              <w:rPr>
                <w:sz w:val="24"/>
              </w:rPr>
            </w:pPr>
            <w:r>
              <w:rPr>
                <w:spacing w:val="-5"/>
                <w:sz w:val="24"/>
              </w:rPr>
              <w:t>(i)</w:t>
            </w:r>
          </w:p>
        </w:tc>
      </w:tr>
    </w:tbl>
    <w:p>
      <w:pPr>
        <w:pStyle w:val="BodyText"/>
        <w:spacing w:before="1"/>
        <w:jc w:val="left"/>
        <w:rPr>
          <w:b/>
        </w:rPr>
      </w:pPr>
    </w:p>
    <w:p>
      <w:pPr>
        <w:spacing w:before="0"/>
        <w:ind w:left="1313" w:right="0" w:firstLine="0"/>
        <w:jc w:val="both"/>
        <w:rPr>
          <w:sz w:val="24"/>
        </w:rPr>
      </w:pPr>
      <w:r>
        <w:rPr>
          <w:i/>
          <w:sz w:val="24"/>
        </w:rPr>
        <w:t>Explanation</w:t>
      </w:r>
      <w:r>
        <w:rPr>
          <w:i/>
          <w:spacing w:val="55"/>
          <w:sz w:val="24"/>
        </w:rPr>
        <w:t> </w:t>
      </w:r>
      <w:r>
        <w:rPr>
          <w:i/>
          <w:sz w:val="24"/>
        </w:rPr>
        <w:t>to</w:t>
      </w:r>
      <w:r>
        <w:rPr>
          <w:i/>
          <w:spacing w:val="57"/>
          <w:sz w:val="24"/>
        </w:rPr>
        <w:t> </w:t>
      </w:r>
      <w:r>
        <w:rPr>
          <w:i/>
          <w:sz w:val="24"/>
        </w:rPr>
        <w:t>Table</w:t>
      </w:r>
      <w:r>
        <w:rPr>
          <w:i/>
          <w:spacing w:val="61"/>
          <w:sz w:val="24"/>
        </w:rPr>
        <w:t> </w:t>
      </w:r>
      <w:r>
        <w:rPr>
          <w:i/>
          <w:sz w:val="24"/>
        </w:rPr>
        <w:t>No</w:t>
      </w:r>
      <w:r>
        <w:rPr>
          <w:i/>
          <w:spacing w:val="55"/>
          <w:sz w:val="24"/>
        </w:rPr>
        <w:t> </w:t>
      </w:r>
      <w:r>
        <w:rPr>
          <w:spacing w:val="-5"/>
          <w:sz w:val="24"/>
        </w:rPr>
        <w:t>17:</w:t>
      </w:r>
    </w:p>
    <w:p>
      <w:pPr>
        <w:pStyle w:val="ListParagraph"/>
        <w:numPr>
          <w:ilvl w:val="2"/>
          <w:numId w:val="286"/>
        </w:numPr>
        <w:tabs>
          <w:tab w:pos="1639" w:val="left" w:leader="none"/>
        </w:tabs>
        <w:spacing w:line="240" w:lineRule="auto" w:before="1" w:after="0"/>
        <w:ind w:left="1313" w:right="771" w:firstLine="0"/>
        <w:jc w:val="both"/>
        <w:rPr>
          <w:sz w:val="24"/>
        </w:rPr>
      </w:pPr>
      <w:r>
        <w:rPr>
          <w:sz w:val="24"/>
        </w:rPr>
        <w:t>Such side open space will not be required for row </w:t>
      </w:r>
      <w:r>
        <w:rPr>
          <w:spacing w:val="10"/>
          <w:sz w:val="24"/>
        </w:rPr>
        <w:t>housing,but </w:t>
      </w:r>
      <w:r>
        <w:rPr>
          <w:sz w:val="24"/>
        </w:rPr>
        <w:t>will be required</w:t>
      </w:r>
      <w:r>
        <w:rPr>
          <w:spacing w:val="80"/>
          <w:sz w:val="24"/>
        </w:rPr>
        <w:t> </w:t>
      </w:r>
      <w:r>
        <w:rPr>
          <w:sz w:val="24"/>
        </w:rPr>
        <w:t>for</w:t>
      </w:r>
      <w:r>
        <w:rPr>
          <w:spacing w:val="80"/>
          <w:sz w:val="24"/>
        </w:rPr>
        <w:t> </w:t>
      </w:r>
      <w:r>
        <w:rPr>
          <w:spacing w:val="9"/>
          <w:sz w:val="24"/>
        </w:rPr>
        <w:t>semi-</w:t>
      </w:r>
      <w:r>
        <w:rPr>
          <w:sz w:val="24"/>
        </w:rPr>
        <w:t>detached</w:t>
      </w:r>
      <w:r>
        <w:rPr>
          <w:spacing w:val="80"/>
          <w:sz w:val="24"/>
        </w:rPr>
        <w:t> </w:t>
      </w:r>
      <w:r>
        <w:rPr>
          <w:sz w:val="24"/>
        </w:rPr>
        <w:t>structure</w:t>
      </w:r>
      <w:r>
        <w:rPr>
          <w:spacing w:val="80"/>
          <w:sz w:val="24"/>
        </w:rPr>
        <w:t> </w:t>
      </w:r>
      <w:r>
        <w:rPr>
          <w:sz w:val="24"/>
        </w:rPr>
        <w:t>which</w:t>
      </w:r>
      <w:r>
        <w:rPr>
          <w:spacing w:val="80"/>
          <w:sz w:val="24"/>
        </w:rPr>
        <w:t> </w:t>
      </w:r>
      <w:r>
        <w:rPr>
          <w:sz w:val="24"/>
        </w:rPr>
        <w:t>will</w:t>
      </w:r>
      <w:r>
        <w:rPr>
          <w:spacing w:val="80"/>
          <w:sz w:val="24"/>
        </w:rPr>
        <w:t> </w:t>
      </w:r>
      <w:r>
        <w:rPr>
          <w:sz w:val="24"/>
        </w:rPr>
        <w:t>have</w:t>
      </w:r>
      <w:r>
        <w:rPr>
          <w:spacing w:val="80"/>
          <w:sz w:val="24"/>
        </w:rPr>
        <w:t> </w:t>
      </w:r>
      <w:r>
        <w:rPr>
          <w:sz w:val="24"/>
        </w:rPr>
        <w:t>open</w:t>
      </w:r>
      <w:r>
        <w:rPr>
          <w:spacing w:val="80"/>
          <w:sz w:val="24"/>
        </w:rPr>
        <w:t> </w:t>
      </w:r>
      <w:r>
        <w:rPr>
          <w:sz w:val="24"/>
        </w:rPr>
        <w:t>spaces around</w:t>
      </w:r>
      <w:r>
        <w:rPr>
          <w:spacing w:val="40"/>
          <w:sz w:val="24"/>
        </w:rPr>
        <w:t> </w:t>
      </w:r>
      <w:r>
        <w:rPr>
          <w:sz w:val="24"/>
        </w:rPr>
        <w:t>the</w:t>
      </w:r>
      <w:r>
        <w:rPr>
          <w:spacing w:val="40"/>
          <w:sz w:val="24"/>
        </w:rPr>
        <w:t> </w:t>
      </w:r>
      <w:r>
        <w:rPr>
          <w:sz w:val="24"/>
        </w:rPr>
        <w:t>entire</w:t>
      </w:r>
      <w:r>
        <w:rPr>
          <w:spacing w:val="40"/>
          <w:sz w:val="24"/>
        </w:rPr>
        <w:t> </w:t>
      </w:r>
      <w:r>
        <w:rPr>
          <w:sz w:val="24"/>
        </w:rPr>
        <w:t>structure.</w:t>
      </w:r>
      <w:r>
        <w:rPr>
          <w:spacing w:val="40"/>
          <w:sz w:val="24"/>
        </w:rPr>
        <w:t> </w:t>
      </w:r>
      <w:r>
        <w:rPr>
          <w:sz w:val="24"/>
        </w:rPr>
        <w:t>Such</w:t>
      </w:r>
      <w:r>
        <w:rPr>
          <w:spacing w:val="40"/>
          <w:sz w:val="24"/>
        </w:rPr>
        <w:t> </w:t>
      </w:r>
      <w:r>
        <w:rPr>
          <w:sz w:val="24"/>
        </w:rPr>
        <w:t>side</w:t>
      </w:r>
      <w:r>
        <w:rPr>
          <w:spacing w:val="40"/>
          <w:sz w:val="24"/>
        </w:rPr>
        <w:t> </w:t>
      </w:r>
      <w:r>
        <w:rPr>
          <w:sz w:val="24"/>
        </w:rPr>
        <w:t>open</w:t>
      </w:r>
      <w:r>
        <w:rPr>
          <w:spacing w:val="40"/>
          <w:sz w:val="24"/>
        </w:rPr>
        <w:t> </w:t>
      </w:r>
      <w:r>
        <w:rPr>
          <w:sz w:val="24"/>
        </w:rPr>
        <w:t>space</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reckoned as the main source of light and ventilation for habitable rooms of the </w:t>
      </w:r>
      <w:r>
        <w:rPr>
          <w:spacing w:val="7"/>
          <w:sz w:val="24"/>
        </w:rPr>
        <w:t>structure.</w:t>
      </w:r>
    </w:p>
    <w:p>
      <w:pPr>
        <w:pStyle w:val="ListParagraph"/>
        <w:numPr>
          <w:ilvl w:val="2"/>
          <w:numId w:val="286"/>
        </w:numPr>
        <w:tabs>
          <w:tab w:pos="1764" w:val="left" w:leader="none"/>
        </w:tabs>
        <w:spacing w:line="240" w:lineRule="auto" w:before="1" w:after="0"/>
        <w:ind w:left="1313" w:right="777" w:firstLine="0"/>
        <w:jc w:val="both"/>
        <w:rPr>
          <w:sz w:val="24"/>
        </w:rPr>
      </w:pPr>
      <w:r>
        <w:rPr>
          <w:sz w:val="24"/>
        </w:rPr>
        <w:t>In</w:t>
      </w:r>
      <w:r>
        <w:rPr>
          <w:spacing w:val="40"/>
          <w:sz w:val="24"/>
        </w:rPr>
        <w:t> </w:t>
      </w:r>
      <w:r>
        <w:rPr>
          <w:sz w:val="24"/>
        </w:rPr>
        <w:t>plots,</w:t>
      </w:r>
      <w:r>
        <w:rPr>
          <w:spacing w:val="40"/>
          <w:sz w:val="24"/>
        </w:rPr>
        <w:t> </w:t>
      </w:r>
      <w:r>
        <w:rPr>
          <w:sz w:val="24"/>
        </w:rPr>
        <w:t>less</w:t>
      </w:r>
      <w:r>
        <w:rPr>
          <w:spacing w:val="40"/>
          <w:sz w:val="24"/>
        </w:rPr>
        <w:t> </w:t>
      </w:r>
      <w:r>
        <w:rPr>
          <w:sz w:val="24"/>
        </w:rPr>
        <w:t>than</w:t>
      </w:r>
      <w:r>
        <w:rPr>
          <w:spacing w:val="40"/>
          <w:sz w:val="24"/>
        </w:rPr>
        <w:t> </w:t>
      </w:r>
      <w:r>
        <w:rPr>
          <w:sz w:val="24"/>
        </w:rPr>
        <w:t>60sq.</w:t>
      </w:r>
      <w:r>
        <w:rPr>
          <w:spacing w:val="40"/>
          <w:sz w:val="24"/>
        </w:rPr>
        <w:t> </w:t>
      </w:r>
      <w:r>
        <w:rPr>
          <w:sz w:val="24"/>
        </w:rPr>
        <w:t>m</w:t>
      </w:r>
      <w:r>
        <w:rPr>
          <w:spacing w:val="40"/>
          <w:sz w:val="24"/>
        </w:rPr>
        <w:t> </w:t>
      </w:r>
      <w:r>
        <w:rPr>
          <w:sz w:val="24"/>
        </w:rPr>
        <w:t>in</w:t>
      </w:r>
      <w:r>
        <w:rPr>
          <w:spacing w:val="40"/>
          <w:sz w:val="24"/>
        </w:rPr>
        <w:t> </w:t>
      </w:r>
      <w:r>
        <w:rPr>
          <w:sz w:val="24"/>
        </w:rPr>
        <w:t>area,</w:t>
      </w:r>
      <w:r>
        <w:rPr>
          <w:spacing w:val="40"/>
          <w:sz w:val="24"/>
        </w:rPr>
        <w:t> </w:t>
      </w:r>
      <w:r>
        <w:rPr>
          <w:sz w:val="24"/>
        </w:rPr>
        <w:t>no</w:t>
      </w:r>
      <w:r>
        <w:rPr>
          <w:spacing w:val="40"/>
          <w:sz w:val="24"/>
        </w:rPr>
        <w:t> </w:t>
      </w:r>
      <w:r>
        <w:rPr>
          <w:sz w:val="24"/>
        </w:rPr>
        <w:t>front</w:t>
      </w:r>
      <w:r>
        <w:rPr>
          <w:spacing w:val="40"/>
          <w:sz w:val="24"/>
        </w:rPr>
        <w:t> </w:t>
      </w:r>
      <w:r>
        <w:rPr>
          <w:sz w:val="24"/>
        </w:rPr>
        <w:t>open</w:t>
      </w:r>
      <w:r>
        <w:rPr>
          <w:spacing w:val="40"/>
          <w:sz w:val="24"/>
        </w:rPr>
        <w:t> </w:t>
      </w:r>
      <w:r>
        <w:rPr>
          <w:sz w:val="24"/>
        </w:rPr>
        <w:t>space</w:t>
      </w:r>
      <w:r>
        <w:rPr>
          <w:spacing w:val="40"/>
          <w:sz w:val="24"/>
        </w:rPr>
        <w:t> </w:t>
      </w:r>
      <w:r>
        <w:rPr>
          <w:sz w:val="24"/>
        </w:rPr>
        <w:t>need</w:t>
      </w:r>
      <w:r>
        <w:rPr>
          <w:spacing w:val="40"/>
          <w:sz w:val="24"/>
        </w:rPr>
        <w:t> </w:t>
      </w:r>
      <w:r>
        <w:rPr>
          <w:sz w:val="24"/>
        </w:rPr>
        <w:t>be provided</w:t>
      </w:r>
      <w:r>
        <w:rPr>
          <w:spacing w:val="40"/>
          <w:sz w:val="24"/>
        </w:rPr>
        <w:t> </w:t>
      </w:r>
      <w:r>
        <w:rPr>
          <w:sz w:val="24"/>
        </w:rPr>
        <w:t>if</w:t>
      </w:r>
      <w:r>
        <w:rPr>
          <w:spacing w:val="40"/>
          <w:sz w:val="24"/>
        </w:rPr>
        <w:t> </w:t>
      </w:r>
      <w:r>
        <w:rPr>
          <w:sz w:val="24"/>
        </w:rPr>
        <w:t>the</w:t>
      </w:r>
      <w:r>
        <w:rPr>
          <w:spacing w:val="40"/>
          <w:sz w:val="24"/>
        </w:rPr>
        <w:t> </w:t>
      </w:r>
      <w:r>
        <w:rPr>
          <w:sz w:val="24"/>
        </w:rPr>
        <w:t>means</w:t>
      </w:r>
      <w:r>
        <w:rPr>
          <w:spacing w:val="40"/>
          <w:sz w:val="24"/>
        </w:rPr>
        <w:t> </w:t>
      </w:r>
      <w:r>
        <w:rPr>
          <w:sz w:val="24"/>
        </w:rPr>
        <w:t>of</w:t>
      </w:r>
      <w:r>
        <w:rPr>
          <w:spacing w:val="40"/>
          <w:sz w:val="24"/>
        </w:rPr>
        <w:t> </w:t>
      </w:r>
      <w:r>
        <w:rPr>
          <w:sz w:val="24"/>
        </w:rPr>
        <w:t>access</w:t>
      </w:r>
      <w:r>
        <w:rPr>
          <w:spacing w:val="40"/>
          <w:sz w:val="24"/>
        </w:rPr>
        <w:t> </w:t>
      </w:r>
      <w:r>
        <w:rPr>
          <w:sz w:val="24"/>
        </w:rPr>
        <w:t>serving</w:t>
      </w:r>
      <w:r>
        <w:rPr>
          <w:spacing w:val="40"/>
          <w:sz w:val="24"/>
        </w:rPr>
        <w:t> </w:t>
      </w:r>
      <w:r>
        <w:rPr>
          <w:sz w:val="24"/>
        </w:rPr>
        <w:t>such</w:t>
      </w:r>
      <w:r>
        <w:rPr>
          <w:spacing w:val="40"/>
          <w:sz w:val="24"/>
        </w:rPr>
        <w:t> </w:t>
      </w:r>
      <w:r>
        <w:rPr>
          <w:sz w:val="24"/>
        </w:rPr>
        <w:t>plots</w:t>
      </w:r>
      <w:r>
        <w:rPr>
          <w:spacing w:val="40"/>
          <w:sz w:val="24"/>
        </w:rPr>
        <w:t> </w:t>
      </w:r>
      <w:r>
        <w:rPr>
          <w:sz w:val="24"/>
        </w:rPr>
        <w:t>is</w:t>
      </w:r>
      <w:r>
        <w:rPr>
          <w:spacing w:val="40"/>
          <w:sz w:val="24"/>
        </w:rPr>
        <w:t> </w:t>
      </w:r>
      <w:r>
        <w:rPr>
          <w:sz w:val="24"/>
        </w:rPr>
        <w:t>at</w:t>
      </w:r>
      <w:r>
        <w:rPr>
          <w:spacing w:val="40"/>
          <w:sz w:val="24"/>
        </w:rPr>
        <w:t> </w:t>
      </w:r>
      <w:r>
        <w:rPr>
          <w:sz w:val="24"/>
        </w:rPr>
        <w:t>least</w:t>
      </w:r>
      <w:r>
        <w:rPr>
          <w:spacing w:val="40"/>
          <w:sz w:val="24"/>
        </w:rPr>
        <w:t> </w:t>
      </w:r>
      <w:r>
        <w:rPr>
          <w:sz w:val="24"/>
        </w:rPr>
        <w:t>3</w:t>
      </w:r>
      <w:r>
        <w:rPr>
          <w:spacing w:val="40"/>
          <w:sz w:val="24"/>
        </w:rPr>
        <w:t> </w:t>
      </w:r>
      <w:r>
        <w:rPr>
          <w:sz w:val="24"/>
        </w:rPr>
        <w:t>m</w:t>
      </w:r>
      <w:r>
        <w:rPr>
          <w:spacing w:val="40"/>
          <w:sz w:val="24"/>
        </w:rPr>
        <w:t> </w:t>
      </w:r>
      <w:r>
        <w:rPr>
          <w:sz w:val="24"/>
        </w:rPr>
        <w:t>in </w:t>
      </w:r>
      <w:r>
        <w:rPr>
          <w:spacing w:val="-2"/>
          <w:sz w:val="24"/>
        </w:rPr>
        <w:t>width.</w:t>
      </w:r>
    </w:p>
    <w:p>
      <w:pPr>
        <w:pStyle w:val="ListParagraph"/>
        <w:numPr>
          <w:ilvl w:val="2"/>
          <w:numId w:val="286"/>
        </w:numPr>
        <w:tabs>
          <w:tab w:pos="1811" w:val="left" w:leader="none"/>
        </w:tabs>
        <w:spacing w:line="240" w:lineRule="auto" w:before="0" w:after="0"/>
        <w:ind w:left="1313" w:right="797" w:firstLine="0"/>
        <w:jc w:val="both"/>
        <w:rPr>
          <w:sz w:val="24"/>
        </w:rPr>
      </w:pPr>
      <w:r>
        <w:rPr>
          <w:sz w:val="24"/>
        </w:rPr>
        <w:t>A</w:t>
      </w:r>
      <w:r>
        <w:rPr>
          <w:spacing w:val="40"/>
          <w:sz w:val="24"/>
        </w:rPr>
        <w:t> </w:t>
      </w:r>
      <w:r>
        <w:rPr>
          <w:sz w:val="24"/>
        </w:rPr>
        <w:t>row</w:t>
      </w:r>
      <w:r>
        <w:rPr>
          <w:spacing w:val="40"/>
          <w:sz w:val="24"/>
        </w:rPr>
        <w:t> </w:t>
      </w:r>
      <w:r>
        <w:rPr>
          <w:sz w:val="24"/>
        </w:rPr>
        <w:t>housing</w:t>
      </w:r>
      <w:r>
        <w:rPr>
          <w:spacing w:val="40"/>
          <w:sz w:val="24"/>
        </w:rPr>
        <w:t> </w:t>
      </w:r>
      <w:r>
        <w:rPr>
          <w:sz w:val="24"/>
        </w:rPr>
        <w:t>scheme</w:t>
      </w:r>
      <w:r>
        <w:rPr>
          <w:spacing w:val="40"/>
          <w:sz w:val="24"/>
        </w:rPr>
        <w:t> </w:t>
      </w:r>
      <w:r>
        <w:rPr>
          <w:sz w:val="24"/>
        </w:rPr>
        <w:t>developed</w:t>
      </w:r>
      <w:r>
        <w:rPr>
          <w:spacing w:val="40"/>
          <w:sz w:val="24"/>
        </w:rPr>
        <w:t> </w:t>
      </w:r>
      <w:r>
        <w:rPr>
          <w:sz w:val="24"/>
        </w:rPr>
        <w:t>as</w:t>
      </w:r>
      <w:r>
        <w:rPr>
          <w:spacing w:val="40"/>
          <w:sz w:val="24"/>
        </w:rPr>
        <w:t> </w:t>
      </w:r>
      <w:r>
        <w:rPr>
          <w:sz w:val="24"/>
        </w:rPr>
        <w:t>a</w:t>
      </w:r>
      <w:r>
        <w:rPr>
          <w:spacing w:val="40"/>
          <w:sz w:val="24"/>
        </w:rPr>
        <w:t> </w:t>
      </w:r>
      <w:r>
        <w:rPr>
          <w:sz w:val="24"/>
        </w:rPr>
        <w:t>block</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more</w:t>
      </w:r>
      <w:r>
        <w:rPr>
          <w:spacing w:val="40"/>
          <w:sz w:val="24"/>
        </w:rPr>
        <w:t> </w:t>
      </w:r>
      <w:r>
        <w:rPr>
          <w:sz w:val="24"/>
        </w:rPr>
        <w:t>than 45</w:t>
      </w:r>
      <w:r>
        <w:rPr>
          <w:spacing w:val="40"/>
          <w:sz w:val="24"/>
        </w:rPr>
        <w:t> </w:t>
      </w:r>
      <w:r>
        <w:rPr>
          <w:sz w:val="24"/>
        </w:rPr>
        <w:t>m</w:t>
      </w:r>
      <w:r>
        <w:rPr>
          <w:spacing w:val="40"/>
          <w:sz w:val="24"/>
        </w:rPr>
        <w:t> </w:t>
      </w:r>
      <w:r>
        <w:rPr>
          <w:sz w:val="24"/>
        </w:rPr>
        <w:t>in</w:t>
      </w:r>
      <w:r>
        <w:rPr>
          <w:spacing w:val="40"/>
          <w:sz w:val="24"/>
        </w:rPr>
        <w:t> </w:t>
      </w:r>
      <w:r>
        <w:rPr>
          <w:sz w:val="24"/>
        </w:rPr>
        <w:t>length</w:t>
      </w:r>
      <w:r>
        <w:rPr>
          <w:spacing w:val="40"/>
          <w:sz w:val="24"/>
        </w:rPr>
        <w:t> </w:t>
      </w:r>
      <w:r>
        <w:rPr>
          <w:sz w:val="24"/>
        </w:rPr>
        <w:t>and</w:t>
      </w:r>
      <w:r>
        <w:rPr>
          <w:spacing w:val="40"/>
          <w:sz w:val="24"/>
        </w:rPr>
        <w:t> </w:t>
      </w:r>
      <w:r>
        <w:rPr>
          <w:sz w:val="24"/>
        </w:rPr>
        <w:t>the</w:t>
      </w:r>
      <w:r>
        <w:rPr>
          <w:spacing w:val="40"/>
          <w:sz w:val="24"/>
        </w:rPr>
        <w:t> </w:t>
      </w:r>
      <w:r>
        <w:rPr>
          <w:sz w:val="24"/>
        </w:rPr>
        <w:t>distance</w:t>
      </w:r>
      <w:r>
        <w:rPr>
          <w:spacing w:val="40"/>
          <w:sz w:val="24"/>
        </w:rPr>
        <w:t> </w:t>
      </w:r>
      <w:r>
        <w:rPr>
          <w:sz w:val="24"/>
        </w:rPr>
        <w:t>separating</w:t>
      </w:r>
      <w:r>
        <w:rPr>
          <w:spacing w:val="40"/>
          <w:sz w:val="24"/>
        </w:rPr>
        <w:t> </w:t>
      </w:r>
      <w:r>
        <w:rPr>
          <w:sz w:val="24"/>
        </w:rPr>
        <w:t>two</w:t>
      </w:r>
      <w:r>
        <w:rPr>
          <w:spacing w:val="40"/>
          <w:sz w:val="24"/>
        </w:rPr>
        <w:t> </w:t>
      </w:r>
      <w:r>
        <w:rPr>
          <w:sz w:val="24"/>
        </w:rPr>
        <w:t>such</w:t>
      </w:r>
      <w:r>
        <w:rPr>
          <w:spacing w:val="40"/>
          <w:sz w:val="24"/>
        </w:rPr>
        <w:t> </w:t>
      </w:r>
      <w:r>
        <w:rPr>
          <w:sz w:val="24"/>
        </w:rPr>
        <w:t>blocks</w:t>
      </w:r>
      <w:r>
        <w:rPr>
          <w:spacing w:val="40"/>
          <w:sz w:val="24"/>
        </w:rPr>
        <w:t> </w:t>
      </w:r>
      <w:r>
        <w:rPr>
          <w:sz w:val="24"/>
        </w:rPr>
        <w:t>shall</w:t>
      </w:r>
      <w:r>
        <w:rPr>
          <w:spacing w:val="40"/>
          <w:sz w:val="24"/>
        </w:rPr>
        <w:t> </w:t>
      </w:r>
      <w:r>
        <w:rPr>
          <w:sz w:val="24"/>
        </w:rPr>
        <w:t>not</w:t>
      </w:r>
      <w:r>
        <w:rPr>
          <w:spacing w:val="40"/>
          <w:sz w:val="24"/>
        </w:rPr>
        <w:t> </w:t>
      </w:r>
      <w:r>
        <w:rPr>
          <w:sz w:val="24"/>
        </w:rPr>
        <w:t>be less than 1.5 m.</w:t>
      </w:r>
    </w:p>
    <w:p>
      <w:pPr>
        <w:pStyle w:val="ListParagraph"/>
        <w:spacing w:after="0" w:line="240" w:lineRule="auto"/>
        <w:jc w:val="both"/>
        <w:rPr>
          <w:sz w:val="24"/>
        </w:rPr>
        <w:sectPr>
          <w:pgSz w:w="11910" w:h="16840"/>
          <w:pgMar w:header="1058" w:footer="1201" w:top="1500" w:bottom="1400" w:left="360" w:right="360"/>
        </w:sectPr>
      </w:pPr>
    </w:p>
    <w:p>
      <w:pPr>
        <w:pStyle w:val="ListParagraph"/>
        <w:numPr>
          <w:ilvl w:val="2"/>
          <w:numId w:val="286"/>
        </w:numPr>
        <w:tabs>
          <w:tab w:pos="1761" w:val="left" w:leader="none"/>
        </w:tabs>
        <w:spacing w:line="240" w:lineRule="auto" w:before="255" w:after="0"/>
        <w:ind w:left="1313" w:right="784" w:firstLine="0"/>
        <w:jc w:val="both"/>
        <w:rPr>
          <w:sz w:val="24"/>
        </w:rPr>
      </w:pPr>
      <w:r>
        <w:rPr>
          <w:sz w:val="24"/>
        </w:rPr>
        <w:t>Where the amenity open space is accessible from all the </w:t>
      </w:r>
      <w:r>
        <w:rPr>
          <w:spacing w:val="13"/>
          <w:sz w:val="24"/>
        </w:rPr>
        <w:t>lay-</w:t>
      </w:r>
      <w:r>
        <w:rPr>
          <w:sz w:val="24"/>
        </w:rPr>
        <w:t>out plots</w:t>
      </w:r>
      <w:r>
        <w:rPr>
          <w:spacing w:val="40"/>
          <w:sz w:val="24"/>
        </w:rPr>
        <w:t> </w:t>
      </w:r>
      <w:r>
        <w:rPr>
          <w:sz w:val="24"/>
        </w:rPr>
        <w:t>and</w:t>
      </w:r>
      <w:r>
        <w:rPr>
          <w:spacing w:val="40"/>
          <w:sz w:val="24"/>
        </w:rPr>
        <w:t> </w:t>
      </w:r>
      <w:r>
        <w:rPr>
          <w:sz w:val="24"/>
        </w:rPr>
        <w:t>has</w:t>
      </w:r>
      <w:r>
        <w:rPr>
          <w:spacing w:val="40"/>
          <w:sz w:val="24"/>
        </w:rPr>
        <w:t> </w:t>
      </w:r>
      <w:r>
        <w:rPr>
          <w:sz w:val="24"/>
        </w:rPr>
        <w:t>no</w:t>
      </w:r>
      <w:r>
        <w:rPr>
          <w:spacing w:val="40"/>
          <w:sz w:val="24"/>
        </w:rPr>
        <w:t> </w:t>
      </w:r>
      <w:r>
        <w:rPr>
          <w:sz w:val="24"/>
        </w:rPr>
        <w:t>exclusive</w:t>
      </w:r>
      <w:r>
        <w:rPr>
          <w:spacing w:val="40"/>
          <w:sz w:val="24"/>
        </w:rPr>
        <w:t> </w:t>
      </w:r>
      <w:r>
        <w:rPr>
          <w:sz w:val="24"/>
        </w:rPr>
        <w:t>means</w:t>
      </w:r>
      <w:r>
        <w:rPr>
          <w:spacing w:val="40"/>
          <w:sz w:val="24"/>
        </w:rPr>
        <w:t> </w:t>
      </w:r>
      <w:r>
        <w:rPr>
          <w:sz w:val="24"/>
        </w:rPr>
        <w:t>of</w:t>
      </w:r>
      <w:r>
        <w:rPr>
          <w:spacing w:val="40"/>
          <w:sz w:val="24"/>
        </w:rPr>
        <w:t> </w:t>
      </w:r>
      <w:r>
        <w:rPr>
          <w:sz w:val="24"/>
        </w:rPr>
        <w:t>access,</w:t>
      </w:r>
      <w:r>
        <w:rPr>
          <w:spacing w:val="40"/>
          <w:sz w:val="24"/>
        </w:rPr>
        <w:t> </w:t>
      </w:r>
      <w:r>
        <w:rPr>
          <w:sz w:val="24"/>
        </w:rPr>
        <w:t>the</w:t>
      </w:r>
      <w:r>
        <w:rPr>
          <w:spacing w:val="40"/>
          <w:sz w:val="24"/>
        </w:rPr>
        <w:t> </w:t>
      </w:r>
      <w:r>
        <w:rPr>
          <w:sz w:val="24"/>
        </w:rPr>
        <w:t>rear</w:t>
      </w:r>
      <w:r>
        <w:rPr>
          <w:spacing w:val="40"/>
          <w:sz w:val="24"/>
        </w:rPr>
        <w:t> </w:t>
      </w:r>
      <w:r>
        <w:rPr>
          <w:sz w:val="24"/>
        </w:rPr>
        <w:t>marginal</w:t>
      </w:r>
      <w:r>
        <w:rPr>
          <w:spacing w:val="40"/>
          <w:sz w:val="24"/>
        </w:rPr>
        <w:t> </w:t>
      </w:r>
      <w:r>
        <w:rPr>
          <w:sz w:val="24"/>
        </w:rPr>
        <w:t>open</w:t>
      </w:r>
      <w:r>
        <w:rPr>
          <w:spacing w:val="40"/>
          <w:sz w:val="24"/>
        </w:rPr>
        <w:t> </w:t>
      </w:r>
      <w:r>
        <w:rPr>
          <w:sz w:val="24"/>
        </w:rPr>
        <w:t>spacein plots</w:t>
      </w:r>
      <w:r>
        <w:rPr>
          <w:spacing w:val="40"/>
          <w:sz w:val="24"/>
        </w:rPr>
        <w:t> </w:t>
      </w:r>
      <w:r>
        <w:rPr>
          <w:sz w:val="24"/>
        </w:rPr>
        <w:t>abutting</w:t>
      </w:r>
      <w:r>
        <w:rPr>
          <w:spacing w:val="40"/>
          <w:sz w:val="24"/>
        </w:rPr>
        <w:t> </w:t>
      </w:r>
      <w:r>
        <w:rPr>
          <w:sz w:val="24"/>
        </w:rPr>
        <w:t>such</w:t>
      </w:r>
      <w:r>
        <w:rPr>
          <w:spacing w:val="40"/>
          <w:sz w:val="24"/>
        </w:rPr>
        <w:t> </w:t>
      </w:r>
      <w:r>
        <w:rPr>
          <w:sz w:val="24"/>
        </w:rPr>
        <w:t>amenity</w:t>
      </w:r>
      <w:r>
        <w:rPr>
          <w:spacing w:val="40"/>
          <w:sz w:val="24"/>
        </w:rPr>
        <w:t> </w:t>
      </w:r>
      <w:r>
        <w:rPr>
          <w:sz w:val="24"/>
        </w:rPr>
        <w:t>open</w:t>
      </w:r>
      <w:r>
        <w:rPr>
          <w:spacing w:val="40"/>
          <w:sz w:val="24"/>
        </w:rPr>
        <w:t> </w:t>
      </w:r>
      <w:r>
        <w:rPr>
          <w:sz w:val="24"/>
        </w:rPr>
        <w:t>space</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3</w:t>
      </w:r>
      <w:r>
        <w:rPr>
          <w:spacing w:val="40"/>
          <w:sz w:val="24"/>
        </w:rPr>
        <w:t> </w:t>
      </w:r>
      <w:r>
        <w:rPr>
          <w:sz w:val="24"/>
        </w:rPr>
        <w:t>m</w:t>
      </w:r>
    </w:p>
    <w:p>
      <w:pPr>
        <w:pStyle w:val="ListParagraph"/>
        <w:numPr>
          <w:ilvl w:val="1"/>
          <w:numId w:val="286"/>
        </w:numPr>
        <w:tabs>
          <w:tab w:pos="1723" w:val="left" w:leader="none"/>
        </w:tabs>
        <w:spacing w:line="240" w:lineRule="auto" w:before="242" w:after="0"/>
        <w:ind w:left="1313" w:right="784" w:firstLine="0"/>
        <w:jc w:val="both"/>
        <w:rPr>
          <w:sz w:val="24"/>
        </w:rPr>
      </w:pPr>
      <w:r>
        <w:rPr>
          <w:sz w:val="24"/>
        </w:rPr>
        <w:t>In case of redevelopment in </w:t>
      </w:r>
      <w:r>
        <w:rPr>
          <w:spacing w:val="9"/>
          <w:sz w:val="24"/>
        </w:rPr>
        <w:t>Gaothan/Koliada/Adivasi </w:t>
      </w:r>
      <w:r>
        <w:rPr>
          <w:sz w:val="24"/>
        </w:rPr>
        <w:t>Pada with the height</w:t>
      </w:r>
      <w:r>
        <w:rPr>
          <w:spacing w:val="40"/>
          <w:sz w:val="24"/>
        </w:rPr>
        <w:t> </w:t>
      </w:r>
      <w:r>
        <w:rPr>
          <w:sz w:val="24"/>
        </w:rPr>
        <w:t>restricted</w:t>
      </w:r>
      <w:r>
        <w:rPr>
          <w:spacing w:val="40"/>
          <w:sz w:val="24"/>
        </w:rPr>
        <w:t> </w:t>
      </w:r>
      <w:r>
        <w:rPr>
          <w:sz w:val="24"/>
        </w:rPr>
        <w:t>to</w:t>
      </w:r>
      <w:r>
        <w:rPr>
          <w:spacing w:val="40"/>
          <w:sz w:val="24"/>
        </w:rPr>
        <w:t> </w:t>
      </w:r>
      <w:r>
        <w:rPr>
          <w:sz w:val="24"/>
        </w:rPr>
        <w:t>4</w:t>
      </w:r>
      <w:r>
        <w:rPr>
          <w:spacing w:val="40"/>
          <w:sz w:val="24"/>
        </w:rPr>
        <w:t> </w:t>
      </w:r>
      <w:r>
        <w:rPr>
          <w:sz w:val="24"/>
        </w:rPr>
        <w:t>storeys</w:t>
      </w:r>
      <w:r>
        <w:rPr>
          <w:spacing w:val="40"/>
          <w:sz w:val="24"/>
        </w:rPr>
        <w:t> </w:t>
      </w:r>
      <w:r>
        <w:rPr>
          <w:sz w:val="24"/>
        </w:rPr>
        <w:t>or</w:t>
      </w:r>
      <w:r>
        <w:rPr>
          <w:spacing w:val="40"/>
          <w:sz w:val="24"/>
        </w:rPr>
        <w:t> </w:t>
      </w:r>
      <w:r>
        <w:rPr>
          <w:sz w:val="24"/>
        </w:rPr>
        <w:t>maximum</w:t>
      </w:r>
      <w:r>
        <w:rPr>
          <w:spacing w:val="40"/>
          <w:sz w:val="24"/>
        </w:rPr>
        <w:t> </w:t>
      </w:r>
      <w:r>
        <w:rPr>
          <w:sz w:val="24"/>
        </w:rPr>
        <w:t>14</w:t>
      </w:r>
      <w:r>
        <w:rPr>
          <w:spacing w:val="40"/>
          <w:sz w:val="24"/>
        </w:rPr>
        <w:t> </w:t>
      </w:r>
      <w:r>
        <w:rPr>
          <w:sz w:val="24"/>
        </w:rPr>
        <w:t>m,</w:t>
      </w:r>
      <w:r>
        <w:rPr>
          <w:spacing w:val="40"/>
          <w:sz w:val="24"/>
        </w:rPr>
        <w:t> </w:t>
      </w:r>
      <w:r>
        <w:rPr>
          <w:sz w:val="24"/>
        </w:rPr>
        <w:t>the</w:t>
      </w:r>
      <w:r>
        <w:rPr>
          <w:spacing w:val="40"/>
          <w:sz w:val="24"/>
        </w:rPr>
        <w:t> </w:t>
      </w:r>
      <w:r>
        <w:rPr>
          <w:sz w:val="24"/>
        </w:rPr>
        <w:t>ground</w:t>
      </w:r>
      <w:r>
        <w:rPr>
          <w:spacing w:val="40"/>
          <w:sz w:val="24"/>
        </w:rPr>
        <w:t> </w:t>
      </w:r>
      <w:r>
        <w:rPr>
          <w:sz w:val="24"/>
        </w:rPr>
        <w:t>coverage</w:t>
      </w:r>
      <w:r>
        <w:rPr>
          <w:spacing w:val="40"/>
          <w:sz w:val="24"/>
        </w:rPr>
        <w:t> </w:t>
      </w:r>
      <w:r>
        <w:rPr>
          <w:sz w:val="24"/>
        </w:rPr>
        <w:t>of the</w:t>
      </w:r>
      <w:r>
        <w:rPr>
          <w:spacing w:val="40"/>
          <w:sz w:val="24"/>
        </w:rPr>
        <w:t> </w:t>
      </w:r>
      <w:r>
        <w:rPr>
          <w:sz w:val="24"/>
        </w:rPr>
        <w:t>structure</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more</w:t>
      </w:r>
      <w:r>
        <w:rPr>
          <w:spacing w:val="40"/>
          <w:sz w:val="24"/>
        </w:rPr>
        <w:t> </w:t>
      </w:r>
      <w:r>
        <w:rPr>
          <w:sz w:val="24"/>
        </w:rPr>
        <w:t>than</w:t>
      </w:r>
      <w:r>
        <w:rPr>
          <w:spacing w:val="40"/>
          <w:sz w:val="24"/>
        </w:rPr>
        <w:t> </w:t>
      </w:r>
      <w:r>
        <w:rPr>
          <w:sz w:val="24"/>
        </w:rPr>
        <w:t>75%</w:t>
      </w:r>
      <w:r>
        <w:rPr>
          <w:spacing w:val="40"/>
          <w:sz w:val="24"/>
        </w:rPr>
        <w:t> </w:t>
      </w:r>
      <w:r>
        <w:rPr>
          <w:sz w:val="24"/>
        </w:rPr>
        <w:t>of</w:t>
      </w:r>
      <w:r>
        <w:rPr>
          <w:spacing w:val="40"/>
          <w:sz w:val="24"/>
        </w:rPr>
        <w:t> </w:t>
      </w:r>
      <w:r>
        <w:rPr>
          <w:sz w:val="24"/>
        </w:rPr>
        <w:t>the</w:t>
      </w:r>
      <w:r>
        <w:rPr>
          <w:spacing w:val="40"/>
          <w:sz w:val="24"/>
        </w:rPr>
        <w:t> </w:t>
      </w:r>
      <w:r>
        <w:rPr>
          <w:sz w:val="24"/>
        </w:rPr>
        <w:t>plot</w:t>
      </w:r>
      <w:r>
        <w:rPr>
          <w:spacing w:val="40"/>
          <w:sz w:val="24"/>
        </w:rPr>
        <w:t> </w:t>
      </w:r>
      <w:r>
        <w:rPr>
          <w:sz w:val="24"/>
        </w:rPr>
        <w:t>area</w:t>
      </w:r>
      <w:r>
        <w:rPr>
          <w:spacing w:val="40"/>
          <w:sz w:val="24"/>
        </w:rPr>
        <w:t> </w:t>
      </w:r>
      <w:r>
        <w:rPr>
          <w:sz w:val="24"/>
        </w:rPr>
        <w:t>and</w:t>
      </w:r>
      <w:r>
        <w:rPr>
          <w:spacing w:val="40"/>
          <w:sz w:val="24"/>
        </w:rPr>
        <w:t> </w:t>
      </w:r>
      <w:r>
        <w:rPr>
          <w:sz w:val="24"/>
        </w:rPr>
        <w:t>open spaces left at side and rear shall be as to consume the FSI as permissible and</w:t>
      </w:r>
      <w:r>
        <w:rPr>
          <w:spacing w:val="80"/>
          <w:sz w:val="24"/>
        </w:rPr>
        <w:t> </w:t>
      </w:r>
      <w:r>
        <w:rPr>
          <w:sz w:val="24"/>
        </w:rPr>
        <w:t>not</w:t>
      </w:r>
      <w:r>
        <w:rPr>
          <w:spacing w:val="80"/>
          <w:sz w:val="24"/>
        </w:rPr>
        <w:t> </w:t>
      </w:r>
      <w:r>
        <w:rPr>
          <w:sz w:val="24"/>
        </w:rPr>
        <w:t>to</w:t>
      </w:r>
      <w:r>
        <w:rPr>
          <w:spacing w:val="80"/>
          <w:sz w:val="24"/>
        </w:rPr>
        <w:t> </w:t>
      </w:r>
      <w:r>
        <w:rPr>
          <w:sz w:val="24"/>
        </w:rPr>
        <w:t>affect</w:t>
      </w:r>
      <w:r>
        <w:rPr>
          <w:spacing w:val="80"/>
          <w:sz w:val="24"/>
        </w:rPr>
        <w:t> </w:t>
      </w:r>
      <w:r>
        <w:rPr>
          <w:sz w:val="24"/>
        </w:rPr>
        <w:t>adversely</w:t>
      </w:r>
      <w:r>
        <w:rPr>
          <w:spacing w:val="80"/>
          <w:sz w:val="24"/>
        </w:rPr>
        <w:t> </w:t>
      </w:r>
      <w:r>
        <w:rPr>
          <w:sz w:val="24"/>
        </w:rPr>
        <w:t>the</w:t>
      </w:r>
      <w:r>
        <w:rPr>
          <w:spacing w:val="80"/>
          <w:sz w:val="24"/>
        </w:rPr>
        <w:t> </w:t>
      </w:r>
      <w:r>
        <w:rPr>
          <w:sz w:val="24"/>
        </w:rPr>
        <w:t>light</w:t>
      </w:r>
      <w:r>
        <w:rPr>
          <w:spacing w:val="80"/>
          <w:sz w:val="24"/>
        </w:rPr>
        <w:t> </w:t>
      </w:r>
      <w:r>
        <w:rPr>
          <w:sz w:val="24"/>
        </w:rPr>
        <w:t>and</w:t>
      </w:r>
      <w:r>
        <w:rPr>
          <w:spacing w:val="80"/>
          <w:sz w:val="24"/>
        </w:rPr>
        <w:t> </w:t>
      </w:r>
      <w:r>
        <w:rPr>
          <w:sz w:val="24"/>
        </w:rPr>
        <w:t>ventilation</w:t>
      </w:r>
      <w:r>
        <w:rPr>
          <w:spacing w:val="80"/>
          <w:sz w:val="24"/>
        </w:rPr>
        <w:t> </w:t>
      </w:r>
      <w:r>
        <w:rPr>
          <w:sz w:val="24"/>
        </w:rPr>
        <w:t>of</w:t>
      </w:r>
      <w:r>
        <w:rPr>
          <w:spacing w:val="80"/>
          <w:sz w:val="24"/>
        </w:rPr>
        <w:t> </w:t>
      </w:r>
      <w:r>
        <w:rPr>
          <w:sz w:val="24"/>
        </w:rPr>
        <w:t>adjoining buildings</w:t>
      </w:r>
      <w:r>
        <w:rPr>
          <w:spacing w:val="80"/>
          <w:sz w:val="24"/>
        </w:rPr>
        <w:t> </w:t>
      </w:r>
      <w:r>
        <w:rPr>
          <w:sz w:val="24"/>
        </w:rPr>
        <w:t>and</w:t>
      </w:r>
      <w:r>
        <w:rPr>
          <w:spacing w:val="80"/>
          <w:sz w:val="24"/>
        </w:rPr>
        <w:t> </w:t>
      </w:r>
      <w:r>
        <w:rPr>
          <w:sz w:val="24"/>
        </w:rPr>
        <w:t>to</w:t>
      </w:r>
      <w:r>
        <w:rPr>
          <w:spacing w:val="80"/>
          <w:sz w:val="24"/>
        </w:rPr>
        <w:t> </w:t>
      </w:r>
      <w:r>
        <w:rPr>
          <w:sz w:val="24"/>
        </w:rPr>
        <w:t>provide</w:t>
      </w:r>
      <w:r>
        <w:rPr>
          <w:spacing w:val="80"/>
          <w:sz w:val="24"/>
        </w:rPr>
        <w:t> </w:t>
      </w:r>
      <w:r>
        <w:rPr>
          <w:sz w:val="24"/>
        </w:rPr>
        <w:t>proper</w:t>
      </w:r>
      <w:r>
        <w:rPr>
          <w:spacing w:val="80"/>
          <w:sz w:val="24"/>
        </w:rPr>
        <w:t> </w:t>
      </w:r>
      <w:r>
        <w:rPr>
          <w:sz w:val="24"/>
        </w:rPr>
        <w:t>drainage</w:t>
      </w:r>
      <w:r>
        <w:rPr>
          <w:spacing w:val="80"/>
          <w:sz w:val="24"/>
        </w:rPr>
        <w:t> </w:t>
      </w:r>
      <w:r>
        <w:rPr>
          <w:sz w:val="24"/>
        </w:rPr>
        <w:t>facilities.</w:t>
      </w:r>
    </w:p>
    <w:p>
      <w:pPr>
        <w:pStyle w:val="ListParagraph"/>
        <w:numPr>
          <w:ilvl w:val="0"/>
          <w:numId w:val="286"/>
        </w:numPr>
        <w:tabs>
          <w:tab w:pos="1774" w:val="left" w:leader="none"/>
        </w:tabs>
        <w:spacing w:line="240" w:lineRule="auto" w:before="237" w:after="0"/>
        <w:ind w:left="1313" w:right="783" w:firstLine="0"/>
        <w:jc w:val="both"/>
        <w:rPr>
          <w:sz w:val="24"/>
        </w:rPr>
      </w:pPr>
      <w:r>
        <w:rPr>
          <w:b/>
          <w:i/>
          <w:sz w:val="24"/>
        </w:rPr>
        <w:t>Front</w:t>
      </w:r>
      <w:r>
        <w:rPr>
          <w:b/>
          <w:i/>
          <w:spacing w:val="40"/>
          <w:sz w:val="24"/>
        </w:rPr>
        <w:t> </w:t>
      </w:r>
      <w:r>
        <w:rPr>
          <w:b/>
          <w:i/>
          <w:spacing w:val="9"/>
          <w:sz w:val="24"/>
        </w:rPr>
        <w:t>Set-</w:t>
      </w:r>
      <w:r>
        <w:rPr>
          <w:b/>
          <w:i/>
          <w:sz w:val="24"/>
        </w:rPr>
        <w:t>backs</w:t>
      </w:r>
      <w:r>
        <w:rPr>
          <w:b/>
          <w:i/>
          <w:spacing w:val="40"/>
          <w:sz w:val="24"/>
        </w:rPr>
        <w:t> </w:t>
      </w:r>
      <w:r>
        <w:rPr>
          <w:b/>
          <w:i/>
          <w:sz w:val="24"/>
        </w:rPr>
        <w:t>from</w:t>
      </w:r>
      <w:r>
        <w:rPr>
          <w:b/>
          <w:i/>
          <w:spacing w:val="40"/>
          <w:sz w:val="24"/>
        </w:rPr>
        <w:t> </w:t>
      </w:r>
      <w:r>
        <w:rPr>
          <w:b/>
          <w:i/>
          <w:sz w:val="24"/>
        </w:rPr>
        <w:t>the</w:t>
      </w:r>
      <w:r>
        <w:rPr>
          <w:b/>
          <w:i/>
          <w:spacing w:val="40"/>
          <w:sz w:val="24"/>
        </w:rPr>
        <w:t> </w:t>
      </w:r>
      <w:r>
        <w:rPr>
          <w:b/>
          <w:i/>
          <w:sz w:val="24"/>
        </w:rPr>
        <w:t>Street</w:t>
      </w:r>
      <w:r>
        <w:rPr>
          <w:b/>
          <w:i/>
          <w:spacing w:val="40"/>
          <w:sz w:val="24"/>
        </w:rPr>
        <w:t> </w:t>
      </w:r>
      <w:r>
        <w:rPr>
          <w:b/>
          <w:i/>
          <w:sz w:val="24"/>
        </w:rPr>
        <w:t>Line/Plot</w:t>
      </w:r>
      <w:r>
        <w:rPr>
          <w:b/>
          <w:i/>
          <w:spacing w:val="40"/>
          <w:sz w:val="24"/>
        </w:rPr>
        <w:t> </w:t>
      </w:r>
      <w:r>
        <w:rPr>
          <w:b/>
          <w:i/>
          <w:sz w:val="24"/>
        </w:rPr>
        <w:t>Boundary</w:t>
      </w:r>
      <w:r>
        <w:rPr>
          <w:b/>
          <w:i/>
          <w:spacing w:val="40"/>
          <w:sz w:val="24"/>
        </w:rPr>
        <w:t> </w:t>
      </w:r>
      <w:r>
        <w:rPr>
          <w:b/>
          <w:i/>
          <w:sz w:val="24"/>
        </w:rPr>
        <w:t>and</w:t>
      </w:r>
      <w:r>
        <w:rPr>
          <w:b/>
          <w:i/>
          <w:spacing w:val="40"/>
          <w:sz w:val="24"/>
        </w:rPr>
        <w:t> </w:t>
      </w:r>
      <w:r>
        <w:rPr>
          <w:b/>
          <w:i/>
          <w:spacing w:val="10"/>
          <w:sz w:val="24"/>
        </w:rPr>
        <w:t>set- </w:t>
      </w:r>
      <w:r>
        <w:rPr>
          <w:b/>
          <w:i/>
          <w:sz w:val="24"/>
        </w:rPr>
        <w:t>backs</w:t>
      </w:r>
      <w:r>
        <w:rPr>
          <w:b/>
          <w:i/>
          <w:spacing w:val="74"/>
          <w:sz w:val="24"/>
        </w:rPr>
        <w:t> </w:t>
      </w:r>
      <w:r>
        <w:rPr>
          <w:b/>
          <w:i/>
          <w:sz w:val="24"/>
        </w:rPr>
        <w:t>from</w:t>
      </w:r>
      <w:r>
        <w:rPr>
          <w:b/>
          <w:i/>
          <w:spacing w:val="74"/>
          <w:sz w:val="24"/>
        </w:rPr>
        <w:t> </w:t>
      </w:r>
      <w:r>
        <w:rPr>
          <w:b/>
          <w:i/>
          <w:sz w:val="24"/>
        </w:rPr>
        <w:t>the</w:t>
      </w:r>
      <w:r>
        <w:rPr>
          <w:b/>
          <w:i/>
          <w:spacing w:val="78"/>
          <w:sz w:val="24"/>
        </w:rPr>
        <w:t> </w:t>
      </w:r>
      <w:r>
        <w:rPr>
          <w:b/>
          <w:i/>
          <w:sz w:val="24"/>
        </w:rPr>
        <w:t>zonal</w:t>
      </w:r>
      <w:r>
        <w:rPr>
          <w:b/>
          <w:i/>
          <w:spacing w:val="71"/>
          <w:sz w:val="24"/>
        </w:rPr>
        <w:t> </w:t>
      </w:r>
      <w:r>
        <w:rPr>
          <w:b/>
          <w:i/>
          <w:sz w:val="24"/>
        </w:rPr>
        <w:t>boundary</w:t>
      </w:r>
      <w:r>
        <w:rPr>
          <w:b/>
          <w:i/>
          <w:spacing w:val="74"/>
          <w:sz w:val="24"/>
        </w:rPr>
        <w:t> </w:t>
      </w:r>
      <w:r>
        <w:rPr>
          <w:b/>
          <w:i/>
          <w:sz w:val="24"/>
        </w:rPr>
        <w:t>in</w:t>
      </w:r>
      <w:r>
        <w:rPr>
          <w:b/>
          <w:i/>
          <w:spacing w:val="74"/>
          <w:sz w:val="24"/>
        </w:rPr>
        <w:t> </w:t>
      </w:r>
      <w:r>
        <w:rPr>
          <w:b/>
          <w:i/>
          <w:sz w:val="24"/>
        </w:rPr>
        <w:t>the</w:t>
      </w:r>
      <w:r>
        <w:rPr>
          <w:b/>
          <w:i/>
          <w:spacing w:val="74"/>
          <w:sz w:val="24"/>
        </w:rPr>
        <w:t> </w:t>
      </w:r>
      <w:r>
        <w:rPr>
          <w:b/>
          <w:i/>
          <w:sz w:val="24"/>
        </w:rPr>
        <w:t>different</w:t>
      </w:r>
      <w:r>
        <w:rPr>
          <w:b/>
          <w:i/>
          <w:spacing w:val="74"/>
          <w:sz w:val="24"/>
        </w:rPr>
        <w:t> </w:t>
      </w:r>
      <w:r>
        <w:rPr>
          <w:b/>
          <w:i/>
          <w:sz w:val="24"/>
        </w:rPr>
        <w:t>zones</w:t>
      </w:r>
      <w:r>
        <w:rPr>
          <w:b/>
          <w:i/>
          <w:spacing w:val="71"/>
          <w:sz w:val="24"/>
        </w:rPr>
        <w:t> </w:t>
      </w:r>
      <w:r>
        <w:rPr>
          <w:b/>
          <w:i/>
          <w:sz w:val="24"/>
        </w:rPr>
        <w:t>shall</w:t>
      </w:r>
      <w:r>
        <w:rPr>
          <w:b/>
          <w:i/>
          <w:spacing w:val="74"/>
          <w:sz w:val="24"/>
        </w:rPr>
        <w:t> </w:t>
      </w:r>
      <w:r>
        <w:rPr>
          <w:b/>
          <w:i/>
          <w:sz w:val="24"/>
        </w:rPr>
        <w:t>be</w:t>
      </w:r>
      <w:r>
        <w:rPr>
          <w:b/>
          <w:i/>
          <w:spacing w:val="71"/>
          <w:sz w:val="24"/>
        </w:rPr>
        <w:t> </w:t>
      </w:r>
      <w:r>
        <w:rPr>
          <w:b/>
          <w:i/>
          <w:sz w:val="24"/>
        </w:rPr>
        <w:t>as in</w:t>
      </w:r>
      <w:r>
        <w:rPr>
          <w:b/>
          <w:i/>
          <w:spacing w:val="40"/>
          <w:sz w:val="24"/>
        </w:rPr>
        <w:t> </w:t>
      </w:r>
      <w:r>
        <w:rPr>
          <w:b/>
          <w:i/>
          <w:sz w:val="24"/>
        </w:rPr>
        <w:t>Table</w:t>
      </w:r>
      <w:r>
        <w:rPr>
          <w:b/>
          <w:i/>
          <w:spacing w:val="40"/>
          <w:sz w:val="24"/>
        </w:rPr>
        <w:t> </w:t>
      </w:r>
      <w:r>
        <w:rPr>
          <w:b/>
          <w:i/>
          <w:sz w:val="24"/>
        </w:rPr>
        <w:t>No</w:t>
      </w:r>
      <w:r>
        <w:rPr>
          <w:b/>
          <w:i/>
          <w:spacing w:val="40"/>
          <w:sz w:val="24"/>
        </w:rPr>
        <w:t> </w:t>
      </w:r>
      <w:r>
        <w:rPr>
          <w:b/>
          <w:i/>
          <w:sz w:val="24"/>
        </w:rPr>
        <w:t>18hereunder.</w:t>
      </w:r>
    </w:p>
    <w:p>
      <w:pPr>
        <w:pStyle w:val="BodyText"/>
        <w:spacing w:before="3"/>
        <w:jc w:val="left"/>
        <w:rPr>
          <w:b/>
          <w:i/>
        </w:rPr>
      </w:pPr>
    </w:p>
    <w:p>
      <w:pPr>
        <w:pStyle w:val="Heading5"/>
        <w:spacing w:line="281" w:lineRule="exact" w:before="1"/>
        <w:ind w:left="772"/>
      </w:pPr>
      <w:r>
        <w:rPr/>
        <w:t>Table</w:t>
      </w:r>
      <w:r>
        <w:rPr>
          <w:spacing w:val="41"/>
        </w:rPr>
        <w:t> </w:t>
      </w:r>
      <w:r>
        <w:rPr/>
        <w:t>No</w:t>
      </w:r>
      <w:r>
        <w:rPr>
          <w:spacing w:val="44"/>
        </w:rPr>
        <w:t> </w:t>
      </w:r>
      <w:r>
        <w:rPr>
          <w:spacing w:val="-5"/>
        </w:rPr>
        <w:t>18</w:t>
      </w:r>
    </w:p>
    <w:p>
      <w:pPr>
        <w:pStyle w:val="ListParagraph"/>
        <w:numPr>
          <w:ilvl w:val="0"/>
          <w:numId w:val="290"/>
        </w:numPr>
        <w:tabs>
          <w:tab w:pos="2112" w:val="left" w:leader="none"/>
        </w:tabs>
        <w:spacing w:line="281" w:lineRule="exact" w:before="0" w:after="0"/>
        <w:ind w:left="2112" w:right="0" w:hanging="358"/>
        <w:jc w:val="left"/>
        <w:rPr>
          <w:b/>
          <w:sz w:val="24"/>
        </w:rPr>
      </w:pPr>
      <w:r>
        <w:rPr>
          <w:b/>
          <w:sz w:val="24"/>
        </w:rPr>
        <w:t>Front</w:t>
      </w:r>
      <w:r>
        <w:rPr>
          <w:b/>
          <w:spacing w:val="-2"/>
          <w:sz w:val="24"/>
        </w:rPr>
        <w:t> </w:t>
      </w:r>
      <w:r>
        <w:rPr>
          <w:b/>
          <w:sz w:val="24"/>
        </w:rPr>
        <w:t>set-back</w:t>
      </w:r>
      <w:r>
        <w:rPr>
          <w:b/>
          <w:spacing w:val="-2"/>
          <w:sz w:val="24"/>
        </w:rPr>
        <w:t> </w:t>
      </w:r>
      <w:r>
        <w:rPr>
          <w:b/>
          <w:sz w:val="24"/>
        </w:rPr>
        <w:t>from</w:t>
      </w:r>
      <w:r>
        <w:rPr>
          <w:b/>
          <w:spacing w:val="-2"/>
          <w:sz w:val="24"/>
        </w:rPr>
        <w:t> </w:t>
      </w:r>
      <w:r>
        <w:rPr>
          <w:b/>
          <w:sz w:val="24"/>
        </w:rPr>
        <w:t>Street</w:t>
      </w:r>
      <w:r>
        <w:rPr>
          <w:b/>
          <w:spacing w:val="-2"/>
          <w:sz w:val="24"/>
        </w:rPr>
        <w:t> </w:t>
      </w:r>
      <w:r>
        <w:rPr>
          <w:b/>
          <w:sz w:val="24"/>
        </w:rPr>
        <w:t>Line/Plot</w:t>
      </w:r>
      <w:r>
        <w:rPr>
          <w:b/>
          <w:spacing w:val="-2"/>
          <w:sz w:val="24"/>
        </w:rPr>
        <w:t> </w:t>
      </w:r>
      <w:r>
        <w:rPr>
          <w:b/>
          <w:sz w:val="24"/>
        </w:rPr>
        <w:t>Boundary</w:t>
      </w:r>
      <w:r>
        <w:rPr>
          <w:b/>
          <w:spacing w:val="-2"/>
          <w:sz w:val="24"/>
        </w:rPr>
        <w:t> </w:t>
      </w:r>
      <w:r>
        <w:rPr>
          <w:b/>
          <w:sz w:val="24"/>
        </w:rPr>
        <w:t>(in</w:t>
      </w:r>
      <w:r>
        <w:rPr>
          <w:b/>
          <w:spacing w:val="-1"/>
          <w:sz w:val="24"/>
        </w:rPr>
        <w:t> </w:t>
      </w:r>
      <w:r>
        <w:rPr>
          <w:b/>
          <w:spacing w:val="-2"/>
          <w:sz w:val="24"/>
        </w:rPr>
        <w:t>meters)</w:t>
      </w:r>
    </w:p>
    <w:p>
      <w:pPr>
        <w:pStyle w:val="BodyText"/>
        <w:spacing w:before="4" w:after="1"/>
        <w:jc w:val="left"/>
        <w:rPr>
          <w:b/>
          <w:sz w:val="20"/>
        </w:rPr>
      </w:pPr>
    </w:p>
    <w:tbl>
      <w:tblPr>
        <w:tblW w:w="0" w:type="auto"/>
        <w:jc w:val="left"/>
        <w:tblInd w:w="1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50"/>
        <w:gridCol w:w="4141"/>
        <w:gridCol w:w="1145"/>
        <w:gridCol w:w="1465"/>
        <w:gridCol w:w="1352"/>
      </w:tblGrid>
      <w:tr>
        <w:trPr>
          <w:trHeight w:val="1223" w:hRule="atLeast"/>
        </w:trPr>
        <w:tc>
          <w:tcPr>
            <w:tcW w:w="850" w:type="dxa"/>
            <w:shd w:val="clear" w:color="auto" w:fill="EDEBE0"/>
          </w:tcPr>
          <w:p>
            <w:pPr>
              <w:pStyle w:val="TableParagraph"/>
              <w:spacing w:before="97"/>
              <w:ind w:left="110" w:right="115"/>
              <w:rPr>
                <w:sz w:val="24"/>
              </w:rPr>
            </w:pPr>
            <w:r>
              <w:rPr>
                <w:spacing w:val="-2"/>
                <w:sz w:val="24"/>
              </w:rPr>
              <w:t>Seria </w:t>
            </w:r>
            <w:r>
              <w:rPr>
                <w:spacing w:val="-10"/>
                <w:sz w:val="24"/>
              </w:rPr>
              <w:t>l</w:t>
            </w:r>
          </w:p>
          <w:p>
            <w:pPr>
              <w:pStyle w:val="TableParagraph"/>
              <w:spacing w:line="280" w:lineRule="exact"/>
              <w:ind w:left="110"/>
              <w:rPr>
                <w:sz w:val="24"/>
              </w:rPr>
            </w:pPr>
            <w:r>
              <w:rPr>
                <w:spacing w:val="-5"/>
                <w:sz w:val="24"/>
              </w:rPr>
              <w:t>No.</w:t>
            </w:r>
          </w:p>
          <w:p>
            <w:pPr>
              <w:pStyle w:val="TableParagraph"/>
              <w:spacing w:line="261" w:lineRule="exact" w:before="2"/>
              <w:ind w:left="110"/>
              <w:rPr>
                <w:sz w:val="24"/>
              </w:rPr>
            </w:pPr>
            <w:r>
              <w:rPr>
                <w:spacing w:val="-5"/>
                <w:sz w:val="24"/>
              </w:rPr>
              <w:t>(1)</w:t>
            </w:r>
          </w:p>
        </w:tc>
        <w:tc>
          <w:tcPr>
            <w:tcW w:w="4141" w:type="dxa"/>
            <w:shd w:val="clear" w:color="auto" w:fill="EDEBE0"/>
          </w:tcPr>
          <w:p>
            <w:pPr>
              <w:pStyle w:val="TableParagraph"/>
              <w:spacing w:before="1"/>
              <w:ind w:left="107" w:right="1986"/>
              <w:rPr>
                <w:sz w:val="24"/>
              </w:rPr>
            </w:pPr>
            <w:r>
              <w:rPr>
                <w:sz w:val="24"/>
              </w:rPr>
              <w:t>Location</w:t>
            </w:r>
            <w:r>
              <w:rPr>
                <w:spacing w:val="-19"/>
                <w:sz w:val="24"/>
              </w:rPr>
              <w:t> </w:t>
            </w:r>
            <w:r>
              <w:rPr>
                <w:sz w:val="24"/>
              </w:rPr>
              <w:t>of</w:t>
            </w:r>
            <w:r>
              <w:rPr>
                <w:spacing w:val="-19"/>
                <w:sz w:val="24"/>
              </w:rPr>
              <w:t> </w:t>
            </w:r>
            <w:r>
              <w:rPr>
                <w:sz w:val="24"/>
              </w:rPr>
              <w:t>plot </w:t>
            </w:r>
            <w:r>
              <w:rPr>
                <w:spacing w:val="-4"/>
                <w:sz w:val="24"/>
              </w:rPr>
              <w:t>(2)</w:t>
            </w:r>
          </w:p>
        </w:tc>
        <w:tc>
          <w:tcPr>
            <w:tcW w:w="1145" w:type="dxa"/>
            <w:shd w:val="clear" w:color="auto" w:fill="EDEBE0"/>
          </w:tcPr>
          <w:p>
            <w:pPr>
              <w:pStyle w:val="TableParagraph"/>
              <w:spacing w:before="1"/>
              <w:ind w:left="107" w:right="94"/>
              <w:rPr>
                <w:sz w:val="24"/>
              </w:rPr>
            </w:pPr>
            <w:r>
              <w:rPr>
                <w:spacing w:val="-2"/>
                <w:sz w:val="24"/>
              </w:rPr>
              <w:t>Residen </w:t>
            </w:r>
            <w:r>
              <w:rPr>
                <w:spacing w:val="-4"/>
                <w:sz w:val="24"/>
              </w:rPr>
              <w:t>tial Zone</w:t>
            </w:r>
            <w:r>
              <w:rPr>
                <w:spacing w:val="80"/>
                <w:sz w:val="24"/>
              </w:rPr>
              <w:t> </w:t>
            </w:r>
            <w:r>
              <w:rPr>
                <w:spacing w:val="-4"/>
                <w:sz w:val="24"/>
              </w:rPr>
              <w:t>(3)</w:t>
            </w:r>
          </w:p>
        </w:tc>
        <w:tc>
          <w:tcPr>
            <w:tcW w:w="1465" w:type="dxa"/>
            <w:shd w:val="clear" w:color="auto" w:fill="EDEBE0"/>
          </w:tcPr>
          <w:p>
            <w:pPr>
              <w:pStyle w:val="TableParagraph"/>
              <w:spacing w:before="1"/>
              <w:ind w:left="107" w:right="148"/>
              <w:rPr>
                <w:sz w:val="24"/>
              </w:rPr>
            </w:pPr>
            <w:r>
              <w:rPr>
                <w:spacing w:val="-2"/>
                <w:sz w:val="24"/>
              </w:rPr>
              <w:t>Commerci </w:t>
            </w:r>
            <w:r>
              <w:rPr>
                <w:spacing w:val="-6"/>
                <w:sz w:val="24"/>
              </w:rPr>
              <w:t>al</w:t>
            </w:r>
          </w:p>
          <w:p>
            <w:pPr>
              <w:pStyle w:val="TableParagraph"/>
              <w:ind w:left="107" w:right="767"/>
              <w:rPr>
                <w:sz w:val="24"/>
              </w:rPr>
            </w:pPr>
            <w:r>
              <w:rPr>
                <w:spacing w:val="-4"/>
                <w:sz w:val="24"/>
              </w:rPr>
              <w:t>Zone (4)</w:t>
            </w:r>
          </w:p>
        </w:tc>
        <w:tc>
          <w:tcPr>
            <w:tcW w:w="1352" w:type="dxa"/>
            <w:shd w:val="clear" w:color="auto" w:fill="EDEBE0"/>
          </w:tcPr>
          <w:p>
            <w:pPr>
              <w:pStyle w:val="TableParagraph"/>
              <w:spacing w:before="1"/>
              <w:ind w:left="109" w:right="119"/>
              <w:rPr>
                <w:sz w:val="24"/>
              </w:rPr>
            </w:pPr>
            <w:r>
              <w:rPr>
                <w:spacing w:val="-2"/>
                <w:sz w:val="24"/>
              </w:rPr>
              <w:t>Industria </w:t>
            </w:r>
            <w:r>
              <w:rPr>
                <w:spacing w:val="-10"/>
                <w:sz w:val="24"/>
              </w:rPr>
              <w:t>l</w:t>
            </w:r>
          </w:p>
          <w:p>
            <w:pPr>
              <w:pStyle w:val="TableParagraph"/>
              <w:ind w:left="109" w:right="652"/>
              <w:rPr>
                <w:sz w:val="24"/>
              </w:rPr>
            </w:pPr>
            <w:r>
              <w:rPr>
                <w:spacing w:val="-4"/>
                <w:sz w:val="24"/>
              </w:rPr>
              <w:t>Zone (5)</w:t>
            </w:r>
          </w:p>
        </w:tc>
      </w:tr>
      <w:tr>
        <w:trPr>
          <w:trHeight w:val="563" w:hRule="atLeast"/>
        </w:trPr>
        <w:tc>
          <w:tcPr>
            <w:tcW w:w="850" w:type="dxa"/>
          </w:tcPr>
          <w:p>
            <w:pPr>
              <w:pStyle w:val="TableParagraph"/>
              <w:spacing w:before="95"/>
              <w:ind w:left="110"/>
              <w:rPr>
                <w:sz w:val="24"/>
              </w:rPr>
            </w:pPr>
            <w:r>
              <w:rPr>
                <w:spacing w:val="-10"/>
                <w:sz w:val="24"/>
              </w:rPr>
              <w:t>1</w:t>
            </w:r>
          </w:p>
        </w:tc>
        <w:tc>
          <w:tcPr>
            <w:tcW w:w="4141" w:type="dxa"/>
          </w:tcPr>
          <w:p>
            <w:pPr>
              <w:pStyle w:val="TableParagraph"/>
              <w:spacing w:line="281" w:lineRule="exact"/>
              <w:ind w:left="107"/>
              <w:rPr>
                <w:sz w:val="24"/>
              </w:rPr>
            </w:pPr>
            <w:r>
              <w:rPr>
                <w:sz w:val="24"/>
              </w:rPr>
              <w:t>On</w:t>
            </w:r>
            <w:r>
              <w:rPr>
                <w:spacing w:val="-1"/>
                <w:sz w:val="24"/>
              </w:rPr>
              <w:t> </w:t>
            </w:r>
            <w:r>
              <w:rPr>
                <w:sz w:val="24"/>
              </w:rPr>
              <w:t>express highways or </w:t>
            </w:r>
            <w:r>
              <w:rPr>
                <w:spacing w:val="-2"/>
                <w:sz w:val="24"/>
              </w:rPr>
              <w:t>roads</w:t>
            </w:r>
          </w:p>
          <w:p>
            <w:pPr>
              <w:pStyle w:val="TableParagraph"/>
              <w:spacing w:line="261" w:lineRule="exact" w:before="1"/>
              <w:ind w:left="107"/>
              <w:rPr>
                <w:sz w:val="24"/>
              </w:rPr>
            </w:pPr>
            <w:r>
              <w:rPr>
                <w:sz w:val="24"/>
              </w:rPr>
              <w:t>wider</w:t>
            </w:r>
            <w:r>
              <w:rPr>
                <w:spacing w:val="-2"/>
                <w:sz w:val="24"/>
              </w:rPr>
              <w:t> </w:t>
            </w:r>
            <w:r>
              <w:rPr>
                <w:sz w:val="24"/>
              </w:rPr>
              <w:t>than</w:t>
            </w:r>
            <w:r>
              <w:rPr>
                <w:spacing w:val="-1"/>
                <w:sz w:val="24"/>
              </w:rPr>
              <w:t> </w:t>
            </w:r>
            <w:r>
              <w:rPr>
                <w:sz w:val="24"/>
              </w:rPr>
              <w:t>52</w:t>
            </w:r>
            <w:r>
              <w:rPr>
                <w:spacing w:val="-1"/>
                <w:sz w:val="24"/>
              </w:rPr>
              <w:t> </w:t>
            </w:r>
            <w:r>
              <w:rPr>
                <w:spacing w:val="-10"/>
                <w:sz w:val="24"/>
              </w:rPr>
              <w:t>m</w:t>
            </w:r>
          </w:p>
        </w:tc>
        <w:tc>
          <w:tcPr>
            <w:tcW w:w="1145" w:type="dxa"/>
          </w:tcPr>
          <w:p>
            <w:pPr>
              <w:pStyle w:val="TableParagraph"/>
              <w:spacing w:line="281" w:lineRule="exact"/>
              <w:ind w:left="184"/>
              <w:rPr>
                <w:sz w:val="24"/>
              </w:rPr>
            </w:pPr>
            <w:r>
              <w:rPr>
                <w:spacing w:val="-5"/>
                <w:sz w:val="24"/>
              </w:rPr>
              <w:t>6.0</w:t>
            </w:r>
          </w:p>
        </w:tc>
        <w:tc>
          <w:tcPr>
            <w:tcW w:w="1465" w:type="dxa"/>
          </w:tcPr>
          <w:p>
            <w:pPr>
              <w:pStyle w:val="TableParagraph"/>
              <w:spacing w:line="281" w:lineRule="exact"/>
              <w:ind w:left="107"/>
              <w:rPr>
                <w:sz w:val="24"/>
              </w:rPr>
            </w:pPr>
            <w:r>
              <w:rPr>
                <w:spacing w:val="-5"/>
                <w:sz w:val="24"/>
              </w:rPr>
              <w:t>6.0</w:t>
            </w:r>
          </w:p>
        </w:tc>
        <w:tc>
          <w:tcPr>
            <w:tcW w:w="1352" w:type="dxa"/>
          </w:tcPr>
          <w:p>
            <w:pPr>
              <w:pStyle w:val="TableParagraph"/>
              <w:spacing w:line="281" w:lineRule="exact"/>
              <w:ind w:left="109"/>
              <w:rPr>
                <w:sz w:val="24"/>
              </w:rPr>
            </w:pPr>
            <w:r>
              <w:rPr>
                <w:spacing w:val="-4"/>
                <w:sz w:val="24"/>
              </w:rPr>
              <w:t>22.5</w:t>
            </w:r>
          </w:p>
        </w:tc>
      </w:tr>
      <w:tr>
        <w:trPr>
          <w:trHeight w:val="942" w:hRule="atLeast"/>
        </w:trPr>
        <w:tc>
          <w:tcPr>
            <w:tcW w:w="850" w:type="dxa"/>
          </w:tcPr>
          <w:p>
            <w:pPr>
              <w:pStyle w:val="TableParagraph"/>
              <w:spacing w:before="95"/>
              <w:ind w:left="110"/>
              <w:rPr>
                <w:sz w:val="24"/>
              </w:rPr>
            </w:pPr>
            <w:r>
              <w:rPr>
                <w:spacing w:val="-10"/>
                <w:sz w:val="24"/>
              </w:rPr>
              <w:t>2</w:t>
            </w:r>
          </w:p>
        </w:tc>
        <w:tc>
          <w:tcPr>
            <w:tcW w:w="4141" w:type="dxa"/>
          </w:tcPr>
          <w:p>
            <w:pPr>
              <w:pStyle w:val="TableParagraph"/>
              <w:spacing w:line="281" w:lineRule="exact"/>
              <w:ind w:left="107"/>
              <w:rPr>
                <w:sz w:val="24"/>
              </w:rPr>
            </w:pPr>
            <w:r>
              <w:rPr>
                <w:sz w:val="24"/>
              </w:rPr>
              <w:t>Areas</w:t>
            </w:r>
            <w:r>
              <w:rPr>
                <w:spacing w:val="-3"/>
                <w:sz w:val="24"/>
              </w:rPr>
              <w:t> </w:t>
            </w:r>
            <w:r>
              <w:rPr>
                <w:sz w:val="24"/>
              </w:rPr>
              <w:t>located</w:t>
            </w:r>
            <w:r>
              <w:rPr>
                <w:spacing w:val="-3"/>
                <w:sz w:val="24"/>
              </w:rPr>
              <w:t> </w:t>
            </w:r>
            <w:r>
              <w:rPr>
                <w:spacing w:val="-5"/>
                <w:sz w:val="24"/>
              </w:rPr>
              <w:t>in</w:t>
            </w:r>
          </w:p>
          <w:p>
            <w:pPr>
              <w:pStyle w:val="TableParagraph"/>
              <w:spacing w:line="281" w:lineRule="exact" w:before="2"/>
              <w:ind w:left="107"/>
              <w:rPr>
                <w:sz w:val="24"/>
              </w:rPr>
            </w:pPr>
            <w:r>
              <w:rPr>
                <w:sz w:val="24"/>
              </w:rPr>
              <w:t>-island</w:t>
            </w:r>
            <w:r>
              <w:rPr>
                <w:spacing w:val="-5"/>
                <w:sz w:val="24"/>
              </w:rPr>
              <w:t> </w:t>
            </w:r>
            <w:r>
              <w:rPr>
                <w:spacing w:val="-4"/>
                <w:sz w:val="24"/>
              </w:rPr>
              <w:t>city</w:t>
            </w:r>
          </w:p>
          <w:p>
            <w:pPr>
              <w:pStyle w:val="TableParagraph"/>
              <w:spacing w:line="281" w:lineRule="exact"/>
              <w:ind w:left="107"/>
              <w:rPr>
                <w:sz w:val="24"/>
              </w:rPr>
            </w:pPr>
            <w:r>
              <w:rPr>
                <w:sz w:val="24"/>
              </w:rPr>
              <w:t>-</w:t>
            </w:r>
            <w:r>
              <w:rPr>
                <w:spacing w:val="-2"/>
                <w:sz w:val="24"/>
              </w:rPr>
              <w:t>elsewhere</w:t>
            </w:r>
          </w:p>
        </w:tc>
        <w:tc>
          <w:tcPr>
            <w:tcW w:w="1145" w:type="dxa"/>
          </w:tcPr>
          <w:p>
            <w:pPr>
              <w:pStyle w:val="TableParagraph"/>
              <w:rPr>
                <w:b/>
                <w:sz w:val="24"/>
              </w:rPr>
            </w:pPr>
          </w:p>
          <w:p>
            <w:pPr>
              <w:pStyle w:val="TableParagraph"/>
              <w:spacing w:line="281" w:lineRule="exact" w:before="1"/>
              <w:ind w:left="107"/>
              <w:rPr>
                <w:sz w:val="24"/>
              </w:rPr>
            </w:pPr>
            <w:r>
              <w:rPr>
                <w:spacing w:val="-5"/>
                <w:sz w:val="24"/>
              </w:rPr>
              <w:t>3.0</w:t>
            </w:r>
          </w:p>
          <w:p>
            <w:pPr>
              <w:pStyle w:val="TableParagraph"/>
              <w:spacing w:line="281" w:lineRule="exact"/>
              <w:ind w:left="107"/>
              <w:rPr>
                <w:sz w:val="24"/>
              </w:rPr>
            </w:pPr>
            <w:r>
              <w:rPr>
                <w:spacing w:val="-5"/>
                <w:sz w:val="24"/>
              </w:rPr>
              <w:t>4.5</w:t>
            </w:r>
          </w:p>
        </w:tc>
        <w:tc>
          <w:tcPr>
            <w:tcW w:w="1465" w:type="dxa"/>
          </w:tcPr>
          <w:p>
            <w:pPr>
              <w:pStyle w:val="TableParagraph"/>
              <w:rPr>
                <w:b/>
                <w:sz w:val="24"/>
              </w:rPr>
            </w:pPr>
          </w:p>
          <w:p>
            <w:pPr>
              <w:pStyle w:val="TableParagraph"/>
              <w:spacing w:line="281" w:lineRule="exact" w:before="1"/>
              <w:ind w:left="107"/>
              <w:rPr>
                <w:sz w:val="24"/>
              </w:rPr>
            </w:pPr>
            <w:r>
              <w:rPr>
                <w:spacing w:val="-5"/>
                <w:sz w:val="24"/>
              </w:rPr>
              <w:t>4.5</w:t>
            </w:r>
          </w:p>
          <w:p>
            <w:pPr>
              <w:pStyle w:val="TableParagraph"/>
              <w:spacing w:line="281" w:lineRule="exact"/>
              <w:ind w:left="107"/>
              <w:rPr>
                <w:sz w:val="24"/>
              </w:rPr>
            </w:pPr>
            <w:r>
              <w:rPr>
                <w:spacing w:val="-5"/>
                <w:sz w:val="24"/>
              </w:rPr>
              <w:t>4.5</w:t>
            </w:r>
          </w:p>
        </w:tc>
        <w:tc>
          <w:tcPr>
            <w:tcW w:w="1352" w:type="dxa"/>
          </w:tcPr>
          <w:p>
            <w:pPr>
              <w:pStyle w:val="TableParagraph"/>
              <w:rPr>
                <w:b/>
                <w:sz w:val="24"/>
              </w:rPr>
            </w:pPr>
          </w:p>
          <w:p>
            <w:pPr>
              <w:pStyle w:val="TableParagraph"/>
              <w:spacing w:line="281" w:lineRule="exact" w:before="1"/>
              <w:ind w:left="109"/>
              <w:rPr>
                <w:sz w:val="24"/>
              </w:rPr>
            </w:pPr>
            <w:r>
              <w:rPr>
                <w:spacing w:val="-5"/>
                <w:sz w:val="24"/>
              </w:rPr>
              <w:t>**</w:t>
            </w:r>
          </w:p>
          <w:p>
            <w:pPr>
              <w:pStyle w:val="TableParagraph"/>
              <w:spacing w:line="281" w:lineRule="exact"/>
              <w:ind w:left="109"/>
              <w:rPr>
                <w:sz w:val="24"/>
              </w:rPr>
            </w:pPr>
            <w:r>
              <w:rPr>
                <w:spacing w:val="-5"/>
                <w:sz w:val="24"/>
              </w:rPr>
              <w:t>**</w:t>
            </w:r>
          </w:p>
        </w:tc>
      </w:tr>
      <w:tr>
        <w:trPr>
          <w:trHeight w:val="940" w:hRule="atLeast"/>
        </w:trPr>
        <w:tc>
          <w:tcPr>
            <w:tcW w:w="850" w:type="dxa"/>
          </w:tcPr>
          <w:p>
            <w:pPr>
              <w:pStyle w:val="TableParagraph"/>
              <w:spacing w:before="95"/>
              <w:ind w:left="110"/>
              <w:rPr>
                <w:sz w:val="24"/>
              </w:rPr>
            </w:pPr>
            <w:r>
              <w:rPr>
                <w:spacing w:val="-10"/>
                <w:sz w:val="24"/>
              </w:rPr>
              <w:t>3</w:t>
            </w:r>
          </w:p>
        </w:tc>
        <w:tc>
          <w:tcPr>
            <w:tcW w:w="4141" w:type="dxa"/>
          </w:tcPr>
          <w:p>
            <w:pPr>
              <w:pStyle w:val="TableParagraph"/>
              <w:spacing w:line="280" w:lineRule="exact"/>
              <w:ind w:left="107"/>
              <w:rPr>
                <w:sz w:val="24"/>
              </w:rPr>
            </w:pPr>
            <w:r>
              <w:rPr>
                <w:sz w:val="24"/>
              </w:rPr>
              <w:t>Away from </w:t>
            </w:r>
            <w:r>
              <w:rPr>
                <w:spacing w:val="-4"/>
                <w:sz w:val="24"/>
              </w:rPr>
              <w:t>road-</w:t>
            </w:r>
          </w:p>
          <w:p>
            <w:pPr>
              <w:pStyle w:val="TableParagraph"/>
              <w:spacing w:line="281" w:lineRule="exact"/>
              <w:ind w:left="107"/>
              <w:rPr>
                <w:sz w:val="24"/>
              </w:rPr>
            </w:pPr>
            <w:r>
              <w:rPr>
                <w:sz w:val="24"/>
              </w:rPr>
              <w:t>-island</w:t>
            </w:r>
            <w:r>
              <w:rPr>
                <w:spacing w:val="-5"/>
                <w:sz w:val="24"/>
              </w:rPr>
              <w:t> </w:t>
            </w:r>
            <w:r>
              <w:rPr>
                <w:spacing w:val="-4"/>
                <w:sz w:val="24"/>
              </w:rPr>
              <w:t>city</w:t>
            </w:r>
          </w:p>
          <w:p>
            <w:pPr>
              <w:pStyle w:val="TableParagraph"/>
              <w:spacing w:before="1"/>
              <w:ind w:left="107"/>
              <w:rPr>
                <w:sz w:val="24"/>
              </w:rPr>
            </w:pPr>
            <w:r>
              <w:rPr>
                <w:sz w:val="24"/>
              </w:rPr>
              <w:t>-</w:t>
            </w:r>
            <w:r>
              <w:rPr>
                <w:spacing w:val="-2"/>
                <w:sz w:val="24"/>
              </w:rPr>
              <w:t>elsewhere</w:t>
            </w:r>
          </w:p>
        </w:tc>
        <w:tc>
          <w:tcPr>
            <w:tcW w:w="1145" w:type="dxa"/>
          </w:tcPr>
          <w:p>
            <w:pPr>
              <w:pStyle w:val="TableParagraph"/>
              <w:spacing w:before="280"/>
              <w:ind w:left="107"/>
              <w:rPr>
                <w:sz w:val="24"/>
              </w:rPr>
            </w:pPr>
            <w:r>
              <w:rPr>
                <w:spacing w:val="-5"/>
                <w:sz w:val="24"/>
              </w:rPr>
              <w:t>4.5</w:t>
            </w:r>
          </w:p>
          <w:p>
            <w:pPr>
              <w:pStyle w:val="TableParagraph"/>
              <w:spacing w:before="1"/>
              <w:ind w:left="107"/>
              <w:rPr>
                <w:sz w:val="24"/>
              </w:rPr>
            </w:pPr>
            <w:r>
              <w:rPr>
                <w:spacing w:val="-5"/>
                <w:sz w:val="24"/>
              </w:rPr>
              <w:t>4.5</w:t>
            </w:r>
          </w:p>
        </w:tc>
        <w:tc>
          <w:tcPr>
            <w:tcW w:w="1465" w:type="dxa"/>
          </w:tcPr>
          <w:p>
            <w:pPr>
              <w:pStyle w:val="TableParagraph"/>
              <w:spacing w:before="280"/>
              <w:ind w:left="107"/>
              <w:rPr>
                <w:sz w:val="24"/>
              </w:rPr>
            </w:pPr>
            <w:r>
              <w:rPr>
                <w:spacing w:val="-5"/>
                <w:sz w:val="24"/>
              </w:rPr>
              <w:t>4.5</w:t>
            </w:r>
          </w:p>
          <w:p>
            <w:pPr>
              <w:pStyle w:val="TableParagraph"/>
              <w:spacing w:before="1"/>
              <w:ind w:left="107"/>
              <w:rPr>
                <w:sz w:val="24"/>
              </w:rPr>
            </w:pPr>
            <w:r>
              <w:rPr>
                <w:spacing w:val="-5"/>
                <w:sz w:val="24"/>
              </w:rPr>
              <w:t>4.5</w:t>
            </w:r>
          </w:p>
        </w:tc>
        <w:tc>
          <w:tcPr>
            <w:tcW w:w="1352" w:type="dxa"/>
          </w:tcPr>
          <w:p>
            <w:pPr>
              <w:pStyle w:val="TableParagraph"/>
              <w:spacing w:before="280"/>
              <w:ind w:left="109"/>
              <w:rPr>
                <w:sz w:val="24"/>
              </w:rPr>
            </w:pPr>
            <w:r>
              <w:rPr>
                <w:spacing w:val="-5"/>
                <w:sz w:val="24"/>
              </w:rPr>
              <w:t>4.5</w:t>
            </w:r>
          </w:p>
          <w:p>
            <w:pPr>
              <w:pStyle w:val="TableParagraph"/>
              <w:spacing w:before="1"/>
              <w:ind w:left="109"/>
              <w:rPr>
                <w:sz w:val="24"/>
              </w:rPr>
            </w:pPr>
            <w:r>
              <w:rPr>
                <w:spacing w:val="-5"/>
                <w:sz w:val="24"/>
              </w:rPr>
              <w:t>6.0</w:t>
            </w:r>
          </w:p>
        </w:tc>
      </w:tr>
      <w:tr>
        <w:trPr>
          <w:trHeight w:val="2253" w:hRule="atLeast"/>
        </w:trPr>
        <w:tc>
          <w:tcPr>
            <w:tcW w:w="850" w:type="dxa"/>
          </w:tcPr>
          <w:p>
            <w:pPr>
              <w:pStyle w:val="TableParagraph"/>
              <w:spacing w:before="95"/>
              <w:ind w:left="110"/>
              <w:rPr>
                <w:sz w:val="24"/>
              </w:rPr>
            </w:pPr>
            <w:r>
              <w:rPr>
                <w:spacing w:val="-10"/>
                <w:sz w:val="24"/>
              </w:rPr>
              <w:t>4</w:t>
            </w:r>
          </w:p>
        </w:tc>
        <w:tc>
          <w:tcPr>
            <w:tcW w:w="4141" w:type="dxa"/>
          </w:tcPr>
          <w:p>
            <w:pPr>
              <w:pStyle w:val="TableParagraph"/>
              <w:ind w:left="107"/>
              <w:rPr>
                <w:sz w:val="24"/>
              </w:rPr>
            </w:pPr>
            <w:r>
              <w:rPr>
                <w:sz w:val="24"/>
              </w:rPr>
              <w:t>For plots in </w:t>
            </w:r>
            <w:r>
              <w:rPr>
                <w:spacing w:val="-2"/>
                <w:sz w:val="24"/>
              </w:rPr>
              <w:t>gaothans/Koliwadas/Adiwasipad </w:t>
            </w:r>
            <w:r>
              <w:rPr>
                <w:sz w:val="24"/>
              </w:rPr>
              <w:t>a, in suburbs extended suburbs smaller than 250 sq. m.</w:t>
            </w:r>
          </w:p>
          <w:p>
            <w:pPr>
              <w:pStyle w:val="TableParagraph"/>
              <w:numPr>
                <w:ilvl w:val="0"/>
                <w:numId w:val="291"/>
              </w:numPr>
              <w:tabs>
                <w:tab w:pos="327" w:val="left" w:leader="none"/>
              </w:tabs>
              <w:spacing w:line="281" w:lineRule="exact" w:before="0" w:after="0"/>
              <w:ind w:left="327" w:right="0" w:hanging="220"/>
              <w:jc w:val="left"/>
              <w:rPr>
                <w:sz w:val="24"/>
              </w:rPr>
            </w:pPr>
            <w:r>
              <w:rPr>
                <w:sz w:val="24"/>
              </w:rPr>
              <w:t>streets</w:t>
            </w:r>
            <w:r>
              <w:rPr>
                <w:spacing w:val="-3"/>
                <w:sz w:val="24"/>
              </w:rPr>
              <w:t> </w:t>
            </w:r>
            <w:r>
              <w:rPr>
                <w:sz w:val="24"/>
              </w:rPr>
              <w:t>less</w:t>
            </w:r>
            <w:r>
              <w:rPr>
                <w:spacing w:val="-1"/>
                <w:sz w:val="24"/>
              </w:rPr>
              <w:t> </w:t>
            </w:r>
            <w:r>
              <w:rPr>
                <w:sz w:val="24"/>
              </w:rPr>
              <w:t>than</w:t>
            </w:r>
            <w:r>
              <w:rPr>
                <w:spacing w:val="-1"/>
                <w:sz w:val="24"/>
              </w:rPr>
              <w:t> </w:t>
            </w:r>
            <w:r>
              <w:rPr>
                <w:sz w:val="24"/>
              </w:rPr>
              <w:t>6 </w:t>
            </w:r>
            <w:r>
              <w:rPr>
                <w:spacing w:val="-10"/>
                <w:sz w:val="24"/>
              </w:rPr>
              <w:t>m</w:t>
            </w:r>
          </w:p>
          <w:p>
            <w:pPr>
              <w:pStyle w:val="TableParagraph"/>
              <w:numPr>
                <w:ilvl w:val="0"/>
                <w:numId w:val="291"/>
              </w:numPr>
              <w:tabs>
                <w:tab w:pos="322" w:val="left" w:leader="none"/>
              </w:tabs>
              <w:spacing w:line="240" w:lineRule="auto" w:before="0" w:after="0"/>
              <w:ind w:left="107" w:right="325" w:firstLine="0"/>
              <w:jc w:val="left"/>
              <w:rPr>
                <w:sz w:val="24"/>
              </w:rPr>
            </w:pPr>
            <w:r>
              <w:rPr>
                <w:sz w:val="24"/>
              </w:rPr>
              <w:t>streets</w:t>
            </w:r>
            <w:r>
              <w:rPr>
                <w:spacing w:val="-8"/>
                <w:sz w:val="24"/>
              </w:rPr>
              <w:t> </w:t>
            </w:r>
            <w:r>
              <w:rPr>
                <w:sz w:val="24"/>
              </w:rPr>
              <w:t>6m</w:t>
            </w:r>
            <w:r>
              <w:rPr>
                <w:spacing w:val="-8"/>
                <w:sz w:val="24"/>
              </w:rPr>
              <w:t> </w:t>
            </w:r>
            <w:r>
              <w:rPr>
                <w:sz w:val="24"/>
              </w:rPr>
              <w:t>and</w:t>
            </w:r>
            <w:r>
              <w:rPr>
                <w:spacing w:val="-8"/>
                <w:sz w:val="24"/>
              </w:rPr>
              <w:t> </w:t>
            </w:r>
            <w:r>
              <w:rPr>
                <w:sz w:val="24"/>
              </w:rPr>
              <w:t>more</w:t>
            </w:r>
            <w:r>
              <w:rPr>
                <w:spacing w:val="-8"/>
                <w:sz w:val="24"/>
              </w:rPr>
              <w:t> </w:t>
            </w:r>
            <w:r>
              <w:rPr>
                <w:sz w:val="24"/>
              </w:rPr>
              <w:t>and</w:t>
            </w:r>
            <w:r>
              <w:rPr>
                <w:spacing w:val="-8"/>
                <w:sz w:val="24"/>
              </w:rPr>
              <w:t> </w:t>
            </w:r>
            <w:r>
              <w:rPr>
                <w:sz w:val="24"/>
              </w:rPr>
              <w:t>less than 9m</w:t>
            </w:r>
          </w:p>
          <w:p>
            <w:pPr>
              <w:pStyle w:val="TableParagraph"/>
              <w:numPr>
                <w:ilvl w:val="0"/>
                <w:numId w:val="291"/>
              </w:numPr>
              <w:tabs>
                <w:tab w:pos="394" w:val="left" w:leader="none"/>
              </w:tabs>
              <w:spacing w:line="261" w:lineRule="exact" w:before="1" w:after="0"/>
              <w:ind w:left="394" w:right="0" w:hanging="287"/>
              <w:jc w:val="left"/>
              <w:rPr>
                <w:sz w:val="24"/>
              </w:rPr>
            </w:pPr>
            <w:r>
              <w:rPr>
                <w:sz w:val="24"/>
              </w:rPr>
              <w:t>streets</w:t>
            </w:r>
            <w:r>
              <w:rPr>
                <w:spacing w:val="-1"/>
                <w:sz w:val="24"/>
              </w:rPr>
              <w:t> </w:t>
            </w:r>
            <w:r>
              <w:rPr>
                <w:sz w:val="24"/>
              </w:rPr>
              <w:t>9m</w:t>
            </w:r>
            <w:r>
              <w:rPr>
                <w:spacing w:val="-1"/>
                <w:sz w:val="24"/>
              </w:rPr>
              <w:t> </w:t>
            </w:r>
            <w:r>
              <w:rPr>
                <w:sz w:val="24"/>
              </w:rPr>
              <w:t>and </w:t>
            </w:r>
            <w:r>
              <w:rPr>
                <w:spacing w:val="-4"/>
                <w:sz w:val="24"/>
              </w:rPr>
              <w:t>more</w:t>
            </w:r>
          </w:p>
        </w:tc>
        <w:tc>
          <w:tcPr>
            <w:tcW w:w="1145"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ind w:left="107" w:right="611"/>
              <w:rPr>
                <w:sz w:val="24"/>
              </w:rPr>
            </w:pPr>
            <w:r>
              <w:rPr>
                <w:spacing w:val="-4"/>
                <w:sz w:val="24"/>
              </w:rPr>
              <w:t>NIL </w:t>
            </w:r>
            <w:r>
              <w:rPr>
                <w:spacing w:val="-10"/>
                <w:sz w:val="24"/>
              </w:rPr>
              <w:t>1</w:t>
            </w:r>
          </w:p>
          <w:p>
            <w:pPr>
              <w:pStyle w:val="TableParagraph"/>
              <w:spacing w:line="280" w:lineRule="exact"/>
              <w:ind w:left="107"/>
              <w:rPr>
                <w:sz w:val="24"/>
              </w:rPr>
            </w:pPr>
            <w:r>
              <w:rPr>
                <w:spacing w:val="-5"/>
                <w:sz w:val="24"/>
              </w:rPr>
              <w:t>1.5</w:t>
            </w:r>
          </w:p>
        </w:tc>
        <w:tc>
          <w:tcPr>
            <w:tcW w:w="1465"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line="281" w:lineRule="exact"/>
              <w:ind w:left="107"/>
              <w:rPr>
                <w:sz w:val="24"/>
              </w:rPr>
            </w:pPr>
            <w:r>
              <w:rPr>
                <w:spacing w:val="-4"/>
                <w:sz w:val="24"/>
              </w:rPr>
              <w:t>N.A.</w:t>
            </w:r>
          </w:p>
          <w:p>
            <w:pPr>
              <w:pStyle w:val="TableParagraph"/>
              <w:spacing w:line="281" w:lineRule="exact"/>
              <w:ind w:left="107"/>
              <w:rPr>
                <w:sz w:val="24"/>
              </w:rPr>
            </w:pPr>
            <w:r>
              <w:rPr>
                <w:spacing w:val="-4"/>
                <w:sz w:val="24"/>
              </w:rPr>
              <w:t>N.A.</w:t>
            </w:r>
          </w:p>
          <w:p>
            <w:pPr>
              <w:pStyle w:val="TableParagraph"/>
              <w:spacing w:line="281" w:lineRule="exact"/>
              <w:ind w:left="107"/>
              <w:rPr>
                <w:sz w:val="24"/>
              </w:rPr>
            </w:pPr>
            <w:r>
              <w:rPr>
                <w:spacing w:val="-4"/>
                <w:sz w:val="24"/>
              </w:rPr>
              <w:t>N.A.</w:t>
            </w:r>
          </w:p>
        </w:tc>
        <w:tc>
          <w:tcPr>
            <w:tcW w:w="135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line="281" w:lineRule="exact"/>
              <w:ind w:left="109"/>
              <w:rPr>
                <w:sz w:val="24"/>
              </w:rPr>
            </w:pPr>
            <w:r>
              <w:rPr>
                <w:spacing w:val="-4"/>
                <w:sz w:val="24"/>
              </w:rPr>
              <w:t>N.A.</w:t>
            </w:r>
          </w:p>
          <w:p>
            <w:pPr>
              <w:pStyle w:val="TableParagraph"/>
              <w:spacing w:line="281" w:lineRule="exact"/>
              <w:ind w:left="109"/>
              <w:rPr>
                <w:sz w:val="24"/>
              </w:rPr>
            </w:pPr>
            <w:r>
              <w:rPr>
                <w:spacing w:val="-4"/>
                <w:sz w:val="24"/>
              </w:rPr>
              <w:t>N.A.</w:t>
            </w:r>
          </w:p>
          <w:p>
            <w:pPr>
              <w:pStyle w:val="TableParagraph"/>
              <w:spacing w:line="281" w:lineRule="exact"/>
              <w:ind w:left="109"/>
              <w:rPr>
                <w:sz w:val="24"/>
              </w:rPr>
            </w:pPr>
            <w:r>
              <w:rPr>
                <w:spacing w:val="-4"/>
                <w:sz w:val="24"/>
              </w:rPr>
              <w:t>N.A.</w:t>
            </w:r>
          </w:p>
        </w:tc>
      </w:tr>
      <w:tr>
        <w:trPr>
          <w:trHeight w:val="942" w:hRule="atLeast"/>
        </w:trPr>
        <w:tc>
          <w:tcPr>
            <w:tcW w:w="850" w:type="dxa"/>
          </w:tcPr>
          <w:p>
            <w:pPr>
              <w:pStyle w:val="TableParagraph"/>
              <w:spacing w:before="95"/>
              <w:ind w:left="110"/>
              <w:rPr>
                <w:sz w:val="24"/>
              </w:rPr>
            </w:pPr>
            <w:r>
              <w:rPr>
                <w:spacing w:val="-10"/>
                <w:sz w:val="24"/>
              </w:rPr>
              <w:t>5</w:t>
            </w:r>
          </w:p>
        </w:tc>
        <w:tc>
          <w:tcPr>
            <w:tcW w:w="4141" w:type="dxa"/>
          </w:tcPr>
          <w:p>
            <w:pPr>
              <w:pStyle w:val="TableParagraph"/>
              <w:ind w:left="107" w:right="241"/>
              <w:rPr>
                <w:sz w:val="24"/>
              </w:rPr>
            </w:pPr>
            <w:r>
              <w:rPr>
                <w:sz w:val="24"/>
              </w:rPr>
              <w:t>On</w:t>
            </w:r>
            <w:r>
              <w:rPr>
                <w:spacing w:val="-10"/>
                <w:sz w:val="24"/>
              </w:rPr>
              <w:t> </w:t>
            </w:r>
            <w:r>
              <w:rPr>
                <w:sz w:val="24"/>
              </w:rPr>
              <w:t>island</w:t>
            </w:r>
            <w:r>
              <w:rPr>
                <w:spacing w:val="-10"/>
                <w:sz w:val="24"/>
              </w:rPr>
              <w:t> </w:t>
            </w:r>
            <w:r>
              <w:rPr>
                <w:sz w:val="24"/>
              </w:rPr>
              <w:t>city</w:t>
            </w:r>
            <w:r>
              <w:rPr>
                <w:spacing w:val="-10"/>
                <w:sz w:val="24"/>
              </w:rPr>
              <w:t> </w:t>
            </w:r>
            <w:r>
              <w:rPr>
                <w:sz w:val="24"/>
              </w:rPr>
              <w:t>roads</w:t>
            </w:r>
            <w:r>
              <w:rPr>
                <w:spacing w:val="-10"/>
                <w:sz w:val="24"/>
              </w:rPr>
              <w:t> </w:t>
            </w:r>
            <w:r>
              <w:rPr>
                <w:sz w:val="24"/>
              </w:rPr>
              <w:t>listed </w:t>
            </w:r>
            <w:r>
              <w:rPr>
                <w:spacing w:val="-2"/>
                <w:sz w:val="24"/>
              </w:rPr>
              <w:t>below*</w:t>
            </w:r>
          </w:p>
        </w:tc>
        <w:tc>
          <w:tcPr>
            <w:tcW w:w="1145" w:type="dxa"/>
          </w:tcPr>
          <w:p>
            <w:pPr>
              <w:pStyle w:val="TableParagraph"/>
              <w:spacing w:line="281" w:lineRule="exact"/>
              <w:ind w:left="107"/>
              <w:rPr>
                <w:sz w:val="24"/>
              </w:rPr>
            </w:pPr>
            <w:r>
              <w:rPr>
                <w:spacing w:val="-5"/>
                <w:sz w:val="24"/>
              </w:rPr>
              <w:t>4.5</w:t>
            </w:r>
          </w:p>
        </w:tc>
        <w:tc>
          <w:tcPr>
            <w:tcW w:w="1465" w:type="dxa"/>
          </w:tcPr>
          <w:p>
            <w:pPr>
              <w:pStyle w:val="TableParagraph"/>
              <w:spacing w:line="281" w:lineRule="exact"/>
              <w:ind w:left="107"/>
              <w:rPr>
                <w:sz w:val="24"/>
              </w:rPr>
            </w:pPr>
            <w:r>
              <w:rPr>
                <w:spacing w:val="-5"/>
                <w:sz w:val="24"/>
              </w:rPr>
              <w:t>4.5</w:t>
            </w:r>
          </w:p>
        </w:tc>
        <w:tc>
          <w:tcPr>
            <w:tcW w:w="1352" w:type="dxa"/>
          </w:tcPr>
          <w:p>
            <w:pPr>
              <w:pStyle w:val="TableParagraph"/>
              <w:ind w:left="109" w:right="119"/>
              <w:rPr>
                <w:sz w:val="24"/>
              </w:rPr>
            </w:pPr>
            <w:r>
              <w:rPr>
                <w:spacing w:val="-4"/>
                <w:sz w:val="24"/>
              </w:rPr>
              <w:t>Not </w:t>
            </w:r>
            <w:r>
              <w:rPr>
                <w:spacing w:val="-2"/>
                <w:sz w:val="24"/>
              </w:rPr>
              <w:t>applicabl </w:t>
            </w:r>
            <w:r>
              <w:rPr>
                <w:spacing w:val="-10"/>
                <w:sz w:val="24"/>
              </w:rPr>
              <w:t>e</w:t>
            </w:r>
          </w:p>
        </w:tc>
      </w:tr>
    </w:tbl>
    <w:p>
      <w:pPr>
        <w:pStyle w:val="BodyText"/>
        <w:spacing w:line="281" w:lineRule="exact" w:before="2"/>
        <w:ind w:left="1313"/>
      </w:pPr>
      <w:r>
        <w:rPr/>
        <w:t>**</w:t>
      </w:r>
      <w:r>
        <w:rPr>
          <w:spacing w:val="52"/>
        </w:rPr>
        <w:t> </w:t>
      </w:r>
      <w:r>
        <w:rPr/>
        <w:t>Refer</w:t>
      </w:r>
      <w:r>
        <w:rPr>
          <w:spacing w:val="58"/>
        </w:rPr>
        <w:t> </w:t>
      </w:r>
      <w:r>
        <w:rPr/>
        <w:t>to</w:t>
      </w:r>
      <w:r>
        <w:rPr>
          <w:spacing w:val="54"/>
        </w:rPr>
        <w:t> </w:t>
      </w:r>
      <w:r>
        <w:rPr>
          <w:spacing w:val="10"/>
        </w:rPr>
        <w:t>sub-</w:t>
      </w:r>
      <w:r>
        <w:rPr/>
        <w:t>Regulations</w:t>
      </w:r>
      <w:r>
        <w:rPr>
          <w:spacing w:val="61"/>
        </w:rPr>
        <w:t> </w:t>
      </w:r>
      <w:r>
        <w:rPr/>
        <w:t>41(2)</w:t>
      </w:r>
      <w:r>
        <w:rPr>
          <w:spacing w:val="59"/>
        </w:rPr>
        <w:t> </w:t>
      </w:r>
      <w:r>
        <w:rPr/>
        <w:t>(ii)of</w:t>
      </w:r>
      <w:r>
        <w:rPr>
          <w:spacing w:val="58"/>
        </w:rPr>
        <w:t> </w:t>
      </w:r>
      <w:r>
        <w:rPr/>
        <w:t>this</w:t>
      </w:r>
      <w:r>
        <w:rPr>
          <w:spacing w:val="54"/>
        </w:rPr>
        <w:t> </w:t>
      </w:r>
      <w:r>
        <w:rPr>
          <w:spacing w:val="-2"/>
        </w:rPr>
        <w:t>Regulations.</w:t>
      </w:r>
    </w:p>
    <w:p>
      <w:pPr>
        <w:pStyle w:val="BodyText"/>
        <w:ind w:left="1313" w:right="775"/>
      </w:pPr>
      <w:r>
        <w:rPr/>
        <w:t>*GopalraoDeshmukh Marg (Pedder Road), Bhulabhai Desai Road, BabasahebDahanukar Marg (Carmichael Road), Salebhoy </w:t>
      </w:r>
      <w:r>
        <w:rPr>
          <w:spacing w:val="9"/>
        </w:rPr>
        <w:t>Karim </w:t>
      </w:r>
      <w:r>
        <w:rPr/>
        <w:t>Barodawalla</w:t>
      </w:r>
      <w:r>
        <w:rPr>
          <w:spacing w:val="72"/>
        </w:rPr>
        <w:t> </w:t>
      </w:r>
      <w:r>
        <w:rPr/>
        <w:t>Marg</w:t>
      </w:r>
      <w:r>
        <w:rPr>
          <w:spacing w:val="72"/>
        </w:rPr>
        <w:t> </w:t>
      </w:r>
      <w:r>
        <w:rPr/>
        <w:t>(Altamount</w:t>
      </w:r>
      <w:r>
        <w:rPr>
          <w:spacing w:val="72"/>
        </w:rPr>
        <w:t> </w:t>
      </w:r>
      <w:r>
        <w:rPr/>
        <w:t>Road),</w:t>
      </w:r>
      <w:r>
        <w:rPr>
          <w:spacing w:val="77"/>
        </w:rPr>
        <w:t> </w:t>
      </w:r>
      <w:r>
        <w:rPr/>
        <w:t>Gamadia</w:t>
      </w:r>
      <w:r>
        <w:rPr>
          <w:spacing w:val="77"/>
        </w:rPr>
        <w:t> </w:t>
      </w:r>
      <w:r>
        <w:rPr/>
        <w:t>Road</w:t>
      </w:r>
      <w:r>
        <w:rPr>
          <w:spacing w:val="72"/>
        </w:rPr>
        <w:t> </w:t>
      </w:r>
      <w:r>
        <w:rPr/>
        <w:t>(Walkeshwar</w:t>
      </w:r>
      <w:r>
        <w:rPr>
          <w:spacing w:val="77"/>
        </w:rPr>
        <w:t> </w:t>
      </w:r>
      <w:r>
        <w:rPr/>
        <w:t>Road),</w:t>
      </w:r>
    </w:p>
    <w:p>
      <w:pPr>
        <w:pStyle w:val="BodyText"/>
        <w:spacing w:after="0"/>
        <w:sectPr>
          <w:pgSz w:w="11910" w:h="16840"/>
          <w:pgMar w:header="1058" w:footer="1201" w:top="1500" w:bottom="1400" w:left="360" w:right="360"/>
        </w:sectPr>
      </w:pPr>
    </w:p>
    <w:p>
      <w:pPr>
        <w:pStyle w:val="BodyText"/>
        <w:spacing w:before="255"/>
        <w:ind w:left="1313" w:right="775"/>
      </w:pPr>
      <w:r>
        <w:rPr/>
        <w:t>Bal GangadharKher Marg (Ridge Road), LaxmibaiJagmohandas Marg</w:t>
      </w:r>
      <w:r>
        <w:rPr>
          <w:spacing w:val="40"/>
        </w:rPr>
        <w:t> </w:t>
      </w:r>
      <w:r>
        <w:rPr/>
        <w:t>(Nepean Sea Road), NyayamurtiSitaramPatkar Marg (Hughes </w:t>
      </w:r>
      <w:r>
        <w:rPr>
          <w:spacing w:val="9"/>
        </w:rPr>
        <w:t>Road), </w:t>
      </w:r>
      <w:r>
        <w:rPr/>
        <w:t>Chowpatty</w:t>
      </w:r>
      <w:r>
        <w:rPr>
          <w:spacing w:val="80"/>
        </w:rPr>
        <w:t> </w:t>
      </w:r>
      <w:r>
        <w:rPr>
          <w:spacing w:val="9"/>
        </w:rPr>
        <w:t>Sea-</w:t>
      </w:r>
      <w:r>
        <w:rPr/>
        <w:t>Face</w:t>
      </w:r>
      <w:r>
        <w:rPr>
          <w:spacing w:val="80"/>
        </w:rPr>
        <w:t> </w:t>
      </w:r>
      <w:r>
        <w:rPr/>
        <w:t>Road,</w:t>
      </w:r>
      <w:r>
        <w:rPr>
          <w:spacing w:val="80"/>
        </w:rPr>
        <w:t> </w:t>
      </w:r>
      <w:r>
        <w:rPr/>
        <w:t>LalaLajpatrai</w:t>
      </w:r>
      <w:r>
        <w:rPr>
          <w:spacing w:val="80"/>
        </w:rPr>
        <w:t> </w:t>
      </w:r>
      <w:r>
        <w:rPr/>
        <w:t>Marg</w:t>
      </w:r>
      <w:r>
        <w:rPr>
          <w:spacing w:val="80"/>
        </w:rPr>
        <w:t> </w:t>
      </w:r>
      <w:r>
        <w:rPr/>
        <w:t>(Hornby</w:t>
      </w:r>
      <w:r>
        <w:rPr>
          <w:spacing w:val="80"/>
        </w:rPr>
        <w:t> </w:t>
      </w:r>
      <w:r>
        <w:rPr/>
        <w:t>Vellard),</w:t>
      </w:r>
      <w:r>
        <w:rPr>
          <w:spacing w:val="80"/>
        </w:rPr>
        <w:t> </w:t>
      </w:r>
      <w:r>
        <w:rPr/>
        <w:t>Dr. Annie Besant Road, Maulana Abdul Kalam Azad Road, Swatantrya Veer Sawarkar Marg (Cadell Road), SenapatiBapat Marg, Dr. Ambedkar Road</w:t>
      </w:r>
      <w:r>
        <w:rPr>
          <w:spacing w:val="80"/>
        </w:rPr>
        <w:t> </w:t>
      </w:r>
      <w:r>
        <w:rPr/>
        <w:t>from</w:t>
      </w:r>
      <w:r>
        <w:rPr>
          <w:spacing w:val="80"/>
        </w:rPr>
        <w:t> </w:t>
      </w:r>
      <w:r>
        <w:rPr/>
        <w:t>Byculla</w:t>
      </w:r>
      <w:r>
        <w:rPr>
          <w:spacing w:val="80"/>
        </w:rPr>
        <w:t> </w:t>
      </w:r>
      <w:r>
        <w:rPr/>
        <w:t>Bridge</w:t>
      </w:r>
      <w:r>
        <w:rPr>
          <w:spacing w:val="80"/>
        </w:rPr>
        <w:t> </w:t>
      </w:r>
      <w:r>
        <w:rPr/>
        <w:t>to</w:t>
      </w:r>
      <w:r>
        <w:rPr>
          <w:spacing w:val="80"/>
        </w:rPr>
        <w:t> </w:t>
      </w:r>
      <w:r>
        <w:rPr/>
        <w:t>Sion</w:t>
      </w:r>
      <w:r>
        <w:rPr>
          <w:spacing w:val="80"/>
        </w:rPr>
        <w:t> </w:t>
      </w:r>
      <w:r>
        <w:rPr/>
        <w:t>Causeway,</w:t>
      </w:r>
      <w:r>
        <w:rPr>
          <w:spacing w:val="40"/>
        </w:rPr>
        <w:t> </w:t>
      </w:r>
      <w:r>
        <w:rPr/>
        <w:t>Rafi</w:t>
      </w:r>
      <w:r>
        <w:rPr>
          <w:spacing w:val="40"/>
        </w:rPr>
        <w:t> </w:t>
      </w:r>
      <w:r>
        <w:rPr/>
        <w:t>Ahmed</w:t>
      </w:r>
      <w:r>
        <w:rPr>
          <w:spacing w:val="80"/>
        </w:rPr>
        <w:t> </w:t>
      </w:r>
      <w:r>
        <w:rPr/>
        <w:t>Kidwai</w:t>
      </w:r>
      <w:r>
        <w:rPr>
          <w:spacing w:val="40"/>
        </w:rPr>
        <w:t> </w:t>
      </w:r>
      <w:r>
        <w:rPr/>
        <w:t>Road.</w:t>
      </w:r>
    </w:p>
    <w:p>
      <w:pPr>
        <w:pStyle w:val="BodyText"/>
        <w:jc w:val="left"/>
      </w:pPr>
    </w:p>
    <w:p>
      <w:pPr>
        <w:pStyle w:val="BodyText"/>
        <w:ind w:left="1313" w:right="770"/>
      </w:pPr>
      <w:r>
        <w:rPr/>
        <w:t>NOTE:With</w:t>
      </w:r>
      <w:r>
        <w:rPr>
          <w:spacing w:val="-7"/>
        </w:rPr>
        <w:t> </w:t>
      </w:r>
      <w:r>
        <w:rPr/>
        <w:t>the</w:t>
      </w:r>
      <w:r>
        <w:rPr>
          <w:spacing w:val="-7"/>
        </w:rPr>
        <w:t> </w:t>
      </w:r>
      <w:r>
        <w:rPr/>
        <w:t>approval</w:t>
      </w:r>
      <w:r>
        <w:rPr>
          <w:spacing w:val="-7"/>
        </w:rPr>
        <w:t> </w:t>
      </w:r>
      <w:r>
        <w:rPr/>
        <w:t>of</w:t>
      </w:r>
      <w:r>
        <w:rPr>
          <w:spacing w:val="-7"/>
        </w:rPr>
        <w:t> </w:t>
      </w:r>
      <w:r>
        <w:rPr/>
        <w:t>the</w:t>
      </w:r>
      <w:r>
        <w:rPr>
          <w:spacing w:val="-7"/>
        </w:rPr>
        <w:t> </w:t>
      </w:r>
      <w:r>
        <w:rPr/>
        <w:t>Corporation,</w:t>
      </w:r>
      <w:r>
        <w:rPr>
          <w:spacing w:val="-7"/>
        </w:rPr>
        <w:t> </w:t>
      </w:r>
      <w:r>
        <w:rPr/>
        <w:t>the</w:t>
      </w:r>
      <w:r>
        <w:rPr>
          <w:spacing w:val="-7"/>
        </w:rPr>
        <w:t> </w:t>
      </w:r>
      <w:r>
        <w:rPr/>
        <w:t>Commissioner</w:t>
      </w:r>
      <w:r>
        <w:rPr>
          <w:spacing w:val="-7"/>
        </w:rPr>
        <w:t> </w:t>
      </w:r>
      <w:r>
        <w:rPr/>
        <w:t>may</w:t>
      </w:r>
      <w:r>
        <w:rPr>
          <w:spacing w:val="-7"/>
        </w:rPr>
        <w:t> </w:t>
      </w:r>
      <w:r>
        <w:rPr/>
        <w:t>add,</w:t>
      </w:r>
      <w:r>
        <w:rPr>
          <w:spacing w:val="-7"/>
        </w:rPr>
        <w:t> </w:t>
      </w:r>
      <w:r>
        <w:rPr/>
        <w:t>alter or amend this list of roads. For high rise buildings front marginal distance shall be as per Regulation No.43.</w:t>
      </w:r>
    </w:p>
    <w:p>
      <w:pPr>
        <w:pStyle w:val="Heading5"/>
        <w:numPr>
          <w:ilvl w:val="0"/>
          <w:numId w:val="290"/>
        </w:numPr>
        <w:tabs>
          <w:tab w:pos="1440" w:val="left" w:leader="none"/>
        </w:tabs>
        <w:spacing w:line="281" w:lineRule="exact" w:before="0" w:after="0"/>
        <w:ind w:left="1440" w:right="0" w:hanging="334"/>
        <w:jc w:val="both"/>
      </w:pPr>
      <w:r>
        <w:rPr/>
        <w:t>Segregating</w:t>
      </w:r>
      <w:r>
        <w:rPr>
          <w:spacing w:val="-6"/>
        </w:rPr>
        <w:t> </w:t>
      </w:r>
      <w:r>
        <w:rPr/>
        <w:t>distance</w:t>
      </w:r>
      <w:r>
        <w:rPr>
          <w:spacing w:val="-3"/>
        </w:rPr>
        <w:t> </w:t>
      </w:r>
      <w:r>
        <w:rPr/>
        <w:t>from</w:t>
      </w:r>
      <w:r>
        <w:rPr>
          <w:spacing w:val="-3"/>
        </w:rPr>
        <w:t> </w:t>
      </w:r>
      <w:r>
        <w:rPr/>
        <w:t>Zonal/plot</w:t>
      </w:r>
      <w:r>
        <w:rPr>
          <w:spacing w:val="-3"/>
        </w:rPr>
        <w:t> </w:t>
      </w:r>
      <w:r>
        <w:rPr/>
        <w:t>Boundary</w:t>
      </w:r>
      <w:r>
        <w:rPr>
          <w:spacing w:val="-4"/>
        </w:rPr>
        <w:t> </w:t>
      </w:r>
      <w:r>
        <w:rPr/>
        <w:t>in</w:t>
      </w:r>
      <w:r>
        <w:rPr>
          <w:spacing w:val="-3"/>
        </w:rPr>
        <w:t> </w:t>
      </w:r>
      <w:r>
        <w:rPr/>
        <w:t>Industrial</w:t>
      </w:r>
      <w:r>
        <w:rPr>
          <w:spacing w:val="-3"/>
        </w:rPr>
        <w:t> </w:t>
      </w:r>
      <w:r>
        <w:rPr/>
        <w:t>Zones</w:t>
      </w:r>
      <w:r>
        <w:rPr>
          <w:spacing w:val="-3"/>
        </w:rPr>
        <w:t> </w:t>
      </w:r>
      <w:r>
        <w:rPr>
          <w:spacing w:val="-5"/>
        </w:rPr>
        <w:t>(in</w:t>
      </w:r>
    </w:p>
    <w:p>
      <w:pPr>
        <w:spacing w:before="2"/>
        <w:ind w:left="1548" w:right="1011" w:firstLine="0"/>
        <w:jc w:val="center"/>
        <w:rPr>
          <w:b/>
          <w:sz w:val="24"/>
        </w:rPr>
      </w:pPr>
      <w:r>
        <w:rPr>
          <w:b/>
          <w:spacing w:val="-2"/>
          <w:sz w:val="24"/>
        </w:rPr>
        <w:t>meters)</w:t>
      </w:r>
    </w:p>
    <w:p>
      <w:pPr>
        <w:pStyle w:val="BodyText"/>
        <w:spacing w:before="5" w:after="1"/>
        <w:jc w:val="left"/>
        <w:rPr>
          <w:b/>
          <w:sz w:val="20"/>
        </w:rPr>
      </w:pPr>
    </w:p>
    <w:tbl>
      <w:tblPr>
        <w:tblW w:w="0" w:type="auto"/>
        <w:jc w:val="left"/>
        <w:tblInd w:w="11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64"/>
        <w:gridCol w:w="1985"/>
        <w:gridCol w:w="3259"/>
        <w:gridCol w:w="2801"/>
      </w:tblGrid>
      <w:tr>
        <w:trPr>
          <w:trHeight w:val="1129" w:hRule="atLeast"/>
        </w:trPr>
        <w:tc>
          <w:tcPr>
            <w:tcW w:w="864" w:type="dxa"/>
            <w:shd w:val="clear" w:color="auto" w:fill="EDEBE0"/>
          </w:tcPr>
          <w:p>
            <w:pPr>
              <w:pStyle w:val="TableParagraph"/>
              <w:spacing w:before="94"/>
              <w:ind w:left="107" w:right="121"/>
              <w:rPr>
                <w:sz w:val="22"/>
              </w:rPr>
            </w:pPr>
            <w:r>
              <w:rPr>
                <w:spacing w:val="-2"/>
                <w:sz w:val="22"/>
              </w:rPr>
              <w:t>Serial </w:t>
            </w:r>
            <w:r>
              <w:rPr>
                <w:spacing w:val="-4"/>
                <w:sz w:val="22"/>
              </w:rPr>
              <w:t>No. (1)</w:t>
            </w:r>
          </w:p>
        </w:tc>
        <w:tc>
          <w:tcPr>
            <w:tcW w:w="1985" w:type="dxa"/>
            <w:shd w:val="clear" w:color="auto" w:fill="EDEBE0"/>
          </w:tcPr>
          <w:p>
            <w:pPr>
              <w:pStyle w:val="TableParagraph"/>
              <w:ind w:left="107" w:right="208"/>
              <w:rPr>
                <w:sz w:val="22"/>
              </w:rPr>
            </w:pPr>
            <w:r>
              <w:rPr>
                <w:sz w:val="22"/>
              </w:rPr>
              <w:t>Location</w:t>
            </w:r>
            <w:r>
              <w:rPr>
                <w:spacing w:val="-18"/>
                <w:sz w:val="22"/>
              </w:rPr>
              <w:t> </w:t>
            </w:r>
            <w:r>
              <w:rPr>
                <w:sz w:val="22"/>
              </w:rPr>
              <w:t>of </w:t>
            </w:r>
            <w:r>
              <w:rPr>
                <w:spacing w:val="-2"/>
                <w:sz w:val="22"/>
              </w:rPr>
              <w:t>plots</w:t>
            </w:r>
          </w:p>
          <w:p>
            <w:pPr>
              <w:pStyle w:val="TableParagraph"/>
              <w:spacing w:before="257"/>
              <w:ind w:left="107"/>
              <w:rPr>
                <w:sz w:val="22"/>
              </w:rPr>
            </w:pPr>
            <w:r>
              <w:rPr>
                <w:spacing w:val="-5"/>
                <w:sz w:val="22"/>
              </w:rPr>
              <w:t>(2)</w:t>
            </w:r>
          </w:p>
        </w:tc>
        <w:tc>
          <w:tcPr>
            <w:tcW w:w="3259" w:type="dxa"/>
            <w:shd w:val="clear" w:color="auto" w:fill="EDEBE0"/>
          </w:tcPr>
          <w:p>
            <w:pPr>
              <w:pStyle w:val="TableParagraph"/>
              <w:spacing w:line="482" w:lineRule="auto"/>
              <w:ind w:left="108" w:right="1210"/>
              <w:rPr>
                <w:sz w:val="22"/>
              </w:rPr>
            </w:pPr>
            <w:r>
              <w:rPr>
                <w:sz w:val="22"/>
              </w:rPr>
              <w:t>Type</w:t>
            </w:r>
            <w:r>
              <w:rPr>
                <w:spacing w:val="-18"/>
                <w:sz w:val="22"/>
              </w:rPr>
              <w:t> </w:t>
            </w:r>
            <w:r>
              <w:rPr>
                <w:sz w:val="22"/>
              </w:rPr>
              <w:t>of</w:t>
            </w:r>
            <w:r>
              <w:rPr>
                <w:spacing w:val="-18"/>
                <w:sz w:val="22"/>
              </w:rPr>
              <w:t> </w:t>
            </w:r>
            <w:r>
              <w:rPr>
                <w:sz w:val="22"/>
              </w:rPr>
              <w:t>building </w:t>
            </w:r>
            <w:r>
              <w:rPr>
                <w:spacing w:val="-4"/>
                <w:sz w:val="22"/>
              </w:rPr>
              <w:t>(3)</w:t>
            </w:r>
          </w:p>
        </w:tc>
        <w:tc>
          <w:tcPr>
            <w:tcW w:w="2801" w:type="dxa"/>
            <w:shd w:val="clear" w:color="auto" w:fill="EDEBE0"/>
          </w:tcPr>
          <w:p>
            <w:pPr>
              <w:pStyle w:val="TableParagraph"/>
              <w:spacing w:line="482" w:lineRule="auto"/>
              <w:ind w:left="111" w:right="235"/>
              <w:rPr>
                <w:sz w:val="22"/>
              </w:rPr>
            </w:pPr>
            <w:r>
              <w:rPr>
                <w:sz w:val="22"/>
              </w:rPr>
              <w:t>Set-back</w:t>
            </w:r>
            <w:r>
              <w:rPr>
                <w:spacing w:val="-18"/>
                <w:sz w:val="22"/>
              </w:rPr>
              <w:t> </w:t>
            </w:r>
            <w:r>
              <w:rPr>
                <w:sz w:val="22"/>
              </w:rPr>
              <w:t>in</w:t>
            </w:r>
            <w:r>
              <w:rPr>
                <w:spacing w:val="-18"/>
                <w:sz w:val="22"/>
              </w:rPr>
              <w:t> </w:t>
            </w:r>
            <w:r>
              <w:rPr>
                <w:sz w:val="22"/>
              </w:rPr>
              <w:t>zones(m) </w:t>
            </w:r>
            <w:r>
              <w:rPr>
                <w:spacing w:val="-4"/>
                <w:sz w:val="22"/>
              </w:rPr>
              <w:t>(4)</w:t>
            </w:r>
          </w:p>
        </w:tc>
      </w:tr>
      <w:tr>
        <w:trPr>
          <w:trHeight w:val="611" w:hRule="atLeast"/>
        </w:trPr>
        <w:tc>
          <w:tcPr>
            <w:tcW w:w="864" w:type="dxa"/>
          </w:tcPr>
          <w:p>
            <w:pPr>
              <w:pStyle w:val="TableParagraph"/>
              <w:spacing w:before="94"/>
              <w:ind w:left="107"/>
              <w:rPr>
                <w:sz w:val="22"/>
              </w:rPr>
            </w:pPr>
            <w:r>
              <w:rPr>
                <w:spacing w:val="-10"/>
                <w:sz w:val="22"/>
              </w:rPr>
              <w:t>1</w:t>
            </w:r>
          </w:p>
        </w:tc>
        <w:tc>
          <w:tcPr>
            <w:tcW w:w="1985" w:type="dxa"/>
          </w:tcPr>
          <w:p>
            <w:pPr>
              <w:pStyle w:val="TableParagraph"/>
              <w:spacing w:line="257" w:lineRule="exact"/>
              <w:ind w:left="107"/>
              <w:rPr>
                <w:sz w:val="22"/>
              </w:rPr>
            </w:pPr>
            <w:r>
              <w:rPr>
                <w:sz w:val="22"/>
              </w:rPr>
              <w:t>Island</w:t>
            </w:r>
            <w:r>
              <w:rPr>
                <w:spacing w:val="-2"/>
                <w:sz w:val="22"/>
              </w:rPr>
              <w:t> </w:t>
            </w:r>
            <w:r>
              <w:rPr>
                <w:spacing w:val="-4"/>
                <w:sz w:val="22"/>
              </w:rPr>
              <w:t>City</w:t>
            </w:r>
          </w:p>
        </w:tc>
        <w:tc>
          <w:tcPr>
            <w:tcW w:w="3259" w:type="dxa"/>
          </w:tcPr>
          <w:p>
            <w:pPr>
              <w:pStyle w:val="TableParagraph"/>
              <w:spacing w:line="257" w:lineRule="exact"/>
              <w:ind w:left="108"/>
              <w:rPr>
                <w:sz w:val="22"/>
              </w:rPr>
            </w:pPr>
            <w:r>
              <w:rPr>
                <w:sz w:val="22"/>
              </w:rPr>
              <w:t>Industrial</w:t>
            </w:r>
            <w:r>
              <w:rPr>
                <w:spacing w:val="-8"/>
                <w:sz w:val="22"/>
              </w:rPr>
              <w:t> </w:t>
            </w:r>
            <w:r>
              <w:rPr>
                <w:spacing w:val="-2"/>
                <w:sz w:val="22"/>
              </w:rPr>
              <w:t>building</w:t>
            </w:r>
          </w:p>
        </w:tc>
        <w:tc>
          <w:tcPr>
            <w:tcW w:w="2801" w:type="dxa"/>
          </w:tcPr>
          <w:p>
            <w:pPr>
              <w:pStyle w:val="TableParagraph"/>
              <w:spacing w:line="257" w:lineRule="exact"/>
              <w:ind w:left="111"/>
              <w:rPr>
                <w:sz w:val="22"/>
              </w:rPr>
            </w:pPr>
            <w:r>
              <w:rPr>
                <w:sz w:val="22"/>
              </w:rPr>
              <w:t>6</w:t>
            </w:r>
            <w:r>
              <w:rPr>
                <w:spacing w:val="-3"/>
                <w:sz w:val="22"/>
              </w:rPr>
              <w:t> </w:t>
            </w:r>
            <w:r>
              <w:rPr>
                <w:spacing w:val="-12"/>
                <w:sz w:val="22"/>
              </w:rPr>
              <w:t>m</w:t>
            </w:r>
          </w:p>
        </w:tc>
      </w:tr>
      <w:tr>
        <w:trPr>
          <w:trHeight w:val="774" w:hRule="atLeast"/>
        </w:trPr>
        <w:tc>
          <w:tcPr>
            <w:tcW w:w="864" w:type="dxa"/>
          </w:tcPr>
          <w:p>
            <w:pPr>
              <w:pStyle w:val="TableParagraph"/>
              <w:spacing w:before="94"/>
              <w:ind w:left="107"/>
              <w:rPr>
                <w:sz w:val="22"/>
              </w:rPr>
            </w:pPr>
            <w:r>
              <w:rPr>
                <w:spacing w:val="-10"/>
                <w:sz w:val="22"/>
              </w:rPr>
              <w:t>2</w:t>
            </w:r>
          </w:p>
        </w:tc>
        <w:tc>
          <w:tcPr>
            <w:tcW w:w="1985" w:type="dxa"/>
          </w:tcPr>
          <w:p>
            <w:pPr>
              <w:pStyle w:val="TableParagraph"/>
              <w:spacing w:line="257" w:lineRule="exact"/>
              <w:ind w:left="107"/>
              <w:rPr>
                <w:sz w:val="22"/>
              </w:rPr>
            </w:pPr>
            <w:r>
              <w:rPr>
                <w:sz w:val="22"/>
              </w:rPr>
              <w:t>Island</w:t>
            </w:r>
            <w:r>
              <w:rPr>
                <w:spacing w:val="-2"/>
                <w:sz w:val="22"/>
              </w:rPr>
              <w:t> </w:t>
            </w:r>
            <w:r>
              <w:rPr>
                <w:spacing w:val="-4"/>
                <w:sz w:val="22"/>
              </w:rPr>
              <w:t>City</w:t>
            </w:r>
          </w:p>
        </w:tc>
        <w:tc>
          <w:tcPr>
            <w:tcW w:w="3259" w:type="dxa"/>
          </w:tcPr>
          <w:p>
            <w:pPr>
              <w:pStyle w:val="TableParagraph"/>
              <w:ind w:left="108"/>
              <w:rPr>
                <w:sz w:val="22"/>
              </w:rPr>
            </w:pPr>
            <w:r>
              <w:rPr>
                <w:sz w:val="22"/>
              </w:rPr>
              <w:t>Residential</w:t>
            </w:r>
            <w:r>
              <w:rPr>
                <w:spacing w:val="-18"/>
                <w:sz w:val="22"/>
              </w:rPr>
              <w:t> </w:t>
            </w:r>
            <w:r>
              <w:rPr>
                <w:sz w:val="22"/>
              </w:rPr>
              <w:t>building,</w:t>
            </w:r>
            <w:r>
              <w:rPr>
                <w:spacing w:val="-18"/>
                <w:sz w:val="22"/>
              </w:rPr>
              <w:t> </w:t>
            </w:r>
            <w:r>
              <w:rPr>
                <w:sz w:val="22"/>
              </w:rPr>
              <w:t>if permitted, due to</w:t>
            </w:r>
          </w:p>
          <w:p>
            <w:pPr>
              <w:pStyle w:val="TableParagraph"/>
              <w:spacing w:line="238" w:lineRule="exact"/>
              <w:ind w:left="108"/>
              <w:rPr>
                <w:sz w:val="22"/>
              </w:rPr>
            </w:pPr>
            <w:r>
              <w:rPr>
                <w:sz w:val="22"/>
              </w:rPr>
              <w:t>conversion</w:t>
            </w:r>
            <w:r>
              <w:rPr>
                <w:spacing w:val="-6"/>
                <w:sz w:val="22"/>
              </w:rPr>
              <w:t> </w:t>
            </w:r>
            <w:r>
              <w:rPr>
                <w:sz w:val="22"/>
              </w:rPr>
              <w:t>of</w:t>
            </w:r>
            <w:r>
              <w:rPr>
                <w:spacing w:val="-5"/>
                <w:sz w:val="22"/>
              </w:rPr>
              <w:t> </w:t>
            </w:r>
            <w:r>
              <w:rPr>
                <w:spacing w:val="-4"/>
                <w:sz w:val="22"/>
              </w:rPr>
              <w:t>zone.</w:t>
            </w:r>
          </w:p>
        </w:tc>
        <w:tc>
          <w:tcPr>
            <w:tcW w:w="2801" w:type="dxa"/>
          </w:tcPr>
          <w:p>
            <w:pPr>
              <w:pStyle w:val="TableParagraph"/>
              <w:spacing w:line="257" w:lineRule="exact"/>
              <w:ind w:left="111"/>
              <w:rPr>
                <w:sz w:val="22"/>
              </w:rPr>
            </w:pPr>
            <w:r>
              <w:rPr>
                <w:sz w:val="22"/>
              </w:rPr>
              <w:t>9</w:t>
            </w:r>
            <w:r>
              <w:rPr>
                <w:spacing w:val="-3"/>
                <w:sz w:val="22"/>
              </w:rPr>
              <w:t> </w:t>
            </w:r>
            <w:r>
              <w:rPr>
                <w:spacing w:val="-12"/>
                <w:sz w:val="22"/>
              </w:rPr>
              <w:t>m</w:t>
            </w:r>
          </w:p>
        </w:tc>
      </w:tr>
      <w:tr>
        <w:trPr>
          <w:trHeight w:val="1646" w:hRule="atLeast"/>
        </w:trPr>
        <w:tc>
          <w:tcPr>
            <w:tcW w:w="864" w:type="dxa"/>
          </w:tcPr>
          <w:p>
            <w:pPr>
              <w:pStyle w:val="TableParagraph"/>
              <w:spacing w:before="97"/>
              <w:ind w:left="107"/>
              <w:rPr>
                <w:sz w:val="22"/>
              </w:rPr>
            </w:pPr>
            <w:r>
              <w:rPr>
                <w:spacing w:val="-10"/>
                <w:sz w:val="22"/>
              </w:rPr>
              <w:t>3</w:t>
            </w:r>
          </w:p>
        </w:tc>
        <w:tc>
          <w:tcPr>
            <w:tcW w:w="1985" w:type="dxa"/>
          </w:tcPr>
          <w:p>
            <w:pPr>
              <w:pStyle w:val="TableParagraph"/>
              <w:spacing w:before="1"/>
              <w:ind w:left="107"/>
              <w:rPr>
                <w:sz w:val="22"/>
              </w:rPr>
            </w:pPr>
            <w:r>
              <w:rPr>
                <w:sz w:val="22"/>
              </w:rPr>
              <w:t>Island</w:t>
            </w:r>
            <w:r>
              <w:rPr>
                <w:spacing w:val="-2"/>
                <w:sz w:val="22"/>
              </w:rPr>
              <w:t> </w:t>
            </w:r>
            <w:r>
              <w:rPr>
                <w:spacing w:val="-4"/>
                <w:sz w:val="22"/>
              </w:rPr>
              <w:t>City</w:t>
            </w:r>
          </w:p>
        </w:tc>
        <w:tc>
          <w:tcPr>
            <w:tcW w:w="3259" w:type="dxa"/>
          </w:tcPr>
          <w:p>
            <w:pPr>
              <w:pStyle w:val="TableParagraph"/>
              <w:spacing w:before="1"/>
              <w:ind w:left="108" w:right="131"/>
              <w:rPr>
                <w:sz w:val="22"/>
              </w:rPr>
            </w:pPr>
            <w:r>
              <w:rPr>
                <w:sz w:val="22"/>
              </w:rPr>
              <w:t>Other permissible non- industrial</w:t>
            </w:r>
            <w:r>
              <w:rPr>
                <w:spacing w:val="-11"/>
                <w:sz w:val="22"/>
              </w:rPr>
              <w:t> </w:t>
            </w:r>
            <w:r>
              <w:rPr>
                <w:sz w:val="22"/>
              </w:rPr>
              <w:t>user</w:t>
            </w:r>
            <w:r>
              <w:rPr>
                <w:spacing w:val="-15"/>
                <w:sz w:val="22"/>
              </w:rPr>
              <w:t> </w:t>
            </w:r>
            <w:r>
              <w:rPr>
                <w:sz w:val="22"/>
              </w:rPr>
              <w:t>if</w:t>
            </w:r>
            <w:r>
              <w:rPr>
                <w:spacing w:val="-12"/>
                <w:sz w:val="22"/>
              </w:rPr>
              <w:t> </w:t>
            </w:r>
            <w:r>
              <w:rPr>
                <w:sz w:val="22"/>
              </w:rPr>
              <w:t>permitted in industrial zone.</w:t>
            </w:r>
          </w:p>
        </w:tc>
        <w:tc>
          <w:tcPr>
            <w:tcW w:w="2801" w:type="dxa"/>
          </w:tcPr>
          <w:p>
            <w:pPr>
              <w:pStyle w:val="TableParagraph"/>
              <w:numPr>
                <w:ilvl w:val="0"/>
                <w:numId w:val="292"/>
              </w:numPr>
              <w:tabs>
                <w:tab w:pos="308" w:val="left" w:leader="none"/>
              </w:tabs>
              <w:spacing w:line="240" w:lineRule="auto" w:before="1" w:after="0"/>
              <w:ind w:left="111" w:right="251" w:firstLine="0"/>
              <w:jc w:val="left"/>
              <w:rPr>
                <w:sz w:val="22"/>
              </w:rPr>
            </w:pPr>
            <w:r>
              <w:rPr>
                <w:sz w:val="22"/>
              </w:rPr>
              <w:t>6.00</w:t>
            </w:r>
            <w:r>
              <w:rPr>
                <w:spacing w:val="-8"/>
                <w:sz w:val="22"/>
              </w:rPr>
              <w:t> </w:t>
            </w:r>
            <w:r>
              <w:rPr>
                <w:sz w:val="22"/>
              </w:rPr>
              <w:t>m</w:t>
            </w:r>
            <w:r>
              <w:rPr>
                <w:spacing w:val="-8"/>
                <w:sz w:val="22"/>
              </w:rPr>
              <w:t> </w:t>
            </w:r>
            <w:r>
              <w:rPr>
                <w:sz w:val="22"/>
              </w:rPr>
              <w:t>upto</w:t>
            </w:r>
            <w:r>
              <w:rPr>
                <w:spacing w:val="-6"/>
                <w:sz w:val="22"/>
              </w:rPr>
              <w:t> </w:t>
            </w:r>
            <w:r>
              <w:rPr>
                <w:sz w:val="22"/>
              </w:rPr>
              <w:t>32</w:t>
            </w:r>
            <w:r>
              <w:rPr>
                <w:spacing w:val="-7"/>
                <w:sz w:val="22"/>
              </w:rPr>
              <w:t> </w:t>
            </w:r>
            <w:r>
              <w:rPr>
                <w:sz w:val="22"/>
              </w:rPr>
              <w:t>m</w:t>
            </w:r>
            <w:r>
              <w:rPr>
                <w:spacing w:val="-8"/>
                <w:sz w:val="22"/>
              </w:rPr>
              <w:t> </w:t>
            </w:r>
            <w:r>
              <w:rPr>
                <w:sz w:val="22"/>
              </w:rPr>
              <w:t>in </w:t>
            </w:r>
            <w:r>
              <w:rPr>
                <w:spacing w:val="-2"/>
                <w:sz w:val="22"/>
              </w:rPr>
              <w:t>height</w:t>
            </w:r>
          </w:p>
          <w:p>
            <w:pPr>
              <w:pStyle w:val="TableParagraph"/>
              <w:numPr>
                <w:ilvl w:val="0"/>
                <w:numId w:val="292"/>
              </w:numPr>
              <w:tabs>
                <w:tab w:pos="444" w:val="left" w:leader="none"/>
              </w:tabs>
              <w:spacing w:line="240" w:lineRule="auto" w:before="0" w:after="0"/>
              <w:ind w:left="111" w:right="439" w:firstLine="0"/>
              <w:jc w:val="left"/>
              <w:rPr>
                <w:sz w:val="22"/>
              </w:rPr>
            </w:pPr>
            <w:r>
              <w:rPr>
                <w:sz w:val="22"/>
              </w:rPr>
              <w:t>For</w:t>
            </w:r>
            <w:r>
              <w:rPr>
                <w:spacing w:val="-18"/>
                <w:sz w:val="22"/>
              </w:rPr>
              <w:t> </w:t>
            </w:r>
            <w:r>
              <w:rPr>
                <w:sz w:val="22"/>
              </w:rPr>
              <w:t>heights,</w:t>
            </w:r>
            <w:r>
              <w:rPr>
                <w:spacing w:val="-18"/>
                <w:sz w:val="22"/>
              </w:rPr>
              <w:t> </w:t>
            </w:r>
            <w:r>
              <w:rPr>
                <w:sz w:val="22"/>
              </w:rPr>
              <w:t>more than</w:t>
            </w:r>
            <w:r>
              <w:rPr>
                <w:spacing w:val="-5"/>
                <w:sz w:val="22"/>
              </w:rPr>
              <w:t> </w:t>
            </w:r>
            <w:r>
              <w:rPr>
                <w:sz w:val="22"/>
              </w:rPr>
              <w:t>32</w:t>
            </w:r>
            <w:r>
              <w:rPr>
                <w:spacing w:val="-5"/>
                <w:sz w:val="22"/>
              </w:rPr>
              <w:t> </w:t>
            </w:r>
            <w:r>
              <w:rPr>
                <w:sz w:val="22"/>
              </w:rPr>
              <w:t>m,6.00</w:t>
            </w:r>
            <w:r>
              <w:rPr>
                <w:spacing w:val="-5"/>
                <w:sz w:val="22"/>
              </w:rPr>
              <w:t> </w:t>
            </w:r>
            <w:r>
              <w:rPr>
                <w:sz w:val="22"/>
              </w:rPr>
              <w:t>plus</w:t>
            </w:r>
          </w:p>
          <w:p>
            <w:pPr>
              <w:pStyle w:val="TableParagraph"/>
              <w:ind w:left="111" w:right="235"/>
              <w:rPr>
                <w:sz w:val="22"/>
              </w:rPr>
            </w:pPr>
            <w:r>
              <w:rPr>
                <w:sz w:val="22"/>
              </w:rPr>
              <w:t>0.25m</w:t>
            </w:r>
            <w:r>
              <w:rPr>
                <w:spacing w:val="-12"/>
                <w:sz w:val="22"/>
              </w:rPr>
              <w:t> </w:t>
            </w:r>
            <w:r>
              <w:rPr>
                <w:sz w:val="22"/>
              </w:rPr>
              <w:t>for</w:t>
            </w:r>
            <w:r>
              <w:rPr>
                <w:spacing w:val="-11"/>
                <w:sz w:val="22"/>
              </w:rPr>
              <w:t> </w:t>
            </w:r>
            <w:r>
              <w:rPr>
                <w:sz w:val="22"/>
              </w:rPr>
              <w:t>every</w:t>
            </w:r>
            <w:r>
              <w:rPr>
                <w:spacing w:val="-11"/>
                <w:sz w:val="22"/>
              </w:rPr>
              <w:t> </w:t>
            </w:r>
            <w:r>
              <w:rPr>
                <w:sz w:val="22"/>
              </w:rPr>
              <w:t>meter or part thereof</w:t>
            </w:r>
          </w:p>
        </w:tc>
      </w:tr>
      <w:tr>
        <w:trPr>
          <w:trHeight w:val="1643" w:hRule="atLeast"/>
        </w:trPr>
        <w:tc>
          <w:tcPr>
            <w:tcW w:w="864" w:type="dxa"/>
            <w:vMerge w:val="restart"/>
          </w:tcPr>
          <w:p>
            <w:pPr>
              <w:pStyle w:val="TableParagraph"/>
              <w:spacing w:before="94"/>
              <w:ind w:left="107"/>
              <w:rPr>
                <w:sz w:val="22"/>
              </w:rPr>
            </w:pPr>
            <w:r>
              <w:rPr>
                <w:spacing w:val="-10"/>
                <w:sz w:val="22"/>
              </w:rPr>
              <w:t>4</w:t>
            </w:r>
          </w:p>
        </w:tc>
        <w:tc>
          <w:tcPr>
            <w:tcW w:w="1985" w:type="dxa"/>
            <w:vMerge w:val="restart"/>
          </w:tcPr>
          <w:p>
            <w:pPr>
              <w:pStyle w:val="TableParagraph"/>
              <w:ind w:left="107" w:right="129"/>
              <w:rPr>
                <w:sz w:val="22"/>
              </w:rPr>
            </w:pPr>
            <w:r>
              <w:rPr>
                <w:spacing w:val="-2"/>
                <w:sz w:val="22"/>
              </w:rPr>
              <w:t>Suburbs, extended </w:t>
            </w:r>
            <w:r>
              <w:rPr>
                <w:sz w:val="22"/>
              </w:rPr>
              <w:t>suburbs and </w:t>
            </w:r>
            <w:r>
              <w:rPr>
                <w:spacing w:val="-4"/>
                <w:sz w:val="22"/>
              </w:rPr>
              <w:t>new</w:t>
            </w:r>
            <w:r>
              <w:rPr>
                <w:spacing w:val="40"/>
                <w:sz w:val="22"/>
              </w:rPr>
              <w:t> </w:t>
            </w:r>
            <w:r>
              <w:rPr>
                <w:spacing w:val="-2"/>
                <w:sz w:val="22"/>
              </w:rPr>
              <w:t>reclamation </w:t>
            </w:r>
            <w:r>
              <w:rPr>
                <w:sz w:val="22"/>
              </w:rPr>
              <w:t>areas</w:t>
            </w:r>
            <w:r>
              <w:rPr>
                <w:spacing w:val="-18"/>
                <w:sz w:val="22"/>
              </w:rPr>
              <w:t> </w:t>
            </w:r>
            <w:r>
              <w:rPr>
                <w:sz w:val="22"/>
              </w:rPr>
              <w:t>at</w:t>
            </w:r>
            <w:r>
              <w:rPr>
                <w:spacing w:val="-18"/>
                <w:sz w:val="22"/>
              </w:rPr>
              <w:t> </w:t>
            </w:r>
            <w:r>
              <w:rPr>
                <w:sz w:val="22"/>
              </w:rPr>
              <w:t>Wadala Salt Pans</w:t>
            </w:r>
          </w:p>
        </w:tc>
        <w:tc>
          <w:tcPr>
            <w:tcW w:w="3259" w:type="dxa"/>
            <w:tcBorders>
              <w:bottom w:val="single" w:sz="4" w:space="0" w:color="000000"/>
            </w:tcBorders>
          </w:tcPr>
          <w:p>
            <w:pPr>
              <w:pStyle w:val="TableParagraph"/>
              <w:spacing w:line="257" w:lineRule="exact"/>
              <w:ind w:left="108"/>
              <w:rPr>
                <w:sz w:val="22"/>
              </w:rPr>
            </w:pPr>
            <w:r>
              <w:rPr>
                <w:sz w:val="22"/>
              </w:rPr>
              <w:t>Industrial</w:t>
            </w:r>
            <w:r>
              <w:rPr>
                <w:spacing w:val="-8"/>
                <w:sz w:val="22"/>
              </w:rPr>
              <w:t> </w:t>
            </w:r>
            <w:r>
              <w:rPr>
                <w:spacing w:val="-2"/>
                <w:sz w:val="22"/>
              </w:rPr>
              <w:t>Building-</w:t>
            </w:r>
          </w:p>
          <w:p>
            <w:pPr>
              <w:pStyle w:val="TableParagraph"/>
              <w:spacing w:before="1"/>
              <w:ind w:left="360" w:right="131" w:hanging="360"/>
              <w:rPr>
                <w:sz w:val="22"/>
              </w:rPr>
            </w:pPr>
            <w:r>
              <w:rPr>
                <w:sz w:val="22"/>
              </w:rPr>
              <w:t>(a)</w:t>
            </w:r>
            <w:r>
              <w:rPr>
                <w:spacing w:val="40"/>
                <w:sz w:val="22"/>
              </w:rPr>
              <w:t> </w:t>
            </w:r>
            <w:r>
              <w:rPr>
                <w:sz w:val="22"/>
              </w:rPr>
              <w:t>If zone boundary coincides with the boundary of permanent public open space such as</w:t>
            </w:r>
            <w:r>
              <w:rPr>
                <w:spacing w:val="-9"/>
                <w:sz w:val="22"/>
              </w:rPr>
              <w:t> </w:t>
            </w:r>
            <w:r>
              <w:rPr>
                <w:sz w:val="22"/>
              </w:rPr>
              <w:t>P.G.</w:t>
            </w:r>
            <w:r>
              <w:rPr>
                <w:spacing w:val="-10"/>
                <w:sz w:val="22"/>
              </w:rPr>
              <w:t> </w:t>
            </w:r>
            <w:r>
              <w:rPr>
                <w:sz w:val="22"/>
              </w:rPr>
              <w:t>Garden,</w:t>
            </w:r>
            <w:r>
              <w:rPr>
                <w:spacing w:val="-10"/>
                <w:sz w:val="22"/>
              </w:rPr>
              <w:t> </w:t>
            </w:r>
            <w:r>
              <w:rPr>
                <w:sz w:val="22"/>
              </w:rPr>
              <w:t>Park</w:t>
            </w:r>
            <w:r>
              <w:rPr>
                <w:spacing w:val="-8"/>
                <w:sz w:val="22"/>
              </w:rPr>
              <w:t> </w:t>
            </w:r>
            <w:r>
              <w:rPr>
                <w:sz w:val="22"/>
              </w:rPr>
              <w:t>etc.</w:t>
            </w:r>
          </w:p>
        </w:tc>
        <w:tc>
          <w:tcPr>
            <w:tcW w:w="2801" w:type="dxa"/>
            <w:tcBorders>
              <w:bottom w:val="single" w:sz="4" w:space="0" w:color="000000"/>
            </w:tcBorders>
          </w:tcPr>
          <w:p>
            <w:pPr>
              <w:pStyle w:val="TableParagraph"/>
              <w:spacing w:line="257" w:lineRule="exact"/>
              <w:ind w:left="111"/>
              <w:rPr>
                <w:sz w:val="22"/>
              </w:rPr>
            </w:pPr>
            <w:r>
              <w:rPr>
                <w:spacing w:val="-5"/>
                <w:sz w:val="22"/>
              </w:rPr>
              <w:t>6m</w:t>
            </w:r>
          </w:p>
          <w:p>
            <w:pPr>
              <w:pStyle w:val="TableParagraph"/>
              <w:spacing w:before="1"/>
              <w:ind w:left="111"/>
              <w:rPr>
                <w:sz w:val="22"/>
              </w:rPr>
            </w:pPr>
            <w:r>
              <w:rPr>
                <w:sz w:val="22"/>
              </w:rPr>
              <w:t>and</w:t>
            </w:r>
            <w:r>
              <w:rPr>
                <w:spacing w:val="-8"/>
                <w:sz w:val="22"/>
              </w:rPr>
              <w:t> </w:t>
            </w:r>
            <w:r>
              <w:rPr>
                <w:sz w:val="22"/>
              </w:rPr>
              <w:t>22.50</w:t>
            </w:r>
            <w:r>
              <w:rPr>
                <w:spacing w:val="-9"/>
                <w:sz w:val="22"/>
              </w:rPr>
              <w:t> </w:t>
            </w:r>
            <w:r>
              <w:rPr>
                <w:sz w:val="22"/>
              </w:rPr>
              <w:t>m</w:t>
            </w:r>
            <w:r>
              <w:rPr>
                <w:spacing w:val="-9"/>
                <w:sz w:val="22"/>
              </w:rPr>
              <w:t> </w:t>
            </w:r>
            <w:r>
              <w:rPr>
                <w:sz w:val="22"/>
              </w:rPr>
              <w:t>in</w:t>
            </w:r>
            <w:r>
              <w:rPr>
                <w:spacing w:val="-8"/>
                <w:sz w:val="22"/>
              </w:rPr>
              <w:t> </w:t>
            </w:r>
            <w:r>
              <w:rPr>
                <w:sz w:val="22"/>
              </w:rPr>
              <w:t>case</w:t>
            </w:r>
            <w:r>
              <w:rPr>
                <w:spacing w:val="-6"/>
                <w:sz w:val="22"/>
              </w:rPr>
              <w:t> </w:t>
            </w:r>
            <w:r>
              <w:rPr>
                <w:sz w:val="22"/>
              </w:rPr>
              <w:t>of hazardous building</w:t>
            </w:r>
          </w:p>
        </w:tc>
      </w:tr>
      <w:tr>
        <w:trPr>
          <w:trHeight w:val="873" w:hRule="atLeast"/>
        </w:trPr>
        <w:tc>
          <w:tcPr>
            <w:tcW w:w="864" w:type="dxa"/>
            <w:vMerge/>
            <w:tcBorders>
              <w:top w:val="nil"/>
            </w:tcBorders>
          </w:tcPr>
          <w:p>
            <w:pPr>
              <w:rPr>
                <w:sz w:val="2"/>
                <w:szCs w:val="2"/>
              </w:rPr>
            </w:pPr>
          </w:p>
        </w:tc>
        <w:tc>
          <w:tcPr>
            <w:tcW w:w="1985" w:type="dxa"/>
            <w:vMerge/>
            <w:tcBorders>
              <w:top w:val="nil"/>
            </w:tcBorders>
          </w:tcPr>
          <w:p>
            <w:pPr>
              <w:rPr>
                <w:sz w:val="2"/>
                <w:szCs w:val="2"/>
              </w:rPr>
            </w:pPr>
          </w:p>
        </w:tc>
        <w:tc>
          <w:tcPr>
            <w:tcW w:w="3259" w:type="dxa"/>
            <w:tcBorders>
              <w:top w:val="single" w:sz="4" w:space="0" w:color="000000"/>
            </w:tcBorders>
          </w:tcPr>
          <w:p>
            <w:pPr>
              <w:pStyle w:val="TableParagraph"/>
              <w:spacing w:before="1"/>
              <w:ind w:left="108"/>
              <w:rPr>
                <w:sz w:val="22"/>
              </w:rPr>
            </w:pPr>
            <w:r>
              <w:rPr>
                <w:spacing w:val="-2"/>
                <w:sz w:val="22"/>
              </w:rPr>
              <w:t>(b)Otherwise</w:t>
            </w:r>
          </w:p>
        </w:tc>
        <w:tc>
          <w:tcPr>
            <w:tcW w:w="2801" w:type="dxa"/>
            <w:tcBorders>
              <w:top w:val="single" w:sz="4" w:space="0" w:color="000000"/>
            </w:tcBorders>
          </w:tcPr>
          <w:p>
            <w:pPr>
              <w:pStyle w:val="TableParagraph"/>
              <w:spacing w:before="1"/>
              <w:ind w:left="1376"/>
              <w:rPr>
                <w:sz w:val="22"/>
              </w:rPr>
            </w:pPr>
            <w:r>
              <w:rPr>
                <w:sz w:val="22"/>
              </w:rPr>
              <w:t>9</w:t>
            </w:r>
            <w:r>
              <w:rPr>
                <w:spacing w:val="-3"/>
                <w:sz w:val="22"/>
              </w:rPr>
              <w:t> </w:t>
            </w:r>
            <w:r>
              <w:rPr>
                <w:spacing w:val="-12"/>
                <w:sz w:val="22"/>
              </w:rPr>
              <w:t>m</w:t>
            </w:r>
          </w:p>
          <w:p>
            <w:pPr>
              <w:pStyle w:val="TableParagraph"/>
              <w:spacing w:before="1"/>
              <w:ind w:left="111"/>
              <w:rPr>
                <w:sz w:val="22"/>
              </w:rPr>
            </w:pPr>
            <w:r>
              <w:rPr>
                <w:sz w:val="22"/>
              </w:rPr>
              <w:t>and</w:t>
            </w:r>
            <w:r>
              <w:rPr>
                <w:spacing w:val="-8"/>
                <w:sz w:val="22"/>
              </w:rPr>
              <w:t> </w:t>
            </w:r>
            <w:r>
              <w:rPr>
                <w:sz w:val="22"/>
              </w:rPr>
              <w:t>52.50</w:t>
            </w:r>
            <w:r>
              <w:rPr>
                <w:spacing w:val="-9"/>
                <w:sz w:val="22"/>
              </w:rPr>
              <w:t> </w:t>
            </w:r>
            <w:r>
              <w:rPr>
                <w:sz w:val="22"/>
              </w:rPr>
              <w:t>m</w:t>
            </w:r>
            <w:r>
              <w:rPr>
                <w:spacing w:val="-9"/>
                <w:sz w:val="22"/>
              </w:rPr>
              <w:t> </w:t>
            </w:r>
            <w:r>
              <w:rPr>
                <w:sz w:val="22"/>
              </w:rPr>
              <w:t>in</w:t>
            </w:r>
            <w:r>
              <w:rPr>
                <w:spacing w:val="-8"/>
                <w:sz w:val="22"/>
              </w:rPr>
              <w:t> </w:t>
            </w:r>
            <w:r>
              <w:rPr>
                <w:sz w:val="22"/>
              </w:rPr>
              <w:t>case</w:t>
            </w:r>
            <w:r>
              <w:rPr>
                <w:spacing w:val="-6"/>
                <w:sz w:val="22"/>
              </w:rPr>
              <w:t> </w:t>
            </w:r>
            <w:r>
              <w:rPr>
                <w:sz w:val="22"/>
              </w:rPr>
              <w:t>of hazardous building</w:t>
            </w:r>
          </w:p>
        </w:tc>
      </w:tr>
      <w:tr>
        <w:trPr>
          <w:trHeight w:val="1387" w:hRule="atLeast"/>
        </w:trPr>
        <w:tc>
          <w:tcPr>
            <w:tcW w:w="864" w:type="dxa"/>
          </w:tcPr>
          <w:p>
            <w:pPr>
              <w:pStyle w:val="TableParagraph"/>
              <w:spacing w:before="94"/>
              <w:ind w:left="107"/>
              <w:rPr>
                <w:sz w:val="22"/>
              </w:rPr>
            </w:pPr>
            <w:r>
              <w:rPr>
                <w:spacing w:val="-10"/>
                <w:sz w:val="22"/>
              </w:rPr>
              <w:t>5</w:t>
            </w:r>
          </w:p>
        </w:tc>
        <w:tc>
          <w:tcPr>
            <w:tcW w:w="1985" w:type="dxa"/>
          </w:tcPr>
          <w:p>
            <w:pPr>
              <w:pStyle w:val="TableParagraph"/>
              <w:spacing w:line="257" w:lineRule="exact"/>
              <w:ind w:left="107"/>
              <w:rPr>
                <w:sz w:val="22"/>
              </w:rPr>
            </w:pPr>
            <w:r>
              <w:rPr>
                <w:spacing w:val="-5"/>
                <w:sz w:val="22"/>
              </w:rPr>
              <w:t>Do.</w:t>
            </w:r>
          </w:p>
        </w:tc>
        <w:tc>
          <w:tcPr>
            <w:tcW w:w="3259" w:type="dxa"/>
          </w:tcPr>
          <w:p>
            <w:pPr>
              <w:pStyle w:val="TableParagraph"/>
              <w:ind w:left="108" w:right="131"/>
              <w:rPr>
                <w:sz w:val="22"/>
              </w:rPr>
            </w:pPr>
            <w:r>
              <w:rPr>
                <w:sz w:val="22"/>
              </w:rPr>
              <w:t>Residential</w:t>
            </w:r>
            <w:r>
              <w:rPr>
                <w:spacing w:val="-18"/>
                <w:sz w:val="22"/>
              </w:rPr>
              <w:t> </w:t>
            </w:r>
            <w:r>
              <w:rPr>
                <w:sz w:val="22"/>
              </w:rPr>
              <w:t>building ifpermitted due to conversion of zone.</w:t>
            </w:r>
          </w:p>
        </w:tc>
        <w:tc>
          <w:tcPr>
            <w:tcW w:w="2801" w:type="dxa"/>
          </w:tcPr>
          <w:p>
            <w:pPr>
              <w:pStyle w:val="TableParagraph"/>
              <w:tabs>
                <w:tab w:pos="1063" w:val="left" w:leader="none"/>
              </w:tabs>
              <w:ind w:left="111" w:right="86"/>
              <w:rPr>
                <w:sz w:val="22"/>
              </w:rPr>
            </w:pPr>
            <w:r>
              <w:rPr>
                <w:spacing w:val="-10"/>
                <w:sz w:val="22"/>
              </w:rPr>
              <w:t>9</w:t>
            </w:r>
            <w:r>
              <w:rPr>
                <w:sz w:val="22"/>
              </w:rPr>
              <w:tab/>
            </w:r>
            <w:r>
              <w:rPr>
                <w:spacing w:val="-2"/>
                <w:sz w:val="22"/>
              </w:rPr>
              <w:t>m&amp;52.50m(For </w:t>
            </w:r>
            <w:r>
              <w:rPr>
                <w:sz w:val="22"/>
              </w:rPr>
              <w:t>obnoxious</w:t>
            </w:r>
            <w:r>
              <w:rPr>
                <w:spacing w:val="-18"/>
                <w:sz w:val="22"/>
              </w:rPr>
              <w:t> </w:t>
            </w:r>
            <w:r>
              <w:rPr>
                <w:sz w:val="22"/>
              </w:rPr>
              <w:t>or</w:t>
            </w:r>
            <w:r>
              <w:rPr>
                <w:spacing w:val="-18"/>
                <w:sz w:val="22"/>
              </w:rPr>
              <w:t> </w:t>
            </w:r>
            <w:r>
              <w:rPr>
                <w:sz w:val="22"/>
              </w:rPr>
              <w:t>hazardous industries</w:t>
            </w:r>
            <w:r>
              <w:rPr>
                <w:spacing w:val="80"/>
                <w:sz w:val="22"/>
              </w:rPr>
              <w:t> </w:t>
            </w:r>
            <w:r>
              <w:rPr>
                <w:sz w:val="22"/>
              </w:rPr>
              <w:t>adjacent</w:t>
            </w:r>
            <w:r>
              <w:rPr>
                <w:spacing w:val="80"/>
                <w:sz w:val="22"/>
              </w:rPr>
              <w:t> </w:t>
            </w:r>
            <w:r>
              <w:rPr>
                <w:sz w:val="22"/>
              </w:rPr>
              <w:t>to </w:t>
            </w:r>
            <w:r>
              <w:rPr>
                <w:spacing w:val="-2"/>
                <w:sz w:val="22"/>
              </w:rPr>
              <w:t>residential development.)</w:t>
            </w:r>
          </w:p>
        </w:tc>
      </w:tr>
      <w:tr>
        <w:trPr>
          <w:trHeight w:val="1388" w:hRule="atLeast"/>
        </w:trPr>
        <w:tc>
          <w:tcPr>
            <w:tcW w:w="864" w:type="dxa"/>
          </w:tcPr>
          <w:p>
            <w:pPr>
              <w:pStyle w:val="TableParagraph"/>
              <w:spacing w:before="97"/>
              <w:ind w:left="107"/>
              <w:rPr>
                <w:sz w:val="22"/>
              </w:rPr>
            </w:pPr>
            <w:r>
              <w:rPr>
                <w:spacing w:val="-10"/>
                <w:sz w:val="22"/>
              </w:rPr>
              <w:t>6</w:t>
            </w:r>
          </w:p>
        </w:tc>
        <w:tc>
          <w:tcPr>
            <w:tcW w:w="1985" w:type="dxa"/>
          </w:tcPr>
          <w:p>
            <w:pPr>
              <w:pStyle w:val="TableParagraph"/>
              <w:spacing w:before="1"/>
              <w:ind w:left="107"/>
              <w:rPr>
                <w:sz w:val="22"/>
              </w:rPr>
            </w:pPr>
            <w:r>
              <w:rPr>
                <w:spacing w:val="-5"/>
                <w:sz w:val="22"/>
              </w:rPr>
              <w:t>Do.</w:t>
            </w:r>
          </w:p>
        </w:tc>
        <w:tc>
          <w:tcPr>
            <w:tcW w:w="3259" w:type="dxa"/>
          </w:tcPr>
          <w:p>
            <w:pPr>
              <w:pStyle w:val="TableParagraph"/>
              <w:spacing w:before="1"/>
              <w:ind w:left="108"/>
              <w:rPr>
                <w:sz w:val="22"/>
              </w:rPr>
            </w:pPr>
            <w:r>
              <w:rPr>
                <w:sz w:val="22"/>
              </w:rPr>
              <w:t>Other</w:t>
            </w:r>
            <w:r>
              <w:rPr>
                <w:spacing w:val="-18"/>
                <w:sz w:val="22"/>
              </w:rPr>
              <w:t> </w:t>
            </w:r>
            <w:r>
              <w:rPr>
                <w:sz w:val="22"/>
              </w:rPr>
              <w:t>non-industrial</w:t>
            </w:r>
            <w:r>
              <w:rPr>
                <w:spacing w:val="-17"/>
                <w:sz w:val="22"/>
              </w:rPr>
              <w:t> </w:t>
            </w:r>
            <w:r>
              <w:rPr>
                <w:sz w:val="22"/>
              </w:rPr>
              <w:t>users </w:t>
            </w:r>
            <w:r>
              <w:rPr>
                <w:spacing w:val="-2"/>
                <w:sz w:val="22"/>
              </w:rPr>
              <w:t>permitted.</w:t>
            </w:r>
          </w:p>
        </w:tc>
        <w:tc>
          <w:tcPr>
            <w:tcW w:w="2801" w:type="dxa"/>
          </w:tcPr>
          <w:p>
            <w:pPr>
              <w:pStyle w:val="TableParagraph"/>
              <w:spacing w:before="1"/>
              <w:ind w:left="111" w:right="235"/>
              <w:rPr>
                <w:sz w:val="22"/>
              </w:rPr>
            </w:pPr>
            <w:r>
              <w:rPr>
                <w:sz w:val="22"/>
              </w:rPr>
              <w:t>(i) 6m upto </w:t>
            </w:r>
            <w:r>
              <w:rPr>
                <w:rFonts w:ascii="Arial"/>
                <w:sz w:val="22"/>
              </w:rPr>
              <w:t>3</w:t>
            </w:r>
            <w:r>
              <w:rPr>
                <w:sz w:val="22"/>
              </w:rPr>
              <w:t>2min height.(ii) For height, more than 32 m, 6m plus 0.25m for every meter</w:t>
            </w:r>
            <w:r>
              <w:rPr>
                <w:spacing w:val="-14"/>
                <w:sz w:val="22"/>
              </w:rPr>
              <w:t> </w:t>
            </w:r>
            <w:r>
              <w:rPr>
                <w:sz w:val="22"/>
              </w:rPr>
              <w:t>or</w:t>
            </w:r>
            <w:r>
              <w:rPr>
                <w:spacing w:val="-12"/>
                <w:sz w:val="22"/>
              </w:rPr>
              <w:t> </w:t>
            </w:r>
            <w:r>
              <w:rPr>
                <w:sz w:val="22"/>
              </w:rPr>
              <w:t>part</w:t>
            </w:r>
            <w:r>
              <w:rPr>
                <w:spacing w:val="-11"/>
                <w:sz w:val="22"/>
              </w:rPr>
              <w:t> </w:t>
            </w:r>
            <w:r>
              <w:rPr>
                <w:sz w:val="22"/>
              </w:rPr>
              <w:t>thereof.</w:t>
            </w:r>
          </w:p>
        </w:tc>
      </w:tr>
    </w:tbl>
    <w:p>
      <w:pPr>
        <w:pStyle w:val="TableParagraph"/>
        <w:spacing w:after="0"/>
        <w:rPr>
          <w:sz w:val="22"/>
        </w:rPr>
        <w:sectPr>
          <w:pgSz w:w="11910" w:h="16840"/>
          <w:pgMar w:header="1058" w:footer="1201" w:top="1500" w:bottom="1400" w:left="360" w:right="360"/>
        </w:sectPr>
      </w:pPr>
    </w:p>
    <w:p>
      <w:pPr>
        <w:spacing w:before="255"/>
        <w:ind w:left="1313" w:right="0" w:firstLine="0"/>
        <w:jc w:val="both"/>
        <w:rPr>
          <w:sz w:val="24"/>
        </w:rPr>
      </w:pPr>
      <w:r>
        <w:rPr>
          <w:i/>
          <w:sz w:val="24"/>
        </w:rPr>
        <w:t>Explanation</w:t>
      </w:r>
      <w:r>
        <w:rPr>
          <w:i/>
          <w:spacing w:val="65"/>
          <w:sz w:val="24"/>
        </w:rPr>
        <w:t> </w:t>
      </w:r>
      <w:r>
        <w:rPr>
          <w:i/>
          <w:sz w:val="24"/>
        </w:rPr>
        <w:t>to</w:t>
      </w:r>
      <w:r>
        <w:rPr>
          <w:i/>
          <w:spacing w:val="66"/>
          <w:sz w:val="24"/>
        </w:rPr>
        <w:t> </w:t>
      </w:r>
      <w:r>
        <w:rPr>
          <w:i/>
          <w:sz w:val="24"/>
        </w:rPr>
        <w:t>Table</w:t>
      </w:r>
      <w:r>
        <w:rPr>
          <w:i/>
          <w:spacing w:val="71"/>
          <w:sz w:val="24"/>
        </w:rPr>
        <w:t> </w:t>
      </w:r>
      <w:r>
        <w:rPr>
          <w:spacing w:val="-5"/>
          <w:sz w:val="24"/>
        </w:rPr>
        <w:t>B-</w:t>
      </w:r>
    </w:p>
    <w:p>
      <w:pPr>
        <w:pStyle w:val="ListParagraph"/>
        <w:numPr>
          <w:ilvl w:val="1"/>
          <w:numId w:val="290"/>
        </w:numPr>
        <w:tabs>
          <w:tab w:pos="1663" w:val="left" w:leader="none"/>
        </w:tabs>
        <w:spacing w:line="240" w:lineRule="auto" w:before="1" w:after="0"/>
        <w:ind w:left="1313" w:right="784" w:firstLine="0"/>
        <w:jc w:val="both"/>
        <w:rPr>
          <w:sz w:val="24"/>
        </w:rPr>
      </w:pPr>
      <w:r>
        <w:rPr>
          <w:sz w:val="24"/>
        </w:rPr>
        <w:t>The</w:t>
      </w:r>
      <w:r>
        <w:rPr>
          <w:spacing w:val="40"/>
          <w:sz w:val="24"/>
        </w:rPr>
        <w:t> </w:t>
      </w:r>
      <w:r>
        <w:rPr>
          <w:sz w:val="24"/>
        </w:rPr>
        <w:t>minimum</w:t>
      </w:r>
      <w:r>
        <w:rPr>
          <w:spacing w:val="40"/>
          <w:sz w:val="24"/>
        </w:rPr>
        <w:t> </w:t>
      </w:r>
      <w:r>
        <w:rPr>
          <w:sz w:val="24"/>
        </w:rPr>
        <w:t>segregating</w:t>
      </w:r>
      <w:r>
        <w:rPr>
          <w:spacing w:val="40"/>
          <w:sz w:val="24"/>
        </w:rPr>
        <w:t> </w:t>
      </w:r>
      <w:r>
        <w:rPr>
          <w:sz w:val="24"/>
        </w:rPr>
        <w:t>distance</w:t>
      </w:r>
      <w:r>
        <w:rPr>
          <w:spacing w:val="40"/>
          <w:sz w:val="24"/>
        </w:rPr>
        <w:t> </w:t>
      </w:r>
      <w:r>
        <w:rPr>
          <w:sz w:val="24"/>
        </w:rPr>
        <w:t>between</w:t>
      </w:r>
      <w:r>
        <w:rPr>
          <w:spacing w:val="40"/>
          <w:sz w:val="24"/>
        </w:rPr>
        <w:t> </w:t>
      </w:r>
      <w:r>
        <w:rPr>
          <w:sz w:val="24"/>
        </w:rPr>
        <w:t>different</w:t>
      </w:r>
      <w:r>
        <w:rPr>
          <w:spacing w:val="40"/>
          <w:sz w:val="24"/>
        </w:rPr>
        <w:t> </w:t>
      </w:r>
      <w:r>
        <w:rPr>
          <w:spacing w:val="10"/>
          <w:sz w:val="24"/>
        </w:rPr>
        <w:t>zones</w:t>
      </w:r>
      <w:r>
        <w:rPr>
          <w:spacing w:val="40"/>
          <w:sz w:val="24"/>
        </w:rPr>
        <w:t> </w:t>
      </w:r>
      <w:r>
        <w:rPr>
          <w:sz w:val="24"/>
        </w:rPr>
        <w:t>shall</w:t>
      </w:r>
      <w:r>
        <w:rPr>
          <w:spacing w:val="40"/>
          <w:sz w:val="24"/>
        </w:rPr>
        <w:t> </w:t>
      </w:r>
      <w:r>
        <w:rPr>
          <w:sz w:val="24"/>
        </w:rPr>
        <w:t>be</w:t>
      </w:r>
      <w:r>
        <w:rPr>
          <w:spacing w:val="40"/>
          <w:sz w:val="24"/>
        </w:rPr>
        <w:t> </w:t>
      </w:r>
      <w:r>
        <w:rPr>
          <w:sz w:val="24"/>
        </w:rPr>
        <w:t>the distance as measured from the opposite edge of the </w:t>
      </w:r>
      <w:r>
        <w:rPr>
          <w:spacing w:val="9"/>
          <w:sz w:val="24"/>
        </w:rPr>
        <w:t>road/Nalla/Watercourse</w:t>
      </w:r>
      <w:r>
        <w:rPr>
          <w:spacing w:val="40"/>
          <w:sz w:val="24"/>
        </w:rPr>
        <w:t> </w:t>
      </w:r>
      <w:r>
        <w:rPr>
          <w:sz w:val="24"/>
        </w:rPr>
        <w:t>(existing</w:t>
      </w:r>
      <w:r>
        <w:rPr>
          <w:spacing w:val="40"/>
          <w:sz w:val="24"/>
        </w:rPr>
        <w:t> </w:t>
      </w:r>
      <w:r>
        <w:rPr>
          <w:sz w:val="24"/>
        </w:rPr>
        <w:t>or</w:t>
      </w:r>
      <w:r>
        <w:rPr>
          <w:spacing w:val="40"/>
          <w:sz w:val="24"/>
        </w:rPr>
        <w:t> </w:t>
      </w:r>
      <w:r>
        <w:rPr>
          <w:sz w:val="24"/>
        </w:rPr>
        <w:t>proposed)</w:t>
      </w:r>
      <w:r>
        <w:rPr>
          <w:spacing w:val="40"/>
          <w:sz w:val="24"/>
        </w:rPr>
        <w:t> </w:t>
      </w:r>
      <w:r>
        <w:rPr>
          <w:sz w:val="24"/>
        </w:rPr>
        <w:t>in</w:t>
      </w:r>
      <w:r>
        <w:rPr>
          <w:spacing w:val="40"/>
          <w:sz w:val="24"/>
        </w:rPr>
        <w:t> </w:t>
      </w:r>
      <w:r>
        <w:rPr>
          <w:sz w:val="24"/>
        </w:rPr>
        <w:t>which</w:t>
      </w:r>
      <w:r>
        <w:rPr>
          <w:spacing w:val="40"/>
          <w:sz w:val="24"/>
        </w:rPr>
        <w:t> </w:t>
      </w:r>
      <w:r>
        <w:rPr>
          <w:sz w:val="24"/>
        </w:rPr>
        <w:t>the</w:t>
      </w:r>
      <w:r>
        <w:rPr>
          <w:spacing w:val="40"/>
          <w:sz w:val="24"/>
        </w:rPr>
        <w:t> </w:t>
      </w:r>
      <w:r>
        <w:rPr>
          <w:sz w:val="24"/>
        </w:rPr>
        <w:t>zone happens to </w:t>
      </w:r>
      <w:r>
        <w:rPr>
          <w:spacing w:val="9"/>
          <w:sz w:val="24"/>
        </w:rPr>
        <w:t>abut.</w:t>
      </w:r>
    </w:p>
    <w:p>
      <w:pPr>
        <w:pStyle w:val="BodyText"/>
        <w:jc w:val="left"/>
      </w:pPr>
    </w:p>
    <w:p>
      <w:pPr>
        <w:pStyle w:val="ListParagraph"/>
        <w:numPr>
          <w:ilvl w:val="1"/>
          <w:numId w:val="290"/>
        </w:numPr>
        <w:tabs>
          <w:tab w:pos="1638" w:val="left" w:leader="none"/>
        </w:tabs>
        <w:spacing w:line="240" w:lineRule="auto" w:before="0" w:after="0"/>
        <w:ind w:left="1313" w:right="781" w:firstLine="0"/>
        <w:jc w:val="both"/>
        <w:rPr>
          <w:sz w:val="24"/>
        </w:rPr>
      </w:pPr>
      <w:r>
        <w:rPr>
          <w:sz w:val="24"/>
        </w:rPr>
        <w:t>These</w:t>
      </w:r>
      <w:r>
        <w:rPr>
          <w:spacing w:val="40"/>
          <w:sz w:val="24"/>
        </w:rPr>
        <w:t> </w:t>
      </w:r>
      <w:r>
        <w:rPr>
          <w:sz w:val="24"/>
        </w:rPr>
        <w:t>segregating</w:t>
      </w:r>
      <w:r>
        <w:rPr>
          <w:spacing w:val="40"/>
          <w:sz w:val="24"/>
        </w:rPr>
        <w:t> </w:t>
      </w:r>
      <w:r>
        <w:rPr>
          <w:sz w:val="24"/>
        </w:rPr>
        <w:t>distances</w:t>
      </w:r>
      <w:r>
        <w:rPr>
          <w:spacing w:val="40"/>
          <w:sz w:val="24"/>
        </w:rPr>
        <w:t> </w:t>
      </w:r>
      <w:r>
        <w:rPr>
          <w:sz w:val="24"/>
        </w:rPr>
        <w:t>from</w:t>
      </w:r>
      <w:r>
        <w:rPr>
          <w:spacing w:val="40"/>
          <w:sz w:val="24"/>
        </w:rPr>
        <w:t> </w:t>
      </w:r>
      <w:r>
        <w:rPr>
          <w:sz w:val="24"/>
        </w:rPr>
        <w:t>the</w:t>
      </w:r>
      <w:r>
        <w:rPr>
          <w:spacing w:val="40"/>
          <w:sz w:val="24"/>
        </w:rPr>
        <w:t> </w:t>
      </w:r>
      <w:r>
        <w:rPr>
          <w:sz w:val="24"/>
        </w:rPr>
        <w:t>adjoining</w:t>
      </w:r>
      <w:r>
        <w:rPr>
          <w:spacing w:val="40"/>
          <w:sz w:val="24"/>
        </w:rPr>
        <w:t> </w:t>
      </w:r>
      <w:r>
        <w:rPr>
          <w:sz w:val="24"/>
        </w:rPr>
        <w:t>plot</w:t>
      </w:r>
      <w:r>
        <w:rPr>
          <w:spacing w:val="40"/>
          <w:sz w:val="24"/>
        </w:rPr>
        <w:t> </w:t>
      </w:r>
      <w:r>
        <w:rPr>
          <w:sz w:val="24"/>
        </w:rPr>
        <w:t>as</w:t>
      </w:r>
      <w:r>
        <w:rPr>
          <w:spacing w:val="40"/>
          <w:sz w:val="24"/>
        </w:rPr>
        <w:t> </w:t>
      </w:r>
      <w:r>
        <w:rPr>
          <w:sz w:val="24"/>
        </w:rPr>
        <w:t>stated</w:t>
      </w:r>
      <w:r>
        <w:rPr>
          <w:spacing w:val="40"/>
          <w:sz w:val="24"/>
        </w:rPr>
        <w:t> </w:t>
      </w:r>
      <w:r>
        <w:rPr>
          <w:sz w:val="24"/>
        </w:rPr>
        <w:t>above shall</w:t>
      </w:r>
      <w:r>
        <w:rPr>
          <w:spacing w:val="80"/>
          <w:sz w:val="24"/>
        </w:rPr>
        <w:t> </w:t>
      </w:r>
      <w:r>
        <w:rPr>
          <w:sz w:val="24"/>
        </w:rPr>
        <w:t>not</w:t>
      </w:r>
      <w:r>
        <w:rPr>
          <w:spacing w:val="80"/>
          <w:sz w:val="24"/>
        </w:rPr>
        <w:t> </w:t>
      </w:r>
      <w:r>
        <w:rPr>
          <w:sz w:val="24"/>
        </w:rPr>
        <w:t>be</w:t>
      </w:r>
      <w:r>
        <w:rPr>
          <w:spacing w:val="80"/>
          <w:sz w:val="24"/>
        </w:rPr>
        <w:t> </w:t>
      </w:r>
      <w:r>
        <w:rPr>
          <w:sz w:val="24"/>
        </w:rPr>
        <w:t>insisted</w:t>
      </w:r>
      <w:r>
        <w:rPr>
          <w:spacing w:val="80"/>
          <w:sz w:val="24"/>
        </w:rPr>
        <w:t> </w:t>
      </w:r>
      <w:r>
        <w:rPr>
          <w:sz w:val="24"/>
        </w:rPr>
        <w:t>upon</w:t>
      </w:r>
      <w:r>
        <w:rPr>
          <w:spacing w:val="80"/>
          <w:sz w:val="24"/>
        </w:rPr>
        <w:t> </w:t>
      </w:r>
      <w:r>
        <w:rPr>
          <w:sz w:val="24"/>
        </w:rPr>
        <w:t>where</w:t>
      </w:r>
      <w:r>
        <w:rPr>
          <w:spacing w:val="80"/>
          <w:sz w:val="24"/>
        </w:rPr>
        <w:t> </w:t>
      </w:r>
      <w:r>
        <w:rPr>
          <w:spacing w:val="9"/>
          <w:sz w:val="24"/>
        </w:rPr>
        <w:t>non-</w:t>
      </w:r>
      <w:r>
        <w:rPr>
          <w:sz w:val="24"/>
        </w:rPr>
        <w:t>industrial</w:t>
      </w:r>
      <w:r>
        <w:rPr>
          <w:spacing w:val="80"/>
          <w:sz w:val="24"/>
        </w:rPr>
        <w:t> </w:t>
      </w:r>
      <w:r>
        <w:rPr>
          <w:sz w:val="24"/>
        </w:rPr>
        <w:t>development</w:t>
      </w:r>
      <w:r>
        <w:rPr>
          <w:spacing w:val="80"/>
          <w:sz w:val="24"/>
        </w:rPr>
        <w:t> </w:t>
      </w:r>
      <w:r>
        <w:rPr>
          <w:sz w:val="24"/>
        </w:rPr>
        <w:t>has already been permitted by conversion of zone in the said </w:t>
      </w:r>
      <w:r>
        <w:rPr>
          <w:spacing w:val="9"/>
          <w:sz w:val="24"/>
        </w:rPr>
        <w:t>adjoining </w:t>
      </w:r>
      <w:r>
        <w:rPr>
          <w:sz w:val="24"/>
        </w:rPr>
        <w:t>plot situated</w:t>
      </w:r>
      <w:r>
        <w:rPr>
          <w:spacing w:val="40"/>
          <w:sz w:val="24"/>
        </w:rPr>
        <w:t> </w:t>
      </w:r>
      <w:r>
        <w:rPr>
          <w:sz w:val="24"/>
        </w:rPr>
        <w:t>in</w:t>
      </w:r>
      <w:r>
        <w:rPr>
          <w:spacing w:val="40"/>
          <w:sz w:val="24"/>
        </w:rPr>
        <w:t> </w:t>
      </w:r>
      <w:r>
        <w:rPr>
          <w:sz w:val="24"/>
        </w:rPr>
        <w:t>Industrial</w:t>
      </w:r>
      <w:r>
        <w:rPr>
          <w:spacing w:val="40"/>
          <w:sz w:val="24"/>
        </w:rPr>
        <w:t> </w:t>
      </w:r>
      <w:r>
        <w:rPr>
          <w:sz w:val="24"/>
        </w:rPr>
        <w:t>zone.</w:t>
      </w:r>
    </w:p>
    <w:p>
      <w:pPr>
        <w:pStyle w:val="BodyText"/>
        <w:jc w:val="left"/>
      </w:pPr>
    </w:p>
    <w:p>
      <w:pPr>
        <w:pStyle w:val="ListParagraph"/>
        <w:numPr>
          <w:ilvl w:val="1"/>
          <w:numId w:val="290"/>
        </w:numPr>
        <w:tabs>
          <w:tab w:pos="1866" w:val="left" w:leader="none"/>
        </w:tabs>
        <w:spacing w:line="240" w:lineRule="auto" w:before="0" w:after="0"/>
        <w:ind w:left="1313" w:right="785" w:firstLine="0"/>
        <w:jc w:val="both"/>
        <w:rPr>
          <w:sz w:val="24"/>
        </w:rPr>
      </w:pPr>
      <w:r>
        <w:rPr>
          <w:sz w:val="24"/>
        </w:rPr>
        <w:t>In the case of residential development and other </w:t>
      </w:r>
      <w:r>
        <w:rPr>
          <w:spacing w:val="12"/>
          <w:sz w:val="24"/>
        </w:rPr>
        <w:t>non-</w:t>
      </w:r>
      <w:r>
        <w:rPr>
          <w:sz w:val="24"/>
        </w:rPr>
        <w:t>industrial development permitted in the industrial zone, the area within the</w:t>
      </w:r>
      <w:r>
        <w:rPr>
          <w:spacing w:val="80"/>
          <w:sz w:val="24"/>
        </w:rPr>
        <w:t> </w:t>
      </w:r>
      <w:r>
        <w:rPr>
          <w:sz w:val="24"/>
        </w:rPr>
        <w:t>segregating distance as provided in the Table </w:t>
      </w:r>
      <w:r>
        <w:rPr>
          <w:spacing w:val="10"/>
          <w:sz w:val="24"/>
        </w:rPr>
        <w:t>18-</w:t>
      </w:r>
      <w:r>
        <w:rPr>
          <w:sz w:val="24"/>
        </w:rPr>
        <w:t>B shall be planted with tress</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5</w:t>
      </w:r>
      <w:r>
        <w:rPr>
          <w:spacing w:val="40"/>
          <w:sz w:val="24"/>
        </w:rPr>
        <w:t> </w:t>
      </w:r>
      <w:r>
        <w:rPr>
          <w:sz w:val="24"/>
        </w:rPr>
        <w:t>per</w:t>
      </w:r>
      <w:r>
        <w:rPr>
          <w:spacing w:val="40"/>
          <w:sz w:val="24"/>
        </w:rPr>
        <w:t> </w:t>
      </w:r>
      <w:r>
        <w:rPr>
          <w:sz w:val="24"/>
        </w:rPr>
        <w:t>100</w:t>
      </w:r>
      <w:r>
        <w:rPr>
          <w:spacing w:val="40"/>
          <w:sz w:val="24"/>
        </w:rPr>
        <w:t> </w:t>
      </w:r>
      <w:r>
        <w:rPr>
          <w:sz w:val="24"/>
        </w:rPr>
        <w:t>sq.m</w:t>
      </w:r>
      <w:r>
        <w:rPr>
          <w:spacing w:val="40"/>
          <w:sz w:val="24"/>
        </w:rPr>
        <w:t> </w:t>
      </w:r>
      <w:r>
        <w:rPr>
          <w:sz w:val="24"/>
        </w:rPr>
        <w:t>of</w:t>
      </w:r>
      <w:r>
        <w:rPr>
          <w:spacing w:val="40"/>
          <w:sz w:val="24"/>
        </w:rPr>
        <w:t> </w:t>
      </w:r>
      <w:r>
        <w:rPr>
          <w:sz w:val="24"/>
        </w:rPr>
        <w:t>such</w:t>
      </w:r>
      <w:r>
        <w:rPr>
          <w:spacing w:val="40"/>
          <w:sz w:val="24"/>
        </w:rPr>
        <w:t> </w:t>
      </w:r>
      <w:r>
        <w:rPr>
          <w:sz w:val="24"/>
        </w:rPr>
        <w:t>area.</w:t>
      </w:r>
    </w:p>
    <w:p>
      <w:pPr>
        <w:pStyle w:val="Heading6"/>
        <w:numPr>
          <w:ilvl w:val="0"/>
          <w:numId w:val="286"/>
        </w:numPr>
        <w:tabs>
          <w:tab w:pos="1313" w:val="left" w:leader="none"/>
          <w:tab w:pos="2006" w:val="left" w:leader="none"/>
          <w:tab w:pos="3463" w:val="left" w:leader="none"/>
          <w:tab w:pos="5892" w:val="left" w:leader="none"/>
          <w:tab w:pos="7108" w:val="left" w:leader="none"/>
          <w:tab w:pos="8648" w:val="left" w:leader="none"/>
          <w:tab w:pos="9852" w:val="left" w:leader="none"/>
        </w:tabs>
        <w:spacing w:line="240" w:lineRule="auto" w:before="280" w:after="0"/>
        <w:ind w:left="1313" w:right="777" w:hanging="257"/>
        <w:jc w:val="both"/>
        <w:rPr>
          <w:b w:val="0"/>
          <w:i w:val="0"/>
        </w:rPr>
      </w:pPr>
      <w:r>
        <w:rPr/>
        <w:t>Provisions</w:t>
      </w:r>
      <w:r>
        <w:rPr>
          <w:spacing w:val="80"/>
        </w:rPr>
        <w:t> </w:t>
      </w:r>
      <w:r>
        <w:rPr/>
        <w:t>in</w:t>
      </w:r>
      <w:r>
        <w:rPr>
          <w:spacing w:val="80"/>
        </w:rPr>
        <w:t> </w:t>
      </w:r>
      <w:r>
        <w:rPr/>
        <w:t>open</w:t>
      </w:r>
      <w:r>
        <w:rPr>
          <w:spacing w:val="80"/>
        </w:rPr>
        <w:t> </w:t>
      </w:r>
      <w:r>
        <w:rPr/>
        <w:t>spaces</w:t>
      </w:r>
      <w:r>
        <w:rPr>
          <w:spacing w:val="80"/>
        </w:rPr>
        <w:t> </w:t>
      </w:r>
      <w:r>
        <w:rPr/>
        <w:t>for</w:t>
      </w:r>
      <w:r>
        <w:rPr>
          <w:spacing w:val="80"/>
        </w:rPr>
        <w:t> </w:t>
      </w:r>
      <w:r>
        <w:rPr/>
        <w:t>plots</w:t>
      </w:r>
      <w:r>
        <w:rPr>
          <w:spacing w:val="80"/>
        </w:rPr>
        <w:t> </w:t>
      </w:r>
      <w:r>
        <w:rPr/>
        <w:t>in Reconstruction/Redevelopment Schemes under the </w:t>
      </w:r>
      <w:r>
        <w:rPr>
          <w:spacing w:val="9"/>
        </w:rPr>
        <w:t>Maharashtra </w:t>
      </w:r>
      <w:r>
        <w:rPr/>
        <w:t>Housing and Area Development Authority Act, 1976, Slum Rehabilitation Authority and Redevelopment Scheme of </w:t>
      </w:r>
      <w:r>
        <w:rPr>
          <w:spacing w:val="9"/>
        </w:rPr>
        <w:t>municipal </w:t>
      </w:r>
      <w:r>
        <w:rPr>
          <w:spacing w:val="-2"/>
        </w:rPr>
        <w:t>tenanted</w:t>
      </w:r>
      <w:r>
        <w:rPr/>
        <w:tab/>
      </w:r>
      <w:r>
        <w:rPr>
          <w:spacing w:val="-2"/>
        </w:rPr>
        <w:t>properties;</w:t>
      </w:r>
      <w:r>
        <w:rPr/>
        <w:tab/>
      </w:r>
      <w:r>
        <w:rPr>
          <w:spacing w:val="-6"/>
        </w:rPr>
        <w:t>in</w:t>
      </w:r>
      <w:r>
        <w:rPr/>
        <w:tab/>
      </w:r>
      <w:r>
        <w:rPr>
          <w:spacing w:val="-4"/>
        </w:rPr>
        <w:t>case</w:t>
      </w:r>
      <w:r>
        <w:rPr/>
        <w:tab/>
      </w:r>
      <w:r>
        <w:rPr>
          <w:spacing w:val="-6"/>
        </w:rPr>
        <w:t>of</w:t>
      </w:r>
      <w:r>
        <w:rPr/>
        <w:tab/>
      </w:r>
      <w:r>
        <w:rPr>
          <w:spacing w:val="-4"/>
        </w:rPr>
        <w:t>DCR </w:t>
      </w:r>
      <w:r>
        <w:rPr>
          <w:spacing w:val="7"/>
        </w:rPr>
        <w:t>33(5),33(6),33(7),33(7)(A),33(7)(B),33(9),33(9)(A),33(9)(B),33(10),33(10</w:t>
      </w:r>
    </w:p>
    <w:p>
      <w:pPr>
        <w:spacing w:line="281" w:lineRule="exact" w:before="0"/>
        <w:ind w:left="1313" w:right="0" w:firstLine="0"/>
        <w:jc w:val="both"/>
        <w:rPr>
          <w:b/>
          <w:i/>
          <w:sz w:val="24"/>
        </w:rPr>
      </w:pPr>
      <w:r>
        <w:rPr>
          <w:b/>
          <w:i/>
          <w:spacing w:val="6"/>
          <w:sz w:val="24"/>
        </w:rPr>
        <w:t>)(A),33(11),33(15)and</w:t>
      </w:r>
      <w:r>
        <w:rPr>
          <w:b/>
          <w:i/>
          <w:spacing w:val="40"/>
          <w:w w:val="150"/>
          <w:sz w:val="24"/>
        </w:rPr>
        <w:t> </w:t>
      </w:r>
      <w:r>
        <w:rPr>
          <w:b/>
          <w:i/>
          <w:spacing w:val="-2"/>
          <w:sz w:val="24"/>
        </w:rPr>
        <w:t>33(20)(A).</w:t>
      </w:r>
    </w:p>
    <w:p>
      <w:pPr>
        <w:pStyle w:val="BodyText"/>
        <w:spacing w:before="2"/>
        <w:ind w:left="1313" w:right="787" w:firstLine="26"/>
      </w:pPr>
      <w:r>
        <w:rPr/>
        <w:t>The following provisions shall only be applicable in case of rehab and composite building. Composite building in Rehab scheme is the building where</w:t>
      </w:r>
      <w:r>
        <w:rPr>
          <w:spacing w:val="40"/>
        </w:rPr>
        <w:t> </w:t>
      </w:r>
      <w:r>
        <w:rPr/>
        <w:t>the</w:t>
      </w:r>
      <w:r>
        <w:rPr>
          <w:spacing w:val="40"/>
        </w:rPr>
        <w:t> </w:t>
      </w:r>
      <w:r>
        <w:rPr/>
        <w:t>rehab</w:t>
      </w:r>
      <w:r>
        <w:rPr>
          <w:spacing w:val="40"/>
        </w:rPr>
        <w:t> </w:t>
      </w:r>
      <w:r>
        <w:rPr/>
        <w:t>component</w:t>
      </w:r>
      <w:r>
        <w:rPr>
          <w:spacing w:val="40"/>
        </w:rPr>
        <w:t> </w:t>
      </w:r>
      <w:r>
        <w:rPr/>
        <w:t>is</w:t>
      </w:r>
      <w:r>
        <w:rPr>
          <w:spacing w:val="40"/>
        </w:rPr>
        <w:t> </w:t>
      </w:r>
      <w:r>
        <w:rPr/>
        <w:t>equal</w:t>
      </w:r>
      <w:r>
        <w:rPr>
          <w:spacing w:val="40"/>
        </w:rPr>
        <w:t> </w:t>
      </w:r>
      <w:r>
        <w:rPr/>
        <w:t>to</w:t>
      </w:r>
      <w:r>
        <w:rPr>
          <w:spacing w:val="40"/>
        </w:rPr>
        <w:t> </w:t>
      </w:r>
      <w:r>
        <w:rPr/>
        <w:t>or</w:t>
      </w:r>
      <w:r>
        <w:rPr>
          <w:spacing w:val="40"/>
        </w:rPr>
        <w:t> </w:t>
      </w:r>
      <w:r>
        <w:rPr/>
        <w:t>more</w:t>
      </w:r>
      <w:r>
        <w:rPr>
          <w:spacing w:val="40"/>
        </w:rPr>
        <w:t> </w:t>
      </w:r>
      <w:r>
        <w:rPr/>
        <w:t>than</w:t>
      </w:r>
      <w:r>
        <w:rPr>
          <w:spacing w:val="40"/>
        </w:rPr>
        <w:t> </w:t>
      </w:r>
      <w:r>
        <w:rPr>
          <w:spacing w:val="9"/>
        </w:rPr>
        <w:t>50%.</w:t>
      </w:r>
    </w:p>
    <w:p>
      <w:pPr>
        <w:pStyle w:val="BodyText"/>
        <w:spacing w:before="1"/>
        <w:jc w:val="left"/>
      </w:pPr>
    </w:p>
    <w:p>
      <w:pPr>
        <w:pStyle w:val="ListParagraph"/>
        <w:numPr>
          <w:ilvl w:val="1"/>
          <w:numId w:val="286"/>
        </w:numPr>
        <w:tabs>
          <w:tab w:pos="1670" w:val="left" w:leader="none"/>
        </w:tabs>
        <w:spacing w:line="240" w:lineRule="auto" w:before="1" w:after="0"/>
        <w:ind w:left="1313" w:right="785" w:firstLine="0"/>
        <w:jc w:val="both"/>
        <w:rPr>
          <w:sz w:val="24"/>
        </w:rPr>
      </w:pPr>
      <w:r>
        <w:rPr>
          <w:sz w:val="24"/>
        </w:rPr>
        <w:t>Notwithstanding</w:t>
      </w:r>
      <w:r>
        <w:rPr>
          <w:spacing w:val="80"/>
          <w:sz w:val="24"/>
        </w:rPr>
        <w:t> </w:t>
      </w:r>
      <w:r>
        <w:rPr>
          <w:sz w:val="24"/>
        </w:rPr>
        <w:t>the</w:t>
      </w:r>
      <w:r>
        <w:rPr>
          <w:spacing w:val="80"/>
          <w:sz w:val="24"/>
        </w:rPr>
        <w:t> </w:t>
      </w:r>
      <w:r>
        <w:rPr>
          <w:sz w:val="24"/>
        </w:rPr>
        <w:t>provisions</w:t>
      </w:r>
      <w:r>
        <w:rPr>
          <w:spacing w:val="80"/>
          <w:sz w:val="24"/>
        </w:rPr>
        <w:t> </w:t>
      </w:r>
      <w:r>
        <w:rPr>
          <w:sz w:val="24"/>
        </w:rPr>
        <w:t>contained</w:t>
      </w:r>
      <w:r>
        <w:rPr>
          <w:spacing w:val="80"/>
          <w:sz w:val="24"/>
        </w:rPr>
        <w:t> </w:t>
      </w:r>
      <w:r>
        <w:rPr>
          <w:sz w:val="24"/>
        </w:rPr>
        <w:t>in</w:t>
      </w:r>
      <w:r>
        <w:rPr>
          <w:spacing w:val="80"/>
          <w:sz w:val="24"/>
        </w:rPr>
        <w:t> </w:t>
      </w:r>
      <w:r>
        <w:rPr>
          <w:spacing w:val="10"/>
          <w:sz w:val="24"/>
        </w:rPr>
        <w:t>sub-</w:t>
      </w:r>
      <w:r>
        <w:rPr>
          <w:sz w:val="24"/>
        </w:rPr>
        <w:t>Regulations</w:t>
      </w:r>
      <w:r>
        <w:rPr>
          <w:spacing w:val="80"/>
          <w:sz w:val="24"/>
        </w:rPr>
        <w:t> </w:t>
      </w:r>
      <w:r>
        <w:rPr>
          <w:sz w:val="24"/>
        </w:rPr>
        <w:t>(2)</w:t>
      </w:r>
      <w:r>
        <w:rPr>
          <w:spacing w:val="80"/>
          <w:sz w:val="24"/>
        </w:rPr>
        <w:t> </w:t>
      </w:r>
      <w:r>
        <w:rPr>
          <w:sz w:val="24"/>
        </w:rPr>
        <w:t>of this Regulation,</w:t>
      </w:r>
    </w:p>
    <w:p>
      <w:pPr>
        <w:pStyle w:val="ListParagraph"/>
        <w:numPr>
          <w:ilvl w:val="2"/>
          <w:numId w:val="286"/>
        </w:numPr>
        <w:tabs>
          <w:tab w:pos="1642" w:val="left" w:leader="none"/>
        </w:tabs>
        <w:spacing w:line="281" w:lineRule="exact" w:before="281" w:after="0"/>
        <w:ind w:left="1642" w:right="0" w:hanging="329"/>
        <w:jc w:val="both"/>
        <w:rPr>
          <w:sz w:val="24"/>
        </w:rPr>
      </w:pPr>
      <w:r>
        <w:rPr>
          <w:sz w:val="24"/>
        </w:rPr>
        <w:t>For</w:t>
      </w:r>
      <w:r>
        <w:rPr>
          <w:spacing w:val="44"/>
          <w:sz w:val="24"/>
        </w:rPr>
        <w:t> </w:t>
      </w:r>
      <w:r>
        <w:rPr>
          <w:sz w:val="24"/>
        </w:rPr>
        <w:t>a</w:t>
      </w:r>
      <w:r>
        <w:rPr>
          <w:spacing w:val="48"/>
          <w:sz w:val="24"/>
        </w:rPr>
        <w:t> </w:t>
      </w:r>
      <w:r>
        <w:rPr>
          <w:sz w:val="24"/>
        </w:rPr>
        <w:t>building</w:t>
      </w:r>
      <w:r>
        <w:rPr>
          <w:spacing w:val="43"/>
          <w:sz w:val="24"/>
        </w:rPr>
        <w:t> </w:t>
      </w:r>
      <w:r>
        <w:rPr>
          <w:sz w:val="24"/>
        </w:rPr>
        <w:t>up</w:t>
      </w:r>
      <w:r>
        <w:rPr>
          <w:spacing w:val="44"/>
          <w:sz w:val="24"/>
        </w:rPr>
        <w:t> </w:t>
      </w:r>
      <w:r>
        <w:rPr>
          <w:sz w:val="24"/>
        </w:rPr>
        <w:t>to</w:t>
      </w:r>
      <w:r>
        <w:rPr>
          <w:spacing w:val="50"/>
          <w:sz w:val="24"/>
        </w:rPr>
        <w:t> </w:t>
      </w:r>
      <w:r>
        <w:rPr>
          <w:sz w:val="24"/>
        </w:rPr>
        <w:t>height</w:t>
      </w:r>
      <w:r>
        <w:rPr>
          <w:spacing w:val="43"/>
          <w:sz w:val="24"/>
        </w:rPr>
        <w:t> </w:t>
      </w:r>
      <w:r>
        <w:rPr>
          <w:sz w:val="24"/>
        </w:rPr>
        <w:t>32m</w:t>
      </w:r>
      <w:r>
        <w:rPr>
          <w:spacing w:val="44"/>
          <w:sz w:val="24"/>
        </w:rPr>
        <w:t> </w:t>
      </w:r>
      <w:r>
        <w:rPr>
          <w:sz w:val="24"/>
        </w:rPr>
        <w:t>the</w:t>
      </w:r>
      <w:r>
        <w:rPr>
          <w:spacing w:val="43"/>
          <w:sz w:val="24"/>
        </w:rPr>
        <w:t> </w:t>
      </w:r>
      <w:r>
        <w:rPr>
          <w:sz w:val="24"/>
        </w:rPr>
        <w:t>front</w:t>
      </w:r>
      <w:r>
        <w:rPr>
          <w:spacing w:val="49"/>
          <w:sz w:val="24"/>
        </w:rPr>
        <w:t> </w:t>
      </w:r>
      <w:r>
        <w:rPr>
          <w:sz w:val="24"/>
        </w:rPr>
        <w:t>open</w:t>
      </w:r>
      <w:r>
        <w:rPr>
          <w:spacing w:val="43"/>
          <w:sz w:val="24"/>
        </w:rPr>
        <w:t> </w:t>
      </w:r>
      <w:r>
        <w:rPr>
          <w:sz w:val="24"/>
        </w:rPr>
        <w:t>space</w:t>
      </w:r>
      <w:r>
        <w:rPr>
          <w:spacing w:val="48"/>
          <w:sz w:val="24"/>
        </w:rPr>
        <w:t> </w:t>
      </w:r>
      <w:r>
        <w:rPr>
          <w:sz w:val="24"/>
        </w:rPr>
        <w:t>shall</w:t>
      </w:r>
      <w:r>
        <w:rPr>
          <w:spacing w:val="43"/>
          <w:sz w:val="24"/>
        </w:rPr>
        <w:t> </w:t>
      </w:r>
      <w:r>
        <w:rPr>
          <w:sz w:val="24"/>
        </w:rPr>
        <w:t>be</w:t>
      </w:r>
      <w:r>
        <w:rPr>
          <w:spacing w:val="48"/>
          <w:sz w:val="24"/>
        </w:rPr>
        <w:t> </w:t>
      </w:r>
      <w:r>
        <w:rPr>
          <w:sz w:val="24"/>
        </w:rPr>
        <w:t>3.0</w:t>
      </w:r>
      <w:r>
        <w:rPr>
          <w:spacing w:val="45"/>
          <w:sz w:val="24"/>
        </w:rPr>
        <w:t> </w:t>
      </w:r>
      <w:r>
        <w:rPr>
          <w:spacing w:val="-5"/>
          <w:sz w:val="24"/>
        </w:rPr>
        <w:t>m.</w:t>
      </w:r>
    </w:p>
    <w:p>
      <w:pPr>
        <w:pStyle w:val="ListParagraph"/>
        <w:numPr>
          <w:ilvl w:val="2"/>
          <w:numId w:val="286"/>
        </w:numPr>
        <w:tabs>
          <w:tab w:pos="1706" w:val="left" w:leader="none"/>
        </w:tabs>
        <w:spacing w:line="240" w:lineRule="auto" w:before="0" w:after="0"/>
        <w:ind w:left="1313" w:right="790" w:firstLine="0"/>
        <w:jc w:val="both"/>
        <w:rPr>
          <w:sz w:val="24"/>
        </w:rPr>
      </w:pPr>
      <w:r>
        <w:rPr>
          <w:sz w:val="24"/>
        </w:rPr>
        <w:t>For a building, up to height 32 m, side and rear marginal open spaces may</w:t>
      </w:r>
      <w:r>
        <w:rPr>
          <w:spacing w:val="40"/>
          <w:sz w:val="24"/>
        </w:rPr>
        <w:t> </w:t>
      </w:r>
      <w:r>
        <w:rPr>
          <w:sz w:val="24"/>
        </w:rPr>
        <w:t>be</w:t>
      </w:r>
      <w:r>
        <w:rPr>
          <w:spacing w:val="40"/>
          <w:sz w:val="24"/>
        </w:rPr>
        <w:t> </w:t>
      </w:r>
      <w:r>
        <w:rPr>
          <w:sz w:val="24"/>
        </w:rPr>
        <w:t>reduced</w:t>
      </w:r>
      <w:r>
        <w:rPr>
          <w:spacing w:val="40"/>
          <w:sz w:val="24"/>
        </w:rPr>
        <w:t> </w:t>
      </w:r>
      <w:r>
        <w:rPr>
          <w:sz w:val="24"/>
        </w:rPr>
        <w:t>to</w:t>
      </w:r>
      <w:r>
        <w:rPr>
          <w:spacing w:val="40"/>
          <w:sz w:val="24"/>
        </w:rPr>
        <w:t> </w:t>
      </w:r>
      <w:r>
        <w:rPr>
          <w:sz w:val="24"/>
        </w:rPr>
        <w:t>3.0</w:t>
      </w:r>
      <w:r>
        <w:rPr>
          <w:spacing w:val="40"/>
          <w:sz w:val="24"/>
        </w:rPr>
        <w:t> </w:t>
      </w:r>
      <w:r>
        <w:rPr>
          <w:sz w:val="24"/>
        </w:rPr>
        <w:t>m.</w:t>
      </w:r>
    </w:p>
    <w:p>
      <w:pPr>
        <w:pStyle w:val="ListParagraph"/>
        <w:numPr>
          <w:ilvl w:val="2"/>
          <w:numId w:val="286"/>
        </w:numPr>
        <w:tabs>
          <w:tab w:pos="1820" w:val="left" w:leader="none"/>
        </w:tabs>
        <w:spacing w:line="240" w:lineRule="auto" w:before="0" w:after="0"/>
        <w:ind w:left="1313" w:right="780" w:firstLine="0"/>
        <w:jc w:val="both"/>
        <w:rPr>
          <w:sz w:val="24"/>
        </w:rPr>
      </w:pPr>
      <w:r>
        <w:rPr>
          <w:sz w:val="24"/>
        </w:rPr>
        <w:t>for</w:t>
      </w:r>
      <w:r>
        <w:rPr>
          <w:spacing w:val="40"/>
          <w:sz w:val="24"/>
        </w:rPr>
        <w:t> </w:t>
      </w:r>
      <w:r>
        <w:rPr>
          <w:sz w:val="24"/>
        </w:rPr>
        <w:t>a</w:t>
      </w:r>
      <w:r>
        <w:rPr>
          <w:spacing w:val="40"/>
          <w:sz w:val="24"/>
        </w:rPr>
        <w:t> </w:t>
      </w:r>
      <w:r>
        <w:rPr>
          <w:sz w:val="24"/>
        </w:rPr>
        <w:t>building</w:t>
      </w:r>
      <w:r>
        <w:rPr>
          <w:spacing w:val="40"/>
          <w:sz w:val="24"/>
        </w:rPr>
        <w:t> </w:t>
      </w:r>
      <w:r>
        <w:rPr>
          <w:sz w:val="24"/>
        </w:rPr>
        <w:t>with</w:t>
      </w:r>
      <w:r>
        <w:rPr>
          <w:spacing w:val="40"/>
          <w:sz w:val="24"/>
        </w:rPr>
        <w:t> </w:t>
      </w:r>
      <w:r>
        <w:rPr>
          <w:sz w:val="24"/>
        </w:rPr>
        <w:t>height</w:t>
      </w:r>
      <w:r>
        <w:rPr>
          <w:spacing w:val="40"/>
          <w:sz w:val="24"/>
        </w:rPr>
        <w:t> </w:t>
      </w:r>
      <w:r>
        <w:rPr>
          <w:sz w:val="24"/>
        </w:rPr>
        <w:t>more</w:t>
      </w:r>
      <w:r>
        <w:rPr>
          <w:spacing w:val="40"/>
          <w:sz w:val="24"/>
        </w:rPr>
        <w:t> </w:t>
      </w:r>
      <w:r>
        <w:rPr>
          <w:sz w:val="24"/>
        </w:rPr>
        <w:t>than</w:t>
      </w:r>
      <w:r>
        <w:rPr>
          <w:spacing w:val="40"/>
          <w:sz w:val="24"/>
        </w:rPr>
        <w:t> </w:t>
      </w:r>
      <w:r>
        <w:rPr>
          <w:sz w:val="24"/>
        </w:rPr>
        <w:t>32</w:t>
      </w:r>
      <w:r>
        <w:rPr>
          <w:spacing w:val="40"/>
          <w:sz w:val="24"/>
        </w:rPr>
        <w:t> </w:t>
      </w:r>
      <w:r>
        <w:rPr>
          <w:sz w:val="24"/>
        </w:rPr>
        <w:t>m</w:t>
      </w:r>
      <w:r>
        <w:rPr>
          <w:spacing w:val="40"/>
          <w:sz w:val="24"/>
        </w:rPr>
        <w:t> </w:t>
      </w:r>
      <w:r>
        <w:rPr>
          <w:sz w:val="24"/>
        </w:rPr>
        <w:t>but</w:t>
      </w:r>
      <w:r>
        <w:rPr>
          <w:spacing w:val="40"/>
          <w:sz w:val="24"/>
        </w:rPr>
        <w:t> </w:t>
      </w:r>
      <w:r>
        <w:rPr>
          <w:sz w:val="24"/>
        </w:rPr>
        <w:t>upto</w:t>
      </w:r>
      <w:r>
        <w:rPr>
          <w:spacing w:val="40"/>
          <w:sz w:val="24"/>
        </w:rPr>
        <w:t> </w:t>
      </w:r>
      <w:r>
        <w:rPr>
          <w:sz w:val="24"/>
        </w:rPr>
        <w:t>70</w:t>
      </w:r>
      <w:r>
        <w:rPr>
          <w:spacing w:val="40"/>
          <w:sz w:val="24"/>
        </w:rPr>
        <w:t> </w:t>
      </w:r>
      <w:r>
        <w:rPr>
          <w:sz w:val="24"/>
        </w:rPr>
        <w:t>m</w:t>
      </w:r>
      <w:r>
        <w:rPr>
          <w:spacing w:val="40"/>
          <w:sz w:val="24"/>
        </w:rPr>
        <w:t> </w:t>
      </w:r>
      <w:r>
        <w:rPr>
          <w:sz w:val="24"/>
        </w:rPr>
        <w:t>the</w:t>
      </w:r>
      <w:r>
        <w:rPr>
          <w:spacing w:val="40"/>
          <w:sz w:val="24"/>
        </w:rPr>
        <w:t> </w:t>
      </w:r>
      <w:r>
        <w:rPr>
          <w:sz w:val="24"/>
        </w:rPr>
        <w:t>side and</w:t>
      </w:r>
      <w:r>
        <w:rPr>
          <w:spacing w:val="40"/>
          <w:sz w:val="24"/>
        </w:rPr>
        <w:t> </w:t>
      </w:r>
      <w:r>
        <w:rPr>
          <w:sz w:val="24"/>
        </w:rPr>
        <w:t>rear</w:t>
      </w:r>
      <w:r>
        <w:rPr>
          <w:spacing w:val="40"/>
          <w:sz w:val="24"/>
        </w:rPr>
        <w:t> </w:t>
      </w:r>
      <w:r>
        <w:rPr>
          <w:sz w:val="24"/>
        </w:rPr>
        <w:t>marginal</w:t>
      </w:r>
      <w:r>
        <w:rPr>
          <w:spacing w:val="40"/>
          <w:sz w:val="24"/>
        </w:rPr>
        <w:t> </w:t>
      </w:r>
      <w:r>
        <w:rPr>
          <w:sz w:val="24"/>
        </w:rPr>
        <w:t>open</w:t>
      </w:r>
      <w:r>
        <w:rPr>
          <w:spacing w:val="40"/>
          <w:sz w:val="24"/>
        </w:rPr>
        <w:t> </w:t>
      </w:r>
      <w:r>
        <w:rPr>
          <w:sz w:val="24"/>
        </w:rPr>
        <w:t>spaces</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6</w:t>
      </w:r>
      <w:r>
        <w:rPr>
          <w:spacing w:val="40"/>
          <w:sz w:val="24"/>
        </w:rPr>
        <w:t> </w:t>
      </w:r>
      <w:r>
        <w:rPr>
          <w:sz w:val="24"/>
        </w:rPr>
        <w:t>m</w:t>
      </w:r>
      <w:r>
        <w:rPr>
          <w:spacing w:val="40"/>
          <w:sz w:val="24"/>
        </w:rPr>
        <w:t> </w:t>
      </w:r>
      <w:r>
        <w:rPr>
          <w:sz w:val="24"/>
        </w:rPr>
        <w:t>and</w:t>
      </w:r>
      <w:r>
        <w:rPr>
          <w:spacing w:val="40"/>
          <w:sz w:val="24"/>
        </w:rPr>
        <w:t> </w:t>
      </w:r>
      <w:r>
        <w:rPr>
          <w:sz w:val="24"/>
        </w:rPr>
        <w:t>for</w:t>
      </w:r>
      <w:r>
        <w:rPr>
          <w:spacing w:val="40"/>
          <w:sz w:val="24"/>
        </w:rPr>
        <w:t> </w:t>
      </w:r>
      <w:r>
        <w:rPr>
          <w:sz w:val="24"/>
        </w:rPr>
        <w:t>a building</w:t>
      </w:r>
      <w:r>
        <w:rPr>
          <w:spacing w:val="40"/>
          <w:sz w:val="24"/>
        </w:rPr>
        <w:t> </w:t>
      </w:r>
      <w:r>
        <w:rPr>
          <w:sz w:val="24"/>
        </w:rPr>
        <w:t>with</w:t>
      </w:r>
      <w:r>
        <w:rPr>
          <w:spacing w:val="40"/>
          <w:sz w:val="24"/>
        </w:rPr>
        <w:t> </w:t>
      </w:r>
      <w:r>
        <w:rPr>
          <w:sz w:val="24"/>
        </w:rPr>
        <w:t>height</w:t>
      </w:r>
      <w:r>
        <w:rPr>
          <w:spacing w:val="40"/>
          <w:sz w:val="24"/>
        </w:rPr>
        <w:t> </w:t>
      </w:r>
      <w:r>
        <w:rPr>
          <w:sz w:val="24"/>
        </w:rPr>
        <w:t>more</w:t>
      </w:r>
      <w:r>
        <w:rPr>
          <w:spacing w:val="40"/>
          <w:sz w:val="24"/>
        </w:rPr>
        <w:t> </w:t>
      </w:r>
      <w:r>
        <w:rPr>
          <w:sz w:val="24"/>
        </w:rPr>
        <w:t>than</w:t>
      </w:r>
      <w:r>
        <w:rPr>
          <w:spacing w:val="40"/>
          <w:sz w:val="24"/>
        </w:rPr>
        <w:t> </w:t>
      </w:r>
      <w:r>
        <w:rPr>
          <w:sz w:val="24"/>
        </w:rPr>
        <w:t>70</w:t>
      </w:r>
      <w:r>
        <w:rPr>
          <w:spacing w:val="40"/>
          <w:sz w:val="24"/>
        </w:rPr>
        <w:t> </w:t>
      </w:r>
      <w:r>
        <w:rPr>
          <w:sz w:val="24"/>
        </w:rPr>
        <w:t>m</w:t>
      </w:r>
      <w:r>
        <w:rPr>
          <w:spacing w:val="40"/>
          <w:sz w:val="24"/>
        </w:rPr>
        <w:t> </w:t>
      </w:r>
      <w:r>
        <w:rPr>
          <w:sz w:val="24"/>
        </w:rPr>
        <w:t>the</w:t>
      </w:r>
      <w:r>
        <w:rPr>
          <w:spacing w:val="40"/>
          <w:sz w:val="24"/>
        </w:rPr>
        <w:t> </w:t>
      </w:r>
      <w:r>
        <w:rPr>
          <w:sz w:val="24"/>
        </w:rPr>
        <w:t>side</w:t>
      </w:r>
      <w:r>
        <w:rPr>
          <w:spacing w:val="40"/>
          <w:sz w:val="24"/>
        </w:rPr>
        <w:t> </w:t>
      </w:r>
      <w:r>
        <w:rPr>
          <w:sz w:val="24"/>
        </w:rPr>
        <w:t>and</w:t>
      </w:r>
      <w:r>
        <w:rPr>
          <w:spacing w:val="40"/>
          <w:sz w:val="24"/>
        </w:rPr>
        <w:t> </w:t>
      </w:r>
      <w:r>
        <w:rPr>
          <w:sz w:val="24"/>
        </w:rPr>
        <w:t>rear</w:t>
      </w:r>
      <w:r>
        <w:rPr>
          <w:spacing w:val="40"/>
          <w:sz w:val="24"/>
        </w:rPr>
        <w:t> </w:t>
      </w:r>
      <w:r>
        <w:rPr>
          <w:sz w:val="24"/>
        </w:rPr>
        <w:t>marginal</w:t>
      </w:r>
      <w:r>
        <w:rPr>
          <w:spacing w:val="40"/>
          <w:sz w:val="24"/>
        </w:rPr>
        <w:t> </w:t>
      </w:r>
      <w:r>
        <w:rPr>
          <w:sz w:val="24"/>
        </w:rPr>
        <w:t>open spaces shall not be less than 9 mand 12 m beyond 120 m subject to fulfillment</w:t>
      </w:r>
      <w:r>
        <w:rPr>
          <w:spacing w:val="80"/>
          <w:sz w:val="24"/>
        </w:rPr>
        <w:t> </w:t>
      </w:r>
      <w:r>
        <w:rPr>
          <w:sz w:val="24"/>
        </w:rPr>
        <w:t>of</w:t>
      </w:r>
      <w:r>
        <w:rPr>
          <w:spacing w:val="80"/>
          <w:sz w:val="24"/>
        </w:rPr>
        <w:t> </w:t>
      </w:r>
      <w:r>
        <w:rPr>
          <w:sz w:val="24"/>
        </w:rPr>
        <w:t>fire</w:t>
      </w:r>
      <w:r>
        <w:rPr>
          <w:spacing w:val="80"/>
          <w:sz w:val="24"/>
        </w:rPr>
        <w:t> </w:t>
      </w:r>
      <w:r>
        <w:rPr>
          <w:sz w:val="24"/>
        </w:rPr>
        <w:t>safety</w:t>
      </w:r>
      <w:r>
        <w:rPr>
          <w:spacing w:val="80"/>
          <w:sz w:val="24"/>
        </w:rPr>
        <w:t> </w:t>
      </w:r>
      <w:r>
        <w:rPr>
          <w:sz w:val="24"/>
        </w:rPr>
        <w:t>requirement</w:t>
      </w:r>
      <w:r>
        <w:rPr>
          <w:spacing w:val="80"/>
          <w:sz w:val="24"/>
        </w:rPr>
        <w:t> </w:t>
      </w:r>
      <w:r>
        <w:rPr>
          <w:sz w:val="24"/>
        </w:rPr>
        <w:t>as</w:t>
      </w:r>
      <w:r>
        <w:rPr>
          <w:spacing w:val="80"/>
          <w:sz w:val="24"/>
        </w:rPr>
        <w:t> </w:t>
      </w:r>
      <w:r>
        <w:rPr>
          <w:sz w:val="24"/>
        </w:rPr>
        <w:t>specified</w:t>
      </w:r>
      <w:r>
        <w:rPr>
          <w:spacing w:val="80"/>
          <w:sz w:val="24"/>
        </w:rPr>
        <w:t> </w:t>
      </w:r>
      <w:r>
        <w:rPr>
          <w:sz w:val="24"/>
        </w:rPr>
        <w:t>in</w:t>
      </w:r>
      <w:r>
        <w:rPr>
          <w:spacing w:val="80"/>
          <w:sz w:val="24"/>
        </w:rPr>
        <w:t> </w:t>
      </w:r>
      <w:r>
        <w:rPr>
          <w:sz w:val="24"/>
        </w:rPr>
        <w:t>these</w:t>
      </w:r>
      <w:r>
        <w:rPr>
          <w:spacing w:val="80"/>
          <w:sz w:val="24"/>
        </w:rPr>
        <w:t> </w:t>
      </w:r>
      <w:r>
        <w:rPr>
          <w:sz w:val="24"/>
        </w:rPr>
        <w:t>Regulations.</w:t>
      </w:r>
    </w:p>
    <w:p>
      <w:pPr>
        <w:pStyle w:val="BodyText"/>
        <w:jc w:val="left"/>
      </w:pPr>
    </w:p>
    <w:p>
      <w:pPr>
        <w:pStyle w:val="Heading6"/>
        <w:ind w:left="1313"/>
        <w:jc w:val="both"/>
        <w:rPr>
          <w:i w:val="0"/>
        </w:rPr>
      </w:pPr>
      <w:r>
        <w:rPr>
          <w:b w:val="0"/>
          <w:i w:val="0"/>
        </w:rPr>
        <w:t>(6).</w:t>
      </w:r>
      <w:r>
        <w:rPr/>
        <w:t>Open</w:t>
      </w:r>
      <w:r>
        <w:rPr>
          <w:spacing w:val="60"/>
        </w:rPr>
        <w:t> </w:t>
      </w:r>
      <w:r>
        <w:rPr/>
        <w:t>spaces</w:t>
      </w:r>
      <w:r>
        <w:rPr>
          <w:spacing w:val="57"/>
        </w:rPr>
        <w:t> </w:t>
      </w:r>
      <w:r>
        <w:rPr/>
        <w:t>for</w:t>
      </w:r>
      <w:r>
        <w:rPr>
          <w:spacing w:val="56"/>
        </w:rPr>
        <w:t> </w:t>
      </w:r>
      <w:r>
        <w:rPr/>
        <w:t>various</w:t>
      </w:r>
      <w:r>
        <w:rPr>
          <w:spacing w:val="56"/>
        </w:rPr>
        <w:t> </w:t>
      </w:r>
      <w:r>
        <w:rPr/>
        <w:t>types</w:t>
      </w:r>
      <w:r>
        <w:rPr>
          <w:spacing w:val="57"/>
        </w:rPr>
        <w:t> </w:t>
      </w:r>
      <w:r>
        <w:rPr/>
        <w:t>of</w:t>
      </w:r>
      <w:r>
        <w:rPr>
          <w:spacing w:val="61"/>
        </w:rPr>
        <w:t> </w:t>
      </w:r>
      <w:r>
        <w:rPr>
          <w:spacing w:val="7"/>
        </w:rPr>
        <w:t>buildings</w:t>
      </w:r>
      <w:r>
        <w:rPr>
          <w:i w:val="0"/>
          <w:spacing w:val="7"/>
        </w:rPr>
        <w:t>-</w:t>
      </w:r>
    </w:p>
    <w:p>
      <w:pPr>
        <w:pStyle w:val="BodyText"/>
        <w:jc w:val="left"/>
        <w:rPr>
          <w:b/>
        </w:rPr>
      </w:pPr>
    </w:p>
    <w:p>
      <w:pPr>
        <w:pStyle w:val="ListParagraph"/>
        <w:numPr>
          <w:ilvl w:val="3"/>
          <w:numId w:val="286"/>
        </w:numPr>
        <w:tabs>
          <w:tab w:pos="1623" w:val="left" w:leader="none"/>
        </w:tabs>
        <w:spacing w:line="240" w:lineRule="auto" w:before="0" w:after="0"/>
        <w:ind w:left="1313" w:right="785" w:firstLine="0"/>
        <w:jc w:val="both"/>
        <w:rPr>
          <w:sz w:val="24"/>
        </w:rPr>
      </w:pPr>
      <w:r>
        <w:rPr>
          <w:sz w:val="24"/>
        </w:rPr>
        <w:t>Educational buildings, hospitals, mental hospitals, maternity homes, house</w:t>
      </w:r>
      <w:r>
        <w:rPr>
          <w:spacing w:val="40"/>
          <w:sz w:val="24"/>
        </w:rPr>
        <w:t> </w:t>
      </w:r>
      <w:r>
        <w:rPr>
          <w:sz w:val="24"/>
        </w:rPr>
        <w:t>of</w:t>
      </w:r>
      <w:r>
        <w:rPr>
          <w:spacing w:val="40"/>
          <w:sz w:val="24"/>
        </w:rPr>
        <w:t> </w:t>
      </w:r>
      <w:r>
        <w:rPr>
          <w:sz w:val="24"/>
        </w:rPr>
        <w:t>correction,</w:t>
      </w:r>
      <w:r>
        <w:rPr>
          <w:spacing w:val="40"/>
          <w:sz w:val="24"/>
        </w:rPr>
        <w:t> </w:t>
      </w:r>
      <w:r>
        <w:rPr>
          <w:sz w:val="24"/>
        </w:rPr>
        <w:t>assembly</w:t>
      </w:r>
      <w:r>
        <w:rPr>
          <w:spacing w:val="40"/>
          <w:sz w:val="24"/>
        </w:rPr>
        <w:t> </w:t>
      </w:r>
      <w:r>
        <w:rPr>
          <w:sz w:val="24"/>
        </w:rPr>
        <w:t>buildings,</w:t>
      </w:r>
      <w:r>
        <w:rPr>
          <w:spacing w:val="40"/>
          <w:sz w:val="24"/>
        </w:rPr>
        <w:t> </w:t>
      </w:r>
      <w:r>
        <w:rPr>
          <w:sz w:val="24"/>
        </w:rPr>
        <w:t>mangalkaryalaya,</w:t>
      </w:r>
      <w:r>
        <w:rPr>
          <w:spacing w:val="40"/>
          <w:sz w:val="24"/>
        </w:rPr>
        <w:t> </w:t>
      </w:r>
      <w:r>
        <w:rPr>
          <w:sz w:val="24"/>
        </w:rPr>
        <w:t>markets,</w:t>
      </w:r>
      <w:r>
        <w:rPr>
          <w:spacing w:val="40"/>
          <w:sz w:val="24"/>
        </w:rPr>
        <w:t> </w:t>
      </w:r>
      <w:r>
        <w:rPr>
          <w:sz w:val="24"/>
        </w:rPr>
        <w:t>stadia,</w:t>
      </w:r>
      <w:r>
        <w:rPr>
          <w:spacing w:val="80"/>
          <w:sz w:val="24"/>
        </w:rPr>
        <w:t> </w:t>
      </w:r>
      <w:r>
        <w:rPr>
          <w:sz w:val="24"/>
        </w:rPr>
        <w:t>petrol</w:t>
      </w:r>
      <w:r>
        <w:rPr>
          <w:spacing w:val="80"/>
          <w:sz w:val="24"/>
        </w:rPr>
        <w:t> </w:t>
      </w:r>
      <w:r>
        <w:rPr>
          <w:sz w:val="24"/>
        </w:rPr>
        <w:t>filling</w:t>
      </w:r>
      <w:r>
        <w:rPr>
          <w:spacing w:val="40"/>
          <w:sz w:val="24"/>
        </w:rPr>
        <w:t> </w:t>
      </w:r>
      <w:r>
        <w:rPr>
          <w:sz w:val="24"/>
        </w:rPr>
        <w:t>and</w:t>
      </w:r>
      <w:r>
        <w:rPr>
          <w:spacing w:val="80"/>
          <w:sz w:val="24"/>
        </w:rPr>
        <w:t> </w:t>
      </w:r>
      <w:r>
        <w:rPr>
          <w:sz w:val="24"/>
        </w:rPr>
        <w:t>service</w:t>
      </w:r>
      <w:r>
        <w:rPr>
          <w:spacing w:val="80"/>
          <w:sz w:val="24"/>
        </w:rPr>
        <w:t> </w:t>
      </w:r>
      <w:r>
        <w:rPr>
          <w:sz w:val="24"/>
        </w:rPr>
        <w:t>stations:</w:t>
      </w:r>
    </w:p>
    <w:p>
      <w:pPr>
        <w:pStyle w:val="BodyText"/>
        <w:ind w:left="1313" w:right="800"/>
      </w:pPr>
      <w:r>
        <w:rPr/>
        <w:t>A minimum space 6 m wide shall be left open on all sides from the boundaries</w:t>
      </w:r>
      <w:r>
        <w:rPr>
          <w:spacing w:val="40"/>
        </w:rPr>
        <w:t> </w:t>
      </w:r>
      <w:r>
        <w:rPr/>
        <w:t>of</w:t>
      </w:r>
      <w:r>
        <w:rPr>
          <w:spacing w:val="40"/>
        </w:rPr>
        <w:t> </w:t>
      </w:r>
      <w:r>
        <w:rPr/>
        <w:t>the</w:t>
      </w:r>
      <w:r>
        <w:rPr>
          <w:spacing w:val="40"/>
        </w:rPr>
        <w:t> </w:t>
      </w:r>
      <w:r>
        <w:rPr/>
        <w:t>plot.</w:t>
      </w:r>
    </w:p>
    <w:p>
      <w:pPr>
        <w:pStyle w:val="BodyText"/>
        <w:spacing w:after="0"/>
        <w:sectPr>
          <w:pgSz w:w="11910" w:h="16840"/>
          <w:pgMar w:header="1058" w:footer="1201" w:top="1500" w:bottom="1400" w:left="360" w:right="360"/>
        </w:sectPr>
      </w:pPr>
    </w:p>
    <w:p>
      <w:pPr>
        <w:pStyle w:val="ListParagraph"/>
        <w:numPr>
          <w:ilvl w:val="3"/>
          <w:numId w:val="286"/>
        </w:numPr>
        <w:tabs>
          <w:tab w:pos="1671" w:val="left" w:leader="none"/>
        </w:tabs>
        <w:spacing w:line="240" w:lineRule="auto" w:before="255" w:after="0"/>
        <w:ind w:left="1671" w:right="0" w:hanging="358"/>
        <w:jc w:val="both"/>
        <w:rPr>
          <w:sz w:val="24"/>
        </w:rPr>
      </w:pPr>
      <w:r>
        <w:rPr>
          <w:spacing w:val="7"/>
          <w:sz w:val="24"/>
        </w:rPr>
        <w:t>Cinemas/theatres:</w:t>
      </w:r>
    </w:p>
    <w:p>
      <w:pPr>
        <w:pStyle w:val="BodyText"/>
        <w:jc w:val="left"/>
      </w:pPr>
    </w:p>
    <w:p>
      <w:pPr>
        <w:pStyle w:val="ListParagraph"/>
        <w:numPr>
          <w:ilvl w:val="4"/>
          <w:numId w:val="286"/>
        </w:numPr>
        <w:tabs>
          <w:tab w:pos="2210" w:val="left" w:leader="none"/>
        </w:tabs>
        <w:spacing w:line="240" w:lineRule="auto" w:before="0" w:after="0"/>
        <w:ind w:left="1313" w:right="771" w:firstLine="0"/>
        <w:jc w:val="both"/>
        <w:rPr>
          <w:sz w:val="24"/>
        </w:rPr>
      </w:pPr>
      <w:r>
        <w:rPr>
          <w:sz w:val="24"/>
        </w:rPr>
        <w:t>Front</w:t>
      </w:r>
      <w:r>
        <w:rPr>
          <w:spacing w:val="40"/>
          <w:sz w:val="24"/>
        </w:rPr>
        <w:t> </w:t>
      </w:r>
      <w:r>
        <w:rPr>
          <w:sz w:val="24"/>
        </w:rPr>
        <w:t>open</w:t>
      </w:r>
      <w:r>
        <w:rPr>
          <w:spacing w:val="40"/>
          <w:sz w:val="24"/>
        </w:rPr>
        <w:t> </w:t>
      </w:r>
      <w:r>
        <w:rPr>
          <w:sz w:val="24"/>
        </w:rPr>
        <w:t>space-</w:t>
      </w:r>
      <w:r>
        <w:rPr>
          <w:spacing w:val="40"/>
          <w:sz w:val="24"/>
        </w:rPr>
        <w:t> </w:t>
      </w:r>
      <w:r>
        <w:rPr>
          <w:sz w:val="24"/>
        </w:rPr>
        <w:t>A</w:t>
      </w:r>
      <w:r>
        <w:rPr>
          <w:spacing w:val="40"/>
          <w:sz w:val="24"/>
        </w:rPr>
        <w:t> </w:t>
      </w:r>
      <w:r>
        <w:rPr>
          <w:sz w:val="24"/>
        </w:rPr>
        <w:t>minimum</w:t>
      </w:r>
      <w:r>
        <w:rPr>
          <w:spacing w:val="40"/>
          <w:sz w:val="24"/>
        </w:rPr>
        <w:t> </w:t>
      </w:r>
      <w:r>
        <w:rPr>
          <w:sz w:val="24"/>
        </w:rPr>
        <w:t>open</w:t>
      </w:r>
      <w:r>
        <w:rPr>
          <w:spacing w:val="40"/>
          <w:sz w:val="24"/>
        </w:rPr>
        <w:t> </w:t>
      </w:r>
      <w:r>
        <w:rPr>
          <w:sz w:val="24"/>
        </w:rPr>
        <w:t>space</w:t>
      </w:r>
      <w:r>
        <w:rPr>
          <w:spacing w:val="40"/>
          <w:sz w:val="24"/>
        </w:rPr>
        <w:t> </w:t>
      </w:r>
      <w:r>
        <w:rPr>
          <w:sz w:val="24"/>
        </w:rPr>
        <w:t>12</w:t>
      </w:r>
      <w:r>
        <w:rPr>
          <w:spacing w:val="40"/>
          <w:sz w:val="24"/>
        </w:rPr>
        <w:t> </w:t>
      </w:r>
      <w:r>
        <w:rPr>
          <w:sz w:val="24"/>
        </w:rPr>
        <w:t>m</w:t>
      </w:r>
      <w:r>
        <w:rPr>
          <w:spacing w:val="40"/>
          <w:sz w:val="24"/>
        </w:rPr>
        <w:t> </w:t>
      </w:r>
      <w:r>
        <w:rPr>
          <w:sz w:val="24"/>
        </w:rPr>
        <w:t>wide</w:t>
      </w:r>
      <w:r>
        <w:rPr>
          <w:spacing w:val="40"/>
          <w:sz w:val="24"/>
        </w:rPr>
        <w:t> </w:t>
      </w:r>
      <w:r>
        <w:rPr>
          <w:sz w:val="24"/>
        </w:rPr>
        <w:t>from</w:t>
      </w:r>
      <w:r>
        <w:rPr>
          <w:spacing w:val="68"/>
          <w:sz w:val="24"/>
        </w:rPr>
        <w:t> </w:t>
      </w:r>
      <w:r>
        <w:rPr>
          <w:sz w:val="24"/>
        </w:rPr>
        <w:t>edge</w:t>
      </w:r>
      <w:r>
        <w:rPr>
          <w:spacing w:val="40"/>
          <w:sz w:val="24"/>
        </w:rPr>
        <w:t> </w:t>
      </w:r>
      <w:r>
        <w:rPr>
          <w:sz w:val="24"/>
        </w:rPr>
        <w:t>of the road or 37 m from the centre of National Highway/State Highway/Major</w:t>
      </w:r>
      <w:r>
        <w:rPr>
          <w:spacing w:val="80"/>
          <w:sz w:val="24"/>
        </w:rPr>
        <w:t> </w:t>
      </w:r>
      <w:r>
        <w:rPr>
          <w:sz w:val="24"/>
        </w:rPr>
        <w:t>District</w:t>
      </w:r>
      <w:r>
        <w:rPr>
          <w:spacing w:val="80"/>
          <w:sz w:val="24"/>
        </w:rPr>
        <w:t> </w:t>
      </w:r>
      <w:r>
        <w:rPr>
          <w:sz w:val="24"/>
        </w:rPr>
        <w:t>road,</w:t>
      </w:r>
      <w:r>
        <w:rPr>
          <w:spacing w:val="80"/>
          <w:sz w:val="24"/>
        </w:rPr>
        <w:t> </w:t>
      </w:r>
      <w:r>
        <w:rPr>
          <w:sz w:val="24"/>
        </w:rPr>
        <w:t>whichever</w:t>
      </w:r>
      <w:r>
        <w:rPr>
          <w:spacing w:val="80"/>
          <w:sz w:val="24"/>
        </w:rPr>
        <w:t> </w:t>
      </w:r>
      <w:r>
        <w:rPr>
          <w:sz w:val="24"/>
        </w:rPr>
        <w:t>is</w:t>
      </w:r>
      <w:r>
        <w:rPr>
          <w:spacing w:val="80"/>
          <w:sz w:val="24"/>
        </w:rPr>
        <w:t> </w:t>
      </w:r>
      <w:r>
        <w:rPr>
          <w:sz w:val="24"/>
        </w:rPr>
        <w:t>more</w:t>
      </w:r>
      <w:r>
        <w:rPr>
          <w:spacing w:val="80"/>
          <w:sz w:val="24"/>
        </w:rPr>
        <w:t> </w:t>
      </w:r>
      <w:r>
        <w:rPr>
          <w:sz w:val="24"/>
        </w:rPr>
        <w:t>is</w:t>
      </w:r>
      <w:r>
        <w:rPr>
          <w:spacing w:val="80"/>
          <w:sz w:val="24"/>
        </w:rPr>
        <w:t> </w:t>
      </w:r>
      <w:r>
        <w:rPr>
          <w:sz w:val="24"/>
        </w:rPr>
        <w:t>required..</w:t>
      </w:r>
    </w:p>
    <w:p>
      <w:pPr>
        <w:pStyle w:val="BodyText"/>
        <w:spacing w:before="1"/>
        <w:jc w:val="left"/>
      </w:pPr>
    </w:p>
    <w:p>
      <w:pPr>
        <w:pStyle w:val="BodyText"/>
        <w:ind w:left="1313" w:right="778"/>
      </w:pPr>
      <w:r>
        <w:rPr/>
        <w:t>Provided</w:t>
      </w:r>
      <w:r>
        <w:rPr>
          <w:spacing w:val="40"/>
        </w:rPr>
        <w:t> </w:t>
      </w:r>
      <w:r>
        <w:rPr/>
        <w:t>further that in case</w:t>
      </w:r>
      <w:r>
        <w:rPr>
          <w:spacing w:val="40"/>
        </w:rPr>
        <w:t> </w:t>
      </w:r>
      <w:r>
        <w:rPr/>
        <w:t>the cinema theater is proposed along with</w:t>
      </w:r>
      <w:r>
        <w:rPr>
          <w:spacing w:val="40"/>
        </w:rPr>
        <w:t> </w:t>
      </w:r>
      <w:r>
        <w:rPr/>
        <w:t>other</w:t>
      </w:r>
      <w:r>
        <w:rPr>
          <w:spacing w:val="40"/>
        </w:rPr>
        <w:t> </w:t>
      </w:r>
      <w:r>
        <w:rPr/>
        <w:t>permissible</w:t>
      </w:r>
      <w:r>
        <w:rPr>
          <w:spacing w:val="40"/>
        </w:rPr>
        <w:t> </w:t>
      </w:r>
      <w:r>
        <w:rPr/>
        <w:t>uses</w:t>
      </w:r>
      <w:r>
        <w:rPr>
          <w:spacing w:val="40"/>
        </w:rPr>
        <w:t> </w:t>
      </w:r>
      <w:r>
        <w:rPr/>
        <w:t>in</w:t>
      </w:r>
      <w:r>
        <w:rPr>
          <w:spacing w:val="40"/>
        </w:rPr>
        <w:t> </w:t>
      </w:r>
      <w:r>
        <w:rPr/>
        <w:t>building</w:t>
      </w:r>
      <w:r>
        <w:rPr>
          <w:spacing w:val="40"/>
        </w:rPr>
        <w:t> </w:t>
      </w:r>
      <w:r>
        <w:rPr/>
        <w:t>then</w:t>
      </w:r>
      <w:r>
        <w:rPr>
          <w:spacing w:val="40"/>
        </w:rPr>
        <w:t> </w:t>
      </w:r>
      <w:r>
        <w:rPr/>
        <w:t>open</w:t>
      </w:r>
      <w:r>
        <w:rPr>
          <w:spacing w:val="40"/>
        </w:rPr>
        <w:t> </w:t>
      </w:r>
      <w:r>
        <w:rPr/>
        <w:t>spaces</w:t>
      </w:r>
      <w:r>
        <w:rPr>
          <w:spacing w:val="40"/>
        </w:rPr>
        <w:t> </w:t>
      </w:r>
      <w:r>
        <w:rPr/>
        <w:t>as</w:t>
      </w:r>
      <w:r>
        <w:rPr>
          <w:spacing w:val="40"/>
        </w:rPr>
        <w:t> </w:t>
      </w:r>
      <w:r>
        <w:rPr/>
        <w:t>per</w:t>
      </w:r>
      <w:r>
        <w:rPr>
          <w:spacing w:val="40"/>
        </w:rPr>
        <w:t> </w:t>
      </w:r>
      <w:r>
        <w:rPr/>
        <w:t>requirement</w:t>
      </w:r>
      <w:r>
        <w:rPr>
          <w:spacing w:val="40"/>
        </w:rPr>
        <w:t> </w:t>
      </w:r>
      <w:r>
        <w:rPr/>
        <w:t>of</w:t>
      </w:r>
      <w:r>
        <w:rPr>
          <w:spacing w:val="40"/>
        </w:rPr>
        <w:t> </w:t>
      </w:r>
      <w:r>
        <w:rPr/>
        <w:t>special</w:t>
      </w:r>
      <w:r>
        <w:rPr>
          <w:spacing w:val="40"/>
        </w:rPr>
        <w:t> </w:t>
      </w:r>
      <w:r>
        <w:rPr/>
        <w:t>building</w:t>
      </w:r>
      <w:r>
        <w:rPr>
          <w:spacing w:val="40"/>
        </w:rPr>
        <w:t> </w:t>
      </w:r>
      <w:r>
        <w:rPr/>
        <w:t>will</w:t>
      </w:r>
      <w:r>
        <w:rPr>
          <w:spacing w:val="40"/>
        </w:rPr>
        <w:t> </w:t>
      </w:r>
      <w:r>
        <w:rPr/>
        <w:t>be</w:t>
      </w:r>
      <w:r>
        <w:rPr>
          <w:spacing w:val="40"/>
        </w:rPr>
        <w:t> </w:t>
      </w:r>
      <w:r>
        <w:rPr/>
        <w:t>considered</w:t>
      </w:r>
      <w:r>
        <w:rPr>
          <w:spacing w:val="40"/>
        </w:rPr>
        <w:t> </w:t>
      </w:r>
      <w:r>
        <w:rPr/>
        <w:t>deemed</w:t>
      </w:r>
      <w:r>
        <w:rPr>
          <w:spacing w:val="40"/>
        </w:rPr>
        <w:t> </w:t>
      </w:r>
      <w:r>
        <w:rPr/>
        <w:t>to</w:t>
      </w:r>
      <w:r>
        <w:rPr>
          <w:spacing w:val="40"/>
        </w:rPr>
        <w:t> </w:t>
      </w:r>
      <w:r>
        <w:rPr/>
        <w:t>be</w:t>
      </w:r>
      <w:r>
        <w:rPr>
          <w:spacing w:val="40"/>
        </w:rPr>
        <w:t> </w:t>
      </w:r>
      <w:r>
        <w:rPr/>
        <w:t>sufficient</w:t>
      </w:r>
      <w:r>
        <w:rPr>
          <w:spacing w:val="40"/>
        </w:rPr>
        <w:t> </w:t>
      </w:r>
      <w:r>
        <w:rPr/>
        <w:t>where waiting</w:t>
      </w:r>
      <w:r>
        <w:rPr>
          <w:spacing w:val="40"/>
        </w:rPr>
        <w:t> </w:t>
      </w:r>
      <w:r>
        <w:rPr/>
        <w:t>area</w:t>
      </w:r>
      <w:r>
        <w:rPr>
          <w:spacing w:val="40"/>
        </w:rPr>
        <w:t> </w:t>
      </w:r>
      <w:r>
        <w:rPr/>
        <w:t>for</w:t>
      </w:r>
      <w:r>
        <w:rPr>
          <w:spacing w:val="40"/>
        </w:rPr>
        <w:t> </w:t>
      </w:r>
      <w:r>
        <w:rPr/>
        <w:t>patron</w:t>
      </w:r>
      <w:r>
        <w:rPr>
          <w:spacing w:val="80"/>
        </w:rPr>
        <w:t> </w:t>
      </w:r>
      <w:r>
        <w:rPr/>
        <w:t>is</w:t>
      </w:r>
      <w:r>
        <w:rPr>
          <w:spacing w:val="40"/>
        </w:rPr>
        <w:t> </w:t>
      </w:r>
      <w:r>
        <w:rPr/>
        <w:t>provided</w:t>
      </w:r>
      <w:r>
        <w:rPr>
          <w:spacing w:val="40"/>
        </w:rPr>
        <w:t> </w:t>
      </w:r>
      <w:r>
        <w:rPr/>
        <w:t>within</w:t>
      </w:r>
      <w:r>
        <w:rPr>
          <w:spacing w:val="40"/>
        </w:rPr>
        <w:t> </w:t>
      </w:r>
      <w:r>
        <w:rPr/>
        <w:t>the</w:t>
      </w:r>
      <w:r>
        <w:rPr>
          <w:spacing w:val="80"/>
        </w:rPr>
        <w:t> </w:t>
      </w:r>
      <w:r>
        <w:rPr/>
        <w:t>building</w:t>
      </w:r>
    </w:p>
    <w:p>
      <w:pPr>
        <w:pStyle w:val="BodyText"/>
        <w:jc w:val="left"/>
      </w:pPr>
    </w:p>
    <w:p>
      <w:pPr>
        <w:pStyle w:val="ListParagraph"/>
        <w:numPr>
          <w:ilvl w:val="4"/>
          <w:numId w:val="286"/>
        </w:numPr>
        <w:tabs>
          <w:tab w:pos="1834" w:val="left" w:leader="none"/>
        </w:tabs>
        <w:spacing w:line="240" w:lineRule="auto" w:before="1" w:after="0"/>
        <w:ind w:left="1313" w:right="790" w:firstLine="0"/>
        <w:jc w:val="both"/>
        <w:rPr>
          <w:sz w:val="24"/>
        </w:rPr>
      </w:pPr>
      <w:r>
        <w:rPr>
          <w:sz w:val="24"/>
        </w:rPr>
        <w:t>Side</w:t>
      </w:r>
      <w:r>
        <w:rPr>
          <w:spacing w:val="40"/>
          <w:sz w:val="24"/>
        </w:rPr>
        <w:t> </w:t>
      </w:r>
      <w:r>
        <w:rPr>
          <w:sz w:val="24"/>
        </w:rPr>
        <w:t>and</w:t>
      </w:r>
      <w:r>
        <w:rPr>
          <w:spacing w:val="40"/>
          <w:sz w:val="24"/>
        </w:rPr>
        <w:t> </w:t>
      </w:r>
      <w:r>
        <w:rPr>
          <w:sz w:val="24"/>
        </w:rPr>
        <w:t>rear</w:t>
      </w:r>
      <w:r>
        <w:rPr>
          <w:spacing w:val="40"/>
          <w:sz w:val="24"/>
        </w:rPr>
        <w:t> </w:t>
      </w:r>
      <w:r>
        <w:rPr>
          <w:sz w:val="24"/>
        </w:rPr>
        <w:t>open</w:t>
      </w:r>
      <w:r>
        <w:rPr>
          <w:spacing w:val="40"/>
          <w:sz w:val="24"/>
        </w:rPr>
        <w:t> </w:t>
      </w:r>
      <w:r>
        <w:rPr>
          <w:sz w:val="24"/>
        </w:rPr>
        <w:t>space-</w:t>
      </w:r>
      <w:r>
        <w:rPr>
          <w:spacing w:val="40"/>
          <w:sz w:val="24"/>
        </w:rPr>
        <w:t> </w:t>
      </w:r>
      <w:r>
        <w:rPr>
          <w:sz w:val="24"/>
        </w:rPr>
        <w:t>The</w:t>
      </w:r>
      <w:r>
        <w:rPr>
          <w:spacing w:val="40"/>
          <w:sz w:val="24"/>
        </w:rPr>
        <w:t> </w:t>
      </w:r>
      <w:r>
        <w:rPr>
          <w:sz w:val="24"/>
        </w:rPr>
        <w:t>side</w:t>
      </w:r>
      <w:r>
        <w:rPr>
          <w:spacing w:val="40"/>
          <w:sz w:val="24"/>
        </w:rPr>
        <w:t> </w:t>
      </w:r>
      <w:r>
        <w:rPr>
          <w:sz w:val="24"/>
        </w:rPr>
        <w:t>and</w:t>
      </w:r>
      <w:r>
        <w:rPr>
          <w:spacing w:val="40"/>
          <w:sz w:val="24"/>
        </w:rPr>
        <w:t> </w:t>
      </w:r>
      <w:r>
        <w:rPr>
          <w:sz w:val="24"/>
        </w:rPr>
        <w:t>rear</w:t>
      </w:r>
      <w:r>
        <w:rPr>
          <w:spacing w:val="40"/>
          <w:sz w:val="24"/>
        </w:rPr>
        <w:t> </w:t>
      </w:r>
      <w:r>
        <w:rPr>
          <w:sz w:val="24"/>
        </w:rPr>
        <w:t>marginal</w:t>
      </w:r>
      <w:r>
        <w:rPr>
          <w:spacing w:val="40"/>
          <w:sz w:val="24"/>
        </w:rPr>
        <w:t> </w:t>
      </w:r>
      <w:r>
        <w:rPr>
          <w:sz w:val="24"/>
        </w:rPr>
        <w:t>distances</w:t>
      </w:r>
      <w:r>
        <w:rPr>
          <w:spacing w:val="40"/>
          <w:sz w:val="24"/>
        </w:rPr>
        <w:t> </w:t>
      </w:r>
      <w:r>
        <w:rPr>
          <w:sz w:val="24"/>
        </w:rPr>
        <w:t>to</w:t>
      </w:r>
      <w:r>
        <w:rPr>
          <w:spacing w:val="40"/>
          <w:sz w:val="24"/>
        </w:rPr>
        <w:t> </w:t>
      </w:r>
      <w:r>
        <w:rPr>
          <w:sz w:val="24"/>
        </w:rPr>
        <w:t>be</w:t>
      </w:r>
      <w:r>
        <w:rPr>
          <w:spacing w:val="40"/>
          <w:sz w:val="24"/>
        </w:rPr>
        <w:t> </w:t>
      </w:r>
      <w:r>
        <w:rPr>
          <w:sz w:val="24"/>
        </w:rPr>
        <w:t>left</w:t>
      </w:r>
      <w:r>
        <w:rPr>
          <w:spacing w:val="40"/>
          <w:sz w:val="24"/>
        </w:rPr>
        <w:t> </w:t>
      </w:r>
      <w:r>
        <w:rPr>
          <w:sz w:val="24"/>
        </w:rPr>
        <w:t>open</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6</w:t>
      </w:r>
      <w:r>
        <w:rPr>
          <w:spacing w:val="40"/>
          <w:sz w:val="24"/>
        </w:rPr>
        <w:t> </w:t>
      </w:r>
      <w:r>
        <w:rPr>
          <w:sz w:val="24"/>
        </w:rPr>
        <w:t>m</w:t>
      </w:r>
      <w:r>
        <w:rPr>
          <w:spacing w:val="40"/>
          <w:sz w:val="24"/>
        </w:rPr>
        <w:t> </w:t>
      </w:r>
      <w:r>
        <w:rPr>
          <w:sz w:val="24"/>
        </w:rPr>
        <w:t>wide.</w:t>
      </w:r>
    </w:p>
    <w:p>
      <w:pPr>
        <w:pStyle w:val="ListParagraph"/>
        <w:numPr>
          <w:ilvl w:val="3"/>
          <w:numId w:val="286"/>
        </w:numPr>
        <w:tabs>
          <w:tab w:pos="1719" w:val="left" w:leader="none"/>
        </w:tabs>
        <w:spacing w:line="240" w:lineRule="auto" w:before="238" w:after="0"/>
        <w:ind w:left="1313" w:right="796" w:firstLine="0"/>
        <w:jc w:val="both"/>
        <w:rPr>
          <w:sz w:val="24"/>
        </w:rPr>
      </w:pPr>
      <w:r>
        <w:rPr>
          <w:sz w:val="24"/>
        </w:rPr>
        <w:t>For high rise and special buildings, the provisions as stipulated in Regulation</w:t>
      </w:r>
      <w:r>
        <w:rPr>
          <w:spacing w:val="40"/>
          <w:sz w:val="24"/>
        </w:rPr>
        <w:t> </w:t>
      </w:r>
      <w:r>
        <w:rPr>
          <w:sz w:val="24"/>
        </w:rPr>
        <w:t>No.</w:t>
      </w:r>
      <w:r>
        <w:rPr>
          <w:spacing w:val="40"/>
          <w:sz w:val="24"/>
        </w:rPr>
        <w:t> </w:t>
      </w:r>
      <w:r>
        <w:rPr>
          <w:sz w:val="24"/>
        </w:rPr>
        <w:t>47(1)</w:t>
      </w:r>
      <w:r>
        <w:rPr>
          <w:spacing w:val="40"/>
          <w:sz w:val="24"/>
        </w:rPr>
        <w:t> </w:t>
      </w:r>
      <w:r>
        <w:rPr>
          <w:sz w:val="24"/>
        </w:rPr>
        <w:t>shall</w:t>
      </w:r>
      <w:r>
        <w:rPr>
          <w:spacing w:val="40"/>
          <w:sz w:val="24"/>
        </w:rPr>
        <w:t> </w:t>
      </w:r>
      <w:r>
        <w:rPr>
          <w:sz w:val="24"/>
        </w:rPr>
        <w:t>apply.</w:t>
      </w:r>
    </w:p>
    <w:p>
      <w:pPr>
        <w:pStyle w:val="Heading6"/>
        <w:numPr>
          <w:ilvl w:val="0"/>
          <w:numId w:val="293"/>
        </w:numPr>
        <w:tabs>
          <w:tab w:pos="1795" w:val="left" w:leader="none"/>
        </w:tabs>
        <w:spacing w:line="240" w:lineRule="auto" w:before="239" w:after="0"/>
        <w:ind w:left="1795" w:right="0" w:hanging="482"/>
        <w:jc w:val="both"/>
      </w:pPr>
      <w:r>
        <w:rPr/>
        <w:t>Provisions</w:t>
      </w:r>
      <w:r>
        <w:rPr>
          <w:spacing w:val="55"/>
        </w:rPr>
        <w:t> </w:t>
      </w:r>
      <w:r>
        <w:rPr/>
        <w:t>regarding</w:t>
      </w:r>
      <w:r>
        <w:rPr>
          <w:spacing w:val="51"/>
        </w:rPr>
        <w:t> </w:t>
      </w:r>
      <w:r>
        <w:rPr/>
        <w:t>relaxation</w:t>
      </w:r>
      <w:r>
        <w:rPr>
          <w:spacing w:val="54"/>
        </w:rPr>
        <w:t> </w:t>
      </w:r>
      <w:r>
        <w:rPr/>
        <w:t>in</w:t>
      </w:r>
      <w:r>
        <w:rPr>
          <w:spacing w:val="50"/>
        </w:rPr>
        <w:t> </w:t>
      </w:r>
      <w:r>
        <w:rPr/>
        <w:t>open</w:t>
      </w:r>
      <w:r>
        <w:rPr>
          <w:spacing w:val="54"/>
        </w:rPr>
        <w:t> </w:t>
      </w:r>
      <w:r>
        <w:rPr/>
        <w:t>spaces</w:t>
      </w:r>
      <w:r>
        <w:rPr>
          <w:spacing w:val="51"/>
        </w:rPr>
        <w:t> </w:t>
      </w:r>
      <w:r>
        <w:rPr/>
        <w:t>in</w:t>
      </w:r>
      <w:r>
        <w:rPr>
          <w:spacing w:val="54"/>
        </w:rPr>
        <w:t> </w:t>
      </w:r>
      <w:r>
        <w:rPr/>
        <w:t>narrow</w:t>
      </w:r>
      <w:r>
        <w:rPr>
          <w:spacing w:val="56"/>
        </w:rPr>
        <w:t> </w:t>
      </w:r>
      <w:r>
        <w:rPr>
          <w:spacing w:val="7"/>
        </w:rPr>
        <w:t>plots-</w:t>
      </w:r>
    </w:p>
    <w:p>
      <w:pPr>
        <w:pStyle w:val="BodyText"/>
        <w:spacing w:before="2"/>
        <w:jc w:val="left"/>
        <w:rPr>
          <w:b/>
          <w:i/>
        </w:rPr>
      </w:pPr>
    </w:p>
    <w:p>
      <w:pPr>
        <w:pStyle w:val="ListParagraph"/>
        <w:numPr>
          <w:ilvl w:val="1"/>
          <w:numId w:val="293"/>
        </w:numPr>
        <w:tabs>
          <w:tab w:pos="1706" w:val="left" w:leader="none"/>
        </w:tabs>
        <w:spacing w:line="240" w:lineRule="auto" w:before="0" w:after="0"/>
        <w:ind w:left="1313" w:right="785" w:firstLine="0"/>
        <w:jc w:val="both"/>
        <w:rPr>
          <w:sz w:val="24"/>
        </w:rPr>
      </w:pPr>
      <w:r>
        <w:rPr>
          <w:sz w:val="24"/>
        </w:rPr>
        <w:t>Narrow</w:t>
      </w:r>
      <w:r>
        <w:rPr>
          <w:spacing w:val="40"/>
          <w:sz w:val="24"/>
        </w:rPr>
        <w:t> </w:t>
      </w:r>
      <w:r>
        <w:rPr>
          <w:sz w:val="24"/>
        </w:rPr>
        <w:t>plots</w:t>
      </w:r>
      <w:r>
        <w:rPr>
          <w:spacing w:val="40"/>
          <w:sz w:val="24"/>
        </w:rPr>
        <w:t> </w:t>
      </w:r>
      <w:r>
        <w:rPr>
          <w:sz w:val="24"/>
        </w:rPr>
        <w:t>in</w:t>
      </w:r>
      <w:r>
        <w:rPr>
          <w:spacing w:val="40"/>
          <w:sz w:val="24"/>
        </w:rPr>
        <w:t> </w:t>
      </w:r>
      <w:r>
        <w:rPr>
          <w:sz w:val="24"/>
        </w:rPr>
        <w:t>residential</w:t>
      </w:r>
      <w:r>
        <w:rPr>
          <w:spacing w:val="40"/>
          <w:sz w:val="24"/>
        </w:rPr>
        <w:t> </w:t>
      </w:r>
      <w:r>
        <w:rPr>
          <w:sz w:val="24"/>
        </w:rPr>
        <w:t>and</w:t>
      </w:r>
      <w:r>
        <w:rPr>
          <w:spacing w:val="40"/>
          <w:sz w:val="24"/>
        </w:rPr>
        <w:t> </w:t>
      </w:r>
      <w:r>
        <w:rPr>
          <w:sz w:val="24"/>
        </w:rPr>
        <w:t>commercial</w:t>
      </w:r>
      <w:r>
        <w:rPr>
          <w:spacing w:val="40"/>
          <w:sz w:val="24"/>
        </w:rPr>
        <w:t> </w:t>
      </w:r>
      <w:r>
        <w:rPr>
          <w:spacing w:val="9"/>
          <w:sz w:val="24"/>
        </w:rPr>
        <w:t>zones,viz</w:t>
      </w:r>
      <w:r>
        <w:rPr>
          <w:spacing w:val="40"/>
          <w:sz w:val="24"/>
        </w:rPr>
        <w:t> </w:t>
      </w:r>
      <w:r>
        <w:rPr>
          <w:sz w:val="24"/>
        </w:rPr>
        <w:t>those</w:t>
      </w:r>
      <w:r>
        <w:rPr>
          <w:spacing w:val="40"/>
          <w:sz w:val="24"/>
        </w:rPr>
        <w:t> </w:t>
      </w:r>
      <w:r>
        <w:rPr>
          <w:sz w:val="24"/>
        </w:rPr>
        <w:t>less</w:t>
      </w:r>
      <w:r>
        <w:rPr>
          <w:spacing w:val="40"/>
          <w:sz w:val="24"/>
        </w:rPr>
        <w:t> </w:t>
      </w:r>
      <w:r>
        <w:rPr>
          <w:sz w:val="24"/>
        </w:rPr>
        <w:t>than 15</w:t>
      </w:r>
      <w:r>
        <w:rPr>
          <w:spacing w:val="62"/>
          <w:sz w:val="24"/>
        </w:rPr>
        <w:t> </w:t>
      </w:r>
      <w:r>
        <w:rPr>
          <w:sz w:val="24"/>
        </w:rPr>
        <w:t>m</w:t>
      </w:r>
      <w:r>
        <w:rPr>
          <w:spacing w:val="64"/>
          <w:sz w:val="24"/>
        </w:rPr>
        <w:t> </w:t>
      </w:r>
      <w:r>
        <w:rPr>
          <w:sz w:val="24"/>
        </w:rPr>
        <w:t>wide</w:t>
      </w:r>
      <w:r>
        <w:rPr>
          <w:spacing w:val="64"/>
          <w:sz w:val="24"/>
        </w:rPr>
        <w:t> </w:t>
      </w:r>
      <w:r>
        <w:rPr>
          <w:sz w:val="24"/>
        </w:rPr>
        <w:t>or</w:t>
      </w:r>
      <w:r>
        <w:rPr>
          <w:spacing w:val="64"/>
          <w:sz w:val="24"/>
        </w:rPr>
        <w:t> </w:t>
      </w:r>
      <w:r>
        <w:rPr>
          <w:sz w:val="24"/>
        </w:rPr>
        <w:t>deep</w:t>
      </w:r>
      <w:r>
        <w:rPr>
          <w:spacing w:val="64"/>
          <w:sz w:val="24"/>
        </w:rPr>
        <w:t> </w:t>
      </w:r>
      <w:r>
        <w:rPr>
          <w:sz w:val="24"/>
        </w:rPr>
        <w:t>will</w:t>
      </w:r>
      <w:r>
        <w:rPr>
          <w:spacing w:val="64"/>
          <w:sz w:val="24"/>
        </w:rPr>
        <w:t> </w:t>
      </w:r>
      <w:r>
        <w:rPr>
          <w:sz w:val="24"/>
        </w:rPr>
        <w:t>be</w:t>
      </w:r>
      <w:r>
        <w:rPr>
          <w:spacing w:val="64"/>
          <w:sz w:val="24"/>
        </w:rPr>
        <w:t> </w:t>
      </w:r>
      <w:r>
        <w:rPr>
          <w:sz w:val="24"/>
        </w:rPr>
        <w:t>permitted</w:t>
      </w:r>
      <w:r>
        <w:rPr>
          <w:spacing w:val="67"/>
          <w:sz w:val="24"/>
        </w:rPr>
        <w:t> </w:t>
      </w:r>
      <w:r>
        <w:rPr>
          <w:sz w:val="24"/>
        </w:rPr>
        <w:t>the</w:t>
      </w:r>
      <w:r>
        <w:rPr>
          <w:spacing w:val="62"/>
          <w:sz w:val="24"/>
        </w:rPr>
        <w:t> </w:t>
      </w:r>
      <w:r>
        <w:rPr>
          <w:sz w:val="24"/>
        </w:rPr>
        <w:t>relaxation</w:t>
      </w:r>
      <w:r>
        <w:rPr>
          <w:spacing w:val="64"/>
          <w:sz w:val="24"/>
        </w:rPr>
        <w:t> </w:t>
      </w:r>
      <w:r>
        <w:rPr>
          <w:sz w:val="24"/>
        </w:rPr>
        <w:t>shown</w:t>
      </w:r>
      <w:r>
        <w:rPr>
          <w:spacing w:val="62"/>
          <w:sz w:val="24"/>
        </w:rPr>
        <w:t> </w:t>
      </w:r>
      <w:r>
        <w:rPr>
          <w:sz w:val="24"/>
        </w:rPr>
        <w:t>in</w:t>
      </w:r>
      <w:r>
        <w:rPr>
          <w:spacing w:val="64"/>
          <w:sz w:val="24"/>
        </w:rPr>
        <w:t> </w:t>
      </w:r>
      <w:r>
        <w:rPr>
          <w:sz w:val="24"/>
        </w:rPr>
        <w:t>column</w:t>
      </w:r>
      <w:r>
        <w:rPr>
          <w:spacing w:val="64"/>
          <w:sz w:val="24"/>
        </w:rPr>
        <w:t> </w:t>
      </w:r>
      <w:r>
        <w:rPr>
          <w:sz w:val="24"/>
        </w:rPr>
        <w:t>3 of</w:t>
      </w:r>
      <w:r>
        <w:rPr>
          <w:spacing w:val="40"/>
          <w:sz w:val="24"/>
        </w:rPr>
        <w:t> </w:t>
      </w:r>
      <w:r>
        <w:rPr>
          <w:sz w:val="24"/>
        </w:rPr>
        <w:t>Table</w:t>
      </w:r>
      <w:r>
        <w:rPr>
          <w:spacing w:val="40"/>
          <w:sz w:val="24"/>
        </w:rPr>
        <w:t> </w:t>
      </w:r>
      <w:r>
        <w:rPr>
          <w:sz w:val="24"/>
        </w:rPr>
        <w:t>No</w:t>
      </w:r>
      <w:r>
        <w:rPr>
          <w:spacing w:val="40"/>
          <w:sz w:val="24"/>
        </w:rPr>
        <w:t> </w:t>
      </w:r>
      <w:r>
        <w:rPr>
          <w:sz w:val="24"/>
        </w:rPr>
        <w:t>19</w:t>
      </w:r>
      <w:r>
        <w:rPr>
          <w:spacing w:val="40"/>
          <w:sz w:val="24"/>
        </w:rPr>
        <w:t> </w:t>
      </w:r>
      <w:r>
        <w:rPr>
          <w:sz w:val="24"/>
        </w:rPr>
        <w:t>hereunder</w:t>
      </w:r>
      <w:r>
        <w:rPr>
          <w:spacing w:val="40"/>
          <w:sz w:val="24"/>
        </w:rPr>
        <w:t> </w:t>
      </w:r>
      <w:r>
        <w:rPr>
          <w:sz w:val="24"/>
        </w:rPr>
        <w:t>subject</w:t>
      </w:r>
      <w:r>
        <w:rPr>
          <w:spacing w:val="40"/>
          <w:sz w:val="24"/>
        </w:rPr>
        <w:t> </w:t>
      </w:r>
      <w:r>
        <w:rPr>
          <w:sz w:val="24"/>
        </w:rPr>
        <w:t>to</w:t>
      </w:r>
      <w:r>
        <w:rPr>
          <w:spacing w:val="40"/>
          <w:sz w:val="24"/>
        </w:rPr>
        <w:t> </w:t>
      </w:r>
      <w:r>
        <w:rPr>
          <w:sz w:val="24"/>
        </w:rPr>
        <w:t>the</w:t>
      </w:r>
      <w:r>
        <w:rPr>
          <w:spacing w:val="40"/>
          <w:sz w:val="24"/>
        </w:rPr>
        <w:t> </w:t>
      </w:r>
      <w:r>
        <w:rPr>
          <w:sz w:val="24"/>
        </w:rPr>
        <w:t>restrictions</w:t>
      </w:r>
      <w:r>
        <w:rPr>
          <w:spacing w:val="40"/>
          <w:sz w:val="24"/>
        </w:rPr>
        <w:t> </w:t>
      </w:r>
      <w:r>
        <w:rPr>
          <w:sz w:val="24"/>
        </w:rPr>
        <w:t>in</w:t>
      </w:r>
      <w:r>
        <w:rPr>
          <w:spacing w:val="40"/>
          <w:sz w:val="24"/>
        </w:rPr>
        <w:t> </w:t>
      </w:r>
      <w:r>
        <w:rPr>
          <w:sz w:val="24"/>
        </w:rPr>
        <w:t>column</w:t>
      </w:r>
      <w:r>
        <w:rPr>
          <w:spacing w:val="40"/>
          <w:sz w:val="24"/>
        </w:rPr>
        <w:t> </w:t>
      </w:r>
      <w:r>
        <w:rPr>
          <w:sz w:val="24"/>
        </w:rPr>
        <w:t>4</w:t>
      </w:r>
      <w:r>
        <w:rPr>
          <w:spacing w:val="40"/>
          <w:sz w:val="24"/>
        </w:rPr>
        <w:t> </w:t>
      </w:r>
      <w:r>
        <w:rPr>
          <w:sz w:val="24"/>
        </w:rPr>
        <w:t>thereof.</w:t>
      </w:r>
    </w:p>
    <w:p>
      <w:pPr>
        <w:pStyle w:val="BodyText"/>
        <w:spacing w:before="1"/>
        <w:jc w:val="left"/>
      </w:pPr>
    </w:p>
    <w:p>
      <w:pPr>
        <w:pStyle w:val="Heading5"/>
        <w:spacing w:line="281" w:lineRule="exact" w:before="1"/>
        <w:ind w:left="1313"/>
        <w:jc w:val="both"/>
      </w:pPr>
      <w:r>
        <w:rPr/>
        <w:t>Table</w:t>
      </w:r>
      <w:r>
        <w:rPr>
          <w:spacing w:val="47"/>
        </w:rPr>
        <w:t> </w:t>
      </w:r>
      <w:r>
        <w:rPr/>
        <w:t>No:</w:t>
      </w:r>
      <w:r>
        <w:rPr>
          <w:spacing w:val="48"/>
        </w:rPr>
        <w:t> </w:t>
      </w:r>
      <w:r>
        <w:rPr>
          <w:spacing w:val="-5"/>
        </w:rPr>
        <w:t>19</w:t>
      </w:r>
    </w:p>
    <w:p>
      <w:pPr>
        <w:spacing w:before="0"/>
        <w:ind w:left="5187" w:right="838" w:hanging="4004"/>
        <w:jc w:val="left"/>
        <w:rPr>
          <w:b/>
          <w:sz w:val="24"/>
        </w:rPr>
      </w:pPr>
      <w:r>
        <w:rPr>
          <w:b/>
          <w:sz w:val="24"/>
        </w:rPr>
        <w:t>Open</w:t>
      </w:r>
      <w:r>
        <w:rPr>
          <w:b/>
          <w:spacing w:val="-4"/>
          <w:sz w:val="24"/>
        </w:rPr>
        <w:t> </w:t>
      </w:r>
      <w:r>
        <w:rPr>
          <w:b/>
          <w:sz w:val="24"/>
        </w:rPr>
        <w:t>Space</w:t>
      </w:r>
      <w:r>
        <w:rPr>
          <w:b/>
          <w:spacing w:val="-4"/>
          <w:sz w:val="24"/>
        </w:rPr>
        <w:t> </w:t>
      </w:r>
      <w:r>
        <w:rPr>
          <w:b/>
          <w:sz w:val="24"/>
        </w:rPr>
        <w:t>Relaxation</w:t>
      </w:r>
      <w:r>
        <w:rPr>
          <w:b/>
          <w:spacing w:val="-4"/>
          <w:sz w:val="24"/>
        </w:rPr>
        <w:t> </w:t>
      </w:r>
      <w:r>
        <w:rPr>
          <w:b/>
          <w:sz w:val="24"/>
        </w:rPr>
        <w:t>in</w:t>
      </w:r>
      <w:r>
        <w:rPr>
          <w:b/>
          <w:spacing w:val="-3"/>
          <w:sz w:val="24"/>
        </w:rPr>
        <w:t> </w:t>
      </w:r>
      <w:r>
        <w:rPr>
          <w:b/>
          <w:sz w:val="24"/>
        </w:rPr>
        <w:t>Narrow</w:t>
      </w:r>
      <w:r>
        <w:rPr>
          <w:b/>
          <w:spacing w:val="-4"/>
          <w:sz w:val="24"/>
        </w:rPr>
        <w:t> </w:t>
      </w:r>
      <w:r>
        <w:rPr>
          <w:b/>
          <w:sz w:val="24"/>
        </w:rPr>
        <w:t>plots</w:t>
      </w:r>
      <w:r>
        <w:rPr>
          <w:b/>
          <w:spacing w:val="-4"/>
          <w:sz w:val="24"/>
        </w:rPr>
        <w:t> </w:t>
      </w:r>
      <w:r>
        <w:rPr>
          <w:b/>
          <w:sz w:val="24"/>
        </w:rPr>
        <w:t>in</w:t>
      </w:r>
      <w:r>
        <w:rPr>
          <w:b/>
          <w:spacing w:val="-4"/>
          <w:sz w:val="24"/>
        </w:rPr>
        <w:t> </w:t>
      </w:r>
      <w:r>
        <w:rPr>
          <w:b/>
          <w:sz w:val="24"/>
        </w:rPr>
        <w:t>Residential</w:t>
      </w:r>
      <w:r>
        <w:rPr>
          <w:b/>
          <w:spacing w:val="-4"/>
          <w:sz w:val="24"/>
        </w:rPr>
        <w:t> </w:t>
      </w:r>
      <w:r>
        <w:rPr>
          <w:b/>
          <w:sz w:val="24"/>
        </w:rPr>
        <w:t>and</w:t>
      </w:r>
      <w:r>
        <w:rPr>
          <w:b/>
          <w:spacing w:val="-4"/>
          <w:sz w:val="24"/>
        </w:rPr>
        <w:t> </w:t>
      </w:r>
      <w:r>
        <w:rPr>
          <w:b/>
          <w:sz w:val="24"/>
        </w:rPr>
        <w:t>Commercial </w:t>
      </w:r>
      <w:r>
        <w:rPr>
          <w:b/>
          <w:spacing w:val="-2"/>
          <w:sz w:val="24"/>
        </w:rPr>
        <w:t>Zones.</w:t>
      </w:r>
    </w:p>
    <w:p>
      <w:pPr>
        <w:pStyle w:val="BodyText"/>
        <w:spacing w:before="6"/>
        <w:jc w:val="left"/>
        <w:rPr>
          <w:b/>
          <w:sz w:val="20"/>
        </w:rPr>
      </w:pPr>
    </w:p>
    <w:tbl>
      <w:tblPr>
        <w:tblW w:w="0" w:type="auto"/>
        <w:jc w:val="left"/>
        <w:tblInd w:w="7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97"/>
        <w:gridCol w:w="2431"/>
        <w:gridCol w:w="2880"/>
        <w:gridCol w:w="3612"/>
      </w:tblGrid>
      <w:tr>
        <w:trPr>
          <w:trHeight w:val="1504" w:hRule="atLeast"/>
        </w:trPr>
        <w:tc>
          <w:tcPr>
            <w:tcW w:w="797" w:type="dxa"/>
            <w:shd w:val="clear" w:color="auto" w:fill="EDEBE0"/>
          </w:tcPr>
          <w:p>
            <w:pPr>
              <w:pStyle w:val="TableParagraph"/>
              <w:spacing w:before="95"/>
              <w:ind w:left="107" w:right="210"/>
              <w:rPr>
                <w:sz w:val="24"/>
              </w:rPr>
            </w:pPr>
            <w:r>
              <w:rPr>
                <w:spacing w:val="-4"/>
                <w:sz w:val="24"/>
              </w:rPr>
              <w:t>Seri </w:t>
            </w:r>
            <w:r>
              <w:rPr>
                <w:spacing w:val="-6"/>
                <w:sz w:val="24"/>
              </w:rPr>
              <w:t>al </w:t>
            </w:r>
            <w:r>
              <w:rPr>
                <w:spacing w:val="-4"/>
                <w:sz w:val="24"/>
              </w:rPr>
              <w:t>No.</w:t>
            </w:r>
          </w:p>
          <w:p>
            <w:pPr>
              <w:pStyle w:val="TableParagraph"/>
              <w:spacing w:line="264" w:lineRule="exact" w:before="280"/>
              <w:ind w:left="107"/>
              <w:rPr>
                <w:sz w:val="24"/>
              </w:rPr>
            </w:pPr>
            <w:r>
              <w:rPr>
                <w:spacing w:val="-5"/>
                <w:sz w:val="24"/>
              </w:rPr>
              <w:t>(1)</w:t>
            </w:r>
          </w:p>
        </w:tc>
        <w:tc>
          <w:tcPr>
            <w:tcW w:w="2431" w:type="dxa"/>
            <w:shd w:val="clear" w:color="auto" w:fill="EDEBE0"/>
          </w:tcPr>
          <w:p>
            <w:pPr>
              <w:pStyle w:val="TableParagraph"/>
              <w:ind w:left="107" w:right="221"/>
              <w:rPr>
                <w:sz w:val="24"/>
              </w:rPr>
            </w:pPr>
            <w:r>
              <w:rPr>
                <w:spacing w:val="-4"/>
                <w:sz w:val="24"/>
              </w:rPr>
              <w:t>Plot </w:t>
            </w:r>
            <w:r>
              <w:rPr>
                <w:spacing w:val="-2"/>
                <w:sz w:val="24"/>
              </w:rPr>
              <w:t>size/dimension</w:t>
            </w:r>
          </w:p>
          <w:p>
            <w:pPr>
              <w:pStyle w:val="TableParagraph"/>
              <w:spacing w:before="279"/>
              <w:rPr>
                <w:b/>
                <w:sz w:val="24"/>
              </w:rPr>
            </w:pPr>
          </w:p>
          <w:p>
            <w:pPr>
              <w:pStyle w:val="TableParagraph"/>
              <w:ind w:left="1336"/>
              <w:rPr>
                <w:sz w:val="24"/>
              </w:rPr>
            </w:pPr>
            <w:r>
              <w:rPr>
                <w:spacing w:val="-5"/>
                <w:sz w:val="24"/>
              </w:rPr>
              <w:t>(2)</w:t>
            </w:r>
          </w:p>
        </w:tc>
        <w:tc>
          <w:tcPr>
            <w:tcW w:w="2880" w:type="dxa"/>
            <w:shd w:val="clear" w:color="auto" w:fill="EDEBE0"/>
          </w:tcPr>
          <w:p>
            <w:pPr>
              <w:pStyle w:val="TableParagraph"/>
              <w:spacing w:line="281" w:lineRule="exact"/>
              <w:ind w:left="1027"/>
              <w:rPr>
                <w:sz w:val="24"/>
              </w:rPr>
            </w:pPr>
            <w:r>
              <w:rPr>
                <w:spacing w:val="-2"/>
                <w:sz w:val="24"/>
              </w:rPr>
              <w:t>Relaxation</w:t>
            </w:r>
          </w:p>
          <w:p>
            <w:pPr>
              <w:pStyle w:val="TableParagraph"/>
              <w:spacing w:before="281"/>
              <w:rPr>
                <w:b/>
                <w:sz w:val="24"/>
              </w:rPr>
            </w:pPr>
          </w:p>
          <w:p>
            <w:pPr>
              <w:pStyle w:val="TableParagraph"/>
              <w:ind w:left="1104"/>
              <w:rPr>
                <w:sz w:val="24"/>
              </w:rPr>
            </w:pPr>
            <w:r>
              <w:rPr>
                <w:spacing w:val="-5"/>
                <w:sz w:val="24"/>
              </w:rPr>
              <w:t>(3)</w:t>
            </w:r>
          </w:p>
        </w:tc>
        <w:tc>
          <w:tcPr>
            <w:tcW w:w="3612" w:type="dxa"/>
            <w:shd w:val="clear" w:color="auto" w:fill="EDEBE0"/>
          </w:tcPr>
          <w:p>
            <w:pPr>
              <w:pStyle w:val="TableParagraph"/>
              <w:ind w:left="106" w:right="201" w:firstLine="614"/>
              <w:rPr>
                <w:sz w:val="24"/>
              </w:rPr>
            </w:pPr>
            <w:r>
              <w:rPr>
                <w:sz w:val="24"/>
              </w:rPr>
              <w:t>Restrictions</w:t>
            </w:r>
            <w:r>
              <w:rPr>
                <w:spacing w:val="-20"/>
                <w:sz w:val="24"/>
              </w:rPr>
              <w:t> </w:t>
            </w:r>
            <w:r>
              <w:rPr>
                <w:sz w:val="24"/>
              </w:rPr>
              <w:t>on </w:t>
            </w:r>
            <w:r>
              <w:rPr>
                <w:spacing w:val="-2"/>
                <w:sz w:val="24"/>
              </w:rPr>
              <w:t>building</w:t>
            </w:r>
          </w:p>
          <w:p>
            <w:pPr>
              <w:pStyle w:val="TableParagraph"/>
              <w:spacing w:before="279"/>
              <w:rPr>
                <w:b/>
                <w:sz w:val="24"/>
              </w:rPr>
            </w:pPr>
          </w:p>
          <w:p>
            <w:pPr>
              <w:pStyle w:val="TableParagraph"/>
              <w:ind w:left="750"/>
              <w:jc w:val="center"/>
              <w:rPr>
                <w:sz w:val="24"/>
              </w:rPr>
            </w:pPr>
            <w:r>
              <w:rPr>
                <w:spacing w:val="-5"/>
                <w:sz w:val="24"/>
              </w:rPr>
              <w:t>(4)</w:t>
            </w:r>
          </w:p>
        </w:tc>
      </w:tr>
      <w:tr>
        <w:trPr>
          <w:trHeight w:val="1223" w:hRule="atLeast"/>
        </w:trPr>
        <w:tc>
          <w:tcPr>
            <w:tcW w:w="797" w:type="dxa"/>
          </w:tcPr>
          <w:p>
            <w:pPr>
              <w:pStyle w:val="TableParagraph"/>
              <w:spacing w:before="95"/>
              <w:ind w:left="107"/>
              <w:rPr>
                <w:sz w:val="24"/>
              </w:rPr>
            </w:pPr>
            <w:r>
              <w:rPr>
                <w:spacing w:val="-10"/>
                <w:sz w:val="24"/>
              </w:rPr>
              <w:t>1</w:t>
            </w:r>
          </w:p>
        </w:tc>
        <w:tc>
          <w:tcPr>
            <w:tcW w:w="2431" w:type="dxa"/>
          </w:tcPr>
          <w:p>
            <w:pPr>
              <w:pStyle w:val="TableParagraph"/>
              <w:ind w:left="107" w:right="221"/>
              <w:rPr>
                <w:sz w:val="24"/>
              </w:rPr>
            </w:pPr>
            <w:r>
              <w:rPr>
                <w:sz w:val="24"/>
              </w:rPr>
              <w:t>Depth</w:t>
            </w:r>
            <w:r>
              <w:rPr>
                <w:spacing w:val="-19"/>
                <w:sz w:val="24"/>
              </w:rPr>
              <w:t> </w:t>
            </w:r>
            <w:r>
              <w:rPr>
                <w:sz w:val="24"/>
              </w:rPr>
              <w:t>less</w:t>
            </w:r>
            <w:r>
              <w:rPr>
                <w:spacing w:val="-19"/>
                <w:sz w:val="24"/>
              </w:rPr>
              <w:t> </w:t>
            </w:r>
            <w:r>
              <w:rPr>
                <w:sz w:val="24"/>
              </w:rPr>
              <w:t>than 15 m</w:t>
            </w:r>
          </w:p>
        </w:tc>
        <w:tc>
          <w:tcPr>
            <w:tcW w:w="2880" w:type="dxa"/>
          </w:tcPr>
          <w:p>
            <w:pPr>
              <w:pStyle w:val="TableParagraph"/>
              <w:ind w:left="106" w:right="86"/>
              <w:rPr>
                <w:sz w:val="24"/>
              </w:rPr>
            </w:pPr>
            <w:r>
              <w:rPr>
                <w:sz w:val="24"/>
              </w:rPr>
              <w:t>Rear</w:t>
            </w:r>
            <w:r>
              <w:rPr>
                <w:spacing w:val="-13"/>
                <w:sz w:val="24"/>
              </w:rPr>
              <w:t> </w:t>
            </w:r>
            <w:r>
              <w:rPr>
                <w:sz w:val="24"/>
              </w:rPr>
              <w:t>open</w:t>
            </w:r>
            <w:r>
              <w:rPr>
                <w:spacing w:val="-13"/>
                <w:sz w:val="24"/>
              </w:rPr>
              <w:t> </w:t>
            </w:r>
            <w:r>
              <w:rPr>
                <w:sz w:val="24"/>
              </w:rPr>
              <w:t>space</w:t>
            </w:r>
            <w:r>
              <w:rPr>
                <w:spacing w:val="-13"/>
                <w:sz w:val="24"/>
              </w:rPr>
              <w:t> </w:t>
            </w:r>
            <w:r>
              <w:rPr>
                <w:sz w:val="24"/>
              </w:rPr>
              <w:t>may be reduced to 3 m</w:t>
            </w:r>
          </w:p>
        </w:tc>
        <w:tc>
          <w:tcPr>
            <w:tcW w:w="3612" w:type="dxa"/>
          </w:tcPr>
          <w:p>
            <w:pPr>
              <w:pStyle w:val="TableParagraph"/>
              <w:ind w:left="106" w:right="201"/>
              <w:rPr>
                <w:sz w:val="24"/>
              </w:rPr>
            </w:pPr>
            <w:r>
              <w:rPr>
                <w:sz w:val="24"/>
              </w:rPr>
              <w:t>No</w:t>
            </w:r>
            <w:r>
              <w:rPr>
                <w:spacing w:val="-12"/>
                <w:sz w:val="24"/>
              </w:rPr>
              <w:t> </w:t>
            </w:r>
            <w:r>
              <w:rPr>
                <w:sz w:val="24"/>
              </w:rPr>
              <w:t>room</w:t>
            </w:r>
            <w:r>
              <w:rPr>
                <w:spacing w:val="-12"/>
                <w:sz w:val="24"/>
              </w:rPr>
              <w:t> </w:t>
            </w:r>
            <w:r>
              <w:rPr>
                <w:sz w:val="24"/>
              </w:rPr>
              <w:t>except</w:t>
            </w:r>
            <w:r>
              <w:rPr>
                <w:spacing w:val="-13"/>
                <w:sz w:val="24"/>
              </w:rPr>
              <w:t> </w:t>
            </w:r>
            <w:r>
              <w:rPr>
                <w:sz w:val="24"/>
              </w:rPr>
              <w:t>store-</w:t>
            </w:r>
            <w:r>
              <w:rPr>
                <w:sz w:val="24"/>
              </w:rPr>
              <w:t>room and staircase derives light and ventilation from reduced open space.</w:t>
            </w:r>
          </w:p>
        </w:tc>
      </w:tr>
      <w:tr>
        <w:trPr>
          <w:trHeight w:val="1221" w:hRule="atLeast"/>
        </w:trPr>
        <w:tc>
          <w:tcPr>
            <w:tcW w:w="797" w:type="dxa"/>
          </w:tcPr>
          <w:p>
            <w:pPr>
              <w:pStyle w:val="TableParagraph"/>
              <w:spacing w:before="95"/>
              <w:ind w:left="107"/>
              <w:rPr>
                <w:sz w:val="24"/>
              </w:rPr>
            </w:pPr>
            <w:r>
              <w:rPr>
                <w:spacing w:val="-10"/>
                <w:sz w:val="24"/>
              </w:rPr>
              <w:t>2</w:t>
            </w:r>
          </w:p>
        </w:tc>
        <w:tc>
          <w:tcPr>
            <w:tcW w:w="2431" w:type="dxa"/>
          </w:tcPr>
          <w:p>
            <w:pPr>
              <w:pStyle w:val="TableParagraph"/>
              <w:ind w:left="107" w:right="221"/>
              <w:rPr>
                <w:sz w:val="24"/>
              </w:rPr>
            </w:pPr>
            <w:r>
              <w:rPr>
                <w:sz w:val="24"/>
              </w:rPr>
              <w:t>Width</w:t>
            </w:r>
            <w:r>
              <w:rPr>
                <w:spacing w:val="-19"/>
                <w:sz w:val="24"/>
              </w:rPr>
              <w:t> </w:t>
            </w:r>
            <w:r>
              <w:rPr>
                <w:sz w:val="24"/>
              </w:rPr>
              <w:t>less</w:t>
            </w:r>
            <w:r>
              <w:rPr>
                <w:spacing w:val="-19"/>
                <w:sz w:val="24"/>
              </w:rPr>
              <w:t> </w:t>
            </w:r>
            <w:r>
              <w:rPr>
                <w:sz w:val="24"/>
              </w:rPr>
              <w:t>than 15 m but more than 11.5 m</w:t>
            </w:r>
          </w:p>
        </w:tc>
        <w:tc>
          <w:tcPr>
            <w:tcW w:w="2880" w:type="dxa"/>
          </w:tcPr>
          <w:p>
            <w:pPr>
              <w:pStyle w:val="TableParagraph"/>
              <w:ind w:left="106" w:right="86"/>
              <w:rPr>
                <w:sz w:val="24"/>
              </w:rPr>
            </w:pPr>
            <w:r>
              <w:rPr>
                <w:sz w:val="24"/>
              </w:rPr>
              <w:t>Side</w:t>
            </w:r>
            <w:r>
              <w:rPr>
                <w:spacing w:val="-13"/>
                <w:sz w:val="24"/>
              </w:rPr>
              <w:t> </w:t>
            </w:r>
            <w:r>
              <w:rPr>
                <w:sz w:val="24"/>
              </w:rPr>
              <w:t>open</w:t>
            </w:r>
            <w:r>
              <w:rPr>
                <w:spacing w:val="-13"/>
                <w:sz w:val="24"/>
              </w:rPr>
              <w:t> </w:t>
            </w:r>
            <w:r>
              <w:rPr>
                <w:sz w:val="24"/>
              </w:rPr>
              <w:t>space</w:t>
            </w:r>
            <w:r>
              <w:rPr>
                <w:spacing w:val="-13"/>
                <w:sz w:val="24"/>
              </w:rPr>
              <w:t> </w:t>
            </w:r>
            <w:r>
              <w:rPr>
                <w:sz w:val="24"/>
              </w:rPr>
              <w:t>may be reduced to 3 m</w:t>
            </w:r>
          </w:p>
        </w:tc>
        <w:tc>
          <w:tcPr>
            <w:tcW w:w="3612" w:type="dxa"/>
          </w:tcPr>
          <w:p>
            <w:pPr>
              <w:pStyle w:val="TableParagraph"/>
              <w:ind w:left="106" w:right="201"/>
              <w:rPr>
                <w:sz w:val="24"/>
              </w:rPr>
            </w:pPr>
            <w:r>
              <w:rPr>
                <w:sz w:val="24"/>
              </w:rPr>
              <w:t>No</w:t>
            </w:r>
            <w:r>
              <w:rPr>
                <w:spacing w:val="-12"/>
                <w:sz w:val="24"/>
              </w:rPr>
              <w:t> </w:t>
            </w:r>
            <w:r>
              <w:rPr>
                <w:sz w:val="24"/>
              </w:rPr>
              <w:t>room</w:t>
            </w:r>
            <w:r>
              <w:rPr>
                <w:spacing w:val="-12"/>
                <w:sz w:val="24"/>
              </w:rPr>
              <w:t> </w:t>
            </w:r>
            <w:r>
              <w:rPr>
                <w:sz w:val="24"/>
              </w:rPr>
              <w:t>except</w:t>
            </w:r>
            <w:r>
              <w:rPr>
                <w:spacing w:val="-13"/>
                <w:sz w:val="24"/>
              </w:rPr>
              <w:t> </w:t>
            </w:r>
            <w:r>
              <w:rPr>
                <w:sz w:val="24"/>
              </w:rPr>
              <w:t>store-</w:t>
            </w:r>
            <w:r>
              <w:rPr>
                <w:sz w:val="24"/>
              </w:rPr>
              <w:t>room and staircase derives light and ventilation from reduced open space.</w:t>
            </w:r>
          </w:p>
        </w:tc>
      </w:tr>
      <w:tr>
        <w:trPr>
          <w:trHeight w:val="1506" w:hRule="atLeast"/>
        </w:trPr>
        <w:tc>
          <w:tcPr>
            <w:tcW w:w="797" w:type="dxa"/>
          </w:tcPr>
          <w:p>
            <w:pPr>
              <w:pStyle w:val="TableParagraph"/>
              <w:spacing w:before="97"/>
              <w:ind w:left="107"/>
              <w:rPr>
                <w:sz w:val="24"/>
              </w:rPr>
            </w:pPr>
            <w:r>
              <w:rPr>
                <w:spacing w:val="-10"/>
                <w:sz w:val="24"/>
              </w:rPr>
              <w:t>3</w:t>
            </w:r>
          </w:p>
        </w:tc>
        <w:tc>
          <w:tcPr>
            <w:tcW w:w="2431" w:type="dxa"/>
          </w:tcPr>
          <w:p>
            <w:pPr>
              <w:pStyle w:val="TableParagraph"/>
              <w:spacing w:line="281" w:lineRule="exact" w:before="1"/>
              <w:ind w:left="107"/>
              <w:rPr>
                <w:sz w:val="24"/>
              </w:rPr>
            </w:pPr>
            <w:r>
              <w:rPr>
                <w:sz w:val="24"/>
              </w:rPr>
              <w:t>Depth</w:t>
            </w:r>
            <w:r>
              <w:rPr>
                <w:spacing w:val="-2"/>
                <w:sz w:val="24"/>
              </w:rPr>
              <w:t> </w:t>
            </w:r>
            <w:r>
              <w:rPr>
                <w:sz w:val="24"/>
              </w:rPr>
              <w:t>less</w:t>
            </w:r>
            <w:r>
              <w:rPr>
                <w:spacing w:val="-2"/>
                <w:sz w:val="24"/>
              </w:rPr>
              <w:t> </w:t>
            </w:r>
            <w:r>
              <w:rPr>
                <w:spacing w:val="-4"/>
                <w:sz w:val="24"/>
              </w:rPr>
              <w:t>than</w:t>
            </w:r>
          </w:p>
          <w:p>
            <w:pPr>
              <w:pStyle w:val="TableParagraph"/>
              <w:ind w:left="107" w:right="221"/>
              <w:rPr>
                <w:sz w:val="24"/>
              </w:rPr>
            </w:pPr>
            <w:r>
              <w:rPr>
                <w:sz w:val="24"/>
              </w:rPr>
              <w:t>11.5</w:t>
            </w:r>
            <w:r>
              <w:rPr>
                <w:spacing w:val="-13"/>
                <w:sz w:val="24"/>
              </w:rPr>
              <w:t> </w:t>
            </w:r>
            <w:r>
              <w:rPr>
                <w:sz w:val="24"/>
              </w:rPr>
              <w:t>m</w:t>
            </w:r>
            <w:r>
              <w:rPr>
                <w:spacing w:val="-13"/>
                <w:sz w:val="24"/>
              </w:rPr>
              <w:t> </w:t>
            </w:r>
            <w:r>
              <w:rPr>
                <w:sz w:val="24"/>
              </w:rPr>
              <w:t>but</w:t>
            </w:r>
            <w:r>
              <w:rPr>
                <w:spacing w:val="-13"/>
                <w:sz w:val="24"/>
              </w:rPr>
              <w:t> </w:t>
            </w:r>
            <w:r>
              <w:rPr>
                <w:sz w:val="24"/>
              </w:rPr>
              <w:t>more than 9 m</w:t>
            </w:r>
          </w:p>
        </w:tc>
        <w:tc>
          <w:tcPr>
            <w:tcW w:w="2880" w:type="dxa"/>
          </w:tcPr>
          <w:p>
            <w:pPr>
              <w:pStyle w:val="TableParagraph"/>
              <w:spacing w:before="1"/>
              <w:ind w:left="106"/>
              <w:rPr>
                <w:sz w:val="24"/>
              </w:rPr>
            </w:pPr>
            <w:r>
              <w:rPr>
                <w:sz w:val="24"/>
              </w:rPr>
              <w:t>Front open space may be</w:t>
            </w:r>
            <w:r>
              <w:rPr>
                <w:spacing w:val="-8"/>
                <w:sz w:val="24"/>
              </w:rPr>
              <w:t> </w:t>
            </w:r>
            <w:r>
              <w:rPr>
                <w:sz w:val="24"/>
              </w:rPr>
              <w:t>reduced</w:t>
            </w:r>
            <w:r>
              <w:rPr>
                <w:spacing w:val="-8"/>
                <w:sz w:val="24"/>
              </w:rPr>
              <w:t> </w:t>
            </w:r>
            <w:r>
              <w:rPr>
                <w:sz w:val="24"/>
              </w:rPr>
              <w:t>to</w:t>
            </w:r>
            <w:r>
              <w:rPr>
                <w:spacing w:val="-8"/>
                <w:sz w:val="24"/>
              </w:rPr>
              <w:t> </w:t>
            </w:r>
            <w:r>
              <w:rPr>
                <w:sz w:val="24"/>
              </w:rPr>
              <w:t>3</w:t>
            </w:r>
            <w:r>
              <w:rPr>
                <w:spacing w:val="-8"/>
                <w:sz w:val="24"/>
              </w:rPr>
              <w:t> </w:t>
            </w:r>
            <w:r>
              <w:rPr>
                <w:sz w:val="24"/>
              </w:rPr>
              <w:t>m</w:t>
            </w:r>
            <w:r>
              <w:rPr>
                <w:spacing w:val="-8"/>
                <w:sz w:val="24"/>
              </w:rPr>
              <w:t> </w:t>
            </w:r>
            <w:r>
              <w:rPr>
                <w:sz w:val="24"/>
              </w:rPr>
              <w:t>and rear open space reduced to</w:t>
            </w:r>
          </w:p>
          <w:p>
            <w:pPr>
              <w:pStyle w:val="TableParagraph"/>
              <w:spacing w:line="280" w:lineRule="exact"/>
              <w:ind w:left="183"/>
              <w:rPr>
                <w:sz w:val="24"/>
              </w:rPr>
            </w:pPr>
            <w:r>
              <w:rPr>
                <w:sz w:val="24"/>
              </w:rPr>
              <w:t>1.8</w:t>
            </w:r>
            <w:r>
              <w:rPr>
                <w:spacing w:val="-2"/>
                <w:sz w:val="24"/>
              </w:rPr>
              <w:t> </w:t>
            </w:r>
            <w:r>
              <w:rPr>
                <w:spacing w:val="-10"/>
                <w:sz w:val="24"/>
              </w:rPr>
              <w:t>m</w:t>
            </w:r>
          </w:p>
        </w:tc>
        <w:tc>
          <w:tcPr>
            <w:tcW w:w="3612" w:type="dxa"/>
          </w:tcPr>
          <w:p>
            <w:pPr>
              <w:pStyle w:val="TableParagraph"/>
              <w:numPr>
                <w:ilvl w:val="0"/>
                <w:numId w:val="294"/>
              </w:numPr>
              <w:tabs>
                <w:tab w:pos="398" w:val="left" w:leader="none"/>
              </w:tabs>
              <w:spacing w:line="240" w:lineRule="auto" w:before="1" w:after="0"/>
              <w:ind w:left="106" w:right="238" w:firstLine="0"/>
              <w:jc w:val="left"/>
              <w:rPr>
                <w:sz w:val="24"/>
              </w:rPr>
            </w:pPr>
            <w:r>
              <w:rPr>
                <w:sz w:val="24"/>
              </w:rPr>
              <w:t>Depth</w:t>
            </w:r>
            <w:r>
              <w:rPr>
                <w:spacing w:val="-9"/>
                <w:sz w:val="24"/>
              </w:rPr>
              <w:t> </w:t>
            </w:r>
            <w:r>
              <w:rPr>
                <w:sz w:val="24"/>
              </w:rPr>
              <w:t>of</w:t>
            </w:r>
            <w:r>
              <w:rPr>
                <w:spacing w:val="-9"/>
                <w:sz w:val="24"/>
              </w:rPr>
              <w:t> </w:t>
            </w:r>
            <w:r>
              <w:rPr>
                <w:sz w:val="24"/>
              </w:rPr>
              <w:t>the</w:t>
            </w:r>
            <w:r>
              <w:rPr>
                <w:spacing w:val="-9"/>
                <w:sz w:val="24"/>
              </w:rPr>
              <w:t> </w:t>
            </w:r>
            <w:r>
              <w:rPr>
                <w:sz w:val="24"/>
              </w:rPr>
              <w:t>building</w:t>
            </w:r>
            <w:r>
              <w:rPr>
                <w:spacing w:val="-9"/>
                <w:sz w:val="24"/>
              </w:rPr>
              <w:t> </w:t>
            </w:r>
            <w:r>
              <w:rPr>
                <w:sz w:val="24"/>
              </w:rPr>
              <w:t>not to exceed 5.5 m</w:t>
            </w:r>
          </w:p>
          <w:p>
            <w:pPr>
              <w:pStyle w:val="TableParagraph"/>
              <w:numPr>
                <w:ilvl w:val="0"/>
                <w:numId w:val="294"/>
              </w:numPr>
              <w:tabs>
                <w:tab w:pos="470" w:val="left" w:leader="none"/>
              </w:tabs>
              <w:spacing w:line="240" w:lineRule="auto" w:before="0" w:after="0"/>
              <w:ind w:left="106" w:right="655" w:firstLine="0"/>
              <w:jc w:val="left"/>
              <w:rPr>
                <w:sz w:val="24"/>
              </w:rPr>
            </w:pPr>
            <w:r>
              <w:rPr>
                <w:sz w:val="24"/>
              </w:rPr>
              <w:t>Height</w:t>
            </w:r>
            <w:r>
              <w:rPr>
                <w:spacing w:val="-12"/>
                <w:sz w:val="24"/>
              </w:rPr>
              <w:t> </w:t>
            </w:r>
            <w:r>
              <w:rPr>
                <w:sz w:val="24"/>
              </w:rPr>
              <w:t>not</w:t>
            </w:r>
            <w:r>
              <w:rPr>
                <w:spacing w:val="-12"/>
                <w:sz w:val="24"/>
              </w:rPr>
              <w:t> </w:t>
            </w:r>
            <w:r>
              <w:rPr>
                <w:sz w:val="24"/>
              </w:rPr>
              <w:t>to</w:t>
            </w:r>
            <w:r>
              <w:rPr>
                <w:spacing w:val="-12"/>
                <w:sz w:val="24"/>
              </w:rPr>
              <w:t> </w:t>
            </w:r>
            <w:r>
              <w:rPr>
                <w:sz w:val="24"/>
              </w:rPr>
              <w:t>exceed, 5storeysor 15 m.</w:t>
            </w:r>
          </w:p>
        </w:tc>
      </w:tr>
    </w:tbl>
    <w:p>
      <w:pPr>
        <w:pStyle w:val="TableParagraph"/>
        <w:spacing w:after="0" w:line="240" w:lineRule="auto"/>
        <w:jc w:val="left"/>
        <w:rPr>
          <w:sz w:val="24"/>
        </w:rPr>
        <w:sectPr>
          <w:pgSz w:w="11910" w:h="16840"/>
          <w:pgMar w:header="1058" w:footer="1201" w:top="1500" w:bottom="1400" w:left="360" w:right="360"/>
        </w:sectPr>
      </w:pPr>
    </w:p>
    <w:p>
      <w:pPr>
        <w:pStyle w:val="BodyText"/>
        <w:spacing w:before="20"/>
        <w:jc w:val="left"/>
        <w:rPr>
          <w:b/>
          <w:sz w:val="20"/>
        </w:rPr>
      </w:pPr>
    </w:p>
    <w:tbl>
      <w:tblPr>
        <w:tblW w:w="0" w:type="auto"/>
        <w:jc w:val="left"/>
        <w:tblInd w:w="7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97"/>
        <w:gridCol w:w="2431"/>
        <w:gridCol w:w="2880"/>
        <w:gridCol w:w="3612"/>
      </w:tblGrid>
      <w:tr>
        <w:trPr>
          <w:trHeight w:val="1410" w:hRule="atLeast"/>
        </w:trPr>
        <w:tc>
          <w:tcPr>
            <w:tcW w:w="797" w:type="dxa"/>
          </w:tcPr>
          <w:p>
            <w:pPr>
              <w:pStyle w:val="TableParagraph"/>
              <w:spacing w:before="98"/>
              <w:ind w:left="107"/>
              <w:rPr>
                <w:sz w:val="24"/>
              </w:rPr>
            </w:pPr>
            <w:r>
              <w:rPr>
                <w:spacing w:val="-10"/>
                <w:sz w:val="24"/>
              </w:rPr>
              <w:t>4</w:t>
            </w:r>
          </w:p>
        </w:tc>
        <w:tc>
          <w:tcPr>
            <w:tcW w:w="2431" w:type="dxa"/>
          </w:tcPr>
          <w:p>
            <w:pPr>
              <w:pStyle w:val="TableParagraph"/>
              <w:spacing w:line="281" w:lineRule="exact" w:before="2"/>
              <w:ind w:left="107"/>
              <w:rPr>
                <w:sz w:val="24"/>
              </w:rPr>
            </w:pPr>
            <w:r>
              <w:rPr>
                <w:sz w:val="24"/>
              </w:rPr>
              <w:t>Width</w:t>
            </w:r>
            <w:r>
              <w:rPr>
                <w:spacing w:val="-2"/>
                <w:sz w:val="24"/>
              </w:rPr>
              <w:t> </w:t>
            </w:r>
            <w:r>
              <w:rPr>
                <w:sz w:val="24"/>
              </w:rPr>
              <w:t>less</w:t>
            </w:r>
            <w:r>
              <w:rPr>
                <w:spacing w:val="-2"/>
                <w:sz w:val="24"/>
              </w:rPr>
              <w:t> </w:t>
            </w:r>
            <w:r>
              <w:rPr>
                <w:spacing w:val="-4"/>
                <w:sz w:val="24"/>
              </w:rPr>
              <w:t>than</w:t>
            </w:r>
          </w:p>
          <w:p>
            <w:pPr>
              <w:pStyle w:val="TableParagraph"/>
              <w:ind w:left="107" w:right="221"/>
              <w:rPr>
                <w:sz w:val="24"/>
              </w:rPr>
            </w:pPr>
            <w:r>
              <w:rPr>
                <w:sz w:val="24"/>
              </w:rPr>
              <w:t>11.5</w:t>
            </w:r>
            <w:r>
              <w:rPr>
                <w:spacing w:val="-13"/>
                <w:sz w:val="24"/>
              </w:rPr>
              <w:t> </w:t>
            </w:r>
            <w:r>
              <w:rPr>
                <w:sz w:val="24"/>
              </w:rPr>
              <w:t>m</w:t>
            </w:r>
            <w:r>
              <w:rPr>
                <w:spacing w:val="-13"/>
                <w:sz w:val="24"/>
              </w:rPr>
              <w:t> </w:t>
            </w:r>
            <w:r>
              <w:rPr>
                <w:sz w:val="24"/>
              </w:rPr>
              <w:t>but</w:t>
            </w:r>
            <w:r>
              <w:rPr>
                <w:spacing w:val="-13"/>
                <w:sz w:val="24"/>
              </w:rPr>
              <w:t> </w:t>
            </w:r>
            <w:r>
              <w:rPr>
                <w:sz w:val="24"/>
              </w:rPr>
              <w:t>more than 9 m</w:t>
            </w:r>
          </w:p>
        </w:tc>
        <w:tc>
          <w:tcPr>
            <w:tcW w:w="2880" w:type="dxa"/>
          </w:tcPr>
          <w:p>
            <w:pPr>
              <w:pStyle w:val="TableParagraph"/>
              <w:spacing w:before="2"/>
              <w:ind w:left="106" w:right="318"/>
              <w:jc w:val="both"/>
              <w:rPr>
                <w:sz w:val="24"/>
              </w:rPr>
            </w:pPr>
            <w:r>
              <w:rPr>
                <w:sz w:val="24"/>
              </w:rPr>
              <w:t>One</w:t>
            </w:r>
            <w:r>
              <w:rPr>
                <w:spacing w:val="-2"/>
                <w:sz w:val="24"/>
              </w:rPr>
              <w:t> </w:t>
            </w:r>
            <w:r>
              <w:rPr>
                <w:sz w:val="24"/>
              </w:rPr>
              <w:t>side</w:t>
            </w:r>
            <w:r>
              <w:rPr>
                <w:spacing w:val="-2"/>
                <w:sz w:val="24"/>
              </w:rPr>
              <w:t> </w:t>
            </w:r>
            <w:r>
              <w:rPr>
                <w:sz w:val="24"/>
              </w:rPr>
              <w:t>open</w:t>
            </w:r>
            <w:r>
              <w:rPr>
                <w:spacing w:val="-2"/>
                <w:sz w:val="24"/>
              </w:rPr>
              <w:t> </w:t>
            </w:r>
            <w:r>
              <w:rPr>
                <w:sz w:val="24"/>
              </w:rPr>
              <w:t>space may be reduced to 3 m</w:t>
            </w:r>
            <w:r>
              <w:rPr>
                <w:spacing w:val="-10"/>
                <w:sz w:val="24"/>
              </w:rPr>
              <w:t> </w:t>
            </w:r>
            <w:r>
              <w:rPr>
                <w:sz w:val="24"/>
              </w:rPr>
              <w:t>and</w:t>
            </w:r>
            <w:r>
              <w:rPr>
                <w:spacing w:val="-10"/>
                <w:sz w:val="24"/>
              </w:rPr>
              <w:t> </w:t>
            </w:r>
            <w:r>
              <w:rPr>
                <w:sz w:val="24"/>
              </w:rPr>
              <w:t>the</w:t>
            </w:r>
            <w:r>
              <w:rPr>
                <w:spacing w:val="-10"/>
                <w:sz w:val="24"/>
              </w:rPr>
              <w:t> </w:t>
            </w:r>
            <w:r>
              <w:rPr>
                <w:sz w:val="24"/>
              </w:rPr>
              <w:t>other</w:t>
            </w:r>
            <w:r>
              <w:rPr>
                <w:spacing w:val="-10"/>
                <w:sz w:val="24"/>
              </w:rPr>
              <w:t> </w:t>
            </w:r>
            <w:r>
              <w:rPr>
                <w:sz w:val="24"/>
              </w:rPr>
              <w:t>side open space may be</w:t>
            </w:r>
          </w:p>
          <w:p>
            <w:pPr>
              <w:pStyle w:val="TableParagraph"/>
              <w:spacing w:line="262" w:lineRule="exact"/>
              <w:ind w:left="106"/>
              <w:jc w:val="both"/>
              <w:rPr>
                <w:sz w:val="24"/>
              </w:rPr>
            </w:pPr>
            <w:r>
              <w:rPr>
                <w:sz w:val="24"/>
              </w:rPr>
              <w:t>reduced</w:t>
            </w:r>
            <w:r>
              <w:rPr>
                <w:spacing w:val="-3"/>
                <w:sz w:val="24"/>
              </w:rPr>
              <w:t> </w:t>
            </w:r>
            <w:r>
              <w:rPr>
                <w:sz w:val="24"/>
              </w:rPr>
              <w:t>to</w:t>
            </w:r>
            <w:r>
              <w:rPr>
                <w:spacing w:val="-3"/>
                <w:sz w:val="24"/>
              </w:rPr>
              <w:t> </w:t>
            </w:r>
            <w:r>
              <w:rPr>
                <w:sz w:val="24"/>
              </w:rPr>
              <w:t>1.8</w:t>
            </w:r>
            <w:r>
              <w:rPr>
                <w:spacing w:val="-3"/>
                <w:sz w:val="24"/>
              </w:rPr>
              <w:t> </w:t>
            </w:r>
            <w:r>
              <w:rPr>
                <w:spacing w:val="-10"/>
                <w:sz w:val="24"/>
              </w:rPr>
              <w:t>m</w:t>
            </w:r>
          </w:p>
        </w:tc>
        <w:tc>
          <w:tcPr>
            <w:tcW w:w="3612" w:type="dxa"/>
          </w:tcPr>
          <w:p>
            <w:pPr>
              <w:pStyle w:val="TableParagraph"/>
              <w:numPr>
                <w:ilvl w:val="0"/>
                <w:numId w:val="295"/>
              </w:numPr>
              <w:tabs>
                <w:tab w:pos="398" w:val="left" w:leader="none"/>
              </w:tabs>
              <w:spacing w:line="240" w:lineRule="auto" w:before="2" w:after="0"/>
              <w:ind w:left="106" w:right="253" w:firstLine="0"/>
              <w:jc w:val="left"/>
              <w:rPr>
                <w:sz w:val="24"/>
              </w:rPr>
            </w:pPr>
            <w:r>
              <w:rPr>
                <w:sz w:val="24"/>
              </w:rPr>
              <w:t>Width</w:t>
            </w:r>
            <w:r>
              <w:rPr>
                <w:spacing w:val="-10"/>
                <w:sz w:val="24"/>
              </w:rPr>
              <w:t> </w:t>
            </w:r>
            <w:r>
              <w:rPr>
                <w:sz w:val="24"/>
              </w:rPr>
              <w:t>of</w:t>
            </w:r>
            <w:r>
              <w:rPr>
                <w:spacing w:val="-10"/>
                <w:sz w:val="24"/>
              </w:rPr>
              <w:t> </w:t>
            </w:r>
            <w:r>
              <w:rPr>
                <w:sz w:val="24"/>
              </w:rPr>
              <w:t>the</w:t>
            </w:r>
            <w:r>
              <w:rPr>
                <w:spacing w:val="-10"/>
                <w:sz w:val="24"/>
              </w:rPr>
              <w:t> </w:t>
            </w:r>
            <w:r>
              <w:rPr>
                <w:sz w:val="24"/>
              </w:rPr>
              <w:t>building</w:t>
            </w:r>
            <w:r>
              <w:rPr>
                <w:spacing w:val="-10"/>
                <w:sz w:val="24"/>
              </w:rPr>
              <w:t> </w:t>
            </w:r>
            <w:r>
              <w:rPr>
                <w:sz w:val="24"/>
              </w:rPr>
              <w:t>not to exceed 5.5m</w:t>
            </w:r>
          </w:p>
          <w:p>
            <w:pPr>
              <w:pStyle w:val="TableParagraph"/>
              <w:numPr>
                <w:ilvl w:val="0"/>
                <w:numId w:val="295"/>
              </w:numPr>
              <w:tabs>
                <w:tab w:pos="470" w:val="left" w:leader="none"/>
              </w:tabs>
              <w:spacing w:line="240" w:lineRule="auto" w:before="0" w:after="0"/>
              <w:ind w:left="106" w:right="506" w:firstLine="0"/>
              <w:jc w:val="left"/>
              <w:rPr>
                <w:sz w:val="24"/>
              </w:rPr>
            </w:pPr>
            <w:r>
              <w:rPr>
                <w:sz w:val="24"/>
              </w:rPr>
              <w:t>Height</w:t>
            </w:r>
            <w:r>
              <w:rPr>
                <w:spacing w:val="-9"/>
                <w:sz w:val="24"/>
              </w:rPr>
              <w:t> </w:t>
            </w:r>
            <w:r>
              <w:rPr>
                <w:sz w:val="24"/>
              </w:rPr>
              <w:t>not</w:t>
            </w:r>
            <w:r>
              <w:rPr>
                <w:spacing w:val="-9"/>
                <w:sz w:val="24"/>
              </w:rPr>
              <w:t> </w:t>
            </w:r>
            <w:r>
              <w:rPr>
                <w:sz w:val="24"/>
              </w:rPr>
              <w:t>to</w:t>
            </w:r>
            <w:r>
              <w:rPr>
                <w:spacing w:val="-9"/>
                <w:sz w:val="24"/>
              </w:rPr>
              <w:t> </w:t>
            </w:r>
            <w:r>
              <w:rPr>
                <w:sz w:val="24"/>
              </w:rPr>
              <w:t>exceed</w:t>
            </w:r>
            <w:r>
              <w:rPr>
                <w:spacing w:val="-9"/>
                <w:sz w:val="24"/>
              </w:rPr>
              <w:t> </w:t>
            </w:r>
            <w:r>
              <w:rPr>
                <w:sz w:val="24"/>
              </w:rPr>
              <w:t>5 storeys or 15 m</w:t>
            </w:r>
          </w:p>
        </w:tc>
      </w:tr>
      <w:tr>
        <w:trPr>
          <w:trHeight w:val="1408" w:hRule="atLeast"/>
        </w:trPr>
        <w:tc>
          <w:tcPr>
            <w:tcW w:w="797" w:type="dxa"/>
          </w:tcPr>
          <w:p>
            <w:pPr>
              <w:pStyle w:val="TableParagraph"/>
              <w:spacing w:before="95"/>
              <w:ind w:left="107"/>
              <w:rPr>
                <w:sz w:val="24"/>
              </w:rPr>
            </w:pPr>
            <w:r>
              <w:rPr>
                <w:spacing w:val="-10"/>
                <w:sz w:val="24"/>
              </w:rPr>
              <w:t>5</w:t>
            </w:r>
          </w:p>
        </w:tc>
        <w:tc>
          <w:tcPr>
            <w:tcW w:w="2431" w:type="dxa"/>
          </w:tcPr>
          <w:p>
            <w:pPr>
              <w:pStyle w:val="TableParagraph"/>
              <w:ind w:left="107" w:right="221"/>
              <w:rPr>
                <w:sz w:val="24"/>
              </w:rPr>
            </w:pPr>
            <w:r>
              <w:rPr>
                <w:sz w:val="24"/>
              </w:rPr>
              <w:t>Depth or width less</w:t>
            </w:r>
            <w:r>
              <w:rPr>
                <w:spacing w:val="-13"/>
                <w:sz w:val="24"/>
              </w:rPr>
              <w:t> </w:t>
            </w:r>
            <w:r>
              <w:rPr>
                <w:sz w:val="24"/>
              </w:rPr>
              <w:t>than</w:t>
            </w:r>
            <w:r>
              <w:rPr>
                <w:spacing w:val="-13"/>
                <w:sz w:val="24"/>
              </w:rPr>
              <w:t> </w:t>
            </w:r>
            <w:r>
              <w:rPr>
                <w:sz w:val="24"/>
              </w:rPr>
              <w:t>11.5</w:t>
            </w:r>
            <w:r>
              <w:rPr>
                <w:spacing w:val="-13"/>
                <w:sz w:val="24"/>
              </w:rPr>
              <w:t> </w:t>
            </w:r>
            <w:r>
              <w:rPr>
                <w:sz w:val="24"/>
              </w:rPr>
              <w:t>m</w:t>
            </w:r>
          </w:p>
        </w:tc>
        <w:tc>
          <w:tcPr>
            <w:tcW w:w="2880" w:type="dxa"/>
          </w:tcPr>
          <w:p>
            <w:pPr>
              <w:pStyle w:val="TableParagraph"/>
              <w:ind w:left="106"/>
              <w:rPr>
                <w:sz w:val="24"/>
              </w:rPr>
            </w:pPr>
            <w:r>
              <w:rPr>
                <w:spacing w:val="-2"/>
                <w:sz w:val="24"/>
              </w:rPr>
              <w:t>Semi-detached </w:t>
            </w:r>
            <w:r>
              <w:rPr>
                <w:sz w:val="24"/>
              </w:rPr>
              <w:t>structure on adjoining plots</w:t>
            </w:r>
            <w:r>
              <w:rPr>
                <w:spacing w:val="-13"/>
                <w:sz w:val="24"/>
              </w:rPr>
              <w:t> </w:t>
            </w:r>
            <w:r>
              <w:rPr>
                <w:sz w:val="24"/>
              </w:rPr>
              <w:t>with</w:t>
            </w:r>
            <w:r>
              <w:rPr>
                <w:spacing w:val="-13"/>
                <w:sz w:val="24"/>
              </w:rPr>
              <w:t> </w:t>
            </w:r>
            <w:r>
              <w:rPr>
                <w:sz w:val="24"/>
              </w:rPr>
              <w:t>open</w:t>
            </w:r>
            <w:r>
              <w:rPr>
                <w:spacing w:val="-13"/>
                <w:sz w:val="24"/>
              </w:rPr>
              <w:t> </w:t>
            </w:r>
            <w:r>
              <w:rPr>
                <w:sz w:val="24"/>
              </w:rPr>
              <w:t>spaces as at</w:t>
            </w:r>
          </w:p>
          <w:p>
            <w:pPr>
              <w:pStyle w:val="TableParagraph"/>
              <w:spacing w:line="262" w:lineRule="exact"/>
              <w:ind w:left="106"/>
              <w:rPr>
                <w:sz w:val="24"/>
              </w:rPr>
            </w:pPr>
            <w:r>
              <w:rPr>
                <w:sz w:val="24"/>
              </w:rPr>
              <w:t>Sr. Nos. 3 or 4 </w:t>
            </w:r>
            <w:r>
              <w:rPr>
                <w:spacing w:val="-2"/>
                <w:sz w:val="24"/>
              </w:rPr>
              <w:t>above.</w:t>
            </w:r>
          </w:p>
        </w:tc>
        <w:tc>
          <w:tcPr>
            <w:tcW w:w="3612" w:type="dxa"/>
          </w:tcPr>
          <w:p>
            <w:pPr>
              <w:pStyle w:val="TableParagraph"/>
              <w:numPr>
                <w:ilvl w:val="0"/>
                <w:numId w:val="296"/>
              </w:numPr>
              <w:tabs>
                <w:tab w:pos="398" w:val="left" w:leader="none"/>
              </w:tabs>
              <w:spacing w:line="240" w:lineRule="auto" w:before="0" w:after="0"/>
              <w:ind w:left="106" w:right="238" w:firstLine="0"/>
              <w:jc w:val="left"/>
              <w:rPr>
                <w:sz w:val="24"/>
              </w:rPr>
            </w:pPr>
            <w:r>
              <w:rPr>
                <w:sz w:val="24"/>
              </w:rPr>
              <w:t>Depth</w:t>
            </w:r>
            <w:r>
              <w:rPr>
                <w:spacing w:val="-9"/>
                <w:sz w:val="24"/>
              </w:rPr>
              <w:t> </w:t>
            </w:r>
            <w:r>
              <w:rPr>
                <w:sz w:val="24"/>
              </w:rPr>
              <w:t>of</w:t>
            </w:r>
            <w:r>
              <w:rPr>
                <w:spacing w:val="-9"/>
                <w:sz w:val="24"/>
              </w:rPr>
              <w:t> </w:t>
            </w:r>
            <w:r>
              <w:rPr>
                <w:sz w:val="24"/>
              </w:rPr>
              <w:t>the</w:t>
            </w:r>
            <w:r>
              <w:rPr>
                <w:spacing w:val="-9"/>
                <w:sz w:val="24"/>
              </w:rPr>
              <w:t> </w:t>
            </w:r>
            <w:r>
              <w:rPr>
                <w:sz w:val="24"/>
              </w:rPr>
              <w:t>building</w:t>
            </w:r>
            <w:r>
              <w:rPr>
                <w:spacing w:val="-9"/>
                <w:sz w:val="24"/>
              </w:rPr>
              <w:t> </w:t>
            </w:r>
            <w:r>
              <w:rPr>
                <w:sz w:val="24"/>
              </w:rPr>
              <w:t>not to exceed 5.5 m</w:t>
            </w:r>
          </w:p>
          <w:p>
            <w:pPr>
              <w:pStyle w:val="TableParagraph"/>
              <w:numPr>
                <w:ilvl w:val="0"/>
                <w:numId w:val="296"/>
              </w:numPr>
              <w:tabs>
                <w:tab w:pos="470" w:val="left" w:leader="none"/>
              </w:tabs>
              <w:spacing w:line="240" w:lineRule="auto" w:before="0" w:after="0"/>
              <w:ind w:left="106" w:right="507" w:firstLine="0"/>
              <w:jc w:val="left"/>
              <w:rPr>
                <w:sz w:val="24"/>
              </w:rPr>
            </w:pPr>
            <w:r>
              <w:rPr>
                <w:sz w:val="24"/>
              </w:rPr>
              <w:t>Height</w:t>
            </w:r>
            <w:r>
              <w:rPr>
                <w:spacing w:val="-10"/>
                <w:sz w:val="24"/>
              </w:rPr>
              <w:t> </w:t>
            </w:r>
            <w:r>
              <w:rPr>
                <w:sz w:val="24"/>
              </w:rPr>
              <w:t>not</w:t>
            </w:r>
            <w:r>
              <w:rPr>
                <w:spacing w:val="-10"/>
                <w:sz w:val="24"/>
              </w:rPr>
              <w:t> </w:t>
            </w:r>
            <w:r>
              <w:rPr>
                <w:sz w:val="24"/>
              </w:rPr>
              <w:t>to</w:t>
            </w:r>
            <w:r>
              <w:rPr>
                <w:spacing w:val="-10"/>
                <w:sz w:val="24"/>
              </w:rPr>
              <w:t> </w:t>
            </w:r>
            <w:r>
              <w:rPr>
                <w:sz w:val="24"/>
              </w:rPr>
              <w:t>exceed</w:t>
            </w:r>
            <w:r>
              <w:rPr>
                <w:spacing w:val="-10"/>
                <w:sz w:val="24"/>
              </w:rPr>
              <w:t> </w:t>
            </w:r>
            <w:r>
              <w:rPr>
                <w:sz w:val="24"/>
              </w:rPr>
              <w:t>5 storeys or 15 m</w:t>
            </w:r>
          </w:p>
        </w:tc>
      </w:tr>
      <w:tr>
        <w:trPr>
          <w:trHeight w:val="844" w:hRule="atLeast"/>
        </w:trPr>
        <w:tc>
          <w:tcPr>
            <w:tcW w:w="797" w:type="dxa"/>
          </w:tcPr>
          <w:p>
            <w:pPr>
              <w:pStyle w:val="TableParagraph"/>
              <w:spacing w:before="95"/>
              <w:ind w:left="107"/>
              <w:rPr>
                <w:sz w:val="24"/>
              </w:rPr>
            </w:pPr>
            <w:r>
              <w:rPr>
                <w:spacing w:val="-10"/>
                <w:sz w:val="24"/>
              </w:rPr>
              <w:t>6</w:t>
            </w:r>
          </w:p>
        </w:tc>
        <w:tc>
          <w:tcPr>
            <w:tcW w:w="2431" w:type="dxa"/>
          </w:tcPr>
          <w:p>
            <w:pPr>
              <w:pStyle w:val="TableParagraph"/>
              <w:ind w:left="107" w:right="221"/>
              <w:rPr>
                <w:sz w:val="24"/>
              </w:rPr>
            </w:pPr>
            <w:r>
              <w:rPr>
                <w:sz w:val="24"/>
              </w:rPr>
              <w:t>Depth</w:t>
            </w:r>
            <w:r>
              <w:rPr>
                <w:spacing w:val="-19"/>
                <w:sz w:val="24"/>
              </w:rPr>
              <w:t> </w:t>
            </w:r>
            <w:r>
              <w:rPr>
                <w:sz w:val="24"/>
              </w:rPr>
              <w:t>or</w:t>
            </w:r>
            <w:r>
              <w:rPr>
                <w:spacing w:val="-19"/>
                <w:sz w:val="24"/>
              </w:rPr>
              <w:t> </w:t>
            </w:r>
            <w:r>
              <w:rPr>
                <w:sz w:val="24"/>
              </w:rPr>
              <w:t>width less than 9 m</w:t>
            </w:r>
          </w:p>
        </w:tc>
        <w:tc>
          <w:tcPr>
            <w:tcW w:w="2880" w:type="dxa"/>
          </w:tcPr>
          <w:p>
            <w:pPr>
              <w:pStyle w:val="TableParagraph"/>
              <w:ind w:left="106"/>
              <w:rPr>
                <w:sz w:val="24"/>
              </w:rPr>
            </w:pPr>
            <w:r>
              <w:rPr>
                <w:sz w:val="24"/>
              </w:rPr>
              <w:t>Open space may be reduced</w:t>
            </w:r>
            <w:r>
              <w:rPr>
                <w:spacing w:val="-10"/>
                <w:sz w:val="24"/>
              </w:rPr>
              <w:t> </w:t>
            </w:r>
            <w:r>
              <w:rPr>
                <w:sz w:val="24"/>
              </w:rPr>
              <w:t>to</w:t>
            </w:r>
            <w:r>
              <w:rPr>
                <w:spacing w:val="-10"/>
                <w:sz w:val="24"/>
              </w:rPr>
              <w:t> </w:t>
            </w:r>
            <w:r>
              <w:rPr>
                <w:sz w:val="24"/>
              </w:rPr>
              <w:t>1.5</w:t>
            </w:r>
            <w:r>
              <w:rPr>
                <w:spacing w:val="-10"/>
                <w:sz w:val="24"/>
              </w:rPr>
              <w:t> </w:t>
            </w:r>
            <w:r>
              <w:rPr>
                <w:sz w:val="24"/>
              </w:rPr>
              <w:t>m</w:t>
            </w:r>
            <w:r>
              <w:rPr>
                <w:spacing w:val="-10"/>
                <w:sz w:val="24"/>
              </w:rPr>
              <w:t> </w:t>
            </w:r>
            <w:r>
              <w:rPr>
                <w:sz w:val="24"/>
              </w:rPr>
              <w:t>all</w:t>
            </w:r>
          </w:p>
          <w:p>
            <w:pPr>
              <w:pStyle w:val="TableParagraph"/>
              <w:spacing w:line="261" w:lineRule="exact"/>
              <w:ind w:left="106"/>
              <w:rPr>
                <w:sz w:val="24"/>
              </w:rPr>
            </w:pPr>
            <w:r>
              <w:rPr>
                <w:spacing w:val="-2"/>
                <w:sz w:val="24"/>
              </w:rPr>
              <w:t>around</w:t>
            </w:r>
          </w:p>
        </w:tc>
        <w:tc>
          <w:tcPr>
            <w:tcW w:w="3612" w:type="dxa"/>
          </w:tcPr>
          <w:p>
            <w:pPr>
              <w:pStyle w:val="TableParagraph"/>
              <w:ind w:left="106" w:right="201"/>
              <w:rPr>
                <w:sz w:val="24"/>
              </w:rPr>
            </w:pPr>
            <w:r>
              <w:rPr>
                <w:sz w:val="24"/>
              </w:rPr>
              <w:t>Only</w:t>
            </w:r>
            <w:r>
              <w:rPr>
                <w:spacing w:val="-8"/>
                <w:sz w:val="24"/>
              </w:rPr>
              <w:t> </w:t>
            </w:r>
            <w:r>
              <w:rPr>
                <w:sz w:val="24"/>
              </w:rPr>
              <w:t>ground</w:t>
            </w:r>
            <w:r>
              <w:rPr>
                <w:spacing w:val="-8"/>
                <w:sz w:val="24"/>
              </w:rPr>
              <w:t> </w:t>
            </w:r>
            <w:r>
              <w:rPr>
                <w:sz w:val="24"/>
              </w:rPr>
              <w:t>floor</w:t>
            </w:r>
            <w:r>
              <w:rPr>
                <w:spacing w:val="-8"/>
                <w:sz w:val="24"/>
              </w:rPr>
              <w:t> </w:t>
            </w:r>
            <w:r>
              <w:rPr>
                <w:sz w:val="24"/>
              </w:rPr>
              <w:t>or</w:t>
            </w:r>
            <w:r>
              <w:rPr>
                <w:spacing w:val="-8"/>
                <w:sz w:val="24"/>
              </w:rPr>
              <w:t> </w:t>
            </w:r>
            <w:r>
              <w:rPr>
                <w:sz w:val="24"/>
              </w:rPr>
              <w:t>stilt</w:t>
            </w:r>
            <w:r>
              <w:rPr>
                <w:spacing w:val="-8"/>
                <w:sz w:val="24"/>
              </w:rPr>
              <w:t> </w:t>
            </w:r>
            <w:r>
              <w:rPr>
                <w:sz w:val="24"/>
              </w:rPr>
              <w:t>+ one structure.</w:t>
            </w:r>
          </w:p>
        </w:tc>
      </w:tr>
    </w:tbl>
    <w:p>
      <w:pPr>
        <w:pStyle w:val="BodyText"/>
        <w:spacing w:before="2"/>
        <w:jc w:val="left"/>
        <w:rPr>
          <w:b/>
        </w:rPr>
      </w:pPr>
    </w:p>
    <w:p>
      <w:pPr>
        <w:spacing w:before="0"/>
        <w:ind w:left="1313" w:right="0" w:firstLine="0"/>
        <w:jc w:val="left"/>
        <w:rPr>
          <w:sz w:val="24"/>
        </w:rPr>
      </w:pPr>
      <w:r>
        <w:rPr>
          <w:i/>
          <w:sz w:val="24"/>
        </w:rPr>
        <w:t>Explanation</w:t>
      </w:r>
      <w:r>
        <w:rPr>
          <w:i/>
          <w:spacing w:val="55"/>
          <w:sz w:val="24"/>
        </w:rPr>
        <w:t> </w:t>
      </w:r>
      <w:r>
        <w:rPr>
          <w:i/>
          <w:sz w:val="24"/>
        </w:rPr>
        <w:t>to</w:t>
      </w:r>
      <w:r>
        <w:rPr>
          <w:i/>
          <w:spacing w:val="64"/>
          <w:sz w:val="24"/>
        </w:rPr>
        <w:t> </w:t>
      </w:r>
      <w:r>
        <w:rPr>
          <w:sz w:val="24"/>
        </w:rPr>
        <w:t>Table</w:t>
      </w:r>
      <w:r>
        <w:rPr>
          <w:spacing w:val="53"/>
          <w:sz w:val="24"/>
        </w:rPr>
        <w:t> </w:t>
      </w:r>
      <w:r>
        <w:rPr>
          <w:sz w:val="24"/>
        </w:rPr>
        <w:t>No</w:t>
      </w:r>
      <w:r>
        <w:rPr>
          <w:spacing w:val="54"/>
          <w:sz w:val="24"/>
        </w:rPr>
        <w:t> </w:t>
      </w:r>
      <w:r>
        <w:rPr>
          <w:spacing w:val="-5"/>
          <w:sz w:val="24"/>
        </w:rPr>
        <w:t>19</w:t>
      </w:r>
    </w:p>
    <w:p>
      <w:pPr>
        <w:pStyle w:val="BodyText"/>
        <w:jc w:val="left"/>
      </w:pPr>
    </w:p>
    <w:p>
      <w:pPr>
        <w:pStyle w:val="ListParagraph"/>
        <w:numPr>
          <w:ilvl w:val="0"/>
          <w:numId w:val="297"/>
        </w:numPr>
        <w:tabs>
          <w:tab w:pos="2211" w:val="left" w:leader="none"/>
        </w:tabs>
        <w:spacing w:line="281" w:lineRule="exact" w:before="0" w:after="0"/>
        <w:ind w:left="2211" w:right="0" w:hanging="898"/>
        <w:jc w:val="both"/>
        <w:rPr>
          <w:sz w:val="24"/>
        </w:rPr>
      </w:pPr>
      <w:r>
        <w:rPr>
          <w:sz w:val="24"/>
        </w:rPr>
        <w:t>No</w:t>
      </w:r>
      <w:r>
        <w:rPr>
          <w:spacing w:val="40"/>
          <w:sz w:val="24"/>
        </w:rPr>
        <w:t> </w:t>
      </w:r>
      <w:r>
        <w:rPr>
          <w:sz w:val="24"/>
        </w:rPr>
        <w:t>dimension</w:t>
      </w:r>
      <w:r>
        <w:rPr>
          <w:spacing w:val="41"/>
          <w:sz w:val="24"/>
        </w:rPr>
        <w:t> </w:t>
      </w:r>
      <w:r>
        <w:rPr>
          <w:sz w:val="24"/>
        </w:rPr>
        <w:t>of</w:t>
      </w:r>
      <w:r>
        <w:rPr>
          <w:spacing w:val="40"/>
          <w:sz w:val="24"/>
        </w:rPr>
        <w:t> </w:t>
      </w:r>
      <w:r>
        <w:rPr>
          <w:sz w:val="24"/>
        </w:rPr>
        <w:t>any</w:t>
      </w:r>
      <w:r>
        <w:rPr>
          <w:spacing w:val="41"/>
          <w:sz w:val="24"/>
        </w:rPr>
        <w:t> </w:t>
      </w:r>
      <w:r>
        <w:rPr>
          <w:sz w:val="24"/>
        </w:rPr>
        <w:t>building</w:t>
      </w:r>
      <w:r>
        <w:rPr>
          <w:spacing w:val="40"/>
          <w:sz w:val="24"/>
        </w:rPr>
        <w:t> </w:t>
      </w:r>
      <w:r>
        <w:rPr>
          <w:sz w:val="24"/>
        </w:rPr>
        <w:t>in</w:t>
      </w:r>
      <w:r>
        <w:rPr>
          <w:spacing w:val="41"/>
          <w:sz w:val="24"/>
        </w:rPr>
        <w:t> </w:t>
      </w:r>
      <w:r>
        <w:rPr>
          <w:sz w:val="24"/>
        </w:rPr>
        <w:t>a</w:t>
      </w:r>
      <w:r>
        <w:rPr>
          <w:spacing w:val="53"/>
          <w:sz w:val="24"/>
        </w:rPr>
        <w:t> </w:t>
      </w:r>
      <w:r>
        <w:rPr>
          <w:sz w:val="24"/>
        </w:rPr>
        <w:t>narrow</w:t>
      </w:r>
      <w:r>
        <w:rPr>
          <w:spacing w:val="40"/>
          <w:sz w:val="24"/>
        </w:rPr>
        <w:t> </w:t>
      </w:r>
      <w:r>
        <w:rPr>
          <w:sz w:val="24"/>
        </w:rPr>
        <w:t>plot</w:t>
      </w:r>
      <w:r>
        <w:rPr>
          <w:spacing w:val="41"/>
          <w:sz w:val="24"/>
        </w:rPr>
        <w:t> </w:t>
      </w:r>
      <w:r>
        <w:rPr>
          <w:sz w:val="24"/>
        </w:rPr>
        <w:t>shall</w:t>
      </w:r>
      <w:r>
        <w:rPr>
          <w:spacing w:val="40"/>
          <w:sz w:val="24"/>
        </w:rPr>
        <w:t> </w:t>
      </w:r>
      <w:r>
        <w:rPr>
          <w:sz w:val="24"/>
        </w:rPr>
        <w:t>exceed</w:t>
      </w:r>
      <w:r>
        <w:rPr>
          <w:spacing w:val="41"/>
          <w:sz w:val="24"/>
        </w:rPr>
        <w:t> </w:t>
      </w:r>
      <w:r>
        <w:rPr>
          <w:sz w:val="24"/>
        </w:rPr>
        <w:t>30</w:t>
      </w:r>
      <w:r>
        <w:rPr>
          <w:spacing w:val="41"/>
          <w:sz w:val="24"/>
        </w:rPr>
        <w:t> </w:t>
      </w:r>
      <w:r>
        <w:rPr>
          <w:spacing w:val="-5"/>
          <w:sz w:val="24"/>
        </w:rPr>
        <w:t>m.</w:t>
      </w:r>
    </w:p>
    <w:p>
      <w:pPr>
        <w:pStyle w:val="ListParagraph"/>
        <w:numPr>
          <w:ilvl w:val="0"/>
          <w:numId w:val="297"/>
        </w:numPr>
        <w:tabs>
          <w:tab w:pos="1943" w:val="left" w:leader="none"/>
        </w:tabs>
        <w:spacing w:line="240" w:lineRule="auto" w:before="0" w:after="0"/>
        <w:ind w:left="1313" w:right="781" w:firstLine="0"/>
        <w:jc w:val="both"/>
        <w:rPr>
          <w:sz w:val="24"/>
        </w:rPr>
      </w:pPr>
      <w:r>
        <w:rPr>
          <w:sz w:val="24"/>
        </w:rPr>
        <w:t>The</w:t>
      </w:r>
      <w:r>
        <w:rPr>
          <w:spacing w:val="40"/>
          <w:sz w:val="24"/>
        </w:rPr>
        <w:t> </w:t>
      </w:r>
      <w:r>
        <w:rPr>
          <w:sz w:val="24"/>
        </w:rPr>
        <w:t>relaxation</w:t>
      </w:r>
      <w:r>
        <w:rPr>
          <w:spacing w:val="40"/>
          <w:sz w:val="24"/>
        </w:rPr>
        <w:t> </w:t>
      </w:r>
      <w:r>
        <w:rPr>
          <w:sz w:val="24"/>
        </w:rPr>
        <w:t>in</w:t>
      </w:r>
      <w:r>
        <w:rPr>
          <w:spacing w:val="40"/>
          <w:sz w:val="24"/>
        </w:rPr>
        <w:t> </w:t>
      </w:r>
      <w:r>
        <w:rPr>
          <w:sz w:val="24"/>
        </w:rPr>
        <w:t>Table</w:t>
      </w:r>
      <w:r>
        <w:rPr>
          <w:spacing w:val="40"/>
          <w:sz w:val="24"/>
        </w:rPr>
        <w:t> </w:t>
      </w:r>
      <w:r>
        <w:rPr>
          <w:sz w:val="24"/>
        </w:rPr>
        <w:t>No</w:t>
      </w:r>
      <w:r>
        <w:rPr>
          <w:spacing w:val="40"/>
          <w:sz w:val="24"/>
        </w:rPr>
        <w:t> </w:t>
      </w:r>
      <w:r>
        <w:rPr>
          <w:sz w:val="24"/>
        </w:rPr>
        <w:t>19</w:t>
      </w:r>
      <w:r>
        <w:rPr>
          <w:spacing w:val="40"/>
          <w:sz w:val="24"/>
        </w:rPr>
        <w:t> </w:t>
      </w:r>
      <w:r>
        <w:rPr>
          <w:sz w:val="24"/>
        </w:rPr>
        <w:t>shall</w:t>
      </w:r>
      <w:r>
        <w:rPr>
          <w:spacing w:val="40"/>
          <w:sz w:val="24"/>
        </w:rPr>
        <w:t> </w:t>
      </w:r>
      <w:r>
        <w:rPr>
          <w:sz w:val="24"/>
        </w:rPr>
        <w:t>not</w:t>
      </w:r>
      <w:r>
        <w:rPr>
          <w:spacing w:val="40"/>
          <w:sz w:val="24"/>
        </w:rPr>
        <w:t> </w:t>
      </w:r>
      <w:r>
        <w:rPr>
          <w:sz w:val="24"/>
        </w:rPr>
        <w:t>apply</w:t>
      </w:r>
      <w:r>
        <w:rPr>
          <w:spacing w:val="40"/>
          <w:sz w:val="24"/>
        </w:rPr>
        <w:t> </w:t>
      </w:r>
      <w:r>
        <w:rPr>
          <w:sz w:val="24"/>
        </w:rPr>
        <w:t>to</w:t>
      </w:r>
      <w:r>
        <w:rPr>
          <w:spacing w:val="40"/>
          <w:sz w:val="24"/>
        </w:rPr>
        <w:t> </w:t>
      </w:r>
      <w:r>
        <w:rPr>
          <w:sz w:val="24"/>
        </w:rPr>
        <w:t>any</w:t>
      </w:r>
      <w:r>
        <w:rPr>
          <w:spacing w:val="40"/>
          <w:sz w:val="24"/>
        </w:rPr>
        <w:t> </w:t>
      </w:r>
      <w:r>
        <w:rPr>
          <w:sz w:val="24"/>
        </w:rPr>
        <w:t>narrow</w:t>
      </w:r>
      <w:r>
        <w:rPr>
          <w:spacing w:val="40"/>
          <w:sz w:val="24"/>
        </w:rPr>
        <w:t> </w:t>
      </w:r>
      <w:r>
        <w:rPr>
          <w:sz w:val="24"/>
        </w:rPr>
        <w:t>plot where in </w:t>
      </w:r>
      <w:r>
        <w:rPr>
          <w:spacing w:val="9"/>
          <w:sz w:val="24"/>
        </w:rPr>
        <w:t>reconstruction/redevelopment </w:t>
      </w:r>
      <w:r>
        <w:rPr>
          <w:sz w:val="24"/>
        </w:rPr>
        <w:t>scheme under the Maharashtra Housing and Area Development Authority Act, 1976 and Slum Act is undertakenIn</w:t>
      </w:r>
      <w:r>
        <w:rPr>
          <w:spacing w:val="67"/>
          <w:sz w:val="24"/>
        </w:rPr>
        <w:t> </w:t>
      </w:r>
      <w:r>
        <w:rPr>
          <w:sz w:val="24"/>
        </w:rPr>
        <w:t>areas</w:t>
      </w:r>
      <w:r>
        <w:rPr>
          <w:spacing w:val="67"/>
          <w:sz w:val="24"/>
        </w:rPr>
        <w:t> </w:t>
      </w:r>
      <w:r>
        <w:rPr>
          <w:sz w:val="24"/>
        </w:rPr>
        <w:t>when</w:t>
      </w:r>
      <w:r>
        <w:rPr>
          <w:spacing w:val="70"/>
          <w:sz w:val="24"/>
        </w:rPr>
        <w:t> </w:t>
      </w:r>
      <w:r>
        <w:rPr>
          <w:sz w:val="24"/>
        </w:rPr>
        <w:t>the</w:t>
      </w:r>
      <w:r>
        <w:rPr>
          <w:spacing w:val="70"/>
          <w:sz w:val="24"/>
        </w:rPr>
        <w:t> </w:t>
      </w:r>
      <w:r>
        <w:rPr>
          <w:sz w:val="24"/>
        </w:rPr>
        <w:t>majority</w:t>
      </w:r>
      <w:r>
        <w:rPr>
          <w:spacing w:val="67"/>
          <w:sz w:val="24"/>
        </w:rPr>
        <w:t> </w:t>
      </w:r>
      <w:r>
        <w:rPr>
          <w:sz w:val="24"/>
        </w:rPr>
        <w:t>of</w:t>
      </w:r>
      <w:r>
        <w:rPr>
          <w:spacing w:val="70"/>
          <w:sz w:val="24"/>
        </w:rPr>
        <w:t> </w:t>
      </w:r>
      <w:r>
        <w:rPr>
          <w:sz w:val="24"/>
        </w:rPr>
        <w:t>the</w:t>
      </w:r>
      <w:r>
        <w:rPr>
          <w:spacing w:val="70"/>
          <w:sz w:val="24"/>
        </w:rPr>
        <w:t> </w:t>
      </w:r>
      <w:r>
        <w:rPr>
          <w:sz w:val="24"/>
        </w:rPr>
        <w:t>plots</w:t>
      </w:r>
      <w:r>
        <w:rPr>
          <w:spacing w:val="70"/>
          <w:sz w:val="24"/>
        </w:rPr>
        <w:t> </w:t>
      </w:r>
      <w:r>
        <w:rPr>
          <w:sz w:val="24"/>
        </w:rPr>
        <w:t>is</w:t>
      </w:r>
      <w:r>
        <w:rPr>
          <w:spacing w:val="70"/>
          <w:sz w:val="24"/>
        </w:rPr>
        <w:t> </w:t>
      </w:r>
      <w:r>
        <w:rPr>
          <w:sz w:val="24"/>
        </w:rPr>
        <w:t>less</w:t>
      </w:r>
      <w:r>
        <w:rPr>
          <w:spacing w:val="67"/>
          <w:sz w:val="24"/>
        </w:rPr>
        <w:t> </w:t>
      </w:r>
      <w:r>
        <w:rPr>
          <w:sz w:val="24"/>
        </w:rPr>
        <w:t>than</w:t>
      </w:r>
      <w:r>
        <w:rPr>
          <w:spacing w:val="67"/>
          <w:sz w:val="24"/>
        </w:rPr>
        <w:t> </w:t>
      </w:r>
      <w:r>
        <w:rPr>
          <w:sz w:val="24"/>
        </w:rPr>
        <w:t>11.5</w:t>
      </w:r>
      <w:r>
        <w:rPr>
          <w:spacing w:val="67"/>
          <w:sz w:val="24"/>
        </w:rPr>
        <w:t> </w:t>
      </w:r>
      <w:r>
        <w:rPr>
          <w:sz w:val="24"/>
        </w:rPr>
        <w:t>m in</w:t>
      </w:r>
      <w:r>
        <w:rPr>
          <w:spacing w:val="40"/>
          <w:sz w:val="24"/>
        </w:rPr>
        <w:t> </w:t>
      </w:r>
      <w:r>
        <w:rPr>
          <w:sz w:val="24"/>
        </w:rPr>
        <w:t>width</w:t>
      </w:r>
      <w:r>
        <w:rPr>
          <w:spacing w:val="40"/>
          <w:sz w:val="24"/>
        </w:rPr>
        <w:t> </w:t>
      </w:r>
      <w:r>
        <w:rPr>
          <w:sz w:val="24"/>
        </w:rPr>
        <w:t>or</w:t>
      </w:r>
      <w:r>
        <w:rPr>
          <w:spacing w:val="40"/>
          <w:sz w:val="24"/>
        </w:rPr>
        <w:t> </w:t>
      </w:r>
      <w:r>
        <w:rPr>
          <w:sz w:val="24"/>
        </w:rPr>
        <w:t>depth,</w:t>
      </w:r>
      <w:r>
        <w:rPr>
          <w:spacing w:val="40"/>
          <w:sz w:val="24"/>
        </w:rPr>
        <w:t> </w:t>
      </w:r>
      <w:r>
        <w:rPr>
          <w:sz w:val="24"/>
        </w:rPr>
        <w:t>the</w:t>
      </w:r>
      <w:r>
        <w:rPr>
          <w:spacing w:val="40"/>
          <w:sz w:val="24"/>
        </w:rPr>
        <w:t> </w:t>
      </w:r>
      <w:r>
        <w:rPr>
          <w:sz w:val="24"/>
        </w:rPr>
        <w:t>Commissioner</w:t>
      </w:r>
      <w:r>
        <w:rPr>
          <w:spacing w:val="40"/>
          <w:sz w:val="24"/>
        </w:rPr>
        <w:t> </w:t>
      </w:r>
      <w:r>
        <w:rPr>
          <w:sz w:val="24"/>
        </w:rPr>
        <w:t>may</w:t>
      </w:r>
      <w:r>
        <w:rPr>
          <w:spacing w:val="40"/>
          <w:sz w:val="24"/>
        </w:rPr>
        <w:t> </w:t>
      </w:r>
      <w:r>
        <w:rPr>
          <w:sz w:val="24"/>
        </w:rPr>
        <w:t>prescribe</w:t>
      </w:r>
      <w:r>
        <w:rPr>
          <w:spacing w:val="40"/>
          <w:sz w:val="24"/>
        </w:rPr>
        <w:t> </w:t>
      </w:r>
      <w:r>
        <w:rPr>
          <w:sz w:val="24"/>
        </w:rPr>
        <w:t>building</w:t>
      </w:r>
      <w:r>
        <w:rPr>
          <w:spacing w:val="40"/>
          <w:sz w:val="24"/>
        </w:rPr>
        <w:t> </w:t>
      </w:r>
      <w:r>
        <w:rPr>
          <w:spacing w:val="10"/>
          <w:sz w:val="24"/>
        </w:rPr>
        <w:t>lines</w:t>
      </w:r>
      <w:r>
        <w:rPr>
          <w:spacing w:val="40"/>
          <w:sz w:val="24"/>
        </w:rPr>
        <w:t> </w:t>
      </w:r>
      <w:r>
        <w:rPr>
          <w:sz w:val="24"/>
        </w:rPr>
        <w:t>in which</w:t>
      </w:r>
      <w:r>
        <w:rPr>
          <w:spacing w:val="40"/>
          <w:sz w:val="24"/>
        </w:rPr>
        <w:t> </w:t>
      </w:r>
      <w:r>
        <w:rPr>
          <w:sz w:val="24"/>
        </w:rPr>
        <w:t>row</w:t>
      </w:r>
      <w:r>
        <w:rPr>
          <w:spacing w:val="40"/>
          <w:sz w:val="24"/>
        </w:rPr>
        <w:t> </w:t>
      </w:r>
      <w:r>
        <w:rPr>
          <w:sz w:val="24"/>
        </w:rPr>
        <w:t>houses</w:t>
      </w:r>
      <w:r>
        <w:rPr>
          <w:spacing w:val="40"/>
          <w:sz w:val="24"/>
        </w:rPr>
        <w:t> </w:t>
      </w:r>
      <w:r>
        <w:rPr>
          <w:sz w:val="24"/>
        </w:rPr>
        <w:t>would</w:t>
      </w:r>
      <w:r>
        <w:rPr>
          <w:spacing w:val="40"/>
          <w:sz w:val="24"/>
        </w:rPr>
        <w:t> </w:t>
      </w:r>
      <w:r>
        <w:rPr>
          <w:sz w:val="24"/>
        </w:rPr>
        <w:t>be</w:t>
      </w:r>
      <w:r>
        <w:rPr>
          <w:spacing w:val="40"/>
          <w:sz w:val="24"/>
        </w:rPr>
        <w:t> </w:t>
      </w:r>
      <w:r>
        <w:rPr>
          <w:spacing w:val="9"/>
          <w:sz w:val="24"/>
        </w:rPr>
        <w:t>permissible.</w:t>
      </w:r>
    </w:p>
    <w:p>
      <w:pPr>
        <w:pStyle w:val="ListParagraph"/>
        <w:numPr>
          <w:ilvl w:val="0"/>
          <w:numId w:val="297"/>
        </w:numPr>
        <w:tabs>
          <w:tab w:pos="1943" w:val="left" w:leader="none"/>
        </w:tabs>
        <w:spacing w:line="240" w:lineRule="auto" w:before="0" w:after="0"/>
        <w:ind w:left="1313" w:right="787" w:firstLine="0"/>
        <w:jc w:val="both"/>
        <w:rPr>
          <w:sz w:val="24"/>
        </w:rPr>
      </w:pPr>
      <w:r>
        <w:rPr>
          <w:sz w:val="24"/>
        </w:rPr>
        <w:t>For the purpose of this regulation plot </w:t>
      </w:r>
      <w:r>
        <w:rPr>
          <w:spacing w:val="9"/>
          <w:sz w:val="24"/>
        </w:rPr>
        <w:t>area/size </w:t>
      </w:r>
      <w:r>
        <w:rPr>
          <w:sz w:val="24"/>
        </w:rPr>
        <w:t>shall be reckoned</w:t>
      </w:r>
      <w:r>
        <w:rPr>
          <w:spacing w:val="40"/>
          <w:sz w:val="24"/>
        </w:rPr>
        <w:t> </w:t>
      </w:r>
      <w:r>
        <w:rPr>
          <w:sz w:val="24"/>
        </w:rPr>
        <w:t>after</w:t>
      </w:r>
      <w:r>
        <w:rPr>
          <w:spacing w:val="40"/>
          <w:sz w:val="24"/>
        </w:rPr>
        <w:t> </w:t>
      </w:r>
      <w:r>
        <w:rPr>
          <w:sz w:val="24"/>
        </w:rPr>
        <w:t>deduction</w:t>
      </w:r>
      <w:r>
        <w:rPr>
          <w:spacing w:val="40"/>
          <w:sz w:val="24"/>
        </w:rPr>
        <w:t> </w:t>
      </w:r>
      <w:r>
        <w:rPr>
          <w:sz w:val="24"/>
        </w:rPr>
        <w:t>of</w:t>
      </w:r>
      <w:r>
        <w:rPr>
          <w:spacing w:val="40"/>
          <w:sz w:val="24"/>
        </w:rPr>
        <w:t> </w:t>
      </w:r>
      <w:r>
        <w:rPr>
          <w:sz w:val="24"/>
        </w:rPr>
        <w:t>‘area</w:t>
      </w:r>
      <w:r>
        <w:rPr>
          <w:spacing w:val="40"/>
          <w:sz w:val="24"/>
        </w:rPr>
        <w:t> </w:t>
      </w:r>
      <w:r>
        <w:rPr>
          <w:sz w:val="24"/>
        </w:rPr>
        <w:t>of</w:t>
      </w:r>
      <w:r>
        <w:rPr>
          <w:spacing w:val="40"/>
          <w:sz w:val="24"/>
        </w:rPr>
        <w:t> </w:t>
      </w:r>
      <w:r>
        <w:rPr>
          <w:sz w:val="24"/>
        </w:rPr>
        <w:t>the</w:t>
      </w:r>
      <w:r>
        <w:rPr>
          <w:spacing w:val="40"/>
          <w:sz w:val="24"/>
        </w:rPr>
        <w:t> </w:t>
      </w:r>
      <w:r>
        <w:rPr>
          <w:sz w:val="24"/>
        </w:rPr>
        <w:t>plot</w:t>
      </w:r>
      <w:r>
        <w:rPr>
          <w:spacing w:val="40"/>
          <w:sz w:val="24"/>
        </w:rPr>
        <w:t> </w:t>
      </w:r>
      <w:r>
        <w:rPr>
          <w:sz w:val="24"/>
        </w:rPr>
        <w:t>to</w:t>
      </w:r>
      <w:r>
        <w:rPr>
          <w:spacing w:val="40"/>
          <w:sz w:val="24"/>
        </w:rPr>
        <w:t> </w:t>
      </w:r>
      <w:r>
        <w:rPr>
          <w:sz w:val="24"/>
        </w:rPr>
        <w:t>be</w:t>
      </w:r>
      <w:r>
        <w:rPr>
          <w:spacing w:val="40"/>
          <w:sz w:val="24"/>
        </w:rPr>
        <w:t> </w:t>
      </w:r>
      <w:r>
        <w:rPr>
          <w:sz w:val="24"/>
        </w:rPr>
        <w:t>handed</w:t>
      </w:r>
      <w:r>
        <w:rPr>
          <w:spacing w:val="40"/>
          <w:sz w:val="24"/>
        </w:rPr>
        <w:t> </w:t>
      </w:r>
      <w:r>
        <w:rPr>
          <w:sz w:val="24"/>
        </w:rPr>
        <w:t>over</w:t>
      </w:r>
      <w:r>
        <w:rPr>
          <w:spacing w:val="40"/>
          <w:sz w:val="24"/>
        </w:rPr>
        <w:t> </w:t>
      </w:r>
      <w:r>
        <w:rPr>
          <w:sz w:val="24"/>
        </w:rPr>
        <w:t>to MCGM/Appropriate</w:t>
      </w:r>
      <w:r>
        <w:rPr>
          <w:spacing w:val="80"/>
          <w:sz w:val="24"/>
        </w:rPr>
        <w:t> </w:t>
      </w:r>
      <w:r>
        <w:rPr>
          <w:sz w:val="24"/>
        </w:rPr>
        <w:t>Authority’</w:t>
      </w:r>
      <w:r>
        <w:rPr>
          <w:spacing w:val="80"/>
          <w:sz w:val="24"/>
        </w:rPr>
        <w:t> </w:t>
      </w:r>
      <w:r>
        <w:rPr>
          <w:sz w:val="24"/>
        </w:rPr>
        <w:t>under</w:t>
      </w:r>
      <w:r>
        <w:rPr>
          <w:spacing w:val="80"/>
          <w:sz w:val="24"/>
        </w:rPr>
        <w:t> </w:t>
      </w:r>
      <w:r>
        <w:rPr>
          <w:sz w:val="24"/>
        </w:rPr>
        <w:t>these</w:t>
      </w:r>
      <w:r>
        <w:rPr>
          <w:spacing w:val="80"/>
          <w:sz w:val="24"/>
        </w:rPr>
        <w:t> </w:t>
      </w:r>
      <w:r>
        <w:rPr>
          <w:spacing w:val="9"/>
          <w:sz w:val="24"/>
        </w:rPr>
        <w:t>Regulations.</w:t>
      </w:r>
    </w:p>
    <w:p>
      <w:pPr>
        <w:pStyle w:val="BodyText"/>
        <w:jc w:val="left"/>
      </w:pPr>
    </w:p>
    <w:p>
      <w:pPr>
        <w:pStyle w:val="ListParagraph"/>
        <w:numPr>
          <w:ilvl w:val="1"/>
          <w:numId w:val="293"/>
        </w:numPr>
        <w:tabs>
          <w:tab w:pos="1757" w:val="left" w:leader="none"/>
        </w:tabs>
        <w:spacing w:line="240" w:lineRule="auto" w:before="1" w:after="0"/>
        <w:ind w:left="1313" w:right="779" w:firstLine="0"/>
        <w:jc w:val="both"/>
        <w:rPr>
          <w:sz w:val="24"/>
        </w:rPr>
      </w:pPr>
      <w:r>
        <w:rPr>
          <w:sz w:val="24"/>
        </w:rPr>
        <w:t>Narrow plots in industrial zones, viz. those having</w:t>
      </w:r>
      <w:r>
        <w:rPr>
          <w:spacing w:val="40"/>
          <w:sz w:val="24"/>
        </w:rPr>
        <w:t> </w:t>
      </w:r>
      <w:r>
        <w:rPr>
          <w:sz w:val="24"/>
        </w:rPr>
        <w:t>one</w:t>
      </w:r>
      <w:r>
        <w:rPr>
          <w:spacing w:val="40"/>
          <w:sz w:val="24"/>
        </w:rPr>
        <w:t> </w:t>
      </w:r>
      <w:r>
        <w:rPr>
          <w:sz w:val="24"/>
        </w:rPr>
        <w:t>dimension</w:t>
      </w:r>
      <w:r>
        <w:rPr>
          <w:spacing w:val="40"/>
          <w:sz w:val="24"/>
        </w:rPr>
        <w:t> </w:t>
      </w:r>
      <w:r>
        <w:rPr>
          <w:sz w:val="24"/>
        </w:rPr>
        <w:t>smaller</w:t>
      </w:r>
      <w:r>
        <w:rPr>
          <w:spacing w:val="40"/>
          <w:sz w:val="24"/>
        </w:rPr>
        <w:t> </w:t>
      </w:r>
      <w:r>
        <w:rPr>
          <w:sz w:val="24"/>
        </w:rPr>
        <w:t>than</w:t>
      </w:r>
      <w:r>
        <w:rPr>
          <w:spacing w:val="40"/>
          <w:sz w:val="24"/>
        </w:rPr>
        <w:t> </w:t>
      </w:r>
      <w:r>
        <w:rPr>
          <w:sz w:val="24"/>
        </w:rPr>
        <w:t>16</w:t>
      </w:r>
      <w:r>
        <w:rPr>
          <w:spacing w:val="40"/>
          <w:sz w:val="24"/>
        </w:rPr>
        <w:t> </w:t>
      </w:r>
      <w:r>
        <w:rPr>
          <w:sz w:val="24"/>
        </w:rPr>
        <w:t>m</w:t>
      </w:r>
      <w:r>
        <w:rPr>
          <w:spacing w:val="40"/>
          <w:sz w:val="24"/>
        </w:rPr>
        <w:t> </w:t>
      </w:r>
      <w:r>
        <w:rPr>
          <w:sz w:val="24"/>
        </w:rPr>
        <w:t>will</w:t>
      </w:r>
      <w:r>
        <w:rPr>
          <w:spacing w:val="40"/>
          <w:sz w:val="24"/>
        </w:rPr>
        <w:t> </w:t>
      </w:r>
      <w:r>
        <w:rPr>
          <w:sz w:val="24"/>
        </w:rPr>
        <w:t>be</w:t>
      </w:r>
      <w:r>
        <w:rPr>
          <w:spacing w:val="40"/>
          <w:sz w:val="24"/>
        </w:rPr>
        <w:t> </w:t>
      </w:r>
      <w:r>
        <w:rPr>
          <w:sz w:val="24"/>
        </w:rPr>
        <w:t>allowed</w:t>
      </w:r>
      <w:r>
        <w:rPr>
          <w:spacing w:val="40"/>
          <w:sz w:val="24"/>
        </w:rPr>
        <w:t> </w:t>
      </w:r>
      <w:r>
        <w:rPr>
          <w:sz w:val="24"/>
        </w:rPr>
        <w:t>the</w:t>
      </w:r>
      <w:r>
        <w:rPr>
          <w:spacing w:val="40"/>
          <w:sz w:val="24"/>
        </w:rPr>
        <w:t> </w:t>
      </w:r>
      <w:r>
        <w:rPr>
          <w:sz w:val="24"/>
        </w:rPr>
        <w:t>relaxation</w:t>
      </w:r>
      <w:r>
        <w:rPr>
          <w:spacing w:val="40"/>
          <w:sz w:val="24"/>
        </w:rPr>
        <w:t> </w:t>
      </w:r>
      <w:r>
        <w:rPr>
          <w:sz w:val="24"/>
        </w:rPr>
        <w:t>subject</w:t>
      </w:r>
      <w:r>
        <w:rPr>
          <w:spacing w:val="40"/>
          <w:sz w:val="24"/>
        </w:rPr>
        <w:t> </w:t>
      </w:r>
      <w:r>
        <w:rPr>
          <w:sz w:val="24"/>
        </w:rPr>
        <w:t>to</w:t>
      </w:r>
      <w:r>
        <w:rPr>
          <w:spacing w:val="40"/>
          <w:sz w:val="24"/>
        </w:rPr>
        <w:t> </w:t>
      </w:r>
      <w:r>
        <w:rPr>
          <w:spacing w:val="9"/>
          <w:sz w:val="24"/>
        </w:rPr>
        <w:t>the </w:t>
      </w:r>
      <w:r>
        <w:rPr>
          <w:sz w:val="24"/>
        </w:rPr>
        <w:t>restrictions</w:t>
      </w:r>
      <w:r>
        <w:rPr>
          <w:spacing w:val="40"/>
          <w:sz w:val="24"/>
        </w:rPr>
        <w:t> </w:t>
      </w:r>
      <w:r>
        <w:rPr>
          <w:sz w:val="24"/>
        </w:rPr>
        <w:t>in</w:t>
      </w:r>
      <w:r>
        <w:rPr>
          <w:spacing w:val="40"/>
          <w:sz w:val="24"/>
        </w:rPr>
        <w:t> </w:t>
      </w:r>
      <w:r>
        <w:rPr>
          <w:sz w:val="24"/>
        </w:rPr>
        <w:t>Table</w:t>
      </w:r>
      <w:r>
        <w:rPr>
          <w:spacing w:val="40"/>
          <w:sz w:val="24"/>
        </w:rPr>
        <w:t> </w:t>
      </w:r>
      <w:r>
        <w:rPr>
          <w:sz w:val="24"/>
        </w:rPr>
        <w:t>No</w:t>
      </w:r>
      <w:r>
        <w:rPr>
          <w:spacing w:val="40"/>
          <w:sz w:val="24"/>
        </w:rPr>
        <w:t> </w:t>
      </w:r>
      <w:r>
        <w:rPr>
          <w:sz w:val="24"/>
        </w:rPr>
        <w:t>20</w:t>
      </w:r>
      <w:r>
        <w:rPr>
          <w:spacing w:val="40"/>
          <w:sz w:val="24"/>
        </w:rPr>
        <w:t> </w:t>
      </w:r>
      <w:r>
        <w:rPr>
          <w:sz w:val="24"/>
        </w:rPr>
        <w:t>hereunder.</w:t>
      </w:r>
    </w:p>
    <w:p>
      <w:pPr>
        <w:pStyle w:val="Heading5"/>
        <w:spacing w:before="280"/>
        <w:ind w:left="1493"/>
      </w:pPr>
      <w:r>
        <w:rPr/>
        <w:t>Table</w:t>
      </w:r>
      <w:r>
        <w:rPr>
          <w:spacing w:val="47"/>
        </w:rPr>
        <w:t> </w:t>
      </w:r>
      <w:r>
        <w:rPr/>
        <w:t>No:</w:t>
      </w:r>
      <w:r>
        <w:rPr>
          <w:spacing w:val="47"/>
        </w:rPr>
        <w:t> </w:t>
      </w:r>
      <w:r>
        <w:rPr>
          <w:spacing w:val="-5"/>
        </w:rPr>
        <w:t>20</w:t>
      </w:r>
    </w:p>
    <w:p>
      <w:pPr>
        <w:spacing w:before="1"/>
        <w:ind w:left="2290" w:right="0" w:firstLine="0"/>
        <w:jc w:val="left"/>
        <w:rPr>
          <w:b/>
          <w:sz w:val="24"/>
        </w:rPr>
      </w:pPr>
      <w:r>
        <w:rPr>
          <w:b/>
          <w:sz w:val="24"/>
        </w:rPr>
        <w:t>Open</w:t>
      </w:r>
      <w:r>
        <w:rPr>
          <w:b/>
          <w:spacing w:val="-3"/>
          <w:sz w:val="24"/>
        </w:rPr>
        <w:t> </w:t>
      </w:r>
      <w:r>
        <w:rPr>
          <w:b/>
          <w:sz w:val="24"/>
        </w:rPr>
        <w:t>Space</w:t>
      </w:r>
      <w:r>
        <w:rPr>
          <w:b/>
          <w:spacing w:val="-2"/>
          <w:sz w:val="24"/>
        </w:rPr>
        <w:t> </w:t>
      </w:r>
      <w:r>
        <w:rPr>
          <w:b/>
          <w:sz w:val="24"/>
        </w:rPr>
        <w:t>Relaxation</w:t>
      </w:r>
      <w:r>
        <w:rPr>
          <w:b/>
          <w:spacing w:val="-2"/>
          <w:sz w:val="24"/>
        </w:rPr>
        <w:t> </w:t>
      </w:r>
      <w:r>
        <w:rPr>
          <w:b/>
          <w:sz w:val="24"/>
        </w:rPr>
        <w:t>in</w:t>
      </w:r>
      <w:r>
        <w:rPr>
          <w:b/>
          <w:spacing w:val="-2"/>
          <w:sz w:val="24"/>
        </w:rPr>
        <w:t> </w:t>
      </w:r>
      <w:r>
        <w:rPr>
          <w:b/>
          <w:sz w:val="24"/>
        </w:rPr>
        <w:t>Narrow</w:t>
      </w:r>
      <w:r>
        <w:rPr>
          <w:b/>
          <w:spacing w:val="-2"/>
          <w:sz w:val="24"/>
        </w:rPr>
        <w:t> </w:t>
      </w:r>
      <w:r>
        <w:rPr>
          <w:b/>
          <w:sz w:val="24"/>
        </w:rPr>
        <w:t>Plots</w:t>
      </w:r>
      <w:r>
        <w:rPr>
          <w:b/>
          <w:spacing w:val="-2"/>
          <w:sz w:val="24"/>
        </w:rPr>
        <w:t> </w:t>
      </w:r>
      <w:r>
        <w:rPr>
          <w:b/>
          <w:sz w:val="24"/>
        </w:rPr>
        <w:t>in</w:t>
      </w:r>
      <w:r>
        <w:rPr>
          <w:b/>
          <w:spacing w:val="-2"/>
          <w:sz w:val="24"/>
        </w:rPr>
        <w:t> </w:t>
      </w:r>
      <w:r>
        <w:rPr>
          <w:b/>
          <w:sz w:val="24"/>
        </w:rPr>
        <w:t>Industrial</w:t>
      </w:r>
      <w:r>
        <w:rPr>
          <w:b/>
          <w:spacing w:val="-2"/>
          <w:sz w:val="24"/>
        </w:rPr>
        <w:t> Zones</w:t>
      </w:r>
    </w:p>
    <w:p>
      <w:pPr>
        <w:pStyle w:val="BodyText"/>
        <w:spacing w:before="5" w:after="1"/>
        <w:jc w:val="left"/>
        <w:rPr>
          <w:b/>
          <w:sz w:val="20"/>
        </w:rPr>
      </w:pPr>
    </w:p>
    <w:tbl>
      <w:tblPr>
        <w:tblW w:w="0" w:type="auto"/>
        <w:jc w:val="left"/>
        <w:tblInd w:w="7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1396"/>
        <w:gridCol w:w="993"/>
        <w:gridCol w:w="1132"/>
        <w:gridCol w:w="1843"/>
        <w:gridCol w:w="1276"/>
        <w:gridCol w:w="1277"/>
        <w:gridCol w:w="1084"/>
      </w:tblGrid>
      <w:tr>
        <w:trPr>
          <w:trHeight w:val="2066" w:hRule="atLeast"/>
        </w:trPr>
        <w:tc>
          <w:tcPr>
            <w:tcW w:w="720" w:type="dxa"/>
            <w:shd w:val="clear" w:color="auto" w:fill="EDEBE0"/>
          </w:tcPr>
          <w:p>
            <w:pPr>
              <w:pStyle w:val="TableParagraph"/>
              <w:spacing w:before="94"/>
              <w:ind w:left="107"/>
              <w:rPr>
                <w:sz w:val="22"/>
              </w:rPr>
            </w:pPr>
            <w:r>
              <w:rPr>
                <w:spacing w:val="-4"/>
                <w:sz w:val="22"/>
              </w:rPr>
              <w:t>Sr.N</w:t>
            </w:r>
          </w:p>
          <w:p>
            <w:pPr>
              <w:pStyle w:val="TableParagraph"/>
              <w:spacing w:before="1"/>
              <w:ind w:left="107"/>
              <w:rPr>
                <w:sz w:val="22"/>
              </w:rPr>
            </w:pPr>
            <w:r>
              <w:rPr>
                <w:spacing w:val="-10"/>
                <w:sz w:val="22"/>
              </w:rPr>
              <w:t>o</w:t>
            </w:r>
          </w:p>
          <w:p>
            <w:pPr>
              <w:pStyle w:val="TableParagraph"/>
              <w:rPr>
                <w:b/>
                <w:sz w:val="22"/>
              </w:rPr>
            </w:pPr>
          </w:p>
          <w:p>
            <w:pPr>
              <w:pStyle w:val="TableParagraph"/>
              <w:rPr>
                <w:b/>
                <w:sz w:val="22"/>
              </w:rPr>
            </w:pPr>
          </w:p>
          <w:p>
            <w:pPr>
              <w:pStyle w:val="TableParagraph"/>
              <w:rPr>
                <w:b/>
                <w:sz w:val="22"/>
              </w:rPr>
            </w:pPr>
          </w:p>
          <w:p>
            <w:pPr>
              <w:pStyle w:val="TableParagraph"/>
              <w:spacing w:before="1"/>
              <w:rPr>
                <w:b/>
                <w:sz w:val="22"/>
              </w:rPr>
            </w:pPr>
          </w:p>
          <w:p>
            <w:pPr>
              <w:pStyle w:val="TableParagraph"/>
              <w:ind w:left="107"/>
              <w:rPr>
                <w:sz w:val="22"/>
              </w:rPr>
            </w:pPr>
            <w:r>
              <w:rPr>
                <w:spacing w:val="-5"/>
                <w:sz w:val="22"/>
              </w:rPr>
              <w:t>(1)</w:t>
            </w:r>
          </w:p>
        </w:tc>
        <w:tc>
          <w:tcPr>
            <w:tcW w:w="1396" w:type="dxa"/>
            <w:shd w:val="clear" w:color="auto" w:fill="EDEBE0"/>
          </w:tcPr>
          <w:p>
            <w:pPr>
              <w:pStyle w:val="TableParagraph"/>
              <w:ind w:left="108" w:right="134"/>
              <w:rPr>
                <w:sz w:val="22"/>
              </w:rPr>
            </w:pPr>
            <w:r>
              <w:rPr>
                <w:spacing w:val="-2"/>
                <w:sz w:val="22"/>
              </w:rPr>
              <w:t>Relaxation </w:t>
            </w:r>
            <w:r>
              <w:rPr>
                <w:sz w:val="22"/>
              </w:rPr>
              <w:t>granted</w:t>
            </w:r>
            <w:r>
              <w:rPr>
                <w:spacing w:val="-6"/>
                <w:sz w:val="22"/>
              </w:rPr>
              <w:t> </w:t>
            </w:r>
            <w:r>
              <w:rPr>
                <w:sz w:val="22"/>
              </w:rPr>
              <w:t>in </w:t>
            </w:r>
            <w:r>
              <w:rPr>
                <w:spacing w:val="-6"/>
                <w:sz w:val="22"/>
              </w:rPr>
              <w:t>or </w:t>
            </w:r>
            <w:r>
              <w:rPr>
                <w:spacing w:val="-2"/>
                <w:sz w:val="22"/>
              </w:rPr>
              <w:t>condition imposed </w:t>
            </w:r>
            <w:r>
              <w:rPr>
                <w:spacing w:val="-6"/>
                <w:sz w:val="22"/>
              </w:rPr>
              <w:t>on</w:t>
            </w:r>
          </w:p>
          <w:p>
            <w:pPr>
              <w:pStyle w:val="TableParagraph"/>
              <w:spacing w:before="1"/>
              <w:rPr>
                <w:b/>
                <w:sz w:val="22"/>
              </w:rPr>
            </w:pPr>
          </w:p>
          <w:p>
            <w:pPr>
              <w:pStyle w:val="TableParagraph"/>
              <w:spacing w:line="238" w:lineRule="exact"/>
              <w:ind w:left="316"/>
              <w:rPr>
                <w:sz w:val="22"/>
              </w:rPr>
            </w:pPr>
            <w:r>
              <w:rPr>
                <w:spacing w:val="-5"/>
                <w:sz w:val="22"/>
              </w:rPr>
              <w:t>(2)</w:t>
            </w:r>
          </w:p>
        </w:tc>
        <w:tc>
          <w:tcPr>
            <w:tcW w:w="993" w:type="dxa"/>
            <w:shd w:val="clear" w:color="auto" w:fill="EDEBE0"/>
          </w:tcPr>
          <w:p>
            <w:pPr>
              <w:pStyle w:val="TableParagraph"/>
              <w:ind w:left="108" w:right="11"/>
              <w:rPr>
                <w:sz w:val="22"/>
              </w:rPr>
            </w:pPr>
            <w:r>
              <w:rPr>
                <w:spacing w:val="-4"/>
                <w:sz w:val="22"/>
              </w:rPr>
              <w:t>Width less than</w:t>
            </w:r>
          </w:p>
          <w:p>
            <w:pPr>
              <w:pStyle w:val="TableParagraph"/>
              <w:ind w:left="108"/>
              <w:rPr>
                <w:sz w:val="22"/>
              </w:rPr>
            </w:pPr>
            <w:r>
              <w:rPr>
                <w:sz w:val="22"/>
              </w:rPr>
              <w:t>10.5</w:t>
            </w:r>
            <w:r>
              <w:rPr>
                <w:spacing w:val="-5"/>
                <w:sz w:val="22"/>
              </w:rPr>
              <w:t> </w:t>
            </w:r>
            <w:r>
              <w:rPr>
                <w:spacing w:val="-10"/>
                <w:sz w:val="22"/>
              </w:rPr>
              <w:t>m</w:t>
            </w:r>
          </w:p>
          <w:p>
            <w:pPr>
              <w:pStyle w:val="TableParagraph"/>
              <w:spacing w:before="257"/>
              <w:ind w:left="178"/>
              <w:rPr>
                <w:sz w:val="22"/>
              </w:rPr>
            </w:pPr>
            <w:r>
              <w:rPr>
                <w:spacing w:val="-5"/>
                <w:sz w:val="22"/>
              </w:rPr>
              <w:t>(3)</w:t>
            </w:r>
          </w:p>
        </w:tc>
        <w:tc>
          <w:tcPr>
            <w:tcW w:w="1132" w:type="dxa"/>
            <w:shd w:val="clear" w:color="auto" w:fill="EDEBE0"/>
          </w:tcPr>
          <w:p>
            <w:pPr>
              <w:pStyle w:val="TableParagraph"/>
              <w:ind w:left="107" w:right="344"/>
              <w:rPr>
                <w:sz w:val="22"/>
              </w:rPr>
            </w:pPr>
            <w:r>
              <w:rPr>
                <w:spacing w:val="-2"/>
                <w:sz w:val="22"/>
              </w:rPr>
              <w:t>Depth </w:t>
            </w:r>
            <w:r>
              <w:rPr>
                <w:spacing w:val="-4"/>
                <w:sz w:val="22"/>
              </w:rPr>
              <w:t>less than</w:t>
            </w:r>
          </w:p>
          <w:p>
            <w:pPr>
              <w:pStyle w:val="TableParagraph"/>
              <w:ind w:left="107"/>
              <w:rPr>
                <w:sz w:val="22"/>
              </w:rPr>
            </w:pPr>
            <w:r>
              <w:rPr>
                <w:sz w:val="22"/>
              </w:rPr>
              <w:t>10.5</w:t>
            </w:r>
            <w:r>
              <w:rPr>
                <w:spacing w:val="-5"/>
                <w:sz w:val="22"/>
              </w:rPr>
              <w:t> </w:t>
            </w:r>
            <w:r>
              <w:rPr>
                <w:spacing w:val="-10"/>
                <w:sz w:val="22"/>
              </w:rPr>
              <w:t>m</w:t>
            </w:r>
          </w:p>
          <w:p>
            <w:pPr>
              <w:pStyle w:val="TableParagraph"/>
              <w:rPr>
                <w:b/>
                <w:sz w:val="22"/>
              </w:rPr>
            </w:pPr>
          </w:p>
          <w:p>
            <w:pPr>
              <w:pStyle w:val="TableParagraph"/>
              <w:rPr>
                <w:b/>
                <w:sz w:val="22"/>
              </w:rPr>
            </w:pPr>
          </w:p>
          <w:p>
            <w:pPr>
              <w:pStyle w:val="TableParagraph"/>
              <w:ind w:left="246"/>
              <w:rPr>
                <w:sz w:val="22"/>
              </w:rPr>
            </w:pPr>
            <w:r>
              <w:rPr>
                <w:spacing w:val="-5"/>
                <w:sz w:val="22"/>
              </w:rPr>
              <w:t>(4)</w:t>
            </w:r>
          </w:p>
        </w:tc>
        <w:tc>
          <w:tcPr>
            <w:tcW w:w="1843" w:type="dxa"/>
            <w:shd w:val="clear" w:color="auto" w:fill="EDEBE0"/>
          </w:tcPr>
          <w:p>
            <w:pPr>
              <w:pStyle w:val="TableParagraph"/>
              <w:spacing w:line="257" w:lineRule="exact"/>
              <w:ind w:left="110"/>
              <w:rPr>
                <w:sz w:val="22"/>
              </w:rPr>
            </w:pPr>
            <w:r>
              <w:rPr>
                <w:sz w:val="22"/>
              </w:rPr>
              <w:t>Width</w:t>
            </w:r>
            <w:r>
              <w:rPr>
                <w:spacing w:val="-4"/>
                <w:sz w:val="22"/>
              </w:rPr>
              <w:t> </w:t>
            </w:r>
            <w:r>
              <w:rPr>
                <w:spacing w:val="-2"/>
                <w:sz w:val="22"/>
              </w:rPr>
              <w:t>between</w:t>
            </w:r>
          </w:p>
          <w:p>
            <w:pPr>
              <w:pStyle w:val="TableParagraph"/>
              <w:spacing w:before="1"/>
              <w:ind w:left="110"/>
              <w:rPr>
                <w:sz w:val="22"/>
              </w:rPr>
            </w:pPr>
            <w:r>
              <w:rPr>
                <w:sz w:val="22"/>
              </w:rPr>
              <w:t>10.5</w:t>
            </w:r>
            <w:r>
              <w:rPr>
                <w:spacing w:val="-4"/>
                <w:sz w:val="22"/>
              </w:rPr>
              <w:t> </w:t>
            </w:r>
            <w:r>
              <w:rPr>
                <w:sz w:val="22"/>
              </w:rPr>
              <w:t>m.</w:t>
            </w:r>
            <w:r>
              <w:rPr>
                <w:spacing w:val="-3"/>
                <w:sz w:val="22"/>
              </w:rPr>
              <w:t> </w:t>
            </w:r>
            <w:r>
              <w:rPr>
                <w:spacing w:val="-4"/>
                <w:sz w:val="22"/>
              </w:rPr>
              <w:t>upto</w:t>
            </w:r>
          </w:p>
          <w:p>
            <w:pPr>
              <w:pStyle w:val="TableParagraph"/>
              <w:spacing w:before="1"/>
              <w:ind w:left="110"/>
              <w:rPr>
                <w:sz w:val="22"/>
              </w:rPr>
            </w:pPr>
            <w:r>
              <w:rPr>
                <w:sz w:val="22"/>
              </w:rPr>
              <w:t>12</w:t>
            </w:r>
            <w:r>
              <w:rPr>
                <w:spacing w:val="-5"/>
                <w:sz w:val="22"/>
              </w:rPr>
              <w:t> </w:t>
            </w:r>
            <w:r>
              <w:rPr>
                <w:spacing w:val="-10"/>
                <w:sz w:val="22"/>
              </w:rPr>
              <w:t>m</w:t>
            </w:r>
          </w:p>
          <w:p>
            <w:pPr>
              <w:pStyle w:val="TableParagraph"/>
              <w:spacing w:before="256"/>
              <w:rPr>
                <w:b/>
                <w:sz w:val="22"/>
              </w:rPr>
            </w:pPr>
          </w:p>
          <w:p>
            <w:pPr>
              <w:pStyle w:val="TableParagraph"/>
              <w:spacing w:before="1"/>
              <w:ind w:right="210"/>
              <w:jc w:val="center"/>
              <w:rPr>
                <w:sz w:val="22"/>
              </w:rPr>
            </w:pPr>
            <w:r>
              <w:rPr>
                <w:spacing w:val="-5"/>
                <w:sz w:val="22"/>
              </w:rPr>
              <w:t>(5)</w:t>
            </w:r>
          </w:p>
        </w:tc>
        <w:tc>
          <w:tcPr>
            <w:tcW w:w="1276" w:type="dxa"/>
            <w:shd w:val="clear" w:color="auto" w:fill="EDEBE0"/>
          </w:tcPr>
          <w:p>
            <w:pPr>
              <w:pStyle w:val="TableParagraph"/>
              <w:ind w:left="111" w:right="264"/>
              <w:rPr>
                <w:sz w:val="22"/>
              </w:rPr>
            </w:pPr>
            <w:r>
              <w:rPr>
                <w:spacing w:val="-2"/>
                <w:sz w:val="22"/>
              </w:rPr>
              <w:t>Depth between</w:t>
            </w:r>
          </w:p>
          <w:p>
            <w:pPr>
              <w:pStyle w:val="TableParagraph"/>
              <w:spacing w:line="258" w:lineRule="exact"/>
              <w:ind w:left="111"/>
              <w:rPr>
                <w:sz w:val="22"/>
              </w:rPr>
            </w:pPr>
            <w:r>
              <w:rPr>
                <w:sz w:val="22"/>
              </w:rPr>
              <w:t>10.5</w:t>
            </w:r>
            <w:r>
              <w:rPr>
                <w:spacing w:val="-5"/>
                <w:sz w:val="22"/>
              </w:rPr>
              <w:t> m.</w:t>
            </w:r>
          </w:p>
          <w:p>
            <w:pPr>
              <w:pStyle w:val="TableParagraph"/>
              <w:ind w:right="596"/>
              <w:jc w:val="right"/>
              <w:rPr>
                <w:sz w:val="22"/>
              </w:rPr>
            </w:pPr>
            <w:r>
              <w:rPr>
                <w:spacing w:val="-4"/>
                <w:sz w:val="22"/>
              </w:rPr>
              <w:t>upto </w:t>
            </w:r>
            <w:r>
              <w:rPr>
                <w:sz w:val="22"/>
              </w:rPr>
              <w:t>12</w:t>
            </w:r>
            <w:r>
              <w:rPr>
                <w:spacing w:val="-5"/>
                <w:sz w:val="22"/>
              </w:rPr>
              <w:t> </w:t>
            </w:r>
            <w:r>
              <w:rPr>
                <w:spacing w:val="-10"/>
                <w:sz w:val="22"/>
              </w:rPr>
              <w:t>m</w:t>
            </w:r>
          </w:p>
          <w:p>
            <w:pPr>
              <w:pStyle w:val="TableParagraph"/>
              <w:ind w:right="668"/>
              <w:jc w:val="right"/>
              <w:rPr>
                <w:sz w:val="22"/>
              </w:rPr>
            </w:pPr>
            <w:r>
              <w:rPr>
                <w:spacing w:val="-5"/>
                <w:sz w:val="22"/>
              </w:rPr>
              <w:t>(6)</w:t>
            </w:r>
          </w:p>
        </w:tc>
        <w:tc>
          <w:tcPr>
            <w:tcW w:w="1277" w:type="dxa"/>
            <w:shd w:val="clear" w:color="auto" w:fill="EDEBE0"/>
          </w:tcPr>
          <w:p>
            <w:pPr>
              <w:pStyle w:val="TableParagraph"/>
              <w:ind w:left="112"/>
              <w:rPr>
                <w:sz w:val="22"/>
              </w:rPr>
            </w:pPr>
            <w:r>
              <w:rPr>
                <w:spacing w:val="-4"/>
                <w:sz w:val="22"/>
              </w:rPr>
              <w:t>Width </w:t>
            </w:r>
            <w:r>
              <w:rPr>
                <w:spacing w:val="-2"/>
                <w:sz w:val="22"/>
              </w:rPr>
              <w:t>between </w:t>
            </w:r>
            <w:r>
              <w:rPr>
                <w:sz w:val="22"/>
              </w:rPr>
              <w:t>12m</w:t>
            </w:r>
            <w:r>
              <w:rPr>
                <w:spacing w:val="-18"/>
                <w:sz w:val="22"/>
              </w:rPr>
              <w:t> </w:t>
            </w:r>
            <w:r>
              <w:rPr>
                <w:sz w:val="22"/>
              </w:rPr>
              <w:t>upto 18 m</w:t>
            </w:r>
          </w:p>
          <w:p>
            <w:pPr>
              <w:pStyle w:val="TableParagraph"/>
              <w:spacing w:before="257"/>
              <w:ind w:left="321"/>
              <w:rPr>
                <w:sz w:val="22"/>
              </w:rPr>
            </w:pPr>
            <w:r>
              <w:rPr>
                <w:spacing w:val="-5"/>
                <w:sz w:val="22"/>
              </w:rPr>
              <w:t>(7)</w:t>
            </w:r>
          </w:p>
        </w:tc>
        <w:tc>
          <w:tcPr>
            <w:tcW w:w="1084" w:type="dxa"/>
            <w:shd w:val="clear" w:color="auto" w:fill="EDEBE0"/>
          </w:tcPr>
          <w:p>
            <w:pPr>
              <w:pStyle w:val="TableParagraph"/>
              <w:ind w:left="110" w:right="185"/>
              <w:rPr>
                <w:sz w:val="22"/>
              </w:rPr>
            </w:pPr>
            <w:r>
              <w:rPr>
                <w:spacing w:val="-2"/>
                <w:sz w:val="22"/>
              </w:rPr>
              <w:t>Depth betwee </w:t>
            </w:r>
            <w:r>
              <w:rPr>
                <w:sz w:val="22"/>
              </w:rPr>
              <w:t>n 12m </w:t>
            </w:r>
            <w:r>
              <w:rPr>
                <w:spacing w:val="-2"/>
                <w:sz w:val="22"/>
              </w:rPr>
              <w:t>upto18 </w:t>
            </w:r>
            <w:r>
              <w:rPr>
                <w:spacing w:val="-10"/>
                <w:sz w:val="22"/>
              </w:rPr>
              <w:t>m</w:t>
            </w:r>
          </w:p>
          <w:p>
            <w:pPr>
              <w:pStyle w:val="TableParagraph"/>
              <w:rPr>
                <w:b/>
                <w:sz w:val="22"/>
              </w:rPr>
            </w:pPr>
          </w:p>
          <w:p>
            <w:pPr>
              <w:pStyle w:val="TableParagraph"/>
              <w:ind w:left="110"/>
              <w:rPr>
                <w:sz w:val="22"/>
              </w:rPr>
            </w:pPr>
            <w:r>
              <w:rPr>
                <w:spacing w:val="-5"/>
                <w:sz w:val="22"/>
              </w:rPr>
              <w:t>(8)</w:t>
            </w:r>
          </w:p>
        </w:tc>
      </w:tr>
      <w:tr>
        <w:trPr>
          <w:trHeight w:val="1549" w:hRule="atLeast"/>
        </w:trPr>
        <w:tc>
          <w:tcPr>
            <w:tcW w:w="720" w:type="dxa"/>
          </w:tcPr>
          <w:p>
            <w:pPr>
              <w:pStyle w:val="TableParagraph"/>
              <w:spacing w:before="97"/>
              <w:ind w:left="107"/>
              <w:rPr>
                <w:sz w:val="22"/>
              </w:rPr>
            </w:pPr>
            <w:r>
              <w:rPr>
                <w:spacing w:val="-10"/>
                <w:sz w:val="22"/>
              </w:rPr>
              <w:t>1</w:t>
            </w:r>
          </w:p>
        </w:tc>
        <w:tc>
          <w:tcPr>
            <w:tcW w:w="1396" w:type="dxa"/>
          </w:tcPr>
          <w:p>
            <w:pPr>
              <w:pStyle w:val="TableParagraph"/>
              <w:tabs>
                <w:tab w:pos="995" w:val="left" w:leader="none"/>
              </w:tabs>
              <w:spacing w:before="1"/>
              <w:ind w:left="108" w:right="173"/>
              <w:rPr>
                <w:sz w:val="22"/>
              </w:rPr>
            </w:pPr>
            <w:r>
              <w:rPr>
                <w:spacing w:val="-4"/>
                <w:sz w:val="22"/>
              </w:rPr>
              <w:t>Open </w:t>
            </w:r>
            <w:r>
              <w:rPr>
                <w:spacing w:val="-2"/>
                <w:sz w:val="22"/>
              </w:rPr>
              <w:t>space</w:t>
            </w:r>
            <w:r>
              <w:rPr>
                <w:sz w:val="22"/>
              </w:rPr>
              <w:tab/>
            </w:r>
            <w:r>
              <w:rPr>
                <w:spacing w:val="-4"/>
                <w:sz w:val="22"/>
              </w:rPr>
              <w:t>...</w:t>
            </w:r>
          </w:p>
        </w:tc>
        <w:tc>
          <w:tcPr>
            <w:tcW w:w="993" w:type="dxa"/>
          </w:tcPr>
          <w:p>
            <w:pPr>
              <w:pStyle w:val="TableParagraph"/>
              <w:spacing w:before="1"/>
              <w:ind w:left="108"/>
              <w:rPr>
                <w:sz w:val="22"/>
              </w:rPr>
            </w:pPr>
            <w:r>
              <w:rPr>
                <w:spacing w:val="-4"/>
                <w:sz w:val="22"/>
              </w:rPr>
              <w:t>Side open </w:t>
            </w:r>
            <w:r>
              <w:rPr>
                <w:spacing w:val="-2"/>
                <w:sz w:val="22"/>
              </w:rPr>
              <w:t>space </w:t>
            </w:r>
            <w:r>
              <w:rPr>
                <w:sz w:val="22"/>
              </w:rPr>
              <w:t>may</w:t>
            </w:r>
            <w:r>
              <w:rPr>
                <w:spacing w:val="-18"/>
                <w:sz w:val="22"/>
              </w:rPr>
              <w:t> </w:t>
            </w:r>
            <w:r>
              <w:rPr>
                <w:sz w:val="22"/>
              </w:rPr>
              <w:t>be </w:t>
            </w:r>
            <w:r>
              <w:rPr>
                <w:spacing w:val="-2"/>
                <w:sz w:val="22"/>
              </w:rPr>
              <w:t>reduce</w:t>
            </w:r>
          </w:p>
        </w:tc>
        <w:tc>
          <w:tcPr>
            <w:tcW w:w="1132" w:type="dxa"/>
          </w:tcPr>
          <w:p>
            <w:pPr>
              <w:pStyle w:val="TableParagraph"/>
              <w:spacing w:before="1"/>
              <w:ind w:left="107" w:right="141"/>
              <w:rPr>
                <w:sz w:val="22"/>
              </w:rPr>
            </w:pPr>
            <w:r>
              <w:rPr>
                <w:spacing w:val="-4"/>
                <w:sz w:val="22"/>
              </w:rPr>
              <w:t>Rear open </w:t>
            </w:r>
            <w:r>
              <w:rPr>
                <w:spacing w:val="-2"/>
                <w:sz w:val="22"/>
              </w:rPr>
              <w:t>space </w:t>
            </w:r>
            <w:r>
              <w:rPr>
                <w:sz w:val="22"/>
              </w:rPr>
              <w:t>may be </w:t>
            </w:r>
            <w:r>
              <w:rPr>
                <w:spacing w:val="-2"/>
                <w:sz w:val="22"/>
              </w:rPr>
              <w:t>reduced</w:t>
            </w:r>
          </w:p>
          <w:p>
            <w:pPr>
              <w:pStyle w:val="TableParagraph"/>
              <w:spacing w:line="237" w:lineRule="exact"/>
              <w:ind w:left="107"/>
              <w:rPr>
                <w:sz w:val="22"/>
              </w:rPr>
            </w:pPr>
            <w:r>
              <w:rPr>
                <w:spacing w:val="-5"/>
                <w:sz w:val="22"/>
              </w:rPr>
              <w:t>to</w:t>
            </w:r>
          </w:p>
        </w:tc>
        <w:tc>
          <w:tcPr>
            <w:tcW w:w="1843" w:type="dxa"/>
          </w:tcPr>
          <w:p>
            <w:pPr>
              <w:pStyle w:val="TableParagraph"/>
              <w:numPr>
                <w:ilvl w:val="0"/>
                <w:numId w:val="298"/>
              </w:numPr>
              <w:tabs>
                <w:tab w:pos="446" w:val="left" w:leader="none"/>
              </w:tabs>
              <w:spacing w:line="240" w:lineRule="auto" w:before="1" w:after="0"/>
              <w:ind w:left="110" w:right="139" w:firstLine="0"/>
              <w:jc w:val="left"/>
              <w:rPr>
                <w:sz w:val="22"/>
              </w:rPr>
            </w:pPr>
            <w:r>
              <w:rPr>
                <w:sz w:val="22"/>
              </w:rPr>
              <w:t>May be reduced on one</w:t>
            </w:r>
            <w:r>
              <w:rPr>
                <w:spacing w:val="-12"/>
                <w:sz w:val="22"/>
              </w:rPr>
              <w:t> </w:t>
            </w:r>
            <w:r>
              <w:rPr>
                <w:sz w:val="22"/>
              </w:rPr>
              <w:t>side</w:t>
            </w:r>
            <w:r>
              <w:rPr>
                <w:spacing w:val="-12"/>
                <w:sz w:val="22"/>
              </w:rPr>
              <w:t> </w:t>
            </w:r>
            <w:r>
              <w:rPr>
                <w:sz w:val="22"/>
              </w:rPr>
              <w:t>to</w:t>
            </w:r>
            <w:r>
              <w:rPr>
                <w:spacing w:val="-13"/>
                <w:sz w:val="22"/>
              </w:rPr>
              <w:t> </w:t>
            </w:r>
            <w:r>
              <w:rPr>
                <w:sz w:val="22"/>
              </w:rPr>
              <w:t>4.5 </w:t>
            </w:r>
            <w:r>
              <w:rPr>
                <w:spacing w:val="-6"/>
                <w:sz w:val="22"/>
              </w:rPr>
              <w:t>m.</w:t>
            </w:r>
          </w:p>
          <w:p>
            <w:pPr>
              <w:pStyle w:val="TableParagraph"/>
              <w:numPr>
                <w:ilvl w:val="0"/>
                <w:numId w:val="298"/>
              </w:numPr>
              <w:tabs>
                <w:tab w:pos="442" w:val="left" w:leader="none"/>
              </w:tabs>
              <w:spacing w:line="257" w:lineRule="exact" w:before="0" w:after="0"/>
              <w:ind w:left="442" w:right="0" w:hanging="332"/>
              <w:jc w:val="left"/>
              <w:rPr>
                <w:sz w:val="22"/>
              </w:rPr>
            </w:pPr>
            <w:r>
              <w:rPr>
                <w:sz w:val="22"/>
              </w:rPr>
              <w:t>The</w:t>
            </w:r>
            <w:r>
              <w:rPr>
                <w:spacing w:val="-4"/>
                <w:sz w:val="22"/>
              </w:rPr>
              <w:t> </w:t>
            </w:r>
            <w:r>
              <w:rPr>
                <w:spacing w:val="-2"/>
                <w:sz w:val="22"/>
              </w:rPr>
              <w:t>other</w:t>
            </w:r>
          </w:p>
          <w:p>
            <w:pPr>
              <w:pStyle w:val="TableParagraph"/>
              <w:spacing w:line="238" w:lineRule="exact" w:before="1"/>
              <w:ind w:left="110"/>
              <w:rPr>
                <w:sz w:val="22"/>
              </w:rPr>
            </w:pPr>
            <w:r>
              <w:rPr>
                <w:sz w:val="22"/>
              </w:rPr>
              <w:t>side</w:t>
            </w:r>
            <w:r>
              <w:rPr>
                <w:spacing w:val="-2"/>
                <w:sz w:val="22"/>
              </w:rPr>
              <w:t> </w:t>
            </w:r>
            <w:r>
              <w:rPr>
                <w:sz w:val="22"/>
              </w:rPr>
              <w:t>may</w:t>
            </w:r>
            <w:r>
              <w:rPr>
                <w:spacing w:val="-3"/>
                <w:sz w:val="22"/>
              </w:rPr>
              <w:t> </w:t>
            </w:r>
            <w:r>
              <w:rPr>
                <w:spacing w:val="-5"/>
                <w:sz w:val="22"/>
              </w:rPr>
              <w:t>be</w:t>
            </w:r>
          </w:p>
        </w:tc>
        <w:tc>
          <w:tcPr>
            <w:tcW w:w="1276" w:type="dxa"/>
          </w:tcPr>
          <w:p>
            <w:pPr>
              <w:pStyle w:val="TableParagraph"/>
              <w:spacing w:before="1"/>
              <w:ind w:left="111" w:right="281"/>
              <w:rPr>
                <w:sz w:val="22"/>
              </w:rPr>
            </w:pPr>
            <w:r>
              <w:rPr>
                <w:sz w:val="22"/>
              </w:rPr>
              <w:t>May be </w:t>
            </w:r>
            <w:r>
              <w:rPr>
                <w:spacing w:val="-2"/>
                <w:sz w:val="22"/>
              </w:rPr>
              <w:t>reduced </w:t>
            </w:r>
            <w:r>
              <w:rPr>
                <w:sz w:val="22"/>
              </w:rPr>
              <w:t>at the rear to not</w:t>
            </w:r>
            <w:r>
              <w:rPr>
                <w:spacing w:val="-5"/>
                <w:sz w:val="22"/>
              </w:rPr>
              <w:t> </w:t>
            </w:r>
            <w:r>
              <w:rPr>
                <w:sz w:val="22"/>
              </w:rPr>
              <w:t>less</w:t>
            </w:r>
          </w:p>
        </w:tc>
        <w:tc>
          <w:tcPr>
            <w:tcW w:w="1277" w:type="dxa"/>
          </w:tcPr>
          <w:p>
            <w:pPr>
              <w:pStyle w:val="TableParagraph"/>
              <w:spacing w:before="1"/>
              <w:ind w:left="112" w:right="119"/>
              <w:rPr>
                <w:sz w:val="22"/>
              </w:rPr>
            </w:pPr>
            <w:r>
              <w:rPr>
                <w:sz w:val="22"/>
              </w:rPr>
              <w:t>One</w:t>
            </w:r>
            <w:r>
              <w:rPr>
                <w:spacing w:val="-18"/>
                <w:sz w:val="22"/>
              </w:rPr>
              <w:t> </w:t>
            </w:r>
            <w:r>
              <w:rPr>
                <w:sz w:val="22"/>
              </w:rPr>
              <w:t>side </w:t>
            </w:r>
            <w:r>
              <w:rPr>
                <w:spacing w:val="-4"/>
                <w:sz w:val="22"/>
              </w:rPr>
              <w:t>open </w:t>
            </w:r>
            <w:r>
              <w:rPr>
                <w:spacing w:val="-2"/>
                <w:sz w:val="22"/>
              </w:rPr>
              <w:t>space </w:t>
            </w:r>
            <w:r>
              <w:rPr>
                <w:sz w:val="22"/>
              </w:rPr>
              <w:t>may be </w:t>
            </w:r>
            <w:r>
              <w:rPr>
                <w:spacing w:val="-2"/>
                <w:sz w:val="22"/>
              </w:rPr>
              <w:t>reduced</w:t>
            </w:r>
          </w:p>
          <w:p>
            <w:pPr>
              <w:pStyle w:val="TableParagraph"/>
              <w:spacing w:line="237" w:lineRule="exact"/>
              <w:ind w:left="112"/>
              <w:rPr>
                <w:sz w:val="22"/>
              </w:rPr>
            </w:pPr>
            <w:r>
              <w:rPr>
                <w:spacing w:val="-5"/>
                <w:sz w:val="22"/>
              </w:rPr>
              <w:t>to</w:t>
            </w:r>
          </w:p>
        </w:tc>
        <w:tc>
          <w:tcPr>
            <w:tcW w:w="1084" w:type="dxa"/>
          </w:tcPr>
          <w:p>
            <w:pPr>
              <w:pStyle w:val="TableParagraph"/>
              <w:spacing w:before="1"/>
              <w:ind w:left="110"/>
              <w:rPr>
                <w:sz w:val="22"/>
              </w:rPr>
            </w:pPr>
            <w:r>
              <w:rPr>
                <w:spacing w:val="-4"/>
                <w:sz w:val="22"/>
              </w:rPr>
              <w:t>Rear open </w:t>
            </w:r>
            <w:r>
              <w:rPr>
                <w:spacing w:val="-2"/>
                <w:sz w:val="22"/>
              </w:rPr>
              <w:t>space </w:t>
            </w:r>
            <w:r>
              <w:rPr>
                <w:sz w:val="22"/>
              </w:rPr>
              <w:t>may</w:t>
            </w:r>
            <w:r>
              <w:rPr>
                <w:spacing w:val="-18"/>
                <w:sz w:val="22"/>
              </w:rPr>
              <w:t> </w:t>
            </w:r>
            <w:r>
              <w:rPr>
                <w:sz w:val="22"/>
              </w:rPr>
              <w:t>be</w:t>
            </w:r>
          </w:p>
        </w:tc>
      </w:tr>
    </w:tbl>
    <w:p>
      <w:pPr>
        <w:pStyle w:val="TableParagraph"/>
        <w:spacing w:after="0"/>
        <w:rPr>
          <w:sz w:val="22"/>
        </w:rPr>
        <w:sectPr>
          <w:pgSz w:w="11910" w:h="16840"/>
          <w:pgMar w:header="1058" w:footer="1201" w:top="1500" w:bottom="1400" w:left="360" w:right="360"/>
        </w:sectPr>
      </w:pPr>
    </w:p>
    <w:p>
      <w:pPr>
        <w:pStyle w:val="BodyText"/>
        <w:spacing w:before="20"/>
        <w:jc w:val="left"/>
        <w:rPr>
          <w:b/>
          <w:sz w:val="20"/>
        </w:rPr>
      </w:pPr>
    </w:p>
    <w:tbl>
      <w:tblPr>
        <w:tblW w:w="0" w:type="auto"/>
        <w:jc w:val="left"/>
        <w:tblInd w:w="7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1396"/>
        <w:gridCol w:w="993"/>
        <w:gridCol w:w="1132"/>
        <w:gridCol w:w="1843"/>
        <w:gridCol w:w="1276"/>
        <w:gridCol w:w="1277"/>
        <w:gridCol w:w="1084"/>
      </w:tblGrid>
      <w:tr>
        <w:trPr>
          <w:trHeight w:val="1034" w:hRule="atLeast"/>
        </w:trPr>
        <w:tc>
          <w:tcPr>
            <w:tcW w:w="720" w:type="dxa"/>
          </w:tcPr>
          <w:p>
            <w:pPr>
              <w:pStyle w:val="TableParagraph"/>
              <w:rPr>
                <w:rFonts w:ascii="Times New Roman"/>
                <w:sz w:val="22"/>
              </w:rPr>
            </w:pPr>
          </w:p>
        </w:tc>
        <w:tc>
          <w:tcPr>
            <w:tcW w:w="1396" w:type="dxa"/>
          </w:tcPr>
          <w:p>
            <w:pPr>
              <w:pStyle w:val="TableParagraph"/>
              <w:rPr>
                <w:rFonts w:ascii="Times New Roman"/>
                <w:sz w:val="22"/>
              </w:rPr>
            </w:pPr>
          </w:p>
        </w:tc>
        <w:tc>
          <w:tcPr>
            <w:tcW w:w="993" w:type="dxa"/>
          </w:tcPr>
          <w:p>
            <w:pPr>
              <w:pStyle w:val="TableParagraph"/>
              <w:spacing w:line="258" w:lineRule="exact" w:before="1"/>
              <w:ind w:left="108"/>
              <w:rPr>
                <w:sz w:val="22"/>
              </w:rPr>
            </w:pPr>
            <w:r>
              <w:rPr>
                <w:sz w:val="22"/>
              </w:rPr>
              <w:t>d</w:t>
            </w:r>
            <w:r>
              <w:rPr>
                <w:spacing w:val="-1"/>
                <w:sz w:val="22"/>
              </w:rPr>
              <w:t> </w:t>
            </w:r>
            <w:r>
              <w:rPr>
                <w:spacing w:val="-7"/>
                <w:sz w:val="22"/>
              </w:rPr>
              <w:t>to</w:t>
            </w:r>
          </w:p>
          <w:p>
            <w:pPr>
              <w:pStyle w:val="TableParagraph"/>
              <w:spacing w:line="258" w:lineRule="exact"/>
              <w:ind w:left="108"/>
              <w:rPr>
                <w:sz w:val="22"/>
              </w:rPr>
            </w:pPr>
            <w:r>
              <w:rPr>
                <w:sz w:val="22"/>
              </w:rPr>
              <w:t>1.8</w:t>
            </w:r>
            <w:r>
              <w:rPr>
                <w:spacing w:val="-5"/>
                <w:sz w:val="22"/>
              </w:rPr>
              <w:t> </w:t>
            </w:r>
            <w:r>
              <w:rPr>
                <w:spacing w:val="-10"/>
                <w:sz w:val="22"/>
              </w:rPr>
              <w:t>m</w:t>
            </w:r>
          </w:p>
        </w:tc>
        <w:tc>
          <w:tcPr>
            <w:tcW w:w="1132" w:type="dxa"/>
          </w:tcPr>
          <w:p>
            <w:pPr>
              <w:pStyle w:val="TableParagraph"/>
              <w:spacing w:before="1"/>
              <w:ind w:left="107"/>
              <w:rPr>
                <w:sz w:val="22"/>
              </w:rPr>
            </w:pPr>
            <w:r>
              <w:rPr>
                <w:sz w:val="22"/>
              </w:rPr>
              <w:t>1.8</w:t>
            </w:r>
            <w:r>
              <w:rPr>
                <w:spacing w:val="-5"/>
                <w:sz w:val="22"/>
              </w:rPr>
              <w:t> </w:t>
            </w:r>
            <w:r>
              <w:rPr>
                <w:spacing w:val="-10"/>
                <w:sz w:val="22"/>
              </w:rPr>
              <w:t>m</w:t>
            </w:r>
          </w:p>
        </w:tc>
        <w:tc>
          <w:tcPr>
            <w:tcW w:w="1843" w:type="dxa"/>
          </w:tcPr>
          <w:p>
            <w:pPr>
              <w:pStyle w:val="TableParagraph"/>
              <w:spacing w:before="1"/>
              <w:ind w:left="110" w:right="92"/>
              <w:rPr>
                <w:sz w:val="22"/>
              </w:rPr>
            </w:pPr>
            <w:r>
              <w:rPr>
                <w:sz w:val="22"/>
              </w:rPr>
              <w:t>reduced</w:t>
            </w:r>
            <w:r>
              <w:rPr>
                <w:spacing w:val="-18"/>
                <w:sz w:val="22"/>
              </w:rPr>
              <w:t> </w:t>
            </w:r>
            <w:r>
              <w:rPr>
                <w:sz w:val="22"/>
              </w:rPr>
              <w:t>to </w:t>
            </w:r>
            <w:r>
              <w:rPr>
                <w:spacing w:val="-4"/>
                <w:sz w:val="22"/>
              </w:rPr>
              <w:t>1.8m</w:t>
            </w:r>
          </w:p>
        </w:tc>
        <w:tc>
          <w:tcPr>
            <w:tcW w:w="1276" w:type="dxa"/>
          </w:tcPr>
          <w:p>
            <w:pPr>
              <w:pStyle w:val="TableParagraph"/>
              <w:spacing w:before="1"/>
              <w:ind w:left="111" w:right="75"/>
              <w:rPr>
                <w:sz w:val="22"/>
              </w:rPr>
            </w:pPr>
            <w:r>
              <w:rPr>
                <w:sz w:val="22"/>
              </w:rPr>
              <w:t>than</w:t>
            </w:r>
            <w:r>
              <w:rPr>
                <w:spacing w:val="-18"/>
                <w:sz w:val="22"/>
              </w:rPr>
              <w:t> </w:t>
            </w:r>
            <w:r>
              <w:rPr>
                <w:sz w:val="22"/>
              </w:rPr>
              <w:t>1.8 </w:t>
            </w:r>
            <w:r>
              <w:rPr>
                <w:spacing w:val="-10"/>
                <w:sz w:val="22"/>
              </w:rPr>
              <w:t>m</w:t>
            </w:r>
          </w:p>
        </w:tc>
        <w:tc>
          <w:tcPr>
            <w:tcW w:w="1277" w:type="dxa"/>
          </w:tcPr>
          <w:p>
            <w:pPr>
              <w:pStyle w:val="TableParagraph"/>
              <w:spacing w:before="1"/>
              <w:ind w:left="112"/>
              <w:rPr>
                <w:sz w:val="22"/>
              </w:rPr>
            </w:pPr>
            <w:r>
              <w:rPr>
                <w:sz w:val="22"/>
              </w:rPr>
              <w:t>1.8</w:t>
            </w:r>
            <w:r>
              <w:rPr>
                <w:spacing w:val="-5"/>
                <w:sz w:val="22"/>
              </w:rPr>
              <w:t> </w:t>
            </w:r>
            <w:r>
              <w:rPr>
                <w:spacing w:val="-10"/>
                <w:sz w:val="22"/>
              </w:rPr>
              <w:t>m</w:t>
            </w:r>
          </w:p>
        </w:tc>
        <w:tc>
          <w:tcPr>
            <w:tcW w:w="1084" w:type="dxa"/>
          </w:tcPr>
          <w:p>
            <w:pPr>
              <w:pStyle w:val="TableParagraph"/>
              <w:spacing w:line="258" w:lineRule="exact" w:before="1"/>
              <w:ind w:left="110"/>
              <w:rPr>
                <w:sz w:val="22"/>
              </w:rPr>
            </w:pPr>
            <w:r>
              <w:rPr>
                <w:spacing w:val="-2"/>
                <w:sz w:val="22"/>
              </w:rPr>
              <w:t>reduced</w:t>
            </w:r>
          </w:p>
          <w:p>
            <w:pPr>
              <w:pStyle w:val="TableParagraph"/>
              <w:spacing w:line="258" w:lineRule="exact"/>
              <w:ind w:left="110"/>
              <w:rPr>
                <w:sz w:val="22"/>
              </w:rPr>
            </w:pPr>
            <w:r>
              <w:rPr>
                <w:sz w:val="22"/>
              </w:rPr>
              <w:t>1.8</w:t>
            </w:r>
            <w:r>
              <w:rPr>
                <w:spacing w:val="-5"/>
                <w:sz w:val="22"/>
              </w:rPr>
              <w:t> </w:t>
            </w:r>
            <w:r>
              <w:rPr>
                <w:spacing w:val="-10"/>
                <w:sz w:val="22"/>
              </w:rPr>
              <w:t>m</w:t>
            </w:r>
          </w:p>
        </w:tc>
      </w:tr>
      <w:tr>
        <w:trPr>
          <w:trHeight w:val="1547" w:hRule="atLeast"/>
        </w:trPr>
        <w:tc>
          <w:tcPr>
            <w:tcW w:w="720" w:type="dxa"/>
            <w:vMerge w:val="restart"/>
          </w:tcPr>
          <w:p>
            <w:pPr>
              <w:pStyle w:val="TableParagraph"/>
              <w:spacing w:before="95"/>
              <w:rPr>
                <w:b/>
                <w:sz w:val="22"/>
              </w:rPr>
            </w:pPr>
          </w:p>
          <w:p>
            <w:pPr>
              <w:pStyle w:val="TableParagraph"/>
              <w:ind w:left="107"/>
              <w:rPr>
                <w:sz w:val="22"/>
              </w:rPr>
            </w:pPr>
            <w:r>
              <w:rPr>
                <w:spacing w:val="-5"/>
                <w:sz w:val="22"/>
              </w:rPr>
              <w:t>2.</w:t>
            </w:r>
          </w:p>
        </w:tc>
        <w:tc>
          <w:tcPr>
            <w:tcW w:w="1396" w:type="dxa"/>
            <w:tcBorders>
              <w:bottom w:val="single" w:sz="4" w:space="0" w:color="000000"/>
            </w:tcBorders>
          </w:tcPr>
          <w:p>
            <w:pPr>
              <w:pStyle w:val="TableParagraph"/>
              <w:ind w:left="108" w:right="134"/>
              <w:rPr>
                <w:sz w:val="22"/>
              </w:rPr>
            </w:pPr>
            <w:r>
              <w:rPr>
                <w:spacing w:val="-2"/>
                <w:sz w:val="22"/>
              </w:rPr>
              <w:t>Building dimension </w:t>
            </w:r>
            <w:r>
              <w:rPr>
                <w:sz w:val="22"/>
              </w:rPr>
              <w:t>s, etc.-</w:t>
            </w:r>
          </w:p>
          <w:p>
            <w:pPr>
              <w:pStyle w:val="TableParagraph"/>
              <w:ind w:left="108"/>
              <w:rPr>
                <w:sz w:val="22"/>
              </w:rPr>
            </w:pPr>
            <w:r>
              <w:rPr>
                <w:spacing w:val="-5"/>
                <w:sz w:val="22"/>
              </w:rPr>
              <w:t>(i)</w:t>
            </w:r>
          </w:p>
          <w:p>
            <w:pPr>
              <w:pStyle w:val="TableParagraph"/>
              <w:spacing w:line="256" w:lineRule="exact"/>
              <w:ind w:left="108" w:right="184"/>
              <w:rPr>
                <w:sz w:val="22"/>
              </w:rPr>
            </w:pPr>
            <w:r>
              <w:rPr>
                <w:spacing w:val="-2"/>
                <w:sz w:val="22"/>
              </w:rPr>
              <w:t>Maximum width</w:t>
            </w:r>
          </w:p>
        </w:tc>
        <w:tc>
          <w:tcPr>
            <w:tcW w:w="993" w:type="dxa"/>
            <w:tcBorders>
              <w:bottom w:val="single" w:sz="4" w:space="0" w:color="000000"/>
            </w:tcBorders>
          </w:tcPr>
          <w:p>
            <w:pPr>
              <w:pStyle w:val="TableParagraph"/>
              <w:rPr>
                <w:b/>
                <w:sz w:val="22"/>
              </w:rPr>
            </w:pPr>
          </w:p>
          <w:p>
            <w:pPr>
              <w:pStyle w:val="TableParagraph"/>
              <w:spacing w:before="257"/>
              <w:rPr>
                <w:b/>
                <w:sz w:val="22"/>
              </w:rPr>
            </w:pPr>
          </w:p>
          <w:p>
            <w:pPr>
              <w:pStyle w:val="TableParagraph"/>
              <w:ind w:left="108"/>
              <w:rPr>
                <w:sz w:val="22"/>
              </w:rPr>
            </w:pPr>
            <w:r>
              <w:rPr>
                <w:sz w:val="22"/>
              </w:rPr>
              <w:t>6</w:t>
            </w:r>
            <w:r>
              <w:rPr>
                <w:spacing w:val="-3"/>
                <w:sz w:val="22"/>
              </w:rPr>
              <w:t> </w:t>
            </w:r>
            <w:r>
              <w:rPr>
                <w:spacing w:val="-12"/>
                <w:sz w:val="22"/>
              </w:rPr>
              <w:t>m</w:t>
            </w:r>
          </w:p>
        </w:tc>
        <w:tc>
          <w:tcPr>
            <w:tcW w:w="1132" w:type="dxa"/>
            <w:tcBorders>
              <w:bottom w:val="single" w:sz="4" w:space="0" w:color="000000"/>
            </w:tcBorders>
          </w:tcPr>
          <w:p>
            <w:pPr>
              <w:pStyle w:val="TableParagraph"/>
              <w:rPr>
                <w:b/>
                <w:sz w:val="22"/>
              </w:rPr>
            </w:pPr>
          </w:p>
          <w:p>
            <w:pPr>
              <w:pStyle w:val="TableParagraph"/>
              <w:spacing w:before="257"/>
              <w:rPr>
                <w:b/>
                <w:sz w:val="22"/>
              </w:rPr>
            </w:pPr>
          </w:p>
          <w:p>
            <w:pPr>
              <w:pStyle w:val="TableParagraph"/>
              <w:ind w:left="107"/>
              <w:rPr>
                <w:sz w:val="22"/>
              </w:rPr>
            </w:pPr>
            <w:r>
              <w:rPr>
                <w:sz w:val="22"/>
              </w:rPr>
              <w:t>30</w:t>
            </w:r>
            <w:r>
              <w:rPr>
                <w:spacing w:val="-5"/>
                <w:sz w:val="22"/>
              </w:rPr>
              <w:t> </w:t>
            </w:r>
            <w:r>
              <w:rPr>
                <w:spacing w:val="-10"/>
                <w:sz w:val="22"/>
              </w:rPr>
              <w:t>m</w:t>
            </w:r>
          </w:p>
        </w:tc>
        <w:tc>
          <w:tcPr>
            <w:tcW w:w="1843" w:type="dxa"/>
            <w:tcBorders>
              <w:bottom w:val="single" w:sz="4" w:space="0" w:color="000000"/>
            </w:tcBorders>
          </w:tcPr>
          <w:p>
            <w:pPr>
              <w:pStyle w:val="TableParagraph"/>
              <w:rPr>
                <w:b/>
                <w:sz w:val="22"/>
              </w:rPr>
            </w:pPr>
          </w:p>
          <w:p>
            <w:pPr>
              <w:pStyle w:val="TableParagraph"/>
              <w:spacing w:before="257"/>
              <w:rPr>
                <w:b/>
                <w:sz w:val="22"/>
              </w:rPr>
            </w:pPr>
          </w:p>
          <w:p>
            <w:pPr>
              <w:pStyle w:val="TableParagraph"/>
              <w:ind w:left="110"/>
              <w:rPr>
                <w:sz w:val="22"/>
              </w:rPr>
            </w:pPr>
            <w:r>
              <w:rPr>
                <w:sz w:val="22"/>
              </w:rPr>
              <w:t>6</w:t>
            </w:r>
            <w:r>
              <w:rPr>
                <w:spacing w:val="-3"/>
                <w:sz w:val="22"/>
              </w:rPr>
              <w:t> </w:t>
            </w:r>
            <w:r>
              <w:rPr>
                <w:spacing w:val="-12"/>
                <w:sz w:val="22"/>
              </w:rPr>
              <w:t>m</w:t>
            </w:r>
          </w:p>
        </w:tc>
        <w:tc>
          <w:tcPr>
            <w:tcW w:w="1276" w:type="dxa"/>
            <w:tcBorders>
              <w:bottom w:val="single" w:sz="4" w:space="0" w:color="000000"/>
            </w:tcBorders>
          </w:tcPr>
          <w:p>
            <w:pPr>
              <w:pStyle w:val="TableParagraph"/>
              <w:rPr>
                <w:b/>
                <w:sz w:val="22"/>
              </w:rPr>
            </w:pPr>
          </w:p>
          <w:p>
            <w:pPr>
              <w:pStyle w:val="TableParagraph"/>
              <w:spacing w:before="257"/>
              <w:rPr>
                <w:b/>
                <w:sz w:val="22"/>
              </w:rPr>
            </w:pPr>
          </w:p>
          <w:p>
            <w:pPr>
              <w:pStyle w:val="TableParagraph"/>
              <w:ind w:left="111"/>
              <w:rPr>
                <w:sz w:val="22"/>
              </w:rPr>
            </w:pPr>
            <w:r>
              <w:rPr>
                <w:sz w:val="22"/>
              </w:rPr>
              <w:t>30</w:t>
            </w:r>
            <w:r>
              <w:rPr>
                <w:spacing w:val="-5"/>
                <w:sz w:val="22"/>
              </w:rPr>
              <w:t> </w:t>
            </w:r>
            <w:r>
              <w:rPr>
                <w:spacing w:val="-10"/>
                <w:sz w:val="22"/>
              </w:rPr>
              <w:t>m</w:t>
            </w:r>
          </w:p>
        </w:tc>
        <w:tc>
          <w:tcPr>
            <w:tcW w:w="1277" w:type="dxa"/>
            <w:tcBorders>
              <w:bottom w:val="single" w:sz="4" w:space="0" w:color="000000"/>
            </w:tcBorders>
          </w:tcPr>
          <w:p>
            <w:pPr>
              <w:pStyle w:val="TableParagraph"/>
              <w:rPr>
                <w:b/>
                <w:sz w:val="22"/>
              </w:rPr>
            </w:pPr>
          </w:p>
          <w:p>
            <w:pPr>
              <w:pStyle w:val="TableParagraph"/>
              <w:rPr>
                <w:b/>
                <w:sz w:val="22"/>
              </w:rPr>
            </w:pPr>
          </w:p>
          <w:p>
            <w:pPr>
              <w:pStyle w:val="TableParagraph"/>
              <w:spacing w:before="95"/>
              <w:rPr>
                <w:b/>
                <w:sz w:val="22"/>
              </w:rPr>
            </w:pPr>
          </w:p>
          <w:p>
            <w:pPr>
              <w:pStyle w:val="TableParagraph"/>
              <w:ind w:left="112"/>
              <w:rPr>
                <w:sz w:val="22"/>
              </w:rPr>
            </w:pPr>
            <w:r>
              <w:rPr>
                <w:sz w:val="22"/>
              </w:rPr>
              <w:t>6</w:t>
            </w:r>
            <w:r>
              <w:rPr>
                <w:spacing w:val="-3"/>
                <w:sz w:val="22"/>
              </w:rPr>
              <w:t> </w:t>
            </w:r>
            <w:r>
              <w:rPr>
                <w:spacing w:val="-12"/>
                <w:sz w:val="22"/>
              </w:rPr>
              <w:t>m</w:t>
            </w:r>
          </w:p>
        </w:tc>
        <w:tc>
          <w:tcPr>
            <w:tcW w:w="1084" w:type="dxa"/>
            <w:tcBorders>
              <w:bottom w:val="single" w:sz="4" w:space="0" w:color="000000"/>
            </w:tcBorders>
          </w:tcPr>
          <w:p>
            <w:pPr>
              <w:pStyle w:val="TableParagraph"/>
              <w:rPr>
                <w:b/>
                <w:sz w:val="22"/>
              </w:rPr>
            </w:pPr>
          </w:p>
          <w:p>
            <w:pPr>
              <w:pStyle w:val="TableParagraph"/>
              <w:spacing w:before="257"/>
              <w:rPr>
                <w:b/>
                <w:sz w:val="22"/>
              </w:rPr>
            </w:pPr>
          </w:p>
          <w:p>
            <w:pPr>
              <w:pStyle w:val="TableParagraph"/>
              <w:ind w:left="110"/>
              <w:rPr>
                <w:sz w:val="22"/>
              </w:rPr>
            </w:pPr>
            <w:r>
              <w:rPr>
                <w:sz w:val="22"/>
              </w:rPr>
              <w:t>30</w:t>
            </w:r>
            <w:r>
              <w:rPr>
                <w:spacing w:val="-5"/>
                <w:sz w:val="22"/>
              </w:rPr>
              <w:t> </w:t>
            </w:r>
            <w:r>
              <w:rPr>
                <w:spacing w:val="-10"/>
                <w:sz w:val="22"/>
              </w:rPr>
              <w:t>m</w:t>
            </w:r>
          </w:p>
        </w:tc>
      </w:tr>
      <w:tr>
        <w:trPr>
          <w:trHeight w:val="774" w:hRule="atLeast"/>
        </w:trPr>
        <w:tc>
          <w:tcPr>
            <w:tcW w:w="720" w:type="dxa"/>
            <w:vMerge/>
            <w:tcBorders>
              <w:top w:val="nil"/>
            </w:tcBorders>
          </w:tcPr>
          <w:p>
            <w:pPr>
              <w:rPr>
                <w:sz w:val="2"/>
                <w:szCs w:val="2"/>
              </w:rPr>
            </w:pPr>
          </w:p>
        </w:tc>
        <w:tc>
          <w:tcPr>
            <w:tcW w:w="1396" w:type="dxa"/>
            <w:tcBorders>
              <w:top w:val="single" w:sz="4" w:space="0" w:color="000000"/>
              <w:bottom w:val="single" w:sz="4" w:space="0" w:color="000000"/>
            </w:tcBorders>
          </w:tcPr>
          <w:p>
            <w:pPr>
              <w:pStyle w:val="TableParagraph"/>
              <w:spacing w:before="1"/>
              <w:ind w:left="108"/>
              <w:rPr>
                <w:sz w:val="22"/>
              </w:rPr>
            </w:pPr>
            <w:r>
              <w:rPr>
                <w:spacing w:val="-4"/>
                <w:sz w:val="22"/>
              </w:rPr>
              <w:t>(ii)</w:t>
            </w:r>
          </w:p>
          <w:p>
            <w:pPr>
              <w:pStyle w:val="TableParagraph"/>
              <w:spacing w:line="256" w:lineRule="exact"/>
              <w:ind w:left="108" w:right="184"/>
              <w:rPr>
                <w:sz w:val="22"/>
              </w:rPr>
            </w:pPr>
            <w:r>
              <w:rPr>
                <w:spacing w:val="-2"/>
                <w:sz w:val="22"/>
              </w:rPr>
              <w:t>Maximum depth</w:t>
            </w:r>
          </w:p>
        </w:tc>
        <w:tc>
          <w:tcPr>
            <w:tcW w:w="993" w:type="dxa"/>
            <w:tcBorders>
              <w:top w:val="single" w:sz="4" w:space="0" w:color="000000"/>
              <w:bottom w:val="single" w:sz="4" w:space="0" w:color="000000"/>
            </w:tcBorders>
          </w:tcPr>
          <w:p>
            <w:pPr>
              <w:pStyle w:val="TableParagraph"/>
              <w:spacing w:before="2"/>
              <w:rPr>
                <w:b/>
                <w:sz w:val="22"/>
              </w:rPr>
            </w:pPr>
          </w:p>
          <w:p>
            <w:pPr>
              <w:pStyle w:val="TableParagraph"/>
              <w:ind w:left="108"/>
              <w:rPr>
                <w:sz w:val="22"/>
              </w:rPr>
            </w:pPr>
            <w:r>
              <w:rPr>
                <w:sz w:val="22"/>
              </w:rPr>
              <w:t>30</w:t>
            </w:r>
            <w:r>
              <w:rPr>
                <w:spacing w:val="-5"/>
                <w:sz w:val="22"/>
              </w:rPr>
              <w:t> </w:t>
            </w:r>
            <w:r>
              <w:rPr>
                <w:spacing w:val="-10"/>
                <w:sz w:val="22"/>
              </w:rPr>
              <w:t>m</w:t>
            </w:r>
          </w:p>
        </w:tc>
        <w:tc>
          <w:tcPr>
            <w:tcW w:w="1132" w:type="dxa"/>
            <w:tcBorders>
              <w:top w:val="single" w:sz="4" w:space="0" w:color="000000"/>
              <w:bottom w:val="single" w:sz="4" w:space="0" w:color="000000"/>
            </w:tcBorders>
          </w:tcPr>
          <w:p>
            <w:pPr>
              <w:pStyle w:val="TableParagraph"/>
              <w:spacing w:before="2"/>
              <w:rPr>
                <w:b/>
                <w:sz w:val="22"/>
              </w:rPr>
            </w:pPr>
          </w:p>
          <w:p>
            <w:pPr>
              <w:pStyle w:val="TableParagraph"/>
              <w:ind w:left="107"/>
              <w:rPr>
                <w:sz w:val="22"/>
              </w:rPr>
            </w:pPr>
            <w:r>
              <w:rPr>
                <w:sz w:val="22"/>
              </w:rPr>
              <w:t>6</w:t>
            </w:r>
            <w:r>
              <w:rPr>
                <w:spacing w:val="-3"/>
                <w:sz w:val="22"/>
              </w:rPr>
              <w:t> </w:t>
            </w:r>
            <w:r>
              <w:rPr>
                <w:spacing w:val="-12"/>
                <w:sz w:val="22"/>
              </w:rPr>
              <w:t>m</w:t>
            </w:r>
          </w:p>
        </w:tc>
        <w:tc>
          <w:tcPr>
            <w:tcW w:w="1843" w:type="dxa"/>
            <w:tcBorders>
              <w:top w:val="single" w:sz="4" w:space="0" w:color="000000"/>
              <w:bottom w:val="single" w:sz="4" w:space="0" w:color="000000"/>
            </w:tcBorders>
          </w:tcPr>
          <w:p>
            <w:pPr>
              <w:pStyle w:val="TableParagraph"/>
              <w:spacing w:before="2"/>
              <w:rPr>
                <w:b/>
                <w:sz w:val="22"/>
              </w:rPr>
            </w:pPr>
          </w:p>
          <w:p>
            <w:pPr>
              <w:pStyle w:val="TableParagraph"/>
              <w:ind w:left="110"/>
              <w:rPr>
                <w:sz w:val="22"/>
              </w:rPr>
            </w:pPr>
            <w:r>
              <w:rPr>
                <w:sz w:val="22"/>
              </w:rPr>
              <w:t>30</w:t>
            </w:r>
            <w:r>
              <w:rPr>
                <w:spacing w:val="-5"/>
                <w:sz w:val="22"/>
              </w:rPr>
              <w:t> </w:t>
            </w:r>
            <w:r>
              <w:rPr>
                <w:spacing w:val="-10"/>
                <w:sz w:val="22"/>
              </w:rPr>
              <w:t>m</w:t>
            </w:r>
          </w:p>
        </w:tc>
        <w:tc>
          <w:tcPr>
            <w:tcW w:w="1276" w:type="dxa"/>
            <w:tcBorders>
              <w:top w:val="single" w:sz="4" w:space="0" w:color="000000"/>
              <w:bottom w:val="single" w:sz="4" w:space="0" w:color="000000"/>
            </w:tcBorders>
          </w:tcPr>
          <w:p>
            <w:pPr>
              <w:pStyle w:val="TableParagraph"/>
              <w:spacing w:before="2"/>
              <w:rPr>
                <w:b/>
                <w:sz w:val="22"/>
              </w:rPr>
            </w:pPr>
          </w:p>
          <w:p>
            <w:pPr>
              <w:pStyle w:val="TableParagraph"/>
              <w:ind w:left="111"/>
              <w:rPr>
                <w:sz w:val="22"/>
              </w:rPr>
            </w:pPr>
            <w:r>
              <w:rPr>
                <w:sz w:val="22"/>
              </w:rPr>
              <w:t>6</w:t>
            </w:r>
            <w:r>
              <w:rPr>
                <w:spacing w:val="-3"/>
                <w:sz w:val="22"/>
              </w:rPr>
              <w:t> </w:t>
            </w:r>
            <w:r>
              <w:rPr>
                <w:spacing w:val="-12"/>
                <w:sz w:val="22"/>
              </w:rPr>
              <w:t>m</w:t>
            </w:r>
          </w:p>
        </w:tc>
        <w:tc>
          <w:tcPr>
            <w:tcW w:w="1277" w:type="dxa"/>
            <w:tcBorders>
              <w:top w:val="single" w:sz="4" w:space="0" w:color="000000"/>
              <w:bottom w:val="single" w:sz="4" w:space="0" w:color="000000"/>
            </w:tcBorders>
          </w:tcPr>
          <w:p>
            <w:pPr>
              <w:pStyle w:val="TableParagraph"/>
              <w:spacing w:before="2"/>
              <w:rPr>
                <w:b/>
                <w:sz w:val="22"/>
              </w:rPr>
            </w:pPr>
          </w:p>
          <w:p>
            <w:pPr>
              <w:pStyle w:val="TableParagraph"/>
              <w:ind w:left="112"/>
              <w:rPr>
                <w:sz w:val="22"/>
              </w:rPr>
            </w:pPr>
            <w:r>
              <w:rPr>
                <w:spacing w:val="-5"/>
                <w:sz w:val="22"/>
              </w:rPr>
              <w:t>30m</w:t>
            </w:r>
          </w:p>
        </w:tc>
        <w:tc>
          <w:tcPr>
            <w:tcW w:w="1084" w:type="dxa"/>
            <w:tcBorders>
              <w:top w:val="single" w:sz="4" w:space="0" w:color="000000"/>
              <w:bottom w:val="single" w:sz="4" w:space="0" w:color="000000"/>
            </w:tcBorders>
          </w:tcPr>
          <w:p>
            <w:pPr>
              <w:pStyle w:val="TableParagraph"/>
              <w:spacing w:before="2"/>
              <w:rPr>
                <w:b/>
                <w:sz w:val="22"/>
              </w:rPr>
            </w:pPr>
          </w:p>
          <w:p>
            <w:pPr>
              <w:pStyle w:val="TableParagraph"/>
              <w:ind w:left="110"/>
              <w:rPr>
                <w:sz w:val="22"/>
              </w:rPr>
            </w:pPr>
            <w:r>
              <w:rPr>
                <w:sz w:val="22"/>
              </w:rPr>
              <w:t>6</w:t>
            </w:r>
            <w:r>
              <w:rPr>
                <w:spacing w:val="-3"/>
                <w:sz w:val="22"/>
              </w:rPr>
              <w:t> </w:t>
            </w:r>
            <w:r>
              <w:rPr>
                <w:spacing w:val="-12"/>
                <w:sz w:val="22"/>
              </w:rPr>
              <w:t>m</w:t>
            </w:r>
          </w:p>
        </w:tc>
      </w:tr>
      <w:tr>
        <w:trPr>
          <w:trHeight w:val="967" w:hRule="atLeast"/>
        </w:trPr>
        <w:tc>
          <w:tcPr>
            <w:tcW w:w="720" w:type="dxa"/>
            <w:vMerge/>
            <w:tcBorders>
              <w:top w:val="nil"/>
            </w:tcBorders>
          </w:tcPr>
          <w:p>
            <w:pPr>
              <w:rPr>
                <w:sz w:val="2"/>
                <w:szCs w:val="2"/>
              </w:rPr>
            </w:pPr>
          </w:p>
        </w:tc>
        <w:tc>
          <w:tcPr>
            <w:tcW w:w="1396" w:type="dxa"/>
            <w:tcBorders>
              <w:top w:val="single" w:sz="4" w:space="0" w:color="000000"/>
              <w:bottom w:val="single" w:sz="4" w:space="0" w:color="000000"/>
            </w:tcBorders>
          </w:tcPr>
          <w:p>
            <w:pPr>
              <w:pStyle w:val="TableParagraph"/>
              <w:spacing w:before="1"/>
              <w:ind w:left="108"/>
              <w:rPr>
                <w:sz w:val="22"/>
              </w:rPr>
            </w:pPr>
            <w:r>
              <w:rPr>
                <w:spacing w:val="-2"/>
                <w:sz w:val="22"/>
              </w:rPr>
              <w:t>(iii)Maxim- </w:t>
            </w:r>
            <w:r>
              <w:rPr>
                <w:sz w:val="22"/>
              </w:rPr>
              <w:t>um height</w:t>
            </w:r>
          </w:p>
        </w:tc>
        <w:tc>
          <w:tcPr>
            <w:tcW w:w="993" w:type="dxa"/>
            <w:tcBorders>
              <w:top w:val="single" w:sz="4" w:space="0" w:color="000000"/>
              <w:bottom w:val="single" w:sz="4" w:space="0" w:color="000000"/>
            </w:tcBorders>
          </w:tcPr>
          <w:p>
            <w:pPr>
              <w:pStyle w:val="TableParagraph"/>
              <w:spacing w:before="2"/>
              <w:rPr>
                <w:b/>
                <w:sz w:val="22"/>
              </w:rPr>
            </w:pPr>
          </w:p>
          <w:p>
            <w:pPr>
              <w:pStyle w:val="TableParagraph"/>
              <w:ind w:left="108"/>
              <w:rPr>
                <w:sz w:val="22"/>
              </w:rPr>
            </w:pPr>
            <w:r>
              <w:rPr>
                <w:sz w:val="22"/>
              </w:rPr>
              <w:t>4.5</w:t>
            </w:r>
            <w:r>
              <w:rPr>
                <w:spacing w:val="-5"/>
                <w:sz w:val="22"/>
              </w:rPr>
              <w:t> </w:t>
            </w:r>
            <w:r>
              <w:rPr>
                <w:spacing w:val="-10"/>
                <w:sz w:val="22"/>
              </w:rPr>
              <w:t>m</w:t>
            </w:r>
          </w:p>
        </w:tc>
        <w:tc>
          <w:tcPr>
            <w:tcW w:w="1132" w:type="dxa"/>
            <w:tcBorders>
              <w:top w:val="single" w:sz="4" w:space="0" w:color="000000"/>
              <w:bottom w:val="single" w:sz="4" w:space="0" w:color="000000"/>
            </w:tcBorders>
          </w:tcPr>
          <w:p>
            <w:pPr>
              <w:pStyle w:val="TableParagraph"/>
              <w:spacing w:before="2"/>
              <w:rPr>
                <w:b/>
                <w:sz w:val="22"/>
              </w:rPr>
            </w:pPr>
          </w:p>
          <w:p>
            <w:pPr>
              <w:pStyle w:val="TableParagraph"/>
              <w:ind w:left="107"/>
              <w:rPr>
                <w:sz w:val="22"/>
              </w:rPr>
            </w:pPr>
            <w:r>
              <w:rPr>
                <w:sz w:val="22"/>
              </w:rPr>
              <w:t>4.5</w:t>
            </w:r>
            <w:r>
              <w:rPr>
                <w:spacing w:val="-5"/>
                <w:sz w:val="22"/>
              </w:rPr>
              <w:t> </w:t>
            </w:r>
            <w:r>
              <w:rPr>
                <w:spacing w:val="-10"/>
                <w:sz w:val="22"/>
              </w:rPr>
              <w:t>m</w:t>
            </w:r>
          </w:p>
        </w:tc>
        <w:tc>
          <w:tcPr>
            <w:tcW w:w="1843" w:type="dxa"/>
            <w:tcBorders>
              <w:top w:val="single" w:sz="4" w:space="0" w:color="000000"/>
              <w:bottom w:val="single" w:sz="4" w:space="0" w:color="000000"/>
            </w:tcBorders>
          </w:tcPr>
          <w:p>
            <w:pPr>
              <w:pStyle w:val="TableParagraph"/>
              <w:spacing w:before="2"/>
              <w:rPr>
                <w:b/>
                <w:sz w:val="22"/>
              </w:rPr>
            </w:pPr>
          </w:p>
          <w:p>
            <w:pPr>
              <w:pStyle w:val="TableParagraph"/>
              <w:ind w:left="110"/>
              <w:rPr>
                <w:sz w:val="22"/>
              </w:rPr>
            </w:pPr>
            <w:r>
              <w:rPr>
                <w:sz w:val="22"/>
              </w:rPr>
              <w:t>8</w:t>
            </w:r>
            <w:r>
              <w:rPr>
                <w:spacing w:val="-3"/>
                <w:sz w:val="22"/>
              </w:rPr>
              <w:t> </w:t>
            </w:r>
            <w:r>
              <w:rPr>
                <w:spacing w:val="-12"/>
                <w:sz w:val="22"/>
              </w:rPr>
              <w:t>m</w:t>
            </w:r>
          </w:p>
        </w:tc>
        <w:tc>
          <w:tcPr>
            <w:tcW w:w="1276" w:type="dxa"/>
            <w:tcBorders>
              <w:top w:val="single" w:sz="4" w:space="0" w:color="000000"/>
              <w:bottom w:val="single" w:sz="4" w:space="0" w:color="000000"/>
            </w:tcBorders>
          </w:tcPr>
          <w:p>
            <w:pPr>
              <w:pStyle w:val="TableParagraph"/>
              <w:spacing w:before="2"/>
              <w:rPr>
                <w:b/>
                <w:sz w:val="22"/>
              </w:rPr>
            </w:pPr>
          </w:p>
          <w:p>
            <w:pPr>
              <w:pStyle w:val="TableParagraph"/>
              <w:ind w:left="111"/>
              <w:rPr>
                <w:sz w:val="22"/>
              </w:rPr>
            </w:pPr>
            <w:r>
              <w:rPr>
                <w:sz w:val="22"/>
              </w:rPr>
              <w:t>8</w:t>
            </w:r>
            <w:r>
              <w:rPr>
                <w:spacing w:val="-3"/>
                <w:sz w:val="22"/>
              </w:rPr>
              <w:t> </w:t>
            </w:r>
            <w:r>
              <w:rPr>
                <w:spacing w:val="-12"/>
                <w:sz w:val="22"/>
              </w:rPr>
              <w:t>m</w:t>
            </w:r>
          </w:p>
        </w:tc>
        <w:tc>
          <w:tcPr>
            <w:tcW w:w="1277" w:type="dxa"/>
            <w:tcBorders>
              <w:top w:val="single" w:sz="4" w:space="0" w:color="000000"/>
              <w:bottom w:val="single" w:sz="4" w:space="0" w:color="000000"/>
            </w:tcBorders>
          </w:tcPr>
          <w:p>
            <w:pPr>
              <w:pStyle w:val="TableParagraph"/>
              <w:spacing w:before="98"/>
              <w:rPr>
                <w:b/>
                <w:sz w:val="22"/>
              </w:rPr>
            </w:pPr>
          </w:p>
          <w:p>
            <w:pPr>
              <w:pStyle w:val="TableParagraph"/>
              <w:ind w:left="112"/>
              <w:rPr>
                <w:sz w:val="22"/>
              </w:rPr>
            </w:pPr>
            <w:r>
              <w:rPr>
                <w:sz w:val="22"/>
              </w:rPr>
              <w:t>8</w:t>
            </w:r>
            <w:r>
              <w:rPr>
                <w:spacing w:val="-3"/>
                <w:sz w:val="22"/>
              </w:rPr>
              <w:t> </w:t>
            </w:r>
            <w:r>
              <w:rPr>
                <w:spacing w:val="-12"/>
                <w:sz w:val="22"/>
              </w:rPr>
              <w:t>m</w:t>
            </w:r>
          </w:p>
        </w:tc>
        <w:tc>
          <w:tcPr>
            <w:tcW w:w="1084" w:type="dxa"/>
            <w:tcBorders>
              <w:top w:val="single" w:sz="4" w:space="0" w:color="000000"/>
              <w:bottom w:val="single" w:sz="4" w:space="0" w:color="000000"/>
            </w:tcBorders>
          </w:tcPr>
          <w:p>
            <w:pPr>
              <w:pStyle w:val="TableParagraph"/>
              <w:spacing w:before="2"/>
              <w:rPr>
                <w:b/>
                <w:sz w:val="22"/>
              </w:rPr>
            </w:pPr>
          </w:p>
          <w:p>
            <w:pPr>
              <w:pStyle w:val="TableParagraph"/>
              <w:ind w:left="110"/>
              <w:rPr>
                <w:sz w:val="22"/>
              </w:rPr>
            </w:pPr>
            <w:r>
              <w:rPr>
                <w:sz w:val="22"/>
              </w:rPr>
              <w:t>8</w:t>
            </w:r>
            <w:r>
              <w:rPr>
                <w:spacing w:val="-3"/>
                <w:sz w:val="22"/>
              </w:rPr>
              <w:t> </w:t>
            </w:r>
            <w:r>
              <w:rPr>
                <w:spacing w:val="-12"/>
                <w:sz w:val="22"/>
              </w:rPr>
              <w:t>m</w:t>
            </w:r>
          </w:p>
        </w:tc>
      </w:tr>
      <w:tr>
        <w:trPr>
          <w:trHeight w:val="966" w:hRule="atLeast"/>
        </w:trPr>
        <w:tc>
          <w:tcPr>
            <w:tcW w:w="720" w:type="dxa"/>
            <w:vMerge/>
            <w:tcBorders>
              <w:top w:val="nil"/>
            </w:tcBorders>
          </w:tcPr>
          <w:p>
            <w:pPr>
              <w:rPr>
                <w:sz w:val="2"/>
                <w:szCs w:val="2"/>
              </w:rPr>
            </w:pPr>
          </w:p>
        </w:tc>
        <w:tc>
          <w:tcPr>
            <w:tcW w:w="1396" w:type="dxa"/>
            <w:tcBorders>
              <w:top w:val="single" w:sz="4" w:space="0" w:color="000000"/>
              <w:bottom w:val="single" w:sz="4" w:space="0" w:color="000000"/>
            </w:tcBorders>
          </w:tcPr>
          <w:p>
            <w:pPr>
              <w:pStyle w:val="TableParagraph"/>
              <w:spacing w:before="1"/>
              <w:ind w:left="108" w:right="134"/>
              <w:rPr>
                <w:sz w:val="22"/>
              </w:rPr>
            </w:pPr>
            <w:r>
              <w:rPr>
                <w:sz w:val="22"/>
              </w:rPr>
              <w:t>(iv)No.</w:t>
            </w:r>
            <w:r>
              <w:rPr>
                <w:spacing w:val="-18"/>
                <w:sz w:val="22"/>
              </w:rPr>
              <w:t> </w:t>
            </w:r>
            <w:r>
              <w:rPr>
                <w:sz w:val="22"/>
              </w:rPr>
              <w:t>of </w:t>
            </w:r>
            <w:r>
              <w:rPr>
                <w:spacing w:val="-2"/>
                <w:sz w:val="22"/>
              </w:rPr>
              <w:t>storeys</w:t>
            </w:r>
          </w:p>
        </w:tc>
        <w:tc>
          <w:tcPr>
            <w:tcW w:w="993" w:type="dxa"/>
            <w:tcBorders>
              <w:top w:val="single" w:sz="4" w:space="0" w:color="000000"/>
              <w:bottom w:val="single" w:sz="4" w:space="0" w:color="000000"/>
            </w:tcBorders>
          </w:tcPr>
          <w:p>
            <w:pPr>
              <w:pStyle w:val="TableParagraph"/>
              <w:spacing w:before="2"/>
              <w:rPr>
                <w:b/>
                <w:sz w:val="22"/>
              </w:rPr>
            </w:pPr>
          </w:p>
          <w:p>
            <w:pPr>
              <w:pStyle w:val="TableParagraph"/>
              <w:ind w:left="108"/>
              <w:rPr>
                <w:sz w:val="22"/>
              </w:rPr>
            </w:pPr>
            <w:r>
              <w:rPr>
                <w:spacing w:val="-5"/>
                <w:sz w:val="22"/>
              </w:rPr>
              <w:t>One</w:t>
            </w:r>
          </w:p>
        </w:tc>
        <w:tc>
          <w:tcPr>
            <w:tcW w:w="1132" w:type="dxa"/>
            <w:tcBorders>
              <w:top w:val="single" w:sz="4" w:space="0" w:color="000000"/>
              <w:bottom w:val="single" w:sz="4" w:space="0" w:color="000000"/>
            </w:tcBorders>
          </w:tcPr>
          <w:p>
            <w:pPr>
              <w:pStyle w:val="TableParagraph"/>
              <w:spacing w:before="2"/>
              <w:rPr>
                <w:b/>
                <w:sz w:val="22"/>
              </w:rPr>
            </w:pPr>
          </w:p>
          <w:p>
            <w:pPr>
              <w:pStyle w:val="TableParagraph"/>
              <w:ind w:left="107"/>
              <w:rPr>
                <w:sz w:val="22"/>
              </w:rPr>
            </w:pPr>
            <w:r>
              <w:rPr>
                <w:spacing w:val="-5"/>
                <w:sz w:val="22"/>
              </w:rPr>
              <w:t>One</w:t>
            </w:r>
          </w:p>
        </w:tc>
        <w:tc>
          <w:tcPr>
            <w:tcW w:w="1843" w:type="dxa"/>
            <w:tcBorders>
              <w:top w:val="single" w:sz="4" w:space="0" w:color="000000"/>
              <w:bottom w:val="single" w:sz="4" w:space="0" w:color="000000"/>
            </w:tcBorders>
          </w:tcPr>
          <w:p>
            <w:pPr>
              <w:pStyle w:val="TableParagraph"/>
              <w:spacing w:before="2"/>
              <w:rPr>
                <w:b/>
                <w:sz w:val="22"/>
              </w:rPr>
            </w:pPr>
          </w:p>
          <w:p>
            <w:pPr>
              <w:pStyle w:val="TableParagraph"/>
              <w:ind w:left="110"/>
              <w:rPr>
                <w:sz w:val="22"/>
              </w:rPr>
            </w:pPr>
            <w:r>
              <w:rPr>
                <w:spacing w:val="-5"/>
                <w:sz w:val="22"/>
              </w:rPr>
              <w:t>Two</w:t>
            </w:r>
          </w:p>
        </w:tc>
        <w:tc>
          <w:tcPr>
            <w:tcW w:w="1276" w:type="dxa"/>
            <w:tcBorders>
              <w:top w:val="single" w:sz="4" w:space="0" w:color="000000"/>
              <w:bottom w:val="single" w:sz="4" w:space="0" w:color="000000"/>
            </w:tcBorders>
          </w:tcPr>
          <w:p>
            <w:pPr>
              <w:pStyle w:val="TableParagraph"/>
              <w:spacing w:before="2"/>
              <w:rPr>
                <w:b/>
                <w:sz w:val="22"/>
              </w:rPr>
            </w:pPr>
          </w:p>
          <w:p>
            <w:pPr>
              <w:pStyle w:val="TableParagraph"/>
              <w:ind w:left="111"/>
              <w:rPr>
                <w:sz w:val="22"/>
              </w:rPr>
            </w:pPr>
            <w:r>
              <w:rPr>
                <w:spacing w:val="-5"/>
                <w:sz w:val="22"/>
              </w:rPr>
              <w:t>Two</w:t>
            </w:r>
          </w:p>
        </w:tc>
        <w:tc>
          <w:tcPr>
            <w:tcW w:w="1277" w:type="dxa"/>
            <w:tcBorders>
              <w:top w:val="single" w:sz="4" w:space="0" w:color="000000"/>
              <w:bottom w:val="single" w:sz="4" w:space="0" w:color="000000"/>
            </w:tcBorders>
          </w:tcPr>
          <w:p>
            <w:pPr>
              <w:pStyle w:val="TableParagraph"/>
              <w:spacing w:before="98"/>
              <w:rPr>
                <w:b/>
                <w:sz w:val="22"/>
              </w:rPr>
            </w:pPr>
          </w:p>
          <w:p>
            <w:pPr>
              <w:pStyle w:val="TableParagraph"/>
              <w:ind w:left="112"/>
              <w:rPr>
                <w:sz w:val="22"/>
              </w:rPr>
            </w:pPr>
            <w:r>
              <w:rPr>
                <w:spacing w:val="-5"/>
                <w:sz w:val="22"/>
              </w:rPr>
              <w:t>Two</w:t>
            </w:r>
          </w:p>
        </w:tc>
        <w:tc>
          <w:tcPr>
            <w:tcW w:w="1084" w:type="dxa"/>
            <w:tcBorders>
              <w:top w:val="single" w:sz="4" w:space="0" w:color="000000"/>
              <w:bottom w:val="single" w:sz="4" w:space="0" w:color="000000"/>
            </w:tcBorders>
          </w:tcPr>
          <w:p>
            <w:pPr>
              <w:pStyle w:val="TableParagraph"/>
              <w:spacing w:before="2"/>
              <w:rPr>
                <w:b/>
                <w:sz w:val="22"/>
              </w:rPr>
            </w:pPr>
          </w:p>
          <w:p>
            <w:pPr>
              <w:pStyle w:val="TableParagraph"/>
              <w:ind w:left="110"/>
              <w:rPr>
                <w:sz w:val="22"/>
              </w:rPr>
            </w:pPr>
            <w:r>
              <w:rPr>
                <w:spacing w:val="-5"/>
                <w:sz w:val="22"/>
              </w:rPr>
              <w:t>Two</w:t>
            </w:r>
          </w:p>
        </w:tc>
      </w:tr>
      <w:tr>
        <w:trPr>
          <w:trHeight w:val="2068" w:hRule="atLeast"/>
        </w:trPr>
        <w:tc>
          <w:tcPr>
            <w:tcW w:w="720" w:type="dxa"/>
            <w:vMerge/>
            <w:tcBorders>
              <w:top w:val="nil"/>
            </w:tcBorders>
          </w:tcPr>
          <w:p>
            <w:pPr>
              <w:rPr>
                <w:sz w:val="2"/>
                <w:szCs w:val="2"/>
              </w:rPr>
            </w:pPr>
          </w:p>
        </w:tc>
        <w:tc>
          <w:tcPr>
            <w:tcW w:w="1396" w:type="dxa"/>
            <w:tcBorders>
              <w:top w:val="single" w:sz="4" w:space="0" w:color="000000"/>
            </w:tcBorders>
          </w:tcPr>
          <w:p>
            <w:pPr>
              <w:pStyle w:val="TableParagraph"/>
              <w:spacing w:before="1"/>
              <w:ind w:left="108"/>
              <w:rPr>
                <w:sz w:val="22"/>
              </w:rPr>
            </w:pPr>
            <w:r>
              <w:rPr>
                <w:sz w:val="22"/>
              </w:rPr>
              <w:t>(v) </w:t>
            </w:r>
            <w:r>
              <w:rPr>
                <w:spacing w:val="-2"/>
                <w:sz w:val="22"/>
              </w:rPr>
              <w:t>Walls</w:t>
            </w:r>
          </w:p>
        </w:tc>
        <w:tc>
          <w:tcPr>
            <w:tcW w:w="993" w:type="dxa"/>
            <w:tcBorders>
              <w:top w:val="single" w:sz="4" w:space="0" w:color="000000"/>
            </w:tcBorders>
          </w:tcPr>
          <w:p>
            <w:pPr>
              <w:pStyle w:val="TableParagraph"/>
              <w:spacing w:before="1"/>
              <w:ind w:left="108" w:right="201"/>
              <w:rPr>
                <w:sz w:val="22"/>
              </w:rPr>
            </w:pPr>
            <w:r>
              <w:rPr>
                <w:spacing w:val="-4"/>
                <w:sz w:val="22"/>
              </w:rPr>
              <w:t>Dead </w:t>
            </w:r>
            <w:r>
              <w:rPr>
                <w:spacing w:val="-2"/>
                <w:sz w:val="22"/>
              </w:rPr>
              <w:t>walls </w:t>
            </w:r>
            <w:r>
              <w:rPr>
                <w:sz w:val="22"/>
              </w:rPr>
              <w:t>40</w:t>
            </w:r>
            <w:r>
              <w:rPr>
                <w:spacing w:val="-18"/>
                <w:sz w:val="22"/>
              </w:rPr>
              <w:t> </w:t>
            </w:r>
            <w:r>
              <w:rPr>
                <w:sz w:val="22"/>
              </w:rPr>
              <w:t>cm </w:t>
            </w:r>
            <w:r>
              <w:rPr>
                <w:spacing w:val="-2"/>
                <w:sz w:val="22"/>
              </w:rPr>
              <w:t>thick </w:t>
            </w:r>
            <w:r>
              <w:rPr>
                <w:spacing w:val="-6"/>
                <w:sz w:val="22"/>
              </w:rPr>
              <w:t>on </w:t>
            </w:r>
            <w:r>
              <w:rPr>
                <w:spacing w:val="-4"/>
                <w:sz w:val="22"/>
              </w:rPr>
              <w:t>both </w:t>
            </w:r>
            <w:r>
              <w:rPr>
                <w:spacing w:val="-2"/>
                <w:sz w:val="22"/>
              </w:rPr>
              <w:t>sides.</w:t>
            </w:r>
          </w:p>
        </w:tc>
        <w:tc>
          <w:tcPr>
            <w:tcW w:w="1132" w:type="dxa"/>
            <w:tcBorders>
              <w:top w:val="single" w:sz="4" w:space="0" w:color="000000"/>
            </w:tcBorders>
          </w:tcPr>
          <w:p>
            <w:pPr>
              <w:pStyle w:val="TableParagraph"/>
              <w:spacing w:before="1"/>
              <w:ind w:left="107" w:right="120"/>
              <w:rPr>
                <w:sz w:val="22"/>
              </w:rPr>
            </w:pPr>
            <w:r>
              <w:rPr>
                <w:spacing w:val="-4"/>
                <w:sz w:val="22"/>
              </w:rPr>
              <w:t>Dead </w:t>
            </w:r>
            <w:r>
              <w:rPr>
                <w:sz w:val="22"/>
              </w:rPr>
              <w:t>wall 40 </w:t>
            </w:r>
            <w:r>
              <w:rPr>
                <w:spacing w:val="-6"/>
                <w:sz w:val="22"/>
              </w:rPr>
              <w:t>cm</w:t>
            </w:r>
            <w:r>
              <w:rPr>
                <w:spacing w:val="40"/>
                <w:sz w:val="22"/>
              </w:rPr>
              <w:t> </w:t>
            </w:r>
            <w:r>
              <w:rPr>
                <w:sz w:val="22"/>
              </w:rPr>
              <w:t>thick</w:t>
            </w:r>
            <w:r>
              <w:rPr>
                <w:spacing w:val="-18"/>
                <w:sz w:val="22"/>
              </w:rPr>
              <w:t> </w:t>
            </w:r>
            <w:r>
              <w:rPr>
                <w:sz w:val="22"/>
              </w:rPr>
              <w:t>on the rear </w:t>
            </w:r>
            <w:r>
              <w:rPr>
                <w:spacing w:val="-2"/>
                <w:sz w:val="22"/>
              </w:rPr>
              <w:t>side.</w:t>
            </w:r>
          </w:p>
        </w:tc>
        <w:tc>
          <w:tcPr>
            <w:tcW w:w="1843" w:type="dxa"/>
            <w:tcBorders>
              <w:top w:val="single" w:sz="4" w:space="0" w:color="000000"/>
            </w:tcBorders>
          </w:tcPr>
          <w:p>
            <w:pPr>
              <w:pStyle w:val="TableParagraph"/>
              <w:spacing w:before="1"/>
              <w:ind w:left="110" w:right="92"/>
              <w:rPr>
                <w:sz w:val="22"/>
              </w:rPr>
            </w:pPr>
            <w:r>
              <w:rPr>
                <w:sz w:val="22"/>
              </w:rPr>
              <w:t>Dead wall 40 cm thick</w:t>
            </w:r>
            <w:r>
              <w:rPr>
                <w:spacing w:val="40"/>
                <w:sz w:val="22"/>
              </w:rPr>
              <w:t> </w:t>
            </w:r>
            <w:r>
              <w:rPr>
                <w:sz w:val="22"/>
              </w:rPr>
              <w:t>facing the reduced open space, as in Serial No.(i), (ii)above</w:t>
            </w:r>
            <w:r>
              <w:rPr>
                <w:spacing w:val="-18"/>
                <w:sz w:val="22"/>
              </w:rPr>
              <w:t> </w:t>
            </w:r>
            <w:r>
              <w:rPr>
                <w:sz w:val="22"/>
              </w:rPr>
              <w:t>of</w:t>
            </w:r>
            <w:r>
              <w:rPr>
                <w:spacing w:val="-18"/>
                <w:sz w:val="22"/>
              </w:rPr>
              <w:t> </w:t>
            </w:r>
            <w:r>
              <w:rPr>
                <w:sz w:val="22"/>
              </w:rPr>
              <w:t>this</w:t>
            </w:r>
          </w:p>
          <w:p>
            <w:pPr>
              <w:pStyle w:val="TableParagraph"/>
              <w:spacing w:line="238" w:lineRule="exact" w:before="2"/>
              <w:ind w:left="110"/>
              <w:rPr>
                <w:sz w:val="22"/>
              </w:rPr>
            </w:pPr>
            <w:r>
              <w:rPr>
                <w:spacing w:val="-2"/>
                <w:sz w:val="22"/>
              </w:rPr>
              <w:t>column.</w:t>
            </w:r>
          </w:p>
        </w:tc>
        <w:tc>
          <w:tcPr>
            <w:tcW w:w="1276" w:type="dxa"/>
            <w:tcBorders>
              <w:top w:val="single" w:sz="4" w:space="0" w:color="000000"/>
            </w:tcBorders>
          </w:tcPr>
          <w:p>
            <w:pPr>
              <w:pStyle w:val="TableParagraph"/>
              <w:spacing w:before="1"/>
              <w:ind w:left="111"/>
              <w:rPr>
                <w:sz w:val="22"/>
              </w:rPr>
            </w:pPr>
            <w:r>
              <w:rPr>
                <w:sz w:val="22"/>
              </w:rPr>
              <w:t>Dead</w:t>
            </w:r>
            <w:r>
              <w:rPr>
                <w:spacing w:val="-18"/>
                <w:sz w:val="22"/>
              </w:rPr>
              <w:t> </w:t>
            </w:r>
            <w:r>
              <w:rPr>
                <w:sz w:val="22"/>
              </w:rPr>
              <w:t>wall 40 cm </w:t>
            </w:r>
            <w:r>
              <w:rPr>
                <w:spacing w:val="-2"/>
                <w:sz w:val="22"/>
              </w:rPr>
              <w:t>thick </w:t>
            </w:r>
            <w:r>
              <w:rPr>
                <w:sz w:val="22"/>
              </w:rPr>
              <w:t>facing</w:t>
            </w:r>
            <w:r>
              <w:rPr>
                <w:spacing w:val="-18"/>
                <w:sz w:val="22"/>
              </w:rPr>
              <w:t> </w:t>
            </w:r>
            <w:r>
              <w:rPr>
                <w:sz w:val="22"/>
              </w:rPr>
              <w:t>the rear</w:t>
            </w:r>
            <w:r>
              <w:rPr>
                <w:spacing w:val="-5"/>
                <w:sz w:val="22"/>
              </w:rPr>
              <w:t> </w:t>
            </w:r>
            <w:r>
              <w:rPr>
                <w:spacing w:val="-2"/>
                <w:sz w:val="22"/>
              </w:rPr>
              <w:t>side.</w:t>
            </w:r>
          </w:p>
        </w:tc>
        <w:tc>
          <w:tcPr>
            <w:tcW w:w="1277" w:type="dxa"/>
            <w:tcBorders>
              <w:top w:val="single" w:sz="4" w:space="0" w:color="000000"/>
            </w:tcBorders>
          </w:tcPr>
          <w:p>
            <w:pPr>
              <w:pStyle w:val="TableParagraph"/>
              <w:spacing w:before="97"/>
              <w:ind w:left="112" w:right="1"/>
              <w:rPr>
                <w:sz w:val="22"/>
              </w:rPr>
            </w:pPr>
            <w:r>
              <w:rPr>
                <w:sz w:val="22"/>
              </w:rPr>
              <w:t>Dead</w:t>
            </w:r>
            <w:r>
              <w:rPr>
                <w:spacing w:val="-18"/>
                <w:sz w:val="22"/>
              </w:rPr>
              <w:t> </w:t>
            </w:r>
            <w:r>
              <w:rPr>
                <w:sz w:val="22"/>
              </w:rPr>
              <w:t>wall 40 cm </w:t>
            </w:r>
            <w:r>
              <w:rPr>
                <w:spacing w:val="-2"/>
                <w:sz w:val="22"/>
              </w:rPr>
              <w:t>thick </w:t>
            </w:r>
            <w:r>
              <w:rPr>
                <w:sz w:val="22"/>
              </w:rPr>
              <w:t>facing</w:t>
            </w:r>
            <w:r>
              <w:rPr>
                <w:spacing w:val="-18"/>
                <w:sz w:val="22"/>
              </w:rPr>
              <w:t> </w:t>
            </w:r>
            <w:r>
              <w:rPr>
                <w:sz w:val="22"/>
              </w:rPr>
              <w:t>the </w:t>
            </w:r>
            <w:r>
              <w:rPr>
                <w:spacing w:val="-2"/>
                <w:sz w:val="22"/>
              </w:rPr>
              <w:t>reduced </w:t>
            </w:r>
            <w:r>
              <w:rPr>
                <w:spacing w:val="-4"/>
                <w:sz w:val="22"/>
              </w:rPr>
              <w:t>open </w:t>
            </w:r>
            <w:r>
              <w:rPr>
                <w:spacing w:val="-2"/>
                <w:sz w:val="22"/>
              </w:rPr>
              <w:t>space.</w:t>
            </w:r>
          </w:p>
        </w:tc>
        <w:tc>
          <w:tcPr>
            <w:tcW w:w="1084" w:type="dxa"/>
            <w:tcBorders>
              <w:top w:val="single" w:sz="4" w:space="0" w:color="000000"/>
            </w:tcBorders>
          </w:tcPr>
          <w:p>
            <w:pPr>
              <w:pStyle w:val="TableParagraph"/>
              <w:spacing w:before="1"/>
              <w:ind w:left="110" w:right="106"/>
              <w:rPr>
                <w:sz w:val="22"/>
              </w:rPr>
            </w:pPr>
            <w:r>
              <w:rPr>
                <w:spacing w:val="-4"/>
                <w:sz w:val="22"/>
              </w:rPr>
              <w:t>Dead </w:t>
            </w:r>
            <w:r>
              <w:rPr>
                <w:sz w:val="22"/>
              </w:rPr>
              <w:t>wall 40 </w:t>
            </w:r>
            <w:r>
              <w:rPr>
                <w:spacing w:val="-6"/>
                <w:sz w:val="22"/>
              </w:rPr>
              <w:t>cm </w:t>
            </w:r>
            <w:r>
              <w:rPr>
                <w:spacing w:val="-2"/>
                <w:sz w:val="22"/>
              </w:rPr>
              <w:t>thick facing </w:t>
            </w:r>
            <w:r>
              <w:rPr>
                <w:sz w:val="22"/>
              </w:rPr>
              <w:t>the</w:t>
            </w:r>
            <w:r>
              <w:rPr>
                <w:spacing w:val="-18"/>
                <w:sz w:val="22"/>
              </w:rPr>
              <w:t> </w:t>
            </w:r>
            <w:r>
              <w:rPr>
                <w:sz w:val="22"/>
              </w:rPr>
              <w:t>rear </w:t>
            </w:r>
            <w:r>
              <w:rPr>
                <w:spacing w:val="-2"/>
                <w:sz w:val="22"/>
              </w:rPr>
              <w:t>side.</w:t>
            </w:r>
          </w:p>
        </w:tc>
      </w:tr>
    </w:tbl>
    <w:p>
      <w:pPr>
        <w:pStyle w:val="BodyText"/>
        <w:spacing w:before="2"/>
        <w:jc w:val="left"/>
        <w:rPr>
          <w:b/>
        </w:rPr>
      </w:pPr>
    </w:p>
    <w:p>
      <w:pPr>
        <w:pStyle w:val="BodyText"/>
        <w:ind w:left="1313" w:right="777"/>
      </w:pPr>
      <w:r>
        <w:rPr/>
        <w:t>Note: -i) The restriction in Table No 20 shall not apply to any narrow plot where in </w:t>
      </w:r>
      <w:r>
        <w:rPr>
          <w:spacing w:val="9"/>
        </w:rPr>
        <w:t>reconstruction/redevelopment </w:t>
      </w:r>
      <w:r>
        <w:rPr/>
        <w:t>scheme under the </w:t>
      </w:r>
      <w:r>
        <w:rPr>
          <w:spacing w:val="9"/>
        </w:rPr>
        <w:t>Maharashtra </w:t>
      </w:r>
      <w:r>
        <w:rPr/>
        <w:t>Housing and Area Development Authority Act, 1976 and Slum Act is </w:t>
      </w:r>
      <w:r>
        <w:rPr>
          <w:spacing w:val="7"/>
        </w:rPr>
        <w:t>undertaken.</w:t>
      </w:r>
    </w:p>
    <w:p>
      <w:pPr>
        <w:pStyle w:val="BodyText"/>
        <w:ind w:left="1313" w:right="778"/>
      </w:pPr>
      <w:r>
        <w:rPr/>
        <w:t>ii) For the purpose of this regulation plot area shall be reckoned after deduction of ‘area of the plot to be handed over to </w:t>
      </w:r>
      <w:r>
        <w:rPr>
          <w:spacing w:val="9"/>
        </w:rPr>
        <w:t>MCGM/Appropriate </w:t>
      </w:r>
      <w:r>
        <w:rPr/>
        <w:t>Authority’</w:t>
      </w:r>
      <w:r>
        <w:rPr>
          <w:spacing w:val="40"/>
        </w:rPr>
        <w:t> </w:t>
      </w:r>
      <w:r>
        <w:rPr/>
        <w:t>under</w:t>
      </w:r>
      <w:r>
        <w:rPr>
          <w:spacing w:val="40"/>
        </w:rPr>
        <w:t> </w:t>
      </w:r>
      <w:r>
        <w:rPr/>
        <w:t>these</w:t>
      </w:r>
      <w:r>
        <w:rPr>
          <w:spacing w:val="9"/>
        </w:rPr>
        <w:t> Regulations.</w:t>
      </w:r>
    </w:p>
    <w:p>
      <w:pPr>
        <w:pStyle w:val="Heading6"/>
        <w:numPr>
          <w:ilvl w:val="0"/>
          <w:numId w:val="299"/>
        </w:numPr>
        <w:tabs>
          <w:tab w:pos="1719" w:val="left" w:leader="none"/>
        </w:tabs>
        <w:spacing w:line="240" w:lineRule="auto" w:before="280" w:after="0"/>
        <w:ind w:left="1719" w:right="0" w:hanging="406"/>
        <w:jc w:val="both"/>
      </w:pPr>
      <w:r>
        <w:rPr/>
        <w:t>Interior</w:t>
      </w:r>
      <w:r>
        <w:rPr>
          <w:spacing w:val="64"/>
        </w:rPr>
        <w:t> </w:t>
      </w:r>
      <w:r>
        <w:rPr/>
        <w:t>open</w:t>
      </w:r>
      <w:r>
        <w:rPr>
          <w:spacing w:val="65"/>
        </w:rPr>
        <w:t> </w:t>
      </w:r>
      <w:r>
        <w:rPr/>
        <w:t>spaces</w:t>
      </w:r>
      <w:r>
        <w:rPr>
          <w:spacing w:val="65"/>
        </w:rPr>
        <w:t> </w:t>
      </w:r>
      <w:r>
        <w:rPr>
          <w:spacing w:val="7"/>
        </w:rPr>
        <w:t>(chowks)-</w:t>
      </w:r>
    </w:p>
    <w:p>
      <w:pPr>
        <w:pStyle w:val="BodyText"/>
        <w:spacing w:before="3"/>
        <w:jc w:val="left"/>
        <w:rPr>
          <w:b/>
          <w:i/>
        </w:rPr>
      </w:pPr>
    </w:p>
    <w:p>
      <w:pPr>
        <w:pStyle w:val="ListParagraph"/>
        <w:numPr>
          <w:ilvl w:val="1"/>
          <w:numId w:val="299"/>
        </w:numPr>
        <w:tabs>
          <w:tab w:pos="1706" w:val="left" w:leader="none"/>
        </w:tabs>
        <w:spacing w:line="240" w:lineRule="auto" w:before="0" w:after="0"/>
        <w:ind w:left="1313" w:right="775" w:firstLine="0"/>
        <w:jc w:val="both"/>
        <w:rPr>
          <w:sz w:val="24"/>
        </w:rPr>
      </w:pPr>
      <w:r>
        <w:rPr>
          <w:sz w:val="24"/>
        </w:rPr>
        <w:t>Inner </w:t>
      </w:r>
      <w:r>
        <w:rPr>
          <w:spacing w:val="9"/>
          <w:sz w:val="24"/>
        </w:rPr>
        <w:t>chowk-</w:t>
      </w:r>
      <w:r>
        <w:rPr>
          <w:sz w:val="24"/>
        </w:rPr>
        <w:t>Unless it abuts on a front, rear, or side open space, the whole/part</w:t>
      </w:r>
      <w:r>
        <w:rPr>
          <w:spacing w:val="40"/>
          <w:sz w:val="24"/>
        </w:rPr>
        <w:t> </w:t>
      </w:r>
      <w:r>
        <w:rPr>
          <w:sz w:val="24"/>
        </w:rPr>
        <w:t>of</w:t>
      </w:r>
      <w:r>
        <w:rPr>
          <w:spacing w:val="40"/>
          <w:sz w:val="24"/>
        </w:rPr>
        <w:t> </w:t>
      </w:r>
      <w:r>
        <w:rPr>
          <w:sz w:val="24"/>
        </w:rPr>
        <w:t>one</w:t>
      </w:r>
      <w:r>
        <w:rPr>
          <w:spacing w:val="40"/>
          <w:sz w:val="24"/>
        </w:rPr>
        <w:t> </w:t>
      </w:r>
      <w:r>
        <w:rPr>
          <w:sz w:val="24"/>
        </w:rPr>
        <w:t>side</w:t>
      </w:r>
      <w:r>
        <w:rPr>
          <w:spacing w:val="40"/>
          <w:sz w:val="24"/>
        </w:rPr>
        <w:t> </w:t>
      </w:r>
      <w:r>
        <w:rPr>
          <w:sz w:val="24"/>
        </w:rPr>
        <w:t>of</w:t>
      </w:r>
      <w:r>
        <w:rPr>
          <w:spacing w:val="40"/>
          <w:sz w:val="24"/>
        </w:rPr>
        <w:t> </w:t>
      </w:r>
      <w:r>
        <w:rPr>
          <w:sz w:val="24"/>
        </w:rPr>
        <w:t>every</w:t>
      </w:r>
      <w:r>
        <w:rPr>
          <w:spacing w:val="40"/>
          <w:sz w:val="24"/>
        </w:rPr>
        <w:t> </w:t>
      </w:r>
      <w:r>
        <w:rPr>
          <w:sz w:val="24"/>
        </w:rPr>
        <w:t>room</w:t>
      </w:r>
      <w:r>
        <w:rPr>
          <w:spacing w:val="40"/>
          <w:sz w:val="24"/>
        </w:rPr>
        <w:t> </w:t>
      </w:r>
      <w:r>
        <w:rPr>
          <w:sz w:val="24"/>
        </w:rPr>
        <w:t>other</w:t>
      </w:r>
      <w:r>
        <w:rPr>
          <w:spacing w:val="40"/>
          <w:sz w:val="24"/>
        </w:rPr>
        <w:t> </w:t>
      </w:r>
      <w:r>
        <w:rPr>
          <w:sz w:val="24"/>
        </w:rPr>
        <w:t>than</w:t>
      </w:r>
      <w:r>
        <w:rPr>
          <w:spacing w:val="40"/>
          <w:sz w:val="24"/>
        </w:rPr>
        <w:t> </w:t>
      </w:r>
      <w:r>
        <w:rPr>
          <w:sz w:val="24"/>
        </w:rPr>
        <w:t>a</w:t>
      </w:r>
      <w:r>
        <w:rPr>
          <w:spacing w:val="40"/>
          <w:sz w:val="24"/>
        </w:rPr>
        <w:t> </w:t>
      </w:r>
      <w:r>
        <w:rPr>
          <w:sz w:val="24"/>
        </w:rPr>
        <w:t>habitable</w:t>
      </w:r>
      <w:r>
        <w:rPr>
          <w:spacing w:val="40"/>
          <w:sz w:val="24"/>
        </w:rPr>
        <w:t> </w:t>
      </w:r>
      <w:r>
        <w:rPr>
          <w:sz w:val="24"/>
        </w:rPr>
        <w:t>room</w:t>
      </w:r>
      <w:r>
        <w:rPr>
          <w:spacing w:val="40"/>
          <w:sz w:val="24"/>
        </w:rPr>
        <w:t> </w:t>
      </w:r>
      <w:r>
        <w:rPr>
          <w:sz w:val="24"/>
        </w:rPr>
        <w:t>shall abut</w:t>
      </w:r>
      <w:r>
        <w:rPr>
          <w:spacing w:val="40"/>
          <w:sz w:val="24"/>
        </w:rPr>
        <w:t> </w:t>
      </w:r>
      <w:r>
        <w:rPr>
          <w:sz w:val="24"/>
        </w:rPr>
        <w:t>on</w:t>
      </w:r>
      <w:r>
        <w:rPr>
          <w:spacing w:val="40"/>
          <w:sz w:val="24"/>
        </w:rPr>
        <w:t> </w:t>
      </w:r>
      <w:r>
        <w:rPr>
          <w:sz w:val="24"/>
        </w:rPr>
        <w:t>an</w:t>
      </w:r>
      <w:r>
        <w:rPr>
          <w:spacing w:val="40"/>
          <w:sz w:val="24"/>
        </w:rPr>
        <w:t> </w:t>
      </w:r>
      <w:r>
        <w:rPr>
          <w:sz w:val="24"/>
        </w:rPr>
        <w:t>interior</w:t>
      </w:r>
      <w:r>
        <w:rPr>
          <w:spacing w:val="40"/>
          <w:sz w:val="24"/>
        </w:rPr>
        <w:t> </w:t>
      </w:r>
      <w:r>
        <w:rPr>
          <w:sz w:val="24"/>
        </w:rPr>
        <w:t>open</w:t>
      </w:r>
      <w:r>
        <w:rPr>
          <w:spacing w:val="40"/>
          <w:sz w:val="24"/>
        </w:rPr>
        <w:t> </w:t>
      </w:r>
      <w:r>
        <w:rPr>
          <w:sz w:val="24"/>
        </w:rPr>
        <w:t>space,</w:t>
      </w:r>
      <w:r>
        <w:rPr>
          <w:spacing w:val="40"/>
          <w:sz w:val="24"/>
        </w:rPr>
        <w:t> </w:t>
      </w:r>
      <w:r>
        <w:rPr>
          <w:sz w:val="24"/>
        </w:rPr>
        <w:t>courtyard</w:t>
      </w:r>
      <w:r>
        <w:rPr>
          <w:spacing w:val="40"/>
          <w:sz w:val="24"/>
        </w:rPr>
        <w:t> </w:t>
      </w:r>
      <w:r>
        <w:rPr>
          <w:sz w:val="24"/>
        </w:rPr>
        <w:t>or</w:t>
      </w:r>
      <w:r>
        <w:rPr>
          <w:spacing w:val="40"/>
          <w:sz w:val="24"/>
        </w:rPr>
        <w:t> </w:t>
      </w:r>
      <w:r>
        <w:rPr>
          <w:sz w:val="24"/>
        </w:rPr>
        <w:t>chowk,</w:t>
      </w:r>
      <w:r>
        <w:rPr>
          <w:spacing w:val="40"/>
          <w:sz w:val="24"/>
        </w:rPr>
        <w:t> </w:t>
      </w:r>
      <w:r>
        <w:rPr>
          <w:sz w:val="24"/>
        </w:rPr>
        <w:t>whose</w:t>
      </w:r>
      <w:r>
        <w:rPr>
          <w:spacing w:val="40"/>
          <w:sz w:val="24"/>
        </w:rPr>
        <w:t> </w:t>
      </w:r>
      <w:r>
        <w:rPr>
          <w:sz w:val="24"/>
        </w:rPr>
        <w:t>minimum width shall be 3 m.</w:t>
      </w:r>
      <w:r>
        <w:rPr>
          <w:spacing w:val="40"/>
          <w:sz w:val="24"/>
        </w:rPr>
        <w:t> </w:t>
      </w:r>
      <w:r>
        <w:rPr>
          <w:sz w:val="24"/>
        </w:rPr>
        <w:t>Such interior space, courtyard or chowk shall be accessible at least on one side at ground floor level </w:t>
      </w:r>
      <w:r>
        <w:rPr>
          <w:spacing w:val="9"/>
          <w:sz w:val="24"/>
        </w:rPr>
        <w:t>through </w:t>
      </w:r>
      <w:r>
        <w:rPr>
          <w:sz w:val="24"/>
        </w:rPr>
        <w:t>a common passage or space.</w:t>
      </w:r>
      <w:r>
        <w:rPr>
          <w:spacing w:val="80"/>
          <w:sz w:val="24"/>
        </w:rPr>
        <w:t> </w:t>
      </w:r>
      <w:r>
        <w:rPr>
          <w:sz w:val="24"/>
        </w:rPr>
        <w:t>Further, the inner chowk shall have an area at all its levels</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the</w:t>
      </w:r>
      <w:r>
        <w:rPr>
          <w:spacing w:val="40"/>
          <w:sz w:val="24"/>
        </w:rPr>
        <w:t> </w:t>
      </w:r>
      <w:r>
        <w:rPr>
          <w:sz w:val="24"/>
        </w:rPr>
        <w:t>square</w:t>
      </w:r>
      <w:r>
        <w:rPr>
          <w:spacing w:val="40"/>
          <w:sz w:val="24"/>
        </w:rPr>
        <w:t> </w:t>
      </w:r>
      <w:r>
        <w:rPr>
          <w:sz w:val="24"/>
        </w:rPr>
        <w:t>of</w:t>
      </w:r>
      <w:r>
        <w:rPr>
          <w:spacing w:val="40"/>
          <w:sz w:val="24"/>
        </w:rPr>
        <w:t> </w:t>
      </w:r>
      <w:r>
        <w:rPr>
          <w:sz w:val="24"/>
        </w:rPr>
        <w:t>one</w:t>
      </w:r>
      <w:r>
        <w:rPr>
          <w:spacing w:val="40"/>
          <w:sz w:val="24"/>
        </w:rPr>
        <w:t> </w:t>
      </w:r>
      <w:r>
        <w:rPr>
          <w:sz w:val="24"/>
        </w:rPr>
        <w:t>fifth</w:t>
      </w:r>
      <w:r>
        <w:rPr>
          <w:spacing w:val="40"/>
          <w:sz w:val="24"/>
        </w:rPr>
        <w:t> </w:t>
      </w:r>
      <w:r>
        <w:rPr>
          <w:sz w:val="24"/>
        </w:rPr>
        <w:t>of</w:t>
      </w:r>
      <w:r>
        <w:rPr>
          <w:spacing w:val="40"/>
          <w:sz w:val="24"/>
        </w:rPr>
        <w:t> </w:t>
      </w:r>
      <w:r>
        <w:rPr>
          <w:sz w:val="24"/>
        </w:rPr>
        <w:t>the</w:t>
      </w:r>
      <w:r>
        <w:rPr>
          <w:spacing w:val="40"/>
          <w:sz w:val="24"/>
        </w:rPr>
        <w:t> </w:t>
      </w:r>
      <w:r>
        <w:rPr>
          <w:sz w:val="24"/>
        </w:rPr>
        <w:t>height</w:t>
      </w:r>
      <w:r>
        <w:rPr>
          <w:spacing w:val="40"/>
          <w:sz w:val="24"/>
        </w:rPr>
        <w:t> </w:t>
      </w:r>
      <w:r>
        <w:rPr>
          <w:sz w:val="24"/>
        </w:rPr>
        <w:t>of</w:t>
      </w:r>
      <w:r>
        <w:rPr>
          <w:spacing w:val="40"/>
          <w:sz w:val="24"/>
        </w:rPr>
        <w:t> </w:t>
      </w:r>
      <w:r>
        <w:rPr>
          <w:sz w:val="24"/>
        </w:rPr>
        <w:t>the</w:t>
      </w:r>
      <w:r>
        <w:rPr>
          <w:spacing w:val="40"/>
          <w:sz w:val="24"/>
        </w:rPr>
        <w:t> </w:t>
      </w:r>
      <w:r>
        <w:rPr>
          <w:sz w:val="24"/>
        </w:rPr>
        <w:t>highest wall</w:t>
      </w:r>
      <w:r>
        <w:rPr>
          <w:spacing w:val="40"/>
          <w:sz w:val="24"/>
        </w:rPr>
        <w:t> </w:t>
      </w:r>
      <w:r>
        <w:rPr>
          <w:sz w:val="24"/>
        </w:rPr>
        <w:t>abutting</w:t>
      </w:r>
      <w:r>
        <w:rPr>
          <w:spacing w:val="40"/>
          <w:sz w:val="24"/>
        </w:rPr>
        <w:t> </w:t>
      </w:r>
      <w:r>
        <w:rPr>
          <w:sz w:val="24"/>
        </w:rPr>
        <w:t>the</w:t>
      </w:r>
      <w:r>
        <w:rPr>
          <w:spacing w:val="40"/>
          <w:sz w:val="24"/>
        </w:rPr>
        <w:t> </w:t>
      </w:r>
      <w:r>
        <w:rPr>
          <w:sz w:val="24"/>
        </w:rPr>
        <w:t>chowk:</w:t>
      </w:r>
    </w:p>
    <w:p>
      <w:pPr>
        <w:pStyle w:val="ListParagraph"/>
        <w:spacing w:after="0" w:line="240" w:lineRule="auto"/>
        <w:jc w:val="both"/>
        <w:rPr>
          <w:sz w:val="24"/>
        </w:rPr>
        <w:sectPr>
          <w:pgSz w:w="11910" w:h="16840"/>
          <w:pgMar w:header="1058" w:footer="1201" w:top="1500" w:bottom="1400" w:left="360" w:right="360"/>
        </w:sectPr>
      </w:pPr>
    </w:p>
    <w:p>
      <w:pPr>
        <w:pStyle w:val="BodyText"/>
        <w:spacing w:before="255"/>
        <w:ind w:left="1313" w:right="776"/>
      </w:pPr>
      <w:r>
        <w:rPr/>
        <w:t>Provided</w:t>
      </w:r>
      <w:r>
        <w:rPr>
          <w:spacing w:val="80"/>
        </w:rPr>
        <w:t> </w:t>
      </w:r>
      <w:r>
        <w:rPr/>
        <w:t>that the maximum dimension of an inner chowk may not be insisted more than the required open spaces as stipulated in this</w:t>
      </w:r>
      <w:r>
        <w:rPr>
          <w:spacing w:val="80"/>
        </w:rPr>
        <w:t> </w:t>
      </w:r>
      <w:r>
        <w:rPr>
          <w:spacing w:val="7"/>
        </w:rPr>
        <w:t>regulation.</w:t>
      </w:r>
    </w:p>
    <w:p>
      <w:pPr>
        <w:pStyle w:val="BodyText"/>
        <w:spacing w:before="1"/>
        <w:jc w:val="left"/>
      </w:pPr>
    </w:p>
    <w:p>
      <w:pPr>
        <w:pStyle w:val="BodyText"/>
        <w:ind w:left="1313" w:right="780"/>
      </w:pPr>
      <w:r>
        <w:rPr/>
        <w:t>Provided further that when any room (excluding the stairway bay, the bathrooms</w:t>
      </w:r>
      <w:r>
        <w:rPr>
          <w:spacing w:val="40"/>
        </w:rPr>
        <w:t> </w:t>
      </w:r>
      <w:r>
        <w:rPr/>
        <w:t>and</w:t>
      </w:r>
      <w:r>
        <w:rPr>
          <w:spacing w:val="40"/>
        </w:rPr>
        <w:t> </w:t>
      </w:r>
      <w:r>
        <w:rPr/>
        <w:t>water</w:t>
      </w:r>
      <w:r>
        <w:rPr>
          <w:spacing w:val="40"/>
        </w:rPr>
        <w:t> </w:t>
      </w:r>
      <w:r>
        <w:rPr/>
        <w:t>closet)</w:t>
      </w:r>
      <w:r>
        <w:rPr>
          <w:spacing w:val="40"/>
        </w:rPr>
        <w:t> </w:t>
      </w:r>
      <w:r>
        <w:rPr/>
        <w:t>depends</w:t>
      </w:r>
      <w:r>
        <w:rPr>
          <w:spacing w:val="40"/>
        </w:rPr>
        <w:t> </w:t>
      </w:r>
      <w:r>
        <w:rPr/>
        <w:t>for</w:t>
      </w:r>
      <w:r>
        <w:rPr>
          <w:spacing w:val="40"/>
        </w:rPr>
        <w:t> </w:t>
      </w:r>
      <w:r>
        <w:rPr/>
        <w:t>its</w:t>
      </w:r>
      <w:r>
        <w:rPr>
          <w:spacing w:val="40"/>
        </w:rPr>
        <w:t> </w:t>
      </w:r>
      <w:r>
        <w:rPr/>
        <w:t>light</w:t>
      </w:r>
      <w:r>
        <w:rPr>
          <w:spacing w:val="40"/>
        </w:rPr>
        <w:t> </w:t>
      </w:r>
      <w:r>
        <w:rPr/>
        <w:t>and</w:t>
      </w:r>
      <w:r>
        <w:rPr>
          <w:spacing w:val="40"/>
        </w:rPr>
        <w:t> </w:t>
      </w:r>
      <w:r>
        <w:rPr/>
        <w:t>ventilation</w:t>
      </w:r>
      <w:r>
        <w:rPr>
          <w:spacing w:val="40"/>
        </w:rPr>
        <w:t> </w:t>
      </w:r>
      <w:r>
        <w:rPr/>
        <w:t>on</w:t>
      </w:r>
      <w:r>
        <w:rPr>
          <w:spacing w:val="40"/>
        </w:rPr>
        <w:t> </w:t>
      </w:r>
      <w:r>
        <w:rPr/>
        <w:t>an inner</w:t>
      </w:r>
      <w:r>
        <w:rPr>
          <w:spacing w:val="66"/>
        </w:rPr>
        <w:t> </w:t>
      </w:r>
      <w:r>
        <w:rPr/>
        <w:t>chowk,</w:t>
      </w:r>
      <w:r>
        <w:rPr>
          <w:spacing w:val="69"/>
        </w:rPr>
        <w:t> </w:t>
      </w:r>
      <w:r>
        <w:rPr/>
        <w:t>the</w:t>
      </w:r>
      <w:r>
        <w:rPr>
          <w:spacing w:val="69"/>
        </w:rPr>
        <w:t> </w:t>
      </w:r>
      <w:r>
        <w:rPr/>
        <w:t>dimension</w:t>
      </w:r>
      <w:r>
        <w:rPr>
          <w:spacing w:val="69"/>
        </w:rPr>
        <w:t> </w:t>
      </w:r>
      <w:r>
        <w:rPr/>
        <w:t>shall</w:t>
      </w:r>
      <w:r>
        <w:rPr>
          <w:spacing w:val="66"/>
        </w:rPr>
        <w:t> </w:t>
      </w:r>
      <w:r>
        <w:rPr/>
        <w:t>be</w:t>
      </w:r>
      <w:r>
        <w:rPr>
          <w:spacing w:val="80"/>
        </w:rPr>
        <w:t> </w:t>
      </w:r>
      <w:r>
        <w:rPr/>
        <w:t>such</w:t>
      </w:r>
      <w:r>
        <w:rPr>
          <w:spacing w:val="66"/>
        </w:rPr>
        <w:t> </w:t>
      </w:r>
      <w:r>
        <w:rPr/>
        <w:t>as</w:t>
      </w:r>
      <w:r>
        <w:rPr>
          <w:spacing w:val="69"/>
        </w:rPr>
        <w:t> </w:t>
      </w:r>
      <w:r>
        <w:rPr/>
        <w:t>is</w:t>
      </w:r>
      <w:r>
        <w:rPr>
          <w:spacing w:val="66"/>
        </w:rPr>
        <w:t> </w:t>
      </w:r>
      <w:r>
        <w:rPr/>
        <w:t>required</w:t>
      </w:r>
      <w:r>
        <w:rPr>
          <w:spacing w:val="66"/>
        </w:rPr>
        <w:t> </w:t>
      </w:r>
      <w:r>
        <w:rPr/>
        <w:t>for</w:t>
      </w:r>
      <w:r>
        <w:rPr>
          <w:spacing w:val="66"/>
        </w:rPr>
        <w:t> </w:t>
      </w:r>
      <w:r>
        <w:rPr/>
        <w:t>each</w:t>
      </w:r>
      <w:r>
        <w:rPr>
          <w:spacing w:val="66"/>
        </w:rPr>
        <w:t> </w:t>
      </w:r>
      <w:r>
        <w:rPr/>
        <w:t>wing of the </w:t>
      </w:r>
      <w:r>
        <w:rPr>
          <w:spacing w:val="9"/>
        </w:rPr>
        <w:t>building.</w:t>
      </w:r>
    </w:p>
    <w:p>
      <w:pPr>
        <w:pStyle w:val="ListParagraph"/>
        <w:numPr>
          <w:ilvl w:val="1"/>
          <w:numId w:val="299"/>
        </w:numPr>
        <w:tabs>
          <w:tab w:pos="1844" w:val="left" w:leader="none"/>
        </w:tabs>
        <w:spacing w:line="240" w:lineRule="auto" w:before="1" w:after="0"/>
        <w:ind w:left="1313" w:right="776" w:firstLine="0"/>
        <w:jc w:val="both"/>
        <w:rPr>
          <w:sz w:val="24"/>
        </w:rPr>
      </w:pPr>
      <w:r>
        <w:rPr>
          <w:i/>
          <w:sz w:val="24"/>
        </w:rPr>
        <w:t>Outer</w:t>
      </w:r>
      <w:r>
        <w:rPr>
          <w:i/>
          <w:spacing w:val="40"/>
          <w:sz w:val="24"/>
        </w:rPr>
        <w:t> </w:t>
      </w:r>
      <w:r>
        <w:rPr>
          <w:i/>
          <w:sz w:val="24"/>
        </w:rPr>
        <w:t>chowk</w:t>
      </w:r>
      <w:r>
        <w:rPr>
          <w:sz w:val="24"/>
        </w:rPr>
        <w:t>.</w:t>
      </w:r>
      <w:r>
        <w:rPr>
          <w:spacing w:val="40"/>
          <w:sz w:val="24"/>
        </w:rPr>
        <w:t> </w:t>
      </w:r>
      <w:r>
        <w:rPr>
          <w:sz w:val="24"/>
        </w:rPr>
        <w:t>-</w:t>
      </w:r>
      <w:r>
        <w:rPr>
          <w:spacing w:val="40"/>
          <w:sz w:val="24"/>
        </w:rPr>
        <w:t> </w:t>
      </w:r>
      <w:r>
        <w:rPr>
          <w:sz w:val="24"/>
        </w:rPr>
        <w:t>The</w:t>
      </w:r>
      <w:r>
        <w:rPr>
          <w:spacing w:val="40"/>
          <w:sz w:val="24"/>
        </w:rPr>
        <w:t> </w:t>
      </w:r>
      <w:r>
        <w:rPr>
          <w:sz w:val="24"/>
        </w:rPr>
        <w:t>minimum</w:t>
      </w:r>
      <w:r>
        <w:rPr>
          <w:spacing w:val="40"/>
          <w:sz w:val="24"/>
        </w:rPr>
        <w:t> </w:t>
      </w:r>
      <w:r>
        <w:rPr>
          <w:sz w:val="24"/>
        </w:rPr>
        <w:t>width</w:t>
      </w:r>
      <w:r>
        <w:rPr>
          <w:spacing w:val="40"/>
          <w:sz w:val="24"/>
        </w:rPr>
        <w:t> </w:t>
      </w:r>
      <w:r>
        <w:rPr>
          <w:sz w:val="24"/>
        </w:rPr>
        <w:t>of</w:t>
      </w:r>
      <w:r>
        <w:rPr>
          <w:spacing w:val="40"/>
          <w:sz w:val="24"/>
        </w:rPr>
        <w:t> </w:t>
      </w:r>
      <w:r>
        <w:rPr>
          <w:sz w:val="24"/>
        </w:rPr>
        <w:t>an</w:t>
      </w:r>
      <w:r>
        <w:rPr>
          <w:spacing w:val="40"/>
          <w:sz w:val="24"/>
        </w:rPr>
        <w:t> </w:t>
      </w:r>
      <w:r>
        <w:rPr>
          <w:sz w:val="24"/>
        </w:rPr>
        <w:t>outer</w:t>
      </w:r>
      <w:r>
        <w:rPr>
          <w:spacing w:val="40"/>
          <w:sz w:val="24"/>
        </w:rPr>
        <w:t> </w:t>
      </w:r>
      <w:r>
        <w:rPr>
          <w:sz w:val="24"/>
        </w:rPr>
        <w:t>chowk</w:t>
      </w:r>
      <w:r>
        <w:rPr>
          <w:spacing w:val="40"/>
          <w:sz w:val="24"/>
        </w:rPr>
        <w:t> </w:t>
      </w:r>
      <w:r>
        <w:rPr>
          <w:sz w:val="24"/>
        </w:rPr>
        <w:t>(as distinguished</w:t>
      </w:r>
      <w:r>
        <w:rPr>
          <w:spacing w:val="80"/>
          <w:sz w:val="24"/>
        </w:rPr>
        <w:t> </w:t>
      </w:r>
      <w:r>
        <w:rPr>
          <w:sz w:val="24"/>
        </w:rPr>
        <w:t>from</w:t>
      </w:r>
      <w:r>
        <w:rPr>
          <w:spacing w:val="80"/>
          <w:sz w:val="24"/>
        </w:rPr>
        <w:t> </w:t>
      </w:r>
      <w:r>
        <w:rPr>
          <w:sz w:val="24"/>
        </w:rPr>
        <w:t>its</w:t>
      </w:r>
      <w:r>
        <w:rPr>
          <w:spacing w:val="77"/>
          <w:sz w:val="24"/>
        </w:rPr>
        <w:t> </w:t>
      </w:r>
      <w:r>
        <w:rPr>
          <w:sz w:val="24"/>
        </w:rPr>
        <w:t>depth)</w:t>
      </w:r>
      <w:r>
        <w:rPr>
          <w:spacing w:val="80"/>
          <w:sz w:val="24"/>
        </w:rPr>
        <w:t> </w:t>
      </w:r>
      <w:r>
        <w:rPr>
          <w:sz w:val="24"/>
        </w:rPr>
        <w:t>shall</w:t>
      </w:r>
      <w:r>
        <w:rPr>
          <w:spacing w:val="80"/>
          <w:sz w:val="24"/>
        </w:rPr>
        <w:t> </w:t>
      </w:r>
      <w:r>
        <w:rPr>
          <w:sz w:val="24"/>
        </w:rPr>
        <w:t>be</w:t>
      </w:r>
      <w:r>
        <w:rPr>
          <w:spacing w:val="77"/>
          <w:sz w:val="24"/>
        </w:rPr>
        <w:t> </w:t>
      </w:r>
      <w:r>
        <w:rPr>
          <w:sz w:val="24"/>
        </w:rPr>
        <w:t>2.4</w:t>
      </w:r>
      <w:r>
        <w:rPr>
          <w:spacing w:val="77"/>
          <w:sz w:val="24"/>
        </w:rPr>
        <w:t> </w:t>
      </w:r>
      <w:r>
        <w:rPr>
          <w:sz w:val="24"/>
        </w:rPr>
        <w:t>m,</w:t>
      </w:r>
      <w:r>
        <w:rPr>
          <w:spacing w:val="77"/>
          <w:sz w:val="24"/>
        </w:rPr>
        <w:t> </w:t>
      </w:r>
      <w:r>
        <w:rPr>
          <w:sz w:val="24"/>
        </w:rPr>
        <w:t>but</w:t>
      </w:r>
      <w:r>
        <w:rPr>
          <w:spacing w:val="80"/>
          <w:sz w:val="24"/>
        </w:rPr>
        <w:t> </w:t>
      </w:r>
      <w:r>
        <w:rPr>
          <w:sz w:val="24"/>
        </w:rPr>
        <w:t>if</w:t>
      </w:r>
      <w:r>
        <w:rPr>
          <w:spacing w:val="80"/>
          <w:sz w:val="24"/>
        </w:rPr>
        <w:t> </w:t>
      </w:r>
      <w:r>
        <w:rPr>
          <w:sz w:val="24"/>
        </w:rPr>
        <w:t>the</w:t>
      </w:r>
      <w:r>
        <w:rPr>
          <w:spacing w:val="80"/>
          <w:sz w:val="24"/>
        </w:rPr>
        <w:t> </w:t>
      </w:r>
      <w:r>
        <w:rPr>
          <w:sz w:val="24"/>
        </w:rPr>
        <w:t>depth</w:t>
      </w:r>
      <w:r>
        <w:rPr>
          <w:spacing w:val="80"/>
          <w:sz w:val="24"/>
        </w:rPr>
        <w:t> </w:t>
      </w:r>
      <w:r>
        <w:rPr>
          <w:sz w:val="24"/>
        </w:rPr>
        <w:t>exceeds the width, the open space between the wings shall be regulated by</w:t>
      </w:r>
      <w:r>
        <w:rPr>
          <w:spacing w:val="40"/>
          <w:sz w:val="24"/>
        </w:rPr>
        <w:t> </w:t>
      </w:r>
      <w:r>
        <w:rPr>
          <w:sz w:val="24"/>
        </w:rPr>
        <w:t>Regulation 41(2)(i)(a), when any habitable room depends on light and ventilation on such outer chowk.</w:t>
      </w:r>
      <w:r>
        <w:rPr>
          <w:spacing w:val="40"/>
          <w:sz w:val="24"/>
        </w:rPr>
        <w:t> </w:t>
      </w:r>
      <w:r>
        <w:rPr>
          <w:sz w:val="24"/>
        </w:rPr>
        <w:t>A recess less than 2.4 m wide shall be treated</w:t>
      </w:r>
      <w:r>
        <w:rPr>
          <w:spacing w:val="40"/>
          <w:sz w:val="24"/>
        </w:rPr>
        <w:t> </w:t>
      </w:r>
      <w:r>
        <w:rPr>
          <w:sz w:val="24"/>
        </w:rPr>
        <w:t>as</w:t>
      </w:r>
      <w:r>
        <w:rPr>
          <w:spacing w:val="40"/>
          <w:sz w:val="24"/>
        </w:rPr>
        <w:t> </w:t>
      </w:r>
      <w:r>
        <w:rPr>
          <w:sz w:val="24"/>
        </w:rPr>
        <w:t>a</w:t>
      </w:r>
      <w:r>
        <w:rPr>
          <w:spacing w:val="40"/>
          <w:sz w:val="24"/>
        </w:rPr>
        <w:t> </w:t>
      </w:r>
      <w:r>
        <w:rPr>
          <w:sz w:val="24"/>
        </w:rPr>
        <w:t>notch</w:t>
      </w:r>
      <w:r>
        <w:rPr>
          <w:spacing w:val="40"/>
          <w:sz w:val="24"/>
        </w:rPr>
        <w:t> </w:t>
      </w:r>
      <w:r>
        <w:rPr>
          <w:sz w:val="24"/>
        </w:rPr>
        <w:t>and</w:t>
      </w:r>
      <w:r>
        <w:rPr>
          <w:spacing w:val="40"/>
          <w:sz w:val="24"/>
        </w:rPr>
        <w:t> </w:t>
      </w:r>
      <w:r>
        <w:rPr>
          <w:sz w:val="24"/>
        </w:rPr>
        <w:t>not</w:t>
      </w:r>
      <w:r>
        <w:rPr>
          <w:spacing w:val="40"/>
          <w:sz w:val="24"/>
        </w:rPr>
        <w:t> </w:t>
      </w:r>
      <w:r>
        <w:rPr>
          <w:sz w:val="24"/>
        </w:rPr>
        <w:t>as</w:t>
      </w:r>
      <w:r>
        <w:rPr>
          <w:spacing w:val="40"/>
          <w:sz w:val="24"/>
        </w:rPr>
        <w:t> </w:t>
      </w:r>
      <w:r>
        <w:rPr>
          <w:sz w:val="24"/>
        </w:rPr>
        <w:t>a</w:t>
      </w:r>
      <w:r>
        <w:rPr>
          <w:spacing w:val="40"/>
          <w:sz w:val="24"/>
        </w:rPr>
        <w:t> </w:t>
      </w:r>
      <w:r>
        <w:rPr>
          <w:sz w:val="24"/>
        </w:rPr>
        <w:t>chowk.</w:t>
      </w:r>
    </w:p>
    <w:p>
      <w:pPr>
        <w:pStyle w:val="BodyText"/>
        <w:spacing w:before="278"/>
        <w:ind w:left="1313" w:right="774"/>
      </w:pPr>
      <w:r>
        <w:rPr>
          <w:b/>
          <w:i/>
        </w:rPr>
        <w:t>(9).</w:t>
      </w:r>
      <w:r>
        <w:rPr>
          <w:b/>
          <w:i/>
          <w:spacing w:val="40"/>
        </w:rPr>
        <w:t> </w:t>
      </w:r>
      <w:r>
        <w:rPr>
          <w:b/>
          <w:i/>
        </w:rPr>
        <w:t>Open</w:t>
      </w:r>
      <w:r>
        <w:rPr>
          <w:b/>
          <w:i/>
          <w:spacing w:val="40"/>
        </w:rPr>
        <w:t> </w:t>
      </w:r>
      <w:r>
        <w:rPr>
          <w:b/>
          <w:i/>
        </w:rPr>
        <w:t>spaces</w:t>
      </w:r>
      <w:r>
        <w:rPr>
          <w:b/>
          <w:i/>
          <w:spacing w:val="40"/>
        </w:rPr>
        <w:t> </w:t>
      </w:r>
      <w:r>
        <w:rPr>
          <w:b/>
          <w:i/>
        </w:rPr>
        <w:t>to</w:t>
      </w:r>
      <w:r>
        <w:rPr>
          <w:b/>
          <w:i/>
          <w:spacing w:val="40"/>
        </w:rPr>
        <w:t> </w:t>
      </w:r>
      <w:r>
        <w:rPr>
          <w:b/>
          <w:i/>
        </w:rPr>
        <w:t>be</w:t>
      </w:r>
      <w:r>
        <w:rPr>
          <w:b/>
          <w:i/>
          <w:spacing w:val="40"/>
        </w:rPr>
        <w:t> </w:t>
      </w:r>
      <w:r>
        <w:rPr>
          <w:b/>
          <w:i/>
          <w:spacing w:val="9"/>
        </w:rPr>
        <w:t>unencumbered</w:t>
      </w:r>
      <w:r>
        <w:rPr>
          <w:spacing w:val="9"/>
        </w:rPr>
        <w:t>-</w:t>
      </w:r>
      <w:r>
        <w:rPr>
          <w:spacing w:val="40"/>
        </w:rPr>
        <w:t> </w:t>
      </w:r>
      <w:r>
        <w:rPr/>
        <w:t>Every</w:t>
      </w:r>
      <w:r>
        <w:rPr>
          <w:spacing w:val="40"/>
        </w:rPr>
        <w:t> </w:t>
      </w:r>
      <w:r>
        <w:rPr/>
        <w:t>open</w:t>
      </w:r>
      <w:r>
        <w:rPr>
          <w:spacing w:val="40"/>
        </w:rPr>
        <w:t> </w:t>
      </w:r>
      <w:r>
        <w:rPr/>
        <w:t>space</w:t>
      </w:r>
      <w:r>
        <w:rPr>
          <w:spacing w:val="40"/>
        </w:rPr>
        <w:t> </w:t>
      </w:r>
      <w:r>
        <w:rPr/>
        <w:t>whether interior or exterior shall be kept free from any erection thereon and </w:t>
      </w:r>
      <w:r>
        <w:rPr>
          <w:spacing w:val="9"/>
        </w:rPr>
        <w:t>shall </w:t>
      </w:r>
      <w:r>
        <w:rPr/>
        <w:t>remain</w:t>
      </w:r>
      <w:r>
        <w:rPr>
          <w:spacing w:val="40"/>
        </w:rPr>
        <w:t> </w:t>
      </w:r>
      <w:r>
        <w:rPr/>
        <w:t>open</w:t>
      </w:r>
      <w:r>
        <w:rPr>
          <w:spacing w:val="40"/>
        </w:rPr>
        <w:t> </w:t>
      </w:r>
      <w:r>
        <w:rPr/>
        <w:t>to</w:t>
      </w:r>
      <w:r>
        <w:rPr>
          <w:spacing w:val="40"/>
        </w:rPr>
        <w:t> </w:t>
      </w:r>
      <w:r>
        <w:rPr/>
        <w:t>the</w:t>
      </w:r>
      <w:r>
        <w:rPr>
          <w:spacing w:val="40"/>
        </w:rPr>
        <w:t> </w:t>
      </w:r>
      <w:r>
        <w:rPr/>
        <w:t>sky</w:t>
      </w:r>
      <w:r>
        <w:rPr>
          <w:spacing w:val="40"/>
        </w:rPr>
        <w:t> </w:t>
      </w:r>
      <w:r>
        <w:rPr/>
        <w:t>except</w:t>
      </w:r>
      <w:r>
        <w:rPr>
          <w:spacing w:val="40"/>
        </w:rPr>
        <w:t> </w:t>
      </w:r>
      <w:r>
        <w:rPr/>
        <w:t>the</w:t>
      </w:r>
      <w:r>
        <w:rPr>
          <w:spacing w:val="40"/>
        </w:rPr>
        <w:t> </w:t>
      </w:r>
      <w:r>
        <w:rPr/>
        <w:t>feature</w:t>
      </w:r>
      <w:r>
        <w:rPr>
          <w:spacing w:val="40"/>
        </w:rPr>
        <w:t> </w:t>
      </w:r>
      <w:r>
        <w:rPr/>
        <w:t>covered</w:t>
      </w:r>
      <w:r>
        <w:rPr>
          <w:spacing w:val="40"/>
        </w:rPr>
        <w:t> </w:t>
      </w:r>
      <w:r>
        <w:rPr/>
        <w:t>by</w:t>
      </w:r>
      <w:r>
        <w:rPr>
          <w:spacing w:val="40"/>
        </w:rPr>
        <w:t> </w:t>
      </w:r>
      <w:r>
        <w:rPr/>
        <w:t>the</w:t>
      </w:r>
      <w:r>
        <w:rPr>
          <w:spacing w:val="40"/>
        </w:rPr>
        <w:t> </w:t>
      </w:r>
      <w:r>
        <w:rPr/>
        <w:t>next </w:t>
      </w:r>
      <w:r>
        <w:rPr>
          <w:spacing w:val="-2"/>
        </w:rPr>
        <w:t>Regulation42.</w:t>
      </w:r>
    </w:p>
    <w:p>
      <w:pPr>
        <w:pStyle w:val="BodyText"/>
        <w:spacing w:before="46"/>
        <w:jc w:val="left"/>
      </w:pPr>
    </w:p>
    <w:p>
      <w:pPr>
        <w:pStyle w:val="Heading3"/>
        <w:numPr>
          <w:ilvl w:val="0"/>
          <w:numId w:val="263"/>
        </w:numPr>
        <w:tabs>
          <w:tab w:pos="1493" w:val="left" w:leader="none"/>
        </w:tabs>
        <w:spacing w:line="240" w:lineRule="auto" w:before="1" w:after="0"/>
        <w:ind w:left="1493" w:right="0" w:hanging="721"/>
        <w:jc w:val="left"/>
      </w:pPr>
      <w:r>
        <w:rPr/>
        <w:t>Features</w:t>
      </w:r>
      <w:r>
        <w:rPr>
          <w:spacing w:val="-7"/>
        </w:rPr>
        <w:t> </w:t>
      </w:r>
      <w:r>
        <w:rPr/>
        <w:t>permitted</w:t>
      </w:r>
      <w:r>
        <w:rPr>
          <w:spacing w:val="-6"/>
        </w:rPr>
        <w:t> </w:t>
      </w:r>
      <w:r>
        <w:rPr/>
        <w:t>in</w:t>
      </w:r>
      <w:r>
        <w:rPr>
          <w:spacing w:val="-5"/>
        </w:rPr>
        <w:t> </w:t>
      </w:r>
      <w:r>
        <w:rPr/>
        <w:t>open</w:t>
      </w:r>
      <w:r>
        <w:rPr>
          <w:spacing w:val="-8"/>
        </w:rPr>
        <w:t> </w:t>
      </w:r>
      <w:r>
        <w:rPr>
          <w:spacing w:val="-2"/>
        </w:rPr>
        <w:t>spaces</w:t>
      </w:r>
    </w:p>
    <w:p>
      <w:pPr>
        <w:pStyle w:val="BodyText"/>
        <w:spacing w:before="285"/>
        <w:ind w:left="1313" w:right="768"/>
      </w:pPr>
      <w:r>
        <w:rPr/>
        <w:t>Certain</w:t>
      </w:r>
      <w:r>
        <w:rPr>
          <w:spacing w:val="40"/>
        </w:rPr>
        <w:t> </w:t>
      </w:r>
      <w:r>
        <w:rPr/>
        <w:t>features</w:t>
      </w:r>
      <w:r>
        <w:rPr>
          <w:spacing w:val="40"/>
        </w:rPr>
        <w:t> </w:t>
      </w:r>
      <w:r>
        <w:rPr/>
        <w:t>may</w:t>
      </w:r>
      <w:r>
        <w:rPr>
          <w:spacing w:val="40"/>
        </w:rPr>
        <w:t> </w:t>
      </w:r>
      <w:r>
        <w:rPr/>
        <w:t>be</w:t>
      </w:r>
      <w:r>
        <w:rPr>
          <w:spacing w:val="40"/>
        </w:rPr>
        <w:t> </w:t>
      </w:r>
      <w:r>
        <w:rPr/>
        <w:t>permitted</w:t>
      </w:r>
      <w:r>
        <w:rPr>
          <w:spacing w:val="40"/>
        </w:rPr>
        <w:t> </w:t>
      </w:r>
      <w:r>
        <w:rPr/>
        <w:t>in</w:t>
      </w:r>
      <w:r>
        <w:rPr>
          <w:spacing w:val="40"/>
        </w:rPr>
        <w:t> </w:t>
      </w:r>
      <w:r>
        <w:rPr/>
        <w:t>the</w:t>
      </w:r>
      <w:r>
        <w:rPr>
          <w:spacing w:val="40"/>
        </w:rPr>
        <w:t> </w:t>
      </w:r>
      <w:r>
        <w:rPr/>
        <w:t>prescribed</w:t>
      </w:r>
      <w:r>
        <w:rPr>
          <w:spacing w:val="40"/>
        </w:rPr>
        <w:t> </w:t>
      </w:r>
      <w:r>
        <w:rPr/>
        <w:t>open</w:t>
      </w:r>
      <w:r>
        <w:rPr>
          <w:spacing w:val="40"/>
        </w:rPr>
        <w:t> </w:t>
      </w:r>
      <w:r>
        <w:rPr/>
        <w:t>spaces</w:t>
      </w:r>
      <w:r>
        <w:rPr>
          <w:spacing w:val="80"/>
        </w:rPr>
        <w:t> </w:t>
      </w:r>
      <w:r>
        <w:rPr/>
        <w:t>except in</w:t>
      </w:r>
      <w:r>
        <w:rPr>
          <w:spacing w:val="-13"/>
        </w:rPr>
        <w:t> </w:t>
      </w:r>
      <w:r>
        <w:rPr/>
        <w:t>case</w:t>
      </w:r>
      <w:r>
        <w:rPr>
          <w:spacing w:val="-13"/>
        </w:rPr>
        <w:t> </w:t>
      </w:r>
      <w:r>
        <w:rPr/>
        <w:t>of</w:t>
      </w:r>
      <w:r>
        <w:rPr>
          <w:spacing w:val="-13"/>
        </w:rPr>
        <w:t> </w:t>
      </w:r>
      <w:r>
        <w:rPr/>
        <w:t>high</w:t>
      </w:r>
      <w:r>
        <w:rPr>
          <w:spacing w:val="-13"/>
        </w:rPr>
        <w:t> </w:t>
      </w:r>
      <w:r>
        <w:rPr/>
        <w:t>rise</w:t>
      </w:r>
      <w:r>
        <w:rPr>
          <w:spacing w:val="-15"/>
        </w:rPr>
        <w:t> </w:t>
      </w:r>
      <w:r>
        <w:rPr/>
        <w:t>buildings</w:t>
      </w:r>
      <w:r>
        <w:rPr>
          <w:spacing w:val="-13"/>
        </w:rPr>
        <w:t> </w:t>
      </w:r>
      <w:r>
        <w:rPr/>
        <w:t>where</w:t>
      </w:r>
      <w:r>
        <w:rPr>
          <w:spacing w:val="-13"/>
        </w:rPr>
        <w:t> </w:t>
      </w:r>
      <w:r>
        <w:rPr/>
        <w:t>minimum</w:t>
      </w:r>
      <w:r>
        <w:rPr>
          <w:spacing w:val="40"/>
        </w:rPr>
        <w:t> </w:t>
      </w:r>
      <w:r>
        <w:rPr/>
        <w:t>clear</w:t>
      </w:r>
      <w:r>
        <w:rPr>
          <w:spacing w:val="-13"/>
        </w:rPr>
        <w:t> </w:t>
      </w:r>
      <w:r>
        <w:rPr/>
        <w:t>marginal</w:t>
      </w:r>
      <w:r>
        <w:rPr>
          <w:spacing w:val="-15"/>
        </w:rPr>
        <w:t> </w:t>
      </w:r>
      <w:r>
        <w:rPr/>
        <w:t>open</w:t>
      </w:r>
      <w:r>
        <w:rPr>
          <w:spacing w:val="-13"/>
        </w:rPr>
        <w:t> </w:t>
      </w:r>
      <w:r>
        <w:rPr/>
        <w:t>space</w:t>
      </w:r>
      <w:r>
        <w:rPr>
          <w:spacing w:val="-13"/>
        </w:rPr>
        <w:t> </w:t>
      </w:r>
      <w:r>
        <w:rPr/>
        <w:t>shall be observed</w:t>
      </w:r>
      <w:r>
        <w:rPr>
          <w:spacing w:val="80"/>
        </w:rPr>
        <w:t> </w:t>
      </w:r>
      <w:r>
        <w:rPr/>
        <w:t>as per Regulation 47(1) as</w:t>
      </w:r>
      <w:r>
        <w:rPr>
          <w:spacing w:val="40"/>
        </w:rPr>
        <w:t> </w:t>
      </w:r>
      <w:r>
        <w:rPr/>
        <w:t>enumerated</w:t>
      </w:r>
      <w:r>
        <w:rPr>
          <w:spacing w:val="40"/>
        </w:rPr>
        <w:t> </w:t>
      </w:r>
      <w:r>
        <w:rPr/>
        <w:t>below:</w:t>
      </w:r>
    </w:p>
    <w:p>
      <w:pPr>
        <w:pStyle w:val="Heading5"/>
        <w:numPr>
          <w:ilvl w:val="0"/>
          <w:numId w:val="300"/>
        </w:numPr>
        <w:tabs>
          <w:tab w:pos="1814" w:val="left" w:leader="none"/>
        </w:tabs>
        <w:spacing w:line="240" w:lineRule="auto" w:before="0" w:after="0"/>
        <w:ind w:left="1814" w:right="0" w:hanging="415"/>
        <w:jc w:val="both"/>
        <w:rPr>
          <w:b w:val="0"/>
        </w:rPr>
      </w:pPr>
      <w:r>
        <w:rPr/>
        <w:t>Permitted</w:t>
      </w:r>
      <w:r>
        <w:rPr>
          <w:spacing w:val="59"/>
        </w:rPr>
        <w:t> </w:t>
      </w:r>
      <w:r>
        <w:rPr/>
        <w:t>in</w:t>
      </w:r>
      <w:r>
        <w:rPr>
          <w:spacing w:val="56"/>
        </w:rPr>
        <w:t> </w:t>
      </w:r>
      <w:r>
        <w:rPr/>
        <w:t>the</w:t>
      </w:r>
      <w:r>
        <w:rPr>
          <w:spacing w:val="55"/>
        </w:rPr>
        <w:t> </w:t>
      </w:r>
      <w:r>
        <w:rPr/>
        <w:t>side</w:t>
      </w:r>
      <w:r>
        <w:rPr>
          <w:spacing w:val="60"/>
        </w:rPr>
        <w:t> </w:t>
      </w:r>
      <w:r>
        <w:rPr/>
        <w:t>or</w:t>
      </w:r>
      <w:r>
        <w:rPr>
          <w:spacing w:val="55"/>
        </w:rPr>
        <w:t> </w:t>
      </w:r>
      <w:r>
        <w:rPr/>
        <w:t>rear</w:t>
      </w:r>
      <w:r>
        <w:rPr>
          <w:spacing w:val="56"/>
        </w:rPr>
        <w:t> </w:t>
      </w:r>
      <w:r>
        <w:rPr/>
        <w:t>marginal</w:t>
      </w:r>
      <w:r>
        <w:rPr>
          <w:spacing w:val="55"/>
        </w:rPr>
        <w:t> </w:t>
      </w:r>
      <w:r>
        <w:rPr/>
        <w:t>open</w:t>
      </w:r>
      <w:r>
        <w:rPr>
          <w:spacing w:val="56"/>
        </w:rPr>
        <w:t> </w:t>
      </w:r>
      <w:r>
        <w:rPr/>
        <w:t>spaces</w:t>
      </w:r>
      <w:r>
        <w:rPr>
          <w:spacing w:val="-50"/>
        </w:rPr>
        <w:t> </w:t>
      </w:r>
      <w:r>
        <w:rPr>
          <w:b w:val="0"/>
          <w:spacing w:val="-10"/>
        </w:rPr>
        <w:t>:</w:t>
      </w:r>
    </w:p>
    <w:p>
      <w:pPr>
        <w:pStyle w:val="BodyText"/>
        <w:jc w:val="left"/>
      </w:pPr>
    </w:p>
    <w:p>
      <w:pPr>
        <w:pStyle w:val="ListParagraph"/>
        <w:numPr>
          <w:ilvl w:val="1"/>
          <w:numId w:val="300"/>
        </w:numPr>
        <w:tabs>
          <w:tab w:pos="1762" w:val="left" w:leader="none"/>
        </w:tabs>
        <w:spacing w:line="240" w:lineRule="auto" w:before="0" w:after="0"/>
        <w:ind w:left="1313" w:right="786" w:firstLine="0"/>
        <w:jc w:val="both"/>
        <w:rPr>
          <w:sz w:val="24"/>
        </w:rPr>
      </w:pPr>
      <w:r>
        <w:rPr>
          <w:sz w:val="24"/>
        </w:rPr>
        <w:t>Where the facilities in an existing building are inadequate, a sanitary block</w:t>
      </w:r>
      <w:r>
        <w:rPr>
          <w:spacing w:val="40"/>
          <w:sz w:val="24"/>
        </w:rPr>
        <w:t> </w:t>
      </w:r>
      <w:r>
        <w:rPr>
          <w:sz w:val="24"/>
        </w:rPr>
        <w:t>(i)</w:t>
      </w:r>
      <w:r>
        <w:rPr>
          <w:spacing w:val="40"/>
          <w:sz w:val="24"/>
        </w:rPr>
        <w:t> </w:t>
      </w:r>
      <w:r>
        <w:rPr>
          <w:sz w:val="24"/>
        </w:rPr>
        <w:t>not</w:t>
      </w:r>
      <w:r>
        <w:rPr>
          <w:spacing w:val="40"/>
          <w:sz w:val="24"/>
        </w:rPr>
        <w:t> </w:t>
      </w:r>
      <w:r>
        <w:rPr>
          <w:sz w:val="24"/>
        </w:rPr>
        <w:t>exceeding</w:t>
      </w:r>
      <w:r>
        <w:rPr>
          <w:spacing w:val="40"/>
          <w:sz w:val="24"/>
        </w:rPr>
        <w:t> </w:t>
      </w:r>
      <w:r>
        <w:rPr>
          <w:sz w:val="24"/>
        </w:rPr>
        <w:t>3</w:t>
      </w:r>
      <w:r>
        <w:rPr>
          <w:spacing w:val="40"/>
          <w:sz w:val="24"/>
        </w:rPr>
        <w:t> </w:t>
      </w:r>
      <w:r>
        <w:rPr>
          <w:sz w:val="24"/>
        </w:rPr>
        <w:t>m</w:t>
      </w:r>
      <w:r>
        <w:rPr>
          <w:spacing w:val="40"/>
          <w:sz w:val="24"/>
        </w:rPr>
        <w:t> </w:t>
      </w:r>
      <w:r>
        <w:rPr>
          <w:sz w:val="24"/>
        </w:rPr>
        <w:t>in</w:t>
      </w:r>
      <w:r>
        <w:rPr>
          <w:spacing w:val="40"/>
          <w:sz w:val="24"/>
        </w:rPr>
        <w:t> </w:t>
      </w:r>
      <w:r>
        <w:rPr>
          <w:sz w:val="24"/>
        </w:rPr>
        <w:t>height</w:t>
      </w:r>
      <w:r>
        <w:rPr>
          <w:spacing w:val="40"/>
          <w:sz w:val="24"/>
        </w:rPr>
        <w:t> </w:t>
      </w:r>
      <w:r>
        <w:rPr>
          <w:sz w:val="24"/>
        </w:rPr>
        <w:t>and</w:t>
      </w:r>
      <w:r>
        <w:rPr>
          <w:spacing w:val="40"/>
          <w:sz w:val="24"/>
        </w:rPr>
        <w:t> </w:t>
      </w:r>
      <w:r>
        <w:rPr>
          <w:sz w:val="24"/>
        </w:rPr>
        <w:t>4</w:t>
      </w:r>
      <w:r>
        <w:rPr>
          <w:spacing w:val="40"/>
          <w:sz w:val="24"/>
        </w:rPr>
        <w:t> </w:t>
      </w:r>
      <w:r>
        <w:rPr>
          <w:sz w:val="24"/>
        </w:rPr>
        <w:t>sq.</w:t>
      </w:r>
      <w:r>
        <w:rPr>
          <w:spacing w:val="40"/>
          <w:sz w:val="24"/>
        </w:rPr>
        <w:t> </w:t>
      </w:r>
      <w:r>
        <w:rPr>
          <w:sz w:val="24"/>
        </w:rPr>
        <w:t>m</w:t>
      </w:r>
      <w:r>
        <w:rPr>
          <w:spacing w:val="40"/>
          <w:sz w:val="24"/>
        </w:rPr>
        <w:t> </w:t>
      </w:r>
      <w:r>
        <w:rPr>
          <w:sz w:val="24"/>
        </w:rPr>
        <w:t>in</w:t>
      </w:r>
      <w:r>
        <w:rPr>
          <w:spacing w:val="40"/>
          <w:sz w:val="24"/>
        </w:rPr>
        <w:t> </w:t>
      </w:r>
      <w:r>
        <w:rPr>
          <w:sz w:val="24"/>
        </w:rPr>
        <w:t>carpet</w:t>
      </w:r>
      <w:r>
        <w:rPr>
          <w:spacing w:val="40"/>
          <w:sz w:val="24"/>
        </w:rPr>
        <w:t> </w:t>
      </w:r>
      <w:r>
        <w:rPr>
          <w:sz w:val="24"/>
        </w:rPr>
        <w:t>area.</w:t>
      </w:r>
      <w:r>
        <w:rPr>
          <w:spacing w:val="80"/>
          <w:w w:val="150"/>
          <w:sz w:val="24"/>
        </w:rPr>
        <w:t> </w:t>
      </w:r>
      <w:r>
        <w:rPr>
          <w:sz w:val="24"/>
        </w:rPr>
        <w:t>(ii)</w:t>
      </w:r>
      <w:r>
        <w:rPr>
          <w:spacing w:val="80"/>
          <w:w w:val="150"/>
          <w:sz w:val="24"/>
        </w:rPr>
        <w:t> </w:t>
      </w:r>
      <w:r>
        <w:rPr>
          <w:sz w:val="24"/>
        </w:rPr>
        <w:t>at least</w:t>
      </w:r>
      <w:r>
        <w:rPr>
          <w:spacing w:val="40"/>
          <w:sz w:val="24"/>
        </w:rPr>
        <w:t> </w:t>
      </w:r>
      <w:r>
        <w:rPr>
          <w:sz w:val="24"/>
        </w:rPr>
        <w:t>7.5</w:t>
      </w:r>
      <w:r>
        <w:rPr>
          <w:spacing w:val="40"/>
          <w:sz w:val="24"/>
        </w:rPr>
        <w:t> </w:t>
      </w:r>
      <w:r>
        <w:rPr>
          <w:sz w:val="24"/>
        </w:rPr>
        <w:t>m</w:t>
      </w:r>
      <w:r>
        <w:rPr>
          <w:spacing w:val="40"/>
          <w:sz w:val="24"/>
        </w:rPr>
        <w:t> </w:t>
      </w:r>
      <w:r>
        <w:rPr>
          <w:sz w:val="24"/>
        </w:rPr>
        <w:t>from</w:t>
      </w:r>
      <w:r>
        <w:rPr>
          <w:spacing w:val="40"/>
          <w:sz w:val="24"/>
        </w:rPr>
        <w:t> </w:t>
      </w:r>
      <w:r>
        <w:rPr>
          <w:sz w:val="24"/>
        </w:rPr>
        <w:t>the</w:t>
      </w:r>
      <w:r>
        <w:rPr>
          <w:spacing w:val="40"/>
          <w:sz w:val="24"/>
        </w:rPr>
        <w:t> </w:t>
      </w:r>
      <w:r>
        <w:rPr>
          <w:sz w:val="24"/>
        </w:rPr>
        <w:t>road</w:t>
      </w:r>
      <w:r>
        <w:rPr>
          <w:spacing w:val="40"/>
          <w:sz w:val="24"/>
        </w:rPr>
        <w:t> </w:t>
      </w:r>
      <w:r>
        <w:rPr>
          <w:sz w:val="24"/>
        </w:rPr>
        <w:t>line</w:t>
      </w:r>
      <w:r>
        <w:rPr>
          <w:spacing w:val="40"/>
          <w:sz w:val="24"/>
        </w:rPr>
        <w:t> </w:t>
      </w:r>
      <w:r>
        <w:rPr>
          <w:sz w:val="24"/>
        </w:rPr>
        <w:t>or</w:t>
      </w:r>
      <w:r>
        <w:rPr>
          <w:spacing w:val="40"/>
          <w:sz w:val="24"/>
        </w:rPr>
        <w:t> </w:t>
      </w:r>
      <w:r>
        <w:rPr>
          <w:sz w:val="24"/>
        </w:rPr>
        <w:t>the</w:t>
      </w:r>
      <w:r>
        <w:rPr>
          <w:spacing w:val="40"/>
          <w:sz w:val="24"/>
        </w:rPr>
        <w:t> </w:t>
      </w:r>
      <w:r>
        <w:rPr>
          <w:sz w:val="24"/>
        </w:rPr>
        <w:t>front</w:t>
      </w:r>
      <w:r>
        <w:rPr>
          <w:spacing w:val="40"/>
          <w:sz w:val="24"/>
        </w:rPr>
        <w:t> </w:t>
      </w:r>
      <w:r>
        <w:rPr>
          <w:sz w:val="24"/>
        </w:rPr>
        <w:t>boundary</w:t>
      </w:r>
      <w:r>
        <w:rPr>
          <w:spacing w:val="40"/>
          <w:sz w:val="24"/>
        </w:rPr>
        <w:t> </w:t>
      </w:r>
      <w:r>
        <w:rPr>
          <w:sz w:val="24"/>
        </w:rPr>
        <w:t>and</w:t>
      </w:r>
      <w:r>
        <w:rPr>
          <w:spacing w:val="40"/>
          <w:sz w:val="24"/>
        </w:rPr>
        <w:t> </w:t>
      </w:r>
      <w:r>
        <w:rPr>
          <w:sz w:val="24"/>
        </w:rPr>
        <w:t>1.5</w:t>
      </w:r>
      <w:r>
        <w:rPr>
          <w:spacing w:val="40"/>
          <w:sz w:val="24"/>
        </w:rPr>
        <w:t> </w:t>
      </w:r>
      <w:r>
        <w:rPr>
          <w:sz w:val="24"/>
        </w:rPr>
        <w:t>m</w:t>
      </w:r>
      <w:r>
        <w:rPr>
          <w:spacing w:val="40"/>
          <w:sz w:val="24"/>
        </w:rPr>
        <w:t> </w:t>
      </w:r>
      <w:r>
        <w:rPr>
          <w:sz w:val="24"/>
        </w:rPr>
        <w:t>from other</w:t>
      </w:r>
      <w:r>
        <w:rPr>
          <w:spacing w:val="40"/>
          <w:sz w:val="24"/>
        </w:rPr>
        <w:t> </w:t>
      </w:r>
      <w:r>
        <w:rPr>
          <w:sz w:val="24"/>
        </w:rPr>
        <w:t>boundaries</w:t>
      </w:r>
      <w:r>
        <w:rPr>
          <w:spacing w:val="40"/>
          <w:sz w:val="24"/>
        </w:rPr>
        <w:t> </w:t>
      </w:r>
      <w:r>
        <w:rPr>
          <w:sz w:val="24"/>
        </w:rPr>
        <w:t>and</w:t>
      </w:r>
      <w:r>
        <w:rPr>
          <w:spacing w:val="40"/>
          <w:sz w:val="24"/>
        </w:rPr>
        <w:t> </w:t>
      </w:r>
      <w:r>
        <w:rPr>
          <w:sz w:val="24"/>
        </w:rPr>
        <w:t>(iii)</w:t>
      </w:r>
      <w:r>
        <w:rPr>
          <w:spacing w:val="40"/>
          <w:sz w:val="24"/>
        </w:rPr>
        <w:t> </w:t>
      </w:r>
      <w:r>
        <w:rPr>
          <w:sz w:val="24"/>
        </w:rPr>
        <w:t>at</w:t>
      </w:r>
      <w:r>
        <w:rPr>
          <w:spacing w:val="40"/>
          <w:sz w:val="24"/>
        </w:rPr>
        <w:t> </w:t>
      </w:r>
      <w:r>
        <w:rPr>
          <w:sz w:val="24"/>
        </w:rPr>
        <w:t>least</w:t>
      </w:r>
      <w:r>
        <w:rPr>
          <w:spacing w:val="40"/>
          <w:sz w:val="24"/>
        </w:rPr>
        <w:t> </w:t>
      </w:r>
      <w:r>
        <w:rPr>
          <w:sz w:val="24"/>
        </w:rPr>
        <w:t>1.5</w:t>
      </w:r>
      <w:r>
        <w:rPr>
          <w:spacing w:val="73"/>
          <w:sz w:val="24"/>
        </w:rPr>
        <w:t> </w:t>
      </w:r>
      <w:r>
        <w:rPr>
          <w:sz w:val="24"/>
        </w:rPr>
        <w:t>m</w:t>
      </w:r>
      <w:r>
        <w:rPr>
          <w:spacing w:val="40"/>
          <w:sz w:val="24"/>
        </w:rPr>
        <w:t> </w:t>
      </w:r>
      <w:r>
        <w:rPr>
          <w:sz w:val="24"/>
        </w:rPr>
        <w:t>away</w:t>
      </w:r>
      <w:r>
        <w:rPr>
          <w:spacing w:val="40"/>
          <w:sz w:val="24"/>
        </w:rPr>
        <w:t> </w:t>
      </w:r>
      <w:r>
        <w:rPr>
          <w:sz w:val="24"/>
        </w:rPr>
        <w:t>from</w:t>
      </w:r>
      <w:r>
        <w:rPr>
          <w:spacing w:val="40"/>
          <w:sz w:val="24"/>
        </w:rPr>
        <w:t> </w:t>
      </w:r>
      <w:r>
        <w:rPr>
          <w:sz w:val="24"/>
        </w:rPr>
        <w:t>the</w:t>
      </w:r>
      <w:r>
        <w:rPr>
          <w:spacing w:val="40"/>
          <w:sz w:val="24"/>
        </w:rPr>
        <w:t> </w:t>
      </w:r>
      <w:r>
        <w:rPr>
          <w:sz w:val="24"/>
        </w:rPr>
        <w:t>main</w:t>
      </w:r>
      <w:r>
        <w:rPr>
          <w:spacing w:val="40"/>
          <w:sz w:val="24"/>
        </w:rPr>
        <w:t> </w:t>
      </w:r>
      <w:r>
        <w:rPr>
          <w:sz w:val="24"/>
        </w:rPr>
        <w:t>building.</w:t>
      </w:r>
    </w:p>
    <w:p>
      <w:pPr>
        <w:pStyle w:val="BodyText"/>
        <w:jc w:val="left"/>
      </w:pPr>
    </w:p>
    <w:p>
      <w:pPr>
        <w:pStyle w:val="ListParagraph"/>
        <w:numPr>
          <w:ilvl w:val="1"/>
          <w:numId w:val="300"/>
        </w:numPr>
        <w:tabs>
          <w:tab w:pos="1740" w:val="left" w:leader="none"/>
        </w:tabs>
        <w:spacing w:line="240" w:lineRule="auto" w:before="0" w:after="0"/>
        <w:ind w:left="1313" w:right="800" w:firstLine="0"/>
        <w:jc w:val="both"/>
        <w:rPr>
          <w:sz w:val="24"/>
        </w:rPr>
      </w:pPr>
      <w:r>
        <w:rPr>
          <w:sz w:val="24"/>
        </w:rPr>
        <w:t>Covered parking spaces at least 7.5 m away from any access road, subject</w:t>
      </w:r>
      <w:r>
        <w:rPr>
          <w:spacing w:val="40"/>
          <w:sz w:val="24"/>
        </w:rPr>
        <w:t> </w:t>
      </w:r>
      <w:r>
        <w:rPr>
          <w:sz w:val="24"/>
        </w:rPr>
        <w:t>to</w:t>
      </w:r>
      <w:r>
        <w:rPr>
          <w:spacing w:val="40"/>
          <w:sz w:val="24"/>
        </w:rPr>
        <w:t> </w:t>
      </w:r>
      <w:r>
        <w:rPr>
          <w:sz w:val="24"/>
        </w:rPr>
        <w:t>Regulation</w:t>
      </w:r>
      <w:r>
        <w:rPr>
          <w:spacing w:val="40"/>
          <w:sz w:val="24"/>
        </w:rPr>
        <w:t> </w:t>
      </w:r>
      <w:r>
        <w:rPr>
          <w:sz w:val="24"/>
        </w:rPr>
        <w:t>No.</w:t>
      </w:r>
      <w:r>
        <w:rPr>
          <w:spacing w:val="40"/>
          <w:sz w:val="24"/>
        </w:rPr>
        <w:t> </w:t>
      </w:r>
      <w:r>
        <w:rPr>
          <w:sz w:val="24"/>
        </w:rPr>
        <w:t>44</w:t>
      </w:r>
      <w:r>
        <w:rPr>
          <w:spacing w:val="40"/>
          <w:sz w:val="24"/>
        </w:rPr>
        <w:t> </w:t>
      </w:r>
      <w:r>
        <w:rPr>
          <w:sz w:val="24"/>
        </w:rPr>
        <w:t>(6)(d)</w:t>
      </w:r>
    </w:p>
    <w:p>
      <w:pPr>
        <w:pStyle w:val="BodyText"/>
        <w:jc w:val="left"/>
      </w:pPr>
    </w:p>
    <w:p>
      <w:pPr>
        <w:pStyle w:val="ListParagraph"/>
        <w:numPr>
          <w:ilvl w:val="1"/>
          <w:numId w:val="300"/>
        </w:numPr>
        <w:tabs>
          <w:tab w:pos="1788" w:val="left" w:leader="none"/>
        </w:tabs>
        <w:spacing w:line="240" w:lineRule="auto" w:before="0" w:after="0"/>
        <w:ind w:left="1313" w:right="784" w:firstLine="0"/>
        <w:jc w:val="both"/>
        <w:rPr>
          <w:sz w:val="24"/>
        </w:rPr>
      </w:pPr>
      <w:r>
        <w:rPr>
          <w:sz w:val="24"/>
        </w:rPr>
        <w:t>Suction</w:t>
      </w:r>
      <w:r>
        <w:rPr>
          <w:spacing w:val="40"/>
          <w:sz w:val="24"/>
        </w:rPr>
        <w:t> </w:t>
      </w:r>
      <w:r>
        <w:rPr>
          <w:sz w:val="24"/>
        </w:rPr>
        <w:t>tank,</w:t>
      </w:r>
      <w:r>
        <w:rPr>
          <w:spacing w:val="40"/>
          <w:sz w:val="24"/>
        </w:rPr>
        <w:t> </w:t>
      </w:r>
      <w:r>
        <w:rPr>
          <w:sz w:val="24"/>
        </w:rPr>
        <w:t>pump</w:t>
      </w:r>
      <w:r>
        <w:rPr>
          <w:spacing w:val="40"/>
          <w:sz w:val="24"/>
        </w:rPr>
        <w:t> </w:t>
      </w:r>
      <w:r>
        <w:rPr>
          <w:sz w:val="24"/>
        </w:rPr>
        <w:t>room,</w:t>
      </w:r>
      <w:r>
        <w:rPr>
          <w:spacing w:val="40"/>
          <w:sz w:val="24"/>
        </w:rPr>
        <w:t> </w:t>
      </w:r>
      <w:r>
        <w:rPr>
          <w:sz w:val="24"/>
        </w:rPr>
        <w:t>electric</w:t>
      </w:r>
      <w:r>
        <w:rPr>
          <w:spacing w:val="40"/>
          <w:sz w:val="24"/>
        </w:rPr>
        <w:t> </w:t>
      </w:r>
      <w:r>
        <w:rPr>
          <w:sz w:val="24"/>
        </w:rPr>
        <w:t>meter</w:t>
      </w:r>
      <w:r>
        <w:rPr>
          <w:spacing w:val="40"/>
          <w:sz w:val="24"/>
        </w:rPr>
        <w:t> </w:t>
      </w:r>
      <w:r>
        <w:rPr>
          <w:sz w:val="24"/>
        </w:rPr>
        <w:t>room</w:t>
      </w:r>
      <w:r>
        <w:rPr>
          <w:spacing w:val="40"/>
          <w:sz w:val="24"/>
        </w:rPr>
        <w:t> </w:t>
      </w:r>
      <w:r>
        <w:rPr>
          <w:sz w:val="24"/>
        </w:rPr>
        <w:t>or</w:t>
      </w:r>
      <w:r>
        <w:rPr>
          <w:spacing w:val="40"/>
          <w:sz w:val="24"/>
        </w:rPr>
        <w:t> </w:t>
      </w:r>
      <w:r>
        <w:rPr>
          <w:spacing w:val="13"/>
          <w:sz w:val="24"/>
        </w:rPr>
        <w:t>sub-</w:t>
      </w:r>
      <w:r>
        <w:rPr>
          <w:sz w:val="24"/>
        </w:rPr>
        <w:t>station,</w:t>
      </w:r>
      <w:r>
        <w:rPr>
          <w:spacing w:val="40"/>
          <w:sz w:val="24"/>
        </w:rPr>
        <w:t> </w:t>
      </w:r>
      <w:r>
        <w:rPr>
          <w:sz w:val="24"/>
        </w:rPr>
        <w:t>garbage</w:t>
      </w:r>
      <w:r>
        <w:rPr>
          <w:spacing w:val="40"/>
          <w:sz w:val="24"/>
        </w:rPr>
        <w:t> </w:t>
      </w:r>
      <w:r>
        <w:rPr>
          <w:sz w:val="24"/>
        </w:rPr>
        <w:t>shaft/refuse</w:t>
      </w:r>
      <w:r>
        <w:rPr>
          <w:spacing w:val="40"/>
          <w:sz w:val="24"/>
        </w:rPr>
        <w:t> </w:t>
      </w:r>
      <w:r>
        <w:rPr>
          <w:sz w:val="24"/>
        </w:rPr>
        <w:t>chute,</w:t>
      </w:r>
      <w:r>
        <w:rPr>
          <w:spacing w:val="40"/>
          <w:sz w:val="24"/>
        </w:rPr>
        <w:t> </w:t>
      </w:r>
      <w:r>
        <w:rPr>
          <w:sz w:val="24"/>
        </w:rPr>
        <w:t>facility</w:t>
      </w:r>
      <w:r>
        <w:rPr>
          <w:spacing w:val="40"/>
          <w:sz w:val="24"/>
        </w:rPr>
        <w:t> </w:t>
      </w:r>
      <w:r>
        <w:rPr>
          <w:sz w:val="24"/>
        </w:rPr>
        <w:t>for</w:t>
      </w:r>
      <w:r>
        <w:rPr>
          <w:spacing w:val="40"/>
          <w:sz w:val="24"/>
        </w:rPr>
        <w:t> </w:t>
      </w:r>
      <w:r>
        <w:rPr>
          <w:sz w:val="24"/>
        </w:rPr>
        <w:t>treatment</w:t>
      </w:r>
      <w:r>
        <w:rPr>
          <w:spacing w:val="40"/>
          <w:sz w:val="24"/>
        </w:rPr>
        <w:t> </w:t>
      </w:r>
      <w:r>
        <w:rPr>
          <w:sz w:val="24"/>
        </w:rPr>
        <w:t>of</w:t>
      </w:r>
      <w:r>
        <w:rPr>
          <w:spacing w:val="40"/>
          <w:sz w:val="24"/>
        </w:rPr>
        <w:t> </w:t>
      </w:r>
      <w:r>
        <w:rPr>
          <w:sz w:val="24"/>
        </w:rPr>
        <w:t>wet</w:t>
      </w:r>
      <w:r>
        <w:rPr>
          <w:spacing w:val="40"/>
          <w:sz w:val="24"/>
        </w:rPr>
        <w:t> </w:t>
      </w:r>
      <w:r>
        <w:rPr>
          <w:sz w:val="24"/>
        </w:rPr>
        <w:t>waste</w:t>
      </w:r>
      <w:r>
        <w:rPr>
          <w:spacing w:val="40"/>
          <w:sz w:val="24"/>
        </w:rPr>
        <w:t> </w:t>
      </w:r>
      <w:r>
        <w:rPr>
          <w:sz w:val="24"/>
        </w:rPr>
        <w:t>in</w:t>
      </w:r>
      <w:r>
        <w:rPr>
          <w:spacing w:val="40"/>
          <w:sz w:val="24"/>
        </w:rPr>
        <w:t> </w:t>
      </w:r>
      <w:r>
        <w:rPr>
          <w:sz w:val="24"/>
        </w:rPr>
        <w:t>situ, space required for fire hydrants, electrical and water fittings, water tank, dust-bin, etc.</w:t>
      </w:r>
    </w:p>
    <w:p>
      <w:pPr>
        <w:pStyle w:val="BodyText"/>
        <w:spacing w:before="1"/>
        <w:jc w:val="left"/>
      </w:pPr>
    </w:p>
    <w:p>
      <w:pPr>
        <w:pStyle w:val="Heading5"/>
        <w:numPr>
          <w:ilvl w:val="0"/>
          <w:numId w:val="300"/>
        </w:numPr>
        <w:tabs>
          <w:tab w:pos="1636" w:val="left" w:leader="none"/>
        </w:tabs>
        <w:spacing w:line="240" w:lineRule="auto" w:before="0" w:after="0"/>
        <w:ind w:left="1636" w:right="0" w:hanging="323"/>
        <w:jc w:val="both"/>
      </w:pPr>
      <w:r>
        <w:rPr/>
        <w:t>Other</w:t>
      </w:r>
      <w:r>
        <w:rPr>
          <w:spacing w:val="64"/>
        </w:rPr>
        <w:t> </w:t>
      </w:r>
      <w:r>
        <w:rPr/>
        <w:t>features</w:t>
      </w:r>
      <w:r>
        <w:rPr>
          <w:spacing w:val="64"/>
        </w:rPr>
        <w:t> </w:t>
      </w:r>
      <w:r>
        <w:rPr/>
        <w:t>permitted</w:t>
      </w:r>
      <w:r>
        <w:rPr>
          <w:spacing w:val="60"/>
        </w:rPr>
        <w:t> </w:t>
      </w:r>
      <w:r>
        <w:rPr/>
        <w:t>in</w:t>
      </w:r>
      <w:r>
        <w:rPr>
          <w:spacing w:val="59"/>
        </w:rPr>
        <w:t> </w:t>
      </w:r>
      <w:r>
        <w:rPr/>
        <w:t>open</w:t>
      </w:r>
      <w:r>
        <w:rPr>
          <w:spacing w:val="65"/>
        </w:rPr>
        <w:t> </w:t>
      </w:r>
      <w:r>
        <w:rPr>
          <w:spacing w:val="-2"/>
        </w:rPr>
        <w:t>space:</w:t>
      </w:r>
    </w:p>
    <w:p>
      <w:pPr>
        <w:pStyle w:val="BodyText"/>
        <w:jc w:val="left"/>
        <w:rPr>
          <w:b/>
        </w:rPr>
      </w:pPr>
    </w:p>
    <w:p>
      <w:pPr>
        <w:pStyle w:val="ListParagraph"/>
        <w:numPr>
          <w:ilvl w:val="1"/>
          <w:numId w:val="300"/>
        </w:numPr>
        <w:tabs>
          <w:tab w:pos="1749" w:val="left" w:leader="none"/>
        </w:tabs>
        <w:spacing w:line="240" w:lineRule="auto" w:before="0" w:after="0"/>
        <w:ind w:left="1313" w:right="775" w:firstLine="0"/>
        <w:jc w:val="both"/>
        <w:rPr>
          <w:sz w:val="24"/>
        </w:rPr>
      </w:pPr>
      <w:r>
        <w:rPr>
          <w:sz w:val="24"/>
        </w:rPr>
        <w:t>A rockery, well and well structures, plant nursery, water pool, or</w:t>
      </w:r>
      <w:r>
        <w:rPr>
          <w:spacing w:val="80"/>
          <w:sz w:val="24"/>
        </w:rPr>
        <w:t> </w:t>
      </w:r>
      <w:r>
        <w:rPr>
          <w:sz w:val="24"/>
        </w:rPr>
        <w:t>fountain swimming pool (if uncovered and only beyond the required </w:t>
      </w:r>
      <w:r>
        <w:rPr>
          <w:spacing w:val="9"/>
          <w:sz w:val="24"/>
        </w:rPr>
        <w:t>open </w:t>
      </w:r>
      <w:r>
        <w:rPr>
          <w:sz w:val="24"/>
        </w:rPr>
        <w:t>space</w:t>
      </w:r>
      <w:r>
        <w:rPr>
          <w:spacing w:val="80"/>
          <w:w w:val="150"/>
          <w:sz w:val="24"/>
        </w:rPr>
        <w:t> </w:t>
      </w:r>
      <w:r>
        <w:rPr>
          <w:sz w:val="24"/>
        </w:rPr>
        <w:t>as</w:t>
      </w:r>
      <w:r>
        <w:rPr>
          <w:spacing w:val="80"/>
          <w:w w:val="150"/>
          <w:sz w:val="24"/>
        </w:rPr>
        <w:t> </w:t>
      </w:r>
      <w:r>
        <w:rPr>
          <w:sz w:val="24"/>
        </w:rPr>
        <w:t>required</w:t>
      </w:r>
      <w:r>
        <w:rPr>
          <w:spacing w:val="80"/>
          <w:w w:val="150"/>
          <w:sz w:val="24"/>
        </w:rPr>
        <w:t> </w:t>
      </w:r>
      <w:r>
        <w:rPr>
          <w:sz w:val="24"/>
        </w:rPr>
        <w:t>under</w:t>
      </w:r>
      <w:r>
        <w:rPr>
          <w:spacing w:val="80"/>
          <w:w w:val="150"/>
          <w:sz w:val="24"/>
        </w:rPr>
        <w:t> </w:t>
      </w:r>
      <w:r>
        <w:rPr>
          <w:sz w:val="24"/>
        </w:rPr>
        <w:t>these</w:t>
      </w:r>
      <w:r>
        <w:rPr>
          <w:spacing w:val="80"/>
          <w:w w:val="150"/>
          <w:sz w:val="24"/>
        </w:rPr>
        <w:t> </w:t>
      </w:r>
      <w:r>
        <w:rPr>
          <w:sz w:val="24"/>
        </w:rPr>
        <w:t>Regulations),</w:t>
      </w:r>
      <w:r>
        <w:rPr>
          <w:spacing w:val="80"/>
          <w:w w:val="150"/>
          <w:sz w:val="24"/>
        </w:rPr>
        <w:t> </w:t>
      </w:r>
      <w:r>
        <w:rPr>
          <w:sz w:val="24"/>
        </w:rPr>
        <w:t>platform</w:t>
      </w:r>
      <w:r>
        <w:rPr>
          <w:spacing w:val="80"/>
          <w:w w:val="150"/>
          <w:sz w:val="24"/>
        </w:rPr>
        <w:t> </w:t>
      </w:r>
      <w:r>
        <w:rPr>
          <w:sz w:val="24"/>
        </w:rPr>
        <w:t>around</w:t>
      </w:r>
      <w:r>
        <w:rPr>
          <w:spacing w:val="80"/>
          <w:w w:val="150"/>
          <w:sz w:val="24"/>
        </w:rPr>
        <w:t> </w:t>
      </w:r>
      <w:r>
        <w:rPr>
          <w:sz w:val="24"/>
        </w:rPr>
        <w:t>a</w:t>
      </w:r>
      <w:r>
        <w:rPr>
          <w:spacing w:val="80"/>
          <w:w w:val="150"/>
          <w:sz w:val="24"/>
        </w:rPr>
        <w:t> </w:t>
      </w:r>
      <w:r>
        <w:rPr>
          <w:sz w:val="24"/>
        </w:rPr>
        <w:t>tree,</w:t>
      </w:r>
    </w:p>
    <w:p>
      <w:pPr>
        <w:pStyle w:val="ListParagraph"/>
        <w:spacing w:after="0" w:line="240" w:lineRule="auto"/>
        <w:jc w:val="both"/>
        <w:rPr>
          <w:sz w:val="24"/>
        </w:rPr>
        <w:sectPr>
          <w:pgSz w:w="11910" w:h="16840"/>
          <w:pgMar w:header="1058" w:footer="1201" w:top="1500" w:bottom="1400" w:left="360" w:right="360"/>
        </w:sectPr>
      </w:pPr>
    </w:p>
    <w:p>
      <w:pPr>
        <w:pStyle w:val="BodyText"/>
        <w:spacing w:before="255"/>
        <w:ind w:left="1313" w:right="787"/>
      </w:pPr>
      <w:r>
        <w:rPr/>
        <w:t>tank, bench, gate, slide, swing, ramp, </w:t>
      </w:r>
      <w:r>
        <w:rPr>
          <w:spacing w:val="9"/>
        </w:rPr>
        <w:t>compound </w:t>
      </w:r>
      <w:r>
        <w:rPr/>
        <w:t>wall without affecting maneuverability</w:t>
      </w:r>
      <w:r>
        <w:rPr>
          <w:spacing w:val="40"/>
        </w:rPr>
        <w:t> </w:t>
      </w:r>
      <w:r>
        <w:rPr/>
        <w:t>of</w:t>
      </w:r>
      <w:r>
        <w:rPr>
          <w:spacing w:val="40"/>
        </w:rPr>
        <w:t> </w:t>
      </w:r>
      <w:r>
        <w:rPr/>
        <w:t>vehicles;</w:t>
      </w:r>
    </w:p>
    <w:p>
      <w:pPr>
        <w:pStyle w:val="BodyText"/>
        <w:spacing w:before="2"/>
        <w:jc w:val="left"/>
      </w:pPr>
    </w:p>
    <w:p>
      <w:pPr>
        <w:pStyle w:val="ListParagraph"/>
        <w:numPr>
          <w:ilvl w:val="1"/>
          <w:numId w:val="300"/>
        </w:numPr>
        <w:tabs>
          <w:tab w:pos="1805" w:val="left" w:leader="none"/>
        </w:tabs>
        <w:spacing w:line="240" w:lineRule="auto" w:before="0" w:after="0"/>
        <w:ind w:left="1313" w:right="783" w:firstLine="0"/>
        <w:jc w:val="both"/>
        <w:rPr>
          <w:sz w:val="24"/>
        </w:rPr>
      </w:pPr>
      <w:r>
        <w:rPr>
          <w:sz w:val="24"/>
        </w:rPr>
        <w:t>A</w:t>
      </w:r>
      <w:r>
        <w:rPr>
          <w:spacing w:val="40"/>
          <w:sz w:val="24"/>
        </w:rPr>
        <w:t> </w:t>
      </w:r>
      <w:r>
        <w:rPr>
          <w:sz w:val="24"/>
        </w:rPr>
        <w:t>cantilevered</w:t>
      </w:r>
      <w:r>
        <w:rPr>
          <w:spacing w:val="40"/>
          <w:sz w:val="24"/>
        </w:rPr>
        <w:t> </w:t>
      </w:r>
      <w:r>
        <w:rPr>
          <w:sz w:val="24"/>
        </w:rPr>
        <w:t>and</w:t>
      </w:r>
      <w:r>
        <w:rPr>
          <w:spacing w:val="40"/>
          <w:sz w:val="24"/>
        </w:rPr>
        <w:t> </w:t>
      </w:r>
      <w:r>
        <w:rPr>
          <w:sz w:val="24"/>
        </w:rPr>
        <w:t>unenclosed</w:t>
      </w:r>
      <w:r>
        <w:rPr>
          <w:spacing w:val="40"/>
          <w:sz w:val="24"/>
        </w:rPr>
        <w:t> </w:t>
      </w:r>
      <w:r>
        <w:rPr>
          <w:sz w:val="24"/>
        </w:rPr>
        <w:t>canopy</w:t>
      </w:r>
      <w:r>
        <w:rPr>
          <w:spacing w:val="40"/>
          <w:sz w:val="24"/>
        </w:rPr>
        <w:t> </w:t>
      </w:r>
      <w:r>
        <w:rPr>
          <w:sz w:val="24"/>
        </w:rPr>
        <w:t>over</w:t>
      </w:r>
      <w:r>
        <w:rPr>
          <w:spacing w:val="40"/>
          <w:sz w:val="24"/>
        </w:rPr>
        <w:t> </w:t>
      </w:r>
      <w:r>
        <w:rPr>
          <w:sz w:val="24"/>
        </w:rPr>
        <w:t>each</w:t>
      </w:r>
      <w:r>
        <w:rPr>
          <w:spacing w:val="40"/>
          <w:sz w:val="24"/>
        </w:rPr>
        <w:t> </w:t>
      </w:r>
      <w:r>
        <w:rPr>
          <w:sz w:val="24"/>
        </w:rPr>
        <w:t>entrance</w:t>
      </w:r>
      <w:r>
        <w:rPr>
          <w:spacing w:val="40"/>
          <w:sz w:val="24"/>
        </w:rPr>
        <w:t> </w:t>
      </w:r>
      <w:r>
        <w:rPr>
          <w:sz w:val="24"/>
        </w:rPr>
        <w:t>and staircase not more than 5.5 m long may be permitted as specified in Regulation No 37(19)</w:t>
      </w:r>
    </w:p>
    <w:p>
      <w:pPr>
        <w:pStyle w:val="ListParagraph"/>
        <w:numPr>
          <w:ilvl w:val="1"/>
          <w:numId w:val="300"/>
        </w:numPr>
        <w:tabs>
          <w:tab w:pos="1721" w:val="left" w:leader="none"/>
        </w:tabs>
        <w:spacing w:line="240" w:lineRule="auto" w:before="239" w:after="0"/>
        <w:ind w:left="1313" w:right="785" w:firstLine="0"/>
        <w:jc w:val="both"/>
        <w:rPr>
          <w:sz w:val="24"/>
        </w:rPr>
      </w:pPr>
      <w:r>
        <w:rPr>
          <w:sz w:val="24"/>
        </w:rPr>
        <w:t>An</w:t>
      </w:r>
      <w:r>
        <w:rPr>
          <w:spacing w:val="40"/>
          <w:sz w:val="24"/>
        </w:rPr>
        <w:t> </w:t>
      </w:r>
      <w:r>
        <w:rPr>
          <w:sz w:val="24"/>
        </w:rPr>
        <w:t>unenclosed</w:t>
      </w:r>
      <w:r>
        <w:rPr>
          <w:spacing w:val="40"/>
          <w:sz w:val="24"/>
        </w:rPr>
        <w:t> </w:t>
      </w:r>
      <w:r>
        <w:rPr>
          <w:sz w:val="24"/>
        </w:rPr>
        <w:t>porch</w:t>
      </w:r>
      <w:r>
        <w:rPr>
          <w:spacing w:val="40"/>
          <w:sz w:val="24"/>
        </w:rPr>
        <w:t> </w:t>
      </w:r>
      <w:r>
        <w:rPr>
          <w:sz w:val="24"/>
        </w:rPr>
        <w:t>open</w:t>
      </w:r>
      <w:r>
        <w:rPr>
          <w:spacing w:val="40"/>
          <w:sz w:val="24"/>
        </w:rPr>
        <w:t> </w:t>
      </w:r>
      <w:r>
        <w:rPr>
          <w:sz w:val="24"/>
        </w:rPr>
        <w:t>on</w:t>
      </w:r>
      <w:r>
        <w:rPr>
          <w:spacing w:val="40"/>
          <w:sz w:val="24"/>
        </w:rPr>
        <w:t> </w:t>
      </w:r>
      <w:r>
        <w:rPr>
          <w:sz w:val="24"/>
        </w:rPr>
        <w:t>three</w:t>
      </w:r>
      <w:r>
        <w:rPr>
          <w:spacing w:val="40"/>
          <w:sz w:val="24"/>
        </w:rPr>
        <w:t> </w:t>
      </w:r>
      <w:r>
        <w:rPr>
          <w:sz w:val="24"/>
        </w:rPr>
        <w:t>sides,</w:t>
      </w:r>
      <w:r>
        <w:rPr>
          <w:spacing w:val="40"/>
          <w:sz w:val="24"/>
        </w:rPr>
        <w:t> </w:t>
      </w:r>
      <w:r>
        <w:rPr>
          <w:sz w:val="24"/>
        </w:rPr>
        <w:t>not</w:t>
      </w:r>
      <w:r>
        <w:rPr>
          <w:spacing w:val="40"/>
          <w:sz w:val="24"/>
        </w:rPr>
        <w:t> </w:t>
      </w:r>
      <w:r>
        <w:rPr>
          <w:sz w:val="24"/>
        </w:rPr>
        <w:t>more</w:t>
      </w:r>
      <w:r>
        <w:rPr>
          <w:spacing w:val="40"/>
          <w:sz w:val="24"/>
        </w:rPr>
        <w:t> </w:t>
      </w:r>
      <w:r>
        <w:rPr>
          <w:sz w:val="24"/>
        </w:rPr>
        <w:t>than</w:t>
      </w:r>
      <w:r>
        <w:rPr>
          <w:spacing w:val="40"/>
          <w:sz w:val="24"/>
        </w:rPr>
        <w:t> </w:t>
      </w:r>
      <w:r>
        <w:rPr>
          <w:sz w:val="24"/>
        </w:rPr>
        <w:t>5.5</w:t>
      </w:r>
      <w:r>
        <w:rPr>
          <w:spacing w:val="40"/>
          <w:sz w:val="24"/>
        </w:rPr>
        <w:t> </w:t>
      </w:r>
      <w:r>
        <w:rPr>
          <w:sz w:val="24"/>
        </w:rPr>
        <w:t>m</w:t>
      </w:r>
      <w:r>
        <w:rPr>
          <w:spacing w:val="40"/>
          <w:sz w:val="24"/>
        </w:rPr>
        <w:t> </w:t>
      </w:r>
      <w:r>
        <w:rPr>
          <w:sz w:val="24"/>
        </w:rPr>
        <w:t>in length</w:t>
      </w:r>
      <w:r>
        <w:rPr>
          <w:spacing w:val="40"/>
          <w:sz w:val="24"/>
        </w:rPr>
        <w:t> </w:t>
      </w:r>
      <w:r>
        <w:rPr>
          <w:sz w:val="24"/>
        </w:rPr>
        <w:t>parallel</w:t>
      </w:r>
      <w:r>
        <w:rPr>
          <w:spacing w:val="40"/>
          <w:sz w:val="24"/>
        </w:rPr>
        <w:t> </w:t>
      </w:r>
      <w:r>
        <w:rPr>
          <w:sz w:val="24"/>
        </w:rPr>
        <w:t>to</w:t>
      </w:r>
      <w:r>
        <w:rPr>
          <w:spacing w:val="40"/>
          <w:sz w:val="24"/>
        </w:rPr>
        <w:t> </w:t>
      </w:r>
      <w:r>
        <w:rPr>
          <w:sz w:val="24"/>
        </w:rPr>
        <w:t>the</w:t>
      </w:r>
      <w:r>
        <w:rPr>
          <w:spacing w:val="40"/>
          <w:sz w:val="24"/>
        </w:rPr>
        <w:t> </w:t>
      </w:r>
      <w:r>
        <w:rPr>
          <w:sz w:val="24"/>
        </w:rPr>
        <w:t>main</w:t>
      </w:r>
      <w:r>
        <w:rPr>
          <w:spacing w:val="40"/>
          <w:sz w:val="24"/>
        </w:rPr>
        <w:t> </w:t>
      </w:r>
      <w:r>
        <w:rPr>
          <w:sz w:val="24"/>
        </w:rPr>
        <w:t>building</w:t>
      </w:r>
      <w:r>
        <w:rPr>
          <w:spacing w:val="40"/>
          <w:sz w:val="24"/>
        </w:rPr>
        <w:t> </w:t>
      </w:r>
      <w:r>
        <w:rPr>
          <w:sz w:val="24"/>
        </w:rPr>
        <w:t>in</w:t>
      </w:r>
      <w:r>
        <w:rPr>
          <w:spacing w:val="40"/>
          <w:sz w:val="24"/>
        </w:rPr>
        <w:t> </w:t>
      </w:r>
      <w:r>
        <w:rPr>
          <w:sz w:val="24"/>
        </w:rPr>
        <w:t>front</w:t>
      </w:r>
      <w:r>
        <w:rPr>
          <w:spacing w:val="40"/>
          <w:sz w:val="24"/>
        </w:rPr>
        <w:t> </w:t>
      </w:r>
      <w:r>
        <w:rPr>
          <w:sz w:val="24"/>
        </w:rPr>
        <w:t>of</w:t>
      </w:r>
      <w:r>
        <w:rPr>
          <w:spacing w:val="40"/>
          <w:sz w:val="24"/>
        </w:rPr>
        <w:t> </w:t>
      </w:r>
      <w:r>
        <w:rPr>
          <w:sz w:val="24"/>
        </w:rPr>
        <w:t>common</w:t>
      </w:r>
      <w:r>
        <w:rPr>
          <w:spacing w:val="40"/>
          <w:sz w:val="24"/>
        </w:rPr>
        <w:t> </w:t>
      </w:r>
      <w:r>
        <w:rPr>
          <w:sz w:val="24"/>
        </w:rPr>
        <w:t>entrance</w:t>
      </w:r>
      <w:r>
        <w:rPr>
          <w:spacing w:val="40"/>
          <w:sz w:val="24"/>
        </w:rPr>
        <w:t> </w:t>
      </w:r>
      <w:r>
        <w:rPr>
          <w:sz w:val="24"/>
        </w:rPr>
        <w:t>only</w:t>
      </w:r>
      <w:r>
        <w:rPr>
          <w:spacing w:val="40"/>
          <w:sz w:val="24"/>
        </w:rPr>
        <w:t> </w:t>
      </w:r>
      <w:r>
        <w:rPr>
          <w:sz w:val="24"/>
        </w:rPr>
        <w:t>and</w:t>
      </w:r>
      <w:r>
        <w:rPr>
          <w:spacing w:val="40"/>
          <w:sz w:val="24"/>
        </w:rPr>
        <w:t> </w:t>
      </w:r>
      <w:r>
        <w:rPr>
          <w:sz w:val="24"/>
        </w:rPr>
        <w:t>except</w:t>
      </w:r>
      <w:r>
        <w:rPr>
          <w:spacing w:val="40"/>
          <w:sz w:val="24"/>
        </w:rPr>
        <w:t> </w:t>
      </w:r>
      <w:r>
        <w:rPr>
          <w:sz w:val="24"/>
        </w:rPr>
        <w:t>rear</w:t>
      </w:r>
      <w:r>
        <w:rPr>
          <w:spacing w:val="40"/>
          <w:sz w:val="24"/>
        </w:rPr>
        <w:t> </w:t>
      </w:r>
      <w:r>
        <w:rPr>
          <w:sz w:val="24"/>
        </w:rPr>
        <w:t>open</w:t>
      </w:r>
      <w:r>
        <w:rPr>
          <w:spacing w:val="40"/>
          <w:sz w:val="24"/>
        </w:rPr>
        <w:t> </w:t>
      </w:r>
      <w:r>
        <w:rPr>
          <w:sz w:val="24"/>
        </w:rPr>
        <w:t>space</w:t>
      </w:r>
      <w:r>
        <w:rPr>
          <w:spacing w:val="40"/>
          <w:sz w:val="24"/>
        </w:rPr>
        <w:t> </w:t>
      </w:r>
      <w:r>
        <w:rPr>
          <w:sz w:val="24"/>
        </w:rPr>
        <w:t>with</w:t>
      </w:r>
      <w:r>
        <w:rPr>
          <w:spacing w:val="40"/>
          <w:sz w:val="24"/>
        </w:rPr>
        <w:t> </w:t>
      </w:r>
      <w:r>
        <w:rPr>
          <w:sz w:val="24"/>
        </w:rPr>
        <w:t>level</w:t>
      </w:r>
      <w:r>
        <w:rPr>
          <w:spacing w:val="40"/>
          <w:sz w:val="24"/>
        </w:rPr>
        <w:t> </w:t>
      </w:r>
      <w:r>
        <w:rPr>
          <w:sz w:val="24"/>
        </w:rPr>
        <w:t>difference</w:t>
      </w:r>
      <w:r>
        <w:rPr>
          <w:spacing w:val="40"/>
          <w:sz w:val="24"/>
        </w:rPr>
        <w:t> </w:t>
      </w:r>
      <w:r>
        <w:rPr>
          <w:sz w:val="24"/>
        </w:rPr>
        <w:t>of</w:t>
      </w:r>
      <w:r>
        <w:rPr>
          <w:spacing w:val="40"/>
          <w:sz w:val="24"/>
        </w:rPr>
        <w:t> </w:t>
      </w:r>
      <w:r>
        <w:rPr>
          <w:sz w:val="24"/>
        </w:rPr>
        <w:t>0.3</w:t>
      </w:r>
      <w:r>
        <w:rPr>
          <w:spacing w:val="40"/>
          <w:sz w:val="24"/>
        </w:rPr>
        <w:t> </w:t>
      </w:r>
      <w:r>
        <w:rPr>
          <w:sz w:val="24"/>
        </w:rPr>
        <w:t>m</w:t>
      </w:r>
      <w:r>
        <w:rPr>
          <w:spacing w:val="40"/>
          <w:sz w:val="24"/>
        </w:rPr>
        <w:t> </w:t>
      </w:r>
      <w:r>
        <w:rPr>
          <w:sz w:val="24"/>
        </w:rPr>
        <w:t>in</w:t>
      </w:r>
      <w:r>
        <w:rPr>
          <w:spacing w:val="40"/>
          <w:sz w:val="24"/>
        </w:rPr>
        <w:t> </w:t>
      </w:r>
      <w:r>
        <w:rPr>
          <w:sz w:val="24"/>
        </w:rPr>
        <w:t>relation</w:t>
      </w:r>
      <w:r>
        <w:rPr>
          <w:spacing w:val="40"/>
          <w:sz w:val="24"/>
        </w:rPr>
        <w:t> </w:t>
      </w:r>
      <w:r>
        <w:rPr>
          <w:sz w:val="24"/>
        </w:rPr>
        <w:t>to the</w:t>
      </w:r>
      <w:r>
        <w:rPr>
          <w:spacing w:val="40"/>
          <w:sz w:val="24"/>
        </w:rPr>
        <w:t> </w:t>
      </w:r>
      <w:r>
        <w:rPr>
          <w:sz w:val="24"/>
        </w:rPr>
        <w:t>floor</w:t>
      </w:r>
      <w:r>
        <w:rPr>
          <w:spacing w:val="40"/>
          <w:sz w:val="24"/>
        </w:rPr>
        <w:t> </w:t>
      </w:r>
      <w:r>
        <w:rPr>
          <w:sz w:val="24"/>
        </w:rPr>
        <w:t>levelas</w:t>
      </w:r>
      <w:r>
        <w:rPr>
          <w:spacing w:val="40"/>
          <w:sz w:val="24"/>
        </w:rPr>
        <w:t> </w:t>
      </w:r>
      <w:r>
        <w:rPr>
          <w:sz w:val="24"/>
        </w:rPr>
        <w:t>specified</w:t>
      </w:r>
      <w:r>
        <w:rPr>
          <w:spacing w:val="40"/>
          <w:sz w:val="24"/>
        </w:rPr>
        <w:t> </w:t>
      </w:r>
      <w:r>
        <w:rPr>
          <w:sz w:val="24"/>
        </w:rPr>
        <w:t>in</w:t>
      </w:r>
      <w:r>
        <w:rPr>
          <w:spacing w:val="40"/>
          <w:sz w:val="24"/>
        </w:rPr>
        <w:t> </w:t>
      </w:r>
      <w:r>
        <w:rPr>
          <w:sz w:val="24"/>
        </w:rPr>
        <w:t>Regulation</w:t>
      </w:r>
      <w:r>
        <w:rPr>
          <w:spacing w:val="40"/>
          <w:sz w:val="24"/>
        </w:rPr>
        <w:t> </w:t>
      </w:r>
      <w:r>
        <w:rPr>
          <w:sz w:val="24"/>
        </w:rPr>
        <w:t>No.</w:t>
      </w:r>
      <w:r>
        <w:rPr>
          <w:spacing w:val="80"/>
          <w:sz w:val="24"/>
        </w:rPr>
        <w:t> </w:t>
      </w:r>
      <w:r>
        <w:rPr>
          <w:sz w:val="24"/>
        </w:rPr>
        <w:t>37</w:t>
      </w:r>
      <w:r>
        <w:rPr>
          <w:spacing w:val="40"/>
          <w:sz w:val="24"/>
        </w:rPr>
        <w:t> </w:t>
      </w:r>
      <w:r>
        <w:rPr>
          <w:sz w:val="24"/>
        </w:rPr>
        <w:t>(18).</w:t>
      </w:r>
      <w:r>
        <w:rPr>
          <w:spacing w:val="40"/>
          <w:sz w:val="24"/>
        </w:rPr>
        <w:t> </w:t>
      </w:r>
      <w:r>
        <w:rPr>
          <w:sz w:val="24"/>
        </w:rPr>
        <w:t>No</w:t>
      </w:r>
      <w:r>
        <w:rPr>
          <w:spacing w:val="40"/>
          <w:sz w:val="24"/>
        </w:rPr>
        <w:t> </w:t>
      </w:r>
      <w:r>
        <w:rPr>
          <w:sz w:val="24"/>
        </w:rPr>
        <w:t>part</w:t>
      </w:r>
      <w:r>
        <w:rPr>
          <w:spacing w:val="40"/>
          <w:sz w:val="24"/>
        </w:rPr>
        <w:t> </w:t>
      </w:r>
      <w:r>
        <w:rPr>
          <w:sz w:val="24"/>
        </w:rPr>
        <w:t>of</w:t>
      </w:r>
      <w:r>
        <w:rPr>
          <w:spacing w:val="40"/>
          <w:sz w:val="24"/>
        </w:rPr>
        <w:t> </w:t>
      </w:r>
      <w:r>
        <w:rPr>
          <w:sz w:val="24"/>
        </w:rPr>
        <w:t>such porch</w:t>
      </w:r>
      <w:r>
        <w:rPr>
          <w:spacing w:val="40"/>
          <w:sz w:val="24"/>
        </w:rPr>
        <w:t> </w:t>
      </w:r>
      <w:r>
        <w:rPr>
          <w:sz w:val="24"/>
        </w:rPr>
        <w:t>shall</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1.5</w:t>
      </w:r>
      <w:r>
        <w:rPr>
          <w:spacing w:val="40"/>
          <w:sz w:val="24"/>
        </w:rPr>
        <w:t> </w:t>
      </w:r>
      <w:r>
        <w:rPr>
          <w:sz w:val="24"/>
        </w:rPr>
        <w:t>m</w:t>
      </w:r>
      <w:r>
        <w:rPr>
          <w:spacing w:val="40"/>
          <w:sz w:val="24"/>
        </w:rPr>
        <w:t> </w:t>
      </w:r>
      <w:r>
        <w:rPr>
          <w:sz w:val="24"/>
        </w:rPr>
        <w:t>from</w:t>
      </w:r>
      <w:r>
        <w:rPr>
          <w:spacing w:val="40"/>
          <w:sz w:val="24"/>
        </w:rPr>
        <w:t> </w:t>
      </w:r>
      <w:r>
        <w:rPr>
          <w:sz w:val="24"/>
        </w:rPr>
        <w:t>the</w:t>
      </w:r>
      <w:r>
        <w:rPr>
          <w:spacing w:val="40"/>
          <w:sz w:val="24"/>
        </w:rPr>
        <w:t> </w:t>
      </w:r>
      <w:r>
        <w:rPr>
          <w:sz w:val="24"/>
        </w:rPr>
        <w:t>plot</w:t>
      </w:r>
      <w:r>
        <w:rPr>
          <w:spacing w:val="40"/>
          <w:sz w:val="24"/>
        </w:rPr>
        <w:t> </w:t>
      </w:r>
      <w:r>
        <w:rPr>
          <w:spacing w:val="9"/>
          <w:sz w:val="24"/>
        </w:rPr>
        <w:t>boundary.</w:t>
      </w:r>
    </w:p>
    <w:p>
      <w:pPr>
        <w:pStyle w:val="ListParagraph"/>
        <w:numPr>
          <w:ilvl w:val="1"/>
          <w:numId w:val="300"/>
        </w:numPr>
        <w:tabs>
          <w:tab w:pos="1719" w:val="left" w:leader="none"/>
        </w:tabs>
        <w:spacing w:line="240" w:lineRule="auto" w:before="241" w:after="0"/>
        <w:ind w:left="1719" w:right="0" w:hanging="406"/>
        <w:jc w:val="both"/>
        <w:rPr>
          <w:sz w:val="24"/>
        </w:rPr>
      </w:pPr>
      <w:r>
        <w:rPr>
          <w:sz w:val="24"/>
        </w:rPr>
        <w:t>A</w:t>
      </w:r>
      <w:r>
        <w:rPr>
          <w:spacing w:val="54"/>
          <w:sz w:val="24"/>
        </w:rPr>
        <w:t> </w:t>
      </w:r>
      <w:r>
        <w:rPr>
          <w:sz w:val="24"/>
        </w:rPr>
        <w:t>balcony</w:t>
      </w:r>
      <w:r>
        <w:rPr>
          <w:spacing w:val="59"/>
          <w:sz w:val="24"/>
        </w:rPr>
        <w:t> </w:t>
      </w:r>
      <w:r>
        <w:rPr>
          <w:sz w:val="24"/>
        </w:rPr>
        <w:t>may</w:t>
      </w:r>
      <w:r>
        <w:rPr>
          <w:spacing w:val="59"/>
          <w:sz w:val="24"/>
        </w:rPr>
        <w:t> </w:t>
      </w:r>
      <w:r>
        <w:rPr>
          <w:sz w:val="24"/>
        </w:rPr>
        <w:t>be</w:t>
      </w:r>
      <w:r>
        <w:rPr>
          <w:spacing w:val="57"/>
          <w:sz w:val="24"/>
        </w:rPr>
        <w:t> </w:t>
      </w:r>
      <w:r>
        <w:rPr>
          <w:sz w:val="24"/>
        </w:rPr>
        <w:t>permitted</w:t>
      </w:r>
      <w:r>
        <w:rPr>
          <w:spacing w:val="56"/>
          <w:sz w:val="24"/>
        </w:rPr>
        <w:t> </w:t>
      </w:r>
      <w:r>
        <w:rPr>
          <w:sz w:val="24"/>
        </w:rPr>
        <w:t>as</w:t>
      </w:r>
      <w:r>
        <w:rPr>
          <w:spacing w:val="56"/>
          <w:sz w:val="24"/>
        </w:rPr>
        <w:t> </w:t>
      </w:r>
      <w:r>
        <w:rPr>
          <w:sz w:val="24"/>
        </w:rPr>
        <w:t>specified</w:t>
      </w:r>
      <w:r>
        <w:rPr>
          <w:spacing w:val="57"/>
          <w:sz w:val="24"/>
        </w:rPr>
        <w:t> </w:t>
      </w:r>
      <w:r>
        <w:rPr>
          <w:sz w:val="24"/>
        </w:rPr>
        <w:t>in</w:t>
      </w:r>
      <w:r>
        <w:rPr>
          <w:spacing w:val="56"/>
          <w:sz w:val="24"/>
        </w:rPr>
        <w:t> </w:t>
      </w:r>
      <w:r>
        <w:rPr>
          <w:sz w:val="24"/>
        </w:rPr>
        <w:t>Regulation</w:t>
      </w:r>
      <w:r>
        <w:rPr>
          <w:spacing w:val="57"/>
          <w:sz w:val="24"/>
        </w:rPr>
        <w:t> </w:t>
      </w:r>
      <w:r>
        <w:rPr>
          <w:spacing w:val="7"/>
          <w:sz w:val="24"/>
        </w:rPr>
        <w:t>No.37(20).</w:t>
      </w:r>
    </w:p>
    <w:p>
      <w:pPr>
        <w:pStyle w:val="ListParagraph"/>
        <w:numPr>
          <w:ilvl w:val="1"/>
          <w:numId w:val="300"/>
        </w:numPr>
        <w:tabs>
          <w:tab w:pos="1694" w:val="left" w:leader="none"/>
        </w:tabs>
        <w:spacing w:line="240" w:lineRule="auto" w:before="280" w:after="0"/>
        <w:ind w:left="1313" w:right="780" w:firstLine="0"/>
        <w:jc w:val="both"/>
        <w:rPr>
          <w:sz w:val="24"/>
        </w:rPr>
      </w:pPr>
      <w:r>
        <w:rPr>
          <w:sz w:val="24"/>
        </w:rPr>
        <w:t>(i)</w:t>
      </w:r>
      <w:r>
        <w:rPr>
          <w:spacing w:val="40"/>
          <w:sz w:val="24"/>
        </w:rPr>
        <w:t> </w:t>
      </w:r>
      <w:r>
        <w:rPr>
          <w:sz w:val="24"/>
        </w:rPr>
        <w:t>A</w:t>
      </w:r>
      <w:r>
        <w:rPr>
          <w:spacing w:val="40"/>
          <w:sz w:val="24"/>
        </w:rPr>
        <w:t> </w:t>
      </w:r>
      <w:r>
        <w:rPr>
          <w:sz w:val="24"/>
        </w:rPr>
        <w:t>chajja,</w:t>
      </w:r>
      <w:r>
        <w:rPr>
          <w:spacing w:val="40"/>
          <w:sz w:val="24"/>
        </w:rPr>
        <w:t> </w:t>
      </w:r>
      <w:r>
        <w:rPr>
          <w:sz w:val="24"/>
        </w:rPr>
        <w:t>cornice,</w:t>
      </w:r>
      <w:r>
        <w:rPr>
          <w:spacing w:val="40"/>
          <w:sz w:val="24"/>
        </w:rPr>
        <w:t> </w:t>
      </w:r>
      <w:r>
        <w:rPr>
          <w:sz w:val="24"/>
        </w:rPr>
        <w:t>weather</w:t>
      </w:r>
      <w:r>
        <w:rPr>
          <w:spacing w:val="40"/>
          <w:sz w:val="24"/>
        </w:rPr>
        <w:t> </w:t>
      </w:r>
      <w:r>
        <w:rPr>
          <w:sz w:val="24"/>
        </w:rPr>
        <w:t>shade,</w:t>
      </w:r>
      <w:r>
        <w:rPr>
          <w:spacing w:val="40"/>
          <w:sz w:val="24"/>
        </w:rPr>
        <w:t> </w:t>
      </w:r>
      <w:r>
        <w:rPr>
          <w:spacing w:val="9"/>
          <w:sz w:val="24"/>
        </w:rPr>
        <w:t>sun-</w:t>
      </w:r>
      <w:r>
        <w:rPr>
          <w:sz w:val="24"/>
        </w:rPr>
        <w:t>breaker;</w:t>
      </w:r>
      <w:r>
        <w:rPr>
          <w:spacing w:val="40"/>
          <w:sz w:val="24"/>
        </w:rPr>
        <w:t> </w:t>
      </w:r>
      <w:r>
        <w:rPr>
          <w:sz w:val="24"/>
        </w:rPr>
        <w:t>at</w:t>
      </w:r>
      <w:r>
        <w:rPr>
          <w:spacing w:val="40"/>
          <w:sz w:val="24"/>
        </w:rPr>
        <w:t> </w:t>
      </w:r>
      <w:r>
        <w:rPr>
          <w:sz w:val="24"/>
        </w:rPr>
        <w:t>lintel</w:t>
      </w:r>
      <w:r>
        <w:rPr>
          <w:spacing w:val="40"/>
          <w:sz w:val="24"/>
        </w:rPr>
        <w:t> </w:t>
      </w:r>
      <w:r>
        <w:rPr>
          <w:sz w:val="24"/>
        </w:rPr>
        <w:t>level,</w:t>
      </w:r>
      <w:r>
        <w:rPr>
          <w:spacing w:val="40"/>
          <w:sz w:val="24"/>
        </w:rPr>
        <w:t> </w:t>
      </w:r>
      <w:r>
        <w:rPr>
          <w:sz w:val="24"/>
        </w:rPr>
        <w:t>only and</w:t>
      </w:r>
      <w:r>
        <w:rPr>
          <w:spacing w:val="40"/>
          <w:sz w:val="24"/>
        </w:rPr>
        <w:t> </w:t>
      </w:r>
      <w:r>
        <w:rPr>
          <w:sz w:val="24"/>
        </w:rPr>
        <w:t>Vertical</w:t>
      </w:r>
      <w:r>
        <w:rPr>
          <w:spacing w:val="40"/>
          <w:sz w:val="24"/>
        </w:rPr>
        <w:t> </w:t>
      </w:r>
      <w:r>
        <w:rPr>
          <w:sz w:val="24"/>
        </w:rPr>
        <w:t>fins</w:t>
      </w:r>
      <w:r>
        <w:rPr>
          <w:spacing w:val="40"/>
          <w:sz w:val="24"/>
        </w:rPr>
        <w:t> </w:t>
      </w:r>
      <w:r>
        <w:rPr>
          <w:sz w:val="24"/>
        </w:rPr>
        <w:t>(excluding</w:t>
      </w:r>
      <w:r>
        <w:rPr>
          <w:spacing w:val="40"/>
          <w:sz w:val="24"/>
        </w:rPr>
        <w:t> </w:t>
      </w:r>
      <w:r>
        <w:rPr>
          <w:sz w:val="24"/>
        </w:rPr>
        <w:t>columns)</w:t>
      </w:r>
      <w:r>
        <w:rPr>
          <w:spacing w:val="40"/>
          <w:sz w:val="24"/>
        </w:rPr>
        <w:t> </w:t>
      </w:r>
      <w:r>
        <w:rPr>
          <w:sz w:val="24"/>
        </w:rPr>
        <w:t>projecting</w:t>
      </w:r>
      <w:r>
        <w:rPr>
          <w:spacing w:val="40"/>
          <w:sz w:val="24"/>
        </w:rPr>
        <w:t> </w:t>
      </w:r>
      <w:r>
        <w:rPr>
          <w:sz w:val="24"/>
        </w:rPr>
        <w:t>not</w:t>
      </w:r>
      <w:r>
        <w:rPr>
          <w:spacing w:val="40"/>
          <w:sz w:val="24"/>
        </w:rPr>
        <w:t> </w:t>
      </w:r>
      <w:r>
        <w:rPr>
          <w:sz w:val="24"/>
        </w:rPr>
        <w:t>more</w:t>
      </w:r>
      <w:r>
        <w:rPr>
          <w:spacing w:val="40"/>
          <w:sz w:val="24"/>
        </w:rPr>
        <w:t> </w:t>
      </w:r>
      <w:r>
        <w:rPr>
          <w:sz w:val="24"/>
        </w:rPr>
        <w:t>than</w:t>
      </w:r>
      <w:r>
        <w:rPr>
          <w:spacing w:val="40"/>
          <w:sz w:val="24"/>
        </w:rPr>
        <w:t> </w:t>
      </w:r>
      <w:r>
        <w:rPr>
          <w:sz w:val="24"/>
        </w:rPr>
        <w:t>1.2</w:t>
      </w:r>
      <w:r>
        <w:rPr>
          <w:spacing w:val="40"/>
          <w:sz w:val="24"/>
        </w:rPr>
        <w:t> </w:t>
      </w:r>
      <w:r>
        <w:rPr>
          <w:sz w:val="24"/>
        </w:rPr>
        <w:t>m</w:t>
      </w:r>
      <w:r>
        <w:rPr>
          <w:spacing w:val="40"/>
          <w:sz w:val="24"/>
        </w:rPr>
        <w:t> </w:t>
      </w:r>
      <w:r>
        <w:rPr>
          <w:sz w:val="24"/>
        </w:rPr>
        <w:t>from the face of the building. No chajja, cornice, weather shade, </w:t>
      </w:r>
      <w:r>
        <w:rPr>
          <w:spacing w:val="11"/>
          <w:sz w:val="24"/>
        </w:rPr>
        <w:t>sun- </w:t>
      </w:r>
      <w:r>
        <w:rPr>
          <w:sz w:val="24"/>
        </w:rPr>
        <w:t>breaker</w:t>
      </w:r>
      <w:r>
        <w:rPr>
          <w:spacing w:val="40"/>
          <w:sz w:val="24"/>
        </w:rPr>
        <w:t> </w:t>
      </w:r>
      <w:r>
        <w:rPr>
          <w:sz w:val="24"/>
        </w:rPr>
        <w:t>etc.</w:t>
      </w:r>
      <w:r>
        <w:rPr>
          <w:spacing w:val="40"/>
          <w:sz w:val="24"/>
        </w:rPr>
        <w:t> </w:t>
      </w:r>
      <w:r>
        <w:rPr>
          <w:sz w:val="24"/>
        </w:rPr>
        <w:t>shall</w:t>
      </w:r>
      <w:r>
        <w:rPr>
          <w:spacing w:val="40"/>
          <w:sz w:val="24"/>
        </w:rPr>
        <w:t> </w:t>
      </w:r>
      <w:r>
        <w:rPr>
          <w:sz w:val="24"/>
        </w:rPr>
        <w:t>reduce</w:t>
      </w:r>
      <w:r>
        <w:rPr>
          <w:spacing w:val="40"/>
          <w:sz w:val="24"/>
        </w:rPr>
        <w:t> </w:t>
      </w:r>
      <w:r>
        <w:rPr>
          <w:sz w:val="24"/>
        </w:rPr>
        <w:t>the</w:t>
      </w:r>
      <w:r>
        <w:rPr>
          <w:spacing w:val="40"/>
          <w:sz w:val="24"/>
        </w:rPr>
        <w:t> </w:t>
      </w:r>
      <w:r>
        <w:rPr>
          <w:sz w:val="24"/>
        </w:rPr>
        <w:t>width</w:t>
      </w:r>
      <w:r>
        <w:rPr>
          <w:spacing w:val="40"/>
          <w:sz w:val="24"/>
        </w:rPr>
        <w:t> </w:t>
      </w:r>
      <w:r>
        <w:rPr>
          <w:sz w:val="24"/>
        </w:rPr>
        <w:t>of</w:t>
      </w:r>
      <w:r>
        <w:rPr>
          <w:spacing w:val="40"/>
          <w:sz w:val="24"/>
        </w:rPr>
        <w:t> </w:t>
      </w:r>
      <w:r>
        <w:rPr>
          <w:sz w:val="24"/>
        </w:rPr>
        <w:t>the</w:t>
      </w:r>
      <w:r>
        <w:rPr>
          <w:spacing w:val="40"/>
          <w:sz w:val="24"/>
        </w:rPr>
        <w:t> </w:t>
      </w:r>
      <w:r>
        <w:rPr>
          <w:sz w:val="24"/>
        </w:rPr>
        <w:t>required</w:t>
      </w:r>
      <w:r>
        <w:rPr>
          <w:spacing w:val="40"/>
          <w:sz w:val="24"/>
        </w:rPr>
        <w:t> </w:t>
      </w:r>
      <w:r>
        <w:rPr>
          <w:sz w:val="24"/>
        </w:rPr>
        <w:t>open</w:t>
      </w:r>
      <w:r>
        <w:rPr>
          <w:spacing w:val="40"/>
          <w:sz w:val="24"/>
        </w:rPr>
        <w:t> </w:t>
      </w:r>
      <w:r>
        <w:rPr>
          <w:sz w:val="24"/>
        </w:rPr>
        <w:t>space</w:t>
      </w:r>
      <w:r>
        <w:rPr>
          <w:spacing w:val="40"/>
          <w:sz w:val="24"/>
        </w:rPr>
        <w:t> </w:t>
      </w:r>
      <w:r>
        <w:rPr>
          <w:sz w:val="24"/>
        </w:rPr>
        <w:t>to</w:t>
      </w:r>
      <w:r>
        <w:rPr>
          <w:spacing w:val="40"/>
          <w:sz w:val="24"/>
        </w:rPr>
        <w:t> </w:t>
      </w:r>
      <w:r>
        <w:rPr>
          <w:sz w:val="24"/>
        </w:rPr>
        <w:t>less than</w:t>
      </w:r>
      <w:r>
        <w:rPr>
          <w:spacing w:val="40"/>
          <w:sz w:val="24"/>
        </w:rPr>
        <w:t> </w:t>
      </w:r>
      <w:r>
        <w:rPr>
          <w:sz w:val="24"/>
        </w:rPr>
        <w:t>2.5</w:t>
      </w:r>
      <w:r>
        <w:rPr>
          <w:spacing w:val="40"/>
          <w:sz w:val="24"/>
        </w:rPr>
        <w:t> </w:t>
      </w:r>
      <w:r>
        <w:rPr>
          <w:sz w:val="24"/>
        </w:rPr>
        <w:t>m</w:t>
      </w:r>
      <w:r>
        <w:rPr>
          <w:spacing w:val="40"/>
          <w:sz w:val="24"/>
        </w:rPr>
        <w:t> </w:t>
      </w:r>
      <w:r>
        <w:rPr>
          <w:sz w:val="24"/>
        </w:rPr>
        <w:t>.</w:t>
      </w:r>
      <w:r>
        <w:rPr>
          <w:spacing w:val="40"/>
          <w:sz w:val="24"/>
        </w:rPr>
        <w:t> </w:t>
      </w:r>
      <w:r>
        <w:rPr>
          <w:sz w:val="24"/>
        </w:rPr>
        <w:t>Further</w:t>
      </w:r>
      <w:r>
        <w:rPr>
          <w:spacing w:val="40"/>
          <w:sz w:val="24"/>
        </w:rPr>
        <w:t> </w:t>
      </w:r>
      <w:r>
        <w:rPr>
          <w:sz w:val="24"/>
        </w:rPr>
        <w:t>chajja,</w:t>
      </w:r>
      <w:r>
        <w:rPr>
          <w:spacing w:val="40"/>
          <w:sz w:val="24"/>
        </w:rPr>
        <w:t> </w:t>
      </w:r>
      <w:r>
        <w:rPr>
          <w:sz w:val="24"/>
        </w:rPr>
        <w:t>cornice,</w:t>
      </w:r>
      <w:r>
        <w:rPr>
          <w:spacing w:val="40"/>
          <w:sz w:val="24"/>
        </w:rPr>
        <w:t> </w:t>
      </w:r>
      <w:r>
        <w:rPr>
          <w:sz w:val="24"/>
        </w:rPr>
        <w:t>weather</w:t>
      </w:r>
      <w:r>
        <w:rPr>
          <w:spacing w:val="40"/>
          <w:sz w:val="24"/>
        </w:rPr>
        <w:t> </w:t>
      </w:r>
      <w:r>
        <w:rPr>
          <w:sz w:val="24"/>
        </w:rPr>
        <w:t>shade,</w:t>
      </w:r>
      <w:r>
        <w:rPr>
          <w:spacing w:val="40"/>
          <w:sz w:val="24"/>
        </w:rPr>
        <w:t> </w:t>
      </w:r>
      <w:r>
        <w:rPr>
          <w:sz w:val="24"/>
        </w:rPr>
        <w:t>sun</w:t>
      </w:r>
      <w:r>
        <w:rPr>
          <w:spacing w:val="40"/>
          <w:sz w:val="24"/>
        </w:rPr>
        <w:t> </w:t>
      </w:r>
      <w:r>
        <w:rPr>
          <w:sz w:val="24"/>
        </w:rPr>
        <w:t>breaker</w:t>
      </w:r>
      <w:r>
        <w:rPr>
          <w:spacing w:val="40"/>
          <w:sz w:val="24"/>
        </w:rPr>
        <w:t> </w:t>
      </w:r>
      <w:r>
        <w:rPr>
          <w:sz w:val="24"/>
        </w:rPr>
        <w:t>or</w:t>
      </w:r>
      <w:r>
        <w:rPr>
          <w:spacing w:val="80"/>
          <w:sz w:val="24"/>
        </w:rPr>
        <w:t> </w:t>
      </w:r>
      <w:r>
        <w:rPr>
          <w:sz w:val="24"/>
        </w:rPr>
        <w:t>other ornamental projections etc. shall be permissible upto0.60m in</w:t>
      </w:r>
      <w:r>
        <w:rPr>
          <w:spacing w:val="80"/>
          <w:sz w:val="24"/>
        </w:rPr>
        <w:t> </w:t>
      </w:r>
      <w:r>
        <w:rPr>
          <w:sz w:val="24"/>
        </w:rPr>
        <w:t>Gaothan</w:t>
      </w:r>
      <w:r>
        <w:rPr>
          <w:spacing w:val="32"/>
          <w:sz w:val="24"/>
        </w:rPr>
        <w:t> </w:t>
      </w:r>
      <w:r>
        <w:rPr>
          <w:sz w:val="24"/>
        </w:rPr>
        <w:t>area</w:t>
      </w:r>
      <w:r>
        <w:rPr>
          <w:spacing w:val="32"/>
          <w:sz w:val="24"/>
        </w:rPr>
        <w:t> </w:t>
      </w:r>
      <w:r>
        <w:rPr>
          <w:sz w:val="24"/>
        </w:rPr>
        <w:t>for</w:t>
      </w:r>
      <w:r>
        <w:rPr>
          <w:spacing w:val="32"/>
          <w:sz w:val="24"/>
        </w:rPr>
        <w:t> </w:t>
      </w:r>
      <w:r>
        <w:rPr>
          <w:sz w:val="24"/>
        </w:rPr>
        <w:t>the</w:t>
      </w:r>
      <w:r>
        <w:rPr>
          <w:spacing w:val="28"/>
          <w:sz w:val="24"/>
        </w:rPr>
        <w:t> </w:t>
      </w:r>
      <w:r>
        <w:rPr>
          <w:sz w:val="24"/>
        </w:rPr>
        <w:t>plots</w:t>
      </w:r>
      <w:r>
        <w:rPr>
          <w:spacing w:val="9"/>
          <w:sz w:val="24"/>
        </w:rPr>
        <w:t> admeasuring </w:t>
      </w:r>
      <w:r>
        <w:rPr>
          <w:sz w:val="24"/>
        </w:rPr>
        <w:t>upto</w:t>
      </w:r>
      <w:r>
        <w:rPr>
          <w:spacing w:val="32"/>
          <w:sz w:val="24"/>
        </w:rPr>
        <w:t> </w:t>
      </w:r>
      <w:r>
        <w:rPr>
          <w:sz w:val="24"/>
        </w:rPr>
        <w:t>250</w:t>
      </w:r>
      <w:r>
        <w:rPr>
          <w:spacing w:val="32"/>
          <w:sz w:val="24"/>
        </w:rPr>
        <w:t> </w:t>
      </w:r>
      <w:r>
        <w:rPr>
          <w:sz w:val="24"/>
        </w:rPr>
        <w:t>sq.m.</w:t>
      </w:r>
      <w:r>
        <w:rPr>
          <w:spacing w:val="32"/>
          <w:sz w:val="24"/>
        </w:rPr>
        <w:t> </w:t>
      </w:r>
      <w:r>
        <w:rPr>
          <w:sz w:val="24"/>
        </w:rPr>
        <w:t>However,</w:t>
      </w:r>
      <w:r>
        <w:rPr>
          <w:spacing w:val="35"/>
          <w:sz w:val="24"/>
        </w:rPr>
        <w:t> </w:t>
      </w:r>
      <w:r>
        <w:rPr>
          <w:sz w:val="24"/>
        </w:rPr>
        <w:t>in</w:t>
      </w:r>
      <w:r>
        <w:rPr>
          <w:spacing w:val="32"/>
          <w:sz w:val="24"/>
        </w:rPr>
        <w:t> </w:t>
      </w:r>
      <w:r>
        <w:rPr>
          <w:sz w:val="24"/>
        </w:rPr>
        <w:t>case of redevelopment scheme under Regulation No. 33(7) where marginal distances</w:t>
      </w:r>
      <w:r>
        <w:rPr>
          <w:spacing w:val="40"/>
          <w:sz w:val="24"/>
        </w:rPr>
        <w:t> </w:t>
      </w:r>
      <w:r>
        <w:rPr>
          <w:sz w:val="24"/>
        </w:rPr>
        <w:t>are</w:t>
      </w:r>
      <w:r>
        <w:rPr>
          <w:spacing w:val="40"/>
          <w:sz w:val="24"/>
        </w:rPr>
        <w:t> </w:t>
      </w:r>
      <w:r>
        <w:rPr>
          <w:sz w:val="24"/>
        </w:rPr>
        <w:t>less,</w:t>
      </w:r>
      <w:r>
        <w:rPr>
          <w:spacing w:val="40"/>
          <w:sz w:val="24"/>
        </w:rPr>
        <w:t> </w:t>
      </w:r>
      <w:r>
        <w:rPr>
          <w:sz w:val="24"/>
        </w:rPr>
        <w:t>chajja</w:t>
      </w:r>
      <w:r>
        <w:rPr>
          <w:spacing w:val="40"/>
          <w:sz w:val="24"/>
        </w:rPr>
        <w:t> </w:t>
      </w:r>
      <w:r>
        <w:rPr>
          <w:sz w:val="24"/>
        </w:rPr>
        <w:t>projection</w:t>
      </w:r>
      <w:r>
        <w:rPr>
          <w:spacing w:val="40"/>
          <w:sz w:val="24"/>
        </w:rPr>
        <w:t> </w:t>
      </w:r>
      <w:r>
        <w:rPr>
          <w:sz w:val="24"/>
        </w:rPr>
        <w:t>maximum</w:t>
      </w:r>
      <w:r>
        <w:rPr>
          <w:spacing w:val="40"/>
          <w:sz w:val="24"/>
        </w:rPr>
        <w:t> </w:t>
      </w:r>
      <w:r>
        <w:rPr>
          <w:sz w:val="24"/>
        </w:rPr>
        <w:t>up</w:t>
      </w:r>
      <w:r>
        <w:rPr>
          <w:spacing w:val="40"/>
          <w:sz w:val="24"/>
        </w:rPr>
        <w:t> </w:t>
      </w:r>
      <w:r>
        <w:rPr>
          <w:sz w:val="24"/>
        </w:rPr>
        <w:t>to</w:t>
      </w:r>
      <w:r>
        <w:rPr>
          <w:spacing w:val="40"/>
          <w:sz w:val="24"/>
        </w:rPr>
        <w:t> </w:t>
      </w:r>
      <w:r>
        <w:rPr>
          <w:sz w:val="24"/>
        </w:rPr>
        <w:t>0.45</w:t>
      </w:r>
      <w:r>
        <w:rPr>
          <w:spacing w:val="40"/>
          <w:sz w:val="24"/>
        </w:rPr>
        <w:t> </w:t>
      </w:r>
      <w:r>
        <w:rPr>
          <w:sz w:val="24"/>
        </w:rPr>
        <w:t>m</w:t>
      </w:r>
      <w:r>
        <w:rPr>
          <w:spacing w:val="40"/>
          <w:sz w:val="24"/>
        </w:rPr>
        <w:t> </w:t>
      </w:r>
      <w:r>
        <w:rPr>
          <w:sz w:val="24"/>
        </w:rPr>
        <w:t>may</w:t>
      </w:r>
      <w:r>
        <w:rPr>
          <w:spacing w:val="40"/>
          <w:sz w:val="24"/>
        </w:rPr>
        <w:t> </w:t>
      </w:r>
      <w:r>
        <w:rPr>
          <w:sz w:val="24"/>
        </w:rPr>
        <w:t>be </w:t>
      </w:r>
      <w:r>
        <w:rPr>
          <w:spacing w:val="-2"/>
          <w:sz w:val="24"/>
        </w:rPr>
        <w:t>allowed.</w:t>
      </w:r>
    </w:p>
    <w:p>
      <w:pPr>
        <w:pStyle w:val="BodyText"/>
        <w:spacing w:before="2"/>
        <w:jc w:val="left"/>
      </w:pPr>
    </w:p>
    <w:p>
      <w:pPr>
        <w:pStyle w:val="ListParagraph"/>
        <w:numPr>
          <w:ilvl w:val="0"/>
          <w:numId w:val="301"/>
        </w:numPr>
        <w:tabs>
          <w:tab w:pos="1711" w:val="left" w:leader="none"/>
        </w:tabs>
        <w:spacing w:line="281" w:lineRule="exact" w:before="0" w:after="0"/>
        <w:ind w:left="1711" w:right="0" w:hanging="398"/>
        <w:jc w:val="both"/>
        <w:rPr>
          <w:sz w:val="24"/>
        </w:rPr>
      </w:pPr>
      <w:r>
        <w:rPr>
          <w:sz w:val="24"/>
        </w:rPr>
        <w:t>The</w:t>
      </w:r>
      <w:r>
        <w:rPr>
          <w:spacing w:val="47"/>
          <w:sz w:val="24"/>
        </w:rPr>
        <w:t> </w:t>
      </w:r>
      <w:r>
        <w:rPr>
          <w:sz w:val="24"/>
        </w:rPr>
        <w:t>ornamental</w:t>
      </w:r>
      <w:r>
        <w:rPr>
          <w:spacing w:val="52"/>
          <w:sz w:val="24"/>
        </w:rPr>
        <w:t> </w:t>
      </w:r>
      <w:r>
        <w:rPr>
          <w:sz w:val="24"/>
        </w:rPr>
        <w:t>projection,</w:t>
      </w:r>
      <w:r>
        <w:rPr>
          <w:spacing w:val="47"/>
          <w:sz w:val="24"/>
        </w:rPr>
        <w:t> </w:t>
      </w:r>
      <w:r>
        <w:rPr>
          <w:sz w:val="24"/>
        </w:rPr>
        <w:t>flower</w:t>
      </w:r>
      <w:r>
        <w:rPr>
          <w:spacing w:val="48"/>
          <w:sz w:val="24"/>
        </w:rPr>
        <w:t> </w:t>
      </w:r>
      <w:r>
        <w:rPr>
          <w:spacing w:val="9"/>
          <w:sz w:val="24"/>
        </w:rPr>
        <w:t>beds,</w:t>
      </w:r>
      <w:r>
        <w:rPr>
          <w:spacing w:val="47"/>
          <w:sz w:val="24"/>
        </w:rPr>
        <w:t> </w:t>
      </w:r>
      <w:r>
        <w:rPr>
          <w:sz w:val="24"/>
        </w:rPr>
        <w:t>etc.</w:t>
      </w:r>
      <w:r>
        <w:rPr>
          <w:spacing w:val="52"/>
          <w:sz w:val="24"/>
        </w:rPr>
        <w:t> </w:t>
      </w:r>
      <w:r>
        <w:rPr>
          <w:sz w:val="24"/>
        </w:rPr>
        <w:t>projecting</w:t>
      </w:r>
      <w:r>
        <w:rPr>
          <w:spacing w:val="52"/>
          <w:sz w:val="24"/>
        </w:rPr>
        <w:t> </w:t>
      </w:r>
      <w:r>
        <w:rPr>
          <w:sz w:val="24"/>
        </w:rPr>
        <w:t>not</w:t>
      </w:r>
      <w:r>
        <w:rPr>
          <w:spacing w:val="48"/>
          <w:sz w:val="24"/>
        </w:rPr>
        <w:t> </w:t>
      </w:r>
      <w:r>
        <w:rPr>
          <w:sz w:val="24"/>
        </w:rPr>
        <w:t>more</w:t>
      </w:r>
      <w:r>
        <w:rPr>
          <w:spacing w:val="52"/>
          <w:sz w:val="24"/>
        </w:rPr>
        <w:t> </w:t>
      </w:r>
      <w:r>
        <w:rPr>
          <w:spacing w:val="-4"/>
          <w:sz w:val="24"/>
        </w:rPr>
        <w:t>than</w:t>
      </w:r>
    </w:p>
    <w:p>
      <w:pPr>
        <w:pStyle w:val="BodyText"/>
        <w:ind w:left="1313" w:right="798"/>
      </w:pPr>
      <w:r>
        <w:rPr/>
        <w:t>1.2</w:t>
      </w:r>
      <w:r>
        <w:rPr>
          <w:spacing w:val="40"/>
        </w:rPr>
        <w:t> </w:t>
      </w:r>
      <w:r>
        <w:rPr/>
        <w:t>m</w:t>
      </w:r>
      <w:r>
        <w:rPr>
          <w:spacing w:val="40"/>
        </w:rPr>
        <w:t> </w:t>
      </w:r>
      <w:r>
        <w:rPr/>
        <w:t>from</w:t>
      </w:r>
      <w:r>
        <w:rPr>
          <w:spacing w:val="40"/>
        </w:rPr>
        <w:t> </w:t>
      </w:r>
      <w:r>
        <w:rPr/>
        <w:t>the</w:t>
      </w:r>
      <w:r>
        <w:rPr>
          <w:spacing w:val="40"/>
        </w:rPr>
        <w:t> </w:t>
      </w:r>
      <w:r>
        <w:rPr/>
        <w:t>face</w:t>
      </w:r>
      <w:r>
        <w:rPr>
          <w:spacing w:val="40"/>
        </w:rPr>
        <w:t> </w:t>
      </w:r>
      <w:r>
        <w:rPr/>
        <w:t>of</w:t>
      </w:r>
      <w:r>
        <w:rPr>
          <w:spacing w:val="40"/>
        </w:rPr>
        <w:t> </w:t>
      </w:r>
      <w:r>
        <w:rPr/>
        <w:t>the</w:t>
      </w:r>
      <w:r>
        <w:rPr>
          <w:spacing w:val="40"/>
        </w:rPr>
        <w:t> </w:t>
      </w:r>
      <w:r>
        <w:rPr/>
        <w:t>building.</w:t>
      </w:r>
      <w:r>
        <w:rPr>
          <w:spacing w:val="40"/>
        </w:rPr>
        <w:t> </w:t>
      </w:r>
      <w:r>
        <w:rPr/>
        <w:t>No</w:t>
      </w:r>
      <w:r>
        <w:rPr>
          <w:spacing w:val="40"/>
        </w:rPr>
        <w:t> </w:t>
      </w:r>
      <w:r>
        <w:rPr/>
        <w:t>ornamental</w:t>
      </w:r>
      <w:r>
        <w:rPr>
          <w:spacing w:val="40"/>
        </w:rPr>
        <w:t> </w:t>
      </w:r>
      <w:r>
        <w:rPr/>
        <w:t>projection,</w:t>
      </w:r>
      <w:r>
        <w:rPr>
          <w:spacing w:val="40"/>
        </w:rPr>
        <w:t> </w:t>
      </w:r>
      <w:r>
        <w:rPr/>
        <w:t>flower beds,</w:t>
      </w:r>
      <w:r>
        <w:rPr>
          <w:spacing w:val="40"/>
        </w:rPr>
        <w:t> </w:t>
      </w:r>
      <w:r>
        <w:rPr/>
        <w:t>etc.</w:t>
      </w:r>
      <w:r>
        <w:rPr>
          <w:spacing w:val="40"/>
        </w:rPr>
        <w:t> </w:t>
      </w:r>
      <w:r>
        <w:rPr/>
        <w:t>shall</w:t>
      </w:r>
      <w:r>
        <w:rPr>
          <w:spacing w:val="40"/>
        </w:rPr>
        <w:t> </w:t>
      </w:r>
      <w:r>
        <w:rPr/>
        <w:t>be</w:t>
      </w:r>
      <w:r>
        <w:rPr>
          <w:spacing w:val="40"/>
        </w:rPr>
        <w:t> </w:t>
      </w:r>
      <w:r>
        <w:rPr/>
        <w:t>permissible,</w:t>
      </w:r>
      <w:r>
        <w:rPr>
          <w:spacing w:val="40"/>
        </w:rPr>
        <w:t> </w:t>
      </w:r>
      <w:r>
        <w:rPr/>
        <w:t>which</w:t>
      </w:r>
      <w:r>
        <w:rPr>
          <w:spacing w:val="40"/>
        </w:rPr>
        <w:t> </w:t>
      </w:r>
      <w:r>
        <w:rPr/>
        <w:t>will</w:t>
      </w:r>
      <w:r>
        <w:rPr>
          <w:spacing w:val="40"/>
        </w:rPr>
        <w:t> </w:t>
      </w:r>
      <w:r>
        <w:rPr/>
        <w:t>reduce</w:t>
      </w:r>
      <w:r>
        <w:rPr>
          <w:spacing w:val="40"/>
        </w:rPr>
        <w:t> </w:t>
      </w:r>
      <w:r>
        <w:rPr/>
        <w:t>the</w:t>
      </w:r>
      <w:r>
        <w:rPr>
          <w:spacing w:val="40"/>
        </w:rPr>
        <w:t> </w:t>
      </w:r>
      <w:r>
        <w:rPr/>
        <w:t>width</w:t>
      </w:r>
      <w:r>
        <w:rPr>
          <w:spacing w:val="40"/>
        </w:rPr>
        <w:t> </w:t>
      </w:r>
      <w:r>
        <w:rPr/>
        <w:t>of</w:t>
      </w:r>
      <w:r>
        <w:rPr>
          <w:spacing w:val="40"/>
        </w:rPr>
        <w:t> </w:t>
      </w:r>
      <w:r>
        <w:rPr/>
        <w:t>the required</w:t>
      </w:r>
      <w:r>
        <w:rPr>
          <w:spacing w:val="40"/>
        </w:rPr>
        <w:t> </w:t>
      </w:r>
      <w:r>
        <w:rPr/>
        <w:t>open</w:t>
      </w:r>
      <w:r>
        <w:rPr>
          <w:spacing w:val="40"/>
        </w:rPr>
        <w:t> </w:t>
      </w:r>
      <w:r>
        <w:rPr/>
        <w:t>space</w:t>
      </w:r>
      <w:r>
        <w:rPr>
          <w:spacing w:val="40"/>
        </w:rPr>
        <w:t> </w:t>
      </w:r>
      <w:r>
        <w:rPr/>
        <w:t>to</w:t>
      </w:r>
      <w:r>
        <w:rPr>
          <w:spacing w:val="40"/>
        </w:rPr>
        <w:t> </w:t>
      </w:r>
      <w:r>
        <w:rPr/>
        <w:t>less</w:t>
      </w:r>
      <w:r>
        <w:rPr>
          <w:spacing w:val="40"/>
        </w:rPr>
        <w:t> </w:t>
      </w:r>
      <w:r>
        <w:rPr/>
        <w:t>than</w:t>
      </w:r>
      <w:r>
        <w:rPr>
          <w:spacing w:val="40"/>
        </w:rPr>
        <w:t> </w:t>
      </w:r>
      <w:r>
        <w:rPr/>
        <w:t>2.5</w:t>
      </w:r>
      <w:r>
        <w:rPr>
          <w:spacing w:val="40"/>
        </w:rPr>
        <w:t> </w:t>
      </w:r>
      <w:r>
        <w:rPr/>
        <w:t>m</w:t>
      </w:r>
    </w:p>
    <w:p>
      <w:pPr>
        <w:pStyle w:val="ListParagraph"/>
        <w:numPr>
          <w:ilvl w:val="0"/>
          <w:numId w:val="301"/>
        </w:numPr>
        <w:tabs>
          <w:tab w:pos="1837" w:val="left" w:leader="none"/>
        </w:tabs>
        <w:spacing w:line="240" w:lineRule="auto" w:before="0" w:after="0"/>
        <w:ind w:left="1313" w:right="783" w:firstLine="0"/>
        <w:jc w:val="both"/>
        <w:rPr>
          <w:sz w:val="24"/>
        </w:rPr>
      </w:pPr>
      <w:r>
        <w:rPr>
          <w:sz w:val="24"/>
        </w:rPr>
        <w:t>Platform</w:t>
      </w:r>
      <w:r>
        <w:rPr>
          <w:spacing w:val="40"/>
          <w:sz w:val="24"/>
        </w:rPr>
        <w:t> </w:t>
      </w:r>
      <w:r>
        <w:rPr>
          <w:sz w:val="24"/>
        </w:rPr>
        <w:t>of</w:t>
      </w:r>
      <w:r>
        <w:rPr>
          <w:spacing w:val="40"/>
          <w:sz w:val="24"/>
        </w:rPr>
        <w:t> </w:t>
      </w:r>
      <w:r>
        <w:rPr>
          <w:sz w:val="24"/>
        </w:rPr>
        <w:t>width</w:t>
      </w:r>
      <w:r>
        <w:rPr>
          <w:spacing w:val="40"/>
          <w:sz w:val="24"/>
        </w:rPr>
        <w:t> </w:t>
      </w:r>
      <w:r>
        <w:rPr>
          <w:sz w:val="24"/>
        </w:rPr>
        <w:t>not</w:t>
      </w:r>
      <w:r>
        <w:rPr>
          <w:spacing w:val="40"/>
          <w:sz w:val="24"/>
        </w:rPr>
        <w:t> </w:t>
      </w:r>
      <w:r>
        <w:rPr>
          <w:sz w:val="24"/>
        </w:rPr>
        <w:t>more</w:t>
      </w:r>
      <w:r>
        <w:rPr>
          <w:spacing w:val="40"/>
          <w:sz w:val="24"/>
        </w:rPr>
        <w:t> </w:t>
      </w:r>
      <w:r>
        <w:rPr>
          <w:sz w:val="24"/>
        </w:rPr>
        <w:t>than</w:t>
      </w:r>
      <w:r>
        <w:rPr>
          <w:spacing w:val="40"/>
          <w:sz w:val="24"/>
        </w:rPr>
        <w:t> </w:t>
      </w:r>
      <w:r>
        <w:rPr>
          <w:sz w:val="24"/>
        </w:rPr>
        <w:t>0.45</w:t>
      </w:r>
      <w:r>
        <w:rPr>
          <w:spacing w:val="40"/>
          <w:sz w:val="24"/>
        </w:rPr>
        <w:t> </w:t>
      </w:r>
      <w:r>
        <w:rPr>
          <w:sz w:val="24"/>
        </w:rPr>
        <w:t>m</w:t>
      </w:r>
      <w:r>
        <w:rPr>
          <w:spacing w:val="40"/>
          <w:sz w:val="24"/>
        </w:rPr>
        <w:t> </w:t>
      </w:r>
      <w:r>
        <w:rPr>
          <w:sz w:val="24"/>
        </w:rPr>
        <w:t>and</w:t>
      </w:r>
      <w:r>
        <w:rPr>
          <w:spacing w:val="40"/>
          <w:sz w:val="24"/>
        </w:rPr>
        <w:t> </w:t>
      </w:r>
      <w:r>
        <w:rPr>
          <w:sz w:val="24"/>
        </w:rPr>
        <w:t>length</w:t>
      </w:r>
      <w:r>
        <w:rPr>
          <w:spacing w:val="40"/>
          <w:sz w:val="24"/>
        </w:rPr>
        <w:t> </w:t>
      </w:r>
      <w:r>
        <w:rPr>
          <w:sz w:val="24"/>
        </w:rPr>
        <w:t>2.0</w:t>
      </w:r>
      <w:r>
        <w:rPr>
          <w:spacing w:val="40"/>
          <w:sz w:val="24"/>
        </w:rPr>
        <w:t> </w:t>
      </w:r>
      <w:r>
        <w:rPr>
          <w:sz w:val="24"/>
        </w:rPr>
        <w:t>m</w:t>
      </w:r>
      <w:r>
        <w:rPr>
          <w:spacing w:val="40"/>
          <w:sz w:val="24"/>
        </w:rPr>
        <w:t> </w:t>
      </w:r>
      <w:r>
        <w:rPr>
          <w:sz w:val="24"/>
        </w:rPr>
        <w:t>at</w:t>
      </w:r>
      <w:r>
        <w:rPr>
          <w:spacing w:val="40"/>
          <w:sz w:val="24"/>
        </w:rPr>
        <w:t> </w:t>
      </w:r>
      <w:r>
        <w:rPr>
          <w:sz w:val="24"/>
        </w:rPr>
        <w:t>the height not less than 0.60 m above floor level for installation of </w:t>
      </w:r>
      <w:r>
        <w:rPr>
          <w:spacing w:val="11"/>
          <w:sz w:val="24"/>
        </w:rPr>
        <w:t>Air- </w:t>
      </w:r>
      <w:r>
        <w:rPr>
          <w:sz w:val="24"/>
        </w:rPr>
        <w:t>conditioning</w:t>
      </w:r>
      <w:r>
        <w:rPr>
          <w:spacing w:val="40"/>
          <w:sz w:val="24"/>
        </w:rPr>
        <w:t> </w:t>
      </w:r>
      <w:r>
        <w:rPr>
          <w:sz w:val="24"/>
        </w:rPr>
        <w:t>split</w:t>
      </w:r>
      <w:r>
        <w:rPr>
          <w:spacing w:val="78"/>
          <w:sz w:val="24"/>
        </w:rPr>
        <w:t> </w:t>
      </w:r>
      <w:r>
        <w:rPr>
          <w:sz w:val="24"/>
        </w:rPr>
        <w:t>unit</w:t>
      </w:r>
      <w:r>
        <w:rPr>
          <w:spacing w:val="40"/>
          <w:sz w:val="24"/>
        </w:rPr>
        <w:t> </w:t>
      </w:r>
      <w:r>
        <w:rPr>
          <w:sz w:val="24"/>
        </w:rPr>
        <w:t>not</w:t>
      </w:r>
      <w:r>
        <w:rPr>
          <w:spacing w:val="78"/>
          <w:sz w:val="24"/>
        </w:rPr>
        <w:t> </w:t>
      </w:r>
      <w:r>
        <w:rPr>
          <w:sz w:val="24"/>
        </w:rPr>
        <w:t>reducing</w:t>
      </w:r>
      <w:r>
        <w:rPr>
          <w:spacing w:val="40"/>
          <w:sz w:val="24"/>
        </w:rPr>
        <w:t> </w:t>
      </w:r>
      <w:r>
        <w:rPr>
          <w:sz w:val="24"/>
        </w:rPr>
        <w:t>the</w:t>
      </w:r>
      <w:r>
        <w:rPr>
          <w:spacing w:val="40"/>
          <w:sz w:val="24"/>
        </w:rPr>
        <w:t> </w:t>
      </w:r>
      <w:r>
        <w:rPr>
          <w:sz w:val="24"/>
        </w:rPr>
        <w:t>open</w:t>
      </w:r>
      <w:r>
        <w:rPr>
          <w:spacing w:val="78"/>
          <w:sz w:val="24"/>
        </w:rPr>
        <w:t> </w:t>
      </w:r>
      <w:r>
        <w:rPr>
          <w:sz w:val="24"/>
        </w:rPr>
        <w:t>spaces</w:t>
      </w:r>
      <w:r>
        <w:rPr>
          <w:spacing w:val="78"/>
          <w:sz w:val="24"/>
        </w:rPr>
        <w:t> </w:t>
      </w:r>
      <w:r>
        <w:rPr>
          <w:sz w:val="24"/>
        </w:rPr>
        <w:t>as</w:t>
      </w:r>
      <w:r>
        <w:rPr>
          <w:spacing w:val="78"/>
          <w:sz w:val="24"/>
        </w:rPr>
        <w:t> </w:t>
      </w:r>
      <w:r>
        <w:rPr>
          <w:sz w:val="24"/>
        </w:rPr>
        <w:t>per</w:t>
      </w:r>
      <w:r>
        <w:rPr>
          <w:spacing w:val="40"/>
          <w:sz w:val="24"/>
        </w:rPr>
        <w:t> </w:t>
      </w:r>
      <w:r>
        <w:rPr>
          <w:sz w:val="24"/>
        </w:rPr>
        <w:t>above</w:t>
      </w:r>
    </w:p>
    <w:p>
      <w:pPr>
        <w:pStyle w:val="BodyText"/>
        <w:jc w:val="left"/>
      </w:pPr>
    </w:p>
    <w:p>
      <w:pPr>
        <w:pStyle w:val="BodyText"/>
        <w:spacing w:before="1"/>
        <w:ind w:left="1313" w:right="782"/>
      </w:pPr>
      <w:r>
        <w:rPr/>
        <w:t>(f)(i)</w:t>
      </w:r>
      <w:r>
        <w:rPr>
          <w:spacing w:val="40"/>
        </w:rPr>
        <w:t> </w:t>
      </w:r>
      <w:r>
        <w:rPr/>
        <w:t>A</w:t>
      </w:r>
      <w:r>
        <w:rPr>
          <w:spacing w:val="40"/>
        </w:rPr>
        <w:t> </w:t>
      </w:r>
      <w:r>
        <w:rPr/>
        <w:t>chajja,</w:t>
      </w:r>
      <w:r>
        <w:rPr>
          <w:spacing w:val="40"/>
        </w:rPr>
        <w:t> </w:t>
      </w:r>
      <w:r>
        <w:rPr/>
        <w:t>cornice,</w:t>
      </w:r>
      <w:r>
        <w:rPr>
          <w:spacing w:val="40"/>
        </w:rPr>
        <w:t> </w:t>
      </w:r>
      <w:r>
        <w:rPr/>
        <w:t>weather</w:t>
      </w:r>
      <w:r>
        <w:rPr>
          <w:spacing w:val="40"/>
        </w:rPr>
        <w:t> </w:t>
      </w:r>
      <w:r>
        <w:rPr/>
        <w:t>shade,</w:t>
      </w:r>
      <w:r>
        <w:rPr>
          <w:spacing w:val="12"/>
        </w:rPr>
        <w:t> sun-</w:t>
      </w:r>
      <w:r>
        <w:rPr/>
        <w:t>breaker</w:t>
      </w:r>
      <w:r>
        <w:rPr>
          <w:spacing w:val="40"/>
        </w:rPr>
        <w:t> </w:t>
      </w:r>
      <w:r>
        <w:rPr/>
        <w:t>over</w:t>
      </w:r>
      <w:r>
        <w:rPr>
          <w:spacing w:val="40"/>
        </w:rPr>
        <w:t> </w:t>
      </w:r>
      <w:r>
        <w:rPr/>
        <w:t>a</w:t>
      </w:r>
      <w:r>
        <w:rPr>
          <w:spacing w:val="40"/>
        </w:rPr>
        <w:t> </w:t>
      </w:r>
      <w:r>
        <w:rPr/>
        <w:t>balcony</w:t>
      </w:r>
      <w:r>
        <w:rPr>
          <w:spacing w:val="40"/>
        </w:rPr>
        <w:t> </w:t>
      </w:r>
      <w:r>
        <w:rPr/>
        <w:t>or gallery,</w:t>
      </w:r>
      <w:r>
        <w:rPr>
          <w:spacing w:val="40"/>
        </w:rPr>
        <w:t> </w:t>
      </w:r>
      <w:r>
        <w:rPr/>
        <w:t>its</w:t>
      </w:r>
      <w:r>
        <w:rPr>
          <w:spacing w:val="40"/>
        </w:rPr>
        <w:t> </w:t>
      </w:r>
      <w:r>
        <w:rPr/>
        <w:t>projection</w:t>
      </w:r>
      <w:r>
        <w:rPr>
          <w:spacing w:val="40"/>
        </w:rPr>
        <w:t> </w:t>
      </w:r>
      <w:r>
        <w:rPr/>
        <w:t>not</w:t>
      </w:r>
      <w:r>
        <w:rPr>
          <w:spacing w:val="40"/>
        </w:rPr>
        <w:t> </w:t>
      </w:r>
      <w:r>
        <w:rPr/>
        <w:t>exceeding</w:t>
      </w:r>
      <w:r>
        <w:rPr>
          <w:spacing w:val="40"/>
        </w:rPr>
        <w:t> </w:t>
      </w:r>
      <w:r>
        <w:rPr/>
        <w:t>0.75</w:t>
      </w:r>
      <w:r>
        <w:rPr>
          <w:spacing w:val="40"/>
        </w:rPr>
        <w:t> </w:t>
      </w:r>
      <w:r>
        <w:rPr/>
        <w:t>m</w:t>
      </w:r>
      <w:r>
        <w:rPr>
          <w:spacing w:val="40"/>
        </w:rPr>
        <w:t> </w:t>
      </w:r>
      <w:r>
        <w:rPr/>
        <w:t>from</w:t>
      </w:r>
      <w:r>
        <w:rPr>
          <w:spacing w:val="40"/>
        </w:rPr>
        <w:t> </w:t>
      </w:r>
      <w:r>
        <w:rPr/>
        <w:t>the</w:t>
      </w:r>
      <w:r>
        <w:rPr>
          <w:spacing w:val="40"/>
        </w:rPr>
        <w:t> </w:t>
      </w:r>
      <w:r>
        <w:rPr/>
        <w:t>balcony</w:t>
      </w:r>
      <w:r>
        <w:rPr>
          <w:spacing w:val="40"/>
        </w:rPr>
        <w:t> </w:t>
      </w:r>
      <w:r>
        <w:rPr/>
        <w:t>or</w:t>
      </w:r>
      <w:r>
        <w:rPr>
          <w:spacing w:val="40"/>
        </w:rPr>
        <w:t> </w:t>
      </w:r>
      <w:r>
        <w:rPr/>
        <w:t>gallery face</w:t>
      </w:r>
      <w:r>
        <w:rPr>
          <w:spacing w:val="26"/>
        </w:rPr>
        <w:t> </w:t>
      </w:r>
      <w:r>
        <w:rPr/>
        <w:t>with</w:t>
      </w:r>
      <w:r>
        <w:rPr>
          <w:spacing w:val="31"/>
        </w:rPr>
        <w:t> </w:t>
      </w:r>
      <w:r>
        <w:rPr/>
        <w:t>a</w:t>
      </w:r>
      <w:r>
        <w:rPr>
          <w:spacing w:val="31"/>
        </w:rPr>
        <w:t> </w:t>
      </w:r>
      <w:r>
        <w:rPr/>
        <w:t>level</w:t>
      </w:r>
      <w:r>
        <w:rPr>
          <w:spacing w:val="31"/>
        </w:rPr>
        <w:t> </w:t>
      </w:r>
      <w:r>
        <w:rPr/>
        <w:t>difference</w:t>
      </w:r>
      <w:r>
        <w:rPr>
          <w:spacing w:val="31"/>
        </w:rPr>
        <w:t> </w:t>
      </w:r>
      <w:r>
        <w:rPr/>
        <w:t>of</w:t>
      </w:r>
      <w:r>
        <w:rPr>
          <w:spacing w:val="31"/>
        </w:rPr>
        <w:t> </w:t>
      </w:r>
      <w:r>
        <w:rPr/>
        <w:t>0.6</w:t>
      </w:r>
      <w:r>
        <w:rPr>
          <w:spacing w:val="31"/>
        </w:rPr>
        <w:t> </w:t>
      </w:r>
      <w:r>
        <w:rPr/>
        <w:t>m</w:t>
      </w:r>
      <w:r>
        <w:rPr>
          <w:spacing w:val="31"/>
        </w:rPr>
        <w:t> </w:t>
      </w:r>
      <w:r>
        <w:rPr/>
        <w:t>in</w:t>
      </w:r>
      <w:r>
        <w:rPr>
          <w:spacing w:val="33"/>
        </w:rPr>
        <w:t> </w:t>
      </w:r>
      <w:r>
        <w:rPr/>
        <w:t>relation</w:t>
      </w:r>
      <w:r>
        <w:rPr>
          <w:spacing w:val="31"/>
        </w:rPr>
        <w:t> </w:t>
      </w:r>
      <w:r>
        <w:rPr/>
        <w:t>to</w:t>
      </w:r>
      <w:r>
        <w:rPr>
          <w:spacing w:val="31"/>
        </w:rPr>
        <w:t> </w:t>
      </w:r>
      <w:r>
        <w:rPr/>
        <w:t>the</w:t>
      </w:r>
      <w:r>
        <w:rPr>
          <w:spacing w:val="10"/>
        </w:rPr>
        <w:t> floor </w:t>
      </w:r>
      <w:r>
        <w:rPr/>
        <w:t>level.</w:t>
      </w:r>
      <w:r>
        <w:rPr>
          <w:spacing w:val="31"/>
        </w:rPr>
        <w:t> </w:t>
      </w:r>
      <w:r>
        <w:rPr/>
        <w:t>However, in</w:t>
      </w:r>
      <w:r>
        <w:rPr>
          <w:spacing w:val="40"/>
        </w:rPr>
        <w:t> </w:t>
      </w:r>
      <w:r>
        <w:rPr/>
        <w:t>case</w:t>
      </w:r>
      <w:r>
        <w:rPr>
          <w:spacing w:val="40"/>
        </w:rPr>
        <w:t> </w:t>
      </w:r>
      <w:r>
        <w:rPr/>
        <w:t>of</w:t>
      </w:r>
      <w:r>
        <w:rPr>
          <w:spacing w:val="40"/>
        </w:rPr>
        <w:t> </w:t>
      </w:r>
      <w:r>
        <w:rPr/>
        <w:t>redevelopment</w:t>
      </w:r>
      <w:r>
        <w:rPr>
          <w:spacing w:val="40"/>
        </w:rPr>
        <w:t> </w:t>
      </w:r>
      <w:r>
        <w:rPr/>
        <w:t>scheme</w:t>
      </w:r>
      <w:r>
        <w:rPr>
          <w:spacing w:val="40"/>
        </w:rPr>
        <w:t> </w:t>
      </w:r>
      <w:r>
        <w:rPr/>
        <w:t>under</w:t>
      </w:r>
      <w:r>
        <w:rPr>
          <w:spacing w:val="40"/>
        </w:rPr>
        <w:t> </w:t>
      </w:r>
      <w:r>
        <w:rPr/>
        <w:t>Regulation</w:t>
      </w:r>
      <w:r>
        <w:rPr>
          <w:spacing w:val="40"/>
        </w:rPr>
        <w:t> </w:t>
      </w:r>
      <w:r>
        <w:rPr/>
        <w:t>No.</w:t>
      </w:r>
      <w:r>
        <w:rPr>
          <w:spacing w:val="40"/>
        </w:rPr>
        <w:t> </w:t>
      </w:r>
      <w:r>
        <w:rPr/>
        <w:t>33(7)</w:t>
      </w:r>
      <w:r>
        <w:rPr>
          <w:spacing w:val="40"/>
        </w:rPr>
        <w:t> </w:t>
      </w:r>
      <w:r>
        <w:rPr/>
        <w:t>where marginal</w:t>
      </w:r>
      <w:r>
        <w:rPr>
          <w:spacing w:val="40"/>
        </w:rPr>
        <w:t> </w:t>
      </w:r>
      <w:r>
        <w:rPr/>
        <w:t>distances</w:t>
      </w:r>
      <w:r>
        <w:rPr>
          <w:spacing w:val="40"/>
        </w:rPr>
        <w:t> </w:t>
      </w:r>
      <w:r>
        <w:rPr/>
        <w:t>are</w:t>
      </w:r>
      <w:r>
        <w:rPr>
          <w:spacing w:val="40"/>
        </w:rPr>
        <w:t> </w:t>
      </w:r>
      <w:r>
        <w:rPr/>
        <w:t>less,</w:t>
      </w:r>
      <w:r>
        <w:rPr>
          <w:spacing w:val="40"/>
        </w:rPr>
        <w:t> </w:t>
      </w:r>
      <w:r>
        <w:rPr/>
        <w:t>chajja</w:t>
      </w:r>
      <w:r>
        <w:rPr>
          <w:spacing w:val="40"/>
        </w:rPr>
        <w:t> </w:t>
      </w:r>
      <w:r>
        <w:rPr/>
        <w:t>projection</w:t>
      </w:r>
      <w:r>
        <w:rPr>
          <w:spacing w:val="40"/>
        </w:rPr>
        <w:t> </w:t>
      </w:r>
      <w:r>
        <w:rPr/>
        <w:t>maximum</w:t>
      </w:r>
      <w:r>
        <w:rPr>
          <w:spacing w:val="40"/>
        </w:rPr>
        <w:t> </w:t>
      </w:r>
      <w:r>
        <w:rPr/>
        <w:t>up</w:t>
      </w:r>
      <w:r>
        <w:rPr>
          <w:spacing w:val="40"/>
        </w:rPr>
        <w:t> </w:t>
      </w:r>
      <w:r>
        <w:rPr/>
        <w:t>to</w:t>
      </w:r>
      <w:r>
        <w:rPr>
          <w:spacing w:val="40"/>
        </w:rPr>
        <w:t> </w:t>
      </w:r>
      <w:r>
        <w:rPr/>
        <w:t>0.45</w:t>
      </w:r>
      <w:r>
        <w:rPr>
          <w:spacing w:val="40"/>
        </w:rPr>
        <w:t> </w:t>
      </w:r>
      <w:r>
        <w:rPr/>
        <w:t>m</w:t>
      </w:r>
      <w:r>
        <w:rPr>
          <w:spacing w:val="40"/>
        </w:rPr>
        <w:t> </w:t>
      </w:r>
      <w:r>
        <w:rPr/>
        <w:t>may be </w:t>
      </w:r>
      <w:r>
        <w:rPr>
          <w:spacing w:val="9"/>
        </w:rPr>
        <w:t>allowed.</w:t>
      </w:r>
    </w:p>
    <w:p>
      <w:pPr>
        <w:pStyle w:val="ListParagraph"/>
        <w:numPr>
          <w:ilvl w:val="0"/>
          <w:numId w:val="302"/>
        </w:numPr>
        <w:tabs>
          <w:tab w:pos="1722" w:val="left" w:leader="none"/>
        </w:tabs>
        <w:spacing w:line="240" w:lineRule="auto" w:before="0" w:after="0"/>
        <w:ind w:left="1313" w:right="802" w:firstLine="0"/>
        <w:jc w:val="left"/>
        <w:rPr>
          <w:sz w:val="24"/>
        </w:rPr>
      </w:pPr>
      <w:r>
        <w:rPr>
          <w:sz w:val="24"/>
        </w:rPr>
        <w:t>The</w:t>
      </w:r>
      <w:r>
        <w:rPr>
          <w:spacing w:val="40"/>
          <w:sz w:val="24"/>
        </w:rPr>
        <w:t> </w:t>
      </w:r>
      <w:r>
        <w:rPr>
          <w:sz w:val="24"/>
        </w:rPr>
        <w:t>Ornamental</w:t>
      </w:r>
      <w:r>
        <w:rPr>
          <w:spacing w:val="40"/>
          <w:sz w:val="24"/>
        </w:rPr>
        <w:t> </w:t>
      </w:r>
      <w:r>
        <w:rPr>
          <w:sz w:val="24"/>
        </w:rPr>
        <w:t>projection,</w:t>
      </w:r>
      <w:r>
        <w:rPr>
          <w:spacing w:val="40"/>
          <w:sz w:val="24"/>
        </w:rPr>
        <w:t> </w:t>
      </w:r>
      <w:r>
        <w:rPr>
          <w:sz w:val="24"/>
        </w:rPr>
        <w:t>flower</w:t>
      </w:r>
      <w:r>
        <w:rPr>
          <w:spacing w:val="40"/>
          <w:sz w:val="24"/>
        </w:rPr>
        <w:t> </w:t>
      </w:r>
      <w:r>
        <w:rPr>
          <w:sz w:val="24"/>
        </w:rPr>
        <w:t>bed</w:t>
      </w:r>
      <w:r>
        <w:rPr>
          <w:spacing w:val="40"/>
          <w:sz w:val="24"/>
        </w:rPr>
        <w:t> </w:t>
      </w:r>
      <w:r>
        <w:rPr>
          <w:sz w:val="24"/>
        </w:rPr>
        <w:t>etc.</w:t>
      </w:r>
      <w:r>
        <w:rPr>
          <w:spacing w:val="40"/>
          <w:sz w:val="24"/>
        </w:rPr>
        <w:t> </w:t>
      </w:r>
      <w:r>
        <w:rPr>
          <w:sz w:val="24"/>
        </w:rPr>
        <w:t>over</w:t>
      </w:r>
      <w:r>
        <w:rPr>
          <w:spacing w:val="40"/>
          <w:sz w:val="24"/>
        </w:rPr>
        <w:t> </w:t>
      </w:r>
      <w:r>
        <w:rPr>
          <w:sz w:val="24"/>
        </w:rPr>
        <w:t>a</w:t>
      </w:r>
      <w:r>
        <w:rPr>
          <w:spacing w:val="40"/>
          <w:sz w:val="24"/>
        </w:rPr>
        <w:t> </w:t>
      </w:r>
      <w:r>
        <w:rPr>
          <w:sz w:val="24"/>
        </w:rPr>
        <w:t>balcony</w:t>
      </w:r>
      <w:r>
        <w:rPr>
          <w:spacing w:val="40"/>
          <w:sz w:val="24"/>
        </w:rPr>
        <w:t> </w:t>
      </w:r>
      <w:r>
        <w:rPr>
          <w:sz w:val="24"/>
        </w:rPr>
        <w:t>or</w:t>
      </w:r>
      <w:r>
        <w:rPr>
          <w:spacing w:val="40"/>
          <w:sz w:val="24"/>
        </w:rPr>
        <w:t> </w:t>
      </w:r>
      <w:r>
        <w:rPr>
          <w:sz w:val="24"/>
        </w:rPr>
        <w:t>gallery, its</w:t>
      </w:r>
      <w:r>
        <w:rPr>
          <w:spacing w:val="40"/>
          <w:sz w:val="24"/>
        </w:rPr>
        <w:t> </w:t>
      </w:r>
      <w:r>
        <w:rPr>
          <w:sz w:val="24"/>
        </w:rPr>
        <w:t>projection</w:t>
      </w:r>
      <w:r>
        <w:rPr>
          <w:spacing w:val="78"/>
          <w:sz w:val="24"/>
        </w:rPr>
        <w:t> </w:t>
      </w:r>
      <w:r>
        <w:rPr>
          <w:sz w:val="24"/>
        </w:rPr>
        <w:t>not</w:t>
      </w:r>
      <w:r>
        <w:rPr>
          <w:spacing w:val="40"/>
          <w:sz w:val="24"/>
        </w:rPr>
        <w:t> </w:t>
      </w:r>
      <w:r>
        <w:rPr>
          <w:sz w:val="24"/>
        </w:rPr>
        <w:t>exceeding</w:t>
      </w:r>
      <w:r>
        <w:rPr>
          <w:spacing w:val="78"/>
          <w:sz w:val="24"/>
        </w:rPr>
        <w:t> </w:t>
      </w:r>
      <w:r>
        <w:rPr>
          <w:sz w:val="24"/>
        </w:rPr>
        <w:t>0.75</w:t>
      </w:r>
      <w:r>
        <w:rPr>
          <w:spacing w:val="78"/>
          <w:sz w:val="24"/>
        </w:rPr>
        <w:t> </w:t>
      </w:r>
      <w:r>
        <w:rPr>
          <w:sz w:val="24"/>
        </w:rPr>
        <w:t>m.</w:t>
      </w:r>
      <w:r>
        <w:rPr>
          <w:spacing w:val="40"/>
          <w:sz w:val="24"/>
        </w:rPr>
        <w:t> </w:t>
      </w:r>
      <w:r>
        <w:rPr>
          <w:sz w:val="24"/>
        </w:rPr>
        <w:t>from</w:t>
      </w:r>
      <w:r>
        <w:rPr>
          <w:spacing w:val="40"/>
          <w:sz w:val="24"/>
        </w:rPr>
        <w:t> </w:t>
      </w:r>
      <w:r>
        <w:rPr>
          <w:sz w:val="24"/>
        </w:rPr>
        <w:t>the</w:t>
      </w:r>
      <w:r>
        <w:rPr>
          <w:spacing w:val="40"/>
          <w:sz w:val="24"/>
        </w:rPr>
        <w:t> </w:t>
      </w:r>
      <w:r>
        <w:rPr>
          <w:sz w:val="24"/>
        </w:rPr>
        <w:t>balcony</w:t>
      </w:r>
      <w:r>
        <w:rPr>
          <w:spacing w:val="78"/>
          <w:sz w:val="24"/>
        </w:rPr>
        <w:t> </w:t>
      </w:r>
      <w:r>
        <w:rPr>
          <w:sz w:val="24"/>
        </w:rPr>
        <w:t>or</w:t>
      </w:r>
      <w:r>
        <w:rPr>
          <w:spacing w:val="78"/>
          <w:sz w:val="24"/>
        </w:rPr>
        <w:t> </w:t>
      </w:r>
      <w:r>
        <w:rPr>
          <w:sz w:val="24"/>
        </w:rPr>
        <w:t>gallery.</w:t>
      </w:r>
    </w:p>
    <w:p>
      <w:pPr>
        <w:pStyle w:val="ListParagraph"/>
        <w:numPr>
          <w:ilvl w:val="0"/>
          <w:numId w:val="302"/>
        </w:numPr>
        <w:tabs>
          <w:tab w:pos="1837" w:val="left" w:leader="none"/>
        </w:tabs>
        <w:spacing w:line="240" w:lineRule="auto" w:before="0" w:after="0"/>
        <w:ind w:left="1313" w:right="782" w:firstLine="0"/>
        <w:jc w:val="left"/>
        <w:rPr>
          <w:sz w:val="24"/>
        </w:rPr>
      </w:pPr>
      <w:r>
        <w:rPr>
          <w:sz w:val="24"/>
        </w:rPr>
        <w:t>Platform</w:t>
      </w:r>
      <w:r>
        <w:rPr>
          <w:spacing w:val="76"/>
          <w:sz w:val="24"/>
        </w:rPr>
        <w:t> </w:t>
      </w:r>
      <w:r>
        <w:rPr>
          <w:sz w:val="24"/>
        </w:rPr>
        <w:t>of</w:t>
      </w:r>
      <w:r>
        <w:rPr>
          <w:spacing w:val="79"/>
          <w:sz w:val="24"/>
        </w:rPr>
        <w:t> </w:t>
      </w:r>
      <w:r>
        <w:rPr>
          <w:sz w:val="24"/>
        </w:rPr>
        <w:t>width</w:t>
      </w:r>
      <w:r>
        <w:rPr>
          <w:spacing w:val="80"/>
          <w:sz w:val="24"/>
        </w:rPr>
        <w:t> </w:t>
      </w:r>
      <w:r>
        <w:rPr>
          <w:sz w:val="24"/>
        </w:rPr>
        <w:t>not</w:t>
      </w:r>
      <w:r>
        <w:rPr>
          <w:spacing w:val="76"/>
          <w:sz w:val="24"/>
        </w:rPr>
        <w:t> </w:t>
      </w:r>
      <w:r>
        <w:rPr>
          <w:sz w:val="24"/>
        </w:rPr>
        <w:t>more</w:t>
      </w:r>
      <w:r>
        <w:rPr>
          <w:spacing w:val="78"/>
          <w:sz w:val="24"/>
        </w:rPr>
        <w:t> </w:t>
      </w:r>
      <w:r>
        <w:rPr>
          <w:sz w:val="24"/>
        </w:rPr>
        <w:t>than</w:t>
      </w:r>
      <w:r>
        <w:rPr>
          <w:spacing w:val="78"/>
          <w:sz w:val="24"/>
        </w:rPr>
        <w:t> </w:t>
      </w:r>
      <w:r>
        <w:rPr>
          <w:sz w:val="24"/>
        </w:rPr>
        <w:t>0.45</w:t>
      </w:r>
      <w:r>
        <w:rPr>
          <w:spacing w:val="76"/>
          <w:sz w:val="24"/>
        </w:rPr>
        <w:t> </w:t>
      </w:r>
      <w:r>
        <w:rPr>
          <w:sz w:val="24"/>
        </w:rPr>
        <w:t>m</w:t>
      </w:r>
      <w:r>
        <w:rPr>
          <w:spacing w:val="76"/>
          <w:sz w:val="24"/>
        </w:rPr>
        <w:t> </w:t>
      </w:r>
      <w:r>
        <w:rPr>
          <w:sz w:val="24"/>
        </w:rPr>
        <w:t>and</w:t>
      </w:r>
      <w:r>
        <w:rPr>
          <w:spacing w:val="80"/>
          <w:sz w:val="24"/>
        </w:rPr>
        <w:t> </w:t>
      </w:r>
      <w:r>
        <w:rPr>
          <w:sz w:val="24"/>
        </w:rPr>
        <w:t>length</w:t>
      </w:r>
      <w:r>
        <w:rPr>
          <w:spacing w:val="76"/>
          <w:sz w:val="24"/>
        </w:rPr>
        <w:t> </w:t>
      </w:r>
      <w:r>
        <w:rPr>
          <w:sz w:val="24"/>
        </w:rPr>
        <w:t>2.0</w:t>
      </w:r>
      <w:r>
        <w:rPr>
          <w:spacing w:val="79"/>
          <w:sz w:val="24"/>
        </w:rPr>
        <w:t> </w:t>
      </w:r>
      <w:r>
        <w:rPr>
          <w:sz w:val="24"/>
        </w:rPr>
        <w:t>m</w:t>
      </w:r>
      <w:r>
        <w:rPr>
          <w:spacing w:val="76"/>
          <w:sz w:val="24"/>
        </w:rPr>
        <w:t> </w:t>
      </w:r>
      <w:r>
        <w:rPr>
          <w:sz w:val="24"/>
        </w:rPr>
        <w:t>at</w:t>
      </w:r>
      <w:r>
        <w:rPr>
          <w:spacing w:val="76"/>
          <w:sz w:val="24"/>
        </w:rPr>
        <w:t> </w:t>
      </w:r>
      <w:r>
        <w:rPr>
          <w:sz w:val="24"/>
        </w:rPr>
        <w:t>the height</w:t>
      </w:r>
      <w:r>
        <w:rPr>
          <w:spacing w:val="80"/>
          <w:sz w:val="24"/>
        </w:rPr>
        <w:t> </w:t>
      </w:r>
      <w:r>
        <w:rPr>
          <w:sz w:val="24"/>
        </w:rPr>
        <w:t>not</w:t>
      </w:r>
      <w:r>
        <w:rPr>
          <w:spacing w:val="80"/>
          <w:sz w:val="24"/>
        </w:rPr>
        <w:t> </w:t>
      </w:r>
      <w:r>
        <w:rPr>
          <w:sz w:val="24"/>
        </w:rPr>
        <w:t>less</w:t>
      </w:r>
      <w:r>
        <w:rPr>
          <w:spacing w:val="80"/>
          <w:sz w:val="24"/>
        </w:rPr>
        <w:t> </w:t>
      </w:r>
      <w:r>
        <w:rPr>
          <w:sz w:val="24"/>
        </w:rPr>
        <w:t>than</w:t>
      </w:r>
      <w:r>
        <w:rPr>
          <w:spacing w:val="80"/>
          <w:sz w:val="24"/>
        </w:rPr>
        <w:t> </w:t>
      </w:r>
      <w:r>
        <w:rPr>
          <w:sz w:val="24"/>
        </w:rPr>
        <w:t>0.60</w:t>
      </w:r>
      <w:r>
        <w:rPr>
          <w:spacing w:val="80"/>
          <w:sz w:val="24"/>
        </w:rPr>
        <w:t> </w:t>
      </w:r>
      <w:r>
        <w:rPr>
          <w:sz w:val="24"/>
        </w:rPr>
        <w:t>m</w:t>
      </w:r>
      <w:r>
        <w:rPr>
          <w:spacing w:val="80"/>
          <w:sz w:val="24"/>
        </w:rPr>
        <w:t> </w:t>
      </w:r>
      <w:r>
        <w:rPr>
          <w:sz w:val="24"/>
        </w:rPr>
        <w:t>above</w:t>
      </w:r>
      <w:r>
        <w:rPr>
          <w:spacing w:val="80"/>
          <w:sz w:val="24"/>
        </w:rPr>
        <w:t> </w:t>
      </w:r>
      <w:r>
        <w:rPr>
          <w:sz w:val="24"/>
        </w:rPr>
        <w:t>floor</w:t>
      </w:r>
      <w:r>
        <w:rPr>
          <w:spacing w:val="80"/>
          <w:sz w:val="24"/>
        </w:rPr>
        <w:t> </w:t>
      </w:r>
      <w:r>
        <w:rPr>
          <w:sz w:val="24"/>
        </w:rPr>
        <w:t>level</w:t>
      </w:r>
      <w:r>
        <w:rPr>
          <w:spacing w:val="80"/>
          <w:sz w:val="24"/>
        </w:rPr>
        <w:t> </w:t>
      </w:r>
      <w:r>
        <w:rPr>
          <w:sz w:val="24"/>
        </w:rPr>
        <w:t>for</w:t>
      </w:r>
      <w:r>
        <w:rPr>
          <w:spacing w:val="80"/>
          <w:sz w:val="24"/>
        </w:rPr>
        <w:t> </w:t>
      </w:r>
      <w:r>
        <w:rPr>
          <w:sz w:val="24"/>
        </w:rPr>
        <w:t>installation</w:t>
      </w:r>
      <w:r>
        <w:rPr>
          <w:spacing w:val="80"/>
          <w:sz w:val="24"/>
        </w:rPr>
        <w:t> </w:t>
      </w:r>
      <w:r>
        <w:rPr>
          <w:sz w:val="24"/>
        </w:rPr>
        <w:t>of</w:t>
      </w:r>
      <w:r>
        <w:rPr>
          <w:spacing w:val="80"/>
          <w:sz w:val="24"/>
        </w:rPr>
        <w:t> </w:t>
      </w:r>
      <w:r>
        <w:rPr>
          <w:spacing w:val="11"/>
          <w:sz w:val="24"/>
        </w:rPr>
        <w:t>Air-</w:t>
      </w:r>
      <w:r>
        <w:rPr>
          <w:spacing w:val="40"/>
          <w:sz w:val="24"/>
        </w:rPr>
        <w:t> </w:t>
      </w:r>
      <w:r>
        <w:rPr>
          <w:sz w:val="24"/>
        </w:rPr>
        <w:t>conditioning</w:t>
      </w:r>
      <w:r>
        <w:rPr>
          <w:spacing w:val="40"/>
          <w:sz w:val="24"/>
        </w:rPr>
        <w:t> </w:t>
      </w:r>
      <w:r>
        <w:rPr>
          <w:sz w:val="24"/>
        </w:rPr>
        <w:t>split</w:t>
      </w:r>
      <w:r>
        <w:rPr>
          <w:spacing w:val="40"/>
          <w:sz w:val="24"/>
        </w:rPr>
        <w:t> </w:t>
      </w:r>
      <w:r>
        <w:rPr>
          <w:sz w:val="24"/>
        </w:rPr>
        <w:t>unit</w:t>
      </w:r>
      <w:r>
        <w:rPr>
          <w:spacing w:val="40"/>
          <w:sz w:val="24"/>
        </w:rPr>
        <w:t> </w:t>
      </w:r>
      <w:r>
        <w:rPr>
          <w:sz w:val="24"/>
        </w:rPr>
        <w:t>not</w:t>
      </w:r>
      <w:r>
        <w:rPr>
          <w:spacing w:val="40"/>
          <w:sz w:val="24"/>
        </w:rPr>
        <w:t> </w:t>
      </w:r>
      <w:r>
        <w:rPr>
          <w:sz w:val="24"/>
        </w:rPr>
        <w:t>reducing</w:t>
      </w:r>
      <w:r>
        <w:rPr>
          <w:spacing w:val="40"/>
          <w:sz w:val="24"/>
        </w:rPr>
        <w:t> </w:t>
      </w:r>
      <w:r>
        <w:rPr>
          <w:sz w:val="24"/>
        </w:rPr>
        <w:t>the</w:t>
      </w:r>
      <w:r>
        <w:rPr>
          <w:spacing w:val="40"/>
          <w:sz w:val="24"/>
        </w:rPr>
        <w:t> </w:t>
      </w:r>
      <w:r>
        <w:rPr>
          <w:sz w:val="24"/>
        </w:rPr>
        <w:t>open</w:t>
      </w:r>
      <w:r>
        <w:rPr>
          <w:spacing w:val="40"/>
          <w:sz w:val="24"/>
        </w:rPr>
        <w:t> </w:t>
      </w:r>
      <w:r>
        <w:rPr>
          <w:sz w:val="24"/>
        </w:rPr>
        <w:t>spaces</w:t>
      </w:r>
      <w:r>
        <w:rPr>
          <w:spacing w:val="40"/>
          <w:sz w:val="24"/>
        </w:rPr>
        <w:t> </w:t>
      </w:r>
      <w:r>
        <w:rPr>
          <w:sz w:val="24"/>
        </w:rPr>
        <w:t>as</w:t>
      </w:r>
      <w:r>
        <w:rPr>
          <w:spacing w:val="40"/>
          <w:sz w:val="24"/>
        </w:rPr>
        <w:t> </w:t>
      </w:r>
      <w:r>
        <w:rPr>
          <w:sz w:val="24"/>
        </w:rPr>
        <w:t>per</w:t>
      </w:r>
      <w:r>
        <w:rPr>
          <w:spacing w:val="40"/>
          <w:sz w:val="24"/>
        </w:rPr>
        <w:t> </w:t>
      </w:r>
      <w:r>
        <w:rPr>
          <w:spacing w:val="9"/>
          <w:sz w:val="24"/>
        </w:rPr>
        <w:t>above. </w:t>
      </w:r>
      <w:r>
        <w:rPr>
          <w:sz w:val="24"/>
        </w:rPr>
        <w:t>(g)Watchman's</w:t>
      </w:r>
      <w:r>
        <w:rPr>
          <w:spacing w:val="36"/>
          <w:sz w:val="24"/>
        </w:rPr>
        <w:t> </w:t>
      </w:r>
      <w:r>
        <w:rPr>
          <w:sz w:val="24"/>
        </w:rPr>
        <w:t>booth</w:t>
      </w:r>
      <w:r>
        <w:rPr>
          <w:spacing w:val="36"/>
          <w:sz w:val="24"/>
        </w:rPr>
        <w:t> </w:t>
      </w:r>
      <w:r>
        <w:rPr>
          <w:sz w:val="24"/>
        </w:rPr>
        <w:t>not</w:t>
      </w:r>
      <w:r>
        <w:rPr>
          <w:spacing w:val="36"/>
          <w:sz w:val="24"/>
        </w:rPr>
        <w:t> </w:t>
      </w:r>
      <w:r>
        <w:rPr>
          <w:sz w:val="24"/>
        </w:rPr>
        <w:t>over</w:t>
      </w:r>
      <w:r>
        <w:rPr>
          <w:spacing w:val="36"/>
          <w:sz w:val="24"/>
        </w:rPr>
        <w:t> </w:t>
      </w:r>
      <w:r>
        <w:rPr>
          <w:sz w:val="24"/>
        </w:rPr>
        <w:t>3</w:t>
      </w:r>
      <w:r>
        <w:rPr>
          <w:spacing w:val="36"/>
          <w:sz w:val="24"/>
        </w:rPr>
        <w:t> </w:t>
      </w:r>
      <w:r>
        <w:rPr>
          <w:sz w:val="24"/>
        </w:rPr>
        <w:t>sq.</w:t>
      </w:r>
      <w:r>
        <w:rPr>
          <w:spacing w:val="36"/>
          <w:sz w:val="24"/>
        </w:rPr>
        <w:t> </w:t>
      </w:r>
      <w:r>
        <w:rPr>
          <w:sz w:val="24"/>
        </w:rPr>
        <w:t>m</w:t>
      </w:r>
      <w:r>
        <w:rPr>
          <w:spacing w:val="36"/>
          <w:sz w:val="24"/>
        </w:rPr>
        <w:t> </w:t>
      </w:r>
      <w:r>
        <w:rPr>
          <w:sz w:val="24"/>
        </w:rPr>
        <w:t>in</w:t>
      </w:r>
      <w:r>
        <w:rPr>
          <w:spacing w:val="36"/>
          <w:sz w:val="24"/>
        </w:rPr>
        <w:t> </w:t>
      </w:r>
      <w:r>
        <w:rPr>
          <w:sz w:val="24"/>
        </w:rPr>
        <w:t>area.</w:t>
      </w:r>
      <w:r>
        <w:rPr>
          <w:spacing w:val="40"/>
          <w:sz w:val="24"/>
        </w:rPr>
        <w:t> </w:t>
      </w:r>
      <w:r>
        <w:rPr>
          <w:sz w:val="24"/>
        </w:rPr>
        <w:t>.</w:t>
      </w:r>
      <w:r>
        <w:rPr>
          <w:spacing w:val="80"/>
          <w:w w:val="150"/>
          <w:sz w:val="24"/>
        </w:rPr>
        <w:t> </w:t>
      </w:r>
      <w:r>
        <w:rPr>
          <w:sz w:val="24"/>
        </w:rPr>
        <w:t>In</w:t>
      </w:r>
      <w:r>
        <w:rPr>
          <w:spacing w:val="36"/>
          <w:sz w:val="24"/>
        </w:rPr>
        <w:t> </w:t>
      </w:r>
      <w:r>
        <w:rPr>
          <w:sz w:val="24"/>
        </w:rPr>
        <w:t>case</w:t>
      </w:r>
      <w:r>
        <w:rPr>
          <w:spacing w:val="36"/>
          <w:sz w:val="24"/>
        </w:rPr>
        <w:t> </w:t>
      </w:r>
      <w:r>
        <w:rPr>
          <w:sz w:val="24"/>
        </w:rPr>
        <w:t>of</w:t>
      </w:r>
      <w:r>
        <w:rPr>
          <w:spacing w:val="36"/>
          <w:sz w:val="24"/>
        </w:rPr>
        <w:t> </w:t>
      </w:r>
      <w:r>
        <w:rPr>
          <w:sz w:val="24"/>
        </w:rPr>
        <w:t>larger</w:t>
      </w:r>
      <w:r>
        <w:rPr>
          <w:spacing w:val="36"/>
          <w:sz w:val="24"/>
        </w:rPr>
        <w:t> </w:t>
      </w:r>
      <w:r>
        <w:rPr>
          <w:sz w:val="24"/>
        </w:rPr>
        <w:t>layouts having</w:t>
      </w:r>
      <w:r>
        <w:rPr>
          <w:spacing w:val="56"/>
          <w:sz w:val="24"/>
        </w:rPr>
        <w:t> </w:t>
      </w:r>
      <w:r>
        <w:rPr>
          <w:sz w:val="24"/>
        </w:rPr>
        <w:t>plot</w:t>
      </w:r>
      <w:r>
        <w:rPr>
          <w:spacing w:val="58"/>
          <w:sz w:val="24"/>
        </w:rPr>
        <w:t> </w:t>
      </w:r>
      <w:r>
        <w:rPr>
          <w:sz w:val="24"/>
        </w:rPr>
        <w:t>area</w:t>
      </w:r>
      <w:r>
        <w:rPr>
          <w:spacing w:val="56"/>
          <w:sz w:val="24"/>
        </w:rPr>
        <w:t> </w:t>
      </w:r>
      <w:r>
        <w:rPr>
          <w:sz w:val="24"/>
        </w:rPr>
        <w:t>more</w:t>
      </w:r>
      <w:r>
        <w:rPr>
          <w:spacing w:val="57"/>
          <w:sz w:val="24"/>
        </w:rPr>
        <w:t> </w:t>
      </w:r>
      <w:r>
        <w:rPr>
          <w:sz w:val="24"/>
        </w:rPr>
        <w:t>than</w:t>
      </w:r>
      <w:r>
        <w:rPr>
          <w:spacing w:val="56"/>
          <w:sz w:val="24"/>
        </w:rPr>
        <w:t> </w:t>
      </w:r>
      <w:r>
        <w:rPr>
          <w:sz w:val="24"/>
        </w:rPr>
        <w:t>4000</w:t>
      </w:r>
      <w:r>
        <w:rPr>
          <w:spacing w:val="57"/>
          <w:sz w:val="24"/>
        </w:rPr>
        <w:t> </w:t>
      </w:r>
      <w:r>
        <w:rPr>
          <w:sz w:val="24"/>
        </w:rPr>
        <w:t>sq.</w:t>
      </w:r>
      <w:r>
        <w:rPr>
          <w:spacing w:val="60"/>
          <w:sz w:val="24"/>
        </w:rPr>
        <w:t> </w:t>
      </w:r>
      <w:r>
        <w:rPr>
          <w:sz w:val="24"/>
        </w:rPr>
        <w:t>m.</w:t>
      </w:r>
      <w:r>
        <w:rPr>
          <w:spacing w:val="58"/>
          <w:sz w:val="24"/>
        </w:rPr>
        <w:t> </w:t>
      </w:r>
      <w:r>
        <w:rPr>
          <w:sz w:val="24"/>
        </w:rPr>
        <w:t>and</w:t>
      </w:r>
      <w:r>
        <w:rPr>
          <w:spacing w:val="56"/>
          <w:sz w:val="24"/>
        </w:rPr>
        <w:t> </w:t>
      </w:r>
      <w:r>
        <w:rPr>
          <w:sz w:val="24"/>
        </w:rPr>
        <w:t>accessible</w:t>
      </w:r>
      <w:r>
        <w:rPr>
          <w:spacing w:val="57"/>
          <w:sz w:val="24"/>
        </w:rPr>
        <w:t> </w:t>
      </w:r>
      <w:r>
        <w:rPr>
          <w:sz w:val="24"/>
        </w:rPr>
        <w:t>from</w:t>
      </w:r>
      <w:r>
        <w:rPr>
          <w:spacing w:val="56"/>
          <w:sz w:val="24"/>
        </w:rPr>
        <w:t> </w:t>
      </w:r>
      <w:r>
        <w:rPr>
          <w:sz w:val="24"/>
        </w:rPr>
        <w:t>more</w:t>
      </w:r>
      <w:r>
        <w:rPr>
          <w:spacing w:val="57"/>
          <w:sz w:val="24"/>
        </w:rPr>
        <w:t> </w:t>
      </w:r>
      <w:r>
        <w:rPr>
          <w:spacing w:val="-4"/>
          <w:sz w:val="24"/>
        </w:rPr>
        <w:t>than</w:t>
      </w:r>
    </w:p>
    <w:p>
      <w:pPr>
        <w:pStyle w:val="ListParagraph"/>
        <w:spacing w:after="0" w:line="240" w:lineRule="auto"/>
        <w:jc w:val="left"/>
        <w:rPr>
          <w:sz w:val="24"/>
        </w:rPr>
        <w:sectPr>
          <w:pgSz w:w="11910" w:h="16840"/>
          <w:pgMar w:header="1058" w:footer="1201" w:top="1500" w:bottom="1400" w:left="360" w:right="360"/>
        </w:sectPr>
      </w:pPr>
    </w:p>
    <w:p>
      <w:pPr>
        <w:pStyle w:val="BodyText"/>
        <w:spacing w:before="255"/>
        <w:ind w:left="1313" w:right="798"/>
      </w:pPr>
      <w:r>
        <w:rPr/>
        <w:t>one</w:t>
      </w:r>
      <w:r>
        <w:rPr>
          <w:spacing w:val="40"/>
        </w:rPr>
        <w:t> </w:t>
      </w:r>
      <w:r>
        <w:rPr/>
        <w:t>public</w:t>
      </w:r>
      <w:r>
        <w:rPr>
          <w:spacing w:val="40"/>
        </w:rPr>
        <w:t> </w:t>
      </w:r>
      <w:r>
        <w:rPr/>
        <w:t>road,</w:t>
      </w:r>
      <w:r>
        <w:rPr>
          <w:spacing w:val="40"/>
        </w:rPr>
        <w:t> </w:t>
      </w:r>
      <w:r>
        <w:rPr/>
        <w:t>than</w:t>
      </w:r>
      <w:r>
        <w:rPr>
          <w:spacing w:val="40"/>
        </w:rPr>
        <w:t> </w:t>
      </w:r>
      <w:r>
        <w:rPr/>
        <w:t>watchman’s</w:t>
      </w:r>
      <w:r>
        <w:rPr>
          <w:spacing w:val="40"/>
        </w:rPr>
        <w:t> </w:t>
      </w:r>
      <w:r>
        <w:rPr/>
        <w:t>booth</w:t>
      </w:r>
      <w:r>
        <w:rPr>
          <w:spacing w:val="40"/>
        </w:rPr>
        <w:t> </w:t>
      </w:r>
      <w:r>
        <w:rPr/>
        <w:t>of</w:t>
      </w:r>
      <w:r>
        <w:rPr>
          <w:spacing w:val="40"/>
        </w:rPr>
        <w:t> </w:t>
      </w:r>
      <w:r>
        <w:rPr/>
        <w:t>3sq.m</w:t>
      </w:r>
      <w:r>
        <w:rPr>
          <w:spacing w:val="40"/>
        </w:rPr>
        <w:t> </w:t>
      </w:r>
      <w:r>
        <w:rPr/>
        <w:t>on</w:t>
      </w:r>
      <w:r>
        <w:rPr>
          <w:spacing w:val="40"/>
        </w:rPr>
        <w:t> </w:t>
      </w:r>
      <w:r>
        <w:rPr/>
        <w:t>each</w:t>
      </w:r>
      <w:r>
        <w:rPr>
          <w:spacing w:val="40"/>
        </w:rPr>
        <w:t> </w:t>
      </w:r>
      <w:r>
        <w:rPr/>
        <w:t>access</w:t>
      </w:r>
      <w:r>
        <w:rPr>
          <w:spacing w:val="40"/>
        </w:rPr>
        <w:t> </w:t>
      </w:r>
      <w:r>
        <w:rPr/>
        <w:t>road may be allowed, provided it is not highway. Watchman booth should be located</w:t>
      </w:r>
      <w:r>
        <w:rPr>
          <w:spacing w:val="34"/>
        </w:rPr>
        <w:t> </w:t>
      </w:r>
      <w:r>
        <w:rPr/>
        <w:t>in</w:t>
      </w:r>
      <w:r>
        <w:rPr>
          <w:spacing w:val="37"/>
        </w:rPr>
        <w:t> </w:t>
      </w:r>
      <w:r>
        <w:rPr/>
        <w:t>such</w:t>
      </w:r>
      <w:r>
        <w:rPr>
          <w:spacing w:val="36"/>
        </w:rPr>
        <w:t> </w:t>
      </w:r>
      <w:r>
        <w:rPr/>
        <w:t>way</w:t>
      </w:r>
      <w:r>
        <w:rPr>
          <w:spacing w:val="34"/>
        </w:rPr>
        <w:t> </w:t>
      </w:r>
      <w:r>
        <w:rPr/>
        <w:t>that</w:t>
      </w:r>
      <w:r>
        <w:rPr>
          <w:spacing w:val="37"/>
        </w:rPr>
        <w:t> </w:t>
      </w:r>
      <w:r>
        <w:rPr/>
        <w:t>it</w:t>
      </w:r>
      <w:r>
        <w:rPr>
          <w:spacing w:val="36"/>
        </w:rPr>
        <w:t> </w:t>
      </w:r>
      <w:r>
        <w:rPr/>
        <w:t>should</w:t>
      </w:r>
      <w:r>
        <w:rPr>
          <w:spacing w:val="37"/>
        </w:rPr>
        <w:t> </w:t>
      </w:r>
      <w:r>
        <w:rPr/>
        <w:t>not</w:t>
      </w:r>
      <w:r>
        <w:rPr>
          <w:spacing w:val="37"/>
        </w:rPr>
        <w:t> </w:t>
      </w:r>
      <w:r>
        <w:rPr/>
        <w:t>affect</w:t>
      </w:r>
      <w:r>
        <w:rPr>
          <w:spacing w:val="33"/>
        </w:rPr>
        <w:t> </w:t>
      </w:r>
      <w:r>
        <w:rPr/>
        <w:t>maneuvering</w:t>
      </w:r>
      <w:r>
        <w:rPr>
          <w:spacing w:val="34"/>
        </w:rPr>
        <w:t> </w:t>
      </w:r>
      <w:r>
        <w:rPr/>
        <w:t>of</w:t>
      </w:r>
      <w:r>
        <w:rPr>
          <w:spacing w:val="37"/>
        </w:rPr>
        <w:t> </w:t>
      </w:r>
      <w:r>
        <w:rPr/>
        <w:t>Fire</w:t>
      </w:r>
      <w:r>
        <w:rPr>
          <w:spacing w:val="41"/>
        </w:rPr>
        <w:t> </w:t>
      </w:r>
      <w:r>
        <w:rPr>
          <w:spacing w:val="-2"/>
        </w:rPr>
        <w:t>Tender.</w:t>
      </w:r>
    </w:p>
    <w:p>
      <w:pPr>
        <w:pStyle w:val="Heading3"/>
        <w:numPr>
          <w:ilvl w:val="0"/>
          <w:numId w:val="263"/>
        </w:numPr>
        <w:tabs>
          <w:tab w:pos="1493" w:val="left" w:leader="none"/>
        </w:tabs>
        <w:spacing w:line="240" w:lineRule="auto" w:before="278" w:after="0"/>
        <w:ind w:left="1493" w:right="0" w:hanging="721"/>
        <w:jc w:val="left"/>
        <w:rPr>
          <w:i w:val="0"/>
        </w:rPr>
      </w:pPr>
      <w:r>
        <w:rPr/>
        <w:t>Height</w:t>
      </w:r>
      <w:r>
        <w:rPr>
          <w:spacing w:val="-3"/>
        </w:rPr>
        <w:t> </w:t>
      </w:r>
      <w:r>
        <w:rPr/>
        <w:t>of</w:t>
      </w:r>
      <w:r>
        <w:rPr>
          <w:spacing w:val="-2"/>
        </w:rPr>
        <w:t> Buildings</w:t>
      </w:r>
    </w:p>
    <w:p>
      <w:pPr>
        <w:pStyle w:val="ListParagraph"/>
        <w:numPr>
          <w:ilvl w:val="1"/>
          <w:numId w:val="263"/>
        </w:numPr>
        <w:tabs>
          <w:tab w:pos="1671" w:val="left" w:leader="none"/>
        </w:tabs>
        <w:spacing w:line="240" w:lineRule="auto" w:before="285" w:after="0"/>
        <w:ind w:left="1313" w:right="776" w:firstLine="0"/>
        <w:jc w:val="both"/>
        <w:rPr>
          <w:sz w:val="24"/>
        </w:rPr>
      </w:pPr>
      <w:r>
        <w:rPr>
          <w:sz w:val="24"/>
        </w:rPr>
        <w:t>Height</w:t>
      </w:r>
      <w:r>
        <w:rPr>
          <w:spacing w:val="40"/>
          <w:sz w:val="24"/>
        </w:rPr>
        <w:t> </w:t>
      </w:r>
      <w:r>
        <w:rPr>
          <w:spacing w:val="10"/>
          <w:sz w:val="24"/>
        </w:rPr>
        <w:t>vis-</w:t>
      </w:r>
      <w:r>
        <w:rPr>
          <w:sz w:val="24"/>
        </w:rPr>
        <w:t>à-vis</w:t>
      </w:r>
      <w:r>
        <w:rPr>
          <w:spacing w:val="40"/>
          <w:sz w:val="24"/>
        </w:rPr>
        <w:t> </w:t>
      </w:r>
      <w:r>
        <w:rPr>
          <w:sz w:val="24"/>
        </w:rPr>
        <w:t>the</w:t>
      </w:r>
      <w:r>
        <w:rPr>
          <w:spacing w:val="40"/>
          <w:sz w:val="24"/>
        </w:rPr>
        <w:t> </w:t>
      </w:r>
      <w:r>
        <w:rPr>
          <w:sz w:val="24"/>
        </w:rPr>
        <w:t>road</w:t>
      </w:r>
      <w:r>
        <w:rPr>
          <w:spacing w:val="40"/>
          <w:sz w:val="24"/>
        </w:rPr>
        <w:t> </w:t>
      </w:r>
      <w:r>
        <w:rPr>
          <w:sz w:val="24"/>
        </w:rPr>
        <w:t>width-</w:t>
      </w:r>
      <w:r>
        <w:rPr>
          <w:spacing w:val="40"/>
          <w:sz w:val="24"/>
        </w:rPr>
        <w:t> </w:t>
      </w:r>
      <w:r>
        <w:rPr>
          <w:sz w:val="24"/>
        </w:rPr>
        <w:t>The</w:t>
      </w:r>
      <w:r>
        <w:rPr>
          <w:spacing w:val="40"/>
          <w:sz w:val="24"/>
        </w:rPr>
        <w:t> </w:t>
      </w:r>
      <w:r>
        <w:rPr>
          <w:sz w:val="24"/>
        </w:rPr>
        <w:t>height</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shall</w:t>
      </w:r>
      <w:r>
        <w:rPr>
          <w:spacing w:val="40"/>
          <w:sz w:val="24"/>
        </w:rPr>
        <w:t> </w:t>
      </w:r>
      <w:r>
        <w:rPr>
          <w:sz w:val="24"/>
        </w:rPr>
        <w:t>not exceed</w:t>
      </w:r>
      <w:r>
        <w:rPr>
          <w:spacing w:val="40"/>
          <w:sz w:val="24"/>
        </w:rPr>
        <w:t> </w:t>
      </w:r>
      <w:r>
        <w:rPr>
          <w:sz w:val="24"/>
        </w:rPr>
        <w:t>three</w:t>
      </w:r>
      <w:r>
        <w:rPr>
          <w:spacing w:val="40"/>
          <w:sz w:val="24"/>
        </w:rPr>
        <w:t> </w:t>
      </w:r>
      <w:r>
        <w:rPr>
          <w:sz w:val="24"/>
        </w:rPr>
        <w:t>times</w:t>
      </w:r>
      <w:r>
        <w:rPr>
          <w:spacing w:val="40"/>
          <w:sz w:val="24"/>
        </w:rPr>
        <w:t> </w:t>
      </w:r>
      <w:r>
        <w:rPr>
          <w:sz w:val="24"/>
        </w:rPr>
        <w:t>the</w:t>
      </w:r>
      <w:r>
        <w:rPr>
          <w:spacing w:val="40"/>
          <w:sz w:val="24"/>
        </w:rPr>
        <w:t> </w:t>
      </w:r>
      <w:r>
        <w:rPr>
          <w:sz w:val="24"/>
        </w:rPr>
        <w:t>total</w:t>
      </w:r>
      <w:r>
        <w:rPr>
          <w:spacing w:val="40"/>
          <w:sz w:val="24"/>
        </w:rPr>
        <w:t> </w:t>
      </w:r>
      <w:r>
        <w:rPr>
          <w:sz w:val="24"/>
        </w:rPr>
        <w:t>of</w:t>
      </w:r>
      <w:r>
        <w:rPr>
          <w:spacing w:val="40"/>
          <w:sz w:val="24"/>
        </w:rPr>
        <w:t> </w:t>
      </w:r>
      <w:r>
        <w:rPr>
          <w:sz w:val="24"/>
        </w:rPr>
        <w:t>the</w:t>
      </w:r>
      <w:r>
        <w:rPr>
          <w:spacing w:val="40"/>
          <w:sz w:val="24"/>
        </w:rPr>
        <w:t> </w:t>
      </w:r>
      <w:r>
        <w:rPr>
          <w:sz w:val="24"/>
        </w:rPr>
        <w:t>existing</w:t>
      </w:r>
      <w:r>
        <w:rPr>
          <w:spacing w:val="40"/>
          <w:sz w:val="24"/>
        </w:rPr>
        <w:t> </w:t>
      </w:r>
      <w:r>
        <w:rPr>
          <w:sz w:val="24"/>
        </w:rPr>
        <w:t>or</w:t>
      </w:r>
      <w:r>
        <w:rPr>
          <w:spacing w:val="40"/>
          <w:sz w:val="24"/>
        </w:rPr>
        <w:t> </w:t>
      </w:r>
      <w:r>
        <w:rPr>
          <w:sz w:val="24"/>
        </w:rPr>
        <w:t>prescribed</w:t>
      </w:r>
      <w:r>
        <w:rPr>
          <w:spacing w:val="40"/>
          <w:sz w:val="24"/>
        </w:rPr>
        <w:t> </w:t>
      </w:r>
      <w:r>
        <w:rPr>
          <w:sz w:val="24"/>
        </w:rPr>
        <w:t>width</w:t>
      </w:r>
      <w:r>
        <w:rPr>
          <w:spacing w:val="40"/>
          <w:sz w:val="24"/>
        </w:rPr>
        <w:t> </w:t>
      </w:r>
      <w:r>
        <w:rPr>
          <w:sz w:val="24"/>
        </w:rPr>
        <w:t>of</w:t>
      </w:r>
      <w:r>
        <w:rPr>
          <w:spacing w:val="40"/>
          <w:sz w:val="24"/>
        </w:rPr>
        <w:t> </w:t>
      </w:r>
      <w:r>
        <w:rPr>
          <w:sz w:val="24"/>
        </w:rPr>
        <w:t>the street</w:t>
      </w:r>
      <w:r>
        <w:rPr>
          <w:spacing w:val="40"/>
          <w:sz w:val="24"/>
        </w:rPr>
        <w:t> </w:t>
      </w:r>
      <w:r>
        <w:rPr>
          <w:sz w:val="24"/>
        </w:rPr>
        <w:t>on</w:t>
      </w:r>
      <w:r>
        <w:rPr>
          <w:spacing w:val="40"/>
          <w:sz w:val="24"/>
        </w:rPr>
        <w:t> </w:t>
      </w:r>
      <w:r>
        <w:rPr>
          <w:sz w:val="24"/>
        </w:rPr>
        <w:t>which</w:t>
      </w:r>
      <w:r>
        <w:rPr>
          <w:spacing w:val="40"/>
          <w:sz w:val="24"/>
        </w:rPr>
        <w:t> </w:t>
      </w:r>
      <w:r>
        <w:rPr>
          <w:sz w:val="24"/>
        </w:rPr>
        <w:t>it</w:t>
      </w:r>
      <w:r>
        <w:rPr>
          <w:spacing w:val="40"/>
          <w:sz w:val="24"/>
        </w:rPr>
        <w:t> </w:t>
      </w:r>
      <w:r>
        <w:rPr>
          <w:sz w:val="24"/>
        </w:rPr>
        <w:t>abuts</w:t>
      </w:r>
      <w:r>
        <w:rPr>
          <w:spacing w:val="40"/>
          <w:sz w:val="24"/>
        </w:rPr>
        <w:t> </w:t>
      </w:r>
      <w:r>
        <w:rPr>
          <w:sz w:val="24"/>
        </w:rPr>
        <w:t>and</w:t>
      </w:r>
      <w:r>
        <w:rPr>
          <w:spacing w:val="40"/>
          <w:sz w:val="24"/>
        </w:rPr>
        <w:t> </w:t>
      </w:r>
      <w:r>
        <w:rPr>
          <w:sz w:val="24"/>
        </w:rPr>
        <w:t>the</w:t>
      </w:r>
      <w:r>
        <w:rPr>
          <w:spacing w:val="40"/>
          <w:sz w:val="24"/>
        </w:rPr>
        <w:t> </w:t>
      </w:r>
      <w:r>
        <w:rPr>
          <w:sz w:val="24"/>
        </w:rPr>
        <w:t>required</w:t>
      </w:r>
      <w:r>
        <w:rPr>
          <w:spacing w:val="40"/>
          <w:sz w:val="24"/>
        </w:rPr>
        <w:t> </w:t>
      </w:r>
      <w:r>
        <w:rPr>
          <w:sz w:val="24"/>
        </w:rPr>
        <w:t>front</w:t>
      </w:r>
      <w:r>
        <w:rPr>
          <w:spacing w:val="40"/>
          <w:sz w:val="24"/>
        </w:rPr>
        <w:t> </w:t>
      </w:r>
      <w:r>
        <w:rPr>
          <w:sz w:val="24"/>
        </w:rPr>
        <w:t>open</w:t>
      </w:r>
      <w:r>
        <w:rPr>
          <w:spacing w:val="40"/>
          <w:sz w:val="24"/>
        </w:rPr>
        <w:t> </w:t>
      </w:r>
      <w:r>
        <w:rPr>
          <w:sz w:val="24"/>
        </w:rPr>
        <w:t>space.</w:t>
      </w:r>
      <w:r>
        <w:rPr>
          <w:spacing w:val="40"/>
          <w:sz w:val="24"/>
        </w:rPr>
        <w:t> </w:t>
      </w:r>
      <w:r>
        <w:rPr>
          <w:sz w:val="24"/>
        </w:rPr>
        <w:t>The restrictions of height of the building spelt out in this Regulation shall however,</w:t>
      </w:r>
      <w:r>
        <w:rPr>
          <w:spacing w:val="40"/>
          <w:sz w:val="24"/>
        </w:rPr>
        <w:t> </w:t>
      </w:r>
      <w:r>
        <w:rPr>
          <w:sz w:val="24"/>
        </w:rPr>
        <w:t>cease</w:t>
      </w:r>
      <w:r>
        <w:rPr>
          <w:spacing w:val="40"/>
          <w:sz w:val="24"/>
        </w:rPr>
        <w:t> </w:t>
      </w:r>
      <w:r>
        <w:rPr>
          <w:sz w:val="24"/>
        </w:rPr>
        <w:t>to</w:t>
      </w:r>
      <w:r>
        <w:rPr>
          <w:spacing w:val="40"/>
          <w:sz w:val="24"/>
        </w:rPr>
        <w:t> </w:t>
      </w:r>
      <w:r>
        <w:rPr>
          <w:sz w:val="24"/>
        </w:rPr>
        <w:t>apply</w:t>
      </w:r>
      <w:r>
        <w:rPr>
          <w:spacing w:val="40"/>
          <w:sz w:val="24"/>
        </w:rPr>
        <w:t> </w:t>
      </w:r>
      <w:r>
        <w:rPr>
          <w:sz w:val="24"/>
        </w:rPr>
        <w:t>in</w:t>
      </w:r>
      <w:r>
        <w:rPr>
          <w:spacing w:val="40"/>
          <w:sz w:val="24"/>
        </w:rPr>
        <w:t> </w:t>
      </w:r>
      <w:r>
        <w:rPr>
          <w:sz w:val="24"/>
        </w:rPr>
        <w:t>case</w:t>
      </w:r>
      <w:r>
        <w:rPr>
          <w:spacing w:val="40"/>
          <w:sz w:val="24"/>
        </w:rPr>
        <w:t> </w:t>
      </w:r>
      <w:r>
        <w:rPr>
          <w:sz w:val="24"/>
        </w:rPr>
        <w:t>where</w:t>
      </w:r>
      <w:r>
        <w:rPr>
          <w:spacing w:val="40"/>
          <w:sz w:val="24"/>
        </w:rPr>
        <w:t> </w:t>
      </w:r>
      <w:r>
        <w:rPr>
          <w:sz w:val="24"/>
        </w:rPr>
        <w:t>the</w:t>
      </w:r>
      <w:r>
        <w:rPr>
          <w:spacing w:val="40"/>
          <w:sz w:val="24"/>
        </w:rPr>
        <w:t> </w:t>
      </w:r>
      <w:r>
        <w:rPr>
          <w:sz w:val="24"/>
        </w:rPr>
        <w:t>plot</w:t>
      </w:r>
      <w:r>
        <w:rPr>
          <w:spacing w:val="40"/>
          <w:sz w:val="24"/>
        </w:rPr>
        <w:t> </w:t>
      </w:r>
      <w:r>
        <w:rPr>
          <w:sz w:val="24"/>
        </w:rPr>
        <w:t>fronts</w:t>
      </w:r>
      <w:r>
        <w:rPr>
          <w:spacing w:val="40"/>
          <w:sz w:val="24"/>
        </w:rPr>
        <w:t> </w:t>
      </w:r>
      <w:r>
        <w:rPr>
          <w:sz w:val="24"/>
        </w:rPr>
        <w:t>on</w:t>
      </w:r>
      <w:r>
        <w:rPr>
          <w:spacing w:val="40"/>
          <w:sz w:val="24"/>
        </w:rPr>
        <w:t> </w:t>
      </w:r>
      <w:r>
        <w:rPr>
          <w:sz w:val="24"/>
        </w:rPr>
        <w:t>road</w:t>
      </w:r>
      <w:r>
        <w:rPr>
          <w:spacing w:val="40"/>
          <w:sz w:val="24"/>
        </w:rPr>
        <w:t> </w:t>
      </w:r>
      <w:r>
        <w:rPr>
          <w:spacing w:val="9"/>
          <w:sz w:val="24"/>
        </w:rPr>
        <w:t>having </w:t>
      </w:r>
      <w:r>
        <w:rPr>
          <w:sz w:val="24"/>
        </w:rPr>
        <w:t>width</w:t>
      </w:r>
      <w:r>
        <w:rPr>
          <w:spacing w:val="40"/>
          <w:sz w:val="24"/>
        </w:rPr>
        <w:t> </w:t>
      </w:r>
      <w:r>
        <w:rPr>
          <w:sz w:val="24"/>
        </w:rPr>
        <w:t>as</w:t>
      </w:r>
      <w:r>
        <w:rPr>
          <w:spacing w:val="40"/>
          <w:sz w:val="24"/>
        </w:rPr>
        <w:t> </w:t>
      </w:r>
      <w:r>
        <w:rPr>
          <w:sz w:val="24"/>
        </w:rPr>
        <w:t>specified</w:t>
      </w:r>
      <w:r>
        <w:rPr>
          <w:spacing w:val="40"/>
          <w:sz w:val="24"/>
        </w:rPr>
        <w:t> </w:t>
      </w:r>
      <w:r>
        <w:rPr>
          <w:sz w:val="24"/>
        </w:rPr>
        <w:t>in</w:t>
      </w:r>
      <w:r>
        <w:rPr>
          <w:spacing w:val="40"/>
          <w:sz w:val="24"/>
        </w:rPr>
        <w:t> </w:t>
      </w:r>
      <w:r>
        <w:rPr>
          <w:sz w:val="24"/>
        </w:rPr>
        <w:t>Regulation</w:t>
      </w:r>
      <w:r>
        <w:rPr>
          <w:spacing w:val="40"/>
          <w:sz w:val="24"/>
        </w:rPr>
        <w:t> </w:t>
      </w:r>
      <w:r>
        <w:rPr>
          <w:sz w:val="24"/>
        </w:rPr>
        <w:t>No.19</w:t>
      </w:r>
      <w:r>
        <w:rPr>
          <w:spacing w:val="40"/>
          <w:sz w:val="24"/>
        </w:rPr>
        <w:t> </w:t>
      </w:r>
      <w:r>
        <w:rPr>
          <w:sz w:val="24"/>
        </w:rPr>
        <w:t>and</w:t>
      </w:r>
      <w:r>
        <w:rPr>
          <w:spacing w:val="40"/>
          <w:sz w:val="24"/>
        </w:rPr>
        <w:t> </w:t>
      </w:r>
      <w:r>
        <w:rPr>
          <w:sz w:val="24"/>
        </w:rPr>
        <w:t>where</w:t>
      </w:r>
      <w:r>
        <w:rPr>
          <w:spacing w:val="40"/>
          <w:sz w:val="24"/>
        </w:rPr>
        <w:t> </w:t>
      </w:r>
      <w:r>
        <w:rPr>
          <w:sz w:val="24"/>
        </w:rPr>
        <w:t>front</w:t>
      </w:r>
      <w:r>
        <w:rPr>
          <w:spacing w:val="40"/>
          <w:sz w:val="24"/>
        </w:rPr>
        <w:t> </w:t>
      </w:r>
      <w:r>
        <w:rPr>
          <w:sz w:val="24"/>
        </w:rPr>
        <w:t>marginal</w:t>
      </w:r>
      <w:r>
        <w:rPr>
          <w:spacing w:val="40"/>
          <w:sz w:val="24"/>
        </w:rPr>
        <w:t> </w:t>
      </w:r>
      <w:r>
        <w:rPr>
          <w:sz w:val="24"/>
        </w:rPr>
        <w:t>open space</w:t>
      </w:r>
      <w:r>
        <w:rPr>
          <w:spacing w:val="40"/>
          <w:sz w:val="24"/>
        </w:rPr>
        <w:t> </w:t>
      </w:r>
      <w:r>
        <w:rPr>
          <w:sz w:val="24"/>
        </w:rPr>
        <w:t>of</w:t>
      </w:r>
      <w:r>
        <w:rPr>
          <w:spacing w:val="40"/>
          <w:sz w:val="24"/>
        </w:rPr>
        <w:t> </w:t>
      </w:r>
      <w:r>
        <w:rPr>
          <w:sz w:val="24"/>
        </w:rPr>
        <w:t>minimum</w:t>
      </w:r>
      <w:r>
        <w:rPr>
          <w:spacing w:val="40"/>
          <w:sz w:val="24"/>
        </w:rPr>
        <w:t> </w:t>
      </w:r>
      <w:r>
        <w:rPr>
          <w:sz w:val="24"/>
        </w:rPr>
        <w:t>9m</w:t>
      </w:r>
      <w:r>
        <w:rPr>
          <w:spacing w:val="40"/>
          <w:sz w:val="24"/>
        </w:rPr>
        <w:t> </w:t>
      </w:r>
      <w:r>
        <w:rPr>
          <w:sz w:val="24"/>
        </w:rPr>
        <w:t>in</w:t>
      </w:r>
      <w:r>
        <w:rPr>
          <w:spacing w:val="40"/>
          <w:sz w:val="24"/>
        </w:rPr>
        <w:t> </w:t>
      </w:r>
      <w:r>
        <w:rPr>
          <w:sz w:val="24"/>
        </w:rPr>
        <w:t>case</w:t>
      </w:r>
      <w:r>
        <w:rPr>
          <w:spacing w:val="40"/>
          <w:sz w:val="24"/>
        </w:rPr>
        <w:t> </w:t>
      </w:r>
      <w:r>
        <w:rPr>
          <w:sz w:val="24"/>
        </w:rPr>
        <w:t>of</w:t>
      </w:r>
      <w:r>
        <w:rPr>
          <w:spacing w:val="40"/>
          <w:sz w:val="24"/>
        </w:rPr>
        <w:t> </w:t>
      </w:r>
      <w:r>
        <w:rPr>
          <w:sz w:val="24"/>
        </w:rPr>
        <w:t>abutting</w:t>
      </w:r>
      <w:r>
        <w:rPr>
          <w:spacing w:val="40"/>
          <w:sz w:val="24"/>
        </w:rPr>
        <w:t> </w:t>
      </w:r>
      <w:r>
        <w:rPr>
          <w:sz w:val="24"/>
        </w:rPr>
        <w:t>road</w:t>
      </w:r>
      <w:r>
        <w:rPr>
          <w:spacing w:val="40"/>
          <w:sz w:val="24"/>
        </w:rPr>
        <w:t> </w:t>
      </w:r>
      <w:r>
        <w:rPr>
          <w:sz w:val="24"/>
        </w:rPr>
        <w:t>having</w:t>
      </w:r>
      <w:r>
        <w:rPr>
          <w:spacing w:val="40"/>
          <w:sz w:val="24"/>
        </w:rPr>
        <w:t> </w:t>
      </w:r>
      <w:r>
        <w:rPr>
          <w:sz w:val="24"/>
        </w:rPr>
        <w:t>width</w:t>
      </w:r>
      <w:r>
        <w:rPr>
          <w:spacing w:val="40"/>
          <w:sz w:val="24"/>
        </w:rPr>
        <w:t> </w:t>
      </w:r>
      <w:r>
        <w:rPr>
          <w:sz w:val="24"/>
        </w:rPr>
        <w:t>up</w:t>
      </w:r>
      <w:r>
        <w:rPr>
          <w:spacing w:val="40"/>
          <w:sz w:val="24"/>
        </w:rPr>
        <w:t> </w:t>
      </w:r>
      <w:r>
        <w:rPr>
          <w:sz w:val="24"/>
        </w:rPr>
        <w:t>to</w:t>
      </w:r>
      <w:r>
        <w:rPr>
          <w:spacing w:val="40"/>
          <w:sz w:val="24"/>
        </w:rPr>
        <w:t> </w:t>
      </w:r>
      <w:r>
        <w:rPr>
          <w:sz w:val="24"/>
        </w:rPr>
        <w:t>9m &amp;12 m in case of abutting road having width more than 12 m or more is available,</w:t>
      </w:r>
      <w:r>
        <w:rPr>
          <w:spacing w:val="39"/>
          <w:sz w:val="24"/>
        </w:rPr>
        <w:t> </w:t>
      </w:r>
      <w:r>
        <w:rPr>
          <w:sz w:val="24"/>
        </w:rPr>
        <w:t>provided</w:t>
      </w:r>
      <w:r>
        <w:rPr>
          <w:spacing w:val="40"/>
          <w:sz w:val="24"/>
        </w:rPr>
        <w:t> </w:t>
      </w:r>
      <w:r>
        <w:rPr>
          <w:sz w:val="24"/>
        </w:rPr>
        <w:t>that</w:t>
      </w:r>
      <w:r>
        <w:rPr>
          <w:spacing w:val="39"/>
          <w:sz w:val="24"/>
        </w:rPr>
        <w:t> </w:t>
      </w:r>
      <w:r>
        <w:rPr>
          <w:sz w:val="24"/>
        </w:rPr>
        <w:t>open</w:t>
      </w:r>
      <w:r>
        <w:rPr>
          <w:spacing w:val="39"/>
          <w:sz w:val="24"/>
        </w:rPr>
        <w:t> </w:t>
      </w:r>
      <w:r>
        <w:rPr>
          <w:sz w:val="24"/>
        </w:rPr>
        <w:t>spaces</w:t>
      </w:r>
      <w:r>
        <w:rPr>
          <w:spacing w:val="40"/>
          <w:sz w:val="24"/>
        </w:rPr>
        <w:t> </w:t>
      </w:r>
      <w:r>
        <w:rPr>
          <w:sz w:val="24"/>
        </w:rPr>
        <w:t>as</w:t>
      </w:r>
      <w:r>
        <w:rPr>
          <w:spacing w:val="40"/>
          <w:sz w:val="24"/>
        </w:rPr>
        <w:t> </w:t>
      </w:r>
      <w:r>
        <w:rPr>
          <w:sz w:val="24"/>
        </w:rPr>
        <w:t>on</w:t>
      </w:r>
      <w:r>
        <w:rPr>
          <w:spacing w:val="39"/>
          <w:sz w:val="24"/>
        </w:rPr>
        <w:t> </w:t>
      </w:r>
      <w:r>
        <w:rPr>
          <w:sz w:val="24"/>
        </w:rPr>
        <w:t>other</w:t>
      </w:r>
      <w:r>
        <w:rPr>
          <w:spacing w:val="39"/>
          <w:sz w:val="24"/>
        </w:rPr>
        <w:t> </w:t>
      </w:r>
      <w:r>
        <w:rPr>
          <w:sz w:val="24"/>
        </w:rPr>
        <w:t>sides</w:t>
      </w:r>
      <w:r>
        <w:rPr>
          <w:spacing w:val="40"/>
          <w:sz w:val="24"/>
        </w:rPr>
        <w:t> </w:t>
      </w:r>
      <w:r>
        <w:rPr>
          <w:sz w:val="24"/>
        </w:rPr>
        <w:t>are</w:t>
      </w:r>
      <w:r>
        <w:rPr>
          <w:spacing w:val="40"/>
          <w:sz w:val="24"/>
        </w:rPr>
        <w:t> </w:t>
      </w:r>
      <w:r>
        <w:rPr>
          <w:sz w:val="24"/>
        </w:rPr>
        <w:t>made</w:t>
      </w:r>
      <w:r>
        <w:rPr>
          <w:spacing w:val="39"/>
          <w:sz w:val="24"/>
        </w:rPr>
        <w:t> </w:t>
      </w:r>
      <w:r>
        <w:rPr>
          <w:sz w:val="24"/>
        </w:rPr>
        <w:t>available as</w:t>
      </w:r>
      <w:r>
        <w:rPr>
          <w:spacing w:val="40"/>
          <w:sz w:val="24"/>
        </w:rPr>
        <w:t> </w:t>
      </w:r>
      <w:r>
        <w:rPr>
          <w:sz w:val="24"/>
        </w:rPr>
        <w:t>required</w:t>
      </w:r>
      <w:r>
        <w:rPr>
          <w:spacing w:val="40"/>
          <w:sz w:val="24"/>
        </w:rPr>
        <w:t> </w:t>
      </w:r>
      <w:r>
        <w:rPr>
          <w:sz w:val="24"/>
        </w:rPr>
        <w:t>from</w:t>
      </w:r>
      <w:r>
        <w:rPr>
          <w:spacing w:val="40"/>
          <w:sz w:val="24"/>
        </w:rPr>
        <w:t> </w:t>
      </w:r>
      <w:r>
        <w:rPr>
          <w:sz w:val="24"/>
        </w:rPr>
        <w:t>the</w:t>
      </w:r>
      <w:r>
        <w:rPr>
          <w:spacing w:val="40"/>
          <w:sz w:val="24"/>
        </w:rPr>
        <w:t> </w:t>
      </w:r>
      <w:r>
        <w:rPr>
          <w:sz w:val="24"/>
        </w:rPr>
        <w:t>fire</w:t>
      </w:r>
      <w:r>
        <w:rPr>
          <w:spacing w:val="40"/>
          <w:sz w:val="24"/>
        </w:rPr>
        <w:t> </w:t>
      </w:r>
      <w:r>
        <w:rPr>
          <w:sz w:val="24"/>
        </w:rPr>
        <w:t>safety</w:t>
      </w:r>
      <w:r>
        <w:rPr>
          <w:spacing w:val="40"/>
          <w:sz w:val="24"/>
        </w:rPr>
        <w:t> </w:t>
      </w:r>
      <w:r>
        <w:rPr>
          <w:sz w:val="24"/>
        </w:rPr>
        <w:t>point</w:t>
      </w:r>
      <w:r>
        <w:rPr>
          <w:spacing w:val="40"/>
          <w:sz w:val="24"/>
        </w:rPr>
        <w:t> </w:t>
      </w:r>
      <w:r>
        <w:rPr>
          <w:sz w:val="24"/>
        </w:rPr>
        <w:t>of</w:t>
      </w:r>
      <w:r>
        <w:rPr>
          <w:spacing w:val="40"/>
          <w:sz w:val="24"/>
        </w:rPr>
        <w:t> </w:t>
      </w:r>
      <w:r>
        <w:rPr>
          <w:sz w:val="24"/>
        </w:rPr>
        <w:t>view.</w:t>
      </w:r>
    </w:p>
    <w:p>
      <w:pPr>
        <w:pStyle w:val="BodyText"/>
        <w:spacing w:before="1"/>
        <w:ind w:left="1313" w:right="794" w:firstLine="359"/>
      </w:pPr>
      <w:r>
        <w:rPr/>
        <w:t>Explanation-</w:t>
      </w:r>
      <w:r>
        <w:rPr>
          <w:spacing w:val="80"/>
        </w:rPr>
        <w:t> </w:t>
      </w:r>
      <w:r>
        <w:rPr/>
        <w:t>(i)</w:t>
      </w:r>
      <w:r>
        <w:rPr>
          <w:spacing w:val="80"/>
        </w:rPr>
        <w:t> </w:t>
      </w:r>
      <w:r>
        <w:rPr/>
        <w:t>"Prescribed</w:t>
      </w:r>
      <w:r>
        <w:rPr>
          <w:spacing w:val="80"/>
        </w:rPr>
        <w:t> </w:t>
      </w:r>
      <w:r>
        <w:rPr/>
        <w:t>width"</w:t>
      </w:r>
      <w:r>
        <w:rPr>
          <w:spacing w:val="80"/>
        </w:rPr>
        <w:t> </w:t>
      </w:r>
      <w:r>
        <w:rPr/>
        <w:t>here</w:t>
      </w:r>
      <w:r>
        <w:rPr>
          <w:spacing w:val="80"/>
        </w:rPr>
        <w:t> </w:t>
      </w:r>
      <w:r>
        <w:rPr/>
        <w:t>means</w:t>
      </w:r>
      <w:r>
        <w:rPr>
          <w:spacing w:val="80"/>
        </w:rPr>
        <w:t> </w:t>
      </w:r>
      <w:r>
        <w:rPr/>
        <w:t>the</w:t>
      </w:r>
      <w:r>
        <w:rPr>
          <w:spacing w:val="80"/>
        </w:rPr>
        <w:t> </w:t>
      </w:r>
      <w:r>
        <w:rPr/>
        <w:t>width</w:t>
      </w:r>
      <w:r>
        <w:rPr>
          <w:spacing w:val="80"/>
        </w:rPr>
        <w:t> </w:t>
      </w:r>
      <w:r>
        <w:rPr/>
        <w:t>prescribed in the</w:t>
      </w:r>
      <w:r>
        <w:rPr>
          <w:spacing w:val="40"/>
        </w:rPr>
        <w:t> </w:t>
      </w:r>
      <w:r>
        <w:rPr/>
        <w:t>DP or</w:t>
      </w:r>
      <w:r>
        <w:rPr>
          <w:spacing w:val="40"/>
        </w:rPr>
        <w:t> </w:t>
      </w:r>
      <w:r>
        <w:rPr/>
        <w:t>the</w:t>
      </w:r>
      <w:r>
        <w:rPr>
          <w:spacing w:val="40"/>
        </w:rPr>
        <w:t> </w:t>
      </w:r>
      <w:r>
        <w:rPr/>
        <w:t>width resulting from</w:t>
      </w:r>
      <w:r>
        <w:rPr>
          <w:spacing w:val="40"/>
        </w:rPr>
        <w:t> </w:t>
      </w:r>
      <w:r>
        <w:rPr/>
        <w:t>the prescription of a sanctioned regular</w:t>
      </w:r>
      <w:r>
        <w:rPr>
          <w:spacing w:val="40"/>
        </w:rPr>
        <w:t> </w:t>
      </w:r>
      <w:r>
        <w:rPr/>
        <w:t>line</w:t>
      </w:r>
      <w:r>
        <w:rPr>
          <w:spacing w:val="40"/>
        </w:rPr>
        <w:t> </w:t>
      </w:r>
      <w:r>
        <w:rPr/>
        <w:t>of</w:t>
      </w:r>
      <w:r>
        <w:rPr>
          <w:spacing w:val="40"/>
        </w:rPr>
        <w:t> </w:t>
      </w:r>
      <w:r>
        <w:rPr/>
        <w:t>the</w:t>
      </w:r>
      <w:r>
        <w:rPr>
          <w:spacing w:val="40"/>
        </w:rPr>
        <w:t> </w:t>
      </w:r>
      <w:r>
        <w:rPr/>
        <w:t>street</w:t>
      </w:r>
      <w:r>
        <w:rPr>
          <w:spacing w:val="40"/>
        </w:rPr>
        <w:t> </w:t>
      </w:r>
      <w:r>
        <w:rPr/>
        <w:t>under</w:t>
      </w:r>
      <w:r>
        <w:rPr>
          <w:spacing w:val="40"/>
        </w:rPr>
        <w:t> </w:t>
      </w:r>
      <w:r>
        <w:rPr/>
        <w:t>the</w:t>
      </w:r>
      <w:r>
        <w:rPr>
          <w:spacing w:val="40"/>
        </w:rPr>
        <w:t> </w:t>
      </w:r>
      <w:r>
        <w:rPr/>
        <w:t>MMC</w:t>
      </w:r>
      <w:r>
        <w:rPr>
          <w:spacing w:val="40"/>
        </w:rPr>
        <w:t> </w:t>
      </w:r>
      <w:r>
        <w:rPr/>
        <w:t>Act,</w:t>
      </w:r>
      <w:r>
        <w:rPr>
          <w:spacing w:val="40"/>
        </w:rPr>
        <w:t> </w:t>
      </w:r>
      <w:r>
        <w:rPr/>
        <w:t>whichever</w:t>
      </w:r>
      <w:r>
        <w:rPr>
          <w:spacing w:val="40"/>
        </w:rPr>
        <w:t> </w:t>
      </w:r>
      <w:r>
        <w:rPr/>
        <w:t>is</w:t>
      </w:r>
      <w:r>
        <w:rPr>
          <w:spacing w:val="40"/>
        </w:rPr>
        <w:t> </w:t>
      </w:r>
      <w:r>
        <w:rPr/>
        <w:t>larger.</w:t>
      </w:r>
    </w:p>
    <w:p>
      <w:pPr>
        <w:pStyle w:val="BodyText"/>
        <w:ind w:left="1313" w:right="783"/>
      </w:pPr>
      <w:r>
        <w:rPr/>
        <w:t>(ii) If a building abuts two or more streets of different widths, it shall be deemed</w:t>
      </w:r>
      <w:r>
        <w:rPr>
          <w:spacing w:val="40"/>
        </w:rPr>
        <w:t> </w:t>
      </w:r>
      <w:r>
        <w:rPr/>
        <w:t>for</w:t>
      </w:r>
      <w:r>
        <w:rPr>
          <w:spacing w:val="40"/>
        </w:rPr>
        <w:t> </w:t>
      </w:r>
      <w:r>
        <w:rPr/>
        <w:t>the</w:t>
      </w:r>
      <w:r>
        <w:rPr>
          <w:spacing w:val="40"/>
        </w:rPr>
        <w:t> </w:t>
      </w:r>
      <w:r>
        <w:rPr/>
        <w:t>purpose</w:t>
      </w:r>
      <w:r>
        <w:rPr>
          <w:spacing w:val="40"/>
        </w:rPr>
        <w:t> </w:t>
      </w:r>
      <w:r>
        <w:rPr/>
        <w:t>of</w:t>
      </w:r>
      <w:r>
        <w:rPr>
          <w:spacing w:val="40"/>
        </w:rPr>
        <w:t> </w:t>
      </w:r>
      <w:r>
        <w:rPr/>
        <w:t>this</w:t>
      </w:r>
      <w:r>
        <w:rPr>
          <w:spacing w:val="40"/>
        </w:rPr>
        <w:t> </w:t>
      </w:r>
      <w:r>
        <w:rPr/>
        <w:t>Regulation</w:t>
      </w:r>
      <w:r>
        <w:rPr>
          <w:spacing w:val="40"/>
        </w:rPr>
        <w:t> </w:t>
      </w:r>
      <w:r>
        <w:rPr/>
        <w:t>to</w:t>
      </w:r>
      <w:r>
        <w:rPr>
          <w:spacing w:val="40"/>
        </w:rPr>
        <w:t> </w:t>
      </w:r>
      <w:r>
        <w:rPr/>
        <w:t>abut</w:t>
      </w:r>
      <w:r>
        <w:rPr>
          <w:spacing w:val="40"/>
        </w:rPr>
        <w:t> </w:t>
      </w:r>
      <w:r>
        <w:rPr/>
        <w:t>the</w:t>
      </w:r>
      <w:r>
        <w:rPr>
          <w:spacing w:val="40"/>
        </w:rPr>
        <w:t> </w:t>
      </w:r>
      <w:r>
        <w:rPr/>
        <w:t>wider</w:t>
      </w:r>
      <w:r>
        <w:rPr>
          <w:spacing w:val="40"/>
        </w:rPr>
        <w:t> </w:t>
      </w:r>
      <w:r>
        <w:rPr>
          <w:spacing w:val="9"/>
        </w:rPr>
        <w:t>street</w:t>
      </w:r>
    </w:p>
    <w:p>
      <w:pPr>
        <w:pStyle w:val="BodyText"/>
        <w:spacing w:before="241"/>
        <w:ind w:left="1313" w:right="773" w:firstLine="359"/>
      </w:pPr>
      <w:r>
        <w:rPr/>
        <w:t>Provided</w:t>
      </w:r>
      <w:r>
        <w:rPr>
          <w:spacing w:val="40"/>
        </w:rPr>
        <w:t> </w:t>
      </w:r>
      <w:r>
        <w:rPr/>
        <w:t>however,</w:t>
      </w:r>
      <w:r>
        <w:rPr>
          <w:spacing w:val="40"/>
        </w:rPr>
        <w:t> </w:t>
      </w:r>
      <w:r>
        <w:rPr/>
        <w:t>that</w:t>
      </w:r>
      <w:r>
        <w:rPr>
          <w:spacing w:val="40"/>
        </w:rPr>
        <w:t> </w:t>
      </w:r>
      <w:r>
        <w:rPr/>
        <w:t>restrictions</w:t>
      </w:r>
      <w:r>
        <w:rPr>
          <w:spacing w:val="40"/>
        </w:rPr>
        <w:t> </w:t>
      </w:r>
      <w:r>
        <w:rPr/>
        <w:t>on</w:t>
      </w:r>
      <w:r>
        <w:rPr>
          <w:spacing w:val="40"/>
        </w:rPr>
        <w:t> </w:t>
      </w:r>
      <w:r>
        <w:rPr/>
        <w:t>height</w:t>
      </w:r>
      <w:r>
        <w:rPr>
          <w:spacing w:val="40"/>
        </w:rPr>
        <w:t> </w:t>
      </w:r>
      <w:r>
        <w:rPr/>
        <w:t>spelt</w:t>
      </w:r>
      <w:r>
        <w:rPr>
          <w:spacing w:val="40"/>
        </w:rPr>
        <w:t> </w:t>
      </w:r>
      <w:r>
        <w:rPr/>
        <w:t>out</w:t>
      </w:r>
      <w:r>
        <w:rPr>
          <w:spacing w:val="40"/>
        </w:rPr>
        <w:t> </w:t>
      </w:r>
      <w:r>
        <w:rPr/>
        <w:t>in</w:t>
      </w:r>
      <w:r>
        <w:rPr>
          <w:spacing w:val="40"/>
        </w:rPr>
        <w:t> </w:t>
      </w:r>
      <w:r>
        <w:rPr/>
        <w:t>this Regulations</w:t>
      </w:r>
      <w:r>
        <w:rPr>
          <w:spacing w:val="80"/>
        </w:rPr>
        <w:t> </w:t>
      </w:r>
      <w:r>
        <w:rPr/>
        <w:t>shall</w:t>
      </w:r>
      <w:r>
        <w:rPr>
          <w:spacing w:val="80"/>
        </w:rPr>
        <w:t> </w:t>
      </w:r>
      <w:r>
        <w:rPr/>
        <w:t>not</w:t>
      </w:r>
      <w:r>
        <w:rPr>
          <w:spacing w:val="80"/>
        </w:rPr>
        <w:t> </w:t>
      </w:r>
      <w:r>
        <w:rPr/>
        <w:t>be</w:t>
      </w:r>
      <w:r>
        <w:rPr>
          <w:spacing w:val="80"/>
        </w:rPr>
        <w:t> </w:t>
      </w:r>
      <w:r>
        <w:rPr/>
        <w:t>applicable</w:t>
      </w:r>
      <w:r>
        <w:rPr>
          <w:spacing w:val="80"/>
        </w:rPr>
        <w:t> </w:t>
      </w:r>
      <w:r>
        <w:rPr/>
        <w:t>for</w:t>
      </w:r>
      <w:r>
        <w:rPr>
          <w:spacing w:val="80"/>
        </w:rPr>
        <w:t> </w:t>
      </w:r>
      <w:r>
        <w:rPr/>
        <w:t>reconstruction</w:t>
      </w:r>
      <w:r>
        <w:rPr>
          <w:spacing w:val="80"/>
        </w:rPr>
        <w:t> </w:t>
      </w:r>
      <w:r>
        <w:rPr/>
        <w:t>and redevelopment undertaken underRegulations33(5), 33(6), </w:t>
      </w:r>
      <w:r>
        <w:rPr>
          <w:spacing w:val="9"/>
        </w:rPr>
        <w:t>33(7), 33(7)(A),,33(9),33(9)(B),33(10),33(10)</w:t>
      </w:r>
      <w:r>
        <w:rPr>
          <w:spacing w:val="80"/>
          <w:w w:val="150"/>
        </w:rPr>
        <w:t> </w:t>
      </w:r>
      <w:r>
        <w:rPr>
          <w:spacing w:val="9"/>
        </w:rPr>
        <w:t>(A),33(11),33(15)and33(20)</w:t>
      </w:r>
      <w:r>
        <w:rPr>
          <w:spacing w:val="80"/>
          <w:w w:val="150"/>
        </w:rPr>
        <w:t> </w:t>
      </w:r>
      <w:r>
        <w:rPr>
          <w:spacing w:val="9"/>
        </w:rPr>
        <w:t>(A)of</w:t>
      </w:r>
    </w:p>
    <w:p>
      <w:pPr>
        <w:pStyle w:val="BodyText"/>
        <w:spacing w:before="1"/>
        <w:ind w:left="1313"/>
      </w:pPr>
      <w:r>
        <w:rPr/>
        <w:t>these</w:t>
      </w:r>
      <w:r>
        <w:rPr>
          <w:spacing w:val="55"/>
        </w:rPr>
        <w:t> </w:t>
      </w:r>
      <w:r>
        <w:rPr>
          <w:spacing w:val="-2"/>
        </w:rPr>
        <w:t>Regulations.</w:t>
      </w:r>
    </w:p>
    <w:p>
      <w:pPr>
        <w:pStyle w:val="ListParagraph"/>
        <w:numPr>
          <w:ilvl w:val="1"/>
          <w:numId w:val="263"/>
        </w:numPr>
        <w:tabs>
          <w:tab w:pos="1671" w:val="left" w:leader="none"/>
        </w:tabs>
        <w:spacing w:line="240" w:lineRule="auto" w:before="119" w:after="0"/>
        <w:ind w:left="1313" w:right="773" w:firstLine="0"/>
        <w:jc w:val="both"/>
        <w:rPr>
          <w:sz w:val="24"/>
        </w:rPr>
      </w:pPr>
      <w:r>
        <w:rPr>
          <w:sz w:val="24"/>
        </w:rPr>
        <w:t>Buildings intended for hazardous godowns, storage of </w:t>
      </w:r>
      <w:r>
        <w:rPr>
          <w:spacing w:val="9"/>
          <w:sz w:val="24"/>
        </w:rPr>
        <w:t>inflammable </w:t>
      </w:r>
      <w:r>
        <w:rPr>
          <w:sz w:val="24"/>
        </w:rPr>
        <w:t>materials</w:t>
      </w:r>
      <w:r>
        <w:rPr>
          <w:spacing w:val="80"/>
          <w:sz w:val="24"/>
        </w:rPr>
        <w:t> </w:t>
      </w:r>
      <w:r>
        <w:rPr>
          <w:sz w:val="24"/>
        </w:rPr>
        <w:t>or</w:t>
      </w:r>
      <w:r>
        <w:rPr>
          <w:spacing w:val="80"/>
          <w:sz w:val="24"/>
        </w:rPr>
        <w:t> </w:t>
      </w:r>
      <w:r>
        <w:rPr>
          <w:sz w:val="24"/>
        </w:rPr>
        <w:t>storage</w:t>
      </w:r>
      <w:r>
        <w:rPr>
          <w:spacing w:val="80"/>
          <w:sz w:val="24"/>
        </w:rPr>
        <w:t> </w:t>
      </w:r>
      <w:r>
        <w:rPr>
          <w:sz w:val="24"/>
        </w:rPr>
        <w:t>of</w:t>
      </w:r>
      <w:r>
        <w:rPr>
          <w:spacing w:val="80"/>
          <w:sz w:val="24"/>
        </w:rPr>
        <w:t> </w:t>
      </w:r>
      <w:r>
        <w:rPr>
          <w:sz w:val="24"/>
        </w:rPr>
        <w:t>explosives</w:t>
      </w:r>
      <w:r>
        <w:rPr>
          <w:spacing w:val="80"/>
          <w:sz w:val="24"/>
        </w:rPr>
        <w:t> </w:t>
      </w:r>
      <w:r>
        <w:rPr>
          <w:sz w:val="24"/>
        </w:rPr>
        <w:t>shall</w:t>
      </w:r>
      <w:r>
        <w:rPr>
          <w:spacing w:val="80"/>
          <w:sz w:val="24"/>
        </w:rPr>
        <w:t> </w:t>
      </w:r>
      <w:r>
        <w:rPr>
          <w:sz w:val="24"/>
        </w:rPr>
        <w:t>be</w:t>
      </w:r>
      <w:r>
        <w:rPr>
          <w:spacing w:val="80"/>
          <w:sz w:val="24"/>
        </w:rPr>
        <w:t> </w:t>
      </w:r>
      <w:r>
        <w:rPr>
          <w:spacing w:val="10"/>
          <w:sz w:val="24"/>
        </w:rPr>
        <w:t>single-</w:t>
      </w:r>
      <w:r>
        <w:rPr>
          <w:sz w:val="24"/>
        </w:rPr>
        <w:t>storeyed</w:t>
      </w:r>
      <w:r>
        <w:rPr>
          <w:spacing w:val="80"/>
          <w:sz w:val="24"/>
        </w:rPr>
        <w:t> </w:t>
      </w:r>
      <w:r>
        <w:rPr>
          <w:sz w:val="24"/>
        </w:rPr>
        <w:t>structures </w:t>
      </w:r>
      <w:r>
        <w:rPr>
          <w:spacing w:val="-2"/>
          <w:sz w:val="24"/>
        </w:rPr>
        <w:t>only.</w:t>
      </w:r>
    </w:p>
    <w:p>
      <w:pPr>
        <w:pStyle w:val="BodyText"/>
        <w:spacing w:before="1"/>
        <w:jc w:val="left"/>
      </w:pPr>
    </w:p>
    <w:p>
      <w:pPr>
        <w:pStyle w:val="ListParagraph"/>
        <w:numPr>
          <w:ilvl w:val="1"/>
          <w:numId w:val="263"/>
        </w:numPr>
        <w:tabs>
          <w:tab w:pos="1671" w:val="left" w:leader="none"/>
        </w:tabs>
        <w:spacing w:line="240" w:lineRule="auto" w:before="0" w:after="0"/>
        <w:ind w:left="1313" w:right="795" w:firstLine="0"/>
        <w:jc w:val="both"/>
        <w:rPr>
          <w:sz w:val="24"/>
        </w:rPr>
      </w:pPr>
      <w:r>
        <w:rPr>
          <w:sz w:val="24"/>
        </w:rPr>
        <w:t>The</w:t>
      </w:r>
      <w:r>
        <w:rPr>
          <w:spacing w:val="40"/>
          <w:sz w:val="24"/>
        </w:rPr>
        <w:t> </w:t>
      </w:r>
      <w:r>
        <w:rPr>
          <w:sz w:val="24"/>
        </w:rPr>
        <w:t>height</w:t>
      </w:r>
      <w:r>
        <w:rPr>
          <w:spacing w:val="40"/>
          <w:sz w:val="24"/>
        </w:rPr>
        <w:t> </w:t>
      </w:r>
      <w:r>
        <w:rPr>
          <w:sz w:val="24"/>
        </w:rPr>
        <w:t>and</w:t>
      </w:r>
      <w:r>
        <w:rPr>
          <w:spacing w:val="40"/>
          <w:sz w:val="24"/>
        </w:rPr>
        <w:t> </w:t>
      </w:r>
      <w:r>
        <w:rPr>
          <w:sz w:val="24"/>
        </w:rPr>
        <w:t>character</w:t>
      </w:r>
      <w:r>
        <w:rPr>
          <w:spacing w:val="40"/>
          <w:sz w:val="24"/>
        </w:rPr>
        <w:t> </w:t>
      </w:r>
      <w:r>
        <w:rPr>
          <w:sz w:val="24"/>
        </w:rPr>
        <w:t>of</w:t>
      </w:r>
      <w:r>
        <w:rPr>
          <w:spacing w:val="40"/>
          <w:sz w:val="24"/>
        </w:rPr>
        <w:t> </w:t>
      </w:r>
      <w:r>
        <w:rPr>
          <w:sz w:val="24"/>
        </w:rPr>
        <w:t>an</w:t>
      </w:r>
      <w:r>
        <w:rPr>
          <w:spacing w:val="40"/>
          <w:sz w:val="24"/>
        </w:rPr>
        <w:t> </w:t>
      </w:r>
      <w:r>
        <w:rPr>
          <w:sz w:val="24"/>
        </w:rPr>
        <w:t>industrial</w:t>
      </w:r>
      <w:r>
        <w:rPr>
          <w:spacing w:val="40"/>
          <w:sz w:val="24"/>
        </w:rPr>
        <w:t> </w:t>
      </w:r>
      <w:r>
        <w:rPr>
          <w:sz w:val="24"/>
        </w:rPr>
        <w:t>chimney</w:t>
      </w:r>
      <w:r>
        <w:rPr>
          <w:spacing w:val="40"/>
          <w:sz w:val="24"/>
        </w:rPr>
        <w:t> </w:t>
      </w:r>
      <w:r>
        <w:rPr>
          <w:sz w:val="24"/>
        </w:rPr>
        <w:t>in</w:t>
      </w:r>
      <w:r>
        <w:rPr>
          <w:spacing w:val="40"/>
          <w:sz w:val="24"/>
        </w:rPr>
        <w:t> </w:t>
      </w:r>
      <w:r>
        <w:rPr>
          <w:sz w:val="24"/>
        </w:rPr>
        <w:t>the</w:t>
      </w:r>
      <w:r>
        <w:rPr>
          <w:spacing w:val="40"/>
          <w:sz w:val="24"/>
        </w:rPr>
        <w:t> </w:t>
      </w:r>
      <w:r>
        <w:rPr>
          <w:sz w:val="24"/>
        </w:rPr>
        <w:t>area</w:t>
      </w:r>
      <w:r>
        <w:rPr>
          <w:spacing w:val="40"/>
          <w:sz w:val="24"/>
        </w:rPr>
        <w:t> </w:t>
      </w:r>
      <w:r>
        <w:rPr>
          <w:sz w:val="24"/>
        </w:rPr>
        <w:t>for which clearance of the Civil Aviation Authorities is required under these Regulations</w:t>
      </w:r>
      <w:r>
        <w:rPr>
          <w:spacing w:val="40"/>
          <w:sz w:val="24"/>
        </w:rPr>
        <w:t> </w:t>
      </w:r>
      <w:r>
        <w:rPr>
          <w:sz w:val="24"/>
        </w:rPr>
        <w:t>shall</w:t>
      </w:r>
      <w:r>
        <w:rPr>
          <w:spacing w:val="40"/>
          <w:sz w:val="24"/>
        </w:rPr>
        <w:t> </w:t>
      </w:r>
      <w:r>
        <w:rPr>
          <w:sz w:val="24"/>
        </w:rPr>
        <w:t>be</w:t>
      </w:r>
      <w:r>
        <w:rPr>
          <w:spacing w:val="40"/>
          <w:sz w:val="24"/>
        </w:rPr>
        <w:t> </w:t>
      </w:r>
      <w:r>
        <w:rPr>
          <w:sz w:val="24"/>
        </w:rPr>
        <w:t>prescribed</w:t>
      </w:r>
      <w:r>
        <w:rPr>
          <w:spacing w:val="40"/>
          <w:sz w:val="24"/>
        </w:rPr>
        <w:t> </w:t>
      </w:r>
      <w:r>
        <w:rPr>
          <w:sz w:val="24"/>
        </w:rPr>
        <w:t>by</w:t>
      </w:r>
      <w:r>
        <w:rPr>
          <w:spacing w:val="40"/>
          <w:sz w:val="24"/>
        </w:rPr>
        <w:t> </w:t>
      </w:r>
      <w:r>
        <w:rPr>
          <w:sz w:val="24"/>
        </w:rPr>
        <w:t>the</w:t>
      </w:r>
      <w:r>
        <w:rPr>
          <w:spacing w:val="80"/>
          <w:sz w:val="24"/>
        </w:rPr>
        <w:t> </w:t>
      </w:r>
      <w:r>
        <w:rPr>
          <w:sz w:val="24"/>
        </w:rPr>
        <w:t>Civil</w:t>
      </w:r>
      <w:r>
        <w:rPr>
          <w:spacing w:val="40"/>
          <w:sz w:val="24"/>
        </w:rPr>
        <w:t> </w:t>
      </w:r>
      <w:r>
        <w:rPr>
          <w:sz w:val="24"/>
        </w:rPr>
        <w:t>Aviation</w:t>
      </w:r>
      <w:r>
        <w:rPr>
          <w:spacing w:val="80"/>
          <w:sz w:val="24"/>
        </w:rPr>
        <w:t> </w:t>
      </w:r>
      <w:r>
        <w:rPr>
          <w:spacing w:val="9"/>
          <w:sz w:val="24"/>
        </w:rPr>
        <w:t>Authorities.</w:t>
      </w:r>
    </w:p>
    <w:p>
      <w:pPr>
        <w:pStyle w:val="Heading3"/>
        <w:numPr>
          <w:ilvl w:val="0"/>
          <w:numId w:val="263"/>
        </w:numPr>
        <w:tabs>
          <w:tab w:pos="1809" w:val="left" w:leader="none"/>
        </w:tabs>
        <w:spacing w:line="240" w:lineRule="auto" w:before="277" w:after="0"/>
        <w:ind w:left="1809" w:right="0" w:hanging="1037"/>
        <w:jc w:val="left"/>
        <w:rPr>
          <w:i w:val="0"/>
        </w:rPr>
      </w:pPr>
      <w:r>
        <w:rPr/>
        <w:t>Parking</w:t>
      </w:r>
      <w:r>
        <w:rPr>
          <w:spacing w:val="-13"/>
        </w:rPr>
        <w:t> </w:t>
      </w:r>
      <w:r>
        <w:rPr>
          <w:spacing w:val="-2"/>
        </w:rPr>
        <w:t>Spaces</w:t>
      </w:r>
    </w:p>
    <w:p>
      <w:pPr>
        <w:pStyle w:val="BodyText"/>
        <w:spacing w:before="285"/>
        <w:ind w:left="1313" w:right="778"/>
      </w:pPr>
      <w:r>
        <w:rPr/>
        <w:t>Wherever</w:t>
      </w:r>
      <w:r>
        <w:rPr>
          <w:spacing w:val="40"/>
        </w:rPr>
        <w:t> </w:t>
      </w:r>
      <w:r>
        <w:rPr/>
        <w:t>a</w:t>
      </w:r>
      <w:r>
        <w:rPr>
          <w:spacing w:val="40"/>
        </w:rPr>
        <w:t> </w:t>
      </w:r>
      <w:r>
        <w:rPr/>
        <w:t>property</w:t>
      </w:r>
      <w:r>
        <w:rPr>
          <w:spacing w:val="40"/>
        </w:rPr>
        <w:t> </w:t>
      </w:r>
      <w:r>
        <w:rPr/>
        <w:t>is</w:t>
      </w:r>
      <w:r>
        <w:rPr>
          <w:spacing w:val="40"/>
        </w:rPr>
        <w:t> </w:t>
      </w:r>
      <w:r>
        <w:rPr/>
        <w:t>developed</w:t>
      </w:r>
      <w:r>
        <w:rPr>
          <w:spacing w:val="40"/>
        </w:rPr>
        <w:t> </w:t>
      </w:r>
      <w:r>
        <w:rPr/>
        <w:t>or</w:t>
      </w:r>
      <w:r>
        <w:rPr>
          <w:spacing w:val="40"/>
        </w:rPr>
        <w:t> </w:t>
      </w:r>
      <w:r>
        <w:rPr/>
        <w:t>redeveloped,</w:t>
      </w:r>
      <w:r>
        <w:rPr>
          <w:spacing w:val="40"/>
        </w:rPr>
        <w:t> </w:t>
      </w:r>
      <w:r>
        <w:rPr/>
        <w:t>parking</w:t>
      </w:r>
      <w:r>
        <w:rPr>
          <w:spacing w:val="40"/>
        </w:rPr>
        <w:t> </w:t>
      </w:r>
      <w:r>
        <w:rPr/>
        <w:t>spaces</w:t>
      </w:r>
      <w:r>
        <w:rPr>
          <w:spacing w:val="40"/>
        </w:rPr>
        <w:t> </w:t>
      </w:r>
      <w:r>
        <w:rPr/>
        <w:t>at</w:t>
      </w:r>
      <w:r>
        <w:rPr>
          <w:spacing w:val="40"/>
        </w:rPr>
        <w:t> </w:t>
      </w:r>
      <w:r>
        <w:rPr/>
        <w:t>the scale</w:t>
      </w:r>
      <w:r>
        <w:rPr>
          <w:spacing w:val="40"/>
        </w:rPr>
        <w:t> </w:t>
      </w:r>
      <w:r>
        <w:rPr/>
        <w:t>laid</w:t>
      </w:r>
      <w:r>
        <w:rPr>
          <w:spacing w:val="40"/>
        </w:rPr>
        <w:t> </w:t>
      </w:r>
      <w:r>
        <w:rPr/>
        <w:t>down</w:t>
      </w:r>
      <w:r>
        <w:rPr>
          <w:spacing w:val="40"/>
        </w:rPr>
        <w:t> </w:t>
      </w:r>
      <w:r>
        <w:rPr/>
        <w:t>in</w:t>
      </w:r>
      <w:r>
        <w:rPr>
          <w:spacing w:val="40"/>
        </w:rPr>
        <w:t> </w:t>
      </w:r>
      <w:r>
        <w:rPr/>
        <w:t>these</w:t>
      </w:r>
      <w:r>
        <w:rPr>
          <w:spacing w:val="40"/>
        </w:rPr>
        <w:t> </w:t>
      </w:r>
      <w:r>
        <w:rPr/>
        <w:t>Regulations</w:t>
      </w:r>
      <w:r>
        <w:rPr>
          <w:spacing w:val="40"/>
        </w:rPr>
        <w:t> </w:t>
      </w:r>
      <w:r>
        <w:rPr/>
        <w:t>shall</w:t>
      </w:r>
      <w:r>
        <w:rPr>
          <w:spacing w:val="40"/>
        </w:rPr>
        <w:t> </w:t>
      </w:r>
      <w:r>
        <w:rPr/>
        <w:t>be</w:t>
      </w:r>
      <w:r>
        <w:rPr>
          <w:spacing w:val="40"/>
        </w:rPr>
        <w:t> </w:t>
      </w:r>
      <w:r>
        <w:rPr/>
        <w:t>provided.</w:t>
      </w:r>
      <w:r>
        <w:rPr>
          <w:spacing w:val="40"/>
        </w:rPr>
        <w:t> </w:t>
      </w:r>
      <w:r>
        <w:rPr/>
        <w:t>When</w:t>
      </w:r>
      <w:r>
        <w:rPr>
          <w:spacing w:val="40"/>
        </w:rPr>
        <w:t> </w:t>
      </w:r>
      <w:r>
        <w:rPr/>
        <w:t>additions are made to an existing building, the new parking requirement will be reckoned</w:t>
      </w:r>
      <w:r>
        <w:rPr>
          <w:spacing w:val="37"/>
        </w:rPr>
        <w:t> </w:t>
      </w:r>
      <w:r>
        <w:rPr/>
        <w:t>with</w:t>
      </w:r>
      <w:r>
        <w:rPr>
          <w:spacing w:val="37"/>
        </w:rPr>
        <w:t> </w:t>
      </w:r>
      <w:r>
        <w:rPr/>
        <w:t>reference</w:t>
      </w:r>
      <w:r>
        <w:rPr>
          <w:spacing w:val="37"/>
        </w:rPr>
        <w:t> </w:t>
      </w:r>
      <w:r>
        <w:rPr/>
        <w:t>to</w:t>
      </w:r>
      <w:r>
        <w:rPr>
          <w:spacing w:val="37"/>
        </w:rPr>
        <w:t> </w:t>
      </w:r>
      <w:r>
        <w:rPr/>
        <w:t>the</w:t>
      </w:r>
      <w:r>
        <w:rPr>
          <w:spacing w:val="37"/>
        </w:rPr>
        <w:t> </w:t>
      </w:r>
      <w:r>
        <w:rPr/>
        <w:t>additional</w:t>
      </w:r>
      <w:r>
        <w:rPr>
          <w:spacing w:val="37"/>
        </w:rPr>
        <w:t> </w:t>
      </w:r>
      <w:r>
        <w:rPr/>
        <w:t>space</w:t>
      </w:r>
      <w:r>
        <w:rPr>
          <w:spacing w:val="36"/>
        </w:rPr>
        <w:t> </w:t>
      </w:r>
      <w:r>
        <w:rPr/>
        <w:t>only</w:t>
      </w:r>
      <w:r>
        <w:rPr>
          <w:spacing w:val="36"/>
        </w:rPr>
        <w:t> </w:t>
      </w:r>
      <w:r>
        <w:rPr/>
        <w:t>and</w:t>
      </w:r>
      <w:r>
        <w:rPr>
          <w:spacing w:val="40"/>
        </w:rPr>
        <w:t> </w:t>
      </w:r>
      <w:r>
        <w:rPr/>
        <w:t>not</w:t>
      </w:r>
      <w:r>
        <w:rPr>
          <w:spacing w:val="36"/>
        </w:rPr>
        <w:t> </w:t>
      </w:r>
      <w:r>
        <w:rPr/>
        <w:t>to</w:t>
      </w:r>
      <w:r>
        <w:rPr>
          <w:spacing w:val="36"/>
        </w:rPr>
        <w:t> </w:t>
      </w:r>
      <w:r>
        <w:rPr/>
        <w:t>the</w:t>
      </w:r>
      <w:r>
        <w:rPr>
          <w:spacing w:val="36"/>
        </w:rPr>
        <w:t> </w:t>
      </w:r>
      <w:r>
        <w:rPr/>
        <w:t>whole of</w:t>
      </w:r>
      <w:r>
        <w:rPr>
          <w:spacing w:val="40"/>
        </w:rPr>
        <w:t> </w:t>
      </w:r>
      <w:r>
        <w:rPr/>
        <w:t>the</w:t>
      </w:r>
      <w:r>
        <w:rPr>
          <w:spacing w:val="40"/>
        </w:rPr>
        <w:t> </w:t>
      </w:r>
      <w:r>
        <w:rPr/>
        <w:t>building</w:t>
      </w:r>
      <w:r>
        <w:rPr>
          <w:spacing w:val="40"/>
        </w:rPr>
        <w:t> </w:t>
      </w:r>
      <w:r>
        <w:rPr/>
        <w:t>and</w:t>
      </w:r>
      <w:r>
        <w:rPr>
          <w:spacing w:val="40"/>
        </w:rPr>
        <w:t> </w:t>
      </w:r>
      <w:r>
        <w:rPr/>
        <w:t>to</w:t>
      </w:r>
      <w:r>
        <w:rPr>
          <w:spacing w:val="40"/>
        </w:rPr>
        <w:t> </w:t>
      </w:r>
      <w:r>
        <w:rPr/>
        <w:t>the</w:t>
      </w:r>
      <w:r>
        <w:rPr>
          <w:spacing w:val="40"/>
        </w:rPr>
        <w:t> </w:t>
      </w:r>
      <w:r>
        <w:rPr/>
        <w:t>area</w:t>
      </w:r>
      <w:r>
        <w:rPr>
          <w:spacing w:val="40"/>
        </w:rPr>
        <w:t> </w:t>
      </w:r>
      <w:r>
        <w:rPr/>
        <w:t>where</w:t>
      </w:r>
      <w:r>
        <w:rPr>
          <w:spacing w:val="40"/>
        </w:rPr>
        <w:t> </w:t>
      </w:r>
      <w:r>
        <w:rPr/>
        <w:t>the</w:t>
      </w:r>
      <w:r>
        <w:rPr>
          <w:spacing w:val="40"/>
        </w:rPr>
        <w:t> </w:t>
      </w:r>
      <w:r>
        <w:rPr/>
        <w:t>use</w:t>
      </w:r>
      <w:r>
        <w:rPr>
          <w:spacing w:val="40"/>
        </w:rPr>
        <w:t> </w:t>
      </w:r>
      <w:r>
        <w:rPr/>
        <w:t>is</w:t>
      </w:r>
      <w:r>
        <w:rPr>
          <w:spacing w:val="40"/>
        </w:rPr>
        <w:t> </w:t>
      </w:r>
      <w:r>
        <w:rPr/>
        <w:t>changed.</w:t>
      </w:r>
    </w:p>
    <w:p>
      <w:pPr>
        <w:pStyle w:val="BodyText"/>
        <w:spacing w:before="2"/>
        <w:jc w:val="left"/>
      </w:pPr>
    </w:p>
    <w:p>
      <w:pPr>
        <w:pStyle w:val="ListParagraph"/>
        <w:numPr>
          <w:ilvl w:val="1"/>
          <w:numId w:val="263"/>
        </w:numPr>
        <w:tabs>
          <w:tab w:pos="2210" w:val="left" w:leader="none"/>
        </w:tabs>
        <w:spacing w:line="240" w:lineRule="auto" w:before="0" w:after="0"/>
        <w:ind w:left="2210" w:right="0" w:hanging="897"/>
        <w:jc w:val="both"/>
        <w:rPr>
          <w:sz w:val="24"/>
        </w:rPr>
      </w:pPr>
      <w:r>
        <w:rPr>
          <w:sz w:val="24"/>
        </w:rPr>
        <w:t>General</w:t>
      </w:r>
      <w:r>
        <w:rPr>
          <w:spacing w:val="66"/>
          <w:sz w:val="24"/>
        </w:rPr>
        <w:t> </w:t>
      </w:r>
      <w:r>
        <w:rPr>
          <w:sz w:val="24"/>
        </w:rPr>
        <w:t>Space</w:t>
      </w:r>
      <w:r>
        <w:rPr>
          <w:spacing w:val="66"/>
          <w:sz w:val="24"/>
        </w:rPr>
        <w:t> </w:t>
      </w:r>
      <w:r>
        <w:rPr>
          <w:spacing w:val="-2"/>
          <w:sz w:val="24"/>
        </w:rPr>
        <w:t>Requirement-</w:t>
      </w:r>
    </w:p>
    <w:p>
      <w:pPr>
        <w:pStyle w:val="ListParagraph"/>
        <w:spacing w:after="0" w:line="240" w:lineRule="auto"/>
        <w:jc w:val="both"/>
        <w:rPr>
          <w:sz w:val="24"/>
        </w:rPr>
        <w:sectPr>
          <w:pgSz w:w="11910" w:h="16840"/>
          <w:pgMar w:header="1058" w:footer="1201" w:top="1500" w:bottom="1400" w:left="360" w:right="360"/>
        </w:sectPr>
      </w:pPr>
    </w:p>
    <w:p>
      <w:pPr>
        <w:pStyle w:val="ListParagraph"/>
        <w:numPr>
          <w:ilvl w:val="0"/>
          <w:numId w:val="303"/>
        </w:numPr>
        <w:tabs>
          <w:tab w:pos="1634" w:val="left" w:leader="none"/>
        </w:tabs>
        <w:spacing w:line="240" w:lineRule="auto" w:before="255" w:after="0"/>
        <w:ind w:left="1313" w:right="791" w:firstLine="0"/>
        <w:jc w:val="both"/>
        <w:rPr>
          <w:sz w:val="24"/>
        </w:rPr>
      </w:pPr>
      <w:r>
        <w:rPr>
          <w:spacing w:val="9"/>
          <w:sz w:val="24"/>
        </w:rPr>
        <w:t>Types-</w:t>
      </w:r>
      <w:r>
        <w:rPr>
          <w:sz w:val="24"/>
        </w:rPr>
        <w:t>The parking spaces mentioned below include parking spaces in basements,</w:t>
      </w:r>
      <w:r>
        <w:rPr>
          <w:spacing w:val="40"/>
          <w:sz w:val="24"/>
        </w:rPr>
        <w:t> </w:t>
      </w:r>
      <w:r>
        <w:rPr>
          <w:sz w:val="24"/>
        </w:rPr>
        <w:t>parking</w:t>
      </w:r>
      <w:r>
        <w:rPr>
          <w:spacing w:val="40"/>
          <w:sz w:val="24"/>
        </w:rPr>
        <w:t> </w:t>
      </w:r>
      <w:r>
        <w:rPr>
          <w:sz w:val="24"/>
        </w:rPr>
        <w:t>floor,</w:t>
      </w:r>
      <w:r>
        <w:rPr>
          <w:spacing w:val="40"/>
          <w:sz w:val="24"/>
        </w:rPr>
        <w:t> </w:t>
      </w:r>
      <w:r>
        <w:rPr>
          <w:sz w:val="24"/>
        </w:rPr>
        <w:t>and</w:t>
      </w:r>
      <w:r>
        <w:rPr>
          <w:spacing w:val="40"/>
          <w:sz w:val="24"/>
        </w:rPr>
        <w:t> </w:t>
      </w:r>
      <w:r>
        <w:rPr>
          <w:sz w:val="24"/>
        </w:rPr>
        <w:t>podium</w:t>
      </w:r>
      <w:r>
        <w:rPr>
          <w:spacing w:val="40"/>
          <w:sz w:val="24"/>
        </w:rPr>
        <w:t> </w:t>
      </w:r>
      <w:r>
        <w:rPr>
          <w:sz w:val="24"/>
        </w:rPr>
        <w:t>or</w:t>
      </w:r>
      <w:r>
        <w:rPr>
          <w:spacing w:val="40"/>
          <w:sz w:val="24"/>
        </w:rPr>
        <w:t> </w:t>
      </w:r>
      <w:r>
        <w:rPr>
          <w:sz w:val="24"/>
        </w:rPr>
        <w:t>on</w:t>
      </w:r>
      <w:r>
        <w:rPr>
          <w:spacing w:val="40"/>
          <w:sz w:val="24"/>
        </w:rPr>
        <w:t> </w:t>
      </w:r>
      <w:r>
        <w:rPr>
          <w:sz w:val="24"/>
        </w:rPr>
        <w:t>a</w:t>
      </w:r>
      <w:r>
        <w:rPr>
          <w:spacing w:val="40"/>
          <w:sz w:val="24"/>
        </w:rPr>
        <w:t> </w:t>
      </w:r>
      <w:r>
        <w:rPr>
          <w:sz w:val="24"/>
        </w:rPr>
        <w:t>floor</w:t>
      </w:r>
      <w:r>
        <w:rPr>
          <w:spacing w:val="40"/>
          <w:sz w:val="24"/>
        </w:rPr>
        <w:t> </w:t>
      </w:r>
      <w:r>
        <w:rPr>
          <w:sz w:val="24"/>
        </w:rPr>
        <w:t>supported</w:t>
      </w:r>
      <w:r>
        <w:rPr>
          <w:spacing w:val="40"/>
          <w:sz w:val="24"/>
        </w:rPr>
        <w:t> </w:t>
      </w:r>
      <w:r>
        <w:rPr>
          <w:sz w:val="24"/>
        </w:rPr>
        <w:t>by</w:t>
      </w:r>
      <w:r>
        <w:rPr>
          <w:spacing w:val="40"/>
          <w:sz w:val="24"/>
        </w:rPr>
        <w:t> </w:t>
      </w:r>
      <w:r>
        <w:rPr>
          <w:sz w:val="24"/>
        </w:rPr>
        <w:t>stilts,</w:t>
      </w:r>
      <w:r>
        <w:rPr>
          <w:spacing w:val="40"/>
          <w:sz w:val="24"/>
        </w:rPr>
        <w:t> </w:t>
      </w:r>
      <w:r>
        <w:rPr>
          <w:sz w:val="24"/>
        </w:rPr>
        <w:t>or</w:t>
      </w:r>
      <w:r>
        <w:rPr>
          <w:spacing w:val="40"/>
          <w:sz w:val="24"/>
        </w:rPr>
        <w:t> </w:t>
      </w:r>
      <w:r>
        <w:rPr>
          <w:sz w:val="24"/>
        </w:rPr>
        <w:t>on</w:t>
      </w:r>
      <w:r>
        <w:rPr>
          <w:spacing w:val="40"/>
          <w:sz w:val="24"/>
        </w:rPr>
        <w:t> </w:t>
      </w:r>
      <w:r>
        <w:rPr>
          <w:sz w:val="24"/>
        </w:rPr>
        <w:t>upper</w:t>
      </w:r>
      <w:r>
        <w:rPr>
          <w:spacing w:val="40"/>
          <w:sz w:val="24"/>
        </w:rPr>
        <w:t> </w:t>
      </w:r>
      <w:r>
        <w:rPr>
          <w:sz w:val="24"/>
        </w:rPr>
        <w:t>floors,</w:t>
      </w:r>
      <w:r>
        <w:rPr>
          <w:spacing w:val="40"/>
          <w:sz w:val="24"/>
        </w:rPr>
        <w:t> </w:t>
      </w:r>
      <w:r>
        <w:rPr>
          <w:sz w:val="24"/>
        </w:rPr>
        <w:t>covered</w:t>
      </w:r>
      <w:r>
        <w:rPr>
          <w:spacing w:val="40"/>
          <w:sz w:val="24"/>
        </w:rPr>
        <w:t> </w:t>
      </w:r>
      <w:r>
        <w:rPr>
          <w:sz w:val="24"/>
        </w:rPr>
        <w:t>or</w:t>
      </w:r>
      <w:r>
        <w:rPr>
          <w:spacing w:val="40"/>
          <w:sz w:val="24"/>
        </w:rPr>
        <w:t> </w:t>
      </w:r>
      <w:r>
        <w:rPr>
          <w:sz w:val="24"/>
        </w:rPr>
        <w:t>uncovered</w:t>
      </w:r>
      <w:r>
        <w:rPr>
          <w:spacing w:val="40"/>
          <w:sz w:val="24"/>
        </w:rPr>
        <w:t> </w:t>
      </w:r>
      <w:r>
        <w:rPr>
          <w:sz w:val="24"/>
        </w:rPr>
        <w:t>spaces</w:t>
      </w:r>
      <w:r>
        <w:rPr>
          <w:spacing w:val="40"/>
          <w:sz w:val="24"/>
        </w:rPr>
        <w:t> </w:t>
      </w:r>
      <w:r>
        <w:rPr>
          <w:sz w:val="24"/>
        </w:rPr>
        <w:t>in</w:t>
      </w:r>
      <w:r>
        <w:rPr>
          <w:spacing w:val="40"/>
          <w:sz w:val="24"/>
        </w:rPr>
        <w:t> </w:t>
      </w:r>
      <w:r>
        <w:rPr>
          <w:sz w:val="24"/>
        </w:rPr>
        <w:t>the</w:t>
      </w:r>
      <w:r>
        <w:rPr>
          <w:spacing w:val="40"/>
          <w:sz w:val="24"/>
        </w:rPr>
        <w:t> </w:t>
      </w:r>
      <w:r>
        <w:rPr>
          <w:spacing w:val="9"/>
          <w:sz w:val="24"/>
        </w:rPr>
        <w:t>plot.</w:t>
      </w:r>
    </w:p>
    <w:p>
      <w:pPr>
        <w:pStyle w:val="BodyText"/>
        <w:spacing w:before="1"/>
        <w:jc w:val="left"/>
      </w:pPr>
    </w:p>
    <w:p>
      <w:pPr>
        <w:pStyle w:val="ListParagraph"/>
        <w:numPr>
          <w:ilvl w:val="0"/>
          <w:numId w:val="303"/>
        </w:numPr>
        <w:tabs>
          <w:tab w:pos="1757" w:val="left" w:leader="none"/>
        </w:tabs>
        <w:spacing w:line="240" w:lineRule="auto" w:before="0" w:after="0"/>
        <w:ind w:left="1313" w:right="791" w:firstLine="0"/>
        <w:jc w:val="both"/>
        <w:rPr>
          <w:sz w:val="24"/>
        </w:rPr>
      </w:pPr>
      <w:r>
        <w:rPr>
          <w:sz w:val="24"/>
        </w:rPr>
        <w:t>Size of Parking </w:t>
      </w:r>
      <w:r>
        <w:rPr>
          <w:spacing w:val="10"/>
          <w:sz w:val="24"/>
        </w:rPr>
        <w:t>Space-</w:t>
      </w:r>
      <w:r>
        <w:rPr>
          <w:sz w:val="24"/>
        </w:rPr>
        <w:t>The minimum sizes of parking spaces to be provided</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shown</w:t>
      </w:r>
      <w:r>
        <w:rPr>
          <w:spacing w:val="40"/>
          <w:sz w:val="24"/>
        </w:rPr>
        <w:t> </w:t>
      </w:r>
      <w:r>
        <w:rPr>
          <w:sz w:val="24"/>
        </w:rPr>
        <w:t>below-</w:t>
      </w:r>
    </w:p>
    <w:p>
      <w:pPr>
        <w:pStyle w:val="BodyText"/>
        <w:jc w:val="left"/>
        <w:rPr>
          <w:sz w:val="20"/>
        </w:rPr>
      </w:pPr>
    </w:p>
    <w:p>
      <w:pPr>
        <w:pStyle w:val="BodyText"/>
        <w:jc w:val="left"/>
        <w:rPr>
          <w:sz w:val="20"/>
        </w:rPr>
      </w:pPr>
    </w:p>
    <w:p>
      <w:pPr>
        <w:pStyle w:val="BodyText"/>
        <w:jc w:val="left"/>
        <w:rPr>
          <w:sz w:val="20"/>
        </w:rPr>
      </w:pPr>
    </w:p>
    <w:p>
      <w:pPr>
        <w:pStyle w:val="BodyText"/>
        <w:spacing w:before="185"/>
        <w:jc w:val="left"/>
        <w:rPr>
          <w:sz w:val="20"/>
        </w:rPr>
      </w:pPr>
      <w:r>
        <w:rPr>
          <w:sz w:val="20"/>
        </w:rPr>
        <mc:AlternateContent>
          <mc:Choice Requires="wps">
            <w:drawing>
              <wp:anchor distT="0" distB="0" distL="0" distR="0" allowOverlap="1" layoutInCell="1" locked="0" behindDoc="1" simplePos="0" relativeHeight="487604224">
                <wp:simplePos x="0" y="0"/>
                <wp:positionH relativeFrom="page">
                  <wp:posOffset>1044244</wp:posOffset>
                </wp:positionH>
                <wp:positionV relativeFrom="paragraph">
                  <wp:posOffset>282124</wp:posOffset>
                </wp:positionV>
                <wp:extent cx="5815330" cy="9525"/>
                <wp:effectExtent l="0" t="0" r="0" b="0"/>
                <wp:wrapTopAndBottom/>
                <wp:docPr id="442" name="Graphic 442"/>
                <wp:cNvGraphicFramePr>
                  <a:graphicFrameLocks/>
                </wp:cNvGraphicFramePr>
                <a:graphic>
                  <a:graphicData uri="http://schemas.microsoft.com/office/word/2010/wordprocessingShape">
                    <wps:wsp>
                      <wps:cNvPr id="442" name="Graphic 442"/>
                      <wps:cNvSpPr/>
                      <wps:spPr>
                        <a:xfrm>
                          <a:off x="0" y="0"/>
                          <a:ext cx="5815330" cy="9525"/>
                        </a:xfrm>
                        <a:custGeom>
                          <a:avLst/>
                          <a:gdLst/>
                          <a:ahLst/>
                          <a:cxnLst/>
                          <a:rect l="l" t="t" r="r" b="b"/>
                          <a:pathLst>
                            <a:path w="5815330" h="9525">
                              <a:moveTo>
                                <a:pt x="5814949" y="0"/>
                              </a:moveTo>
                              <a:lnTo>
                                <a:pt x="0" y="0"/>
                              </a:lnTo>
                              <a:lnTo>
                                <a:pt x="0" y="9144"/>
                              </a:lnTo>
                              <a:lnTo>
                                <a:pt x="5814949" y="9144"/>
                              </a:lnTo>
                              <a:lnTo>
                                <a:pt x="58149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223999pt;margin-top:22.214531pt;width:457.87pt;height:.72pt;mso-position-horizontal-relative:page;mso-position-vertical-relative:paragraph;z-index:-15712256;mso-wrap-distance-left:0;mso-wrap-distance-right:0" id="docshape380" filled="true" fillcolor="#000000" stroked="false">
                <v:fill type="solid"/>
                <w10:wrap type="topAndBottom"/>
              </v:rect>
            </w:pict>
          </mc:Fallback>
        </mc:AlternateContent>
      </w:r>
    </w:p>
    <w:p>
      <w:pPr>
        <w:pStyle w:val="BodyText"/>
        <w:tabs>
          <w:tab w:pos="5736" w:val="left" w:leader="none"/>
        </w:tabs>
        <w:ind w:left="2006"/>
        <w:jc w:val="left"/>
      </w:pPr>
      <w:r>
        <w:rPr/>
        <w:t>Type</w:t>
      </w:r>
      <w:r>
        <w:rPr>
          <w:spacing w:val="35"/>
        </w:rPr>
        <w:t> </w:t>
      </w:r>
      <w:r>
        <w:rPr/>
        <w:t>of</w:t>
      </w:r>
      <w:r>
        <w:rPr>
          <w:spacing w:val="40"/>
        </w:rPr>
        <w:t> </w:t>
      </w:r>
      <w:r>
        <w:rPr>
          <w:spacing w:val="-2"/>
        </w:rPr>
        <w:t>Vehicle</w:t>
      </w:r>
      <w:r>
        <w:rPr/>
        <w:tab/>
        <w:t>Minimum</w:t>
      </w:r>
      <w:r>
        <w:rPr>
          <w:spacing w:val="66"/>
        </w:rPr>
        <w:t> </w:t>
      </w:r>
      <w:r>
        <w:rPr/>
        <w:t>size/Area</w:t>
      </w:r>
      <w:r>
        <w:rPr>
          <w:spacing w:val="67"/>
        </w:rPr>
        <w:t> </w:t>
      </w:r>
      <w:r>
        <w:rPr/>
        <w:t>of</w:t>
      </w:r>
      <w:r>
        <w:rPr>
          <w:spacing w:val="67"/>
        </w:rPr>
        <w:t> </w:t>
      </w:r>
      <w:r>
        <w:rPr/>
        <w:t>parking</w:t>
      </w:r>
      <w:r>
        <w:rPr>
          <w:spacing w:val="72"/>
        </w:rPr>
        <w:t> </w:t>
      </w:r>
      <w:r>
        <w:rPr>
          <w:spacing w:val="-2"/>
        </w:rPr>
        <w:t>space</w:t>
      </w:r>
    </w:p>
    <w:p>
      <w:pPr>
        <w:pStyle w:val="BodyText"/>
        <w:spacing w:before="42"/>
        <w:jc w:val="left"/>
        <w:rPr>
          <w:sz w:val="20"/>
        </w:rPr>
      </w:pPr>
      <w:r>
        <w:rPr>
          <w:sz w:val="20"/>
        </w:rPr>
        <mc:AlternateContent>
          <mc:Choice Requires="wps">
            <w:drawing>
              <wp:anchor distT="0" distB="0" distL="0" distR="0" allowOverlap="1" layoutInCell="1" locked="0" behindDoc="1" simplePos="0" relativeHeight="487604736">
                <wp:simplePos x="0" y="0"/>
                <wp:positionH relativeFrom="page">
                  <wp:posOffset>1044244</wp:posOffset>
                </wp:positionH>
                <wp:positionV relativeFrom="paragraph">
                  <wp:posOffset>191440</wp:posOffset>
                </wp:positionV>
                <wp:extent cx="5815330" cy="9525"/>
                <wp:effectExtent l="0" t="0" r="0" b="0"/>
                <wp:wrapTopAndBottom/>
                <wp:docPr id="443" name="Graphic 443"/>
                <wp:cNvGraphicFramePr>
                  <a:graphicFrameLocks/>
                </wp:cNvGraphicFramePr>
                <a:graphic>
                  <a:graphicData uri="http://schemas.microsoft.com/office/word/2010/wordprocessingShape">
                    <wps:wsp>
                      <wps:cNvPr id="443" name="Graphic 443"/>
                      <wps:cNvSpPr/>
                      <wps:spPr>
                        <a:xfrm>
                          <a:off x="0" y="0"/>
                          <a:ext cx="5815330" cy="9525"/>
                        </a:xfrm>
                        <a:custGeom>
                          <a:avLst/>
                          <a:gdLst/>
                          <a:ahLst/>
                          <a:cxnLst/>
                          <a:rect l="l" t="t" r="r" b="b"/>
                          <a:pathLst>
                            <a:path w="5815330" h="9525">
                              <a:moveTo>
                                <a:pt x="5814949" y="0"/>
                              </a:moveTo>
                              <a:lnTo>
                                <a:pt x="0" y="0"/>
                              </a:lnTo>
                              <a:lnTo>
                                <a:pt x="0" y="9144"/>
                              </a:lnTo>
                              <a:lnTo>
                                <a:pt x="5814949" y="9144"/>
                              </a:lnTo>
                              <a:lnTo>
                                <a:pt x="58149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223999pt;margin-top:15.074062pt;width:457.87pt;height:.72pt;mso-position-horizontal-relative:page;mso-position-vertical-relative:paragraph;z-index:-15711744;mso-wrap-distance-left:0;mso-wrap-distance-right:0" id="docshape381" filled="true" fillcolor="#000000" stroked="false">
                <v:fill type="solid"/>
                <w10:wrap type="topAndBottom"/>
              </v:rect>
            </w:pict>
          </mc:Fallback>
        </mc:AlternateContent>
      </w:r>
    </w:p>
    <w:p>
      <w:pPr>
        <w:pStyle w:val="BodyText"/>
        <w:spacing w:before="1"/>
        <w:jc w:val="left"/>
      </w:pPr>
    </w:p>
    <w:p>
      <w:pPr>
        <w:pStyle w:val="ListParagraph"/>
        <w:numPr>
          <w:ilvl w:val="1"/>
          <w:numId w:val="303"/>
        </w:numPr>
        <w:tabs>
          <w:tab w:pos="1884" w:val="left" w:leader="none"/>
          <w:tab w:pos="5813" w:val="left" w:leader="none"/>
        </w:tabs>
        <w:spacing w:line="240" w:lineRule="auto" w:before="0" w:after="0"/>
        <w:ind w:left="1884" w:right="0" w:hanging="571"/>
        <w:jc w:val="left"/>
        <w:rPr>
          <w:sz w:val="24"/>
        </w:rPr>
      </w:pPr>
      <w:r>
        <w:rPr>
          <w:sz w:val="24"/>
        </w:rPr>
        <w:t>Motor</w:t>
      </w:r>
      <w:r>
        <w:rPr>
          <w:spacing w:val="57"/>
          <w:sz w:val="24"/>
        </w:rPr>
        <w:t> </w:t>
      </w:r>
      <w:r>
        <w:rPr>
          <w:spacing w:val="-2"/>
          <w:sz w:val="24"/>
        </w:rPr>
        <w:t>vehicle</w:t>
      </w:r>
      <w:r>
        <w:rPr>
          <w:sz w:val="24"/>
        </w:rPr>
        <w:tab/>
        <w:t>2.5</w:t>
      </w:r>
      <w:r>
        <w:rPr>
          <w:spacing w:val="25"/>
          <w:sz w:val="24"/>
        </w:rPr>
        <w:t> </w:t>
      </w:r>
      <w:r>
        <w:rPr>
          <w:sz w:val="24"/>
        </w:rPr>
        <w:t>m</w:t>
      </w:r>
      <w:r>
        <w:rPr>
          <w:spacing w:val="28"/>
          <w:sz w:val="24"/>
        </w:rPr>
        <w:t> </w:t>
      </w:r>
      <w:r>
        <w:rPr>
          <w:sz w:val="24"/>
        </w:rPr>
        <w:t>x</w:t>
      </w:r>
      <w:r>
        <w:rPr>
          <w:spacing w:val="31"/>
          <w:sz w:val="24"/>
        </w:rPr>
        <w:t> </w:t>
      </w:r>
      <w:r>
        <w:rPr>
          <w:sz w:val="24"/>
        </w:rPr>
        <w:t>5.5</w:t>
      </w:r>
      <w:r>
        <w:rPr>
          <w:spacing w:val="28"/>
          <w:sz w:val="24"/>
        </w:rPr>
        <w:t> </w:t>
      </w:r>
      <w:r>
        <w:rPr>
          <w:spacing w:val="-10"/>
          <w:sz w:val="24"/>
        </w:rPr>
        <w:t>m</w:t>
      </w:r>
    </w:p>
    <w:p>
      <w:pPr>
        <w:pStyle w:val="ListParagraph"/>
        <w:numPr>
          <w:ilvl w:val="1"/>
          <w:numId w:val="303"/>
        </w:numPr>
        <w:tabs>
          <w:tab w:pos="1894" w:val="left" w:leader="none"/>
          <w:tab w:pos="5986" w:val="left" w:leader="none"/>
        </w:tabs>
        <w:spacing w:line="240" w:lineRule="auto" w:before="280" w:after="0"/>
        <w:ind w:left="1313" w:right="788" w:firstLine="0"/>
        <w:jc w:val="left"/>
        <w:rPr>
          <w:sz w:val="24"/>
        </w:rPr>
      </w:pPr>
      <w:r>
        <w:rPr>
          <w:sz w:val="24"/>
        </w:rPr>
        <w:t>Scooter, </w:t>
      </w:r>
      <w:r>
        <w:rPr>
          <w:spacing w:val="9"/>
          <w:sz w:val="24"/>
        </w:rPr>
        <w:t>Motor-</w:t>
      </w:r>
      <w:r>
        <w:rPr>
          <w:sz w:val="24"/>
        </w:rPr>
        <w:t>cycle</w:t>
        <w:tab/>
        <w:t>3</w:t>
      </w:r>
      <w:r>
        <w:rPr>
          <w:spacing w:val="80"/>
          <w:sz w:val="24"/>
        </w:rPr>
        <w:t> </w:t>
      </w:r>
      <w:r>
        <w:rPr>
          <w:sz w:val="24"/>
        </w:rPr>
        <w:t>sq.m</w:t>
      </w:r>
      <w:r>
        <w:rPr>
          <w:spacing w:val="80"/>
          <w:sz w:val="24"/>
        </w:rPr>
        <w:t> </w:t>
      </w:r>
      <w:r>
        <w:rPr>
          <w:sz w:val="24"/>
        </w:rPr>
        <w:t>(Least</w:t>
      </w:r>
      <w:r>
        <w:rPr>
          <w:spacing w:val="80"/>
          <w:sz w:val="24"/>
        </w:rPr>
        <w:t> </w:t>
      </w:r>
      <w:r>
        <w:rPr>
          <w:sz w:val="24"/>
        </w:rPr>
        <w:t>dimension</w:t>
      </w:r>
      <w:r>
        <w:rPr>
          <w:spacing w:val="80"/>
          <w:sz w:val="24"/>
        </w:rPr>
        <w:t> </w:t>
      </w:r>
      <w:r>
        <w:rPr>
          <w:sz w:val="24"/>
        </w:rPr>
        <w:t>shall</w:t>
      </w:r>
      <w:r>
        <w:rPr>
          <w:spacing w:val="80"/>
          <w:sz w:val="24"/>
        </w:rPr>
        <w:t> </w:t>
      </w:r>
      <w:r>
        <w:rPr>
          <w:sz w:val="24"/>
        </w:rPr>
        <w:t>be minimum1.2 m)</w:t>
      </w:r>
    </w:p>
    <w:p>
      <w:pPr>
        <w:pStyle w:val="BodyText"/>
        <w:spacing w:before="2"/>
        <w:jc w:val="left"/>
      </w:pPr>
    </w:p>
    <w:p>
      <w:pPr>
        <w:pStyle w:val="ListParagraph"/>
        <w:numPr>
          <w:ilvl w:val="1"/>
          <w:numId w:val="303"/>
        </w:numPr>
        <w:tabs>
          <w:tab w:pos="1870" w:val="left" w:leader="none"/>
          <w:tab w:pos="5813" w:val="left" w:leader="none"/>
        </w:tabs>
        <w:spacing w:line="240" w:lineRule="auto" w:before="0" w:after="0"/>
        <w:ind w:left="1870" w:right="0" w:hanging="557"/>
        <w:jc w:val="left"/>
        <w:rPr>
          <w:sz w:val="24"/>
        </w:rPr>
      </w:pPr>
      <w:r>
        <w:rPr>
          <w:spacing w:val="-2"/>
          <w:sz w:val="24"/>
        </w:rPr>
        <w:t>Bicycle</w:t>
      </w:r>
      <w:r>
        <w:rPr>
          <w:sz w:val="24"/>
        </w:rPr>
        <w:tab/>
        <w:t>1.4</w:t>
      </w:r>
      <w:r>
        <w:rPr>
          <w:spacing w:val="35"/>
          <w:sz w:val="24"/>
        </w:rPr>
        <w:t> </w:t>
      </w:r>
      <w:r>
        <w:rPr>
          <w:spacing w:val="-4"/>
          <w:sz w:val="24"/>
        </w:rPr>
        <w:t>sq.m</w:t>
      </w:r>
    </w:p>
    <w:p>
      <w:pPr>
        <w:pStyle w:val="ListParagraph"/>
        <w:numPr>
          <w:ilvl w:val="1"/>
          <w:numId w:val="303"/>
        </w:numPr>
        <w:tabs>
          <w:tab w:pos="1894" w:val="left" w:leader="none"/>
          <w:tab w:pos="5813" w:val="left" w:leader="none"/>
        </w:tabs>
        <w:spacing w:line="240" w:lineRule="auto" w:before="280" w:after="0"/>
        <w:ind w:left="1894" w:right="0" w:hanging="581"/>
        <w:jc w:val="left"/>
        <w:rPr>
          <w:sz w:val="24"/>
        </w:rPr>
      </w:pPr>
      <w:r>
        <w:rPr>
          <w:sz w:val="24"/>
        </w:rPr>
        <mc:AlternateContent>
          <mc:Choice Requires="wps">
            <w:drawing>
              <wp:anchor distT="0" distB="0" distL="0" distR="0" allowOverlap="1" layoutInCell="1" locked="0" behindDoc="1" simplePos="0" relativeHeight="487605248">
                <wp:simplePos x="0" y="0"/>
                <wp:positionH relativeFrom="page">
                  <wp:posOffset>1044244</wp:posOffset>
                </wp:positionH>
                <wp:positionV relativeFrom="paragraph">
                  <wp:posOffset>370387</wp:posOffset>
                </wp:positionV>
                <wp:extent cx="5815330" cy="9525"/>
                <wp:effectExtent l="0" t="0" r="0" b="0"/>
                <wp:wrapTopAndBottom/>
                <wp:docPr id="444" name="Graphic 444"/>
                <wp:cNvGraphicFramePr>
                  <a:graphicFrameLocks/>
                </wp:cNvGraphicFramePr>
                <a:graphic>
                  <a:graphicData uri="http://schemas.microsoft.com/office/word/2010/wordprocessingShape">
                    <wps:wsp>
                      <wps:cNvPr id="444" name="Graphic 444"/>
                      <wps:cNvSpPr/>
                      <wps:spPr>
                        <a:xfrm>
                          <a:off x="0" y="0"/>
                          <a:ext cx="5815330" cy="9525"/>
                        </a:xfrm>
                        <a:custGeom>
                          <a:avLst/>
                          <a:gdLst/>
                          <a:ahLst/>
                          <a:cxnLst/>
                          <a:rect l="l" t="t" r="r" b="b"/>
                          <a:pathLst>
                            <a:path w="5815330" h="9525">
                              <a:moveTo>
                                <a:pt x="5814949" y="0"/>
                              </a:moveTo>
                              <a:lnTo>
                                <a:pt x="0" y="0"/>
                              </a:lnTo>
                              <a:lnTo>
                                <a:pt x="0" y="9144"/>
                              </a:lnTo>
                              <a:lnTo>
                                <a:pt x="5814949" y="9144"/>
                              </a:lnTo>
                              <a:lnTo>
                                <a:pt x="58149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223999pt;margin-top:29.164375pt;width:457.87pt;height:.72pt;mso-position-horizontal-relative:page;mso-position-vertical-relative:paragraph;z-index:-15711232;mso-wrap-distance-left:0;mso-wrap-distance-right:0" id="docshape382" filled="true" fillcolor="#000000" stroked="false">
                <v:fill type="solid"/>
                <w10:wrap type="topAndBottom"/>
              </v:rect>
            </w:pict>
          </mc:Fallback>
        </mc:AlternateContent>
      </w:r>
      <w:r>
        <w:rPr>
          <w:sz w:val="24"/>
        </w:rPr>
        <w:t>Transport</w:t>
      </w:r>
      <w:r>
        <w:rPr>
          <w:spacing w:val="54"/>
          <w:sz w:val="24"/>
        </w:rPr>
        <w:t> </w:t>
      </w:r>
      <w:r>
        <w:rPr>
          <w:spacing w:val="9"/>
          <w:sz w:val="24"/>
        </w:rPr>
        <w:t>Vehicle</w:t>
      </w:r>
      <w:r>
        <w:rPr>
          <w:spacing w:val="9"/>
          <w:sz w:val="22"/>
        </w:rPr>
        <w:t>/School</w:t>
      </w:r>
      <w:r>
        <w:rPr>
          <w:spacing w:val="56"/>
          <w:sz w:val="22"/>
        </w:rPr>
        <w:t> </w:t>
      </w:r>
      <w:r>
        <w:rPr>
          <w:spacing w:val="-5"/>
          <w:sz w:val="22"/>
        </w:rPr>
        <w:t>Bus</w:t>
      </w:r>
      <w:r>
        <w:rPr>
          <w:sz w:val="22"/>
        </w:rPr>
        <w:tab/>
      </w:r>
      <w:r>
        <w:rPr>
          <w:sz w:val="24"/>
        </w:rPr>
        <w:t>3.75</w:t>
      </w:r>
      <w:r>
        <w:rPr>
          <w:spacing w:val="28"/>
          <w:sz w:val="24"/>
        </w:rPr>
        <w:t> </w:t>
      </w:r>
      <w:r>
        <w:rPr>
          <w:sz w:val="24"/>
        </w:rPr>
        <w:t>m</w:t>
      </w:r>
      <w:r>
        <w:rPr>
          <w:spacing w:val="30"/>
          <w:sz w:val="24"/>
        </w:rPr>
        <w:t> </w:t>
      </w:r>
      <w:r>
        <w:rPr>
          <w:sz w:val="24"/>
        </w:rPr>
        <w:t>x</w:t>
      </w:r>
      <w:r>
        <w:rPr>
          <w:spacing w:val="32"/>
          <w:sz w:val="24"/>
        </w:rPr>
        <w:t> </w:t>
      </w:r>
      <w:r>
        <w:rPr>
          <w:sz w:val="24"/>
        </w:rPr>
        <w:t>7.5</w:t>
      </w:r>
      <w:r>
        <w:rPr>
          <w:spacing w:val="31"/>
          <w:sz w:val="24"/>
        </w:rPr>
        <w:t> </w:t>
      </w:r>
      <w:r>
        <w:rPr>
          <w:spacing w:val="-10"/>
          <w:sz w:val="24"/>
        </w:rPr>
        <w:t>m</w:t>
      </w:r>
    </w:p>
    <w:p>
      <w:pPr>
        <w:pStyle w:val="BodyText"/>
        <w:ind w:left="1313" w:right="838"/>
        <w:jc w:val="left"/>
      </w:pPr>
      <w:r>
        <w:rPr/>
        <w:t>Note-</w:t>
      </w:r>
      <w:r>
        <w:rPr>
          <w:spacing w:val="40"/>
        </w:rPr>
        <w:t> </w:t>
      </w:r>
      <w:r>
        <w:rPr/>
        <w:t>In</w:t>
      </w:r>
      <w:r>
        <w:rPr>
          <w:spacing w:val="40"/>
        </w:rPr>
        <w:t> </w:t>
      </w:r>
      <w:r>
        <w:rPr/>
        <w:t>the</w:t>
      </w:r>
      <w:r>
        <w:rPr>
          <w:spacing w:val="40"/>
        </w:rPr>
        <w:t> </w:t>
      </w:r>
      <w:r>
        <w:rPr/>
        <w:t>case</w:t>
      </w:r>
      <w:r>
        <w:rPr>
          <w:spacing w:val="40"/>
        </w:rPr>
        <w:t> </w:t>
      </w:r>
      <w:r>
        <w:rPr/>
        <w:t>of</w:t>
      </w:r>
      <w:r>
        <w:rPr>
          <w:spacing w:val="40"/>
        </w:rPr>
        <w:t> </w:t>
      </w:r>
      <w:r>
        <w:rPr/>
        <w:t>parking</w:t>
      </w:r>
      <w:r>
        <w:rPr>
          <w:spacing w:val="40"/>
        </w:rPr>
        <w:t> </w:t>
      </w:r>
      <w:r>
        <w:rPr/>
        <w:t>spaces</w:t>
      </w:r>
      <w:r>
        <w:rPr>
          <w:spacing w:val="40"/>
        </w:rPr>
        <w:t> </w:t>
      </w:r>
      <w:r>
        <w:rPr/>
        <w:t>for</w:t>
      </w:r>
      <w:r>
        <w:rPr>
          <w:spacing w:val="40"/>
        </w:rPr>
        <w:t> </w:t>
      </w:r>
      <w:r>
        <w:rPr/>
        <w:t>motor</w:t>
      </w:r>
      <w:r>
        <w:rPr>
          <w:spacing w:val="40"/>
        </w:rPr>
        <w:t> </w:t>
      </w:r>
      <w:r>
        <w:rPr/>
        <w:t>vehicles,</w:t>
      </w:r>
      <w:r>
        <w:rPr>
          <w:spacing w:val="40"/>
        </w:rPr>
        <w:t> </w:t>
      </w:r>
      <w:r>
        <w:rPr/>
        <w:t>upto</w:t>
      </w:r>
      <w:r>
        <w:rPr>
          <w:spacing w:val="40"/>
        </w:rPr>
        <w:t> </w:t>
      </w:r>
      <w:r>
        <w:rPr/>
        <w:t>50</w:t>
      </w:r>
      <w:r>
        <w:rPr>
          <w:spacing w:val="40"/>
        </w:rPr>
        <w:t> </w:t>
      </w:r>
      <w:r>
        <w:rPr/>
        <w:t>per</w:t>
      </w:r>
      <w:r>
        <w:rPr>
          <w:spacing w:val="40"/>
        </w:rPr>
        <w:t> </w:t>
      </w:r>
      <w:r>
        <w:rPr/>
        <w:t>cent of</w:t>
      </w:r>
      <w:r>
        <w:rPr>
          <w:spacing w:val="80"/>
        </w:rPr>
        <w:t> </w:t>
      </w:r>
      <w:r>
        <w:rPr/>
        <w:t>the</w:t>
      </w:r>
      <w:r>
        <w:rPr>
          <w:spacing w:val="80"/>
        </w:rPr>
        <w:t> </w:t>
      </w:r>
      <w:r>
        <w:rPr/>
        <w:t>prescribed</w:t>
      </w:r>
      <w:r>
        <w:rPr>
          <w:spacing w:val="80"/>
        </w:rPr>
        <w:t> </w:t>
      </w:r>
      <w:r>
        <w:rPr/>
        <w:t>space</w:t>
      </w:r>
      <w:r>
        <w:rPr>
          <w:spacing w:val="80"/>
        </w:rPr>
        <w:t> </w:t>
      </w:r>
      <w:r>
        <w:rPr/>
        <w:t>may</w:t>
      </w:r>
      <w:r>
        <w:rPr>
          <w:spacing w:val="80"/>
        </w:rPr>
        <w:t> </w:t>
      </w:r>
      <w:r>
        <w:rPr/>
        <w:t>be</w:t>
      </w:r>
      <w:r>
        <w:rPr>
          <w:spacing w:val="80"/>
        </w:rPr>
        <w:t> </w:t>
      </w:r>
      <w:r>
        <w:rPr/>
        <w:t>of</w:t>
      </w:r>
      <w:r>
        <w:rPr>
          <w:spacing w:val="80"/>
        </w:rPr>
        <w:t> </w:t>
      </w:r>
      <w:r>
        <w:rPr/>
        <w:t>the</w:t>
      </w:r>
      <w:r>
        <w:rPr>
          <w:spacing w:val="80"/>
        </w:rPr>
        <w:t> </w:t>
      </w:r>
      <w:r>
        <w:rPr/>
        <w:t>size</w:t>
      </w:r>
      <w:r>
        <w:rPr>
          <w:spacing w:val="80"/>
        </w:rPr>
        <w:t> </w:t>
      </w:r>
      <w:r>
        <w:rPr/>
        <w:t>of</w:t>
      </w:r>
      <w:r>
        <w:rPr>
          <w:spacing w:val="80"/>
        </w:rPr>
        <w:t> </w:t>
      </w:r>
      <w:r>
        <w:rPr/>
        <w:t>2.3</w:t>
      </w:r>
      <w:r>
        <w:rPr>
          <w:spacing w:val="80"/>
        </w:rPr>
        <w:t> </w:t>
      </w:r>
      <w:r>
        <w:rPr/>
        <w:t>m</w:t>
      </w:r>
      <w:r>
        <w:rPr>
          <w:spacing w:val="80"/>
        </w:rPr>
        <w:t> </w:t>
      </w:r>
      <w:r>
        <w:rPr/>
        <w:t>x</w:t>
      </w:r>
      <w:r>
        <w:rPr>
          <w:spacing w:val="80"/>
        </w:rPr>
        <w:t> </w:t>
      </w:r>
      <w:r>
        <w:rPr/>
        <w:t>4.5</w:t>
      </w:r>
      <w:r>
        <w:rPr>
          <w:spacing w:val="80"/>
        </w:rPr>
        <w:t> </w:t>
      </w:r>
      <w:r>
        <w:rPr/>
        <w:t>m.</w:t>
      </w:r>
      <w:r>
        <w:rPr/>
        <w:t> (iii)Marking</w:t>
      </w:r>
      <w:r>
        <w:rPr>
          <w:spacing w:val="40"/>
        </w:rPr>
        <w:t> </w:t>
      </w:r>
      <w:r>
        <w:rPr/>
        <w:t>of</w:t>
      </w:r>
      <w:r>
        <w:rPr>
          <w:spacing w:val="40"/>
        </w:rPr>
        <w:t> </w:t>
      </w:r>
      <w:r>
        <w:rPr/>
        <w:t>Parking</w:t>
      </w:r>
      <w:r>
        <w:rPr>
          <w:spacing w:val="40"/>
        </w:rPr>
        <w:t> </w:t>
      </w:r>
      <w:r>
        <w:rPr>
          <w:spacing w:val="9"/>
        </w:rPr>
        <w:t>Spaces-</w:t>
      </w:r>
      <w:r>
        <w:rPr/>
        <w:t>Parking</w:t>
      </w:r>
      <w:r>
        <w:rPr>
          <w:spacing w:val="40"/>
        </w:rPr>
        <w:t> </w:t>
      </w:r>
      <w:r>
        <w:rPr/>
        <w:t>spaces</w:t>
      </w:r>
      <w:r>
        <w:rPr>
          <w:spacing w:val="40"/>
        </w:rPr>
        <w:t> </w:t>
      </w:r>
      <w:r>
        <w:rPr/>
        <w:t>shall</w:t>
      </w:r>
      <w:r>
        <w:rPr>
          <w:spacing w:val="40"/>
        </w:rPr>
        <w:t> </w:t>
      </w:r>
      <w:r>
        <w:rPr/>
        <w:t>be</w:t>
      </w:r>
      <w:r>
        <w:rPr>
          <w:spacing w:val="40"/>
        </w:rPr>
        <w:t> </w:t>
      </w:r>
      <w:r>
        <w:rPr/>
        <w:t>paved</w:t>
      </w:r>
      <w:r>
        <w:rPr>
          <w:spacing w:val="40"/>
        </w:rPr>
        <w:t> </w:t>
      </w:r>
      <w:r>
        <w:rPr/>
        <w:t>and</w:t>
      </w:r>
      <w:r>
        <w:rPr>
          <w:spacing w:val="40"/>
        </w:rPr>
        <w:t> </w:t>
      </w:r>
      <w:r>
        <w:rPr/>
        <w:t>clearly marked</w:t>
      </w:r>
      <w:r>
        <w:rPr>
          <w:spacing w:val="40"/>
        </w:rPr>
        <w:t> </w:t>
      </w:r>
      <w:r>
        <w:rPr/>
        <w:t>for</w:t>
      </w:r>
      <w:r>
        <w:rPr>
          <w:spacing w:val="40"/>
        </w:rPr>
        <w:t> </w:t>
      </w:r>
      <w:r>
        <w:rPr/>
        <w:t>different</w:t>
      </w:r>
      <w:r>
        <w:rPr>
          <w:spacing w:val="40"/>
        </w:rPr>
        <w:t> </w:t>
      </w:r>
      <w:r>
        <w:rPr/>
        <w:t>types</w:t>
      </w:r>
      <w:r>
        <w:rPr>
          <w:spacing w:val="40"/>
        </w:rPr>
        <w:t> </w:t>
      </w:r>
      <w:r>
        <w:rPr/>
        <w:t>of</w:t>
      </w:r>
      <w:r>
        <w:rPr>
          <w:spacing w:val="40"/>
        </w:rPr>
        <w:t> </w:t>
      </w:r>
      <w:r>
        <w:rPr>
          <w:spacing w:val="9"/>
        </w:rPr>
        <w:t>vehicles.</w:t>
      </w:r>
    </w:p>
    <w:p>
      <w:pPr>
        <w:pStyle w:val="ListParagraph"/>
        <w:numPr>
          <w:ilvl w:val="0"/>
          <w:numId w:val="302"/>
        </w:numPr>
        <w:tabs>
          <w:tab w:pos="1689" w:val="left" w:leader="none"/>
        </w:tabs>
        <w:spacing w:line="240" w:lineRule="auto" w:before="1" w:after="0"/>
        <w:ind w:left="1313" w:right="777" w:firstLine="0"/>
        <w:jc w:val="both"/>
        <w:rPr>
          <w:sz w:val="24"/>
        </w:rPr>
      </w:pPr>
      <w:r>
        <w:rPr>
          <w:sz w:val="24"/>
        </w:rPr>
        <w:t>Maneuvering</w:t>
      </w:r>
      <w:r>
        <w:rPr>
          <w:spacing w:val="80"/>
          <w:sz w:val="24"/>
        </w:rPr>
        <w:t> </w:t>
      </w:r>
      <w:r>
        <w:rPr>
          <w:sz w:val="24"/>
        </w:rPr>
        <w:t>and</w:t>
      </w:r>
      <w:r>
        <w:rPr>
          <w:spacing w:val="80"/>
          <w:sz w:val="24"/>
        </w:rPr>
        <w:t> </w:t>
      </w:r>
      <w:r>
        <w:rPr>
          <w:sz w:val="24"/>
        </w:rPr>
        <w:t>other</w:t>
      </w:r>
      <w:r>
        <w:rPr>
          <w:spacing w:val="80"/>
          <w:sz w:val="24"/>
        </w:rPr>
        <w:t> </w:t>
      </w:r>
      <w:r>
        <w:rPr>
          <w:sz w:val="24"/>
        </w:rPr>
        <w:t>ancillary</w:t>
      </w:r>
      <w:r>
        <w:rPr>
          <w:spacing w:val="80"/>
          <w:sz w:val="24"/>
        </w:rPr>
        <w:t> </w:t>
      </w:r>
      <w:r>
        <w:rPr>
          <w:sz w:val="24"/>
        </w:rPr>
        <w:t>spaces-</w:t>
      </w:r>
      <w:r>
        <w:rPr>
          <w:spacing w:val="80"/>
          <w:sz w:val="24"/>
        </w:rPr>
        <w:t> </w:t>
      </w:r>
      <w:r>
        <w:rPr>
          <w:sz w:val="24"/>
        </w:rPr>
        <w:t>Off-street</w:t>
      </w:r>
      <w:r>
        <w:rPr>
          <w:spacing w:val="80"/>
          <w:sz w:val="24"/>
        </w:rPr>
        <w:t> </w:t>
      </w:r>
      <w:r>
        <w:rPr>
          <w:sz w:val="24"/>
        </w:rPr>
        <w:t>parking</w:t>
      </w:r>
      <w:r>
        <w:rPr>
          <w:spacing w:val="80"/>
          <w:sz w:val="24"/>
        </w:rPr>
        <w:t> </w:t>
      </w:r>
      <w:r>
        <w:rPr>
          <w:sz w:val="24"/>
        </w:rPr>
        <w:t>space must have adequate vehicular access to a street, and the area shall be exclusive</w:t>
      </w:r>
      <w:r>
        <w:rPr>
          <w:spacing w:val="80"/>
          <w:sz w:val="24"/>
        </w:rPr>
        <w:t> </w:t>
      </w:r>
      <w:r>
        <w:rPr>
          <w:sz w:val="24"/>
        </w:rPr>
        <w:t>of</w:t>
      </w:r>
      <w:r>
        <w:rPr>
          <w:spacing w:val="80"/>
          <w:sz w:val="24"/>
        </w:rPr>
        <w:t> </w:t>
      </w:r>
      <w:r>
        <w:rPr>
          <w:sz w:val="24"/>
        </w:rPr>
        <w:t>drives,</w:t>
      </w:r>
      <w:r>
        <w:rPr>
          <w:spacing w:val="80"/>
          <w:sz w:val="24"/>
        </w:rPr>
        <w:t> </w:t>
      </w:r>
      <w:r>
        <w:rPr>
          <w:sz w:val="24"/>
        </w:rPr>
        <w:t>aisles</w:t>
      </w:r>
      <w:r>
        <w:rPr>
          <w:spacing w:val="80"/>
          <w:sz w:val="24"/>
        </w:rPr>
        <w:t> </w:t>
      </w:r>
      <w:r>
        <w:rPr>
          <w:sz w:val="24"/>
        </w:rPr>
        <w:t>and</w:t>
      </w:r>
      <w:r>
        <w:rPr>
          <w:spacing w:val="80"/>
          <w:sz w:val="24"/>
        </w:rPr>
        <w:t> </w:t>
      </w:r>
      <w:r>
        <w:rPr>
          <w:sz w:val="24"/>
        </w:rPr>
        <w:t>such</w:t>
      </w:r>
      <w:r>
        <w:rPr>
          <w:spacing w:val="80"/>
          <w:sz w:val="24"/>
        </w:rPr>
        <w:t> </w:t>
      </w:r>
      <w:r>
        <w:rPr>
          <w:sz w:val="24"/>
        </w:rPr>
        <w:t>other</w:t>
      </w:r>
      <w:r>
        <w:rPr>
          <w:spacing w:val="80"/>
          <w:sz w:val="24"/>
        </w:rPr>
        <w:t> </w:t>
      </w:r>
      <w:r>
        <w:rPr>
          <w:sz w:val="24"/>
        </w:rPr>
        <w:t>provisions</w:t>
      </w:r>
      <w:r>
        <w:rPr>
          <w:spacing w:val="80"/>
          <w:sz w:val="24"/>
        </w:rPr>
        <w:t> </w:t>
      </w:r>
      <w:r>
        <w:rPr>
          <w:sz w:val="24"/>
        </w:rPr>
        <w:t>required</w:t>
      </w:r>
      <w:r>
        <w:rPr>
          <w:spacing w:val="80"/>
          <w:sz w:val="24"/>
        </w:rPr>
        <w:t> </w:t>
      </w:r>
      <w:r>
        <w:rPr>
          <w:sz w:val="24"/>
        </w:rPr>
        <w:t>for adequate</w:t>
      </w:r>
      <w:r>
        <w:rPr>
          <w:spacing w:val="40"/>
          <w:sz w:val="24"/>
        </w:rPr>
        <w:t> </w:t>
      </w:r>
      <w:r>
        <w:rPr>
          <w:sz w:val="24"/>
        </w:rPr>
        <w:t>maneuvering</w:t>
      </w:r>
      <w:r>
        <w:rPr>
          <w:spacing w:val="40"/>
          <w:sz w:val="24"/>
        </w:rPr>
        <w:t> </w:t>
      </w:r>
      <w:r>
        <w:rPr>
          <w:sz w:val="24"/>
        </w:rPr>
        <w:t>of</w:t>
      </w:r>
      <w:r>
        <w:rPr>
          <w:spacing w:val="40"/>
          <w:sz w:val="24"/>
        </w:rPr>
        <w:t> </w:t>
      </w:r>
      <w:r>
        <w:rPr>
          <w:spacing w:val="9"/>
          <w:sz w:val="24"/>
        </w:rPr>
        <w:t>vehicles.</w:t>
      </w:r>
    </w:p>
    <w:p>
      <w:pPr>
        <w:pStyle w:val="ListParagraph"/>
        <w:numPr>
          <w:ilvl w:val="0"/>
          <w:numId w:val="302"/>
        </w:numPr>
        <w:tabs>
          <w:tab w:pos="1608" w:val="left" w:leader="none"/>
        </w:tabs>
        <w:spacing w:line="240" w:lineRule="auto" w:before="0" w:after="0"/>
        <w:ind w:left="1313" w:right="784" w:firstLine="0"/>
        <w:jc w:val="both"/>
        <w:rPr>
          <w:sz w:val="24"/>
        </w:rPr>
      </w:pPr>
      <w:r>
        <w:rPr>
          <w:sz w:val="24"/>
        </w:rPr>
        <w:t>Ramps for Basement </w:t>
      </w:r>
      <w:r>
        <w:rPr>
          <w:spacing w:val="9"/>
          <w:sz w:val="24"/>
        </w:rPr>
        <w:t>Parking-</w:t>
      </w:r>
      <w:r>
        <w:rPr>
          <w:sz w:val="24"/>
        </w:rPr>
        <w:t>Ramps for parking in basements shall conform</w:t>
      </w:r>
      <w:r>
        <w:rPr>
          <w:spacing w:val="80"/>
          <w:sz w:val="24"/>
        </w:rPr>
        <w:t> </w:t>
      </w:r>
      <w:r>
        <w:rPr>
          <w:sz w:val="24"/>
        </w:rPr>
        <w:t>to</w:t>
      </w:r>
      <w:r>
        <w:rPr>
          <w:spacing w:val="80"/>
          <w:sz w:val="24"/>
        </w:rPr>
        <w:t> </w:t>
      </w:r>
      <w:r>
        <w:rPr>
          <w:sz w:val="24"/>
        </w:rPr>
        <w:t>the</w:t>
      </w:r>
      <w:r>
        <w:rPr>
          <w:spacing w:val="80"/>
          <w:sz w:val="24"/>
        </w:rPr>
        <w:t> </w:t>
      </w:r>
      <w:r>
        <w:rPr>
          <w:sz w:val="24"/>
        </w:rPr>
        <w:t>requirements</w:t>
      </w:r>
      <w:r>
        <w:rPr>
          <w:spacing w:val="80"/>
          <w:sz w:val="24"/>
        </w:rPr>
        <w:t> </w:t>
      </w:r>
      <w:r>
        <w:rPr>
          <w:sz w:val="24"/>
        </w:rPr>
        <w:t>of</w:t>
      </w:r>
      <w:r>
        <w:rPr>
          <w:spacing w:val="80"/>
          <w:sz w:val="24"/>
        </w:rPr>
        <w:t> </w:t>
      </w:r>
      <w:r>
        <w:rPr>
          <w:spacing w:val="10"/>
          <w:sz w:val="24"/>
        </w:rPr>
        <w:t>sub-</w:t>
      </w:r>
      <w:r>
        <w:rPr>
          <w:sz w:val="24"/>
        </w:rPr>
        <w:t>regulations</w:t>
      </w:r>
      <w:r>
        <w:rPr>
          <w:spacing w:val="80"/>
          <w:sz w:val="24"/>
        </w:rPr>
        <w:t> </w:t>
      </w:r>
      <w:r>
        <w:rPr>
          <w:color w:val="000000"/>
          <w:sz w:val="24"/>
          <w:shd w:fill="FFCCFF" w:color="auto" w:val="clear"/>
        </w:rPr>
        <w:t>(16)</w:t>
      </w:r>
      <w:r>
        <w:rPr>
          <w:color w:val="000000"/>
          <w:spacing w:val="80"/>
          <w:sz w:val="24"/>
        </w:rPr>
        <w:t> </w:t>
      </w:r>
      <w:r>
        <w:rPr>
          <w:color w:val="000000"/>
          <w:sz w:val="24"/>
        </w:rPr>
        <w:t>of</w:t>
      </w:r>
      <w:r>
        <w:rPr>
          <w:color w:val="000000"/>
          <w:spacing w:val="80"/>
          <w:sz w:val="24"/>
        </w:rPr>
        <w:t> </w:t>
      </w:r>
      <w:r>
        <w:rPr>
          <w:color w:val="000000"/>
          <w:sz w:val="24"/>
        </w:rPr>
        <w:t>Regulation</w:t>
      </w:r>
      <w:r>
        <w:rPr>
          <w:color w:val="000000"/>
          <w:spacing w:val="80"/>
          <w:sz w:val="24"/>
        </w:rPr>
        <w:t> </w:t>
      </w:r>
      <w:r>
        <w:rPr>
          <w:color w:val="000000"/>
          <w:sz w:val="24"/>
        </w:rPr>
        <w:t>37.</w:t>
      </w:r>
    </w:p>
    <w:p>
      <w:pPr>
        <w:pStyle w:val="ListParagraph"/>
        <w:numPr>
          <w:ilvl w:val="1"/>
          <w:numId w:val="263"/>
        </w:numPr>
        <w:tabs>
          <w:tab w:pos="2124" w:val="left" w:leader="none"/>
        </w:tabs>
        <w:spacing w:line="240" w:lineRule="auto" w:before="280" w:after="0"/>
        <w:ind w:left="1313" w:right="781" w:firstLine="0"/>
        <w:jc w:val="left"/>
        <w:rPr>
          <w:sz w:val="24"/>
        </w:rPr>
      </w:pPr>
      <w:r>
        <w:rPr>
          <w:sz w:val="24"/>
        </w:rPr>
        <w:t>Quantitative</w:t>
      </w:r>
      <w:r>
        <w:rPr>
          <w:spacing w:val="80"/>
          <w:sz w:val="24"/>
        </w:rPr>
        <w:t> </w:t>
      </w:r>
      <w:r>
        <w:rPr>
          <w:spacing w:val="9"/>
          <w:sz w:val="24"/>
        </w:rPr>
        <w:t>Requirements-</w:t>
      </w:r>
      <w:r>
        <w:rPr>
          <w:sz w:val="24"/>
        </w:rPr>
        <w:t>Four</w:t>
      </w:r>
      <w:r>
        <w:rPr>
          <w:spacing w:val="80"/>
          <w:sz w:val="24"/>
        </w:rPr>
        <w:t> </w:t>
      </w:r>
      <w:r>
        <w:rPr>
          <w:sz w:val="24"/>
        </w:rPr>
        <w:t>wheeled</w:t>
      </w:r>
      <w:r>
        <w:rPr>
          <w:spacing w:val="80"/>
          <w:sz w:val="24"/>
        </w:rPr>
        <w:t> </w:t>
      </w:r>
      <w:r>
        <w:rPr>
          <w:spacing w:val="10"/>
          <w:sz w:val="24"/>
        </w:rPr>
        <w:t>auto-</w:t>
      </w:r>
      <w:r>
        <w:rPr>
          <w:spacing w:val="9"/>
          <w:sz w:val="24"/>
        </w:rPr>
        <w:t>vehicles-</w:t>
      </w:r>
      <w:r>
        <w:rPr>
          <w:sz w:val="24"/>
        </w:rPr>
        <w:t>Parking</w:t>
      </w:r>
      <w:r>
        <w:rPr>
          <w:spacing w:val="80"/>
          <w:sz w:val="24"/>
        </w:rPr>
        <w:t> </w:t>
      </w:r>
      <w:r>
        <w:rPr>
          <w:sz w:val="24"/>
        </w:rPr>
        <w:t>spaces</w:t>
      </w:r>
      <w:r>
        <w:rPr>
          <w:spacing w:val="40"/>
          <w:sz w:val="24"/>
        </w:rPr>
        <w:t> </w:t>
      </w:r>
      <w:r>
        <w:rPr>
          <w:sz w:val="24"/>
        </w:rPr>
        <w:t>for</w:t>
      </w:r>
      <w:r>
        <w:rPr>
          <w:spacing w:val="40"/>
          <w:sz w:val="24"/>
        </w:rPr>
        <w:t> </w:t>
      </w:r>
      <w:r>
        <w:rPr>
          <w:sz w:val="24"/>
        </w:rPr>
        <w:t>four</w:t>
      </w:r>
      <w:r>
        <w:rPr>
          <w:spacing w:val="40"/>
          <w:sz w:val="24"/>
        </w:rPr>
        <w:t> </w:t>
      </w:r>
      <w:r>
        <w:rPr>
          <w:sz w:val="24"/>
        </w:rPr>
        <w:t>wheeled</w:t>
      </w:r>
      <w:r>
        <w:rPr>
          <w:spacing w:val="40"/>
          <w:sz w:val="24"/>
        </w:rPr>
        <w:t> </w:t>
      </w:r>
      <w:r>
        <w:rPr>
          <w:sz w:val="24"/>
        </w:rPr>
        <w:t>auto</w:t>
      </w:r>
      <w:r>
        <w:rPr>
          <w:spacing w:val="40"/>
          <w:sz w:val="24"/>
        </w:rPr>
        <w:t> </w:t>
      </w:r>
      <w:r>
        <w:rPr>
          <w:sz w:val="24"/>
        </w:rPr>
        <w:t>vehicles</w:t>
      </w:r>
      <w:r>
        <w:rPr>
          <w:spacing w:val="40"/>
          <w:sz w:val="24"/>
        </w:rPr>
        <w:t> </w:t>
      </w:r>
      <w:r>
        <w:rPr>
          <w:sz w:val="24"/>
        </w:rPr>
        <w:t>shall</w:t>
      </w:r>
      <w:r>
        <w:rPr>
          <w:spacing w:val="67"/>
          <w:sz w:val="24"/>
        </w:rPr>
        <w:t> </w:t>
      </w:r>
      <w:r>
        <w:rPr>
          <w:sz w:val="24"/>
        </w:rPr>
        <w:t>be</w:t>
      </w:r>
      <w:r>
        <w:rPr>
          <w:spacing w:val="40"/>
          <w:sz w:val="24"/>
        </w:rPr>
        <w:t> </w:t>
      </w:r>
      <w:r>
        <w:rPr>
          <w:spacing w:val="9"/>
          <w:sz w:val="24"/>
        </w:rPr>
        <w:t>provided</w:t>
      </w:r>
      <w:r>
        <w:rPr>
          <w:spacing w:val="40"/>
          <w:sz w:val="24"/>
        </w:rPr>
        <w:t> </w:t>
      </w:r>
      <w:r>
        <w:rPr>
          <w:sz w:val="24"/>
        </w:rPr>
        <w:t>as</w:t>
      </w:r>
      <w:r>
        <w:rPr>
          <w:spacing w:val="40"/>
          <w:sz w:val="24"/>
        </w:rPr>
        <w:t> </w:t>
      </w:r>
      <w:r>
        <w:rPr>
          <w:sz w:val="24"/>
        </w:rPr>
        <w:t>in</w:t>
      </w:r>
      <w:r>
        <w:rPr>
          <w:spacing w:val="68"/>
          <w:sz w:val="24"/>
        </w:rPr>
        <w:t> </w:t>
      </w:r>
      <w:r>
        <w:rPr>
          <w:sz w:val="24"/>
        </w:rPr>
        <w:t>Table</w:t>
      </w:r>
      <w:r>
        <w:rPr>
          <w:spacing w:val="71"/>
          <w:sz w:val="24"/>
        </w:rPr>
        <w:t> </w:t>
      </w:r>
      <w:r>
        <w:rPr>
          <w:sz w:val="24"/>
        </w:rPr>
        <w:t>No 21</w:t>
      </w:r>
      <w:r>
        <w:rPr>
          <w:spacing w:val="36"/>
          <w:sz w:val="24"/>
        </w:rPr>
        <w:t> </w:t>
      </w:r>
      <w:r>
        <w:rPr>
          <w:sz w:val="24"/>
        </w:rPr>
        <w:t>below,</w:t>
      </w:r>
      <w:r>
        <w:rPr>
          <w:spacing w:val="36"/>
          <w:sz w:val="24"/>
        </w:rPr>
        <w:t> </w:t>
      </w:r>
      <w:r>
        <w:rPr>
          <w:sz w:val="24"/>
        </w:rPr>
        <w:t>any</w:t>
      </w:r>
      <w:r>
        <w:rPr>
          <w:spacing w:val="40"/>
          <w:sz w:val="24"/>
        </w:rPr>
        <w:t> </w:t>
      </w:r>
      <w:r>
        <w:rPr>
          <w:sz w:val="24"/>
        </w:rPr>
        <w:t>fractional</w:t>
      </w:r>
      <w:r>
        <w:rPr>
          <w:spacing w:val="36"/>
          <w:sz w:val="24"/>
        </w:rPr>
        <w:t> </w:t>
      </w:r>
      <w:r>
        <w:rPr>
          <w:sz w:val="24"/>
        </w:rPr>
        <w:t>space</w:t>
      </w:r>
      <w:r>
        <w:rPr>
          <w:spacing w:val="36"/>
          <w:sz w:val="24"/>
        </w:rPr>
        <w:t> </w:t>
      </w:r>
      <w:r>
        <w:rPr>
          <w:sz w:val="24"/>
        </w:rPr>
        <w:t>of</w:t>
      </w:r>
      <w:r>
        <w:rPr>
          <w:spacing w:val="40"/>
          <w:sz w:val="24"/>
        </w:rPr>
        <w:t> </w:t>
      </w:r>
      <w:r>
        <w:rPr>
          <w:sz w:val="24"/>
        </w:rPr>
        <w:t>more</w:t>
      </w:r>
      <w:r>
        <w:rPr>
          <w:spacing w:val="40"/>
          <w:sz w:val="24"/>
        </w:rPr>
        <w:t> </w:t>
      </w:r>
      <w:r>
        <w:rPr>
          <w:sz w:val="24"/>
        </w:rPr>
        <w:t>than</w:t>
      </w:r>
      <w:r>
        <w:rPr>
          <w:spacing w:val="36"/>
          <w:sz w:val="24"/>
        </w:rPr>
        <w:t> </w:t>
      </w:r>
      <w:r>
        <w:rPr>
          <w:sz w:val="24"/>
        </w:rPr>
        <w:t>half</w:t>
      </w:r>
      <w:r>
        <w:rPr>
          <w:spacing w:val="36"/>
          <w:sz w:val="24"/>
        </w:rPr>
        <w:t> </w:t>
      </w:r>
      <w:r>
        <w:rPr>
          <w:sz w:val="24"/>
        </w:rPr>
        <w:t>resulting</w:t>
      </w:r>
      <w:r>
        <w:rPr>
          <w:spacing w:val="40"/>
          <w:sz w:val="24"/>
        </w:rPr>
        <w:t> </w:t>
      </w:r>
      <w:r>
        <w:rPr>
          <w:sz w:val="24"/>
        </w:rPr>
        <w:t>from</w:t>
      </w:r>
      <w:r>
        <w:rPr>
          <w:spacing w:val="36"/>
          <w:sz w:val="24"/>
        </w:rPr>
        <w:t> </w:t>
      </w:r>
      <w:r>
        <w:rPr>
          <w:sz w:val="24"/>
        </w:rPr>
        <w:t>the</w:t>
      </w:r>
      <w:r>
        <w:rPr>
          <w:spacing w:val="40"/>
          <w:sz w:val="24"/>
        </w:rPr>
        <w:t> </w:t>
      </w:r>
      <w:r>
        <w:rPr>
          <w:sz w:val="24"/>
        </w:rPr>
        <w:t>ratios in</w:t>
      </w:r>
      <w:r>
        <w:rPr>
          <w:spacing w:val="40"/>
          <w:sz w:val="24"/>
        </w:rPr>
        <w:t> </w:t>
      </w:r>
      <w:r>
        <w:rPr>
          <w:sz w:val="24"/>
        </w:rPr>
        <w:t>column</w:t>
      </w:r>
      <w:r>
        <w:rPr>
          <w:spacing w:val="40"/>
          <w:sz w:val="24"/>
        </w:rPr>
        <w:t> </w:t>
      </w:r>
      <w:r>
        <w:rPr>
          <w:sz w:val="24"/>
        </w:rPr>
        <w:t>(3)</w:t>
      </w:r>
      <w:r>
        <w:rPr>
          <w:spacing w:val="40"/>
          <w:sz w:val="24"/>
        </w:rPr>
        <w:t> </w:t>
      </w:r>
      <w:r>
        <w:rPr>
          <w:sz w:val="24"/>
        </w:rPr>
        <w:t>thereof</w:t>
      </w:r>
      <w:r>
        <w:rPr>
          <w:spacing w:val="40"/>
          <w:sz w:val="24"/>
        </w:rPr>
        <w:t> </w:t>
      </w:r>
      <w:r>
        <w:rPr>
          <w:sz w:val="24"/>
        </w:rPr>
        <w:t>being</w:t>
      </w:r>
      <w:r>
        <w:rPr>
          <w:spacing w:val="40"/>
          <w:sz w:val="24"/>
        </w:rPr>
        <w:t> </w:t>
      </w:r>
      <w:r>
        <w:rPr>
          <w:sz w:val="24"/>
        </w:rPr>
        <w:t>rounded</w:t>
      </w:r>
      <w:r>
        <w:rPr>
          <w:spacing w:val="40"/>
          <w:sz w:val="24"/>
        </w:rPr>
        <w:t> </w:t>
      </w:r>
      <w:r>
        <w:rPr>
          <w:sz w:val="24"/>
        </w:rPr>
        <w:t>off</w:t>
      </w:r>
      <w:r>
        <w:rPr>
          <w:spacing w:val="40"/>
          <w:sz w:val="24"/>
        </w:rPr>
        <w:t> </w:t>
      </w:r>
      <w:r>
        <w:rPr>
          <w:sz w:val="24"/>
        </w:rPr>
        <w:t>upward</w:t>
      </w:r>
      <w:r>
        <w:rPr>
          <w:spacing w:val="40"/>
          <w:sz w:val="24"/>
        </w:rPr>
        <w:t> </w:t>
      </w:r>
      <w:r>
        <w:rPr>
          <w:sz w:val="24"/>
        </w:rPr>
        <w:t>to</w:t>
      </w:r>
      <w:r>
        <w:rPr>
          <w:spacing w:val="40"/>
          <w:sz w:val="24"/>
        </w:rPr>
        <w:t> </w:t>
      </w:r>
      <w:r>
        <w:rPr>
          <w:sz w:val="24"/>
        </w:rPr>
        <w:t>the</w:t>
      </w:r>
      <w:r>
        <w:rPr>
          <w:spacing w:val="40"/>
          <w:sz w:val="24"/>
        </w:rPr>
        <w:t> </w:t>
      </w:r>
      <w:r>
        <w:rPr>
          <w:sz w:val="24"/>
        </w:rPr>
        <w:t>nearest</w:t>
      </w:r>
      <w:r>
        <w:rPr>
          <w:spacing w:val="40"/>
          <w:sz w:val="24"/>
        </w:rPr>
        <w:t> </w:t>
      </w:r>
      <w:r>
        <w:rPr>
          <w:spacing w:val="9"/>
          <w:sz w:val="24"/>
        </w:rPr>
        <w:t>integer. </w:t>
      </w:r>
      <w:r>
        <w:rPr>
          <w:sz w:val="24"/>
        </w:rPr>
        <w:t>Provided</w:t>
      </w:r>
      <w:r>
        <w:rPr>
          <w:spacing w:val="40"/>
          <w:sz w:val="24"/>
        </w:rPr>
        <w:t> </w:t>
      </w:r>
      <w:r>
        <w:rPr>
          <w:sz w:val="24"/>
        </w:rPr>
        <w:t>that</w:t>
      </w:r>
      <w:r>
        <w:rPr>
          <w:spacing w:val="40"/>
          <w:sz w:val="24"/>
        </w:rPr>
        <w:t> </w:t>
      </w:r>
      <w:r>
        <w:rPr>
          <w:sz w:val="24"/>
        </w:rPr>
        <w:t>the</w:t>
      </w:r>
      <w:r>
        <w:rPr>
          <w:spacing w:val="40"/>
          <w:sz w:val="24"/>
        </w:rPr>
        <w:t> </w:t>
      </w:r>
      <w:r>
        <w:rPr>
          <w:sz w:val="24"/>
        </w:rPr>
        <w:t>Government</w:t>
      </w:r>
      <w:r>
        <w:rPr>
          <w:spacing w:val="40"/>
          <w:sz w:val="24"/>
        </w:rPr>
        <w:t> </w:t>
      </w:r>
      <w:r>
        <w:rPr>
          <w:sz w:val="24"/>
        </w:rPr>
        <w:t>may</w:t>
      </w:r>
      <w:r>
        <w:rPr>
          <w:spacing w:val="40"/>
          <w:sz w:val="24"/>
        </w:rPr>
        <w:t> </w:t>
      </w:r>
      <w:r>
        <w:rPr>
          <w:sz w:val="24"/>
        </w:rPr>
        <w:t>change</w:t>
      </w:r>
      <w:r>
        <w:rPr>
          <w:spacing w:val="40"/>
          <w:sz w:val="24"/>
        </w:rPr>
        <w:t> </w:t>
      </w:r>
      <w:r>
        <w:rPr>
          <w:sz w:val="24"/>
        </w:rPr>
        <w:t>parking</w:t>
      </w:r>
      <w:r>
        <w:rPr>
          <w:spacing w:val="40"/>
          <w:sz w:val="24"/>
        </w:rPr>
        <w:t> </w:t>
      </w:r>
      <w:r>
        <w:rPr>
          <w:sz w:val="24"/>
        </w:rPr>
        <w:t>requirements,</w:t>
      </w:r>
      <w:r>
        <w:rPr>
          <w:spacing w:val="40"/>
          <w:sz w:val="24"/>
        </w:rPr>
        <w:t> </w:t>
      </w:r>
      <w:r>
        <w:rPr>
          <w:sz w:val="24"/>
        </w:rPr>
        <w:t>as</w:t>
      </w:r>
      <w:r>
        <w:rPr>
          <w:spacing w:val="40"/>
          <w:sz w:val="24"/>
        </w:rPr>
        <w:t> </w:t>
      </w:r>
      <w:r>
        <w:rPr>
          <w:sz w:val="24"/>
        </w:rPr>
        <w:t>per the</w:t>
      </w:r>
      <w:r>
        <w:rPr>
          <w:spacing w:val="80"/>
          <w:sz w:val="24"/>
        </w:rPr>
        <w:t> </w:t>
      </w:r>
      <w:r>
        <w:rPr>
          <w:sz w:val="24"/>
        </w:rPr>
        <w:t>recommendations</w:t>
      </w:r>
      <w:r>
        <w:rPr>
          <w:spacing w:val="80"/>
          <w:sz w:val="24"/>
        </w:rPr>
        <w:t> </w:t>
      </w:r>
      <w:r>
        <w:rPr>
          <w:sz w:val="24"/>
        </w:rPr>
        <w:t>of</w:t>
      </w:r>
      <w:r>
        <w:rPr>
          <w:spacing w:val="80"/>
          <w:sz w:val="24"/>
        </w:rPr>
        <w:t> </w:t>
      </w:r>
      <w:r>
        <w:rPr>
          <w:sz w:val="24"/>
        </w:rPr>
        <w:t>the</w:t>
      </w:r>
      <w:r>
        <w:rPr>
          <w:spacing w:val="80"/>
          <w:sz w:val="24"/>
        </w:rPr>
        <w:t> </w:t>
      </w:r>
      <w:r>
        <w:rPr>
          <w:sz w:val="24"/>
        </w:rPr>
        <w:t>committee</w:t>
      </w:r>
      <w:r>
        <w:rPr>
          <w:spacing w:val="80"/>
          <w:sz w:val="24"/>
        </w:rPr>
        <w:t> </w:t>
      </w:r>
      <w:r>
        <w:rPr>
          <w:sz w:val="24"/>
        </w:rPr>
        <w:t>constituted</w:t>
      </w:r>
      <w:r>
        <w:rPr>
          <w:spacing w:val="80"/>
          <w:sz w:val="24"/>
        </w:rPr>
        <w:t> </w:t>
      </w:r>
      <w:r>
        <w:rPr>
          <w:sz w:val="24"/>
        </w:rPr>
        <w:t>by</w:t>
      </w:r>
      <w:r>
        <w:rPr>
          <w:spacing w:val="80"/>
          <w:sz w:val="24"/>
        </w:rPr>
        <w:t> </w:t>
      </w:r>
      <w:r>
        <w:rPr>
          <w:sz w:val="24"/>
        </w:rPr>
        <w:t>the</w:t>
      </w:r>
      <w:r>
        <w:rPr>
          <w:spacing w:val="80"/>
          <w:sz w:val="24"/>
        </w:rPr>
        <w:t> </w:t>
      </w:r>
      <w:r>
        <w:rPr>
          <w:sz w:val="24"/>
        </w:rPr>
        <w:t>Government in this regard.</w:t>
      </w:r>
    </w:p>
    <w:p>
      <w:pPr>
        <w:pStyle w:val="ListParagraph"/>
        <w:spacing w:after="0" w:line="240" w:lineRule="auto"/>
        <w:jc w:val="left"/>
        <w:rPr>
          <w:sz w:val="24"/>
        </w:rPr>
        <w:sectPr>
          <w:pgSz w:w="11910" w:h="16840"/>
          <w:pgMar w:header="1058" w:footer="1201" w:top="1500" w:bottom="1400" w:left="360" w:right="360"/>
        </w:sectPr>
      </w:pPr>
    </w:p>
    <w:p>
      <w:pPr>
        <w:pStyle w:val="Heading5"/>
        <w:spacing w:before="255"/>
        <w:ind w:left="343" w:right="8303"/>
        <w:jc w:val="center"/>
      </w:pPr>
      <w:r>
        <w:rPr/>
        <w:t>Table</w:t>
      </w:r>
      <w:r>
        <w:rPr>
          <w:spacing w:val="47"/>
        </w:rPr>
        <w:t> </w:t>
      </w:r>
      <w:r>
        <w:rPr/>
        <w:t>No:</w:t>
      </w:r>
      <w:r>
        <w:rPr>
          <w:spacing w:val="48"/>
        </w:rPr>
        <w:t> </w:t>
      </w:r>
      <w:r>
        <w:rPr>
          <w:spacing w:val="-5"/>
        </w:rPr>
        <w:t>21</w:t>
      </w:r>
    </w:p>
    <w:p>
      <w:pPr>
        <w:spacing w:before="1"/>
        <w:ind w:left="0" w:right="0" w:firstLine="0"/>
        <w:jc w:val="center"/>
        <w:rPr>
          <w:b/>
          <w:sz w:val="24"/>
        </w:rPr>
      </w:pPr>
      <w:r>
        <w:rPr>
          <w:b/>
          <w:sz w:val="24"/>
        </w:rPr>
        <w:t>Off</w:t>
      </w:r>
      <w:r>
        <w:rPr>
          <w:b/>
          <w:spacing w:val="-2"/>
          <w:sz w:val="24"/>
        </w:rPr>
        <w:t> </w:t>
      </w:r>
      <w:r>
        <w:rPr>
          <w:b/>
          <w:sz w:val="24"/>
        </w:rPr>
        <w:t>Street</w:t>
      </w:r>
      <w:r>
        <w:rPr>
          <w:b/>
          <w:spacing w:val="-2"/>
          <w:sz w:val="24"/>
        </w:rPr>
        <w:t> </w:t>
      </w:r>
      <w:r>
        <w:rPr>
          <w:b/>
          <w:sz w:val="24"/>
        </w:rPr>
        <w:t>Parking</w:t>
      </w:r>
      <w:r>
        <w:rPr>
          <w:b/>
          <w:spacing w:val="-2"/>
          <w:sz w:val="24"/>
        </w:rPr>
        <w:t> Spaces</w:t>
      </w:r>
    </w:p>
    <w:p>
      <w:pPr>
        <w:pStyle w:val="BodyText"/>
        <w:spacing w:before="168"/>
        <w:jc w:val="left"/>
        <w:rPr>
          <w:b/>
          <w:sz w:val="20"/>
        </w:rPr>
      </w:pPr>
    </w:p>
    <w:tbl>
      <w:tblPr>
        <w:tblW w:w="0" w:type="auto"/>
        <w:jc w:val="left"/>
        <w:tblInd w:w="10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8"/>
        <w:gridCol w:w="3061"/>
        <w:gridCol w:w="5310"/>
      </w:tblGrid>
      <w:tr>
        <w:trPr>
          <w:trHeight w:val="940" w:hRule="atLeast"/>
        </w:trPr>
        <w:tc>
          <w:tcPr>
            <w:tcW w:w="708" w:type="dxa"/>
            <w:shd w:val="clear" w:color="auto" w:fill="EDEBE0"/>
          </w:tcPr>
          <w:p>
            <w:pPr>
              <w:pStyle w:val="TableParagraph"/>
              <w:spacing w:line="281" w:lineRule="exact" w:before="95"/>
              <w:ind w:left="107"/>
              <w:rPr>
                <w:sz w:val="24"/>
              </w:rPr>
            </w:pPr>
            <w:r>
              <w:rPr>
                <w:spacing w:val="-5"/>
                <w:sz w:val="24"/>
              </w:rPr>
              <w:t>Sr.</w:t>
            </w:r>
          </w:p>
          <w:p>
            <w:pPr>
              <w:pStyle w:val="TableParagraph"/>
              <w:spacing w:line="281" w:lineRule="exact"/>
              <w:ind w:left="107"/>
              <w:rPr>
                <w:sz w:val="24"/>
              </w:rPr>
            </w:pPr>
            <w:r>
              <w:rPr>
                <w:spacing w:val="-5"/>
                <w:sz w:val="24"/>
              </w:rPr>
              <w:t>No.</w:t>
            </w:r>
          </w:p>
          <w:p>
            <w:pPr>
              <w:pStyle w:val="TableParagraph"/>
              <w:spacing w:line="261" w:lineRule="exact" w:before="1"/>
              <w:ind w:left="107"/>
              <w:rPr>
                <w:sz w:val="24"/>
              </w:rPr>
            </w:pPr>
            <w:r>
              <w:rPr>
                <w:spacing w:val="-5"/>
                <w:sz w:val="24"/>
              </w:rPr>
              <w:t>(1)</w:t>
            </w:r>
          </w:p>
        </w:tc>
        <w:tc>
          <w:tcPr>
            <w:tcW w:w="3061" w:type="dxa"/>
            <w:shd w:val="clear" w:color="auto" w:fill="EDEBE0"/>
          </w:tcPr>
          <w:p>
            <w:pPr>
              <w:pStyle w:val="TableParagraph"/>
              <w:spacing w:line="281" w:lineRule="exact"/>
              <w:ind w:left="105"/>
              <w:rPr>
                <w:sz w:val="24"/>
              </w:rPr>
            </w:pPr>
            <w:r>
              <w:rPr>
                <w:spacing w:val="-2"/>
                <w:sz w:val="24"/>
              </w:rPr>
              <w:t>Occupancy</w:t>
            </w:r>
          </w:p>
          <w:p>
            <w:pPr>
              <w:pStyle w:val="TableParagraph"/>
              <w:rPr>
                <w:b/>
                <w:sz w:val="24"/>
              </w:rPr>
            </w:pPr>
          </w:p>
          <w:p>
            <w:pPr>
              <w:pStyle w:val="TableParagraph"/>
              <w:ind w:left="105"/>
              <w:rPr>
                <w:sz w:val="24"/>
              </w:rPr>
            </w:pPr>
            <w:r>
              <w:rPr>
                <w:spacing w:val="-5"/>
                <w:sz w:val="24"/>
              </w:rPr>
              <w:t>(2)</w:t>
            </w:r>
          </w:p>
        </w:tc>
        <w:tc>
          <w:tcPr>
            <w:tcW w:w="5310" w:type="dxa"/>
            <w:shd w:val="clear" w:color="auto" w:fill="EDEBE0"/>
          </w:tcPr>
          <w:p>
            <w:pPr>
              <w:pStyle w:val="TableParagraph"/>
              <w:spacing w:line="281" w:lineRule="exact"/>
              <w:ind w:left="104"/>
              <w:rPr>
                <w:sz w:val="24"/>
              </w:rPr>
            </w:pPr>
            <w:r>
              <w:rPr>
                <w:sz w:val="24"/>
              </w:rPr>
              <w:t>Parking</w:t>
            </w:r>
            <w:r>
              <w:rPr>
                <w:spacing w:val="66"/>
                <w:sz w:val="24"/>
              </w:rPr>
              <w:t> </w:t>
            </w:r>
            <w:r>
              <w:rPr>
                <w:sz w:val="24"/>
              </w:rPr>
              <w:t>Space</w:t>
            </w:r>
            <w:r>
              <w:rPr>
                <w:spacing w:val="66"/>
                <w:sz w:val="24"/>
              </w:rPr>
              <w:t> </w:t>
            </w:r>
            <w:r>
              <w:rPr>
                <w:spacing w:val="7"/>
                <w:sz w:val="24"/>
              </w:rPr>
              <w:t>required</w:t>
            </w:r>
          </w:p>
          <w:p>
            <w:pPr>
              <w:pStyle w:val="TableParagraph"/>
              <w:rPr>
                <w:b/>
                <w:sz w:val="24"/>
              </w:rPr>
            </w:pPr>
          </w:p>
          <w:p>
            <w:pPr>
              <w:pStyle w:val="TableParagraph"/>
              <w:ind w:left="104"/>
              <w:rPr>
                <w:sz w:val="24"/>
              </w:rPr>
            </w:pPr>
            <w:r>
              <w:rPr>
                <w:spacing w:val="-5"/>
                <w:sz w:val="24"/>
              </w:rPr>
              <w:t>(3)</w:t>
            </w:r>
          </w:p>
        </w:tc>
      </w:tr>
      <w:tr>
        <w:trPr>
          <w:trHeight w:val="659" w:hRule="atLeast"/>
        </w:trPr>
        <w:tc>
          <w:tcPr>
            <w:tcW w:w="708" w:type="dxa"/>
          </w:tcPr>
          <w:p>
            <w:pPr>
              <w:pStyle w:val="TableParagraph"/>
              <w:spacing w:before="95"/>
              <w:ind w:left="107"/>
              <w:rPr>
                <w:sz w:val="24"/>
              </w:rPr>
            </w:pPr>
            <w:r>
              <w:rPr>
                <w:spacing w:val="-10"/>
                <w:sz w:val="24"/>
              </w:rPr>
              <w:t>1</w:t>
            </w:r>
          </w:p>
        </w:tc>
        <w:tc>
          <w:tcPr>
            <w:tcW w:w="3061" w:type="dxa"/>
          </w:tcPr>
          <w:p>
            <w:pPr>
              <w:pStyle w:val="TableParagraph"/>
              <w:spacing w:line="281" w:lineRule="exact"/>
              <w:ind w:left="105"/>
              <w:rPr>
                <w:sz w:val="24"/>
              </w:rPr>
            </w:pPr>
            <w:r>
              <w:rPr>
                <w:spacing w:val="7"/>
                <w:sz w:val="24"/>
              </w:rPr>
              <w:t>(i)Residential</w:t>
            </w:r>
          </w:p>
        </w:tc>
        <w:tc>
          <w:tcPr>
            <w:tcW w:w="5310" w:type="dxa"/>
          </w:tcPr>
          <w:p>
            <w:pPr>
              <w:pStyle w:val="TableParagraph"/>
              <w:ind w:left="104"/>
              <w:rPr>
                <w:sz w:val="24"/>
              </w:rPr>
            </w:pPr>
            <w:r>
              <w:rPr>
                <w:sz w:val="24"/>
              </w:rPr>
              <w:t>In</w:t>
            </w:r>
            <w:r>
              <w:rPr>
                <w:spacing w:val="40"/>
                <w:sz w:val="24"/>
              </w:rPr>
              <w:t> </w:t>
            </w:r>
            <w:r>
              <w:rPr>
                <w:sz w:val="24"/>
              </w:rPr>
              <w:t>the</w:t>
            </w:r>
            <w:r>
              <w:rPr>
                <w:spacing w:val="40"/>
                <w:sz w:val="24"/>
              </w:rPr>
              <w:t> </w:t>
            </w:r>
            <w:r>
              <w:rPr>
                <w:sz w:val="24"/>
              </w:rPr>
              <w:t>Island</w:t>
            </w:r>
            <w:r>
              <w:rPr>
                <w:spacing w:val="40"/>
                <w:sz w:val="24"/>
              </w:rPr>
              <w:t> </w:t>
            </w:r>
            <w:r>
              <w:rPr>
                <w:sz w:val="24"/>
              </w:rPr>
              <w:t>City</w:t>
            </w:r>
            <w:r>
              <w:rPr>
                <w:spacing w:val="40"/>
                <w:sz w:val="24"/>
              </w:rPr>
              <w:t> </w:t>
            </w:r>
            <w:r>
              <w:rPr>
                <w:sz w:val="24"/>
              </w:rPr>
              <w:t>areas,</w:t>
            </w:r>
            <w:r>
              <w:rPr>
                <w:spacing w:val="40"/>
                <w:sz w:val="24"/>
              </w:rPr>
              <w:t> </w:t>
            </w:r>
            <w:r>
              <w:rPr>
                <w:sz w:val="24"/>
              </w:rPr>
              <w:t>Suburbs</w:t>
            </w:r>
            <w:r>
              <w:rPr>
                <w:spacing w:val="40"/>
                <w:sz w:val="24"/>
              </w:rPr>
              <w:t> </w:t>
            </w:r>
            <w:r>
              <w:rPr>
                <w:sz w:val="24"/>
              </w:rPr>
              <w:t>and Extended </w:t>
            </w:r>
            <w:r>
              <w:rPr>
                <w:spacing w:val="9"/>
                <w:sz w:val="24"/>
              </w:rPr>
              <w:t>Suburbs;</w:t>
            </w:r>
          </w:p>
        </w:tc>
      </w:tr>
      <w:tr>
        <w:trPr>
          <w:trHeight w:val="9958" w:hRule="atLeast"/>
        </w:trPr>
        <w:tc>
          <w:tcPr>
            <w:tcW w:w="708" w:type="dxa"/>
          </w:tcPr>
          <w:p>
            <w:pPr>
              <w:pStyle w:val="TableParagraph"/>
              <w:rPr>
                <w:rFonts w:ascii="Times New Roman"/>
                <w:sz w:val="22"/>
              </w:rPr>
            </w:pPr>
          </w:p>
        </w:tc>
        <w:tc>
          <w:tcPr>
            <w:tcW w:w="3061" w:type="dxa"/>
          </w:tcPr>
          <w:p>
            <w:pPr>
              <w:pStyle w:val="TableParagraph"/>
              <w:rPr>
                <w:rFonts w:ascii="Times New Roman"/>
                <w:sz w:val="22"/>
              </w:rPr>
            </w:pPr>
          </w:p>
        </w:tc>
        <w:tc>
          <w:tcPr>
            <w:tcW w:w="5310" w:type="dxa"/>
          </w:tcPr>
          <w:p>
            <w:pPr>
              <w:pStyle w:val="TableParagraph"/>
              <w:spacing w:before="95"/>
              <w:ind w:left="104"/>
              <w:jc w:val="both"/>
              <w:rPr>
                <w:sz w:val="24"/>
              </w:rPr>
            </w:pPr>
            <w:r>
              <w:rPr>
                <w:sz w:val="24"/>
              </w:rPr>
              <w:t>One</w:t>
            </w:r>
            <w:r>
              <w:rPr>
                <w:spacing w:val="51"/>
                <w:sz w:val="24"/>
              </w:rPr>
              <w:t> </w:t>
            </w:r>
            <w:r>
              <w:rPr>
                <w:sz w:val="24"/>
              </w:rPr>
              <w:t>parking</w:t>
            </w:r>
            <w:r>
              <w:rPr>
                <w:spacing w:val="51"/>
                <w:sz w:val="24"/>
              </w:rPr>
              <w:t> </w:t>
            </w:r>
            <w:r>
              <w:rPr>
                <w:sz w:val="24"/>
              </w:rPr>
              <w:t>space</w:t>
            </w:r>
            <w:r>
              <w:rPr>
                <w:spacing w:val="54"/>
                <w:sz w:val="24"/>
              </w:rPr>
              <w:t> </w:t>
            </w:r>
            <w:r>
              <w:rPr>
                <w:sz w:val="24"/>
              </w:rPr>
              <w:t>for</w:t>
            </w:r>
            <w:r>
              <w:rPr>
                <w:spacing w:val="52"/>
                <w:sz w:val="24"/>
              </w:rPr>
              <w:t> </w:t>
            </w:r>
            <w:r>
              <w:rPr>
                <w:spacing w:val="7"/>
                <w:sz w:val="24"/>
              </w:rPr>
              <w:t>every.</w:t>
            </w:r>
          </w:p>
          <w:p>
            <w:pPr>
              <w:pStyle w:val="TableParagraph"/>
              <w:numPr>
                <w:ilvl w:val="0"/>
                <w:numId w:val="304"/>
              </w:numPr>
              <w:tabs>
                <w:tab w:pos="572" w:val="left" w:leader="none"/>
              </w:tabs>
              <w:spacing w:line="240" w:lineRule="auto" w:before="1" w:after="0"/>
              <w:ind w:left="104" w:right="112" w:firstLine="0"/>
              <w:jc w:val="both"/>
              <w:rPr>
                <w:sz w:val="24"/>
              </w:rPr>
            </w:pPr>
            <w:r>
              <w:rPr>
                <w:sz w:val="24"/>
              </w:rPr>
              <w:t>4 tenements having carpet area</w:t>
            </w:r>
            <w:r>
              <w:rPr>
                <w:spacing w:val="40"/>
                <w:sz w:val="24"/>
              </w:rPr>
              <w:t> </w:t>
            </w:r>
            <w:r>
              <w:rPr>
                <w:sz w:val="24"/>
              </w:rPr>
              <w:t>upto45 sq.m </w:t>
            </w:r>
            <w:r>
              <w:rPr>
                <w:spacing w:val="9"/>
                <w:sz w:val="24"/>
              </w:rPr>
              <w:t>each.</w:t>
            </w:r>
          </w:p>
          <w:p>
            <w:pPr>
              <w:pStyle w:val="TableParagraph"/>
              <w:numPr>
                <w:ilvl w:val="0"/>
                <w:numId w:val="304"/>
              </w:numPr>
              <w:tabs>
                <w:tab w:pos="639" w:val="left" w:leader="none"/>
              </w:tabs>
              <w:spacing w:line="240" w:lineRule="auto" w:before="0" w:after="0"/>
              <w:ind w:left="104" w:right="97" w:firstLine="0"/>
              <w:jc w:val="both"/>
              <w:rPr>
                <w:sz w:val="24"/>
              </w:rPr>
            </w:pPr>
            <w:r>
              <w:rPr>
                <w:sz w:val="24"/>
              </w:rPr>
              <w:t>2 tenements with carpet area exceeding 45sq.m but not </w:t>
            </w:r>
            <w:r>
              <w:rPr>
                <w:spacing w:val="9"/>
                <w:sz w:val="24"/>
              </w:rPr>
              <w:t>exceeding </w:t>
            </w:r>
            <w:r>
              <w:rPr>
                <w:sz w:val="24"/>
              </w:rPr>
              <w:t>60sq.m each.</w:t>
            </w:r>
          </w:p>
          <w:p>
            <w:pPr>
              <w:pStyle w:val="TableParagraph"/>
              <w:spacing w:before="1"/>
              <w:ind w:left="104" w:right="101"/>
              <w:jc w:val="both"/>
              <w:rPr>
                <w:sz w:val="24"/>
              </w:rPr>
            </w:pPr>
            <w:r>
              <w:rPr>
                <w:sz w:val="24"/>
              </w:rPr>
              <w:t>Provided</w:t>
            </w:r>
            <w:r>
              <w:rPr>
                <w:spacing w:val="40"/>
                <w:sz w:val="24"/>
              </w:rPr>
              <w:t> </w:t>
            </w:r>
            <w:r>
              <w:rPr>
                <w:sz w:val="24"/>
              </w:rPr>
              <w:t>further</w:t>
            </w:r>
            <w:r>
              <w:rPr>
                <w:spacing w:val="40"/>
                <w:sz w:val="24"/>
              </w:rPr>
              <w:t> </w:t>
            </w:r>
            <w:r>
              <w:rPr>
                <w:sz w:val="24"/>
              </w:rPr>
              <w:t>that</w:t>
            </w:r>
            <w:r>
              <w:rPr>
                <w:spacing w:val="40"/>
                <w:sz w:val="24"/>
              </w:rPr>
              <w:t> </w:t>
            </w:r>
            <w:r>
              <w:rPr>
                <w:sz w:val="24"/>
              </w:rPr>
              <w:t>in</w:t>
            </w:r>
            <w:r>
              <w:rPr>
                <w:spacing w:val="40"/>
                <w:sz w:val="24"/>
              </w:rPr>
              <w:t> </w:t>
            </w:r>
            <w:r>
              <w:rPr>
                <w:sz w:val="24"/>
              </w:rPr>
              <w:t>case</w:t>
            </w:r>
            <w:r>
              <w:rPr>
                <w:spacing w:val="40"/>
                <w:sz w:val="24"/>
              </w:rPr>
              <w:t> </w:t>
            </w:r>
            <w:r>
              <w:rPr>
                <w:sz w:val="24"/>
              </w:rPr>
              <w:t>of</w:t>
            </w:r>
            <w:r>
              <w:rPr>
                <w:spacing w:val="40"/>
                <w:sz w:val="24"/>
              </w:rPr>
              <w:t> </w:t>
            </w:r>
            <w:r>
              <w:rPr>
                <w:sz w:val="24"/>
              </w:rPr>
              <w:t>(a)</w:t>
            </w:r>
            <w:r>
              <w:rPr>
                <w:spacing w:val="40"/>
                <w:sz w:val="24"/>
              </w:rPr>
              <w:t> </w:t>
            </w:r>
            <w:r>
              <w:rPr>
                <w:sz w:val="24"/>
              </w:rPr>
              <w:t>&amp;</w:t>
            </w:r>
            <w:r>
              <w:rPr>
                <w:spacing w:val="40"/>
                <w:sz w:val="24"/>
              </w:rPr>
              <w:t> </w:t>
            </w:r>
            <w:r>
              <w:rPr>
                <w:sz w:val="24"/>
              </w:rPr>
              <w:t>(b), at the option of </w:t>
            </w:r>
            <w:r>
              <w:rPr>
                <w:spacing w:val="9"/>
                <w:sz w:val="24"/>
              </w:rPr>
              <w:t>owner/developer,</w:t>
            </w:r>
            <w:r>
              <w:rPr>
                <w:spacing w:val="9"/>
                <w:sz w:val="24"/>
              </w:rPr>
              <w:t> </w:t>
            </w:r>
            <w:r>
              <w:rPr>
                <w:sz w:val="24"/>
              </w:rPr>
              <w:t>may provide</w:t>
            </w:r>
            <w:r>
              <w:rPr>
                <w:spacing w:val="40"/>
                <w:sz w:val="24"/>
              </w:rPr>
              <w:t> </w:t>
            </w:r>
            <w:r>
              <w:rPr>
                <w:sz w:val="24"/>
              </w:rPr>
              <w:t>one</w:t>
            </w:r>
            <w:r>
              <w:rPr>
                <w:spacing w:val="40"/>
                <w:sz w:val="24"/>
              </w:rPr>
              <w:t> </w:t>
            </w:r>
            <w:r>
              <w:rPr>
                <w:sz w:val="24"/>
              </w:rPr>
              <w:t>parking</w:t>
            </w:r>
            <w:r>
              <w:rPr>
                <w:spacing w:val="40"/>
                <w:sz w:val="24"/>
              </w:rPr>
              <w:t> </w:t>
            </w:r>
            <w:r>
              <w:rPr>
                <w:sz w:val="24"/>
              </w:rPr>
              <w:t>for</w:t>
            </w:r>
            <w:r>
              <w:rPr>
                <w:spacing w:val="40"/>
                <w:sz w:val="24"/>
              </w:rPr>
              <w:t> </w:t>
            </w:r>
            <w:r>
              <w:rPr>
                <w:sz w:val="24"/>
              </w:rPr>
              <w:t>each</w:t>
            </w:r>
            <w:r>
              <w:rPr>
                <w:spacing w:val="40"/>
                <w:sz w:val="24"/>
              </w:rPr>
              <w:t> </w:t>
            </w:r>
            <w:r>
              <w:rPr>
                <w:spacing w:val="9"/>
                <w:sz w:val="24"/>
              </w:rPr>
              <w:t>tenement.</w:t>
            </w:r>
          </w:p>
          <w:p>
            <w:pPr>
              <w:pStyle w:val="TableParagraph"/>
              <w:numPr>
                <w:ilvl w:val="0"/>
                <w:numId w:val="304"/>
              </w:numPr>
              <w:tabs>
                <w:tab w:pos="388" w:val="left" w:leader="none"/>
              </w:tabs>
              <w:spacing w:line="240" w:lineRule="auto" w:before="0" w:after="0"/>
              <w:ind w:left="104" w:right="110" w:firstLine="0"/>
              <w:jc w:val="both"/>
              <w:rPr>
                <w:sz w:val="24"/>
              </w:rPr>
            </w:pPr>
            <w:r>
              <w:rPr>
                <w:sz w:val="24"/>
              </w:rPr>
              <w:t>1 tenement with carpet area exceeding 60sq.m</w:t>
            </w:r>
            <w:r>
              <w:rPr>
                <w:spacing w:val="40"/>
                <w:sz w:val="24"/>
              </w:rPr>
              <w:t> </w:t>
            </w:r>
            <w:r>
              <w:rPr>
                <w:sz w:val="24"/>
              </w:rPr>
              <w:t>but</w:t>
            </w:r>
            <w:r>
              <w:rPr>
                <w:spacing w:val="40"/>
                <w:sz w:val="24"/>
              </w:rPr>
              <w:t> </w:t>
            </w:r>
            <w:r>
              <w:rPr>
                <w:sz w:val="24"/>
              </w:rPr>
              <w:t>not</w:t>
            </w:r>
            <w:r>
              <w:rPr>
                <w:spacing w:val="40"/>
                <w:sz w:val="24"/>
              </w:rPr>
              <w:t> </w:t>
            </w:r>
            <w:r>
              <w:rPr>
                <w:sz w:val="24"/>
              </w:rPr>
              <w:t>exceeding</w:t>
            </w:r>
            <w:r>
              <w:rPr>
                <w:spacing w:val="9"/>
                <w:sz w:val="24"/>
              </w:rPr>
              <w:t> 90sq.m</w:t>
            </w:r>
          </w:p>
          <w:p>
            <w:pPr>
              <w:pStyle w:val="TableParagraph"/>
              <w:numPr>
                <w:ilvl w:val="0"/>
                <w:numId w:val="304"/>
              </w:numPr>
              <w:tabs>
                <w:tab w:pos="603" w:val="left" w:leader="none"/>
              </w:tabs>
              <w:spacing w:line="240" w:lineRule="auto" w:before="0" w:after="0"/>
              <w:ind w:left="104" w:right="110" w:firstLine="0"/>
              <w:jc w:val="both"/>
              <w:rPr>
                <w:sz w:val="24"/>
              </w:rPr>
            </w:pPr>
            <w:r>
              <w:rPr>
                <w:sz w:val="24"/>
              </w:rPr>
              <w:t>1/2 tenement with carpet area exceeding 90 </w:t>
            </w:r>
            <w:r>
              <w:rPr>
                <w:spacing w:val="9"/>
                <w:sz w:val="24"/>
              </w:rPr>
              <w:t>sq.m</w:t>
            </w:r>
          </w:p>
          <w:p>
            <w:pPr>
              <w:pStyle w:val="TableParagraph"/>
              <w:ind w:left="104" w:right="97"/>
              <w:jc w:val="both"/>
              <w:rPr>
                <w:sz w:val="24"/>
              </w:rPr>
            </w:pPr>
            <w:r>
              <w:rPr>
                <w:sz w:val="24"/>
              </w:rPr>
              <w:t>In</w:t>
            </w:r>
            <w:r>
              <w:rPr>
                <w:spacing w:val="40"/>
                <w:sz w:val="24"/>
              </w:rPr>
              <w:t> </w:t>
            </w:r>
            <w:r>
              <w:rPr>
                <w:sz w:val="24"/>
              </w:rPr>
              <w:t>addition</w:t>
            </w:r>
            <w:r>
              <w:rPr>
                <w:spacing w:val="40"/>
                <w:sz w:val="24"/>
              </w:rPr>
              <w:t> </w:t>
            </w:r>
            <w:r>
              <w:rPr>
                <w:sz w:val="24"/>
              </w:rPr>
              <w:t>to</w:t>
            </w:r>
            <w:r>
              <w:rPr>
                <w:spacing w:val="40"/>
                <w:sz w:val="24"/>
              </w:rPr>
              <w:t> </w:t>
            </w:r>
            <w:r>
              <w:rPr>
                <w:sz w:val="24"/>
              </w:rPr>
              <w:t>the</w:t>
            </w:r>
            <w:r>
              <w:rPr>
                <w:spacing w:val="40"/>
                <w:sz w:val="24"/>
              </w:rPr>
              <w:t> </w:t>
            </w:r>
            <w:r>
              <w:rPr>
                <w:sz w:val="24"/>
              </w:rPr>
              <w:t>parking</w:t>
            </w:r>
            <w:r>
              <w:rPr>
                <w:spacing w:val="40"/>
                <w:sz w:val="24"/>
              </w:rPr>
              <w:t> </w:t>
            </w:r>
            <w:r>
              <w:rPr>
                <w:sz w:val="24"/>
              </w:rPr>
              <w:t>spaces specified</w:t>
            </w:r>
            <w:r>
              <w:rPr>
                <w:spacing w:val="80"/>
                <w:sz w:val="24"/>
              </w:rPr>
              <w:t> </w:t>
            </w:r>
            <w:r>
              <w:rPr>
                <w:sz w:val="24"/>
              </w:rPr>
              <w:t>in</w:t>
            </w:r>
            <w:r>
              <w:rPr>
                <w:spacing w:val="80"/>
                <w:sz w:val="24"/>
              </w:rPr>
              <w:t> </w:t>
            </w:r>
            <w:r>
              <w:rPr>
                <w:sz w:val="24"/>
              </w:rPr>
              <w:t>(a),</w:t>
            </w:r>
            <w:r>
              <w:rPr>
                <w:spacing w:val="80"/>
                <w:sz w:val="24"/>
              </w:rPr>
              <w:t> </w:t>
            </w:r>
            <w:r>
              <w:rPr>
                <w:sz w:val="24"/>
              </w:rPr>
              <w:t>(b),(c)&amp;</w:t>
            </w:r>
            <w:r>
              <w:rPr>
                <w:spacing w:val="80"/>
                <w:sz w:val="24"/>
              </w:rPr>
              <w:t> </w:t>
            </w:r>
            <w:r>
              <w:rPr>
                <w:sz w:val="24"/>
              </w:rPr>
              <w:t>(d)</w:t>
            </w:r>
            <w:r>
              <w:rPr>
                <w:spacing w:val="80"/>
                <w:sz w:val="24"/>
              </w:rPr>
              <w:t> </w:t>
            </w:r>
            <w:r>
              <w:rPr>
                <w:sz w:val="24"/>
              </w:rPr>
              <w:t>above, parking for visitors</w:t>
            </w:r>
            <w:r>
              <w:rPr>
                <w:spacing w:val="40"/>
                <w:sz w:val="24"/>
              </w:rPr>
              <w:t> </w:t>
            </w:r>
            <w:r>
              <w:rPr>
                <w:sz w:val="24"/>
              </w:rPr>
              <w:t>shall be provided</w:t>
            </w:r>
            <w:r>
              <w:rPr>
                <w:spacing w:val="40"/>
                <w:sz w:val="24"/>
              </w:rPr>
              <w:t> </w:t>
            </w:r>
            <w:r>
              <w:rPr>
                <w:sz w:val="24"/>
              </w:rPr>
              <w:t>to</w:t>
            </w:r>
            <w:r>
              <w:rPr>
                <w:spacing w:val="40"/>
                <w:sz w:val="24"/>
              </w:rPr>
              <w:t> </w:t>
            </w:r>
            <w:r>
              <w:rPr>
                <w:sz w:val="24"/>
              </w:rPr>
              <w:t>the extent of 25 per cent of the number stipulated above, subject to minimum of </w:t>
            </w:r>
            <w:r>
              <w:rPr>
                <w:spacing w:val="-4"/>
                <w:sz w:val="24"/>
              </w:rPr>
              <w:t>one.</w:t>
            </w:r>
          </w:p>
          <w:p>
            <w:pPr>
              <w:pStyle w:val="TableParagraph"/>
              <w:ind w:left="104" w:right="97"/>
              <w:jc w:val="both"/>
              <w:rPr>
                <w:sz w:val="24"/>
              </w:rPr>
            </w:pPr>
            <w:r>
              <w:rPr>
                <w:sz w:val="24"/>
              </w:rPr>
              <w:t>Provided that for the </w:t>
            </w:r>
            <w:r>
              <w:rPr>
                <w:spacing w:val="9"/>
                <w:sz w:val="24"/>
              </w:rPr>
              <w:t>redevelopment</w:t>
            </w:r>
            <w:r>
              <w:rPr>
                <w:spacing w:val="80"/>
                <w:sz w:val="24"/>
              </w:rPr>
              <w:t> </w:t>
            </w:r>
            <w:r>
              <w:rPr>
                <w:sz w:val="24"/>
              </w:rPr>
              <w:t>under</w:t>
            </w:r>
            <w:r>
              <w:rPr>
                <w:spacing w:val="54"/>
                <w:sz w:val="24"/>
              </w:rPr>
              <w:t>  </w:t>
            </w:r>
            <w:r>
              <w:rPr>
                <w:sz w:val="24"/>
              </w:rPr>
              <w:t>Regulation</w:t>
            </w:r>
            <w:r>
              <w:rPr>
                <w:spacing w:val="56"/>
                <w:sz w:val="24"/>
              </w:rPr>
              <w:t>  </w:t>
            </w:r>
            <w:r>
              <w:rPr>
                <w:sz w:val="24"/>
              </w:rPr>
              <w:t>33(5),</w:t>
            </w:r>
            <w:r>
              <w:rPr>
                <w:spacing w:val="54"/>
                <w:sz w:val="24"/>
              </w:rPr>
              <w:t>  </w:t>
            </w:r>
            <w:r>
              <w:rPr>
                <w:sz w:val="24"/>
              </w:rPr>
              <w:t>33(6),</w:t>
            </w:r>
            <w:r>
              <w:rPr>
                <w:spacing w:val="54"/>
                <w:sz w:val="24"/>
              </w:rPr>
              <w:t>  </w:t>
            </w:r>
            <w:r>
              <w:rPr>
                <w:spacing w:val="-2"/>
                <w:sz w:val="24"/>
              </w:rPr>
              <w:t>33(7),</w:t>
            </w:r>
          </w:p>
          <w:p>
            <w:pPr>
              <w:pStyle w:val="TableParagraph"/>
              <w:tabs>
                <w:tab w:pos="4399" w:val="left" w:leader="none"/>
              </w:tabs>
              <w:spacing w:line="280" w:lineRule="exact"/>
              <w:ind w:left="104"/>
              <w:jc w:val="both"/>
              <w:rPr>
                <w:sz w:val="24"/>
              </w:rPr>
            </w:pPr>
            <w:r>
              <w:rPr>
                <w:color w:val="000000"/>
                <w:spacing w:val="-2"/>
                <w:sz w:val="24"/>
                <w:shd w:fill="FFCCFF" w:color="auto" w:val="clear"/>
              </w:rPr>
              <w:t>33(7)(A),</w:t>
            </w:r>
            <w:r>
              <w:rPr>
                <w:color w:val="000000"/>
                <w:spacing w:val="-2"/>
                <w:sz w:val="24"/>
              </w:rPr>
              <w:t>33(9),</w:t>
            </w:r>
            <w:r>
              <w:rPr>
                <w:color w:val="000000"/>
                <w:spacing w:val="-2"/>
                <w:sz w:val="24"/>
                <w:shd w:fill="FFCCFF" w:color="auto" w:val="clear"/>
              </w:rPr>
              <w:t>33(9)(B),</w:t>
            </w:r>
            <w:r>
              <w:rPr>
                <w:color w:val="000000"/>
                <w:sz w:val="24"/>
              </w:rPr>
              <w:tab/>
            </w:r>
            <w:r>
              <w:rPr>
                <w:color w:val="000000"/>
                <w:spacing w:val="-2"/>
                <w:sz w:val="24"/>
              </w:rPr>
              <w:t>33(10)</w:t>
            </w:r>
          </w:p>
          <w:p>
            <w:pPr>
              <w:pStyle w:val="TableParagraph"/>
              <w:spacing w:line="281" w:lineRule="exact" w:before="2"/>
              <w:ind w:left="104"/>
              <w:jc w:val="both"/>
              <w:rPr>
                <w:sz w:val="24"/>
              </w:rPr>
            </w:pPr>
            <w:r>
              <w:rPr>
                <w:sz w:val="24"/>
              </w:rPr>
              <w:t>33(10)(A),33(11)</w:t>
            </w:r>
            <w:r>
              <w:rPr>
                <w:spacing w:val="68"/>
                <w:w w:val="150"/>
                <w:sz w:val="24"/>
              </w:rPr>
              <w:t>  </w:t>
            </w:r>
            <w:r>
              <w:rPr>
                <w:sz w:val="24"/>
              </w:rPr>
              <w:t>(A),33(15)</w:t>
            </w:r>
            <w:r>
              <w:rPr>
                <w:spacing w:val="69"/>
                <w:w w:val="150"/>
                <w:sz w:val="24"/>
              </w:rPr>
              <w:t>  </w:t>
            </w:r>
            <w:r>
              <w:rPr>
                <w:sz w:val="24"/>
              </w:rPr>
              <w:t>&amp;</w:t>
            </w:r>
            <w:r>
              <w:rPr>
                <w:spacing w:val="69"/>
                <w:w w:val="150"/>
                <w:sz w:val="24"/>
              </w:rPr>
              <w:t>  </w:t>
            </w:r>
            <w:r>
              <w:rPr>
                <w:spacing w:val="-2"/>
                <w:sz w:val="24"/>
              </w:rPr>
              <w:t>33(20)</w:t>
            </w:r>
          </w:p>
          <w:p>
            <w:pPr>
              <w:pStyle w:val="TableParagraph"/>
              <w:numPr>
                <w:ilvl w:val="1"/>
                <w:numId w:val="304"/>
              </w:numPr>
              <w:tabs>
                <w:tab w:pos="438" w:val="left" w:leader="none"/>
              </w:tabs>
              <w:spacing w:line="240" w:lineRule="auto" w:before="0" w:after="0"/>
              <w:ind w:left="104" w:right="906" w:firstLine="0"/>
              <w:jc w:val="both"/>
              <w:rPr>
                <w:sz w:val="24"/>
              </w:rPr>
            </w:pPr>
            <w:r>
              <w:rPr>
                <w:sz w:val="24"/>
              </w:rPr>
              <w:t>the parking shall be as follows. One</w:t>
            </w:r>
            <w:r>
              <w:rPr>
                <w:spacing w:val="40"/>
                <w:sz w:val="24"/>
              </w:rPr>
              <w:t> </w:t>
            </w:r>
            <w:r>
              <w:rPr>
                <w:sz w:val="24"/>
              </w:rPr>
              <w:t>parking</w:t>
            </w:r>
            <w:r>
              <w:rPr>
                <w:spacing w:val="40"/>
                <w:sz w:val="24"/>
              </w:rPr>
              <w:t> </w:t>
            </w:r>
            <w:r>
              <w:rPr>
                <w:sz w:val="24"/>
              </w:rPr>
              <w:t>space</w:t>
            </w:r>
            <w:r>
              <w:rPr>
                <w:spacing w:val="40"/>
                <w:sz w:val="24"/>
              </w:rPr>
              <w:t> </w:t>
            </w:r>
            <w:r>
              <w:rPr>
                <w:sz w:val="24"/>
              </w:rPr>
              <w:t>for</w:t>
            </w:r>
            <w:r>
              <w:rPr>
                <w:spacing w:val="9"/>
                <w:sz w:val="24"/>
              </w:rPr>
              <w:t> every.</w:t>
            </w:r>
          </w:p>
          <w:p>
            <w:pPr>
              <w:pStyle w:val="TableParagraph"/>
              <w:numPr>
                <w:ilvl w:val="2"/>
                <w:numId w:val="304"/>
              </w:numPr>
              <w:tabs>
                <w:tab w:pos="572" w:val="left" w:leader="none"/>
              </w:tabs>
              <w:spacing w:line="240" w:lineRule="auto" w:before="0" w:after="0"/>
              <w:ind w:left="104" w:right="112" w:firstLine="0"/>
              <w:jc w:val="both"/>
              <w:rPr>
                <w:sz w:val="24"/>
              </w:rPr>
            </w:pPr>
            <w:r>
              <w:rPr>
                <w:sz w:val="24"/>
              </w:rPr>
              <w:t>8 tenements having carpet area upto45sq.m each</w:t>
            </w:r>
          </w:p>
          <w:p>
            <w:pPr>
              <w:pStyle w:val="TableParagraph"/>
              <w:numPr>
                <w:ilvl w:val="2"/>
                <w:numId w:val="304"/>
              </w:numPr>
              <w:tabs>
                <w:tab w:pos="639" w:val="left" w:leader="none"/>
              </w:tabs>
              <w:spacing w:line="240" w:lineRule="auto" w:before="1" w:after="0"/>
              <w:ind w:left="104" w:right="95" w:firstLine="0"/>
              <w:jc w:val="both"/>
              <w:rPr>
                <w:sz w:val="24"/>
              </w:rPr>
            </w:pPr>
            <w:r>
              <w:rPr>
                <w:sz w:val="24"/>
              </w:rPr>
              <w:t>4 tenements with carpet area exceeding 45sq.m but not exceeding 60 sq.m each</w:t>
            </w:r>
          </w:p>
          <w:p>
            <w:pPr>
              <w:pStyle w:val="TableParagraph"/>
              <w:numPr>
                <w:ilvl w:val="2"/>
                <w:numId w:val="304"/>
              </w:numPr>
              <w:tabs>
                <w:tab w:pos="620" w:val="left" w:leader="none"/>
              </w:tabs>
              <w:spacing w:line="240" w:lineRule="auto" w:before="0" w:after="0"/>
              <w:ind w:left="104" w:right="105" w:firstLine="0"/>
              <w:jc w:val="both"/>
              <w:rPr>
                <w:sz w:val="24"/>
              </w:rPr>
            </w:pPr>
            <w:r>
              <w:rPr>
                <w:sz w:val="24"/>
              </w:rPr>
              <w:t>2 tenements with carpet area exceeding 60 sq.m but not exceeding 90sq.m </w:t>
            </w:r>
            <w:r>
              <w:rPr>
                <w:spacing w:val="9"/>
                <w:sz w:val="24"/>
              </w:rPr>
              <w:t>each.</w:t>
            </w:r>
          </w:p>
          <w:p>
            <w:pPr>
              <w:pStyle w:val="TableParagraph"/>
              <w:numPr>
                <w:ilvl w:val="2"/>
                <w:numId w:val="304"/>
              </w:numPr>
              <w:tabs>
                <w:tab w:pos="407" w:val="left" w:leader="none"/>
              </w:tabs>
              <w:spacing w:line="280" w:lineRule="exact" w:before="0" w:after="0"/>
              <w:ind w:left="104" w:right="112" w:firstLine="0"/>
              <w:jc w:val="both"/>
              <w:rPr>
                <w:sz w:val="24"/>
              </w:rPr>
            </w:pPr>
            <w:r>
              <w:rPr>
                <w:sz w:val="24"/>
              </w:rPr>
              <w:t>1 tenement with carpet area exceeding </w:t>
            </w:r>
            <w:r>
              <w:rPr>
                <w:spacing w:val="-2"/>
                <w:sz w:val="24"/>
              </w:rPr>
              <w:t>90sq.m</w:t>
            </w:r>
          </w:p>
        </w:tc>
      </w:tr>
      <w:tr>
        <w:trPr>
          <w:trHeight w:val="563" w:hRule="atLeast"/>
        </w:trPr>
        <w:tc>
          <w:tcPr>
            <w:tcW w:w="708" w:type="dxa"/>
          </w:tcPr>
          <w:p>
            <w:pPr>
              <w:pStyle w:val="TableParagraph"/>
              <w:rPr>
                <w:rFonts w:ascii="Times New Roman"/>
                <w:sz w:val="22"/>
              </w:rPr>
            </w:pPr>
          </w:p>
        </w:tc>
        <w:tc>
          <w:tcPr>
            <w:tcW w:w="3061" w:type="dxa"/>
          </w:tcPr>
          <w:p>
            <w:pPr>
              <w:pStyle w:val="TableParagraph"/>
              <w:rPr>
                <w:rFonts w:ascii="Times New Roman"/>
                <w:sz w:val="22"/>
              </w:rPr>
            </w:pPr>
          </w:p>
        </w:tc>
        <w:tc>
          <w:tcPr>
            <w:tcW w:w="5310" w:type="dxa"/>
          </w:tcPr>
          <w:p>
            <w:pPr>
              <w:pStyle w:val="TableParagraph"/>
              <w:tabs>
                <w:tab w:pos="629" w:val="left" w:leader="none"/>
                <w:tab w:pos="1933" w:val="left" w:leader="none"/>
                <w:tab w:pos="2441" w:val="left" w:leader="none"/>
                <w:tab w:pos="3109" w:val="left" w:leader="none"/>
                <w:tab w:pos="4343" w:val="left" w:leader="none"/>
              </w:tabs>
              <w:spacing w:line="280" w:lineRule="exact"/>
              <w:ind w:left="104" w:right="98"/>
              <w:rPr>
                <w:sz w:val="24"/>
              </w:rPr>
            </w:pPr>
            <w:r>
              <w:rPr>
                <w:spacing w:val="-6"/>
                <w:sz w:val="24"/>
              </w:rPr>
              <w:t>In</w:t>
            </w:r>
            <w:r>
              <w:rPr>
                <w:sz w:val="24"/>
              </w:rPr>
              <w:tab/>
            </w:r>
            <w:r>
              <w:rPr>
                <w:spacing w:val="-2"/>
                <w:sz w:val="24"/>
              </w:rPr>
              <w:t>addition</w:t>
            </w:r>
            <w:r>
              <w:rPr>
                <w:sz w:val="24"/>
              </w:rPr>
              <w:tab/>
            </w:r>
            <w:r>
              <w:rPr>
                <w:spacing w:val="-6"/>
                <w:sz w:val="24"/>
              </w:rPr>
              <w:t>to</w:t>
            </w:r>
            <w:r>
              <w:rPr>
                <w:sz w:val="24"/>
              </w:rPr>
              <w:tab/>
            </w:r>
            <w:r>
              <w:rPr>
                <w:spacing w:val="-4"/>
                <w:sz w:val="24"/>
              </w:rPr>
              <w:t>the</w:t>
            </w:r>
            <w:r>
              <w:rPr>
                <w:sz w:val="24"/>
              </w:rPr>
              <w:tab/>
            </w:r>
            <w:r>
              <w:rPr>
                <w:spacing w:val="-2"/>
                <w:sz w:val="24"/>
              </w:rPr>
              <w:t>parking</w:t>
            </w:r>
            <w:r>
              <w:rPr>
                <w:sz w:val="24"/>
              </w:rPr>
              <w:tab/>
            </w:r>
            <w:r>
              <w:rPr>
                <w:spacing w:val="-2"/>
                <w:sz w:val="24"/>
              </w:rPr>
              <w:t>spaces </w:t>
            </w:r>
            <w:r>
              <w:rPr>
                <w:sz w:val="24"/>
              </w:rPr>
              <w:t>specified</w:t>
            </w:r>
            <w:r>
              <w:rPr>
                <w:spacing w:val="32"/>
                <w:sz w:val="24"/>
              </w:rPr>
              <w:t>  </w:t>
            </w:r>
            <w:r>
              <w:rPr>
                <w:sz w:val="24"/>
              </w:rPr>
              <w:t>in</w:t>
            </w:r>
            <w:r>
              <w:rPr>
                <w:spacing w:val="32"/>
                <w:sz w:val="24"/>
              </w:rPr>
              <w:t>  </w:t>
            </w:r>
            <w:r>
              <w:rPr>
                <w:sz w:val="24"/>
              </w:rPr>
              <w:t>(a),</w:t>
            </w:r>
            <w:r>
              <w:rPr>
                <w:spacing w:val="33"/>
                <w:sz w:val="24"/>
              </w:rPr>
              <w:t>  </w:t>
            </w:r>
            <w:r>
              <w:rPr>
                <w:sz w:val="24"/>
              </w:rPr>
              <w:t>(b),</w:t>
            </w:r>
            <w:r>
              <w:rPr>
                <w:spacing w:val="32"/>
                <w:sz w:val="24"/>
              </w:rPr>
              <w:t>  </w:t>
            </w:r>
            <w:r>
              <w:rPr>
                <w:sz w:val="24"/>
              </w:rPr>
              <w:t>(c)</w:t>
            </w:r>
            <w:r>
              <w:rPr>
                <w:spacing w:val="33"/>
                <w:sz w:val="24"/>
              </w:rPr>
              <w:t>  </w:t>
            </w:r>
            <w:r>
              <w:rPr>
                <w:sz w:val="24"/>
              </w:rPr>
              <w:t>&amp;</w:t>
            </w:r>
            <w:r>
              <w:rPr>
                <w:spacing w:val="32"/>
                <w:sz w:val="24"/>
              </w:rPr>
              <w:t>  </w:t>
            </w:r>
            <w:r>
              <w:rPr>
                <w:sz w:val="24"/>
              </w:rPr>
              <w:t>(d)</w:t>
            </w:r>
            <w:r>
              <w:rPr>
                <w:spacing w:val="32"/>
                <w:sz w:val="24"/>
              </w:rPr>
              <w:t>  </w:t>
            </w:r>
            <w:r>
              <w:rPr>
                <w:spacing w:val="7"/>
                <w:sz w:val="24"/>
              </w:rPr>
              <w:t>above,</w:t>
            </w:r>
          </w:p>
        </w:tc>
      </w:tr>
    </w:tbl>
    <w:p>
      <w:pPr>
        <w:pStyle w:val="TableParagraph"/>
        <w:spacing w:after="0" w:line="280" w:lineRule="exact"/>
        <w:rPr>
          <w:sz w:val="24"/>
        </w:rPr>
        <w:sectPr>
          <w:pgSz w:w="11910" w:h="16840"/>
          <w:pgMar w:header="1058" w:footer="1201" w:top="1500" w:bottom="1400" w:left="360" w:right="360"/>
        </w:sectPr>
      </w:pPr>
    </w:p>
    <w:p>
      <w:pPr>
        <w:pStyle w:val="BodyText"/>
        <w:spacing w:before="20"/>
        <w:jc w:val="left"/>
        <w:rPr>
          <w:b/>
          <w:sz w:val="20"/>
        </w:rPr>
      </w:pPr>
    </w:p>
    <w:tbl>
      <w:tblPr>
        <w:tblW w:w="0" w:type="auto"/>
        <w:jc w:val="left"/>
        <w:tblInd w:w="10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8"/>
        <w:gridCol w:w="3061"/>
        <w:gridCol w:w="5310"/>
      </w:tblGrid>
      <w:tr>
        <w:trPr>
          <w:trHeight w:val="942" w:hRule="atLeast"/>
        </w:trPr>
        <w:tc>
          <w:tcPr>
            <w:tcW w:w="708" w:type="dxa"/>
            <w:shd w:val="clear" w:color="auto" w:fill="EDEBE0"/>
          </w:tcPr>
          <w:p>
            <w:pPr>
              <w:pStyle w:val="TableParagraph"/>
              <w:spacing w:line="281" w:lineRule="exact" w:before="98"/>
              <w:ind w:left="107"/>
              <w:rPr>
                <w:sz w:val="24"/>
              </w:rPr>
            </w:pPr>
            <w:r>
              <w:rPr>
                <w:spacing w:val="-5"/>
                <w:sz w:val="24"/>
              </w:rPr>
              <w:t>Sr.</w:t>
            </w:r>
          </w:p>
          <w:p>
            <w:pPr>
              <w:pStyle w:val="TableParagraph"/>
              <w:spacing w:line="281" w:lineRule="exact"/>
              <w:ind w:left="107"/>
              <w:rPr>
                <w:sz w:val="24"/>
              </w:rPr>
            </w:pPr>
            <w:r>
              <w:rPr>
                <w:spacing w:val="-5"/>
                <w:sz w:val="24"/>
              </w:rPr>
              <w:t>No.</w:t>
            </w:r>
          </w:p>
          <w:p>
            <w:pPr>
              <w:pStyle w:val="TableParagraph"/>
              <w:spacing w:line="261" w:lineRule="exact" w:before="1"/>
              <w:ind w:left="107"/>
              <w:rPr>
                <w:sz w:val="24"/>
              </w:rPr>
            </w:pPr>
            <w:r>
              <w:rPr>
                <w:spacing w:val="-5"/>
                <w:sz w:val="24"/>
              </w:rPr>
              <w:t>(1)</w:t>
            </w:r>
          </w:p>
        </w:tc>
        <w:tc>
          <w:tcPr>
            <w:tcW w:w="3061" w:type="dxa"/>
            <w:shd w:val="clear" w:color="auto" w:fill="EDEBE0"/>
          </w:tcPr>
          <w:p>
            <w:pPr>
              <w:pStyle w:val="TableParagraph"/>
              <w:spacing w:before="2"/>
              <w:ind w:left="105"/>
              <w:rPr>
                <w:sz w:val="24"/>
              </w:rPr>
            </w:pPr>
            <w:r>
              <w:rPr>
                <w:spacing w:val="-2"/>
                <w:sz w:val="24"/>
              </w:rPr>
              <w:t>Occupancy</w:t>
            </w:r>
          </w:p>
          <w:p>
            <w:pPr>
              <w:pStyle w:val="TableParagraph"/>
              <w:rPr>
                <w:b/>
                <w:sz w:val="24"/>
              </w:rPr>
            </w:pPr>
          </w:p>
          <w:p>
            <w:pPr>
              <w:pStyle w:val="TableParagraph"/>
              <w:ind w:left="105"/>
              <w:rPr>
                <w:sz w:val="24"/>
              </w:rPr>
            </w:pPr>
            <w:r>
              <w:rPr>
                <w:spacing w:val="-5"/>
                <w:sz w:val="24"/>
              </w:rPr>
              <w:t>(2)</w:t>
            </w:r>
          </w:p>
        </w:tc>
        <w:tc>
          <w:tcPr>
            <w:tcW w:w="5310" w:type="dxa"/>
            <w:shd w:val="clear" w:color="auto" w:fill="EDEBE0"/>
          </w:tcPr>
          <w:p>
            <w:pPr>
              <w:pStyle w:val="TableParagraph"/>
              <w:spacing w:before="2"/>
              <w:ind w:left="104"/>
              <w:rPr>
                <w:sz w:val="24"/>
              </w:rPr>
            </w:pPr>
            <w:r>
              <w:rPr>
                <w:sz w:val="24"/>
              </w:rPr>
              <w:t>Parking</w:t>
            </w:r>
            <w:r>
              <w:rPr>
                <w:spacing w:val="66"/>
                <w:sz w:val="24"/>
              </w:rPr>
              <w:t> </w:t>
            </w:r>
            <w:r>
              <w:rPr>
                <w:sz w:val="24"/>
              </w:rPr>
              <w:t>Space</w:t>
            </w:r>
            <w:r>
              <w:rPr>
                <w:spacing w:val="66"/>
                <w:sz w:val="24"/>
              </w:rPr>
              <w:t> </w:t>
            </w:r>
            <w:r>
              <w:rPr>
                <w:spacing w:val="7"/>
                <w:sz w:val="24"/>
              </w:rPr>
              <w:t>required</w:t>
            </w:r>
          </w:p>
          <w:p>
            <w:pPr>
              <w:pStyle w:val="TableParagraph"/>
              <w:rPr>
                <w:b/>
                <w:sz w:val="24"/>
              </w:rPr>
            </w:pPr>
          </w:p>
          <w:p>
            <w:pPr>
              <w:pStyle w:val="TableParagraph"/>
              <w:ind w:left="104"/>
              <w:rPr>
                <w:sz w:val="24"/>
              </w:rPr>
            </w:pPr>
            <w:r>
              <w:rPr>
                <w:spacing w:val="-5"/>
                <w:sz w:val="24"/>
              </w:rPr>
              <w:t>(3)</w:t>
            </w:r>
          </w:p>
        </w:tc>
      </w:tr>
      <w:tr>
        <w:trPr>
          <w:trHeight w:val="1223" w:hRule="atLeast"/>
        </w:trPr>
        <w:tc>
          <w:tcPr>
            <w:tcW w:w="708" w:type="dxa"/>
          </w:tcPr>
          <w:p>
            <w:pPr>
              <w:pStyle w:val="TableParagraph"/>
              <w:rPr>
                <w:rFonts w:ascii="Times New Roman"/>
                <w:sz w:val="22"/>
              </w:rPr>
            </w:pPr>
          </w:p>
        </w:tc>
        <w:tc>
          <w:tcPr>
            <w:tcW w:w="3061" w:type="dxa"/>
          </w:tcPr>
          <w:p>
            <w:pPr>
              <w:pStyle w:val="TableParagraph"/>
              <w:rPr>
                <w:rFonts w:ascii="Times New Roman"/>
                <w:sz w:val="22"/>
              </w:rPr>
            </w:pPr>
          </w:p>
        </w:tc>
        <w:tc>
          <w:tcPr>
            <w:tcW w:w="5310" w:type="dxa"/>
          </w:tcPr>
          <w:p>
            <w:pPr>
              <w:pStyle w:val="TableParagraph"/>
              <w:ind w:left="104" w:right="95"/>
              <w:jc w:val="both"/>
              <w:rPr>
                <w:sz w:val="24"/>
              </w:rPr>
            </w:pPr>
            <w:r>
              <w:rPr>
                <w:sz w:val="24"/>
              </w:rPr>
              <w:t>parking spaces for visitors shall be provided to the extent of 25</w:t>
            </w:r>
            <w:r>
              <w:rPr>
                <w:spacing w:val="80"/>
                <w:sz w:val="24"/>
              </w:rPr>
              <w:t> </w:t>
            </w:r>
            <w:r>
              <w:rPr>
                <w:sz w:val="24"/>
              </w:rPr>
              <w:t>per cent of</w:t>
            </w:r>
            <w:r>
              <w:rPr>
                <w:spacing w:val="80"/>
                <w:sz w:val="24"/>
              </w:rPr>
              <w:t> </w:t>
            </w:r>
            <w:r>
              <w:rPr>
                <w:sz w:val="24"/>
              </w:rPr>
              <w:t>the number stipulated above, subject to minimum of one</w:t>
            </w:r>
          </w:p>
        </w:tc>
      </w:tr>
      <w:tr>
        <w:trPr>
          <w:trHeight w:val="1125" w:hRule="atLeast"/>
        </w:trPr>
        <w:tc>
          <w:tcPr>
            <w:tcW w:w="708" w:type="dxa"/>
          </w:tcPr>
          <w:p>
            <w:pPr>
              <w:pStyle w:val="TableParagraph"/>
              <w:rPr>
                <w:rFonts w:ascii="Times New Roman"/>
                <w:sz w:val="22"/>
              </w:rPr>
            </w:pPr>
          </w:p>
        </w:tc>
        <w:tc>
          <w:tcPr>
            <w:tcW w:w="3061" w:type="dxa"/>
          </w:tcPr>
          <w:p>
            <w:pPr>
              <w:pStyle w:val="TableParagraph"/>
              <w:ind w:left="105" w:right="214"/>
              <w:rPr>
                <w:sz w:val="24"/>
              </w:rPr>
            </w:pPr>
            <w:r>
              <w:rPr>
                <w:sz w:val="24"/>
              </w:rPr>
              <w:t>(ii)For five, four and three</w:t>
            </w:r>
            <w:r>
              <w:rPr>
                <w:spacing w:val="40"/>
                <w:sz w:val="24"/>
              </w:rPr>
              <w:t> </w:t>
            </w:r>
            <w:r>
              <w:rPr>
                <w:sz w:val="24"/>
              </w:rPr>
              <w:t>star</w:t>
            </w:r>
            <w:r>
              <w:rPr>
                <w:spacing w:val="40"/>
                <w:sz w:val="24"/>
              </w:rPr>
              <w:t> </w:t>
            </w:r>
            <w:r>
              <w:rPr>
                <w:sz w:val="24"/>
              </w:rPr>
              <w:t>hotels.</w:t>
            </w:r>
            <w:r>
              <w:rPr>
                <w:spacing w:val="80"/>
                <w:w w:val="150"/>
                <w:sz w:val="24"/>
              </w:rPr>
              <w:t> </w:t>
            </w:r>
            <w:r>
              <w:rPr>
                <w:sz w:val="24"/>
              </w:rPr>
              <w:t>For</w:t>
            </w:r>
          </w:p>
          <w:p>
            <w:pPr>
              <w:pStyle w:val="TableParagraph"/>
              <w:spacing w:line="280" w:lineRule="exact"/>
              <w:ind w:left="105"/>
              <w:rPr>
                <w:sz w:val="24"/>
              </w:rPr>
            </w:pPr>
            <w:r>
              <w:rPr>
                <w:sz w:val="24"/>
              </w:rPr>
              <w:t>all starred </w:t>
            </w:r>
            <w:r>
              <w:rPr>
                <w:spacing w:val="9"/>
                <w:sz w:val="24"/>
              </w:rPr>
              <w:t>category </w:t>
            </w:r>
            <w:r>
              <w:rPr>
                <w:spacing w:val="-2"/>
                <w:sz w:val="24"/>
              </w:rPr>
              <w:t>hotels</w:t>
            </w:r>
          </w:p>
        </w:tc>
        <w:tc>
          <w:tcPr>
            <w:tcW w:w="5310" w:type="dxa"/>
          </w:tcPr>
          <w:p>
            <w:pPr>
              <w:pStyle w:val="TableParagraph"/>
              <w:ind w:left="104"/>
              <w:rPr>
                <w:sz w:val="24"/>
              </w:rPr>
            </w:pPr>
            <w:r>
              <w:rPr>
                <w:sz w:val="24"/>
              </w:rPr>
              <w:t>One parking space, for every </w:t>
            </w:r>
            <w:r>
              <w:rPr>
                <w:color w:val="000000"/>
                <w:sz w:val="24"/>
                <w:shd w:fill="FFCCFF" w:color="auto" w:val="clear"/>
              </w:rPr>
              <w:t> 100</w:t>
            </w:r>
            <w:r>
              <w:rPr>
                <w:color w:val="000000"/>
                <w:sz w:val="24"/>
              </w:rPr>
              <w:t>sq.m of</w:t>
            </w:r>
            <w:r>
              <w:rPr>
                <w:color w:val="000000"/>
                <w:spacing w:val="40"/>
                <w:sz w:val="24"/>
              </w:rPr>
              <w:t> </w:t>
            </w:r>
            <w:r>
              <w:rPr>
                <w:color w:val="000000"/>
                <w:sz w:val="24"/>
              </w:rPr>
              <w:t>total floor area.</w:t>
            </w:r>
          </w:p>
        </w:tc>
      </w:tr>
      <w:tr>
        <w:trPr>
          <w:trHeight w:val="943" w:hRule="atLeast"/>
        </w:trPr>
        <w:tc>
          <w:tcPr>
            <w:tcW w:w="708" w:type="dxa"/>
          </w:tcPr>
          <w:p>
            <w:pPr>
              <w:pStyle w:val="TableParagraph"/>
              <w:rPr>
                <w:rFonts w:ascii="Times New Roman"/>
                <w:sz w:val="22"/>
              </w:rPr>
            </w:pPr>
          </w:p>
        </w:tc>
        <w:tc>
          <w:tcPr>
            <w:tcW w:w="3061" w:type="dxa"/>
          </w:tcPr>
          <w:p>
            <w:pPr>
              <w:pStyle w:val="TableParagraph"/>
              <w:spacing w:before="1"/>
              <w:ind w:left="105"/>
              <w:rPr>
                <w:sz w:val="24"/>
              </w:rPr>
            </w:pPr>
            <w:r>
              <w:rPr>
                <w:sz w:val="24"/>
              </w:rPr>
              <w:t>(iii)For lodging </w:t>
            </w:r>
            <w:r>
              <w:rPr>
                <w:spacing w:val="-2"/>
                <w:sz w:val="24"/>
              </w:rPr>
              <w:t>establishments.</w:t>
            </w:r>
          </w:p>
        </w:tc>
        <w:tc>
          <w:tcPr>
            <w:tcW w:w="5310" w:type="dxa"/>
          </w:tcPr>
          <w:p>
            <w:pPr>
              <w:pStyle w:val="TableParagraph"/>
              <w:spacing w:line="280" w:lineRule="exact" w:before="83"/>
              <w:ind w:left="104" w:right="105"/>
              <w:jc w:val="both"/>
              <w:rPr>
                <w:sz w:val="24"/>
              </w:rPr>
            </w:pPr>
            <w:r>
              <w:rPr>
                <w:sz w:val="24"/>
              </w:rPr>
              <w:t>One</w:t>
            </w:r>
            <w:r>
              <w:rPr>
                <w:spacing w:val="40"/>
                <w:sz w:val="24"/>
              </w:rPr>
              <w:t> </w:t>
            </w:r>
            <w:r>
              <w:rPr>
                <w:sz w:val="24"/>
              </w:rPr>
              <w:t>parking</w:t>
            </w:r>
            <w:r>
              <w:rPr>
                <w:spacing w:val="40"/>
                <w:sz w:val="24"/>
              </w:rPr>
              <w:t> </w:t>
            </w:r>
            <w:r>
              <w:rPr>
                <w:sz w:val="24"/>
              </w:rPr>
              <w:t>space,</w:t>
            </w:r>
            <w:r>
              <w:rPr>
                <w:spacing w:val="40"/>
                <w:sz w:val="24"/>
              </w:rPr>
              <w:t> </w:t>
            </w:r>
            <w:r>
              <w:rPr>
                <w:sz w:val="24"/>
              </w:rPr>
              <w:t>for</w:t>
            </w:r>
            <w:r>
              <w:rPr>
                <w:spacing w:val="40"/>
                <w:sz w:val="24"/>
              </w:rPr>
              <w:t> </w:t>
            </w:r>
            <w:r>
              <w:rPr>
                <w:sz w:val="24"/>
              </w:rPr>
              <w:t>every</w:t>
            </w:r>
            <w:r>
              <w:rPr>
                <w:spacing w:val="40"/>
                <w:sz w:val="24"/>
              </w:rPr>
              <w:t> </w:t>
            </w:r>
            <w:r>
              <w:rPr>
                <w:spacing w:val="9"/>
                <w:sz w:val="24"/>
              </w:rPr>
              <w:t>120-</w:t>
            </w:r>
            <w:r>
              <w:rPr>
                <w:sz w:val="24"/>
              </w:rPr>
              <w:t>sq.m</w:t>
            </w:r>
            <w:r>
              <w:rPr>
                <w:spacing w:val="80"/>
                <w:sz w:val="24"/>
              </w:rPr>
              <w:t> </w:t>
            </w:r>
            <w:r>
              <w:rPr>
                <w:sz w:val="24"/>
              </w:rPr>
              <w:t>of totalfloor areaof a lodging </w:t>
            </w:r>
            <w:r>
              <w:rPr>
                <w:spacing w:val="7"/>
                <w:sz w:val="24"/>
              </w:rPr>
              <w:t>establishment.</w:t>
            </w:r>
          </w:p>
        </w:tc>
      </w:tr>
      <w:tr>
        <w:trPr>
          <w:trHeight w:val="2068" w:hRule="atLeast"/>
        </w:trPr>
        <w:tc>
          <w:tcPr>
            <w:tcW w:w="708" w:type="dxa"/>
          </w:tcPr>
          <w:p>
            <w:pPr>
              <w:pStyle w:val="TableParagraph"/>
              <w:rPr>
                <w:rFonts w:ascii="Times New Roman"/>
                <w:sz w:val="22"/>
              </w:rPr>
            </w:pPr>
          </w:p>
        </w:tc>
        <w:tc>
          <w:tcPr>
            <w:tcW w:w="3061" w:type="dxa"/>
          </w:tcPr>
          <w:p>
            <w:pPr>
              <w:pStyle w:val="TableParagraph"/>
              <w:spacing w:line="281" w:lineRule="exact"/>
              <w:ind w:left="105"/>
              <w:rPr>
                <w:sz w:val="24"/>
              </w:rPr>
            </w:pPr>
            <w:r>
              <w:rPr>
                <w:sz w:val="24"/>
              </w:rPr>
              <w:t>iv)</w:t>
            </w:r>
            <w:r>
              <w:rPr>
                <w:spacing w:val="37"/>
                <w:sz w:val="24"/>
              </w:rPr>
              <w:t> </w:t>
            </w:r>
            <w:r>
              <w:rPr>
                <w:sz w:val="24"/>
              </w:rPr>
              <w:t>For</w:t>
            </w:r>
            <w:r>
              <w:rPr>
                <w:spacing w:val="36"/>
                <w:sz w:val="24"/>
              </w:rPr>
              <w:t> </w:t>
            </w:r>
            <w:r>
              <w:rPr>
                <w:spacing w:val="-2"/>
                <w:sz w:val="24"/>
              </w:rPr>
              <w:t>Hotels</w:t>
            </w:r>
          </w:p>
        </w:tc>
        <w:tc>
          <w:tcPr>
            <w:tcW w:w="5310" w:type="dxa"/>
          </w:tcPr>
          <w:p>
            <w:pPr>
              <w:pStyle w:val="TableParagraph"/>
              <w:spacing w:before="95"/>
              <w:ind w:left="104" w:right="102"/>
              <w:jc w:val="both"/>
              <w:rPr>
                <w:sz w:val="24"/>
              </w:rPr>
            </w:pPr>
            <w:r>
              <w:rPr>
                <w:sz w:val="24"/>
              </w:rPr>
              <w:t>One parking space for every </w:t>
            </w:r>
            <w:r>
              <w:rPr>
                <w:color w:val="000000"/>
                <w:sz w:val="24"/>
                <w:shd w:fill="FFCCFF" w:color="auto" w:val="clear"/>
              </w:rPr>
              <w:t>100 </w:t>
            </w:r>
            <w:r>
              <w:rPr>
                <w:color w:val="000000"/>
                <w:sz w:val="24"/>
              </w:rPr>
              <w:t>sq. m of total</w:t>
            </w:r>
            <w:r>
              <w:rPr>
                <w:color w:val="000000"/>
                <w:spacing w:val="40"/>
                <w:sz w:val="24"/>
              </w:rPr>
              <w:t> </w:t>
            </w:r>
            <w:r>
              <w:rPr>
                <w:color w:val="000000"/>
                <w:sz w:val="24"/>
              </w:rPr>
              <w:t>floor</w:t>
            </w:r>
            <w:r>
              <w:rPr>
                <w:color w:val="000000"/>
                <w:spacing w:val="40"/>
                <w:sz w:val="24"/>
              </w:rPr>
              <w:t> </w:t>
            </w:r>
            <w:r>
              <w:rPr>
                <w:color w:val="000000"/>
                <w:sz w:val="24"/>
              </w:rPr>
              <w:t>area</w:t>
            </w:r>
            <w:r>
              <w:rPr>
                <w:color w:val="000000"/>
                <w:spacing w:val="80"/>
                <w:sz w:val="24"/>
              </w:rPr>
              <w:t> </w:t>
            </w:r>
            <w:r>
              <w:rPr>
                <w:color w:val="000000"/>
                <w:sz w:val="24"/>
              </w:rPr>
              <w:t>of</w:t>
            </w:r>
            <w:r>
              <w:rPr>
                <w:color w:val="000000"/>
                <w:spacing w:val="40"/>
                <w:sz w:val="24"/>
              </w:rPr>
              <w:t> </w:t>
            </w:r>
            <w:r>
              <w:rPr>
                <w:color w:val="000000"/>
                <w:sz w:val="24"/>
              </w:rPr>
              <w:t>a</w:t>
            </w:r>
            <w:r>
              <w:rPr>
                <w:color w:val="000000"/>
                <w:spacing w:val="40"/>
                <w:sz w:val="24"/>
              </w:rPr>
              <w:t> </w:t>
            </w:r>
            <w:r>
              <w:rPr>
                <w:color w:val="000000"/>
                <w:sz w:val="24"/>
              </w:rPr>
              <w:t>lodging</w:t>
            </w:r>
            <w:r>
              <w:rPr>
                <w:color w:val="000000"/>
                <w:spacing w:val="80"/>
                <w:sz w:val="24"/>
              </w:rPr>
              <w:t> </w:t>
            </w:r>
            <w:r>
              <w:rPr>
                <w:color w:val="000000"/>
                <w:spacing w:val="-2"/>
                <w:sz w:val="24"/>
              </w:rPr>
              <w:t>establishment</w:t>
            </w:r>
          </w:p>
          <w:p>
            <w:pPr>
              <w:pStyle w:val="TableParagraph"/>
              <w:ind w:left="104" w:right="102"/>
              <w:jc w:val="both"/>
              <w:rPr>
                <w:sz w:val="24"/>
              </w:rPr>
            </w:pPr>
            <w:r>
              <w:rPr>
                <w:sz w:val="24"/>
              </w:rPr>
              <w:t>b) For hotels and eating houses, one parking</w:t>
            </w:r>
            <w:r>
              <w:rPr>
                <w:spacing w:val="61"/>
                <w:sz w:val="24"/>
              </w:rPr>
              <w:t>  </w:t>
            </w:r>
            <w:r>
              <w:rPr>
                <w:sz w:val="24"/>
              </w:rPr>
              <w:t>space</w:t>
            </w:r>
            <w:r>
              <w:rPr>
                <w:spacing w:val="62"/>
                <w:sz w:val="24"/>
              </w:rPr>
              <w:t>  </w:t>
            </w:r>
            <w:r>
              <w:rPr>
                <w:sz w:val="24"/>
              </w:rPr>
              <w:t>for</w:t>
            </w:r>
            <w:r>
              <w:rPr>
                <w:spacing w:val="61"/>
                <w:sz w:val="24"/>
              </w:rPr>
              <w:t>  </w:t>
            </w:r>
            <w:r>
              <w:rPr>
                <w:sz w:val="24"/>
              </w:rPr>
              <w:t>every</w:t>
            </w:r>
            <w:r>
              <w:rPr>
                <w:spacing w:val="61"/>
                <w:sz w:val="24"/>
              </w:rPr>
              <w:t>  </w:t>
            </w:r>
            <w:r>
              <w:rPr>
                <w:color w:val="000000"/>
                <w:spacing w:val="12"/>
                <w:sz w:val="24"/>
                <w:shd w:fill="FFCCFF" w:color="auto" w:val="clear"/>
              </w:rPr>
              <w:t>-</w:t>
            </w:r>
            <w:r>
              <w:rPr>
                <w:color w:val="000000"/>
                <w:sz w:val="24"/>
                <w:shd w:fill="FFCCFF" w:color="auto" w:val="clear"/>
              </w:rPr>
              <w:t>25</w:t>
            </w:r>
            <w:r>
              <w:rPr>
                <w:color w:val="000000"/>
                <w:sz w:val="24"/>
              </w:rPr>
              <w:t>sq.m</w:t>
            </w:r>
            <w:r>
              <w:rPr>
                <w:color w:val="000000"/>
                <w:spacing w:val="62"/>
                <w:sz w:val="24"/>
              </w:rPr>
              <w:t>  </w:t>
            </w:r>
            <w:r>
              <w:rPr>
                <w:color w:val="000000"/>
                <w:spacing w:val="-5"/>
                <w:sz w:val="24"/>
              </w:rPr>
              <w:t>of</w:t>
            </w:r>
          </w:p>
          <w:p>
            <w:pPr>
              <w:pStyle w:val="TableParagraph"/>
              <w:spacing w:line="280" w:lineRule="exact"/>
              <w:ind w:left="104" w:right="102"/>
              <w:jc w:val="both"/>
              <w:rPr>
                <w:sz w:val="24"/>
              </w:rPr>
            </w:pPr>
            <w:r>
              <w:rPr>
                <w:sz w:val="24"/>
              </w:rPr>
              <w:t>restaurant including hall, dining room, pantry &amp; bar</w:t>
            </w:r>
          </w:p>
        </w:tc>
      </w:tr>
      <w:tr>
        <w:trPr>
          <w:trHeight w:val="940" w:hRule="atLeast"/>
        </w:trPr>
        <w:tc>
          <w:tcPr>
            <w:tcW w:w="708" w:type="dxa"/>
          </w:tcPr>
          <w:p>
            <w:pPr>
              <w:pStyle w:val="TableParagraph"/>
              <w:spacing w:before="95"/>
              <w:ind w:left="107"/>
              <w:rPr>
                <w:sz w:val="24"/>
              </w:rPr>
            </w:pPr>
            <w:r>
              <w:rPr>
                <w:spacing w:val="-10"/>
                <w:sz w:val="24"/>
              </w:rPr>
              <w:t>2</w:t>
            </w:r>
          </w:p>
        </w:tc>
        <w:tc>
          <w:tcPr>
            <w:tcW w:w="3061" w:type="dxa"/>
          </w:tcPr>
          <w:p>
            <w:pPr>
              <w:pStyle w:val="TableParagraph"/>
              <w:spacing w:line="281" w:lineRule="exact"/>
              <w:ind w:left="105"/>
              <w:rPr>
                <w:sz w:val="24"/>
              </w:rPr>
            </w:pPr>
            <w:r>
              <w:rPr>
                <w:spacing w:val="7"/>
                <w:sz w:val="24"/>
              </w:rPr>
              <w:t>Educational</w:t>
            </w:r>
          </w:p>
        </w:tc>
        <w:tc>
          <w:tcPr>
            <w:tcW w:w="5310" w:type="dxa"/>
          </w:tcPr>
          <w:p>
            <w:pPr>
              <w:pStyle w:val="TableParagraph"/>
              <w:ind w:left="104" w:right="105"/>
              <w:jc w:val="both"/>
              <w:rPr>
                <w:sz w:val="24"/>
              </w:rPr>
            </w:pPr>
            <w:r>
              <w:rPr>
                <w:sz w:val="24"/>
              </w:rPr>
              <w:t>One</w:t>
            </w:r>
            <w:r>
              <w:rPr>
                <w:spacing w:val="40"/>
                <w:sz w:val="24"/>
              </w:rPr>
              <w:t> </w:t>
            </w:r>
            <w:r>
              <w:rPr>
                <w:sz w:val="24"/>
              </w:rPr>
              <w:t>Parking</w:t>
            </w:r>
            <w:r>
              <w:rPr>
                <w:spacing w:val="40"/>
                <w:sz w:val="24"/>
              </w:rPr>
              <w:t> </w:t>
            </w:r>
            <w:r>
              <w:rPr>
                <w:sz w:val="24"/>
              </w:rPr>
              <w:t>space</w:t>
            </w:r>
            <w:r>
              <w:rPr>
                <w:spacing w:val="40"/>
                <w:sz w:val="24"/>
              </w:rPr>
              <w:t> </w:t>
            </w:r>
            <w:r>
              <w:rPr>
                <w:sz w:val="24"/>
              </w:rPr>
              <w:t>for35</w:t>
            </w:r>
            <w:r>
              <w:rPr>
                <w:spacing w:val="40"/>
                <w:sz w:val="24"/>
              </w:rPr>
              <w:t> </w:t>
            </w:r>
            <w:r>
              <w:rPr>
                <w:sz w:val="24"/>
              </w:rPr>
              <w:t>sq.</w:t>
            </w:r>
            <w:r>
              <w:rPr>
                <w:spacing w:val="40"/>
                <w:sz w:val="24"/>
              </w:rPr>
              <w:t> </w:t>
            </w:r>
            <w:r>
              <w:rPr>
                <w:sz w:val="24"/>
              </w:rPr>
              <w:t>m</w:t>
            </w:r>
            <w:r>
              <w:rPr>
                <w:spacing w:val="40"/>
                <w:sz w:val="24"/>
              </w:rPr>
              <w:t> </w:t>
            </w:r>
            <w:r>
              <w:rPr>
                <w:sz w:val="24"/>
              </w:rPr>
              <w:t>carpet area</w:t>
            </w:r>
            <w:r>
              <w:rPr>
                <w:spacing w:val="80"/>
                <w:sz w:val="24"/>
              </w:rPr>
              <w:t> </w:t>
            </w:r>
            <w:r>
              <w:rPr>
                <w:sz w:val="24"/>
              </w:rPr>
              <w:t>of</w:t>
            </w:r>
            <w:r>
              <w:rPr>
                <w:spacing w:val="80"/>
                <w:sz w:val="24"/>
              </w:rPr>
              <w:t> </w:t>
            </w:r>
            <w:r>
              <w:rPr>
                <w:sz w:val="24"/>
              </w:rPr>
              <w:t>the</w:t>
            </w:r>
            <w:r>
              <w:rPr>
                <w:spacing w:val="80"/>
                <w:sz w:val="24"/>
              </w:rPr>
              <w:t> </w:t>
            </w:r>
            <w:r>
              <w:rPr>
                <w:sz w:val="24"/>
              </w:rPr>
              <w:t>administrative</w:t>
            </w:r>
            <w:r>
              <w:rPr>
                <w:spacing w:val="80"/>
                <w:sz w:val="24"/>
              </w:rPr>
              <w:t> </w:t>
            </w:r>
            <w:r>
              <w:rPr>
                <w:sz w:val="24"/>
              </w:rPr>
              <w:t>office</w:t>
            </w:r>
            <w:r>
              <w:rPr>
                <w:spacing w:val="80"/>
                <w:sz w:val="24"/>
              </w:rPr>
              <w:t> </w:t>
            </w:r>
            <w:r>
              <w:rPr>
                <w:sz w:val="24"/>
              </w:rPr>
              <w:t>area and</w:t>
            </w:r>
            <w:r>
              <w:rPr>
                <w:spacing w:val="40"/>
                <w:sz w:val="24"/>
              </w:rPr>
              <w:t> </w:t>
            </w:r>
            <w:r>
              <w:rPr>
                <w:sz w:val="24"/>
              </w:rPr>
              <w:t>public</w:t>
            </w:r>
            <w:r>
              <w:rPr>
                <w:spacing w:val="40"/>
                <w:sz w:val="24"/>
              </w:rPr>
              <w:t> </w:t>
            </w:r>
            <w:r>
              <w:rPr>
                <w:sz w:val="24"/>
              </w:rPr>
              <w:t>service</w:t>
            </w:r>
            <w:r>
              <w:rPr>
                <w:spacing w:val="40"/>
                <w:sz w:val="24"/>
              </w:rPr>
              <w:t> </w:t>
            </w:r>
            <w:r>
              <w:rPr>
                <w:sz w:val="24"/>
              </w:rPr>
              <w:t>area.</w:t>
            </w:r>
          </w:p>
        </w:tc>
      </w:tr>
      <w:tr>
        <w:trPr>
          <w:trHeight w:val="2824" w:hRule="atLeast"/>
        </w:trPr>
        <w:tc>
          <w:tcPr>
            <w:tcW w:w="708" w:type="dxa"/>
          </w:tcPr>
          <w:p>
            <w:pPr>
              <w:pStyle w:val="TableParagraph"/>
              <w:spacing w:before="95"/>
              <w:ind w:left="107"/>
              <w:rPr>
                <w:sz w:val="24"/>
              </w:rPr>
            </w:pPr>
            <w:r>
              <w:rPr>
                <w:spacing w:val="-10"/>
                <w:sz w:val="24"/>
              </w:rPr>
              <w:t>3</w:t>
            </w:r>
          </w:p>
        </w:tc>
        <w:tc>
          <w:tcPr>
            <w:tcW w:w="3061" w:type="dxa"/>
          </w:tcPr>
          <w:p>
            <w:pPr>
              <w:pStyle w:val="TableParagraph"/>
              <w:ind w:left="105" w:right="214"/>
              <w:rPr>
                <w:sz w:val="24"/>
              </w:rPr>
            </w:pPr>
            <w:r>
              <w:rPr>
                <w:sz w:val="24"/>
              </w:rPr>
              <w:t>Assembly and</w:t>
            </w:r>
            <w:r>
              <w:rPr>
                <w:spacing w:val="40"/>
                <w:sz w:val="24"/>
              </w:rPr>
              <w:t> </w:t>
            </w:r>
            <w:r>
              <w:rPr>
                <w:sz w:val="24"/>
              </w:rPr>
              <w:t>assembly halls or auditorium </w:t>
            </w:r>
            <w:r>
              <w:rPr>
                <w:spacing w:val="9"/>
                <w:sz w:val="24"/>
              </w:rPr>
              <w:t>(including </w:t>
            </w:r>
            <w:r>
              <w:rPr>
                <w:sz w:val="24"/>
              </w:rPr>
              <w:t>those for educational uses and </w:t>
            </w:r>
            <w:r>
              <w:rPr>
                <w:spacing w:val="9"/>
                <w:sz w:val="24"/>
              </w:rPr>
              <w:t>hostels)</w:t>
            </w:r>
          </w:p>
        </w:tc>
        <w:tc>
          <w:tcPr>
            <w:tcW w:w="5310" w:type="dxa"/>
          </w:tcPr>
          <w:p>
            <w:pPr>
              <w:pStyle w:val="TableParagraph"/>
              <w:numPr>
                <w:ilvl w:val="0"/>
                <w:numId w:val="305"/>
              </w:numPr>
              <w:tabs>
                <w:tab w:pos="503" w:val="left" w:leader="none"/>
              </w:tabs>
              <w:spacing w:line="240" w:lineRule="auto" w:before="95" w:after="0"/>
              <w:ind w:left="104" w:right="113" w:firstLine="0"/>
              <w:jc w:val="both"/>
              <w:rPr>
                <w:sz w:val="24"/>
              </w:rPr>
            </w:pPr>
            <w:r>
              <w:rPr>
                <w:sz w:val="24"/>
              </w:rPr>
              <w:t>One parking space for 12 seats / </w:t>
            </w:r>
            <w:r>
              <w:rPr>
                <w:spacing w:val="-2"/>
                <w:sz w:val="24"/>
              </w:rPr>
              <w:t>persons.</w:t>
            </w:r>
          </w:p>
          <w:p>
            <w:pPr>
              <w:pStyle w:val="TableParagraph"/>
              <w:numPr>
                <w:ilvl w:val="0"/>
                <w:numId w:val="305"/>
              </w:numPr>
              <w:tabs>
                <w:tab w:pos="556" w:val="left" w:leader="none"/>
              </w:tabs>
              <w:spacing w:line="240" w:lineRule="auto" w:before="0" w:after="0"/>
              <w:ind w:left="104" w:right="113" w:firstLine="0"/>
              <w:jc w:val="both"/>
              <w:rPr>
                <w:sz w:val="24"/>
              </w:rPr>
            </w:pPr>
            <w:r>
              <w:rPr>
                <w:sz w:val="24"/>
              </w:rPr>
              <w:t>Without</w:t>
            </w:r>
            <w:r>
              <w:rPr>
                <w:spacing w:val="40"/>
                <w:sz w:val="24"/>
              </w:rPr>
              <w:t> </w:t>
            </w:r>
            <w:r>
              <w:rPr>
                <w:sz w:val="24"/>
              </w:rPr>
              <w:t>fixed</w:t>
            </w:r>
            <w:r>
              <w:rPr>
                <w:spacing w:val="40"/>
                <w:sz w:val="24"/>
              </w:rPr>
              <w:t> </w:t>
            </w:r>
            <w:r>
              <w:rPr>
                <w:sz w:val="24"/>
              </w:rPr>
              <w:t>seats,</w:t>
            </w:r>
            <w:r>
              <w:rPr>
                <w:spacing w:val="40"/>
                <w:sz w:val="24"/>
              </w:rPr>
              <w:t> </w:t>
            </w:r>
            <w:r>
              <w:rPr>
                <w:sz w:val="24"/>
              </w:rPr>
              <w:t>one</w:t>
            </w:r>
            <w:r>
              <w:rPr>
                <w:spacing w:val="40"/>
                <w:sz w:val="24"/>
              </w:rPr>
              <w:t> </w:t>
            </w:r>
            <w:r>
              <w:rPr>
                <w:sz w:val="24"/>
              </w:rPr>
              <w:t>parking space</w:t>
            </w:r>
            <w:r>
              <w:rPr>
                <w:spacing w:val="40"/>
                <w:sz w:val="24"/>
              </w:rPr>
              <w:t> </w:t>
            </w:r>
            <w:r>
              <w:rPr>
                <w:sz w:val="24"/>
              </w:rPr>
              <w:t>for</w:t>
            </w:r>
            <w:r>
              <w:rPr>
                <w:spacing w:val="40"/>
                <w:sz w:val="24"/>
              </w:rPr>
              <w:t> </w:t>
            </w:r>
            <w:r>
              <w:rPr>
                <w:sz w:val="24"/>
              </w:rPr>
              <w:t>every</w:t>
            </w:r>
            <w:r>
              <w:rPr>
                <w:spacing w:val="40"/>
                <w:sz w:val="24"/>
              </w:rPr>
              <w:t> </w:t>
            </w:r>
            <w:r>
              <w:rPr>
                <w:spacing w:val="10"/>
                <w:sz w:val="24"/>
              </w:rPr>
              <w:t>15-</w:t>
            </w:r>
            <w:r>
              <w:rPr>
                <w:sz w:val="24"/>
              </w:rPr>
              <w:t>sq.m</w:t>
            </w:r>
            <w:r>
              <w:rPr>
                <w:spacing w:val="40"/>
                <w:sz w:val="24"/>
              </w:rPr>
              <w:t> </w:t>
            </w:r>
            <w:r>
              <w:rPr>
                <w:sz w:val="24"/>
              </w:rPr>
              <w:t>of</w:t>
            </w:r>
            <w:r>
              <w:rPr>
                <w:spacing w:val="40"/>
                <w:sz w:val="24"/>
              </w:rPr>
              <w:t> </w:t>
            </w:r>
            <w:r>
              <w:rPr>
                <w:sz w:val="24"/>
              </w:rPr>
              <w:t>floor</w:t>
            </w:r>
            <w:r>
              <w:rPr>
                <w:spacing w:val="40"/>
                <w:sz w:val="24"/>
              </w:rPr>
              <w:t> </w:t>
            </w:r>
            <w:r>
              <w:rPr>
                <w:sz w:val="24"/>
              </w:rPr>
              <w:t>area.</w:t>
            </w:r>
          </w:p>
          <w:p>
            <w:pPr>
              <w:pStyle w:val="TableParagraph"/>
              <w:numPr>
                <w:ilvl w:val="0"/>
                <w:numId w:val="305"/>
              </w:numPr>
              <w:tabs>
                <w:tab w:pos="544" w:val="left" w:leader="none"/>
              </w:tabs>
              <w:spacing w:line="240" w:lineRule="auto" w:before="97" w:after="0"/>
              <w:ind w:left="104" w:right="97" w:firstLine="0"/>
              <w:jc w:val="both"/>
              <w:rPr>
                <w:sz w:val="24"/>
              </w:rPr>
            </w:pPr>
            <w:r>
              <w:rPr>
                <w:sz w:val="24"/>
              </w:rPr>
              <w:t>For canteen, bar and restaurant additional parking required under </w:t>
            </w:r>
            <w:r>
              <w:rPr>
                <w:spacing w:val="9"/>
                <w:sz w:val="24"/>
              </w:rPr>
              <w:t>these </w:t>
            </w:r>
            <w:r>
              <w:rPr>
                <w:sz w:val="24"/>
              </w:rPr>
              <w:t>Regulations</w:t>
            </w:r>
            <w:r>
              <w:rPr>
                <w:spacing w:val="40"/>
                <w:sz w:val="24"/>
              </w:rPr>
              <w:t> </w:t>
            </w:r>
            <w:r>
              <w:rPr>
                <w:sz w:val="24"/>
              </w:rPr>
              <w:t>for</w:t>
            </w:r>
            <w:r>
              <w:rPr>
                <w:spacing w:val="40"/>
                <w:sz w:val="24"/>
              </w:rPr>
              <w:t> </w:t>
            </w:r>
            <w:r>
              <w:rPr>
                <w:sz w:val="24"/>
              </w:rPr>
              <w:t>other</w:t>
            </w:r>
            <w:r>
              <w:rPr>
                <w:spacing w:val="40"/>
                <w:sz w:val="24"/>
              </w:rPr>
              <w:t> </w:t>
            </w:r>
            <w:r>
              <w:rPr>
                <w:sz w:val="24"/>
              </w:rPr>
              <w:t>permissible</w:t>
            </w:r>
            <w:r>
              <w:rPr>
                <w:spacing w:val="40"/>
                <w:sz w:val="24"/>
              </w:rPr>
              <w:t> </w:t>
            </w:r>
            <w:r>
              <w:rPr>
                <w:spacing w:val="9"/>
                <w:sz w:val="24"/>
              </w:rPr>
              <w:t>users </w:t>
            </w:r>
            <w:r>
              <w:rPr>
                <w:sz w:val="24"/>
              </w:rPr>
              <w:t>as per provisions made herein for such purposes</w:t>
            </w:r>
            <w:r>
              <w:rPr>
                <w:spacing w:val="40"/>
                <w:sz w:val="24"/>
              </w:rPr>
              <w:t> </w:t>
            </w:r>
            <w:r>
              <w:rPr>
                <w:sz w:val="24"/>
              </w:rPr>
              <w:t>shall</w:t>
            </w:r>
            <w:r>
              <w:rPr>
                <w:spacing w:val="40"/>
                <w:sz w:val="24"/>
              </w:rPr>
              <w:t> </w:t>
            </w:r>
            <w:r>
              <w:rPr>
                <w:sz w:val="24"/>
              </w:rPr>
              <w:t>be</w:t>
            </w:r>
            <w:r>
              <w:rPr>
                <w:spacing w:val="40"/>
                <w:sz w:val="24"/>
              </w:rPr>
              <w:t> </w:t>
            </w:r>
            <w:r>
              <w:rPr>
                <w:sz w:val="24"/>
              </w:rPr>
              <w:t>provided.</w:t>
            </w:r>
          </w:p>
        </w:tc>
      </w:tr>
      <w:tr>
        <w:trPr>
          <w:trHeight w:val="1504" w:hRule="atLeast"/>
        </w:trPr>
        <w:tc>
          <w:tcPr>
            <w:tcW w:w="708" w:type="dxa"/>
          </w:tcPr>
          <w:p>
            <w:pPr>
              <w:pStyle w:val="TableParagraph"/>
              <w:spacing w:before="95"/>
              <w:ind w:left="107"/>
              <w:rPr>
                <w:sz w:val="24"/>
              </w:rPr>
            </w:pPr>
            <w:r>
              <w:rPr>
                <w:spacing w:val="-10"/>
                <w:sz w:val="24"/>
              </w:rPr>
              <w:t>4</w:t>
            </w:r>
          </w:p>
        </w:tc>
        <w:tc>
          <w:tcPr>
            <w:tcW w:w="3061" w:type="dxa"/>
          </w:tcPr>
          <w:p>
            <w:pPr>
              <w:pStyle w:val="TableParagraph"/>
              <w:ind w:left="105" w:right="339"/>
              <w:rPr>
                <w:sz w:val="24"/>
              </w:rPr>
            </w:pPr>
            <w:r>
              <w:rPr>
                <w:sz w:val="24"/>
              </w:rPr>
              <w:t>Government or semi- public or </w:t>
            </w:r>
            <w:r>
              <w:rPr>
                <w:spacing w:val="9"/>
                <w:sz w:val="24"/>
              </w:rPr>
              <w:t>private</w:t>
            </w:r>
            <w:r>
              <w:rPr>
                <w:spacing w:val="40"/>
                <w:sz w:val="24"/>
              </w:rPr>
              <w:t> </w:t>
            </w:r>
            <w:r>
              <w:rPr>
                <w:sz w:val="24"/>
              </w:rPr>
              <w:t>office business </w:t>
            </w:r>
            <w:r>
              <w:rPr>
                <w:spacing w:val="-2"/>
                <w:sz w:val="24"/>
              </w:rPr>
              <w:t>buildings</w:t>
            </w:r>
          </w:p>
        </w:tc>
        <w:tc>
          <w:tcPr>
            <w:tcW w:w="5310" w:type="dxa"/>
          </w:tcPr>
          <w:p>
            <w:pPr>
              <w:pStyle w:val="TableParagraph"/>
              <w:ind w:left="104" w:right="187"/>
              <w:rPr>
                <w:sz w:val="24"/>
              </w:rPr>
            </w:pPr>
            <w:r>
              <w:rPr>
                <w:sz w:val="24"/>
              </w:rPr>
              <w:t>One</w:t>
            </w:r>
            <w:r>
              <w:rPr>
                <w:spacing w:val="40"/>
                <w:sz w:val="24"/>
              </w:rPr>
              <w:t> </w:t>
            </w:r>
            <w:r>
              <w:rPr>
                <w:sz w:val="24"/>
              </w:rPr>
              <w:t>parking</w:t>
            </w:r>
            <w:r>
              <w:rPr>
                <w:spacing w:val="40"/>
                <w:sz w:val="24"/>
              </w:rPr>
              <w:t> </w:t>
            </w:r>
            <w:r>
              <w:rPr>
                <w:sz w:val="24"/>
              </w:rPr>
              <w:t>space</w:t>
            </w:r>
            <w:r>
              <w:rPr>
                <w:spacing w:val="40"/>
                <w:sz w:val="24"/>
              </w:rPr>
              <w:t> </w:t>
            </w:r>
            <w:r>
              <w:rPr>
                <w:sz w:val="24"/>
              </w:rPr>
              <w:t>for</w:t>
            </w:r>
            <w:r>
              <w:rPr>
                <w:spacing w:val="40"/>
                <w:sz w:val="24"/>
              </w:rPr>
              <w:t> </w:t>
            </w:r>
            <w:r>
              <w:rPr>
                <w:sz w:val="24"/>
              </w:rPr>
              <w:t>every</w:t>
            </w:r>
            <w:r>
              <w:rPr>
                <w:spacing w:val="40"/>
                <w:sz w:val="24"/>
              </w:rPr>
              <w:t> </w:t>
            </w:r>
            <w:r>
              <w:rPr>
                <w:sz w:val="24"/>
              </w:rPr>
              <w:t>37.5</w:t>
            </w:r>
            <w:r>
              <w:rPr>
                <w:spacing w:val="40"/>
                <w:sz w:val="24"/>
              </w:rPr>
              <w:t> </w:t>
            </w:r>
            <w:r>
              <w:rPr>
                <w:sz w:val="24"/>
              </w:rPr>
              <w:t>sq.</w:t>
            </w:r>
            <w:r>
              <w:rPr>
                <w:spacing w:val="40"/>
                <w:sz w:val="24"/>
              </w:rPr>
              <w:t> </w:t>
            </w:r>
            <w:r>
              <w:rPr>
                <w:sz w:val="24"/>
              </w:rPr>
              <w:t>m of</w:t>
            </w:r>
            <w:r>
              <w:rPr>
                <w:spacing w:val="38"/>
                <w:sz w:val="24"/>
              </w:rPr>
              <w:t> </w:t>
            </w:r>
            <w:r>
              <w:rPr>
                <w:sz w:val="24"/>
              </w:rPr>
              <w:t>office</w:t>
            </w:r>
            <w:r>
              <w:rPr>
                <w:spacing w:val="40"/>
                <w:sz w:val="24"/>
              </w:rPr>
              <w:t> </w:t>
            </w:r>
            <w:r>
              <w:rPr>
                <w:sz w:val="24"/>
              </w:rPr>
              <w:t>space</w:t>
            </w:r>
            <w:r>
              <w:rPr>
                <w:spacing w:val="40"/>
                <w:sz w:val="24"/>
              </w:rPr>
              <w:t> </w:t>
            </w:r>
            <w:r>
              <w:rPr>
                <w:sz w:val="24"/>
              </w:rPr>
              <w:t>up</w:t>
            </w:r>
            <w:r>
              <w:rPr>
                <w:spacing w:val="39"/>
                <w:sz w:val="24"/>
              </w:rPr>
              <w:t> </w:t>
            </w:r>
            <w:r>
              <w:rPr>
                <w:sz w:val="24"/>
              </w:rPr>
              <w:t>to</w:t>
            </w:r>
            <w:r>
              <w:rPr>
                <w:spacing w:val="37"/>
                <w:sz w:val="24"/>
              </w:rPr>
              <w:t> </w:t>
            </w:r>
            <w:r>
              <w:rPr>
                <w:sz w:val="24"/>
              </w:rPr>
              <w:t>1500</w:t>
            </w:r>
            <w:r>
              <w:rPr>
                <w:spacing w:val="37"/>
                <w:sz w:val="24"/>
              </w:rPr>
              <w:t> </w:t>
            </w:r>
            <w:r>
              <w:rPr>
                <w:sz w:val="24"/>
              </w:rPr>
              <w:t>sq.</w:t>
            </w:r>
            <w:r>
              <w:rPr>
                <w:spacing w:val="40"/>
                <w:sz w:val="24"/>
              </w:rPr>
              <w:t> </w:t>
            </w:r>
            <w:r>
              <w:rPr>
                <w:sz w:val="24"/>
              </w:rPr>
              <w:t>m</w:t>
            </w:r>
            <w:r>
              <w:rPr>
                <w:spacing w:val="37"/>
                <w:sz w:val="24"/>
              </w:rPr>
              <w:t> </w:t>
            </w:r>
            <w:r>
              <w:rPr>
                <w:sz w:val="24"/>
              </w:rPr>
              <w:t>and</w:t>
            </w:r>
            <w:r>
              <w:rPr>
                <w:spacing w:val="37"/>
                <w:sz w:val="24"/>
              </w:rPr>
              <w:t> </w:t>
            </w:r>
            <w:r>
              <w:rPr>
                <w:sz w:val="24"/>
              </w:rPr>
              <w:t>for every </w:t>
            </w:r>
            <w:r>
              <w:rPr>
                <w:spacing w:val="10"/>
                <w:sz w:val="24"/>
              </w:rPr>
              <w:t>75-</w:t>
            </w:r>
            <w:r>
              <w:rPr>
                <w:sz w:val="24"/>
              </w:rPr>
              <w:t>sq.m of additional space for</w:t>
            </w:r>
            <w:r>
              <w:rPr>
                <w:spacing w:val="80"/>
                <w:sz w:val="24"/>
              </w:rPr>
              <w:t> </w:t>
            </w:r>
            <w:r>
              <w:rPr>
                <w:sz w:val="24"/>
              </w:rPr>
              <w:t>areas</w:t>
            </w:r>
            <w:r>
              <w:rPr>
                <w:spacing w:val="40"/>
                <w:sz w:val="24"/>
              </w:rPr>
              <w:t> </w:t>
            </w:r>
            <w:r>
              <w:rPr>
                <w:sz w:val="24"/>
              </w:rPr>
              <w:t>exceeding</w:t>
            </w:r>
            <w:r>
              <w:rPr>
                <w:spacing w:val="40"/>
                <w:sz w:val="24"/>
              </w:rPr>
              <w:t> </w:t>
            </w:r>
            <w:r>
              <w:rPr>
                <w:sz w:val="24"/>
              </w:rPr>
              <w:t>1500</w:t>
            </w:r>
            <w:r>
              <w:rPr>
                <w:spacing w:val="40"/>
                <w:sz w:val="24"/>
              </w:rPr>
              <w:t> </w:t>
            </w:r>
            <w:r>
              <w:rPr>
                <w:sz w:val="24"/>
              </w:rPr>
              <w:t>sq.</w:t>
            </w:r>
            <w:r>
              <w:rPr>
                <w:spacing w:val="40"/>
                <w:sz w:val="24"/>
              </w:rPr>
              <w:t> </w:t>
            </w:r>
            <w:r>
              <w:rPr>
                <w:sz w:val="24"/>
              </w:rPr>
              <w:t>m</w:t>
            </w:r>
            <w:r>
              <w:rPr>
                <w:spacing w:val="40"/>
                <w:sz w:val="24"/>
              </w:rPr>
              <w:t> </w:t>
            </w:r>
            <w:r>
              <w:rPr>
                <w:sz w:val="24"/>
              </w:rPr>
              <w:t>in other </w:t>
            </w:r>
            <w:r>
              <w:rPr>
                <w:spacing w:val="-2"/>
                <w:sz w:val="24"/>
              </w:rPr>
              <w:t>areas.</w:t>
            </w:r>
          </w:p>
        </w:tc>
      </w:tr>
      <w:tr>
        <w:trPr>
          <w:trHeight w:val="1504" w:hRule="atLeast"/>
        </w:trPr>
        <w:tc>
          <w:tcPr>
            <w:tcW w:w="708" w:type="dxa"/>
          </w:tcPr>
          <w:p>
            <w:pPr>
              <w:pStyle w:val="TableParagraph"/>
              <w:spacing w:before="95"/>
              <w:ind w:left="107"/>
              <w:rPr>
                <w:sz w:val="24"/>
              </w:rPr>
            </w:pPr>
            <w:r>
              <w:rPr>
                <w:spacing w:val="-10"/>
                <w:sz w:val="24"/>
              </w:rPr>
              <w:t>5</w:t>
            </w:r>
          </w:p>
        </w:tc>
        <w:tc>
          <w:tcPr>
            <w:tcW w:w="3061" w:type="dxa"/>
          </w:tcPr>
          <w:p>
            <w:pPr>
              <w:pStyle w:val="TableParagraph"/>
              <w:ind w:left="105" w:right="106"/>
              <w:jc w:val="both"/>
              <w:rPr>
                <w:sz w:val="24"/>
              </w:rPr>
            </w:pPr>
            <w:r>
              <w:rPr>
                <w:sz w:val="24"/>
              </w:rPr>
              <w:t>Mercantile (Markets, Departmental stores, Shops and </w:t>
            </w:r>
            <w:r>
              <w:rPr>
                <w:sz w:val="24"/>
              </w:rPr>
              <w:t>other commercial uses). </w:t>
            </w:r>
            <w:r>
              <w:rPr>
                <w:spacing w:val="-2"/>
                <w:sz w:val="24"/>
              </w:rPr>
              <w:t>(I.T.Parks)</w:t>
            </w:r>
          </w:p>
        </w:tc>
        <w:tc>
          <w:tcPr>
            <w:tcW w:w="5310" w:type="dxa"/>
          </w:tcPr>
          <w:p>
            <w:pPr>
              <w:pStyle w:val="TableParagraph"/>
              <w:spacing w:before="95"/>
              <w:ind w:left="104" w:right="104"/>
              <w:jc w:val="both"/>
              <w:rPr>
                <w:sz w:val="24"/>
              </w:rPr>
            </w:pPr>
            <w:r>
              <w:rPr>
                <w:sz w:val="24"/>
              </w:rPr>
              <w:t>One parking space for every </w:t>
            </w:r>
            <w:r>
              <w:rPr>
                <w:spacing w:val="10"/>
                <w:sz w:val="24"/>
              </w:rPr>
              <w:t>40-</w:t>
            </w:r>
            <w:r>
              <w:rPr>
                <w:sz w:val="24"/>
              </w:rPr>
              <w:t>sq.m of floor area up</w:t>
            </w:r>
            <w:r>
              <w:rPr>
                <w:spacing w:val="40"/>
                <w:sz w:val="24"/>
              </w:rPr>
              <w:t> </w:t>
            </w:r>
            <w:r>
              <w:rPr>
                <w:sz w:val="24"/>
              </w:rPr>
              <w:t>to</w:t>
            </w:r>
            <w:r>
              <w:rPr>
                <w:spacing w:val="40"/>
                <w:sz w:val="24"/>
              </w:rPr>
              <w:t> </w:t>
            </w:r>
            <w:r>
              <w:rPr>
                <w:sz w:val="24"/>
              </w:rPr>
              <w:t>800 sq.</w:t>
            </w:r>
            <w:r>
              <w:rPr>
                <w:spacing w:val="40"/>
                <w:sz w:val="24"/>
              </w:rPr>
              <w:t> </w:t>
            </w:r>
            <w:r>
              <w:rPr>
                <w:sz w:val="24"/>
              </w:rPr>
              <w:t>m and one parking space for every 80-sq.m of space for</w:t>
            </w:r>
            <w:r>
              <w:rPr>
                <w:spacing w:val="69"/>
                <w:sz w:val="24"/>
              </w:rPr>
              <w:t> </w:t>
            </w:r>
            <w:r>
              <w:rPr>
                <w:sz w:val="24"/>
              </w:rPr>
              <w:t>areas</w:t>
            </w:r>
            <w:r>
              <w:rPr>
                <w:spacing w:val="69"/>
                <w:sz w:val="24"/>
              </w:rPr>
              <w:t> </w:t>
            </w:r>
            <w:r>
              <w:rPr>
                <w:sz w:val="24"/>
              </w:rPr>
              <w:t>exceeding</w:t>
            </w:r>
            <w:r>
              <w:rPr>
                <w:spacing w:val="70"/>
                <w:sz w:val="24"/>
              </w:rPr>
              <w:t> </w:t>
            </w:r>
            <w:r>
              <w:rPr>
                <w:sz w:val="24"/>
              </w:rPr>
              <w:t>800</w:t>
            </w:r>
            <w:r>
              <w:rPr>
                <w:spacing w:val="76"/>
                <w:sz w:val="24"/>
              </w:rPr>
              <w:t> </w:t>
            </w:r>
            <w:r>
              <w:rPr>
                <w:sz w:val="24"/>
              </w:rPr>
              <w:t>sq.</w:t>
            </w:r>
            <w:r>
              <w:rPr>
                <w:spacing w:val="71"/>
                <w:sz w:val="24"/>
              </w:rPr>
              <w:t> </w:t>
            </w:r>
            <w:r>
              <w:rPr>
                <w:sz w:val="24"/>
              </w:rPr>
              <w:t>m</w:t>
            </w:r>
            <w:r>
              <w:rPr>
                <w:spacing w:val="70"/>
                <w:sz w:val="24"/>
              </w:rPr>
              <w:t> </w:t>
            </w:r>
            <w:r>
              <w:rPr>
                <w:spacing w:val="-2"/>
                <w:sz w:val="24"/>
              </w:rPr>
              <w:t>provided</w:t>
            </w:r>
          </w:p>
        </w:tc>
      </w:tr>
    </w:tbl>
    <w:p>
      <w:pPr>
        <w:pStyle w:val="TableParagraph"/>
        <w:spacing w:after="0"/>
        <w:jc w:val="both"/>
        <w:rPr>
          <w:sz w:val="24"/>
        </w:rPr>
        <w:sectPr>
          <w:pgSz w:w="11910" w:h="16840"/>
          <w:pgMar w:header="1058" w:footer="1201" w:top="1500" w:bottom="1400" w:left="360" w:right="360"/>
        </w:sectPr>
      </w:pPr>
    </w:p>
    <w:p>
      <w:pPr>
        <w:pStyle w:val="BodyText"/>
        <w:spacing w:before="20"/>
        <w:jc w:val="left"/>
        <w:rPr>
          <w:b/>
          <w:sz w:val="20"/>
        </w:rPr>
      </w:pPr>
    </w:p>
    <w:tbl>
      <w:tblPr>
        <w:tblW w:w="0" w:type="auto"/>
        <w:jc w:val="left"/>
        <w:tblInd w:w="10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8"/>
        <w:gridCol w:w="3061"/>
        <w:gridCol w:w="5310"/>
      </w:tblGrid>
      <w:tr>
        <w:trPr>
          <w:trHeight w:val="942" w:hRule="atLeast"/>
        </w:trPr>
        <w:tc>
          <w:tcPr>
            <w:tcW w:w="708" w:type="dxa"/>
            <w:shd w:val="clear" w:color="auto" w:fill="EDEBE0"/>
          </w:tcPr>
          <w:p>
            <w:pPr>
              <w:pStyle w:val="TableParagraph"/>
              <w:spacing w:line="281" w:lineRule="exact" w:before="98"/>
              <w:ind w:left="107"/>
              <w:rPr>
                <w:sz w:val="24"/>
              </w:rPr>
            </w:pPr>
            <w:r>
              <w:rPr>
                <w:spacing w:val="-5"/>
                <w:sz w:val="24"/>
              </w:rPr>
              <w:t>Sr.</w:t>
            </w:r>
          </w:p>
          <w:p>
            <w:pPr>
              <w:pStyle w:val="TableParagraph"/>
              <w:spacing w:line="281" w:lineRule="exact"/>
              <w:ind w:left="107"/>
              <w:rPr>
                <w:sz w:val="24"/>
              </w:rPr>
            </w:pPr>
            <w:r>
              <w:rPr>
                <w:spacing w:val="-5"/>
                <w:sz w:val="24"/>
              </w:rPr>
              <w:t>No.</w:t>
            </w:r>
          </w:p>
          <w:p>
            <w:pPr>
              <w:pStyle w:val="TableParagraph"/>
              <w:spacing w:line="261" w:lineRule="exact" w:before="1"/>
              <w:ind w:left="107"/>
              <w:rPr>
                <w:sz w:val="24"/>
              </w:rPr>
            </w:pPr>
            <w:r>
              <w:rPr>
                <w:spacing w:val="-5"/>
                <w:sz w:val="24"/>
              </w:rPr>
              <w:t>(1)</w:t>
            </w:r>
          </w:p>
        </w:tc>
        <w:tc>
          <w:tcPr>
            <w:tcW w:w="3061" w:type="dxa"/>
            <w:shd w:val="clear" w:color="auto" w:fill="EDEBE0"/>
          </w:tcPr>
          <w:p>
            <w:pPr>
              <w:pStyle w:val="TableParagraph"/>
              <w:spacing w:before="2"/>
              <w:ind w:left="105"/>
              <w:rPr>
                <w:sz w:val="24"/>
              </w:rPr>
            </w:pPr>
            <w:r>
              <w:rPr>
                <w:spacing w:val="-2"/>
                <w:sz w:val="24"/>
              </w:rPr>
              <w:t>Occupancy</w:t>
            </w:r>
          </w:p>
          <w:p>
            <w:pPr>
              <w:pStyle w:val="TableParagraph"/>
              <w:rPr>
                <w:b/>
                <w:sz w:val="24"/>
              </w:rPr>
            </w:pPr>
          </w:p>
          <w:p>
            <w:pPr>
              <w:pStyle w:val="TableParagraph"/>
              <w:ind w:left="105"/>
              <w:rPr>
                <w:sz w:val="24"/>
              </w:rPr>
            </w:pPr>
            <w:r>
              <w:rPr>
                <w:spacing w:val="-5"/>
                <w:sz w:val="24"/>
              </w:rPr>
              <w:t>(2)</w:t>
            </w:r>
          </w:p>
        </w:tc>
        <w:tc>
          <w:tcPr>
            <w:tcW w:w="5310" w:type="dxa"/>
            <w:shd w:val="clear" w:color="auto" w:fill="EDEBE0"/>
          </w:tcPr>
          <w:p>
            <w:pPr>
              <w:pStyle w:val="TableParagraph"/>
              <w:spacing w:before="2"/>
              <w:ind w:left="104"/>
              <w:rPr>
                <w:sz w:val="24"/>
              </w:rPr>
            </w:pPr>
            <w:r>
              <w:rPr>
                <w:sz w:val="24"/>
              </w:rPr>
              <w:t>Parking</w:t>
            </w:r>
            <w:r>
              <w:rPr>
                <w:spacing w:val="66"/>
                <w:sz w:val="24"/>
              </w:rPr>
              <w:t> </w:t>
            </w:r>
            <w:r>
              <w:rPr>
                <w:sz w:val="24"/>
              </w:rPr>
              <w:t>Space</w:t>
            </w:r>
            <w:r>
              <w:rPr>
                <w:spacing w:val="66"/>
                <w:sz w:val="24"/>
              </w:rPr>
              <w:t> </w:t>
            </w:r>
            <w:r>
              <w:rPr>
                <w:spacing w:val="7"/>
                <w:sz w:val="24"/>
              </w:rPr>
              <w:t>required</w:t>
            </w:r>
          </w:p>
          <w:p>
            <w:pPr>
              <w:pStyle w:val="TableParagraph"/>
              <w:rPr>
                <w:b/>
                <w:sz w:val="24"/>
              </w:rPr>
            </w:pPr>
          </w:p>
          <w:p>
            <w:pPr>
              <w:pStyle w:val="TableParagraph"/>
              <w:ind w:left="104"/>
              <w:rPr>
                <w:sz w:val="24"/>
              </w:rPr>
            </w:pPr>
            <w:r>
              <w:rPr>
                <w:spacing w:val="-5"/>
                <w:sz w:val="24"/>
              </w:rPr>
              <w:t>(3)</w:t>
            </w:r>
          </w:p>
        </w:tc>
      </w:tr>
      <w:tr>
        <w:trPr>
          <w:trHeight w:val="563" w:hRule="atLeast"/>
        </w:trPr>
        <w:tc>
          <w:tcPr>
            <w:tcW w:w="708" w:type="dxa"/>
          </w:tcPr>
          <w:p>
            <w:pPr>
              <w:pStyle w:val="TableParagraph"/>
              <w:rPr>
                <w:rFonts w:ascii="Times New Roman"/>
                <w:sz w:val="22"/>
              </w:rPr>
            </w:pPr>
          </w:p>
        </w:tc>
        <w:tc>
          <w:tcPr>
            <w:tcW w:w="3061" w:type="dxa"/>
          </w:tcPr>
          <w:p>
            <w:pPr>
              <w:pStyle w:val="TableParagraph"/>
              <w:rPr>
                <w:rFonts w:ascii="Times New Roman"/>
                <w:sz w:val="22"/>
              </w:rPr>
            </w:pPr>
          </w:p>
        </w:tc>
        <w:tc>
          <w:tcPr>
            <w:tcW w:w="5310" w:type="dxa"/>
          </w:tcPr>
          <w:p>
            <w:pPr>
              <w:pStyle w:val="TableParagraph"/>
              <w:tabs>
                <w:tab w:pos="861" w:val="left" w:leader="none"/>
                <w:tab w:pos="1413" w:val="left" w:leader="none"/>
                <w:tab w:pos="2625" w:val="left" w:leader="none"/>
                <w:tab w:pos="3574" w:val="left" w:leader="none"/>
                <w:tab w:pos="4411" w:val="left" w:leader="none"/>
                <w:tab w:pos="4897" w:val="left" w:leader="none"/>
              </w:tabs>
              <w:spacing w:line="281" w:lineRule="exact"/>
              <w:ind w:left="104"/>
              <w:rPr>
                <w:sz w:val="24"/>
              </w:rPr>
            </w:pPr>
            <w:r>
              <w:rPr>
                <w:spacing w:val="-4"/>
                <w:sz w:val="24"/>
              </w:rPr>
              <w:t>that</w:t>
            </w:r>
            <w:r>
              <w:rPr>
                <w:sz w:val="24"/>
              </w:rPr>
              <w:tab/>
            </w:r>
            <w:r>
              <w:rPr>
                <w:spacing w:val="-5"/>
                <w:sz w:val="24"/>
              </w:rPr>
              <w:t>no</w:t>
            </w:r>
            <w:r>
              <w:rPr>
                <w:sz w:val="24"/>
              </w:rPr>
              <w:tab/>
            </w:r>
            <w:r>
              <w:rPr>
                <w:spacing w:val="-2"/>
                <w:sz w:val="24"/>
              </w:rPr>
              <w:t>parking</w:t>
            </w:r>
            <w:r>
              <w:rPr>
                <w:sz w:val="24"/>
              </w:rPr>
              <w:tab/>
            </w:r>
            <w:r>
              <w:rPr>
                <w:spacing w:val="-4"/>
                <w:sz w:val="24"/>
              </w:rPr>
              <w:t>space</w:t>
            </w:r>
            <w:r>
              <w:rPr>
                <w:sz w:val="24"/>
              </w:rPr>
              <w:tab/>
            </w:r>
            <w:r>
              <w:rPr>
                <w:spacing w:val="-4"/>
                <w:sz w:val="24"/>
              </w:rPr>
              <w:t>need</w:t>
            </w:r>
            <w:r>
              <w:rPr>
                <w:sz w:val="24"/>
              </w:rPr>
              <w:tab/>
            </w:r>
            <w:r>
              <w:rPr>
                <w:spacing w:val="-5"/>
                <w:sz w:val="24"/>
              </w:rPr>
              <w:t>to</w:t>
            </w:r>
            <w:r>
              <w:rPr>
                <w:sz w:val="24"/>
              </w:rPr>
              <w:tab/>
            </w:r>
            <w:r>
              <w:rPr>
                <w:spacing w:val="-5"/>
                <w:sz w:val="24"/>
              </w:rPr>
              <w:t>be</w:t>
            </w:r>
          </w:p>
          <w:p>
            <w:pPr>
              <w:pStyle w:val="TableParagraph"/>
              <w:spacing w:line="261" w:lineRule="exact" w:before="1"/>
              <w:ind w:left="104"/>
              <w:rPr>
                <w:sz w:val="24"/>
              </w:rPr>
            </w:pPr>
            <w:r>
              <w:rPr>
                <w:sz w:val="24"/>
              </w:rPr>
              <w:t>provided</w:t>
            </w:r>
            <w:r>
              <w:rPr>
                <w:spacing w:val="46"/>
                <w:sz w:val="24"/>
              </w:rPr>
              <w:t> </w:t>
            </w:r>
            <w:r>
              <w:rPr>
                <w:sz w:val="24"/>
              </w:rPr>
              <w:t>for</w:t>
            </w:r>
            <w:r>
              <w:rPr>
                <w:spacing w:val="43"/>
                <w:sz w:val="24"/>
              </w:rPr>
              <w:t> </w:t>
            </w:r>
            <w:r>
              <w:rPr>
                <w:sz w:val="24"/>
              </w:rPr>
              <w:t>floor</w:t>
            </w:r>
            <w:r>
              <w:rPr>
                <w:spacing w:val="44"/>
                <w:sz w:val="24"/>
              </w:rPr>
              <w:t> </w:t>
            </w:r>
            <w:r>
              <w:rPr>
                <w:sz w:val="24"/>
              </w:rPr>
              <w:t>area</w:t>
            </w:r>
            <w:r>
              <w:rPr>
                <w:spacing w:val="43"/>
                <w:sz w:val="24"/>
              </w:rPr>
              <w:t> </w:t>
            </w:r>
            <w:r>
              <w:rPr>
                <w:sz w:val="24"/>
              </w:rPr>
              <w:t>up</w:t>
            </w:r>
            <w:r>
              <w:rPr>
                <w:spacing w:val="45"/>
                <w:sz w:val="24"/>
              </w:rPr>
              <w:t> </w:t>
            </w:r>
            <w:r>
              <w:rPr>
                <w:sz w:val="24"/>
              </w:rPr>
              <w:t>to</w:t>
            </w:r>
            <w:r>
              <w:rPr>
                <w:spacing w:val="42"/>
                <w:sz w:val="24"/>
              </w:rPr>
              <w:t> </w:t>
            </w:r>
            <w:r>
              <w:rPr>
                <w:sz w:val="24"/>
              </w:rPr>
              <w:t>50</w:t>
            </w:r>
            <w:r>
              <w:rPr>
                <w:spacing w:val="42"/>
                <w:sz w:val="24"/>
              </w:rPr>
              <w:t> </w:t>
            </w:r>
            <w:r>
              <w:rPr>
                <w:sz w:val="24"/>
              </w:rPr>
              <w:t>sq.</w:t>
            </w:r>
            <w:r>
              <w:rPr>
                <w:spacing w:val="47"/>
                <w:sz w:val="24"/>
              </w:rPr>
              <w:t> </w:t>
            </w:r>
            <w:r>
              <w:rPr>
                <w:spacing w:val="-12"/>
                <w:sz w:val="24"/>
              </w:rPr>
              <w:t>m</w:t>
            </w:r>
          </w:p>
        </w:tc>
      </w:tr>
      <w:tr>
        <w:trPr>
          <w:trHeight w:val="940" w:hRule="atLeast"/>
        </w:trPr>
        <w:tc>
          <w:tcPr>
            <w:tcW w:w="708" w:type="dxa"/>
          </w:tcPr>
          <w:p>
            <w:pPr>
              <w:pStyle w:val="TableParagraph"/>
              <w:spacing w:before="95"/>
              <w:ind w:left="107"/>
              <w:rPr>
                <w:sz w:val="24"/>
              </w:rPr>
            </w:pPr>
            <w:r>
              <w:rPr>
                <w:spacing w:val="-10"/>
                <w:sz w:val="24"/>
              </w:rPr>
              <w:t>6</w:t>
            </w:r>
          </w:p>
        </w:tc>
        <w:tc>
          <w:tcPr>
            <w:tcW w:w="3061" w:type="dxa"/>
          </w:tcPr>
          <w:p>
            <w:pPr>
              <w:pStyle w:val="TableParagraph"/>
              <w:spacing w:line="281" w:lineRule="exact"/>
              <w:ind w:left="105"/>
              <w:rPr>
                <w:sz w:val="24"/>
              </w:rPr>
            </w:pPr>
            <w:r>
              <w:rPr>
                <w:spacing w:val="-2"/>
                <w:sz w:val="24"/>
              </w:rPr>
              <w:t>Industrial</w:t>
            </w:r>
          </w:p>
        </w:tc>
        <w:tc>
          <w:tcPr>
            <w:tcW w:w="5310" w:type="dxa"/>
          </w:tcPr>
          <w:p>
            <w:pPr>
              <w:pStyle w:val="TableParagraph"/>
              <w:ind w:left="104" w:right="98"/>
              <w:rPr>
                <w:sz w:val="24"/>
              </w:rPr>
            </w:pPr>
            <w:r>
              <w:rPr>
                <w:sz w:val="24"/>
              </w:rPr>
              <w:t>One Parking space for every </w:t>
            </w:r>
            <w:r>
              <w:rPr>
                <w:spacing w:val="9"/>
                <w:sz w:val="24"/>
              </w:rPr>
              <w:t>150-</w:t>
            </w:r>
            <w:r>
              <w:rPr>
                <w:sz w:val="24"/>
              </w:rPr>
              <w:t>sq.m</w:t>
            </w:r>
            <w:r>
              <w:rPr>
                <w:spacing w:val="80"/>
                <w:sz w:val="24"/>
              </w:rPr>
              <w:t> </w:t>
            </w:r>
            <w:r>
              <w:rPr>
                <w:sz w:val="24"/>
              </w:rPr>
              <w:t>thereof</w:t>
            </w:r>
            <w:r>
              <w:rPr>
                <w:spacing w:val="40"/>
                <w:sz w:val="24"/>
              </w:rPr>
              <w:t> </w:t>
            </w:r>
            <w:r>
              <w:rPr>
                <w:sz w:val="24"/>
              </w:rPr>
              <w:t>subject to</w:t>
            </w:r>
            <w:r>
              <w:rPr>
                <w:spacing w:val="40"/>
                <w:sz w:val="24"/>
              </w:rPr>
              <w:t> </w:t>
            </w:r>
            <w:r>
              <w:rPr>
                <w:sz w:val="24"/>
              </w:rPr>
              <w:t>a minimum of two</w:t>
            </w:r>
            <w:r>
              <w:rPr>
                <w:spacing w:val="40"/>
                <w:sz w:val="24"/>
              </w:rPr>
              <w:t> </w:t>
            </w:r>
            <w:r>
              <w:rPr>
                <w:spacing w:val="-2"/>
                <w:sz w:val="24"/>
              </w:rPr>
              <w:t>spaces</w:t>
            </w:r>
          </w:p>
        </w:tc>
      </w:tr>
      <w:tr>
        <w:trPr>
          <w:trHeight w:val="942" w:hRule="atLeast"/>
        </w:trPr>
        <w:tc>
          <w:tcPr>
            <w:tcW w:w="708" w:type="dxa"/>
          </w:tcPr>
          <w:p>
            <w:pPr>
              <w:pStyle w:val="TableParagraph"/>
              <w:spacing w:before="97"/>
              <w:ind w:left="107"/>
              <w:rPr>
                <w:sz w:val="24"/>
              </w:rPr>
            </w:pPr>
            <w:r>
              <w:rPr>
                <w:spacing w:val="-10"/>
                <w:sz w:val="24"/>
              </w:rPr>
              <w:t>7</w:t>
            </w:r>
          </w:p>
        </w:tc>
        <w:tc>
          <w:tcPr>
            <w:tcW w:w="3061" w:type="dxa"/>
          </w:tcPr>
          <w:p>
            <w:pPr>
              <w:pStyle w:val="TableParagraph"/>
              <w:spacing w:before="1"/>
              <w:ind w:left="105"/>
              <w:rPr>
                <w:sz w:val="24"/>
              </w:rPr>
            </w:pPr>
            <w:r>
              <w:rPr>
                <w:spacing w:val="-2"/>
                <w:sz w:val="24"/>
              </w:rPr>
              <w:t>Storage</w:t>
            </w:r>
          </w:p>
        </w:tc>
        <w:tc>
          <w:tcPr>
            <w:tcW w:w="5310" w:type="dxa"/>
          </w:tcPr>
          <w:p>
            <w:pPr>
              <w:pStyle w:val="TableParagraph"/>
              <w:spacing w:before="1"/>
              <w:ind w:left="104" w:right="98"/>
              <w:rPr>
                <w:sz w:val="24"/>
              </w:rPr>
            </w:pPr>
            <w:r>
              <w:rPr>
                <w:sz w:val="24"/>
              </w:rPr>
              <w:t>One Parking space for every </w:t>
            </w:r>
            <w:r>
              <w:rPr>
                <w:spacing w:val="9"/>
                <w:sz w:val="24"/>
              </w:rPr>
              <w:t>150-</w:t>
            </w:r>
            <w:r>
              <w:rPr>
                <w:sz w:val="24"/>
              </w:rPr>
              <w:t>sq.m</w:t>
            </w:r>
            <w:r>
              <w:rPr>
                <w:spacing w:val="80"/>
                <w:sz w:val="24"/>
              </w:rPr>
              <w:t> </w:t>
            </w:r>
            <w:r>
              <w:rPr>
                <w:sz w:val="24"/>
              </w:rPr>
              <w:t>thereof</w:t>
            </w:r>
            <w:r>
              <w:rPr>
                <w:spacing w:val="40"/>
                <w:sz w:val="24"/>
              </w:rPr>
              <w:t> </w:t>
            </w:r>
            <w:r>
              <w:rPr>
                <w:sz w:val="24"/>
              </w:rPr>
              <w:t>subject to</w:t>
            </w:r>
            <w:r>
              <w:rPr>
                <w:spacing w:val="40"/>
                <w:sz w:val="24"/>
              </w:rPr>
              <w:t> </w:t>
            </w:r>
            <w:r>
              <w:rPr>
                <w:sz w:val="24"/>
              </w:rPr>
              <w:t>a minimum of two</w:t>
            </w:r>
            <w:r>
              <w:rPr>
                <w:spacing w:val="40"/>
                <w:sz w:val="24"/>
              </w:rPr>
              <w:t> </w:t>
            </w:r>
            <w:r>
              <w:rPr>
                <w:spacing w:val="-2"/>
                <w:sz w:val="24"/>
              </w:rPr>
              <w:t>spaces</w:t>
            </w:r>
          </w:p>
        </w:tc>
      </w:tr>
      <w:tr>
        <w:trPr>
          <w:trHeight w:val="2913" w:hRule="atLeast"/>
        </w:trPr>
        <w:tc>
          <w:tcPr>
            <w:tcW w:w="708" w:type="dxa"/>
          </w:tcPr>
          <w:p>
            <w:pPr>
              <w:pStyle w:val="TableParagraph"/>
              <w:spacing w:before="95"/>
              <w:ind w:left="107"/>
              <w:rPr>
                <w:sz w:val="24"/>
              </w:rPr>
            </w:pPr>
            <w:r>
              <w:rPr>
                <w:spacing w:val="-10"/>
                <w:sz w:val="24"/>
              </w:rPr>
              <w:t>8</w:t>
            </w:r>
          </w:p>
        </w:tc>
        <w:tc>
          <w:tcPr>
            <w:tcW w:w="3061" w:type="dxa"/>
          </w:tcPr>
          <w:p>
            <w:pPr>
              <w:pStyle w:val="TableParagraph"/>
              <w:ind w:left="105"/>
              <w:rPr>
                <w:sz w:val="24"/>
              </w:rPr>
            </w:pPr>
            <w:r>
              <w:rPr>
                <w:sz w:val="24"/>
              </w:rPr>
              <w:t>Hospitals and </w:t>
            </w:r>
            <w:r>
              <w:rPr>
                <w:spacing w:val="9"/>
                <w:sz w:val="24"/>
              </w:rPr>
              <w:t>Medical </w:t>
            </w:r>
            <w:r>
              <w:rPr>
                <w:spacing w:val="-2"/>
                <w:sz w:val="24"/>
              </w:rPr>
              <w:t>Institutions</w:t>
            </w:r>
          </w:p>
        </w:tc>
        <w:tc>
          <w:tcPr>
            <w:tcW w:w="5310" w:type="dxa"/>
          </w:tcPr>
          <w:p>
            <w:pPr>
              <w:pStyle w:val="TableParagraph"/>
              <w:ind w:left="104" w:right="96"/>
              <w:jc w:val="both"/>
              <w:rPr>
                <w:sz w:val="24"/>
              </w:rPr>
            </w:pPr>
            <w:r>
              <w:rPr>
                <w:sz w:val="24"/>
              </w:rPr>
              <w:t>One parking space for every </w:t>
            </w:r>
            <w:r>
              <w:rPr>
                <w:spacing w:val="9"/>
                <w:sz w:val="24"/>
              </w:rPr>
              <w:t>150-</w:t>
            </w:r>
            <w:r>
              <w:rPr>
                <w:sz w:val="24"/>
              </w:rPr>
              <w:t>sq.m of total</w:t>
            </w:r>
            <w:r>
              <w:rPr>
                <w:spacing w:val="40"/>
                <w:sz w:val="24"/>
              </w:rPr>
              <w:t> </w:t>
            </w:r>
            <w:r>
              <w:rPr>
                <w:sz w:val="24"/>
              </w:rPr>
              <w:t>floor</w:t>
            </w:r>
            <w:r>
              <w:rPr>
                <w:spacing w:val="40"/>
                <w:sz w:val="24"/>
              </w:rPr>
              <w:t> </w:t>
            </w:r>
            <w:r>
              <w:rPr>
                <w:sz w:val="24"/>
              </w:rPr>
              <w:t>area,</w:t>
            </w:r>
            <w:r>
              <w:rPr>
                <w:spacing w:val="40"/>
                <w:sz w:val="24"/>
              </w:rPr>
              <w:t> </w:t>
            </w:r>
            <w:r>
              <w:rPr>
                <w:sz w:val="24"/>
              </w:rPr>
              <w:t>except</w:t>
            </w:r>
            <w:r>
              <w:rPr>
                <w:spacing w:val="40"/>
                <w:sz w:val="24"/>
              </w:rPr>
              <w:t> </w:t>
            </w:r>
            <w:r>
              <w:rPr>
                <w:sz w:val="24"/>
              </w:rPr>
              <w:t>that</w:t>
            </w:r>
            <w:r>
              <w:rPr>
                <w:spacing w:val="40"/>
                <w:sz w:val="24"/>
              </w:rPr>
              <w:t> </w:t>
            </w:r>
            <w:r>
              <w:rPr>
                <w:sz w:val="24"/>
              </w:rPr>
              <w:t>it</w:t>
            </w:r>
            <w:r>
              <w:rPr>
                <w:spacing w:val="40"/>
                <w:sz w:val="24"/>
              </w:rPr>
              <w:t> </w:t>
            </w:r>
            <w:r>
              <w:rPr>
                <w:sz w:val="24"/>
              </w:rPr>
              <w:t>would</w:t>
            </w:r>
            <w:r>
              <w:rPr>
                <w:spacing w:val="40"/>
                <w:sz w:val="24"/>
              </w:rPr>
              <w:t> </w:t>
            </w:r>
            <w:r>
              <w:rPr>
                <w:sz w:val="24"/>
              </w:rPr>
              <w:t>be one parking space for every </w:t>
            </w:r>
            <w:r>
              <w:rPr>
                <w:spacing w:val="9"/>
                <w:sz w:val="24"/>
              </w:rPr>
              <w:t>600-</w:t>
            </w:r>
            <w:r>
              <w:rPr>
                <w:sz w:val="24"/>
              </w:rPr>
              <w:t>sq.m of the</w:t>
            </w:r>
            <w:r>
              <w:rPr>
                <w:spacing w:val="40"/>
                <w:sz w:val="24"/>
              </w:rPr>
              <w:t> </w:t>
            </w:r>
            <w:r>
              <w:rPr>
                <w:sz w:val="24"/>
              </w:rPr>
              <w:t>total</w:t>
            </w:r>
            <w:r>
              <w:rPr>
                <w:spacing w:val="40"/>
                <w:sz w:val="24"/>
              </w:rPr>
              <w:t> </w:t>
            </w:r>
            <w:r>
              <w:rPr>
                <w:sz w:val="24"/>
              </w:rPr>
              <w:t>floor</w:t>
            </w:r>
            <w:r>
              <w:rPr>
                <w:spacing w:val="40"/>
                <w:sz w:val="24"/>
              </w:rPr>
              <w:t> </w:t>
            </w:r>
            <w:r>
              <w:rPr>
                <w:sz w:val="24"/>
              </w:rPr>
              <w:t>area</w:t>
            </w:r>
            <w:r>
              <w:rPr>
                <w:spacing w:val="40"/>
                <w:sz w:val="24"/>
              </w:rPr>
              <w:t> </w:t>
            </w:r>
            <w:r>
              <w:rPr>
                <w:sz w:val="24"/>
              </w:rPr>
              <w:t>in</w:t>
            </w:r>
            <w:r>
              <w:rPr>
                <w:spacing w:val="40"/>
                <w:sz w:val="24"/>
              </w:rPr>
              <w:t> </w:t>
            </w:r>
            <w:r>
              <w:rPr>
                <w:sz w:val="24"/>
              </w:rPr>
              <w:t>the</w:t>
            </w:r>
            <w:r>
              <w:rPr>
                <w:spacing w:val="40"/>
                <w:sz w:val="24"/>
              </w:rPr>
              <w:t> </w:t>
            </w:r>
            <w:r>
              <w:rPr>
                <w:sz w:val="24"/>
              </w:rPr>
              <w:t>case</w:t>
            </w:r>
            <w:r>
              <w:rPr>
                <w:spacing w:val="40"/>
                <w:sz w:val="24"/>
              </w:rPr>
              <w:t> </w:t>
            </w:r>
            <w:r>
              <w:rPr>
                <w:sz w:val="24"/>
              </w:rPr>
              <w:t>of</w:t>
            </w:r>
            <w:r>
              <w:rPr>
                <w:spacing w:val="40"/>
                <w:sz w:val="24"/>
              </w:rPr>
              <w:t> </w:t>
            </w:r>
            <w:r>
              <w:rPr>
                <w:sz w:val="24"/>
              </w:rPr>
              <w:t>Govt. and Municipal hospitals and Medical institutions.</w:t>
            </w:r>
            <w:r>
              <w:rPr>
                <w:spacing w:val="80"/>
                <w:sz w:val="24"/>
              </w:rPr>
              <w:t> </w:t>
            </w:r>
            <w:r>
              <w:rPr>
                <w:sz w:val="24"/>
              </w:rPr>
              <w:t>In</w:t>
            </w:r>
            <w:r>
              <w:rPr>
                <w:spacing w:val="80"/>
                <w:sz w:val="24"/>
              </w:rPr>
              <w:t> </w:t>
            </w:r>
            <w:r>
              <w:rPr>
                <w:sz w:val="24"/>
              </w:rPr>
              <w:t>addition,</w:t>
            </w:r>
            <w:r>
              <w:rPr>
                <w:spacing w:val="80"/>
                <w:sz w:val="24"/>
              </w:rPr>
              <w:t> </w:t>
            </w:r>
            <w:r>
              <w:rPr>
                <w:sz w:val="24"/>
              </w:rPr>
              <w:t>one</w:t>
            </w:r>
            <w:r>
              <w:rPr>
                <w:spacing w:val="80"/>
                <w:sz w:val="24"/>
              </w:rPr>
              <w:t> </w:t>
            </w:r>
            <w:r>
              <w:rPr>
                <w:sz w:val="24"/>
              </w:rPr>
              <w:t>parks space</w:t>
            </w:r>
            <w:r>
              <w:rPr>
                <w:spacing w:val="63"/>
                <w:sz w:val="24"/>
              </w:rPr>
              <w:t> </w:t>
            </w:r>
            <w:r>
              <w:rPr>
                <w:sz w:val="24"/>
              </w:rPr>
              <w:t>for</w:t>
            </w:r>
            <w:r>
              <w:rPr>
                <w:spacing w:val="65"/>
                <w:sz w:val="24"/>
              </w:rPr>
              <w:t> </w:t>
            </w:r>
            <w:r>
              <w:rPr>
                <w:sz w:val="24"/>
              </w:rPr>
              <w:t>ambulance</w:t>
            </w:r>
            <w:r>
              <w:rPr>
                <w:spacing w:val="65"/>
                <w:sz w:val="24"/>
              </w:rPr>
              <w:t> </w:t>
            </w:r>
            <w:r>
              <w:rPr>
                <w:sz w:val="24"/>
              </w:rPr>
              <w:t>parking</w:t>
            </w:r>
            <w:r>
              <w:rPr>
                <w:spacing w:val="65"/>
                <w:sz w:val="24"/>
              </w:rPr>
              <w:t> </w:t>
            </w:r>
            <w:r>
              <w:rPr>
                <w:spacing w:val="7"/>
                <w:sz w:val="24"/>
              </w:rPr>
              <w:t>measuring</w:t>
            </w:r>
          </w:p>
          <w:p>
            <w:pPr>
              <w:pStyle w:val="TableParagraph"/>
              <w:ind w:left="104" w:right="97"/>
              <w:jc w:val="both"/>
              <w:rPr>
                <w:sz w:val="24"/>
              </w:rPr>
            </w:pPr>
            <w:r>
              <w:rPr>
                <w:sz w:val="24"/>
              </w:rPr>
              <w:t>10 m x 4 m for hospitals or medical institutions with bed strength of 100 or </w:t>
            </w:r>
            <w:r>
              <w:rPr>
                <w:spacing w:val="-2"/>
                <w:sz w:val="24"/>
              </w:rPr>
              <w:t>more.</w:t>
            </w:r>
          </w:p>
        </w:tc>
      </w:tr>
      <w:tr>
        <w:trPr>
          <w:trHeight w:val="1785" w:hRule="atLeast"/>
        </w:trPr>
        <w:tc>
          <w:tcPr>
            <w:tcW w:w="708" w:type="dxa"/>
          </w:tcPr>
          <w:p>
            <w:pPr>
              <w:pStyle w:val="TableParagraph"/>
              <w:spacing w:before="95"/>
              <w:ind w:left="107"/>
              <w:rPr>
                <w:sz w:val="24"/>
              </w:rPr>
            </w:pPr>
            <w:r>
              <w:rPr>
                <w:spacing w:val="-5"/>
                <w:sz w:val="24"/>
              </w:rPr>
              <w:t>9.</w:t>
            </w:r>
          </w:p>
        </w:tc>
        <w:tc>
          <w:tcPr>
            <w:tcW w:w="3061" w:type="dxa"/>
          </w:tcPr>
          <w:p>
            <w:pPr>
              <w:pStyle w:val="TableParagraph"/>
              <w:spacing w:line="281" w:lineRule="exact"/>
              <w:ind w:left="105"/>
              <w:rPr>
                <w:sz w:val="24"/>
              </w:rPr>
            </w:pPr>
            <w:r>
              <w:rPr>
                <w:sz w:val="24"/>
              </w:rPr>
              <w:t>Cinemas</w:t>
            </w:r>
            <w:r>
              <w:rPr>
                <w:spacing w:val="57"/>
                <w:sz w:val="24"/>
              </w:rPr>
              <w:t> </w:t>
            </w:r>
            <w:r>
              <w:rPr>
                <w:sz w:val="24"/>
              </w:rPr>
              <w:t>and</w:t>
            </w:r>
            <w:r>
              <w:rPr>
                <w:spacing w:val="55"/>
                <w:sz w:val="24"/>
              </w:rPr>
              <w:t> </w:t>
            </w:r>
            <w:r>
              <w:rPr>
                <w:spacing w:val="7"/>
                <w:sz w:val="24"/>
              </w:rPr>
              <w:t>theatres</w:t>
            </w:r>
          </w:p>
        </w:tc>
        <w:tc>
          <w:tcPr>
            <w:tcW w:w="5310" w:type="dxa"/>
          </w:tcPr>
          <w:p>
            <w:pPr>
              <w:pStyle w:val="TableParagraph"/>
              <w:ind w:left="104" w:right="95"/>
              <w:jc w:val="both"/>
              <w:rPr>
                <w:sz w:val="24"/>
              </w:rPr>
            </w:pPr>
            <w:r>
              <w:rPr>
                <w:sz w:val="24"/>
              </w:rPr>
              <w:t>Parking</w:t>
            </w:r>
            <w:r>
              <w:rPr>
                <w:spacing w:val="40"/>
                <w:sz w:val="24"/>
              </w:rPr>
              <w:t> </w:t>
            </w:r>
            <w:r>
              <w:rPr>
                <w:sz w:val="24"/>
              </w:rPr>
              <w:t>spaces</w:t>
            </w:r>
            <w:r>
              <w:rPr>
                <w:spacing w:val="40"/>
                <w:sz w:val="24"/>
              </w:rPr>
              <w:t> </w:t>
            </w:r>
            <w:r>
              <w:rPr>
                <w:sz w:val="24"/>
              </w:rPr>
              <w:t>equivalent</w:t>
            </w:r>
            <w:r>
              <w:rPr>
                <w:spacing w:val="40"/>
                <w:sz w:val="24"/>
              </w:rPr>
              <w:t> </w:t>
            </w:r>
            <w:r>
              <w:rPr>
                <w:sz w:val="24"/>
              </w:rPr>
              <w:t>to</w:t>
            </w:r>
            <w:r>
              <w:rPr>
                <w:spacing w:val="40"/>
                <w:sz w:val="24"/>
              </w:rPr>
              <w:t> </w:t>
            </w:r>
            <w:r>
              <w:rPr>
                <w:sz w:val="24"/>
              </w:rPr>
              <w:t>eight</w:t>
            </w:r>
            <w:r>
              <w:rPr>
                <w:spacing w:val="40"/>
                <w:sz w:val="24"/>
              </w:rPr>
              <w:t> </w:t>
            </w:r>
            <w:r>
              <w:rPr>
                <w:sz w:val="24"/>
              </w:rPr>
              <w:t>per cent of the total number of seats with additional parking as otherwise </w:t>
            </w:r>
            <w:r>
              <w:rPr>
                <w:spacing w:val="9"/>
                <w:sz w:val="24"/>
              </w:rPr>
              <w:t>also </w:t>
            </w:r>
            <w:r>
              <w:rPr>
                <w:sz w:val="24"/>
              </w:rPr>
              <w:t>required for other permissible users in conjunction</w:t>
            </w:r>
            <w:r>
              <w:rPr>
                <w:spacing w:val="80"/>
                <w:w w:val="150"/>
                <w:sz w:val="24"/>
              </w:rPr>
              <w:t> </w:t>
            </w:r>
            <w:r>
              <w:rPr>
                <w:sz w:val="24"/>
              </w:rPr>
              <w:t>with</w:t>
            </w:r>
            <w:r>
              <w:rPr>
                <w:spacing w:val="80"/>
                <w:w w:val="150"/>
                <w:sz w:val="24"/>
              </w:rPr>
              <w:t> </w:t>
            </w:r>
            <w:r>
              <w:rPr>
                <w:sz w:val="24"/>
              </w:rPr>
              <w:t>that</w:t>
            </w:r>
            <w:r>
              <w:rPr>
                <w:spacing w:val="80"/>
                <w:w w:val="150"/>
                <w:sz w:val="24"/>
              </w:rPr>
              <w:t> </w:t>
            </w:r>
            <w:r>
              <w:rPr>
                <w:sz w:val="24"/>
              </w:rPr>
              <w:t>of</w:t>
            </w:r>
            <w:r>
              <w:rPr>
                <w:spacing w:val="40"/>
                <w:sz w:val="24"/>
              </w:rPr>
              <w:t> </w:t>
            </w:r>
            <w:r>
              <w:rPr>
                <w:spacing w:val="-2"/>
                <w:sz w:val="24"/>
              </w:rPr>
              <w:t>cinema/theatre.</w:t>
            </w:r>
          </w:p>
        </w:tc>
      </w:tr>
      <w:tr>
        <w:trPr>
          <w:trHeight w:val="1787" w:hRule="atLeast"/>
        </w:trPr>
        <w:tc>
          <w:tcPr>
            <w:tcW w:w="708" w:type="dxa"/>
          </w:tcPr>
          <w:p>
            <w:pPr>
              <w:pStyle w:val="TableParagraph"/>
              <w:spacing w:before="97"/>
              <w:ind w:left="107"/>
              <w:rPr>
                <w:sz w:val="24"/>
              </w:rPr>
            </w:pPr>
            <w:r>
              <w:rPr>
                <w:spacing w:val="-5"/>
                <w:sz w:val="24"/>
              </w:rPr>
              <w:t>10.</w:t>
            </w:r>
          </w:p>
        </w:tc>
        <w:tc>
          <w:tcPr>
            <w:tcW w:w="3061" w:type="dxa"/>
          </w:tcPr>
          <w:p>
            <w:pPr>
              <w:pStyle w:val="TableParagraph"/>
              <w:spacing w:before="1"/>
              <w:ind w:left="105" w:right="242"/>
              <w:rPr>
                <w:sz w:val="24"/>
              </w:rPr>
            </w:pPr>
            <w:r>
              <w:rPr>
                <w:spacing w:val="-2"/>
                <w:sz w:val="24"/>
              </w:rPr>
              <w:t>Shopping/Convenienc</w:t>
            </w:r>
            <w:r>
              <w:rPr>
                <w:spacing w:val="80"/>
                <w:sz w:val="24"/>
              </w:rPr>
              <w:t> </w:t>
            </w:r>
            <w:r>
              <w:rPr>
                <w:sz w:val="24"/>
              </w:rPr>
              <w:t>e Shopping (not included under </w:t>
            </w:r>
            <w:r>
              <w:rPr>
                <w:spacing w:val="7"/>
                <w:sz w:val="24"/>
              </w:rPr>
              <w:t>Mercantile</w:t>
            </w:r>
            <w:r>
              <w:rPr>
                <w:spacing w:val="40"/>
                <w:sz w:val="24"/>
              </w:rPr>
              <w:t> </w:t>
            </w:r>
            <w:r>
              <w:rPr>
                <w:spacing w:val="7"/>
                <w:sz w:val="24"/>
              </w:rPr>
              <w:t>Occupancy)</w:t>
            </w:r>
          </w:p>
        </w:tc>
        <w:tc>
          <w:tcPr>
            <w:tcW w:w="5310" w:type="dxa"/>
          </w:tcPr>
          <w:p>
            <w:pPr>
              <w:pStyle w:val="TableParagraph"/>
              <w:spacing w:before="1"/>
              <w:ind w:left="104" w:right="94"/>
              <w:jc w:val="both"/>
              <w:rPr>
                <w:sz w:val="24"/>
              </w:rPr>
            </w:pPr>
            <w:r>
              <w:rPr>
                <w:sz w:val="24"/>
              </w:rPr>
              <w:t>One parking space for every </w:t>
            </w:r>
            <w:r>
              <w:rPr>
                <w:spacing w:val="9"/>
                <w:sz w:val="24"/>
              </w:rPr>
              <w:t>150-</w:t>
            </w:r>
            <w:r>
              <w:rPr>
                <w:sz w:val="24"/>
              </w:rPr>
              <w:t>sq.m of total floor area in the case of shopping</w:t>
            </w:r>
            <w:r>
              <w:rPr>
                <w:spacing w:val="40"/>
                <w:sz w:val="24"/>
              </w:rPr>
              <w:t> </w:t>
            </w:r>
            <w:r>
              <w:rPr>
                <w:sz w:val="24"/>
              </w:rPr>
              <w:t>user with each</w:t>
            </w:r>
            <w:r>
              <w:rPr>
                <w:spacing w:val="40"/>
                <w:sz w:val="24"/>
              </w:rPr>
              <w:t> </w:t>
            </w:r>
            <w:r>
              <w:rPr>
                <w:sz w:val="24"/>
              </w:rPr>
              <w:t>shop up</w:t>
            </w:r>
            <w:r>
              <w:rPr>
                <w:spacing w:val="40"/>
                <w:sz w:val="24"/>
              </w:rPr>
              <w:t> </w:t>
            </w:r>
            <w:r>
              <w:rPr>
                <w:sz w:val="24"/>
              </w:rPr>
              <w:t>to</w:t>
            </w:r>
            <w:r>
              <w:rPr>
                <w:spacing w:val="40"/>
                <w:sz w:val="24"/>
              </w:rPr>
              <w:t> </w:t>
            </w:r>
            <w:r>
              <w:rPr>
                <w:sz w:val="24"/>
              </w:rPr>
              <w:t>20 sq.</w:t>
            </w:r>
            <w:r>
              <w:rPr>
                <w:spacing w:val="40"/>
                <w:sz w:val="24"/>
              </w:rPr>
              <w:t> </w:t>
            </w:r>
            <w:r>
              <w:rPr>
                <w:sz w:val="24"/>
              </w:rPr>
              <w:t>m</w:t>
            </w:r>
            <w:r>
              <w:rPr>
                <w:spacing w:val="40"/>
                <w:sz w:val="24"/>
              </w:rPr>
              <w:t> </w:t>
            </w:r>
            <w:r>
              <w:rPr>
                <w:sz w:val="24"/>
              </w:rPr>
              <w:t>in area and one parking space for every 50 sq.m</w:t>
            </w:r>
            <w:r>
              <w:rPr>
                <w:spacing w:val="40"/>
                <w:sz w:val="24"/>
              </w:rPr>
              <w:t> </w:t>
            </w:r>
            <w:r>
              <w:rPr>
                <w:sz w:val="24"/>
              </w:rPr>
              <w:t>of</w:t>
            </w:r>
            <w:r>
              <w:rPr>
                <w:spacing w:val="40"/>
                <w:sz w:val="24"/>
              </w:rPr>
              <w:t> </w:t>
            </w:r>
            <w:r>
              <w:rPr>
                <w:sz w:val="24"/>
              </w:rPr>
              <w:t>total</w:t>
            </w:r>
            <w:r>
              <w:rPr>
                <w:spacing w:val="40"/>
                <w:sz w:val="24"/>
              </w:rPr>
              <w:t> </w:t>
            </w:r>
            <w:r>
              <w:rPr>
                <w:sz w:val="24"/>
              </w:rPr>
              <w:t>floor</w:t>
            </w:r>
            <w:r>
              <w:rPr>
                <w:spacing w:val="40"/>
                <w:sz w:val="24"/>
              </w:rPr>
              <w:t> </w:t>
            </w:r>
            <w:r>
              <w:rPr>
                <w:sz w:val="24"/>
              </w:rPr>
              <w:t>area</w:t>
            </w:r>
            <w:r>
              <w:rPr>
                <w:spacing w:val="40"/>
                <w:sz w:val="24"/>
              </w:rPr>
              <w:t> </w:t>
            </w:r>
            <w:r>
              <w:rPr>
                <w:sz w:val="24"/>
              </w:rPr>
              <w:t>for</w:t>
            </w:r>
            <w:r>
              <w:rPr>
                <w:spacing w:val="40"/>
                <w:sz w:val="24"/>
              </w:rPr>
              <w:t> </w:t>
            </w:r>
            <w:r>
              <w:rPr>
                <w:sz w:val="24"/>
              </w:rPr>
              <w:t>shops</w:t>
            </w:r>
            <w:r>
              <w:rPr>
                <w:spacing w:val="40"/>
                <w:sz w:val="24"/>
              </w:rPr>
              <w:t> </w:t>
            </w:r>
            <w:r>
              <w:rPr>
                <w:sz w:val="24"/>
              </w:rPr>
              <w:t>each over 20 sq. m area.</w:t>
            </w:r>
          </w:p>
        </w:tc>
      </w:tr>
      <w:tr>
        <w:trPr>
          <w:trHeight w:val="1504" w:hRule="atLeast"/>
        </w:trPr>
        <w:tc>
          <w:tcPr>
            <w:tcW w:w="708" w:type="dxa"/>
          </w:tcPr>
          <w:p>
            <w:pPr>
              <w:pStyle w:val="TableParagraph"/>
              <w:spacing w:before="95"/>
              <w:ind w:left="107"/>
              <w:rPr>
                <w:sz w:val="24"/>
              </w:rPr>
            </w:pPr>
            <w:r>
              <w:rPr>
                <w:spacing w:val="-5"/>
                <w:sz w:val="24"/>
              </w:rPr>
              <w:t>11</w:t>
            </w:r>
          </w:p>
        </w:tc>
        <w:tc>
          <w:tcPr>
            <w:tcW w:w="3061" w:type="dxa"/>
          </w:tcPr>
          <w:p>
            <w:pPr>
              <w:pStyle w:val="TableParagraph"/>
              <w:ind w:left="105"/>
              <w:rPr>
                <w:sz w:val="24"/>
              </w:rPr>
            </w:pPr>
            <w:r>
              <w:rPr>
                <w:sz w:val="24"/>
              </w:rPr>
              <w:t>Stadia and </w:t>
            </w:r>
            <w:r>
              <w:rPr>
                <w:spacing w:val="9"/>
                <w:sz w:val="24"/>
              </w:rPr>
              <w:t>Clubs </w:t>
            </w:r>
            <w:r>
              <w:rPr>
                <w:sz w:val="24"/>
              </w:rPr>
              <w:t>(included under Assembly </w:t>
            </w:r>
            <w:r>
              <w:rPr>
                <w:spacing w:val="9"/>
                <w:sz w:val="24"/>
              </w:rPr>
              <w:t>Occupancy)</w:t>
            </w:r>
          </w:p>
        </w:tc>
        <w:tc>
          <w:tcPr>
            <w:tcW w:w="5310" w:type="dxa"/>
          </w:tcPr>
          <w:p>
            <w:pPr>
              <w:pStyle w:val="TableParagraph"/>
              <w:ind w:left="104" w:right="95"/>
              <w:jc w:val="both"/>
              <w:rPr>
                <w:sz w:val="24"/>
              </w:rPr>
            </w:pPr>
            <w:r>
              <w:rPr>
                <w:sz w:val="24"/>
              </w:rPr>
              <w:t>One parking space for every 100 seats</w:t>
            </w:r>
            <w:r>
              <w:rPr>
                <w:spacing w:val="80"/>
                <w:sz w:val="24"/>
              </w:rPr>
              <w:t> </w:t>
            </w:r>
            <w:r>
              <w:rPr>
                <w:sz w:val="24"/>
              </w:rPr>
              <w:t>plus additional parking as in these Regulations for occupancies like those of restaurants, etc. within such stadia or </w:t>
            </w:r>
            <w:r>
              <w:rPr>
                <w:spacing w:val="-2"/>
                <w:sz w:val="24"/>
              </w:rPr>
              <w:t>clubs</w:t>
            </w:r>
          </w:p>
        </w:tc>
      </w:tr>
    </w:tbl>
    <w:p>
      <w:pPr>
        <w:pStyle w:val="BodyText"/>
        <w:spacing w:before="4"/>
        <w:jc w:val="left"/>
        <w:rPr>
          <w:b/>
        </w:rPr>
      </w:pPr>
    </w:p>
    <w:p>
      <w:pPr>
        <w:pStyle w:val="BodyText"/>
        <w:spacing w:line="281" w:lineRule="exact"/>
        <w:ind w:left="1493"/>
        <w:jc w:val="left"/>
      </w:pPr>
      <w:r>
        <w:rPr>
          <w:spacing w:val="-2"/>
        </w:rPr>
        <w:t>Note:</w:t>
      </w:r>
    </w:p>
    <w:p>
      <w:pPr>
        <w:pStyle w:val="ListParagraph"/>
        <w:numPr>
          <w:ilvl w:val="0"/>
          <w:numId w:val="306"/>
        </w:numPr>
        <w:tabs>
          <w:tab w:pos="1735" w:val="left" w:leader="none"/>
          <w:tab w:pos="3768" w:val="left" w:leader="none"/>
          <w:tab w:pos="6285" w:val="left" w:leader="none"/>
          <w:tab w:pos="8084" w:val="left" w:leader="none"/>
          <w:tab w:pos="10183" w:val="left" w:leader="none"/>
        </w:tabs>
        <w:spacing w:line="240" w:lineRule="auto" w:before="0" w:after="0"/>
        <w:ind w:left="1493" w:right="780" w:firstLine="0"/>
        <w:jc w:val="both"/>
        <w:rPr>
          <w:sz w:val="24"/>
        </w:rPr>
      </w:pPr>
      <w:r>
        <w:rPr>
          <w:spacing w:val="9"/>
          <w:sz w:val="24"/>
        </w:rPr>
        <w:t>Ingaothan/koliwada/Adivasipada</w:t>
      </w:r>
      <w:r>
        <w:rPr>
          <w:spacing w:val="9"/>
          <w:sz w:val="24"/>
        </w:rPr>
        <w:t> </w:t>
      </w:r>
      <w:r>
        <w:rPr>
          <w:sz w:val="24"/>
        </w:rPr>
        <w:t>are</w:t>
      </w:r>
      <w:r>
        <w:rPr>
          <w:spacing w:val="40"/>
          <w:sz w:val="24"/>
        </w:rPr>
        <w:t> </w:t>
      </w:r>
      <w:r>
        <w:rPr>
          <w:sz w:val="24"/>
        </w:rPr>
        <w:t>as</w:t>
      </w:r>
      <w:r>
        <w:rPr>
          <w:spacing w:val="40"/>
          <w:sz w:val="24"/>
        </w:rPr>
        <w:t> </w:t>
      </w:r>
      <w:r>
        <w:rPr>
          <w:sz w:val="24"/>
        </w:rPr>
        <w:t>and</w:t>
      </w:r>
      <w:r>
        <w:rPr>
          <w:spacing w:val="40"/>
          <w:sz w:val="24"/>
        </w:rPr>
        <w:t> </w:t>
      </w:r>
      <w:r>
        <w:rPr>
          <w:sz w:val="24"/>
        </w:rPr>
        <w:t>on</w:t>
      </w:r>
      <w:r>
        <w:rPr>
          <w:spacing w:val="40"/>
          <w:sz w:val="24"/>
        </w:rPr>
        <w:t> </w:t>
      </w:r>
      <w:r>
        <w:rPr>
          <w:sz w:val="24"/>
        </w:rPr>
        <w:t>narrow</w:t>
      </w:r>
      <w:r>
        <w:rPr>
          <w:spacing w:val="40"/>
          <w:sz w:val="24"/>
        </w:rPr>
        <w:t> </w:t>
      </w:r>
      <w:r>
        <w:rPr>
          <w:sz w:val="24"/>
        </w:rPr>
        <w:t>plots</w:t>
      </w:r>
      <w:r>
        <w:rPr>
          <w:spacing w:val="40"/>
          <w:sz w:val="24"/>
        </w:rPr>
        <w:t> </w:t>
      </w:r>
      <w:r>
        <w:rPr>
          <w:sz w:val="24"/>
        </w:rPr>
        <w:t>up</w:t>
      </w:r>
      <w:r>
        <w:rPr>
          <w:spacing w:val="40"/>
          <w:sz w:val="24"/>
        </w:rPr>
        <w:t> </w:t>
      </w:r>
      <w:r>
        <w:rPr>
          <w:sz w:val="24"/>
        </w:rPr>
        <w:t>to 9m</w:t>
      </w:r>
      <w:r>
        <w:rPr>
          <w:spacing w:val="40"/>
          <w:sz w:val="24"/>
        </w:rPr>
        <w:t> </w:t>
      </w:r>
      <w:r>
        <w:rPr>
          <w:sz w:val="24"/>
        </w:rPr>
        <w:t>in</w:t>
      </w:r>
      <w:r>
        <w:rPr>
          <w:spacing w:val="40"/>
          <w:sz w:val="24"/>
        </w:rPr>
        <w:t> </w:t>
      </w:r>
      <w:r>
        <w:rPr>
          <w:sz w:val="24"/>
        </w:rPr>
        <w:t>width,</w:t>
      </w:r>
      <w:r>
        <w:rPr>
          <w:spacing w:val="40"/>
          <w:sz w:val="24"/>
        </w:rPr>
        <w:t> </w:t>
      </w:r>
      <w:r>
        <w:rPr>
          <w:sz w:val="24"/>
        </w:rPr>
        <w:t>the</w:t>
      </w:r>
      <w:r>
        <w:rPr>
          <w:spacing w:val="40"/>
          <w:sz w:val="24"/>
        </w:rPr>
        <w:t> </w:t>
      </w:r>
      <w:r>
        <w:rPr>
          <w:sz w:val="24"/>
        </w:rPr>
        <w:t>requirement</w:t>
      </w:r>
      <w:r>
        <w:rPr>
          <w:spacing w:val="40"/>
          <w:sz w:val="24"/>
        </w:rPr>
        <w:t> </w:t>
      </w:r>
      <w:r>
        <w:rPr>
          <w:sz w:val="24"/>
        </w:rPr>
        <w:t>of</w:t>
      </w:r>
      <w:r>
        <w:rPr>
          <w:spacing w:val="40"/>
          <w:sz w:val="24"/>
        </w:rPr>
        <w:t> </w:t>
      </w:r>
      <w:r>
        <w:rPr>
          <w:sz w:val="24"/>
        </w:rPr>
        <w:t>parking</w:t>
      </w:r>
      <w:r>
        <w:rPr>
          <w:spacing w:val="40"/>
          <w:sz w:val="24"/>
        </w:rPr>
        <w:t> </w:t>
      </w:r>
      <w:r>
        <w:rPr>
          <w:sz w:val="24"/>
        </w:rPr>
        <w:t>spaces</w:t>
      </w:r>
      <w:r>
        <w:rPr>
          <w:spacing w:val="40"/>
          <w:sz w:val="24"/>
        </w:rPr>
        <w:t> </w:t>
      </w:r>
      <w:r>
        <w:rPr>
          <w:sz w:val="24"/>
        </w:rPr>
        <w:t>may</w:t>
      </w:r>
      <w:r>
        <w:rPr>
          <w:spacing w:val="40"/>
          <w:sz w:val="24"/>
        </w:rPr>
        <w:t> </w:t>
      </w:r>
      <w:r>
        <w:rPr>
          <w:sz w:val="24"/>
        </w:rPr>
        <w:t>not</w:t>
      </w:r>
      <w:r>
        <w:rPr>
          <w:spacing w:val="40"/>
          <w:sz w:val="24"/>
        </w:rPr>
        <w:t> </w:t>
      </w:r>
      <w:r>
        <w:rPr>
          <w:sz w:val="24"/>
        </w:rPr>
        <w:t>be</w:t>
      </w:r>
      <w:r>
        <w:rPr>
          <w:spacing w:val="40"/>
          <w:sz w:val="24"/>
        </w:rPr>
        <w:t> </w:t>
      </w:r>
      <w:r>
        <w:rPr>
          <w:sz w:val="24"/>
        </w:rPr>
        <w:t>insisted </w:t>
      </w:r>
      <w:r>
        <w:rPr>
          <w:spacing w:val="-2"/>
          <w:sz w:val="24"/>
        </w:rPr>
        <w:t>upon.</w:t>
      </w:r>
      <w:r>
        <w:rPr>
          <w:sz w:val="24"/>
        </w:rPr>
        <w:tab/>
      </w:r>
      <w:r>
        <w:rPr>
          <w:spacing w:val="-2"/>
          <w:sz w:val="24"/>
        </w:rPr>
        <w:t>Further</w:t>
      </w:r>
      <w:r>
        <w:rPr>
          <w:sz w:val="24"/>
        </w:rPr>
        <w:tab/>
      </w:r>
      <w:r>
        <w:rPr>
          <w:spacing w:val="-6"/>
          <w:sz w:val="24"/>
        </w:rPr>
        <w:t>in</w:t>
      </w:r>
      <w:r>
        <w:rPr>
          <w:sz w:val="24"/>
        </w:rPr>
        <w:tab/>
      </w:r>
      <w:r>
        <w:rPr>
          <w:spacing w:val="-4"/>
          <w:sz w:val="24"/>
        </w:rPr>
        <w:t>case</w:t>
      </w:r>
      <w:r>
        <w:rPr>
          <w:sz w:val="24"/>
        </w:rPr>
        <w:tab/>
      </w:r>
      <w:r>
        <w:rPr>
          <w:spacing w:val="-6"/>
          <w:sz w:val="24"/>
        </w:rPr>
        <w:t>of </w:t>
      </w:r>
      <w:r>
        <w:rPr>
          <w:spacing w:val="9"/>
          <w:sz w:val="24"/>
        </w:rPr>
        <w:t>addition/alteration/reconstruction/redevelopment </w:t>
      </w:r>
      <w:r>
        <w:rPr>
          <w:sz w:val="24"/>
        </w:rPr>
        <w:t>of Heritage Grade</w:t>
      </w:r>
      <w:r>
        <w:rPr>
          <w:spacing w:val="40"/>
          <w:sz w:val="24"/>
        </w:rPr>
        <w:t> </w:t>
      </w:r>
      <w:r>
        <w:rPr>
          <w:sz w:val="24"/>
        </w:rPr>
        <w:t>I</w:t>
      </w:r>
    </w:p>
    <w:p>
      <w:pPr>
        <w:pStyle w:val="ListParagraph"/>
        <w:spacing w:after="0" w:line="240" w:lineRule="auto"/>
        <w:jc w:val="both"/>
        <w:rPr>
          <w:sz w:val="24"/>
        </w:rPr>
        <w:sectPr>
          <w:pgSz w:w="11910" w:h="16840"/>
          <w:pgMar w:header="1058" w:footer="1201" w:top="1500" w:bottom="1400" w:left="360" w:right="360"/>
        </w:sectPr>
      </w:pPr>
    </w:p>
    <w:p>
      <w:pPr>
        <w:pStyle w:val="BodyText"/>
        <w:spacing w:before="255"/>
        <w:ind w:left="1493" w:right="785"/>
      </w:pPr>
      <w:r>
        <w:rPr/>
        <w:t>&amp;</w:t>
      </w:r>
      <w:r>
        <w:rPr>
          <w:spacing w:val="40"/>
        </w:rPr>
        <w:t> </w:t>
      </w:r>
      <w:r>
        <w:rPr/>
        <w:t>II</w:t>
      </w:r>
      <w:r>
        <w:rPr>
          <w:spacing w:val="40"/>
        </w:rPr>
        <w:t> </w:t>
      </w:r>
      <w:r>
        <w:rPr/>
        <w:t>structures</w:t>
      </w:r>
      <w:r>
        <w:rPr>
          <w:spacing w:val="40"/>
        </w:rPr>
        <w:t> </w:t>
      </w:r>
      <w:r>
        <w:rPr/>
        <w:t>where</w:t>
      </w:r>
      <w:r>
        <w:rPr>
          <w:spacing w:val="40"/>
        </w:rPr>
        <w:t> </w:t>
      </w:r>
      <w:r>
        <w:rPr/>
        <w:t>plinth/façade</w:t>
      </w:r>
      <w:r>
        <w:rPr>
          <w:spacing w:val="40"/>
        </w:rPr>
        <w:t> </w:t>
      </w:r>
      <w:r>
        <w:rPr/>
        <w:t>of</w:t>
      </w:r>
      <w:r>
        <w:rPr>
          <w:spacing w:val="40"/>
        </w:rPr>
        <w:t> </w:t>
      </w:r>
      <w:r>
        <w:rPr/>
        <w:t>building</w:t>
      </w:r>
      <w:r>
        <w:rPr>
          <w:spacing w:val="40"/>
        </w:rPr>
        <w:t> </w:t>
      </w:r>
      <w:r>
        <w:rPr/>
        <w:t>is</w:t>
      </w:r>
      <w:r>
        <w:rPr>
          <w:spacing w:val="40"/>
        </w:rPr>
        <w:t> </w:t>
      </w:r>
      <w:r>
        <w:rPr/>
        <w:t>required</w:t>
      </w:r>
      <w:r>
        <w:rPr>
          <w:spacing w:val="40"/>
        </w:rPr>
        <w:t> </w:t>
      </w:r>
      <w:r>
        <w:rPr/>
        <w:t>to</w:t>
      </w:r>
      <w:r>
        <w:rPr>
          <w:spacing w:val="40"/>
        </w:rPr>
        <w:t> </w:t>
      </w:r>
      <w:r>
        <w:rPr/>
        <w:t>be retained,</w:t>
      </w:r>
      <w:r>
        <w:rPr>
          <w:spacing w:val="40"/>
        </w:rPr>
        <w:t> </w:t>
      </w:r>
      <w:r>
        <w:rPr/>
        <w:t>requirement</w:t>
      </w:r>
      <w:r>
        <w:rPr>
          <w:spacing w:val="40"/>
        </w:rPr>
        <w:t> </w:t>
      </w:r>
      <w:r>
        <w:rPr/>
        <w:t>of</w:t>
      </w:r>
      <w:r>
        <w:rPr>
          <w:spacing w:val="40"/>
        </w:rPr>
        <w:t> </w:t>
      </w:r>
      <w:r>
        <w:rPr/>
        <w:t>additional</w:t>
      </w:r>
      <w:r>
        <w:rPr>
          <w:spacing w:val="40"/>
        </w:rPr>
        <w:t> </w:t>
      </w:r>
      <w:r>
        <w:rPr/>
        <w:t>parking</w:t>
      </w:r>
      <w:r>
        <w:rPr>
          <w:spacing w:val="40"/>
        </w:rPr>
        <w:t> </w:t>
      </w:r>
      <w:r>
        <w:rPr/>
        <w:t>spaces</w:t>
      </w:r>
      <w:r>
        <w:rPr>
          <w:spacing w:val="40"/>
        </w:rPr>
        <w:t> </w:t>
      </w:r>
      <w:r>
        <w:rPr/>
        <w:t>as</w:t>
      </w:r>
      <w:r>
        <w:rPr>
          <w:spacing w:val="40"/>
        </w:rPr>
        <w:t> </w:t>
      </w:r>
      <w:r>
        <w:rPr/>
        <w:t>per</w:t>
      </w:r>
      <w:r>
        <w:rPr>
          <w:spacing w:val="40"/>
        </w:rPr>
        <w:t> </w:t>
      </w:r>
      <w:r>
        <w:rPr/>
        <w:t>this Regulation,</w:t>
      </w:r>
      <w:r>
        <w:rPr>
          <w:spacing w:val="76"/>
        </w:rPr>
        <w:t> </w:t>
      </w:r>
      <w:r>
        <w:rPr/>
        <w:t>over</w:t>
      </w:r>
      <w:r>
        <w:rPr>
          <w:spacing w:val="75"/>
        </w:rPr>
        <w:t> </w:t>
      </w:r>
      <w:r>
        <w:rPr/>
        <w:t>and</w:t>
      </w:r>
      <w:r>
        <w:rPr>
          <w:spacing w:val="75"/>
        </w:rPr>
        <w:t> </w:t>
      </w:r>
      <w:r>
        <w:rPr/>
        <w:t>above</w:t>
      </w:r>
      <w:r>
        <w:rPr>
          <w:spacing w:val="80"/>
        </w:rPr>
        <w:t> </w:t>
      </w:r>
      <w:r>
        <w:rPr/>
        <w:t>the</w:t>
      </w:r>
      <w:r>
        <w:rPr>
          <w:spacing w:val="75"/>
        </w:rPr>
        <w:t> </w:t>
      </w:r>
      <w:r>
        <w:rPr/>
        <w:t>existing</w:t>
      </w:r>
      <w:r>
        <w:rPr>
          <w:spacing w:val="75"/>
        </w:rPr>
        <w:t> </w:t>
      </w:r>
      <w:r>
        <w:rPr/>
        <w:t>parking</w:t>
      </w:r>
      <w:r>
        <w:rPr>
          <w:spacing w:val="75"/>
        </w:rPr>
        <w:t> </w:t>
      </w:r>
      <w:r>
        <w:rPr/>
        <w:t>shall</w:t>
      </w:r>
      <w:r>
        <w:rPr>
          <w:spacing w:val="75"/>
        </w:rPr>
        <w:t> </w:t>
      </w:r>
      <w:r>
        <w:rPr/>
        <w:t>not</w:t>
      </w:r>
      <w:r>
        <w:rPr>
          <w:spacing w:val="75"/>
        </w:rPr>
        <w:t> </w:t>
      </w:r>
      <w:r>
        <w:rPr/>
        <w:t>be</w:t>
      </w:r>
      <w:r>
        <w:rPr>
          <w:spacing w:val="75"/>
        </w:rPr>
        <w:t> </w:t>
      </w:r>
      <w:r>
        <w:rPr/>
        <w:t>insisted.</w:t>
      </w:r>
    </w:p>
    <w:p>
      <w:pPr>
        <w:pStyle w:val="BodyText"/>
        <w:spacing w:before="1"/>
        <w:jc w:val="left"/>
      </w:pPr>
    </w:p>
    <w:p>
      <w:pPr>
        <w:pStyle w:val="ListParagraph"/>
        <w:numPr>
          <w:ilvl w:val="0"/>
          <w:numId w:val="306"/>
        </w:numPr>
        <w:tabs>
          <w:tab w:pos="1914" w:val="left" w:leader="none"/>
        </w:tabs>
        <w:spacing w:line="240" w:lineRule="auto" w:before="0" w:after="0"/>
        <w:ind w:left="1493" w:right="771" w:firstLine="0"/>
        <w:jc w:val="both"/>
        <w:rPr>
          <w:sz w:val="24"/>
        </w:rPr>
      </w:pPr>
      <w:r>
        <w:rPr>
          <w:sz w:val="24"/>
        </w:rPr>
        <w:t>The provision of parking spaces in case of redevelopment schemes underDCPR33(5),</w:t>
      </w:r>
      <w:r>
        <w:rPr>
          <w:spacing w:val="40"/>
          <w:sz w:val="24"/>
        </w:rPr>
        <w:t>  </w:t>
      </w:r>
      <w:r>
        <w:rPr>
          <w:sz w:val="24"/>
        </w:rPr>
        <w:t>33(6),</w:t>
      </w:r>
      <w:r>
        <w:rPr>
          <w:spacing w:val="40"/>
          <w:sz w:val="24"/>
        </w:rPr>
        <w:t>  </w:t>
      </w:r>
      <w:r>
        <w:rPr>
          <w:sz w:val="24"/>
        </w:rPr>
        <w:t>33(7),</w:t>
      </w:r>
      <w:r>
        <w:rPr>
          <w:spacing w:val="40"/>
          <w:sz w:val="24"/>
        </w:rPr>
        <w:t>  </w:t>
      </w:r>
      <w:r>
        <w:rPr>
          <w:sz w:val="24"/>
        </w:rPr>
        <w:t>33(7)(A),33(9),</w:t>
      </w:r>
      <w:r>
        <w:rPr>
          <w:spacing w:val="40"/>
          <w:sz w:val="24"/>
        </w:rPr>
        <w:t>  </w:t>
      </w:r>
      <w:r>
        <w:rPr>
          <w:spacing w:val="9"/>
          <w:sz w:val="24"/>
        </w:rPr>
        <w:t>33(9)(B),33(10),33(10)</w:t>
      </w:r>
    </w:p>
    <w:p>
      <w:pPr>
        <w:pStyle w:val="BodyText"/>
        <w:ind w:left="1493" w:right="782"/>
      </w:pPr>
      <w:r>
        <w:rPr/>
        <w:t>(A),33(11),33(15) &amp; 33(20) (A) where sale component is proposed in</w:t>
      </w:r>
      <w:r>
        <w:rPr>
          <w:spacing w:val="80"/>
        </w:rPr>
        <w:t> </w:t>
      </w:r>
      <w:r>
        <w:rPr/>
        <w:t>separate</w:t>
      </w:r>
      <w:r>
        <w:rPr>
          <w:spacing w:val="40"/>
        </w:rPr>
        <w:t> </w:t>
      </w:r>
      <w:r>
        <w:rPr/>
        <w:t>building</w:t>
      </w:r>
      <w:r>
        <w:rPr>
          <w:spacing w:val="40"/>
        </w:rPr>
        <w:t> </w:t>
      </w:r>
      <w:r>
        <w:rPr/>
        <w:t>or</w:t>
      </w:r>
      <w:r>
        <w:rPr>
          <w:spacing w:val="40"/>
        </w:rPr>
        <w:t> </w:t>
      </w:r>
      <w:r>
        <w:rPr/>
        <w:t>in</w:t>
      </w:r>
      <w:r>
        <w:rPr>
          <w:spacing w:val="40"/>
        </w:rPr>
        <w:t> </w:t>
      </w:r>
      <w:r>
        <w:rPr/>
        <w:t>case</w:t>
      </w:r>
      <w:r>
        <w:rPr>
          <w:spacing w:val="40"/>
        </w:rPr>
        <w:t> </w:t>
      </w:r>
      <w:r>
        <w:rPr/>
        <w:t>of</w:t>
      </w:r>
      <w:r>
        <w:rPr>
          <w:spacing w:val="40"/>
        </w:rPr>
        <w:t> </w:t>
      </w:r>
      <w:r>
        <w:rPr>
          <w:spacing w:val="10"/>
        </w:rPr>
        <w:t>non-</w:t>
      </w:r>
      <w:r>
        <w:rPr/>
        <w:t>composite</w:t>
      </w:r>
      <w:r>
        <w:rPr>
          <w:spacing w:val="40"/>
        </w:rPr>
        <w:t> </w:t>
      </w:r>
      <w:r>
        <w:rPr/>
        <w:t>building,</w:t>
      </w:r>
      <w:r>
        <w:rPr>
          <w:spacing w:val="40"/>
        </w:rPr>
        <w:t> </w:t>
      </w:r>
      <w:r>
        <w:rPr/>
        <w:t>may</w:t>
      </w:r>
      <w:r>
        <w:rPr>
          <w:spacing w:val="40"/>
        </w:rPr>
        <w:t> </w:t>
      </w:r>
      <w:r>
        <w:rPr/>
        <w:t>be</w:t>
      </w:r>
      <w:r>
        <w:rPr>
          <w:spacing w:val="40"/>
        </w:rPr>
        <w:t> </w:t>
      </w:r>
      <w:r>
        <w:rPr/>
        <w:t>allowed as per the regular </w:t>
      </w:r>
      <w:r>
        <w:rPr>
          <w:spacing w:val="9"/>
        </w:rPr>
        <w:t>development.</w:t>
      </w:r>
    </w:p>
    <w:p>
      <w:pPr>
        <w:pStyle w:val="ListParagraph"/>
        <w:numPr>
          <w:ilvl w:val="0"/>
          <w:numId w:val="306"/>
        </w:numPr>
        <w:tabs>
          <w:tab w:pos="1969" w:val="left" w:leader="none"/>
        </w:tabs>
        <w:spacing w:line="240" w:lineRule="auto" w:before="0" w:after="0"/>
        <w:ind w:left="1493" w:right="783" w:firstLine="0"/>
        <w:jc w:val="both"/>
        <w:rPr>
          <w:sz w:val="24"/>
        </w:rPr>
      </w:pPr>
      <w:r>
        <w:rPr>
          <w:sz w:val="24"/>
        </w:rPr>
        <w:t>In</w:t>
      </w:r>
      <w:r>
        <w:rPr>
          <w:spacing w:val="35"/>
          <w:sz w:val="24"/>
        </w:rPr>
        <w:t> </w:t>
      </w:r>
      <w:r>
        <w:rPr>
          <w:sz w:val="24"/>
        </w:rPr>
        <w:t>case</w:t>
      </w:r>
      <w:r>
        <w:rPr>
          <w:spacing w:val="35"/>
          <w:sz w:val="24"/>
        </w:rPr>
        <w:t> </w:t>
      </w:r>
      <w:r>
        <w:rPr>
          <w:sz w:val="24"/>
        </w:rPr>
        <w:t>of</w:t>
      </w:r>
      <w:r>
        <w:rPr>
          <w:spacing w:val="35"/>
          <w:sz w:val="24"/>
        </w:rPr>
        <w:t> </w:t>
      </w:r>
      <w:r>
        <w:rPr>
          <w:sz w:val="24"/>
        </w:rPr>
        <w:t>uses</w:t>
      </w:r>
      <w:r>
        <w:rPr>
          <w:spacing w:val="39"/>
          <w:sz w:val="24"/>
        </w:rPr>
        <w:t> </w:t>
      </w:r>
      <w:r>
        <w:rPr>
          <w:sz w:val="24"/>
        </w:rPr>
        <w:t>of</w:t>
      </w:r>
      <w:r>
        <w:rPr>
          <w:spacing w:val="35"/>
          <w:sz w:val="24"/>
        </w:rPr>
        <w:t> </w:t>
      </w:r>
      <w:r>
        <w:rPr>
          <w:sz w:val="24"/>
        </w:rPr>
        <w:t>Data</w:t>
      </w:r>
      <w:r>
        <w:rPr>
          <w:spacing w:val="35"/>
          <w:sz w:val="24"/>
        </w:rPr>
        <w:t> </w:t>
      </w:r>
      <w:r>
        <w:rPr>
          <w:sz w:val="24"/>
        </w:rPr>
        <w:t>Centre,</w:t>
      </w:r>
      <w:r>
        <w:rPr>
          <w:spacing w:val="35"/>
          <w:sz w:val="24"/>
        </w:rPr>
        <w:t> </w:t>
      </w:r>
      <w:r>
        <w:rPr>
          <w:sz w:val="24"/>
        </w:rPr>
        <w:t>Data</w:t>
      </w:r>
      <w:r>
        <w:rPr>
          <w:spacing w:val="35"/>
          <w:sz w:val="24"/>
        </w:rPr>
        <w:t> </w:t>
      </w:r>
      <w:r>
        <w:rPr>
          <w:sz w:val="24"/>
        </w:rPr>
        <w:t>ware</w:t>
      </w:r>
      <w:r>
        <w:rPr>
          <w:spacing w:val="9"/>
          <w:sz w:val="24"/>
        </w:rPr>
        <w:t> houses, </w:t>
      </w:r>
      <w:r>
        <w:rPr>
          <w:sz w:val="24"/>
        </w:rPr>
        <w:t>the</w:t>
      </w:r>
      <w:r>
        <w:rPr>
          <w:spacing w:val="39"/>
          <w:sz w:val="24"/>
        </w:rPr>
        <w:t> </w:t>
      </w:r>
      <w:r>
        <w:rPr>
          <w:sz w:val="24"/>
        </w:rPr>
        <w:t>requirements of the parking to the extent of 50% as stated in this regulation shall be permissible.</w:t>
      </w:r>
      <w:r>
        <w:rPr>
          <w:spacing w:val="80"/>
          <w:sz w:val="24"/>
        </w:rPr>
        <w:t> </w:t>
      </w:r>
      <w:r>
        <w:rPr>
          <w:sz w:val="24"/>
        </w:rPr>
        <w:t>However, in</w:t>
      </w:r>
      <w:r>
        <w:rPr>
          <w:spacing w:val="40"/>
          <w:sz w:val="24"/>
        </w:rPr>
        <w:t> </w:t>
      </w:r>
      <w:r>
        <w:rPr>
          <w:sz w:val="24"/>
        </w:rPr>
        <w:t>future if</w:t>
      </w:r>
      <w:r>
        <w:rPr>
          <w:spacing w:val="40"/>
          <w:sz w:val="24"/>
        </w:rPr>
        <w:t> </w:t>
      </w:r>
      <w:r>
        <w:rPr>
          <w:sz w:val="24"/>
        </w:rPr>
        <w:t>change of</w:t>
      </w:r>
      <w:r>
        <w:rPr>
          <w:spacing w:val="40"/>
          <w:sz w:val="24"/>
        </w:rPr>
        <w:t> </w:t>
      </w:r>
      <w:r>
        <w:rPr>
          <w:sz w:val="24"/>
        </w:rPr>
        <w:t>user/activity is sought</w:t>
      </w:r>
      <w:r>
        <w:rPr>
          <w:spacing w:val="40"/>
          <w:sz w:val="24"/>
        </w:rPr>
        <w:t> </w:t>
      </w:r>
      <w:r>
        <w:rPr>
          <w:sz w:val="24"/>
        </w:rPr>
        <w:t>in such</w:t>
      </w:r>
      <w:r>
        <w:rPr>
          <w:spacing w:val="40"/>
          <w:sz w:val="24"/>
        </w:rPr>
        <w:t> </w:t>
      </w:r>
      <w:r>
        <w:rPr>
          <w:sz w:val="24"/>
        </w:rPr>
        <w:t>case</w:t>
      </w:r>
      <w:r>
        <w:rPr>
          <w:spacing w:val="40"/>
          <w:sz w:val="24"/>
        </w:rPr>
        <w:t> </w:t>
      </w:r>
      <w:r>
        <w:rPr>
          <w:sz w:val="24"/>
        </w:rPr>
        <w:t>then</w:t>
      </w:r>
      <w:r>
        <w:rPr>
          <w:spacing w:val="40"/>
          <w:sz w:val="24"/>
        </w:rPr>
        <w:t> </w:t>
      </w:r>
      <w:r>
        <w:rPr>
          <w:sz w:val="24"/>
        </w:rPr>
        <w:t>provision</w:t>
      </w:r>
      <w:r>
        <w:rPr>
          <w:spacing w:val="40"/>
          <w:sz w:val="24"/>
        </w:rPr>
        <w:t> </w:t>
      </w:r>
      <w:r>
        <w:rPr>
          <w:sz w:val="24"/>
        </w:rPr>
        <w:t>of</w:t>
      </w:r>
      <w:r>
        <w:rPr>
          <w:spacing w:val="40"/>
          <w:sz w:val="24"/>
        </w:rPr>
        <w:t> </w:t>
      </w:r>
      <w:r>
        <w:rPr>
          <w:sz w:val="24"/>
        </w:rPr>
        <w:t>parking</w:t>
      </w:r>
      <w:r>
        <w:rPr>
          <w:spacing w:val="40"/>
          <w:sz w:val="24"/>
        </w:rPr>
        <w:t> </w:t>
      </w:r>
      <w:r>
        <w:rPr>
          <w:sz w:val="24"/>
        </w:rPr>
        <w:t>requirement</w:t>
      </w:r>
      <w:r>
        <w:rPr>
          <w:spacing w:val="40"/>
          <w:sz w:val="24"/>
        </w:rPr>
        <w:t> </w:t>
      </w:r>
      <w:r>
        <w:rPr>
          <w:sz w:val="24"/>
        </w:rPr>
        <w:t>as</w:t>
      </w:r>
      <w:r>
        <w:rPr>
          <w:spacing w:val="40"/>
          <w:sz w:val="24"/>
        </w:rPr>
        <w:t> </w:t>
      </w:r>
      <w:r>
        <w:rPr>
          <w:sz w:val="24"/>
        </w:rPr>
        <w:t>per</w:t>
      </w:r>
      <w:r>
        <w:rPr>
          <w:spacing w:val="40"/>
          <w:sz w:val="24"/>
        </w:rPr>
        <w:t> </w:t>
      </w:r>
      <w:r>
        <w:rPr>
          <w:sz w:val="24"/>
        </w:rPr>
        <w:t>this</w:t>
      </w:r>
      <w:r>
        <w:rPr>
          <w:spacing w:val="40"/>
          <w:sz w:val="24"/>
        </w:rPr>
        <w:t> </w:t>
      </w:r>
      <w:r>
        <w:rPr>
          <w:sz w:val="24"/>
        </w:rPr>
        <w:t>regulation will have to be </w:t>
      </w:r>
      <w:r>
        <w:rPr>
          <w:spacing w:val="9"/>
          <w:sz w:val="24"/>
        </w:rPr>
        <w:t>provided.</w:t>
      </w:r>
    </w:p>
    <w:p>
      <w:pPr>
        <w:pStyle w:val="ListParagraph"/>
        <w:numPr>
          <w:ilvl w:val="0"/>
          <w:numId w:val="306"/>
        </w:numPr>
        <w:tabs>
          <w:tab w:pos="2026" w:val="left" w:leader="none"/>
        </w:tabs>
        <w:spacing w:line="240" w:lineRule="auto" w:before="1" w:after="0"/>
        <w:ind w:left="1481" w:right="797" w:firstLine="0"/>
        <w:jc w:val="both"/>
        <w:rPr>
          <w:sz w:val="24"/>
        </w:rPr>
      </w:pPr>
      <w:r>
        <w:rPr>
          <w:sz w:val="24"/>
        </w:rPr>
        <w:t>In case of educational Institutional buildings Sr. No 2 of Table 21, school bus parking (3.75 m x7.5 m each) at the rate of 1 bus for 40</w:t>
      </w:r>
      <w:r>
        <w:rPr>
          <w:spacing w:val="40"/>
          <w:sz w:val="24"/>
        </w:rPr>
        <w:t> </w:t>
      </w:r>
      <w:r>
        <w:rPr>
          <w:sz w:val="24"/>
        </w:rPr>
        <w:t>Number</w:t>
      </w:r>
      <w:r>
        <w:rPr>
          <w:spacing w:val="40"/>
          <w:sz w:val="24"/>
        </w:rPr>
        <w:t> </w:t>
      </w:r>
      <w:r>
        <w:rPr>
          <w:sz w:val="24"/>
        </w:rPr>
        <w:t>of</w:t>
      </w:r>
      <w:r>
        <w:rPr>
          <w:spacing w:val="40"/>
          <w:sz w:val="24"/>
        </w:rPr>
        <w:t> </w:t>
      </w:r>
      <w:r>
        <w:rPr>
          <w:sz w:val="24"/>
        </w:rPr>
        <w:t>students</w:t>
      </w:r>
      <w:r>
        <w:rPr>
          <w:spacing w:val="40"/>
          <w:sz w:val="24"/>
        </w:rPr>
        <w:t> </w:t>
      </w:r>
      <w:r>
        <w:rPr>
          <w:sz w:val="24"/>
        </w:rPr>
        <w:t>for</w:t>
      </w:r>
      <w:r>
        <w:rPr>
          <w:spacing w:val="40"/>
          <w:sz w:val="24"/>
        </w:rPr>
        <w:t> </w:t>
      </w:r>
      <w:r>
        <w:rPr>
          <w:sz w:val="24"/>
        </w:rPr>
        <w:t>50%</w:t>
      </w:r>
      <w:r>
        <w:rPr>
          <w:spacing w:val="40"/>
          <w:sz w:val="24"/>
        </w:rPr>
        <w:t> </w:t>
      </w:r>
      <w:r>
        <w:rPr>
          <w:sz w:val="24"/>
        </w:rPr>
        <w:t>strength</w:t>
      </w:r>
      <w:r>
        <w:rPr>
          <w:spacing w:val="40"/>
          <w:sz w:val="24"/>
        </w:rPr>
        <w:t> </w:t>
      </w:r>
      <w:r>
        <w:rPr>
          <w:sz w:val="24"/>
        </w:rPr>
        <w:t>of</w:t>
      </w:r>
      <w:r>
        <w:rPr>
          <w:spacing w:val="40"/>
          <w:sz w:val="24"/>
        </w:rPr>
        <w:t> </w:t>
      </w:r>
      <w:r>
        <w:rPr>
          <w:sz w:val="24"/>
        </w:rPr>
        <w:t>students</w:t>
      </w:r>
      <w:r>
        <w:rPr>
          <w:spacing w:val="40"/>
          <w:sz w:val="24"/>
        </w:rPr>
        <w:t> </w:t>
      </w:r>
      <w:r>
        <w:rPr>
          <w:sz w:val="24"/>
        </w:rPr>
        <w:t>may</w:t>
      </w:r>
      <w:r>
        <w:rPr>
          <w:spacing w:val="40"/>
          <w:sz w:val="24"/>
        </w:rPr>
        <w:t> </w:t>
      </w:r>
      <w:r>
        <w:rPr>
          <w:sz w:val="24"/>
        </w:rPr>
        <w:t>be</w:t>
      </w:r>
      <w:r>
        <w:rPr>
          <w:spacing w:val="40"/>
          <w:sz w:val="24"/>
        </w:rPr>
        <w:t> </w:t>
      </w:r>
      <w:r>
        <w:rPr>
          <w:sz w:val="24"/>
        </w:rPr>
        <w:t>provided</w:t>
      </w:r>
      <w:r>
        <w:rPr>
          <w:spacing w:val="40"/>
          <w:sz w:val="24"/>
        </w:rPr>
        <w:t> </w:t>
      </w:r>
      <w:r>
        <w:rPr>
          <w:sz w:val="24"/>
        </w:rPr>
        <w:t>at the option of</w:t>
      </w:r>
      <w:r>
        <w:rPr>
          <w:spacing w:val="40"/>
          <w:sz w:val="24"/>
        </w:rPr>
        <w:t> </w:t>
      </w:r>
      <w:r>
        <w:rPr>
          <w:sz w:val="24"/>
        </w:rPr>
        <w:t>owner/ </w:t>
      </w:r>
      <w:r>
        <w:rPr>
          <w:spacing w:val="9"/>
          <w:sz w:val="24"/>
        </w:rPr>
        <w:t>developer.</w:t>
      </w:r>
    </w:p>
    <w:p>
      <w:pPr>
        <w:pStyle w:val="BodyText"/>
        <w:spacing w:before="281"/>
        <w:jc w:val="left"/>
      </w:pPr>
    </w:p>
    <w:p>
      <w:pPr>
        <w:pStyle w:val="ListParagraph"/>
        <w:numPr>
          <w:ilvl w:val="1"/>
          <w:numId w:val="263"/>
        </w:numPr>
        <w:tabs>
          <w:tab w:pos="2210" w:val="left" w:leader="none"/>
        </w:tabs>
        <w:spacing w:line="240" w:lineRule="auto" w:before="0" w:after="0"/>
        <w:ind w:left="1493" w:right="778" w:firstLine="0"/>
        <w:jc w:val="both"/>
        <w:rPr>
          <w:i/>
          <w:sz w:val="24"/>
        </w:rPr>
      </w:pPr>
      <w:r>
        <w:rPr>
          <w:sz w:val="24"/>
        </w:rPr>
        <w:t>Other</w:t>
      </w:r>
      <w:r>
        <w:rPr>
          <w:spacing w:val="40"/>
          <w:sz w:val="24"/>
        </w:rPr>
        <w:t> </w:t>
      </w:r>
      <w:r>
        <w:rPr>
          <w:spacing w:val="9"/>
          <w:sz w:val="24"/>
        </w:rPr>
        <w:t>vehicles-</w:t>
      </w:r>
      <w:r>
        <w:rPr>
          <w:sz w:val="24"/>
        </w:rPr>
        <w:t>For</w:t>
      </w:r>
      <w:r>
        <w:rPr>
          <w:spacing w:val="40"/>
          <w:sz w:val="24"/>
        </w:rPr>
        <w:t> </w:t>
      </w:r>
      <w:r>
        <w:rPr>
          <w:sz w:val="24"/>
        </w:rPr>
        <w:t>all</w:t>
      </w:r>
      <w:r>
        <w:rPr>
          <w:spacing w:val="40"/>
          <w:sz w:val="24"/>
        </w:rPr>
        <w:t> </w:t>
      </w:r>
      <w:r>
        <w:rPr>
          <w:spacing w:val="10"/>
          <w:sz w:val="24"/>
        </w:rPr>
        <w:t>non-</w:t>
      </w:r>
      <w:r>
        <w:rPr>
          <w:sz w:val="24"/>
        </w:rPr>
        <w:t>residential,</w:t>
      </w:r>
      <w:r>
        <w:rPr>
          <w:spacing w:val="40"/>
          <w:sz w:val="24"/>
        </w:rPr>
        <w:t> </w:t>
      </w:r>
      <w:r>
        <w:rPr>
          <w:sz w:val="24"/>
        </w:rPr>
        <w:t>assembly</w:t>
      </w:r>
      <w:r>
        <w:rPr>
          <w:spacing w:val="40"/>
          <w:sz w:val="24"/>
        </w:rPr>
        <w:t> </w:t>
      </w:r>
      <w:r>
        <w:rPr>
          <w:sz w:val="24"/>
        </w:rPr>
        <w:t>and</w:t>
      </w:r>
      <w:r>
        <w:rPr>
          <w:spacing w:val="40"/>
          <w:sz w:val="24"/>
        </w:rPr>
        <w:t> </w:t>
      </w:r>
      <w:r>
        <w:rPr>
          <w:spacing w:val="9"/>
          <w:sz w:val="24"/>
        </w:rPr>
        <w:t>non- </w:t>
      </w:r>
      <w:r>
        <w:rPr>
          <w:sz w:val="24"/>
        </w:rPr>
        <w:t>assembly</w:t>
      </w:r>
      <w:r>
        <w:rPr>
          <w:spacing w:val="78"/>
          <w:sz w:val="24"/>
        </w:rPr>
        <w:t> </w:t>
      </w:r>
      <w:r>
        <w:rPr>
          <w:sz w:val="24"/>
        </w:rPr>
        <w:t>occupancies,</w:t>
      </w:r>
      <w:r>
        <w:rPr>
          <w:spacing w:val="78"/>
          <w:sz w:val="24"/>
        </w:rPr>
        <w:t> </w:t>
      </w:r>
      <w:r>
        <w:rPr>
          <w:sz w:val="24"/>
        </w:rPr>
        <w:t>10</w:t>
      </w:r>
      <w:r>
        <w:rPr>
          <w:spacing w:val="78"/>
          <w:sz w:val="24"/>
        </w:rPr>
        <w:t> </w:t>
      </w:r>
      <w:r>
        <w:rPr>
          <w:sz w:val="24"/>
        </w:rPr>
        <w:t>per</w:t>
      </w:r>
      <w:r>
        <w:rPr>
          <w:spacing w:val="78"/>
          <w:sz w:val="24"/>
        </w:rPr>
        <w:t> </w:t>
      </w:r>
      <w:r>
        <w:rPr>
          <w:sz w:val="24"/>
        </w:rPr>
        <w:t>cent</w:t>
      </w:r>
      <w:r>
        <w:rPr>
          <w:spacing w:val="78"/>
          <w:sz w:val="24"/>
        </w:rPr>
        <w:t> </w:t>
      </w:r>
      <w:r>
        <w:rPr>
          <w:sz w:val="24"/>
        </w:rPr>
        <w:t>additional</w:t>
      </w:r>
      <w:r>
        <w:rPr>
          <w:spacing w:val="78"/>
          <w:sz w:val="24"/>
        </w:rPr>
        <w:t> </w:t>
      </w:r>
      <w:r>
        <w:rPr>
          <w:sz w:val="24"/>
        </w:rPr>
        <w:t>parking</w:t>
      </w:r>
      <w:r>
        <w:rPr>
          <w:spacing w:val="78"/>
          <w:sz w:val="24"/>
        </w:rPr>
        <w:t> </w:t>
      </w:r>
      <w:r>
        <w:rPr>
          <w:sz w:val="24"/>
        </w:rPr>
        <w:t>spaces,</w:t>
      </w:r>
      <w:r>
        <w:rPr>
          <w:spacing w:val="78"/>
          <w:sz w:val="24"/>
        </w:rPr>
        <w:t> </w:t>
      </w:r>
      <w:r>
        <w:rPr>
          <w:spacing w:val="9"/>
          <w:sz w:val="24"/>
        </w:rPr>
        <w:t>subject </w:t>
      </w:r>
      <w:r>
        <w:rPr>
          <w:sz w:val="24"/>
        </w:rPr>
        <w:t>to a minimum of two spaces shall be provided in addition to what is prescribed in these </w:t>
      </w:r>
      <w:r>
        <w:rPr>
          <w:spacing w:val="9"/>
          <w:sz w:val="24"/>
        </w:rPr>
        <w:t>Regulations.</w:t>
      </w:r>
    </w:p>
    <w:p>
      <w:pPr>
        <w:pStyle w:val="BodyText"/>
        <w:jc w:val="left"/>
      </w:pPr>
    </w:p>
    <w:p>
      <w:pPr>
        <w:pStyle w:val="ListParagraph"/>
        <w:numPr>
          <w:ilvl w:val="1"/>
          <w:numId w:val="263"/>
        </w:numPr>
        <w:tabs>
          <w:tab w:pos="2297" w:val="left" w:leader="none"/>
        </w:tabs>
        <w:spacing w:line="240" w:lineRule="auto" w:before="0" w:after="0"/>
        <w:ind w:left="1493" w:right="785" w:firstLine="0"/>
        <w:jc w:val="both"/>
        <w:rPr>
          <w:i/>
          <w:sz w:val="24"/>
        </w:rPr>
      </w:pPr>
      <w:r>
        <w:rPr>
          <w:sz w:val="24"/>
        </w:rPr>
        <w:t>Two</w:t>
      </w:r>
      <w:r>
        <w:rPr>
          <w:spacing w:val="40"/>
          <w:sz w:val="24"/>
        </w:rPr>
        <w:t> </w:t>
      </w:r>
      <w:r>
        <w:rPr>
          <w:sz w:val="24"/>
        </w:rPr>
        <w:t>wheeled</w:t>
      </w:r>
      <w:r>
        <w:rPr>
          <w:spacing w:val="40"/>
          <w:sz w:val="24"/>
        </w:rPr>
        <w:t> </w:t>
      </w:r>
      <w:r>
        <w:rPr>
          <w:sz w:val="24"/>
        </w:rPr>
        <w:t>motor</w:t>
      </w:r>
      <w:r>
        <w:rPr>
          <w:spacing w:val="40"/>
          <w:sz w:val="24"/>
        </w:rPr>
        <w:t> </w:t>
      </w:r>
      <w:r>
        <w:rPr>
          <w:sz w:val="24"/>
        </w:rPr>
        <w:t>cycle</w:t>
      </w:r>
      <w:r>
        <w:rPr>
          <w:spacing w:val="40"/>
          <w:sz w:val="24"/>
        </w:rPr>
        <w:t> </w:t>
      </w:r>
      <w:r>
        <w:rPr>
          <w:sz w:val="24"/>
        </w:rPr>
        <w:t>-</w:t>
      </w:r>
      <w:r>
        <w:rPr>
          <w:spacing w:val="40"/>
          <w:sz w:val="24"/>
        </w:rPr>
        <w:t> </w:t>
      </w:r>
      <w:r>
        <w:rPr>
          <w:sz w:val="24"/>
        </w:rPr>
        <w:t>Two</w:t>
      </w:r>
      <w:r>
        <w:rPr>
          <w:spacing w:val="40"/>
          <w:sz w:val="24"/>
        </w:rPr>
        <w:t> </w:t>
      </w:r>
      <w:r>
        <w:rPr>
          <w:sz w:val="24"/>
        </w:rPr>
        <w:t>wheeled</w:t>
      </w:r>
      <w:r>
        <w:rPr>
          <w:spacing w:val="40"/>
          <w:sz w:val="24"/>
        </w:rPr>
        <w:t> </w:t>
      </w:r>
      <w:r>
        <w:rPr>
          <w:sz w:val="24"/>
        </w:rPr>
        <w:t>motor</w:t>
      </w:r>
      <w:r>
        <w:rPr>
          <w:spacing w:val="40"/>
          <w:sz w:val="24"/>
        </w:rPr>
        <w:t> </w:t>
      </w:r>
      <w:r>
        <w:rPr>
          <w:sz w:val="24"/>
        </w:rPr>
        <w:t>cycle</w:t>
      </w:r>
      <w:r>
        <w:rPr>
          <w:spacing w:val="40"/>
          <w:sz w:val="24"/>
        </w:rPr>
        <w:t> </w:t>
      </w:r>
      <w:r>
        <w:rPr>
          <w:sz w:val="24"/>
        </w:rPr>
        <w:t>parking</w:t>
      </w:r>
      <w:r>
        <w:rPr>
          <w:spacing w:val="40"/>
          <w:sz w:val="24"/>
        </w:rPr>
        <w:t> </w:t>
      </w:r>
      <w:r>
        <w:rPr>
          <w:sz w:val="24"/>
        </w:rPr>
        <w:t>space</w:t>
      </w:r>
      <w:r>
        <w:rPr>
          <w:spacing w:val="40"/>
          <w:sz w:val="24"/>
        </w:rPr>
        <w:t> </w:t>
      </w:r>
      <w:r>
        <w:rPr>
          <w:sz w:val="24"/>
        </w:rPr>
        <w:t>one</w:t>
      </w:r>
      <w:r>
        <w:rPr>
          <w:spacing w:val="40"/>
          <w:sz w:val="24"/>
        </w:rPr>
        <w:t> </w:t>
      </w:r>
      <w:r>
        <w:rPr>
          <w:sz w:val="24"/>
        </w:rPr>
        <w:t>for</w:t>
      </w:r>
      <w:r>
        <w:rPr>
          <w:spacing w:val="40"/>
          <w:sz w:val="24"/>
        </w:rPr>
        <w:t> </w:t>
      </w:r>
      <w:r>
        <w:rPr>
          <w:sz w:val="24"/>
        </w:rPr>
        <w:t>every</w:t>
      </w:r>
      <w:r>
        <w:rPr>
          <w:spacing w:val="40"/>
          <w:sz w:val="24"/>
        </w:rPr>
        <w:t> </w:t>
      </w:r>
      <w:r>
        <w:rPr>
          <w:sz w:val="24"/>
        </w:rPr>
        <w:t>two</w:t>
      </w:r>
      <w:r>
        <w:rPr>
          <w:spacing w:val="40"/>
          <w:sz w:val="24"/>
        </w:rPr>
        <w:t> </w:t>
      </w:r>
      <w:r>
        <w:rPr>
          <w:sz w:val="24"/>
        </w:rPr>
        <w:t>residential</w:t>
      </w:r>
      <w:r>
        <w:rPr>
          <w:spacing w:val="40"/>
          <w:sz w:val="24"/>
        </w:rPr>
        <w:t> </w:t>
      </w:r>
      <w:r>
        <w:rPr>
          <w:spacing w:val="9"/>
          <w:sz w:val="24"/>
        </w:rPr>
        <w:t>tenements</w:t>
      </w:r>
      <w:r>
        <w:rPr>
          <w:spacing w:val="40"/>
          <w:sz w:val="24"/>
        </w:rPr>
        <w:t> </w:t>
      </w:r>
      <w:r>
        <w:rPr>
          <w:sz w:val="24"/>
        </w:rPr>
        <w:t>may</w:t>
      </w:r>
      <w:r>
        <w:rPr>
          <w:spacing w:val="40"/>
          <w:sz w:val="24"/>
        </w:rPr>
        <w:t> </w:t>
      </w:r>
      <w:r>
        <w:rPr>
          <w:sz w:val="24"/>
        </w:rPr>
        <w:t>be</w:t>
      </w:r>
      <w:r>
        <w:rPr>
          <w:spacing w:val="40"/>
          <w:sz w:val="24"/>
        </w:rPr>
        <w:t> </w:t>
      </w:r>
      <w:r>
        <w:rPr>
          <w:sz w:val="24"/>
        </w:rPr>
        <w:t>provided.</w:t>
      </w:r>
      <w:r>
        <w:rPr>
          <w:spacing w:val="40"/>
          <w:sz w:val="24"/>
        </w:rPr>
        <w:t> </w:t>
      </w:r>
      <w:r>
        <w:rPr>
          <w:sz w:val="24"/>
        </w:rPr>
        <w:t>For other occupancies, two wheeled motor cycle parking space equal to the required</w:t>
      </w:r>
      <w:r>
        <w:rPr>
          <w:spacing w:val="40"/>
          <w:sz w:val="24"/>
        </w:rPr>
        <w:t> </w:t>
      </w:r>
      <w:r>
        <w:rPr>
          <w:sz w:val="24"/>
        </w:rPr>
        <w:t>number</w:t>
      </w:r>
      <w:r>
        <w:rPr>
          <w:spacing w:val="40"/>
          <w:sz w:val="24"/>
        </w:rPr>
        <w:t> </w:t>
      </w:r>
      <w:r>
        <w:rPr>
          <w:sz w:val="24"/>
        </w:rPr>
        <w:t>of</w:t>
      </w:r>
      <w:r>
        <w:rPr>
          <w:spacing w:val="40"/>
          <w:sz w:val="24"/>
        </w:rPr>
        <w:t> </w:t>
      </w:r>
      <w:r>
        <w:rPr>
          <w:sz w:val="24"/>
        </w:rPr>
        <w:t>four</w:t>
      </w:r>
      <w:r>
        <w:rPr>
          <w:spacing w:val="40"/>
          <w:sz w:val="24"/>
        </w:rPr>
        <w:t> </w:t>
      </w:r>
      <w:r>
        <w:rPr>
          <w:sz w:val="24"/>
        </w:rPr>
        <w:t>wheeled</w:t>
      </w:r>
      <w:r>
        <w:rPr>
          <w:spacing w:val="40"/>
          <w:sz w:val="24"/>
        </w:rPr>
        <w:t> </w:t>
      </w:r>
      <w:r>
        <w:rPr>
          <w:sz w:val="24"/>
        </w:rPr>
        <w:t>parking</w:t>
      </w:r>
      <w:r>
        <w:rPr>
          <w:spacing w:val="40"/>
          <w:sz w:val="24"/>
        </w:rPr>
        <w:t> </w:t>
      </w:r>
      <w:r>
        <w:rPr>
          <w:sz w:val="24"/>
        </w:rPr>
        <w:t>spaces</w:t>
      </w:r>
      <w:r>
        <w:rPr>
          <w:spacing w:val="40"/>
          <w:sz w:val="24"/>
        </w:rPr>
        <w:t> </w:t>
      </w:r>
      <w:r>
        <w:rPr>
          <w:sz w:val="24"/>
        </w:rPr>
        <w:t>may</w:t>
      </w:r>
      <w:r>
        <w:rPr>
          <w:spacing w:val="40"/>
          <w:sz w:val="24"/>
        </w:rPr>
        <w:t> </w:t>
      </w:r>
      <w:r>
        <w:rPr>
          <w:sz w:val="24"/>
        </w:rPr>
        <w:t>be</w:t>
      </w:r>
      <w:r>
        <w:rPr>
          <w:spacing w:val="40"/>
          <w:sz w:val="24"/>
        </w:rPr>
        <w:t> </w:t>
      </w:r>
      <w:r>
        <w:rPr>
          <w:sz w:val="24"/>
        </w:rPr>
        <w:t>provided.</w:t>
      </w:r>
      <w:r>
        <w:rPr>
          <w:spacing w:val="40"/>
          <w:sz w:val="24"/>
        </w:rPr>
        <w:t> </w:t>
      </w:r>
      <w:r>
        <w:rPr>
          <w:sz w:val="24"/>
        </w:rPr>
        <w:t>If such</w:t>
      </w:r>
      <w:r>
        <w:rPr>
          <w:spacing w:val="40"/>
          <w:sz w:val="24"/>
        </w:rPr>
        <w:t> </w:t>
      </w:r>
      <w:r>
        <w:rPr>
          <w:sz w:val="24"/>
        </w:rPr>
        <w:t>parking</w:t>
      </w:r>
      <w:r>
        <w:rPr>
          <w:spacing w:val="40"/>
          <w:sz w:val="24"/>
        </w:rPr>
        <w:t> </w:t>
      </w:r>
      <w:r>
        <w:rPr>
          <w:sz w:val="24"/>
        </w:rPr>
        <w:t>for</w:t>
      </w:r>
      <w:r>
        <w:rPr>
          <w:spacing w:val="40"/>
          <w:sz w:val="24"/>
        </w:rPr>
        <w:t> </w:t>
      </w:r>
      <w:r>
        <w:rPr>
          <w:sz w:val="24"/>
        </w:rPr>
        <w:t>two</w:t>
      </w:r>
      <w:r>
        <w:rPr>
          <w:spacing w:val="40"/>
          <w:sz w:val="24"/>
        </w:rPr>
        <w:t> </w:t>
      </w:r>
      <w:r>
        <w:rPr>
          <w:sz w:val="24"/>
        </w:rPr>
        <w:t>wheeled</w:t>
      </w:r>
      <w:r>
        <w:rPr>
          <w:spacing w:val="40"/>
          <w:sz w:val="24"/>
        </w:rPr>
        <w:t> </w:t>
      </w:r>
      <w:r>
        <w:rPr>
          <w:sz w:val="24"/>
        </w:rPr>
        <w:t>motor</w:t>
      </w:r>
      <w:r>
        <w:rPr>
          <w:spacing w:val="76"/>
          <w:sz w:val="24"/>
        </w:rPr>
        <w:t> </w:t>
      </w:r>
      <w:r>
        <w:rPr>
          <w:sz w:val="24"/>
        </w:rPr>
        <w:t>cycle</w:t>
      </w:r>
      <w:r>
        <w:rPr>
          <w:spacing w:val="40"/>
          <w:sz w:val="24"/>
        </w:rPr>
        <w:t> </w:t>
      </w:r>
      <w:r>
        <w:rPr>
          <w:sz w:val="24"/>
        </w:rPr>
        <w:t>is</w:t>
      </w:r>
      <w:r>
        <w:rPr>
          <w:spacing w:val="40"/>
          <w:sz w:val="24"/>
        </w:rPr>
        <w:t> </w:t>
      </w:r>
      <w:r>
        <w:rPr>
          <w:sz w:val="24"/>
        </w:rPr>
        <w:t>proposed,</w:t>
      </w:r>
      <w:r>
        <w:rPr>
          <w:spacing w:val="74"/>
          <w:sz w:val="24"/>
        </w:rPr>
        <w:t> </w:t>
      </w:r>
      <w:r>
        <w:rPr>
          <w:sz w:val="24"/>
        </w:rPr>
        <w:t>the</w:t>
      </w:r>
      <w:r>
        <w:rPr>
          <w:spacing w:val="40"/>
          <w:sz w:val="24"/>
        </w:rPr>
        <w:t> </w:t>
      </w:r>
      <w:r>
        <w:rPr>
          <w:sz w:val="24"/>
        </w:rPr>
        <w:t>same</w:t>
      </w:r>
      <w:r>
        <w:rPr>
          <w:spacing w:val="40"/>
          <w:sz w:val="24"/>
        </w:rPr>
        <w:t> </w:t>
      </w:r>
      <w:r>
        <w:rPr>
          <w:sz w:val="24"/>
        </w:rPr>
        <w:t>may</w:t>
      </w:r>
      <w:r>
        <w:rPr>
          <w:spacing w:val="40"/>
          <w:sz w:val="24"/>
        </w:rPr>
        <w:t> </w:t>
      </w:r>
      <w:r>
        <w:rPr>
          <w:sz w:val="24"/>
        </w:rPr>
        <w:t>be</w:t>
      </w:r>
      <w:r>
        <w:rPr>
          <w:spacing w:val="40"/>
          <w:sz w:val="24"/>
        </w:rPr>
        <w:t> </w:t>
      </w:r>
      <w:r>
        <w:rPr>
          <w:sz w:val="24"/>
        </w:rPr>
        <w:t>distinctly</w:t>
      </w:r>
      <w:r>
        <w:rPr>
          <w:spacing w:val="40"/>
          <w:sz w:val="24"/>
        </w:rPr>
        <w:t> </w:t>
      </w:r>
      <w:r>
        <w:rPr>
          <w:sz w:val="24"/>
        </w:rPr>
        <w:t>shown</w:t>
      </w:r>
      <w:r>
        <w:rPr>
          <w:spacing w:val="40"/>
          <w:sz w:val="24"/>
        </w:rPr>
        <w:t> </w:t>
      </w:r>
      <w:r>
        <w:rPr>
          <w:sz w:val="24"/>
        </w:rPr>
        <w:t>in</w:t>
      </w:r>
      <w:r>
        <w:rPr>
          <w:spacing w:val="40"/>
          <w:sz w:val="24"/>
        </w:rPr>
        <w:t> </w:t>
      </w:r>
      <w:r>
        <w:rPr>
          <w:sz w:val="24"/>
        </w:rPr>
        <w:t>the</w:t>
      </w:r>
      <w:r>
        <w:rPr>
          <w:spacing w:val="40"/>
          <w:sz w:val="24"/>
        </w:rPr>
        <w:t> </w:t>
      </w:r>
      <w:r>
        <w:rPr>
          <w:sz w:val="24"/>
        </w:rPr>
        <w:t>plan.</w:t>
      </w:r>
    </w:p>
    <w:p>
      <w:pPr>
        <w:pStyle w:val="BodyText"/>
        <w:spacing w:before="1"/>
        <w:jc w:val="left"/>
      </w:pPr>
    </w:p>
    <w:p>
      <w:pPr>
        <w:pStyle w:val="ListParagraph"/>
        <w:numPr>
          <w:ilvl w:val="1"/>
          <w:numId w:val="263"/>
        </w:numPr>
        <w:tabs>
          <w:tab w:pos="2210" w:val="left" w:leader="none"/>
        </w:tabs>
        <w:spacing w:line="240" w:lineRule="auto" w:before="0" w:after="0"/>
        <w:ind w:left="1493" w:right="785" w:firstLine="0"/>
        <w:jc w:val="both"/>
        <w:rPr>
          <w:i/>
          <w:sz w:val="24"/>
        </w:rPr>
      </w:pPr>
      <w:r>
        <w:rPr>
          <w:sz w:val="24"/>
        </w:rPr>
        <w:t>Transport</w:t>
      </w:r>
      <w:r>
        <w:rPr>
          <w:spacing w:val="80"/>
          <w:sz w:val="24"/>
        </w:rPr>
        <w:t> </w:t>
      </w:r>
      <w:r>
        <w:rPr>
          <w:spacing w:val="9"/>
          <w:sz w:val="24"/>
        </w:rPr>
        <w:t>Vehicles-</w:t>
      </w:r>
      <w:r>
        <w:rPr>
          <w:spacing w:val="80"/>
          <w:sz w:val="24"/>
        </w:rPr>
        <w:t> </w:t>
      </w:r>
      <w:r>
        <w:rPr>
          <w:sz w:val="24"/>
        </w:rPr>
        <w:t>In</w:t>
      </w:r>
      <w:r>
        <w:rPr>
          <w:spacing w:val="80"/>
          <w:sz w:val="24"/>
        </w:rPr>
        <w:t> </w:t>
      </w:r>
      <w:r>
        <w:rPr>
          <w:sz w:val="24"/>
        </w:rPr>
        <w:t>addition</w:t>
      </w:r>
      <w:r>
        <w:rPr>
          <w:spacing w:val="80"/>
          <w:sz w:val="24"/>
        </w:rPr>
        <w:t> </w:t>
      </w:r>
      <w:r>
        <w:rPr>
          <w:sz w:val="24"/>
        </w:rPr>
        <w:t>to</w:t>
      </w:r>
      <w:r>
        <w:rPr>
          <w:spacing w:val="80"/>
          <w:sz w:val="24"/>
        </w:rPr>
        <w:t> </w:t>
      </w:r>
      <w:r>
        <w:rPr>
          <w:sz w:val="24"/>
        </w:rPr>
        <w:t>the</w:t>
      </w:r>
      <w:r>
        <w:rPr>
          <w:spacing w:val="80"/>
          <w:sz w:val="24"/>
        </w:rPr>
        <w:t> </w:t>
      </w:r>
      <w:r>
        <w:rPr>
          <w:sz w:val="24"/>
        </w:rPr>
        <w:t>parking</w:t>
      </w:r>
      <w:r>
        <w:rPr>
          <w:spacing w:val="80"/>
          <w:sz w:val="24"/>
        </w:rPr>
        <w:t> </w:t>
      </w:r>
      <w:r>
        <w:rPr>
          <w:sz w:val="24"/>
        </w:rPr>
        <w:t>spaces</w:t>
      </w:r>
      <w:r>
        <w:rPr>
          <w:spacing w:val="80"/>
          <w:sz w:val="24"/>
        </w:rPr>
        <w:t> </w:t>
      </w:r>
      <w:r>
        <w:rPr>
          <w:sz w:val="24"/>
        </w:rPr>
        <w:t>provided for</w:t>
      </w:r>
      <w:r>
        <w:rPr>
          <w:spacing w:val="80"/>
          <w:sz w:val="24"/>
        </w:rPr>
        <w:t> </w:t>
      </w:r>
      <w:r>
        <w:rPr>
          <w:sz w:val="24"/>
        </w:rPr>
        <w:t>mercantile</w:t>
      </w:r>
      <w:r>
        <w:rPr>
          <w:spacing w:val="80"/>
          <w:sz w:val="24"/>
        </w:rPr>
        <w:t> </w:t>
      </w:r>
      <w:r>
        <w:rPr>
          <w:sz w:val="24"/>
        </w:rPr>
        <w:t>(commercial)</w:t>
      </w:r>
      <w:r>
        <w:rPr>
          <w:spacing w:val="80"/>
          <w:sz w:val="24"/>
        </w:rPr>
        <w:t> </w:t>
      </w:r>
      <w:r>
        <w:rPr>
          <w:sz w:val="24"/>
        </w:rPr>
        <w:t>buildings</w:t>
      </w:r>
      <w:r>
        <w:rPr>
          <w:spacing w:val="80"/>
          <w:sz w:val="24"/>
        </w:rPr>
        <w:t> </w:t>
      </w:r>
      <w:r>
        <w:rPr>
          <w:sz w:val="24"/>
        </w:rPr>
        <w:t>like</w:t>
      </w:r>
      <w:r>
        <w:rPr>
          <w:spacing w:val="80"/>
          <w:sz w:val="24"/>
        </w:rPr>
        <w:t> </w:t>
      </w:r>
      <w:r>
        <w:rPr>
          <w:sz w:val="24"/>
        </w:rPr>
        <w:t>offices,</w:t>
      </w:r>
      <w:r>
        <w:rPr>
          <w:spacing w:val="80"/>
          <w:sz w:val="24"/>
        </w:rPr>
        <w:t> </w:t>
      </w:r>
      <w:r>
        <w:rPr>
          <w:sz w:val="24"/>
        </w:rPr>
        <w:t>markets, departmental stores and for industrial and storage </w:t>
      </w:r>
      <w:r>
        <w:rPr>
          <w:spacing w:val="9"/>
          <w:sz w:val="24"/>
        </w:rPr>
        <w:t>buildings, </w:t>
      </w:r>
      <w:r>
        <w:rPr>
          <w:sz w:val="24"/>
        </w:rPr>
        <w:t>parking spaces</w:t>
      </w:r>
      <w:r>
        <w:rPr>
          <w:spacing w:val="40"/>
          <w:sz w:val="24"/>
        </w:rPr>
        <w:t> </w:t>
      </w:r>
      <w:r>
        <w:rPr>
          <w:sz w:val="24"/>
        </w:rPr>
        <w:t>for</w:t>
      </w:r>
      <w:r>
        <w:rPr>
          <w:spacing w:val="40"/>
          <w:sz w:val="24"/>
        </w:rPr>
        <w:t> </w:t>
      </w:r>
      <w:r>
        <w:rPr>
          <w:sz w:val="24"/>
        </w:rPr>
        <w:t>transport</w:t>
      </w:r>
      <w:r>
        <w:rPr>
          <w:spacing w:val="40"/>
          <w:sz w:val="24"/>
        </w:rPr>
        <w:t> </w:t>
      </w:r>
      <w:r>
        <w:rPr>
          <w:sz w:val="24"/>
        </w:rPr>
        <w:t>vehicles</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one</w:t>
      </w:r>
      <w:r>
        <w:rPr>
          <w:spacing w:val="40"/>
          <w:sz w:val="24"/>
        </w:rPr>
        <w:t> </w:t>
      </w:r>
      <w:r>
        <w:rPr>
          <w:sz w:val="24"/>
        </w:rPr>
        <w:t>space for</w:t>
      </w:r>
      <w:r>
        <w:rPr>
          <w:spacing w:val="37"/>
          <w:sz w:val="24"/>
        </w:rPr>
        <w:t> </w:t>
      </w:r>
      <w:r>
        <w:rPr>
          <w:sz w:val="24"/>
        </w:rPr>
        <w:t>each</w:t>
      </w:r>
      <w:r>
        <w:rPr>
          <w:spacing w:val="37"/>
          <w:sz w:val="24"/>
        </w:rPr>
        <w:t> </w:t>
      </w:r>
      <w:r>
        <w:rPr>
          <w:sz w:val="24"/>
        </w:rPr>
        <w:t>2000</w:t>
      </w:r>
      <w:r>
        <w:rPr>
          <w:spacing w:val="37"/>
          <w:sz w:val="24"/>
        </w:rPr>
        <w:t> </w:t>
      </w:r>
      <w:r>
        <w:rPr>
          <w:sz w:val="24"/>
        </w:rPr>
        <w:t>sq.</w:t>
      </w:r>
      <w:r>
        <w:rPr>
          <w:spacing w:val="40"/>
          <w:sz w:val="24"/>
        </w:rPr>
        <w:t> </w:t>
      </w:r>
      <w:r>
        <w:rPr>
          <w:sz w:val="24"/>
        </w:rPr>
        <w:t>m</w:t>
      </w:r>
      <w:r>
        <w:rPr>
          <w:spacing w:val="37"/>
          <w:sz w:val="24"/>
        </w:rPr>
        <w:t> </w:t>
      </w:r>
      <w:r>
        <w:rPr>
          <w:sz w:val="24"/>
        </w:rPr>
        <w:t>of</w:t>
      </w:r>
      <w:r>
        <w:rPr>
          <w:spacing w:val="37"/>
          <w:sz w:val="24"/>
        </w:rPr>
        <w:t> </w:t>
      </w:r>
      <w:r>
        <w:rPr>
          <w:sz w:val="24"/>
        </w:rPr>
        <w:t>floor</w:t>
      </w:r>
      <w:r>
        <w:rPr>
          <w:spacing w:val="37"/>
          <w:sz w:val="24"/>
        </w:rPr>
        <w:t> </w:t>
      </w:r>
      <w:r>
        <w:rPr>
          <w:sz w:val="24"/>
        </w:rPr>
        <w:t>area</w:t>
      </w:r>
      <w:r>
        <w:rPr>
          <w:spacing w:val="37"/>
          <w:sz w:val="24"/>
        </w:rPr>
        <w:t> </w:t>
      </w:r>
      <w:r>
        <w:rPr>
          <w:sz w:val="24"/>
        </w:rPr>
        <w:t>or</w:t>
      </w:r>
      <w:r>
        <w:rPr>
          <w:spacing w:val="40"/>
          <w:sz w:val="24"/>
        </w:rPr>
        <w:t> </w:t>
      </w:r>
      <w:r>
        <w:rPr>
          <w:sz w:val="24"/>
        </w:rPr>
        <w:t>part</w:t>
      </w:r>
      <w:r>
        <w:rPr>
          <w:spacing w:val="39"/>
          <w:sz w:val="24"/>
        </w:rPr>
        <w:t> </w:t>
      </w:r>
      <w:r>
        <w:rPr>
          <w:sz w:val="24"/>
        </w:rPr>
        <w:t>thereof</w:t>
      </w:r>
      <w:r>
        <w:rPr>
          <w:spacing w:val="37"/>
          <w:sz w:val="24"/>
        </w:rPr>
        <w:t> </w:t>
      </w:r>
      <w:r>
        <w:rPr>
          <w:sz w:val="24"/>
        </w:rPr>
        <w:t>exceeding</w:t>
      </w:r>
      <w:r>
        <w:rPr>
          <w:spacing w:val="37"/>
          <w:sz w:val="24"/>
        </w:rPr>
        <w:t> </w:t>
      </w:r>
      <w:r>
        <w:rPr>
          <w:sz w:val="24"/>
        </w:rPr>
        <w:t>the</w:t>
      </w:r>
      <w:r>
        <w:rPr>
          <w:spacing w:val="40"/>
          <w:sz w:val="24"/>
        </w:rPr>
        <w:t> </w:t>
      </w:r>
      <w:r>
        <w:rPr>
          <w:sz w:val="24"/>
        </w:rPr>
        <w:t>first</w:t>
      </w:r>
      <w:r>
        <w:rPr>
          <w:spacing w:val="40"/>
          <w:sz w:val="24"/>
        </w:rPr>
        <w:t> </w:t>
      </w:r>
      <w:r>
        <w:rPr>
          <w:sz w:val="24"/>
        </w:rPr>
        <w:t>400 sq.</w:t>
      </w:r>
      <w:r>
        <w:rPr>
          <w:spacing w:val="40"/>
          <w:sz w:val="24"/>
        </w:rPr>
        <w:t> </w:t>
      </w:r>
      <w:r>
        <w:rPr>
          <w:sz w:val="24"/>
        </w:rPr>
        <w:t>m</w:t>
      </w:r>
      <w:r>
        <w:rPr>
          <w:spacing w:val="40"/>
          <w:sz w:val="24"/>
        </w:rPr>
        <w:t> </w:t>
      </w:r>
      <w:r>
        <w:rPr>
          <w:sz w:val="24"/>
        </w:rPr>
        <w:t>of</w:t>
      </w:r>
      <w:r>
        <w:rPr>
          <w:spacing w:val="40"/>
          <w:sz w:val="24"/>
        </w:rPr>
        <w:t> </w:t>
      </w:r>
      <w:r>
        <w:rPr>
          <w:sz w:val="24"/>
        </w:rPr>
        <w:t>floor</w:t>
      </w:r>
      <w:r>
        <w:rPr>
          <w:spacing w:val="40"/>
          <w:sz w:val="24"/>
        </w:rPr>
        <w:t> </w:t>
      </w:r>
      <w:r>
        <w:rPr>
          <w:sz w:val="24"/>
        </w:rPr>
        <w:t>area.</w:t>
      </w:r>
      <w:r>
        <w:rPr>
          <w:spacing w:val="80"/>
          <w:w w:val="150"/>
          <w:sz w:val="24"/>
        </w:rPr>
        <w:t> </w:t>
      </w:r>
      <w:r>
        <w:rPr>
          <w:sz w:val="24"/>
        </w:rPr>
        <w:t>The</w:t>
      </w:r>
      <w:r>
        <w:rPr>
          <w:spacing w:val="40"/>
          <w:sz w:val="24"/>
        </w:rPr>
        <w:t> </w:t>
      </w:r>
      <w:r>
        <w:rPr>
          <w:sz w:val="24"/>
        </w:rPr>
        <w:t>space</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3.75mx</w:t>
      </w:r>
      <w:r>
        <w:rPr>
          <w:spacing w:val="40"/>
          <w:sz w:val="24"/>
        </w:rPr>
        <w:t> </w:t>
      </w:r>
      <w:r>
        <w:rPr>
          <w:sz w:val="24"/>
        </w:rPr>
        <w:t>7.5</w:t>
      </w:r>
      <w:r>
        <w:rPr>
          <w:spacing w:val="40"/>
          <w:sz w:val="24"/>
        </w:rPr>
        <w:t> </w:t>
      </w:r>
      <w:r>
        <w:rPr>
          <w:sz w:val="24"/>
        </w:rPr>
        <w:t>m</w:t>
      </w:r>
      <w:r>
        <w:rPr>
          <w:spacing w:val="40"/>
          <w:sz w:val="24"/>
        </w:rPr>
        <w:t> </w:t>
      </w:r>
      <w:r>
        <w:rPr>
          <w:sz w:val="24"/>
        </w:rPr>
        <w:t>in size</w:t>
      </w:r>
      <w:r>
        <w:rPr>
          <w:spacing w:val="40"/>
          <w:sz w:val="24"/>
        </w:rPr>
        <w:t> </w:t>
      </w:r>
      <w:r>
        <w:rPr>
          <w:sz w:val="24"/>
        </w:rPr>
        <w:t>and</w:t>
      </w:r>
      <w:r>
        <w:rPr>
          <w:spacing w:val="40"/>
          <w:sz w:val="24"/>
        </w:rPr>
        <w:t> </w:t>
      </w:r>
      <w:r>
        <w:rPr>
          <w:sz w:val="24"/>
        </w:rPr>
        <w:t>more</w:t>
      </w:r>
      <w:r>
        <w:rPr>
          <w:spacing w:val="40"/>
          <w:sz w:val="24"/>
        </w:rPr>
        <w:t> </w:t>
      </w:r>
      <w:r>
        <w:rPr>
          <w:sz w:val="24"/>
        </w:rPr>
        <w:t>than</w:t>
      </w:r>
      <w:r>
        <w:rPr>
          <w:spacing w:val="40"/>
          <w:sz w:val="24"/>
        </w:rPr>
        <w:t> </w:t>
      </w:r>
      <w:r>
        <w:rPr>
          <w:sz w:val="24"/>
        </w:rPr>
        <w:t>6</w:t>
      </w:r>
      <w:r>
        <w:rPr>
          <w:spacing w:val="40"/>
          <w:sz w:val="24"/>
        </w:rPr>
        <w:t> </w:t>
      </w:r>
      <w:r>
        <w:rPr>
          <w:sz w:val="24"/>
        </w:rPr>
        <w:t>spaces</w:t>
      </w:r>
      <w:r>
        <w:rPr>
          <w:spacing w:val="40"/>
          <w:sz w:val="24"/>
        </w:rPr>
        <w:t> </w:t>
      </w:r>
      <w:r>
        <w:rPr>
          <w:sz w:val="24"/>
        </w:rPr>
        <w:t>need</w:t>
      </w:r>
      <w:r>
        <w:rPr>
          <w:spacing w:val="40"/>
          <w:sz w:val="24"/>
        </w:rPr>
        <w:t> </w:t>
      </w:r>
      <w:r>
        <w:rPr>
          <w:sz w:val="24"/>
        </w:rPr>
        <w:t>not</w:t>
      </w:r>
      <w:r>
        <w:rPr>
          <w:spacing w:val="40"/>
          <w:sz w:val="24"/>
        </w:rPr>
        <w:t> </w:t>
      </w:r>
      <w:r>
        <w:rPr>
          <w:sz w:val="24"/>
        </w:rPr>
        <w:t>be</w:t>
      </w:r>
      <w:r>
        <w:rPr>
          <w:spacing w:val="40"/>
          <w:sz w:val="24"/>
        </w:rPr>
        <w:t> </w:t>
      </w:r>
      <w:r>
        <w:rPr>
          <w:sz w:val="24"/>
        </w:rPr>
        <w:t>insisted</w:t>
      </w:r>
      <w:r>
        <w:rPr>
          <w:spacing w:val="40"/>
          <w:sz w:val="24"/>
        </w:rPr>
        <w:t> </w:t>
      </w:r>
      <w:r>
        <w:rPr>
          <w:sz w:val="24"/>
        </w:rPr>
        <w:t>upon.</w:t>
      </w:r>
    </w:p>
    <w:p>
      <w:pPr>
        <w:pStyle w:val="ListParagraph"/>
        <w:numPr>
          <w:ilvl w:val="1"/>
          <w:numId w:val="263"/>
        </w:numPr>
        <w:tabs>
          <w:tab w:pos="2018" w:val="left" w:leader="none"/>
        </w:tabs>
        <w:spacing w:line="240" w:lineRule="auto" w:before="238" w:after="0"/>
        <w:ind w:left="1493" w:right="787" w:firstLine="86"/>
        <w:jc w:val="both"/>
        <w:rPr>
          <w:sz w:val="24"/>
        </w:rPr>
      </w:pPr>
      <w:r>
        <w:rPr>
          <w:sz w:val="24"/>
        </w:rPr>
        <w:t>Parking Spaces: Where to be </w:t>
      </w:r>
      <w:r>
        <w:rPr>
          <w:spacing w:val="10"/>
          <w:sz w:val="24"/>
        </w:rPr>
        <w:t>accommodated-</w:t>
      </w:r>
      <w:r>
        <w:rPr>
          <w:sz w:val="24"/>
        </w:rPr>
        <w:t>The parking spaces including</w:t>
      </w:r>
      <w:r>
        <w:rPr>
          <w:spacing w:val="80"/>
          <w:sz w:val="24"/>
        </w:rPr>
        <w:t> </w:t>
      </w:r>
      <w:r>
        <w:rPr>
          <w:sz w:val="24"/>
        </w:rPr>
        <w:t>mechanical/automated</w:t>
      </w:r>
      <w:r>
        <w:rPr>
          <w:spacing w:val="80"/>
          <w:sz w:val="24"/>
        </w:rPr>
        <w:t> </w:t>
      </w:r>
      <w:r>
        <w:rPr>
          <w:sz w:val="24"/>
        </w:rPr>
        <w:t>may</w:t>
      </w:r>
      <w:r>
        <w:rPr>
          <w:spacing w:val="80"/>
          <w:sz w:val="24"/>
        </w:rPr>
        <w:t> </w:t>
      </w:r>
      <w:r>
        <w:rPr>
          <w:sz w:val="24"/>
        </w:rPr>
        <w:t>be</w:t>
      </w:r>
      <w:r>
        <w:rPr>
          <w:spacing w:val="80"/>
          <w:sz w:val="24"/>
        </w:rPr>
        <w:t> </w:t>
      </w:r>
      <w:r>
        <w:rPr>
          <w:sz w:val="24"/>
        </w:rPr>
        <w:t>provided-</w:t>
      </w:r>
    </w:p>
    <w:p>
      <w:pPr>
        <w:pStyle w:val="ListParagraph"/>
        <w:numPr>
          <w:ilvl w:val="1"/>
          <w:numId w:val="306"/>
        </w:numPr>
        <w:tabs>
          <w:tab w:pos="1891" w:val="left" w:leader="none"/>
        </w:tabs>
        <w:spacing w:line="240" w:lineRule="auto" w:before="1" w:after="0"/>
        <w:ind w:left="1493" w:right="783" w:firstLine="0"/>
        <w:jc w:val="both"/>
        <w:rPr>
          <w:sz w:val="24"/>
        </w:rPr>
      </w:pPr>
      <w:r>
        <w:rPr>
          <w:sz w:val="24"/>
        </w:rPr>
        <w:t>Underneath the building, in basements, podiums, within its stilted portion,</w:t>
      </w:r>
      <w:r>
        <w:rPr>
          <w:spacing w:val="40"/>
          <w:sz w:val="24"/>
        </w:rPr>
        <w:t> </w:t>
      </w:r>
      <w:r>
        <w:rPr>
          <w:sz w:val="24"/>
        </w:rPr>
        <w:t>or</w:t>
      </w:r>
      <w:r>
        <w:rPr>
          <w:spacing w:val="40"/>
          <w:sz w:val="24"/>
        </w:rPr>
        <w:t> </w:t>
      </w:r>
      <w:r>
        <w:rPr>
          <w:sz w:val="24"/>
        </w:rPr>
        <w:t>on</w:t>
      </w:r>
      <w:r>
        <w:rPr>
          <w:spacing w:val="40"/>
          <w:sz w:val="24"/>
        </w:rPr>
        <w:t> </w:t>
      </w:r>
      <w:r>
        <w:rPr>
          <w:sz w:val="24"/>
        </w:rPr>
        <w:t>upper</w:t>
      </w:r>
      <w:r>
        <w:rPr>
          <w:spacing w:val="40"/>
          <w:sz w:val="24"/>
        </w:rPr>
        <w:t> </w:t>
      </w:r>
      <w:r>
        <w:rPr>
          <w:sz w:val="24"/>
        </w:rPr>
        <w:t>parking</w:t>
      </w:r>
      <w:r>
        <w:rPr>
          <w:spacing w:val="40"/>
          <w:sz w:val="24"/>
        </w:rPr>
        <w:t> </w:t>
      </w:r>
      <w:r>
        <w:rPr>
          <w:sz w:val="24"/>
        </w:rPr>
        <w:t>floors</w:t>
      </w:r>
      <w:r>
        <w:rPr>
          <w:spacing w:val="40"/>
          <w:sz w:val="24"/>
        </w:rPr>
        <w:t> </w:t>
      </w:r>
      <w:r>
        <w:rPr>
          <w:sz w:val="24"/>
        </w:rPr>
        <w:t>or</w:t>
      </w:r>
      <w:r>
        <w:rPr>
          <w:spacing w:val="40"/>
          <w:sz w:val="24"/>
        </w:rPr>
        <w:t> </w:t>
      </w:r>
      <w:r>
        <w:rPr>
          <w:sz w:val="24"/>
        </w:rPr>
        <w:t>in</w:t>
      </w:r>
      <w:r>
        <w:rPr>
          <w:spacing w:val="40"/>
          <w:sz w:val="24"/>
        </w:rPr>
        <w:t> </w:t>
      </w:r>
      <w:r>
        <w:rPr>
          <w:sz w:val="24"/>
        </w:rPr>
        <w:t>separate</w:t>
      </w:r>
      <w:r>
        <w:rPr>
          <w:spacing w:val="40"/>
          <w:sz w:val="24"/>
        </w:rPr>
        <w:t> </w:t>
      </w:r>
      <w:r>
        <w:rPr>
          <w:sz w:val="24"/>
        </w:rPr>
        <w:t>structures</w:t>
      </w:r>
      <w:r>
        <w:rPr>
          <w:spacing w:val="40"/>
          <w:sz w:val="24"/>
        </w:rPr>
        <w:t> </w:t>
      </w:r>
      <w:r>
        <w:rPr>
          <w:sz w:val="24"/>
        </w:rPr>
        <w:t>if exclusively</w:t>
      </w:r>
      <w:r>
        <w:rPr>
          <w:spacing w:val="40"/>
          <w:sz w:val="24"/>
        </w:rPr>
        <w:t> </w:t>
      </w:r>
      <w:r>
        <w:rPr>
          <w:sz w:val="24"/>
        </w:rPr>
        <w:t>used</w:t>
      </w:r>
      <w:r>
        <w:rPr>
          <w:spacing w:val="40"/>
          <w:sz w:val="24"/>
        </w:rPr>
        <w:t> </w:t>
      </w:r>
      <w:r>
        <w:rPr>
          <w:sz w:val="24"/>
        </w:rPr>
        <w:t>for</w:t>
      </w:r>
      <w:r>
        <w:rPr>
          <w:spacing w:val="9"/>
          <w:sz w:val="24"/>
        </w:rPr>
        <w:t> parking.</w:t>
      </w:r>
    </w:p>
    <w:p>
      <w:pPr>
        <w:pStyle w:val="BodyText"/>
        <w:spacing w:before="1"/>
        <w:jc w:val="left"/>
      </w:pPr>
    </w:p>
    <w:p>
      <w:pPr>
        <w:pStyle w:val="BodyText"/>
        <w:ind w:left="1493"/>
        <w:jc w:val="left"/>
      </w:pPr>
      <w:r>
        <w:rPr>
          <w:spacing w:val="-2"/>
        </w:rPr>
        <w:t>Note:</w:t>
      </w:r>
    </w:p>
    <w:p>
      <w:pPr>
        <w:pStyle w:val="BodyText"/>
        <w:jc w:val="left"/>
        <w:rPr>
          <w:sz w:val="14"/>
        </w:rPr>
      </w:pPr>
    </w:p>
    <w:p>
      <w:pPr>
        <w:pStyle w:val="BodyText"/>
        <w:spacing w:before="44"/>
        <w:jc w:val="left"/>
        <w:rPr>
          <w:sz w:val="14"/>
        </w:rPr>
      </w:pPr>
    </w:p>
    <w:p>
      <w:pPr>
        <w:spacing w:before="0"/>
        <w:ind w:left="0" w:right="1052" w:firstLine="0"/>
        <w:jc w:val="right"/>
        <w:rPr>
          <w:rFonts w:ascii="Arial"/>
          <w:b/>
          <w:i/>
          <w:sz w:val="14"/>
        </w:rPr>
      </w:pPr>
      <w:r>
        <w:rPr>
          <w:rFonts w:ascii="Arial"/>
          <w:b/>
          <w:i/>
          <w:sz w:val="14"/>
        </w:rPr>
        <mc:AlternateContent>
          <mc:Choice Requires="wps">
            <w:drawing>
              <wp:anchor distT="0" distB="0" distL="0" distR="0" allowOverlap="1" layoutInCell="1" locked="0" behindDoc="1" simplePos="0" relativeHeight="471356928">
                <wp:simplePos x="0" y="0"/>
                <wp:positionH relativeFrom="page">
                  <wp:posOffset>719327</wp:posOffset>
                </wp:positionH>
                <wp:positionV relativeFrom="paragraph">
                  <wp:posOffset>22848</wp:posOffset>
                </wp:positionV>
                <wp:extent cx="2514600" cy="197485"/>
                <wp:effectExtent l="0" t="0" r="0" b="0"/>
                <wp:wrapNone/>
                <wp:docPr id="460" name="Graphic 460"/>
                <wp:cNvGraphicFramePr>
                  <a:graphicFrameLocks/>
                </wp:cNvGraphicFramePr>
                <a:graphic>
                  <a:graphicData uri="http://schemas.microsoft.com/office/word/2010/wordprocessingShape">
                    <wps:wsp>
                      <wps:cNvPr id="460" name="Graphic 460"/>
                      <wps:cNvSpPr/>
                      <wps:spPr>
                        <a:xfrm>
                          <a:off x="0" y="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rect style="position:absolute;margin-left:56.639999pt;margin-top:1.799062pt;width:198pt;height:15.55pt;mso-position-horizontal-relative:page;mso-position-vertical-relative:paragraph;z-index:-31959552" id="docshape396" filled="false" stroked="true" strokeweight="1pt" strokecolor="#666666">
                <v:stroke dashstyle="solid"/>
                <w10:wrap type="none"/>
              </v:rect>
            </w:pict>
          </mc:Fallback>
        </mc:AlternateContent>
      </w:r>
      <w:r>
        <w:rPr>
          <w:rFonts w:ascii="Arial"/>
          <w:b/>
          <w:i/>
          <w:sz w:val="14"/>
        </w:rPr>
        <w:t>Development</w:t>
      </w:r>
      <w:r>
        <w:rPr>
          <w:rFonts w:ascii="Arial"/>
          <w:b/>
          <w:i/>
          <w:spacing w:val="-8"/>
          <w:sz w:val="14"/>
        </w:rPr>
        <w:t> </w:t>
      </w:r>
      <w:r>
        <w:rPr>
          <w:rFonts w:ascii="Arial"/>
          <w:b/>
          <w:i/>
          <w:sz w:val="14"/>
        </w:rPr>
        <w:t>Plan</w:t>
      </w:r>
      <w:r>
        <w:rPr>
          <w:rFonts w:ascii="Arial"/>
          <w:b/>
          <w:i/>
          <w:spacing w:val="-9"/>
          <w:sz w:val="14"/>
        </w:rPr>
        <w:t> </w:t>
      </w:r>
      <w:r>
        <w:rPr>
          <w:rFonts w:ascii="Arial"/>
          <w:b/>
          <w:i/>
          <w:spacing w:val="-4"/>
          <w:sz w:val="14"/>
        </w:rPr>
        <w:t>2034</w:t>
      </w:r>
    </w:p>
    <w:p>
      <w:pPr>
        <w:spacing w:after="0"/>
        <w:jc w:val="right"/>
        <w:rPr>
          <w:rFonts w:ascii="Arial"/>
          <w:b/>
          <w:i/>
          <w:sz w:val="14"/>
        </w:rPr>
        <w:sectPr>
          <w:headerReference w:type="default" r:id="rId62"/>
          <w:footerReference w:type="default" r:id="rId63"/>
          <w:pgSz w:w="11910" w:h="16840"/>
          <w:pgMar w:header="1058" w:footer="1066" w:top="1500" w:bottom="1260" w:left="360" w:right="360"/>
        </w:sectPr>
      </w:pPr>
    </w:p>
    <w:p>
      <w:pPr>
        <w:pStyle w:val="ListParagraph"/>
        <w:numPr>
          <w:ilvl w:val="2"/>
          <w:numId w:val="306"/>
        </w:numPr>
        <w:tabs>
          <w:tab w:pos="1841" w:val="left" w:leader="none"/>
        </w:tabs>
        <w:spacing w:line="240" w:lineRule="auto" w:before="255" w:after="0"/>
        <w:ind w:left="1493" w:right="775" w:firstLine="0"/>
        <w:jc w:val="both"/>
        <w:rPr>
          <w:sz w:val="24"/>
        </w:rPr>
      </w:pPr>
      <w:r>
        <w:rPr>
          <w:sz w:val="24"/>
        </w:rPr>
        <w:t>The deck parking inclusive of car lifts &amp; passages thereto shall be counted</w:t>
      </w:r>
      <w:r>
        <w:rPr>
          <w:spacing w:val="37"/>
          <w:sz w:val="24"/>
        </w:rPr>
        <w:t> </w:t>
      </w:r>
      <w:r>
        <w:rPr>
          <w:sz w:val="24"/>
        </w:rPr>
        <w:t>in</w:t>
      </w:r>
      <w:r>
        <w:rPr>
          <w:spacing w:val="37"/>
          <w:sz w:val="24"/>
        </w:rPr>
        <w:t> </w:t>
      </w:r>
      <w:r>
        <w:rPr>
          <w:sz w:val="24"/>
        </w:rPr>
        <w:t>FSI.</w:t>
      </w:r>
      <w:r>
        <w:rPr>
          <w:spacing w:val="39"/>
          <w:sz w:val="24"/>
        </w:rPr>
        <w:t> </w:t>
      </w:r>
      <w:r>
        <w:rPr>
          <w:sz w:val="24"/>
        </w:rPr>
        <w:t>Moreover,</w:t>
      </w:r>
      <w:r>
        <w:rPr>
          <w:spacing w:val="40"/>
          <w:sz w:val="24"/>
        </w:rPr>
        <w:t> </w:t>
      </w:r>
      <w:r>
        <w:rPr>
          <w:sz w:val="24"/>
        </w:rPr>
        <w:t>in</w:t>
      </w:r>
      <w:r>
        <w:rPr>
          <w:spacing w:val="37"/>
          <w:sz w:val="24"/>
        </w:rPr>
        <w:t> </w:t>
      </w:r>
      <w:r>
        <w:rPr>
          <w:sz w:val="24"/>
        </w:rPr>
        <w:t>Mall,</w:t>
      </w:r>
      <w:r>
        <w:rPr>
          <w:spacing w:val="37"/>
          <w:sz w:val="24"/>
        </w:rPr>
        <w:t> </w:t>
      </w:r>
      <w:r>
        <w:rPr>
          <w:sz w:val="24"/>
        </w:rPr>
        <w:t>the</w:t>
      </w:r>
      <w:r>
        <w:rPr>
          <w:spacing w:val="40"/>
          <w:sz w:val="24"/>
        </w:rPr>
        <w:t> </w:t>
      </w:r>
      <w:r>
        <w:rPr>
          <w:sz w:val="24"/>
        </w:rPr>
        <w:t>provision</w:t>
      </w:r>
      <w:r>
        <w:rPr>
          <w:spacing w:val="33"/>
          <w:sz w:val="24"/>
        </w:rPr>
        <w:t> </w:t>
      </w:r>
      <w:r>
        <w:rPr>
          <w:sz w:val="24"/>
        </w:rPr>
        <w:t>of</w:t>
      </w:r>
      <w:r>
        <w:rPr>
          <w:spacing w:val="37"/>
          <w:sz w:val="24"/>
        </w:rPr>
        <w:t> </w:t>
      </w:r>
      <w:r>
        <w:rPr>
          <w:sz w:val="24"/>
        </w:rPr>
        <w:t>parking</w:t>
      </w:r>
      <w:r>
        <w:rPr>
          <w:spacing w:val="33"/>
          <w:sz w:val="24"/>
        </w:rPr>
        <w:t> </w:t>
      </w:r>
      <w:r>
        <w:rPr>
          <w:sz w:val="24"/>
        </w:rPr>
        <w:t>can</w:t>
      </w:r>
      <w:r>
        <w:rPr>
          <w:spacing w:val="37"/>
          <w:sz w:val="24"/>
        </w:rPr>
        <w:t> </w:t>
      </w:r>
      <w:r>
        <w:rPr>
          <w:sz w:val="24"/>
        </w:rPr>
        <w:t>be</w:t>
      </w:r>
      <w:r>
        <w:rPr>
          <w:spacing w:val="37"/>
          <w:sz w:val="24"/>
        </w:rPr>
        <w:t> </w:t>
      </w:r>
      <w:r>
        <w:rPr>
          <w:sz w:val="24"/>
        </w:rPr>
        <w:t>made at</w:t>
      </w:r>
      <w:r>
        <w:rPr>
          <w:spacing w:val="80"/>
          <w:sz w:val="24"/>
        </w:rPr>
        <w:t> </w:t>
      </w:r>
      <w:r>
        <w:rPr>
          <w:sz w:val="24"/>
        </w:rPr>
        <w:t>the</w:t>
      </w:r>
      <w:r>
        <w:rPr>
          <w:spacing w:val="80"/>
          <w:sz w:val="24"/>
        </w:rPr>
        <w:t> </w:t>
      </w:r>
      <w:r>
        <w:rPr>
          <w:sz w:val="24"/>
        </w:rPr>
        <w:t>floor</w:t>
      </w:r>
      <w:r>
        <w:rPr>
          <w:spacing w:val="80"/>
          <w:sz w:val="24"/>
        </w:rPr>
        <w:t> </w:t>
      </w:r>
      <w:r>
        <w:rPr>
          <w:sz w:val="24"/>
        </w:rPr>
        <w:t>level</w:t>
      </w:r>
      <w:r>
        <w:rPr>
          <w:spacing w:val="80"/>
          <w:sz w:val="24"/>
        </w:rPr>
        <w:t> </w:t>
      </w:r>
      <w:r>
        <w:rPr>
          <w:sz w:val="24"/>
        </w:rPr>
        <w:t>wherein</w:t>
      </w:r>
      <w:r>
        <w:rPr>
          <w:spacing w:val="80"/>
          <w:sz w:val="24"/>
        </w:rPr>
        <w:t> </w:t>
      </w:r>
      <w:r>
        <w:rPr>
          <w:sz w:val="24"/>
        </w:rPr>
        <w:t>shopping</w:t>
      </w:r>
      <w:r>
        <w:rPr>
          <w:spacing w:val="80"/>
          <w:sz w:val="24"/>
        </w:rPr>
        <w:t> </w:t>
      </w:r>
      <w:r>
        <w:rPr>
          <w:sz w:val="24"/>
        </w:rPr>
        <w:t>has</w:t>
      </w:r>
      <w:r>
        <w:rPr>
          <w:spacing w:val="80"/>
          <w:sz w:val="24"/>
        </w:rPr>
        <w:t> </w:t>
      </w:r>
      <w:r>
        <w:rPr>
          <w:sz w:val="24"/>
        </w:rPr>
        <w:t>been</w:t>
      </w:r>
      <w:r>
        <w:rPr>
          <w:spacing w:val="80"/>
          <w:sz w:val="24"/>
        </w:rPr>
        <w:t> </w:t>
      </w:r>
      <w:r>
        <w:rPr>
          <w:sz w:val="24"/>
        </w:rPr>
        <w:t>proposed,</w:t>
      </w:r>
      <w:r>
        <w:rPr>
          <w:spacing w:val="80"/>
          <w:sz w:val="24"/>
        </w:rPr>
        <w:t> </w:t>
      </w:r>
      <w:r>
        <w:rPr>
          <w:sz w:val="24"/>
        </w:rPr>
        <w:t>separated</w:t>
      </w:r>
      <w:r>
        <w:rPr>
          <w:spacing w:val="80"/>
          <w:sz w:val="24"/>
        </w:rPr>
        <w:t> </w:t>
      </w:r>
      <w:r>
        <w:rPr>
          <w:sz w:val="24"/>
        </w:rPr>
        <w:t>by the</w:t>
      </w:r>
      <w:r>
        <w:rPr>
          <w:spacing w:val="40"/>
          <w:sz w:val="24"/>
        </w:rPr>
        <w:t> </w:t>
      </w:r>
      <w:r>
        <w:rPr>
          <w:sz w:val="24"/>
        </w:rPr>
        <w:t>construction</w:t>
      </w:r>
      <w:r>
        <w:rPr>
          <w:spacing w:val="40"/>
          <w:sz w:val="24"/>
        </w:rPr>
        <w:t> </w:t>
      </w:r>
      <w:r>
        <w:rPr>
          <w:sz w:val="24"/>
        </w:rPr>
        <w:t>of</w:t>
      </w:r>
      <w:r>
        <w:rPr>
          <w:spacing w:val="40"/>
          <w:sz w:val="24"/>
        </w:rPr>
        <w:t> </w:t>
      </w:r>
      <w:r>
        <w:rPr>
          <w:sz w:val="24"/>
        </w:rPr>
        <w:t>shear</w:t>
      </w:r>
      <w:r>
        <w:rPr>
          <w:spacing w:val="40"/>
          <w:sz w:val="24"/>
        </w:rPr>
        <w:t> </w:t>
      </w:r>
      <w:r>
        <w:rPr>
          <w:sz w:val="24"/>
        </w:rPr>
        <w:t>wall</w:t>
      </w:r>
      <w:r>
        <w:rPr>
          <w:spacing w:val="40"/>
          <w:sz w:val="24"/>
        </w:rPr>
        <w:t> </w:t>
      </w:r>
      <w:r>
        <w:rPr>
          <w:sz w:val="24"/>
        </w:rPr>
        <w:t>with</w:t>
      </w:r>
      <w:r>
        <w:rPr>
          <w:spacing w:val="40"/>
          <w:sz w:val="24"/>
        </w:rPr>
        <w:t> </w:t>
      </w:r>
      <w:r>
        <w:rPr>
          <w:sz w:val="24"/>
        </w:rPr>
        <w:t>a</w:t>
      </w:r>
      <w:r>
        <w:rPr>
          <w:spacing w:val="40"/>
          <w:sz w:val="24"/>
        </w:rPr>
        <w:t> </w:t>
      </w:r>
      <w:r>
        <w:rPr>
          <w:sz w:val="24"/>
        </w:rPr>
        <w:t>gap</w:t>
      </w:r>
      <w:r>
        <w:rPr>
          <w:spacing w:val="40"/>
          <w:sz w:val="24"/>
        </w:rPr>
        <w:t> </w:t>
      </w:r>
      <w:r>
        <w:rPr>
          <w:sz w:val="24"/>
        </w:rPr>
        <w:t>of</w:t>
      </w:r>
      <w:r>
        <w:rPr>
          <w:spacing w:val="40"/>
          <w:sz w:val="24"/>
        </w:rPr>
        <w:t> </w:t>
      </w:r>
      <w:r>
        <w:rPr>
          <w:sz w:val="24"/>
        </w:rPr>
        <w:t>1.5</w:t>
      </w:r>
      <w:r>
        <w:rPr>
          <w:spacing w:val="40"/>
          <w:sz w:val="24"/>
        </w:rPr>
        <w:t> </w:t>
      </w:r>
      <w:r>
        <w:rPr>
          <w:sz w:val="24"/>
        </w:rPr>
        <w:t>m.</w:t>
      </w:r>
      <w:r>
        <w:rPr>
          <w:spacing w:val="40"/>
          <w:sz w:val="24"/>
        </w:rPr>
        <w:t> </w:t>
      </w:r>
      <w:r>
        <w:rPr>
          <w:sz w:val="24"/>
        </w:rPr>
        <w:t>between</w:t>
      </w:r>
      <w:r>
        <w:rPr>
          <w:spacing w:val="40"/>
          <w:sz w:val="24"/>
        </w:rPr>
        <w:t> </w:t>
      </w:r>
      <w:r>
        <w:rPr>
          <w:sz w:val="24"/>
        </w:rPr>
        <w:t>Mall building</w:t>
      </w:r>
      <w:r>
        <w:rPr>
          <w:spacing w:val="40"/>
          <w:sz w:val="24"/>
        </w:rPr>
        <w:t> </w:t>
      </w:r>
      <w:r>
        <w:rPr>
          <w:sz w:val="24"/>
        </w:rPr>
        <w:t>and</w:t>
      </w:r>
      <w:r>
        <w:rPr>
          <w:spacing w:val="40"/>
          <w:sz w:val="24"/>
        </w:rPr>
        <w:t> </w:t>
      </w:r>
      <w:r>
        <w:rPr>
          <w:sz w:val="24"/>
        </w:rPr>
        <w:t>parking</w:t>
      </w:r>
      <w:r>
        <w:rPr>
          <w:spacing w:val="40"/>
          <w:sz w:val="24"/>
        </w:rPr>
        <w:t> </w:t>
      </w:r>
      <w:r>
        <w:rPr>
          <w:sz w:val="24"/>
        </w:rPr>
        <w:t>floor.</w:t>
      </w:r>
    </w:p>
    <w:p>
      <w:pPr>
        <w:pStyle w:val="ListParagraph"/>
        <w:numPr>
          <w:ilvl w:val="2"/>
          <w:numId w:val="306"/>
        </w:numPr>
        <w:tabs>
          <w:tab w:pos="1816" w:val="left" w:leader="none"/>
        </w:tabs>
        <w:spacing w:line="240" w:lineRule="auto" w:before="0" w:after="0"/>
        <w:ind w:left="1493" w:right="775" w:firstLine="0"/>
        <w:jc w:val="both"/>
        <w:rPr>
          <w:sz w:val="24"/>
        </w:rPr>
      </w:pPr>
      <w:r>
        <w:rPr>
          <w:sz w:val="24"/>
        </w:rPr>
        <w:t>Additional</w:t>
      </w:r>
      <w:r>
        <w:rPr>
          <w:spacing w:val="80"/>
          <w:sz w:val="24"/>
        </w:rPr>
        <w:t> </w:t>
      </w:r>
      <w:r>
        <w:rPr>
          <w:sz w:val="24"/>
        </w:rPr>
        <w:t>parking</w:t>
      </w:r>
      <w:r>
        <w:rPr>
          <w:spacing w:val="80"/>
          <w:sz w:val="24"/>
        </w:rPr>
        <w:t> </w:t>
      </w:r>
      <w:r>
        <w:rPr>
          <w:sz w:val="24"/>
        </w:rPr>
        <w:t>spaces</w:t>
      </w:r>
      <w:r>
        <w:rPr>
          <w:spacing w:val="80"/>
          <w:sz w:val="24"/>
        </w:rPr>
        <w:t> </w:t>
      </w:r>
      <w:r>
        <w:rPr>
          <w:sz w:val="24"/>
        </w:rPr>
        <w:t>beyond</w:t>
      </w:r>
      <w:r>
        <w:rPr>
          <w:spacing w:val="80"/>
          <w:sz w:val="24"/>
        </w:rPr>
        <w:t> </w:t>
      </w:r>
      <w:r>
        <w:rPr>
          <w:sz w:val="24"/>
        </w:rPr>
        <w:t>the</w:t>
      </w:r>
      <w:r>
        <w:rPr>
          <w:spacing w:val="80"/>
          <w:sz w:val="24"/>
        </w:rPr>
        <w:t> </w:t>
      </w:r>
      <w:r>
        <w:rPr>
          <w:sz w:val="24"/>
        </w:rPr>
        <w:t>parking</w:t>
      </w:r>
      <w:r>
        <w:rPr>
          <w:spacing w:val="80"/>
          <w:sz w:val="24"/>
        </w:rPr>
        <w:t> </w:t>
      </w:r>
      <w:r>
        <w:rPr>
          <w:sz w:val="24"/>
        </w:rPr>
        <w:t>spaces</w:t>
      </w:r>
      <w:r>
        <w:rPr>
          <w:spacing w:val="80"/>
          <w:sz w:val="24"/>
        </w:rPr>
        <w:t> </w:t>
      </w:r>
      <w:r>
        <w:rPr>
          <w:sz w:val="24"/>
        </w:rPr>
        <w:t>as</w:t>
      </w:r>
      <w:r>
        <w:rPr>
          <w:spacing w:val="80"/>
          <w:sz w:val="24"/>
        </w:rPr>
        <w:t> </w:t>
      </w:r>
      <w:r>
        <w:rPr>
          <w:sz w:val="24"/>
        </w:rPr>
        <w:t>stipulated in this regulation at the option of developer is proposed then the construction</w:t>
      </w:r>
      <w:r>
        <w:rPr>
          <w:spacing w:val="80"/>
          <w:w w:val="150"/>
          <w:sz w:val="24"/>
        </w:rPr>
        <w:t> </w:t>
      </w:r>
      <w:r>
        <w:rPr>
          <w:sz w:val="24"/>
        </w:rPr>
        <w:t>area</w:t>
      </w:r>
      <w:r>
        <w:rPr>
          <w:spacing w:val="40"/>
          <w:sz w:val="24"/>
        </w:rPr>
        <w:t> </w:t>
      </w:r>
      <w:r>
        <w:rPr>
          <w:sz w:val="24"/>
        </w:rPr>
        <w:t>for</w:t>
      </w:r>
      <w:r>
        <w:rPr>
          <w:spacing w:val="40"/>
          <w:sz w:val="24"/>
        </w:rPr>
        <w:t> </w:t>
      </w:r>
      <w:r>
        <w:rPr>
          <w:sz w:val="24"/>
        </w:rPr>
        <w:t>the</w:t>
      </w:r>
      <w:r>
        <w:rPr>
          <w:spacing w:val="40"/>
          <w:sz w:val="24"/>
        </w:rPr>
        <w:t> </w:t>
      </w:r>
      <w:r>
        <w:rPr>
          <w:sz w:val="24"/>
        </w:rPr>
        <w:t>additional</w:t>
      </w:r>
      <w:r>
        <w:rPr>
          <w:spacing w:val="40"/>
          <w:sz w:val="24"/>
        </w:rPr>
        <w:t> </w:t>
      </w:r>
      <w:r>
        <w:rPr>
          <w:sz w:val="24"/>
        </w:rPr>
        <w:t>parking</w:t>
      </w:r>
      <w:r>
        <w:rPr>
          <w:spacing w:val="40"/>
          <w:sz w:val="24"/>
        </w:rPr>
        <w:t> </w:t>
      </w:r>
      <w:r>
        <w:rPr>
          <w:sz w:val="24"/>
        </w:rPr>
        <w:t>to</w:t>
      </w:r>
      <w:r>
        <w:rPr>
          <w:spacing w:val="40"/>
          <w:sz w:val="24"/>
        </w:rPr>
        <w:t> </w:t>
      </w:r>
      <w:r>
        <w:rPr>
          <w:sz w:val="24"/>
        </w:rPr>
        <w:t>the</w:t>
      </w:r>
      <w:r>
        <w:rPr>
          <w:spacing w:val="40"/>
          <w:sz w:val="24"/>
        </w:rPr>
        <w:t> </w:t>
      </w:r>
      <w:r>
        <w:rPr>
          <w:sz w:val="24"/>
        </w:rPr>
        <w:t>extent</w:t>
      </w:r>
      <w:r>
        <w:rPr>
          <w:spacing w:val="40"/>
          <w:sz w:val="24"/>
        </w:rPr>
        <w:t> </w:t>
      </w:r>
      <w:r>
        <w:rPr>
          <w:sz w:val="24"/>
        </w:rPr>
        <w:t>of</w:t>
      </w:r>
      <w:r>
        <w:rPr>
          <w:spacing w:val="40"/>
          <w:sz w:val="24"/>
        </w:rPr>
        <w:t> </w:t>
      </w:r>
      <w:r>
        <w:rPr>
          <w:sz w:val="24"/>
        </w:rPr>
        <w:t>25%</w:t>
      </w:r>
      <w:r>
        <w:rPr>
          <w:spacing w:val="40"/>
          <w:sz w:val="24"/>
        </w:rPr>
        <w:t> </w:t>
      </w:r>
      <w:r>
        <w:rPr>
          <w:sz w:val="24"/>
        </w:rPr>
        <w:t>shall be</w:t>
      </w:r>
      <w:r>
        <w:rPr>
          <w:spacing w:val="40"/>
          <w:sz w:val="24"/>
        </w:rPr>
        <w:t> </w:t>
      </w:r>
      <w:r>
        <w:rPr>
          <w:sz w:val="24"/>
        </w:rPr>
        <w:t>allowed</w:t>
      </w:r>
      <w:r>
        <w:rPr>
          <w:spacing w:val="40"/>
          <w:sz w:val="24"/>
        </w:rPr>
        <w:t> </w:t>
      </w:r>
      <w:r>
        <w:rPr>
          <w:sz w:val="24"/>
        </w:rPr>
        <w:t>on</w:t>
      </w:r>
      <w:r>
        <w:rPr>
          <w:spacing w:val="40"/>
          <w:sz w:val="24"/>
        </w:rPr>
        <w:t> </w:t>
      </w:r>
      <w:r>
        <w:rPr>
          <w:sz w:val="24"/>
        </w:rPr>
        <w:t>payment</w:t>
      </w:r>
      <w:r>
        <w:rPr>
          <w:spacing w:val="40"/>
          <w:sz w:val="24"/>
        </w:rPr>
        <w:t> </w:t>
      </w:r>
      <w:r>
        <w:rPr>
          <w:sz w:val="24"/>
        </w:rPr>
        <w:t>of</w:t>
      </w:r>
      <w:r>
        <w:rPr>
          <w:spacing w:val="40"/>
          <w:sz w:val="24"/>
        </w:rPr>
        <w:t> </w:t>
      </w:r>
      <w:r>
        <w:rPr>
          <w:sz w:val="24"/>
        </w:rPr>
        <w:t>premium</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25%</w:t>
      </w:r>
      <w:r>
        <w:rPr>
          <w:spacing w:val="40"/>
          <w:sz w:val="24"/>
        </w:rPr>
        <w:t> </w:t>
      </w:r>
      <w:r>
        <w:rPr>
          <w:sz w:val="24"/>
        </w:rPr>
        <w:t>of</w:t>
      </w:r>
      <w:r>
        <w:rPr>
          <w:spacing w:val="40"/>
          <w:sz w:val="24"/>
        </w:rPr>
        <w:t> </w:t>
      </w:r>
      <w:r>
        <w:rPr>
          <w:sz w:val="24"/>
        </w:rPr>
        <w:t>ASR</w:t>
      </w:r>
      <w:r>
        <w:rPr>
          <w:spacing w:val="40"/>
          <w:sz w:val="24"/>
        </w:rPr>
        <w:t> </w:t>
      </w:r>
      <w:r>
        <w:rPr>
          <w:sz w:val="24"/>
        </w:rPr>
        <w:t>of</w:t>
      </w:r>
      <w:r>
        <w:rPr>
          <w:spacing w:val="40"/>
          <w:sz w:val="24"/>
        </w:rPr>
        <w:t> </w:t>
      </w:r>
      <w:r>
        <w:rPr>
          <w:sz w:val="24"/>
        </w:rPr>
        <w:t>open land</w:t>
      </w:r>
      <w:r>
        <w:rPr>
          <w:spacing w:val="40"/>
          <w:sz w:val="24"/>
        </w:rPr>
        <w:t> </w:t>
      </w:r>
      <w:r>
        <w:rPr>
          <w:sz w:val="24"/>
        </w:rPr>
        <w:t>(for</w:t>
      </w:r>
      <w:r>
        <w:rPr>
          <w:spacing w:val="40"/>
          <w:sz w:val="24"/>
        </w:rPr>
        <w:t> </w:t>
      </w:r>
      <w:r>
        <w:rPr>
          <w:sz w:val="24"/>
        </w:rPr>
        <w:t>FSI</w:t>
      </w:r>
      <w:r>
        <w:rPr>
          <w:spacing w:val="40"/>
          <w:sz w:val="24"/>
        </w:rPr>
        <w:t> </w:t>
      </w:r>
      <w:r>
        <w:rPr>
          <w:sz w:val="24"/>
        </w:rPr>
        <w:t>1),</w:t>
      </w:r>
      <w:r>
        <w:rPr>
          <w:spacing w:val="40"/>
          <w:sz w:val="24"/>
        </w:rPr>
        <w:t> </w:t>
      </w:r>
      <w:r>
        <w:rPr>
          <w:sz w:val="24"/>
        </w:rPr>
        <w:t>beyond</w:t>
      </w:r>
      <w:r>
        <w:rPr>
          <w:spacing w:val="40"/>
          <w:sz w:val="24"/>
        </w:rPr>
        <w:t> </w:t>
      </w:r>
      <w:r>
        <w:rPr>
          <w:sz w:val="24"/>
        </w:rPr>
        <w:t>25%</w:t>
      </w:r>
      <w:r>
        <w:rPr>
          <w:spacing w:val="40"/>
          <w:sz w:val="24"/>
        </w:rPr>
        <w:t> </w:t>
      </w:r>
      <w:r>
        <w:rPr>
          <w:sz w:val="24"/>
        </w:rPr>
        <w:t>and</w:t>
      </w:r>
      <w:r>
        <w:rPr>
          <w:spacing w:val="40"/>
          <w:sz w:val="24"/>
        </w:rPr>
        <w:t> </w:t>
      </w:r>
      <w:r>
        <w:rPr>
          <w:sz w:val="24"/>
        </w:rPr>
        <w:t>upto</w:t>
      </w:r>
      <w:r>
        <w:rPr>
          <w:spacing w:val="40"/>
          <w:sz w:val="24"/>
        </w:rPr>
        <w:t> </w:t>
      </w:r>
      <w:r>
        <w:rPr>
          <w:sz w:val="24"/>
        </w:rPr>
        <w:t>50%</w:t>
      </w:r>
      <w:r>
        <w:rPr>
          <w:spacing w:val="40"/>
          <w:sz w:val="24"/>
        </w:rPr>
        <w:t> </w:t>
      </w:r>
      <w:r>
        <w:rPr>
          <w:sz w:val="24"/>
        </w:rPr>
        <w:t>on</w:t>
      </w:r>
      <w:r>
        <w:rPr>
          <w:spacing w:val="40"/>
          <w:sz w:val="24"/>
        </w:rPr>
        <w:t> </w:t>
      </w:r>
      <w:r>
        <w:rPr>
          <w:sz w:val="24"/>
        </w:rPr>
        <w:t>payment</w:t>
      </w:r>
      <w:r>
        <w:rPr>
          <w:spacing w:val="40"/>
          <w:sz w:val="24"/>
        </w:rPr>
        <w:t> </w:t>
      </w:r>
      <w:r>
        <w:rPr>
          <w:sz w:val="24"/>
        </w:rPr>
        <w:t>of</w:t>
      </w:r>
      <w:r>
        <w:rPr>
          <w:spacing w:val="40"/>
          <w:sz w:val="24"/>
        </w:rPr>
        <w:t> </w:t>
      </w:r>
      <w:r>
        <w:rPr>
          <w:sz w:val="24"/>
        </w:rPr>
        <w:t>premium</w:t>
      </w:r>
      <w:r>
        <w:rPr>
          <w:spacing w:val="40"/>
          <w:sz w:val="24"/>
        </w:rPr>
        <w:t> </w:t>
      </w:r>
      <w:r>
        <w:rPr>
          <w:sz w:val="24"/>
        </w:rPr>
        <w:t>at the rate of 50% of ASR of open land (for FSI 1)</w:t>
      </w:r>
      <w:r>
        <w:rPr>
          <w:spacing w:val="40"/>
          <w:sz w:val="24"/>
        </w:rPr>
        <w:t> </w:t>
      </w:r>
      <w:r>
        <w:rPr>
          <w:sz w:val="24"/>
        </w:rPr>
        <w:t>and beyond 50% on</w:t>
      </w:r>
      <w:r>
        <w:rPr>
          <w:spacing w:val="40"/>
          <w:sz w:val="24"/>
        </w:rPr>
        <w:t> </w:t>
      </w:r>
      <w:r>
        <w:rPr>
          <w:sz w:val="24"/>
        </w:rPr>
        <w:t>payment</w:t>
      </w:r>
      <w:r>
        <w:rPr>
          <w:spacing w:val="40"/>
          <w:sz w:val="24"/>
        </w:rPr>
        <w:t> </w:t>
      </w:r>
      <w:r>
        <w:rPr>
          <w:sz w:val="24"/>
        </w:rPr>
        <w:t>of</w:t>
      </w:r>
      <w:r>
        <w:rPr>
          <w:spacing w:val="40"/>
          <w:sz w:val="24"/>
        </w:rPr>
        <w:t> </w:t>
      </w:r>
      <w:r>
        <w:rPr>
          <w:sz w:val="24"/>
        </w:rPr>
        <w:t>premium</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100%</w:t>
      </w:r>
      <w:r>
        <w:rPr>
          <w:spacing w:val="40"/>
          <w:sz w:val="24"/>
        </w:rPr>
        <w:t> </w:t>
      </w:r>
      <w:r>
        <w:rPr>
          <w:sz w:val="24"/>
        </w:rPr>
        <w:t>of</w:t>
      </w:r>
      <w:r>
        <w:rPr>
          <w:spacing w:val="40"/>
          <w:sz w:val="24"/>
        </w:rPr>
        <w:t> </w:t>
      </w:r>
      <w:r>
        <w:rPr>
          <w:sz w:val="24"/>
        </w:rPr>
        <w:t>ASR</w:t>
      </w:r>
      <w:r>
        <w:rPr>
          <w:spacing w:val="40"/>
          <w:sz w:val="24"/>
        </w:rPr>
        <w:t> </w:t>
      </w:r>
      <w:r>
        <w:rPr>
          <w:sz w:val="24"/>
        </w:rPr>
        <w:t>of</w:t>
      </w:r>
      <w:r>
        <w:rPr>
          <w:spacing w:val="40"/>
          <w:sz w:val="24"/>
        </w:rPr>
        <w:t> </w:t>
      </w:r>
      <w:r>
        <w:rPr>
          <w:sz w:val="24"/>
        </w:rPr>
        <w:t>open</w:t>
      </w:r>
      <w:r>
        <w:rPr>
          <w:spacing w:val="40"/>
          <w:sz w:val="24"/>
        </w:rPr>
        <w:t> </w:t>
      </w:r>
      <w:r>
        <w:rPr>
          <w:sz w:val="24"/>
        </w:rPr>
        <w:t>land</w:t>
      </w:r>
      <w:r>
        <w:rPr>
          <w:spacing w:val="40"/>
          <w:sz w:val="24"/>
        </w:rPr>
        <w:t> </w:t>
      </w:r>
      <w:r>
        <w:rPr>
          <w:sz w:val="24"/>
        </w:rPr>
        <w:t>(for</w:t>
      </w:r>
      <w:r>
        <w:rPr>
          <w:spacing w:val="40"/>
          <w:sz w:val="24"/>
        </w:rPr>
        <w:t> </w:t>
      </w:r>
      <w:r>
        <w:rPr>
          <w:sz w:val="24"/>
        </w:rPr>
        <w:t>FSI 1).</w:t>
      </w:r>
      <w:r>
        <w:rPr>
          <w:spacing w:val="40"/>
          <w:sz w:val="24"/>
        </w:rPr>
        <w:t> </w:t>
      </w:r>
      <w:r>
        <w:rPr>
          <w:sz w:val="24"/>
        </w:rPr>
        <w:t>For</w:t>
      </w:r>
      <w:r>
        <w:rPr>
          <w:spacing w:val="40"/>
          <w:sz w:val="24"/>
        </w:rPr>
        <w:t> </w:t>
      </w:r>
      <w:r>
        <w:rPr>
          <w:sz w:val="24"/>
        </w:rPr>
        <w:t>this</w:t>
      </w:r>
      <w:r>
        <w:rPr>
          <w:spacing w:val="40"/>
          <w:sz w:val="24"/>
        </w:rPr>
        <w:t> </w:t>
      </w:r>
      <w:r>
        <w:rPr>
          <w:sz w:val="24"/>
        </w:rPr>
        <w:t>purpose,</w:t>
      </w:r>
      <w:r>
        <w:rPr>
          <w:spacing w:val="40"/>
          <w:sz w:val="24"/>
        </w:rPr>
        <w:t> </w:t>
      </w:r>
      <w:r>
        <w:rPr>
          <w:sz w:val="24"/>
        </w:rPr>
        <w:t>maximum</w:t>
      </w:r>
      <w:r>
        <w:rPr>
          <w:spacing w:val="40"/>
          <w:sz w:val="24"/>
        </w:rPr>
        <w:t> </w:t>
      </w:r>
      <w:r>
        <w:rPr>
          <w:sz w:val="24"/>
        </w:rPr>
        <w:t>area</w:t>
      </w:r>
      <w:r>
        <w:rPr>
          <w:spacing w:val="40"/>
          <w:sz w:val="24"/>
        </w:rPr>
        <w:t> </w:t>
      </w:r>
      <w:r>
        <w:rPr>
          <w:sz w:val="24"/>
        </w:rPr>
        <w:t>of</w:t>
      </w:r>
      <w:r>
        <w:rPr>
          <w:spacing w:val="40"/>
          <w:sz w:val="24"/>
        </w:rPr>
        <w:t> </w:t>
      </w:r>
      <w:r>
        <w:rPr>
          <w:sz w:val="24"/>
        </w:rPr>
        <w:t>construction</w:t>
      </w:r>
      <w:r>
        <w:rPr>
          <w:spacing w:val="40"/>
          <w:sz w:val="24"/>
        </w:rPr>
        <w:t> </w:t>
      </w:r>
      <w:r>
        <w:rPr>
          <w:sz w:val="24"/>
        </w:rPr>
        <w:t>per</w:t>
      </w:r>
      <w:r>
        <w:rPr>
          <w:spacing w:val="40"/>
          <w:sz w:val="24"/>
        </w:rPr>
        <w:t> </w:t>
      </w:r>
      <w:r>
        <w:rPr>
          <w:sz w:val="24"/>
        </w:rPr>
        <w:t>car</w:t>
      </w:r>
      <w:r>
        <w:rPr>
          <w:spacing w:val="40"/>
          <w:sz w:val="24"/>
        </w:rPr>
        <w:t> </w:t>
      </w:r>
      <w:r>
        <w:rPr>
          <w:sz w:val="24"/>
        </w:rPr>
        <w:t>parking space shall be considered at 40 sq. m including the area required for effective</w:t>
      </w:r>
      <w:r>
        <w:rPr>
          <w:spacing w:val="80"/>
          <w:sz w:val="24"/>
        </w:rPr>
        <w:t> </w:t>
      </w:r>
      <w:r>
        <w:rPr>
          <w:sz w:val="24"/>
        </w:rPr>
        <w:t>maneuvering,</w:t>
      </w:r>
      <w:r>
        <w:rPr>
          <w:spacing w:val="80"/>
          <w:sz w:val="24"/>
        </w:rPr>
        <w:t> </w:t>
      </w:r>
      <w:r>
        <w:rPr>
          <w:sz w:val="24"/>
        </w:rPr>
        <w:t>passages,</w:t>
      </w:r>
      <w:r>
        <w:rPr>
          <w:spacing w:val="80"/>
          <w:sz w:val="24"/>
        </w:rPr>
        <w:t> </w:t>
      </w:r>
      <w:r>
        <w:rPr>
          <w:sz w:val="24"/>
        </w:rPr>
        <w:t>slopes/ramps</w:t>
      </w:r>
      <w:r>
        <w:rPr>
          <w:spacing w:val="80"/>
          <w:sz w:val="24"/>
        </w:rPr>
        <w:t> </w:t>
      </w:r>
      <w:r>
        <w:rPr>
          <w:sz w:val="24"/>
        </w:rPr>
        <w:t>columns,</w:t>
      </w:r>
      <w:r>
        <w:rPr>
          <w:spacing w:val="80"/>
          <w:sz w:val="24"/>
        </w:rPr>
        <w:t> </w:t>
      </w:r>
      <w:r>
        <w:rPr>
          <w:sz w:val="24"/>
        </w:rPr>
        <w:t>car</w:t>
      </w:r>
      <w:r>
        <w:rPr>
          <w:spacing w:val="80"/>
          <w:sz w:val="24"/>
        </w:rPr>
        <w:t> </w:t>
      </w:r>
      <w:r>
        <w:rPr>
          <w:sz w:val="24"/>
        </w:rPr>
        <w:t>lifts</w:t>
      </w:r>
      <w:r>
        <w:rPr>
          <w:spacing w:val="80"/>
          <w:sz w:val="24"/>
        </w:rPr>
        <w:t> </w:t>
      </w:r>
      <w:r>
        <w:rPr>
          <w:sz w:val="24"/>
        </w:rPr>
        <w:t>etc.</w:t>
      </w:r>
    </w:p>
    <w:p>
      <w:pPr>
        <w:pStyle w:val="ListParagraph"/>
        <w:numPr>
          <w:ilvl w:val="2"/>
          <w:numId w:val="306"/>
        </w:numPr>
        <w:tabs>
          <w:tab w:pos="1967" w:val="left" w:leader="none"/>
        </w:tabs>
        <w:spacing w:line="240" w:lineRule="auto" w:before="1" w:after="0"/>
        <w:ind w:left="1493" w:right="780" w:firstLine="0"/>
        <w:jc w:val="both"/>
        <w:rPr>
          <w:sz w:val="24"/>
        </w:rPr>
      </w:pPr>
      <w:r>
        <w:rPr>
          <w:sz w:val="24"/>
        </w:rPr>
        <w:t>Where entire parking is proposed by mechanical/automatic means, additional</w:t>
      </w:r>
      <w:r>
        <w:rPr>
          <w:spacing w:val="74"/>
          <w:sz w:val="24"/>
        </w:rPr>
        <w:t> </w:t>
      </w:r>
      <w:r>
        <w:rPr>
          <w:sz w:val="24"/>
        </w:rPr>
        <w:t>parking</w:t>
      </w:r>
      <w:r>
        <w:rPr>
          <w:spacing w:val="75"/>
          <w:sz w:val="24"/>
        </w:rPr>
        <w:t> </w:t>
      </w:r>
      <w:r>
        <w:rPr>
          <w:sz w:val="24"/>
        </w:rPr>
        <w:t>to</w:t>
      </w:r>
      <w:r>
        <w:rPr>
          <w:spacing w:val="74"/>
          <w:sz w:val="24"/>
        </w:rPr>
        <w:t> </w:t>
      </w:r>
      <w:r>
        <w:rPr>
          <w:sz w:val="24"/>
        </w:rPr>
        <w:t>the</w:t>
      </w:r>
      <w:r>
        <w:rPr>
          <w:spacing w:val="74"/>
          <w:sz w:val="24"/>
        </w:rPr>
        <w:t> </w:t>
      </w:r>
      <w:r>
        <w:rPr>
          <w:sz w:val="24"/>
        </w:rPr>
        <w:t>extent</w:t>
      </w:r>
      <w:r>
        <w:rPr>
          <w:spacing w:val="75"/>
          <w:sz w:val="24"/>
        </w:rPr>
        <w:t> </w:t>
      </w:r>
      <w:r>
        <w:rPr>
          <w:sz w:val="24"/>
        </w:rPr>
        <w:t>of</w:t>
      </w:r>
      <w:r>
        <w:rPr>
          <w:spacing w:val="74"/>
          <w:sz w:val="24"/>
        </w:rPr>
        <w:t> </w:t>
      </w:r>
      <w:r>
        <w:rPr>
          <w:sz w:val="24"/>
        </w:rPr>
        <w:t>10%</w:t>
      </w:r>
      <w:r>
        <w:rPr>
          <w:spacing w:val="74"/>
          <w:sz w:val="24"/>
        </w:rPr>
        <w:t> </w:t>
      </w:r>
      <w:r>
        <w:rPr>
          <w:sz w:val="24"/>
        </w:rPr>
        <w:t>of</w:t>
      </w:r>
      <w:r>
        <w:rPr>
          <w:spacing w:val="75"/>
          <w:sz w:val="24"/>
        </w:rPr>
        <w:t> </w:t>
      </w:r>
      <w:r>
        <w:rPr>
          <w:sz w:val="24"/>
        </w:rPr>
        <w:t>the</w:t>
      </w:r>
      <w:r>
        <w:rPr>
          <w:spacing w:val="75"/>
          <w:sz w:val="24"/>
        </w:rPr>
        <w:t> </w:t>
      </w:r>
      <w:r>
        <w:rPr>
          <w:sz w:val="24"/>
        </w:rPr>
        <w:t>required</w:t>
      </w:r>
      <w:r>
        <w:rPr>
          <w:spacing w:val="75"/>
          <w:sz w:val="24"/>
        </w:rPr>
        <w:t> </w:t>
      </w:r>
      <w:r>
        <w:rPr>
          <w:sz w:val="24"/>
        </w:rPr>
        <w:t>parking</w:t>
      </w:r>
      <w:r>
        <w:rPr>
          <w:spacing w:val="74"/>
          <w:sz w:val="24"/>
        </w:rPr>
        <w:t> </w:t>
      </w:r>
      <w:r>
        <w:rPr>
          <w:spacing w:val="9"/>
          <w:sz w:val="24"/>
        </w:rPr>
        <w:t>shall </w:t>
      </w:r>
      <w:r>
        <w:rPr>
          <w:sz w:val="24"/>
        </w:rPr>
        <w:t>be</w:t>
      </w:r>
      <w:r>
        <w:rPr>
          <w:spacing w:val="40"/>
          <w:sz w:val="24"/>
        </w:rPr>
        <w:t> </w:t>
      </w:r>
      <w:r>
        <w:rPr>
          <w:sz w:val="24"/>
        </w:rPr>
        <w:t>permitted</w:t>
      </w:r>
      <w:r>
        <w:rPr>
          <w:spacing w:val="40"/>
          <w:sz w:val="24"/>
        </w:rPr>
        <w:t> </w:t>
      </w:r>
      <w:r>
        <w:rPr>
          <w:sz w:val="24"/>
        </w:rPr>
        <w:t>free</w:t>
      </w:r>
      <w:r>
        <w:rPr>
          <w:spacing w:val="40"/>
          <w:sz w:val="24"/>
        </w:rPr>
        <w:t> </w:t>
      </w:r>
      <w:r>
        <w:rPr>
          <w:sz w:val="24"/>
        </w:rPr>
        <w:t>of</w:t>
      </w:r>
      <w:r>
        <w:rPr>
          <w:spacing w:val="40"/>
          <w:sz w:val="24"/>
        </w:rPr>
        <w:t> </w:t>
      </w:r>
      <w:r>
        <w:rPr>
          <w:sz w:val="24"/>
        </w:rPr>
        <w:t>FSI</w:t>
      </w:r>
      <w:r>
        <w:rPr>
          <w:spacing w:val="40"/>
          <w:sz w:val="24"/>
        </w:rPr>
        <w:t> </w:t>
      </w:r>
      <w:r>
        <w:rPr>
          <w:sz w:val="24"/>
        </w:rPr>
        <w:t>as</w:t>
      </w:r>
      <w:r>
        <w:rPr>
          <w:spacing w:val="40"/>
          <w:sz w:val="24"/>
        </w:rPr>
        <w:t> </w:t>
      </w:r>
      <w:r>
        <w:rPr>
          <w:sz w:val="24"/>
        </w:rPr>
        <w:t>vehicle</w:t>
      </w:r>
      <w:r>
        <w:rPr>
          <w:spacing w:val="40"/>
          <w:sz w:val="24"/>
        </w:rPr>
        <w:t> </w:t>
      </w:r>
      <w:r>
        <w:rPr>
          <w:sz w:val="24"/>
        </w:rPr>
        <w:t>holding</w:t>
      </w:r>
      <w:r>
        <w:rPr>
          <w:spacing w:val="40"/>
          <w:sz w:val="24"/>
        </w:rPr>
        <w:t> </w:t>
      </w:r>
      <w:r>
        <w:rPr>
          <w:spacing w:val="9"/>
          <w:sz w:val="24"/>
        </w:rPr>
        <w:t>area.</w:t>
      </w:r>
    </w:p>
    <w:p>
      <w:pPr>
        <w:pStyle w:val="ListParagraph"/>
        <w:numPr>
          <w:ilvl w:val="1"/>
          <w:numId w:val="306"/>
        </w:numPr>
        <w:tabs>
          <w:tab w:pos="1949" w:val="left" w:leader="none"/>
        </w:tabs>
        <w:spacing w:line="240" w:lineRule="auto" w:before="240" w:after="0"/>
        <w:ind w:left="1493" w:right="781" w:firstLine="0"/>
        <w:jc w:val="left"/>
        <w:rPr>
          <w:sz w:val="24"/>
        </w:rPr>
      </w:pPr>
      <w:r>
        <w:rPr>
          <w:sz w:val="24"/>
        </w:rPr>
        <w:t>In</w:t>
      </w:r>
      <w:r>
        <w:rPr>
          <w:spacing w:val="80"/>
          <w:sz w:val="24"/>
        </w:rPr>
        <w:t> </w:t>
      </w:r>
      <w:r>
        <w:rPr>
          <w:sz w:val="24"/>
        </w:rPr>
        <w:t>the</w:t>
      </w:r>
      <w:r>
        <w:rPr>
          <w:spacing w:val="80"/>
          <w:sz w:val="24"/>
        </w:rPr>
        <w:t> </w:t>
      </w:r>
      <w:r>
        <w:rPr>
          <w:sz w:val="24"/>
        </w:rPr>
        <w:t>side</w:t>
      </w:r>
      <w:r>
        <w:rPr>
          <w:spacing w:val="80"/>
          <w:sz w:val="24"/>
        </w:rPr>
        <w:t> </w:t>
      </w:r>
      <w:r>
        <w:rPr>
          <w:sz w:val="24"/>
        </w:rPr>
        <w:t>and</w:t>
      </w:r>
      <w:r>
        <w:rPr>
          <w:spacing w:val="80"/>
          <w:sz w:val="24"/>
        </w:rPr>
        <w:t> </w:t>
      </w:r>
      <w:r>
        <w:rPr>
          <w:sz w:val="24"/>
        </w:rPr>
        <w:t>rear</w:t>
      </w:r>
      <w:r>
        <w:rPr>
          <w:spacing w:val="80"/>
          <w:sz w:val="24"/>
        </w:rPr>
        <w:t> </w:t>
      </w:r>
      <w:r>
        <w:rPr>
          <w:sz w:val="24"/>
        </w:rPr>
        <w:t>open</w:t>
      </w:r>
      <w:r>
        <w:rPr>
          <w:spacing w:val="80"/>
          <w:sz w:val="24"/>
        </w:rPr>
        <w:t> </w:t>
      </w:r>
      <w:r>
        <w:rPr>
          <w:sz w:val="24"/>
        </w:rPr>
        <w:t>spaces,</w:t>
      </w:r>
      <w:r>
        <w:rPr>
          <w:spacing w:val="80"/>
          <w:sz w:val="24"/>
        </w:rPr>
        <w:t> </w:t>
      </w:r>
      <w:r>
        <w:rPr>
          <w:sz w:val="24"/>
        </w:rPr>
        <w:t>but</w:t>
      </w:r>
      <w:r>
        <w:rPr>
          <w:spacing w:val="80"/>
          <w:sz w:val="24"/>
        </w:rPr>
        <w:t> </w:t>
      </w:r>
      <w:r>
        <w:rPr>
          <w:sz w:val="24"/>
        </w:rPr>
        <w:t>not</w:t>
      </w:r>
      <w:r>
        <w:rPr>
          <w:spacing w:val="80"/>
          <w:sz w:val="24"/>
        </w:rPr>
        <w:t> </w:t>
      </w:r>
      <w:r>
        <w:rPr>
          <w:sz w:val="24"/>
        </w:rPr>
        <w:t>in</w:t>
      </w:r>
      <w:r>
        <w:rPr>
          <w:spacing w:val="80"/>
          <w:sz w:val="24"/>
        </w:rPr>
        <w:t> </w:t>
      </w:r>
      <w:r>
        <w:rPr>
          <w:sz w:val="24"/>
        </w:rPr>
        <w:t>the</w:t>
      </w:r>
      <w:r>
        <w:rPr>
          <w:spacing w:val="80"/>
          <w:sz w:val="24"/>
        </w:rPr>
        <w:t> </w:t>
      </w:r>
      <w:r>
        <w:rPr>
          <w:sz w:val="24"/>
        </w:rPr>
        <w:t>amenity</w:t>
      </w:r>
      <w:r>
        <w:rPr>
          <w:spacing w:val="74"/>
          <w:w w:val="150"/>
          <w:sz w:val="24"/>
        </w:rPr>
        <w:t> </w:t>
      </w:r>
      <w:r>
        <w:rPr>
          <w:sz w:val="24"/>
        </w:rPr>
        <w:t>open spaces, if-</w:t>
      </w:r>
    </w:p>
    <w:p>
      <w:pPr>
        <w:pStyle w:val="BodyText"/>
        <w:tabs>
          <w:tab w:pos="2213" w:val="left" w:leader="none"/>
        </w:tabs>
        <w:ind w:left="1493" w:right="838"/>
        <w:jc w:val="left"/>
      </w:pPr>
      <w:r>
        <w:rPr/>
        <w:t>(i.)</w:t>
      </w:r>
      <w:r>
        <w:rPr>
          <w:spacing w:val="40"/>
        </w:rPr>
        <w:t> </w:t>
      </w:r>
      <w:r>
        <w:rPr/>
        <w:t>they</w:t>
      </w:r>
      <w:r>
        <w:rPr>
          <w:spacing w:val="40"/>
        </w:rPr>
        <w:t> </w:t>
      </w:r>
      <w:r>
        <w:rPr/>
        <w:t>are</w:t>
      </w:r>
      <w:r>
        <w:rPr>
          <w:spacing w:val="40"/>
        </w:rPr>
        <w:t> </w:t>
      </w:r>
      <w:r>
        <w:rPr/>
        <w:t>unenclosed</w:t>
      </w:r>
      <w:r>
        <w:rPr>
          <w:spacing w:val="40"/>
        </w:rPr>
        <w:t> </w:t>
      </w:r>
      <w:r>
        <w:rPr/>
        <w:t>but</w:t>
      </w:r>
      <w:r>
        <w:rPr>
          <w:spacing w:val="40"/>
        </w:rPr>
        <w:t> </w:t>
      </w:r>
      <w:r>
        <w:rPr/>
        <w:t>uncovered</w:t>
      </w:r>
      <w:r>
        <w:rPr>
          <w:spacing w:val="40"/>
        </w:rPr>
        <w:t> </w:t>
      </w:r>
      <w:r>
        <w:rPr/>
        <w:t>except</w:t>
      </w:r>
      <w:r>
        <w:rPr>
          <w:spacing w:val="40"/>
        </w:rPr>
        <w:t> </w:t>
      </w:r>
      <w:r>
        <w:rPr/>
        <w:t>as</w:t>
      </w:r>
      <w:r>
        <w:rPr>
          <w:spacing w:val="40"/>
        </w:rPr>
        <w:t> </w:t>
      </w:r>
      <w:r>
        <w:rPr/>
        <w:t>provided</w:t>
      </w:r>
      <w:r>
        <w:rPr>
          <w:spacing w:val="40"/>
        </w:rPr>
        <w:t> </w:t>
      </w:r>
      <w:r>
        <w:rPr/>
        <w:t>in</w:t>
      </w:r>
      <w:r>
        <w:rPr>
          <w:spacing w:val="40"/>
        </w:rPr>
        <w:t> </w:t>
      </w:r>
      <w:r>
        <w:rPr/>
        <w:t>(d)</w:t>
      </w:r>
      <w:r>
        <w:rPr>
          <w:spacing w:val="40"/>
        </w:rPr>
        <w:t> </w:t>
      </w:r>
      <w:r>
        <w:rPr/>
        <w:t>below; </w:t>
      </w:r>
      <w:r>
        <w:rPr>
          <w:spacing w:val="-2"/>
        </w:rPr>
        <w:t>(ii.)</w:t>
      </w:r>
      <w:r>
        <w:rPr/>
        <w:tab/>
        <w:t>they</w:t>
      </w:r>
      <w:r>
        <w:rPr>
          <w:spacing w:val="40"/>
        </w:rPr>
        <w:t> </w:t>
      </w:r>
      <w:r>
        <w:rPr/>
        <w:t>do</w:t>
      </w:r>
      <w:r>
        <w:rPr>
          <w:spacing w:val="40"/>
        </w:rPr>
        <w:t> </w:t>
      </w:r>
      <w:r>
        <w:rPr/>
        <w:t>not</w:t>
      </w:r>
      <w:r>
        <w:rPr>
          <w:spacing w:val="40"/>
        </w:rPr>
        <w:t> </w:t>
      </w:r>
      <w:r>
        <w:rPr/>
        <w:t>consume</w:t>
      </w:r>
      <w:r>
        <w:rPr>
          <w:spacing w:val="40"/>
        </w:rPr>
        <w:t> </w:t>
      </w:r>
      <w:r>
        <w:rPr/>
        <w:t>more</w:t>
      </w:r>
      <w:r>
        <w:rPr>
          <w:spacing w:val="40"/>
        </w:rPr>
        <w:t> </w:t>
      </w:r>
      <w:r>
        <w:rPr/>
        <w:t>than</w:t>
      </w:r>
      <w:r>
        <w:rPr>
          <w:spacing w:val="40"/>
        </w:rPr>
        <w:t> </w:t>
      </w:r>
      <w:r>
        <w:rPr/>
        <w:t>50</w:t>
      </w:r>
      <w:r>
        <w:rPr>
          <w:spacing w:val="40"/>
        </w:rPr>
        <w:t> </w:t>
      </w:r>
      <w:r>
        <w:rPr/>
        <w:t>percent</w:t>
      </w:r>
      <w:r>
        <w:rPr>
          <w:spacing w:val="40"/>
        </w:rPr>
        <w:t> </w:t>
      </w:r>
      <w:r>
        <w:rPr/>
        <w:t>of</w:t>
      </w:r>
      <w:r>
        <w:rPr>
          <w:spacing w:val="40"/>
        </w:rPr>
        <w:t> </w:t>
      </w:r>
      <w:r>
        <w:rPr/>
        <w:t>the</w:t>
      </w:r>
      <w:r>
        <w:rPr>
          <w:spacing w:val="40"/>
        </w:rPr>
        <w:t> </w:t>
      </w:r>
      <w:r>
        <w:rPr/>
        <w:t>open</w:t>
      </w:r>
      <w:r>
        <w:rPr>
          <w:spacing w:val="40"/>
        </w:rPr>
        <w:t> </w:t>
      </w:r>
      <w:r>
        <w:rPr/>
        <w:t>space;</w:t>
      </w:r>
    </w:p>
    <w:p>
      <w:pPr>
        <w:pStyle w:val="ListParagraph"/>
        <w:numPr>
          <w:ilvl w:val="0"/>
          <w:numId w:val="303"/>
        </w:numPr>
        <w:tabs>
          <w:tab w:pos="2022" w:val="left" w:leader="none"/>
          <w:tab w:pos="3417" w:val="left" w:leader="none"/>
        </w:tabs>
        <w:spacing w:line="240" w:lineRule="auto" w:before="1" w:after="0"/>
        <w:ind w:left="1493" w:right="783" w:firstLine="0"/>
        <w:jc w:val="left"/>
        <w:rPr>
          <w:sz w:val="24"/>
        </w:rPr>
      </w:pPr>
      <w:r>
        <w:rPr>
          <w:sz w:val="24"/>
        </w:rPr>
        <w:t>a</w:t>
      </w:r>
      <w:r>
        <w:rPr>
          <w:spacing w:val="80"/>
          <w:sz w:val="24"/>
        </w:rPr>
        <w:t> </w:t>
      </w:r>
      <w:r>
        <w:rPr>
          <w:sz w:val="24"/>
        </w:rPr>
        <w:t>minimum</w:t>
      </w:r>
      <w:r>
        <w:rPr>
          <w:spacing w:val="80"/>
          <w:sz w:val="24"/>
        </w:rPr>
        <w:t> </w:t>
      </w:r>
      <w:r>
        <w:rPr>
          <w:sz w:val="24"/>
        </w:rPr>
        <w:t>distance</w:t>
      </w:r>
      <w:r>
        <w:rPr>
          <w:spacing w:val="80"/>
          <w:sz w:val="24"/>
        </w:rPr>
        <w:t> </w:t>
      </w:r>
      <w:r>
        <w:rPr>
          <w:sz w:val="24"/>
        </w:rPr>
        <w:t>of</w:t>
      </w:r>
      <w:r>
        <w:rPr>
          <w:spacing w:val="80"/>
          <w:sz w:val="24"/>
        </w:rPr>
        <w:t> </w:t>
      </w:r>
      <w:r>
        <w:rPr>
          <w:sz w:val="24"/>
        </w:rPr>
        <w:t>3</w:t>
      </w:r>
      <w:r>
        <w:rPr>
          <w:spacing w:val="80"/>
          <w:sz w:val="24"/>
        </w:rPr>
        <w:t> </w:t>
      </w:r>
      <w:r>
        <w:rPr>
          <w:sz w:val="24"/>
        </w:rPr>
        <w:t>m</w:t>
      </w:r>
      <w:r>
        <w:rPr>
          <w:spacing w:val="80"/>
          <w:sz w:val="24"/>
        </w:rPr>
        <w:t> </w:t>
      </w:r>
      <w:r>
        <w:rPr>
          <w:sz w:val="24"/>
        </w:rPr>
        <w:t>around</w:t>
      </w:r>
      <w:r>
        <w:rPr>
          <w:spacing w:val="80"/>
          <w:sz w:val="24"/>
        </w:rPr>
        <w:t> </w:t>
      </w:r>
      <w:r>
        <w:rPr>
          <w:sz w:val="24"/>
        </w:rPr>
        <w:t>the</w:t>
      </w:r>
      <w:r>
        <w:rPr>
          <w:spacing w:val="80"/>
          <w:sz w:val="24"/>
        </w:rPr>
        <w:t> </w:t>
      </w:r>
      <w:r>
        <w:rPr>
          <w:sz w:val="24"/>
        </w:rPr>
        <w:t>building</w:t>
      </w:r>
      <w:r>
        <w:rPr>
          <w:spacing w:val="80"/>
          <w:sz w:val="24"/>
        </w:rPr>
        <w:t> </w:t>
      </w:r>
      <w:r>
        <w:rPr>
          <w:sz w:val="24"/>
        </w:rPr>
        <w:t>is</w:t>
      </w:r>
      <w:r>
        <w:rPr>
          <w:spacing w:val="80"/>
          <w:sz w:val="24"/>
        </w:rPr>
        <w:t> </w:t>
      </w:r>
      <w:r>
        <w:rPr>
          <w:spacing w:val="10"/>
          <w:sz w:val="24"/>
        </w:rPr>
        <w:t>kept</w:t>
      </w:r>
      <w:r>
        <w:rPr>
          <w:spacing w:val="80"/>
          <w:sz w:val="24"/>
        </w:rPr>
        <w:t> </w:t>
      </w:r>
      <w:r>
        <w:rPr>
          <w:sz w:val="24"/>
        </w:rPr>
        <w:t>free</w:t>
      </w:r>
      <w:r>
        <w:rPr>
          <w:spacing w:val="80"/>
          <w:sz w:val="24"/>
        </w:rPr>
        <w:t> </w:t>
      </w:r>
      <w:r>
        <w:rPr>
          <w:sz w:val="24"/>
        </w:rPr>
        <w:t>of parking for</w:t>
        <w:tab/>
        <w:t>proper</w:t>
      </w:r>
      <w:r>
        <w:rPr>
          <w:spacing w:val="40"/>
          <w:sz w:val="24"/>
        </w:rPr>
        <w:t> </w:t>
      </w:r>
      <w:r>
        <w:rPr>
          <w:sz w:val="24"/>
        </w:rPr>
        <w:t>maneuverability</w:t>
      </w:r>
      <w:r>
        <w:rPr>
          <w:spacing w:val="40"/>
          <w:sz w:val="24"/>
        </w:rPr>
        <w:t> </w:t>
      </w:r>
      <w:r>
        <w:rPr>
          <w:sz w:val="24"/>
        </w:rPr>
        <w:t>of</w:t>
      </w:r>
      <w:r>
        <w:rPr>
          <w:spacing w:val="40"/>
          <w:sz w:val="24"/>
        </w:rPr>
        <w:t> </w:t>
      </w:r>
      <w:r>
        <w:rPr>
          <w:spacing w:val="9"/>
          <w:sz w:val="24"/>
        </w:rPr>
        <w:t>vehicles;</w:t>
      </w:r>
    </w:p>
    <w:p>
      <w:pPr>
        <w:pStyle w:val="ListParagraph"/>
        <w:numPr>
          <w:ilvl w:val="0"/>
          <w:numId w:val="303"/>
        </w:numPr>
        <w:tabs>
          <w:tab w:pos="1958" w:val="left" w:leader="none"/>
        </w:tabs>
        <w:spacing w:line="240" w:lineRule="auto" w:before="1" w:after="0"/>
        <w:ind w:left="1493" w:right="797" w:firstLine="0"/>
        <w:jc w:val="left"/>
        <w:rPr>
          <w:sz w:val="24"/>
        </w:rPr>
      </w:pPr>
      <w:r>
        <w:rPr>
          <w:sz w:val="24"/>
        </w:rPr>
        <w:t>they</w:t>
      </w:r>
      <w:r>
        <w:rPr>
          <w:spacing w:val="40"/>
          <w:sz w:val="24"/>
        </w:rPr>
        <w:t> </w:t>
      </w:r>
      <w:r>
        <w:rPr>
          <w:sz w:val="24"/>
        </w:rPr>
        <w:t>are</w:t>
      </w:r>
      <w:r>
        <w:rPr>
          <w:spacing w:val="40"/>
          <w:sz w:val="24"/>
        </w:rPr>
        <w:t> </w:t>
      </w:r>
      <w:r>
        <w:rPr>
          <w:sz w:val="24"/>
        </w:rPr>
        <w:t>atleast</w:t>
      </w:r>
      <w:r>
        <w:rPr>
          <w:spacing w:val="40"/>
          <w:sz w:val="24"/>
        </w:rPr>
        <w:t> </w:t>
      </w:r>
      <w:r>
        <w:rPr>
          <w:sz w:val="24"/>
        </w:rPr>
        <w:t>7.5</w:t>
      </w:r>
      <w:r>
        <w:rPr>
          <w:spacing w:val="40"/>
          <w:sz w:val="24"/>
        </w:rPr>
        <w:t> </w:t>
      </w:r>
      <w:r>
        <w:rPr>
          <w:sz w:val="24"/>
        </w:rPr>
        <w:t>m</w:t>
      </w:r>
      <w:r>
        <w:rPr>
          <w:spacing w:val="40"/>
          <w:sz w:val="24"/>
        </w:rPr>
        <w:t> </w:t>
      </w:r>
      <w:r>
        <w:rPr>
          <w:sz w:val="24"/>
        </w:rPr>
        <w:t>from</w:t>
      </w:r>
      <w:r>
        <w:rPr>
          <w:spacing w:val="40"/>
          <w:sz w:val="24"/>
        </w:rPr>
        <w:t> </w:t>
      </w:r>
      <w:r>
        <w:rPr>
          <w:sz w:val="24"/>
        </w:rPr>
        <w:t>the</w:t>
      </w:r>
      <w:r>
        <w:rPr>
          <w:spacing w:val="40"/>
          <w:sz w:val="24"/>
        </w:rPr>
        <w:t> </w:t>
      </w:r>
      <w:r>
        <w:rPr>
          <w:sz w:val="24"/>
        </w:rPr>
        <w:t>road</w:t>
      </w:r>
      <w:r>
        <w:rPr>
          <w:spacing w:val="40"/>
          <w:sz w:val="24"/>
        </w:rPr>
        <w:t> </w:t>
      </w:r>
      <w:r>
        <w:rPr>
          <w:sz w:val="24"/>
        </w:rPr>
        <w:t>boundary</w:t>
      </w:r>
      <w:r>
        <w:rPr>
          <w:spacing w:val="40"/>
          <w:sz w:val="24"/>
        </w:rPr>
        <w:t> </w:t>
      </w:r>
      <w:r>
        <w:rPr>
          <w:sz w:val="24"/>
        </w:rPr>
        <w:t>in</w:t>
      </w:r>
      <w:r>
        <w:rPr>
          <w:spacing w:val="40"/>
          <w:sz w:val="24"/>
        </w:rPr>
        <w:t> </w:t>
      </w:r>
      <w:r>
        <w:rPr>
          <w:sz w:val="24"/>
        </w:rPr>
        <w:t>case</w:t>
      </w:r>
      <w:r>
        <w:rPr>
          <w:spacing w:val="40"/>
          <w:sz w:val="24"/>
        </w:rPr>
        <w:t> </w:t>
      </w:r>
      <w:r>
        <w:rPr>
          <w:sz w:val="24"/>
        </w:rPr>
        <w:t>of</w:t>
      </w:r>
      <w:r>
        <w:rPr>
          <w:spacing w:val="40"/>
          <w:sz w:val="24"/>
        </w:rPr>
        <w:t> </w:t>
      </w:r>
      <w:r>
        <w:rPr>
          <w:sz w:val="24"/>
        </w:rPr>
        <w:t>detached covered garages;</w:t>
      </w:r>
    </w:p>
    <w:p>
      <w:pPr>
        <w:pStyle w:val="ListParagraph"/>
        <w:numPr>
          <w:ilvl w:val="0"/>
          <w:numId w:val="303"/>
        </w:numPr>
        <w:tabs>
          <w:tab w:pos="1879" w:val="left" w:leader="none"/>
        </w:tabs>
        <w:spacing w:line="240" w:lineRule="auto" w:before="0" w:after="0"/>
        <w:ind w:left="1493" w:right="771" w:firstLine="0"/>
        <w:jc w:val="left"/>
        <w:rPr>
          <w:sz w:val="24"/>
        </w:rPr>
      </w:pPr>
      <w:r>
        <w:rPr>
          <w:sz w:val="24"/>
        </w:rPr>
        <w:t>the</w:t>
      </w:r>
      <w:r>
        <w:rPr>
          <w:spacing w:val="40"/>
          <w:sz w:val="24"/>
        </w:rPr>
        <w:t> </w:t>
      </w:r>
      <w:r>
        <w:rPr>
          <w:sz w:val="24"/>
        </w:rPr>
        <w:t>parking</w:t>
      </w:r>
      <w:r>
        <w:rPr>
          <w:spacing w:val="40"/>
          <w:sz w:val="24"/>
        </w:rPr>
        <w:t> </w:t>
      </w:r>
      <w:r>
        <w:rPr>
          <w:sz w:val="24"/>
        </w:rPr>
        <w:t>layouts</w:t>
      </w:r>
      <w:r>
        <w:rPr>
          <w:spacing w:val="40"/>
          <w:sz w:val="24"/>
        </w:rPr>
        <w:t> </w:t>
      </w:r>
      <w:r>
        <w:rPr>
          <w:sz w:val="24"/>
        </w:rPr>
        <w:t>meet</w:t>
      </w:r>
      <w:r>
        <w:rPr>
          <w:spacing w:val="40"/>
          <w:sz w:val="24"/>
        </w:rPr>
        <w:t> </w:t>
      </w:r>
      <w:r>
        <w:rPr>
          <w:sz w:val="24"/>
        </w:rPr>
        <w:t>the</w:t>
      </w:r>
      <w:r>
        <w:rPr>
          <w:spacing w:val="40"/>
          <w:sz w:val="24"/>
        </w:rPr>
        <w:t> </w:t>
      </w:r>
      <w:r>
        <w:rPr>
          <w:sz w:val="24"/>
        </w:rPr>
        <w:t>requirements</w:t>
      </w:r>
      <w:r>
        <w:rPr>
          <w:spacing w:val="40"/>
          <w:sz w:val="24"/>
        </w:rPr>
        <w:t> </w:t>
      </w:r>
      <w:r>
        <w:rPr>
          <w:sz w:val="24"/>
        </w:rPr>
        <w:t>of</w:t>
      </w:r>
      <w:r>
        <w:rPr>
          <w:spacing w:val="40"/>
          <w:sz w:val="24"/>
        </w:rPr>
        <w:t> </w:t>
      </w:r>
      <w:r>
        <w:rPr>
          <w:sz w:val="24"/>
        </w:rPr>
        <w:t>the</w:t>
      </w:r>
      <w:r>
        <w:rPr>
          <w:spacing w:val="40"/>
          <w:sz w:val="24"/>
        </w:rPr>
        <w:t> </w:t>
      </w:r>
      <w:r>
        <w:rPr>
          <w:sz w:val="24"/>
        </w:rPr>
        <w:t>Chief</w:t>
      </w:r>
      <w:r>
        <w:rPr>
          <w:spacing w:val="40"/>
          <w:sz w:val="24"/>
        </w:rPr>
        <w:t> </w:t>
      </w:r>
      <w:r>
        <w:rPr>
          <w:sz w:val="24"/>
        </w:rPr>
        <w:t>Fire</w:t>
      </w:r>
      <w:r>
        <w:rPr>
          <w:spacing w:val="80"/>
          <w:sz w:val="24"/>
        </w:rPr>
        <w:t> </w:t>
      </w:r>
      <w:r>
        <w:rPr>
          <w:sz w:val="24"/>
        </w:rPr>
        <w:t>Officer</w:t>
      </w:r>
      <w:r>
        <w:rPr>
          <w:spacing w:val="40"/>
          <w:sz w:val="24"/>
        </w:rPr>
        <w:t> </w:t>
      </w:r>
      <w:r>
        <w:rPr>
          <w:sz w:val="24"/>
        </w:rPr>
        <w:t>in</w:t>
      </w:r>
      <w:r>
        <w:rPr>
          <w:spacing w:val="40"/>
          <w:sz w:val="24"/>
        </w:rPr>
        <w:t> </w:t>
      </w:r>
      <w:r>
        <w:rPr>
          <w:sz w:val="24"/>
        </w:rPr>
        <w:t>the</w:t>
      </w:r>
      <w:r>
        <w:rPr>
          <w:spacing w:val="40"/>
          <w:sz w:val="24"/>
        </w:rPr>
        <w:t> </w:t>
      </w:r>
      <w:r>
        <w:rPr>
          <w:sz w:val="24"/>
        </w:rPr>
        <w:t>case</w:t>
      </w:r>
      <w:r>
        <w:rPr>
          <w:spacing w:val="40"/>
          <w:sz w:val="24"/>
        </w:rPr>
        <w:t> </w:t>
      </w:r>
      <w:r>
        <w:rPr>
          <w:sz w:val="24"/>
        </w:rPr>
        <w:t>of</w:t>
      </w:r>
      <w:r>
        <w:rPr>
          <w:spacing w:val="80"/>
          <w:sz w:val="24"/>
        </w:rPr>
        <w:t> </w:t>
      </w:r>
      <w:r>
        <w:rPr>
          <w:sz w:val="24"/>
        </w:rPr>
        <w:t>multistoried,</w:t>
      </w:r>
      <w:r>
        <w:rPr>
          <w:spacing w:val="80"/>
          <w:sz w:val="24"/>
        </w:rPr>
        <w:t> </w:t>
      </w:r>
      <w:r>
        <w:rPr>
          <w:sz w:val="24"/>
        </w:rPr>
        <w:t>high</w:t>
      </w:r>
      <w:r>
        <w:rPr>
          <w:spacing w:val="80"/>
          <w:sz w:val="24"/>
        </w:rPr>
        <w:t> </w:t>
      </w:r>
      <w:r>
        <w:rPr>
          <w:sz w:val="24"/>
        </w:rPr>
        <w:t>rise</w:t>
      </w:r>
      <w:r>
        <w:rPr>
          <w:spacing w:val="80"/>
          <w:sz w:val="24"/>
        </w:rPr>
        <w:t> </w:t>
      </w:r>
      <w:r>
        <w:rPr>
          <w:sz w:val="24"/>
        </w:rPr>
        <w:t>and</w:t>
      </w:r>
      <w:r>
        <w:rPr>
          <w:spacing w:val="40"/>
          <w:sz w:val="24"/>
        </w:rPr>
        <w:t> </w:t>
      </w:r>
      <w:r>
        <w:rPr>
          <w:sz w:val="24"/>
        </w:rPr>
        <w:t>special</w:t>
      </w:r>
      <w:r>
        <w:rPr>
          <w:spacing w:val="40"/>
          <w:sz w:val="24"/>
        </w:rPr>
        <w:t> </w:t>
      </w:r>
      <w:r>
        <w:rPr>
          <w:sz w:val="24"/>
        </w:rPr>
        <w:t>buildings.</w:t>
      </w:r>
    </w:p>
    <w:p>
      <w:pPr>
        <w:pStyle w:val="BodyText"/>
        <w:jc w:val="left"/>
      </w:pPr>
    </w:p>
    <w:p>
      <w:pPr>
        <w:pStyle w:val="ListParagraph"/>
        <w:numPr>
          <w:ilvl w:val="1"/>
          <w:numId w:val="306"/>
        </w:numPr>
        <w:tabs>
          <w:tab w:pos="1908" w:val="left" w:leader="none"/>
        </w:tabs>
        <w:spacing w:line="240" w:lineRule="auto" w:before="0" w:after="0"/>
        <w:ind w:left="1493" w:right="781" w:firstLine="0"/>
        <w:jc w:val="both"/>
        <w:rPr>
          <w:sz w:val="24"/>
        </w:rPr>
      </w:pPr>
      <w:r>
        <w:rPr>
          <w:sz w:val="24"/>
        </w:rPr>
        <w:t>in</w:t>
      </w:r>
      <w:r>
        <w:rPr>
          <w:spacing w:val="40"/>
          <w:sz w:val="24"/>
        </w:rPr>
        <w:t> </w:t>
      </w:r>
      <w:r>
        <w:rPr>
          <w:sz w:val="24"/>
        </w:rPr>
        <w:t>a</w:t>
      </w:r>
      <w:r>
        <w:rPr>
          <w:spacing w:val="40"/>
          <w:sz w:val="24"/>
        </w:rPr>
        <w:t> </w:t>
      </w:r>
      <w:r>
        <w:rPr>
          <w:sz w:val="24"/>
        </w:rPr>
        <w:t>residential</w:t>
      </w:r>
      <w:r>
        <w:rPr>
          <w:spacing w:val="40"/>
          <w:sz w:val="24"/>
        </w:rPr>
        <w:t> </w:t>
      </w:r>
      <w:r>
        <w:rPr>
          <w:sz w:val="24"/>
        </w:rPr>
        <w:t>zone,</w:t>
      </w:r>
      <w:r>
        <w:rPr>
          <w:spacing w:val="40"/>
          <w:sz w:val="24"/>
        </w:rPr>
        <w:t> </w:t>
      </w:r>
      <w:r>
        <w:rPr>
          <w:sz w:val="24"/>
        </w:rPr>
        <w:t>beyond</w:t>
      </w:r>
      <w:r>
        <w:rPr>
          <w:spacing w:val="40"/>
          <w:sz w:val="24"/>
        </w:rPr>
        <w:t> </w:t>
      </w:r>
      <w:r>
        <w:rPr>
          <w:sz w:val="24"/>
        </w:rPr>
        <w:t>the</w:t>
      </w:r>
      <w:r>
        <w:rPr>
          <w:spacing w:val="40"/>
          <w:sz w:val="24"/>
        </w:rPr>
        <w:t> </w:t>
      </w:r>
      <w:r>
        <w:rPr>
          <w:sz w:val="24"/>
        </w:rPr>
        <w:t>compulsory</w:t>
      </w:r>
      <w:r>
        <w:rPr>
          <w:spacing w:val="40"/>
          <w:sz w:val="24"/>
        </w:rPr>
        <w:t> </w:t>
      </w:r>
      <w:r>
        <w:rPr>
          <w:sz w:val="24"/>
        </w:rPr>
        <w:t>side</w:t>
      </w:r>
      <w:r>
        <w:rPr>
          <w:spacing w:val="40"/>
          <w:sz w:val="24"/>
        </w:rPr>
        <w:t> </w:t>
      </w:r>
      <w:r>
        <w:rPr>
          <w:sz w:val="24"/>
        </w:rPr>
        <w:t>and</w:t>
      </w:r>
      <w:r>
        <w:rPr>
          <w:spacing w:val="11"/>
          <w:sz w:val="24"/>
        </w:rPr>
        <w:t> rear</w:t>
      </w:r>
      <w:r>
        <w:rPr>
          <w:spacing w:val="11"/>
          <w:sz w:val="24"/>
        </w:rPr>
        <w:t> </w:t>
      </w:r>
      <w:r>
        <w:rPr>
          <w:sz w:val="24"/>
        </w:rPr>
        <w:t>open spaces</w:t>
      </w:r>
      <w:r>
        <w:rPr>
          <w:spacing w:val="40"/>
          <w:sz w:val="24"/>
        </w:rPr>
        <w:t> </w:t>
      </w:r>
      <w:r>
        <w:rPr>
          <w:sz w:val="24"/>
        </w:rPr>
        <w:t>stipulated</w:t>
      </w:r>
      <w:r>
        <w:rPr>
          <w:spacing w:val="40"/>
          <w:sz w:val="24"/>
        </w:rPr>
        <w:t> </w:t>
      </w:r>
      <w:r>
        <w:rPr>
          <w:sz w:val="24"/>
        </w:rPr>
        <w:t>in</w:t>
      </w:r>
      <w:r>
        <w:rPr>
          <w:spacing w:val="40"/>
          <w:sz w:val="24"/>
        </w:rPr>
        <w:t> </w:t>
      </w:r>
      <w:r>
        <w:rPr>
          <w:sz w:val="24"/>
        </w:rPr>
        <w:t>Sr.</w:t>
      </w:r>
      <w:r>
        <w:rPr>
          <w:spacing w:val="40"/>
          <w:sz w:val="24"/>
        </w:rPr>
        <w:t> </w:t>
      </w:r>
      <w:r>
        <w:rPr>
          <w:sz w:val="24"/>
        </w:rPr>
        <w:t>No</w:t>
      </w:r>
      <w:r>
        <w:rPr>
          <w:spacing w:val="40"/>
          <w:sz w:val="24"/>
        </w:rPr>
        <w:t> </w:t>
      </w:r>
      <w:r>
        <w:rPr>
          <w:sz w:val="24"/>
        </w:rPr>
        <w:t>g</w:t>
      </w:r>
      <w:r>
        <w:rPr>
          <w:spacing w:val="40"/>
          <w:sz w:val="24"/>
        </w:rPr>
        <w:t> </w:t>
      </w:r>
      <w:r>
        <w:rPr>
          <w:sz w:val="24"/>
        </w:rPr>
        <w:t>of</w:t>
      </w:r>
      <w:r>
        <w:rPr>
          <w:spacing w:val="9"/>
          <w:sz w:val="24"/>
        </w:rPr>
        <w:t> Regulation</w:t>
      </w:r>
      <w:r>
        <w:rPr>
          <w:spacing w:val="9"/>
          <w:sz w:val="24"/>
        </w:rPr>
        <w:t> </w:t>
      </w:r>
      <w:r>
        <w:rPr>
          <w:sz w:val="24"/>
        </w:rPr>
        <w:t>28</w:t>
      </w:r>
      <w:r>
        <w:rPr>
          <w:spacing w:val="40"/>
          <w:sz w:val="24"/>
        </w:rPr>
        <w:t> </w:t>
      </w:r>
      <w:r>
        <w:rPr>
          <w:sz w:val="24"/>
        </w:rPr>
        <w:t>of,</w:t>
      </w:r>
      <w:r>
        <w:rPr>
          <w:spacing w:val="40"/>
          <w:sz w:val="24"/>
        </w:rPr>
        <w:t> </w:t>
      </w:r>
      <w:r>
        <w:rPr>
          <w:sz w:val="24"/>
        </w:rPr>
        <w:t>if</w:t>
      </w:r>
      <w:r>
        <w:rPr>
          <w:spacing w:val="40"/>
          <w:sz w:val="24"/>
        </w:rPr>
        <w:t> </w:t>
      </w:r>
      <w:r>
        <w:rPr>
          <w:sz w:val="24"/>
        </w:rPr>
        <w:t>other</w:t>
      </w:r>
      <w:r>
        <w:rPr>
          <w:spacing w:val="40"/>
          <w:sz w:val="24"/>
        </w:rPr>
        <w:t> </w:t>
      </w:r>
      <w:r>
        <w:rPr>
          <w:sz w:val="24"/>
        </w:rPr>
        <w:t>conditions under</w:t>
      </w:r>
      <w:r>
        <w:rPr>
          <w:spacing w:val="40"/>
          <w:sz w:val="24"/>
        </w:rPr>
        <w:t> </w:t>
      </w:r>
      <w:r>
        <w:rPr>
          <w:spacing w:val="9"/>
          <w:sz w:val="24"/>
        </w:rPr>
        <w:t>sub-</w:t>
      </w:r>
      <w:r>
        <w:rPr>
          <w:sz w:val="24"/>
        </w:rPr>
        <w:t>rule</w:t>
      </w:r>
      <w:r>
        <w:rPr>
          <w:spacing w:val="40"/>
          <w:sz w:val="24"/>
        </w:rPr>
        <w:t> </w:t>
      </w:r>
      <w:r>
        <w:rPr>
          <w:sz w:val="24"/>
        </w:rPr>
        <w:t>(b)</w:t>
      </w:r>
      <w:r>
        <w:rPr>
          <w:spacing w:val="40"/>
          <w:sz w:val="24"/>
        </w:rPr>
        <w:t> </w:t>
      </w:r>
      <w:r>
        <w:rPr>
          <w:sz w:val="24"/>
        </w:rPr>
        <w:t>above</w:t>
      </w:r>
      <w:r>
        <w:rPr>
          <w:spacing w:val="40"/>
          <w:sz w:val="24"/>
        </w:rPr>
        <w:t> </w:t>
      </w:r>
      <w:r>
        <w:rPr>
          <w:sz w:val="24"/>
        </w:rPr>
        <w:t>are</w:t>
      </w:r>
      <w:r>
        <w:rPr>
          <w:spacing w:val="40"/>
          <w:sz w:val="24"/>
        </w:rPr>
        <w:t> </w:t>
      </w:r>
      <w:r>
        <w:rPr>
          <w:sz w:val="24"/>
        </w:rPr>
        <w:t>satisfied.</w:t>
      </w:r>
      <w:r>
        <w:rPr>
          <w:spacing w:val="80"/>
          <w:w w:val="150"/>
          <w:sz w:val="24"/>
        </w:rPr>
        <w:t> </w:t>
      </w:r>
      <w:r>
        <w:rPr>
          <w:sz w:val="24"/>
        </w:rPr>
        <w:t>Here</w:t>
      </w:r>
      <w:r>
        <w:rPr>
          <w:spacing w:val="40"/>
          <w:sz w:val="24"/>
        </w:rPr>
        <w:t> </w:t>
      </w:r>
      <w:r>
        <w:rPr>
          <w:sz w:val="24"/>
        </w:rPr>
        <w:t>the</w:t>
      </w:r>
      <w:r>
        <w:rPr>
          <w:spacing w:val="40"/>
          <w:sz w:val="24"/>
        </w:rPr>
        <w:t> </w:t>
      </w:r>
      <w:r>
        <w:rPr>
          <w:sz w:val="24"/>
        </w:rPr>
        <w:t>parking</w:t>
      </w:r>
      <w:r>
        <w:rPr>
          <w:spacing w:val="40"/>
          <w:sz w:val="24"/>
        </w:rPr>
        <w:t> </w:t>
      </w:r>
      <w:r>
        <w:rPr>
          <w:sz w:val="24"/>
        </w:rPr>
        <w:t>space</w:t>
      </w:r>
      <w:r>
        <w:rPr>
          <w:spacing w:val="40"/>
          <w:sz w:val="24"/>
        </w:rPr>
        <w:t> </w:t>
      </w:r>
      <w:r>
        <w:rPr>
          <w:sz w:val="24"/>
        </w:rPr>
        <w:t>may</w:t>
      </w:r>
      <w:r>
        <w:rPr>
          <w:spacing w:val="40"/>
          <w:sz w:val="24"/>
        </w:rPr>
        <w:t> </w:t>
      </w:r>
      <w:r>
        <w:rPr>
          <w:sz w:val="24"/>
        </w:rPr>
        <w:t>be an</w:t>
      </w:r>
      <w:r>
        <w:rPr>
          <w:spacing w:val="40"/>
          <w:sz w:val="24"/>
        </w:rPr>
        <w:t> </w:t>
      </w:r>
      <w:r>
        <w:rPr>
          <w:sz w:val="24"/>
        </w:rPr>
        <w:t>unenclosed</w:t>
      </w:r>
      <w:r>
        <w:rPr>
          <w:spacing w:val="40"/>
          <w:sz w:val="24"/>
        </w:rPr>
        <w:t> </w:t>
      </w:r>
      <w:r>
        <w:rPr>
          <w:sz w:val="24"/>
        </w:rPr>
        <w:t>covered</w:t>
      </w:r>
      <w:r>
        <w:rPr>
          <w:spacing w:val="40"/>
          <w:sz w:val="24"/>
        </w:rPr>
        <w:t> </w:t>
      </w:r>
      <w:r>
        <w:rPr>
          <w:sz w:val="24"/>
        </w:rPr>
        <w:t>space.</w:t>
      </w:r>
    </w:p>
    <w:p>
      <w:pPr>
        <w:pStyle w:val="BodyText"/>
        <w:jc w:val="left"/>
      </w:pPr>
    </w:p>
    <w:p>
      <w:pPr>
        <w:pStyle w:val="ListParagraph"/>
        <w:numPr>
          <w:ilvl w:val="1"/>
          <w:numId w:val="306"/>
        </w:numPr>
        <w:tabs>
          <w:tab w:pos="1908" w:val="left" w:leader="none"/>
        </w:tabs>
        <w:spacing w:line="240" w:lineRule="auto" w:before="0" w:after="0"/>
        <w:ind w:left="1493" w:right="782" w:firstLine="0"/>
        <w:jc w:val="both"/>
        <w:rPr>
          <w:sz w:val="24"/>
        </w:rPr>
      </w:pPr>
      <w:r>
        <w:rPr>
          <w:sz w:val="24"/>
        </w:rPr>
        <w:t>in a residential zone, with covered parking garages with open type enclosures</w:t>
      </w:r>
      <w:r>
        <w:rPr>
          <w:spacing w:val="40"/>
          <w:sz w:val="24"/>
        </w:rPr>
        <w:t> </w:t>
      </w:r>
      <w:r>
        <w:rPr>
          <w:sz w:val="24"/>
        </w:rPr>
        <w:t>of</w:t>
      </w:r>
      <w:r>
        <w:rPr>
          <w:spacing w:val="40"/>
          <w:sz w:val="24"/>
        </w:rPr>
        <w:t> </w:t>
      </w:r>
      <w:r>
        <w:rPr>
          <w:sz w:val="24"/>
        </w:rPr>
        <w:t>a</w:t>
      </w:r>
      <w:r>
        <w:rPr>
          <w:spacing w:val="40"/>
          <w:sz w:val="24"/>
        </w:rPr>
        <w:t> </w:t>
      </w:r>
      <w:r>
        <w:rPr>
          <w:sz w:val="24"/>
        </w:rPr>
        <w:t>size</w:t>
      </w:r>
      <w:r>
        <w:rPr>
          <w:spacing w:val="40"/>
          <w:sz w:val="24"/>
        </w:rPr>
        <w:t> </w:t>
      </w:r>
      <w:r>
        <w:rPr>
          <w:sz w:val="24"/>
        </w:rPr>
        <w:t>of</w:t>
      </w:r>
      <w:r>
        <w:rPr>
          <w:spacing w:val="40"/>
          <w:sz w:val="24"/>
        </w:rPr>
        <w:t> </w:t>
      </w:r>
      <w:r>
        <w:rPr>
          <w:sz w:val="24"/>
        </w:rPr>
        <w:t>2.5</w:t>
      </w:r>
      <w:r>
        <w:rPr>
          <w:spacing w:val="40"/>
          <w:sz w:val="24"/>
        </w:rPr>
        <w:t> </w:t>
      </w:r>
      <w:r>
        <w:rPr>
          <w:sz w:val="24"/>
        </w:rPr>
        <w:t>m</w:t>
      </w:r>
      <w:r>
        <w:rPr>
          <w:spacing w:val="40"/>
          <w:sz w:val="24"/>
        </w:rPr>
        <w:t> </w:t>
      </w:r>
      <w:r>
        <w:rPr>
          <w:sz w:val="24"/>
        </w:rPr>
        <w:t>x</w:t>
      </w:r>
      <w:r>
        <w:rPr>
          <w:spacing w:val="40"/>
          <w:sz w:val="24"/>
        </w:rPr>
        <w:t> </w:t>
      </w:r>
      <w:r>
        <w:rPr>
          <w:sz w:val="24"/>
        </w:rPr>
        <w:t>5.5</w:t>
      </w:r>
      <w:r>
        <w:rPr>
          <w:spacing w:val="40"/>
          <w:sz w:val="24"/>
        </w:rPr>
        <w:t> </w:t>
      </w:r>
      <w:r>
        <w:rPr>
          <w:sz w:val="24"/>
        </w:rPr>
        <w:t>m</w:t>
      </w:r>
      <w:r>
        <w:rPr>
          <w:spacing w:val="40"/>
          <w:sz w:val="24"/>
        </w:rPr>
        <w:t> </w:t>
      </w:r>
      <w:r>
        <w:rPr>
          <w:sz w:val="24"/>
        </w:rPr>
        <w:t>with</w:t>
      </w:r>
      <w:r>
        <w:rPr>
          <w:spacing w:val="40"/>
          <w:sz w:val="24"/>
        </w:rPr>
        <w:t> </w:t>
      </w:r>
      <w:r>
        <w:rPr>
          <w:sz w:val="24"/>
        </w:rPr>
        <w:t>a</w:t>
      </w:r>
      <w:r>
        <w:rPr>
          <w:spacing w:val="40"/>
          <w:sz w:val="24"/>
        </w:rPr>
        <w:t> </w:t>
      </w:r>
      <w:r>
        <w:rPr>
          <w:sz w:val="24"/>
        </w:rPr>
        <w:t>height</w:t>
      </w:r>
      <w:r>
        <w:rPr>
          <w:spacing w:val="40"/>
          <w:sz w:val="24"/>
        </w:rPr>
        <w:t> </w:t>
      </w:r>
      <w:r>
        <w:rPr>
          <w:sz w:val="24"/>
        </w:rPr>
        <w:t>of</w:t>
      </w:r>
      <w:r>
        <w:rPr>
          <w:spacing w:val="40"/>
          <w:sz w:val="24"/>
        </w:rPr>
        <w:t> </w:t>
      </w:r>
      <w:r>
        <w:rPr>
          <w:sz w:val="24"/>
        </w:rPr>
        <w:t>2.75</w:t>
      </w:r>
      <w:r>
        <w:rPr>
          <w:spacing w:val="40"/>
          <w:sz w:val="24"/>
        </w:rPr>
        <w:t> </w:t>
      </w:r>
      <w:r>
        <w:rPr>
          <w:sz w:val="24"/>
        </w:rPr>
        <w:t>m</w:t>
      </w:r>
      <w:r>
        <w:rPr>
          <w:spacing w:val="40"/>
          <w:sz w:val="24"/>
        </w:rPr>
        <w:t> </w:t>
      </w:r>
      <w:r>
        <w:rPr>
          <w:sz w:val="24"/>
        </w:rPr>
        <w:t>above ground</w:t>
      </w:r>
      <w:r>
        <w:rPr>
          <w:spacing w:val="40"/>
          <w:sz w:val="24"/>
        </w:rPr>
        <w:t> </w:t>
      </w:r>
      <w:r>
        <w:rPr>
          <w:sz w:val="24"/>
        </w:rPr>
        <w:t>level,</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one</w:t>
      </w:r>
      <w:r>
        <w:rPr>
          <w:spacing w:val="40"/>
          <w:sz w:val="24"/>
        </w:rPr>
        <w:t> </w:t>
      </w:r>
      <w:r>
        <w:rPr>
          <w:sz w:val="24"/>
        </w:rPr>
        <w:t>covered</w:t>
      </w:r>
      <w:r>
        <w:rPr>
          <w:spacing w:val="40"/>
          <w:sz w:val="24"/>
        </w:rPr>
        <w:t> </w:t>
      </w:r>
      <w:r>
        <w:rPr>
          <w:sz w:val="24"/>
        </w:rPr>
        <w:t>garage</w:t>
      </w:r>
      <w:r>
        <w:rPr>
          <w:spacing w:val="40"/>
          <w:sz w:val="24"/>
        </w:rPr>
        <w:t> </w:t>
      </w:r>
      <w:r>
        <w:rPr>
          <w:sz w:val="24"/>
        </w:rPr>
        <w:t>for</w:t>
      </w:r>
      <w:r>
        <w:rPr>
          <w:spacing w:val="40"/>
          <w:sz w:val="24"/>
        </w:rPr>
        <w:t> </w:t>
      </w:r>
      <w:r>
        <w:rPr>
          <w:sz w:val="24"/>
        </w:rPr>
        <w:t>every</w:t>
      </w:r>
      <w:r>
        <w:rPr>
          <w:spacing w:val="80"/>
          <w:sz w:val="24"/>
        </w:rPr>
        <w:t> </w:t>
      </w:r>
      <w:r>
        <w:rPr>
          <w:sz w:val="24"/>
        </w:rPr>
        <w:t>400-sq.m</w:t>
      </w:r>
      <w:r>
        <w:rPr>
          <w:spacing w:val="40"/>
          <w:sz w:val="24"/>
        </w:rPr>
        <w:t> </w:t>
      </w:r>
      <w:r>
        <w:rPr>
          <w:sz w:val="24"/>
        </w:rPr>
        <w:t>or part</w:t>
      </w:r>
      <w:r>
        <w:rPr>
          <w:spacing w:val="40"/>
          <w:sz w:val="24"/>
        </w:rPr>
        <w:t> </w:t>
      </w:r>
      <w:r>
        <w:rPr>
          <w:sz w:val="24"/>
        </w:rPr>
        <w:t>thereof</w:t>
      </w:r>
      <w:r>
        <w:rPr>
          <w:spacing w:val="40"/>
          <w:sz w:val="24"/>
        </w:rPr>
        <w:t> </w:t>
      </w:r>
      <w:r>
        <w:rPr>
          <w:sz w:val="24"/>
        </w:rPr>
        <w:t>of</w:t>
      </w:r>
      <w:r>
        <w:rPr>
          <w:spacing w:val="40"/>
          <w:sz w:val="24"/>
        </w:rPr>
        <w:t> </w:t>
      </w:r>
      <w:r>
        <w:rPr>
          <w:sz w:val="24"/>
        </w:rPr>
        <w:t>plot</w:t>
      </w:r>
      <w:r>
        <w:rPr>
          <w:spacing w:val="40"/>
          <w:sz w:val="24"/>
        </w:rPr>
        <w:t> </w:t>
      </w:r>
      <w:r>
        <w:rPr>
          <w:sz w:val="24"/>
        </w:rPr>
        <w:t>area,</w:t>
      </w:r>
      <w:r>
        <w:rPr>
          <w:spacing w:val="40"/>
          <w:sz w:val="24"/>
        </w:rPr>
        <w:t> </w:t>
      </w:r>
      <w:r>
        <w:rPr>
          <w:sz w:val="24"/>
        </w:rPr>
        <w:t>in</w:t>
      </w:r>
      <w:r>
        <w:rPr>
          <w:spacing w:val="40"/>
          <w:sz w:val="24"/>
        </w:rPr>
        <w:t> </w:t>
      </w:r>
      <w:r>
        <w:rPr>
          <w:sz w:val="24"/>
        </w:rPr>
        <w:t>side</w:t>
      </w:r>
      <w:r>
        <w:rPr>
          <w:spacing w:val="40"/>
          <w:sz w:val="24"/>
        </w:rPr>
        <w:t> </w:t>
      </w:r>
      <w:r>
        <w:rPr>
          <w:sz w:val="24"/>
        </w:rPr>
        <w:t>or</w:t>
      </w:r>
      <w:r>
        <w:rPr>
          <w:spacing w:val="40"/>
          <w:sz w:val="24"/>
        </w:rPr>
        <w:t> </w:t>
      </w:r>
      <w:r>
        <w:rPr>
          <w:sz w:val="24"/>
        </w:rPr>
        <w:t>rear</w:t>
      </w:r>
      <w:r>
        <w:rPr>
          <w:spacing w:val="40"/>
          <w:sz w:val="24"/>
        </w:rPr>
        <w:t> </w:t>
      </w:r>
      <w:r>
        <w:rPr>
          <w:sz w:val="24"/>
        </w:rPr>
        <w:t>open</w:t>
      </w:r>
      <w:r>
        <w:rPr>
          <w:spacing w:val="40"/>
          <w:sz w:val="24"/>
        </w:rPr>
        <w:t> </w:t>
      </w:r>
      <w:r>
        <w:rPr>
          <w:sz w:val="24"/>
        </w:rPr>
        <w:t>spaces,</w:t>
      </w:r>
      <w:r>
        <w:rPr>
          <w:spacing w:val="40"/>
          <w:sz w:val="24"/>
        </w:rPr>
        <w:t> </w:t>
      </w:r>
      <w:r>
        <w:rPr>
          <w:sz w:val="24"/>
        </w:rPr>
        <w:t>at</w:t>
      </w:r>
      <w:r>
        <w:rPr>
          <w:spacing w:val="40"/>
          <w:sz w:val="24"/>
        </w:rPr>
        <w:t> </w:t>
      </w:r>
      <w:r>
        <w:rPr>
          <w:sz w:val="24"/>
        </w:rPr>
        <w:t>a</w:t>
      </w:r>
      <w:r>
        <w:rPr>
          <w:spacing w:val="40"/>
          <w:sz w:val="24"/>
        </w:rPr>
        <w:t> </w:t>
      </w:r>
      <w:r>
        <w:rPr>
          <w:sz w:val="24"/>
        </w:rPr>
        <w:t>distance</w:t>
      </w:r>
      <w:r>
        <w:rPr>
          <w:spacing w:val="40"/>
          <w:sz w:val="24"/>
        </w:rPr>
        <w:t> </w:t>
      </w:r>
      <w:r>
        <w:rPr>
          <w:sz w:val="24"/>
        </w:rPr>
        <w:t>of not</w:t>
      </w:r>
      <w:r>
        <w:rPr>
          <w:spacing w:val="40"/>
          <w:sz w:val="24"/>
        </w:rPr>
        <w:t> </w:t>
      </w:r>
      <w:r>
        <w:rPr>
          <w:sz w:val="24"/>
        </w:rPr>
        <w:t>less</w:t>
      </w:r>
      <w:r>
        <w:rPr>
          <w:spacing w:val="40"/>
          <w:sz w:val="24"/>
        </w:rPr>
        <w:t> </w:t>
      </w:r>
      <w:r>
        <w:rPr>
          <w:sz w:val="24"/>
        </w:rPr>
        <w:t>than</w:t>
      </w:r>
      <w:r>
        <w:rPr>
          <w:spacing w:val="40"/>
          <w:sz w:val="24"/>
        </w:rPr>
        <w:t> </w:t>
      </w:r>
      <w:r>
        <w:rPr>
          <w:sz w:val="24"/>
        </w:rPr>
        <w:t>7.5</w:t>
      </w:r>
      <w:r>
        <w:rPr>
          <w:spacing w:val="40"/>
          <w:sz w:val="24"/>
        </w:rPr>
        <w:t> </w:t>
      </w:r>
      <w:r>
        <w:rPr>
          <w:sz w:val="24"/>
        </w:rPr>
        <w:t>m</w:t>
      </w:r>
      <w:r>
        <w:rPr>
          <w:spacing w:val="40"/>
          <w:sz w:val="24"/>
        </w:rPr>
        <w:t> </w:t>
      </w:r>
      <w:r>
        <w:rPr>
          <w:sz w:val="24"/>
        </w:rPr>
        <w:t>from</w:t>
      </w:r>
      <w:r>
        <w:rPr>
          <w:spacing w:val="40"/>
          <w:sz w:val="24"/>
        </w:rPr>
        <w:t> </w:t>
      </w:r>
      <w:r>
        <w:rPr>
          <w:sz w:val="24"/>
        </w:rPr>
        <w:t>any</w:t>
      </w:r>
      <w:r>
        <w:rPr>
          <w:spacing w:val="40"/>
          <w:sz w:val="24"/>
        </w:rPr>
        <w:t> </w:t>
      </w:r>
      <w:r>
        <w:rPr>
          <w:sz w:val="24"/>
        </w:rPr>
        <w:t>street</w:t>
      </w:r>
      <w:r>
        <w:rPr>
          <w:spacing w:val="40"/>
          <w:sz w:val="24"/>
        </w:rPr>
        <w:t> </w:t>
      </w:r>
      <w:r>
        <w:rPr>
          <w:sz w:val="24"/>
        </w:rPr>
        <w:t>line</w:t>
      </w:r>
      <w:r>
        <w:rPr>
          <w:spacing w:val="40"/>
          <w:sz w:val="24"/>
        </w:rPr>
        <w:t> </w:t>
      </w:r>
      <w:r>
        <w:rPr>
          <w:sz w:val="24"/>
        </w:rPr>
        <w:t>or</w:t>
      </w:r>
      <w:r>
        <w:rPr>
          <w:spacing w:val="40"/>
          <w:sz w:val="24"/>
        </w:rPr>
        <w:t> </w:t>
      </w:r>
      <w:r>
        <w:rPr>
          <w:sz w:val="24"/>
        </w:rPr>
        <w:t>the</w:t>
      </w:r>
      <w:r>
        <w:rPr>
          <w:spacing w:val="40"/>
          <w:sz w:val="24"/>
        </w:rPr>
        <w:t> </w:t>
      </w:r>
      <w:r>
        <w:rPr>
          <w:sz w:val="24"/>
        </w:rPr>
        <w:t>front</w:t>
      </w:r>
      <w:r>
        <w:rPr>
          <w:spacing w:val="40"/>
          <w:sz w:val="24"/>
        </w:rPr>
        <w:t> </w:t>
      </w:r>
      <w:r>
        <w:rPr>
          <w:sz w:val="24"/>
        </w:rPr>
        <w:t>boundary</w:t>
      </w:r>
      <w:r>
        <w:rPr>
          <w:spacing w:val="40"/>
          <w:sz w:val="24"/>
        </w:rPr>
        <w:t> </w:t>
      </w:r>
      <w:r>
        <w:rPr>
          <w:sz w:val="24"/>
        </w:rPr>
        <w:t>of</w:t>
      </w:r>
      <w:r>
        <w:rPr>
          <w:spacing w:val="40"/>
          <w:sz w:val="24"/>
        </w:rPr>
        <w:t> </w:t>
      </w:r>
      <w:r>
        <w:rPr>
          <w:sz w:val="24"/>
        </w:rPr>
        <w:t>the </w:t>
      </w:r>
      <w:r>
        <w:rPr>
          <w:spacing w:val="-2"/>
          <w:sz w:val="24"/>
        </w:rPr>
        <w:t>plot:</w:t>
      </w:r>
    </w:p>
    <w:p>
      <w:pPr>
        <w:pStyle w:val="BodyText"/>
        <w:spacing w:before="281"/>
        <w:ind w:left="1493"/>
        <w:jc w:val="left"/>
      </w:pPr>
      <w:r>
        <w:rPr/>
        <w:t>Provided</w:t>
      </w:r>
      <w:r>
        <w:rPr>
          <w:spacing w:val="44"/>
        </w:rPr>
        <w:t> </w:t>
      </w:r>
      <w:r>
        <w:rPr/>
        <w:t>that</w:t>
      </w:r>
      <w:r>
        <w:rPr>
          <w:spacing w:val="43"/>
        </w:rPr>
        <w:t> </w:t>
      </w:r>
      <w:r>
        <w:rPr/>
        <w:t>the</w:t>
      </w:r>
      <w:r>
        <w:rPr>
          <w:spacing w:val="45"/>
        </w:rPr>
        <w:t> </w:t>
      </w:r>
      <w:r>
        <w:rPr/>
        <w:t>same</w:t>
      </w:r>
      <w:r>
        <w:rPr>
          <w:spacing w:val="42"/>
        </w:rPr>
        <w:t> </w:t>
      </w:r>
      <w:r>
        <w:rPr/>
        <w:t>is</w:t>
      </w:r>
      <w:r>
        <w:rPr>
          <w:spacing w:val="45"/>
        </w:rPr>
        <w:t> </w:t>
      </w:r>
      <w:r>
        <w:rPr/>
        <w:t>1.5</w:t>
      </w:r>
      <w:r>
        <w:rPr>
          <w:spacing w:val="42"/>
        </w:rPr>
        <w:t> </w:t>
      </w:r>
      <w:r>
        <w:rPr/>
        <w:t>m</w:t>
      </w:r>
      <w:r>
        <w:rPr>
          <w:spacing w:val="45"/>
        </w:rPr>
        <w:t> </w:t>
      </w:r>
      <w:r>
        <w:rPr/>
        <w:t>from</w:t>
      </w:r>
      <w:r>
        <w:rPr>
          <w:spacing w:val="45"/>
        </w:rPr>
        <w:t> </w:t>
      </w:r>
      <w:r>
        <w:rPr/>
        <w:t>the</w:t>
      </w:r>
      <w:r>
        <w:rPr>
          <w:spacing w:val="42"/>
        </w:rPr>
        <w:t> </w:t>
      </w:r>
      <w:r>
        <w:rPr/>
        <w:t>building</w:t>
      </w:r>
      <w:r>
        <w:rPr>
          <w:spacing w:val="45"/>
        </w:rPr>
        <w:t> </w:t>
      </w:r>
      <w:r>
        <w:rPr/>
        <w:t>and</w:t>
      </w:r>
      <w:r>
        <w:rPr>
          <w:spacing w:val="42"/>
        </w:rPr>
        <w:t> </w:t>
      </w:r>
      <w:r>
        <w:rPr/>
        <w:t>the</w:t>
      </w:r>
      <w:r>
        <w:rPr>
          <w:spacing w:val="43"/>
        </w:rPr>
        <w:t> </w:t>
      </w:r>
      <w:r>
        <w:rPr/>
        <w:t>condition</w:t>
      </w:r>
      <w:r>
        <w:rPr>
          <w:spacing w:val="45"/>
        </w:rPr>
        <w:t> </w:t>
      </w:r>
      <w:r>
        <w:rPr>
          <w:spacing w:val="-5"/>
        </w:rPr>
        <w:t>in</w:t>
      </w:r>
    </w:p>
    <w:p>
      <w:pPr>
        <w:pStyle w:val="BodyText"/>
        <w:spacing w:before="1"/>
        <w:ind w:left="1493"/>
        <w:jc w:val="left"/>
      </w:pPr>
      <w:r>
        <w:rPr/>
        <w:t>(b)</w:t>
      </w:r>
      <w:r>
        <w:rPr>
          <w:spacing w:val="47"/>
        </w:rPr>
        <w:t> </w:t>
      </w:r>
      <w:r>
        <w:rPr/>
        <w:t>(v)</w:t>
      </w:r>
      <w:r>
        <w:rPr>
          <w:spacing w:val="49"/>
        </w:rPr>
        <w:t> </w:t>
      </w:r>
      <w:r>
        <w:rPr/>
        <w:t>above</w:t>
      </w:r>
      <w:r>
        <w:rPr>
          <w:spacing w:val="49"/>
        </w:rPr>
        <w:t> </w:t>
      </w:r>
      <w:r>
        <w:rPr/>
        <w:t>is</w:t>
      </w:r>
      <w:r>
        <w:rPr>
          <w:spacing w:val="49"/>
        </w:rPr>
        <w:t> </w:t>
      </w:r>
      <w:r>
        <w:rPr/>
        <w:t>complied</w:t>
      </w:r>
      <w:r>
        <w:rPr>
          <w:spacing w:val="49"/>
        </w:rPr>
        <w:t> </w:t>
      </w:r>
      <w:r>
        <w:rPr>
          <w:spacing w:val="7"/>
        </w:rPr>
        <w:t>with.</w:t>
      </w:r>
    </w:p>
    <w:p>
      <w:pPr>
        <w:pStyle w:val="ListParagraph"/>
        <w:numPr>
          <w:ilvl w:val="1"/>
          <w:numId w:val="263"/>
        </w:numPr>
        <w:tabs>
          <w:tab w:pos="2213" w:val="left" w:leader="none"/>
        </w:tabs>
        <w:spacing w:line="240" w:lineRule="auto" w:before="280" w:after="0"/>
        <w:ind w:left="1493" w:right="785" w:firstLine="0"/>
        <w:jc w:val="left"/>
        <w:rPr>
          <w:sz w:val="24"/>
        </w:rPr>
      </w:pPr>
      <w:r>
        <w:rPr>
          <w:sz w:val="24"/>
        </w:rPr>
        <w:t>Cinemas,</w:t>
      </w:r>
      <w:r>
        <w:rPr>
          <w:spacing w:val="40"/>
          <w:sz w:val="24"/>
        </w:rPr>
        <w:t> </w:t>
      </w:r>
      <w:r>
        <w:rPr>
          <w:sz w:val="24"/>
        </w:rPr>
        <w:t>Theatres</w:t>
      </w:r>
      <w:r>
        <w:rPr>
          <w:spacing w:val="40"/>
          <w:sz w:val="24"/>
        </w:rPr>
        <w:t> </w:t>
      </w:r>
      <w:r>
        <w:rPr>
          <w:sz w:val="24"/>
        </w:rPr>
        <w:t>and</w:t>
      </w:r>
      <w:r>
        <w:rPr>
          <w:spacing w:val="40"/>
          <w:sz w:val="24"/>
        </w:rPr>
        <w:t> </w:t>
      </w:r>
      <w:r>
        <w:rPr>
          <w:sz w:val="24"/>
        </w:rPr>
        <w:t>Assembly</w:t>
      </w:r>
      <w:r>
        <w:rPr>
          <w:spacing w:val="40"/>
          <w:sz w:val="24"/>
        </w:rPr>
        <w:t> </w:t>
      </w:r>
      <w:r>
        <w:rPr>
          <w:spacing w:val="10"/>
          <w:sz w:val="24"/>
        </w:rPr>
        <w:t>Halls-</w:t>
      </w:r>
      <w:r>
        <w:rPr>
          <w:sz w:val="24"/>
        </w:rPr>
        <w:t>Subject</w:t>
      </w:r>
      <w:r>
        <w:rPr>
          <w:spacing w:val="40"/>
          <w:sz w:val="24"/>
        </w:rPr>
        <w:t> </w:t>
      </w:r>
      <w:r>
        <w:rPr>
          <w:sz w:val="24"/>
        </w:rPr>
        <w:t>to</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sub</w:t>
      </w:r>
      <w:r>
        <w:rPr>
          <w:spacing w:val="40"/>
          <w:sz w:val="24"/>
        </w:rPr>
        <w:t> </w:t>
      </w:r>
      <w:r>
        <w:rPr>
          <w:sz w:val="24"/>
        </w:rPr>
        <w:t>regulation</w:t>
      </w:r>
      <w:r>
        <w:rPr>
          <w:spacing w:val="40"/>
          <w:sz w:val="24"/>
        </w:rPr>
        <w:t> </w:t>
      </w:r>
      <w:r>
        <w:rPr>
          <w:sz w:val="24"/>
        </w:rPr>
        <w:t>(6)</w:t>
      </w:r>
      <w:r>
        <w:rPr>
          <w:spacing w:val="40"/>
          <w:sz w:val="24"/>
        </w:rPr>
        <w:t> </w:t>
      </w:r>
      <w:r>
        <w:rPr>
          <w:sz w:val="24"/>
        </w:rPr>
        <w:t>above,</w:t>
      </w:r>
      <w:r>
        <w:rPr>
          <w:spacing w:val="40"/>
          <w:sz w:val="24"/>
        </w:rPr>
        <w:t> </w:t>
      </w:r>
      <w:r>
        <w:rPr>
          <w:sz w:val="24"/>
        </w:rPr>
        <w:t>in</w:t>
      </w:r>
      <w:r>
        <w:rPr>
          <w:spacing w:val="40"/>
          <w:sz w:val="24"/>
        </w:rPr>
        <w:t> </w:t>
      </w:r>
      <w:r>
        <w:rPr>
          <w:sz w:val="24"/>
        </w:rPr>
        <w:t>sites</w:t>
      </w:r>
      <w:r>
        <w:rPr>
          <w:spacing w:val="40"/>
          <w:sz w:val="24"/>
        </w:rPr>
        <w:t> </w:t>
      </w:r>
      <w:r>
        <w:rPr>
          <w:sz w:val="24"/>
        </w:rPr>
        <w:t>of</w:t>
      </w:r>
      <w:r>
        <w:rPr>
          <w:spacing w:val="40"/>
          <w:sz w:val="24"/>
        </w:rPr>
        <w:t> </w:t>
      </w:r>
      <w:r>
        <w:rPr>
          <w:sz w:val="24"/>
        </w:rPr>
        <w:t>cinemas,</w:t>
      </w:r>
      <w:r>
        <w:rPr>
          <w:spacing w:val="40"/>
          <w:sz w:val="24"/>
        </w:rPr>
        <w:t> </w:t>
      </w:r>
      <w:r>
        <w:rPr>
          <w:sz w:val="24"/>
        </w:rPr>
        <w:t>theatres,</w:t>
      </w:r>
      <w:r>
        <w:rPr>
          <w:spacing w:val="40"/>
          <w:sz w:val="24"/>
        </w:rPr>
        <w:t> </w:t>
      </w:r>
      <w:r>
        <w:rPr>
          <w:sz w:val="24"/>
        </w:rPr>
        <w:t>auditoria</w:t>
      </w:r>
      <w:r>
        <w:rPr>
          <w:spacing w:val="40"/>
          <w:sz w:val="24"/>
        </w:rPr>
        <w:t> </w:t>
      </w:r>
      <w:r>
        <w:rPr>
          <w:sz w:val="24"/>
        </w:rPr>
        <w:t>and</w:t>
      </w:r>
    </w:p>
    <w:p>
      <w:pPr>
        <w:pStyle w:val="BodyText"/>
        <w:jc w:val="left"/>
        <w:rPr>
          <w:sz w:val="14"/>
        </w:rPr>
      </w:pPr>
    </w:p>
    <w:p>
      <w:pPr>
        <w:pStyle w:val="BodyText"/>
        <w:spacing w:before="45"/>
        <w:jc w:val="left"/>
        <w:rPr>
          <w:sz w:val="14"/>
        </w:rPr>
      </w:pPr>
    </w:p>
    <w:p>
      <w:pPr>
        <w:spacing w:before="0"/>
        <w:ind w:left="0" w:right="1052" w:firstLine="0"/>
        <w:jc w:val="right"/>
        <w:rPr>
          <w:rFonts w:ascii="Arial"/>
          <w:b/>
          <w:i/>
          <w:sz w:val="14"/>
        </w:rPr>
      </w:pPr>
      <w:r>
        <w:rPr>
          <w:rFonts w:ascii="Arial"/>
          <w:b/>
          <w:i/>
          <w:sz w:val="14"/>
        </w:rPr>
        <mc:AlternateContent>
          <mc:Choice Requires="wps">
            <w:drawing>
              <wp:anchor distT="0" distB="0" distL="0" distR="0" allowOverlap="1" layoutInCell="1" locked="0" behindDoc="0" simplePos="0" relativeHeight="15747072">
                <wp:simplePos x="0" y="0"/>
                <wp:positionH relativeFrom="page">
                  <wp:posOffset>719327</wp:posOffset>
                </wp:positionH>
                <wp:positionV relativeFrom="paragraph">
                  <wp:posOffset>23115</wp:posOffset>
                </wp:positionV>
                <wp:extent cx="2514600" cy="197485"/>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rect style="position:absolute;margin-left:56.639999pt;margin-top:1.820156pt;width:198pt;height:15.55pt;mso-position-horizontal-relative:page;mso-position-vertical-relative:paragraph;z-index:15747072" id="docshape397" filled="false" stroked="true" strokeweight="1pt" strokecolor="#666666">
                <v:stroke dashstyle="solid"/>
                <w10:wrap type="none"/>
              </v:rect>
            </w:pict>
          </mc:Fallback>
        </mc:AlternateContent>
      </w:r>
      <w:r>
        <w:rPr>
          <w:rFonts w:ascii="Arial"/>
          <w:b/>
          <w:i/>
          <w:sz w:val="14"/>
        </w:rPr>
        <w:t>Development</w:t>
      </w:r>
      <w:r>
        <w:rPr>
          <w:rFonts w:ascii="Arial"/>
          <w:b/>
          <w:i/>
          <w:spacing w:val="-8"/>
          <w:sz w:val="14"/>
        </w:rPr>
        <w:t> </w:t>
      </w:r>
      <w:r>
        <w:rPr>
          <w:rFonts w:ascii="Arial"/>
          <w:b/>
          <w:i/>
          <w:sz w:val="14"/>
        </w:rPr>
        <w:t>Plan</w:t>
      </w:r>
      <w:r>
        <w:rPr>
          <w:rFonts w:ascii="Arial"/>
          <w:b/>
          <w:i/>
          <w:spacing w:val="-9"/>
          <w:sz w:val="14"/>
        </w:rPr>
        <w:t> </w:t>
      </w:r>
      <w:r>
        <w:rPr>
          <w:rFonts w:ascii="Arial"/>
          <w:b/>
          <w:i/>
          <w:spacing w:val="-4"/>
          <w:sz w:val="14"/>
        </w:rPr>
        <w:t>2034</w:t>
      </w:r>
    </w:p>
    <w:p>
      <w:pPr>
        <w:spacing w:after="0"/>
        <w:jc w:val="right"/>
        <w:rPr>
          <w:rFonts w:ascii="Arial"/>
          <w:b/>
          <w:i/>
          <w:sz w:val="14"/>
        </w:rPr>
        <w:sectPr>
          <w:pgSz w:w="11910" w:h="16840"/>
          <w:pgMar w:header="1058" w:footer="1066" w:top="1500" w:bottom="1260" w:left="360" w:right="360"/>
        </w:sectPr>
      </w:pPr>
    </w:p>
    <w:p>
      <w:pPr>
        <w:pStyle w:val="BodyText"/>
        <w:spacing w:before="255"/>
        <w:ind w:left="1493" w:right="777"/>
      </w:pPr>
      <w:r>
        <w:rPr/>
        <w:t>assembly</w:t>
      </w:r>
      <w:r>
        <w:rPr>
          <w:spacing w:val="40"/>
        </w:rPr>
        <w:t> </w:t>
      </w:r>
      <w:r>
        <w:rPr/>
        <w:t>halls,</w:t>
      </w:r>
      <w:r>
        <w:rPr>
          <w:spacing w:val="40"/>
        </w:rPr>
        <w:t> </w:t>
      </w:r>
      <w:r>
        <w:rPr/>
        <w:t>one</w:t>
      </w:r>
      <w:r>
        <w:rPr>
          <w:spacing w:val="40"/>
        </w:rPr>
        <w:t> </w:t>
      </w:r>
      <w:r>
        <w:rPr/>
        <w:t>row</w:t>
      </w:r>
      <w:r>
        <w:rPr>
          <w:spacing w:val="40"/>
        </w:rPr>
        <w:t> </w:t>
      </w:r>
      <w:r>
        <w:rPr/>
        <w:t>of</w:t>
      </w:r>
      <w:r>
        <w:rPr>
          <w:spacing w:val="40"/>
        </w:rPr>
        <w:t> </w:t>
      </w:r>
      <w:r>
        <w:rPr/>
        <w:t>uncovered</w:t>
      </w:r>
      <w:r>
        <w:rPr>
          <w:spacing w:val="40"/>
        </w:rPr>
        <w:t> </w:t>
      </w:r>
      <w:r>
        <w:rPr/>
        <w:t>parking</w:t>
      </w:r>
      <w:r>
        <w:rPr>
          <w:spacing w:val="40"/>
        </w:rPr>
        <w:t> </w:t>
      </w:r>
      <w:r>
        <w:rPr/>
        <w:t>may</w:t>
      </w:r>
      <w:r>
        <w:rPr>
          <w:spacing w:val="40"/>
        </w:rPr>
        <w:t> </w:t>
      </w:r>
      <w:r>
        <w:rPr/>
        <w:t>be</w:t>
      </w:r>
      <w:r>
        <w:rPr>
          <w:spacing w:val="40"/>
        </w:rPr>
        <w:t> </w:t>
      </w:r>
      <w:r>
        <w:rPr/>
        <w:t>allowed</w:t>
      </w:r>
      <w:r>
        <w:rPr>
          <w:spacing w:val="40"/>
        </w:rPr>
        <w:t> </w:t>
      </w:r>
      <w:r>
        <w:rPr/>
        <w:t>in</w:t>
      </w:r>
      <w:r>
        <w:rPr>
          <w:spacing w:val="40"/>
        </w:rPr>
        <w:t> </w:t>
      </w:r>
      <w:r>
        <w:rPr/>
        <w:t>the front</w:t>
      </w:r>
      <w:r>
        <w:rPr>
          <w:spacing w:val="61"/>
        </w:rPr>
        <w:t> </w:t>
      </w:r>
      <w:r>
        <w:rPr/>
        <w:t>margin</w:t>
      </w:r>
      <w:r>
        <w:rPr>
          <w:spacing w:val="61"/>
        </w:rPr>
        <w:t> </w:t>
      </w:r>
      <w:r>
        <w:rPr/>
        <w:t>space</w:t>
      </w:r>
      <w:r>
        <w:rPr>
          <w:spacing w:val="61"/>
        </w:rPr>
        <w:t> </w:t>
      </w:r>
      <w:r>
        <w:rPr/>
        <w:t>of</w:t>
      </w:r>
      <w:r>
        <w:rPr>
          <w:spacing w:val="61"/>
        </w:rPr>
        <w:t> </w:t>
      </w:r>
      <w:r>
        <w:rPr/>
        <w:t>12</w:t>
      </w:r>
      <w:r>
        <w:rPr>
          <w:spacing w:val="40"/>
        </w:rPr>
        <w:t> </w:t>
      </w:r>
      <w:r>
        <w:rPr/>
        <w:t>m</w:t>
      </w:r>
      <w:r>
        <w:rPr>
          <w:spacing w:val="61"/>
        </w:rPr>
        <w:t> </w:t>
      </w:r>
      <w:r>
        <w:rPr/>
        <w:t>or</w:t>
      </w:r>
      <w:r>
        <w:rPr>
          <w:spacing w:val="61"/>
        </w:rPr>
        <w:t> </w:t>
      </w:r>
      <w:r>
        <w:rPr/>
        <w:t>more,</w:t>
      </w:r>
      <w:r>
        <w:rPr>
          <w:spacing w:val="40"/>
        </w:rPr>
        <w:t> </w:t>
      </w:r>
      <w:r>
        <w:rPr/>
        <w:t>if</w:t>
      </w:r>
      <w:r>
        <w:rPr>
          <w:spacing w:val="40"/>
        </w:rPr>
        <w:t> </w:t>
      </w:r>
      <w:r>
        <w:rPr/>
        <w:t>the</w:t>
      </w:r>
      <w:r>
        <w:rPr>
          <w:spacing w:val="61"/>
        </w:rPr>
        <w:t> </w:t>
      </w:r>
      <w:r>
        <w:rPr/>
        <w:t>clear</w:t>
      </w:r>
      <w:r>
        <w:rPr>
          <w:spacing w:val="40"/>
        </w:rPr>
        <w:t> </w:t>
      </w:r>
      <w:r>
        <w:rPr/>
        <w:t>vehicular</w:t>
      </w:r>
      <w:r>
        <w:rPr>
          <w:spacing w:val="40"/>
        </w:rPr>
        <w:t> </w:t>
      </w:r>
      <w:r>
        <w:rPr/>
        <w:t>access</w:t>
      </w:r>
      <w:r>
        <w:rPr>
          <w:spacing w:val="61"/>
        </w:rPr>
        <w:t> </w:t>
      </w:r>
      <w:r>
        <w:rPr/>
        <w:t>way is</w:t>
      </w:r>
      <w:r>
        <w:rPr>
          <w:spacing w:val="40"/>
        </w:rPr>
        <w:t> </w:t>
      </w:r>
      <w:r>
        <w:rPr/>
        <w:t>not</w:t>
      </w:r>
      <w:r>
        <w:rPr>
          <w:spacing w:val="40"/>
        </w:rPr>
        <w:t> </w:t>
      </w:r>
      <w:r>
        <w:rPr/>
        <w:t>reduced</w:t>
      </w:r>
      <w:r>
        <w:rPr>
          <w:spacing w:val="40"/>
        </w:rPr>
        <w:t> </w:t>
      </w:r>
      <w:r>
        <w:rPr/>
        <w:t>to</w:t>
      </w:r>
      <w:r>
        <w:rPr>
          <w:spacing w:val="40"/>
        </w:rPr>
        <w:t> </w:t>
      </w:r>
      <w:r>
        <w:rPr/>
        <w:t>less</w:t>
      </w:r>
      <w:r>
        <w:rPr>
          <w:spacing w:val="40"/>
        </w:rPr>
        <w:t> </w:t>
      </w:r>
      <w:r>
        <w:rPr/>
        <w:t>than</w:t>
      </w:r>
      <w:r>
        <w:rPr>
          <w:spacing w:val="40"/>
        </w:rPr>
        <w:t> </w:t>
      </w:r>
      <w:r>
        <w:rPr/>
        <w:t>6</w:t>
      </w:r>
      <w:r>
        <w:rPr>
          <w:spacing w:val="40"/>
        </w:rPr>
        <w:t> </w:t>
      </w:r>
      <w:r>
        <w:rPr/>
        <w:t>m</w:t>
      </w:r>
    </w:p>
    <w:p>
      <w:pPr>
        <w:pStyle w:val="BodyText"/>
        <w:spacing w:before="1"/>
        <w:jc w:val="left"/>
      </w:pPr>
    </w:p>
    <w:p>
      <w:pPr>
        <w:pStyle w:val="ListParagraph"/>
        <w:numPr>
          <w:ilvl w:val="1"/>
          <w:numId w:val="263"/>
        </w:numPr>
        <w:tabs>
          <w:tab w:pos="2211" w:val="left" w:leader="none"/>
        </w:tabs>
        <w:spacing w:line="240" w:lineRule="auto" w:before="0" w:after="0"/>
        <w:ind w:left="1493" w:right="776" w:firstLine="0"/>
        <w:jc w:val="both"/>
        <w:rPr>
          <w:sz w:val="24"/>
        </w:rPr>
      </w:pPr>
      <w:r>
        <w:rPr>
          <w:sz w:val="24"/>
        </w:rPr>
        <w:t>Common</w:t>
      </w:r>
      <w:r>
        <w:rPr>
          <w:spacing w:val="40"/>
          <w:sz w:val="24"/>
        </w:rPr>
        <w:t> </w:t>
      </w:r>
      <w:r>
        <w:rPr>
          <w:sz w:val="24"/>
        </w:rPr>
        <w:t>Parking</w:t>
      </w:r>
      <w:r>
        <w:rPr>
          <w:spacing w:val="40"/>
          <w:sz w:val="24"/>
        </w:rPr>
        <w:t> </w:t>
      </w:r>
      <w:r>
        <w:rPr>
          <w:sz w:val="24"/>
        </w:rPr>
        <w:t>Space</w:t>
      </w:r>
      <w:r>
        <w:rPr>
          <w:spacing w:val="40"/>
          <w:sz w:val="24"/>
        </w:rPr>
        <w:t> </w:t>
      </w:r>
      <w:r>
        <w:rPr>
          <w:sz w:val="24"/>
        </w:rPr>
        <w:t>if</w:t>
      </w:r>
      <w:r>
        <w:rPr>
          <w:spacing w:val="40"/>
          <w:sz w:val="24"/>
        </w:rPr>
        <w:t> </w:t>
      </w:r>
      <w:r>
        <w:rPr>
          <w:sz w:val="24"/>
        </w:rPr>
        <w:t>the</w:t>
      </w:r>
      <w:r>
        <w:rPr>
          <w:spacing w:val="40"/>
          <w:sz w:val="24"/>
        </w:rPr>
        <w:t> </w:t>
      </w:r>
      <w:r>
        <w:rPr>
          <w:sz w:val="24"/>
        </w:rPr>
        <w:t>total</w:t>
      </w:r>
      <w:r>
        <w:rPr>
          <w:spacing w:val="40"/>
          <w:sz w:val="24"/>
        </w:rPr>
        <w:t> </w:t>
      </w:r>
      <w:r>
        <w:rPr>
          <w:sz w:val="24"/>
        </w:rPr>
        <w:t>parking</w:t>
      </w:r>
      <w:r>
        <w:rPr>
          <w:spacing w:val="40"/>
          <w:sz w:val="24"/>
        </w:rPr>
        <w:t> </w:t>
      </w:r>
      <w:r>
        <w:rPr>
          <w:sz w:val="24"/>
        </w:rPr>
        <w:t>space</w:t>
      </w:r>
      <w:r>
        <w:rPr>
          <w:spacing w:val="40"/>
          <w:sz w:val="24"/>
        </w:rPr>
        <w:t> </w:t>
      </w:r>
      <w:r>
        <w:rPr>
          <w:sz w:val="24"/>
        </w:rPr>
        <w:t>required</w:t>
      </w:r>
      <w:r>
        <w:rPr>
          <w:spacing w:val="40"/>
          <w:sz w:val="24"/>
        </w:rPr>
        <w:t> </w:t>
      </w:r>
      <w:r>
        <w:rPr>
          <w:sz w:val="24"/>
        </w:rPr>
        <w:t>by these</w:t>
      </w:r>
      <w:r>
        <w:rPr>
          <w:spacing w:val="40"/>
          <w:sz w:val="24"/>
        </w:rPr>
        <w:t> </w:t>
      </w:r>
      <w:r>
        <w:rPr>
          <w:sz w:val="24"/>
        </w:rPr>
        <w:t>Regulations</w:t>
      </w:r>
      <w:r>
        <w:rPr>
          <w:spacing w:val="40"/>
          <w:sz w:val="24"/>
        </w:rPr>
        <w:t> </w:t>
      </w:r>
      <w:r>
        <w:rPr>
          <w:sz w:val="24"/>
        </w:rPr>
        <w:t>is</w:t>
      </w:r>
      <w:r>
        <w:rPr>
          <w:spacing w:val="40"/>
          <w:sz w:val="24"/>
        </w:rPr>
        <w:t> </w:t>
      </w:r>
      <w:r>
        <w:rPr>
          <w:sz w:val="24"/>
        </w:rPr>
        <w:t>provided</w:t>
      </w:r>
      <w:r>
        <w:rPr>
          <w:spacing w:val="40"/>
          <w:sz w:val="24"/>
        </w:rPr>
        <w:t> </w:t>
      </w:r>
      <w:r>
        <w:rPr>
          <w:sz w:val="24"/>
        </w:rPr>
        <w:t>by</w:t>
      </w:r>
      <w:r>
        <w:rPr>
          <w:spacing w:val="40"/>
          <w:sz w:val="24"/>
        </w:rPr>
        <w:t> </w:t>
      </w:r>
      <w:r>
        <w:rPr>
          <w:sz w:val="24"/>
        </w:rPr>
        <w:t>a</w:t>
      </w:r>
      <w:r>
        <w:rPr>
          <w:spacing w:val="40"/>
          <w:sz w:val="24"/>
        </w:rPr>
        <w:t> </w:t>
      </w:r>
      <w:r>
        <w:rPr>
          <w:sz w:val="24"/>
        </w:rPr>
        <w:t>group</w:t>
      </w:r>
      <w:r>
        <w:rPr>
          <w:spacing w:val="40"/>
          <w:sz w:val="24"/>
        </w:rPr>
        <w:t> </w:t>
      </w:r>
      <w:r>
        <w:rPr>
          <w:sz w:val="24"/>
        </w:rPr>
        <w:t>of</w:t>
      </w:r>
      <w:r>
        <w:rPr>
          <w:spacing w:val="40"/>
          <w:sz w:val="24"/>
        </w:rPr>
        <w:t> </w:t>
      </w:r>
      <w:r>
        <w:rPr>
          <w:sz w:val="24"/>
        </w:rPr>
        <w:t>adjoining</w:t>
      </w:r>
      <w:r>
        <w:rPr>
          <w:spacing w:val="40"/>
          <w:sz w:val="24"/>
        </w:rPr>
        <w:t> </w:t>
      </w:r>
      <w:r>
        <w:rPr>
          <w:sz w:val="24"/>
        </w:rPr>
        <w:t>property</w:t>
      </w:r>
      <w:r>
        <w:rPr>
          <w:spacing w:val="40"/>
          <w:sz w:val="24"/>
        </w:rPr>
        <w:t> </w:t>
      </w:r>
      <w:r>
        <w:rPr>
          <w:sz w:val="24"/>
        </w:rPr>
        <w:t>owners for their mutual benefit, such use of this space may be construed as meeting the </w:t>
      </w:r>
      <w:r>
        <w:rPr>
          <w:spacing w:val="9"/>
          <w:sz w:val="24"/>
        </w:rPr>
        <w:t>off-</w:t>
      </w:r>
      <w:r>
        <w:rPr>
          <w:sz w:val="24"/>
        </w:rPr>
        <w:t>street parking requirements under these </w:t>
      </w:r>
      <w:r>
        <w:rPr>
          <w:spacing w:val="9"/>
          <w:sz w:val="24"/>
        </w:rPr>
        <w:t>Regulations </w:t>
      </w:r>
      <w:r>
        <w:rPr>
          <w:sz w:val="24"/>
        </w:rPr>
        <w:t>subject to the approval of the Commissioner.</w:t>
      </w:r>
      <w:r>
        <w:rPr>
          <w:spacing w:val="80"/>
          <w:w w:val="150"/>
          <w:sz w:val="24"/>
        </w:rPr>
        <w:t> </w:t>
      </w:r>
      <w:r>
        <w:rPr>
          <w:sz w:val="24"/>
        </w:rPr>
        <w:t>If such common parking space is proposed for a group of buildings, the owners of such buildings shall submit a parking layout thereof and also a registered </w:t>
      </w:r>
      <w:r>
        <w:rPr>
          <w:spacing w:val="9"/>
          <w:sz w:val="24"/>
        </w:rPr>
        <w:t>undertaking </w:t>
      </w:r>
      <w:r>
        <w:rPr>
          <w:sz w:val="24"/>
        </w:rPr>
        <w:t>stating that the area earmarked for the parking space will not be </w:t>
      </w:r>
      <w:r>
        <w:rPr>
          <w:spacing w:val="9"/>
          <w:sz w:val="24"/>
        </w:rPr>
        <w:t>built </w:t>
      </w:r>
      <w:r>
        <w:rPr>
          <w:spacing w:val="-2"/>
          <w:sz w:val="24"/>
        </w:rPr>
        <w:t>upon.</w:t>
      </w:r>
    </w:p>
    <w:p>
      <w:pPr>
        <w:pStyle w:val="BodyText"/>
        <w:spacing w:before="277"/>
        <w:jc w:val="left"/>
      </w:pPr>
    </w:p>
    <w:p>
      <w:pPr>
        <w:pStyle w:val="Heading3"/>
        <w:numPr>
          <w:ilvl w:val="0"/>
          <w:numId w:val="263"/>
        </w:numPr>
        <w:tabs>
          <w:tab w:pos="2213" w:val="left" w:leader="none"/>
        </w:tabs>
        <w:spacing w:line="240" w:lineRule="auto" w:before="1" w:after="0"/>
        <w:ind w:left="2213" w:right="0" w:hanging="1441"/>
        <w:jc w:val="left"/>
        <w:rPr>
          <w:i w:val="0"/>
        </w:rPr>
      </w:pPr>
      <w:r>
        <w:rPr/>
        <w:t>Restrictions</w:t>
      </w:r>
      <w:r>
        <w:rPr>
          <w:spacing w:val="-10"/>
        </w:rPr>
        <w:t> </w:t>
      </w:r>
      <w:r>
        <w:rPr/>
        <w:t>on</w:t>
      </w:r>
      <w:r>
        <w:rPr>
          <w:spacing w:val="-8"/>
        </w:rPr>
        <w:t> </w:t>
      </w:r>
      <w:r>
        <w:rPr/>
        <w:t>Development</w:t>
      </w:r>
      <w:r>
        <w:rPr>
          <w:spacing w:val="-4"/>
        </w:rPr>
        <w:t> </w:t>
      </w:r>
      <w:r>
        <w:rPr/>
        <w:t>in</w:t>
      </w:r>
      <w:r>
        <w:rPr>
          <w:spacing w:val="-8"/>
        </w:rPr>
        <w:t> </w:t>
      </w:r>
      <w:r>
        <w:rPr/>
        <w:t>certain</w:t>
      </w:r>
      <w:r>
        <w:rPr>
          <w:spacing w:val="-8"/>
        </w:rPr>
        <w:t> </w:t>
      </w:r>
      <w:r>
        <w:rPr>
          <w:spacing w:val="-2"/>
        </w:rPr>
        <w:t>areas</w:t>
      </w:r>
    </w:p>
    <w:p>
      <w:pPr>
        <w:spacing w:line="281" w:lineRule="exact" w:before="244"/>
        <w:ind w:left="1574" w:right="0" w:firstLine="0"/>
        <w:jc w:val="both"/>
        <w:rPr>
          <w:i/>
          <w:sz w:val="24"/>
        </w:rPr>
      </w:pPr>
      <w:r>
        <w:rPr>
          <w:i/>
          <w:sz w:val="24"/>
        </w:rPr>
        <w:t>Height</w:t>
      </w:r>
      <w:r>
        <w:rPr>
          <w:i/>
          <w:spacing w:val="61"/>
          <w:sz w:val="24"/>
        </w:rPr>
        <w:t> </w:t>
      </w:r>
      <w:r>
        <w:rPr>
          <w:i/>
          <w:sz w:val="24"/>
        </w:rPr>
        <w:t>and</w:t>
      </w:r>
      <w:r>
        <w:rPr>
          <w:i/>
          <w:spacing w:val="62"/>
          <w:sz w:val="24"/>
        </w:rPr>
        <w:t> </w:t>
      </w:r>
      <w:r>
        <w:rPr>
          <w:i/>
          <w:sz w:val="24"/>
        </w:rPr>
        <w:t>other</w:t>
      </w:r>
      <w:r>
        <w:rPr>
          <w:i/>
          <w:spacing w:val="62"/>
          <w:sz w:val="24"/>
        </w:rPr>
        <w:t> </w:t>
      </w:r>
      <w:r>
        <w:rPr>
          <w:i/>
          <w:sz w:val="24"/>
        </w:rPr>
        <w:t>restrictions</w:t>
      </w:r>
      <w:r>
        <w:rPr>
          <w:i/>
          <w:spacing w:val="67"/>
          <w:sz w:val="24"/>
        </w:rPr>
        <w:t> </w:t>
      </w:r>
      <w:r>
        <w:rPr>
          <w:i/>
          <w:sz w:val="24"/>
        </w:rPr>
        <w:t>in</w:t>
      </w:r>
      <w:r>
        <w:rPr>
          <w:i/>
          <w:spacing w:val="66"/>
          <w:sz w:val="24"/>
        </w:rPr>
        <w:t> </w:t>
      </w:r>
      <w:r>
        <w:rPr>
          <w:i/>
          <w:sz w:val="24"/>
        </w:rPr>
        <w:t>certain</w:t>
      </w:r>
      <w:r>
        <w:rPr>
          <w:i/>
          <w:spacing w:val="67"/>
          <w:sz w:val="24"/>
        </w:rPr>
        <w:t> </w:t>
      </w:r>
      <w:r>
        <w:rPr>
          <w:i/>
          <w:spacing w:val="-4"/>
          <w:sz w:val="24"/>
        </w:rPr>
        <w:t>areas</w:t>
      </w:r>
    </w:p>
    <w:p>
      <w:pPr>
        <w:pStyle w:val="Heading6"/>
        <w:numPr>
          <w:ilvl w:val="0"/>
          <w:numId w:val="307"/>
        </w:numPr>
        <w:tabs>
          <w:tab w:pos="1937" w:val="left" w:leader="none"/>
        </w:tabs>
        <w:spacing w:line="281" w:lineRule="exact" w:before="0" w:after="0"/>
        <w:ind w:left="1937" w:right="0" w:hanging="444"/>
        <w:jc w:val="both"/>
      </w:pPr>
      <w:r>
        <w:rPr/>
        <w:t>Funnel</w:t>
      </w:r>
      <w:r>
        <w:rPr>
          <w:spacing w:val="45"/>
        </w:rPr>
        <w:t> </w:t>
      </w:r>
      <w:r>
        <w:rPr/>
        <w:t>of</w:t>
      </w:r>
      <w:r>
        <w:rPr>
          <w:spacing w:val="50"/>
        </w:rPr>
        <w:t> </w:t>
      </w:r>
      <w:r>
        <w:rPr>
          <w:spacing w:val="-2"/>
        </w:rPr>
        <w:t>Vision</w:t>
      </w:r>
    </w:p>
    <w:p>
      <w:pPr>
        <w:spacing w:before="239"/>
        <w:ind w:left="1570" w:right="0" w:firstLine="0"/>
        <w:jc w:val="both"/>
        <w:rPr>
          <w:sz w:val="24"/>
        </w:rPr>
      </w:pPr>
      <w:r>
        <w:rPr>
          <w:sz w:val="24"/>
        </w:rPr>
        <w:t>(a)</w:t>
      </w:r>
      <w:r>
        <w:rPr>
          <w:i/>
          <w:sz w:val="24"/>
        </w:rPr>
        <w:t>(</w:t>
      </w:r>
      <w:r>
        <w:rPr>
          <w:b/>
          <w:i/>
          <w:sz w:val="24"/>
        </w:rPr>
        <w:t>Preserving</w:t>
      </w:r>
      <w:r>
        <w:rPr>
          <w:b/>
          <w:i/>
          <w:spacing w:val="61"/>
          <w:sz w:val="24"/>
        </w:rPr>
        <w:t> </w:t>
      </w:r>
      <w:r>
        <w:rPr>
          <w:b/>
          <w:i/>
          <w:sz w:val="24"/>
        </w:rPr>
        <w:t>the</w:t>
      </w:r>
      <w:r>
        <w:rPr>
          <w:b/>
          <w:i/>
          <w:spacing w:val="65"/>
          <w:sz w:val="24"/>
        </w:rPr>
        <w:t> </w:t>
      </w:r>
      <w:r>
        <w:rPr>
          <w:b/>
          <w:i/>
          <w:sz w:val="24"/>
        </w:rPr>
        <w:t>view</w:t>
      </w:r>
      <w:r>
        <w:rPr>
          <w:b/>
          <w:i/>
          <w:spacing w:val="61"/>
          <w:sz w:val="24"/>
        </w:rPr>
        <w:t> </w:t>
      </w:r>
      <w:r>
        <w:rPr>
          <w:b/>
          <w:i/>
          <w:sz w:val="24"/>
        </w:rPr>
        <w:t>from</w:t>
      </w:r>
      <w:r>
        <w:rPr>
          <w:b/>
          <w:i/>
          <w:spacing w:val="62"/>
          <w:sz w:val="24"/>
        </w:rPr>
        <w:t> </w:t>
      </w:r>
      <w:r>
        <w:rPr>
          <w:b/>
          <w:i/>
          <w:sz w:val="24"/>
        </w:rPr>
        <w:t>the</w:t>
      </w:r>
      <w:r>
        <w:rPr>
          <w:b/>
          <w:i/>
          <w:spacing w:val="65"/>
          <w:sz w:val="24"/>
        </w:rPr>
        <w:t> </w:t>
      </w:r>
      <w:r>
        <w:rPr>
          <w:b/>
          <w:i/>
          <w:sz w:val="24"/>
        </w:rPr>
        <w:t>Phirozshah</w:t>
      </w:r>
      <w:r>
        <w:rPr>
          <w:b/>
          <w:i/>
          <w:spacing w:val="39"/>
          <w:w w:val="150"/>
          <w:sz w:val="24"/>
        </w:rPr>
        <w:t> </w:t>
      </w:r>
      <w:r>
        <w:rPr>
          <w:b/>
          <w:i/>
          <w:sz w:val="24"/>
        </w:rPr>
        <w:t>Mehta</w:t>
      </w:r>
      <w:r>
        <w:rPr>
          <w:b/>
          <w:i/>
          <w:spacing w:val="66"/>
          <w:sz w:val="24"/>
        </w:rPr>
        <w:t> </w:t>
      </w:r>
      <w:r>
        <w:rPr>
          <w:b/>
          <w:i/>
          <w:spacing w:val="-2"/>
          <w:sz w:val="24"/>
        </w:rPr>
        <w:t>Garden</w:t>
      </w:r>
      <w:r>
        <w:rPr>
          <w:spacing w:val="-2"/>
          <w:sz w:val="24"/>
        </w:rPr>
        <w:t>-</w:t>
      </w:r>
    </w:p>
    <w:p>
      <w:pPr>
        <w:pStyle w:val="BodyText"/>
        <w:spacing w:before="1"/>
        <w:ind w:left="1493" w:right="778" w:firstLine="518"/>
      </w:pPr>
      <w:r>
        <w:rPr/>
        <w:t>Notwithstanding</w:t>
      </w:r>
      <w:r>
        <w:rPr>
          <w:spacing w:val="40"/>
        </w:rPr>
        <w:t> </w:t>
      </w:r>
      <w:r>
        <w:rPr/>
        <w:t>anything</w:t>
      </w:r>
      <w:r>
        <w:rPr>
          <w:spacing w:val="40"/>
        </w:rPr>
        <w:t> </w:t>
      </w:r>
      <w:r>
        <w:rPr/>
        <w:t>contained</w:t>
      </w:r>
      <w:r>
        <w:rPr>
          <w:spacing w:val="40"/>
        </w:rPr>
        <w:t> </w:t>
      </w:r>
      <w:r>
        <w:rPr/>
        <w:t>in</w:t>
      </w:r>
      <w:r>
        <w:rPr>
          <w:spacing w:val="40"/>
        </w:rPr>
        <w:t> </w:t>
      </w:r>
      <w:r>
        <w:rPr/>
        <w:t>these</w:t>
      </w:r>
      <w:r>
        <w:rPr>
          <w:spacing w:val="40"/>
        </w:rPr>
        <w:t> </w:t>
      </w:r>
      <w:r>
        <w:rPr/>
        <w:t>Regulations,</w:t>
      </w:r>
      <w:r>
        <w:rPr>
          <w:spacing w:val="40"/>
        </w:rPr>
        <w:t> </w:t>
      </w:r>
      <w:r>
        <w:rPr/>
        <w:t>to</w:t>
      </w:r>
      <w:r>
        <w:rPr>
          <w:spacing w:val="40"/>
        </w:rPr>
        <w:t> </w:t>
      </w:r>
      <w:r>
        <w:rPr/>
        <w:t>preserve</w:t>
      </w:r>
      <w:r>
        <w:rPr>
          <w:spacing w:val="40"/>
        </w:rPr>
        <w:t> </w:t>
      </w:r>
      <w:r>
        <w:rPr/>
        <w:t>the</w:t>
      </w:r>
      <w:r>
        <w:rPr>
          <w:spacing w:val="40"/>
        </w:rPr>
        <w:t> </w:t>
      </w:r>
      <w:r>
        <w:rPr/>
        <w:t>western</w:t>
      </w:r>
      <w:r>
        <w:rPr>
          <w:spacing w:val="40"/>
        </w:rPr>
        <w:t> </w:t>
      </w:r>
      <w:r>
        <w:rPr/>
        <w:t>view</w:t>
      </w:r>
      <w:r>
        <w:rPr>
          <w:spacing w:val="40"/>
        </w:rPr>
        <w:t> </w:t>
      </w:r>
      <w:r>
        <w:rPr/>
        <w:t>from</w:t>
      </w:r>
      <w:r>
        <w:rPr>
          <w:spacing w:val="40"/>
        </w:rPr>
        <w:t> </w:t>
      </w:r>
      <w:r>
        <w:rPr/>
        <w:t>the</w:t>
      </w:r>
      <w:r>
        <w:rPr>
          <w:spacing w:val="40"/>
        </w:rPr>
        <w:t> </w:t>
      </w:r>
      <w:r>
        <w:rPr/>
        <w:t>Phirozshah</w:t>
      </w:r>
      <w:r>
        <w:rPr>
          <w:spacing w:val="40"/>
        </w:rPr>
        <w:t> </w:t>
      </w:r>
      <w:r>
        <w:rPr/>
        <w:t>Mehta</w:t>
      </w:r>
      <w:r>
        <w:rPr>
          <w:spacing w:val="40"/>
        </w:rPr>
        <w:t> </w:t>
      </w:r>
      <w:r>
        <w:rPr/>
        <w:t>Garden</w:t>
      </w:r>
      <w:r>
        <w:rPr>
          <w:spacing w:val="40"/>
        </w:rPr>
        <w:t> </w:t>
      </w:r>
      <w:r>
        <w:rPr/>
        <w:t>on Malabar Hill, two funnels of visions have been marked on the land </w:t>
      </w:r>
      <w:r>
        <w:rPr>
          <w:spacing w:val="9"/>
        </w:rPr>
        <w:t>use(Development)plan </w:t>
      </w:r>
      <w:r>
        <w:rPr/>
        <w:t>of “D’’ Ward.</w:t>
      </w:r>
    </w:p>
    <w:p>
      <w:pPr>
        <w:pStyle w:val="ListParagraph"/>
        <w:numPr>
          <w:ilvl w:val="1"/>
          <w:numId w:val="307"/>
        </w:numPr>
        <w:tabs>
          <w:tab w:pos="1822" w:val="left" w:leader="none"/>
        </w:tabs>
        <w:spacing w:line="281" w:lineRule="exact" w:before="2" w:after="0"/>
        <w:ind w:left="1822" w:right="0" w:hanging="329"/>
        <w:jc w:val="both"/>
        <w:rPr>
          <w:sz w:val="24"/>
        </w:rPr>
      </w:pPr>
      <w:r>
        <w:rPr>
          <w:sz w:val="24"/>
        </w:rPr>
        <w:t>No</w:t>
      </w:r>
      <w:r>
        <w:rPr>
          <w:spacing w:val="54"/>
          <w:sz w:val="24"/>
        </w:rPr>
        <w:t> </w:t>
      </w:r>
      <w:r>
        <w:rPr>
          <w:sz w:val="24"/>
        </w:rPr>
        <w:t>development</w:t>
      </w:r>
      <w:r>
        <w:rPr>
          <w:spacing w:val="58"/>
          <w:sz w:val="24"/>
        </w:rPr>
        <w:t> </w:t>
      </w:r>
      <w:r>
        <w:rPr>
          <w:sz w:val="24"/>
        </w:rPr>
        <w:t>will</w:t>
      </w:r>
      <w:r>
        <w:rPr>
          <w:spacing w:val="54"/>
          <w:sz w:val="24"/>
        </w:rPr>
        <w:t> </w:t>
      </w:r>
      <w:r>
        <w:rPr>
          <w:sz w:val="24"/>
        </w:rPr>
        <w:t>be</w:t>
      </w:r>
      <w:r>
        <w:rPr>
          <w:spacing w:val="53"/>
          <w:sz w:val="24"/>
        </w:rPr>
        <w:t> </w:t>
      </w:r>
      <w:r>
        <w:rPr>
          <w:sz w:val="24"/>
        </w:rPr>
        <w:t>permitted</w:t>
      </w:r>
      <w:r>
        <w:rPr>
          <w:spacing w:val="54"/>
          <w:sz w:val="24"/>
        </w:rPr>
        <w:t> </w:t>
      </w:r>
      <w:r>
        <w:rPr>
          <w:sz w:val="24"/>
        </w:rPr>
        <w:t>in</w:t>
      </w:r>
      <w:r>
        <w:rPr>
          <w:spacing w:val="53"/>
          <w:sz w:val="24"/>
        </w:rPr>
        <w:t> </w:t>
      </w:r>
      <w:r>
        <w:rPr>
          <w:sz w:val="24"/>
        </w:rPr>
        <w:t>the</w:t>
      </w:r>
      <w:r>
        <w:rPr>
          <w:spacing w:val="54"/>
          <w:sz w:val="24"/>
        </w:rPr>
        <w:t> </w:t>
      </w:r>
      <w:r>
        <w:rPr>
          <w:sz w:val="24"/>
        </w:rPr>
        <w:t>inner</w:t>
      </w:r>
      <w:r>
        <w:rPr>
          <w:spacing w:val="54"/>
          <w:sz w:val="24"/>
        </w:rPr>
        <w:t> </w:t>
      </w:r>
      <w:r>
        <w:rPr>
          <w:sz w:val="24"/>
        </w:rPr>
        <w:t>funnel</w:t>
      </w:r>
      <w:r>
        <w:rPr>
          <w:spacing w:val="57"/>
          <w:sz w:val="24"/>
        </w:rPr>
        <w:t> </w:t>
      </w:r>
      <w:r>
        <w:rPr>
          <w:sz w:val="24"/>
        </w:rPr>
        <w:t>of</w:t>
      </w:r>
      <w:r>
        <w:rPr>
          <w:spacing w:val="54"/>
          <w:sz w:val="24"/>
        </w:rPr>
        <w:t> </w:t>
      </w:r>
      <w:r>
        <w:rPr>
          <w:sz w:val="24"/>
        </w:rPr>
        <w:t>vision,</w:t>
      </w:r>
      <w:r>
        <w:rPr>
          <w:spacing w:val="54"/>
          <w:sz w:val="24"/>
        </w:rPr>
        <w:t> </w:t>
      </w:r>
      <w:r>
        <w:rPr>
          <w:spacing w:val="-5"/>
          <w:sz w:val="24"/>
        </w:rPr>
        <w:t>and</w:t>
      </w:r>
    </w:p>
    <w:p>
      <w:pPr>
        <w:pStyle w:val="ListParagraph"/>
        <w:numPr>
          <w:ilvl w:val="1"/>
          <w:numId w:val="307"/>
        </w:numPr>
        <w:tabs>
          <w:tab w:pos="1910" w:val="left" w:leader="none"/>
        </w:tabs>
        <w:spacing w:line="240" w:lineRule="auto" w:before="0" w:after="0"/>
        <w:ind w:left="1493" w:right="798" w:firstLine="0"/>
        <w:jc w:val="both"/>
        <w:rPr>
          <w:sz w:val="24"/>
        </w:rPr>
      </w:pPr>
      <w:r>
        <w:rPr>
          <w:sz w:val="24"/>
        </w:rPr>
        <w:t>a building within the outer funnel of vision shall not be erected or</w:t>
      </w:r>
      <w:r>
        <w:rPr>
          <w:spacing w:val="40"/>
          <w:sz w:val="24"/>
        </w:rPr>
        <w:t> </w:t>
      </w:r>
      <w:r>
        <w:rPr>
          <w:sz w:val="24"/>
        </w:rPr>
        <w:t>raised</w:t>
      </w:r>
      <w:r>
        <w:rPr>
          <w:spacing w:val="40"/>
          <w:sz w:val="24"/>
        </w:rPr>
        <w:t> </w:t>
      </w:r>
      <w:r>
        <w:rPr>
          <w:sz w:val="24"/>
        </w:rPr>
        <w:t>above</w:t>
      </w:r>
      <w:r>
        <w:rPr>
          <w:spacing w:val="40"/>
          <w:sz w:val="24"/>
        </w:rPr>
        <w:t> </w:t>
      </w:r>
      <w:r>
        <w:rPr>
          <w:sz w:val="24"/>
        </w:rPr>
        <w:t>Reduced</w:t>
      </w:r>
      <w:r>
        <w:rPr>
          <w:spacing w:val="40"/>
          <w:sz w:val="24"/>
        </w:rPr>
        <w:t> </w:t>
      </w:r>
      <w:r>
        <w:rPr>
          <w:sz w:val="24"/>
        </w:rPr>
        <w:t>Level</w:t>
      </w:r>
      <w:r>
        <w:rPr>
          <w:spacing w:val="40"/>
          <w:sz w:val="24"/>
        </w:rPr>
        <w:t> </w:t>
      </w:r>
      <w:r>
        <w:rPr>
          <w:sz w:val="24"/>
        </w:rPr>
        <w:t>75.44;</w:t>
      </w:r>
      <w:r>
        <w:rPr>
          <w:spacing w:val="40"/>
          <w:sz w:val="24"/>
        </w:rPr>
        <w:t> </w:t>
      </w:r>
      <w:r>
        <w:rPr>
          <w:sz w:val="24"/>
        </w:rPr>
        <w:t>with</w:t>
      </w:r>
      <w:r>
        <w:rPr>
          <w:spacing w:val="40"/>
          <w:sz w:val="24"/>
        </w:rPr>
        <w:t> </w:t>
      </w:r>
      <w:r>
        <w:rPr>
          <w:sz w:val="24"/>
        </w:rPr>
        <w:t>reference</w:t>
      </w:r>
      <w:r>
        <w:rPr>
          <w:spacing w:val="40"/>
          <w:sz w:val="24"/>
        </w:rPr>
        <w:t> </w:t>
      </w:r>
      <w:r>
        <w:rPr>
          <w:sz w:val="24"/>
        </w:rPr>
        <w:t>to</w:t>
      </w:r>
      <w:r>
        <w:rPr>
          <w:spacing w:val="40"/>
          <w:sz w:val="24"/>
        </w:rPr>
        <w:t> </w:t>
      </w:r>
      <w:r>
        <w:rPr>
          <w:sz w:val="24"/>
        </w:rPr>
        <w:t>Town</w:t>
      </w:r>
      <w:r>
        <w:rPr>
          <w:spacing w:val="40"/>
          <w:sz w:val="24"/>
        </w:rPr>
        <w:t> </w:t>
      </w:r>
      <w:r>
        <w:rPr>
          <w:sz w:val="24"/>
        </w:rPr>
        <w:t>Hall</w:t>
      </w:r>
      <w:r>
        <w:rPr>
          <w:spacing w:val="40"/>
          <w:sz w:val="24"/>
        </w:rPr>
        <w:t> </w:t>
      </w:r>
      <w:r>
        <w:rPr>
          <w:sz w:val="24"/>
        </w:rPr>
        <w:t>Datum.</w:t>
      </w:r>
    </w:p>
    <w:p>
      <w:pPr>
        <w:pStyle w:val="Heading6"/>
        <w:spacing w:before="278"/>
        <w:ind w:left="1493" w:right="799"/>
        <w:jc w:val="both"/>
        <w:rPr>
          <w:b w:val="0"/>
          <w:i w:val="0"/>
        </w:rPr>
      </w:pPr>
      <w:r>
        <w:rPr>
          <w:b w:val="0"/>
          <w:i w:val="0"/>
        </w:rPr>
        <w:t>(b) </w:t>
      </w:r>
      <w:r>
        <w:rPr/>
        <w:t>Preserving the eastern and southern view of the Backbay Area, Marine Drive</w:t>
      </w:r>
      <w:r>
        <w:rPr>
          <w:b w:val="0"/>
          <w:i w:val="0"/>
        </w:rPr>
        <w:t>-</w:t>
      </w:r>
    </w:p>
    <w:p>
      <w:pPr>
        <w:pStyle w:val="BodyText"/>
        <w:spacing w:before="3"/>
        <w:ind w:left="1493" w:right="777"/>
      </w:pPr>
      <w:r>
        <w:rPr/>
        <w:t>Notwithstanding</w:t>
      </w:r>
      <w:r>
        <w:rPr>
          <w:spacing w:val="40"/>
        </w:rPr>
        <w:t> </w:t>
      </w:r>
      <w:r>
        <w:rPr/>
        <w:t>anything</w:t>
      </w:r>
      <w:r>
        <w:rPr>
          <w:spacing w:val="40"/>
        </w:rPr>
        <w:t> </w:t>
      </w:r>
      <w:r>
        <w:rPr/>
        <w:t>contained</w:t>
      </w:r>
      <w:r>
        <w:rPr>
          <w:spacing w:val="40"/>
        </w:rPr>
        <w:t> </w:t>
      </w:r>
      <w:r>
        <w:rPr/>
        <w:t>in</w:t>
      </w:r>
      <w:r>
        <w:rPr>
          <w:spacing w:val="40"/>
        </w:rPr>
        <w:t> </w:t>
      </w:r>
      <w:r>
        <w:rPr/>
        <w:t>these</w:t>
      </w:r>
      <w:r>
        <w:rPr>
          <w:spacing w:val="40"/>
        </w:rPr>
        <w:t> </w:t>
      </w:r>
      <w:r>
        <w:rPr/>
        <w:t>Regulations,</w:t>
      </w:r>
      <w:r>
        <w:rPr>
          <w:spacing w:val="40"/>
        </w:rPr>
        <w:t> </w:t>
      </w:r>
      <w:r>
        <w:rPr/>
        <w:t>to</w:t>
      </w:r>
      <w:r>
        <w:rPr>
          <w:spacing w:val="40"/>
        </w:rPr>
        <w:t> </w:t>
      </w:r>
      <w:r>
        <w:rPr>
          <w:spacing w:val="9"/>
        </w:rPr>
        <w:t>preserve </w:t>
      </w:r>
      <w:r>
        <w:rPr/>
        <w:t>the</w:t>
      </w:r>
      <w:r>
        <w:rPr>
          <w:spacing w:val="40"/>
        </w:rPr>
        <w:t> </w:t>
      </w:r>
      <w:r>
        <w:rPr/>
        <w:t>eastern</w:t>
      </w:r>
      <w:r>
        <w:rPr>
          <w:spacing w:val="40"/>
        </w:rPr>
        <w:t> </w:t>
      </w:r>
      <w:r>
        <w:rPr/>
        <w:t>and</w:t>
      </w:r>
      <w:r>
        <w:rPr>
          <w:spacing w:val="40"/>
        </w:rPr>
        <w:t> </w:t>
      </w:r>
      <w:r>
        <w:rPr/>
        <w:t>southern</w:t>
      </w:r>
      <w:r>
        <w:rPr>
          <w:spacing w:val="40"/>
        </w:rPr>
        <w:t> </w:t>
      </w:r>
      <w:r>
        <w:rPr/>
        <w:t>view</w:t>
      </w:r>
      <w:r>
        <w:rPr>
          <w:spacing w:val="40"/>
        </w:rPr>
        <w:t> </w:t>
      </w:r>
      <w:r>
        <w:rPr/>
        <w:t>of</w:t>
      </w:r>
      <w:r>
        <w:rPr>
          <w:spacing w:val="40"/>
        </w:rPr>
        <w:t> </w:t>
      </w:r>
      <w:r>
        <w:rPr/>
        <w:t>the</w:t>
      </w:r>
      <w:r>
        <w:rPr>
          <w:spacing w:val="40"/>
        </w:rPr>
        <w:t> </w:t>
      </w:r>
      <w:r>
        <w:rPr/>
        <w:t>Backbay</w:t>
      </w:r>
      <w:r>
        <w:rPr>
          <w:spacing w:val="40"/>
        </w:rPr>
        <w:t> </w:t>
      </w:r>
      <w:r>
        <w:rPr/>
        <w:t>and</w:t>
      </w:r>
      <w:r>
        <w:rPr>
          <w:spacing w:val="40"/>
        </w:rPr>
        <w:t> </w:t>
      </w:r>
      <w:r>
        <w:rPr/>
        <w:t>the</w:t>
      </w:r>
      <w:r>
        <w:rPr>
          <w:spacing w:val="40"/>
        </w:rPr>
        <w:t> </w:t>
      </w:r>
      <w:r>
        <w:rPr/>
        <w:t>Marine</w:t>
      </w:r>
      <w:r>
        <w:rPr>
          <w:spacing w:val="40"/>
        </w:rPr>
        <w:t> </w:t>
      </w:r>
      <w:r>
        <w:rPr/>
        <w:t>Drive area</w:t>
      </w:r>
      <w:r>
        <w:rPr>
          <w:spacing w:val="40"/>
        </w:rPr>
        <w:t> </w:t>
      </w:r>
      <w:r>
        <w:rPr/>
        <w:t>from</w:t>
      </w:r>
      <w:r>
        <w:rPr>
          <w:spacing w:val="40"/>
        </w:rPr>
        <w:t> </w:t>
      </w:r>
      <w:r>
        <w:rPr/>
        <w:t>Kamla</w:t>
      </w:r>
      <w:r>
        <w:rPr>
          <w:spacing w:val="40"/>
        </w:rPr>
        <w:t> </w:t>
      </w:r>
      <w:r>
        <w:rPr/>
        <w:t>Nehru</w:t>
      </w:r>
      <w:r>
        <w:rPr>
          <w:spacing w:val="40"/>
        </w:rPr>
        <w:t> </w:t>
      </w:r>
      <w:r>
        <w:rPr/>
        <w:t>Park</w:t>
      </w:r>
      <w:r>
        <w:rPr>
          <w:spacing w:val="40"/>
        </w:rPr>
        <w:t> </w:t>
      </w:r>
      <w:r>
        <w:rPr/>
        <w:t>on</w:t>
      </w:r>
      <w:r>
        <w:rPr>
          <w:spacing w:val="40"/>
        </w:rPr>
        <w:t> </w:t>
      </w:r>
      <w:r>
        <w:rPr/>
        <w:t>Malabar</w:t>
      </w:r>
      <w:r>
        <w:rPr>
          <w:spacing w:val="40"/>
        </w:rPr>
        <w:t> </w:t>
      </w:r>
      <w:r>
        <w:rPr/>
        <w:t>Hill,</w:t>
      </w:r>
      <w:r>
        <w:rPr>
          <w:spacing w:val="40"/>
        </w:rPr>
        <w:t> </w:t>
      </w:r>
      <w:r>
        <w:rPr/>
        <w:t>a</w:t>
      </w:r>
      <w:r>
        <w:rPr>
          <w:spacing w:val="40"/>
        </w:rPr>
        <w:t> </w:t>
      </w:r>
      <w:r>
        <w:rPr/>
        <w:t>funnel</w:t>
      </w:r>
      <w:r>
        <w:rPr>
          <w:spacing w:val="40"/>
        </w:rPr>
        <w:t> </w:t>
      </w:r>
      <w:r>
        <w:rPr/>
        <w:t>of</w:t>
      </w:r>
      <w:r>
        <w:rPr>
          <w:spacing w:val="40"/>
        </w:rPr>
        <w:t> </w:t>
      </w:r>
      <w:r>
        <w:rPr/>
        <w:t>vision</w:t>
      </w:r>
      <w:r>
        <w:rPr>
          <w:spacing w:val="40"/>
        </w:rPr>
        <w:t> </w:t>
      </w:r>
      <w:r>
        <w:rPr/>
        <w:t>has been</w:t>
      </w:r>
      <w:r>
        <w:rPr>
          <w:spacing w:val="40"/>
        </w:rPr>
        <w:t> </w:t>
      </w:r>
      <w:r>
        <w:rPr/>
        <w:t>marked</w:t>
      </w:r>
      <w:r>
        <w:rPr>
          <w:spacing w:val="40"/>
        </w:rPr>
        <w:t> </w:t>
      </w:r>
      <w:r>
        <w:rPr/>
        <w:t>on</w:t>
      </w:r>
      <w:r>
        <w:rPr>
          <w:spacing w:val="80"/>
        </w:rPr>
        <w:t> </w:t>
      </w:r>
      <w:r>
        <w:rPr/>
        <w:t>the</w:t>
      </w:r>
      <w:r>
        <w:rPr>
          <w:spacing w:val="80"/>
        </w:rPr>
        <w:t> </w:t>
      </w:r>
      <w:r>
        <w:rPr/>
        <w:t>land</w:t>
      </w:r>
      <w:r>
        <w:rPr>
          <w:spacing w:val="40"/>
        </w:rPr>
        <w:t> </w:t>
      </w:r>
      <w:r>
        <w:rPr/>
        <w:t>use(development)</w:t>
      </w:r>
      <w:r>
        <w:rPr>
          <w:spacing w:val="80"/>
        </w:rPr>
        <w:t> </w:t>
      </w:r>
      <w:r>
        <w:rPr/>
        <w:t>plan</w:t>
      </w:r>
      <w:r>
        <w:rPr>
          <w:spacing w:val="40"/>
        </w:rPr>
        <w:t> </w:t>
      </w:r>
      <w:r>
        <w:rPr/>
        <w:t>of</w:t>
      </w:r>
      <w:r>
        <w:rPr>
          <w:spacing w:val="40"/>
        </w:rPr>
        <w:t> </w:t>
      </w:r>
      <w:r>
        <w:rPr/>
        <w:t>“D’’</w:t>
      </w:r>
      <w:r>
        <w:rPr>
          <w:spacing w:val="80"/>
        </w:rPr>
        <w:t> </w:t>
      </w:r>
      <w:r>
        <w:rPr/>
        <w:t>Ward.</w:t>
      </w:r>
    </w:p>
    <w:p>
      <w:pPr>
        <w:pStyle w:val="BodyText"/>
        <w:spacing w:before="1"/>
        <w:ind w:left="1493" w:right="774"/>
      </w:pPr>
      <w:r>
        <w:rPr/>
        <w:t>No</w:t>
      </w:r>
      <w:r>
        <w:rPr>
          <w:spacing w:val="40"/>
        </w:rPr>
        <w:t> </w:t>
      </w:r>
      <w:r>
        <w:rPr/>
        <w:t>building</w:t>
      </w:r>
      <w:r>
        <w:rPr>
          <w:spacing w:val="40"/>
        </w:rPr>
        <w:t> </w:t>
      </w:r>
      <w:r>
        <w:rPr/>
        <w:t>shall</w:t>
      </w:r>
      <w:r>
        <w:rPr>
          <w:spacing w:val="40"/>
        </w:rPr>
        <w:t> </w:t>
      </w:r>
      <w:r>
        <w:rPr/>
        <w:t>in</w:t>
      </w:r>
      <w:r>
        <w:rPr>
          <w:spacing w:val="40"/>
        </w:rPr>
        <w:t> </w:t>
      </w:r>
      <w:r>
        <w:rPr/>
        <w:t>this</w:t>
      </w:r>
      <w:r>
        <w:rPr>
          <w:spacing w:val="40"/>
        </w:rPr>
        <w:t> </w:t>
      </w:r>
      <w:r>
        <w:rPr/>
        <w:t>funnel</w:t>
      </w:r>
      <w:r>
        <w:rPr>
          <w:spacing w:val="40"/>
        </w:rPr>
        <w:t> </w:t>
      </w:r>
      <w:r>
        <w:rPr/>
        <w:t>of</w:t>
      </w:r>
      <w:r>
        <w:rPr>
          <w:spacing w:val="40"/>
        </w:rPr>
        <w:t> </w:t>
      </w:r>
      <w:r>
        <w:rPr/>
        <w:t>vision</w:t>
      </w:r>
      <w:r>
        <w:rPr>
          <w:spacing w:val="40"/>
        </w:rPr>
        <w:t> </w:t>
      </w:r>
      <w:r>
        <w:rPr/>
        <w:t>shall</w:t>
      </w:r>
      <w:r>
        <w:rPr>
          <w:spacing w:val="40"/>
        </w:rPr>
        <w:t> </w:t>
      </w:r>
      <w:r>
        <w:rPr/>
        <w:t>be</w:t>
      </w:r>
      <w:r>
        <w:rPr>
          <w:spacing w:val="40"/>
        </w:rPr>
        <w:t> </w:t>
      </w:r>
      <w:r>
        <w:rPr/>
        <w:t>raised</w:t>
      </w:r>
      <w:r>
        <w:rPr>
          <w:spacing w:val="40"/>
        </w:rPr>
        <w:t> </w:t>
      </w:r>
      <w:r>
        <w:rPr/>
        <w:t>or</w:t>
      </w:r>
      <w:r>
        <w:rPr>
          <w:spacing w:val="40"/>
        </w:rPr>
        <w:t> </w:t>
      </w:r>
      <w:r>
        <w:rPr/>
        <w:t>erected</w:t>
      </w:r>
      <w:r>
        <w:rPr>
          <w:spacing w:val="40"/>
        </w:rPr>
        <w:t> </w:t>
      </w:r>
      <w:r>
        <w:rPr/>
        <w:t>to the height of more than 21.35 m or such lesser height as the</w:t>
      </w:r>
      <w:r>
        <w:rPr>
          <w:spacing w:val="80"/>
        </w:rPr>
        <w:t> </w:t>
      </w:r>
      <w:r>
        <w:rPr/>
        <w:t>Commissioner</w:t>
      </w:r>
      <w:r>
        <w:rPr>
          <w:spacing w:val="80"/>
        </w:rPr>
        <w:t> </w:t>
      </w:r>
      <w:r>
        <w:rPr/>
        <w:t>may</w:t>
      </w:r>
      <w:r>
        <w:rPr>
          <w:spacing w:val="80"/>
        </w:rPr>
        <w:t> </w:t>
      </w:r>
      <w:r>
        <w:rPr/>
        <w:t>prescribe</w:t>
      </w:r>
      <w:r>
        <w:rPr>
          <w:spacing w:val="80"/>
        </w:rPr>
        <w:t> </w:t>
      </w:r>
      <w:r>
        <w:rPr/>
        <w:t>which</w:t>
      </w:r>
      <w:r>
        <w:rPr>
          <w:spacing w:val="80"/>
        </w:rPr>
        <w:t> </w:t>
      </w:r>
      <w:r>
        <w:rPr/>
        <w:t>would</w:t>
      </w:r>
      <w:r>
        <w:rPr>
          <w:spacing w:val="80"/>
        </w:rPr>
        <w:t> </w:t>
      </w:r>
      <w:r>
        <w:rPr/>
        <w:t>include</w:t>
      </w:r>
      <w:r>
        <w:rPr>
          <w:spacing w:val="80"/>
        </w:rPr>
        <w:t> </w:t>
      </w:r>
      <w:r>
        <w:rPr/>
        <w:t>the</w:t>
      </w:r>
      <w:r>
        <w:rPr>
          <w:spacing w:val="80"/>
        </w:rPr>
        <w:t> </w:t>
      </w:r>
      <w:r>
        <w:rPr/>
        <w:t>terrace, staircase or lift room, elevated water storage tank or any other </w:t>
      </w:r>
      <w:r>
        <w:rPr>
          <w:spacing w:val="9"/>
        </w:rPr>
        <w:t>building </w:t>
      </w:r>
      <w:r>
        <w:rPr>
          <w:spacing w:val="-2"/>
        </w:rPr>
        <w:t>feature.</w:t>
      </w:r>
    </w:p>
    <w:p>
      <w:pPr>
        <w:pStyle w:val="BodyText"/>
        <w:spacing w:line="281" w:lineRule="exact" w:before="1"/>
        <w:ind w:left="1493"/>
      </w:pPr>
      <w:r>
        <w:rPr/>
        <w:t>Provided</w:t>
      </w:r>
      <w:r>
        <w:rPr>
          <w:spacing w:val="48"/>
          <w:w w:val="150"/>
        </w:rPr>
        <w:t> </w:t>
      </w:r>
      <w:r>
        <w:rPr/>
        <w:t>that</w:t>
      </w:r>
      <w:r>
        <w:rPr>
          <w:spacing w:val="48"/>
          <w:w w:val="150"/>
        </w:rPr>
        <w:t> </w:t>
      </w:r>
      <w:r>
        <w:rPr/>
        <w:t>the</w:t>
      </w:r>
      <w:r>
        <w:rPr>
          <w:spacing w:val="51"/>
          <w:w w:val="150"/>
        </w:rPr>
        <w:t> </w:t>
      </w:r>
      <w:r>
        <w:rPr/>
        <w:t>Commissioner</w:t>
      </w:r>
      <w:r>
        <w:rPr>
          <w:spacing w:val="48"/>
          <w:w w:val="150"/>
        </w:rPr>
        <w:t> </w:t>
      </w:r>
      <w:r>
        <w:rPr/>
        <w:t>may,</w:t>
      </w:r>
      <w:r>
        <w:rPr>
          <w:spacing w:val="48"/>
          <w:w w:val="150"/>
        </w:rPr>
        <w:t> </w:t>
      </w:r>
      <w:r>
        <w:rPr/>
        <w:t>,</w:t>
      </w:r>
      <w:r>
        <w:rPr>
          <w:spacing w:val="49"/>
          <w:w w:val="150"/>
        </w:rPr>
        <w:t> </w:t>
      </w:r>
      <w:r>
        <w:rPr/>
        <w:t>permit</w:t>
      </w:r>
      <w:r>
        <w:rPr>
          <w:spacing w:val="48"/>
          <w:w w:val="150"/>
        </w:rPr>
        <w:t> </w:t>
      </w:r>
      <w:r>
        <w:rPr/>
        <w:t>a</w:t>
      </w:r>
      <w:r>
        <w:rPr>
          <w:spacing w:val="48"/>
          <w:w w:val="150"/>
        </w:rPr>
        <w:t> </w:t>
      </w:r>
      <w:r>
        <w:rPr/>
        <w:t>building</w:t>
      </w:r>
      <w:r>
        <w:rPr>
          <w:spacing w:val="48"/>
          <w:w w:val="150"/>
        </w:rPr>
        <w:t> </w:t>
      </w:r>
      <w:r>
        <w:rPr/>
        <w:t>more</w:t>
      </w:r>
      <w:r>
        <w:rPr>
          <w:spacing w:val="49"/>
          <w:w w:val="150"/>
        </w:rPr>
        <w:t> </w:t>
      </w:r>
      <w:r>
        <w:rPr>
          <w:spacing w:val="-4"/>
        </w:rPr>
        <w:t>than</w:t>
      </w:r>
    </w:p>
    <w:p>
      <w:pPr>
        <w:pStyle w:val="BodyText"/>
        <w:ind w:left="1493" w:right="783"/>
      </w:pPr>
      <w:r>
        <w:rPr/>
        <w:t>21.35 m high after due consideration of the contours of the area, surrounding developments and plot location, the objective being not to obstruct</w:t>
      </w:r>
      <w:r>
        <w:rPr>
          <w:spacing w:val="40"/>
        </w:rPr>
        <w:t> </w:t>
      </w:r>
      <w:r>
        <w:rPr/>
        <w:t>the</w:t>
      </w:r>
      <w:r>
        <w:rPr>
          <w:spacing w:val="40"/>
        </w:rPr>
        <w:t> </w:t>
      </w:r>
      <w:r>
        <w:rPr/>
        <w:t>view</w:t>
      </w:r>
      <w:r>
        <w:rPr>
          <w:spacing w:val="40"/>
        </w:rPr>
        <w:t> </w:t>
      </w:r>
      <w:r>
        <w:rPr/>
        <w:t>within</w:t>
      </w:r>
      <w:r>
        <w:rPr>
          <w:spacing w:val="40"/>
        </w:rPr>
        <w:t> </w:t>
      </w:r>
      <w:r>
        <w:rPr/>
        <w:t>the</w:t>
      </w:r>
      <w:r>
        <w:rPr>
          <w:spacing w:val="40"/>
        </w:rPr>
        <w:t> </w:t>
      </w:r>
      <w:r>
        <w:rPr/>
        <w:t>funnel</w:t>
      </w:r>
      <w:r>
        <w:rPr>
          <w:spacing w:val="40"/>
        </w:rPr>
        <w:t> </w:t>
      </w:r>
      <w:r>
        <w:rPr/>
        <w:t>of</w:t>
      </w:r>
      <w:r>
        <w:rPr>
          <w:spacing w:val="40"/>
        </w:rPr>
        <w:t> </w:t>
      </w:r>
      <w:r>
        <w:rPr/>
        <w:t>vision. For</w:t>
      </w:r>
      <w:r>
        <w:rPr>
          <w:spacing w:val="40"/>
        </w:rPr>
        <w:t> </w:t>
      </w:r>
      <w:r>
        <w:rPr/>
        <w:t>his</w:t>
      </w:r>
      <w:r>
        <w:rPr>
          <w:spacing w:val="40"/>
        </w:rPr>
        <w:t> </w:t>
      </w:r>
      <w:r>
        <w:rPr/>
        <w:t>purpose</w:t>
      </w:r>
      <w:r>
        <w:rPr>
          <w:spacing w:val="40"/>
        </w:rPr>
        <w:t> </w:t>
      </w:r>
      <w:r>
        <w:rPr/>
        <w:t>the Municipal</w:t>
      </w:r>
      <w:r>
        <w:rPr>
          <w:spacing w:val="40"/>
        </w:rPr>
        <w:t> </w:t>
      </w:r>
      <w:r>
        <w:rPr/>
        <w:t>Commissioner</w:t>
      </w:r>
      <w:r>
        <w:rPr>
          <w:spacing w:val="40"/>
        </w:rPr>
        <w:t> </w:t>
      </w:r>
      <w:r>
        <w:rPr/>
        <w:t>shall</w:t>
      </w:r>
      <w:r>
        <w:rPr>
          <w:spacing w:val="40"/>
        </w:rPr>
        <w:t> </w:t>
      </w:r>
      <w:r>
        <w:rPr/>
        <w:t>get</w:t>
      </w:r>
      <w:r>
        <w:rPr>
          <w:spacing w:val="40"/>
        </w:rPr>
        <w:t> </w:t>
      </w:r>
      <w:r>
        <w:rPr/>
        <w:t>prepared</w:t>
      </w:r>
      <w:r>
        <w:rPr>
          <w:spacing w:val="40"/>
        </w:rPr>
        <w:t> </w:t>
      </w:r>
      <w:r>
        <w:rPr/>
        <w:t>a</w:t>
      </w:r>
      <w:r>
        <w:rPr>
          <w:spacing w:val="40"/>
        </w:rPr>
        <w:t> </w:t>
      </w:r>
      <w:r>
        <w:rPr/>
        <w:t>detailed</w:t>
      </w:r>
      <w:r>
        <w:rPr>
          <w:spacing w:val="40"/>
        </w:rPr>
        <w:t> </w:t>
      </w:r>
      <w:r>
        <w:rPr/>
        <w:t>report/</w:t>
      </w:r>
      <w:r>
        <w:rPr>
          <w:spacing w:val="40"/>
        </w:rPr>
        <w:t> </w:t>
      </w:r>
      <w:r>
        <w:rPr/>
        <w:t>Model from IIT, Mumbai considering the datum level of each plot falling </w:t>
      </w:r>
      <w:r>
        <w:rPr>
          <w:spacing w:val="10"/>
        </w:rPr>
        <w:t>within</w:t>
      </w:r>
      <w:r>
        <w:rPr>
          <w:spacing w:val="40"/>
        </w:rPr>
        <w:t> </w:t>
      </w:r>
      <w:r>
        <w:rPr/>
        <w:t>the</w:t>
      </w:r>
      <w:r>
        <w:rPr>
          <w:spacing w:val="40"/>
        </w:rPr>
        <w:t> </w:t>
      </w:r>
      <w:r>
        <w:rPr/>
        <w:t>funnel,</w:t>
      </w:r>
      <w:r>
        <w:rPr>
          <w:spacing w:val="40"/>
        </w:rPr>
        <w:t> </w:t>
      </w:r>
      <w:r>
        <w:rPr/>
        <w:t>so</w:t>
      </w:r>
      <w:r>
        <w:rPr>
          <w:spacing w:val="57"/>
        </w:rPr>
        <w:t> </w:t>
      </w:r>
      <w:r>
        <w:rPr/>
        <w:t>as</w:t>
      </w:r>
      <w:r>
        <w:rPr>
          <w:spacing w:val="40"/>
        </w:rPr>
        <w:t> </w:t>
      </w:r>
      <w:r>
        <w:rPr/>
        <w:t>to</w:t>
      </w:r>
      <w:r>
        <w:rPr>
          <w:spacing w:val="40"/>
        </w:rPr>
        <w:t> </w:t>
      </w:r>
      <w:r>
        <w:rPr/>
        <w:t>ascertain</w:t>
      </w:r>
      <w:r>
        <w:rPr>
          <w:spacing w:val="40"/>
        </w:rPr>
        <w:t> </w:t>
      </w:r>
      <w:r>
        <w:rPr/>
        <w:t>the</w:t>
      </w:r>
      <w:r>
        <w:rPr>
          <w:spacing w:val="40"/>
        </w:rPr>
        <w:t> </w:t>
      </w:r>
      <w:r>
        <w:rPr/>
        <w:t>permissible</w:t>
      </w:r>
      <w:r>
        <w:rPr>
          <w:spacing w:val="57"/>
        </w:rPr>
        <w:t> </w:t>
      </w:r>
      <w:r>
        <w:rPr/>
        <w:t>height</w:t>
      </w:r>
      <w:r>
        <w:rPr>
          <w:spacing w:val="40"/>
        </w:rPr>
        <w:t> </w:t>
      </w:r>
      <w:r>
        <w:rPr/>
        <w:t>in</w:t>
      </w:r>
      <w:r>
        <w:rPr>
          <w:spacing w:val="57"/>
        </w:rPr>
        <w:t> </w:t>
      </w:r>
      <w:r>
        <w:rPr/>
        <w:t>such</w:t>
      </w:r>
      <w:r>
        <w:rPr>
          <w:spacing w:val="40"/>
        </w:rPr>
        <w:t> </w:t>
      </w:r>
      <w:r>
        <w:rPr/>
        <w:t>each</w:t>
      </w:r>
      <w:r>
        <w:rPr>
          <w:spacing w:val="40"/>
        </w:rPr>
        <w:t> </w:t>
      </w:r>
      <w:r>
        <w:rPr/>
        <w:t>plot</w:t>
      </w:r>
    </w:p>
    <w:p>
      <w:pPr>
        <w:pStyle w:val="BodyText"/>
        <w:jc w:val="left"/>
        <w:rPr>
          <w:sz w:val="14"/>
        </w:rPr>
      </w:pPr>
    </w:p>
    <w:p>
      <w:pPr>
        <w:pStyle w:val="BodyText"/>
        <w:spacing w:before="39"/>
        <w:jc w:val="left"/>
        <w:rPr>
          <w:sz w:val="14"/>
        </w:rPr>
      </w:pPr>
    </w:p>
    <w:p>
      <w:pPr>
        <w:spacing w:before="0"/>
        <w:ind w:left="0" w:right="1052" w:firstLine="0"/>
        <w:jc w:val="right"/>
        <w:rPr>
          <w:rFonts w:ascii="Arial"/>
          <w:b/>
          <w:i/>
          <w:sz w:val="14"/>
        </w:rPr>
      </w:pPr>
      <w:r>
        <w:rPr>
          <w:rFonts w:ascii="Arial"/>
          <w:b/>
          <w:i/>
          <w:sz w:val="14"/>
        </w:rPr>
        <mc:AlternateContent>
          <mc:Choice Requires="wps">
            <w:drawing>
              <wp:anchor distT="0" distB="0" distL="0" distR="0" allowOverlap="1" layoutInCell="1" locked="0" behindDoc="0" simplePos="0" relativeHeight="15747584">
                <wp:simplePos x="0" y="0"/>
                <wp:positionH relativeFrom="page">
                  <wp:posOffset>719327</wp:posOffset>
                </wp:positionH>
                <wp:positionV relativeFrom="paragraph">
                  <wp:posOffset>22864</wp:posOffset>
                </wp:positionV>
                <wp:extent cx="2514600" cy="197485"/>
                <wp:effectExtent l="0" t="0" r="0" b="0"/>
                <wp:wrapNone/>
                <wp:docPr id="462" name="Graphic 462"/>
                <wp:cNvGraphicFramePr>
                  <a:graphicFrameLocks/>
                </wp:cNvGraphicFramePr>
                <a:graphic>
                  <a:graphicData uri="http://schemas.microsoft.com/office/word/2010/wordprocessingShape">
                    <wps:wsp>
                      <wps:cNvPr id="462" name="Graphic 462"/>
                      <wps:cNvSpPr/>
                      <wps:spPr>
                        <a:xfrm>
                          <a:off x="0" y="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rect style="position:absolute;margin-left:56.639999pt;margin-top:1.800349pt;width:198pt;height:15.55pt;mso-position-horizontal-relative:page;mso-position-vertical-relative:paragraph;z-index:15747584" id="docshape398" filled="false" stroked="true" strokeweight="1pt" strokecolor="#666666">
                <v:stroke dashstyle="solid"/>
                <w10:wrap type="none"/>
              </v:rect>
            </w:pict>
          </mc:Fallback>
        </mc:AlternateContent>
      </w:r>
      <w:r>
        <w:rPr>
          <w:rFonts w:ascii="Arial"/>
          <w:b/>
          <w:i/>
          <w:sz w:val="14"/>
        </w:rPr>
        <w:t>Development</w:t>
      </w:r>
      <w:r>
        <w:rPr>
          <w:rFonts w:ascii="Arial"/>
          <w:b/>
          <w:i/>
          <w:spacing w:val="-8"/>
          <w:sz w:val="14"/>
        </w:rPr>
        <w:t> </w:t>
      </w:r>
      <w:r>
        <w:rPr>
          <w:rFonts w:ascii="Arial"/>
          <w:b/>
          <w:i/>
          <w:sz w:val="14"/>
        </w:rPr>
        <w:t>Plan</w:t>
      </w:r>
      <w:r>
        <w:rPr>
          <w:rFonts w:ascii="Arial"/>
          <w:b/>
          <w:i/>
          <w:spacing w:val="-9"/>
          <w:sz w:val="14"/>
        </w:rPr>
        <w:t> </w:t>
      </w:r>
      <w:r>
        <w:rPr>
          <w:rFonts w:ascii="Arial"/>
          <w:b/>
          <w:i/>
          <w:spacing w:val="-4"/>
          <w:sz w:val="14"/>
        </w:rPr>
        <w:t>2034</w:t>
      </w:r>
    </w:p>
    <w:p>
      <w:pPr>
        <w:spacing w:after="0"/>
        <w:jc w:val="right"/>
        <w:rPr>
          <w:rFonts w:ascii="Arial"/>
          <w:b/>
          <w:i/>
          <w:sz w:val="14"/>
        </w:rPr>
        <w:sectPr>
          <w:pgSz w:w="11910" w:h="16840"/>
          <w:pgMar w:header="1058" w:footer="1066" w:top="1500" w:bottom="1260" w:left="360" w:right="360"/>
        </w:sectPr>
      </w:pPr>
    </w:p>
    <w:p>
      <w:pPr>
        <w:pStyle w:val="BodyText"/>
        <w:spacing w:before="262"/>
        <w:jc w:val="left"/>
        <w:rPr>
          <w:rFonts w:ascii="Arial"/>
          <w:b/>
          <w:i/>
        </w:rPr>
      </w:pPr>
    </w:p>
    <w:p>
      <w:pPr>
        <w:pStyle w:val="BodyText"/>
        <w:ind w:left="1493" w:right="779"/>
      </w:pPr>
      <w:r>
        <w:rPr/>
        <w:t>(c)(The</w:t>
      </w:r>
      <w:r>
        <w:rPr>
          <w:spacing w:val="40"/>
        </w:rPr>
        <w:t> </w:t>
      </w:r>
      <w:r>
        <w:rPr/>
        <w:t>Commissioner</w:t>
      </w:r>
      <w:r>
        <w:rPr>
          <w:spacing w:val="40"/>
        </w:rPr>
        <w:t> </w:t>
      </w:r>
      <w:r>
        <w:rPr/>
        <w:t>may,</w:t>
      </w:r>
      <w:r>
        <w:rPr>
          <w:spacing w:val="40"/>
        </w:rPr>
        <w:t> </w:t>
      </w:r>
      <w:r>
        <w:rPr/>
        <w:t>for</w:t>
      </w:r>
      <w:r>
        <w:rPr>
          <w:spacing w:val="40"/>
        </w:rPr>
        <w:t> </w:t>
      </w:r>
      <w:r>
        <w:rPr/>
        <w:t>reasons</w:t>
      </w:r>
      <w:r>
        <w:rPr>
          <w:spacing w:val="40"/>
        </w:rPr>
        <w:t> </w:t>
      </w:r>
      <w:r>
        <w:rPr/>
        <w:t>to</w:t>
      </w:r>
      <w:r>
        <w:rPr>
          <w:spacing w:val="40"/>
        </w:rPr>
        <w:t> </w:t>
      </w:r>
      <w:r>
        <w:rPr/>
        <w:t>be</w:t>
      </w:r>
      <w:r>
        <w:rPr>
          <w:spacing w:val="40"/>
        </w:rPr>
        <w:t> </w:t>
      </w:r>
      <w:r>
        <w:rPr/>
        <w:t>recorded</w:t>
      </w:r>
      <w:r>
        <w:rPr>
          <w:spacing w:val="40"/>
        </w:rPr>
        <w:t> </w:t>
      </w:r>
      <w:r>
        <w:rPr/>
        <w:t>in</w:t>
      </w:r>
      <w:r>
        <w:rPr>
          <w:spacing w:val="40"/>
        </w:rPr>
        <w:t> </w:t>
      </w:r>
      <w:r>
        <w:rPr/>
        <w:t>writing, prescribe</w:t>
      </w:r>
      <w:r>
        <w:rPr>
          <w:spacing w:val="40"/>
        </w:rPr>
        <w:t> </w:t>
      </w:r>
      <w:r>
        <w:rPr/>
        <w:t>for</w:t>
      </w:r>
      <w:r>
        <w:rPr>
          <w:spacing w:val="40"/>
        </w:rPr>
        <w:t> </w:t>
      </w:r>
      <w:r>
        <w:rPr/>
        <w:t>any</w:t>
      </w:r>
      <w:r>
        <w:rPr>
          <w:spacing w:val="40"/>
        </w:rPr>
        <w:t> </w:t>
      </w:r>
      <w:r>
        <w:rPr/>
        <w:t>building</w:t>
      </w:r>
      <w:r>
        <w:rPr>
          <w:spacing w:val="40"/>
        </w:rPr>
        <w:t> </w:t>
      </w:r>
      <w:r>
        <w:rPr/>
        <w:t>or</w:t>
      </w:r>
      <w:r>
        <w:rPr>
          <w:spacing w:val="40"/>
        </w:rPr>
        <w:t> </w:t>
      </w:r>
      <w:r>
        <w:rPr/>
        <w:t>structure</w:t>
      </w:r>
      <w:r>
        <w:rPr>
          <w:spacing w:val="40"/>
        </w:rPr>
        <w:t> </w:t>
      </w:r>
      <w:r>
        <w:rPr/>
        <w:t>a</w:t>
      </w:r>
      <w:r>
        <w:rPr>
          <w:spacing w:val="40"/>
        </w:rPr>
        <w:t> </w:t>
      </w:r>
      <w:r>
        <w:rPr/>
        <w:t>maximum</w:t>
      </w:r>
      <w:r>
        <w:rPr>
          <w:spacing w:val="40"/>
        </w:rPr>
        <w:t> </w:t>
      </w:r>
      <w:r>
        <w:rPr/>
        <w:t>height,</w:t>
      </w:r>
      <w:r>
        <w:rPr>
          <w:spacing w:val="40"/>
        </w:rPr>
        <w:t> </w:t>
      </w:r>
      <w:r>
        <w:rPr/>
        <w:t>which</w:t>
      </w:r>
      <w:r>
        <w:rPr>
          <w:spacing w:val="40"/>
        </w:rPr>
        <w:t> </w:t>
      </w:r>
      <w:r>
        <w:rPr/>
        <w:t>may be</w:t>
      </w:r>
      <w:r>
        <w:rPr>
          <w:spacing w:val="80"/>
        </w:rPr>
        <w:t> </w:t>
      </w:r>
      <w:r>
        <w:rPr/>
        <w:t>less</w:t>
      </w:r>
      <w:r>
        <w:rPr>
          <w:spacing w:val="80"/>
        </w:rPr>
        <w:t> </w:t>
      </w:r>
      <w:r>
        <w:rPr/>
        <w:t>than</w:t>
      </w:r>
      <w:r>
        <w:rPr>
          <w:spacing w:val="80"/>
        </w:rPr>
        <w:t> </w:t>
      </w:r>
      <w:r>
        <w:rPr/>
        <w:t>that</w:t>
      </w:r>
      <w:r>
        <w:rPr>
          <w:spacing w:val="80"/>
        </w:rPr>
        <w:t> </w:t>
      </w:r>
      <w:r>
        <w:rPr/>
        <w:t>permissible</w:t>
      </w:r>
      <w:r>
        <w:rPr>
          <w:spacing w:val="80"/>
        </w:rPr>
        <w:t> </w:t>
      </w:r>
      <w:r>
        <w:rPr/>
        <w:t>otherwise</w:t>
      </w:r>
      <w:r>
        <w:rPr>
          <w:spacing w:val="80"/>
        </w:rPr>
        <w:t> </w:t>
      </w:r>
      <w:r>
        <w:rPr/>
        <w:t>under</w:t>
      </w:r>
      <w:r>
        <w:rPr>
          <w:spacing w:val="80"/>
        </w:rPr>
        <w:t> </w:t>
      </w:r>
      <w:r>
        <w:rPr/>
        <w:t>these</w:t>
      </w:r>
      <w:r>
        <w:rPr>
          <w:spacing w:val="80"/>
        </w:rPr>
        <w:t> </w:t>
      </w:r>
      <w:r>
        <w:rPr/>
        <w:t>Regulations.</w:t>
      </w:r>
    </w:p>
    <w:p>
      <w:pPr>
        <w:pStyle w:val="BodyText"/>
        <w:spacing w:before="240"/>
        <w:ind w:left="1493" w:right="786"/>
      </w:pPr>
      <w:r>
        <w:rPr/>
        <w:t>(d)The</w:t>
      </w:r>
      <w:r>
        <w:rPr>
          <w:spacing w:val="40"/>
        </w:rPr>
        <w:t> </w:t>
      </w:r>
      <w:r>
        <w:rPr/>
        <w:t>height</w:t>
      </w:r>
      <w:r>
        <w:rPr>
          <w:spacing w:val="40"/>
        </w:rPr>
        <w:t> </w:t>
      </w:r>
      <w:r>
        <w:rPr/>
        <w:t>restriction</w:t>
      </w:r>
      <w:r>
        <w:rPr>
          <w:spacing w:val="40"/>
        </w:rPr>
        <w:t> </w:t>
      </w:r>
      <w:r>
        <w:rPr/>
        <w:t>as</w:t>
      </w:r>
      <w:r>
        <w:rPr>
          <w:spacing w:val="40"/>
        </w:rPr>
        <w:t> </w:t>
      </w:r>
      <w:r>
        <w:rPr/>
        <w:t>in</w:t>
      </w:r>
      <w:r>
        <w:rPr>
          <w:spacing w:val="40"/>
        </w:rPr>
        <w:t> </w:t>
      </w:r>
      <w:r>
        <w:rPr/>
        <w:t>clauses</w:t>
      </w:r>
      <w:r>
        <w:rPr>
          <w:spacing w:val="40"/>
        </w:rPr>
        <w:t> </w:t>
      </w:r>
      <w:r>
        <w:rPr/>
        <w:t>(a)</w:t>
      </w:r>
      <w:r>
        <w:rPr>
          <w:spacing w:val="40"/>
        </w:rPr>
        <w:t> </w:t>
      </w:r>
      <w:r>
        <w:rPr/>
        <w:t>and</w:t>
      </w:r>
      <w:r>
        <w:rPr>
          <w:spacing w:val="40"/>
        </w:rPr>
        <w:t> </w:t>
      </w:r>
      <w:r>
        <w:rPr/>
        <w:t>(b)</w:t>
      </w:r>
      <w:r>
        <w:rPr>
          <w:spacing w:val="73"/>
        </w:rPr>
        <w:t> </w:t>
      </w:r>
      <w:r>
        <w:rPr/>
        <w:t>above</w:t>
      </w:r>
      <w:r>
        <w:rPr>
          <w:spacing w:val="40"/>
        </w:rPr>
        <w:t> </w:t>
      </w:r>
      <w:r>
        <w:rPr/>
        <w:t>will</w:t>
      </w:r>
      <w:r>
        <w:rPr>
          <w:spacing w:val="40"/>
        </w:rPr>
        <w:t> </w:t>
      </w:r>
      <w:r>
        <w:rPr/>
        <w:t>apply</w:t>
      </w:r>
      <w:r>
        <w:rPr>
          <w:spacing w:val="40"/>
        </w:rPr>
        <w:t> </w:t>
      </w:r>
      <w:r>
        <w:rPr/>
        <w:t>only to the portion of plot falling</w:t>
      </w:r>
      <w:r>
        <w:rPr>
          <w:spacing w:val="40"/>
        </w:rPr>
        <w:t> </w:t>
      </w:r>
      <w:r>
        <w:rPr/>
        <w:t>within the lines of the funnel of vision as marked on the DP</w:t>
      </w:r>
    </w:p>
    <w:p>
      <w:pPr>
        <w:pStyle w:val="Heading6"/>
        <w:numPr>
          <w:ilvl w:val="0"/>
          <w:numId w:val="307"/>
        </w:numPr>
        <w:tabs>
          <w:tab w:pos="1846" w:val="left" w:leader="none"/>
        </w:tabs>
        <w:spacing w:line="240" w:lineRule="auto" w:before="237" w:after="0"/>
        <w:ind w:left="1846" w:right="0" w:hanging="353"/>
        <w:jc w:val="both"/>
      </w:pPr>
      <w:r>
        <w:rPr/>
        <w:t>Height</w:t>
      </w:r>
      <w:r>
        <w:rPr>
          <w:spacing w:val="59"/>
        </w:rPr>
        <w:t> </w:t>
      </w:r>
      <w:r>
        <w:rPr/>
        <w:t>restrictions</w:t>
      </w:r>
      <w:r>
        <w:rPr>
          <w:spacing w:val="60"/>
        </w:rPr>
        <w:t> </w:t>
      </w:r>
      <w:r>
        <w:rPr/>
        <w:t>in</w:t>
      </w:r>
      <w:r>
        <w:rPr>
          <w:spacing w:val="65"/>
        </w:rPr>
        <w:t> </w:t>
      </w:r>
      <w:r>
        <w:rPr/>
        <w:t>the</w:t>
      </w:r>
      <w:r>
        <w:rPr>
          <w:spacing w:val="60"/>
        </w:rPr>
        <w:t> </w:t>
      </w:r>
      <w:r>
        <w:rPr/>
        <w:t>vicinity</w:t>
      </w:r>
      <w:r>
        <w:rPr>
          <w:spacing w:val="60"/>
        </w:rPr>
        <w:t> </w:t>
      </w:r>
      <w:r>
        <w:rPr/>
        <w:t>of</w:t>
      </w:r>
      <w:r>
        <w:rPr>
          <w:spacing w:val="60"/>
        </w:rPr>
        <w:t> </w:t>
      </w:r>
      <w:r>
        <w:rPr>
          <w:spacing w:val="-2"/>
        </w:rPr>
        <w:t>aerodromes</w:t>
      </w:r>
    </w:p>
    <w:p>
      <w:pPr>
        <w:pStyle w:val="BodyText"/>
        <w:spacing w:before="3"/>
        <w:jc w:val="left"/>
        <w:rPr>
          <w:b/>
          <w:i/>
        </w:rPr>
      </w:pPr>
    </w:p>
    <w:p>
      <w:pPr>
        <w:pStyle w:val="ListParagraph"/>
        <w:numPr>
          <w:ilvl w:val="0"/>
          <w:numId w:val="308"/>
        </w:numPr>
        <w:tabs>
          <w:tab w:pos="1748" w:val="left" w:leader="none"/>
        </w:tabs>
        <w:spacing w:line="240" w:lineRule="auto" w:before="0" w:after="0"/>
        <w:ind w:left="1493" w:right="781" w:firstLine="0"/>
        <w:jc w:val="both"/>
        <w:rPr>
          <w:sz w:val="24"/>
        </w:rPr>
      </w:pPr>
      <w:r>
        <w:rPr>
          <w:sz w:val="24"/>
        </w:rPr>
        <w:t>For structure, installations or buildings including installations in the vicinity of </w:t>
      </w:r>
      <w:r>
        <w:rPr>
          <w:spacing w:val="9"/>
          <w:sz w:val="24"/>
        </w:rPr>
        <w:t>aerodromes,</w:t>
      </w:r>
    </w:p>
    <w:p>
      <w:pPr>
        <w:pStyle w:val="ListParagraph"/>
        <w:numPr>
          <w:ilvl w:val="1"/>
          <w:numId w:val="308"/>
        </w:numPr>
        <w:tabs>
          <w:tab w:pos="1901" w:val="left" w:leader="none"/>
        </w:tabs>
        <w:spacing w:line="240" w:lineRule="auto" w:before="1" w:after="0"/>
        <w:ind w:left="1493" w:right="787" w:firstLine="0"/>
        <w:jc w:val="both"/>
        <w:rPr>
          <w:sz w:val="24"/>
        </w:rPr>
      </w:pPr>
      <w:r>
        <w:rPr>
          <w:sz w:val="24"/>
        </w:rPr>
        <w:t>The</w:t>
      </w:r>
      <w:r>
        <w:rPr>
          <w:spacing w:val="40"/>
          <w:sz w:val="24"/>
        </w:rPr>
        <w:t> </w:t>
      </w:r>
      <w:r>
        <w:rPr>
          <w:sz w:val="24"/>
        </w:rPr>
        <w:t>height</w:t>
      </w:r>
      <w:r>
        <w:rPr>
          <w:spacing w:val="40"/>
          <w:sz w:val="24"/>
        </w:rPr>
        <w:t> </w:t>
      </w:r>
      <w:r>
        <w:rPr>
          <w:sz w:val="24"/>
        </w:rPr>
        <w:t>shall</w:t>
      </w:r>
      <w:r>
        <w:rPr>
          <w:spacing w:val="40"/>
          <w:sz w:val="24"/>
        </w:rPr>
        <w:t> </w:t>
      </w:r>
      <w:r>
        <w:rPr>
          <w:sz w:val="24"/>
        </w:rPr>
        <w:t>be</w:t>
      </w:r>
      <w:r>
        <w:rPr>
          <w:spacing w:val="40"/>
          <w:sz w:val="24"/>
        </w:rPr>
        <w:t> </w:t>
      </w:r>
      <w:r>
        <w:rPr>
          <w:sz w:val="24"/>
        </w:rPr>
        <w:t>restricted</w:t>
      </w:r>
      <w:r>
        <w:rPr>
          <w:spacing w:val="40"/>
          <w:sz w:val="24"/>
        </w:rPr>
        <w:t> </w:t>
      </w:r>
      <w:r>
        <w:rPr>
          <w:sz w:val="24"/>
        </w:rPr>
        <w:t>to</w:t>
      </w:r>
      <w:r>
        <w:rPr>
          <w:spacing w:val="40"/>
          <w:sz w:val="24"/>
        </w:rPr>
        <w:t> </w:t>
      </w:r>
      <w:r>
        <w:rPr>
          <w:sz w:val="24"/>
        </w:rPr>
        <w:t>permissible</w:t>
      </w:r>
      <w:r>
        <w:rPr>
          <w:spacing w:val="40"/>
          <w:sz w:val="24"/>
        </w:rPr>
        <w:t> </w:t>
      </w:r>
      <w:r>
        <w:rPr>
          <w:sz w:val="24"/>
        </w:rPr>
        <w:t>top</w:t>
      </w:r>
      <w:r>
        <w:rPr>
          <w:spacing w:val="40"/>
          <w:sz w:val="24"/>
        </w:rPr>
        <w:t> </w:t>
      </w:r>
      <w:r>
        <w:rPr>
          <w:sz w:val="24"/>
        </w:rPr>
        <w:t>elevation</w:t>
      </w:r>
      <w:r>
        <w:rPr>
          <w:spacing w:val="40"/>
          <w:sz w:val="24"/>
        </w:rPr>
        <w:t> </w:t>
      </w:r>
      <w:r>
        <w:rPr>
          <w:sz w:val="24"/>
        </w:rPr>
        <w:t>as mentioned</w:t>
      </w:r>
      <w:r>
        <w:rPr>
          <w:spacing w:val="40"/>
          <w:sz w:val="24"/>
        </w:rPr>
        <w:t> </w:t>
      </w:r>
      <w:r>
        <w:rPr>
          <w:sz w:val="24"/>
        </w:rPr>
        <w:t>on</w:t>
      </w:r>
      <w:r>
        <w:rPr>
          <w:spacing w:val="40"/>
          <w:sz w:val="24"/>
        </w:rPr>
        <w:t> </w:t>
      </w:r>
      <w:r>
        <w:rPr>
          <w:sz w:val="24"/>
        </w:rPr>
        <w:t>Colour</w:t>
      </w:r>
      <w:r>
        <w:rPr>
          <w:spacing w:val="40"/>
          <w:sz w:val="24"/>
        </w:rPr>
        <w:t> </w:t>
      </w:r>
      <w:r>
        <w:rPr>
          <w:sz w:val="24"/>
        </w:rPr>
        <w:t>Coded</w:t>
      </w:r>
      <w:r>
        <w:rPr>
          <w:spacing w:val="40"/>
          <w:sz w:val="24"/>
        </w:rPr>
        <w:t> </w:t>
      </w:r>
      <w:r>
        <w:rPr>
          <w:sz w:val="24"/>
        </w:rPr>
        <w:t>Zoning</w:t>
      </w:r>
      <w:r>
        <w:rPr>
          <w:spacing w:val="40"/>
          <w:sz w:val="24"/>
        </w:rPr>
        <w:t> </w:t>
      </w:r>
      <w:r>
        <w:rPr>
          <w:sz w:val="24"/>
        </w:rPr>
        <w:t>Maps(CCZM)</w:t>
      </w:r>
      <w:r>
        <w:rPr>
          <w:spacing w:val="40"/>
          <w:sz w:val="24"/>
        </w:rPr>
        <w:t> </w:t>
      </w:r>
      <w:r>
        <w:rPr>
          <w:sz w:val="24"/>
        </w:rPr>
        <w:t>prepared</w:t>
      </w:r>
      <w:r>
        <w:rPr>
          <w:spacing w:val="40"/>
          <w:sz w:val="24"/>
        </w:rPr>
        <w:t> </w:t>
      </w:r>
      <w:r>
        <w:rPr>
          <w:sz w:val="24"/>
        </w:rPr>
        <w:t>by</w:t>
      </w:r>
      <w:r>
        <w:rPr>
          <w:spacing w:val="40"/>
          <w:sz w:val="24"/>
        </w:rPr>
        <w:t> </w:t>
      </w:r>
      <w:r>
        <w:rPr>
          <w:sz w:val="24"/>
        </w:rPr>
        <w:t>the</w:t>
      </w:r>
      <w:r>
        <w:rPr>
          <w:spacing w:val="80"/>
          <w:sz w:val="24"/>
        </w:rPr>
        <w:t> </w:t>
      </w:r>
      <w:r>
        <w:rPr>
          <w:sz w:val="24"/>
        </w:rPr>
        <w:t>Airport</w:t>
      </w:r>
      <w:r>
        <w:rPr>
          <w:spacing w:val="40"/>
          <w:sz w:val="24"/>
        </w:rPr>
        <w:t> </w:t>
      </w:r>
      <w:r>
        <w:rPr>
          <w:sz w:val="24"/>
        </w:rPr>
        <w:t>Authority</w:t>
      </w:r>
      <w:r>
        <w:rPr>
          <w:spacing w:val="40"/>
          <w:sz w:val="24"/>
        </w:rPr>
        <w:t> </w:t>
      </w:r>
      <w:r>
        <w:rPr>
          <w:sz w:val="24"/>
        </w:rPr>
        <w:t>of</w:t>
      </w:r>
      <w:r>
        <w:rPr>
          <w:spacing w:val="40"/>
          <w:sz w:val="24"/>
        </w:rPr>
        <w:t> </w:t>
      </w:r>
      <w:r>
        <w:rPr>
          <w:sz w:val="24"/>
        </w:rPr>
        <w:t>India</w:t>
      </w:r>
      <w:r>
        <w:rPr>
          <w:spacing w:val="40"/>
          <w:sz w:val="24"/>
        </w:rPr>
        <w:t> </w:t>
      </w:r>
      <w:r>
        <w:rPr>
          <w:sz w:val="24"/>
        </w:rPr>
        <w:t>(AAI)</w:t>
      </w:r>
      <w:r>
        <w:rPr>
          <w:spacing w:val="40"/>
          <w:sz w:val="24"/>
        </w:rPr>
        <w:t> </w:t>
      </w:r>
      <w:r>
        <w:rPr>
          <w:spacing w:val="9"/>
          <w:sz w:val="24"/>
        </w:rPr>
        <w:t>published</w:t>
      </w:r>
      <w:r>
        <w:rPr>
          <w:spacing w:val="40"/>
          <w:sz w:val="24"/>
        </w:rPr>
        <w:t> </w:t>
      </w:r>
      <w:r>
        <w:rPr>
          <w:sz w:val="24"/>
        </w:rPr>
        <w:t>onits</w:t>
      </w:r>
      <w:r>
        <w:rPr>
          <w:spacing w:val="40"/>
          <w:sz w:val="24"/>
        </w:rPr>
        <w:t> </w:t>
      </w:r>
      <w:r>
        <w:rPr>
          <w:sz w:val="24"/>
        </w:rPr>
        <w:t>web</w:t>
      </w:r>
      <w:r>
        <w:rPr>
          <w:spacing w:val="40"/>
          <w:sz w:val="24"/>
        </w:rPr>
        <w:t> </w:t>
      </w:r>
      <w:r>
        <w:rPr>
          <w:sz w:val="24"/>
        </w:rPr>
        <w:t>site.</w:t>
      </w:r>
    </w:p>
    <w:p>
      <w:pPr>
        <w:pStyle w:val="ListParagraph"/>
        <w:numPr>
          <w:ilvl w:val="1"/>
          <w:numId w:val="308"/>
        </w:numPr>
        <w:tabs>
          <w:tab w:pos="1731" w:val="left" w:leader="none"/>
        </w:tabs>
        <w:spacing w:line="240" w:lineRule="auto" w:before="0" w:after="0"/>
        <w:ind w:left="1493" w:right="779" w:firstLine="0"/>
        <w:jc w:val="both"/>
        <w:rPr>
          <w:sz w:val="24"/>
        </w:rPr>
      </w:pPr>
      <w:r>
        <w:rPr>
          <w:sz w:val="24"/>
        </w:rPr>
        <w:t>For</w:t>
      </w:r>
      <w:r>
        <w:rPr>
          <w:spacing w:val="40"/>
          <w:sz w:val="24"/>
        </w:rPr>
        <w:t> </w:t>
      </w:r>
      <w:r>
        <w:rPr>
          <w:sz w:val="24"/>
        </w:rPr>
        <w:t>any</w:t>
      </w:r>
      <w:r>
        <w:rPr>
          <w:spacing w:val="40"/>
          <w:sz w:val="24"/>
        </w:rPr>
        <w:t> </w:t>
      </w:r>
      <w:r>
        <w:rPr>
          <w:sz w:val="24"/>
        </w:rPr>
        <w:t>additional</w:t>
      </w:r>
      <w:r>
        <w:rPr>
          <w:spacing w:val="40"/>
          <w:sz w:val="24"/>
        </w:rPr>
        <w:t> </w:t>
      </w:r>
      <w:r>
        <w:rPr>
          <w:sz w:val="24"/>
        </w:rPr>
        <w:t>height</w:t>
      </w:r>
      <w:r>
        <w:rPr>
          <w:spacing w:val="40"/>
          <w:sz w:val="24"/>
        </w:rPr>
        <w:t> </w:t>
      </w:r>
      <w:r>
        <w:rPr>
          <w:sz w:val="24"/>
        </w:rPr>
        <w:t>beyond</w:t>
      </w:r>
      <w:r>
        <w:rPr>
          <w:spacing w:val="40"/>
          <w:sz w:val="24"/>
        </w:rPr>
        <w:t> </w:t>
      </w:r>
      <w:r>
        <w:rPr>
          <w:sz w:val="24"/>
        </w:rPr>
        <w:t>that</w:t>
      </w:r>
      <w:r>
        <w:rPr>
          <w:spacing w:val="40"/>
          <w:sz w:val="24"/>
        </w:rPr>
        <w:t> </w:t>
      </w:r>
      <w:r>
        <w:rPr>
          <w:sz w:val="24"/>
        </w:rPr>
        <w:t>mentioned</w:t>
      </w:r>
      <w:r>
        <w:rPr>
          <w:spacing w:val="40"/>
          <w:sz w:val="24"/>
        </w:rPr>
        <w:t> </w:t>
      </w:r>
      <w:r>
        <w:rPr>
          <w:sz w:val="24"/>
        </w:rPr>
        <w:t>in</w:t>
      </w:r>
      <w:r>
        <w:rPr>
          <w:spacing w:val="40"/>
          <w:sz w:val="24"/>
        </w:rPr>
        <w:t> </w:t>
      </w:r>
      <w:r>
        <w:rPr>
          <w:sz w:val="24"/>
        </w:rPr>
        <w:t>a)</w:t>
      </w:r>
      <w:r>
        <w:rPr>
          <w:spacing w:val="40"/>
          <w:sz w:val="24"/>
        </w:rPr>
        <w:t> </w:t>
      </w:r>
      <w:r>
        <w:rPr>
          <w:spacing w:val="9"/>
          <w:sz w:val="24"/>
        </w:rPr>
        <w:t>above,prior </w:t>
      </w:r>
      <w:r>
        <w:rPr>
          <w:sz w:val="24"/>
        </w:rPr>
        <w:t>NOC</w:t>
      </w:r>
      <w:r>
        <w:rPr>
          <w:spacing w:val="40"/>
          <w:sz w:val="24"/>
        </w:rPr>
        <w:t> </w:t>
      </w:r>
      <w:r>
        <w:rPr>
          <w:sz w:val="24"/>
        </w:rPr>
        <w:t>from</w:t>
      </w:r>
      <w:r>
        <w:rPr>
          <w:spacing w:val="40"/>
          <w:sz w:val="24"/>
        </w:rPr>
        <w:t> </w:t>
      </w:r>
      <w:r>
        <w:rPr>
          <w:sz w:val="24"/>
        </w:rPr>
        <w:t>AAI</w:t>
      </w:r>
      <w:r>
        <w:rPr>
          <w:spacing w:val="40"/>
          <w:sz w:val="24"/>
        </w:rPr>
        <w:t> </w:t>
      </w:r>
      <w:r>
        <w:rPr>
          <w:sz w:val="24"/>
        </w:rPr>
        <w:t>shall</w:t>
      </w:r>
      <w:r>
        <w:rPr>
          <w:spacing w:val="40"/>
          <w:sz w:val="24"/>
        </w:rPr>
        <w:t> </w:t>
      </w:r>
      <w:r>
        <w:rPr>
          <w:sz w:val="24"/>
        </w:rPr>
        <w:t>be</w:t>
      </w:r>
      <w:r>
        <w:rPr>
          <w:spacing w:val="9"/>
          <w:sz w:val="24"/>
        </w:rPr>
        <w:t> submitted.</w:t>
      </w:r>
    </w:p>
    <w:p>
      <w:pPr>
        <w:pStyle w:val="ListParagraph"/>
        <w:numPr>
          <w:ilvl w:val="1"/>
          <w:numId w:val="308"/>
        </w:numPr>
        <w:tabs>
          <w:tab w:pos="1794" w:val="left" w:leader="none"/>
        </w:tabs>
        <w:spacing w:line="240" w:lineRule="auto" w:before="0" w:after="0"/>
        <w:ind w:left="1493" w:right="1032" w:firstLine="0"/>
        <w:jc w:val="both"/>
        <w:rPr>
          <w:sz w:val="24"/>
        </w:rPr>
      </w:pPr>
      <w:r>
        <w:rPr>
          <w:sz w:val="24"/>
        </w:rPr>
        <w:t>For the areas depicted in red colour on CCZM prior NOC from AAI</w:t>
      </w:r>
      <w:r>
        <w:rPr>
          <w:spacing w:val="40"/>
          <w:sz w:val="24"/>
        </w:rPr>
        <w:t> </w:t>
      </w:r>
      <w:r>
        <w:rPr>
          <w:sz w:val="24"/>
        </w:rPr>
        <w:t>shall be </w:t>
      </w:r>
      <w:r>
        <w:rPr>
          <w:spacing w:val="9"/>
          <w:sz w:val="24"/>
        </w:rPr>
        <w:t>submitted.</w:t>
      </w:r>
    </w:p>
    <w:p>
      <w:pPr>
        <w:pStyle w:val="BodyText"/>
        <w:jc w:val="left"/>
      </w:pPr>
    </w:p>
    <w:p>
      <w:pPr>
        <w:pStyle w:val="BodyText"/>
        <w:spacing w:line="281" w:lineRule="exact"/>
        <w:ind w:left="1493"/>
        <w:jc w:val="left"/>
      </w:pPr>
      <w:r>
        <w:rPr>
          <w:spacing w:val="-2"/>
        </w:rPr>
        <w:t>Note-</w:t>
      </w:r>
    </w:p>
    <w:p>
      <w:pPr>
        <w:pStyle w:val="BodyText"/>
        <w:ind w:left="1493" w:right="838"/>
        <w:jc w:val="left"/>
      </w:pPr>
      <w:r>
        <w:rPr/>
        <w:t>The</w:t>
      </w:r>
      <w:r>
        <w:rPr>
          <w:spacing w:val="40"/>
        </w:rPr>
        <w:t> </w:t>
      </w:r>
      <w:r>
        <w:rPr/>
        <w:t>height</w:t>
      </w:r>
      <w:r>
        <w:rPr>
          <w:spacing w:val="40"/>
        </w:rPr>
        <w:t> </w:t>
      </w:r>
      <w:r>
        <w:rPr/>
        <w:t>permitted</w:t>
      </w:r>
      <w:r>
        <w:rPr>
          <w:spacing w:val="40"/>
        </w:rPr>
        <w:t> </w:t>
      </w:r>
      <w:r>
        <w:rPr/>
        <w:t>by</w:t>
      </w:r>
      <w:r>
        <w:rPr>
          <w:spacing w:val="40"/>
        </w:rPr>
        <w:t> </w:t>
      </w:r>
      <w:r>
        <w:rPr/>
        <w:t>CCZM</w:t>
      </w:r>
      <w:r>
        <w:rPr>
          <w:spacing w:val="40"/>
        </w:rPr>
        <w:t> </w:t>
      </w:r>
      <w:r>
        <w:rPr/>
        <w:t>is</w:t>
      </w:r>
      <w:r>
        <w:rPr>
          <w:spacing w:val="40"/>
        </w:rPr>
        <w:t> </w:t>
      </w:r>
      <w:r>
        <w:rPr/>
        <w:t>indicated</w:t>
      </w:r>
      <w:r>
        <w:rPr>
          <w:spacing w:val="40"/>
        </w:rPr>
        <w:t> </w:t>
      </w:r>
      <w:r>
        <w:rPr/>
        <w:t>Above</w:t>
      </w:r>
      <w:r>
        <w:rPr>
          <w:spacing w:val="40"/>
        </w:rPr>
        <w:t> </w:t>
      </w:r>
      <w:r>
        <w:rPr/>
        <w:t>Mean</w:t>
      </w:r>
      <w:r>
        <w:rPr>
          <w:spacing w:val="40"/>
        </w:rPr>
        <w:t> </w:t>
      </w:r>
      <w:r>
        <w:rPr/>
        <w:t>Sea</w:t>
      </w:r>
      <w:r>
        <w:rPr>
          <w:spacing w:val="40"/>
        </w:rPr>
        <w:t> </w:t>
      </w:r>
      <w:r>
        <w:rPr/>
        <w:t>Level</w:t>
      </w:r>
      <w:r>
        <w:rPr>
          <w:spacing w:val="40"/>
        </w:rPr>
        <w:t> </w:t>
      </w:r>
      <w:r>
        <w:rPr/>
        <w:t>i.e </w:t>
      </w:r>
      <w:r>
        <w:rPr>
          <w:spacing w:val="-4"/>
        </w:rPr>
        <w:t>AMSL</w:t>
      </w:r>
    </w:p>
    <w:p>
      <w:pPr>
        <w:pStyle w:val="BodyText"/>
        <w:ind w:left="1493" w:right="1697"/>
        <w:jc w:val="left"/>
      </w:pPr>
      <w:r>
        <w:rPr/>
        <w:t>Building</w:t>
      </w:r>
      <w:r>
        <w:rPr>
          <w:spacing w:val="40"/>
        </w:rPr>
        <w:t> </w:t>
      </w:r>
      <w:r>
        <w:rPr/>
        <w:t>height</w:t>
      </w:r>
      <w:r>
        <w:rPr>
          <w:spacing w:val="40"/>
        </w:rPr>
        <w:t> </w:t>
      </w:r>
      <w:r>
        <w:rPr/>
        <w:t>permitted</w:t>
      </w:r>
      <w:r>
        <w:rPr>
          <w:spacing w:val="40"/>
        </w:rPr>
        <w:t> </w:t>
      </w:r>
      <w:r>
        <w:rPr/>
        <w:t>i.e.</w:t>
      </w:r>
      <w:r>
        <w:rPr>
          <w:spacing w:val="40"/>
        </w:rPr>
        <w:t> </w:t>
      </w:r>
      <w:r>
        <w:rPr/>
        <w:t>Above</w:t>
      </w:r>
      <w:r>
        <w:rPr>
          <w:spacing w:val="40"/>
        </w:rPr>
        <w:t> </w:t>
      </w:r>
      <w:r>
        <w:rPr/>
        <w:t>Ground</w:t>
      </w:r>
      <w:r>
        <w:rPr>
          <w:spacing w:val="40"/>
        </w:rPr>
        <w:t> </w:t>
      </w:r>
      <w:r>
        <w:rPr/>
        <w:t>level</w:t>
      </w:r>
      <w:r>
        <w:rPr>
          <w:spacing w:val="40"/>
        </w:rPr>
        <w:t> </w:t>
      </w:r>
      <w:r>
        <w:rPr/>
        <w:t>(AGL)</w:t>
      </w:r>
      <w:r>
        <w:rPr>
          <w:spacing w:val="40"/>
        </w:rPr>
        <w:t> </w:t>
      </w:r>
      <w:r>
        <w:rPr/>
        <w:t>shall</w:t>
      </w:r>
      <w:r>
        <w:rPr>
          <w:spacing w:val="40"/>
        </w:rPr>
        <w:t> </w:t>
      </w:r>
      <w:r>
        <w:rPr/>
        <w:t>be calculated</w:t>
      </w:r>
      <w:r>
        <w:rPr>
          <w:spacing w:val="40"/>
        </w:rPr>
        <w:t> </w:t>
      </w:r>
      <w:r>
        <w:rPr/>
        <w:t>as</w:t>
      </w:r>
      <w:r>
        <w:rPr>
          <w:spacing w:val="40"/>
        </w:rPr>
        <w:t> </w:t>
      </w:r>
      <w:r>
        <w:rPr/>
        <w:t>CCZM</w:t>
      </w:r>
      <w:r>
        <w:rPr>
          <w:spacing w:val="40"/>
        </w:rPr>
        <w:t> </w:t>
      </w:r>
      <w:r>
        <w:rPr/>
        <w:t>height</w:t>
      </w:r>
      <w:r>
        <w:rPr>
          <w:spacing w:val="40"/>
        </w:rPr>
        <w:t> </w:t>
      </w:r>
      <w:r>
        <w:rPr/>
        <w:t>minus</w:t>
      </w:r>
      <w:r>
        <w:rPr>
          <w:spacing w:val="40"/>
        </w:rPr>
        <w:t> </w:t>
      </w:r>
      <w:r>
        <w:rPr/>
        <w:t>the</w:t>
      </w:r>
      <w:r>
        <w:rPr>
          <w:spacing w:val="40"/>
        </w:rPr>
        <w:t> </w:t>
      </w:r>
      <w:r>
        <w:rPr/>
        <w:t>site</w:t>
      </w:r>
      <w:r>
        <w:rPr>
          <w:spacing w:val="40"/>
        </w:rPr>
        <w:t> </w:t>
      </w:r>
      <w:r>
        <w:rPr/>
        <w:t>elevation</w:t>
      </w:r>
      <w:r>
        <w:rPr>
          <w:spacing w:val="40"/>
        </w:rPr>
        <w:t> </w:t>
      </w:r>
      <w:r>
        <w:rPr/>
        <w:t>of</w:t>
      </w:r>
      <w:r>
        <w:rPr>
          <w:spacing w:val="40"/>
        </w:rPr>
        <w:t> </w:t>
      </w:r>
      <w:r>
        <w:rPr/>
        <w:t>the</w:t>
      </w:r>
      <w:r>
        <w:rPr>
          <w:spacing w:val="40"/>
        </w:rPr>
        <w:t> </w:t>
      </w:r>
      <w:r>
        <w:rPr/>
        <w:t>plot. Height</w:t>
      </w:r>
      <w:r>
        <w:rPr>
          <w:spacing w:val="80"/>
        </w:rPr>
        <w:t> </w:t>
      </w:r>
      <w:r>
        <w:rPr/>
        <w:t>of</w:t>
      </w:r>
      <w:r>
        <w:rPr>
          <w:spacing w:val="80"/>
        </w:rPr>
        <w:t> </w:t>
      </w:r>
      <w:r>
        <w:rPr/>
        <w:t>building</w:t>
      </w:r>
      <w:r>
        <w:rPr>
          <w:spacing w:val="80"/>
        </w:rPr>
        <w:t> </w:t>
      </w:r>
      <w:r>
        <w:rPr/>
        <w:t>(AGL)=CCZM</w:t>
      </w:r>
      <w:r>
        <w:rPr>
          <w:spacing w:val="80"/>
        </w:rPr>
        <w:t> </w:t>
      </w:r>
      <w:r>
        <w:rPr/>
        <w:t>height</w:t>
      </w:r>
      <w:r>
        <w:rPr>
          <w:spacing w:val="80"/>
        </w:rPr>
        <w:t> </w:t>
      </w:r>
      <w:r>
        <w:rPr/>
        <w:t>–</w:t>
      </w:r>
      <w:r>
        <w:rPr>
          <w:spacing w:val="80"/>
        </w:rPr>
        <w:t> </w:t>
      </w:r>
      <w:r>
        <w:rPr/>
        <w:t>site</w:t>
      </w:r>
      <w:r>
        <w:rPr>
          <w:spacing w:val="80"/>
        </w:rPr>
        <w:t> </w:t>
      </w:r>
      <w:r>
        <w:rPr/>
        <w:t>elevation.</w:t>
      </w:r>
    </w:p>
    <w:p>
      <w:pPr>
        <w:pStyle w:val="BodyText"/>
        <w:spacing w:before="281"/>
        <w:ind w:left="1481" w:right="793"/>
      </w:pPr>
      <w:r>
        <w:rPr/>
        <w:t>Note: Provided that if due to the aforesaid restrictions, the Zonal (Basic) FSI/Protected</w:t>
      </w:r>
      <w:r>
        <w:rPr>
          <w:spacing w:val="40"/>
        </w:rPr>
        <w:t> </w:t>
      </w:r>
      <w:r>
        <w:rPr/>
        <w:t>BUA</w:t>
      </w:r>
      <w:r>
        <w:rPr>
          <w:spacing w:val="40"/>
        </w:rPr>
        <w:t> </w:t>
      </w:r>
      <w:r>
        <w:rPr/>
        <w:t>as</w:t>
      </w:r>
      <w:r>
        <w:rPr>
          <w:spacing w:val="40"/>
        </w:rPr>
        <w:t> </w:t>
      </w:r>
      <w:r>
        <w:rPr/>
        <w:t>per</w:t>
      </w:r>
      <w:r>
        <w:rPr>
          <w:spacing w:val="40"/>
        </w:rPr>
        <w:t> </w:t>
      </w:r>
      <w:r>
        <w:rPr/>
        <w:t>Regulation</w:t>
      </w:r>
      <w:r>
        <w:rPr>
          <w:spacing w:val="40"/>
        </w:rPr>
        <w:t> </w:t>
      </w:r>
      <w:r>
        <w:rPr/>
        <w:t>No.</w:t>
      </w:r>
      <w:r>
        <w:rPr>
          <w:spacing w:val="40"/>
        </w:rPr>
        <w:t> </w:t>
      </w:r>
      <w:r>
        <w:rPr/>
        <w:t>30</w:t>
      </w:r>
      <w:r>
        <w:rPr>
          <w:spacing w:val="40"/>
        </w:rPr>
        <w:t> </w:t>
      </w:r>
      <w:r>
        <w:rPr/>
        <w:t>(C)</w:t>
      </w:r>
      <w:r>
        <w:rPr>
          <w:spacing w:val="40"/>
        </w:rPr>
        <w:t> </w:t>
      </w:r>
      <w:r>
        <w:rPr/>
        <w:t>cannot</w:t>
      </w:r>
      <w:r>
        <w:rPr>
          <w:spacing w:val="40"/>
        </w:rPr>
        <w:t> </w:t>
      </w:r>
      <w:r>
        <w:rPr/>
        <w:t>be</w:t>
      </w:r>
      <w:r>
        <w:rPr>
          <w:spacing w:val="40"/>
        </w:rPr>
        <w:t> </w:t>
      </w:r>
      <w:r>
        <w:rPr/>
        <w:t>consumed fully, then the unconsumed Zonal (Basic) FSI/Protected BUA can be</w:t>
      </w:r>
      <w:r>
        <w:rPr>
          <w:spacing w:val="80"/>
        </w:rPr>
        <w:t> </w:t>
      </w:r>
      <w:r>
        <w:rPr/>
        <w:t>availed</w:t>
      </w:r>
      <w:r>
        <w:rPr>
          <w:spacing w:val="40"/>
        </w:rPr>
        <w:t> </w:t>
      </w:r>
      <w:r>
        <w:rPr/>
        <w:t>in</w:t>
      </w:r>
      <w:r>
        <w:rPr>
          <w:spacing w:val="40"/>
        </w:rPr>
        <w:t> </w:t>
      </w:r>
      <w:r>
        <w:rPr/>
        <w:t>the</w:t>
      </w:r>
      <w:r>
        <w:rPr>
          <w:spacing w:val="40"/>
        </w:rPr>
        <w:t> </w:t>
      </w:r>
      <w:r>
        <w:rPr/>
        <w:t>form</w:t>
      </w:r>
      <w:r>
        <w:rPr>
          <w:spacing w:val="40"/>
        </w:rPr>
        <w:t> </w:t>
      </w:r>
      <w:r>
        <w:rPr/>
        <w:t>of</w:t>
      </w:r>
      <w:r>
        <w:rPr>
          <w:spacing w:val="40"/>
        </w:rPr>
        <w:t> </w:t>
      </w:r>
      <w:r>
        <w:rPr/>
        <w:t>TDR .</w:t>
      </w:r>
    </w:p>
    <w:p>
      <w:pPr>
        <w:pStyle w:val="BodyText"/>
        <w:spacing w:before="279"/>
        <w:ind w:left="1493" w:right="771"/>
      </w:pPr>
      <w:r>
        <w:rPr/>
        <w:t>Explanation(I) Irrespective of their distance from the aerodrome, even beyond</w:t>
      </w:r>
      <w:r>
        <w:rPr>
          <w:spacing w:val="40"/>
        </w:rPr>
        <w:t> </w:t>
      </w:r>
      <w:r>
        <w:rPr/>
        <w:t>the</w:t>
      </w:r>
      <w:r>
        <w:rPr>
          <w:spacing w:val="40"/>
        </w:rPr>
        <w:t> </w:t>
      </w:r>
      <w:r>
        <w:rPr>
          <w:spacing w:val="9"/>
        </w:rPr>
        <w:t>20-</w:t>
      </w:r>
      <w:r>
        <w:rPr/>
        <w:t>km</w:t>
      </w:r>
      <w:r>
        <w:rPr>
          <w:spacing w:val="40"/>
        </w:rPr>
        <w:t> </w:t>
      </w:r>
      <w:r>
        <w:rPr/>
        <w:t>limit</w:t>
      </w:r>
      <w:r>
        <w:rPr>
          <w:spacing w:val="40"/>
        </w:rPr>
        <w:t> </w:t>
      </w:r>
      <w:r>
        <w:rPr/>
        <w:t>from</w:t>
      </w:r>
      <w:r>
        <w:rPr>
          <w:spacing w:val="40"/>
        </w:rPr>
        <w:t> </w:t>
      </w:r>
      <w:r>
        <w:rPr/>
        <w:t>the</w:t>
      </w:r>
      <w:r>
        <w:rPr>
          <w:spacing w:val="40"/>
        </w:rPr>
        <w:t> </w:t>
      </w:r>
      <w:r>
        <w:rPr/>
        <w:t>aerodrome</w:t>
      </w:r>
      <w:r>
        <w:rPr>
          <w:spacing w:val="40"/>
        </w:rPr>
        <w:t> </w:t>
      </w:r>
      <w:r>
        <w:rPr/>
        <w:t>reference</w:t>
      </w:r>
      <w:r>
        <w:rPr>
          <w:spacing w:val="40"/>
        </w:rPr>
        <w:t> </w:t>
      </w:r>
      <w:r>
        <w:rPr/>
        <w:t>point,</w:t>
      </w:r>
      <w:r>
        <w:rPr>
          <w:spacing w:val="80"/>
        </w:rPr>
        <w:t> </w:t>
      </w:r>
      <w:r>
        <w:rPr/>
        <w:t>no</w:t>
      </w:r>
      <w:r>
        <w:rPr>
          <w:spacing w:val="40"/>
        </w:rPr>
        <w:t> </w:t>
      </w:r>
      <w:r>
        <w:rPr/>
        <w:t>building, radio masts or similar installation exceeding</w:t>
      </w:r>
      <w:r>
        <w:rPr>
          <w:spacing w:val="40"/>
        </w:rPr>
        <w:t> </w:t>
      </w:r>
      <w:r>
        <w:rPr/>
        <w:t>150 m in height</w:t>
      </w:r>
      <w:r>
        <w:rPr>
          <w:spacing w:val="40"/>
        </w:rPr>
        <w:t> </w:t>
      </w:r>
      <w:r>
        <w:rPr/>
        <w:t>shall</w:t>
      </w:r>
      <w:r>
        <w:rPr>
          <w:spacing w:val="80"/>
        </w:rPr>
        <w:t> </w:t>
      </w:r>
      <w:r>
        <w:rPr/>
        <w:t>be</w:t>
      </w:r>
      <w:r>
        <w:rPr>
          <w:spacing w:val="80"/>
        </w:rPr>
        <w:t> </w:t>
      </w:r>
      <w:r>
        <w:rPr/>
        <w:t>erected</w:t>
      </w:r>
      <w:r>
        <w:rPr>
          <w:spacing w:val="80"/>
        </w:rPr>
        <w:t> </w:t>
      </w:r>
      <w:r>
        <w:rPr/>
        <w:t>without</w:t>
      </w:r>
      <w:r>
        <w:rPr>
          <w:spacing w:val="80"/>
        </w:rPr>
        <w:t> </w:t>
      </w:r>
      <w:r>
        <w:rPr/>
        <w:t>the</w:t>
      </w:r>
      <w:r>
        <w:rPr>
          <w:spacing w:val="80"/>
        </w:rPr>
        <w:t> </w:t>
      </w:r>
      <w:r>
        <w:rPr/>
        <w:t>permission</w:t>
      </w:r>
      <w:r>
        <w:rPr>
          <w:spacing w:val="80"/>
        </w:rPr>
        <w:t> </w:t>
      </w:r>
      <w:r>
        <w:rPr/>
        <w:t>of</w:t>
      </w:r>
      <w:r>
        <w:rPr>
          <w:spacing w:val="80"/>
        </w:rPr>
        <w:t> </w:t>
      </w:r>
      <w:r>
        <w:rPr/>
        <w:t>the</w:t>
      </w:r>
      <w:r>
        <w:rPr>
          <w:spacing w:val="80"/>
        </w:rPr>
        <w:t> </w:t>
      </w:r>
      <w:r>
        <w:rPr/>
        <w:t>Civil</w:t>
      </w:r>
      <w:r>
        <w:rPr>
          <w:spacing w:val="80"/>
        </w:rPr>
        <w:t> </w:t>
      </w:r>
      <w:r>
        <w:rPr/>
        <w:t>Aviation </w:t>
      </w:r>
      <w:r>
        <w:rPr>
          <w:spacing w:val="-2"/>
        </w:rPr>
        <w:t>Authorities.</w:t>
      </w:r>
    </w:p>
    <w:p>
      <w:pPr>
        <w:pStyle w:val="ListParagraph"/>
        <w:numPr>
          <w:ilvl w:val="0"/>
          <w:numId w:val="308"/>
        </w:numPr>
        <w:tabs>
          <w:tab w:pos="1995" w:val="left" w:leader="none"/>
        </w:tabs>
        <w:spacing w:line="240" w:lineRule="auto" w:before="1" w:after="0"/>
        <w:ind w:left="1493" w:right="786" w:firstLine="0"/>
        <w:jc w:val="both"/>
        <w:rPr>
          <w:sz w:val="24"/>
        </w:rPr>
      </w:pPr>
      <w:r>
        <w:rPr>
          <w:sz w:val="24"/>
        </w:rPr>
        <w:t>The location of a slaughter house/abattoir/butcher house or other areas for activities like depositing of garbage which may encourage the collection</w:t>
      </w:r>
      <w:r>
        <w:rPr>
          <w:spacing w:val="40"/>
          <w:sz w:val="24"/>
        </w:rPr>
        <w:t> </w:t>
      </w:r>
      <w:r>
        <w:rPr>
          <w:sz w:val="24"/>
        </w:rPr>
        <w:t>of</w:t>
      </w:r>
      <w:r>
        <w:rPr>
          <w:spacing w:val="40"/>
          <w:sz w:val="24"/>
        </w:rPr>
        <w:t> </w:t>
      </w:r>
      <w:r>
        <w:rPr>
          <w:sz w:val="24"/>
        </w:rPr>
        <w:t>high</w:t>
      </w:r>
      <w:r>
        <w:rPr>
          <w:spacing w:val="40"/>
          <w:sz w:val="24"/>
        </w:rPr>
        <w:t> </w:t>
      </w:r>
      <w:r>
        <w:rPr>
          <w:sz w:val="24"/>
        </w:rPr>
        <w:t>flying</w:t>
      </w:r>
      <w:r>
        <w:rPr>
          <w:spacing w:val="40"/>
          <w:sz w:val="24"/>
        </w:rPr>
        <w:t> </w:t>
      </w:r>
      <w:r>
        <w:rPr>
          <w:sz w:val="24"/>
        </w:rPr>
        <w:t>birds,</w:t>
      </w:r>
      <w:r>
        <w:rPr>
          <w:spacing w:val="40"/>
          <w:sz w:val="24"/>
        </w:rPr>
        <w:t> </w:t>
      </w:r>
      <w:r>
        <w:rPr>
          <w:sz w:val="24"/>
        </w:rPr>
        <w:t>like</w:t>
      </w:r>
      <w:r>
        <w:rPr>
          <w:spacing w:val="40"/>
          <w:sz w:val="24"/>
        </w:rPr>
        <w:t> </w:t>
      </w:r>
      <w:r>
        <w:rPr>
          <w:sz w:val="24"/>
        </w:rPr>
        <w:t>eagles</w:t>
      </w:r>
      <w:r>
        <w:rPr>
          <w:spacing w:val="40"/>
          <w:sz w:val="24"/>
        </w:rPr>
        <w:t> </w:t>
      </w:r>
      <w:r>
        <w:rPr>
          <w:sz w:val="24"/>
        </w:rPr>
        <w:t>and</w:t>
      </w:r>
      <w:r>
        <w:rPr>
          <w:spacing w:val="40"/>
          <w:sz w:val="24"/>
        </w:rPr>
        <w:t> </w:t>
      </w:r>
      <w:r>
        <w:rPr>
          <w:sz w:val="24"/>
        </w:rPr>
        <w:t>hawks,</w:t>
      </w:r>
      <w:r>
        <w:rPr>
          <w:spacing w:val="40"/>
          <w:sz w:val="24"/>
        </w:rPr>
        <w:t> </w:t>
      </w:r>
      <w:r>
        <w:rPr>
          <w:sz w:val="24"/>
        </w:rPr>
        <w:t>shall</w:t>
      </w:r>
      <w:r>
        <w:rPr>
          <w:spacing w:val="40"/>
          <w:sz w:val="24"/>
        </w:rPr>
        <w:t> </w:t>
      </w:r>
      <w:r>
        <w:rPr>
          <w:sz w:val="24"/>
        </w:rPr>
        <w:t>not</w:t>
      </w:r>
      <w:r>
        <w:rPr>
          <w:spacing w:val="40"/>
          <w:sz w:val="24"/>
        </w:rPr>
        <w:t> </w:t>
      </w:r>
      <w:r>
        <w:rPr>
          <w:sz w:val="24"/>
        </w:rPr>
        <w:t>be permitted</w:t>
      </w:r>
      <w:r>
        <w:rPr>
          <w:spacing w:val="40"/>
          <w:sz w:val="24"/>
        </w:rPr>
        <w:t> </w:t>
      </w:r>
      <w:r>
        <w:rPr>
          <w:sz w:val="24"/>
        </w:rPr>
        <w:t>within</w:t>
      </w:r>
      <w:r>
        <w:rPr>
          <w:spacing w:val="40"/>
          <w:sz w:val="24"/>
        </w:rPr>
        <w:t> </w:t>
      </w:r>
      <w:r>
        <w:rPr>
          <w:sz w:val="24"/>
        </w:rPr>
        <w:t>10</w:t>
      </w:r>
      <w:r>
        <w:rPr>
          <w:spacing w:val="40"/>
          <w:sz w:val="24"/>
        </w:rPr>
        <w:t> </w:t>
      </w:r>
      <w:r>
        <w:rPr>
          <w:sz w:val="24"/>
        </w:rPr>
        <w:t>km</w:t>
      </w:r>
      <w:r>
        <w:rPr>
          <w:spacing w:val="40"/>
          <w:sz w:val="24"/>
        </w:rPr>
        <w:t> </w:t>
      </w:r>
      <w:r>
        <w:rPr>
          <w:sz w:val="24"/>
        </w:rPr>
        <w:t>from</w:t>
      </w:r>
      <w:r>
        <w:rPr>
          <w:spacing w:val="40"/>
          <w:sz w:val="24"/>
        </w:rPr>
        <w:t> </w:t>
      </w:r>
      <w:r>
        <w:rPr>
          <w:sz w:val="24"/>
        </w:rPr>
        <w:t>the</w:t>
      </w:r>
      <w:r>
        <w:rPr>
          <w:spacing w:val="40"/>
          <w:sz w:val="24"/>
        </w:rPr>
        <w:t> </w:t>
      </w:r>
      <w:r>
        <w:rPr>
          <w:sz w:val="24"/>
        </w:rPr>
        <w:t>aerodrome</w:t>
      </w:r>
      <w:r>
        <w:rPr>
          <w:spacing w:val="40"/>
          <w:sz w:val="24"/>
        </w:rPr>
        <w:t> </w:t>
      </w:r>
      <w:r>
        <w:rPr>
          <w:sz w:val="24"/>
        </w:rPr>
        <w:t>reference</w:t>
      </w:r>
      <w:r>
        <w:rPr>
          <w:spacing w:val="40"/>
          <w:sz w:val="24"/>
        </w:rPr>
        <w:t> </w:t>
      </w:r>
      <w:r>
        <w:rPr>
          <w:spacing w:val="9"/>
          <w:sz w:val="24"/>
        </w:rPr>
        <w:t>point.</w:t>
      </w:r>
    </w:p>
    <w:p>
      <w:pPr>
        <w:pStyle w:val="BodyText"/>
        <w:jc w:val="left"/>
      </w:pPr>
    </w:p>
    <w:p>
      <w:pPr>
        <w:pStyle w:val="ListParagraph"/>
        <w:numPr>
          <w:ilvl w:val="0"/>
          <w:numId w:val="307"/>
        </w:numPr>
        <w:tabs>
          <w:tab w:pos="1851" w:val="left" w:leader="none"/>
        </w:tabs>
        <w:spacing w:line="240" w:lineRule="auto" w:before="0" w:after="0"/>
        <w:ind w:left="1493" w:right="780" w:firstLine="0"/>
        <w:jc w:val="both"/>
        <w:rPr>
          <w:sz w:val="24"/>
        </w:rPr>
      </w:pPr>
      <w:r>
        <w:rPr>
          <w:b/>
          <w:sz w:val="24"/>
        </w:rPr>
        <w:t>Building sites abutting railway track boundary</w:t>
      </w:r>
      <w:r>
        <w:rPr>
          <w:b/>
          <w:spacing w:val="-21"/>
          <w:sz w:val="24"/>
        </w:rPr>
        <w:t> </w:t>
      </w:r>
      <w:r>
        <w:rPr>
          <w:sz w:val="24"/>
        </w:rPr>
        <w:t>- Subject to the requirements of </w:t>
      </w:r>
      <w:r>
        <w:rPr>
          <w:spacing w:val="10"/>
          <w:sz w:val="24"/>
        </w:rPr>
        <w:t>set-</w:t>
      </w:r>
      <w:r>
        <w:rPr>
          <w:sz w:val="24"/>
        </w:rPr>
        <w:t>backs from roads and side and rear marginal open spaces</w:t>
      </w:r>
      <w:r>
        <w:rPr>
          <w:spacing w:val="40"/>
          <w:sz w:val="24"/>
        </w:rPr>
        <w:t> </w:t>
      </w:r>
      <w:r>
        <w:rPr>
          <w:sz w:val="24"/>
        </w:rPr>
        <w:t>under</w:t>
      </w:r>
      <w:r>
        <w:rPr>
          <w:spacing w:val="40"/>
          <w:sz w:val="24"/>
        </w:rPr>
        <w:t> </w:t>
      </w:r>
      <w:r>
        <w:rPr>
          <w:sz w:val="24"/>
        </w:rPr>
        <w:t>the</w:t>
      </w:r>
      <w:r>
        <w:rPr>
          <w:spacing w:val="40"/>
          <w:sz w:val="24"/>
        </w:rPr>
        <w:t> </w:t>
      </w:r>
      <w:r>
        <w:rPr>
          <w:sz w:val="24"/>
        </w:rPr>
        <w:t>relevant</w:t>
      </w:r>
      <w:r>
        <w:rPr>
          <w:spacing w:val="40"/>
          <w:sz w:val="24"/>
        </w:rPr>
        <w:t> </w:t>
      </w:r>
      <w:r>
        <w:rPr>
          <w:spacing w:val="9"/>
          <w:sz w:val="24"/>
        </w:rPr>
        <w:t>Regulations,</w:t>
      </w:r>
      <w:r>
        <w:rPr>
          <w:spacing w:val="40"/>
          <w:sz w:val="24"/>
        </w:rPr>
        <w:t> </w:t>
      </w:r>
      <w:r>
        <w:rPr>
          <w:sz w:val="24"/>
        </w:rPr>
        <w:t>no</w:t>
      </w:r>
      <w:r>
        <w:rPr>
          <w:spacing w:val="40"/>
          <w:sz w:val="24"/>
        </w:rPr>
        <w:t> </w:t>
      </w:r>
      <w:r>
        <w:rPr>
          <w:sz w:val="24"/>
        </w:rPr>
        <w:t>new</w:t>
      </w:r>
      <w:r>
        <w:rPr>
          <w:spacing w:val="40"/>
          <w:sz w:val="24"/>
        </w:rPr>
        <w:t> </w:t>
      </w:r>
      <w:r>
        <w:rPr>
          <w:sz w:val="24"/>
        </w:rPr>
        <w:t>construction</w:t>
      </w:r>
      <w:r>
        <w:rPr>
          <w:spacing w:val="40"/>
          <w:sz w:val="24"/>
        </w:rPr>
        <w:t> </w:t>
      </w:r>
      <w:r>
        <w:rPr>
          <w:sz w:val="24"/>
        </w:rPr>
        <w:t>of</w:t>
      </w:r>
      <w:r>
        <w:rPr>
          <w:spacing w:val="40"/>
          <w:sz w:val="24"/>
        </w:rPr>
        <w:t> </w:t>
      </w:r>
      <w:r>
        <w:rPr>
          <w:sz w:val="24"/>
        </w:rPr>
        <w:t>a building</w:t>
      </w:r>
      <w:r>
        <w:rPr>
          <w:spacing w:val="80"/>
          <w:w w:val="150"/>
          <w:sz w:val="24"/>
        </w:rPr>
        <w:t> </w:t>
      </w:r>
      <w:r>
        <w:rPr>
          <w:sz w:val="24"/>
        </w:rPr>
        <w:t>or</w:t>
      </w:r>
      <w:r>
        <w:rPr>
          <w:spacing w:val="80"/>
          <w:w w:val="150"/>
          <w:sz w:val="24"/>
        </w:rPr>
        <w:t> </w:t>
      </w:r>
      <w:r>
        <w:rPr>
          <w:sz w:val="24"/>
        </w:rPr>
        <w:t>reconstruction</w:t>
      </w:r>
      <w:r>
        <w:rPr>
          <w:spacing w:val="80"/>
          <w:w w:val="150"/>
          <w:sz w:val="24"/>
        </w:rPr>
        <w:t> </w:t>
      </w:r>
      <w:r>
        <w:rPr>
          <w:sz w:val="24"/>
        </w:rPr>
        <w:t>of</w:t>
      </w:r>
      <w:r>
        <w:rPr>
          <w:spacing w:val="80"/>
          <w:w w:val="150"/>
          <w:sz w:val="24"/>
        </w:rPr>
        <w:t> </w:t>
      </w:r>
      <w:r>
        <w:rPr>
          <w:sz w:val="24"/>
        </w:rPr>
        <w:t>an</w:t>
      </w:r>
      <w:r>
        <w:rPr>
          <w:spacing w:val="80"/>
          <w:w w:val="150"/>
          <w:sz w:val="24"/>
        </w:rPr>
        <w:t> </w:t>
      </w:r>
      <w:r>
        <w:rPr>
          <w:sz w:val="24"/>
        </w:rPr>
        <w:t>existing</w:t>
      </w:r>
      <w:r>
        <w:rPr>
          <w:spacing w:val="80"/>
          <w:w w:val="150"/>
          <w:sz w:val="24"/>
        </w:rPr>
        <w:t> </w:t>
      </w:r>
      <w:r>
        <w:rPr>
          <w:sz w:val="24"/>
        </w:rPr>
        <w:t>building</w:t>
      </w:r>
      <w:r>
        <w:rPr>
          <w:spacing w:val="80"/>
          <w:w w:val="150"/>
          <w:sz w:val="24"/>
        </w:rPr>
        <w:t> </w:t>
      </w:r>
      <w:r>
        <w:rPr>
          <w:sz w:val="24"/>
        </w:rPr>
        <w:t>shall</w:t>
      </w:r>
      <w:r>
        <w:rPr>
          <w:spacing w:val="80"/>
          <w:w w:val="150"/>
          <w:sz w:val="24"/>
        </w:rPr>
        <w:t> </w:t>
      </w:r>
      <w:r>
        <w:rPr>
          <w:sz w:val="24"/>
        </w:rPr>
        <w:t>be</w:t>
      </w:r>
      <w:r>
        <w:rPr>
          <w:spacing w:val="80"/>
          <w:w w:val="150"/>
          <w:sz w:val="24"/>
        </w:rPr>
        <w:t> </w:t>
      </w:r>
      <w:r>
        <w:rPr>
          <w:spacing w:val="9"/>
          <w:sz w:val="24"/>
        </w:rPr>
        <w:t>allowed</w:t>
      </w:r>
    </w:p>
    <w:p>
      <w:pPr>
        <w:pStyle w:val="BodyText"/>
        <w:jc w:val="left"/>
        <w:rPr>
          <w:sz w:val="14"/>
        </w:rPr>
      </w:pPr>
    </w:p>
    <w:p>
      <w:pPr>
        <w:pStyle w:val="BodyText"/>
        <w:spacing w:before="89"/>
        <w:jc w:val="left"/>
        <w:rPr>
          <w:sz w:val="14"/>
        </w:rPr>
      </w:pPr>
    </w:p>
    <w:p>
      <w:pPr>
        <w:spacing w:before="0"/>
        <w:ind w:left="0" w:right="1052" w:firstLine="0"/>
        <w:jc w:val="right"/>
        <w:rPr>
          <w:rFonts w:ascii="Arial"/>
          <w:b/>
          <w:i/>
          <w:sz w:val="14"/>
        </w:rPr>
      </w:pPr>
      <w:r>
        <w:rPr>
          <w:rFonts w:ascii="Arial"/>
          <w:b/>
          <w:i/>
          <w:sz w:val="14"/>
        </w:rPr>
        <mc:AlternateContent>
          <mc:Choice Requires="wps">
            <w:drawing>
              <wp:anchor distT="0" distB="0" distL="0" distR="0" allowOverlap="1" layoutInCell="1" locked="0" behindDoc="0" simplePos="0" relativeHeight="15748096">
                <wp:simplePos x="0" y="0"/>
                <wp:positionH relativeFrom="page">
                  <wp:posOffset>719327</wp:posOffset>
                </wp:positionH>
                <wp:positionV relativeFrom="paragraph">
                  <wp:posOffset>23065</wp:posOffset>
                </wp:positionV>
                <wp:extent cx="2514600" cy="197485"/>
                <wp:effectExtent l="0" t="0" r="0" b="0"/>
                <wp:wrapNone/>
                <wp:docPr id="463" name="Graphic 463"/>
                <wp:cNvGraphicFramePr>
                  <a:graphicFrameLocks/>
                </wp:cNvGraphicFramePr>
                <a:graphic>
                  <a:graphicData uri="http://schemas.microsoft.com/office/word/2010/wordprocessingShape">
                    <wps:wsp>
                      <wps:cNvPr id="463" name="Graphic 463"/>
                      <wps:cNvSpPr/>
                      <wps:spPr>
                        <a:xfrm>
                          <a:off x="0" y="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rect style="position:absolute;margin-left:56.639999pt;margin-top:1.816168pt;width:198pt;height:15.55pt;mso-position-horizontal-relative:page;mso-position-vertical-relative:paragraph;z-index:15748096" id="docshape399" filled="false" stroked="true" strokeweight="1pt" strokecolor="#666666">
                <v:stroke dashstyle="solid"/>
                <w10:wrap type="none"/>
              </v:rect>
            </w:pict>
          </mc:Fallback>
        </mc:AlternateContent>
      </w:r>
      <w:r>
        <w:rPr>
          <w:rFonts w:ascii="Arial"/>
          <w:b/>
          <w:i/>
          <w:sz w:val="14"/>
        </w:rPr>
        <w:t>Development</w:t>
      </w:r>
      <w:r>
        <w:rPr>
          <w:rFonts w:ascii="Arial"/>
          <w:b/>
          <w:i/>
          <w:spacing w:val="-8"/>
          <w:sz w:val="14"/>
        </w:rPr>
        <w:t> </w:t>
      </w:r>
      <w:r>
        <w:rPr>
          <w:rFonts w:ascii="Arial"/>
          <w:b/>
          <w:i/>
          <w:sz w:val="14"/>
        </w:rPr>
        <w:t>Plan</w:t>
      </w:r>
      <w:r>
        <w:rPr>
          <w:rFonts w:ascii="Arial"/>
          <w:b/>
          <w:i/>
          <w:spacing w:val="-9"/>
          <w:sz w:val="14"/>
        </w:rPr>
        <w:t> </w:t>
      </w:r>
      <w:r>
        <w:rPr>
          <w:rFonts w:ascii="Arial"/>
          <w:b/>
          <w:i/>
          <w:spacing w:val="-4"/>
          <w:sz w:val="14"/>
        </w:rPr>
        <w:t>2034</w:t>
      </w:r>
    </w:p>
    <w:p>
      <w:pPr>
        <w:spacing w:after="0"/>
        <w:jc w:val="right"/>
        <w:rPr>
          <w:rFonts w:ascii="Arial"/>
          <w:b/>
          <w:i/>
          <w:sz w:val="14"/>
        </w:rPr>
        <w:sectPr>
          <w:pgSz w:w="11910" w:h="16840"/>
          <w:pgMar w:header="1058" w:footer="1066" w:top="1500" w:bottom="1260" w:left="360" w:right="360"/>
        </w:sectPr>
      </w:pPr>
    </w:p>
    <w:p>
      <w:pPr>
        <w:pStyle w:val="BodyText"/>
        <w:spacing w:before="255"/>
        <w:ind w:left="1493" w:right="785"/>
      </w:pPr>
      <w:r>
        <w:rPr/>
        <w:t>within a distance of half the height of the said building from the railway track boundary, and in any case not within a distance of 3 m from such </w:t>
      </w:r>
      <w:r>
        <w:rPr>
          <w:spacing w:val="-2"/>
        </w:rPr>
        <w:t>boundary.</w:t>
      </w:r>
    </w:p>
    <w:p>
      <w:pPr>
        <w:pStyle w:val="BodyText"/>
        <w:spacing w:before="1"/>
        <w:jc w:val="left"/>
      </w:pPr>
    </w:p>
    <w:p>
      <w:pPr>
        <w:pStyle w:val="BodyText"/>
        <w:spacing w:line="281" w:lineRule="exact"/>
        <w:ind w:left="1493"/>
      </w:pPr>
      <w:r>
        <w:rPr/>
        <w:t>Building</w:t>
      </w:r>
      <w:r>
        <w:rPr>
          <w:spacing w:val="56"/>
        </w:rPr>
        <w:t> </w:t>
      </w:r>
      <w:r>
        <w:rPr/>
        <w:t>sites</w:t>
      </w:r>
      <w:r>
        <w:rPr>
          <w:spacing w:val="59"/>
        </w:rPr>
        <w:t> </w:t>
      </w:r>
      <w:r>
        <w:rPr/>
        <w:t>situated</w:t>
      </w:r>
      <w:r>
        <w:rPr>
          <w:spacing w:val="56"/>
        </w:rPr>
        <w:t> </w:t>
      </w:r>
      <w:r>
        <w:rPr/>
        <w:t>within</w:t>
      </w:r>
      <w:r>
        <w:rPr>
          <w:spacing w:val="57"/>
        </w:rPr>
        <w:t> </w:t>
      </w:r>
      <w:r>
        <w:rPr/>
        <w:t>30</w:t>
      </w:r>
      <w:r>
        <w:rPr>
          <w:spacing w:val="58"/>
        </w:rPr>
        <w:t> </w:t>
      </w:r>
      <w:r>
        <w:rPr/>
        <w:t>m</w:t>
      </w:r>
      <w:r>
        <w:rPr>
          <w:spacing w:val="57"/>
        </w:rPr>
        <w:t> </w:t>
      </w:r>
      <w:r>
        <w:rPr/>
        <w:t>from</w:t>
      </w:r>
      <w:r>
        <w:rPr>
          <w:spacing w:val="56"/>
        </w:rPr>
        <w:t> </w:t>
      </w:r>
      <w:r>
        <w:rPr/>
        <w:t>Railway</w:t>
      </w:r>
      <w:r>
        <w:rPr>
          <w:spacing w:val="63"/>
        </w:rPr>
        <w:t> </w:t>
      </w:r>
      <w:r>
        <w:rPr>
          <w:color w:val="000000"/>
          <w:shd w:fill="FFCCFF" w:color="auto" w:val="clear"/>
        </w:rPr>
        <w:t>Track</w:t>
      </w:r>
      <w:r>
        <w:rPr>
          <w:color w:val="000000"/>
          <w:spacing w:val="62"/>
          <w:shd w:fill="FFCCFF" w:color="auto" w:val="clear"/>
        </w:rPr>
        <w:t> </w:t>
      </w:r>
      <w:r>
        <w:rPr>
          <w:color w:val="000000"/>
          <w:spacing w:val="-2"/>
        </w:rPr>
        <w:t>Boundary:</w:t>
      </w:r>
    </w:p>
    <w:p>
      <w:pPr>
        <w:pStyle w:val="BodyText"/>
        <w:ind w:left="1493" w:right="784"/>
      </w:pPr>
      <w:r>
        <w:rPr/>
        <w:t>No</w:t>
      </w:r>
      <w:r>
        <w:rPr>
          <w:spacing w:val="40"/>
        </w:rPr>
        <w:t> </w:t>
      </w:r>
      <w:r>
        <w:rPr/>
        <w:t>Objection</w:t>
      </w:r>
      <w:r>
        <w:rPr>
          <w:spacing w:val="40"/>
        </w:rPr>
        <w:t> </w:t>
      </w:r>
      <w:r>
        <w:rPr/>
        <w:t>Certificate</w:t>
      </w:r>
      <w:r>
        <w:rPr>
          <w:spacing w:val="40"/>
        </w:rPr>
        <w:t> </w:t>
      </w:r>
      <w:r>
        <w:rPr/>
        <w:t>from</w:t>
      </w:r>
      <w:r>
        <w:rPr>
          <w:spacing w:val="40"/>
        </w:rPr>
        <w:t> </w:t>
      </w:r>
      <w:r>
        <w:rPr/>
        <w:t>the</w:t>
      </w:r>
      <w:r>
        <w:rPr>
          <w:spacing w:val="40"/>
        </w:rPr>
        <w:t> </w:t>
      </w:r>
      <w:r>
        <w:rPr/>
        <w:t>concerned</w:t>
      </w:r>
      <w:r>
        <w:rPr>
          <w:spacing w:val="40"/>
        </w:rPr>
        <w:t> </w:t>
      </w:r>
      <w:r>
        <w:rPr/>
        <w:t>railway</w:t>
      </w:r>
      <w:r>
        <w:rPr>
          <w:spacing w:val="40"/>
        </w:rPr>
        <w:t> </w:t>
      </w:r>
      <w:r>
        <w:rPr/>
        <w:t>shall</w:t>
      </w:r>
      <w:r>
        <w:rPr>
          <w:spacing w:val="40"/>
        </w:rPr>
        <w:t> </w:t>
      </w:r>
      <w:r>
        <w:rPr/>
        <w:t>be</w:t>
      </w:r>
      <w:r>
        <w:rPr>
          <w:spacing w:val="40"/>
        </w:rPr>
        <w:t> </w:t>
      </w:r>
      <w:r>
        <w:rPr/>
        <w:t>insisted upon</w:t>
      </w:r>
      <w:r>
        <w:rPr>
          <w:spacing w:val="40"/>
        </w:rPr>
        <w:t> </w:t>
      </w:r>
      <w:r>
        <w:rPr/>
        <w:t>before</w:t>
      </w:r>
      <w:r>
        <w:rPr>
          <w:spacing w:val="40"/>
        </w:rPr>
        <w:t> </w:t>
      </w:r>
      <w:r>
        <w:rPr/>
        <w:t>granting</w:t>
      </w:r>
      <w:r>
        <w:rPr>
          <w:spacing w:val="40"/>
        </w:rPr>
        <w:t> </w:t>
      </w:r>
      <w:r>
        <w:rPr/>
        <w:t>Commencement</w:t>
      </w:r>
      <w:r>
        <w:rPr>
          <w:spacing w:val="40"/>
        </w:rPr>
        <w:t> </w:t>
      </w:r>
      <w:r>
        <w:rPr/>
        <w:t>Certificate</w:t>
      </w:r>
      <w:r>
        <w:rPr>
          <w:spacing w:val="40"/>
        </w:rPr>
        <w:t> </w:t>
      </w:r>
      <w:r>
        <w:rPr/>
        <w:t>for</w:t>
      </w:r>
      <w:r>
        <w:rPr>
          <w:spacing w:val="40"/>
        </w:rPr>
        <w:t> </w:t>
      </w:r>
      <w:r>
        <w:rPr/>
        <w:t>the</w:t>
      </w:r>
      <w:r>
        <w:rPr>
          <w:spacing w:val="40"/>
        </w:rPr>
        <w:t> </w:t>
      </w:r>
      <w:r>
        <w:rPr/>
        <w:t>proposed building</w:t>
      </w:r>
      <w:r>
        <w:rPr>
          <w:spacing w:val="40"/>
        </w:rPr>
        <w:t> </w:t>
      </w:r>
      <w:r>
        <w:rPr/>
        <w:t>between the railway track boundary and the distance of 30 m</w:t>
      </w:r>
      <w:r>
        <w:rPr>
          <w:spacing w:val="40"/>
        </w:rPr>
        <w:t> </w:t>
      </w:r>
      <w:r>
        <w:rPr/>
        <w:t>from</w:t>
      </w:r>
      <w:r>
        <w:rPr>
          <w:spacing w:val="40"/>
        </w:rPr>
        <w:t> </w:t>
      </w:r>
      <w:r>
        <w:rPr/>
        <w:t>it.</w:t>
      </w:r>
      <w:r>
        <w:rPr>
          <w:spacing w:val="40"/>
        </w:rPr>
        <w:t> </w:t>
      </w:r>
      <w:r>
        <w:rPr/>
        <w:t>The</w:t>
      </w:r>
      <w:r>
        <w:rPr>
          <w:spacing w:val="40"/>
        </w:rPr>
        <w:t> </w:t>
      </w:r>
      <w:r>
        <w:rPr/>
        <w:t>development</w:t>
      </w:r>
      <w:r>
        <w:rPr>
          <w:spacing w:val="40"/>
        </w:rPr>
        <w:t> </w:t>
      </w:r>
      <w:r>
        <w:rPr/>
        <w:t>of</w:t>
      </w:r>
      <w:r>
        <w:rPr>
          <w:spacing w:val="40"/>
        </w:rPr>
        <w:t> </w:t>
      </w:r>
      <w:r>
        <w:rPr/>
        <w:t>such</w:t>
      </w:r>
      <w:r>
        <w:rPr>
          <w:spacing w:val="40"/>
        </w:rPr>
        <w:t> </w:t>
      </w:r>
      <w:r>
        <w:rPr/>
        <w:t>plot</w:t>
      </w:r>
      <w:r>
        <w:rPr>
          <w:spacing w:val="40"/>
        </w:rPr>
        <w:t> </w:t>
      </w:r>
      <w:r>
        <w:rPr/>
        <w:t>shall</w:t>
      </w:r>
      <w:r>
        <w:rPr>
          <w:spacing w:val="40"/>
        </w:rPr>
        <w:t> </w:t>
      </w:r>
      <w:r>
        <w:rPr/>
        <w:t>be</w:t>
      </w:r>
      <w:r>
        <w:rPr>
          <w:spacing w:val="40"/>
        </w:rPr>
        <w:t> </w:t>
      </w:r>
      <w:r>
        <w:rPr/>
        <w:t>carried</w:t>
      </w:r>
      <w:r>
        <w:rPr>
          <w:spacing w:val="40"/>
        </w:rPr>
        <w:t> </w:t>
      </w:r>
      <w:r>
        <w:rPr/>
        <w:t>out</w:t>
      </w:r>
      <w:r>
        <w:rPr>
          <w:spacing w:val="40"/>
        </w:rPr>
        <w:t> </w:t>
      </w:r>
      <w:r>
        <w:rPr/>
        <w:t>as</w:t>
      </w:r>
      <w:r>
        <w:rPr>
          <w:spacing w:val="40"/>
        </w:rPr>
        <w:t> </w:t>
      </w:r>
      <w:r>
        <w:rPr/>
        <w:t>per</w:t>
      </w:r>
      <w:r>
        <w:rPr>
          <w:spacing w:val="40"/>
        </w:rPr>
        <w:t> </w:t>
      </w:r>
      <w:r>
        <w:rPr/>
        <w:t>terms and</w:t>
      </w:r>
      <w:r>
        <w:rPr>
          <w:spacing w:val="40"/>
        </w:rPr>
        <w:t> </w:t>
      </w:r>
      <w:r>
        <w:rPr/>
        <w:t>conditions</w:t>
      </w:r>
      <w:r>
        <w:rPr>
          <w:spacing w:val="40"/>
        </w:rPr>
        <w:t> </w:t>
      </w:r>
      <w:r>
        <w:rPr/>
        <w:t>stipulated</w:t>
      </w:r>
      <w:r>
        <w:rPr>
          <w:spacing w:val="40"/>
        </w:rPr>
        <w:t> </w:t>
      </w:r>
      <w:r>
        <w:rPr/>
        <w:t>by</w:t>
      </w:r>
      <w:r>
        <w:rPr>
          <w:spacing w:val="40"/>
        </w:rPr>
        <w:t> </w:t>
      </w:r>
      <w:r>
        <w:rPr/>
        <w:t>the</w:t>
      </w:r>
      <w:r>
        <w:rPr>
          <w:spacing w:val="40"/>
        </w:rPr>
        <w:t> </w:t>
      </w:r>
      <w:r>
        <w:rPr/>
        <w:t>Railway</w:t>
      </w:r>
      <w:r>
        <w:rPr>
          <w:spacing w:val="40"/>
        </w:rPr>
        <w:t> </w:t>
      </w:r>
      <w:r>
        <w:rPr>
          <w:spacing w:val="9"/>
        </w:rPr>
        <w:t>Authority.</w:t>
      </w:r>
    </w:p>
    <w:p>
      <w:pPr>
        <w:pStyle w:val="BodyText"/>
        <w:spacing w:before="1"/>
        <w:jc w:val="left"/>
      </w:pPr>
    </w:p>
    <w:p>
      <w:pPr>
        <w:pStyle w:val="BodyText"/>
        <w:ind w:left="1493" w:right="771"/>
      </w:pPr>
      <w:r>
        <w:rPr/>
        <w:t>No</w:t>
      </w:r>
      <w:r>
        <w:rPr>
          <w:spacing w:val="40"/>
        </w:rPr>
        <w:t> </w:t>
      </w:r>
      <w:r>
        <w:rPr/>
        <w:t>NOC</w:t>
      </w:r>
      <w:r>
        <w:rPr>
          <w:spacing w:val="40"/>
        </w:rPr>
        <w:t> </w:t>
      </w:r>
      <w:r>
        <w:rPr/>
        <w:t>from</w:t>
      </w:r>
      <w:r>
        <w:rPr>
          <w:spacing w:val="40"/>
        </w:rPr>
        <w:t> </w:t>
      </w:r>
      <w:r>
        <w:rPr/>
        <w:t>Railway</w:t>
      </w:r>
      <w:r>
        <w:rPr>
          <w:spacing w:val="40"/>
        </w:rPr>
        <w:t> </w:t>
      </w:r>
      <w:r>
        <w:rPr/>
        <w:t>Authority</w:t>
      </w:r>
      <w:r>
        <w:rPr>
          <w:spacing w:val="40"/>
        </w:rPr>
        <w:t> </w:t>
      </w:r>
      <w:r>
        <w:rPr/>
        <w:t>will</w:t>
      </w:r>
      <w:r>
        <w:rPr>
          <w:spacing w:val="40"/>
        </w:rPr>
        <w:t> </w:t>
      </w:r>
      <w:r>
        <w:rPr/>
        <w:t>be</w:t>
      </w:r>
      <w:r>
        <w:rPr>
          <w:spacing w:val="40"/>
        </w:rPr>
        <w:t> </w:t>
      </w:r>
      <w:r>
        <w:rPr/>
        <w:t>required</w:t>
      </w:r>
      <w:r>
        <w:rPr>
          <w:spacing w:val="40"/>
        </w:rPr>
        <w:t> </w:t>
      </w:r>
      <w:r>
        <w:rPr/>
        <w:t>wherever</w:t>
      </w:r>
      <w:r>
        <w:rPr>
          <w:spacing w:val="9"/>
        </w:rPr>
        <w:t> any </w:t>
      </w:r>
      <w:r>
        <w:rPr/>
        <w:t>construction</w:t>
      </w:r>
      <w:r>
        <w:rPr>
          <w:spacing w:val="40"/>
        </w:rPr>
        <w:t> </w:t>
      </w:r>
      <w:r>
        <w:rPr/>
        <w:t>is</w:t>
      </w:r>
      <w:r>
        <w:rPr>
          <w:spacing w:val="40"/>
        </w:rPr>
        <w:t> </w:t>
      </w:r>
      <w:r>
        <w:rPr/>
        <w:t>undertaken</w:t>
      </w:r>
      <w:r>
        <w:rPr>
          <w:spacing w:val="40"/>
        </w:rPr>
        <w:t> </w:t>
      </w:r>
      <w:r>
        <w:rPr/>
        <w:t>beyond</w:t>
      </w:r>
      <w:r>
        <w:rPr>
          <w:spacing w:val="40"/>
        </w:rPr>
        <w:t> </w:t>
      </w:r>
      <w:r>
        <w:rPr/>
        <w:t>30</w:t>
      </w:r>
      <w:r>
        <w:rPr>
          <w:spacing w:val="40"/>
        </w:rPr>
        <w:t> </w:t>
      </w:r>
      <w:r>
        <w:rPr/>
        <w:t>m</w:t>
      </w:r>
      <w:r>
        <w:rPr>
          <w:spacing w:val="40"/>
        </w:rPr>
        <w:t> </w:t>
      </w:r>
      <w:r>
        <w:rPr/>
        <w:t>from</w:t>
      </w:r>
      <w:r>
        <w:rPr>
          <w:spacing w:val="40"/>
        </w:rPr>
        <w:t> </w:t>
      </w:r>
      <w:r>
        <w:rPr/>
        <w:t>the</w:t>
      </w:r>
      <w:r>
        <w:rPr>
          <w:spacing w:val="40"/>
        </w:rPr>
        <w:t> </w:t>
      </w:r>
      <w:r>
        <w:rPr/>
        <w:t>Railway</w:t>
      </w:r>
      <w:r>
        <w:rPr>
          <w:spacing w:val="40"/>
        </w:rPr>
        <w:t> </w:t>
      </w:r>
      <w:r>
        <w:rPr>
          <w:color w:val="000000"/>
          <w:shd w:fill="FFCCFF" w:color="auto" w:val="clear"/>
        </w:rPr>
        <w:t>track</w:t>
      </w:r>
      <w:r>
        <w:rPr>
          <w:color w:val="000000"/>
        </w:rPr>
        <w:t> boundary subject to the condition that no part of building shall project within</w:t>
      </w:r>
      <w:r>
        <w:rPr>
          <w:color w:val="000000"/>
          <w:spacing w:val="40"/>
        </w:rPr>
        <w:t> </w:t>
      </w:r>
      <w:r>
        <w:rPr>
          <w:color w:val="000000"/>
        </w:rPr>
        <w:t>30</w:t>
      </w:r>
      <w:r>
        <w:rPr>
          <w:color w:val="000000"/>
          <w:spacing w:val="40"/>
        </w:rPr>
        <w:t> </w:t>
      </w:r>
      <w:r>
        <w:rPr>
          <w:color w:val="000000"/>
        </w:rPr>
        <w:t>m</w:t>
      </w:r>
      <w:r>
        <w:rPr>
          <w:color w:val="000000"/>
          <w:spacing w:val="40"/>
        </w:rPr>
        <w:t> </w:t>
      </w:r>
      <w:r>
        <w:rPr>
          <w:color w:val="000000"/>
        </w:rPr>
        <w:t>from</w:t>
      </w:r>
      <w:r>
        <w:rPr>
          <w:color w:val="000000"/>
          <w:spacing w:val="40"/>
        </w:rPr>
        <w:t> </w:t>
      </w:r>
      <w:r>
        <w:rPr>
          <w:color w:val="000000"/>
        </w:rPr>
        <w:t>the</w:t>
      </w:r>
      <w:r>
        <w:rPr>
          <w:color w:val="000000"/>
          <w:spacing w:val="40"/>
        </w:rPr>
        <w:t> </w:t>
      </w:r>
      <w:r>
        <w:rPr>
          <w:color w:val="000000"/>
        </w:rPr>
        <w:t>Railway</w:t>
      </w:r>
      <w:r>
        <w:rPr>
          <w:color w:val="000000"/>
          <w:spacing w:val="40"/>
        </w:rPr>
        <w:t> </w:t>
      </w:r>
      <w:r>
        <w:rPr>
          <w:color w:val="000000"/>
        </w:rPr>
        <w:t>track</w:t>
      </w:r>
      <w:r>
        <w:rPr>
          <w:color w:val="000000"/>
          <w:spacing w:val="40"/>
        </w:rPr>
        <w:t> </w:t>
      </w:r>
      <w:r>
        <w:rPr>
          <w:color w:val="000000"/>
        </w:rPr>
        <w:t>boundary.</w:t>
      </w:r>
    </w:p>
    <w:p>
      <w:pPr>
        <w:pStyle w:val="BodyText"/>
        <w:spacing w:before="44"/>
        <w:jc w:val="left"/>
        <w:rPr>
          <w:sz w:val="20"/>
        </w:rPr>
      </w:pPr>
      <w:r>
        <w:rPr>
          <w:sz w:val="20"/>
        </w:rPr>
        <mc:AlternateContent>
          <mc:Choice Requires="wps">
            <w:drawing>
              <wp:anchor distT="0" distB="0" distL="0" distR="0" allowOverlap="1" layoutInCell="1" locked="0" behindDoc="1" simplePos="0" relativeHeight="487607808">
                <wp:simplePos x="0" y="0"/>
                <wp:positionH relativeFrom="page">
                  <wp:posOffset>1158544</wp:posOffset>
                </wp:positionH>
                <wp:positionV relativeFrom="paragraph">
                  <wp:posOffset>192264</wp:posOffset>
                </wp:positionV>
                <wp:extent cx="5701030" cy="9525"/>
                <wp:effectExtent l="0" t="0" r="0" b="0"/>
                <wp:wrapTopAndBottom/>
                <wp:docPr id="479" name="Graphic 479"/>
                <wp:cNvGraphicFramePr>
                  <a:graphicFrameLocks/>
                </wp:cNvGraphicFramePr>
                <a:graphic>
                  <a:graphicData uri="http://schemas.microsoft.com/office/word/2010/wordprocessingShape">
                    <wps:wsp>
                      <wps:cNvPr id="479" name="Graphic 479"/>
                      <wps:cNvSpPr/>
                      <wps:spPr>
                        <a:xfrm>
                          <a:off x="0" y="0"/>
                          <a:ext cx="5701030" cy="9525"/>
                        </a:xfrm>
                        <a:custGeom>
                          <a:avLst/>
                          <a:gdLst/>
                          <a:ahLst/>
                          <a:cxnLst/>
                          <a:rect l="l" t="t" r="r" b="b"/>
                          <a:pathLst>
                            <a:path w="5701030" h="9525">
                              <a:moveTo>
                                <a:pt x="5700649" y="0"/>
                              </a:moveTo>
                              <a:lnTo>
                                <a:pt x="0" y="0"/>
                              </a:lnTo>
                              <a:lnTo>
                                <a:pt x="0" y="9144"/>
                              </a:lnTo>
                              <a:lnTo>
                                <a:pt x="5700649" y="9144"/>
                              </a:lnTo>
                              <a:lnTo>
                                <a:pt x="57006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1.223999pt;margin-top:15.138917pt;width:448.87pt;height:.72pt;mso-position-horizontal-relative:page;mso-position-vertical-relative:paragraph;z-index:-15708672;mso-wrap-distance-left:0;mso-wrap-distance-right:0" id="docshape413" filled="true" fillcolor="#000000" stroked="false">
                <v:fill type="solid"/>
                <w10:wrap type="topAndBottom"/>
              </v:rect>
            </w:pict>
          </mc:Fallback>
        </mc:AlternateContent>
      </w:r>
    </w:p>
    <w:p>
      <w:pPr>
        <w:pStyle w:val="BodyText"/>
        <w:spacing w:before="280"/>
        <w:ind w:left="1493" w:right="785"/>
      </w:pPr>
      <w:r>
        <w:rPr>
          <w:b/>
        </w:rPr>
        <w:t>(D).</w:t>
      </w:r>
      <w:r>
        <w:rPr>
          <w:b/>
          <w:spacing w:val="80"/>
          <w:w w:val="150"/>
        </w:rPr>
        <w:t> </w:t>
      </w:r>
      <w:r>
        <w:rPr>
          <w:b/>
          <w:i/>
        </w:rPr>
        <w:t>Distance from electricity lines</w:t>
      </w:r>
      <w:r>
        <w:rPr/>
        <w:t>- No verandah, balcony or the like shall</w:t>
      </w:r>
      <w:r>
        <w:rPr>
          <w:spacing w:val="80"/>
        </w:rPr>
        <w:t> </w:t>
      </w:r>
      <w:r>
        <w:rPr/>
        <w:t>be</w:t>
      </w:r>
      <w:r>
        <w:rPr>
          <w:spacing w:val="80"/>
        </w:rPr>
        <w:t> </w:t>
      </w:r>
      <w:r>
        <w:rPr/>
        <w:t>constructed/reconstructed</w:t>
      </w:r>
      <w:r>
        <w:rPr>
          <w:spacing w:val="80"/>
        </w:rPr>
        <w:t> </w:t>
      </w:r>
      <w:r>
        <w:rPr/>
        <w:t>or</w:t>
      </w:r>
      <w:r>
        <w:rPr>
          <w:spacing w:val="80"/>
        </w:rPr>
        <w:t> </w:t>
      </w:r>
      <w:r>
        <w:rPr/>
        <w:t>any</w:t>
      </w:r>
      <w:r>
        <w:rPr>
          <w:spacing w:val="80"/>
        </w:rPr>
        <w:t> </w:t>
      </w:r>
      <w:r>
        <w:rPr/>
        <w:t>additions</w:t>
      </w:r>
      <w:r>
        <w:rPr>
          <w:spacing w:val="80"/>
        </w:rPr>
        <w:t> </w:t>
      </w:r>
      <w:r>
        <w:rPr/>
        <w:t>or</w:t>
      </w:r>
      <w:r>
        <w:rPr>
          <w:spacing w:val="80"/>
        </w:rPr>
        <w:t> </w:t>
      </w:r>
      <w:r>
        <w:rPr/>
        <w:t>alterations shall</w:t>
      </w:r>
      <w:r>
        <w:rPr>
          <w:spacing w:val="40"/>
        </w:rPr>
        <w:t> </w:t>
      </w:r>
      <w:r>
        <w:rPr/>
        <w:t>be</w:t>
      </w:r>
      <w:r>
        <w:rPr>
          <w:spacing w:val="40"/>
        </w:rPr>
        <w:t> </w:t>
      </w:r>
      <w:r>
        <w:rPr/>
        <w:t>made</w:t>
      </w:r>
      <w:r>
        <w:rPr>
          <w:spacing w:val="40"/>
        </w:rPr>
        <w:t> </w:t>
      </w:r>
      <w:r>
        <w:rPr/>
        <w:t>to</w:t>
      </w:r>
      <w:r>
        <w:rPr>
          <w:spacing w:val="40"/>
        </w:rPr>
        <w:t> </w:t>
      </w:r>
      <w:r>
        <w:rPr/>
        <w:t>a</w:t>
      </w:r>
      <w:r>
        <w:rPr>
          <w:spacing w:val="40"/>
        </w:rPr>
        <w:t> </w:t>
      </w:r>
      <w:r>
        <w:rPr/>
        <w:t>building</w:t>
      </w:r>
      <w:r>
        <w:rPr>
          <w:spacing w:val="40"/>
        </w:rPr>
        <w:t> </w:t>
      </w:r>
      <w:r>
        <w:rPr/>
        <w:t>on</w:t>
      </w:r>
      <w:r>
        <w:rPr>
          <w:spacing w:val="40"/>
        </w:rPr>
        <w:t> </w:t>
      </w:r>
      <w:r>
        <w:rPr/>
        <w:t>a</w:t>
      </w:r>
      <w:r>
        <w:rPr>
          <w:spacing w:val="40"/>
        </w:rPr>
        <w:t> </w:t>
      </w:r>
      <w:r>
        <w:rPr/>
        <w:t>site</w:t>
      </w:r>
      <w:r>
        <w:rPr>
          <w:spacing w:val="40"/>
        </w:rPr>
        <w:t> </w:t>
      </w:r>
      <w:r>
        <w:rPr/>
        <w:t>within</w:t>
      </w:r>
      <w:r>
        <w:rPr>
          <w:spacing w:val="40"/>
        </w:rPr>
        <w:t> </w:t>
      </w:r>
      <w:r>
        <w:rPr/>
        <w:t>the</w:t>
      </w:r>
      <w:r>
        <w:rPr>
          <w:spacing w:val="40"/>
        </w:rPr>
        <w:t> </w:t>
      </w:r>
      <w:r>
        <w:rPr/>
        <w:t>distance</w:t>
      </w:r>
      <w:r>
        <w:rPr>
          <w:spacing w:val="40"/>
        </w:rPr>
        <w:t> </w:t>
      </w:r>
      <w:r>
        <w:rPr/>
        <w:t>stated</w:t>
      </w:r>
      <w:r>
        <w:rPr>
          <w:spacing w:val="40"/>
        </w:rPr>
        <w:t> </w:t>
      </w:r>
      <w:r>
        <w:rPr/>
        <w:t>below from</w:t>
      </w:r>
      <w:r>
        <w:rPr>
          <w:spacing w:val="40"/>
        </w:rPr>
        <w:t> </w:t>
      </w:r>
      <w:r>
        <w:rPr/>
        <w:t>any</w:t>
      </w:r>
      <w:r>
        <w:rPr>
          <w:spacing w:val="40"/>
        </w:rPr>
        <w:t> </w:t>
      </w:r>
      <w:r>
        <w:rPr/>
        <w:t>overhead</w:t>
      </w:r>
      <w:r>
        <w:rPr>
          <w:spacing w:val="40"/>
        </w:rPr>
        <w:t> </w:t>
      </w:r>
      <w:r>
        <w:rPr/>
        <w:t>electric</w:t>
      </w:r>
      <w:r>
        <w:rPr>
          <w:spacing w:val="40"/>
        </w:rPr>
        <w:t> </w:t>
      </w:r>
      <w:r>
        <w:rPr/>
        <w:t>supply</w:t>
      </w:r>
      <w:r>
        <w:rPr>
          <w:spacing w:val="40"/>
        </w:rPr>
        <w:t> </w:t>
      </w:r>
      <w:r>
        <w:rPr/>
        <w:t>line:</w:t>
      </w:r>
    </w:p>
    <w:p>
      <w:pPr>
        <w:pStyle w:val="BodyText"/>
        <w:jc w:val="left"/>
        <w:rPr>
          <w:sz w:val="20"/>
        </w:rPr>
      </w:pPr>
    </w:p>
    <w:p>
      <w:pPr>
        <w:pStyle w:val="BodyText"/>
        <w:spacing w:before="96"/>
        <w:jc w:val="left"/>
        <w:rPr>
          <w:sz w:val="20"/>
        </w:rPr>
      </w:pPr>
    </w:p>
    <w:tbl>
      <w:tblPr>
        <w:tblW w:w="0" w:type="auto"/>
        <w:jc w:val="left"/>
        <w:tblInd w:w="10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4861"/>
        <w:gridCol w:w="2036"/>
        <w:gridCol w:w="1565"/>
      </w:tblGrid>
      <w:tr>
        <w:trPr>
          <w:trHeight w:val="604" w:hRule="atLeast"/>
        </w:trPr>
        <w:tc>
          <w:tcPr>
            <w:tcW w:w="720" w:type="dxa"/>
          </w:tcPr>
          <w:p>
            <w:pPr>
              <w:pStyle w:val="TableParagraph"/>
              <w:rPr>
                <w:rFonts w:ascii="Times New Roman"/>
                <w:sz w:val="22"/>
              </w:rPr>
            </w:pPr>
          </w:p>
        </w:tc>
        <w:tc>
          <w:tcPr>
            <w:tcW w:w="4861" w:type="dxa"/>
          </w:tcPr>
          <w:p>
            <w:pPr>
              <w:pStyle w:val="TableParagraph"/>
              <w:rPr>
                <w:rFonts w:ascii="Times New Roman"/>
                <w:sz w:val="22"/>
              </w:rPr>
            </w:pPr>
          </w:p>
        </w:tc>
        <w:tc>
          <w:tcPr>
            <w:tcW w:w="2036" w:type="dxa"/>
          </w:tcPr>
          <w:p>
            <w:pPr>
              <w:pStyle w:val="TableParagraph"/>
              <w:spacing w:line="281" w:lineRule="exact"/>
              <w:ind w:left="107"/>
              <w:rPr>
                <w:sz w:val="24"/>
              </w:rPr>
            </w:pPr>
            <w:r>
              <w:rPr>
                <w:spacing w:val="-2"/>
                <w:sz w:val="24"/>
              </w:rPr>
              <w:t>Vertically</w:t>
            </w:r>
          </w:p>
        </w:tc>
        <w:tc>
          <w:tcPr>
            <w:tcW w:w="1565" w:type="dxa"/>
          </w:tcPr>
          <w:p>
            <w:pPr>
              <w:pStyle w:val="TableParagraph"/>
              <w:ind w:left="107"/>
              <w:rPr>
                <w:sz w:val="24"/>
              </w:rPr>
            </w:pPr>
            <w:r>
              <w:rPr>
                <w:spacing w:val="7"/>
                <w:sz w:val="24"/>
              </w:rPr>
              <w:t>Horizontal </w:t>
            </w:r>
            <w:r>
              <w:rPr>
                <w:spacing w:val="-6"/>
                <w:sz w:val="24"/>
              </w:rPr>
              <w:t>ly</w:t>
            </w:r>
          </w:p>
        </w:tc>
      </w:tr>
      <w:tr>
        <w:trPr>
          <w:trHeight w:val="563" w:hRule="atLeast"/>
        </w:trPr>
        <w:tc>
          <w:tcPr>
            <w:tcW w:w="720" w:type="dxa"/>
          </w:tcPr>
          <w:p>
            <w:pPr>
              <w:pStyle w:val="TableParagraph"/>
              <w:spacing w:before="40"/>
              <w:ind w:left="107"/>
              <w:rPr>
                <w:sz w:val="24"/>
              </w:rPr>
            </w:pPr>
            <w:r>
              <w:rPr>
                <w:spacing w:val="-5"/>
                <w:sz w:val="24"/>
              </w:rPr>
              <w:t>(a)</w:t>
            </w:r>
          </w:p>
        </w:tc>
        <w:tc>
          <w:tcPr>
            <w:tcW w:w="4861" w:type="dxa"/>
          </w:tcPr>
          <w:p>
            <w:pPr>
              <w:pStyle w:val="TableParagraph"/>
              <w:spacing w:line="280" w:lineRule="exact"/>
              <w:ind w:left="107"/>
              <w:rPr>
                <w:sz w:val="24"/>
              </w:rPr>
            </w:pPr>
            <w:r>
              <w:rPr>
                <w:sz w:val="24"/>
              </w:rPr>
              <w:t>Low</w:t>
            </w:r>
            <w:r>
              <w:rPr>
                <w:spacing w:val="80"/>
                <w:sz w:val="24"/>
              </w:rPr>
              <w:t> </w:t>
            </w:r>
            <w:r>
              <w:rPr>
                <w:sz w:val="24"/>
              </w:rPr>
              <w:t>and</w:t>
            </w:r>
            <w:r>
              <w:rPr>
                <w:spacing w:val="80"/>
                <w:sz w:val="24"/>
              </w:rPr>
              <w:t> </w:t>
            </w:r>
            <w:r>
              <w:rPr>
                <w:sz w:val="24"/>
              </w:rPr>
              <w:t>medium</w:t>
            </w:r>
            <w:r>
              <w:rPr>
                <w:spacing w:val="80"/>
                <w:sz w:val="24"/>
              </w:rPr>
              <w:t> </w:t>
            </w:r>
            <w:r>
              <w:rPr>
                <w:sz w:val="24"/>
              </w:rPr>
              <w:t>voltage</w:t>
            </w:r>
            <w:r>
              <w:rPr>
                <w:spacing w:val="80"/>
                <w:sz w:val="24"/>
              </w:rPr>
              <w:t> </w:t>
            </w:r>
            <w:r>
              <w:rPr>
                <w:sz w:val="24"/>
              </w:rPr>
              <w:t>lines</w:t>
            </w:r>
            <w:r>
              <w:rPr>
                <w:spacing w:val="80"/>
                <w:sz w:val="24"/>
              </w:rPr>
              <w:t> </w:t>
            </w:r>
            <w:r>
              <w:rPr>
                <w:sz w:val="24"/>
              </w:rPr>
              <w:t>and service </w:t>
            </w:r>
            <w:r>
              <w:rPr>
                <w:spacing w:val="9"/>
                <w:sz w:val="24"/>
              </w:rPr>
              <w:t>lines</w:t>
            </w:r>
          </w:p>
        </w:tc>
        <w:tc>
          <w:tcPr>
            <w:tcW w:w="2036" w:type="dxa"/>
          </w:tcPr>
          <w:p>
            <w:pPr>
              <w:pStyle w:val="TableParagraph"/>
              <w:spacing w:line="281" w:lineRule="exact"/>
              <w:ind w:left="107"/>
              <w:rPr>
                <w:sz w:val="24"/>
              </w:rPr>
            </w:pPr>
            <w:r>
              <w:rPr>
                <w:sz w:val="24"/>
              </w:rPr>
              <w:t>2.5</w:t>
            </w:r>
            <w:r>
              <w:rPr>
                <w:spacing w:val="35"/>
                <w:sz w:val="24"/>
              </w:rPr>
              <w:t> </w:t>
            </w:r>
            <w:r>
              <w:rPr>
                <w:spacing w:val="-10"/>
                <w:sz w:val="24"/>
              </w:rPr>
              <w:t>m</w:t>
            </w:r>
          </w:p>
        </w:tc>
        <w:tc>
          <w:tcPr>
            <w:tcW w:w="1565" w:type="dxa"/>
          </w:tcPr>
          <w:p>
            <w:pPr>
              <w:pStyle w:val="TableParagraph"/>
              <w:spacing w:line="281" w:lineRule="exact"/>
              <w:ind w:left="107"/>
              <w:rPr>
                <w:sz w:val="24"/>
              </w:rPr>
            </w:pPr>
            <w:r>
              <w:rPr>
                <w:sz w:val="24"/>
              </w:rPr>
              <w:t>1.2</w:t>
            </w:r>
            <w:r>
              <w:rPr>
                <w:spacing w:val="35"/>
                <w:sz w:val="24"/>
              </w:rPr>
              <w:t> </w:t>
            </w:r>
            <w:r>
              <w:rPr>
                <w:spacing w:val="-10"/>
                <w:sz w:val="24"/>
              </w:rPr>
              <w:t>m</w:t>
            </w:r>
          </w:p>
        </w:tc>
      </w:tr>
      <w:tr>
        <w:trPr>
          <w:trHeight w:val="563" w:hRule="atLeast"/>
        </w:trPr>
        <w:tc>
          <w:tcPr>
            <w:tcW w:w="720" w:type="dxa"/>
          </w:tcPr>
          <w:p>
            <w:pPr>
              <w:pStyle w:val="TableParagraph"/>
              <w:spacing w:before="40"/>
              <w:ind w:left="107"/>
              <w:rPr>
                <w:sz w:val="24"/>
              </w:rPr>
            </w:pPr>
            <w:r>
              <w:rPr>
                <w:spacing w:val="-5"/>
                <w:sz w:val="24"/>
              </w:rPr>
              <w:t>(b)</w:t>
            </w:r>
          </w:p>
        </w:tc>
        <w:tc>
          <w:tcPr>
            <w:tcW w:w="4861" w:type="dxa"/>
          </w:tcPr>
          <w:p>
            <w:pPr>
              <w:pStyle w:val="TableParagraph"/>
              <w:tabs>
                <w:tab w:pos="1073" w:val="left" w:leader="none"/>
                <w:tab w:pos="2336" w:val="left" w:leader="none"/>
                <w:tab w:pos="3314" w:val="left" w:leader="none"/>
                <w:tab w:pos="4274" w:val="left" w:leader="none"/>
              </w:tabs>
              <w:spacing w:line="280" w:lineRule="exact"/>
              <w:ind w:left="107" w:right="103"/>
              <w:rPr>
                <w:sz w:val="24"/>
              </w:rPr>
            </w:pPr>
            <w:r>
              <w:rPr>
                <w:spacing w:val="-4"/>
                <w:sz w:val="24"/>
              </w:rPr>
              <w:t>High</w:t>
            </w:r>
            <w:r>
              <w:rPr>
                <w:sz w:val="24"/>
              </w:rPr>
              <w:tab/>
            </w:r>
            <w:r>
              <w:rPr>
                <w:spacing w:val="-2"/>
                <w:sz w:val="24"/>
              </w:rPr>
              <w:t>voltage</w:t>
            </w:r>
            <w:r>
              <w:rPr>
                <w:sz w:val="24"/>
              </w:rPr>
              <w:tab/>
            </w:r>
            <w:r>
              <w:rPr>
                <w:spacing w:val="-4"/>
                <w:sz w:val="24"/>
              </w:rPr>
              <w:t>lines</w:t>
            </w:r>
            <w:r>
              <w:rPr>
                <w:sz w:val="24"/>
              </w:rPr>
              <w:tab/>
            </w:r>
            <w:r>
              <w:rPr>
                <w:spacing w:val="-4"/>
                <w:sz w:val="24"/>
              </w:rPr>
              <w:t>upto</w:t>
            </w:r>
            <w:r>
              <w:rPr>
                <w:sz w:val="24"/>
              </w:rPr>
              <w:tab/>
            </w:r>
            <w:r>
              <w:rPr>
                <w:spacing w:val="-4"/>
                <w:sz w:val="24"/>
              </w:rPr>
              <w:t>and </w:t>
            </w:r>
            <w:r>
              <w:rPr>
                <w:sz w:val="24"/>
              </w:rPr>
              <w:t>including 33,000 V.</w:t>
            </w:r>
          </w:p>
        </w:tc>
        <w:tc>
          <w:tcPr>
            <w:tcW w:w="2036" w:type="dxa"/>
          </w:tcPr>
          <w:p>
            <w:pPr>
              <w:pStyle w:val="TableParagraph"/>
              <w:spacing w:line="281" w:lineRule="exact"/>
              <w:ind w:left="107"/>
              <w:rPr>
                <w:sz w:val="24"/>
              </w:rPr>
            </w:pPr>
            <w:r>
              <w:rPr>
                <w:sz w:val="24"/>
              </w:rPr>
              <w:t>3.7</w:t>
            </w:r>
            <w:r>
              <w:rPr>
                <w:spacing w:val="35"/>
                <w:sz w:val="24"/>
              </w:rPr>
              <w:t> </w:t>
            </w:r>
            <w:r>
              <w:rPr>
                <w:spacing w:val="-10"/>
                <w:sz w:val="24"/>
              </w:rPr>
              <w:t>m</w:t>
            </w:r>
          </w:p>
        </w:tc>
        <w:tc>
          <w:tcPr>
            <w:tcW w:w="1565" w:type="dxa"/>
          </w:tcPr>
          <w:p>
            <w:pPr>
              <w:pStyle w:val="TableParagraph"/>
              <w:spacing w:line="281" w:lineRule="exact"/>
              <w:ind w:left="107"/>
              <w:rPr>
                <w:sz w:val="24"/>
              </w:rPr>
            </w:pPr>
            <w:r>
              <w:rPr>
                <w:sz w:val="24"/>
              </w:rPr>
              <w:t>2.0</w:t>
            </w:r>
            <w:r>
              <w:rPr>
                <w:spacing w:val="35"/>
                <w:sz w:val="24"/>
              </w:rPr>
              <w:t> </w:t>
            </w:r>
            <w:r>
              <w:rPr>
                <w:spacing w:val="-10"/>
                <w:sz w:val="24"/>
              </w:rPr>
              <w:t>m</w:t>
            </w:r>
          </w:p>
        </w:tc>
      </w:tr>
      <w:tr>
        <w:trPr>
          <w:trHeight w:val="2293" w:hRule="atLeast"/>
        </w:trPr>
        <w:tc>
          <w:tcPr>
            <w:tcW w:w="720" w:type="dxa"/>
          </w:tcPr>
          <w:p>
            <w:pPr>
              <w:pStyle w:val="TableParagraph"/>
              <w:spacing w:before="40"/>
              <w:ind w:left="107"/>
              <w:rPr>
                <w:sz w:val="24"/>
              </w:rPr>
            </w:pPr>
            <w:r>
              <w:rPr>
                <w:spacing w:val="-5"/>
                <w:sz w:val="24"/>
              </w:rPr>
              <w:t>(c)</w:t>
            </w:r>
          </w:p>
        </w:tc>
        <w:tc>
          <w:tcPr>
            <w:tcW w:w="4861" w:type="dxa"/>
          </w:tcPr>
          <w:p>
            <w:pPr>
              <w:pStyle w:val="TableParagraph"/>
              <w:spacing w:line="281" w:lineRule="exact"/>
              <w:ind w:left="107"/>
              <w:rPr>
                <w:sz w:val="24"/>
              </w:rPr>
            </w:pPr>
            <w:r>
              <w:rPr>
                <w:sz w:val="24"/>
              </w:rPr>
              <w:t>Extra</w:t>
            </w:r>
            <w:r>
              <w:rPr>
                <w:spacing w:val="58"/>
                <w:sz w:val="24"/>
              </w:rPr>
              <w:t> </w:t>
            </w:r>
            <w:r>
              <w:rPr>
                <w:sz w:val="24"/>
              </w:rPr>
              <w:t>High</w:t>
            </w:r>
            <w:r>
              <w:rPr>
                <w:spacing w:val="58"/>
                <w:sz w:val="24"/>
              </w:rPr>
              <w:t> </w:t>
            </w:r>
            <w:r>
              <w:rPr>
                <w:sz w:val="24"/>
              </w:rPr>
              <w:t>voltage</w:t>
            </w:r>
            <w:r>
              <w:rPr>
                <w:spacing w:val="61"/>
                <w:sz w:val="24"/>
              </w:rPr>
              <w:t> </w:t>
            </w:r>
            <w:r>
              <w:rPr>
                <w:sz w:val="24"/>
              </w:rPr>
              <w:t>beyond</w:t>
            </w:r>
            <w:r>
              <w:rPr>
                <w:spacing w:val="58"/>
                <w:sz w:val="24"/>
              </w:rPr>
              <w:t> </w:t>
            </w:r>
            <w:r>
              <w:rPr>
                <w:sz w:val="24"/>
              </w:rPr>
              <w:t>33,000</w:t>
            </w:r>
            <w:r>
              <w:rPr>
                <w:spacing w:val="62"/>
                <w:sz w:val="24"/>
              </w:rPr>
              <w:t> </w:t>
            </w:r>
            <w:r>
              <w:rPr>
                <w:spacing w:val="-5"/>
                <w:sz w:val="24"/>
              </w:rPr>
              <w:t>V.</w:t>
            </w:r>
          </w:p>
        </w:tc>
        <w:tc>
          <w:tcPr>
            <w:tcW w:w="2036" w:type="dxa"/>
          </w:tcPr>
          <w:p>
            <w:pPr>
              <w:pStyle w:val="TableParagraph"/>
              <w:spacing w:line="280" w:lineRule="exact"/>
              <w:ind w:left="107"/>
              <w:rPr>
                <w:sz w:val="24"/>
              </w:rPr>
            </w:pPr>
            <w:r>
              <w:rPr>
                <w:sz w:val="24"/>
              </w:rPr>
              <w:t>3.7</w:t>
            </w:r>
            <w:r>
              <w:rPr>
                <w:spacing w:val="35"/>
                <w:sz w:val="24"/>
              </w:rPr>
              <w:t> </w:t>
            </w:r>
            <w:r>
              <w:rPr>
                <w:spacing w:val="-10"/>
                <w:sz w:val="24"/>
              </w:rPr>
              <w:t>m</w:t>
            </w:r>
          </w:p>
          <w:p>
            <w:pPr>
              <w:pStyle w:val="TableParagraph"/>
              <w:tabs>
                <w:tab w:pos="1233" w:val="left" w:leader="none"/>
                <w:tab w:pos="1660" w:val="left" w:leader="none"/>
              </w:tabs>
              <w:ind w:left="107" w:right="106"/>
              <w:rPr>
                <w:sz w:val="24"/>
              </w:rPr>
            </w:pPr>
            <w:r>
              <w:rPr>
                <w:sz w:val="24"/>
              </w:rPr>
              <w:t>(Plus 0.3 m </w:t>
            </w:r>
            <w:r>
              <w:rPr>
                <w:sz w:val="24"/>
              </w:rPr>
              <w:t>for </w:t>
            </w:r>
            <w:r>
              <w:rPr>
                <w:spacing w:val="-2"/>
                <w:sz w:val="24"/>
              </w:rPr>
              <w:t>every </w:t>
            </w:r>
            <w:r>
              <w:rPr>
                <w:spacing w:val="7"/>
                <w:sz w:val="24"/>
              </w:rPr>
              <w:t>additional </w:t>
            </w:r>
            <w:r>
              <w:rPr>
                <w:spacing w:val="-2"/>
                <w:sz w:val="24"/>
              </w:rPr>
              <w:t>33,000</w:t>
            </w:r>
            <w:r>
              <w:rPr>
                <w:sz w:val="24"/>
              </w:rPr>
              <w:tab/>
            </w:r>
            <w:r>
              <w:rPr>
                <w:spacing w:val="-10"/>
                <w:sz w:val="24"/>
              </w:rPr>
              <w:t>V</w:t>
            </w:r>
            <w:r>
              <w:rPr>
                <w:sz w:val="24"/>
              </w:rPr>
              <w:tab/>
            </w:r>
            <w:r>
              <w:rPr>
                <w:spacing w:val="-6"/>
                <w:sz w:val="24"/>
              </w:rPr>
              <w:t>or</w:t>
            </w:r>
          </w:p>
          <w:p>
            <w:pPr>
              <w:pStyle w:val="TableParagraph"/>
              <w:ind w:left="107"/>
              <w:rPr>
                <w:sz w:val="24"/>
              </w:rPr>
            </w:pPr>
            <w:r>
              <w:rPr>
                <w:sz w:val="24"/>
              </w:rPr>
              <w:t>part</w:t>
            </w:r>
            <w:r>
              <w:rPr>
                <w:spacing w:val="46"/>
                <w:sz w:val="24"/>
              </w:rPr>
              <w:t> </w:t>
            </w:r>
            <w:r>
              <w:rPr>
                <w:spacing w:val="7"/>
                <w:sz w:val="24"/>
              </w:rPr>
              <w:t>thereof)</w:t>
            </w:r>
          </w:p>
        </w:tc>
        <w:tc>
          <w:tcPr>
            <w:tcW w:w="1565" w:type="dxa"/>
          </w:tcPr>
          <w:p>
            <w:pPr>
              <w:pStyle w:val="TableParagraph"/>
              <w:spacing w:line="280" w:lineRule="exact"/>
              <w:ind w:left="107"/>
              <w:rPr>
                <w:sz w:val="24"/>
              </w:rPr>
            </w:pPr>
            <w:r>
              <w:rPr>
                <w:sz w:val="24"/>
              </w:rPr>
              <w:t>2.0</w:t>
            </w:r>
            <w:r>
              <w:rPr>
                <w:spacing w:val="35"/>
                <w:sz w:val="24"/>
              </w:rPr>
              <w:t> </w:t>
            </w:r>
            <w:r>
              <w:rPr>
                <w:spacing w:val="-10"/>
                <w:sz w:val="24"/>
              </w:rPr>
              <w:t>m</w:t>
            </w:r>
          </w:p>
          <w:p>
            <w:pPr>
              <w:pStyle w:val="TableParagraph"/>
              <w:tabs>
                <w:tab w:pos="1049" w:val="left" w:leader="none"/>
              </w:tabs>
              <w:spacing w:line="281" w:lineRule="exact"/>
              <w:ind w:left="107"/>
              <w:rPr>
                <w:sz w:val="24"/>
              </w:rPr>
            </w:pPr>
            <w:r>
              <w:rPr>
                <w:spacing w:val="-2"/>
                <w:sz w:val="24"/>
              </w:rPr>
              <w:t>(Plus</w:t>
            </w:r>
            <w:r>
              <w:rPr>
                <w:sz w:val="24"/>
              </w:rPr>
              <w:tab/>
            </w:r>
            <w:r>
              <w:rPr>
                <w:spacing w:val="-5"/>
                <w:sz w:val="24"/>
              </w:rPr>
              <w:t>0.3</w:t>
            </w:r>
          </w:p>
          <w:p>
            <w:pPr>
              <w:pStyle w:val="TableParagraph"/>
              <w:tabs>
                <w:tab w:pos="1110" w:val="left" w:leader="none"/>
              </w:tabs>
              <w:spacing w:line="281" w:lineRule="exact" w:before="1"/>
              <w:ind w:left="107"/>
              <w:rPr>
                <w:sz w:val="24"/>
              </w:rPr>
            </w:pPr>
            <w:r>
              <w:rPr>
                <w:spacing w:val="-10"/>
                <w:sz w:val="24"/>
              </w:rPr>
              <w:t>m</w:t>
            </w:r>
            <w:r>
              <w:rPr>
                <w:sz w:val="24"/>
              </w:rPr>
              <w:tab/>
            </w:r>
            <w:r>
              <w:rPr>
                <w:spacing w:val="-5"/>
                <w:sz w:val="24"/>
              </w:rPr>
              <w:t>for</w:t>
            </w:r>
          </w:p>
          <w:p>
            <w:pPr>
              <w:pStyle w:val="TableParagraph"/>
              <w:tabs>
                <w:tab w:pos="1276" w:val="left" w:leader="none"/>
              </w:tabs>
              <w:ind w:left="107" w:right="103"/>
              <w:rPr>
                <w:sz w:val="24"/>
              </w:rPr>
            </w:pPr>
            <w:r>
              <w:rPr>
                <w:spacing w:val="-2"/>
                <w:sz w:val="24"/>
              </w:rPr>
              <w:t>every </w:t>
            </w:r>
            <w:r>
              <w:rPr>
                <w:spacing w:val="7"/>
                <w:sz w:val="24"/>
              </w:rPr>
              <w:t>additional </w:t>
            </w:r>
            <w:r>
              <w:rPr>
                <w:spacing w:val="-2"/>
                <w:sz w:val="24"/>
              </w:rPr>
              <w:t>33,000</w:t>
            </w:r>
            <w:r>
              <w:rPr>
                <w:sz w:val="24"/>
              </w:rPr>
              <w:tab/>
            </w:r>
            <w:r>
              <w:rPr>
                <w:spacing w:val="-10"/>
                <w:sz w:val="24"/>
              </w:rPr>
              <w:t>V</w:t>
            </w:r>
          </w:p>
          <w:p>
            <w:pPr>
              <w:pStyle w:val="TableParagraph"/>
              <w:tabs>
                <w:tab w:pos="929" w:val="left" w:leader="none"/>
              </w:tabs>
              <w:ind w:left="107" w:right="102"/>
              <w:rPr>
                <w:sz w:val="24"/>
              </w:rPr>
            </w:pPr>
            <w:r>
              <w:rPr>
                <w:spacing w:val="-6"/>
                <w:sz w:val="24"/>
              </w:rPr>
              <w:t>or</w:t>
            </w:r>
            <w:r>
              <w:rPr>
                <w:sz w:val="24"/>
              </w:rPr>
              <w:tab/>
            </w:r>
            <w:r>
              <w:rPr>
                <w:spacing w:val="-4"/>
                <w:sz w:val="24"/>
              </w:rPr>
              <w:t>part </w:t>
            </w:r>
            <w:r>
              <w:rPr>
                <w:spacing w:val="-2"/>
                <w:sz w:val="24"/>
              </w:rPr>
              <w:t>thereof)</w:t>
            </w:r>
          </w:p>
        </w:tc>
      </w:tr>
    </w:tbl>
    <w:p>
      <w:pPr>
        <w:pStyle w:val="BodyText"/>
        <w:jc w:val="left"/>
      </w:pPr>
    </w:p>
    <w:p>
      <w:pPr>
        <w:pStyle w:val="BodyText"/>
        <w:ind w:left="1493" w:right="789"/>
      </w:pPr>
      <w:r>
        <w:rPr/>
        <w:t>Explanation-</w:t>
      </w:r>
      <w:r>
        <w:rPr>
          <w:spacing w:val="40"/>
        </w:rPr>
        <w:t> </w:t>
      </w:r>
      <w:r>
        <w:rPr/>
        <w:t>(i)</w:t>
      </w:r>
      <w:r>
        <w:rPr>
          <w:spacing w:val="40"/>
        </w:rPr>
        <w:t> </w:t>
      </w:r>
      <w:r>
        <w:rPr/>
        <w:t>the</w:t>
      </w:r>
      <w:r>
        <w:rPr>
          <w:spacing w:val="40"/>
        </w:rPr>
        <w:t> </w:t>
      </w:r>
      <w:r>
        <w:rPr/>
        <w:t>minimum</w:t>
      </w:r>
      <w:r>
        <w:rPr>
          <w:spacing w:val="40"/>
        </w:rPr>
        <w:t> </w:t>
      </w:r>
      <w:r>
        <w:rPr/>
        <w:t>clearance</w:t>
      </w:r>
      <w:r>
        <w:rPr>
          <w:spacing w:val="40"/>
        </w:rPr>
        <w:t> </w:t>
      </w:r>
      <w:r>
        <w:rPr/>
        <w:t>as</w:t>
      </w:r>
      <w:r>
        <w:rPr>
          <w:spacing w:val="40"/>
        </w:rPr>
        <w:t> </w:t>
      </w:r>
      <w:r>
        <w:rPr/>
        <w:t>above</w:t>
      </w:r>
      <w:r>
        <w:rPr>
          <w:spacing w:val="40"/>
        </w:rPr>
        <w:t> </w:t>
      </w:r>
      <w:r>
        <w:rPr/>
        <w:t>shall</w:t>
      </w:r>
      <w:r>
        <w:rPr>
          <w:spacing w:val="40"/>
        </w:rPr>
        <w:t> </w:t>
      </w:r>
      <w:r>
        <w:rPr/>
        <w:t>be</w:t>
      </w:r>
      <w:r>
        <w:rPr>
          <w:spacing w:val="40"/>
        </w:rPr>
        <w:t> </w:t>
      </w:r>
      <w:r>
        <w:rPr/>
        <w:t>measured from</w:t>
      </w:r>
      <w:r>
        <w:rPr>
          <w:spacing w:val="40"/>
        </w:rPr>
        <w:t> </w:t>
      </w:r>
      <w:r>
        <w:rPr/>
        <w:t>the</w:t>
      </w:r>
      <w:r>
        <w:rPr>
          <w:spacing w:val="40"/>
        </w:rPr>
        <w:t> </w:t>
      </w:r>
      <w:r>
        <w:rPr/>
        <w:t>maximum</w:t>
      </w:r>
      <w:r>
        <w:rPr>
          <w:spacing w:val="40"/>
        </w:rPr>
        <w:t> </w:t>
      </w:r>
      <w:r>
        <w:rPr/>
        <w:t>sag</w:t>
      </w:r>
      <w:r>
        <w:rPr>
          <w:spacing w:val="40"/>
        </w:rPr>
        <w:t> </w:t>
      </w:r>
      <w:r>
        <w:rPr/>
        <w:t>for</w:t>
      </w:r>
      <w:r>
        <w:rPr>
          <w:spacing w:val="40"/>
        </w:rPr>
        <w:t> </w:t>
      </w:r>
      <w:r>
        <w:rPr/>
        <w:t>vertical</w:t>
      </w:r>
      <w:r>
        <w:rPr>
          <w:spacing w:val="40"/>
        </w:rPr>
        <w:t> </w:t>
      </w:r>
      <w:r>
        <w:rPr/>
        <w:t>clearance</w:t>
      </w:r>
      <w:r>
        <w:rPr>
          <w:spacing w:val="40"/>
        </w:rPr>
        <w:t> </w:t>
      </w:r>
      <w:r>
        <w:rPr/>
        <w:t>and</w:t>
      </w:r>
      <w:r>
        <w:rPr>
          <w:spacing w:val="40"/>
        </w:rPr>
        <w:t> </w:t>
      </w:r>
      <w:r>
        <w:rPr/>
        <w:t>maximum</w:t>
      </w:r>
      <w:r>
        <w:rPr>
          <w:spacing w:val="40"/>
        </w:rPr>
        <w:t> </w:t>
      </w:r>
      <w:r>
        <w:rPr/>
        <w:t>deflection due</w:t>
      </w:r>
      <w:r>
        <w:rPr>
          <w:spacing w:val="40"/>
        </w:rPr>
        <w:t> </w:t>
      </w:r>
      <w:r>
        <w:rPr/>
        <w:t>to</w:t>
      </w:r>
      <w:r>
        <w:rPr>
          <w:spacing w:val="40"/>
        </w:rPr>
        <w:t> </w:t>
      </w:r>
      <w:r>
        <w:rPr/>
        <w:t>wind</w:t>
      </w:r>
      <w:r>
        <w:rPr>
          <w:spacing w:val="40"/>
        </w:rPr>
        <w:t> </w:t>
      </w:r>
      <w:r>
        <w:rPr/>
        <w:t>pressure</w:t>
      </w:r>
      <w:r>
        <w:rPr>
          <w:spacing w:val="40"/>
        </w:rPr>
        <w:t> </w:t>
      </w:r>
      <w:r>
        <w:rPr/>
        <w:t>for</w:t>
      </w:r>
      <w:r>
        <w:rPr>
          <w:spacing w:val="40"/>
        </w:rPr>
        <w:t> </w:t>
      </w:r>
      <w:r>
        <w:rPr/>
        <w:t>horizontal</w:t>
      </w:r>
      <w:r>
        <w:rPr>
          <w:spacing w:val="40"/>
        </w:rPr>
        <w:t> </w:t>
      </w:r>
      <w:r>
        <w:rPr>
          <w:spacing w:val="9"/>
        </w:rPr>
        <w:t>clearance.</w:t>
      </w:r>
    </w:p>
    <w:p>
      <w:pPr>
        <w:pStyle w:val="BodyText"/>
        <w:ind w:left="1493" w:right="781"/>
      </w:pPr>
      <w:r>
        <w:rPr/>
        <w:t>(ii)</w:t>
      </w:r>
      <w:r>
        <w:rPr>
          <w:spacing w:val="80"/>
        </w:rPr>
        <w:t> </w:t>
      </w:r>
      <w:r>
        <w:rPr/>
        <w:t>In</w:t>
      </w:r>
      <w:r>
        <w:rPr>
          <w:spacing w:val="80"/>
        </w:rPr>
        <w:t> </w:t>
      </w:r>
      <w:r>
        <w:rPr/>
        <w:t>the</w:t>
      </w:r>
      <w:r>
        <w:rPr>
          <w:spacing w:val="80"/>
        </w:rPr>
        <w:t> </w:t>
      </w:r>
      <w:r>
        <w:rPr/>
        <w:t>development</w:t>
      </w:r>
      <w:r>
        <w:rPr>
          <w:spacing w:val="80"/>
        </w:rPr>
        <w:t> </w:t>
      </w:r>
      <w:r>
        <w:rPr/>
        <w:t>of</w:t>
      </w:r>
      <w:r>
        <w:rPr>
          <w:spacing w:val="80"/>
        </w:rPr>
        <w:t> </w:t>
      </w:r>
      <w:r>
        <w:rPr/>
        <w:t>plot</w:t>
      </w:r>
      <w:r>
        <w:rPr>
          <w:spacing w:val="80"/>
        </w:rPr>
        <w:t> </w:t>
      </w:r>
      <w:r>
        <w:rPr/>
        <w:t>affected</w:t>
      </w:r>
      <w:r>
        <w:rPr>
          <w:spacing w:val="80"/>
        </w:rPr>
        <w:t> </w:t>
      </w:r>
      <w:r>
        <w:rPr/>
        <w:t>by</w:t>
      </w:r>
      <w:r>
        <w:rPr>
          <w:spacing w:val="80"/>
        </w:rPr>
        <w:t> </w:t>
      </w:r>
      <w:r>
        <w:rPr/>
        <w:t>overhead</w:t>
      </w:r>
      <w:r>
        <w:rPr>
          <w:spacing w:val="80"/>
        </w:rPr>
        <w:t> </w:t>
      </w:r>
      <w:r>
        <w:rPr/>
        <w:t>transmission electric</w:t>
      </w:r>
      <w:r>
        <w:rPr>
          <w:spacing w:val="40"/>
        </w:rPr>
        <w:t> </w:t>
      </w:r>
      <w:r>
        <w:rPr/>
        <w:t>lines</w:t>
      </w:r>
      <w:r>
        <w:rPr>
          <w:spacing w:val="40"/>
        </w:rPr>
        <w:t> </w:t>
      </w:r>
      <w:r>
        <w:rPr/>
        <w:t>the</w:t>
      </w:r>
      <w:r>
        <w:rPr>
          <w:spacing w:val="40"/>
        </w:rPr>
        <w:t> </w:t>
      </w:r>
      <w:r>
        <w:rPr/>
        <w:t>portion</w:t>
      </w:r>
      <w:r>
        <w:rPr>
          <w:spacing w:val="40"/>
        </w:rPr>
        <w:t> </w:t>
      </w:r>
      <w:r>
        <w:rPr/>
        <w:t>of</w:t>
      </w:r>
      <w:r>
        <w:rPr>
          <w:spacing w:val="40"/>
        </w:rPr>
        <w:t> </w:t>
      </w:r>
      <w:r>
        <w:rPr/>
        <w:t>plot</w:t>
      </w:r>
      <w:r>
        <w:rPr>
          <w:spacing w:val="40"/>
        </w:rPr>
        <w:t> </w:t>
      </w:r>
      <w:r>
        <w:rPr/>
        <w:t>under</w:t>
      </w:r>
      <w:r>
        <w:rPr>
          <w:spacing w:val="40"/>
        </w:rPr>
        <w:t> </w:t>
      </w:r>
      <w:r>
        <w:rPr/>
        <w:t>overhead</w:t>
      </w:r>
      <w:r>
        <w:rPr>
          <w:spacing w:val="40"/>
        </w:rPr>
        <w:t> </w:t>
      </w:r>
      <w:r>
        <w:rPr>
          <w:spacing w:val="9"/>
        </w:rPr>
        <w:t>electric</w:t>
      </w:r>
      <w:r>
        <w:rPr>
          <w:spacing w:val="40"/>
        </w:rPr>
        <w:t> </w:t>
      </w:r>
      <w:r>
        <w:rPr/>
        <w:t>supply</w:t>
      </w:r>
      <w:r>
        <w:rPr>
          <w:spacing w:val="40"/>
        </w:rPr>
        <w:t> </w:t>
      </w:r>
      <w:r>
        <w:rPr/>
        <w:t>lines may</w:t>
      </w:r>
      <w:r>
        <w:rPr>
          <w:spacing w:val="32"/>
        </w:rPr>
        <w:t> </w:t>
      </w:r>
      <w:r>
        <w:rPr/>
        <w:t>be</w:t>
      </w:r>
      <w:r>
        <w:rPr>
          <w:spacing w:val="40"/>
        </w:rPr>
        <w:t> </w:t>
      </w:r>
      <w:r>
        <w:rPr/>
        <w:t>used</w:t>
      </w:r>
      <w:r>
        <w:rPr>
          <w:spacing w:val="40"/>
        </w:rPr>
        <w:t> </w:t>
      </w:r>
      <w:r>
        <w:rPr/>
        <w:t>as</w:t>
      </w:r>
      <w:r>
        <w:rPr>
          <w:spacing w:val="40"/>
        </w:rPr>
        <w:t> </w:t>
      </w:r>
      <w:r>
        <w:rPr/>
        <w:t>LOS</w:t>
      </w:r>
      <w:r>
        <w:rPr>
          <w:spacing w:val="40"/>
        </w:rPr>
        <w:t> </w:t>
      </w:r>
      <w:r>
        <w:rPr/>
        <w:t>as</w:t>
      </w:r>
      <w:r>
        <w:rPr>
          <w:spacing w:val="40"/>
        </w:rPr>
        <w:t> </w:t>
      </w:r>
      <w:r>
        <w:rPr/>
        <w:t>required</w:t>
      </w:r>
      <w:r>
        <w:rPr>
          <w:spacing w:val="40"/>
        </w:rPr>
        <w:t> </w:t>
      </w:r>
      <w:r>
        <w:rPr/>
        <w:t>under</w:t>
      </w:r>
      <w:r>
        <w:rPr>
          <w:spacing w:val="40"/>
        </w:rPr>
        <w:t> </w:t>
      </w:r>
      <w:r>
        <w:rPr/>
        <w:t>Regulation</w:t>
      </w:r>
      <w:r>
        <w:rPr>
          <w:spacing w:val="40"/>
        </w:rPr>
        <w:t> </w:t>
      </w:r>
      <w:r>
        <w:rPr/>
        <w:t>No</w:t>
      </w:r>
      <w:r>
        <w:rPr>
          <w:spacing w:val="40"/>
        </w:rPr>
        <w:t> </w:t>
      </w:r>
      <w:r>
        <w:rPr/>
        <w:t>27</w:t>
      </w:r>
      <w:r>
        <w:rPr>
          <w:spacing w:val="-20"/>
        </w:rPr>
        <w:t> </w:t>
      </w:r>
      <w:r>
        <w:rPr/>
        <w:t>by</w:t>
      </w:r>
      <w:r>
        <w:rPr>
          <w:spacing w:val="40"/>
        </w:rPr>
        <w:t> </w:t>
      </w:r>
      <w:r>
        <w:rPr/>
        <w:t>observing all</w:t>
      </w:r>
      <w:r>
        <w:rPr>
          <w:spacing w:val="40"/>
        </w:rPr>
        <w:t> </w:t>
      </w:r>
      <w:r>
        <w:rPr/>
        <w:t>safety</w:t>
      </w:r>
      <w:r>
        <w:rPr>
          <w:spacing w:val="40"/>
        </w:rPr>
        <w:t> </w:t>
      </w:r>
      <w:r>
        <w:rPr/>
        <w:t>measures</w:t>
      </w:r>
      <w:r>
        <w:rPr>
          <w:spacing w:val="40"/>
        </w:rPr>
        <w:t> </w:t>
      </w:r>
      <w:r>
        <w:rPr/>
        <w:t>without</w:t>
      </w:r>
      <w:r>
        <w:rPr>
          <w:spacing w:val="40"/>
        </w:rPr>
        <w:t> </w:t>
      </w:r>
      <w:r>
        <w:rPr/>
        <w:t>allowing</w:t>
      </w:r>
      <w:r>
        <w:rPr>
          <w:spacing w:val="40"/>
        </w:rPr>
        <w:t> </w:t>
      </w:r>
      <w:r>
        <w:rPr/>
        <w:t>any</w:t>
      </w:r>
      <w:r>
        <w:rPr>
          <w:spacing w:val="40"/>
        </w:rPr>
        <w:t> </w:t>
      </w:r>
      <w:r>
        <w:rPr/>
        <w:t>habitable</w:t>
      </w:r>
      <w:r>
        <w:rPr>
          <w:spacing w:val="40"/>
        </w:rPr>
        <w:t> </w:t>
      </w:r>
      <w:r>
        <w:rPr/>
        <w:t>construction</w:t>
      </w:r>
      <w:r>
        <w:rPr>
          <w:spacing w:val="40"/>
        </w:rPr>
        <w:t> </w:t>
      </w:r>
      <w:r>
        <w:rPr/>
        <w:t>in</w:t>
      </w:r>
      <w:r>
        <w:rPr>
          <w:spacing w:val="40"/>
        </w:rPr>
        <w:t> </w:t>
      </w:r>
      <w:r>
        <w:rPr/>
        <w:t>the said</w:t>
      </w:r>
      <w:r>
        <w:rPr>
          <w:spacing w:val="76"/>
        </w:rPr>
        <w:t> </w:t>
      </w:r>
      <w:r>
        <w:rPr/>
        <w:t>LOS</w:t>
      </w:r>
      <w:r>
        <w:rPr>
          <w:spacing w:val="79"/>
        </w:rPr>
        <w:t> </w:t>
      </w:r>
      <w:r>
        <w:rPr/>
        <w:t>under</w:t>
      </w:r>
      <w:r>
        <w:rPr>
          <w:spacing w:val="79"/>
        </w:rPr>
        <w:t> </w:t>
      </w:r>
      <w:r>
        <w:rPr/>
        <w:t>said</w:t>
      </w:r>
      <w:r>
        <w:rPr>
          <w:spacing w:val="40"/>
        </w:rPr>
        <w:t> </w:t>
      </w:r>
      <w:r>
        <w:rPr/>
        <w:t>Regulation</w:t>
      </w:r>
      <w:r>
        <w:rPr>
          <w:spacing w:val="40"/>
        </w:rPr>
        <w:t> </w:t>
      </w:r>
      <w:r>
        <w:rPr/>
        <w:t>and</w:t>
      </w:r>
      <w:r>
        <w:rPr>
          <w:spacing w:val="40"/>
        </w:rPr>
        <w:t> </w:t>
      </w:r>
      <w:r>
        <w:rPr/>
        <w:t>shall</w:t>
      </w:r>
      <w:r>
        <w:rPr>
          <w:spacing w:val="40"/>
        </w:rPr>
        <w:t> </w:t>
      </w:r>
      <w:r>
        <w:rPr/>
        <w:t>be</w:t>
      </w:r>
      <w:r>
        <w:rPr>
          <w:spacing w:val="40"/>
        </w:rPr>
        <w:t> </w:t>
      </w:r>
      <w:r>
        <w:rPr/>
        <w:t>free</w:t>
      </w:r>
      <w:r>
        <w:rPr>
          <w:spacing w:val="40"/>
        </w:rPr>
        <w:t> </w:t>
      </w:r>
      <w:r>
        <w:rPr/>
        <w:t>of</w:t>
      </w:r>
      <w:r>
        <w:rPr>
          <w:spacing w:val="80"/>
        </w:rPr>
        <w:t> </w:t>
      </w:r>
      <w:r>
        <w:rPr/>
        <w:t>encumbrances.</w:t>
      </w:r>
    </w:p>
    <w:p>
      <w:pPr>
        <w:pStyle w:val="BodyText"/>
        <w:spacing w:after="0"/>
        <w:sectPr>
          <w:headerReference w:type="default" r:id="rId64"/>
          <w:footerReference w:type="default" r:id="rId65"/>
          <w:pgSz w:w="11910" w:h="16840"/>
          <w:pgMar w:header="1058" w:footer="1201" w:top="1500" w:bottom="1400" w:left="360" w:right="360"/>
        </w:sectPr>
      </w:pPr>
    </w:p>
    <w:p>
      <w:pPr>
        <w:pStyle w:val="BodyText"/>
        <w:spacing w:before="241"/>
        <w:ind w:left="1493" w:right="774"/>
      </w:pPr>
      <w:r>
        <w:rPr/>
        <w:t>(</w:t>
      </w:r>
      <w:r>
        <w:rPr>
          <w:spacing w:val="9"/>
          <w:position w:val="-5"/>
        </w:rPr>
        <w:drawing>
          <wp:inline distT="0" distB="0" distL="0" distR="0">
            <wp:extent cx="96012" cy="187756"/>
            <wp:effectExtent l="0" t="0" r="0" b="0"/>
            <wp:docPr id="480" name="Image 480"/>
            <wp:cNvGraphicFramePr>
              <a:graphicFrameLocks/>
            </wp:cNvGraphicFramePr>
            <a:graphic>
              <a:graphicData uri="http://schemas.openxmlformats.org/drawingml/2006/picture">
                <pic:pic>
                  <pic:nvPicPr>
                    <pic:cNvPr id="480" name="Image 480"/>
                    <pic:cNvPicPr/>
                  </pic:nvPicPr>
                  <pic:blipFill>
                    <a:blip r:embed="rId66" cstate="print"/>
                    <a:stretch>
                      <a:fillRect/>
                    </a:stretch>
                  </pic:blipFill>
                  <pic:spPr>
                    <a:xfrm>
                      <a:off x="0" y="0"/>
                      <a:ext cx="96012" cy="187756"/>
                    </a:xfrm>
                    <a:prstGeom prst="rect">
                      <a:avLst/>
                    </a:prstGeom>
                  </pic:spPr>
                </pic:pic>
              </a:graphicData>
            </a:graphic>
          </wp:inline>
        </w:drawing>
      </w:r>
      <w:r>
        <w:rPr>
          <w:spacing w:val="9"/>
          <w:position w:val="-5"/>
        </w:rPr>
      </w:r>
      <w:r>
        <w:rPr/>
        <w:t>The</w:t>
      </w:r>
      <w:r>
        <w:rPr>
          <w:spacing w:val="40"/>
        </w:rPr>
        <w:t> </w:t>
      </w:r>
      <w:r>
        <w:rPr/>
        <w:t>electric</w:t>
      </w:r>
      <w:r>
        <w:rPr>
          <w:spacing w:val="40"/>
        </w:rPr>
        <w:t> </w:t>
      </w:r>
      <w:r>
        <w:rPr/>
        <w:t>company</w:t>
      </w:r>
      <w:r>
        <w:rPr>
          <w:spacing w:val="40"/>
        </w:rPr>
        <w:t> </w:t>
      </w:r>
      <w:r>
        <w:rPr/>
        <w:t>shall</w:t>
      </w:r>
      <w:r>
        <w:rPr>
          <w:spacing w:val="40"/>
        </w:rPr>
        <w:t> </w:t>
      </w:r>
      <w:r>
        <w:rPr/>
        <w:t>phase</w:t>
      </w:r>
      <w:r>
        <w:rPr>
          <w:spacing w:val="40"/>
        </w:rPr>
        <w:t> </w:t>
      </w:r>
      <w:r>
        <w:rPr/>
        <w:t>out</w:t>
      </w:r>
      <w:r>
        <w:rPr>
          <w:spacing w:val="40"/>
        </w:rPr>
        <w:t> </w:t>
      </w:r>
      <w:r>
        <w:rPr/>
        <w:t>removal</w:t>
      </w:r>
      <w:r>
        <w:rPr>
          <w:spacing w:val="40"/>
        </w:rPr>
        <w:t> </w:t>
      </w:r>
      <w:r>
        <w:rPr/>
        <w:t>of</w:t>
      </w:r>
      <w:r>
        <w:rPr>
          <w:spacing w:val="40"/>
        </w:rPr>
        <w:t> </w:t>
      </w:r>
      <w:r>
        <w:rPr/>
        <w:t>these</w:t>
      </w:r>
      <w:r>
        <w:rPr>
          <w:spacing w:val="40"/>
        </w:rPr>
        <w:t> </w:t>
      </w:r>
      <w:r>
        <w:rPr/>
        <w:t>overhead electric supply lines in time bound manner as per prevailing section of Central</w:t>
      </w:r>
      <w:r>
        <w:rPr>
          <w:spacing w:val="80"/>
        </w:rPr>
        <w:t> </w:t>
      </w:r>
      <w:r>
        <w:rPr/>
        <w:t>Electricity</w:t>
      </w:r>
      <w:r>
        <w:rPr>
          <w:spacing w:val="80"/>
        </w:rPr>
        <w:t> </w:t>
      </w:r>
      <w:r>
        <w:rPr/>
        <w:t>Authority</w:t>
      </w:r>
      <w:r>
        <w:rPr>
          <w:spacing w:val="80"/>
        </w:rPr>
        <w:t> </w:t>
      </w:r>
      <w:r>
        <w:rPr/>
        <w:t>Regulations,</w:t>
      </w:r>
      <w:r>
        <w:rPr>
          <w:spacing w:val="80"/>
        </w:rPr>
        <w:t> </w:t>
      </w:r>
      <w:r>
        <w:rPr>
          <w:spacing w:val="9"/>
        </w:rPr>
        <w:t>2010.</w:t>
      </w:r>
    </w:p>
    <w:p>
      <w:pPr>
        <w:pStyle w:val="ListParagraph"/>
        <w:numPr>
          <w:ilvl w:val="0"/>
          <w:numId w:val="309"/>
        </w:numPr>
        <w:tabs>
          <w:tab w:pos="2144" w:val="left" w:leader="none"/>
        </w:tabs>
        <w:spacing w:line="240" w:lineRule="auto" w:before="0" w:after="0"/>
        <w:ind w:left="1493" w:right="776" w:firstLine="0"/>
        <w:jc w:val="both"/>
        <w:rPr>
          <w:sz w:val="24"/>
        </w:rPr>
      </w:pPr>
      <w:r>
        <w:rPr>
          <w:b/>
          <w:i/>
          <w:sz w:val="24"/>
        </w:rPr>
        <w:t>Other restrictions in </w:t>
      </w:r>
      <w:r>
        <w:rPr>
          <w:b/>
          <w:i/>
          <w:spacing w:val="9"/>
          <w:sz w:val="24"/>
        </w:rPr>
        <w:t>height</w:t>
      </w:r>
      <w:r>
        <w:rPr>
          <w:spacing w:val="9"/>
          <w:sz w:val="24"/>
        </w:rPr>
        <w:t>- </w:t>
      </w:r>
      <w:r>
        <w:rPr>
          <w:sz w:val="24"/>
        </w:rPr>
        <w:t>For the purpose of operational requirement</w:t>
      </w:r>
      <w:r>
        <w:rPr>
          <w:spacing w:val="40"/>
          <w:sz w:val="24"/>
        </w:rPr>
        <w:t> </w:t>
      </w:r>
      <w:r>
        <w:rPr>
          <w:sz w:val="24"/>
        </w:rPr>
        <w:t>of</w:t>
      </w:r>
      <w:r>
        <w:rPr>
          <w:spacing w:val="40"/>
          <w:sz w:val="24"/>
        </w:rPr>
        <w:t> </w:t>
      </w:r>
      <w:r>
        <w:rPr>
          <w:sz w:val="24"/>
        </w:rPr>
        <w:t>buildings,</w:t>
      </w:r>
      <w:r>
        <w:rPr>
          <w:spacing w:val="40"/>
          <w:sz w:val="24"/>
        </w:rPr>
        <w:t> </w:t>
      </w:r>
      <w:r>
        <w:rPr>
          <w:sz w:val="24"/>
        </w:rPr>
        <w:t>structures</w:t>
      </w:r>
      <w:r>
        <w:rPr>
          <w:spacing w:val="40"/>
          <w:sz w:val="24"/>
        </w:rPr>
        <w:t> </w:t>
      </w:r>
      <w:r>
        <w:rPr>
          <w:sz w:val="24"/>
        </w:rPr>
        <w:t>or</w:t>
      </w:r>
      <w:r>
        <w:rPr>
          <w:spacing w:val="40"/>
          <w:sz w:val="24"/>
        </w:rPr>
        <w:t> </w:t>
      </w:r>
      <w:r>
        <w:rPr>
          <w:sz w:val="24"/>
        </w:rPr>
        <w:t>installations</w:t>
      </w:r>
      <w:r>
        <w:rPr>
          <w:spacing w:val="40"/>
          <w:sz w:val="24"/>
        </w:rPr>
        <w:t> </w:t>
      </w:r>
      <w:r>
        <w:rPr>
          <w:sz w:val="24"/>
        </w:rPr>
        <w:t>or</w:t>
      </w:r>
      <w:r>
        <w:rPr>
          <w:spacing w:val="40"/>
          <w:sz w:val="24"/>
        </w:rPr>
        <w:t> </w:t>
      </w:r>
      <w:r>
        <w:rPr>
          <w:sz w:val="24"/>
        </w:rPr>
        <w:t>for</w:t>
      </w:r>
      <w:r>
        <w:rPr>
          <w:spacing w:val="40"/>
          <w:sz w:val="24"/>
        </w:rPr>
        <w:t> </w:t>
      </w:r>
      <w:r>
        <w:rPr>
          <w:sz w:val="24"/>
        </w:rPr>
        <w:t>the</w:t>
      </w:r>
      <w:r>
        <w:rPr>
          <w:spacing w:val="40"/>
          <w:sz w:val="24"/>
        </w:rPr>
        <w:t> </w:t>
      </w:r>
      <w:r>
        <w:rPr>
          <w:sz w:val="24"/>
        </w:rPr>
        <w:t>purpose</w:t>
      </w:r>
      <w:r>
        <w:rPr>
          <w:spacing w:val="40"/>
          <w:sz w:val="24"/>
        </w:rPr>
        <w:t> </w:t>
      </w:r>
      <w:r>
        <w:rPr>
          <w:sz w:val="24"/>
        </w:rPr>
        <w:t>of telecommunications or other forms of communications of the Departments</w:t>
      </w:r>
      <w:r>
        <w:rPr>
          <w:spacing w:val="40"/>
          <w:sz w:val="24"/>
        </w:rPr>
        <w:t> </w:t>
      </w:r>
      <w:r>
        <w:rPr>
          <w:sz w:val="24"/>
        </w:rPr>
        <w:t>of</w:t>
      </w:r>
      <w:r>
        <w:rPr>
          <w:spacing w:val="40"/>
          <w:sz w:val="24"/>
        </w:rPr>
        <w:t> </w:t>
      </w:r>
      <w:r>
        <w:rPr>
          <w:sz w:val="24"/>
        </w:rPr>
        <w:t>the</w:t>
      </w:r>
      <w:r>
        <w:rPr>
          <w:spacing w:val="40"/>
          <w:sz w:val="24"/>
        </w:rPr>
        <w:t> </w:t>
      </w:r>
      <w:r>
        <w:rPr>
          <w:sz w:val="24"/>
        </w:rPr>
        <w:t>Government</w:t>
      </w:r>
      <w:r>
        <w:rPr>
          <w:spacing w:val="40"/>
          <w:sz w:val="24"/>
        </w:rPr>
        <w:t> </w:t>
      </w:r>
      <w:r>
        <w:rPr>
          <w:sz w:val="24"/>
        </w:rPr>
        <w:t>of</w:t>
      </w:r>
      <w:r>
        <w:rPr>
          <w:spacing w:val="40"/>
          <w:sz w:val="24"/>
        </w:rPr>
        <w:t> </w:t>
      </w:r>
      <w:r>
        <w:rPr>
          <w:sz w:val="24"/>
        </w:rPr>
        <w:t>India</w:t>
      </w:r>
      <w:r>
        <w:rPr>
          <w:spacing w:val="40"/>
          <w:sz w:val="24"/>
        </w:rPr>
        <w:t> </w:t>
      </w:r>
      <w:r>
        <w:rPr>
          <w:sz w:val="24"/>
        </w:rPr>
        <w:t>or</w:t>
      </w:r>
      <w:r>
        <w:rPr>
          <w:spacing w:val="40"/>
          <w:sz w:val="24"/>
        </w:rPr>
        <w:t> </w:t>
      </w:r>
      <w:r>
        <w:rPr>
          <w:sz w:val="24"/>
        </w:rPr>
        <w:t>the</w:t>
      </w:r>
      <w:r>
        <w:rPr>
          <w:spacing w:val="40"/>
          <w:sz w:val="24"/>
        </w:rPr>
        <w:t> </w:t>
      </w:r>
      <w:r>
        <w:rPr>
          <w:sz w:val="24"/>
        </w:rPr>
        <w:t>State</w:t>
      </w:r>
      <w:r>
        <w:rPr>
          <w:spacing w:val="40"/>
          <w:sz w:val="24"/>
        </w:rPr>
        <w:t> </w:t>
      </w:r>
      <w:r>
        <w:rPr>
          <w:sz w:val="24"/>
        </w:rPr>
        <w:t>Government</w:t>
      </w:r>
      <w:r>
        <w:rPr>
          <w:spacing w:val="40"/>
          <w:sz w:val="24"/>
        </w:rPr>
        <w:t> </w:t>
      </w:r>
      <w:r>
        <w:rPr>
          <w:sz w:val="24"/>
        </w:rPr>
        <w:t>or public sector undertakings, the Commissioner may for </w:t>
      </w:r>
      <w:r>
        <w:rPr>
          <w:spacing w:val="9"/>
          <w:sz w:val="24"/>
        </w:rPr>
        <w:t>reasons</w:t>
      </w:r>
      <w:r>
        <w:rPr>
          <w:spacing w:val="9"/>
          <w:sz w:val="24"/>
        </w:rPr>
        <w:t> </w:t>
      </w:r>
      <w:r>
        <w:rPr>
          <w:sz w:val="24"/>
        </w:rPr>
        <w:t>to be recorded in writing, restrict the height of any building in the vicinity of</w:t>
      </w:r>
      <w:r>
        <w:rPr>
          <w:spacing w:val="40"/>
          <w:sz w:val="24"/>
        </w:rPr>
        <w:t> </w:t>
      </w:r>
      <w:r>
        <w:rPr>
          <w:sz w:val="24"/>
        </w:rPr>
        <w:t>such buildings, structures or installation, and may also permit the prescribed heights to be exceeded for such buildings, structures or installations themselves or for any other statutory communication </w:t>
      </w:r>
      <w:r>
        <w:rPr>
          <w:spacing w:val="7"/>
          <w:sz w:val="24"/>
        </w:rPr>
        <w:t>requirement.</w:t>
      </w:r>
    </w:p>
    <w:p>
      <w:pPr>
        <w:pStyle w:val="Heading6"/>
        <w:numPr>
          <w:ilvl w:val="0"/>
          <w:numId w:val="309"/>
        </w:numPr>
        <w:tabs>
          <w:tab w:pos="2211" w:val="left" w:leader="none"/>
        </w:tabs>
        <w:spacing w:line="240" w:lineRule="auto" w:before="281" w:after="0"/>
        <w:ind w:left="2211" w:right="0" w:hanging="718"/>
        <w:jc w:val="both"/>
      </w:pPr>
      <w:r>
        <w:rPr/>
        <mc:AlternateContent>
          <mc:Choice Requires="wps">
            <w:drawing>
              <wp:anchor distT="0" distB="0" distL="0" distR="0" allowOverlap="1" layoutInCell="1" locked="0" behindDoc="0" simplePos="0" relativeHeight="15749120">
                <wp:simplePos x="0" y="0"/>
                <wp:positionH relativeFrom="page">
                  <wp:posOffset>1176832</wp:posOffset>
                </wp:positionH>
                <wp:positionV relativeFrom="paragraph">
                  <wp:posOffset>349736</wp:posOffset>
                </wp:positionV>
                <wp:extent cx="55244" cy="187960"/>
                <wp:effectExtent l="0" t="0" r="0" b="0"/>
                <wp:wrapNone/>
                <wp:docPr id="481" name="Graphic 481"/>
                <wp:cNvGraphicFramePr>
                  <a:graphicFrameLocks/>
                </wp:cNvGraphicFramePr>
                <a:graphic>
                  <a:graphicData uri="http://schemas.microsoft.com/office/word/2010/wordprocessingShape">
                    <wps:wsp>
                      <wps:cNvPr id="481" name="Graphic 481"/>
                      <wps:cNvSpPr/>
                      <wps:spPr>
                        <a:xfrm>
                          <a:off x="0" y="0"/>
                          <a:ext cx="55244" cy="187960"/>
                        </a:xfrm>
                        <a:custGeom>
                          <a:avLst/>
                          <a:gdLst/>
                          <a:ahLst/>
                          <a:cxnLst/>
                          <a:rect l="l" t="t" r="r" b="b"/>
                          <a:pathLst>
                            <a:path w="55244" h="187960">
                              <a:moveTo>
                                <a:pt x="54864" y="0"/>
                              </a:moveTo>
                              <a:lnTo>
                                <a:pt x="0" y="0"/>
                              </a:lnTo>
                              <a:lnTo>
                                <a:pt x="0" y="187451"/>
                              </a:lnTo>
                              <a:lnTo>
                                <a:pt x="54864" y="187451"/>
                              </a:lnTo>
                              <a:lnTo>
                                <a:pt x="54864" y="0"/>
                              </a:lnTo>
                              <a:close/>
                            </a:path>
                          </a:pathLst>
                        </a:custGeom>
                        <a:solidFill>
                          <a:srgbClr val="FFCCFF"/>
                        </a:solidFill>
                      </wps:spPr>
                      <wps:bodyPr wrap="square" lIns="0" tIns="0" rIns="0" bIns="0" rtlCol="0">
                        <a:prstTxWarp prst="textNoShape">
                          <a:avLst/>
                        </a:prstTxWarp>
                        <a:noAutofit/>
                      </wps:bodyPr>
                    </wps:wsp>
                  </a:graphicData>
                </a:graphic>
              </wp:anchor>
            </w:drawing>
          </mc:Choice>
          <mc:Fallback>
            <w:pict>
              <v:rect style="position:absolute;margin-left:92.664001pt;margin-top:27.538296pt;width:4.32pt;height:14.76pt;mso-position-horizontal-relative:page;mso-position-vertical-relative:paragraph;z-index:15749120" id="docshape414" filled="true" fillcolor="#ffccff" stroked="false">
                <v:fill type="solid"/>
                <w10:wrap type="none"/>
              </v:rect>
            </w:pict>
          </mc:Fallback>
        </mc:AlternateContent>
      </w:r>
      <w:r>
        <w:rPr>
          <w:spacing w:val="9"/>
        </w:rPr>
        <w:t>RestrictiononDevelopmentofsitesofexisting</w:t>
      </w:r>
      <w:r>
        <w:rPr>
          <w:spacing w:val="37"/>
        </w:rPr>
        <w:t> </w:t>
      </w:r>
      <w:r>
        <w:rPr/>
        <w:t>Fuel</w:t>
      </w:r>
      <w:r>
        <w:rPr>
          <w:spacing w:val="34"/>
        </w:rPr>
        <w:t> </w:t>
      </w:r>
      <w:r>
        <w:rPr>
          <w:spacing w:val="7"/>
        </w:rPr>
        <w:t>Station-</w:t>
      </w:r>
    </w:p>
    <w:p>
      <w:pPr>
        <w:pStyle w:val="BodyText"/>
        <w:spacing w:before="1"/>
        <w:ind w:left="1493" w:right="781" w:firstLine="86"/>
      </w:pPr>
      <w:r>
        <w:rPr/>
        <w:t>In</w:t>
      </w:r>
      <w:r>
        <w:rPr>
          <w:spacing w:val="40"/>
        </w:rPr>
        <w:t> </w:t>
      </w:r>
      <w:r>
        <w:rPr/>
        <w:t>the</w:t>
      </w:r>
      <w:r>
        <w:rPr>
          <w:spacing w:val="40"/>
        </w:rPr>
        <w:t> </w:t>
      </w:r>
      <w:r>
        <w:rPr/>
        <w:t>redevelopment</w:t>
      </w:r>
      <w:r>
        <w:rPr>
          <w:spacing w:val="40"/>
        </w:rPr>
        <w:t> </w:t>
      </w:r>
      <w:r>
        <w:rPr/>
        <w:t>sites</w:t>
      </w:r>
      <w:r>
        <w:rPr>
          <w:spacing w:val="40"/>
        </w:rPr>
        <w:t> </w:t>
      </w:r>
      <w:r>
        <w:rPr/>
        <w:t>of</w:t>
      </w:r>
      <w:r>
        <w:rPr>
          <w:spacing w:val="40"/>
        </w:rPr>
        <w:t> </w:t>
      </w:r>
      <w:r>
        <w:rPr/>
        <w:t>existing</w:t>
      </w:r>
      <w:r>
        <w:rPr>
          <w:spacing w:val="40"/>
        </w:rPr>
        <w:t> </w:t>
      </w:r>
      <w:r>
        <w:rPr/>
        <w:t>filling</w:t>
      </w:r>
      <w:r>
        <w:rPr>
          <w:spacing w:val="40"/>
        </w:rPr>
        <w:t> </w:t>
      </w:r>
      <w:r>
        <w:rPr/>
        <w:t>and</w:t>
      </w:r>
      <w:r>
        <w:rPr>
          <w:spacing w:val="40"/>
        </w:rPr>
        <w:t> </w:t>
      </w:r>
      <w:r>
        <w:rPr/>
        <w:t>service</w:t>
      </w:r>
      <w:r>
        <w:rPr>
          <w:spacing w:val="40"/>
        </w:rPr>
        <w:t> </w:t>
      </w:r>
      <w:r>
        <w:rPr/>
        <w:t>station</w:t>
      </w:r>
      <w:r>
        <w:rPr>
          <w:spacing w:val="40"/>
        </w:rPr>
        <w:t> </w:t>
      </w:r>
      <w:r>
        <w:rPr/>
        <w:t>of Petrol,</w:t>
      </w:r>
      <w:r>
        <w:rPr>
          <w:spacing w:val="40"/>
        </w:rPr>
        <w:t> </w:t>
      </w:r>
      <w:r>
        <w:rPr/>
        <w:t>Diesel,</w:t>
      </w:r>
      <w:r>
        <w:rPr>
          <w:spacing w:val="40"/>
        </w:rPr>
        <w:t> </w:t>
      </w:r>
      <w:r>
        <w:rPr/>
        <w:t>Compressed</w:t>
      </w:r>
      <w:r>
        <w:rPr>
          <w:spacing w:val="40"/>
        </w:rPr>
        <w:t> </w:t>
      </w:r>
      <w:r>
        <w:rPr/>
        <w:t>Natural</w:t>
      </w:r>
      <w:r>
        <w:rPr>
          <w:spacing w:val="80"/>
          <w:w w:val="150"/>
        </w:rPr>
        <w:t>  </w:t>
      </w:r>
      <w:r>
        <w:rPr/>
        <w:t>Gas</w:t>
      </w:r>
      <w:r>
        <w:rPr>
          <w:spacing w:val="40"/>
        </w:rPr>
        <w:t> </w:t>
      </w:r>
      <w:r>
        <w:rPr/>
        <w:t>or</w:t>
      </w:r>
      <w:r>
        <w:rPr>
          <w:spacing w:val="40"/>
        </w:rPr>
        <w:t> </w:t>
      </w:r>
      <w:r>
        <w:rPr/>
        <w:t>any</w:t>
      </w:r>
      <w:r>
        <w:rPr>
          <w:spacing w:val="40"/>
        </w:rPr>
        <w:t> </w:t>
      </w:r>
      <w:r>
        <w:rPr/>
        <w:t>other</w:t>
      </w:r>
      <w:r>
        <w:rPr>
          <w:spacing w:val="40"/>
        </w:rPr>
        <w:t> </w:t>
      </w:r>
      <w:r>
        <w:rPr/>
        <w:t>Motor</w:t>
      </w:r>
      <w:r>
        <w:rPr>
          <w:spacing w:val="40"/>
        </w:rPr>
        <w:t> </w:t>
      </w:r>
      <w:r>
        <w:rPr/>
        <w:t>Vehicle Fuel,</w:t>
      </w:r>
      <w:r>
        <w:rPr>
          <w:spacing w:val="40"/>
        </w:rPr>
        <w:t> </w:t>
      </w:r>
      <w:r>
        <w:rPr/>
        <w:t>change</w:t>
      </w:r>
      <w:r>
        <w:rPr>
          <w:spacing w:val="40"/>
        </w:rPr>
        <w:t> </w:t>
      </w:r>
      <w:r>
        <w:rPr/>
        <w:t>of</w:t>
      </w:r>
      <w:r>
        <w:rPr>
          <w:spacing w:val="40"/>
        </w:rPr>
        <w:t> </w:t>
      </w:r>
      <w:r>
        <w:rPr/>
        <w:t>usemay</w:t>
      </w:r>
      <w:r>
        <w:rPr>
          <w:spacing w:val="40"/>
        </w:rPr>
        <w:t> </w:t>
      </w:r>
      <w:r>
        <w:rPr/>
        <w:t>be</w:t>
      </w:r>
      <w:r>
        <w:rPr>
          <w:spacing w:val="40"/>
        </w:rPr>
        <w:t> </w:t>
      </w:r>
      <w:r>
        <w:rPr/>
        <w:t>permitted</w:t>
      </w:r>
      <w:r>
        <w:rPr>
          <w:spacing w:val="40"/>
        </w:rPr>
        <w:t> </w:t>
      </w:r>
      <w:r>
        <w:rPr/>
        <w:t>by</w:t>
      </w:r>
      <w:r>
        <w:rPr>
          <w:spacing w:val="40"/>
        </w:rPr>
        <w:t> </w:t>
      </w:r>
      <w:r>
        <w:rPr/>
        <w:t>retaining</w:t>
      </w:r>
      <w:r>
        <w:rPr>
          <w:spacing w:val="80"/>
          <w:w w:val="150"/>
        </w:rPr>
        <w:t> </w:t>
      </w:r>
      <w:r>
        <w:rPr/>
        <w:t>minimum</w:t>
      </w:r>
      <w:r>
        <w:rPr>
          <w:spacing w:val="40"/>
        </w:rPr>
        <w:t> </w:t>
      </w:r>
      <w:r>
        <w:rPr/>
        <w:t>area required</w:t>
      </w:r>
      <w:r>
        <w:rPr>
          <w:spacing w:val="80"/>
        </w:rPr>
        <w:t> </w:t>
      </w:r>
      <w:r>
        <w:rPr/>
        <w:t>as</w:t>
      </w:r>
      <w:r>
        <w:rPr>
          <w:spacing w:val="80"/>
        </w:rPr>
        <w:t> </w:t>
      </w:r>
      <w:r>
        <w:rPr/>
        <w:t>per</w:t>
      </w:r>
      <w:r>
        <w:rPr>
          <w:spacing w:val="80"/>
        </w:rPr>
        <w:t> </w:t>
      </w:r>
      <w:r>
        <w:rPr/>
        <w:t>these</w:t>
      </w:r>
      <w:r>
        <w:rPr>
          <w:spacing w:val="80"/>
        </w:rPr>
        <w:t>  </w:t>
      </w:r>
      <w:r>
        <w:rPr/>
        <w:t>Regulations</w:t>
      </w:r>
      <w:r>
        <w:rPr>
          <w:spacing w:val="80"/>
        </w:rPr>
        <w:t> </w:t>
      </w:r>
      <w:r>
        <w:rPr/>
        <w:t>for</w:t>
      </w:r>
      <w:r>
        <w:rPr>
          <w:spacing w:val="80"/>
        </w:rPr>
        <w:t> </w:t>
      </w:r>
      <w:r>
        <w:rPr/>
        <w:t>existing</w:t>
      </w:r>
      <w:r>
        <w:rPr>
          <w:spacing w:val="80"/>
        </w:rPr>
        <w:t> </w:t>
      </w:r>
      <w:r>
        <w:rPr/>
        <w:t>filling</w:t>
      </w:r>
      <w:r>
        <w:rPr>
          <w:spacing w:val="80"/>
        </w:rPr>
        <w:t> </w:t>
      </w:r>
      <w:r>
        <w:rPr/>
        <w:t>and</w:t>
      </w:r>
      <w:r>
        <w:rPr>
          <w:spacing w:val="80"/>
        </w:rPr>
        <w:t> </w:t>
      </w:r>
      <w:r>
        <w:rPr/>
        <w:t>service station of Petrol, Diesel, Compressed Natural Gas or any other Motor Vehicle Fuel, for the uses as permissible under these Regulations with separate plot &amp;access subject to NOC from Controller of </w:t>
      </w:r>
      <w:r>
        <w:rPr>
          <w:spacing w:val="9"/>
        </w:rPr>
        <w:t>Explosive </w:t>
      </w:r>
      <w:r>
        <w:rPr/>
        <w:t>and </w:t>
      </w:r>
      <w:r>
        <w:rPr>
          <w:spacing w:val="-4"/>
        </w:rPr>
        <w:t>CFO.</w:t>
      </w:r>
    </w:p>
    <w:p>
      <w:pPr>
        <w:pStyle w:val="Heading6"/>
        <w:numPr>
          <w:ilvl w:val="0"/>
          <w:numId w:val="309"/>
        </w:numPr>
        <w:tabs>
          <w:tab w:pos="2210" w:val="left" w:leader="none"/>
        </w:tabs>
        <w:spacing w:line="279" w:lineRule="exact" w:before="0" w:after="0"/>
        <w:ind w:left="2210" w:right="0" w:hanging="717"/>
        <w:jc w:val="both"/>
      </w:pPr>
      <w:r>
        <w:rPr/>
        <w:t>Structures</w:t>
      </w:r>
      <w:r>
        <w:rPr>
          <w:spacing w:val="43"/>
          <w:w w:val="150"/>
        </w:rPr>
        <w:t> </w:t>
      </w:r>
      <w:r>
        <w:rPr/>
        <w:t>notincluded</w:t>
      </w:r>
      <w:r>
        <w:rPr>
          <w:spacing w:val="44"/>
          <w:w w:val="150"/>
        </w:rPr>
        <w:t> </w:t>
      </w:r>
      <w:r>
        <w:rPr/>
        <w:t>in</w:t>
      </w:r>
      <w:r>
        <w:rPr>
          <w:spacing w:val="46"/>
          <w:w w:val="150"/>
        </w:rPr>
        <w:t> </w:t>
      </w:r>
      <w:r>
        <w:rPr/>
        <w:t>reckoning</w:t>
      </w:r>
      <w:r>
        <w:rPr>
          <w:spacing w:val="48"/>
          <w:w w:val="150"/>
        </w:rPr>
        <w:t> </w:t>
      </w:r>
      <w:r>
        <w:rPr>
          <w:spacing w:val="-2"/>
        </w:rPr>
        <w:t>height-</w:t>
      </w:r>
    </w:p>
    <w:p>
      <w:pPr>
        <w:pStyle w:val="BodyText"/>
        <w:spacing w:before="4"/>
        <w:ind w:left="1493" w:right="775"/>
      </w:pPr>
      <w:r>
        <w:rPr/>
        <w:t>The</w:t>
      </w:r>
      <w:r>
        <w:rPr>
          <w:spacing w:val="80"/>
        </w:rPr>
        <w:t> </w:t>
      </w:r>
      <w:r>
        <w:rPr/>
        <w:t>following</w:t>
      </w:r>
      <w:r>
        <w:rPr>
          <w:spacing w:val="80"/>
        </w:rPr>
        <w:t> </w:t>
      </w:r>
      <w:r>
        <w:rPr/>
        <w:t>appurtenant</w:t>
      </w:r>
      <w:r>
        <w:rPr>
          <w:spacing w:val="80"/>
        </w:rPr>
        <w:t> </w:t>
      </w:r>
      <w:r>
        <w:rPr/>
        <w:t>structures</w:t>
      </w:r>
      <w:r>
        <w:rPr>
          <w:spacing w:val="80"/>
        </w:rPr>
        <w:t> </w:t>
      </w:r>
      <w:r>
        <w:rPr/>
        <w:t>shall</w:t>
      </w:r>
      <w:r>
        <w:rPr>
          <w:spacing w:val="80"/>
        </w:rPr>
        <w:t> </w:t>
      </w:r>
      <w:r>
        <w:rPr/>
        <w:t>not</w:t>
      </w:r>
      <w:r>
        <w:rPr>
          <w:spacing w:val="80"/>
        </w:rPr>
        <w:t> </w:t>
      </w:r>
      <w:r>
        <w:rPr/>
        <w:t>be</w:t>
      </w:r>
      <w:r>
        <w:rPr>
          <w:spacing w:val="80"/>
        </w:rPr>
        <w:t> </w:t>
      </w:r>
      <w:r>
        <w:rPr/>
        <w:t>included</w:t>
      </w:r>
      <w:r>
        <w:rPr>
          <w:spacing w:val="80"/>
        </w:rPr>
        <w:t> </w:t>
      </w:r>
      <w:r>
        <w:rPr/>
        <w:t>in reckoning</w:t>
      </w:r>
      <w:r>
        <w:rPr>
          <w:spacing w:val="40"/>
        </w:rPr>
        <w:t> </w:t>
      </w:r>
      <w:r>
        <w:rPr/>
        <w:t>the</w:t>
      </w:r>
      <w:r>
        <w:rPr>
          <w:spacing w:val="40"/>
        </w:rPr>
        <w:t> </w:t>
      </w:r>
      <w:r>
        <w:rPr/>
        <w:t>height</w:t>
      </w:r>
      <w:r>
        <w:rPr>
          <w:spacing w:val="40"/>
        </w:rPr>
        <w:t> </w:t>
      </w:r>
      <w:r>
        <w:rPr/>
        <w:t>of</w:t>
      </w:r>
      <w:r>
        <w:rPr>
          <w:spacing w:val="40"/>
        </w:rPr>
        <w:t> </w:t>
      </w:r>
      <w:r>
        <w:rPr/>
        <w:t>a</w:t>
      </w:r>
      <w:r>
        <w:rPr>
          <w:spacing w:val="40"/>
        </w:rPr>
        <w:t> </w:t>
      </w:r>
      <w:r>
        <w:rPr/>
        <w:t>building</w:t>
      </w:r>
      <w:r>
        <w:rPr>
          <w:spacing w:val="40"/>
        </w:rPr>
        <w:t> </w:t>
      </w:r>
      <w:r>
        <w:rPr/>
        <w:t>except</w:t>
      </w:r>
      <w:r>
        <w:rPr>
          <w:spacing w:val="40"/>
        </w:rPr>
        <w:t> </w:t>
      </w:r>
      <w:r>
        <w:rPr/>
        <w:t>while</w:t>
      </w:r>
      <w:r>
        <w:rPr>
          <w:spacing w:val="40"/>
        </w:rPr>
        <w:t> </w:t>
      </w:r>
      <w:r>
        <w:rPr/>
        <w:t>considering</w:t>
      </w:r>
      <w:r>
        <w:rPr>
          <w:spacing w:val="40"/>
        </w:rPr>
        <w:t> </w:t>
      </w:r>
      <w:r>
        <w:rPr/>
        <w:t>the requirement of Civil Aviation Authorities and other </w:t>
      </w:r>
      <w:r>
        <w:rPr>
          <w:spacing w:val="9"/>
        </w:rPr>
        <w:t>statutory </w:t>
      </w:r>
      <w:r>
        <w:rPr/>
        <w:t>communications</w:t>
      </w:r>
      <w:r>
        <w:rPr>
          <w:spacing w:val="80"/>
        </w:rPr>
        <w:t> </w:t>
      </w:r>
      <w:r>
        <w:rPr/>
        <w:t>requirements:</w:t>
      </w:r>
    </w:p>
    <w:p>
      <w:pPr>
        <w:pStyle w:val="BodyText"/>
        <w:spacing w:before="1"/>
        <w:jc w:val="left"/>
      </w:pPr>
    </w:p>
    <w:p>
      <w:pPr>
        <w:pStyle w:val="BodyText"/>
        <w:ind w:left="1493" w:right="805"/>
      </w:pPr>
      <w:r>
        <w:rPr/>
        <w:t>Roof tanks and their supports, </w:t>
      </w:r>
      <w:r>
        <w:rPr>
          <w:spacing w:val="10"/>
        </w:rPr>
        <w:t>ventilation/air-</w:t>
      </w:r>
      <w:r>
        <w:rPr/>
        <w:t>conditioning shafts, lift- rooms</w:t>
      </w:r>
      <w:r>
        <w:rPr>
          <w:spacing w:val="40"/>
        </w:rPr>
        <w:t> </w:t>
      </w:r>
      <w:r>
        <w:rPr/>
        <w:t>and</w:t>
      </w:r>
      <w:r>
        <w:rPr>
          <w:spacing w:val="40"/>
        </w:rPr>
        <w:t> </w:t>
      </w:r>
      <w:r>
        <w:rPr/>
        <w:t>similar</w:t>
      </w:r>
      <w:r>
        <w:rPr>
          <w:spacing w:val="40"/>
        </w:rPr>
        <w:t> </w:t>
      </w:r>
      <w:r>
        <w:rPr/>
        <w:t>service</w:t>
      </w:r>
      <w:r>
        <w:rPr>
          <w:spacing w:val="40"/>
        </w:rPr>
        <w:t> </w:t>
      </w:r>
      <w:r>
        <w:rPr/>
        <w:t>equipment,</w:t>
      </w:r>
      <w:r>
        <w:rPr>
          <w:spacing w:val="40"/>
        </w:rPr>
        <w:t> </w:t>
      </w:r>
      <w:r>
        <w:rPr/>
        <w:t>stair</w:t>
      </w:r>
      <w:r>
        <w:rPr>
          <w:spacing w:val="40"/>
        </w:rPr>
        <w:t> </w:t>
      </w:r>
      <w:r>
        <w:rPr/>
        <w:t>covers,</w:t>
      </w:r>
      <w:r>
        <w:rPr>
          <w:spacing w:val="40"/>
        </w:rPr>
        <w:t> </w:t>
      </w:r>
      <w:r>
        <w:rPr/>
        <w:t>chimneys</w:t>
      </w:r>
      <w:r>
        <w:rPr>
          <w:spacing w:val="40"/>
        </w:rPr>
        <w:t> </w:t>
      </w:r>
      <w:r>
        <w:rPr/>
        <w:t>and</w:t>
      </w:r>
      <w:r>
        <w:rPr>
          <w:spacing w:val="40"/>
        </w:rPr>
        <w:t> </w:t>
      </w:r>
      <w:r>
        <w:rPr/>
        <w:t>parapet walls, architectural features not exceeding 1.5 m in height, television antenna, booster antenna, IT Equipment and </w:t>
      </w:r>
      <w:r>
        <w:rPr>
          <w:spacing w:val="9"/>
        </w:rPr>
        <w:t>wireless </w:t>
      </w:r>
      <w:r>
        <w:rPr/>
        <w:t>transmitting</w:t>
      </w:r>
      <w:r>
        <w:rPr>
          <w:spacing w:val="40"/>
        </w:rPr>
        <w:t> </w:t>
      </w:r>
      <w:r>
        <w:rPr/>
        <w:t>and</w:t>
      </w:r>
      <w:r>
        <w:rPr>
          <w:spacing w:val="40"/>
        </w:rPr>
        <w:t> </w:t>
      </w:r>
      <w:r>
        <w:rPr/>
        <w:t>receiving</w:t>
      </w:r>
      <w:r>
        <w:rPr>
          <w:spacing w:val="40"/>
        </w:rPr>
        <w:t> </w:t>
      </w:r>
      <w:r>
        <w:rPr/>
        <w:t>towers.</w:t>
      </w:r>
    </w:p>
    <w:p>
      <w:pPr>
        <w:spacing w:before="0"/>
        <w:ind w:left="1493" w:right="0" w:firstLine="0"/>
        <w:jc w:val="both"/>
        <w:rPr>
          <w:b/>
          <w:sz w:val="24"/>
        </w:rPr>
      </w:pPr>
      <w:r>
        <w:rPr>
          <w:sz w:val="24"/>
        </w:rPr>
        <w:t>Govt.</w:t>
      </w:r>
      <w:r>
        <w:rPr>
          <w:spacing w:val="54"/>
          <w:sz w:val="24"/>
        </w:rPr>
        <w:t> </w:t>
      </w:r>
      <w:r>
        <w:rPr>
          <w:sz w:val="24"/>
        </w:rPr>
        <w:t>will</w:t>
      </w:r>
      <w:r>
        <w:rPr>
          <w:spacing w:val="55"/>
          <w:sz w:val="24"/>
        </w:rPr>
        <w:t> </w:t>
      </w:r>
      <w:r>
        <w:rPr>
          <w:sz w:val="24"/>
        </w:rPr>
        <w:t>prepare</w:t>
      </w:r>
      <w:r>
        <w:rPr>
          <w:spacing w:val="57"/>
          <w:sz w:val="24"/>
        </w:rPr>
        <w:t> </w:t>
      </w:r>
      <w:r>
        <w:rPr>
          <w:sz w:val="24"/>
        </w:rPr>
        <w:t>a</w:t>
      </w:r>
      <w:r>
        <w:rPr>
          <w:spacing w:val="55"/>
          <w:sz w:val="24"/>
        </w:rPr>
        <w:t> </w:t>
      </w:r>
      <w:r>
        <w:rPr>
          <w:sz w:val="24"/>
        </w:rPr>
        <w:t>separate</w:t>
      </w:r>
      <w:r>
        <w:rPr>
          <w:spacing w:val="55"/>
          <w:sz w:val="24"/>
        </w:rPr>
        <w:t> </w:t>
      </w:r>
      <w:r>
        <w:rPr>
          <w:sz w:val="24"/>
        </w:rPr>
        <w:t>policy.</w:t>
      </w:r>
      <w:r>
        <w:rPr>
          <w:spacing w:val="55"/>
          <w:sz w:val="24"/>
        </w:rPr>
        <w:t> </w:t>
      </w:r>
      <w:r>
        <w:rPr>
          <w:sz w:val="24"/>
        </w:rPr>
        <w:t>(</w:t>
      </w:r>
      <w:r>
        <w:rPr>
          <w:b/>
          <w:sz w:val="24"/>
        </w:rPr>
        <w:t>Kept</w:t>
      </w:r>
      <w:r>
        <w:rPr>
          <w:b/>
          <w:spacing w:val="56"/>
          <w:sz w:val="24"/>
        </w:rPr>
        <w:t> </w:t>
      </w:r>
      <w:r>
        <w:rPr>
          <w:b/>
          <w:sz w:val="24"/>
        </w:rPr>
        <w:t>in</w:t>
      </w:r>
      <w:r>
        <w:rPr>
          <w:b/>
          <w:spacing w:val="60"/>
          <w:sz w:val="24"/>
        </w:rPr>
        <w:t> </w:t>
      </w:r>
      <w:r>
        <w:rPr>
          <w:b/>
          <w:spacing w:val="7"/>
          <w:sz w:val="24"/>
        </w:rPr>
        <w:t>Abeyance)</w:t>
      </w:r>
    </w:p>
    <w:p>
      <w:pPr>
        <w:pStyle w:val="BodyText"/>
        <w:spacing w:before="42"/>
        <w:jc w:val="left"/>
        <w:rPr>
          <w:b/>
        </w:rPr>
      </w:pPr>
    </w:p>
    <w:p>
      <w:pPr>
        <w:pStyle w:val="Heading3"/>
        <w:numPr>
          <w:ilvl w:val="0"/>
          <w:numId w:val="263"/>
        </w:numPr>
        <w:tabs>
          <w:tab w:pos="2213" w:val="left" w:leader="none"/>
        </w:tabs>
        <w:spacing w:line="240" w:lineRule="auto" w:before="0" w:after="0"/>
        <w:ind w:left="2213" w:right="0" w:hanging="1441"/>
        <w:jc w:val="left"/>
        <w:rPr>
          <w:i w:val="0"/>
        </w:rPr>
      </w:pPr>
      <w:r>
        <w:rPr/>
        <w:t>Signs</w:t>
      </w:r>
      <w:r>
        <w:rPr>
          <w:spacing w:val="57"/>
        </w:rPr>
        <w:t> </w:t>
      </w:r>
      <w:r>
        <w:rPr/>
        <w:t>and</w:t>
      </w:r>
      <w:r>
        <w:rPr>
          <w:spacing w:val="58"/>
        </w:rPr>
        <w:t> </w:t>
      </w:r>
      <w:r>
        <w:rPr/>
        <w:t>Outdoor</w:t>
      </w:r>
      <w:r>
        <w:rPr>
          <w:spacing w:val="59"/>
        </w:rPr>
        <w:t> </w:t>
      </w:r>
      <w:r>
        <w:rPr/>
        <w:t>Display</w:t>
      </w:r>
      <w:r>
        <w:rPr>
          <w:spacing w:val="56"/>
        </w:rPr>
        <w:t> </w:t>
      </w:r>
      <w:r>
        <w:rPr>
          <w:spacing w:val="-2"/>
        </w:rPr>
        <w:t>Structures</w:t>
      </w:r>
    </w:p>
    <w:p>
      <w:pPr>
        <w:pStyle w:val="ListParagraph"/>
        <w:numPr>
          <w:ilvl w:val="1"/>
          <w:numId w:val="263"/>
        </w:numPr>
        <w:tabs>
          <w:tab w:pos="1925" w:val="left" w:leader="none"/>
        </w:tabs>
        <w:spacing w:line="240" w:lineRule="auto" w:before="286" w:after="0"/>
        <w:ind w:left="1493" w:right="787" w:firstLine="0"/>
        <w:jc w:val="both"/>
        <w:rPr>
          <w:sz w:val="24"/>
        </w:rPr>
      </w:pPr>
      <w:r>
        <w:rPr>
          <w:sz w:val="24"/>
        </w:rPr>
        <w:t>National</w:t>
      </w:r>
      <w:r>
        <w:rPr>
          <w:spacing w:val="40"/>
          <w:sz w:val="24"/>
        </w:rPr>
        <w:t> </w:t>
      </w:r>
      <w:r>
        <w:rPr>
          <w:sz w:val="24"/>
        </w:rPr>
        <w:t>Building</w:t>
      </w:r>
      <w:r>
        <w:rPr>
          <w:spacing w:val="40"/>
          <w:sz w:val="24"/>
        </w:rPr>
        <w:t> </w:t>
      </w:r>
      <w:r>
        <w:rPr>
          <w:sz w:val="24"/>
        </w:rPr>
        <w:t>Code</w:t>
      </w:r>
      <w:r>
        <w:rPr>
          <w:spacing w:val="40"/>
          <w:sz w:val="24"/>
        </w:rPr>
        <w:t> </w:t>
      </w:r>
      <w:r>
        <w:rPr>
          <w:sz w:val="24"/>
        </w:rPr>
        <w:t>to</w:t>
      </w:r>
      <w:r>
        <w:rPr>
          <w:spacing w:val="40"/>
          <w:sz w:val="24"/>
        </w:rPr>
        <w:t> </w:t>
      </w:r>
      <w:r>
        <w:rPr>
          <w:sz w:val="24"/>
        </w:rPr>
        <w:t>apply-</w:t>
      </w:r>
      <w:r>
        <w:rPr>
          <w:spacing w:val="40"/>
          <w:sz w:val="24"/>
        </w:rPr>
        <w:t> </w:t>
      </w:r>
      <w:r>
        <w:rPr>
          <w:sz w:val="24"/>
        </w:rPr>
        <w:t>The</w:t>
      </w:r>
      <w:r>
        <w:rPr>
          <w:spacing w:val="40"/>
          <w:sz w:val="24"/>
        </w:rPr>
        <w:t> </w:t>
      </w:r>
      <w:r>
        <w:rPr>
          <w:sz w:val="24"/>
        </w:rPr>
        <w:t>display</w:t>
      </w:r>
      <w:r>
        <w:rPr>
          <w:spacing w:val="40"/>
          <w:sz w:val="24"/>
        </w:rPr>
        <w:t> </w:t>
      </w:r>
      <w:r>
        <w:rPr>
          <w:sz w:val="24"/>
        </w:rPr>
        <w:t>of</w:t>
      </w:r>
      <w:r>
        <w:rPr>
          <w:spacing w:val="40"/>
          <w:sz w:val="24"/>
        </w:rPr>
        <w:t> </w:t>
      </w:r>
      <w:r>
        <w:rPr>
          <w:sz w:val="24"/>
        </w:rPr>
        <w:t>advertising</w:t>
      </w:r>
      <w:r>
        <w:rPr>
          <w:spacing w:val="40"/>
          <w:sz w:val="24"/>
        </w:rPr>
        <w:t> </w:t>
      </w:r>
      <w:r>
        <w:rPr>
          <w:sz w:val="24"/>
        </w:rPr>
        <w:t>signs</w:t>
      </w:r>
      <w:r>
        <w:rPr>
          <w:spacing w:val="80"/>
          <w:sz w:val="24"/>
        </w:rPr>
        <w:t> </w:t>
      </w:r>
      <w:r>
        <w:rPr>
          <w:sz w:val="24"/>
        </w:rPr>
        <w:t>and outdoor display structures on buildings and land</w:t>
      </w:r>
      <w:r>
        <w:rPr>
          <w:spacing w:val="40"/>
          <w:sz w:val="24"/>
        </w:rPr>
        <w:t> </w:t>
      </w:r>
      <w:r>
        <w:rPr>
          <w:sz w:val="24"/>
        </w:rPr>
        <w:t>shall be in accordance</w:t>
      </w:r>
      <w:r>
        <w:rPr>
          <w:spacing w:val="80"/>
          <w:sz w:val="24"/>
        </w:rPr>
        <w:t> </w:t>
      </w:r>
      <w:r>
        <w:rPr>
          <w:sz w:val="24"/>
        </w:rPr>
        <w:t>with</w:t>
      </w:r>
      <w:r>
        <w:rPr>
          <w:spacing w:val="80"/>
          <w:sz w:val="24"/>
        </w:rPr>
        <w:t> </w:t>
      </w:r>
      <w:r>
        <w:rPr>
          <w:sz w:val="24"/>
        </w:rPr>
        <w:t>Part</w:t>
      </w:r>
      <w:r>
        <w:rPr>
          <w:spacing w:val="80"/>
          <w:sz w:val="24"/>
        </w:rPr>
        <w:t> </w:t>
      </w:r>
      <w:r>
        <w:rPr>
          <w:spacing w:val="11"/>
          <w:sz w:val="24"/>
        </w:rPr>
        <w:t>X-</w:t>
      </w:r>
      <w:r>
        <w:rPr>
          <w:sz w:val="24"/>
        </w:rPr>
        <w:t>Signs</w:t>
      </w:r>
      <w:r>
        <w:rPr>
          <w:spacing w:val="80"/>
          <w:sz w:val="24"/>
        </w:rPr>
        <w:t> </w:t>
      </w:r>
      <w:r>
        <w:rPr>
          <w:sz w:val="24"/>
        </w:rPr>
        <w:t>and</w:t>
      </w:r>
      <w:r>
        <w:rPr>
          <w:spacing w:val="80"/>
          <w:sz w:val="24"/>
        </w:rPr>
        <w:t> </w:t>
      </w:r>
      <w:r>
        <w:rPr>
          <w:sz w:val="24"/>
        </w:rPr>
        <w:t>Outdoor</w:t>
      </w:r>
      <w:r>
        <w:rPr>
          <w:spacing w:val="80"/>
          <w:sz w:val="24"/>
        </w:rPr>
        <w:t> </w:t>
      </w:r>
      <w:r>
        <w:rPr>
          <w:sz w:val="24"/>
        </w:rPr>
        <w:t>Display</w:t>
      </w:r>
      <w:r>
        <w:rPr>
          <w:spacing w:val="80"/>
          <w:sz w:val="24"/>
        </w:rPr>
        <w:t> </w:t>
      </w:r>
      <w:r>
        <w:rPr>
          <w:sz w:val="24"/>
        </w:rPr>
        <w:t>Structures, National</w:t>
      </w:r>
      <w:r>
        <w:rPr>
          <w:spacing w:val="40"/>
          <w:sz w:val="24"/>
        </w:rPr>
        <w:t> </w:t>
      </w:r>
      <w:r>
        <w:rPr>
          <w:sz w:val="24"/>
        </w:rPr>
        <w:t>Building</w:t>
      </w:r>
      <w:r>
        <w:rPr>
          <w:spacing w:val="40"/>
          <w:sz w:val="24"/>
        </w:rPr>
        <w:t> </w:t>
      </w:r>
      <w:r>
        <w:rPr>
          <w:sz w:val="24"/>
        </w:rPr>
        <w:t>Code</w:t>
      </w:r>
      <w:r>
        <w:rPr>
          <w:spacing w:val="40"/>
          <w:sz w:val="24"/>
        </w:rPr>
        <w:t> </w:t>
      </w:r>
      <w:r>
        <w:rPr>
          <w:sz w:val="24"/>
        </w:rPr>
        <w:t>of</w:t>
      </w:r>
      <w:r>
        <w:rPr>
          <w:spacing w:val="40"/>
          <w:sz w:val="24"/>
        </w:rPr>
        <w:t> </w:t>
      </w:r>
      <w:r>
        <w:rPr>
          <w:sz w:val="24"/>
        </w:rPr>
        <w:t>India</w:t>
      </w:r>
      <w:r>
        <w:rPr>
          <w:spacing w:val="40"/>
          <w:sz w:val="24"/>
        </w:rPr>
        <w:t> </w:t>
      </w:r>
      <w:r>
        <w:rPr>
          <w:sz w:val="24"/>
        </w:rPr>
        <w:t>as</w:t>
      </w:r>
      <w:r>
        <w:rPr>
          <w:spacing w:val="40"/>
          <w:sz w:val="24"/>
        </w:rPr>
        <w:t> </w:t>
      </w:r>
      <w:r>
        <w:rPr>
          <w:sz w:val="24"/>
        </w:rPr>
        <w:t>amended</w:t>
      </w:r>
      <w:r>
        <w:rPr>
          <w:spacing w:val="40"/>
          <w:sz w:val="24"/>
        </w:rPr>
        <w:t> </w:t>
      </w:r>
      <w:r>
        <w:rPr>
          <w:sz w:val="24"/>
        </w:rPr>
        <w:t>from</w:t>
      </w:r>
      <w:r>
        <w:rPr>
          <w:spacing w:val="40"/>
          <w:sz w:val="24"/>
        </w:rPr>
        <w:t> </w:t>
      </w:r>
      <w:r>
        <w:rPr>
          <w:sz w:val="24"/>
        </w:rPr>
        <w:t>time</w:t>
      </w:r>
      <w:r>
        <w:rPr>
          <w:spacing w:val="40"/>
          <w:sz w:val="24"/>
        </w:rPr>
        <w:t> </w:t>
      </w:r>
      <w:r>
        <w:rPr>
          <w:sz w:val="24"/>
        </w:rPr>
        <w:t>to</w:t>
      </w:r>
      <w:r>
        <w:rPr>
          <w:spacing w:val="40"/>
          <w:sz w:val="24"/>
        </w:rPr>
        <w:t> </w:t>
      </w:r>
      <w:r>
        <w:rPr>
          <w:sz w:val="24"/>
        </w:rPr>
        <w:t>time.</w:t>
      </w:r>
    </w:p>
    <w:p>
      <w:pPr>
        <w:pStyle w:val="ListParagraph"/>
        <w:numPr>
          <w:ilvl w:val="1"/>
          <w:numId w:val="263"/>
        </w:numPr>
        <w:tabs>
          <w:tab w:pos="2066" w:val="left" w:leader="none"/>
        </w:tabs>
        <w:spacing w:line="240" w:lineRule="auto" w:before="1" w:after="0"/>
        <w:ind w:left="1493" w:right="780" w:firstLine="86"/>
        <w:jc w:val="both"/>
        <w:rPr>
          <w:sz w:val="24"/>
        </w:rPr>
      </w:pPr>
      <w:r>
        <w:rPr>
          <w:spacing w:val="9"/>
          <w:sz w:val="24"/>
        </w:rPr>
        <w:t>Residential/Commercial/Industrial</w:t>
      </w:r>
      <w:r>
        <w:rPr>
          <w:spacing w:val="9"/>
          <w:sz w:val="24"/>
        </w:rPr>
        <w:t> Building-</w:t>
      </w:r>
      <w:r>
        <w:rPr>
          <w:sz w:val="24"/>
        </w:rPr>
        <w:t>The following non- flashing</w:t>
      </w:r>
      <w:r>
        <w:rPr>
          <w:spacing w:val="62"/>
          <w:sz w:val="24"/>
        </w:rPr>
        <w:t> </w:t>
      </w:r>
      <w:r>
        <w:rPr>
          <w:sz w:val="24"/>
        </w:rPr>
        <w:t>and</w:t>
      </w:r>
      <w:r>
        <w:rPr>
          <w:spacing w:val="62"/>
          <w:sz w:val="24"/>
        </w:rPr>
        <w:t> </w:t>
      </w:r>
      <w:r>
        <w:rPr>
          <w:sz w:val="24"/>
        </w:rPr>
        <w:t>neon</w:t>
      </w:r>
      <w:r>
        <w:rPr>
          <w:spacing w:val="62"/>
          <w:sz w:val="24"/>
        </w:rPr>
        <w:t> </w:t>
      </w:r>
      <w:r>
        <w:rPr>
          <w:sz w:val="24"/>
        </w:rPr>
        <w:t>signs</w:t>
      </w:r>
      <w:r>
        <w:rPr>
          <w:spacing w:val="40"/>
          <w:sz w:val="24"/>
        </w:rPr>
        <w:t> </w:t>
      </w:r>
      <w:r>
        <w:rPr>
          <w:sz w:val="24"/>
        </w:rPr>
        <w:t>with</w:t>
      </w:r>
      <w:r>
        <w:rPr>
          <w:spacing w:val="40"/>
          <w:sz w:val="24"/>
        </w:rPr>
        <w:t> </w:t>
      </w:r>
      <w:r>
        <w:rPr>
          <w:sz w:val="24"/>
        </w:rPr>
        <w:t>illumination</w:t>
      </w:r>
      <w:r>
        <w:rPr>
          <w:spacing w:val="40"/>
          <w:sz w:val="24"/>
        </w:rPr>
        <w:t> </w:t>
      </w:r>
      <w:r>
        <w:rPr>
          <w:sz w:val="24"/>
        </w:rPr>
        <w:t>not</w:t>
      </w:r>
      <w:r>
        <w:rPr>
          <w:spacing w:val="62"/>
          <w:sz w:val="24"/>
        </w:rPr>
        <w:t> </w:t>
      </w:r>
      <w:r>
        <w:rPr>
          <w:sz w:val="24"/>
        </w:rPr>
        <w:t>exceeding</w:t>
      </w:r>
      <w:r>
        <w:rPr>
          <w:spacing w:val="62"/>
          <w:sz w:val="24"/>
        </w:rPr>
        <w:t> </w:t>
      </w:r>
      <w:r>
        <w:rPr>
          <w:sz w:val="24"/>
        </w:rPr>
        <w:t>40</w:t>
      </w:r>
      <w:r>
        <w:rPr>
          <w:spacing w:val="40"/>
          <w:sz w:val="24"/>
        </w:rPr>
        <w:t> </w:t>
      </w:r>
      <w:r>
        <w:rPr>
          <w:sz w:val="24"/>
        </w:rPr>
        <w:t>Watt</w:t>
      </w:r>
      <w:r>
        <w:rPr>
          <w:spacing w:val="62"/>
          <w:sz w:val="24"/>
        </w:rPr>
        <w:t> </w:t>
      </w:r>
      <w:r>
        <w:rPr>
          <w:sz w:val="24"/>
        </w:rPr>
        <w:t>light-</w:t>
      </w:r>
    </w:p>
    <w:p>
      <w:pPr>
        <w:pStyle w:val="BodyText"/>
        <w:ind w:left="1493" w:right="782"/>
      </w:pPr>
      <w:r>
        <w:rPr/>
        <w:t>(a)</w:t>
      </w:r>
      <w:r>
        <w:rPr>
          <w:spacing w:val="40"/>
        </w:rPr>
        <w:t> </w:t>
      </w:r>
      <w:r>
        <w:rPr/>
        <w:t>One</w:t>
      </w:r>
      <w:r>
        <w:rPr>
          <w:spacing w:val="40"/>
        </w:rPr>
        <w:t> </w:t>
      </w:r>
      <w:r>
        <w:rPr/>
        <w:t>name</w:t>
      </w:r>
      <w:r>
        <w:rPr>
          <w:spacing w:val="40"/>
        </w:rPr>
        <w:t> </w:t>
      </w:r>
      <w:r>
        <w:rPr/>
        <w:t>plate</w:t>
      </w:r>
      <w:r>
        <w:rPr>
          <w:spacing w:val="40"/>
        </w:rPr>
        <w:t> </w:t>
      </w:r>
      <w:r>
        <w:rPr/>
        <w:t>with</w:t>
      </w:r>
      <w:r>
        <w:rPr>
          <w:spacing w:val="40"/>
        </w:rPr>
        <w:t> </w:t>
      </w:r>
      <w:r>
        <w:rPr/>
        <w:t>an</w:t>
      </w:r>
      <w:r>
        <w:rPr>
          <w:spacing w:val="40"/>
        </w:rPr>
        <w:t> </w:t>
      </w:r>
      <w:r>
        <w:rPr/>
        <w:t>area</w:t>
      </w:r>
      <w:r>
        <w:rPr>
          <w:spacing w:val="40"/>
        </w:rPr>
        <w:t> </w:t>
      </w:r>
      <w:r>
        <w:rPr/>
        <w:t>not</w:t>
      </w:r>
      <w:r>
        <w:rPr>
          <w:spacing w:val="40"/>
        </w:rPr>
        <w:t> </w:t>
      </w:r>
      <w:r>
        <w:rPr/>
        <w:t>exceeding</w:t>
      </w:r>
      <w:r>
        <w:rPr>
          <w:spacing w:val="40"/>
        </w:rPr>
        <w:t> </w:t>
      </w:r>
      <w:r>
        <w:rPr/>
        <w:t>0.1</w:t>
      </w:r>
      <w:r>
        <w:rPr>
          <w:spacing w:val="40"/>
        </w:rPr>
        <w:t> </w:t>
      </w:r>
      <w:r>
        <w:rPr/>
        <w:t>sq.</w:t>
      </w:r>
      <w:r>
        <w:rPr>
          <w:spacing w:val="40"/>
        </w:rPr>
        <w:t> </w:t>
      </w:r>
      <w:r>
        <w:rPr/>
        <w:t>m</w:t>
      </w:r>
      <w:r>
        <w:rPr>
          <w:spacing w:val="40"/>
        </w:rPr>
        <w:t> </w:t>
      </w:r>
      <w:r>
        <w:rPr/>
        <w:t>for</w:t>
      </w:r>
      <w:r>
        <w:rPr>
          <w:spacing w:val="40"/>
        </w:rPr>
        <w:t> </w:t>
      </w:r>
      <w:r>
        <w:rPr/>
        <w:t>each dwelling </w:t>
      </w:r>
      <w:r>
        <w:rPr>
          <w:spacing w:val="9"/>
        </w:rPr>
        <w:t>unit/unit.</w:t>
      </w:r>
    </w:p>
    <w:p>
      <w:pPr>
        <w:pStyle w:val="BodyText"/>
        <w:spacing w:after="0"/>
        <w:sectPr>
          <w:pgSz w:w="11910" w:h="16840"/>
          <w:pgMar w:header="1058" w:footer="1201" w:top="1500" w:bottom="1400" w:left="360" w:right="360"/>
        </w:sectPr>
      </w:pPr>
    </w:p>
    <w:p>
      <w:pPr>
        <w:pStyle w:val="ListParagraph"/>
        <w:numPr>
          <w:ilvl w:val="0"/>
          <w:numId w:val="310"/>
        </w:numPr>
        <w:tabs>
          <w:tab w:pos="1918" w:val="left" w:leader="none"/>
        </w:tabs>
        <w:spacing w:line="240" w:lineRule="auto" w:before="255" w:after="0"/>
        <w:ind w:left="1493" w:right="776" w:firstLine="0"/>
        <w:jc w:val="both"/>
        <w:rPr>
          <w:sz w:val="24"/>
        </w:rPr>
      </w:pPr>
      <w:r>
        <w:rPr>
          <w:sz w:val="24"/>
        </w:rPr>
        <w:t>For other uses, permissible in the zone, one identification sign or bulletin</w:t>
      </w:r>
      <w:r>
        <w:rPr>
          <w:spacing w:val="40"/>
          <w:sz w:val="24"/>
        </w:rPr>
        <w:t> </w:t>
      </w:r>
      <w:r>
        <w:rPr>
          <w:sz w:val="24"/>
        </w:rPr>
        <w:t>board</w:t>
      </w:r>
      <w:r>
        <w:rPr>
          <w:spacing w:val="39"/>
          <w:sz w:val="24"/>
        </w:rPr>
        <w:t> </w:t>
      </w:r>
      <w:r>
        <w:rPr>
          <w:sz w:val="24"/>
        </w:rPr>
        <w:t>with</w:t>
      </w:r>
      <w:r>
        <w:rPr>
          <w:spacing w:val="40"/>
          <w:sz w:val="24"/>
        </w:rPr>
        <w:t> </w:t>
      </w:r>
      <w:r>
        <w:rPr>
          <w:sz w:val="24"/>
        </w:rPr>
        <w:t>an</w:t>
      </w:r>
      <w:r>
        <w:rPr>
          <w:spacing w:val="40"/>
          <w:sz w:val="24"/>
        </w:rPr>
        <w:t> </w:t>
      </w:r>
      <w:r>
        <w:rPr>
          <w:sz w:val="24"/>
        </w:rPr>
        <w:t>area</w:t>
      </w:r>
      <w:r>
        <w:rPr>
          <w:spacing w:val="40"/>
          <w:sz w:val="24"/>
        </w:rPr>
        <w:t> </w:t>
      </w:r>
      <w:r>
        <w:rPr>
          <w:sz w:val="24"/>
        </w:rPr>
        <w:t>not</w:t>
      </w:r>
      <w:r>
        <w:rPr>
          <w:spacing w:val="40"/>
          <w:sz w:val="24"/>
        </w:rPr>
        <w:t> </w:t>
      </w:r>
      <w:r>
        <w:rPr>
          <w:sz w:val="24"/>
        </w:rPr>
        <w:t>exceeding</w:t>
      </w:r>
      <w:r>
        <w:rPr>
          <w:spacing w:val="39"/>
          <w:sz w:val="24"/>
        </w:rPr>
        <w:t> </w:t>
      </w:r>
      <w:r>
        <w:rPr>
          <w:sz w:val="24"/>
        </w:rPr>
        <w:t>10</w:t>
      </w:r>
      <w:r>
        <w:rPr>
          <w:spacing w:val="40"/>
          <w:sz w:val="24"/>
        </w:rPr>
        <w:t> </w:t>
      </w:r>
      <w:r>
        <w:rPr>
          <w:sz w:val="24"/>
        </w:rPr>
        <w:t>sq.</w:t>
      </w:r>
      <w:r>
        <w:rPr>
          <w:spacing w:val="40"/>
          <w:sz w:val="24"/>
        </w:rPr>
        <w:t> </w:t>
      </w:r>
      <w:r>
        <w:rPr>
          <w:sz w:val="24"/>
        </w:rPr>
        <w:t>m</w:t>
      </w:r>
      <w:r>
        <w:rPr>
          <w:spacing w:val="40"/>
          <w:sz w:val="24"/>
        </w:rPr>
        <w:t> </w:t>
      </w:r>
      <w:r>
        <w:rPr>
          <w:sz w:val="24"/>
        </w:rPr>
        <w:t>provided</w:t>
      </w:r>
      <w:r>
        <w:rPr>
          <w:spacing w:val="39"/>
          <w:sz w:val="24"/>
        </w:rPr>
        <w:t> </w:t>
      </w:r>
      <w:r>
        <w:rPr>
          <w:sz w:val="24"/>
        </w:rPr>
        <w:t>the</w:t>
      </w:r>
      <w:r>
        <w:rPr>
          <w:spacing w:val="40"/>
          <w:sz w:val="24"/>
        </w:rPr>
        <w:t> </w:t>
      </w:r>
      <w:r>
        <w:rPr>
          <w:spacing w:val="9"/>
          <w:sz w:val="24"/>
        </w:rPr>
        <w:t>height </w:t>
      </w:r>
      <w:r>
        <w:rPr>
          <w:sz w:val="24"/>
        </w:rPr>
        <w:t>of</w:t>
      </w:r>
      <w:r>
        <w:rPr>
          <w:spacing w:val="40"/>
          <w:sz w:val="24"/>
        </w:rPr>
        <w:t> </w:t>
      </w:r>
      <w:r>
        <w:rPr>
          <w:sz w:val="24"/>
        </w:rPr>
        <w:t>the</w:t>
      </w:r>
      <w:r>
        <w:rPr>
          <w:spacing w:val="40"/>
          <w:sz w:val="24"/>
        </w:rPr>
        <w:t> </w:t>
      </w:r>
      <w:r>
        <w:rPr>
          <w:sz w:val="24"/>
        </w:rPr>
        <w:t>sign</w:t>
      </w:r>
      <w:r>
        <w:rPr>
          <w:spacing w:val="40"/>
          <w:sz w:val="24"/>
        </w:rPr>
        <w:t> </w:t>
      </w:r>
      <w:r>
        <w:rPr>
          <w:sz w:val="24"/>
        </w:rPr>
        <w:t>does</w:t>
      </w:r>
      <w:r>
        <w:rPr>
          <w:spacing w:val="40"/>
          <w:sz w:val="24"/>
        </w:rPr>
        <w:t> </w:t>
      </w:r>
      <w:r>
        <w:rPr>
          <w:sz w:val="24"/>
        </w:rPr>
        <w:t>not</w:t>
      </w:r>
      <w:r>
        <w:rPr>
          <w:spacing w:val="40"/>
          <w:sz w:val="24"/>
        </w:rPr>
        <w:t> </w:t>
      </w:r>
      <w:r>
        <w:rPr>
          <w:sz w:val="24"/>
        </w:rPr>
        <w:t>exceed</w:t>
      </w:r>
      <w:r>
        <w:rPr>
          <w:spacing w:val="40"/>
          <w:sz w:val="24"/>
        </w:rPr>
        <w:t> </w:t>
      </w:r>
      <w:r>
        <w:rPr>
          <w:sz w:val="24"/>
        </w:rPr>
        <w:t>1.5</w:t>
      </w:r>
      <w:r>
        <w:rPr>
          <w:spacing w:val="40"/>
          <w:sz w:val="24"/>
        </w:rPr>
        <w:t> </w:t>
      </w:r>
      <w:r>
        <w:rPr>
          <w:sz w:val="24"/>
        </w:rPr>
        <w:t>m.</w:t>
      </w:r>
    </w:p>
    <w:p>
      <w:pPr>
        <w:pStyle w:val="ListParagraph"/>
        <w:numPr>
          <w:ilvl w:val="0"/>
          <w:numId w:val="310"/>
        </w:numPr>
        <w:tabs>
          <w:tab w:pos="1788" w:val="left" w:leader="none"/>
        </w:tabs>
        <w:spacing w:line="240" w:lineRule="auto" w:before="2" w:after="0"/>
        <w:ind w:left="1493" w:right="784" w:firstLine="0"/>
        <w:jc w:val="both"/>
        <w:rPr>
          <w:sz w:val="24"/>
        </w:rPr>
      </w:pPr>
      <w:r>
        <w:rPr>
          <w:sz w:val="24"/>
        </w:rPr>
        <w:t>"For</w:t>
      </w:r>
      <w:r>
        <w:rPr>
          <w:spacing w:val="65"/>
          <w:sz w:val="24"/>
        </w:rPr>
        <w:t> </w:t>
      </w:r>
      <w:r>
        <w:rPr>
          <w:sz w:val="24"/>
        </w:rPr>
        <w:t>sale"</w:t>
      </w:r>
      <w:r>
        <w:rPr>
          <w:spacing w:val="65"/>
          <w:sz w:val="24"/>
        </w:rPr>
        <w:t> </w:t>
      </w:r>
      <w:r>
        <w:rPr>
          <w:sz w:val="24"/>
        </w:rPr>
        <w:t>or</w:t>
      </w:r>
      <w:r>
        <w:rPr>
          <w:spacing w:val="65"/>
          <w:sz w:val="24"/>
        </w:rPr>
        <w:t> </w:t>
      </w:r>
      <w:r>
        <w:rPr>
          <w:sz w:val="24"/>
        </w:rPr>
        <w:t>"For</w:t>
      </w:r>
      <w:r>
        <w:rPr>
          <w:spacing w:val="65"/>
          <w:sz w:val="24"/>
        </w:rPr>
        <w:t> </w:t>
      </w:r>
      <w:r>
        <w:rPr>
          <w:sz w:val="24"/>
        </w:rPr>
        <w:t>rent”</w:t>
      </w:r>
      <w:r>
        <w:rPr>
          <w:spacing w:val="65"/>
          <w:sz w:val="24"/>
        </w:rPr>
        <w:t> </w:t>
      </w:r>
      <w:r>
        <w:rPr>
          <w:sz w:val="24"/>
        </w:rPr>
        <w:t>signs</w:t>
      </w:r>
      <w:r>
        <w:rPr>
          <w:spacing w:val="65"/>
          <w:sz w:val="24"/>
        </w:rPr>
        <w:t> </w:t>
      </w:r>
      <w:r>
        <w:rPr>
          <w:sz w:val="24"/>
        </w:rPr>
        <w:t>for</w:t>
      </w:r>
      <w:r>
        <w:rPr>
          <w:spacing w:val="65"/>
          <w:sz w:val="24"/>
        </w:rPr>
        <w:t> </w:t>
      </w:r>
      <w:r>
        <w:rPr>
          <w:sz w:val="24"/>
        </w:rPr>
        <w:t>real</w:t>
      </w:r>
      <w:r>
        <w:rPr>
          <w:spacing w:val="65"/>
          <w:sz w:val="24"/>
        </w:rPr>
        <w:t> </w:t>
      </w:r>
      <w:r>
        <w:rPr>
          <w:sz w:val="24"/>
        </w:rPr>
        <w:t>estate,</w:t>
      </w:r>
      <w:r>
        <w:rPr>
          <w:spacing w:val="69"/>
          <w:sz w:val="24"/>
        </w:rPr>
        <w:t> </w:t>
      </w:r>
      <w:r>
        <w:rPr>
          <w:sz w:val="24"/>
        </w:rPr>
        <w:t>not</w:t>
      </w:r>
      <w:r>
        <w:rPr>
          <w:spacing w:val="65"/>
          <w:sz w:val="24"/>
        </w:rPr>
        <w:t> </w:t>
      </w:r>
      <w:r>
        <w:rPr>
          <w:sz w:val="24"/>
        </w:rPr>
        <w:t>exceeding</w:t>
      </w:r>
      <w:r>
        <w:rPr>
          <w:spacing w:val="65"/>
          <w:sz w:val="24"/>
        </w:rPr>
        <w:t> </w:t>
      </w:r>
      <w:r>
        <w:rPr>
          <w:sz w:val="24"/>
        </w:rPr>
        <w:t>2</w:t>
      </w:r>
      <w:r>
        <w:rPr>
          <w:spacing w:val="65"/>
          <w:sz w:val="24"/>
        </w:rPr>
        <w:t> </w:t>
      </w:r>
      <w:r>
        <w:rPr>
          <w:sz w:val="24"/>
        </w:rPr>
        <w:t>sq.</w:t>
      </w:r>
      <w:r>
        <w:rPr>
          <w:spacing w:val="69"/>
          <w:sz w:val="24"/>
        </w:rPr>
        <w:t> </w:t>
      </w:r>
      <w:r>
        <w:rPr>
          <w:sz w:val="24"/>
        </w:rPr>
        <w:t>m in</w:t>
      </w:r>
      <w:r>
        <w:rPr>
          <w:spacing w:val="40"/>
          <w:sz w:val="24"/>
        </w:rPr>
        <w:t> </w:t>
      </w:r>
      <w:r>
        <w:rPr>
          <w:sz w:val="24"/>
        </w:rPr>
        <w:t>area</w:t>
      </w:r>
      <w:r>
        <w:rPr>
          <w:spacing w:val="40"/>
          <w:sz w:val="24"/>
        </w:rPr>
        <w:t> </w:t>
      </w:r>
      <w:r>
        <w:rPr>
          <w:sz w:val="24"/>
        </w:rPr>
        <w:t>provided</w:t>
      </w:r>
      <w:r>
        <w:rPr>
          <w:spacing w:val="40"/>
          <w:sz w:val="24"/>
        </w:rPr>
        <w:t> </w:t>
      </w:r>
      <w:r>
        <w:rPr>
          <w:sz w:val="24"/>
        </w:rPr>
        <w:t>they</w:t>
      </w:r>
      <w:r>
        <w:rPr>
          <w:spacing w:val="40"/>
          <w:sz w:val="24"/>
        </w:rPr>
        <w:t> </w:t>
      </w:r>
      <w:r>
        <w:rPr>
          <w:sz w:val="24"/>
        </w:rPr>
        <w:t>are</w:t>
      </w:r>
      <w:r>
        <w:rPr>
          <w:spacing w:val="40"/>
          <w:sz w:val="24"/>
        </w:rPr>
        <w:t> </w:t>
      </w:r>
      <w:r>
        <w:rPr>
          <w:sz w:val="24"/>
        </w:rPr>
        <w:t>located</w:t>
      </w:r>
      <w:r>
        <w:rPr>
          <w:spacing w:val="40"/>
          <w:sz w:val="24"/>
        </w:rPr>
        <w:t> </w:t>
      </w:r>
      <w:r>
        <w:rPr>
          <w:sz w:val="24"/>
        </w:rPr>
        <w:t>on</w:t>
      </w:r>
      <w:r>
        <w:rPr>
          <w:spacing w:val="40"/>
          <w:sz w:val="24"/>
        </w:rPr>
        <w:t> </w:t>
      </w:r>
      <w:r>
        <w:rPr>
          <w:sz w:val="24"/>
        </w:rPr>
        <w:t>the</w:t>
      </w:r>
      <w:r>
        <w:rPr>
          <w:spacing w:val="40"/>
          <w:sz w:val="24"/>
        </w:rPr>
        <w:t> </w:t>
      </w:r>
      <w:r>
        <w:rPr>
          <w:sz w:val="24"/>
        </w:rPr>
        <w:t>premises</w:t>
      </w:r>
      <w:r>
        <w:rPr>
          <w:spacing w:val="40"/>
          <w:sz w:val="24"/>
        </w:rPr>
        <w:t> </w:t>
      </w:r>
      <w:r>
        <w:rPr>
          <w:sz w:val="24"/>
        </w:rPr>
        <w:t>offered</w:t>
      </w:r>
      <w:r>
        <w:rPr>
          <w:spacing w:val="40"/>
          <w:sz w:val="24"/>
        </w:rPr>
        <w:t> </w:t>
      </w:r>
      <w:r>
        <w:rPr>
          <w:sz w:val="24"/>
        </w:rPr>
        <w:t>for</w:t>
      </w:r>
      <w:r>
        <w:rPr>
          <w:spacing w:val="40"/>
          <w:sz w:val="24"/>
        </w:rPr>
        <w:t> </w:t>
      </w:r>
      <w:r>
        <w:rPr>
          <w:sz w:val="24"/>
        </w:rPr>
        <w:t>sale</w:t>
      </w:r>
      <w:r>
        <w:rPr>
          <w:spacing w:val="40"/>
          <w:sz w:val="24"/>
        </w:rPr>
        <w:t> </w:t>
      </w:r>
      <w:r>
        <w:rPr>
          <w:sz w:val="24"/>
        </w:rPr>
        <w:t>or </w:t>
      </w:r>
      <w:r>
        <w:rPr>
          <w:spacing w:val="-2"/>
          <w:sz w:val="24"/>
        </w:rPr>
        <w:t>rent.</w:t>
      </w:r>
    </w:p>
    <w:p>
      <w:pPr>
        <w:pStyle w:val="ListParagraph"/>
        <w:numPr>
          <w:ilvl w:val="1"/>
          <w:numId w:val="263"/>
        </w:numPr>
        <w:tabs>
          <w:tab w:pos="1812" w:val="left" w:leader="none"/>
        </w:tabs>
        <w:spacing w:line="240" w:lineRule="auto" w:before="280" w:after="0"/>
        <w:ind w:left="1493" w:right="771" w:firstLine="0"/>
        <w:jc w:val="both"/>
        <w:rPr>
          <w:sz w:val="22"/>
        </w:rPr>
      </w:pPr>
      <w:r>
        <w:rPr>
          <w:sz w:val="24"/>
        </w:rPr>
        <w:t>No</w:t>
      </w:r>
      <w:r>
        <w:rPr>
          <w:spacing w:val="40"/>
          <w:sz w:val="24"/>
        </w:rPr>
        <w:t> </w:t>
      </w:r>
      <w:r>
        <w:rPr>
          <w:sz w:val="24"/>
        </w:rPr>
        <w:t>advertising</w:t>
      </w:r>
      <w:r>
        <w:rPr>
          <w:spacing w:val="40"/>
          <w:sz w:val="24"/>
        </w:rPr>
        <w:t> </w:t>
      </w:r>
      <w:r>
        <w:rPr>
          <w:sz w:val="24"/>
        </w:rPr>
        <w:t>sign</w:t>
      </w:r>
      <w:r>
        <w:rPr>
          <w:spacing w:val="40"/>
          <w:sz w:val="24"/>
        </w:rPr>
        <w:t> </w:t>
      </w:r>
      <w:r>
        <w:rPr>
          <w:sz w:val="24"/>
        </w:rPr>
        <w:t>or</w:t>
      </w:r>
      <w:r>
        <w:rPr>
          <w:spacing w:val="40"/>
          <w:sz w:val="24"/>
        </w:rPr>
        <w:t> </w:t>
      </w:r>
      <w:r>
        <w:rPr>
          <w:sz w:val="24"/>
        </w:rPr>
        <w:t>outdoor</w:t>
      </w:r>
      <w:r>
        <w:rPr>
          <w:spacing w:val="40"/>
          <w:sz w:val="24"/>
        </w:rPr>
        <w:t> </w:t>
      </w:r>
      <w:r>
        <w:rPr>
          <w:sz w:val="24"/>
        </w:rPr>
        <w:t>display</w:t>
      </w:r>
      <w:r>
        <w:rPr>
          <w:spacing w:val="40"/>
          <w:sz w:val="24"/>
        </w:rPr>
        <w:t> </w:t>
      </w:r>
      <w:r>
        <w:rPr>
          <w:sz w:val="24"/>
        </w:rPr>
        <w:t>structures</w:t>
      </w:r>
      <w:r>
        <w:rPr>
          <w:spacing w:val="40"/>
          <w:sz w:val="24"/>
        </w:rPr>
        <w:t> </w:t>
      </w:r>
      <w:r>
        <w:rPr>
          <w:sz w:val="24"/>
        </w:rPr>
        <w:t>shall</w:t>
      </w:r>
      <w:r>
        <w:rPr>
          <w:spacing w:val="40"/>
          <w:sz w:val="24"/>
        </w:rPr>
        <w:t> </w:t>
      </w:r>
      <w:r>
        <w:rPr>
          <w:sz w:val="24"/>
        </w:rPr>
        <w:t>be</w:t>
      </w:r>
      <w:r>
        <w:rPr>
          <w:spacing w:val="40"/>
          <w:sz w:val="24"/>
        </w:rPr>
        <w:t> </w:t>
      </w:r>
      <w:r>
        <w:rPr>
          <w:sz w:val="24"/>
        </w:rPr>
        <w:t>permitted on</w:t>
      </w:r>
      <w:r>
        <w:rPr>
          <w:spacing w:val="40"/>
          <w:sz w:val="24"/>
        </w:rPr>
        <w:t> </w:t>
      </w:r>
      <w:r>
        <w:rPr>
          <w:sz w:val="24"/>
        </w:rPr>
        <w:t>buildings</w:t>
      </w:r>
      <w:r>
        <w:rPr>
          <w:spacing w:val="40"/>
          <w:sz w:val="24"/>
        </w:rPr>
        <w:t> </w:t>
      </w:r>
      <w:r>
        <w:rPr>
          <w:sz w:val="24"/>
        </w:rPr>
        <w:t>of</w:t>
      </w:r>
      <w:r>
        <w:rPr>
          <w:spacing w:val="40"/>
          <w:sz w:val="24"/>
        </w:rPr>
        <w:t> </w:t>
      </w:r>
      <w:r>
        <w:rPr>
          <w:sz w:val="24"/>
        </w:rPr>
        <w:t>architectural,</w:t>
      </w:r>
      <w:r>
        <w:rPr>
          <w:spacing w:val="40"/>
          <w:sz w:val="24"/>
        </w:rPr>
        <w:t> </w:t>
      </w:r>
      <w:r>
        <w:rPr>
          <w:sz w:val="24"/>
        </w:rPr>
        <w:t>aesthetical,</w:t>
      </w:r>
      <w:r>
        <w:rPr>
          <w:spacing w:val="40"/>
          <w:sz w:val="24"/>
        </w:rPr>
        <w:t> </w:t>
      </w:r>
      <w:r>
        <w:rPr>
          <w:sz w:val="24"/>
        </w:rPr>
        <w:t>historical</w:t>
      </w:r>
      <w:r>
        <w:rPr>
          <w:spacing w:val="40"/>
          <w:sz w:val="24"/>
        </w:rPr>
        <w:t> </w:t>
      </w:r>
      <w:r>
        <w:rPr>
          <w:sz w:val="24"/>
        </w:rPr>
        <w:t>or</w:t>
      </w:r>
      <w:r>
        <w:rPr>
          <w:spacing w:val="40"/>
          <w:sz w:val="24"/>
        </w:rPr>
        <w:t> </w:t>
      </w:r>
      <w:r>
        <w:rPr>
          <w:sz w:val="24"/>
        </w:rPr>
        <w:t>heritage importance as may be decided by the Commissioner, or on Government buildings, save that in the case of Government buildings only such advertising signs or outdoor display structures may be permitted</w:t>
      </w:r>
      <w:r>
        <w:rPr>
          <w:spacing w:val="40"/>
          <w:sz w:val="24"/>
        </w:rPr>
        <w:t> </w:t>
      </w:r>
      <w:r>
        <w:rPr>
          <w:sz w:val="24"/>
        </w:rPr>
        <w:t>that</w:t>
      </w:r>
      <w:r>
        <w:rPr>
          <w:spacing w:val="40"/>
          <w:sz w:val="24"/>
        </w:rPr>
        <w:t> </w:t>
      </w:r>
      <w:r>
        <w:rPr>
          <w:sz w:val="24"/>
        </w:rPr>
        <w:t>relate</w:t>
      </w:r>
      <w:r>
        <w:rPr>
          <w:spacing w:val="78"/>
          <w:sz w:val="24"/>
        </w:rPr>
        <w:t> </w:t>
      </w:r>
      <w:r>
        <w:rPr>
          <w:sz w:val="24"/>
        </w:rPr>
        <w:t>to</w:t>
      </w:r>
      <w:r>
        <w:rPr>
          <w:spacing w:val="80"/>
          <w:sz w:val="24"/>
        </w:rPr>
        <w:t> </w:t>
      </w:r>
      <w:r>
        <w:rPr>
          <w:sz w:val="24"/>
        </w:rPr>
        <w:t>the</w:t>
      </w:r>
      <w:r>
        <w:rPr>
          <w:spacing w:val="78"/>
          <w:sz w:val="24"/>
        </w:rPr>
        <w:t> </w:t>
      </w:r>
      <w:r>
        <w:rPr>
          <w:sz w:val="24"/>
        </w:rPr>
        <w:t>activities</w:t>
      </w:r>
      <w:r>
        <w:rPr>
          <w:spacing w:val="79"/>
          <w:sz w:val="24"/>
        </w:rPr>
        <w:t> </w:t>
      </w:r>
      <w:r>
        <w:rPr>
          <w:sz w:val="24"/>
        </w:rPr>
        <w:t>of</w:t>
      </w:r>
      <w:r>
        <w:rPr>
          <w:spacing w:val="78"/>
          <w:sz w:val="24"/>
        </w:rPr>
        <w:t> </w:t>
      </w:r>
      <w:r>
        <w:rPr>
          <w:sz w:val="24"/>
        </w:rPr>
        <w:t>the</w:t>
      </w:r>
      <w:r>
        <w:rPr>
          <w:spacing w:val="76"/>
          <w:sz w:val="24"/>
        </w:rPr>
        <w:t> </w:t>
      </w:r>
      <w:r>
        <w:rPr>
          <w:sz w:val="24"/>
        </w:rPr>
        <w:t>said</w:t>
      </w:r>
      <w:r>
        <w:rPr>
          <w:spacing w:val="80"/>
          <w:sz w:val="24"/>
        </w:rPr>
        <w:t> </w:t>
      </w:r>
      <w:r>
        <w:rPr>
          <w:sz w:val="24"/>
        </w:rPr>
        <w:t>buildings</w:t>
      </w:r>
      <w:r>
        <w:rPr>
          <w:spacing w:val="76"/>
          <w:sz w:val="24"/>
        </w:rPr>
        <w:t> </w:t>
      </w:r>
      <w:r>
        <w:rPr>
          <w:sz w:val="24"/>
        </w:rPr>
        <w:t>and</w:t>
      </w:r>
      <w:r>
        <w:rPr>
          <w:spacing w:val="80"/>
          <w:sz w:val="24"/>
        </w:rPr>
        <w:t> </w:t>
      </w:r>
      <w:r>
        <w:rPr>
          <w:sz w:val="24"/>
        </w:rPr>
        <w:t>related</w:t>
      </w:r>
      <w:r>
        <w:rPr>
          <w:spacing w:val="76"/>
          <w:sz w:val="24"/>
        </w:rPr>
        <w:t> </w:t>
      </w:r>
      <w:r>
        <w:rPr>
          <w:sz w:val="24"/>
        </w:rPr>
        <w:t>programs.</w:t>
      </w:r>
    </w:p>
    <w:p>
      <w:pPr>
        <w:pStyle w:val="BodyText"/>
        <w:spacing w:before="1"/>
        <w:jc w:val="left"/>
      </w:pPr>
    </w:p>
    <w:p>
      <w:pPr>
        <w:pStyle w:val="ListParagraph"/>
        <w:numPr>
          <w:ilvl w:val="1"/>
          <w:numId w:val="263"/>
        </w:numPr>
        <w:tabs>
          <w:tab w:pos="1812" w:val="left" w:leader="none"/>
        </w:tabs>
        <w:spacing w:line="240" w:lineRule="auto" w:before="1" w:after="0"/>
        <w:ind w:left="1493" w:right="786" w:firstLine="0"/>
        <w:jc w:val="both"/>
        <w:rPr>
          <w:sz w:val="22"/>
        </w:rPr>
      </w:pPr>
      <w:r>
        <w:rPr>
          <w:sz w:val="24"/>
        </w:rPr>
        <w:t>In</w:t>
      </w:r>
      <w:r>
        <w:rPr>
          <w:spacing w:val="40"/>
          <w:sz w:val="24"/>
        </w:rPr>
        <w:t> </w:t>
      </w:r>
      <w:r>
        <w:rPr>
          <w:sz w:val="24"/>
        </w:rPr>
        <w:t>no</w:t>
      </w:r>
      <w:r>
        <w:rPr>
          <w:spacing w:val="40"/>
          <w:sz w:val="24"/>
        </w:rPr>
        <w:t> </w:t>
      </w:r>
      <w:r>
        <w:rPr>
          <w:sz w:val="24"/>
        </w:rPr>
        <w:t>case,</w:t>
      </w:r>
      <w:r>
        <w:rPr>
          <w:spacing w:val="40"/>
          <w:sz w:val="24"/>
        </w:rPr>
        <w:t> </w:t>
      </w:r>
      <w:r>
        <w:rPr>
          <w:sz w:val="24"/>
        </w:rPr>
        <w:t>the</w:t>
      </w:r>
      <w:r>
        <w:rPr>
          <w:spacing w:val="40"/>
          <w:sz w:val="24"/>
        </w:rPr>
        <w:t> </w:t>
      </w:r>
      <w:r>
        <w:rPr>
          <w:sz w:val="24"/>
        </w:rPr>
        <w:t>sign/display</w:t>
      </w:r>
      <w:r>
        <w:rPr>
          <w:spacing w:val="40"/>
          <w:sz w:val="24"/>
        </w:rPr>
        <w:t> </w:t>
      </w:r>
      <w:r>
        <w:rPr>
          <w:sz w:val="24"/>
        </w:rPr>
        <w:t>structure</w:t>
      </w:r>
      <w:r>
        <w:rPr>
          <w:spacing w:val="40"/>
          <w:sz w:val="24"/>
        </w:rPr>
        <w:t> </w:t>
      </w:r>
      <w:r>
        <w:rPr>
          <w:sz w:val="24"/>
        </w:rPr>
        <w:t>erected</w:t>
      </w:r>
      <w:r>
        <w:rPr>
          <w:spacing w:val="40"/>
          <w:sz w:val="24"/>
        </w:rPr>
        <w:t> </w:t>
      </w:r>
      <w:r>
        <w:rPr>
          <w:sz w:val="24"/>
        </w:rPr>
        <w:t>on</w:t>
      </w:r>
      <w:r>
        <w:rPr>
          <w:spacing w:val="40"/>
          <w:sz w:val="24"/>
        </w:rPr>
        <w:t> </w:t>
      </w:r>
      <w:r>
        <w:rPr>
          <w:sz w:val="24"/>
        </w:rPr>
        <w:t>buildings</w:t>
      </w:r>
      <w:r>
        <w:rPr>
          <w:spacing w:val="40"/>
          <w:sz w:val="24"/>
        </w:rPr>
        <w:t> </w:t>
      </w:r>
      <w:r>
        <w:rPr>
          <w:sz w:val="24"/>
        </w:rPr>
        <w:t>shall exceed</w:t>
      </w:r>
      <w:r>
        <w:rPr>
          <w:spacing w:val="40"/>
          <w:sz w:val="24"/>
        </w:rPr>
        <w:t> </w:t>
      </w:r>
      <w:r>
        <w:rPr>
          <w:sz w:val="24"/>
        </w:rPr>
        <w:t>the</w:t>
      </w:r>
      <w:r>
        <w:rPr>
          <w:spacing w:val="40"/>
          <w:sz w:val="24"/>
        </w:rPr>
        <w:t> </w:t>
      </w:r>
      <w:r>
        <w:rPr>
          <w:sz w:val="24"/>
        </w:rPr>
        <w:t>height</w:t>
      </w:r>
      <w:r>
        <w:rPr>
          <w:spacing w:val="40"/>
          <w:sz w:val="24"/>
        </w:rPr>
        <w:t> </w:t>
      </w:r>
      <w:r>
        <w:rPr>
          <w:sz w:val="24"/>
        </w:rPr>
        <w:t>of</w:t>
      </w:r>
      <w:r>
        <w:rPr>
          <w:spacing w:val="40"/>
          <w:sz w:val="24"/>
        </w:rPr>
        <w:t> </w:t>
      </w:r>
      <w:r>
        <w:rPr>
          <w:sz w:val="24"/>
        </w:rPr>
        <w:t>topmost</w:t>
      </w:r>
      <w:r>
        <w:rPr>
          <w:spacing w:val="40"/>
          <w:sz w:val="24"/>
        </w:rPr>
        <w:t> </w:t>
      </w:r>
      <w:r>
        <w:rPr>
          <w:sz w:val="24"/>
        </w:rPr>
        <w:t>part</w:t>
      </w:r>
      <w:r>
        <w:rPr>
          <w:spacing w:val="40"/>
          <w:sz w:val="24"/>
        </w:rPr>
        <w:t> </w:t>
      </w:r>
      <w:r>
        <w:rPr>
          <w:sz w:val="24"/>
        </w:rPr>
        <w:t>of</w:t>
      </w:r>
      <w:r>
        <w:rPr>
          <w:spacing w:val="40"/>
          <w:sz w:val="24"/>
        </w:rPr>
        <w:t> </w:t>
      </w:r>
      <w:r>
        <w:rPr>
          <w:sz w:val="24"/>
        </w:rPr>
        <w:t>the</w:t>
      </w:r>
      <w:r>
        <w:rPr>
          <w:spacing w:val="40"/>
          <w:sz w:val="24"/>
        </w:rPr>
        <w:t> </w:t>
      </w:r>
      <w:r>
        <w:rPr>
          <w:sz w:val="24"/>
        </w:rPr>
        <w:t>Building/height</w:t>
      </w:r>
      <w:r>
        <w:rPr>
          <w:spacing w:val="40"/>
          <w:sz w:val="24"/>
        </w:rPr>
        <w:t> </w:t>
      </w:r>
      <w:r>
        <w:rPr>
          <w:sz w:val="24"/>
        </w:rPr>
        <w:t>prescribed</w:t>
      </w:r>
      <w:r>
        <w:rPr>
          <w:spacing w:val="40"/>
          <w:sz w:val="24"/>
        </w:rPr>
        <w:t> </w:t>
      </w:r>
      <w:r>
        <w:rPr>
          <w:sz w:val="24"/>
        </w:rPr>
        <w:t>by the Civil Aviation </w:t>
      </w:r>
      <w:r>
        <w:rPr>
          <w:spacing w:val="9"/>
          <w:sz w:val="24"/>
        </w:rPr>
        <w:t>Authority</w:t>
      </w:r>
    </w:p>
    <w:p>
      <w:pPr>
        <w:pStyle w:val="ListParagraph"/>
        <w:numPr>
          <w:ilvl w:val="1"/>
          <w:numId w:val="263"/>
        </w:numPr>
        <w:tabs>
          <w:tab w:pos="1812" w:val="left" w:leader="none"/>
        </w:tabs>
        <w:spacing w:line="240" w:lineRule="auto" w:before="280" w:after="0"/>
        <w:ind w:left="1493" w:right="799" w:firstLine="0"/>
        <w:jc w:val="both"/>
        <w:rPr>
          <w:sz w:val="22"/>
        </w:rPr>
      </w:pPr>
      <w:r>
        <w:rPr>
          <w:sz w:val="24"/>
        </w:rPr>
        <w:t>No</w:t>
      </w:r>
      <w:r>
        <w:rPr>
          <w:spacing w:val="80"/>
          <w:sz w:val="24"/>
        </w:rPr>
        <w:t> </w:t>
      </w:r>
      <w:r>
        <w:rPr>
          <w:sz w:val="24"/>
        </w:rPr>
        <w:t>signs</w:t>
      </w:r>
      <w:r>
        <w:rPr>
          <w:spacing w:val="80"/>
          <w:sz w:val="24"/>
        </w:rPr>
        <w:t> </w:t>
      </w:r>
      <w:r>
        <w:rPr>
          <w:sz w:val="24"/>
        </w:rPr>
        <w:t>/display</w:t>
      </w:r>
      <w:r>
        <w:rPr>
          <w:spacing w:val="80"/>
          <w:sz w:val="24"/>
        </w:rPr>
        <w:t> </w:t>
      </w:r>
      <w:r>
        <w:rPr>
          <w:sz w:val="24"/>
        </w:rPr>
        <w:t>structure</w:t>
      </w:r>
      <w:r>
        <w:rPr>
          <w:spacing w:val="80"/>
          <w:sz w:val="24"/>
        </w:rPr>
        <w:t> </w:t>
      </w:r>
      <w:r>
        <w:rPr>
          <w:sz w:val="24"/>
        </w:rPr>
        <w:t>shall</w:t>
      </w:r>
      <w:r>
        <w:rPr>
          <w:spacing w:val="80"/>
          <w:sz w:val="24"/>
        </w:rPr>
        <w:t> </w:t>
      </w:r>
      <w:r>
        <w:rPr>
          <w:sz w:val="24"/>
        </w:rPr>
        <w:t>obstruct</w:t>
      </w:r>
      <w:r>
        <w:rPr>
          <w:spacing w:val="80"/>
          <w:sz w:val="24"/>
        </w:rPr>
        <w:t> </w:t>
      </w:r>
      <w:r>
        <w:rPr>
          <w:sz w:val="24"/>
        </w:rPr>
        <w:t>the</w:t>
      </w:r>
      <w:r>
        <w:rPr>
          <w:spacing w:val="80"/>
          <w:sz w:val="24"/>
        </w:rPr>
        <w:t> </w:t>
      </w:r>
      <w:r>
        <w:rPr>
          <w:sz w:val="24"/>
        </w:rPr>
        <w:t>light</w:t>
      </w:r>
      <w:r>
        <w:rPr>
          <w:spacing w:val="80"/>
          <w:sz w:val="24"/>
        </w:rPr>
        <w:t> </w:t>
      </w:r>
      <w:r>
        <w:rPr>
          <w:sz w:val="24"/>
        </w:rPr>
        <w:t>and</w:t>
      </w:r>
      <w:r>
        <w:rPr>
          <w:spacing w:val="80"/>
          <w:sz w:val="24"/>
        </w:rPr>
        <w:t> </w:t>
      </w:r>
      <w:r>
        <w:rPr>
          <w:sz w:val="24"/>
        </w:rPr>
        <w:t>ventilation of the </w:t>
      </w:r>
      <w:r>
        <w:rPr>
          <w:spacing w:val="9"/>
          <w:sz w:val="24"/>
        </w:rPr>
        <w:t>building.</w:t>
      </w:r>
    </w:p>
    <w:p>
      <w:pPr>
        <w:pStyle w:val="ListParagraph"/>
        <w:spacing w:after="0" w:line="240" w:lineRule="auto"/>
        <w:jc w:val="both"/>
        <w:rPr>
          <w:sz w:val="22"/>
        </w:rPr>
        <w:sectPr>
          <w:pgSz w:w="11910" w:h="16840"/>
          <w:pgMar w:header="1058" w:footer="1201" w:top="1500" w:bottom="1400" w:left="360" w:right="360"/>
        </w:sectPr>
      </w:pPr>
    </w:p>
    <w:p>
      <w:pPr>
        <w:pStyle w:val="Heading1"/>
        <w:tabs>
          <w:tab w:pos="2072" w:val="left" w:leader="none"/>
        </w:tabs>
        <w:spacing w:before="248"/>
        <w:ind w:left="343"/>
      </w:pPr>
      <w:r>
        <w:rPr/>
        <w:t>PART</w:t>
      </w:r>
      <w:r>
        <w:rPr>
          <w:spacing w:val="-13"/>
        </w:rPr>
        <w:t> </w:t>
      </w:r>
      <w:r>
        <w:rPr>
          <w:spacing w:val="-5"/>
        </w:rPr>
        <w:t>IX</w:t>
      </w:r>
      <w:r>
        <w:rPr/>
        <w:tab/>
        <w:t>URBAN</w:t>
      </w:r>
      <w:r>
        <w:rPr>
          <w:spacing w:val="-14"/>
        </w:rPr>
        <w:t> </w:t>
      </w:r>
      <w:r>
        <w:rPr/>
        <w:t>SAFETY</w:t>
      </w:r>
      <w:r>
        <w:rPr>
          <w:spacing w:val="-13"/>
        </w:rPr>
        <w:t> </w:t>
      </w:r>
      <w:r>
        <w:rPr>
          <w:spacing w:val="-2"/>
        </w:rPr>
        <w:t>REQUIREMENTS</w:t>
      </w:r>
    </w:p>
    <w:p>
      <w:pPr>
        <w:pStyle w:val="Heading3"/>
        <w:numPr>
          <w:ilvl w:val="0"/>
          <w:numId w:val="263"/>
        </w:numPr>
        <w:tabs>
          <w:tab w:pos="1249" w:val="left" w:leader="none"/>
        </w:tabs>
        <w:spacing w:line="240" w:lineRule="auto" w:before="238" w:after="0"/>
        <w:ind w:left="1249" w:right="0" w:hanging="477"/>
        <w:jc w:val="left"/>
        <w:rPr>
          <w:sz w:val="26"/>
        </w:rPr>
      </w:pPr>
      <w:r>
        <w:rPr/>
        <w:t>Fire</w:t>
      </w:r>
      <w:r>
        <w:rPr>
          <w:spacing w:val="-7"/>
        </w:rPr>
        <w:t> </w:t>
      </w:r>
      <w:r>
        <w:rPr/>
        <w:t>Protection</w:t>
      </w:r>
      <w:r>
        <w:rPr>
          <w:spacing w:val="-9"/>
        </w:rPr>
        <w:t> </w:t>
      </w:r>
      <w:r>
        <w:rPr>
          <w:spacing w:val="-2"/>
        </w:rPr>
        <w:t>Requirements</w:t>
      </w:r>
    </w:p>
    <w:p>
      <w:pPr>
        <w:pStyle w:val="ListParagraph"/>
        <w:numPr>
          <w:ilvl w:val="1"/>
          <w:numId w:val="263"/>
        </w:numPr>
        <w:tabs>
          <w:tab w:pos="1869" w:val="left" w:leader="none"/>
        </w:tabs>
        <w:spacing w:line="240" w:lineRule="auto" w:before="242" w:after="0"/>
        <w:ind w:left="1493" w:right="771" w:firstLine="0"/>
        <w:jc w:val="both"/>
        <w:rPr>
          <w:sz w:val="24"/>
        </w:rPr>
      </w:pPr>
      <w:r>
        <w:rPr>
          <w:b/>
          <w:i/>
          <w:sz w:val="24"/>
        </w:rPr>
        <w:t>General:</w:t>
      </w:r>
      <w:r>
        <w:rPr>
          <w:b/>
          <w:i/>
          <w:spacing w:val="-2"/>
          <w:sz w:val="24"/>
        </w:rPr>
        <w:t> </w:t>
      </w:r>
      <w:r>
        <w:rPr>
          <w:sz w:val="24"/>
        </w:rPr>
        <w:t>The</w:t>
      </w:r>
      <w:r>
        <w:rPr>
          <w:spacing w:val="-1"/>
          <w:sz w:val="24"/>
        </w:rPr>
        <w:t> </w:t>
      </w:r>
      <w:r>
        <w:rPr>
          <w:sz w:val="24"/>
        </w:rPr>
        <w:t>planning,</w:t>
      </w:r>
      <w:r>
        <w:rPr>
          <w:spacing w:val="-1"/>
          <w:sz w:val="24"/>
        </w:rPr>
        <w:t> </w:t>
      </w:r>
      <w:r>
        <w:rPr>
          <w:sz w:val="24"/>
        </w:rPr>
        <w:t>design</w:t>
      </w:r>
      <w:r>
        <w:rPr>
          <w:spacing w:val="-1"/>
          <w:sz w:val="24"/>
        </w:rPr>
        <w:t> </w:t>
      </w:r>
      <w:r>
        <w:rPr>
          <w:sz w:val="24"/>
        </w:rPr>
        <w:t>and</w:t>
      </w:r>
      <w:r>
        <w:rPr>
          <w:spacing w:val="-1"/>
          <w:sz w:val="24"/>
        </w:rPr>
        <w:t> </w:t>
      </w:r>
      <w:r>
        <w:rPr>
          <w:sz w:val="24"/>
        </w:rPr>
        <w:t>construction</w:t>
      </w:r>
      <w:r>
        <w:rPr>
          <w:spacing w:val="-1"/>
          <w:sz w:val="24"/>
        </w:rPr>
        <w:t> </w:t>
      </w:r>
      <w:r>
        <w:rPr>
          <w:sz w:val="24"/>
        </w:rPr>
        <w:t>of</w:t>
      </w:r>
      <w:r>
        <w:rPr>
          <w:spacing w:val="-1"/>
          <w:sz w:val="24"/>
        </w:rPr>
        <w:t> </w:t>
      </w:r>
      <w:r>
        <w:rPr>
          <w:sz w:val="24"/>
        </w:rPr>
        <w:t>any</w:t>
      </w:r>
      <w:r>
        <w:rPr>
          <w:spacing w:val="-1"/>
          <w:sz w:val="24"/>
        </w:rPr>
        <w:t> </w:t>
      </w:r>
      <w:r>
        <w:rPr>
          <w:sz w:val="24"/>
        </w:rPr>
        <w:t>building</w:t>
      </w:r>
      <w:r>
        <w:rPr>
          <w:spacing w:val="-1"/>
          <w:sz w:val="24"/>
        </w:rPr>
        <w:t> </w:t>
      </w:r>
      <w:r>
        <w:rPr>
          <w:sz w:val="24"/>
        </w:rPr>
        <w:t>shall</w:t>
      </w:r>
      <w:r>
        <w:rPr>
          <w:spacing w:val="-1"/>
          <w:sz w:val="24"/>
        </w:rPr>
        <w:t> </w:t>
      </w:r>
      <w:r>
        <w:rPr>
          <w:sz w:val="24"/>
        </w:rPr>
        <w:t>be such as to ensure safety from fire. For this purpose, unless otherwise specified in these Regulations, Fire Protection Chapter, National Building Code as amended time to time shall apply.</w:t>
      </w:r>
    </w:p>
    <w:p>
      <w:pPr>
        <w:pStyle w:val="BodyText"/>
        <w:spacing w:before="241"/>
        <w:ind w:left="1493"/>
        <w:jc w:val="left"/>
      </w:pPr>
      <w:r>
        <w:rPr/>
        <w:t>For</w:t>
      </w:r>
      <w:r>
        <w:rPr>
          <w:spacing w:val="40"/>
        </w:rPr>
        <w:t> </w:t>
      </w:r>
      <w:r>
        <w:rPr/>
        <w:t>high</w:t>
      </w:r>
      <w:r>
        <w:rPr>
          <w:spacing w:val="40"/>
        </w:rPr>
        <w:t> </w:t>
      </w:r>
      <w:r>
        <w:rPr/>
        <w:t>rise</w:t>
      </w:r>
      <w:r>
        <w:rPr>
          <w:spacing w:val="40"/>
        </w:rPr>
        <w:t> </w:t>
      </w:r>
      <w:r>
        <w:rPr/>
        <w:t>and</w:t>
      </w:r>
      <w:r>
        <w:rPr>
          <w:spacing w:val="40"/>
        </w:rPr>
        <w:t> </w:t>
      </w:r>
      <w:r>
        <w:rPr/>
        <w:t>special</w:t>
      </w:r>
      <w:r>
        <w:rPr>
          <w:spacing w:val="40"/>
        </w:rPr>
        <w:t> </w:t>
      </w:r>
      <w:r>
        <w:rPr/>
        <w:t>buildings,</w:t>
      </w:r>
      <w:r>
        <w:rPr>
          <w:spacing w:val="40"/>
        </w:rPr>
        <w:t> </w:t>
      </w:r>
      <w:r>
        <w:rPr/>
        <w:t>additional</w:t>
      </w:r>
      <w:r>
        <w:rPr>
          <w:spacing w:val="40"/>
        </w:rPr>
        <w:t> </w:t>
      </w:r>
      <w:r>
        <w:rPr/>
        <w:t>provisions</w:t>
      </w:r>
      <w:r>
        <w:rPr>
          <w:spacing w:val="40"/>
        </w:rPr>
        <w:t> </w:t>
      </w:r>
      <w:r>
        <w:rPr/>
        <w:t>relating</w:t>
      </w:r>
      <w:r>
        <w:rPr>
          <w:spacing w:val="40"/>
        </w:rPr>
        <w:t> </w:t>
      </w:r>
      <w:r>
        <w:rPr/>
        <w:t>to</w:t>
      </w:r>
      <w:r>
        <w:rPr>
          <w:spacing w:val="40"/>
        </w:rPr>
        <w:t> </w:t>
      </w:r>
      <w:r>
        <w:rPr/>
        <w:t>fire protection contained in Appendix I shall also apply,</w:t>
      </w:r>
    </w:p>
    <w:p>
      <w:pPr>
        <w:pStyle w:val="ListParagraph"/>
        <w:numPr>
          <w:ilvl w:val="0"/>
          <w:numId w:val="311"/>
        </w:numPr>
        <w:tabs>
          <w:tab w:pos="1851" w:val="left" w:leader="none"/>
        </w:tabs>
        <w:spacing w:line="240" w:lineRule="auto" w:before="241" w:after="0"/>
        <w:ind w:left="1851" w:right="0" w:hanging="358"/>
        <w:jc w:val="both"/>
        <w:rPr>
          <w:sz w:val="24"/>
        </w:rPr>
      </w:pPr>
      <w:r>
        <w:rPr>
          <w:sz w:val="24"/>
        </w:rPr>
        <w:t>For</w:t>
      </w:r>
      <w:r>
        <w:rPr>
          <w:spacing w:val="26"/>
          <w:sz w:val="24"/>
        </w:rPr>
        <w:t> </w:t>
      </w:r>
      <w:r>
        <w:rPr>
          <w:sz w:val="24"/>
        </w:rPr>
        <w:t>proposal</w:t>
      </w:r>
      <w:r>
        <w:rPr>
          <w:spacing w:val="28"/>
          <w:sz w:val="24"/>
        </w:rPr>
        <w:t> </w:t>
      </w:r>
      <w:r>
        <w:rPr>
          <w:sz w:val="24"/>
        </w:rPr>
        <w:t>under</w:t>
      </w:r>
      <w:r>
        <w:rPr>
          <w:spacing w:val="26"/>
          <w:sz w:val="24"/>
        </w:rPr>
        <w:t> </w:t>
      </w:r>
      <w:r>
        <w:rPr>
          <w:sz w:val="24"/>
        </w:rPr>
        <w:t>regulations</w:t>
      </w:r>
      <w:r>
        <w:rPr>
          <w:spacing w:val="29"/>
          <w:sz w:val="24"/>
        </w:rPr>
        <w:t> </w:t>
      </w:r>
      <w:r>
        <w:rPr>
          <w:sz w:val="24"/>
        </w:rPr>
        <w:t>33(5),</w:t>
      </w:r>
      <w:r>
        <w:rPr>
          <w:spacing w:val="29"/>
          <w:sz w:val="24"/>
        </w:rPr>
        <w:t> </w:t>
      </w:r>
      <w:r>
        <w:rPr>
          <w:spacing w:val="-2"/>
          <w:sz w:val="24"/>
        </w:rPr>
        <w:t>33(6),33(7),33(7)(A),33(9),33(9)(A),</w:t>
      </w:r>
    </w:p>
    <w:p>
      <w:pPr>
        <w:pStyle w:val="BodyText"/>
        <w:spacing w:before="2"/>
        <w:ind w:left="1853"/>
      </w:pPr>
      <w:r>
        <w:rPr/>
        <w:t>33(9)(B),</w:t>
      </w:r>
      <w:r>
        <w:rPr>
          <w:spacing w:val="-2"/>
        </w:rPr>
        <w:t> </w:t>
      </w:r>
      <w:r>
        <w:rPr/>
        <w:t>33(10),</w:t>
      </w:r>
      <w:r>
        <w:rPr>
          <w:spacing w:val="-1"/>
        </w:rPr>
        <w:t> </w:t>
      </w:r>
      <w:r>
        <w:rPr/>
        <w:t>33(10)(A),</w:t>
      </w:r>
      <w:r>
        <w:rPr>
          <w:spacing w:val="-1"/>
        </w:rPr>
        <w:t> </w:t>
      </w:r>
      <w:r>
        <w:rPr/>
        <w:t>33(11),</w:t>
      </w:r>
      <w:r>
        <w:rPr>
          <w:spacing w:val="-2"/>
        </w:rPr>
        <w:t> </w:t>
      </w:r>
      <w:r>
        <w:rPr/>
        <w:t>33(15), </w:t>
      </w:r>
      <w:r>
        <w:rPr>
          <w:spacing w:val="-2"/>
        </w:rPr>
        <w:t>33(20)(A)</w:t>
      </w:r>
    </w:p>
    <w:p>
      <w:pPr>
        <w:pStyle w:val="ListParagraph"/>
        <w:numPr>
          <w:ilvl w:val="1"/>
          <w:numId w:val="311"/>
        </w:numPr>
        <w:tabs>
          <w:tab w:pos="2144" w:val="left" w:leader="none"/>
        </w:tabs>
        <w:spacing w:line="240" w:lineRule="auto" w:before="239" w:after="0"/>
        <w:ind w:left="1853" w:right="772" w:firstLine="0"/>
        <w:jc w:val="both"/>
        <w:rPr>
          <w:sz w:val="24"/>
        </w:rPr>
      </w:pPr>
      <w:r>
        <w:rPr>
          <w:sz w:val="24"/>
        </w:rPr>
        <w:t>In case of rehabilitation/composite buildings having height more than 32 m up to 70 m, at least one side other than road side, shall have clear open space of 6 m at ground level, accessible from road side.</w:t>
      </w:r>
    </w:p>
    <w:p>
      <w:pPr>
        <w:pStyle w:val="BodyText"/>
        <w:spacing w:before="239"/>
        <w:ind w:left="1853" w:right="771"/>
      </w:pPr>
      <w:r>
        <w:rPr/>
        <w:t>Provided,</w:t>
      </w:r>
      <w:r>
        <w:rPr>
          <w:spacing w:val="-15"/>
        </w:rPr>
        <w:t> </w:t>
      </w:r>
      <w:r>
        <w:rPr/>
        <w:t>if</w:t>
      </w:r>
      <w:r>
        <w:rPr>
          <w:spacing w:val="-15"/>
        </w:rPr>
        <w:t> </w:t>
      </w:r>
      <w:r>
        <w:rPr/>
        <w:t>the</w:t>
      </w:r>
      <w:r>
        <w:rPr>
          <w:spacing w:val="-15"/>
        </w:rPr>
        <w:t> </w:t>
      </w:r>
      <w:r>
        <w:rPr/>
        <w:t>building</w:t>
      </w:r>
      <w:r>
        <w:rPr>
          <w:spacing w:val="-15"/>
        </w:rPr>
        <w:t> </w:t>
      </w:r>
      <w:r>
        <w:rPr/>
        <w:t>abuts</w:t>
      </w:r>
      <w:r>
        <w:rPr>
          <w:spacing w:val="-15"/>
        </w:rPr>
        <w:t> </w:t>
      </w:r>
      <w:r>
        <w:rPr/>
        <w:t>another</w:t>
      </w:r>
      <w:r>
        <w:rPr>
          <w:spacing w:val="-15"/>
        </w:rPr>
        <w:t> </w:t>
      </w:r>
      <w:r>
        <w:rPr/>
        <w:t>road</w:t>
      </w:r>
      <w:r>
        <w:rPr>
          <w:spacing w:val="-15"/>
        </w:rPr>
        <w:t> </w:t>
      </w:r>
      <w:r>
        <w:rPr/>
        <w:t>of</w:t>
      </w:r>
      <w:r>
        <w:rPr>
          <w:spacing w:val="-15"/>
        </w:rPr>
        <w:t> </w:t>
      </w:r>
      <w:r>
        <w:rPr/>
        <w:t>6</w:t>
      </w:r>
      <w:r>
        <w:rPr>
          <w:spacing w:val="-15"/>
        </w:rPr>
        <w:t> </w:t>
      </w:r>
      <w:r>
        <w:rPr/>
        <w:t>m</w:t>
      </w:r>
      <w:r>
        <w:rPr>
          <w:spacing w:val="-15"/>
        </w:rPr>
        <w:t> </w:t>
      </w:r>
      <w:r>
        <w:rPr/>
        <w:t>or</w:t>
      </w:r>
      <w:r>
        <w:rPr>
          <w:spacing w:val="-15"/>
        </w:rPr>
        <w:t> </w:t>
      </w:r>
      <w:r>
        <w:rPr/>
        <w:t>more,</w:t>
      </w:r>
      <w:r>
        <w:rPr>
          <w:spacing w:val="-15"/>
        </w:rPr>
        <w:t> </w:t>
      </w:r>
      <w:r>
        <w:rPr/>
        <w:t>this</w:t>
      </w:r>
      <w:r>
        <w:rPr>
          <w:spacing w:val="-15"/>
        </w:rPr>
        <w:t> </w:t>
      </w:r>
      <w:r>
        <w:rPr/>
        <w:t>condition shall not be insisted upon.</w:t>
      </w:r>
    </w:p>
    <w:p>
      <w:pPr>
        <w:pStyle w:val="BodyText"/>
        <w:spacing w:before="241"/>
        <w:ind w:left="1853" w:right="771"/>
      </w:pPr>
      <w:r>
        <w:rPr/>
        <w:t>Provided if the building abuts on two roads having width of 6.0 m, the clear space of 9m shall be available including abutting Road in front of the building and the 6m roads shall be connected to the road of having width of at least 9m.</w:t>
      </w:r>
    </w:p>
    <w:p>
      <w:pPr>
        <w:pStyle w:val="BodyText"/>
        <w:spacing w:before="240"/>
        <w:jc w:val="left"/>
      </w:pPr>
    </w:p>
    <w:p>
      <w:pPr>
        <w:pStyle w:val="BodyText"/>
        <w:spacing w:before="1"/>
        <w:ind w:left="1853" w:right="771" w:firstLine="76"/>
      </w:pPr>
      <w:r>
        <w:rPr/>
        <w:t>However, if podium is proposed it shall not extend beyond 6 m from building</w:t>
      </w:r>
      <w:r>
        <w:rPr>
          <w:spacing w:val="-10"/>
        </w:rPr>
        <w:t> </w:t>
      </w:r>
      <w:r>
        <w:rPr/>
        <w:t>line</w:t>
      </w:r>
      <w:r>
        <w:rPr>
          <w:spacing w:val="-10"/>
        </w:rPr>
        <w:t> </w:t>
      </w:r>
      <w:r>
        <w:rPr/>
        <w:t>so</w:t>
      </w:r>
      <w:r>
        <w:rPr>
          <w:spacing w:val="-10"/>
        </w:rPr>
        <w:t> </w:t>
      </w:r>
      <w:r>
        <w:rPr/>
        <w:t>as</w:t>
      </w:r>
      <w:r>
        <w:rPr>
          <w:spacing w:val="-10"/>
        </w:rPr>
        <w:t> </w:t>
      </w:r>
      <w:r>
        <w:rPr/>
        <w:t>to</w:t>
      </w:r>
      <w:r>
        <w:rPr>
          <w:spacing w:val="-8"/>
        </w:rPr>
        <w:t> </w:t>
      </w:r>
      <w:r>
        <w:rPr/>
        <w:t>have</w:t>
      </w:r>
      <w:r>
        <w:rPr>
          <w:spacing w:val="-10"/>
        </w:rPr>
        <w:t> </w:t>
      </w:r>
      <w:r>
        <w:rPr/>
        <w:t>clear</w:t>
      </w:r>
      <w:r>
        <w:rPr>
          <w:spacing w:val="-10"/>
        </w:rPr>
        <w:t> </w:t>
      </w:r>
      <w:r>
        <w:rPr/>
        <w:t>open</w:t>
      </w:r>
      <w:r>
        <w:rPr>
          <w:spacing w:val="-10"/>
        </w:rPr>
        <w:t> </w:t>
      </w:r>
      <w:r>
        <w:rPr/>
        <w:t>space</w:t>
      </w:r>
      <w:r>
        <w:rPr>
          <w:spacing w:val="-10"/>
        </w:rPr>
        <w:t> </w:t>
      </w:r>
      <w:r>
        <w:rPr/>
        <w:t>of</w:t>
      </w:r>
      <w:r>
        <w:rPr>
          <w:spacing w:val="-10"/>
        </w:rPr>
        <w:t> </w:t>
      </w:r>
      <w:r>
        <w:rPr/>
        <w:t>6</w:t>
      </w:r>
      <w:r>
        <w:rPr>
          <w:spacing w:val="-10"/>
        </w:rPr>
        <w:t> </w:t>
      </w:r>
      <w:r>
        <w:rPr/>
        <w:t>m</w:t>
      </w:r>
      <w:r>
        <w:rPr>
          <w:spacing w:val="-8"/>
        </w:rPr>
        <w:t> </w:t>
      </w:r>
      <w:r>
        <w:rPr/>
        <w:t>at</w:t>
      </w:r>
      <w:r>
        <w:rPr>
          <w:spacing w:val="-7"/>
        </w:rPr>
        <w:t> </w:t>
      </w:r>
      <w:r>
        <w:rPr/>
        <w:t>ground</w:t>
      </w:r>
      <w:r>
        <w:rPr>
          <w:spacing w:val="-9"/>
        </w:rPr>
        <w:t> </w:t>
      </w:r>
      <w:r>
        <w:rPr/>
        <w:t>level</w:t>
      </w:r>
      <w:r>
        <w:rPr>
          <w:spacing w:val="-10"/>
        </w:rPr>
        <w:t> </w:t>
      </w:r>
      <w:r>
        <w:rPr/>
        <w:t>beyond accessible for fire appliances.</w:t>
      </w:r>
    </w:p>
    <w:p>
      <w:pPr>
        <w:pStyle w:val="BodyText"/>
        <w:spacing w:line="281" w:lineRule="exact" w:before="239"/>
        <w:ind w:left="1853"/>
      </w:pPr>
      <w:r>
        <w:rPr/>
        <w:t>No</w:t>
      </w:r>
      <w:r>
        <w:rPr>
          <w:spacing w:val="-1"/>
        </w:rPr>
        <w:t> </w:t>
      </w:r>
      <w:r>
        <w:rPr/>
        <w:t>ramps</w:t>
      </w:r>
      <w:r>
        <w:rPr>
          <w:spacing w:val="-1"/>
        </w:rPr>
        <w:t> </w:t>
      </w:r>
      <w:r>
        <w:rPr/>
        <w:t>for</w:t>
      </w:r>
      <w:r>
        <w:rPr>
          <w:spacing w:val="-1"/>
        </w:rPr>
        <w:t> </w:t>
      </w:r>
      <w:r>
        <w:rPr/>
        <w:t>the</w:t>
      </w:r>
      <w:r>
        <w:rPr>
          <w:spacing w:val="-1"/>
        </w:rPr>
        <w:t> </w:t>
      </w:r>
      <w:r>
        <w:rPr/>
        <w:t>podium</w:t>
      </w:r>
      <w:r>
        <w:rPr>
          <w:spacing w:val="-1"/>
        </w:rPr>
        <w:t> </w:t>
      </w:r>
      <w:r>
        <w:rPr/>
        <w:t>shall</w:t>
      </w:r>
      <w:r>
        <w:rPr>
          <w:spacing w:val="-1"/>
        </w:rPr>
        <w:t> </w:t>
      </w:r>
      <w:r>
        <w:rPr/>
        <w:t>be</w:t>
      </w:r>
      <w:r>
        <w:rPr>
          <w:spacing w:val="-1"/>
        </w:rPr>
        <w:t> </w:t>
      </w:r>
      <w:r>
        <w:rPr/>
        <w:t>provided</w:t>
      </w:r>
      <w:r>
        <w:rPr>
          <w:spacing w:val="-1"/>
        </w:rPr>
        <w:t> </w:t>
      </w:r>
      <w:r>
        <w:rPr/>
        <w:t>in</w:t>
      </w:r>
      <w:r>
        <w:rPr>
          <w:spacing w:val="-1"/>
        </w:rPr>
        <w:t> </w:t>
      </w:r>
      <w:r>
        <w:rPr/>
        <w:t>these</w:t>
      </w:r>
      <w:r>
        <w:rPr>
          <w:spacing w:val="-1"/>
        </w:rPr>
        <w:t> </w:t>
      </w:r>
      <w:r>
        <w:rPr/>
        <w:t>side</w:t>
      </w:r>
      <w:r>
        <w:rPr>
          <w:spacing w:val="-1"/>
        </w:rPr>
        <w:t> </w:t>
      </w:r>
      <w:r>
        <w:rPr/>
        <w:t>open</w:t>
      </w:r>
      <w:r>
        <w:rPr>
          <w:spacing w:val="-1"/>
        </w:rPr>
        <w:t> </w:t>
      </w:r>
      <w:r>
        <w:rPr>
          <w:spacing w:val="-2"/>
        </w:rPr>
        <w:t>spaces.</w:t>
      </w:r>
    </w:p>
    <w:p>
      <w:pPr>
        <w:pStyle w:val="ListParagraph"/>
        <w:numPr>
          <w:ilvl w:val="1"/>
          <w:numId w:val="311"/>
        </w:numPr>
        <w:tabs>
          <w:tab w:pos="2200" w:val="left" w:leader="none"/>
        </w:tabs>
        <w:spacing w:line="240" w:lineRule="auto" w:before="0" w:after="0"/>
        <w:ind w:left="1906" w:right="773" w:firstLine="0"/>
        <w:jc w:val="both"/>
        <w:rPr>
          <w:sz w:val="24"/>
        </w:rPr>
      </w:pPr>
      <w:r>
        <w:rPr>
          <w:sz w:val="24"/>
        </w:rPr>
        <w:t>In</w:t>
      </w:r>
      <w:r>
        <w:rPr>
          <w:spacing w:val="-7"/>
          <w:sz w:val="24"/>
        </w:rPr>
        <w:t> </w:t>
      </w:r>
      <w:r>
        <w:rPr>
          <w:sz w:val="24"/>
        </w:rPr>
        <w:t>case</w:t>
      </w:r>
      <w:r>
        <w:rPr>
          <w:spacing w:val="-7"/>
          <w:sz w:val="24"/>
        </w:rPr>
        <w:t> </w:t>
      </w:r>
      <w:r>
        <w:rPr>
          <w:sz w:val="24"/>
        </w:rPr>
        <w:t>of</w:t>
      </w:r>
      <w:r>
        <w:rPr>
          <w:spacing w:val="-7"/>
          <w:sz w:val="24"/>
        </w:rPr>
        <w:t> </w:t>
      </w:r>
      <w:r>
        <w:rPr>
          <w:sz w:val="24"/>
        </w:rPr>
        <w:t>rehabilitation/composite</w:t>
      </w:r>
      <w:r>
        <w:rPr>
          <w:spacing w:val="-7"/>
          <w:sz w:val="24"/>
        </w:rPr>
        <w:t> </w:t>
      </w:r>
      <w:r>
        <w:rPr>
          <w:sz w:val="24"/>
        </w:rPr>
        <w:t>buildings</w:t>
      </w:r>
      <w:r>
        <w:rPr>
          <w:spacing w:val="-7"/>
          <w:sz w:val="24"/>
        </w:rPr>
        <w:t> </w:t>
      </w:r>
      <w:r>
        <w:rPr>
          <w:sz w:val="24"/>
        </w:rPr>
        <w:t>having</w:t>
      </w:r>
      <w:r>
        <w:rPr>
          <w:spacing w:val="-7"/>
          <w:sz w:val="24"/>
        </w:rPr>
        <w:t> </w:t>
      </w:r>
      <w:r>
        <w:rPr>
          <w:sz w:val="24"/>
        </w:rPr>
        <w:t>height</w:t>
      </w:r>
      <w:r>
        <w:rPr>
          <w:spacing w:val="-7"/>
          <w:sz w:val="24"/>
        </w:rPr>
        <w:t> </w:t>
      </w:r>
      <w:r>
        <w:rPr>
          <w:sz w:val="24"/>
        </w:rPr>
        <w:t>more</w:t>
      </w:r>
      <w:r>
        <w:rPr>
          <w:spacing w:val="-7"/>
          <w:sz w:val="24"/>
        </w:rPr>
        <w:t> </w:t>
      </w:r>
      <w:r>
        <w:rPr>
          <w:sz w:val="24"/>
        </w:rPr>
        <w:t>than 70</w:t>
      </w:r>
      <w:r>
        <w:rPr>
          <w:spacing w:val="-2"/>
          <w:sz w:val="24"/>
        </w:rPr>
        <w:t> </w:t>
      </w:r>
      <w:r>
        <w:rPr>
          <w:sz w:val="24"/>
        </w:rPr>
        <w:t>m,</w:t>
      </w:r>
      <w:r>
        <w:rPr>
          <w:spacing w:val="-2"/>
          <w:sz w:val="24"/>
        </w:rPr>
        <w:t> </w:t>
      </w:r>
      <w:r>
        <w:rPr>
          <w:sz w:val="24"/>
        </w:rPr>
        <w:t>at</w:t>
      </w:r>
      <w:r>
        <w:rPr>
          <w:spacing w:val="-2"/>
          <w:sz w:val="24"/>
        </w:rPr>
        <w:t> </w:t>
      </w:r>
      <w:r>
        <w:rPr>
          <w:sz w:val="24"/>
        </w:rPr>
        <w:t>least</w:t>
      </w:r>
      <w:r>
        <w:rPr>
          <w:spacing w:val="-1"/>
          <w:sz w:val="24"/>
        </w:rPr>
        <w:t> </w:t>
      </w:r>
      <w:r>
        <w:rPr>
          <w:sz w:val="24"/>
        </w:rPr>
        <w:t>one</w:t>
      </w:r>
      <w:r>
        <w:rPr>
          <w:spacing w:val="-2"/>
          <w:sz w:val="24"/>
        </w:rPr>
        <w:t> </w:t>
      </w:r>
      <w:r>
        <w:rPr>
          <w:sz w:val="24"/>
        </w:rPr>
        <w:t>side</w:t>
      </w:r>
      <w:r>
        <w:rPr>
          <w:spacing w:val="-2"/>
          <w:sz w:val="24"/>
        </w:rPr>
        <w:t> </w:t>
      </w:r>
      <w:r>
        <w:rPr>
          <w:sz w:val="24"/>
        </w:rPr>
        <w:t>other</w:t>
      </w:r>
      <w:r>
        <w:rPr>
          <w:spacing w:val="-2"/>
          <w:sz w:val="24"/>
        </w:rPr>
        <w:t> </w:t>
      </w:r>
      <w:r>
        <w:rPr>
          <w:sz w:val="24"/>
        </w:rPr>
        <w:t>than</w:t>
      </w:r>
      <w:r>
        <w:rPr>
          <w:spacing w:val="-2"/>
          <w:sz w:val="24"/>
        </w:rPr>
        <w:t> </w:t>
      </w:r>
      <w:r>
        <w:rPr>
          <w:sz w:val="24"/>
        </w:rPr>
        <w:t>road</w:t>
      </w:r>
      <w:r>
        <w:rPr>
          <w:spacing w:val="-1"/>
          <w:sz w:val="24"/>
        </w:rPr>
        <w:t> </w:t>
      </w:r>
      <w:r>
        <w:rPr>
          <w:sz w:val="24"/>
        </w:rPr>
        <w:t>side,</w:t>
      </w:r>
      <w:r>
        <w:rPr>
          <w:spacing w:val="-2"/>
          <w:sz w:val="24"/>
        </w:rPr>
        <w:t> </w:t>
      </w:r>
      <w:r>
        <w:rPr>
          <w:sz w:val="24"/>
        </w:rPr>
        <w:t>shall</w:t>
      </w:r>
      <w:r>
        <w:rPr>
          <w:spacing w:val="-2"/>
          <w:sz w:val="24"/>
        </w:rPr>
        <w:t> </w:t>
      </w:r>
      <w:r>
        <w:rPr>
          <w:sz w:val="24"/>
        </w:rPr>
        <w:t>have</w:t>
      </w:r>
      <w:r>
        <w:rPr>
          <w:spacing w:val="-2"/>
          <w:sz w:val="24"/>
        </w:rPr>
        <w:t> </w:t>
      </w:r>
      <w:r>
        <w:rPr>
          <w:sz w:val="24"/>
        </w:rPr>
        <w:t>clear open</w:t>
      </w:r>
      <w:r>
        <w:rPr>
          <w:spacing w:val="-2"/>
          <w:sz w:val="24"/>
        </w:rPr>
        <w:t> </w:t>
      </w:r>
      <w:r>
        <w:rPr>
          <w:sz w:val="24"/>
        </w:rPr>
        <w:t>space of 9 m at ground level, accessible from road side.</w:t>
      </w:r>
    </w:p>
    <w:p>
      <w:pPr>
        <w:pStyle w:val="BodyText"/>
        <w:spacing w:before="242"/>
        <w:ind w:left="1906" w:right="769"/>
      </w:pPr>
      <w:r>
        <w:rPr/>
        <w:t>However if the podium is proposed it shall not extend beyond 6m from building</w:t>
      </w:r>
      <w:r>
        <w:rPr>
          <w:spacing w:val="-3"/>
        </w:rPr>
        <w:t> </w:t>
      </w:r>
      <w:r>
        <w:rPr/>
        <w:t>line</w:t>
      </w:r>
      <w:r>
        <w:rPr>
          <w:spacing w:val="-3"/>
        </w:rPr>
        <w:t> </w:t>
      </w:r>
      <w:r>
        <w:rPr/>
        <w:t>and</w:t>
      </w:r>
      <w:r>
        <w:rPr>
          <w:spacing w:val="-3"/>
        </w:rPr>
        <w:t> </w:t>
      </w:r>
      <w:r>
        <w:rPr/>
        <w:t>shall</w:t>
      </w:r>
      <w:r>
        <w:rPr>
          <w:spacing w:val="-3"/>
        </w:rPr>
        <w:t> </w:t>
      </w:r>
      <w:r>
        <w:rPr/>
        <w:t>have</w:t>
      </w:r>
      <w:r>
        <w:rPr>
          <w:spacing w:val="-3"/>
        </w:rPr>
        <w:t> </w:t>
      </w:r>
      <w:r>
        <w:rPr/>
        <w:t>clear</w:t>
      </w:r>
      <w:r>
        <w:rPr>
          <w:spacing w:val="-3"/>
        </w:rPr>
        <w:t> </w:t>
      </w:r>
      <w:r>
        <w:rPr/>
        <w:t>open</w:t>
      </w:r>
      <w:r>
        <w:rPr>
          <w:spacing w:val="-3"/>
        </w:rPr>
        <w:t> </w:t>
      </w:r>
      <w:r>
        <w:rPr/>
        <w:t>space</w:t>
      </w:r>
      <w:r>
        <w:rPr>
          <w:spacing w:val="-3"/>
        </w:rPr>
        <w:t> </w:t>
      </w:r>
      <w:r>
        <w:rPr/>
        <w:t>of</w:t>
      </w:r>
      <w:r>
        <w:rPr>
          <w:spacing w:val="-3"/>
        </w:rPr>
        <w:t> </w:t>
      </w:r>
      <w:r>
        <w:rPr/>
        <w:t>9m</w:t>
      </w:r>
      <w:r>
        <w:rPr>
          <w:spacing w:val="-3"/>
        </w:rPr>
        <w:t> </w:t>
      </w:r>
      <w:r>
        <w:rPr/>
        <w:t>at</w:t>
      </w:r>
      <w:r>
        <w:rPr>
          <w:spacing w:val="-3"/>
        </w:rPr>
        <w:t> </w:t>
      </w:r>
      <w:r>
        <w:rPr/>
        <w:t>ground</w:t>
      </w:r>
      <w:r>
        <w:rPr>
          <w:spacing w:val="-3"/>
        </w:rPr>
        <w:t> </w:t>
      </w:r>
      <w:r>
        <w:rPr/>
        <w:t>level</w:t>
      </w:r>
      <w:r>
        <w:rPr>
          <w:spacing w:val="-3"/>
        </w:rPr>
        <w:t> </w:t>
      </w:r>
      <w:r>
        <w:rPr/>
        <w:t>OR</w:t>
      </w:r>
      <w:r>
        <w:rPr>
          <w:spacing w:val="-3"/>
        </w:rPr>
        <w:t> </w:t>
      </w:r>
      <w:r>
        <w:rPr/>
        <w:t>if the</w:t>
      </w:r>
      <w:r>
        <w:rPr>
          <w:spacing w:val="-3"/>
        </w:rPr>
        <w:t> </w:t>
      </w:r>
      <w:r>
        <w:rPr/>
        <w:t>podium</w:t>
      </w:r>
      <w:r>
        <w:rPr>
          <w:spacing w:val="-4"/>
        </w:rPr>
        <w:t> </w:t>
      </w:r>
      <w:r>
        <w:rPr/>
        <w:t>is</w:t>
      </w:r>
      <w:r>
        <w:rPr>
          <w:spacing w:val="-3"/>
        </w:rPr>
        <w:t> </w:t>
      </w:r>
      <w:r>
        <w:rPr/>
        <w:t>proposed</w:t>
      </w:r>
      <w:r>
        <w:rPr>
          <w:spacing w:val="-3"/>
        </w:rPr>
        <w:t> </w:t>
      </w:r>
      <w:r>
        <w:rPr/>
        <w:t>it</w:t>
      </w:r>
      <w:r>
        <w:rPr>
          <w:spacing w:val="-3"/>
        </w:rPr>
        <w:t> </w:t>
      </w:r>
      <w:r>
        <w:rPr/>
        <w:t>shall</w:t>
      </w:r>
      <w:r>
        <w:rPr>
          <w:spacing w:val="-3"/>
        </w:rPr>
        <w:t> </w:t>
      </w:r>
      <w:r>
        <w:rPr/>
        <w:t>not</w:t>
      </w:r>
      <w:r>
        <w:rPr>
          <w:spacing w:val="-3"/>
        </w:rPr>
        <w:t> </w:t>
      </w:r>
      <w:r>
        <w:rPr/>
        <w:t>extend</w:t>
      </w:r>
      <w:r>
        <w:rPr>
          <w:spacing w:val="-3"/>
        </w:rPr>
        <w:t> </w:t>
      </w:r>
      <w:r>
        <w:rPr/>
        <w:t>beyond</w:t>
      </w:r>
      <w:r>
        <w:rPr>
          <w:spacing w:val="-3"/>
        </w:rPr>
        <w:t> </w:t>
      </w:r>
      <w:r>
        <w:rPr/>
        <w:t>6m</w:t>
      </w:r>
      <w:r>
        <w:rPr>
          <w:spacing w:val="-3"/>
        </w:rPr>
        <w:t> </w:t>
      </w:r>
      <w:r>
        <w:rPr/>
        <w:t>from</w:t>
      </w:r>
      <w:r>
        <w:rPr>
          <w:spacing w:val="-3"/>
        </w:rPr>
        <w:t> </w:t>
      </w:r>
      <w:r>
        <w:rPr/>
        <w:t>building</w:t>
      </w:r>
      <w:r>
        <w:rPr>
          <w:spacing w:val="-3"/>
        </w:rPr>
        <w:t> </w:t>
      </w:r>
      <w:r>
        <w:rPr/>
        <w:t>line and shall have clear open space of 6 m beyond podium &amp; 9m at ground level</w:t>
      </w:r>
      <w:r>
        <w:rPr>
          <w:spacing w:val="-10"/>
        </w:rPr>
        <w:t> </w:t>
      </w:r>
      <w:r>
        <w:rPr/>
        <w:t>with</w:t>
      </w:r>
      <w:r>
        <w:rPr>
          <w:spacing w:val="-10"/>
        </w:rPr>
        <w:t> </w:t>
      </w:r>
      <w:r>
        <w:rPr/>
        <w:t>clear</w:t>
      </w:r>
      <w:r>
        <w:rPr>
          <w:spacing w:val="-10"/>
        </w:rPr>
        <w:t> </w:t>
      </w:r>
      <w:r>
        <w:rPr/>
        <w:t>height</w:t>
      </w:r>
      <w:r>
        <w:rPr>
          <w:spacing w:val="-10"/>
        </w:rPr>
        <w:t> </w:t>
      </w:r>
      <w:r>
        <w:rPr/>
        <w:t>of</w:t>
      </w:r>
      <w:r>
        <w:rPr>
          <w:spacing w:val="-10"/>
        </w:rPr>
        <w:t> </w:t>
      </w:r>
      <w:r>
        <w:rPr/>
        <w:t>4.5</w:t>
      </w:r>
      <w:r>
        <w:rPr>
          <w:spacing w:val="-10"/>
        </w:rPr>
        <w:t> </w:t>
      </w:r>
      <w:r>
        <w:rPr/>
        <w:t>m</w:t>
      </w:r>
      <w:r>
        <w:rPr>
          <w:spacing w:val="-10"/>
        </w:rPr>
        <w:t> </w:t>
      </w:r>
      <w:r>
        <w:rPr/>
        <w:t>from</w:t>
      </w:r>
      <w:r>
        <w:rPr>
          <w:spacing w:val="-10"/>
        </w:rPr>
        <w:t> </w:t>
      </w:r>
      <w:r>
        <w:rPr/>
        <w:t>ground</w:t>
      </w:r>
      <w:r>
        <w:rPr>
          <w:spacing w:val="-10"/>
        </w:rPr>
        <w:t> </w:t>
      </w:r>
      <w:r>
        <w:rPr/>
        <w:t>to</w:t>
      </w:r>
      <w:r>
        <w:rPr>
          <w:spacing w:val="-10"/>
        </w:rPr>
        <w:t> </w:t>
      </w:r>
      <w:r>
        <w:rPr/>
        <w:t>podium</w:t>
      </w:r>
      <w:r>
        <w:rPr>
          <w:spacing w:val="-10"/>
        </w:rPr>
        <w:t> </w:t>
      </w:r>
      <w:r>
        <w:rPr/>
        <w:t>(below</w:t>
      </w:r>
      <w:r>
        <w:rPr>
          <w:spacing w:val="-12"/>
        </w:rPr>
        <w:t> </w:t>
      </w:r>
      <w:r>
        <w:rPr/>
        <w:t>soffit</w:t>
      </w:r>
      <w:r>
        <w:rPr>
          <w:spacing w:val="-10"/>
        </w:rPr>
        <w:t> </w:t>
      </w:r>
      <w:r>
        <w:rPr/>
        <w:t>of</w:t>
      </w:r>
      <w:r>
        <w:rPr>
          <w:spacing w:val="-10"/>
        </w:rPr>
        <w:t> </w:t>
      </w:r>
      <w:r>
        <w:rPr/>
        <w:t>the beam) for accessibility of fire appliances.</w:t>
      </w:r>
    </w:p>
    <w:p>
      <w:pPr>
        <w:pStyle w:val="BodyText"/>
        <w:spacing w:before="240"/>
        <w:ind w:left="1906"/>
      </w:pPr>
      <w:r>
        <w:rPr/>
        <w:t>No</w:t>
      </w:r>
      <w:r>
        <w:rPr>
          <w:spacing w:val="-1"/>
        </w:rPr>
        <w:t> </w:t>
      </w:r>
      <w:r>
        <w:rPr/>
        <w:t>ramps</w:t>
      </w:r>
      <w:r>
        <w:rPr>
          <w:spacing w:val="-1"/>
        </w:rPr>
        <w:t> </w:t>
      </w:r>
      <w:r>
        <w:rPr/>
        <w:t>for</w:t>
      </w:r>
      <w:r>
        <w:rPr>
          <w:spacing w:val="-1"/>
        </w:rPr>
        <w:t> </w:t>
      </w:r>
      <w:r>
        <w:rPr/>
        <w:t>the</w:t>
      </w:r>
      <w:r>
        <w:rPr>
          <w:spacing w:val="-1"/>
        </w:rPr>
        <w:t> </w:t>
      </w:r>
      <w:r>
        <w:rPr/>
        <w:t>podium</w:t>
      </w:r>
      <w:r>
        <w:rPr>
          <w:spacing w:val="-1"/>
        </w:rPr>
        <w:t> </w:t>
      </w:r>
      <w:r>
        <w:rPr/>
        <w:t>shall</w:t>
      </w:r>
      <w:r>
        <w:rPr>
          <w:spacing w:val="-1"/>
        </w:rPr>
        <w:t> </w:t>
      </w:r>
      <w:r>
        <w:rPr/>
        <w:t>be</w:t>
      </w:r>
      <w:r>
        <w:rPr>
          <w:spacing w:val="-1"/>
        </w:rPr>
        <w:t> </w:t>
      </w:r>
      <w:r>
        <w:rPr/>
        <w:t>provided</w:t>
      </w:r>
      <w:r>
        <w:rPr>
          <w:spacing w:val="-1"/>
        </w:rPr>
        <w:t> </w:t>
      </w:r>
      <w:r>
        <w:rPr/>
        <w:t>in</w:t>
      </w:r>
      <w:r>
        <w:rPr>
          <w:spacing w:val="-1"/>
        </w:rPr>
        <w:t> </w:t>
      </w:r>
      <w:r>
        <w:rPr/>
        <w:t>these</w:t>
      </w:r>
      <w:r>
        <w:rPr>
          <w:spacing w:val="-1"/>
        </w:rPr>
        <w:t> </w:t>
      </w:r>
      <w:r>
        <w:rPr/>
        <w:t>side</w:t>
      </w:r>
      <w:r>
        <w:rPr>
          <w:spacing w:val="-1"/>
        </w:rPr>
        <w:t> </w:t>
      </w:r>
      <w:r>
        <w:rPr/>
        <w:t>open</w:t>
      </w:r>
      <w:r>
        <w:rPr>
          <w:spacing w:val="-1"/>
        </w:rPr>
        <w:t> </w:t>
      </w:r>
      <w:r>
        <w:rPr>
          <w:spacing w:val="-2"/>
        </w:rPr>
        <w:t>spaces.</w:t>
      </w:r>
    </w:p>
    <w:p>
      <w:pPr>
        <w:pStyle w:val="ListParagraph"/>
        <w:numPr>
          <w:ilvl w:val="0"/>
          <w:numId w:val="311"/>
        </w:numPr>
        <w:tabs>
          <w:tab w:pos="1891" w:val="left" w:leader="none"/>
        </w:tabs>
        <w:spacing w:line="240" w:lineRule="auto" w:before="239" w:after="0"/>
        <w:ind w:left="1891" w:right="0" w:hanging="398"/>
        <w:jc w:val="both"/>
        <w:rPr>
          <w:sz w:val="24"/>
        </w:rPr>
      </w:pPr>
      <w:r>
        <w:rPr>
          <w:sz w:val="24"/>
        </w:rPr>
        <w:t>For</w:t>
      </w:r>
      <w:r>
        <w:rPr>
          <w:spacing w:val="-1"/>
          <w:sz w:val="24"/>
        </w:rPr>
        <w:t> </w:t>
      </w:r>
      <w:r>
        <w:rPr>
          <w:sz w:val="24"/>
        </w:rPr>
        <w:t>the</w:t>
      </w:r>
      <w:r>
        <w:rPr>
          <w:spacing w:val="-2"/>
          <w:sz w:val="24"/>
        </w:rPr>
        <w:t> </w:t>
      </w:r>
      <w:r>
        <w:rPr>
          <w:sz w:val="24"/>
        </w:rPr>
        <w:t>proposals, other</w:t>
      </w:r>
      <w:r>
        <w:rPr>
          <w:spacing w:val="-1"/>
          <w:sz w:val="24"/>
        </w:rPr>
        <w:t> </w:t>
      </w:r>
      <w:r>
        <w:rPr>
          <w:sz w:val="24"/>
        </w:rPr>
        <w:t>than</w:t>
      </w:r>
      <w:r>
        <w:rPr>
          <w:spacing w:val="-1"/>
          <w:sz w:val="24"/>
        </w:rPr>
        <w:t> </w:t>
      </w:r>
      <w:r>
        <w:rPr>
          <w:sz w:val="24"/>
        </w:rPr>
        <w:t>(A) </w:t>
      </w:r>
      <w:r>
        <w:rPr>
          <w:spacing w:val="-2"/>
          <w:sz w:val="24"/>
        </w:rPr>
        <w:t>above</w:t>
      </w:r>
    </w:p>
    <w:p>
      <w:pPr>
        <w:pStyle w:val="ListParagraph"/>
        <w:spacing w:after="0" w:line="240" w:lineRule="auto"/>
        <w:jc w:val="both"/>
        <w:rPr>
          <w:sz w:val="24"/>
        </w:rPr>
        <w:sectPr>
          <w:headerReference w:type="default" r:id="rId67"/>
          <w:footerReference w:type="default" r:id="rId68"/>
          <w:pgSz w:w="11910" w:h="16840"/>
          <w:pgMar w:header="1065" w:footer="1194" w:top="1500" w:bottom="1380" w:left="360" w:right="360"/>
        </w:sectPr>
      </w:pPr>
    </w:p>
    <w:p>
      <w:pPr>
        <w:pStyle w:val="ListParagraph"/>
        <w:numPr>
          <w:ilvl w:val="0"/>
          <w:numId w:val="312"/>
        </w:numPr>
        <w:tabs>
          <w:tab w:pos="1853" w:val="left" w:leader="none"/>
          <w:tab w:pos="1878" w:val="left" w:leader="none"/>
        </w:tabs>
        <w:spacing w:line="240" w:lineRule="auto" w:before="249" w:after="0"/>
        <w:ind w:left="1853" w:right="773" w:hanging="360"/>
        <w:jc w:val="both"/>
        <w:rPr>
          <w:sz w:val="24"/>
        </w:rPr>
      </w:pPr>
      <w:r>
        <w:rPr>
          <w:sz w:val="24"/>
        </w:rPr>
        <w:t>Buildings</w:t>
      </w:r>
      <w:r>
        <w:rPr>
          <w:sz w:val="24"/>
        </w:rPr>
        <w:t> having height more than 32 m upto 70 m, at least one side, accessible from road side, shall have clear open space of 9 m at ground </w:t>
      </w:r>
      <w:r>
        <w:rPr>
          <w:spacing w:val="-2"/>
          <w:sz w:val="24"/>
        </w:rPr>
        <w:t>level.</w:t>
      </w:r>
    </w:p>
    <w:p>
      <w:pPr>
        <w:pStyle w:val="BodyText"/>
        <w:spacing w:before="242"/>
        <w:ind w:left="1853" w:right="770"/>
      </w:pPr>
      <w:r>
        <w:rPr/>
        <w:t>Provided, if the building abuts another road of 6 m or more and clear space of 9m at ground level is available including abutting road or building abuts another road of 9m then this condition shall not be insisted upon.</w:t>
      </w:r>
    </w:p>
    <w:p>
      <w:pPr>
        <w:pStyle w:val="BodyText"/>
        <w:spacing w:before="239"/>
        <w:ind w:left="1853" w:right="769" w:firstLine="76"/>
      </w:pPr>
      <w:r>
        <w:rPr/>
        <w:t>However, if podium is proposed it shall not extend beyond 6m from building line and shall have clear open space of 9m at ground level OR if the podium is proposed it shall not extend beyond 6m from building line and shall</w:t>
      </w:r>
      <w:r>
        <w:rPr>
          <w:spacing w:val="80"/>
        </w:rPr>
        <w:t> </w:t>
      </w:r>
      <w:r>
        <w:rPr/>
        <w:t>have clear open space of 6m beyond podium &amp; 9m at ground level</w:t>
      </w:r>
      <w:r>
        <w:rPr>
          <w:spacing w:val="-7"/>
        </w:rPr>
        <w:t> </w:t>
      </w:r>
      <w:r>
        <w:rPr/>
        <w:t>with</w:t>
      </w:r>
      <w:r>
        <w:rPr>
          <w:spacing w:val="-7"/>
        </w:rPr>
        <w:t> </w:t>
      </w:r>
      <w:r>
        <w:rPr/>
        <w:t>clear</w:t>
      </w:r>
      <w:r>
        <w:rPr>
          <w:spacing w:val="-7"/>
        </w:rPr>
        <w:t> </w:t>
      </w:r>
      <w:r>
        <w:rPr/>
        <w:t>height</w:t>
      </w:r>
      <w:r>
        <w:rPr>
          <w:spacing w:val="-7"/>
        </w:rPr>
        <w:t> </w:t>
      </w:r>
      <w:r>
        <w:rPr/>
        <w:t>of</w:t>
      </w:r>
      <w:r>
        <w:rPr>
          <w:spacing w:val="-7"/>
        </w:rPr>
        <w:t> </w:t>
      </w:r>
      <w:r>
        <w:rPr/>
        <w:t>4.5</w:t>
      </w:r>
      <w:r>
        <w:rPr>
          <w:spacing w:val="-7"/>
        </w:rPr>
        <w:t> </w:t>
      </w:r>
      <w:r>
        <w:rPr/>
        <w:t>m</w:t>
      </w:r>
      <w:r>
        <w:rPr>
          <w:spacing w:val="-7"/>
        </w:rPr>
        <w:t> </w:t>
      </w:r>
      <w:r>
        <w:rPr/>
        <w:t>from</w:t>
      </w:r>
      <w:r>
        <w:rPr>
          <w:spacing w:val="-5"/>
        </w:rPr>
        <w:t> </w:t>
      </w:r>
      <w:r>
        <w:rPr/>
        <w:t>ground</w:t>
      </w:r>
      <w:r>
        <w:rPr>
          <w:spacing w:val="-7"/>
        </w:rPr>
        <w:t> </w:t>
      </w:r>
      <w:r>
        <w:rPr/>
        <w:t>to</w:t>
      </w:r>
      <w:r>
        <w:rPr>
          <w:spacing w:val="-7"/>
        </w:rPr>
        <w:t> </w:t>
      </w:r>
      <w:r>
        <w:rPr/>
        <w:t>podium</w:t>
      </w:r>
      <w:r>
        <w:rPr>
          <w:spacing w:val="-7"/>
        </w:rPr>
        <w:t> </w:t>
      </w:r>
      <w:r>
        <w:rPr/>
        <w:t>(below</w:t>
      </w:r>
      <w:r>
        <w:rPr>
          <w:spacing w:val="-5"/>
        </w:rPr>
        <w:t> </w:t>
      </w:r>
      <w:r>
        <w:rPr/>
        <w:t>soffit</w:t>
      </w:r>
      <w:r>
        <w:rPr>
          <w:spacing w:val="-5"/>
        </w:rPr>
        <w:t> </w:t>
      </w:r>
      <w:r>
        <w:rPr/>
        <w:t>of</w:t>
      </w:r>
      <w:r>
        <w:rPr>
          <w:spacing w:val="-7"/>
        </w:rPr>
        <w:t> </w:t>
      </w:r>
      <w:r>
        <w:rPr/>
        <w:t>the beam) for accessibility of fire appliances.</w:t>
      </w:r>
    </w:p>
    <w:p>
      <w:pPr>
        <w:pStyle w:val="BodyText"/>
        <w:spacing w:before="240"/>
        <w:ind w:left="1853"/>
      </w:pPr>
      <w:r>
        <w:rPr/>
        <w:t>No</w:t>
      </w:r>
      <w:r>
        <w:rPr>
          <w:spacing w:val="-1"/>
        </w:rPr>
        <w:t> </w:t>
      </w:r>
      <w:r>
        <w:rPr/>
        <w:t>ramps</w:t>
      </w:r>
      <w:r>
        <w:rPr>
          <w:spacing w:val="-1"/>
        </w:rPr>
        <w:t> </w:t>
      </w:r>
      <w:r>
        <w:rPr/>
        <w:t>for</w:t>
      </w:r>
      <w:r>
        <w:rPr>
          <w:spacing w:val="-1"/>
        </w:rPr>
        <w:t> </w:t>
      </w:r>
      <w:r>
        <w:rPr/>
        <w:t>the</w:t>
      </w:r>
      <w:r>
        <w:rPr>
          <w:spacing w:val="-1"/>
        </w:rPr>
        <w:t> </w:t>
      </w:r>
      <w:r>
        <w:rPr/>
        <w:t>podium</w:t>
      </w:r>
      <w:r>
        <w:rPr>
          <w:spacing w:val="-1"/>
        </w:rPr>
        <w:t> </w:t>
      </w:r>
      <w:r>
        <w:rPr/>
        <w:t>shall</w:t>
      </w:r>
      <w:r>
        <w:rPr>
          <w:spacing w:val="-1"/>
        </w:rPr>
        <w:t> </w:t>
      </w:r>
      <w:r>
        <w:rPr/>
        <w:t>be</w:t>
      </w:r>
      <w:r>
        <w:rPr>
          <w:spacing w:val="-1"/>
        </w:rPr>
        <w:t> </w:t>
      </w:r>
      <w:r>
        <w:rPr/>
        <w:t>provided</w:t>
      </w:r>
      <w:r>
        <w:rPr>
          <w:spacing w:val="-1"/>
        </w:rPr>
        <w:t> </w:t>
      </w:r>
      <w:r>
        <w:rPr/>
        <w:t>in</w:t>
      </w:r>
      <w:r>
        <w:rPr>
          <w:spacing w:val="-1"/>
        </w:rPr>
        <w:t> </w:t>
      </w:r>
      <w:r>
        <w:rPr/>
        <w:t>these</w:t>
      </w:r>
      <w:r>
        <w:rPr>
          <w:spacing w:val="-1"/>
        </w:rPr>
        <w:t> </w:t>
      </w:r>
      <w:r>
        <w:rPr/>
        <w:t>side</w:t>
      </w:r>
      <w:r>
        <w:rPr>
          <w:spacing w:val="-1"/>
        </w:rPr>
        <w:t> </w:t>
      </w:r>
      <w:r>
        <w:rPr/>
        <w:t>open</w:t>
      </w:r>
      <w:r>
        <w:rPr>
          <w:spacing w:val="-1"/>
        </w:rPr>
        <w:t> </w:t>
      </w:r>
      <w:r>
        <w:rPr>
          <w:spacing w:val="-2"/>
        </w:rPr>
        <w:t>spaces.</w:t>
      </w:r>
    </w:p>
    <w:p>
      <w:pPr>
        <w:pStyle w:val="ListParagraph"/>
        <w:numPr>
          <w:ilvl w:val="0"/>
          <w:numId w:val="312"/>
        </w:numPr>
        <w:tabs>
          <w:tab w:pos="1853" w:val="left" w:leader="none"/>
          <w:tab w:pos="1954" w:val="left" w:leader="none"/>
        </w:tabs>
        <w:spacing w:line="240" w:lineRule="auto" w:before="241" w:after="0"/>
        <w:ind w:left="1853" w:right="775" w:hanging="284"/>
        <w:jc w:val="both"/>
        <w:rPr>
          <w:sz w:val="24"/>
        </w:rPr>
      </w:pPr>
      <w:r>
        <w:rPr>
          <w:sz w:val="24"/>
        </w:rPr>
        <w:t>Buildings having height more than 70 m, at least two sides, accessible from road side, shall have clear open space of 9 m at ground level.</w:t>
      </w:r>
    </w:p>
    <w:p>
      <w:pPr>
        <w:pStyle w:val="Heading5"/>
        <w:spacing w:before="241"/>
        <w:ind w:left="1853" w:right="768"/>
        <w:jc w:val="both"/>
      </w:pPr>
      <w:r>
        <w:rPr/>
        <w:t>Provided, if the building abuts two roads of 9 m or more, then clear open</w:t>
      </w:r>
      <w:r>
        <w:rPr>
          <w:spacing w:val="-21"/>
        </w:rPr>
        <w:t> </w:t>
      </w:r>
      <w:r>
        <w:rPr/>
        <w:t>space</w:t>
      </w:r>
      <w:r>
        <w:rPr>
          <w:spacing w:val="-20"/>
        </w:rPr>
        <w:t> </w:t>
      </w:r>
      <w:r>
        <w:rPr/>
        <w:t>of</w:t>
      </w:r>
      <w:r>
        <w:rPr>
          <w:spacing w:val="-21"/>
        </w:rPr>
        <w:t> </w:t>
      </w:r>
      <w:r>
        <w:rPr/>
        <w:t>9</w:t>
      </w:r>
      <w:r>
        <w:rPr>
          <w:spacing w:val="-20"/>
        </w:rPr>
        <w:t> </w:t>
      </w:r>
      <w:r>
        <w:rPr/>
        <w:t>m</w:t>
      </w:r>
      <w:r>
        <w:rPr>
          <w:spacing w:val="-20"/>
        </w:rPr>
        <w:t> </w:t>
      </w:r>
      <w:r>
        <w:rPr/>
        <w:t>at</w:t>
      </w:r>
      <w:r>
        <w:rPr>
          <w:spacing w:val="-21"/>
        </w:rPr>
        <w:t> </w:t>
      </w:r>
      <w:r>
        <w:rPr/>
        <w:t>ground</w:t>
      </w:r>
      <w:r>
        <w:rPr>
          <w:spacing w:val="-20"/>
        </w:rPr>
        <w:t> </w:t>
      </w:r>
      <w:r>
        <w:rPr/>
        <w:t>level</w:t>
      </w:r>
      <w:r>
        <w:rPr>
          <w:spacing w:val="-21"/>
        </w:rPr>
        <w:t> </w:t>
      </w:r>
      <w:r>
        <w:rPr/>
        <w:t>on</w:t>
      </w:r>
      <w:r>
        <w:rPr>
          <w:spacing w:val="-20"/>
        </w:rPr>
        <w:t> </w:t>
      </w:r>
      <w:r>
        <w:rPr/>
        <w:t>one</w:t>
      </w:r>
      <w:r>
        <w:rPr>
          <w:spacing w:val="-20"/>
        </w:rPr>
        <w:t> </w:t>
      </w:r>
      <w:r>
        <w:rPr/>
        <w:t>side</w:t>
      </w:r>
      <w:r>
        <w:rPr>
          <w:spacing w:val="-21"/>
        </w:rPr>
        <w:t> </w:t>
      </w:r>
      <w:r>
        <w:rPr/>
        <w:t>deemed</w:t>
      </w:r>
      <w:r>
        <w:rPr>
          <w:spacing w:val="-20"/>
        </w:rPr>
        <w:t> </w:t>
      </w:r>
      <w:r>
        <w:rPr/>
        <w:t>to</w:t>
      </w:r>
      <w:r>
        <w:rPr>
          <w:spacing w:val="-21"/>
        </w:rPr>
        <w:t> </w:t>
      </w:r>
      <w:r>
        <w:rPr/>
        <w:t>be</w:t>
      </w:r>
      <w:r>
        <w:rPr>
          <w:spacing w:val="-22"/>
        </w:rPr>
        <w:t> </w:t>
      </w:r>
      <w:r>
        <w:rPr/>
        <w:t>sufficient.</w:t>
      </w:r>
    </w:p>
    <w:p>
      <w:pPr>
        <w:spacing w:before="238"/>
        <w:ind w:left="1853" w:right="769" w:firstLine="0"/>
        <w:jc w:val="both"/>
        <w:rPr>
          <w:b/>
          <w:sz w:val="24"/>
        </w:rPr>
      </w:pPr>
      <w:r>
        <w:rPr>
          <w:sz w:val="24"/>
        </w:rPr>
        <w:t>Provided however, if podium is proposed it shall not extend </w:t>
      </w:r>
      <w:r>
        <w:rPr>
          <w:b/>
          <w:sz w:val="24"/>
        </w:rPr>
        <w:t>beyond </w:t>
      </w:r>
      <w:r>
        <w:rPr>
          <w:sz w:val="24"/>
        </w:rPr>
        <w:t>6 m </w:t>
      </w:r>
      <w:r>
        <w:rPr>
          <w:b/>
          <w:sz w:val="24"/>
        </w:rPr>
        <w:t>from</w:t>
      </w:r>
      <w:r>
        <w:rPr>
          <w:b/>
          <w:spacing w:val="40"/>
          <w:sz w:val="24"/>
        </w:rPr>
        <w:t> </w:t>
      </w:r>
      <w:r>
        <w:rPr>
          <w:sz w:val="24"/>
        </w:rPr>
        <w:t>building line</w:t>
      </w:r>
      <w:r>
        <w:rPr>
          <w:spacing w:val="40"/>
          <w:sz w:val="24"/>
        </w:rPr>
        <w:t> </w:t>
      </w:r>
      <w:r>
        <w:rPr>
          <w:b/>
          <w:sz w:val="24"/>
        </w:rPr>
        <w:t>and shall </w:t>
      </w:r>
      <w:r>
        <w:rPr>
          <w:sz w:val="24"/>
        </w:rPr>
        <w:t>have clear open space of 9 m </w:t>
      </w:r>
      <w:r>
        <w:rPr>
          <w:b/>
          <w:sz w:val="24"/>
        </w:rPr>
        <w:t>at ground level OR if the podium is proposed it shall not extend beyond 6m from building line and shall have clear open space of 6 m beyond podium</w:t>
      </w:r>
      <w:r>
        <w:rPr>
          <w:b/>
          <w:spacing w:val="-7"/>
          <w:sz w:val="24"/>
        </w:rPr>
        <w:t> </w:t>
      </w:r>
      <w:r>
        <w:rPr>
          <w:b/>
          <w:sz w:val="24"/>
        </w:rPr>
        <w:t>&amp;</w:t>
      </w:r>
      <w:r>
        <w:rPr>
          <w:b/>
          <w:spacing w:val="-7"/>
          <w:sz w:val="24"/>
        </w:rPr>
        <w:t> </w:t>
      </w:r>
      <w:r>
        <w:rPr>
          <w:b/>
          <w:sz w:val="24"/>
        </w:rPr>
        <w:t>9m</w:t>
      </w:r>
      <w:r>
        <w:rPr>
          <w:b/>
          <w:spacing w:val="-5"/>
          <w:sz w:val="24"/>
        </w:rPr>
        <w:t> </w:t>
      </w:r>
      <w:r>
        <w:rPr>
          <w:b/>
          <w:sz w:val="24"/>
        </w:rPr>
        <w:t>at</w:t>
      </w:r>
      <w:r>
        <w:rPr>
          <w:b/>
          <w:spacing w:val="-7"/>
          <w:sz w:val="24"/>
        </w:rPr>
        <w:t> </w:t>
      </w:r>
      <w:r>
        <w:rPr>
          <w:b/>
          <w:sz w:val="24"/>
        </w:rPr>
        <w:t>ground</w:t>
      </w:r>
      <w:r>
        <w:rPr>
          <w:b/>
          <w:spacing w:val="-7"/>
          <w:sz w:val="24"/>
        </w:rPr>
        <w:t> </w:t>
      </w:r>
      <w:r>
        <w:rPr>
          <w:b/>
          <w:sz w:val="24"/>
        </w:rPr>
        <w:t>level</w:t>
      </w:r>
      <w:r>
        <w:rPr>
          <w:b/>
          <w:spacing w:val="-7"/>
          <w:sz w:val="24"/>
        </w:rPr>
        <w:t> </w:t>
      </w:r>
      <w:r>
        <w:rPr>
          <w:b/>
          <w:sz w:val="24"/>
        </w:rPr>
        <w:t>with</w:t>
      </w:r>
      <w:r>
        <w:rPr>
          <w:b/>
          <w:spacing w:val="-5"/>
          <w:sz w:val="24"/>
        </w:rPr>
        <w:t> </w:t>
      </w:r>
      <w:r>
        <w:rPr>
          <w:b/>
          <w:sz w:val="24"/>
        </w:rPr>
        <w:t>clear</w:t>
      </w:r>
      <w:r>
        <w:rPr>
          <w:b/>
          <w:spacing w:val="-7"/>
          <w:sz w:val="24"/>
        </w:rPr>
        <w:t> </w:t>
      </w:r>
      <w:r>
        <w:rPr>
          <w:b/>
          <w:sz w:val="24"/>
        </w:rPr>
        <w:t>height</w:t>
      </w:r>
      <w:r>
        <w:rPr>
          <w:b/>
          <w:spacing w:val="-7"/>
          <w:sz w:val="24"/>
        </w:rPr>
        <w:t> </w:t>
      </w:r>
      <w:r>
        <w:rPr>
          <w:b/>
          <w:sz w:val="24"/>
        </w:rPr>
        <w:t>of</w:t>
      </w:r>
      <w:r>
        <w:rPr>
          <w:b/>
          <w:spacing w:val="-5"/>
          <w:sz w:val="24"/>
        </w:rPr>
        <w:t> </w:t>
      </w:r>
      <w:r>
        <w:rPr>
          <w:b/>
          <w:sz w:val="24"/>
        </w:rPr>
        <w:t>4.5</w:t>
      </w:r>
      <w:r>
        <w:rPr>
          <w:b/>
          <w:spacing w:val="-7"/>
          <w:sz w:val="24"/>
        </w:rPr>
        <w:t> </w:t>
      </w:r>
      <w:r>
        <w:rPr>
          <w:b/>
          <w:sz w:val="24"/>
        </w:rPr>
        <w:t>m</w:t>
      </w:r>
      <w:r>
        <w:rPr>
          <w:b/>
          <w:spacing w:val="-7"/>
          <w:sz w:val="24"/>
        </w:rPr>
        <w:t> </w:t>
      </w:r>
      <w:r>
        <w:rPr>
          <w:b/>
          <w:sz w:val="24"/>
        </w:rPr>
        <w:t>from</w:t>
      </w:r>
      <w:r>
        <w:rPr>
          <w:b/>
          <w:spacing w:val="-7"/>
          <w:sz w:val="24"/>
        </w:rPr>
        <w:t> </w:t>
      </w:r>
      <w:r>
        <w:rPr>
          <w:b/>
          <w:sz w:val="24"/>
        </w:rPr>
        <w:t>ground to podium (below soffit of the beam) for accessibility of fire </w:t>
      </w:r>
      <w:r>
        <w:rPr>
          <w:b/>
          <w:spacing w:val="-2"/>
          <w:sz w:val="24"/>
        </w:rPr>
        <w:t>appliances</w:t>
      </w:r>
    </w:p>
    <w:p>
      <w:pPr>
        <w:pStyle w:val="BodyText"/>
        <w:spacing w:before="241"/>
        <w:ind w:left="1853"/>
      </w:pPr>
      <w:r>
        <w:rPr/>
        <w:t>No</w:t>
      </w:r>
      <w:r>
        <w:rPr>
          <w:spacing w:val="-1"/>
        </w:rPr>
        <w:t> </w:t>
      </w:r>
      <w:r>
        <w:rPr/>
        <w:t>ramps</w:t>
      </w:r>
      <w:r>
        <w:rPr>
          <w:spacing w:val="-1"/>
        </w:rPr>
        <w:t> </w:t>
      </w:r>
      <w:r>
        <w:rPr/>
        <w:t>for</w:t>
      </w:r>
      <w:r>
        <w:rPr>
          <w:spacing w:val="-1"/>
        </w:rPr>
        <w:t> </w:t>
      </w:r>
      <w:r>
        <w:rPr/>
        <w:t>the</w:t>
      </w:r>
      <w:r>
        <w:rPr>
          <w:spacing w:val="-1"/>
        </w:rPr>
        <w:t> </w:t>
      </w:r>
      <w:r>
        <w:rPr/>
        <w:t>podium</w:t>
      </w:r>
      <w:r>
        <w:rPr>
          <w:spacing w:val="-1"/>
        </w:rPr>
        <w:t> </w:t>
      </w:r>
      <w:r>
        <w:rPr/>
        <w:t>shall</w:t>
      </w:r>
      <w:r>
        <w:rPr>
          <w:spacing w:val="-1"/>
        </w:rPr>
        <w:t> </w:t>
      </w:r>
      <w:r>
        <w:rPr/>
        <w:t>be</w:t>
      </w:r>
      <w:r>
        <w:rPr>
          <w:spacing w:val="-1"/>
        </w:rPr>
        <w:t> </w:t>
      </w:r>
      <w:r>
        <w:rPr/>
        <w:t>provided</w:t>
      </w:r>
      <w:r>
        <w:rPr>
          <w:spacing w:val="-1"/>
        </w:rPr>
        <w:t> </w:t>
      </w:r>
      <w:r>
        <w:rPr/>
        <w:t>in</w:t>
      </w:r>
      <w:r>
        <w:rPr>
          <w:spacing w:val="-1"/>
        </w:rPr>
        <w:t> </w:t>
      </w:r>
      <w:r>
        <w:rPr/>
        <w:t>these</w:t>
      </w:r>
      <w:r>
        <w:rPr>
          <w:spacing w:val="-1"/>
        </w:rPr>
        <w:t> </w:t>
      </w:r>
      <w:r>
        <w:rPr/>
        <w:t>side</w:t>
      </w:r>
      <w:r>
        <w:rPr>
          <w:spacing w:val="-1"/>
        </w:rPr>
        <w:t> </w:t>
      </w:r>
      <w:r>
        <w:rPr/>
        <w:t>open</w:t>
      </w:r>
      <w:r>
        <w:rPr>
          <w:spacing w:val="-1"/>
        </w:rPr>
        <w:t> </w:t>
      </w:r>
      <w:r>
        <w:rPr>
          <w:spacing w:val="-2"/>
        </w:rPr>
        <w:t>spaces.</w:t>
      </w:r>
    </w:p>
    <w:p>
      <w:pPr>
        <w:pStyle w:val="ListParagraph"/>
        <w:numPr>
          <w:ilvl w:val="0"/>
          <w:numId w:val="312"/>
        </w:numPr>
        <w:tabs>
          <w:tab w:pos="1853" w:val="left" w:leader="none"/>
          <w:tab w:pos="1943" w:val="left" w:leader="none"/>
        </w:tabs>
        <w:spacing w:line="240" w:lineRule="auto" w:before="239" w:after="0"/>
        <w:ind w:left="1853" w:right="771" w:hanging="360"/>
        <w:jc w:val="both"/>
        <w:rPr>
          <w:sz w:val="24"/>
        </w:rPr>
      </w:pPr>
      <w:r>
        <w:rPr>
          <w:sz w:val="24"/>
        </w:rPr>
        <w:tab/>
        <w:t>Courtyard/ramp/podium accessible to fire fighting appliances (fire engines</w:t>
      </w:r>
      <w:r>
        <w:rPr>
          <w:spacing w:val="-6"/>
          <w:sz w:val="24"/>
        </w:rPr>
        <w:t> </w:t>
      </w:r>
      <w:r>
        <w:rPr>
          <w:sz w:val="24"/>
        </w:rPr>
        <w:t>and</w:t>
      </w:r>
      <w:r>
        <w:rPr>
          <w:spacing w:val="-6"/>
          <w:sz w:val="24"/>
        </w:rPr>
        <w:t> </w:t>
      </w:r>
      <w:r>
        <w:rPr>
          <w:sz w:val="24"/>
        </w:rPr>
        <w:t>other</w:t>
      </w:r>
      <w:r>
        <w:rPr>
          <w:spacing w:val="-6"/>
          <w:sz w:val="24"/>
        </w:rPr>
        <w:t> </w:t>
      </w:r>
      <w:r>
        <w:rPr>
          <w:sz w:val="24"/>
        </w:rPr>
        <w:t>equipment)</w:t>
      </w:r>
      <w:r>
        <w:rPr>
          <w:spacing w:val="-6"/>
          <w:sz w:val="24"/>
        </w:rPr>
        <w:t> </w:t>
      </w:r>
      <w:r>
        <w:rPr>
          <w:sz w:val="24"/>
        </w:rPr>
        <w:t>shall</w:t>
      </w:r>
      <w:r>
        <w:rPr>
          <w:spacing w:val="-6"/>
          <w:sz w:val="24"/>
        </w:rPr>
        <w:t> </w:t>
      </w:r>
      <w:r>
        <w:rPr>
          <w:sz w:val="24"/>
        </w:rPr>
        <w:t>be</w:t>
      </w:r>
      <w:r>
        <w:rPr>
          <w:spacing w:val="-6"/>
          <w:sz w:val="24"/>
        </w:rPr>
        <w:t> </w:t>
      </w:r>
      <w:r>
        <w:rPr>
          <w:sz w:val="24"/>
        </w:rPr>
        <w:t>capable</w:t>
      </w:r>
      <w:r>
        <w:rPr>
          <w:spacing w:val="-6"/>
          <w:sz w:val="24"/>
        </w:rPr>
        <w:t> </w:t>
      </w:r>
      <w:r>
        <w:rPr>
          <w:sz w:val="24"/>
        </w:rPr>
        <w:t>of</w:t>
      </w:r>
      <w:r>
        <w:rPr>
          <w:spacing w:val="-6"/>
          <w:sz w:val="24"/>
        </w:rPr>
        <w:t> </w:t>
      </w:r>
      <w:r>
        <w:rPr>
          <w:sz w:val="24"/>
        </w:rPr>
        <w:t>taking</w:t>
      </w:r>
      <w:r>
        <w:rPr>
          <w:spacing w:val="-6"/>
          <w:sz w:val="24"/>
        </w:rPr>
        <w:t> </w:t>
      </w:r>
      <w:r>
        <w:rPr>
          <w:sz w:val="24"/>
        </w:rPr>
        <w:t>the</w:t>
      </w:r>
      <w:r>
        <w:rPr>
          <w:spacing w:val="-5"/>
          <w:sz w:val="24"/>
        </w:rPr>
        <w:t> </w:t>
      </w:r>
      <w:r>
        <w:rPr>
          <w:sz w:val="24"/>
        </w:rPr>
        <w:t>load</w:t>
      </w:r>
      <w:r>
        <w:rPr>
          <w:spacing w:val="-6"/>
          <w:sz w:val="24"/>
        </w:rPr>
        <w:t> </w:t>
      </w:r>
      <w:r>
        <w:rPr>
          <w:sz w:val="24"/>
        </w:rPr>
        <w:t>up</w:t>
      </w:r>
      <w:r>
        <w:rPr>
          <w:spacing w:val="-6"/>
          <w:sz w:val="24"/>
        </w:rPr>
        <w:t> </w:t>
      </w:r>
      <w:r>
        <w:rPr>
          <w:sz w:val="24"/>
        </w:rPr>
        <w:t>to10 </w:t>
      </w:r>
      <w:r>
        <w:rPr>
          <w:spacing w:val="-2"/>
          <w:sz w:val="24"/>
        </w:rPr>
        <w:t>Kg/cm2.</w:t>
      </w:r>
    </w:p>
    <w:p>
      <w:pPr>
        <w:pStyle w:val="ListParagraph"/>
        <w:numPr>
          <w:ilvl w:val="0"/>
          <w:numId w:val="312"/>
        </w:numPr>
        <w:tabs>
          <w:tab w:pos="1853" w:val="left" w:leader="none"/>
          <w:tab w:pos="1948" w:val="left" w:leader="none"/>
        </w:tabs>
        <w:spacing w:line="240" w:lineRule="auto" w:before="242" w:after="0"/>
        <w:ind w:left="1853" w:right="778" w:hanging="360"/>
        <w:jc w:val="both"/>
        <w:rPr>
          <w:sz w:val="24"/>
        </w:rPr>
      </w:pPr>
      <w:r>
        <w:rPr>
          <w:sz w:val="24"/>
        </w:rPr>
        <w:tab/>
        <w:t>These open spaces shall be free from any obstruction &amp; shall be </w:t>
      </w:r>
      <w:r>
        <w:rPr>
          <w:spacing w:val="-2"/>
          <w:sz w:val="24"/>
        </w:rPr>
        <w:t>motorable.</w:t>
      </w:r>
    </w:p>
    <w:p>
      <w:pPr>
        <w:pStyle w:val="BodyText"/>
        <w:spacing w:before="239"/>
        <w:ind w:left="1853" w:right="768" w:hanging="360"/>
      </w:pPr>
      <w:r>
        <w:rPr>
          <w:b/>
        </w:rPr>
        <w:t>Note-</w:t>
      </w:r>
      <w:r>
        <w:rPr/>
        <w:t>The additional fire safety requirements shall be as per fire manual approved by Municipal Commissioner based on the Fire Act and Fire Protection Chapter of NBC amended time to time.</w:t>
      </w:r>
    </w:p>
    <w:p>
      <w:pPr>
        <w:pStyle w:val="Heading6"/>
        <w:numPr>
          <w:ilvl w:val="1"/>
          <w:numId w:val="263"/>
        </w:numPr>
        <w:tabs>
          <w:tab w:pos="1852" w:val="left" w:leader="none"/>
        </w:tabs>
        <w:spacing w:line="240" w:lineRule="auto" w:before="240" w:after="0"/>
        <w:ind w:left="1852" w:right="0" w:hanging="359"/>
        <w:jc w:val="left"/>
        <w:rPr>
          <w:b w:val="0"/>
          <w:i w:val="0"/>
        </w:rPr>
      </w:pPr>
      <w:r>
        <w:rPr/>
        <w:t>Construction</w:t>
      </w:r>
      <w:r>
        <w:rPr>
          <w:spacing w:val="-11"/>
        </w:rPr>
        <w:t> </w:t>
      </w:r>
      <w:r>
        <w:rPr>
          <w:spacing w:val="-2"/>
        </w:rPr>
        <w:t>Materials:</w:t>
      </w:r>
    </w:p>
    <w:p>
      <w:pPr>
        <w:pStyle w:val="ListParagraph"/>
        <w:numPr>
          <w:ilvl w:val="0"/>
          <w:numId w:val="313"/>
        </w:numPr>
        <w:tabs>
          <w:tab w:pos="1853" w:val="left" w:leader="none"/>
        </w:tabs>
        <w:spacing w:line="240" w:lineRule="auto" w:before="241" w:after="0"/>
        <w:ind w:left="1853" w:right="770" w:hanging="360"/>
        <w:jc w:val="both"/>
        <w:rPr>
          <w:sz w:val="24"/>
        </w:rPr>
      </w:pPr>
      <w:r>
        <w:rPr>
          <w:sz w:val="24"/>
        </w:rPr>
        <w:t>All construction material used in stairways, corridors and façades shall be non-combustible/fire resistance.</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0"/>
          <w:numId w:val="313"/>
        </w:numPr>
        <w:tabs>
          <w:tab w:pos="1853" w:val="left" w:leader="none"/>
        </w:tabs>
        <w:spacing w:line="240" w:lineRule="auto" w:before="249" w:after="0"/>
        <w:ind w:left="1853" w:right="773" w:hanging="360"/>
        <w:jc w:val="both"/>
        <w:rPr>
          <w:sz w:val="24"/>
        </w:rPr>
      </w:pPr>
      <w:r>
        <w:rPr>
          <w:sz w:val="24"/>
        </w:rPr>
        <w:t>Materials used for interior finishes shall not have a flame spread ability rating exceeding Class I, section 3.4.15.2 and 3.4.15.3 of Part 4 of National Building Code&amp; amended from time to time.</w:t>
      </w:r>
    </w:p>
    <w:p>
      <w:pPr>
        <w:pStyle w:val="ListParagraph"/>
        <w:numPr>
          <w:ilvl w:val="1"/>
          <w:numId w:val="263"/>
        </w:numPr>
        <w:tabs>
          <w:tab w:pos="1851" w:val="left" w:leader="none"/>
          <w:tab w:pos="1853" w:val="left" w:leader="none"/>
        </w:tabs>
        <w:spacing w:line="240" w:lineRule="auto" w:before="240" w:after="0"/>
        <w:ind w:left="1853" w:right="781" w:hanging="360"/>
        <w:jc w:val="both"/>
        <w:rPr>
          <w:sz w:val="24"/>
        </w:rPr>
      </w:pPr>
      <w:r>
        <w:rPr>
          <w:b/>
          <w:i/>
          <w:sz w:val="24"/>
        </w:rPr>
        <w:t>Exits</w:t>
      </w:r>
      <w:r>
        <w:rPr>
          <w:sz w:val="24"/>
        </w:rPr>
        <w:t>: Every building meant for human occupancy shall be provided with</w:t>
      </w:r>
      <w:r>
        <w:rPr>
          <w:spacing w:val="72"/>
          <w:sz w:val="24"/>
        </w:rPr>
        <w:t> </w:t>
      </w:r>
      <w:r>
        <w:rPr>
          <w:sz w:val="24"/>
        </w:rPr>
        <w:t>exits</w:t>
      </w:r>
      <w:r>
        <w:rPr>
          <w:spacing w:val="75"/>
          <w:sz w:val="24"/>
        </w:rPr>
        <w:t> </w:t>
      </w:r>
      <w:r>
        <w:rPr>
          <w:sz w:val="24"/>
        </w:rPr>
        <w:t>sufficient</w:t>
      </w:r>
      <w:r>
        <w:rPr>
          <w:spacing w:val="72"/>
          <w:sz w:val="24"/>
        </w:rPr>
        <w:t> </w:t>
      </w:r>
      <w:r>
        <w:rPr>
          <w:sz w:val="24"/>
        </w:rPr>
        <w:t>to</w:t>
      </w:r>
      <w:r>
        <w:rPr>
          <w:spacing w:val="75"/>
          <w:sz w:val="24"/>
        </w:rPr>
        <w:t> </w:t>
      </w:r>
      <w:r>
        <w:rPr>
          <w:sz w:val="24"/>
        </w:rPr>
        <w:t>permit</w:t>
      </w:r>
      <w:r>
        <w:rPr>
          <w:spacing w:val="72"/>
          <w:sz w:val="24"/>
        </w:rPr>
        <w:t> </w:t>
      </w:r>
      <w:r>
        <w:rPr>
          <w:sz w:val="24"/>
        </w:rPr>
        <w:t>safe</w:t>
      </w:r>
      <w:r>
        <w:rPr>
          <w:spacing w:val="72"/>
          <w:sz w:val="24"/>
        </w:rPr>
        <w:t> </w:t>
      </w:r>
      <w:r>
        <w:rPr>
          <w:sz w:val="24"/>
        </w:rPr>
        <w:t>escape</w:t>
      </w:r>
      <w:r>
        <w:rPr>
          <w:spacing w:val="72"/>
          <w:sz w:val="24"/>
        </w:rPr>
        <w:t> </w:t>
      </w:r>
      <w:r>
        <w:rPr>
          <w:sz w:val="24"/>
        </w:rPr>
        <w:t>of</w:t>
      </w:r>
      <w:r>
        <w:rPr>
          <w:spacing w:val="72"/>
          <w:sz w:val="24"/>
        </w:rPr>
        <w:t> </w:t>
      </w:r>
      <w:r>
        <w:rPr>
          <w:sz w:val="24"/>
        </w:rPr>
        <w:t>its</w:t>
      </w:r>
      <w:r>
        <w:rPr>
          <w:spacing w:val="72"/>
          <w:sz w:val="24"/>
        </w:rPr>
        <w:t> </w:t>
      </w:r>
      <w:r>
        <w:rPr>
          <w:sz w:val="24"/>
        </w:rPr>
        <w:t>occupants</w:t>
      </w:r>
      <w:r>
        <w:rPr>
          <w:spacing w:val="72"/>
          <w:sz w:val="24"/>
        </w:rPr>
        <w:t> </w:t>
      </w:r>
      <w:r>
        <w:rPr>
          <w:sz w:val="24"/>
        </w:rPr>
        <w:t>in</w:t>
      </w:r>
      <w:r>
        <w:rPr>
          <w:spacing w:val="80"/>
          <w:sz w:val="24"/>
        </w:rPr>
        <w:t> </w:t>
      </w:r>
      <w:r>
        <w:rPr>
          <w:sz w:val="24"/>
        </w:rPr>
        <w:t>case of fire or other emergency for which the exits shall conform to the </w:t>
      </w:r>
      <w:r>
        <w:rPr>
          <w:spacing w:val="-2"/>
          <w:sz w:val="24"/>
        </w:rPr>
        <w:t>following:</w:t>
      </w:r>
    </w:p>
    <w:p>
      <w:pPr>
        <w:pStyle w:val="ListParagraph"/>
        <w:numPr>
          <w:ilvl w:val="0"/>
          <w:numId w:val="314"/>
        </w:numPr>
        <w:tabs>
          <w:tab w:pos="1851" w:val="left" w:leader="none"/>
          <w:tab w:pos="1853" w:val="left" w:leader="none"/>
        </w:tabs>
        <w:spacing w:line="240" w:lineRule="auto" w:before="238" w:after="0"/>
        <w:ind w:left="1853" w:right="788" w:hanging="360"/>
        <w:jc w:val="both"/>
        <w:rPr>
          <w:sz w:val="24"/>
        </w:rPr>
      </w:pPr>
      <w:r>
        <w:rPr>
          <w:b/>
          <w:i/>
          <w:sz w:val="24"/>
        </w:rPr>
        <w:t>Types:</w:t>
      </w:r>
      <w:r>
        <w:rPr>
          <w:b/>
          <w:i/>
          <w:spacing w:val="40"/>
          <w:sz w:val="24"/>
        </w:rPr>
        <w:t> </w:t>
      </w:r>
      <w:r>
        <w:rPr>
          <w:sz w:val="24"/>
        </w:rPr>
        <w:t>Exits</w:t>
      </w:r>
      <w:r>
        <w:rPr>
          <w:spacing w:val="40"/>
          <w:sz w:val="24"/>
        </w:rPr>
        <w:t> </w:t>
      </w:r>
      <w:r>
        <w:rPr>
          <w:sz w:val="24"/>
        </w:rPr>
        <w:t>should</w:t>
      </w:r>
      <w:r>
        <w:rPr>
          <w:spacing w:val="40"/>
          <w:sz w:val="24"/>
        </w:rPr>
        <w:t> </w:t>
      </w:r>
      <w:r>
        <w:rPr>
          <w:sz w:val="24"/>
        </w:rPr>
        <w:t>be</w:t>
      </w:r>
      <w:r>
        <w:rPr>
          <w:spacing w:val="40"/>
          <w:sz w:val="24"/>
        </w:rPr>
        <w:t> </w:t>
      </w:r>
      <w:r>
        <w:rPr>
          <w:sz w:val="24"/>
        </w:rPr>
        <w:t>horizontal</w:t>
      </w:r>
      <w:r>
        <w:rPr>
          <w:spacing w:val="40"/>
          <w:sz w:val="24"/>
        </w:rPr>
        <w:t> </w:t>
      </w:r>
      <w:r>
        <w:rPr>
          <w:sz w:val="24"/>
        </w:rPr>
        <w:t>or</w:t>
      </w:r>
      <w:r>
        <w:rPr>
          <w:spacing w:val="40"/>
          <w:sz w:val="24"/>
        </w:rPr>
        <w:t> </w:t>
      </w:r>
      <w:r>
        <w:rPr>
          <w:sz w:val="24"/>
        </w:rPr>
        <w:t>vertical.</w:t>
      </w:r>
      <w:r>
        <w:rPr>
          <w:spacing w:val="80"/>
          <w:w w:val="150"/>
          <w:sz w:val="24"/>
        </w:rPr>
        <w:t> </w:t>
      </w:r>
      <w:r>
        <w:rPr>
          <w:sz w:val="24"/>
        </w:rPr>
        <w:t>A</w:t>
      </w:r>
      <w:r>
        <w:rPr>
          <w:spacing w:val="40"/>
          <w:sz w:val="24"/>
        </w:rPr>
        <w:t> </w:t>
      </w:r>
      <w:r>
        <w:rPr>
          <w:sz w:val="24"/>
        </w:rPr>
        <w:t>horizontal</w:t>
      </w:r>
      <w:r>
        <w:rPr>
          <w:spacing w:val="40"/>
          <w:sz w:val="24"/>
        </w:rPr>
        <w:t> </w:t>
      </w:r>
      <w:r>
        <w:rPr>
          <w:sz w:val="24"/>
        </w:rPr>
        <w:t>exit</w:t>
      </w:r>
      <w:r>
        <w:rPr>
          <w:spacing w:val="40"/>
          <w:sz w:val="24"/>
        </w:rPr>
        <w:t> </w:t>
      </w:r>
      <w:r>
        <w:rPr>
          <w:sz w:val="24"/>
        </w:rPr>
        <w:t>may be a </w:t>
      </w:r>
      <w:r>
        <w:rPr>
          <w:spacing w:val="10"/>
          <w:sz w:val="24"/>
        </w:rPr>
        <w:t>door-</w:t>
      </w:r>
      <w:r>
        <w:rPr>
          <w:sz w:val="24"/>
        </w:rPr>
        <w:t>way, a corridor, a </w:t>
      </w:r>
      <w:r>
        <w:rPr>
          <w:spacing w:val="10"/>
          <w:sz w:val="24"/>
        </w:rPr>
        <w:t>passage-</w:t>
      </w:r>
      <w:r>
        <w:rPr>
          <w:sz w:val="24"/>
        </w:rPr>
        <w:t>way to an internal or external stairway or to an adjoining building, a ramp, a verandah or a terrace which</w:t>
      </w:r>
      <w:r>
        <w:rPr>
          <w:spacing w:val="34"/>
          <w:sz w:val="24"/>
        </w:rPr>
        <w:t> </w:t>
      </w:r>
      <w:r>
        <w:rPr>
          <w:sz w:val="24"/>
        </w:rPr>
        <w:t>has</w:t>
      </w:r>
      <w:r>
        <w:rPr>
          <w:spacing w:val="34"/>
          <w:sz w:val="24"/>
        </w:rPr>
        <w:t> </w:t>
      </w:r>
      <w:r>
        <w:rPr>
          <w:sz w:val="24"/>
        </w:rPr>
        <w:t>access</w:t>
      </w:r>
      <w:r>
        <w:rPr>
          <w:spacing w:val="34"/>
          <w:sz w:val="24"/>
        </w:rPr>
        <w:t> </w:t>
      </w:r>
      <w:r>
        <w:rPr>
          <w:sz w:val="24"/>
        </w:rPr>
        <w:t>to</w:t>
      </w:r>
      <w:r>
        <w:rPr>
          <w:spacing w:val="34"/>
          <w:sz w:val="24"/>
        </w:rPr>
        <w:t> </w:t>
      </w:r>
      <w:r>
        <w:rPr>
          <w:sz w:val="24"/>
        </w:rPr>
        <w:t>the</w:t>
      </w:r>
      <w:r>
        <w:rPr>
          <w:spacing w:val="34"/>
          <w:sz w:val="24"/>
        </w:rPr>
        <w:t> </w:t>
      </w:r>
      <w:r>
        <w:rPr>
          <w:sz w:val="24"/>
        </w:rPr>
        <w:t>street</w:t>
      </w:r>
      <w:r>
        <w:rPr>
          <w:spacing w:val="34"/>
          <w:sz w:val="24"/>
        </w:rPr>
        <w:t> </w:t>
      </w:r>
      <w:r>
        <w:rPr>
          <w:sz w:val="24"/>
        </w:rPr>
        <w:t>or</w:t>
      </w:r>
      <w:r>
        <w:rPr>
          <w:spacing w:val="34"/>
          <w:sz w:val="24"/>
        </w:rPr>
        <w:t> </w:t>
      </w:r>
      <w:r>
        <w:rPr>
          <w:sz w:val="24"/>
        </w:rPr>
        <w:t>to</w:t>
      </w:r>
      <w:r>
        <w:rPr>
          <w:spacing w:val="34"/>
          <w:sz w:val="24"/>
        </w:rPr>
        <w:t> </w:t>
      </w:r>
      <w:r>
        <w:rPr>
          <w:sz w:val="24"/>
        </w:rPr>
        <w:t>the</w:t>
      </w:r>
      <w:r>
        <w:rPr>
          <w:spacing w:val="34"/>
          <w:sz w:val="24"/>
        </w:rPr>
        <w:t> </w:t>
      </w:r>
      <w:r>
        <w:rPr>
          <w:sz w:val="24"/>
        </w:rPr>
        <w:t>roof</w:t>
      </w:r>
      <w:r>
        <w:rPr>
          <w:spacing w:val="34"/>
          <w:sz w:val="24"/>
        </w:rPr>
        <w:t> </w:t>
      </w:r>
      <w:r>
        <w:rPr>
          <w:sz w:val="24"/>
        </w:rPr>
        <w:t>of</w:t>
      </w:r>
      <w:r>
        <w:rPr>
          <w:spacing w:val="34"/>
          <w:sz w:val="24"/>
        </w:rPr>
        <w:t> </w:t>
      </w:r>
      <w:r>
        <w:rPr>
          <w:sz w:val="24"/>
        </w:rPr>
        <w:t>a</w:t>
      </w:r>
      <w:r>
        <w:rPr>
          <w:spacing w:val="34"/>
          <w:sz w:val="24"/>
        </w:rPr>
        <w:t> </w:t>
      </w:r>
      <w:r>
        <w:rPr>
          <w:sz w:val="24"/>
        </w:rPr>
        <w:t>building.</w:t>
      </w:r>
      <w:r>
        <w:rPr>
          <w:spacing w:val="80"/>
          <w:sz w:val="24"/>
        </w:rPr>
        <w:t> </w:t>
      </w:r>
      <w:r>
        <w:rPr>
          <w:sz w:val="24"/>
        </w:rPr>
        <w:t>A</w:t>
      </w:r>
      <w:r>
        <w:rPr>
          <w:spacing w:val="34"/>
          <w:sz w:val="24"/>
        </w:rPr>
        <w:t> </w:t>
      </w:r>
      <w:r>
        <w:rPr>
          <w:sz w:val="24"/>
        </w:rPr>
        <w:t>vertical exit</w:t>
      </w:r>
      <w:r>
        <w:rPr>
          <w:spacing w:val="40"/>
          <w:sz w:val="24"/>
        </w:rPr>
        <w:t> </w:t>
      </w:r>
      <w:r>
        <w:rPr>
          <w:sz w:val="24"/>
        </w:rPr>
        <w:t>may</w:t>
      </w:r>
      <w:r>
        <w:rPr>
          <w:spacing w:val="40"/>
          <w:sz w:val="24"/>
        </w:rPr>
        <w:t> </w:t>
      </w:r>
      <w:r>
        <w:rPr>
          <w:sz w:val="24"/>
        </w:rPr>
        <w:t>be</w:t>
      </w:r>
      <w:r>
        <w:rPr>
          <w:spacing w:val="40"/>
          <w:sz w:val="24"/>
        </w:rPr>
        <w:t> </w:t>
      </w:r>
      <w:r>
        <w:rPr>
          <w:sz w:val="24"/>
        </w:rPr>
        <w:t>a</w:t>
      </w:r>
      <w:r>
        <w:rPr>
          <w:spacing w:val="40"/>
          <w:sz w:val="24"/>
        </w:rPr>
        <w:t> </w:t>
      </w:r>
      <w:r>
        <w:rPr>
          <w:sz w:val="24"/>
        </w:rPr>
        <w:t>staircase</w:t>
      </w:r>
      <w:r>
        <w:rPr>
          <w:spacing w:val="40"/>
          <w:sz w:val="24"/>
        </w:rPr>
        <w:t> </w:t>
      </w:r>
      <w:r>
        <w:rPr>
          <w:sz w:val="24"/>
        </w:rPr>
        <w:t>or</w:t>
      </w:r>
      <w:r>
        <w:rPr>
          <w:spacing w:val="40"/>
          <w:sz w:val="24"/>
        </w:rPr>
        <w:t> </w:t>
      </w:r>
      <w:r>
        <w:rPr>
          <w:sz w:val="24"/>
        </w:rPr>
        <w:t>a</w:t>
      </w:r>
      <w:r>
        <w:rPr>
          <w:spacing w:val="40"/>
          <w:sz w:val="24"/>
        </w:rPr>
        <w:t> </w:t>
      </w:r>
      <w:r>
        <w:rPr>
          <w:sz w:val="24"/>
        </w:rPr>
        <w:t>ramp,</w:t>
      </w:r>
      <w:r>
        <w:rPr>
          <w:spacing w:val="40"/>
          <w:sz w:val="24"/>
        </w:rPr>
        <w:t> </w:t>
      </w:r>
      <w:r>
        <w:rPr>
          <w:sz w:val="24"/>
        </w:rPr>
        <w:t>but</w:t>
      </w:r>
      <w:r>
        <w:rPr>
          <w:spacing w:val="40"/>
          <w:sz w:val="24"/>
        </w:rPr>
        <w:t> </w:t>
      </w:r>
      <w:r>
        <w:rPr>
          <w:sz w:val="24"/>
        </w:rPr>
        <w:t>not</w:t>
      </w:r>
      <w:r>
        <w:rPr>
          <w:spacing w:val="40"/>
          <w:sz w:val="24"/>
        </w:rPr>
        <w:t> </w:t>
      </w:r>
      <w:r>
        <w:rPr>
          <w:sz w:val="24"/>
        </w:rPr>
        <w:t>a</w:t>
      </w:r>
      <w:r>
        <w:rPr>
          <w:spacing w:val="40"/>
          <w:sz w:val="24"/>
        </w:rPr>
        <w:t> </w:t>
      </w:r>
      <w:r>
        <w:rPr>
          <w:spacing w:val="9"/>
          <w:sz w:val="24"/>
        </w:rPr>
        <w:t>lift.</w:t>
      </w:r>
    </w:p>
    <w:p>
      <w:pPr>
        <w:pStyle w:val="ListParagraph"/>
        <w:numPr>
          <w:ilvl w:val="0"/>
          <w:numId w:val="314"/>
        </w:numPr>
        <w:tabs>
          <w:tab w:pos="1853" w:val="left" w:leader="none"/>
          <w:tab w:pos="1941" w:val="left" w:leader="none"/>
        </w:tabs>
        <w:spacing w:line="240" w:lineRule="auto" w:before="241" w:after="0"/>
        <w:ind w:left="1853" w:right="791" w:hanging="360"/>
        <w:jc w:val="both"/>
        <w:rPr>
          <w:sz w:val="24"/>
        </w:rPr>
      </w:pPr>
      <w:r>
        <w:rPr>
          <w:sz w:val="24"/>
        </w:rPr>
        <w:tab/>
      </w:r>
      <w:r>
        <w:rPr>
          <w:b/>
          <w:i/>
          <w:sz w:val="24"/>
        </w:rPr>
        <w:t>General </w:t>
      </w:r>
      <w:r>
        <w:rPr>
          <w:b/>
          <w:i/>
          <w:spacing w:val="9"/>
          <w:sz w:val="24"/>
        </w:rPr>
        <w:t>requirements:</w:t>
      </w:r>
      <w:r>
        <w:rPr>
          <w:b/>
          <w:i/>
          <w:spacing w:val="9"/>
          <w:sz w:val="24"/>
        </w:rPr>
        <w:t> </w:t>
      </w:r>
      <w:r>
        <w:rPr>
          <w:sz w:val="24"/>
        </w:rPr>
        <w:t>Exits from all the parts of the building,</w:t>
      </w:r>
      <w:r>
        <w:rPr>
          <w:spacing w:val="80"/>
          <w:sz w:val="24"/>
        </w:rPr>
        <w:t> </w:t>
      </w:r>
      <w:r>
        <w:rPr>
          <w:sz w:val="24"/>
        </w:rPr>
        <w:t>except</w:t>
      </w:r>
      <w:r>
        <w:rPr>
          <w:spacing w:val="40"/>
          <w:sz w:val="24"/>
        </w:rPr>
        <w:t> </w:t>
      </w:r>
      <w:r>
        <w:rPr>
          <w:sz w:val="24"/>
        </w:rPr>
        <w:t>those</w:t>
      </w:r>
      <w:r>
        <w:rPr>
          <w:spacing w:val="40"/>
          <w:sz w:val="24"/>
        </w:rPr>
        <w:t> </w:t>
      </w:r>
      <w:r>
        <w:rPr>
          <w:sz w:val="24"/>
        </w:rPr>
        <w:t>not</w:t>
      </w:r>
      <w:r>
        <w:rPr>
          <w:spacing w:val="40"/>
          <w:sz w:val="24"/>
        </w:rPr>
        <w:t> </w:t>
      </w:r>
      <w:r>
        <w:rPr>
          <w:sz w:val="24"/>
        </w:rPr>
        <w:t>accessible</w:t>
      </w:r>
      <w:r>
        <w:rPr>
          <w:spacing w:val="40"/>
          <w:sz w:val="24"/>
        </w:rPr>
        <w:t> </w:t>
      </w:r>
      <w:r>
        <w:rPr>
          <w:sz w:val="24"/>
        </w:rPr>
        <w:t>for</w:t>
      </w:r>
      <w:r>
        <w:rPr>
          <w:spacing w:val="40"/>
          <w:sz w:val="24"/>
        </w:rPr>
        <w:t> </w:t>
      </w:r>
      <w:r>
        <w:rPr>
          <w:sz w:val="24"/>
        </w:rPr>
        <w:t>general</w:t>
      </w:r>
      <w:r>
        <w:rPr>
          <w:spacing w:val="40"/>
          <w:sz w:val="24"/>
        </w:rPr>
        <w:t> </w:t>
      </w:r>
      <w:r>
        <w:rPr>
          <w:sz w:val="24"/>
        </w:rPr>
        <w:t>public</w:t>
      </w:r>
      <w:r>
        <w:rPr>
          <w:spacing w:val="40"/>
          <w:sz w:val="24"/>
        </w:rPr>
        <w:t> </w:t>
      </w:r>
      <w:r>
        <w:rPr>
          <w:sz w:val="24"/>
        </w:rPr>
        <w:t>use,</w:t>
      </w:r>
      <w:r>
        <w:rPr>
          <w:spacing w:val="40"/>
          <w:sz w:val="24"/>
        </w:rPr>
        <w:t> </w:t>
      </w:r>
      <w:r>
        <w:rPr>
          <w:spacing w:val="9"/>
          <w:sz w:val="24"/>
        </w:rPr>
        <w:t>shall-</w:t>
      </w:r>
    </w:p>
    <w:p>
      <w:pPr>
        <w:pStyle w:val="ListParagraph"/>
        <w:numPr>
          <w:ilvl w:val="1"/>
          <w:numId w:val="314"/>
        </w:numPr>
        <w:tabs>
          <w:tab w:pos="1853" w:val="left" w:leader="none"/>
          <w:tab w:pos="2241" w:val="left" w:leader="none"/>
        </w:tabs>
        <w:spacing w:line="240" w:lineRule="auto" w:before="243" w:after="0"/>
        <w:ind w:left="1853" w:right="797" w:hanging="3"/>
        <w:jc w:val="left"/>
        <w:rPr>
          <w:sz w:val="24"/>
        </w:rPr>
      </w:pPr>
      <w:r>
        <w:rPr>
          <w:sz w:val="24"/>
        </w:rPr>
        <w:t>provide</w:t>
      </w:r>
      <w:r>
        <w:rPr>
          <w:spacing w:val="40"/>
          <w:sz w:val="24"/>
        </w:rPr>
        <w:t> </w:t>
      </w:r>
      <w:r>
        <w:rPr>
          <w:sz w:val="24"/>
        </w:rPr>
        <w:t>continuous</w:t>
      </w:r>
      <w:r>
        <w:rPr>
          <w:spacing w:val="40"/>
          <w:sz w:val="24"/>
        </w:rPr>
        <w:t> </w:t>
      </w:r>
      <w:r>
        <w:rPr>
          <w:sz w:val="24"/>
        </w:rPr>
        <w:t>egress</w:t>
      </w:r>
      <w:r>
        <w:rPr>
          <w:spacing w:val="40"/>
          <w:sz w:val="24"/>
        </w:rPr>
        <w:t> </w:t>
      </w:r>
      <w:r>
        <w:rPr>
          <w:sz w:val="24"/>
        </w:rPr>
        <w:t>to</w:t>
      </w:r>
      <w:r>
        <w:rPr>
          <w:spacing w:val="40"/>
          <w:sz w:val="24"/>
        </w:rPr>
        <w:t> </w:t>
      </w:r>
      <w:r>
        <w:rPr>
          <w:sz w:val="24"/>
        </w:rPr>
        <w:t>the</w:t>
      </w:r>
      <w:r>
        <w:rPr>
          <w:spacing w:val="40"/>
          <w:sz w:val="24"/>
        </w:rPr>
        <w:t> </w:t>
      </w:r>
      <w:r>
        <w:rPr>
          <w:sz w:val="24"/>
        </w:rPr>
        <w:t>exterior</w:t>
      </w:r>
      <w:r>
        <w:rPr>
          <w:spacing w:val="40"/>
          <w:sz w:val="24"/>
        </w:rPr>
        <w:t> </w:t>
      </w:r>
      <w:r>
        <w:rPr>
          <w:sz w:val="24"/>
        </w:rPr>
        <w:t>of</w:t>
      </w:r>
      <w:r>
        <w:rPr>
          <w:spacing w:val="40"/>
          <w:sz w:val="24"/>
        </w:rPr>
        <w:t> </w:t>
      </w:r>
      <w:r>
        <w:rPr>
          <w:sz w:val="24"/>
        </w:rPr>
        <w:t>the</w:t>
      </w:r>
      <w:r>
        <w:rPr>
          <w:spacing w:val="40"/>
          <w:sz w:val="24"/>
        </w:rPr>
        <w:t> </w:t>
      </w:r>
      <w:r>
        <w:rPr>
          <w:sz w:val="24"/>
        </w:rPr>
        <w:t>building</w:t>
      </w:r>
      <w:r>
        <w:rPr>
          <w:spacing w:val="40"/>
          <w:sz w:val="24"/>
        </w:rPr>
        <w:t> </w:t>
      </w:r>
      <w:r>
        <w:rPr>
          <w:sz w:val="24"/>
        </w:rPr>
        <w:t>or</w:t>
      </w:r>
      <w:r>
        <w:rPr>
          <w:spacing w:val="40"/>
          <w:sz w:val="24"/>
        </w:rPr>
        <w:t> </w:t>
      </w:r>
      <w:r>
        <w:rPr>
          <w:sz w:val="24"/>
        </w:rPr>
        <w:t>to</w:t>
      </w:r>
      <w:r>
        <w:rPr>
          <w:spacing w:val="40"/>
          <w:sz w:val="24"/>
        </w:rPr>
        <w:t> </w:t>
      </w:r>
      <w:r>
        <w:rPr>
          <w:sz w:val="24"/>
        </w:rPr>
        <w:t>an exterior</w:t>
      </w:r>
      <w:r>
        <w:rPr>
          <w:spacing w:val="40"/>
          <w:sz w:val="24"/>
        </w:rPr>
        <w:t> </w:t>
      </w:r>
      <w:r>
        <w:rPr>
          <w:sz w:val="24"/>
        </w:rPr>
        <w:t>open</w:t>
      </w:r>
      <w:r>
        <w:rPr>
          <w:spacing w:val="40"/>
          <w:sz w:val="24"/>
        </w:rPr>
        <w:t> </w:t>
      </w:r>
      <w:r>
        <w:rPr>
          <w:sz w:val="24"/>
        </w:rPr>
        <w:t>space</w:t>
      </w:r>
      <w:r>
        <w:rPr>
          <w:spacing w:val="40"/>
          <w:sz w:val="24"/>
        </w:rPr>
        <w:t> </w:t>
      </w:r>
      <w:r>
        <w:rPr>
          <w:sz w:val="24"/>
        </w:rPr>
        <w:t>leading</w:t>
      </w:r>
      <w:r>
        <w:rPr>
          <w:spacing w:val="40"/>
          <w:sz w:val="24"/>
        </w:rPr>
        <w:t> </w:t>
      </w:r>
      <w:r>
        <w:rPr>
          <w:sz w:val="24"/>
        </w:rPr>
        <w:t>to</w:t>
      </w:r>
      <w:r>
        <w:rPr>
          <w:spacing w:val="40"/>
          <w:sz w:val="24"/>
        </w:rPr>
        <w:t> </w:t>
      </w:r>
      <w:r>
        <w:rPr>
          <w:sz w:val="24"/>
        </w:rPr>
        <w:t>the</w:t>
      </w:r>
      <w:r>
        <w:rPr>
          <w:spacing w:val="40"/>
          <w:sz w:val="24"/>
        </w:rPr>
        <w:t> </w:t>
      </w:r>
      <w:r>
        <w:rPr>
          <w:spacing w:val="9"/>
          <w:sz w:val="24"/>
        </w:rPr>
        <w:t>street;</w:t>
      </w:r>
    </w:p>
    <w:p>
      <w:pPr>
        <w:pStyle w:val="ListParagraph"/>
        <w:numPr>
          <w:ilvl w:val="1"/>
          <w:numId w:val="314"/>
        </w:numPr>
        <w:tabs>
          <w:tab w:pos="2252" w:val="left" w:leader="none"/>
        </w:tabs>
        <w:spacing w:line="240" w:lineRule="auto" w:before="241" w:after="0"/>
        <w:ind w:left="1853" w:right="797" w:firstLine="0"/>
        <w:jc w:val="left"/>
        <w:rPr>
          <w:sz w:val="24"/>
        </w:rPr>
      </w:pPr>
      <w:r>
        <w:rPr>
          <w:sz w:val="24"/>
        </w:rPr>
        <w:t>be</w:t>
      </w:r>
      <w:r>
        <w:rPr>
          <w:spacing w:val="40"/>
          <w:sz w:val="24"/>
        </w:rPr>
        <w:t> </w:t>
      </w:r>
      <w:r>
        <w:rPr>
          <w:sz w:val="24"/>
        </w:rPr>
        <w:t>so</w:t>
      </w:r>
      <w:r>
        <w:rPr>
          <w:spacing w:val="40"/>
          <w:sz w:val="24"/>
        </w:rPr>
        <w:t> </w:t>
      </w:r>
      <w:r>
        <w:rPr>
          <w:sz w:val="24"/>
        </w:rPr>
        <w:t>arranged</w:t>
      </w:r>
      <w:r>
        <w:rPr>
          <w:spacing w:val="40"/>
          <w:sz w:val="24"/>
        </w:rPr>
        <w:t> </w:t>
      </w:r>
      <w:r>
        <w:rPr>
          <w:sz w:val="24"/>
        </w:rPr>
        <w:t>that,</w:t>
      </w:r>
      <w:r>
        <w:rPr>
          <w:spacing w:val="40"/>
          <w:sz w:val="24"/>
        </w:rPr>
        <w:t> </w:t>
      </w:r>
      <w:r>
        <w:rPr>
          <w:sz w:val="24"/>
        </w:rPr>
        <w:t>except</w:t>
      </w:r>
      <w:r>
        <w:rPr>
          <w:spacing w:val="40"/>
          <w:sz w:val="24"/>
        </w:rPr>
        <w:t> </w:t>
      </w:r>
      <w:r>
        <w:rPr>
          <w:sz w:val="24"/>
        </w:rPr>
        <w:t>in</w:t>
      </w:r>
      <w:r>
        <w:rPr>
          <w:spacing w:val="40"/>
          <w:sz w:val="24"/>
        </w:rPr>
        <w:t> </w:t>
      </w:r>
      <w:r>
        <w:rPr>
          <w:sz w:val="24"/>
        </w:rPr>
        <w:t>a</w:t>
      </w:r>
      <w:r>
        <w:rPr>
          <w:spacing w:val="40"/>
          <w:sz w:val="24"/>
        </w:rPr>
        <w:t> </w:t>
      </w:r>
      <w:r>
        <w:rPr>
          <w:sz w:val="24"/>
        </w:rPr>
        <w:t>residential</w:t>
      </w:r>
      <w:r>
        <w:rPr>
          <w:spacing w:val="40"/>
          <w:sz w:val="24"/>
        </w:rPr>
        <w:t> </w:t>
      </w:r>
      <w:r>
        <w:rPr>
          <w:sz w:val="24"/>
        </w:rPr>
        <w:t>building,</w:t>
      </w:r>
      <w:r>
        <w:rPr>
          <w:spacing w:val="40"/>
          <w:sz w:val="24"/>
        </w:rPr>
        <w:t> </w:t>
      </w:r>
      <w:r>
        <w:rPr>
          <w:sz w:val="24"/>
        </w:rPr>
        <w:t>they</w:t>
      </w:r>
      <w:r>
        <w:rPr>
          <w:spacing w:val="40"/>
          <w:sz w:val="24"/>
        </w:rPr>
        <w:t> </w:t>
      </w:r>
      <w:r>
        <w:rPr>
          <w:sz w:val="24"/>
        </w:rPr>
        <w:t>can</w:t>
      </w:r>
      <w:r>
        <w:rPr>
          <w:spacing w:val="40"/>
          <w:sz w:val="24"/>
        </w:rPr>
        <w:t> </w:t>
      </w:r>
      <w:r>
        <w:rPr>
          <w:sz w:val="24"/>
        </w:rPr>
        <w:t>be reached</w:t>
      </w:r>
      <w:r>
        <w:rPr>
          <w:spacing w:val="40"/>
          <w:sz w:val="24"/>
        </w:rPr>
        <w:t> </w:t>
      </w:r>
      <w:r>
        <w:rPr>
          <w:sz w:val="24"/>
        </w:rPr>
        <w:t>without</w:t>
      </w:r>
      <w:r>
        <w:rPr>
          <w:spacing w:val="40"/>
          <w:sz w:val="24"/>
        </w:rPr>
        <w:t> </w:t>
      </w:r>
      <w:r>
        <w:rPr>
          <w:sz w:val="24"/>
        </w:rPr>
        <w:t>having</w:t>
      </w:r>
      <w:r>
        <w:rPr>
          <w:spacing w:val="40"/>
          <w:sz w:val="24"/>
        </w:rPr>
        <w:t> </w:t>
      </w:r>
      <w:r>
        <w:rPr>
          <w:sz w:val="24"/>
        </w:rPr>
        <w:t>to</w:t>
      </w:r>
      <w:r>
        <w:rPr>
          <w:spacing w:val="40"/>
          <w:sz w:val="24"/>
        </w:rPr>
        <w:t> </w:t>
      </w:r>
      <w:r>
        <w:rPr>
          <w:sz w:val="24"/>
        </w:rPr>
        <w:t>cross</w:t>
      </w:r>
      <w:r>
        <w:rPr>
          <w:spacing w:val="40"/>
          <w:sz w:val="24"/>
        </w:rPr>
        <w:t> </w:t>
      </w:r>
      <w:r>
        <w:rPr>
          <w:sz w:val="24"/>
        </w:rPr>
        <w:t>another</w:t>
      </w:r>
      <w:r>
        <w:rPr>
          <w:spacing w:val="40"/>
          <w:sz w:val="24"/>
        </w:rPr>
        <w:t> </w:t>
      </w:r>
      <w:r>
        <w:rPr>
          <w:sz w:val="24"/>
        </w:rPr>
        <w:t>occupied</w:t>
      </w:r>
      <w:r>
        <w:rPr>
          <w:spacing w:val="40"/>
          <w:sz w:val="24"/>
        </w:rPr>
        <w:t> </w:t>
      </w:r>
      <w:r>
        <w:rPr>
          <w:spacing w:val="9"/>
          <w:sz w:val="24"/>
        </w:rPr>
        <w:t>unit;</w:t>
      </w:r>
    </w:p>
    <w:p>
      <w:pPr>
        <w:pStyle w:val="ListParagraph"/>
        <w:numPr>
          <w:ilvl w:val="1"/>
          <w:numId w:val="314"/>
        </w:numPr>
        <w:tabs>
          <w:tab w:pos="2232" w:val="left" w:leader="none"/>
        </w:tabs>
        <w:spacing w:line="240" w:lineRule="auto" w:before="238" w:after="0"/>
        <w:ind w:left="2232" w:right="0" w:hanging="382"/>
        <w:jc w:val="left"/>
        <w:rPr>
          <w:sz w:val="24"/>
        </w:rPr>
      </w:pPr>
      <w:r>
        <w:rPr>
          <w:sz w:val="24"/>
        </w:rPr>
        <w:t>be</w:t>
      </w:r>
      <w:r>
        <w:rPr>
          <w:spacing w:val="33"/>
          <w:sz w:val="24"/>
        </w:rPr>
        <w:t> </w:t>
      </w:r>
      <w:r>
        <w:rPr>
          <w:sz w:val="24"/>
        </w:rPr>
        <w:t>free</w:t>
      </w:r>
      <w:r>
        <w:rPr>
          <w:spacing w:val="34"/>
          <w:sz w:val="24"/>
        </w:rPr>
        <w:t> </w:t>
      </w:r>
      <w:r>
        <w:rPr>
          <w:sz w:val="24"/>
        </w:rPr>
        <w:t>of</w:t>
      </w:r>
      <w:r>
        <w:rPr>
          <w:spacing w:val="37"/>
          <w:sz w:val="24"/>
        </w:rPr>
        <w:t> </w:t>
      </w:r>
      <w:r>
        <w:rPr>
          <w:spacing w:val="-2"/>
          <w:sz w:val="24"/>
        </w:rPr>
        <w:t>obstruction;</w:t>
      </w:r>
    </w:p>
    <w:p>
      <w:pPr>
        <w:pStyle w:val="ListParagraph"/>
        <w:numPr>
          <w:ilvl w:val="1"/>
          <w:numId w:val="314"/>
        </w:numPr>
        <w:tabs>
          <w:tab w:pos="2256" w:val="left" w:leader="none"/>
        </w:tabs>
        <w:spacing w:line="240" w:lineRule="auto" w:before="242" w:after="0"/>
        <w:ind w:left="2256" w:right="0" w:hanging="406"/>
        <w:jc w:val="left"/>
        <w:rPr>
          <w:sz w:val="24"/>
        </w:rPr>
      </w:pPr>
      <w:r>
        <w:rPr>
          <w:sz w:val="24"/>
        </w:rPr>
        <w:t>be</w:t>
      </w:r>
      <w:r>
        <w:rPr>
          <w:spacing w:val="65"/>
          <w:sz w:val="24"/>
        </w:rPr>
        <w:t> </w:t>
      </w:r>
      <w:r>
        <w:rPr>
          <w:sz w:val="24"/>
        </w:rPr>
        <w:t>adequately</w:t>
      </w:r>
      <w:r>
        <w:rPr>
          <w:spacing w:val="65"/>
          <w:sz w:val="24"/>
        </w:rPr>
        <w:t> </w:t>
      </w:r>
      <w:r>
        <w:rPr>
          <w:spacing w:val="-2"/>
          <w:sz w:val="24"/>
        </w:rPr>
        <w:t>illuminated;</w:t>
      </w:r>
    </w:p>
    <w:p>
      <w:pPr>
        <w:pStyle w:val="ListParagraph"/>
        <w:numPr>
          <w:ilvl w:val="1"/>
          <w:numId w:val="314"/>
        </w:numPr>
        <w:tabs>
          <w:tab w:pos="2321" w:val="left" w:leader="none"/>
        </w:tabs>
        <w:spacing w:line="240" w:lineRule="auto" w:before="239" w:after="0"/>
        <w:ind w:left="1853" w:right="799" w:firstLine="86"/>
        <w:jc w:val="left"/>
        <w:rPr>
          <w:sz w:val="24"/>
        </w:rPr>
      </w:pPr>
      <w:r>
        <w:rPr>
          <w:sz w:val="24"/>
        </w:rPr>
        <w:t>be</w:t>
      </w:r>
      <w:r>
        <w:rPr>
          <w:spacing w:val="40"/>
          <w:sz w:val="24"/>
        </w:rPr>
        <w:t> </w:t>
      </w:r>
      <w:r>
        <w:rPr>
          <w:sz w:val="24"/>
        </w:rPr>
        <w:t>clearly</w:t>
      </w:r>
      <w:r>
        <w:rPr>
          <w:spacing w:val="40"/>
          <w:sz w:val="24"/>
        </w:rPr>
        <w:t> </w:t>
      </w:r>
      <w:r>
        <w:rPr>
          <w:sz w:val="24"/>
        </w:rPr>
        <w:t>visible,</w:t>
      </w:r>
      <w:r>
        <w:rPr>
          <w:spacing w:val="40"/>
          <w:sz w:val="24"/>
        </w:rPr>
        <w:t> </w:t>
      </w:r>
      <w:r>
        <w:rPr>
          <w:sz w:val="24"/>
        </w:rPr>
        <w:t>with</w:t>
      </w:r>
      <w:r>
        <w:rPr>
          <w:spacing w:val="40"/>
          <w:sz w:val="24"/>
        </w:rPr>
        <w:t> </w:t>
      </w:r>
      <w:r>
        <w:rPr>
          <w:sz w:val="24"/>
        </w:rPr>
        <w:t>the</w:t>
      </w:r>
      <w:r>
        <w:rPr>
          <w:spacing w:val="40"/>
          <w:sz w:val="24"/>
        </w:rPr>
        <w:t> </w:t>
      </w:r>
      <w:r>
        <w:rPr>
          <w:sz w:val="24"/>
        </w:rPr>
        <w:t>routes</w:t>
      </w:r>
      <w:r>
        <w:rPr>
          <w:spacing w:val="40"/>
          <w:sz w:val="24"/>
        </w:rPr>
        <w:t> </w:t>
      </w:r>
      <w:r>
        <w:rPr>
          <w:sz w:val="24"/>
        </w:rPr>
        <w:t>reaching</w:t>
      </w:r>
      <w:r>
        <w:rPr>
          <w:spacing w:val="40"/>
          <w:sz w:val="24"/>
        </w:rPr>
        <w:t> </w:t>
      </w:r>
      <w:r>
        <w:rPr>
          <w:sz w:val="24"/>
        </w:rPr>
        <w:t>them</w:t>
      </w:r>
      <w:r>
        <w:rPr>
          <w:spacing w:val="40"/>
          <w:sz w:val="24"/>
        </w:rPr>
        <w:t> </w:t>
      </w:r>
      <w:r>
        <w:rPr>
          <w:sz w:val="24"/>
        </w:rPr>
        <w:t>clearly</w:t>
      </w:r>
      <w:r>
        <w:rPr>
          <w:spacing w:val="40"/>
          <w:sz w:val="24"/>
        </w:rPr>
        <w:t> </w:t>
      </w:r>
      <w:r>
        <w:rPr>
          <w:sz w:val="24"/>
        </w:rPr>
        <w:t>marked and</w:t>
      </w:r>
      <w:r>
        <w:rPr>
          <w:spacing w:val="40"/>
          <w:sz w:val="24"/>
        </w:rPr>
        <w:t> </w:t>
      </w:r>
      <w:r>
        <w:rPr>
          <w:sz w:val="24"/>
        </w:rPr>
        <w:t>signs</w:t>
      </w:r>
      <w:r>
        <w:rPr>
          <w:spacing w:val="40"/>
          <w:sz w:val="24"/>
        </w:rPr>
        <w:t> </w:t>
      </w:r>
      <w:r>
        <w:rPr>
          <w:sz w:val="24"/>
        </w:rPr>
        <w:t>posted</w:t>
      </w:r>
      <w:r>
        <w:rPr>
          <w:spacing w:val="40"/>
          <w:sz w:val="24"/>
        </w:rPr>
        <w:t> </w:t>
      </w:r>
      <w:r>
        <w:rPr>
          <w:sz w:val="24"/>
        </w:rPr>
        <w:t>to</w:t>
      </w:r>
      <w:r>
        <w:rPr>
          <w:spacing w:val="40"/>
          <w:sz w:val="24"/>
        </w:rPr>
        <w:t> </w:t>
      </w:r>
      <w:r>
        <w:rPr>
          <w:sz w:val="24"/>
        </w:rPr>
        <w:t>guide</w:t>
      </w:r>
      <w:r>
        <w:rPr>
          <w:spacing w:val="40"/>
          <w:sz w:val="24"/>
        </w:rPr>
        <w:t> </w:t>
      </w:r>
      <w:r>
        <w:rPr>
          <w:sz w:val="24"/>
        </w:rPr>
        <w:t>any</w:t>
      </w:r>
      <w:r>
        <w:rPr>
          <w:spacing w:val="40"/>
          <w:sz w:val="24"/>
        </w:rPr>
        <w:t> </w:t>
      </w:r>
      <w:r>
        <w:rPr>
          <w:sz w:val="24"/>
        </w:rPr>
        <w:t>person</w:t>
      </w:r>
      <w:r>
        <w:rPr>
          <w:spacing w:val="40"/>
          <w:sz w:val="24"/>
        </w:rPr>
        <w:t> </w:t>
      </w:r>
      <w:r>
        <w:rPr>
          <w:sz w:val="24"/>
        </w:rPr>
        <w:t>to</w:t>
      </w:r>
      <w:r>
        <w:rPr>
          <w:spacing w:val="40"/>
          <w:sz w:val="24"/>
        </w:rPr>
        <w:t> </w:t>
      </w:r>
      <w:r>
        <w:rPr>
          <w:sz w:val="24"/>
        </w:rPr>
        <w:t>the</w:t>
      </w:r>
      <w:r>
        <w:rPr>
          <w:spacing w:val="40"/>
          <w:sz w:val="24"/>
        </w:rPr>
        <w:t> </w:t>
      </w:r>
      <w:r>
        <w:rPr>
          <w:sz w:val="24"/>
        </w:rPr>
        <w:t>floor</w:t>
      </w:r>
      <w:r>
        <w:rPr>
          <w:spacing w:val="40"/>
          <w:sz w:val="24"/>
        </w:rPr>
        <w:t> </w:t>
      </w:r>
      <w:r>
        <w:rPr>
          <w:sz w:val="24"/>
        </w:rPr>
        <w:t>concerned;</w:t>
      </w:r>
    </w:p>
    <w:p>
      <w:pPr>
        <w:pStyle w:val="ListParagraph"/>
        <w:numPr>
          <w:ilvl w:val="1"/>
          <w:numId w:val="314"/>
        </w:numPr>
        <w:tabs>
          <w:tab w:pos="2441" w:val="left" w:leader="none"/>
        </w:tabs>
        <w:spacing w:line="240" w:lineRule="auto" w:before="240" w:after="0"/>
        <w:ind w:left="2033" w:right="776" w:firstLine="0"/>
        <w:jc w:val="both"/>
        <w:rPr>
          <w:sz w:val="24"/>
        </w:rPr>
      </w:pPr>
      <w:r>
        <w:rPr>
          <w:sz w:val="24"/>
        </w:rPr>
        <w:t>be</w:t>
      </w:r>
      <w:r>
        <w:rPr>
          <w:spacing w:val="40"/>
          <w:sz w:val="24"/>
        </w:rPr>
        <w:t> </w:t>
      </w:r>
      <w:r>
        <w:rPr>
          <w:sz w:val="24"/>
        </w:rPr>
        <w:t>fitted,</w:t>
      </w:r>
      <w:r>
        <w:rPr>
          <w:spacing w:val="40"/>
          <w:sz w:val="24"/>
        </w:rPr>
        <w:t> </w:t>
      </w:r>
      <w:r>
        <w:rPr>
          <w:sz w:val="24"/>
        </w:rPr>
        <w:t>if</w:t>
      </w:r>
      <w:r>
        <w:rPr>
          <w:spacing w:val="40"/>
          <w:sz w:val="24"/>
        </w:rPr>
        <w:t> </w:t>
      </w:r>
      <w:r>
        <w:rPr>
          <w:sz w:val="24"/>
        </w:rPr>
        <w:t>necessary,</w:t>
      </w:r>
      <w:r>
        <w:rPr>
          <w:spacing w:val="40"/>
          <w:sz w:val="24"/>
        </w:rPr>
        <w:t> </w:t>
      </w:r>
      <w:r>
        <w:rPr>
          <w:sz w:val="24"/>
        </w:rPr>
        <w:t>with</w:t>
      </w:r>
      <w:r>
        <w:rPr>
          <w:spacing w:val="40"/>
          <w:sz w:val="24"/>
        </w:rPr>
        <w:t> </w:t>
      </w:r>
      <w:r>
        <w:rPr>
          <w:sz w:val="24"/>
        </w:rPr>
        <w:t>firefighting</w:t>
      </w:r>
      <w:r>
        <w:rPr>
          <w:spacing w:val="40"/>
          <w:sz w:val="24"/>
        </w:rPr>
        <w:t> </w:t>
      </w:r>
      <w:r>
        <w:rPr>
          <w:sz w:val="24"/>
        </w:rPr>
        <w:t>equipment</w:t>
      </w:r>
      <w:r>
        <w:rPr>
          <w:spacing w:val="40"/>
          <w:sz w:val="24"/>
        </w:rPr>
        <w:t> </w:t>
      </w:r>
      <w:r>
        <w:rPr>
          <w:sz w:val="24"/>
        </w:rPr>
        <w:t>suitably located</w:t>
      </w:r>
      <w:r>
        <w:rPr>
          <w:spacing w:val="40"/>
          <w:sz w:val="24"/>
        </w:rPr>
        <w:t> </w:t>
      </w:r>
      <w:r>
        <w:rPr>
          <w:sz w:val="24"/>
        </w:rPr>
        <w:t>but</w:t>
      </w:r>
      <w:r>
        <w:rPr>
          <w:spacing w:val="40"/>
          <w:sz w:val="24"/>
        </w:rPr>
        <w:t> </w:t>
      </w:r>
      <w:r>
        <w:rPr>
          <w:sz w:val="24"/>
        </w:rPr>
        <w:t>not</w:t>
      </w:r>
      <w:r>
        <w:rPr>
          <w:spacing w:val="80"/>
          <w:sz w:val="24"/>
        </w:rPr>
        <w:t> </w:t>
      </w:r>
      <w:r>
        <w:rPr>
          <w:sz w:val="24"/>
        </w:rPr>
        <w:t>as</w:t>
      </w:r>
      <w:r>
        <w:rPr>
          <w:spacing w:val="80"/>
          <w:sz w:val="24"/>
        </w:rPr>
        <w:t> </w:t>
      </w:r>
      <w:r>
        <w:rPr>
          <w:sz w:val="24"/>
        </w:rPr>
        <w:t>to</w:t>
      </w:r>
      <w:r>
        <w:rPr>
          <w:spacing w:val="40"/>
          <w:sz w:val="24"/>
        </w:rPr>
        <w:t> </w:t>
      </w:r>
      <w:r>
        <w:rPr>
          <w:sz w:val="24"/>
        </w:rPr>
        <w:t>obstruct</w:t>
      </w:r>
      <w:r>
        <w:rPr>
          <w:spacing w:val="40"/>
          <w:sz w:val="24"/>
        </w:rPr>
        <w:t> </w:t>
      </w:r>
      <w:r>
        <w:rPr>
          <w:sz w:val="24"/>
        </w:rPr>
        <w:t>the</w:t>
      </w:r>
      <w:r>
        <w:rPr>
          <w:spacing w:val="80"/>
          <w:sz w:val="24"/>
        </w:rPr>
        <w:t> </w:t>
      </w:r>
      <w:r>
        <w:rPr>
          <w:sz w:val="24"/>
        </w:rPr>
        <w:t>passage,</w:t>
      </w:r>
      <w:r>
        <w:rPr>
          <w:spacing w:val="40"/>
          <w:sz w:val="24"/>
        </w:rPr>
        <w:t> </w:t>
      </w:r>
      <w:r>
        <w:rPr>
          <w:sz w:val="24"/>
        </w:rPr>
        <w:t>clearly</w:t>
      </w:r>
      <w:r>
        <w:rPr>
          <w:spacing w:val="80"/>
          <w:sz w:val="24"/>
        </w:rPr>
        <w:t> </w:t>
      </w:r>
      <w:r>
        <w:rPr>
          <w:sz w:val="24"/>
        </w:rPr>
        <w:t>marked</w:t>
      </w:r>
      <w:r>
        <w:rPr>
          <w:spacing w:val="40"/>
          <w:sz w:val="24"/>
        </w:rPr>
        <w:t> </w:t>
      </w:r>
      <w:r>
        <w:rPr>
          <w:sz w:val="24"/>
        </w:rPr>
        <w:t>and with</w:t>
      </w:r>
      <w:r>
        <w:rPr>
          <w:spacing w:val="40"/>
          <w:sz w:val="24"/>
        </w:rPr>
        <w:t> </w:t>
      </w:r>
      <w:r>
        <w:rPr>
          <w:sz w:val="24"/>
        </w:rPr>
        <w:t>its</w:t>
      </w:r>
      <w:r>
        <w:rPr>
          <w:spacing w:val="73"/>
          <w:sz w:val="24"/>
        </w:rPr>
        <w:t> </w:t>
      </w:r>
      <w:r>
        <w:rPr>
          <w:sz w:val="24"/>
        </w:rPr>
        <w:t>location</w:t>
      </w:r>
      <w:r>
        <w:rPr>
          <w:spacing w:val="40"/>
          <w:sz w:val="24"/>
        </w:rPr>
        <w:t> </w:t>
      </w:r>
      <w:r>
        <w:rPr>
          <w:sz w:val="24"/>
        </w:rPr>
        <w:t>clearly</w:t>
      </w:r>
      <w:r>
        <w:rPr>
          <w:spacing w:val="40"/>
          <w:sz w:val="24"/>
        </w:rPr>
        <w:t> </w:t>
      </w:r>
      <w:r>
        <w:rPr>
          <w:sz w:val="24"/>
        </w:rPr>
        <w:t>indicated</w:t>
      </w:r>
      <w:r>
        <w:rPr>
          <w:spacing w:val="40"/>
          <w:sz w:val="24"/>
        </w:rPr>
        <w:t> </w:t>
      </w:r>
      <w:r>
        <w:rPr>
          <w:sz w:val="24"/>
        </w:rPr>
        <w:t>on</w:t>
      </w:r>
      <w:r>
        <w:rPr>
          <w:spacing w:val="73"/>
          <w:sz w:val="24"/>
        </w:rPr>
        <w:t> </w:t>
      </w:r>
      <w:r>
        <w:rPr>
          <w:sz w:val="24"/>
        </w:rPr>
        <w:t>both</w:t>
      </w:r>
      <w:r>
        <w:rPr>
          <w:spacing w:val="40"/>
          <w:sz w:val="24"/>
        </w:rPr>
        <w:t> </w:t>
      </w:r>
      <w:r>
        <w:rPr>
          <w:sz w:val="24"/>
        </w:rPr>
        <w:t>sides</w:t>
      </w:r>
      <w:r>
        <w:rPr>
          <w:spacing w:val="40"/>
          <w:sz w:val="24"/>
        </w:rPr>
        <w:t> </w:t>
      </w:r>
      <w:r>
        <w:rPr>
          <w:sz w:val="24"/>
        </w:rPr>
        <w:t>of</w:t>
      </w:r>
      <w:r>
        <w:rPr>
          <w:spacing w:val="73"/>
          <w:sz w:val="24"/>
        </w:rPr>
        <w:t> </w:t>
      </w:r>
      <w:r>
        <w:rPr>
          <w:sz w:val="24"/>
        </w:rPr>
        <w:t>the</w:t>
      </w:r>
      <w:r>
        <w:rPr>
          <w:spacing w:val="40"/>
          <w:sz w:val="24"/>
        </w:rPr>
        <w:t> </w:t>
      </w:r>
      <w:r>
        <w:rPr>
          <w:sz w:val="24"/>
        </w:rPr>
        <w:t>exit</w:t>
      </w:r>
      <w:r>
        <w:rPr>
          <w:spacing w:val="40"/>
          <w:sz w:val="24"/>
        </w:rPr>
        <w:t> </w:t>
      </w:r>
      <w:r>
        <w:rPr>
          <w:sz w:val="24"/>
        </w:rPr>
        <w:t>way;</w:t>
      </w:r>
    </w:p>
    <w:p>
      <w:pPr>
        <w:pStyle w:val="ListParagraph"/>
        <w:numPr>
          <w:ilvl w:val="1"/>
          <w:numId w:val="314"/>
        </w:numPr>
        <w:tabs>
          <w:tab w:pos="2410" w:val="left" w:leader="none"/>
        </w:tabs>
        <w:spacing w:line="240" w:lineRule="auto" w:before="240" w:after="0"/>
        <w:ind w:left="2033" w:right="780" w:firstLine="0"/>
        <w:jc w:val="both"/>
        <w:rPr>
          <w:sz w:val="24"/>
        </w:rPr>
      </w:pPr>
      <w:r>
        <w:rPr>
          <w:sz w:val="24"/>
        </w:rPr>
        <w:t>be fitted with a fire</w:t>
      </w:r>
      <w:r>
        <w:rPr>
          <w:spacing w:val="40"/>
          <w:sz w:val="24"/>
        </w:rPr>
        <w:t> </w:t>
      </w:r>
      <w:r>
        <w:rPr>
          <w:sz w:val="24"/>
        </w:rPr>
        <w:t>alarm device, if it is either a </w:t>
      </w:r>
      <w:r>
        <w:rPr>
          <w:spacing w:val="11"/>
          <w:sz w:val="24"/>
        </w:rPr>
        <w:t>high-</w:t>
      </w:r>
      <w:r>
        <w:rPr>
          <w:sz w:val="24"/>
        </w:rPr>
        <w:t>rise, high-</w:t>
      </w:r>
      <w:r>
        <w:rPr>
          <w:spacing w:val="40"/>
          <w:sz w:val="24"/>
        </w:rPr>
        <w:t> </w:t>
      </w:r>
      <w:r>
        <w:rPr>
          <w:sz w:val="24"/>
        </w:rPr>
        <w:t>use</w:t>
      </w:r>
      <w:r>
        <w:rPr>
          <w:spacing w:val="40"/>
          <w:sz w:val="24"/>
        </w:rPr>
        <w:t> </w:t>
      </w:r>
      <w:r>
        <w:rPr>
          <w:sz w:val="24"/>
        </w:rPr>
        <w:t>or</w:t>
      </w:r>
      <w:r>
        <w:rPr>
          <w:spacing w:val="40"/>
          <w:sz w:val="24"/>
        </w:rPr>
        <w:t> </w:t>
      </w:r>
      <w:r>
        <w:rPr>
          <w:sz w:val="24"/>
        </w:rPr>
        <w:t>a</w:t>
      </w:r>
      <w:r>
        <w:rPr>
          <w:spacing w:val="40"/>
          <w:sz w:val="24"/>
        </w:rPr>
        <w:t> </w:t>
      </w:r>
      <w:r>
        <w:rPr>
          <w:sz w:val="24"/>
        </w:rPr>
        <w:t>special</w:t>
      </w:r>
      <w:r>
        <w:rPr>
          <w:spacing w:val="40"/>
          <w:sz w:val="24"/>
        </w:rPr>
        <w:t> </w:t>
      </w:r>
      <w:r>
        <w:rPr>
          <w:sz w:val="24"/>
        </w:rPr>
        <w:t>building</w:t>
      </w:r>
      <w:r>
        <w:rPr>
          <w:spacing w:val="40"/>
          <w:sz w:val="24"/>
        </w:rPr>
        <w:t> </w:t>
      </w:r>
      <w:r>
        <w:rPr>
          <w:sz w:val="24"/>
        </w:rPr>
        <w:t>so</w:t>
      </w:r>
      <w:r>
        <w:rPr>
          <w:spacing w:val="40"/>
          <w:sz w:val="24"/>
        </w:rPr>
        <w:t> </w:t>
      </w:r>
      <w:r>
        <w:rPr>
          <w:sz w:val="24"/>
        </w:rPr>
        <w:t>as</w:t>
      </w:r>
      <w:r>
        <w:rPr>
          <w:spacing w:val="40"/>
          <w:sz w:val="24"/>
        </w:rPr>
        <w:t> </w:t>
      </w:r>
      <w:r>
        <w:rPr>
          <w:sz w:val="24"/>
        </w:rPr>
        <w:t>to</w:t>
      </w:r>
      <w:r>
        <w:rPr>
          <w:spacing w:val="40"/>
          <w:sz w:val="24"/>
        </w:rPr>
        <w:t> </w:t>
      </w:r>
      <w:r>
        <w:rPr>
          <w:sz w:val="24"/>
        </w:rPr>
        <w:t>ensure</w:t>
      </w:r>
      <w:r>
        <w:rPr>
          <w:spacing w:val="40"/>
          <w:sz w:val="24"/>
        </w:rPr>
        <w:t> </w:t>
      </w:r>
      <w:r>
        <w:rPr>
          <w:sz w:val="24"/>
        </w:rPr>
        <w:t>its</w:t>
      </w:r>
      <w:r>
        <w:rPr>
          <w:spacing w:val="40"/>
          <w:sz w:val="24"/>
        </w:rPr>
        <w:t> </w:t>
      </w:r>
      <w:r>
        <w:rPr>
          <w:sz w:val="24"/>
        </w:rPr>
        <w:t>prompt</w:t>
      </w:r>
      <w:r>
        <w:rPr>
          <w:spacing w:val="40"/>
          <w:sz w:val="24"/>
        </w:rPr>
        <w:t> </w:t>
      </w:r>
      <w:r>
        <w:rPr>
          <w:spacing w:val="9"/>
          <w:sz w:val="24"/>
        </w:rPr>
        <w:t>evacuation;</w:t>
      </w:r>
    </w:p>
    <w:p>
      <w:pPr>
        <w:pStyle w:val="ListParagraph"/>
        <w:numPr>
          <w:ilvl w:val="1"/>
          <w:numId w:val="314"/>
        </w:numPr>
        <w:tabs>
          <w:tab w:pos="2362" w:val="left" w:leader="none"/>
        </w:tabs>
        <w:spacing w:line="240" w:lineRule="auto" w:before="241" w:after="0"/>
        <w:ind w:left="2033" w:right="781" w:firstLine="0"/>
        <w:jc w:val="both"/>
        <w:rPr>
          <w:sz w:val="24"/>
        </w:rPr>
      </w:pPr>
      <w:r>
        <w:rPr>
          <w:sz w:val="24"/>
        </w:rPr>
        <w:t>remain</w:t>
      </w:r>
      <w:r>
        <w:rPr>
          <w:spacing w:val="40"/>
          <w:sz w:val="24"/>
        </w:rPr>
        <w:t> </w:t>
      </w:r>
      <w:r>
        <w:rPr>
          <w:sz w:val="24"/>
        </w:rPr>
        <w:t>unaffected</w:t>
      </w:r>
      <w:r>
        <w:rPr>
          <w:spacing w:val="40"/>
          <w:sz w:val="24"/>
        </w:rPr>
        <w:t> </w:t>
      </w:r>
      <w:r>
        <w:rPr>
          <w:sz w:val="24"/>
        </w:rPr>
        <w:t>by</w:t>
      </w:r>
      <w:r>
        <w:rPr>
          <w:spacing w:val="40"/>
          <w:sz w:val="24"/>
        </w:rPr>
        <w:t> </w:t>
      </w:r>
      <w:r>
        <w:rPr>
          <w:sz w:val="24"/>
        </w:rPr>
        <w:t>any</w:t>
      </w:r>
      <w:r>
        <w:rPr>
          <w:spacing w:val="40"/>
          <w:sz w:val="24"/>
        </w:rPr>
        <w:t> </w:t>
      </w:r>
      <w:r>
        <w:rPr>
          <w:sz w:val="24"/>
        </w:rPr>
        <w:t>alteration</w:t>
      </w:r>
      <w:r>
        <w:rPr>
          <w:spacing w:val="40"/>
          <w:sz w:val="24"/>
        </w:rPr>
        <w:t> </w:t>
      </w:r>
      <w:r>
        <w:rPr>
          <w:sz w:val="24"/>
        </w:rPr>
        <w:t>of</w:t>
      </w:r>
      <w:r>
        <w:rPr>
          <w:spacing w:val="40"/>
          <w:sz w:val="24"/>
        </w:rPr>
        <w:t> </w:t>
      </w:r>
      <w:r>
        <w:rPr>
          <w:sz w:val="24"/>
        </w:rPr>
        <w:t>any</w:t>
      </w:r>
      <w:r>
        <w:rPr>
          <w:spacing w:val="40"/>
          <w:sz w:val="24"/>
        </w:rPr>
        <w:t> </w:t>
      </w:r>
      <w:r>
        <w:rPr>
          <w:sz w:val="24"/>
        </w:rPr>
        <w:t>part</w:t>
      </w:r>
      <w:r>
        <w:rPr>
          <w:spacing w:val="40"/>
          <w:sz w:val="24"/>
        </w:rPr>
        <w:t> </w:t>
      </w:r>
      <w:r>
        <w:rPr>
          <w:sz w:val="24"/>
        </w:rPr>
        <w:t>of</w:t>
      </w:r>
      <w:r>
        <w:rPr>
          <w:spacing w:val="40"/>
          <w:sz w:val="24"/>
        </w:rPr>
        <w:t> </w:t>
      </w:r>
      <w:r>
        <w:rPr>
          <w:sz w:val="24"/>
        </w:rPr>
        <w:t>the</w:t>
      </w:r>
      <w:r>
        <w:rPr>
          <w:spacing w:val="40"/>
          <w:sz w:val="24"/>
        </w:rPr>
        <w:t> </w:t>
      </w:r>
      <w:r>
        <w:rPr>
          <w:sz w:val="24"/>
        </w:rPr>
        <w:t>building</w:t>
      </w:r>
      <w:r>
        <w:rPr>
          <w:spacing w:val="40"/>
          <w:sz w:val="24"/>
        </w:rPr>
        <w:t> </w:t>
      </w:r>
      <w:r>
        <w:rPr>
          <w:sz w:val="24"/>
        </w:rPr>
        <w:t>so far as their number, width, capacity and protection thereof is </w:t>
      </w:r>
      <w:r>
        <w:rPr>
          <w:spacing w:val="7"/>
          <w:sz w:val="24"/>
        </w:rPr>
        <w:t>concerned;</w:t>
      </w:r>
    </w:p>
    <w:p>
      <w:pPr>
        <w:pStyle w:val="ListParagraph"/>
        <w:numPr>
          <w:ilvl w:val="1"/>
          <w:numId w:val="314"/>
        </w:numPr>
        <w:tabs>
          <w:tab w:pos="2487" w:val="left" w:leader="none"/>
        </w:tabs>
        <w:spacing w:line="240" w:lineRule="auto" w:before="240" w:after="0"/>
        <w:ind w:left="2033" w:right="796" w:firstLine="79"/>
        <w:jc w:val="both"/>
        <w:rPr>
          <w:sz w:val="24"/>
        </w:rPr>
      </w:pPr>
      <w:r>
        <w:rPr>
          <w:sz w:val="24"/>
        </w:rPr>
        <w:t>be</w:t>
      </w:r>
      <w:r>
        <w:rPr>
          <w:spacing w:val="40"/>
          <w:sz w:val="24"/>
        </w:rPr>
        <w:t> </w:t>
      </w:r>
      <w:r>
        <w:rPr>
          <w:sz w:val="24"/>
        </w:rPr>
        <w:t>so</w:t>
      </w:r>
      <w:r>
        <w:rPr>
          <w:spacing w:val="40"/>
          <w:sz w:val="24"/>
        </w:rPr>
        <w:t> </w:t>
      </w:r>
      <w:r>
        <w:rPr>
          <w:sz w:val="24"/>
        </w:rPr>
        <w:t>located</w:t>
      </w:r>
      <w:r>
        <w:rPr>
          <w:spacing w:val="40"/>
          <w:sz w:val="24"/>
        </w:rPr>
        <w:t> </w:t>
      </w:r>
      <w:r>
        <w:rPr>
          <w:sz w:val="24"/>
        </w:rPr>
        <w:t>that</w:t>
      </w:r>
      <w:r>
        <w:rPr>
          <w:spacing w:val="40"/>
          <w:sz w:val="24"/>
        </w:rPr>
        <w:t> </w:t>
      </w:r>
      <w:r>
        <w:rPr>
          <w:sz w:val="24"/>
        </w:rPr>
        <w:t>the</w:t>
      </w:r>
      <w:r>
        <w:rPr>
          <w:spacing w:val="40"/>
          <w:sz w:val="24"/>
        </w:rPr>
        <w:t> </w:t>
      </w:r>
      <w:r>
        <w:rPr>
          <w:sz w:val="24"/>
        </w:rPr>
        <w:t>travel</w:t>
      </w:r>
      <w:r>
        <w:rPr>
          <w:spacing w:val="40"/>
          <w:sz w:val="24"/>
        </w:rPr>
        <w:t> </w:t>
      </w:r>
      <w:r>
        <w:rPr>
          <w:sz w:val="24"/>
        </w:rPr>
        <w:t>distance</w:t>
      </w:r>
      <w:r>
        <w:rPr>
          <w:spacing w:val="40"/>
          <w:sz w:val="24"/>
        </w:rPr>
        <w:t> </w:t>
      </w:r>
      <w:r>
        <w:rPr>
          <w:sz w:val="24"/>
        </w:rPr>
        <w:t>on</w:t>
      </w:r>
      <w:r>
        <w:rPr>
          <w:spacing w:val="40"/>
          <w:sz w:val="24"/>
        </w:rPr>
        <w:t> </w:t>
      </w:r>
      <w:r>
        <w:rPr>
          <w:sz w:val="24"/>
        </w:rPr>
        <w:t>the</w:t>
      </w:r>
      <w:r>
        <w:rPr>
          <w:spacing w:val="40"/>
          <w:sz w:val="24"/>
        </w:rPr>
        <w:t> </w:t>
      </w:r>
      <w:r>
        <w:rPr>
          <w:sz w:val="24"/>
        </w:rPr>
        <w:t>floor</w:t>
      </w:r>
      <w:r>
        <w:rPr>
          <w:spacing w:val="40"/>
          <w:sz w:val="24"/>
        </w:rPr>
        <w:t> </w:t>
      </w:r>
      <w:r>
        <w:rPr>
          <w:sz w:val="24"/>
        </w:rPr>
        <w:t>does</w:t>
      </w:r>
      <w:r>
        <w:rPr>
          <w:spacing w:val="40"/>
          <w:sz w:val="24"/>
        </w:rPr>
        <w:t> </w:t>
      </w:r>
      <w:r>
        <w:rPr>
          <w:sz w:val="24"/>
        </w:rPr>
        <w:t>not exceed</w:t>
      </w:r>
      <w:r>
        <w:rPr>
          <w:spacing w:val="40"/>
          <w:sz w:val="24"/>
        </w:rPr>
        <w:t> </w:t>
      </w:r>
      <w:r>
        <w:rPr>
          <w:sz w:val="24"/>
        </w:rPr>
        <w:t>the</w:t>
      </w:r>
      <w:r>
        <w:rPr>
          <w:spacing w:val="40"/>
          <w:sz w:val="24"/>
        </w:rPr>
        <w:t> </w:t>
      </w:r>
      <w:r>
        <w:rPr>
          <w:sz w:val="24"/>
        </w:rPr>
        <w:t>following</w:t>
      </w:r>
      <w:r>
        <w:rPr>
          <w:spacing w:val="40"/>
          <w:sz w:val="24"/>
        </w:rPr>
        <w:t> </w:t>
      </w:r>
      <w:r>
        <w:rPr>
          <w:sz w:val="24"/>
        </w:rPr>
        <w:t>limits:</w:t>
      </w:r>
      <w:r>
        <w:rPr>
          <w:spacing w:val="40"/>
          <w:sz w:val="24"/>
        </w:rPr>
        <w:t> </w:t>
      </w:r>
      <w:r>
        <w:rPr>
          <w:sz w:val="24"/>
        </w:rPr>
        <w:t>-</w:t>
      </w:r>
    </w:p>
    <w:p>
      <w:pPr>
        <w:pStyle w:val="ListParagraph"/>
        <w:numPr>
          <w:ilvl w:val="0"/>
          <w:numId w:val="315"/>
        </w:numPr>
        <w:tabs>
          <w:tab w:pos="2033" w:val="left" w:leader="none"/>
          <w:tab w:pos="2227" w:val="left" w:leader="none"/>
        </w:tabs>
        <w:spacing w:line="240" w:lineRule="auto" w:before="240" w:after="0"/>
        <w:ind w:left="2033" w:right="783" w:hanging="180"/>
        <w:jc w:val="left"/>
        <w:rPr>
          <w:sz w:val="24"/>
        </w:rPr>
      </w:pPr>
      <w:r>
        <w:rPr>
          <w:sz w:val="24"/>
        </w:rPr>
        <w:t>Residential,</w:t>
      </w:r>
      <w:r>
        <w:rPr>
          <w:spacing w:val="80"/>
          <w:sz w:val="24"/>
        </w:rPr>
        <w:t> </w:t>
      </w:r>
      <w:r>
        <w:rPr>
          <w:sz w:val="24"/>
        </w:rPr>
        <w:t>educational</w:t>
      </w:r>
      <w:r>
        <w:rPr>
          <w:spacing w:val="80"/>
          <w:w w:val="150"/>
          <w:sz w:val="24"/>
        </w:rPr>
        <w:t> </w:t>
      </w:r>
      <w:r>
        <w:rPr>
          <w:sz w:val="24"/>
        </w:rPr>
        <w:t>and</w:t>
      </w:r>
      <w:r>
        <w:rPr>
          <w:spacing w:val="80"/>
          <w:w w:val="150"/>
          <w:sz w:val="24"/>
        </w:rPr>
        <w:t> </w:t>
      </w:r>
      <w:r>
        <w:rPr>
          <w:sz w:val="24"/>
        </w:rPr>
        <w:t>institutional:22.5</w:t>
      </w:r>
      <w:r>
        <w:rPr>
          <w:spacing w:val="80"/>
          <w:w w:val="150"/>
          <w:sz w:val="24"/>
        </w:rPr>
        <w:t> </w:t>
      </w:r>
      <w:r>
        <w:rPr>
          <w:sz w:val="24"/>
        </w:rPr>
        <w:t>and</w:t>
      </w:r>
      <w:r>
        <w:rPr>
          <w:spacing w:val="80"/>
          <w:w w:val="150"/>
          <w:sz w:val="24"/>
        </w:rPr>
        <w:t> </w:t>
      </w:r>
      <w:r>
        <w:rPr>
          <w:sz w:val="24"/>
        </w:rPr>
        <w:t>30</w:t>
      </w:r>
      <w:r>
        <w:rPr>
          <w:spacing w:val="80"/>
          <w:sz w:val="24"/>
        </w:rPr>
        <w:t> </w:t>
      </w:r>
      <w:r>
        <w:rPr>
          <w:sz w:val="24"/>
        </w:rPr>
        <w:t>m</w:t>
      </w:r>
      <w:r>
        <w:rPr>
          <w:spacing w:val="80"/>
          <w:w w:val="150"/>
          <w:sz w:val="24"/>
        </w:rPr>
        <w:t> </w:t>
      </w:r>
      <w:r>
        <w:rPr>
          <w:sz w:val="24"/>
        </w:rPr>
        <w:t>with sprinklers</w:t>
      </w:r>
      <w:r>
        <w:rPr>
          <w:spacing w:val="40"/>
          <w:sz w:val="24"/>
        </w:rPr>
        <w:t> </w:t>
      </w:r>
      <w:r>
        <w:rPr>
          <w:sz w:val="24"/>
        </w:rPr>
        <w:t>in</w:t>
      </w:r>
      <w:r>
        <w:rPr>
          <w:spacing w:val="40"/>
          <w:sz w:val="24"/>
        </w:rPr>
        <w:t> </w:t>
      </w:r>
      <w:r>
        <w:rPr>
          <w:sz w:val="24"/>
        </w:rPr>
        <w:t>passages</w:t>
      </w:r>
      <w:r>
        <w:rPr>
          <w:spacing w:val="40"/>
          <w:sz w:val="24"/>
        </w:rPr>
        <w:t> </w:t>
      </w:r>
      <w:r>
        <w:rPr>
          <w:sz w:val="24"/>
        </w:rPr>
        <w:t>and</w:t>
      </w:r>
      <w:r>
        <w:rPr>
          <w:spacing w:val="40"/>
          <w:sz w:val="24"/>
        </w:rPr>
        <w:t> </w:t>
      </w:r>
      <w:r>
        <w:rPr>
          <w:spacing w:val="9"/>
          <w:sz w:val="24"/>
        </w:rPr>
        <w:t>Corridors.</w:t>
      </w:r>
    </w:p>
    <w:p>
      <w:pPr>
        <w:pStyle w:val="ListParagraph"/>
        <w:spacing w:after="0" w:line="240" w:lineRule="auto"/>
        <w:jc w:val="left"/>
        <w:rPr>
          <w:sz w:val="24"/>
        </w:rPr>
        <w:sectPr>
          <w:pgSz w:w="11910" w:h="16840"/>
          <w:pgMar w:header="1065" w:footer="1194" w:top="1500" w:bottom="1380" w:left="360" w:right="360"/>
        </w:sectPr>
      </w:pPr>
    </w:p>
    <w:p>
      <w:pPr>
        <w:pStyle w:val="ListParagraph"/>
        <w:numPr>
          <w:ilvl w:val="0"/>
          <w:numId w:val="315"/>
        </w:numPr>
        <w:tabs>
          <w:tab w:pos="2033" w:val="left" w:leader="none"/>
          <w:tab w:pos="2397" w:val="left" w:leader="none"/>
          <w:tab w:pos="3951" w:val="left" w:leader="none"/>
          <w:tab w:pos="5132" w:val="left" w:leader="none"/>
          <w:tab w:pos="6462" w:val="left" w:leader="none"/>
          <w:tab w:pos="7506" w:val="left" w:leader="none"/>
          <w:tab w:pos="8987" w:val="left" w:leader="none"/>
        </w:tabs>
        <w:spacing w:line="240" w:lineRule="auto" w:before="249" w:after="0"/>
        <w:ind w:left="2033" w:right="786" w:hanging="180"/>
        <w:jc w:val="left"/>
        <w:rPr>
          <w:sz w:val="24"/>
        </w:rPr>
      </w:pPr>
      <w:r>
        <w:rPr>
          <w:spacing w:val="-2"/>
          <w:sz w:val="24"/>
        </w:rPr>
        <w:t>Assembly,</w:t>
      </w:r>
      <w:r>
        <w:rPr>
          <w:sz w:val="24"/>
        </w:rPr>
        <w:tab/>
      </w:r>
      <w:r>
        <w:rPr>
          <w:spacing w:val="-2"/>
          <w:sz w:val="24"/>
        </w:rPr>
        <w:t>starred</w:t>
      </w:r>
      <w:r>
        <w:rPr>
          <w:sz w:val="24"/>
        </w:rPr>
        <w:tab/>
      </w:r>
      <w:r>
        <w:rPr>
          <w:spacing w:val="-2"/>
          <w:sz w:val="24"/>
        </w:rPr>
        <w:t>category</w:t>
      </w:r>
      <w:r>
        <w:rPr>
          <w:sz w:val="24"/>
        </w:rPr>
        <w:tab/>
      </w:r>
      <w:r>
        <w:rPr>
          <w:spacing w:val="-2"/>
          <w:sz w:val="24"/>
        </w:rPr>
        <w:t>hotels</w:t>
      </w:r>
      <w:r>
        <w:rPr>
          <w:sz w:val="24"/>
        </w:rPr>
        <w:tab/>
      </w:r>
      <w:r>
        <w:rPr>
          <w:spacing w:val="-2"/>
          <w:sz w:val="24"/>
        </w:rPr>
        <w:t>business,</w:t>
      </w:r>
      <w:r>
        <w:rPr>
          <w:sz w:val="24"/>
        </w:rPr>
        <w:tab/>
      </w:r>
      <w:r>
        <w:rPr>
          <w:spacing w:val="-2"/>
          <w:sz w:val="24"/>
        </w:rPr>
        <w:t>mercantile, </w:t>
      </w:r>
      <w:r>
        <w:rPr>
          <w:sz w:val="24"/>
        </w:rPr>
        <w:t>industrial,</w:t>
      </w:r>
      <w:r>
        <w:rPr>
          <w:spacing w:val="80"/>
          <w:sz w:val="24"/>
        </w:rPr>
        <w:t> </w:t>
      </w:r>
      <w:r>
        <w:rPr>
          <w:sz w:val="24"/>
        </w:rPr>
        <w:t>hazardous</w:t>
      </w:r>
      <w:r>
        <w:rPr>
          <w:spacing w:val="80"/>
          <w:sz w:val="24"/>
        </w:rPr>
        <w:t> </w:t>
      </w:r>
      <w:r>
        <w:rPr>
          <w:sz w:val="24"/>
        </w:rPr>
        <w:t>occupancies</w:t>
      </w:r>
      <w:r>
        <w:rPr>
          <w:spacing w:val="80"/>
          <w:sz w:val="24"/>
        </w:rPr>
        <w:t> </w:t>
      </w:r>
      <w:r>
        <w:rPr>
          <w:sz w:val="24"/>
        </w:rPr>
        <w:t>and</w:t>
      </w:r>
      <w:r>
        <w:rPr>
          <w:spacing w:val="80"/>
          <w:sz w:val="24"/>
        </w:rPr>
        <w:t> </w:t>
      </w:r>
      <w:r>
        <w:rPr>
          <w:sz w:val="24"/>
        </w:rPr>
        <w:t>storage</w:t>
      </w:r>
      <w:r>
        <w:rPr>
          <w:spacing w:val="80"/>
          <w:sz w:val="24"/>
        </w:rPr>
        <w:t> </w:t>
      </w:r>
      <w:r>
        <w:rPr>
          <w:sz w:val="24"/>
        </w:rPr>
        <w:t>buildings:</w:t>
      </w:r>
      <w:r>
        <w:rPr>
          <w:spacing w:val="80"/>
          <w:sz w:val="24"/>
        </w:rPr>
        <w:t> </w:t>
      </w:r>
      <w:r>
        <w:rPr>
          <w:sz w:val="24"/>
        </w:rPr>
        <w:t>30m</w:t>
      </w:r>
    </w:p>
    <w:p>
      <w:pPr>
        <w:pStyle w:val="BodyText"/>
        <w:spacing w:before="241"/>
        <w:ind w:left="2033" w:right="795"/>
      </w:pPr>
      <w:r>
        <w:rPr/>
        <w:t>Note- The travel distance to an exit from the dead end of a corridor shall not exceed half the distance specified above. When more than</w:t>
      </w:r>
      <w:r>
        <w:rPr>
          <w:spacing w:val="40"/>
        </w:rPr>
        <w:t> </w:t>
      </w:r>
      <w:r>
        <w:rPr/>
        <w:t>one</w:t>
      </w:r>
      <w:r>
        <w:rPr>
          <w:spacing w:val="40"/>
        </w:rPr>
        <w:t> </w:t>
      </w:r>
      <w:r>
        <w:rPr/>
        <w:t>exit</w:t>
      </w:r>
      <w:r>
        <w:rPr>
          <w:spacing w:val="40"/>
        </w:rPr>
        <w:t> </w:t>
      </w:r>
      <w:r>
        <w:rPr/>
        <w:t>is</w:t>
      </w:r>
      <w:r>
        <w:rPr>
          <w:spacing w:val="40"/>
        </w:rPr>
        <w:t> </w:t>
      </w:r>
      <w:r>
        <w:rPr/>
        <w:t>required</w:t>
      </w:r>
      <w:r>
        <w:rPr>
          <w:spacing w:val="40"/>
        </w:rPr>
        <w:t> </w:t>
      </w:r>
      <w:r>
        <w:rPr/>
        <w:t>on</w:t>
      </w:r>
      <w:r>
        <w:rPr>
          <w:spacing w:val="40"/>
        </w:rPr>
        <w:t> </w:t>
      </w:r>
      <w:r>
        <w:rPr/>
        <w:t>a</w:t>
      </w:r>
      <w:r>
        <w:rPr>
          <w:spacing w:val="40"/>
        </w:rPr>
        <w:t> </w:t>
      </w:r>
      <w:r>
        <w:rPr/>
        <w:t>floor,</w:t>
      </w:r>
      <w:r>
        <w:rPr>
          <w:spacing w:val="40"/>
        </w:rPr>
        <w:t> </w:t>
      </w:r>
      <w:r>
        <w:rPr/>
        <w:t>the</w:t>
      </w:r>
      <w:r>
        <w:rPr>
          <w:spacing w:val="40"/>
        </w:rPr>
        <w:t> </w:t>
      </w:r>
      <w:r>
        <w:rPr/>
        <w:t>exits</w:t>
      </w:r>
      <w:r>
        <w:rPr>
          <w:spacing w:val="40"/>
        </w:rPr>
        <w:t> </w:t>
      </w:r>
      <w:r>
        <w:rPr/>
        <w:t>shall</w:t>
      </w:r>
      <w:r>
        <w:rPr>
          <w:spacing w:val="40"/>
        </w:rPr>
        <w:t> </w:t>
      </w:r>
      <w:r>
        <w:rPr/>
        <w:t>be</w:t>
      </w:r>
      <w:r>
        <w:rPr>
          <w:spacing w:val="40"/>
        </w:rPr>
        <w:t> </w:t>
      </w:r>
      <w:r>
        <w:rPr/>
        <w:t>as</w:t>
      </w:r>
      <w:r>
        <w:rPr>
          <w:spacing w:val="40"/>
        </w:rPr>
        <w:t> </w:t>
      </w:r>
      <w:r>
        <w:rPr/>
        <w:t>remote</w:t>
      </w:r>
      <w:r>
        <w:rPr>
          <w:spacing w:val="40"/>
        </w:rPr>
        <w:t> </w:t>
      </w:r>
      <w:r>
        <w:rPr/>
        <w:t>from each other as </w:t>
      </w:r>
      <w:r>
        <w:rPr>
          <w:spacing w:val="9"/>
        </w:rPr>
        <w:t>possible:</w:t>
      </w:r>
    </w:p>
    <w:p>
      <w:pPr>
        <w:pStyle w:val="BodyText"/>
        <w:spacing w:before="241"/>
        <w:ind w:left="2033" w:right="789"/>
      </w:pPr>
      <w:r>
        <w:rPr/>
        <w:t>Provided</w:t>
      </w:r>
      <w:r>
        <w:rPr>
          <w:spacing w:val="40"/>
        </w:rPr>
        <w:t> </w:t>
      </w:r>
      <w:r>
        <w:rPr/>
        <w:t>that,</w:t>
      </w:r>
      <w:r>
        <w:rPr>
          <w:spacing w:val="40"/>
        </w:rPr>
        <w:t> </w:t>
      </w:r>
      <w:r>
        <w:rPr/>
        <w:t>in</w:t>
      </w:r>
      <w:r>
        <w:rPr>
          <w:spacing w:val="40"/>
        </w:rPr>
        <w:t> </w:t>
      </w:r>
      <w:r>
        <w:rPr/>
        <w:t>case</w:t>
      </w:r>
      <w:r>
        <w:rPr>
          <w:spacing w:val="40"/>
        </w:rPr>
        <w:t> </w:t>
      </w:r>
      <w:r>
        <w:rPr/>
        <w:t>of</w:t>
      </w:r>
      <w:r>
        <w:rPr>
          <w:spacing w:val="40"/>
        </w:rPr>
        <w:t> </w:t>
      </w:r>
      <w:r>
        <w:rPr/>
        <w:t>high</w:t>
      </w:r>
      <w:r>
        <w:rPr>
          <w:spacing w:val="40"/>
        </w:rPr>
        <w:t> </w:t>
      </w:r>
      <w:r>
        <w:rPr/>
        <w:t>rise</w:t>
      </w:r>
      <w:r>
        <w:rPr>
          <w:spacing w:val="40"/>
        </w:rPr>
        <w:t> </w:t>
      </w:r>
      <w:r>
        <w:rPr/>
        <w:t>and</w:t>
      </w:r>
      <w:r>
        <w:rPr>
          <w:spacing w:val="40"/>
        </w:rPr>
        <w:t> </w:t>
      </w:r>
      <w:r>
        <w:rPr/>
        <w:t>special</w:t>
      </w:r>
      <w:r>
        <w:rPr>
          <w:spacing w:val="40"/>
        </w:rPr>
        <w:t> </w:t>
      </w:r>
      <w:r>
        <w:rPr/>
        <w:t>buildings,</w:t>
      </w:r>
      <w:r>
        <w:rPr>
          <w:spacing w:val="40"/>
        </w:rPr>
        <w:t> </w:t>
      </w:r>
      <w:r>
        <w:rPr/>
        <w:t>a minimum of two enclosed type staircases shall be provided, at least one</w:t>
      </w:r>
      <w:r>
        <w:rPr>
          <w:spacing w:val="40"/>
        </w:rPr>
        <w:t> </w:t>
      </w:r>
      <w:r>
        <w:rPr/>
        <w:t>of</w:t>
      </w:r>
      <w:r>
        <w:rPr>
          <w:spacing w:val="40"/>
        </w:rPr>
        <w:t> </w:t>
      </w:r>
      <w:r>
        <w:rPr/>
        <w:t>them</w:t>
      </w:r>
      <w:r>
        <w:rPr>
          <w:spacing w:val="40"/>
        </w:rPr>
        <w:t> </w:t>
      </w:r>
      <w:r>
        <w:rPr/>
        <w:t>opening</w:t>
      </w:r>
      <w:r>
        <w:rPr>
          <w:spacing w:val="40"/>
        </w:rPr>
        <w:t> </w:t>
      </w:r>
      <w:r>
        <w:rPr/>
        <w:t>directly</w:t>
      </w:r>
      <w:r>
        <w:rPr>
          <w:spacing w:val="40"/>
        </w:rPr>
        <w:t> </w:t>
      </w:r>
      <w:r>
        <w:rPr/>
        <w:t>to</w:t>
      </w:r>
      <w:r>
        <w:rPr>
          <w:spacing w:val="40"/>
        </w:rPr>
        <w:t> </w:t>
      </w:r>
      <w:r>
        <w:rPr/>
        <w:t>the</w:t>
      </w:r>
      <w:r>
        <w:rPr>
          <w:spacing w:val="40"/>
        </w:rPr>
        <w:t> </w:t>
      </w:r>
      <w:r>
        <w:rPr/>
        <w:t>exterior,</w:t>
      </w:r>
      <w:r>
        <w:rPr>
          <w:spacing w:val="40"/>
        </w:rPr>
        <w:t> </w:t>
      </w:r>
      <w:r>
        <w:rPr/>
        <w:t>to</w:t>
      </w:r>
      <w:r>
        <w:rPr>
          <w:spacing w:val="40"/>
        </w:rPr>
        <w:t> </w:t>
      </w:r>
      <w:r>
        <w:rPr/>
        <w:t>an</w:t>
      </w:r>
      <w:r>
        <w:rPr>
          <w:spacing w:val="40"/>
        </w:rPr>
        <w:t> </w:t>
      </w:r>
      <w:r>
        <w:rPr/>
        <w:t>interior</w:t>
      </w:r>
      <w:r>
        <w:rPr>
          <w:spacing w:val="40"/>
        </w:rPr>
        <w:t> </w:t>
      </w:r>
      <w:r>
        <w:rPr/>
        <w:t>open space</w:t>
      </w:r>
      <w:r>
        <w:rPr>
          <w:spacing w:val="40"/>
        </w:rPr>
        <w:t> </w:t>
      </w:r>
      <w:r>
        <w:rPr/>
        <w:t>or</w:t>
      </w:r>
      <w:r>
        <w:rPr>
          <w:spacing w:val="40"/>
        </w:rPr>
        <w:t> </w:t>
      </w:r>
      <w:r>
        <w:rPr/>
        <w:t>to</w:t>
      </w:r>
      <w:r>
        <w:rPr>
          <w:spacing w:val="40"/>
        </w:rPr>
        <w:t> </w:t>
      </w:r>
      <w:r>
        <w:rPr/>
        <w:t>any</w:t>
      </w:r>
      <w:r>
        <w:rPr>
          <w:spacing w:val="40"/>
        </w:rPr>
        <w:t> </w:t>
      </w:r>
      <w:r>
        <w:rPr/>
        <w:t>open</w:t>
      </w:r>
      <w:r>
        <w:rPr>
          <w:spacing w:val="40"/>
        </w:rPr>
        <w:t> </w:t>
      </w:r>
      <w:r>
        <w:rPr/>
        <w:t>place</w:t>
      </w:r>
      <w:r>
        <w:rPr>
          <w:spacing w:val="40"/>
        </w:rPr>
        <w:t> </w:t>
      </w:r>
      <w:r>
        <w:rPr/>
        <w:t>of</w:t>
      </w:r>
      <w:r>
        <w:rPr>
          <w:spacing w:val="40"/>
        </w:rPr>
        <w:t> </w:t>
      </w:r>
      <w:r>
        <w:rPr>
          <w:spacing w:val="9"/>
        </w:rPr>
        <w:t>safety.</w:t>
      </w:r>
    </w:p>
    <w:p>
      <w:pPr>
        <w:pStyle w:val="ListParagraph"/>
        <w:numPr>
          <w:ilvl w:val="0"/>
          <w:numId w:val="315"/>
        </w:numPr>
        <w:tabs>
          <w:tab w:pos="2257" w:val="left" w:leader="none"/>
        </w:tabs>
        <w:spacing w:line="240" w:lineRule="auto" w:before="239" w:after="0"/>
        <w:ind w:left="2257" w:right="0" w:hanging="404"/>
        <w:jc w:val="left"/>
        <w:rPr>
          <w:i/>
          <w:sz w:val="24"/>
        </w:rPr>
      </w:pPr>
      <w:r>
        <w:rPr>
          <w:i/>
          <w:sz w:val="24"/>
        </w:rPr>
        <w:t>Number</w:t>
      </w:r>
      <w:r>
        <w:rPr>
          <w:i/>
          <w:spacing w:val="45"/>
          <w:sz w:val="24"/>
        </w:rPr>
        <w:t> </w:t>
      </w:r>
      <w:r>
        <w:rPr>
          <w:i/>
          <w:sz w:val="24"/>
        </w:rPr>
        <w:t>and</w:t>
      </w:r>
      <w:r>
        <w:rPr>
          <w:i/>
          <w:spacing w:val="51"/>
          <w:sz w:val="24"/>
        </w:rPr>
        <w:t> </w:t>
      </w:r>
      <w:r>
        <w:rPr>
          <w:i/>
          <w:sz w:val="24"/>
        </w:rPr>
        <w:t>width</w:t>
      </w:r>
      <w:r>
        <w:rPr>
          <w:i/>
          <w:spacing w:val="42"/>
          <w:sz w:val="24"/>
        </w:rPr>
        <w:t> </w:t>
      </w:r>
      <w:r>
        <w:rPr>
          <w:i/>
          <w:sz w:val="24"/>
        </w:rPr>
        <w:t>of</w:t>
      </w:r>
      <w:r>
        <w:rPr>
          <w:i/>
          <w:spacing w:val="53"/>
          <w:sz w:val="24"/>
        </w:rPr>
        <w:t> </w:t>
      </w:r>
      <w:r>
        <w:rPr>
          <w:i/>
          <w:spacing w:val="-2"/>
          <w:sz w:val="24"/>
        </w:rPr>
        <w:t>exits</w:t>
      </w:r>
    </w:p>
    <w:p>
      <w:pPr>
        <w:pStyle w:val="BodyText"/>
        <w:spacing w:before="241"/>
        <w:ind w:left="2033" w:right="782"/>
      </w:pPr>
      <w:r>
        <w:rPr/>
        <w:t>The</w:t>
      </w:r>
      <w:r>
        <w:rPr>
          <w:spacing w:val="37"/>
        </w:rPr>
        <w:t> </w:t>
      </w:r>
      <w:r>
        <w:rPr/>
        <w:t>width</w:t>
      </w:r>
      <w:r>
        <w:rPr>
          <w:spacing w:val="37"/>
        </w:rPr>
        <w:t> </w:t>
      </w:r>
      <w:r>
        <w:rPr/>
        <w:t>of</w:t>
      </w:r>
      <w:r>
        <w:rPr>
          <w:spacing w:val="40"/>
        </w:rPr>
        <w:t> </w:t>
      </w:r>
      <w:r>
        <w:rPr/>
        <w:t>an</w:t>
      </w:r>
      <w:r>
        <w:rPr>
          <w:spacing w:val="40"/>
        </w:rPr>
        <w:t> </w:t>
      </w:r>
      <w:r>
        <w:rPr/>
        <w:t>exit,</w:t>
      </w:r>
      <w:r>
        <w:rPr>
          <w:spacing w:val="37"/>
        </w:rPr>
        <w:t> </w:t>
      </w:r>
      <w:r>
        <w:rPr/>
        <w:t>stairway/corridor</w:t>
      </w:r>
      <w:r>
        <w:rPr>
          <w:spacing w:val="40"/>
        </w:rPr>
        <w:t> </w:t>
      </w:r>
      <w:r>
        <w:rPr/>
        <w:t>and</w:t>
      </w:r>
      <w:r>
        <w:rPr>
          <w:spacing w:val="37"/>
        </w:rPr>
        <w:t> </w:t>
      </w:r>
      <w:r>
        <w:rPr/>
        <w:t>exit</w:t>
      </w:r>
      <w:r>
        <w:rPr>
          <w:spacing w:val="37"/>
        </w:rPr>
        <w:t> </w:t>
      </w:r>
      <w:r>
        <w:rPr/>
        <w:t>door</w:t>
      </w:r>
      <w:r>
        <w:rPr>
          <w:spacing w:val="37"/>
        </w:rPr>
        <w:t> </w:t>
      </w:r>
      <w:r>
        <w:rPr/>
        <w:t>to</w:t>
      </w:r>
      <w:r>
        <w:rPr>
          <w:spacing w:val="37"/>
        </w:rPr>
        <w:t> </w:t>
      </w:r>
      <w:r>
        <w:rPr/>
        <w:t>be</w:t>
      </w:r>
      <w:r>
        <w:rPr>
          <w:spacing w:val="40"/>
        </w:rPr>
        <w:t> </w:t>
      </w:r>
      <w:r>
        <w:rPr/>
        <w:t>provided at each floor in occupancies of various types shall be as shown in columns 3 and 5 of Table No 22 here under. Their number shall be calculated</w:t>
      </w:r>
      <w:r>
        <w:rPr>
          <w:spacing w:val="40"/>
        </w:rPr>
        <w:t> </w:t>
      </w:r>
      <w:r>
        <w:rPr/>
        <w:t>by</w:t>
      </w:r>
      <w:r>
        <w:rPr>
          <w:spacing w:val="40"/>
        </w:rPr>
        <w:t> </w:t>
      </w:r>
      <w:r>
        <w:rPr/>
        <w:t>applying</w:t>
      </w:r>
      <w:r>
        <w:rPr>
          <w:spacing w:val="40"/>
        </w:rPr>
        <w:t> </w:t>
      </w:r>
      <w:r>
        <w:rPr/>
        <w:t>to</w:t>
      </w:r>
      <w:r>
        <w:rPr>
          <w:spacing w:val="40"/>
        </w:rPr>
        <w:t> </w:t>
      </w:r>
      <w:r>
        <w:rPr/>
        <w:t>every</w:t>
      </w:r>
      <w:r>
        <w:rPr>
          <w:spacing w:val="40"/>
        </w:rPr>
        <w:t> </w:t>
      </w:r>
      <w:r>
        <w:rPr>
          <w:spacing w:val="9"/>
        </w:rPr>
        <w:t>100-</w:t>
      </w:r>
      <w:r>
        <w:rPr/>
        <w:t>sq.m</w:t>
      </w:r>
      <w:r>
        <w:rPr>
          <w:spacing w:val="40"/>
        </w:rPr>
        <w:t> </w:t>
      </w:r>
      <w:r>
        <w:rPr/>
        <w:t>of</w:t>
      </w:r>
      <w:r>
        <w:rPr>
          <w:spacing w:val="40"/>
        </w:rPr>
        <w:t> </w:t>
      </w:r>
      <w:r>
        <w:rPr/>
        <w:t>the</w:t>
      </w:r>
      <w:r>
        <w:rPr>
          <w:spacing w:val="40"/>
        </w:rPr>
        <w:t> </w:t>
      </w:r>
      <w:r>
        <w:rPr/>
        <w:t>plinth</w:t>
      </w:r>
      <w:r>
        <w:rPr>
          <w:spacing w:val="40"/>
        </w:rPr>
        <w:t> </w:t>
      </w:r>
      <w:r>
        <w:rPr/>
        <w:t>or</w:t>
      </w:r>
      <w:r>
        <w:rPr>
          <w:spacing w:val="40"/>
        </w:rPr>
        <w:t> </w:t>
      </w:r>
      <w:r>
        <w:rPr/>
        <w:t>covered area</w:t>
      </w:r>
      <w:r>
        <w:rPr>
          <w:spacing w:val="40"/>
        </w:rPr>
        <w:t> </w:t>
      </w:r>
      <w:r>
        <w:rPr/>
        <w:t>of</w:t>
      </w:r>
      <w:r>
        <w:rPr>
          <w:spacing w:val="40"/>
        </w:rPr>
        <w:t> </w:t>
      </w:r>
      <w:r>
        <w:rPr/>
        <w:t>the</w:t>
      </w:r>
      <w:r>
        <w:rPr>
          <w:spacing w:val="40"/>
        </w:rPr>
        <w:t> </w:t>
      </w:r>
      <w:r>
        <w:rPr/>
        <w:t>occupancy,</w:t>
      </w:r>
      <w:r>
        <w:rPr>
          <w:spacing w:val="40"/>
        </w:rPr>
        <w:t> </w:t>
      </w:r>
      <w:r>
        <w:rPr/>
        <w:t>the</w:t>
      </w:r>
      <w:r>
        <w:rPr>
          <w:spacing w:val="40"/>
        </w:rPr>
        <w:t> </w:t>
      </w:r>
      <w:r>
        <w:rPr/>
        <w:t>relevant</w:t>
      </w:r>
      <w:r>
        <w:rPr>
          <w:spacing w:val="40"/>
        </w:rPr>
        <w:t> </w:t>
      </w:r>
      <w:r>
        <w:rPr/>
        <w:t>multiplier</w:t>
      </w:r>
      <w:r>
        <w:rPr>
          <w:spacing w:val="40"/>
        </w:rPr>
        <w:t> </w:t>
      </w:r>
      <w:r>
        <w:rPr/>
        <w:t>in</w:t>
      </w:r>
      <w:r>
        <w:rPr>
          <w:spacing w:val="40"/>
        </w:rPr>
        <w:t> </w:t>
      </w:r>
      <w:r>
        <w:rPr/>
        <w:t>columns</w:t>
      </w:r>
      <w:r>
        <w:rPr>
          <w:spacing w:val="40"/>
        </w:rPr>
        <w:t> </w:t>
      </w:r>
      <w:r>
        <w:rPr/>
        <w:t>4</w:t>
      </w:r>
      <w:r>
        <w:rPr>
          <w:spacing w:val="40"/>
        </w:rPr>
        <w:t> </w:t>
      </w:r>
      <w:r>
        <w:rPr/>
        <w:t>and</w:t>
      </w:r>
      <w:r>
        <w:rPr>
          <w:spacing w:val="40"/>
        </w:rPr>
        <w:t> </w:t>
      </w:r>
      <w:r>
        <w:rPr/>
        <w:t>6 of the said Table, fractions being rounded off upward to the nearest whole </w:t>
      </w:r>
      <w:r>
        <w:rPr>
          <w:spacing w:val="9"/>
        </w:rPr>
        <w:t>number.</w:t>
      </w:r>
    </w:p>
    <w:p>
      <w:pPr>
        <w:pStyle w:val="BodyText"/>
        <w:jc w:val="left"/>
      </w:pPr>
    </w:p>
    <w:p>
      <w:pPr>
        <w:pStyle w:val="BodyText"/>
        <w:spacing w:before="198"/>
        <w:jc w:val="left"/>
      </w:pPr>
    </w:p>
    <w:p>
      <w:pPr>
        <w:pStyle w:val="Heading5"/>
        <w:ind w:left="1418"/>
      </w:pPr>
      <w:r>
        <w:rPr/>
        <w:t>Table</w:t>
      </w:r>
      <w:r>
        <w:rPr>
          <w:spacing w:val="47"/>
        </w:rPr>
        <w:t> </w:t>
      </w:r>
      <w:r>
        <w:rPr/>
        <w:t>No:</w:t>
      </w:r>
      <w:r>
        <w:rPr>
          <w:spacing w:val="48"/>
        </w:rPr>
        <w:t> </w:t>
      </w:r>
      <w:r>
        <w:rPr>
          <w:spacing w:val="-5"/>
        </w:rPr>
        <w:t>22</w:t>
      </w:r>
    </w:p>
    <w:p>
      <w:pPr>
        <w:spacing w:before="240"/>
        <w:ind w:left="2688" w:right="0" w:firstLine="0"/>
        <w:jc w:val="left"/>
        <w:rPr>
          <w:b/>
          <w:sz w:val="24"/>
        </w:rPr>
      </w:pPr>
      <w:r>
        <w:rPr>
          <w:b/>
          <w:sz w:val="24"/>
        </w:rPr>
        <w:t>Width</w:t>
      </w:r>
      <w:r>
        <w:rPr>
          <w:b/>
          <w:spacing w:val="-3"/>
          <w:sz w:val="24"/>
        </w:rPr>
        <w:t> </w:t>
      </w:r>
      <w:r>
        <w:rPr>
          <w:b/>
          <w:sz w:val="24"/>
        </w:rPr>
        <w:t>and</w:t>
      </w:r>
      <w:r>
        <w:rPr>
          <w:b/>
          <w:spacing w:val="-1"/>
          <w:sz w:val="24"/>
        </w:rPr>
        <w:t> </w:t>
      </w:r>
      <w:r>
        <w:rPr>
          <w:b/>
          <w:sz w:val="24"/>
        </w:rPr>
        <w:t>Number of</w:t>
      </w:r>
      <w:r>
        <w:rPr>
          <w:b/>
          <w:spacing w:val="-1"/>
          <w:sz w:val="24"/>
        </w:rPr>
        <w:t> </w:t>
      </w:r>
      <w:r>
        <w:rPr>
          <w:b/>
          <w:sz w:val="24"/>
        </w:rPr>
        <w:t>Exits</w:t>
      </w:r>
      <w:r>
        <w:rPr>
          <w:b/>
          <w:spacing w:val="-1"/>
          <w:sz w:val="24"/>
        </w:rPr>
        <w:t> </w:t>
      </w:r>
      <w:r>
        <w:rPr>
          <w:b/>
          <w:sz w:val="24"/>
        </w:rPr>
        <w:t>for</w:t>
      </w:r>
      <w:r>
        <w:rPr>
          <w:b/>
          <w:spacing w:val="-1"/>
          <w:sz w:val="24"/>
        </w:rPr>
        <w:t> </w:t>
      </w:r>
      <w:r>
        <w:rPr>
          <w:b/>
          <w:sz w:val="24"/>
        </w:rPr>
        <w:t>various</w:t>
      </w:r>
      <w:r>
        <w:rPr>
          <w:b/>
          <w:spacing w:val="-3"/>
          <w:sz w:val="24"/>
        </w:rPr>
        <w:t> </w:t>
      </w:r>
      <w:r>
        <w:rPr>
          <w:b/>
          <w:spacing w:val="-2"/>
          <w:sz w:val="24"/>
        </w:rPr>
        <w:t>Occupancies</w:t>
      </w:r>
    </w:p>
    <w:p>
      <w:pPr>
        <w:pStyle w:val="BodyText"/>
        <w:spacing w:before="7"/>
        <w:jc w:val="left"/>
        <w:rPr>
          <w:b/>
          <w:sz w:val="20"/>
        </w:rPr>
      </w:pPr>
    </w:p>
    <w:tbl>
      <w:tblPr>
        <w:tblW w:w="0" w:type="auto"/>
        <w:jc w:val="left"/>
        <w:tblInd w:w="10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6"/>
        <w:gridCol w:w="2559"/>
        <w:gridCol w:w="1279"/>
        <w:gridCol w:w="1133"/>
        <w:gridCol w:w="1844"/>
        <w:gridCol w:w="1416"/>
      </w:tblGrid>
      <w:tr>
        <w:trPr>
          <w:trHeight w:val="1748" w:hRule="atLeast"/>
        </w:trPr>
        <w:tc>
          <w:tcPr>
            <w:tcW w:w="986" w:type="dxa"/>
            <w:shd w:val="clear" w:color="auto" w:fill="EDEBE0"/>
          </w:tcPr>
          <w:p>
            <w:pPr>
              <w:pStyle w:val="TableParagraph"/>
              <w:spacing w:line="338" w:lineRule="auto" w:before="94"/>
              <w:ind w:left="107" w:right="296"/>
              <w:rPr>
                <w:sz w:val="20"/>
              </w:rPr>
            </w:pPr>
            <w:r>
              <w:rPr>
                <w:spacing w:val="-2"/>
                <w:sz w:val="20"/>
              </w:rPr>
              <w:t>Serial </w:t>
            </w:r>
            <w:r>
              <w:rPr>
                <w:spacing w:val="-4"/>
                <w:sz w:val="20"/>
              </w:rPr>
              <w:t>No.</w:t>
            </w:r>
          </w:p>
          <w:p>
            <w:pPr>
              <w:pStyle w:val="TableParagraph"/>
              <w:spacing w:before="94"/>
              <w:rPr>
                <w:b/>
                <w:sz w:val="20"/>
              </w:rPr>
            </w:pPr>
          </w:p>
          <w:p>
            <w:pPr>
              <w:pStyle w:val="TableParagraph"/>
              <w:ind w:left="107"/>
              <w:rPr>
                <w:sz w:val="20"/>
              </w:rPr>
            </w:pPr>
            <w:r>
              <w:rPr>
                <w:spacing w:val="-5"/>
                <w:sz w:val="20"/>
              </w:rPr>
              <w:t>(1)</w:t>
            </w:r>
          </w:p>
        </w:tc>
        <w:tc>
          <w:tcPr>
            <w:tcW w:w="2559" w:type="dxa"/>
            <w:shd w:val="clear" w:color="auto" w:fill="EDEBE0"/>
          </w:tcPr>
          <w:p>
            <w:pPr>
              <w:pStyle w:val="TableParagraph"/>
              <w:spacing w:before="94"/>
              <w:ind w:left="108"/>
              <w:rPr>
                <w:sz w:val="20"/>
              </w:rPr>
            </w:pPr>
            <w:r>
              <w:rPr>
                <w:sz w:val="20"/>
              </w:rPr>
              <w:t>Type</w:t>
            </w:r>
            <w:r>
              <w:rPr>
                <w:spacing w:val="-6"/>
                <w:sz w:val="20"/>
              </w:rPr>
              <w:t> </w:t>
            </w:r>
            <w:r>
              <w:rPr>
                <w:sz w:val="20"/>
              </w:rPr>
              <w:t>of</w:t>
            </w:r>
            <w:r>
              <w:rPr>
                <w:spacing w:val="-3"/>
                <w:sz w:val="20"/>
              </w:rPr>
              <w:t> </w:t>
            </w:r>
            <w:r>
              <w:rPr>
                <w:spacing w:val="-2"/>
                <w:sz w:val="20"/>
              </w:rPr>
              <w:t>Occupancy</w:t>
            </w:r>
          </w:p>
          <w:p>
            <w:pPr>
              <w:pStyle w:val="TableParagraph"/>
              <w:rPr>
                <w:b/>
                <w:sz w:val="20"/>
              </w:rPr>
            </w:pPr>
          </w:p>
          <w:p>
            <w:pPr>
              <w:pStyle w:val="TableParagraph"/>
              <w:rPr>
                <w:b/>
                <w:sz w:val="20"/>
              </w:rPr>
            </w:pPr>
          </w:p>
          <w:p>
            <w:pPr>
              <w:pStyle w:val="TableParagraph"/>
              <w:spacing w:before="52"/>
              <w:rPr>
                <w:b/>
                <w:sz w:val="20"/>
              </w:rPr>
            </w:pPr>
          </w:p>
          <w:p>
            <w:pPr>
              <w:pStyle w:val="TableParagraph"/>
              <w:ind w:left="108"/>
              <w:rPr>
                <w:sz w:val="20"/>
              </w:rPr>
            </w:pPr>
            <w:r>
              <w:rPr>
                <w:spacing w:val="-5"/>
                <w:sz w:val="20"/>
              </w:rPr>
              <w:t>(2)</w:t>
            </w:r>
          </w:p>
        </w:tc>
        <w:tc>
          <w:tcPr>
            <w:tcW w:w="2412" w:type="dxa"/>
            <w:gridSpan w:val="2"/>
            <w:shd w:val="clear" w:color="auto" w:fill="EDEBE0"/>
          </w:tcPr>
          <w:p>
            <w:pPr>
              <w:pStyle w:val="TableParagraph"/>
              <w:spacing w:line="338" w:lineRule="auto" w:before="94"/>
              <w:ind w:left="110"/>
              <w:rPr>
                <w:sz w:val="20"/>
              </w:rPr>
            </w:pPr>
            <w:r>
              <w:rPr>
                <w:spacing w:val="-2"/>
                <w:sz w:val="20"/>
              </w:rPr>
              <w:t>Stairway/Corridor </w:t>
            </w:r>
            <w:r>
              <w:rPr>
                <w:sz w:val="20"/>
              </w:rPr>
              <w:t>Minimum</w:t>
            </w:r>
            <w:r>
              <w:rPr>
                <w:spacing w:val="80"/>
                <w:sz w:val="20"/>
              </w:rPr>
              <w:t> </w:t>
            </w:r>
            <w:r>
              <w:rPr>
                <w:sz w:val="20"/>
              </w:rPr>
              <w:t>Multiplier width in m</w:t>
            </w:r>
          </w:p>
          <w:p>
            <w:pPr>
              <w:pStyle w:val="TableParagraph"/>
              <w:tabs>
                <w:tab w:pos="1891" w:val="left" w:leader="none"/>
              </w:tabs>
              <w:spacing w:line="233" w:lineRule="exact"/>
              <w:ind w:left="110"/>
              <w:rPr>
                <w:sz w:val="20"/>
              </w:rPr>
            </w:pPr>
            <w:r>
              <w:rPr>
                <w:spacing w:val="-5"/>
                <w:sz w:val="20"/>
              </w:rPr>
              <w:t>(3)</w:t>
            </w:r>
            <w:r>
              <w:rPr>
                <w:sz w:val="20"/>
              </w:rPr>
              <w:tab/>
            </w:r>
            <w:r>
              <w:rPr>
                <w:spacing w:val="-5"/>
                <w:sz w:val="20"/>
              </w:rPr>
              <w:t>(4)</w:t>
            </w:r>
          </w:p>
        </w:tc>
        <w:tc>
          <w:tcPr>
            <w:tcW w:w="1844" w:type="dxa"/>
            <w:shd w:val="clear" w:color="auto" w:fill="EDEBE0"/>
          </w:tcPr>
          <w:p>
            <w:pPr>
              <w:pStyle w:val="TableParagraph"/>
              <w:tabs>
                <w:tab w:pos="789" w:val="left" w:leader="none"/>
              </w:tabs>
              <w:spacing w:before="94"/>
              <w:ind w:left="110" w:right="92"/>
              <w:rPr>
                <w:sz w:val="20"/>
              </w:rPr>
            </w:pPr>
            <w:r>
              <w:rPr>
                <w:spacing w:val="-4"/>
                <w:sz w:val="20"/>
              </w:rPr>
              <w:t>Door</w:t>
            </w:r>
            <w:r>
              <w:rPr>
                <w:sz w:val="20"/>
              </w:rPr>
              <w:tab/>
            </w:r>
            <w:r>
              <w:rPr>
                <w:spacing w:val="-2"/>
                <w:sz w:val="20"/>
              </w:rPr>
              <w:t>Minimum </w:t>
            </w:r>
            <w:r>
              <w:rPr>
                <w:sz w:val="20"/>
              </w:rPr>
              <w:t>width in m</w:t>
            </w:r>
          </w:p>
          <w:p>
            <w:pPr>
              <w:pStyle w:val="TableParagraph"/>
              <w:spacing w:before="191"/>
              <w:rPr>
                <w:b/>
                <w:sz w:val="20"/>
              </w:rPr>
            </w:pPr>
          </w:p>
          <w:p>
            <w:pPr>
              <w:pStyle w:val="TableParagraph"/>
              <w:ind w:left="110"/>
              <w:rPr>
                <w:sz w:val="20"/>
              </w:rPr>
            </w:pPr>
            <w:r>
              <w:rPr>
                <w:spacing w:val="-5"/>
                <w:sz w:val="20"/>
              </w:rPr>
              <w:t>(5)</w:t>
            </w:r>
          </w:p>
        </w:tc>
        <w:tc>
          <w:tcPr>
            <w:tcW w:w="1416" w:type="dxa"/>
            <w:shd w:val="clear" w:color="auto" w:fill="EDEBE0"/>
          </w:tcPr>
          <w:p>
            <w:pPr>
              <w:pStyle w:val="TableParagraph"/>
              <w:spacing w:line="338" w:lineRule="auto" w:before="94"/>
              <w:ind w:left="110" w:right="3"/>
              <w:rPr>
                <w:sz w:val="20"/>
              </w:rPr>
            </w:pPr>
            <w:r>
              <w:rPr>
                <w:spacing w:val="-4"/>
                <w:sz w:val="20"/>
              </w:rPr>
              <w:t>Exit </w:t>
            </w:r>
            <w:r>
              <w:rPr>
                <w:spacing w:val="-2"/>
                <w:sz w:val="20"/>
              </w:rPr>
              <w:t>Multiplier</w:t>
            </w:r>
          </w:p>
          <w:p>
            <w:pPr>
              <w:pStyle w:val="TableParagraph"/>
              <w:spacing w:before="94"/>
              <w:rPr>
                <w:b/>
                <w:sz w:val="20"/>
              </w:rPr>
            </w:pPr>
          </w:p>
          <w:p>
            <w:pPr>
              <w:pStyle w:val="TableParagraph"/>
              <w:ind w:left="110"/>
              <w:rPr>
                <w:sz w:val="20"/>
              </w:rPr>
            </w:pPr>
            <w:r>
              <w:rPr>
                <w:sz w:val="20"/>
              </w:rPr>
              <mc:AlternateContent>
                <mc:Choice Requires="wps">
                  <w:drawing>
                    <wp:anchor distT="0" distB="0" distL="0" distR="0" allowOverlap="1" layoutInCell="1" locked="0" behindDoc="1" simplePos="0" relativeHeight="471360000">
                      <wp:simplePos x="0" y="0"/>
                      <wp:positionH relativeFrom="column">
                        <wp:posOffset>-16827</wp:posOffset>
                      </wp:positionH>
                      <wp:positionV relativeFrom="paragraph">
                        <wp:posOffset>434260</wp:posOffset>
                      </wp:positionV>
                      <wp:extent cx="123825" cy="792480"/>
                      <wp:effectExtent l="0" t="0" r="0" b="0"/>
                      <wp:wrapNone/>
                      <wp:docPr id="497" name="Group 497"/>
                      <wp:cNvGraphicFramePr>
                        <a:graphicFrameLocks/>
                      </wp:cNvGraphicFramePr>
                      <a:graphic>
                        <a:graphicData uri="http://schemas.microsoft.com/office/word/2010/wordprocessingGroup">
                          <wpg:wgp>
                            <wpg:cNvPr id="497" name="Group 497"/>
                            <wpg:cNvGrpSpPr/>
                            <wpg:grpSpPr>
                              <a:xfrm>
                                <a:off x="0" y="0"/>
                                <a:ext cx="123825" cy="792480"/>
                                <a:chExt cx="123825" cy="792480"/>
                              </a:xfrm>
                            </wpg:grpSpPr>
                            <wps:wsp>
                              <wps:cNvPr id="498" name="Graphic 498"/>
                              <wps:cNvSpPr/>
                              <wps:spPr>
                                <a:xfrm>
                                  <a:off x="4762" y="4762"/>
                                  <a:ext cx="114300" cy="782955"/>
                                </a:xfrm>
                                <a:custGeom>
                                  <a:avLst/>
                                  <a:gdLst/>
                                  <a:ahLst/>
                                  <a:cxnLst/>
                                  <a:rect l="l" t="t" r="r" b="b"/>
                                  <a:pathLst>
                                    <a:path w="114300" h="782955">
                                      <a:moveTo>
                                        <a:pt x="0" y="0"/>
                                      </a:moveTo>
                                      <a:lnTo>
                                        <a:pt x="22270" y="5127"/>
                                      </a:lnTo>
                                      <a:lnTo>
                                        <a:pt x="40433" y="19113"/>
                                      </a:lnTo>
                                      <a:lnTo>
                                        <a:pt x="52667" y="39862"/>
                                      </a:lnTo>
                                      <a:lnTo>
                                        <a:pt x="57150" y="65277"/>
                                      </a:lnTo>
                                      <a:lnTo>
                                        <a:pt x="57150" y="326263"/>
                                      </a:lnTo>
                                      <a:lnTo>
                                        <a:pt x="61632" y="351605"/>
                                      </a:lnTo>
                                      <a:lnTo>
                                        <a:pt x="73866" y="372316"/>
                                      </a:lnTo>
                                      <a:lnTo>
                                        <a:pt x="92029" y="386288"/>
                                      </a:lnTo>
                                      <a:lnTo>
                                        <a:pt x="114300" y="391413"/>
                                      </a:lnTo>
                                      <a:lnTo>
                                        <a:pt x="92029" y="396541"/>
                                      </a:lnTo>
                                      <a:lnTo>
                                        <a:pt x="73866" y="410527"/>
                                      </a:lnTo>
                                      <a:lnTo>
                                        <a:pt x="61632" y="431276"/>
                                      </a:lnTo>
                                      <a:lnTo>
                                        <a:pt x="57150" y="456691"/>
                                      </a:lnTo>
                                      <a:lnTo>
                                        <a:pt x="57150" y="717676"/>
                                      </a:lnTo>
                                      <a:lnTo>
                                        <a:pt x="52667" y="743092"/>
                                      </a:lnTo>
                                      <a:lnTo>
                                        <a:pt x="40433" y="763841"/>
                                      </a:lnTo>
                                      <a:lnTo>
                                        <a:pt x="22270" y="777827"/>
                                      </a:lnTo>
                                      <a:lnTo>
                                        <a:pt x="0" y="78295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5pt;margin-top:34.193707pt;width:9.75pt;height:62.4pt;mso-position-horizontal-relative:column;mso-position-vertical-relative:paragraph;z-index:-31956480" id="docshapegroup428" coordorigin="-27,684" coordsize="195,1248">
                      <v:shape style="position:absolute;left:-19;top:691;width:180;height:1233" id="docshape429" coordorigin="-19,691" coordsize="180,1233" path="m-19,691l16,699,45,721,64,754,71,794,71,1205,78,1245,97,1278,126,1300,161,1308,126,1316,97,1338,78,1371,71,1411,71,1822,64,1862,45,1894,16,1916,-19,1924e" filled="false" stroked="true" strokeweight=".75pt" strokecolor="#000000">
                        <v:path arrowok="t"/>
                        <v:stroke dashstyle="solid"/>
                      </v:shape>
                      <w10:wrap type="none"/>
                    </v:group>
                  </w:pict>
                </mc:Fallback>
              </mc:AlternateContent>
            </w:r>
            <w:r>
              <w:rPr>
                <w:spacing w:val="-5"/>
                <w:sz w:val="20"/>
              </w:rPr>
              <w:t>(6)</w:t>
            </w:r>
          </w:p>
        </w:tc>
      </w:tr>
      <w:tr>
        <w:trPr>
          <w:trHeight w:val="436" w:hRule="atLeast"/>
        </w:trPr>
        <w:tc>
          <w:tcPr>
            <w:tcW w:w="986" w:type="dxa"/>
            <w:tcBorders>
              <w:bottom w:val="nil"/>
            </w:tcBorders>
          </w:tcPr>
          <w:p>
            <w:pPr>
              <w:pStyle w:val="TableParagraph"/>
              <w:spacing w:before="94"/>
              <w:ind w:left="107"/>
              <w:rPr>
                <w:sz w:val="20"/>
              </w:rPr>
            </w:pPr>
            <w:r>
              <w:rPr>
                <w:spacing w:val="-10"/>
                <w:sz w:val="20"/>
              </w:rPr>
              <w:t>1</w:t>
            </w:r>
          </w:p>
        </w:tc>
        <w:tc>
          <w:tcPr>
            <w:tcW w:w="2559" w:type="dxa"/>
            <w:tcBorders>
              <w:bottom w:val="nil"/>
            </w:tcBorders>
          </w:tcPr>
          <w:p>
            <w:pPr>
              <w:pStyle w:val="TableParagraph"/>
              <w:spacing w:before="94"/>
              <w:ind w:left="108"/>
              <w:rPr>
                <w:sz w:val="20"/>
              </w:rPr>
            </w:pPr>
            <w:r>
              <w:rPr>
                <w:sz w:val="20"/>
              </w:rPr>
              <w:t>Residential</w:t>
            </w:r>
            <w:r>
              <w:rPr>
                <w:spacing w:val="-13"/>
                <w:sz w:val="20"/>
              </w:rPr>
              <w:t> </w:t>
            </w:r>
            <w:r>
              <w:rPr>
                <w:spacing w:val="-2"/>
                <w:sz w:val="20"/>
              </w:rPr>
              <w:t>Dwellings</w:t>
            </w:r>
          </w:p>
        </w:tc>
        <w:tc>
          <w:tcPr>
            <w:tcW w:w="1279" w:type="dxa"/>
            <w:tcBorders>
              <w:bottom w:val="nil"/>
            </w:tcBorders>
          </w:tcPr>
          <w:p>
            <w:pPr>
              <w:pStyle w:val="TableParagraph"/>
              <w:spacing w:before="94"/>
              <w:ind w:left="110"/>
              <w:rPr>
                <w:sz w:val="20"/>
              </w:rPr>
            </w:pPr>
            <w:r>
              <w:rPr>
                <w:spacing w:val="-5"/>
                <w:sz w:val="20"/>
              </w:rPr>
              <w:t>1.2</w:t>
            </w:r>
          </w:p>
        </w:tc>
        <w:tc>
          <w:tcPr>
            <w:tcW w:w="1133" w:type="dxa"/>
            <w:tcBorders>
              <w:bottom w:val="nil"/>
            </w:tcBorders>
          </w:tcPr>
          <w:p>
            <w:pPr>
              <w:pStyle w:val="TableParagraph"/>
              <w:spacing w:before="94"/>
              <w:ind w:left="108"/>
              <w:rPr>
                <w:sz w:val="20"/>
              </w:rPr>
            </w:pPr>
            <w:r>
              <w:rPr>
                <w:spacing w:val="-2"/>
                <w:sz w:val="20"/>
              </w:rPr>
              <w:t>0.145</w:t>
            </w:r>
          </w:p>
        </w:tc>
        <w:tc>
          <w:tcPr>
            <w:tcW w:w="1844" w:type="dxa"/>
            <w:tcBorders>
              <w:bottom w:val="nil"/>
            </w:tcBorders>
          </w:tcPr>
          <w:p>
            <w:pPr>
              <w:pStyle w:val="TableParagraph"/>
              <w:spacing w:before="94"/>
              <w:ind w:left="110"/>
              <w:rPr>
                <w:sz w:val="20"/>
              </w:rPr>
            </w:pPr>
            <w:r>
              <w:rPr>
                <w:spacing w:val="-5"/>
                <w:sz w:val="20"/>
              </w:rPr>
              <w:t>….</w:t>
            </w:r>
          </w:p>
        </w:tc>
        <w:tc>
          <w:tcPr>
            <w:tcW w:w="1416" w:type="dxa"/>
            <w:tcBorders>
              <w:bottom w:val="nil"/>
            </w:tcBorders>
          </w:tcPr>
          <w:p>
            <w:pPr>
              <w:pStyle w:val="TableParagraph"/>
              <w:rPr>
                <w:rFonts w:ascii="Times New Roman"/>
                <w:sz w:val="22"/>
              </w:rPr>
            </w:pPr>
          </w:p>
        </w:tc>
      </w:tr>
      <w:tr>
        <w:trPr>
          <w:trHeight w:val="555" w:hRule="atLeast"/>
        </w:trPr>
        <w:tc>
          <w:tcPr>
            <w:tcW w:w="986" w:type="dxa"/>
            <w:tcBorders>
              <w:top w:val="nil"/>
              <w:bottom w:val="nil"/>
            </w:tcBorders>
          </w:tcPr>
          <w:p>
            <w:pPr>
              <w:pStyle w:val="TableParagraph"/>
              <w:rPr>
                <w:rFonts w:ascii="Times New Roman"/>
                <w:sz w:val="22"/>
              </w:rPr>
            </w:pPr>
          </w:p>
        </w:tc>
        <w:tc>
          <w:tcPr>
            <w:tcW w:w="2559" w:type="dxa"/>
            <w:tcBorders>
              <w:top w:val="nil"/>
              <w:bottom w:val="nil"/>
            </w:tcBorders>
          </w:tcPr>
          <w:p>
            <w:pPr>
              <w:pStyle w:val="TableParagraph"/>
              <w:spacing w:before="85"/>
              <w:rPr>
                <w:b/>
                <w:sz w:val="20"/>
              </w:rPr>
            </w:pPr>
          </w:p>
          <w:p>
            <w:pPr>
              <w:pStyle w:val="TableParagraph"/>
              <w:spacing w:line="216" w:lineRule="exact"/>
              <w:ind w:left="108"/>
              <w:rPr>
                <w:sz w:val="20"/>
              </w:rPr>
            </w:pPr>
            <w:r>
              <w:rPr>
                <w:spacing w:val="-2"/>
                <w:sz w:val="20"/>
              </w:rPr>
              <w:t>row-housing/</w:t>
            </w:r>
            <w:r>
              <w:rPr>
                <w:color w:val="000000"/>
                <w:spacing w:val="-2"/>
                <w:sz w:val="20"/>
                <w:shd w:fill="FFCCFF" w:color="auto" w:val="clear"/>
              </w:rPr>
              <w:t>Duplex</w:t>
            </w:r>
          </w:p>
        </w:tc>
        <w:tc>
          <w:tcPr>
            <w:tcW w:w="1279" w:type="dxa"/>
            <w:tcBorders>
              <w:top w:val="nil"/>
              <w:bottom w:val="nil"/>
            </w:tcBorders>
          </w:tcPr>
          <w:p>
            <w:pPr>
              <w:pStyle w:val="TableParagraph"/>
              <w:spacing w:before="85"/>
              <w:rPr>
                <w:b/>
                <w:sz w:val="20"/>
              </w:rPr>
            </w:pPr>
          </w:p>
          <w:p>
            <w:pPr>
              <w:pStyle w:val="TableParagraph"/>
              <w:spacing w:line="216" w:lineRule="exact"/>
              <w:ind w:left="110"/>
              <w:rPr>
                <w:sz w:val="20"/>
              </w:rPr>
            </w:pPr>
            <w:r>
              <w:rPr>
                <w:spacing w:val="-4"/>
                <w:sz w:val="20"/>
              </w:rPr>
              <w:t>0.90</w:t>
            </w:r>
          </w:p>
        </w:tc>
        <w:tc>
          <w:tcPr>
            <w:tcW w:w="1133" w:type="dxa"/>
            <w:tcBorders>
              <w:top w:val="nil"/>
              <w:bottom w:val="nil"/>
            </w:tcBorders>
          </w:tcPr>
          <w:p>
            <w:pPr>
              <w:pStyle w:val="TableParagraph"/>
              <w:spacing w:before="85"/>
              <w:rPr>
                <w:b/>
                <w:sz w:val="20"/>
              </w:rPr>
            </w:pPr>
          </w:p>
          <w:p>
            <w:pPr>
              <w:pStyle w:val="TableParagraph"/>
              <w:spacing w:line="216" w:lineRule="exact"/>
              <w:ind w:left="108"/>
              <w:rPr>
                <w:sz w:val="20"/>
              </w:rPr>
            </w:pPr>
            <w:r>
              <w:rPr>
                <w:spacing w:val="-2"/>
                <w:sz w:val="20"/>
              </w:rPr>
              <w:t>0.213</w:t>
            </w:r>
          </w:p>
        </w:tc>
        <w:tc>
          <w:tcPr>
            <w:tcW w:w="1844" w:type="dxa"/>
            <w:tcBorders>
              <w:top w:val="nil"/>
              <w:bottom w:val="nil"/>
            </w:tcBorders>
          </w:tcPr>
          <w:p>
            <w:pPr>
              <w:pStyle w:val="TableParagraph"/>
              <w:rPr>
                <w:rFonts w:ascii="Times New Roman"/>
                <w:sz w:val="22"/>
              </w:rPr>
            </w:pPr>
          </w:p>
        </w:tc>
        <w:tc>
          <w:tcPr>
            <w:tcW w:w="1416" w:type="dxa"/>
            <w:tcBorders>
              <w:top w:val="nil"/>
              <w:bottom w:val="nil"/>
            </w:tcBorders>
          </w:tcPr>
          <w:p>
            <w:pPr>
              <w:pStyle w:val="TableParagraph"/>
              <w:spacing w:before="106"/>
              <w:ind w:left="16"/>
              <w:jc w:val="center"/>
              <w:rPr>
                <w:sz w:val="20"/>
              </w:rPr>
            </w:pPr>
            <w:r>
              <w:rPr>
                <w:spacing w:val="-2"/>
                <w:sz w:val="20"/>
              </w:rPr>
              <w:t>0.053</w:t>
            </w:r>
          </w:p>
        </w:tc>
      </w:tr>
      <w:tr>
        <w:trPr>
          <w:trHeight w:val="331" w:hRule="atLeast"/>
        </w:trPr>
        <w:tc>
          <w:tcPr>
            <w:tcW w:w="986" w:type="dxa"/>
            <w:tcBorders>
              <w:top w:val="nil"/>
              <w:bottom w:val="nil"/>
            </w:tcBorders>
          </w:tcPr>
          <w:p>
            <w:pPr>
              <w:pStyle w:val="TableParagraph"/>
              <w:rPr>
                <w:rFonts w:ascii="Times New Roman"/>
                <w:sz w:val="22"/>
              </w:rPr>
            </w:pPr>
          </w:p>
        </w:tc>
        <w:tc>
          <w:tcPr>
            <w:tcW w:w="2559" w:type="dxa"/>
            <w:tcBorders>
              <w:top w:val="nil"/>
              <w:bottom w:val="nil"/>
            </w:tcBorders>
          </w:tcPr>
          <w:p>
            <w:pPr>
              <w:pStyle w:val="TableParagraph"/>
              <w:ind w:left="108"/>
              <w:rPr>
                <w:sz w:val="20"/>
              </w:rPr>
            </w:pPr>
            <w:r>
              <w:rPr>
                <w:color w:val="000000"/>
                <w:sz w:val="20"/>
                <w:shd w:fill="FFCCFF" w:color="auto" w:val="clear"/>
              </w:rPr>
              <w:t>Flats</w:t>
            </w:r>
            <w:r>
              <w:rPr>
                <w:color w:val="000000"/>
                <w:spacing w:val="-4"/>
                <w:sz w:val="20"/>
                <w:shd w:fill="FFCCFF" w:color="auto" w:val="clear"/>
              </w:rPr>
              <w:t> </w:t>
            </w:r>
            <w:r>
              <w:rPr>
                <w:color w:val="000000"/>
                <w:sz w:val="20"/>
              </w:rPr>
              <w:t>(2</w:t>
            </w:r>
            <w:r>
              <w:rPr>
                <w:color w:val="000000"/>
                <w:spacing w:val="-5"/>
                <w:sz w:val="20"/>
              </w:rPr>
              <w:t> </w:t>
            </w:r>
            <w:r>
              <w:rPr>
                <w:color w:val="000000"/>
                <w:spacing w:val="-2"/>
                <w:sz w:val="20"/>
              </w:rPr>
              <w:t>storeys)</w:t>
            </w:r>
          </w:p>
        </w:tc>
        <w:tc>
          <w:tcPr>
            <w:tcW w:w="1279" w:type="dxa"/>
            <w:tcBorders>
              <w:top w:val="nil"/>
              <w:bottom w:val="nil"/>
            </w:tcBorders>
          </w:tcPr>
          <w:p>
            <w:pPr>
              <w:pStyle w:val="TableParagraph"/>
              <w:rPr>
                <w:rFonts w:ascii="Times New Roman"/>
                <w:sz w:val="22"/>
              </w:rPr>
            </w:pPr>
          </w:p>
        </w:tc>
        <w:tc>
          <w:tcPr>
            <w:tcW w:w="1133" w:type="dxa"/>
            <w:tcBorders>
              <w:top w:val="nil"/>
              <w:bottom w:val="nil"/>
            </w:tcBorders>
          </w:tcPr>
          <w:p>
            <w:pPr>
              <w:pStyle w:val="TableParagraph"/>
              <w:rPr>
                <w:rFonts w:ascii="Times New Roman"/>
                <w:sz w:val="22"/>
              </w:rPr>
            </w:pPr>
          </w:p>
        </w:tc>
        <w:tc>
          <w:tcPr>
            <w:tcW w:w="1844" w:type="dxa"/>
            <w:tcBorders>
              <w:top w:val="nil"/>
              <w:bottom w:val="nil"/>
            </w:tcBorders>
          </w:tcPr>
          <w:p>
            <w:pPr>
              <w:pStyle w:val="TableParagraph"/>
              <w:rPr>
                <w:rFonts w:ascii="Times New Roman"/>
                <w:sz w:val="22"/>
              </w:rPr>
            </w:pPr>
          </w:p>
        </w:tc>
        <w:tc>
          <w:tcPr>
            <w:tcW w:w="1416" w:type="dxa"/>
            <w:tcBorders>
              <w:top w:val="nil"/>
              <w:bottom w:val="nil"/>
            </w:tcBorders>
          </w:tcPr>
          <w:p>
            <w:pPr>
              <w:pStyle w:val="TableParagraph"/>
              <w:rPr>
                <w:rFonts w:ascii="Times New Roman"/>
                <w:sz w:val="22"/>
              </w:rPr>
            </w:pPr>
          </w:p>
        </w:tc>
      </w:tr>
      <w:tr>
        <w:trPr>
          <w:trHeight w:val="660" w:hRule="atLeast"/>
        </w:trPr>
        <w:tc>
          <w:tcPr>
            <w:tcW w:w="986" w:type="dxa"/>
            <w:tcBorders>
              <w:top w:val="nil"/>
            </w:tcBorders>
          </w:tcPr>
          <w:p>
            <w:pPr>
              <w:pStyle w:val="TableParagraph"/>
              <w:rPr>
                <w:rFonts w:ascii="Times New Roman"/>
                <w:sz w:val="22"/>
              </w:rPr>
            </w:pPr>
          </w:p>
        </w:tc>
        <w:tc>
          <w:tcPr>
            <w:tcW w:w="2559" w:type="dxa"/>
            <w:tcBorders>
              <w:top w:val="nil"/>
            </w:tcBorders>
          </w:tcPr>
          <w:p>
            <w:pPr>
              <w:pStyle w:val="TableParagraph"/>
              <w:spacing w:before="93"/>
              <w:rPr>
                <w:b/>
                <w:sz w:val="20"/>
              </w:rPr>
            </w:pPr>
          </w:p>
          <w:p>
            <w:pPr>
              <w:pStyle w:val="TableParagraph"/>
              <w:ind w:left="108"/>
              <w:rPr>
                <w:sz w:val="20"/>
              </w:rPr>
            </w:pPr>
            <w:r>
              <w:rPr>
                <w:spacing w:val="-2"/>
                <w:sz w:val="20"/>
              </w:rPr>
              <w:t>hotels</w:t>
            </w:r>
          </w:p>
        </w:tc>
        <w:tc>
          <w:tcPr>
            <w:tcW w:w="1279" w:type="dxa"/>
            <w:tcBorders>
              <w:top w:val="nil"/>
            </w:tcBorders>
          </w:tcPr>
          <w:p>
            <w:pPr>
              <w:pStyle w:val="TableParagraph"/>
              <w:spacing w:before="95"/>
              <w:ind w:left="110"/>
              <w:rPr>
                <w:sz w:val="20"/>
              </w:rPr>
            </w:pPr>
            <w:r>
              <w:rPr>
                <w:spacing w:val="-5"/>
                <w:sz w:val="20"/>
              </w:rPr>
              <w:t>1.5</w:t>
            </w:r>
          </w:p>
        </w:tc>
        <w:tc>
          <w:tcPr>
            <w:tcW w:w="1133" w:type="dxa"/>
            <w:tcBorders>
              <w:top w:val="nil"/>
            </w:tcBorders>
          </w:tcPr>
          <w:p>
            <w:pPr>
              <w:pStyle w:val="TableParagraph"/>
              <w:spacing w:before="95"/>
              <w:ind w:left="108"/>
              <w:rPr>
                <w:sz w:val="20"/>
              </w:rPr>
            </w:pPr>
            <w:r>
              <w:rPr>
                <w:spacing w:val="-2"/>
                <w:sz w:val="20"/>
              </w:rPr>
              <w:t>0.107</w:t>
            </w:r>
          </w:p>
        </w:tc>
        <w:tc>
          <w:tcPr>
            <w:tcW w:w="1844" w:type="dxa"/>
            <w:tcBorders>
              <w:top w:val="nil"/>
            </w:tcBorders>
          </w:tcPr>
          <w:p>
            <w:pPr>
              <w:pStyle w:val="TableParagraph"/>
              <w:rPr>
                <w:rFonts w:ascii="Times New Roman"/>
                <w:sz w:val="22"/>
              </w:rPr>
            </w:pPr>
          </w:p>
        </w:tc>
        <w:tc>
          <w:tcPr>
            <w:tcW w:w="1416" w:type="dxa"/>
            <w:tcBorders>
              <w:top w:val="nil"/>
            </w:tcBorders>
          </w:tcPr>
          <w:p>
            <w:pPr>
              <w:pStyle w:val="TableParagraph"/>
              <w:rPr>
                <w:rFonts w:ascii="Times New Roman"/>
                <w:sz w:val="22"/>
              </w:rPr>
            </w:pPr>
          </w:p>
        </w:tc>
      </w:tr>
      <w:tr>
        <w:trPr>
          <w:trHeight w:val="874" w:hRule="atLeast"/>
        </w:trPr>
        <w:tc>
          <w:tcPr>
            <w:tcW w:w="986" w:type="dxa"/>
            <w:tcBorders>
              <w:bottom w:val="nil"/>
            </w:tcBorders>
          </w:tcPr>
          <w:p>
            <w:pPr>
              <w:pStyle w:val="TableParagraph"/>
              <w:spacing w:before="94"/>
              <w:ind w:left="107"/>
              <w:rPr>
                <w:sz w:val="20"/>
              </w:rPr>
            </w:pPr>
            <w:r>
              <w:rPr>
                <w:spacing w:val="-10"/>
                <w:sz w:val="20"/>
              </w:rPr>
              <w:t>2</w:t>
            </w:r>
          </w:p>
        </w:tc>
        <w:tc>
          <w:tcPr>
            <w:tcW w:w="2559" w:type="dxa"/>
            <w:tcBorders>
              <w:bottom w:val="nil"/>
            </w:tcBorders>
          </w:tcPr>
          <w:p>
            <w:pPr>
              <w:pStyle w:val="TableParagraph"/>
              <w:spacing w:before="94"/>
              <w:ind w:left="108"/>
              <w:rPr>
                <w:sz w:val="20"/>
              </w:rPr>
            </w:pPr>
            <w:r>
              <w:rPr>
                <w:spacing w:val="-2"/>
                <w:sz w:val="20"/>
              </w:rPr>
              <w:t>Educational-</w:t>
            </w:r>
          </w:p>
          <w:p>
            <w:pPr>
              <w:pStyle w:val="TableParagraph"/>
              <w:spacing w:before="96"/>
              <w:ind w:left="108"/>
              <w:rPr>
                <w:sz w:val="20"/>
              </w:rPr>
            </w:pPr>
            <w:r>
              <w:rPr>
                <w:sz w:val="20"/>
              </w:rPr>
              <w:t>-upto</w:t>
            </w:r>
            <w:r>
              <w:rPr>
                <w:spacing w:val="-7"/>
                <w:sz w:val="20"/>
              </w:rPr>
              <w:t> </w:t>
            </w:r>
            <w:r>
              <w:rPr>
                <w:sz w:val="20"/>
              </w:rPr>
              <w:t>32m</w:t>
            </w:r>
            <w:r>
              <w:rPr>
                <w:spacing w:val="-5"/>
                <w:sz w:val="20"/>
              </w:rPr>
              <w:t> </w:t>
            </w:r>
            <w:r>
              <w:rPr>
                <w:spacing w:val="-4"/>
                <w:sz w:val="20"/>
              </w:rPr>
              <w:t>high</w:t>
            </w:r>
          </w:p>
        </w:tc>
        <w:tc>
          <w:tcPr>
            <w:tcW w:w="1279" w:type="dxa"/>
            <w:tcBorders>
              <w:bottom w:val="nil"/>
            </w:tcBorders>
          </w:tcPr>
          <w:p>
            <w:pPr>
              <w:pStyle w:val="TableParagraph"/>
              <w:spacing w:before="190"/>
              <w:rPr>
                <w:b/>
                <w:sz w:val="20"/>
              </w:rPr>
            </w:pPr>
          </w:p>
          <w:p>
            <w:pPr>
              <w:pStyle w:val="TableParagraph"/>
              <w:ind w:left="110"/>
              <w:rPr>
                <w:sz w:val="20"/>
              </w:rPr>
            </w:pPr>
            <w:r>
              <w:rPr>
                <w:spacing w:val="-5"/>
                <w:sz w:val="20"/>
              </w:rPr>
              <w:t>1.5</w:t>
            </w:r>
          </w:p>
        </w:tc>
        <w:tc>
          <w:tcPr>
            <w:tcW w:w="1133" w:type="dxa"/>
            <w:tcBorders>
              <w:bottom w:val="nil"/>
            </w:tcBorders>
          </w:tcPr>
          <w:p>
            <w:pPr>
              <w:pStyle w:val="TableParagraph"/>
              <w:spacing w:before="190"/>
              <w:rPr>
                <w:b/>
                <w:sz w:val="20"/>
              </w:rPr>
            </w:pPr>
          </w:p>
          <w:p>
            <w:pPr>
              <w:pStyle w:val="TableParagraph"/>
              <w:ind w:left="108"/>
              <w:rPr>
                <w:sz w:val="20"/>
              </w:rPr>
            </w:pPr>
            <w:r>
              <w:rPr>
                <w:spacing w:val="-2"/>
                <w:sz w:val="20"/>
              </w:rPr>
              <w:t>0.333</w:t>
            </w:r>
          </w:p>
        </w:tc>
        <w:tc>
          <w:tcPr>
            <w:tcW w:w="1844" w:type="dxa"/>
            <w:tcBorders>
              <w:bottom w:val="nil"/>
            </w:tcBorders>
          </w:tcPr>
          <w:p>
            <w:pPr>
              <w:pStyle w:val="TableParagraph"/>
              <w:spacing w:before="190"/>
              <w:rPr>
                <w:b/>
                <w:sz w:val="20"/>
              </w:rPr>
            </w:pPr>
          </w:p>
          <w:p>
            <w:pPr>
              <w:pStyle w:val="TableParagraph"/>
              <w:ind w:left="110"/>
              <w:rPr>
                <w:sz w:val="20"/>
              </w:rPr>
            </w:pPr>
            <w:r>
              <w:rPr>
                <w:spacing w:val="-5"/>
                <w:sz w:val="20"/>
              </w:rPr>
              <w:t>….</w:t>
            </w:r>
          </w:p>
        </w:tc>
        <w:tc>
          <w:tcPr>
            <w:tcW w:w="1416" w:type="dxa"/>
            <w:tcBorders>
              <w:bottom w:val="nil"/>
            </w:tcBorders>
          </w:tcPr>
          <w:p>
            <w:pPr>
              <w:pStyle w:val="TableParagraph"/>
              <w:spacing w:before="190"/>
              <w:rPr>
                <w:b/>
                <w:sz w:val="20"/>
              </w:rPr>
            </w:pPr>
          </w:p>
          <w:p>
            <w:pPr>
              <w:pStyle w:val="TableParagraph"/>
              <w:ind w:left="16"/>
              <w:jc w:val="center"/>
              <w:rPr>
                <w:sz w:val="20"/>
              </w:rPr>
            </w:pPr>
            <w:r>
              <w:rPr>
                <w:sz w:val="20"/>
              </w:rPr>
              <mc:AlternateContent>
                <mc:Choice Requires="wps">
                  <w:drawing>
                    <wp:anchor distT="0" distB="0" distL="0" distR="0" allowOverlap="1" layoutInCell="1" locked="0" behindDoc="1" simplePos="0" relativeHeight="471360512">
                      <wp:simplePos x="0" y="0"/>
                      <wp:positionH relativeFrom="column">
                        <wp:posOffset>-16827</wp:posOffset>
                      </wp:positionH>
                      <wp:positionV relativeFrom="paragraph">
                        <wp:posOffset>-235156</wp:posOffset>
                      </wp:positionV>
                      <wp:extent cx="123825" cy="592455"/>
                      <wp:effectExtent l="0" t="0" r="0" b="0"/>
                      <wp:wrapNone/>
                      <wp:docPr id="499" name="Group 499"/>
                      <wp:cNvGraphicFramePr>
                        <a:graphicFrameLocks/>
                      </wp:cNvGraphicFramePr>
                      <a:graphic>
                        <a:graphicData uri="http://schemas.microsoft.com/office/word/2010/wordprocessingGroup">
                          <wpg:wgp>
                            <wpg:cNvPr id="499" name="Group 499"/>
                            <wpg:cNvGrpSpPr/>
                            <wpg:grpSpPr>
                              <a:xfrm>
                                <a:off x="0" y="0"/>
                                <a:ext cx="123825" cy="592455"/>
                                <a:chExt cx="123825" cy="592455"/>
                              </a:xfrm>
                            </wpg:grpSpPr>
                            <wps:wsp>
                              <wps:cNvPr id="500" name="Graphic 500"/>
                              <wps:cNvSpPr/>
                              <wps:spPr>
                                <a:xfrm>
                                  <a:off x="4762" y="4762"/>
                                  <a:ext cx="114300" cy="582930"/>
                                </a:xfrm>
                                <a:custGeom>
                                  <a:avLst/>
                                  <a:gdLst/>
                                  <a:ahLst/>
                                  <a:cxnLst/>
                                  <a:rect l="l" t="t" r="r" b="b"/>
                                  <a:pathLst>
                                    <a:path w="114300" h="582930">
                                      <a:moveTo>
                                        <a:pt x="0" y="0"/>
                                      </a:moveTo>
                                      <a:lnTo>
                                        <a:pt x="22270" y="3811"/>
                                      </a:lnTo>
                                      <a:lnTo>
                                        <a:pt x="40433" y="14208"/>
                                      </a:lnTo>
                                      <a:lnTo>
                                        <a:pt x="52667" y="29628"/>
                                      </a:lnTo>
                                      <a:lnTo>
                                        <a:pt x="57150" y="48513"/>
                                      </a:lnTo>
                                      <a:lnTo>
                                        <a:pt x="57150" y="242823"/>
                                      </a:lnTo>
                                      <a:lnTo>
                                        <a:pt x="61632" y="261782"/>
                                      </a:lnTo>
                                      <a:lnTo>
                                        <a:pt x="73866" y="277240"/>
                                      </a:lnTo>
                                      <a:lnTo>
                                        <a:pt x="92029" y="287651"/>
                                      </a:lnTo>
                                      <a:lnTo>
                                        <a:pt x="114300" y="291464"/>
                                      </a:lnTo>
                                      <a:lnTo>
                                        <a:pt x="92029" y="295276"/>
                                      </a:lnTo>
                                      <a:lnTo>
                                        <a:pt x="73866" y="305673"/>
                                      </a:lnTo>
                                      <a:lnTo>
                                        <a:pt x="61632" y="321093"/>
                                      </a:lnTo>
                                      <a:lnTo>
                                        <a:pt x="57150" y="339978"/>
                                      </a:lnTo>
                                      <a:lnTo>
                                        <a:pt x="57150" y="534288"/>
                                      </a:lnTo>
                                      <a:lnTo>
                                        <a:pt x="52667" y="553247"/>
                                      </a:lnTo>
                                      <a:lnTo>
                                        <a:pt x="40433" y="568705"/>
                                      </a:lnTo>
                                      <a:lnTo>
                                        <a:pt x="22270" y="579116"/>
                                      </a:lnTo>
                                      <a:lnTo>
                                        <a:pt x="0" y="582929"/>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5pt;margin-top:-18.516283pt;width:9.75pt;height:46.65pt;mso-position-horizontal-relative:column;mso-position-vertical-relative:paragraph;z-index:-31955968" id="docshapegroup430" coordorigin="-27,-370" coordsize="195,933">
                      <v:shape style="position:absolute;left:-19;top:-363;width:180;height:918" id="docshape431" coordorigin="-19,-363" coordsize="180,918" path="m-19,-363l16,-357,45,-340,64,-316,71,-286,71,20,78,49,97,74,126,90,161,96,126,102,97,119,78,143,71,173,71,479,64,508,45,533,16,549,-19,555e" filled="false" stroked="true" strokeweight=".75pt" strokecolor="#000000">
                        <v:path arrowok="t"/>
                        <v:stroke dashstyle="solid"/>
                      </v:shape>
                      <w10:wrap type="none"/>
                    </v:group>
                  </w:pict>
                </mc:Fallback>
              </mc:AlternateContent>
            </w:r>
            <w:r>
              <w:rPr>
                <w:spacing w:val="-2"/>
                <w:sz w:val="20"/>
              </w:rPr>
              <w:t>0.667</w:t>
            </w:r>
          </w:p>
        </w:tc>
      </w:tr>
      <w:tr>
        <w:trPr>
          <w:trHeight w:val="545" w:hRule="atLeast"/>
        </w:trPr>
        <w:tc>
          <w:tcPr>
            <w:tcW w:w="986" w:type="dxa"/>
            <w:tcBorders>
              <w:top w:val="nil"/>
            </w:tcBorders>
          </w:tcPr>
          <w:p>
            <w:pPr>
              <w:pStyle w:val="TableParagraph"/>
              <w:rPr>
                <w:rFonts w:ascii="Times New Roman"/>
                <w:sz w:val="22"/>
              </w:rPr>
            </w:pPr>
          </w:p>
        </w:tc>
        <w:tc>
          <w:tcPr>
            <w:tcW w:w="2559" w:type="dxa"/>
            <w:tcBorders>
              <w:top w:val="nil"/>
            </w:tcBorders>
          </w:tcPr>
          <w:p>
            <w:pPr>
              <w:pStyle w:val="TableParagraph"/>
              <w:spacing w:before="213"/>
              <w:ind w:left="108"/>
              <w:rPr>
                <w:sz w:val="20"/>
              </w:rPr>
            </w:pPr>
            <w:r>
              <w:rPr>
                <w:sz w:val="20"/>
              </w:rPr>
              <w:t>-over</w:t>
            </w:r>
            <w:r>
              <w:rPr>
                <w:spacing w:val="-4"/>
                <w:sz w:val="20"/>
              </w:rPr>
              <w:t> </w:t>
            </w:r>
            <w:r>
              <w:rPr>
                <w:sz w:val="20"/>
              </w:rPr>
              <w:t>32</w:t>
            </w:r>
            <w:r>
              <w:rPr>
                <w:spacing w:val="-4"/>
                <w:sz w:val="20"/>
              </w:rPr>
              <w:t> </w:t>
            </w:r>
            <w:r>
              <w:rPr>
                <w:sz w:val="20"/>
              </w:rPr>
              <w:t>m</w:t>
            </w:r>
            <w:r>
              <w:rPr>
                <w:spacing w:val="-5"/>
                <w:sz w:val="20"/>
              </w:rPr>
              <w:t> </w:t>
            </w:r>
            <w:r>
              <w:rPr>
                <w:spacing w:val="-4"/>
                <w:sz w:val="20"/>
              </w:rPr>
              <w:t>high</w:t>
            </w:r>
          </w:p>
        </w:tc>
        <w:tc>
          <w:tcPr>
            <w:tcW w:w="1279" w:type="dxa"/>
            <w:tcBorders>
              <w:top w:val="nil"/>
            </w:tcBorders>
          </w:tcPr>
          <w:p>
            <w:pPr>
              <w:pStyle w:val="TableParagraph"/>
              <w:spacing w:before="213"/>
              <w:ind w:left="110"/>
              <w:rPr>
                <w:sz w:val="20"/>
              </w:rPr>
            </w:pPr>
            <w:r>
              <w:rPr>
                <w:spacing w:val="-5"/>
                <w:sz w:val="20"/>
              </w:rPr>
              <w:t>2.0</w:t>
            </w:r>
          </w:p>
        </w:tc>
        <w:tc>
          <w:tcPr>
            <w:tcW w:w="1133" w:type="dxa"/>
            <w:tcBorders>
              <w:top w:val="nil"/>
            </w:tcBorders>
          </w:tcPr>
          <w:p>
            <w:pPr>
              <w:pStyle w:val="TableParagraph"/>
              <w:spacing w:before="213"/>
              <w:ind w:left="108"/>
              <w:rPr>
                <w:sz w:val="20"/>
              </w:rPr>
            </w:pPr>
            <w:r>
              <w:rPr>
                <w:spacing w:val="-2"/>
                <w:sz w:val="20"/>
              </w:rPr>
              <w:t>0.250</w:t>
            </w:r>
          </w:p>
        </w:tc>
        <w:tc>
          <w:tcPr>
            <w:tcW w:w="1844" w:type="dxa"/>
            <w:tcBorders>
              <w:top w:val="nil"/>
            </w:tcBorders>
          </w:tcPr>
          <w:p>
            <w:pPr>
              <w:pStyle w:val="TableParagraph"/>
              <w:spacing w:before="213"/>
              <w:ind w:left="110"/>
              <w:rPr>
                <w:sz w:val="20"/>
              </w:rPr>
            </w:pPr>
            <w:r>
              <w:rPr>
                <w:spacing w:val="-5"/>
                <w:sz w:val="20"/>
              </w:rPr>
              <w:t>….</w:t>
            </w:r>
          </w:p>
        </w:tc>
        <w:tc>
          <w:tcPr>
            <w:tcW w:w="1416" w:type="dxa"/>
            <w:tcBorders>
              <w:top w:val="nil"/>
            </w:tcBorders>
          </w:tcPr>
          <w:p>
            <w:pPr>
              <w:pStyle w:val="TableParagraph"/>
              <w:rPr>
                <w:rFonts w:ascii="Times New Roman"/>
                <w:sz w:val="22"/>
              </w:rPr>
            </w:pPr>
          </w:p>
        </w:tc>
      </w:tr>
    </w:tbl>
    <w:p>
      <w:pPr>
        <w:pStyle w:val="TableParagraph"/>
        <w:spacing w:after="0"/>
        <w:rPr>
          <w:rFonts w:ascii="Times New Roman"/>
          <w:sz w:val="22"/>
        </w:rPr>
        <w:sectPr>
          <w:pgSz w:w="11910" w:h="16840"/>
          <w:pgMar w:header="1065" w:footer="1194" w:top="1500" w:bottom="1380" w:left="360" w:right="360"/>
        </w:sectPr>
      </w:pPr>
    </w:p>
    <w:p>
      <w:pPr>
        <w:pStyle w:val="BodyText"/>
        <w:spacing w:before="14" w:after="1"/>
        <w:jc w:val="left"/>
        <w:rPr>
          <w:b/>
          <w:sz w:val="20"/>
        </w:rPr>
      </w:pPr>
    </w:p>
    <w:tbl>
      <w:tblPr>
        <w:tblW w:w="0" w:type="auto"/>
        <w:jc w:val="left"/>
        <w:tblInd w:w="10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6"/>
        <w:gridCol w:w="2559"/>
        <w:gridCol w:w="1279"/>
        <w:gridCol w:w="1133"/>
        <w:gridCol w:w="1844"/>
        <w:gridCol w:w="1416"/>
      </w:tblGrid>
      <w:tr>
        <w:trPr>
          <w:trHeight w:val="1420" w:hRule="atLeast"/>
        </w:trPr>
        <w:tc>
          <w:tcPr>
            <w:tcW w:w="986" w:type="dxa"/>
          </w:tcPr>
          <w:p>
            <w:pPr>
              <w:pStyle w:val="TableParagraph"/>
              <w:spacing w:before="97"/>
              <w:ind w:left="107"/>
              <w:rPr>
                <w:sz w:val="20"/>
              </w:rPr>
            </w:pPr>
            <w:r>
              <w:rPr>
                <w:spacing w:val="-10"/>
                <w:sz w:val="20"/>
              </w:rPr>
              <w:t>3</w:t>
            </w:r>
          </w:p>
        </w:tc>
        <w:tc>
          <w:tcPr>
            <w:tcW w:w="2559" w:type="dxa"/>
          </w:tcPr>
          <w:p>
            <w:pPr>
              <w:pStyle w:val="TableParagraph"/>
              <w:spacing w:before="97"/>
              <w:ind w:left="108" w:right="1147"/>
              <w:rPr>
                <w:sz w:val="20"/>
              </w:rPr>
            </w:pPr>
            <w:r>
              <w:rPr>
                <w:spacing w:val="-2"/>
                <w:sz w:val="20"/>
              </w:rPr>
              <w:t>Institutional i.e.Hospitals-</w:t>
            </w:r>
          </w:p>
          <w:p>
            <w:pPr>
              <w:pStyle w:val="TableParagraph"/>
              <w:spacing w:before="94"/>
              <w:ind w:left="108"/>
              <w:rPr>
                <w:sz w:val="20"/>
              </w:rPr>
            </w:pPr>
            <w:r>
              <w:rPr>
                <w:sz w:val="20"/>
              </w:rPr>
              <w:t>-upto</w:t>
            </w:r>
            <w:r>
              <w:rPr>
                <w:spacing w:val="-5"/>
                <w:sz w:val="20"/>
              </w:rPr>
              <w:t> </w:t>
            </w:r>
            <w:r>
              <w:rPr>
                <w:sz w:val="20"/>
              </w:rPr>
              <w:t>10</w:t>
            </w:r>
            <w:r>
              <w:rPr>
                <w:spacing w:val="-5"/>
                <w:sz w:val="20"/>
              </w:rPr>
              <w:t> </w:t>
            </w:r>
            <w:r>
              <w:rPr>
                <w:spacing w:val="-4"/>
                <w:sz w:val="20"/>
              </w:rPr>
              <w:t>beds</w:t>
            </w:r>
          </w:p>
          <w:p>
            <w:pPr>
              <w:pStyle w:val="TableParagraph"/>
              <w:spacing w:before="97"/>
              <w:ind w:left="108"/>
              <w:rPr>
                <w:sz w:val="20"/>
              </w:rPr>
            </w:pPr>
            <w:r>
              <w:rPr>
                <w:sz w:val="20"/>
              </w:rPr>
              <w:t>-over</w:t>
            </w:r>
            <w:r>
              <w:rPr>
                <w:spacing w:val="-5"/>
                <w:sz w:val="20"/>
              </w:rPr>
              <w:t> </w:t>
            </w:r>
            <w:r>
              <w:rPr>
                <w:sz w:val="20"/>
              </w:rPr>
              <w:t>10</w:t>
            </w:r>
            <w:r>
              <w:rPr>
                <w:spacing w:val="-5"/>
                <w:sz w:val="20"/>
              </w:rPr>
              <w:t> </w:t>
            </w:r>
            <w:r>
              <w:rPr>
                <w:spacing w:val="-4"/>
                <w:sz w:val="20"/>
              </w:rPr>
              <w:t>beds</w:t>
            </w:r>
          </w:p>
        </w:tc>
        <w:tc>
          <w:tcPr>
            <w:tcW w:w="1279" w:type="dxa"/>
          </w:tcPr>
          <w:p>
            <w:pPr>
              <w:pStyle w:val="TableParagraph"/>
              <w:rPr>
                <w:b/>
                <w:sz w:val="20"/>
              </w:rPr>
            </w:pPr>
          </w:p>
          <w:p>
            <w:pPr>
              <w:pStyle w:val="TableParagraph"/>
              <w:rPr>
                <w:b/>
                <w:sz w:val="20"/>
              </w:rPr>
            </w:pPr>
          </w:p>
          <w:p>
            <w:pPr>
              <w:pStyle w:val="TableParagraph"/>
              <w:spacing w:before="52"/>
              <w:rPr>
                <w:b/>
                <w:sz w:val="20"/>
              </w:rPr>
            </w:pPr>
          </w:p>
          <w:p>
            <w:pPr>
              <w:pStyle w:val="TableParagraph"/>
              <w:spacing w:before="1"/>
              <w:ind w:left="110"/>
              <w:rPr>
                <w:sz w:val="20"/>
              </w:rPr>
            </w:pPr>
            <w:r>
              <w:rPr>
                <w:spacing w:val="-5"/>
                <w:sz w:val="20"/>
              </w:rPr>
              <w:t>1.5</w:t>
            </w:r>
          </w:p>
          <w:p>
            <w:pPr>
              <w:pStyle w:val="TableParagraph"/>
              <w:spacing w:before="96"/>
              <w:ind w:left="110"/>
              <w:rPr>
                <w:sz w:val="20"/>
              </w:rPr>
            </w:pPr>
            <w:r>
              <w:rPr>
                <w:spacing w:val="-5"/>
                <w:sz w:val="20"/>
              </w:rPr>
              <w:t>2.0</w:t>
            </w:r>
          </w:p>
        </w:tc>
        <w:tc>
          <w:tcPr>
            <w:tcW w:w="1133" w:type="dxa"/>
          </w:tcPr>
          <w:p>
            <w:pPr>
              <w:pStyle w:val="TableParagraph"/>
              <w:rPr>
                <w:b/>
                <w:sz w:val="20"/>
              </w:rPr>
            </w:pPr>
          </w:p>
          <w:p>
            <w:pPr>
              <w:pStyle w:val="TableParagraph"/>
              <w:rPr>
                <w:b/>
                <w:sz w:val="20"/>
              </w:rPr>
            </w:pPr>
          </w:p>
          <w:p>
            <w:pPr>
              <w:pStyle w:val="TableParagraph"/>
              <w:spacing w:before="52"/>
              <w:rPr>
                <w:b/>
                <w:sz w:val="20"/>
              </w:rPr>
            </w:pPr>
          </w:p>
          <w:p>
            <w:pPr>
              <w:pStyle w:val="TableParagraph"/>
              <w:spacing w:before="1"/>
              <w:ind w:left="108"/>
              <w:rPr>
                <w:sz w:val="20"/>
              </w:rPr>
            </w:pPr>
            <w:r>
              <w:rPr>
                <w:b/>
                <w:spacing w:val="-2"/>
                <w:sz w:val="20"/>
              </w:rPr>
              <w:t>.</w:t>
            </w:r>
            <w:r>
              <w:rPr>
                <w:spacing w:val="-2"/>
                <w:sz w:val="20"/>
              </w:rPr>
              <w:t>089*</w:t>
            </w:r>
          </w:p>
          <w:p>
            <w:pPr>
              <w:pStyle w:val="TableParagraph"/>
              <w:spacing w:before="96"/>
              <w:ind w:left="108"/>
              <w:rPr>
                <w:sz w:val="20"/>
              </w:rPr>
            </w:pPr>
            <w:r>
              <w:rPr>
                <w:b/>
                <w:spacing w:val="-2"/>
                <w:sz w:val="20"/>
              </w:rPr>
              <w:t>.</w:t>
            </w:r>
            <w:r>
              <w:rPr>
                <w:spacing w:val="-2"/>
                <w:sz w:val="20"/>
              </w:rPr>
              <w:t>067*</w:t>
            </w:r>
          </w:p>
        </w:tc>
        <w:tc>
          <w:tcPr>
            <w:tcW w:w="1844" w:type="dxa"/>
          </w:tcPr>
          <w:p>
            <w:pPr>
              <w:pStyle w:val="TableParagraph"/>
              <w:rPr>
                <w:b/>
                <w:sz w:val="20"/>
              </w:rPr>
            </w:pPr>
          </w:p>
          <w:p>
            <w:pPr>
              <w:pStyle w:val="TableParagraph"/>
              <w:rPr>
                <w:b/>
                <w:sz w:val="20"/>
              </w:rPr>
            </w:pPr>
          </w:p>
          <w:p>
            <w:pPr>
              <w:pStyle w:val="TableParagraph"/>
              <w:spacing w:before="52"/>
              <w:rPr>
                <w:b/>
                <w:sz w:val="20"/>
              </w:rPr>
            </w:pPr>
          </w:p>
          <w:p>
            <w:pPr>
              <w:pStyle w:val="TableParagraph"/>
              <w:spacing w:before="1"/>
              <w:ind w:left="110"/>
              <w:rPr>
                <w:sz w:val="20"/>
              </w:rPr>
            </w:pPr>
            <w:r>
              <w:rPr>
                <w:spacing w:val="-5"/>
                <w:sz w:val="20"/>
              </w:rPr>
              <w:t>….</w:t>
            </w:r>
          </w:p>
        </w:tc>
        <w:tc>
          <w:tcPr>
            <w:tcW w:w="1416" w:type="dxa"/>
          </w:tcPr>
          <w:p>
            <w:pPr>
              <w:pStyle w:val="TableParagraph"/>
              <w:rPr>
                <w:b/>
                <w:sz w:val="20"/>
              </w:rPr>
            </w:pPr>
          </w:p>
          <w:p>
            <w:pPr>
              <w:pStyle w:val="TableParagraph"/>
              <w:rPr>
                <w:b/>
                <w:sz w:val="20"/>
              </w:rPr>
            </w:pPr>
          </w:p>
          <w:p>
            <w:pPr>
              <w:pStyle w:val="TableParagraph"/>
              <w:spacing w:before="52"/>
              <w:rPr>
                <w:b/>
                <w:sz w:val="20"/>
              </w:rPr>
            </w:pPr>
          </w:p>
          <w:p>
            <w:pPr>
              <w:pStyle w:val="TableParagraph"/>
              <w:spacing w:before="1"/>
              <w:ind w:left="429"/>
              <w:rPr>
                <w:sz w:val="20"/>
              </w:rPr>
            </w:pPr>
            <w:r>
              <w:rPr>
                <w:spacing w:val="-2"/>
                <w:sz w:val="20"/>
              </w:rPr>
              <w:t>0.044</w:t>
            </w:r>
          </w:p>
          <w:p>
            <w:pPr>
              <w:pStyle w:val="TableParagraph"/>
              <w:spacing w:before="96"/>
              <w:ind w:left="429"/>
              <w:rPr>
                <w:sz w:val="20"/>
              </w:rPr>
            </w:pPr>
            <w:r>
              <w:rPr>
                <w:spacing w:val="-2"/>
                <w:sz w:val="20"/>
              </w:rPr>
              <w:t>0.044</w:t>
            </w:r>
          </w:p>
        </w:tc>
      </w:tr>
      <w:tr>
        <w:trPr>
          <w:trHeight w:val="1748" w:hRule="atLeast"/>
        </w:trPr>
        <w:tc>
          <w:tcPr>
            <w:tcW w:w="986" w:type="dxa"/>
          </w:tcPr>
          <w:p>
            <w:pPr>
              <w:pStyle w:val="TableParagraph"/>
              <w:spacing w:before="94"/>
              <w:ind w:left="107"/>
              <w:rPr>
                <w:sz w:val="20"/>
              </w:rPr>
            </w:pPr>
            <w:r>
              <w:rPr>
                <w:spacing w:val="-10"/>
                <w:sz w:val="20"/>
              </w:rPr>
              <w:t>4</w:t>
            </w:r>
          </w:p>
        </w:tc>
        <w:tc>
          <w:tcPr>
            <w:tcW w:w="2559" w:type="dxa"/>
          </w:tcPr>
          <w:p>
            <w:pPr>
              <w:pStyle w:val="TableParagraph"/>
              <w:spacing w:before="94"/>
              <w:ind w:left="108"/>
              <w:rPr>
                <w:sz w:val="20"/>
              </w:rPr>
            </w:pPr>
            <w:r>
              <w:rPr>
                <w:spacing w:val="-2"/>
                <w:sz w:val="20"/>
              </w:rPr>
              <w:t>Assembly**</w:t>
            </w:r>
          </w:p>
          <w:p>
            <w:pPr>
              <w:pStyle w:val="TableParagraph"/>
              <w:tabs>
                <w:tab w:pos="851" w:val="left" w:leader="none"/>
                <w:tab w:pos="1556" w:val="left" w:leader="none"/>
                <w:tab w:pos="1957" w:val="left" w:leader="none"/>
              </w:tabs>
              <w:spacing w:before="96"/>
              <w:ind w:left="108" w:right="92"/>
              <w:rPr>
                <w:sz w:val="20"/>
              </w:rPr>
            </w:pPr>
            <w:r>
              <w:rPr>
                <w:spacing w:val="-2"/>
                <w:sz w:val="20"/>
              </w:rPr>
              <w:t>-fixed</w:t>
            </w:r>
            <w:r>
              <w:rPr>
                <w:sz w:val="20"/>
              </w:rPr>
              <w:tab/>
            </w:r>
            <w:r>
              <w:rPr>
                <w:spacing w:val="-2"/>
                <w:sz w:val="20"/>
              </w:rPr>
              <w:t>seats</w:t>
            </w:r>
            <w:r>
              <w:rPr>
                <w:sz w:val="20"/>
              </w:rPr>
              <w:tab/>
            </w:r>
            <w:r>
              <w:rPr>
                <w:spacing w:val="-6"/>
                <w:sz w:val="20"/>
              </w:rPr>
              <w:t>or</w:t>
            </w:r>
            <w:r>
              <w:rPr>
                <w:sz w:val="20"/>
              </w:rPr>
              <w:tab/>
            </w:r>
            <w:r>
              <w:rPr>
                <w:spacing w:val="-4"/>
                <w:sz w:val="20"/>
              </w:rPr>
              <w:t>loose </w:t>
            </w:r>
            <w:r>
              <w:rPr>
                <w:sz w:val="20"/>
              </w:rPr>
              <w:t>seats and dance floor.</w:t>
            </w:r>
          </w:p>
          <w:p>
            <w:pPr>
              <w:pStyle w:val="TableParagraph"/>
              <w:tabs>
                <w:tab w:pos="686" w:val="left" w:leader="none"/>
                <w:tab w:pos="1642" w:val="left" w:leader="none"/>
              </w:tabs>
              <w:spacing w:before="97"/>
              <w:ind w:left="108" w:right="92"/>
              <w:rPr>
                <w:sz w:val="20"/>
              </w:rPr>
            </w:pPr>
            <w:r>
              <w:rPr>
                <w:spacing w:val="-4"/>
                <w:sz w:val="20"/>
              </w:rPr>
              <w:t>-no</w:t>
            </w:r>
            <w:r>
              <w:rPr>
                <w:sz w:val="20"/>
              </w:rPr>
              <w:tab/>
            </w:r>
            <w:r>
              <w:rPr>
                <w:spacing w:val="-2"/>
                <w:sz w:val="20"/>
              </w:rPr>
              <w:t>seating</w:t>
            </w:r>
            <w:r>
              <w:rPr>
                <w:sz w:val="20"/>
              </w:rPr>
              <w:tab/>
            </w:r>
            <w:r>
              <w:rPr>
                <w:spacing w:val="-2"/>
                <w:sz w:val="20"/>
              </w:rPr>
              <w:t>facilities </w:t>
            </w:r>
            <w:r>
              <w:rPr>
                <w:sz w:val="20"/>
              </w:rPr>
              <w:t>and dining rooms</w:t>
            </w:r>
          </w:p>
        </w:tc>
        <w:tc>
          <w:tcPr>
            <w:tcW w:w="1279" w:type="dxa"/>
          </w:tcPr>
          <w:p>
            <w:pPr>
              <w:pStyle w:val="TableParagraph"/>
              <w:spacing w:before="94"/>
              <w:ind w:left="110"/>
              <w:rPr>
                <w:sz w:val="20"/>
              </w:rPr>
            </w:pPr>
            <w:r>
              <w:rPr>
                <w:spacing w:val="-5"/>
                <w:sz w:val="20"/>
              </w:rPr>
              <w:t>….</w:t>
            </w:r>
          </w:p>
          <w:p>
            <w:pPr>
              <w:pStyle w:val="TableParagraph"/>
              <w:spacing w:before="193"/>
              <w:rPr>
                <w:b/>
                <w:sz w:val="20"/>
              </w:rPr>
            </w:pPr>
          </w:p>
          <w:p>
            <w:pPr>
              <w:pStyle w:val="TableParagraph"/>
              <w:ind w:left="110"/>
              <w:rPr>
                <w:sz w:val="20"/>
              </w:rPr>
            </w:pPr>
            <w:r>
              <w:rPr>
                <w:spacing w:val="-5"/>
                <w:sz w:val="20"/>
              </w:rPr>
              <w:t>2.0</w:t>
            </w:r>
          </w:p>
          <w:p>
            <w:pPr>
              <w:pStyle w:val="TableParagraph"/>
              <w:spacing w:before="193"/>
              <w:rPr>
                <w:b/>
                <w:sz w:val="20"/>
              </w:rPr>
            </w:pPr>
          </w:p>
          <w:p>
            <w:pPr>
              <w:pStyle w:val="TableParagraph"/>
              <w:ind w:left="110"/>
              <w:rPr>
                <w:sz w:val="20"/>
              </w:rPr>
            </w:pPr>
            <w:r>
              <w:rPr>
                <w:spacing w:val="-5"/>
                <w:sz w:val="20"/>
              </w:rPr>
              <w:t>2.0</w:t>
            </w:r>
          </w:p>
        </w:tc>
        <w:tc>
          <w:tcPr>
            <w:tcW w:w="1133" w:type="dxa"/>
          </w:tcPr>
          <w:p>
            <w:pPr>
              <w:pStyle w:val="TableParagraph"/>
              <w:spacing w:line="676" w:lineRule="auto" w:before="94"/>
              <w:ind w:left="108" w:right="451"/>
              <w:rPr>
                <w:sz w:val="20"/>
              </w:rPr>
            </w:pPr>
            <w:r>
              <w:rPr>
                <w:spacing w:val="-6"/>
                <w:sz w:val="20"/>
              </w:rPr>
              <w:t>…. </w:t>
            </w:r>
            <w:r>
              <w:rPr>
                <w:spacing w:val="-4"/>
                <w:sz w:val="20"/>
              </w:rPr>
              <w:t>0.694</w:t>
            </w:r>
          </w:p>
          <w:p>
            <w:pPr>
              <w:pStyle w:val="TableParagraph"/>
              <w:spacing w:before="1"/>
              <w:ind w:left="108"/>
              <w:rPr>
                <w:sz w:val="20"/>
              </w:rPr>
            </w:pPr>
            <w:r>
              <w:rPr>
                <w:spacing w:val="-2"/>
                <w:sz w:val="20"/>
              </w:rPr>
              <w:t>0.278</w:t>
            </w:r>
          </w:p>
        </w:tc>
        <w:tc>
          <w:tcPr>
            <w:tcW w:w="1844" w:type="dxa"/>
          </w:tcPr>
          <w:p>
            <w:pPr>
              <w:pStyle w:val="TableParagraph"/>
              <w:spacing w:before="94"/>
              <w:ind w:left="110"/>
              <w:rPr>
                <w:sz w:val="20"/>
              </w:rPr>
            </w:pPr>
            <w:r>
              <w:rPr>
                <w:spacing w:val="-5"/>
                <w:sz w:val="20"/>
              </w:rPr>
              <w:t>1.0</w:t>
            </w:r>
          </w:p>
          <w:p>
            <w:pPr>
              <w:pStyle w:val="TableParagraph"/>
              <w:spacing w:before="193"/>
              <w:rPr>
                <w:b/>
                <w:sz w:val="20"/>
              </w:rPr>
            </w:pPr>
          </w:p>
          <w:p>
            <w:pPr>
              <w:pStyle w:val="TableParagraph"/>
              <w:ind w:left="110"/>
              <w:rPr>
                <w:sz w:val="20"/>
              </w:rPr>
            </w:pPr>
            <w:r>
              <w:rPr>
                <w:spacing w:val="-5"/>
                <w:sz w:val="20"/>
              </w:rPr>
              <w:t>….</w:t>
            </w:r>
          </w:p>
          <w:p>
            <w:pPr>
              <w:pStyle w:val="TableParagraph"/>
              <w:spacing w:before="193"/>
              <w:rPr>
                <w:b/>
                <w:sz w:val="20"/>
              </w:rPr>
            </w:pPr>
          </w:p>
          <w:p>
            <w:pPr>
              <w:pStyle w:val="TableParagraph"/>
              <w:ind w:left="110"/>
              <w:rPr>
                <w:sz w:val="20"/>
              </w:rPr>
            </w:pPr>
            <w:r>
              <w:rPr>
                <w:spacing w:val="-5"/>
                <w:sz w:val="20"/>
              </w:rPr>
              <w:t>….</w:t>
            </w:r>
          </w:p>
        </w:tc>
        <w:tc>
          <w:tcPr>
            <w:tcW w:w="1416" w:type="dxa"/>
          </w:tcPr>
          <w:p>
            <w:pPr>
              <w:pStyle w:val="TableParagraph"/>
              <w:spacing w:line="676" w:lineRule="auto" w:before="94"/>
              <w:ind w:left="429" w:right="411" w:firstLine="3"/>
              <w:jc w:val="center"/>
              <w:rPr>
                <w:sz w:val="20"/>
              </w:rPr>
            </w:pPr>
            <w:r>
              <w:rPr>
                <w:spacing w:val="-6"/>
                <w:sz w:val="20"/>
              </w:rPr>
              <w:t>…. </w:t>
            </w:r>
            <w:r>
              <w:rPr>
                <w:spacing w:val="-2"/>
                <w:sz w:val="20"/>
              </w:rPr>
              <w:t>0.926</w:t>
            </w:r>
          </w:p>
          <w:p>
            <w:pPr>
              <w:pStyle w:val="TableParagraph"/>
              <w:spacing w:before="1"/>
              <w:ind w:left="16"/>
              <w:jc w:val="center"/>
              <w:rPr>
                <w:sz w:val="20"/>
              </w:rPr>
            </w:pPr>
            <w:r>
              <w:rPr>
                <w:spacing w:val="-2"/>
                <w:sz w:val="20"/>
              </w:rPr>
              <w:t>0.370</w:t>
            </w:r>
          </w:p>
        </w:tc>
      </w:tr>
      <w:tr>
        <w:trPr>
          <w:trHeight w:val="1420" w:hRule="atLeast"/>
        </w:trPr>
        <w:tc>
          <w:tcPr>
            <w:tcW w:w="986" w:type="dxa"/>
          </w:tcPr>
          <w:p>
            <w:pPr>
              <w:pStyle w:val="TableParagraph"/>
              <w:spacing w:before="96"/>
              <w:ind w:left="107"/>
              <w:rPr>
                <w:sz w:val="20"/>
              </w:rPr>
            </w:pPr>
            <w:r>
              <w:rPr>
                <w:spacing w:val="-10"/>
                <w:sz w:val="20"/>
              </w:rPr>
              <w:t>5</w:t>
            </w:r>
          </w:p>
        </w:tc>
        <w:tc>
          <w:tcPr>
            <w:tcW w:w="2559" w:type="dxa"/>
          </w:tcPr>
          <w:p>
            <w:pPr>
              <w:pStyle w:val="TableParagraph"/>
              <w:spacing w:before="96"/>
              <w:ind w:left="108"/>
              <w:rPr>
                <w:sz w:val="20"/>
              </w:rPr>
            </w:pPr>
            <w:r>
              <w:rPr>
                <w:spacing w:val="-2"/>
                <w:sz w:val="20"/>
              </w:rPr>
              <w:t>Mercantile-</w:t>
            </w:r>
          </w:p>
          <w:p>
            <w:pPr>
              <w:pStyle w:val="TableParagraph"/>
              <w:tabs>
                <w:tab w:pos="1192" w:val="left" w:leader="none"/>
                <w:tab w:pos="2079" w:val="left" w:leader="none"/>
              </w:tabs>
              <w:spacing w:before="95"/>
              <w:ind w:left="108" w:right="92"/>
              <w:rPr>
                <w:sz w:val="20"/>
              </w:rPr>
            </w:pPr>
            <w:r>
              <w:rPr>
                <w:spacing w:val="-2"/>
                <w:sz w:val="20"/>
              </w:rPr>
              <w:t>-street</w:t>
            </w:r>
            <w:r>
              <w:rPr>
                <w:sz w:val="20"/>
              </w:rPr>
              <w:tab/>
            </w:r>
            <w:r>
              <w:rPr>
                <w:spacing w:val="-4"/>
                <w:sz w:val="20"/>
              </w:rPr>
              <w:t>floor</w:t>
            </w:r>
            <w:r>
              <w:rPr>
                <w:sz w:val="20"/>
              </w:rPr>
              <w:tab/>
            </w:r>
            <w:r>
              <w:rPr>
                <w:spacing w:val="-4"/>
                <w:sz w:val="20"/>
              </w:rPr>
              <w:t>and </w:t>
            </w:r>
            <w:r>
              <w:rPr>
                <w:spacing w:val="-2"/>
                <w:sz w:val="20"/>
              </w:rPr>
              <w:t>basement</w:t>
            </w:r>
          </w:p>
          <w:p>
            <w:pPr>
              <w:pStyle w:val="TableParagraph"/>
              <w:spacing w:before="97"/>
              <w:ind w:left="108"/>
              <w:rPr>
                <w:sz w:val="20"/>
              </w:rPr>
            </w:pPr>
            <w:r>
              <w:rPr>
                <w:sz w:val="20"/>
              </w:rPr>
              <w:t>-upper</w:t>
            </w:r>
            <w:r>
              <w:rPr>
                <w:spacing w:val="-7"/>
                <w:sz w:val="20"/>
              </w:rPr>
              <w:t> </w:t>
            </w:r>
            <w:r>
              <w:rPr>
                <w:sz w:val="20"/>
              </w:rPr>
              <w:t>sales</w:t>
            </w:r>
            <w:r>
              <w:rPr>
                <w:spacing w:val="-8"/>
                <w:sz w:val="20"/>
              </w:rPr>
              <w:t> </w:t>
            </w:r>
            <w:r>
              <w:rPr>
                <w:spacing w:val="-2"/>
                <w:sz w:val="20"/>
              </w:rPr>
              <w:t>floors</w:t>
            </w:r>
          </w:p>
        </w:tc>
        <w:tc>
          <w:tcPr>
            <w:tcW w:w="1279" w:type="dxa"/>
          </w:tcPr>
          <w:p>
            <w:pPr>
              <w:pStyle w:val="TableParagraph"/>
              <w:spacing w:before="191"/>
              <w:rPr>
                <w:b/>
                <w:sz w:val="20"/>
              </w:rPr>
            </w:pPr>
          </w:p>
          <w:p>
            <w:pPr>
              <w:pStyle w:val="TableParagraph"/>
              <w:ind w:left="110"/>
              <w:rPr>
                <w:sz w:val="20"/>
              </w:rPr>
            </w:pPr>
            <w:r>
              <w:rPr>
                <w:spacing w:val="-5"/>
                <w:sz w:val="20"/>
              </w:rPr>
              <w:t>1.5</w:t>
            </w:r>
          </w:p>
          <w:p>
            <w:pPr>
              <w:pStyle w:val="TableParagraph"/>
              <w:spacing w:before="193"/>
              <w:rPr>
                <w:b/>
                <w:sz w:val="20"/>
              </w:rPr>
            </w:pPr>
          </w:p>
          <w:p>
            <w:pPr>
              <w:pStyle w:val="TableParagraph"/>
              <w:ind w:left="110"/>
              <w:rPr>
                <w:sz w:val="20"/>
              </w:rPr>
            </w:pPr>
            <w:r>
              <w:rPr>
                <w:spacing w:val="-5"/>
                <w:sz w:val="20"/>
              </w:rPr>
              <w:t>1.5</w:t>
            </w:r>
          </w:p>
        </w:tc>
        <w:tc>
          <w:tcPr>
            <w:tcW w:w="1133" w:type="dxa"/>
          </w:tcPr>
          <w:p>
            <w:pPr>
              <w:pStyle w:val="TableParagraph"/>
              <w:spacing w:before="191"/>
              <w:rPr>
                <w:b/>
                <w:sz w:val="20"/>
              </w:rPr>
            </w:pPr>
          </w:p>
          <w:p>
            <w:pPr>
              <w:pStyle w:val="TableParagraph"/>
              <w:ind w:left="108"/>
              <w:rPr>
                <w:sz w:val="20"/>
              </w:rPr>
            </w:pPr>
            <w:r>
              <w:rPr>
                <w:spacing w:val="-2"/>
                <w:sz w:val="20"/>
              </w:rPr>
              <w:t>0.222</w:t>
            </w:r>
          </w:p>
          <w:p>
            <w:pPr>
              <w:pStyle w:val="TableParagraph"/>
              <w:spacing w:before="193"/>
              <w:rPr>
                <w:b/>
                <w:sz w:val="20"/>
              </w:rPr>
            </w:pPr>
          </w:p>
          <w:p>
            <w:pPr>
              <w:pStyle w:val="TableParagraph"/>
              <w:ind w:left="108"/>
              <w:rPr>
                <w:sz w:val="20"/>
              </w:rPr>
            </w:pPr>
            <w:r>
              <w:rPr>
                <w:spacing w:val="-2"/>
                <w:sz w:val="20"/>
              </w:rPr>
              <w:t>0.111</w:t>
            </w:r>
          </w:p>
        </w:tc>
        <w:tc>
          <w:tcPr>
            <w:tcW w:w="1844" w:type="dxa"/>
          </w:tcPr>
          <w:p>
            <w:pPr>
              <w:pStyle w:val="TableParagraph"/>
              <w:spacing w:before="191"/>
              <w:rPr>
                <w:b/>
                <w:sz w:val="20"/>
              </w:rPr>
            </w:pPr>
          </w:p>
          <w:p>
            <w:pPr>
              <w:pStyle w:val="TableParagraph"/>
              <w:ind w:left="110"/>
              <w:rPr>
                <w:sz w:val="20"/>
              </w:rPr>
            </w:pPr>
            <w:r>
              <w:rPr>
                <w:spacing w:val="-5"/>
                <w:sz w:val="20"/>
              </w:rPr>
              <w:t>……</w:t>
            </w:r>
          </w:p>
        </w:tc>
        <w:tc>
          <w:tcPr>
            <w:tcW w:w="1416" w:type="dxa"/>
          </w:tcPr>
          <w:p>
            <w:pPr>
              <w:pStyle w:val="TableParagraph"/>
              <w:spacing w:before="191"/>
              <w:rPr>
                <w:b/>
                <w:sz w:val="20"/>
              </w:rPr>
            </w:pPr>
          </w:p>
          <w:p>
            <w:pPr>
              <w:pStyle w:val="TableParagraph"/>
              <w:ind w:left="429"/>
              <w:rPr>
                <w:sz w:val="20"/>
              </w:rPr>
            </w:pPr>
            <w:r>
              <w:rPr>
                <w:spacing w:val="-2"/>
                <w:sz w:val="20"/>
              </w:rPr>
              <w:t>0.222</w:t>
            </w:r>
          </w:p>
          <w:p>
            <w:pPr>
              <w:pStyle w:val="TableParagraph"/>
              <w:spacing w:before="193"/>
              <w:rPr>
                <w:b/>
                <w:sz w:val="20"/>
              </w:rPr>
            </w:pPr>
          </w:p>
          <w:p>
            <w:pPr>
              <w:pStyle w:val="TableParagraph"/>
              <w:ind w:left="429"/>
              <w:rPr>
                <w:sz w:val="20"/>
              </w:rPr>
            </w:pPr>
            <w:r>
              <w:rPr>
                <w:spacing w:val="-2"/>
                <w:sz w:val="20"/>
              </w:rPr>
              <w:t>0.111</w:t>
            </w:r>
          </w:p>
        </w:tc>
      </w:tr>
      <w:tr>
        <w:trPr>
          <w:trHeight w:val="426" w:hRule="atLeast"/>
        </w:trPr>
        <w:tc>
          <w:tcPr>
            <w:tcW w:w="986" w:type="dxa"/>
          </w:tcPr>
          <w:p>
            <w:pPr>
              <w:pStyle w:val="TableParagraph"/>
              <w:spacing w:before="94"/>
              <w:ind w:left="107"/>
              <w:rPr>
                <w:sz w:val="20"/>
              </w:rPr>
            </w:pPr>
            <w:r>
              <w:rPr>
                <w:spacing w:val="-10"/>
                <w:sz w:val="20"/>
              </w:rPr>
              <w:t>6</w:t>
            </w:r>
          </w:p>
        </w:tc>
        <w:tc>
          <w:tcPr>
            <w:tcW w:w="2559" w:type="dxa"/>
          </w:tcPr>
          <w:p>
            <w:pPr>
              <w:pStyle w:val="TableParagraph"/>
              <w:spacing w:before="94"/>
              <w:ind w:left="108"/>
              <w:rPr>
                <w:sz w:val="20"/>
              </w:rPr>
            </w:pPr>
            <w:r>
              <w:rPr>
                <w:sz w:val="20"/>
              </w:rPr>
              <w:t>Business,</w:t>
            </w:r>
            <w:r>
              <w:rPr>
                <w:spacing w:val="-8"/>
                <w:sz w:val="20"/>
              </w:rPr>
              <w:t> </w:t>
            </w:r>
            <w:r>
              <w:rPr>
                <w:spacing w:val="-2"/>
                <w:sz w:val="20"/>
              </w:rPr>
              <w:t>Industrial</w:t>
            </w:r>
          </w:p>
        </w:tc>
        <w:tc>
          <w:tcPr>
            <w:tcW w:w="1279" w:type="dxa"/>
          </w:tcPr>
          <w:p>
            <w:pPr>
              <w:pStyle w:val="TableParagraph"/>
              <w:spacing w:before="94"/>
              <w:ind w:left="110"/>
              <w:rPr>
                <w:sz w:val="20"/>
              </w:rPr>
            </w:pPr>
            <w:r>
              <w:rPr>
                <w:spacing w:val="-5"/>
                <w:sz w:val="20"/>
              </w:rPr>
              <w:t>1.5</w:t>
            </w:r>
          </w:p>
        </w:tc>
        <w:tc>
          <w:tcPr>
            <w:tcW w:w="1133" w:type="dxa"/>
          </w:tcPr>
          <w:p>
            <w:pPr>
              <w:pStyle w:val="TableParagraph"/>
              <w:spacing w:before="94"/>
              <w:ind w:left="108"/>
              <w:rPr>
                <w:sz w:val="20"/>
              </w:rPr>
            </w:pPr>
            <w:r>
              <w:rPr>
                <w:b/>
                <w:spacing w:val="-4"/>
                <w:sz w:val="20"/>
              </w:rPr>
              <w:t>.</w:t>
            </w:r>
            <w:r>
              <w:rPr>
                <w:spacing w:val="-4"/>
                <w:sz w:val="20"/>
              </w:rPr>
              <w:t>067</w:t>
            </w:r>
          </w:p>
        </w:tc>
        <w:tc>
          <w:tcPr>
            <w:tcW w:w="1844" w:type="dxa"/>
          </w:tcPr>
          <w:p>
            <w:pPr>
              <w:pStyle w:val="TableParagraph"/>
              <w:spacing w:before="94"/>
              <w:ind w:left="110"/>
              <w:rPr>
                <w:sz w:val="20"/>
              </w:rPr>
            </w:pPr>
            <w:r>
              <w:rPr>
                <w:spacing w:val="-5"/>
                <w:sz w:val="20"/>
              </w:rPr>
              <w:t>….</w:t>
            </w:r>
          </w:p>
        </w:tc>
        <w:tc>
          <w:tcPr>
            <w:tcW w:w="1416" w:type="dxa"/>
          </w:tcPr>
          <w:p>
            <w:pPr>
              <w:pStyle w:val="TableParagraph"/>
              <w:spacing w:before="94"/>
              <w:ind w:left="16"/>
              <w:jc w:val="center"/>
              <w:rPr>
                <w:sz w:val="20"/>
              </w:rPr>
            </w:pPr>
            <w:r>
              <w:rPr>
                <w:spacing w:val="-2"/>
                <w:sz w:val="20"/>
              </w:rPr>
              <w:t>0.067</w:t>
            </w:r>
          </w:p>
        </w:tc>
      </w:tr>
      <w:tr>
        <w:trPr>
          <w:trHeight w:val="426" w:hRule="atLeast"/>
        </w:trPr>
        <w:tc>
          <w:tcPr>
            <w:tcW w:w="986" w:type="dxa"/>
          </w:tcPr>
          <w:p>
            <w:pPr>
              <w:pStyle w:val="TableParagraph"/>
              <w:spacing w:before="94"/>
              <w:ind w:left="107"/>
              <w:rPr>
                <w:sz w:val="20"/>
              </w:rPr>
            </w:pPr>
            <w:r>
              <w:rPr>
                <w:spacing w:val="-10"/>
                <w:sz w:val="20"/>
              </w:rPr>
              <w:t>7</w:t>
            </w:r>
          </w:p>
        </w:tc>
        <w:tc>
          <w:tcPr>
            <w:tcW w:w="2559" w:type="dxa"/>
          </w:tcPr>
          <w:p>
            <w:pPr>
              <w:pStyle w:val="TableParagraph"/>
              <w:spacing w:before="94"/>
              <w:ind w:left="108"/>
              <w:rPr>
                <w:sz w:val="20"/>
              </w:rPr>
            </w:pPr>
            <w:r>
              <w:rPr>
                <w:spacing w:val="-2"/>
                <w:sz w:val="20"/>
              </w:rPr>
              <w:t>Storage</w:t>
            </w:r>
          </w:p>
        </w:tc>
        <w:tc>
          <w:tcPr>
            <w:tcW w:w="1279" w:type="dxa"/>
          </w:tcPr>
          <w:p>
            <w:pPr>
              <w:pStyle w:val="TableParagraph"/>
              <w:spacing w:before="94"/>
              <w:ind w:left="110"/>
              <w:rPr>
                <w:sz w:val="20"/>
              </w:rPr>
            </w:pPr>
            <w:r>
              <w:rPr>
                <w:spacing w:val="-5"/>
                <w:sz w:val="20"/>
              </w:rPr>
              <w:t>1.5</w:t>
            </w:r>
          </w:p>
        </w:tc>
        <w:tc>
          <w:tcPr>
            <w:tcW w:w="1133" w:type="dxa"/>
          </w:tcPr>
          <w:p>
            <w:pPr>
              <w:pStyle w:val="TableParagraph"/>
              <w:spacing w:before="94"/>
              <w:ind w:left="108"/>
              <w:rPr>
                <w:sz w:val="20"/>
              </w:rPr>
            </w:pPr>
            <w:r>
              <w:rPr>
                <w:b/>
                <w:spacing w:val="-4"/>
                <w:sz w:val="20"/>
              </w:rPr>
              <w:t>.</w:t>
            </w:r>
            <w:r>
              <w:rPr>
                <w:spacing w:val="-4"/>
                <w:sz w:val="20"/>
              </w:rPr>
              <w:t>022</w:t>
            </w:r>
          </w:p>
        </w:tc>
        <w:tc>
          <w:tcPr>
            <w:tcW w:w="1844" w:type="dxa"/>
          </w:tcPr>
          <w:p>
            <w:pPr>
              <w:pStyle w:val="TableParagraph"/>
              <w:spacing w:before="94"/>
              <w:ind w:left="110"/>
              <w:rPr>
                <w:sz w:val="20"/>
              </w:rPr>
            </w:pPr>
            <w:r>
              <w:rPr>
                <w:spacing w:val="-5"/>
                <w:sz w:val="20"/>
              </w:rPr>
              <w:t>….</w:t>
            </w:r>
          </w:p>
        </w:tc>
        <w:tc>
          <w:tcPr>
            <w:tcW w:w="1416" w:type="dxa"/>
          </w:tcPr>
          <w:p>
            <w:pPr>
              <w:pStyle w:val="TableParagraph"/>
              <w:spacing w:before="94"/>
              <w:ind w:left="16"/>
              <w:jc w:val="center"/>
              <w:rPr>
                <w:sz w:val="20"/>
              </w:rPr>
            </w:pPr>
            <w:r>
              <w:rPr>
                <w:spacing w:val="-2"/>
                <w:sz w:val="20"/>
              </w:rPr>
              <w:t>0.022</w:t>
            </w:r>
          </w:p>
        </w:tc>
      </w:tr>
      <w:tr>
        <w:trPr>
          <w:trHeight w:val="426" w:hRule="atLeast"/>
        </w:trPr>
        <w:tc>
          <w:tcPr>
            <w:tcW w:w="986" w:type="dxa"/>
          </w:tcPr>
          <w:p>
            <w:pPr>
              <w:pStyle w:val="TableParagraph"/>
              <w:spacing w:before="94"/>
              <w:ind w:left="107"/>
              <w:rPr>
                <w:sz w:val="20"/>
              </w:rPr>
            </w:pPr>
            <w:r>
              <w:rPr>
                <w:spacing w:val="-10"/>
                <w:sz w:val="20"/>
              </w:rPr>
              <w:t>8</w:t>
            </w:r>
          </w:p>
        </w:tc>
        <w:tc>
          <w:tcPr>
            <w:tcW w:w="2559" w:type="dxa"/>
          </w:tcPr>
          <w:p>
            <w:pPr>
              <w:pStyle w:val="TableParagraph"/>
              <w:spacing w:before="94"/>
              <w:ind w:left="108"/>
              <w:rPr>
                <w:sz w:val="20"/>
              </w:rPr>
            </w:pPr>
            <w:r>
              <w:rPr>
                <w:spacing w:val="-2"/>
                <w:sz w:val="20"/>
              </w:rPr>
              <w:t>Hazardous</w:t>
            </w:r>
          </w:p>
        </w:tc>
        <w:tc>
          <w:tcPr>
            <w:tcW w:w="1279" w:type="dxa"/>
          </w:tcPr>
          <w:p>
            <w:pPr>
              <w:pStyle w:val="TableParagraph"/>
              <w:spacing w:before="94"/>
              <w:ind w:left="110"/>
              <w:rPr>
                <w:sz w:val="20"/>
              </w:rPr>
            </w:pPr>
            <w:r>
              <w:rPr>
                <w:spacing w:val="-5"/>
                <w:sz w:val="20"/>
              </w:rPr>
              <w:t>1.5</w:t>
            </w:r>
          </w:p>
        </w:tc>
        <w:tc>
          <w:tcPr>
            <w:tcW w:w="1133" w:type="dxa"/>
          </w:tcPr>
          <w:p>
            <w:pPr>
              <w:pStyle w:val="TableParagraph"/>
              <w:spacing w:before="94"/>
              <w:ind w:left="108"/>
              <w:rPr>
                <w:sz w:val="20"/>
              </w:rPr>
            </w:pPr>
            <w:r>
              <w:rPr>
                <w:b/>
                <w:spacing w:val="-4"/>
                <w:sz w:val="20"/>
              </w:rPr>
              <w:t>.</w:t>
            </w:r>
            <w:r>
              <w:rPr>
                <w:spacing w:val="-4"/>
                <w:sz w:val="20"/>
              </w:rPr>
              <w:t>133</w:t>
            </w:r>
          </w:p>
        </w:tc>
        <w:tc>
          <w:tcPr>
            <w:tcW w:w="1844" w:type="dxa"/>
          </w:tcPr>
          <w:p>
            <w:pPr>
              <w:pStyle w:val="TableParagraph"/>
              <w:spacing w:before="94"/>
              <w:ind w:left="110"/>
              <w:rPr>
                <w:sz w:val="20"/>
              </w:rPr>
            </w:pPr>
            <w:r>
              <w:rPr>
                <w:spacing w:val="-5"/>
                <w:sz w:val="20"/>
              </w:rPr>
              <w:t>….</w:t>
            </w:r>
          </w:p>
        </w:tc>
        <w:tc>
          <w:tcPr>
            <w:tcW w:w="1416" w:type="dxa"/>
          </w:tcPr>
          <w:p>
            <w:pPr>
              <w:pStyle w:val="TableParagraph"/>
              <w:spacing w:before="94"/>
              <w:ind w:left="16"/>
              <w:jc w:val="center"/>
              <w:rPr>
                <w:sz w:val="20"/>
              </w:rPr>
            </w:pPr>
            <w:r>
              <w:rPr>
                <w:spacing w:val="-2"/>
                <w:sz w:val="20"/>
              </w:rPr>
              <w:t>0.125</w:t>
            </w:r>
          </w:p>
        </w:tc>
      </w:tr>
    </w:tbl>
    <w:p>
      <w:pPr>
        <w:pStyle w:val="BodyText"/>
        <w:spacing w:before="244"/>
        <w:jc w:val="left"/>
        <w:rPr>
          <w:b/>
        </w:rPr>
      </w:pPr>
    </w:p>
    <w:p>
      <w:pPr>
        <w:pStyle w:val="BodyText"/>
        <w:ind w:left="1493" w:right="801"/>
      </w:pPr>
      <w:r>
        <w:rPr/>
        <w:t>*For the dormitory portions of homes for the aged, orphanages, mental hospitals,</w:t>
      </w:r>
      <w:r>
        <w:rPr>
          <w:spacing w:val="80"/>
        </w:rPr>
        <w:t> </w:t>
      </w:r>
      <w:r>
        <w:rPr/>
        <w:t>etc.,</w:t>
      </w:r>
      <w:r>
        <w:rPr>
          <w:spacing w:val="80"/>
        </w:rPr>
        <w:t> </w:t>
      </w:r>
      <w:r>
        <w:rPr/>
        <w:t>these</w:t>
      </w:r>
      <w:r>
        <w:rPr>
          <w:spacing w:val="80"/>
        </w:rPr>
        <w:t> </w:t>
      </w:r>
      <w:r>
        <w:rPr/>
        <w:t>multipliers</w:t>
      </w:r>
      <w:r>
        <w:rPr>
          <w:spacing w:val="80"/>
        </w:rPr>
        <w:t> </w:t>
      </w:r>
      <w:r>
        <w:rPr/>
        <w:t>shall</w:t>
      </w:r>
      <w:r>
        <w:rPr>
          <w:spacing w:val="80"/>
        </w:rPr>
        <w:t> </w:t>
      </w:r>
      <w:r>
        <w:rPr/>
        <w:t>be</w:t>
      </w:r>
      <w:r>
        <w:rPr>
          <w:spacing w:val="80"/>
        </w:rPr>
        <w:t> </w:t>
      </w:r>
      <w:r>
        <w:rPr/>
        <w:t>doubled.</w:t>
      </w:r>
    </w:p>
    <w:p>
      <w:pPr>
        <w:pStyle w:val="BodyText"/>
        <w:spacing w:before="241"/>
        <w:ind w:left="1493" w:right="777"/>
      </w:pPr>
      <w:r>
        <w:rPr/>
        <w:t>**The plinth or</w:t>
      </w:r>
      <w:r>
        <w:rPr>
          <w:spacing w:val="40"/>
        </w:rPr>
        <w:t> </w:t>
      </w:r>
      <w:r>
        <w:rPr/>
        <w:t>covered area shall include, in addition to the main</w:t>
      </w:r>
      <w:r>
        <w:rPr>
          <w:spacing w:val="40"/>
        </w:rPr>
        <w:t> </w:t>
      </w:r>
      <w:r>
        <w:rPr/>
        <w:t>assembly</w:t>
      </w:r>
      <w:r>
        <w:rPr>
          <w:spacing w:val="40"/>
        </w:rPr>
        <w:t> </w:t>
      </w:r>
      <w:r>
        <w:rPr/>
        <w:t>rooms</w:t>
      </w:r>
      <w:r>
        <w:rPr>
          <w:spacing w:val="40"/>
        </w:rPr>
        <w:t> </w:t>
      </w:r>
      <w:r>
        <w:rPr/>
        <w:t>or</w:t>
      </w:r>
      <w:r>
        <w:rPr>
          <w:spacing w:val="80"/>
        </w:rPr>
        <w:t> </w:t>
      </w:r>
      <w:r>
        <w:rPr/>
        <w:t>space,</w:t>
      </w:r>
      <w:r>
        <w:rPr>
          <w:spacing w:val="40"/>
        </w:rPr>
        <w:t> </w:t>
      </w:r>
      <w:r>
        <w:rPr/>
        <w:t>any</w:t>
      </w:r>
      <w:r>
        <w:rPr>
          <w:spacing w:val="40"/>
        </w:rPr>
        <w:t> </w:t>
      </w:r>
      <w:r>
        <w:rPr/>
        <w:t>occupied</w:t>
      </w:r>
      <w:r>
        <w:rPr>
          <w:spacing w:val="40"/>
        </w:rPr>
        <w:t> </w:t>
      </w:r>
      <w:r>
        <w:rPr/>
        <w:t>connecting</w:t>
      </w:r>
      <w:r>
        <w:rPr>
          <w:spacing w:val="40"/>
        </w:rPr>
        <w:t> </w:t>
      </w:r>
      <w:r>
        <w:rPr/>
        <w:t>room</w:t>
      </w:r>
      <w:r>
        <w:rPr>
          <w:spacing w:val="40"/>
        </w:rPr>
        <w:t> </w:t>
      </w:r>
      <w:r>
        <w:rPr/>
        <w:t>or</w:t>
      </w:r>
      <w:r>
        <w:rPr>
          <w:spacing w:val="40"/>
        </w:rPr>
        <w:t> </w:t>
      </w:r>
      <w:r>
        <w:rPr/>
        <w:t>space</w:t>
      </w:r>
      <w:r>
        <w:rPr>
          <w:spacing w:val="40"/>
        </w:rPr>
        <w:t> </w:t>
      </w:r>
      <w:r>
        <w:rPr/>
        <w:t>in</w:t>
      </w:r>
      <w:r>
        <w:rPr>
          <w:spacing w:val="40"/>
        </w:rPr>
        <w:t> </w:t>
      </w:r>
      <w:r>
        <w:rPr/>
        <w:t>the</w:t>
      </w:r>
      <w:r>
        <w:rPr>
          <w:spacing w:val="40"/>
        </w:rPr>
        <w:t> </w:t>
      </w:r>
      <w:r>
        <w:rPr/>
        <w:t>same</w:t>
      </w:r>
      <w:r>
        <w:rPr>
          <w:spacing w:val="40"/>
        </w:rPr>
        <w:t> </w:t>
      </w:r>
      <w:r>
        <w:rPr/>
        <w:t>storey</w:t>
      </w:r>
      <w:r>
        <w:rPr>
          <w:spacing w:val="40"/>
        </w:rPr>
        <w:t> </w:t>
      </w:r>
      <w:r>
        <w:rPr/>
        <w:t>or</w:t>
      </w:r>
      <w:r>
        <w:rPr>
          <w:spacing w:val="40"/>
        </w:rPr>
        <w:t> </w:t>
      </w:r>
      <w:r>
        <w:rPr/>
        <w:t>in</w:t>
      </w:r>
      <w:r>
        <w:rPr>
          <w:spacing w:val="40"/>
        </w:rPr>
        <w:t> </w:t>
      </w:r>
      <w:r>
        <w:rPr/>
        <w:t>the</w:t>
      </w:r>
      <w:r>
        <w:rPr>
          <w:spacing w:val="40"/>
        </w:rPr>
        <w:t> </w:t>
      </w:r>
      <w:r>
        <w:rPr/>
        <w:t>storey</w:t>
      </w:r>
      <w:r>
        <w:rPr>
          <w:spacing w:val="40"/>
        </w:rPr>
        <w:t> </w:t>
      </w:r>
      <w:r>
        <w:rPr/>
        <w:t>above</w:t>
      </w:r>
      <w:r>
        <w:rPr>
          <w:spacing w:val="40"/>
        </w:rPr>
        <w:t> </w:t>
      </w:r>
      <w:r>
        <w:rPr/>
        <w:t>or</w:t>
      </w:r>
      <w:r>
        <w:rPr>
          <w:spacing w:val="40"/>
        </w:rPr>
        <w:t> </w:t>
      </w:r>
      <w:r>
        <w:rPr/>
        <w:t>below</w:t>
      </w:r>
      <w:r>
        <w:rPr>
          <w:spacing w:val="40"/>
        </w:rPr>
        <w:t> </w:t>
      </w:r>
      <w:r>
        <w:rPr/>
        <w:t>where</w:t>
      </w:r>
      <w:r>
        <w:rPr>
          <w:spacing w:val="40"/>
        </w:rPr>
        <w:t> </w:t>
      </w:r>
      <w:r>
        <w:rPr/>
        <w:t>entrance</w:t>
      </w:r>
      <w:r>
        <w:rPr>
          <w:spacing w:val="40"/>
        </w:rPr>
        <w:t> </w:t>
      </w:r>
      <w:r>
        <w:rPr/>
        <w:t>is common to such rooms and space and they are available for use by the occupants</w:t>
      </w:r>
      <w:r>
        <w:rPr>
          <w:spacing w:val="40"/>
        </w:rPr>
        <w:t> </w:t>
      </w:r>
      <w:r>
        <w:rPr/>
        <w:t>of</w:t>
      </w:r>
      <w:r>
        <w:rPr>
          <w:spacing w:val="40"/>
        </w:rPr>
        <w:t> </w:t>
      </w:r>
      <w:r>
        <w:rPr/>
        <w:t>the</w:t>
      </w:r>
      <w:r>
        <w:rPr>
          <w:spacing w:val="40"/>
        </w:rPr>
        <w:t> </w:t>
      </w:r>
      <w:r>
        <w:rPr/>
        <w:t>assembly</w:t>
      </w:r>
      <w:r>
        <w:rPr>
          <w:spacing w:val="40"/>
        </w:rPr>
        <w:t> </w:t>
      </w:r>
      <w:r>
        <w:rPr/>
        <w:t>place.</w:t>
      </w:r>
    </w:p>
    <w:p>
      <w:pPr>
        <w:pStyle w:val="BodyText"/>
        <w:spacing w:before="238"/>
        <w:ind w:left="1493" w:right="795"/>
      </w:pPr>
      <w:r>
        <w:rPr/>
        <w:t>No</w:t>
      </w:r>
      <w:r>
        <w:rPr>
          <w:spacing w:val="40"/>
        </w:rPr>
        <w:t> </w:t>
      </w:r>
      <w:r>
        <w:rPr/>
        <w:t>deductions</w:t>
      </w:r>
      <w:r>
        <w:rPr>
          <w:spacing w:val="40"/>
        </w:rPr>
        <w:t> </w:t>
      </w:r>
      <w:r>
        <w:rPr/>
        <w:t>shall</w:t>
      </w:r>
      <w:r>
        <w:rPr>
          <w:spacing w:val="40"/>
        </w:rPr>
        <w:t> </w:t>
      </w:r>
      <w:r>
        <w:rPr/>
        <w:t>be</w:t>
      </w:r>
      <w:r>
        <w:rPr>
          <w:spacing w:val="40"/>
        </w:rPr>
        <w:t> </w:t>
      </w:r>
      <w:r>
        <w:rPr/>
        <w:t>made</w:t>
      </w:r>
      <w:r>
        <w:rPr>
          <w:spacing w:val="40"/>
        </w:rPr>
        <w:t> </w:t>
      </w:r>
      <w:r>
        <w:rPr/>
        <w:t>in</w:t>
      </w:r>
      <w:r>
        <w:rPr>
          <w:spacing w:val="40"/>
        </w:rPr>
        <w:t> </w:t>
      </w:r>
      <w:r>
        <w:rPr/>
        <w:t>the</w:t>
      </w:r>
      <w:r>
        <w:rPr>
          <w:spacing w:val="40"/>
        </w:rPr>
        <w:t> </w:t>
      </w:r>
      <w:r>
        <w:rPr/>
        <w:t>gross</w:t>
      </w:r>
      <w:r>
        <w:rPr>
          <w:spacing w:val="40"/>
        </w:rPr>
        <w:t> </w:t>
      </w:r>
      <w:r>
        <w:rPr/>
        <w:t>area</w:t>
      </w:r>
      <w:r>
        <w:rPr>
          <w:spacing w:val="40"/>
        </w:rPr>
        <w:t> </w:t>
      </w:r>
      <w:r>
        <w:rPr/>
        <w:t>of</w:t>
      </w:r>
      <w:r>
        <w:rPr>
          <w:spacing w:val="40"/>
        </w:rPr>
        <w:t> </w:t>
      </w:r>
      <w:r>
        <w:rPr/>
        <w:t>the</w:t>
      </w:r>
      <w:r>
        <w:rPr>
          <w:spacing w:val="40"/>
        </w:rPr>
        <w:t> </w:t>
      </w:r>
      <w:r>
        <w:rPr/>
        <w:t>corridors,</w:t>
      </w:r>
      <w:r>
        <w:rPr>
          <w:spacing w:val="40"/>
        </w:rPr>
        <w:t> </w:t>
      </w:r>
      <w:r>
        <w:rPr/>
        <w:t>closets or</w:t>
      </w:r>
      <w:r>
        <w:rPr>
          <w:spacing w:val="40"/>
        </w:rPr>
        <w:t> </w:t>
      </w:r>
      <w:r>
        <w:rPr/>
        <w:t>other</w:t>
      </w:r>
      <w:r>
        <w:rPr>
          <w:spacing w:val="10"/>
        </w:rPr>
        <w:t> sub-</w:t>
      </w:r>
      <w:r>
        <w:rPr/>
        <w:t>divisions.All</w:t>
      </w:r>
      <w:r>
        <w:rPr>
          <w:spacing w:val="40"/>
        </w:rPr>
        <w:t> </w:t>
      </w:r>
      <w:r>
        <w:rPr/>
        <w:t>space</w:t>
      </w:r>
      <w:r>
        <w:rPr>
          <w:spacing w:val="40"/>
        </w:rPr>
        <w:t> </w:t>
      </w:r>
      <w:r>
        <w:rPr/>
        <w:t>serving</w:t>
      </w:r>
      <w:r>
        <w:rPr>
          <w:spacing w:val="40"/>
        </w:rPr>
        <w:t> </w:t>
      </w:r>
      <w:r>
        <w:rPr/>
        <w:t>the</w:t>
      </w:r>
      <w:r>
        <w:rPr>
          <w:spacing w:val="40"/>
        </w:rPr>
        <w:t> </w:t>
      </w:r>
      <w:r>
        <w:rPr/>
        <w:t>particular</w:t>
      </w:r>
      <w:r>
        <w:rPr>
          <w:spacing w:val="40"/>
        </w:rPr>
        <w:t> </w:t>
      </w:r>
      <w:r>
        <w:rPr/>
        <w:t>assembly occupancy shall be </w:t>
      </w:r>
      <w:r>
        <w:rPr>
          <w:spacing w:val="9"/>
        </w:rPr>
        <w:t>reckoned.</w:t>
      </w:r>
    </w:p>
    <w:p>
      <w:pPr>
        <w:pStyle w:val="Heading3"/>
        <w:numPr>
          <w:ilvl w:val="0"/>
          <w:numId w:val="263"/>
        </w:numPr>
        <w:tabs>
          <w:tab w:pos="1477" w:val="left" w:leader="none"/>
        </w:tabs>
        <w:spacing w:line="240" w:lineRule="auto" w:before="238" w:after="0"/>
        <w:ind w:left="1477" w:right="0" w:hanging="705"/>
        <w:jc w:val="left"/>
        <w:rPr>
          <w:i w:val="0"/>
        </w:rPr>
      </w:pPr>
      <w:r>
        <w:rPr/>
        <w:t>Requirements</w:t>
      </w:r>
      <w:r>
        <w:rPr>
          <w:spacing w:val="72"/>
        </w:rPr>
        <w:t> </w:t>
      </w:r>
      <w:r>
        <w:rPr/>
        <w:t>of</w:t>
      </w:r>
      <w:r>
        <w:rPr>
          <w:spacing w:val="72"/>
        </w:rPr>
        <w:t> </w:t>
      </w:r>
      <w:r>
        <w:rPr>
          <w:spacing w:val="-4"/>
        </w:rPr>
        <w:t>Exits</w:t>
      </w:r>
    </w:p>
    <w:p>
      <w:pPr>
        <w:pStyle w:val="BodyText"/>
        <w:spacing w:before="245"/>
        <w:ind w:left="1044" w:right="838" w:firstLine="448"/>
        <w:jc w:val="left"/>
      </w:pPr>
      <w:r>
        <w:rPr/>
        <w:t>The</w:t>
      </w:r>
      <w:r>
        <w:rPr>
          <w:spacing w:val="80"/>
        </w:rPr>
        <w:t> </w:t>
      </w:r>
      <w:r>
        <w:rPr/>
        <w:t>detailed</w:t>
      </w:r>
      <w:r>
        <w:rPr>
          <w:spacing w:val="80"/>
        </w:rPr>
        <w:t> </w:t>
      </w:r>
      <w:r>
        <w:rPr/>
        <w:t>requirements</w:t>
      </w:r>
      <w:r>
        <w:rPr>
          <w:spacing w:val="80"/>
        </w:rPr>
        <w:t> </w:t>
      </w:r>
      <w:r>
        <w:rPr/>
        <w:t>of</w:t>
      </w:r>
      <w:r>
        <w:rPr>
          <w:spacing w:val="80"/>
        </w:rPr>
        <w:t> </w:t>
      </w:r>
      <w:r>
        <w:rPr/>
        <w:t>individual</w:t>
      </w:r>
      <w:r>
        <w:rPr>
          <w:spacing w:val="80"/>
        </w:rPr>
        <w:t> </w:t>
      </w:r>
      <w:r>
        <w:rPr/>
        <w:t>exits</w:t>
      </w:r>
      <w:r>
        <w:rPr>
          <w:spacing w:val="80"/>
        </w:rPr>
        <w:t> </w:t>
      </w:r>
      <w:r>
        <w:rPr/>
        <w:t>at</w:t>
      </w:r>
      <w:r>
        <w:rPr>
          <w:spacing w:val="80"/>
        </w:rPr>
        <w:t> </w:t>
      </w:r>
      <w:r>
        <w:rPr/>
        <w:t>each</w:t>
      </w:r>
      <w:r>
        <w:rPr>
          <w:spacing w:val="80"/>
        </w:rPr>
        <w:t> </w:t>
      </w:r>
      <w:r>
        <w:rPr/>
        <w:t>floor</w:t>
      </w:r>
      <w:r>
        <w:rPr>
          <w:spacing w:val="80"/>
        </w:rPr>
        <w:t> </w:t>
      </w:r>
      <w:r>
        <w:rPr/>
        <w:t>are</w:t>
      </w:r>
      <w:r>
        <w:rPr>
          <w:spacing w:val="80"/>
        </w:rPr>
        <w:t> </w:t>
      </w:r>
      <w:r>
        <w:rPr/>
        <w:t>given </w:t>
      </w:r>
      <w:r>
        <w:rPr>
          <w:spacing w:val="-2"/>
        </w:rPr>
        <w:t>below:</w:t>
      </w:r>
    </w:p>
    <w:p>
      <w:pPr>
        <w:pStyle w:val="Heading6"/>
        <w:numPr>
          <w:ilvl w:val="1"/>
          <w:numId w:val="263"/>
        </w:numPr>
        <w:tabs>
          <w:tab w:pos="1491" w:val="left" w:leader="none"/>
        </w:tabs>
        <w:spacing w:line="240" w:lineRule="auto" w:before="235" w:after="0"/>
        <w:ind w:left="1491" w:right="0" w:hanging="358"/>
        <w:jc w:val="left"/>
        <w:rPr>
          <w:i w:val="0"/>
        </w:rPr>
      </w:pPr>
      <w:r>
        <w:rPr>
          <w:spacing w:val="-2"/>
        </w:rPr>
        <w:t>Corridors:</w:t>
      </w:r>
    </w:p>
    <w:p>
      <w:pPr>
        <w:pStyle w:val="ListParagraph"/>
        <w:numPr>
          <w:ilvl w:val="2"/>
          <w:numId w:val="263"/>
        </w:numPr>
        <w:tabs>
          <w:tab w:pos="1493" w:val="left" w:leader="none"/>
          <w:tab w:pos="1519" w:val="left" w:leader="none"/>
        </w:tabs>
        <w:spacing w:line="240" w:lineRule="auto" w:before="244" w:after="0"/>
        <w:ind w:left="1493" w:right="798" w:hanging="360"/>
        <w:jc w:val="both"/>
        <w:rPr>
          <w:sz w:val="24"/>
        </w:rPr>
      </w:pPr>
      <w:r>
        <w:rPr>
          <w:sz w:val="24"/>
        </w:rPr>
        <w:t>Exit</w:t>
      </w:r>
      <w:r>
        <w:rPr>
          <w:spacing w:val="75"/>
          <w:sz w:val="24"/>
        </w:rPr>
        <w:t> </w:t>
      </w:r>
      <w:r>
        <w:rPr>
          <w:sz w:val="24"/>
        </w:rPr>
        <w:t>corridors</w:t>
      </w:r>
      <w:r>
        <w:rPr>
          <w:spacing w:val="40"/>
          <w:sz w:val="24"/>
        </w:rPr>
        <w:t> </w:t>
      </w:r>
      <w:r>
        <w:rPr>
          <w:sz w:val="24"/>
        </w:rPr>
        <w:t>shall</w:t>
      </w:r>
      <w:r>
        <w:rPr>
          <w:spacing w:val="40"/>
          <w:sz w:val="24"/>
        </w:rPr>
        <w:t> </w:t>
      </w:r>
      <w:r>
        <w:rPr>
          <w:sz w:val="24"/>
        </w:rPr>
        <w:t>be</w:t>
      </w:r>
      <w:r>
        <w:rPr>
          <w:spacing w:val="40"/>
          <w:sz w:val="24"/>
        </w:rPr>
        <w:t> </w:t>
      </w:r>
      <w:r>
        <w:rPr>
          <w:sz w:val="24"/>
        </w:rPr>
        <w:t>of</w:t>
      </w:r>
      <w:r>
        <w:rPr>
          <w:spacing w:val="40"/>
          <w:sz w:val="24"/>
        </w:rPr>
        <w:t> </w:t>
      </w:r>
      <w:r>
        <w:rPr>
          <w:sz w:val="24"/>
        </w:rPr>
        <w:t>a</w:t>
      </w:r>
      <w:r>
        <w:rPr>
          <w:spacing w:val="40"/>
          <w:sz w:val="24"/>
        </w:rPr>
        <w:t> </w:t>
      </w:r>
      <w:r>
        <w:rPr>
          <w:sz w:val="24"/>
        </w:rPr>
        <w:t>width</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the</w:t>
      </w:r>
      <w:r>
        <w:rPr>
          <w:spacing w:val="40"/>
          <w:sz w:val="24"/>
        </w:rPr>
        <w:t> </w:t>
      </w:r>
      <w:r>
        <w:rPr>
          <w:sz w:val="24"/>
        </w:rPr>
        <w:t>total</w:t>
      </w:r>
      <w:r>
        <w:rPr>
          <w:spacing w:val="40"/>
          <w:sz w:val="24"/>
        </w:rPr>
        <w:t> </w:t>
      </w:r>
      <w:r>
        <w:rPr>
          <w:sz w:val="24"/>
        </w:rPr>
        <w:t>required</w:t>
      </w:r>
      <w:r>
        <w:rPr>
          <w:spacing w:val="40"/>
          <w:sz w:val="24"/>
        </w:rPr>
        <w:t> </w:t>
      </w:r>
      <w:r>
        <w:rPr>
          <w:sz w:val="24"/>
        </w:rPr>
        <w:t>width of exit doorways leading from them in the direction of travel to the </w:t>
      </w:r>
      <w:r>
        <w:rPr>
          <w:spacing w:val="7"/>
          <w:sz w:val="24"/>
        </w:rPr>
        <w:t>exterior/stairway.</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2"/>
          <w:numId w:val="263"/>
        </w:numPr>
        <w:tabs>
          <w:tab w:pos="1493" w:val="left" w:leader="none"/>
          <w:tab w:pos="1637" w:val="left" w:leader="none"/>
        </w:tabs>
        <w:spacing w:line="240" w:lineRule="auto" w:before="249" w:after="0"/>
        <w:ind w:left="1493" w:right="797" w:hanging="360"/>
        <w:jc w:val="both"/>
        <w:rPr>
          <w:sz w:val="24"/>
        </w:rPr>
      </w:pPr>
      <w:r>
        <w:rPr>
          <w:sz w:val="24"/>
        </w:rPr>
        <w:tab/>
        <w:t>Where</w:t>
      </w:r>
      <w:r>
        <w:rPr>
          <w:spacing w:val="40"/>
          <w:sz w:val="24"/>
        </w:rPr>
        <w:t> </w:t>
      </w:r>
      <w:r>
        <w:rPr>
          <w:sz w:val="24"/>
        </w:rPr>
        <w:t>stairways</w:t>
      </w:r>
      <w:r>
        <w:rPr>
          <w:spacing w:val="40"/>
          <w:sz w:val="24"/>
        </w:rPr>
        <w:t> </w:t>
      </w:r>
      <w:r>
        <w:rPr>
          <w:sz w:val="24"/>
        </w:rPr>
        <w:t>discharge</w:t>
      </w:r>
      <w:r>
        <w:rPr>
          <w:spacing w:val="40"/>
          <w:sz w:val="24"/>
        </w:rPr>
        <w:t> </w:t>
      </w:r>
      <w:r>
        <w:rPr>
          <w:sz w:val="24"/>
        </w:rPr>
        <w:t>through</w:t>
      </w:r>
      <w:r>
        <w:rPr>
          <w:spacing w:val="40"/>
          <w:sz w:val="24"/>
        </w:rPr>
        <w:t> </w:t>
      </w:r>
      <w:r>
        <w:rPr>
          <w:sz w:val="24"/>
        </w:rPr>
        <w:t>corridors,</w:t>
      </w:r>
      <w:r>
        <w:rPr>
          <w:spacing w:val="40"/>
          <w:sz w:val="24"/>
        </w:rPr>
        <w:t> </w:t>
      </w:r>
      <w:r>
        <w:rPr>
          <w:sz w:val="24"/>
        </w:rPr>
        <w:t>the</w:t>
      </w:r>
      <w:r>
        <w:rPr>
          <w:spacing w:val="40"/>
          <w:sz w:val="24"/>
        </w:rPr>
        <w:t> </w:t>
      </w:r>
      <w:r>
        <w:rPr>
          <w:sz w:val="24"/>
        </w:rPr>
        <w:t>height</w:t>
      </w:r>
      <w:r>
        <w:rPr>
          <w:spacing w:val="40"/>
          <w:sz w:val="24"/>
        </w:rPr>
        <w:t> </w:t>
      </w:r>
      <w:r>
        <w:rPr>
          <w:sz w:val="24"/>
        </w:rPr>
        <w:t>of</w:t>
      </w:r>
      <w:r>
        <w:rPr>
          <w:spacing w:val="40"/>
          <w:sz w:val="24"/>
        </w:rPr>
        <w:t> </w:t>
      </w:r>
      <w:r>
        <w:rPr>
          <w:sz w:val="24"/>
        </w:rPr>
        <w:t>the corridors</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2.4</w:t>
      </w:r>
      <w:r>
        <w:rPr>
          <w:spacing w:val="40"/>
          <w:sz w:val="24"/>
        </w:rPr>
        <w:t> </w:t>
      </w:r>
      <w:r>
        <w:rPr>
          <w:sz w:val="24"/>
        </w:rPr>
        <w:t>m.</w:t>
      </w:r>
    </w:p>
    <w:p>
      <w:pPr>
        <w:pStyle w:val="ListParagraph"/>
        <w:numPr>
          <w:ilvl w:val="2"/>
          <w:numId w:val="263"/>
        </w:numPr>
        <w:tabs>
          <w:tab w:pos="1493" w:val="left" w:leader="none"/>
          <w:tab w:pos="1514" w:val="left" w:leader="none"/>
        </w:tabs>
        <w:spacing w:line="240" w:lineRule="auto" w:before="241" w:after="0"/>
        <w:ind w:left="1493" w:right="799" w:hanging="360"/>
        <w:jc w:val="both"/>
        <w:rPr>
          <w:sz w:val="24"/>
        </w:rPr>
      </w:pPr>
      <w:r>
        <w:rPr>
          <w:sz w:val="24"/>
        </w:rPr>
        <w:t>Where</w:t>
      </w:r>
      <w:r>
        <w:rPr>
          <w:spacing w:val="80"/>
          <w:sz w:val="24"/>
        </w:rPr>
        <w:t> </w:t>
      </w:r>
      <w:r>
        <w:rPr>
          <w:sz w:val="24"/>
        </w:rPr>
        <w:t>there</w:t>
      </w:r>
      <w:r>
        <w:rPr>
          <w:spacing w:val="40"/>
          <w:sz w:val="24"/>
        </w:rPr>
        <w:t> </w:t>
      </w:r>
      <w:r>
        <w:rPr>
          <w:sz w:val="24"/>
        </w:rPr>
        <w:t>is</w:t>
      </w:r>
      <w:r>
        <w:rPr>
          <w:spacing w:val="40"/>
          <w:sz w:val="24"/>
        </w:rPr>
        <w:t> </w:t>
      </w:r>
      <w:r>
        <w:rPr>
          <w:sz w:val="24"/>
        </w:rPr>
        <w:t>more</w:t>
      </w:r>
      <w:r>
        <w:rPr>
          <w:spacing w:val="40"/>
          <w:sz w:val="24"/>
        </w:rPr>
        <w:t> </w:t>
      </w:r>
      <w:r>
        <w:rPr>
          <w:sz w:val="24"/>
        </w:rPr>
        <w:t>than</w:t>
      </w:r>
      <w:r>
        <w:rPr>
          <w:spacing w:val="40"/>
          <w:sz w:val="24"/>
        </w:rPr>
        <w:t> </w:t>
      </w:r>
      <w:r>
        <w:rPr>
          <w:sz w:val="24"/>
        </w:rPr>
        <w:t>one</w:t>
      </w:r>
      <w:r>
        <w:rPr>
          <w:spacing w:val="40"/>
          <w:sz w:val="24"/>
        </w:rPr>
        <w:t> </w:t>
      </w:r>
      <w:r>
        <w:rPr>
          <w:sz w:val="24"/>
        </w:rPr>
        <w:t>staircase</w:t>
      </w:r>
      <w:r>
        <w:rPr>
          <w:spacing w:val="40"/>
          <w:sz w:val="24"/>
        </w:rPr>
        <w:t> </w:t>
      </w:r>
      <w:r>
        <w:rPr>
          <w:sz w:val="24"/>
        </w:rPr>
        <w:t>serving</w:t>
      </w:r>
      <w:r>
        <w:rPr>
          <w:spacing w:val="40"/>
          <w:sz w:val="24"/>
        </w:rPr>
        <w:t> </w:t>
      </w:r>
      <w:r>
        <w:rPr>
          <w:sz w:val="24"/>
        </w:rPr>
        <w:t>a</w:t>
      </w:r>
      <w:r>
        <w:rPr>
          <w:spacing w:val="40"/>
          <w:sz w:val="24"/>
        </w:rPr>
        <w:t> </w:t>
      </w:r>
      <w:r>
        <w:rPr>
          <w:sz w:val="24"/>
        </w:rPr>
        <w:t>building,</w:t>
      </w:r>
      <w:r>
        <w:rPr>
          <w:spacing w:val="40"/>
          <w:sz w:val="24"/>
        </w:rPr>
        <w:t> </w:t>
      </w:r>
      <w:r>
        <w:rPr>
          <w:sz w:val="24"/>
        </w:rPr>
        <w:t>there</w:t>
      </w:r>
      <w:r>
        <w:rPr>
          <w:spacing w:val="40"/>
          <w:sz w:val="24"/>
        </w:rPr>
        <w:t> </w:t>
      </w:r>
      <w:r>
        <w:rPr>
          <w:sz w:val="24"/>
        </w:rPr>
        <w:t>shall be</w:t>
      </w:r>
      <w:r>
        <w:rPr>
          <w:spacing w:val="40"/>
          <w:sz w:val="24"/>
        </w:rPr>
        <w:t> </w:t>
      </w:r>
      <w:r>
        <w:rPr>
          <w:sz w:val="24"/>
        </w:rPr>
        <w:t>at</w:t>
      </w:r>
      <w:r>
        <w:rPr>
          <w:spacing w:val="40"/>
          <w:sz w:val="24"/>
        </w:rPr>
        <w:t> </w:t>
      </w:r>
      <w:r>
        <w:rPr>
          <w:sz w:val="24"/>
        </w:rPr>
        <w:t>least</w:t>
      </w:r>
      <w:r>
        <w:rPr>
          <w:spacing w:val="40"/>
          <w:sz w:val="24"/>
        </w:rPr>
        <w:t> </w:t>
      </w:r>
      <w:r>
        <w:rPr>
          <w:sz w:val="24"/>
        </w:rPr>
        <w:t>one</w:t>
      </w:r>
      <w:r>
        <w:rPr>
          <w:spacing w:val="40"/>
          <w:sz w:val="24"/>
        </w:rPr>
        <w:t> </w:t>
      </w:r>
      <w:r>
        <w:rPr>
          <w:spacing w:val="9"/>
          <w:sz w:val="24"/>
        </w:rPr>
        <w:t>smoke-</w:t>
      </w:r>
      <w:r>
        <w:rPr>
          <w:sz w:val="24"/>
        </w:rPr>
        <w:t>stop</w:t>
      </w:r>
      <w:r>
        <w:rPr>
          <w:spacing w:val="40"/>
          <w:sz w:val="24"/>
        </w:rPr>
        <w:t> </w:t>
      </w:r>
      <w:r>
        <w:rPr>
          <w:sz w:val="24"/>
        </w:rPr>
        <w:t>door</w:t>
      </w:r>
      <w:r>
        <w:rPr>
          <w:spacing w:val="40"/>
          <w:sz w:val="24"/>
        </w:rPr>
        <w:t> </w:t>
      </w:r>
      <w:r>
        <w:rPr>
          <w:sz w:val="24"/>
        </w:rPr>
        <w:t>in</w:t>
      </w:r>
      <w:r>
        <w:rPr>
          <w:spacing w:val="40"/>
          <w:sz w:val="24"/>
        </w:rPr>
        <w:t> </w:t>
      </w:r>
      <w:r>
        <w:rPr>
          <w:sz w:val="24"/>
        </w:rPr>
        <w:t>the</w:t>
      </w:r>
      <w:r>
        <w:rPr>
          <w:spacing w:val="40"/>
          <w:sz w:val="24"/>
        </w:rPr>
        <w:t> </w:t>
      </w:r>
      <w:r>
        <w:rPr>
          <w:sz w:val="24"/>
        </w:rPr>
        <w:t>space</w:t>
      </w:r>
      <w:r>
        <w:rPr>
          <w:spacing w:val="40"/>
          <w:sz w:val="24"/>
        </w:rPr>
        <w:t> </w:t>
      </w:r>
      <w:r>
        <w:rPr>
          <w:sz w:val="24"/>
        </w:rPr>
        <w:t>between</w:t>
      </w:r>
      <w:r>
        <w:rPr>
          <w:spacing w:val="40"/>
          <w:sz w:val="24"/>
        </w:rPr>
        <w:t> </w:t>
      </w:r>
      <w:r>
        <w:rPr>
          <w:sz w:val="24"/>
        </w:rPr>
        <w:t>the</w:t>
      </w:r>
      <w:r>
        <w:rPr>
          <w:spacing w:val="40"/>
          <w:sz w:val="24"/>
        </w:rPr>
        <w:t> </w:t>
      </w:r>
      <w:r>
        <w:rPr>
          <w:sz w:val="24"/>
        </w:rPr>
        <w:t>staircases.</w:t>
      </w:r>
    </w:p>
    <w:p>
      <w:pPr>
        <w:pStyle w:val="Heading6"/>
        <w:numPr>
          <w:ilvl w:val="1"/>
          <w:numId w:val="263"/>
        </w:numPr>
        <w:tabs>
          <w:tab w:pos="1625" w:val="left" w:leader="none"/>
        </w:tabs>
        <w:spacing w:line="240" w:lineRule="auto" w:before="238" w:after="0"/>
        <w:ind w:left="1625" w:right="0" w:hanging="492"/>
        <w:jc w:val="left"/>
        <w:rPr>
          <w:b w:val="0"/>
          <w:i w:val="0"/>
        </w:rPr>
      </w:pPr>
      <w:r>
        <w:rPr>
          <w:spacing w:val="-2"/>
        </w:rPr>
        <w:t>Doorways</w:t>
      </w:r>
      <w:r>
        <w:rPr>
          <w:b w:val="0"/>
          <w:spacing w:val="-2"/>
        </w:rPr>
        <w:t>:</w:t>
      </w:r>
    </w:p>
    <w:p>
      <w:pPr>
        <w:pStyle w:val="ListParagraph"/>
        <w:numPr>
          <w:ilvl w:val="2"/>
          <w:numId w:val="263"/>
        </w:numPr>
        <w:tabs>
          <w:tab w:pos="1493" w:val="left" w:leader="none"/>
          <w:tab w:pos="1536" w:val="left" w:leader="none"/>
        </w:tabs>
        <w:spacing w:line="240" w:lineRule="auto" w:before="243" w:after="0"/>
        <w:ind w:left="1493" w:right="799" w:hanging="360"/>
        <w:jc w:val="both"/>
        <w:rPr>
          <w:sz w:val="24"/>
        </w:rPr>
      </w:pPr>
      <w:r>
        <w:rPr>
          <w:sz w:val="24"/>
        </w:rPr>
        <w:t>Every</w:t>
      </w:r>
      <w:r>
        <w:rPr>
          <w:spacing w:val="80"/>
          <w:sz w:val="24"/>
        </w:rPr>
        <w:t> </w:t>
      </w:r>
      <w:r>
        <w:rPr>
          <w:sz w:val="24"/>
        </w:rPr>
        <w:t>exit</w:t>
      </w:r>
      <w:r>
        <w:rPr>
          <w:spacing w:val="40"/>
          <w:sz w:val="24"/>
        </w:rPr>
        <w:t> </w:t>
      </w:r>
      <w:r>
        <w:rPr>
          <w:sz w:val="24"/>
        </w:rPr>
        <w:t>doorway</w:t>
      </w:r>
      <w:r>
        <w:rPr>
          <w:spacing w:val="40"/>
          <w:sz w:val="24"/>
        </w:rPr>
        <w:t> </w:t>
      </w:r>
      <w:r>
        <w:rPr>
          <w:sz w:val="24"/>
        </w:rPr>
        <w:t>shall</w:t>
      </w:r>
      <w:r>
        <w:rPr>
          <w:spacing w:val="40"/>
          <w:sz w:val="24"/>
        </w:rPr>
        <w:t> </w:t>
      </w:r>
      <w:r>
        <w:rPr>
          <w:sz w:val="24"/>
        </w:rPr>
        <w:t>open</w:t>
      </w:r>
      <w:r>
        <w:rPr>
          <w:spacing w:val="40"/>
          <w:sz w:val="24"/>
        </w:rPr>
        <w:t> </w:t>
      </w:r>
      <w:r>
        <w:rPr>
          <w:sz w:val="24"/>
        </w:rPr>
        <w:t>into</w:t>
      </w:r>
      <w:r>
        <w:rPr>
          <w:spacing w:val="40"/>
          <w:sz w:val="24"/>
        </w:rPr>
        <w:t> </w:t>
      </w:r>
      <w:r>
        <w:rPr>
          <w:sz w:val="24"/>
        </w:rPr>
        <w:t>an</w:t>
      </w:r>
      <w:r>
        <w:rPr>
          <w:spacing w:val="40"/>
          <w:sz w:val="24"/>
        </w:rPr>
        <w:t> </w:t>
      </w:r>
      <w:r>
        <w:rPr>
          <w:sz w:val="24"/>
        </w:rPr>
        <w:t>enclosed</w:t>
      </w:r>
      <w:r>
        <w:rPr>
          <w:spacing w:val="40"/>
          <w:sz w:val="24"/>
        </w:rPr>
        <w:t> </w:t>
      </w:r>
      <w:r>
        <w:rPr>
          <w:sz w:val="24"/>
        </w:rPr>
        <w:t>stairway,</w:t>
      </w:r>
      <w:r>
        <w:rPr>
          <w:spacing w:val="40"/>
          <w:sz w:val="24"/>
        </w:rPr>
        <w:t> </w:t>
      </w:r>
      <w:r>
        <w:rPr>
          <w:sz w:val="24"/>
        </w:rPr>
        <w:t>a</w:t>
      </w:r>
      <w:r>
        <w:rPr>
          <w:spacing w:val="40"/>
          <w:sz w:val="24"/>
        </w:rPr>
        <w:t> </w:t>
      </w:r>
      <w:r>
        <w:rPr>
          <w:sz w:val="24"/>
        </w:rPr>
        <w:t>horizontal exit or</w:t>
      </w:r>
      <w:r>
        <w:rPr>
          <w:spacing w:val="40"/>
          <w:sz w:val="24"/>
        </w:rPr>
        <w:t> </w:t>
      </w:r>
      <w:r>
        <w:rPr>
          <w:sz w:val="24"/>
        </w:rPr>
        <w:t>a corridor</w:t>
      </w:r>
      <w:r>
        <w:rPr>
          <w:spacing w:val="40"/>
          <w:sz w:val="24"/>
        </w:rPr>
        <w:t> </w:t>
      </w:r>
      <w:r>
        <w:rPr>
          <w:sz w:val="24"/>
        </w:rPr>
        <w:t>or passageway</w:t>
      </w:r>
      <w:r>
        <w:rPr>
          <w:spacing w:val="40"/>
          <w:sz w:val="24"/>
        </w:rPr>
        <w:t> </w:t>
      </w:r>
      <w:r>
        <w:rPr>
          <w:sz w:val="24"/>
        </w:rPr>
        <w:t>providing continuous</w:t>
      </w:r>
      <w:r>
        <w:rPr>
          <w:spacing w:val="40"/>
          <w:sz w:val="24"/>
        </w:rPr>
        <w:t> </w:t>
      </w:r>
      <w:r>
        <w:rPr>
          <w:sz w:val="24"/>
        </w:rPr>
        <w:t>and protected means of </w:t>
      </w:r>
      <w:r>
        <w:rPr>
          <w:spacing w:val="9"/>
          <w:sz w:val="24"/>
        </w:rPr>
        <w:t>egress;</w:t>
      </w:r>
    </w:p>
    <w:p>
      <w:pPr>
        <w:pStyle w:val="ListParagraph"/>
        <w:numPr>
          <w:ilvl w:val="2"/>
          <w:numId w:val="263"/>
        </w:numPr>
        <w:tabs>
          <w:tab w:pos="1491" w:val="left" w:leader="none"/>
          <w:tab w:pos="1493" w:val="left" w:leader="none"/>
        </w:tabs>
        <w:spacing w:line="240" w:lineRule="auto" w:before="240" w:after="0"/>
        <w:ind w:left="1493" w:right="789" w:hanging="360"/>
        <w:jc w:val="both"/>
        <w:rPr>
          <w:sz w:val="24"/>
        </w:rPr>
      </w:pPr>
      <w:r>
        <w:rPr>
          <w:sz w:val="24"/>
        </w:rPr>
        <w:t>An</w:t>
      </w:r>
      <w:r>
        <w:rPr>
          <w:spacing w:val="39"/>
          <w:sz w:val="24"/>
        </w:rPr>
        <w:t> </w:t>
      </w:r>
      <w:r>
        <w:rPr>
          <w:sz w:val="24"/>
        </w:rPr>
        <w:t>exit</w:t>
      </w:r>
      <w:r>
        <w:rPr>
          <w:spacing w:val="39"/>
          <w:sz w:val="24"/>
        </w:rPr>
        <w:t> </w:t>
      </w:r>
      <w:r>
        <w:rPr>
          <w:sz w:val="24"/>
        </w:rPr>
        <w:t>doorway</w:t>
      </w:r>
      <w:r>
        <w:rPr>
          <w:spacing w:val="40"/>
          <w:sz w:val="24"/>
        </w:rPr>
        <w:t> </w:t>
      </w:r>
      <w:r>
        <w:rPr>
          <w:sz w:val="24"/>
        </w:rPr>
        <w:t>shall</w:t>
      </w:r>
      <w:r>
        <w:rPr>
          <w:spacing w:val="39"/>
          <w:sz w:val="24"/>
        </w:rPr>
        <w:t> </w:t>
      </w:r>
      <w:r>
        <w:rPr>
          <w:sz w:val="24"/>
        </w:rPr>
        <w:t>open</w:t>
      </w:r>
      <w:r>
        <w:rPr>
          <w:spacing w:val="39"/>
          <w:sz w:val="24"/>
        </w:rPr>
        <w:t> </w:t>
      </w:r>
      <w:r>
        <w:rPr>
          <w:sz w:val="24"/>
        </w:rPr>
        <w:t>outwards</w:t>
      </w:r>
      <w:r>
        <w:rPr>
          <w:spacing w:val="39"/>
          <w:sz w:val="24"/>
        </w:rPr>
        <w:t> </w:t>
      </w:r>
      <w:r>
        <w:rPr>
          <w:sz w:val="24"/>
        </w:rPr>
        <w:t>i.e.</w:t>
      </w:r>
      <w:r>
        <w:rPr>
          <w:spacing w:val="39"/>
          <w:sz w:val="24"/>
        </w:rPr>
        <w:t> </w:t>
      </w:r>
      <w:r>
        <w:rPr>
          <w:sz w:val="24"/>
        </w:rPr>
        <w:t>away</w:t>
      </w:r>
      <w:r>
        <w:rPr>
          <w:spacing w:val="39"/>
          <w:sz w:val="24"/>
        </w:rPr>
        <w:t> </w:t>
      </w:r>
      <w:r>
        <w:rPr>
          <w:sz w:val="24"/>
        </w:rPr>
        <w:t>from</w:t>
      </w:r>
      <w:r>
        <w:rPr>
          <w:spacing w:val="40"/>
          <w:sz w:val="24"/>
        </w:rPr>
        <w:t> </w:t>
      </w:r>
      <w:r>
        <w:rPr>
          <w:sz w:val="24"/>
        </w:rPr>
        <w:t>the</w:t>
      </w:r>
      <w:r>
        <w:rPr>
          <w:spacing w:val="40"/>
          <w:sz w:val="24"/>
        </w:rPr>
        <w:t> </w:t>
      </w:r>
      <w:r>
        <w:rPr>
          <w:sz w:val="24"/>
        </w:rPr>
        <w:t>room,</w:t>
      </w:r>
      <w:r>
        <w:rPr>
          <w:spacing w:val="39"/>
          <w:sz w:val="24"/>
        </w:rPr>
        <w:t> </w:t>
      </w:r>
      <w:r>
        <w:rPr>
          <w:sz w:val="24"/>
        </w:rPr>
        <w:t>but</w:t>
      </w:r>
      <w:r>
        <w:rPr>
          <w:spacing w:val="39"/>
          <w:sz w:val="24"/>
        </w:rPr>
        <w:t> </w:t>
      </w:r>
      <w:r>
        <w:rPr>
          <w:sz w:val="24"/>
        </w:rPr>
        <w:t>shall not</w:t>
      </w:r>
      <w:r>
        <w:rPr>
          <w:spacing w:val="40"/>
          <w:sz w:val="24"/>
        </w:rPr>
        <w:t> </w:t>
      </w:r>
      <w:r>
        <w:rPr>
          <w:sz w:val="24"/>
        </w:rPr>
        <w:t>obstruct</w:t>
      </w:r>
      <w:r>
        <w:rPr>
          <w:spacing w:val="40"/>
          <w:sz w:val="24"/>
        </w:rPr>
        <w:t> </w:t>
      </w:r>
      <w:r>
        <w:rPr>
          <w:sz w:val="24"/>
        </w:rPr>
        <w:t>the</w:t>
      </w:r>
      <w:r>
        <w:rPr>
          <w:spacing w:val="40"/>
          <w:sz w:val="24"/>
        </w:rPr>
        <w:t> </w:t>
      </w:r>
      <w:r>
        <w:rPr>
          <w:sz w:val="24"/>
        </w:rPr>
        <w:t>travel</w:t>
      </w:r>
      <w:r>
        <w:rPr>
          <w:spacing w:val="40"/>
          <w:sz w:val="24"/>
        </w:rPr>
        <w:t> </w:t>
      </w:r>
      <w:r>
        <w:rPr>
          <w:sz w:val="24"/>
        </w:rPr>
        <w:t>along</w:t>
      </w:r>
      <w:r>
        <w:rPr>
          <w:spacing w:val="40"/>
          <w:sz w:val="24"/>
        </w:rPr>
        <w:t> </w:t>
      </w:r>
      <w:r>
        <w:rPr>
          <w:sz w:val="24"/>
        </w:rPr>
        <w:t>any</w:t>
      </w:r>
      <w:r>
        <w:rPr>
          <w:spacing w:val="40"/>
          <w:sz w:val="24"/>
        </w:rPr>
        <w:t> </w:t>
      </w:r>
      <w:r>
        <w:rPr>
          <w:sz w:val="24"/>
        </w:rPr>
        <w:t>exit.</w:t>
      </w:r>
      <w:r>
        <w:rPr>
          <w:spacing w:val="80"/>
          <w:w w:val="150"/>
          <w:sz w:val="24"/>
        </w:rPr>
        <w:t> </w:t>
      </w:r>
      <w:r>
        <w:rPr>
          <w:sz w:val="24"/>
        </w:rPr>
        <w:t>No</w:t>
      </w:r>
      <w:r>
        <w:rPr>
          <w:spacing w:val="40"/>
          <w:sz w:val="24"/>
        </w:rPr>
        <w:t> </w:t>
      </w:r>
      <w:r>
        <w:rPr>
          <w:sz w:val="24"/>
        </w:rPr>
        <w:t>door,</w:t>
      </w:r>
      <w:r>
        <w:rPr>
          <w:spacing w:val="40"/>
          <w:sz w:val="24"/>
        </w:rPr>
        <w:t> </w:t>
      </w:r>
      <w:r>
        <w:rPr>
          <w:sz w:val="24"/>
        </w:rPr>
        <w:t>when</w:t>
      </w:r>
      <w:r>
        <w:rPr>
          <w:spacing w:val="40"/>
          <w:sz w:val="24"/>
        </w:rPr>
        <w:t> </w:t>
      </w:r>
      <w:r>
        <w:rPr>
          <w:sz w:val="24"/>
        </w:rPr>
        <w:t>opened,</w:t>
      </w:r>
      <w:r>
        <w:rPr>
          <w:spacing w:val="40"/>
          <w:sz w:val="24"/>
        </w:rPr>
        <w:t> </w:t>
      </w:r>
      <w:r>
        <w:rPr>
          <w:sz w:val="24"/>
        </w:rPr>
        <w:t>shall reduce</w:t>
      </w:r>
      <w:r>
        <w:rPr>
          <w:spacing w:val="40"/>
          <w:sz w:val="24"/>
        </w:rPr>
        <w:t> </w:t>
      </w:r>
      <w:r>
        <w:rPr>
          <w:sz w:val="24"/>
        </w:rPr>
        <w:t>the</w:t>
      </w:r>
      <w:r>
        <w:rPr>
          <w:spacing w:val="40"/>
          <w:sz w:val="24"/>
        </w:rPr>
        <w:t> </w:t>
      </w:r>
      <w:r>
        <w:rPr>
          <w:sz w:val="24"/>
        </w:rPr>
        <w:t>required</w:t>
      </w:r>
      <w:r>
        <w:rPr>
          <w:spacing w:val="40"/>
          <w:sz w:val="24"/>
        </w:rPr>
        <w:t> </w:t>
      </w:r>
      <w:r>
        <w:rPr>
          <w:sz w:val="24"/>
        </w:rPr>
        <w:t>width</w:t>
      </w:r>
      <w:r>
        <w:rPr>
          <w:spacing w:val="40"/>
          <w:sz w:val="24"/>
        </w:rPr>
        <w:t> </w:t>
      </w:r>
      <w:r>
        <w:rPr>
          <w:sz w:val="24"/>
        </w:rPr>
        <w:t>of</w:t>
      </w:r>
      <w:r>
        <w:rPr>
          <w:spacing w:val="40"/>
          <w:sz w:val="24"/>
        </w:rPr>
        <w:t> </w:t>
      </w:r>
      <w:r>
        <w:rPr>
          <w:sz w:val="24"/>
        </w:rPr>
        <w:t>a</w:t>
      </w:r>
      <w:r>
        <w:rPr>
          <w:spacing w:val="40"/>
          <w:sz w:val="24"/>
        </w:rPr>
        <w:t> </w:t>
      </w:r>
      <w:r>
        <w:rPr>
          <w:sz w:val="24"/>
        </w:rPr>
        <w:t>stairway</w:t>
      </w:r>
      <w:r>
        <w:rPr>
          <w:spacing w:val="40"/>
          <w:sz w:val="24"/>
        </w:rPr>
        <w:t> </w:t>
      </w:r>
      <w:r>
        <w:rPr>
          <w:sz w:val="24"/>
        </w:rPr>
        <w:t>or</w:t>
      </w:r>
      <w:r>
        <w:rPr>
          <w:spacing w:val="40"/>
          <w:sz w:val="24"/>
        </w:rPr>
        <w:t> </w:t>
      </w:r>
      <w:r>
        <w:rPr>
          <w:sz w:val="24"/>
        </w:rPr>
        <w:t>landing</w:t>
      </w:r>
      <w:r>
        <w:rPr>
          <w:spacing w:val="40"/>
          <w:sz w:val="24"/>
        </w:rPr>
        <w:t> </w:t>
      </w:r>
      <w:r>
        <w:rPr>
          <w:sz w:val="24"/>
        </w:rPr>
        <w:t>to</w:t>
      </w:r>
      <w:r>
        <w:rPr>
          <w:spacing w:val="40"/>
          <w:sz w:val="24"/>
        </w:rPr>
        <w:t> </w:t>
      </w:r>
      <w:r>
        <w:rPr>
          <w:sz w:val="24"/>
        </w:rPr>
        <w:t>less</w:t>
      </w:r>
      <w:r>
        <w:rPr>
          <w:spacing w:val="40"/>
          <w:sz w:val="24"/>
        </w:rPr>
        <w:t> </w:t>
      </w:r>
      <w:r>
        <w:rPr>
          <w:sz w:val="24"/>
        </w:rPr>
        <w:t>than</w:t>
      </w:r>
      <w:r>
        <w:rPr>
          <w:spacing w:val="40"/>
          <w:sz w:val="24"/>
        </w:rPr>
        <w:t> </w:t>
      </w:r>
      <w:r>
        <w:rPr>
          <w:sz w:val="24"/>
        </w:rPr>
        <w:t>90</w:t>
      </w:r>
      <w:r>
        <w:rPr>
          <w:spacing w:val="40"/>
          <w:sz w:val="24"/>
        </w:rPr>
        <w:t> </w:t>
      </w:r>
      <w:r>
        <w:rPr>
          <w:sz w:val="24"/>
        </w:rPr>
        <w:t>cm.</w:t>
      </w:r>
    </w:p>
    <w:p>
      <w:pPr>
        <w:pStyle w:val="ListParagraph"/>
        <w:numPr>
          <w:ilvl w:val="2"/>
          <w:numId w:val="263"/>
        </w:numPr>
        <w:tabs>
          <w:tab w:pos="1493" w:val="left" w:leader="none"/>
          <w:tab w:pos="1568" w:val="left" w:leader="none"/>
        </w:tabs>
        <w:spacing w:line="240" w:lineRule="auto" w:before="240" w:after="0"/>
        <w:ind w:left="1493" w:right="782" w:hanging="360"/>
        <w:jc w:val="both"/>
        <w:rPr>
          <w:sz w:val="24"/>
        </w:rPr>
      </w:pPr>
      <w:r>
        <w:rPr>
          <w:sz w:val="24"/>
        </w:rPr>
        <w:tab/>
        <w:t>An</w:t>
      </w:r>
      <w:r>
        <w:rPr>
          <w:spacing w:val="40"/>
          <w:sz w:val="24"/>
        </w:rPr>
        <w:t> </w:t>
      </w:r>
      <w:r>
        <w:rPr>
          <w:sz w:val="24"/>
        </w:rPr>
        <w:t>exit</w:t>
      </w:r>
      <w:r>
        <w:rPr>
          <w:spacing w:val="40"/>
          <w:sz w:val="24"/>
        </w:rPr>
        <w:t> </w:t>
      </w:r>
      <w:r>
        <w:rPr>
          <w:sz w:val="24"/>
        </w:rPr>
        <w:t>door</w:t>
      </w:r>
      <w:r>
        <w:rPr>
          <w:spacing w:val="40"/>
          <w:sz w:val="24"/>
        </w:rPr>
        <w:t> </w:t>
      </w:r>
      <w:r>
        <w:rPr>
          <w:sz w:val="24"/>
        </w:rPr>
        <w:t>shall</w:t>
      </w:r>
      <w:r>
        <w:rPr>
          <w:spacing w:val="40"/>
          <w:sz w:val="24"/>
        </w:rPr>
        <w:t> </w:t>
      </w:r>
      <w:r>
        <w:rPr>
          <w:sz w:val="24"/>
        </w:rPr>
        <w:t>not</w:t>
      </w:r>
      <w:r>
        <w:rPr>
          <w:spacing w:val="40"/>
          <w:sz w:val="24"/>
        </w:rPr>
        <w:t> </w:t>
      </w:r>
      <w:r>
        <w:rPr>
          <w:sz w:val="24"/>
        </w:rPr>
        <w:t>open</w:t>
      </w:r>
      <w:r>
        <w:rPr>
          <w:spacing w:val="40"/>
          <w:sz w:val="24"/>
        </w:rPr>
        <w:t> </w:t>
      </w:r>
      <w:r>
        <w:rPr>
          <w:sz w:val="24"/>
        </w:rPr>
        <w:t>immediately</w:t>
      </w:r>
      <w:r>
        <w:rPr>
          <w:spacing w:val="40"/>
          <w:sz w:val="24"/>
        </w:rPr>
        <w:t> </w:t>
      </w:r>
      <w:r>
        <w:rPr>
          <w:sz w:val="24"/>
        </w:rPr>
        <w:t>upon</w:t>
      </w:r>
      <w:r>
        <w:rPr>
          <w:spacing w:val="40"/>
          <w:sz w:val="24"/>
        </w:rPr>
        <w:t> </w:t>
      </w:r>
      <w:r>
        <w:rPr>
          <w:sz w:val="24"/>
        </w:rPr>
        <w:t>a</w:t>
      </w:r>
      <w:r>
        <w:rPr>
          <w:spacing w:val="40"/>
          <w:sz w:val="24"/>
        </w:rPr>
        <w:t> </w:t>
      </w:r>
      <w:r>
        <w:rPr>
          <w:sz w:val="24"/>
        </w:rPr>
        <w:t>flight</w:t>
      </w:r>
      <w:r>
        <w:rPr>
          <w:spacing w:val="40"/>
          <w:sz w:val="24"/>
        </w:rPr>
        <w:t> </w:t>
      </w:r>
      <w:r>
        <w:rPr>
          <w:spacing w:val="12"/>
          <w:sz w:val="24"/>
        </w:rPr>
        <w:t>of</w:t>
      </w:r>
      <w:r>
        <w:rPr>
          <w:spacing w:val="40"/>
          <w:sz w:val="24"/>
        </w:rPr>
        <w:t> </w:t>
      </w:r>
      <w:r>
        <w:rPr>
          <w:sz w:val="24"/>
        </w:rPr>
        <w:t>stairs;</w:t>
      </w:r>
      <w:r>
        <w:rPr>
          <w:spacing w:val="40"/>
          <w:sz w:val="24"/>
        </w:rPr>
        <w:t> </w:t>
      </w:r>
      <w:r>
        <w:rPr>
          <w:sz w:val="24"/>
        </w:rPr>
        <w:t>a landing equal to atleast the width of the door shall be provided in the stairway</w:t>
      </w:r>
      <w:r>
        <w:rPr>
          <w:spacing w:val="40"/>
          <w:sz w:val="24"/>
        </w:rPr>
        <w:t> </w:t>
      </w:r>
      <w:r>
        <w:rPr>
          <w:sz w:val="24"/>
        </w:rPr>
        <w:t>at</w:t>
      </w:r>
      <w:r>
        <w:rPr>
          <w:spacing w:val="40"/>
          <w:sz w:val="24"/>
        </w:rPr>
        <w:t> </w:t>
      </w:r>
      <w:r>
        <w:rPr>
          <w:sz w:val="24"/>
        </w:rPr>
        <w:t>each</w:t>
      </w:r>
      <w:r>
        <w:rPr>
          <w:spacing w:val="40"/>
          <w:sz w:val="24"/>
        </w:rPr>
        <w:t> </w:t>
      </w:r>
      <w:r>
        <w:rPr>
          <w:sz w:val="24"/>
        </w:rPr>
        <w:t>doorway;</w:t>
      </w:r>
      <w:r>
        <w:rPr>
          <w:spacing w:val="40"/>
          <w:sz w:val="24"/>
        </w:rPr>
        <w:t> </w:t>
      </w:r>
      <w:r>
        <w:rPr>
          <w:sz w:val="24"/>
        </w:rPr>
        <w:t>the</w:t>
      </w:r>
      <w:r>
        <w:rPr>
          <w:spacing w:val="40"/>
          <w:sz w:val="24"/>
        </w:rPr>
        <w:t> </w:t>
      </w:r>
      <w:r>
        <w:rPr>
          <w:sz w:val="24"/>
        </w:rPr>
        <w:t>level</w:t>
      </w:r>
      <w:r>
        <w:rPr>
          <w:spacing w:val="40"/>
          <w:sz w:val="24"/>
        </w:rPr>
        <w:t> </w:t>
      </w:r>
      <w:r>
        <w:rPr>
          <w:sz w:val="24"/>
        </w:rPr>
        <w:t>of</w:t>
      </w:r>
      <w:r>
        <w:rPr>
          <w:spacing w:val="40"/>
          <w:sz w:val="24"/>
        </w:rPr>
        <w:t> </w:t>
      </w:r>
      <w:r>
        <w:rPr>
          <w:sz w:val="24"/>
        </w:rPr>
        <w:t>the</w:t>
      </w:r>
      <w:r>
        <w:rPr>
          <w:spacing w:val="40"/>
          <w:sz w:val="24"/>
        </w:rPr>
        <w:t> </w:t>
      </w:r>
      <w:r>
        <w:rPr>
          <w:sz w:val="24"/>
        </w:rPr>
        <w:t>landing</w:t>
      </w:r>
      <w:r>
        <w:rPr>
          <w:spacing w:val="40"/>
          <w:sz w:val="24"/>
        </w:rPr>
        <w:t> </w:t>
      </w:r>
      <w:r>
        <w:rPr>
          <w:sz w:val="24"/>
        </w:rPr>
        <w:t>shall</w:t>
      </w:r>
      <w:r>
        <w:rPr>
          <w:spacing w:val="40"/>
          <w:sz w:val="24"/>
        </w:rPr>
        <w:t> </w:t>
      </w:r>
      <w:r>
        <w:rPr>
          <w:sz w:val="24"/>
        </w:rPr>
        <w:t>be</w:t>
      </w:r>
      <w:r>
        <w:rPr>
          <w:spacing w:val="40"/>
          <w:sz w:val="24"/>
        </w:rPr>
        <w:t> </w:t>
      </w:r>
      <w:r>
        <w:rPr>
          <w:sz w:val="24"/>
        </w:rPr>
        <w:t>the</w:t>
      </w:r>
      <w:r>
        <w:rPr>
          <w:spacing w:val="40"/>
          <w:sz w:val="24"/>
        </w:rPr>
        <w:t> </w:t>
      </w:r>
      <w:r>
        <w:rPr>
          <w:sz w:val="24"/>
        </w:rPr>
        <w:t>same</w:t>
      </w:r>
      <w:r>
        <w:rPr>
          <w:spacing w:val="40"/>
          <w:sz w:val="24"/>
        </w:rPr>
        <w:t> </w:t>
      </w:r>
      <w:r>
        <w:rPr>
          <w:sz w:val="24"/>
        </w:rPr>
        <w:t>as that</w:t>
      </w:r>
      <w:r>
        <w:rPr>
          <w:spacing w:val="40"/>
          <w:sz w:val="24"/>
        </w:rPr>
        <w:t> </w:t>
      </w:r>
      <w:r>
        <w:rPr>
          <w:sz w:val="24"/>
        </w:rPr>
        <w:t>of</w:t>
      </w:r>
      <w:r>
        <w:rPr>
          <w:spacing w:val="40"/>
          <w:sz w:val="24"/>
        </w:rPr>
        <w:t> </w:t>
      </w:r>
      <w:r>
        <w:rPr>
          <w:sz w:val="24"/>
        </w:rPr>
        <w:t>the</w:t>
      </w:r>
      <w:r>
        <w:rPr>
          <w:spacing w:val="40"/>
          <w:sz w:val="24"/>
        </w:rPr>
        <w:t> </w:t>
      </w:r>
      <w:r>
        <w:rPr>
          <w:sz w:val="24"/>
        </w:rPr>
        <w:t>floor</w:t>
      </w:r>
      <w:r>
        <w:rPr>
          <w:spacing w:val="40"/>
          <w:sz w:val="24"/>
        </w:rPr>
        <w:t> </w:t>
      </w:r>
      <w:r>
        <w:rPr>
          <w:sz w:val="24"/>
        </w:rPr>
        <w:t>which</w:t>
      </w:r>
      <w:r>
        <w:rPr>
          <w:spacing w:val="40"/>
          <w:sz w:val="24"/>
        </w:rPr>
        <w:t> </w:t>
      </w:r>
      <w:r>
        <w:rPr>
          <w:sz w:val="24"/>
        </w:rPr>
        <w:t>it</w:t>
      </w:r>
      <w:r>
        <w:rPr>
          <w:spacing w:val="40"/>
          <w:sz w:val="24"/>
        </w:rPr>
        <w:t> </w:t>
      </w:r>
      <w:r>
        <w:rPr>
          <w:spacing w:val="9"/>
          <w:sz w:val="24"/>
        </w:rPr>
        <w:t>serves.</w:t>
      </w:r>
    </w:p>
    <w:p>
      <w:pPr>
        <w:pStyle w:val="ListParagraph"/>
        <w:numPr>
          <w:ilvl w:val="2"/>
          <w:numId w:val="263"/>
        </w:numPr>
        <w:tabs>
          <w:tab w:pos="1491" w:val="left" w:leader="none"/>
          <w:tab w:pos="1493" w:val="left" w:leader="none"/>
        </w:tabs>
        <w:spacing w:line="240" w:lineRule="auto" w:before="239" w:after="0"/>
        <w:ind w:left="1493" w:right="788" w:hanging="360"/>
        <w:jc w:val="both"/>
        <w:rPr>
          <w:sz w:val="24"/>
        </w:rPr>
      </w:pPr>
      <w:r>
        <w:rPr>
          <w:sz w:val="24"/>
        </w:rPr>
        <w:t>Exit</w:t>
      </w:r>
      <w:r>
        <w:rPr>
          <w:spacing w:val="40"/>
          <w:sz w:val="24"/>
        </w:rPr>
        <w:t> </w:t>
      </w:r>
      <w:r>
        <w:rPr>
          <w:sz w:val="24"/>
        </w:rPr>
        <w:t>doorways</w:t>
      </w:r>
      <w:r>
        <w:rPr>
          <w:spacing w:val="40"/>
          <w:sz w:val="24"/>
        </w:rPr>
        <w:t> </w:t>
      </w:r>
      <w:r>
        <w:rPr>
          <w:sz w:val="24"/>
        </w:rPr>
        <w:t>shall</w:t>
      </w:r>
      <w:r>
        <w:rPr>
          <w:spacing w:val="40"/>
          <w:sz w:val="24"/>
        </w:rPr>
        <w:t> </w:t>
      </w:r>
      <w:r>
        <w:rPr>
          <w:sz w:val="24"/>
        </w:rPr>
        <w:t>be</w:t>
      </w:r>
      <w:r>
        <w:rPr>
          <w:spacing w:val="40"/>
          <w:sz w:val="24"/>
        </w:rPr>
        <w:t> </w:t>
      </w:r>
      <w:r>
        <w:rPr>
          <w:sz w:val="24"/>
        </w:rPr>
        <w:t>open</w:t>
      </w:r>
      <w:r>
        <w:rPr>
          <w:spacing w:val="40"/>
          <w:sz w:val="24"/>
        </w:rPr>
        <w:t> </w:t>
      </w:r>
      <w:r>
        <w:rPr>
          <w:sz w:val="24"/>
        </w:rPr>
        <w:t>able</w:t>
      </w:r>
      <w:r>
        <w:rPr>
          <w:spacing w:val="40"/>
          <w:sz w:val="24"/>
        </w:rPr>
        <w:t> </w:t>
      </w:r>
      <w:r>
        <w:rPr>
          <w:sz w:val="24"/>
        </w:rPr>
        <w:t>from</w:t>
      </w:r>
      <w:r>
        <w:rPr>
          <w:spacing w:val="40"/>
          <w:sz w:val="24"/>
        </w:rPr>
        <w:t> </w:t>
      </w:r>
      <w:r>
        <w:rPr>
          <w:sz w:val="24"/>
        </w:rPr>
        <w:t>the</w:t>
      </w:r>
      <w:r>
        <w:rPr>
          <w:spacing w:val="40"/>
          <w:sz w:val="24"/>
        </w:rPr>
        <w:t> </w:t>
      </w:r>
      <w:r>
        <w:rPr>
          <w:sz w:val="24"/>
        </w:rPr>
        <w:t>side</w:t>
      </w:r>
      <w:r>
        <w:rPr>
          <w:spacing w:val="40"/>
          <w:sz w:val="24"/>
        </w:rPr>
        <w:t> </w:t>
      </w:r>
      <w:r>
        <w:rPr>
          <w:sz w:val="24"/>
        </w:rPr>
        <w:t>which</w:t>
      </w:r>
      <w:r>
        <w:rPr>
          <w:spacing w:val="40"/>
          <w:sz w:val="24"/>
        </w:rPr>
        <w:t> </w:t>
      </w:r>
      <w:r>
        <w:rPr>
          <w:sz w:val="24"/>
        </w:rPr>
        <w:t>they</w:t>
      </w:r>
      <w:r>
        <w:rPr>
          <w:spacing w:val="40"/>
          <w:sz w:val="24"/>
        </w:rPr>
        <w:t> </w:t>
      </w:r>
      <w:r>
        <w:rPr>
          <w:sz w:val="24"/>
        </w:rPr>
        <w:t>serve, without</w:t>
      </w:r>
      <w:r>
        <w:rPr>
          <w:spacing w:val="40"/>
          <w:sz w:val="24"/>
        </w:rPr>
        <w:t> </w:t>
      </w:r>
      <w:r>
        <w:rPr>
          <w:sz w:val="24"/>
        </w:rPr>
        <w:t>the</w:t>
      </w:r>
      <w:r>
        <w:rPr>
          <w:spacing w:val="40"/>
          <w:sz w:val="24"/>
        </w:rPr>
        <w:t> </w:t>
      </w:r>
      <w:r>
        <w:rPr>
          <w:sz w:val="24"/>
        </w:rPr>
        <w:t>use</w:t>
      </w:r>
      <w:r>
        <w:rPr>
          <w:spacing w:val="40"/>
          <w:sz w:val="24"/>
        </w:rPr>
        <w:t> </w:t>
      </w:r>
      <w:r>
        <w:rPr>
          <w:sz w:val="24"/>
        </w:rPr>
        <w:t>of</w:t>
      </w:r>
      <w:r>
        <w:rPr>
          <w:spacing w:val="40"/>
          <w:sz w:val="24"/>
        </w:rPr>
        <w:t> </w:t>
      </w:r>
      <w:r>
        <w:rPr>
          <w:sz w:val="24"/>
        </w:rPr>
        <w:t>a</w:t>
      </w:r>
      <w:r>
        <w:rPr>
          <w:spacing w:val="40"/>
          <w:sz w:val="24"/>
        </w:rPr>
        <w:t> </w:t>
      </w:r>
      <w:r>
        <w:rPr>
          <w:sz w:val="24"/>
        </w:rPr>
        <w:t>key.</w:t>
      </w:r>
    </w:p>
    <w:p>
      <w:pPr>
        <w:pStyle w:val="Heading6"/>
        <w:numPr>
          <w:ilvl w:val="1"/>
          <w:numId w:val="263"/>
        </w:numPr>
        <w:tabs>
          <w:tab w:pos="1625" w:val="left" w:leader="none"/>
        </w:tabs>
        <w:spacing w:line="240" w:lineRule="auto" w:before="238" w:after="0"/>
        <w:ind w:left="1625" w:right="0" w:hanging="492"/>
        <w:jc w:val="left"/>
        <w:rPr>
          <w:b w:val="0"/>
          <w:i w:val="0"/>
        </w:rPr>
      </w:pPr>
      <w:r>
        <w:rPr/>
        <w:t>Revolving</w:t>
      </w:r>
      <w:r>
        <w:rPr>
          <w:spacing w:val="54"/>
          <w:w w:val="150"/>
        </w:rPr>
        <w:t> </w:t>
      </w:r>
      <w:r>
        <w:rPr>
          <w:spacing w:val="-2"/>
        </w:rPr>
        <w:t>doors:</w:t>
      </w:r>
    </w:p>
    <w:p>
      <w:pPr>
        <w:pStyle w:val="ListParagraph"/>
        <w:numPr>
          <w:ilvl w:val="2"/>
          <w:numId w:val="263"/>
        </w:numPr>
        <w:tabs>
          <w:tab w:pos="1493" w:val="left" w:leader="none"/>
          <w:tab w:pos="1637" w:val="left" w:leader="none"/>
        </w:tabs>
        <w:spacing w:line="240" w:lineRule="auto" w:before="242" w:after="0"/>
        <w:ind w:left="1493" w:right="785" w:hanging="360"/>
        <w:jc w:val="both"/>
        <w:rPr>
          <w:sz w:val="24"/>
        </w:rPr>
      </w:pPr>
      <w:r>
        <w:rPr>
          <w:sz w:val="24"/>
        </w:rPr>
        <w:tab/>
        <w:t>Revolving</w:t>
      </w:r>
      <w:r>
        <w:rPr>
          <w:spacing w:val="40"/>
          <w:sz w:val="24"/>
        </w:rPr>
        <w:t> </w:t>
      </w:r>
      <w:r>
        <w:rPr>
          <w:sz w:val="24"/>
        </w:rPr>
        <w:t>doors</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used</w:t>
      </w:r>
      <w:r>
        <w:rPr>
          <w:spacing w:val="40"/>
          <w:sz w:val="24"/>
        </w:rPr>
        <w:t> </w:t>
      </w:r>
      <w:r>
        <w:rPr>
          <w:sz w:val="24"/>
        </w:rPr>
        <w:t>as</w:t>
      </w:r>
      <w:r>
        <w:rPr>
          <w:spacing w:val="40"/>
          <w:sz w:val="24"/>
        </w:rPr>
        <w:t> </w:t>
      </w:r>
      <w:r>
        <w:rPr>
          <w:sz w:val="24"/>
        </w:rPr>
        <w:t>required</w:t>
      </w:r>
      <w:r>
        <w:rPr>
          <w:spacing w:val="40"/>
          <w:sz w:val="24"/>
        </w:rPr>
        <w:t> </w:t>
      </w:r>
      <w:r>
        <w:rPr>
          <w:sz w:val="24"/>
        </w:rPr>
        <w:t>exits</w:t>
      </w:r>
      <w:r>
        <w:rPr>
          <w:spacing w:val="40"/>
          <w:sz w:val="24"/>
        </w:rPr>
        <w:t> </w:t>
      </w:r>
      <w:r>
        <w:rPr>
          <w:sz w:val="24"/>
        </w:rPr>
        <w:t>except</w:t>
      </w:r>
      <w:r>
        <w:rPr>
          <w:spacing w:val="40"/>
          <w:sz w:val="24"/>
        </w:rPr>
        <w:t> </w:t>
      </w:r>
      <w:r>
        <w:rPr>
          <w:sz w:val="24"/>
        </w:rPr>
        <w:t>in residential,</w:t>
      </w:r>
      <w:r>
        <w:rPr>
          <w:spacing w:val="40"/>
          <w:sz w:val="24"/>
        </w:rPr>
        <w:t> </w:t>
      </w:r>
      <w:r>
        <w:rPr>
          <w:sz w:val="24"/>
        </w:rPr>
        <w:t>business</w:t>
      </w:r>
      <w:r>
        <w:rPr>
          <w:spacing w:val="40"/>
          <w:sz w:val="24"/>
        </w:rPr>
        <w:t> </w:t>
      </w:r>
      <w:r>
        <w:rPr>
          <w:sz w:val="24"/>
        </w:rPr>
        <w:t>and</w:t>
      </w:r>
      <w:r>
        <w:rPr>
          <w:spacing w:val="40"/>
          <w:sz w:val="24"/>
        </w:rPr>
        <w:t> </w:t>
      </w:r>
      <w:r>
        <w:rPr>
          <w:sz w:val="24"/>
        </w:rPr>
        <w:t>mercantile</w:t>
      </w:r>
      <w:r>
        <w:rPr>
          <w:spacing w:val="40"/>
          <w:sz w:val="24"/>
        </w:rPr>
        <w:t> </w:t>
      </w:r>
      <w:r>
        <w:rPr>
          <w:sz w:val="24"/>
        </w:rPr>
        <w:t>occupancies;</w:t>
      </w:r>
      <w:r>
        <w:rPr>
          <w:spacing w:val="40"/>
          <w:sz w:val="24"/>
        </w:rPr>
        <w:t> </w:t>
      </w:r>
      <w:r>
        <w:rPr>
          <w:sz w:val="24"/>
        </w:rPr>
        <w:t>they</w:t>
      </w:r>
      <w:r>
        <w:rPr>
          <w:spacing w:val="40"/>
          <w:sz w:val="24"/>
        </w:rPr>
        <w:t> </w:t>
      </w:r>
      <w:r>
        <w:rPr>
          <w:sz w:val="24"/>
        </w:rPr>
        <w:t>shall</w:t>
      </w:r>
      <w:r>
        <w:rPr>
          <w:spacing w:val="40"/>
          <w:sz w:val="24"/>
        </w:rPr>
        <w:t> </w:t>
      </w:r>
      <w:r>
        <w:rPr>
          <w:sz w:val="24"/>
        </w:rPr>
        <w:t>not constitute</w:t>
      </w:r>
      <w:r>
        <w:rPr>
          <w:spacing w:val="40"/>
          <w:sz w:val="24"/>
        </w:rPr>
        <w:t> </w:t>
      </w:r>
      <w:r>
        <w:rPr>
          <w:sz w:val="24"/>
        </w:rPr>
        <w:t>more</w:t>
      </w:r>
      <w:r>
        <w:rPr>
          <w:spacing w:val="40"/>
          <w:sz w:val="24"/>
        </w:rPr>
        <w:t> </w:t>
      </w:r>
      <w:r>
        <w:rPr>
          <w:sz w:val="24"/>
        </w:rPr>
        <w:t>than</w:t>
      </w:r>
      <w:r>
        <w:rPr>
          <w:spacing w:val="40"/>
          <w:sz w:val="24"/>
        </w:rPr>
        <w:t> </w:t>
      </w:r>
      <w:r>
        <w:rPr>
          <w:sz w:val="24"/>
        </w:rPr>
        <w:t>half</w:t>
      </w:r>
      <w:r>
        <w:rPr>
          <w:spacing w:val="40"/>
          <w:sz w:val="24"/>
        </w:rPr>
        <w:t> </w:t>
      </w:r>
      <w:r>
        <w:rPr>
          <w:sz w:val="24"/>
        </w:rPr>
        <w:t>the</w:t>
      </w:r>
      <w:r>
        <w:rPr>
          <w:spacing w:val="40"/>
          <w:sz w:val="24"/>
        </w:rPr>
        <w:t> </w:t>
      </w:r>
      <w:r>
        <w:rPr>
          <w:sz w:val="24"/>
        </w:rPr>
        <w:t>total</w:t>
      </w:r>
      <w:r>
        <w:rPr>
          <w:spacing w:val="40"/>
          <w:sz w:val="24"/>
        </w:rPr>
        <w:t> </w:t>
      </w:r>
      <w:r>
        <w:rPr>
          <w:sz w:val="24"/>
        </w:rPr>
        <w:t>required</w:t>
      </w:r>
      <w:r>
        <w:rPr>
          <w:spacing w:val="40"/>
          <w:sz w:val="24"/>
        </w:rPr>
        <w:t> </w:t>
      </w:r>
      <w:r>
        <w:rPr>
          <w:sz w:val="24"/>
        </w:rPr>
        <w:t>door</w:t>
      </w:r>
      <w:r>
        <w:rPr>
          <w:spacing w:val="40"/>
          <w:sz w:val="24"/>
        </w:rPr>
        <w:t> </w:t>
      </w:r>
      <w:r>
        <w:rPr>
          <w:spacing w:val="9"/>
          <w:sz w:val="24"/>
        </w:rPr>
        <w:t>width.</w:t>
      </w:r>
    </w:p>
    <w:p>
      <w:pPr>
        <w:pStyle w:val="ListParagraph"/>
        <w:numPr>
          <w:ilvl w:val="2"/>
          <w:numId w:val="263"/>
        </w:numPr>
        <w:tabs>
          <w:tab w:pos="1539" w:val="left" w:leader="none"/>
        </w:tabs>
        <w:spacing w:line="240" w:lineRule="auto" w:before="242" w:after="0"/>
        <w:ind w:left="1539" w:right="0" w:hanging="406"/>
        <w:jc w:val="left"/>
        <w:rPr>
          <w:sz w:val="24"/>
        </w:rPr>
      </w:pPr>
      <w:r>
        <w:rPr>
          <w:sz w:val="24"/>
        </w:rPr>
        <w:t>When</w:t>
      </w:r>
      <w:r>
        <w:rPr>
          <w:spacing w:val="62"/>
          <w:sz w:val="24"/>
        </w:rPr>
        <w:t> </w:t>
      </w:r>
      <w:r>
        <w:rPr>
          <w:sz w:val="24"/>
        </w:rPr>
        <w:t>revolving</w:t>
      </w:r>
      <w:r>
        <w:rPr>
          <w:spacing w:val="64"/>
          <w:sz w:val="24"/>
        </w:rPr>
        <w:t> </w:t>
      </w:r>
      <w:r>
        <w:rPr>
          <w:sz w:val="24"/>
        </w:rPr>
        <w:t>doors</w:t>
      </w:r>
      <w:r>
        <w:rPr>
          <w:spacing w:val="62"/>
          <w:sz w:val="24"/>
        </w:rPr>
        <w:t> </w:t>
      </w:r>
      <w:r>
        <w:rPr>
          <w:sz w:val="24"/>
        </w:rPr>
        <w:t>are</w:t>
      </w:r>
      <w:r>
        <w:rPr>
          <w:spacing w:val="61"/>
          <w:sz w:val="24"/>
        </w:rPr>
        <w:t> </w:t>
      </w:r>
      <w:r>
        <w:rPr>
          <w:sz w:val="24"/>
        </w:rPr>
        <w:t>considered</w:t>
      </w:r>
      <w:r>
        <w:rPr>
          <w:spacing w:val="61"/>
          <w:sz w:val="24"/>
        </w:rPr>
        <w:t> </w:t>
      </w:r>
      <w:r>
        <w:rPr>
          <w:sz w:val="24"/>
        </w:rPr>
        <w:t>as</w:t>
      </w:r>
      <w:r>
        <w:rPr>
          <w:spacing w:val="62"/>
          <w:sz w:val="24"/>
        </w:rPr>
        <w:t> </w:t>
      </w:r>
      <w:r>
        <w:rPr>
          <w:sz w:val="24"/>
        </w:rPr>
        <w:t>required</w:t>
      </w:r>
      <w:r>
        <w:rPr>
          <w:spacing w:val="64"/>
          <w:sz w:val="24"/>
        </w:rPr>
        <w:t> </w:t>
      </w:r>
      <w:r>
        <w:rPr>
          <w:sz w:val="24"/>
        </w:rPr>
        <w:t>exit</w:t>
      </w:r>
      <w:r>
        <w:rPr>
          <w:spacing w:val="65"/>
          <w:sz w:val="24"/>
        </w:rPr>
        <w:t> </w:t>
      </w:r>
      <w:r>
        <w:rPr>
          <w:spacing w:val="-2"/>
          <w:sz w:val="24"/>
        </w:rPr>
        <w:t>ways-</w:t>
      </w:r>
    </w:p>
    <w:p>
      <w:pPr>
        <w:pStyle w:val="ListParagraph"/>
        <w:numPr>
          <w:ilvl w:val="3"/>
          <w:numId w:val="263"/>
        </w:numPr>
        <w:tabs>
          <w:tab w:pos="1548" w:val="left" w:leader="none"/>
        </w:tabs>
        <w:spacing w:line="240" w:lineRule="auto" w:before="239" w:after="0"/>
        <w:ind w:left="1548" w:right="0" w:hanging="415"/>
        <w:jc w:val="left"/>
        <w:rPr>
          <w:sz w:val="24"/>
        </w:rPr>
      </w:pPr>
      <w:r>
        <w:rPr>
          <w:sz w:val="24"/>
        </w:rPr>
        <w:t>the</w:t>
      </w:r>
      <w:r>
        <w:rPr>
          <w:spacing w:val="48"/>
          <w:sz w:val="24"/>
        </w:rPr>
        <w:t> </w:t>
      </w:r>
      <w:r>
        <w:rPr>
          <w:sz w:val="24"/>
        </w:rPr>
        <w:t>multiplier</w:t>
      </w:r>
      <w:r>
        <w:rPr>
          <w:spacing w:val="46"/>
          <w:sz w:val="24"/>
        </w:rPr>
        <w:t> </w:t>
      </w:r>
      <w:r>
        <w:rPr>
          <w:sz w:val="24"/>
        </w:rPr>
        <w:t>in</w:t>
      </w:r>
      <w:r>
        <w:rPr>
          <w:spacing w:val="50"/>
          <w:sz w:val="24"/>
        </w:rPr>
        <w:t> </w:t>
      </w:r>
      <w:r>
        <w:rPr>
          <w:sz w:val="24"/>
        </w:rPr>
        <w:t>Table</w:t>
      </w:r>
      <w:r>
        <w:rPr>
          <w:spacing w:val="51"/>
          <w:sz w:val="24"/>
        </w:rPr>
        <w:t> </w:t>
      </w:r>
      <w:r>
        <w:rPr>
          <w:sz w:val="24"/>
        </w:rPr>
        <w:t>22</w:t>
      </w:r>
      <w:r>
        <w:rPr>
          <w:spacing w:val="49"/>
          <w:sz w:val="24"/>
        </w:rPr>
        <w:t> </w:t>
      </w:r>
      <w:r>
        <w:rPr>
          <w:sz w:val="24"/>
        </w:rPr>
        <w:t>shall</w:t>
      </w:r>
      <w:r>
        <w:rPr>
          <w:spacing w:val="46"/>
          <w:sz w:val="24"/>
        </w:rPr>
        <w:t> </w:t>
      </w:r>
      <w:r>
        <w:rPr>
          <w:sz w:val="24"/>
        </w:rPr>
        <w:t>be</w:t>
      </w:r>
      <w:r>
        <w:rPr>
          <w:spacing w:val="50"/>
          <w:sz w:val="24"/>
        </w:rPr>
        <w:t> </w:t>
      </w:r>
      <w:r>
        <w:rPr>
          <w:sz w:val="24"/>
        </w:rPr>
        <w:t>increased</w:t>
      </w:r>
      <w:r>
        <w:rPr>
          <w:spacing w:val="47"/>
          <w:sz w:val="24"/>
        </w:rPr>
        <w:t> </w:t>
      </w:r>
      <w:r>
        <w:rPr>
          <w:sz w:val="24"/>
        </w:rPr>
        <w:t>by</w:t>
      </w:r>
      <w:r>
        <w:rPr>
          <w:spacing w:val="50"/>
          <w:sz w:val="24"/>
        </w:rPr>
        <w:t> </w:t>
      </w:r>
      <w:r>
        <w:rPr>
          <w:sz w:val="24"/>
        </w:rPr>
        <w:t>33</w:t>
      </w:r>
      <w:r>
        <w:rPr>
          <w:spacing w:val="46"/>
          <w:sz w:val="24"/>
        </w:rPr>
        <w:t> </w:t>
      </w:r>
      <w:r>
        <w:rPr>
          <w:sz w:val="24"/>
        </w:rPr>
        <w:t>1/3</w:t>
      </w:r>
      <w:r>
        <w:rPr>
          <w:spacing w:val="47"/>
          <w:sz w:val="24"/>
        </w:rPr>
        <w:t> </w:t>
      </w:r>
      <w:r>
        <w:rPr>
          <w:sz w:val="24"/>
        </w:rPr>
        <w:t>per</w:t>
      </w:r>
      <w:r>
        <w:rPr>
          <w:spacing w:val="46"/>
          <w:sz w:val="24"/>
        </w:rPr>
        <w:t> </w:t>
      </w:r>
      <w:r>
        <w:rPr>
          <w:sz w:val="24"/>
        </w:rPr>
        <w:t>cent,</w:t>
      </w:r>
      <w:r>
        <w:rPr>
          <w:spacing w:val="47"/>
          <w:sz w:val="24"/>
        </w:rPr>
        <w:t> </w:t>
      </w:r>
      <w:r>
        <w:rPr>
          <w:spacing w:val="-4"/>
          <w:sz w:val="24"/>
        </w:rPr>
        <w:t>and;</w:t>
      </w:r>
    </w:p>
    <w:p>
      <w:pPr>
        <w:pStyle w:val="ListParagraph"/>
        <w:numPr>
          <w:ilvl w:val="3"/>
          <w:numId w:val="263"/>
        </w:numPr>
        <w:tabs>
          <w:tab w:pos="1493" w:val="left" w:leader="none"/>
          <w:tab w:pos="1591" w:val="left" w:leader="none"/>
        </w:tabs>
        <w:spacing w:line="240" w:lineRule="auto" w:before="239" w:after="0"/>
        <w:ind w:left="1493" w:right="775" w:hanging="360"/>
        <w:jc w:val="both"/>
        <w:rPr>
          <w:sz w:val="24"/>
        </w:rPr>
      </w:pPr>
      <w:r>
        <w:rPr>
          <w:sz w:val="24"/>
        </w:rPr>
        <w:tab/>
        <w:t>revolving</w:t>
      </w:r>
      <w:r>
        <w:rPr>
          <w:spacing w:val="40"/>
          <w:sz w:val="24"/>
        </w:rPr>
        <w:t> </w:t>
      </w:r>
      <w:r>
        <w:rPr>
          <w:sz w:val="24"/>
        </w:rPr>
        <w:t>doors</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located</w:t>
      </w:r>
      <w:r>
        <w:rPr>
          <w:spacing w:val="40"/>
          <w:sz w:val="24"/>
        </w:rPr>
        <w:t> </w:t>
      </w:r>
      <w:r>
        <w:rPr>
          <w:sz w:val="24"/>
        </w:rPr>
        <w:t>at</w:t>
      </w:r>
      <w:r>
        <w:rPr>
          <w:spacing w:val="40"/>
          <w:sz w:val="24"/>
        </w:rPr>
        <w:t> </w:t>
      </w:r>
      <w:r>
        <w:rPr>
          <w:sz w:val="24"/>
        </w:rPr>
        <w:t>the</w:t>
      </w:r>
      <w:r>
        <w:rPr>
          <w:spacing w:val="40"/>
          <w:sz w:val="24"/>
        </w:rPr>
        <w:t> </w:t>
      </w:r>
      <w:r>
        <w:rPr>
          <w:sz w:val="24"/>
        </w:rPr>
        <w:t>foot</w:t>
      </w:r>
      <w:r>
        <w:rPr>
          <w:spacing w:val="40"/>
          <w:sz w:val="24"/>
        </w:rPr>
        <w:t> </w:t>
      </w:r>
      <w:r>
        <w:rPr>
          <w:sz w:val="24"/>
        </w:rPr>
        <w:t>of</w:t>
      </w:r>
      <w:r>
        <w:rPr>
          <w:spacing w:val="40"/>
          <w:sz w:val="24"/>
        </w:rPr>
        <w:t> </w:t>
      </w:r>
      <w:r>
        <w:rPr>
          <w:sz w:val="24"/>
        </w:rPr>
        <w:t>a</w:t>
      </w:r>
      <w:r>
        <w:rPr>
          <w:spacing w:val="40"/>
          <w:sz w:val="24"/>
        </w:rPr>
        <w:t> </w:t>
      </w:r>
      <w:r>
        <w:rPr>
          <w:sz w:val="24"/>
        </w:rPr>
        <w:t>stairway.</w:t>
      </w:r>
      <w:r>
        <w:rPr>
          <w:spacing w:val="40"/>
          <w:sz w:val="24"/>
        </w:rPr>
        <w:t> </w:t>
      </w:r>
      <w:r>
        <w:rPr>
          <w:sz w:val="24"/>
        </w:rPr>
        <w:t>Any stairway served by a revolving door shall discharge through a lobby or</w:t>
      </w:r>
      <w:r>
        <w:rPr>
          <w:spacing w:val="40"/>
          <w:sz w:val="24"/>
        </w:rPr>
        <w:t> </w:t>
      </w:r>
      <w:r>
        <w:rPr>
          <w:spacing w:val="-2"/>
          <w:sz w:val="24"/>
        </w:rPr>
        <w:t>foyer.</w:t>
      </w:r>
    </w:p>
    <w:p>
      <w:pPr>
        <w:pStyle w:val="Heading6"/>
        <w:numPr>
          <w:ilvl w:val="1"/>
          <w:numId w:val="263"/>
        </w:numPr>
        <w:tabs>
          <w:tab w:pos="1539" w:val="left" w:leader="none"/>
        </w:tabs>
        <w:spacing w:line="240" w:lineRule="auto" w:before="240" w:after="0"/>
        <w:ind w:left="1539" w:right="0" w:hanging="406"/>
        <w:jc w:val="left"/>
        <w:rPr>
          <w:b w:val="0"/>
          <w:i w:val="0"/>
        </w:rPr>
      </w:pPr>
      <w:r>
        <w:rPr/>
        <w:t>Internal</w:t>
      </w:r>
      <w:r>
        <w:rPr>
          <w:spacing w:val="42"/>
          <w:w w:val="150"/>
        </w:rPr>
        <w:t> </w:t>
      </w:r>
      <w:r>
        <w:rPr>
          <w:spacing w:val="-2"/>
        </w:rPr>
        <w:t>stairways</w:t>
      </w:r>
      <w:r>
        <w:rPr>
          <w:b w:val="0"/>
          <w:i w:val="0"/>
          <w:spacing w:val="-2"/>
        </w:rPr>
        <w:t>-</w:t>
      </w:r>
    </w:p>
    <w:p>
      <w:pPr>
        <w:pStyle w:val="ListParagraph"/>
        <w:numPr>
          <w:ilvl w:val="2"/>
          <w:numId w:val="263"/>
        </w:numPr>
        <w:tabs>
          <w:tab w:pos="1490" w:val="left" w:leader="none"/>
          <w:tab w:pos="1493" w:val="left" w:leader="none"/>
        </w:tabs>
        <w:spacing w:line="240" w:lineRule="auto" w:before="242" w:after="0"/>
        <w:ind w:left="1493" w:right="786" w:hanging="360"/>
        <w:jc w:val="both"/>
        <w:rPr>
          <w:sz w:val="24"/>
        </w:rPr>
      </w:pPr>
      <w:r>
        <w:rPr>
          <w:sz w:val="24"/>
        </w:rPr>
        <w:t>Stairways</w:t>
      </w:r>
      <w:r>
        <w:rPr>
          <w:spacing w:val="40"/>
          <w:sz w:val="24"/>
        </w:rPr>
        <w:t> </w:t>
      </w:r>
      <w:r>
        <w:rPr>
          <w:sz w:val="24"/>
        </w:rPr>
        <w:t>shall</w:t>
      </w:r>
      <w:r>
        <w:rPr>
          <w:spacing w:val="40"/>
          <w:sz w:val="24"/>
        </w:rPr>
        <w:t> </w:t>
      </w:r>
      <w:r>
        <w:rPr>
          <w:sz w:val="24"/>
        </w:rPr>
        <w:t>be</w:t>
      </w:r>
      <w:r>
        <w:rPr>
          <w:spacing w:val="40"/>
          <w:sz w:val="24"/>
        </w:rPr>
        <w:t> </w:t>
      </w:r>
      <w:r>
        <w:rPr>
          <w:sz w:val="24"/>
        </w:rPr>
        <w:t>constructed</w:t>
      </w:r>
      <w:r>
        <w:rPr>
          <w:spacing w:val="40"/>
          <w:sz w:val="24"/>
        </w:rPr>
        <w:t> </w:t>
      </w:r>
      <w:r>
        <w:rPr>
          <w:sz w:val="24"/>
        </w:rPr>
        <w:t>of</w:t>
      </w:r>
      <w:r>
        <w:rPr>
          <w:spacing w:val="40"/>
          <w:sz w:val="24"/>
        </w:rPr>
        <w:t> </w:t>
      </w:r>
      <w:r>
        <w:rPr>
          <w:spacing w:val="10"/>
          <w:sz w:val="24"/>
        </w:rPr>
        <w:t>non-</w:t>
      </w:r>
      <w:r>
        <w:rPr>
          <w:sz w:val="24"/>
        </w:rPr>
        <w:t>combustible</w:t>
      </w:r>
      <w:r>
        <w:rPr>
          <w:spacing w:val="40"/>
          <w:sz w:val="24"/>
        </w:rPr>
        <w:t> </w:t>
      </w:r>
      <w:r>
        <w:rPr>
          <w:sz w:val="24"/>
        </w:rPr>
        <w:t>materials </w:t>
      </w:r>
      <w:r>
        <w:rPr>
          <w:spacing w:val="7"/>
          <w:sz w:val="24"/>
        </w:rPr>
        <w:t>throughout.</w:t>
      </w:r>
    </w:p>
    <w:p>
      <w:pPr>
        <w:pStyle w:val="ListParagraph"/>
        <w:numPr>
          <w:ilvl w:val="2"/>
          <w:numId w:val="263"/>
        </w:numPr>
        <w:tabs>
          <w:tab w:pos="1493" w:val="left" w:leader="none"/>
          <w:tab w:pos="1575" w:val="left" w:leader="none"/>
        </w:tabs>
        <w:spacing w:line="240" w:lineRule="auto" w:before="241" w:after="0"/>
        <w:ind w:left="1493" w:right="781" w:hanging="360"/>
        <w:jc w:val="both"/>
        <w:rPr>
          <w:sz w:val="24"/>
        </w:rPr>
      </w:pPr>
      <w:r>
        <w:rPr>
          <w:sz w:val="24"/>
        </w:rPr>
        <w:tab/>
        <w:t>Any</w:t>
      </w:r>
      <w:r>
        <w:rPr>
          <w:spacing w:val="40"/>
          <w:sz w:val="24"/>
        </w:rPr>
        <w:t> </w:t>
      </w:r>
      <w:r>
        <w:rPr>
          <w:sz w:val="24"/>
        </w:rPr>
        <w:t>interior</w:t>
      </w:r>
      <w:r>
        <w:rPr>
          <w:spacing w:val="40"/>
          <w:sz w:val="24"/>
        </w:rPr>
        <w:t> </w:t>
      </w:r>
      <w:r>
        <w:rPr>
          <w:sz w:val="24"/>
        </w:rPr>
        <w:t>staircase</w:t>
      </w:r>
      <w:r>
        <w:rPr>
          <w:spacing w:val="40"/>
          <w:sz w:val="24"/>
        </w:rPr>
        <w:t> </w:t>
      </w:r>
      <w:r>
        <w:rPr>
          <w:sz w:val="24"/>
        </w:rPr>
        <w:t>shall</w:t>
      </w:r>
      <w:r>
        <w:rPr>
          <w:spacing w:val="40"/>
          <w:sz w:val="24"/>
        </w:rPr>
        <w:t> </w:t>
      </w:r>
      <w:r>
        <w:rPr>
          <w:sz w:val="24"/>
        </w:rPr>
        <w:t>be</w:t>
      </w:r>
      <w:r>
        <w:rPr>
          <w:spacing w:val="40"/>
          <w:sz w:val="24"/>
        </w:rPr>
        <w:t> </w:t>
      </w:r>
      <w:r>
        <w:rPr>
          <w:sz w:val="24"/>
        </w:rPr>
        <w:t>constructed</w:t>
      </w:r>
      <w:r>
        <w:rPr>
          <w:spacing w:val="40"/>
          <w:sz w:val="24"/>
        </w:rPr>
        <w:t> </w:t>
      </w:r>
      <w:r>
        <w:rPr>
          <w:sz w:val="24"/>
        </w:rPr>
        <w:t>as</w:t>
      </w:r>
      <w:r>
        <w:rPr>
          <w:spacing w:val="40"/>
          <w:sz w:val="24"/>
        </w:rPr>
        <w:t> </w:t>
      </w:r>
      <w:r>
        <w:rPr>
          <w:sz w:val="24"/>
        </w:rPr>
        <w:t>a</w:t>
      </w:r>
      <w:r>
        <w:rPr>
          <w:spacing w:val="40"/>
          <w:sz w:val="24"/>
        </w:rPr>
        <w:t> </w:t>
      </w:r>
      <w:r>
        <w:rPr>
          <w:spacing w:val="12"/>
          <w:sz w:val="24"/>
        </w:rPr>
        <w:t>self-</w:t>
      </w:r>
      <w:r>
        <w:rPr>
          <w:sz w:val="24"/>
        </w:rPr>
        <w:t>contained</w:t>
      </w:r>
      <w:r>
        <w:rPr>
          <w:spacing w:val="40"/>
          <w:sz w:val="24"/>
        </w:rPr>
        <w:t> </w:t>
      </w:r>
      <w:r>
        <w:rPr>
          <w:sz w:val="24"/>
        </w:rPr>
        <w:t>unit</w:t>
      </w:r>
      <w:r>
        <w:rPr>
          <w:spacing w:val="80"/>
          <w:sz w:val="24"/>
        </w:rPr>
        <w:t> </w:t>
      </w:r>
      <w:r>
        <w:rPr>
          <w:sz w:val="24"/>
        </w:rPr>
        <w:t>with</w:t>
      </w:r>
      <w:r>
        <w:rPr>
          <w:spacing w:val="40"/>
          <w:sz w:val="24"/>
        </w:rPr>
        <w:t> </w:t>
      </w:r>
      <w:r>
        <w:rPr>
          <w:sz w:val="24"/>
        </w:rPr>
        <w:t>atleast</w:t>
      </w:r>
      <w:r>
        <w:rPr>
          <w:spacing w:val="40"/>
          <w:sz w:val="24"/>
        </w:rPr>
        <w:t> </w:t>
      </w:r>
      <w:r>
        <w:rPr>
          <w:sz w:val="24"/>
        </w:rPr>
        <w:t>one</w:t>
      </w:r>
      <w:r>
        <w:rPr>
          <w:spacing w:val="40"/>
          <w:sz w:val="24"/>
        </w:rPr>
        <w:t> </w:t>
      </w:r>
      <w:r>
        <w:rPr>
          <w:sz w:val="24"/>
        </w:rPr>
        <w:t>side</w:t>
      </w:r>
      <w:r>
        <w:rPr>
          <w:spacing w:val="40"/>
          <w:sz w:val="24"/>
        </w:rPr>
        <w:t> </w:t>
      </w:r>
      <w:r>
        <w:rPr>
          <w:sz w:val="24"/>
        </w:rPr>
        <w:t>adjacent</w:t>
      </w:r>
      <w:r>
        <w:rPr>
          <w:spacing w:val="40"/>
          <w:sz w:val="24"/>
        </w:rPr>
        <w:t> </w:t>
      </w:r>
      <w:r>
        <w:rPr>
          <w:sz w:val="24"/>
        </w:rPr>
        <w:t>to</w:t>
      </w:r>
      <w:r>
        <w:rPr>
          <w:spacing w:val="40"/>
          <w:sz w:val="24"/>
        </w:rPr>
        <w:t> </w:t>
      </w:r>
      <w:r>
        <w:rPr>
          <w:sz w:val="24"/>
        </w:rPr>
        <w:t>an</w:t>
      </w:r>
      <w:r>
        <w:rPr>
          <w:spacing w:val="40"/>
          <w:sz w:val="24"/>
        </w:rPr>
        <w:t> </w:t>
      </w:r>
      <w:r>
        <w:rPr>
          <w:sz w:val="24"/>
        </w:rPr>
        <w:t>external</w:t>
      </w:r>
      <w:r>
        <w:rPr>
          <w:spacing w:val="40"/>
          <w:sz w:val="24"/>
        </w:rPr>
        <w:t> </w:t>
      </w:r>
      <w:r>
        <w:rPr>
          <w:sz w:val="24"/>
        </w:rPr>
        <w:t>wall</w:t>
      </w:r>
      <w:r>
        <w:rPr>
          <w:spacing w:val="40"/>
          <w:sz w:val="24"/>
        </w:rPr>
        <w:t> </w:t>
      </w:r>
      <w:r>
        <w:rPr>
          <w:sz w:val="24"/>
        </w:rPr>
        <w:t>and</w:t>
      </w:r>
      <w:r>
        <w:rPr>
          <w:spacing w:val="40"/>
          <w:sz w:val="24"/>
        </w:rPr>
        <w:t> </w:t>
      </w:r>
      <w:r>
        <w:rPr>
          <w:sz w:val="24"/>
        </w:rPr>
        <w:t>shall</w:t>
      </w:r>
      <w:r>
        <w:rPr>
          <w:spacing w:val="40"/>
          <w:sz w:val="24"/>
        </w:rPr>
        <w:t> </w:t>
      </w:r>
      <w:r>
        <w:rPr>
          <w:sz w:val="24"/>
        </w:rPr>
        <w:t>be completely </w:t>
      </w:r>
      <w:r>
        <w:rPr>
          <w:spacing w:val="9"/>
          <w:sz w:val="24"/>
        </w:rPr>
        <w:t>closed.</w:t>
      </w:r>
    </w:p>
    <w:p>
      <w:pPr>
        <w:pStyle w:val="ListParagraph"/>
        <w:numPr>
          <w:ilvl w:val="2"/>
          <w:numId w:val="263"/>
        </w:numPr>
        <w:tabs>
          <w:tab w:pos="1493" w:val="left" w:leader="none"/>
          <w:tab w:pos="1524" w:val="left" w:leader="none"/>
        </w:tabs>
        <w:spacing w:line="240" w:lineRule="auto" w:before="239" w:after="0"/>
        <w:ind w:left="1493" w:right="778" w:hanging="360"/>
        <w:jc w:val="both"/>
        <w:rPr>
          <w:sz w:val="24"/>
        </w:rPr>
      </w:pPr>
      <w:r>
        <w:rPr>
          <w:sz w:val="24"/>
        </w:rPr>
        <w:t>A</w:t>
      </w:r>
      <w:r>
        <w:rPr>
          <w:spacing w:val="80"/>
          <w:sz w:val="24"/>
        </w:rPr>
        <w:t> </w:t>
      </w:r>
      <w:r>
        <w:rPr>
          <w:sz w:val="24"/>
        </w:rPr>
        <w:t>staircase</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arranged</w:t>
      </w:r>
      <w:r>
        <w:rPr>
          <w:spacing w:val="71"/>
          <w:sz w:val="24"/>
        </w:rPr>
        <w:t> </w:t>
      </w:r>
      <w:r>
        <w:rPr>
          <w:sz w:val="24"/>
        </w:rPr>
        <w:t>around</w:t>
      </w:r>
      <w:r>
        <w:rPr>
          <w:spacing w:val="40"/>
          <w:sz w:val="24"/>
        </w:rPr>
        <w:t> </w:t>
      </w:r>
      <w:r>
        <w:rPr>
          <w:sz w:val="24"/>
        </w:rPr>
        <w:t>a</w:t>
      </w:r>
      <w:r>
        <w:rPr>
          <w:spacing w:val="40"/>
          <w:sz w:val="24"/>
        </w:rPr>
        <w:t> </w:t>
      </w:r>
      <w:r>
        <w:rPr>
          <w:sz w:val="24"/>
        </w:rPr>
        <w:t>lift</w:t>
      </w:r>
      <w:r>
        <w:rPr>
          <w:spacing w:val="40"/>
          <w:sz w:val="24"/>
        </w:rPr>
        <w:t> </w:t>
      </w:r>
      <w:r>
        <w:rPr>
          <w:sz w:val="24"/>
        </w:rPr>
        <w:t>shaft</w:t>
      </w:r>
      <w:r>
        <w:rPr>
          <w:spacing w:val="40"/>
          <w:sz w:val="24"/>
        </w:rPr>
        <w:t> </w:t>
      </w:r>
      <w:r>
        <w:rPr>
          <w:sz w:val="24"/>
        </w:rPr>
        <w:t>unless</w:t>
      </w:r>
      <w:r>
        <w:rPr>
          <w:spacing w:val="40"/>
          <w:sz w:val="24"/>
        </w:rPr>
        <w:t> </w:t>
      </w:r>
      <w:r>
        <w:rPr>
          <w:sz w:val="24"/>
        </w:rPr>
        <w:t>the</w:t>
      </w:r>
      <w:r>
        <w:rPr>
          <w:spacing w:val="40"/>
          <w:sz w:val="24"/>
        </w:rPr>
        <w:t> </w:t>
      </w:r>
      <w:r>
        <w:rPr>
          <w:spacing w:val="9"/>
          <w:sz w:val="24"/>
        </w:rPr>
        <w:t>latter</w:t>
      </w:r>
      <w:r>
        <w:rPr>
          <w:spacing w:val="40"/>
          <w:sz w:val="24"/>
        </w:rPr>
        <w:t> </w:t>
      </w:r>
      <w:r>
        <w:rPr>
          <w:sz w:val="24"/>
        </w:rPr>
        <w:t>is</w:t>
      </w:r>
      <w:r>
        <w:rPr>
          <w:spacing w:val="73"/>
          <w:sz w:val="24"/>
        </w:rPr>
        <w:t> </w:t>
      </w:r>
      <w:r>
        <w:rPr>
          <w:sz w:val="24"/>
        </w:rPr>
        <w:t>entirely</w:t>
      </w:r>
      <w:r>
        <w:rPr>
          <w:spacing w:val="78"/>
          <w:sz w:val="24"/>
        </w:rPr>
        <w:t> </w:t>
      </w:r>
      <w:r>
        <w:rPr>
          <w:sz w:val="24"/>
        </w:rPr>
        <w:t>enclosed</w:t>
      </w:r>
      <w:r>
        <w:rPr>
          <w:spacing w:val="73"/>
          <w:sz w:val="24"/>
        </w:rPr>
        <w:t> </w:t>
      </w:r>
      <w:r>
        <w:rPr>
          <w:sz w:val="24"/>
        </w:rPr>
        <w:t>by</w:t>
      </w:r>
      <w:r>
        <w:rPr>
          <w:spacing w:val="74"/>
          <w:sz w:val="24"/>
        </w:rPr>
        <w:t> </w:t>
      </w:r>
      <w:r>
        <w:rPr>
          <w:sz w:val="24"/>
        </w:rPr>
        <w:t>a</w:t>
      </w:r>
      <w:r>
        <w:rPr>
          <w:spacing w:val="76"/>
          <w:sz w:val="24"/>
        </w:rPr>
        <w:t> </w:t>
      </w:r>
      <w:r>
        <w:rPr>
          <w:sz w:val="24"/>
        </w:rPr>
        <w:t>material</w:t>
      </w:r>
      <w:r>
        <w:rPr>
          <w:spacing w:val="78"/>
          <w:sz w:val="24"/>
        </w:rPr>
        <w:t> </w:t>
      </w:r>
      <w:r>
        <w:rPr>
          <w:sz w:val="24"/>
        </w:rPr>
        <w:t>of</w:t>
      </w:r>
      <w:r>
        <w:rPr>
          <w:spacing w:val="77"/>
          <w:sz w:val="24"/>
        </w:rPr>
        <w:t> </w:t>
      </w:r>
      <w:r>
        <w:rPr>
          <w:sz w:val="24"/>
        </w:rPr>
        <w:t>fire</w:t>
      </w:r>
      <w:r>
        <w:rPr>
          <w:spacing w:val="74"/>
          <w:sz w:val="24"/>
        </w:rPr>
        <w:t> </w:t>
      </w:r>
      <w:r>
        <w:rPr>
          <w:sz w:val="24"/>
        </w:rPr>
        <w:t>resistance</w:t>
      </w:r>
      <w:r>
        <w:rPr>
          <w:spacing w:val="74"/>
          <w:sz w:val="24"/>
        </w:rPr>
        <w:t> </w:t>
      </w:r>
      <w:r>
        <w:rPr>
          <w:sz w:val="24"/>
        </w:rPr>
        <w:t>rating</w:t>
      </w:r>
      <w:r>
        <w:rPr>
          <w:spacing w:val="73"/>
          <w:sz w:val="24"/>
        </w:rPr>
        <w:t> </w:t>
      </w:r>
      <w:r>
        <w:rPr>
          <w:sz w:val="24"/>
        </w:rPr>
        <w:t>as</w:t>
      </w:r>
      <w:r>
        <w:rPr>
          <w:spacing w:val="78"/>
          <w:sz w:val="24"/>
        </w:rPr>
        <w:t> </w:t>
      </w:r>
      <w:r>
        <w:rPr>
          <w:sz w:val="24"/>
        </w:rPr>
        <w:t>that</w:t>
      </w:r>
      <w:r>
        <w:rPr>
          <w:spacing w:val="78"/>
          <w:sz w:val="24"/>
        </w:rPr>
        <w:t> </w:t>
      </w:r>
      <w:r>
        <w:rPr>
          <w:spacing w:val="7"/>
          <w:sz w:val="24"/>
        </w:rPr>
        <w:t>for</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1493"/>
        <w:jc w:val="left"/>
      </w:pPr>
      <w:r>
        <w:rPr/>
        <w:t>type</w:t>
      </w:r>
      <w:r>
        <w:rPr>
          <w:spacing w:val="73"/>
          <w:w w:val="150"/>
        </w:rPr>
        <w:t> </w:t>
      </w:r>
      <w:r>
        <w:rPr/>
        <w:t>of</w:t>
      </w:r>
      <w:r>
        <w:rPr>
          <w:spacing w:val="73"/>
          <w:w w:val="150"/>
        </w:rPr>
        <w:t> </w:t>
      </w:r>
      <w:r>
        <w:rPr/>
        <w:t>construction</w:t>
      </w:r>
      <w:r>
        <w:rPr>
          <w:spacing w:val="73"/>
          <w:w w:val="150"/>
        </w:rPr>
        <w:t> </w:t>
      </w:r>
      <w:r>
        <w:rPr/>
        <w:t>itself.</w:t>
      </w:r>
      <w:r>
        <w:rPr>
          <w:spacing w:val="80"/>
          <w:w w:val="150"/>
        </w:rPr>
        <w:t> </w:t>
      </w:r>
      <w:r>
        <w:rPr/>
        <w:t>For</w:t>
      </w:r>
      <w:r>
        <w:rPr>
          <w:spacing w:val="73"/>
          <w:w w:val="150"/>
        </w:rPr>
        <w:t> </w:t>
      </w:r>
      <w:r>
        <w:rPr/>
        <w:t>high</w:t>
      </w:r>
      <w:r>
        <w:rPr>
          <w:spacing w:val="76"/>
          <w:w w:val="150"/>
        </w:rPr>
        <w:t> </w:t>
      </w:r>
      <w:r>
        <w:rPr/>
        <w:t>rise</w:t>
      </w:r>
      <w:r>
        <w:rPr>
          <w:spacing w:val="73"/>
          <w:w w:val="150"/>
        </w:rPr>
        <w:t> </w:t>
      </w:r>
      <w:r>
        <w:rPr/>
        <w:t>and</w:t>
      </w:r>
      <w:r>
        <w:rPr>
          <w:spacing w:val="76"/>
          <w:w w:val="150"/>
        </w:rPr>
        <w:t> </w:t>
      </w:r>
      <w:r>
        <w:rPr/>
        <w:t>special</w:t>
      </w:r>
      <w:r>
        <w:rPr>
          <w:spacing w:val="76"/>
          <w:w w:val="150"/>
        </w:rPr>
        <w:t> </w:t>
      </w:r>
      <w:r>
        <w:rPr/>
        <w:t>buildings,</w:t>
      </w:r>
      <w:r>
        <w:rPr>
          <w:spacing w:val="73"/>
          <w:w w:val="150"/>
        </w:rPr>
        <w:t> </w:t>
      </w:r>
      <w:r>
        <w:rPr/>
        <w:t>the staircase</w:t>
      </w:r>
      <w:r>
        <w:rPr>
          <w:spacing w:val="40"/>
        </w:rPr>
        <w:t> </w:t>
      </w:r>
      <w:r>
        <w:rPr/>
        <w:t>location</w:t>
      </w:r>
      <w:r>
        <w:rPr>
          <w:spacing w:val="40"/>
        </w:rPr>
        <w:t> </w:t>
      </w:r>
      <w:r>
        <w:rPr/>
        <w:t>shall</w:t>
      </w:r>
      <w:r>
        <w:rPr>
          <w:spacing w:val="40"/>
        </w:rPr>
        <w:t> </w:t>
      </w:r>
      <w:r>
        <w:rPr/>
        <w:t>be</w:t>
      </w:r>
      <w:r>
        <w:rPr>
          <w:spacing w:val="40"/>
        </w:rPr>
        <w:t> </w:t>
      </w:r>
      <w:r>
        <w:rPr/>
        <w:t>to</w:t>
      </w:r>
      <w:r>
        <w:rPr>
          <w:spacing w:val="40"/>
        </w:rPr>
        <w:t> </w:t>
      </w:r>
      <w:r>
        <w:rPr/>
        <w:t>the</w:t>
      </w:r>
      <w:r>
        <w:rPr>
          <w:spacing w:val="64"/>
        </w:rPr>
        <w:t> </w:t>
      </w:r>
      <w:r>
        <w:rPr/>
        <w:t>satisfaction</w:t>
      </w:r>
      <w:r>
        <w:rPr>
          <w:spacing w:val="64"/>
        </w:rPr>
        <w:t> </w:t>
      </w:r>
      <w:r>
        <w:rPr/>
        <w:t>of</w:t>
      </w:r>
      <w:r>
        <w:rPr>
          <w:spacing w:val="40"/>
        </w:rPr>
        <w:t> </w:t>
      </w:r>
      <w:r>
        <w:rPr/>
        <w:t>the</w:t>
      </w:r>
      <w:r>
        <w:rPr>
          <w:spacing w:val="64"/>
        </w:rPr>
        <w:t> </w:t>
      </w:r>
      <w:r>
        <w:rPr/>
        <w:t>Chief</w:t>
      </w:r>
      <w:r>
        <w:rPr>
          <w:spacing w:val="64"/>
        </w:rPr>
        <w:t> </w:t>
      </w:r>
      <w:r>
        <w:rPr/>
        <w:t>Fire</w:t>
      </w:r>
      <w:r>
        <w:rPr>
          <w:spacing w:val="40"/>
        </w:rPr>
        <w:t> </w:t>
      </w:r>
      <w:r>
        <w:rPr>
          <w:spacing w:val="9"/>
        </w:rPr>
        <w:t>Officer.</w:t>
      </w:r>
    </w:p>
    <w:p>
      <w:pPr>
        <w:pStyle w:val="ListParagraph"/>
        <w:numPr>
          <w:ilvl w:val="2"/>
          <w:numId w:val="263"/>
        </w:numPr>
        <w:tabs>
          <w:tab w:pos="1493" w:val="left" w:leader="none"/>
          <w:tab w:pos="1548" w:val="left" w:leader="none"/>
        </w:tabs>
        <w:spacing w:line="240" w:lineRule="auto" w:before="241" w:after="0"/>
        <w:ind w:left="1493" w:right="787" w:hanging="360"/>
        <w:jc w:val="both"/>
        <w:rPr>
          <w:sz w:val="24"/>
        </w:rPr>
      </w:pPr>
      <w:r>
        <w:rPr>
          <w:sz w:val="24"/>
        </w:rPr>
        <w:t>In</w:t>
      </w:r>
      <w:r>
        <w:rPr>
          <w:spacing w:val="40"/>
          <w:sz w:val="24"/>
        </w:rPr>
        <w:t> </w:t>
      </w:r>
      <w:r>
        <w:rPr>
          <w:sz w:val="24"/>
        </w:rPr>
        <w:t>high rise and special buildings, access to main staircases shall be</w:t>
      </w:r>
      <w:r>
        <w:rPr>
          <w:spacing w:val="40"/>
          <w:sz w:val="24"/>
        </w:rPr>
        <w:t> </w:t>
      </w:r>
      <w:r>
        <w:rPr>
          <w:sz w:val="24"/>
        </w:rPr>
        <w:t>gained</w:t>
      </w:r>
      <w:r>
        <w:rPr>
          <w:spacing w:val="40"/>
          <w:sz w:val="24"/>
        </w:rPr>
        <w:t> </w:t>
      </w:r>
      <w:r>
        <w:rPr>
          <w:sz w:val="24"/>
        </w:rPr>
        <w:t>through</w:t>
      </w:r>
      <w:r>
        <w:rPr>
          <w:spacing w:val="40"/>
          <w:sz w:val="24"/>
        </w:rPr>
        <w:t> </w:t>
      </w:r>
      <w:r>
        <w:rPr>
          <w:sz w:val="24"/>
        </w:rPr>
        <w:t>atleast</w:t>
      </w:r>
      <w:r>
        <w:rPr>
          <w:spacing w:val="10"/>
          <w:sz w:val="24"/>
        </w:rPr>
        <w:t> half-</w:t>
      </w:r>
      <w:r>
        <w:rPr>
          <w:spacing w:val="9"/>
          <w:sz w:val="24"/>
        </w:rPr>
        <w:t>an-</w:t>
      </w:r>
      <w:r>
        <w:rPr>
          <w:sz w:val="24"/>
        </w:rPr>
        <w:t>hour</w:t>
      </w:r>
      <w:r>
        <w:rPr>
          <w:spacing w:val="9"/>
          <w:sz w:val="24"/>
        </w:rPr>
        <w:t> fire-</w:t>
      </w:r>
      <w:r>
        <w:rPr>
          <w:sz w:val="24"/>
        </w:rPr>
        <w:t>resisting</w:t>
      </w:r>
      <w:r>
        <w:rPr>
          <w:spacing w:val="40"/>
          <w:sz w:val="24"/>
        </w:rPr>
        <w:t> </w:t>
      </w:r>
      <w:r>
        <w:rPr>
          <w:sz w:val="24"/>
        </w:rPr>
        <w:t>automatic</w:t>
      </w:r>
      <w:r>
        <w:rPr>
          <w:spacing w:val="40"/>
          <w:sz w:val="24"/>
        </w:rPr>
        <w:t> </w:t>
      </w:r>
      <w:r>
        <w:rPr>
          <w:sz w:val="24"/>
        </w:rPr>
        <w:t>closing doors,</w:t>
      </w:r>
      <w:r>
        <w:rPr>
          <w:spacing w:val="40"/>
          <w:sz w:val="24"/>
        </w:rPr>
        <w:t> </w:t>
      </w:r>
      <w:r>
        <w:rPr>
          <w:sz w:val="24"/>
        </w:rPr>
        <w:t>placed</w:t>
      </w:r>
      <w:r>
        <w:rPr>
          <w:spacing w:val="40"/>
          <w:sz w:val="24"/>
        </w:rPr>
        <w:t> </w:t>
      </w:r>
      <w:r>
        <w:rPr>
          <w:sz w:val="24"/>
        </w:rPr>
        <w:t>in</w:t>
      </w:r>
      <w:r>
        <w:rPr>
          <w:spacing w:val="40"/>
          <w:sz w:val="24"/>
        </w:rPr>
        <w:t> </w:t>
      </w:r>
      <w:r>
        <w:rPr>
          <w:sz w:val="24"/>
        </w:rPr>
        <w:t>the</w:t>
      </w:r>
      <w:r>
        <w:rPr>
          <w:spacing w:val="40"/>
          <w:sz w:val="24"/>
        </w:rPr>
        <w:t> </w:t>
      </w:r>
      <w:r>
        <w:rPr>
          <w:sz w:val="24"/>
        </w:rPr>
        <w:t>enclosing</w:t>
      </w:r>
      <w:r>
        <w:rPr>
          <w:spacing w:val="40"/>
          <w:sz w:val="24"/>
        </w:rPr>
        <w:t> </w:t>
      </w:r>
      <w:r>
        <w:rPr>
          <w:sz w:val="24"/>
        </w:rPr>
        <w:t>walls</w:t>
      </w:r>
      <w:r>
        <w:rPr>
          <w:spacing w:val="40"/>
          <w:sz w:val="24"/>
        </w:rPr>
        <w:t> </w:t>
      </w:r>
      <w:r>
        <w:rPr>
          <w:sz w:val="24"/>
        </w:rPr>
        <w:t>of</w:t>
      </w:r>
      <w:r>
        <w:rPr>
          <w:spacing w:val="40"/>
          <w:sz w:val="24"/>
        </w:rPr>
        <w:t> </w:t>
      </w:r>
      <w:r>
        <w:rPr>
          <w:sz w:val="24"/>
        </w:rPr>
        <w:t>the</w:t>
      </w:r>
      <w:r>
        <w:rPr>
          <w:spacing w:val="40"/>
          <w:sz w:val="24"/>
        </w:rPr>
        <w:t> </w:t>
      </w:r>
      <w:r>
        <w:rPr>
          <w:sz w:val="24"/>
        </w:rPr>
        <w:t>staircases.</w:t>
      </w:r>
      <w:r>
        <w:rPr>
          <w:spacing w:val="80"/>
          <w:w w:val="150"/>
          <w:sz w:val="24"/>
        </w:rPr>
        <w:t> </w:t>
      </w:r>
      <w:r>
        <w:rPr>
          <w:sz w:val="24"/>
        </w:rPr>
        <w:t>They</w:t>
      </w:r>
      <w:r>
        <w:rPr>
          <w:spacing w:val="40"/>
          <w:sz w:val="24"/>
        </w:rPr>
        <w:t> </w:t>
      </w:r>
      <w:r>
        <w:rPr>
          <w:sz w:val="24"/>
        </w:rPr>
        <w:t>shall</w:t>
      </w:r>
      <w:r>
        <w:rPr>
          <w:spacing w:val="40"/>
          <w:sz w:val="24"/>
        </w:rPr>
        <w:t> </w:t>
      </w:r>
      <w:r>
        <w:rPr>
          <w:sz w:val="24"/>
        </w:rPr>
        <w:t>be swing</w:t>
      </w:r>
      <w:r>
        <w:rPr>
          <w:spacing w:val="40"/>
          <w:sz w:val="24"/>
        </w:rPr>
        <w:t> </w:t>
      </w:r>
      <w:r>
        <w:rPr>
          <w:sz w:val="24"/>
        </w:rPr>
        <w:t>type</w:t>
      </w:r>
      <w:r>
        <w:rPr>
          <w:spacing w:val="40"/>
          <w:sz w:val="24"/>
        </w:rPr>
        <w:t> </w:t>
      </w:r>
      <w:r>
        <w:rPr>
          <w:sz w:val="24"/>
        </w:rPr>
        <w:t>doors</w:t>
      </w:r>
      <w:r>
        <w:rPr>
          <w:spacing w:val="40"/>
          <w:sz w:val="24"/>
        </w:rPr>
        <w:t> </w:t>
      </w:r>
      <w:r>
        <w:rPr>
          <w:sz w:val="24"/>
        </w:rPr>
        <w:t>opening</w:t>
      </w:r>
      <w:r>
        <w:rPr>
          <w:spacing w:val="40"/>
          <w:sz w:val="24"/>
        </w:rPr>
        <w:t> </w:t>
      </w:r>
      <w:r>
        <w:rPr>
          <w:sz w:val="24"/>
        </w:rPr>
        <w:t>in</w:t>
      </w:r>
      <w:r>
        <w:rPr>
          <w:spacing w:val="40"/>
          <w:sz w:val="24"/>
        </w:rPr>
        <w:t> </w:t>
      </w:r>
      <w:r>
        <w:rPr>
          <w:sz w:val="24"/>
        </w:rPr>
        <w:t>the</w:t>
      </w:r>
      <w:r>
        <w:rPr>
          <w:spacing w:val="40"/>
          <w:sz w:val="24"/>
        </w:rPr>
        <w:t> </w:t>
      </w:r>
      <w:r>
        <w:rPr>
          <w:sz w:val="24"/>
        </w:rPr>
        <w:t>direction</w:t>
      </w:r>
      <w:r>
        <w:rPr>
          <w:spacing w:val="40"/>
          <w:sz w:val="24"/>
        </w:rPr>
        <w:t> </w:t>
      </w:r>
      <w:r>
        <w:rPr>
          <w:sz w:val="24"/>
        </w:rPr>
        <w:t>of</w:t>
      </w:r>
      <w:r>
        <w:rPr>
          <w:spacing w:val="40"/>
          <w:sz w:val="24"/>
        </w:rPr>
        <w:t> </w:t>
      </w:r>
      <w:r>
        <w:rPr>
          <w:sz w:val="24"/>
        </w:rPr>
        <w:t>the</w:t>
      </w:r>
      <w:r>
        <w:rPr>
          <w:spacing w:val="40"/>
          <w:sz w:val="24"/>
        </w:rPr>
        <w:t> </w:t>
      </w:r>
      <w:r>
        <w:rPr>
          <w:sz w:val="24"/>
        </w:rPr>
        <w:t>escape.</w:t>
      </w:r>
    </w:p>
    <w:p>
      <w:pPr>
        <w:pStyle w:val="ListParagraph"/>
        <w:numPr>
          <w:ilvl w:val="2"/>
          <w:numId w:val="263"/>
        </w:numPr>
        <w:tabs>
          <w:tab w:pos="1491" w:val="left" w:leader="none"/>
          <w:tab w:pos="1493" w:val="left" w:leader="none"/>
        </w:tabs>
        <w:spacing w:line="240" w:lineRule="auto" w:before="241" w:after="0"/>
        <w:ind w:left="1493" w:right="801" w:hanging="360"/>
        <w:jc w:val="both"/>
        <w:rPr>
          <w:sz w:val="24"/>
        </w:rPr>
      </w:pPr>
      <w:r>
        <w:rPr>
          <w:sz w:val="24"/>
        </w:rPr>
        <w:t>No</w:t>
      </w:r>
      <w:r>
        <w:rPr>
          <w:spacing w:val="40"/>
          <w:sz w:val="24"/>
        </w:rPr>
        <w:t> </w:t>
      </w:r>
      <w:r>
        <w:rPr>
          <w:sz w:val="24"/>
        </w:rPr>
        <w:t>living</w:t>
      </w:r>
      <w:r>
        <w:rPr>
          <w:spacing w:val="40"/>
          <w:sz w:val="24"/>
        </w:rPr>
        <w:t> </w:t>
      </w:r>
      <w:r>
        <w:rPr>
          <w:sz w:val="24"/>
        </w:rPr>
        <w:t>space,</w:t>
      </w:r>
      <w:r>
        <w:rPr>
          <w:spacing w:val="40"/>
          <w:sz w:val="24"/>
        </w:rPr>
        <w:t> </w:t>
      </w:r>
      <w:r>
        <w:rPr>
          <w:sz w:val="24"/>
        </w:rPr>
        <w:t>store</w:t>
      </w:r>
      <w:r>
        <w:rPr>
          <w:spacing w:val="40"/>
          <w:sz w:val="24"/>
        </w:rPr>
        <w:t> </w:t>
      </w:r>
      <w:r>
        <w:rPr>
          <w:sz w:val="24"/>
        </w:rPr>
        <w:t>or</w:t>
      </w:r>
      <w:r>
        <w:rPr>
          <w:spacing w:val="40"/>
          <w:sz w:val="24"/>
        </w:rPr>
        <w:t> </w:t>
      </w:r>
      <w:r>
        <w:rPr>
          <w:sz w:val="24"/>
        </w:rPr>
        <w:t>other</w:t>
      </w:r>
      <w:r>
        <w:rPr>
          <w:spacing w:val="40"/>
          <w:sz w:val="24"/>
        </w:rPr>
        <w:t> </w:t>
      </w:r>
      <w:r>
        <w:rPr>
          <w:sz w:val="24"/>
        </w:rPr>
        <w:t>space,</w:t>
      </w:r>
      <w:r>
        <w:rPr>
          <w:spacing w:val="40"/>
          <w:sz w:val="24"/>
        </w:rPr>
        <w:t> </w:t>
      </w:r>
      <w:r>
        <w:rPr>
          <w:sz w:val="24"/>
        </w:rPr>
        <w:t>involving</w:t>
      </w:r>
      <w:r>
        <w:rPr>
          <w:spacing w:val="40"/>
          <w:sz w:val="24"/>
        </w:rPr>
        <w:t> </w:t>
      </w:r>
      <w:r>
        <w:rPr>
          <w:sz w:val="24"/>
        </w:rPr>
        <w:t>fire</w:t>
      </w:r>
      <w:r>
        <w:rPr>
          <w:spacing w:val="40"/>
          <w:sz w:val="24"/>
        </w:rPr>
        <w:t> </w:t>
      </w:r>
      <w:r>
        <w:rPr>
          <w:sz w:val="24"/>
        </w:rPr>
        <w:t>risk,</w:t>
      </w:r>
      <w:r>
        <w:rPr>
          <w:spacing w:val="40"/>
          <w:sz w:val="24"/>
        </w:rPr>
        <w:t> </w:t>
      </w:r>
      <w:r>
        <w:rPr>
          <w:sz w:val="24"/>
        </w:rPr>
        <w:t>shall</w:t>
      </w:r>
      <w:r>
        <w:rPr>
          <w:spacing w:val="40"/>
          <w:sz w:val="24"/>
        </w:rPr>
        <w:t> </w:t>
      </w:r>
      <w:r>
        <w:rPr>
          <w:sz w:val="24"/>
        </w:rPr>
        <w:t>open directly into a </w:t>
      </w:r>
      <w:r>
        <w:rPr>
          <w:spacing w:val="9"/>
          <w:sz w:val="24"/>
        </w:rPr>
        <w:t>staircase.</w:t>
      </w:r>
    </w:p>
    <w:p>
      <w:pPr>
        <w:pStyle w:val="ListParagraph"/>
        <w:numPr>
          <w:ilvl w:val="2"/>
          <w:numId w:val="263"/>
        </w:numPr>
        <w:tabs>
          <w:tab w:pos="1491" w:val="left" w:leader="none"/>
          <w:tab w:pos="1493" w:val="left" w:leader="none"/>
        </w:tabs>
        <w:spacing w:line="240" w:lineRule="auto" w:before="240" w:after="0"/>
        <w:ind w:left="1493" w:right="782" w:hanging="360"/>
        <w:jc w:val="both"/>
        <w:rPr>
          <w:sz w:val="24"/>
        </w:rPr>
      </w:pPr>
      <w:r>
        <w:rPr>
          <w:sz w:val="24"/>
        </w:rPr>
        <w:t>The</w:t>
      </w:r>
      <w:r>
        <w:rPr>
          <w:spacing w:val="40"/>
          <w:sz w:val="24"/>
        </w:rPr>
        <w:t> </w:t>
      </w:r>
      <w:r>
        <w:rPr>
          <w:sz w:val="24"/>
        </w:rPr>
        <w:t>external</w:t>
      </w:r>
      <w:r>
        <w:rPr>
          <w:spacing w:val="40"/>
          <w:sz w:val="24"/>
        </w:rPr>
        <w:t> </w:t>
      </w:r>
      <w:r>
        <w:rPr>
          <w:sz w:val="24"/>
        </w:rPr>
        <w:t>exit</w:t>
      </w:r>
      <w:r>
        <w:rPr>
          <w:spacing w:val="40"/>
          <w:sz w:val="24"/>
        </w:rPr>
        <w:t> </w:t>
      </w:r>
      <w:r>
        <w:rPr>
          <w:sz w:val="24"/>
        </w:rPr>
        <w:t>door</w:t>
      </w:r>
      <w:r>
        <w:rPr>
          <w:spacing w:val="40"/>
          <w:sz w:val="24"/>
        </w:rPr>
        <w:t> </w:t>
      </w:r>
      <w:r>
        <w:rPr>
          <w:sz w:val="24"/>
        </w:rPr>
        <w:t>of</w:t>
      </w:r>
      <w:r>
        <w:rPr>
          <w:spacing w:val="40"/>
          <w:sz w:val="24"/>
        </w:rPr>
        <w:t> </w:t>
      </w:r>
      <w:r>
        <w:rPr>
          <w:sz w:val="24"/>
        </w:rPr>
        <w:t>a</w:t>
      </w:r>
      <w:r>
        <w:rPr>
          <w:spacing w:val="40"/>
          <w:sz w:val="24"/>
        </w:rPr>
        <w:t> </w:t>
      </w:r>
      <w:r>
        <w:rPr>
          <w:sz w:val="24"/>
        </w:rPr>
        <w:t>staircase</w:t>
      </w:r>
      <w:r>
        <w:rPr>
          <w:spacing w:val="40"/>
          <w:sz w:val="24"/>
        </w:rPr>
        <w:t> </w:t>
      </w:r>
      <w:r>
        <w:rPr>
          <w:sz w:val="24"/>
        </w:rPr>
        <w:t>enclosure</w:t>
      </w:r>
      <w:r>
        <w:rPr>
          <w:spacing w:val="40"/>
          <w:sz w:val="24"/>
        </w:rPr>
        <w:t> </w:t>
      </w:r>
      <w:r>
        <w:rPr>
          <w:sz w:val="24"/>
        </w:rPr>
        <w:t>at</w:t>
      </w:r>
      <w:r>
        <w:rPr>
          <w:spacing w:val="40"/>
          <w:sz w:val="24"/>
        </w:rPr>
        <w:t> </w:t>
      </w:r>
      <w:r>
        <w:rPr>
          <w:sz w:val="24"/>
        </w:rPr>
        <w:t>ground</w:t>
      </w:r>
      <w:r>
        <w:rPr>
          <w:spacing w:val="40"/>
          <w:sz w:val="24"/>
        </w:rPr>
        <w:t> </w:t>
      </w:r>
      <w:r>
        <w:rPr>
          <w:sz w:val="24"/>
        </w:rPr>
        <w:t>level</w:t>
      </w:r>
      <w:r>
        <w:rPr>
          <w:spacing w:val="40"/>
          <w:sz w:val="24"/>
        </w:rPr>
        <w:t> </w:t>
      </w:r>
      <w:r>
        <w:rPr>
          <w:sz w:val="24"/>
        </w:rPr>
        <w:t>shall</w:t>
      </w:r>
      <w:r>
        <w:rPr>
          <w:spacing w:val="40"/>
          <w:sz w:val="24"/>
        </w:rPr>
        <w:t> </w:t>
      </w:r>
      <w:r>
        <w:rPr>
          <w:sz w:val="24"/>
        </w:rPr>
        <w:t>open directly to the open space or should be accessible without passing through</w:t>
      </w:r>
      <w:r>
        <w:rPr>
          <w:spacing w:val="40"/>
          <w:sz w:val="24"/>
        </w:rPr>
        <w:t> </w:t>
      </w:r>
      <w:r>
        <w:rPr>
          <w:sz w:val="24"/>
        </w:rPr>
        <w:t>any</w:t>
      </w:r>
      <w:r>
        <w:rPr>
          <w:spacing w:val="40"/>
          <w:sz w:val="24"/>
        </w:rPr>
        <w:t> </w:t>
      </w:r>
      <w:r>
        <w:rPr>
          <w:sz w:val="24"/>
        </w:rPr>
        <w:t>door</w:t>
      </w:r>
      <w:r>
        <w:rPr>
          <w:spacing w:val="40"/>
          <w:sz w:val="24"/>
        </w:rPr>
        <w:t> </w:t>
      </w:r>
      <w:r>
        <w:rPr>
          <w:sz w:val="24"/>
        </w:rPr>
        <w:t>other</w:t>
      </w:r>
      <w:r>
        <w:rPr>
          <w:spacing w:val="40"/>
          <w:sz w:val="24"/>
        </w:rPr>
        <w:t> </w:t>
      </w:r>
      <w:r>
        <w:rPr>
          <w:sz w:val="24"/>
        </w:rPr>
        <w:t>than</w:t>
      </w:r>
      <w:r>
        <w:rPr>
          <w:spacing w:val="40"/>
          <w:sz w:val="24"/>
        </w:rPr>
        <w:t> </w:t>
      </w:r>
      <w:r>
        <w:rPr>
          <w:sz w:val="24"/>
        </w:rPr>
        <w:t>a</w:t>
      </w:r>
      <w:r>
        <w:rPr>
          <w:spacing w:val="40"/>
          <w:sz w:val="24"/>
        </w:rPr>
        <w:t> </w:t>
      </w:r>
      <w:r>
        <w:rPr>
          <w:sz w:val="24"/>
        </w:rPr>
        <w:t>door</w:t>
      </w:r>
      <w:r>
        <w:rPr>
          <w:spacing w:val="40"/>
          <w:sz w:val="24"/>
        </w:rPr>
        <w:t> </w:t>
      </w:r>
      <w:r>
        <w:rPr>
          <w:sz w:val="24"/>
        </w:rPr>
        <w:t>provided</w:t>
      </w:r>
      <w:r>
        <w:rPr>
          <w:spacing w:val="40"/>
          <w:sz w:val="24"/>
        </w:rPr>
        <w:t> </w:t>
      </w:r>
      <w:r>
        <w:rPr>
          <w:sz w:val="24"/>
        </w:rPr>
        <w:t>to</w:t>
      </w:r>
      <w:r>
        <w:rPr>
          <w:spacing w:val="40"/>
          <w:sz w:val="24"/>
        </w:rPr>
        <w:t> </w:t>
      </w:r>
      <w:r>
        <w:rPr>
          <w:sz w:val="24"/>
        </w:rPr>
        <w:t>form</w:t>
      </w:r>
      <w:r>
        <w:rPr>
          <w:spacing w:val="40"/>
          <w:sz w:val="24"/>
        </w:rPr>
        <w:t> </w:t>
      </w:r>
      <w:r>
        <w:rPr>
          <w:sz w:val="24"/>
        </w:rPr>
        <w:t>a</w:t>
      </w:r>
      <w:r>
        <w:rPr>
          <w:spacing w:val="40"/>
          <w:sz w:val="24"/>
        </w:rPr>
        <w:t> </w:t>
      </w:r>
      <w:r>
        <w:rPr>
          <w:sz w:val="24"/>
        </w:rPr>
        <w:t>draught</w:t>
      </w:r>
      <w:r>
        <w:rPr>
          <w:spacing w:val="40"/>
          <w:sz w:val="24"/>
        </w:rPr>
        <w:t> </w:t>
      </w:r>
      <w:r>
        <w:rPr>
          <w:spacing w:val="9"/>
          <w:sz w:val="24"/>
        </w:rPr>
        <w:t>lobby.</w:t>
      </w:r>
    </w:p>
    <w:p>
      <w:pPr>
        <w:pStyle w:val="ListParagraph"/>
        <w:numPr>
          <w:ilvl w:val="2"/>
          <w:numId w:val="263"/>
        </w:numPr>
        <w:tabs>
          <w:tab w:pos="1491" w:val="left" w:leader="none"/>
          <w:tab w:pos="1493" w:val="left" w:leader="none"/>
        </w:tabs>
        <w:spacing w:line="240" w:lineRule="auto" w:before="241" w:after="0"/>
        <w:ind w:left="1493" w:right="774" w:hanging="360"/>
        <w:jc w:val="both"/>
        <w:rPr>
          <w:sz w:val="24"/>
        </w:rPr>
      </w:pPr>
      <w:r>
        <w:rPr>
          <w:sz w:val="24"/>
        </w:rPr>
        <w:t>In high rise and special buildings, exit signs with arrows indicating the escape</w:t>
      </w:r>
      <w:r>
        <w:rPr>
          <w:spacing w:val="40"/>
          <w:sz w:val="24"/>
        </w:rPr>
        <w:t> </w:t>
      </w:r>
      <w:r>
        <w:rPr>
          <w:sz w:val="24"/>
        </w:rPr>
        <w:t>route</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at</w:t>
      </w:r>
      <w:r>
        <w:rPr>
          <w:spacing w:val="40"/>
          <w:sz w:val="24"/>
        </w:rPr>
        <w:t> </w:t>
      </w:r>
      <w:r>
        <w:rPr>
          <w:sz w:val="24"/>
        </w:rPr>
        <w:t>a</w:t>
      </w:r>
      <w:r>
        <w:rPr>
          <w:spacing w:val="40"/>
          <w:sz w:val="24"/>
        </w:rPr>
        <w:t> </w:t>
      </w:r>
      <w:r>
        <w:rPr>
          <w:sz w:val="24"/>
        </w:rPr>
        <w:t>height</w:t>
      </w:r>
      <w:r>
        <w:rPr>
          <w:spacing w:val="40"/>
          <w:sz w:val="24"/>
        </w:rPr>
        <w:t> </w:t>
      </w:r>
      <w:r>
        <w:rPr>
          <w:sz w:val="24"/>
        </w:rPr>
        <w:t>of</w:t>
      </w:r>
      <w:r>
        <w:rPr>
          <w:spacing w:val="40"/>
          <w:sz w:val="24"/>
        </w:rPr>
        <w:t> </w:t>
      </w:r>
      <w:r>
        <w:rPr>
          <w:sz w:val="24"/>
        </w:rPr>
        <w:t>1.5</w:t>
      </w:r>
      <w:r>
        <w:rPr>
          <w:spacing w:val="40"/>
          <w:sz w:val="24"/>
        </w:rPr>
        <w:t> </w:t>
      </w:r>
      <w:r>
        <w:rPr>
          <w:sz w:val="24"/>
        </w:rPr>
        <w:t>m</w:t>
      </w:r>
      <w:r>
        <w:rPr>
          <w:spacing w:val="40"/>
          <w:sz w:val="24"/>
        </w:rPr>
        <w:t> </w:t>
      </w:r>
      <w:r>
        <w:rPr>
          <w:sz w:val="24"/>
        </w:rPr>
        <w:t>from</w:t>
      </w:r>
      <w:r>
        <w:rPr>
          <w:spacing w:val="40"/>
          <w:sz w:val="24"/>
        </w:rPr>
        <w:t> </w:t>
      </w:r>
      <w:r>
        <w:rPr>
          <w:sz w:val="24"/>
        </w:rPr>
        <w:t>the</w:t>
      </w:r>
      <w:r>
        <w:rPr>
          <w:spacing w:val="40"/>
          <w:sz w:val="24"/>
        </w:rPr>
        <w:t> </w:t>
      </w:r>
      <w:r>
        <w:rPr>
          <w:sz w:val="24"/>
        </w:rPr>
        <w:t>floor</w:t>
      </w:r>
      <w:r>
        <w:rPr>
          <w:spacing w:val="40"/>
          <w:sz w:val="24"/>
        </w:rPr>
        <w:t> </w:t>
      </w:r>
      <w:r>
        <w:rPr>
          <w:sz w:val="24"/>
        </w:rPr>
        <w:t>level on</w:t>
      </w:r>
      <w:r>
        <w:rPr>
          <w:spacing w:val="40"/>
          <w:sz w:val="24"/>
        </w:rPr>
        <w:t> </w:t>
      </w:r>
      <w:r>
        <w:rPr>
          <w:sz w:val="24"/>
        </w:rPr>
        <w:t>the</w:t>
      </w:r>
      <w:r>
        <w:rPr>
          <w:spacing w:val="40"/>
          <w:sz w:val="24"/>
        </w:rPr>
        <w:t> </w:t>
      </w:r>
      <w:r>
        <w:rPr>
          <w:sz w:val="24"/>
        </w:rPr>
        <w:t>wall</w:t>
      </w:r>
      <w:r>
        <w:rPr>
          <w:spacing w:val="40"/>
          <w:sz w:val="24"/>
        </w:rPr>
        <w:t> </w:t>
      </w:r>
      <w:r>
        <w:rPr>
          <w:sz w:val="24"/>
        </w:rPr>
        <w:t>and</w:t>
      </w:r>
      <w:r>
        <w:rPr>
          <w:spacing w:val="40"/>
          <w:sz w:val="24"/>
        </w:rPr>
        <w:t> </w:t>
      </w:r>
      <w:r>
        <w:rPr>
          <w:sz w:val="24"/>
        </w:rPr>
        <w:t>shall</w:t>
      </w:r>
      <w:r>
        <w:rPr>
          <w:spacing w:val="40"/>
          <w:sz w:val="24"/>
        </w:rPr>
        <w:t> </w:t>
      </w:r>
      <w:r>
        <w:rPr>
          <w:sz w:val="24"/>
        </w:rPr>
        <w:t>be</w:t>
      </w:r>
      <w:r>
        <w:rPr>
          <w:spacing w:val="40"/>
          <w:sz w:val="24"/>
        </w:rPr>
        <w:t> </w:t>
      </w:r>
      <w:r>
        <w:rPr>
          <w:spacing w:val="9"/>
          <w:sz w:val="24"/>
        </w:rPr>
        <w:t>painted</w:t>
      </w:r>
      <w:r>
        <w:rPr>
          <w:spacing w:val="40"/>
          <w:sz w:val="24"/>
        </w:rPr>
        <w:t> </w:t>
      </w:r>
      <w:r>
        <w:rPr>
          <w:sz w:val="24"/>
        </w:rPr>
        <w:t>with</w:t>
      </w:r>
      <w:r>
        <w:rPr>
          <w:spacing w:val="40"/>
          <w:sz w:val="24"/>
        </w:rPr>
        <w:t> </w:t>
      </w:r>
      <w:r>
        <w:rPr>
          <w:sz w:val="24"/>
        </w:rPr>
        <w:t>fluorescent</w:t>
      </w:r>
      <w:r>
        <w:rPr>
          <w:spacing w:val="40"/>
          <w:sz w:val="24"/>
        </w:rPr>
        <w:t> </w:t>
      </w:r>
      <w:r>
        <w:rPr>
          <w:sz w:val="24"/>
        </w:rPr>
        <w:t>paint.</w:t>
      </w:r>
      <w:r>
        <w:rPr>
          <w:spacing w:val="80"/>
          <w:w w:val="150"/>
          <w:sz w:val="24"/>
        </w:rPr>
        <w:t> </w:t>
      </w:r>
      <w:r>
        <w:rPr>
          <w:sz w:val="24"/>
        </w:rPr>
        <w:t>All</w:t>
      </w:r>
      <w:r>
        <w:rPr>
          <w:spacing w:val="40"/>
          <w:sz w:val="24"/>
        </w:rPr>
        <w:t> </w:t>
      </w:r>
      <w:r>
        <w:rPr>
          <w:sz w:val="24"/>
        </w:rPr>
        <w:t>exit</w:t>
      </w:r>
      <w:r>
        <w:rPr>
          <w:spacing w:val="40"/>
          <w:sz w:val="24"/>
        </w:rPr>
        <w:t> </w:t>
      </w:r>
      <w:r>
        <w:rPr>
          <w:sz w:val="24"/>
        </w:rPr>
        <w:t>way signs should be flush with the wall and so designed that no mechanical damage to them can result from the moving of furniture or other heavy </w:t>
      </w:r>
      <w:r>
        <w:rPr>
          <w:spacing w:val="7"/>
          <w:sz w:val="24"/>
        </w:rPr>
        <w:t>equipment.</w:t>
      </w:r>
    </w:p>
    <w:p>
      <w:pPr>
        <w:pStyle w:val="ListParagraph"/>
        <w:numPr>
          <w:ilvl w:val="2"/>
          <w:numId w:val="263"/>
        </w:numPr>
        <w:tabs>
          <w:tab w:pos="1491" w:val="left" w:leader="none"/>
          <w:tab w:pos="1493" w:val="left" w:leader="none"/>
        </w:tabs>
        <w:spacing w:line="240" w:lineRule="auto" w:before="239" w:after="0"/>
        <w:ind w:left="1493" w:right="779" w:hanging="360"/>
        <w:jc w:val="both"/>
        <w:rPr>
          <w:sz w:val="24"/>
        </w:rPr>
      </w:pPr>
      <w:r>
        <w:rPr>
          <w:sz w:val="24"/>
        </w:rPr>
        <w:t>Where a building has a single staircase, it shall </w:t>
      </w:r>
      <w:r>
        <w:rPr>
          <w:spacing w:val="9"/>
          <w:sz w:val="24"/>
        </w:rPr>
        <w:t>terminate </w:t>
      </w:r>
      <w:r>
        <w:rPr>
          <w:sz w:val="24"/>
        </w:rPr>
        <w:t>at the ground floor</w:t>
      </w:r>
      <w:r>
        <w:rPr>
          <w:spacing w:val="40"/>
          <w:sz w:val="24"/>
        </w:rPr>
        <w:t> </w:t>
      </w:r>
      <w:r>
        <w:rPr>
          <w:sz w:val="24"/>
        </w:rPr>
        <w:t>level,</w:t>
      </w:r>
      <w:r>
        <w:rPr>
          <w:spacing w:val="40"/>
          <w:sz w:val="24"/>
        </w:rPr>
        <w:t> </w:t>
      </w:r>
      <w:r>
        <w:rPr>
          <w:sz w:val="24"/>
        </w:rPr>
        <w:t>and</w:t>
      </w:r>
      <w:r>
        <w:rPr>
          <w:spacing w:val="40"/>
          <w:sz w:val="24"/>
        </w:rPr>
        <w:t> </w:t>
      </w:r>
      <w:r>
        <w:rPr>
          <w:sz w:val="24"/>
        </w:rPr>
        <w:t>the</w:t>
      </w:r>
      <w:r>
        <w:rPr>
          <w:spacing w:val="40"/>
          <w:sz w:val="24"/>
        </w:rPr>
        <w:t> </w:t>
      </w:r>
      <w:r>
        <w:rPr>
          <w:sz w:val="24"/>
        </w:rPr>
        <w:t>access</w:t>
      </w:r>
      <w:r>
        <w:rPr>
          <w:spacing w:val="40"/>
          <w:sz w:val="24"/>
        </w:rPr>
        <w:t> </w:t>
      </w:r>
      <w:r>
        <w:rPr>
          <w:sz w:val="24"/>
        </w:rPr>
        <w:t>to</w:t>
      </w:r>
      <w:r>
        <w:rPr>
          <w:spacing w:val="40"/>
          <w:sz w:val="24"/>
        </w:rPr>
        <w:t> </w:t>
      </w:r>
      <w:r>
        <w:rPr>
          <w:sz w:val="24"/>
        </w:rPr>
        <w:t>the</w:t>
      </w:r>
      <w:r>
        <w:rPr>
          <w:spacing w:val="40"/>
          <w:sz w:val="24"/>
        </w:rPr>
        <w:t> </w:t>
      </w:r>
      <w:r>
        <w:rPr>
          <w:sz w:val="24"/>
        </w:rPr>
        <w:t>basement</w:t>
      </w:r>
      <w:r>
        <w:rPr>
          <w:spacing w:val="40"/>
          <w:sz w:val="24"/>
        </w:rPr>
        <w:t> </w:t>
      </w:r>
      <w:r>
        <w:rPr>
          <w:sz w:val="24"/>
        </w:rPr>
        <w:t>shall</w:t>
      </w:r>
      <w:r>
        <w:rPr>
          <w:spacing w:val="40"/>
          <w:sz w:val="24"/>
        </w:rPr>
        <w:t> </w:t>
      </w:r>
      <w:r>
        <w:rPr>
          <w:sz w:val="24"/>
        </w:rPr>
        <w:t>be</w:t>
      </w:r>
      <w:r>
        <w:rPr>
          <w:spacing w:val="40"/>
          <w:sz w:val="24"/>
        </w:rPr>
        <w:t> </w:t>
      </w:r>
      <w:r>
        <w:rPr>
          <w:sz w:val="24"/>
        </w:rPr>
        <w:t>by</w:t>
      </w:r>
      <w:r>
        <w:rPr>
          <w:spacing w:val="40"/>
          <w:sz w:val="24"/>
        </w:rPr>
        <w:t> </w:t>
      </w:r>
      <w:r>
        <w:rPr>
          <w:sz w:val="24"/>
        </w:rPr>
        <w:t>a</w:t>
      </w:r>
      <w:r>
        <w:rPr>
          <w:spacing w:val="40"/>
          <w:sz w:val="24"/>
        </w:rPr>
        <w:t> </w:t>
      </w:r>
      <w:r>
        <w:rPr>
          <w:sz w:val="24"/>
        </w:rPr>
        <w:t>separate staircase.</w:t>
      </w:r>
      <w:r>
        <w:rPr>
          <w:spacing w:val="40"/>
          <w:sz w:val="24"/>
        </w:rPr>
        <w:t>  </w:t>
      </w:r>
      <w:r>
        <w:rPr>
          <w:sz w:val="24"/>
        </w:rPr>
        <w:t>Where</w:t>
      </w:r>
      <w:r>
        <w:rPr>
          <w:spacing w:val="40"/>
          <w:sz w:val="24"/>
        </w:rPr>
        <w:t> </w:t>
      </w:r>
      <w:r>
        <w:rPr>
          <w:sz w:val="24"/>
        </w:rPr>
        <w:t>the</w:t>
      </w:r>
      <w:r>
        <w:rPr>
          <w:spacing w:val="40"/>
          <w:sz w:val="24"/>
        </w:rPr>
        <w:t> </w:t>
      </w:r>
      <w:r>
        <w:rPr>
          <w:sz w:val="24"/>
        </w:rPr>
        <w:t>building</w:t>
      </w:r>
      <w:r>
        <w:rPr>
          <w:spacing w:val="40"/>
          <w:sz w:val="24"/>
        </w:rPr>
        <w:t> </w:t>
      </w:r>
      <w:r>
        <w:rPr>
          <w:sz w:val="24"/>
        </w:rPr>
        <w:t>is</w:t>
      </w:r>
      <w:r>
        <w:rPr>
          <w:spacing w:val="40"/>
          <w:sz w:val="24"/>
        </w:rPr>
        <w:t> </w:t>
      </w:r>
      <w:r>
        <w:rPr>
          <w:sz w:val="24"/>
        </w:rPr>
        <w:t>served</w:t>
      </w:r>
      <w:r>
        <w:rPr>
          <w:spacing w:val="40"/>
          <w:sz w:val="24"/>
        </w:rPr>
        <w:t> </w:t>
      </w:r>
      <w:r>
        <w:rPr>
          <w:sz w:val="24"/>
        </w:rPr>
        <w:t>by</w:t>
      </w:r>
      <w:r>
        <w:rPr>
          <w:spacing w:val="40"/>
          <w:sz w:val="24"/>
        </w:rPr>
        <w:t> </w:t>
      </w:r>
      <w:r>
        <w:rPr>
          <w:sz w:val="24"/>
        </w:rPr>
        <w:t>more</w:t>
      </w:r>
      <w:r>
        <w:rPr>
          <w:spacing w:val="40"/>
          <w:sz w:val="24"/>
        </w:rPr>
        <w:t> </w:t>
      </w:r>
      <w:r>
        <w:rPr>
          <w:sz w:val="24"/>
        </w:rPr>
        <w:t>than</w:t>
      </w:r>
      <w:r>
        <w:rPr>
          <w:spacing w:val="40"/>
          <w:sz w:val="24"/>
        </w:rPr>
        <w:t> </w:t>
      </w:r>
      <w:r>
        <w:rPr>
          <w:sz w:val="24"/>
        </w:rPr>
        <w:t>one</w:t>
      </w:r>
      <w:r>
        <w:rPr>
          <w:spacing w:val="40"/>
          <w:sz w:val="24"/>
        </w:rPr>
        <w:t> </w:t>
      </w:r>
      <w:r>
        <w:rPr>
          <w:spacing w:val="9"/>
          <w:sz w:val="24"/>
        </w:rPr>
        <w:t>staircase, </w:t>
      </w:r>
      <w:r>
        <w:rPr>
          <w:sz w:val="24"/>
        </w:rPr>
        <w:t>one</w:t>
      </w:r>
      <w:r>
        <w:rPr>
          <w:spacing w:val="40"/>
          <w:sz w:val="24"/>
        </w:rPr>
        <w:t> </w:t>
      </w:r>
      <w:r>
        <w:rPr>
          <w:sz w:val="24"/>
        </w:rPr>
        <w:t>of</w:t>
      </w:r>
      <w:r>
        <w:rPr>
          <w:spacing w:val="40"/>
          <w:sz w:val="24"/>
        </w:rPr>
        <w:t> </w:t>
      </w:r>
      <w:r>
        <w:rPr>
          <w:sz w:val="24"/>
        </w:rPr>
        <w:t>the</w:t>
      </w:r>
      <w:r>
        <w:rPr>
          <w:spacing w:val="40"/>
          <w:sz w:val="24"/>
        </w:rPr>
        <w:t> </w:t>
      </w:r>
      <w:r>
        <w:rPr>
          <w:sz w:val="24"/>
        </w:rPr>
        <w:t>staircases</w:t>
      </w:r>
      <w:r>
        <w:rPr>
          <w:spacing w:val="40"/>
          <w:sz w:val="24"/>
        </w:rPr>
        <w:t> </w:t>
      </w:r>
      <w:r>
        <w:rPr>
          <w:sz w:val="24"/>
        </w:rPr>
        <w:t>may</w:t>
      </w:r>
      <w:r>
        <w:rPr>
          <w:spacing w:val="40"/>
          <w:sz w:val="24"/>
        </w:rPr>
        <w:t> </w:t>
      </w:r>
      <w:r>
        <w:rPr>
          <w:sz w:val="24"/>
        </w:rPr>
        <w:t>lead</w:t>
      </w:r>
      <w:r>
        <w:rPr>
          <w:spacing w:val="40"/>
          <w:sz w:val="24"/>
        </w:rPr>
        <w:t> </w:t>
      </w:r>
      <w:r>
        <w:rPr>
          <w:sz w:val="24"/>
        </w:rPr>
        <w:t>to</w:t>
      </w:r>
      <w:r>
        <w:rPr>
          <w:spacing w:val="40"/>
          <w:sz w:val="24"/>
        </w:rPr>
        <w:t> </w:t>
      </w:r>
      <w:r>
        <w:rPr>
          <w:sz w:val="24"/>
        </w:rPr>
        <w:t>the</w:t>
      </w:r>
      <w:r>
        <w:rPr>
          <w:spacing w:val="40"/>
          <w:sz w:val="24"/>
        </w:rPr>
        <w:t> </w:t>
      </w:r>
      <w:r>
        <w:rPr>
          <w:sz w:val="24"/>
        </w:rPr>
        <w:t>basement</w:t>
      </w:r>
      <w:r>
        <w:rPr>
          <w:spacing w:val="40"/>
          <w:sz w:val="24"/>
        </w:rPr>
        <w:t> </w:t>
      </w:r>
      <w:r>
        <w:rPr>
          <w:sz w:val="24"/>
        </w:rPr>
        <w:t>level,</w:t>
      </w:r>
      <w:r>
        <w:rPr>
          <w:spacing w:val="40"/>
          <w:sz w:val="24"/>
        </w:rPr>
        <w:t> </w:t>
      </w:r>
      <w:r>
        <w:rPr>
          <w:sz w:val="24"/>
        </w:rPr>
        <w:t>by</w:t>
      </w:r>
      <w:r>
        <w:rPr>
          <w:spacing w:val="40"/>
          <w:sz w:val="24"/>
        </w:rPr>
        <w:t> </w:t>
      </w:r>
      <w:r>
        <w:rPr>
          <w:sz w:val="24"/>
        </w:rPr>
        <w:t>either</w:t>
      </w:r>
      <w:r>
        <w:rPr>
          <w:spacing w:val="40"/>
          <w:sz w:val="24"/>
        </w:rPr>
        <w:t> </w:t>
      </w:r>
      <w:r>
        <w:rPr>
          <w:sz w:val="24"/>
        </w:rPr>
        <w:t>a ventilated lobby or a </w:t>
      </w:r>
      <w:r>
        <w:rPr>
          <w:spacing w:val="9"/>
          <w:sz w:val="24"/>
        </w:rPr>
        <w:t>cut-</w:t>
      </w:r>
      <w:r>
        <w:rPr>
          <w:sz w:val="24"/>
        </w:rPr>
        <w:t>off screen wall without opening, having a fire resistance of not less than 2 hours with discharge point at two different ends</w:t>
      </w:r>
      <w:r>
        <w:rPr>
          <w:spacing w:val="40"/>
          <w:sz w:val="24"/>
        </w:rPr>
        <w:t> </w:t>
      </w:r>
      <w:r>
        <w:rPr>
          <w:sz w:val="24"/>
        </w:rPr>
        <w:t>or</w:t>
      </w:r>
      <w:r>
        <w:rPr>
          <w:spacing w:val="40"/>
          <w:sz w:val="24"/>
        </w:rPr>
        <w:t> </w:t>
      </w:r>
      <w:r>
        <w:rPr>
          <w:sz w:val="24"/>
        </w:rPr>
        <w:t>through</w:t>
      </w:r>
      <w:r>
        <w:rPr>
          <w:spacing w:val="40"/>
          <w:sz w:val="24"/>
        </w:rPr>
        <w:t> </w:t>
      </w:r>
      <w:r>
        <w:rPr>
          <w:sz w:val="24"/>
        </w:rPr>
        <w:t>enclosures.</w:t>
      </w:r>
      <w:r>
        <w:rPr>
          <w:spacing w:val="40"/>
          <w:sz w:val="24"/>
        </w:rPr>
        <w:t> </w:t>
      </w:r>
      <w:r>
        <w:rPr>
          <w:sz w:val="24"/>
        </w:rPr>
        <w:t>It</w:t>
      </w:r>
      <w:r>
        <w:rPr>
          <w:spacing w:val="40"/>
          <w:sz w:val="24"/>
        </w:rPr>
        <w:t> </w:t>
      </w:r>
      <w:r>
        <w:rPr>
          <w:sz w:val="24"/>
        </w:rPr>
        <w:t>shall</w:t>
      </w:r>
      <w:r>
        <w:rPr>
          <w:spacing w:val="40"/>
          <w:sz w:val="24"/>
        </w:rPr>
        <w:t> </w:t>
      </w:r>
      <w:r>
        <w:rPr>
          <w:sz w:val="24"/>
        </w:rPr>
        <w:t>also</w:t>
      </w:r>
      <w:r>
        <w:rPr>
          <w:spacing w:val="40"/>
          <w:sz w:val="24"/>
        </w:rPr>
        <w:t> </w:t>
      </w:r>
      <w:r>
        <w:rPr>
          <w:sz w:val="24"/>
        </w:rPr>
        <w:t>be</w:t>
      </w:r>
      <w:r>
        <w:rPr>
          <w:spacing w:val="10"/>
          <w:sz w:val="24"/>
        </w:rPr>
        <w:t> cut-</w:t>
      </w:r>
      <w:r>
        <w:rPr>
          <w:sz w:val="24"/>
        </w:rPr>
        <w:t>off</w:t>
      </w:r>
      <w:r>
        <w:rPr>
          <w:spacing w:val="40"/>
          <w:sz w:val="24"/>
        </w:rPr>
        <w:t> </w:t>
      </w:r>
      <w:r>
        <w:rPr>
          <w:sz w:val="24"/>
        </w:rPr>
        <w:t>from</w:t>
      </w:r>
      <w:r>
        <w:rPr>
          <w:spacing w:val="40"/>
          <w:sz w:val="24"/>
        </w:rPr>
        <w:t> </w:t>
      </w:r>
      <w:r>
        <w:rPr>
          <w:sz w:val="24"/>
        </w:rPr>
        <w:t>the</w:t>
      </w:r>
      <w:r>
        <w:rPr>
          <w:spacing w:val="40"/>
          <w:sz w:val="24"/>
        </w:rPr>
        <w:t> </w:t>
      </w:r>
      <w:r>
        <w:rPr>
          <w:sz w:val="24"/>
        </w:rPr>
        <w:t>basement area</w:t>
      </w:r>
      <w:r>
        <w:rPr>
          <w:spacing w:val="40"/>
          <w:sz w:val="24"/>
        </w:rPr>
        <w:t> </w:t>
      </w:r>
      <w:r>
        <w:rPr>
          <w:sz w:val="24"/>
        </w:rPr>
        <w:t>at</w:t>
      </w:r>
      <w:r>
        <w:rPr>
          <w:spacing w:val="40"/>
          <w:sz w:val="24"/>
        </w:rPr>
        <w:t> </w:t>
      </w:r>
      <w:r>
        <w:rPr>
          <w:sz w:val="24"/>
        </w:rPr>
        <w:t>various</w:t>
      </w:r>
      <w:r>
        <w:rPr>
          <w:spacing w:val="40"/>
          <w:sz w:val="24"/>
        </w:rPr>
        <w:t> </w:t>
      </w:r>
      <w:r>
        <w:rPr>
          <w:sz w:val="24"/>
        </w:rPr>
        <w:t>basement</w:t>
      </w:r>
      <w:r>
        <w:rPr>
          <w:spacing w:val="40"/>
          <w:sz w:val="24"/>
        </w:rPr>
        <w:t> </w:t>
      </w:r>
      <w:r>
        <w:rPr>
          <w:sz w:val="24"/>
        </w:rPr>
        <w:t>levels</w:t>
      </w:r>
      <w:r>
        <w:rPr>
          <w:spacing w:val="40"/>
          <w:sz w:val="24"/>
        </w:rPr>
        <w:t> </w:t>
      </w:r>
      <w:r>
        <w:rPr>
          <w:sz w:val="24"/>
        </w:rPr>
        <w:t>by</w:t>
      </w:r>
      <w:r>
        <w:rPr>
          <w:spacing w:val="40"/>
          <w:sz w:val="24"/>
        </w:rPr>
        <w:t> </w:t>
      </w:r>
      <w:r>
        <w:rPr>
          <w:sz w:val="24"/>
        </w:rPr>
        <w:t>protected</w:t>
      </w:r>
      <w:r>
        <w:rPr>
          <w:spacing w:val="40"/>
          <w:sz w:val="24"/>
        </w:rPr>
        <w:t> </w:t>
      </w:r>
      <w:r>
        <w:rPr>
          <w:sz w:val="24"/>
        </w:rPr>
        <w:t>and</w:t>
      </w:r>
      <w:r>
        <w:rPr>
          <w:spacing w:val="40"/>
          <w:sz w:val="24"/>
        </w:rPr>
        <w:t> </w:t>
      </w:r>
      <w:r>
        <w:rPr>
          <w:sz w:val="24"/>
        </w:rPr>
        <w:t>ventilated lobby/lobbies. Staircase leading from basement shall be staggered at ground</w:t>
      </w:r>
      <w:r>
        <w:rPr>
          <w:spacing w:val="40"/>
          <w:sz w:val="24"/>
        </w:rPr>
        <w:t> </w:t>
      </w:r>
      <w:r>
        <w:rPr>
          <w:sz w:val="24"/>
        </w:rPr>
        <w:t>floor</w:t>
      </w:r>
      <w:r>
        <w:rPr>
          <w:spacing w:val="40"/>
          <w:sz w:val="24"/>
        </w:rPr>
        <w:t> </w:t>
      </w:r>
      <w:r>
        <w:rPr>
          <w:sz w:val="24"/>
        </w:rPr>
        <w:t>and</w:t>
      </w:r>
      <w:r>
        <w:rPr>
          <w:spacing w:val="40"/>
          <w:sz w:val="24"/>
        </w:rPr>
        <w:t> </w:t>
      </w:r>
      <w:r>
        <w:rPr>
          <w:sz w:val="24"/>
        </w:rPr>
        <w:t>then</w:t>
      </w:r>
      <w:r>
        <w:rPr>
          <w:spacing w:val="40"/>
          <w:sz w:val="24"/>
        </w:rPr>
        <w:t> </w:t>
      </w:r>
      <w:r>
        <w:rPr>
          <w:sz w:val="24"/>
        </w:rPr>
        <w:t>diverted</w:t>
      </w:r>
      <w:r>
        <w:rPr>
          <w:spacing w:val="40"/>
          <w:sz w:val="24"/>
        </w:rPr>
        <w:t> </w:t>
      </w:r>
      <w:r>
        <w:rPr>
          <w:sz w:val="24"/>
        </w:rPr>
        <w:t>to</w:t>
      </w:r>
      <w:r>
        <w:rPr>
          <w:spacing w:val="40"/>
          <w:sz w:val="24"/>
        </w:rPr>
        <w:t> </w:t>
      </w:r>
      <w:r>
        <w:rPr>
          <w:sz w:val="24"/>
        </w:rPr>
        <w:t>upper</w:t>
      </w:r>
      <w:r>
        <w:rPr>
          <w:spacing w:val="40"/>
          <w:sz w:val="24"/>
        </w:rPr>
        <w:t> </w:t>
      </w:r>
      <w:r>
        <w:rPr>
          <w:sz w:val="24"/>
        </w:rPr>
        <w:t>floors</w:t>
      </w:r>
    </w:p>
    <w:p>
      <w:pPr>
        <w:pStyle w:val="BodyText"/>
        <w:jc w:val="left"/>
      </w:pPr>
    </w:p>
    <w:p>
      <w:pPr>
        <w:pStyle w:val="BodyText"/>
        <w:spacing w:before="195"/>
        <w:jc w:val="left"/>
      </w:pPr>
    </w:p>
    <w:p>
      <w:pPr>
        <w:pStyle w:val="Heading6"/>
        <w:numPr>
          <w:ilvl w:val="1"/>
          <w:numId w:val="263"/>
        </w:numPr>
        <w:tabs>
          <w:tab w:pos="1502" w:val="left" w:leader="none"/>
        </w:tabs>
        <w:spacing w:line="240" w:lineRule="auto" w:before="1" w:after="0"/>
        <w:ind w:left="1502" w:right="0" w:hanging="369"/>
        <w:jc w:val="left"/>
        <w:rPr>
          <w:b w:val="0"/>
          <w:i w:val="0"/>
        </w:rPr>
      </w:pPr>
      <w:r>
        <w:rPr/>
        <w:t>(A) Additional </w:t>
      </w:r>
      <w:r>
        <w:rPr>
          <w:spacing w:val="-2"/>
        </w:rPr>
        <w:t>Staircase</w:t>
      </w:r>
      <w:r>
        <w:rPr>
          <w:b w:val="0"/>
          <w:spacing w:val="-2"/>
        </w:rPr>
        <w:t>:</w:t>
      </w:r>
    </w:p>
    <w:p>
      <w:pPr>
        <w:pStyle w:val="BodyText"/>
        <w:spacing w:before="81"/>
        <w:jc w:val="left"/>
        <w:rPr>
          <w:i/>
        </w:rPr>
      </w:pPr>
    </w:p>
    <w:p>
      <w:pPr>
        <w:pStyle w:val="ListParagraph"/>
        <w:numPr>
          <w:ilvl w:val="2"/>
          <w:numId w:val="263"/>
        </w:numPr>
        <w:tabs>
          <w:tab w:pos="1493" w:val="left" w:leader="none"/>
          <w:tab w:pos="1534" w:val="left" w:leader="none"/>
        </w:tabs>
        <w:spacing w:line="240" w:lineRule="auto" w:before="0" w:after="0"/>
        <w:ind w:left="1493" w:right="783" w:hanging="360"/>
        <w:jc w:val="both"/>
        <w:rPr>
          <w:sz w:val="24"/>
        </w:rPr>
      </w:pPr>
      <w:r>
        <w:rPr>
          <w:sz w:val="24"/>
        </w:rPr>
        <w:t>In</w:t>
      </w:r>
      <w:r>
        <w:rPr>
          <w:sz w:val="24"/>
        </w:rPr>
        <w:t> case of </w:t>
      </w:r>
      <w:r>
        <w:rPr>
          <w:spacing w:val="10"/>
          <w:sz w:val="24"/>
        </w:rPr>
        <w:t>high-</w:t>
      </w:r>
      <w:r>
        <w:rPr>
          <w:sz w:val="24"/>
        </w:rPr>
        <w:t>rise Residential buildings of 70 m or less, additional staircase</w:t>
      </w:r>
      <w:r>
        <w:rPr>
          <w:spacing w:val="40"/>
          <w:sz w:val="24"/>
        </w:rPr>
        <w:t> </w:t>
      </w:r>
      <w:r>
        <w:rPr>
          <w:sz w:val="24"/>
        </w:rPr>
        <w:t>shall</w:t>
      </w:r>
      <w:r>
        <w:rPr>
          <w:spacing w:val="40"/>
          <w:sz w:val="24"/>
        </w:rPr>
        <w:t> </w:t>
      </w:r>
      <w:r>
        <w:rPr>
          <w:sz w:val="24"/>
        </w:rPr>
        <w:t>be</w:t>
      </w:r>
      <w:r>
        <w:rPr>
          <w:spacing w:val="40"/>
          <w:sz w:val="24"/>
        </w:rPr>
        <w:t> </w:t>
      </w:r>
      <w:r>
        <w:rPr>
          <w:sz w:val="24"/>
        </w:rPr>
        <w:t>necessary.</w:t>
      </w:r>
    </w:p>
    <w:p>
      <w:pPr>
        <w:pStyle w:val="BodyText"/>
        <w:spacing w:before="77"/>
        <w:jc w:val="left"/>
      </w:pPr>
    </w:p>
    <w:p>
      <w:pPr>
        <w:pStyle w:val="BodyText"/>
        <w:spacing w:before="1"/>
        <w:ind w:left="1493"/>
        <w:jc w:val="left"/>
      </w:pPr>
      <w:r>
        <w:rPr/>
        <w:t>Provided,</w:t>
      </w:r>
      <w:r>
        <w:rPr>
          <w:spacing w:val="59"/>
        </w:rPr>
        <w:t> </w:t>
      </w:r>
      <w:r>
        <w:rPr/>
        <w:t>however,</w:t>
      </w:r>
      <w:r>
        <w:rPr>
          <w:spacing w:val="63"/>
        </w:rPr>
        <w:t> </w:t>
      </w:r>
      <w:r>
        <w:rPr/>
        <w:t>it</w:t>
      </w:r>
      <w:r>
        <w:rPr>
          <w:spacing w:val="60"/>
        </w:rPr>
        <w:t> </w:t>
      </w:r>
      <w:r>
        <w:rPr/>
        <w:t>will</w:t>
      </w:r>
      <w:r>
        <w:rPr>
          <w:spacing w:val="62"/>
        </w:rPr>
        <w:t> </w:t>
      </w:r>
      <w:r>
        <w:rPr/>
        <w:t>not</w:t>
      </w:r>
      <w:r>
        <w:rPr>
          <w:spacing w:val="59"/>
        </w:rPr>
        <w:t> </w:t>
      </w:r>
      <w:r>
        <w:rPr/>
        <w:t>be</w:t>
      </w:r>
      <w:r>
        <w:rPr>
          <w:spacing w:val="62"/>
        </w:rPr>
        <w:t> </w:t>
      </w:r>
      <w:r>
        <w:rPr/>
        <w:t>necessary,</w:t>
      </w:r>
      <w:r>
        <w:rPr>
          <w:spacing w:val="60"/>
        </w:rPr>
        <w:t> </w:t>
      </w:r>
      <w:r>
        <w:rPr>
          <w:spacing w:val="-5"/>
        </w:rPr>
        <w:t>if,</w:t>
      </w:r>
    </w:p>
    <w:p>
      <w:pPr>
        <w:pStyle w:val="BodyText"/>
        <w:spacing w:before="79"/>
        <w:jc w:val="left"/>
      </w:pPr>
    </w:p>
    <w:p>
      <w:pPr>
        <w:pStyle w:val="ListParagraph"/>
        <w:numPr>
          <w:ilvl w:val="3"/>
          <w:numId w:val="263"/>
        </w:numPr>
        <w:tabs>
          <w:tab w:pos="1491" w:val="left" w:leader="none"/>
          <w:tab w:pos="1493" w:val="left" w:leader="none"/>
        </w:tabs>
        <w:spacing w:line="240" w:lineRule="auto" w:before="0" w:after="0"/>
        <w:ind w:left="1493" w:right="790" w:hanging="360"/>
        <w:jc w:val="both"/>
        <w:rPr>
          <w:sz w:val="24"/>
        </w:rPr>
      </w:pPr>
      <w:r>
        <w:rPr>
          <w:sz w:val="24"/>
        </w:rPr>
        <w:t>Travel distance does not exceed that mentioned in sub regulation (3)(ii)(i)(i&amp;ii)of</w:t>
      </w:r>
      <w:r>
        <w:rPr>
          <w:spacing w:val="80"/>
          <w:sz w:val="24"/>
        </w:rPr>
        <w:t> </w:t>
      </w:r>
      <w:r>
        <w:rPr>
          <w:sz w:val="24"/>
        </w:rPr>
        <w:t>regulation</w:t>
      </w:r>
      <w:r>
        <w:rPr>
          <w:spacing w:val="80"/>
          <w:sz w:val="24"/>
        </w:rPr>
        <w:t> </w:t>
      </w:r>
      <w:r>
        <w:rPr>
          <w:sz w:val="24"/>
        </w:rPr>
        <w:t>47</w:t>
      </w:r>
      <w:r>
        <w:rPr>
          <w:spacing w:val="80"/>
          <w:sz w:val="24"/>
        </w:rPr>
        <w:t> </w:t>
      </w:r>
      <w:r>
        <w:rPr>
          <w:sz w:val="24"/>
        </w:rPr>
        <w:t>and;</w:t>
      </w:r>
    </w:p>
    <w:p>
      <w:pPr>
        <w:pStyle w:val="ListParagraph"/>
        <w:numPr>
          <w:ilvl w:val="3"/>
          <w:numId w:val="263"/>
        </w:numPr>
        <w:tabs>
          <w:tab w:pos="1542" w:val="left" w:leader="none"/>
        </w:tabs>
        <w:spacing w:line="240" w:lineRule="auto" w:before="241" w:after="0"/>
        <w:ind w:left="1542" w:right="0" w:hanging="409"/>
        <w:jc w:val="left"/>
        <w:rPr>
          <w:sz w:val="24"/>
        </w:rPr>
      </w:pPr>
      <w:r>
        <w:rPr>
          <w:sz w:val="24"/>
        </w:rPr>
        <w:t>If</w:t>
      </w:r>
      <w:r>
        <w:rPr>
          <w:spacing w:val="41"/>
          <w:sz w:val="24"/>
        </w:rPr>
        <w:t> </w:t>
      </w:r>
      <w:r>
        <w:rPr>
          <w:sz w:val="24"/>
        </w:rPr>
        <w:t>floor</w:t>
      </w:r>
      <w:r>
        <w:rPr>
          <w:spacing w:val="41"/>
          <w:sz w:val="24"/>
        </w:rPr>
        <w:t> </w:t>
      </w:r>
      <w:r>
        <w:rPr>
          <w:sz w:val="24"/>
        </w:rPr>
        <w:t>area</w:t>
      </w:r>
      <w:r>
        <w:rPr>
          <w:spacing w:val="41"/>
          <w:sz w:val="24"/>
        </w:rPr>
        <w:t> </w:t>
      </w:r>
      <w:r>
        <w:rPr>
          <w:sz w:val="24"/>
        </w:rPr>
        <w:t>on</w:t>
      </w:r>
      <w:r>
        <w:rPr>
          <w:spacing w:val="48"/>
          <w:sz w:val="24"/>
        </w:rPr>
        <w:t> </w:t>
      </w:r>
      <w:r>
        <w:rPr>
          <w:sz w:val="24"/>
        </w:rPr>
        <w:t>any</w:t>
      </w:r>
      <w:r>
        <w:rPr>
          <w:spacing w:val="41"/>
          <w:sz w:val="24"/>
        </w:rPr>
        <w:t> </w:t>
      </w:r>
      <w:r>
        <w:rPr>
          <w:sz w:val="24"/>
        </w:rPr>
        <w:t>floor</w:t>
      </w:r>
      <w:r>
        <w:rPr>
          <w:spacing w:val="41"/>
          <w:sz w:val="24"/>
        </w:rPr>
        <w:t> </w:t>
      </w:r>
      <w:r>
        <w:rPr>
          <w:sz w:val="24"/>
        </w:rPr>
        <w:t>does</w:t>
      </w:r>
      <w:r>
        <w:rPr>
          <w:spacing w:val="45"/>
          <w:sz w:val="24"/>
        </w:rPr>
        <w:t> </w:t>
      </w:r>
      <w:r>
        <w:rPr>
          <w:sz w:val="24"/>
        </w:rPr>
        <w:t>not</w:t>
      </w:r>
      <w:r>
        <w:rPr>
          <w:spacing w:val="45"/>
          <w:sz w:val="24"/>
        </w:rPr>
        <w:t> </w:t>
      </w:r>
      <w:r>
        <w:rPr>
          <w:sz w:val="24"/>
        </w:rPr>
        <w:t>exceeds</w:t>
      </w:r>
      <w:r>
        <w:rPr>
          <w:spacing w:val="45"/>
          <w:sz w:val="24"/>
        </w:rPr>
        <w:t> </w:t>
      </w:r>
      <w:r>
        <w:rPr>
          <w:sz w:val="24"/>
        </w:rPr>
        <w:t>500</w:t>
      </w:r>
      <w:r>
        <w:rPr>
          <w:spacing w:val="41"/>
          <w:sz w:val="24"/>
        </w:rPr>
        <w:t> </w:t>
      </w:r>
      <w:r>
        <w:rPr>
          <w:spacing w:val="11"/>
          <w:sz w:val="24"/>
        </w:rPr>
        <w:t>sq.</w:t>
      </w:r>
      <w:r>
        <w:rPr>
          <w:spacing w:val="43"/>
          <w:sz w:val="24"/>
        </w:rPr>
        <w:t> </w:t>
      </w:r>
      <w:r>
        <w:rPr>
          <w:spacing w:val="-10"/>
          <w:sz w:val="24"/>
        </w:rPr>
        <w:t>m</w:t>
      </w:r>
    </w:p>
    <w:p>
      <w:pPr>
        <w:pStyle w:val="ListParagraph"/>
        <w:spacing w:after="0" w:line="240" w:lineRule="auto"/>
        <w:jc w:val="left"/>
        <w:rPr>
          <w:sz w:val="24"/>
        </w:rPr>
        <w:sectPr>
          <w:pgSz w:w="11910" w:h="16840"/>
          <w:pgMar w:header="1065" w:footer="1194" w:top="1500" w:bottom="1380" w:left="360" w:right="360"/>
        </w:sectPr>
      </w:pPr>
    </w:p>
    <w:p>
      <w:pPr>
        <w:pStyle w:val="BodyText"/>
        <w:spacing w:before="249"/>
        <w:ind w:left="1493" w:right="838"/>
        <w:jc w:val="left"/>
      </w:pPr>
      <w:r>
        <w:rPr/>
        <w:t>Note:</w:t>
      </w:r>
      <w:r>
        <w:rPr>
          <w:spacing w:val="40"/>
        </w:rPr>
        <w:t> </w:t>
      </w:r>
      <w:r>
        <w:rPr/>
        <w:t>These</w:t>
      </w:r>
      <w:r>
        <w:rPr>
          <w:spacing w:val="40"/>
        </w:rPr>
        <w:t> </w:t>
      </w:r>
      <w:r>
        <w:rPr/>
        <w:t>staircases</w:t>
      </w:r>
      <w:r>
        <w:rPr>
          <w:spacing w:val="40"/>
        </w:rPr>
        <w:t> </w:t>
      </w:r>
      <w:r>
        <w:rPr/>
        <w:t>shall</w:t>
      </w:r>
      <w:r>
        <w:rPr>
          <w:spacing w:val="40"/>
        </w:rPr>
        <w:t> </w:t>
      </w:r>
      <w:r>
        <w:rPr/>
        <w:t>be</w:t>
      </w:r>
      <w:r>
        <w:rPr>
          <w:spacing w:val="40"/>
        </w:rPr>
        <w:t> </w:t>
      </w:r>
      <w:r>
        <w:rPr/>
        <w:t>of</w:t>
      </w:r>
      <w:r>
        <w:rPr>
          <w:spacing w:val="40"/>
        </w:rPr>
        <w:t> </w:t>
      </w:r>
      <w:r>
        <w:rPr/>
        <w:t>enclosed</w:t>
      </w:r>
      <w:r>
        <w:rPr>
          <w:spacing w:val="40"/>
        </w:rPr>
        <w:t> </w:t>
      </w:r>
      <w:r>
        <w:rPr/>
        <w:t>type</w:t>
      </w:r>
      <w:r>
        <w:rPr>
          <w:spacing w:val="40"/>
        </w:rPr>
        <w:t> </w:t>
      </w:r>
      <w:r>
        <w:rPr/>
        <w:t>having</w:t>
      </w:r>
      <w:r>
        <w:rPr>
          <w:spacing w:val="40"/>
        </w:rPr>
        <w:t> </w:t>
      </w:r>
      <w:r>
        <w:rPr/>
        <w:t>minimum</w:t>
      </w:r>
      <w:r>
        <w:rPr>
          <w:spacing w:val="40"/>
        </w:rPr>
        <w:t> </w:t>
      </w:r>
      <w:r>
        <w:rPr/>
        <w:t>width of 1.5m.</w:t>
      </w:r>
    </w:p>
    <w:p>
      <w:pPr>
        <w:pStyle w:val="ListParagraph"/>
        <w:numPr>
          <w:ilvl w:val="2"/>
          <w:numId w:val="263"/>
        </w:numPr>
        <w:tabs>
          <w:tab w:pos="1491" w:val="left" w:leader="none"/>
          <w:tab w:pos="1493" w:val="left" w:leader="none"/>
        </w:tabs>
        <w:spacing w:line="240" w:lineRule="auto" w:before="241" w:after="0"/>
        <w:ind w:left="1493" w:right="778" w:hanging="360"/>
        <w:jc w:val="both"/>
        <w:rPr>
          <w:sz w:val="24"/>
        </w:rPr>
      </w:pPr>
      <w:r>
        <w:rPr>
          <w:sz w:val="24"/>
        </w:rPr>
        <w:t>Buildings</w:t>
      </w:r>
      <w:r>
        <w:rPr>
          <w:spacing w:val="40"/>
          <w:sz w:val="24"/>
        </w:rPr>
        <w:t> </w:t>
      </w:r>
      <w:r>
        <w:rPr>
          <w:sz w:val="24"/>
        </w:rPr>
        <w:t>having</w:t>
      </w:r>
      <w:r>
        <w:rPr>
          <w:spacing w:val="40"/>
          <w:sz w:val="24"/>
        </w:rPr>
        <w:t> </w:t>
      </w:r>
      <w:r>
        <w:rPr>
          <w:sz w:val="24"/>
        </w:rPr>
        <w:t>height</w:t>
      </w:r>
      <w:r>
        <w:rPr>
          <w:spacing w:val="40"/>
          <w:sz w:val="24"/>
        </w:rPr>
        <w:t> </w:t>
      </w:r>
      <w:r>
        <w:rPr>
          <w:sz w:val="24"/>
        </w:rPr>
        <w:t>70</w:t>
      </w:r>
      <w:r>
        <w:rPr>
          <w:spacing w:val="40"/>
          <w:sz w:val="24"/>
        </w:rPr>
        <w:t> </w:t>
      </w:r>
      <w:r>
        <w:rPr>
          <w:sz w:val="24"/>
        </w:rPr>
        <w:t>m</w:t>
      </w:r>
      <w:r>
        <w:rPr>
          <w:spacing w:val="40"/>
          <w:sz w:val="24"/>
        </w:rPr>
        <w:t> </w:t>
      </w:r>
      <w:r>
        <w:rPr>
          <w:sz w:val="24"/>
        </w:rPr>
        <w:t>or</w:t>
      </w:r>
      <w:r>
        <w:rPr>
          <w:spacing w:val="40"/>
          <w:sz w:val="24"/>
        </w:rPr>
        <w:t> </w:t>
      </w:r>
      <w:r>
        <w:rPr>
          <w:sz w:val="24"/>
        </w:rPr>
        <w:t>more,</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with</w:t>
      </w:r>
      <w:r>
        <w:rPr>
          <w:spacing w:val="40"/>
          <w:sz w:val="24"/>
        </w:rPr>
        <w:t> </w:t>
      </w:r>
      <w:r>
        <w:rPr>
          <w:sz w:val="24"/>
        </w:rPr>
        <w:t>two enclosed</w:t>
      </w:r>
      <w:r>
        <w:rPr>
          <w:spacing w:val="78"/>
          <w:sz w:val="24"/>
        </w:rPr>
        <w:t> </w:t>
      </w:r>
      <w:r>
        <w:rPr>
          <w:sz w:val="24"/>
        </w:rPr>
        <w:t>type</w:t>
      </w:r>
      <w:r>
        <w:rPr>
          <w:spacing w:val="78"/>
          <w:sz w:val="24"/>
        </w:rPr>
        <w:t> </w:t>
      </w:r>
      <w:r>
        <w:rPr>
          <w:sz w:val="24"/>
        </w:rPr>
        <w:t>staircases,</w:t>
      </w:r>
      <w:r>
        <w:rPr>
          <w:spacing w:val="40"/>
          <w:sz w:val="24"/>
        </w:rPr>
        <w:t> </w:t>
      </w:r>
      <w:r>
        <w:rPr>
          <w:sz w:val="24"/>
        </w:rPr>
        <w:t>each</w:t>
      </w:r>
      <w:r>
        <w:rPr>
          <w:spacing w:val="40"/>
          <w:sz w:val="24"/>
        </w:rPr>
        <w:t> </w:t>
      </w:r>
      <w:r>
        <w:rPr>
          <w:sz w:val="24"/>
        </w:rPr>
        <w:t>having</w:t>
      </w:r>
      <w:r>
        <w:rPr>
          <w:spacing w:val="78"/>
          <w:sz w:val="24"/>
        </w:rPr>
        <w:t> </w:t>
      </w:r>
      <w:r>
        <w:rPr>
          <w:sz w:val="24"/>
        </w:rPr>
        <w:t>width</w:t>
      </w:r>
      <w:r>
        <w:rPr>
          <w:spacing w:val="40"/>
          <w:sz w:val="24"/>
        </w:rPr>
        <w:t> </w:t>
      </w:r>
      <w:r>
        <w:rPr>
          <w:sz w:val="24"/>
        </w:rPr>
        <w:t>not</w:t>
      </w:r>
      <w:r>
        <w:rPr>
          <w:spacing w:val="40"/>
          <w:sz w:val="24"/>
        </w:rPr>
        <w:t> </w:t>
      </w:r>
      <w:r>
        <w:rPr>
          <w:sz w:val="24"/>
        </w:rPr>
        <w:t>less</w:t>
      </w:r>
      <w:r>
        <w:rPr>
          <w:spacing w:val="78"/>
          <w:sz w:val="24"/>
        </w:rPr>
        <w:t> </w:t>
      </w:r>
      <w:r>
        <w:rPr>
          <w:sz w:val="24"/>
        </w:rPr>
        <w:t>than</w:t>
      </w:r>
      <w:r>
        <w:rPr>
          <w:spacing w:val="80"/>
          <w:sz w:val="24"/>
        </w:rPr>
        <w:t> </w:t>
      </w:r>
      <w:r>
        <w:rPr>
          <w:sz w:val="24"/>
        </w:rPr>
        <w:t>2.0</w:t>
      </w:r>
      <w:r>
        <w:rPr>
          <w:spacing w:val="40"/>
          <w:sz w:val="24"/>
        </w:rPr>
        <w:t> </w:t>
      </w:r>
      <w:r>
        <w:rPr>
          <w:sz w:val="24"/>
        </w:rPr>
        <w:t>m.</w:t>
      </w:r>
    </w:p>
    <w:p>
      <w:pPr>
        <w:pStyle w:val="ListParagraph"/>
        <w:numPr>
          <w:ilvl w:val="2"/>
          <w:numId w:val="263"/>
        </w:numPr>
        <w:tabs>
          <w:tab w:pos="1493" w:val="left" w:leader="none"/>
          <w:tab w:pos="1510" w:val="left" w:leader="none"/>
        </w:tabs>
        <w:spacing w:line="240" w:lineRule="auto" w:before="240" w:after="0"/>
        <w:ind w:left="1493" w:right="793" w:hanging="360"/>
        <w:jc w:val="both"/>
        <w:rPr>
          <w:sz w:val="24"/>
        </w:rPr>
      </w:pPr>
      <w:r>
        <w:rPr>
          <w:sz w:val="24"/>
        </w:rPr>
        <w:t>Whenever</w:t>
      </w:r>
      <w:r>
        <w:rPr>
          <w:spacing w:val="80"/>
          <w:sz w:val="24"/>
        </w:rPr>
        <w:t> </w:t>
      </w:r>
      <w:r>
        <w:rPr>
          <w:sz w:val="24"/>
        </w:rPr>
        <w:t>two</w:t>
      </w:r>
      <w:r>
        <w:rPr>
          <w:spacing w:val="40"/>
          <w:sz w:val="24"/>
        </w:rPr>
        <w:t> </w:t>
      </w:r>
      <w:r>
        <w:rPr>
          <w:sz w:val="24"/>
        </w:rPr>
        <w:t>staircases</w:t>
      </w:r>
      <w:r>
        <w:rPr>
          <w:spacing w:val="40"/>
          <w:sz w:val="24"/>
        </w:rPr>
        <w:t> </w:t>
      </w:r>
      <w:r>
        <w:rPr>
          <w:sz w:val="24"/>
        </w:rPr>
        <w:t>are</w:t>
      </w:r>
      <w:r>
        <w:rPr>
          <w:spacing w:val="40"/>
          <w:sz w:val="24"/>
        </w:rPr>
        <w:t> </w:t>
      </w:r>
      <w:r>
        <w:rPr>
          <w:sz w:val="24"/>
        </w:rPr>
        <w:t>necessary,</w:t>
      </w:r>
      <w:r>
        <w:rPr>
          <w:spacing w:val="40"/>
          <w:sz w:val="24"/>
        </w:rPr>
        <w:t> </w:t>
      </w:r>
      <w:r>
        <w:rPr>
          <w:sz w:val="24"/>
        </w:rPr>
        <w:t>both</w:t>
      </w:r>
      <w:r>
        <w:rPr>
          <w:spacing w:val="40"/>
          <w:sz w:val="24"/>
        </w:rPr>
        <w:t> </w:t>
      </w:r>
      <w:r>
        <w:rPr>
          <w:sz w:val="24"/>
        </w:rPr>
        <w:t>the</w:t>
      </w:r>
      <w:r>
        <w:rPr>
          <w:spacing w:val="40"/>
          <w:sz w:val="24"/>
        </w:rPr>
        <w:t> </w:t>
      </w:r>
      <w:r>
        <w:rPr>
          <w:sz w:val="24"/>
        </w:rPr>
        <w:t>staircases</w:t>
      </w:r>
      <w:r>
        <w:rPr>
          <w:spacing w:val="40"/>
          <w:sz w:val="24"/>
        </w:rPr>
        <w:t> </w:t>
      </w:r>
      <w:r>
        <w:rPr>
          <w:sz w:val="24"/>
        </w:rPr>
        <w:t>shall</w:t>
      </w:r>
      <w:r>
        <w:rPr>
          <w:spacing w:val="40"/>
          <w:sz w:val="24"/>
        </w:rPr>
        <w:t> </w:t>
      </w:r>
      <w:r>
        <w:rPr>
          <w:sz w:val="24"/>
        </w:rPr>
        <w:t>open</w:t>
      </w:r>
      <w:r>
        <w:rPr>
          <w:spacing w:val="40"/>
          <w:sz w:val="24"/>
        </w:rPr>
        <w:t> </w:t>
      </w:r>
      <w:r>
        <w:rPr>
          <w:sz w:val="24"/>
        </w:rPr>
        <w:t>&amp;</w:t>
      </w:r>
      <w:r>
        <w:rPr>
          <w:spacing w:val="40"/>
          <w:sz w:val="24"/>
        </w:rPr>
        <w:t> </w:t>
      </w:r>
      <w:r>
        <w:rPr>
          <w:sz w:val="24"/>
        </w:rPr>
        <w:t>terminate</w:t>
      </w:r>
      <w:r>
        <w:rPr>
          <w:spacing w:val="40"/>
          <w:sz w:val="24"/>
        </w:rPr>
        <w:t> </w:t>
      </w:r>
      <w:r>
        <w:rPr>
          <w:sz w:val="24"/>
        </w:rPr>
        <w:t>at</w:t>
      </w:r>
      <w:r>
        <w:rPr>
          <w:spacing w:val="40"/>
          <w:sz w:val="24"/>
        </w:rPr>
        <w:t> </w:t>
      </w:r>
      <w:r>
        <w:rPr>
          <w:sz w:val="24"/>
        </w:rPr>
        <w:t>ground</w:t>
      </w:r>
      <w:r>
        <w:rPr>
          <w:spacing w:val="40"/>
          <w:sz w:val="24"/>
        </w:rPr>
        <w:t> </w:t>
      </w:r>
      <w:r>
        <w:rPr>
          <w:sz w:val="24"/>
        </w:rPr>
        <w:t>floor</w:t>
      </w:r>
      <w:r>
        <w:rPr>
          <w:spacing w:val="40"/>
          <w:sz w:val="24"/>
        </w:rPr>
        <w:t> </w:t>
      </w:r>
      <w:r>
        <w:rPr>
          <w:sz w:val="24"/>
        </w:rPr>
        <w:t>or</w:t>
      </w:r>
      <w:r>
        <w:rPr>
          <w:spacing w:val="40"/>
          <w:sz w:val="24"/>
        </w:rPr>
        <w:t> </w:t>
      </w:r>
      <w:r>
        <w:rPr>
          <w:sz w:val="24"/>
        </w:rPr>
        <w:t>to</w:t>
      </w:r>
      <w:r>
        <w:rPr>
          <w:spacing w:val="40"/>
          <w:sz w:val="24"/>
        </w:rPr>
        <w:t> </w:t>
      </w:r>
      <w:r>
        <w:rPr>
          <w:sz w:val="24"/>
        </w:rPr>
        <w:t>any</w:t>
      </w:r>
      <w:r>
        <w:rPr>
          <w:spacing w:val="40"/>
          <w:sz w:val="24"/>
        </w:rPr>
        <w:t> </w:t>
      </w:r>
      <w:r>
        <w:rPr>
          <w:sz w:val="24"/>
        </w:rPr>
        <w:t>other</w:t>
      </w:r>
      <w:r>
        <w:rPr>
          <w:spacing w:val="40"/>
          <w:sz w:val="24"/>
        </w:rPr>
        <w:t> </w:t>
      </w:r>
      <w:r>
        <w:rPr>
          <w:sz w:val="24"/>
        </w:rPr>
        <w:t>place</w:t>
      </w:r>
      <w:r>
        <w:rPr>
          <w:spacing w:val="40"/>
          <w:sz w:val="24"/>
        </w:rPr>
        <w:t> </w:t>
      </w:r>
      <w:r>
        <w:rPr>
          <w:sz w:val="24"/>
        </w:rPr>
        <w:t>of</w:t>
      </w:r>
      <w:r>
        <w:rPr>
          <w:spacing w:val="40"/>
          <w:sz w:val="24"/>
        </w:rPr>
        <w:t> </w:t>
      </w:r>
      <w:r>
        <w:rPr>
          <w:sz w:val="24"/>
        </w:rPr>
        <w:t>safety.</w:t>
      </w:r>
      <w:r>
        <w:rPr>
          <w:spacing w:val="40"/>
          <w:sz w:val="24"/>
        </w:rPr>
        <w:t> </w:t>
      </w:r>
      <w:r>
        <w:rPr>
          <w:sz w:val="24"/>
        </w:rPr>
        <w:t>The staircases</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remote</w:t>
      </w:r>
      <w:r>
        <w:rPr>
          <w:spacing w:val="40"/>
          <w:sz w:val="24"/>
        </w:rPr>
        <w:t> </w:t>
      </w:r>
      <w:r>
        <w:rPr>
          <w:sz w:val="24"/>
        </w:rPr>
        <w:t>as</w:t>
      </w:r>
      <w:r>
        <w:rPr>
          <w:spacing w:val="40"/>
          <w:sz w:val="24"/>
        </w:rPr>
        <w:t> </w:t>
      </w:r>
      <w:r>
        <w:rPr>
          <w:sz w:val="24"/>
        </w:rPr>
        <w:t>possible</w:t>
      </w:r>
      <w:r>
        <w:rPr>
          <w:spacing w:val="40"/>
          <w:sz w:val="24"/>
        </w:rPr>
        <w:t> </w:t>
      </w:r>
      <w:r>
        <w:rPr>
          <w:sz w:val="24"/>
        </w:rPr>
        <w:t>from</w:t>
      </w:r>
      <w:r>
        <w:rPr>
          <w:spacing w:val="40"/>
          <w:sz w:val="24"/>
        </w:rPr>
        <w:t> </w:t>
      </w:r>
      <w:r>
        <w:rPr>
          <w:sz w:val="24"/>
        </w:rPr>
        <w:t>each</w:t>
      </w:r>
      <w:r>
        <w:rPr>
          <w:spacing w:val="40"/>
          <w:sz w:val="24"/>
        </w:rPr>
        <w:t> </w:t>
      </w:r>
      <w:r>
        <w:rPr>
          <w:sz w:val="24"/>
        </w:rPr>
        <w:t>other</w:t>
      </w:r>
    </w:p>
    <w:p>
      <w:pPr>
        <w:pStyle w:val="ListParagraph"/>
        <w:numPr>
          <w:ilvl w:val="2"/>
          <w:numId w:val="263"/>
        </w:numPr>
        <w:tabs>
          <w:tab w:pos="1491" w:val="left" w:leader="none"/>
          <w:tab w:pos="1493" w:val="left" w:leader="none"/>
        </w:tabs>
        <w:spacing w:line="240" w:lineRule="auto" w:before="240" w:after="0"/>
        <w:ind w:left="1493" w:right="784" w:hanging="360"/>
        <w:jc w:val="both"/>
        <w:rPr>
          <w:sz w:val="24"/>
        </w:rPr>
      </w:pPr>
      <w:r>
        <w:rPr>
          <w:sz w:val="24"/>
        </w:rPr>
        <w:t>Staircase leading from basement shall be staggered at ground floor and then</w:t>
      </w:r>
      <w:r>
        <w:rPr>
          <w:spacing w:val="40"/>
          <w:sz w:val="24"/>
        </w:rPr>
        <w:t> </w:t>
      </w:r>
      <w:r>
        <w:rPr>
          <w:sz w:val="24"/>
        </w:rPr>
        <w:t>diverted</w:t>
      </w:r>
      <w:r>
        <w:rPr>
          <w:spacing w:val="40"/>
          <w:sz w:val="24"/>
        </w:rPr>
        <w:t> </w:t>
      </w:r>
      <w:r>
        <w:rPr>
          <w:sz w:val="24"/>
        </w:rPr>
        <w:t>to</w:t>
      </w:r>
      <w:r>
        <w:rPr>
          <w:spacing w:val="40"/>
          <w:sz w:val="24"/>
        </w:rPr>
        <w:t> </w:t>
      </w:r>
      <w:r>
        <w:rPr>
          <w:sz w:val="24"/>
        </w:rPr>
        <w:t>upper</w:t>
      </w:r>
      <w:r>
        <w:rPr>
          <w:spacing w:val="40"/>
          <w:sz w:val="24"/>
        </w:rPr>
        <w:t> </w:t>
      </w:r>
      <w:r>
        <w:rPr>
          <w:sz w:val="24"/>
        </w:rPr>
        <w:t>floor</w:t>
      </w:r>
    </w:p>
    <w:p>
      <w:pPr>
        <w:pStyle w:val="ListParagraph"/>
        <w:numPr>
          <w:ilvl w:val="2"/>
          <w:numId w:val="263"/>
        </w:numPr>
        <w:tabs>
          <w:tab w:pos="1493" w:val="left" w:leader="none"/>
          <w:tab w:pos="1546" w:val="left" w:leader="none"/>
        </w:tabs>
        <w:spacing w:line="240" w:lineRule="auto" w:before="241" w:after="0"/>
        <w:ind w:left="1493" w:right="787" w:hanging="360"/>
        <w:jc w:val="both"/>
        <w:rPr>
          <w:sz w:val="24"/>
        </w:rPr>
      </w:pPr>
      <w:r>
        <w:rPr>
          <w:sz w:val="24"/>
        </w:rPr>
        <w:t>The</w:t>
      </w:r>
      <w:r>
        <w:rPr>
          <w:spacing w:val="80"/>
          <w:sz w:val="24"/>
        </w:rPr>
        <w:t> </w:t>
      </w:r>
      <w:r>
        <w:rPr>
          <w:sz w:val="24"/>
        </w:rPr>
        <w:t>fire</w:t>
      </w:r>
      <w:r>
        <w:rPr>
          <w:spacing w:val="40"/>
          <w:sz w:val="24"/>
        </w:rPr>
        <w:t> </w:t>
      </w:r>
      <w:r>
        <w:rPr>
          <w:sz w:val="24"/>
        </w:rPr>
        <w:t>escape</w:t>
      </w:r>
      <w:r>
        <w:rPr>
          <w:spacing w:val="40"/>
          <w:sz w:val="24"/>
        </w:rPr>
        <w:t> </w:t>
      </w:r>
      <w:r>
        <w:rPr>
          <w:sz w:val="24"/>
        </w:rPr>
        <w:t>staircase</w:t>
      </w:r>
      <w:r>
        <w:rPr>
          <w:spacing w:val="40"/>
          <w:sz w:val="24"/>
        </w:rPr>
        <w:t> </w:t>
      </w:r>
      <w:r>
        <w:rPr>
          <w:sz w:val="24"/>
        </w:rPr>
        <w:t>other</w:t>
      </w:r>
      <w:r>
        <w:rPr>
          <w:spacing w:val="40"/>
          <w:sz w:val="24"/>
        </w:rPr>
        <w:t> </w:t>
      </w:r>
      <w:r>
        <w:rPr>
          <w:sz w:val="24"/>
        </w:rPr>
        <w:t>than</w:t>
      </w:r>
      <w:r>
        <w:rPr>
          <w:spacing w:val="40"/>
          <w:sz w:val="24"/>
        </w:rPr>
        <w:t> </w:t>
      </w:r>
      <w:r>
        <w:rPr>
          <w:sz w:val="24"/>
        </w:rPr>
        <w:t>one</w:t>
      </w:r>
      <w:r>
        <w:rPr>
          <w:spacing w:val="40"/>
          <w:sz w:val="24"/>
        </w:rPr>
        <w:t> </w:t>
      </w:r>
      <w:r>
        <w:rPr>
          <w:sz w:val="24"/>
        </w:rPr>
        <w:t>required</w:t>
      </w:r>
      <w:r>
        <w:rPr>
          <w:spacing w:val="40"/>
          <w:sz w:val="24"/>
        </w:rPr>
        <w:t> </w:t>
      </w:r>
      <w:r>
        <w:rPr>
          <w:sz w:val="24"/>
        </w:rPr>
        <w:t>per</w:t>
      </w:r>
      <w:r>
        <w:rPr>
          <w:spacing w:val="40"/>
          <w:sz w:val="24"/>
        </w:rPr>
        <w:t> </w:t>
      </w:r>
      <w:r>
        <w:rPr>
          <w:sz w:val="24"/>
        </w:rPr>
        <w:t>building/wing shall</w:t>
      </w:r>
      <w:r>
        <w:rPr>
          <w:spacing w:val="40"/>
          <w:sz w:val="24"/>
        </w:rPr>
        <w:t> </w:t>
      </w:r>
      <w:r>
        <w:rPr>
          <w:sz w:val="24"/>
        </w:rPr>
        <w:t>be</w:t>
      </w:r>
      <w:r>
        <w:rPr>
          <w:spacing w:val="40"/>
          <w:sz w:val="24"/>
        </w:rPr>
        <w:t> </w:t>
      </w:r>
      <w:r>
        <w:rPr>
          <w:sz w:val="24"/>
        </w:rPr>
        <w:t>free</w:t>
      </w:r>
      <w:r>
        <w:rPr>
          <w:spacing w:val="40"/>
          <w:sz w:val="24"/>
        </w:rPr>
        <w:t> </w:t>
      </w:r>
      <w:r>
        <w:rPr>
          <w:sz w:val="24"/>
        </w:rPr>
        <w:t>of</w:t>
      </w:r>
      <w:r>
        <w:rPr>
          <w:spacing w:val="40"/>
          <w:sz w:val="24"/>
        </w:rPr>
        <w:t> </w:t>
      </w:r>
      <w:r>
        <w:rPr>
          <w:sz w:val="24"/>
        </w:rPr>
        <w:t>FSI</w:t>
      </w:r>
      <w:r>
        <w:rPr>
          <w:spacing w:val="40"/>
          <w:sz w:val="24"/>
        </w:rPr>
        <w:t> </w:t>
      </w:r>
      <w:r>
        <w:rPr>
          <w:sz w:val="24"/>
        </w:rPr>
        <w:t>without</w:t>
      </w:r>
      <w:r>
        <w:rPr>
          <w:spacing w:val="40"/>
          <w:sz w:val="24"/>
        </w:rPr>
        <w:t> </w:t>
      </w:r>
      <w:r>
        <w:rPr>
          <w:sz w:val="24"/>
        </w:rPr>
        <w:t>charging</w:t>
      </w:r>
      <w:r>
        <w:rPr>
          <w:spacing w:val="40"/>
          <w:sz w:val="24"/>
        </w:rPr>
        <w:t> </w:t>
      </w:r>
      <w:r>
        <w:rPr>
          <w:sz w:val="24"/>
        </w:rPr>
        <w:t>premium.</w:t>
      </w:r>
    </w:p>
    <w:p>
      <w:pPr>
        <w:pStyle w:val="BodyText"/>
        <w:spacing w:before="238"/>
        <w:ind w:left="1493"/>
        <w:jc w:val="left"/>
      </w:pPr>
      <w:r>
        <w:rPr>
          <w:b/>
          <w:i/>
        </w:rPr>
        <w:t>(B</w:t>
      </w:r>
      <w:r>
        <w:rPr>
          <w:i/>
        </w:rPr>
        <w:t>)</w:t>
      </w:r>
      <w:r>
        <w:rPr/>
        <w:t>In</w:t>
      </w:r>
      <w:r>
        <w:rPr>
          <w:spacing w:val="40"/>
        </w:rPr>
        <w:t> </w:t>
      </w:r>
      <w:r>
        <w:rPr/>
        <w:t>case</w:t>
      </w:r>
      <w:r>
        <w:rPr>
          <w:spacing w:val="40"/>
        </w:rPr>
        <w:t> </w:t>
      </w:r>
      <w:r>
        <w:rPr/>
        <w:t>of</w:t>
      </w:r>
      <w:r>
        <w:rPr>
          <w:spacing w:val="40"/>
        </w:rPr>
        <w:t> </w:t>
      </w:r>
      <w:r>
        <w:rPr>
          <w:spacing w:val="9"/>
        </w:rPr>
        <w:t>Institutional/Special</w:t>
      </w:r>
      <w:r>
        <w:rPr>
          <w:spacing w:val="40"/>
        </w:rPr>
        <w:t> </w:t>
      </w:r>
      <w:r>
        <w:rPr/>
        <w:t>Buildings,</w:t>
      </w:r>
      <w:r>
        <w:rPr>
          <w:spacing w:val="40"/>
        </w:rPr>
        <w:t> </w:t>
      </w:r>
      <w:r>
        <w:rPr>
          <w:spacing w:val="11"/>
        </w:rPr>
        <w:t>non-</w:t>
      </w:r>
      <w:r>
        <w:rPr/>
        <w:t>residential</w:t>
      </w:r>
      <w:r>
        <w:rPr>
          <w:spacing w:val="40"/>
        </w:rPr>
        <w:t> </w:t>
      </w:r>
      <w:r>
        <w:rPr>
          <w:spacing w:val="10"/>
        </w:rPr>
        <w:t>high-</w:t>
      </w:r>
      <w:r>
        <w:rPr/>
        <w:t>rise buildings</w:t>
      </w:r>
      <w:r>
        <w:rPr>
          <w:spacing w:val="80"/>
        </w:rPr>
        <w:t> </w:t>
      </w:r>
      <w:r>
        <w:rPr/>
        <w:t>minimum</w:t>
      </w:r>
      <w:r>
        <w:rPr>
          <w:spacing w:val="80"/>
        </w:rPr>
        <w:t> </w:t>
      </w:r>
      <w:r>
        <w:rPr/>
        <w:t>two</w:t>
      </w:r>
      <w:r>
        <w:rPr>
          <w:spacing w:val="80"/>
        </w:rPr>
        <w:t> </w:t>
      </w:r>
      <w:r>
        <w:rPr/>
        <w:t>staircases</w:t>
      </w:r>
      <w:r>
        <w:rPr>
          <w:spacing w:val="80"/>
        </w:rPr>
        <w:t> </w:t>
      </w:r>
      <w:r>
        <w:rPr/>
        <w:t>shall</w:t>
      </w:r>
      <w:r>
        <w:rPr>
          <w:spacing w:val="80"/>
        </w:rPr>
        <w:t> </w:t>
      </w:r>
      <w:r>
        <w:rPr/>
        <w:t>be</w:t>
      </w:r>
      <w:r>
        <w:rPr>
          <w:spacing w:val="80"/>
        </w:rPr>
        <w:t> </w:t>
      </w:r>
      <w:r>
        <w:rPr/>
        <w:t>necessary.</w:t>
      </w:r>
    </w:p>
    <w:p>
      <w:pPr>
        <w:pStyle w:val="BodyText"/>
        <w:spacing w:before="79"/>
        <w:jc w:val="left"/>
      </w:pPr>
    </w:p>
    <w:p>
      <w:pPr>
        <w:pStyle w:val="Heading6"/>
        <w:numPr>
          <w:ilvl w:val="1"/>
          <w:numId w:val="263"/>
        </w:numPr>
        <w:tabs>
          <w:tab w:pos="1424" w:val="left" w:leader="none"/>
        </w:tabs>
        <w:spacing w:line="240" w:lineRule="auto" w:before="0" w:after="0"/>
        <w:ind w:left="1424" w:right="0" w:hanging="291"/>
        <w:jc w:val="left"/>
        <w:rPr>
          <w:b w:val="0"/>
          <w:i w:val="0"/>
          <w:sz w:val="22"/>
        </w:rPr>
      </w:pPr>
      <w:r>
        <w:rPr/>
        <w:t>Fire</w:t>
      </w:r>
      <w:r>
        <w:rPr>
          <w:spacing w:val="-4"/>
        </w:rPr>
        <w:t> </w:t>
      </w:r>
      <w:r>
        <w:rPr/>
        <w:t>Escape</w:t>
      </w:r>
      <w:r>
        <w:rPr>
          <w:spacing w:val="-4"/>
        </w:rPr>
        <w:t> </w:t>
      </w:r>
      <w:r>
        <w:rPr>
          <w:spacing w:val="-2"/>
        </w:rPr>
        <w:t>Balcony</w:t>
      </w:r>
      <w:r>
        <w:rPr>
          <w:b w:val="0"/>
          <w:spacing w:val="-2"/>
        </w:rPr>
        <w:t>:</w:t>
      </w:r>
    </w:p>
    <w:p>
      <w:pPr>
        <w:pStyle w:val="BodyText"/>
        <w:spacing w:before="79"/>
        <w:jc w:val="left"/>
        <w:rPr>
          <w:i/>
        </w:rPr>
      </w:pPr>
    </w:p>
    <w:p>
      <w:pPr>
        <w:pStyle w:val="ListParagraph"/>
        <w:numPr>
          <w:ilvl w:val="2"/>
          <w:numId w:val="263"/>
        </w:numPr>
        <w:tabs>
          <w:tab w:pos="1493" w:val="left" w:leader="none"/>
          <w:tab w:pos="1499" w:val="left" w:leader="none"/>
        </w:tabs>
        <w:spacing w:line="240" w:lineRule="auto" w:before="0" w:after="0"/>
        <w:ind w:left="1493" w:right="790" w:hanging="360"/>
        <w:jc w:val="both"/>
        <w:rPr>
          <w:sz w:val="24"/>
        </w:rPr>
      </w:pPr>
      <w:r>
        <w:rPr>
          <w:sz w:val="24"/>
        </w:rPr>
        <w:t>For</w:t>
      </w:r>
      <w:r>
        <w:rPr>
          <w:spacing w:val="40"/>
          <w:sz w:val="24"/>
        </w:rPr>
        <w:t> </w:t>
      </w:r>
      <w:r>
        <w:rPr>
          <w:sz w:val="24"/>
        </w:rPr>
        <w:t>industrial</w:t>
      </w:r>
      <w:r>
        <w:rPr>
          <w:spacing w:val="40"/>
          <w:sz w:val="24"/>
        </w:rPr>
        <w:t> </w:t>
      </w:r>
      <w:r>
        <w:rPr>
          <w:sz w:val="24"/>
        </w:rPr>
        <w:t>buildings, a</w:t>
      </w:r>
      <w:r>
        <w:rPr>
          <w:spacing w:val="40"/>
          <w:sz w:val="24"/>
        </w:rPr>
        <w:t> </w:t>
      </w:r>
      <w:r>
        <w:rPr>
          <w:sz w:val="24"/>
        </w:rPr>
        <w:t>fire</w:t>
      </w:r>
      <w:r>
        <w:rPr>
          <w:spacing w:val="40"/>
          <w:sz w:val="24"/>
        </w:rPr>
        <w:t> </w:t>
      </w:r>
      <w:r>
        <w:rPr>
          <w:sz w:val="24"/>
        </w:rPr>
        <w:t>escape balcony</w:t>
      </w:r>
      <w:r>
        <w:rPr>
          <w:spacing w:val="40"/>
          <w:sz w:val="24"/>
        </w:rPr>
        <w:t> </w:t>
      </w:r>
      <w:r>
        <w:rPr>
          <w:sz w:val="24"/>
        </w:rPr>
        <w:t>not</w:t>
      </w:r>
      <w:r>
        <w:rPr>
          <w:spacing w:val="40"/>
          <w:sz w:val="24"/>
        </w:rPr>
        <w:t> </w:t>
      </w:r>
      <w:r>
        <w:rPr>
          <w:sz w:val="24"/>
        </w:rPr>
        <w:t>exceeding</w:t>
      </w:r>
      <w:r>
        <w:rPr>
          <w:spacing w:val="40"/>
          <w:sz w:val="24"/>
        </w:rPr>
        <w:t> </w:t>
      </w:r>
      <w:r>
        <w:rPr>
          <w:sz w:val="24"/>
        </w:rPr>
        <w:t>1.5</w:t>
      </w:r>
      <w:r>
        <w:rPr>
          <w:spacing w:val="40"/>
          <w:sz w:val="24"/>
        </w:rPr>
        <w:t> </w:t>
      </w:r>
      <w:r>
        <w:rPr>
          <w:sz w:val="24"/>
        </w:rPr>
        <w:t>m</w:t>
      </w:r>
      <w:r>
        <w:rPr>
          <w:spacing w:val="40"/>
          <w:sz w:val="24"/>
        </w:rPr>
        <w:t> </w:t>
      </w:r>
      <w:r>
        <w:rPr>
          <w:sz w:val="24"/>
        </w:rPr>
        <w:t>in width</w:t>
      </w:r>
      <w:r>
        <w:rPr>
          <w:spacing w:val="71"/>
          <w:sz w:val="24"/>
        </w:rPr>
        <w:t> </w:t>
      </w:r>
      <w:r>
        <w:rPr>
          <w:sz w:val="24"/>
        </w:rPr>
        <w:t>shall</w:t>
      </w:r>
      <w:r>
        <w:rPr>
          <w:spacing w:val="71"/>
          <w:sz w:val="24"/>
        </w:rPr>
        <w:t> </w:t>
      </w:r>
      <w:r>
        <w:rPr>
          <w:sz w:val="24"/>
        </w:rPr>
        <w:t>be</w:t>
      </w:r>
      <w:r>
        <w:rPr>
          <w:spacing w:val="71"/>
          <w:sz w:val="24"/>
        </w:rPr>
        <w:t> </w:t>
      </w:r>
      <w:r>
        <w:rPr>
          <w:sz w:val="24"/>
        </w:rPr>
        <w:t>provided</w:t>
      </w:r>
      <w:r>
        <w:rPr>
          <w:spacing w:val="71"/>
          <w:sz w:val="24"/>
        </w:rPr>
        <w:t> </w:t>
      </w:r>
      <w:r>
        <w:rPr>
          <w:sz w:val="24"/>
        </w:rPr>
        <w:t>at</w:t>
      </w:r>
      <w:r>
        <w:rPr>
          <w:spacing w:val="40"/>
          <w:sz w:val="24"/>
        </w:rPr>
        <w:t> </w:t>
      </w:r>
      <w:r>
        <w:rPr>
          <w:sz w:val="24"/>
        </w:rPr>
        <w:t>the</w:t>
      </w:r>
      <w:r>
        <w:rPr>
          <w:spacing w:val="71"/>
          <w:sz w:val="24"/>
        </w:rPr>
        <w:t> </w:t>
      </w:r>
      <w:r>
        <w:rPr>
          <w:sz w:val="24"/>
        </w:rPr>
        <w:t>periphery</w:t>
      </w:r>
      <w:r>
        <w:rPr>
          <w:spacing w:val="40"/>
          <w:sz w:val="24"/>
        </w:rPr>
        <w:t> </w:t>
      </w:r>
      <w:r>
        <w:rPr>
          <w:sz w:val="24"/>
        </w:rPr>
        <w:t>of</w:t>
      </w:r>
      <w:r>
        <w:rPr>
          <w:spacing w:val="71"/>
          <w:sz w:val="24"/>
        </w:rPr>
        <w:t> </w:t>
      </w:r>
      <w:r>
        <w:rPr>
          <w:sz w:val="24"/>
        </w:rPr>
        <w:t>every</w:t>
      </w:r>
      <w:r>
        <w:rPr>
          <w:spacing w:val="40"/>
          <w:sz w:val="24"/>
        </w:rPr>
        <w:t> </w:t>
      </w:r>
      <w:r>
        <w:rPr>
          <w:sz w:val="24"/>
        </w:rPr>
        <w:t>floor</w:t>
      </w:r>
      <w:r>
        <w:rPr>
          <w:spacing w:val="71"/>
          <w:sz w:val="24"/>
        </w:rPr>
        <w:t> </w:t>
      </w:r>
      <w:r>
        <w:rPr>
          <w:sz w:val="24"/>
        </w:rPr>
        <w:t>level</w:t>
      </w:r>
      <w:r>
        <w:rPr>
          <w:spacing w:val="40"/>
          <w:sz w:val="24"/>
        </w:rPr>
        <w:t> </w:t>
      </w:r>
      <w:r>
        <w:rPr>
          <w:sz w:val="24"/>
        </w:rPr>
        <w:t>and</w:t>
      </w:r>
      <w:r>
        <w:rPr>
          <w:spacing w:val="40"/>
          <w:sz w:val="24"/>
        </w:rPr>
        <w:t> </w:t>
      </w:r>
      <w:r>
        <w:rPr>
          <w:sz w:val="24"/>
        </w:rPr>
        <w:t>shall be</w:t>
      </w:r>
      <w:r>
        <w:rPr>
          <w:spacing w:val="40"/>
          <w:sz w:val="24"/>
        </w:rPr>
        <w:t> </w:t>
      </w:r>
      <w:r>
        <w:rPr>
          <w:sz w:val="24"/>
        </w:rPr>
        <w:t>connected</w:t>
      </w:r>
      <w:r>
        <w:rPr>
          <w:spacing w:val="40"/>
          <w:sz w:val="24"/>
        </w:rPr>
        <w:t> </w:t>
      </w:r>
      <w:r>
        <w:rPr>
          <w:sz w:val="24"/>
        </w:rPr>
        <w:t>to</w:t>
      </w:r>
      <w:r>
        <w:rPr>
          <w:spacing w:val="40"/>
          <w:sz w:val="24"/>
        </w:rPr>
        <w:t> </w:t>
      </w:r>
      <w:r>
        <w:rPr>
          <w:sz w:val="24"/>
        </w:rPr>
        <w:t>staircase</w:t>
      </w:r>
      <w:r>
        <w:rPr>
          <w:spacing w:val="40"/>
          <w:sz w:val="24"/>
        </w:rPr>
        <w:t> </w:t>
      </w:r>
      <w:r>
        <w:rPr>
          <w:sz w:val="24"/>
        </w:rPr>
        <w:t>and</w:t>
      </w:r>
      <w:r>
        <w:rPr>
          <w:spacing w:val="40"/>
          <w:sz w:val="24"/>
        </w:rPr>
        <w:t> </w:t>
      </w:r>
      <w:r>
        <w:rPr>
          <w:sz w:val="24"/>
        </w:rPr>
        <w:t>shall</w:t>
      </w:r>
      <w:r>
        <w:rPr>
          <w:spacing w:val="40"/>
          <w:sz w:val="24"/>
        </w:rPr>
        <w:t> </w:t>
      </w:r>
      <w:r>
        <w:rPr>
          <w:sz w:val="24"/>
        </w:rPr>
        <w:t>have</w:t>
      </w:r>
      <w:r>
        <w:rPr>
          <w:spacing w:val="40"/>
          <w:sz w:val="24"/>
        </w:rPr>
        <w:t> </w:t>
      </w:r>
      <w:r>
        <w:rPr>
          <w:sz w:val="24"/>
        </w:rPr>
        <w:t>a</w:t>
      </w:r>
      <w:r>
        <w:rPr>
          <w:spacing w:val="40"/>
          <w:sz w:val="24"/>
        </w:rPr>
        <w:t> </w:t>
      </w:r>
      <w:r>
        <w:rPr>
          <w:sz w:val="24"/>
        </w:rPr>
        <w:t>railing</w:t>
      </w:r>
      <w:r>
        <w:rPr>
          <w:spacing w:val="40"/>
          <w:sz w:val="24"/>
        </w:rPr>
        <w:t> </w:t>
      </w:r>
      <w:r>
        <w:rPr>
          <w:sz w:val="24"/>
        </w:rPr>
        <w:t>/</w:t>
      </w:r>
      <w:r>
        <w:rPr>
          <w:spacing w:val="40"/>
          <w:sz w:val="24"/>
        </w:rPr>
        <w:t> </w:t>
      </w:r>
      <w:r>
        <w:rPr>
          <w:sz w:val="24"/>
        </w:rPr>
        <w:t>parapet</w:t>
      </w:r>
      <w:r>
        <w:rPr>
          <w:spacing w:val="40"/>
          <w:sz w:val="24"/>
        </w:rPr>
        <w:t> </w:t>
      </w:r>
      <w:r>
        <w:rPr>
          <w:sz w:val="24"/>
        </w:rPr>
        <w:t>of</w:t>
      </w:r>
      <w:r>
        <w:rPr>
          <w:spacing w:val="40"/>
          <w:sz w:val="24"/>
        </w:rPr>
        <w:t> </w:t>
      </w:r>
      <w:r>
        <w:rPr>
          <w:sz w:val="24"/>
        </w:rPr>
        <w:t>1.1</w:t>
      </w:r>
      <w:r>
        <w:rPr>
          <w:spacing w:val="40"/>
          <w:sz w:val="24"/>
        </w:rPr>
        <w:t> </w:t>
      </w:r>
      <w:r>
        <w:rPr>
          <w:sz w:val="24"/>
        </w:rPr>
        <w:t>m height</w:t>
      </w:r>
      <w:r>
        <w:rPr>
          <w:spacing w:val="40"/>
          <w:sz w:val="24"/>
        </w:rPr>
        <w:t> </w:t>
      </w:r>
      <w:r>
        <w:rPr>
          <w:sz w:val="24"/>
        </w:rPr>
        <w:t>on</w:t>
      </w:r>
      <w:r>
        <w:rPr>
          <w:spacing w:val="40"/>
          <w:sz w:val="24"/>
        </w:rPr>
        <w:t> </w:t>
      </w:r>
      <w:r>
        <w:rPr>
          <w:sz w:val="24"/>
        </w:rPr>
        <w:t>external</w:t>
      </w:r>
      <w:r>
        <w:rPr>
          <w:spacing w:val="40"/>
          <w:sz w:val="24"/>
        </w:rPr>
        <w:t> </w:t>
      </w:r>
      <w:r>
        <w:rPr>
          <w:sz w:val="24"/>
        </w:rPr>
        <w:t>sides.</w:t>
      </w:r>
    </w:p>
    <w:p>
      <w:pPr>
        <w:pStyle w:val="BodyText"/>
        <w:spacing w:before="80"/>
        <w:jc w:val="left"/>
      </w:pPr>
    </w:p>
    <w:p>
      <w:pPr>
        <w:pStyle w:val="ListParagraph"/>
        <w:numPr>
          <w:ilvl w:val="2"/>
          <w:numId w:val="263"/>
        </w:numPr>
        <w:tabs>
          <w:tab w:pos="1539" w:val="left" w:leader="none"/>
        </w:tabs>
        <w:spacing w:line="240" w:lineRule="auto" w:before="0" w:after="0"/>
        <w:ind w:left="1539" w:right="0" w:hanging="406"/>
        <w:jc w:val="left"/>
        <w:rPr>
          <w:sz w:val="24"/>
        </w:rPr>
      </w:pPr>
      <w:r>
        <w:rPr>
          <w:sz w:val="24"/>
        </w:rPr>
        <w:t>Requirement</w:t>
      </w:r>
      <w:r>
        <w:rPr>
          <w:spacing w:val="63"/>
          <w:sz w:val="24"/>
        </w:rPr>
        <w:t> </w:t>
      </w:r>
      <w:r>
        <w:rPr>
          <w:sz w:val="24"/>
        </w:rPr>
        <w:t>of</w:t>
      </w:r>
      <w:r>
        <w:rPr>
          <w:spacing w:val="65"/>
          <w:sz w:val="24"/>
        </w:rPr>
        <w:t> </w:t>
      </w:r>
      <w:r>
        <w:rPr>
          <w:sz w:val="24"/>
        </w:rPr>
        <w:t>Fire</w:t>
      </w:r>
      <w:r>
        <w:rPr>
          <w:spacing w:val="63"/>
          <w:sz w:val="24"/>
        </w:rPr>
        <w:t> </w:t>
      </w:r>
      <w:r>
        <w:rPr>
          <w:sz w:val="24"/>
        </w:rPr>
        <w:t>Escape</w:t>
      </w:r>
      <w:r>
        <w:rPr>
          <w:spacing w:val="64"/>
          <w:sz w:val="24"/>
        </w:rPr>
        <w:t> </w:t>
      </w:r>
      <w:r>
        <w:rPr>
          <w:spacing w:val="-2"/>
          <w:sz w:val="24"/>
        </w:rPr>
        <w:t>Balcony</w:t>
      </w:r>
    </w:p>
    <w:p>
      <w:pPr>
        <w:pStyle w:val="BodyText"/>
        <w:spacing w:before="77"/>
        <w:jc w:val="left"/>
      </w:pPr>
    </w:p>
    <w:p>
      <w:pPr>
        <w:pStyle w:val="ListParagraph"/>
        <w:numPr>
          <w:ilvl w:val="3"/>
          <w:numId w:val="263"/>
        </w:numPr>
        <w:tabs>
          <w:tab w:pos="1491" w:val="left" w:leader="none"/>
          <w:tab w:pos="1493" w:val="left" w:leader="none"/>
        </w:tabs>
        <w:spacing w:line="240" w:lineRule="auto" w:before="0" w:after="0"/>
        <w:ind w:left="1493" w:right="803" w:hanging="360"/>
        <w:jc w:val="left"/>
        <w:rPr>
          <w:sz w:val="24"/>
        </w:rPr>
      </w:pPr>
      <w:r>
        <w:rPr>
          <w:sz w:val="24"/>
        </w:rPr>
        <w:t>It</w:t>
      </w:r>
      <w:r>
        <w:rPr>
          <w:spacing w:val="40"/>
          <w:sz w:val="24"/>
        </w:rPr>
        <w:t> </w:t>
      </w:r>
      <w:r>
        <w:rPr>
          <w:sz w:val="24"/>
        </w:rPr>
        <w:t>shall</w:t>
      </w:r>
      <w:r>
        <w:rPr>
          <w:spacing w:val="40"/>
          <w:sz w:val="24"/>
        </w:rPr>
        <w:t> </w:t>
      </w:r>
      <w:r>
        <w:rPr>
          <w:sz w:val="24"/>
        </w:rPr>
        <w:t>always</w:t>
      </w:r>
      <w:r>
        <w:rPr>
          <w:spacing w:val="40"/>
          <w:sz w:val="24"/>
        </w:rPr>
        <w:t> </w:t>
      </w:r>
      <w:r>
        <w:rPr>
          <w:sz w:val="24"/>
        </w:rPr>
        <w:t>be</w:t>
      </w:r>
      <w:r>
        <w:rPr>
          <w:spacing w:val="40"/>
          <w:sz w:val="24"/>
        </w:rPr>
        <w:t> </w:t>
      </w:r>
      <w:r>
        <w:rPr>
          <w:sz w:val="24"/>
        </w:rPr>
        <w:t>kept</w:t>
      </w:r>
      <w:r>
        <w:rPr>
          <w:spacing w:val="40"/>
          <w:sz w:val="24"/>
        </w:rPr>
        <w:t> </w:t>
      </w:r>
      <w:r>
        <w:rPr>
          <w:sz w:val="24"/>
        </w:rPr>
        <w:t>free</w:t>
      </w:r>
      <w:r>
        <w:rPr>
          <w:spacing w:val="40"/>
          <w:sz w:val="24"/>
        </w:rPr>
        <w:t> </w:t>
      </w:r>
      <w:r>
        <w:rPr>
          <w:sz w:val="24"/>
        </w:rPr>
        <w:t>from</w:t>
      </w:r>
      <w:r>
        <w:rPr>
          <w:spacing w:val="40"/>
          <w:sz w:val="24"/>
        </w:rPr>
        <w:t> </w:t>
      </w:r>
      <w:r>
        <w:rPr>
          <w:sz w:val="24"/>
        </w:rPr>
        <w:t>obstructions</w:t>
      </w:r>
      <w:r>
        <w:rPr>
          <w:spacing w:val="40"/>
          <w:sz w:val="24"/>
        </w:rPr>
        <w:t> </w:t>
      </w:r>
      <w:r>
        <w:rPr>
          <w:sz w:val="24"/>
        </w:rPr>
        <w:t>&amp;</w:t>
      </w:r>
      <w:r>
        <w:rPr>
          <w:spacing w:val="40"/>
          <w:sz w:val="24"/>
        </w:rPr>
        <w:t> </w:t>
      </w:r>
      <w:r>
        <w:rPr>
          <w:sz w:val="24"/>
        </w:rPr>
        <w:t>no</w:t>
      </w:r>
      <w:r>
        <w:rPr>
          <w:spacing w:val="40"/>
          <w:sz w:val="24"/>
        </w:rPr>
        <w:t> </w:t>
      </w:r>
      <w:r>
        <w:rPr>
          <w:sz w:val="24"/>
        </w:rPr>
        <w:t>partitions</w:t>
      </w:r>
      <w:r>
        <w:rPr>
          <w:spacing w:val="40"/>
          <w:sz w:val="24"/>
        </w:rPr>
        <w:t> </w:t>
      </w:r>
      <w:r>
        <w:rPr>
          <w:sz w:val="24"/>
        </w:rPr>
        <w:t>shall</w:t>
      </w:r>
      <w:r>
        <w:rPr>
          <w:spacing w:val="40"/>
          <w:sz w:val="24"/>
        </w:rPr>
        <w:t> </w:t>
      </w:r>
      <w:r>
        <w:rPr>
          <w:sz w:val="24"/>
        </w:rPr>
        <w:t>be </w:t>
      </w:r>
      <w:r>
        <w:rPr>
          <w:spacing w:val="-2"/>
          <w:sz w:val="24"/>
        </w:rPr>
        <w:t>erected.</w:t>
      </w:r>
    </w:p>
    <w:p>
      <w:pPr>
        <w:pStyle w:val="ListParagraph"/>
        <w:numPr>
          <w:ilvl w:val="3"/>
          <w:numId w:val="263"/>
        </w:numPr>
        <w:tabs>
          <w:tab w:pos="1478" w:val="left" w:leader="none"/>
          <w:tab w:pos="1541" w:val="left" w:leader="none"/>
        </w:tabs>
        <w:spacing w:line="444" w:lineRule="auto" w:before="241" w:after="0"/>
        <w:ind w:left="1478" w:right="1502" w:hanging="346"/>
        <w:jc w:val="left"/>
        <w:rPr>
          <w:sz w:val="24"/>
        </w:rPr>
      </w:pPr>
      <w:r>
        <w:rPr>
          <w:sz w:val="24"/>
        </w:rPr>
        <w:tab/>
        <w:t>It</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with</w:t>
      </w:r>
      <w:r>
        <w:rPr>
          <w:spacing w:val="40"/>
          <w:sz w:val="24"/>
        </w:rPr>
        <w:t> </w:t>
      </w:r>
      <w:r>
        <w:rPr>
          <w:sz w:val="24"/>
        </w:rPr>
        <w:t>wall</w:t>
      </w:r>
      <w:r>
        <w:rPr>
          <w:spacing w:val="40"/>
          <w:sz w:val="24"/>
        </w:rPr>
        <w:t> </w:t>
      </w:r>
      <w:r>
        <w:rPr>
          <w:sz w:val="24"/>
        </w:rPr>
        <w:t>type</w:t>
      </w:r>
      <w:r>
        <w:rPr>
          <w:spacing w:val="40"/>
          <w:sz w:val="24"/>
        </w:rPr>
        <w:t> </w:t>
      </w:r>
      <w:r>
        <w:rPr>
          <w:sz w:val="24"/>
        </w:rPr>
        <w:t>sprinklers</w:t>
      </w:r>
      <w:r>
        <w:rPr>
          <w:spacing w:val="40"/>
          <w:sz w:val="24"/>
        </w:rPr>
        <w:t> </w:t>
      </w:r>
      <w:r>
        <w:rPr>
          <w:sz w:val="24"/>
        </w:rPr>
        <w:t>at</w:t>
      </w:r>
      <w:r>
        <w:rPr>
          <w:spacing w:val="40"/>
          <w:sz w:val="24"/>
        </w:rPr>
        <w:t> </w:t>
      </w:r>
      <w:r>
        <w:rPr>
          <w:sz w:val="24"/>
        </w:rPr>
        <w:t>every</w:t>
      </w:r>
      <w:r>
        <w:rPr>
          <w:spacing w:val="40"/>
          <w:sz w:val="24"/>
        </w:rPr>
        <w:t> </w:t>
      </w:r>
      <w:r>
        <w:rPr>
          <w:sz w:val="24"/>
        </w:rPr>
        <w:t>floor</w:t>
      </w:r>
      <w:r>
        <w:rPr>
          <w:spacing w:val="40"/>
          <w:sz w:val="24"/>
        </w:rPr>
        <w:t> </w:t>
      </w:r>
      <w:r>
        <w:rPr>
          <w:sz w:val="24"/>
        </w:rPr>
        <w:t>level. Note:</w:t>
      </w:r>
      <w:r>
        <w:rPr>
          <w:spacing w:val="40"/>
          <w:sz w:val="24"/>
        </w:rPr>
        <w:t> </w:t>
      </w:r>
      <w:r>
        <w:rPr>
          <w:sz w:val="24"/>
        </w:rPr>
        <w:t>Fire</w:t>
      </w:r>
      <w:r>
        <w:rPr>
          <w:spacing w:val="40"/>
          <w:sz w:val="24"/>
        </w:rPr>
        <w:t> </w:t>
      </w:r>
      <w:r>
        <w:rPr>
          <w:sz w:val="24"/>
        </w:rPr>
        <w:t>Escape</w:t>
      </w:r>
      <w:r>
        <w:rPr>
          <w:spacing w:val="40"/>
          <w:sz w:val="24"/>
        </w:rPr>
        <w:t> </w:t>
      </w:r>
      <w:r>
        <w:rPr>
          <w:sz w:val="24"/>
        </w:rPr>
        <w:t>balcony</w:t>
      </w:r>
      <w:r>
        <w:rPr>
          <w:spacing w:val="40"/>
          <w:sz w:val="24"/>
        </w:rPr>
        <w:t> </w:t>
      </w:r>
      <w:r>
        <w:rPr>
          <w:sz w:val="24"/>
        </w:rPr>
        <w:t>shall</w:t>
      </w:r>
      <w:r>
        <w:rPr>
          <w:spacing w:val="40"/>
          <w:sz w:val="24"/>
        </w:rPr>
        <w:t> </w:t>
      </w:r>
      <w:r>
        <w:rPr>
          <w:sz w:val="24"/>
        </w:rPr>
        <w:t>be</w:t>
      </w:r>
      <w:r>
        <w:rPr>
          <w:spacing w:val="40"/>
          <w:sz w:val="24"/>
        </w:rPr>
        <w:t> </w:t>
      </w:r>
      <w:r>
        <w:rPr>
          <w:sz w:val="24"/>
        </w:rPr>
        <w:t>counted</w:t>
      </w:r>
      <w:r>
        <w:rPr>
          <w:spacing w:val="40"/>
          <w:sz w:val="24"/>
        </w:rPr>
        <w:t> </w:t>
      </w:r>
      <w:r>
        <w:rPr>
          <w:sz w:val="24"/>
        </w:rPr>
        <w:t>in</w:t>
      </w:r>
      <w:r>
        <w:rPr>
          <w:spacing w:val="40"/>
          <w:sz w:val="24"/>
        </w:rPr>
        <w:t> </w:t>
      </w:r>
      <w:r>
        <w:rPr>
          <w:sz w:val="24"/>
        </w:rPr>
        <w:t>FSI.</w:t>
      </w:r>
    </w:p>
    <w:p>
      <w:pPr>
        <w:pStyle w:val="Heading6"/>
        <w:numPr>
          <w:ilvl w:val="1"/>
          <w:numId w:val="263"/>
        </w:numPr>
        <w:tabs>
          <w:tab w:pos="1491" w:val="left" w:leader="none"/>
        </w:tabs>
        <w:spacing w:line="279" w:lineRule="exact" w:before="0" w:after="0"/>
        <w:ind w:left="1491" w:right="0" w:hanging="358"/>
        <w:jc w:val="left"/>
        <w:rPr>
          <w:b w:val="0"/>
          <w:i w:val="0"/>
        </w:rPr>
      </w:pPr>
      <w:r>
        <w:rPr>
          <w:spacing w:val="-2"/>
        </w:rPr>
        <w:t>Ramp</w:t>
      </w:r>
      <w:r>
        <w:rPr>
          <w:b w:val="0"/>
          <w:spacing w:val="-2"/>
        </w:rPr>
        <w:t>:</w:t>
      </w:r>
    </w:p>
    <w:p>
      <w:pPr>
        <w:pStyle w:val="ListParagraph"/>
        <w:numPr>
          <w:ilvl w:val="2"/>
          <w:numId w:val="263"/>
        </w:numPr>
        <w:tabs>
          <w:tab w:pos="1493" w:val="left" w:leader="none"/>
          <w:tab w:pos="1519" w:val="left" w:leader="none"/>
        </w:tabs>
        <w:spacing w:line="240" w:lineRule="auto" w:before="124" w:after="0"/>
        <w:ind w:left="1493" w:right="788" w:hanging="360"/>
        <w:jc w:val="left"/>
        <w:rPr>
          <w:sz w:val="24"/>
        </w:rPr>
      </w:pPr>
      <w:r>
        <w:rPr>
          <w:sz w:val="24"/>
        </w:rPr>
        <w:t>All</w:t>
      </w:r>
      <w:r>
        <w:rPr>
          <w:spacing w:val="80"/>
          <w:sz w:val="24"/>
        </w:rPr>
        <w:t> </w:t>
      </w:r>
      <w:r>
        <w:rPr>
          <w:sz w:val="24"/>
        </w:rPr>
        <w:t>the</w:t>
      </w:r>
      <w:r>
        <w:rPr>
          <w:spacing w:val="40"/>
          <w:sz w:val="24"/>
        </w:rPr>
        <w:t> </w:t>
      </w:r>
      <w:r>
        <w:rPr>
          <w:sz w:val="24"/>
        </w:rPr>
        <w:t>requirements</w:t>
      </w:r>
      <w:r>
        <w:rPr>
          <w:spacing w:val="40"/>
          <w:sz w:val="24"/>
        </w:rPr>
        <w:t> </w:t>
      </w:r>
      <w:r>
        <w:rPr>
          <w:sz w:val="24"/>
        </w:rPr>
        <w:t>of</w:t>
      </w:r>
      <w:r>
        <w:rPr>
          <w:spacing w:val="40"/>
          <w:sz w:val="24"/>
        </w:rPr>
        <w:t> </w:t>
      </w:r>
      <w:r>
        <w:rPr>
          <w:sz w:val="24"/>
        </w:rPr>
        <w:t>sub</w:t>
      </w:r>
      <w:r>
        <w:rPr>
          <w:spacing w:val="40"/>
          <w:sz w:val="24"/>
        </w:rPr>
        <w:t> </w:t>
      </w:r>
      <w:r>
        <w:rPr>
          <w:sz w:val="24"/>
        </w:rPr>
        <w:t>regulation</w:t>
      </w:r>
      <w:r>
        <w:rPr>
          <w:spacing w:val="40"/>
          <w:sz w:val="24"/>
        </w:rPr>
        <w:t> </w:t>
      </w:r>
      <w:r>
        <w:rPr>
          <w:sz w:val="24"/>
        </w:rPr>
        <w:t>(4)of</w:t>
      </w:r>
      <w:r>
        <w:rPr>
          <w:spacing w:val="40"/>
          <w:sz w:val="24"/>
        </w:rPr>
        <w:t> </w:t>
      </w:r>
      <w:r>
        <w:rPr>
          <w:sz w:val="24"/>
        </w:rPr>
        <w:t>this</w:t>
      </w:r>
      <w:r>
        <w:rPr>
          <w:spacing w:val="40"/>
          <w:sz w:val="24"/>
        </w:rPr>
        <w:t> </w:t>
      </w:r>
      <w:r>
        <w:rPr>
          <w:sz w:val="24"/>
        </w:rPr>
        <w:t>Regulation</w:t>
      </w:r>
      <w:r>
        <w:rPr>
          <w:spacing w:val="40"/>
          <w:sz w:val="24"/>
        </w:rPr>
        <w:t> </w:t>
      </w:r>
      <w:r>
        <w:rPr>
          <w:sz w:val="24"/>
        </w:rPr>
        <w:t>shall</w:t>
      </w:r>
      <w:r>
        <w:rPr>
          <w:spacing w:val="40"/>
          <w:sz w:val="24"/>
        </w:rPr>
        <w:t> </w:t>
      </w:r>
      <w:r>
        <w:rPr>
          <w:sz w:val="24"/>
        </w:rPr>
        <w:t>apply to</w:t>
      </w:r>
      <w:r>
        <w:rPr>
          <w:spacing w:val="40"/>
          <w:sz w:val="24"/>
        </w:rPr>
        <w:t> </w:t>
      </w:r>
      <w:r>
        <w:rPr>
          <w:sz w:val="24"/>
        </w:rPr>
        <w:t>any</w:t>
      </w:r>
      <w:r>
        <w:rPr>
          <w:spacing w:val="40"/>
          <w:sz w:val="24"/>
        </w:rPr>
        <w:t> </w:t>
      </w:r>
      <w:r>
        <w:rPr>
          <w:sz w:val="24"/>
        </w:rPr>
        <w:t>ramp</w:t>
      </w:r>
      <w:r>
        <w:rPr>
          <w:spacing w:val="40"/>
          <w:sz w:val="24"/>
        </w:rPr>
        <w:t> </w:t>
      </w:r>
      <w:r>
        <w:rPr>
          <w:sz w:val="24"/>
        </w:rPr>
        <w:t>as</w:t>
      </w:r>
      <w:r>
        <w:rPr>
          <w:spacing w:val="40"/>
          <w:sz w:val="24"/>
        </w:rPr>
        <w:t> </w:t>
      </w:r>
      <w:r>
        <w:rPr>
          <w:sz w:val="24"/>
        </w:rPr>
        <w:t>they</w:t>
      </w:r>
      <w:r>
        <w:rPr>
          <w:spacing w:val="40"/>
          <w:sz w:val="24"/>
        </w:rPr>
        <w:t> </w:t>
      </w:r>
      <w:r>
        <w:rPr>
          <w:sz w:val="24"/>
        </w:rPr>
        <w:t>apply</w:t>
      </w:r>
      <w:r>
        <w:rPr>
          <w:spacing w:val="40"/>
          <w:sz w:val="24"/>
        </w:rPr>
        <w:t> </w:t>
      </w:r>
      <w:r>
        <w:rPr>
          <w:sz w:val="24"/>
        </w:rPr>
        <w:t>to</w:t>
      </w:r>
      <w:r>
        <w:rPr>
          <w:spacing w:val="40"/>
          <w:sz w:val="24"/>
        </w:rPr>
        <w:t> </w:t>
      </w:r>
      <w:r>
        <w:rPr>
          <w:sz w:val="24"/>
        </w:rPr>
        <w:t>a</w:t>
      </w:r>
      <w:r>
        <w:rPr>
          <w:spacing w:val="40"/>
          <w:sz w:val="24"/>
        </w:rPr>
        <w:t> </w:t>
      </w:r>
      <w:r>
        <w:rPr>
          <w:spacing w:val="9"/>
          <w:sz w:val="24"/>
        </w:rPr>
        <w:t>staircase.</w:t>
      </w:r>
    </w:p>
    <w:p>
      <w:pPr>
        <w:pStyle w:val="ListParagraph"/>
        <w:numPr>
          <w:ilvl w:val="2"/>
          <w:numId w:val="263"/>
        </w:numPr>
        <w:tabs>
          <w:tab w:pos="1491" w:val="left" w:leader="none"/>
          <w:tab w:pos="1493" w:val="left" w:leader="none"/>
        </w:tabs>
        <w:spacing w:line="240" w:lineRule="auto" w:before="121" w:after="0"/>
        <w:ind w:left="1493" w:right="798" w:hanging="360"/>
        <w:jc w:val="left"/>
        <w:rPr>
          <w:sz w:val="24"/>
        </w:rPr>
      </w:pPr>
      <w:r>
        <w:rPr>
          <w:sz w:val="24"/>
        </w:rPr>
        <w:t>Ramps</w:t>
      </w:r>
      <w:r>
        <w:rPr>
          <w:spacing w:val="80"/>
          <w:sz w:val="24"/>
        </w:rPr>
        <w:t> </w:t>
      </w:r>
      <w:r>
        <w:rPr>
          <w:sz w:val="24"/>
        </w:rPr>
        <w:t>shall</w:t>
      </w:r>
      <w:r>
        <w:rPr>
          <w:spacing w:val="80"/>
          <w:sz w:val="24"/>
        </w:rPr>
        <w:t> </w:t>
      </w:r>
      <w:r>
        <w:rPr>
          <w:sz w:val="24"/>
        </w:rPr>
        <w:t>lead</w:t>
      </w:r>
      <w:r>
        <w:rPr>
          <w:spacing w:val="80"/>
          <w:sz w:val="24"/>
        </w:rPr>
        <w:t> </w:t>
      </w:r>
      <w:r>
        <w:rPr>
          <w:sz w:val="24"/>
        </w:rPr>
        <w:t>directly</w:t>
      </w:r>
      <w:r>
        <w:rPr>
          <w:spacing w:val="80"/>
          <w:sz w:val="24"/>
        </w:rPr>
        <w:t> </w:t>
      </w:r>
      <w:r>
        <w:rPr>
          <w:sz w:val="24"/>
        </w:rPr>
        <w:t>to</w:t>
      </w:r>
      <w:r>
        <w:rPr>
          <w:spacing w:val="80"/>
          <w:sz w:val="24"/>
        </w:rPr>
        <w:t> </w:t>
      </w:r>
      <w:r>
        <w:rPr>
          <w:sz w:val="24"/>
        </w:rPr>
        <w:t>outside</w:t>
      </w:r>
      <w:r>
        <w:rPr>
          <w:spacing w:val="80"/>
          <w:sz w:val="24"/>
        </w:rPr>
        <w:t> </w:t>
      </w:r>
      <w:r>
        <w:rPr>
          <w:sz w:val="24"/>
        </w:rPr>
        <w:t>open</w:t>
      </w:r>
      <w:r>
        <w:rPr>
          <w:spacing w:val="80"/>
          <w:sz w:val="24"/>
        </w:rPr>
        <w:t> </w:t>
      </w:r>
      <w:r>
        <w:rPr>
          <w:sz w:val="24"/>
        </w:rPr>
        <w:t>spaces</w:t>
      </w:r>
      <w:r>
        <w:rPr>
          <w:spacing w:val="80"/>
          <w:sz w:val="24"/>
        </w:rPr>
        <w:t> </w:t>
      </w:r>
      <w:r>
        <w:rPr>
          <w:sz w:val="24"/>
        </w:rPr>
        <w:t>at</w:t>
      </w:r>
      <w:r>
        <w:rPr>
          <w:spacing w:val="80"/>
          <w:sz w:val="24"/>
        </w:rPr>
        <w:t> </w:t>
      </w:r>
      <w:r>
        <w:rPr>
          <w:sz w:val="24"/>
        </w:rPr>
        <w:t>ground</w:t>
      </w:r>
      <w:r>
        <w:rPr>
          <w:spacing w:val="80"/>
          <w:sz w:val="24"/>
        </w:rPr>
        <w:t> </w:t>
      </w:r>
      <w:r>
        <w:rPr>
          <w:sz w:val="24"/>
        </w:rPr>
        <w:t>level</w:t>
      </w:r>
      <w:r>
        <w:rPr>
          <w:spacing w:val="80"/>
          <w:sz w:val="24"/>
        </w:rPr>
        <w:t> </w:t>
      </w:r>
      <w:r>
        <w:rPr>
          <w:sz w:val="24"/>
        </w:rPr>
        <w:t>or courtyards</w:t>
      </w:r>
      <w:r>
        <w:rPr>
          <w:spacing w:val="40"/>
          <w:sz w:val="24"/>
        </w:rPr>
        <w:t> </w:t>
      </w:r>
      <w:r>
        <w:rPr>
          <w:sz w:val="24"/>
        </w:rPr>
        <w:t>or</w:t>
      </w:r>
      <w:r>
        <w:rPr>
          <w:spacing w:val="40"/>
          <w:sz w:val="24"/>
        </w:rPr>
        <w:t> </w:t>
      </w:r>
      <w:r>
        <w:rPr>
          <w:sz w:val="24"/>
        </w:rPr>
        <w:t>other</w:t>
      </w:r>
      <w:r>
        <w:rPr>
          <w:spacing w:val="40"/>
          <w:sz w:val="24"/>
        </w:rPr>
        <w:t> </w:t>
      </w:r>
      <w:r>
        <w:rPr>
          <w:sz w:val="24"/>
        </w:rPr>
        <w:t>safe</w:t>
      </w:r>
      <w:r>
        <w:rPr>
          <w:spacing w:val="9"/>
          <w:sz w:val="24"/>
        </w:rPr>
        <w:t> places.</w:t>
      </w:r>
    </w:p>
    <w:p>
      <w:pPr>
        <w:pStyle w:val="ListParagraph"/>
        <w:numPr>
          <w:ilvl w:val="2"/>
          <w:numId w:val="263"/>
        </w:numPr>
        <w:tabs>
          <w:tab w:pos="1476" w:val="left" w:leader="none"/>
          <w:tab w:pos="1493" w:val="left" w:leader="none"/>
        </w:tabs>
        <w:spacing w:line="240" w:lineRule="auto" w:before="120" w:after="0"/>
        <w:ind w:left="1493" w:right="772" w:hanging="360"/>
        <w:jc w:val="left"/>
        <w:rPr>
          <w:sz w:val="24"/>
        </w:rPr>
      </w:pPr>
      <w:r>
        <w:rPr>
          <w:sz w:val="24"/>
        </w:rPr>
        <w:t>In</w:t>
      </w:r>
      <w:r>
        <w:rPr>
          <w:spacing w:val="34"/>
          <w:sz w:val="24"/>
        </w:rPr>
        <w:t> </w:t>
      </w:r>
      <w:r>
        <w:rPr>
          <w:sz w:val="24"/>
        </w:rPr>
        <w:t>a</w:t>
      </w:r>
      <w:r>
        <w:rPr>
          <w:spacing w:val="34"/>
          <w:sz w:val="24"/>
        </w:rPr>
        <w:t> </w:t>
      </w:r>
      <w:r>
        <w:rPr>
          <w:sz w:val="24"/>
        </w:rPr>
        <w:t>high</w:t>
      </w:r>
      <w:r>
        <w:rPr>
          <w:spacing w:val="37"/>
          <w:sz w:val="24"/>
        </w:rPr>
        <w:t> </w:t>
      </w:r>
      <w:r>
        <w:rPr>
          <w:sz w:val="24"/>
        </w:rPr>
        <w:t>rise</w:t>
      </w:r>
      <w:r>
        <w:rPr>
          <w:spacing w:val="34"/>
          <w:sz w:val="24"/>
        </w:rPr>
        <w:t> </w:t>
      </w:r>
      <w:r>
        <w:rPr>
          <w:sz w:val="24"/>
        </w:rPr>
        <w:t>and</w:t>
      </w:r>
      <w:r>
        <w:rPr>
          <w:spacing w:val="37"/>
          <w:sz w:val="24"/>
        </w:rPr>
        <w:t> </w:t>
      </w:r>
      <w:r>
        <w:rPr>
          <w:sz w:val="24"/>
        </w:rPr>
        <w:t>special</w:t>
      </w:r>
      <w:r>
        <w:rPr>
          <w:spacing w:val="37"/>
          <w:sz w:val="24"/>
        </w:rPr>
        <w:t> </w:t>
      </w:r>
      <w:r>
        <w:rPr>
          <w:sz w:val="24"/>
        </w:rPr>
        <w:t>building,</w:t>
      </w:r>
      <w:r>
        <w:rPr>
          <w:spacing w:val="37"/>
          <w:sz w:val="24"/>
        </w:rPr>
        <w:t> </w:t>
      </w:r>
      <w:r>
        <w:rPr>
          <w:sz w:val="24"/>
        </w:rPr>
        <w:t>access</w:t>
      </w:r>
      <w:r>
        <w:rPr>
          <w:spacing w:val="34"/>
          <w:sz w:val="24"/>
        </w:rPr>
        <w:t> </w:t>
      </w:r>
      <w:r>
        <w:rPr>
          <w:sz w:val="24"/>
        </w:rPr>
        <w:t>to</w:t>
      </w:r>
      <w:r>
        <w:rPr>
          <w:spacing w:val="37"/>
          <w:sz w:val="24"/>
        </w:rPr>
        <w:t> </w:t>
      </w:r>
      <w:r>
        <w:rPr>
          <w:sz w:val="24"/>
        </w:rPr>
        <w:t>ramps</w:t>
      </w:r>
      <w:r>
        <w:rPr>
          <w:spacing w:val="37"/>
          <w:sz w:val="24"/>
        </w:rPr>
        <w:t> </w:t>
      </w:r>
      <w:r>
        <w:rPr>
          <w:sz w:val="24"/>
        </w:rPr>
        <w:t>from</w:t>
      </w:r>
      <w:r>
        <w:rPr>
          <w:spacing w:val="40"/>
          <w:sz w:val="24"/>
        </w:rPr>
        <w:t> </w:t>
      </w:r>
      <w:r>
        <w:rPr>
          <w:sz w:val="24"/>
        </w:rPr>
        <w:t>any</w:t>
      </w:r>
      <w:r>
        <w:rPr>
          <w:spacing w:val="34"/>
          <w:sz w:val="24"/>
        </w:rPr>
        <w:t> </w:t>
      </w:r>
      <w:r>
        <w:rPr>
          <w:sz w:val="24"/>
        </w:rPr>
        <w:t>floor</w:t>
      </w:r>
      <w:r>
        <w:rPr>
          <w:spacing w:val="40"/>
          <w:sz w:val="24"/>
        </w:rPr>
        <w:t> </w:t>
      </w:r>
      <w:r>
        <w:rPr>
          <w:sz w:val="24"/>
        </w:rPr>
        <w:t>shall be</w:t>
      </w:r>
      <w:r>
        <w:rPr>
          <w:spacing w:val="40"/>
          <w:sz w:val="24"/>
        </w:rPr>
        <w:t> </w:t>
      </w:r>
      <w:r>
        <w:rPr>
          <w:sz w:val="24"/>
        </w:rPr>
        <w:t>through</w:t>
      </w:r>
      <w:r>
        <w:rPr>
          <w:spacing w:val="40"/>
          <w:sz w:val="24"/>
        </w:rPr>
        <w:t> </w:t>
      </w:r>
      <w:r>
        <w:rPr>
          <w:sz w:val="24"/>
        </w:rPr>
        <w:t>a</w:t>
      </w:r>
      <w:r>
        <w:rPr>
          <w:spacing w:val="10"/>
          <w:sz w:val="24"/>
        </w:rPr>
        <w:t> smoke-</w:t>
      </w:r>
      <w:r>
        <w:rPr>
          <w:sz w:val="24"/>
        </w:rPr>
        <w:t>stop</w:t>
      </w:r>
      <w:r>
        <w:rPr>
          <w:spacing w:val="40"/>
          <w:sz w:val="24"/>
        </w:rPr>
        <w:t> </w:t>
      </w:r>
      <w:r>
        <w:rPr>
          <w:sz w:val="24"/>
        </w:rPr>
        <w:t>door.</w:t>
      </w:r>
    </w:p>
    <w:p>
      <w:pPr>
        <w:pStyle w:val="Heading6"/>
        <w:numPr>
          <w:ilvl w:val="1"/>
          <w:numId w:val="263"/>
        </w:numPr>
        <w:tabs>
          <w:tab w:pos="1492" w:val="left" w:leader="none"/>
        </w:tabs>
        <w:spacing w:line="240" w:lineRule="auto" w:before="236" w:after="0"/>
        <w:ind w:left="1492" w:right="0" w:hanging="359"/>
        <w:jc w:val="left"/>
        <w:rPr>
          <w:b w:val="0"/>
          <w:i w:val="0"/>
        </w:rPr>
      </w:pPr>
      <w:r>
        <w:rPr/>
        <w:t>Refuge</w:t>
      </w:r>
      <w:r>
        <w:rPr>
          <w:spacing w:val="-5"/>
        </w:rPr>
        <w:t> </w:t>
      </w:r>
      <w:r>
        <w:rPr>
          <w:spacing w:val="-4"/>
        </w:rPr>
        <w:t>area</w:t>
      </w:r>
    </w:p>
    <w:p>
      <w:pPr>
        <w:pStyle w:val="Heading6"/>
        <w:spacing w:after="0" w:line="240" w:lineRule="auto"/>
        <w:jc w:val="left"/>
        <w:rPr>
          <w:b w:val="0"/>
          <w:i w:val="0"/>
        </w:rPr>
        <w:sectPr>
          <w:pgSz w:w="11910" w:h="16840"/>
          <w:pgMar w:header="1065" w:footer="1194" w:top="1500" w:bottom="1380" w:left="360" w:right="360"/>
        </w:sectPr>
      </w:pPr>
    </w:p>
    <w:p>
      <w:pPr>
        <w:pStyle w:val="ListParagraph"/>
        <w:numPr>
          <w:ilvl w:val="2"/>
          <w:numId w:val="263"/>
        </w:numPr>
        <w:tabs>
          <w:tab w:pos="1493" w:val="left" w:leader="none"/>
          <w:tab w:pos="1508" w:val="left" w:leader="none"/>
        </w:tabs>
        <w:spacing w:line="240" w:lineRule="auto" w:before="249" w:after="0"/>
        <w:ind w:left="1493" w:right="771" w:hanging="360"/>
        <w:jc w:val="both"/>
        <w:rPr>
          <w:sz w:val="24"/>
        </w:rPr>
      </w:pPr>
      <w:r>
        <w:rPr>
          <w:sz w:val="24"/>
        </w:rPr>
        <w:t>(i)</w:t>
      </w:r>
      <w:r>
        <w:rPr>
          <w:sz w:val="24"/>
        </w:rPr>
        <w:t> The refuge area shall be preferably provided within building line at floor </w:t>
      </w:r>
      <w:r>
        <w:rPr>
          <w:spacing w:val="-2"/>
          <w:sz w:val="24"/>
        </w:rPr>
        <w:t>level.</w:t>
      </w:r>
    </w:p>
    <w:p>
      <w:pPr>
        <w:pStyle w:val="BodyText"/>
        <w:spacing w:before="121"/>
        <w:ind w:left="1493" w:right="769"/>
      </w:pPr>
      <w:r>
        <w:rPr/>
        <w:t>(ii) In case of high rise buildings having height more than 32 m, first refuge area</w:t>
      </w:r>
      <w:r>
        <w:rPr>
          <w:spacing w:val="-3"/>
        </w:rPr>
        <w:t> </w:t>
      </w:r>
      <w:r>
        <w:rPr/>
        <w:t>shall</w:t>
      </w:r>
      <w:r>
        <w:rPr>
          <w:spacing w:val="-3"/>
        </w:rPr>
        <w:t> </w:t>
      </w:r>
      <w:r>
        <w:rPr/>
        <w:t>be</w:t>
      </w:r>
      <w:r>
        <w:rPr>
          <w:spacing w:val="-3"/>
        </w:rPr>
        <w:t> </w:t>
      </w:r>
      <w:r>
        <w:rPr/>
        <w:t>provided</w:t>
      </w:r>
      <w:r>
        <w:rPr>
          <w:spacing w:val="-3"/>
        </w:rPr>
        <w:t> </w:t>
      </w:r>
      <w:r>
        <w:rPr/>
        <w:t>at</w:t>
      </w:r>
      <w:r>
        <w:rPr>
          <w:spacing w:val="-3"/>
        </w:rPr>
        <w:t> </w:t>
      </w:r>
      <w:r>
        <w:rPr/>
        <w:t>24</w:t>
      </w:r>
      <w:r>
        <w:rPr>
          <w:spacing w:val="-3"/>
        </w:rPr>
        <w:t> </w:t>
      </w:r>
      <w:r>
        <w:rPr/>
        <w:t>m</w:t>
      </w:r>
      <w:r>
        <w:rPr>
          <w:spacing w:val="-3"/>
        </w:rPr>
        <w:t> </w:t>
      </w:r>
      <w:r>
        <w:rPr/>
        <w:t>or</w:t>
      </w:r>
      <w:r>
        <w:rPr>
          <w:spacing w:val="-3"/>
        </w:rPr>
        <w:t> </w:t>
      </w:r>
      <w:r>
        <w:rPr/>
        <w:t>at</w:t>
      </w:r>
      <w:r>
        <w:rPr>
          <w:spacing w:val="-3"/>
        </w:rPr>
        <w:t> </w:t>
      </w:r>
      <w:r>
        <w:rPr/>
        <w:t>1st</w:t>
      </w:r>
      <w:r>
        <w:rPr>
          <w:spacing w:val="-3"/>
        </w:rPr>
        <w:t> </w:t>
      </w:r>
      <w:r>
        <w:rPr/>
        <w:t>habitable</w:t>
      </w:r>
      <w:r>
        <w:rPr>
          <w:spacing w:val="-3"/>
        </w:rPr>
        <w:t> </w:t>
      </w:r>
      <w:r>
        <w:rPr/>
        <w:t>floor,</w:t>
      </w:r>
      <w:r>
        <w:rPr>
          <w:spacing w:val="-3"/>
        </w:rPr>
        <w:t> </w:t>
      </w:r>
      <w:r>
        <w:rPr/>
        <w:t>whichever</w:t>
      </w:r>
      <w:r>
        <w:rPr>
          <w:spacing w:val="-3"/>
        </w:rPr>
        <w:t> </w:t>
      </w:r>
      <w:r>
        <w:rPr/>
        <w:t>is</w:t>
      </w:r>
      <w:r>
        <w:rPr>
          <w:spacing w:val="-3"/>
        </w:rPr>
        <w:t> </w:t>
      </w:r>
      <w:r>
        <w:rPr/>
        <w:t>higher. Thereafter,</w:t>
      </w:r>
      <w:r>
        <w:rPr>
          <w:spacing w:val="-17"/>
        </w:rPr>
        <w:t> </w:t>
      </w:r>
      <w:r>
        <w:rPr/>
        <w:t>the</w:t>
      </w:r>
      <w:r>
        <w:rPr>
          <w:spacing w:val="-15"/>
        </w:rPr>
        <w:t> </w:t>
      </w:r>
      <w:r>
        <w:rPr/>
        <w:t>refuge</w:t>
      </w:r>
      <w:r>
        <w:rPr>
          <w:spacing w:val="-17"/>
        </w:rPr>
        <w:t> </w:t>
      </w:r>
      <w:r>
        <w:rPr/>
        <w:t>area</w:t>
      </w:r>
      <w:r>
        <w:rPr>
          <w:spacing w:val="-17"/>
        </w:rPr>
        <w:t> </w:t>
      </w:r>
      <w:r>
        <w:rPr/>
        <w:t>shall</w:t>
      </w:r>
      <w:r>
        <w:rPr>
          <w:spacing w:val="-17"/>
        </w:rPr>
        <w:t> </w:t>
      </w:r>
      <w:r>
        <w:rPr/>
        <w:t>be</w:t>
      </w:r>
      <w:r>
        <w:rPr>
          <w:spacing w:val="-17"/>
        </w:rPr>
        <w:t> </w:t>
      </w:r>
      <w:r>
        <w:rPr/>
        <w:t>provided</w:t>
      </w:r>
      <w:r>
        <w:rPr>
          <w:spacing w:val="-17"/>
        </w:rPr>
        <w:t> </w:t>
      </w:r>
      <w:r>
        <w:rPr/>
        <w:t>at</w:t>
      </w:r>
      <w:r>
        <w:rPr>
          <w:spacing w:val="-17"/>
        </w:rPr>
        <w:t> </w:t>
      </w:r>
      <w:r>
        <w:rPr/>
        <w:t>every</w:t>
      </w:r>
      <w:r>
        <w:rPr>
          <w:spacing w:val="-17"/>
        </w:rPr>
        <w:t> </w:t>
      </w:r>
      <w:r>
        <w:rPr/>
        <w:t>7th</w:t>
      </w:r>
      <w:r>
        <w:rPr>
          <w:spacing w:val="-17"/>
        </w:rPr>
        <w:t> </w:t>
      </w:r>
      <w:r>
        <w:rPr/>
        <w:t>habitable</w:t>
      </w:r>
      <w:r>
        <w:rPr>
          <w:spacing w:val="-17"/>
        </w:rPr>
        <w:t> </w:t>
      </w:r>
      <w:r>
        <w:rPr/>
        <w:t>floor.</w:t>
      </w:r>
      <w:r>
        <w:rPr>
          <w:spacing w:val="40"/>
        </w:rPr>
        <w:t> </w:t>
      </w:r>
      <w:r>
        <w:rPr/>
        <w:t>The refuge area shall be 4% of the habitable floor area it serves, and will be free of</w:t>
      </w:r>
      <w:r>
        <w:rPr>
          <w:spacing w:val="-1"/>
        </w:rPr>
        <w:t> </w:t>
      </w:r>
      <w:r>
        <w:rPr/>
        <w:t>FSI.</w:t>
      </w:r>
      <w:r>
        <w:rPr>
          <w:spacing w:val="40"/>
        </w:rPr>
        <w:t> </w:t>
      </w:r>
      <w:r>
        <w:rPr/>
        <w:t>With</w:t>
      </w:r>
      <w:r>
        <w:rPr>
          <w:spacing w:val="-1"/>
        </w:rPr>
        <w:t> </w:t>
      </w:r>
      <w:r>
        <w:rPr/>
        <w:t>the</w:t>
      </w:r>
      <w:r>
        <w:rPr>
          <w:spacing w:val="-1"/>
        </w:rPr>
        <w:t> </w:t>
      </w:r>
      <w:r>
        <w:rPr/>
        <w:t>permission</w:t>
      </w:r>
      <w:r>
        <w:rPr>
          <w:spacing w:val="-1"/>
        </w:rPr>
        <w:t> </w:t>
      </w:r>
      <w:r>
        <w:rPr/>
        <w:t>of</w:t>
      </w:r>
      <w:r>
        <w:rPr>
          <w:spacing w:val="-1"/>
        </w:rPr>
        <w:t> </w:t>
      </w:r>
      <w:r>
        <w:rPr/>
        <w:t>Commissioner</w:t>
      </w:r>
      <w:r>
        <w:rPr>
          <w:spacing w:val="-1"/>
        </w:rPr>
        <w:t> </w:t>
      </w:r>
      <w:r>
        <w:rPr/>
        <w:t>due</w:t>
      </w:r>
      <w:r>
        <w:rPr>
          <w:spacing w:val="-1"/>
        </w:rPr>
        <w:t> </w:t>
      </w:r>
      <w:r>
        <w:rPr/>
        <w:t>to</w:t>
      </w:r>
      <w:r>
        <w:rPr>
          <w:spacing w:val="-1"/>
        </w:rPr>
        <w:t> </w:t>
      </w:r>
      <w:r>
        <w:rPr/>
        <w:t>planning</w:t>
      </w:r>
      <w:r>
        <w:rPr>
          <w:spacing w:val="-1"/>
        </w:rPr>
        <w:t> </w:t>
      </w:r>
      <w:r>
        <w:rPr/>
        <w:t>constraints</w:t>
      </w:r>
      <w:r>
        <w:rPr>
          <w:spacing w:val="-1"/>
        </w:rPr>
        <w:t> </w:t>
      </w:r>
      <w:r>
        <w:rPr/>
        <w:t>it may be allowed to be exceeded up to maximum limit of 4.25%. If it exceeds 4.25%, the excess area shall be counted in FSI.</w:t>
      </w:r>
    </w:p>
    <w:p>
      <w:pPr>
        <w:pStyle w:val="ListParagraph"/>
        <w:numPr>
          <w:ilvl w:val="2"/>
          <w:numId w:val="263"/>
        </w:numPr>
        <w:tabs>
          <w:tab w:pos="1493" w:val="left" w:leader="none"/>
        </w:tabs>
        <w:spacing w:line="240" w:lineRule="auto" w:before="120" w:after="0"/>
        <w:ind w:left="1493" w:right="771" w:hanging="360"/>
        <w:jc w:val="both"/>
        <w:rPr>
          <w:sz w:val="24"/>
        </w:rPr>
      </w:pPr>
      <w:r>
        <w:rPr>
          <w:sz w:val="24"/>
        </w:rPr>
        <w:t>For</w:t>
      </w:r>
      <w:r>
        <w:rPr>
          <w:spacing w:val="-5"/>
          <w:sz w:val="24"/>
        </w:rPr>
        <w:t> </w:t>
      </w:r>
      <w:r>
        <w:rPr>
          <w:sz w:val="24"/>
        </w:rPr>
        <w:t>buildings</w:t>
      </w:r>
      <w:r>
        <w:rPr>
          <w:spacing w:val="-5"/>
          <w:sz w:val="24"/>
        </w:rPr>
        <w:t> </w:t>
      </w:r>
      <w:r>
        <w:rPr>
          <w:sz w:val="24"/>
        </w:rPr>
        <w:t>having</w:t>
      </w:r>
      <w:r>
        <w:rPr>
          <w:spacing w:val="-3"/>
          <w:sz w:val="24"/>
        </w:rPr>
        <w:t> </w:t>
      </w:r>
      <w:r>
        <w:rPr>
          <w:sz w:val="24"/>
        </w:rPr>
        <w:t>height</w:t>
      </w:r>
      <w:r>
        <w:rPr>
          <w:spacing w:val="-5"/>
          <w:sz w:val="24"/>
        </w:rPr>
        <w:t> </w:t>
      </w:r>
      <w:r>
        <w:rPr>
          <w:sz w:val="24"/>
        </w:rPr>
        <w:t>upto</w:t>
      </w:r>
      <w:r>
        <w:rPr>
          <w:spacing w:val="-5"/>
          <w:sz w:val="24"/>
        </w:rPr>
        <w:t> </w:t>
      </w:r>
      <w:r>
        <w:rPr>
          <w:sz w:val="24"/>
        </w:rPr>
        <w:t>70</w:t>
      </w:r>
      <w:r>
        <w:rPr>
          <w:spacing w:val="-5"/>
          <w:sz w:val="24"/>
        </w:rPr>
        <w:t> </w:t>
      </w:r>
      <w:r>
        <w:rPr>
          <w:sz w:val="24"/>
        </w:rPr>
        <w:t>m,</w:t>
      </w:r>
      <w:r>
        <w:rPr>
          <w:spacing w:val="-5"/>
          <w:sz w:val="24"/>
        </w:rPr>
        <w:t> </w:t>
      </w:r>
      <w:r>
        <w:rPr>
          <w:sz w:val="24"/>
        </w:rPr>
        <w:t>as</w:t>
      </w:r>
      <w:r>
        <w:rPr>
          <w:spacing w:val="-5"/>
          <w:sz w:val="24"/>
        </w:rPr>
        <w:t> </w:t>
      </w:r>
      <w:r>
        <w:rPr>
          <w:sz w:val="24"/>
        </w:rPr>
        <w:t>an</w:t>
      </w:r>
      <w:r>
        <w:rPr>
          <w:spacing w:val="-5"/>
          <w:sz w:val="24"/>
        </w:rPr>
        <w:t> </w:t>
      </w:r>
      <w:r>
        <w:rPr>
          <w:sz w:val="24"/>
        </w:rPr>
        <w:t>alternate,</w:t>
      </w:r>
      <w:r>
        <w:rPr>
          <w:spacing w:val="-5"/>
          <w:sz w:val="24"/>
        </w:rPr>
        <w:t> </w:t>
      </w:r>
      <w:r>
        <w:rPr>
          <w:sz w:val="24"/>
        </w:rPr>
        <w:t>Refuge</w:t>
      </w:r>
      <w:r>
        <w:rPr>
          <w:spacing w:val="-5"/>
          <w:sz w:val="24"/>
        </w:rPr>
        <w:t> </w:t>
      </w:r>
      <w:r>
        <w:rPr>
          <w:sz w:val="24"/>
        </w:rPr>
        <w:t>areas</w:t>
      </w:r>
      <w:r>
        <w:rPr>
          <w:spacing w:val="-5"/>
          <w:sz w:val="24"/>
        </w:rPr>
        <w:t> </w:t>
      </w:r>
      <w:r>
        <w:rPr>
          <w:sz w:val="24"/>
        </w:rPr>
        <w:t>can</w:t>
      </w:r>
      <w:r>
        <w:rPr>
          <w:spacing w:val="-5"/>
          <w:sz w:val="24"/>
        </w:rPr>
        <w:t> </w:t>
      </w:r>
      <w:r>
        <w:rPr>
          <w:sz w:val="24"/>
        </w:rPr>
        <w:t>be provided</w:t>
      </w:r>
      <w:r>
        <w:rPr>
          <w:spacing w:val="-4"/>
          <w:sz w:val="24"/>
        </w:rPr>
        <w:t> </w:t>
      </w:r>
      <w:r>
        <w:rPr>
          <w:sz w:val="24"/>
        </w:rPr>
        <w:t>as</w:t>
      </w:r>
      <w:r>
        <w:rPr>
          <w:spacing w:val="-4"/>
          <w:sz w:val="24"/>
        </w:rPr>
        <w:t> </w:t>
      </w:r>
      <w:r>
        <w:rPr>
          <w:sz w:val="24"/>
        </w:rPr>
        <w:t>RCC</w:t>
      </w:r>
      <w:r>
        <w:rPr>
          <w:spacing w:val="-4"/>
          <w:sz w:val="24"/>
        </w:rPr>
        <w:t> </w:t>
      </w:r>
      <w:r>
        <w:rPr>
          <w:sz w:val="24"/>
        </w:rPr>
        <w:t>cantilever</w:t>
      </w:r>
      <w:r>
        <w:rPr>
          <w:spacing w:val="-4"/>
          <w:sz w:val="24"/>
        </w:rPr>
        <w:t> </w:t>
      </w:r>
      <w:r>
        <w:rPr>
          <w:sz w:val="24"/>
        </w:rPr>
        <w:t>projections</w:t>
      </w:r>
      <w:r>
        <w:rPr>
          <w:spacing w:val="-4"/>
          <w:sz w:val="24"/>
        </w:rPr>
        <w:t> </w:t>
      </w:r>
      <w:r>
        <w:rPr>
          <w:sz w:val="24"/>
        </w:rPr>
        <w:t>at</w:t>
      </w:r>
      <w:r>
        <w:rPr>
          <w:spacing w:val="-4"/>
          <w:sz w:val="24"/>
        </w:rPr>
        <w:t> </w:t>
      </w:r>
      <w:r>
        <w:rPr>
          <w:sz w:val="24"/>
        </w:rPr>
        <w:t>the</w:t>
      </w:r>
      <w:r>
        <w:rPr>
          <w:spacing w:val="-4"/>
          <w:sz w:val="24"/>
        </w:rPr>
        <w:t> </w:t>
      </w:r>
      <w:r>
        <w:rPr>
          <w:sz w:val="24"/>
        </w:rPr>
        <w:t>alternate</w:t>
      </w:r>
      <w:r>
        <w:rPr>
          <w:spacing w:val="-4"/>
          <w:sz w:val="24"/>
        </w:rPr>
        <w:t> </w:t>
      </w:r>
      <w:r>
        <w:rPr>
          <w:sz w:val="24"/>
        </w:rPr>
        <w:t>mid-landing</w:t>
      </w:r>
      <w:r>
        <w:rPr>
          <w:spacing w:val="-4"/>
          <w:sz w:val="24"/>
        </w:rPr>
        <w:t> </w:t>
      </w:r>
      <w:r>
        <w:rPr>
          <w:sz w:val="24"/>
        </w:rPr>
        <w:t>levels</w:t>
      </w:r>
      <w:r>
        <w:rPr>
          <w:spacing w:val="-4"/>
          <w:sz w:val="24"/>
        </w:rPr>
        <w:t> </w:t>
      </w:r>
      <w:r>
        <w:rPr>
          <w:sz w:val="24"/>
        </w:rPr>
        <w:t>of staircase,</w:t>
      </w:r>
      <w:r>
        <w:rPr>
          <w:spacing w:val="-13"/>
          <w:sz w:val="24"/>
        </w:rPr>
        <w:t> </w:t>
      </w:r>
      <w:r>
        <w:rPr>
          <w:sz w:val="24"/>
        </w:rPr>
        <w:t>free</w:t>
      </w:r>
      <w:r>
        <w:rPr>
          <w:spacing w:val="-13"/>
          <w:sz w:val="24"/>
        </w:rPr>
        <w:t> </w:t>
      </w:r>
      <w:r>
        <w:rPr>
          <w:sz w:val="24"/>
        </w:rPr>
        <w:t>of</w:t>
      </w:r>
      <w:r>
        <w:rPr>
          <w:spacing w:val="-13"/>
          <w:sz w:val="24"/>
        </w:rPr>
        <w:t> </w:t>
      </w:r>
      <w:r>
        <w:rPr>
          <w:sz w:val="24"/>
        </w:rPr>
        <w:t>FSI.</w:t>
      </w:r>
      <w:r>
        <w:rPr>
          <w:spacing w:val="-15"/>
          <w:sz w:val="24"/>
        </w:rPr>
        <w:t> </w:t>
      </w:r>
      <w:r>
        <w:rPr>
          <w:sz w:val="24"/>
        </w:rPr>
        <w:t>Each</w:t>
      </w:r>
      <w:r>
        <w:rPr>
          <w:spacing w:val="-13"/>
          <w:sz w:val="24"/>
        </w:rPr>
        <w:t> </w:t>
      </w:r>
      <w:r>
        <w:rPr>
          <w:sz w:val="24"/>
        </w:rPr>
        <w:t>refuge</w:t>
      </w:r>
      <w:r>
        <w:rPr>
          <w:spacing w:val="-13"/>
          <w:sz w:val="24"/>
        </w:rPr>
        <w:t> </w:t>
      </w:r>
      <w:r>
        <w:rPr>
          <w:sz w:val="24"/>
        </w:rPr>
        <w:t>area</w:t>
      </w:r>
      <w:r>
        <w:rPr>
          <w:spacing w:val="-13"/>
          <w:sz w:val="24"/>
        </w:rPr>
        <w:t> </w:t>
      </w:r>
      <w:r>
        <w:rPr>
          <w:sz w:val="24"/>
        </w:rPr>
        <w:t>at</w:t>
      </w:r>
      <w:r>
        <w:rPr>
          <w:spacing w:val="-13"/>
          <w:sz w:val="24"/>
        </w:rPr>
        <w:t> </w:t>
      </w:r>
      <w:r>
        <w:rPr>
          <w:sz w:val="24"/>
        </w:rPr>
        <w:t>mid-landing</w:t>
      </w:r>
      <w:r>
        <w:rPr>
          <w:spacing w:val="-13"/>
          <w:sz w:val="24"/>
        </w:rPr>
        <w:t> </w:t>
      </w:r>
      <w:r>
        <w:rPr>
          <w:sz w:val="24"/>
        </w:rPr>
        <w:t>shall</w:t>
      </w:r>
      <w:r>
        <w:rPr>
          <w:spacing w:val="-13"/>
          <w:sz w:val="24"/>
        </w:rPr>
        <w:t> </w:t>
      </w:r>
      <w:r>
        <w:rPr>
          <w:sz w:val="24"/>
        </w:rPr>
        <w:t>have</w:t>
      </w:r>
      <w:r>
        <w:rPr>
          <w:spacing w:val="-13"/>
          <w:sz w:val="24"/>
        </w:rPr>
        <w:t> </w:t>
      </w:r>
      <w:r>
        <w:rPr>
          <w:sz w:val="24"/>
        </w:rPr>
        <w:t>a</w:t>
      </w:r>
      <w:r>
        <w:rPr>
          <w:spacing w:val="-13"/>
          <w:sz w:val="24"/>
        </w:rPr>
        <w:t> </w:t>
      </w:r>
      <w:r>
        <w:rPr>
          <w:sz w:val="24"/>
        </w:rPr>
        <w:t>minimum width of 3.0 m, and minimum area of 10.0 sq. m for residential and 15 sq. m for non-residential buildings.</w:t>
      </w:r>
    </w:p>
    <w:p>
      <w:pPr>
        <w:pStyle w:val="ListParagraph"/>
        <w:numPr>
          <w:ilvl w:val="2"/>
          <w:numId w:val="263"/>
        </w:numPr>
        <w:tabs>
          <w:tab w:pos="1493" w:val="left" w:leader="none"/>
        </w:tabs>
        <w:spacing w:line="240" w:lineRule="auto" w:before="121" w:after="0"/>
        <w:ind w:left="1493" w:right="773" w:hanging="360"/>
        <w:jc w:val="both"/>
        <w:rPr>
          <w:sz w:val="24"/>
        </w:rPr>
      </w:pPr>
      <w:r>
        <w:rPr>
          <w:sz w:val="24"/>
        </w:rPr>
        <w:t>In case of buildings upto 32 m height, the terrace floor of the building shall be treated as the refuge area.</w:t>
      </w:r>
    </w:p>
    <w:p>
      <w:pPr>
        <w:pStyle w:val="Heading6"/>
        <w:numPr>
          <w:ilvl w:val="1"/>
          <w:numId w:val="263"/>
        </w:numPr>
        <w:tabs>
          <w:tab w:pos="1526" w:val="left" w:leader="none"/>
        </w:tabs>
        <w:spacing w:line="240" w:lineRule="auto" w:before="238" w:after="0"/>
        <w:ind w:left="1526" w:right="0" w:hanging="393"/>
        <w:jc w:val="left"/>
        <w:rPr>
          <w:i w:val="0"/>
        </w:rPr>
      </w:pPr>
      <w:r>
        <w:rPr/>
        <w:t>Fire</w:t>
      </w:r>
      <w:r>
        <w:rPr>
          <w:spacing w:val="-7"/>
        </w:rPr>
        <w:t> </w:t>
      </w:r>
      <w:r>
        <w:rPr/>
        <w:t>Escape</w:t>
      </w:r>
      <w:r>
        <w:rPr>
          <w:spacing w:val="-4"/>
        </w:rPr>
        <w:t> </w:t>
      </w:r>
      <w:r>
        <w:rPr/>
        <w:t>Chutes/</w:t>
      </w:r>
      <w:r>
        <w:rPr>
          <w:spacing w:val="-4"/>
        </w:rPr>
        <w:t> </w:t>
      </w:r>
      <w:r>
        <w:rPr/>
        <w:t>Controlled</w:t>
      </w:r>
      <w:r>
        <w:rPr>
          <w:spacing w:val="-4"/>
        </w:rPr>
        <w:t> </w:t>
      </w:r>
      <w:r>
        <w:rPr/>
        <w:t>Lowering</w:t>
      </w:r>
      <w:r>
        <w:rPr>
          <w:spacing w:val="-4"/>
        </w:rPr>
        <w:t> </w:t>
      </w:r>
      <w:r>
        <w:rPr/>
        <w:t>Device</w:t>
      </w:r>
      <w:r>
        <w:rPr>
          <w:spacing w:val="-4"/>
        </w:rPr>
        <w:t> </w:t>
      </w:r>
      <w:r>
        <w:rPr/>
        <w:t>for</w:t>
      </w:r>
      <w:r>
        <w:rPr>
          <w:spacing w:val="-4"/>
        </w:rPr>
        <w:t> </w:t>
      </w:r>
      <w:r>
        <w:rPr>
          <w:spacing w:val="-2"/>
        </w:rPr>
        <w:t>evacuation</w:t>
      </w:r>
      <w:r>
        <w:rPr>
          <w:b w:val="0"/>
          <w:i w:val="0"/>
          <w:spacing w:val="-2"/>
        </w:rPr>
        <w:t>-</w:t>
      </w:r>
    </w:p>
    <w:p>
      <w:pPr>
        <w:pStyle w:val="ListParagraph"/>
        <w:numPr>
          <w:ilvl w:val="0"/>
          <w:numId w:val="316"/>
        </w:numPr>
        <w:tabs>
          <w:tab w:pos="1493" w:val="left" w:leader="none"/>
          <w:tab w:pos="1564" w:val="left" w:leader="none"/>
        </w:tabs>
        <w:spacing w:line="240" w:lineRule="auto" w:before="122" w:after="0"/>
        <w:ind w:left="1493" w:right="773" w:hanging="360"/>
        <w:jc w:val="left"/>
        <w:rPr>
          <w:sz w:val="24"/>
        </w:rPr>
      </w:pPr>
      <w:r>
        <w:rPr>
          <w:sz w:val="24"/>
        </w:rPr>
        <w:tab/>
        <w:t>(i)High</w:t>
      </w:r>
      <w:r>
        <w:rPr>
          <w:spacing w:val="40"/>
          <w:sz w:val="24"/>
        </w:rPr>
        <w:t> </w:t>
      </w:r>
      <w:r>
        <w:rPr>
          <w:sz w:val="24"/>
        </w:rPr>
        <w:t>rise</w:t>
      </w:r>
      <w:r>
        <w:rPr>
          <w:spacing w:val="40"/>
          <w:sz w:val="24"/>
        </w:rPr>
        <w:t> </w:t>
      </w:r>
      <w:r>
        <w:rPr>
          <w:sz w:val="24"/>
        </w:rPr>
        <w:t>building</w:t>
      </w:r>
      <w:r>
        <w:rPr>
          <w:spacing w:val="40"/>
          <w:sz w:val="24"/>
        </w:rPr>
        <w:t> </w:t>
      </w:r>
      <w:r>
        <w:rPr>
          <w:sz w:val="24"/>
        </w:rPr>
        <w:t>having</w:t>
      </w:r>
      <w:r>
        <w:rPr>
          <w:spacing w:val="40"/>
          <w:sz w:val="24"/>
        </w:rPr>
        <w:t> </w:t>
      </w:r>
      <w:r>
        <w:rPr>
          <w:sz w:val="24"/>
        </w:rPr>
        <w:t>height</w:t>
      </w:r>
      <w:r>
        <w:rPr>
          <w:spacing w:val="40"/>
          <w:sz w:val="24"/>
        </w:rPr>
        <w:t> </w:t>
      </w:r>
      <w:r>
        <w:rPr>
          <w:sz w:val="24"/>
        </w:rPr>
        <w:t>more</w:t>
      </w:r>
      <w:r>
        <w:rPr>
          <w:spacing w:val="40"/>
          <w:sz w:val="24"/>
        </w:rPr>
        <w:t> </w:t>
      </w:r>
      <w:r>
        <w:rPr>
          <w:sz w:val="24"/>
        </w:rPr>
        <w:t>than</w:t>
      </w:r>
      <w:r>
        <w:rPr>
          <w:spacing w:val="40"/>
          <w:sz w:val="24"/>
        </w:rPr>
        <w:t> </w:t>
      </w:r>
      <w:r>
        <w:rPr>
          <w:sz w:val="24"/>
        </w:rPr>
        <w:t>70</w:t>
      </w:r>
      <w:r>
        <w:rPr>
          <w:spacing w:val="40"/>
          <w:sz w:val="24"/>
        </w:rPr>
        <w:t> </w:t>
      </w:r>
      <w:r>
        <w:rPr>
          <w:sz w:val="24"/>
        </w:rPr>
        <w:t>m</w:t>
      </w:r>
      <w:r>
        <w:rPr>
          <w:spacing w:val="40"/>
          <w:sz w:val="24"/>
        </w:rPr>
        <w:t> </w:t>
      </w:r>
      <w:r>
        <w:rPr>
          <w:sz w:val="24"/>
        </w:rPr>
        <w:t>shall</w:t>
      </w:r>
      <w:r>
        <w:rPr>
          <w:spacing w:val="40"/>
          <w:sz w:val="24"/>
        </w:rPr>
        <w:t> </w:t>
      </w:r>
      <w:r>
        <w:rPr>
          <w:sz w:val="24"/>
        </w:rPr>
        <w:t>necessarily</w:t>
      </w:r>
      <w:r>
        <w:rPr>
          <w:spacing w:val="40"/>
          <w:sz w:val="24"/>
        </w:rPr>
        <w:t> </w:t>
      </w:r>
      <w:r>
        <w:rPr>
          <w:sz w:val="24"/>
        </w:rPr>
        <w:t>be provided with fire escape chute shaft/s for every wing adjacent to staircase.</w:t>
      </w:r>
    </w:p>
    <w:p>
      <w:pPr>
        <w:pStyle w:val="ListParagraph"/>
        <w:numPr>
          <w:ilvl w:val="1"/>
          <w:numId w:val="316"/>
        </w:numPr>
        <w:tabs>
          <w:tab w:pos="1779" w:val="left" w:leader="none"/>
        </w:tabs>
        <w:spacing w:line="240" w:lineRule="auto" w:before="120" w:after="0"/>
        <w:ind w:left="1779" w:right="0" w:hanging="286"/>
        <w:jc w:val="left"/>
        <w:rPr>
          <w:sz w:val="24"/>
        </w:rPr>
      </w:pPr>
      <w:r>
        <w:rPr>
          <w:sz w:val="24"/>
        </w:rPr>
        <w:t>Walls</w:t>
      </w:r>
      <w:r>
        <w:rPr>
          <w:spacing w:val="-1"/>
          <w:sz w:val="24"/>
        </w:rPr>
        <w:t> </w:t>
      </w:r>
      <w:r>
        <w:rPr>
          <w:sz w:val="24"/>
        </w:rPr>
        <w:t>of</w:t>
      </w:r>
      <w:r>
        <w:rPr>
          <w:spacing w:val="-1"/>
          <w:sz w:val="24"/>
        </w:rPr>
        <w:t> </w:t>
      </w:r>
      <w:r>
        <w:rPr>
          <w:sz w:val="24"/>
        </w:rPr>
        <w:t>the shaft</w:t>
      </w:r>
      <w:r>
        <w:rPr>
          <w:spacing w:val="-1"/>
          <w:sz w:val="24"/>
        </w:rPr>
        <w:t> </w:t>
      </w:r>
      <w:r>
        <w:rPr>
          <w:sz w:val="24"/>
        </w:rPr>
        <w:t>shall have</w:t>
      </w:r>
      <w:r>
        <w:rPr>
          <w:spacing w:val="-1"/>
          <w:sz w:val="24"/>
        </w:rPr>
        <w:t> </w:t>
      </w:r>
      <w:r>
        <w:rPr>
          <w:sz w:val="24"/>
        </w:rPr>
        <w:t>4 hours’</w:t>
      </w:r>
      <w:r>
        <w:rPr>
          <w:spacing w:val="-1"/>
          <w:sz w:val="24"/>
        </w:rPr>
        <w:t> </w:t>
      </w:r>
      <w:r>
        <w:rPr>
          <w:sz w:val="24"/>
        </w:rPr>
        <w:t>fire </w:t>
      </w:r>
      <w:r>
        <w:rPr>
          <w:spacing w:val="-2"/>
          <w:sz w:val="24"/>
        </w:rPr>
        <w:t>resistance.</w:t>
      </w:r>
    </w:p>
    <w:p>
      <w:pPr>
        <w:pStyle w:val="ListParagraph"/>
        <w:numPr>
          <w:ilvl w:val="1"/>
          <w:numId w:val="316"/>
        </w:numPr>
        <w:tabs>
          <w:tab w:pos="1851" w:val="left" w:leader="none"/>
        </w:tabs>
        <w:spacing w:line="240" w:lineRule="auto" w:before="239" w:after="0"/>
        <w:ind w:left="1493" w:right="776" w:firstLine="0"/>
        <w:jc w:val="left"/>
        <w:rPr>
          <w:sz w:val="24"/>
        </w:rPr>
      </w:pPr>
      <w:r>
        <w:rPr>
          <w:sz w:val="24"/>
        </w:rPr>
        <w:t>One side of the shaft shall be at external face of the building with proper </w:t>
      </w:r>
      <w:r>
        <w:rPr>
          <w:spacing w:val="-2"/>
          <w:sz w:val="24"/>
        </w:rPr>
        <w:t>ventilation.</w:t>
      </w:r>
    </w:p>
    <w:p>
      <w:pPr>
        <w:pStyle w:val="ListParagraph"/>
        <w:numPr>
          <w:ilvl w:val="1"/>
          <w:numId w:val="316"/>
        </w:numPr>
        <w:tabs>
          <w:tab w:pos="1832" w:val="left" w:leader="none"/>
        </w:tabs>
        <w:spacing w:line="240" w:lineRule="auto" w:before="241" w:after="0"/>
        <w:ind w:left="1832" w:right="0" w:hanging="339"/>
        <w:jc w:val="left"/>
        <w:rPr>
          <w:sz w:val="24"/>
        </w:rPr>
      </w:pPr>
      <w:r>
        <w:rPr>
          <w:sz w:val="24"/>
        </w:rPr>
        <w:t>The</w:t>
      </w:r>
      <w:r>
        <w:rPr>
          <w:spacing w:val="-2"/>
          <w:sz w:val="24"/>
        </w:rPr>
        <w:t> </w:t>
      </w:r>
      <w:r>
        <w:rPr>
          <w:sz w:val="24"/>
        </w:rPr>
        <w:t>dimension</w:t>
      </w:r>
      <w:r>
        <w:rPr>
          <w:spacing w:val="-1"/>
          <w:sz w:val="24"/>
        </w:rPr>
        <w:t> </w:t>
      </w:r>
      <w:r>
        <w:rPr>
          <w:sz w:val="24"/>
        </w:rPr>
        <w:t>of</w:t>
      </w:r>
      <w:r>
        <w:rPr>
          <w:spacing w:val="1"/>
          <w:sz w:val="24"/>
        </w:rPr>
        <w:t> </w:t>
      </w:r>
      <w:r>
        <w:rPr>
          <w:sz w:val="24"/>
        </w:rPr>
        <w:t>the</w:t>
      </w:r>
      <w:r>
        <w:rPr>
          <w:spacing w:val="-1"/>
          <w:sz w:val="24"/>
        </w:rPr>
        <w:t> </w:t>
      </w:r>
      <w:r>
        <w:rPr>
          <w:sz w:val="24"/>
        </w:rPr>
        <w:t>shaft</w:t>
      </w:r>
      <w:r>
        <w:rPr>
          <w:spacing w:val="-2"/>
          <w:sz w:val="24"/>
        </w:rPr>
        <w:t> </w:t>
      </w:r>
      <w:r>
        <w:rPr>
          <w:sz w:val="24"/>
        </w:rPr>
        <w:t>shall</w:t>
      </w:r>
      <w:r>
        <w:rPr>
          <w:spacing w:val="-1"/>
          <w:sz w:val="24"/>
        </w:rPr>
        <w:t> </w:t>
      </w:r>
      <w:r>
        <w:rPr>
          <w:sz w:val="24"/>
        </w:rPr>
        <w:t>not</w:t>
      </w:r>
      <w:r>
        <w:rPr>
          <w:spacing w:val="-1"/>
          <w:sz w:val="24"/>
        </w:rPr>
        <w:t> </w:t>
      </w:r>
      <w:r>
        <w:rPr>
          <w:sz w:val="24"/>
        </w:rPr>
        <w:t>be</w:t>
      </w:r>
      <w:r>
        <w:rPr>
          <w:spacing w:val="-1"/>
          <w:sz w:val="24"/>
        </w:rPr>
        <w:t> </w:t>
      </w:r>
      <w:r>
        <w:rPr>
          <w:sz w:val="24"/>
        </w:rPr>
        <w:t>less</w:t>
      </w:r>
      <w:r>
        <w:rPr>
          <w:spacing w:val="-2"/>
          <w:sz w:val="24"/>
        </w:rPr>
        <w:t> </w:t>
      </w:r>
      <w:r>
        <w:rPr>
          <w:sz w:val="24"/>
        </w:rPr>
        <w:t>than</w:t>
      </w:r>
      <w:r>
        <w:rPr>
          <w:spacing w:val="-1"/>
          <w:sz w:val="24"/>
        </w:rPr>
        <w:t> </w:t>
      </w:r>
      <w:r>
        <w:rPr>
          <w:sz w:val="24"/>
        </w:rPr>
        <w:t>2.5</w:t>
      </w:r>
      <w:r>
        <w:rPr>
          <w:spacing w:val="-1"/>
          <w:sz w:val="24"/>
        </w:rPr>
        <w:t> </w:t>
      </w:r>
      <w:r>
        <w:rPr>
          <w:sz w:val="24"/>
        </w:rPr>
        <w:t>m x</w:t>
      </w:r>
      <w:r>
        <w:rPr>
          <w:spacing w:val="-1"/>
          <w:sz w:val="24"/>
        </w:rPr>
        <w:t> </w:t>
      </w:r>
      <w:r>
        <w:rPr>
          <w:spacing w:val="-2"/>
          <w:sz w:val="24"/>
        </w:rPr>
        <w:t>1.5m.</w:t>
      </w:r>
    </w:p>
    <w:p>
      <w:pPr>
        <w:pStyle w:val="ListParagraph"/>
        <w:numPr>
          <w:ilvl w:val="1"/>
          <w:numId w:val="316"/>
        </w:numPr>
        <w:tabs>
          <w:tab w:pos="1760" w:val="left" w:leader="none"/>
        </w:tabs>
        <w:spacing w:line="240" w:lineRule="auto" w:before="239" w:after="0"/>
        <w:ind w:left="1493" w:right="769" w:firstLine="0"/>
        <w:jc w:val="both"/>
        <w:rPr>
          <w:sz w:val="24"/>
        </w:rPr>
      </w:pPr>
      <w:r>
        <w:rPr>
          <w:sz w:val="24"/>
        </w:rPr>
        <w:t>The</w:t>
      </w:r>
      <w:r>
        <w:rPr>
          <w:spacing w:val="-15"/>
          <w:sz w:val="24"/>
        </w:rPr>
        <w:t> </w:t>
      </w:r>
      <w:r>
        <w:rPr>
          <w:sz w:val="24"/>
        </w:rPr>
        <w:t>access</w:t>
      </w:r>
      <w:r>
        <w:rPr>
          <w:spacing w:val="-15"/>
          <w:sz w:val="24"/>
        </w:rPr>
        <w:t> </w:t>
      </w:r>
      <w:r>
        <w:rPr>
          <w:sz w:val="24"/>
        </w:rPr>
        <w:t>to</w:t>
      </w:r>
      <w:r>
        <w:rPr>
          <w:spacing w:val="-15"/>
          <w:sz w:val="24"/>
        </w:rPr>
        <w:t> </w:t>
      </w:r>
      <w:r>
        <w:rPr>
          <w:sz w:val="24"/>
        </w:rPr>
        <w:t>the</w:t>
      </w:r>
      <w:r>
        <w:rPr>
          <w:spacing w:val="-15"/>
          <w:sz w:val="24"/>
        </w:rPr>
        <w:t> </w:t>
      </w:r>
      <w:r>
        <w:rPr>
          <w:sz w:val="24"/>
        </w:rPr>
        <w:t>fire</w:t>
      </w:r>
      <w:r>
        <w:rPr>
          <w:spacing w:val="-15"/>
          <w:sz w:val="24"/>
        </w:rPr>
        <w:t> </w:t>
      </w:r>
      <w:r>
        <w:rPr>
          <w:sz w:val="24"/>
        </w:rPr>
        <w:t>escape</w:t>
      </w:r>
      <w:r>
        <w:rPr>
          <w:spacing w:val="-15"/>
          <w:sz w:val="24"/>
        </w:rPr>
        <w:t> </w:t>
      </w:r>
      <w:r>
        <w:rPr>
          <w:sz w:val="24"/>
        </w:rPr>
        <w:t>chute’s</w:t>
      </w:r>
      <w:r>
        <w:rPr>
          <w:spacing w:val="-15"/>
          <w:sz w:val="24"/>
        </w:rPr>
        <w:t> </w:t>
      </w:r>
      <w:r>
        <w:rPr>
          <w:sz w:val="24"/>
        </w:rPr>
        <w:t>shaft</w:t>
      </w:r>
      <w:r>
        <w:rPr>
          <w:spacing w:val="-15"/>
          <w:sz w:val="24"/>
        </w:rPr>
        <w:t> </w:t>
      </w:r>
      <w:r>
        <w:rPr>
          <w:sz w:val="24"/>
        </w:rPr>
        <w:t>shall</w:t>
      </w:r>
      <w:r>
        <w:rPr>
          <w:spacing w:val="-15"/>
          <w:sz w:val="24"/>
        </w:rPr>
        <w:t> </w:t>
      </w:r>
      <w:r>
        <w:rPr>
          <w:sz w:val="24"/>
        </w:rPr>
        <w:t>be</w:t>
      </w:r>
      <w:r>
        <w:rPr>
          <w:spacing w:val="-15"/>
          <w:sz w:val="24"/>
        </w:rPr>
        <w:t> </w:t>
      </w:r>
      <w:r>
        <w:rPr>
          <w:sz w:val="24"/>
        </w:rPr>
        <w:t>made</w:t>
      </w:r>
      <w:r>
        <w:rPr>
          <w:spacing w:val="-15"/>
          <w:sz w:val="24"/>
        </w:rPr>
        <w:t> </w:t>
      </w:r>
      <w:r>
        <w:rPr>
          <w:sz w:val="24"/>
        </w:rPr>
        <w:t>at</w:t>
      </w:r>
      <w:r>
        <w:rPr>
          <w:spacing w:val="-18"/>
          <w:sz w:val="24"/>
        </w:rPr>
        <w:t> </w:t>
      </w:r>
      <w:r>
        <w:rPr>
          <w:sz w:val="24"/>
        </w:rPr>
        <w:t>every</w:t>
      </w:r>
      <w:r>
        <w:rPr>
          <w:spacing w:val="-15"/>
          <w:sz w:val="24"/>
        </w:rPr>
        <w:t> </w:t>
      </w:r>
      <w:r>
        <w:rPr>
          <w:sz w:val="24"/>
        </w:rPr>
        <w:t>floor</w:t>
      </w:r>
      <w:r>
        <w:rPr>
          <w:spacing w:val="-15"/>
          <w:sz w:val="24"/>
        </w:rPr>
        <w:t> </w:t>
      </w:r>
      <w:r>
        <w:rPr>
          <w:sz w:val="24"/>
        </w:rPr>
        <w:t>level from lobby area or from staircase mid-landing with self-closing door having fire resistance of at least one hour.</w:t>
      </w:r>
    </w:p>
    <w:p>
      <w:pPr>
        <w:pStyle w:val="ListParagraph"/>
        <w:numPr>
          <w:ilvl w:val="1"/>
          <w:numId w:val="316"/>
        </w:numPr>
        <w:tabs>
          <w:tab w:pos="1832" w:val="left" w:leader="none"/>
        </w:tabs>
        <w:spacing w:line="240" w:lineRule="auto" w:before="240" w:after="0"/>
        <w:ind w:left="1493" w:right="775" w:firstLine="0"/>
        <w:jc w:val="both"/>
        <w:rPr>
          <w:sz w:val="24"/>
        </w:rPr>
      </w:pPr>
      <w:r>
        <w:rPr>
          <w:sz w:val="24"/>
        </w:rPr>
        <w:t>The fire chute shall be of staggered type with landing of each section at the vertical height of not more than 21 m.</w:t>
      </w:r>
    </w:p>
    <w:p>
      <w:pPr>
        <w:pStyle w:val="BodyText"/>
        <w:spacing w:before="241"/>
        <w:ind w:left="1493"/>
        <w:jc w:val="left"/>
      </w:pPr>
      <w:r>
        <w:rPr>
          <w:spacing w:val="-2"/>
        </w:rPr>
        <w:t>Alternatively,</w:t>
      </w:r>
    </w:p>
    <w:p>
      <w:pPr>
        <w:pStyle w:val="ListParagraph"/>
        <w:numPr>
          <w:ilvl w:val="0"/>
          <w:numId w:val="316"/>
        </w:numPr>
        <w:tabs>
          <w:tab w:pos="2212" w:val="left" w:leader="none"/>
        </w:tabs>
        <w:spacing w:line="240" w:lineRule="auto" w:before="241" w:after="0"/>
        <w:ind w:left="1493" w:right="769" w:firstLine="0"/>
        <w:jc w:val="both"/>
        <w:rPr>
          <w:sz w:val="24"/>
        </w:rPr>
      </w:pPr>
      <w:r>
        <w:rPr>
          <w:sz w:val="24"/>
        </w:rPr>
        <w:t>For High rise building having height more than 70 m, “ shall be provided</w:t>
      </w:r>
      <w:r>
        <w:rPr>
          <w:position w:val="-4"/>
          <w:sz w:val="24"/>
        </w:rPr>
        <w:drawing>
          <wp:inline distT="0" distB="0" distL="0" distR="0">
            <wp:extent cx="79248" cy="9143"/>
            <wp:effectExtent l="0" t="0" r="0" b="0"/>
            <wp:docPr id="501" name="Image 501"/>
            <wp:cNvGraphicFramePr>
              <a:graphicFrameLocks/>
            </wp:cNvGraphicFramePr>
            <a:graphic>
              <a:graphicData uri="http://schemas.openxmlformats.org/drawingml/2006/picture">
                <pic:pic>
                  <pic:nvPicPr>
                    <pic:cNvPr id="501" name="Image 501"/>
                    <pic:cNvPicPr/>
                  </pic:nvPicPr>
                  <pic:blipFill>
                    <a:blip r:embed="rId69" cstate="print"/>
                    <a:stretch>
                      <a:fillRect/>
                    </a:stretch>
                  </pic:blipFill>
                  <pic:spPr>
                    <a:xfrm>
                      <a:off x="0" y="0"/>
                      <a:ext cx="79248" cy="9143"/>
                    </a:xfrm>
                    <a:prstGeom prst="rect">
                      <a:avLst/>
                    </a:prstGeom>
                  </pic:spPr>
                </pic:pic>
              </a:graphicData>
            </a:graphic>
          </wp:inline>
        </w:drawing>
      </w:r>
      <w:r>
        <w:rPr>
          <w:position w:val="-4"/>
          <w:sz w:val="24"/>
        </w:rPr>
      </w:r>
      <w:r>
        <w:rPr>
          <w:sz w:val="24"/>
        </w:rPr>
        <w:t>with fire tower at landing/ mid-landing level with smoke check lobby with fireman lift being integral part of the fire escape staircase or fire evacuation lift (Hydro pneumatic/ electrically operated) on the external face of the building having opening within the fire escape staircase at landing/ mid-landing level with smoke check lobby as approved by CFO shall be </w:t>
      </w:r>
      <w:r>
        <w:rPr>
          <w:spacing w:val="-2"/>
          <w:sz w:val="24"/>
        </w:rPr>
        <w:t>provided.</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1493" w:right="771"/>
      </w:pPr>
      <w:r>
        <w:rPr/>
        <w:t>Note- Both the smoke check lobby with evacuation lift shall have positive level</w:t>
      </w:r>
      <w:r>
        <w:rPr>
          <w:spacing w:val="-7"/>
        </w:rPr>
        <w:t> </w:t>
      </w:r>
      <w:r>
        <w:rPr/>
        <w:t>difference</w:t>
      </w:r>
      <w:r>
        <w:rPr>
          <w:spacing w:val="-7"/>
        </w:rPr>
        <w:t> </w:t>
      </w:r>
      <w:r>
        <w:rPr/>
        <w:t>of</w:t>
      </w:r>
      <w:r>
        <w:rPr>
          <w:spacing w:val="-7"/>
        </w:rPr>
        <w:t> </w:t>
      </w:r>
      <w:r>
        <w:rPr/>
        <w:t>minimum</w:t>
      </w:r>
      <w:r>
        <w:rPr>
          <w:spacing w:val="-7"/>
        </w:rPr>
        <w:t> </w:t>
      </w:r>
      <w:r>
        <w:rPr/>
        <w:t>75</w:t>
      </w:r>
      <w:r>
        <w:rPr>
          <w:spacing w:val="-7"/>
        </w:rPr>
        <w:t> </w:t>
      </w:r>
      <w:r>
        <w:rPr/>
        <w:t>mm</w:t>
      </w:r>
      <w:r>
        <w:rPr>
          <w:spacing w:val="-7"/>
        </w:rPr>
        <w:t> </w:t>
      </w:r>
      <w:r>
        <w:rPr/>
        <w:t>with</w:t>
      </w:r>
      <w:r>
        <w:rPr>
          <w:spacing w:val="-4"/>
        </w:rPr>
        <w:t> </w:t>
      </w:r>
      <w:r>
        <w:rPr/>
        <w:t>respect</w:t>
      </w:r>
      <w:r>
        <w:rPr>
          <w:spacing w:val="-7"/>
        </w:rPr>
        <w:t> </w:t>
      </w:r>
      <w:r>
        <w:rPr/>
        <w:t>to</w:t>
      </w:r>
      <w:r>
        <w:rPr>
          <w:spacing w:val="-7"/>
        </w:rPr>
        <w:t> </w:t>
      </w:r>
      <w:r>
        <w:rPr/>
        <w:t>staircase</w:t>
      </w:r>
      <w:r>
        <w:rPr>
          <w:spacing w:val="-7"/>
        </w:rPr>
        <w:t> </w:t>
      </w:r>
      <w:r>
        <w:rPr/>
        <w:t>landing</w:t>
      </w:r>
      <w:r>
        <w:rPr>
          <w:spacing w:val="-7"/>
        </w:rPr>
        <w:t> </w:t>
      </w:r>
      <w:r>
        <w:rPr/>
        <w:t>or</w:t>
      </w:r>
      <w:r>
        <w:rPr>
          <w:spacing w:val="-7"/>
        </w:rPr>
        <w:t> </w:t>
      </w:r>
      <w:r>
        <w:rPr/>
        <w:t>mid- landing level to avoid ingress of water in fireman lift shaft.</w:t>
      </w:r>
    </w:p>
    <w:p>
      <w:pPr>
        <w:pStyle w:val="Heading3"/>
        <w:numPr>
          <w:ilvl w:val="0"/>
          <w:numId w:val="263"/>
        </w:numPr>
        <w:tabs>
          <w:tab w:pos="1477" w:val="left" w:leader="none"/>
        </w:tabs>
        <w:spacing w:line="240" w:lineRule="auto" w:before="238" w:after="0"/>
        <w:ind w:left="1477" w:right="0" w:hanging="705"/>
        <w:jc w:val="left"/>
        <w:rPr>
          <w:i w:val="0"/>
        </w:rPr>
      </w:pPr>
      <w:r>
        <w:rPr/>
        <w:t>Structural</w:t>
      </w:r>
      <w:r>
        <w:rPr>
          <w:spacing w:val="66"/>
        </w:rPr>
        <w:t> </w:t>
      </w:r>
      <w:r>
        <w:rPr/>
        <w:t>Safety</w:t>
      </w:r>
      <w:r>
        <w:rPr>
          <w:spacing w:val="66"/>
        </w:rPr>
        <w:t> </w:t>
      </w:r>
      <w:r>
        <w:rPr/>
        <w:t>and</w:t>
      </w:r>
      <w:r>
        <w:rPr>
          <w:spacing w:val="66"/>
        </w:rPr>
        <w:t> </w:t>
      </w:r>
      <w:r>
        <w:rPr>
          <w:spacing w:val="-2"/>
        </w:rPr>
        <w:t>Services</w:t>
      </w:r>
    </w:p>
    <w:p>
      <w:pPr>
        <w:pStyle w:val="Heading6"/>
        <w:numPr>
          <w:ilvl w:val="1"/>
          <w:numId w:val="263"/>
        </w:numPr>
        <w:tabs>
          <w:tab w:pos="1670" w:val="left" w:leader="none"/>
        </w:tabs>
        <w:spacing w:line="240" w:lineRule="auto" w:before="242" w:after="0"/>
        <w:ind w:left="1670" w:right="0" w:hanging="499"/>
        <w:jc w:val="left"/>
        <w:rPr>
          <w:b w:val="0"/>
          <w:i w:val="0"/>
        </w:rPr>
      </w:pPr>
      <w:r>
        <w:rPr/>
        <w:t>Structural</w:t>
      </w:r>
      <w:r>
        <w:rPr>
          <w:spacing w:val="61"/>
          <w:w w:val="150"/>
        </w:rPr>
        <w:t> </w:t>
      </w:r>
      <w:r>
        <w:rPr>
          <w:spacing w:val="-2"/>
        </w:rPr>
        <w:t>Design</w:t>
      </w:r>
      <w:r>
        <w:rPr>
          <w:b w:val="0"/>
          <w:spacing w:val="-2"/>
        </w:rPr>
        <w:t>:</w:t>
      </w:r>
    </w:p>
    <w:p>
      <w:pPr>
        <w:pStyle w:val="BodyText"/>
        <w:spacing w:before="79"/>
        <w:jc w:val="left"/>
        <w:rPr>
          <w:i/>
        </w:rPr>
      </w:pPr>
    </w:p>
    <w:p>
      <w:pPr>
        <w:pStyle w:val="ListParagraph"/>
        <w:numPr>
          <w:ilvl w:val="2"/>
          <w:numId w:val="263"/>
        </w:numPr>
        <w:tabs>
          <w:tab w:pos="1914" w:val="left" w:leader="none"/>
        </w:tabs>
        <w:spacing w:line="240" w:lineRule="auto" w:before="0" w:after="0"/>
        <w:ind w:left="1478" w:right="776" w:firstLine="14"/>
        <w:jc w:val="both"/>
        <w:rPr>
          <w:sz w:val="24"/>
        </w:rPr>
      </w:pPr>
      <w:r>
        <w:rPr>
          <w:sz w:val="24"/>
        </w:rPr>
        <w:t>The structural design of foundations, elements made of masonry, timber, plain concrete, reinforced concrete, </w:t>
      </w:r>
      <w:r>
        <w:rPr>
          <w:spacing w:val="12"/>
          <w:sz w:val="24"/>
        </w:rPr>
        <w:t>pre-</w:t>
      </w:r>
      <w:r>
        <w:rPr>
          <w:sz w:val="24"/>
        </w:rPr>
        <w:t>stressed concrete and structural</w:t>
      </w:r>
      <w:r>
        <w:rPr>
          <w:spacing w:val="40"/>
          <w:sz w:val="24"/>
        </w:rPr>
        <w:t> </w:t>
      </w:r>
      <w:r>
        <w:rPr>
          <w:sz w:val="24"/>
        </w:rPr>
        <w:t>steel</w:t>
      </w:r>
      <w:r>
        <w:rPr>
          <w:spacing w:val="40"/>
          <w:sz w:val="24"/>
        </w:rPr>
        <w:t> </w:t>
      </w:r>
      <w:r>
        <w:rPr>
          <w:sz w:val="24"/>
        </w:rPr>
        <w:t>shall</w:t>
      </w:r>
      <w:r>
        <w:rPr>
          <w:spacing w:val="40"/>
          <w:sz w:val="24"/>
        </w:rPr>
        <w:t> </w:t>
      </w:r>
      <w:r>
        <w:rPr>
          <w:sz w:val="24"/>
        </w:rPr>
        <w:t>conform</w:t>
      </w:r>
      <w:r>
        <w:rPr>
          <w:spacing w:val="40"/>
          <w:sz w:val="24"/>
        </w:rPr>
        <w:t> </w:t>
      </w:r>
      <w:r>
        <w:rPr>
          <w:sz w:val="24"/>
        </w:rPr>
        <w:t>to</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Part</w:t>
      </w:r>
      <w:r>
        <w:rPr>
          <w:spacing w:val="40"/>
          <w:sz w:val="24"/>
        </w:rPr>
        <w:t> </w:t>
      </w:r>
      <w:r>
        <w:rPr>
          <w:sz w:val="24"/>
        </w:rPr>
        <w:t>VI</w:t>
      </w:r>
      <w:r>
        <w:rPr>
          <w:spacing w:val="40"/>
          <w:sz w:val="24"/>
        </w:rPr>
        <w:t> </w:t>
      </w:r>
      <w:r>
        <w:rPr>
          <w:sz w:val="24"/>
        </w:rPr>
        <w:t>Structural Design</w:t>
      </w:r>
      <w:r>
        <w:rPr>
          <w:spacing w:val="80"/>
          <w:sz w:val="24"/>
        </w:rPr>
        <w:t> </w:t>
      </w:r>
      <w:r>
        <w:rPr>
          <w:sz w:val="24"/>
        </w:rPr>
        <w:t>Section1-</w:t>
      </w:r>
      <w:r>
        <w:rPr>
          <w:spacing w:val="80"/>
          <w:sz w:val="24"/>
        </w:rPr>
        <w:t> </w:t>
      </w:r>
      <w:r>
        <w:rPr>
          <w:sz w:val="24"/>
        </w:rPr>
        <w:t>Loads,</w:t>
      </w:r>
      <w:r>
        <w:rPr>
          <w:spacing w:val="80"/>
          <w:sz w:val="24"/>
        </w:rPr>
        <w:t> </w:t>
      </w:r>
      <w:r>
        <w:rPr>
          <w:sz w:val="24"/>
        </w:rPr>
        <w:t>Section</w:t>
      </w:r>
      <w:r>
        <w:rPr>
          <w:spacing w:val="80"/>
          <w:sz w:val="24"/>
        </w:rPr>
        <w:t> </w:t>
      </w:r>
      <w:r>
        <w:rPr>
          <w:spacing w:val="11"/>
          <w:sz w:val="24"/>
        </w:rPr>
        <w:t>2-</w:t>
      </w:r>
      <w:r>
        <w:rPr>
          <w:sz w:val="24"/>
        </w:rPr>
        <w:t>Foundation,</w:t>
      </w:r>
      <w:r>
        <w:rPr>
          <w:spacing w:val="80"/>
          <w:sz w:val="24"/>
        </w:rPr>
        <w:t> </w:t>
      </w:r>
      <w:r>
        <w:rPr>
          <w:sz w:val="24"/>
        </w:rPr>
        <w:t>Section</w:t>
      </w:r>
      <w:r>
        <w:rPr>
          <w:spacing w:val="80"/>
          <w:sz w:val="24"/>
        </w:rPr>
        <w:t> </w:t>
      </w:r>
      <w:r>
        <w:rPr>
          <w:spacing w:val="11"/>
          <w:sz w:val="24"/>
        </w:rPr>
        <w:t>3-</w:t>
      </w:r>
      <w:r>
        <w:rPr>
          <w:sz w:val="24"/>
        </w:rPr>
        <w:t>Wood, Section</w:t>
      </w:r>
      <w:r>
        <w:rPr>
          <w:spacing w:val="40"/>
          <w:sz w:val="24"/>
        </w:rPr>
        <w:t> </w:t>
      </w:r>
      <w:r>
        <w:rPr>
          <w:spacing w:val="10"/>
          <w:sz w:val="24"/>
        </w:rPr>
        <w:t>4-</w:t>
      </w:r>
      <w:r>
        <w:rPr>
          <w:sz w:val="24"/>
        </w:rPr>
        <w:t>Masonry,</w:t>
      </w:r>
      <w:r>
        <w:rPr>
          <w:spacing w:val="40"/>
          <w:sz w:val="24"/>
        </w:rPr>
        <w:t> </w:t>
      </w:r>
      <w:r>
        <w:rPr>
          <w:spacing w:val="9"/>
          <w:sz w:val="24"/>
        </w:rPr>
        <w:t>Section5-</w:t>
      </w:r>
      <w:r>
        <w:rPr>
          <w:sz w:val="24"/>
        </w:rPr>
        <w:t>Concrete,</w:t>
      </w:r>
      <w:r>
        <w:rPr>
          <w:spacing w:val="40"/>
          <w:sz w:val="24"/>
        </w:rPr>
        <w:t> </w:t>
      </w:r>
      <w:r>
        <w:rPr>
          <w:sz w:val="24"/>
        </w:rPr>
        <w:t>Section</w:t>
      </w:r>
      <w:r>
        <w:rPr>
          <w:spacing w:val="40"/>
          <w:sz w:val="24"/>
        </w:rPr>
        <w:t> </w:t>
      </w:r>
      <w:r>
        <w:rPr>
          <w:spacing w:val="11"/>
          <w:sz w:val="24"/>
        </w:rPr>
        <w:t>6-</w:t>
      </w:r>
      <w:r>
        <w:rPr>
          <w:sz w:val="24"/>
        </w:rPr>
        <w:t>Steel,</w:t>
      </w:r>
      <w:r>
        <w:rPr>
          <w:spacing w:val="40"/>
          <w:sz w:val="24"/>
        </w:rPr>
        <w:t> </w:t>
      </w:r>
      <w:r>
        <w:rPr>
          <w:sz w:val="24"/>
        </w:rPr>
        <w:t>National</w:t>
      </w:r>
      <w:r>
        <w:rPr>
          <w:spacing w:val="40"/>
          <w:sz w:val="24"/>
        </w:rPr>
        <w:t> </w:t>
      </w:r>
      <w:r>
        <w:rPr>
          <w:sz w:val="24"/>
        </w:rPr>
        <w:t>Building</w:t>
      </w:r>
      <w:r>
        <w:rPr>
          <w:spacing w:val="40"/>
          <w:sz w:val="24"/>
        </w:rPr>
        <w:t> </w:t>
      </w:r>
      <w:r>
        <w:rPr>
          <w:sz w:val="24"/>
        </w:rPr>
        <w:t>Code</w:t>
      </w:r>
      <w:r>
        <w:rPr>
          <w:spacing w:val="40"/>
          <w:sz w:val="24"/>
        </w:rPr>
        <w:t> </w:t>
      </w:r>
      <w:r>
        <w:rPr>
          <w:sz w:val="24"/>
        </w:rPr>
        <w:t>of</w:t>
      </w:r>
      <w:r>
        <w:rPr>
          <w:spacing w:val="40"/>
          <w:sz w:val="24"/>
        </w:rPr>
        <w:t> </w:t>
      </w:r>
      <w:r>
        <w:rPr>
          <w:sz w:val="24"/>
        </w:rPr>
        <w:t>India</w:t>
      </w:r>
      <w:r>
        <w:rPr>
          <w:spacing w:val="40"/>
          <w:sz w:val="24"/>
        </w:rPr>
        <w:t> </w:t>
      </w:r>
      <w:r>
        <w:rPr>
          <w:sz w:val="24"/>
        </w:rPr>
        <w:t>and</w:t>
      </w:r>
      <w:r>
        <w:rPr>
          <w:spacing w:val="40"/>
          <w:sz w:val="24"/>
        </w:rPr>
        <w:t> </w:t>
      </w:r>
      <w:r>
        <w:rPr>
          <w:sz w:val="24"/>
        </w:rPr>
        <w:t>as</w:t>
      </w:r>
      <w:r>
        <w:rPr>
          <w:spacing w:val="40"/>
          <w:sz w:val="24"/>
        </w:rPr>
        <w:t> </w:t>
      </w:r>
      <w:r>
        <w:rPr>
          <w:sz w:val="24"/>
        </w:rPr>
        <w:t>per</w:t>
      </w:r>
      <w:r>
        <w:rPr>
          <w:spacing w:val="40"/>
          <w:sz w:val="24"/>
        </w:rPr>
        <w:t> </w:t>
      </w:r>
      <w:r>
        <w:rPr>
          <w:sz w:val="24"/>
        </w:rPr>
        <w:t>relevant</w:t>
      </w:r>
      <w:r>
        <w:rPr>
          <w:spacing w:val="40"/>
          <w:sz w:val="24"/>
        </w:rPr>
        <w:t> </w:t>
      </w:r>
      <w:r>
        <w:rPr>
          <w:sz w:val="24"/>
        </w:rPr>
        <w:t>I</w:t>
      </w:r>
      <w:r>
        <w:rPr>
          <w:spacing w:val="40"/>
          <w:sz w:val="24"/>
        </w:rPr>
        <w:t> </w:t>
      </w:r>
      <w:r>
        <w:rPr>
          <w:sz w:val="24"/>
        </w:rPr>
        <w:t>S</w:t>
      </w:r>
      <w:r>
        <w:rPr>
          <w:spacing w:val="40"/>
          <w:sz w:val="24"/>
        </w:rPr>
        <w:t> </w:t>
      </w:r>
      <w:r>
        <w:rPr>
          <w:sz w:val="24"/>
        </w:rPr>
        <w:t>code.</w:t>
      </w:r>
    </w:p>
    <w:p>
      <w:pPr>
        <w:pStyle w:val="BodyText"/>
        <w:spacing w:before="78"/>
        <w:jc w:val="left"/>
      </w:pPr>
    </w:p>
    <w:p>
      <w:pPr>
        <w:pStyle w:val="ListParagraph"/>
        <w:numPr>
          <w:ilvl w:val="2"/>
          <w:numId w:val="263"/>
        </w:numPr>
        <w:tabs>
          <w:tab w:pos="1893" w:val="left" w:leader="none"/>
        </w:tabs>
        <w:spacing w:line="240" w:lineRule="auto" w:before="0" w:after="0"/>
        <w:ind w:left="1478" w:right="775" w:firstLine="14"/>
        <w:jc w:val="both"/>
        <w:rPr>
          <w:sz w:val="24"/>
        </w:rPr>
      </w:pPr>
      <w:r>
        <w:rPr>
          <w:sz w:val="24"/>
        </w:rPr>
        <w:t>The structural design shall comply with Indian Standard Codes of structural design for structural safety, seismic safety and </w:t>
      </w:r>
      <w:r>
        <w:rPr>
          <w:spacing w:val="9"/>
          <w:sz w:val="24"/>
        </w:rPr>
        <w:t>against </w:t>
      </w:r>
      <w:r>
        <w:rPr>
          <w:sz w:val="24"/>
        </w:rPr>
        <w:t>cyclone/wind</w:t>
      </w:r>
      <w:r>
        <w:rPr>
          <w:spacing w:val="80"/>
          <w:sz w:val="24"/>
        </w:rPr>
        <w:t> </w:t>
      </w:r>
      <w:r>
        <w:rPr>
          <w:sz w:val="24"/>
        </w:rPr>
        <w:t>storms</w:t>
      </w:r>
      <w:r>
        <w:rPr>
          <w:spacing w:val="80"/>
          <w:sz w:val="24"/>
        </w:rPr>
        <w:t> </w:t>
      </w:r>
      <w:r>
        <w:rPr>
          <w:sz w:val="24"/>
        </w:rPr>
        <w:t>as</w:t>
      </w:r>
      <w:r>
        <w:rPr>
          <w:spacing w:val="80"/>
          <w:sz w:val="24"/>
        </w:rPr>
        <w:t> </w:t>
      </w:r>
      <w:r>
        <w:rPr>
          <w:sz w:val="24"/>
        </w:rPr>
        <w:t>listed</w:t>
      </w:r>
      <w:r>
        <w:rPr>
          <w:spacing w:val="80"/>
          <w:sz w:val="24"/>
        </w:rPr>
        <w:t> </w:t>
      </w:r>
      <w:r>
        <w:rPr>
          <w:sz w:val="24"/>
        </w:rPr>
        <w:t>below</w:t>
      </w:r>
      <w:r>
        <w:rPr>
          <w:spacing w:val="80"/>
          <w:sz w:val="24"/>
        </w:rPr>
        <w:t> </w:t>
      </w:r>
      <w:r>
        <w:rPr>
          <w:sz w:val="24"/>
        </w:rPr>
        <w:t>and</w:t>
      </w:r>
      <w:r>
        <w:rPr>
          <w:spacing w:val="80"/>
          <w:sz w:val="24"/>
        </w:rPr>
        <w:t> </w:t>
      </w:r>
      <w:r>
        <w:rPr>
          <w:sz w:val="24"/>
        </w:rPr>
        <w:t>as</w:t>
      </w:r>
      <w:r>
        <w:rPr>
          <w:spacing w:val="80"/>
          <w:sz w:val="24"/>
        </w:rPr>
        <w:t> </w:t>
      </w:r>
      <w:r>
        <w:rPr>
          <w:sz w:val="24"/>
        </w:rPr>
        <w:t>amended</w:t>
      </w:r>
      <w:r>
        <w:rPr>
          <w:spacing w:val="80"/>
          <w:sz w:val="24"/>
        </w:rPr>
        <w:t> </w:t>
      </w:r>
      <w:r>
        <w:rPr>
          <w:sz w:val="24"/>
        </w:rPr>
        <w:t>upto</w:t>
      </w:r>
      <w:r>
        <w:rPr>
          <w:spacing w:val="80"/>
          <w:sz w:val="24"/>
        </w:rPr>
        <w:t> </w:t>
      </w:r>
      <w:r>
        <w:rPr>
          <w:sz w:val="24"/>
        </w:rPr>
        <w:t>date:</w:t>
      </w:r>
    </w:p>
    <w:p>
      <w:pPr>
        <w:pStyle w:val="ListParagraph"/>
        <w:numPr>
          <w:ilvl w:val="0"/>
          <w:numId w:val="317"/>
        </w:numPr>
        <w:tabs>
          <w:tab w:pos="1851" w:val="left" w:leader="none"/>
          <w:tab w:pos="1853" w:val="left" w:leader="none"/>
        </w:tabs>
        <w:spacing w:line="240" w:lineRule="auto" w:before="123" w:after="0"/>
        <w:ind w:left="1853" w:right="783" w:hanging="360"/>
        <w:jc w:val="both"/>
        <w:rPr>
          <w:sz w:val="24"/>
        </w:rPr>
      </w:pPr>
      <w:r>
        <w:rPr>
          <w:sz w:val="24"/>
        </w:rPr>
        <w:t>Indian Standard Code of Practice for Earthquake Resistant </w:t>
      </w:r>
      <w:r>
        <w:rPr>
          <w:spacing w:val="10"/>
          <w:sz w:val="24"/>
        </w:rPr>
        <w:t>Design </w:t>
      </w:r>
      <w:r>
        <w:rPr>
          <w:sz w:val="24"/>
        </w:rPr>
        <w:t>IS1893, </w:t>
      </w:r>
      <w:r>
        <w:rPr>
          <w:spacing w:val="9"/>
          <w:sz w:val="24"/>
        </w:rPr>
        <w:t>IS4326</w:t>
      </w:r>
    </w:p>
    <w:p>
      <w:pPr>
        <w:pStyle w:val="ListParagraph"/>
        <w:numPr>
          <w:ilvl w:val="0"/>
          <w:numId w:val="317"/>
        </w:numPr>
        <w:tabs>
          <w:tab w:pos="1851" w:val="left" w:leader="none"/>
          <w:tab w:pos="1853" w:val="left" w:leader="none"/>
          <w:tab w:pos="2864" w:val="left" w:leader="none"/>
          <w:tab w:pos="4225" w:val="left" w:leader="none"/>
          <w:tab w:pos="5387" w:val="left" w:leader="none"/>
          <w:tab w:pos="6206" w:val="left" w:leader="none"/>
          <w:tab w:pos="6631" w:val="left" w:leader="none"/>
          <w:tab w:pos="7831" w:val="left" w:leader="none"/>
          <w:tab w:pos="8372" w:val="left" w:leader="none"/>
          <w:tab w:pos="9537" w:val="left" w:leader="none"/>
        </w:tabs>
        <w:spacing w:line="240" w:lineRule="auto" w:before="238" w:after="0"/>
        <w:ind w:left="1853" w:right="798" w:hanging="360"/>
        <w:jc w:val="left"/>
        <w:rPr>
          <w:sz w:val="24"/>
        </w:rPr>
      </w:pPr>
      <w:r>
        <w:rPr>
          <w:spacing w:val="-2"/>
          <w:sz w:val="24"/>
        </w:rPr>
        <w:t>Indian</w:t>
      </w:r>
      <w:r>
        <w:rPr>
          <w:sz w:val="24"/>
        </w:rPr>
        <w:tab/>
      </w:r>
      <w:r>
        <w:rPr>
          <w:spacing w:val="-2"/>
          <w:sz w:val="24"/>
        </w:rPr>
        <w:t>Standard</w:t>
      </w:r>
      <w:r>
        <w:rPr>
          <w:sz w:val="24"/>
        </w:rPr>
        <w:tab/>
      </w:r>
      <w:r>
        <w:rPr>
          <w:spacing w:val="-2"/>
          <w:sz w:val="24"/>
        </w:rPr>
        <w:t>Seismic</w:t>
      </w:r>
      <w:r>
        <w:rPr>
          <w:sz w:val="24"/>
        </w:rPr>
        <w:tab/>
      </w:r>
      <w:r>
        <w:rPr>
          <w:spacing w:val="-4"/>
          <w:sz w:val="24"/>
        </w:rPr>
        <w:t>Code</w:t>
      </w:r>
      <w:r>
        <w:rPr>
          <w:sz w:val="24"/>
        </w:rPr>
        <w:tab/>
      </w:r>
      <w:r>
        <w:rPr>
          <w:spacing w:val="-6"/>
          <w:sz w:val="24"/>
        </w:rPr>
        <w:t>of</w:t>
      </w:r>
      <w:r>
        <w:rPr>
          <w:sz w:val="24"/>
        </w:rPr>
        <w:tab/>
      </w:r>
      <w:r>
        <w:rPr>
          <w:spacing w:val="-2"/>
          <w:sz w:val="24"/>
        </w:rPr>
        <w:t>Practice</w:t>
      </w:r>
      <w:r>
        <w:rPr>
          <w:sz w:val="24"/>
        </w:rPr>
        <w:tab/>
      </w:r>
      <w:r>
        <w:rPr>
          <w:spacing w:val="-4"/>
          <w:sz w:val="24"/>
        </w:rPr>
        <w:t>for</w:t>
      </w:r>
      <w:r>
        <w:rPr>
          <w:sz w:val="24"/>
        </w:rPr>
        <w:tab/>
      </w:r>
      <w:r>
        <w:rPr>
          <w:spacing w:val="-2"/>
          <w:sz w:val="24"/>
        </w:rPr>
        <w:t>Seismic</w:t>
      </w:r>
      <w:r>
        <w:rPr>
          <w:sz w:val="24"/>
        </w:rPr>
        <w:tab/>
      </w:r>
      <w:r>
        <w:rPr>
          <w:spacing w:val="-2"/>
          <w:sz w:val="24"/>
        </w:rPr>
        <w:t>Design IS1893(Part1):2002</w:t>
      </w:r>
    </w:p>
    <w:p>
      <w:pPr>
        <w:pStyle w:val="ListParagraph"/>
        <w:numPr>
          <w:ilvl w:val="0"/>
          <w:numId w:val="317"/>
        </w:numPr>
        <w:tabs>
          <w:tab w:pos="1851" w:val="left" w:leader="none"/>
          <w:tab w:pos="1853" w:val="left" w:leader="none"/>
        </w:tabs>
        <w:spacing w:line="240" w:lineRule="auto" w:before="240" w:after="0"/>
        <w:ind w:left="1853" w:right="780" w:hanging="360"/>
        <w:jc w:val="left"/>
        <w:rPr>
          <w:sz w:val="24"/>
        </w:rPr>
      </w:pPr>
      <w:r>
        <w:rPr>
          <w:sz w:val="24"/>
        </w:rPr>
        <w:t>Indian</w:t>
      </w:r>
      <w:r>
        <w:rPr>
          <w:spacing w:val="40"/>
          <w:sz w:val="24"/>
        </w:rPr>
        <w:t> </w:t>
      </w:r>
      <w:r>
        <w:rPr>
          <w:sz w:val="24"/>
        </w:rPr>
        <w:t>Standard</w:t>
      </w:r>
      <w:r>
        <w:rPr>
          <w:spacing w:val="40"/>
          <w:sz w:val="24"/>
        </w:rPr>
        <w:t> </w:t>
      </w:r>
      <w:r>
        <w:rPr>
          <w:sz w:val="24"/>
        </w:rPr>
        <w:t>Code</w:t>
      </w:r>
      <w:r>
        <w:rPr>
          <w:spacing w:val="40"/>
          <w:sz w:val="24"/>
        </w:rPr>
        <w:t> </w:t>
      </w:r>
      <w:r>
        <w:rPr>
          <w:sz w:val="24"/>
        </w:rPr>
        <w:t>of</w:t>
      </w:r>
      <w:r>
        <w:rPr>
          <w:spacing w:val="78"/>
          <w:sz w:val="24"/>
        </w:rPr>
        <w:t> </w:t>
      </w:r>
      <w:r>
        <w:rPr>
          <w:sz w:val="24"/>
        </w:rPr>
        <w:t>Practice</w:t>
      </w:r>
      <w:r>
        <w:rPr>
          <w:spacing w:val="80"/>
          <w:sz w:val="24"/>
        </w:rPr>
        <w:t> </w:t>
      </w:r>
      <w:r>
        <w:rPr>
          <w:sz w:val="24"/>
        </w:rPr>
        <w:t>for</w:t>
      </w:r>
      <w:r>
        <w:rPr>
          <w:spacing w:val="80"/>
          <w:sz w:val="24"/>
        </w:rPr>
        <w:t> </w:t>
      </w:r>
      <w:r>
        <w:rPr>
          <w:sz w:val="24"/>
        </w:rPr>
        <w:t>Wind</w:t>
      </w:r>
      <w:r>
        <w:rPr>
          <w:spacing w:val="40"/>
          <w:sz w:val="24"/>
        </w:rPr>
        <w:t> </w:t>
      </w:r>
      <w:r>
        <w:rPr>
          <w:sz w:val="24"/>
        </w:rPr>
        <w:t>Pressure</w:t>
      </w:r>
      <w:r>
        <w:rPr>
          <w:spacing w:val="40"/>
          <w:sz w:val="24"/>
        </w:rPr>
        <w:t> </w:t>
      </w:r>
      <w:r>
        <w:rPr>
          <w:sz w:val="24"/>
        </w:rPr>
        <w:t>(IS:</w:t>
      </w:r>
      <w:r>
        <w:rPr>
          <w:spacing w:val="-38"/>
          <w:sz w:val="24"/>
        </w:rPr>
        <w:t> </w:t>
      </w:r>
      <w:r>
        <w:rPr>
          <w:sz w:val="24"/>
        </w:rPr>
        <w:t>1875Part3- </w:t>
      </w:r>
      <w:r>
        <w:rPr>
          <w:spacing w:val="-2"/>
          <w:sz w:val="24"/>
        </w:rPr>
        <w:t>1987)</w:t>
      </w:r>
    </w:p>
    <w:p>
      <w:pPr>
        <w:pStyle w:val="BodyText"/>
        <w:spacing w:before="79"/>
        <w:jc w:val="left"/>
      </w:pPr>
    </w:p>
    <w:p>
      <w:pPr>
        <w:pStyle w:val="ListParagraph"/>
        <w:numPr>
          <w:ilvl w:val="0"/>
          <w:numId w:val="317"/>
        </w:numPr>
        <w:tabs>
          <w:tab w:pos="1851" w:val="left" w:leader="none"/>
          <w:tab w:pos="1853" w:val="left" w:leader="none"/>
        </w:tabs>
        <w:spacing w:line="240" w:lineRule="auto" w:before="0" w:after="0"/>
        <w:ind w:left="1853" w:right="769" w:hanging="360"/>
        <w:jc w:val="left"/>
        <w:rPr>
          <w:sz w:val="24"/>
        </w:rPr>
      </w:pPr>
      <w:r>
        <w:rPr>
          <w:sz w:val="24"/>
        </w:rPr>
        <w:t>IS</w:t>
      </w:r>
      <w:r>
        <w:rPr>
          <w:spacing w:val="-3"/>
          <w:sz w:val="24"/>
        </w:rPr>
        <w:t> </w:t>
      </w:r>
      <w:r>
        <w:rPr>
          <w:sz w:val="24"/>
        </w:rPr>
        <w:t>Code</w:t>
      </w:r>
      <w:r>
        <w:rPr>
          <w:spacing w:val="-6"/>
          <w:sz w:val="24"/>
        </w:rPr>
        <w:t> </w:t>
      </w:r>
      <w:r>
        <w:rPr>
          <w:sz w:val="24"/>
        </w:rPr>
        <w:t>as</w:t>
      </w:r>
      <w:r>
        <w:rPr>
          <w:spacing w:val="-3"/>
          <w:sz w:val="24"/>
        </w:rPr>
        <w:t> </w:t>
      </w:r>
      <w:r>
        <w:rPr>
          <w:sz w:val="24"/>
        </w:rPr>
        <w:t>would</w:t>
      </w:r>
      <w:r>
        <w:rPr>
          <w:spacing w:val="-6"/>
          <w:sz w:val="24"/>
        </w:rPr>
        <w:t> </w:t>
      </w:r>
      <w:r>
        <w:rPr>
          <w:sz w:val="24"/>
        </w:rPr>
        <w:t>be</w:t>
      </w:r>
      <w:r>
        <w:rPr>
          <w:spacing w:val="-6"/>
          <w:sz w:val="24"/>
        </w:rPr>
        <w:t> </w:t>
      </w:r>
      <w:r>
        <w:rPr>
          <w:sz w:val="24"/>
        </w:rPr>
        <w:t>made</w:t>
      </w:r>
      <w:r>
        <w:rPr>
          <w:spacing w:val="-3"/>
          <w:sz w:val="24"/>
        </w:rPr>
        <w:t> </w:t>
      </w:r>
      <w:r>
        <w:rPr>
          <w:sz w:val="24"/>
        </w:rPr>
        <w:t>applicable</w:t>
      </w:r>
      <w:r>
        <w:rPr>
          <w:spacing w:val="-3"/>
          <w:sz w:val="24"/>
        </w:rPr>
        <w:t> </w:t>
      </w:r>
      <w:r>
        <w:rPr>
          <w:sz w:val="24"/>
        </w:rPr>
        <w:t>by</w:t>
      </w:r>
      <w:r>
        <w:rPr>
          <w:spacing w:val="-6"/>
          <w:sz w:val="24"/>
        </w:rPr>
        <w:t> </w:t>
      </w:r>
      <w:r>
        <w:rPr>
          <w:sz w:val="24"/>
        </w:rPr>
        <w:t>Bureau</w:t>
      </w:r>
      <w:r>
        <w:rPr>
          <w:spacing w:val="-3"/>
          <w:sz w:val="24"/>
        </w:rPr>
        <w:t> </w:t>
      </w:r>
      <w:r>
        <w:rPr>
          <w:sz w:val="24"/>
        </w:rPr>
        <w:t>of</w:t>
      </w:r>
      <w:r>
        <w:rPr>
          <w:spacing w:val="-6"/>
          <w:sz w:val="24"/>
        </w:rPr>
        <w:t> </w:t>
      </w:r>
      <w:r>
        <w:rPr>
          <w:sz w:val="24"/>
        </w:rPr>
        <w:t>Indian</w:t>
      </w:r>
      <w:r>
        <w:rPr>
          <w:spacing w:val="-3"/>
          <w:sz w:val="24"/>
        </w:rPr>
        <w:t> </w:t>
      </w:r>
      <w:r>
        <w:rPr>
          <w:sz w:val="24"/>
        </w:rPr>
        <w:t>Standard</w:t>
      </w:r>
      <w:r>
        <w:rPr>
          <w:spacing w:val="-3"/>
          <w:sz w:val="24"/>
        </w:rPr>
        <w:t> </w:t>
      </w:r>
      <w:r>
        <w:rPr>
          <w:sz w:val="24"/>
        </w:rPr>
        <w:t>from time to time</w:t>
      </w:r>
    </w:p>
    <w:p>
      <w:pPr>
        <w:pStyle w:val="BodyText"/>
        <w:spacing w:before="77"/>
        <w:jc w:val="left"/>
      </w:pPr>
    </w:p>
    <w:p>
      <w:pPr>
        <w:pStyle w:val="Heading6"/>
        <w:numPr>
          <w:ilvl w:val="1"/>
          <w:numId w:val="263"/>
        </w:numPr>
        <w:tabs>
          <w:tab w:pos="1673" w:val="left" w:leader="none"/>
          <w:tab w:pos="4210" w:val="left" w:leader="none"/>
          <w:tab w:pos="8130" w:val="left" w:leader="none"/>
        </w:tabs>
        <w:spacing w:line="240" w:lineRule="auto" w:before="0" w:after="0"/>
        <w:ind w:left="1673" w:right="2100" w:hanging="473"/>
        <w:jc w:val="left"/>
        <w:rPr>
          <w:b w:val="0"/>
          <w:i w:val="0"/>
        </w:rPr>
      </w:pPr>
      <w:r>
        <w:rPr/>
        <w:t>Structural</w:t>
      </w:r>
      <w:r>
        <w:rPr>
          <w:spacing w:val="80"/>
        </w:rPr>
        <w:t> </w:t>
      </w:r>
      <w:r>
        <w:rPr/>
        <w:t>Safety</w:t>
        <w:tab/>
        <w:t>for</w:t>
      </w:r>
      <w:r>
        <w:rPr>
          <w:spacing w:val="80"/>
        </w:rPr>
        <w:t> </w:t>
      </w:r>
      <w:r>
        <w:rPr/>
        <w:t>Protection</w:t>
      </w:r>
      <w:r>
        <w:rPr>
          <w:spacing w:val="80"/>
        </w:rPr>
        <w:t> </w:t>
      </w:r>
      <w:r>
        <w:rPr/>
        <w:t>of</w:t>
      </w:r>
      <w:r>
        <w:rPr>
          <w:spacing w:val="80"/>
        </w:rPr>
        <w:t> </w:t>
      </w:r>
      <w:r>
        <w:rPr/>
        <w:t>Buildings</w:t>
        <w:tab/>
      </w:r>
      <w:r>
        <w:rPr>
          <w:spacing w:val="-4"/>
        </w:rPr>
        <w:t>against </w:t>
      </w:r>
      <w:r>
        <w:rPr/>
        <w:t>Natural Hazard:</w:t>
      </w:r>
    </w:p>
    <w:p>
      <w:pPr>
        <w:pStyle w:val="BodyText"/>
        <w:spacing w:before="240"/>
        <w:ind w:left="1493" w:right="778"/>
      </w:pPr>
      <w:r>
        <w:rPr/>
        <w:t>In Natural Hazard, prone areas viz, Earth quake Prone areas as per </w:t>
      </w:r>
      <w:r>
        <w:rPr>
          <w:spacing w:val="9"/>
        </w:rPr>
        <w:t>IS: </w:t>
      </w:r>
      <w:r>
        <w:rPr/>
        <w:t>1893,the</w:t>
      </w:r>
      <w:r>
        <w:rPr>
          <w:spacing w:val="40"/>
        </w:rPr>
        <w:t> </w:t>
      </w:r>
      <w:r>
        <w:rPr/>
        <w:t>cyclone</w:t>
      </w:r>
      <w:r>
        <w:rPr>
          <w:spacing w:val="40"/>
        </w:rPr>
        <w:t> </w:t>
      </w:r>
      <w:r>
        <w:rPr/>
        <w:t>prone</w:t>
      </w:r>
      <w:r>
        <w:rPr>
          <w:spacing w:val="40"/>
        </w:rPr>
        <w:t> </w:t>
      </w:r>
      <w:r>
        <w:rPr/>
        <w:t>areas</w:t>
      </w:r>
      <w:r>
        <w:rPr>
          <w:spacing w:val="40"/>
        </w:rPr>
        <w:t> </w:t>
      </w:r>
      <w:r>
        <w:rPr/>
        <w:t>as</w:t>
      </w:r>
      <w:r>
        <w:rPr>
          <w:spacing w:val="40"/>
        </w:rPr>
        <w:t> </w:t>
      </w:r>
      <w:r>
        <w:rPr/>
        <w:t>per</w:t>
      </w:r>
      <w:r>
        <w:rPr>
          <w:spacing w:val="40"/>
        </w:rPr>
        <w:t> </w:t>
      </w:r>
      <w:r>
        <w:rPr>
          <w:spacing w:val="9"/>
        </w:rPr>
        <w:t>IS:</w:t>
      </w:r>
      <w:r>
        <w:rPr>
          <w:spacing w:val="40"/>
        </w:rPr>
        <w:t> </w:t>
      </w:r>
      <w:r>
        <w:rPr/>
        <w:t>875</w:t>
      </w:r>
      <w:r>
        <w:rPr>
          <w:spacing w:val="40"/>
        </w:rPr>
        <w:t> </w:t>
      </w:r>
      <w:r>
        <w:rPr>
          <w:spacing w:val="9"/>
        </w:rPr>
        <w:t>Part-</w:t>
      </w:r>
      <w:r>
        <w:rPr/>
        <w:t>3</w:t>
      </w:r>
      <w:r>
        <w:rPr>
          <w:spacing w:val="40"/>
        </w:rPr>
        <w:t> </w:t>
      </w:r>
      <w:r>
        <w:rPr/>
        <w:t>and</w:t>
      </w:r>
      <w:r>
        <w:rPr>
          <w:spacing w:val="40"/>
        </w:rPr>
        <w:t> </w:t>
      </w:r>
      <w:r>
        <w:rPr/>
        <w:t>flood</w:t>
      </w:r>
      <w:r>
        <w:rPr>
          <w:spacing w:val="40"/>
        </w:rPr>
        <w:t> </w:t>
      </w:r>
      <w:r>
        <w:rPr/>
        <w:t>prone areas as per the Flood Atlas prepared by the Central Water Commission and/or</w:t>
      </w:r>
      <w:r>
        <w:rPr>
          <w:spacing w:val="40"/>
        </w:rPr>
        <w:t> </w:t>
      </w:r>
      <w:r>
        <w:rPr/>
        <w:t>the</w:t>
      </w:r>
      <w:r>
        <w:rPr>
          <w:spacing w:val="40"/>
        </w:rPr>
        <w:t> </w:t>
      </w:r>
      <w:r>
        <w:rPr/>
        <w:t>Disaster</w:t>
      </w:r>
      <w:r>
        <w:rPr>
          <w:spacing w:val="40"/>
        </w:rPr>
        <w:t> </w:t>
      </w:r>
      <w:r>
        <w:rPr/>
        <w:t>Management</w:t>
      </w:r>
      <w:r>
        <w:rPr>
          <w:spacing w:val="40"/>
        </w:rPr>
        <w:t> </w:t>
      </w:r>
      <w:r>
        <w:rPr/>
        <w:t>Department</w:t>
      </w:r>
      <w:r>
        <w:rPr>
          <w:spacing w:val="40"/>
        </w:rPr>
        <w:t> </w:t>
      </w:r>
      <w:r>
        <w:rPr/>
        <w:t>of</w:t>
      </w:r>
      <w:r>
        <w:rPr>
          <w:spacing w:val="40"/>
        </w:rPr>
        <w:t> </w:t>
      </w:r>
      <w:r>
        <w:rPr/>
        <w:t>MCGM,</w:t>
      </w:r>
      <w:r>
        <w:rPr>
          <w:spacing w:val="40"/>
        </w:rPr>
        <w:t> </w:t>
      </w:r>
      <w:r>
        <w:rPr/>
        <w:t>development shall</w:t>
      </w:r>
      <w:r>
        <w:rPr>
          <w:spacing w:val="40"/>
        </w:rPr>
        <w:t> </w:t>
      </w:r>
      <w:r>
        <w:rPr/>
        <w:t>be</w:t>
      </w:r>
      <w:r>
        <w:rPr>
          <w:spacing w:val="40"/>
        </w:rPr>
        <w:t> </w:t>
      </w:r>
      <w:r>
        <w:rPr/>
        <w:t>regulated</w:t>
      </w:r>
      <w:r>
        <w:rPr>
          <w:spacing w:val="40"/>
        </w:rPr>
        <w:t> </w:t>
      </w:r>
      <w:r>
        <w:rPr/>
        <w:t>to</w:t>
      </w:r>
      <w:r>
        <w:rPr>
          <w:spacing w:val="40"/>
        </w:rPr>
        <w:t> </w:t>
      </w:r>
      <w:r>
        <w:rPr/>
        <w:t>ensure</w:t>
      </w:r>
      <w:r>
        <w:rPr>
          <w:spacing w:val="40"/>
        </w:rPr>
        <w:t> </w:t>
      </w:r>
      <w:r>
        <w:rPr/>
        <w:t>special</w:t>
      </w:r>
      <w:r>
        <w:rPr>
          <w:spacing w:val="40"/>
        </w:rPr>
        <w:t> </w:t>
      </w:r>
      <w:r>
        <w:rPr/>
        <w:t>protection</w:t>
      </w:r>
      <w:r>
        <w:rPr>
          <w:spacing w:val="40"/>
        </w:rPr>
        <w:t> </w:t>
      </w:r>
      <w:r>
        <w:rPr/>
        <w:t>from</w:t>
      </w:r>
      <w:r>
        <w:rPr>
          <w:spacing w:val="40"/>
        </w:rPr>
        <w:t> </w:t>
      </w:r>
      <w:r>
        <w:rPr/>
        <w:t>hazards</w:t>
      </w:r>
      <w:r>
        <w:rPr>
          <w:spacing w:val="40"/>
        </w:rPr>
        <w:t> </w:t>
      </w:r>
      <w:r>
        <w:rPr/>
        <w:t>for</w:t>
      </w:r>
      <w:r>
        <w:rPr>
          <w:spacing w:val="40"/>
        </w:rPr>
        <w:t> </w:t>
      </w:r>
      <w:r>
        <w:rPr/>
        <w:t>any</w:t>
      </w:r>
      <w:r>
        <w:rPr>
          <w:spacing w:val="80"/>
        </w:rPr>
        <w:t> </w:t>
      </w:r>
      <w:r>
        <w:rPr/>
        <w:t>type</w:t>
      </w:r>
      <w:r>
        <w:rPr>
          <w:spacing w:val="40"/>
        </w:rPr>
        <w:t> </w:t>
      </w:r>
      <w:r>
        <w:rPr/>
        <w:t>of</w:t>
      </w:r>
      <w:r>
        <w:rPr>
          <w:spacing w:val="40"/>
        </w:rPr>
        <w:t> </w:t>
      </w:r>
      <w:r>
        <w:rPr/>
        <w:t>development</w:t>
      </w:r>
      <w:r>
        <w:rPr>
          <w:spacing w:val="40"/>
        </w:rPr>
        <w:t> </w:t>
      </w:r>
      <w:r>
        <w:rPr/>
        <w:t>irrespective</w:t>
      </w:r>
      <w:r>
        <w:rPr>
          <w:spacing w:val="40"/>
        </w:rPr>
        <w:t> </w:t>
      </w:r>
      <w:r>
        <w:rPr/>
        <w:t>of</w:t>
      </w:r>
      <w:r>
        <w:rPr>
          <w:spacing w:val="40"/>
        </w:rPr>
        <w:t> </w:t>
      </w:r>
      <w:r>
        <w:rPr/>
        <w:t>use</w:t>
      </w:r>
      <w:r>
        <w:rPr>
          <w:spacing w:val="40"/>
        </w:rPr>
        <w:t> </w:t>
      </w:r>
      <w:r>
        <w:rPr/>
        <w:t>of</w:t>
      </w:r>
      <w:r>
        <w:rPr>
          <w:spacing w:val="40"/>
        </w:rPr>
        <w:t> </w:t>
      </w:r>
      <w:r>
        <w:rPr/>
        <w:t>zones.</w:t>
      </w:r>
    </w:p>
    <w:p>
      <w:pPr>
        <w:pStyle w:val="BodyText"/>
        <w:spacing w:before="81"/>
        <w:jc w:val="left"/>
      </w:pPr>
    </w:p>
    <w:p>
      <w:pPr>
        <w:pStyle w:val="BodyText"/>
        <w:ind w:left="1493" w:right="777"/>
      </w:pPr>
      <w:r>
        <w:rPr/>
        <w:t>The supervision certificate and the completion certificate of every such building shall contain a certificate recorded by the Structural </w:t>
      </w:r>
      <w:r>
        <w:rPr>
          <w:spacing w:val="9"/>
        </w:rPr>
        <w:t>Engineer</w:t>
      </w:r>
      <w:r>
        <w:rPr>
          <w:spacing w:val="40"/>
        </w:rPr>
        <w:t> </w:t>
      </w:r>
      <w:r>
        <w:rPr/>
        <w:t>that the norms of IS: </w:t>
      </w:r>
      <w:r>
        <w:rPr>
          <w:spacing w:val="9"/>
        </w:rPr>
        <w:t>1893-</w:t>
      </w:r>
      <w:r>
        <w:rPr/>
        <w:t>2002 have been followed in the design and construction</w:t>
      </w:r>
      <w:r>
        <w:rPr>
          <w:spacing w:val="40"/>
        </w:rPr>
        <w:t> </w:t>
      </w:r>
      <w:r>
        <w:rPr/>
        <w:t>of</w:t>
      </w:r>
      <w:r>
        <w:rPr>
          <w:spacing w:val="40"/>
        </w:rPr>
        <w:t> </w:t>
      </w:r>
      <w:r>
        <w:rPr/>
        <w:t>buildings</w:t>
      </w:r>
      <w:r>
        <w:rPr>
          <w:spacing w:val="40"/>
        </w:rPr>
        <w:t> </w:t>
      </w:r>
      <w:r>
        <w:rPr/>
        <w:t>for</w:t>
      </w:r>
      <w:r>
        <w:rPr>
          <w:spacing w:val="40"/>
        </w:rPr>
        <w:t> </w:t>
      </w:r>
      <w:r>
        <w:rPr/>
        <w:t>making</w:t>
      </w:r>
      <w:r>
        <w:rPr>
          <w:spacing w:val="40"/>
        </w:rPr>
        <w:t> </w:t>
      </w:r>
      <w:r>
        <w:rPr/>
        <w:t>the</w:t>
      </w:r>
      <w:r>
        <w:rPr>
          <w:spacing w:val="40"/>
        </w:rPr>
        <w:t> </w:t>
      </w:r>
      <w:r>
        <w:rPr/>
        <w:t>buildings</w:t>
      </w:r>
      <w:r>
        <w:rPr>
          <w:spacing w:val="40"/>
        </w:rPr>
        <w:t> </w:t>
      </w:r>
      <w:r>
        <w:rPr/>
        <w:t>resistant</w:t>
      </w:r>
      <w:r>
        <w:rPr>
          <w:spacing w:val="40"/>
        </w:rPr>
        <w:t> </w:t>
      </w:r>
      <w:r>
        <w:rPr/>
        <w:t>to earthquake and compliance with other structural safety and fire </w:t>
      </w:r>
      <w:r>
        <w:rPr>
          <w:spacing w:val="9"/>
        </w:rPr>
        <w:t>safety </w:t>
      </w:r>
      <w:r>
        <w:rPr>
          <w:spacing w:val="7"/>
        </w:rPr>
        <w:t>requirements</w:t>
      </w:r>
    </w:p>
    <w:p>
      <w:pPr>
        <w:pStyle w:val="BodyText"/>
        <w:spacing w:after="0"/>
        <w:sectPr>
          <w:pgSz w:w="11910" w:h="16840"/>
          <w:pgMar w:header="1065" w:footer="1194" w:top="1500" w:bottom="1380" w:left="360" w:right="360"/>
        </w:sectPr>
      </w:pPr>
    </w:p>
    <w:p>
      <w:pPr>
        <w:pStyle w:val="BodyText"/>
        <w:spacing w:before="249"/>
        <w:ind w:left="1493" w:right="789"/>
      </w:pPr>
      <w:r>
        <w:rPr/>
        <w:t>It will be the responsibility of the structural engineer on Record for adequacy</w:t>
      </w:r>
      <w:r>
        <w:rPr>
          <w:spacing w:val="40"/>
        </w:rPr>
        <w:t> </w:t>
      </w:r>
      <w:r>
        <w:rPr/>
        <w:t>of</w:t>
      </w:r>
      <w:r>
        <w:rPr>
          <w:spacing w:val="40"/>
        </w:rPr>
        <w:t> </w:t>
      </w:r>
      <w:r>
        <w:rPr/>
        <w:t>structural</w:t>
      </w:r>
      <w:r>
        <w:rPr>
          <w:spacing w:val="40"/>
        </w:rPr>
        <w:t> </w:t>
      </w:r>
      <w:r>
        <w:rPr/>
        <w:t>design</w:t>
      </w:r>
      <w:r>
        <w:rPr>
          <w:spacing w:val="40"/>
        </w:rPr>
        <w:t> </w:t>
      </w:r>
      <w:r>
        <w:rPr/>
        <w:t>&amp;</w:t>
      </w:r>
      <w:r>
        <w:rPr>
          <w:spacing w:val="40"/>
        </w:rPr>
        <w:t> </w:t>
      </w:r>
      <w:r>
        <w:rPr/>
        <w:t>safety</w:t>
      </w:r>
      <w:r>
        <w:rPr>
          <w:spacing w:val="40"/>
        </w:rPr>
        <w:t> </w:t>
      </w:r>
      <w:r>
        <w:rPr/>
        <w:t>of</w:t>
      </w:r>
      <w:r>
        <w:rPr>
          <w:spacing w:val="40"/>
        </w:rPr>
        <w:t> </w:t>
      </w:r>
      <w:r>
        <w:rPr/>
        <w:t>structure</w:t>
      </w:r>
      <w:r>
        <w:rPr>
          <w:spacing w:val="40"/>
        </w:rPr>
        <w:t> </w:t>
      </w:r>
      <w:r>
        <w:rPr/>
        <w:t>as</w:t>
      </w:r>
      <w:r>
        <w:rPr>
          <w:spacing w:val="40"/>
        </w:rPr>
        <w:t> </w:t>
      </w:r>
      <w:r>
        <w:rPr/>
        <w:t>specified</w:t>
      </w:r>
      <w:r>
        <w:rPr>
          <w:spacing w:val="40"/>
        </w:rPr>
        <w:t> </w:t>
      </w:r>
      <w:r>
        <w:rPr/>
        <w:t>in</w:t>
      </w:r>
      <w:r>
        <w:rPr>
          <w:spacing w:val="40"/>
        </w:rPr>
        <w:t> </w:t>
      </w:r>
      <w:r>
        <w:rPr/>
        <w:t>as per </w:t>
      </w:r>
      <w:r>
        <w:rPr>
          <w:spacing w:val="10"/>
        </w:rPr>
        <w:t>sub-</w:t>
      </w:r>
      <w:r>
        <w:rPr/>
        <w:t>regulation (1) above and execution of work as per structural </w:t>
      </w:r>
      <w:r>
        <w:rPr>
          <w:spacing w:val="-2"/>
        </w:rPr>
        <w:t>design.</w:t>
      </w:r>
    </w:p>
    <w:p>
      <w:pPr>
        <w:pStyle w:val="BodyText"/>
        <w:spacing w:before="241"/>
        <w:ind w:left="1493" w:right="779"/>
      </w:pPr>
      <w:r>
        <w:rPr/>
        <w:t>The instructions of structural engineer structural design, safety &amp;</w:t>
      </w:r>
      <w:r>
        <w:rPr>
          <w:spacing w:val="40"/>
        </w:rPr>
        <w:t> </w:t>
      </w:r>
      <w:r>
        <w:rPr/>
        <w:t>execution of work are binding on owner/ developer &amp; professionals on record</w:t>
      </w:r>
      <w:r>
        <w:rPr>
          <w:spacing w:val="80"/>
        </w:rPr>
        <w:t> </w:t>
      </w:r>
      <w:r>
        <w:rPr/>
        <w:t>including</w:t>
      </w:r>
      <w:r>
        <w:rPr>
          <w:spacing w:val="80"/>
        </w:rPr>
        <w:t> </w:t>
      </w:r>
      <w:r>
        <w:rPr/>
        <w:t>contractor</w:t>
      </w:r>
      <w:r>
        <w:rPr>
          <w:spacing w:val="80"/>
        </w:rPr>
        <w:t> </w:t>
      </w:r>
      <w:r>
        <w:rPr/>
        <w:t>engaged</w:t>
      </w:r>
      <w:r>
        <w:rPr>
          <w:spacing w:val="80"/>
        </w:rPr>
        <w:t> </w:t>
      </w:r>
      <w:r>
        <w:rPr/>
        <w:t>for</w:t>
      </w:r>
      <w:r>
        <w:rPr>
          <w:spacing w:val="80"/>
        </w:rPr>
        <w:t> </w:t>
      </w:r>
      <w:r>
        <w:rPr/>
        <w:t>the</w:t>
      </w:r>
      <w:r>
        <w:rPr>
          <w:spacing w:val="80"/>
        </w:rPr>
        <w:t> </w:t>
      </w:r>
      <w:r>
        <w:rPr/>
        <w:t>work.</w:t>
      </w:r>
      <w:r>
        <w:rPr>
          <w:spacing w:val="80"/>
        </w:rPr>
        <w:t> </w:t>
      </w:r>
      <w:r>
        <w:rPr/>
        <w:t>The</w:t>
      </w:r>
      <w:r>
        <w:rPr>
          <w:spacing w:val="80"/>
        </w:rPr>
        <w:t> </w:t>
      </w:r>
      <w:r>
        <w:rPr/>
        <w:t>noncompliance of the instructions of the structural engineer shall be intimated to </w:t>
      </w:r>
      <w:r>
        <w:rPr>
          <w:spacing w:val="7"/>
        </w:rPr>
        <w:t>Commissioner.</w:t>
      </w:r>
    </w:p>
    <w:p>
      <w:pPr>
        <w:pStyle w:val="BodyText"/>
        <w:spacing w:before="76"/>
        <w:jc w:val="left"/>
      </w:pPr>
    </w:p>
    <w:p>
      <w:pPr>
        <w:pStyle w:val="Heading6"/>
        <w:numPr>
          <w:ilvl w:val="1"/>
          <w:numId w:val="263"/>
        </w:numPr>
        <w:tabs>
          <w:tab w:pos="1452" w:val="left" w:leader="none"/>
        </w:tabs>
        <w:spacing w:line="240" w:lineRule="auto" w:before="0" w:after="0"/>
        <w:ind w:left="1452" w:right="0" w:hanging="319"/>
        <w:jc w:val="both"/>
        <w:rPr>
          <w:b w:val="0"/>
          <w:i w:val="0"/>
          <w:sz w:val="22"/>
        </w:rPr>
      </w:pPr>
      <w:r>
        <w:rPr/>
        <w:t>Quality</w:t>
      </w:r>
      <w:r>
        <w:rPr>
          <w:spacing w:val="58"/>
        </w:rPr>
        <w:t> </w:t>
      </w:r>
      <w:r>
        <w:rPr/>
        <w:t>of</w:t>
      </w:r>
      <w:r>
        <w:rPr>
          <w:spacing w:val="58"/>
        </w:rPr>
        <w:t> </w:t>
      </w:r>
      <w:r>
        <w:rPr/>
        <w:t>materials</w:t>
      </w:r>
      <w:r>
        <w:rPr>
          <w:spacing w:val="58"/>
        </w:rPr>
        <w:t> </w:t>
      </w:r>
      <w:r>
        <w:rPr/>
        <w:t>and</w:t>
      </w:r>
      <w:r>
        <w:rPr>
          <w:spacing w:val="59"/>
        </w:rPr>
        <w:t> </w:t>
      </w:r>
      <w:r>
        <w:rPr>
          <w:spacing w:val="7"/>
        </w:rPr>
        <w:t>workmanship</w:t>
      </w:r>
      <w:r>
        <w:rPr>
          <w:b w:val="0"/>
          <w:spacing w:val="7"/>
        </w:rPr>
        <w:t>:</w:t>
      </w:r>
    </w:p>
    <w:p>
      <w:pPr>
        <w:pStyle w:val="ListParagraph"/>
        <w:numPr>
          <w:ilvl w:val="0"/>
          <w:numId w:val="318"/>
        </w:numPr>
        <w:tabs>
          <w:tab w:pos="1853" w:val="left" w:leader="none"/>
        </w:tabs>
        <w:spacing w:line="240" w:lineRule="auto" w:before="122" w:after="0"/>
        <w:ind w:left="1853" w:right="783" w:hanging="348"/>
        <w:jc w:val="both"/>
        <w:rPr>
          <w:sz w:val="24"/>
        </w:rPr>
      </w:pPr>
      <w:r>
        <w:rPr>
          <w:sz w:val="24"/>
        </w:rPr>
        <w:t>The</w:t>
      </w:r>
      <w:r>
        <w:rPr>
          <w:spacing w:val="40"/>
          <w:sz w:val="24"/>
        </w:rPr>
        <w:t> </w:t>
      </w:r>
      <w:r>
        <w:rPr>
          <w:sz w:val="24"/>
        </w:rPr>
        <w:t>quality</w:t>
      </w:r>
      <w:r>
        <w:rPr>
          <w:spacing w:val="40"/>
          <w:sz w:val="24"/>
        </w:rPr>
        <w:t> </w:t>
      </w:r>
      <w:r>
        <w:rPr>
          <w:sz w:val="24"/>
        </w:rPr>
        <w:t>of</w:t>
      </w:r>
      <w:r>
        <w:rPr>
          <w:spacing w:val="40"/>
          <w:sz w:val="24"/>
        </w:rPr>
        <w:t> </w:t>
      </w:r>
      <w:r>
        <w:rPr>
          <w:sz w:val="24"/>
        </w:rPr>
        <w:t>all</w:t>
      </w:r>
      <w:r>
        <w:rPr>
          <w:spacing w:val="40"/>
          <w:sz w:val="24"/>
        </w:rPr>
        <w:t> </w:t>
      </w:r>
      <w:r>
        <w:rPr>
          <w:sz w:val="24"/>
        </w:rPr>
        <w:t>materials</w:t>
      </w:r>
      <w:r>
        <w:rPr>
          <w:spacing w:val="40"/>
          <w:sz w:val="24"/>
        </w:rPr>
        <w:t> </w:t>
      </w:r>
      <w:r>
        <w:rPr>
          <w:sz w:val="24"/>
        </w:rPr>
        <w:t>and</w:t>
      </w:r>
      <w:r>
        <w:rPr>
          <w:spacing w:val="40"/>
          <w:sz w:val="24"/>
        </w:rPr>
        <w:t> </w:t>
      </w:r>
      <w:r>
        <w:rPr>
          <w:sz w:val="24"/>
        </w:rPr>
        <w:t>workmanship</w:t>
      </w:r>
      <w:r>
        <w:rPr>
          <w:spacing w:val="40"/>
          <w:sz w:val="24"/>
        </w:rPr>
        <w:t> </w:t>
      </w:r>
      <w:r>
        <w:rPr>
          <w:sz w:val="24"/>
        </w:rPr>
        <w:t>shall</w:t>
      </w:r>
      <w:r>
        <w:rPr>
          <w:spacing w:val="40"/>
          <w:sz w:val="24"/>
        </w:rPr>
        <w:t> </w:t>
      </w:r>
      <w:r>
        <w:rPr>
          <w:sz w:val="24"/>
        </w:rPr>
        <w:t>conform</w:t>
      </w:r>
      <w:r>
        <w:rPr>
          <w:spacing w:val="40"/>
          <w:sz w:val="24"/>
        </w:rPr>
        <w:t> </w:t>
      </w:r>
      <w:r>
        <w:rPr>
          <w:sz w:val="24"/>
        </w:rPr>
        <w:t>to accepted</w:t>
      </w:r>
      <w:r>
        <w:rPr>
          <w:spacing w:val="80"/>
          <w:sz w:val="24"/>
        </w:rPr>
        <w:t> </w:t>
      </w:r>
      <w:r>
        <w:rPr>
          <w:sz w:val="24"/>
        </w:rPr>
        <w:t>standards</w:t>
      </w:r>
      <w:r>
        <w:rPr>
          <w:spacing w:val="80"/>
          <w:sz w:val="24"/>
        </w:rPr>
        <w:t> </w:t>
      </w:r>
      <w:r>
        <w:rPr>
          <w:sz w:val="24"/>
        </w:rPr>
        <w:t>and</w:t>
      </w:r>
      <w:r>
        <w:rPr>
          <w:spacing w:val="80"/>
          <w:sz w:val="24"/>
        </w:rPr>
        <w:t> </w:t>
      </w:r>
      <w:r>
        <w:rPr>
          <w:sz w:val="24"/>
        </w:rPr>
        <w:t>Indian</w:t>
      </w:r>
      <w:r>
        <w:rPr>
          <w:spacing w:val="80"/>
          <w:sz w:val="24"/>
        </w:rPr>
        <w:t> </w:t>
      </w:r>
      <w:r>
        <w:rPr>
          <w:sz w:val="24"/>
        </w:rPr>
        <w:t>Standard</w:t>
      </w:r>
      <w:r>
        <w:rPr>
          <w:spacing w:val="80"/>
          <w:sz w:val="24"/>
        </w:rPr>
        <w:t> </w:t>
      </w:r>
      <w:r>
        <w:rPr>
          <w:sz w:val="24"/>
        </w:rPr>
        <w:t>Specifications</w:t>
      </w:r>
      <w:r>
        <w:rPr>
          <w:spacing w:val="80"/>
          <w:sz w:val="24"/>
        </w:rPr>
        <w:t> </w:t>
      </w:r>
      <w:r>
        <w:rPr>
          <w:sz w:val="24"/>
        </w:rPr>
        <w:t>and</w:t>
      </w:r>
      <w:r>
        <w:rPr>
          <w:spacing w:val="80"/>
          <w:sz w:val="24"/>
        </w:rPr>
        <w:t> </w:t>
      </w:r>
      <w:r>
        <w:rPr>
          <w:sz w:val="24"/>
        </w:rPr>
        <w:t>Codes as included in Part V Building Materials and </w:t>
      </w:r>
      <w:r>
        <w:rPr>
          <w:spacing w:val="11"/>
          <w:sz w:val="24"/>
        </w:rPr>
        <w:t>Part-</w:t>
      </w:r>
      <w:r>
        <w:rPr>
          <w:sz w:val="24"/>
        </w:rPr>
        <w:t>VII Constructional Practices and Safety, National Building Code of India amended from</w:t>
      </w:r>
      <w:r>
        <w:rPr>
          <w:spacing w:val="40"/>
          <w:sz w:val="24"/>
        </w:rPr>
        <w:t> </w:t>
      </w:r>
      <w:r>
        <w:rPr>
          <w:sz w:val="24"/>
        </w:rPr>
        <w:t>time to time.</w:t>
      </w:r>
    </w:p>
    <w:p>
      <w:pPr>
        <w:pStyle w:val="ListParagraph"/>
        <w:numPr>
          <w:ilvl w:val="0"/>
          <w:numId w:val="318"/>
        </w:numPr>
        <w:tabs>
          <w:tab w:pos="1851" w:val="left" w:leader="none"/>
          <w:tab w:pos="1853" w:val="left" w:leader="none"/>
        </w:tabs>
        <w:spacing w:line="240" w:lineRule="auto" w:before="240" w:after="0"/>
        <w:ind w:left="1853" w:right="786" w:hanging="430"/>
        <w:jc w:val="both"/>
        <w:rPr>
          <w:sz w:val="24"/>
        </w:rPr>
      </w:pPr>
      <w:r>
        <w:rPr>
          <w:sz w:val="24"/>
        </w:rPr>
        <w:t>All burrow pits dug in the course of construction</w:t>
      </w:r>
      <w:r>
        <w:rPr>
          <w:spacing w:val="40"/>
          <w:sz w:val="24"/>
        </w:rPr>
        <w:t> </w:t>
      </w:r>
      <w:r>
        <w:rPr>
          <w:sz w:val="24"/>
        </w:rPr>
        <w:t>and repair of</w:t>
      </w:r>
      <w:r>
        <w:rPr>
          <w:spacing w:val="40"/>
          <w:sz w:val="24"/>
        </w:rPr>
        <w:t> </w:t>
      </w:r>
      <w:r>
        <w:rPr>
          <w:sz w:val="24"/>
        </w:rPr>
        <w:t>buildings,</w:t>
      </w:r>
      <w:r>
        <w:rPr>
          <w:spacing w:val="40"/>
          <w:sz w:val="24"/>
        </w:rPr>
        <w:t> </w:t>
      </w:r>
      <w:r>
        <w:rPr>
          <w:sz w:val="24"/>
        </w:rPr>
        <w:t>roads,</w:t>
      </w:r>
      <w:r>
        <w:rPr>
          <w:spacing w:val="40"/>
          <w:sz w:val="24"/>
        </w:rPr>
        <w:t> </w:t>
      </w:r>
      <w:r>
        <w:rPr>
          <w:sz w:val="24"/>
        </w:rPr>
        <w:t>embankments,</w:t>
      </w:r>
      <w:r>
        <w:rPr>
          <w:spacing w:val="40"/>
          <w:sz w:val="24"/>
        </w:rPr>
        <w:t> </w:t>
      </w:r>
      <w:r>
        <w:rPr>
          <w:sz w:val="24"/>
        </w:rPr>
        <w:t>etc.,</w:t>
      </w:r>
      <w:r>
        <w:rPr>
          <w:spacing w:val="40"/>
          <w:sz w:val="24"/>
        </w:rPr>
        <w:t> </w:t>
      </w:r>
      <w:r>
        <w:rPr>
          <w:sz w:val="24"/>
        </w:rPr>
        <w:t>shall</w:t>
      </w:r>
      <w:r>
        <w:rPr>
          <w:spacing w:val="40"/>
          <w:sz w:val="24"/>
        </w:rPr>
        <w:t> </w:t>
      </w:r>
      <w:r>
        <w:rPr>
          <w:sz w:val="24"/>
        </w:rPr>
        <w:t>be</w:t>
      </w:r>
      <w:r>
        <w:rPr>
          <w:spacing w:val="40"/>
          <w:sz w:val="24"/>
        </w:rPr>
        <w:t> </w:t>
      </w:r>
      <w:r>
        <w:rPr>
          <w:sz w:val="24"/>
        </w:rPr>
        <w:t>deep</w:t>
      </w:r>
      <w:r>
        <w:rPr>
          <w:spacing w:val="40"/>
          <w:sz w:val="24"/>
        </w:rPr>
        <w:t> </w:t>
      </w:r>
      <w:r>
        <w:rPr>
          <w:sz w:val="24"/>
        </w:rPr>
        <w:t>and</w:t>
      </w:r>
      <w:r>
        <w:rPr>
          <w:spacing w:val="40"/>
          <w:sz w:val="24"/>
        </w:rPr>
        <w:t> </w:t>
      </w:r>
      <w:r>
        <w:rPr>
          <w:sz w:val="24"/>
        </w:rPr>
        <w:t>connected with</w:t>
      </w:r>
      <w:r>
        <w:rPr>
          <w:spacing w:val="40"/>
          <w:sz w:val="24"/>
        </w:rPr>
        <w:t> </w:t>
      </w:r>
      <w:r>
        <w:rPr>
          <w:sz w:val="24"/>
        </w:rPr>
        <w:t>each</w:t>
      </w:r>
      <w:r>
        <w:rPr>
          <w:spacing w:val="40"/>
          <w:sz w:val="24"/>
        </w:rPr>
        <w:t> </w:t>
      </w:r>
      <w:r>
        <w:rPr>
          <w:sz w:val="24"/>
        </w:rPr>
        <w:t>other</w:t>
      </w:r>
      <w:r>
        <w:rPr>
          <w:spacing w:val="40"/>
          <w:sz w:val="24"/>
        </w:rPr>
        <w:t> </w:t>
      </w:r>
      <w:r>
        <w:rPr>
          <w:sz w:val="24"/>
        </w:rPr>
        <w:t>in</w:t>
      </w:r>
      <w:r>
        <w:rPr>
          <w:spacing w:val="40"/>
          <w:sz w:val="24"/>
        </w:rPr>
        <w:t> </w:t>
      </w:r>
      <w:r>
        <w:rPr>
          <w:sz w:val="24"/>
        </w:rPr>
        <w:t>the</w:t>
      </w:r>
      <w:r>
        <w:rPr>
          <w:spacing w:val="40"/>
          <w:sz w:val="24"/>
        </w:rPr>
        <w:t> </w:t>
      </w:r>
      <w:r>
        <w:rPr>
          <w:sz w:val="24"/>
        </w:rPr>
        <w:t>formation</w:t>
      </w:r>
      <w:r>
        <w:rPr>
          <w:spacing w:val="40"/>
          <w:sz w:val="24"/>
        </w:rPr>
        <w:t> </w:t>
      </w:r>
      <w:r>
        <w:rPr>
          <w:sz w:val="24"/>
        </w:rPr>
        <w:t>of</w:t>
      </w:r>
      <w:r>
        <w:rPr>
          <w:spacing w:val="40"/>
          <w:sz w:val="24"/>
        </w:rPr>
        <w:t> </w:t>
      </w:r>
      <w:r>
        <w:rPr>
          <w:sz w:val="24"/>
        </w:rPr>
        <w:t>a</w:t>
      </w:r>
      <w:r>
        <w:rPr>
          <w:spacing w:val="40"/>
          <w:sz w:val="24"/>
        </w:rPr>
        <w:t> </w:t>
      </w:r>
      <w:r>
        <w:rPr>
          <w:sz w:val="24"/>
        </w:rPr>
        <w:t>drain</w:t>
      </w:r>
      <w:r>
        <w:rPr>
          <w:spacing w:val="40"/>
          <w:sz w:val="24"/>
        </w:rPr>
        <w:t> </w:t>
      </w:r>
      <w:r>
        <w:rPr>
          <w:sz w:val="24"/>
        </w:rPr>
        <w:t>directed</w:t>
      </w:r>
      <w:r>
        <w:rPr>
          <w:spacing w:val="40"/>
          <w:sz w:val="24"/>
        </w:rPr>
        <w:t> </w:t>
      </w:r>
      <w:r>
        <w:rPr>
          <w:sz w:val="24"/>
        </w:rPr>
        <w:t>towards</w:t>
      </w:r>
      <w:r>
        <w:rPr>
          <w:spacing w:val="40"/>
          <w:sz w:val="24"/>
        </w:rPr>
        <w:t> </w:t>
      </w:r>
      <w:r>
        <w:rPr>
          <w:sz w:val="24"/>
        </w:rPr>
        <w:t>the lowest level and properly stepped for discharge</w:t>
      </w:r>
      <w:r>
        <w:rPr>
          <w:spacing w:val="80"/>
          <w:sz w:val="24"/>
        </w:rPr>
        <w:t> </w:t>
      </w:r>
      <w:r>
        <w:rPr>
          <w:sz w:val="24"/>
        </w:rPr>
        <w:t>into a river, stream, channel or drain, and no person shall create any isolated burrow pit which is likely to cause accumulation of water that may breed </w:t>
      </w:r>
      <w:r>
        <w:rPr>
          <w:spacing w:val="7"/>
          <w:sz w:val="24"/>
        </w:rPr>
        <w:t>mosquitoes.</w:t>
      </w:r>
    </w:p>
    <w:p>
      <w:pPr>
        <w:pStyle w:val="BodyText"/>
        <w:jc w:val="left"/>
      </w:pPr>
    </w:p>
    <w:p>
      <w:pPr>
        <w:pStyle w:val="BodyText"/>
        <w:spacing w:before="76"/>
        <w:jc w:val="left"/>
      </w:pPr>
    </w:p>
    <w:p>
      <w:pPr>
        <w:pStyle w:val="Heading6"/>
        <w:numPr>
          <w:ilvl w:val="1"/>
          <w:numId w:val="263"/>
        </w:numPr>
        <w:tabs>
          <w:tab w:pos="2210" w:val="left" w:leader="none"/>
        </w:tabs>
        <w:spacing w:line="240" w:lineRule="auto" w:before="0" w:after="0"/>
        <w:ind w:left="2210" w:right="0" w:hanging="717"/>
        <w:jc w:val="both"/>
        <w:rPr>
          <w:i w:val="0"/>
        </w:rPr>
      </w:pPr>
      <w:r>
        <w:rPr>
          <w:spacing w:val="-2"/>
        </w:rPr>
        <w:t>Tests:</w:t>
      </w:r>
    </w:p>
    <w:p>
      <w:pPr>
        <w:pStyle w:val="BodyText"/>
        <w:spacing w:before="124"/>
        <w:ind w:left="1853" w:right="775"/>
      </w:pPr>
      <w:r>
        <w:rPr/>
        <w:t>Whenever there is insufficient evidence of compliance with the</w:t>
      </w:r>
      <w:r>
        <w:rPr>
          <w:spacing w:val="40"/>
        </w:rPr>
        <w:t> </w:t>
      </w:r>
      <w:r>
        <w:rPr/>
        <w:t>provisions</w:t>
      </w:r>
      <w:r>
        <w:rPr>
          <w:spacing w:val="40"/>
        </w:rPr>
        <w:t> </w:t>
      </w:r>
      <w:r>
        <w:rPr/>
        <w:t>of</w:t>
      </w:r>
      <w:r>
        <w:rPr>
          <w:spacing w:val="40"/>
        </w:rPr>
        <w:t> </w:t>
      </w:r>
      <w:r>
        <w:rPr/>
        <w:t>these</w:t>
      </w:r>
      <w:r>
        <w:rPr>
          <w:spacing w:val="40"/>
        </w:rPr>
        <w:t> </w:t>
      </w:r>
      <w:r>
        <w:rPr/>
        <w:t>Regulations</w:t>
      </w:r>
      <w:r>
        <w:rPr>
          <w:spacing w:val="40"/>
        </w:rPr>
        <w:t> </w:t>
      </w:r>
      <w:r>
        <w:rPr/>
        <w:t>or</w:t>
      </w:r>
      <w:r>
        <w:rPr>
          <w:spacing w:val="40"/>
        </w:rPr>
        <w:t> </w:t>
      </w:r>
      <w:r>
        <w:rPr/>
        <w:t>evidence</w:t>
      </w:r>
      <w:r>
        <w:rPr>
          <w:spacing w:val="40"/>
        </w:rPr>
        <w:t> </w:t>
      </w:r>
      <w:r>
        <w:rPr/>
        <w:t>that</w:t>
      </w:r>
      <w:r>
        <w:rPr>
          <w:spacing w:val="40"/>
        </w:rPr>
        <w:t> </w:t>
      </w:r>
      <w:r>
        <w:rPr/>
        <w:t>any</w:t>
      </w:r>
      <w:r>
        <w:rPr>
          <w:spacing w:val="40"/>
        </w:rPr>
        <w:t> </w:t>
      </w:r>
      <w:r>
        <w:rPr/>
        <w:t>material</w:t>
      </w:r>
      <w:r>
        <w:rPr>
          <w:spacing w:val="40"/>
        </w:rPr>
        <w:t> </w:t>
      </w:r>
      <w:r>
        <w:rPr/>
        <w:t>or method</w:t>
      </w:r>
      <w:r>
        <w:rPr>
          <w:spacing w:val="40"/>
        </w:rPr>
        <w:t> </w:t>
      </w:r>
      <w:r>
        <w:rPr/>
        <w:t>of</w:t>
      </w:r>
      <w:r>
        <w:rPr>
          <w:spacing w:val="40"/>
        </w:rPr>
        <w:t> </w:t>
      </w:r>
      <w:r>
        <w:rPr/>
        <w:t>design</w:t>
      </w:r>
      <w:r>
        <w:rPr>
          <w:spacing w:val="40"/>
        </w:rPr>
        <w:t> </w:t>
      </w:r>
      <w:r>
        <w:rPr/>
        <w:t>or</w:t>
      </w:r>
      <w:r>
        <w:rPr>
          <w:spacing w:val="40"/>
        </w:rPr>
        <w:t> </w:t>
      </w:r>
      <w:r>
        <w:rPr/>
        <w:t>construction</w:t>
      </w:r>
      <w:r>
        <w:rPr>
          <w:spacing w:val="40"/>
        </w:rPr>
        <w:t> </w:t>
      </w:r>
      <w:r>
        <w:rPr/>
        <w:t>does</w:t>
      </w:r>
      <w:r>
        <w:rPr>
          <w:spacing w:val="40"/>
        </w:rPr>
        <w:t> </w:t>
      </w:r>
      <w:r>
        <w:rPr/>
        <w:t>not</w:t>
      </w:r>
      <w:r>
        <w:rPr>
          <w:spacing w:val="40"/>
        </w:rPr>
        <w:t> </w:t>
      </w:r>
      <w:r>
        <w:rPr/>
        <w:t>conform</w:t>
      </w:r>
      <w:r>
        <w:rPr>
          <w:spacing w:val="40"/>
        </w:rPr>
        <w:t> </w:t>
      </w:r>
      <w:r>
        <w:rPr/>
        <w:t>to</w:t>
      </w:r>
      <w:r>
        <w:rPr>
          <w:spacing w:val="40"/>
        </w:rPr>
        <w:t> </w:t>
      </w:r>
      <w:r>
        <w:rPr/>
        <w:t>the requirements</w:t>
      </w:r>
      <w:r>
        <w:rPr>
          <w:spacing w:val="80"/>
        </w:rPr>
        <w:t> </w:t>
      </w:r>
      <w:r>
        <w:rPr/>
        <w:t>of</w:t>
      </w:r>
      <w:r>
        <w:rPr>
          <w:spacing w:val="80"/>
        </w:rPr>
        <w:t> </w:t>
      </w:r>
      <w:r>
        <w:rPr/>
        <w:t>these</w:t>
      </w:r>
      <w:r>
        <w:rPr>
          <w:spacing w:val="80"/>
        </w:rPr>
        <w:t> </w:t>
      </w:r>
      <w:r>
        <w:rPr/>
        <w:t>Regulations,</w:t>
      </w:r>
      <w:r>
        <w:rPr>
          <w:spacing w:val="80"/>
        </w:rPr>
        <w:t> </w:t>
      </w:r>
      <w:r>
        <w:rPr/>
        <w:t>in</w:t>
      </w:r>
      <w:r>
        <w:rPr>
          <w:spacing w:val="80"/>
        </w:rPr>
        <w:t> </w:t>
      </w:r>
      <w:r>
        <w:rPr/>
        <w:t>order</w:t>
      </w:r>
      <w:r>
        <w:rPr>
          <w:spacing w:val="80"/>
        </w:rPr>
        <w:t> </w:t>
      </w:r>
      <w:r>
        <w:rPr/>
        <w:t>to</w:t>
      </w:r>
      <w:r>
        <w:rPr>
          <w:spacing w:val="80"/>
        </w:rPr>
        <w:t> </w:t>
      </w:r>
      <w:r>
        <w:rPr/>
        <w:t>substantiate</w:t>
      </w:r>
      <w:r>
        <w:rPr>
          <w:spacing w:val="80"/>
        </w:rPr>
        <w:t> </w:t>
      </w:r>
      <w:r>
        <w:rPr/>
        <w:t>claims for alternative materials, </w:t>
      </w:r>
      <w:r>
        <w:rPr>
          <w:spacing w:val="9"/>
        </w:rPr>
        <w:t>designs</w:t>
      </w:r>
      <w:r>
        <w:rPr>
          <w:spacing w:val="9"/>
        </w:rPr>
        <w:t> </w:t>
      </w:r>
      <w:r>
        <w:rPr/>
        <w:t>or methods of construction, the Commissioner may require tests, sufficiently in advance, as proof of compliance. These tests shall be made by an approved agency at the expense</w:t>
      </w:r>
      <w:r>
        <w:rPr>
          <w:spacing w:val="40"/>
        </w:rPr>
        <w:t> </w:t>
      </w:r>
      <w:r>
        <w:rPr/>
        <w:t>of</w:t>
      </w:r>
      <w:r>
        <w:rPr>
          <w:spacing w:val="40"/>
        </w:rPr>
        <w:t> </w:t>
      </w:r>
      <w:r>
        <w:rPr/>
        <w:t>the</w:t>
      </w:r>
      <w:r>
        <w:rPr>
          <w:spacing w:val="40"/>
        </w:rPr>
        <w:t> </w:t>
      </w:r>
      <w:r>
        <w:rPr/>
        <w:t>owner</w:t>
      </w:r>
      <w:r>
        <w:rPr>
          <w:spacing w:val="40"/>
        </w:rPr>
        <w:t> </w:t>
      </w:r>
      <w:r>
        <w:rPr/>
        <w:t>as</w:t>
      </w:r>
      <w:r>
        <w:rPr>
          <w:spacing w:val="9"/>
        </w:rPr>
        <w:t> follows:</w:t>
      </w:r>
    </w:p>
    <w:p>
      <w:pPr>
        <w:pStyle w:val="ListParagraph"/>
        <w:numPr>
          <w:ilvl w:val="0"/>
          <w:numId w:val="319"/>
        </w:numPr>
        <w:tabs>
          <w:tab w:pos="2172" w:val="left" w:leader="none"/>
        </w:tabs>
        <w:spacing w:line="240" w:lineRule="auto" w:before="118" w:after="0"/>
        <w:ind w:left="1853" w:right="771" w:firstLine="0"/>
        <w:jc w:val="both"/>
        <w:rPr>
          <w:sz w:val="24"/>
        </w:rPr>
      </w:pPr>
      <w:r>
        <w:rPr>
          <w:b/>
          <w:i/>
          <w:sz w:val="24"/>
        </w:rPr>
        <w:t>Test Methods:</w:t>
      </w:r>
      <w:r>
        <w:rPr>
          <w:sz w:val="24"/>
        </w:rPr>
        <w:t>Test</w:t>
      </w:r>
      <w:r>
        <w:rPr>
          <w:spacing w:val="40"/>
          <w:sz w:val="24"/>
        </w:rPr>
        <w:t> </w:t>
      </w:r>
      <w:r>
        <w:rPr>
          <w:sz w:val="24"/>
        </w:rPr>
        <w:t>method</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specified</w:t>
      </w:r>
      <w:r>
        <w:rPr>
          <w:spacing w:val="40"/>
          <w:sz w:val="24"/>
        </w:rPr>
        <w:t> </w:t>
      </w:r>
      <w:r>
        <w:rPr>
          <w:sz w:val="24"/>
        </w:rPr>
        <w:t>by</w:t>
      </w:r>
      <w:r>
        <w:rPr>
          <w:spacing w:val="11"/>
          <w:sz w:val="24"/>
        </w:rPr>
        <w:t> these </w:t>
      </w:r>
      <w:r>
        <w:rPr>
          <w:sz w:val="24"/>
        </w:rPr>
        <w:t>Regulations</w:t>
      </w:r>
      <w:r>
        <w:rPr>
          <w:spacing w:val="80"/>
          <w:sz w:val="24"/>
        </w:rPr>
        <w:t> </w:t>
      </w:r>
      <w:r>
        <w:rPr>
          <w:sz w:val="24"/>
        </w:rPr>
        <w:t>for</w:t>
      </w:r>
      <w:r>
        <w:rPr>
          <w:spacing w:val="80"/>
          <w:sz w:val="24"/>
        </w:rPr>
        <w:t> </w:t>
      </w:r>
      <w:r>
        <w:rPr>
          <w:sz w:val="24"/>
        </w:rPr>
        <w:t>the</w:t>
      </w:r>
      <w:r>
        <w:rPr>
          <w:spacing w:val="80"/>
          <w:sz w:val="24"/>
        </w:rPr>
        <w:t> </w:t>
      </w:r>
      <w:r>
        <w:rPr>
          <w:sz w:val="24"/>
        </w:rPr>
        <w:t>material</w:t>
      </w:r>
      <w:r>
        <w:rPr>
          <w:spacing w:val="80"/>
          <w:sz w:val="24"/>
        </w:rPr>
        <w:t> </w:t>
      </w:r>
      <w:r>
        <w:rPr>
          <w:sz w:val="24"/>
        </w:rPr>
        <w:t>or</w:t>
      </w:r>
      <w:r>
        <w:rPr>
          <w:spacing w:val="80"/>
          <w:sz w:val="24"/>
        </w:rPr>
        <w:t> </w:t>
      </w:r>
      <w:r>
        <w:rPr>
          <w:sz w:val="24"/>
        </w:rPr>
        <w:t>design</w:t>
      </w:r>
      <w:r>
        <w:rPr>
          <w:spacing w:val="80"/>
          <w:sz w:val="24"/>
        </w:rPr>
        <w:t> </w:t>
      </w:r>
      <w:r>
        <w:rPr>
          <w:sz w:val="24"/>
        </w:rPr>
        <w:t>or</w:t>
      </w:r>
      <w:r>
        <w:rPr>
          <w:spacing w:val="80"/>
          <w:sz w:val="24"/>
        </w:rPr>
        <w:t> </w:t>
      </w:r>
      <w:r>
        <w:rPr>
          <w:sz w:val="24"/>
        </w:rPr>
        <w:t>construction</w:t>
      </w:r>
      <w:r>
        <w:rPr>
          <w:spacing w:val="79"/>
          <w:sz w:val="24"/>
        </w:rPr>
        <w:t> </w:t>
      </w:r>
      <w:r>
        <w:rPr>
          <w:sz w:val="24"/>
        </w:rPr>
        <w:t>in</w:t>
      </w:r>
      <w:r>
        <w:rPr>
          <w:spacing w:val="80"/>
          <w:sz w:val="24"/>
        </w:rPr>
        <w:t> </w:t>
      </w:r>
      <w:r>
        <w:rPr>
          <w:sz w:val="24"/>
        </w:rPr>
        <w:t>question. If</w:t>
      </w:r>
      <w:r>
        <w:rPr>
          <w:spacing w:val="40"/>
          <w:sz w:val="24"/>
        </w:rPr>
        <w:t> </w:t>
      </w:r>
      <w:r>
        <w:rPr>
          <w:sz w:val="24"/>
        </w:rPr>
        <w:t>there</w:t>
      </w:r>
      <w:r>
        <w:rPr>
          <w:spacing w:val="40"/>
          <w:sz w:val="24"/>
        </w:rPr>
        <w:t> </w:t>
      </w:r>
      <w:r>
        <w:rPr>
          <w:sz w:val="24"/>
        </w:rPr>
        <w:t>are</w:t>
      </w:r>
      <w:r>
        <w:rPr>
          <w:spacing w:val="40"/>
          <w:sz w:val="24"/>
        </w:rPr>
        <w:t> </w:t>
      </w:r>
      <w:r>
        <w:rPr>
          <w:sz w:val="24"/>
        </w:rPr>
        <w:t>no</w:t>
      </w:r>
      <w:r>
        <w:rPr>
          <w:spacing w:val="40"/>
          <w:sz w:val="24"/>
        </w:rPr>
        <w:t> </w:t>
      </w:r>
      <w:r>
        <w:rPr>
          <w:sz w:val="24"/>
        </w:rPr>
        <w:t>appropriate</w:t>
      </w:r>
      <w:r>
        <w:rPr>
          <w:spacing w:val="40"/>
          <w:sz w:val="24"/>
        </w:rPr>
        <w:t> </w:t>
      </w:r>
      <w:r>
        <w:rPr>
          <w:sz w:val="24"/>
        </w:rPr>
        <w:t>test</w:t>
      </w:r>
      <w:r>
        <w:rPr>
          <w:spacing w:val="40"/>
          <w:sz w:val="24"/>
        </w:rPr>
        <w:t> </w:t>
      </w:r>
      <w:r>
        <w:rPr>
          <w:sz w:val="24"/>
        </w:rPr>
        <w:t>methods</w:t>
      </w:r>
      <w:r>
        <w:rPr>
          <w:spacing w:val="40"/>
          <w:sz w:val="24"/>
        </w:rPr>
        <w:t> </w:t>
      </w:r>
      <w:r>
        <w:rPr>
          <w:sz w:val="24"/>
        </w:rPr>
        <w:t>specified</w:t>
      </w:r>
      <w:r>
        <w:rPr>
          <w:spacing w:val="40"/>
          <w:sz w:val="24"/>
        </w:rPr>
        <w:t> </w:t>
      </w:r>
      <w:r>
        <w:rPr>
          <w:sz w:val="24"/>
        </w:rPr>
        <w:t>in</w:t>
      </w:r>
      <w:r>
        <w:rPr>
          <w:spacing w:val="40"/>
          <w:sz w:val="24"/>
        </w:rPr>
        <w:t> </w:t>
      </w:r>
      <w:r>
        <w:rPr>
          <w:spacing w:val="12"/>
          <w:sz w:val="24"/>
        </w:rPr>
        <w:t>these </w:t>
      </w:r>
      <w:r>
        <w:rPr>
          <w:sz w:val="24"/>
        </w:rPr>
        <w:t>Regulations,</w:t>
      </w:r>
      <w:r>
        <w:rPr>
          <w:spacing w:val="40"/>
          <w:sz w:val="24"/>
        </w:rPr>
        <w:t> </w:t>
      </w:r>
      <w:r>
        <w:rPr>
          <w:sz w:val="24"/>
        </w:rPr>
        <w:t>the</w:t>
      </w:r>
      <w:r>
        <w:rPr>
          <w:spacing w:val="40"/>
          <w:sz w:val="24"/>
        </w:rPr>
        <w:t> </w:t>
      </w:r>
      <w:r>
        <w:rPr>
          <w:sz w:val="24"/>
        </w:rPr>
        <w:t>Commissioner</w:t>
      </w:r>
      <w:r>
        <w:rPr>
          <w:spacing w:val="40"/>
          <w:sz w:val="24"/>
        </w:rPr>
        <w:t> </w:t>
      </w:r>
      <w:r>
        <w:rPr>
          <w:sz w:val="24"/>
        </w:rPr>
        <w:t>shall</w:t>
      </w:r>
      <w:r>
        <w:rPr>
          <w:spacing w:val="40"/>
          <w:sz w:val="24"/>
        </w:rPr>
        <w:t> </w:t>
      </w:r>
      <w:r>
        <w:rPr>
          <w:sz w:val="24"/>
        </w:rPr>
        <w:t>determine</w:t>
      </w:r>
      <w:r>
        <w:rPr>
          <w:spacing w:val="40"/>
          <w:sz w:val="24"/>
        </w:rPr>
        <w:t> </w:t>
      </w:r>
      <w:r>
        <w:rPr>
          <w:sz w:val="24"/>
        </w:rPr>
        <w:t>the</w:t>
      </w:r>
      <w:r>
        <w:rPr>
          <w:spacing w:val="40"/>
          <w:sz w:val="24"/>
        </w:rPr>
        <w:t> </w:t>
      </w:r>
      <w:r>
        <w:rPr>
          <w:sz w:val="24"/>
        </w:rPr>
        <w:t>test</w:t>
      </w:r>
      <w:r>
        <w:rPr>
          <w:spacing w:val="40"/>
          <w:sz w:val="24"/>
        </w:rPr>
        <w:t> </w:t>
      </w:r>
      <w:r>
        <w:rPr>
          <w:spacing w:val="9"/>
          <w:sz w:val="24"/>
        </w:rPr>
        <w:t>procedure. </w:t>
      </w:r>
      <w:r>
        <w:rPr>
          <w:sz w:val="24"/>
        </w:rPr>
        <w:t>For</w:t>
      </w:r>
      <w:r>
        <w:rPr>
          <w:spacing w:val="40"/>
          <w:sz w:val="24"/>
        </w:rPr>
        <w:t> </w:t>
      </w:r>
      <w:r>
        <w:rPr>
          <w:sz w:val="24"/>
        </w:rPr>
        <w:t>methods</w:t>
      </w:r>
      <w:r>
        <w:rPr>
          <w:spacing w:val="40"/>
          <w:sz w:val="24"/>
        </w:rPr>
        <w:t> </w:t>
      </w:r>
      <w:r>
        <w:rPr>
          <w:sz w:val="24"/>
        </w:rPr>
        <w:t>of</w:t>
      </w:r>
      <w:r>
        <w:rPr>
          <w:spacing w:val="40"/>
          <w:sz w:val="24"/>
        </w:rPr>
        <w:t> </w:t>
      </w:r>
      <w:r>
        <w:rPr>
          <w:sz w:val="24"/>
        </w:rPr>
        <w:t>tests</w:t>
      </w:r>
      <w:r>
        <w:rPr>
          <w:spacing w:val="40"/>
          <w:sz w:val="24"/>
        </w:rPr>
        <w:t> </w:t>
      </w:r>
      <w:r>
        <w:rPr>
          <w:sz w:val="24"/>
        </w:rPr>
        <w:t>for</w:t>
      </w:r>
      <w:r>
        <w:rPr>
          <w:spacing w:val="40"/>
          <w:sz w:val="24"/>
        </w:rPr>
        <w:t> </w:t>
      </w:r>
      <w:r>
        <w:rPr>
          <w:sz w:val="24"/>
        </w:rPr>
        <w:t>building</w:t>
      </w:r>
      <w:r>
        <w:rPr>
          <w:spacing w:val="40"/>
          <w:sz w:val="24"/>
        </w:rPr>
        <w:t> </w:t>
      </w:r>
      <w:r>
        <w:rPr>
          <w:spacing w:val="9"/>
          <w:sz w:val="24"/>
        </w:rPr>
        <w:t>materials,</w:t>
      </w:r>
      <w:r>
        <w:rPr>
          <w:spacing w:val="40"/>
          <w:sz w:val="24"/>
        </w:rPr>
        <w:t> </w:t>
      </w:r>
      <w:r>
        <w:rPr>
          <w:sz w:val="24"/>
        </w:rPr>
        <w:t>reference</w:t>
      </w:r>
      <w:r>
        <w:rPr>
          <w:spacing w:val="40"/>
          <w:sz w:val="24"/>
        </w:rPr>
        <w:t> </w:t>
      </w:r>
      <w:r>
        <w:rPr>
          <w:sz w:val="24"/>
        </w:rPr>
        <w:t>shall</w:t>
      </w:r>
      <w:r>
        <w:rPr>
          <w:spacing w:val="40"/>
          <w:sz w:val="24"/>
        </w:rPr>
        <w:t> </w:t>
      </w:r>
      <w:r>
        <w:rPr>
          <w:sz w:val="24"/>
        </w:rPr>
        <w:t>be</w:t>
      </w:r>
      <w:r>
        <w:rPr>
          <w:spacing w:val="40"/>
          <w:sz w:val="24"/>
        </w:rPr>
        <w:t> </w:t>
      </w:r>
      <w:r>
        <w:rPr>
          <w:sz w:val="24"/>
        </w:rPr>
        <w:t>made to</w:t>
      </w:r>
      <w:r>
        <w:rPr>
          <w:spacing w:val="40"/>
          <w:sz w:val="24"/>
        </w:rPr>
        <w:t> </w:t>
      </w:r>
      <w:r>
        <w:rPr>
          <w:sz w:val="24"/>
        </w:rPr>
        <w:t>the</w:t>
      </w:r>
      <w:r>
        <w:rPr>
          <w:spacing w:val="40"/>
          <w:sz w:val="24"/>
        </w:rPr>
        <w:t> </w:t>
      </w:r>
      <w:r>
        <w:rPr>
          <w:sz w:val="24"/>
        </w:rPr>
        <w:t>relevant</w:t>
      </w:r>
      <w:r>
        <w:rPr>
          <w:spacing w:val="40"/>
          <w:sz w:val="24"/>
        </w:rPr>
        <w:t> </w:t>
      </w:r>
      <w:r>
        <w:rPr>
          <w:sz w:val="24"/>
        </w:rPr>
        <w:t>Indian</w:t>
      </w:r>
      <w:r>
        <w:rPr>
          <w:spacing w:val="40"/>
          <w:sz w:val="24"/>
        </w:rPr>
        <w:t> </w:t>
      </w:r>
      <w:r>
        <w:rPr>
          <w:sz w:val="24"/>
        </w:rPr>
        <w:t>standards</w:t>
      </w:r>
      <w:r>
        <w:rPr>
          <w:spacing w:val="40"/>
          <w:sz w:val="24"/>
        </w:rPr>
        <w:t> </w:t>
      </w:r>
      <w:r>
        <w:rPr>
          <w:sz w:val="24"/>
        </w:rPr>
        <w:t>as</w:t>
      </w:r>
      <w:r>
        <w:rPr>
          <w:spacing w:val="40"/>
          <w:sz w:val="24"/>
        </w:rPr>
        <w:t> </w:t>
      </w:r>
      <w:r>
        <w:rPr>
          <w:sz w:val="24"/>
        </w:rPr>
        <w:t>given</w:t>
      </w:r>
      <w:r>
        <w:rPr>
          <w:spacing w:val="40"/>
          <w:sz w:val="24"/>
        </w:rPr>
        <w:t> </w:t>
      </w:r>
      <w:r>
        <w:rPr>
          <w:sz w:val="24"/>
        </w:rPr>
        <w:t>in</w:t>
      </w:r>
      <w:r>
        <w:rPr>
          <w:spacing w:val="40"/>
          <w:sz w:val="24"/>
        </w:rPr>
        <w:t> </w:t>
      </w:r>
      <w:r>
        <w:rPr>
          <w:sz w:val="24"/>
        </w:rPr>
        <w:t>the</w:t>
      </w:r>
      <w:r>
        <w:rPr>
          <w:spacing w:val="40"/>
          <w:sz w:val="24"/>
        </w:rPr>
        <w:t> </w:t>
      </w:r>
      <w:r>
        <w:rPr>
          <w:sz w:val="24"/>
        </w:rPr>
        <w:t>National</w:t>
      </w:r>
      <w:r>
        <w:rPr>
          <w:spacing w:val="10"/>
          <w:sz w:val="24"/>
        </w:rPr>
        <w:t> Building </w:t>
      </w:r>
      <w:r>
        <w:rPr>
          <w:sz w:val="24"/>
        </w:rPr>
        <w:t>Code</w:t>
      </w:r>
      <w:r>
        <w:rPr>
          <w:spacing w:val="40"/>
          <w:sz w:val="24"/>
        </w:rPr>
        <w:t> </w:t>
      </w:r>
      <w:r>
        <w:rPr>
          <w:sz w:val="24"/>
        </w:rPr>
        <w:t>of</w:t>
      </w:r>
      <w:r>
        <w:rPr>
          <w:spacing w:val="40"/>
          <w:sz w:val="24"/>
        </w:rPr>
        <w:t> </w:t>
      </w:r>
      <w:r>
        <w:rPr>
          <w:sz w:val="24"/>
        </w:rPr>
        <w:t>India</w:t>
      </w:r>
      <w:r>
        <w:rPr>
          <w:spacing w:val="40"/>
          <w:sz w:val="24"/>
        </w:rPr>
        <w:t> </w:t>
      </w:r>
      <w:r>
        <w:rPr>
          <w:sz w:val="24"/>
        </w:rPr>
        <w:t>published</w:t>
      </w:r>
      <w:r>
        <w:rPr>
          <w:spacing w:val="40"/>
          <w:sz w:val="24"/>
        </w:rPr>
        <w:t> </w:t>
      </w:r>
      <w:r>
        <w:rPr>
          <w:sz w:val="24"/>
        </w:rPr>
        <w:t>by</w:t>
      </w:r>
      <w:r>
        <w:rPr>
          <w:spacing w:val="40"/>
          <w:sz w:val="24"/>
        </w:rPr>
        <w:t> </w:t>
      </w:r>
      <w:r>
        <w:rPr>
          <w:sz w:val="24"/>
        </w:rPr>
        <w:t>the</w:t>
      </w:r>
      <w:r>
        <w:rPr>
          <w:spacing w:val="40"/>
          <w:sz w:val="24"/>
        </w:rPr>
        <w:t> </w:t>
      </w:r>
      <w:r>
        <w:rPr>
          <w:sz w:val="24"/>
        </w:rPr>
        <w:t>Bureau</w:t>
      </w:r>
      <w:r>
        <w:rPr>
          <w:spacing w:val="40"/>
          <w:sz w:val="24"/>
        </w:rPr>
        <w:t> </w:t>
      </w:r>
      <w:r>
        <w:rPr>
          <w:sz w:val="24"/>
        </w:rPr>
        <w:t>of</w:t>
      </w:r>
      <w:r>
        <w:rPr>
          <w:spacing w:val="40"/>
          <w:sz w:val="24"/>
        </w:rPr>
        <w:t> </w:t>
      </w:r>
      <w:r>
        <w:rPr>
          <w:sz w:val="24"/>
        </w:rPr>
        <w:t>Indian</w:t>
      </w:r>
      <w:r>
        <w:rPr>
          <w:spacing w:val="40"/>
          <w:sz w:val="24"/>
        </w:rPr>
        <w:t> </w:t>
      </w:r>
      <w:r>
        <w:rPr>
          <w:spacing w:val="9"/>
          <w:sz w:val="24"/>
        </w:rPr>
        <w:t>Standards.</w:t>
      </w:r>
    </w:p>
    <w:p>
      <w:pPr>
        <w:pStyle w:val="ListParagraph"/>
        <w:numPr>
          <w:ilvl w:val="0"/>
          <w:numId w:val="319"/>
        </w:numPr>
        <w:tabs>
          <w:tab w:pos="2172" w:val="left" w:leader="none"/>
        </w:tabs>
        <w:spacing w:line="240" w:lineRule="auto" w:before="121" w:after="0"/>
        <w:ind w:left="1853" w:right="792" w:firstLine="0"/>
        <w:jc w:val="both"/>
        <w:rPr>
          <w:sz w:val="24"/>
        </w:rPr>
      </w:pPr>
      <w:r>
        <w:rPr>
          <w:b/>
          <w:i/>
          <w:sz w:val="24"/>
        </w:rPr>
        <w:t>Test Results: </w:t>
      </w:r>
      <w:r>
        <w:rPr>
          <w:sz w:val="24"/>
        </w:rPr>
        <w:t>Copies of the results of all such tests shall be submitted</w:t>
      </w:r>
      <w:r>
        <w:rPr>
          <w:spacing w:val="40"/>
          <w:sz w:val="24"/>
        </w:rPr>
        <w:t> </w:t>
      </w:r>
      <w:r>
        <w:rPr>
          <w:sz w:val="24"/>
        </w:rPr>
        <w:t>to</w:t>
      </w:r>
      <w:r>
        <w:rPr>
          <w:spacing w:val="40"/>
          <w:sz w:val="24"/>
        </w:rPr>
        <w:t> </w:t>
      </w:r>
      <w:r>
        <w:rPr>
          <w:sz w:val="24"/>
        </w:rPr>
        <w:t>the</w:t>
      </w:r>
      <w:r>
        <w:rPr>
          <w:spacing w:val="40"/>
          <w:sz w:val="24"/>
        </w:rPr>
        <w:t> </w:t>
      </w:r>
      <w:r>
        <w:rPr>
          <w:sz w:val="24"/>
        </w:rPr>
        <w:t>Commissioner.</w:t>
      </w:r>
    </w:p>
    <w:p>
      <w:pPr>
        <w:pStyle w:val="ListParagraph"/>
        <w:spacing w:after="0" w:line="240" w:lineRule="auto"/>
        <w:jc w:val="both"/>
        <w:rPr>
          <w:sz w:val="24"/>
        </w:rPr>
        <w:sectPr>
          <w:headerReference w:type="default" r:id="rId70"/>
          <w:footerReference w:type="default" r:id="rId71"/>
          <w:pgSz w:w="11910" w:h="16840"/>
          <w:pgMar w:header="1065" w:footer="1194" w:top="1500" w:bottom="1380" w:left="360" w:right="360"/>
        </w:sectPr>
      </w:pPr>
    </w:p>
    <w:p>
      <w:pPr>
        <w:pStyle w:val="Heading2"/>
        <w:numPr>
          <w:ilvl w:val="0"/>
          <w:numId w:val="263"/>
        </w:numPr>
        <w:tabs>
          <w:tab w:pos="1491" w:val="left" w:leader="none"/>
        </w:tabs>
        <w:spacing w:line="240" w:lineRule="auto" w:before="247" w:after="0"/>
        <w:ind w:left="1491" w:right="0" w:hanging="719"/>
        <w:jc w:val="left"/>
      </w:pPr>
      <w:r>
        <w:rPr/>
        <w:t>Building</w:t>
      </w:r>
      <w:r>
        <w:rPr>
          <w:spacing w:val="36"/>
          <w:w w:val="150"/>
        </w:rPr>
        <w:t> </w:t>
      </w:r>
      <w:r>
        <w:rPr>
          <w:spacing w:val="-2"/>
        </w:rPr>
        <w:t>services</w:t>
      </w:r>
    </w:p>
    <w:p>
      <w:pPr>
        <w:pStyle w:val="ListParagraph"/>
        <w:numPr>
          <w:ilvl w:val="1"/>
          <w:numId w:val="263"/>
        </w:numPr>
        <w:tabs>
          <w:tab w:pos="1752" w:val="left" w:leader="none"/>
        </w:tabs>
        <w:spacing w:line="240" w:lineRule="auto" w:before="240" w:after="0"/>
        <w:ind w:left="1313" w:right="783" w:firstLine="0"/>
        <w:jc w:val="both"/>
        <w:rPr>
          <w:sz w:val="24"/>
        </w:rPr>
      </w:pPr>
      <w:r>
        <w:rPr>
          <w:b/>
          <w:i/>
          <w:sz w:val="24"/>
        </w:rPr>
        <w:t>Electrical installation:</w:t>
      </w:r>
      <w:r>
        <w:rPr>
          <w:sz w:val="24"/>
        </w:rPr>
        <w:t>The planning, design and installation of electrical</w:t>
      </w:r>
      <w:r>
        <w:rPr>
          <w:spacing w:val="40"/>
          <w:sz w:val="24"/>
        </w:rPr>
        <w:t> </w:t>
      </w:r>
      <w:r>
        <w:rPr>
          <w:spacing w:val="9"/>
          <w:sz w:val="24"/>
        </w:rPr>
        <w:t>air-</w:t>
      </w:r>
      <w:r>
        <w:rPr>
          <w:sz w:val="24"/>
        </w:rPr>
        <w:t>conditioning</w:t>
      </w:r>
      <w:r>
        <w:rPr>
          <w:spacing w:val="40"/>
          <w:sz w:val="24"/>
        </w:rPr>
        <w:t> </w:t>
      </w:r>
      <w:r>
        <w:rPr>
          <w:sz w:val="24"/>
        </w:rPr>
        <w:t>and</w:t>
      </w:r>
      <w:r>
        <w:rPr>
          <w:spacing w:val="40"/>
          <w:sz w:val="24"/>
        </w:rPr>
        <w:t> </w:t>
      </w:r>
      <w:r>
        <w:rPr>
          <w:sz w:val="24"/>
        </w:rPr>
        <w:t>heating</w:t>
      </w:r>
      <w:r>
        <w:rPr>
          <w:spacing w:val="40"/>
          <w:sz w:val="24"/>
        </w:rPr>
        <w:t> </w:t>
      </w:r>
      <w:r>
        <w:rPr>
          <w:sz w:val="24"/>
        </w:rPr>
        <w:t>work</w:t>
      </w:r>
      <w:r>
        <w:rPr>
          <w:spacing w:val="40"/>
          <w:sz w:val="24"/>
        </w:rPr>
        <w:t> </w:t>
      </w:r>
      <w:r>
        <w:rPr>
          <w:sz w:val="24"/>
        </w:rPr>
        <w:t>shall</w:t>
      </w:r>
      <w:r>
        <w:rPr>
          <w:spacing w:val="40"/>
          <w:sz w:val="24"/>
        </w:rPr>
        <w:t> </w:t>
      </w:r>
      <w:r>
        <w:rPr>
          <w:sz w:val="24"/>
        </w:rPr>
        <w:t>conform</w:t>
      </w:r>
      <w:r>
        <w:rPr>
          <w:spacing w:val="40"/>
          <w:sz w:val="24"/>
        </w:rPr>
        <w:t> </w:t>
      </w:r>
      <w:r>
        <w:rPr>
          <w:sz w:val="24"/>
        </w:rPr>
        <w:t>to</w:t>
      </w:r>
      <w:r>
        <w:rPr>
          <w:spacing w:val="40"/>
          <w:sz w:val="24"/>
        </w:rPr>
        <w:t> </w:t>
      </w:r>
      <w:r>
        <w:rPr>
          <w:sz w:val="24"/>
        </w:rPr>
        <w:t>the provisions</w:t>
      </w:r>
      <w:r>
        <w:rPr>
          <w:spacing w:val="80"/>
          <w:sz w:val="24"/>
        </w:rPr>
        <w:t> </w:t>
      </w:r>
      <w:r>
        <w:rPr>
          <w:sz w:val="24"/>
        </w:rPr>
        <w:t>of</w:t>
      </w:r>
      <w:r>
        <w:rPr>
          <w:spacing w:val="80"/>
          <w:sz w:val="24"/>
        </w:rPr>
        <w:t> </w:t>
      </w:r>
      <w:r>
        <w:rPr>
          <w:sz w:val="24"/>
        </w:rPr>
        <w:t>Part</w:t>
      </w:r>
      <w:r>
        <w:rPr>
          <w:spacing w:val="80"/>
          <w:sz w:val="24"/>
        </w:rPr>
        <w:t> </w:t>
      </w:r>
      <w:r>
        <w:rPr>
          <w:sz w:val="24"/>
        </w:rPr>
        <w:t>VIII</w:t>
      </w:r>
      <w:r>
        <w:rPr>
          <w:spacing w:val="80"/>
          <w:sz w:val="24"/>
        </w:rPr>
        <w:t> </w:t>
      </w:r>
      <w:r>
        <w:rPr>
          <w:sz w:val="24"/>
        </w:rPr>
        <w:t>Building</w:t>
      </w:r>
      <w:r>
        <w:rPr>
          <w:spacing w:val="80"/>
          <w:sz w:val="24"/>
        </w:rPr>
        <w:t> </w:t>
      </w:r>
      <w:r>
        <w:rPr>
          <w:sz w:val="24"/>
        </w:rPr>
        <w:t>Service</w:t>
      </w:r>
      <w:r>
        <w:rPr>
          <w:spacing w:val="80"/>
          <w:sz w:val="24"/>
        </w:rPr>
        <w:t> </w:t>
      </w:r>
      <w:r>
        <w:rPr>
          <w:sz w:val="24"/>
        </w:rPr>
        <w:t>Section</w:t>
      </w:r>
      <w:r>
        <w:rPr>
          <w:spacing w:val="80"/>
          <w:sz w:val="24"/>
        </w:rPr>
        <w:t> </w:t>
      </w:r>
      <w:r>
        <w:rPr>
          <w:spacing w:val="10"/>
          <w:sz w:val="24"/>
        </w:rPr>
        <w:t>2-</w:t>
      </w:r>
      <w:r>
        <w:rPr>
          <w:spacing w:val="80"/>
          <w:sz w:val="24"/>
        </w:rPr>
        <w:t> </w:t>
      </w:r>
      <w:r>
        <w:rPr>
          <w:sz w:val="24"/>
        </w:rPr>
        <w:t>Electrical Installations.</w:t>
      </w:r>
      <w:r>
        <w:rPr>
          <w:spacing w:val="80"/>
          <w:sz w:val="24"/>
        </w:rPr>
        <w:t> </w:t>
      </w:r>
      <w:r>
        <w:rPr>
          <w:sz w:val="24"/>
        </w:rPr>
        <w:t>Section 3- Air-conditioning and Heating National Building Code of </w:t>
      </w:r>
      <w:r>
        <w:rPr>
          <w:spacing w:val="9"/>
          <w:sz w:val="24"/>
        </w:rPr>
        <w:t>India.</w:t>
      </w:r>
    </w:p>
    <w:p>
      <w:pPr>
        <w:pStyle w:val="Heading6"/>
        <w:numPr>
          <w:ilvl w:val="1"/>
          <w:numId w:val="263"/>
        </w:numPr>
        <w:tabs>
          <w:tab w:pos="1752" w:val="left" w:leader="none"/>
        </w:tabs>
        <w:spacing w:line="240" w:lineRule="auto" w:before="240" w:after="0"/>
        <w:ind w:left="1752" w:right="0" w:hanging="439"/>
        <w:jc w:val="both"/>
        <w:rPr>
          <w:b w:val="0"/>
          <w:i w:val="0"/>
        </w:rPr>
      </w:pPr>
      <w:r>
        <w:rPr>
          <w:spacing w:val="-2"/>
        </w:rPr>
        <w:t>Lifts:</w:t>
      </w:r>
    </w:p>
    <w:p>
      <w:pPr>
        <w:pStyle w:val="ListParagraph"/>
        <w:numPr>
          <w:ilvl w:val="2"/>
          <w:numId w:val="263"/>
        </w:numPr>
        <w:tabs>
          <w:tab w:pos="2030" w:val="left" w:leader="none"/>
          <w:tab w:pos="2033" w:val="left" w:leader="none"/>
        </w:tabs>
        <w:spacing w:line="240" w:lineRule="auto" w:before="241" w:after="0"/>
        <w:ind w:left="2033" w:right="781" w:hanging="360"/>
        <w:jc w:val="both"/>
        <w:rPr>
          <w:sz w:val="24"/>
        </w:rPr>
      </w:pPr>
      <w:r>
        <w:rPr>
          <w:b/>
          <w:i/>
          <w:sz w:val="24"/>
        </w:rPr>
        <w:t>Planning</w:t>
      </w:r>
      <w:r>
        <w:rPr>
          <w:b/>
          <w:i/>
          <w:spacing w:val="40"/>
          <w:sz w:val="24"/>
        </w:rPr>
        <w:t> </w:t>
      </w:r>
      <w:r>
        <w:rPr>
          <w:b/>
          <w:i/>
          <w:sz w:val="24"/>
        </w:rPr>
        <w:t>and</w:t>
      </w:r>
      <w:r>
        <w:rPr>
          <w:b/>
          <w:i/>
          <w:spacing w:val="9"/>
          <w:sz w:val="24"/>
        </w:rPr>
        <w:t> design:</w:t>
      </w:r>
      <w:r>
        <w:rPr>
          <w:spacing w:val="9"/>
          <w:sz w:val="24"/>
        </w:rPr>
        <w:t>The</w:t>
      </w:r>
      <w:r>
        <w:rPr>
          <w:spacing w:val="9"/>
          <w:sz w:val="24"/>
        </w:rPr>
        <w:t> </w:t>
      </w:r>
      <w:r>
        <w:rPr>
          <w:sz w:val="24"/>
        </w:rPr>
        <w:t>planning</w:t>
      </w:r>
      <w:r>
        <w:rPr>
          <w:spacing w:val="40"/>
          <w:sz w:val="24"/>
        </w:rPr>
        <w:t> </w:t>
      </w:r>
      <w:r>
        <w:rPr>
          <w:sz w:val="24"/>
        </w:rPr>
        <w:t>and</w:t>
      </w:r>
      <w:r>
        <w:rPr>
          <w:spacing w:val="40"/>
          <w:sz w:val="24"/>
        </w:rPr>
        <w:t> </w:t>
      </w:r>
      <w:r>
        <w:rPr>
          <w:sz w:val="24"/>
        </w:rPr>
        <w:t>design</w:t>
      </w:r>
      <w:r>
        <w:rPr>
          <w:spacing w:val="40"/>
          <w:sz w:val="24"/>
        </w:rPr>
        <w:t> </w:t>
      </w:r>
      <w:r>
        <w:rPr>
          <w:sz w:val="24"/>
        </w:rPr>
        <w:t>of</w:t>
      </w:r>
      <w:r>
        <w:rPr>
          <w:spacing w:val="40"/>
          <w:sz w:val="24"/>
        </w:rPr>
        <w:t> </w:t>
      </w:r>
      <w:r>
        <w:rPr>
          <w:sz w:val="24"/>
        </w:rPr>
        <w:t>lifts</w:t>
      </w:r>
      <w:r>
        <w:rPr>
          <w:spacing w:val="40"/>
          <w:sz w:val="24"/>
        </w:rPr>
        <w:t> </w:t>
      </w:r>
      <w:r>
        <w:rPr>
          <w:sz w:val="24"/>
        </w:rPr>
        <w:t>including their</w:t>
      </w:r>
      <w:r>
        <w:rPr>
          <w:spacing w:val="80"/>
          <w:sz w:val="24"/>
        </w:rPr>
        <w:t> </w:t>
      </w:r>
      <w:r>
        <w:rPr>
          <w:sz w:val="24"/>
        </w:rPr>
        <w:t>number,</w:t>
      </w:r>
      <w:r>
        <w:rPr>
          <w:spacing w:val="80"/>
          <w:sz w:val="24"/>
        </w:rPr>
        <w:t> </w:t>
      </w:r>
      <w:r>
        <w:rPr>
          <w:sz w:val="24"/>
        </w:rPr>
        <w:t>type</w:t>
      </w:r>
      <w:r>
        <w:rPr>
          <w:spacing w:val="80"/>
          <w:sz w:val="24"/>
        </w:rPr>
        <w:t> </w:t>
      </w:r>
      <w:r>
        <w:rPr>
          <w:sz w:val="24"/>
        </w:rPr>
        <w:t>and</w:t>
      </w:r>
      <w:r>
        <w:rPr>
          <w:spacing w:val="80"/>
          <w:sz w:val="24"/>
        </w:rPr>
        <w:t> </w:t>
      </w:r>
      <w:r>
        <w:rPr>
          <w:sz w:val="24"/>
        </w:rPr>
        <w:t>capacity</w:t>
      </w:r>
      <w:r>
        <w:rPr>
          <w:spacing w:val="80"/>
          <w:sz w:val="24"/>
        </w:rPr>
        <w:t> </w:t>
      </w:r>
      <w:r>
        <w:rPr>
          <w:sz w:val="24"/>
        </w:rPr>
        <w:t>depending</w:t>
      </w:r>
      <w:r>
        <w:rPr>
          <w:spacing w:val="80"/>
          <w:sz w:val="24"/>
        </w:rPr>
        <w:t> </w:t>
      </w:r>
      <w:r>
        <w:rPr>
          <w:sz w:val="24"/>
        </w:rPr>
        <w:t>on</w:t>
      </w:r>
      <w:r>
        <w:rPr>
          <w:spacing w:val="80"/>
          <w:sz w:val="24"/>
        </w:rPr>
        <w:t> </w:t>
      </w:r>
      <w:r>
        <w:rPr>
          <w:sz w:val="24"/>
        </w:rPr>
        <w:t>the</w:t>
      </w:r>
      <w:r>
        <w:rPr>
          <w:spacing w:val="80"/>
          <w:sz w:val="24"/>
        </w:rPr>
        <w:t> </w:t>
      </w:r>
      <w:r>
        <w:rPr>
          <w:sz w:val="24"/>
        </w:rPr>
        <w:t>occupancy</w:t>
      </w:r>
      <w:r>
        <w:rPr>
          <w:spacing w:val="80"/>
          <w:sz w:val="24"/>
        </w:rPr>
        <w:t> </w:t>
      </w:r>
      <w:r>
        <w:rPr>
          <w:sz w:val="24"/>
        </w:rPr>
        <w:t>of the</w:t>
      </w:r>
      <w:r>
        <w:rPr>
          <w:spacing w:val="40"/>
          <w:sz w:val="24"/>
        </w:rPr>
        <w:t> </w:t>
      </w:r>
      <w:r>
        <w:rPr>
          <w:sz w:val="24"/>
        </w:rPr>
        <w:t>building,</w:t>
      </w:r>
      <w:r>
        <w:rPr>
          <w:spacing w:val="40"/>
          <w:sz w:val="24"/>
        </w:rPr>
        <w:t> </w:t>
      </w:r>
      <w:r>
        <w:rPr>
          <w:sz w:val="24"/>
        </w:rPr>
        <w:t>the</w:t>
      </w:r>
      <w:r>
        <w:rPr>
          <w:spacing w:val="40"/>
          <w:sz w:val="24"/>
        </w:rPr>
        <w:t> </w:t>
      </w:r>
      <w:r>
        <w:rPr>
          <w:sz w:val="24"/>
        </w:rPr>
        <w:t>population</w:t>
      </w:r>
      <w:r>
        <w:rPr>
          <w:spacing w:val="40"/>
          <w:sz w:val="24"/>
        </w:rPr>
        <w:t> </w:t>
      </w:r>
      <w:r>
        <w:rPr>
          <w:sz w:val="24"/>
        </w:rPr>
        <w:t>on</w:t>
      </w:r>
      <w:r>
        <w:rPr>
          <w:spacing w:val="40"/>
          <w:sz w:val="24"/>
        </w:rPr>
        <w:t> </w:t>
      </w:r>
      <w:r>
        <w:rPr>
          <w:sz w:val="24"/>
        </w:rPr>
        <w:t>each</w:t>
      </w:r>
      <w:r>
        <w:rPr>
          <w:spacing w:val="40"/>
          <w:sz w:val="24"/>
        </w:rPr>
        <w:t> </w:t>
      </w:r>
      <w:r>
        <w:rPr>
          <w:sz w:val="24"/>
        </w:rPr>
        <w:t>floor</w:t>
      </w:r>
      <w:r>
        <w:rPr>
          <w:spacing w:val="40"/>
          <w:sz w:val="24"/>
        </w:rPr>
        <w:t> </w:t>
      </w:r>
      <w:r>
        <w:rPr>
          <w:sz w:val="24"/>
        </w:rPr>
        <w:t>based</w:t>
      </w:r>
      <w:r>
        <w:rPr>
          <w:spacing w:val="40"/>
          <w:sz w:val="24"/>
        </w:rPr>
        <w:t> </w:t>
      </w:r>
      <w:r>
        <w:rPr>
          <w:sz w:val="24"/>
        </w:rPr>
        <w:t>on</w:t>
      </w:r>
      <w:r>
        <w:rPr>
          <w:spacing w:val="40"/>
          <w:sz w:val="24"/>
        </w:rPr>
        <w:t> </w:t>
      </w:r>
      <w:r>
        <w:rPr>
          <w:sz w:val="24"/>
        </w:rPr>
        <w:t>occupant</w:t>
      </w:r>
      <w:r>
        <w:rPr>
          <w:spacing w:val="40"/>
          <w:sz w:val="24"/>
        </w:rPr>
        <w:t> </w:t>
      </w:r>
      <w:r>
        <w:rPr>
          <w:sz w:val="24"/>
        </w:rPr>
        <w:t>load and the building height shall be in accordance with section 5</w:t>
      </w:r>
      <w:r>
        <w:rPr>
          <w:spacing w:val="-20"/>
          <w:sz w:val="24"/>
        </w:rPr>
        <w:t> </w:t>
      </w:r>
      <w:r>
        <w:rPr>
          <w:sz w:val="24"/>
        </w:rPr>
        <w:t>- Installation</w:t>
      </w:r>
      <w:r>
        <w:rPr>
          <w:spacing w:val="66"/>
          <w:sz w:val="24"/>
        </w:rPr>
        <w:t> </w:t>
      </w:r>
      <w:r>
        <w:rPr>
          <w:sz w:val="24"/>
        </w:rPr>
        <w:t>of</w:t>
      </w:r>
      <w:r>
        <w:rPr>
          <w:spacing w:val="40"/>
          <w:sz w:val="24"/>
        </w:rPr>
        <w:t> </w:t>
      </w:r>
      <w:r>
        <w:rPr>
          <w:sz w:val="24"/>
        </w:rPr>
        <w:t>lifts</w:t>
      </w:r>
      <w:r>
        <w:rPr>
          <w:spacing w:val="67"/>
          <w:sz w:val="24"/>
        </w:rPr>
        <w:t> </w:t>
      </w:r>
      <w:r>
        <w:rPr>
          <w:sz w:val="24"/>
        </w:rPr>
        <w:t>and</w:t>
      </w:r>
      <w:r>
        <w:rPr>
          <w:spacing w:val="40"/>
          <w:sz w:val="24"/>
        </w:rPr>
        <w:t> </w:t>
      </w:r>
      <w:r>
        <w:rPr>
          <w:sz w:val="24"/>
        </w:rPr>
        <w:t>Escalators,National</w:t>
      </w:r>
      <w:r>
        <w:rPr>
          <w:spacing w:val="80"/>
          <w:sz w:val="24"/>
        </w:rPr>
        <w:t> </w:t>
      </w:r>
      <w:r>
        <w:rPr>
          <w:sz w:val="24"/>
        </w:rPr>
        <w:t>Building</w:t>
      </w:r>
      <w:r>
        <w:rPr>
          <w:spacing w:val="40"/>
          <w:sz w:val="24"/>
        </w:rPr>
        <w:t> </w:t>
      </w:r>
      <w:r>
        <w:rPr>
          <w:sz w:val="24"/>
        </w:rPr>
        <w:t>Code</w:t>
      </w:r>
      <w:r>
        <w:rPr>
          <w:spacing w:val="69"/>
          <w:sz w:val="24"/>
        </w:rPr>
        <w:t> </w:t>
      </w:r>
      <w:r>
        <w:rPr>
          <w:sz w:val="24"/>
        </w:rPr>
        <w:t>of</w:t>
      </w:r>
      <w:r>
        <w:rPr>
          <w:spacing w:val="40"/>
          <w:sz w:val="24"/>
        </w:rPr>
        <w:t> </w:t>
      </w:r>
      <w:r>
        <w:rPr>
          <w:sz w:val="24"/>
        </w:rPr>
        <w:t>India.</w:t>
      </w:r>
    </w:p>
    <w:p>
      <w:pPr>
        <w:pStyle w:val="Heading6"/>
        <w:numPr>
          <w:ilvl w:val="2"/>
          <w:numId w:val="263"/>
        </w:numPr>
        <w:tabs>
          <w:tab w:pos="2031" w:val="left" w:leader="none"/>
        </w:tabs>
        <w:spacing w:line="240" w:lineRule="auto" w:before="241" w:after="0"/>
        <w:ind w:left="2031" w:right="0" w:hanging="358"/>
        <w:jc w:val="left"/>
        <w:rPr>
          <w:b w:val="0"/>
          <w:i w:val="0"/>
        </w:rPr>
      </w:pPr>
      <w:r>
        <w:rPr>
          <w:spacing w:val="-2"/>
        </w:rPr>
        <w:t>Maintenance:</w:t>
      </w:r>
    </w:p>
    <w:p>
      <w:pPr>
        <w:pStyle w:val="ListParagraph"/>
        <w:numPr>
          <w:ilvl w:val="3"/>
          <w:numId w:val="263"/>
        </w:numPr>
        <w:tabs>
          <w:tab w:pos="2196" w:val="left" w:leader="none"/>
        </w:tabs>
        <w:spacing w:line="240" w:lineRule="auto" w:before="242" w:after="0"/>
        <w:ind w:left="1853" w:right="776" w:firstLine="0"/>
        <w:jc w:val="both"/>
        <w:rPr>
          <w:sz w:val="24"/>
        </w:rPr>
      </w:pPr>
      <w:r>
        <w:rPr>
          <w:sz w:val="24"/>
        </w:rPr>
        <w:t>The lift installation should receive regular cleaning, </w:t>
      </w:r>
      <w:r>
        <w:rPr>
          <w:spacing w:val="10"/>
          <w:sz w:val="24"/>
        </w:rPr>
        <w:t>lubrication, </w:t>
      </w:r>
      <w:r>
        <w:rPr>
          <w:sz w:val="24"/>
        </w:rPr>
        <w:t>adjustment</w:t>
      </w:r>
      <w:r>
        <w:rPr>
          <w:spacing w:val="80"/>
          <w:sz w:val="24"/>
        </w:rPr>
        <w:t> </w:t>
      </w:r>
      <w:r>
        <w:rPr>
          <w:sz w:val="24"/>
        </w:rPr>
        <w:t>and</w:t>
      </w:r>
      <w:r>
        <w:rPr>
          <w:spacing w:val="80"/>
          <w:sz w:val="24"/>
        </w:rPr>
        <w:t> </w:t>
      </w:r>
      <w:r>
        <w:rPr>
          <w:sz w:val="24"/>
        </w:rPr>
        <w:t>adequate</w:t>
      </w:r>
      <w:r>
        <w:rPr>
          <w:spacing w:val="80"/>
          <w:sz w:val="24"/>
        </w:rPr>
        <w:t> </w:t>
      </w:r>
      <w:r>
        <w:rPr>
          <w:sz w:val="24"/>
        </w:rPr>
        <w:t>servicing</w:t>
      </w:r>
      <w:r>
        <w:rPr>
          <w:spacing w:val="80"/>
          <w:sz w:val="24"/>
        </w:rPr>
        <w:t> </w:t>
      </w:r>
      <w:r>
        <w:rPr>
          <w:sz w:val="24"/>
        </w:rPr>
        <w:t>by</w:t>
      </w:r>
      <w:r>
        <w:rPr>
          <w:spacing w:val="80"/>
          <w:sz w:val="24"/>
        </w:rPr>
        <w:t> </w:t>
      </w:r>
      <w:r>
        <w:rPr>
          <w:sz w:val="24"/>
        </w:rPr>
        <w:t>authorized</w:t>
      </w:r>
      <w:r>
        <w:rPr>
          <w:spacing w:val="80"/>
          <w:sz w:val="24"/>
        </w:rPr>
        <w:t> </w:t>
      </w:r>
      <w:r>
        <w:rPr>
          <w:spacing w:val="9"/>
          <w:sz w:val="24"/>
        </w:rPr>
        <w:t>competent </w:t>
      </w:r>
      <w:r>
        <w:rPr>
          <w:sz w:val="24"/>
        </w:rPr>
        <w:t>persons at such intervals as the type of equipment and frequency of service</w:t>
      </w:r>
      <w:r>
        <w:rPr>
          <w:spacing w:val="40"/>
          <w:sz w:val="24"/>
        </w:rPr>
        <w:t> </w:t>
      </w:r>
      <w:r>
        <w:rPr>
          <w:sz w:val="24"/>
        </w:rPr>
        <w:t>demand.</w:t>
      </w:r>
      <w:r>
        <w:rPr>
          <w:spacing w:val="40"/>
          <w:sz w:val="24"/>
        </w:rPr>
        <w:t>  </w:t>
      </w:r>
      <w:r>
        <w:rPr>
          <w:sz w:val="24"/>
        </w:rPr>
        <w:t>In</w:t>
      </w:r>
      <w:r>
        <w:rPr>
          <w:spacing w:val="40"/>
          <w:sz w:val="24"/>
        </w:rPr>
        <w:t> </w:t>
      </w:r>
      <w:r>
        <w:rPr>
          <w:sz w:val="24"/>
        </w:rPr>
        <w:t>order</w:t>
      </w:r>
      <w:r>
        <w:rPr>
          <w:spacing w:val="40"/>
          <w:sz w:val="24"/>
        </w:rPr>
        <w:t> </w:t>
      </w:r>
      <w:r>
        <w:rPr>
          <w:sz w:val="24"/>
        </w:rPr>
        <w:t>that</w:t>
      </w:r>
      <w:r>
        <w:rPr>
          <w:spacing w:val="40"/>
          <w:sz w:val="24"/>
        </w:rPr>
        <w:t> </w:t>
      </w:r>
      <w:r>
        <w:rPr>
          <w:sz w:val="24"/>
        </w:rPr>
        <w:t>the</w:t>
      </w:r>
      <w:r>
        <w:rPr>
          <w:spacing w:val="40"/>
          <w:sz w:val="24"/>
        </w:rPr>
        <w:t> </w:t>
      </w:r>
      <w:r>
        <w:rPr>
          <w:sz w:val="24"/>
        </w:rPr>
        <w:t>lift</w:t>
      </w:r>
      <w:r>
        <w:rPr>
          <w:spacing w:val="40"/>
          <w:sz w:val="24"/>
        </w:rPr>
        <w:t> </w:t>
      </w:r>
      <w:r>
        <w:rPr>
          <w:sz w:val="24"/>
        </w:rPr>
        <w:t>installation</w:t>
      </w:r>
      <w:r>
        <w:rPr>
          <w:spacing w:val="40"/>
          <w:sz w:val="24"/>
        </w:rPr>
        <w:t> </w:t>
      </w:r>
      <w:r>
        <w:rPr>
          <w:sz w:val="24"/>
        </w:rPr>
        <w:t>is</w:t>
      </w:r>
      <w:r>
        <w:rPr>
          <w:spacing w:val="40"/>
          <w:sz w:val="24"/>
        </w:rPr>
        <w:t> </w:t>
      </w:r>
      <w:r>
        <w:rPr>
          <w:sz w:val="24"/>
        </w:rPr>
        <w:t>maintained</w:t>
      </w:r>
      <w:r>
        <w:rPr>
          <w:spacing w:val="40"/>
          <w:sz w:val="24"/>
        </w:rPr>
        <w:t> </w:t>
      </w:r>
      <w:r>
        <w:rPr>
          <w:sz w:val="24"/>
        </w:rPr>
        <w:t>at</w:t>
      </w:r>
      <w:r>
        <w:rPr>
          <w:spacing w:val="40"/>
          <w:sz w:val="24"/>
        </w:rPr>
        <w:t> </w:t>
      </w:r>
      <w:r>
        <w:rPr>
          <w:sz w:val="24"/>
        </w:rPr>
        <w:t>all</w:t>
      </w:r>
      <w:r>
        <w:rPr>
          <w:spacing w:val="40"/>
          <w:sz w:val="24"/>
        </w:rPr>
        <w:t> </w:t>
      </w:r>
      <w:r>
        <w:rPr>
          <w:sz w:val="24"/>
        </w:rPr>
        <w:t>times</w:t>
      </w:r>
      <w:r>
        <w:rPr>
          <w:spacing w:val="40"/>
          <w:sz w:val="24"/>
        </w:rPr>
        <w:t> </w:t>
      </w:r>
      <w:r>
        <w:rPr>
          <w:sz w:val="24"/>
        </w:rPr>
        <w:t>in</w:t>
      </w:r>
      <w:r>
        <w:rPr>
          <w:spacing w:val="40"/>
          <w:sz w:val="24"/>
        </w:rPr>
        <w:t> </w:t>
      </w:r>
      <w:r>
        <w:rPr>
          <w:sz w:val="24"/>
        </w:rPr>
        <w:t>a</w:t>
      </w:r>
      <w:r>
        <w:rPr>
          <w:spacing w:val="40"/>
          <w:sz w:val="24"/>
        </w:rPr>
        <w:t> </w:t>
      </w:r>
      <w:r>
        <w:rPr>
          <w:sz w:val="24"/>
        </w:rPr>
        <w:t>safe</w:t>
      </w:r>
      <w:r>
        <w:rPr>
          <w:spacing w:val="40"/>
          <w:sz w:val="24"/>
        </w:rPr>
        <w:t> </w:t>
      </w:r>
      <w:r>
        <w:rPr>
          <w:sz w:val="24"/>
        </w:rPr>
        <w:t>condition,</w:t>
      </w:r>
      <w:r>
        <w:rPr>
          <w:spacing w:val="40"/>
          <w:sz w:val="24"/>
        </w:rPr>
        <w:t> </w:t>
      </w:r>
      <w:r>
        <w:rPr>
          <w:sz w:val="24"/>
        </w:rPr>
        <w:t>a</w:t>
      </w:r>
      <w:r>
        <w:rPr>
          <w:spacing w:val="40"/>
          <w:sz w:val="24"/>
        </w:rPr>
        <w:t> </w:t>
      </w:r>
      <w:r>
        <w:rPr>
          <w:sz w:val="24"/>
        </w:rPr>
        <w:t>proper</w:t>
      </w:r>
      <w:r>
        <w:rPr>
          <w:spacing w:val="40"/>
          <w:sz w:val="24"/>
        </w:rPr>
        <w:t> </w:t>
      </w:r>
      <w:r>
        <w:rPr>
          <w:sz w:val="24"/>
        </w:rPr>
        <w:t>maintenance</w:t>
      </w:r>
      <w:r>
        <w:rPr>
          <w:spacing w:val="40"/>
          <w:sz w:val="24"/>
        </w:rPr>
        <w:t> </w:t>
      </w:r>
      <w:r>
        <w:rPr>
          <w:spacing w:val="10"/>
          <w:sz w:val="24"/>
        </w:rPr>
        <w:t>schedule</w:t>
      </w:r>
      <w:r>
        <w:rPr>
          <w:spacing w:val="40"/>
          <w:sz w:val="24"/>
        </w:rPr>
        <w:t> </w:t>
      </w:r>
      <w:r>
        <w:rPr>
          <w:sz w:val="24"/>
        </w:rPr>
        <w:t>shall</w:t>
      </w:r>
      <w:r>
        <w:rPr>
          <w:spacing w:val="80"/>
          <w:sz w:val="24"/>
        </w:rPr>
        <w:t> </w:t>
      </w:r>
      <w:r>
        <w:rPr>
          <w:sz w:val="24"/>
        </w:rPr>
        <w:t>be drawn up in consultation with the lift manufacturer and rigidly followed.</w:t>
      </w:r>
      <w:r>
        <w:rPr>
          <w:spacing w:val="80"/>
          <w:w w:val="150"/>
          <w:sz w:val="24"/>
        </w:rPr>
        <w:t> </w:t>
      </w:r>
      <w:r>
        <w:rPr>
          <w:sz w:val="24"/>
        </w:rPr>
        <w:t>A</w:t>
      </w:r>
      <w:r>
        <w:rPr>
          <w:spacing w:val="40"/>
          <w:sz w:val="24"/>
        </w:rPr>
        <w:t> </w:t>
      </w:r>
      <w:r>
        <w:rPr>
          <w:sz w:val="24"/>
        </w:rPr>
        <w:t>log</w:t>
      </w:r>
      <w:r>
        <w:rPr>
          <w:spacing w:val="40"/>
          <w:sz w:val="24"/>
        </w:rPr>
        <w:t> </w:t>
      </w:r>
      <w:r>
        <w:rPr>
          <w:sz w:val="24"/>
        </w:rPr>
        <w:t>book</w:t>
      </w:r>
      <w:r>
        <w:rPr>
          <w:spacing w:val="40"/>
          <w:sz w:val="24"/>
        </w:rPr>
        <w:t> </w:t>
      </w:r>
      <w:r>
        <w:rPr>
          <w:sz w:val="24"/>
        </w:rPr>
        <w:t>to</w:t>
      </w:r>
      <w:r>
        <w:rPr>
          <w:spacing w:val="40"/>
          <w:sz w:val="24"/>
        </w:rPr>
        <w:t> </w:t>
      </w:r>
      <w:r>
        <w:rPr>
          <w:sz w:val="24"/>
        </w:rPr>
        <w:t>record</w:t>
      </w:r>
      <w:r>
        <w:rPr>
          <w:spacing w:val="40"/>
          <w:sz w:val="24"/>
        </w:rPr>
        <w:t> </w:t>
      </w:r>
      <w:r>
        <w:rPr>
          <w:sz w:val="24"/>
        </w:rPr>
        <w:t>all</w:t>
      </w:r>
      <w:r>
        <w:rPr>
          <w:spacing w:val="40"/>
          <w:sz w:val="24"/>
        </w:rPr>
        <w:t> </w:t>
      </w:r>
      <w:r>
        <w:rPr>
          <w:sz w:val="24"/>
        </w:rPr>
        <w:t>items</w:t>
      </w:r>
      <w:r>
        <w:rPr>
          <w:spacing w:val="40"/>
          <w:sz w:val="24"/>
        </w:rPr>
        <w:t> </w:t>
      </w:r>
      <w:r>
        <w:rPr>
          <w:sz w:val="24"/>
        </w:rPr>
        <w:t>relating</w:t>
      </w:r>
      <w:r>
        <w:rPr>
          <w:spacing w:val="40"/>
          <w:sz w:val="24"/>
        </w:rPr>
        <w:t> </w:t>
      </w:r>
      <w:r>
        <w:rPr>
          <w:sz w:val="24"/>
        </w:rPr>
        <w:t>to</w:t>
      </w:r>
      <w:r>
        <w:rPr>
          <w:spacing w:val="40"/>
          <w:sz w:val="24"/>
        </w:rPr>
        <w:t> </w:t>
      </w:r>
      <w:r>
        <w:rPr>
          <w:sz w:val="24"/>
        </w:rPr>
        <w:t>general</w:t>
      </w:r>
      <w:r>
        <w:rPr>
          <w:spacing w:val="40"/>
          <w:sz w:val="24"/>
        </w:rPr>
        <w:t> </w:t>
      </w:r>
      <w:r>
        <w:rPr>
          <w:sz w:val="24"/>
        </w:rPr>
        <w:t>servicing and</w:t>
      </w:r>
      <w:r>
        <w:rPr>
          <w:spacing w:val="80"/>
          <w:sz w:val="24"/>
        </w:rPr>
        <w:t> </w:t>
      </w:r>
      <w:r>
        <w:rPr>
          <w:sz w:val="24"/>
        </w:rPr>
        <w:t>inspection</w:t>
      </w:r>
      <w:r>
        <w:rPr>
          <w:spacing w:val="80"/>
          <w:sz w:val="24"/>
        </w:rPr>
        <w:t> </w:t>
      </w:r>
      <w:r>
        <w:rPr>
          <w:sz w:val="24"/>
        </w:rPr>
        <w:t>shall</w:t>
      </w:r>
      <w:r>
        <w:rPr>
          <w:spacing w:val="80"/>
          <w:sz w:val="24"/>
        </w:rPr>
        <w:t> </w:t>
      </w:r>
      <w:r>
        <w:rPr>
          <w:sz w:val="24"/>
        </w:rPr>
        <w:t>be</w:t>
      </w:r>
      <w:r>
        <w:rPr>
          <w:spacing w:val="80"/>
          <w:sz w:val="24"/>
        </w:rPr>
        <w:t> </w:t>
      </w:r>
      <w:r>
        <w:rPr>
          <w:sz w:val="24"/>
        </w:rPr>
        <w:t>maintained.</w:t>
      </w:r>
      <w:r>
        <w:rPr>
          <w:spacing w:val="76"/>
          <w:sz w:val="24"/>
        </w:rPr>
        <w:t>  </w:t>
      </w:r>
      <w:r>
        <w:rPr>
          <w:sz w:val="24"/>
        </w:rPr>
        <w:t>The</w:t>
      </w:r>
      <w:r>
        <w:rPr>
          <w:spacing w:val="80"/>
          <w:sz w:val="24"/>
        </w:rPr>
        <w:t> </w:t>
      </w:r>
      <w:r>
        <w:rPr>
          <w:sz w:val="24"/>
        </w:rPr>
        <w:t>electrical</w:t>
      </w:r>
      <w:r>
        <w:rPr>
          <w:spacing w:val="80"/>
          <w:sz w:val="24"/>
        </w:rPr>
        <w:t> </w:t>
      </w:r>
      <w:r>
        <w:rPr>
          <w:sz w:val="24"/>
        </w:rPr>
        <w:t>circuit</w:t>
      </w:r>
      <w:r>
        <w:rPr>
          <w:spacing w:val="80"/>
          <w:sz w:val="24"/>
        </w:rPr>
        <w:t> </w:t>
      </w:r>
      <w:r>
        <w:rPr>
          <w:sz w:val="24"/>
        </w:rPr>
        <w:t>diagram of</w:t>
      </w:r>
      <w:r>
        <w:rPr>
          <w:spacing w:val="40"/>
          <w:sz w:val="24"/>
        </w:rPr>
        <w:t> </w:t>
      </w:r>
      <w:r>
        <w:rPr>
          <w:sz w:val="24"/>
        </w:rPr>
        <w:t>the</w:t>
      </w:r>
      <w:r>
        <w:rPr>
          <w:spacing w:val="40"/>
          <w:sz w:val="24"/>
        </w:rPr>
        <w:t> </w:t>
      </w:r>
      <w:r>
        <w:rPr>
          <w:sz w:val="24"/>
        </w:rPr>
        <w:t>lift</w:t>
      </w:r>
      <w:r>
        <w:rPr>
          <w:spacing w:val="40"/>
          <w:sz w:val="24"/>
        </w:rPr>
        <w:t> </w:t>
      </w:r>
      <w:r>
        <w:rPr>
          <w:sz w:val="24"/>
        </w:rPr>
        <w:t>with</w:t>
      </w:r>
      <w:r>
        <w:rPr>
          <w:spacing w:val="40"/>
          <w:sz w:val="24"/>
        </w:rPr>
        <w:t> </w:t>
      </w:r>
      <w:r>
        <w:rPr>
          <w:sz w:val="24"/>
        </w:rPr>
        <w:t>the</w:t>
      </w:r>
      <w:r>
        <w:rPr>
          <w:spacing w:val="40"/>
          <w:sz w:val="24"/>
        </w:rPr>
        <w:t> </w:t>
      </w:r>
      <w:r>
        <w:rPr>
          <w:sz w:val="24"/>
        </w:rPr>
        <w:t>sequence</w:t>
      </w:r>
      <w:r>
        <w:rPr>
          <w:spacing w:val="40"/>
          <w:sz w:val="24"/>
        </w:rPr>
        <w:t> </w:t>
      </w:r>
      <w:r>
        <w:rPr>
          <w:sz w:val="24"/>
        </w:rPr>
        <w:t>of</w:t>
      </w:r>
      <w:r>
        <w:rPr>
          <w:spacing w:val="40"/>
          <w:sz w:val="24"/>
        </w:rPr>
        <w:t> </w:t>
      </w:r>
      <w:r>
        <w:rPr>
          <w:spacing w:val="9"/>
          <w:sz w:val="24"/>
        </w:rPr>
        <w:t>operation</w:t>
      </w:r>
      <w:r>
        <w:rPr>
          <w:spacing w:val="40"/>
          <w:sz w:val="24"/>
        </w:rPr>
        <w:t> </w:t>
      </w:r>
      <w:r>
        <w:rPr>
          <w:sz w:val="24"/>
        </w:rPr>
        <w:t>of</w:t>
      </w:r>
      <w:r>
        <w:rPr>
          <w:spacing w:val="40"/>
          <w:sz w:val="24"/>
        </w:rPr>
        <w:t> </w:t>
      </w:r>
      <w:r>
        <w:rPr>
          <w:sz w:val="24"/>
        </w:rPr>
        <w:t>different</w:t>
      </w:r>
      <w:r>
        <w:rPr>
          <w:spacing w:val="40"/>
          <w:sz w:val="24"/>
        </w:rPr>
        <w:t> </w:t>
      </w:r>
      <w:r>
        <w:rPr>
          <w:sz w:val="24"/>
        </w:rPr>
        <w:t>components</w:t>
      </w:r>
      <w:r>
        <w:rPr>
          <w:spacing w:val="40"/>
          <w:sz w:val="24"/>
        </w:rPr>
        <w:t> </w:t>
      </w:r>
      <w:r>
        <w:rPr>
          <w:sz w:val="24"/>
        </w:rPr>
        <w:t>and parts shall be kept readily available for reference by persons responsible</w:t>
      </w:r>
      <w:r>
        <w:rPr>
          <w:spacing w:val="40"/>
          <w:sz w:val="24"/>
        </w:rPr>
        <w:t> </w:t>
      </w:r>
      <w:r>
        <w:rPr>
          <w:sz w:val="24"/>
        </w:rPr>
        <w:t>for</w:t>
      </w:r>
      <w:r>
        <w:rPr>
          <w:spacing w:val="40"/>
          <w:sz w:val="24"/>
        </w:rPr>
        <w:t> </w:t>
      </w:r>
      <w:r>
        <w:rPr>
          <w:sz w:val="24"/>
        </w:rPr>
        <w:t>the</w:t>
      </w:r>
      <w:r>
        <w:rPr>
          <w:spacing w:val="40"/>
          <w:sz w:val="24"/>
        </w:rPr>
        <w:t> </w:t>
      </w:r>
      <w:r>
        <w:rPr>
          <w:sz w:val="24"/>
        </w:rPr>
        <w:t>maintenance</w:t>
      </w:r>
      <w:r>
        <w:rPr>
          <w:spacing w:val="40"/>
          <w:sz w:val="24"/>
        </w:rPr>
        <w:t> </w:t>
      </w:r>
      <w:r>
        <w:rPr>
          <w:sz w:val="24"/>
        </w:rPr>
        <w:t>and</w:t>
      </w:r>
      <w:r>
        <w:rPr>
          <w:spacing w:val="40"/>
          <w:sz w:val="24"/>
        </w:rPr>
        <w:t> </w:t>
      </w:r>
      <w:r>
        <w:rPr>
          <w:sz w:val="24"/>
        </w:rPr>
        <w:t>replacement,</w:t>
      </w:r>
      <w:r>
        <w:rPr>
          <w:spacing w:val="40"/>
          <w:sz w:val="24"/>
        </w:rPr>
        <w:t> </w:t>
      </w:r>
      <w:r>
        <w:rPr>
          <w:sz w:val="24"/>
        </w:rPr>
        <w:t>where</w:t>
      </w:r>
      <w:r>
        <w:rPr>
          <w:spacing w:val="40"/>
          <w:sz w:val="24"/>
        </w:rPr>
        <w:t> </w:t>
      </w:r>
      <w:r>
        <w:rPr>
          <w:spacing w:val="9"/>
          <w:sz w:val="24"/>
        </w:rPr>
        <w:t>necessary, </w:t>
      </w:r>
      <w:r>
        <w:rPr>
          <w:sz w:val="24"/>
        </w:rPr>
        <w:t>to</w:t>
      </w:r>
      <w:r>
        <w:rPr>
          <w:spacing w:val="40"/>
          <w:sz w:val="24"/>
        </w:rPr>
        <w:t> </w:t>
      </w:r>
      <w:r>
        <w:rPr>
          <w:sz w:val="24"/>
        </w:rPr>
        <w:t>the</w:t>
      </w:r>
      <w:r>
        <w:rPr>
          <w:spacing w:val="40"/>
          <w:sz w:val="24"/>
        </w:rPr>
        <w:t> </w:t>
      </w:r>
      <w:r>
        <w:rPr>
          <w:sz w:val="24"/>
        </w:rPr>
        <w:t>satisfaction</w:t>
      </w:r>
      <w:r>
        <w:rPr>
          <w:spacing w:val="40"/>
          <w:sz w:val="24"/>
        </w:rPr>
        <w:t> </w:t>
      </w:r>
      <w:r>
        <w:rPr>
          <w:sz w:val="24"/>
        </w:rPr>
        <w:t>of</w:t>
      </w:r>
      <w:r>
        <w:rPr>
          <w:spacing w:val="40"/>
          <w:sz w:val="24"/>
        </w:rPr>
        <w:t> </w:t>
      </w:r>
      <w:r>
        <w:rPr>
          <w:sz w:val="24"/>
        </w:rPr>
        <w:t>the</w:t>
      </w:r>
      <w:r>
        <w:rPr>
          <w:spacing w:val="40"/>
          <w:sz w:val="24"/>
        </w:rPr>
        <w:t> </w:t>
      </w:r>
      <w:r>
        <w:rPr>
          <w:sz w:val="24"/>
        </w:rPr>
        <w:t>competent</w:t>
      </w:r>
      <w:r>
        <w:rPr>
          <w:spacing w:val="40"/>
          <w:sz w:val="24"/>
        </w:rPr>
        <w:t> </w:t>
      </w:r>
      <w:r>
        <w:rPr>
          <w:sz w:val="24"/>
        </w:rPr>
        <w:t>authority</w:t>
      </w:r>
      <w:r>
        <w:rPr>
          <w:spacing w:val="80"/>
          <w:sz w:val="24"/>
        </w:rPr>
        <w:t> </w:t>
      </w:r>
      <w:r>
        <w:rPr>
          <w:sz w:val="24"/>
        </w:rPr>
        <w:t>i.e.,</w:t>
      </w:r>
      <w:r>
        <w:rPr>
          <w:spacing w:val="40"/>
          <w:sz w:val="24"/>
        </w:rPr>
        <w:t> </w:t>
      </w:r>
      <w:r>
        <w:rPr>
          <w:sz w:val="24"/>
        </w:rPr>
        <w:t>Lift</w:t>
      </w:r>
      <w:r>
        <w:rPr>
          <w:spacing w:val="40"/>
          <w:sz w:val="24"/>
        </w:rPr>
        <w:t> </w:t>
      </w:r>
      <w:r>
        <w:rPr>
          <w:sz w:val="24"/>
        </w:rPr>
        <w:t>Inspector</w:t>
      </w:r>
      <w:r>
        <w:rPr>
          <w:spacing w:val="40"/>
          <w:sz w:val="24"/>
        </w:rPr>
        <w:t> </w:t>
      </w:r>
      <w:r>
        <w:rPr>
          <w:sz w:val="24"/>
        </w:rPr>
        <w:t>of the Government of </w:t>
      </w:r>
      <w:r>
        <w:rPr>
          <w:spacing w:val="9"/>
          <w:sz w:val="24"/>
        </w:rPr>
        <w:t>Maharashtra.</w:t>
      </w:r>
    </w:p>
    <w:p>
      <w:pPr>
        <w:pStyle w:val="ListParagraph"/>
        <w:numPr>
          <w:ilvl w:val="3"/>
          <w:numId w:val="263"/>
        </w:numPr>
        <w:tabs>
          <w:tab w:pos="2263" w:val="left" w:leader="none"/>
        </w:tabs>
        <w:spacing w:line="240" w:lineRule="auto" w:before="240" w:after="0"/>
        <w:ind w:left="1853" w:right="786" w:firstLine="0"/>
        <w:jc w:val="both"/>
        <w:rPr>
          <w:sz w:val="24"/>
        </w:rPr>
      </w:pPr>
      <w:r>
        <w:rPr>
          <w:sz w:val="24"/>
        </w:rPr>
        <w:t>Any accident arising out of operation </w:t>
      </w:r>
      <w:r>
        <w:rPr>
          <w:spacing w:val="9"/>
          <w:sz w:val="24"/>
        </w:rPr>
        <w:t>or </w:t>
      </w:r>
      <w:r>
        <w:rPr>
          <w:sz w:val="24"/>
        </w:rPr>
        <w:t>maintenance of the lifts</w:t>
      </w:r>
      <w:r>
        <w:rPr>
          <w:spacing w:val="40"/>
          <w:sz w:val="24"/>
        </w:rPr>
        <w:t> </w:t>
      </w:r>
      <w:r>
        <w:rPr>
          <w:sz w:val="24"/>
        </w:rPr>
        <w:t>shall</w:t>
      </w:r>
      <w:r>
        <w:rPr>
          <w:spacing w:val="40"/>
          <w:sz w:val="24"/>
        </w:rPr>
        <w:t> </w:t>
      </w:r>
      <w:r>
        <w:rPr>
          <w:sz w:val="24"/>
        </w:rPr>
        <w:t>be</w:t>
      </w:r>
      <w:r>
        <w:rPr>
          <w:spacing w:val="40"/>
          <w:sz w:val="24"/>
        </w:rPr>
        <w:t> </w:t>
      </w:r>
      <w:r>
        <w:rPr>
          <w:sz w:val="24"/>
        </w:rPr>
        <w:t>duly</w:t>
      </w:r>
      <w:r>
        <w:rPr>
          <w:spacing w:val="40"/>
          <w:sz w:val="24"/>
        </w:rPr>
        <w:t> </w:t>
      </w:r>
      <w:r>
        <w:rPr>
          <w:sz w:val="24"/>
        </w:rPr>
        <w:t>reported</w:t>
      </w:r>
      <w:r>
        <w:rPr>
          <w:spacing w:val="40"/>
          <w:sz w:val="24"/>
        </w:rPr>
        <w:t> </w:t>
      </w:r>
      <w:r>
        <w:rPr>
          <w:sz w:val="24"/>
        </w:rPr>
        <w:t>to</w:t>
      </w:r>
      <w:r>
        <w:rPr>
          <w:spacing w:val="40"/>
          <w:sz w:val="24"/>
        </w:rPr>
        <w:t> </w:t>
      </w:r>
      <w:r>
        <w:rPr>
          <w:sz w:val="24"/>
        </w:rPr>
        <w:t>the</w:t>
      </w:r>
      <w:r>
        <w:rPr>
          <w:spacing w:val="40"/>
          <w:sz w:val="24"/>
        </w:rPr>
        <w:t> </w:t>
      </w:r>
      <w:r>
        <w:rPr>
          <w:sz w:val="24"/>
        </w:rPr>
        <w:t>competent</w:t>
      </w:r>
      <w:r>
        <w:rPr>
          <w:spacing w:val="40"/>
          <w:sz w:val="24"/>
        </w:rPr>
        <w:t> </w:t>
      </w:r>
      <w:r>
        <w:rPr>
          <w:sz w:val="24"/>
        </w:rPr>
        <w:t>authority</w:t>
      </w:r>
      <w:r>
        <w:rPr>
          <w:spacing w:val="40"/>
          <w:sz w:val="24"/>
        </w:rPr>
        <w:t> </w:t>
      </w:r>
      <w:r>
        <w:rPr>
          <w:spacing w:val="10"/>
          <w:sz w:val="24"/>
        </w:rPr>
        <w:t>i.e.,</w:t>
      </w:r>
      <w:r>
        <w:rPr>
          <w:spacing w:val="40"/>
          <w:sz w:val="24"/>
        </w:rPr>
        <w:t> </w:t>
      </w:r>
      <w:r>
        <w:rPr>
          <w:sz w:val="24"/>
        </w:rPr>
        <w:t>Lift</w:t>
      </w:r>
      <w:r>
        <w:rPr>
          <w:spacing w:val="40"/>
          <w:sz w:val="24"/>
        </w:rPr>
        <w:t> </w:t>
      </w:r>
      <w:r>
        <w:rPr>
          <w:sz w:val="24"/>
        </w:rPr>
        <w:t>Inspector of</w:t>
      </w:r>
      <w:r>
        <w:rPr>
          <w:spacing w:val="40"/>
          <w:sz w:val="24"/>
        </w:rPr>
        <w:t> </w:t>
      </w:r>
      <w:r>
        <w:rPr>
          <w:sz w:val="24"/>
        </w:rPr>
        <w:t>the</w:t>
      </w:r>
      <w:r>
        <w:rPr>
          <w:spacing w:val="40"/>
          <w:sz w:val="24"/>
        </w:rPr>
        <w:t> </w:t>
      </w:r>
      <w:r>
        <w:rPr>
          <w:sz w:val="24"/>
        </w:rPr>
        <w:t>Government</w:t>
      </w:r>
      <w:r>
        <w:rPr>
          <w:spacing w:val="40"/>
          <w:sz w:val="24"/>
        </w:rPr>
        <w:t> </w:t>
      </w:r>
      <w:r>
        <w:rPr>
          <w:sz w:val="24"/>
        </w:rPr>
        <w:t>of</w:t>
      </w:r>
      <w:r>
        <w:rPr>
          <w:spacing w:val="40"/>
          <w:sz w:val="24"/>
        </w:rPr>
        <w:t> </w:t>
      </w:r>
      <w:r>
        <w:rPr>
          <w:sz w:val="24"/>
        </w:rPr>
        <w:t>Maharashtra.</w:t>
      </w:r>
    </w:p>
    <w:p>
      <w:pPr>
        <w:pStyle w:val="ListParagraph"/>
        <w:spacing w:after="0" w:line="240" w:lineRule="auto"/>
        <w:jc w:val="both"/>
        <w:rPr>
          <w:sz w:val="24"/>
        </w:rPr>
        <w:sectPr>
          <w:pgSz w:w="11910" w:h="16840"/>
          <w:pgMar w:header="1065" w:footer="1194" w:top="1500" w:bottom="1380" w:left="360" w:right="360"/>
        </w:sectPr>
      </w:pPr>
    </w:p>
    <w:p>
      <w:pPr>
        <w:pStyle w:val="Heading1"/>
        <w:ind w:left="1548" w:right="879"/>
      </w:pPr>
      <w:r>
        <w:rPr/>
        <w:t>PART</w:t>
      </w:r>
      <w:r>
        <w:rPr>
          <w:spacing w:val="39"/>
        </w:rPr>
        <w:t> </w:t>
      </w:r>
      <w:r>
        <w:rPr/>
        <w:t>X</w:t>
      </w:r>
      <w:r>
        <w:rPr>
          <w:spacing w:val="38"/>
        </w:rPr>
        <w:t> </w:t>
      </w:r>
      <w:r>
        <w:rPr/>
        <w:t>SPECIAL</w:t>
      </w:r>
      <w:r>
        <w:rPr>
          <w:spacing w:val="39"/>
        </w:rPr>
        <w:t> </w:t>
      </w:r>
      <w:r>
        <w:rPr>
          <w:spacing w:val="-2"/>
        </w:rPr>
        <w:t>PROVISIONS</w:t>
      </w:r>
    </w:p>
    <w:p>
      <w:pPr>
        <w:pStyle w:val="BodyText"/>
        <w:jc w:val="left"/>
        <w:rPr>
          <w:b/>
          <w:sz w:val="32"/>
        </w:rPr>
      </w:pPr>
    </w:p>
    <w:p>
      <w:pPr>
        <w:pStyle w:val="BodyText"/>
        <w:spacing w:before="7"/>
        <w:jc w:val="left"/>
        <w:rPr>
          <w:b/>
          <w:sz w:val="32"/>
        </w:rPr>
      </w:pPr>
    </w:p>
    <w:p>
      <w:pPr>
        <w:pStyle w:val="Heading3"/>
        <w:numPr>
          <w:ilvl w:val="0"/>
          <w:numId w:val="263"/>
        </w:numPr>
        <w:tabs>
          <w:tab w:pos="1589" w:val="left" w:leader="none"/>
        </w:tabs>
        <w:spacing w:line="240" w:lineRule="auto" w:before="0" w:after="0"/>
        <w:ind w:left="1589" w:right="0" w:hanging="817"/>
        <w:jc w:val="left"/>
        <w:rPr>
          <w:i w:val="0"/>
        </w:rPr>
      </w:pPr>
      <w:r>
        <w:rPr/>
        <w:t>Parking</w:t>
      </w:r>
      <w:r>
        <w:rPr>
          <w:spacing w:val="-9"/>
        </w:rPr>
        <w:t> </w:t>
      </w:r>
      <w:r>
        <w:rPr>
          <w:spacing w:val="-2"/>
        </w:rPr>
        <w:t>Authority</w:t>
      </w:r>
    </w:p>
    <w:p>
      <w:pPr>
        <w:pStyle w:val="BodyText"/>
        <w:spacing w:before="245"/>
        <w:ind w:left="1493" w:right="771"/>
      </w:pPr>
      <w:r>
        <w:rPr/>
        <w:t>MCGM, with approval of Corporation in consultation with GoM, shall constitute a Parking Authority at MCGM level to plan, regulate and manage all on/off street parking and public parking places under the </w:t>
      </w:r>
      <w:r>
        <w:rPr/>
        <w:t>physical jurisdiction</w:t>
      </w:r>
      <w:r>
        <w:rPr>
          <w:spacing w:val="-20"/>
        </w:rPr>
        <w:t> </w:t>
      </w:r>
      <w:r>
        <w:rPr/>
        <w:t>of</w:t>
      </w:r>
      <w:r>
        <w:rPr>
          <w:spacing w:val="-19"/>
        </w:rPr>
        <w:t> </w:t>
      </w:r>
      <w:r>
        <w:rPr/>
        <w:t>Greater</w:t>
      </w:r>
      <w:r>
        <w:rPr>
          <w:spacing w:val="-19"/>
        </w:rPr>
        <w:t> </w:t>
      </w:r>
      <w:r>
        <w:rPr/>
        <w:t>Mumbai.</w:t>
      </w:r>
      <w:r>
        <w:rPr>
          <w:spacing w:val="-19"/>
        </w:rPr>
        <w:t> </w:t>
      </w:r>
      <w:r>
        <w:rPr/>
        <w:t>The</w:t>
      </w:r>
      <w:r>
        <w:rPr>
          <w:spacing w:val="-19"/>
        </w:rPr>
        <w:t> </w:t>
      </w:r>
      <w:r>
        <w:rPr/>
        <w:t>constituted</w:t>
      </w:r>
      <w:r>
        <w:rPr>
          <w:spacing w:val="-20"/>
        </w:rPr>
        <w:t> </w:t>
      </w:r>
      <w:r>
        <w:rPr/>
        <w:t>Parking</w:t>
      </w:r>
      <w:r>
        <w:rPr>
          <w:spacing w:val="-19"/>
        </w:rPr>
        <w:t> </w:t>
      </w:r>
      <w:r>
        <w:rPr/>
        <w:t>Authority,</w:t>
      </w:r>
      <w:r>
        <w:rPr>
          <w:spacing w:val="-19"/>
        </w:rPr>
        <w:t> </w:t>
      </w:r>
      <w:r>
        <w:rPr/>
        <w:t>inter</w:t>
      </w:r>
      <w:r>
        <w:rPr>
          <w:spacing w:val="-19"/>
        </w:rPr>
        <w:t> </w:t>
      </w:r>
      <w:r>
        <w:rPr/>
        <w:t>alia, will fix and promulgate parking fees as well as penalties for various areas/zones in MCGM.</w:t>
      </w:r>
    </w:p>
    <w:p>
      <w:pPr>
        <w:pStyle w:val="Heading3"/>
        <w:numPr>
          <w:ilvl w:val="0"/>
          <w:numId w:val="263"/>
        </w:numPr>
        <w:tabs>
          <w:tab w:pos="1493" w:val="left" w:leader="none"/>
        </w:tabs>
        <w:spacing w:line="240" w:lineRule="auto" w:before="238" w:after="0"/>
        <w:ind w:left="1493" w:right="0" w:hanging="721"/>
        <w:jc w:val="left"/>
        <w:rPr>
          <w:i w:val="0"/>
        </w:rPr>
      </w:pPr>
      <w:r>
        <w:rPr/>
        <w:t>Conservation</w:t>
      </w:r>
      <w:r>
        <w:rPr>
          <w:spacing w:val="-6"/>
        </w:rPr>
        <w:t> </w:t>
      </w:r>
      <w:r>
        <w:rPr/>
        <w:t>of</w:t>
      </w:r>
      <w:r>
        <w:rPr>
          <w:spacing w:val="-11"/>
        </w:rPr>
        <w:t> </w:t>
      </w:r>
      <w:r>
        <w:rPr>
          <w:spacing w:val="-2"/>
        </w:rPr>
        <w:t>Heritage</w:t>
      </w:r>
    </w:p>
    <w:p>
      <w:pPr>
        <w:pStyle w:val="Heading6"/>
        <w:numPr>
          <w:ilvl w:val="0"/>
          <w:numId w:val="320"/>
        </w:numPr>
        <w:tabs>
          <w:tab w:pos="1813" w:val="left" w:leader="none"/>
        </w:tabs>
        <w:spacing w:line="240" w:lineRule="auto" w:before="242" w:after="0"/>
        <w:ind w:left="1813" w:right="0" w:hanging="320"/>
        <w:jc w:val="both"/>
      </w:pPr>
      <w:r>
        <w:rPr>
          <w:spacing w:val="-2"/>
        </w:rPr>
        <w:t>Definition:</w:t>
      </w:r>
    </w:p>
    <w:p>
      <w:pPr>
        <w:pStyle w:val="ListParagraph"/>
        <w:numPr>
          <w:ilvl w:val="1"/>
          <w:numId w:val="320"/>
        </w:numPr>
        <w:tabs>
          <w:tab w:pos="1809" w:val="left" w:leader="none"/>
        </w:tabs>
        <w:spacing w:line="240" w:lineRule="auto" w:before="241" w:after="0"/>
        <w:ind w:left="1493" w:right="771" w:firstLine="0"/>
        <w:jc w:val="both"/>
        <w:rPr>
          <w:sz w:val="24"/>
        </w:rPr>
      </w:pPr>
      <w:r>
        <w:rPr>
          <w:sz w:val="24"/>
        </w:rPr>
        <w:t>“Conservation” means all the processes of looking after a place so as to retain its historical and/or architectural and/or aesthetic and/or cultural significance and includes maintenance, preservation, restoration, reconstruction and adoption or a combination of more than one of these.</w:t>
      </w:r>
    </w:p>
    <w:p>
      <w:pPr>
        <w:pStyle w:val="ListParagraph"/>
        <w:numPr>
          <w:ilvl w:val="1"/>
          <w:numId w:val="320"/>
        </w:numPr>
        <w:tabs>
          <w:tab w:pos="1849" w:val="left" w:leader="none"/>
        </w:tabs>
        <w:spacing w:line="240" w:lineRule="auto" w:before="239" w:after="0"/>
        <w:ind w:left="1493" w:right="773" w:firstLine="0"/>
        <w:jc w:val="both"/>
        <w:rPr>
          <w:sz w:val="24"/>
        </w:rPr>
      </w:pPr>
      <w:r>
        <w:rPr>
          <w:sz w:val="24"/>
        </w:rPr>
        <w:t>“Preservation”</w:t>
      </w:r>
      <w:r>
        <w:rPr>
          <w:spacing w:val="-10"/>
          <w:sz w:val="24"/>
        </w:rPr>
        <w:t> </w:t>
      </w:r>
      <w:r>
        <w:rPr>
          <w:sz w:val="24"/>
        </w:rPr>
        <w:t>means</w:t>
      </w:r>
      <w:r>
        <w:rPr>
          <w:spacing w:val="-10"/>
          <w:sz w:val="24"/>
        </w:rPr>
        <w:t> </w:t>
      </w:r>
      <w:r>
        <w:rPr>
          <w:sz w:val="24"/>
        </w:rPr>
        <w:t>and</w:t>
      </w:r>
      <w:r>
        <w:rPr>
          <w:spacing w:val="-10"/>
          <w:sz w:val="24"/>
        </w:rPr>
        <w:t> </w:t>
      </w:r>
      <w:r>
        <w:rPr>
          <w:sz w:val="24"/>
        </w:rPr>
        <w:t>includes</w:t>
      </w:r>
      <w:r>
        <w:rPr>
          <w:spacing w:val="-10"/>
          <w:sz w:val="24"/>
        </w:rPr>
        <w:t> </w:t>
      </w:r>
      <w:r>
        <w:rPr>
          <w:sz w:val="24"/>
        </w:rPr>
        <w:t>maintaining</w:t>
      </w:r>
      <w:r>
        <w:rPr>
          <w:spacing w:val="-10"/>
          <w:sz w:val="24"/>
        </w:rPr>
        <w:t> </w:t>
      </w:r>
      <w:r>
        <w:rPr>
          <w:sz w:val="24"/>
        </w:rPr>
        <w:t>the</w:t>
      </w:r>
      <w:r>
        <w:rPr>
          <w:spacing w:val="-10"/>
          <w:sz w:val="24"/>
        </w:rPr>
        <w:t> </w:t>
      </w:r>
      <w:r>
        <w:rPr>
          <w:sz w:val="24"/>
        </w:rPr>
        <w:t>fabric</w:t>
      </w:r>
      <w:r>
        <w:rPr>
          <w:spacing w:val="-10"/>
          <w:sz w:val="24"/>
        </w:rPr>
        <w:t> </w:t>
      </w:r>
      <w:r>
        <w:rPr>
          <w:sz w:val="24"/>
        </w:rPr>
        <w:t>of</w:t>
      </w:r>
      <w:r>
        <w:rPr>
          <w:spacing w:val="-10"/>
          <w:sz w:val="24"/>
        </w:rPr>
        <w:t> </w:t>
      </w:r>
      <w:r>
        <w:rPr>
          <w:sz w:val="24"/>
        </w:rPr>
        <w:t>a</w:t>
      </w:r>
      <w:r>
        <w:rPr>
          <w:spacing w:val="-10"/>
          <w:sz w:val="24"/>
        </w:rPr>
        <w:t> </w:t>
      </w:r>
      <w:r>
        <w:rPr>
          <w:sz w:val="24"/>
        </w:rPr>
        <w:t>place</w:t>
      </w:r>
      <w:r>
        <w:rPr>
          <w:spacing w:val="-10"/>
          <w:sz w:val="24"/>
        </w:rPr>
        <w:t> </w:t>
      </w:r>
      <w:r>
        <w:rPr>
          <w:sz w:val="24"/>
        </w:rPr>
        <w:t>in</w:t>
      </w:r>
      <w:r>
        <w:rPr>
          <w:spacing w:val="-10"/>
          <w:sz w:val="24"/>
        </w:rPr>
        <w:t> </w:t>
      </w:r>
      <w:r>
        <w:rPr>
          <w:sz w:val="24"/>
        </w:rPr>
        <w:t>its existing state and retarding deterioration.</w:t>
      </w:r>
    </w:p>
    <w:p>
      <w:pPr>
        <w:pStyle w:val="ListParagraph"/>
        <w:numPr>
          <w:ilvl w:val="1"/>
          <w:numId w:val="320"/>
        </w:numPr>
        <w:tabs>
          <w:tab w:pos="1866" w:val="left" w:leader="none"/>
        </w:tabs>
        <w:spacing w:line="240" w:lineRule="auto" w:before="240" w:after="0"/>
        <w:ind w:left="1493" w:right="773" w:firstLine="14"/>
        <w:jc w:val="both"/>
        <w:rPr>
          <w:sz w:val="22"/>
        </w:rPr>
      </w:pPr>
      <w:r>
        <w:rPr>
          <w:sz w:val="24"/>
        </w:rPr>
        <w:t>“Restoration”</w:t>
      </w:r>
      <w:r>
        <w:rPr>
          <w:spacing w:val="-3"/>
          <w:sz w:val="24"/>
        </w:rPr>
        <w:t> </w:t>
      </w:r>
      <w:r>
        <w:rPr>
          <w:sz w:val="24"/>
        </w:rPr>
        <w:t>means</w:t>
      </w:r>
      <w:r>
        <w:rPr>
          <w:spacing w:val="-3"/>
          <w:sz w:val="24"/>
        </w:rPr>
        <w:t> </w:t>
      </w:r>
      <w:r>
        <w:rPr>
          <w:sz w:val="24"/>
        </w:rPr>
        <w:t>and</w:t>
      </w:r>
      <w:r>
        <w:rPr>
          <w:spacing w:val="-3"/>
          <w:sz w:val="24"/>
        </w:rPr>
        <w:t> </w:t>
      </w:r>
      <w:r>
        <w:rPr>
          <w:sz w:val="24"/>
        </w:rPr>
        <w:t>includes</w:t>
      </w:r>
      <w:r>
        <w:rPr>
          <w:spacing w:val="-3"/>
          <w:sz w:val="24"/>
        </w:rPr>
        <w:t> </w:t>
      </w:r>
      <w:r>
        <w:rPr>
          <w:sz w:val="24"/>
        </w:rPr>
        <w:t>returning</w:t>
      </w:r>
      <w:r>
        <w:rPr>
          <w:spacing w:val="-3"/>
          <w:sz w:val="24"/>
        </w:rPr>
        <w:t> </w:t>
      </w:r>
      <w:r>
        <w:rPr>
          <w:sz w:val="24"/>
        </w:rPr>
        <w:t>the</w:t>
      </w:r>
      <w:r>
        <w:rPr>
          <w:spacing w:val="-3"/>
          <w:sz w:val="24"/>
        </w:rPr>
        <w:t> </w:t>
      </w:r>
      <w:r>
        <w:rPr>
          <w:sz w:val="24"/>
        </w:rPr>
        <w:t>existing</w:t>
      </w:r>
      <w:r>
        <w:rPr>
          <w:spacing w:val="-3"/>
          <w:sz w:val="24"/>
        </w:rPr>
        <w:t> </w:t>
      </w:r>
      <w:r>
        <w:rPr>
          <w:sz w:val="24"/>
        </w:rPr>
        <w:t>fabric</w:t>
      </w:r>
      <w:r>
        <w:rPr>
          <w:spacing w:val="-3"/>
          <w:sz w:val="24"/>
        </w:rPr>
        <w:t> </w:t>
      </w:r>
      <w:r>
        <w:rPr>
          <w:sz w:val="24"/>
        </w:rPr>
        <w:t>of</w:t>
      </w:r>
      <w:r>
        <w:rPr>
          <w:spacing w:val="-3"/>
          <w:sz w:val="24"/>
        </w:rPr>
        <w:t> </w:t>
      </w:r>
      <w:r>
        <w:rPr>
          <w:sz w:val="24"/>
        </w:rPr>
        <w:t>a</w:t>
      </w:r>
      <w:r>
        <w:rPr>
          <w:spacing w:val="-3"/>
          <w:sz w:val="24"/>
        </w:rPr>
        <w:t> </w:t>
      </w:r>
      <w:r>
        <w:rPr>
          <w:sz w:val="24"/>
        </w:rPr>
        <w:t>place to a known earlier state by removing accretions or by reassembling existing </w:t>
      </w:r>
      <w:r>
        <w:rPr>
          <w:spacing w:val="-2"/>
          <w:sz w:val="24"/>
        </w:rPr>
        <w:t>components.</w:t>
      </w:r>
    </w:p>
    <w:p>
      <w:pPr>
        <w:pStyle w:val="ListParagraph"/>
        <w:numPr>
          <w:ilvl w:val="1"/>
          <w:numId w:val="320"/>
        </w:numPr>
        <w:tabs>
          <w:tab w:pos="1625" w:val="left" w:leader="none"/>
          <w:tab w:pos="1887" w:val="left" w:leader="none"/>
        </w:tabs>
        <w:spacing w:line="360" w:lineRule="auto" w:before="240" w:after="0"/>
        <w:ind w:left="1625" w:right="776" w:hanging="144"/>
        <w:jc w:val="both"/>
        <w:rPr>
          <w:sz w:val="23"/>
        </w:rPr>
      </w:pPr>
      <w:r>
        <w:rPr>
          <w:sz w:val="23"/>
        </w:rPr>
        <w:t>“Heritage Site” means the area within the boundary / extent of the heritage building / Precinct / natural area included in the heritage list and as shown on the map.</w:t>
      </w:r>
    </w:p>
    <w:p>
      <w:pPr>
        <w:pStyle w:val="ListParagraph"/>
        <w:numPr>
          <w:ilvl w:val="1"/>
          <w:numId w:val="320"/>
        </w:numPr>
        <w:tabs>
          <w:tab w:pos="1936" w:val="left" w:leader="none"/>
        </w:tabs>
        <w:spacing w:line="360" w:lineRule="auto" w:before="2" w:after="0"/>
        <w:ind w:left="1493" w:right="773" w:firstLine="81"/>
        <w:jc w:val="both"/>
        <w:rPr>
          <w:sz w:val="23"/>
        </w:rPr>
      </w:pPr>
      <w:r>
        <w:rPr>
          <w:sz w:val="23"/>
        </w:rPr>
        <w:t>”Natural heritage site” shall include, natural sites or precisely delineated natural areas which are of outstanding value from the point of view of science, heritage conservation or natural beauty; geological and physiographical formations and precisely delineated areas which constitute the habitat of threatened</w:t>
      </w:r>
      <w:r>
        <w:rPr>
          <w:spacing w:val="-4"/>
          <w:sz w:val="23"/>
        </w:rPr>
        <w:t> </w:t>
      </w:r>
      <w:r>
        <w:rPr>
          <w:sz w:val="23"/>
        </w:rPr>
        <w:t>species</w:t>
      </w:r>
      <w:r>
        <w:rPr>
          <w:spacing w:val="-7"/>
          <w:sz w:val="23"/>
        </w:rPr>
        <w:t> </w:t>
      </w:r>
      <w:r>
        <w:rPr>
          <w:sz w:val="23"/>
        </w:rPr>
        <w:t>of</w:t>
      </w:r>
      <w:r>
        <w:rPr>
          <w:spacing w:val="-7"/>
          <w:sz w:val="23"/>
        </w:rPr>
        <w:t> </w:t>
      </w:r>
      <w:r>
        <w:rPr>
          <w:sz w:val="23"/>
        </w:rPr>
        <w:t>animals</w:t>
      </w:r>
      <w:r>
        <w:rPr>
          <w:spacing w:val="-4"/>
          <w:sz w:val="23"/>
        </w:rPr>
        <w:t> </w:t>
      </w:r>
      <w:r>
        <w:rPr>
          <w:sz w:val="23"/>
        </w:rPr>
        <w:t>and</w:t>
      </w:r>
      <w:r>
        <w:rPr>
          <w:spacing w:val="-7"/>
          <w:sz w:val="23"/>
        </w:rPr>
        <w:t> </w:t>
      </w:r>
      <w:r>
        <w:rPr>
          <w:sz w:val="23"/>
        </w:rPr>
        <w:t>plants</w:t>
      </w:r>
      <w:r>
        <w:rPr>
          <w:spacing w:val="-5"/>
          <w:sz w:val="23"/>
        </w:rPr>
        <w:t> </w:t>
      </w:r>
      <w:r>
        <w:rPr>
          <w:sz w:val="23"/>
        </w:rPr>
        <w:t>and</w:t>
      </w:r>
      <w:r>
        <w:rPr>
          <w:spacing w:val="-4"/>
          <w:sz w:val="23"/>
        </w:rPr>
        <w:t> </w:t>
      </w:r>
      <w:r>
        <w:rPr>
          <w:sz w:val="23"/>
        </w:rPr>
        <w:t>are</w:t>
      </w:r>
      <w:r>
        <w:rPr>
          <w:spacing w:val="-5"/>
          <w:sz w:val="23"/>
        </w:rPr>
        <w:t> </w:t>
      </w:r>
      <w:r>
        <w:rPr>
          <w:sz w:val="23"/>
        </w:rPr>
        <w:t>of</w:t>
      </w:r>
      <w:r>
        <w:rPr>
          <w:spacing w:val="-7"/>
          <w:sz w:val="23"/>
        </w:rPr>
        <w:t> </w:t>
      </w:r>
      <w:r>
        <w:rPr>
          <w:sz w:val="23"/>
        </w:rPr>
        <w:t>outstanding</w:t>
      </w:r>
      <w:r>
        <w:rPr>
          <w:spacing w:val="-7"/>
          <w:sz w:val="23"/>
        </w:rPr>
        <w:t> </w:t>
      </w:r>
      <w:r>
        <w:rPr>
          <w:sz w:val="23"/>
        </w:rPr>
        <w:t>value</w:t>
      </w:r>
      <w:r>
        <w:rPr>
          <w:spacing w:val="-5"/>
          <w:sz w:val="23"/>
        </w:rPr>
        <w:t> </w:t>
      </w:r>
      <w:r>
        <w:rPr>
          <w:sz w:val="23"/>
        </w:rPr>
        <w:t>from</w:t>
      </w:r>
      <w:r>
        <w:rPr>
          <w:spacing w:val="-5"/>
          <w:sz w:val="23"/>
        </w:rPr>
        <w:t> </w:t>
      </w:r>
      <w:r>
        <w:rPr>
          <w:sz w:val="23"/>
        </w:rPr>
        <w:t>the point of view of ecology or conservation; natural features consisting of physical </w:t>
      </w:r>
      <w:r>
        <w:rPr>
          <w:spacing w:val="-2"/>
          <w:sz w:val="23"/>
        </w:rPr>
        <w:t>and</w:t>
      </w:r>
      <w:r>
        <w:rPr>
          <w:spacing w:val="-9"/>
          <w:sz w:val="23"/>
        </w:rPr>
        <w:t> </w:t>
      </w:r>
      <w:r>
        <w:rPr>
          <w:spacing w:val="-2"/>
          <w:sz w:val="23"/>
        </w:rPr>
        <w:t>biological</w:t>
      </w:r>
      <w:r>
        <w:rPr>
          <w:spacing w:val="-9"/>
          <w:sz w:val="23"/>
        </w:rPr>
        <w:t> </w:t>
      </w:r>
      <w:r>
        <w:rPr>
          <w:spacing w:val="-2"/>
          <w:sz w:val="23"/>
        </w:rPr>
        <w:t>formations</w:t>
      </w:r>
      <w:r>
        <w:rPr>
          <w:spacing w:val="-7"/>
          <w:sz w:val="23"/>
        </w:rPr>
        <w:t> </w:t>
      </w:r>
      <w:r>
        <w:rPr>
          <w:spacing w:val="-2"/>
          <w:sz w:val="23"/>
        </w:rPr>
        <w:t>or</w:t>
      </w:r>
      <w:r>
        <w:rPr>
          <w:spacing w:val="-10"/>
          <w:sz w:val="23"/>
        </w:rPr>
        <w:t> </w:t>
      </w:r>
      <w:r>
        <w:rPr>
          <w:spacing w:val="-2"/>
          <w:sz w:val="23"/>
        </w:rPr>
        <w:t>groups</w:t>
      </w:r>
      <w:r>
        <w:rPr>
          <w:spacing w:val="-10"/>
          <w:sz w:val="23"/>
        </w:rPr>
        <w:t> </w:t>
      </w:r>
      <w:r>
        <w:rPr>
          <w:spacing w:val="-2"/>
          <w:sz w:val="23"/>
        </w:rPr>
        <w:t>of</w:t>
      </w:r>
      <w:r>
        <w:rPr>
          <w:spacing w:val="-9"/>
          <w:sz w:val="23"/>
        </w:rPr>
        <w:t> </w:t>
      </w:r>
      <w:r>
        <w:rPr>
          <w:spacing w:val="-2"/>
          <w:sz w:val="23"/>
        </w:rPr>
        <w:t>such</w:t>
      </w:r>
      <w:r>
        <w:rPr>
          <w:spacing w:val="-12"/>
          <w:sz w:val="23"/>
        </w:rPr>
        <w:t> </w:t>
      </w:r>
      <w:r>
        <w:rPr>
          <w:spacing w:val="-2"/>
          <w:sz w:val="23"/>
        </w:rPr>
        <w:t>formations,</w:t>
      </w:r>
      <w:r>
        <w:rPr>
          <w:spacing w:val="-9"/>
          <w:sz w:val="23"/>
        </w:rPr>
        <w:t> </w:t>
      </w:r>
      <w:r>
        <w:rPr>
          <w:spacing w:val="-2"/>
          <w:sz w:val="23"/>
        </w:rPr>
        <w:t>which</w:t>
      </w:r>
      <w:r>
        <w:rPr>
          <w:spacing w:val="-8"/>
          <w:sz w:val="23"/>
        </w:rPr>
        <w:t> </w:t>
      </w:r>
      <w:r>
        <w:rPr>
          <w:spacing w:val="-2"/>
          <w:sz w:val="23"/>
        </w:rPr>
        <w:t>are</w:t>
      </w:r>
      <w:r>
        <w:rPr>
          <w:spacing w:val="-7"/>
          <w:sz w:val="23"/>
        </w:rPr>
        <w:t> </w:t>
      </w:r>
      <w:r>
        <w:rPr>
          <w:spacing w:val="-2"/>
          <w:sz w:val="23"/>
        </w:rPr>
        <w:t>of</w:t>
      </w:r>
      <w:r>
        <w:rPr>
          <w:spacing w:val="-9"/>
          <w:sz w:val="23"/>
        </w:rPr>
        <w:t> </w:t>
      </w:r>
      <w:r>
        <w:rPr>
          <w:spacing w:val="-2"/>
          <w:sz w:val="23"/>
        </w:rPr>
        <w:t>outstanding </w:t>
      </w:r>
      <w:r>
        <w:rPr>
          <w:sz w:val="23"/>
        </w:rPr>
        <w:t>(special) value from the aesthetic or scientific point of view.</w:t>
      </w:r>
    </w:p>
    <w:p>
      <w:pPr>
        <w:pStyle w:val="ListParagraph"/>
        <w:spacing w:after="0" w:line="360" w:lineRule="auto"/>
        <w:jc w:val="both"/>
        <w:rPr>
          <w:sz w:val="23"/>
        </w:rPr>
        <w:sectPr>
          <w:headerReference w:type="default" r:id="rId72"/>
          <w:footerReference w:type="default" r:id="rId73"/>
          <w:pgSz w:w="11910" w:h="16840"/>
          <w:pgMar w:header="1058" w:footer="1117" w:top="1500" w:bottom="1300" w:left="360" w:right="360"/>
        </w:sectPr>
      </w:pPr>
    </w:p>
    <w:p>
      <w:pPr>
        <w:pStyle w:val="Heading6"/>
        <w:numPr>
          <w:ilvl w:val="0"/>
          <w:numId w:val="320"/>
        </w:numPr>
        <w:tabs>
          <w:tab w:pos="1813" w:val="left" w:leader="none"/>
        </w:tabs>
        <w:spacing w:line="240" w:lineRule="auto" w:before="252" w:after="0"/>
        <w:ind w:left="1813" w:right="0" w:hanging="320"/>
        <w:jc w:val="left"/>
      </w:pPr>
      <w:r>
        <w:rPr>
          <w:spacing w:val="-2"/>
        </w:rPr>
        <w:t>Applicability:</w:t>
      </w:r>
    </w:p>
    <w:p>
      <w:pPr>
        <w:spacing w:line="360" w:lineRule="auto" w:before="244"/>
        <w:ind w:left="1584" w:right="769" w:firstLine="0"/>
        <w:jc w:val="both"/>
        <w:rPr>
          <w:sz w:val="23"/>
        </w:rPr>
      </w:pPr>
      <w:r>
        <w:rPr>
          <w:sz w:val="23"/>
        </w:rPr>
        <w:t>This</w:t>
      </w:r>
      <w:r>
        <w:rPr>
          <w:spacing w:val="-2"/>
          <w:sz w:val="23"/>
        </w:rPr>
        <w:t> </w:t>
      </w:r>
      <w:r>
        <w:rPr>
          <w:sz w:val="23"/>
        </w:rPr>
        <w:t>Regulation</w:t>
      </w:r>
      <w:r>
        <w:rPr>
          <w:spacing w:val="-7"/>
          <w:sz w:val="23"/>
        </w:rPr>
        <w:t> </w:t>
      </w:r>
      <w:r>
        <w:rPr>
          <w:sz w:val="23"/>
        </w:rPr>
        <w:t>shall</w:t>
      </w:r>
      <w:r>
        <w:rPr>
          <w:spacing w:val="-6"/>
          <w:sz w:val="23"/>
        </w:rPr>
        <w:t> </w:t>
      </w:r>
      <w:r>
        <w:rPr>
          <w:sz w:val="23"/>
        </w:rPr>
        <w:t>apply</w:t>
      </w:r>
      <w:r>
        <w:rPr>
          <w:spacing w:val="-5"/>
          <w:sz w:val="23"/>
        </w:rPr>
        <w:t> </w:t>
      </w:r>
      <w:r>
        <w:rPr>
          <w:sz w:val="23"/>
        </w:rPr>
        <w:t>to</w:t>
      </w:r>
      <w:r>
        <w:rPr>
          <w:spacing w:val="-1"/>
          <w:sz w:val="23"/>
        </w:rPr>
        <w:t> </w:t>
      </w:r>
      <w:r>
        <w:rPr>
          <w:sz w:val="23"/>
        </w:rPr>
        <w:t>the</w:t>
      </w:r>
      <w:r>
        <w:rPr>
          <w:spacing w:val="-1"/>
          <w:sz w:val="23"/>
        </w:rPr>
        <w:t> </w:t>
      </w:r>
      <w:r>
        <w:rPr>
          <w:sz w:val="23"/>
        </w:rPr>
        <w:t>heritage</w:t>
      </w:r>
      <w:r>
        <w:rPr>
          <w:spacing w:val="-3"/>
          <w:sz w:val="23"/>
        </w:rPr>
        <w:t> </w:t>
      </w:r>
      <w:r>
        <w:rPr>
          <w:sz w:val="23"/>
        </w:rPr>
        <w:t>listas</w:t>
      </w:r>
      <w:r>
        <w:rPr>
          <w:spacing w:val="-3"/>
          <w:sz w:val="23"/>
        </w:rPr>
        <w:t> </w:t>
      </w:r>
      <w:r>
        <w:rPr>
          <w:sz w:val="23"/>
        </w:rPr>
        <w:t>shall</w:t>
      </w:r>
      <w:r>
        <w:rPr>
          <w:spacing w:val="-5"/>
          <w:sz w:val="23"/>
        </w:rPr>
        <w:t> </w:t>
      </w:r>
      <w:r>
        <w:rPr>
          <w:sz w:val="23"/>
        </w:rPr>
        <w:t>be</w:t>
      </w:r>
      <w:r>
        <w:rPr>
          <w:spacing w:val="-3"/>
          <w:sz w:val="23"/>
        </w:rPr>
        <w:t> </w:t>
      </w:r>
      <w:r>
        <w:rPr>
          <w:sz w:val="23"/>
        </w:rPr>
        <w:t>notified</w:t>
      </w:r>
      <w:r>
        <w:rPr>
          <w:spacing w:val="-5"/>
          <w:sz w:val="23"/>
        </w:rPr>
        <w:t> </w:t>
      </w:r>
      <w:r>
        <w:rPr>
          <w:sz w:val="23"/>
        </w:rPr>
        <w:t>by</w:t>
      </w:r>
      <w:r>
        <w:rPr>
          <w:spacing w:val="-5"/>
          <w:sz w:val="23"/>
        </w:rPr>
        <w:t> </w:t>
      </w:r>
      <w:r>
        <w:rPr>
          <w:sz w:val="23"/>
        </w:rPr>
        <w:t>GoM</w:t>
      </w:r>
      <w:r>
        <w:rPr>
          <w:spacing w:val="-3"/>
          <w:sz w:val="23"/>
        </w:rPr>
        <w:t> </w:t>
      </w:r>
      <w:r>
        <w:rPr>
          <w:sz w:val="23"/>
        </w:rPr>
        <w:t>from time to time (hereinafter referred to as Listed Heritage Buildings/Structures/Precincts/Sites) and to any draft Heritage List (s) as published by the</w:t>
      </w:r>
      <w:r>
        <w:rPr>
          <w:spacing w:val="40"/>
          <w:sz w:val="23"/>
        </w:rPr>
        <w:t> </w:t>
      </w:r>
      <w:r>
        <w:rPr>
          <w:sz w:val="23"/>
        </w:rPr>
        <w:t>GoM. /Municipal Commissioner.</w:t>
      </w:r>
    </w:p>
    <w:p>
      <w:pPr>
        <w:pStyle w:val="BodyText"/>
        <w:spacing w:before="133"/>
        <w:jc w:val="left"/>
        <w:rPr>
          <w:sz w:val="23"/>
        </w:rPr>
      </w:pPr>
    </w:p>
    <w:p>
      <w:pPr>
        <w:pStyle w:val="Heading6"/>
        <w:numPr>
          <w:ilvl w:val="0"/>
          <w:numId w:val="320"/>
        </w:numPr>
        <w:tabs>
          <w:tab w:pos="1813" w:val="left" w:leader="none"/>
        </w:tabs>
        <w:spacing w:line="240" w:lineRule="auto" w:before="1" w:after="0"/>
        <w:ind w:left="1813" w:right="0" w:hanging="320"/>
        <w:jc w:val="left"/>
        <w:rPr>
          <w:b w:val="0"/>
        </w:rPr>
      </w:pPr>
      <w:r>
        <w:rPr/>
        <w:t>Restriction</w:t>
      </w:r>
      <w:r>
        <w:rPr>
          <w:spacing w:val="-4"/>
        </w:rPr>
        <w:t> </w:t>
      </w:r>
      <w:r>
        <w:rPr/>
        <w:t>on</w:t>
      </w:r>
      <w:r>
        <w:rPr>
          <w:spacing w:val="-4"/>
        </w:rPr>
        <w:t> </w:t>
      </w:r>
      <w:r>
        <w:rPr/>
        <w:t>Development/Redevelopment/Repairs,</w:t>
      </w:r>
      <w:r>
        <w:rPr>
          <w:spacing w:val="-3"/>
        </w:rPr>
        <w:t> </w:t>
      </w:r>
      <w:r>
        <w:rPr>
          <w:spacing w:val="-2"/>
        </w:rPr>
        <w:t>etc</w:t>
      </w:r>
      <w:r>
        <w:rPr>
          <w:b w:val="0"/>
          <w:spacing w:val="-2"/>
        </w:rPr>
        <w:t>.:</w:t>
      </w:r>
    </w:p>
    <w:p>
      <w:pPr>
        <w:pStyle w:val="ListParagraph"/>
        <w:numPr>
          <w:ilvl w:val="1"/>
          <w:numId w:val="320"/>
        </w:numPr>
        <w:tabs>
          <w:tab w:pos="2212" w:val="left" w:leader="none"/>
        </w:tabs>
        <w:spacing w:line="360" w:lineRule="auto" w:before="241" w:after="0"/>
        <w:ind w:left="1625" w:right="770" w:firstLine="0"/>
        <w:jc w:val="both"/>
        <w:rPr>
          <w:sz w:val="24"/>
        </w:rPr>
      </w:pPr>
      <w:r>
        <w:rPr>
          <w:sz w:val="23"/>
        </w:rPr>
        <w:t>Development, additions / alterations, repairs, restoration, in respect of graded heritage buildings or buildings in heritage precincts or heritage sites shall be in accordance with the provisions mentioned at 9 (C &amp; D) of this </w:t>
      </w:r>
      <w:r>
        <w:rPr>
          <w:spacing w:val="-2"/>
          <w:sz w:val="23"/>
        </w:rPr>
        <w:t>regulation.</w:t>
      </w:r>
    </w:p>
    <w:p>
      <w:pPr>
        <w:pStyle w:val="ListParagraph"/>
        <w:numPr>
          <w:ilvl w:val="1"/>
          <w:numId w:val="320"/>
        </w:numPr>
        <w:tabs>
          <w:tab w:pos="1899" w:val="left" w:leader="none"/>
        </w:tabs>
        <w:spacing w:line="360" w:lineRule="auto" w:before="0" w:after="0"/>
        <w:ind w:left="1625" w:right="769" w:firstLine="0"/>
        <w:jc w:val="both"/>
        <w:rPr>
          <w:sz w:val="21"/>
        </w:rPr>
      </w:pPr>
      <w:r>
        <w:rPr>
          <w:sz w:val="23"/>
        </w:rPr>
        <w:t>In</w:t>
      </w:r>
      <w:r>
        <w:rPr>
          <w:spacing w:val="-8"/>
          <w:sz w:val="23"/>
        </w:rPr>
        <w:t> </w:t>
      </w:r>
      <w:r>
        <w:rPr>
          <w:sz w:val="23"/>
        </w:rPr>
        <w:t>exceptional</w:t>
      </w:r>
      <w:r>
        <w:rPr>
          <w:spacing w:val="-4"/>
          <w:sz w:val="23"/>
        </w:rPr>
        <w:t> </w:t>
      </w:r>
      <w:r>
        <w:rPr>
          <w:sz w:val="23"/>
        </w:rPr>
        <w:t>cases,</w:t>
      </w:r>
      <w:r>
        <w:rPr>
          <w:spacing w:val="-4"/>
          <w:sz w:val="23"/>
        </w:rPr>
        <w:t> </w:t>
      </w:r>
      <w:r>
        <w:rPr>
          <w:sz w:val="23"/>
        </w:rPr>
        <w:t>for</w:t>
      </w:r>
      <w:r>
        <w:rPr>
          <w:spacing w:val="-6"/>
          <w:sz w:val="23"/>
        </w:rPr>
        <w:t> </w:t>
      </w:r>
      <w:r>
        <w:rPr>
          <w:sz w:val="23"/>
        </w:rPr>
        <w:t>reasons</w:t>
      </w:r>
      <w:r>
        <w:rPr>
          <w:spacing w:val="-5"/>
          <w:sz w:val="23"/>
        </w:rPr>
        <w:t> </w:t>
      </w:r>
      <w:r>
        <w:rPr>
          <w:sz w:val="23"/>
        </w:rPr>
        <w:t>to</w:t>
      </w:r>
      <w:r>
        <w:rPr>
          <w:spacing w:val="-4"/>
          <w:sz w:val="23"/>
        </w:rPr>
        <w:t> </w:t>
      </w:r>
      <w:r>
        <w:rPr>
          <w:sz w:val="23"/>
        </w:rPr>
        <w:t>be</w:t>
      </w:r>
      <w:r>
        <w:rPr>
          <w:spacing w:val="-3"/>
          <w:sz w:val="23"/>
        </w:rPr>
        <w:t> </w:t>
      </w:r>
      <w:r>
        <w:rPr>
          <w:sz w:val="23"/>
        </w:rPr>
        <w:t>recorded</w:t>
      </w:r>
      <w:r>
        <w:rPr>
          <w:spacing w:val="-4"/>
          <w:sz w:val="23"/>
        </w:rPr>
        <w:t> </w:t>
      </w:r>
      <w:r>
        <w:rPr>
          <w:sz w:val="23"/>
        </w:rPr>
        <w:t>in</w:t>
      </w:r>
      <w:r>
        <w:rPr>
          <w:spacing w:val="-5"/>
          <w:sz w:val="23"/>
        </w:rPr>
        <w:t> </w:t>
      </w:r>
      <w:r>
        <w:rPr>
          <w:sz w:val="23"/>
        </w:rPr>
        <w:t>writing,</w:t>
      </w:r>
      <w:r>
        <w:rPr>
          <w:spacing w:val="-4"/>
          <w:sz w:val="23"/>
        </w:rPr>
        <w:t> </w:t>
      </w:r>
      <w:r>
        <w:rPr>
          <w:sz w:val="23"/>
        </w:rPr>
        <w:t>using</w:t>
      </w:r>
      <w:r>
        <w:rPr>
          <w:spacing w:val="-5"/>
          <w:sz w:val="23"/>
        </w:rPr>
        <w:t> </w:t>
      </w:r>
      <w:r>
        <w:rPr>
          <w:sz w:val="23"/>
        </w:rPr>
        <w:t>his</w:t>
      </w:r>
      <w:r>
        <w:rPr>
          <w:spacing w:val="-4"/>
          <w:sz w:val="23"/>
        </w:rPr>
        <w:t> </w:t>
      </w:r>
      <w:r>
        <w:rPr>
          <w:sz w:val="23"/>
        </w:rPr>
        <w:t>powers of</w:t>
      </w:r>
      <w:r>
        <w:rPr>
          <w:spacing w:val="-8"/>
          <w:sz w:val="23"/>
        </w:rPr>
        <w:t> </w:t>
      </w:r>
      <w:r>
        <w:rPr>
          <w:sz w:val="23"/>
        </w:rPr>
        <w:t>special</w:t>
      </w:r>
      <w:r>
        <w:rPr>
          <w:spacing w:val="-10"/>
          <w:sz w:val="23"/>
        </w:rPr>
        <w:t> </w:t>
      </w:r>
      <w:r>
        <w:rPr>
          <w:sz w:val="23"/>
        </w:rPr>
        <w:t>permission,</w:t>
      </w:r>
      <w:r>
        <w:rPr>
          <w:spacing w:val="-11"/>
          <w:sz w:val="23"/>
        </w:rPr>
        <w:t> </w:t>
      </w:r>
      <w:r>
        <w:rPr>
          <w:sz w:val="23"/>
        </w:rPr>
        <w:t>the</w:t>
      </w:r>
      <w:r>
        <w:rPr>
          <w:spacing w:val="-4"/>
          <w:sz w:val="23"/>
        </w:rPr>
        <w:t> </w:t>
      </w:r>
      <w:r>
        <w:rPr>
          <w:sz w:val="23"/>
        </w:rPr>
        <w:t>Commissioner,</w:t>
      </w:r>
      <w:r>
        <w:rPr>
          <w:spacing w:val="-11"/>
          <w:sz w:val="23"/>
        </w:rPr>
        <w:t> </w:t>
      </w:r>
      <w:r>
        <w:rPr>
          <w:sz w:val="23"/>
        </w:rPr>
        <w:t>may</w:t>
      </w:r>
      <w:r>
        <w:rPr>
          <w:spacing w:val="-8"/>
          <w:sz w:val="23"/>
        </w:rPr>
        <w:t> </w:t>
      </w:r>
      <w:r>
        <w:rPr>
          <w:sz w:val="23"/>
        </w:rPr>
        <w:t>overrule</w:t>
      </w:r>
      <w:r>
        <w:rPr>
          <w:spacing w:val="-6"/>
          <w:sz w:val="23"/>
        </w:rPr>
        <w:t> </w:t>
      </w:r>
      <w:r>
        <w:rPr>
          <w:sz w:val="23"/>
        </w:rPr>
        <w:t>the</w:t>
      </w:r>
      <w:r>
        <w:rPr>
          <w:spacing w:val="-6"/>
          <w:sz w:val="23"/>
        </w:rPr>
        <w:t> </w:t>
      </w:r>
      <w:r>
        <w:rPr>
          <w:sz w:val="23"/>
        </w:rPr>
        <w:t>recommendation</w:t>
      </w:r>
      <w:r>
        <w:rPr>
          <w:spacing w:val="-9"/>
          <w:sz w:val="23"/>
        </w:rPr>
        <w:t> </w:t>
      </w:r>
      <w:r>
        <w:rPr>
          <w:sz w:val="23"/>
        </w:rPr>
        <w:t>of the</w:t>
      </w:r>
      <w:r>
        <w:rPr>
          <w:spacing w:val="-6"/>
          <w:sz w:val="23"/>
        </w:rPr>
        <w:t> </w:t>
      </w:r>
      <w:r>
        <w:rPr>
          <w:sz w:val="23"/>
        </w:rPr>
        <w:t>MHCC.</w:t>
      </w:r>
      <w:r>
        <w:rPr>
          <w:spacing w:val="-8"/>
          <w:sz w:val="23"/>
        </w:rPr>
        <w:t> </w:t>
      </w:r>
      <w:r>
        <w:rPr>
          <w:sz w:val="23"/>
        </w:rPr>
        <w:t>The</w:t>
      </w:r>
      <w:r>
        <w:rPr>
          <w:spacing w:val="-8"/>
          <w:sz w:val="23"/>
        </w:rPr>
        <w:t> </w:t>
      </w:r>
      <w:r>
        <w:rPr>
          <w:sz w:val="23"/>
        </w:rPr>
        <w:t>decision</w:t>
      </w:r>
      <w:r>
        <w:rPr>
          <w:spacing w:val="-9"/>
          <w:sz w:val="23"/>
        </w:rPr>
        <w:t> </w:t>
      </w:r>
      <w:r>
        <w:rPr>
          <w:sz w:val="23"/>
        </w:rPr>
        <w:t>of</w:t>
      </w:r>
      <w:r>
        <w:rPr>
          <w:spacing w:val="-8"/>
          <w:sz w:val="23"/>
        </w:rPr>
        <w:t> </w:t>
      </w:r>
      <w:r>
        <w:rPr>
          <w:sz w:val="23"/>
        </w:rPr>
        <w:t>the</w:t>
      </w:r>
      <w:r>
        <w:rPr>
          <w:spacing w:val="-5"/>
          <w:sz w:val="23"/>
        </w:rPr>
        <w:t> </w:t>
      </w:r>
      <w:r>
        <w:rPr>
          <w:sz w:val="23"/>
        </w:rPr>
        <w:t>Municipal</w:t>
      </w:r>
      <w:r>
        <w:rPr>
          <w:spacing w:val="-7"/>
          <w:sz w:val="23"/>
        </w:rPr>
        <w:t> </w:t>
      </w:r>
      <w:r>
        <w:rPr>
          <w:sz w:val="23"/>
        </w:rPr>
        <w:t>Commissioner</w:t>
      </w:r>
      <w:r>
        <w:rPr>
          <w:spacing w:val="-8"/>
          <w:sz w:val="23"/>
        </w:rPr>
        <w:t> </w:t>
      </w:r>
      <w:r>
        <w:rPr>
          <w:sz w:val="23"/>
        </w:rPr>
        <w:t>thereon</w:t>
      </w:r>
      <w:r>
        <w:rPr>
          <w:spacing w:val="-11"/>
          <w:sz w:val="23"/>
        </w:rPr>
        <w:t> </w:t>
      </w:r>
      <w:r>
        <w:rPr>
          <w:sz w:val="23"/>
        </w:rPr>
        <w:t>shall</w:t>
      </w:r>
      <w:r>
        <w:rPr>
          <w:spacing w:val="-10"/>
          <w:sz w:val="23"/>
        </w:rPr>
        <w:t> </w:t>
      </w:r>
      <w:r>
        <w:rPr>
          <w:sz w:val="23"/>
        </w:rPr>
        <w:t>be</w:t>
      </w:r>
      <w:r>
        <w:rPr>
          <w:spacing w:val="-8"/>
          <w:sz w:val="23"/>
        </w:rPr>
        <w:t> </w:t>
      </w:r>
      <w:r>
        <w:rPr>
          <w:sz w:val="23"/>
        </w:rPr>
        <w:t>final.</w:t>
      </w:r>
    </w:p>
    <w:p>
      <w:pPr>
        <w:pStyle w:val="ListParagraph"/>
        <w:numPr>
          <w:ilvl w:val="1"/>
          <w:numId w:val="320"/>
        </w:numPr>
        <w:tabs>
          <w:tab w:pos="1983" w:val="left" w:leader="none"/>
        </w:tabs>
        <w:spacing w:line="240" w:lineRule="auto" w:before="2" w:after="0"/>
        <w:ind w:left="1625" w:right="769" w:firstLine="0"/>
        <w:jc w:val="both"/>
        <w:rPr>
          <w:sz w:val="22"/>
        </w:rPr>
      </w:pPr>
      <w:r>
        <w:rPr>
          <w:sz w:val="24"/>
        </w:rPr>
        <w:t>In relation to religious buildings in the said List, the changes, repairs, additions, alterations and renovations required on religious grounds mentioned in sacred texts or as a part of holy practices laid down in religious codes shall be treated as permissible, subject to their being in accordance and consonance with the original structure and architecture designs, aesthetics and other special features thereof. Provided that before arriving</w:t>
      </w:r>
      <w:r>
        <w:rPr>
          <w:spacing w:val="-9"/>
          <w:sz w:val="24"/>
        </w:rPr>
        <w:t> </w:t>
      </w:r>
      <w:r>
        <w:rPr>
          <w:sz w:val="24"/>
        </w:rPr>
        <w:t>at</w:t>
      </w:r>
      <w:r>
        <w:rPr>
          <w:spacing w:val="-9"/>
          <w:sz w:val="24"/>
        </w:rPr>
        <w:t> </w:t>
      </w:r>
      <w:r>
        <w:rPr>
          <w:sz w:val="24"/>
        </w:rPr>
        <w:t>his</w:t>
      </w:r>
      <w:r>
        <w:rPr>
          <w:spacing w:val="-9"/>
          <w:sz w:val="24"/>
        </w:rPr>
        <w:t> </w:t>
      </w:r>
      <w:r>
        <w:rPr>
          <w:sz w:val="24"/>
        </w:rPr>
        <w:t>decision,</w:t>
      </w:r>
      <w:r>
        <w:rPr>
          <w:spacing w:val="-9"/>
          <w:sz w:val="24"/>
        </w:rPr>
        <w:t> </w:t>
      </w:r>
      <w:r>
        <w:rPr>
          <w:sz w:val="24"/>
        </w:rPr>
        <w:t>the</w:t>
      </w:r>
      <w:r>
        <w:rPr>
          <w:spacing w:val="-9"/>
          <w:sz w:val="24"/>
        </w:rPr>
        <w:t> </w:t>
      </w:r>
      <w:r>
        <w:rPr>
          <w:sz w:val="24"/>
        </w:rPr>
        <w:t>Commissioner</w:t>
      </w:r>
      <w:r>
        <w:rPr>
          <w:spacing w:val="-9"/>
          <w:sz w:val="24"/>
        </w:rPr>
        <w:t> </w:t>
      </w:r>
      <w:r>
        <w:rPr>
          <w:sz w:val="24"/>
        </w:rPr>
        <w:t>shall</w:t>
      </w:r>
      <w:r>
        <w:rPr>
          <w:spacing w:val="-9"/>
          <w:sz w:val="24"/>
        </w:rPr>
        <w:t> </w:t>
      </w:r>
      <w:r>
        <w:rPr>
          <w:sz w:val="24"/>
        </w:rPr>
        <w:t>take</w:t>
      </w:r>
      <w:r>
        <w:rPr>
          <w:spacing w:val="-9"/>
          <w:sz w:val="24"/>
        </w:rPr>
        <w:t> </w:t>
      </w:r>
      <w:r>
        <w:rPr>
          <w:sz w:val="24"/>
        </w:rPr>
        <w:t>into</w:t>
      </w:r>
      <w:r>
        <w:rPr>
          <w:spacing w:val="-9"/>
          <w:sz w:val="24"/>
        </w:rPr>
        <w:t> </w:t>
      </w:r>
      <w:r>
        <w:rPr>
          <w:sz w:val="24"/>
        </w:rPr>
        <w:t>consideration</w:t>
      </w:r>
      <w:r>
        <w:rPr>
          <w:spacing w:val="-9"/>
          <w:sz w:val="24"/>
        </w:rPr>
        <w:t> </w:t>
      </w:r>
      <w:r>
        <w:rPr>
          <w:sz w:val="24"/>
        </w:rPr>
        <w:t>the recommendations of the Mumbai Heritage Conservation Committee.</w:t>
      </w:r>
    </w:p>
    <w:p>
      <w:pPr>
        <w:pStyle w:val="Heading6"/>
        <w:numPr>
          <w:ilvl w:val="0"/>
          <w:numId w:val="320"/>
        </w:numPr>
        <w:tabs>
          <w:tab w:pos="1813" w:val="left" w:leader="none"/>
        </w:tabs>
        <w:spacing w:line="240" w:lineRule="auto" w:before="237" w:after="0"/>
        <w:ind w:left="1813" w:right="0" w:hanging="320"/>
        <w:jc w:val="left"/>
      </w:pPr>
      <w:r>
        <w:rPr/>
        <w:t>Preparation</w:t>
      </w:r>
      <w:r>
        <w:rPr>
          <w:spacing w:val="-6"/>
        </w:rPr>
        <w:t> </w:t>
      </w:r>
      <w:r>
        <w:rPr/>
        <w:t>of</w:t>
      </w:r>
      <w:r>
        <w:rPr>
          <w:spacing w:val="-3"/>
        </w:rPr>
        <w:t> </w:t>
      </w:r>
      <w:r>
        <w:rPr/>
        <w:t>list</w:t>
      </w:r>
      <w:r>
        <w:rPr>
          <w:spacing w:val="-3"/>
        </w:rPr>
        <w:t> </w:t>
      </w:r>
      <w:r>
        <w:rPr/>
        <w:t>of</w:t>
      </w:r>
      <w:r>
        <w:rPr>
          <w:spacing w:val="-3"/>
        </w:rPr>
        <w:t> </w:t>
      </w:r>
      <w:r>
        <w:rPr/>
        <w:t>Heritage</w:t>
      </w:r>
      <w:r>
        <w:rPr>
          <w:spacing w:val="-4"/>
        </w:rPr>
        <w:t> </w:t>
      </w:r>
      <w:r>
        <w:rPr/>
        <w:t>Buildings</w:t>
      </w:r>
      <w:r>
        <w:rPr>
          <w:spacing w:val="-3"/>
        </w:rPr>
        <w:t> </w:t>
      </w:r>
      <w:r>
        <w:rPr/>
        <w:t>and</w:t>
      </w:r>
      <w:r>
        <w:rPr>
          <w:spacing w:val="-3"/>
        </w:rPr>
        <w:t> </w:t>
      </w:r>
      <w:r>
        <w:rPr/>
        <w:t>Heritage</w:t>
      </w:r>
      <w:r>
        <w:rPr>
          <w:spacing w:val="-3"/>
        </w:rPr>
        <w:t> </w:t>
      </w:r>
      <w:r>
        <w:rPr>
          <w:spacing w:val="-2"/>
        </w:rPr>
        <w:t>Precincts:</w:t>
      </w:r>
    </w:p>
    <w:p>
      <w:pPr>
        <w:pStyle w:val="BodyText"/>
        <w:spacing w:before="242"/>
        <w:ind w:left="1493" w:right="769"/>
      </w:pPr>
      <w:r>
        <w:rPr/>
        <w:t>The</w:t>
      </w:r>
      <w:r>
        <w:rPr>
          <w:spacing w:val="-5"/>
        </w:rPr>
        <w:t> </w:t>
      </w:r>
      <w:r>
        <w:rPr/>
        <w:t>said</w:t>
      </w:r>
      <w:r>
        <w:rPr>
          <w:spacing w:val="-5"/>
        </w:rPr>
        <w:t> </w:t>
      </w:r>
      <w:r>
        <w:rPr/>
        <w:t>heritage</w:t>
      </w:r>
      <w:r>
        <w:rPr>
          <w:spacing w:val="-2"/>
        </w:rPr>
        <w:t> </w:t>
      </w:r>
      <w:r>
        <w:rPr/>
        <w:t>list</w:t>
      </w:r>
      <w:r>
        <w:rPr>
          <w:spacing w:val="40"/>
        </w:rPr>
        <w:t> </w:t>
      </w:r>
      <w:r>
        <w:rPr/>
        <w:t>to</w:t>
      </w:r>
      <w:r>
        <w:rPr>
          <w:spacing w:val="-5"/>
        </w:rPr>
        <w:t> </w:t>
      </w:r>
      <w:r>
        <w:rPr/>
        <w:t>which</w:t>
      </w:r>
      <w:r>
        <w:rPr>
          <w:spacing w:val="-5"/>
        </w:rPr>
        <w:t> </w:t>
      </w:r>
      <w:r>
        <w:rPr/>
        <w:t>this</w:t>
      </w:r>
      <w:r>
        <w:rPr>
          <w:spacing w:val="-5"/>
        </w:rPr>
        <w:t> </w:t>
      </w:r>
      <w:r>
        <w:rPr/>
        <w:t>Regulation</w:t>
      </w:r>
      <w:r>
        <w:rPr>
          <w:spacing w:val="-5"/>
        </w:rPr>
        <w:t> </w:t>
      </w:r>
      <w:r>
        <w:rPr/>
        <w:t>applies</w:t>
      </w:r>
      <w:r>
        <w:rPr>
          <w:spacing w:val="-4"/>
        </w:rPr>
        <w:t> </w:t>
      </w:r>
      <w:r>
        <w:rPr/>
        <w:t>shall</w:t>
      </w:r>
      <w:r>
        <w:rPr>
          <w:spacing w:val="-5"/>
        </w:rPr>
        <w:t> </w:t>
      </w:r>
      <w:r>
        <w:rPr/>
        <w:t>not</w:t>
      </w:r>
      <w:r>
        <w:rPr>
          <w:spacing w:val="-5"/>
        </w:rPr>
        <w:t> </w:t>
      </w:r>
      <w:r>
        <w:rPr/>
        <w:t>form</w:t>
      </w:r>
      <w:r>
        <w:rPr>
          <w:spacing w:val="-5"/>
        </w:rPr>
        <w:t> </w:t>
      </w:r>
      <w:r>
        <w:rPr/>
        <w:t>part</w:t>
      </w:r>
      <w:r>
        <w:rPr>
          <w:spacing w:val="-5"/>
        </w:rPr>
        <w:t> </w:t>
      </w:r>
      <w:r>
        <w:rPr/>
        <w:t>of this</w:t>
      </w:r>
      <w:r>
        <w:rPr>
          <w:spacing w:val="-5"/>
        </w:rPr>
        <w:t> </w:t>
      </w:r>
      <w:r>
        <w:rPr/>
        <w:t>Regulation</w:t>
      </w:r>
      <w:r>
        <w:rPr>
          <w:spacing w:val="-5"/>
        </w:rPr>
        <w:t> </w:t>
      </w:r>
      <w:r>
        <w:rPr/>
        <w:t>for</w:t>
      </w:r>
      <w:r>
        <w:rPr>
          <w:spacing w:val="-5"/>
        </w:rPr>
        <w:t> </w:t>
      </w:r>
      <w:r>
        <w:rPr/>
        <w:t>the</w:t>
      </w:r>
      <w:r>
        <w:rPr>
          <w:spacing w:val="-5"/>
        </w:rPr>
        <w:t> </w:t>
      </w:r>
      <w:r>
        <w:rPr/>
        <w:t>purpose</w:t>
      </w:r>
      <w:r>
        <w:rPr>
          <w:spacing w:val="-5"/>
        </w:rPr>
        <w:t> </w:t>
      </w:r>
      <w:r>
        <w:rPr/>
        <w:t>of</w:t>
      </w:r>
      <w:r>
        <w:rPr>
          <w:spacing w:val="-5"/>
        </w:rPr>
        <w:t> </w:t>
      </w:r>
      <w:r>
        <w:rPr/>
        <w:t>Sections</w:t>
      </w:r>
      <w:r>
        <w:rPr>
          <w:spacing w:val="-5"/>
        </w:rPr>
        <w:t> </w:t>
      </w:r>
      <w:r>
        <w:rPr/>
        <w:t>37</w:t>
      </w:r>
      <w:r>
        <w:rPr>
          <w:spacing w:val="-5"/>
        </w:rPr>
        <w:t> </w:t>
      </w:r>
      <w:r>
        <w:rPr/>
        <w:t>of</w:t>
      </w:r>
      <w:r>
        <w:rPr>
          <w:spacing w:val="-5"/>
        </w:rPr>
        <w:t> </w:t>
      </w:r>
      <w:r>
        <w:rPr/>
        <w:t>the</w:t>
      </w:r>
      <w:r>
        <w:rPr>
          <w:spacing w:val="-5"/>
        </w:rPr>
        <w:t> </w:t>
      </w:r>
      <w:r>
        <w:rPr/>
        <w:t>MR&amp;TP</w:t>
      </w:r>
      <w:r>
        <w:rPr>
          <w:spacing w:val="-2"/>
        </w:rPr>
        <w:t> </w:t>
      </w:r>
      <w:r>
        <w:rPr/>
        <w:t>Act,</w:t>
      </w:r>
      <w:r>
        <w:rPr>
          <w:spacing w:val="-5"/>
        </w:rPr>
        <w:t> </w:t>
      </w:r>
      <w:r>
        <w:rPr/>
        <w:t>1966.</w:t>
      </w:r>
      <w:r>
        <w:rPr>
          <w:spacing w:val="-2"/>
        </w:rPr>
        <w:t> </w:t>
      </w:r>
      <w:r>
        <w:rPr/>
        <w:t>This List</w:t>
      </w:r>
      <w:r>
        <w:rPr>
          <w:spacing w:val="-1"/>
        </w:rPr>
        <w:t> </w:t>
      </w:r>
      <w:r>
        <w:rPr/>
        <w:t>may</w:t>
      </w:r>
      <w:r>
        <w:rPr>
          <w:spacing w:val="-1"/>
        </w:rPr>
        <w:t> </w:t>
      </w:r>
      <w:r>
        <w:rPr/>
        <w:t>be</w:t>
      </w:r>
      <w:r>
        <w:rPr>
          <w:spacing w:val="-1"/>
        </w:rPr>
        <w:t> </w:t>
      </w:r>
      <w:r>
        <w:rPr/>
        <w:t>supplemented,</w:t>
      </w:r>
      <w:r>
        <w:rPr>
          <w:spacing w:val="-1"/>
        </w:rPr>
        <w:t> </w:t>
      </w:r>
      <w:r>
        <w:rPr/>
        <w:t>altered,</w:t>
      </w:r>
      <w:r>
        <w:rPr>
          <w:spacing w:val="-1"/>
        </w:rPr>
        <w:t> </w:t>
      </w:r>
      <w:r>
        <w:rPr/>
        <w:t>deleted</w:t>
      </w:r>
      <w:r>
        <w:rPr>
          <w:spacing w:val="-1"/>
        </w:rPr>
        <w:t> </w:t>
      </w:r>
      <w:r>
        <w:rPr/>
        <w:t>or</w:t>
      </w:r>
      <w:r>
        <w:rPr>
          <w:spacing w:val="-1"/>
        </w:rPr>
        <w:t> </w:t>
      </w:r>
      <w:r>
        <w:rPr/>
        <w:t>modified</w:t>
      </w:r>
      <w:r>
        <w:rPr>
          <w:spacing w:val="-1"/>
        </w:rPr>
        <w:t> </w:t>
      </w:r>
      <w:r>
        <w:rPr/>
        <w:t>from</w:t>
      </w:r>
      <w:r>
        <w:rPr>
          <w:spacing w:val="-1"/>
        </w:rPr>
        <w:t> </w:t>
      </w:r>
      <w:r>
        <w:rPr/>
        <w:t>time</w:t>
      </w:r>
      <w:r>
        <w:rPr>
          <w:spacing w:val="-1"/>
        </w:rPr>
        <w:t> </w:t>
      </w:r>
      <w:r>
        <w:rPr/>
        <w:t>to</w:t>
      </w:r>
      <w:r>
        <w:rPr>
          <w:spacing w:val="-1"/>
        </w:rPr>
        <w:t> </w:t>
      </w:r>
      <w:r>
        <w:rPr/>
        <w:t>time</w:t>
      </w:r>
      <w:r>
        <w:rPr>
          <w:spacing w:val="-1"/>
        </w:rPr>
        <w:t> </w:t>
      </w:r>
      <w:r>
        <w:rPr/>
        <w:t>by Government on receipt of proposals from the Commissioner or by </w:t>
      </w:r>
      <w:r>
        <w:rPr/>
        <w:t>the Government suo-motu, provided that objections and suggestions from the public be invited and duly considered by the Commissioner and/or by GoM before notification.</w:t>
      </w:r>
    </w:p>
    <w:p>
      <w:pPr>
        <w:spacing w:before="241"/>
        <w:ind w:left="1481" w:right="776" w:firstLine="0"/>
        <w:jc w:val="both"/>
        <w:rPr>
          <w:sz w:val="23"/>
        </w:rPr>
      </w:pPr>
      <w:r>
        <w:rPr>
          <w:sz w:val="23"/>
        </w:rPr>
        <w:t>Provided that any draft list which is published and pending for the approval of GoM shall, in the interim period, be deemed to be part of the heritage list and provisions of this regulation shall be applicable to the said draft list.</w:t>
      </w:r>
    </w:p>
    <w:p>
      <w:pPr>
        <w:pStyle w:val="BodyText"/>
        <w:spacing w:before="269"/>
        <w:jc w:val="left"/>
        <w:rPr>
          <w:sz w:val="23"/>
        </w:rPr>
      </w:pPr>
    </w:p>
    <w:p>
      <w:pPr>
        <w:pStyle w:val="Heading5"/>
        <w:numPr>
          <w:ilvl w:val="0"/>
          <w:numId w:val="320"/>
        </w:numPr>
        <w:tabs>
          <w:tab w:pos="1928" w:val="left" w:leader="none"/>
        </w:tabs>
        <w:spacing w:line="240" w:lineRule="auto" w:before="0" w:after="0"/>
        <w:ind w:left="772" w:right="774" w:firstLine="720"/>
        <w:jc w:val="left"/>
      </w:pPr>
      <w:r>
        <w:rPr/>
        <w:t>Grant</w:t>
      </w:r>
      <w:r>
        <w:rPr>
          <w:spacing w:val="80"/>
        </w:rPr>
        <w:t> </w:t>
      </w:r>
      <w:r>
        <w:rPr/>
        <w:t>of</w:t>
      </w:r>
      <w:r>
        <w:rPr>
          <w:spacing w:val="80"/>
        </w:rPr>
        <w:t> </w:t>
      </w:r>
      <w:r>
        <w:rPr/>
        <w:t>Transferable</w:t>
      </w:r>
      <w:r>
        <w:rPr>
          <w:spacing w:val="80"/>
        </w:rPr>
        <w:t> </w:t>
      </w:r>
      <w:r>
        <w:rPr/>
        <w:t>Development</w:t>
      </w:r>
      <w:r>
        <w:rPr>
          <w:spacing w:val="80"/>
        </w:rPr>
        <w:t> </w:t>
      </w:r>
      <w:r>
        <w:rPr/>
        <w:t>Rights</w:t>
      </w:r>
      <w:r>
        <w:rPr>
          <w:spacing w:val="80"/>
        </w:rPr>
        <w:t> </w:t>
      </w:r>
      <w:r>
        <w:rPr/>
        <w:t>in</w:t>
      </w:r>
      <w:r>
        <w:rPr>
          <w:spacing w:val="80"/>
        </w:rPr>
        <w:t> </w:t>
      </w:r>
      <w:r>
        <w:rPr/>
        <w:t>case</w:t>
      </w:r>
      <w:r>
        <w:rPr>
          <w:spacing w:val="80"/>
        </w:rPr>
        <w:t> </w:t>
      </w:r>
      <w:r>
        <w:rPr/>
        <w:t>of</w:t>
      </w:r>
      <w:r>
        <w:rPr>
          <w:spacing w:val="80"/>
        </w:rPr>
        <w:t> </w:t>
      </w:r>
      <w:r>
        <w:rPr/>
        <w:t>loss</w:t>
      </w:r>
      <w:r>
        <w:rPr>
          <w:spacing w:val="80"/>
        </w:rPr>
        <w:t> </w:t>
      </w:r>
      <w:r>
        <w:rPr/>
        <w:t>of</w:t>
      </w:r>
      <w:r>
        <w:rPr>
          <w:spacing w:val="80"/>
        </w:rPr>
        <w:t> </w:t>
      </w:r>
      <w:r>
        <w:rPr/>
        <w:t>Development Rights</w:t>
      </w:r>
    </w:p>
    <w:p>
      <w:pPr>
        <w:pStyle w:val="Heading5"/>
        <w:spacing w:after="0" w:line="240" w:lineRule="auto"/>
        <w:jc w:val="left"/>
        <w:sectPr>
          <w:pgSz w:w="11910" w:h="16840"/>
          <w:pgMar w:header="1058" w:footer="1117" w:top="1500" w:bottom="1300" w:left="360" w:right="360"/>
        </w:sectPr>
      </w:pPr>
    </w:p>
    <w:p>
      <w:pPr>
        <w:pStyle w:val="BodyText"/>
        <w:spacing w:line="360" w:lineRule="auto" w:before="255"/>
        <w:ind w:left="1481" w:right="770" w:firstLine="144"/>
      </w:pPr>
      <w:r>
        <w:rPr/>
        <w:t>Owners of heritage buildings, structures, sites will, on application for preservation /conservation/restoration of the heritage buildings/structures/sites orif any application for development of Heritage Building/s is refused under this Regulation and conditions are imposed while permitting such development which deprive the owner/lessee of any unconsumed</w:t>
      </w:r>
      <w:r>
        <w:rPr>
          <w:spacing w:val="-20"/>
        </w:rPr>
        <w:t> </w:t>
      </w:r>
      <w:r>
        <w:rPr/>
        <w:t>DRswill</w:t>
      </w:r>
      <w:r>
        <w:rPr>
          <w:spacing w:val="-19"/>
        </w:rPr>
        <w:t> </w:t>
      </w:r>
      <w:r>
        <w:rPr/>
        <w:t>be</w:t>
      </w:r>
      <w:r>
        <w:rPr>
          <w:spacing w:val="-19"/>
        </w:rPr>
        <w:t> </w:t>
      </w:r>
      <w:r>
        <w:rPr/>
        <w:t>entitled</w:t>
      </w:r>
      <w:r>
        <w:rPr>
          <w:spacing w:val="-19"/>
        </w:rPr>
        <w:t> </w:t>
      </w:r>
      <w:r>
        <w:rPr/>
        <w:t>for</w:t>
      </w:r>
      <w:r>
        <w:rPr>
          <w:spacing w:val="-19"/>
        </w:rPr>
        <w:t> </w:t>
      </w:r>
      <w:r>
        <w:rPr/>
        <w:t>grant</w:t>
      </w:r>
      <w:r>
        <w:rPr>
          <w:spacing w:val="-20"/>
        </w:rPr>
        <w:t> </w:t>
      </w:r>
      <w:r>
        <w:rPr/>
        <w:t>of</w:t>
      </w:r>
      <w:r>
        <w:rPr>
          <w:spacing w:val="-19"/>
        </w:rPr>
        <w:t> </w:t>
      </w:r>
      <w:r>
        <w:rPr/>
        <w:t>DRC</w:t>
      </w:r>
      <w:r>
        <w:rPr>
          <w:spacing w:val="-19"/>
        </w:rPr>
        <w:t> </w:t>
      </w:r>
      <w:r>
        <w:rPr/>
        <w:t>in</w:t>
      </w:r>
      <w:r>
        <w:rPr>
          <w:spacing w:val="-19"/>
        </w:rPr>
        <w:t> </w:t>
      </w:r>
      <w:r>
        <w:rPr/>
        <w:t>terms</w:t>
      </w:r>
      <w:r>
        <w:rPr>
          <w:spacing w:val="-19"/>
        </w:rPr>
        <w:t> </w:t>
      </w:r>
      <w:r>
        <w:rPr/>
        <w:t>of</w:t>
      </w:r>
      <w:r>
        <w:rPr>
          <w:spacing w:val="-20"/>
        </w:rPr>
        <w:t> </w:t>
      </w:r>
      <w:r>
        <w:rPr/>
        <w:t>TDR</w:t>
      </w:r>
      <w:r>
        <w:rPr>
          <w:spacing w:val="-19"/>
        </w:rPr>
        <w:t> </w:t>
      </w:r>
      <w:r>
        <w:rPr/>
        <w:t>as</w:t>
      </w:r>
      <w:r>
        <w:rPr>
          <w:spacing w:val="-19"/>
        </w:rPr>
        <w:t> </w:t>
      </w:r>
      <w:r>
        <w:rPr/>
        <w:t>provided in these Regulations.The extent of TDR permissible will be the difference between Zonal (basic) FSI plus area of plot and the consumed BUA of the Heritage structure. The grant of TDR shall be subject to a contract between the owner/lessee and MCGM binding the owner/lessee to conserve the heritage building in the prescribed manner as recommended by MHCC and approved by Municipal Commissioner. In such cases the potential of the plot shall be perpetually reduced to the extent of existing BUA of the Structure.The TDR may be given in two stages</w:t>
      </w:r>
    </w:p>
    <w:p>
      <w:pPr>
        <w:pStyle w:val="ListParagraph"/>
        <w:numPr>
          <w:ilvl w:val="0"/>
          <w:numId w:val="321"/>
        </w:numPr>
        <w:tabs>
          <w:tab w:pos="1481" w:val="left" w:leader="none"/>
          <w:tab w:pos="2211" w:val="left" w:leader="none"/>
        </w:tabs>
        <w:spacing w:line="360" w:lineRule="auto" w:before="3" w:after="0"/>
        <w:ind w:left="1481" w:right="768" w:hanging="5"/>
        <w:jc w:val="both"/>
        <w:rPr>
          <w:sz w:val="24"/>
        </w:rPr>
      </w:pPr>
      <w:r>
        <w:rPr>
          <w:sz w:val="24"/>
        </w:rPr>
        <w:t>An appropriate % of the available DRC after approval of plans for the conservation of the heritage structure will be granted by the Municipal Commissioner on the recommendations of the MHCC.</w:t>
      </w:r>
    </w:p>
    <w:p>
      <w:pPr>
        <w:pStyle w:val="ListParagraph"/>
        <w:numPr>
          <w:ilvl w:val="0"/>
          <w:numId w:val="321"/>
        </w:numPr>
        <w:tabs>
          <w:tab w:pos="1481" w:val="left" w:leader="none"/>
          <w:tab w:pos="2211" w:val="left" w:leader="none"/>
        </w:tabs>
        <w:spacing w:line="360" w:lineRule="auto" w:before="0" w:after="0"/>
        <w:ind w:left="1481" w:right="769" w:hanging="77"/>
        <w:jc w:val="both"/>
        <w:rPr>
          <w:sz w:val="24"/>
        </w:rPr>
      </w:pPr>
      <w:r>
        <w:rPr>
          <w:sz w:val="24"/>
        </w:rPr>
        <w:t>After</w:t>
      </w:r>
      <w:r>
        <w:rPr>
          <w:spacing w:val="-4"/>
          <w:sz w:val="24"/>
        </w:rPr>
        <w:t> </w:t>
      </w:r>
      <w:r>
        <w:rPr>
          <w:sz w:val="24"/>
        </w:rPr>
        <w:t>getting</w:t>
      </w:r>
      <w:r>
        <w:rPr>
          <w:spacing w:val="-4"/>
          <w:sz w:val="24"/>
        </w:rPr>
        <w:t> </w:t>
      </w:r>
      <w:r>
        <w:rPr>
          <w:sz w:val="24"/>
        </w:rPr>
        <w:t>completion</w:t>
      </w:r>
      <w:r>
        <w:rPr>
          <w:spacing w:val="-4"/>
          <w:sz w:val="24"/>
        </w:rPr>
        <w:t> </w:t>
      </w:r>
      <w:r>
        <w:rPr>
          <w:sz w:val="24"/>
        </w:rPr>
        <w:t>certificate</w:t>
      </w:r>
      <w:r>
        <w:rPr>
          <w:spacing w:val="-4"/>
          <w:sz w:val="24"/>
        </w:rPr>
        <w:t> </w:t>
      </w:r>
      <w:r>
        <w:rPr>
          <w:sz w:val="24"/>
        </w:rPr>
        <w:t>for</w:t>
      </w:r>
      <w:r>
        <w:rPr>
          <w:spacing w:val="-4"/>
          <w:sz w:val="24"/>
        </w:rPr>
        <w:t> </w:t>
      </w:r>
      <w:r>
        <w:rPr>
          <w:sz w:val="24"/>
        </w:rPr>
        <w:t>the</w:t>
      </w:r>
      <w:r>
        <w:rPr>
          <w:spacing w:val="-4"/>
          <w:sz w:val="24"/>
        </w:rPr>
        <w:t> </w:t>
      </w:r>
      <w:r>
        <w:rPr>
          <w:sz w:val="24"/>
        </w:rPr>
        <w:t>conservation</w:t>
      </w:r>
      <w:r>
        <w:rPr>
          <w:spacing w:val="-4"/>
          <w:sz w:val="24"/>
        </w:rPr>
        <w:t> </w:t>
      </w:r>
      <w:r>
        <w:rPr>
          <w:sz w:val="24"/>
        </w:rPr>
        <w:t>of</w:t>
      </w:r>
      <w:r>
        <w:rPr>
          <w:spacing w:val="-4"/>
          <w:sz w:val="24"/>
        </w:rPr>
        <w:t> </w:t>
      </w:r>
      <w:r>
        <w:rPr>
          <w:sz w:val="24"/>
        </w:rPr>
        <w:t>the</w:t>
      </w:r>
      <w:r>
        <w:rPr>
          <w:spacing w:val="-4"/>
          <w:sz w:val="24"/>
        </w:rPr>
        <w:t> </w:t>
      </w:r>
      <w:r>
        <w:rPr>
          <w:sz w:val="24"/>
        </w:rPr>
        <w:t>heritage structure from the appropriate authority and on recommendation of the MHCC, whatever is</w:t>
      </w:r>
      <w:r>
        <w:rPr>
          <w:spacing w:val="-4"/>
          <w:sz w:val="24"/>
        </w:rPr>
        <w:t> </w:t>
      </w:r>
      <w:r>
        <w:rPr>
          <w:sz w:val="24"/>
        </w:rPr>
        <w:t>considered appropriate of the residual</w:t>
      </w:r>
      <w:r>
        <w:rPr>
          <w:spacing w:val="-1"/>
          <w:sz w:val="24"/>
        </w:rPr>
        <w:t> </w:t>
      </w:r>
      <w:r>
        <w:rPr>
          <w:sz w:val="24"/>
        </w:rPr>
        <w:t>or</w:t>
      </w:r>
      <w:r>
        <w:rPr>
          <w:spacing w:val="-1"/>
          <w:sz w:val="24"/>
        </w:rPr>
        <w:t> </w:t>
      </w:r>
      <w:r>
        <w:rPr>
          <w:sz w:val="24"/>
        </w:rPr>
        <w:t>entire residual DRC will be granted by the Municipal Commissioner.</w:t>
      </w:r>
    </w:p>
    <w:p>
      <w:pPr>
        <w:pStyle w:val="BodyText"/>
        <w:spacing w:before="137"/>
        <w:jc w:val="left"/>
      </w:pPr>
    </w:p>
    <w:p>
      <w:pPr>
        <w:pStyle w:val="Heading6"/>
        <w:numPr>
          <w:ilvl w:val="0"/>
          <w:numId w:val="320"/>
        </w:numPr>
        <w:tabs>
          <w:tab w:pos="1801" w:val="left" w:leader="none"/>
        </w:tabs>
        <w:spacing w:line="240" w:lineRule="auto" w:before="0" w:after="0"/>
        <w:ind w:left="1801" w:right="0" w:hanging="320"/>
        <w:jc w:val="both"/>
      </w:pPr>
      <w:r>
        <w:rPr/>
        <w:t>Maintaining</w:t>
      </w:r>
      <w:r>
        <w:rPr>
          <w:spacing w:val="-12"/>
        </w:rPr>
        <w:t> </w:t>
      </w:r>
      <w:r>
        <w:rPr/>
        <w:t>Sky-</w:t>
      </w:r>
      <w:r>
        <w:rPr>
          <w:spacing w:val="-2"/>
        </w:rPr>
        <w:t>Line:</w:t>
      </w:r>
    </w:p>
    <w:p>
      <w:pPr>
        <w:pStyle w:val="BodyText"/>
        <w:spacing w:line="360" w:lineRule="auto" w:before="244"/>
        <w:ind w:left="1493" w:right="768"/>
      </w:pPr>
      <w:r>
        <w:rPr/>
        <w:t>Buildings included in listed/published draft Heritage Precincts shall, as far as</w:t>
      </w:r>
      <w:r>
        <w:rPr>
          <w:spacing w:val="-10"/>
        </w:rPr>
        <w:t> </w:t>
      </w:r>
      <w:r>
        <w:rPr/>
        <w:t>possible,</w:t>
      </w:r>
      <w:r>
        <w:rPr>
          <w:spacing w:val="-10"/>
        </w:rPr>
        <w:t> </w:t>
      </w:r>
      <w:r>
        <w:rPr/>
        <w:t>maintain</w:t>
      </w:r>
      <w:r>
        <w:rPr>
          <w:spacing w:val="-10"/>
        </w:rPr>
        <w:t> </w:t>
      </w:r>
      <w:r>
        <w:rPr/>
        <w:t>the</w:t>
      </w:r>
      <w:r>
        <w:rPr>
          <w:spacing w:val="-10"/>
        </w:rPr>
        <w:t> </w:t>
      </w:r>
      <w:r>
        <w:rPr/>
        <w:t>sky-line</w:t>
      </w:r>
      <w:r>
        <w:rPr>
          <w:spacing w:val="-10"/>
        </w:rPr>
        <w:t> </w:t>
      </w:r>
      <w:r>
        <w:rPr/>
        <w:t>in</w:t>
      </w:r>
      <w:r>
        <w:rPr>
          <w:spacing w:val="-10"/>
        </w:rPr>
        <w:t> </w:t>
      </w:r>
      <w:r>
        <w:rPr/>
        <w:t>the</w:t>
      </w:r>
      <w:r>
        <w:rPr>
          <w:spacing w:val="-7"/>
        </w:rPr>
        <w:t> </w:t>
      </w:r>
      <w:r>
        <w:rPr/>
        <w:t>precincts</w:t>
      </w:r>
      <w:r>
        <w:rPr>
          <w:spacing w:val="-10"/>
        </w:rPr>
        <w:t> </w:t>
      </w:r>
      <w:r>
        <w:rPr/>
        <w:t>as</w:t>
      </w:r>
      <w:r>
        <w:rPr>
          <w:spacing w:val="-10"/>
        </w:rPr>
        <w:t> </w:t>
      </w:r>
      <w:r>
        <w:rPr/>
        <w:t>may</w:t>
      </w:r>
      <w:r>
        <w:rPr>
          <w:spacing w:val="-10"/>
        </w:rPr>
        <w:t> </w:t>
      </w:r>
      <w:r>
        <w:rPr/>
        <w:t>be</w:t>
      </w:r>
      <w:r>
        <w:rPr>
          <w:spacing w:val="-7"/>
        </w:rPr>
        <w:t> </w:t>
      </w:r>
      <w:r>
        <w:rPr/>
        <w:t>existing</w:t>
      </w:r>
      <w:r>
        <w:rPr>
          <w:spacing w:val="40"/>
        </w:rPr>
        <w:t> </w:t>
      </w:r>
      <w:r>
        <w:rPr/>
        <w:t>within the Precinct boundary excluding any high-rise new development. so as not to diminish or destroy the value and beauty of the said listed Heritage buildings/Heritage</w:t>
      </w:r>
      <w:r>
        <w:rPr>
          <w:spacing w:val="-4"/>
        </w:rPr>
        <w:t> </w:t>
      </w:r>
      <w:r>
        <w:rPr/>
        <w:t>Precincts.</w:t>
      </w:r>
      <w:r>
        <w:rPr>
          <w:spacing w:val="-4"/>
        </w:rPr>
        <w:t> </w:t>
      </w:r>
      <w:r>
        <w:rPr/>
        <w:t>The</w:t>
      </w:r>
      <w:r>
        <w:rPr>
          <w:spacing w:val="-4"/>
        </w:rPr>
        <w:t> </w:t>
      </w:r>
      <w:r>
        <w:rPr/>
        <w:t>development</w:t>
      </w:r>
      <w:r>
        <w:rPr>
          <w:spacing w:val="-4"/>
        </w:rPr>
        <w:t> </w:t>
      </w:r>
      <w:r>
        <w:rPr/>
        <w:t>within</w:t>
      </w:r>
      <w:r>
        <w:rPr>
          <w:spacing w:val="-4"/>
        </w:rPr>
        <w:t> </w:t>
      </w:r>
      <w:r>
        <w:rPr/>
        <w:t>the</w:t>
      </w:r>
      <w:r>
        <w:rPr>
          <w:spacing w:val="-4"/>
        </w:rPr>
        <w:t> </w:t>
      </w:r>
      <w:r>
        <w:rPr/>
        <w:t>precincts</w:t>
      </w:r>
      <w:r>
        <w:rPr>
          <w:spacing w:val="-4"/>
        </w:rPr>
        <w:t> </w:t>
      </w:r>
      <w:r>
        <w:rPr/>
        <w:t>shall</w:t>
      </w:r>
      <w:r>
        <w:rPr>
          <w:spacing w:val="-4"/>
        </w:rPr>
        <w:t> </w:t>
      </w:r>
      <w:r>
        <w:rPr/>
        <w:t>be in accordance with respective Precinct guidelines as formulated by</w:t>
      </w:r>
      <w:r>
        <w:rPr>
          <w:spacing w:val="40"/>
        </w:rPr>
        <w:t> </w:t>
      </w:r>
      <w:r>
        <w:rPr/>
        <w:t>the Municipal Commissioner in consultation with MHCC or as may be decided by</w:t>
      </w:r>
      <w:r>
        <w:rPr>
          <w:spacing w:val="62"/>
        </w:rPr>
        <w:t> </w:t>
      </w:r>
      <w:r>
        <w:rPr/>
        <w:t>the</w:t>
      </w:r>
      <w:r>
        <w:rPr>
          <w:spacing w:val="62"/>
        </w:rPr>
        <w:t> </w:t>
      </w:r>
      <w:r>
        <w:rPr/>
        <w:t>Municipal</w:t>
      </w:r>
      <w:r>
        <w:rPr>
          <w:spacing w:val="64"/>
        </w:rPr>
        <w:t> </w:t>
      </w:r>
      <w:r>
        <w:rPr/>
        <w:t>Commissioner,</w:t>
      </w:r>
      <w:r>
        <w:rPr>
          <w:spacing w:val="63"/>
        </w:rPr>
        <w:t> </w:t>
      </w:r>
      <w:r>
        <w:rPr/>
        <w:t>shall</w:t>
      </w:r>
      <w:r>
        <w:rPr>
          <w:spacing w:val="65"/>
        </w:rPr>
        <w:t> </w:t>
      </w:r>
      <w:r>
        <w:rPr/>
        <w:t>require</w:t>
      </w:r>
      <w:r>
        <w:rPr>
          <w:spacing w:val="63"/>
        </w:rPr>
        <w:t> </w:t>
      </w:r>
      <w:r>
        <w:rPr/>
        <w:t>sanction</w:t>
      </w:r>
      <w:r>
        <w:rPr>
          <w:spacing w:val="62"/>
        </w:rPr>
        <w:t> </w:t>
      </w:r>
      <w:r>
        <w:rPr/>
        <w:t>by</w:t>
      </w:r>
      <w:r>
        <w:rPr>
          <w:spacing w:val="66"/>
        </w:rPr>
        <w:t> </w:t>
      </w:r>
      <w:r>
        <w:rPr>
          <w:spacing w:val="-2"/>
        </w:rPr>
        <w:t>Government.</w:t>
      </w:r>
    </w:p>
    <w:p>
      <w:pPr>
        <w:pStyle w:val="BodyText"/>
        <w:spacing w:after="0" w:line="360" w:lineRule="auto"/>
        <w:sectPr>
          <w:pgSz w:w="11910" w:h="16840"/>
          <w:pgMar w:header="1058" w:footer="1117" w:top="1500" w:bottom="1300" w:left="360" w:right="360"/>
        </w:sectPr>
      </w:pPr>
    </w:p>
    <w:p>
      <w:pPr>
        <w:pStyle w:val="BodyText"/>
        <w:spacing w:line="362" w:lineRule="auto" w:before="255"/>
        <w:ind w:left="1493" w:right="771"/>
      </w:pPr>
      <w:r>
        <w:rPr/>
        <w:t>Guidelines for display of hoarding, sinage, advertisement boards, </w:t>
      </w:r>
      <w:r>
        <w:rPr/>
        <w:t>street furniture, pavement shall be formulated by the MHCC.</w:t>
      </w:r>
    </w:p>
    <w:p>
      <w:pPr>
        <w:pStyle w:val="BodyText"/>
        <w:spacing w:line="278" w:lineRule="exact"/>
        <w:ind w:left="1493"/>
      </w:pPr>
      <w:r>
        <w:rPr/>
        <w:t>.</w:t>
      </w:r>
      <w:r>
        <w:rPr>
          <w:spacing w:val="-4"/>
        </w:rPr>
        <w:t> </w:t>
      </w:r>
      <w:r>
        <w:rPr/>
        <w:t>7.Heritage</w:t>
      </w:r>
      <w:r>
        <w:rPr>
          <w:spacing w:val="-4"/>
        </w:rPr>
        <w:t> </w:t>
      </w:r>
      <w:r>
        <w:rPr/>
        <w:t>Conservation</w:t>
      </w:r>
      <w:r>
        <w:rPr>
          <w:spacing w:val="-4"/>
        </w:rPr>
        <w:t> </w:t>
      </w:r>
      <w:r>
        <w:rPr>
          <w:spacing w:val="-2"/>
        </w:rPr>
        <w:t>Fund:</w:t>
      </w:r>
    </w:p>
    <w:p>
      <w:pPr>
        <w:pStyle w:val="BodyText"/>
        <w:spacing w:before="239"/>
        <w:ind w:left="1493" w:right="768"/>
      </w:pPr>
      <w:r>
        <w:rPr/>
        <w:t>Non-cessed buildings included in the said list shall be repaired/restored by the owners/lessees of the said buildings themselves or if they are cessed buildings, those can be repaired/restored by MHADA or by the owner or by the</w:t>
      </w:r>
      <w:r>
        <w:rPr>
          <w:spacing w:val="-12"/>
        </w:rPr>
        <w:t> </w:t>
      </w:r>
      <w:r>
        <w:rPr/>
        <w:t>Co-operative</w:t>
      </w:r>
      <w:r>
        <w:rPr>
          <w:spacing w:val="-12"/>
        </w:rPr>
        <w:t> </w:t>
      </w:r>
      <w:r>
        <w:rPr/>
        <w:t>Society</w:t>
      </w:r>
      <w:r>
        <w:rPr>
          <w:spacing w:val="-12"/>
        </w:rPr>
        <w:t> </w:t>
      </w:r>
      <w:r>
        <w:rPr/>
        <w:t>of</w:t>
      </w:r>
      <w:r>
        <w:rPr>
          <w:spacing w:val="-12"/>
        </w:rPr>
        <w:t> </w:t>
      </w:r>
      <w:r>
        <w:rPr/>
        <w:t>the</w:t>
      </w:r>
      <w:r>
        <w:rPr>
          <w:spacing w:val="-12"/>
        </w:rPr>
        <w:t> </w:t>
      </w:r>
      <w:r>
        <w:rPr/>
        <w:t>owners</w:t>
      </w:r>
      <w:r>
        <w:rPr>
          <w:spacing w:val="-10"/>
        </w:rPr>
        <w:t> </w:t>
      </w:r>
      <w:r>
        <w:rPr/>
        <w:t>and/or</w:t>
      </w:r>
      <w:r>
        <w:rPr>
          <w:spacing w:val="-12"/>
        </w:rPr>
        <w:t> </w:t>
      </w:r>
      <w:r>
        <w:rPr/>
        <w:t>occupiers</w:t>
      </w:r>
      <w:r>
        <w:rPr>
          <w:spacing w:val="-12"/>
        </w:rPr>
        <w:t> </w:t>
      </w:r>
      <w:r>
        <w:rPr/>
        <w:t>of</w:t>
      </w:r>
      <w:r>
        <w:rPr>
          <w:spacing w:val="-12"/>
        </w:rPr>
        <w:t> </w:t>
      </w:r>
      <w:r>
        <w:rPr/>
        <w:t>thebuilding.</w:t>
      </w:r>
      <w:r>
        <w:rPr>
          <w:spacing w:val="-12"/>
        </w:rPr>
        <w:t> </w:t>
      </w:r>
      <w:r>
        <w:rPr/>
        <w:t>With a view to give monetary help for such repairs/restoration, a separate fund may be created, which would be kept at the disposal of the Commissioner, who may consult Heritage Conservation Committee while disbursement of such funds. Provisions for such a fund may be made through District Planning and Development Council Budgetor any other budget.</w:t>
      </w:r>
    </w:p>
    <w:p>
      <w:pPr>
        <w:pStyle w:val="BodyText"/>
        <w:spacing w:before="239"/>
        <w:ind w:left="1493"/>
      </w:pPr>
      <w:r>
        <w:rPr/>
        <w:t>.</w:t>
      </w:r>
      <w:r>
        <w:rPr>
          <w:spacing w:val="-1"/>
        </w:rPr>
        <w:t> </w:t>
      </w:r>
      <w:r>
        <w:rPr/>
        <w:t>8.Development</w:t>
      </w:r>
      <w:r>
        <w:rPr>
          <w:spacing w:val="-1"/>
        </w:rPr>
        <w:t> </w:t>
      </w:r>
      <w:r>
        <w:rPr/>
        <w:t>Plan</w:t>
      </w:r>
      <w:r>
        <w:rPr>
          <w:spacing w:val="-1"/>
        </w:rPr>
        <w:t> </w:t>
      </w:r>
      <w:r>
        <w:rPr>
          <w:spacing w:val="-2"/>
        </w:rPr>
        <w:t>Reservation:</w:t>
      </w:r>
    </w:p>
    <w:p>
      <w:pPr>
        <w:pStyle w:val="BodyText"/>
        <w:spacing w:before="242"/>
        <w:ind w:left="1493" w:right="769"/>
      </w:pPr>
      <w:r>
        <w:rPr/>
        <w:t>If there are any DP Reservations on listed heritage structure and due to development of such site if adversely affects its character, then Municipal Commissioner on recommendation of MHCC shall initiate the process of modification/deletion of such reservation following due procedure.</w:t>
      </w:r>
    </w:p>
    <w:p>
      <w:pPr>
        <w:pStyle w:val="BodyText"/>
        <w:spacing w:before="239"/>
        <w:ind w:left="1493"/>
      </w:pPr>
      <w:r>
        <w:rPr/>
        <w:t>.</w:t>
      </w:r>
      <w:r>
        <w:rPr>
          <w:spacing w:val="-3"/>
        </w:rPr>
        <w:t> </w:t>
      </w:r>
      <w:r>
        <w:rPr/>
        <w:t>9.</w:t>
      </w:r>
      <w:r>
        <w:rPr>
          <w:spacing w:val="-2"/>
        </w:rPr>
        <w:t> </w:t>
      </w:r>
      <w:r>
        <w:rPr/>
        <w:t>Grading</w:t>
      </w:r>
      <w:r>
        <w:rPr>
          <w:spacing w:val="-2"/>
        </w:rPr>
        <w:t> </w:t>
      </w:r>
      <w:r>
        <w:rPr/>
        <w:t>of</w:t>
      </w:r>
      <w:r>
        <w:rPr>
          <w:spacing w:val="-2"/>
        </w:rPr>
        <w:t> </w:t>
      </w:r>
      <w:r>
        <w:rPr/>
        <w:t>the</w:t>
      </w:r>
      <w:r>
        <w:rPr>
          <w:spacing w:val="-3"/>
        </w:rPr>
        <w:t> </w:t>
      </w:r>
      <w:r>
        <w:rPr/>
        <w:t>Listed</w:t>
      </w:r>
      <w:r>
        <w:rPr>
          <w:spacing w:val="-2"/>
        </w:rPr>
        <w:t> </w:t>
      </w:r>
      <w:r>
        <w:rPr/>
        <w:t>Buildings/Sites</w:t>
      </w:r>
      <w:r>
        <w:rPr>
          <w:spacing w:val="-2"/>
        </w:rPr>
        <w:t> </w:t>
      </w:r>
      <w:r>
        <w:rPr/>
        <w:t>&amp;Listed</w:t>
      </w:r>
      <w:r>
        <w:rPr>
          <w:spacing w:val="-2"/>
        </w:rPr>
        <w:t> Precincts:</w:t>
      </w:r>
    </w:p>
    <w:p>
      <w:pPr>
        <w:pStyle w:val="BodyText"/>
        <w:spacing w:before="241"/>
        <w:ind w:left="1493" w:right="770"/>
      </w:pPr>
      <w:r>
        <w:rPr/>
        <w:t>In the last column of the said list of Heritage Building, Heritage precincts, “Grades”</w:t>
      </w:r>
      <w:r>
        <w:rPr>
          <w:spacing w:val="-19"/>
        </w:rPr>
        <w:t> </w:t>
      </w:r>
      <w:r>
        <w:rPr/>
        <w:t>such</w:t>
      </w:r>
      <w:r>
        <w:rPr>
          <w:spacing w:val="-19"/>
        </w:rPr>
        <w:t> </w:t>
      </w:r>
      <w:r>
        <w:rPr/>
        <w:t>as</w:t>
      </w:r>
      <w:r>
        <w:rPr>
          <w:spacing w:val="-19"/>
        </w:rPr>
        <w:t> </w:t>
      </w:r>
      <w:r>
        <w:rPr/>
        <w:t>I,</w:t>
      </w:r>
      <w:r>
        <w:rPr>
          <w:spacing w:val="-19"/>
        </w:rPr>
        <w:t> </w:t>
      </w:r>
      <w:r>
        <w:rPr/>
        <w:t>II,</w:t>
      </w:r>
      <w:r>
        <w:rPr>
          <w:spacing w:val="-19"/>
        </w:rPr>
        <w:t> </w:t>
      </w:r>
      <w:r>
        <w:rPr/>
        <w:t>or</w:t>
      </w:r>
      <w:r>
        <w:rPr>
          <w:spacing w:val="-19"/>
        </w:rPr>
        <w:t> </w:t>
      </w:r>
      <w:r>
        <w:rPr/>
        <w:t>III</w:t>
      </w:r>
      <w:r>
        <w:rPr>
          <w:spacing w:val="-18"/>
        </w:rPr>
        <w:t> </w:t>
      </w:r>
      <w:r>
        <w:rPr/>
        <w:t>have</w:t>
      </w:r>
      <w:r>
        <w:rPr>
          <w:spacing w:val="-19"/>
        </w:rPr>
        <w:t> </w:t>
      </w:r>
      <w:r>
        <w:rPr/>
        <w:t>been</w:t>
      </w:r>
      <w:r>
        <w:rPr>
          <w:spacing w:val="-19"/>
        </w:rPr>
        <w:t> </w:t>
      </w:r>
      <w:r>
        <w:rPr/>
        <w:t>indicated.</w:t>
      </w:r>
      <w:r>
        <w:rPr>
          <w:spacing w:val="-19"/>
        </w:rPr>
        <w:t> </w:t>
      </w:r>
      <w:r>
        <w:rPr/>
        <w:t>The</w:t>
      </w:r>
      <w:r>
        <w:rPr>
          <w:spacing w:val="-17"/>
        </w:rPr>
        <w:t> </w:t>
      </w:r>
      <w:r>
        <w:rPr/>
        <w:t>chart</w:t>
      </w:r>
      <w:r>
        <w:rPr>
          <w:spacing w:val="-19"/>
        </w:rPr>
        <w:t> </w:t>
      </w:r>
      <w:r>
        <w:rPr/>
        <w:t>showing</w:t>
      </w:r>
      <w:r>
        <w:rPr>
          <w:spacing w:val="-19"/>
        </w:rPr>
        <w:t> </w:t>
      </w:r>
      <w:r>
        <w:rPr/>
        <w:t>definition of these Grades and and Precincts, objectives, scope for changes </w:t>
      </w:r>
      <w:r>
        <w:rPr/>
        <w:t>and procedure for obtaining development permissionare as follows</w:t>
      </w:r>
    </w:p>
    <w:p>
      <w:pPr>
        <w:pStyle w:val="BodyText"/>
        <w:spacing w:before="5"/>
        <w:jc w:val="left"/>
        <w:rPr>
          <w:sz w:val="20"/>
        </w:rPr>
      </w:pPr>
    </w:p>
    <w:tbl>
      <w:tblPr>
        <w:tblW w:w="0" w:type="auto"/>
        <w:jc w:val="left"/>
        <w:tblInd w:w="1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989"/>
      </w:tblGrid>
      <w:tr>
        <w:trPr>
          <w:trHeight w:val="361" w:hRule="atLeast"/>
        </w:trPr>
        <w:tc>
          <w:tcPr>
            <w:tcW w:w="2881" w:type="dxa"/>
            <w:shd w:val="clear" w:color="auto" w:fill="EDEBE0"/>
          </w:tcPr>
          <w:p>
            <w:pPr>
              <w:pStyle w:val="TableParagraph"/>
              <w:spacing w:before="37"/>
              <w:ind w:left="107"/>
              <w:rPr>
                <w:sz w:val="24"/>
              </w:rPr>
            </w:pPr>
            <w:r>
              <w:rPr>
                <w:sz w:val="24"/>
              </w:rPr>
              <w:t>Grade – </w:t>
            </w:r>
            <w:r>
              <w:rPr>
                <w:spacing w:val="-10"/>
                <w:sz w:val="24"/>
              </w:rPr>
              <w:t>I</w:t>
            </w:r>
          </w:p>
        </w:tc>
        <w:tc>
          <w:tcPr>
            <w:tcW w:w="2881" w:type="dxa"/>
            <w:shd w:val="clear" w:color="auto" w:fill="EDEBE0"/>
          </w:tcPr>
          <w:p>
            <w:pPr>
              <w:pStyle w:val="TableParagraph"/>
              <w:spacing w:before="37"/>
              <w:ind w:left="107"/>
              <w:rPr>
                <w:sz w:val="24"/>
              </w:rPr>
            </w:pPr>
            <w:r>
              <w:rPr>
                <w:sz w:val="24"/>
              </w:rPr>
              <w:t>Grade – </w:t>
            </w:r>
            <w:r>
              <w:rPr>
                <w:spacing w:val="-5"/>
                <w:sz w:val="24"/>
              </w:rPr>
              <w:t>II</w:t>
            </w:r>
          </w:p>
        </w:tc>
        <w:tc>
          <w:tcPr>
            <w:tcW w:w="2989" w:type="dxa"/>
            <w:shd w:val="clear" w:color="auto" w:fill="EDEBE0"/>
          </w:tcPr>
          <w:p>
            <w:pPr>
              <w:pStyle w:val="TableParagraph"/>
              <w:spacing w:before="37"/>
              <w:ind w:left="106"/>
              <w:rPr>
                <w:sz w:val="24"/>
              </w:rPr>
            </w:pPr>
            <w:r>
              <w:rPr>
                <w:sz w:val="24"/>
              </w:rPr>
              <w:t>Grade – </w:t>
            </w:r>
            <w:r>
              <w:rPr>
                <w:spacing w:val="-2"/>
                <w:sz w:val="24"/>
              </w:rPr>
              <w:t>III/PRECINCT</w:t>
            </w:r>
          </w:p>
        </w:tc>
      </w:tr>
      <w:tr>
        <w:trPr>
          <w:trHeight w:val="4910" w:hRule="atLeast"/>
        </w:trPr>
        <w:tc>
          <w:tcPr>
            <w:tcW w:w="2881" w:type="dxa"/>
          </w:tcPr>
          <w:p>
            <w:pPr>
              <w:pStyle w:val="TableParagraph"/>
              <w:tabs>
                <w:tab w:pos="1343" w:val="left" w:leader="none"/>
                <w:tab w:pos="1605" w:val="left" w:leader="none"/>
                <w:tab w:pos="2311" w:val="left" w:leader="none"/>
                <w:tab w:pos="2690" w:val="left" w:leader="none"/>
              </w:tabs>
              <w:spacing w:line="252" w:lineRule="auto" w:before="37"/>
              <w:ind w:left="107" w:right="96"/>
              <w:rPr>
                <w:sz w:val="24"/>
              </w:rPr>
            </w:pPr>
            <w:r>
              <w:rPr>
                <w:sz w:val="24"/>
              </w:rPr>
              <w:t>A. Definition –</w:t>
            </w:r>
            <w:r>
              <w:rPr>
                <w:spacing w:val="40"/>
                <w:sz w:val="24"/>
              </w:rPr>
              <w:t> </w:t>
            </w:r>
            <w:r>
              <w:rPr>
                <w:spacing w:val="-2"/>
                <w:sz w:val="24"/>
              </w:rPr>
              <w:t>Heritage</w:t>
            </w:r>
            <w:r>
              <w:rPr>
                <w:sz w:val="24"/>
              </w:rPr>
              <w:tab/>
            </w:r>
            <w:r>
              <w:rPr>
                <w:spacing w:val="-2"/>
                <w:sz w:val="24"/>
              </w:rPr>
              <w:t>Grade</w:t>
            </w:r>
            <w:r>
              <w:rPr>
                <w:sz w:val="24"/>
              </w:rPr>
              <w:tab/>
            </w:r>
            <w:r>
              <w:rPr>
                <w:spacing w:val="-10"/>
                <w:sz w:val="24"/>
              </w:rPr>
              <w:t>–</w:t>
            </w:r>
            <w:r>
              <w:rPr>
                <w:sz w:val="24"/>
              </w:rPr>
              <w:tab/>
            </w:r>
            <w:r>
              <w:rPr>
                <w:spacing w:val="-10"/>
                <w:sz w:val="24"/>
              </w:rPr>
              <w:t>I</w:t>
            </w:r>
            <w:r>
              <w:rPr>
                <w:spacing w:val="-10"/>
                <w:sz w:val="24"/>
              </w:rPr>
              <w:t> </w:t>
            </w:r>
            <w:r>
              <w:rPr>
                <w:spacing w:val="-2"/>
                <w:sz w:val="24"/>
              </w:rPr>
              <w:t>comprises</w:t>
            </w:r>
            <w:r>
              <w:rPr>
                <w:sz w:val="24"/>
              </w:rPr>
              <w:tab/>
              <w:tab/>
            </w:r>
            <w:r>
              <w:rPr>
                <w:spacing w:val="-2"/>
                <w:sz w:val="24"/>
              </w:rPr>
              <w:t>buildings</w:t>
            </w:r>
            <w:r>
              <w:rPr>
                <w:spacing w:val="-2"/>
                <w:sz w:val="24"/>
              </w:rPr>
              <w:t>,</w:t>
            </w:r>
            <w:r>
              <w:rPr>
                <w:spacing w:val="-2"/>
                <w:sz w:val="24"/>
              </w:rPr>
              <w:t> </w:t>
            </w:r>
            <w:r>
              <w:rPr>
                <w:sz w:val="24"/>
              </w:rPr>
              <w:t>and</w:t>
            </w:r>
            <w:r>
              <w:rPr>
                <w:spacing w:val="10"/>
                <w:sz w:val="24"/>
              </w:rPr>
              <w:t> </w:t>
            </w:r>
            <w:r>
              <w:rPr>
                <w:sz w:val="24"/>
              </w:rPr>
              <w:t>sitesof</w:t>
            </w:r>
            <w:r>
              <w:rPr>
                <w:spacing w:val="11"/>
                <w:sz w:val="24"/>
              </w:rPr>
              <w:t> </w:t>
            </w:r>
            <w:r>
              <w:rPr>
                <w:sz w:val="24"/>
              </w:rPr>
              <w:t>national</w:t>
            </w:r>
            <w:r>
              <w:rPr>
                <w:spacing w:val="9"/>
                <w:sz w:val="24"/>
              </w:rPr>
              <w:t> </w:t>
            </w:r>
            <w:r>
              <w:rPr>
                <w:spacing w:val="-5"/>
                <w:sz w:val="24"/>
              </w:rPr>
              <w:t>o</w:t>
            </w:r>
            <w:r>
              <w:rPr>
                <w:spacing w:val="-5"/>
                <w:sz w:val="24"/>
              </w:rPr>
              <w:t>r</w:t>
            </w:r>
          </w:p>
          <w:p>
            <w:pPr>
              <w:pStyle w:val="TableParagraph"/>
              <w:tabs>
                <w:tab w:pos="2531" w:val="left" w:leader="none"/>
              </w:tabs>
              <w:ind w:left="107" w:right="96"/>
              <w:jc w:val="both"/>
              <w:rPr>
                <w:sz w:val="24"/>
              </w:rPr>
            </w:pPr>
            <w:r>
              <w:rPr>
                <w:sz w:val="24"/>
              </w:rPr>
              <w:t>historical </w:t>
            </w:r>
            <w:r>
              <w:rPr>
                <w:sz w:val="24"/>
              </w:rPr>
              <w:t>importance, embodying excellence in architectural style, design,</w:t>
            </w:r>
            <w:r>
              <w:rPr>
                <w:spacing w:val="-20"/>
                <w:sz w:val="24"/>
              </w:rPr>
              <w:t> </w:t>
            </w:r>
            <w:r>
              <w:rPr>
                <w:sz w:val="24"/>
              </w:rPr>
              <w:t>technology</w:t>
            </w:r>
            <w:r>
              <w:rPr>
                <w:spacing w:val="-19"/>
                <w:sz w:val="24"/>
              </w:rPr>
              <w:t> </w:t>
            </w:r>
            <w:r>
              <w:rPr>
                <w:sz w:val="24"/>
              </w:rPr>
              <w:t>and material usage; they may be associated with a great historical event, personality, </w:t>
            </w:r>
            <w:r>
              <w:rPr>
                <w:spacing w:val="-2"/>
                <w:sz w:val="24"/>
              </w:rPr>
              <w:t>movement</w:t>
            </w:r>
            <w:r>
              <w:rPr>
                <w:sz w:val="24"/>
              </w:rPr>
              <w:tab/>
            </w:r>
            <w:r>
              <w:rPr>
                <w:spacing w:val="-6"/>
                <w:sz w:val="24"/>
              </w:rPr>
              <w:t>or </w:t>
            </w:r>
            <w:r>
              <w:rPr>
                <w:sz w:val="24"/>
              </w:rPr>
              <w:t>institution.</w:t>
            </w:r>
            <w:r>
              <w:rPr>
                <w:spacing w:val="-15"/>
                <w:sz w:val="24"/>
              </w:rPr>
              <w:t> </w:t>
            </w:r>
            <w:r>
              <w:rPr>
                <w:sz w:val="24"/>
              </w:rPr>
              <w:t>It</w:t>
            </w:r>
            <w:r>
              <w:rPr>
                <w:spacing w:val="-17"/>
                <w:sz w:val="24"/>
              </w:rPr>
              <w:t> </w:t>
            </w:r>
            <w:r>
              <w:rPr>
                <w:sz w:val="24"/>
              </w:rPr>
              <w:t>may</w:t>
            </w:r>
            <w:r>
              <w:rPr>
                <w:spacing w:val="-15"/>
                <w:sz w:val="24"/>
              </w:rPr>
              <w:t> </w:t>
            </w:r>
            <w:r>
              <w:rPr>
                <w:sz w:val="24"/>
              </w:rPr>
              <w:t>also comprise natural sites of heritage value eg. Waterfronts,</w:t>
            </w:r>
            <w:r>
              <w:rPr>
                <w:spacing w:val="71"/>
                <w:w w:val="150"/>
                <w:sz w:val="24"/>
              </w:rPr>
              <w:t>  </w:t>
            </w:r>
            <w:r>
              <w:rPr>
                <w:spacing w:val="-2"/>
                <w:sz w:val="24"/>
              </w:rPr>
              <w:t>creeks,</w:t>
            </w:r>
          </w:p>
        </w:tc>
        <w:tc>
          <w:tcPr>
            <w:tcW w:w="2881" w:type="dxa"/>
          </w:tcPr>
          <w:p>
            <w:pPr>
              <w:pStyle w:val="TableParagraph"/>
              <w:tabs>
                <w:tab w:pos="1323" w:val="left" w:leader="none"/>
                <w:tab w:pos="1662" w:val="left" w:leader="none"/>
                <w:tab w:pos="2272" w:val="left" w:leader="none"/>
                <w:tab w:pos="2608" w:val="left" w:leader="none"/>
              </w:tabs>
              <w:spacing w:line="252" w:lineRule="auto" w:before="37"/>
              <w:ind w:left="107" w:right="97"/>
              <w:rPr>
                <w:sz w:val="24"/>
              </w:rPr>
            </w:pPr>
            <w:r>
              <w:rPr>
                <w:sz w:val="24"/>
              </w:rPr>
              <w:t>A. Definition –</w:t>
            </w:r>
            <w:r>
              <w:rPr>
                <w:spacing w:val="40"/>
                <w:sz w:val="24"/>
              </w:rPr>
              <w:t> </w:t>
            </w:r>
            <w:r>
              <w:rPr>
                <w:spacing w:val="-2"/>
                <w:sz w:val="24"/>
              </w:rPr>
              <w:t>Heritage</w:t>
            </w:r>
            <w:r>
              <w:rPr>
                <w:sz w:val="24"/>
              </w:rPr>
              <w:tab/>
            </w:r>
            <w:r>
              <w:rPr>
                <w:spacing w:val="-2"/>
                <w:sz w:val="24"/>
              </w:rPr>
              <w:t>Grade</w:t>
            </w:r>
            <w:r>
              <w:rPr>
                <w:sz w:val="24"/>
              </w:rPr>
              <w:tab/>
            </w:r>
            <w:r>
              <w:rPr>
                <w:spacing w:val="-10"/>
                <w:sz w:val="24"/>
              </w:rPr>
              <w:t>-</w:t>
            </w:r>
            <w:r>
              <w:rPr>
                <w:sz w:val="24"/>
              </w:rPr>
              <w:tab/>
            </w:r>
            <w:r>
              <w:rPr>
                <w:spacing w:val="-6"/>
                <w:sz w:val="24"/>
              </w:rPr>
              <w:t>I</w:t>
            </w:r>
            <w:r>
              <w:rPr>
                <w:spacing w:val="-6"/>
                <w:sz w:val="24"/>
              </w:rPr>
              <w:t>I</w:t>
            </w:r>
            <w:r>
              <w:rPr>
                <w:spacing w:val="-6"/>
                <w:sz w:val="24"/>
              </w:rPr>
              <w:t> </w:t>
            </w:r>
            <w:r>
              <w:rPr>
                <w:spacing w:val="-2"/>
                <w:sz w:val="24"/>
              </w:rPr>
              <w:t>comprises</w:t>
            </w:r>
            <w:r>
              <w:rPr>
                <w:sz w:val="24"/>
              </w:rPr>
              <w:tab/>
              <w:tab/>
            </w:r>
            <w:r>
              <w:rPr>
                <w:spacing w:val="-2"/>
                <w:sz w:val="24"/>
              </w:rPr>
              <w:t>building/ </w:t>
            </w:r>
            <w:r>
              <w:rPr>
                <w:sz w:val="24"/>
              </w:rPr>
              <w:t>precincts,</w:t>
            </w:r>
            <w:r>
              <w:rPr>
                <w:spacing w:val="65"/>
                <w:w w:val="150"/>
                <w:sz w:val="24"/>
              </w:rPr>
              <w:t> </w:t>
            </w:r>
            <w:r>
              <w:rPr>
                <w:sz w:val="24"/>
              </w:rPr>
              <w:t>of</w:t>
            </w:r>
            <w:r>
              <w:rPr>
                <w:spacing w:val="66"/>
                <w:w w:val="150"/>
                <w:sz w:val="24"/>
              </w:rPr>
              <w:t> </w:t>
            </w:r>
            <w:r>
              <w:rPr>
                <w:spacing w:val="-2"/>
                <w:sz w:val="24"/>
              </w:rPr>
              <w:t>regiona</w:t>
            </w:r>
            <w:r>
              <w:rPr>
                <w:spacing w:val="-2"/>
                <w:sz w:val="24"/>
              </w:rPr>
              <w:t>l</w:t>
            </w:r>
          </w:p>
          <w:p>
            <w:pPr>
              <w:pStyle w:val="TableParagraph"/>
              <w:tabs>
                <w:tab w:pos="587" w:val="left" w:leader="none"/>
                <w:tab w:pos="1067" w:val="left" w:leader="none"/>
                <w:tab w:pos="1261" w:val="left" w:leader="none"/>
                <w:tab w:pos="1369" w:val="left" w:leader="none"/>
                <w:tab w:pos="1641" w:val="left" w:leader="none"/>
                <w:tab w:pos="1863" w:val="left" w:leader="none"/>
                <w:tab w:pos="1964" w:val="left" w:leader="none"/>
                <w:tab w:pos="2161" w:val="left" w:leader="none"/>
                <w:tab w:pos="2225" w:val="left" w:leader="none"/>
                <w:tab w:pos="2396" w:val="left" w:leader="none"/>
                <w:tab w:pos="2531" w:val="left" w:leader="none"/>
                <w:tab w:pos="2631" w:val="left" w:leader="none"/>
              </w:tabs>
              <w:ind w:left="107" w:right="95"/>
              <w:rPr>
                <w:sz w:val="24"/>
              </w:rPr>
            </w:pPr>
            <w:r>
              <w:rPr>
                <w:spacing w:val="-6"/>
                <w:sz w:val="24"/>
              </w:rPr>
              <w:t>or</w:t>
            </w:r>
            <w:r>
              <w:rPr>
                <w:sz w:val="24"/>
              </w:rPr>
              <w:tab/>
            </w:r>
            <w:r>
              <w:rPr>
                <w:spacing w:val="-2"/>
                <w:sz w:val="24"/>
              </w:rPr>
              <w:t>local</w:t>
            </w:r>
            <w:r>
              <w:rPr>
                <w:sz w:val="24"/>
              </w:rPr>
              <w:tab/>
              <w:tab/>
            </w:r>
            <w:r>
              <w:rPr>
                <w:spacing w:val="-2"/>
                <w:sz w:val="24"/>
              </w:rPr>
              <w:t>importance, possessing</w:t>
            </w:r>
            <w:r>
              <w:rPr>
                <w:sz w:val="24"/>
              </w:rPr>
              <w:tab/>
              <w:tab/>
              <w:tab/>
              <w:tab/>
            </w:r>
            <w:r>
              <w:rPr>
                <w:spacing w:val="-2"/>
                <w:sz w:val="24"/>
              </w:rPr>
              <w:t>special architectural</w:t>
            </w:r>
            <w:r>
              <w:rPr>
                <w:sz w:val="24"/>
              </w:rPr>
              <w:tab/>
              <w:tab/>
              <w:tab/>
              <w:tab/>
              <w:tab/>
              <w:tab/>
              <w:tab/>
            </w:r>
            <w:r>
              <w:rPr>
                <w:spacing w:val="-6"/>
                <w:sz w:val="24"/>
              </w:rPr>
              <w:t>or </w:t>
            </w:r>
            <w:r>
              <w:rPr>
                <w:spacing w:val="-2"/>
                <w:sz w:val="24"/>
              </w:rPr>
              <w:t>aesthetical</w:t>
            </w:r>
            <w:r>
              <w:rPr>
                <w:sz w:val="24"/>
              </w:rPr>
              <w:tab/>
              <w:tab/>
            </w:r>
            <w:r>
              <w:rPr>
                <w:spacing w:val="-2"/>
                <w:sz w:val="24"/>
              </w:rPr>
              <w:t>merit</w:t>
            </w:r>
            <w:r>
              <w:rPr>
                <w:sz w:val="24"/>
              </w:rPr>
              <w:tab/>
              <w:tab/>
            </w:r>
            <w:r>
              <w:rPr>
                <w:spacing w:val="-6"/>
                <w:sz w:val="24"/>
              </w:rPr>
              <w:t>or </w:t>
            </w:r>
            <w:r>
              <w:rPr>
                <w:sz w:val="24"/>
              </w:rPr>
              <w:t>cultural</w:t>
            </w:r>
            <w:r>
              <w:rPr>
                <w:spacing w:val="80"/>
                <w:sz w:val="24"/>
              </w:rPr>
              <w:t> </w:t>
            </w:r>
            <w:r>
              <w:rPr>
                <w:sz w:val="24"/>
              </w:rPr>
              <w:t>or</w:t>
            </w:r>
            <w:r>
              <w:rPr>
                <w:spacing w:val="80"/>
                <w:sz w:val="24"/>
              </w:rPr>
              <w:t> </w:t>
            </w:r>
            <w:r>
              <w:rPr>
                <w:sz w:val="24"/>
              </w:rPr>
              <w:t>historical </w:t>
            </w:r>
            <w:r>
              <w:rPr>
                <w:spacing w:val="-2"/>
                <w:sz w:val="24"/>
              </w:rPr>
              <w:t>value,</w:t>
            </w:r>
            <w:r>
              <w:rPr>
                <w:sz w:val="24"/>
              </w:rPr>
              <w:tab/>
            </w:r>
            <w:r>
              <w:rPr>
                <w:spacing w:val="-2"/>
                <w:sz w:val="24"/>
              </w:rPr>
              <w:t>though</w:t>
            </w:r>
            <w:r>
              <w:rPr>
                <w:sz w:val="24"/>
              </w:rPr>
              <w:tab/>
              <w:tab/>
            </w:r>
            <w:r>
              <w:rPr>
                <w:spacing w:val="-6"/>
                <w:sz w:val="24"/>
              </w:rPr>
              <w:t>of</w:t>
            </w:r>
            <w:r>
              <w:rPr>
                <w:sz w:val="24"/>
              </w:rPr>
              <w:tab/>
              <w:tab/>
              <w:tab/>
            </w:r>
            <w:r>
              <w:rPr>
                <w:spacing w:val="-10"/>
                <w:sz w:val="24"/>
              </w:rPr>
              <w:t>a </w:t>
            </w:r>
            <w:r>
              <w:rPr>
                <w:sz w:val="24"/>
              </w:rPr>
              <w:t>lower</w:t>
            </w:r>
            <w:r>
              <w:rPr>
                <w:spacing w:val="40"/>
                <w:sz w:val="24"/>
              </w:rPr>
              <w:t> </w:t>
            </w:r>
            <w:r>
              <w:rPr>
                <w:sz w:val="24"/>
              </w:rPr>
              <w:t>order</w:t>
            </w:r>
            <w:r>
              <w:rPr>
                <w:spacing w:val="40"/>
                <w:sz w:val="24"/>
              </w:rPr>
              <w:t> </w:t>
            </w:r>
            <w:r>
              <w:rPr>
                <w:sz w:val="24"/>
              </w:rPr>
              <w:t>than</w:t>
            </w:r>
            <w:r>
              <w:rPr>
                <w:spacing w:val="40"/>
                <w:sz w:val="24"/>
              </w:rPr>
              <w:t> </w:t>
            </w:r>
            <w:r>
              <w:rPr>
                <w:sz w:val="24"/>
              </w:rPr>
              <w:t>that of</w:t>
            </w:r>
            <w:r>
              <w:rPr>
                <w:spacing w:val="40"/>
                <w:sz w:val="24"/>
              </w:rPr>
              <w:t> </w:t>
            </w:r>
            <w:r>
              <w:rPr>
                <w:sz w:val="24"/>
              </w:rPr>
              <w:t>Heritage</w:t>
            </w:r>
            <w:r>
              <w:rPr>
                <w:spacing w:val="40"/>
                <w:sz w:val="24"/>
              </w:rPr>
              <w:t> </w:t>
            </w:r>
            <w:r>
              <w:rPr>
                <w:sz w:val="24"/>
              </w:rPr>
              <w:t>Grade</w:t>
            </w:r>
            <w:r>
              <w:rPr>
                <w:spacing w:val="40"/>
                <w:sz w:val="24"/>
              </w:rPr>
              <w:t> </w:t>
            </w:r>
            <w:r>
              <w:rPr>
                <w:sz w:val="24"/>
              </w:rPr>
              <w:t>-</w:t>
            </w:r>
            <w:r>
              <w:rPr>
                <w:spacing w:val="40"/>
                <w:sz w:val="24"/>
              </w:rPr>
              <w:t> </w:t>
            </w:r>
            <w:r>
              <w:rPr>
                <w:sz w:val="24"/>
              </w:rPr>
              <w:t>I. </w:t>
            </w:r>
            <w:r>
              <w:rPr>
                <w:spacing w:val="-4"/>
                <w:sz w:val="24"/>
              </w:rPr>
              <w:t>They</w:t>
            </w:r>
            <w:r>
              <w:rPr>
                <w:sz w:val="24"/>
              </w:rPr>
              <w:tab/>
              <w:tab/>
            </w:r>
            <w:r>
              <w:rPr>
                <w:spacing w:val="-4"/>
                <w:sz w:val="24"/>
              </w:rPr>
              <w:t>are</w:t>
            </w:r>
            <w:r>
              <w:rPr>
                <w:sz w:val="24"/>
              </w:rPr>
              <w:tab/>
              <w:tab/>
              <w:tab/>
              <w:tab/>
              <w:tab/>
            </w:r>
            <w:r>
              <w:rPr>
                <w:spacing w:val="-2"/>
                <w:sz w:val="24"/>
              </w:rPr>
              <w:t>local landmarks contributing</w:t>
            </w:r>
            <w:r>
              <w:rPr>
                <w:sz w:val="24"/>
              </w:rPr>
              <w:tab/>
              <w:tab/>
            </w:r>
            <w:r>
              <w:rPr>
                <w:spacing w:val="-6"/>
                <w:sz w:val="24"/>
              </w:rPr>
              <w:t>to</w:t>
            </w:r>
            <w:r>
              <w:rPr>
                <w:sz w:val="24"/>
              </w:rPr>
              <w:tab/>
              <w:tab/>
              <w:tab/>
            </w:r>
            <w:r>
              <w:rPr>
                <w:spacing w:val="-4"/>
                <w:sz w:val="24"/>
              </w:rPr>
              <w:t>the </w:t>
            </w:r>
            <w:r>
              <w:rPr>
                <w:sz w:val="24"/>
              </w:rPr>
              <w:t>image</w:t>
            </w:r>
            <w:r>
              <w:rPr>
                <w:spacing w:val="40"/>
                <w:sz w:val="24"/>
              </w:rPr>
              <w:t> </w:t>
            </w:r>
            <w:r>
              <w:rPr>
                <w:sz w:val="24"/>
              </w:rPr>
              <w:t>and</w:t>
            </w:r>
            <w:r>
              <w:rPr>
                <w:spacing w:val="40"/>
                <w:sz w:val="24"/>
              </w:rPr>
              <w:t> </w:t>
            </w:r>
            <w:r>
              <w:rPr>
                <w:sz w:val="24"/>
              </w:rPr>
              <w:t>identity</w:t>
            </w:r>
            <w:r>
              <w:rPr>
                <w:spacing w:val="40"/>
                <w:sz w:val="24"/>
              </w:rPr>
              <w:t> </w:t>
            </w:r>
            <w:r>
              <w:rPr>
                <w:sz w:val="24"/>
              </w:rPr>
              <w:t>of the</w:t>
            </w:r>
            <w:r>
              <w:rPr>
                <w:spacing w:val="38"/>
                <w:sz w:val="24"/>
              </w:rPr>
              <w:t> </w:t>
            </w:r>
            <w:r>
              <w:rPr>
                <w:sz w:val="24"/>
              </w:rPr>
              <w:t>city.</w:t>
            </w:r>
            <w:r>
              <w:rPr>
                <w:spacing w:val="38"/>
                <w:sz w:val="24"/>
              </w:rPr>
              <w:t> </w:t>
            </w:r>
            <w:r>
              <w:rPr>
                <w:sz w:val="24"/>
              </w:rPr>
              <w:t>They</w:t>
            </w:r>
            <w:r>
              <w:rPr>
                <w:spacing w:val="38"/>
                <w:sz w:val="24"/>
              </w:rPr>
              <w:t> </w:t>
            </w:r>
            <w:r>
              <w:rPr>
                <w:sz w:val="24"/>
              </w:rPr>
              <w:t>may</w:t>
            </w:r>
            <w:r>
              <w:rPr>
                <w:spacing w:val="38"/>
                <w:sz w:val="24"/>
              </w:rPr>
              <w:t> </w:t>
            </w:r>
            <w:r>
              <w:rPr>
                <w:spacing w:val="-5"/>
                <w:sz w:val="24"/>
              </w:rPr>
              <w:t>be</w:t>
            </w:r>
          </w:p>
        </w:tc>
        <w:tc>
          <w:tcPr>
            <w:tcW w:w="2989" w:type="dxa"/>
          </w:tcPr>
          <w:p>
            <w:pPr>
              <w:pStyle w:val="TableParagraph"/>
              <w:spacing w:line="276" w:lineRule="auto" w:before="37"/>
              <w:ind w:left="106" w:right="151" w:firstLine="360"/>
              <w:rPr>
                <w:sz w:val="24"/>
              </w:rPr>
            </w:pPr>
            <w:r>
              <w:rPr>
                <w:sz w:val="24"/>
              </w:rPr>
              <w:t>A.</w:t>
            </w:r>
            <w:r>
              <w:rPr>
                <w:spacing w:val="20"/>
                <w:sz w:val="24"/>
              </w:rPr>
              <w:t> </w:t>
            </w:r>
            <w:r>
              <w:rPr>
                <w:sz w:val="24"/>
              </w:rPr>
              <w:t>Definition</w:t>
            </w:r>
            <w:r>
              <w:rPr>
                <w:spacing w:val="-14"/>
                <w:sz w:val="24"/>
              </w:rPr>
              <w:t> </w:t>
            </w:r>
            <w:r>
              <w:rPr>
                <w:sz w:val="24"/>
              </w:rPr>
              <w:t>– Grade – III</w:t>
            </w:r>
          </w:p>
          <w:p>
            <w:pPr>
              <w:pStyle w:val="TableParagraph"/>
              <w:tabs>
                <w:tab w:pos="2503" w:val="left" w:leader="none"/>
                <w:tab w:pos="2561" w:val="left" w:leader="none"/>
              </w:tabs>
              <w:ind w:left="106" w:right="95"/>
              <w:jc w:val="both"/>
              <w:rPr>
                <w:sz w:val="24"/>
              </w:rPr>
            </w:pPr>
            <w:r>
              <w:rPr>
                <w:sz w:val="24"/>
              </w:rPr>
              <w:t>Heritage Grade -</w:t>
            </w:r>
            <w:r>
              <w:rPr>
                <w:sz w:val="24"/>
              </w:rPr>
              <w:t>III Comprises buildings and precincts of </w:t>
            </w:r>
            <w:r>
              <w:rPr>
                <w:spacing w:val="-2"/>
                <w:sz w:val="24"/>
              </w:rPr>
              <w:t>importance</w:t>
            </w:r>
            <w:r>
              <w:rPr>
                <w:sz w:val="24"/>
              </w:rPr>
              <w:tab/>
              <w:tab/>
            </w:r>
            <w:r>
              <w:rPr>
                <w:spacing w:val="-4"/>
                <w:sz w:val="24"/>
              </w:rPr>
              <w:t>for </w:t>
            </w:r>
            <w:r>
              <w:rPr>
                <w:sz w:val="24"/>
              </w:rPr>
              <w:t>townscape, they evoke architectural aesthetic or sociological interest though not as much as in Heritage Grade – II. These contribute to </w:t>
            </w:r>
            <w:r>
              <w:rPr>
                <w:spacing w:val="-2"/>
                <w:sz w:val="24"/>
              </w:rPr>
              <w:t>determine</w:t>
            </w:r>
            <w:r>
              <w:rPr>
                <w:sz w:val="24"/>
              </w:rPr>
              <w:tab/>
            </w:r>
            <w:r>
              <w:rPr>
                <w:spacing w:val="-4"/>
                <w:sz w:val="24"/>
              </w:rPr>
              <w:t>the </w:t>
            </w:r>
            <w:r>
              <w:rPr>
                <w:sz w:val="24"/>
              </w:rPr>
              <w:t>character of the locality,</w:t>
            </w:r>
            <w:r>
              <w:rPr>
                <w:spacing w:val="41"/>
                <w:sz w:val="24"/>
              </w:rPr>
              <w:t>  </w:t>
            </w:r>
            <w:r>
              <w:rPr>
                <w:sz w:val="24"/>
              </w:rPr>
              <w:t>and</w:t>
            </w:r>
            <w:r>
              <w:rPr>
                <w:spacing w:val="42"/>
                <w:sz w:val="24"/>
              </w:rPr>
              <w:t>  </w:t>
            </w:r>
            <w:r>
              <w:rPr>
                <w:sz w:val="24"/>
              </w:rPr>
              <w:t>can</w:t>
            </w:r>
            <w:r>
              <w:rPr>
                <w:spacing w:val="41"/>
                <w:sz w:val="24"/>
              </w:rPr>
              <w:t>  </w:t>
            </w:r>
            <w:r>
              <w:rPr>
                <w:spacing w:val="-5"/>
                <w:sz w:val="24"/>
              </w:rPr>
              <w:t>be</w:t>
            </w:r>
          </w:p>
          <w:p>
            <w:pPr>
              <w:pStyle w:val="TableParagraph"/>
              <w:spacing w:line="280" w:lineRule="exact"/>
              <w:ind w:left="106" w:right="99"/>
              <w:jc w:val="both"/>
              <w:rPr>
                <w:sz w:val="24"/>
              </w:rPr>
            </w:pPr>
            <w:r>
              <w:rPr>
                <w:sz w:val="24"/>
              </w:rPr>
              <w:t>representative of a </w:t>
            </w:r>
            <w:r>
              <w:rPr>
                <w:sz w:val="24"/>
              </w:rPr>
              <w:t>life style</w:t>
            </w:r>
            <w:r>
              <w:rPr>
                <w:spacing w:val="37"/>
                <w:sz w:val="24"/>
              </w:rPr>
              <w:t>  </w:t>
            </w:r>
            <w:r>
              <w:rPr>
                <w:sz w:val="24"/>
              </w:rPr>
              <w:t>or</w:t>
            </w:r>
            <w:r>
              <w:rPr>
                <w:spacing w:val="38"/>
                <w:sz w:val="24"/>
              </w:rPr>
              <w:t>  </w:t>
            </w:r>
            <w:r>
              <w:rPr>
                <w:sz w:val="24"/>
              </w:rPr>
              <w:t>a</w:t>
            </w:r>
            <w:r>
              <w:rPr>
                <w:spacing w:val="37"/>
                <w:sz w:val="24"/>
              </w:rPr>
              <w:t>  </w:t>
            </w:r>
            <w:r>
              <w:rPr>
                <w:spacing w:val="-2"/>
                <w:sz w:val="24"/>
              </w:rPr>
              <w:t>particular</w:t>
            </w:r>
          </w:p>
        </w:tc>
      </w:tr>
    </w:tbl>
    <w:p>
      <w:pPr>
        <w:pStyle w:val="TableParagraph"/>
        <w:spacing w:after="0" w:line="280" w:lineRule="exact"/>
        <w:jc w:val="both"/>
        <w:rPr>
          <w:sz w:val="24"/>
        </w:rPr>
        <w:sectPr>
          <w:pgSz w:w="11910" w:h="16840"/>
          <w:pgMar w:header="1058" w:footer="1117" w:top="1500" w:bottom="1300" w:left="360" w:right="360"/>
        </w:sectPr>
      </w:pPr>
    </w:p>
    <w:p>
      <w:pPr>
        <w:pStyle w:val="BodyText"/>
        <w:spacing w:before="20"/>
        <w:jc w:val="left"/>
        <w:rPr>
          <w:sz w:val="20"/>
        </w:rPr>
      </w:pPr>
    </w:p>
    <w:tbl>
      <w:tblPr>
        <w:tblW w:w="0" w:type="auto"/>
        <w:jc w:val="left"/>
        <w:tblInd w:w="1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989"/>
      </w:tblGrid>
      <w:tr>
        <w:trPr>
          <w:trHeight w:val="362" w:hRule="atLeast"/>
        </w:trPr>
        <w:tc>
          <w:tcPr>
            <w:tcW w:w="2881" w:type="dxa"/>
            <w:shd w:val="clear" w:color="auto" w:fill="EDEBE0"/>
          </w:tcPr>
          <w:p>
            <w:pPr>
              <w:pStyle w:val="TableParagraph"/>
              <w:spacing w:before="40"/>
              <w:ind w:left="107"/>
              <w:rPr>
                <w:sz w:val="24"/>
              </w:rPr>
            </w:pPr>
            <w:r>
              <w:rPr>
                <w:sz w:val="24"/>
              </w:rPr>
              <w:t>Grade – </w:t>
            </w:r>
            <w:r>
              <w:rPr>
                <w:spacing w:val="-10"/>
                <w:sz w:val="24"/>
              </w:rPr>
              <w:t>I</w:t>
            </w:r>
          </w:p>
        </w:tc>
        <w:tc>
          <w:tcPr>
            <w:tcW w:w="2881" w:type="dxa"/>
            <w:shd w:val="clear" w:color="auto" w:fill="EDEBE0"/>
          </w:tcPr>
          <w:p>
            <w:pPr>
              <w:pStyle w:val="TableParagraph"/>
              <w:spacing w:before="40"/>
              <w:ind w:left="107"/>
              <w:rPr>
                <w:sz w:val="24"/>
              </w:rPr>
            </w:pPr>
            <w:r>
              <w:rPr>
                <w:sz w:val="24"/>
              </w:rPr>
              <w:t>Grade – </w:t>
            </w:r>
            <w:r>
              <w:rPr>
                <w:spacing w:val="-5"/>
                <w:sz w:val="24"/>
              </w:rPr>
              <w:t>II</w:t>
            </w:r>
          </w:p>
        </w:tc>
        <w:tc>
          <w:tcPr>
            <w:tcW w:w="2989" w:type="dxa"/>
            <w:shd w:val="clear" w:color="auto" w:fill="EDEBE0"/>
          </w:tcPr>
          <w:p>
            <w:pPr>
              <w:pStyle w:val="TableParagraph"/>
              <w:spacing w:before="40"/>
              <w:ind w:left="106"/>
              <w:rPr>
                <w:sz w:val="24"/>
              </w:rPr>
            </w:pPr>
            <w:r>
              <w:rPr>
                <w:sz w:val="24"/>
              </w:rPr>
              <w:t>Grade – </w:t>
            </w:r>
            <w:r>
              <w:rPr>
                <w:spacing w:val="-2"/>
                <w:sz w:val="24"/>
              </w:rPr>
              <w:t>III/PRECINCT</w:t>
            </w:r>
          </w:p>
        </w:tc>
      </w:tr>
      <w:tr>
        <w:trPr>
          <w:trHeight w:val="11511" w:hRule="atLeast"/>
        </w:trPr>
        <w:tc>
          <w:tcPr>
            <w:tcW w:w="2881" w:type="dxa"/>
          </w:tcPr>
          <w:p>
            <w:pPr>
              <w:pStyle w:val="TableParagraph"/>
              <w:spacing w:before="1"/>
              <w:ind w:left="107" w:right="96"/>
              <w:jc w:val="both"/>
              <w:rPr>
                <w:sz w:val="24"/>
              </w:rPr>
            </w:pPr>
            <w:r>
              <w:rPr>
                <w:sz w:val="24"/>
              </w:rPr>
              <w:t>mangroves, </w:t>
            </w:r>
            <w:r>
              <w:rPr>
                <w:sz w:val="24"/>
              </w:rPr>
              <w:t>Hillocks, forest lands, open spaces, etc.They have been</w:t>
            </w:r>
            <w:r>
              <w:rPr>
                <w:spacing w:val="-20"/>
                <w:sz w:val="24"/>
              </w:rPr>
              <w:t> </w:t>
            </w:r>
            <w:r>
              <w:rPr>
                <w:sz w:val="24"/>
              </w:rPr>
              <w:t>and</w:t>
            </w:r>
            <w:r>
              <w:rPr>
                <w:spacing w:val="-19"/>
                <w:sz w:val="24"/>
              </w:rPr>
              <w:t> </w:t>
            </w:r>
            <w:r>
              <w:rPr>
                <w:sz w:val="24"/>
              </w:rPr>
              <w:t>are</w:t>
            </w:r>
            <w:r>
              <w:rPr>
                <w:spacing w:val="-19"/>
                <w:sz w:val="24"/>
              </w:rPr>
              <w:t> </w:t>
            </w:r>
            <w:r>
              <w:rPr>
                <w:sz w:val="24"/>
              </w:rPr>
              <w:t>the</w:t>
            </w:r>
            <w:r>
              <w:rPr>
                <w:spacing w:val="-19"/>
                <w:sz w:val="24"/>
              </w:rPr>
              <w:t> </w:t>
            </w:r>
            <w:r>
              <w:rPr>
                <w:sz w:val="24"/>
              </w:rPr>
              <w:t>prime landmarks of the City.</w:t>
            </w:r>
          </w:p>
          <w:p>
            <w:pPr>
              <w:pStyle w:val="TableParagraph"/>
              <w:spacing w:before="39"/>
              <w:ind w:left="107"/>
              <w:jc w:val="both"/>
              <w:rPr>
                <w:sz w:val="24"/>
              </w:rPr>
            </w:pPr>
            <w:r>
              <w:rPr>
                <w:sz w:val="24"/>
              </w:rPr>
              <w:t>Vista</w:t>
            </w:r>
            <w:r>
              <w:rPr>
                <w:spacing w:val="-3"/>
                <w:sz w:val="24"/>
              </w:rPr>
              <w:t> </w:t>
            </w:r>
            <w:r>
              <w:rPr>
                <w:sz w:val="24"/>
              </w:rPr>
              <w:t>of</w:t>
            </w:r>
            <w:r>
              <w:rPr>
                <w:spacing w:val="-1"/>
                <w:sz w:val="24"/>
              </w:rPr>
              <w:t> </w:t>
            </w:r>
            <w:r>
              <w:rPr>
                <w:sz w:val="24"/>
              </w:rPr>
              <w:t>Grade</w:t>
            </w:r>
            <w:r>
              <w:rPr>
                <w:spacing w:val="-1"/>
                <w:sz w:val="24"/>
              </w:rPr>
              <w:t> </w:t>
            </w:r>
            <w:r>
              <w:rPr>
                <w:sz w:val="24"/>
              </w:rPr>
              <w:t>I</w:t>
            </w:r>
            <w:r>
              <w:rPr>
                <w:spacing w:val="1"/>
                <w:sz w:val="24"/>
              </w:rPr>
              <w:t> </w:t>
            </w:r>
            <w:r>
              <w:rPr>
                <w:spacing w:val="-10"/>
                <w:sz w:val="24"/>
              </w:rPr>
              <w:t>:</w:t>
            </w:r>
          </w:p>
          <w:p>
            <w:pPr>
              <w:pStyle w:val="TableParagraph"/>
              <w:tabs>
                <w:tab w:pos="1600" w:val="left" w:leader="none"/>
              </w:tabs>
              <w:spacing w:line="276" w:lineRule="auto" w:before="138"/>
              <w:ind w:left="107" w:right="96"/>
              <w:jc w:val="both"/>
              <w:rPr>
                <w:sz w:val="24"/>
              </w:rPr>
            </w:pPr>
            <w:r>
              <w:rPr>
                <w:sz w:val="24"/>
              </w:rPr>
              <w:t>An area within 100 m. Periphery</w:t>
            </w:r>
            <w:r>
              <w:rPr>
                <w:spacing w:val="-18"/>
                <w:sz w:val="24"/>
              </w:rPr>
              <w:t> </w:t>
            </w:r>
            <w:r>
              <w:rPr>
                <w:sz w:val="24"/>
              </w:rPr>
              <w:t>or</w:t>
            </w:r>
            <w:r>
              <w:rPr>
                <w:spacing w:val="-17"/>
                <w:sz w:val="24"/>
              </w:rPr>
              <w:t> </w:t>
            </w:r>
            <w:r>
              <w:rPr>
                <w:sz w:val="24"/>
              </w:rPr>
              <w:t>as</w:t>
            </w:r>
            <w:r>
              <w:rPr>
                <w:spacing w:val="-17"/>
                <w:sz w:val="24"/>
              </w:rPr>
              <w:t> </w:t>
            </w:r>
            <w:r>
              <w:rPr>
                <w:sz w:val="24"/>
              </w:rPr>
              <w:t>may</w:t>
            </w:r>
            <w:r>
              <w:rPr>
                <w:spacing w:val="-20"/>
                <w:sz w:val="24"/>
              </w:rPr>
              <w:t> </w:t>
            </w:r>
            <w:r>
              <w:rPr>
                <w:sz w:val="24"/>
              </w:rPr>
              <w:t>be delineated on plan by </w:t>
            </w:r>
            <w:r>
              <w:rPr>
                <w:spacing w:val="-4"/>
                <w:sz w:val="24"/>
              </w:rPr>
              <w:t>the</w:t>
            </w:r>
            <w:r>
              <w:rPr>
                <w:sz w:val="24"/>
              </w:rPr>
              <w:tab/>
            </w:r>
            <w:r>
              <w:rPr>
                <w:spacing w:val="-2"/>
                <w:sz w:val="24"/>
              </w:rPr>
              <w:t>Municipal </w:t>
            </w:r>
            <w:r>
              <w:rPr>
                <w:sz w:val="24"/>
              </w:rPr>
              <w:t>Commissioner in consultation with MHCC shall be considered</w:t>
            </w:r>
            <w:r>
              <w:rPr>
                <w:spacing w:val="-20"/>
                <w:sz w:val="24"/>
              </w:rPr>
              <w:t> </w:t>
            </w:r>
            <w:r>
              <w:rPr>
                <w:sz w:val="24"/>
              </w:rPr>
              <w:t>as</w:t>
            </w:r>
            <w:r>
              <w:rPr>
                <w:spacing w:val="-19"/>
                <w:sz w:val="24"/>
              </w:rPr>
              <w:t> </w:t>
            </w:r>
            <w:r>
              <w:rPr>
                <w:sz w:val="24"/>
              </w:rPr>
              <w:t>the</w:t>
            </w:r>
            <w:r>
              <w:rPr>
                <w:spacing w:val="-19"/>
                <w:sz w:val="24"/>
              </w:rPr>
              <w:t> </w:t>
            </w:r>
            <w:r>
              <w:rPr>
                <w:sz w:val="24"/>
              </w:rPr>
              <w:t>vista of a Grade – I </w:t>
            </w:r>
            <w:r>
              <w:rPr>
                <w:spacing w:val="-2"/>
                <w:sz w:val="24"/>
              </w:rPr>
              <w:t>structure/entry.</w:t>
            </w:r>
          </w:p>
        </w:tc>
        <w:tc>
          <w:tcPr>
            <w:tcW w:w="2881" w:type="dxa"/>
          </w:tcPr>
          <w:p>
            <w:pPr>
              <w:pStyle w:val="TableParagraph"/>
              <w:spacing w:before="1"/>
              <w:ind w:left="107" w:right="97"/>
              <w:jc w:val="both"/>
              <w:rPr>
                <w:sz w:val="24"/>
              </w:rPr>
            </w:pPr>
            <w:r>
              <w:rPr>
                <w:sz w:val="24"/>
              </w:rPr>
              <w:t>the work of </w:t>
            </w:r>
            <w:r>
              <w:rPr>
                <w:sz w:val="24"/>
              </w:rPr>
              <w:t>master craftsmen or may be models of proportion and</w:t>
            </w:r>
            <w:r>
              <w:rPr>
                <w:spacing w:val="-12"/>
                <w:sz w:val="24"/>
              </w:rPr>
              <w:t> </w:t>
            </w:r>
            <w:r>
              <w:rPr>
                <w:sz w:val="24"/>
              </w:rPr>
              <w:t>ornamentation,</w:t>
            </w:r>
            <w:r>
              <w:rPr>
                <w:spacing w:val="-12"/>
                <w:sz w:val="24"/>
              </w:rPr>
              <w:t> </w:t>
            </w:r>
            <w:r>
              <w:rPr>
                <w:sz w:val="24"/>
              </w:rPr>
              <w:t>or designed to suit particular climate.</w:t>
            </w:r>
          </w:p>
          <w:p>
            <w:pPr>
              <w:pStyle w:val="TableParagraph"/>
              <w:tabs>
                <w:tab w:pos="1371" w:val="left" w:leader="none"/>
                <w:tab w:pos="1595" w:val="left" w:leader="none"/>
                <w:tab w:pos="2132" w:val="left" w:leader="none"/>
                <w:tab w:pos="2296" w:val="left" w:leader="none"/>
                <w:tab w:pos="2560" w:val="left" w:leader="none"/>
                <w:tab w:pos="2608" w:val="left" w:leader="none"/>
              </w:tabs>
              <w:spacing w:before="40"/>
              <w:ind w:left="179" w:right="96"/>
              <w:rPr>
                <w:sz w:val="24"/>
              </w:rPr>
            </w:pPr>
            <w:r>
              <w:rPr>
                <w:spacing w:val="-2"/>
                <w:sz w:val="24"/>
              </w:rPr>
              <w:t>Heritage</w:t>
            </w:r>
            <w:r>
              <w:rPr>
                <w:sz w:val="24"/>
              </w:rPr>
              <w:tab/>
            </w:r>
            <w:r>
              <w:rPr>
                <w:spacing w:val="-2"/>
                <w:sz w:val="24"/>
              </w:rPr>
              <w:t>Grade</w:t>
            </w:r>
            <w:r>
              <w:rPr>
                <w:sz w:val="24"/>
              </w:rPr>
              <w:tab/>
              <w:tab/>
            </w:r>
            <w:r>
              <w:rPr>
                <w:spacing w:val="-10"/>
                <w:sz w:val="24"/>
              </w:rPr>
              <w:t>-</w:t>
            </w:r>
            <w:r>
              <w:rPr>
                <w:sz w:val="24"/>
              </w:rPr>
              <w:tab/>
              <w:tab/>
            </w:r>
            <w:r>
              <w:rPr>
                <w:spacing w:val="-6"/>
                <w:sz w:val="24"/>
              </w:rPr>
              <w:t>II </w:t>
            </w:r>
            <w:r>
              <w:rPr>
                <w:sz w:val="24"/>
              </w:rPr>
              <w:t>buildings</w:t>
            </w:r>
            <w:r>
              <w:rPr>
                <w:spacing w:val="80"/>
                <w:sz w:val="24"/>
              </w:rPr>
              <w:t> </w:t>
            </w:r>
            <w:r>
              <w:rPr>
                <w:sz w:val="24"/>
              </w:rPr>
              <w:t>within</w:t>
            </w:r>
            <w:r>
              <w:rPr>
                <w:spacing w:val="80"/>
                <w:sz w:val="24"/>
              </w:rPr>
              <w:t> </w:t>
            </w:r>
            <w:r>
              <w:rPr>
                <w:sz w:val="24"/>
              </w:rPr>
              <w:t>the </w:t>
            </w:r>
            <w:r>
              <w:rPr>
                <w:spacing w:val="-2"/>
                <w:sz w:val="24"/>
              </w:rPr>
              <w:t>premises</w:t>
            </w:r>
            <w:r>
              <w:rPr>
                <w:sz w:val="24"/>
              </w:rPr>
              <w:tab/>
              <w:tab/>
              <w:tab/>
            </w:r>
            <w:r>
              <w:rPr>
                <w:spacing w:val="-4"/>
                <w:sz w:val="24"/>
              </w:rPr>
              <w:t>(open </w:t>
            </w:r>
            <w:r>
              <w:rPr>
                <w:spacing w:val="-2"/>
                <w:sz w:val="24"/>
              </w:rPr>
              <w:t>space/compound)</w:t>
            </w:r>
            <w:r>
              <w:rPr>
                <w:sz w:val="24"/>
              </w:rPr>
              <w:tab/>
              <w:tab/>
            </w:r>
            <w:r>
              <w:rPr>
                <w:spacing w:val="-6"/>
                <w:sz w:val="24"/>
              </w:rPr>
              <w:t>of </w:t>
            </w:r>
            <w:r>
              <w:rPr>
                <w:spacing w:val="-2"/>
                <w:sz w:val="24"/>
              </w:rPr>
              <w:t>which independent/separat</w:t>
            </w:r>
            <w:r>
              <w:rPr>
                <w:spacing w:val="40"/>
                <w:sz w:val="24"/>
              </w:rPr>
              <w:t> </w:t>
            </w:r>
            <w:r>
              <w:rPr>
                <w:spacing w:val="-10"/>
                <w:sz w:val="24"/>
              </w:rPr>
              <w:t>e</w:t>
            </w:r>
            <w:r>
              <w:rPr>
                <w:sz w:val="24"/>
              </w:rPr>
              <w:tab/>
              <w:tab/>
            </w:r>
            <w:r>
              <w:rPr>
                <w:spacing w:val="-2"/>
                <w:sz w:val="24"/>
              </w:rPr>
              <w:t>additional building(s)</w:t>
            </w:r>
          </w:p>
          <w:p>
            <w:pPr>
              <w:pStyle w:val="TableParagraph"/>
              <w:tabs>
                <w:tab w:pos="920" w:val="left" w:leader="none"/>
                <w:tab w:pos="1791" w:val="left" w:leader="none"/>
                <w:tab w:pos="2204" w:val="left" w:leader="none"/>
                <w:tab w:pos="2496" w:val="left" w:leader="none"/>
                <w:tab w:pos="2559" w:val="left" w:leader="none"/>
              </w:tabs>
              <w:spacing w:before="1"/>
              <w:ind w:left="179" w:right="97"/>
              <w:rPr>
                <w:sz w:val="24"/>
              </w:rPr>
            </w:pPr>
            <w:r>
              <w:rPr>
                <w:sz w:val="24"/>
              </w:rPr>
              <w:t>/structure(s)</w:t>
            </w:r>
            <w:r>
              <w:rPr>
                <w:spacing w:val="40"/>
                <w:sz w:val="24"/>
              </w:rPr>
              <w:t> </w:t>
            </w:r>
            <w:r>
              <w:rPr>
                <w:sz w:val="24"/>
              </w:rPr>
              <w:t>may</w:t>
            </w:r>
            <w:r>
              <w:rPr>
                <w:spacing w:val="40"/>
                <w:sz w:val="24"/>
              </w:rPr>
              <w:t> </w:t>
            </w:r>
            <w:r>
              <w:rPr>
                <w:sz w:val="24"/>
              </w:rPr>
              <w:t>be </w:t>
            </w:r>
            <w:r>
              <w:rPr>
                <w:spacing w:val="-2"/>
                <w:sz w:val="24"/>
              </w:rPr>
              <w:t>permitted</w:t>
            </w:r>
            <w:r>
              <w:rPr>
                <w:sz w:val="24"/>
              </w:rPr>
              <w:tab/>
            </w:r>
            <w:r>
              <w:rPr>
                <w:spacing w:val="-6"/>
                <w:sz w:val="24"/>
              </w:rPr>
              <w:t>to</w:t>
            </w:r>
            <w:r>
              <w:rPr>
                <w:sz w:val="24"/>
              </w:rPr>
              <w:tab/>
              <w:tab/>
            </w:r>
            <w:r>
              <w:rPr>
                <w:spacing w:val="-6"/>
                <w:sz w:val="24"/>
              </w:rPr>
              <w:t>be </w:t>
            </w:r>
            <w:r>
              <w:rPr>
                <w:sz w:val="24"/>
              </w:rPr>
              <w:t>constructed, owing to </w:t>
            </w:r>
            <w:r>
              <w:rPr>
                <w:spacing w:val="-4"/>
                <w:sz w:val="24"/>
              </w:rPr>
              <w:t>the</w:t>
            </w:r>
            <w:r>
              <w:rPr>
                <w:sz w:val="24"/>
              </w:rPr>
              <w:tab/>
            </w:r>
            <w:r>
              <w:rPr>
                <w:spacing w:val="-2"/>
                <w:sz w:val="24"/>
              </w:rPr>
              <w:t>availability</w:t>
            </w:r>
            <w:r>
              <w:rPr>
                <w:sz w:val="24"/>
              </w:rPr>
              <w:tab/>
              <w:tab/>
              <w:tab/>
            </w:r>
            <w:r>
              <w:rPr>
                <w:spacing w:val="-6"/>
                <w:sz w:val="24"/>
              </w:rPr>
              <w:t>of </w:t>
            </w:r>
            <w:r>
              <w:rPr>
                <w:spacing w:val="-2"/>
                <w:sz w:val="24"/>
              </w:rPr>
              <w:t>adequate</w:t>
            </w:r>
            <w:r>
              <w:rPr>
                <w:spacing w:val="80"/>
                <w:sz w:val="24"/>
              </w:rPr>
              <w:t> </w:t>
            </w:r>
            <w:r>
              <w:rPr>
                <w:spacing w:val="-2"/>
                <w:sz w:val="24"/>
              </w:rPr>
              <w:t>surrounding</w:t>
            </w:r>
            <w:r>
              <w:rPr>
                <w:sz w:val="24"/>
              </w:rPr>
              <w:tab/>
              <w:tab/>
            </w:r>
            <w:r>
              <w:rPr>
                <w:spacing w:val="-4"/>
                <w:sz w:val="24"/>
              </w:rPr>
              <w:t>open</w:t>
            </w:r>
          </w:p>
          <w:p>
            <w:pPr>
              <w:pStyle w:val="TableParagraph"/>
              <w:tabs>
                <w:tab w:pos="2325" w:val="left" w:leader="none"/>
              </w:tabs>
              <w:spacing w:line="281" w:lineRule="exact"/>
              <w:ind w:left="179"/>
              <w:jc w:val="both"/>
              <w:rPr>
                <w:sz w:val="24"/>
              </w:rPr>
            </w:pPr>
            <w:r>
              <w:rPr>
                <w:spacing w:val="-2"/>
                <w:sz w:val="24"/>
              </w:rPr>
              <w:t>space</w:t>
            </w:r>
            <w:r>
              <w:rPr>
                <w:sz w:val="24"/>
              </w:rPr>
              <w:tab/>
            </w:r>
            <w:r>
              <w:rPr>
                <w:spacing w:val="-5"/>
                <w:sz w:val="24"/>
              </w:rPr>
              <w:t>and</w:t>
            </w:r>
          </w:p>
          <w:p>
            <w:pPr>
              <w:pStyle w:val="TableParagraph"/>
              <w:ind w:left="179" w:right="95"/>
              <w:jc w:val="both"/>
              <w:rPr>
                <w:sz w:val="24"/>
              </w:rPr>
            </w:pPr>
            <w:r>
              <w:rPr>
                <w:sz w:val="24"/>
              </w:rPr>
              <w:t>unconsumed FSI, have been assigned Grade- IIB. </w:t>
            </w:r>
            <w:r>
              <w:rPr>
                <w:sz w:val="24"/>
              </w:rPr>
              <w:t>The remaining Grade- II buildings have been assigned Grade –IIA.</w:t>
            </w:r>
          </w:p>
        </w:tc>
        <w:tc>
          <w:tcPr>
            <w:tcW w:w="2989" w:type="dxa"/>
          </w:tcPr>
          <w:p>
            <w:pPr>
              <w:pStyle w:val="TableParagraph"/>
              <w:tabs>
                <w:tab w:pos="2599" w:val="left" w:leader="none"/>
              </w:tabs>
              <w:spacing w:before="1"/>
              <w:ind w:left="106" w:right="98"/>
              <w:jc w:val="both"/>
              <w:rPr>
                <w:sz w:val="24"/>
              </w:rPr>
            </w:pPr>
            <w:r>
              <w:rPr>
                <w:sz w:val="24"/>
              </w:rPr>
              <w:t>community or </w:t>
            </w:r>
            <w:r>
              <w:rPr>
                <w:sz w:val="24"/>
              </w:rPr>
              <w:t>region and may also be </w:t>
            </w:r>
            <w:r>
              <w:rPr>
                <w:spacing w:val="-2"/>
                <w:sz w:val="24"/>
              </w:rPr>
              <w:t>distinguished</w:t>
            </w:r>
            <w:r>
              <w:rPr>
                <w:sz w:val="24"/>
              </w:rPr>
              <w:tab/>
            </w:r>
            <w:r>
              <w:rPr>
                <w:spacing w:val="-6"/>
                <w:sz w:val="24"/>
              </w:rPr>
              <w:t>by </w:t>
            </w:r>
            <w:r>
              <w:rPr>
                <w:sz w:val="24"/>
              </w:rPr>
              <w:t>setting on a street line or special character of the façade and uniformity of height, width and scale.</w:t>
            </w:r>
          </w:p>
          <w:p>
            <w:pPr>
              <w:pStyle w:val="TableParagraph"/>
              <w:spacing w:before="38"/>
              <w:ind w:left="106"/>
              <w:rPr>
                <w:sz w:val="24"/>
              </w:rPr>
            </w:pPr>
            <w:r>
              <w:rPr>
                <w:spacing w:val="-2"/>
                <w:sz w:val="24"/>
              </w:rPr>
              <w:t>PRECINCT</w:t>
            </w:r>
          </w:p>
          <w:p>
            <w:pPr>
              <w:pStyle w:val="TableParagraph"/>
              <w:spacing w:before="40"/>
              <w:ind w:left="106"/>
              <w:jc w:val="both"/>
              <w:rPr>
                <w:sz w:val="24"/>
              </w:rPr>
            </w:pPr>
            <w:r>
              <w:rPr>
                <w:sz w:val="24"/>
              </w:rPr>
              <w:t>A.</w:t>
            </w:r>
            <w:r>
              <w:rPr>
                <w:spacing w:val="-4"/>
                <w:sz w:val="24"/>
              </w:rPr>
              <w:t> </w:t>
            </w:r>
            <w:r>
              <w:rPr>
                <w:sz w:val="24"/>
              </w:rPr>
              <w:t>Definition</w:t>
            </w:r>
            <w:r>
              <w:rPr>
                <w:spacing w:val="-2"/>
                <w:sz w:val="24"/>
              </w:rPr>
              <w:t> </w:t>
            </w:r>
            <w:r>
              <w:rPr>
                <w:spacing w:val="-10"/>
                <w:sz w:val="24"/>
              </w:rPr>
              <w:t>–</w:t>
            </w:r>
          </w:p>
          <w:p>
            <w:pPr>
              <w:pStyle w:val="TableParagraph"/>
              <w:spacing w:before="40"/>
              <w:ind w:left="106" w:right="98"/>
              <w:jc w:val="both"/>
              <w:rPr>
                <w:sz w:val="24"/>
              </w:rPr>
            </w:pPr>
            <w:r>
              <w:rPr>
                <w:sz w:val="24"/>
              </w:rPr>
              <w:t>A heritage precinct </w:t>
            </w:r>
            <w:r>
              <w:rPr>
                <w:sz w:val="24"/>
              </w:rPr>
              <w:t>is an area of heritage value and cultural significance. Such area within a specified boundary may possess a</w:t>
            </w:r>
            <w:r>
              <w:rPr>
                <w:spacing w:val="-7"/>
                <w:sz w:val="24"/>
              </w:rPr>
              <w:t> </w:t>
            </w:r>
            <w:r>
              <w:rPr>
                <w:sz w:val="24"/>
              </w:rPr>
              <w:t>setting</w:t>
            </w:r>
            <w:r>
              <w:rPr>
                <w:spacing w:val="-7"/>
                <w:sz w:val="24"/>
              </w:rPr>
              <w:t> </w:t>
            </w:r>
            <w:r>
              <w:rPr>
                <w:sz w:val="24"/>
              </w:rPr>
              <w:t>reminiscent</w:t>
            </w:r>
            <w:r>
              <w:rPr>
                <w:spacing w:val="-7"/>
                <w:sz w:val="24"/>
              </w:rPr>
              <w:t> </w:t>
            </w:r>
            <w:r>
              <w:rPr>
                <w:sz w:val="24"/>
              </w:rPr>
              <w:t>of significant</w:t>
            </w:r>
            <w:r>
              <w:rPr>
                <w:spacing w:val="58"/>
                <w:w w:val="150"/>
                <w:sz w:val="24"/>
              </w:rPr>
              <w:t> </w:t>
            </w:r>
            <w:r>
              <w:rPr>
                <w:spacing w:val="-2"/>
                <w:sz w:val="24"/>
              </w:rPr>
              <w:t>urbanscape</w:t>
            </w:r>
          </w:p>
          <w:p>
            <w:pPr>
              <w:pStyle w:val="TableParagraph"/>
              <w:tabs>
                <w:tab w:pos="2431" w:val="left" w:leader="none"/>
              </w:tabs>
              <w:spacing w:before="1"/>
              <w:ind w:left="106" w:right="96"/>
              <w:jc w:val="both"/>
              <w:rPr>
                <w:sz w:val="24"/>
              </w:rPr>
            </w:pPr>
            <w:r>
              <w:rPr>
                <w:sz w:val="24"/>
              </w:rPr>
              <w:t>/</w:t>
            </w:r>
            <w:r>
              <w:rPr>
                <w:spacing w:val="-8"/>
                <w:sz w:val="24"/>
              </w:rPr>
              <w:t> </w:t>
            </w:r>
            <w:r>
              <w:rPr>
                <w:sz w:val="24"/>
              </w:rPr>
              <w:t>townscape</w:t>
            </w:r>
            <w:r>
              <w:rPr>
                <w:spacing w:val="40"/>
                <w:sz w:val="24"/>
              </w:rPr>
              <w:t> </w:t>
            </w:r>
            <w:r>
              <w:rPr>
                <w:sz w:val="24"/>
              </w:rPr>
              <w:t>attributes and comprising </w:t>
            </w:r>
            <w:r>
              <w:rPr>
                <w:sz w:val="24"/>
              </w:rPr>
              <w:t>a number of buildings and spaces, within a structure of streets / roads and other </w:t>
            </w:r>
            <w:r>
              <w:rPr>
                <w:spacing w:val="-2"/>
                <w:sz w:val="24"/>
              </w:rPr>
              <w:t>landscapes</w:t>
            </w:r>
            <w:r>
              <w:rPr>
                <w:sz w:val="24"/>
              </w:rPr>
              <w:tab/>
            </w:r>
            <w:r>
              <w:rPr>
                <w:spacing w:val="-20"/>
                <w:sz w:val="24"/>
              </w:rPr>
              <w:t> </w:t>
            </w:r>
            <w:r>
              <w:rPr>
                <w:spacing w:val="-6"/>
                <w:w w:val="90"/>
                <w:sz w:val="24"/>
              </w:rPr>
              <w:t>and </w:t>
            </w:r>
            <w:r>
              <w:rPr>
                <w:sz w:val="24"/>
              </w:rPr>
              <w:t>qualifies to have cultural or heritage significance worthy of </w:t>
            </w:r>
            <w:r>
              <w:rPr>
                <w:spacing w:val="-2"/>
                <w:sz w:val="24"/>
              </w:rPr>
              <w:t>recognition</w:t>
            </w:r>
            <w:r>
              <w:rPr>
                <w:sz w:val="24"/>
              </w:rPr>
              <w:tab/>
            </w:r>
            <w:r>
              <w:rPr>
                <w:spacing w:val="-4"/>
                <w:sz w:val="24"/>
              </w:rPr>
              <w:t>and </w:t>
            </w:r>
            <w:r>
              <w:rPr>
                <w:spacing w:val="-2"/>
                <w:sz w:val="24"/>
              </w:rPr>
              <w:t>conservation.</w:t>
            </w:r>
          </w:p>
          <w:p>
            <w:pPr>
              <w:pStyle w:val="TableParagraph"/>
              <w:tabs>
                <w:tab w:pos="2259" w:val="left" w:leader="none"/>
              </w:tabs>
              <w:spacing w:before="42"/>
              <w:ind w:left="106" w:right="96"/>
              <w:jc w:val="both"/>
              <w:rPr>
                <w:sz w:val="24"/>
              </w:rPr>
            </w:pPr>
            <w:r>
              <w:rPr>
                <w:sz w:val="24"/>
              </w:rPr>
              <w:t>Such area espouses special quality </w:t>
            </w:r>
            <w:r>
              <w:rPr>
                <w:sz w:val="24"/>
              </w:rPr>
              <w:t>of cohesiveness (mass, </w:t>
            </w:r>
            <w:r>
              <w:rPr>
                <w:spacing w:val="-2"/>
                <w:sz w:val="24"/>
              </w:rPr>
              <w:t>scale,</w:t>
            </w:r>
            <w:r>
              <w:rPr>
                <w:sz w:val="24"/>
              </w:rPr>
              <w:tab/>
            </w:r>
            <w:r>
              <w:rPr>
                <w:spacing w:val="-2"/>
                <w:sz w:val="24"/>
              </w:rPr>
              <w:t>style,</w:t>
            </w:r>
          </w:p>
          <w:p>
            <w:pPr>
              <w:pStyle w:val="TableParagraph"/>
              <w:tabs>
                <w:tab w:pos="2388" w:val="left" w:leader="none"/>
              </w:tabs>
              <w:ind w:left="106" w:right="96"/>
              <w:jc w:val="both"/>
              <w:rPr>
                <w:sz w:val="24"/>
              </w:rPr>
            </w:pPr>
            <w:r>
              <w:rPr>
                <w:spacing w:val="-2"/>
                <w:sz w:val="24"/>
              </w:rPr>
              <w:t>architecture</w:t>
            </w:r>
            <w:r>
              <w:rPr>
                <w:sz w:val="24"/>
              </w:rPr>
              <w:tab/>
            </w:r>
            <w:r>
              <w:rPr>
                <w:spacing w:val="-2"/>
                <w:sz w:val="24"/>
              </w:rPr>
              <w:t>etc.) </w:t>
            </w:r>
            <w:r>
              <w:rPr>
                <w:sz w:val="24"/>
              </w:rPr>
              <w:t>between its various elements, lending a unique sense of place and cultural setting.</w:t>
            </w:r>
          </w:p>
        </w:tc>
      </w:tr>
      <w:tr>
        <w:trPr>
          <w:trHeight w:val="1247" w:hRule="atLeast"/>
        </w:trPr>
        <w:tc>
          <w:tcPr>
            <w:tcW w:w="2881" w:type="dxa"/>
          </w:tcPr>
          <w:p>
            <w:pPr>
              <w:pStyle w:val="TableParagraph"/>
              <w:spacing w:before="37"/>
              <w:ind w:left="107"/>
              <w:jc w:val="both"/>
              <w:rPr>
                <w:sz w:val="24"/>
              </w:rPr>
            </w:pPr>
            <w:r>
              <w:rPr>
                <w:sz w:val="24"/>
              </w:rPr>
              <w:t>B. </w:t>
            </w:r>
            <w:r>
              <w:rPr>
                <w:spacing w:val="-2"/>
                <w:sz w:val="24"/>
              </w:rPr>
              <w:t>Objective–</w:t>
            </w:r>
          </w:p>
          <w:p>
            <w:pPr>
              <w:pStyle w:val="TableParagraph"/>
              <w:spacing w:before="42"/>
              <w:ind w:left="107" w:right="96"/>
              <w:jc w:val="both"/>
              <w:rPr>
                <w:sz w:val="24"/>
              </w:rPr>
            </w:pPr>
            <w:r>
              <w:rPr>
                <w:sz w:val="24"/>
              </w:rPr>
              <w:t>Heritage Grade – </w:t>
            </w:r>
            <w:r>
              <w:rPr>
                <w:sz w:val="24"/>
              </w:rPr>
              <w:t>I richly deserves careful </w:t>
            </w:r>
            <w:r>
              <w:rPr>
                <w:spacing w:val="-2"/>
                <w:sz w:val="24"/>
              </w:rPr>
              <w:t>preservation.</w:t>
            </w:r>
          </w:p>
        </w:tc>
        <w:tc>
          <w:tcPr>
            <w:tcW w:w="2881" w:type="dxa"/>
          </w:tcPr>
          <w:p>
            <w:pPr>
              <w:pStyle w:val="TableParagraph"/>
              <w:tabs>
                <w:tab w:pos="1316" w:val="left" w:leader="none"/>
                <w:tab w:pos="1604" w:val="left" w:leader="none"/>
                <w:tab w:pos="2258" w:val="left" w:leader="none"/>
                <w:tab w:pos="2608" w:val="left" w:leader="none"/>
              </w:tabs>
              <w:spacing w:line="252" w:lineRule="auto" w:before="37"/>
              <w:ind w:left="107" w:right="97"/>
              <w:rPr>
                <w:sz w:val="24"/>
              </w:rPr>
            </w:pPr>
            <w:r>
              <w:rPr>
                <w:sz w:val="24"/>
              </w:rPr>
              <w:t>B. Objective—</w:t>
            </w:r>
            <w:r>
              <w:rPr>
                <w:spacing w:val="40"/>
                <w:sz w:val="24"/>
              </w:rPr>
              <w:t> </w:t>
            </w:r>
            <w:r>
              <w:rPr>
                <w:spacing w:val="-2"/>
                <w:sz w:val="24"/>
              </w:rPr>
              <w:t>Heritage</w:t>
            </w:r>
            <w:r>
              <w:rPr>
                <w:sz w:val="24"/>
              </w:rPr>
              <w:tab/>
            </w:r>
            <w:r>
              <w:rPr>
                <w:spacing w:val="-2"/>
                <w:sz w:val="24"/>
              </w:rPr>
              <w:t>Grade</w:t>
            </w:r>
            <w:r>
              <w:rPr>
                <w:sz w:val="24"/>
              </w:rPr>
              <w:tab/>
            </w:r>
            <w:r>
              <w:rPr>
                <w:spacing w:val="-10"/>
                <w:sz w:val="24"/>
              </w:rPr>
              <w:t>–</w:t>
            </w:r>
            <w:r>
              <w:rPr>
                <w:sz w:val="24"/>
              </w:rPr>
              <w:tab/>
            </w:r>
            <w:r>
              <w:rPr>
                <w:spacing w:val="-6"/>
                <w:sz w:val="24"/>
              </w:rPr>
              <w:t>I</w:t>
            </w:r>
            <w:r>
              <w:rPr>
                <w:spacing w:val="-6"/>
                <w:sz w:val="24"/>
              </w:rPr>
              <w:t>I</w:t>
            </w:r>
            <w:r>
              <w:rPr>
                <w:spacing w:val="-6"/>
                <w:sz w:val="24"/>
              </w:rPr>
              <w:t> </w:t>
            </w:r>
            <w:r>
              <w:rPr>
                <w:spacing w:val="-2"/>
                <w:sz w:val="24"/>
              </w:rPr>
              <w:t>deserves</w:t>
            </w:r>
            <w:r>
              <w:rPr>
                <w:sz w:val="24"/>
              </w:rPr>
              <w:tab/>
              <w:tab/>
            </w:r>
            <w:r>
              <w:rPr>
                <w:spacing w:val="-2"/>
                <w:sz w:val="24"/>
              </w:rPr>
              <w:t>intelligen</w:t>
            </w:r>
            <w:r>
              <w:rPr>
                <w:spacing w:val="-2"/>
                <w:sz w:val="24"/>
              </w:rPr>
              <w:t>t</w:t>
            </w:r>
            <w:r>
              <w:rPr>
                <w:spacing w:val="-2"/>
                <w:sz w:val="24"/>
              </w:rPr>
              <w:t> conservation.</w:t>
            </w:r>
          </w:p>
        </w:tc>
        <w:tc>
          <w:tcPr>
            <w:tcW w:w="2989" w:type="dxa"/>
          </w:tcPr>
          <w:p>
            <w:pPr>
              <w:pStyle w:val="TableParagraph"/>
              <w:spacing w:before="37"/>
              <w:ind w:left="466"/>
              <w:rPr>
                <w:sz w:val="24"/>
              </w:rPr>
            </w:pPr>
            <w:r>
              <w:rPr>
                <w:sz w:val="24"/>
              </w:rPr>
              <w:t>B.</w:t>
            </w:r>
            <w:r>
              <w:rPr>
                <w:spacing w:val="26"/>
                <w:sz w:val="24"/>
              </w:rPr>
              <w:t> </w:t>
            </w:r>
            <w:r>
              <w:rPr>
                <w:spacing w:val="-2"/>
                <w:sz w:val="24"/>
              </w:rPr>
              <w:t>Objective—</w:t>
            </w:r>
          </w:p>
          <w:p>
            <w:pPr>
              <w:pStyle w:val="TableParagraph"/>
              <w:spacing w:before="42"/>
              <w:ind w:left="106"/>
              <w:rPr>
                <w:b/>
                <w:sz w:val="24"/>
              </w:rPr>
            </w:pPr>
            <w:r>
              <w:rPr>
                <w:b/>
                <w:sz w:val="24"/>
              </w:rPr>
              <w:t>Grade</w:t>
            </w:r>
            <w:r>
              <w:rPr>
                <w:b/>
                <w:spacing w:val="-2"/>
                <w:sz w:val="24"/>
              </w:rPr>
              <w:t> </w:t>
            </w:r>
            <w:r>
              <w:rPr>
                <w:b/>
                <w:sz w:val="24"/>
              </w:rPr>
              <w:t>–</w:t>
            </w:r>
            <w:r>
              <w:rPr>
                <w:b/>
                <w:spacing w:val="-2"/>
                <w:sz w:val="24"/>
              </w:rPr>
              <w:t> </w:t>
            </w:r>
            <w:r>
              <w:rPr>
                <w:b/>
                <w:spacing w:val="-5"/>
                <w:sz w:val="24"/>
              </w:rPr>
              <w:t>III</w:t>
            </w:r>
          </w:p>
          <w:p>
            <w:pPr>
              <w:pStyle w:val="TableParagraph"/>
              <w:tabs>
                <w:tab w:pos="1457" w:val="left" w:leader="none"/>
                <w:tab w:pos="2538" w:val="left" w:leader="none"/>
              </w:tabs>
              <w:spacing w:line="280" w:lineRule="exact" w:before="25"/>
              <w:ind w:left="106" w:right="96"/>
              <w:rPr>
                <w:sz w:val="24"/>
              </w:rPr>
            </w:pPr>
            <w:r>
              <w:rPr>
                <w:spacing w:val="-2"/>
                <w:sz w:val="24"/>
              </w:rPr>
              <w:t>Heritage</w:t>
            </w:r>
            <w:r>
              <w:rPr>
                <w:sz w:val="24"/>
              </w:rPr>
              <w:tab/>
            </w:r>
            <w:r>
              <w:rPr>
                <w:spacing w:val="-2"/>
                <w:sz w:val="24"/>
              </w:rPr>
              <w:t>Grade</w:t>
            </w:r>
            <w:r>
              <w:rPr>
                <w:sz w:val="24"/>
              </w:rPr>
              <w:tab/>
            </w:r>
            <w:r>
              <w:rPr>
                <w:spacing w:val="-4"/>
                <w:sz w:val="24"/>
              </w:rPr>
              <w:t>-</w:t>
            </w:r>
            <w:r>
              <w:rPr>
                <w:spacing w:val="-4"/>
                <w:sz w:val="24"/>
              </w:rPr>
              <w:t>III </w:t>
            </w:r>
            <w:r>
              <w:rPr>
                <w:sz w:val="24"/>
              </w:rPr>
              <w:t>Deserves</w:t>
            </w:r>
            <w:r>
              <w:rPr>
                <w:spacing w:val="45"/>
                <w:w w:val="150"/>
                <w:sz w:val="24"/>
              </w:rPr>
              <w:t> </w:t>
            </w:r>
            <w:r>
              <w:rPr>
                <w:sz w:val="24"/>
              </w:rPr>
              <w:t>protection</w:t>
            </w:r>
            <w:r>
              <w:rPr>
                <w:spacing w:val="44"/>
                <w:w w:val="150"/>
                <w:sz w:val="24"/>
              </w:rPr>
              <w:t> </w:t>
            </w:r>
            <w:r>
              <w:rPr>
                <w:spacing w:val="-5"/>
                <w:sz w:val="24"/>
              </w:rPr>
              <w:t>of</w:t>
            </w:r>
          </w:p>
        </w:tc>
      </w:tr>
    </w:tbl>
    <w:p>
      <w:pPr>
        <w:pStyle w:val="TableParagraph"/>
        <w:spacing w:after="0" w:line="280" w:lineRule="exact"/>
        <w:rPr>
          <w:sz w:val="24"/>
        </w:rPr>
        <w:sectPr>
          <w:pgSz w:w="11910" w:h="16840"/>
          <w:pgMar w:header="1058" w:footer="1117" w:top="1500" w:bottom="1300" w:left="360" w:right="360"/>
        </w:sectPr>
      </w:pPr>
    </w:p>
    <w:p>
      <w:pPr>
        <w:pStyle w:val="BodyText"/>
        <w:spacing w:before="20"/>
        <w:jc w:val="left"/>
        <w:rPr>
          <w:sz w:val="20"/>
        </w:rPr>
      </w:pPr>
    </w:p>
    <w:tbl>
      <w:tblPr>
        <w:tblW w:w="0" w:type="auto"/>
        <w:jc w:val="left"/>
        <w:tblInd w:w="1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989"/>
      </w:tblGrid>
      <w:tr>
        <w:trPr>
          <w:trHeight w:val="362" w:hRule="atLeast"/>
        </w:trPr>
        <w:tc>
          <w:tcPr>
            <w:tcW w:w="2881" w:type="dxa"/>
            <w:shd w:val="clear" w:color="auto" w:fill="EDEBE0"/>
          </w:tcPr>
          <w:p>
            <w:pPr>
              <w:pStyle w:val="TableParagraph"/>
              <w:spacing w:before="40"/>
              <w:ind w:left="107"/>
              <w:rPr>
                <w:sz w:val="24"/>
              </w:rPr>
            </w:pPr>
            <w:r>
              <w:rPr>
                <w:sz w:val="24"/>
              </w:rPr>
              <w:t>Grade – </w:t>
            </w:r>
            <w:r>
              <w:rPr>
                <w:spacing w:val="-10"/>
                <w:sz w:val="24"/>
              </w:rPr>
              <w:t>I</w:t>
            </w:r>
          </w:p>
        </w:tc>
        <w:tc>
          <w:tcPr>
            <w:tcW w:w="2881" w:type="dxa"/>
            <w:shd w:val="clear" w:color="auto" w:fill="EDEBE0"/>
          </w:tcPr>
          <w:p>
            <w:pPr>
              <w:pStyle w:val="TableParagraph"/>
              <w:spacing w:before="40"/>
              <w:ind w:left="107"/>
              <w:rPr>
                <w:sz w:val="24"/>
              </w:rPr>
            </w:pPr>
            <w:r>
              <w:rPr>
                <w:sz w:val="24"/>
              </w:rPr>
              <w:t>Grade – </w:t>
            </w:r>
            <w:r>
              <w:rPr>
                <w:spacing w:val="-5"/>
                <w:sz w:val="24"/>
              </w:rPr>
              <w:t>II</w:t>
            </w:r>
          </w:p>
        </w:tc>
        <w:tc>
          <w:tcPr>
            <w:tcW w:w="2989" w:type="dxa"/>
            <w:shd w:val="clear" w:color="auto" w:fill="EDEBE0"/>
          </w:tcPr>
          <w:p>
            <w:pPr>
              <w:pStyle w:val="TableParagraph"/>
              <w:spacing w:before="40"/>
              <w:ind w:left="106"/>
              <w:rPr>
                <w:sz w:val="24"/>
              </w:rPr>
            </w:pPr>
            <w:r>
              <w:rPr>
                <w:sz w:val="24"/>
              </w:rPr>
              <w:t>Grade – </w:t>
            </w:r>
            <w:r>
              <w:rPr>
                <w:spacing w:val="-2"/>
                <w:sz w:val="24"/>
              </w:rPr>
              <w:t>III/PRECINCT</w:t>
            </w:r>
          </w:p>
        </w:tc>
      </w:tr>
      <w:tr>
        <w:trPr>
          <w:trHeight w:val="2774" w:hRule="atLeast"/>
        </w:trPr>
        <w:tc>
          <w:tcPr>
            <w:tcW w:w="2881" w:type="dxa"/>
          </w:tcPr>
          <w:p>
            <w:pPr>
              <w:pStyle w:val="TableParagraph"/>
              <w:rPr>
                <w:rFonts w:ascii="Times New Roman"/>
                <w:sz w:val="22"/>
              </w:rPr>
            </w:pPr>
          </w:p>
        </w:tc>
        <w:tc>
          <w:tcPr>
            <w:tcW w:w="2881" w:type="dxa"/>
          </w:tcPr>
          <w:p>
            <w:pPr>
              <w:pStyle w:val="TableParagraph"/>
              <w:rPr>
                <w:rFonts w:ascii="Times New Roman"/>
                <w:sz w:val="22"/>
              </w:rPr>
            </w:pPr>
          </w:p>
        </w:tc>
        <w:tc>
          <w:tcPr>
            <w:tcW w:w="2989" w:type="dxa"/>
          </w:tcPr>
          <w:p>
            <w:pPr>
              <w:pStyle w:val="TableParagraph"/>
              <w:spacing w:before="1"/>
              <w:ind w:left="106" w:right="98"/>
              <w:jc w:val="both"/>
              <w:rPr>
                <w:sz w:val="24"/>
              </w:rPr>
            </w:pPr>
            <w:r>
              <w:rPr>
                <w:sz w:val="24"/>
              </w:rPr>
              <w:t>unique features </w:t>
            </w:r>
            <w:r>
              <w:rPr>
                <w:sz w:val="24"/>
              </w:rPr>
              <w:t>and </w:t>
            </w:r>
            <w:r>
              <w:rPr>
                <w:spacing w:val="-2"/>
                <w:sz w:val="24"/>
              </w:rPr>
              <w:t>attributes.</w:t>
            </w:r>
          </w:p>
          <w:p>
            <w:pPr>
              <w:pStyle w:val="TableParagraph"/>
              <w:spacing w:before="39"/>
              <w:ind w:left="106"/>
              <w:rPr>
                <w:b/>
                <w:sz w:val="24"/>
              </w:rPr>
            </w:pPr>
            <w:r>
              <w:rPr>
                <w:b/>
                <w:spacing w:val="-2"/>
                <w:sz w:val="24"/>
              </w:rPr>
              <w:t>PRECINCT</w:t>
            </w:r>
          </w:p>
          <w:p>
            <w:pPr>
              <w:pStyle w:val="TableParagraph"/>
              <w:tabs>
                <w:tab w:pos="2073" w:val="left" w:leader="none"/>
              </w:tabs>
              <w:spacing w:before="40"/>
              <w:ind w:left="106" w:right="98"/>
              <w:jc w:val="both"/>
              <w:rPr>
                <w:sz w:val="22"/>
              </w:rPr>
            </w:pPr>
            <w:r>
              <w:rPr>
                <w:spacing w:val="-2"/>
                <w:sz w:val="22"/>
              </w:rPr>
              <w:t>Precincts</w:t>
            </w:r>
            <w:r>
              <w:rPr>
                <w:sz w:val="22"/>
              </w:rPr>
              <w:tab/>
            </w:r>
            <w:r>
              <w:rPr>
                <w:spacing w:val="-2"/>
                <w:sz w:val="22"/>
              </w:rPr>
              <w:t>deserve </w:t>
            </w:r>
            <w:r>
              <w:rPr>
                <w:sz w:val="22"/>
              </w:rPr>
              <w:t>sensitive development in terms of mass, scale, setting and require conservation of its heritage and cultural </w:t>
            </w:r>
            <w:r>
              <w:rPr>
                <w:spacing w:val="-2"/>
                <w:sz w:val="22"/>
              </w:rPr>
              <w:t>significance.</w:t>
            </w:r>
          </w:p>
        </w:tc>
      </w:tr>
      <w:tr>
        <w:trPr>
          <w:trHeight w:val="9982" w:hRule="atLeast"/>
        </w:trPr>
        <w:tc>
          <w:tcPr>
            <w:tcW w:w="2881" w:type="dxa"/>
          </w:tcPr>
          <w:p>
            <w:pPr>
              <w:pStyle w:val="TableParagraph"/>
              <w:spacing w:line="282" w:lineRule="exact" w:before="40"/>
              <w:ind w:left="107"/>
              <w:jc w:val="both"/>
              <w:rPr>
                <w:sz w:val="24"/>
              </w:rPr>
            </w:pPr>
            <w:r>
              <w:rPr>
                <w:sz w:val="24"/>
              </w:rPr>
              <w:t>C.</w:t>
            </w:r>
            <w:r>
              <w:rPr>
                <w:spacing w:val="-10"/>
                <w:sz w:val="24"/>
              </w:rPr>
              <w:t> </w:t>
            </w:r>
            <w:r>
              <w:rPr>
                <w:sz w:val="24"/>
              </w:rPr>
              <w:t>Scope</w:t>
            </w:r>
            <w:r>
              <w:rPr>
                <w:spacing w:val="-10"/>
                <w:sz w:val="24"/>
              </w:rPr>
              <w:t> </w:t>
            </w:r>
            <w:r>
              <w:rPr>
                <w:sz w:val="24"/>
              </w:rPr>
              <w:t>for</w:t>
            </w:r>
            <w:r>
              <w:rPr>
                <w:spacing w:val="-10"/>
                <w:sz w:val="24"/>
              </w:rPr>
              <w:t> </w:t>
            </w:r>
            <w:r>
              <w:rPr>
                <w:sz w:val="24"/>
              </w:rPr>
              <w:t>Changes</w:t>
            </w:r>
            <w:r>
              <w:rPr>
                <w:spacing w:val="-10"/>
                <w:sz w:val="24"/>
              </w:rPr>
              <w:t> –</w:t>
            </w:r>
          </w:p>
          <w:p>
            <w:pPr>
              <w:pStyle w:val="TableParagraph"/>
              <w:numPr>
                <w:ilvl w:val="0"/>
                <w:numId w:val="322"/>
              </w:numPr>
              <w:tabs>
                <w:tab w:pos="250" w:val="left" w:leader="none"/>
                <w:tab w:pos="2560" w:val="left" w:leader="none"/>
              </w:tabs>
              <w:spacing w:line="240" w:lineRule="auto" w:before="0" w:after="0"/>
              <w:ind w:left="107" w:right="96" w:firstLine="0"/>
              <w:jc w:val="both"/>
              <w:rPr>
                <w:sz w:val="22"/>
              </w:rPr>
            </w:pPr>
            <w:r>
              <w:rPr>
                <w:color w:val="000000"/>
                <w:sz w:val="24"/>
              </w:rPr>
              <w:t>No </w:t>
            </w:r>
            <w:r>
              <w:rPr>
                <w:color w:val="000000"/>
                <w:sz w:val="24"/>
              </w:rPr>
              <w:t>interventions would be permitted either on the exterior or interior unless it is necessary in the </w:t>
            </w:r>
            <w:r>
              <w:rPr>
                <w:color w:val="000000"/>
                <w:spacing w:val="-2"/>
                <w:sz w:val="24"/>
              </w:rPr>
              <w:t>interest</w:t>
            </w:r>
            <w:r>
              <w:rPr>
                <w:color w:val="000000"/>
                <w:sz w:val="24"/>
              </w:rPr>
              <w:tab/>
            </w:r>
            <w:r>
              <w:rPr>
                <w:color w:val="000000"/>
                <w:spacing w:val="-5"/>
                <w:sz w:val="24"/>
              </w:rPr>
              <w:t>of</w:t>
            </w:r>
          </w:p>
          <w:p>
            <w:pPr>
              <w:pStyle w:val="TableParagraph"/>
              <w:tabs>
                <w:tab w:pos="2325" w:val="left" w:leader="none"/>
              </w:tabs>
              <w:ind w:left="107" w:right="97"/>
              <w:jc w:val="both"/>
              <w:rPr>
                <w:sz w:val="24"/>
              </w:rPr>
            </w:pPr>
            <w:r>
              <w:rPr>
                <w:sz w:val="24"/>
              </w:rPr>
              <w:t>strengthening </w:t>
            </w:r>
            <w:r>
              <w:rPr>
                <w:sz w:val="24"/>
              </w:rPr>
              <w:t>and prolonging the life of the buildings</w:t>
            </w:r>
            <w:r>
              <w:rPr>
                <w:spacing w:val="40"/>
                <w:sz w:val="24"/>
              </w:rPr>
              <w:t> </w:t>
            </w:r>
            <w:r>
              <w:rPr>
                <w:sz w:val="24"/>
              </w:rPr>
              <w:t>or any part or features thereof. For this purpose, absolutely </w:t>
            </w:r>
            <w:r>
              <w:rPr>
                <w:spacing w:val="-2"/>
                <w:sz w:val="24"/>
              </w:rPr>
              <w:t>essential</w:t>
            </w:r>
            <w:r>
              <w:rPr>
                <w:sz w:val="24"/>
              </w:rPr>
              <w:tab/>
            </w:r>
            <w:r>
              <w:rPr>
                <w:spacing w:val="-5"/>
                <w:sz w:val="24"/>
              </w:rPr>
              <w:t>and</w:t>
            </w:r>
          </w:p>
          <w:p>
            <w:pPr>
              <w:pStyle w:val="TableParagraph"/>
              <w:ind w:left="107" w:right="96"/>
              <w:jc w:val="both"/>
              <w:rPr>
                <w:sz w:val="24"/>
              </w:rPr>
            </w:pPr>
            <w:r>
              <w:rPr>
                <w:sz w:val="24"/>
              </w:rPr>
              <w:t>minimum </w:t>
            </w:r>
            <w:r>
              <w:rPr>
                <w:sz w:val="24"/>
              </w:rPr>
              <w:t>changes would be allowed and they must be in accordance with the </w:t>
            </w:r>
            <w:r>
              <w:rPr>
                <w:spacing w:val="-2"/>
                <w:sz w:val="24"/>
              </w:rPr>
              <w:t>original.</w:t>
            </w:r>
          </w:p>
          <w:p>
            <w:pPr>
              <w:pStyle w:val="TableParagraph"/>
              <w:spacing w:line="276" w:lineRule="auto" w:before="41"/>
              <w:ind w:left="263" w:right="51" w:hanging="142"/>
              <w:jc w:val="both"/>
              <w:rPr>
                <w:sz w:val="22"/>
              </w:rPr>
            </w:pPr>
            <w:r>
              <w:rPr>
                <w:sz w:val="22"/>
              </w:rPr>
              <w:t>Repairs shall follow conservation norms based on proven standards with use of like to like or similar </w:t>
            </w:r>
            <w:r>
              <w:rPr>
                <w:spacing w:val="-2"/>
                <w:sz w:val="22"/>
              </w:rPr>
              <w:t>material.</w:t>
            </w:r>
          </w:p>
          <w:p>
            <w:pPr>
              <w:pStyle w:val="TableParagraph"/>
              <w:numPr>
                <w:ilvl w:val="0"/>
                <w:numId w:val="322"/>
              </w:numPr>
              <w:tabs>
                <w:tab w:pos="249" w:val="left" w:leader="none"/>
                <w:tab w:pos="827" w:val="left" w:leader="none"/>
                <w:tab w:pos="1975" w:val="left" w:leader="none"/>
                <w:tab w:pos="2067" w:val="left" w:leader="none"/>
                <w:tab w:pos="2503" w:val="left" w:leader="none"/>
              </w:tabs>
              <w:spacing w:line="276" w:lineRule="auto" w:before="0" w:after="0"/>
              <w:ind w:left="249" w:right="235" w:hanging="142"/>
              <w:jc w:val="left"/>
              <w:rPr>
                <w:b/>
                <w:sz w:val="22"/>
              </w:rPr>
            </w:pPr>
            <w:r>
              <w:rPr>
                <w:sz w:val="22"/>
              </w:rPr>
              <w:t>Additional buildings</w:t>
              <w:tab/>
              <w:tab/>
            </w:r>
            <w:r>
              <w:rPr>
                <w:spacing w:val="-4"/>
                <w:sz w:val="22"/>
              </w:rPr>
              <w:t>/new </w:t>
            </w:r>
            <w:r>
              <w:rPr>
                <w:spacing w:val="-2"/>
                <w:sz w:val="22"/>
              </w:rPr>
              <w:t>interventions</w:t>
            </w:r>
            <w:r>
              <w:rPr>
                <w:sz w:val="22"/>
              </w:rPr>
              <w:tab/>
            </w:r>
            <w:r>
              <w:rPr>
                <w:spacing w:val="-6"/>
                <w:sz w:val="22"/>
              </w:rPr>
              <w:t>in</w:t>
            </w:r>
            <w:r>
              <w:rPr>
                <w:sz w:val="22"/>
              </w:rPr>
              <w:tab/>
            </w:r>
            <w:r>
              <w:rPr>
                <w:spacing w:val="-10"/>
                <w:sz w:val="22"/>
              </w:rPr>
              <w:t>a </w:t>
            </w:r>
            <w:r>
              <w:rPr>
                <w:sz w:val="22"/>
              </w:rPr>
              <w:t>Grade-I</w:t>
            </w:r>
            <w:r>
              <w:rPr>
                <w:spacing w:val="-6"/>
                <w:sz w:val="22"/>
              </w:rPr>
              <w:t> </w:t>
            </w:r>
            <w:r>
              <w:rPr>
                <w:sz w:val="22"/>
              </w:rPr>
              <w:t>complex</w:t>
            </w:r>
            <w:r>
              <w:rPr>
                <w:spacing w:val="-6"/>
                <w:sz w:val="22"/>
              </w:rPr>
              <w:t> </w:t>
            </w:r>
            <w:r>
              <w:rPr>
                <w:sz w:val="22"/>
              </w:rPr>
              <w:t>shall be</w:t>
            </w:r>
            <w:r>
              <w:rPr>
                <w:spacing w:val="40"/>
                <w:sz w:val="22"/>
              </w:rPr>
              <w:t> </w:t>
            </w:r>
            <w:r>
              <w:rPr>
                <w:sz w:val="22"/>
              </w:rPr>
              <w:t>permitted</w:t>
            </w:r>
            <w:r>
              <w:rPr>
                <w:spacing w:val="40"/>
                <w:sz w:val="22"/>
              </w:rPr>
              <w:t> </w:t>
            </w:r>
            <w:r>
              <w:rPr>
                <w:sz w:val="22"/>
              </w:rPr>
              <w:t>only</w:t>
            </w:r>
            <w:r>
              <w:rPr>
                <w:spacing w:val="40"/>
                <w:sz w:val="22"/>
              </w:rPr>
              <w:t> </w:t>
            </w:r>
            <w:r>
              <w:rPr>
                <w:sz w:val="22"/>
              </w:rPr>
              <w:t>if the development does not</w:t>
            </w:r>
            <w:r>
              <w:rPr>
                <w:spacing w:val="-16"/>
                <w:sz w:val="22"/>
              </w:rPr>
              <w:t> </w:t>
            </w:r>
            <w:r>
              <w:rPr>
                <w:sz w:val="22"/>
              </w:rPr>
              <w:t>mar</w:t>
            </w:r>
            <w:r>
              <w:rPr>
                <w:spacing w:val="-17"/>
                <w:sz w:val="22"/>
              </w:rPr>
              <w:t> </w:t>
            </w:r>
            <w:r>
              <w:rPr>
                <w:sz w:val="22"/>
              </w:rPr>
              <w:t>the</w:t>
            </w:r>
            <w:r>
              <w:rPr>
                <w:spacing w:val="-15"/>
                <w:sz w:val="22"/>
              </w:rPr>
              <w:t> </w:t>
            </w:r>
            <w:r>
              <w:rPr>
                <w:sz w:val="22"/>
              </w:rPr>
              <w:t>grandeur, scale,</w:t>
            </w:r>
            <w:r>
              <w:rPr>
                <w:spacing w:val="-18"/>
                <w:sz w:val="22"/>
              </w:rPr>
              <w:t> </w:t>
            </w:r>
            <w:r>
              <w:rPr>
                <w:sz w:val="22"/>
              </w:rPr>
              <w:t>setting</w:t>
            </w:r>
            <w:r>
              <w:rPr>
                <w:spacing w:val="-18"/>
                <w:sz w:val="22"/>
              </w:rPr>
              <w:t> </w:t>
            </w:r>
            <w:r>
              <w:rPr>
                <w:sz w:val="22"/>
              </w:rPr>
              <w:t>and</w:t>
            </w:r>
            <w:r>
              <w:rPr>
                <w:spacing w:val="-17"/>
                <w:sz w:val="22"/>
              </w:rPr>
              <w:t> </w:t>
            </w:r>
            <w:r>
              <w:rPr>
                <w:sz w:val="22"/>
              </w:rPr>
              <w:t>view of</w:t>
            </w:r>
            <w:r>
              <w:rPr>
                <w:spacing w:val="49"/>
                <w:w w:val="150"/>
                <w:sz w:val="22"/>
              </w:rPr>
              <w:t> </w:t>
            </w:r>
            <w:r>
              <w:rPr>
                <w:sz w:val="22"/>
              </w:rPr>
              <w:t>the</w:t>
            </w:r>
            <w:r>
              <w:rPr>
                <w:spacing w:val="54"/>
                <w:w w:val="150"/>
                <w:sz w:val="22"/>
              </w:rPr>
              <w:t> </w:t>
            </w:r>
            <w:r>
              <w:rPr>
                <w:sz w:val="22"/>
              </w:rPr>
              <w:t>main</w:t>
            </w:r>
            <w:r>
              <w:rPr>
                <w:spacing w:val="52"/>
                <w:w w:val="150"/>
                <w:sz w:val="22"/>
              </w:rPr>
              <w:t> </w:t>
            </w:r>
            <w:r>
              <w:rPr>
                <w:sz w:val="22"/>
              </w:rPr>
              <w:t>Grade-</w:t>
            </w:r>
            <w:r>
              <w:rPr>
                <w:spacing w:val="-10"/>
                <w:sz w:val="22"/>
              </w:rPr>
              <w:t>I</w:t>
            </w:r>
          </w:p>
        </w:tc>
        <w:tc>
          <w:tcPr>
            <w:tcW w:w="2881" w:type="dxa"/>
          </w:tcPr>
          <w:p>
            <w:pPr>
              <w:pStyle w:val="TableParagraph"/>
              <w:spacing w:line="282" w:lineRule="exact" w:before="40"/>
              <w:ind w:left="107"/>
              <w:rPr>
                <w:sz w:val="24"/>
              </w:rPr>
            </w:pPr>
            <w:r>
              <w:rPr>
                <w:sz w:val="24"/>
              </w:rPr>
              <w:t>Scope</w:t>
            </w:r>
            <w:r>
              <w:rPr>
                <w:spacing w:val="11"/>
                <w:sz w:val="24"/>
              </w:rPr>
              <w:t> </w:t>
            </w:r>
            <w:r>
              <w:rPr>
                <w:sz w:val="24"/>
              </w:rPr>
              <w:t>for</w:t>
            </w:r>
            <w:r>
              <w:rPr>
                <w:spacing w:val="11"/>
                <w:sz w:val="24"/>
              </w:rPr>
              <w:t> </w:t>
            </w:r>
            <w:r>
              <w:rPr>
                <w:spacing w:val="-2"/>
                <w:sz w:val="24"/>
              </w:rPr>
              <w:t>development</w:t>
            </w:r>
          </w:p>
          <w:p>
            <w:pPr>
              <w:pStyle w:val="TableParagraph"/>
              <w:tabs>
                <w:tab w:pos="541" w:val="left" w:leader="none"/>
                <w:tab w:pos="649" w:val="left" w:leader="none"/>
                <w:tab w:pos="771" w:val="left" w:leader="none"/>
                <w:tab w:pos="846" w:val="left" w:leader="none"/>
                <w:tab w:pos="944" w:val="left" w:leader="none"/>
                <w:tab w:pos="1021" w:val="left" w:leader="none"/>
                <w:tab w:pos="1292" w:val="left" w:leader="none"/>
                <w:tab w:pos="1338" w:val="left" w:leader="none"/>
                <w:tab w:pos="1388" w:val="left" w:leader="none"/>
                <w:tab w:pos="1446" w:val="left" w:leader="none"/>
                <w:tab w:pos="1561" w:val="left" w:leader="none"/>
                <w:tab w:pos="1664" w:val="left" w:leader="none"/>
                <w:tab w:pos="1714" w:val="left" w:leader="none"/>
                <w:tab w:pos="1772" w:val="left" w:leader="none"/>
                <w:tab w:pos="1806" w:val="left" w:leader="none"/>
                <w:tab w:pos="1937" w:val="left" w:leader="none"/>
                <w:tab w:pos="2062" w:val="left" w:leader="none"/>
                <w:tab w:pos="2127" w:val="left" w:leader="none"/>
                <w:tab w:pos="2157" w:val="left" w:leader="none"/>
                <w:tab w:pos="2199" w:val="left" w:leader="none"/>
                <w:tab w:pos="2252" w:val="left" w:leader="none"/>
                <w:tab w:pos="2487" w:val="left" w:leader="none"/>
                <w:tab w:pos="2530" w:val="left" w:leader="none"/>
                <w:tab w:pos="2610" w:val="left" w:leader="none"/>
              </w:tabs>
              <w:ind w:left="107" w:right="95"/>
              <w:rPr>
                <w:sz w:val="24"/>
              </w:rPr>
            </w:pPr>
            <w:r>
              <w:rPr>
                <w:spacing w:val="-2"/>
                <w:sz w:val="24"/>
              </w:rPr>
              <w:t>---Grade</w:t>
            </w:r>
            <w:r>
              <w:rPr>
                <w:sz w:val="24"/>
              </w:rPr>
              <w:tab/>
              <w:tab/>
            </w:r>
            <w:r>
              <w:rPr>
                <w:spacing w:val="-10"/>
                <w:sz w:val="24"/>
              </w:rPr>
              <w:t>-</w:t>
            </w:r>
            <w:r>
              <w:rPr>
                <w:sz w:val="24"/>
              </w:rPr>
              <w:tab/>
              <w:tab/>
              <w:tab/>
            </w:r>
            <w:r>
              <w:rPr>
                <w:spacing w:val="-6"/>
                <w:sz w:val="24"/>
              </w:rPr>
              <w:t>II</w:t>
            </w:r>
            <w:r>
              <w:rPr>
                <w:sz w:val="24"/>
              </w:rPr>
              <w:tab/>
              <w:tab/>
            </w:r>
            <w:r>
              <w:rPr>
                <w:spacing w:val="-6"/>
                <w:sz w:val="24"/>
              </w:rPr>
              <w:t>A:</w:t>
            </w:r>
            <w:r>
              <w:rPr>
                <w:sz w:val="24"/>
              </w:rPr>
              <w:tab/>
              <w:tab/>
            </w:r>
            <w:r>
              <w:rPr>
                <w:spacing w:val="-6"/>
                <w:sz w:val="24"/>
              </w:rPr>
              <w:t>In </w:t>
            </w:r>
            <w:r>
              <w:rPr>
                <w:sz w:val="24"/>
              </w:rPr>
              <w:t>addition</w:t>
            </w:r>
            <w:r>
              <w:rPr>
                <w:spacing w:val="40"/>
                <w:sz w:val="24"/>
              </w:rPr>
              <w:t> </w:t>
            </w:r>
            <w:r>
              <w:rPr>
                <w:sz w:val="24"/>
              </w:rPr>
              <w:t>to</w:t>
            </w:r>
            <w:r>
              <w:rPr>
                <w:spacing w:val="40"/>
                <w:sz w:val="24"/>
              </w:rPr>
              <w:t> </w:t>
            </w:r>
            <w:r>
              <w:rPr>
                <w:sz w:val="24"/>
              </w:rPr>
              <w:t>the</w:t>
            </w:r>
            <w:r>
              <w:rPr>
                <w:spacing w:val="40"/>
                <w:sz w:val="24"/>
              </w:rPr>
              <w:t> </w:t>
            </w:r>
            <w:r>
              <w:rPr>
                <w:sz w:val="24"/>
              </w:rPr>
              <w:t>scope </w:t>
            </w:r>
            <w:r>
              <w:rPr>
                <w:spacing w:val="-4"/>
                <w:sz w:val="24"/>
              </w:rPr>
              <w:t>for</w:t>
            </w:r>
            <w:r>
              <w:rPr>
                <w:sz w:val="24"/>
              </w:rPr>
              <w:tab/>
              <w:tab/>
              <w:tab/>
              <w:tab/>
              <w:tab/>
              <w:tab/>
              <w:tab/>
            </w:r>
            <w:r>
              <w:rPr>
                <w:spacing w:val="-2"/>
                <w:sz w:val="24"/>
              </w:rPr>
              <w:t>development permissible</w:t>
            </w:r>
            <w:r>
              <w:rPr>
                <w:spacing w:val="-18"/>
                <w:sz w:val="24"/>
              </w:rPr>
              <w:t> </w:t>
            </w:r>
            <w:r>
              <w:rPr>
                <w:spacing w:val="-2"/>
                <w:sz w:val="24"/>
              </w:rPr>
              <w:t>for</w:t>
            </w:r>
            <w:r>
              <w:rPr>
                <w:spacing w:val="-18"/>
                <w:sz w:val="24"/>
              </w:rPr>
              <w:t> </w:t>
            </w:r>
            <w:r>
              <w:rPr>
                <w:spacing w:val="-2"/>
                <w:sz w:val="24"/>
              </w:rPr>
              <w:t>Grade</w:t>
            </w:r>
            <w:r>
              <w:rPr>
                <w:spacing w:val="-17"/>
                <w:sz w:val="24"/>
              </w:rPr>
              <w:t> </w:t>
            </w:r>
            <w:r>
              <w:rPr>
                <w:spacing w:val="-2"/>
                <w:sz w:val="24"/>
              </w:rPr>
              <w:t>– </w:t>
            </w:r>
            <w:r>
              <w:rPr>
                <w:spacing w:val="-6"/>
                <w:sz w:val="24"/>
              </w:rPr>
              <w:t>I,</w:t>
            </w:r>
            <w:r>
              <w:rPr>
                <w:sz w:val="24"/>
              </w:rPr>
              <w:tab/>
            </w:r>
            <w:r>
              <w:rPr>
                <w:spacing w:val="-2"/>
                <w:sz w:val="24"/>
              </w:rPr>
              <w:t>internal</w:t>
            </w:r>
            <w:r>
              <w:rPr>
                <w:sz w:val="24"/>
              </w:rPr>
              <w:tab/>
              <w:tab/>
              <w:tab/>
            </w:r>
            <w:r>
              <w:rPr>
                <w:spacing w:val="-56"/>
                <w:sz w:val="24"/>
              </w:rPr>
              <w:t> </w:t>
            </w:r>
            <w:r>
              <w:rPr>
                <w:spacing w:val="-2"/>
                <w:sz w:val="24"/>
              </w:rPr>
              <w:t>changes, </w:t>
            </w:r>
            <w:r>
              <w:rPr>
                <w:spacing w:val="-4"/>
                <w:sz w:val="24"/>
              </w:rPr>
              <w:t>and</w:t>
            </w:r>
            <w:r>
              <w:rPr>
                <w:sz w:val="24"/>
              </w:rPr>
              <w:tab/>
              <w:tab/>
              <w:tab/>
            </w:r>
            <w:r>
              <w:rPr>
                <w:spacing w:val="-2"/>
                <w:sz w:val="24"/>
              </w:rPr>
              <w:t>adaptive</w:t>
            </w:r>
            <w:r>
              <w:rPr>
                <w:sz w:val="24"/>
              </w:rPr>
              <w:tab/>
              <w:tab/>
              <w:tab/>
            </w:r>
            <w:r>
              <w:rPr>
                <w:spacing w:val="-2"/>
                <w:sz w:val="24"/>
              </w:rPr>
              <w:t>reuse </w:t>
            </w:r>
            <w:r>
              <w:rPr>
                <w:spacing w:val="-4"/>
                <w:sz w:val="24"/>
              </w:rPr>
              <w:t>may</w:t>
            </w:r>
            <w:r>
              <w:rPr>
                <w:sz w:val="24"/>
              </w:rPr>
              <w:tab/>
              <w:tab/>
              <w:tab/>
              <w:tab/>
              <w:tab/>
            </w:r>
            <w:r>
              <w:rPr>
                <w:spacing w:val="-6"/>
                <w:sz w:val="24"/>
              </w:rPr>
              <w:t>be</w:t>
            </w:r>
            <w:r>
              <w:rPr>
                <w:sz w:val="24"/>
              </w:rPr>
              <w:tab/>
              <w:tab/>
              <w:tab/>
              <w:tab/>
              <w:tab/>
              <w:tab/>
              <w:tab/>
            </w:r>
            <w:r>
              <w:rPr>
                <w:spacing w:val="-2"/>
                <w:sz w:val="24"/>
              </w:rPr>
              <w:t>generally allowed.</w:t>
            </w:r>
            <w:r>
              <w:rPr>
                <w:sz w:val="24"/>
              </w:rPr>
              <w:tab/>
              <w:tab/>
              <w:tab/>
            </w:r>
            <w:r>
              <w:rPr>
                <w:spacing w:val="-6"/>
                <w:sz w:val="24"/>
              </w:rPr>
              <w:t>In</w:t>
            </w:r>
            <w:r>
              <w:rPr>
                <w:sz w:val="24"/>
              </w:rPr>
              <w:tab/>
              <w:tab/>
              <w:tab/>
              <w:tab/>
              <w:tab/>
            </w:r>
            <w:r>
              <w:rPr>
                <w:spacing w:val="-57"/>
                <w:sz w:val="24"/>
              </w:rPr>
              <w:t> </w:t>
            </w:r>
            <w:r>
              <w:rPr>
                <w:spacing w:val="-2"/>
                <w:sz w:val="24"/>
              </w:rPr>
              <w:t>certain circumstances, </w:t>
            </w:r>
            <w:r>
              <w:rPr>
                <w:sz w:val="24"/>
              </w:rPr>
              <w:t>extension of a Grade - </w:t>
            </w:r>
            <w:r>
              <w:rPr>
                <w:spacing w:val="-4"/>
                <w:sz w:val="24"/>
              </w:rPr>
              <w:t>IIA</w:t>
            </w:r>
            <w:r>
              <w:rPr>
                <w:sz w:val="24"/>
              </w:rPr>
              <w:tab/>
              <w:tab/>
            </w:r>
            <w:r>
              <w:rPr>
                <w:spacing w:val="-2"/>
                <w:sz w:val="24"/>
              </w:rPr>
              <w:t>heritage</w:t>
            </w:r>
            <w:r>
              <w:rPr>
                <w:sz w:val="24"/>
              </w:rPr>
              <w:tab/>
              <w:tab/>
              <w:tab/>
              <w:tab/>
            </w:r>
            <w:r>
              <w:rPr>
                <w:spacing w:val="-76"/>
                <w:sz w:val="24"/>
              </w:rPr>
              <w:t> </w:t>
            </w:r>
            <w:r>
              <w:rPr>
                <w:spacing w:val="-2"/>
                <w:sz w:val="24"/>
              </w:rPr>
              <w:t>building </w:t>
            </w:r>
            <w:r>
              <w:rPr>
                <w:sz w:val="24"/>
              </w:rPr>
              <w:t>may</w:t>
            </w:r>
            <w:r>
              <w:rPr>
                <w:spacing w:val="40"/>
                <w:sz w:val="24"/>
              </w:rPr>
              <w:t> </w:t>
            </w:r>
            <w:r>
              <w:rPr>
                <w:sz w:val="24"/>
              </w:rPr>
              <w:t>also</w:t>
            </w:r>
            <w:r>
              <w:rPr>
                <w:spacing w:val="40"/>
                <w:sz w:val="24"/>
              </w:rPr>
              <w:t> </w:t>
            </w:r>
            <w:r>
              <w:rPr>
                <w:sz w:val="24"/>
              </w:rPr>
              <w:t>be</w:t>
            </w:r>
            <w:r>
              <w:rPr>
                <w:spacing w:val="40"/>
                <w:sz w:val="24"/>
              </w:rPr>
              <w:t> </w:t>
            </w:r>
            <w:r>
              <w:rPr>
                <w:sz w:val="24"/>
              </w:rPr>
              <w:t>allowed; </w:t>
            </w:r>
            <w:r>
              <w:rPr>
                <w:spacing w:val="-2"/>
                <w:sz w:val="24"/>
              </w:rPr>
              <w:t>provided</w:t>
            </w:r>
            <w:r>
              <w:rPr>
                <w:sz w:val="24"/>
              </w:rPr>
              <w:tab/>
              <w:tab/>
              <w:tab/>
            </w:r>
            <w:r>
              <w:rPr>
                <w:spacing w:val="-49"/>
                <w:sz w:val="24"/>
              </w:rPr>
              <w:t> </w:t>
            </w:r>
            <w:r>
              <w:rPr>
                <w:sz w:val="24"/>
              </w:rPr>
              <w:t>that</w:t>
              <w:tab/>
              <w:tab/>
              <w:tab/>
              <w:tab/>
              <w:tab/>
            </w:r>
            <w:r>
              <w:rPr>
                <w:spacing w:val="-4"/>
                <w:sz w:val="24"/>
              </w:rPr>
              <w:t>such </w:t>
            </w:r>
            <w:r>
              <w:rPr>
                <w:sz w:val="24"/>
              </w:rPr>
              <w:t>extension</w:t>
            </w:r>
            <w:r>
              <w:rPr>
                <w:spacing w:val="40"/>
                <w:sz w:val="24"/>
              </w:rPr>
              <w:t> </w:t>
            </w:r>
            <w:r>
              <w:rPr>
                <w:sz w:val="24"/>
              </w:rPr>
              <w:t>shall</w:t>
            </w:r>
            <w:r>
              <w:rPr>
                <w:spacing w:val="40"/>
                <w:sz w:val="24"/>
              </w:rPr>
              <w:t> </w:t>
            </w:r>
            <w:r>
              <w:rPr>
                <w:sz w:val="24"/>
              </w:rPr>
              <w:t>be</w:t>
            </w:r>
            <w:r>
              <w:rPr>
                <w:spacing w:val="40"/>
                <w:sz w:val="24"/>
              </w:rPr>
              <w:t> </w:t>
            </w:r>
            <w:r>
              <w:rPr>
                <w:sz w:val="24"/>
              </w:rPr>
              <w:t>in </w:t>
            </w:r>
            <w:r>
              <w:rPr>
                <w:spacing w:val="-2"/>
                <w:sz w:val="24"/>
              </w:rPr>
              <w:t>harmony</w:t>
            </w:r>
            <w:r>
              <w:rPr>
                <w:sz w:val="24"/>
              </w:rPr>
              <w:tab/>
              <w:tab/>
              <w:tab/>
              <w:tab/>
            </w:r>
            <w:r>
              <w:rPr>
                <w:spacing w:val="-73"/>
                <w:sz w:val="24"/>
              </w:rPr>
              <w:t> </w:t>
            </w:r>
            <w:r>
              <w:rPr>
                <w:spacing w:val="-2"/>
                <w:sz w:val="24"/>
              </w:rPr>
              <w:t>with</w:t>
            </w:r>
            <w:r>
              <w:rPr>
                <w:sz w:val="24"/>
              </w:rPr>
              <w:tab/>
              <w:tab/>
              <w:tab/>
              <w:tab/>
              <w:tab/>
            </w:r>
            <w:r>
              <w:rPr>
                <w:spacing w:val="-4"/>
                <w:sz w:val="24"/>
              </w:rPr>
              <w:t>(and </w:t>
            </w:r>
            <w:r>
              <w:rPr>
                <w:sz w:val="24"/>
              </w:rPr>
              <w:t>shall not detract from) </w:t>
            </w:r>
            <w:r>
              <w:rPr>
                <w:spacing w:val="-4"/>
                <w:sz w:val="24"/>
              </w:rPr>
              <w:t>the</w:t>
            </w:r>
            <w:r>
              <w:rPr>
                <w:sz w:val="24"/>
              </w:rPr>
              <w:tab/>
              <w:tab/>
              <w:tab/>
            </w:r>
            <w:r>
              <w:rPr>
                <w:spacing w:val="-2"/>
                <w:sz w:val="24"/>
              </w:rPr>
              <w:t>Grade</w:t>
            </w:r>
            <w:r>
              <w:rPr>
                <w:sz w:val="24"/>
              </w:rPr>
              <w:tab/>
              <w:tab/>
              <w:tab/>
              <w:tab/>
            </w:r>
            <w:r>
              <w:rPr>
                <w:spacing w:val="-10"/>
                <w:sz w:val="24"/>
              </w:rPr>
              <w:t>-</w:t>
            </w:r>
            <w:r>
              <w:rPr>
                <w:sz w:val="24"/>
              </w:rPr>
              <w:tab/>
              <w:tab/>
              <w:tab/>
              <w:tab/>
            </w:r>
            <w:r>
              <w:rPr>
                <w:spacing w:val="-6"/>
                <w:sz w:val="24"/>
              </w:rPr>
              <w:t>II</w:t>
            </w:r>
            <w:r>
              <w:rPr>
                <w:sz w:val="24"/>
              </w:rPr>
              <w:tab/>
              <w:tab/>
              <w:tab/>
            </w:r>
            <w:r>
              <w:rPr>
                <w:spacing w:val="-10"/>
                <w:sz w:val="24"/>
              </w:rPr>
              <w:t>A </w:t>
            </w:r>
            <w:r>
              <w:rPr>
                <w:spacing w:val="-2"/>
                <w:sz w:val="24"/>
              </w:rPr>
              <w:t>heritage</w:t>
            </w:r>
            <w:r>
              <w:rPr>
                <w:sz w:val="24"/>
              </w:rPr>
              <w:tab/>
              <w:tab/>
              <w:tab/>
              <w:tab/>
              <w:tab/>
              <w:tab/>
              <w:tab/>
              <w:tab/>
              <w:tab/>
            </w:r>
            <w:r>
              <w:rPr>
                <w:spacing w:val="-2"/>
                <w:sz w:val="24"/>
              </w:rPr>
              <w:t>building </w:t>
            </w:r>
            <w:r>
              <w:rPr>
                <w:sz w:val="24"/>
              </w:rPr>
              <w:t>concerned or precinct, especially</w:t>
            </w:r>
            <w:r>
              <w:rPr>
                <w:spacing w:val="40"/>
                <w:sz w:val="24"/>
              </w:rPr>
              <w:t> </w:t>
            </w:r>
            <w:r>
              <w:rPr>
                <w:sz w:val="24"/>
              </w:rPr>
              <w:t>in</w:t>
            </w:r>
            <w:r>
              <w:rPr>
                <w:spacing w:val="40"/>
                <w:sz w:val="24"/>
              </w:rPr>
              <w:t> </w:t>
            </w:r>
            <w:r>
              <w:rPr>
                <w:sz w:val="24"/>
              </w:rPr>
              <w:t>terms</w:t>
            </w:r>
            <w:r>
              <w:rPr>
                <w:spacing w:val="40"/>
                <w:sz w:val="24"/>
              </w:rPr>
              <w:t> </w:t>
            </w:r>
            <w:r>
              <w:rPr>
                <w:sz w:val="24"/>
              </w:rPr>
              <w:t>of height</w:t>
            </w:r>
            <w:r>
              <w:rPr>
                <w:spacing w:val="39"/>
                <w:sz w:val="24"/>
              </w:rPr>
              <w:t> </w:t>
            </w:r>
            <w:r>
              <w:rPr>
                <w:sz w:val="24"/>
              </w:rPr>
              <w:t>and/or</w:t>
            </w:r>
            <w:r>
              <w:rPr>
                <w:spacing w:val="39"/>
                <w:sz w:val="24"/>
              </w:rPr>
              <w:t> </w:t>
            </w:r>
            <w:r>
              <w:rPr>
                <w:sz w:val="24"/>
              </w:rPr>
              <w:t>façade. External</w:t>
            </w:r>
            <w:r>
              <w:rPr>
                <w:spacing w:val="40"/>
                <w:sz w:val="24"/>
              </w:rPr>
              <w:t> </w:t>
            </w:r>
            <w:r>
              <w:rPr>
                <w:sz w:val="24"/>
              </w:rPr>
              <w:t>changes</w:t>
            </w:r>
            <w:r>
              <w:rPr>
                <w:spacing w:val="40"/>
                <w:sz w:val="24"/>
              </w:rPr>
              <w:t> </w:t>
            </w:r>
            <w:r>
              <w:rPr>
                <w:sz w:val="24"/>
              </w:rPr>
              <w:t>too </w:t>
            </w:r>
            <w:r>
              <w:rPr>
                <w:spacing w:val="-4"/>
                <w:sz w:val="24"/>
              </w:rPr>
              <w:t>may</w:t>
            </w:r>
            <w:r>
              <w:rPr>
                <w:sz w:val="24"/>
              </w:rPr>
              <w:tab/>
              <w:tab/>
              <w:tab/>
              <w:tab/>
            </w:r>
            <w:r>
              <w:rPr>
                <w:spacing w:val="-6"/>
                <w:sz w:val="24"/>
              </w:rPr>
              <w:t>be</w:t>
            </w:r>
            <w:r>
              <w:rPr>
                <w:sz w:val="24"/>
              </w:rPr>
              <w:tab/>
              <w:tab/>
              <w:tab/>
              <w:tab/>
              <w:tab/>
            </w:r>
            <w:r>
              <w:rPr>
                <w:spacing w:val="-2"/>
                <w:sz w:val="24"/>
              </w:rPr>
              <w:t>permitted, subject</w:t>
            </w:r>
            <w:r>
              <w:rPr>
                <w:sz w:val="24"/>
              </w:rPr>
              <w:tab/>
              <w:tab/>
              <w:tab/>
              <w:tab/>
              <w:tab/>
              <w:tab/>
            </w:r>
            <w:r>
              <w:rPr>
                <w:spacing w:val="-6"/>
                <w:sz w:val="24"/>
              </w:rPr>
              <w:t>to</w:t>
            </w:r>
            <w:r>
              <w:rPr>
                <w:sz w:val="24"/>
              </w:rPr>
              <w:tab/>
              <w:tab/>
              <w:tab/>
              <w:tab/>
              <w:tab/>
              <w:tab/>
              <w:tab/>
              <w:tab/>
            </w:r>
            <w:r>
              <w:rPr>
                <w:spacing w:val="-73"/>
                <w:sz w:val="24"/>
              </w:rPr>
              <w:t> </w:t>
            </w:r>
            <w:r>
              <w:rPr>
                <w:spacing w:val="-2"/>
                <w:sz w:val="24"/>
              </w:rPr>
              <w:t>strict </w:t>
            </w:r>
            <w:r>
              <w:rPr>
                <w:sz w:val="24"/>
              </w:rPr>
              <w:t>scrutiny.</w:t>
            </w:r>
            <w:r>
              <w:rPr>
                <w:spacing w:val="40"/>
                <w:sz w:val="24"/>
              </w:rPr>
              <w:t> </w:t>
            </w:r>
            <w:r>
              <w:rPr>
                <w:sz w:val="24"/>
              </w:rPr>
              <w:t>Care</w:t>
            </w:r>
            <w:r>
              <w:rPr>
                <w:spacing w:val="40"/>
                <w:sz w:val="24"/>
              </w:rPr>
              <w:t> </w:t>
            </w:r>
            <w:r>
              <w:rPr>
                <w:sz w:val="24"/>
              </w:rPr>
              <w:t>should be</w:t>
            </w:r>
            <w:r>
              <w:rPr>
                <w:spacing w:val="-6"/>
                <w:sz w:val="24"/>
              </w:rPr>
              <w:t> </w:t>
            </w:r>
            <w:r>
              <w:rPr>
                <w:sz w:val="24"/>
              </w:rPr>
              <w:t>taken</w:t>
            </w:r>
            <w:r>
              <w:rPr>
                <w:spacing w:val="-4"/>
                <w:sz w:val="24"/>
              </w:rPr>
              <w:t> </w:t>
            </w:r>
            <w:r>
              <w:rPr>
                <w:sz w:val="24"/>
              </w:rPr>
              <w:t>to</w:t>
            </w:r>
            <w:r>
              <w:rPr>
                <w:spacing w:val="-4"/>
                <w:sz w:val="24"/>
              </w:rPr>
              <w:t> </w:t>
            </w:r>
            <w:r>
              <w:rPr>
                <w:sz w:val="24"/>
              </w:rPr>
              <w:t>ensure</w:t>
            </w:r>
            <w:r>
              <w:rPr>
                <w:spacing w:val="-4"/>
                <w:sz w:val="24"/>
              </w:rPr>
              <w:t> </w:t>
            </w:r>
            <w:r>
              <w:rPr>
                <w:sz w:val="24"/>
              </w:rPr>
              <w:t>the </w:t>
            </w:r>
            <w:r>
              <w:rPr>
                <w:spacing w:val="-2"/>
                <w:sz w:val="24"/>
              </w:rPr>
              <w:t>conservation</w:t>
            </w:r>
            <w:r>
              <w:rPr>
                <w:sz w:val="24"/>
              </w:rPr>
              <w:tab/>
              <w:tab/>
              <w:tab/>
              <w:tab/>
              <w:tab/>
            </w:r>
            <w:r>
              <w:rPr>
                <w:spacing w:val="-6"/>
                <w:sz w:val="24"/>
              </w:rPr>
              <w:t>of</w:t>
            </w:r>
            <w:r>
              <w:rPr>
                <w:sz w:val="24"/>
              </w:rPr>
              <w:tab/>
              <w:tab/>
              <w:tab/>
              <w:tab/>
            </w:r>
            <w:r>
              <w:rPr>
                <w:spacing w:val="-4"/>
                <w:sz w:val="24"/>
              </w:rPr>
              <w:t>all </w:t>
            </w:r>
            <w:r>
              <w:rPr>
                <w:spacing w:val="-2"/>
                <w:sz w:val="24"/>
              </w:rPr>
              <w:t>special aspects/features</w:t>
            </w:r>
            <w:r>
              <w:rPr>
                <w:sz w:val="24"/>
              </w:rPr>
              <w:tab/>
              <w:tab/>
              <w:tab/>
              <w:tab/>
              <w:tab/>
              <w:tab/>
              <w:tab/>
            </w:r>
            <w:r>
              <w:rPr>
                <w:spacing w:val="-49"/>
                <w:sz w:val="24"/>
              </w:rPr>
              <w:t> </w:t>
            </w:r>
            <w:r>
              <w:rPr>
                <w:spacing w:val="-2"/>
                <w:sz w:val="24"/>
              </w:rPr>
              <w:t>of </w:t>
            </w:r>
            <w:r>
              <w:rPr>
                <w:sz w:val="24"/>
              </w:rPr>
              <w:t>Grade</w:t>
            </w:r>
            <w:r>
              <w:rPr>
                <w:spacing w:val="40"/>
                <w:sz w:val="24"/>
              </w:rPr>
              <w:t> </w:t>
            </w:r>
            <w:r>
              <w:rPr>
                <w:sz w:val="24"/>
              </w:rPr>
              <w:t>–</w:t>
            </w:r>
            <w:r>
              <w:rPr>
                <w:spacing w:val="40"/>
                <w:sz w:val="24"/>
              </w:rPr>
              <w:t> </w:t>
            </w:r>
            <w:r>
              <w:rPr>
                <w:sz w:val="24"/>
              </w:rPr>
              <w:t>II</w:t>
            </w:r>
            <w:r>
              <w:rPr>
                <w:spacing w:val="40"/>
                <w:sz w:val="24"/>
              </w:rPr>
              <w:t> </w:t>
            </w:r>
            <w:r>
              <w:rPr>
                <w:sz w:val="24"/>
              </w:rPr>
              <w:t>A</w:t>
            </w:r>
            <w:r>
              <w:rPr>
                <w:spacing w:val="40"/>
                <w:sz w:val="24"/>
              </w:rPr>
              <w:t> </w:t>
            </w:r>
            <w:r>
              <w:rPr>
                <w:sz w:val="24"/>
              </w:rPr>
              <w:t>building </w:t>
            </w:r>
            <w:r>
              <w:rPr>
                <w:spacing w:val="-2"/>
                <w:sz w:val="24"/>
              </w:rPr>
              <w:t>concerned.</w:t>
            </w:r>
          </w:p>
          <w:p>
            <w:pPr>
              <w:pStyle w:val="TableParagraph"/>
              <w:spacing w:before="42"/>
              <w:ind w:left="179"/>
              <w:rPr>
                <w:sz w:val="24"/>
              </w:rPr>
            </w:pPr>
            <w:r>
              <w:rPr>
                <w:sz w:val="24"/>
              </w:rPr>
              <w:t>Grade</w:t>
            </w:r>
            <w:r>
              <w:rPr>
                <w:spacing w:val="-2"/>
                <w:sz w:val="24"/>
              </w:rPr>
              <w:t> –II(B):</w:t>
            </w:r>
          </w:p>
          <w:p>
            <w:pPr>
              <w:pStyle w:val="TableParagraph"/>
              <w:spacing w:line="280" w:lineRule="exact" w:before="24"/>
              <w:ind w:left="179" w:right="97"/>
              <w:rPr>
                <w:sz w:val="24"/>
              </w:rPr>
            </w:pPr>
            <w:r>
              <w:rPr>
                <w:sz w:val="24"/>
              </w:rPr>
              <w:t>In</w:t>
            </w:r>
            <w:r>
              <w:rPr>
                <w:spacing w:val="40"/>
                <w:sz w:val="24"/>
              </w:rPr>
              <w:t> </w:t>
            </w:r>
            <w:r>
              <w:rPr>
                <w:sz w:val="24"/>
              </w:rPr>
              <w:t>addition</w:t>
            </w:r>
            <w:r>
              <w:rPr>
                <w:spacing w:val="40"/>
                <w:sz w:val="24"/>
              </w:rPr>
              <w:t> </w:t>
            </w:r>
            <w:r>
              <w:rPr>
                <w:sz w:val="24"/>
              </w:rPr>
              <w:t>to</w:t>
            </w:r>
            <w:r>
              <w:rPr>
                <w:spacing w:val="40"/>
                <w:sz w:val="24"/>
              </w:rPr>
              <w:t> </w:t>
            </w:r>
            <w:r>
              <w:rPr>
                <w:sz w:val="24"/>
              </w:rPr>
              <w:t>above, additional</w:t>
            </w:r>
            <w:r>
              <w:rPr>
                <w:spacing w:val="65"/>
                <w:w w:val="150"/>
                <w:sz w:val="24"/>
              </w:rPr>
              <w:t> </w:t>
            </w:r>
            <w:r>
              <w:rPr>
                <w:spacing w:val="-2"/>
                <w:sz w:val="24"/>
              </w:rPr>
              <w:t>building(s)</w:t>
            </w:r>
          </w:p>
        </w:tc>
        <w:tc>
          <w:tcPr>
            <w:tcW w:w="2989" w:type="dxa"/>
          </w:tcPr>
          <w:p>
            <w:pPr>
              <w:pStyle w:val="TableParagraph"/>
              <w:spacing w:before="37"/>
              <w:ind w:left="106"/>
              <w:rPr>
                <w:b/>
                <w:sz w:val="24"/>
              </w:rPr>
            </w:pPr>
            <w:r>
              <w:rPr>
                <w:b/>
                <w:sz w:val="24"/>
              </w:rPr>
              <w:t>Grade</w:t>
            </w:r>
            <w:r>
              <w:rPr>
                <w:b/>
                <w:spacing w:val="-2"/>
                <w:sz w:val="24"/>
              </w:rPr>
              <w:t> </w:t>
            </w:r>
            <w:r>
              <w:rPr>
                <w:b/>
                <w:sz w:val="24"/>
              </w:rPr>
              <w:t>–</w:t>
            </w:r>
            <w:r>
              <w:rPr>
                <w:b/>
                <w:spacing w:val="-2"/>
                <w:sz w:val="24"/>
              </w:rPr>
              <w:t> </w:t>
            </w:r>
            <w:r>
              <w:rPr>
                <w:b/>
                <w:spacing w:val="-5"/>
                <w:sz w:val="24"/>
              </w:rPr>
              <w:t>III</w:t>
            </w:r>
          </w:p>
          <w:p>
            <w:pPr>
              <w:pStyle w:val="TableParagraph"/>
              <w:tabs>
                <w:tab w:pos="1875" w:val="left" w:leader="none"/>
                <w:tab w:pos="2595" w:val="left" w:leader="none"/>
              </w:tabs>
              <w:spacing w:before="43"/>
              <w:ind w:left="173" w:right="237"/>
              <w:jc w:val="both"/>
              <w:rPr>
                <w:sz w:val="24"/>
              </w:rPr>
            </w:pPr>
            <w:r>
              <w:rPr>
                <w:sz w:val="24"/>
              </w:rPr>
              <w:t>External and internal changes</w:t>
            </w:r>
            <w:r>
              <w:rPr>
                <w:spacing w:val="-10"/>
                <w:sz w:val="24"/>
              </w:rPr>
              <w:t> </w:t>
            </w:r>
            <w:r>
              <w:rPr>
                <w:sz w:val="24"/>
              </w:rPr>
              <w:t>and</w:t>
            </w:r>
            <w:r>
              <w:rPr>
                <w:spacing w:val="-11"/>
                <w:sz w:val="24"/>
              </w:rPr>
              <w:t> </w:t>
            </w:r>
            <w:r>
              <w:rPr>
                <w:sz w:val="24"/>
              </w:rPr>
              <w:t>adaptive reuse</w:t>
            </w:r>
            <w:r>
              <w:rPr>
                <w:spacing w:val="-15"/>
                <w:sz w:val="24"/>
              </w:rPr>
              <w:t> </w:t>
            </w:r>
            <w:r>
              <w:rPr>
                <w:sz w:val="24"/>
              </w:rPr>
              <w:t>would</w:t>
            </w:r>
            <w:r>
              <w:rPr>
                <w:spacing w:val="-15"/>
                <w:sz w:val="24"/>
              </w:rPr>
              <w:t> </w:t>
            </w:r>
            <w:r>
              <w:rPr>
                <w:sz w:val="24"/>
              </w:rPr>
              <w:t>generally be allowed. Changes </w:t>
            </w:r>
            <w:r>
              <w:rPr>
                <w:spacing w:val="-4"/>
                <w:sz w:val="24"/>
              </w:rPr>
              <w:t>can</w:t>
            </w:r>
            <w:r>
              <w:rPr>
                <w:sz w:val="24"/>
              </w:rPr>
              <w:tab/>
            </w:r>
            <w:r>
              <w:rPr>
                <w:spacing w:val="-2"/>
                <w:sz w:val="24"/>
              </w:rPr>
              <w:t>include extensions</w:t>
            </w:r>
            <w:r>
              <w:rPr>
                <w:sz w:val="24"/>
              </w:rPr>
              <w:tab/>
              <w:tab/>
            </w:r>
            <w:r>
              <w:rPr>
                <w:spacing w:val="-10"/>
                <w:sz w:val="24"/>
              </w:rPr>
              <w:t>/ </w:t>
            </w:r>
            <w:r>
              <w:rPr>
                <w:sz w:val="24"/>
              </w:rPr>
              <w:t>additional buildings in the same plot or compound provided that extension / additional building is in harmony with and does not detract from the existing heritage building / precincts especially in terms of height</w:t>
            </w:r>
            <w:r>
              <w:rPr>
                <w:spacing w:val="7"/>
                <w:sz w:val="24"/>
              </w:rPr>
              <w:t> </w:t>
            </w:r>
            <w:r>
              <w:rPr>
                <w:sz w:val="24"/>
              </w:rPr>
              <w:t>and/or</w:t>
            </w:r>
            <w:r>
              <w:rPr>
                <w:spacing w:val="7"/>
                <w:sz w:val="24"/>
              </w:rPr>
              <w:t> </w:t>
            </w:r>
            <w:r>
              <w:rPr>
                <w:spacing w:val="-2"/>
                <w:sz w:val="24"/>
              </w:rPr>
              <w:t>facade.</w:t>
            </w:r>
          </w:p>
          <w:p>
            <w:pPr>
              <w:pStyle w:val="TableParagraph"/>
              <w:tabs>
                <w:tab w:pos="2544" w:val="left" w:leader="none"/>
              </w:tabs>
              <w:ind w:left="173" w:right="237"/>
              <w:jc w:val="both"/>
              <w:rPr>
                <w:sz w:val="22"/>
              </w:rPr>
            </w:pPr>
            <w:r>
              <w:rPr>
                <w:sz w:val="22"/>
              </w:rPr>
              <w:t>ii) Reconstruction / redevelopment shall be allowed with the </w:t>
            </w:r>
            <w:r>
              <w:rPr>
                <w:spacing w:val="-2"/>
                <w:sz w:val="22"/>
              </w:rPr>
              <w:t>permission</w:t>
            </w:r>
            <w:r>
              <w:rPr>
                <w:sz w:val="22"/>
              </w:rPr>
              <w:tab/>
            </w:r>
            <w:r>
              <w:rPr>
                <w:spacing w:val="-5"/>
                <w:sz w:val="22"/>
              </w:rPr>
              <w:t>o</w:t>
            </w:r>
            <w:r>
              <w:rPr>
                <w:spacing w:val="-5"/>
                <w:sz w:val="22"/>
              </w:rPr>
              <w:t>f</w:t>
            </w:r>
          </w:p>
          <w:p>
            <w:pPr>
              <w:pStyle w:val="TableParagraph"/>
              <w:tabs>
                <w:tab w:pos="2498" w:val="left" w:leader="none"/>
              </w:tabs>
              <w:ind w:left="173" w:right="239"/>
              <w:jc w:val="both"/>
              <w:rPr>
                <w:sz w:val="22"/>
              </w:rPr>
            </w:pPr>
            <w:r>
              <w:rPr>
                <w:spacing w:val="-2"/>
                <w:sz w:val="22"/>
              </w:rPr>
              <w:t>Commissioner</w:t>
            </w:r>
            <w:r>
              <w:rPr>
                <w:sz w:val="22"/>
              </w:rPr>
              <w:tab/>
            </w:r>
            <w:r>
              <w:rPr>
                <w:spacing w:val="-6"/>
                <w:sz w:val="22"/>
              </w:rPr>
              <w:t>as </w:t>
            </w:r>
            <w:r>
              <w:rPr>
                <w:sz w:val="22"/>
              </w:rPr>
              <w:t>detailed below.</w:t>
            </w:r>
          </w:p>
          <w:p>
            <w:pPr>
              <w:pStyle w:val="TableParagraph"/>
              <w:spacing w:before="39"/>
              <w:ind w:left="106"/>
              <w:rPr>
                <w:b/>
                <w:sz w:val="24"/>
              </w:rPr>
            </w:pPr>
            <w:r>
              <w:rPr>
                <w:b/>
                <w:spacing w:val="-2"/>
                <w:sz w:val="24"/>
              </w:rPr>
              <w:t>PRECINCT</w:t>
            </w:r>
          </w:p>
          <w:p>
            <w:pPr>
              <w:pStyle w:val="TableParagraph"/>
              <w:tabs>
                <w:tab w:pos="768" w:val="left" w:leader="none"/>
                <w:tab w:pos="826" w:val="left" w:leader="none"/>
                <w:tab w:pos="919" w:val="left" w:leader="none"/>
                <w:tab w:pos="1125" w:val="left" w:leader="none"/>
                <w:tab w:pos="1392" w:val="left" w:leader="none"/>
                <w:tab w:pos="1466" w:val="left" w:leader="none"/>
                <w:tab w:pos="1639" w:val="left" w:leader="none"/>
                <w:tab w:pos="1735" w:val="left" w:leader="none"/>
                <w:tab w:pos="2087" w:val="left" w:leader="none"/>
                <w:tab w:pos="2306" w:val="left" w:leader="none"/>
                <w:tab w:pos="2533" w:val="left" w:leader="none"/>
                <w:tab w:pos="2627" w:val="left" w:leader="none"/>
              </w:tabs>
              <w:spacing w:before="42"/>
              <w:ind w:left="106" w:right="96"/>
              <w:rPr>
                <w:sz w:val="22"/>
              </w:rPr>
            </w:pPr>
            <w:r>
              <w:rPr>
                <w:spacing w:val="-6"/>
                <w:sz w:val="22"/>
              </w:rPr>
              <w:t>i)</w:t>
            </w:r>
            <w:r>
              <w:rPr>
                <w:sz w:val="22"/>
              </w:rPr>
              <w:tab/>
              <w:tab/>
            </w:r>
            <w:r>
              <w:rPr>
                <w:spacing w:val="-2"/>
                <w:sz w:val="22"/>
              </w:rPr>
              <w:t>Sensitive</w:t>
            </w:r>
            <w:r>
              <w:rPr>
                <w:spacing w:val="40"/>
                <w:sz w:val="22"/>
              </w:rPr>
              <w:t> </w:t>
            </w:r>
            <w:r>
              <w:rPr>
                <w:spacing w:val="-2"/>
                <w:sz w:val="22"/>
              </w:rPr>
              <w:t>additions,</w:t>
            </w:r>
            <w:r>
              <w:rPr>
                <w:sz w:val="22"/>
              </w:rPr>
              <w:tab/>
              <w:tab/>
              <w:tab/>
            </w:r>
            <w:r>
              <w:rPr>
                <w:spacing w:val="-52"/>
                <w:sz w:val="22"/>
              </w:rPr>
              <w:t> </w:t>
            </w:r>
            <w:r>
              <w:rPr>
                <w:spacing w:val="-2"/>
                <w:sz w:val="22"/>
              </w:rPr>
              <w:t>alterations</w:t>
            </w:r>
            <w:r>
              <w:rPr>
                <w:spacing w:val="-2"/>
                <w:sz w:val="22"/>
              </w:rPr>
              <w:t>,</w:t>
            </w:r>
            <w:r>
              <w:rPr>
                <w:spacing w:val="-2"/>
                <w:sz w:val="22"/>
              </w:rPr>
              <w:t> extensions,</w:t>
            </w:r>
            <w:r>
              <w:rPr>
                <w:sz w:val="22"/>
              </w:rPr>
              <w:tab/>
              <w:tab/>
              <w:tab/>
              <w:tab/>
              <w:tab/>
            </w:r>
            <w:r>
              <w:rPr>
                <w:spacing w:val="-2"/>
                <w:sz w:val="22"/>
              </w:rPr>
              <w:t>interio</w:t>
            </w:r>
            <w:r>
              <w:rPr>
                <w:spacing w:val="-2"/>
                <w:sz w:val="22"/>
              </w:rPr>
              <w:t>r</w:t>
            </w:r>
            <w:r>
              <w:rPr>
                <w:spacing w:val="-2"/>
                <w:sz w:val="22"/>
              </w:rPr>
              <w:t> renovations</w:t>
            </w:r>
            <w:r>
              <w:rPr>
                <w:sz w:val="22"/>
              </w:rPr>
              <w:tab/>
              <w:tab/>
              <w:tab/>
              <w:tab/>
            </w:r>
            <w:r>
              <w:rPr>
                <w:spacing w:val="-4"/>
                <w:sz w:val="22"/>
              </w:rPr>
              <w:t>shall</w:t>
            </w:r>
            <w:r>
              <w:rPr>
                <w:sz w:val="22"/>
              </w:rPr>
              <w:tab/>
              <w:tab/>
              <w:tab/>
            </w:r>
            <w:r>
              <w:rPr>
                <w:spacing w:val="-6"/>
                <w:sz w:val="22"/>
              </w:rPr>
              <w:t>b</w:t>
            </w:r>
            <w:r>
              <w:rPr>
                <w:spacing w:val="-6"/>
                <w:sz w:val="22"/>
              </w:rPr>
              <w:t>e</w:t>
            </w:r>
            <w:r>
              <w:rPr>
                <w:spacing w:val="-6"/>
                <w:sz w:val="22"/>
              </w:rPr>
              <w:t> </w:t>
            </w:r>
            <w:r>
              <w:rPr>
                <w:spacing w:val="-2"/>
                <w:sz w:val="22"/>
              </w:rPr>
              <w:t>permissible</w:t>
            </w:r>
            <w:r>
              <w:rPr>
                <w:sz w:val="22"/>
              </w:rPr>
              <w:tab/>
              <w:tab/>
              <w:tab/>
            </w:r>
            <w:r>
              <w:rPr>
                <w:spacing w:val="-4"/>
                <w:sz w:val="22"/>
              </w:rPr>
              <w:t>but</w:t>
            </w:r>
            <w:r>
              <w:rPr>
                <w:sz w:val="22"/>
              </w:rPr>
              <w:tab/>
              <w:tab/>
            </w:r>
            <w:r>
              <w:rPr>
                <w:spacing w:val="-4"/>
                <w:sz w:val="22"/>
              </w:rPr>
              <w:t>thes</w:t>
            </w:r>
            <w:r>
              <w:rPr>
                <w:spacing w:val="-4"/>
                <w:sz w:val="22"/>
              </w:rPr>
              <w:t>e</w:t>
            </w:r>
            <w:r>
              <w:rPr>
                <w:spacing w:val="-4"/>
                <w:sz w:val="22"/>
              </w:rPr>
              <w:t> </w:t>
            </w:r>
            <w:r>
              <w:rPr>
                <w:spacing w:val="-2"/>
                <w:sz w:val="22"/>
              </w:rPr>
              <w:t>should</w:t>
            </w:r>
            <w:r>
              <w:rPr>
                <w:sz w:val="22"/>
              </w:rPr>
              <w:tab/>
              <w:tab/>
            </w:r>
            <w:r>
              <w:rPr>
                <w:spacing w:val="-4"/>
                <w:sz w:val="22"/>
              </w:rPr>
              <w:t>not</w:t>
            </w:r>
            <w:r>
              <w:rPr>
                <w:sz w:val="22"/>
              </w:rPr>
              <w:tab/>
              <w:tab/>
              <w:tab/>
            </w:r>
            <w:r>
              <w:rPr>
                <w:spacing w:val="-46"/>
                <w:sz w:val="22"/>
              </w:rPr>
              <w:t> </w:t>
            </w:r>
            <w:r>
              <w:rPr>
                <w:sz w:val="22"/>
              </w:rPr>
              <w:t>alter</w:t>
              <w:tab/>
              <w:tab/>
            </w:r>
            <w:r>
              <w:rPr>
                <w:spacing w:val="-4"/>
                <w:sz w:val="22"/>
              </w:rPr>
              <w:t>th</w:t>
            </w:r>
            <w:r>
              <w:rPr>
                <w:spacing w:val="-4"/>
                <w:sz w:val="22"/>
              </w:rPr>
              <w:t>e</w:t>
            </w:r>
            <w:r>
              <w:rPr>
                <w:spacing w:val="-4"/>
                <w:sz w:val="22"/>
              </w:rPr>
              <w:t> </w:t>
            </w:r>
            <w:r>
              <w:rPr>
                <w:sz w:val="22"/>
              </w:rPr>
              <w:t>character of the precinct. </w:t>
            </w:r>
            <w:r>
              <w:rPr>
                <w:spacing w:val="-4"/>
                <w:sz w:val="22"/>
              </w:rPr>
              <w:t>The</w:t>
            </w:r>
            <w:r>
              <w:rPr>
                <w:sz w:val="22"/>
              </w:rPr>
              <w:tab/>
            </w:r>
            <w:r>
              <w:rPr>
                <w:spacing w:val="-4"/>
                <w:sz w:val="22"/>
              </w:rPr>
              <w:t>new</w:t>
            </w:r>
            <w:r>
              <w:rPr>
                <w:sz w:val="22"/>
              </w:rPr>
              <w:tab/>
              <w:tab/>
            </w:r>
            <w:r>
              <w:rPr>
                <w:spacing w:val="-2"/>
                <w:sz w:val="22"/>
              </w:rPr>
              <w:t>interventions </w:t>
            </w:r>
            <w:r>
              <w:rPr>
                <w:spacing w:val="-4"/>
                <w:sz w:val="22"/>
              </w:rPr>
              <w:t>could</w:t>
            </w:r>
            <w:r>
              <w:rPr>
                <w:sz w:val="22"/>
              </w:rPr>
              <w:tab/>
              <w:tab/>
              <w:tab/>
            </w:r>
            <w:r>
              <w:rPr>
                <w:spacing w:val="-6"/>
                <w:sz w:val="22"/>
              </w:rPr>
              <w:t>be</w:t>
            </w:r>
            <w:r>
              <w:rPr>
                <w:sz w:val="22"/>
              </w:rPr>
              <w:tab/>
            </w:r>
            <w:r>
              <w:rPr>
                <w:spacing w:val="-2"/>
                <w:sz w:val="22"/>
              </w:rPr>
              <w:t>contemporary </w:t>
            </w:r>
            <w:r>
              <w:rPr>
                <w:sz w:val="22"/>
              </w:rPr>
              <w:t>but subtle or inspired by the original</w:t>
            </w:r>
            <w:r>
              <w:rPr>
                <w:spacing w:val="-1"/>
                <w:sz w:val="22"/>
              </w:rPr>
              <w:t> </w:t>
            </w:r>
            <w:r>
              <w:rPr>
                <w:sz w:val="22"/>
              </w:rPr>
              <w:t>character</w:t>
            </w:r>
            <w:r>
              <w:rPr>
                <w:spacing w:val="-2"/>
                <w:sz w:val="22"/>
              </w:rPr>
              <w:t> </w:t>
            </w:r>
            <w:r>
              <w:rPr>
                <w:spacing w:val="-5"/>
                <w:sz w:val="22"/>
              </w:rPr>
              <w:t>but</w:t>
            </w:r>
          </w:p>
        </w:tc>
      </w:tr>
    </w:tbl>
    <w:p>
      <w:pPr>
        <w:pStyle w:val="TableParagraph"/>
        <w:spacing w:after="0"/>
        <w:rPr>
          <w:sz w:val="22"/>
        </w:rPr>
        <w:sectPr>
          <w:pgSz w:w="11910" w:h="16840"/>
          <w:pgMar w:header="1058" w:footer="1117" w:top="1500" w:bottom="1300" w:left="360" w:right="360"/>
        </w:sectPr>
      </w:pPr>
    </w:p>
    <w:p>
      <w:pPr>
        <w:pStyle w:val="BodyText"/>
        <w:spacing w:before="20"/>
        <w:jc w:val="left"/>
        <w:rPr>
          <w:sz w:val="20"/>
        </w:rPr>
      </w:pPr>
    </w:p>
    <w:tbl>
      <w:tblPr>
        <w:tblW w:w="0" w:type="auto"/>
        <w:jc w:val="left"/>
        <w:tblInd w:w="1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989"/>
      </w:tblGrid>
      <w:tr>
        <w:trPr>
          <w:trHeight w:val="362" w:hRule="atLeast"/>
        </w:trPr>
        <w:tc>
          <w:tcPr>
            <w:tcW w:w="2881" w:type="dxa"/>
            <w:shd w:val="clear" w:color="auto" w:fill="EDEBE0"/>
          </w:tcPr>
          <w:p>
            <w:pPr>
              <w:pStyle w:val="TableParagraph"/>
              <w:spacing w:before="40"/>
              <w:ind w:left="107"/>
              <w:rPr>
                <w:sz w:val="24"/>
              </w:rPr>
            </w:pPr>
            <w:r>
              <w:rPr>
                <w:sz w:val="24"/>
              </w:rPr>
              <w:t>Grade – </w:t>
            </w:r>
            <w:r>
              <w:rPr>
                <w:spacing w:val="-10"/>
                <w:sz w:val="24"/>
              </w:rPr>
              <w:t>I</w:t>
            </w:r>
          </w:p>
        </w:tc>
        <w:tc>
          <w:tcPr>
            <w:tcW w:w="2881" w:type="dxa"/>
            <w:shd w:val="clear" w:color="auto" w:fill="EDEBE0"/>
          </w:tcPr>
          <w:p>
            <w:pPr>
              <w:pStyle w:val="TableParagraph"/>
              <w:spacing w:before="40"/>
              <w:ind w:left="107"/>
              <w:rPr>
                <w:sz w:val="24"/>
              </w:rPr>
            </w:pPr>
            <w:r>
              <w:rPr>
                <w:sz w:val="24"/>
              </w:rPr>
              <w:t>Grade – </w:t>
            </w:r>
            <w:r>
              <w:rPr>
                <w:spacing w:val="-5"/>
                <w:sz w:val="24"/>
              </w:rPr>
              <w:t>II</w:t>
            </w:r>
          </w:p>
        </w:tc>
        <w:tc>
          <w:tcPr>
            <w:tcW w:w="2989" w:type="dxa"/>
            <w:shd w:val="clear" w:color="auto" w:fill="EDEBE0"/>
          </w:tcPr>
          <w:p>
            <w:pPr>
              <w:pStyle w:val="TableParagraph"/>
              <w:spacing w:before="40"/>
              <w:ind w:left="106"/>
              <w:rPr>
                <w:sz w:val="24"/>
              </w:rPr>
            </w:pPr>
            <w:r>
              <w:rPr>
                <w:sz w:val="24"/>
              </w:rPr>
              <w:t>Grade – </w:t>
            </w:r>
            <w:r>
              <w:rPr>
                <w:spacing w:val="-2"/>
                <w:sz w:val="24"/>
              </w:rPr>
              <w:t>III/PRECINCT</w:t>
            </w:r>
          </w:p>
        </w:tc>
      </w:tr>
      <w:tr>
        <w:trPr>
          <w:trHeight w:val="10238" w:hRule="atLeast"/>
        </w:trPr>
        <w:tc>
          <w:tcPr>
            <w:tcW w:w="2881" w:type="dxa"/>
          </w:tcPr>
          <w:p>
            <w:pPr>
              <w:pStyle w:val="TableParagraph"/>
              <w:tabs>
                <w:tab w:pos="1515" w:val="left" w:leader="none"/>
                <w:tab w:pos="1921" w:val="left" w:leader="none"/>
                <w:tab w:pos="2285" w:val="left" w:leader="none"/>
                <w:tab w:pos="2417" w:val="left" w:leader="none"/>
              </w:tabs>
              <w:spacing w:line="276" w:lineRule="auto" w:before="1"/>
              <w:ind w:left="249" w:right="238"/>
              <w:rPr>
                <w:sz w:val="22"/>
              </w:rPr>
            </w:pPr>
            <w:r>
              <w:rPr>
                <w:sz w:val="22"/>
              </w:rPr>
              <w:t>structure</w:t>
            </w:r>
            <w:r>
              <w:rPr>
                <w:spacing w:val="-18"/>
                <w:sz w:val="22"/>
              </w:rPr>
              <w:t> </w:t>
            </w:r>
            <w:r>
              <w:rPr>
                <w:sz w:val="22"/>
              </w:rPr>
              <w:t>and</w:t>
            </w:r>
            <w:r>
              <w:rPr>
                <w:spacing w:val="-18"/>
                <w:sz w:val="22"/>
              </w:rPr>
              <w:t> </w:t>
            </w:r>
            <w:r>
              <w:rPr>
                <w:sz w:val="22"/>
              </w:rPr>
              <w:t>the</w:t>
            </w:r>
            <w:r>
              <w:rPr>
                <w:spacing w:val="-17"/>
                <w:sz w:val="22"/>
              </w:rPr>
              <w:t> </w:t>
            </w:r>
            <w:r>
              <w:rPr>
                <w:sz w:val="22"/>
              </w:rPr>
              <w:t>new </w:t>
            </w:r>
            <w:r>
              <w:rPr>
                <w:spacing w:val="-2"/>
                <w:sz w:val="22"/>
              </w:rPr>
              <w:t>development</w:t>
            </w:r>
            <w:r>
              <w:rPr>
                <w:sz w:val="22"/>
              </w:rPr>
              <w:tab/>
            </w:r>
            <w:r>
              <w:rPr>
                <w:spacing w:val="-6"/>
                <w:sz w:val="22"/>
              </w:rPr>
              <w:t>is</w:t>
            </w:r>
            <w:r>
              <w:rPr>
                <w:sz w:val="22"/>
              </w:rPr>
              <w:tab/>
              <w:tab/>
            </w:r>
            <w:r>
              <w:rPr>
                <w:spacing w:val="-6"/>
                <w:sz w:val="22"/>
              </w:rPr>
              <w:t>in </w:t>
            </w:r>
            <w:r>
              <w:rPr>
                <w:spacing w:val="-2"/>
                <w:sz w:val="22"/>
              </w:rPr>
              <w:t>harmony</w:t>
            </w:r>
            <w:r>
              <w:rPr>
                <w:sz w:val="22"/>
              </w:rPr>
              <w:tab/>
            </w:r>
            <w:r>
              <w:rPr>
                <w:spacing w:val="-4"/>
                <w:sz w:val="22"/>
              </w:rPr>
              <w:t>with</w:t>
            </w:r>
            <w:r>
              <w:rPr>
                <w:sz w:val="22"/>
              </w:rPr>
              <w:tab/>
            </w:r>
            <w:r>
              <w:rPr>
                <w:spacing w:val="-4"/>
                <w:sz w:val="22"/>
              </w:rPr>
              <w:t>the </w:t>
            </w:r>
            <w:r>
              <w:rPr>
                <w:spacing w:val="-2"/>
                <w:sz w:val="22"/>
              </w:rPr>
              <w:t>mainheritage structure.</w:t>
            </w:r>
          </w:p>
          <w:p>
            <w:pPr>
              <w:pStyle w:val="TableParagraph"/>
              <w:tabs>
                <w:tab w:pos="827" w:val="left" w:leader="none"/>
              </w:tabs>
              <w:ind w:left="390" w:right="227" w:hanging="284"/>
              <w:rPr>
                <w:b/>
                <w:sz w:val="22"/>
              </w:rPr>
            </w:pPr>
            <w:r>
              <w:rPr>
                <w:b/>
                <w:spacing w:val="-4"/>
                <w:sz w:val="22"/>
              </w:rPr>
              <w:t>iii)</w:t>
            </w:r>
            <w:r>
              <w:rPr>
                <w:b/>
                <w:sz w:val="22"/>
              </w:rPr>
              <w:tab/>
              <w:t>Development</w:t>
            </w:r>
            <w:r>
              <w:rPr>
                <w:b/>
                <w:spacing w:val="-19"/>
                <w:sz w:val="22"/>
              </w:rPr>
              <w:t> </w:t>
            </w:r>
            <w:r>
              <w:rPr>
                <w:b/>
                <w:sz w:val="22"/>
              </w:rPr>
              <w:t>in </w:t>
            </w:r>
            <w:r>
              <w:rPr>
                <w:b/>
                <w:spacing w:val="-2"/>
                <w:sz w:val="22"/>
              </w:rPr>
              <w:t>surrounding </w:t>
            </w:r>
            <w:r>
              <w:rPr>
                <w:b/>
                <w:sz w:val="22"/>
              </w:rPr>
              <w:t>area/vista :</w:t>
            </w:r>
          </w:p>
          <w:p>
            <w:pPr>
              <w:pStyle w:val="TableParagraph"/>
              <w:spacing w:line="276" w:lineRule="auto" w:before="239"/>
              <w:ind w:left="122" w:right="237" w:firstLine="127"/>
              <w:jc w:val="both"/>
              <w:rPr>
                <w:sz w:val="22"/>
              </w:rPr>
            </w:pPr>
            <w:r>
              <w:rPr>
                <w:sz w:val="22"/>
              </w:rPr>
              <w:t>All the development (excluding repairs) in the vista of a Grade - I heritage,</w:t>
            </w:r>
            <w:r>
              <w:rPr>
                <w:spacing w:val="-15"/>
                <w:sz w:val="22"/>
              </w:rPr>
              <w:t> </w:t>
            </w:r>
            <w:r>
              <w:rPr>
                <w:sz w:val="22"/>
              </w:rPr>
              <w:t>within</w:t>
            </w:r>
            <w:r>
              <w:rPr>
                <w:spacing w:val="-13"/>
                <w:sz w:val="22"/>
              </w:rPr>
              <w:t> </w:t>
            </w:r>
            <w:r>
              <w:rPr>
                <w:sz w:val="22"/>
              </w:rPr>
              <w:t>100</w:t>
            </w:r>
            <w:r>
              <w:rPr>
                <w:spacing w:val="-14"/>
                <w:sz w:val="22"/>
              </w:rPr>
              <w:t> </w:t>
            </w:r>
            <w:r>
              <w:rPr>
                <w:sz w:val="22"/>
              </w:rPr>
              <w:t>m. Periphery or</w:t>
            </w:r>
            <w:r>
              <w:rPr>
                <w:spacing w:val="-1"/>
                <w:sz w:val="22"/>
              </w:rPr>
              <w:t> </w:t>
            </w:r>
            <w:r>
              <w:rPr>
                <w:sz w:val="22"/>
              </w:rPr>
              <w:t>as may</w:t>
            </w:r>
            <w:r>
              <w:rPr>
                <w:spacing w:val="-2"/>
                <w:sz w:val="22"/>
              </w:rPr>
              <w:t> </w:t>
            </w:r>
            <w:r>
              <w:rPr>
                <w:sz w:val="22"/>
              </w:rPr>
              <w:t>be delineated on plan, shall be regulated and controlled ensuring that</w:t>
            </w:r>
            <w:r>
              <w:rPr>
                <w:spacing w:val="-17"/>
                <w:sz w:val="22"/>
              </w:rPr>
              <w:t> </w:t>
            </w:r>
            <w:r>
              <w:rPr>
                <w:sz w:val="22"/>
              </w:rPr>
              <w:t>it</w:t>
            </w:r>
            <w:r>
              <w:rPr>
                <w:spacing w:val="-17"/>
                <w:sz w:val="22"/>
              </w:rPr>
              <w:t> </w:t>
            </w:r>
            <w:r>
              <w:rPr>
                <w:sz w:val="22"/>
              </w:rPr>
              <w:t>does</w:t>
            </w:r>
            <w:r>
              <w:rPr>
                <w:spacing w:val="-17"/>
                <w:sz w:val="22"/>
              </w:rPr>
              <w:t> </w:t>
            </w:r>
            <w:r>
              <w:rPr>
                <w:sz w:val="22"/>
              </w:rPr>
              <w:t>not</w:t>
            </w:r>
            <w:r>
              <w:rPr>
                <w:spacing w:val="-17"/>
                <w:sz w:val="22"/>
              </w:rPr>
              <w:t> </w:t>
            </w:r>
            <w:r>
              <w:rPr>
                <w:sz w:val="22"/>
              </w:rPr>
              <w:t>mar</w:t>
            </w:r>
            <w:r>
              <w:rPr>
                <w:spacing w:val="-18"/>
                <w:sz w:val="22"/>
              </w:rPr>
              <w:t> </w:t>
            </w:r>
            <w:r>
              <w:rPr>
                <w:sz w:val="22"/>
              </w:rPr>
              <w:t>the grandeur of or views from Heritage Grade – </w:t>
            </w:r>
            <w:r>
              <w:rPr>
                <w:spacing w:val="-6"/>
                <w:sz w:val="22"/>
              </w:rPr>
              <w:t>I.</w:t>
            </w:r>
          </w:p>
          <w:p>
            <w:pPr>
              <w:pStyle w:val="TableParagraph"/>
              <w:spacing w:before="41"/>
              <w:ind w:left="107" w:right="95"/>
              <w:jc w:val="both"/>
              <w:rPr>
                <w:sz w:val="22"/>
              </w:rPr>
            </w:pPr>
            <w:r>
              <w:rPr>
                <w:sz w:val="22"/>
              </w:rPr>
              <w:t>Development</w:t>
            </w:r>
            <w:r>
              <w:rPr>
                <w:spacing w:val="-18"/>
                <w:sz w:val="22"/>
              </w:rPr>
              <w:t> </w:t>
            </w:r>
            <w:r>
              <w:rPr>
                <w:sz w:val="22"/>
              </w:rPr>
              <w:t>permission may be granted within this regulated area provided that the proposed development does not mar the grandeur, scale and setting of, or view of or fromHeritage Grade-I.</w:t>
            </w:r>
          </w:p>
          <w:p>
            <w:pPr>
              <w:pStyle w:val="TableParagraph"/>
              <w:spacing w:before="104"/>
              <w:rPr>
                <w:sz w:val="22"/>
              </w:rPr>
            </w:pPr>
          </w:p>
          <w:p>
            <w:pPr>
              <w:pStyle w:val="TableParagraph"/>
              <w:ind w:left="107" w:right="97"/>
              <w:jc w:val="both"/>
              <w:rPr>
                <w:sz w:val="24"/>
              </w:rPr>
            </w:pPr>
            <w:r>
              <w:rPr>
                <w:sz w:val="24"/>
              </w:rPr>
              <w:t>In case of </w:t>
            </w:r>
            <w:r>
              <w:rPr>
                <w:sz w:val="24"/>
              </w:rPr>
              <w:t>world Heritage sites, the directives given by the Govt.</w:t>
            </w:r>
            <w:r>
              <w:rPr>
                <w:spacing w:val="-20"/>
                <w:sz w:val="24"/>
              </w:rPr>
              <w:t> </w:t>
            </w:r>
            <w:r>
              <w:rPr>
                <w:sz w:val="24"/>
              </w:rPr>
              <w:t>from</w:t>
            </w:r>
            <w:r>
              <w:rPr>
                <w:spacing w:val="-19"/>
                <w:sz w:val="24"/>
              </w:rPr>
              <w:t> </w:t>
            </w:r>
            <w:r>
              <w:rPr>
                <w:sz w:val="24"/>
              </w:rPr>
              <w:t>time</w:t>
            </w:r>
            <w:r>
              <w:rPr>
                <w:spacing w:val="-19"/>
                <w:sz w:val="24"/>
              </w:rPr>
              <w:t> </w:t>
            </w:r>
            <w:r>
              <w:rPr>
                <w:sz w:val="24"/>
              </w:rPr>
              <w:t>to</w:t>
            </w:r>
            <w:r>
              <w:rPr>
                <w:spacing w:val="-19"/>
                <w:sz w:val="24"/>
              </w:rPr>
              <w:t> </w:t>
            </w:r>
            <w:r>
              <w:rPr>
                <w:sz w:val="24"/>
              </w:rPr>
              <w:t>time will be applicable.</w:t>
            </w:r>
          </w:p>
        </w:tc>
        <w:tc>
          <w:tcPr>
            <w:tcW w:w="2881" w:type="dxa"/>
          </w:tcPr>
          <w:p>
            <w:pPr>
              <w:pStyle w:val="TableParagraph"/>
              <w:tabs>
                <w:tab w:pos="1268" w:val="left" w:leader="none"/>
                <w:tab w:pos="1338" w:val="left" w:leader="none"/>
                <w:tab w:pos="1487" w:val="left" w:leader="none"/>
                <w:tab w:pos="1693" w:val="left" w:leader="none"/>
                <w:tab w:pos="1763" w:val="left" w:leader="none"/>
                <w:tab w:pos="1800" w:val="left" w:leader="none"/>
                <w:tab w:pos="2036" w:val="left" w:leader="none"/>
                <w:tab w:pos="2252" w:val="left" w:leader="none"/>
                <w:tab w:pos="2324" w:val="left" w:leader="none"/>
                <w:tab w:pos="2497" w:val="left" w:leader="none"/>
                <w:tab w:pos="2531" w:val="left" w:leader="none"/>
              </w:tabs>
              <w:spacing w:before="1"/>
              <w:ind w:left="179" w:right="97"/>
              <w:rPr>
                <w:sz w:val="24"/>
              </w:rPr>
            </w:pPr>
            <w:r>
              <w:rPr>
                <w:sz w:val="24"/>
              </w:rPr>
              <w:t>in</w:t>
            </w:r>
            <w:r>
              <w:rPr>
                <w:spacing w:val="40"/>
                <w:sz w:val="24"/>
              </w:rPr>
              <w:t> </w:t>
            </w:r>
            <w:r>
              <w:rPr>
                <w:sz w:val="24"/>
              </w:rPr>
              <w:t>the</w:t>
            </w:r>
            <w:r>
              <w:rPr>
                <w:spacing w:val="40"/>
                <w:sz w:val="24"/>
              </w:rPr>
              <w:t> </w:t>
            </w:r>
            <w:r>
              <w:rPr>
                <w:sz w:val="24"/>
              </w:rPr>
              <w:t>same</w:t>
            </w:r>
            <w:r>
              <w:rPr>
                <w:spacing w:val="40"/>
                <w:sz w:val="24"/>
              </w:rPr>
              <w:t> </w:t>
            </w:r>
            <w:r>
              <w:rPr>
                <w:sz w:val="24"/>
              </w:rPr>
              <w:t>plot</w:t>
            </w:r>
            <w:r>
              <w:rPr>
                <w:spacing w:val="40"/>
                <w:sz w:val="24"/>
              </w:rPr>
              <w:t> </w:t>
            </w:r>
            <w:r>
              <w:rPr>
                <w:sz w:val="24"/>
              </w:rPr>
              <w:t>or </w:t>
            </w:r>
            <w:r>
              <w:rPr>
                <w:spacing w:val="-2"/>
                <w:sz w:val="24"/>
              </w:rPr>
              <w:t>compound</w:t>
            </w:r>
            <w:r>
              <w:rPr>
                <w:sz w:val="24"/>
              </w:rPr>
              <w:tab/>
              <w:tab/>
            </w:r>
            <w:r>
              <w:rPr>
                <w:spacing w:val="-4"/>
                <w:sz w:val="24"/>
              </w:rPr>
              <w:t>may,</w:t>
            </w:r>
            <w:r>
              <w:rPr>
                <w:sz w:val="24"/>
              </w:rPr>
              <w:tab/>
              <w:tab/>
              <w:tab/>
              <w:tab/>
            </w:r>
            <w:r>
              <w:rPr>
                <w:spacing w:val="-69"/>
                <w:sz w:val="24"/>
              </w:rPr>
              <w:t> </w:t>
            </w:r>
            <w:r>
              <w:rPr>
                <w:spacing w:val="-4"/>
                <w:sz w:val="24"/>
              </w:rPr>
              <w:t>in </w:t>
            </w:r>
            <w:r>
              <w:rPr>
                <w:spacing w:val="-2"/>
                <w:sz w:val="24"/>
              </w:rPr>
              <w:t>certain</w:t>
            </w:r>
            <w:r>
              <w:rPr>
                <w:spacing w:val="40"/>
                <w:sz w:val="24"/>
              </w:rPr>
              <w:t> </w:t>
            </w:r>
            <w:r>
              <w:rPr>
                <w:spacing w:val="-2"/>
                <w:sz w:val="24"/>
              </w:rPr>
              <w:t>circumstances,</w:t>
            </w:r>
            <w:r>
              <w:rPr>
                <w:sz w:val="24"/>
              </w:rPr>
              <w:tab/>
              <w:tab/>
              <w:tab/>
              <w:tab/>
            </w:r>
            <w:r>
              <w:rPr>
                <w:spacing w:val="-6"/>
                <w:sz w:val="24"/>
              </w:rPr>
              <w:t>be </w:t>
            </w:r>
            <w:r>
              <w:rPr>
                <w:spacing w:val="-2"/>
                <w:sz w:val="24"/>
              </w:rPr>
              <w:t>allowed;</w:t>
            </w:r>
            <w:r>
              <w:rPr>
                <w:sz w:val="24"/>
              </w:rPr>
              <w:tab/>
              <w:tab/>
              <w:tab/>
              <w:tab/>
              <w:tab/>
            </w:r>
            <w:r>
              <w:rPr>
                <w:spacing w:val="-2"/>
                <w:sz w:val="24"/>
              </w:rPr>
              <w:t>provided </w:t>
            </w:r>
            <w:r>
              <w:rPr>
                <w:sz w:val="24"/>
              </w:rPr>
              <w:t>that,</w:t>
            </w:r>
            <w:r>
              <w:rPr>
                <w:spacing w:val="40"/>
                <w:sz w:val="24"/>
              </w:rPr>
              <w:t> </w:t>
            </w:r>
            <w:r>
              <w:rPr>
                <w:sz w:val="24"/>
              </w:rPr>
              <w:t>such</w:t>
            </w:r>
            <w:r>
              <w:rPr>
                <w:spacing w:val="40"/>
                <w:sz w:val="24"/>
              </w:rPr>
              <w:t> </w:t>
            </w:r>
            <w:r>
              <w:rPr>
                <w:sz w:val="24"/>
              </w:rPr>
              <w:t>additional building(s) shall be in </w:t>
            </w:r>
            <w:r>
              <w:rPr>
                <w:spacing w:val="-2"/>
                <w:sz w:val="24"/>
              </w:rPr>
              <w:t>harmony</w:t>
            </w:r>
            <w:r>
              <w:rPr>
                <w:sz w:val="24"/>
              </w:rPr>
              <w:tab/>
              <w:tab/>
              <w:tab/>
            </w:r>
            <w:r>
              <w:rPr>
                <w:spacing w:val="-4"/>
                <w:sz w:val="24"/>
              </w:rPr>
              <w:t>with</w:t>
            </w:r>
            <w:r>
              <w:rPr>
                <w:sz w:val="24"/>
              </w:rPr>
              <w:tab/>
              <w:tab/>
            </w:r>
            <w:r>
              <w:rPr>
                <w:spacing w:val="-4"/>
                <w:sz w:val="24"/>
              </w:rPr>
              <w:t>(and </w:t>
            </w:r>
            <w:r>
              <w:rPr>
                <w:sz w:val="24"/>
              </w:rPr>
              <w:t>shall</w:t>
            </w:r>
            <w:r>
              <w:rPr>
                <w:spacing w:val="-20"/>
                <w:sz w:val="24"/>
              </w:rPr>
              <w:t> </w:t>
            </w:r>
            <w:r>
              <w:rPr>
                <w:sz w:val="24"/>
              </w:rPr>
              <w:t>not</w:t>
            </w:r>
            <w:r>
              <w:rPr>
                <w:spacing w:val="-19"/>
                <w:sz w:val="24"/>
              </w:rPr>
              <w:t> </w:t>
            </w:r>
            <w:r>
              <w:rPr>
                <w:sz w:val="24"/>
              </w:rPr>
              <w:t>detract</w:t>
            </w:r>
            <w:r>
              <w:rPr>
                <w:spacing w:val="-19"/>
                <w:sz w:val="24"/>
              </w:rPr>
              <w:t> </w:t>
            </w:r>
            <w:r>
              <w:rPr>
                <w:sz w:val="24"/>
              </w:rPr>
              <w:t>from) the</w:t>
            </w:r>
            <w:r>
              <w:rPr>
                <w:spacing w:val="-20"/>
                <w:sz w:val="24"/>
              </w:rPr>
              <w:t> </w:t>
            </w:r>
            <w:r>
              <w:rPr>
                <w:sz w:val="24"/>
              </w:rPr>
              <w:t>Grade-IIB</w:t>
            </w:r>
            <w:r>
              <w:rPr>
                <w:spacing w:val="-19"/>
                <w:sz w:val="24"/>
              </w:rPr>
              <w:t> </w:t>
            </w:r>
            <w:r>
              <w:rPr>
                <w:sz w:val="24"/>
              </w:rPr>
              <w:t>heritage </w:t>
            </w:r>
            <w:r>
              <w:rPr>
                <w:spacing w:val="-2"/>
                <w:sz w:val="24"/>
              </w:rPr>
              <w:t>building(s)</w:t>
            </w:r>
            <w:r>
              <w:rPr>
                <w:sz w:val="24"/>
              </w:rPr>
              <w:tab/>
              <w:tab/>
              <w:tab/>
              <w:tab/>
              <w:tab/>
              <w:tab/>
              <w:tab/>
              <w:tab/>
              <w:tab/>
            </w:r>
            <w:r>
              <w:rPr>
                <w:spacing w:val="-6"/>
                <w:sz w:val="24"/>
              </w:rPr>
              <w:t>or </w:t>
            </w:r>
            <w:r>
              <w:rPr>
                <w:sz w:val="24"/>
              </w:rPr>
              <w:t>precinct, especially in </w:t>
            </w:r>
            <w:r>
              <w:rPr>
                <w:spacing w:val="-2"/>
                <w:sz w:val="24"/>
              </w:rPr>
              <w:t>terms</w:t>
            </w:r>
            <w:r>
              <w:rPr>
                <w:sz w:val="24"/>
              </w:rPr>
              <w:tab/>
              <w:tab/>
            </w:r>
            <w:r>
              <w:rPr>
                <w:spacing w:val="-6"/>
                <w:sz w:val="24"/>
              </w:rPr>
              <w:t>of</w:t>
            </w:r>
            <w:r>
              <w:rPr>
                <w:sz w:val="24"/>
              </w:rPr>
              <w:tab/>
              <w:tab/>
              <w:tab/>
              <w:tab/>
            </w:r>
            <w:r>
              <w:rPr>
                <w:spacing w:val="-2"/>
                <w:sz w:val="24"/>
              </w:rPr>
              <w:t>height and/or</w:t>
            </w:r>
            <w:r>
              <w:rPr>
                <w:sz w:val="24"/>
              </w:rPr>
              <w:tab/>
            </w:r>
            <w:r>
              <w:rPr>
                <w:spacing w:val="-56"/>
                <w:sz w:val="24"/>
              </w:rPr>
              <w:t> </w:t>
            </w:r>
            <w:r>
              <w:rPr>
                <w:sz w:val="24"/>
              </w:rPr>
              <w:t>façade</w:t>
              <w:tab/>
              <w:tab/>
            </w:r>
            <w:r>
              <w:rPr>
                <w:spacing w:val="-4"/>
                <w:sz w:val="24"/>
              </w:rPr>
              <w:t>and </w:t>
            </w:r>
            <w:r>
              <w:rPr>
                <w:sz w:val="24"/>
              </w:rPr>
              <w:t>such</w:t>
            </w:r>
            <w:r>
              <w:rPr>
                <w:spacing w:val="-18"/>
                <w:sz w:val="24"/>
              </w:rPr>
              <w:t> </w:t>
            </w:r>
            <w:r>
              <w:rPr>
                <w:sz w:val="24"/>
              </w:rPr>
              <w:t>building</w:t>
            </w:r>
            <w:r>
              <w:rPr>
                <w:spacing w:val="-18"/>
                <w:sz w:val="24"/>
              </w:rPr>
              <w:t> </w:t>
            </w:r>
            <w:r>
              <w:rPr>
                <w:sz w:val="24"/>
              </w:rPr>
              <w:t>shall</w:t>
            </w:r>
            <w:r>
              <w:rPr>
                <w:spacing w:val="-18"/>
                <w:sz w:val="24"/>
              </w:rPr>
              <w:t> </w:t>
            </w:r>
            <w:r>
              <w:rPr>
                <w:sz w:val="24"/>
              </w:rPr>
              <w:t>be </w:t>
            </w:r>
            <w:r>
              <w:rPr>
                <w:spacing w:val="-2"/>
                <w:sz w:val="24"/>
              </w:rPr>
              <w:t>termed</w:t>
            </w:r>
            <w:r>
              <w:rPr>
                <w:sz w:val="24"/>
              </w:rPr>
              <w:tab/>
            </w:r>
            <w:r>
              <w:rPr>
                <w:spacing w:val="-6"/>
                <w:sz w:val="24"/>
              </w:rPr>
              <w:t>as</w:t>
            </w:r>
            <w:r>
              <w:rPr>
                <w:sz w:val="24"/>
              </w:rPr>
              <w:tab/>
              <w:tab/>
              <w:tab/>
            </w:r>
            <w:r>
              <w:rPr>
                <w:spacing w:val="-2"/>
                <w:sz w:val="24"/>
              </w:rPr>
              <w:t>Grade-II </w:t>
            </w:r>
            <w:r>
              <w:rPr>
                <w:spacing w:val="-4"/>
                <w:sz w:val="24"/>
              </w:rPr>
              <w:t>(B).</w:t>
            </w:r>
          </w:p>
        </w:tc>
        <w:tc>
          <w:tcPr>
            <w:tcW w:w="2989" w:type="dxa"/>
          </w:tcPr>
          <w:p>
            <w:pPr>
              <w:pStyle w:val="TableParagraph"/>
              <w:spacing w:before="1"/>
              <w:ind w:left="106" w:right="94"/>
              <w:jc w:val="both"/>
              <w:rPr>
                <w:sz w:val="22"/>
              </w:rPr>
            </w:pPr>
            <w:r>
              <w:rPr>
                <w:sz w:val="22"/>
              </w:rPr>
              <w:t>should</w:t>
            </w:r>
            <w:r>
              <w:rPr>
                <w:spacing w:val="-12"/>
                <w:sz w:val="22"/>
              </w:rPr>
              <w:t> </w:t>
            </w:r>
            <w:r>
              <w:rPr>
                <w:sz w:val="22"/>
              </w:rPr>
              <w:t>not</w:t>
            </w:r>
            <w:r>
              <w:rPr>
                <w:spacing w:val="-11"/>
                <w:sz w:val="22"/>
              </w:rPr>
              <w:t> </w:t>
            </w:r>
            <w:r>
              <w:rPr>
                <w:sz w:val="22"/>
              </w:rPr>
              <w:t>be</w:t>
            </w:r>
            <w:r>
              <w:rPr>
                <w:spacing w:val="-8"/>
                <w:sz w:val="22"/>
              </w:rPr>
              <w:t> </w:t>
            </w:r>
            <w:r>
              <w:rPr>
                <w:sz w:val="22"/>
              </w:rPr>
              <w:t>a</w:t>
            </w:r>
            <w:r>
              <w:rPr>
                <w:spacing w:val="-13"/>
                <w:sz w:val="22"/>
              </w:rPr>
              <w:t> </w:t>
            </w:r>
            <w:r>
              <w:rPr>
                <w:sz w:val="22"/>
              </w:rPr>
              <w:t>pastiche/ tasteless imitation of it.</w:t>
            </w:r>
          </w:p>
          <w:p>
            <w:pPr>
              <w:pStyle w:val="TableParagraph"/>
              <w:numPr>
                <w:ilvl w:val="0"/>
                <w:numId w:val="323"/>
              </w:numPr>
              <w:tabs>
                <w:tab w:pos="528" w:val="left" w:leader="none"/>
                <w:tab w:pos="1294" w:val="left" w:leader="none"/>
              </w:tabs>
              <w:spacing w:line="240" w:lineRule="auto" w:before="0" w:after="0"/>
              <w:ind w:left="29" w:right="98" w:firstLine="0"/>
              <w:jc w:val="both"/>
              <w:rPr>
                <w:b/>
                <w:sz w:val="22"/>
              </w:rPr>
            </w:pPr>
            <w:r>
              <w:rPr>
                <w:sz w:val="22"/>
              </w:rPr>
              <w:t>Essential structural </w:t>
            </w:r>
            <w:r>
              <w:rPr>
                <w:spacing w:val="-4"/>
                <w:sz w:val="22"/>
              </w:rPr>
              <w:t>and</w:t>
            </w:r>
            <w:r>
              <w:rPr>
                <w:sz w:val="22"/>
              </w:rPr>
              <w:tab/>
              <w:tab/>
            </w:r>
            <w:r>
              <w:rPr>
                <w:spacing w:val="-2"/>
                <w:sz w:val="22"/>
              </w:rPr>
              <w:t>non-</w:t>
            </w:r>
            <w:r>
              <w:rPr>
                <w:spacing w:val="-2"/>
                <w:sz w:val="22"/>
              </w:rPr>
              <w:t>structural </w:t>
            </w:r>
            <w:r>
              <w:rPr>
                <w:sz w:val="22"/>
              </w:rPr>
              <w:t>repairs</w:t>
            </w:r>
            <w:r>
              <w:rPr>
                <w:spacing w:val="-18"/>
                <w:sz w:val="22"/>
              </w:rPr>
              <w:t> </w:t>
            </w:r>
            <w:r>
              <w:rPr>
                <w:sz w:val="22"/>
              </w:rPr>
              <w:t>shall</w:t>
            </w:r>
            <w:r>
              <w:rPr>
                <w:spacing w:val="-18"/>
                <w:sz w:val="22"/>
              </w:rPr>
              <w:t> </w:t>
            </w:r>
            <w:r>
              <w:rPr>
                <w:sz w:val="22"/>
              </w:rPr>
              <w:t>be</w:t>
            </w:r>
            <w:r>
              <w:rPr>
                <w:spacing w:val="-17"/>
                <w:sz w:val="22"/>
              </w:rPr>
              <w:t> </w:t>
            </w:r>
            <w:r>
              <w:rPr>
                <w:sz w:val="22"/>
              </w:rPr>
              <w:t>allowed</w:t>
            </w:r>
            <w:r>
              <w:rPr>
                <w:spacing w:val="-18"/>
                <w:sz w:val="22"/>
              </w:rPr>
              <w:t> </w:t>
            </w:r>
            <w:r>
              <w:rPr>
                <w:sz w:val="22"/>
              </w:rPr>
              <w:t>for structural stability while retaining the original architectural features.</w:t>
            </w:r>
          </w:p>
          <w:p>
            <w:pPr>
              <w:pStyle w:val="TableParagraph"/>
              <w:numPr>
                <w:ilvl w:val="0"/>
                <w:numId w:val="323"/>
              </w:numPr>
              <w:tabs>
                <w:tab w:pos="810" w:val="left" w:leader="none"/>
              </w:tabs>
              <w:spacing w:line="240" w:lineRule="auto" w:before="0" w:after="0"/>
              <w:ind w:left="29" w:right="98" w:firstLine="218"/>
              <w:jc w:val="both"/>
              <w:rPr>
                <w:sz w:val="22"/>
              </w:rPr>
            </w:pPr>
            <w:r>
              <w:rPr>
                <w:sz w:val="22"/>
              </w:rPr>
              <w:t>Reconstruction / redevelopment shall be allowed</w:t>
            </w:r>
            <w:r>
              <w:rPr>
                <w:spacing w:val="47"/>
                <w:w w:val="150"/>
                <w:sz w:val="22"/>
              </w:rPr>
              <w:t>    </w:t>
            </w:r>
            <w:r>
              <w:rPr>
                <w:sz w:val="22"/>
              </w:rPr>
              <w:t>with</w:t>
            </w:r>
            <w:r>
              <w:rPr>
                <w:spacing w:val="46"/>
                <w:w w:val="150"/>
                <w:sz w:val="22"/>
              </w:rPr>
              <w:t>    </w:t>
            </w:r>
            <w:r>
              <w:rPr>
                <w:spacing w:val="-5"/>
                <w:sz w:val="22"/>
              </w:rPr>
              <w:t>the</w:t>
            </w:r>
          </w:p>
          <w:p>
            <w:pPr>
              <w:pStyle w:val="TableParagraph"/>
              <w:tabs>
                <w:tab w:pos="2683" w:val="left" w:leader="none"/>
              </w:tabs>
              <w:ind w:left="29"/>
              <w:jc w:val="both"/>
              <w:rPr>
                <w:sz w:val="22"/>
              </w:rPr>
            </w:pPr>
            <w:r>
              <w:rPr>
                <w:spacing w:val="-2"/>
                <w:sz w:val="22"/>
              </w:rPr>
              <w:t>permission</w:t>
            </w:r>
            <w:r>
              <w:rPr>
                <w:sz w:val="22"/>
              </w:rPr>
              <w:tab/>
            </w:r>
            <w:r>
              <w:rPr>
                <w:spacing w:val="-5"/>
                <w:sz w:val="22"/>
              </w:rPr>
              <w:t>of</w:t>
            </w:r>
          </w:p>
          <w:p>
            <w:pPr>
              <w:pStyle w:val="TableParagraph"/>
              <w:ind w:left="29" w:right="95"/>
              <w:jc w:val="both"/>
              <w:rPr>
                <w:sz w:val="22"/>
              </w:rPr>
            </w:pPr>
            <w:r>
              <w:rPr>
                <w:sz w:val="22"/>
              </w:rPr>
              <w:t>Commissioner as detailed </w:t>
            </w:r>
            <w:r>
              <w:rPr>
                <w:spacing w:val="-2"/>
                <w:sz w:val="22"/>
              </w:rPr>
              <w:t>below.</w:t>
            </w:r>
          </w:p>
        </w:tc>
      </w:tr>
      <w:tr>
        <w:trPr>
          <w:trHeight w:val="2556" w:hRule="atLeast"/>
        </w:trPr>
        <w:tc>
          <w:tcPr>
            <w:tcW w:w="2881" w:type="dxa"/>
          </w:tcPr>
          <w:p>
            <w:pPr>
              <w:pStyle w:val="TableParagraph"/>
              <w:tabs>
                <w:tab w:pos="1421" w:val="left" w:leader="none"/>
                <w:tab w:pos="2429" w:val="left" w:leader="none"/>
              </w:tabs>
              <w:spacing w:line="252" w:lineRule="auto" w:before="38"/>
              <w:ind w:left="107" w:right="96"/>
              <w:rPr>
                <w:sz w:val="22"/>
              </w:rPr>
            </w:pPr>
            <w:r>
              <w:rPr>
                <w:sz w:val="24"/>
              </w:rPr>
              <w:t>D. Procedure </w:t>
            </w:r>
            <w:r>
              <w:rPr>
                <w:sz w:val="22"/>
              </w:rPr>
              <w:t>Development</w:t>
            </w:r>
            <w:r>
              <w:rPr>
                <w:spacing w:val="-17"/>
                <w:sz w:val="22"/>
              </w:rPr>
              <w:t> </w:t>
            </w:r>
            <w:r>
              <w:rPr>
                <w:sz w:val="22"/>
              </w:rPr>
              <w:t>permission for</w:t>
            </w:r>
            <w:r>
              <w:rPr>
                <w:spacing w:val="-5"/>
                <w:sz w:val="22"/>
              </w:rPr>
              <w:t> </w:t>
            </w:r>
            <w:r>
              <w:rPr>
                <w:sz w:val="22"/>
              </w:rPr>
              <w:t>the</w:t>
            </w:r>
            <w:r>
              <w:rPr>
                <w:spacing w:val="-1"/>
                <w:sz w:val="22"/>
              </w:rPr>
              <w:t> </w:t>
            </w:r>
            <w:r>
              <w:rPr>
                <w:sz w:val="22"/>
              </w:rPr>
              <w:t>changes</w:t>
            </w:r>
            <w:r>
              <w:rPr>
                <w:spacing w:val="40"/>
                <w:sz w:val="22"/>
              </w:rPr>
              <w:t> </w:t>
            </w:r>
            <w:r>
              <w:rPr>
                <w:color w:val="000000"/>
                <w:sz w:val="22"/>
                <w:shd w:fill="FFCCFF" w:color="auto" w:val="clear"/>
              </w:rPr>
              <w:t>shall</w:t>
            </w:r>
            <w:r>
              <w:rPr>
                <w:color w:val="000000"/>
                <w:spacing w:val="-1"/>
                <w:sz w:val="22"/>
              </w:rPr>
              <w:t> </w:t>
            </w:r>
            <w:r>
              <w:rPr>
                <w:color w:val="000000"/>
                <w:sz w:val="22"/>
              </w:rPr>
              <w:t>be </w:t>
            </w:r>
            <w:r>
              <w:rPr>
                <w:color w:val="000000"/>
                <w:spacing w:val="-2"/>
                <w:sz w:val="22"/>
              </w:rPr>
              <w:t>given</w:t>
            </w:r>
            <w:r>
              <w:rPr>
                <w:color w:val="000000"/>
                <w:sz w:val="22"/>
              </w:rPr>
              <w:tab/>
            </w:r>
            <w:r>
              <w:rPr>
                <w:color w:val="000000"/>
                <w:spacing w:val="-5"/>
                <w:sz w:val="22"/>
              </w:rPr>
              <w:t>by</w:t>
            </w:r>
            <w:r>
              <w:rPr>
                <w:color w:val="000000"/>
                <w:sz w:val="22"/>
              </w:rPr>
              <w:tab/>
            </w:r>
            <w:r>
              <w:rPr>
                <w:color w:val="000000"/>
                <w:spacing w:val="-5"/>
                <w:sz w:val="22"/>
              </w:rPr>
              <w:t>th</w:t>
            </w:r>
            <w:r>
              <w:rPr>
                <w:color w:val="000000"/>
                <w:spacing w:val="-5"/>
                <w:sz w:val="22"/>
              </w:rPr>
              <w:t>e</w:t>
            </w:r>
          </w:p>
          <w:p>
            <w:pPr>
              <w:pStyle w:val="TableParagraph"/>
              <w:tabs>
                <w:tab w:pos="2352" w:val="left" w:leader="none"/>
                <w:tab w:pos="2559" w:val="left" w:leader="none"/>
              </w:tabs>
              <w:ind w:left="107" w:right="96"/>
              <w:rPr>
                <w:sz w:val="22"/>
              </w:rPr>
            </w:pPr>
            <w:r>
              <w:rPr>
                <w:spacing w:val="-2"/>
                <w:sz w:val="22"/>
              </w:rPr>
              <w:t>Commissioner</w:t>
            </w:r>
            <w:r>
              <w:rPr>
                <w:sz w:val="22"/>
              </w:rPr>
              <w:tab/>
              <w:tab/>
            </w:r>
            <w:r>
              <w:rPr>
                <w:spacing w:val="-6"/>
                <w:sz w:val="22"/>
              </w:rPr>
              <w:t>in </w:t>
            </w:r>
            <w:r>
              <w:rPr>
                <w:spacing w:val="-2"/>
                <w:sz w:val="22"/>
              </w:rPr>
              <w:t>consultation</w:t>
            </w:r>
            <w:r>
              <w:rPr>
                <w:spacing w:val="80"/>
                <w:sz w:val="22"/>
              </w:rPr>
              <w:t> </w:t>
            </w:r>
            <w:r>
              <w:rPr>
                <w:spacing w:val="-2"/>
                <w:sz w:val="22"/>
              </w:rPr>
              <w:t>with/taking</w:t>
            </w:r>
            <w:r>
              <w:rPr>
                <w:sz w:val="22"/>
              </w:rPr>
              <w:tab/>
            </w:r>
            <w:r>
              <w:rPr>
                <w:spacing w:val="-4"/>
                <w:sz w:val="22"/>
              </w:rPr>
              <w:t>into</w:t>
            </w:r>
          </w:p>
          <w:p>
            <w:pPr>
              <w:pStyle w:val="TableParagraph"/>
              <w:tabs>
                <w:tab w:pos="2429" w:val="left" w:leader="none"/>
              </w:tabs>
              <w:ind w:left="107"/>
              <w:rPr>
                <w:sz w:val="22"/>
              </w:rPr>
            </w:pPr>
            <w:r>
              <w:rPr>
                <w:spacing w:val="-2"/>
                <w:sz w:val="22"/>
              </w:rPr>
              <w:t>consideration</w:t>
            </w:r>
            <w:r>
              <w:rPr>
                <w:sz w:val="22"/>
              </w:rPr>
              <w:tab/>
            </w:r>
            <w:r>
              <w:rPr>
                <w:spacing w:val="-5"/>
                <w:sz w:val="22"/>
              </w:rPr>
              <w:t>the</w:t>
            </w:r>
          </w:p>
        </w:tc>
        <w:tc>
          <w:tcPr>
            <w:tcW w:w="2881" w:type="dxa"/>
          </w:tcPr>
          <w:p>
            <w:pPr>
              <w:pStyle w:val="TableParagraph"/>
              <w:spacing w:before="103"/>
              <w:rPr>
                <w:sz w:val="22"/>
              </w:rPr>
            </w:pPr>
          </w:p>
          <w:p>
            <w:pPr>
              <w:pStyle w:val="TableParagraph"/>
              <w:tabs>
                <w:tab w:pos="1457" w:val="left" w:leader="none"/>
                <w:tab w:pos="1684" w:val="left" w:leader="none"/>
                <w:tab w:pos="2428" w:val="left" w:leader="none"/>
                <w:tab w:pos="2522" w:val="left" w:leader="none"/>
              </w:tabs>
              <w:ind w:left="179" w:right="97"/>
              <w:rPr>
                <w:sz w:val="22"/>
              </w:rPr>
            </w:pPr>
            <w:r>
              <w:rPr>
                <w:spacing w:val="-2"/>
                <w:sz w:val="22"/>
              </w:rPr>
              <w:t>Development</w:t>
            </w:r>
            <w:r>
              <w:rPr>
                <w:spacing w:val="40"/>
                <w:sz w:val="22"/>
              </w:rPr>
              <w:t> </w:t>
            </w:r>
            <w:r>
              <w:rPr>
                <w:spacing w:val="-2"/>
                <w:sz w:val="22"/>
              </w:rPr>
              <w:t>permission</w:t>
            </w:r>
            <w:r>
              <w:rPr>
                <w:sz w:val="22"/>
              </w:rPr>
              <w:tab/>
              <w:tab/>
            </w:r>
            <w:r>
              <w:rPr>
                <w:color w:val="000000"/>
                <w:spacing w:val="-4"/>
                <w:sz w:val="22"/>
                <w:shd w:fill="FFCCFF" w:color="auto" w:val="clear"/>
              </w:rPr>
              <w:t>shall</w:t>
            </w:r>
            <w:r>
              <w:rPr>
                <w:color w:val="000000"/>
                <w:sz w:val="22"/>
                <w:shd w:fill="FFCCFF" w:color="auto" w:val="clear"/>
              </w:rPr>
              <w:tab/>
              <w:tab/>
            </w:r>
            <w:r>
              <w:rPr>
                <w:color w:val="000000"/>
                <w:spacing w:val="-6"/>
                <w:sz w:val="22"/>
              </w:rPr>
              <w:t>be </w:t>
            </w:r>
            <w:r>
              <w:rPr>
                <w:color w:val="000000"/>
                <w:spacing w:val="-2"/>
                <w:sz w:val="22"/>
              </w:rPr>
              <w:t>given</w:t>
            </w:r>
            <w:r>
              <w:rPr>
                <w:color w:val="000000"/>
                <w:sz w:val="22"/>
              </w:rPr>
              <w:tab/>
            </w:r>
            <w:r>
              <w:rPr>
                <w:color w:val="000000"/>
                <w:spacing w:val="-5"/>
                <w:sz w:val="22"/>
              </w:rPr>
              <w:t>by</w:t>
            </w:r>
            <w:r>
              <w:rPr>
                <w:color w:val="000000"/>
                <w:sz w:val="22"/>
              </w:rPr>
              <w:tab/>
            </w:r>
            <w:r>
              <w:rPr>
                <w:color w:val="000000"/>
                <w:spacing w:val="-5"/>
                <w:sz w:val="22"/>
              </w:rPr>
              <w:t>the</w:t>
            </w:r>
          </w:p>
          <w:p>
            <w:pPr>
              <w:pStyle w:val="TableParagraph"/>
              <w:tabs>
                <w:tab w:pos="2352" w:val="left" w:leader="none"/>
                <w:tab w:pos="2561" w:val="left" w:leader="none"/>
              </w:tabs>
              <w:spacing w:before="1"/>
              <w:ind w:left="179" w:right="97"/>
              <w:rPr>
                <w:sz w:val="22"/>
              </w:rPr>
            </w:pPr>
            <w:r>
              <w:rPr>
                <w:spacing w:val="-2"/>
                <w:sz w:val="22"/>
              </w:rPr>
              <w:t>Commissioner</w:t>
            </w:r>
            <w:r>
              <w:rPr>
                <w:sz w:val="22"/>
              </w:rPr>
              <w:tab/>
              <w:tab/>
            </w:r>
            <w:r>
              <w:rPr>
                <w:spacing w:val="-6"/>
                <w:sz w:val="22"/>
              </w:rPr>
              <w:t>in </w:t>
            </w:r>
            <w:r>
              <w:rPr>
                <w:spacing w:val="-2"/>
                <w:sz w:val="22"/>
              </w:rPr>
              <w:t>consultation with/taking</w:t>
            </w:r>
            <w:r>
              <w:rPr>
                <w:sz w:val="22"/>
              </w:rPr>
              <w:tab/>
            </w:r>
            <w:r>
              <w:rPr>
                <w:spacing w:val="-4"/>
                <w:sz w:val="22"/>
              </w:rPr>
              <w:t>into</w:t>
            </w:r>
          </w:p>
          <w:p>
            <w:pPr>
              <w:pStyle w:val="TableParagraph"/>
              <w:tabs>
                <w:tab w:pos="2429" w:val="left" w:leader="none"/>
              </w:tabs>
              <w:ind w:left="179"/>
              <w:rPr>
                <w:sz w:val="22"/>
              </w:rPr>
            </w:pPr>
            <w:r>
              <w:rPr>
                <w:spacing w:val="-2"/>
                <w:sz w:val="22"/>
              </w:rPr>
              <w:t>consideration</w:t>
            </w:r>
            <w:r>
              <w:rPr>
                <w:sz w:val="22"/>
              </w:rPr>
              <w:tab/>
            </w:r>
            <w:r>
              <w:rPr>
                <w:spacing w:val="-5"/>
                <w:sz w:val="22"/>
              </w:rPr>
              <w:t>the</w:t>
            </w:r>
          </w:p>
        </w:tc>
        <w:tc>
          <w:tcPr>
            <w:tcW w:w="2989" w:type="dxa"/>
          </w:tcPr>
          <w:p>
            <w:pPr>
              <w:pStyle w:val="TableParagraph"/>
              <w:spacing w:before="80"/>
              <w:rPr>
                <w:sz w:val="24"/>
              </w:rPr>
            </w:pPr>
          </w:p>
          <w:p>
            <w:pPr>
              <w:pStyle w:val="TableParagraph"/>
              <w:ind w:left="106"/>
              <w:rPr>
                <w:b/>
                <w:sz w:val="24"/>
              </w:rPr>
            </w:pPr>
            <w:r>
              <w:rPr>
                <w:b/>
                <w:sz w:val="24"/>
              </w:rPr>
              <w:t>Grade</w:t>
            </w:r>
            <w:r>
              <w:rPr>
                <w:b/>
                <w:spacing w:val="-2"/>
                <w:sz w:val="24"/>
              </w:rPr>
              <w:t> </w:t>
            </w:r>
            <w:r>
              <w:rPr>
                <w:b/>
                <w:sz w:val="24"/>
              </w:rPr>
              <w:t>–</w:t>
            </w:r>
            <w:r>
              <w:rPr>
                <w:b/>
                <w:spacing w:val="-2"/>
                <w:sz w:val="24"/>
              </w:rPr>
              <w:t> </w:t>
            </w:r>
            <w:r>
              <w:rPr>
                <w:b/>
                <w:spacing w:val="-5"/>
                <w:sz w:val="24"/>
              </w:rPr>
              <w:t>III</w:t>
            </w:r>
          </w:p>
          <w:p>
            <w:pPr>
              <w:pStyle w:val="TableParagraph"/>
              <w:spacing w:before="40"/>
              <w:ind w:left="106"/>
              <w:rPr>
                <w:sz w:val="24"/>
              </w:rPr>
            </w:pPr>
            <w:r>
              <w:rPr>
                <w:spacing w:val="-10"/>
                <w:sz w:val="24"/>
              </w:rPr>
              <w:t>.</w:t>
            </w:r>
          </w:p>
          <w:p>
            <w:pPr>
              <w:pStyle w:val="TableParagraph"/>
              <w:tabs>
                <w:tab w:pos="1293" w:val="left" w:leader="none"/>
              </w:tabs>
              <w:spacing w:before="40"/>
              <w:ind w:left="106" w:right="97"/>
              <w:jc w:val="both"/>
              <w:rPr>
                <w:sz w:val="22"/>
              </w:rPr>
            </w:pPr>
            <w:r>
              <w:rPr>
                <w:b/>
                <w:sz w:val="22"/>
              </w:rPr>
              <w:t>a) </w:t>
            </w:r>
            <w:r>
              <w:rPr>
                <w:sz w:val="22"/>
              </w:rPr>
              <w:t>In respect of minor/structural</w:t>
            </w:r>
            <w:r>
              <w:rPr>
                <w:spacing w:val="-10"/>
                <w:sz w:val="22"/>
              </w:rPr>
              <w:t> </w:t>
            </w:r>
            <w:r>
              <w:rPr>
                <w:sz w:val="22"/>
              </w:rPr>
              <w:t>repairs, periodic maintenance</w:t>
            </w:r>
            <w:r>
              <w:rPr>
                <w:spacing w:val="40"/>
                <w:sz w:val="22"/>
              </w:rPr>
              <w:t> </w:t>
            </w:r>
            <w:r>
              <w:rPr>
                <w:spacing w:val="-2"/>
                <w:sz w:val="22"/>
              </w:rPr>
              <w:t>(e.g.</w:t>
            </w:r>
            <w:r>
              <w:rPr>
                <w:sz w:val="22"/>
              </w:rPr>
              <w:tab/>
            </w:r>
            <w:r>
              <w:rPr>
                <w:spacing w:val="-2"/>
                <w:sz w:val="22"/>
              </w:rPr>
              <w:t>Waterproofing</w:t>
            </w:r>
            <w:r>
              <w:rPr>
                <w:spacing w:val="-2"/>
                <w:sz w:val="22"/>
              </w:rPr>
              <w:t>,</w:t>
            </w:r>
          </w:p>
          <w:p>
            <w:pPr>
              <w:pStyle w:val="TableParagraph"/>
              <w:spacing w:line="256" w:lineRule="exact"/>
              <w:ind w:left="106" w:right="97"/>
              <w:jc w:val="both"/>
              <w:rPr>
                <w:sz w:val="22"/>
              </w:rPr>
            </w:pPr>
            <w:r>
              <w:rPr>
                <w:sz w:val="22"/>
              </w:rPr>
              <w:t>repairs to flat/ sloping roof,</w:t>
            </w:r>
            <w:r>
              <w:rPr>
                <w:spacing w:val="66"/>
                <w:w w:val="150"/>
                <w:sz w:val="22"/>
              </w:rPr>
              <w:t> </w:t>
            </w:r>
            <w:r>
              <w:rPr>
                <w:sz w:val="22"/>
              </w:rPr>
              <w:t>existing</w:t>
            </w:r>
            <w:r>
              <w:rPr>
                <w:spacing w:val="69"/>
                <w:w w:val="150"/>
                <w:sz w:val="22"/>
              </w:rPr>
              <w:t> </w:t>
            </w:r>
            <w:r>
              <w:rPr>
                <w:spacing w:val="-2"/>
                <w:sz w:val="22"/>
              </w:rPr>
              <w:t>plumbing,</w:t>
            </w:r>
          </w:p>
        </w:tc>
      </w:tr>
    </w:tbl>
    <w:p>
      <w:pPr>
        <w:pStyle w:val="TableParagraph"/>
        <w:spacing w:after="0" w:line="256" w:lineRule="exact"/>
        <w:jc w:val="both"/>
        <w:rPr>
          <w:sz w:val="22"/>
        </w:rPr>
        <w:sectPr>
          <w:pgSz w:w="11910" w:h="16840"/>
          <w:pgMar w:header="1058" w:footer="1117" w:top="1500" w:bottom="1300" w:left="360" w:right="360"/>
        </w:sectPr>
      </w:pPr>
    </w:p>
    <w:p>
      <w:pPr>
        <w:pStyle w:val="BodyText"/>
        <w:spacing w:before="20"/>
        <w:jc w:val="left"/>
        <w:rPr>
          <w:sz w:val="20"/>
        </w:rPr>
      </w:pPr>
    </w:p>
    <w:tbl>
      <w:tblPr>
        <w:tblW w:w="0" w:type="auto"/>
        <w:jc w:val="left"/>
        <w:tblInd w:w="1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989"/>
      </w:tblGrid>
      <w:tr>
        <w:trPr>
          <w:trHeight w:val="362" w:hRule="atLeast"/>
        </w:trPr>
        <w:tc>
          <w:tcPr>
            <w:tcW w:w="2881" w:type="dxa"/>
            <w:shd w:val="clear" w:color="auto" w:fill="EDEBE0"/>
          </w:tcPr>
          <w:p>
            <w:pPr>
              <w:pStyle w:val="TableParagraph"/>
              <w:spacing w:before="40"/>
              <w:ind w:left="107"/>
              <w:rPr>
                <w:sz w:val="24"/>
              </w:rPr>
            </w:pPr>
            <w:r>
              <w:rPr>
                <w:sz w:val="24"/>
              </w:rPr>
              <w:t>Grade – </w:t>
            </w:r>
            <w:r>
              <w:rPr>
                <w:spacing w:val="-10"/>
                <w:sz w:val="24"/>
              </w:rPr>
              <w:t>I</w:t>
            </w:r>
          </w:p>
        </w:tc>
        <w:tc>
          <w:tcPr>
            <w:tcW w:w="2881" w:type="dxa"/>
            <w:shd w:val="clear" w:color="auto" w:fill="EDEBE0"/>
          </w:tcPr>
          <w:p>
            <w:pPr>
              <w:pStyle w:val="TableParagraph"/>
              <w:spacing w:before="40"/>
              <w:ind w:left="107"/>
              <w:rPr>
                <w:sz w:val="24"/>
              </w:rPr>
            </w:pPr>
            <w:r>
              <w:rPr>
                <w:sz w:val="24"/>
              </w:rPr>
              <w:t>Grade – </w:t>
            </w:r>
            <w:r>
              <w:rPr>
                <w:spacing w:val="-5"/>
                <w:sz w:val="24"/>
              </w:rPr>
              <w:t>II</w:t>
            </w:r>
          </w:p>
        </w:tc>
        <w:tc>
          <w:tcPr>
            <w:tcW w:w="2989" w:type="dxa"/>
            <w:shd w:val="clear" w:color="auto" w:fill="EDEBE0"/>
          </w:tcPr>
          <w:p>
            <w:pPr>
              <w:pStyle w:val="TableParagraph"/>
              <w:spacing w:before="40"/>
              <w:ind w:left="106"/>
              <w:rPr>
                <w:sz w:val="24"/>
              </w:rPr>
            </w:pPr>
            <w:r>
              <w:rPr>
                <w:sz w:val="24"/>
              </w:rPr>
              <w:t>Grade – </w:t>
            </w:r>
            <w:r>
              <w:rPr>
                <w:spacing w:val="-2"/>
                <w:sz w:val="24"/>
              </w:rPr>
              <w:t>III/PRECINCT</w:t>
            </w:r>
          </w:p>
        </w:tc>
      </w:tr>
      <w:tr>
        <w:trPr>
          <w:trHeight w:val="12915" w:hRule="atLeast"/>
        </w:trPr>
        <w:tc>
          <w:tcPr>
            <w:tcW w:w="2881" w:type="dxa"/>
          </w:tcPr>
          <w:p>
            <w:pPr>
              <w:pStyle w:val="TableParagraph"/>
              <w:spacing w:before="1"/>
              <w:ind w:left="107" w:right="97"/>
              <w:rPr>
                <w:sz w:val="22"/>
              </w:rPr>
            </w:pPr>
            <w:r>
              <w:rPr>
                <w:sz w:val="22"/>
              </w:rPr>
              <w:t>recommendation</w:t>
            </w:r>
            <w:r>
              <w:rPr>
                <w:spacing w:val="40"/>
                <w:sz w:val="22"/>
              </w:rPr>
              <w:t> </w:t>
            </w:r>
            <w:r>
              <w:rPr>
                <w:sz w:val="22"/>
              </w:rPr>
              <w:t>of</w:t>
            </w:r>
            <w:r>
              <w:rPr>
                <w:spacing w:val="40"/>
                <w:sz w:val="22"/>
              </w:rPr>
              <w:t> </w:t>
            </w:r>
            <w:r>
              <w:rPr>
                <w:sz w:val="22"/>
              </w:rPr>
              <w:t>the </w:t>
            </w:r>
            <w:r>
              <w:rPr>
                <w:spacing w:val="-4"/>
                <w:sz w:val="22"/>
              </w:rPr>
              <w:t>MHCC</w:t>
            </w:r>
          </w:p>
          <w:p>
            <w:pPr>
              <w:pStyle w:val="TableParagraph"/>
              <w:tabs>
                <w:tab w:pos="1256" w:val="left" w:leader="none"/>
                <w:tab w:pos="1796" w:val="left" w:leader="none"/>
                <w:tab w:pos="2418" w:val="left" w:leader="none"/>
              </w:tabs>
              <w:spacing w:before="38"/>
              <w:ind w:left="107" w:right="238"/>
              <w:rPr>
                <w:sz w:val="22"/>
              </w:rPr>
            </w:pPr>
            <w:r>
              <w:rPr>
                <w:spacing w:val="-2"/>
                <w:sz w:val="22"/>
              </w:rPr>
              <w:t>Repairs</w:t>
            </w:r>
            <w:r>
              <w:rPr>
                <w:sz w:val="22"/>
              </w:rPr>
              <w:tab/>
            </w:r>
            <w:r>
              <w:rPr>
                <w:spacing w:val="-6"/>
                <w:sz w:val="22"/>
              </w:rPr>
              <w:t>to</w:t>
            </w:r>
            <w:r>
              <w:rPr>
                <w:sz w:val="22"/>
              </w:rPr>
              <w:tab/>
            </w:r>
            <w:r>
              <w:rPr>
                <w:spacing w:val="-2"/>
                <w:sz w:val="22"/>
              </w:rPr>
              <w:t>existing structures</w:t>
            </w:r>
            <w:r>
              <w:rPr>
                <w:sz w:val="22"/>
              </w:rPr>
              <w:tab/>
              <w:tab/>
              <w:tab/>
            </w:r>
            <w:r>
              <w:rPr>
                <w:spacing w:val="-6"/>
                <w:sz w:val="22"/>
              </w:rPr>
              <w:t>in </w:t>
            </w:r>
            <w:r>
              <w:rPr>
                <w:sz w:val="22"/>
              </w:rPr>
              <w:t>delineated</w:t>
            </w:r>
            <w:r>
              <w:rPr>
                <w:spacing w:val="80"/>
                <w:sz w:val="22"/>
              </w:rPr>
              <w:t> </w:t>
            </w:r>
            <w:r>
              <w:rPr>
                <w:sz w:val="22"/>
              </w:rPr>
              <w:t>vista</w:t>
            </w:r>
            <w:r>
              <w:rPr>
                <w:spacing w:val="80"/>
                <w:sz w:val="22"/>
              </w:rPr>
              <w:t> </w:t>
            </w:r>
            <w:r>
              <w:rPr>
                <w:sz w:val="22"/>
              </w:rPr>
              <w:t>of</w:t>
            </w:r>
            <w:r>
              <w:rPr>
                <w:spacing w:val="80"/>
                <w:sz w:val="22"/>
              </w:rPr>
              <w:t> </w:t>
            </w:r>
            <w:r>
              <w:rPr>
                <w:sz w:val="22"/>
              </w:rPr>
              <w:t>a Grade-I structure shall be</w:t>
            </w:r>
            <w:r>
              <w:rPr>
                <w:spacing w:val="40"/>
                <w:sz w:val="22"/>
              </w:rPr>
              <w:t> </w:t>
            </w:r>
            <w:r>
              <w:rPr>
                <w:sz w:val="22"/>
              </w:rPr>
              <w:t>permissible</w:t>
            </w:r>
            <w:r>
              <w:rPr>
                <w:spacing w:val="40"/>
                <w:sz w:val="22"/>
              </w:rPr>
              <w:t> </w:t>
            </w:r>
            <w:r>
              <w:rPr>
                <w:sz w:val="22"/>
              </w:rPr>
              <w:t>as</w:t>
            </w:r>
            <w:r>
              <w:rPr>
                <w:spacing w:val="40"/>
                <w:sz w:val="22"/>
              </w:rPr>
              <w:t> </w:t>
            </w:r>
            <w:r>
              <w:rPr>
                <w:sz w:val="22"/>
              </w:rPr>
              <w:t>per </w:t>
            </w:r>
            <w:r>
              <w:rPr>
                <w:spacing w:val="-2"/>
                <w:sz w:val="22"/>
              </w:rPr>
              <w:t>these Regulations/policy </w:t>
            </w:r>
            <w:r>
              <w:rPr>
                <w:sz w:val="22"/>
              </w:rPr>
              <w:t>without</w:t>
            </w:r>
            <w:r>
              <w:rPr>
                <w:spacing w:val="40"/>
                <w:sz w:val="22"/>
              </w:rPr>
              <w:t> </w:t>
            </w:r>
            <w:r>
              <w:rPr>
                <w:sz w:val="22"/>
              </w:rPr>
              <w:t>insisting</w:t>
            </w:r>
            <w:r>
              <w:rPr>
                <w:spacing w:val="40"/>
                <w:sz w:val="22"/>
              </w:rPr>
              <w:t> </w:t>
            </w:r>
            <w:r>
              <w:rPr>
                <w:sz w:val="22"/>
              </w:rPr>
              <w:t>NOC of MHCC.</w:t>
            </w:r>
          </w:p>
        </w:tc>
        <w:tc>
          <w:tcPr>
            <w:tcW w:w="2881" w:type="dxa"/>
          </w:tcPr>
          <w:p>
            <w:pPr>
              <w:pStyle w:val="TableParagraph"/>
              <w:spacing w:before="1"/>
              <w:ind w:left="179" w:right="97"/>
              <w:rPr>
                <w:sz w:val="22"/>
              </w:rPr>
            </w:pPr>
            <w:r>
              <w:rPr>
                <w:sz w:val="22"/>
              </w:rPr>
              <w:t>recommendation</w:t>
            </w:r>
            <w:r>
              <w:rPr>
                <w:spacing w:val="35"/>
                <w:sz w:val="22"/>
              </w:rPr>
              <w:t> </w:t>
            </w:r>
            <w:r>
              <w:rPr>
                <w:sz w:val="22"/>
              </w:rPr>
              <w:t>of</w:t>
            </w:r>
            <w:r>
              <w:rPr>
                <w:spacing w:val="37"/>
                <w:sz w:val="22"/>
              </w:rPr>
              <w:t> </w:t>
            </w:r>
            <w:r>
              <w:rPr>
                <w:sz w:val="22"/>
              </w:rPr>
              <w:t>the </w:t>
            </w:r>
            <w:r>
              <w:rPr>
                <w:spacing w:val="-2"/>
                <w:sz w:val="22"/>
              </w:rPr>
              <w:t>MHCC.</w:t>
            </w:r>
          </w:p>
        </w:tc>
        <w:tc>
          <w:tcPr>
            <w:tcW w:w="2989" w:type="dxa"/>
          </w:tcPr>
          <w:p>
            <w:pPr>
              <w:pStyle w:val="TableParagraph"/>
              <w:tabs>
                <w:tab w:pos="2012" w:val="left" w:leader="none"/>
                <w:tab w:pos="2057" w:val="left" w:leader="none"/>
              </w:tabs>
              <w:spacing w:before="1"/>
              <w:ind w:left="106" w:right="95"/>
              <w:jc w:val="both"/>
              <w:rPr>
                <w:sz w:val="22"/>
              </w:rPr>
            </w:pPr>
            <w:r>
              <w:rPr>
                <w:sz w:val="22"/>
              </w:rPr>
              <w:t>re-plastering), interior renovation / furniture work etc. in respect of a </w:t>
            </w:r>
            <w:r>
              <w:rPr>
                <w:spacing w:val="-2"/>
                <w:sz w:val="22"/>
              </w:rPr>
              <w:t>Grade-III</w:t>
            </w:r>
            <w:r>
              <w:rPr>
                <w:sz w:val="22"/>
              </w:rPr>
              <w:tab/>
            </w:r>
            <w:r>
              <w:rPr>
                <w:spacing w:val="-2"/>
                <w:sz w:val="22"/>
              </w:rPr>
              <w:t>heritage </w:t>
            </w:r>
            <w:r>
              <w:rPr>
                <w:sz w:val="22"/>
              </w:rPr>
              <w:t>structure; approval may </w:t>
            </w:r>
            <w:r>
              <w:rPr>
                <w:spacing w:val="-5"/>
                <w:sz w:val="22"/>
              </w:rPr>
              <w:t>be</w:t>
            </w:r>
            <w:r>
              <w:rPr>
                <w:sz w:val="22"/>
              </w:rPr>
              <w:tab/>
              <w:tab/>
            </w:r>
            <w:r>
              <w:rPr>
                <w:spacing w:val="-2"/>
                <w:sz w:val="22"/>
              </w:rPr>
              <w:t>granted</w:t>
            </w:r>
          </w:p>
          <w:p>
            <w:pPr>
              <w:pStyle w:val="TableParagraph"/>
              <w:tabs>
                <w:tab w:pos="1594" w:val="left" w:leader="none"/>
                <w:tab w:pos="1936" w:val="left" w:leader="none"/>
              </w:tabs>
              <w:ind w:left="106" w:right="94"/>
              <w:rPr>
                <w:sz w:val="22"/>
              </w:rPr>
            </w:pPr>
            <w:r>
              <w:rPr>
                <w:sz w:val="22"/>
              </w:rPr>
              <w:t>byCommissioner</w:t>
            </w:r>
            <w:r>
              <w:rPr>
                <w:spacing w:val="80"/>
                <w:sz w:val="22"/>
              </w:rPr>
              <w:t> </w:t>
            </w:r>
            <w:r>
              <w:rPr>
                <w:sz w:val="22"/>
              </w:rPr>
              <w:t>as</w:t>
            </w:r>
            <w:r>
              <w:rPr>
                <w:spacing w:val="80"/>
                <w:sz w:val="22"/>
              </w:rPr>
              <w:t> </w:t>
            </w:r>
            <w:r>
              <w:rPr>
                <w:sz w:val="22"/>
              </w:rPr>
              <w:t>per these Regulations/</w:t>
            </w:r>
            <w:r>
              <w:rPr>
                <w:spacing w:val="-1"/>
                <w:sz w:val="22"/>
              </w:rPr>
              <w:t> </w:t>
            </w:r>
            <w:r>
              <w:rPr>
                <w:sz w:val="22"/>
              </w:rPr>
              <w:t>policy without</w:t>
            </w:r>
            <w:r>
              <w:rPr>
                <w:spacing w:val="30"/>
                <w:sz w:val="22"/>
              </w:rPr>
              <w:t> </w:t>
            </w:r>
            <w:r>
              <w:rPr>
                <w:sz w:val="22"/>
              </w:rPr>
              <w:t>insisting</w:t>
            </w:r>
            <w:r>
              <w:rPr>
                <w:spacing w:val="30"/>
                <w:sz w:val="22"/>
              </w:rPr>
              <w:t> </w:t>
            </w:r>
            <w:r>
              <w:rPr>
                <w:sz w:val="22"/>
              </w:rPr>
              <w:t>NOC</w:t>
            </w:r>
            <w:r>
              <w:rPr>
                <w:spacing w:val="30"/>
                <w:sz w:val="22"/>
              </w:rPr>
              <w:t> </w:t>
            </w:r>
            <w:r>
              <w:rPr>
                <w:sz w:val="22"/>
              </w:rPr>
              <w:t>of MHCC</w:t>
            </w:r>
            <w:r>
              <w:rPr>
                <w:spacing w:val="40"/>
                <w:sz w:val="22"/>
              </w:rPr>
              <w:t> </w:t>
            </w:r>
            <w:r>
              <w:rPr>
                <w:sz w:val="22"/>
              </w:rPr>
              <w:t>by</w:t>
            </w:r>
            <w:r>
              <w:rPr>
                <w:spacing w:val="40"/>
                <w:sz w:val="22"/>
              </w:rPr>
              <w:t> </w:t>
            </w:r>
            <w:r>
              <w:rPr>
                <w:sz w:val="22"/>
              </w:rPr>
              <w:t>ensuring</w:t>
            </w:r>
            <w:r>
              <w:rPr>
                <w:spacing w:val="40"/>
                <w:sz w:val="22"/>
              </w:rPr>
              <w:t> </w:t>
            </w:r>
            <w:r>
              <w:rPr>
                <w:sz w:val="22"/>
              </w:rPr>
              <w:t>that the</w:t>
            </w:r>
            <w:r>
              <w:rPr>
                <w:spacing w:val="-11"/>
                <w:sz w:val="22"/>
              </w:rPr>
              <w:t> </w:t>
            </w:r>
            <w:r>
              <w:rPr>
                <w:sz w:val="22"/>
              </w:rPr>
              <w:t>intended</w:t>
            </w:r>
            <w:r>
              <w:rPr>
                <w:spacing w:val="-13"/>
                <w:sz w:val="22"/>
              </w:rPr>
              <w:t> </w:t>
            </w:r>
            <w:r>
              <w:rPr>
                <w:sz w:val="22"/>
              </w:rPr>
              <w:t>minor</w:t>
            </w:r>
            <w:r>
              <w:rPr>
                <w:spacing w:val="-15"/>
                <w:sz w:val="22"/>
              </w:rPr>
              <w:t> </w:t>
            </w:r>
            <w:r>
              <w:rPr>
                <w:sz w:val="22"/>
              </w:rPr>
              <w:t>works do not affect the original </w:t>
            </w:r>
            <w:r>
              <w:rPr>
                <w:spacing w:val="-2"/>
                <w:sz w:val="22"/>
              </w:rPr>
              <w:t>façade,</w:t>
            </w:r>
            <w:r>
              <w:rPr>
                <w:sz w:val="22"/>
              </w:rPr>
              <w:tab/>
            </w:r>
            <w:r>
              <w:rPr>
                <w:spacing w:val="-2"/>
                <w:sz w:val="22"/>
              </w:rPr>
              <w:t>fenestration pattern/bands/cornices, ornamental</w:t>
            </w:r>
            <w:r>
              <w:rPr>
                <w:sz w:val="22"/>
              </w:rPr>
              <w:tab/>
              <w:tab/>
            </w:r>
            <w:r>
              <w:rPr>
                <w:spacing w:val="-2"/>
                <w:sz w:val="22"/>
              </w:rPr>
              <w:t>features, </w:t>
            </w:r>
            <w:r>
              <w:rPr>
                <w:sz w:val="22"/>
              </w:rPr>
              <w:t>railings</w:t>
            </w:r>
            <w:r>
              <w:rPr>
                <w:spacing w:val="40"/>
                <w:sz w:val="22"/>
              </w:rPr>
              <w:t> </w:t>
            </w:r>
            <w:r>
              <w:rPr>
                <w:sz w:val="22"/>
              </w:rPr>
              <w:t>,</w:t>
            </w:r>
            <w:r>
              <w:rPr>
                <w:spacing w:val="40"/>
                <w:sz w:val="22"/>
              </w:rPr>
              <w:t> </w:t>
            </w:r>
            <w:r>
              <w:rPr>
                <w:sz w:val="22"/>
              </w:rPr>
              <w:t>window</w:t>
            </w:r>
            <w:r>
              <w:rPr>
                <w:spacing w:val="40"/>
                <w:sz w:val="22"/>
              </w:rPr>
              <w:t> </w:t>
            </w:r>
            <w:r>
              <w:rPr>
                <w:sz w:val="22"/>
              </w:rPr>
              <w:t>grid</w:t>
            </w:r>
            <w:r>
              <w:rPr>
                <w:spacing w:val="40"/>
                <w:sz w:val="22"/>
              </w:rPr>
              <w:t> </w:t>
            </w:r>
            <w:r>
              <w:rPr>
                <w:sz w:val="22"/>
              </w:rPr>
              <w:t>&amp; pattern</w:t>
            </w:r>
            <w:r>
              <w:rPr>
                <w:spacing w:val="40"/>
                <w:sz w:val="22"/>
              </w:rPr>
              <w:t> </w:t>
            </w:r>
            <w:r>
              <w:rPr>
                <w:sz w:val="22"/>
              </w:rPr>
              <w:t>etc.</w:t>
            </w:r>
            <w:r>
              <w:rPr>
                <w:spacing w:val="40"/>
                <w:sz w:val="22"/>
              </w:rPr>
              <w:t> </w:t>
            </w:r>
            <w:r>
              <w:rPr>
                <w:sz w:val="22"/>
              </w:rPr>
              <w:t>as</w:t>
            </w:r>
            <w:r>
              <w:rPr>
                <w:spacing w:val="40"/>
                <w:sz w:val="22"/>
              </w:rPr>
              <w:t> </w:t>
            </w:r>
            <w:r>
              <w:rPr>
                <w:sz w:val="22"/>
              </w:rPr>
              <w:t>the</w:t>
            </w:r>
            <w:r>
              <w:rPr>
                <w:spacing w:val="40"/>
                <w:sz w:val="22"/>
              </w:rPr>
              <w:t> </w:t>
            </w:r>
            <w:r>
              <w:rPr>
                <w:sz w:val="22"/>
              </w:rPr>
              <w:t>case may be.</w:t>
            </w:r>
          </w:p>
          <w:p>
            <w:pPr>
              <w:pStyle w:val="TableParagraph"/>
              <w:tabs>
                <w:tab w:pos="869" w:val="left" w:leader="none"/>
                <w:tab w:pos="1651" w:val="left" w:leader="none"/>
                <w:tab w:pos="2683" w:val="left" w:leader="none"/>
              </w:tabs>
              <w:ind w:left="106"/>
              <w:rPr>
                <w:sz w:val="22"/>
              </w:rPr>
            </w:pPr>
            <w:r>
              <w:rPr>
                <w:b/>
                <w:spacing w:val="-5"/>
                <w:sz w:val="22"/>
              </w:rPr>
              <w:t>b)</w:t>
            </w:r>
            <w:r>
              <w:rPr>
                <w:b/>
                <w:sz w:val="22"/>
              </w:rPr>
              <w:tab/>
            </w:r>
            <w:r>
              <w:rPr>
                <w:spacing w:val="-5"/>
                <w:sz w:val="22"/>
              </w:rPr>
              <w:t>In</w:t>
            </w:r>
            <w:r>
              <w:rPr>
                <w:sz w:val="22"/>
              </w:rPr>
              <w:tab/>
            </w:r>
            <w:r>
              <w:rPr>
                <w:spacing w:val="-4"/>
                <w:sz w:val="22"/>
              </w:rPr>
              <w:t>case</w:t>
            </w:r>
            <w:r>
              <w:rPr>
                <w:sz w:val="22"/>
              </w:rPr>
              <w:tab/>
            </w:r>
            <w:r>
              <w:rPr>
                <w:spacing w:val="-5"/>
                <w:sz w:val="22"/>
              </w:rPr>
              <w:t>of</w:t>
            </w:r>
          </w:p>
          <w:p>
            <w:pPr>
              <w:pStyle w:val="TableParagraph"/>
              <w:tabs>
                <w:tab w:pos="2659" w:val="left" w:leader="none"/>
              </w:tabs>
              <w:ind w:left="106" w:right="95"/>
              <w:rPr>
                <w:sz w:val="22"/>
              </w:rPr>
            </w:pPr>
            <w:r>
              <w:rPr>
                <w:spacing w:val="-2"/>
                <w:sz w:val="22"/>
              </w:rPr>
              <w:t>reconstruction</w:t>
            </w:r>
            <w:r>
              <w:rPr>
                <w:sz w:val="22"/>
              </w:rPr>
              <w:tab/>
            </w:r>
            <w:r>
              <w:rPr>
                <w:spacing w:val="-6"/>
                <w:sz w:val="22"/>
              </w:rPr>
              <w:t>or </w:t>
            </w:r>
            <w:r>
              <w:rPr>
                <w:sz w:val="22"/>
              </w:rPr>
              <w:t>redevelopment</w:t>
            </w:r>
            <w:r>
              <w:rPr>
                <w:spacing w:val="7"/>
                <w:sz w:val="22"/>
              </w:rPr>
              <w:t> </w:t>
            </w:r>
            <w:r>
              <w:rPr>
                <w:sz w:val="22"/>
              </w:rPr>
              <w:t>of</w:t>
            </w:r>
            <w:r>
              <w:rPr>
                <w:spacing w:val="6"/>
                <w:sz w:val="22"/>
              </w:rPr>
              <w:t> </w:t>
            </w:r>
            <w:r>
              <w:rPr>
                <w:sz w:val="22"/>
              </w:rPr>
              <w:t>Grade</w:t>
            </w:r>
            <w:r>
              <w:rPr>
                <w:spacing w:val="12"/>
                <w:sz w:val="22"/>
              </w:rPr>
              <w:t> </w:t>
            </w:r>
            <w:r>
              <w:rPr>
                <w:spacing w:val="-10"/>
                <w:sz w:val="22"/>
              </w:rPr>
              <w:t>–</w:t>
            </w:r>
          </w:p>
          <w:p>
            <w:pPr>
              <w:pStyle w:val="TableParagraph"/>
              <w:tabs>
                <w:tab w:pos="1392" w:val="left" w:leader="none"/>
              </w:tabs>
              <w:ind w:left="106" w:right="96"/>
              <w:jc w:val="both"/>
              <w:rPr>
                <w:sz w:val="22"/>
              </w:rPr>
            </w:pPr>
            <w:r>
              <w:rPr>
                <w:sz w:val="22"/>
              </w:rPr>
              <w:t>III heritage buildings, height up to 32 m. shall be permitted by Commissioner. If the height of the building to </w:t>
            </w:r>
            <w:r>
              <w:rPr>
                <w:spacing w:val="-5"/>
                <w:sz w:val="22"/>
              </w:rPr>
              <w:t>be</w:t>
            </w:r>
            <w:r>
              <w:rPr>
                <w:sz w:val="22"/>
              </w:rPr>
              <w:tab/>
            </w:r>
            <w:r>
              <w:rPr>
                <w:spacing w:val="-2"/>
                <w:sz w:val="22"/>
              </w:rPr>
              <w:t>reconstructe</w:t>
            </w:r>
            <w:r>
              <w:rPr>
                <w:spacing w:val="-2"/>
                <w:sz w:val="22"/>
              </w:rPr>
              <w:t>d</w:t>
            </w:r>
          </w:p>
          <w:p>
            <w:pPr>
              <w:pStyle w:val="TableParagraph"/>
              <w:spacing w:line="258" w:lineRule="exact"/>
              <w:ind w:left="106"/>
              <w:jc w:val="both"/>
              <w:rPr>
                <w:sz w:val="22"/>
              </w:rPr>
            </w:pPr>
            <w:r>
              <w:rPr>
                <w:sz w:val="22"/>
              </w:rPr>
              <w:t>/redeveloped</w:t>
            </w:r>
            <w:r>
              <w:rPr>
                <w:spacing w:val="56"/>
                <w:sz w:val="22"/>
              </w:rPr>
              <w:t> </w:t>
            </w:r>
            <w:r>
              <w:rPr>
                <w:sz w:val="22"/>
              </w:rPr>
              <w:t>exceeds</w:t>
            </w:r>
            <w:r>
              <w:rPr>
                <w:spacing w:val="56"/>
                <w:sz w:val="22"/>
              </w:rPr>
              <w:t> </w:t>
            </w:r>
            <w:r>
              <w:rPr>
                <w:spacing w:val="-5"/>
                <w:sz w:val="22"/>
              </w:rPr>
              <w:t>32</w:t>
            </w:r>
          </w:p>
          <w:p>
            <w:pPr>
              <w:pStyle w:val="TableParagraph"/>
              <w:tabs>
                <w:tab w:pos="667" w:val="left" w:leader="none"/>
                <w:tab w:pos="1260" w:val="left" w:leader="none"/>
                <w:tab w:pos="1696" w:val="left" w:leader="none"/>
                <w:tab w:pos="2011" w:val="left" w:leader="none"/>
                <w:tab w:pos="2187" w:val="left" w:leader="none"/>
              </w:tabs>
              <w:ind w:left="29" w:right="97" w:firstLine="76"/>
              <w:rPr>
                <w:sz w:val="22"/>
              </w:rPr>
            </w:pPr>
            <w:r>
              <w:rPr>
                <w:spacing w:val="-6"/>
                <w:sz w:val="22"/>
              </w:rPr>
              <w:t>m.</w:t>
            </w:r>
            <w:r>
              <w:rPr>
                <w:sz w:val="22"/>
              </w:rPr>
              <w:tab/>
            </w:r>
            <w:r>
              <w:rPr>
                <w:spacing w:val="-2"/>
                <w:sz w:val="22"/>
              </w:rPr>
              <w:t>special</w:t>
            </w:r>
            <w:r>
              <w:rPr>
                <w:sz w:val="22"/>
              </w:rPr>
              <w:tab/>
            </w:r>
            <w:r>
              <w:rPr>
                <w:spacing w:val="-2"/>
                <w:sz w:val="22"/>
              </w:rPr>
              <w:t>permissio</w:t>
            </w:r>
            <w:r>
              <w:rPr>
                <w:spacing w:val="-2"/>
                <w:sz w:val="22"/>
              </w:rPr>
              <w:t>n</w:t>
            </w:r>
            <w:r>
              <w:rPr>
                <w:spacing w:val="-2"/>
                <w:sz w:val="22"/>
              </w:rPr>
              <w:t> </w:t>
            </w:r>
            <w:r>
              <w:rPr>
                <w:sz w:val="22"/>
              </w:rPr>
              <w:t>from</w:t>
            </w:r>
            <w:r>
              <w:rPr>
                <w:spacing w:val="80"/>
                <w:sz w:val="22"/>
              </w:rPr>
              <w:t> </w:t>
            </w:r>
            <w:r>
              <w:rPr>
                <w:sz w:val="22"/>
              </w:rPr>
              <w:t>the</w:t>
            </w:r>
            <w:r>
              <w:rPr>
                <w:spacing w:val="80"/>
                <w:sz w:val="22"/>
              </w:rPr>
              <w:t> </w:t>
            </w:r>
            <w:r>
              <w:rPr>
                <w:sz w:val="22"/>
              </w:rPr>
              <w:t>Commissioner shall be obtained. However,</w:t>
            </w:r>
            <w:r>
              <w:rPr>
                <w:spacing w:val="40"/>
                <w:sz w:val="22"/>
              </w:rPr>
              <w:t> </w:t>
            </w:r>
            <w:r>
              <w:rPr>
                <w:sz w:val="22"/>
              </w:rPr>
              <w:t>before</w:t>
            </w:r>
            <w:r>
              <w:rPr>
                <w:spacing w:val="40"/>
                <w:sz w:val="22"/>
              </w:rPr>
              <w:t> </w:t>
            </w:r>
            <w:r>
              <w:rPr>
                <w:sz w:val="22"/>
              </w:rPr>
              <w:t>allowing demolition</w:t>
            </w:r>
            <w:r>
              <w:rPr>
                <w:spacing w:val="40"/>
                <w:sz w:val="22"/>
              </w:rPr>
              <w:t> </w:t>
            </w:r>
            <w:r>
              <w:rPr>
                <w:sz w:val="22"/>
              </w:rPr>
              <w:t>of</w:t>
            </w:r>
            <w:r>
              <w:rPr>
                <w:spacing w:val="40"/>
                <w:sz w:val="22"/>
              </w:rPr>
              <w:t> </w:t>
            </w:r>
            <w:r>
              <w:rPr>
                <w:sz w:val="22"/>
              </w:rPr>
              <w:t>a</w:t>
            </w:r>
            <w:r>
              <w:rPr>
                <w:spacing w:val="40"/>
                <w:sz w:val="22"/>
              </w:rPr>
              <w:t> </w:t>
            </w:r>
            <w:r>
              <w:rPr>
                <w:sz w:val="22"/>
              </w:rPr>
              <w:t>Grade-III </w:t>
            </w:r>
            <w:r>
              <w:rPr>
                <w:spacing w:val="-2"/>
                <w:sz w:val="22"/>
              </w:rPr>
              <w:t>listed</w:t>
            </w:r>
            <w:r>
              <w:rPr>
                <w:sz w:val="22"/>
              </w:rPr>
              <w:tab/>
              <w:tab/>
              <w:tab/>
              <w:tab/>
            </w:r>
            <w:r>
              <w:rPr>
                <w:spacing w:val="-2"/>
                <w:sz w:val="22"/>
              </w:rPr>
              <w:t>heritag</w:t>
            </w:r>
            <w:r>
              <w:rPr>
                <w:spacing w:val="-2"/>
                <w:sz w:val="22"/>
              </w:rPr>
              <w:t>e</w:t>
            </w:r>
            <w:r>
              <w:rPr>
                <w:spacing w:val="-2"/>
                <w:sz w:val="22"/>
              </w:rPr>
              <w:t> building/structure, complete</w:t>
            </w:r>
            <w:r>
              <w:rPr>
                <w:sz w:val="22"/>
              </w:rPr>
              <w:tab/>
            </w:r>
            <w:r>
              <w:rPr>
                <w:spacing w:val="-2"/>
                <w:sz w:val="22"/>
              </w:rPr>
              <w:t>documentatio</w:t>
            </w:r>
            <w:r>
              <w:rPr>
                <w:spacing w:val="-2"/>
                <w:sz w:val="22"/>
              </w:rPr>
              <w:t>n</w:t>
            </w:r>
            <w:r>
              <w:rPr>
                <w:spacing w:val="-2"/>
                <w:sz w:val="22"/>
              </w:rPr>
              <w:t> </w:t>
            </w:r>
            <w:r>
              <w:rPr>
                <w:spacing w:val="-5"/>
                <w:sz w:val="22"/>
              </w:rPr>
              <w:t>of</w:t>
            </w:r>
            <w:r>
              <w:rPr>
                <w:sz w:val="22"/>
              </w:rPr>
              <w:tab/>
              <w:tab/>
              <w:tab/>
              <w:tab/>
              <w:tab/>
            </w:r>
            <w:r>
              <w:rPr>
                <w:spacing w:val="-2"/>
                <w:sz w:val="22"/>
              </w:rPr>
              <w:t>facad</w:t>
            </w:r>
            <w:r>
              <w:rPr>
                <w:spacing w:val="-2"/>
                <w:sz w:val="22"/>
              </w:rPr>
              <w:t>e</w:t>
            </w:r>
          </w:p>
          <w:p>
            <w:pPr>
              <w:pStyle w:val="TableParagraph"/>
              <w:tabs>
                <w:tab w:pos="612" w:val="left" w:leader="none"/>
                <w:tab w:pos="1217" w:val="left" w:leader="none"/>
                <w:tab w:pos="1502" w:val="left" w:leader="none"/>
                <w:tab w:pos="1867" w:val="left" w:leader="none"/>
                <w:tab w:pos="1952" w:val="left" w:leader="none"/>
                <w:tab w:pos="2600" w:val="left" w:leader="none"/>
                <w:tab w:pos="2672" w:val="left" w:leader="none"/>
              </w:tabs>
              <w:spacing w:before="1"/>
              <w:ind w:left="29" w:right="96"/>
              <w:rPr>
                <w:sz w:val="22"/>
              </w:rPr>
            </w:pPr>
            <w:r>
              <w:rPr>
                <w:spacing w:val="-2"/>
                <w:sz w:val="22"/>
              </w:rPr>
              <w:t>elevations/material specifications,</w:t>
            </w:r>
            <w:r>
              <w:rPr>
                <w:sz w:val="22"/>
              </w:rPr>
              <w:tab/>
              <w:tab/>
            </w:r>
            <w:r>
              <w:rPr>
                <w:spacing w:val="-2"/>
                <w:sz w:val="22"/>
              </w:rPr>
              <w:t>detailing </w:t>
            </w:r>
            <w:r>
              <w:rPr>
                <w:sz w:val="22"/>
              </w:rPr>
              <w:t>etc.</w:t>
            </w:r>
            <w:r>
              <w:rPr>
                <w:spacing w:val="-14"/>
                <w:sz w:val="22"/>
              </w:rPr>
              <w:t> </w:t>
            </w:r>
            <w:r>
              <w:rPr>
                <w:sz w:val="22"/>
              </w:rPr>
              <w:t>should</w:t>
            </w:r>
            <w:r>
              <w:rPr>
                <w:spacing w:val="-13"/>
                <w:sz w:val="22"/>
              </w:rPr>
              <w:t> </w:t>
            </w:r>
            <w:r>
              <w:rPr>
                <w:sz w:val="22"/>
              </w:rPr>
              <w:t>be</w:t>
            </w:r>
            <w:r>
              <w:rPr>
                <w:spacing w:val="-12"/>
                <w:sz w:val="22"/>
              </w:rPr>
              <w:t> </w:t>
            </w:r>
            <w:r>
              <w:rPr>
                <w:sz w:val="22"/>
              </w:rPr>
              <w:t>prepared</w:t>
            </w:r>
            <w:r>
              <w:rPr>
                <w:spacing w:val="-13"/>
                <w:sz w:val="22"/>
              </w:rPr>
              <w:t> </w:t>
            </w:r>
            <w:r>
              <w:rPr>
                <w:sz w:val="22"/>
              </w:rPr>
              <w:t>by </w:t>
            </w:r>
            <w:r>
              <w:rPr>
                <w:spacing w:val="-4"/>
                <w:sz w:val="22"/>
              </w:rPr>
              <w:t>the</w:t>
            </w:r>
            <w:r>
              <w:rPr>
                <w:sz w:val="22"/>
              </w:rPr>
              <w:tab/>
            </w:r>
            <w:r>
              <w:rPr>
                <w:spacing w:val="-2"/>
                <w:sz w:val="22"/>
              </w:rPr>
              <w:t>owner</w:t>
            </w:r>
            <w:r>
              <w:rPr>
                <w:sz w:val="22"/>
              </w:rPr>
              <w:tab/>
            </w:r>
            <w:r>
              <w:rPr>
                <w:spacing w:val="-2"/>
                <w:sz w:val="22"/>
              </w:rPr>
              <w:t>through</w:t>
            </w:r>
            <w:r>
              <w:rPr>
                <w:sz w:val="22"/>
              </w:rPr>
              <w:tab/>
            </w:r>
            <w:r>
              <w:rPr>
                <w:spacing w:val="-6"/>
                <w:sz w:val="22"/>
              </w:rPr>
              <w:t>an </w:t>
            </w:r>
            <w:r>
              <w:rPr>
                <w:spacing w:val="-2"/>
                <w:sz w:val="22"/>
              </w:rPr>
              <w:t>architect</w:t>
            </w:r>
            <w:r>
              <w:rPr>
                <w:sz w:val="22"/>
              </w:rPr>
              <w:tab/>
            </w:r>
            <w:r>
              <w:rPr>
                <w:spacing w:val="-4"/>
                <w:sz w:val="22"/>
              </w:rPr>
              <w:t>and</w:t>
            </w:r>
            <w:r>
              <w:rPr>
                <w:sz w:val="22"/>
              </w:rPr>
              <w:tab/>
            </w:r>
            <w:r>
              <w:rPr>
                <w:spacing w:val="-4"/>
                <w:sz w:val="22"/>
              </w:rPr>
              <w:t>shall</w:t>
            </w:r>
            <w:r>
              <w:rPr>
                <w:sz w:val="22"/>
              </w:rPr>
              <w:tab/>
            </w:r>
            <w:r>
              <w:rPr>
                <w:spacing w:val="-46"/>
                <w:sz w:val="22"/>
              </w:rPr>
              <w:t> </w:t>
            </w:r>
            <w:r>
              <w:rPr>
                <w:spacing w:val="-2"/>
                <w:sz w:val="22"/>
              </w:rPr>
              <w:t>be submitted</w:t>
            </w:r>
            <w:r>
              <w:rPr>
                <w:sz w:val="22"/>
              </w:rPr>
              <w:tab/>
              <w:tab/>
              <w:tab/>
              <w:tab/>
              <w:tab/>
              <w:tab/>
            </w:r>
            <w:r>
              <w:rPr>
                <w:spacing w:val="-5"/>
                <w:sz w:val="22"/>
              </w:rPr>
              <w:t>to</w:t>
            </w:r>
          </w:p>
          <w:p>
            <w:pPr>
              <w:pStyle w:val="TableParagraph"/>
              <w:tabs>
                <w:tab w:pos="811" w:val="left" w:leader="none"/>
                <w:tab w:pos="1968" w:val="left" w:leader="none"/>
                <w:tab w:pos="2436" w:val="left" w:leader="none"/>
              </w:tabs>
              <w:ind w:left="29" w:right="98"/>
              <w:rPr>
                <w:sz w:val="22"/>
              </w:rPr>
            </w:pPr>
            <w:r>
              <w:rPr>
                <w:sz w:val="22"/>
              </w:rPr>
              <w:t>Commissioner</w:t>
            </w:r>
            <w:r>
              <w:rPr>
                <w:spacing w:val="40"/>
                <w:sz w:val="22"/>
              </w:rPr>
              <w:t> </w:t>
            </w:r>
            <w:r>
              <w:rPr>
                <w:sz w:val="22"/>
              </w:rPr>
              <w:t>along</w:t>
            </w:r>
            <w:r>
              <w:rPr>
                <w:spacing w:val="40"/>
                <w:sz w:val="22"/>
              </w:rPr>
              <w:t> </w:t>
            </w:r>
            <w:r>
              <w:rPr>
                <w:sz w:val="22"/>
              </w:rPr>
              <w:t>with </w:t>
            </w:r>
            <w:r>
              <w:rPr>
                <w:spacing w:val="-4"/>
                <w:sz w:val="22"/>
              </w:rPr>
              <w:t>any </w:t>
            </w:r>
            <w:r>
              <w:rPr>
                <w:spacing w:val="-2"/>
                <w:sz w:val="22"/>
              </w:rPr>
              <w:t>reconstruction/redevelop </w:t>
            </w:r>
            <w:r>
              <w:rPr>
                <w:spacing w:val="-4"/>
                <w:sz w:val="22"/>
              </w:rPr>
              <w:t>ment</w:t>
            </w:r>
            <w:r>
              <w:rPr>
                <w:sz w:val="22"/>
              </w:rPr>
              <w:tab/>
            </w:r>
            <w:r>
              <w:rPr>
                <w:spacing w:val="-2"/>
                <w:sz w:val="22"/>
              </w:rPr>
              <w:t>proposal</w:t>
            </w:r>
            <w:r>
              <w:rPr>
                <w:sz w:val="22"/>
              </w:rPr>
              <w:tab/>
            </w:r>
            <w:r>
              <w:rPr>
                <w:spacing w:val="-6"/>
                <w:sz w:val="22"/>
              </w:rPr>
              <w:t>so</w:t>
            </w:r>
            <w:r>
              <w:rPr>
                <w:sz w:val="22"/>
              </w:rPr>
              <w:tab/>
            </w:r>
            <w:r>
              <w:rPr>
                <w:spacing w:val="-4"/>
                <w:sz w:val="22"/>
              </w:rPr>
              <w:t>that </w:t>
            </w:r>
            <w:r>
              <w:rPr>
                <w:sz w:val="22"/>
              </w:rPr>
              <w:t>cognizance</w:t>
            </w:r>
            <w:r>
              <w:rPr>
                <w:spacing w:val="40"/>
                <w:sz w:val="22"/>
              </w:rPr>
              <w:t> </w:t>
            </w:r>
            <w:r>
              <w:rPr>
                <w:sz w:val="22"/>
              </w:rPr>
              <w:t>of</w:t>
            </w:r>
            <w:r>
              <w:rPr>
                <w:spacing w:val="40"/>
                <w:sz w:val="22"/>
              </w:rPr>
              <w:t> </w:t>
            </w:r>
            <w:r>
              <w:rPr>
                <w:sz w:val="22"/>
              </w:rPr>
              <w:t>any</w:t>
            </w:r>
            <w:r>
              <w:rPr>
                <w:spacing w:val="41"/>
                <w:sz w:val="22"/>
              </w:rPr>
              <w:t> </w:t>
            </w:r>
            <w:r>
              <w:rPr>
                <w:spacing w:val="-2"/>
                <w:sz w:val="22"/>
              </w:rPr>
              <w:t>special</w:t>
            </w:r>
          </w:p>
          <w:p>
            <w:pPr>
              <w:pStyle w:val="TableParagraph"/>
              <w:tabs>
                <w:tab w:pos="1073" w:val="left" w:leader="none"/>
                <w:tab w:pos="2535" w:val="left" w:leader="none"/>
              </w:tabs>
              <w:spacing w:line="260" w:lineRule="exact"/>
              <w:ind w:left="29" w:right="98"/>
              <w:rPr>
                <w:sz w:val="22"/>
              </w:rPr>
            </w:pPr>
            <w:r>
              <w:rPr>
                <w:sz w:val="22"/>
              </w:rPr>
              <w:t>features etc. can be taken </w:t>
            </w:r>
            <w:r>
              <w:rPr>
                <w:spacing w:val="-2"/>
                <w:sz w:val="22"/>
              </w:rPr>
              <w:t>while</w:t>
            </w:r>
            <w:r>
              <w:rPr>
                <w:sz w:val="22"/>
              </w:rPr>
              <w:tab/>
            </w:r>
            <w:r>
              <w:rPr>
                <w:spacing w:val="-2"/>
                <w:sz w:val="22"/>
              </w:rPr>
              <w:t>finalising</w:t>
            </w:r>
            <w:r>
              <w:rPr>
                <w:sz w:val="22"/>
              </w:rPr>
              <w:tab/>
            </w:r>
            <w:r>
              <w:rPr>
                <w:spacing w:val="-5"/>
                <w:sz w:val="22"/>
              </w:rPr>
              <w:t>the</w:t>
            </w:r>
          </w:p>
        </w:tc>
      </w:tr>
    </w:tbl>
    <w:p>
      <w:pPr>
        <w:pStyle w:val="TableParagraph"/>
        <w:spacing w:after="0" w:line="260" w:lineRule="exact"/>
        <w:rPr>
          <w:sz w:val="22"/>
        </w:rPr>
        <w:sectPr>
          <w:pgSz w:w="11910" w:h="16840"/>
          <w:pgMar w:header="1058" w:footer="1117" w:top="1500" w:bottom="1300" w:left="360" w:right="360"/>
        </w:sectPr>
      </w:pPr>
    </w:p>
    <w:p>
      <w:pPr>
        <w:pStyle w:val="BodyText"/>
        <w:spacing w:before="20"/>
        <w:jc w:val="left"/>
        <w:rPr>
          <w:sz w:val="20"/>
        </w:rPr>
      </w:pPr>
    </w:p>
    <w:tbl>
      <w:tblPr>
        <w:tblW w:w="0" w:type="auto"/>
        <w:jc w:val="left"/>
        <w:tblInd w:w="1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989"/>
      </w:tblGrid>
      <w:tr>
        <w:trPr>
          <w:trHeight w:val="362" w:hRule="atLeast"/>
        </w:trPr>
        <w:tc>
          <w:tcPr>
            <w:tcW w:w="2881" w:type="dxa"/>
            <w:shd w:val="clear" w:color="auto" w:fill="EDEBE0"/>
          </w:tcPr>
          <w:p>
            <w:pPr>
              <w:pStyle w:val="TableParagraph"/>
              <w:spacing w:before="40"/>
              <w:ind w:left="107"/>
              <w:rPr>
                <w:sz w:val="24"/>
              </w:rPr>
            </w:pPr>
            <w:r>
              <w:rPr>
                <w:sz w:val="24"/>
              </w:rPr>
              <w:t>Grade – </w:t>
            </w:r>
            <w:r>
              <w:rPr>
                <w:spacing w:val="-10"/>
                <w:sz w:val="24"/>
              </w:rPr>
              <w:t>I</w:t>
            </w:r>
          </w:p>
        </w:tc>
        <w:tc>
          <w:tcPr>
            <w:tcW w:w="2881" w:type="dxa"/>
            <w:shd w:val="clear" w:color="auto" w:fill="EDEBE0"/>
          </w:tcPr>
          <w:p>
            <w:pPr>
              <w:pStyle w:val="TableParagraph"/>
              <w:spacing w:before="40"/>
              <w:ind w:left="107"/>
              <w:rPr>
                <w:sz w:val="24"/>
              </w:rPr>
            </w:pPr>
            <w:r>
              <w:rPr>
                <w:sz w:val="24"/>
              </w:rPr>
              <w:t>Grade – </w:t>
            </w:r>
            <w:r>
              <w:rPr>
                <w:spacing w:val="-5"/>
                <w:sz w:val="24"/>
              </w:rPr>
              <w:t>II</w:t>
            </w:r>
          </w:p>
        </w:tc>
        <w:tc>
          <w:tcPr>
            <w:tcW w:w="2989" w:type="dxa"/>
            <w:shd w:val="clear" w:color="auto" w:fill="EDEBE0"/>
          </w:tcPr>
          <w:p>
            <w:pPr>
              <w:pStyle w:val="TableParagraph"/>
              <w:spacing w:before="40"/>
              <w:ind w:left="106"/>
              <w:rPr>
                <w:sz w:val="24"/>
              </w:rPr>
            </w:pPr>
            <w:r>
              <w:rPr>
                <w:sz w:val="24"/>
              </w:rPr>
              <w:t>Grade – </w:t>
            </w:r>
            <w:r>
              <w:rPr>
                <w:spacing w:val="-2"/>
                <w:sz w:val="24"/>
              </w:rPr>
              <w:t>III/PRECINCT</w:t>
            </w:r>
          </w:p>
        </w:tc>
      </w:tr>
      <w:tr>
        <w:trPr>
          <w:trHeight w:val="12759" w:hRule="atLeast"/>
        </w:trPr>
        <w:tc>
          <w:tcPr>
            <w:tcW w:w="2881" w:type="dxa"/>
          </w:tcPr>
          <w:p>
            <w:pPr>
              <w:pStyle w:val="TableParagraph"/>
              <w:rPr>
                <w:rFonts w:ascii="Times New Roman"/>
                <w:sz w:val="20"/>
              </w:rPr>
            </w:pPr>
          </w:p>
        </w:tc>
        <w:tc>
          <w:tcPr>
            <w:tcW w:w="2881" w:type="dxa"/>
          </w:tcPr>
          <w:p>
            <w:pPr>
              <w:pStyle w:val="TableParagraph"/>
              <w:rPr>
                <w:rFonts w:ascii="Times New Roman"/>
                <w:sz w:val="20"/>
              </w:rPr>
            </w:pPr>
          </w:p>
        </w:tc>
        <w:tc>
          <w:tcPr>
            <w:tcW w:w="2989" w:type="dxa"/>
          </w:tcPr>
          <w:p>
            <w:pPr>
              <w:pStyle w:val="TableParagraph"/>
              <w:tabs>
                <w:tab w:pos="2133" w:val="left" w:leader="none"/>
                <w:tab w:pos="2530" w:val="left" w:leader="none"/>
              </w:tabs>
              <w:spacing w:before="1"/>
              <w:ind w:left="29" w:right="103"/>
              <w:rPr>
                <w:sz w:val="22"/>
              </w:rPr>
            </w:pPr>
            <w:r>
              <w:rPr>
                <w:spacing w:val="-2"/>
                <w:sz w:val="22"/>
              </w:rPr>
              <w:t>design/elevations</w:t>
            </w:r>
            <w:r>
              <w:rPr>
                <w:sz w:val="22"/>
              </w:rPr>
              <w:tab/>
            </w:r>
            <w:r>
              <w:rPr>
                <w:spacing w:val="-6"/>
                <w:sz w:val="22"/>
              </w:rPr>
              <w:t>of</w:t>
            </w:r>
            <w:r>
              <w:rPr>
                <w:sz w:val="22"/>
              </w:rPr>
              <w:tab/>
            </w:r>
            <w:r>
              <w:rPr>
                <w:spacing w:val="-4"/>
                <w:sz w:val="22"/>
              </w:rPr>
              <w:t>the </w:t>
            </w:r>
            <w:r>
              <w:rPr>
                <w:sz w:val="22"/>
              </w:rPr>
              <w:t>new building.</w:t>
            </w:r>
          </w:p>
          <w:p>
            <w:pPr>
              <w:pStyle w:val="TableParagraph"/>
              <w:spacing w:before="38"/>
              <w:ind w:left="106"/>
              <w:rPr>
                <w:b/>
                <w:sz w:val="24"/>
              </w:rPr>
            </w:pPr>
            <w:r>
              <w:rPr>
                <w:b/>
                <w:spacing w:val="-2"/>
                <w:sz w:val="24"/>
              </w:rPr>
              <w:t>PRECINCT</w:t>
            </w:r>
          </w:p>
          <w:p>
            <w:pPr>
              <w:pStyle w:val="TableParagraph"/>
              <w:numPr>
                <w:ilvl w:val="0"/>
                <w:numId w:val="324"/>
              </w:numPr>
              <w:tabs>
                <w:tab w:pos="224" w:val="left" w:leader="none"/>
                <w:tab w:pos="548" w:val="left" w:leader="none"/>
                <w:tab w:pos="855" w:val="left" w:leader="none"/>
                <w:tab w:pos="1173" w:val="left" w:leader="none"/>
                <w:tab w:pos="1320" w:val="left" w:leader="none"/>
                <w:tab w:pos="1473" w:val="left" w:leader="none"/>
                <w:tab w:pos="1594" w:val="left" w:leader="none"/>
                <w:tab w:pos="1821" w:val="left" w:leader="none"/>
                <w:tab w:pos="1907" w:val="left" w:leader="none"/>
                <w:tab w:pos="2085" w:val="left" w:leader="none"/>
                <w:tab w:pos="2575" w:val="left" w:leader="none"/>
                <w:tab w:pos="2680" w:val="left" w:leader="none"/>
                <w:tab w:pos="2804" w:val="left" w:leader="none"/>
              </w:tabs>
              <w:spacing w:line="240" w:lineRule="auto" w:before="40" w:after="0"/>
              <w:ind w:left="29" w:right="94" w:firstLine="0"/>
              <w:jc w:val="left"/>
              <w:rPr>
                <w:sz w:val="22"/>
              </w:rPr>
            </w:pPr>
            <w:r>
              <w:rPr>
                <w:spacing w:val="-6"/>
                <w:sz w:val="22"/>
              </w:rPr>
              <w:t>In</w:t>
            </w:r>
            <w:r>
              <w:rPr>
                <w:sz w:val="22"/>
              </w:rPr>
              <w:tab/>
              <w:tab/>
              <w:tab/>
            </w:r>
            <w:r>
              <w:rPr>
                <w:spacing w:val="-68"/>
                <w:sz w:val="22"/>
              </w:rPr>
              <w:t> </w:t>
            </w:r>
            <w:r>
              <w:rPr>
                <w:spacing w:val="-2"/>
                <w:sz w:val="22"/>
              </w:rPr>
              <w:t>respect</w:t>
            </w:r>
            <w:r>
              <w:rPr>
                <w:sz w:val="22"/>
              </w:rPr>
              <w:tab/>
              <w:tab/>
              <w:tab/>
            </w:r>
            <w:r>
              <w:rPr>
                <w:spacing w:val="-6"/>
                <w:sz w:val="22"/>
              </w:rPr>
              <w:t>of </w:t>
            </w:r>
            <w:r>
              <w:rPr>
                <w:sz w:val="22"/>
              </w:rPr>
              <w:t>minor/structural</w:t>
            </w:r>
            <w:r>
              <w:rPr>
                <w:spacing w:val="70"/>
                <w:sz w:val="22"/>
              </w:rPr>
              <w:t> </w:t>
            </w:r>
            <w:r>
              <w:rPr>
                <w:sz w:val="22"/>
              </w:rPr>
              <w:t>repairs, periodic</w:t>
            </w:r>
            <w:r>
              <w:rPr>
                <w:spacing w:val="-4"/>
                <w:sz w:val="22"/>
              </w:rPr>
              <w:t> </w:t>
            </w:r>
            <w:r>
              <w:rPr>
                <w:sz w:val="22"/>
              </w:rPr>
              <w:t>maintenance</w:t>
            </w:r>
            <w:r>
              <w:rPr>
                <w:spacing w:val="-6"/>
                <w:sz w:val="22"/>
              </w:rPr>
              <w:t> </w:t>
            </w:r>
            <w:r>
              <w:rPr>
                <w:sz w:val="22"/>
              </w:rPr>
              <w:t>(e.g. Waterproofing,</w:t>
            </w:r>
            <w:r>
              <w:rPr>
                <w:spacing w:val="40"/>
                <w:sz w:val="22"/>
              </w:rPr>
              <w:t> </w:t>
            </w:r>
            <w:r>
              <w:rPr>
                <w:sz w:val="22"/>
              </w:rPr>
              <w:t>repairs</w:t>
            </w:r>
            <w:r>
              <w:rPr>
                <w:spacing w:val="40"/>
                <w:sz w:val="22"/>
              </w:rPr>
              <w:t> </w:t>
            </w:r>
            <w:r>
              <w:rPr>
                <w:sz w:val="22"/>
              </w:rPr>
              <w:t>to flat</w:t>
            </w:r>
            <w:r>
              <w:rPr>
                <w:spacing w:val="-6"/>
                <w:sz w:val="22"/>
              </w:rPr>
              <w:t> </w:t>
            </w:r>
            <w:r>
              <w:rPr>
                <w:sz w:val="22"/>
              </w:rPr>
              <w:t>/</w:t>
            </w:r>
            <w:r>
              <w:rPr>
                <w:spacing w:val="-7"/>
                <w:sz w:val="22"/>
              </w:rPr>
              <w:t> </w:t>
            </w:r>
            <w:r>
              <w:rPr>
                <w:sz w:val="22"/>
              </w:rPr>
              <w:t>mangalore</w:t>
            </w:r>
            <w:r>
              <w:rPr>
                <w:spacing w:val="-2"/>
                <w:sz w:val="22"/>
              </w:rPr>
              <w:t> </w:t>
            </w:r>
            <w:r>
              <w:rPr>
                <w:sz w:val="22"/>
              </w:rPr>
              <w:t>tiled</w:t>
            </w:r>
            <w:r>
              <w:rPr>
                <w:spacing w:val="-8"/>
                <w:sz w:val="22"/>
              </w:rPr>
              <w:t> </w:t>
            </w:r>
            <w:r>
              <w:rPr>
                <w:sz w:val="22"/>
              </w:rPr>
              <w:t>roof, </w:t>
            </w:r>
            <w:r>
              <w:rPr>
                <w:spacing w:val="-2"/>
                <w:sz w:val="22"/>
              </w:rPr>
              <w:t>existing</w:t>
            </w:r>
            <w:r>
              <w:rPr>
                <w:sz w:val="22"/>
              </w:rPr>
              <w:tab/>
              <w:tab/>
            </w:r>
            <w:r>
              <w:rPr>
                <w:spacing w:val="-2"/>
                <w:sz w:val="22"/>
              </w:rPr>
              <w:t>plumbing,</w:t>
            </w:r>
            <w:r>
              <w:rPr>
                <w:sz w:val="22"/>
              </w:rPr>
              <w:tab/>
            </w:r>
            <w:r>
              <w:rPr>
                <w:spacing w:val="-4"/>
                <w:sz w:val="22"/>
              </w:rPr>
              <w:t>re- </w:t>
            </w:r>
            <w:r>
              <w:rPr>
                <w:spacing w:val="-2"/>
                <w:sz w:val="22"/>
              </w:rPr>
              <w:t>plastering),</w:t>
            </w:r>
            <w:r>
              <w:rPr>
                <w:sz w:val="22"/>
              </w:rPr>
              <w:tab/>
              <w:tab/>
              <w:tab/>
              <w:tab/>
              <w:tab/>
              <w:tab/>
            </w:r>
            <w:r>
              <w:rPr>
                <w:spacing w:val="-2"/>
                <w:sz w:val="22"/>
              </w:rPr>
              <w:t>interior renovation</w:t>
            </w:r>
            <w:r>
              <w:rPr>
                <w:sz w:val="22"/>
              </w:rPr>
              <w:tab/>
              <w:tab/>
              <w:tab/>
            </w:r>
            <w:r>
              <w:rPr>
                <w:spacing w:val="-10"/>
                <w:sz w:val="22"/>
              </w:rPr>
              <w:t>/</w:t>
            </w:r>
            <w:r>
              <w:rPr>
                <w:sz w:val="22"/>
              </w:rPr>
              <w:tab/>
              <w:tab/>
            </w:r>
            <w:r>
              <w:rPr>
                <w:spacing w:val="-2"/>
                <w:sz w:val="22"/>
              </w:rPr>
              <w:t>furniture </w:t>
            </w:r>
            <w:r>
              <w:rPr>
                <w:sz w:val="22"/>
              </w:rPr>
              <w:t>work</w:t>
            </w:r>
            <w:r>
              <w:rPr>
                <w:spacing w:val="80"/>
                <w:sz w:val="22"/>
              </w:rPr>
              <w:t> </w:t>
            </w:r>
            <w:r>
              <w:rPr>
                <w:sz w:val="22"/>
              </w:rPr>
              <w:t>etc.</w:t>
            </w:r>
            <w:r>
              <w:rPr>
                <w:spacing w:val="80"/>
                <w:sz w:val="22"/>
              </w:rPr>
              <w:t> </w:t>
            </w:r>
            <w:r>
              <w:rPr>
                <w:sz w:val="22"/>
              </w:rPr>
              <w:t>in</w:t>
            </w:r>
            <w:r>
              <w:rPr>
                <w:spacing w:val="80"/>
                <w:sz w:val="22"/>
              </w:rPr>
              <w:t> </w:t>
            </w:r>
            <w:r>
              <w:rPr>
                <w:sz w:val="22"/>
              </w:rPr>
              <w:t>respect</w:t>
            </w:r>
            <w:r>
              <w:rPr>
                <w:spacing w:val="80"/>
                <w:sz w:val="22"/>
              </w:rPr>
              <w:t> </w:t>
            </w:r>
            <w:r>
              <w:rPr>
                <w:sz w:val="22"/>
              </w:rPr>
              <w:t>of </w:t>
            </w:r>
            <w:r>
              <w:rPr>
                <w:spacing w:val="-2"/>
                <w:sz w:val="22"/>
              </w:rPr>
              <w:t>buildings</w:t>
            </w:r>
            <w:r>
              <w:rPr>
                <w:sz w:val="22"/>
              </w:rPr>
              <w:tab/>
              <w:tab/>
            </w:r>
            <w:r>
              <w:rPr>
                <w:spacing w:val="-6"/>
                <w:sz w:val="22"/>
              </w:rPr>
              <w:t>in</w:t>
            </w:r>
            <w:r>
              <w:rPr>
                <w:sz w:val="22"/>
              </w:rPr>
              <w:tab/>
              <w:tab/>
            </w:r>
            <w:r>
              <w:rPr>
                <w:spacing w:val="-2"/>
                <w:sz w:val="22"/>
              </w:rPr>
              <w:t>Precincts; </w:t>
            </w:r>
            <w:r>
              <w:rPr>
                <w:sz w:val="22"/>
              </w:rPr>
              <w:t>approval</w:t>
            </w:r>
            <w:r>
              <w:rPr>
                <w:spacing w:val="40"/>
                <w:sz w:val="22"/>
              </w:rPr>
              <w:t> </w:t>
            </w:r>
            <w:r>
              <w:rPr>
                <w:sz w:val="22"/>
              </w:rPr>
              <w:t>may</w:t>
            </w:r>
            <w:r>
              <w:rPr>
                <w:spacing w:val="40"/>
                <w:sz w:val="22"/>
              </w:rPr>
              <w:t> </w:t>
            </w:r>
            <w:r>
              <w:rPr>
                <w:sz w:val="22"/>
              </w:rPr>
              <w:t>be</w:t>
            </w:r>
            <w:r>
              <w:rPr>
                <w:spacing w:val="40"/>
                <w:sz w:val="22"/>
              </w:rPr>
              <w:t> </w:t>
            </w:r>
            <w:r>
              <w:rPr>
                <w:sz w:val="22"/>
              </w:rPr>
              <w:t>granted </w:t>
            </w:r>
            <w:r>
              <w:rPr>
                <w:spacing w:val="-6"/>
                <w:sz w:val="22"/>
              </w:rPr>
              <w:t>by</w:t>
            </w:r>
            <w:r>
              <w:rPr>
                <w:sz w:val="22"/>
              </w:rPr>
              <w:tab/>
              <w:t>Commissioner</w:t>
            </w:r>
            <w:r>
              <w:rPr>
                <w:spacing w:val="40"/>
                <w:sz w:val="22"/>
              </w:rPr>
              <w:t> </w:t>
            </w:r>
            <w:r>
              <w:rPr>
                <w:sz w:val="22"/>
              </w:rPr>
              <w:t>as</w:t>
            </w:r>
            <w:r>
              <w:rPr>
                <w:spacing w:val="-15"/>
                <w:sz w:val="22"/>
              </w:rPr>
              <w:t> </w:t>
            </w:r>
            <w:r>
              <w:rPr>
                <w:sz w:val="22"/>
              </w:rPr>
              <w:t>per </w:t>
            </w:r>
            <w:r>
              <w:rPr>
                <w:spacing w:val="-2"/>
                <w:sz w:val="22"/>
              </w:rPr>
              <w:t>these</w:t>
            </w:r>
            <w:r>
              <w:rPr>
                <w:sz w:val="22"/>
              </w:rPr>
              <w:tab/>
            </w:r>
            <w:r>
              <w:rPr>
                <w:spacing w:val="-2"/>
                <w:sz w:val="22"/>
              </w:rPr>
              <w:t>Regulations/policy </w:t>
            </w:r>
            <w:r>
              <w:rPr>
                <w:sz w:val="22"/>
              </w:rPr>
              <w:t>without</w:t>
            </w:r>
            <w:r>
              <w:rPr>
                <w:spacing w:val="40"/>
                <w:sz w:val="22"/>
              </w:rPr>
              <w:t> </w:t>
            </w:r>
            <w:r>
              <w:rPr>
                <w:sz w:val="22"/>
              </w:rPr>
              <w:t>insisting</w:t>
            </w:r>
            <w:r>
              <w:rPr>
                <w:spacing w:val="40"/>
                <w:sz w:val="22"/>
              </w:rPr>
              <w:t> </w:t>
            </w:r>
            <w:r>
              <w:rPr>
                <w:sz w:val="22"/>
              </w:rPr>
              <w:t>NOC</w:t>
            </w:r>
            <w:r>
              <w:rPr>
                <w:spacing w:val="40"/>
                <w:sz w:val="22"/>
              </w:rPr>
              <w:t> </w:t>
            </w:r>
            <w:r>
              <w:rPr>
                <w:sz w:val="22"/>
              </w:rPr>
              <w:t>of MHCC</w:t>
            </w:r>
            <w:r>
              <w:rPr>
                <w:spacing w:val="40"/>
                <w:sz w:val="22"/>
              </w:rPr>
              <w:t> </w:t>
            </w:r>
            <w:r>
              <w:rPr>
                <w:sz w:val="22"/>
              </w:rPr>
              <w:t>by</w:t>
            </w:r>
            <w:r>
              <w:rPr>
                <w:spacing w:val="40"/>
                <w:sz w:val="22"/>
              </w:rPr>
              <w:t> </w:t>
            </w:r>
            <w:r>
              <w:rPr>
                <w:sz w:val="22"/>
              </w:rPr>
              <w:t>ensuring</w:t>
            </w:r>
            <w:r>
              <w:rPr>
                <w:spacing w:val="40"/>
                <w:sz w:val="22"/>
              </w:rPr>
              <w:t> </w:t>
            </w:r>
            <w:r>
              <w:rPr>
                <w:sz w:val="22"/>
              </w:rPr>
              <w:t>that the intended minor works do</w:t>
            </w:r>
            <w:r>
              <w:rPr>
                <w:spacing w:val="40"/>
                <w:sz w:val="22"/>
              </w:rPr>
              <w:t> </w:t>
            </w:r>
            <w:r>
              <w:rPr>
                <w:sz w:val="22"/>
              </w:rPr>
              <w:t>not</w:t>
            </w:r>
            <w:r>
              <w:rPr>
                <w:spacing w:val="40"/>
                <w:sz w:val="22"/>
              </w:rPr>
              <w:t> </w:t>
            </w:r>
            <w:r>
              <w:rPr>
                <w:sz w:val="22"/>
              </w:rPr>
              <w:t>affect</w:t>
            </w:r>
            <w:r>
              <w:rPr>
                <w:spacing w:val="40"/>
                <w:sz w:val="22"/>
              </w:rPr>
              <w:t> </w:t>
            </w:r>
            <w:r>
              <w:rPr>
                <w:sz w:val="22"/>
              </w:rPr>
              <w:t>the</w:t>
            </w:r>
            <w:r>
              <w:rPr>
                <w:spacing w:val="40"/>
                <w:sz w:val="22"/>
              </w:rPr>
              <w:t> </w:t>
            </w:r>
            <w:r>
              <w:rPr>
                <w:sz w:val="22"/>
              </w:rPr>
              <w:t>original </w:t>
            </w:r>
            <w:r>
              <w:rPr>
                <w:spacing w:val="-2"/>
                <w:sz w:val="22"/>
              </w:rPr>
              <w:t>façade,</w:t>
            </w:r>
            <w:r>
              <w:rPr>
                <w:sz w:val="22"/>
              </w:rPr>
              <w:tab/>
              <w:tab/>
              <w:tab/>
              <w:tab/>
              <w:tab/>
            </w:r>
            <w:r>
              <w:rPr>
                <w:spacing w:val="-2"/>
                <w:sz w:val="22"/>
              </w:rPr>
              <w:t>fenestration pattern/bands/cornices, ornamental</w:t>
            </w:r>
            <w:r>
              <w:rPr>
                <w:sz w:val="22"/>
              </w:rPr>
              <w:tab/>
              <w:tab/>
              <w:tab/>
            </w:r>
            <w:r>
              <w:rPr>
                <w:spacing w:val="-65"/>
                <w:sz w:val="22"/>
              </w:rPr>
              <w:t> </w:t>
            </w:r>
            <w:r>
              <w:rPr>
                <w:spacing w:val="-2"/>
                <w:sz w:val="22"/>
              </w:rPr>
              <w:t>features</w:t>
            </w:r>
            <w:r>
              <w:rPr>
                <w:sz w:val="22"/>
              </w:rPr>
              <w:tab/>
              <w:tab/>
              <w:tab/>
            </w:r>
            <w:r>
              <w:rPr>
                <w:spacing w:val="-10"/>
                <w:sz w:val="22"/>
              </w:rPr>
              <w:t>, </w:t>
            </w:r>
            <w:r>
              <w:rPr>
                <w:sz w:val="22"/>
              </w:rPr>
              <w:t>railings</w:t>
            </w:r>
            <w:r>
              <w:rPr>
                <w:spacing w:val="40"/>
                <w:sz w:val="22"/>
              </w:rPr>
              <w:t> </w:t>
            </w:r>
            <w:r>
              <w:rPr>
                <w:sz w:val="22"/>
              </w:rPr>
              <w:t>,</w:t>
            </w:r>
            <w:r>
              <w:rPr>
                <w:spacing w:val="40"/>
                <w:sz w:val="22"/>
              </w:rPr>
              <w:t> </w:t>
            </w:r>
            <w:r>
              <w:rPr>
                <w:sz w:val="22"/>
              </w:rPr>
              <w:t>window</w:t>
            </w:r>
            <w:r>
              <w:rPr>
                <w:spacing w:val="40"/>
                <w:sz w:val="22"/>
              </w:rPr>
              <w:t> </w:t>
            </w:r>
            <w:r>
              <w:rPr>
                <w:sz w:val="22"/>
              </w:rPr>
              <w:t>grid</w:t>
            </w:r>
            <w:r>
              <w:rPr>
                <w:spacing w:val="40"/>
                <w:sz w:val="22"/>
              </w:rPr>
              <w:t> </w:t>
            </w:r>
            <w:r>
              <w:rPr>
                <w:sz w:val="22"/>
              </w:rPr>
              <w:t>&amp; pattern</w:t>
            </w:r>
            <w:r>
              <w:rPr>
                <w:spacing w:val="40"/>
                <w:sz w:val="22"/>
              </w:rPr>
              <w:t> </w:t>
            </w:r>
            <w:r>
              <w:rPr>
                <w:sz w:val="22"/>
              </w:rPr>
              <w:t>etc.</w:t>
            </w:r>
            <w:r>
              <w:rPr>
                <w:spacing w:val="40"/>
                <w:sz w:val="22"/>
              </w:rPr>
              <w:t> </w:t>
            </w:r>
            <w:r>
              <w:rPr>
                <w:sz w:val="22"/>
              </w:rPr>
              <w:t>as</w:t>
            </w:r>
            <w:r>
              <w:rPr>
                <w:spacing w:val="40"/>
                <w:sz w:val="22"/>
              </w:rPr>
              <w:t> </w:t>
            </w:r>
            <w:r>
              <w:rPr>
                <w:sz w:val="22"/>
              </w:rPr>
              <w:t>the</w:t>
            </w:r>
            <w:r>
              <w:rPr>
                <w:spacing w:val="40"/>
                <w:sz w:val="22"/>
              </w:rPr>
              <w:t> </w:t>
            </w:r>
            <w:r>
              <w:rPr>
                <w:sz w:val="22"/>
              </w:rPr>
              <w:t>case may be.</w:t>
            </w:r>
          </w:p>
          <w:p>
            <w:pPr>
              <w:pStyle w:val="TableParagraph"/>
              <w:numPr>
                <w:ilvl w:val="0"/>
                <w:numId w:val="324"/>
              </w:numPr>
              <w:tabs>
                <w:tab w:pos="229" w:val="left" w:leader="none"/>
              </w:tabs>
              <w:spacing w:line="240" w:lineRule="auto" w:before="1" w:after="0"/>
              <w:ind w:left="29" w:right="97" w:firstLine="0"/>
              <w:jc w:val="both"/>
              <w:rPr>
                <w:sz w:val="22"/>
              </w:rPr>
            </w:pPr>
            <w:r>
              <w:rPr>
                <w:sz w:val="22"/>
              </w:rPr>
              <w:t>In</w:t>
            </w:r>
            <w:r>
              <w:rPr>
                <w:spacing w:val="-18"/>
                <w:sz w:val="22"/>
              </w:rPr>
              <w:t> </w:t>
            </w:r>
            <w:r>
              <w:rPr>
                <w:sz w:val="22"/>
              </w:rPr>
              <w:t>case</w:t>
            </w:r>
            <w:r>
              <w:rPr>
                <w:spacing w:val="-18"/>
                <w:sz w:val="22"/>
              </w:rPr>
              <w:t> </w:t>
            </w:r>
            <w:r>
              <w:rPr>
                <w:sz w:val="22"/>
              </w:rPr>
              <w:t>of</w:t>
            </w:r>
            <w:r>
              <w:rPr>
                <w:spacing w:val="-17"/>
                <w:sz w:val="22"/>
              </w:rPr>
              <w:t> </w:t>
            </w:r>
            <w:r>
              <w:rPr>
                <w:sz w:val="22"/>
              </w:rPr>
              <w:t>reconstruction or redevelopment of buildings in heritage Precincts,</w:t>
            </w:r>
            <w:r>
              <w:rPr>
                <w:spacing w:val="12"/>
                <w:sz w:val="22"/>
              </w:rPr>
              <w:t> </w:t>
            </w:r>
            <w:r>
              <w:rPr>
                <w:sz w:val="22"/>
              </w:rPr>
              <w:t>height</w:t>
            </w:r>
            <w:r>
              <w:rPr>
                <w:spacing w:val="14"/>
                <w:sz w:val="22"/>
              </w:rPr>
              <w:t> </w:t>
            </w:r>
            <w:r>
              <w:rPr>
                <w:sz w:val="22"/>
              </w:rPr>
              <w:t>up</w:t>
            </w:r>
            <w:r>
              <w:rPr>
                <w:spacing w:val="13"/>
                <w:sz w:val="22"/>
              </w:rPr>
              <w:t> </w:t>
            </w:r>
            <w:r>
              <w:rPr>
                <w:sz w:val="22"/>
              </w:rPr>
              <w:t>to</w:t>
            </w:r>
            <w:r>
              <w:rPr>
                <w:spacing w:val="14"/>
                <w:sz w:val="22"/>
              </w:rPr>
              <w:t> </w:t>
            </w:r>
            <w:r>
              <w:rPr>
                <w:spacing w:val="-5"/>
                <w:sz w:val="22"/>
              </w:rPr>
              <w:t>32</w:t>
            </w:r>
          </w:p>
          <w:p>
            <w:pPr>
              <w:pStyle w:val="TableParagraph"/>
              <w:tabs>
                <w:tab w:pos="518" w:val="left" w:leader="none"/>
                <w:tab w:pos="1135" w:val="left" w:leader="none"/>
                <w:tab w:pos="1260" w:val="left" w:leader="none"/>
                <w:tab w:pos="1293" w:val="left" w:leader="none"/>
                <w:tab w:pos="1377" w:val="left" w:leader="none"/>
                <w:tab w:pos="1420" w:val="left" w:leader="none"/>
                <w:tab w:pos="1624" w:val="left" w:leader="none"/>
                <w:tab w:pos="1874" w:val="left" w:leader="none"/>
                <w:tab w:pos="2017" w:val="left" w:leader="none"/>
                <w:tab w:pos="2531" w:val="left" w:leader="none"/>
                <w:tab w:pos="2625" w:val="left" w:leader="none"/>
                <w:tab w:pos="2742" w:val="left" w:leader="none"/>
                <w:tab w:pos="2806" w:val="left" w:leader="none"/>
              </w:tabs>
              <w:spacing w:before="2"/>
              <w:ind w:left="29" w:right="95"/>
              <w:rPr>
                <w:sz w:val="22"/>
              </w:rPr>
            </w:pPr>
            <w:r>
              <w:rPr>
                <w:sz w:val="22"/>
              </w:rPr>
              <w:t>m.</w:t>
            </w:r>
            <w:r>
              <w:rPr>
                <w:spacing w:val="40"/>
                <w:sz w:val="22"/>
              </w:rPr>
              <w:t> </w:t>
            </w:r>
            <w:r>
              <w:rPr>
                <w:sz w:val="22"/>
              </w:rPr>
              <w:t>shall</w:t>
            </w:r>
            <w:r>
              <w:rPr>
                <w:spacing w:val="40"/>
                <w:sz w:val="22"/>
              </w:rPr>
              <w:t> </w:t>
            </w:r>
            <w:r>
              <w:rPr>
                <w:sz w:val="22"/>
              </w:rPr>
              <w:t>be</w:t>
            </w:r>
            <w:r>
              <w:rPr>
                <w:spacing w:val="40"/>
                <w:sz w:val="22"/>
              </w:rPr>
              <w:t> </w:t>
            </w:r>
            <w:r>
              <w:rPr>
                <w:sz w:val="22"/>
              </w:rPr>
              <w:t>permitted</w:t>
            </w:r>
            <w:r>
              <w:rPr>
                <w:spacing w:val="40"/>
                <w:sz w:val="22"/>
              </w:rPr>
              <w:t> </w:t>
            </w:r>
            <w:r>
              <w:rPr>
                <w:sz w:val="22"/>
              </w:rPr>
              <w:t>by </w:t>
            </w:r>
            <w:r>
              <w:rPr>
                <w:spacing w:val="-2"/>
                <w:sz w:val="22"/>
              </w:rPr>
              <w:t>Commissioner.</w:t>
            </w:r>
            <w:r>
              <w:rPr>
                <w:sz w:val="22"/>
              </w:rPr>
              <w:tab/>
              <w:tab/>
              <w:tab/>
            </w:r>
            <w:r>
              <w:rPr>
                <w:spacing w:val="-6"/>
                <w:sz w:val="22"/>
              </w:rPr>
              <w:t>If</w:t>
            </w:r>
            <w:r>
              <w:rPr>
                <w:sz w:val="22"/>
              </w:rPr>
              <w:tab/>
            </w:r>
            <w:r>
              <w:rPr>
                <w:spacing w:val="-67"/>
                <w:sz w:val="22"/>
              </w:rPr>
              <w:t> </w:t>
            </w:r>
            <w:r>
              <w:rPr>
                <w:spacing w:val="-4"/>
                <w:sz w:val="22"/>
              </w:rPr>
              <w:t>th</w:t>
            </w:r>
            <w:r>
              <w:rPr>
                <w:spacing w:val="-4"/>
                <w:sz w:val="22"/>
              </w:rPr>
              <w:t>e</w:t>
            </w:r>
            <w:r>
              <w:rPr>
                <w:spacing w:val="-4"/>
                <w:sz w:val="22"/>
              </w:rPr>
              <w:t> </w:t>
            </w:r>
            <w:r>
              <w:rPr>
                <w:sz w:val="22"/>
              </w:rPr>
              <w:t>height</w:t>
            </w:r>
            <w:r>
              <w:rPr>
                <w:spacing w:val="-18"/>
                <w:sz w:val="22"/>
              </w:rPr>
              <w:t> </w:t>
            </w:r>
            <w:r>
              <w:rPr>
                <w:sz w:val="22"/>
              </w:rPr>
              <w:t>of</w:t>
            </w:r>
            <w:r>
              <w:rPr>
                <w:spacing w:val="-18"/>
                <w:sz w:val="22"/>
              </w:rPr>
              <w:t> </w:t>
            </w:r>
            <w:r>
              <w:rPr>
                <w:sz w:val="22"/>
              </w:rPr>
              <w:t>the</w:t>
            </w:r>
            <w:r>
              <w:rPr>
                <w:spacing w:val="-17"/>
                <w:sz w:val="22"/>
              </w:rPr>
              <w:t> </w:t>
            </w:r>
            <w:r>
              <w:rPr>
                <w:sz w:val="22"/>
              </w:rPr>
              <w:t>building</w:t>
            </w:r>
            <w:r>
              <w:rPr>
                <w:spacing w:val="-18"/>
                <w:sz w:val="22"/>
              </w:rPr>
              <w:t> </w:t>
            </w:r>
            <w:r>
              <w:rPr>
                <w:sz w:val="22"/>
              </w:rPr>
              <w:t>to</w:t>
            </w:r>
            <w:r>
              <w:rPr>
                <w:spacing w:val="-17"/>
                <w:sz w:val="22"/>
              </w:rPr>
              <w:t> </w:t>
            </w:r>
            <w:r>
              <w:rPr>
                <w:sz w:val="22"/>
              </w:rPr>
              <w:t>be </w:t>
            </w:r>
            <w:r>
              <w:rPr>
                <w:spacing w:val="-2"/>
                <w:sz w:val="22"/>
              </w:rPr>
              <w:t>reconstructed/redevelope </w:t>
            </w:r>
            <w:r>
              <w:rPr>
                <w:sz w:val="22"/>
              </w:rPr>
              <w:t>d</w:t>
            </w:r>
            <w:r>
              <w:rPr>
                <w:spacing w:val="40"/>
                <w:sz w:val="22"/>
              </w:rPr>
              <w:t> </w:t>
            </w:r>
            <w:r>
              <w:rPr>
                <w:sz w:val="22"/>
              </w:rPr>
              <w:t>exceeds</w:t>
            </w:r>
            <w:r>
              <w:rPr>
                <w:spacing w:val="40"/>
                <w:sz w:val="22"/>
              </w:rPr>
              <w:t> </w:t>
            </w:r>
            <w:r>
              <w:rPr>
                <w:sz w:val="22"/>
              </w:rPr>
              <w:t>32</w:t>
            </w:r>
            <w:r>
              <w:rPr>
                <w:spacing w:val="40"/>
                <w:sz w:val="22"/>
              </w:rPr>
              <w:t> </w:t>
            </w:r>
            <w:r>
              <w:rPr>
                <w:sz w:val="22"/>
              </w:rPr>
              <w:t>m.,</w:t>
            </w:r>
            <w:r>
              <w:rPr>
                <w:spacing w:val="40"/>
                <w:sz w:val="22"/>
              </w:rPr>
              <w:t> </w:t>
            </w:r>
            <w:r>
              <w:rPr>
                <w:sz w:val="22"/>
              </w:rPr>
              <w:t>special </w:t>
            </w:r>
            <w:r>
              <w:rPr>
                <w:spacing w:val="-2"/>
                <w:sz w:val="22"/>
              </w:rPr>
              <w:t>permission</w:t>
            </w:r>
            <w:r>
              <w:rPr>
                <w:sz w:val="22"/>
              </w:rPr>
              <w:tab/>
              <w:tab/>
              <w:tab/>
              <w:tab/>
              <w:tab/>
            </w:r>
            <w:r>
              <w:rPr>
                <w:spacing w:val="-4"/>
                <w:sz w:val="22"/>
              </w:rPr>
              <w:t>from</w:t>
            </w:r>
            <w:r>
              <w:rPr>
                <w:sz w:val="22"/>
              </w:rPr>
              <w:tab/>
            </w:r>
            <w:r>
              <w:rPr>
                <w:spacing w:val="-4"/>
                <w:sz w:val="22"/>
              </w:rPr>
              <w:t>th</w:t>
            </w:r>
            <w:r>
              <w:rPr>
                <w:spacing w:val="-4"/>
                <w:sz w:val="22"/>
              </w:rPr>
              <w:t>e</w:t>
            </w:r>
            <w:r>
              <w:rPr>
                <w:spacing w:val="-4"/>
                <w:sz w:val="22"/>
              </w:rPr>
              <w:t> </w:t>
            </w:r>
            <w:r>
              <w:rPr>
                <w:spacing w:val="-2"/>
                <w:sz w:val="22"/>
              </w:rPr>
              <w:t>Commissioner</w:t>
            </w:r>
            <w:r>
              <w:rPr>
                <w:sz w:val="22"/>
              </w:rPr>
              <w:tab/>
              <w:tab/>
            </w:r>
            <w:r>
              <w:rPr>
                <w:spacing w:val="-4"/>
                <w:sz w:val="22"/>
              </w:rPr>
              <w:t>may</w:t>
            </w:r>
            <w:r>
              <w:rPr>
                <w:sz w:val="22"/>
              </w:rPr>
              <w:tab/>
              <w:tab/>
            </w:r>
            <w:r>
              <w:rPr>
                <w:spacing w:val="-6"/>
                <w:sz w:val="22"/>
              </w:rPr>
              <w:t>be </w:t>
            </w:r>
            <w:r>
              <w:rPr>
                <w:sz w:val="22"/>
              </w:rPr>
              <w:t>obtained,</w:t>
            </w:r>
            <w:r>
              <w:rPr>
                <w:spacing w:val="40"/>
                <w:sz w:val="22"/>
              </w:rPr>
              <w:t> </w:t>
            </w:r>
            <w:r>
              <w:rPr>
                <w:sz w:val="22"/>
              </w:rPr>
              <w:t>who</w:t>
            </w:r>
            <w:r>
              <w:rPr>
                <w:spacing w:val="40"/>
                <w:sz w:val="22"/>
              </w:rPr>
              <w:t> </w:t>
            </w:r>
            <w:r>
              <w:rPr>
                <w:sz w:val="22"/>
              </w:rPr>
              <w:t>may</w:t>
            </w:r>
            <w:r>
              <w:rPr>
                <w:spacing w:val="40"/>
                <w:sz w:val="22"/>
              </w:rPr>
              <w:t> </w:t>
            </w:r>
            <w:r>
              <w:rPr>
                <w:sz w:val="22"/>
              </w:rPr>
              <w:t>take </w:t>
            </w:r>
            <w:r>
              <w:rPr>
                <w:spacing w:val="-4"/>
                <w:sz w:val="22"/>
              </w:rPr>
              <w:t>into</w:t>
            </w:r>
            <w:r>
              <w:rPr>
                <w:sz w:val="22"/>
              </w:rPr>
              <w:tab/>
              <w:tab/>
              <w:tab/>
              <w:tab/>
              <w:tab/>
              <w:tab/>
            </w:r>
            <w:r>
              <w:rPr>
                <w:spacing w:val="-2"/>
                <w:sz w:val="22"/>
              </w:rPr>
              <w:t>consideration </w:t>
            </w:r>
            <w:r>
              <w:rPr>
                <w:sz w:val="22"/>
              </w:rPr>
              <w:t>guidelines</w:t>
            </w:r>
            <w:r>
              <w:rPr>
                <w:spacing w:val="-18"/>
                <w:sz w:val="22"/>
              </w:rPr>
              <w:t> </w:t>
            </w:r>
            <w:r>
              <w:rPr>
                <w:sz w:val="22"/>
              </w:rPr>
              <w:t>if</w:t>
            </w:r>
            <w:r>
              <w:rPr>
                <w:spacing w:val="-18"/>
                <w:sz w:val="22"/>
              </w:rPr>
              <w:t> </w:t>
            </w:r>
            <w:r>
              <w:rPr>
                <w:sz w:val="22"/>
              </w:rPr>
              <w:t>any</w:t>
            </w:r>
            <w:r>
              <w:rPr>
                <w:spacing w:val="-17"/>
                <w:sz w:val="22"/>
              </w:rPr>
              <w:t> </w:t>
            </w:r>
            <w:r>
              <w:rPr>
                <w:sz w:val="22"/>
              </w:rPr>
              <w:t>in</w:t>
            </w:r>
            <w:r>
              <w:rPr>
                <w:spacing w:val="-18"/>
                <w:sz w:val="22"/>
              </w:rPr>
              <w:t> </w:t>
            </w:r>
            <w:r>
              <w:rPr>
                <w:sz w:val="22"/>
              </w:rPr>
              <w:t>respect of listed Precincts. </w:t>
            </w:r>
            <w:r>
              <w:rPr>
                <w:b/>
                <w:sz w:val="22"/>
              </w:rPr>
              <w:t>c)</w:t>
            </w:r>
            <w:r>
              <w:rPr>
                <w:sz w:val="22"/>
              </w:rPr>
              <w:t>However,</w:t>
            </w:r>
            <w:r>
              <w:rPr>
                <w:spacing w:val="-18"/>
                <w:sz w:val="22"/>
              </w:rPr>
              <w:t> </w:t>
            </w:r>
            <w:r>
              <w:rPr>
                <w:sz w:val="22"/>
              </w:rPr>
              <w:t>before</w:t>
            </w:r>
            <w:r>
              <w:rPr>
                <w:spacing w:val="-18"/>
                <w:sz w:val="22"/>
              </w:rPr>
              <w:t> </w:t>
            </w:r>
            <w:r>
              <w:rPr>
                <w:sz w:val="22"/>
              </w:rPr>
              <w:t>allowing demolition</w:t>
            </w:r>
            <w:r>
              <w:rPr>
                <w:spacing w:val="80"/>
                <w:sz w:val="22"/>
              </w:rPr>
              <w:t> </w:t>
            </w:r>
            <w:r>
              <w:rPr>
                <w:sz w:val="22"/>
              </w:rPr>
              <w:t>of</w:t>
            </w:r>
            <w:r>
              <w:rPr>
                <w:spacing w:val="80"/>
                <w:sz w:val="22"/>
              </w:rPr>
              <w:t> </w:t>
            </w:r>
            <w:r>
              <w:rPr>
                <w:sz w:val="22"/>
              </w:rPr>
              <w:t>a</w:t>
            </w:r>
            <w:r>
              <w:rPr>
                <w:spacing w:val="80"/>
                <w:sz w:val="22"/>
              </w:rPr>
              <w:t> </w:t>
            </w:r>
            <w:r>
              <w:rPr>
                <w:sz w:val="22"/>
              </w:rPr>
              <w:t>Precinct </w:t>
            </w:r>
            <w:r>
              <w:rPr>
                <w:spacing w:val="-2"/>
                <w:sz w:val="22"/>
              </w:rPr>
              <w:t>building</w:t>
            </w:r>
            <w:r>
              <w:rPr>
                <w:sz w:val="22"/>
              </w:rPr>
              <w:tab/>
              <w:tab/>
              <w:tab/>
              <w:t>/</w:t>
            </w:r>
            <w:r>
              <w:rPr>
                <w:spacing w:val="80"/>
                <w:sz w:val="22"/>
              </w:rPr>
              <w:t> </w:t>
            </w:r>
            <w:r>
              <w:rPr>
                <w:sz w:val="22"/>
              </w:rPr>
              <w:t>structure</w:t>
            </w:r>
            <w:r>
              <w:rPr>
                <w:spacing w:val="104"/>
                <w:sz w:val="22"/>
              </w:rPr>
              <w:t> </w:t>
            </w:r>
            <w:r>
              <w:rPr>
                <w:sz w:val="22"/>
              </w:rPr>
              <w:t>, </w:t>
            </w:r>
            <w:r>
              <w:rPr>
                <w:spacing w:val="-2"/>
                <w:sz w:val="22"/>
              </w:rPr>
              <w:t>complete</w:t>
            </w:r>
            <w:r>
              <w:rPr>
                <w:sz w:val="22"/>
              </w:rPr>
              <w:tab/>
              <w:tab/>
            </w:r>
            <w:r>
              <w:rPr>
                <w:spacing w:val="-2"/>
                <w:sz w:val="22"/>
              </w:rPr>
              <w:t>documentation </w:t>
            </w:r>
            <w:r>
              <w:rPr>
                <w:spacing w:val="-6"/>
                <w:sz w:val="22"/>
              </w:rPr>
              <w:t>of</w:t>
            </w:r>
            <w:r>
              <w:rPr>
                <w:sz w:val="22"/>
              </w:rPr>
              <w:tab/>
            </w:r>
            <w:r>
              <w:rPr>
                <w:spacing w:val="-2"/>
                <w:sz w:val="22"/>
              </w:rPr>
              <w:t>faced</w:t>
            </w:r>
            <w:r>
              <w:rPr>
                <w:sz w:val="22"/>
              </w:rPr>
              <w:tab/>
              <w:tab/>
              <w:tab/>
              <w:tab/>
            </w:r>
            <w:r>
              <w:rPr>
                <w:spacing w:val="-2"/>
                <w:sz w:val="22"/>
              </w:rPr>
              <w:t>elevations</w:t>
            </w:r>
            <w:r>
              <w:rPr>
                <w:sz w:val="22"/>
              </w:rPr>
              <w:tab/>
              <w:tab/>
              <w:tab/>
            </w:r>
            <w:r>
              <w:rPr>
                <w:spacing w:val="-10"/>
                <w:sz w:val="22"/>
              </w:rPr>
              <w:t>/</w:t>
            </w:r>
            <w:r>
              <w:rPr>
                <w:spacing w:val="-10"/>
                <w:sz w:val="22"/>
              </w:rPr>
              <w:t> </w:t>
            </w:r>
            <w:r>
              <w:rPr>
                <w:spacing w:val="-2"/>
                <w:sz w:val="22"/>
              </w:rPr>
              <w:t>material</w:t>
            </w:r>
            <w:r>
              <w:rPr>
                <w:sz w:val="22"/>
              </w:rPr>
              <w:tab/>
            </w:r>
            <w:r>
              <w:rPr>
                <w:spacing w:val="-2"/>
                <w:sz w:val="22"/>
              </w:rPr>
              <w:t>specifications</w:t>
            </w:r>
            <w:r>
              <w:rPr>
                <w:sz w:val="22"/>
              </w:rPr>
              <w:tab/>
              <w:tab/>
              <w:tab/>
            </w:r>
            <w:r>
              <w:rPr>
                <w:spacing w:val="-10"/>
                <w:sz w:val="22"/>
              </w:rPr>
              <w:t>,</w:t>
            </w:r>
            <w:r>
              <w:rPr>
                <w:spacing w:val="-10"/>
                <w:sz w:val="22"/>
              </w:rPr>
              <w:t> </w:t>
            </w:r>
            <w:r>
              <w:rPr>
                <w:sz w:val="22"/>
              </w:rPr>
              <w:t>detailing</w:t>
            </w:r>
            <w:r>
              <w:rPr>
                <w:spacing w:val="72"/>
                <w:w w:val="150"/>
                <w:sz w:val="22"/>
              </w:rPr>
              <w:t> </w:t>
            </w:r>
            <w:r>
              <w:rPr>
                <w:sz w:val="22"/>
              </w:rPr>
              <w:t>etc.</w:t>
            </w:r>
            <w:r>
              <w:rPr>
                <w:spacing w:val="75"/>
                <w:w w:val="150"/>
                <w:sz w:val="22"/>
              </w:rPr>
              <w:t> </w:t>
            </w:r>
            <w:r>
              <w:rPr>
                <w:sz w:val="22"/>
              </w:rPr>
              <w:t>should</w:t>
            </w:r>
            <w:r>
              <w:rPr>
                <w:spacing w:val="73"/>
                <w:w w:val="150"/>
                <w:sz w:val="22"/>
              </w:rPr>
              <w:t> </w:t>
            </w:r>
            <w:r>
              <w:rPr>
                <w:spacing w:val="-5"/>
                <w:sz w:val="22"/>
              </w:rPr>
              <w:t>be</w:t>
            </w:r>
          </w:p>
          <w:p>
            <w:pPr>
              <w:pStyle w:val="TableParagraph"/>
              <w:tabs>
                <w:tab w:pos="1202" w:val="left" w:leader="none"/>
                <w:tab w:pos="1670" w:val="left" w:leader="none"/>
                <w:tab w:pos="2227" w:val="left" w:leader="none"/>
              </w:tabs>
              <w:spacing w:line="238" w:lineRule="exact"/>
              <w:ind w:left="29"/>
              <w:rPr>
                <w:sz w:val="22"/>
              </w:rPr>
            </w:pPr>
            <w:r>
              <w:rPr>
                <w:spacing w:val="-2"/>
                <w:sz w:val="22"/>
              </w:rPr>
              <w:t>prepared</w:t>
            </w:r>
            <w:r>
              <w:rPr>
                <w:sz w:val="22"/>
              </w:rPr>
              <w:tab/>
            </w:r>
            <w:r>
              <w:rPr>
                <w:spacing w:val="-5"/>
                <w:sz w:val="22"/>
              </w:rPr>
              <w:t>by</w:t>
            </w:r>
            <w:r>
              <w:rPr>
                <w:sz w:val="22"/>
              </w:rPr>
              <w:tab/>
            </w:r>
            <w:r>
              <w:rPr>
                <w:spacing w:val="-5"/>
                <w:sz w:val="22"/>
              </w:rPr>
              <w:t>the</w:t>
            </w:r>
            <w:r>
              <w:rPr>
                <w:sz w:val="22"/>
              </w:rPr>
              <w:tab/>
            </w:r>
            <w:r>
              <w:rPr>
                <w:spacing w:val="-2"/>
                <w:sz w:val="22"/>
              </w:rPr>
              <w:t>owner</w:t>
            </w:r>
          </w:p>
        </w:tc>
      </w:tr>
    </w:tbl>
    <w:p>
      <w:pPr>
        <w:pStyle w:val="TableParagraph"/>
        <w:spacing w:after="0" w:line="238" w:lineRule="exact"/>
        <w:rPr>
          <w:sz w:val="22"/>
        </w:rPr>
        <w:sectPr>
          <w:pgSz w:w="11910" w:h="16840"/>
          <w:pgMar w:header="1058" w:footer="1117" w:top="1500" w:bottom="1300" w:left="360" w:right="360"/>
        </w:sectPr>
      </w:pPr>
    </w:p>
    <w:p>
      <w:pPr>
        <w:pStyle w:val="BodyText"/>
        <w:spacing w:before="20"/>
        <w:jc w:val="left"/>
        <w:rPr>
          <w:sz w:val="20"/>
        </w:rPr>
      </w:pPr>
    </w:p>
    <w:tbl>
      <w:tblPr>
        <w:tblW w:w="0" w:type="auto"/>
        <w:jc w:val="left"/>
        <w:tblInd w:w="1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989"/>
      </w:tblGrid>
      <w:tr>
        <w:trPr>
          <w:trHeight w:val="362" w:hRule="atLeast"/>
        </w:trPr>
        <w:tc>
          <w:tcPr>
            <w:tcW w:w="2881" w:type="dxa"/>
            <w:shd w:val="clear" w:color="auto" w:fill="EDEBE0"/>
          </w:tcPr>
          <w:p>
            <w:pPr>
              <w:pStyle w:val="TableParagraph"/>
              <w:spacing w:before="40"/>
              <w:ind w:left="107"/>
              <w:rPr>
                <w:sz w:val="24"/>
              </w:rPr>
            </w:pPr>
            <w:r>
              <w:rPr>
                <w:sz w:val="24"/>
              </w:rPr>
              <w:t>Grade – </w:t>
            </w:r>
            <w:r>
              <w:rPr>
                <w:spacing w:val="-10"/>
                <w:sz w:val="24"/>
              </w:rPr>
              <w:t>I</w:t>
            </w:r>
          </w:p>
        </w:tc>
        <w:tc>
          <w:tcPr>
            <w:tcW w:w="2881" w:type="dxa"/>
            <w:shd w:val="clear" w:color="auto" w:fill="EDEBE0"/>
          </w:tcPr>
          <w:p>
            <w:pPr>
              <w:pStyle w:val="TableParagraph"/>
              <w:spacing w:before="40"/>
              <w:ind w:left="107"/>
              <w:rPr>
                <w:sz w:val="24"/>
              </w:rPr>
            </w:pPr>
            <w:r>
              <w:rPr>
                <w:sz w:val="24"/>
              </w:rPr>
              <w:t>Grade – </w:t>
            </w:r>
            <w:r>
              <w:rPr>
                <w:spacing w:val="-5"/>
                <w:sz w:val="24"/>
              </w:rPr>
              <w:t>II</w:t>
            </w:r>
          </w:p>
        </w:tc>
        <w:tc>
          <w:tcPr>
            <w:tcW w:w="2989" w:type="dxa"/>
            <w:shd w:val="clear" w:color="auto" w:fill="EDEBE0"/>
          </w:tcPr>
          <w:p>
            <w:pPr>
              <w:pStyle w:val="TableParagraph"/>
              <w:spacing w:before="40"/>
              <w:ind w:left="106"/>
              <w:rPr>
                <w:sz w:val="24"/>
              </w:rPr>
            </w:pPr>
            <w:r>
              <w:rPr>
                <w:sz w:val="24"/>
              </w:rPr>
              <w:t>Grade – </w:t>
            </w:r>
            <w:r>
              <w:rPr>
                <w:spacing w:val="-2"/>
                <w:sz w:val="24"/>
              </w:rPr>
              <w:t>III/PRECINCT</w:t>
            </w:r>
          </w:p>
        </w:tc>
      </w:tr>
      <w:tr>
        <w:trPr>
          <w:trHeight w:val="4392" w:hRule="atLeast"/>
        </w:trPr>
        <w:tc>
          <w:tcPr>
            <w:tcW w:w="2881" w:type="dxa"/>
          </w:tcPr>
          <w:p>
            <w:pPr>
              <w:pStyle w:val="TableParagraph"/>
              <w:rPr>
                <w:rFonts w:ascii="Times New Roman"/>
                <w:sz w:val="22"/>
              </w:rPr>
            </w:pPr>
          </w:p>
        </w:tc>
        <w:tc>
          <w:tcPr>
            <w:tcW w:w="2881" w:type="dxa"/>
          </w:tcPr>
          <w:p>
            <w:pPr>
              <w:pStyle w:val="TableParagraph"/>
              <w:rPr>
                <w:rFonts w:ascii="Times New Roman"/>
                <w:sz w:val="22"/>
              </w:rPr>
            </w:pPr>
          </w:p>
        </w:tc>
        <w:tc>
          <w:tcPr>
            <w:tcW w:w="2989" w:type="dxa"/>
          </w:tcPr>
          <w:p>
            <w:pPr>
              <w:pStyle w:val="TableParagraph"/>
              <w:spacing w:before="1"/>
              <w:ind w:left="29" w:right="98"/>
              <w:jc w:val="both"/>
              <w:rPr>
                <w:sz w:val="22"/>
              </w:rPr>
            </w:pPr>
            <w:r>
              <w:rPr>
                <w:sz w:val="22"/>
              </w:rPr>
              <w:t>through an architect and shall be submitted to approving authorities along</w:t>
            </w:r>
            <w:r>
              <w:rPr>
                <w:spacing w:val="69"/>
                <w:w w:val="150"/>
                <w:sz w:val="22"/>
              </w:rPr>
              <w:t>    </w:t>
            </w:r>
            <w:r>
              <w:rPr>
                <w:sz w:val="22"/>
              </w:rPr>
              <w:t>with</w:t>
            </w:r>
            <w:r>
              <w:rPr>
                <w:spacing w:val="69"/>
                <w:w w:val="150"/>
                <w:sz w:val="22"/>
              </w:rPr>
              <w:t>    </w:t>
            </w:r>
            <w:r>
              <w:rPr>
                <w:spacing w:val="-5"/>
                <w:sz w:val="22"/>
              </w:rPr>
              <w:t>any</w:t>
            </w:r>
          </w:p>
          <w:p>
            <w:pPr>
              <w:pStyle w:val="TableParagraph"/>
              <w:tabs>
                <w:tab w:pos="2745" w:val="left" w:leader="none"/>
              </w:tabs>
              <w:ind w:left="29" w:right="97"/>
              <w:jc w:val="both"/>
              <w:rPr>
                <w:sz w:val="22"/>
              </w:rPr>
            </w:pPr>
            <w:r>
              <w:rPr>
                <w:spacing w:val="-2"/>
                <w:sz w:val="22"/>
              </w:rPr>
              <w:t>reconstruction</w:t>
            </w:r>
            <w:r>
              <w:rPr>
                <w:sz w:val="22"/>
              </w:rPr>
              <w:tab/>
            </w:r>
            <w:r>
              <w:rPr>
                <w:spacing w:val="-10"/>
                <w:sz w:val="22"/>
              </w:rPr>
              <w:t>/ </w:t>
            </w:r>
            <w:r>
              <w:rPr>
                <w:sz w:val="22"/>
              </w:rPr>
              <w:t>redevelopment</w:t>
            </w:r>
            <w:r>
              <w:rPr>
                <w:spacing w:val="-18"/>
                <w:sz w:val="22"/>
              </w:rPr>
              <w:t> </w:t>
            </w:r>
            <w:r>
              <w:rPr>
                <w:sz w:val="22"/>
              </w:rPr>
              <w:t>proposal</w:t>
            </w:r>
            <w:r>
              <w:rPr>
                <w:spacing w:val="-18"/>
                <w:sz w:val="22"/>
              </w:rPr>
              <w:t> </w:t>
            </w:r>
            <w:r>
              <w:rPr>
                <w:sz w:val="22"/>
              </w:rPr>
              <w:t>so that cognizance of any special features etc. Can be taken while finalising the design / elevations of the new building.</w:t>
            </w:r>
          </w:p>
          <w:p>
            <w:pPr>
              <w:pStyle w:val="TableParagraph"/>
              <w:ind w:left="29" w:right="96"/>
              <w:jc w:val="both"/>
              <w:rPr>
                <w:sz w:val="22"/>
              </w:rPr>
            </w:pPr>
            <w:r>
              <w:rPr>
                <w:sz w:val="22"/>
              </w:rPr>
              <w:t>It shall be ensured that external appearance, elevation shall be in harmony</w:t>
            </w:r>
            <w:r>
              <w:rPr>
                <w:spacing w:val="49"/>
                <w:sz w:val="22"/>
              </w:rPr>
              <w:t>  </w:t>
            </w:r>
            <w:r>
              <w:rPr>
                <w:sz w:val="22"/>
              </w:rPr>
              <w:t>/</w:t>
            </w:r>
            <w:r>
              <w:rPr>
                <w:spacing w:val="47"/>
                <w:sz w:val="22"/>
              </w:rPr>
              <w:t>  </w:t>
            </w:r>
            <w:r>
              <w:rPr>
                <w:spacing w:val="-2"/>
                <w:sz w:val="22"/>
              </w:rPr>
              <w:t>consonance</w:t>
            </w:r>
          </w:p>
          <w:p>
            <w:pPr>
              <w:pStyle w:val="TableParagraph"/>
              <w:spacing w:line="256" w:lineRule="exact"/>
              <w:ind w:left="29" w:right="96"/>
              <w:jc w:val="both"/>
              <w:rPr>
                <w:sz w:val="22"/>
              </w:rPr>
            </w:pPr>
            <w:r>
              <w:rPr>
                <w:sz w:val="22"/>
              </w:rPr>
              <w:t>with the characteristics of listed Precinct.</w:t>
            </w:r>
          </w:p>
        </w:tc>
      </w:tr>
    </w:tbl>
    <w:p>
      <w:pPr>
        <w:pStyle w:val="BodyText"/>
        <w:spacing w:before="67"/>
        <w:jc w:val="left"/>
        <w:rPr>
          <w:sz w:val="28"/>
        </w:rPr>
      </w:pPr>
    </w:p>
    <w:p>
      <w:pPr>
        <w:pStyle w:val="Heading3"/>
        <w:numPr>
          <w:ilvl w:val="0"/>
          <w:numId w:val="263"/>
        </w:numPr>
        <w:tabs>
          <w:tab w:pos="1491" w:val="left" w:leader="none"/>
        </w:tabs>
        <w:spacing w:line="240" w:lineRule="auto" w:before="0" w:after="0"/>
        <w:ind w:left="772" w:right="784" w:firstLine="0"/>
        <w:jc w:val="both"/>
        <w:rPr>
          <w:i w:val="0"/>
        </w:rPr>
      </w:pPr>
      <w:r>
        <w:rPr/>
        <w:t>Under Ground Public Utility/Conveniences/Amenity</w:t>
      </w:r>
      <w:r>
        <w:rPr>
          <w:spacing w:val="40"/>
        </w:rPr>
        <w:t> </w:t>
      </w:r>
      <w:r>
        <w:rPr>
          <w:spacing w:val="-2"/>
        </w:rPr>
        <w:t>Provision</w:t>
      </w:r>
    </w:p>
    <w:p>
      <w:pPr>
        <w:pStyle w:val="BodyText"/>
        <w:spacing w:before="125"/>
        <w:ind w:left="1493" w:right="768"/>
      </w:pPr>
      <w:r>
        <w:rPr/>
        <w:t>Subject</w:t>
      </w:r>
      <w:r>
        <w:rPr>
          <w:spacing w:val="-20"/>
        </w:rPr>
        <w:t> </w:t>
      </w:r>
      <w:r>
        <w:rPr/>
        <w:t>to</w:t>
      </w:r>
      <w:r>
        <w:rPr>
          <w:spacing w:val="-19"/>
        </w:rPr>
        <w:t> </w:t>
      </w:r>
      <w:r>
        <w:rPr/>
        <w:t>the</w:t>
      </w:r>
      <w:r>
        <w:rPr>
          <w:spacing w:val="-19"/>
        </w:rPr>
        <w:t> </w:t>
      </w:r>
      <w:r>
        <w:rPr/>
        <w:t>conditions</w:t>
      </w:r>
      <w:r>
        <w:rPr>
          <w:spacing w:val="-19"/>
        </w:rPr>
        <w:t> </w:t>
      </w:r>
      <w:r>
        <w:rPr/>
        <w:t>as</w:t>
      </w:r>
      <w:r>
        <w:rPr>
          <w:spacing w:val="-19"/>
        </w:rPr>
        <w:t> </w:t>
      </w:r>
      <w:r>
        <w:rPr/>
        <w:t>may</w:t>
      </w:r>
      <w:r>
        <w:rPr>
          <w:spacing w:val="-20"/>
        </w:rPr>
        <w:t> </w:t>
      </w:r>
      <w:r>
        <w:rPr/>
        <w:t>be</w:t>
      </w:r>
      <w:r>
        <w:rPr>
          <w:spacing w:val="-19"/>
        </w:rPr>
        <w:t> </w:t>
      </w:r>
      <w:r>
        <w:rPr/>
        <w:t>prescribed</w:t>
      </w:r>
      <w:r>
        <w:rPr>
          <w:spacing w:val="-19"/>
        </w:rPr>
        <w:t> </w:t>
      </w:r>
      <w:r>
        <w:rPr/>
        <w:t>by</w:t>
      </w:r>
      <w:r>
        <w:rPr>
          <w:spacing w:val="-19"/>
        </w:rPr>
        <w:t> </w:t>
      </w:r>
      <w:r>
        <w:rPr/>
        <w:t>the</w:t>
      </w:r>
      <w:r>
        <w:rPr>
          <w:spacing w:val="-19"/>
        </w:rPr>
        <w:t> </w:t>
      </w:r>
      <w:r>
        <w:rPr/>
        <w:t>Commissioner,</w:t>
      </w:r>
      <w:r>
        <w:rPr>
          <w:spacing w:val="-20"/>
        </w:rPr>
        <w:t> </w:t>
      </w:r>
      <w:r>
        <w:rPr/>
        <w:t>MCGM, Sewage Treatment Plant, storage and allied facilities as per design and specification and at location as may be considered necessary by the Commissioner for treatment of sewage/effluent, water pumping station and storage facility, Electric Substation/Distribution/Receiving Station, underground parking and shopping shall be allowed below existing or proposed DP Roads and below lands reserved for Playground/Gardens/Parks and Public Open Spaces both existing and proposed and to be used at one or two levels below the ground. Provided no such uses will be allowed below the following.</w:t>
      </w:r>
    </w:p>
    <w:p>
      <w:pPr>
        <w:pStyle w:val="BodyText"/>
        <w:spacing w:before="240"/>
        <w:ind w:left="1493" w:right="770"/>
      </w:pPr>
      <w:r>
        <w:rPr/>
        <w:t>Oval</w:t>
      </w:r>
      <w:r>
        <w:rPr>
          <w:spacing w:val="-6"/>
        </w:rPr>
        <w:t> </w:t>
      </w:r>
      <w:r>
        <w:rPr/>
        <w:t>Maidan,</w:t>
      </w:r>
      <w:r>
        <w:rPr>
          <w:spacing w:val="-6"/>
        </w:rPr>
        <w:t> </w:t>
      </w:r>
      <w:r>
        <w:rPr/>
        <w:t>Cross</w:t>
      </w:r>
      <w:r>
        <w:rPr>
          <w:spacing w:val="-6"/>
        </w:rPr>
        <w:t> </w:t>
      </w:r>
      <w:r>
        <w:rPr/>
        <w:t>Maidan,</w:t>
      </w:r>
      <w:r>
        <w:rPr>
          <w:spacing w:val="-6"/>
        </w:rPr>
        <w:t> </w:t>
      </w:r>
      <w:r>
        <w:rPr/>
        <w:t>Azad</w:t>
      </w:r>
      <w:r>
        <w:rPr>
          <w:spacing w:val="-6"/>
        </w:rPr>
        <w:t> </w:t>
      </w:r>
      <w:r>
        <w:rPr/>
        <w:t>Maidan,</w:t>
      </w:r>
      <w:r>
        <w:rPr>
          <w:spacing w:val="-6"/>
        </w:rPr>
        <w:t> </w:t>
      </w:r>
      <w:r>
        <w:rPr/>
        <w:t>Shivaji</w:t>
      </w:r>
      <w:r>
        <w:rPr>
          <w:spacing w:val="-6"/>
        </w:rPr>
        <w:t> </w:t>
      </w:r>
      <w:r>
        <w:rPr/>
        <w:t>Park,</w:t>
      </w:r>
      <w:r>
        <w:rPr>
          <w:spacing w:val="-6"/>
        </w:rPr>
        <w:t> </w:t>
      </w:r>
      <w:r>
        <w:rPr/>
        <w:t>all</w:t>
      </w:r>
      <w:r>
        <w:rPr>
          <w:spacing w:val="-6"/>
        </w:rPr>
        <w:t> </w:t>
      </w:r>
      <w:r>
        <w:rPr/>
        <w:t>parade</w:t>
      </w:r>
      <w:r>
        <w:rPr>
          <w:spacing w:val="-5"/>
        </w:rPr>
        <w:t> </w:t>
      </w:r>
      <w:r>
        <w:rPr/>
        <w:t>grounds, Nare Park, Jambhori Maidan, Five Gardens and Recreational Ground opposite</w:t>
      </w:r>
      <w:r>
        <w:rPr>
          <w:spacing w:val="-8"/>
        </w:rPr>
        <w:t> </w:t>
      </w:r>
      <w:r>
        <w:rPr/>
        <w:t>Scottish</w:t>
      </w:r>
      <w:r>
        <w:rPr>
          <w:spacing w:val="-8"/>
        </w:rPr>
        <w:t> </w:t>
      </w:r>
      <w:r>
        <w:rPr/>
        <w:t>School,</w:t>
      </w:r>
      <w:r>
        <w:rPr>
          <w:spacing w:val="-8"/>
        </w:rPr>
        <w:t> </w:t>
      </w:r>
      <w:r>
        <w:rPr/>
        <w:t>Dadar,</w:t>
      </w:r>
      <w:r>
        <w:rPr>
          <w:spacing w:val="-8"/>
        </w:rPr>
        <w:t> </w:t>
      </w:r>
      <w:r>
        <w:rPr/>
        <w:t>Cadell</w:t>
      </w:r>
      <w:r>
        <w:rPr>
          <w:spacing w:val="-7"/>
        </w:rPr>
        <w:t> </w:t>
      </w:r>
      <w:r>
        <w:rPr/>
        <w:t>Road</w:t>
      </w:r>
      <w:r>
        <w:rPr>
          <w:spacing w:val="-8"/>
        </w:rPr>
        <w:t> </w:t>
      </w:r>
      <w:r>
        <w:rPr/>
        <w:t>(Veer</w:t>
      </w:r>
      <w:r>
        <w:rPr>
          <w:spacing w:val="-8"/>
        </w:rPr>
        <w:t> </w:t>
      </w:r>
      <w:r>
        <w:rPr/>
        <w:t>Sawarkar</w:t>
      </w:r>
      <w:r>
        <w:rPr>
          <w:spacing w:val="-8"/>
        </w:rPr>
        <w:t> </w:t>
      </w:r>
      <w:r>
        <w:rPr/>
        <w:t>Marg)</w:t>
      </w:r>
      <w:r>
        <w:rPr>
          <w:spacing w:val="-8"/>
        </w:rPr>
        <w:t> </w:t>
      </w:r>
      <w:r>
        <w:rPr/>
        <w:t>situated to the north of Hinduja Hospital.</w:t>
      </w:r>
    </w:p>
    <w:p>
      <w:pPr>
        <w:pStyle w:val="BodyText"/>
        <w:spacing w:before="122"/>
        <w:ind w:left="1493" w:right="771"/>
      </w:pPr>
      <w:r>
        <w:rPr/>
        <w:t>And provided further that the area to the extent of 10 m along the road side below the surface within the boundary of the aforesaid Maidans/Parks/Gardens/Public Open Spaces may be used for the purpose of ingress and egress to the underground area.</w:t>
      </w:r>
    </w:p>
    <w:p>
      <w:pPr>
        <w:pStyle w:val="Heading3"/>
        <w:numPr>
          <w:ilvl w:val="0"/>
          <w:numId w:val="263"/>
        </w:numPr>
        <w:tabs>
          <w:tab w:pos="1491" w:val="left" w:leader="none"/>
        </w:tabs>
        <w:spacing w:line="240" w:lineRule="auto" w:before="115" w:after="0"/>
        <w:ind w:left="1491" w:right="0" w:hanging="719"/>
        <w:jc w:val="both"/>
        <w:rPr>
          <w:i w:val="0"/>
        </w:rPr>
      </w:pPr>
      <w:r>
        <w:rPr/>
        <w:t>Uses</w:t>
      </w:r>
      <w:r>
        <w:rPr>
          <w:spacing w:val="-12"/>
        </w:rPr>
        <w:t> </w:t>
      </w:r>
      <w:r>
        <w:rPr/>
        <w:t>Permissible</w:t>
      </w:r>
      <w:r>
        <w:rPr>
          <w:spacing w:val="-9"/>
        </w:rPr>
        <w:t> </w:t>
      </w:r>
      <w:r>
        <w:rPr/>
        <w:t>below</w:t>
      </w:r>
      <w:r>
        <w:rPr>
          <w:spacing w:val="-12"/>
        </w:rPr>
        <w:t> </w:t>
      </w:r>
      <w:r>
        <w:rPr>
          <w:spacing w:val="-2"/>
        </w:rPr>
        <w:t>Flyovers:</w:t>
      </w:r>
    </w:p>
    <w:p>
      <w:pPr>
        <w:pStyle w:val="BodyText"/>
        <w:spacing w:before="124"/>
        <w:ind w:left="1493"/>
        <w:jc w:val="left"/>
      </w:pPr>
      <w:r>
        <w:rPr/>
        <w:t>Following</w:t>
      </w:r>
      <w:r>
        <w:rPr>
          <w:spacing w:val="-2"/>
        </w:rPr>
        <w:t> </w:t>
      </w:r>
      <w:r>
        <w:rPr/>
        <w:t>uses</w:t>
      </w:r>
      <w:r>
        <w:rPr>
          <w:spacing w:val="-1"/>
        </w:rPr>
        <w:t> </w:t>
      </w:r>
      <w:r>
        <w:rPr/>
        <w:t>may</w:t>
      </w:r>
      <w:r>
        <w:rPr>
          <w:spacing w:val="-1"/>
        </w:rPr>
        <w:t> </w:t>
      </w:r>
      <w:r>
        <w:rPr/>
        <w:t>be</w:t>
      </w:r>
      <w:r>
        <w:rPr>
          <w:spacing w:val="-1"/>
        </w:rPr>
        <w:t> </w:t>
      </w:r>
      <w:r>
        <w:rPr/>
        <w:t>permitted</w:t>
      </w:r>
      <w:r>
        <w:rPr>
          <w:spacing w:val="-1"/>
        </w:rPr>
        <w:t> </w:t>
      </w:r>
      <w:r>
        <w:rPr/>
        <w:t>below</w:t>
      </w:r>
      <w:r>
        <w:rPr>
          <w:spacing w:val="-1"/>
        </w:rPr>
        <w:t> </w:t>
      </w:r>
      <w:r>
        <w:rPr/>
        <w:t>the</w:t>
      </w:r>
      <w:r>
        <w:rPr>
          <w:spacing w:val="-1"/>
        </w:rPr>
        <w:t> </w:t>
      </w:r>
      <w:r>
        <w:rPr>
          <w:spacing w:val="-2"/>
        </w:rPr>
        <w:t>flyovers:</w:t>
      </w:r>
    </w:p>
    <w:p>
      <w:pPr>
        <w:pStyle w:val="BodyText"/>
        <w:spacing w:line="446" w:lineRule="auto" w:before="119"/>
        <w:ind w:left="1493" w:right="5136"/>
        <w:jc w:val="left"/>
      </w:pPr>
      <w:r>
        <w:rPr/>
        <w:t>(1) Garden, park, Promenades (2)Electricity</w:t>
      </w:r>
      <w:r>
        <w:rPr>
          <w:spacing w:val="-17"/>
        </w:rPr>
        <w:t> </w:t>
      </w:r>
      <w:r>
        <w:rPr/>
        <w:t>Distribution</w:t>
      </w:r>
      <w:r>
        <w:rPr>
          <w:spacing w:val="-17"/>
        </w:rPr>
        <w:t> </w:t>
      </w:r>
      <w:r>
        <w:rPr/>
        <w:t>Stations;</w:t>
      </w:r>
    </w:p>
    <w:p>
      <w:pPr>
        <w:pStyle w:val="BodyText"/>
        <w:spacing w:after="0" w:line="446" w:lineRule="auto"/>
        <w:jc w:val="left"/>
        <w:sectPr>
          <w:pgSz w:w="11910" w:h="16840"/>
          <w:pgMar w:header="1058" w:footer="1117" w:top="1500" w:bottom="1300" w:left="360" w:right="360"/>
        </w:sectPr>
      </w:pPr>
    </w:p>
    <w:p>
      <w:pPr>
        <w:pStyle w:val="ListParagraph"/>
        <w:numPr>
          <w:ilvl w:val="0"/>
          <w:numId w:val="319"/>
        </w:numPr>
        <w:tabs>
          <w:tab w:pos="1785" w:val="left" w:leader="none"/>
        </w:tabs>
        <w:spacing w:line="240" w:lineRule="auto" w:before="255" w:after="0"/>
        <w:ind w:left="1785" w:right="0" w:hanging="292"/>
        <w:jc w:val="both"/>
        <w:rPr>
          <w:sz w:val="24"/>
        </w:rPr>
      </w:pPr>
      <w:r>
        <w:rPr>
          <w:sz w:val="24"/>
        </w:rPr>
        <w:t>Municipal</w:t>
      </w:r>
      <w:r>
        <w:rPr>
          <w:spacing w:val="-2"/>
          <w:sz w:val="24"/>
        </w:rPr>
        <w:t> </w:t>
      </w:r>
      <w:r>
        <w:rPr>
          <w:sz w:val="24"/>
        </w:rPr>
        <w:t>chowkies,</w:t>
      </w:r>
      <w:r>
        <w:rPr>
          <w:spacing w:val="-1"/>
          <w:sz w:val="24"/>
        </w:rPr>
        <w:t> </w:t>
      </w:r>
      <w:r>
        <w:rPr>
          <w:sz w:val="24"/>
        </w:rPr>
        <w:t>road depot,</w:t>
      </w:r>
      <w:r>
        <w:rPr>
          <w:spacing w:val="-2"/>
          <w:sz w:val="24"/>
        </w:rPr>
        <w:t> </w:t>
      </w:r>
      <w:r>
        <w:rPr>
          <w:sz w:val="24"/>
        </w:rPr>
        <w:t>municipal store,</w:t>
      </w:r>
      <w:r>
        <w:rPr>
          <w:spacing w:val="-2"/>
          <w:sz w:val="24"/>
        </w:rPr>
        <w:t> </w:t>
      </w:r>
      <w:r>
        <w:rPr>
          <w:sz w:val="24"/>
        </w:rPr>
        <w:t>public </w:t>
      </w:r>
      <w:r>
        <w:rPr>
          <w:spacing w:val="-2"/>
          <w:sz w:val="24"/>
        </w:rPr>
        <w:t>toilet;</w:t>
      </w:r>
    </w:p>
    <w:p>
      <w:pPr>
        <w:pStyle w:val="ListParagraph"/>
        <w:numPr>
          <w:ilvl w:val="0"/>
          <w:numId w:val="319"/>
        </w:numPr>
        <w:tabs>
          <w:tab w:pos="1785" w:val="left" w:leader="none"/>
        </w:tabs>
        <w:spacing w:line="240" w:lineRule="auto" w:before="241" w:after="0"/>
        <w:ind w:left="1493" w:right="768" w:firstLine="0"/>
        <w:jc w:val="both"/>
        <w:rPr>
          <w:sz w:val="24"/>
        </w:rPr>
      </w:pPr>
      <w:r>
        <w:rPr>
          <w:sz w:val="24"/>
        </w:rPr>
        <w:t>Police</w:t>
      </w:r>
      <w:r>
        <w:rPr>
          <w:spacing w:val="-20"/>
          <w:sz w:val="24"/>
        </w:rPr>
        <w:t> </w:t>
      </w:r>
      <w:r>
        <w:rPr>
          <w:sz w:val="24"/>
        </w:rPr>
        <w:t>chowky,</w:t>
      </w:r>
      <w:r>
        <w:rPr>
          <w:spacing w:val="-19"/>
          <w:sz w:val="24"/>
        </w:rPr>
        <w:t> </w:t>
      </w:r>
      <w:r>
        <w:rPr>
          <w:sz w:val="24"/>
        </w:rPr>
        <w:t>RTO</w:t>
      </w:r>
      <w:r>
        <w:rPr>
          <w:spacing w:val="-19"/>
          <w:sz w:val="24"/>
        </w:rPr>
        <w:t> </w:t>
      </w:r>
      <w:r>
        <w:rPr>
          <w:sz w:val="24"/>
        </w:rPr>
        <w:t>vehicle</w:t>
      </w:r>
      <w:r>
        <w:rPr>
          <w:spacing w:val="-19"/>
          <w:sz w:val="24"/>
        </w:rPr>
        <w:t> </w:t>
      </w:r>
      <w:r>
        <w:rPr>
          <w:sz w:val="24"/>
        </w:rPr>
        <w:t>chowky,</w:t>
      </w:r>
      <w:r>
        <w:rPr>
          <w:spacing w:val="-19"/>
          <w:sz w:val="24"/>
        </w:rPr>
        <w:t> </w:t>
      </w:r>
      <w:r>
        <w:rPr>
          <w:sz w:val="24"/>
        </w:rPr>
        <w:t>pay</w:t>
      </w:r>
      <w:r>
        <w:rPr>
          <w:spacing w:val="-20"/>
          <w:sz w:val="24"/>
        </w:rPr>
        <w:t> </w:t>
      </w:r>
      <w:r>
        <w:rPr>
          <w:sz w:val="24"/>
        </w:rPr>
        <w:t>and</w:t>
      </w:r>
      <w:r>
        <w:rPr>
          <w:spacing w:val="-19"/>
          <w:sz w:val="24"/>
        </w:rPr>
        <w:t> </w:t>
      </w:r>
      <w:r>
        <w:rPr>
          <w:sz w:val="24"/>
        </w:rPr>
        <w:t>park</w:t>
      </w:r>
      <w:r>
        <w:rPr>
          <w:spacing w:val="-19"/>
          <w:sz w:val="24"/>
        </w:rPr>
        <w:t> </w:t>
      </w:r>
      <w:r>
        <w:rPr>
          <w:sz w:val="24"/>
        </w:rPr>
        <w:t>facility/bus</w:t>
      </w:r>
      <w:r>
        <w:rPr>
          <w:spacing w:val="-19"/>
          <w:sz w:val="24"/>
        </w:rPr>
        <w:t> </w:t>
      </w:r>
      <w:r>
        <w:rPr>
          <w:sz w:val="24"/>
        </w:rPr>
        <w:t>stands</w:t>
      </w:r>
      <w:r>
        <w:rPr>
          <w:spacing w:val="-19"/>
          <w:sz w:val="24"/>
        </w:rPr>
        <w:t> </w:t>
      </w:r>
      <w:r>
        <w:rPr>
          <w:sz w:val="24"/>
        </w:rPr>
        <w:t>/taxi stands/auto-rickshaw stand;</w:t>
      </w:r>
    </w:p>
    <w:p>
      <w:pPr>
        <w:pStyle w:val="ListParagraph"/>
        <w:numPr>
          <w:ilvl w:val="0"/>
          <w:numId w:val="319"/>
        </w:numPr>
        <w:tabs>
          <w:tab w:pos="1783" w:val="left" w:leader="none"/>
          <w:tab w:pos="3677" w:val="left" w:leader="none"/>
          <w:tab w:pos="5448" w:val="left" w:leader="none"/>
          <w:tab w:pos="7047" w:val="left" w:leader="none"/>
          <w:tab w:pos="8670" w:val="left" w:leader="none"/>
          <w:tab w:pos="9755" w:val="left" w:leader="none"/>
        </w:tabs>
        <w:spacing w:line="240" w:lineRule="auto" w:before="241" w:after="0"/>
        <w:ind w:left="772" w:right="768" w:firstLine="720"/>
        <w:jc w:val="left"/>
        <w:rPr>
          <w:sz w:val="24"/>
        </w:rPr>
      </w:pPr>
      <w:r>
        <w:rPr>
          <w:spacing w:val="-2"/>
          <w:sz w:val="24"/>
        </w:rPr>
        <w:t>Homeless</w:t>
      </w:r>
      <w:r>
        <w:rPr>
          <w:sz w:val="24"/>
        </w:rPr>
        <w:tab/>
      </w:r>
      <w:r>
        <w:rPr>
          <w:spacing w:val="-2"/>
          <w:sz w:val="24"/>
        </w:rPr>
        <w:t>shelters,</w:t>
      </w:r>
      <w:r>
        <w:rPr>
          <w:sz w:val="24"/>
        </w:rPr>
        <w:tab/>
      </w:r>
      <w:r>
        <w:rPr>
          <w:spacing w:val="-2"/>
          <w:sz w:val="24"/>
        </w:rPr>
        <w:t>welfare</w:t>
      </w:r>
      <w:r>
        <w:rPr>
          <w:sz w:val="24"/>
        </w:rPr>
        <w:tab/>
      </w:r>
      <w:r>
        <w:rPr>
          <w:spacing w:val="-2"/>
          <w:sz w:val="24"/>
        </w:rPr>
        <w:t>centres</w:t>
      </w:r>
      <w:r>
        <w:rPr>
          <w:sz w:val="24"/>
        </w:rPr>
        <w:tab/>
      </w:r>
      <w:r>
        <w:rPr>
          <w:spacing w:val="-4"/>
          <w:sz w:val="24"/>
        </w:rPr>
        <w:t>for</w:t>
      </w:r>
      <w:r>
        <w:rPr>
          <w:sz w:val="24"/>
        </w:rPr>
        <w:tab/>
      </w:r>
      <w:r>
        <w:rPr>
          <w:spacing w:val="-2"/>
          <w:sz w:val="24"/>
        </w:rPr>
        <w:t>street children/activitiescentersfordestitute</w:t>
      </w:r>
    </w:p>
    <w:p>
      <w:pPr>
        <w:pStyle w:val="ListParagraph"/>
        <w:numPr>
          <w:ilvl w:val="0"/>
          <w:numId w:val="319"/>
        </w:numPr>
        <w:tabs>
          <w:tab w:pos="1876" w:val="left" w:leader="none"/>
        </w:tabs>
        <w:spacing w:line="240" w:lineRule="auto" w:before="238" w:after="0"/>
        <w:ind w:left="1493" w:right="776" w:firstLine="0"/>
        <w:jc w:val="left"/>
        <w:rPr>
          <w:sz w:val="24"/>
        </w:rPr>
      </w:pPr>
      <w:r>
        <w:rPr>
          <w:sz w:val="24"/>
        </w:rPr>
        <w:t>BEST street light chowky, BEST electricity bill &amp; cash collection centre, BEST relief shelter with toilet block for bus operation staff.</w:t>
      </w:r>
    </w:p>
    <w:p>
      <w:pPr>
        <w:pStyle w:val="BodyText"/>
        <w:spacing w:before="240"/>
        <w:ind w:left="1493" w:right="769"/>
      </w:pPr>
      <w:r>
        <w:rPr/>
        <w:t>Provided further that the plantation/green space of width not less than 1.0 m shall be developed all along the edge of carriageway below the flyover or central</w:t>
      </w:r>
      <w:r>
        <w:rPr>
          <w:spacing w:val="-8"/>
        </w:rPr>
        <w:t> </w:t>
      </w:r>
      <w:r>
        <w:rPr/>
        <w:t>median</w:t>
      </w:r>
      <w:r>
        <w:rPr>
          <w:spacing w:val="-8"/>
        </w:rPr>
        <w:t> </w:t>
      </w:r>
      <w:r>
        <w:rPr/>
        <w:t>with</w:t>
      </w:r>
      <w:r>
        <w:rPr>
          <w:spacing w:val="-11"/>
        </w:rPr>
        <w:t> </w:t>
      </w:r>
      <w:r>
        <w:rPr/>
        <w:t>width</w:t>
      </w:r>
      <w:r>
        <w:rPr>
          <w:spacing w:val="-8"/>
        </w:rPr>
        <w:t> </w:t>
      </w:r>
      <w:r>
        <w:rPr/>
        <w:t>not</w:t>
      </w:r>
      <w:r>
        <w:rPr>
          <w:spacing w:val="-7"/>
        </w:rPr>
        <w:t> </w:t>
      </w:r>
      <w:r>
        <w:rPr/>
        <w:t>more</w:t>
      </w:r>
      <w:r>
        <w:rPr>
          <w:spacing w:val="-8"/>
        </w:rPr>
        <w:t> </w:t>
      </w:r>
      <w:r>
        <w:rPr/>
        <w:t>than</w:t>
      </w:r>
      <w:r>
        <w:rPr>
          <w:spacing w:val="-11"/>
        </w:rPr>
        <w:t> </w:t>
      </w:r>
      <w:r>
        <w:rPr/>
        <w:t>width</w:t>
      </w:r>
      <w:r>
        <w:rPr>
          <w:spacing w:val="-8"/>
        </w:rPr>
        <w:t> </w:t>
      </w:r>
      <w:r>
        <w:rPr/>
        <w:t>of</w:t>
      </w:r>
      <w:r>
        <w:rPr>
          <w:spacing w:val="-8"/>
        </w:rPr>
        <w:t> </w:t>
      </w:r>
      <w:r>
        <w:rPr/>
        <w:t>pillar,</w:t>
      </w:r>
      <w:r>
        <w:rPr>
          <w:spacing w:val="-8"/>
        </w:rPr>
        <w:t> </w:t>
      </w:r>
      <w:r>
        <w:rPr/>
        <w:t>except</w:t>
      </w:r>
      <w:r>
        <w:rPr>
          <w:spacing w:val="-8"/>
        </w:rPr>
        <w:t> </w:t>
      </w:r>
      <w:r>
        <w:rPr/>
        <w:t>the</w:t>
      </w:r>
      <w:r>
        <w:rPr>
          <w:spacing w:val="-8"/>
        </w:rPr>
        <w:t> </w:t>
      </w:r>
      <w:r>
        <w:rPr/>
        <w:t>accesses wherever necessary or as may be required by the Commissioner.</w:t>
      </w:r>
    </w:p>
    <w:p>
      <w:pPr>
        <w:pStyle w:val="Heading3"/>
        <w:numPr>
          <w:ilvl w:val="0"/>
          <w:numId w:val="263"/>
        </w:numPr>
        <w:tabs>
          <w:tab w:pos="1493" w:val="left" w:leader="none"/>
          <w:tab w:pos="3527" w:val="left" w:leader="none"/>
          <w:tab w:pos="4326" w:val="left" w:leader="none"/>
          <w:tab w:pos="7767" w:val="left" w:leader="none"/>
          <w:tab w:pos="9039" w:val="left" w:leader="none"/>
        </w:tabs>
        <w:spacing w:line="240" w:lineRule="auto" w:before="238" w:after="0"/>
        <w:ind w:left="1493" w:right="769" w:hanging="721"/>
        <w:jc w:val="left"/>
        <w:rPr>
          <w:i w:val="0"/>
        </w:rPr>
      </w:pPr>
      <w:r>
        <w:rPr>
          <w:spacing w:val="-2"/>
        </w:rPr>
        <w:t>Alignment</w:t>
      </w:r>
      <w:r>
        <w:rPr/>
        <w:tab/>
      </w:r>
      <w:r>
        <w:rPr>
          <w:spacing w:val="-6"/>
        </w:rPr>
        <w:t>of</w:t>
      </w:r>
      <w:r>
        <w:rPr/>
        <w:tab/>
      </w:r>
      <w:r>
        <w:rPr>
          <w:spacing w:val="-2"/>
        </w:rPr>
        <w:t>Metro/Mono/Coastal</w:t>
      </w:r>
      <w:r>
        <w:rPr/>
        <w:tab/>
      </w:r>
      <w:r>
        <w:rPr>
          <w:spacing w:val="-4"/>
        </w:rPr>
        <w:t>Road</w:t>
      </w:r>
      <w:r>
        <w:rPr/>
        <w:tab/>
      </w:r>
      <w:r>
        <w:rPr>
          <w:spacing w:val="-2"/>
        </w:rPr>
        <w:t>/Elevated </w:t>
      </w:r>
      <w:r>
        <w:rPr/>
        <w:t>Corridors/Corridors of Mass and Rapid Transport System</w:t>
      </w:r>
    </w:p>
    <w:p>
      <w:pPr>
        <w:pStyle w:val="BodyText"/>
        <w:spacing w:before="240"/>
        <w:ind w:left="1493"/>
        <w:rPr>
          <w:b/>
          <w:i/>
          <w:sz w:val="28"/>
        </w:rPr>
      </w:pPr>
      <w:r>
        <w:rPr/>
        <w:t>Any</w:t>
      </w:r>
      <w:r>
        <w:rPr>
          <w:spacing w:val="41"/>
        </w:rPr>
        <w:t> </w:t>
      </w:r>
      <w:r>
        <w:rPr/>
        <w:t>alignment</w:t>
      </w:r>
      <w:r>
        <w:rPr>
          <w:spacing w:val="41"/>
        </w:rPr>
        <w:t> </w:t>
      </w:r>
      <w:r>
        <w:rPr/>
        <w:t>modifications</w:t>
      </w:r>
      <w:r>
        <w:rPr>
          <w:spacing w:val="41"/>
        </w:rPr>
        <w:t> </w:t>
      </w:r>
      <w:r>
        <w:rPr/>
        <w:t>introduced</w:t>
      </w:r>
      <w:r>
        <w:rPr>
          <w:spacing w:val="43"/>
        </w:rPr>
        <w:t> </w:t>
      </w:r>
      <w:r>
        <w:rPr/>
        <w:t>in</w:t>
      </w:r>
      <w:r>
        <w:rPr>
          <w:spacing w:val="41"/>
        </w:rPr>
        <w:t> </w:t>
      </w:r>
      <w:r>
        <w:rPr/>
        <w:t>Metro/Mono</w:t>
      </w:r>
      <w:r>
        <w:rPr>
          <w:b/>
          <w:i/>
          <w:sz w:val="28"/>
        </w:rPr>
        <w:t>/Coastal</w:t>
      </w:r>
      <w:r>
        <w:rPr>
          <w:b/>
          <w:i/>
          <w:spacing w:val="51"/>
          <w:sz w:val="28"/>
        </w:rPr>
        <w:t> </w:t>
      </w:r>
      <w:r>
        <w:rPr>
          <w:b/>
          <w:i/>
          <w:spacing w:val="-4"/>
          <w:sz w:val="28"/>
        </w:rPr>
        <w:t>Road</w:t>
      </w:r>
    </w:p>
    <w:p>
      <w:pPr>
        <w:pStyle w:val="BodyText"/>
        <w:ind w:left="1493" w:right="772"/>
      </w:pPr>
      <w:r>
        <w:rPr>
          <w:b/>
          <w:i/>
          <w:sz w:val="28"/>
        </w:rPr>
        <w:t>/</w:t>
      </w:r>
      <w:r>
        <w:rPr/>
        <w:t>Elevated Corridors/Corridors of Mass Rapid Transport System, including BRTS, by the Appropriate Authority and sanctioned by Government shall stand automatically amended on the Development Plan as modified.</w:t>
      </w:r>
    </w:p>
    <w:p>
      <w:pPr>
        <w:pStyle w:val="BodyText"/>
        <w:spacing w:line="242" w:lineRule="auto" w:before="239"/>
        <w:ind w:left="1493" w:right="767"/>
      </w:pPr>
      <w:r>
        <w:rPr/>
        <w:t>Furthermore,</w:t>
      </w:r>
      <w:r>
        <w:rPr>
          <w:spacing w:val="-4"/>
        </w:rPr>
        <w:t> </w:t>
      </w:r>
      <w:r>
        <w:rPr/>
        <w:t>any</w:t>
      </w:r>
      <w:r>
        <w:rPr>
          <w:spacing w:val="-4"/>
        </w:rPr>
        <w:t> </w:t>
      </w:r>
      <w:r>
        <w:rPr/>
        <w:t>new</w:t>
      </w:r>
      <w:r>
        <w:rPr>
          <w:spacing w:val="-4"/>
        </w:rPr>
        <w:t> </w:t>
      </w:r>
      <w:r>
        <w:rPr/>
        <w:t>“Transport</w:t>
      </w:r>
      <w:r>
        <w:rPr>
          <w:spacing w:val="-4"/>
        </w:rPr>
        <w:t> </w:t>
      </w:r>
      <w:r>
        <w:rPr/>
        <w:t>Corridor”</w:t>
      </w:r>
      <w:r>
        <w:rPr>
          <w:spacing w:val="-4"/>
        </w:rPr>
        <w:t> </w:t>
      </w:r>
      <w:r>
        <w:rPr/>
        <w:t>such</w:t>
      </w:r>
      <w:r>
        <w:rPr>
          <w:spacing w:val="-4"/>
        </w:rPr>
        <w:t> </w:t>
      </w:r>
      <w:r>
        <w:rPr/>
        <w:t>as</w:t>
      </w:r>
      <w:r>
        <w:rPr>
          <w:spacing w:val="-4"/>
        </w:rPr>
        <w:t> </w:t>
      </w:r>
      <w:r>
        <w:rPr/>
        <w:t>Metro/Mono/</w:t>
      </w:r>
      <w:r>
        <w:rPr>
          <w:b/>
          <w:i/>
          <w:sz w:val="28"/>
        </w:rPr>
        <w:t>Coastal Road /</w:t>
      </w:r>
      <w:r>
        <w:rPr/>
        <w:t>Elevated Corridors/Corridors of Mass Rapid Transit System, including BRTS, proposed by Appropriate Authority and sanctioned by Government, shall stand automatically added on to Development Plan.</w:t>
      </w:r>
    </w:p>
    <w:p>
      <w:pPr>
        <w:pStyle w:val="BodyText"/>
        <w:spacing w:before="233"/>
        <w:ind w:left="1481" w:right="772"/>
      </w:pPr>
      <w:r>
        <w:rPr/>
        <w:t>After finalization of site for Metro Car shed by the Competent Authority, the portion of land reserved/earmarked for the Metro Car Shed in DP, if not required by the Competent Authority subsequently,</w:t>
      </w:r>
      <w:r>
        <w:rPr>
          <w:spacing w:val="40"/>
        </w:rPr>
        <w:t> </w:t>
      </w:r>
      <w:r>
        <w:rPr/>
        <w:t>shall be deemed to be deleted from the said reservation and included in adjoining predominant zone. In such case, the Municipal Commissioner shall issue a written, well reasoned, speaking order modifying the DP to that effect and copy of such order</w:t>
      </w:r>
      <w:r>
        <w:rPr>
          <w:spacing w:val="-5"/>
        </w:rPr>
        <w:t> </w:t>
      </w:r>
      <w:r>
        <w:rPr/>
        <w:t>along</w:t>
      </w:r>
      <w:r>
        <w:rPr>
          <w:spacing w:val="-5"/>
        </w:rPr>
        <w:t> </w:t>
      </w:r>
      <w:r>
        <w:rPr/>
        <w:t>with</w:t>
      </w:r>
      <w:r>
        <w:rPr>
          <w:spacing w:val="-5"/>
        </w:rPr>
        <w:t> </w:t>
      </w:r>
      <w:r>
        <w:rPr/>
        <w:t>certified</w:t>
      </w:r>
      <w:r>
        <w:rPr>
          <w:spacing w:val="-5"/>
        </w:rPr>
        <w:t> </w:t>
      </w:r>
      <w:r>
        <w:rPr/>
        <w:t>part</w:t>
      </w:r>
      <w:r>
        <w:rPr>
          <w:spacing w:val="-5"/>
        </w:rPr>
        <w:t> </w:t>
      </w:r>
      <w:r>
        <w:rPr/>
        <w:t>plan,</w:t>
      </w:r>
      <w:r>
        <w:rPr>
          <w:spacing w:val="-5"/>
        </w:rPr>
        <w:t> </w:t>
      </w:r>
      <w:r>
        <w:rPr/>
        <w:t>shall</w:t>
      </w:r>
      <w:r>
        <w:rPr>
          <w:spacing w:val="-5"/>
        </w:rPr>
        <w:t> </w:t>
      </w:r>
      <w:r>
        <w:rPr/>
        <w:t>be</w:t>
      </w:r>
      <w:r>
        <w:rPr>
          <w:spacing w:val="-5"/>
        </w:rPr>
        <w:t> </w:t>
      </w:r>
      <w:r>
        <w:rPr/>
        <w:t>forwarded</w:t>
      </w:r>
      <w:r>
        <w:rPr>
          <w:spacing w:val="-5"/>
        </w:rPr>
        <w:t> </w:t>
      </w:r>
      <w:r>
        <w:rPr/>
        <w:t>to</w:t>
      </w:r>
      <w:r>
        <w:rPr>
          <w:spacing w:val="-5"/>
        </w:rPr>
        <w:t> </w:t>
      </w:r>
      <w:r>
        <w:rPr/>
        <w:t>Govt.</w:t>
      </w:r>
      <w:r>
        <w:rPr>
          <w:spacing w:val="-5"/>
        </w:rPr>
        <w:t> </w:t>
      </w:r>
      <w:r>
        <w:rPr/>
        <w:t>and</w:t>
      </w:r>
      <w:r>
        <w:rPr>
          <w:spacing w:val="-5"/>
        </w:rPr>
        <w:t> </w:t>
      </w:r>
      <w:r>
        <w:rPr/>
        <w:t>Director of Town Planning, Pune for record.</w:t>
      </w:r>
    </w:p>
    <w:p>
      <w:pPr>
        <w:pStyle w:val="Heading2"/>
        <w:numPr>
          <w:ilvl w:val="0"/>
          <w:numId w:val="263"/>
        </w:numPr>
        <w:tabs>
          <w:tab w:pos="2134" w:val="left" w:leader="none"/>
        </w:tabs>
        <w:spacing w:line="240" w:lineRule="auto" w:before="239" w:after="0"/>
        <w:ind w:left="2134" w:right="0" w:hanging="653"/>
        <w:jc w:val="left"/>
      </w:pPr>
      <w:r>
        <w:rPr/>
        <w:t>Forest</w:t>
      </w:r>
      <w:r>
        <w:rPr>
          <w:spacing w:val="-6"/>
        </w:rPr>
        <w:t> </w:t>
      </w:r>
      <w:r>
        <w:rPr>
          <w:spacing w:val="-4"/>
        </w:rPr>
        <w:t>Land</w:t>
      </w:r>
    </w:p>
    <w:p>
      <w:pPr>
        <w:pStyle w:val="BodyText"/>
        <w:spacing w:before="241"/>
        <w:ind w:left="1493" w:right="773"/>
      </w:pPr>
      <w:r>
        <w:rPr/>
        <w:t>Development in the forest land which has been designated as Natural Area in DP will be governed by the notifications issued by the Ministry of Environment and Forest as amended from time to time.</w:t>
      </w:r>
    </w:p>
    <w:p>
      <w:pPr>
        <w:pStyle w:val="BodyText"/>
        <w:spacing w:before="240"/>
        <w:ind w:left="1493" w:right="768" w:firstLine="76"/>
      </w:pPr>
      <w:r>
        <w:rPr/>
        <w:t>The</w:t>
      </w:r>
      <w:r>
        <w:rPr>
          <w:spacing w:val="-14"/>
        </w:rPr>
        <w:t> </w:t>
      </w:r>
      <w:r>
        <w:rPr/>
        <w:t>land</w:t>
      </w:r>
      <w:r>
        <w:rPr>
          <w:spacing w:val="-14"/>
        </w:rPr>
        <w:t> </w:t>
      </w:r>
      <w:r>
        <w:rPr/>
        <w:t>owned</w:t>
      </w:r>
      <w:r>
        <w:rPr>
          <w:spacing w:val="-14"/>
        </w:rPr>
        <w:t> </w:t>
      </w:r>
      <w:r>
        <w:rPr/>
        <w:t>by</w:t>
      </w:r>
      <w:r>
        <w:rPr>
          <w:spacing w:val="-14"/>
        </w:rPr>
        <w:t> </w:t>
      </w:r>
      <w:r>
        <w:rPr/>
        <w:t>Forest</w:t>
      </w:r>
      <w:r>
        <w:rPr>
          <w:spacing w:val="-14"/>
        </w:rPr>
        <w:t> </w:t>
      </w:r>
      <w:r>
        <w:rPr/>
        <w:t>Department</w:t>
      </w:r>
      <w:r>
        <w:rPr>
          <w:spacing w:val="-14"/>
        </w:rPr>
        <w:t> </w:t>
      </w:r>
      <w:r>
        <w:rPr/>
        <w:t>and</w:t>
      </w:r>
      <w:r>
        <w:rPr>
          <w:spacing w:val="-14"/>
        </w:rPr>
        <w:t> </w:t>
      </w:r>
      <w:r>
        <w:rPr/>
        <w:t>reserved</w:t>
      </w:r>
      <w:r>
        <w:rPr>
          <w:spacing w:val="-14"/>
        </w:rPr>
        <w:t> </w:t>
      </w:r>
      <w:r>
        <w:rPr/>
        <w:t>for</w:t>
      </w:r>
      <w:r>
        <w:rPr>
          <w:spacing w:val="-14"/>
        </w:rPr>
        <w:t> </w:t>
      </w:r>
      <w:r>
        <w:rPr/>
        <w:t>public</w:t>
      </w:r>
      <w:r>
        <w:rPr>
          <w:spacing w:val="-14"/>
        </w:rPr>
        <w:t> </w:t>
      </w:r>
      <w:r>
        <w:rPr/>
        <w:t>purpose</w:t>
      </w:r>
      <w:r>
        <w:rPr>
          <w:spacing w:val="-14"/>
        </w:rPr>
        <w:t> </w:t>
      </w:r>
      <w:r>
        <w:rPr/>
        <w:t>shall have to be developed with the special permission of the Municipal Commissioner as per the provisions of Forest Act.</w:t>
      </w:r>
    </w:p>
    <w:p>
      <w:pPr>
        <w:pStyle w:val="BodyText"/>
        <w:spacing w:after="0"/>
        <w:sectPr>
          <w:pgSz w:w="11910" w:h="16840"/>
          <w:pgMar w:header="1058" w:footer="1117" w:top="1500" w:bottom="1300" w:left="360" w:right="360"/>
        </w:sectPr>
      </w:pPr>
    </w:p>
    <w:p>
      <w:pPr>
        <w:pStyle w:val="BodyText"/>
        <w:jc w:val="left"/>
        <w:rPr>
          <w:sz w:val="17"/>
        </w:rPr>
      </w:pPr>
    </w:p>
    <w:p>
      <w:pPr>
        <w:pStyle w:val="BodyText"/>
        <w:spacing w:after="0"/>
        <w:jc w:val="left"/>
        <w:rPr>
          <w:sz w:val="17"/>
        </w:rPr>
        <w:sectPr>
          <w:pgSz w:w="11910" w:h="16840"/>
          <w:pgMar w:header="1058" w:footer="1117" w:top="1500" w:bottom="1300" w:left="360" w:right="360"/>
        </w:sectPr>
      </w:pPr>
    </w:p>
    <w:p>
      <w:pPr>
        <w:spacing w:before="249"/>
        <w:ind w:left="3490" w:right="0" w:firstLine="0"/>
        <w:jc w:val="left"/>
        <w:rPr>
          <w:b/>
          <w:sz w:val="22"/>
        </w:rPr>
      </w:pPr>
      <w:r>
        <w:rPr>
          <w:b/>
          <w:sz w:val="22"/>
        </w:rPr>
        <w:t>PART</w:t>
      </w:r>
      <w:r>
        <w:rPr>
          <w:b/>
          <w:spacing w:val="63"/>
          <w:sz w:val="22"/>
        </w:rPr>
        <w:t> </w:t>
      </w:r>
      <w:r>
        <w:rPr>
          <w:b/>
          <w:sz w:val="22"/>
        </w:rPr>
        <w:t>XI</w:t>
      </w:r>
      <w:r>
        <w:rPr>
          <w:b/>
          <w:spacing w:val="67"/>
          <w:sz w:val="22"/>
        </w:rPr>
        <w:t> </w:t>
      </w:r>
      <w:r>
        <w:rPr>
          <w:b/>
          <w:sz w:val="22"/>
        </w:rPr>
        <w:t>MISCELLANEOUS</w:t>
      </w:r>
      <w:r>
        <w:rPr>
          <w:b/>
          <w:spacing w:val="70"/>
          <w:sz w:val="22"/>
        </w:rPr>
        <w:t> </w:t>
      </w:r>
      <w:r>
        <w:rPr>
          <w:b/>
          <w:spacing w:val="-2"/>
          <w:sz w:val="22"/>
        </w:rPr>
        <w:t>PROVISIONS</w:t>
      </w:r>
    </w:p>
    <w:p>
      <w:pPr>
        <w:pStyle w:val="ListParagraph"/>
        <w:numPr>
          <w:ilvl w:val="0"/>
          <w:numId w:val="263"/>
        </w:numPr>
        <w:tabs>
          <w:tab w:pos="1493" w:val="left" w:leader="none"/>
        </w:tabs>
        <w:spacing w:line="240" w:lineRule="auto" w:before="241" w:after="0"/>
        <w:ind w:left="1493" w:right="0" w:hanging="721"/>
        <w:jc w:val="left"/>
        <w:rPr>
          <w:b/>
          <w:sz w:val="22"/>
        </w:rPr>
      </w:pPr>
      <w:r>
        <w:rPr>
          <w:b/>
          <w:i/>
          <w:sz w:val="22"/>
        </w:rPr>
        <w:t>Temporary</w:t>
      </w:r>
      <w:r>
        <w:rPr>
          <w:b/>
          <w:i/>
          <w:spacing w:val="54"/>
          <w:w w:val="150"/>
          <w:sz w:val="22"/>
        </w:rPr>
        <w:t> </w:t>
      </w:r>
      <w:r>
        <w:rPr>
          <w:b/>
          <w:i/>
          <w:spacing w:val="-2"/>
          <w:sz w:val="22"/>
        </w:rPr>
        <w:t>Constructions</w:t>
      </w:r>
    </w:p>
    <w:p>
      <w:pPr>
        <w:spacing w:before="241"/>
        <w:ind w:left="1493" w:right="781" w:firstLine="0"/>
        <w:jc w:val="both"/>
        <w:rPr>
          <w:sz w:val="22"/>
        </w:rPr>
      </w:pPr>
      <w:r>
        <w:rPr>
          <w:sz w:val="22"/>
        </w:rPr>
        <w:t>The</w:t>
      </w:r>
      <w:r>
        <w:rPr>
          <w:spacing w:val="40"/>
          <w:sz w:val="22"/>
        </w:rPr>
        <w:t> </w:t>
      </w:r>
      <w:r>
        <w:rPr>
          <w:sz w:val="22"/>
        </w:rPr>
        <w:t>Commissioner</w:t>
      </w:r>
      <w:r>
        <w:rPr>
          <w:spacing w:val="40"/>
          <w:sz w:val="22"/>
        </w:rPr>
        <w:t> </w:t>
      </w:r>
      <w:r>
        <w:rPr>
          <w:sz w:val="22"/>
        </w:rPr>
        <w:t>may</w:t>
      </w:r>
      <w:r>
        <w:rPr>
          <w:spacing w:val="40"/>
          <w:sz w:val="22"/>
        </w:rPr>
        <w:t> </w:t>
      </w:r>
      <w:r>
        <w:rPr>
          <w:sz w:val="22"/>
        </w:rPr>
        <w:t>grant</w:t>
      </w:r>
      <w:r>
        <w:rPr>
          <w:spacing w:val="40"/>
          <w:sz w:val="22"/>
        </w:rPr>
        <w:t> </w:t>
      </w:r>
      <w:r>
        <w:rPr>
          <w:sz w:val="22"/>
        </w:rPr>
        <w:t>permission</w:t>
      </w:r>
      <w:r>
        <w:rPr>
          <w:spacing w:val="40"/>
          <w:sz w:val="22"/>
        </w:rPr>
        <w:t> </w:t>
      </w:r>
      <w:r>
        <w:rPr>
          <w:sz w:val="22"/>
        </w:rPr>
        <w:t>for</w:t>
      </w:r>
      <w:r>
        <w:rPr>
          <w:spacing w:val="40"/>
          <w:sz w:val="22"/>
        </w:rPr>
        <w:t> </w:t>
      </w:r>
      <w:r>
        <w:rPr>
          <w:sz w:val="22"/>
        </w:rPr>
        <w:t>temporary</w:t>
      </w:r>
      <w:r>
        <w:rPr>
          <w:spacing w:val="40"/>
          <w:sz w:val="22"/>
        </w:rPr>
        <w:t> </w:t>
      </w:r>
      <w:r>
        <w:rPr>
          <w:sz w:val="22"/>
        </w:rPr>
        <w:t>construction</w:t>
      </w:r>
      <w:r>
        <w:rPr>
          <w:spacing w:val="40"/>
          <w:sz w:val="22"/>
        </w:rPr>
        <w:t> </w:t>
      </w:r>
      <w:r>
        <w:rPr>
          <w:sz w:val="22"/>
        </w:rPr>
        <w:t>of</w:t>
      </w:r>
      <w:r>
        <w:rPr>
          <w:spacing w:val="40"/>
          <w:sz w:val="22"/>
        </w:rPr>
        <w:t> </w:t>
      </w:r>
      <w:r>
        <w:rPr>
          <w:sz w:val="22"/>
        </w:rPr>
        <w:t>a period</w:t>
      </w:r>
      <w:r>
        <w:rPr>
          <w:spacing w:val="40"/>
          <w:sz w:val="22"/>
        </w:rPr>
        <w:t> </w:t>
      </w:r>
      <w:r>
        <w:rPr>
          <w:sz w:val="22"/>
        </w:rPr>
        <w:t>not</w:t>
      </w:r>
      <w:r>
        <w:rPr>
          <w:spacing w:val="40"/>
          <w:sz w:val="22"/>
        </w:rPr>
        <w:t> </w:t>
      </w:r>
      <w:r>
        <w:rPr>
          <w:sz w:val="22"/>
        </w:rPr>
        <w:t>exceeding</w:t>
      </w:r>
      <w:r>
        <w:rPr>
          <w:spacing w:val="40"/>
          <w:sz w:val="22"/>
        </w:rPr>
        <w:t> </w:t>
      </w:r>
      <w:r>
        <w:rPr>
          <w:sz w:val="22"/>
        </w:rPr>
        <w:t>six</w:t>
      </w:r>
      <w:r>
        <w:rPr>
          <w:spacing w:val="40"/>
          <w:sz w:val="22"/>
        </w:rPr>
        <w:t> </w:t>
      </w:r>
      <w:r>
        <w:rPr>
          <w:sz w:val="22"/>
        </w:rPr>
        <w:t>month</w:t>
      </w:r>
      <w:r>
        <w:rPr>
          <w:spacing w:val="57"/>
          <w:sz w:val="22"/>
        </w:rPr>
        <w:t> </w:t>
      </w:r>
      <w:r>
        <w:rPr>
          <w:sz w:val="22"/>
        </w:rPr>
        <w:t>at</w:t>
      </w:r>
      <w:r>
        <w:rPr>
          <w:spacing w:val="40"/>
          <w:sz w:val="22"/>
        </w:rPr>
        <w:t> </w:t>
      </w:r>
      <w:r>
        <w:rPr>
          <w:sz w:val="22"/>
        </w:rPr>
        <w:t>a</w:t>
      </w:r>
      <w:r>
        <w:rPr>
          <w:spacing w:val="40"/>
          <w:sz w:val="22"/>
        </w:rPr>
        <w:t> </w:t>
      </w:r>
      <w:r>
        <w:rPr>
          <w:sz w:val="22"/>
        </w:rPr>
        <w:t>time</w:t>
      </w:r>
      <w:r>
        <w:rPr>
          <w:spacing w:val="40"/>
          <w:sz w:val="22"/>
        </w:rPr>
        <w:t> </w:t>
      </w:r>
      <w:r>
        <w:rPr>
          <w:sz w:val="22"/>
        </w:rPr>
        <w:t>and</w:t>
      </w:r>
      <w:r>
        <w:rPr>
          <w:spacing w:val="40"/>
          <w:sz w:val="22"/>
        </w:rPr>
        <w:t> </w:t>
      </w:r>
      <w:r>
        <w:rPr>
          <w:sz w:val="22"/>
        </w:rPr>
        <w:t>in</w:t>
      </w:r>
      <w:r>
        <w:rPr>
          <w:spacing w:val="40"/>
          <w:sz w:val="22"/>
        </w:rPr>
        <w:t> </w:t>
      </w:r>
      <w:r>
        <w:rPr>
          <w:sz w:val="22"/>
        </w:rPr>
        <w:t>the</w:t>
      </w:r>
      <w:r>
        <w:rPr>
          <w:spacing w:val="40"/>
          <w:sz w:val="22"/>
        </w:rPr>
        <w:t> </w:t>
      </w:r>
      <w:r>
        <w:rPr>
          <w:sz w:val="22"/>
        </w:rPr>
        <w:t>aggregate,</w:t>
      </w:r>
      <w:r>
        <w:rPr>
          <w:spacing w:val="40"/>
          <w:sz w:val="22"/>
        </w:rPr>
        <w:t> </w:t>
      </w:r>
      <w:r>
        <w:rPr>
          <w:sz w:val="22"/>
        </w:rPr>
        <w:t>not</w:t>
      </w:r>
      <w:r>
        <w:rPr>
          <w:spacing w:val="40"/>
          <w:sz w:val="22"/>
        </w:rPr>
        <w:t> </w:t>
      </w:r>
      <w:r>
        <w:rPr>
          <w:sz w:val="22"/>
        </w:rPr>
        <w:t>exceeding a</w:t>
      </w:r>
      <w:r>
        <w:rPr>
          <w:spacing w:val="40"/>
          <w:sz w:val="22"/>
        </w:rPr>
        <w:t> </w:t>
      </w:r>
      <w:r>
        <w:rPr>
          <w:sz w:val="22"/>
        </w:rPr>
        <w:t>period</w:t>
      </w:r>
      <w:r>
        <w:rPr>
          <w:spacing w:val="40"/>
          <w:sz w:val="22"/>
        </w:rPr>
        <w:t> </w:t>
      </w:r>
      <w:r>
        <w:rPr>
          <w:sz w:val="22"/>
        </w:rPr>
        <w:t>of</w:t>
      </w:r>
      <w:r>
        <w:rPr>
          <w:spacing w:val="40"/>
          <w:sz w:val="22"/>
        </w:rPr>
        <w:t> </w:t>
      </w:r>
      <w:r>
        <w:rPr>
          <w:sz w:val="22"/>
        </w:rPr>
        <w:t>three</w:t>
      </w:r>
      <w:r>
        <w:rPr>
          <w:spacing w:val="40"/>
          <w:sz w:val="22"/>
        </w:rPr>
        <w:t> </w:t>
      </w:r>
      <w:r>
        <w:rPr>
          <w:sz w:val="22"/>
        </w:rPr>
        <w:t>years.</w:t>
      </w:r>
      <w:r>
        <w:rPr>
          <w:spacing w:val="40"/>
          <w:sz w:val="22"/>
        </w:rPr>
        <w:t> </w:t>
      </w:r>
      <w:r>
        <w:rPr>
          <w:sz w:val="22"/>
        </w:rPr>
        <w:t>Such</w:t>
      </w:r>
      <w:r>
        <w:rPr>
          <w:spacing w:val="40"/>
          <w:sz w:val="22"/>
        </w:rPr>
        <w:t> </w:t>
      </w:r>
      <w:r>
        <w:rPr>
          <w:sz w:val="22"/>
        </w:rPr>
        <w:t>permission</w:t>
      </w:r>
      <w:r>
        <w:rPr>
          <w:spacing w:val="40"/>
          <w:sz w:val="22"/>
        </w:rPr>
        <w:t> </w:t>
      </w:r>
      <w:r>
        <w:rPr>
          <w:sz w:val="22"/>
        </w:rPr>
        <w:t>may</w:t>
      </w:r>
      <w:r>
        <w:rPr>
          <w:spacing w:val="40"/>
          <w:sz w:val="22"/>
        </w:rPr>
        <w:t> </w:t>
      </w:r>
      <w:r>
        <w:rPr>
          <w:sz w:val="22"/>
        </w:rPr>
        <w:t>be</w:t>
      </w:r>
      <w:r>
        <w:rPr>
          <w:spacing w:val="40"/>
          <w:sz w:val="22"/>
        </w:rPr>
        <w:t> </w:t>
      </w:r>
      <w:r>
        <w:rPr>
          <w:sz w:val="22"/>
        </w:rPr>
        <w:t>given</w:t>
      </w:r>
      <w:r>
        <w:rPr>
          <w:spacing w:val="40"/>
          <w:sz w:val="22"/>
        </w:rPr>
        <w:t> </w:t>
      </w:r>
      <w:r>
        <w:rPr>
          <w:sz w:val="22"/>
        </w:rPr>
        <w:t>by</w:t>
      </w:r>
      <w:r>
        <w:rPr>
          <w:spacing w:val="40"/>
          <w:sz w:val="22"/>
        </w:rPr>
        <w:t> </w:t>
      </w:r>
      <w:r>
        <w:rPr>
          <w:sz w:val="22"/>
        </w:rPr>
        <w:t>him</w:t>
      </w:r>
      <w:r>
        <w:rPr>
          <w:spacing w:val="40"/>
          <w:sz w:val="22"/>
        </w:rPr>
        <w:t> </w:t>
      </w:r>
      <w:r>
        <w:rPr>
          <w:sz w:val="22"/>
        </w:rPr>
        <w:t>for</w:t>
      </w:r>
      <w:r>
        <w:rPr>
          <w:spacing w:val="40"/>
          <w:sz w:val="22"/>
        </w:rPr>
        <w:t> </w:t>
      </w:r>
      <w:r>
        <w:rPr>
          <w:sz w:val="22"/>
        </w:rPr>
        <w:t>the construction</w:t>
      </w:r>
      <w:r>
        <w:rPr>
          <w:spacing w:val="40"/>
          <w:sz w:val="22"/>
        </w:rPr>
        <w:t> </w:t>
      </w:r>
      <w:r>
        <w:rPr>
          <w:sz w:val="22"/>
        </w:rPr>
        <w:t>of</w:t>
      </w:r>
      <w:r>
        <w:rPr>
          <w:spacing w:val="40"/>
          <w:sz w:val="22"/>
        </w:rPr>
        <w:t> </w:t>
      </w:r>
      <w:r>
        <w:rPr>
          <w:sz w:val="22"/>
        </w:rPr>
        <w:t>the</w:t>
      </w:r>
      <w:r>
        <w:rPr>
          <w:spacing w:val="80"/>
          <w:sz w:val="22"/>
        </w:rPr>
        <w:t> </w:t>
      </w:r>
      <w:r>
        <w:rPr>
          <w:sz w:val="22"/>
        </w:rPr>
        <w:t>following,</w:t>
      </w:r>
      <w:r>
        <w:rPr>
          <w:spacing w:val="40"/>
          <w:sz w:val="22"/>
        </w:rPr>
        <w:t> </w:t>
      </w:r>
      <w:r>
        <w:rPr>
          <w:sz w:val="22"/>
        </w:rPr>
        <w:t>namely:</w:t>
      </w:r>
    </w:p>
    <w:p>
      <w:pPr>
        <w:pStyle w:val="ListParagraph"/>
        <w:numPr>
          <w:ilvl w:val="0"/>
          <w:numId w:val="325"/>
        </w:numPr>
        <w:tabs>
          <w:tab w:pos="2211" w:val="left" w:leader="none"/>
        </w:tabs>
        <w:spacing w:line="240" w:lineRule="auto" w:before="239" w:after="0"/>
        <w:ind w:left="1493" w:right="794" w:firstLine="0"/>
        <w:jc w:val="both"/>
        <w:rPr>
          <w:sz w:val="22"/>
        </w:rPr>
      </w:pPr>
      <w:r>
        <w:rPr>
          <w:sz w:val="22"/>
        </w:rPr>
        <w:t>Structures</w:t>
      </w:r>
      <w:r>
        <w:rPr>
          <w:spacing w:val="40"/>
          <w:sz w:val="22"/>
        </w:rPr>
        <w:t> </w:t>
      </w:r>
      <w:r>
        <w:rPr>
          <w:sz w:val="22"/>
        </w:rPr>
        <w:t>for</w:t>
      </w:r>
      <w:r>
        <w:rPr>
          <w:spacing w:val="40"/>
          <w:sz w:val="22"/>
        </w:rPr>
        <w:t> </w:t>
      </w:r>
      <w:r>
        <w:rPr>
          <w:sz w:val="22"/>
        </w:rPr>
        <w:t>protection</w:t>
      </w:r>
      <w:r>
        <w:rPr>
          <w:spacing w:val="40"/>
          <w:sz w:val="22"/>
        </w:rPr>
        <w:t> </w:t>
      </w:r>
      <w:r>
        <w:rPr>
          <w:sz w:val="22"/>
        </w:rPr>
        <w:t>from</w:t>
      </w:r>
      <w:r>
        <w:rPr>
          <w:spacing w:val="40"/>
          <w:sz w:val="22"/>
        </w:rPr>
        <w:t> </w:t>
      </w:r>
      <w:r>
        <w:rPr>
          <w:sz w:val="22"/>
        </w:rPr>
        <w:t>the</w:t>
      </w:r>
      <w:r>
        <w:rPr>
          <w:spacing w:val="40"/>
          <w:sz w:val="22"/>
        </w:rPr>
        <w:t> </w:t>
      </w:r>
      <w:r>
        <w:rPr>
          <w:sz w:val="22"/>
        </w:rPr>
        <w:t>rain</w:t>
      </w:r>
      <w:r>
        <w:rPr>
          <w:spacing w:val="40"/>
          <w:sz w:val="22"/>
        </w:rPr>
        <w:t> </w:t>
      </w:r>
      <w:r>
        <w:rPr>
          <w:sz w:val="22"/>
        </w:rPr>
        <w:t>or</w:t>
      </w:r>
      <w:r>
        <w:rPr>
          <w:spacing w:val="40"/>
          <w:sz w:val="22"/>
        </w:rPr>
        <w:t> </w:t>
      </w:r>
      <w:r>
        <w:rPr>
          <w:sz w:val="22"/>
        </w:rPr>
        <w:t>covering</w:t>
      </w:r>
      <w:r>
        <w:rPr>
          <w:spacing w:val="40"/>
          <w:sz w:val="22"/>
        </w:rPr>
        <w:t> </w:t>
      </w:r>
      <w:r>
        <w:rPr>
          <w:sz w:val="22"/>
        </w:rPr>
        <w:t>of</w:t>
      </w:r>
      <w:r>
        <w:rPr>
          <w:spacing w:val="40"/>
          <w:sz w:val="22"/>
        </w:rPr>
        <w:t> </w:t>
      </w:r>
      <w:r>
        <w:rPr>
          <w:sz w:val="22"/>
        </w:rPr>
        <w:t>the</w:t>
      </w:r>
      <w:r>
        <w:rPr>
          <w:spacing w:val="40"/>
          <w:sz w:val="22"/>
        </w:rPr>
        <w:t> </w:t>
      </w:r>
      <w:r>
        <w:rPr>
          <w:sz w:val="22"/>
        </w:rPr>
        <w:t>terraces</w:t>
      </w:r>
      <w:r>
        <w:rPr>
          <w:spacing w:val="40"/>
          <w:sz w:val="22"/>
        </w:rPr>
        <w:t> </w:t>
      </w:r>
      <w:r>
        <w:rPr>
          <w:sz w:val="22"/>
        </w:rPr>
        <w:t>during</w:t>
      </w:r>
      <w:r>
        <w:rPr>
          <w:spacing w:val="40"/>
          <w:sz w:val="22"/>
        </w:rPr>
        <w:t> </w:t>
      </w:r>
      <w:r>
        <w:rPr>
          <w:sz w:val="22"/>
        </w:rPr>
        <w:t>the</w:t>
      </w:r>
      <w:r>
        <w:rPr>
          <w:spacing w:val="40"/>
          <w:sz w:val="22"/>
        </w:rPr>
        <w:t> </w:t>
      </w:r>
      <w:r>
        <w:rPr>
          <w:sz w:val="22"/>
        </w:rPr>
        <w:t>monsoon</w:t>
      </w:r>
      <w:r>
        <w:rPr>
          <w:spacing w:val="40"/>
          <w:sz w:val="22"/>
        </w:rPr>
        <w:t> </w:t>
      </w:r>
      <w:r>
        <w:rPr>
          <w:sz w:val="22"/>
        </w:rPr>
        <w:t>only;</w:t>
      </w:r>
    </w:p>
    <w:p>
      <w:pPr>
        <w:pStyle w:val="ListParagraph"/>
        <w:numPr>
          <w:ilvl w:val="0"/>
          <w:numId w:val="325"/>
        </w:numPr>
        <w:tabs>
          <w:tab w:pos="2210" w:val="left" w:leader="none"/>
        </w:tabs>
        <w:spacing w:line="240" w:lineRule="auto" w:before="239" w:after="0"/>
        <w:ind w:left="1493" w:right="782" w:firstLine="0"/>
        <w:jc w:val="both"/>
        <w:rPr>
          <w:sz w:val="22"/>
        </w:rPr>
      </w:pPr>
      <w:r>
        <w:rPr>
          <w:sz w:val="22"/>
        </w:rPr>
        <w:t>Pandals</w:t>
      </w:r>
      <w:r>
        <w:rPr>
          <w:spacing w:val="80"/>
          <w:sz w:val="22"/>
        </w:rPr>
        <w:t> </w:t>
      </w:r>
      <w:r>
        <w:rPr>
          <w:sz w:val="22"/>
        </w:rPr>
        <w:t>for</w:t>
      </w:r>
      <w:r>
        <w:rPr>
          <w:spacing w:val="80"/>
          <w:sz w:val="22"/>
        </w:rPr>
        <w:t> </w:t>
      </w:r>
      <w:r>
        <w:rPr>
          <w:sz w:val="22"/>
        </w:rPr>
        <w:t>fairs,</w:t>
      </w:r>
      <w:r>
        <w:rPr>
          <w:spacing w:val="80"/>
          <w:sz w:val="22"/>
        </w:rPr>
        <w:t> </w:t>
      </w:r>
      <w:r>
        <w:rPr>
          <w:sz w:val="22"/>
        </w:rPr>
        <w:t>ceremonies,</w:t>
      </w:r>
      <w:r>
        <w:rPr>
          <w:spacing w:val="80"/>
          <w:sz w:val="22"/>
        </w:rPr>
        <w:t> </w:t>
      </w:r>
      <w:r>
        <w:rPr>
          <w:sz w:val="22"/>
        </w:rPr>
        <w:t>religious</w:t>
      </w:r>
      <w:r>
        <w:rPr>
          <w:spacing w:val="40"/>
          <w:sz w:val="22"/>
        </w:rPr>
        <w:t> </w:t>
      </w:r>
      <w:r>
        <w:rPr>
          <w:sz w:val="22"/>
        </w:rPr>
        <w:t>functions,circus,</w:t>
      </w:r>
      <w:r>
        <w:rPr>
          <w:spacing w:val="80"/>
          <w:sz w:val="22"/>
        </w:rPr>
        <w:t> </w:t>
      </w:r>
      <w:r>
        <w:rPr>
          <w:sz w:val="22"/>
        </w:rPr>
        <w:t>jatra,</w:t>
      </w:r>
      <w:r>
        <w:rPr>
          <w:spacing w:val="80"/>
          <w:sz w:val="22"/>
        </w:rPr>
        <w:t> </w:t>
      </w:r>
      <w:r>
        <w:rPr>
          <w:sz w:val="22"/>
        </w:rPr>
        <w:t>folk dance etc;</w:t>
      </w:r>
    </w:p>
    <w:p>
      <w:pPr>
        <w:pStyle w:val="ListParagraph"/>
        <w:numPr>
          <w:ilvl w:val="0"/>
          <w:numId w:val="325"/>
        </w:numPr>
        <w:tabs>
          <w:tab w:pos="2210" w:val="left" w:leader="none"/>
        </w:tabs>
        <w:spacing w:line="240" w:lineRule="auto" w:before="243" w:after="0"/>
        <w:ind w:left="1493" w:right="797" w:firstLine="0"/>
        <w:jc w:val="both"/>
        <w:rPr>
          <w:sz w:val="22"/>
        </w:rPr>
      </w:pPr>
      <w:r>
        <w:rPr>
          <w:sz w:val="22"/>
        </w:rPr>
        <w:t>Structures</w:t>
      </w:r>
      <w:r>
        <w:rPr>
          <w:spacing w:val="80"/>
          <w:sz w:val="22"/>
        </w:rPr>
        <w:t> </w:t>
      </w:r>
      <w:r>
        <w:rPr>
          <w:sz w:val="22"/>
        </w:rPr>
        <w:t>for</w:t>
      </w:r>
      <w:r>
        <w:rPr>
          <w:spacing w:val="40"/>
          <w:sz w:val="22"/>
        </w:rPr>
        <w:t> </w:t>
      </w:r>
      <w:r>
        <w:rPr>
          <w:sz w:val="22"/>
        </w:rPr>
        <w:t>godowns/storage</w:t>
      </w:r>
      <w:r>
        <w:rPr>
          <w:spacing w:val="80"/>
          <w:sz w:val="22"/>
        </w:rPr>
        <w:t> </w:t>
      </w:r>
      <w:r>
        <w:rPr>
          <w:sz w:val="22"/>
        </w:rPr>
        <w:t>of</w:t>
      </w:r>
      <w:r>
        <w:rPr>
          <w:spacing w:val="40"/>
          <w:sz w:val="22"/>
        </w:rPr>
        <w:t> </w:t>
      </w:r>
      <w:r>
        <w:rPr>
          <w:sz w:val="22"/>
        </w:rPr>
        <w:t>construction</w:t>
      </w:r>
      <w:r>
        <w:rPr>
          <w:spacing w:val="80"/>
          <w:sz w:val="22"/>
        </w:rPr>
        <w:t> </w:t>
      </w:r>
      <w:r>
        <w:rPr>
          <w:sz w:val="22"/>
        </w:rPr>
        <w:t>materials</w:t>
      </w:r>
      <w:r>
        <w:rPr>
          <w:spacing w:val="80"/>
          <w:sz w:val="22"/>
        </w:rPr>
        <w:t> </w:t>
      </w:r>
      <w:r>
        <w:rPr>
          <w:sz w:val="22"/>
        </w:rPr>
        <w:t>within</w:t>
      </w:r>
      <w:r>
        <w:rPr>
          <w:spacing w:val="80"/>
          <w:sz w:val="22"/>
        </w:rPr>
        <w:t> </w:t>
      </w:r>
      <w:r>
        <w:rPr>
          <w:sz w:val="22"/>
        </w:rPr>
        <w:t>the </w:t>
      </w:r>
      <w:r>
        <w:rPr>
          <w:spacing w:val="-2"/>
          <w:sz w:val="22"/>
        </w:rPr>
        <w:t>site;</w:t>
      </w:r>
    </w:p>
    <w:p>
      <w:pPr>
        <w:pStyle w:val="ListParagraph"/>
        <w:numPr>
          <w:ilvl w:val="0"/>
          <w:numId w:val="325"/>
        </w:numPr>
        <w:tabs>
          <w:tab w:pos="2211" w:val="left" w:leader="none"/>
        </w:tabs>
        <w:spacing w:line="240" w:lineRule="auto" w:before="239" w:after="0"/>
        <w:ind w:left="1493" w:right="783" w:firstLine="0"/>
        <w:jc w:val="both"/>
        <w:rPr>
          <w:sz w:val="22"/>
        </w:rPr>
      </w:pPr>
      <w:r>
        <w:rPr>
          <w:sz w:val="22"/>
        </w:rPr>
        <w:t>Temporary site offices and watchmen chowkies</w:t>
      </w:r>
      <w:r>
        <w:rPr>
          <w:spacing w:val="40"/>
          <w:sz w:val="22"/>
        </w:rPr>
        <w:t> </w:t>
      </w:r>
      <w:r>
        <w:rPr>
          <w:sz w:val="22"/>
        </w:rPr>
        <w:t>and labourer hutments</w:t>
      </w:r>
      <w:r>
        <w:rPr>
          <w:spacing w:val="40"/>
          <w:sz w:val="22"/>
        </w:rPr>
        <w:t> </w:t>
      </w:r>
      <w:r>
        <w:rPr>
          <w:sz w:val="22"/>
        </w:rPr>
        <w:t>with</w:t>
      </w:r>
      <w:r>
        <w:rPr>
          <w:spacing w:val="40"/>
          <w:sz w:val="22"/>
        </w:rPr>
        <w:t> </w:t>
      </w:r>
      <w:r>
        <w:rPr>
          <w:sz w:val="22"/>
        </w:rPr>
        <w:t>crèche,</w:t>
      </w:r>
      <w:r>
        <w:rPr>
          <w:spacing w:val="40"/>
          <w:sz w:val="22"/>
        </w:rPr>
        <w:t> </w:t>
      </w:r>
      <w:r>
        <w:rPr>
          <w:sz w:val="22"/>
        </w:rPr>
        <w:t>sales</w:t>
      </w:r>
      <w:r>
        <w:rPr>
          <w:spacing w:val="40"/>
          <w:sz w:val="22"/>
        </w:rPr>
        <w:t> </w:t>
      </w:r>
      <w:r>
        <w:rPr>
          <w:sz w:val="22"/>
        </w:rPr>
        <w:t>office/sample</w:t>
      </w:r>
      <w:r>
        <w:rPr>
          <w:spacing w:val="40"/>
          <w:sz w:val="22"/>
        </w:rPr>
        <w:t> </w:t>
      </w:r>
      <w:r>
        <w:rPr>
          <w:sz w:val="22"/>
        </w:rPr>
        <w:t>or</w:t>
      </w:r>
      <w:r>
        <w:rPr>
          <w:spacing w:val="40"/>
          <w:sz w:val="22"/>
        </w:rPr>
        <w:t> </w:t>
      </w:r>
      <w:r>
        <w:rPr>
          <w:sz w:val="22"/>
        </w:rPr>
        <w:t>show</w:t>
      </w:r>
      <w:r>
        <w:rPr>
          <w:spacing w:val="40"/>
          <w:sz w:val="22"/>
        </w:rPr>
        <w:t> </w:t>
      </w:r>
      <w:r>
        <w:rPr>
          <w:sz w:val="22"/>
        </w:rPr>
        <w:t>flat</w:t>
      </w:r>
      <w:r>
        <w:rPr>
          <w:spacing w:val="40"/>
          <w:sz w:val="22"/>
        </w:rPr>
        <w:t> </w:t>
      </w:r>
      <w:r>
        <w:rPr>
          <w:sz w:val="22"/>
        </w:rPr>
        <w:t>within</w:t>
      </w:r>
      <w:r>
        <w:rPr>
          <w:spacing w:val="40"/>
          <w:sz w:val="22"/>
        </w:rPr>
        <w:t> </w:t>
      </w:r>
      <w:r>
        <w:rPr>
          <w:sz w:val="22"/>
        </w:rPr>
        <w:t>the</w:t>
      </w:r>
      <w:r>
        <w:rPr>
          <w:spacing w:val="40"/>
          <w:sz w:val="22"/>
        </w:rPr>
        <w:t> </w:t>
      </w:r>
      <w:r>
        <w:rPr>
          <w:sz w:val="22"/>
        </w:rPr>
        <w:t>site</w:t>
      </w:r>
      <w:r>
        <w:rPr>
          <w:spacing w:val="40"/>
          <w:sz w:val="22"/>
        </w:rPr>
        <w:t> </w:t>
      </w:r>
      <w:r>
        <w:rPr>
          <w:sz w:val="22"/>
        </w:rPr>
        <w:t>only</w:t>
      </w:r>
      <w:r>
        <w:rPr>
          <w:spacing w:val="40"/>
          <w:sz w:val="22"/>
        </w:rPr>
        <w:t> </w:t>
      </w:r>
      <w:r>
        <w:rPr>
          <w:sz w:val="22"/>
        </w:rPr>
        <w:t>during</w:t>
      </w:r>
      <w:r>
        <w:rPr>
          <w:spacing w:val="40"/>
          <w:sz w:val="22"/>
        </w:rPr>
        <w:t> </w:t>
      </w:r>
      <w:r>
        <w:rPr>
          <w:sz w:val="22"/>
        </w:rPr>
        <w:t>the phase</w:t>
      </w:r>
      <w:r>
        <w:rPr>
          <w:spacing w:val="40"/>
          <w:sz w:val="22"/>
        </w:rPr>
        <w:t> </w:t>
      </w:r>
      <w:r>
        <w:rPr>
          <w:sz w:val="22"/>
        </w:rPr>
        <w:t>of</w:t>
      </w:r>
      <w:r>
        <w:rPr>
          <w:spacing w:val="40"/>
          <w:sz w:val="22"/>
        </w:rPr>
        <w:t> </w:t>
      </w:r>
      <w:r>
        <w:rPr>
          <w:sz w:val="22"/>
        </w:rPr>
        <w:t>construction</w:t>
      </w:r>
      <w:r>
        <w:rPr>
          <w:spacing w:val="40"/>
          <w:sz w:val="22"/>
        </w:rPr>
        <w:t> </w:t>
      </w:r>
      <w:r>
        <w:rPr>
          <w:sz w:val="22"/>
        </w:rPr>
        <w:t>of</w:t>
      </w:r>
      <w:r>
        <w:rPr>
          <w:spacing w:val="40"/>
          <w:sz w:val="22"/>
        </w:rPr>
        <w:t> </w:t>
      </w:r>
      <w:r>
        <w:rPr>
          <w:sz w:val="22"/>
        </w:rPr>
        <w:t>the</w:t>
      </w:r>
      <w:r>
        <w:rPr>
          <w:spacing w:val="40"/>
          <w:sz w:val="22"/>
        </w:rPr>
        <w:t> </w:t>
      </w:r>
      <w:r>
        <w:rPr>
          <w:sz w:val="22"/>
        </w:rPr>
        <w:t>main</w:t>
      </w:r>
      <w:r>
        <w:rPr>
          <w:spacing w:val="40"/>
          <w:sz w:val="22"/>
        </w:rPr>
        <w:t> </w:t>
      </w:r>
      <w:r>
        <w:rPr>
          <w:sz w:val="22"/>
        </w:rPr>
        <w:t>building;</w:t>
      </w:r>
    </w:p>
    <w:p>
      <w:pPr>
        <w:pStyle w:val="ListParagraph"/>
        <w:numPr>
          <w:ilvl w:val="0"/>
          <w:numId w:val="325"/>
        </w:numPr>
        <w:tabs>
          <w:tab w:pos="2211" w:val="left" w:leader="none"/>
        </w:tabs>
        <w:spacing w:line="240" w:lineRule="auto" w:before="241" w:after="0"/>
        <w:ind w:left="2211" w:right="0" w:hanging="718"/>
        <w:jc w:val="both"/>
        <w:rPr>
          <w:sz w:val="22"/>
        </w:rPr>
      </w:pPr>
      <w:r>
        <w:rPr>
          <w:sz w:val="22"/>
        </w:rPr>
        <w:t>Structure</w:t>
      </w:r>
      <w:r>
        <w:rPr>
          <w:spacing w:val="68"/>
          <w:sz w:val="22"/>
        </w:rPr>
        <w:t> </w:t>
      </w:r>
      <w:r>
        <w:rPr>
          <w:sz w:val="22"/>
        </w:rPr>
        <w:t>for</w:t>
      </w:r>
      <w:r>
        <w:rPr>
          <w:spacing w:val="59"/>
          <w:sz w:val="22"/>
        </w:rPr>
        <w:t> </w:t>
      </w:r>
      <w:r>
        <w:rPr>
          <w:spacing w:val="7"/>
          <w:sz w:val="22"/>
        </w:rPr>
        <w:t>exhibitions/circuses,etc.;</w:t>
      </w:r>
    </w:p>
    <w:p>
      <w:pPr>
        <w:pStyle w:val="ListParagraph"/>
        <w:numPr>
          <w:ilvl w:val="0"/>
          <w:numId w:val="325"/>
        </w:numPr>
        <w:tabs>
          <w:tab w:pos="2211" w:val="left" w:leader="none"/>
        </w:tabs>
        <w:spacing w:line="240" w:lineRule="auto" w:before="238" w:after="0"/>
        <w:ind w:left="1493" w:right="783" w:firstLine="0"/>
        <w:jc w:val="both"/>
        <w:rPr>
          <w:sz w:val="22"/>
        </w:rPr>
      </w:pPr>
      <w:r>
        <w:rPr>
          <w:sz w:val="22"/>
        </w:rPr>
        <w:t>For</w:t>
      </w:r>
      <w:r>
        <w:rPr>
          <w:spacing w:val="40"/>
          <w:sz w:val="22"/>
        </w:rPr>
        <w:t> </w:t>
      </w:r>
      <w:r>
        <w:rPr>
          <w:sz w:val="22"/>
        </w:rPr>
        <w:t>factories</w:t>
      </w:r>
      <w:r>
        <w:rPr>
          <w:spacing w:val="40"/>
          <w:sz w:val="22"/>
        </w:rPr>
        <w:t> </w:t>
      </w:r>
      <w:r>
        <w:rPr>
          <w:sz w:val="22"/>
        </w:rPr>
        <w:t>in</w:t>
      </w:r>
      <w:r>
        <w:rPr>
          <w:spacing w:val="40"/>
          <w:sz w:val="22"/>
        </w:rPr>
        <w:t> </w:t>
      </w:r>
      <w:r>
        <w:rPr>
          <w:sz w:val="22"/>
        </w:rPr>
        <w:t>industrial</w:t>
      </w:r>
      <w:r>
        <w:rPr>
          <w:spacing w:val="40"/>
          <w:sz w:val="22"/>
        </w:rPr>
        <w:t> </w:t>
      </w:r>
      <w:r>
        <w:rPr>
          <w:sz w:val="22"/>
        </w:rPr>
        <w:t>lands,</w:t>
      </w:r>
      <w:r>
        <w:rPr>
          <w:spacing w:val="40"/>
          <w:sz w:val="22"/>
        </w:rPr>
        <w:t> </w:t>
      </w:r>
      <w:r>
        <w:rPr>
          <w:spacing w:val="9"/>
          <w:sz w:val="22"/>
        </w:rPr>
        <w:t>structures</w:t>
      </w:r>
      <w:r>
        <w:rPr>
          <w:spacing w:val="40"/>
          <w:sz w:val="22"/>
        </w:rPr>
        <w:t> </w:t>
      </w:r>
      <w:r>
        <w:rPr>
          <w:sz w:val="22"/>
        </w:rPr>
        <w:t>within</w:t>
      </w:r>
      <w:r>
        <w:rPr>
          <w:spacing w:val="40"/>
          <w:sz w:val="22"/>
        </w:rPr>
        <w:t> </w:t>
      </w:r>
      <w:r>
        <w:rPr>
          <w:sz w:val="22"/>
        </w:rPr>
        <w:t>the</w:t>
      </w:r>
      <w:r>
        <w:rPr>
          <w:spacing w:val="40"/>
          <w:sz w:val="22"/>
        </w:rPr>
        <w:t> </w:t>
      </w:r>
      <w:r>
        <w:rPr>
          <w:sz w:val="22"/>
        </w:rPr>
        <w:t>site</w:t>
      </w:r>
      <w:r>
        <w:rPr>
          <w:spacing w:val="40"/>
          <w:sz w:val="22"/>
        </w:rPr>
        <w:t> </w:t>
      </w:r>
      <w:r>
        <w:rPr>
          <w:sz w:val="22"/>
        </w:rPr>
        <w:t>for</w:t>
      </w:r>
      <w:r>
        <w:rPr>
          <w:spacing w:val="40"/>
          <w:sz w:val="22"/>
        </w:rPr>
        <w:t> </w:t>
      </w:r>
      <w:r>
        <w:rPr>
          <w:sz w:val="22"/>
        </w:rPr>
        <w:t>storage of</w:t>
      </w:r>
      <w:r>
        <w:rPr>
          <w:spacing w:val="40"/>
          <w:sz w:val="22"/>
        </w:rPr>
        <w:t> </w:t>
      </w:r>
      <w:r>
        <w:rPr>
          <w:sz w:val="22"/>
        </w:rPr>
        <w:t>machinery</w:t>
      </w:r>
      <w:r>
        <w:rPr>
          <w:spacing w:val="40"/>
          <w:sz w:val="22"/>
        </w:rPr>
        <w:t> </w:t>
      </w:r>
      <w:r>
        <w:rPr>
          <w:sz w:val="22"/>
        </w:rPr>
        <w:t>before</w:t>
      </w:r>
      <w:r>
        <w:rPr>
          <w:spacing w:val="40"/>
          <w:sz w:val="22"/>
        </w:rPr>
        <w:t> </w:t>
      </w:r>
      <w:r>
        <w:rPr>
          <w:sz w:val="22"/>
        </w:rPr>
        <w:t>installation;</w:t>
      </w:r>
    </w:p>
    <w:p>
      <w:pPr>
        <w:pStyle w:val="ListParagraph"/>
        <w:numPr>
          <w:ilvl w:val="0"/>
          <w:numId w:val="325"/>
        </w:numPr>
        <w:tabs>
          <w:tab w:pos="2211" w:val="left" w:leader="none"/>
        </w:tabs>
        <w:spacing w:line="240" w:lineRule="auto" w:before="240" w:after="0"/>
        <w:ind w:left="1493" w:right="790" w:firstLine="0"/>
        <w:jc w:val="both"/>
        <w:rPr>
          <w:sz w:val="22"/>
        </w:rPr>
      </w:pPr>
      <w:r>
        <w:rPr>
          <w:sz w:val="22"/>
        </w:rPr>
        <w:t>Structures for ancillary works for quarrying operations in conforming</w:t>
      </w:r>
      <w:r>
        <w:rPr>
          <w:spacing w:val="40"/>
          <w:sz w:val="22"/>
        </w:rPr>
        <w:t> </w:t>
      </w:r>
      <w:r>
        <w:rPr>
          <w:spacing w:val="-2"/>
          <w:sz w:val="22"/>
        </w:rPr>
        <w:t>zones;</w:t>
      </w:r>
    </w:p>
    <w:p>
      <w:pPr>
        <w:pStyle w:val="ListParagraph"/>
        <w:numPr>
          <w:ilvl w:val="0"/>
          <w:numId w:val="325"/>
        </w:numPr>
        <w:tabs>
          <w:tab w:pos="2210" w:val="left" w:leader="none"/>
        </w:tabs>
        <w:spacing w:line="240" w:lineRule="auto" w:before="242" w:after="0"/>
        <w:ind w:left="2210" w:right="0" w:hanging="717"/>
        <w:jc w:val="both"/>
        <w:rPr>
          <w:sz w:val="22"/>
        </w:rPr>
      </w:pPr>
      <w:r>
        <w:rPr>
          <w:sz w:val="22"/>
        </w:rPr>
        <w:t>Milk</w:t>
      </w:r>
      <w:r>
        <w:rPr>
          <w:spacing w:val="57"/>
          <w:sz w:val="22"/>
        </w:rPr>
        <w:t> </w:t>
      </w:r>
      <w:r>
        <w:rPr>
          <w:sz w:val="22"/>
        </w:rPr>
        <w:t>booths</w:t>
      </w:r>
      <w:r>
        <w:rPr>
          <w:spacing w:val="60"/>
          <w:sz w:val="22"/>
        </w:rPr>
        <w:t> </w:t>
      </w:r>
      <w:r>
        <w:rPr>
          <w:sz w:val="22"/>
        </w:rPr>
        <w:t>and</w:t>
      </w:r>
      <w:r>
        <w:rPr>
          <w:spacing w:val="57"/>
          <w:sz w:val="22"/>
        </w:rPr>
        <w:t> </w:t>
      </w:r>
      <w:r>
        <w:rPr>
          <w:sz w:val="22"/>
        </w:rPr>
        <w:t>telephone</w:t>
      </w:r>
      <w:r>
        <w:rPr>
          <w:spacing w:val="63"/>
          <w:sz w:val="22"/>
        </w:rPr>
        <w:t> </w:t>
      </w:r>
      <w:r>
        <w:rPr>
          <w:spacing w:val="-2"/>
          <w:sz w:val="22"/>
        </w:rPr>
        <w:t>booths;</w:t>
      </w:r>
    </w:p>
    <w:p>
      <w:pPr>
        <w:pStyle w:val="ListParagraph"/>
        <w:numPr>
          <w:ilvl w:val="0"/>
          <w:numId w:val="325"/>
        </w:numPr>
        <w:tabs>
          <w:tab w:pos="2211" w:val="left" w:leader="none"/>
        </w:tabs>
        <w:spacing w:line="240" w:lineRule="auto" w:before="239" w:after="0"/>
        <w:ind w:left="1493" w:right="793" w:firstLine="0"/>
        <w:jc w:val="both"/>
        <w:rPr>
          <w:sz w:val="22"/>
        </w:rPr>
      </w:pPr>
      <w:r>
        <w:rPr>
          <w:sz w:val="22"/>
        </w:rPr>
        <w:t>Transit accommodation for persons to be rehabilitated in a new </w:t>
      </w:r>
      <w:r>
        <w:rPr>
          <w:spacing w:val="-2"/>
          <w:sz w:val="22"/>
        </w:rPr>
        <w:t>construction:</w:t>
      </w:r>
    </w:p>
    <w:p>
      <w:pPr>
        <w:pStyle w:val="ListParagraph"/>
        <w:numPr>
          <w:ilvl w:val="0"/>
          <w:numId w:val="325"/>
        </w:numPr>
        <w:tabs>
          <w:tab w:pos="2211" w:val="left" w:leader="none"/>
        </w:tabs>
        <w:spacing w:line="240" w:lineRule="auto" w:before="239" w:after="0"/>
        <w:ind w:left="1493" w:right="795" w:firstLine="0"/>
        <w:jc w:val="both"/>
        <w:rPr>
          <w:sz w:val="22"/>
        </w:rPr>
      </w:pPr>
      <w:r>
        <w:rPr>
          <w:sz w:val="22"/>
        </w:rPr>
        <w:t>Structures for educational and medical facilities within the site of the proposed building during the phase of planning and constructing the said permanent buildings:</w:t>
      </w:r>
    </w:p>
    <w:p>
      <w:pPr>
        <w:pStyle w:val="ListParagraph"/>
        <w:numPr>
          <w:ilvl w:val="0"/>
          <w:numId w:val="325"/>
        </w:numPr>
        <w:tabs>
          <w:tab w:pos="2211" w:val="left" w:leader="none"/>
        </w:tabs>
        <w:spacing w:line="240" w:lineRule="auto" w:before="241" w:after="0"/>
        <w:ind w:left="1493" w:right="783" w:firstLine="0"/>
        <w:jc w:val="both"/>
        <w:rPr>
          <w:sz w:val="22"/>
        </w:rPr>
      </w:pPr>
      <w:r>
        <w:rPr>
          <w:sz w:val="22"/>
        </w:rPr>
        <w:t>On site, Ready Mix Concrete (RMC) plant for the use at site under </w:t>
      </w:r>
      <w:r>
        <w:rPr>
          <w:spacing w:val="-2"/>
          <w:sz w:val="22"/>
        </w:rPr>
        <w:t>development/construction.</w:t>
      </w:r>
    </w:p>
    <w:p>
      <w:pPr>
        <w:pStyle w:val="ListParagraph"/>
        <w:numPr>
          <w:ilvl w:val="0"/>
          <w:numId w:val="325"/>
        </w:numPr>
        <w:tabs>
          <w:tab w:pos="2210" w:val="left" w:leader="none"/>
        </w:tabs>
        <w:spacing w:line="240" w:lineRule="auto" w:before="240" w:after="0"/>
        <w:ind w:left="1493" w:right="786" w:firstLine="0"/>
        <w:jc w:val="both"/>
        <w:rPr>
          <w:sz w:val="22"/>
        </w:rPr>
      </w:pPr>
      <w:r>
        <w:rPr>
          <w:sz w:val="22"/>
        </w:rPr>
        <w:t>Provided</w:t>
      </w:r>
      <w:r>
        <w:rPr>
          <w:spacing w:val="40"/>
          <w:sz w:val="22"/>
        </w:rPr>
        <w:t> </w:t>
      </w:r>
      <w:r>
        <w:rPr>
          <w:sz w:val="22"/>
        </w:rPr>
        <w:t>that</w:t>
      </w:r>
      <w:r>
        <w:rPr>
          <w:spacing w:val="40"/>
          <w:sz w:val="22"/>
        </w:rPr>
        <w:t> </w:t>
      </w:r>
      <w:r>
        <w:rPr>
          <w:sz w:val="22"/>
        </w:rPr>
        <w:t>temporary</w:t>
      </w:r>
      <w:r>
        <w:rPr>
          <w:spacing w:val="40"/>
          <w:sz w:val="22"/>
        </w:rPr>
        <w:t> </w:t>
      </w:r>
      <w:r>
        <w:rPr>
          <w:sz w:val="22"/>
        </w:rPr>
        <w:t>construction</w:t>
      </w:r>
      <w:r>
        <w:rPr>
          <w:spacing w:val="40"/>
          <w:sz w:val="22"/>
        </w:rPr>
        <w:t> </w:t>
      </w:r>
      <w:r>
        <w:rPr>
          <w:sz w:val="22"/>
        </w:rPr>
        <w:t>for</w:t>
      </w:r>
      <w:r>
        <w:rPr>
          <w:spacing w:val="40"/>
          <w:sz w:val="22"/>
        </w:rPr>
        <w:t> </w:t>
      </w:r>
      <w:r>
        <w:rPr>
          <w:sz w:val="22"/>
        </w:rPr>
        <w:t>structures,</w:t>
      </w:r>
      <w:r>
        <w:rPr>
          <w:spacing w:val="40"/>
          <w:sz w:val="22"/>
        </w:rPr>
        <w:t> </w:t>
      </w:r>
      <w:r>
        <w:rPr>
          <w:sz w:val="22"/>
        </w:rPr>
        <w:t>etc.</w:t>
      </w:r>
      <w:r>
        <w:rPr>
          <w:spacing w:val="40"/>
          <w:sz w:val="22"/>
        </w:rPr>
        <w:t> </w:t>
      </w:r>
      <w:r>
        <w:rPr>
          <w:sz w:val="22"/>
        </w:rPr>
        <w:t>mentioned</w:t>
      </w:r>
      <w:r>
        <w:rPr>
          <w:spacing w:val="40"/>
          <w:sz w:val="22"/>
        </w:rPr>
        <w:t> </w:t>
      </w:r>
      <w:r>
        <w:rPr>
          <w:sz w:val="22"/>
        </w:rPr>
        <w:t>at (iii),</w:t>
      </w:r>
      <w:r>
        <w:rPr>
          <w:spacing w:val="79"/>
          <w:sz w:val="22"/>
        </w:rPr>
        <w:t> </w:t>
      </w:r>
      <w:r>
        <w:rPr>
          <w:sz w:val="22"/>
        </w:rPr>
        <w:t>(iv),</w:t>
      </w:r>
      <w:r>
        <w:rPr>
          <w:spacing w:val="78"/>
          <w:sz w:val="22"/>
        </w:rPr>
        <w:t> </w:t>
      </w:r>
      <w:r>
        <w:rPr>
          <w:sz w:val="22"/>
        </w:rPr>
        <w:t>(vi),</w:t>
      </w:r>
      <w:r>
        <w:rPr>
          <w:spacing w:val="78"/>
          <w:sz w:val="22"/>
        </w:rPr>
        <w:t> </w:t>
      </w:r>
      <w:r>
        <w:rPr>
          <w:sz w:val="22"/>
        </w:rPr>
        <w:t>(ix),</w:t>
      </w:r>
      <w:r>
        <w:rPr>
          <w:spacing w:val="79"/>
          <w:sz w:val="22"/>
        </w:rPr>
        <w:t> </w:t>
      </w:r>
      <w:r>
        <w:rPr>
          <w:sz w:val="22"/>
        </w:rPr>
        <w:t>(x)</w:t>
      </w:r>
      <w:r>
        <w:rPr>
          <w:spacing w:val="78"/>
          <w:sz w:val="22"/>
        </w:rPr>
        <w:t> </w:t>
      </w:r>
      <w:r>
        <w:rPr>
          <w:sz w:val="22"/>
        </w:rPr>
        <w:t>and</w:t>
      </w:r>
      <w:r>
        <w:rPr>
          <w:spacing w:val="79"/>
          <w:sz w:val="22"/>
        </w:rPr>
        <w:t> </w:t>
      </w:r>
      <w:r>
        <w:rPr>
          <w:sz w:val="22"/>
        </w:rPr>
        <w:t>(xi)</w:t>
      </w:r>
      <w:r>
        <w:rPr>
          <w:spacing w:val="80"/>
          <w:sz w:val="22"/>
        </w:rPr>
        <w:t> </w:t>
      </w:r>
      <w:r>
        <w:rPr>
          <w:sz w:val="22"/>
        </w:rPr>
        <w:t>maybe</w:t>
      </w:r>
      <w:r>
        <w:rPr>
          <w:spacing w:val="80"/>
          <w:sz w:val="22"/>
        </w:rPr>
        <w:t> </w:t>
      </w:r>
      <w:r>
        <w:rPr>
          <w:sz w:val="22"/>
        </w:rPr>
        <w:t>permitted</w:t>
      </w:r>
      <w:r>
        <w:rPr>
          <w:spacing w:val="79"/>
          <w:sz w:val="22"/>
        </w:rPr>
        <w:t> </w:t>
      </w:r>
      <w:r>
        <w:rPr>
          <w:sz w:val="22"/>
        </w:rPr>
        <w:t>to</w:t>
      </w:r>
      <w:r>
        <w:rPr>
          <w:spacing w:val="80"/>
          <w:sz w:val="22"/>
        </w:rPr>
        <w:t> </w:t>
      </w:r>
      <w:r>
        <w:rPr>
          <w:sz w:val="22"/>
        </w:rPr>
        <w:t>be</w:t>
      </w:r>
      <w:r>
        <w:rPr>
          <w:spacing w:val="80"/>
          <w:sz w:val="22"/>
        </w:rPr>
        <w:t> </w:t>
      </w:r>
      <w:r>
        <w:rPr>
          <w:sz w:val="22"/>
        </w:rPr>
        <w:t>continued</w:t>
      </w:r>
      <w:r>
        <w:rPr>
          <w:spacing w:val="79"/>
          <w:sz w:val="22"/>
        </w:rPr>
        <w:t> </w:t>
      </w:r>
      <w:r>
        <w:rPr>
          <w:sz w:val="22"/>
        </w:rPr>
        <w:t>temporarily by</w:t>
      </w:r>
      <w:r>
        <w:rPr>
          <w:spacing w:val="40"/>
          <w:sz w:val="22"/>
        </w:rPr>
        <w:t> </w:t>
      </w:r>
      <w:r>
        <w:rPr>
          <w:sz w:val="22"/>
        </w:rPr>
        <w:t>the</w:t>
      </w:r>
      <w:r>
        <w:rPr>
          <w:spacing w:val="40"/>
          <w:sz w:val="22"/>
        </w:rPr>
        <w:t> </w:t>
      </w:r>
      <w:r>
        <w:rPr>
          <w:sz w:val="22"/>
        </w:rPr>
        <w:t>Commissioner</w:t>
      </w:r>
      <w:r>
        <w:rPr>
          <w:spacing w:val="40"/>
          <w:sz w:val="22"/>
        </w:rPr>
        <w:t> </w:t>
      </w:r>
      <w:r>
        <w:rPr>
          <w:sz w:val="22"/>
        </w:rPr>
        <w:t>but</w:t>
      </w:r>
      <w:r>
        <w:rPr>
          <w:spacing w:val="40"/>
          <w:sz w:val="22"/>
        </w:rPr>
        <w:t> </w:t>
      </w:r>
      <w:r>
        <w:rPr>
          <w:sz w:val="22"/>
        </w:rPr>
        <w:t>in</w:t>
      </w:r>
      <w:r>
        <w:rPr>
          <w:spacing w:val="40"/>
          <w:sz w:val="22"/>
        </w:rPr>
        <w:t> </w:t>
      </w:r>
      <w:r>
        <w:rPr>
          <w:sz w:val="22"/>
        </w:rPr>
        <w:t>any</w:t>
      </w:r>
      <w:r>
        <w:rPr>
          <w:spacing w:val="40"/>
          <w:sz w:val="22"/>
        </w:rPr>
        <w:t> </w:t>
      </w:r>
      <w:r>
        <w:rPr>
          <w:sz w:val="22"/>
        </w:rPr>
        <w:t>case,</w:t>
      </w:r>
      <w:r>
        <w:rPr>
          <w:spacing w:val="40"/>
          <w:sz w:val="22"/>
        </w:rPr>
        <w:t> </w:t>
      </w:r>
      <w:r>
        <w:rPr>
          <w:sz w:val="22"/>
        </w:rPr>
        <w:t>not</w:t>
      </w:r>
      <w:r>
        <w:rPr>
          <w:spacing w:val="40"/>
          <w:sz w:val="22"/>
        </w:rPr>
        <w:t> </w:t>
      </w:r>
      <w:r>
        <w:rPr>
          <w:sz w:val="22"/>
        </w:rPr>
        <w:t>beyond</w:t>
      </w:r>
      <w:r>
        <w:rPr>
          <w:spacing w:val="40"/>
          <w:sz w:val="22"/>
        </w:rPr>
        <w:t> </w:t>
      </w:r>
      <w:r>
        <w:rPr>
          <w:sz w:val="22"/>
        </w:rPr>
        <w:t>completion</w:t>
      </w:r>
      <w:r>
        <w:rPr>
          <w:spacing w:val="40"/>
          <w:sz w:val="22"/>
        </w:rPr>
        <w:t> </w:t>
      </w:r>
      <w:r>
        <w:rPr>
          <w:sz w:val="22"/>
        </w:rPr>
        <w:t>of</w:t>
      </w:r>
      <w:r>
        <w:rPr>
          <w:spacing w:val="40"/>
          <w:sz w:val="22"/>
        </w:rPr>
        <w:t> </w:t>
      </w:r>
      <w:r>
        <w:rPr>
          <w:sz w:val="22"/>
        </w:rPr>
        <w:t>construction of</w:t>
      </w:r>
      <w:r>
        <w:rPr>
          <w:spacing w:val="40"/>
          <w:sz w:val="22"/>
        </w:rPr>
        <w:t> </w:t>
      </w:r>
      <w:r>
        <w:rPr>
          <w:sz w:val="22"/>
        </w:rPr>
        <w:t>the</w:t>
      </w:r>
      <w:r>
        <w:rPr>
          <w:spacing w:val="40"/>
          <w:sz w:val="22"/>
        </w:rPr>
        <w:t> </w:t>
      </w:r>
      <w:r>
        <w:rPr>
          <w:sz w:val="22"/>
        </w:rPr>
        <w:t>main</w:t>
      </w:r>
      <w:r>
        <w:rPr>
          <w:spacing w:val="40"/>
          <w:sz w:val="22"/>
        </w:rPr>
        <w:t> </w:t>
      </w:r>
      <w:r>
        <w:rPr>
          <w:sz w:val="22"/>
        </w:rPr>
        <w:t>structure</w:t>
      </w:r>
      <w:r>
        <w:rPr>
          <w:spacing w:val="40"/>
          <w:sz w:val="22"/>
        </w:rPr>
        <w:t> </w:t>
      </w:r>
      <w:r>
        <w:rPr>
          <w:sz w:val="22"/>
        </w:rPr>
        <w:t>or</w:t>
      </w:r>
      <w:r>
        <w:rPr>
          <w:spacing w:val="40"/>
          <w:sz w:val="22"/>
        </w:rPr>
        <w:t> </w:t>
      </w:r>
      <w:r>
        <w:rPr>
          <w:sz w:val="22"/>
        </w:rPr>
        <w:t>building,</w:t>
      </w:r>
      <w:r>
        <w:rPr>
          <w:spacing w:val="40"/>
          <w:sz w:val="22"/>
        </w:rPr>
        <w:t> </w:t>
      </w:r>
      <w:r>
        <w:rPr>
          <w:sz w:val="22"/>
        </w:rPr>
        <w:t>and</w:t>
      </w:r>
      <w:r>
        <w:rPr>
          <w:spacing w:val="40"/>
          <w:sz w:val="22"/>
        </w:rPr>
        <w:t> </w:t>
      </w:r>
      <w:r>
        <w:rPr>
          <w:sz w:val="22"/>
        </w:rPr>
        <w:t>that</w:t>
      </w:r>
      <w:r>
        <w:rPr>
          <w:spacing w:val="40"/>
          <w:sz w:val="22"/>
        </w:rPr>
        <w:t> </w:t>
      </w:r>
      <w:r>
        <w:rPr>
          <w:sz w:val="22"/>
        </w:rPr>
        <w:t>structure</w:t>
      </w:r>
      <w:r>
        <w:rPr>
          <w:spacing w:val="40"/>
          <w:sz w:val="22"/>
        </w:rPr>
        <w:t> </w:t>
      </w:r>
      <w:r>
        <w:rPr>
          <w:sz w:val="22"/>
        </w:rPr>
        <w:t>in</w:t>
      </w:r>
      <w:r>
        <w:rPr>
          <w:spacing w:val="40"/>
          <w:sz w:val="22"/>
        </w:rPr>
        <w:t> </w:t>
      </w:r>
      <w:r>
        <w:rPr>
          <w:sz w:val="22"/>
        </w:rPr>
        <w:t>(viii)</w:t>
      </w:r>
      <w:r>
        <w:rPr>
          <w:spacing w:val="40"/>
          <w:sz w:val="22"/>
        </w:rPr>
        <w:t> </w:t>
      </w:r>
      <w:r>
        <w:rPr>
          <w:sz w:val="22"/>
        </w:rPr>
        <w:t>may</w:t>
      </w:r>
      <w:r>
        <w:rPr>
          <w:spacing w:val="40"/>
          <w:sz w:val="22"/>
        </w:rPr>
        <w:t> </w:t>
      </w:r>
      <w:r>
        <w:rPr>
          <w:sz w:val="22"/>
        </w:rPr>
        <w:t>be</w:t>
      </w:r>
      <w:r>
        <w:rPr>
          <w:spacing w:val="40"/>
          <w:sz w:val="22"/>
        </w:rPr>
        <w:t> </w:t>
      </w:r>
      <w:r>
        <w:rPr>
          <w:sz w:val="22"/>
        </w:rPr>
        <w:t>continued</w:t>
      </w:r>
      <w:r>
        <w:rPr>
          <w:spacing w:val="66"/>
          <w:sz w:val="22"/>
        </w:rPr>
        <w:t> </w:t>
      </w:r>
      <w:r>
        <w:rPr>
          <w:sz w:val="22"/>
        </w:rPr>
        <w:t>on</w:t>
      </w:r>
      <w:r>
        <w:rPr>
          <w:spacing w:val="71"/>
          <w:sz w:val="22"/>
        </w:rPr>
        <w:t> </w:t>
      </w:r>
      <w:r>
        <w:rPr>
          <w:sz w:val="22"/>
        </w:rPr>
        <w:t>annual</w:t>
      </w:r>
      <w:r>
        <w:rPr>
          <w:spacing w:val="68"/>
          <w:sz w:val="22"/>
        </w:rPr>
        <w:t> </w:t>
      </w:r>
      <w:r>
        <w:rPr>
          <w:sz w:val="22"/>
        </w:rPr>
        <w:t>renewable</w:t>
      </w:r>
      <w:r>
        <w:rPr>
          <w:spacing w:val="74"/>
          <w:sz w:val="22"/>
        </w:rPr>
        <w:t> </w:t>
      </w:r>
      <w:r>
        <w:rPr>
          <w:sz w:val="22"/>
        </w:rPr>
        <w:t>basis</w:t>
      </w:r>
      <w:r>
        <w:rPr>
          <w:spacing w:val="71"/>
          <w:sz w:val="22"/>
        </w:rPr>
        <w:t> </w:t>
      </w:r>
      <w:r>
        <w:rPr>
          <w:sz w:val="22"/>
        </w:rPr>
        <w:t>by</w:t>
      </w:r>
      <w:r>
        <w:rPr>
          <w:spacing w:val="68"/>
          <w:sz w:val="22"/>
        </w:rPr>
        <w:t> </w:t>
      </w:r>
      <w:r>
        <w:rPr>
          <w:sz w:val="22"/>
        </w:rPr>
        <w:t>the</w:t>
      </w:r>
      <w:r>
        <w:rPr>
          <w:spacing w:val="74"/>
          <w:sz w:val="22"/>
        </w:rPr>
        <w:t> </w:t>
      </w:r>
      <w:r>
        <w:rPr>
          <w:sz w:val="22"/>
        </w:rPr>
        <w:t>Commissioner</w:t>
      </w:r>
      <w:r>
        <w:rPr>
          <w:spacing w:val="68"/>
          <w:sz w:val="22"/>
        </w:rPr>
        <w:t> </w:t>
      </w:r>
      <w:r>
        <w:rPr>
          <w:sz w:val="22"/>
        </w:rPr>
        <w:t>beyond</w:t>
      </w:r>
      <w:r>
        <w:rPr>
          <w:spacing w:val="69"/>
          <w:sz w:val="22"/>
        </w:rPr>
        <w:t> </w:t>
      </w:r>
      <w:r>
        <w:rPr>
          <w:sz w:val="22"/>
        </w:rPr>
        <w:t>a</w:t>
      </w:r>
      <w:r>
        <w:rPr>
          <w:spacing w:val="68"/>
          <w:sz w:val="22"/>
        </w:rPr>
        <w:t> </w:t>
      </w:r>
      <w:r>
        <w:rPr>
          <w:sz w:val="22"/>
        </w:rPr>
        <w:t>period of three years.</w:t>
      </w:r>
    </w:p>
    <w:p>
      <w:pPr>
        <w:pStyle w:val="ListParagraph"/>
        <w:spacing w:after="0" w:line="240" w:lineRule="auto"/>
        <w:jc w:val="both"/>
        <w:rPr>
          <w:sz w:val="22"/>
        </w:rPr>
        <w:sectPr>
          <w:headerReference w:type="default" r:id="rId74"/>
          <w:footerReference w:type="default" r:id="rId75"/>
          <w:pgSz w:w="11910" w:h="16840"/>
          <w:pgMar w:header="1065" w:footer="1194" w:top="1500" w:bottom="1380" w:left="360" w:right="360"/>
        </w:sectPr>
      </w:pPr>
    </w:p>
    <w:p>
      <w:pPr>
        <w:pStyle w:val="ListParagraph"/>
        <w:numPr>
          <w:ilvl w:val="0"/>
          <w:numId w:val="263"/>
        </w:numPr>
        <w:tabs>
          <w:tab w:pos="1493" w:val="left" w:leader="none"/>
          <w:tab w:pos="1548" w:val="left" w:leader="none"/>
          <w:tab w:pos="3019" w:val="left" w:leader="none"/>
          <w:tab w:pos="4491" w:val="left" w:leader="none"/>
          <w:tab w:pos="5278" w:val="left" w:leader="none"/>
          <w:tab w:pos="6973" w:val="left" w:leader="none"/>
          <w:tab w:pos="9095" w:val="left" w:leader="none"/>
        </w:tabs>
        <w:spacing w:line="240" w:lineRule="auto" w:before="249" w:after="0"/>
        <w:ind w:left="1493" w:right="779" w:hanging="721"/>
        <w:jc w:val="left"/>
        <w:rPr>
          <w:b/>
          <w:sz w:val="22"/>
        </w:rPr>
      </w:pPr>
      <w:r>
        <w:rPr>
          <w:b/>
          <w:i/>
          <w:spacing w:val="-2"/>
          <w:sz w:val="22"/>
        </w:rPr>
        <w:t>Common</w:t>
      </w:r>
      <w:r>
        <w:rPr>
          <w:b/>
          <w:i/>
          <w:sz w:val="22"/>
        </w:rPr>
        <w:tab/>
      </w:r>
      <w:r>
        <w:rPr>
          <w:b/>
          <w:i/>
          <w:spacing w:val="-2"/>
          <w:sz w:val="22"/>
        </w:rPr>
        <w:t>Antenna</w:t>
      </w:r>
      <w:r>
        <w:rPr>
          <w:b/>
          <w:i/>
          <w:sz w:val="22"/>
        </w:rPr>
        <w:tab/>
      </w:r>
      <w:r>
        <w:rPr>
          <w:b/>
          <w:i/>
          <w:spacing w:val="-4"/>
          <w:sz w:val="22"/>
        </w:rPr>
        <w:t>for</w:t>
      </w:r>
      <w:r>
        <w:rPr>
          <w:b/>
          <w:i/>
          <w:sz w:val="22"/>
        </w:rPr>
        <w:tab/>
      </w:r>
      <w:r>
        <w:rPr>
          <w:b/>
          <w:i/>
          <w:spacing w:val="-2"/>
          <w:sz w:val="22"/>
        </w:rPr>
        <w:t>Television</w:t>
      </w:r>
      <w:r>
        <w:rPr>
          <w:b/>
          <w:i/>
          <w:sz w:val="22"/>
        </w:rPr>
        <w:tab/>
      </w:r>
      <w:r>
        <w:rPr>
          <w:b/>
          <w:i/>
          <w:spacing w:val="-2"/>
          <w:sz w:val="22"/>
        </w:rPr>
        <w:t>Transmission</w:t>
      </w:r>
      <w:r>
        <w:rPr>
          <w:b/>
          <w:i/>
          <w:sz w:val="22"/>
        </w:rPr>
        <w:tab/>
      </w:r>
      <w:r>
        <w:rPr>
          <w:b/>
          <w:i/>
          <w:spacing w:val="-2"/>
          <w:sz w:val="22"/>
        </w:rPr>
        <w:t>Reception/ </w:t>
      </w:r>
      <w:r>
        <w:rPr>
          <w:b/>
          <w:i/>
          <w:sz w:val="22"/>
        </w:rPr>
        <w:t>Telecommunication/Digital</w:t>
      </w:r>
      <w:r>
        <w:rPr>
          <w:b/>
          <w:i/>
          <w:spacing w:val="35"/>
          <w:sz w:val="22"/>
        </w:rPr>
        <w:t>  </w:t>
      </w:r>
      <w:r>
        <w:rPr>
          <w:b/>
          <w:i/>
          <w:sz w:val="22"/>
        </w:rPr>
        <w:t>Communication/Service</w:t>
      </w:r>
      <w:r>
        <w:rPr>
          <w:i/>
          <w:sz w:val="22"/>
        </w:rPr>
        <w:t>:</w:t>
      </w:r>
      <w:r>
        <w:rPr>
          <w:i/>
          <w:spacing w:val="33"/>
          <w:sz w:val="22"/>
        </w:rPr>
        <w:t>  </w:t>
      </w:r>
      <w:r>
        <w:rPr>
          <w:sz w:val="22"/>
        </w:rPr>
        <w:t>-</w:t>
      </w:r>
    </w:p>
    <w:p>
      <w:pPr>
        <w:spacing w:before="241"/>
        <w:ind w:left="1404" w:right="0" w:firstLine="0"/>
        <w:jc w:val="both"/>
        <w:rPr>
          <w:sz w:val="22"/>
        </w:rPr>
      </w:pPr>
      <w:r>
        <w:rPr>
          <w:sz w:val="22"/>
        </w:rPr>
        <w:t>In</w:t>
      </w:r>
      <w:r>
        <w:rPr>
          <w:spacing w:val="58"/>
          <w:sz w:val="22"/>
        </w:rPr>
        <w:t> </w:t>
      </w:r>
      <w:r>
        <w:rPr>
          <w:sz w:val="22"/>
        </w:rPr>
        <w:t>every</w:t>
      </w:r>
      <w:r>
        <w:rPr>
          <w:spacing w:val="62"/>
          <w:sz w:val="22"/>
        </w:rPr>
        <w:t> </w:t>
      </w:r>
      <w:r>
        <w:rPr>
          <w:sz w:val="22"/>
        </w:rPr>
        <w:t>Building</w:t>
      </w:r>
      <w:r>
        <w:rPr>
          <w:spacing w:val="58"/>
          <w:sz w:val="22"/>
        </w:rPr>
        <w:t> </w:t>
      </w:r>
      <w:r>
        <w:rPr>
          <w:sz w:val="22"/>
        </w:rPr>
        <w:t>the</w:t>
      </w:r>
      <w:r>
        <w:rPr>
          <w:spacing w:val="59"/>
          <w:sz w:val="22"/>
        </w:rPr>
        <w:t> </w:t>
      </w:r>
      <w:r>
        <w:rPr>
          <w:sz w:val="22"/>
        </w:rPr>
        <w:t>provision</w:t>
      </w:r>
      <w:r>
        <w:rPr>
          <w:spacing w:val="59"/>
          <w:sz w:val="22"/>
        </w:rPr>
        <w:t> </w:t>
      </w:r>
      <w:r>
        <w:rPr>
          <w:spacing w:val="-5"/>
          <w:sz w:val="22"/>
        </w:rPr>
        <w:t>for</w:t>
      </w:r>
    </w:p>
    <w:p>
      <w:pPr>
        <w:pStyle w:val="ListParagraph"/>
        <w:numPr>
          <w:ilvl w:val="1"/>
          <w:numId w:val="263"/>
        </w:numPr>
        <w:tabs>
          <w:tab w:pos="1882" w:val="left" w:leader="none"/>
        </w:tabs>
        <w:spacing w:line="240" w:lineRule="auto" w:before="239" w:after="0"/>
        <w:ind w:left="1493" w:right="778" w:firstLine="0"/>
        <w:jc w:val="both"/>
        <w:rPr>
          <w:sz w:val="22"/>
        </w:rPr>
      </w:pPr>
      <w:r>
        <w:rPr>
          <w:sz w:val="22"/>
        </w:rPr>
        <w:t>Installation of common Television Transmission Reception/Antenna and Ducting for telecommunication lines and optical fiber cable for Digital Data communication/transmission</w:t>
      </w:r>
      <w:r>
        <w:rPr>
          <w:spacing w:val="80"/>
          <w:sz w:val="22"/>
        </w:rPr>
        <w:t> </w:t>
      </w:r>
      <w:r>
        <w:rPr>
          <w:sz w:val="22"/>
        </w:rPr>
        <w:t>shall</w:t>
      </w:r>
      <w:r>
        <w:rPr>
          <w:spacing w:val="80"/>
          <w:sz w:val="22"/>
        </w:rPr>
        <w:t> </w:t>
      </w:r>
      <w:r>
        <w:rPr>
          <w:sz w:val="22"/>
        </w:rPr>
        <w:t>be</w:t>
      </w:r>
      <w:r>
        <w:rPr>
          <w:spacing w:val="80"/>
          <w:sz w:val="22"/>
        </w:rPr>
        <w:t> </w:t>
      </w:r>
      <w:r>
        <w:rPr>
          <w:spacing w:val="9"/>
          <w:sz w:val="22"/>
        </w:rPr>
        <w:t>made.</w:t>
      </w:r>
    </w:p>
    <w:p>
      <w:pPr>
        <w:pStyle w:val="ListParagraph"/>
        <w:numPr>
          <w:ilvl w:val="1"/>
          <w:numId w:val="263"/>
        </w:numPr>
        <w:tabs>
          <w:tab w:pos="2025" w:val="left" w:leader="none"/>
        </w:tabs>
        <w:spacing w:line="240" w:lineRule="auto" w:before="240" w:after="0"/>
        <w:ind w:left="772" w:right="782" w:firstLine="881"/>
        <w:jc w:val="left"/>
        <w:rPr>
          <w:sz w:val="22"/>
        </w:rPr>
      </w:pPr>
      <w:r>
        <w:rPr>
          <w:sz w:val="22"/>
        </w:rPr>
        <w:t>Ducting</w:t>
      </w:r>
      <w:r>
        <w:rPr>
          <w:spacing w:val="40"/>
          <w:sz w:val="22"/>
        </w:rPr>
        <w:t> </w:t>
      </w:r>
      <w:r>
        <w:rPr>
          <w:sz w:val="22"/>
        </w:rPr>
        <w:t>for</w:t>
      </w:r>
      <w:r>
        <w:rPr>
          <w:spacing w:val="40"/>
          <w:sz w:val="22"/>
        </w:rPr>
        <w:t> </w:t>
      </w:r>
      <w:r>
        <w:rPr>
          <w:sz w:val="22"/>
        </w:rPr>
        <w:t>laying</w:t>
      </w:r>
      <w:r>
        <w:rPr>
          <w:spacing w:val="40"/>
          <w:sz w:val="22"/>
        </w:rPr>
        <w:t> </w:t>
      </w:r>
      <w:r>
        <w:rPr>
          <w:sz w:val="22"/>
        </w:rPr>
        <w:t>of</w:t>
      </w:r>
      <w:r>
        <w:rPr>
          <w:spacing w:val="40"/>
          <w:sz w:val="22"/>
        </w:rPr>
        <w:t> </w:t>
      </w:r>
      <w:r>
        <w:rPr>
          <w:sz w:val="22"/>
        </w:rPr>
        <w:t>piped</w:t>
      </w:r>
      <w:r>
        <w:rPr>
          <w:spacing w:val="40"/>
          <w:sz w:val="22"/>
        </w:rPr>
        <w:t> </w:t>
      </w:r>
      <w:r>
        <w:rPr>
          <w:sz w:val="22"/>
        </w:rPr>
        <w:t>gas</w:t>
      </w:r>
      <w:r>
        <w:rPr>
          <w:spacing w:val="40"/>
          <w:sz w:val="22"/>
        </w:rPr>
        <w:t> </w:t>
      </w:r>
      <w:r>
        <w:rPr>
          <w:sz w:val="22"/>
        </w:rPr>
        <w:t>connection</w:t>
      </w:r>
      <w:r>
        <w:rPr>
          <w:spacing w:val="40"/>
          <w:sz w:val="22"/>
        </w:rPr>
        <w:t> </w:t>
      </w:r>
      <w:r>
        <w:rPr>
          <w:sz w:val="22"/>
        </w:rPr>
        <w:t>service</w:t>
      </w:r>
      <w:r>
        <w:rPr>
          <w:spacing w:val="40"/>
          <w:sz w:val="22"/>
        </w:rPr>
        <w:t> </w:t>
      </w:r>
      <w:r>
        <w:rPr>
          <w:sz w:val="22"/>
        </w:rPr>
        <w:t>in</w:t>
      </w:r>
      <w:r>
        <w:rPr>
          <w:spacing w:val="40"/>
          <w:sz w:val="22"/>
        </w:rPr>
        <w:t> </w:t>
      </w:r>
      <w:r>
        <w:rPr>
          <w:sz w:val="22"/>
        </w:rPr>
        <w:t>the</w:t>
      </w:r>
      <w:r>
        <w:rPr>
          <w:spacing w:val="40"/>
          <w:sz w:val="22"/>
        </w:rPr>
        <w:t> </w:t>
      </w:r>
      <w:r>
        <w:rPr>
          <w:sz w:val="22"/>
        </w:rPr>
        <w:t>surrounding</w:t>
      </w:r>
      <w:r>
        <w:rPr>
          <w:spacing w:val="40"/>
          <w:sz w:val="22"/>
        </w:rPr>
        <w:t> </w:t>
      </w:r>
      <w:r>
        <w:rPr>
          <w:sz w:val="22"/>
        </w:rPr>
        <w:t>of </w:t>
      </w:r>
      <w:r>
        <w:rPr>
          <w:spacing w:val="-2"/>
          <w:sz w:val="22"/>
        </w:rPr>
        <w:t>building.</w:t>
      </w:r>
    </w:p>
    <w:p>
      <w:pPr>
        <w:pStyle w:val="ListParagraph"/>
        <w:numPr>
          <w:ilvl w:val="0"/>
          <w:numId w:val="263"/>
        </w:numPr>
        <w:tabs>
          <w:tab w:pos="1493" w:val="left" w:leader="none"/>
        </w:tabs>
        <w:spacing w:line="240" w:lineRule="auto" w:before="240" w:after="0"/>
        <w:ind w:left="1493" w:right="0" w:hanging="721"/>
        <w:jc w:val="left"/>
        <w:rPr>
          <w:b/>
          <w:sz w:val="22"/>
        </w:rPr>
      </w:pPr>
      <w:r>
        <w:rPr>
          <w:b/>
          <w:i/>
          <w:sz w:val="22"/>
        </w:rPr>
        <w:t>Special</w:t>
      </w:r>
      <w:r>
        <w:rPr>
          <w:b/>
          <w:i/>
          <w:spacing w:val="-9"/>
          <w:sz w:val="22"/>
        </w:rPr>
        <w:t> </w:t>
      </w:r>
      <w:r>
        <w:rPr>
          <w:b/>
          <w:i/>
          <w:sz w:val="22"/>
        </w:rPr>
        <w:t>Purpose</w:t>
      </w:r>
      <w:r>
        <w:rPr>
          <w:b/>
          <w:i/>
          <w:spacing w:val="-6"/>
          <w:sz w:val="22"/>
        </w:rPr>
        <w:t> </w:t>
      </w:r>
      <w:r>
        <w:rPr>
          <w:b/>
          <w:i/>
          <w:spacing w:val="-4"/>
          <w:sz w:val="22"/>
        </w:rPr>
        <w:t>NOCs</w:t>
      </w:r>
    </w:p>
    <w:p>
      <w:pPr>
        <w:spacing w:before="241"/>
        <w:ind w:left="1493" w:right="778" w:firstLine="0"/>
        <w:jc w:val="both"/>
        <w:rPr>
          <w:sz w:val="22"/>
        </w:rPr>
      </w:pPr>
      <w:r>
        <w:rPr>
          <w:sz w:val="22"/>
        </w:rPr>
        <w:t>Wherever</w:t>
      </w:r>
      <w:r>
        <w:rPr>
          <w:spacing w:val="40"/>
          <w:sz w:val="22"/>
        </w:rPr>
        <w:t> </w:t>
      </w:r>
      <w:r>
        <w:rPr>
          <w:sz w:val="22"/>
        </w:rPr>
        <w:t>necessary,</w:t>
      </w:r>
      <w:r>
        <w:rPr>
          <w:spacing w:val="40"/>
          <w:sz w:val="22"/>
        </w:rPr>
        <w:t> </w:t>
      </w:r>
      <w:r>
        <w:rPr>
          <w:sz w:val="22"/>
        </w:rPr>
        <w:t>special</w:t>
      </w:r>
      <w:r>
        <w:rPr>
          <w:spacing w:val="40"/>
          <w:sz w:val="22"/>
        </w:rPr>
        <w:t> </w:t>
      </w:r>
      <w:r>
        <w:rPr>
          <w:sz w:val="22"/>
        </w:rPr>
        <w:t>purpose</w:t>
      </w:r>
      <w:r>
        <w:rPr>
          <w:spacing w:val="40"/>
          <w:sz w:val="22"/>
        </w:rPr>
        <w:t> </w:t>
      </w:r>
      <w:r>
        <w:rPr>
          <w:sz w:val="22"/>
        </w:rPr>
        <w:t>NOCs</w:t>
      </w:r>
      <w:r>
        <w:rPr>
          <w:spacing w:val="40"/>
          <w:sz w:val="22"/>
        </w:rPr>
        <w:t> </w:t>
      </w:r>
      <w:r>
        <w:rPr>
          <w:sz w:val="22"/>
        </w:rPr>
        <w:t>shall</w:t>
      </w:r>
      <w:r>
        <w:rPr>
          <w:spacing w:val="40"/>
          <w:sz w:val="22"/>
        </w:rPr>
        <w:t> </w:t>
      </w:r>
      <w:r>
        <w:rPr>
          <w:sz w:val="22"/>
        </w:rPr>
        <w:t>be</w:t>
      </w:r>
      <w:r>
        <w:rPr>
          <w:spacing w:val="40"/>
          <w:sz w:val="22"/>
        </w:rPr>
        <w:t> </w:t>
      </w:r>
      <w:r>
        <w:rPr>
          <w:sz w:val="22"/>
        </w:rPr>
        <w:t>required</w:t>
      </w:r>
      <w:r>
        <w:rPr>
          <w:spacing w:val="40"/>
          <w:sz w:val="22"/>
        </w:rPr>
        <w:t> </w:t>
      </w:r>
      <w:r>
        <w:rPr>
          <w:sz w:val="22"/>
        </w:rPr>
        <w:t>to</w:t>
      </w:r>
      <w:r>
        <w:rPr>
          <w:spacing w:val="40"/>
          <w:sz w:val="22"/>
        </w:rPr>
        <w:t> </w:t>
      </w:r>
      <w:r>
        <w:rPr>
          <w:sz w:val="22"/>
        </w:rPr>
        <w:t>be</w:t>
      </w:r>
      <w:r>
        <w:rPr>
          <w:spacing w:val="40"/>
          <w:sz w:val="22"/>
        </w:rPr>
        <w:t> </w:t>
      </w:r>
      <w:r>
        <w:rPr>
          <w:sz w:val="22"/>
        </w:rPr>
        <w:t>submitted for the development of plot/s depending upon the location &amp; type of work as specified</w:t>
      </w:r>
      <w:r>
        <w:rPr>
          <w:spacing w:val="40"/>
          <w:sz w:val="22"/>
        </w:rPr>
        <w:t> </w:t>
      </w:r>
      <w:r>
        <w:rPr>
          <w:sz w:val="22"/>
        </w:rPr>
        <w:t>in</w:t>
      </w:r>
      <w:r>
        <w:rPr>
          <w:spacing w:val="40"/>
          <w:sz w:val="22"/>
        </w:rPr>
        <w:t> </w:t>
      </w:r>
      <w:r>
        <w:rPr>
          <w:sz w:val="22"/>
        </w:rPr>
        <w:t>these</w:t>
      </w:r>
      <w:r>
        <w:rPr>
          <w:spacing w:val="40"/>
          <w:sz w:val="22"/>
        </w:rPr>
        <w:t> </w:t>
      </w:r>
      <w:r>
        <w:rPr>
          <w:sz w:val="22"/>
        </w:rPr>
        <w:t>Regulations.</w:t>
      </w:r>
      <w:r>
        <w:rPr>
          <w:spacing w:val="40"/>
          <w:sz w:val="22"/>
        </w:rPr>
        <w:t> </w:t>
      </w:r>
      <w:r>
        <w:rPr>
          <w:sz w:val="22"/>
        </w:rPr>
        <w:t>Observance</w:t>
      </w:r>
      <w:r>
        <w:rPr>
          <w:spacing w:val="40"/>
          <w:sz w:val="22"/>
        </w:rPr>
        <w:t> </w:t>
      </w:r>
      <w:r>
        <w:rPr>
          <w:sz w:val="22"/>
        </w:rPr>
        <w:t>of</w:t>
      </w:r>
      <w:r>
        <w:rPr>
          <w:spacing w:val="40"/>
          <w:sz w:val="22"/>
        </w:rPr>
        <w:t> </w:t>
      </w:r>
      <w:r>
        <w:rPr>
          <w:sz w:val="22"/>
        </w:rPr>
        <w:t>requirements</w:t>
      </w:r>
      <w:r>
        <w:rPr>
          <w:spacing w:val="40"/>
          <w:sz w:val="22"/>
        </w:rPr>
        <w:t> </w:t>
      </w:r>
      <w:r>
        <w:rPr>
          <w:sz w:val="22"/>
        </w:rPr>
        <w:t>of</w:t>
      </w:r>
      <w:r>
        <w:rPr>
          <w:spacing w:val="40"/>
          <w:sz w:val="22"/>
        </w:rPr>
        <w:t> </w:t>
      </w:r>
      <w:r>
        <w:rPr>
          <w:sz w:val="22"/>
        </w:rPr>
        <w:t>these</w:t>
      </w:r>
      <w:r>
        <w:rPr>
          <w:spacing w:val="40"/>
          <w:sz w:val="22"/>
        </w:rPr>
        <w:t> </w:t>
      </w:r>
      <w:r>
        <w:rPr>
          <w:sz w:val="22"/>
        </w:rPr>
        <w:t>and</w:t>
      </w:r>
      <w:r>
        <w:rPr>
          <w:spacing w:val="40"/>
          <w:sz w:val="22"/>
        </w:rPr>
        <w:t> </w:t>
      </w:r>
      <w:r>
        <w:rPr>
          <w:sz w:val="22"/>
        </w:rPr>
        <w:t>all other</w:t>
      </w:r>
      <w:r>
        <w:rPr>
          <w:spacing w:val="80"/>
          <w:sz w:val="22"/>
        </w:rPr>
        <w:t> </w:t>
      </w:r>
      <w:r>
        <w:rPr>
          <w:sz w:val="22"/>
        </w:rPr>
        <w:t>NOCs</w:t>
      </w:r>
      <w:r>
        <w:rPr>
          <w:spacing w:val="80"/>
          <w:sz w:val="22"/>
        </w:rPr>
        <w:t> </w:t>
      </w:r>
      <w:r>
        <w:rPr>
          <w:sz w:val="22"/>
        </w:rPr>
        <w:t>shall</w:t>
      </w:r>
      <w:r>
        <w:rPr>
          <w:spacing w:val="80"/>
          <w:sz w:val="22"/>
        </w:rPr>
        <w:t> </w:t>
      </w:r>
      <w:r>
        <w:rPr>
          <w:sz w:val="22"/>
        </w:rPr>
        <w:t>be</w:t>
      </w:r>
      <w:r>
        <w:rPr>
          <w:spacing w:val="80"/>
          <w:sz w:val="22"/>
        </w:rPr>
        <w:t> </w:t>
      </w:r>
      <w:r>
        <w:rPr>
          <w:sz w:val="22"/>
        </w:rPr>
        <w:t>the</w:t>
      </w:r>
      <w:r>
        <w:rPr>
          <w:spacing w:val="80"/>
          <w:sz w:val="22"/>
        </w:rPr>
        <w:t> </w:t>
      </w:r>
      <w:r>
        <w:rPr>
          <w:sz w:val="22"/>
        </w:rPr>
        <w:t>responsibility</w:t>
      </w:r>
      <w:r>
        <w:rPr>
          <w:spacing w:val="80"/>
          <w:sz w:val="22"/>
        </w:rPr>
        <w:t> </w:t>
      </w:r>
      <w:r>
        <w:rPr>
          <w:sz w:val="22"/>
        </w:rPr>
        <w:t>of</w:t>
      </w:r>
      <w:r>
        <w:rPr>
          <w:spacing w:val="80"/>
          <w:sz w:val="22"/>
        </w:rPr>
        <w:t> </w:t>
      </w:r>
      <w:r>
        <w:rPr>
          <w:sz w:val="22"/>
        </w:rPr>
        <w:t>Owner/Developer/Project Proponent.</w:t>
      </w:r>
      <w:r>
        <w:rPr>
          <w:spacing w:val="40"/>
          <w:sz w:val="22"/>
        </w:rPr>
        <w:t> </w:t>
      </w:r>
      <w:r>
        <w:rPr>
          <w:sz w:val="22"/>
        </w:rPr>
        <w:t>The</w:t>
      </w:r>
      <w:r>
        <w:rPr>
          <w:spacing w:val="40"/>
          <w:sz w:val="22"/>
        </w:rPr>
        <w:t> </w:t>
      </w:r>
      <w:r>
        <w:rPr>
          <w:sz w:val="22"/>
        </w:rPr>
        <w:t>Commissioner</w:t>
      </w:r>
      <w:r>
        <w:rPr>
          <w:spacing w:val="40"/>
          <w:sz w:val="22"/>
        </w:rPr>
        <w:t> </w:t>
      </w:r>
      <w:r>
        <w:rPr>
          <w:sz w:val="22"/>
        </w:rPr>
        <w:t>may</w:t>
      </w:r>
      <w:r>
        <w:rPr>
          <w:spacing w:val="40"/>
          <w:sz w:val="22"/>
        </w:rPr>
        <w:t> </w:t>
      </w:r>
      <w:r>
        <w:rPr>
          <w:sz w:val="22"/>
        </w:rPr>
        <w:t>grant</w:t>
      </w:r>
      <w:r>
        <w:rPr>
          <w:spacing w:val="40"/>
          <w:sz w:val="22"/>
        </w:rPr>
        <w:t> </w:t>
      </w:r>
      <w:r>
        <w:rPr>
          <w:sz w:val="22"/>
        </w:rPr>
        <w:t>permissions/approvals</w:t>
      </w:r>
      <w:r>
        <w:rPr>
          <w:spacing w:val="40"/>
          <w:sz w:val="22"/>
        </w:rPr>
        <w:t> </w:t>
      </w:r>
      <w:r>
        <w:rPr>
          <w:sz w:val="22"/>
        </w:rPr>
        <w:t>for development</w:t>
      </w:r>
      <w:r>
        <w:rPr>
          <w:spacing w:val="40"/>
          <w:sz w:val="22"/>
        </w:rPr>
        <w:t> </w:t>
      </w:r>
      <w:r>
        <w:rPr>
          <w:sz w:val="22"/>
        </w:rPr>
        <w:t>based</w:t>
      </w:r>
      <w:r>
        <w:rPr>
          <w:spacing w:val="40"/>
          <w:sz w:val="22"/>
        </w:rPr>
        <w:t> </w:t>
      </w:r>
      <w:r>
        <w:rPr>
          <w:sz w:val="22"/>
        </w:rPr>
        <w:t>on</w:t>
      </w:r>
      <w:r>
        <w:rPr>
          <w:spacing w:val="40"/>
          <w:sz w:val="22"/>
        </w:rPr>
        <w:t> </w:t>
      </w:r>
      <w:r>
        <w:rPr>
          <w:sz w:val="22"/>
        </w:rPr>
        <w:t>an</w:t>
      </w:r>
      <w:r>
        <w:rPr>
          <w:spacing w:val="40"/>
          <w:sz w:val="22"/>
        </w:rPr>
        <w:t> </w:t>
      </w:r>
      <w:r>
        <w:rPr>
          <w:sz w:val="22"/>
        </w:rPr>
        <w:t>undertaking</w:t>
      </w:r>
      <w:r>
        <w:rPr>
          <w:spacing w:val="40"/>
          <w:sz w:val="22"/>
        </w:rPr>
        <w:t> </w:t>
      </w:r>
      <w:r>
        <w:rPr>
          <w:sz w:val="22"/>
        </w:rPr>
        <w:t>by</w:t>
      </w:r>
      <w:r>
        <w:rPr>
          <w:spacing w:val="40"/>
          <w:sz w:val="22"/>
        </w:rPr>
        <w:t> </w:t>
      </w:r>
      <w:r>
        <w:rPr>
          <w:sz w:val="22"/>
        </w:rPr>
        <w:t>the</w:t>
      </w:r>
      <w:r>
        <w:rPr>
          <w:spacing w:val="40"/>
          <w:sz w:val="22"/>
        </w:rPr>
        <w:t> </w:t>
      </w:r>
      <w:r>
        <w:rPr>
          <w:sz w:val="22"/>
        </w:rPr>
        <w:t>Owner/Developer/Project Proponent</w:t>
      </w:r>
      <w:r>
        <w:rPr>
          <w:spacing w:val="40"/>
          <w:sz w:val="22"/>
        </w:rPr>
        <w:t> </w:t>
      </w:r>
      <w:r>
        <w:rPr>
          <w:sz w:val="22"/>
        </w:rPr>
        <w:t>that</w:t>
      </w:r>
      <w:r>
        <w:rPr>
          <w:spacing w:val="40"/>
          <w:sz w:val="22"/>
        </w:rPr>
        <w:t> </w:t>
      </w:r>
      <w:r>
        <w:rPr>
          <w:sz w:val="22"/>
        </w:rPr>
        <w:t>he</w:t>
      </w:r>
      <w:r>
        <w:rPr>
          <w:spacing w:val="40"/>
          <w:sz w:val="22"/>
        </w:rPr>
        <w:t> </w:t>
      </w:r>
      <w:r>
        <w:rPr>
          <w:sz w:val="22"/>
        </w:rPr>
        <w:t>shall</w:t>
      </w:r>
      <w:r>
        <w:rPr>
          <w:spacing w:val="40"/>
          <w:sz w:val="22"/>
        </w:rPr>
        <w:t> </w:t>
      </w:r>
      <w:r>
        <w:rPr>
          <w:sz w:val="22"/>
        </w:rPr>
        <w:t>comply</w:t>
      </w:r>
      <w:r>
        <w:rPr>
          <w:spacing w:val="40"/>
          <w:sz w:val="22"/>
        </w:rPr>
        <w:t> </w:t>
      </w:r>
      <w:r>
        <w:rPr>
          <w:sz w:val="22"/>
        </w:rPr>
        <w:t>with</w:t>
      </w:r>
      <w:r>
        <w:rPr>
          <w:spacing w:val="40"/>
          <w:sz w:val="22"/>
        </w:rPr>
        <w:t> </w:t>
      </w:r>
      <w:r>
        <w:rPr>
          <w:sz w:val="22"/>
        </w:rPr>
        <w:t>all</w:t>
      </w:r>
      <w:r>
        <w:rPr>
          <w:spacing w:val="40"/>
          <w:sz w:val="22"/>
        </w:rPr>
        <w:t> </w:t>
      </w:r>
      <w:r>
        <w:rPr>
          <w:sz w:val="22"/>
        </w:rPr>
        <w:t>the</w:t>
      </w:r>
      <w:r>
        <w:rPr>
          <w:spacing w:val="40"/>
          <w:sz w:val="22"/>
        </w:rPr>
        <w:t> </w:t>
      </w:r>
      <w:r>
        <w:rPr>
          <w:sz w:val="22"/>
        </w:rPr>
        <w:t>requirements</w:t>
      </w:r>
      <w:r>
        <w:rPr>
          <w:spacing w:val="40"/>
          <w:sz w:val="22"/>
        </w:rPr>
        <w:t> </w:t>
      </w:r>
      <w:r>
        <w:rPr>
          <w:sz w:val="22"/>
        </w:rPr>
        <w:t>of</w:t>
      </w:r>
      <w:r>
        <w:rPr>
          <w:spacing w:val="40"/>
          <w:sz w:val="22"/>
        </w:rPr>
        <w:t> </w:t>
      </w:r>
      <w:r>
        <w:rPr>
          <w:sz w:val="22"/>
        </w:rPr>
        <w:t>special</w:t>
      </w:r>
      <w:r>
        <w:rPr>
          <w:spacing w:val="40"/>
          <w:sz w:val="22"/>
        </w:rPr>
        <w:t> </w:t>
      </w:r>
      <w:r>
        <w:rPr>
          <w:sz w:val="22"/>
        </w:rPr>
        <w:t>NOCs, Laws,</w:t>
      </w:r>
      <w:r>
        <w:rPr>
          <w:spacing w:val="40"/>
          <w:sz w:val="22"/>
        </w:rPr>
        <w:t> </w:t>
      </w:r>
      <w:r>
        <w:rPr>
          <w:sz w:val="22"/>
        </w:rPr>
        <w:t>and</w:t>
      </w:r>
      <w:r>
        <w:rPr>
          <w:spacing w:val="40"/>
          <w:sz w:val="22"/>
        </w:rPr>
        <w:t> </w:t>
      </w:r>
      <w:r>
        <w:rPr>
          <w:sz w:val="22"/>
        </w:rPr>
        <w:t>Regulations</w:t>
      </w:r>
      <w:r>
        <w:rPr>
          <w:spacing w:val="40"/>
          <w:sz w:val="22"/>
        </w:rPr>
        <w:t> </w:t>
      </w:r>
      <w:r>
        <w:rPr>
          <w:sz w:val="22"/>
        </w:rPr>
        <w:t>that</w:t>
      </w:r>
      <w:r>
        <w:rPr>
          <w:spacing w:val="40"/>
          <w:sz w:val="22"/>
        </w:rPr>
        <w:t> </w:t>
      </w:r>
      <w:r>
        <w:rPr>
          <w:sz w:val="22"/>
        </w:rPr>
        <w:t>are</w:t>
      </w:r>
      <w:r>
        <w:rPr>
          <w:spacing w:val="40"/>
          <w:sz w:val="22"/>
        </w:rPr>
        <w:t> </w:t>
      </w:r>
      <w:r>
        <w:rPr>
          <w:sz w:val="22"/>
        </w:rPr>
        <w:t>applicable</w:t>
      </w:r>
      <w:r>
        <w:rPr>
          <w:spacing w:val="40"/>
          <w:sz w:val="22"/>
        </w:rPr>
        <w:t> </w:t>
      </w:r>
      <w:r>
        <w:rPr>
          <w:sz w:val="22"/>
        </w:rPr>
        <w:t>from</w:t>
      </w:r>
      <w:r>
        <w:rPr>
          <w:spacing w:val="40"/>
          <w:sz w:val="22"/>
        </w:rPr>
        <w:t> </w:t>
      </w:r>
      <w:r>
        <w:rPr>
          <w:sz w:val="22"/>
        </w:rPr>
        <w:t>time</w:t>
      </w:r>
      <w:r>
        <w:rPr>
          <w:spacing w:val="40"/>
          <w:sz w:val="22"/>
        </w:rPr>
        <w:t> </w:t>
      </w:r>
      <w:r>
        <w:rPr>
          <w:sz w:val="22"/>
        </w:rPr>
        <w:t>to</w:t>
      </w:r>
      <w:r>
        <w:rPr>
          <w:spacing w:val="40"/>
          <w:sz w:val="22"/>
        </w:rPr>
        <w:t> </w:t>
      </w:r>
      <w:r>
        <w:rPr>
          <w:sz w:val="22"/>
        </w:rPr>
        <w:t>time.</w:t>
      </w:r>
      <w:r>
        <w:rPr>
          <w:spacing w:val="80"/>
          <w:w w:val="150"/>
          <w:sz w:val="22"/>
        </w:rPr>
        <w:t> </w:t>
      </w:r>
      <w:r>
        <w:rPr>
          <w:sz w:val="22"/>
        </w:rPr>
        <w:t>The</w:t>
      </w:r>
      <w:r>
        <w:rPr>
          <w:spacing w:val="40"/>
          <w:sz w:val="22"/>
        </w:rPr>
        <w:t> </w:t>
      </w:r>
      <w:r>
        <w:rPr>
          <w:sz w:val="22"/>
        </w:rPr>
        <w:t>illustrative list</w:t>
      </w:r>
      <w:r>
        <w:rPr>
          <w:spacing w:val="40"/>
          <w:sz w:val="22"/>
        </w:rPr>
        <w:t> </w:t>
      </w:r>
      <w:r>
        <w:rPr>
          <w:sz w:val="22"/>
        </w:rPr>
        <w:t>of</w:t>
      </w:r>
      <w:r>
        <w:rPr>
          <w:spacing w:val="40"/>
          <w:sz w:val="22"/>
        </w:rPr>
        <w:t> </w:t>
      </w:r>
      <w:r>
        <w:rPr>
          <w:sz w:val="22"/>
        </w:rPr>
        <w:t>special</w:t>
      </w:r>
      <w:r>
        <w:rPr>
          <w:spacing w:val="40"/>
          <w:sz w:val="22"/>
        </w:rPr>
        <w:t> </w:t>
      </w:r>
      <w:r>
        <w:rPr>
          <w:sz w:val="22"/>
        </w:rPr>
        <w:t>purpose</w:t>
      </w:r>
      <w:r>
        <w:rPr>
          <w:spacing w:val="40"/>
          <w:sz w:val="22"/>
        </w:rPr>
        <w:t> </w:t>
      </w:r>
      <w:r>
        <w:rPr>
          <w:sz w:val="22"/>
        </w:rPr>
        <w:t>NOC’s</w:t>
      </w:r>
      <w:r>
        <w:rPr>
          <w:spacing w:val="40"/>
          <w:sz w:val="22"/>
        </w:rPr>
        <w:t> </w:t>
      </w:r>
      <w:r>
        <w:rPr>
          <w:sz w:val="22"/>
        </w:rPr>
        <w:t>is</w:t>
      </w:r>
      <w:r>
        <w:rPr>
          <w:spacing w:val="40"/>
          <w:sz w:val="22"/>
        </w:rPr>
        <w:t> </w:t>
      </w:r>
      <w:r>
        <w:rPr>
          <w:sz w:val="22"/>
        </w:rPr>
        <w:t>mentioned</w:t>
      </w:r>
      <w:r>
        <w:rPr>
          <w:spacing w:val="40"/>
          <w:sz w:val="22"/>
        </w:rPr>
        <w:t> </w:t>
      </w:r>
      <w:r>
        <w:rPr>
          <w:sz w:val="22"/>
        </w:rPr>
        <w:t>in</w:t>
      </w:r>
      <w:r>
        <w:rPr>
          <w:spacing w:val="40"/>
          <w:sz w:val="22"/>
        </w:rPr>
        <w:t> </w:t>
      </w:r>
      <w:r>
        <w:rPr>
          <w:sz w:val="22"/>
        </w:rPr>
        <w:t>Appendix</w:t>
      </w:r>
      <w:r>
        <w:rPr>
          <w:spacing w:val="40"/>
          <w:sz w:val="22"/>
        </w:rPr>
        <w:t> </w:t>
      </w:r>
      <w:r>
        <w:rPr>
          <w:sz w:val="22"/>
        </w:rPr>
        <w:t>III</w:t>
      </w:r>
    </w:p>
    <w:p>
      <w:pPr>
        <w:pStyle w:val="ListParagraph"/>
        <w:numPr>
          <w:ilvl w:val="0"/>
          <w:numId w:val="263"/>
        </w:numPr>
        <w:tabs>
          <w:tab w:pos="1493" w:val="left" w:leader="none"/>
        </w:tabs>
        <w:spacing w:line="240" w:lineRule="auto" w:before="239" w:after="0"/>
        <w:ind w:left="1493" w:right="0" w:hanging="721"/>
        <w:jc w:val="left"/>
        <w:rPr>
          <w:b/>
          <w:sz w:val="22"/>
        </w:rPr>
      </w:pPr>
      <w:r>
        <w:rPr>
          <w:b/>
          <w:i/>
          <w:sz w:val="22"/>
        </w:rPr>
        <w:t>Repairs</w:t>
      </w:r>
      <w:r>
        <w:rPr>
          <w:b/>
          <w:i/>
          <w:spacing w:val="-6"/>
          <w:sz w:val="22"/>
        </w:rPr>
        <w:t> </w:t>
      </w:r>
      <w:r>
        <w:rPr>
          <w:b/>
          <w:i/>
          <w:sz w:val="22"/>
        </w:rPr>
        <w:t>to</w:t>
      </w:r>
      <w:r>
        <w:rPr>
          <w:b/>
          <w:i/>
          <w:spacing w:val="-6"/>
          <w:sz w:val="22"/>
        </w:rPr>
        <w:t> </w:t>
      </w:r>
      <w:r>
        <w:rPr>
          <w:b/>
          <w:i/>
          <w:sz w:val="22"/>
        </w:rPr>
        <w:t>Existing</w:t>
      </w:r>
      <w:r>
        <w:rPr>
          <w:b/>
          <w:i/>
          <w:spacing w:val="-5"/>
          <w:sz w:val="22"/>
        </w:rPr>
        <w:t> </w:t>
      </w:r>
      <w:r>
        <w:rPr>
          <w:b/>
          <w:i/>
          <w:spacing w:val="-2"/>
          <w:sz w:val="22"/>
        </w:rPr>
        <w:t>Building</w:t>
      </w:r>
    </w:p>
    <w:p>
      <w:pPr>
        <w:spacing w:before="241"/>
        <w:ind w:left="1493" w:right="779" w:firstLine="0"/>
        <w:jc w:val="both"/>
        <w:rPr>
          <w:sz w:val="22"/>
        </w:rPr>
      </w:pPr>
      <w:r>
        <w:rPr>
          <w:sz w:val="22"/>
        </w:rPr>
        <w:t>The structural/extensive repairs to the existing buildings, which have been constructed</w:t>
      </w:r>
      <w:r>
        <w:rPr>
          <w:spacing w:val="40"/>
          <w:sz w:val="22"/>
        </w:rPr>
        <w:t> </w:t>
      </w:r>
      <w:r>
        <w:rPr>
          <w:sz w:val="22"/>
        </w:rPr>
        <w:t>with</w:t>
      </w:r>
      <w:r>
        <w:rPr>
          <w:spacing w:val="40"/>
          <w:sz w:val="22"/>
        </w:rPr>
        <w:t> </w:t>
      </w:r>
      <w:r>
        <w:rPr>
          <w:sz w:val="22"/>
        </w:rPr>
        <w:t>the</w:t>
      </w:r>
      <w:r>
        <w:rPr>
          <w:spacing w:val="40"/>
          <w:sz w:val="22"/>
        </w:rPr>
        <w:t> </w:t>
      </w:r>
      <w:r>
        <w:rPr>
          <w:sz w:val="22"/>
        </w:rPr>
        <w:t>approval</w:t>
      </w:r>
      <w:r>
        <w:rPr>
          <w:spacing w:val="40"/>
          <w:sz w:val="22"/>
        </w:rPr>
        <w:t> </w:t>
      </w:r>
      <w:r>
        <w:rPr>
          <w:sz w:val="22"/>
        </w:rPr>
        <w:t>from</w:t>
      </w:r>
      <w:r>
        <w:rPr>
          <w:spacing w:val="40"/>
          <w:sz w:val="22"/>
        </w:rPr>
        <w:t> </w:t>
      </w:r>
      <w:r>
        <w:rPr>
          <w:sz w:val="22"/>
        </w:rPr>
        <w:t>the</w:t>
      </w:r>
      <w:r>
        <w:rPr>
          <w:spacing w:val="40"/>
          <w:sz w:val="22"/>
        </w:rPr>
        <w:t> </w:t>
      </w:r>
      <w:r>
        <w:rPr>
          <w:sz w:val="22"/>
        </w:rPr>
        <w:t>competent</w:t>
      </w:r>
      <w:r>
        <w:rPr>
          <w:spacing w:val="40"/>
          <w:sz w:val="22"/>
        </w:rPr>
        <w:t> </w:t>
      </w:r>
      <w:r>
        <w:rPr>
          <w:sz w:val="22"/>
        </w:rPr>
        <w:t>authority</w:t>
      </w:r>
      <w:r>
        <w:rPr>
          <w:spacing w:val="40"/>
          <w:sz w:val="22"/>
        </w:rPr>
        <w:t> </w:t>
      </w:r>
      <w:r>
        <w:rPr>
          <w:sz w:val="22"/>
        </w:rPr>
        <w:t>or</w:t>
      </w:r>
      <w:r>
        <w:rPr>
          <w:spacing w:val="40"/>
          <w:sz w:val="22"/>
        </w:rPr>
        <w:t> </w:t>
      </w:r>
      <w:r>
        <w:rPr>
          <w:sz w:val="22"/>
        </w:rPr>
        <w:t>were</w:t>
      </w:r>
      <w:r>
        <w:rPr>
          <w:spacing w:val="40"/>
          <w:sz w:val="22"/>
        </w:rPr>
        <w:t> </w:t>
      </w:r>
      <w:r>
        <w:rPr>
          <w:sz w:val="22"/>
        </w:rPr>
        <w:t>in existence</w:t>
      </w:r>
      <w:r>
        <w:rPr>
          <w:spacing w:val="40"/>
          <w:sz w:val="22"/>
        </w:rPr>
        <w:t> </w:t>
      </w:r>
      <w:r>
        <w:rPr>
          <w:sz w:val="22"/>
        </w:rPr>
        <w:t>prior</w:t>
      </w:r>
      <w:r>
        <w:rPr>
          <w:spacing w:val="40"/>
          <w:sz w:val="22"/>
        </w:rPr>
        <w:t> </w:t>
      </w:r>
      <w:r>
        <w:rPr>
          <w:sz w:val="22"/>
        </w:rPr>
        <w:t>to17.04.1964</w:t>
      </w:r>
      <w:r>
        <w:rPr>
          <w:spacing w:val="40"/>
          <w:sz w:val="22"/>
        </w:rPr>
        <w:t> </w:t>
      </w:r>
      <w:r>
        <w:rPr>
          <w:sz w:val="22"/>
        </w:rPr>
        <w:t>in</w:t>
      </w:r>
      <w:r>
        <w:rPr>
          <w:spacing w:val="40"/>
          <w:sz w:val="22"/>
        </w:rPr>
        <w:t> </w:t>
      </w:r>
      <w:r>
        <w:rPr>
          <w:sz w:val="22"/>
        </w:rPr>
        <w:t>respect</w:t>
      </w:r>
      <w:r>
        <w:rPr>
          <w:spacing w:val="40"/>
          <w:sz w:val="22"/>
        </w:rPr>
        <w:t> </w:t>
      </w:r>
      <w:r>
        <w:rPr>
          <w:sz w:val="22"/>
        </w:rPr>
        <w:t>of</w:t>
      </w:r>
      <w:r>
        <w:rPr>
          <w:spacing w:val="40"/>
          <w:sz w:val="22"/>
        </w:rPr>
        <w:t> </w:t>
      </w:r>
      <w:r>
        <w:rPr>
          <w:sz w:val="22"/>
        </w:rPr>
        <w:t>residential</w:t>
      </w:r>
      <w:r>
        <w:rPr>
          <w:spacing w:val="40"/>
          <w:sz w:val="22"/>
        </w:rPr>
        <w:t> </w:t>
      </w:r>
      <w:r>
        <w:rPr>
          <w:sz w:val="22"/>
        </w:rPr>
        <w:t>structures</w:t>
      </w:r>
      <w:r>
        <w:rPr>
          <w:spacing w:val="40"/>
          <w:sz w:val="22"/>
        </w:rPr>
        <w:t> </w:t>
      </w:r>
      <w:r>
        <w:rPr>
          <w:sz w:val="22"/>
        </w:rPr>
        <w:t>and 01.04.1962 in respect of </w:t>
      </w:r>
      <w:r>
        <w:rPr>
          <w:spacing w:val="10"/>
          <w:sz w:val="22"/>
        </w:rPr>
        <w:t>non-</w:t>
      </w:r>
      <w:r>
        <w:rPr>
          <w:sz w:val="22"/>
        </w:rPr>
        <w:t>residential structures and which are in need of structural/extensive repairs, may be allowed without change in footprint/planning.</w:t>
      </w:r>
      <w:r>
        <w:rPr>
          <w:spacing w:val="80"/>
          <w:sz w:val="22"/>
        </w:rPr>
        <w:t> </w:t>
      </w:r>
      <w:r>
        <w:rPr>
          <w:sz w:val="22"/>
        </w:rPr>
        <w:t>Under</w:t>
      </w:r>
      <w:r>
        <w:rPr>
          <w:spacing w:val="64"/>
          <w:w w:val="150"/>
          <w:sz w:val="22"/>
        </w:rPr>
        <w:t> </w:t>
      </w:r>
      <w:r>
        <w:rPr>
          <w:sz w:val="22"/>
        </w:rPr>
        <w:t>the</w:t>
      </w:r>
      <w:r>
        <w:rPr>
          <w:spacing w:val="64"/>
          <w:w w:val="150"/>
          <w:sz w:val="22"/>
        </w:rPr>
        <w:t> </w:t>
      </w:r>
      <w:r>
        <w:rPr>
          <w:sz w:val="22"/>
        </w:rPr>
        <w:t>guise</w:t>
      </w:r>
      <w:r>
        <w:rPr>
          <w:spacing w:val="80"/>
          <w:sz w:val="22"/>
        </w:rPr>
        <w:t> </w:t>
      </w:r>
      <w:r>
        <w:rPr>
          <w:sz w:val="22"/>
        </w:rPr>
        <w:t>of</w:t>
      </w:r>
      <w:r>
        <w:rPr>
          <w:spacing w:val="80"/>
          <w:sz w:val="22"/>
        </w:rPr>
        <w:t> </w:t>
      </w:r>
      <w:r>
        <w:rPr>
          <w:sz w:val="22"/>
        </w:rPr>
        <w:t>repairs,</w:t>
      </w:r>
      <w:r>
        <w:rPr>
          <w:spacing w:val="80"/>
          <w:sz w:val="22"/>
        </w:rPr>
        <w:t> </w:t>
      </w:r>
      <w:r>
        <w:rPr>
          <w:sz w:val="22"/>
        </w:rPr>
        <w:t>addition/alterations/vertical</w:t>
      </w:r>
      <w:r>
        <w:rPr>
          <w:spacing w:val="40"/>
          <w:sz w:val="22"/>
        </w:rPr>
        <w:t> </w:t>
      </w:r>
      <w:r>
        <w:rPr>
          <w:sz w:val="22"/>
        </w:rPr>
        <w:t>&amp;</w:t>
      </w:r>
      <w:r>
        <w:rPr>
          <w:spacing w:val="80"/>
          <w:sz w:val="22"/>
        </w:rPr>
        <w:t> </w:t>
      </w:r>
      <w:r>
        <w:rPr>
          <w:sz w:val="22"/>
        </w:rPr>
        <w:t>horizontal</w:t>
      </w:r>
      <w:r>
        <w:rPr>
          <w:spacing w:val="80"/>
          <w:sz w:val="22"/>
        </w:rPr>
        <w:t> </w:t>
      </w:r>
      <w:r>
        <w:rPr>
          <w:sz w:val="22"/>
        </w:rPr>
        <w:t>extension</w:t>
      </w:r>
      <w:r>
        <w:rPr>
          <w:spacing w:val="80"/>
          <w:sz w:val="22"/>
        </w:rPr>
        <w:t> </w:t>
      </w:r>
      <w:r>
        <w:rPr>
          <w:sz w:val="22"/>
        </w:rPr>
        <w:t>to</w:t>
      </w:r>
      <w:r>
        <w:rPr>
          <w:spacing w:val="80"/>
          <w:sz w:val="22"/>
        </w:rPr>
        <w:t> </w:t>
      </w:r>
      <w:r>
        <w:rPr>
          <w:sz w:val="22"/>
        </w:rPr>
        <w:t>the</w:t>
      </w:r>
      <w:r>
        <w:rPr>
          <w:spacing w:val="80"/>
          <w:sz w:val="22"/>
        </w:rPr>
        <w:t> </w:t>
      </w:r>
      <w:r>
        <w:rPr>
          <w:sz w:val="22"/>
        </w:rPr>
        <w:t>existing</w:t>
      </w:r>
      <w:r>
        <w:rPr>
          <w:spacing w:val="80"/>
          <w:sz w:val="22"/>
        </w:rPr>
        <w:t> </w:t>
      </w:r>
      <w:r>
        <w:rPr>
          <w:sz w:val="22"/>
        </w:rPr>
        <w:t>structures</w:t>
      </w:r>
      <w:r>
        <w:rPr>
          <w:spacing w:val="80"/>
          <w:sz w:val="22"/>
        </w:rPr>
        <w:t> </w:t>
      </w:r>
      <w:r>
        <w:rPr>
          <w:sz w:val="22"/>
        </w:rPr>
        <w:t>shall</w:t>
      </w:r>
      <w:r>
        <w:rPr>
          <w:spacing w:val="80"/>
          <w:sz w:val="22"/>
        </w:rPr>
        <w:t> </w:t>
      </w:r>
      <w:r>
        <w:rPr>
          <w:sz w:val="22"/>
        </w:rPr>
        <w:t>not</w:t>
      </w:r>
      <w:r>
        <w:rPr>
          <w:spacing w:val="80"/>
          <w:sz w:val="22"/>
        </w:rPr>
        <w:t> </w:t>
      </w:r>
      <w:r>
        <w:rPr>
          <w:sz w:val="22"/>
        </w:rPr>
        <w:t>be</w:t>
      </w:r>
      <w:r>
        <w:rPr>
          <w:spacing w:val="80"/>
          <w:sz w:val="22"/>
        </w:rPr>
        <w:t> </w:t>
      </w:r>
      <w:r>
        <w:rPr>
          <w:sz w:val="22"/>
        </w:rPr>
        <w:t>permissible. The structural /extensive repairs to the existing buildings may be allowed as described</w:t>
      </w:r>
      <w:r>
        <w:rPr>
          <w:spacing w:val="40"/>
          <w:sz w:val="22"/>
        </w:rPr>
        <w:t> </w:t>
      </w:r>
      <w:r>
        <w:rPr>
          <w:sz w:val="22"/>
        </w:rPr>
        <w:t>in</w:t>
      </w:r>
      <w:r>
        <w:rPr>
          <w:spacing w:val="40"/>
          <w:sz w:val="22"/>
        </w:rPr>
        <w:t> </w:t>
      </w:r>
      <w:r>
        <w:rPr>
          <w:sz w:val="22"/>
        </w:rPr>
        <w:t>Appendix</w:t>
      </w:r>
      <w:r>
        <w:rPr>
          <w:spacing w:val="40"/>
          <w:sz w:val="22"/>
        </w:rPr>
        <w:t> </w:t>
      </w:r>
      <w:r>
        <w:rPr>
          <w:sz w:val="22"/>
        </w:rPr>
        <w:t>IV.</w:t>
      </w:r>
    </w:p>
    <w:p>
      <w:pPr>
        <w:spacing w:before="240"/>
        <w:ind w:left="1493" w:right="0" w:hanging="721"/>
        <w:jc w:val="left"/>
        <w:rPr>
          <w:b/>
          <w:sz w:val="22"/>
        </w:rPr>
      </w:pPr>
      <w:r>
        <w:rPr>
          <w:b/>
          <w:sz w:val="22"/>
        </w:rPr>
        <w:t>60(A).Approvals</w:t>
      </w:r>
      <w:r>
        <w:rPr>
          <w:b/>
          <w:spacing w:val="80"/>
          <w:sz w:val="22"/>
        </w:rPr>
        <w:t> </w:t>
      </w:r>
      <w:r>
        <w:rPr>
          <w:b/>
          <w:sz w:val="22"/>
        </w:rPr>
        <w:t>of</w:t>
      </w:r>
      <w:r>
        <w:rPr>
          <w:b/>
          <w:spacing w:val="80"/>
          <w:sz w:val="22"/>
        </w:rPr>
        <w:t> </w:t>
      </w:r>
      <w:r>
        <w:rPr>
          <w:b/>
          <w:sz w:val="22"/>
        </w:rPr>
        <w:t>Building</w:t>
      </w:r>
      <w:r>
        <w:rPr>
          <w:b/>
          <w:spacing w:val="80"/>
          <w:sz w:val="22"/>
        </w:rPr>
        <w:t> </w:t>
      </w:r>
      <w:r>
        <w:rPr>
          <w:b/>
          <w:sz w:val="22"/>
        </w:rPr>
        <w:t>Permission</w:t>
      </w:r>
      <w:r>
        <w:rPr>
          <w:b/>
          <w:spacing w:val="80"/>
          <w:sz w:val="22"/>
        </w:rPr>
        <w:t> </w:t>
      </w:r>
      <w:r>
        <w:rPr>
          <w:b/>
          <w:sz w:val="22"/>
        </w:rPr>
        <w:t>on</w:t>
      </w:r>
      <w:r>
        <w:rPr>
          <w:b/>
          <w:spacing w:val="80"/>
          <w:sz w:val="22"/>
        </w:rPr>
        <w:t> </w:t>
      </w:r>
      <w:r>
        <w:rPr>
          <w:b/>
          <w:sz w:val="22"/>
        </w:rPr>
        <w:t>Fast</w:t>
      </w:r>
      <w:r>
        <w:rPr>
          <w:b/>
          <w:spacing w:val="80"/>
          <w:sz w:val="22"/>
        </w:rPr>
        <w:t> </w:t>
      </w:r>
      <w:r>
        <w:rPr>
          <w:b/>
          <w:sz w:val="22"/>
        </w:rPr>
        <w:t>Track</w:t>
      </w:r>
      <w:r>
        <w:rPr>
          <w:b/>
          <w:spacing w:val="80"/>
          <w:sz w:val="22"/>
        </w:rPr>
        <w:t> </w:t>
      </w:r>
      <w:r>
        <w:rPr>
          <w:b/>
          <w:sz w:val="22"/>
        </w:rPr>
        <w:t>based</w:t>
      </w:r>
      <w:r>
        <w:rPr>
          <w:b/>
          <w:spacing w:val="80"/>
          <w:sz w:val="22"/>
        </w:rPr>
        <w:t> </w:t>
      </w:r>
      <w:r>
        <w:rPr>
          <w:b/>
          <w:sz w:val="22"/>
        </w:rPr>
        <w:t>on</w:t>
      </w:r>
      <w:r>
        <w:rPr>
          <w:b/>
          <w:spacing w:val="80"/>
          <w:sz w:val="22"/>
        </w:rPr>
        <w:t> </w:t>
      </w:r>
      <w:r>
        <w:rPr>
          <w:b/>
          <w:sz w:val="22"/>
        </w:rPr>
        <w:t>Risk</w:t>
      </w:r>
      <w:r>
        <w:rPr>
          <w:b/>
          <w:spacing w:val="80"/>
          <w:sz w:val="22"/>
        </w:rPr>
        <w:t> </w:t>
      </w:r>
      <w:r>
        <w:rPr>
          <w:b/>
          <w:sz w:val="22"/>
        </w:rPr>
        <w:t>Based</w:t>
      </w:r>
      <w:r>
        <w:rPr>
          <w:b/>
          <w:spacing w:val="80"/>
          <w:sz w:val="22"/>
        </w:rPr>
        <w:t> </w:t>
      </w:r>
      <w:r>
        <w:rPr>
          <w:b/>
          <w:spacing w:val="-2"/>
          <w:sz w:val="22"/>
        </w:rPr>
        <w:t>categorization</w:t>
      </w:r>
    </w:p>
    <w:p>
      <w:pPr>
        <w:spacing w:line="276" w:lineRule="auto" w:before="242"/>
        <w:ind w:left="1493" w:right="785" w:firstLine="0"/>
        <w:jc w:val="both"/>
        <w:rPr>
          <w:sz w:val="22"/>
        </w:rPr>
      </w:pPr>
      <w:r>
        <w:rPr>
          <w:sz w:val="22"/>
        </w:rPr>
        <w:t>Notwithstanding anything contained in DCR/DCPR of the respective said Authority, the Regulations regarding approval of Building Permission by the Architect/L.S./Engineer at the stage of Commencement, Plinth checking and Completion</w:t>
      </w:r>
      <w:r>
        <w:rPr>
          <w:spacing w:val="40"/>
          <w:sz w:val="22"/>
        </w:rPr>
        <w:t> </w:t>
      </w:r>
      <w:r>
        <w:rPr>
          <w:sz w:val="22"/>
        </w:rPr>
        <w:t>cum</w:t>
      </w:r>
      <w:r>
        <w:rPr>
          <w:spacing w:val="40"/>
          <w:sz w:val="22"/>
        </w:rPr>
        <w:t> </w:t>
      </w:r>
      <w:r>
        <w:rPr>
          <w:sz w:val="22"/>
        </w:rPr>
        <w:t>Occupancy</w:t>
      </w:r>
      <w:r>
        <w:rPr>
          <w:spacing w:val="40"/>
          <w:sz w:val="22"/>
        </w:rPr>
        <w:t> </w:t>
      </w:r>
      <w:r>
        <w:rPr>
          <w:sz w:val="22"/>
        </w:rPr>
        <w:t>shall</w:t>
      </w:r>
      <w:r>
        <w:rPr>
          <w:spacing w:val="40"/>
          <w:sz w:val="22"/>
        </w:rPr>
        <w:t> </w:t>
      </w:r>
      <w:r>
        <w:rPr>
          <w:sz w:val="22"/>
        </w:rPr>
        <w:t>be</w:t>
      </w:r>
      <w:r>
        <w:rPr>
          <w:spacing w:val="80"/>
          <w:w w:val="150"/>
          <w:sz w:val="22"/>
        </w:rPr>
        <w:t> </w:t>
      </w:r>
      <w:r>
        <w:rPr>
          <w:sz w:val="22"/>
        </w:rPr>
        <w:t>as</w:t>
      </w:r>
      <w:r>
        <w:rPr>
          <w:spacing w:val="40"/>
          <w:sz w:val="22"/>
        </w:rPr>
        <w:t> </w:t>
      </w:r>
      <w:r>
        <w:rPr>
          <w:sz w:val="22"/>
        </w:rPr>
        <w:t>per</w:t>
      </w:r>
      <w:r>
        <w:rPr>
          <w:spacing w:val="40"/>
          <w:sz w:val="22"/>
        </w:rPr>
        <w:t> </w:t>
      </w:r>
      <w:r>
        <w:rPr>
          <w:sz w:val="22"/>
        </w:rPr>
        <w:t>Risk</w:t>
      </w:r>
      <w:r>
        <w:rPr>
          <w:spacing w:val="40"/>
          <w:sz w:val="22"/>
        </w:rPr>
        <w:t> </w:t>
      </w:r>
      <w:r>
        <w:rPr>
          <w:sz w:val="22"/>
        </w:rPr>
        <w:t>Based</w:t>
      </w:r>
      <w:r>
        <w:rPr>
          <w:spacing w:val="40"/>
          <w:sz w:val="22"/>
        </w:rPr>
        <w:t> </w:t>
      </w:r>
      <w:r>
        <w:rPr>
          <w:sz w:val="22"/>
        </w:rPr>
        <w:t>Classification</w:t>
      </w:r>
      <w:r>
        <w:rPr>
          <w:spacing w:val="40"/>
          <w:sz w:val="22"/>
        </w:rPr>
        <w:t> </w:t>
      </w:r>
      <w:r>
        <w:rPr>
          <w:sz w:val="22"/>
        </w:rPr>
        <w:t>of Building</w:t>
      </w:r>
      <w:r>
        <w:rPr>
          <w:spacing w:val="40"/>
          <w:sz w:val="22"/>
        </w:rPr>
        <w:t> </w:t>
      </w:r>
      <w:r>
        <w:rPr>
          <w:sz w:val="22"/>
        </w:rPr>
        <w:t>given</w:t>
      </w:r>
      <w:r>
        <w:rPr>
          <w:spacing w:val="40"/>
          <w:sz w:val="22"/>
        </w:rPr>
        <w:t> </w:t>
      </w:r>
      <w:r>
        <w:rPr>
          <w:sz w:val="22"/>
        </w:rPr>
        <w:t>in</w:t>
      </w:r>
      <w:r>
        <w:rPr>
          <w:spacing w:val="40"/>
          <w:sz w:val="22"/>
        </w:rPr>
        <w:t> </w:t>
      </w:r>
      <w:r>
        <w:rPr>
          <w:sz w:val="22"/>
        </w:rPr>
        <w:t>Table</w:t>
      </w:r>
      <w:r>
        <w:rPr>
          <w:spacing w:val="80"/>
          <w:w w:val="150"/>
          <w:sz w:val="22"/>
        </w:rPr>
        <w:t> </w:t>
      </w:r>
      <w:r>
        <w:rPr>
          <w:sz w:val="22"/>
        </w:rPr>
        <w:t>below:-</w:t>
      </w:r>
    </w:p>
    <w:p>
      <w:pPr>
        <w:pStyle w:val="BodyText"/>
        <w:jc w:val="left"/>
        <w:rPr>
          <w:sz w:val="20"/>
        </w:rPr>
      </w:pPr>
    </w:p>
    <w:p>
      <w:pPr>
        <w:pStyle w:val="BodyText"/>
        <w:jc w:val="left"/>
        <w:rPr>
          <w:sz w:val="20"/>
        </w:rPr>
      </w:pPr>
    </w:p>
    <w:p>
      <w:pPr>
        <w:pStyle w:val="BodyText"/>
        <w:spacing w:before="63"/>
        <w:jc w:val="left"/>
        <w:rPr>
          <w:sz w:val="20"/>
        </w:rPr>
      </w:pPr>
    </w:p>
    <w:tbl>
      <w:tblPr>
        <w:tblW w:w="0" w:type="auto"/>
        <w:jc w:val="left"/>
        <w:tblInd w:w="1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5"/>
        <w:gridCol w:w="2242"/>
        <w:gridCol w:w="2815"/>
        <w:gridCol w:w="3144"/>
      </w:tblGrid>
      <w:tr>
        <w:trPr>
          <w:trHeight w:val="258" w:hRule="atLeast"/>
        </w:trPr>
        <w:tc>
          <w:tcPr>
            <w:tcW w:w="605" w:type="dxa"/>
            <w:vMerge w:val="restart"/>
          </w:tcPr>
          <w:p>
            <w:pPr>
              <w:pStyle w:val="TableParagraph"/>
              <w:spacing w:line="257" w:lineRule="exact"/>
              <w:ind w:left="129"/>
              <w:rPr>
                <w:sz w:val="22"/>
              </w:rPr>
            </w:pPr>
            <w:r>
              <w:rPr>
                <w:spacing w:val="-5"/>
                <w:sz w:val="22"/>
              </w:rPr>
              <w:t>Sr.</w:t>
            </w:r>
          </w:p>
          <w:p>
            <w:pPr>
              <w:pStyle w:val="TableParagraph"/>
              <w:spacing w:before="1"/>
              <w:ind w:left="107"/>
              <w:rPr>
                <w:sz w:val="22"/>
              </w:rPr>
            </w:pPr>
            <w:r>
              <w:rPr>
                <w:spacing w:val="-5"/>
                <w:sz w:val="22"/>
              </w:rPr>
              <w:t>No.</w:t>
            </w:r>
          </w:p>
        </w:tc>
        <w:tc>
          <w:tcPr>
            <w:tcW w:w="2242" w:type="dxa"/>
            <w:vMerge w:val="restart"/>
          </w:tcPr>
          <w:p>
            <w:pPr>
              <w:pStyle w:val="TableParagraph"/>
              <w:spacing w:line="257" w:lineRule="exact"/>
              <w:ind w:left="126" w:firstLine="2"/>
              <w:rPr>
                <w:sz w:val="22"/>
              </w:rPr>
            </w:pPr>
            <w:r>
              <w:rPr>
                <w:sz w:val="22"/>
              </w:rPr>
              <w:t>Parameters</w:t>
            </w:r>
            <w:r>
              <w:rPr>
                <w:spacing w:val="63"/>
                <w:sz w:val="22"/>
              </w:rPr>
              <w:t> </w:t>
            </w:r>
            <w:r>
              <w:rPr>
                <w:sz w:val="22"/>
              </w:rPr>
              <w:t>to</w:t>
            </w:r>
            <w:r>
              <w:rPr>
                <w:spacing w:val="65"/>
                <w:sz w:val="22"/>
              </w:rPr>
              <w:t> </w:t>
            </w:r>
            <w:r>
              <w:rPr>
                <w:spacing w:val="-5"/>
                <w:sz w:val="22"/>
              </w:rPr>
              <w:t>be</w:t>
            </w:r>
          </w:p>
          <w:p>
            <w:pPr>
              <w:pStyle w:val="TableParagraph"/>
              <w:spacing w:line="256" w:lineRule="exact"/>
              <w:ind w:left="801" w:hanging="675"/>
              <w:rPr>
                <w:sz w:val="22"/>
              </w:rPr>
            </w:pPr>
            <w:r>
              <w:rPr>
                <w:sz w:val="22"/>
              </w:rPr>
              <w:t>consider for Risk </w:t>
            </w:r>
            <w:r>
              <w:rPr>
                <w:spacing w:val="-2"/>
                <w:sz w:val="22"/>
              </w:rPr>
              <w:t>Base.</w:t>
            </w:r>
          </w:p>
        </w:tc>
        <w:tc>
          <w:tcPr>
            <w:tcW w:w="5959" w:type="dxa"/>
            <w:gridSpan w:val="2"/>
          </w:tcPr>
          <w:p>
            <w:pPr>
              <w:pStyle w:val="TableParagraph"/>
              <w:spacing w:line="239" w:lineRule="exact"/>
              <w:jc w:val="center"/>
              <w:rPr>
                <w:sz w:val="22"/>
              </w:rPr>
            </w:pPr>
            <w:r>
              <w:rPr>
                <w:sz w:val="22"/>
              </w:rPr>
              <w:t>Risk</w:t>
            </w:r>
            <w:r>
              <w:rPr>
                <w:spacing w:val="44"/>
                <w:sz w:val="22"/>
              </w:rPr>
              <w:t> </w:t>
            </w:r>
            <w:r>
              <w:rPr>
                <w:spacing w:val="-2"/>
                <w:sz w:val="22"/>
              </w:rPr>
              <w:t>Category</w:t>
            </w:r>
          </w:p>
        </w:tc>
      </w:tr>
      <w:tr>
        <w:trPr>
          <w:trHeight w:val="506" w:hRule="atLeast"/>
        </w:trPr>
        <w:tc>
          <w:tcPr>
            <w:tcW w:w="605" w:type="dxa"/>
            <w:vMerge/>
            <w:tcBorders>
              <w:top w:val="nil"/>
            </w:tcBorders>
          </w:tcPr>
          <w:p>
            <w:pPr>
              <w:rPr>
                <w:sz w:val="2"/>
                <w:szCs w:val="2"/>
              </w:rPr>
            </w:pPr>
          </w:p>
        </w:tc>
        <w:tc>
          <w:tcPr>
            <w:tcW w:w="2242" w:type="dxa"/>
            <w:vMerge/>
            <w:tcBorders>
              <w:top w:val="nil"/>
            </w:tcBorders>
          </w:tcPr>
          <w:p>
            <w:pPr>
              <w:rPr>
                <w:sz w:val="2"/>
                <w:szCs w:val="2"/>
              </w:rPr>
            </w:pPr>
          </w:p>
        </w:tc>
        <w:tc>
          <w:tcPr>
            <w:tcW w:w="2815" w:type="dxa"/>
          </w:tcPr>
          <w:p>
            <w:pPr>
              <w:pStyle w:val="TableParagraph"/>
              <w:spacing w:line="257" w:lineRule="exact"/>
              <w:ind w:left="326"/>
              <w:rPr>
                <w:sz w:val="22"/>
              </w:rPr>
            </w:pPr>
            <w:r>
              <w:rPr>
                <w:sz w:val="22"/>
              </w:rPr>
              <w:t>Low</w:t>
            </w:r>
            <w:r>
              <w:rPr>
                <w:spacing w:val="40"/>
                <w:sz w:val="22"/>
              </w:rPr>
              <w:t> </w:t>
            </w:r>
            <w:r>
              <w:rPr>
                <w:sz w:val="22"/>
              </w:rPr>
              <w:t>Risk</w:t>
            </w:r>
            <w:r>
              <w:rPr>
                <w:spacing w:val="40"/>
                <w:sz w:val="22"/>
              </w:rPr>
              <w:t> </w:t>
            </w:r>
            <w:r>
              <w:rPr>
                <w:spacing w:val="-2"/>
                <w:sz w:val="22"/>
              </w:rPr>
              <w:t>Category</w:t>
            </w:r>
          </w:p>
        </w:tc>
        <w:tc>
          <w:tcPr>
            <w:tcW w:w="3144" w:type="dxa"/>
          </w:tcPr>
          <w:p>
            <w:pPr>
              <w:pStyle w:val="TableParagraph"/>
              <w:spacing w:line="257" w:lineRule="exact"/>
              <w:ind w:left="180"/>
              <w:rPr>
                <w:sz w:val="22"/>
              </w:rPr>
            </w:pPr>
            <w:r>
              <w:rPr>
                <w:sz w:val="22"/>
              </w:rPr>
              <w:t>Moderate</w:t>
            </w:r>
            <w:r>
              <w:rPr>
                <w:spacing w:val="65"/>
                <w:sz w:val="22"/>
              </w:rPr>
              <w:t> </w:t>
            </w:r>
            <w:r>
              <w:rPr>
                <w:sz w:val="22"/>
              </w:rPr>
              <w:t>Risk</w:t>
            </w:r>
            <w:r>
              <w:rPr>
                <w:spacing w:val="62"/>
                <w:sz w:val="22"/>
              </w:rPr>
              <w:t> </w:t>
            </w:r>
            <w:r>
              <w:rPr>
                <w:spacing w:val="-2"/>
                <w:sz w:val="22"/>
              </w:rPr>
              <w:t>Category</w:t>
            </w:r>
          </w:p>
        </w:tc>
      </w:tr>
    </w:tbl>
    <w:p>
      <w:pPr>
        <w:pStyle w:val="TableParagraph"/>
        <w:spacing w:after="0" w:line="257" w:lineRule="exact"/>
        <w:rPr>
          <w:sz w:val="22"/>
        </w:rPr>
        <w:sectPr>
          <w:pgSz w:w="11910" w:h="16840"/>
          <w:pgMar w:header="1065" w:footer="1194" w:top="1500" w:bottom="1380" w:left="360" w:right="360"/>
        </w:sectPr>
      </w:pPr>
    </w:p>
    <w:p>
      <w:pPr>
        <w:pStyle w:val="BodyText"/>
        <w:spacing w:before="14" w:after="1"/>
        <w:jc w:val="left"/>
        <w:rPr>
          <w:sz w:val="20"/>
        </w:rPr>
      </w:pPr>
    </w:p>
    <w:tbl>
      <w:tblPr>
        <w:tblW w:w="0" w:type="auto"/>
        <w:jc w:val="left"/>
        <w:tblInd w:w="1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5"/>
        <w:gridCol w:w="2242"/>
        <w:gridCol w:w="2815"/>
        <w:gridCol w:w="3144"/>
      </w:tblGrid>
      <w:tr>
        <w:trPr>
          <w:trHeight w:val="1034" w:hRule="atLeast"/>
        </w:trPr>
        <w:tc>
          <w:tcPr>
            <w:tcW w:w="605" w:type="dxa"/>
          </w:tcPr>
          <w:p>
            <w:pPr>
              <w:pStyle w:val="TableParagraph"/>
              <w:spacing w:before="1"/>
              <w:ind w:left="9" w:right="9"/>
              <w:jc w:val="center"/>
              <w:rPr>
                <w:sz w:val="22"/>
              </w:rPr>
            </w:pPr>
            <w:r>
              <w:rPr>
                <w:spacing w:val="-10"/>
                <w:sz w:val="22"/>
              </w:rPr>
              <w:t>1</w:t>
            </w:r>
          </w:p>
        </w:tc>
        <w:tc>
          <w:tcPr>
            <w:tcW w:w="2242" w:type="dxa"/>
          </w:tcPr>
          <w:p>
            <w:pPr>
              <w:pStyle w:val="TableParagraph"/>
              <w:tabs>
                <w:tab w:pos="1604" w:val="left" w:leader="none"/>
              </w:tabs>
              <w:spacing w:line="258" w:lineRule="exact" w:before="1"/>
              <w:ind w:left="107"/>
              <w:rPr>
                <w:sz w:val="22"/>
              </w:rPr>
            </w:pPr>
            <w:r>
              <w:rPr>
                <w:spacing w:val="-4"/>
                <w:sz w:val="22"/>
              </w:rPr>
              <w:t>Plot</w:t>
            </w:r>
            <w:r>
              <w:rPr>
                <w:sz w:val="22"/>
              </w:rPr>
              <w:tab/>
            </w:r>
            <w:r>
              <w:rPr>
                <w:spacing w:val="-4"/>
                <w:sz w:val="22"/>
              </w:rPr>
              <w:t>Area</w:t>
            </w:r>
          </w:p>
          <w:p>
            <w:pPr>
              <w:pStyle w:val="TableParagraph"/>
              <w:tabs>
                <w:tab w:pos="1813" w:val="left" w:leader="none"/>
              </w:tabs>
              <w:spacing w:line="258" w:lineRule="exact"/>
              <w:ind w:left="107"/>
              <w:rPr>
                <w:sz w:val="22"/>
              </w:rPr>
            </w:pPr>
            <w:r>
              <w:rPr>
                <w:spacing w:val="-2"/>
                <w:sz w:val="22"/>
              </w:rPr>
              <w:t>considered</w:t>
            </w:r>
            <w:r>
              <w:rPr>
                <w:sz w:val="22"/>
              </w:rPr>
              <w:tab/>
            </w:r>
            <w:r>
              <w:rPr>
                <w:spacing w:val="-5"/>
                <w:sz w:val="22"/>
              </w:rPr>
              <w:t>for</w:t>
            </w:r>
          </w:p>
          <w:p>
            <w:pPr>
              <w:pStyle w:val="TableParagraph"/>
              <w:tabs>
                <w:tab w:pos="1426" w:val="left" w:leader="none"/>
              </w:tabs>
              <w:spacing w:line="256" w:lineRule="exact"/>
              <w:ind w:left="107" w:right="110"/>
              <w:rPr>
                <w:sz w:val="22"/>
              </w:rPr>
            </w:pPr>
            <w:r>
              <w:rPr>
                <w:spacing w:val="-4"/>
                <w:sz w:val="22"/>
              </w:rPr>
              <w:t>Risk</w:t>
            </w:r>
            <w:r>
              <w:rPr>
                <w:sz w:val="22"/>
              </w:rPr>
              <w:tab/>
            </w:r>
            <w:r>
              <w:rPr>
                <w:spacing w:val="-4"/>
                <w:sz w:val="22"/>
              </w:rPr>
              <w:t>Based </w:t>
            </w:r>
            <w:r>
              <w:rPr>
                <w:spacing w:val="-2"/>
                <w:sz w:val="22"/>
              </w:rPr>
              <w:t>Assessment.</w:t>
            </w:r>
          </w:p>
        </w:tc>
        <w:tc>
          <w:tcPr>
            <w:tcW w:w="2815" w:type="dxa"/>
          </w:tcPr>
          <w:p>
            <w:pPr>
              <w:pStyle w:val="TableParagraph"/>
              <w:tabs>
                <w:tab w:pos="1425" w:val="left" w:leader="none"/>
                <w:tab w:pos="1917" w:val="left" w:leader="none"/>
                <w:tab w:pos="2255" w:val="left" w:leader="none"/>
              </w:tabs>
              <w:spacing w:before="1"/>
              <w:ind w:left="107" w:right="106"/>
              <w:rPr>
                <w:sz w:val="22"/>
              </w:rPr>
            </w:pPr>
            <w:r>
              <w:rPr>
                <w:spacing w:val="-2"/>
                <w:sz w:val="22"/>
              </w:rPr>
              <w:t>Buildings</w:t>
            </w:r>
            <w:r>
              <w:rPr>
                <w:sz w:val="22"/>
              </w:rPr>
              <w:tab/>
            </w:r>
            <w:r>
              <w:rPr>
                <w:spacing w:val="-6"/>
                <w:sz w:val="22"/>
              </w:rPr>
              <w:t>on</w:t>
            </w:r>
            <w:r>
              <w:rPr>
                <w:sz w:val="22"/>
              </w:rPr>
              <w:tab/>
            </w:r>
            <w:r>
              <w:rPr>
                <w:spacing w:val="-10"/>
                <w:sz w:val="22"/>
              </w:rPr>
              <w:t>a</w:t>
            </w:r>
            <w:r>
              <w:rPr>
                <w:sz w:val="22"/>
              </w:rPr>
              <w:tab/>
            </w:r>
            <w:r>
              <w:rPr>
                <w:spacing w:val="-4"/>
                <w:sz w:val="22"/>
              </w:rPr>
              <w:t>plot </w:t>
            </w:r>
            <w:r>
              <w:rPr>
                <w:sz w:val="22"/>
              </w:rPr>
              <w:t>area upto150 sq.m.</w:t>
            </w:r>
          </w:p>
        </w:tc>
        <w:tc>
          <w:tcPr>
            <w:tcW w:w="3144" w:type="dxa"/>
          </w:tcPr>
          <w:p>
            <w:pPr>
              <w:pStyle w:val="TableParagraph"/>
              <w:spacing w:before="1"/>
              <w:ind w:left="108" w:right="109"/>
              <w:jc w:val="both"/>
              <w:rPr>
                <w:sz w:val="22"/>
              </w:rPr>
            </w:pPr>
            <w:r>
              <w:rPr>
                <w:sz w:val="22"/>
              </w:rPr>
              <w:t>Buildings on a plot </w:t>
            </w:r>
            <w:r>
              <w:rPr>
                <w:sz w:val="22"/>
              </w:rPr>
              <w:t>area between 151 sq m and </w:t>
            </w:r>
            <w:r>
              <w:rPr>
                <w:spacing w:val="-2"/>
                <w:sz w:val="22"/>
              </w:rPr>
              <w:t>upto200sq.m.</w:t>
            </w:r>
          </w:p>
        </w:tc>
      </w:tr>
      <w:tr>
        <w:trPr>
          <w:trHeight w:val="1034" w:hRule="atLeast"/>
        </w:trPr>
        <w:tc>
          <w:tcPr>
            <w:tcW w:w="605" w:type="dxa"/>
          </w:tcPr>
          <w:p>
            <w:pPr>
              <w:pStyle w:val="TableParagraph"/>
              <w:spacing w:line="257" w:lineRule="exact"/>
              <w:ind w:left="9" w:right="9"/>
              <w:jc w:val="center"/>
              <w:rPr>
                <w:sz w:val="22"/>
              </w:rPr>
            </w:pPr>
            <w:r>
              <w:rPr>
                <w:spacing w:val="-10"/>
                <w:sz w:val="22"/>
              </w:rPr>
              <w:t>2</w:t>
            </w:r>
          </w:p>
        </w:tc>
        <w:tc>
          <w:tcPr>
            <w:tcW w:w="2242" w:type="dxa"/>
          </w:tcPr>
          <w:p>
            <w:pPr>
              <w:pStyle w:val="TableParagraph"/>
              <w:tabs>
                <w:tab w:pos="1889" w:val="left" w:leader="none"/>
              </w:tabs>
              <w:ind w:left="107" w:right="110"/>
              <w:rPr>
                <w:sz w:val="22"/>
              </w:rPr>
            </w:pPr>
            <w:r>
              <w:rPr>
                <w:spacing w:val="-2"/>
                <w:sz w:val="22"/>
              </w:rPr>
              <w:t>Permissibility</w:t>
            </w:r>
            <w:r>
              <w:rPr>
                <w:sz w:val="22"/>
              </w:rPr>
              <w:tab/>
            </w:r>
            <w:r>
              <w:rPr>
                <w:spacing w:val="-6"/>
                <w:sz w:val="22"/>
              </w:rPr>
              <w:t>In </w:t>
            </w:r>
            <w:r>
              <w:rPr>
                <w:spacing w:val="-2"/>
                <w:sz w:val="22"/>
              </w:rPr>
              <w:t>Development</w:t>
            </w:r>
            <w:r>
              <w:rPr>
                <w:spacing w:val="40"/>
                <w:sz w:val="22"/>
              </w:rPr>
              <w:t>  </w:t>
            </w:r>
            <w:r>
              <w:rPr>
                <w:sz w:val="22"/>
              </w:rPr>
              <w:t>Plan Zone</w:t>
            </w:r>
          </w:p>
        </w:tc>
        <w:tc>
          <w:tcPr>
            <w:tcW w:w="2815" w:type="dxa"/>
          </w:tcPr>
          <w:p>
            <w:pPr>
              <w:pStyle w:val="TableParagraph"/>
              <w:tabs>
                <w:tab w:pos="2063" w:val="left" w:leader="none"/>
              </w:tabs>
              <w:ind w:left="107" w:right="105"/>
              <w:rPr>
                <w:sz w:val="22"/>
              </w:rPr>
            </w:pPr>
            <w:r>
              <w:rPr>
                <w:spacing w:val="-2"/>
                <w:sz w:val="22"/>
              </w:rPr>
              <w:t>Residential</w:t>
            </w:r>
            <w:r>
              <w:rPr>
                <w:sz w:val="22"/>
              </w:rPr>
              <w:tab/>
            </w:r>
            <w:r>
              <w:rPr>
                <w:spacing w:val="-4"/>
                <w:sz w:val="22"/>
              </w:rPr>
              <w:t>Zone, </w:t>
            </w:r>
            <w:r>
              <w:rPr>
                <w:sz w:val="22"/>
              </w:rPr>
              <w:t>Commercial zone and </w:t>
            </w:r>
            <w:r>
              <w:rPr>
                <w:spacing w:val="7"/>
                <w:sz w:val="22"/>
              </w:rPr>
              <w:t>Public-Semi-</w:t>
            </w:r>
            <w:r>
              <w:rPr>
                <w:sz w:val="22"/>
              </w:rPr>
              <w:t>public</w:t>
            </w:r>
          </w:p>
          <w:p>
            <w:pPr>
              <w:pStyle w:val="TableParagraph"/>
              <w:spacing w:line="240" w:lineRule="exact"/>
              <w:ind w:left="107"/>
              <w:rPr>
                <w:sz w:val="22"/>
              </w:rPr>
            </w:pPr>
            <w:r>
              <w:rPr>
                <w:spacing w:val="-4"/>
                <w:sz w:val="22"/>
              </w:rPr>
              <w:t>Zone</w:t>
            </w:r>
          </w:p>
        </w:tc>
        <w:tc>
          <w:tcPr>
            <w:tcW w:w="3144" w:type="dxa"/>
          </w:tcPr>
          <w:p>
            <w:pPr>
              <w:pStyle w:val="TableParagraph"/>
              <w:ind w:left="108" w:right="164"/>
              <w:rPr>
                <w:sz w:val="22"/>
              </w:rPr>
            </w:pPr>
            <w:r>
              <w:rPr>
                <w:sz w:val="22"/>
              </w:rPr>
              <w:t>Residential Zone, Commercial zone and </w:t>
            </w:r>
            <w:r>
              <w:rPr>
                <w:spacing w:val="9"/>
                <w:sz w:val="22"/>
              </w:rPr>
              <w:t>Public-Semi-</w:t>
            </w:r>
            <w:r>
              <w:rPr>
                <w:sz w:val="22"/>
              </w:rPr>
              <w:t>public Zone</w:t>
            </w:r>
          </w:p>
        </w:tc>
      </w:tr>
      <w:tr>
        <w:trPr>
          <w:trHeight w:val="1807" w:hRule="atLeast"/>
        </w:trPr>
        <w:tc>
          <w:tcPr>
            <w:tcW w:w="605" w:type="dxa"/>
          </w:tcPr>
          <w:p>
            <w:pPr>
              <w:pStyle w:val="TableParagraph"/>
              <w:spacing w:line="257" w:lineRule="exact"/>
              <w:ind w:left="9" w:right="9"/>
              <w:jc w:val="center"/>
              <w:rPr>
                <w:sz w:val="22"/>
              </w:rPr>
            </w:pPr>
            <w:r>
              <w:rPr>
                <w:spacing w:val="-10"/>
                <w:sz w:val="22"/>
              </w:rPr>
              <w:t>3</w:t>
            </w:r>
          </w:p>
        </w:tc>
        <w:tc>
          <w:tcPr>
            <w:tcW w:w="2242" w:type="dxa"/>
          </w:tcPr>
          <w:p>
            <w:pPr>
              <w:pStyle w:val="TableParagraph"/>
              <w:spacing w:line="257" w:lineRule="exact"/>
              <w:ind w:left="107"/>
              <w:rPr>
                <w:sz w:val="22"/>
              </w:rPr>
            </w:pPr>
            <w:r>
              <w:rPr>
                <w:sz w:val="22"/>
              </w:rPr>
              <w:t>Plot</w:t>
            </w:r>
            <w:r>
              <w:rPr>
                <w:spacing w:val="47"/>
                <w:sz w:val="22"/>
              </w:rPr>
              <w:t> </w:t>
            </w:r>
            <w:r>
              <w:rPr>
                <w:spacing w:val="-2"/>
                <w:sz w:val="22"/>
              </w:rPr>
              <w:t>status</w:t>
            </w:r>
          </w:p>
        </w:tc>
        <w:tc>
          <w:tcPr>
            <w:tcW w:w="2815" w:type="dxa"/>
          </w:tcPr>
          <w:p>
            <w:pPr>
              <w:pStyle w:val="TableParagraph"/>
              <w:ind w:left="107" w:right="104"/>
              <w:jc w:val="both"/>
              <w:rPr>
                <w:sz w:val="22"/>
              </w:rPr>
            </w:pPr>
            <w:r>
              <w:rPr>
                <w:sz w:val="22"/>
              </w:rPr>
              <w:t>The plot should be vacant. The Plot</w:t>
            </w:r>
            <w:r>
              <w:rPr>
                <w:spacing w:val="80"/>
                <w:sz w:val="22"/>
              </w:rPr>
              <w:t> </w:t>
            </w:r>
            <w:r>
              <w:rPr>
                <w:sz w:val="22"/>
              </w:rPr>
              <w:t>Status, Plot criteria</w:t>
            </w:r>
            <w:r>
              <w:rPr>
                <w:spacing w:val="80"/>
                <w:sz w:val="22"/>
              </w:rPr>
              <w:t> </w:t>
            </w:r>
            <w:r>
              <w:rPr>
                <w:sz w:val="22"/>
              </w:rPr>
              <w:t>and permissibility in above land use zone shall</w:t>
            </w:r>
            <w:r>
              <w:rPr>
                <w:spacing w:val="62"/>
                <w:sz w:val="22"/>
              </w:rPr>
              <w:t>   </w:t>
            </w:r>
            <w:r>
              <w:rPr>
                <w:sz w:val="22"/>
              </w:rPr>
              <w:t>be</w:t>
            </w:r>
            <w:r>
              <w:rPr>
                <w:spacing w:val="64"/>
                <w:sz w:val="22"/>
              </w:rPr>
              <w:t>   </w:t>
            </w:r>
            <w:r>
              <w:rPr>
                <w:sz w:val="22"/>
              </w:rPr>
              <w:t>as</w:t>
            </w:r>
            <w:r>
              <w:rPr>
                <w:spacing w:val="62"/>
                <w:sz w:val="22"/>
              </w:rPr>
              <w:t>   </w:t>
            </w:r>
            <w:r>
              <w:rPr>
                <w:spacing w:val="-5"/>
                <w:sz w:val="22"/>
              </w:rPr>
              <w:t>per</w:t>
            </w:r>
          </w:p>
          <w:p>
            <w:pPr>
              <w:pStyle w:val="TableParagraph"/>
              <w:spacing w:line="239" w:lineRule="exact"/>
              <w:ind w:left="107"/>
              <w:jc w:val="both"/>
              <w:rPr>
                <w:sz w:val="22"/>
              </w:rPr>
            </w:pPr>
            <w:r>
              <w:rPr>
                <w:sz w:val="22"/>
              </w:rPr>
              <w:t>respective</w:t>
            </w:r>
            <w:r>
              <w:rPr>
                <w:spacing w:val="64"/>
                <w:w w:val="150"/>
                <w:sz w:val="22"/>
              </w:rPr>
              <w:t> </w:t>
            </w:r>
            <w:r>
              <w:rPr>
                <w:spacing w:val="-2"/>
                <w:sz w:val="22"/>
              </w:rPr>
              <w:t>DCPR.</w:t>
            </w:r>
          </w:p>
        </w:tc>
        <w:tc>
          <w:tcPr>
            <w:tcW w:w="3144" w:type="dxa"/>
          </w:tcPr>
          <w:p>
            <w:pPr>
              <w:pStyle w:val="TableParagraph"/>
              <w:ind w:left="108" w:right="108"/>
              <w:jc w:val="both"/>
              <w:rPr>
                <w:sz w:val="22"/>
              </w:rPr>
            </w:pPr>
            <w:r>
              <w:rPr>
                <w:sz w:val="22"/>
              </w:rPr>
              <w:t>The</w:t>
            </w:r>
            <w:r>
              <w:rPr>
                <w:spacing w:val="40"/>
                <w:sz w:val="22"/>
              </w:rPr>
              <w:t> </w:t>
            </w:r>
            <w:r>
              <w:rPr>
                <w:sz w:val="22"/>
              </w:rPr>
              <w:t>plot</w:t>
            </w:r>
            <w:r>
              <w:rPr>
                <w:spacing w:val="40"/>
                <w:sz w:val="22"/>
              </w:rPr>
              <w:t> </w:t>
            </w:r>
            <w:r>
              <w:rPr>
                <w:sz w:val="22"/>
              </w:rPr>
              <w:t>should</w:t>
            </w:r>
            <w:r>
              <w:rPr>
                <w:spacing w:val="40"/>
                <w:sz w:val="22"/>
              </w:rPr>
              <w:t> </w:t>
            </w:r>
            <w:r>
              <w:rPr>
                <w:sz w:val="22"/>
              </w:rPr>
              <w:t>be vacant. The Plot Status, Plot criteria and permissibility in above land use zone shall be as per respective DCPR.</w:t>
            </w:r>
          </w:p>
        </w:tc>
      </w:tr>
      <w:tr>
        <w:trPr>
          <w:trHeight w:val="515" w:hRule="atLeast"/>
        </w:trPr>
        <w:tc>
          <w:tcPr>
            <w:tcW w:w="605" w:type="dxa"/>
          </w:tcPr>
          <w:p>
            <w:pPr>
              <w:pStyle w:val="TableParagraph"/>
              <w:spacing w:line="257" w:lineRule="exact"/>
              <w:ind w:left="9" w:right="2"/>
              <w:jc w:val="center"/>
              <w:rPr>
                <w:sz w:val="22"/>
              </w:rPr>
            </w:pPr>
            <w:r>
              <w:rPr>
                <w:spacing w:val="-10"/>
                <w:sz w:val="22"/>
              </w:rPr>
              <w:t>4</w:t>
            </w:r>
          </w:p>
        </w:tc>
        <w:tc>
          <w:tcPr>
            <w:tcW w:w="2242" w:type="dxa"/>
          </w:tcPr>
          <w:p>
            <w:pPr>
              <w:pStyle w:val="TableParagraph"/>
              <w:spacing w:line="257" w:lineRule="exact"/>
              <w:ind w:left="107"/>
              <w:rPr>
                <w:b/>
                <w:sz w:val="22"/>
              </w:rPr>
            </w:pPr>
            <w:r>
              <w:rPr>
                <w:b/>
                <w:sz w:val="22"/>
              </w:rPr>
              <w:t>Type</w:t>
            </w:r>
            <w:r>
              <w:rPr>
                <w:b/>
                <w:spacing w:val="-5"/>
                <w:sz w:val="22"/>
              </w:rPr>
              <w:t> </w:t>
            </w:r>
            <w:r>
              <w:rPr>
                <w:b/>
                <w:sz w:val="22"/>
              </w:rPr>
              <w:t>of</w:t>
            </w:r>
            <w:r>
              <w:rPr>
                <w:b/>
                <w:spacing w:val="-3"/>
                <w:sz w:val="22"/>
              </w:rPr>
              <w:t> </w:t>
            </w:r>
            <w:r>
              <w:rPr>
                <w:b/>
                <w:spacing w:val="-2"/>
                <w:sz w:val="22"/>
              </w:rPr>
              <w:t>building</w:t>
            </w:r>
          </w:p>
        </w:tc>
        <w:tc>
          <w:tcPr>
            <w:tcW w:w="2815" w:type="dxa"/>
          </w:tcPr>
          <w:p>
            <w:pPr>
              <w:pStyle w:val="TableParagraph"/>
              <w:tabs>
                <w:tab w:pos="1517" w:val="left" w:leader="none"/>
                <w:tab w:pos="2143" w:val="left" w:leader="none"/>
              </w:tabs>
              <w:spacing w:line="257" w:lineRule="exact"/>
              <w:ind w:left="107"/>
              <w:rPr>
                <w:sz w:val="22"/>
              </w:rPr>
            </w:pPr>
            <w:r>
              <w:rPr>
                <w:spacing w:val="-2"/>
                <w:sz w:val="22"/>
              </w:rPr>
              <w:t>Residential</w:t>
            </w:r>
            <w:r>
              <w:rPr>
                <w:sz w:val="22"/>
              </w:rPr>
              <w:tab/>
            </w:r>
            <w:r>
              <w:rPr>
                <w:spacing w:val="-5"/>
                <w:sz w:val="22"/>
              </w:rPr>
              <w:t>and</w:t>
            </w:r>
            <w:r>
              <w:rPr>
                <w:sz w:val="22"/>
              </w:rPr>
              <w:tab/>
            </w:r>
            <w:r>
              <w:rPr>
                <w:spacing w:val="-4"/>
                <w:sz w:val="22"/>
              </w:rPr>
              <w:t>other</w:t>
            </w:r>
          </w:p>
          <w:p>
            <w:pPr>
              <w:pStyle w:val="TableParagraph"/>
              <w:spacing w:line="238" w:lineRule="exact" w:before="1"/>
              <w:ind w:left="107"/>
              <w:rPr>
                <w:sz w:val="22"/>
              </w:rPr>
            </w:pPr>
            <w:r>
              <w:rPr>
                <w:sz w:val="22"/>
              </w:rPr>
              <w:t>buildings</w:t>
            </w:r>
            <w:r>
              <w:rPr>
                <w:spacing w:val="-5"/>
                <w:sz w:val="22"/>
              </w:rPr>
              <w:t> </w:t>
            </w:r>
            <w:r>
              <w:rPr>
                <w:sz w:val="22"/>
              </w:rPr>
              <w:t>as</w:t>
            </w:r>
            <w:r>
              <w:rPr>
                <w:spacing w:val="-4"/>
                <w:sz w:val="22"/>
              </w:rPr>
              <w:t> </w:t>
            </w:r>
            <w:r>
              <w:rPr>
                <w:sz w:val="22"/>
              </w:rPr>
              <w:t>per</w:t>
            </w:r>
            <w:r>
              <w:rPr>
                <w:spacing w:val="-4"/>
                <w:sz w:val="22"/>
              </w:rPr>
              <w:t> DCPR</w:t>
            </w:r>
          </w:p>
        </w:tc>
        <w:tc>
          <w:tcPr>
            <w:tcW w:w="3144" w:type="dxa"/>
          </w:tcPr>
          <w:p>
            <w:pPr>
              <w:pStyle w:val="TableParagraph"/>
              <w:tabs>
                <w:tab w:pos="1681" w:val="left" w:leader="none"/>
                <w:tab w:pos="2470" w:val="left" w:leader="none"/>
              </w:tabs>
              <w:spacing w:line="257" w:lineRule="exact"/>
              <w:ind w:left="108"/>
              <w:rPr>
                <w:sz w:val="22"/>
              </w:rPr>
            </w:pPr>
            <w:r>
              <w:rPr>
                <w:spacing w:val="-2"/>
                <w:sz w:val="22"/>
              </w:rPr>
              <w:t>Residential</w:t>
            </w:r>
            <w:r>
              <w:rPr>
                <w:sz w:val="22"/>
              </w:rPr>
              <w:tab/>
            </w:r>
            <w:r>
              <w:rPr>
                <w:spacing w:val="-5"/>
                <w:sz w:val="22"/>
              </w:rPr>
              <w:t>and</w:t>
            </w:r>
            <w:r>
              <w:rPr>
                <w:sz w:val="22"/>
              </w:rPr>
              <w:tab/>
            </w:r>
            <w:r>
              <w:rPr>
                <w:spacing w:val="-4"/>
                <w:sz w:val="22"/>
              </w:rPr>
              <w:t>other</w:t>
            </w:r>
          </w:p>
          <w:p>
            <w:pPr>
              <w:pStyle w:val="TableParagraph"/>
              <w:spacing w:line="238" w:lineRule="exact" w:before="1"/>
              <w:ind w:left="108"/>
              <w:rPr>
                <w:sz w:val="22"/>
              </w:rPr>
            </w:pPr>
            <w:r>
              <w:rPr>
                <w:sz w:val="22"/>
              </w:rPr>
              <w:t>buildings</w:t>
            </w:r>
            <w:r>
              <w:rPr>
                <w:spacing w:val="-5"/>
                <w:sz w:val="22"/>
              </w:rPr>
              <w:t> </w:t>
            </w:r>
            <w:r>
              <w:rPr>
                <w:sz w:val="22"/>
              </w:rPr>
              <w:t>as</w:t>
            </w:r>
            <w:r>
              <w:rPr>
                <w:spacing w:val="-4"/>
                <w:sz w:val="22"/>
              </w:rPr>
              <w:t> </w:t>
            </w:r>
            <w:r>
              <w:rPr>
                <w:sz w:val="22"/>
              </w:rPr>
              <w:t>per</w:t>
            </w:r>
            <w:r>
              <w:rPr>
                <w:spacing w:val="-4"/>
                <w:sz w:val="22"/>
              </w:rPr>
              <w:t> DCPR</w:t>
            </w:r>
          </w:p>
        </w:tc>
      </w:tr>
      <w:tr>
        <w:trPr>
          <w:trHeight w:val="774" w:hRule="atLeast"/>
        </w:trPr>
        <w:tc>
          <w:tcPr>
            <w:tcW w:w="605" w:type="dxa"/>
          </w:tcPr>
          <w:p>
            <w:pPr>
              <w:pStyle w:val="TableParagraph"/>
              <w:spacing w:before="1"/>
              <w:ind w:left="9" w:right="2"/>
              <w:jc w:val="center"/>
              <w:rPr>
                <w:sz w:val="22"/>
              </w:rPr>
            </w:pPr>
            <w:r>
              <w:rPr>
                <w:spacing w:val="-10"/>
                <w:sz w:val="22"/>
              </w:rPr>
              <w:t>5</w:t>
            </w:r>
          </w:p>
        </w:tc>
        <w:tc>
          <w:tcPr>
            <w:tcW w:w="2242" w:type="dxa"/>
          </w:tcPr>
          <w:p>
            <w:pPr>
              <w:pStyle w:val="TableParagraph"/>
              <w:tabs>
                <w:tab w:pos="1914" w:val="left" w:leader="none"/>
              </w:tabs>
              <w:spacing w:before="1"/>
              <w:ind w:left="107" w:right="95"/>
              <w:rPr>
                <w:b/>
                <w:sz w:val="22"/>
              </w:rPr>
            </w:pPr>
            <w:r>
              <w:rPr>
                <w:b/>
                <w:spacing w:val="-2"/>
                <w:sz w:val="22"/>
              </w:rPr>
              <w:t>Proposed Structure</w:t>
            </w:r>
            <w:r>
              <w:rPr>
                <w:b/>
                <w:sz w:val="22"/>
              </w:rPr>
              <w:tab/>
            </w:r>
            <w:r>
              <w:rPr>
                <w:b/>
                <w:spacing w:val="-6"/>
                <w:sz w:val="22"/>
              </w:rPr>
              <w:t>of</w:t>
            </w:r>
          </w:p>
          <w:p>
            <w:pPr>
              <w:pStyle w:val="TableParagraph"/>
              <w:spacing w:line="237" w:lineRule="exact"/>
              <w:ind w:left="107"/>
              <w:rPr>
                <w:b/>
                <w:sz w:val="22"/>
              </w:rPr>
            </w:pPr>
            <w:r>
              <w:rPr>
                <w:b/>
                <w:spacing w:val="-2"/>
                <w:sz w:val="22"/>
              </w:rPr>
              <w:t>Building/Storey</w:t>
            </w:r>
          </w:p>
        </w:tc>
        <w:tc>
          <w:tcPr>
            <w:tcW w:w="2815" w:type="dxa"/>
          </w:tcPr>
          <w:p>
            <w:pPr>
              <w:pStyle w:val="TableParagraph"/>
              <w:spacing w:line="258" w:lineRule="exact" w:before="1"/>
              <w:ind w:left="107"/>
              <w:rPr>
                <w:b/>
                <w:sz w:val="22"/>
              </w:rPr>
            </w:pPr>
            <w:r>
              <w:rPr>
                <w:b/>
                <w:sz w:val="22"/>
              </w:rPr>
              <w:t>G.F.</w:t>
            </w:r>
            <w:r>
              <w:rPr>
                <w:b/>
                <w:spacing w:val="-2"/>
                <w:sz w:val="22"/>
              </w:rPr>
              <w:t> </w:t>
            </w:r>
            <w:r>
              <w:rPr>
                <w:b/>
                <w:sz w:val="22"/>
              </w:rPr>
              <w:t>/</w:t>
            </w:r>
            <w:r>
              <w:rPr>
                <w:b/>
                <w:spacing w:val="-2"/>
                <w:sz w:val="22"/>
              </w:rPr>
              <w:t> </w:t>
            </w:r>
            <w:r>
              <w:rPr>
                <w:b/>
                <w:spacing w:val="-5"/>
                <w:sz w:val="22"/>
              </w:rPr>
              <w:t>P+1</w:t>
            </w:r>
          </w:p>
          <w:p>
            <w:pPr>
              <w:pStyle w:val="TableParagraph"/>
              <w:spacing w:line="258" w:lineRule="exact"/>
              <w:ind w:left="107"/>
              <w:rPr>
                <w:sz w:val="22"/>
              </w:rPr>
            </w:pPr>
            <w:r>
              <w:rPr>
                <w:sz w:val="22"/>
              </w:rPr>
              <w:t>RCC./Load</w:t>
            </w:r>
            <w:r>
              <w:rPr>
                <w:spacing w:val="-7"/>
                <w:sz w:val="22"/>
              </w:rPr>
              <w:t> </w:t>
            </w:r>
            <w:r>
              <w:rPr>
                <w:spacing w:val="-2"/>
                <w:sz w:val="22"/>
              </w:rPr>
              <w:t>Bearing</w:t>
            </w:r>
          </w:p>
        </w:tc>
        <w:tc>
          <w:tcPr>
            <w:tcW w:w="3144" w:type="dxa"/>
          </w:tcPr>
          <w:p>
            <w:pPr>
              <w:pStyle w:val="TableParagraph"/>
              <w:spacing w:line="258" w:lineRule="exact" w:before="1"/>
              <w:ind w:left="108"/>
              <w:rPr>
                <w:b/>
                <w:sz w:val="22"/>
              </w:rPr>
            </w:pPr>
            <w:r>
              <w:rPr>
                <w:b/>
                <w:spacing w:val="-2"/>
                <w:sz w:val="22"/>
              </w:rPr>
              <w:t>G.F.+1/P+2</w:t>
            </w:r>
          </w:p>
          <w:p>
            <w:pPr>
              <w:pStyle w:val="TableParagraph"/>
              <w:spacing w:line="258" w:lineRule="exact"/>
              <w:ind w:left="108"/>
              <w:rPr>
                <w:sz w:val="22"/>
              </w:rPr>
            </w:pPr>
            <w:r>
              <w:rPr>
                <w:sz w:val="22"/>
              </w:rPr>
              <w:t>RCC./Load</w:t>
            </w:r>
            <w:r>
              <w:rPr>
                <w:spacing w:val="-7"/>
                <w:sz w:val="22"/>
              </w:rPr>
              <w:t> </w:t>
            </w:r>
            <w:r>
              <w:rPr>
                <w:spacing w:val="-2"/>
                <w:sz w:val="22"/>
              </w:rPr>
              <w:t>Bearing</w:t>
            </w:r>
          </w:p>
        </w:tc>
      </w:tr>
      <w:tr>
        <w:trPr>
          <w:trHeight w:val="2066" w:hRule="atLeast"/>
        </w:trPr>
        <w:tc>
          <w:tcPr>
            <w:tcW w:w="605" w:type="dxa"/>
          </w:tcPr>
          <w:p>
            <w:pPr>
              <w:pStyle w:val="TableParagraph"/>
              <w:spacing w:before="1"/>
              <w:ind w:left="9" w:right="2"/>
              <w:jc w:val="center"/>
              <w:rPr>
                <w:sz w:val="22"/>
              </w:rPr>
            </w:pPr>
            <w:r>
              <w:rPr>
                <w:spacing w:val="-10"/>
                <w:sz w:val="22"/>
              </w:rPr>
              <w:t>6</w:t>
            </w:r>
          </w:p>
        </w:tc>
        <w:tc>
          <w:tcPr>
            <w:tcW w:w="2242" w:type="dxa"/>
          </w:tcPr>
          <w:p>
            <w:pPr>
              <w:pStyle w:val="TableParagraph"/>
              <w:tabs>
                <w:tab w:pos="1002" w:val="left" w:leader="none"/>
                <w:tab w:pos="1304" w:val="left" w:leader="none"/>
                <w:tab w:pos="1671" w:val="left" w:leader="none"/>
                <w:tab w:pos="1914" w:val="left" w:leader="none"/>
              </w:tabs>
              <w:spacing w:before="1"/>
              <w:ind w:left="107" w:right="94"/>
              <w:rPr>
                <w:b/>
                <w:sz w:val="22"/>
              </w:rPr>
            </w:pPr>
            <w:r>
              <w:rPr>
                <w:b/>
                <w:spacing w:val="-4"/>
                <w:sz w:val="22"/>
              </w:rPr>
              <w:t>Front</w:t>
            </w:r>
            <w:r>
              <w:rPr>
                <w:b/>
                <w:sz w:val="22"/>
              </w:rPr>
              <w:tab/>
            </w:r>
            <w:r>
              <w:rPr>
                <w:b/>
                <w:spacing w:val="-4"/>
                <w:sz w:val="22"/>
              </w:rPr>
              <w:t>and</w:t>
            </w:r>
            <w:r>
              <w:rPr>
                <w:b/>
                <w:sz w:val="22"/>
              </w:rPr>
              <w:tab/>
            </w:r>
            <w:r>
              <w:rPr>
                <w:b/>
                <w:spacing w:val="-4"/>
                <w:sz w:val="22"/>
              </w:rPr>
              <w:t>side open</w:t>
            </w:r>
            <w:r>
              <w:rPr>
                <w:b/>
                <w:sz w:val="22"/>
              </w:rPr>
              <w:tab/>
              <w:tab/>
            </w:r>
            <w:r>
              <w:rPr>
                <w:b/>
                <w:spacing w:val="-2"/>
                <w:sz w:val="22"/>
              </w:rPr>
              <w:t>spaces, Provision</w:t>
            </w:r>
            <w:r>
              <w:rPr>
                <w:b/>
                <w:sz w:val="22"/>
              </w:rPr>
              <w:tab/>
              <w:tab/>
              <w:tab/>
            </w:r>
            <w:r>
              <w:rPr>
                <w:b/>
                <w:spacing w:val="-6"/>
                <w:sz w:val="22"/>
              </w:rPr>
              <w:t>of </w:t>
            </w:r>
            <w:r>
              <w:rPr>
                <w:b/>
                <w:spacing w:val="-2"/>
                <w:sz w:val="22"/>
              </w:rPr>
              <w:t>Basement, Parking </w:t>
            </w:r>
            <w:r>
              <w:rPr>
                <w:b/>
                <w:sz w:val="22"/>
              </w:rPr>
              <w:t>requirement</w:t>
            </w:r>
            <w:r>
              <w:rPr>
                <w:b/>
                <w:spacing w:val="80"/>
                <w:sz w:val="22"/>
              </w:rPr>
              <w:t> </w:t>
            </w:r>
            <w:r>
              <w:rPr>
                <w:b/>
                <w:sz w:val="22"/>
              </w:rPr>
              <w:t>and </w:t>
            </w:r>
            <w:r>
              <w:rPr>
                <w:b/>
                <w:spacing w:val="-2"/>
                <w:sz w:val="22"/>
              </w:rPr>
              <w:t>other</w:t>
            </w:r>
          </w:p>
          <w:p>
            <w:pPr>
              <w:pStyle w:val="TableParagraph"/>
              <w:spacing w:line="238" w:lineRule="exact"/>
              <w:ind w:left="107"/>
              <w:rPr>
                <w:b/>
                <w:sz w:val="22"/>
              </w:rPr>
            </w:pPr>
            <w:r>
              <w:rPr>
                <w:b/>
                <w:spacing w:val="-2"/>
                <w:sz w:val="22"/>
              </w:rPr>
              <w:t>requirements.</w:t>
            </w:r>
          </w:p>
        </w:tc>
        <w:tc>
          <w:tcPr>
            <w:tcW w:w="2815" w:type="dxa"/>
          </w:tcPr>
          <w:p>
            <w:pPr>
              <w:pStyle w:val="TableParagraph"/>
              <w:spacing w:before="1"/>
              <w:ind w:left="107" w:right="95"/>
              <w:jc w:val="both"/>
              <w:rPr>
                <w:sz w:val="22"/>
              </w:rPr>
            </w:pPr>
            <w:r>
              <w:rPr>
                <w:sz w:val="22"/>
              </w:rPr>
              <w:t>As per the provisions of Development Control </w:t>
            </w:r>
            <w:r>
              <w:rPr>
                <w:spacing w:val="-2"/>
                <w:sz w:val="22"/>
              </w:rPr>
              <w:t>Regulations.</w:t>
            </w:r>
          </w:p>
        </w:tc>
        <w:tc>
          <w:tcPr>
            <w:tcW w:w="3144" w:type="dxa"/>
          </w:tcPr>
          <w:p>
            <w:pPr>
              <w:pStyle w:val="TableParagraph"/>
              <w:spacing w:before="1"/>
              <w:ind w:left="108" w:right="96"/>
              <w:jc w:val="both"/>
              <w:rPr>
                <w:sz w:val="22"/>
              </w:rPr>
            </w:pPr>
            <w:r>
              <w:rPr>
                <w:sz w:val="22"/>
              </w:rPr>
              <w:t>As per the provisions of Development Control</w:t>
            </w:r>
            <w:r>
              <w:rPr>
                <w:spacing w:val="40"/>
                <w:sz w:val="22"/>
              </w:rPr>
              <w:t> </w:t>
            </w:r>
            <w:r>
              <w:rPr>
                <w:sz w:val="22"/>
              </w:rPr>
              <w:t>and Promotion Regulations.</w:t>
            </w:r>
          </w:p>
        </w:tc>
      </w:tr>
      <w:tr>
        <w:trPr>
          <w:trHeight w:val="774" w:hRule="atLeast"/>
        </w:trPr>
        <w:tc>
          <w:tcPr>
            <w:tcW w:w="605" w:type="dxa"/>
          </w:tcPr>
          <w:p>
            <w:pPr>
              <w:pStyle w:val="TableParagraph"/>
              <w:spacing w:line="257" w:lineRule="exact"/>
              <w:ind w:left="9" w:right="2"/>
              <w:jc w:val="center"/>
              <w:rPr>
                <w:sz w:val="22"/>
              </w:rPr>
            </w:pPr>
            <w:r>
              <w:rPr>
                <w:spacing w:val="-10"/>
                <w:sz w:val="22"/>
              </w:rPr>
              <w:t>7</w:t>
            </w:r>
          </w:p>
        </w:tc>
        <w:tc>
          <w:tcPr>
            <w:tcW w:w="2242" w:type="dxa"/>
          </w:tcPr>
          <w:p>
            <w:pPr>
              <w:pStyle w:val="TableParagraph"/>
              <w:tabs>
                <w:tab w:pos="1168" w:val="left" w:leader="none"/>
              </w:tabs>
              <w:ind w:left="107" w:right="96"/>
              <w:rPr>
                <w:b/>
                <w:sz w:val="22"/>
              </w:rPr>
            </w:pPr>
            <w:r>
              <w:rPr>
                <w:b/>
                <w:spacing w:val="-4"/>
                <w:sz w:val="22"/>
              </w:rPr>
              <w:t>Tree</w:t>
            </w:r>
            <w:r>
              <w:rPr>
                <w:b/>
                <w:sz w:val="22"/>
              </w:rPr>
              <w:tab/>
            </w:r>
            <w:r>
              <w:rPr>
                <w:b/>
                <w:spacing w:val="-2"/>
                <w:sz w:val="22"/>
              </w:rPr>
              <w:t>cutting/ </w:t>
            </w:r>
            <w:r>
              <w:rPr>
                <w:b/>
                <w:spacing w:val="-4"/>
                <w:sz w:val="22"/>
              </w:rPr>
              <w:t>Tree</w:t>
            </w:r>
          </w:p>
          <w:p>
            <w:pPr>
              <w:pStyle w:val="TableParagraph"/>
              <w:spacing w:line="238" w:lineRule="exact"/>
              <w:ind w:left="107"/>
              <w:rPr>
                <w:b/>
                <w:sz w:val="22"/>
              </w:rPr>
            </w:pPr>
            <w:r>
              <w:rPr>
                <w:b/>
                <w:spacing w:val="-2"/>
                <w:sz w:val="22"/>
              </w:rPr>
              <w:t>replantation.</w:t>
            </w:r>
          </w:p>
        </w:tc>
        <w:tc>
          <w:tcPr>
            <w:tcW w:w="2815" w:type="dxa"/>
          </w:tcPr>
          <w:p>
            <w:pPr>
              <w:pStyle w:val="TableParagraph"/>
              <w:spacing w:line="257" w:lineRule="exact"/>
              <w:ind w:left="107"/>
              <w:rPr>
                <w:sz w:val="22"/>
              </w:rPr>
            </w:pPr>
            <w:r>
              <w:rPr>
                <w:sz w:val="22"/>
              </w:rPr>
              <w:t>Not</w:t>
            </w:r>
            <w:r>
              <w:rPr>
                <w:spacing w:val="-2"/>
                <w:sz w:val="22"/>
              </w:rPr>
              <w:t> permitted.</w:t>
            </w:r>
          </w:p>
        </w:tc>
        <w:tc>
          <w:tcPr>
            <w:tcW w:w="3144" w:type="dxa"/>
          </w:tcPr>
          <w:p>
            <w:pPr>
              <w:pStyle w:val="TableParagraph"/>
              <w:spacing w:line="257" w:lineRule="exact"/>
              <w:ind w:left="177"/>
              <w:rPr>
                <w:sz w:val="22"/>
              </w:rPr>
            </w:pPr>
            <w:r>
              <w:rPr>
                <w:sz w:val="22"/>
              </w:rPr>
              <w:t>Not</w:t>
            </w:r>
            <w:r>
              <w:rPr>
                <w:spacing w:val="-2"/>
                <w:sz w:val="22"/>
              </w:rPr>
              <w:t> permitted</w:t>
            </w:r>
          </w:p>
        </w:tc>
      </w:tr>
      <w:tr>
        <w:trPr>
          <w:trHeight w:val="2325" w:hRule="atLeast"/>
        </w:trPr>
        <w:tc>
          <w:tcPr>
            <w:tcW w:w="605" w:type="dxa"/>
          </w:tcPr>
          <w:p>
            <w:pPr>
              <w:pStyle w:val="TableParagraph"/>
              <w:spacing w:line="257" w:lineRule="exact"/>
              <w:ind w:left="9" w:right="2"/>
              <w:jc w:val="center"/>
              <w:rPr>
                <w:sz w:val="22"/>
              </w:rPr>
            </w:pPr>
            <w:r>
              <w:rPr>
                <w:spacing w:val="-10"/>
                <w:sz w:val="22"/>
              </w:rPr>
              <w:t>8</w:t>
            </w:r>
          </w:p>
        </w:tc>
        <w:tc>
          <w:tcPr>
            <w:tcW w:w="2242" w:type="dxa"/>
          </w:tcPr>
          <w:p>
            <w:pPr>
              <w:pStyle w:val="TableParagraph"/>
              <w:tabs>
                <w:tab w:pos="1811" w:val="left" w:leader="none"/>
              </w:tabs>
              <w:ind w:left="107" w:right="96"/>
              <w:rPr>
                <w:b/>
                <w:sz w:val="22"/>
              </w:rPr>
            </w:pPr>
            <w:r>
              <w:rPr>
                <w:b/>
                <w:spacing w:val="-2"/>
                <w:sz w:val="22"/>
              </w:rPr>
              <w:t>Experience Criteria</w:t>
            </w:r>
            <w:r>
              <w:rPr>
                <w:b/>
                <w:sz w:val="22"/>
              </w:rPr>
              <w:tab/>
            </w:r>
            <w:r>
              <w:rPr>
                <w:b/>
                <w:spacing w:val="-4"/>
                <w:sz w:val="22"/>
              </w:rPr>
              <w:t>for </w:t>
            </w:r>
            <w:r>
              <w:rPr>
                <w:b/>
                <w:spacing w:val="-2"/>
                <w:sz w:val="22"/>
              </w:rPr>
              <w:t>Architect</w:t>
            </w:r>
          </w:p>
          <w:p>
            <w:pPr>
              <w:pStyle w:val="TableParagraph"/>
              <w:tabs>
                <w:tab w:pos="1652" w:val="left" w:leader="none"/>
              </w:tabs>
              <w:ind w:left="107" w:right="96"/>
              <w:rPr>
                <w:b/>
                <w:sz w:val="22"/>
              </w:rPr>
            </w:pPr>
            <w:r>
              <w:rPr>
                <w:b/>
                <w:spacing w:val="-2"/>
                <w:sz w:val="22"/>
              </w:rPr>
              <w:t>/L.S./Engineer </w:t>
            </w:r>
            <w:r>
              <w:rPr>
                <w:b/>
                <w:spacing w:val="-5"/>
                <w:sz w:val="22"/>
              </w:rPr>
              <w:t>for</w:t>
            </w:r>
            <w:r>
              <w:rPr>
                <w:b/>
                <w:sz w:val="22"/>
              </w:rPr>
              <w:tab/>
            </w:r>
            <w:r>
              <w:rPr>
                <w:b/>
                <w:spacing w:val="-4"/>
                <w:sz w:val="22"/>
              </w:rPr>
              <w:t>self-</w:t>
            </w:r>
          </w:p>
          <w:p>
            <w:pPr>
              <w:pStyle w:val="TableParagraph"/>
              <w:tabs>
                <w:tab w:pos="1151" w:val="left" w:leader="none"/>
              </w:tabs>
              <w:ind w:left="107" w:right="95"/>
              <w:rPr>
                <w:b/>
                <w:sz w:val="22"/>
              </w:rPr>
            </w:pPr>
            <w:r>
              <w:rPr>
                <w:b/>
                <w:sz w:val="22"/>
              </w:rPr>
              <w:t>certification</w:t>
            </w:r>
            <w:r>
              <w:rPr>
                <w:b/>
                <w:spacing w:val="75"/>
                <w:sz w:val="22"/>
              </w:rPr>
              <w:t> </w:t>
            </w:r>
            <w:r>
              <w:rPr>
                <w:b/>
                <w:sz w:val="22"/>
              </w:rPr>
              <w:t>and </w:t>
            </w:r>
            <w:r>
              <w:rPr>
                <w:b/>
                <w:spacing w:val="-5"/>
                <w:sz w:val="22"/>
              </w:rPr>
              <w:t>all</w:t>
            </w:r>
            <w:r>
              <w:rPr>
                <w:b/>
                <w:sz w:val="22"/>
              </w:rPr>
              <w:tab/>
            </w:r>
            <w:r>
              <w:rPr>
                <w:b/>
                <w:spacing w:val="-2"/>
                <w:sz w:val="22"/>
              </w:rPr>
              <w:t>approval</w:t>
            </w:r>
          </w:p>
          <w:p>
            <w:pPr>
              <w:pStyle w:val="TableParagraph"/>
              <w:spacing w:line="256" w:lineRule="exact"/>
              <w:ind w:left="107" w:right="88"/>
              <w:rPr>
                <w:b/>
                <w:sz w:val="22"/>
              </w:rPr>
            </w:pPr>
            <w:r>
              <w:rPr>
                <w:b/>
                <w:sz w:val="22"/>
              </w:rPr>
              <w:t>mentioned</w:t>
            </w:r>
            <w:r>
              <w:rPr>
                <w:b/>
                <w:spacing w:val="-19"/>
                <w:sz w:val="22"/>
              </w:rPr>
              <w:t> </w:t>
            </w:r>
            <w:r>
              <w:rPr>
                <w:b/>
                <w:sz w:val="22"/>
              </w:rPr>
              <w:t>in</w:t>
            </w:r>
            <w:r>
              <w:rPr>
                <w:b/>
                <w:spacing w:val="-19"/>
                <w:sz w:val="22"/>
              </w:rPr>
              <w:t> </w:t>
            </w:r>
            <w:r>
              <w:rPr>
                <w:b/>
                <w:sz w:val="22"/>
              </w:rPr>
              <w:t>this </w:t>
            </w:r>
            <w:r>
              <w:rPr>
                <w:b/>
                <w:spacing w:val="-2"/>
                <w:sz w:val="22"/>
              </w:rPr>
              <w:t>regulation.</w:t>
            </w:r>
          </w:p>
        </w:tc>
        <w:tc>
          <w:tcPr>
            <w:tcW w:w="2815" w:type="dxa"/>
          </w:tcPr>
          <w:p>
            <w:pPr>
              <w:pStyle w:val="TableParagraph"/>
              <w:ind w:left="107" w:right="96"/>
              <w:jc w:val="both"/>
              <w:rPr>
                <w:sz w:val="22"/>
              </w:rPr>
            </w:pPr>
            <w:r>
              <w:rPr>
                <w:sz w:val="22"/>
              </w:rPr>
              <w:t>As per</w:t>
            </w:r>
            <w:r>
              <w:rPr>
                <w:spacing w:val="9"/>
                <w:sz w:val="22"/>
              </w:rPr>
              <w:t> Annexture-</w:t>
            </w:r>
            <w:r>
              <w:rPr>
                <w:sz w:val="22"/>
              </w:rPr>
              <w:t>10</w:t>
            </w:r>
            <w:r>
              <w:rPr>
                <w:spacing w:val="80"/>
                <w:sz w:val="22"/>
              </w:rPr>
              <w:t> </w:t>
            </w:r>
            <w:r>
              <w:rPr>
                <w:sz w:val="22"/>
              </w:rPr>
              <w:t>of the respective</w:t>
            </w:r>
            <w:r>
              <w:rPr>
                <w:spacing w:val="40"/>
                <w:sz w:val="22"/>
              </w:rPr>
              <w:t> </w:t>
            </w:r>
            <w:r>
              <w:rPr>
                <w:sz w:val="22"/>
              </w:rPr>
              <w:t>DCPR regarding licensing and qualifications of the technical person.</w:t>
            </w:r>
          </w:p>
        </w:tc>
        <w:tc>
          <w:tcPr>
            <w:tcW w:w="3144" w:type="dxa"/>
          </w:tcPr>
          <w:p>
            <w:pPr>
              <w:pStyle w:val="TableParagraph"/>
              <w:ind w:left="108" w:right="94"/>
              <w:jc w:val="both"/>
              <w:rPr>
                <w:sz w:val="22"/>
              </w:rPr>
            </w:pPr>
            <w:r>
              <w:rPr>
                <w:sz w:val="22"/>
              </w:rPr>
              <w:t>As per</w:t>
            </w:r>
            <w:r>
              <w:rPr>
                <w:spacing w:val="9"/>
                <w:sz w:val="22"/>
              </w:rPr>
              <w:t> Annexture-</w:t>
            </w:r>
            <w:r>
              <w:rPr>
                <w:sz w:val="22"/>
              </w:rPr>
              <w:t>10 of the respective</w:t>
            </w:r>
            <w:r>
              <w:rPr>
                <w:spacing w:val="40"/>
                <w:sz w:val="22"/>
              </w:rPr>
              <w:t> </w:t>
            </w:r>
            <w:r>
              <w:rPr>
                <w:sz w:val="22"/>
              </w:rPr>
              <w:t>DCPR regarding licensing and qualifications of the technical person.</w:t>
            </w:r>
          </w:p>
        </w:tc>
      </w:tr>
      <w:tr>
        <w:trPr>
          <w:trHeight w:val="775" w:hRule="atLeast"/>
        </w:trPr>
        <w:tc>
          <w:tcPr>
            <w:tcW w:w="605" w:type="dxa"/>
          </w:tcPr>
          <w:p>
            <w:pPr>
              <w:pStyle w:val="TableParagraph"/>
              <w:spacing w:line="257" w:lineRule="exact"/>
              <w:ind w:left="9" w:right="2"/>
              <w:jc w:val="center"/>
              <w:rPr>
                <w:sz w:val="22"/>
              </w:rPr>
            </w:pPr>
            <w:r>
              <w:rPr>
                <w:spacing w:val="-10"/>
                <w:sz w:val="22"/>
              </w:rPr>
              <w:t>9</w:t>
            </w:r>
          </w:p>
        </w:tc>
        <w:tc>
          <w:tcPr>
            <w:tcW w:w="2242" w:type="dxa"/>
          </w:tcPr>
          <w:p>
            <w:pPr>
              <w:pStyle w:val="TableParagraph"/>
              <w:tabs>
                <w:tab w:pos="1717" w:val="left" w:leader="none"/>
              </w:tabs>
              <w:ind w:left="107" w:right="95"/>
              <w:rPr>
                <w:b/>
                <w:sz w:val="22"/>
              </w:rPr>
            </w:pPr>
            <w:r>
              <w:rPr>
                <w:b/>
                <w:spacing w:val="-4"/>
                <w:sz w:val="22"/>
              </w:rPr>
              <w:t>NOCs</w:t>
            </w:r>
            <w:r>
              <w:rPr>
                <w:b/>
                <w:sz w:val="22"/>
              </w:rPr>
              <w:tab/>
            </w:r>
            <w:r>
              <w:rPr>
                <w:b/>
                <w:spacing w:val="-4"/>
                <w:sz w:val="22"/>
              </w:rPr>
              <w:t>and </w:t>
            </w:r>
            <w:r>
              <w:rPr>
                <w:b/>
                <w:spacing w:val="-2"/>
                <w:sz w:val="22"/>
              </w:rPr>
              <w:t>Documents</w:t>
            </w:r>
          </w:p>
        </w:tc>
        <w:tc>
          <w:tcPr>
            <w:tcW w:w="2815" w:type="dxa"/>
          </w:tcPr>
          <w:p>
            <w:pPr>
              <w:pStyle w:val="TableParagraph"/>
              <w:tabs>
                <w:tab w:pos="1340" w:val="left" w:leader="none"/>
                <w:tab w:pos="2465" w:val="left" w:leader="none"/>
              </w:tabs>
              <w:spacing w:line="257" w:lineRule="exact"/>
              <w:ind w:left="107"/>
              <w:rPr>
                <w:sz w:val="22"/>
              </w:rPr>
            </w:pPr>
            <w:r>
              <w:rPr>
                <w:spacing w:val="-2"/>
                <w:sz w:val="22"/>
              </w:rPr>
              <w:t>Wherever</w:t>
            </w:r>
            <w:r>
              <w:rPr>
                <w:sz w:val="22"/>
              </w:rPr>
              <w:tab/>
            </w:r>
            <w:r>
              <w:rPr>
                <w:spacing w:val="-2"/>
                <w:sz w:val="22"/>
              </w:rPr>
              <w:t>required</w:t>
            </w:r>
            <w:r>
              <w:rPr>
                <w:sz w:val="22"/>
              </w:rPr>
              <w:tab/>
            </w:r>
            <w:r>
              <w:rPr>
                <w:spacing w:val="-5"/>
                <w:sz w:val="22"/>
              </w:rPr>
              <w:t>as</w:t>
            </w:r>
          </w:p>
          <w:p>
            <w:pPr>
              <w:pStyle w:val="TableParagraph"/>
              <w:tabs>
                <w:tab w:pos="1014" w:val="left" w:leader="none"/>
                <w:tab w:pos="1637" w:val="left" w:leader="none"/>
              </w:tabs>
              <w:spacing w:line="256" w:lineRule="exact"/>
              <w:ind w:left="107" w:right="97"/>
              <w:rPr>
                <w:sz w:val="22"/>
              </w:rPr>
            </w:pPr>
            <w:r>
              <w:rPr>
                <w:spacing w:val="-4"/>
                <w:sz w:val="22"/>
              </w:rPr>
              <w:t>per</w:t>
            </w:r>
            <w:r>
              <w:rPr>
                <w:sz w:val="22"/>
              </w:rPr>
              <w:tab/>
            </w:r>
            <w:r>
              <w:rPr>
                <w:spacing w:val="-4"/>
                <w:sz w:val="22"/>
              </w:rPr>
              <w:t>the</w:t>
            </w:r>
            <w:r>
              <w:rPr>
                <w:sz w:val="22"/>
              </w:rPr>
              <w:tab/>
            </w:r>
            <w:r>
              <w:rPr>
                <w:spacing w:val="-2"/>
                <w:sz w:val="22"/>
              </w:rPr>
              <w:t>respective </w:t>
            </w:r>
            <w:r>
              <w:rPr>
                <w:spacing w:val="-4"/>
                <w:sz w:val="22"/>
              </w:rPr>
              <w:t>DCPR</w:t>
            </w:r>
          </w:p>
        </w:tc>
        <w:tc>
          <w:tcPr>
            <w:tcW w:w="3144" w:type="dxa"/>
          </w:tcPr>
          <w:p>
            <w:pPr>
              <w:pStyle w:val="TableParagraph"/>
              <w:ind w:left="108"/>
              <w:rPr>
                <w:sz w:val="22"/>
              </w:rPr>
            </w:pPr>
            <w:r>
              <w:rPr>
                <w:sz w:val="22"/>
              </w:rPr>
              <w:t>Wherever</w:t>
            </w:r>
            <w:r>
              <w:rPr>
                <w:spacing w:val="40"/>
                <w:sz w:val="22"/>
              </w:rPr>
              <w:t> </w:t>
            </w:r>
            <w:r>
              <w:rPr>
                <w:sz w:val="22"/>
              </w:rPr>
              <w:t>required</w:t>
            </w:r>
            <w:r>
              <w:rPr>
                <w:spacing w:val="40"/>
                <w:sz w:val="22"/>
              </w:rPr>
              <w:t> </w:t>
            </w:r>
            <w:r>
              <w:rPr>
                <w:sz w:val="22"/>
              </w:rPr>
              <w:t>as</w:t>
            </w:r>
            <w:r>
              <w:rPr>
                <w:spacing w:val="40"/>
                <w:sz w:val="22"/>
              </w:rPr>
              <w:t> </w:t>
            </w:r>
            <w:r>
              <w:rPr>
                <w:sz w:val="22"/>
              </w:rPr>
              <w:t>per the respective</w:t>
            </w:r>
            <w:r>
              <w:rPr>
                <w:spacing w:val="40"/>
                <w:sz w:val="22"/>
              </w:rPr>
              <w:t> </w:t>
            </w:r>
            <w:r>
              <w:rPr>
                <w:sz w:val="22"/>
              </w:rPr>
              <w:t>DCPR</w:t>
            </w:r>
          </w:p>
        </w:tc>
      </w:tr>
      <w:tr>
        <w:trPr>
          <w:trHeight w:val="2065" w:hRule="atLeast"/>
        </w:trPr>
        <w:tc>
          <w:tcPr>
            <w:tcW w:w="605" w:type="dxa"/>
          </w:tcPr>
          <w:p>
            <w:pPr>
              <w:pStyle w:val="TableParagraph"/>
              <w:spacing w:line="257" w:lineRule="exact"/>
              <w:ind w:left="9"/>
              <w:jc w:val="center"/>
              <w:rPr>
                <w:sz w:val="22"/>
              </w:rPr>
            </w:pPr>
            <w:r>
              <w:rPr>
                <w:spacing w:val="-5"/>
                <w:sz w:val="22"/>
              </w:rPr>
              <w:t>10</w:t>
            </w:r>
          </w:p>
        </w:tc>
        <w:tc>
          <w:tcPr>
            <w:tcW w:w="2242" w:type="dxa"/>
          </w:tcPr>
          <w:p>
            <w:pPr>
              <w:pStyle w:val="TableParagraph"/>
              <w:ind w:left="107" w:right="94"/>
              <w:jc w:val="both"/>
              <w:rPr>
                <w:b/>
                <w:sz w:val="22"/>
              </w:rPr>
            </w:pPr>
            <w:r>
              <w:rPr>
                <w:b/>
                <w:sz w:val="22"/>
              </w:rPr>
              <w:t>Site inspection and </w:t>
            </w:r>
            <w:r>
              <w:rPr>
                <w:b/>
                <w:sz w:val="22"/>
              </w:rPr>
              <w:t>Computer based allocation of inspector for site inspection.</w:t>
            </w:r>
          </w:p>
        </w:tc>
        <w:tc>
          <w:tcPr>
            <w:tcW w:w="2815" w:type="dxa"/>
          </w:tcPr>
          <w:p>
            <w:pPr>
              <w:pStyle w:val="TableParagraph"/>
              <w:ind w:left="107" w:right="95"/>
              <w:jc w:val="both"/>
              <w:rPr>
                <w:sz w:val="22"/>
              </w:rPr>
            </w:pPr>
            <w:r>
              <w:rPr>
                <w:sz w:val="22"/>
              </w:rPr>
              <w:t>No site inspection is necessary by the Planning Authority at any stage. Approval Procedure is to be followed as mentioned in</w:t>
            </w:r>
            <w:r>
              <w:rPr>
                <w:spacing w:val="79"/>
                <w:sz w:val="22"/>
              </w:rPr>
              <w:t>    </w:t>
            </w:r>
            <w:r>
              <w:rPr>
                <w:sz w:val="22"/>
              </w:rPr>
              <w:t>Point</w:t>
            </w:r>
            <w:r>
              <w:rPr>
                <w:spacing w:val="79"/>
                <w:sz w:val="22"/>
              </w:rPr>
              <w:t>    </w:t>
            </w:r>
            <w:r>
              <w:rPr>
                <w:spacing w:val="-4"/>
                <w:sz w:val="22"/>
              </w:rPr>
              <w:t>No.11</w:t>
            </w:r>
          </w:p>
        </w:tc>
        <w:tc>
          <w:tcPr>
            <w:tcW w:w="3144" w:type="dxa"/>
          </w:tcPr>
          <w:p>
            <w:pPr>
              <w:pStyle w:val="TableParagraph"/>
              <w:tabs>
                <w:tab w:pos="1948" w:val="left" w:leader="none"/>
              </w:tabs>
              <w:ind w:left="108" w:right="94"/>
              <w:jc w:val="both"/>
              <w:rPr>
                <w:sz w:val="22"/>
              </w:rPr>
            </w:pPr>
            <w:r>
              <w:rPr>
                <w:sz w:val="22"/>
              </w:rPr>
              <w:t>Site inspection at Plinth level is necessary by the </w:t>
            </w:r>
            <w:r>
              <w:rPr>
                <w:spacing w:val="-2"/>
                <w:sz w:val="22"/>
              </w:rPr>
              <w:t>Planning</w:t>
            </w:r>
            <w:r>
              <w:rPr>
                <w:sz w:val="22"/>
              </w:rPr>
              <w:tab/>
            </w:r>
            <w:r>
              <w:rPr>
                <w:spacing w:val="-2"/>
                <w:sz w:val="22"/>
              </w:rPr>
              <w:t>Authority. </w:t>
            </w:r>
            <w:r>
              <w:rPr>
                <w:sz w:val="22"/>
              </w:rPr>
              <w:t>Approval</w:t>
            </w:r>
            <w:r>
              <w:rPr>
                <w:spacing w:val="-16"/>
                <w:sz w:val="22"/>
              </w:rPr>
              <w:t> </w:t>
            </w:r>
            <w:r>
              <w:rPr>
                <w:sz w:val="22"/>
              </w:rPr>
              <w:t>Procedure</w:t>
            </w:r>
            <w:r>
              <w:rPr>
                <w:spacing w:val="-14"/>
                <w:sz w:val="22"/>
              </w:rPr>
              <w:t> </w:t>
            </w:r>
            <w:r>
              <w:rPr>
                <w:sz w:val="22"/>
              </w:rPr>
              <w:t>is</w:t>
            </w:r>
            <w:r>
              <w:rPr>
                <w:spacing w:val="-18"/>
                <w:sz w:val="22"/>
              </w:rPr>
              <w:t> </w:t>
            </w:r>
            <w:r>
              <w:rPr>
                <w:sz w:val="22"/>
              </w:rPr>
              <w:t>to</w:t>
            </w:r>
            <w:r>
              <w:rPr>
                <w:spacing w:val="-14"/>
                <w:sz w:val="22"/>
              </w:rPr>
              <w:t> </w:t>
            </w:r>
            <w:r>
              <w:rPr>
                <w:sz w:val="22"/>
              </w:rPr>
              <w:t>be followed as mentioned in Point No.11 </w:t>
            </w:r>
            <w:r>
              <w:rPr>
                <w:b/>
                <w:sz w:val="22"/>
              </w:rPr>
              <w:t>including </w:t>
            </w:r>
            <w:r>
              <w:rPr>
                <w:sz w:val="22"/>
              </w:rPr>
              <w:t>point no 11 (c).</w:t>
            </w:r>
          </w:p>
        </w:tc>
      </w:tr>
    </w:tbl>
    <w:p>
      <w:pPr>
        <w:pStyle w:val="TableParagraph"/>
        <w:spacing w:after="0"/>
        <w:jc w:val="both"/>
        <w:rPr>
          <w:sz w:val="22"/>
        </w:rPr>
        <w:sectPr>
          <w:pgSz w:w="11910" w:h="16840"/>
          <w:pgMar w:header="1065" w:footer="1194" w:top="1500" w:bottom="1380" w:left="360" w:right="360"/>
        </w:sectPr>
      </w:pPr>
    </w:p>
    <w:p>
      <w:pPr>
        <w:pStyle w:val="BodyText"/>
        <w:spacing w:before="14" w:after="1"/>
        <w:jc w:val="left"/>
        <w:rPr>
          <w:sz w:val="20"/>
        </w:rPr>
      </w:pPr>
    </w:p>
    <w:tbl>
      <w:tblPr>
        <w:tblW w:w="0" w:type="auto"/>
        <w:jc w:val="left"/>
        <w:tblInd w:w="1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5"/>
        <w:gridCol w:w="2242"/>
        <w:gridCol w:w="2815"/>
        <w:gridCol w:w="3144"/>
      </w:tblGrid>
      <w:tr>
        <w:trPr>
          <w:trHeight w:val="777" w:hRule="atLeast"/>
        </w:trPr>
        <w:tc>
          <w:tcPr>
            <w:tcW w:w="605" w:type="dxa"/>
          </w:tcPr>
          <w:p>
            <w:pPr>
              <w:pStyle w:val="TableParagraph"/>
              <w:rPr>
                <w:rFonts w:ascii="Times New Roman"/>
                <w:sz w:val="20"/>
              </w:rPr>
            </w:pPr>
          </w:p>
        </w:tc>
        <w:tc>
          <w:tcPr>
            <w:tcW w:w="2242" w:type="dxa"/>
          </w:tcPr>
          <w:p>
            <w:pPr>
              <w:pStyle w:val="TableParagraph"/>
              <w:rPr>
                <w:rFonts w:ascii="Times New Roman"/>
                <w:sz w:val="20"/>
              </w:rPr>
            </w:pPr>
          </w:p>
        </w:tc>
        <w:tc>
          <w:tcPr>
            <w:tcW w:w="2815" w:type="dxa"/>
          </w:tcPr>
          <w:p>
            <w:pPr>
              <w:pStyle w:val="TableParagraph"/>
              <w:spacing w:before="1"/>
              <w:ind w:left="107"/>
              <w:rPr>
                <w:sz w:val="22"/>
              </w:rPr>
            </w:pPr>
            <w:r>
              <w:rPr>
                <w:b/>
                <w:sz w:val="22"/>
              </w:rPr>
              <w:t>excluding</w:t>
            </w:r>
            <w:r>
              <w:rPr>
                <w:b/>
                <w:spacing w:val="40"/>
                <w:sz w:val="22"/>
              </w:rPr>
              <w:t> </w:t>
            </w:r>
            <w:r>
              <w:rPr>
                <w:sz w:val="22"/>
              </w:rPr>
              <w:t>point</w:t>
            </w:r>
            <w:r>
              <w:rPr>
                <w:spacing w:val="40"/>
                <w:sz w:val="22"/>
              </w:rPr>
              <w:t> </w:t>
            </w:r>
            <w:r>
              <w:rPr>
                <w:sz w:val="22"/>
              </w:rPr>
              <w:t>no</w:t>
            </w:r>
            <w:r>
              <w:rPr>
                <w:spacing w:val="40"/>
                <w:sz w:val="22"/>
              </w:rPr>
              <w:t> </w:t>
            </w:r>
            <w:r>
              <w:rPr>
                <w:sz w:val="22"/>
              </w:rPr>
              <w:t>11 </w:t>
            </w:r>
            <w:r>
              <w:rPr>
                <w:spacing w:val="-4"/>
                <w:sz w:val="22"/>
              </w:rPr>
              <w:t>(c).</w:t>
            </w:r>
          </w:p>
        </w:tc>
        <w:tc>
          <w:tcPr>
            <w:tcW w:w="3144" w:type="dxa"/>
          </w:tcPr>
          <w:p>
            <w:pPr>
              <w:pStyle w:val="TableParagraph"/>
              <w:rPr>
                <w:rFonts w:ascii="Times New Roman"/>
                <w:sz w:val="20"/>
              </w:rPr>
            </w:pPr>
          </w:p>
        </w:tc>
      </w:tr>
    </w:tbl>
    <w:p>
      <w:pPr>
        <w:pStyle w:val="BodyText"/>
        <w:jc w:val="left"/>
        <w:rPr>
          <w:sz w:val="22"/>
        </w:rPr>
      </w:pPr>
    </w:p>
    <w:p>
      <w:pPr>
        <w:pStyle w:val="BodyText"/>
        <w:spacing w:before="49"/>
        <w:jc w:val="left"/>
        <w:rPr>
          <w:sz w:val="22"/>
        </w:rPr>
      </w:pPr>
    </w:p>
    <w:p>
      <w:pPr>
        <w:spacing w:line="258" w:lineRule="exact" w:before="0"/>
        <w:ind w:left="890" w:right="0" w:firstLine="0"/>
        <w:jc w:val="both"/>
        <w:rPr>
          <w:b/>
          <w:sz w:val="22"/>
        </w:rPr>
      </w:pPr>
      <w:r>
        <w:rPr>
          <w:b/>
          <w:sz w:val="22"/>
        </w:rPr>
        <w:t>11</w:t>
      </w:r>
      <w:r>
        <w:rPr>
          <w:b/>
          <w:spacing w:val="30"/>
          <w:sz w:val="22"/>
        </w:rPr>
        <w:t>  </w:t>
      </w:r>
      <w:r>
        <w:rPr>
          <w:b/>
          <w:sz w:val="22"/>
          <w:u w:val="single"/>
        </w:rPr>
        <w:t>Procedure</w:t>
      </w:r>
      <w:r>
        <w:rPr>
          <w:b/>
          <w:spacing w:val="69"/>
          <w:sz w:val="22"/>
          <w:u w:val="single"/>
        </w:rPr>
        <w:t> </w:t>
      </w:r>
      <w:r>
        <w:rPr>
          <w:b/>
          <w:sz w:val="22"/>
          <w:u w:val="single"/>
        </w:rPr>
        <w:t>for</w:t>
      </w:r>
      <w:r>
        <w:rPr>
          <w:b/>
          <w:spacing w:val="-3"/>
          <w:sz w:val="22"/>
          <w:u w:val="single"/>
        </w:rPr>
        <w:t> </w:t>
      </w:r>
      <w:r>
        <w:rPr>
          <w:b/>
          <w:sz w:val="22"/>
          <w:u w:val="single"/>
        </w:rPr>
        <w:t>Building</w:t>
      </w:r>
      <w:r>
        <w:rPr>
          <w:b/>
          <w:spacing w:val="-3"/>
          <w:sz w:val="22"/>
          <w:u w:val="single"/>
        </w:rPr>
        <w:t> </w:t>
      </w:r>
      <w:r>
        <w:rPr>
          <w:b/>
          <w:spacing w:val="-2"/>
          <w:sz w:val="22"/>
          <w:u w:val="single"/>
        </w:rPr>
        <w:t>Permission</w:t>
      </w:r>
    </w:p>
    <w:p>
      <w:pPr>
        <w:spacing w:before="0"/>
        <w:ind w:left="1397" w:right="902" w:firstLine="0"/>
        <w:jc w:val="both"/>
        <w:rPr>
          <w:sz w:val="22"/>
        </w:rPr>
      </w:pPr>
      <w:r>
        <w:rPr>
          <w:sz w:val="22"/>
        </w:rPr>
        <w:t>Architect/ License Surveyor (L.S.)/Engineer (Architect registered with Council of Architecture</w:t>
      </w:r>
      <w:r>
        <w:rPr>
          <w:spacing w:val="-9"/>
          <w:sz w:val="22"/>
        </w:rPr>
        <w:t> </w:t>
      </w:r>
      <w:r>
        <w:rPr>
          <w:sz w:val="22"/>
        </w:rPr>
        <w:t>&amp;</w:t>
      </w:r>
      <w:r>
        <w:rPr>
          <w:spacing w:val="-8"/>
          <w:sz w:val="22"/>
        </w:rPr>
        <w:t> </w:t>
      </w:r>
      <w:r>
        <w:rPr>
          <w:sz w:val="22"/>
        </w:rPr>
        <w:t>License</w:t>
      </w:r>
      <w:r>
        <w:rPr>
          <w:spacing w:val="-9"/>
          <w:sz w:val="22"/>
        </w:rPr>
        <w:t> </w:t>
      </w:r>
      <w:r>
        <w:rPr>
          <w:sz w:val="22"/>
        </w:rPr>
        <w:t>Surveyor</w:t>
      </w:r>
      <w:r>
        <w:rPr>
          <w:spacing w:val="-9"/>
          <w:sz w:val="22"/>
        </w:rPr>
        <w:t> </w:t>
      </w:r>
      <w:r>
        <w:rPr>
          <w:sz w:val="22"/>
        </w:rPr>
        <w:t>&amp;Engineer</w:t>
      </w:r>
      <w:r>
        <w:rPr>
          <w:spacing w:val="40"/>
          <w:sz w:val="22"/>
        </w:rPr>
        <w:t> </w:t>
      </w:r>
      <w:r>
        <w:rPr>
          <w:sz w:val="22"/>
        </w:rPr>
        <w:t>registered</w:t>
      </w:r>
      <w:r>
        <w:rPr>
          <w:spacing w:val="-11"/>
          <w:sz w:val="22"/>
        </w:rPr>
        <w:t> </w:t>
      </w:r>
      <w:r>
        <w:rPr>
          <w:sz w:val="22"/>
        </w:rPr>
        <w:t>with</w:t>
      </w:r>
      <w:r>
        <w:rPr>
          <w:spacing w:val="-9"/>
          <w:sz w:val="22"/>
        </w:rPr>
        <w:t> </w:t>
      </w:r>
      <w:r>
        <w:rPr>
          <w:sz w:val="22"/>
        </w:rPr>
        <w:t>Planning</w:t>
      </w:r>
      <w:r>
        <w:rPr>
          <w:spacing w:val="-9"/>
          <w:sz w:val="22"/>
        </w:rPr>
        <w:t> </w:t>
      </w:r>
      <w:r>
        <w:rPr>
          <w:sz w:val="22"/>
        </w:rPr>
        <w:t>Authority)are empowered to grant provisional approval</w:t>
      </w:r>
      <w:r>
        <w:rPr>
          <w:b/>
          <w:sz w:val="22"/>
        </w:rPr>
        <w:t>with self-certification</w:t>
      </w:r>
      <w:r>
        <w:rPr>
          <w:i/>
          <w:sz w:val="22"/>
        </w:rPr>
        <w:t>to</w:t>
      </w:r>
      <w:r>
        <w:rPr>
          <w:i/>
          <w:spacing w:val="40"/>
          <w:sz w:val="22"/>
        </w:rPr>
        <w:t> </w:t>
      </w:r>
      <w:r>
        <w:rPr>
          <w:sz w:val="22"/>
        </w:rPr>
        <w:t>the building proposal plans categorized as</w:t>
      </w:r>
      <w:r>
        <w:rPr>
          <w:spacing w:val="40"/>
          <w:sz w:val="22"/>
        </w:rPr>
        <w:t> </w:t>
      </w:r>
      <w:r>
        <w:rPr>
          <w:b/>
          <w:sz w:val="22"/>
        </w:rPr>
        <w:t>Low Risk &amp; Moderate Risk </w:t>
      </w:r>
      <w:r>
        <w:rPr>
          <w:sz w:val="22"/>
        </w:rPr>
        <w:t>in Table given above, subject to the following:-</w:t>
      </w:r>
    </w:p>
    <w:p>
      <w:pPr>
        <w:pStyle w:val="BodyText"/>
        <w:jc w:val="left"/>
        <w:rPr>
          <w:sz w:val="22"/>
        </w:rPr>
      </w:pPr>
    </w:p>
    <w:p>
      <w:pPr>
        <w:spacing w:before="0"/>
        <w:ind w:left="1397" w:right="0" w:firstLine="0"/>
        <w:jc w:val="both"/>
        <w:rPr>
          <w:b/>
          <w:sz w:val="22"/>
        </w:rPr>
      </w:pPr>
      <w:r>
        <w:rPr>
          <w:b/>
          <w:sz w:val="22"/>
          <w:u w:val="single"/>
        </w:rPr>
        <w:t>Building</w:t>
      </w:r>
      <w:r>
        <w:rPr>
          <w:b/>
          <w:spacing w:val="-18"/>
          <w:sz w:val="22"/>
          <w:u w:val="single"/>
        </w:rPr>
        <w:t> </w:t>
      </w:r>
      <w:r>
        <w:rPr>
          <w:b/>
          <w:sz w:val="22"/>
          <w:u w:val="single"/>
        </w:rPr>
        <w:t>Permission/Commencement</w:t>
      </w:r>
      <w:r>
        <w:rPr>
          <w:b/>
          <w:spacing w:val="-15"/>
          <w:sz w:val="22"/>
          <w:u w:val="single"/>
        </w:rPr>
        <w:t> </w:t>
      </w:r>
      <w:r>
        <w:rPr>
          <w:b/>
          <w:spacing w:val="-2"/>
          <w:sz w:val="22"/>
          <w:u w:val="single"/>
        </w:rPr>
        <w:t>Certificate:-</w:t>
      </w:r>
    </w:p>
    <w:p>
      <w:pPr>
        <w:pStyle w:val="BodyText"/>
        <w:jc w:val="left"/>
        <w:rPr>
          <w:b/>
          <w:sz w:val="22"/>
        </w:rPr>
      </w:pPr>
    </w:p>
    <w:p>
      <w:pPr>
        <w:pStyle w:val="ListParagraph"/>
        <w:numPr>
          <w:ilvl w:val="0"/>
          <w:numId w:val="326"/>
        </w:numPr>
        <w:tabs>
          <w:tab w:pos="1669" w:val="left" w:leader="none"/>
        </w:tabs>
        <w:spacing w:line="240" w:lineRule="auto" w:before="0" w:after="0"/>
        <w:ind w:left="1397" w:right="902" w:firstLine="0"/>
        <w:jc w:val="both"/>
        <w:rPr>
          <w:b/>
          <w:sz w:val="22"/>
        </w:rPr>
      </w:pPr>
      <w:r>
        <w:rPr>
          <w:b/>
          <w:sz w:val="22"/>
          <w:u w:val="single"/>
        </w:rPr>
        <w:t>Submission of</w:t>
      </w:r>
      <w:r>
        <w:rPr>
          <w:b/>
          <w:spacing w:val="-1"/>
          <w:sz w:val="22"/>
          <w:u w:val="single"/>
        </w:rPr>
        <w:t> </w:t>
      </w:r>
      <w:r>
        <w:rPr>
          <w:b/>
          <w:sz w:val="22"/>
          <w:u w:val="single"/>
        </w:rPr>
        <w:t>Proposal</w:t>
      </w:r>
      <w:r>
        <w:rPr>
          <w:b/>
          <w:sz w:val="22"/>
        </w:rPr>
        <w:t>:-</w:t>
      </w:r>
      <w:r>
        <w:rPr>
          <w:sz w:val="22"/>
        </w:rPr>
        <w:t>The proposal shall comprise</w:t>
      </w:r>
      <w:r>
        <w:rPr>
          <w:spacing w:val="-1"/>
          <w:sz w:val="22"/>
        </w:rPr>
        <w:t> </w:t>
      </w:r>
      <w:r>
        <w:rPr>
          <w:sz w:val="22"/>
        </w:rPr>
        <w:t>of</w:t>
      </w:r>
      <w:r>
        <w:rPr>
          <w:spacing w:val="-2"/>
          <w:sz w:val="22"/>
        </w:rPr>
        <w:t> </w:t>
      </w:r>
      <w:r>
        <w:rPr>
          <w:sz w:val="22"/>
        </w:rPr>
        <w:t>application</w:t>
      </w:r>
      <w:r>
        <w:rPr>
          <w:spacing w:val="-1"/>
          <w:sz w:val="22"/>
        </w:rPr>
        <w:t> </w:t>
      </w:r>
      <w:r>
        <w:rPr>
          <w:sz w:val="22"/>
        </w:rPr>
        <w:t>u/s</w:t>
      </w:r>
      <w:r>
        <w:rPr>
          <w:spacing w:val="-1"/>
          <w:sz w:val="22"/>
        </w:rPr>
        <w:t> </w:t>
      </w:r>
      <w:r>
        <w:rPr>
          <w:sz w:val="22"/>
        </w:rPr>
        <w:t>44/69 of MR&amp;TP Act, 1966, in format prescribed by Municipal Commissioner/Chief Officer/Chief Executive Officer, along with documents and undertakings required for</w:t>
      </w:r>
      <w:r>
        <w:rPr>
          <w:spacing w:val="-14"/>
          <w:sz w:val="22"/>
        </w:rPr>
        <w:t> </w:t>
      </w:r>
      <w:r>
        <w:rPr>
          <w:sz w:val="22"/>
        </w:rPr>
        <w:t>the</w:t>
      </w:r>
      <w:r>
        <w:rPr>
          <w:spacing w:val="-11"/>
          <w:sz w:val="22"/>
        </w:rPr>
        <w:t> </w:t>
      </w:r>
      <w:r>
        <w:rPr>
          <w:sz w:val="22"/>
        </w:rPr>
        <w:t>proposal</w:t>
      </w:r>
      <w:r>
        <w:rPr>
          <w:spacing w:val="-13"/>
          <w:sz w:val="22"/>
        </w:rPr>
        <w:t> </w:t>
      </w:r>
      <w:r>
        <w:rPr>
          <w:sz w:val="22"/>
        </w:rPr>
        <w:t>as</w:t>
      </w:r>
      <w:r>
        <w:rPr>
          <w:spacing w:val="-14"/>
          <w:sz w:val="22"/>
        </w:rPr>
        <w:t> </w:t>
      </w:r>
      <w:r>
        <w:rPr>
          <w:sz w:val="22"/>
        </w:rPr>
        <w:t>per</w:t>
      </w:r>
      <w:r>
        <w:rPr>
          <w:spacing w:val="-14"/>
          <w:sz w:val="22"/>
        </w:rPr>
        <w:t> </w:t>
      </w:r>
      <w:r>
        <w:rPr>
          <w:sz w:val="22"/>
        </w:rPr>
        <w:t>regulation</w:t>
      </w:r>
      <w:r>
        <w:rPr>
          <w:spacing w:val="-15"/>
          <w:sz w:val="22"/>
        </w:rPr>
        <w:t> </w:t>
      </w:r>
      <w:r>
        <w:rPr>
          <w:sz w:val="22"/>
        </w:rPr>
        <w:t>&amp;</w:t>
      </w:r>
      <w:r>
        <w:rPr>
          <w:spacing w:val="-13"/>
          <w:sz w:val="22"/>
        </w:rPr>
        <w:t> </w:t>
      </w:r>
      <w:r>
        <w:rPr>
          <w:sz w:val="22"/>
        </w:rPr>
        <w:t>required</w:t>
      </w:r>
      <w:r>
        <w:rPr>
          <w:spacing w:val="-15"/>
          <w:sz w:val="22"/>
        </w:rPr>
        <w:t> </w:t>
      </w:r>
      <w:r>
        <w:rPr>
          <w:sz w:val="22"/>
        </w:rPr>
        <w:t>by</w:t>
      </w:r>
      <w:r>
        <w:rPr>
          <w:spacing w:val="-13"/>
          <w:sz w:val="22"/>
        </w:rPr>
        <w:t> </w:t>
      </w:r>
      <w:r>
        <w:rPr>
          <w:sz w:val="22"/>
        </w:rPr>
        <w:t>the</w:t>
      </w:r>
      <w:r>
        <w:rPr>
          <w:spacing w:val="-14"/>
          <w:sz w:val="22"/>
        </w:rPr>
        <w:t> </w:t>
      </w:r>
      <w:r>
        <w:rPr>
          <w:sz w:val="22"/>
        </w:rPr>
        <w:t>Municipal</w:t>
      </w:r>
      <w:r>
        <w:rPr>
          <w:spacing w:val="-13"/>
          <w:sz w:val="22"/>
        </w:rPr>
        <w:t> </w:t>
      </w:r>
      <w:r>
        <w:rPr>
          <w:sz w:val="22"/>
        </w:rPr>
        <w:t>Commissioner/Chief Officer/Chief</w:t>
      </w:r>
      <w:r>
        <w:rPr>
          <w:spacing w:val="-2"/>
          <w:sz w:val="22"/>
        </w:rPr>
        <w:t> </w:t>
      </w:r>
      <w:r>
        <w:rPr>
          <w:sz w:val="22"/>
        </w:rPr>
        <w:t>Executive</w:t>
      </w:r>
      <w:r>
        <w:rPr>
          <w:spacing w:val="-1"/>
          <w:sz w:val="22"/>
        </w:rPr>
        <w:t> </w:t>
      </w:r>
      <w:r>
        <w:rPr>
          <w:sz w:val="22"/>
        </w:rPr>
        <w:t>Officer</w:t>
      </w:r>
      <w:r>
        <w:rPr>
          <w:spacing w:val="-5"/>
          <w:sz w:val="22"/>
        </w:rPr>
        <w:t> </w:t>
      </w:r>
      <w:r>
        <w:rPr>
          <w:sz w:val="22"/>
        </w:rPr>
        <w:t>from</w:t>
      </w:r>
      <w:r>
        <w:rPr>
          <w:spacing w:val="-2"/>
          <w:sz w:val="22"/>
        </w:rPr>
        <w:t> </w:t>
      </w:r>
      <w:r>
        <w:rPr>
          <w:sz w:val="22"/>
        </w:rPr>
        <w:t>time</w:t>
      </w:r>
      <w:r>
        <w:rPr>
          <w:spacing w:val="-1"/>
          <w:sz w:val="22"/>
        </w:rPr>
        <w:t> </w:t>
      </w:r>
      <w:r>
        <w:rPr>
          <w:sz w:val="22"/>
        </w:rPr>
        <w:t>to</w:t>
      </w:r>
      <w:r>
        <w:rPr>
          <w:spacing w:val="-2"/>
          <w:sz w:val="22"/>
        </w:rPr>
        <w:t> </w:t>
      </w:r>
      <w:r>
        <w:rPr>
          <w:sz w:val="22"/>
        </w:rPr>
        <w:t>time.</w:t>
      </w:r>
      <w:r>
        <w:rPr>
          <w:spacing w:val="-2"/>
          <w:sz w:val="22"/>
        </w:rPr>
        <w:t> </w:t>
      </w:r>
      <w:r>
        <w:rPr>
          <w:sz w:val="22"/>
        </w:rPr>
        <w:t>All</w:t>
      </w:r>
      <w:r>
        <w:rPr>
          <w:spacing w:val="-3"/>
          <w:sz w:val="22"/>
        </w:rPr>
        <w:t> </w:t>
      </w:r>
      <w:r>
        <w:rPr>
          <w:sz w:val="22"/>
        </w:rPr>
        <w:t>the</w:t>
      </w:r>
      <w:r>
        <w:rPr>
          <w:spacing w:val="-1"/>
          <w:sz w:val="22"/>
        </w:rPr>
        <w:t> </w:t>
      </w:r>
      <w:r>
        <w:rPr>
          <w:sz w:val="22"/>
        </w:rPr>
        <w:t>required</w:t>
      </w:r>
      <w:r>
        <w:rPr>
          <w:spacing w:val="-1"/>
          <w:sz w:val="22"/>
        </w:rPr>
        <w:t> </w:t>
      </w:r>
      <w:r>
        <w:rPr>
          <w:sz w:val="22"/>
        </w:rPr>
        <w:t>documents</w:t>
      </w:r>
      <w:r>
        <w:rPr>
          <w:spacing w:val="-1"/>
          <w:sz w:val="22"/>
        </w:rPr>
        <w:t> </w:t>
      </w:r>
      <w:r>
        <w:rPr>
          <w:sz w:val="22"/>
        </w:rPr>
        <w:t>shall be </w:t>
      </w:r>
      <w:r>
        <w:rPr>
          <w:b/>
          <w:sz w:val="22"/>
        </w:rPr>
        <w:t>certified and signed </w:t>
      </w:r>
      <w:r>
        <w:rPr>
          <w:sz w:val="22"/>
        </w:rPr>
        <w:t>by the Architect /L.S./Engineer confirming with the original documents.</w:t>
      </w:r>
      <w:r>
        <w:rPr>
          <w:spacing w:val="40"/>
          <w:sz w:val="22"/>
        </w:rPr>
        <w:t> </w:t>
      </w:r>
      <w:r>
        <w:rPr>
          <w:sz w:val="22"/>
        </w:rPr>
        <w:t>The documents</w:t>
      </w:r>
      <w:r>
        <w:rPr>
          <w:spacing w:val="-1"/>
          <w:sz w:val="22"/>
        </w:rPr>
        <w:t> </w:t>
      </w:r>
      <w:r>
        <w:rPr>
          <w:sz w:val="22"/>
        </w:rPr>
        <w:t>required</w:t>
      </w:r>
      <w:r>
        <w:rPr>
          <w:spacing w:val="-1"/>
          <w:sz w:val="22"/>
        </w:rPr>
        <w:t> </w:t>
      </w:r>
      <w:r>
        <w:rPr>
          <w:sz w:val="22"/>
        </w:rPr>
        <w:t>shall be as</w:t>
      </w:r>
      <w:r>
        <w:rPr>
          <w:spacing w:val="-1"/>
          <w:sz w:val="22"/>
        </w:rPr>
        <w:t> </w:t>
      </w:r>
      <w:r>
        <w:rPr>
          <w:sz w:val="22"/>
        </w:rPr>
        <w:t>per</w:t>
      </w:r>
      <w:r>
        <w:rPr>
          <w:spacing w:val="-2"/>
          <w:sz w:val="22"/>
        </w:rPr>
        <w:t> </w:t>
      </w:r>
      <w:r>
        <w:rPr>
          <w:sz w:val="22"/>
        </w:rPr>
        <w:t>the</w:t>
      </w:r>
      <w:r>
        <w:rPr>
          <w:spacing w:val="-1"/>
          <w:sz w:val="22"/>
        </w:rPr>
        <w:t> </w:t>
      </w:r>
      <w:r>
        <w:rPr>
          <w:sz w:val="22"/>
        </w:rPr>
        <w:t>DCPR</w:t>
      </w:r>
      <w:r>
        <w:rPr>
          <w:spacing w:val="-2"/>
          <w:sz w:val="22"/>
        </w:rPr>
        <w:t> </w:t>
      </w:r>
      <w:r>
        <w:rPr>
          <w:sz w:val="22"/>
        </w:rPr>
        <w:t>of</w:t>
      </w:r>
      <w:r>
        <w:rPr>
          <w:spacing w:val="-2"/>
          <w:sz w:val="22"/>
        </w:rPr>
        <w:t> </w:t>
      </w:r>
      <w:r>
        <w:rPr>
          <w:sz w:val="22"/>
        </w:rPr>
        <w:t>the</w:t>
      </w:r>
      <w:r>
        <w:rPr>
          <w:spacing w:val="-1"/>
          <w:sz w:val="22"/>
        </w:rPr>
        <w:t> </w:t>
      </w:r>
      <w:r>
        <w:rPr>
          <w:sz w:val="22"/>
        </w:rPr>
        <w:t>said </w:t>
      </w:r>
      <w:r>
        <w:rPr>
          <w:spacing w:val="-2"/>
          <w:sz w:val="22"/>
        </w:rPr>
        <w:t>Authority.</w:t>
      </w:r>
    </w:p>
    <w:p>
      <w:pPr>
        <w:pStyle w:val="BodyText"/>
        <w:spacing w:before="1"/>
        <w:jc w:val="left"/>
        <w:rPr>
          <w:sz w:val="22"/>
        </w:rPr>
      </w:pPr>
    </w:p>
    <w:p>
      <w:pPr>
        <w:spacing w:before="0"/>
        <w:ind w:left="1397" w:right="904" w:firstLine="0"/>
        <w:jc w:val="both"/>
        <w:rPr>
          <w:sz w:val="22"/>
        </w:rPr>
      </w:pPr>
      <w:r>
        <w:rPr>
          <w:b/>
          <w:sz w:val="22"/>
        </w:rPr>
        <w:t>b</w:t>
      </w:r>
      <w:r>
        <w:rPr>
          <w:b/>
          <w:spacing w:val="-8"/>
          <w:sz w:val="22"/>
        </w:rPr>
        <w:t> </w:t>
      </w:r>
      <w:r>
        <w:rPr>
          <w:b/>
          <w:sz w:val="22"/>
        </w:rPr>
        <w:t>)</w:t>
      </w:r>
      <w:r>
        <w:rPr>
          <w:b/>
          <w:sz w:val="22"/>
          <w:u w:val="single"/>
        </w:rPr>
        <w:t>Commencement</w:t>
      </w:r>
      <w:r>
        <w:rPr>
          <w:b/>
          <w:spacing w:val="-8"/>
          <w:sz w:val="22"/>
          <w:u w:val="single"/>
        </w:rPr>
        <w:t> </w:t>
      </w:r>
      <w:r>
        <w:rPr>
          <w:b/>
          <w:sz w:val="22"/>
          <w:u w:val="single"/>
        </w:rPr>
        <w:t>Certificate</w:t>
      </w:r>
      <w:r>
        <w:rPr>
          <w:b/>
          <w:spacing w:val="-6"/>
          <w:sz w:val="22"/>
          <w:u w:val="single"/>
        </w:rPr>
        <w:t> </w:t>
      </w:r>
      <w:r>
        <w:rPr>
          <w:b/>
          <w:sz w:val="22"/>
          <w:u w:val="single"/>
        </w:rPr>
        <w:t>(CC)</w:t>
      </w:r>
      <w:r>
        <w:rPr>
          <w:b/>
          <w:spacing w:val="-9"/>
          <w:sz w:val="22"/>
        </w:rPr>
        <w:t> </w:t>
      </w:r>
      <w:r>
        <w:rPr>
          <w:b/>
          <w:sz w:val="22"/>
        </w:rPr>
        <w:t>:-</w:t>
      </w:r>
      <w:r>
        <w:rPr>
          <w:sz w:val="22"/>
        </w:rPr>
        <w:t>After</w:t>
      </w:r>
      <w:r>
        <w:rPr>
          <w:spacing w:val="-7"/>
          <w:sz w:val="22"/>
        </w:rPr>
        <w:t> </w:t>
      </w:r>
      <w:r>
        <w:rPr>
          <w:sz w:val="22"/>
        </w:rPr>
        <w:t>receipt</w:t>
      </w:r>
      <w:r>
        <w:rPr>
          <w:spacing w:val="-8"/>
          <w:sz w:val="22"/>
        </w:rPr>
        <w:t> </w:t>
      </w:r>
      <w:r>
        <w:rPr>
          <w:sz w:val="22"/>
        </w:rPr>
        <w:t>of</w:t>
      </w:r>
      <w:r>
        <w:rPr>
          <w:spacing w:val="-9"/>
          <w:sz w:val="22"/>
        </w:rPr>
        <w:t> </w:t>
      </w:r>
      <w:r>
        <w:rPr>
          <w:sz w:val="22"/>
        </w:rPr>
        <w:t>the</w:t>
      </w:r>
      <w:r>
        <w:rPr>
          <w:spacing w:val="-6"/>
          <w:sz w:val="22"/>
        </w:rPr>
        <w:t> </w:t>
      </w:r>
      <w:r>
        <w:rPr>
          <w:sz w:val="22"/>
        </w:rPr>
        <w:t>application,</w:t>
      </w:r>
      <w:r>
        <w:rPr>
          <w:spacing w:val="-9"/>
          <w:sz w:val="22"/>
        </w:rPr>
        <w:t> </w:t>
      </w:r>
      <w:r>
        <w:rPr>
          <w:sz w:val="22"/>
        </w:rPr>
        <w:t>the</w:t>
      </w:r>
      <w:r>
        <w:rPr>
          <w:spacing w:val="-6"/>
          <w:sz w:val="22"/>
        </w:rPr>
        <w:t> </w:t>
      </w:r>
      <w:r>
        <w:rPr>
          <w:sz w:val="22"/>
        </w:rPr>
        <w:t>Demand Note regarding payment of Scrutiny Fee, Development Charges and other Chargesbased on the proposed Plans/Drawing submitted shall be given by the concern</w:t>
      </w:r>
      <w:r>
        <w:rPr>
          <w:spacing w:val="80"/>
          <w:sz w:val="22"/>
        </w:rPr>
        <w:t> </w:t>
      </w:r>
      <w:r>
        <w:rPr>
          <w:sz w:val="22"/>
        </w:rPr>
        <w:t>Engineer</w:t>
      </w:r>
      <w:r>
        <w:rPr>
          <w:spacing w:val="80"/>
          <w:sz w:val="22"/>
        </w:rPr>
        <w:t> </w:t>
      </w:r>
      <w:r>
        <w:rPr>
          <w:sz w:val="22"/>
        </w:rPr>
        <w:t>of</w:t>
      </w:r>
      <w:r>
        <w:rPr>
          <w:spacing w:val="80"/>
          <w:sz w:val="22"/>
        </w:rPr>
        <w:t> </w:t>
      </w:r>
      <w:r>
        <w:rPr>
          <w:sz w:val="22"/>
        </w:rPr>
        <w:t>the</w:t>
      </w:r>
      <w:r>
        <w:rPr>
          <w:spacing w:val="64"/>
          <w:w w:val="150"/>
          <w:sz w:val="22"/>
        </w:rPr>
        <w:t> </w:t>
      </w:r>
      <w:r>
        <w:rPr>
          <w:sz w:val="22"/>
        </w:rPr>
        <w:t>authority</w:t>
      </w:r>
      <w:r>
        <w:rPr>
          <w:spacing w:val="80"/>
          <w:sz w:val="22"/>
        </w:rPr>
        <w:t> </w:t>
      </w:r>
      <w:r>
        <w:rPr>
          <w:sz w:val="22"/>
        </w:rPr>
        <w:t>within</w:t>
      </w:r>
      <w:r>
        <w:rPr>
          <w:spacing w:val="80"/>
          <w:sz w:val="22"/>
        </w:rPr>
        <w:t> </w:t>
      </w:r>
      <w:r>
        <w:rPr>
          <w:sz w:val="22"/>
        </w:rPr>
        <w:t>10</w:t>
      </w:r>
      <w:r>
        <w:rPr>
          <w:spacing w:val="80"/>
          <w:sz w:val="22"/>
        </w:rPr>
        <w:t> </w:t>
      </w:r>
      <w:r>
        <w:rPr>
          <w:sz w:val="22"/>
        </w:rPr>
        <w:t>days.</w:t>
      </w:r>
      <w:r>
        <w:rPr>
          <w:spacing w:val="80"/>
          <w:sz w:val="22"/>
        </w:rPr>
        <w:t> </w:t>
      </w:r>
      <w:r>
        <w:rPr>
          <w:sz w:val="22"/>
        </w:rPr>
        <w:t>The</w:t>
      </w:r>
      <w:r>
        <w:rPr>
          <w:spacing w:val="80"/>
          <w:sz w:val="22"/>
        </w:rPr>
        <w:t> </w:t>
      </w:r>
      <w:r>
        <w:rPr>
          <w:sz w:val="22"/>
        </w:rPr>
        <w:t>owner</w:t>
      </w:r>
      <w:r>
        <w:rPr>
          <w:spacing w:val="80"/>
          <w:sz w:val="22"/>
        </w:rPr>
        <w:t> </w:t>
      </w:r>
      <w:r>
        <w:rPr>
          <w:sz w:val="22"/>
        </w:rPr>
        <w:t>/</w:t>
      </w:r>
      <w:r>
        <w:rPr>
          <w:spacing w:val="80"/>
          <w:sz w:val="22"/>
        </w:rPr>
        <w:t> </w:t>
      </w:r>
      <w:r>
        <w:rPr>
          <w:sz w:val="22"/>
        </w:rPr>
        <w:t>Architect</w:t>
      </w:r>
    </w:p>
    <w:p>
      <w:pPr>
        <w:spacing w:before="0"/>
        <w:ind w:left="1397" w:right="900" w:firstLine="0"/>
        <w:jc w:val="both"/>
        <w:rPr>
          <w:sz w:val="22"/>
        </w:rPr>
      </w:pPr>
      <w:r>
        <w:rPr>
          <w:sz w:val="22"/>
        </w:rPr>
        <w:t>/L.S./Engineer shall deposit the Charges as demanded. Upon deposit of such Charges with the Planning Authority,</w:t>
      </w:r>
      <w:r>
        <w:rPr>
          <w:spacing w:val="40"/>
          <w:sz w:val="22"/>
        </w:rPr>
        <w:t> </w:t>
      </w:r>
      <w:r>
        <w:rPr>
          <w:sz w:val="22"/>
        </w:rPr>
        <w:t>the concerned Architect/ License Surveyor (L.S.)/Engineer are</w:t>
      </w:r>
      <w:r>
        <w:rPr>
          <w:spacing w:val="40"/>
          <w:sz w:val="22"/>
        </w:rPr>
        <w:t> </w:t>
      </w:r>
      <w:r>
        <w:rPr>
          <w:sz w:val="22"/>
        </w:rPr>
        <w:t>empowered to grant provisional approval in the form of </w:t>
      </w:r>
      <w:r>
        <w:rPr>
          <w:b/>
          <w:sz w:val="22"/>
        </w:rPr>
        <w:t>self- certification </w:t>
      </w:r>
      <w:r>
        <w:rPr>
          <w:sz w:val="22"/>
        </w:rPr>
        <w:t>certifying that the plan / entire building proposal is strictly in conformity with the DCR/DCPR. This </w:t>
      </w:r>
      <w:r>
        <w:rPr>
          <w:b/>
          <w:sz w:val="22"/>
        </w:rPr>
        <w:t>self-certification </w:t>
      </w:r>
      <w:r>
        <w:rPr>
          <w:sz w:val="22"/>
        </w:rPr>
        <w:t>shall be treated </w:t>
      </w:r>
      <w:r>
        <w:rPr>
          <w:b/>
          <w:sz w:val="22"/>
        </w:rPr>
        <w:t>as Commencement for the </w:t>
      </w:r>
      <w:r>
        <w:rPr>
          <w:sz w:val="22"/>
        </w:rPr>
        <w:t>construction work.</w:t>
      </w:r>
    </w:p>
    <w:p>
      <w:pPr>
        <w:spacing w:before="258"/>
        <w:ind w:left="1397" w:right="900" w:firstLine="1055"/>
        <w:jc w:val="both"/>
        <w:rPr>
          <w:sz w:val="22"/>
        </w:rPr>
      </w:pPr>
      <w:r>
        <w:rPr>
          <w:sz w:val="22"/>
        </w:rPr>
        <w:t>The owner/concern Architect/License Surveyor (L.S.)/Engineer</w:t>
      </w:r>
      <w:r>
        <w:rPr>
          <w:spacing w:val="80"/>
          <w:sz w:val="22"/>
        </w:rPr>
        <w:t> </w:t>
      </w:r>
      <w:r>
        <w:rPr>
          <w:sz w:val="22"/>
        </w:rPr>
        <w:t>shall submit the said </w:t>
      </w:r>
      <w:r>
        <w:rPr>
          <w:b/>
          <w:sz w:val="22"/>
        </w:rPr>
        <w:t>self-certified plan </w:t>
      </w:r>
      <w:r>
        <w:rPr>
          <w:sz w:val="22"/>
        </w:rPr>
        <w:t>to the Authority </w:t>
      </w:r>
      <w:r>
        <w:rPr>
          <w:b/>
          <w:sz w:val="22"/>
        </w:rPr>
        <w:t>within 10 days</w:t>
      </w:r>
      <w:r>
        <w:rPr>
          <w:sz w:val="22"/>
        </w:rPr>
        <w:t>. Upon such submission,</w:t>
      </w:r>
      <w:r>
        <w:rPr>
          <w:spacing w:val="-1"/>
          <w:sz w:val="22"/>
        </w:rPr>
        <w:t> </w:t>
      </w:r>
      <w:r>
        <w:rPr>
          <w:sz w:val="22"/>
        </w:rPr>
        <w:t>The Junior</w:t>
      </w:r>
      <w:r>
        <w:rPr>
          <w:spacing w:val="-1"/>
          <w:sz w:val="22"/>
        </w:rPr>
        <w:t> </w:t>
      </w:r>
      <w:r>
        <w:rPr>
          <w:sz w:val="22"/>
        </w:rPr>
        <w:t>most Officer/Junior</w:t>
      </w:r>
      <w:r>
        <w:rPr>
          <w:spacing w:val="-4"/>
          <w:sz w:val="22"/>
        </w:rPr>
        <w:t> </w:t>
      </w:r>
      <w:r>
        <w:rPr>
          <w:sz w:val="22"/>
        </w:rPr>
        <w:t>Engineer</w:t>
      </w:r>
      <w:r>
        <w:rPr>
          <w:spacing w:val="-1"/>
          <w:sz w:val="22"/>
        </w:rPr>
        <w:t> </w:t>
      </w:r>
      <w:r>
        <w:rPr>
          <w:sz w:val="22"/>
        </w:rPr>
        <w:t>at ward level,</w:t>
      </w:r>
      <w:r>
        <w:rPr>
          <w:spacing w:val="-1"/>
          <w:sz w:val="22"/>
        </w:rPr>
        <w:t> </w:t>
      </w:r>
      <w:r>
        <w:rPr>
          <w:sz w:val="22"/>
        </w:rPr>
        <w:t>authorized by Municipal Commissioner/Municipal Chief Officer shall </w:t>
      </w:r>
      <w:r>
        <w:rPr>
          <w:b/>
          <w:sz w:val="22"/>
        </w:rPr>
        <w:t>countersign the plans without any scrutiny </w:t>
      </w:r>
      <w:r>
        <w:rPr>
          <w:sz w:val="22"/>
        </w:rPr>
        <w:t>and issue Commencement Certificate Under Section-45 of Maharashtra Regional and Town Planning Act, 1966 </w:t>
      </w:r>
      <w:r>
        <w:rPr>
          <w:b/>
          <w:sz w:val="22"/>
        </w:rPr>
        <w:t>within 10 days </w:t>
      </w:r>
      <w:r>
        <w:rPr>
          <w:sz w:val="22"/>
        </w:rPr>
        <w:t>from the receipt</w:t>
      </w:r>
      <w:r>
        <w:rPr>
          <w:spacing w:val="-18"/>
          <w:sz w:val="22"/>
        </w:rPr>
        <w:t> </w:t>
      </w:r>
      <w:r>
        <w:rPr>
          <w:sz w:val="22"/>
        </w:rPr>
        <w:t>of</w:t>
      </w:r>
      <w:r>
        <w:rPr>
          <w:spacing w:val="-18"/>
          <w:sz w:val="22"/>
        </w:rPr>
        <w:t> </w:t>
      </w:r>
      <w:r>
        <w:rPr>
          <w:sz w:val="22"/>
        </w:rPr>
        <w:t>such</w:t>
      </w:r>
      <w:r>
        <w:rPr>
          <w:spacing w:val="-17"/>
          <w:sz w:val="22"/>
        </w:rPr>
        <w:t> </w:t>
      </w:r>
      <w:r>
        <w:rPr>
          <w:sz w:val="22"/>
        </w:rPr>
        <w:t>plan.</w:t>
      </w:r>
      <w:r>
        <w:rPr>
          <w:spacing w:val="-18"/>
          <w:sz w:val="22"/>
        </w:rPr>
        <w:t> </w:t>
      </w:r>
      <w:r>
        <w:rPr>
          <w:sz w:val="22"/>
        </w:rPr>
        <w:t>The</w:t>
      </w:r>
      <w:r>
        <w:rPr>
          <w:spacing w:val="-17"/>
          <w:sz w:val="22"/>
        </w:rPr>
        <w:t> </w:t>
      </w:r>
      <w:r>
        <w:rPr>
          <w:sz w:val="22"/>
        </w:rPr>
        <w:t>Scrutiny</w:t>
      </w:r>
      <w:r>
        <w:rPr>
          <w:spacing w:val="-16"/>
          <w:sz w:val="22"/>
        </w:rPr>
        <w:t> </w:t>
      </w:r>
      <w:r>
        <w:rPr>
          <w:sz w:val="22"/>
        </w:rPr>
        <w:t>at</w:t>
      </w:r>
      <w:r>
        <w:rPr>
          <w:spacing w:val="-18"/>
          <w:sz w:val="22"/>
        </w:rPr>
        <w:t> </w:t>
      </w:r>
      <w:r>
        <w:rPr>
          <w:sz w:val="22"/>
        </w:rPr>
        <w:t>Authority</w:t>
      </w:r>
      <w:r>
        <w:rPr>
          <w:spacing w:val="-16"/>
          <w:sz w:val="22"/>
        </w:rPr>
        <w:t> </w:t>
      </w:r>
      <w:r>
        <w:rPr>
          <w:sz w:val="22"/>
        </w:rPr>
        <w:t>level</w:t>
      </w:r>
      <w:r>
        <w:rPr>
          <w:spacing w:val="-17"/>
          <w:sz w:val="22"/>
        </w:rPr>
        <w:t> </w:t>
      </w:r>
      <w:r>
        <w:rPr>
          <w:sz w:val="22"/>
        </w:rPr>
        <w:t>need</w:t>
      </w:r>
      <w:r>
        <w:rPr>
          <w:spacing w:val="-18"/>
          <w:sz w:val="22"/>
        </w:rPr>
        <w:t> </w:t>
      </w:r>
      <w:r>
        <w:rPr>
          <w:sz w:val="22"/>
        </w:rPr>
        <w:t>not</w:t>
      </w:r>
      <w:r>
        <w:rPr>
          <w:spacing w:val="-13"/>
          <w:sz w:val="22"/>
        </w:rPr>
        <w:t> </w:t>
      </w:r>
      <w:r>
        <w:rPr>
          <w:sz w:val="22"/>
        </w:rPr>
        <w:t>be</w:t>
      </w:r>
      <w:r>
        <w:rPr>
          <w:spacing w:val="-15"/>
          <w:sz w:val="22"/>
        </w:rPr>
        <w:t> </w:t>
      </w:r>
      <w:r>
        <w:rPr>
          <w:sz w:val="22"/>
        </w:rPr>
        <w:t>necessary.</w:t>
      </w:r>
      <w:r>
        <w:rPr>
          <w:spacing w:val="-18"/>
          <w:sz w:val="22"/>
        </w:rPr>
        <w:t> </w:t>
      </w:r>
      <w:r>
        <w:rPr>
          <w:sz w:val="22"/>
        </w:rPr>
        <w:t>Concern Architect/L.S./Engineer is </w:t>
      </w:r>
      <w:r>
        <w:rPr>
          <w:b/>
          <w:sz w:val="22"/>
        </w:rPr>
        <w:t>empowered</w:t>
      </w:r>
      <w:r>
        <w:rPr>
          <w:sz w:val="22"/>
        </w:rPr>
        <w:t>/</w:t>
      </w:r>
      <w:r>
        <w:rPr>
          <w:b/>
          <w:sz w:val="22"/>
        </w:rPr>
        <w:t>Authorized </w:t>
      </w:r>
      <w:r>
        <w:rPr>
          <w:sz w:val="22"/>
        </w:rPr>
        <w:t>to issue the copies of such </w:t>
      </w:r>
      <w:r>
        <w:rPr>
          <w:i/>
          <w:sz w:val="22"/>
        </w:rPr>
        <w:t>approved </w:t>
      </w:r>
      <w:r>
        <w:rPr>
          <w:sz w:val="22"/>
        </w:rPr>
        <w:t>plans &amp;Certificates with his signature</w:t>
      </w:r>
    </w:p>
    <w:p>
      <w:pPr>
        <w:spacing w:line="258" w:lineRule="exact" w:before="1"/>
        <w:ind w:left="1397" w:right="0" w:firstLine="0"/>
        <w:jc w:val="both"/>
        <w:rPr>
          <w:sz w:val="22"/>
        </w:rPr>
      </w:pPr>
      <w:r>
        <w:rPr>
          <w:b/>
          <w:sz w:val="22"/>
        </w:rPr>
        <w:t>c)</w:t>
      </w:r>
      <w:r>
        <w:rPr>
          <w:b/>
          <w:sz w:val="22"/>
          <w:u w:val="single"/>
        </w:rPr>
        <w:t>Plinth</w:t>
      </w:r>
      <w:r>
        <w:rPr>
          <w:b/>
          <w:spacing w:val="3"/>
          <w:sz w:val="22"/>
          <w:u w:val="single"/>
        </w:rPr>
        <w:t> </w:t>
      </w:r>
      <w:r>
        <w:rPr>
          <w:b/>
          <w:sz w:val="22"/>
          <w:u w:val="single"/>
        </w:rPr>
        <w:t>Checking</w:t>
      </w:r>
      <w:r>
        <w:rPr>
          <w:b/>
          <w:spacing w:val="1"/>
          <w:sz w:val="22"/>
          <w:u w:val="single"/>
        </w:rPr>
        <w:t> </w:t>
      </w:r>
      <w:r>
        <w:rPr>
          <w:b/>
          <w:sz w:val="22"/>
          <w:u w:val="single"/>
        </w:rPr>
        <w:t>For</w:t>
      </w:r>
      <w:r>
        <w:rPr>
          <w:b/>
          <w:spacing w:val="6"/>
          <w:sz w:val="22"/>
          <w:u w:val="single"/>
        </w:rPr>
        <w:t> </w:t>
      </w:r>
      <w:r>
        <w:rPr>
          <w:b/>
          <w:sz w:val="22"/>
          <w:u w:val="single"/>
        </w:rPr>
        <w:t>Moderate</w:t>
      </w:r>
      <w:r>
        <w:rPr>
          <w:b/>
          <w:spacing w:val="4"/>
          <w:sz w:val="22"/>
          <w:u w:val="single"/>
        </w:rPr>
        <w:t> </w:t>
      </w:r>
      <w:r>
        <w:rPr>
          <w:b/>
          <w:sz w:val="22"/>
          <w:u w:val="single"/>
        </w:rPr>
        <w:t>Risk</w:t>
      </w:r>
      <w:r>
        <w:rPr>
          <w:b/>
          <w:spacing w:val="6"/>
          <w:sz w:val="22"/>
          <w:u w:val="single"/>
        </w:rPr>
        <w:t> </w:t>
      </w:r>
      <w:r>
        <w:rPr>
          <w:b/>
          <w:sz w:val="22"/>
          <w:u w:val="single"/>
        </w:rPr>
        <w:t>building</w:t>
      </w:r>
      <w:r>
        <w:rPr>
          <w:b/>
          <w:spacing w:val="3"/>
          <w:sz w:val="22"/>
          <w:u w:val="single"/>
        </w:rPr>
        <w:t> </w:t>
      </w:r>
      <w:r>
        <w:rPr>
          <w:b/>
          <w:sz w:val="22"/>
          <w:u w:val="single"/>
        </w:rPr>
        <w:t>proposal:-</w:t>
      </w:r>
      <w:r>
        <w:rPr>
          <w:sz w:val="22"/>
        </w:rPr>
        <w:t>The</w:t>
      </w:r>
      <w:r>
        <w:rPr>
          <w:spacing w:val="5"/>
          <w:sz w:val="22"/>
        </w:rPr>
        <w:t> </w:t>
      </w:r>
      <w:r>
        <w:rPr>
          <w:sz w:val="22"/>
        </w:rPr>
        <w:t>concern</w:t>
      </w:r>
      <w:r>
        <w:rPr>
          <w:spacing w:val="3"/>
          <w:sz w:val="22"/>
        </w:rPr>
        <w:t> </w:t>
      </w:r>
      <w:r>
        <w:rPr>
          <w:spacing w:val="-2"/>
          <w:sz w:val="22"/>
        </w:rPr>
        <w:t>Architect</w:t>
      </w:r>
    </w:p>
    <w:p>
      <w:pPr>
        <w:spacing w:before="0"/>
        <w:ind w:left="1397" w:right="902" w:firstLine="0"/>
        <w:jc w:val="both"/>
        <w:rPr>
          <w:sz w:val="22"/>
        </w:rPr>
      </w:pPr>
      <w:r>
        <w:rPr>
          <w:sz w:val="22"/>
        </w:rPr>
        <w:t>/L.S./Engineershall apply for certificate of plinth checking in prescribed application </w:t>
      </w:r>
      <w:r>
        <w:rPr>
          <w:sz w:val="22"/>
          <w:u w:val="single"/>
        </w:rPr>
        <w:t>for</w:t>
      </w:r>
      <w:r>
        <w:rPr>
          <w:spacing w:val="-3"/>
          <w:sz w:val="22"/>
          <w:u w:val="single"/>
        </w:rPr>
        <w:t> </w:t>
      </w:r>
      <w:r>
        <w:rPr>
          <w:sz w:val="22"/>
          <w:u w:val="single"/>
        </w:rPr>
        <w:t>Moderate Risk building</w:t>
      </w:r>
      <w:r>
        <w:rPr>
          <w:spacing w:val="-2"/>
          <w:sz w:val="22"/>
          <w:u w:val="single"/>
        </w:rPr>
        <w:t> </w:t>
      </w:r>
      <w:r>
        <w:rPr>
          <w:sz w:val="22"/>
          <w:u w:val="single"/>
        </w:rPr>
        <w:t>proposal</w:t>
      </w:r>
      <w:r>
        <w:rPr>
          <w:spacing w:val="-2"/>
          <w:sz w:val="22"/>
          <w:u w:val="single"/>
        </w:rPr>
        <w:t> </w:t>
      </w:r>
      <w:r>
        <w:rPr>
          <w:sz w:val="22"/>
          <w:u w:val="single"/>
        </w:rPr>
        <w:t>only</w:t>
      </w:r>
      <w:r>
        <w:rPr>
          <w:sz w:val="22"/>
        </w:rPr>
        <w:t>.</w:t>
      </w:r>
      <w:r>
        <w:rPr>
          <w:spacing w:val="-3"/>
          <w:sz w:val="22"/>
        </w:rPr>
        <w:t> </w:t>
      </w:r>
      <w:r>
        <w:rPr>
          <w:sz w:val="22"/>
        </w:rPr>
        <w:t>The inspection</w:t>
      </w:r>
      <w:r>
        <w:rPr>
          <w:spacing w:val="-2"/>
          <w:sz w:val="22"/>
        </w:rPr>
        <w:t> </w:t>
      </w:r>
      <w:r>
        <w:rPr>
          <w:sz w:val="22"/>
        </w:rPr>
        <w:t>shall</w:t>
      </w:r>
      <w:r>
        <w:rPr>
          <w:spacing w:val="-1"/>
          <w:sz w:val="22"/>
        </w:rPr>
        <w:t> </w:t>
      </w:r>
      <w:r>
        <w:rPr>
          <w:sz w:val="22"/>
        </w:rPr>
        <w:t>be done by the concern Junior Engineers. The inspection report shall be prepared and uploaded</w:t>
      </w:r>
      <w:r>
        <w:rPr>
          <w:spacing w:val="-6"/>
          <w:sz w:val="22"/>
        </w:rPr>
        <w:t> </w:t>
      </w:r>
      <w:r>
        <w:rPr>
          <w:sz w:val="22"/>
        </w:rPr>
        <w:t>within</w:t>
      </w:r>
      <w:r>
        <w:rPr>
          <w:spacing w:val="-4"/>
          <w:sz w:val="22"/>
        </w:rPr>
        <w:t> </w:t>
      </w:r>
      <w:r>
        <w:rPr>
          <w:sz w:val="22"/>
        </w:rPr>
        <w:t>48</w:t>
      </w:r>
      <w:r>
        <w:rPr>
          <w:spacing w:val="-6"/>
          <w:sz w:val="22"/>
        </w:rPr>
        <w:t> </w:t>
      </w:r>
      <w:r>
        <w:rPr>
          <w:sz w:val="22"/>
        </w:rPr>
        <w:t>hours.</w:t>
      </w:r>
      <w:r>
        <w:rPr>
          <w:spacing w:val="-4"/>
          <w:sz w:val="22"/>
        </w:rPr>
        <w:t> </w:t>
      </w:r>
      <w:r>
        <w:rPr>
          <w:sz w:val="22"/>
        </w:rPr>
        <w:t>The</w:t>
      </w:r>
      <w:r>
        <w:rPr>
          <w:spacing w:val="-2"/>
          <w:sz w:val="22"/>
        </w:rPr>
        <w:t> </w:t>
      </w:r>
      <w:r>
        <w:rPr>
          <w:sz w:val="22"/>
        </w:rPr>
        <w:t>Plinth</w:t>
      </w:r>
      <w:r>
        <w:rPr>
          <w:spacing w:val="-4"/>
          <w:sz w:val="22"/>
        </w:rPr>
        <w:t> </w:t>
      </w:r>
      <w:r>
        <w:rPr>
          <w:sz w:val="22"/>
        </w:rPr>
        <w:t>checking</w:t>
      </w:r>
      <w:r>
        <w:rPr>
          <w:spacing w:val="-4"/>
          <w:sz w:val="22"/>
        </w:rPr>
        <w:t> </w:t>
      </w:r>
      <w:r>
        <w:rPr>
          <w:sz w:val="22"/>
        </w:rPr>
        <w:t>certificate</w:t>
      </w:r>
      <w:r>
        <w:rPr>
          <w:spacing w:val="-2"/>
          <w:sz w:val="22"/>
        </w:rPr>
        <w:t> </w:t>
      </w:r>
      <w:r>
        <w:rPr>
          <w:sz w:val="22"/>
        </w:rPr>
        <w:t>shall</w:t>
      </w:r>
      <w:r>
        <w:rPr>
          <w:spacing w:val="-5"/>
          <w:sz w:val="22"/>
        </w:rPr>
        <w:t> </w:t>
      </w:r>
      <w:r>
        <w:rPr>
          <w:sz w:val="22"/>
        </w:rPr>
        <w:t>be</w:t>
      </w:r>
      <w:r>
        <w:rPr>
          <w:spacing w:val="-4"/>
          <w:sz w:val="22"/>
        </w:rPr>
        <w:t> </w:t>
      </w:r>
      <w:r>
        <w:rPr>
          <w:sz w:val="22"/>
        </w:rPr>
        <w:t>grant</w:t>
      </w:r>
      <w:r>
        <w:rPr>
          <w:spacing w:val="-4"/>
          <w:sz w:val="22"/>
        </w:rPr>
        <w:t> </w:t>
      </w:r>
      <w:r>
        <w:rPr>
          <w:sz w:val="22"/>
        </w:rPr>
        <w:t>within</w:t>
      </w:r>
      <w:r>
        <w:rPr>
          <w:spacing w:val="-4"/>
          <w:sz w:val="22"/>
        </w:rPr>
        <w:t> </w:t>
      </w:r>
      <w:r>
        <w:rPr>
          <w:sz w:val="22"/>
        </w:rPr>
        <w:t>the period of 7 days from the receipt of the application, if found as per the sanctioned </w:t>
      </w:r>
      <w:r>
        <w:rPr>
          <w:spacing w:val="-4"/>
          <w:sz w:val="22"/>
        </w:rPr>
        <w:t>plan.</w:t>
      </w:r>
    </w:p>
    <w:p>
      <w:pPr>
        <w:spacing w:after="0"/>
        <w:jc w:val="both"/>
        <w:rPr>
          <w:sz w:val="22"/>
        </w:rPr>
        <w:sectPr>
          <w:pgSz w:w="11910" w:h="16840"/>
          <w:pgMar w:header="1065" w:footer="1194" w:top="1500" w:bottom="1380" w:left="360" w:right="360"/>
        </w:sectPr>
      </w:pPr>
    </w:p>
    <w:p>
      <w:pPr>
        <w:pStyle w:val="BodyText"/>
        <w:spacing w:before="13"/>
        <w:jc w:val="left"/>
        <w:rPr>
          <w:sz w:val="20"/>
        </w:rPr>
      </w:pPr>
    </w:p>
    <w:tbl>
      <w:tblPr>
        <w:tblW w:w="0" w:type="auto"/>
        <w:jc w:val="left"/>
        <w:tblInd w:w="8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0"/>
        <w:gridCol w:w="9043"/>
      </w:tblGrid>
      <w:tr>
        <w:trPr>
          <w:trHeight w:val="2197" w:hRule="atLeast"/>
        </w:trPr>
        <w:tc>
          <w:tcPr>
            <w:tcW w:w="450" w:type="dxa"/>
          </w:tcPr>
          <w:p>
            <w:pPr>
              <w:pStyle w:val="TableParagraph"/>
              <w:rPr>
                <w:rFonts w:ascii="Times New Roman"/>
                <w:sz w:val="20"/>
              </w:rPr>
            </w:pPr>
          </w:p>
        </w:tc>
        <w:tc>
          <w:tcPr>
            <w:tcW w:w="9043" w:type="dxa"/>
          </w:tcPr>
          <w:p>
            <w:pPr>
              <w:pStyle w:val="TableParagraph"/>
              <w:ind w:left="106" w:right="47"/>
              <w:jc w:val="both"/>
              <w:rPr>
                <w:sz w:val="22"/>
              </w:rPr>
            </w:pPr>
            <w:r>
              <w:rPr>
                <w:b/>
                <w:sz w:val="22"/>
              </w:rPr>
              <w:t>d)</w:t>
            </w:r>
            <w:r>
              <w:rPr>
                <w:b/>
                <w:sz w:val="22"/>
                <w:u w:val="single"/>
              </w:rPr>
              <w:t>Building completion certificate :-</w:t>
            </w:r>
            <w:r>
              <w:rPr>
                <w:sz w:val="22"/>
              </w:rPr>
              <w:t>On completion of work, the concern Architect/L.S./Engineer shall issue the Building completion certificate and Occupation certificate,</w:t>
            </w:r>
            <w:r>
              <w:rPr>
                <w:spacing w:val="-1"/>
                <w:sz w:val="22"/>
              </w:rPr>
              <w:t> </w:t>
            </w:r>
            <w:r>
              <w:rPr>
                <w:sz w:val="22"/>
              </w:rPr>
              <w:t>as required as per the provision of</w:t>
            </w:r>
            <w:r>
              <w:rPr>
                <w:spacing w:val="40"/>
                <w:sz w:val="22"/>
              </w:rPr>
              <w:t> </w:t>
            </w:r>
            <w:r>
              <w:rPr>
                <w:sz w:val="22"/>
              </w:rPr>
              <w:t>DCPR to the completed building/structure and submit two set of completion plan along with the required certificate and all site inspection report to the authority. The concerned</w:t>
            </w:r>
            <w:r>
              <w:rPr>
                <w:spacing w:val="40"/>
                <w:sz w:val="22"/>
              </w:rPr>
              <w:t> </w:t>
            </w:r>
            <w:r>
              <w:rPr>
                <w:sz w:val="22"/>
              </w:rPr>
              <w:t>Engineer authorized</w:t>
            </w:r>
            <w:r>
              <w:rPr>
                <w:spacing w:val="-13"/>
                <w:sz w:val="22"/>
              </w:rPr>
              <w:t> </w:t>
            </w:r>
            <w:r>
              <w:rPr>
                <w:sz w:val="22"/>
              </w:rPr>
              <w:t>by</w:t>
            </w:r>
            <w:r>
              <w:rPr>
                <w:spacing w:val="-13"/>
                <w:sz w:val="22"/>
              </w:rPr>
              <w:t> </w:t>
            </w:r>
            <w:r>
              <w:rPr>
                <w:sz w:val="22"/>
              </w:rPr>
              <w:t>Municipal</w:t>
            </w:r>
            <w:r>
              <w:rPr>
                <w:spacing w:val="-13"/>
                <w:sz w:val="22"/>
              </w:rPr>
              <w:t> </w:t>
            </w:r>
            <w:r>
              <w:rPr>
                <w:sz w:val="22"/>
              </w:rPr>
              <w:t>Commissioner</w:t>
            </w:r>
            <w:r>
              <w:rPr>
                <w:spacing w:val="-12"/>
                <w:sz w:val="22"/>
              </w:rPr>
              <w:t> </w:t>
            </w:r>
            <w:r>
              <w:rPr>
                <w:sz w:val="22"/>
              </w:rPr>
              <w:t>/</w:t>
            </w:r>
            <w:r>
              <w:rPr>
                <w:spacing w:val="-14"/>
                <w:sz w:val="22"/>
              </w:rPr>
              <w:t> </w:t>
            </w:r>
            <w:r>
              <w:rPr>
                <w:sz w:val="22"/>
              </w:rPr>
              <w:t>CEO</w:t>
            </w:r>
            <w:r>
              <w:rPr>
                <w:spacing w:val="-13"/>
                <w:sz w:val="22"/>
              </w:rPr>
              <w:t> </w:t>
            </w:r>
            <w:r>
              <w:rPr>
                <w:sz w:val="22"/>
              </w:rPr>
              <w:t>MHADA/</w:t>
            </w:r>
            <w:r>
              <w:rPr>
                <w:spacing w:val="-14"/>
                <w:sz w:val="22"/>
              </w:rPr>
              <w:t> </w:t>
            </w:r>
            <w:r>
              <w:rPr>
                <w:sz w:val="22"/>
              </w:rPr>
              <w:t>SRA</w:t>
            </w:r>
            <w:r>
              <w:rPr>
                <w:spacing w:val="40"/>
                <w:sz w:val="22"/>
              </w:rPr>
              <w:t> </w:t>
            </w:r>
            <w:r>
              <w:rPr>
                <w:sz w:val="22"/>
              </w:rPr>
              <w:t>shall</w:t>
            </w:r>
            <w:r>
              <w:rPr>
                <w:spacing w:val="-16"/>
                <w:sz w:val="22"/>
              </w:rPr>
              <w:t> </w:t>
            </w:r>
            <w:r>
              <w:rPr>
                <w:sz w:val="22"/>
              </w:rPr>
              <w:t>countersign</w:t>
            </w:r>
            <w:r>
              <w:rPr>
                <w:spacing w:val="-16"/>
                <w:sz w:val="22"/>
              </w:rPr>
              <w:t> </w:t>
            </w:r>
            <w:r>
              <w:rPr>
                <w:sz w:val="22"/>
              </w:rPr>
              <w:t>the said</w:t>
            </w:r>
            <w:r>
              <w:rPr>
                <w:spacing w:val="-16"/>
                <w:sz w:val="22"/>
              </w:rPr>
              <w:t> </w:t>
            </w:r>
            <w:r>
              <w:rPr>
                <w:sz w:val="22"/>
              </w:rPr>
              <w:t>Completion</w:t>
            </w:r>
            <w:r>
              <w:rPr>
                <w:spacing w:val="-16"/>
                <w:sz w:val="22"/>
              </w:rPr>
              <w:t> </w:t>
            </w:r>
            <w:r>
              <w:rPr>
                <w:sz w:val="22"/>
              </w:rPr>
              <w:t>Plan</w:t>
            </w:r>
            <w:r>
              <w:rPr>
                <w:spacing w:val="-16"/>
                <w:sz w:val="22"/>
              </w:rPr>
              <w:t> </w:t>
            </w:r>
            <w:r>
              <w:rPr>
                <w:sz w:val="22"/>
              </w:rPr>
              <w:t>along</w:t>
            </w:r>
            <w:r>
              <w:rPr>
                <w:spacing w:val="-16"/>
                <w:sz w:val="22"/>
              </w:rPr>
              <w:t> </w:t>
            </w:r>
            <w:r>
              <w:rPr>
                <w:sz w:val="22"/>
              </w:rPr>
              <w:t>with</w:t>
            </w:r>
            <w:r>
              <w:rPr>
                <w:spacing w:val="-16"/>
                <w:sz w:val="22"/>
              </w:rPr>
              <w:t> </w:t>
            </w:r>
            <w:r>
              <w:rPr>
                <w:sz w:val="22"/>
              </w:rPr>
              <w:t>Occupancy</w:t>
            </w:r>
            <w:r>
              <w:rPr>
                <w:spacing w:val="-16"/>
                <w:sz w:val="22"/>
              </w:rPr>
              <w:t> </w:t>
            </w:r>
            <w:r>
              <w:rPr>
                <w:sz w:val="22"/>
              </w:rPr>
              <w:t>Certificate</w:t>
            </w:r>
            <w:r>
              <w:rPr>
                <w:spacing w:val="-16"/>
                <w:sz w:val="22"/>
              </w:rPr>
              <w:t> </w:t>
            </w:r>
            <w:r>
              <w:rPr>
                <w:sz w:val="22"/>
              </w:rPr>
              <w:t>within</w:t>
            </w:r>
            <w:r>
              <w:rPr>
                <w:spacing w:val="-16"/>
                <w:sz w:val="22"/>
              </w:rPr>
              <w:t> </w:t>
            </w:r>
            <w:r>
              <w:rPr>
                <w:sz w:val="22"/>
              </w:rPr>
              <w:t>10</w:t>
            </w:r>
            <w:r>
              <w:rPr>
                <w:spacing w:val="-16"/>
                <w:sz w:val="22"/>
              </w:rPr>
              <w:t> </w:t>
            </w:r>
            <w:r>
              <w:rPr>
                <w:sz w:val="22"/>
              </w:rPr>
              <w:t>days</w:t>
            </w:r>
            <w:r>
              <w:rPr>
                <w:spacing w:val="-11"/>
                <w:sz w:val="22"/>
              </w:rPr>
              <w:t> </w:t>
            </w:r>
            <w:r>
              <w:rPr>
                <w:b/>
                <w:sz w:val="22"/>
              </w:rPr>
              <w:t>without</w:t>
            </w:r>
            <w:r>
              <w:rPr>
                <w:b/>
                <w:spacing w:val="-17"/>
                <w:sz w:val="22"/>
              </w:rPr>
              <w:t> </w:t>
            </w:r>
            <w:r>
              <w:rPr>
                <w:b/>
                <w:sz w:val="22"/>
              </w:rPr>
              <w:t>any scrutiny and site inspection</w:t>
            </w:r>
            <w:r>
              <w:rPr>
                <w:sz w:val="22"/>
              </w:rPr>
              <w:t>.</w:t>
            </w:r>
          </w:p>
        </w:tc>
      </w:tr>
      <w:tr>
        <w:trPr>
          <w:trHeight w:val="515" w:hRule="atLeast"/>
        </w:trPr>
        <w:tc>
          <w:tcPr>
            <w:tcW w:w="450" w:type="dxa"/>
          </w:tcPr>
          <w:p>
            <w:pPr>
              <w:pStyle w:val="TableParagraph"/>
              <w:spacing w:before="129"/>
              <w:ind w:left="50"/>
              <w:rPr>
                <w:b/>
                <w:sz w:val="22"/>
              </w:rPr>
            </w:pPr>
            <w:r>
              <w:rPr>
                <w:b/>
                <w:spacing w:val="-5"/>
                <w:sz w:val="22"/>
              </w:rPr>
              <w:t>12</w:t>
            </w:r>
          </w:p>
        </w:tc>
        <w:tc>
          <w:tcPr>
            <w:tcW w:w="9043" w:type="dxa"/>
          </w:tcPr>
          <w:p>
            <w:pPr>
              <w:pStyle w:val="TableParagraph"/>
              <w:spacing w:before="129"/>
              <w:ind w:left="106"/>
              <w:rPr>
                <w:b/>
                <w:sz w:val="22"/>
              </w:rPr>
            </w:pPr>
            <w:r>
              <w:rPr>
                <w:b/>
                <w:sz w:val="22"/>
                <w:u w:val="single"/>
              </w:rPr>
              <w:t>Responsibility</w:t>
            </w:r>
            <w:r>
              <w:rPr>
                <w:b/>
                <w:spacing w:val="-5"/>
                <w:sz w:val="22"/>
                <w:u w:val="single"/>
              </w:rPr>
              <w:t> </w:t>
            </w:r>
            <w:r>
              <w:rPr>
                <w:b/>
                <w:sz w:val="22"/>
                <w:u w:val="single"/>
              </w:rPr>
              <w:t>of</w:t>
            </w:r>
            <w:r>
              <w:rPr>
                <w:b/>
                <w:spacing w:val="66"/>
                <w:sz w:val="22"/>
                <w:u w:val="single"/>
              </w:rPr>
              <w:t> </w:t>
            </w:r>
            <w:r>
              <w:rPr>
                <w:b/>
                <w:sz w:val="22"/>
                <w:u w:val="single"/>
              </w:rPr>
              <w:t>the</w:t>
            </w:r>
            <w:r>
              <w:rPr>
                <w:b/>
                <w:spacing w:val="-5"/>
                <w:sz w:val="22"/>
                <w:u w:val="single"/>
              </w:rPr>
              <w:t> </w:t>
            </w:r>
            <w:r>
              <w:rPr>
                <w:b/>
                <w:spacing w:val="-2"/>
                <w:sz w:val="22"/>
                <w:u w:val="single"/>
              </w:rPr>
              <w:t>Architect/L.S./Engineer</w:t>
            </w:r>
          </w:p>
        </w:tc>
      </w:tr>
      <w:tr>
        <w:trPr>
          <w:trHeight w:val="1163" w:hRule="atLeast"/>
        </w:trPr>
        <w:tc>
          <w:tcPr>
            <w:tcW w:w="450" w:type="dxa"/>
          </w:tcPr>
          <w:p>
            <w:pPr>
              <w:pStyle w:val="TableParagraph"/>
              <w:rPr>
                <w:rFonts w:ascii="Times New Roman"/>
                <w:sz w:val="20"/>
              </w:rPr>
            </w:pPr>
          </w:p>
        </w:tc>
        <w:tc>
          <w:tcPr>
            <w:tcW w:w="9043" w:type="dxa"/>
          </w:tcPr>
          <w:p>
            <w:pPr>
              <w:pStyle w:val="TableParagraph"/>
              <w:spacing w:before="129"/>
              <w:ind w:left="106" w:right="54"/>
              <w:jc w:val="both"/>
              <w:rPr>
                <w:sz w:val="22"/>
              </w:rPr>
            </w:pPr>
            <w:r>
              <w:rPr>
                <w:b/>
                <w:sz w:val="22"/>
              </w:rPr>
              <w:t>a)</w:t>
            </w:r>
            <w:r>
              <w:rPr>
                <w:sz w:val="22"/>
              </w:rPr>
              <w:t>The</w:t>
            </w:r>
            <w:r>
              <w:rPr>
                <w:spacing w:val="-1"/>
                <w:sz w:val="22"/>
              </w:rPr>
              <w:t> </w:t>
            </w:r>
            <w:r>
              <w:rPr>
                <w:sz w:val="22"/>
              </w:rPr>
              <w:t>work</w:t>
            </w:r>
            <w:r>
              <w:rPr>
                <w:spacing w:val="-4"/>
                <w:sz w:val="22"/>
              </w:rPr>
              <w:t> </w:t>
            </w:r>
            <w:r>
              <w:rPr>
                <w:sz w:val="22"/>
              </w:rPr>
              <w:t>shall</w:t>
            </w:r>
            <w:r>
              <w:rPr>
                <w:spacing w:val="-4"/>
                <w:sz w:val="22"/>
              </w:rPr>
              <w:t> </w:t>
            </w:r>
            <w:r>
              <w:rPr>
                <w:sz w:val="22"/>
              </w:rPr>
              <w:t>be</w:t>
            </w:r>
            <w:r>
              <w:rPr>
                <w:spacing w:val="-2"/>
                <w:sz w:val="22"/>
              </w:rPr>
              <w:t> </w:t>
            </w:r>
            <w:r>
              <w:rPr>
                <w:sz w:val="22"/>
              </w:rPr>
              <w:t>supervised</w:t>
            </w:r>
            <w:r>
              <w:rPr>
                <w:spacing w:val="-4"/>
                <w:sz w:val="22"/>
              </w:rPr>
              <w:t> </w:t>
            </w:r>
            <w:r>
              <w:rPr>
                <w:sz w:val="22"/>
              </w:rPr>
              <w:t>by</w:t>
            </w:r>
            <w:r>
              <w:rPr>
                <w:spacing w:val="-4"/>
                <w:sz w:val="22"/>
              </w:rPr>
              <w:t> </w:t>
            </w:r>
            <w:r>
              <w:rPr>
                <w:sz w:val="22"/>
              </w:rPr>
              <w:t>the</w:t>
            </w:r>
            <w:r>
              <w:rPr>
                <w:spacing w:val="-2"/>
                <w:sz w:val="22"/>
              </w:rPr>
              <w:t> </w:t>
            </w:r>
            <w:r>
              <w:rPr>
                <w:sz w:val="22"/>
              </w:rPr>
              <w:t>concerned</w:t>
            </w:r>
            <w:r>
              <w:rPr>
                <w:spacing w:val="-4"/>
                <w:sz w:val="22"/>
              </w:rPr>
              <w:t> </w:t>
            </w:r>
            <w:r>
              <w:rPr>
                <w:sz w:val="22"/>
              </w:rPr>
              <w:t>Architect/L.S./Engineer</w:t>
            </w:r>
            <w:r>
              <w:rPr>
                <w:spacing w:val="-5"/>
                <w:sz w:val="22"/>
              </w:rPr>
              <w:t> </w:t>
            </w:r>
            <w:r>
              <w:rPr>
                <w:sz w:val="22"/>
              </w:rPr>
              <w:t>who</w:t>
            </w:r>
            <w:r>
              <w:rPr>
                <w:spacing w:val="-3"/>
                <w:sz w:val="22"/>
              </w:rPr>
              <w:t> </w:t>
            </w:r>
            <w:r>
              <w:rPr>
                <w:sz w:val="22"/>
              </w:rPr>
              <w:t>will ensure that the same is carried out strictly as per the approval. Confirmation of ownership of land / plot area and land boundaries in the name of applicant shall</w:t>
            </w:r>
          </w:p>
          <w:p>
            <w:pPr>
              <w:pStyle w:val="TableParagraph"/>
              <w:spacing w:line="239" w:lineRule="exact" w:before="1"/>
              <w:ind w:left="106"/>
              <w:jc w:val="both"/>
              <w:rPr>
                <w:sz w:val="22"/>
              </w:rPr>
            </w:pPr>
            <w:r>
              <w:rPr>
                <w:sz w:val="22"/>
              </w:rPr>
              <w:t>be</w:t>
            </w:r>
            <w:r>
              <w:rPr>
                <w:spacing w:val="-10"/>
                <w:sz w:val="22"/>
              </w:rPr>
              <w:t> </w:t>
            </w:r>
            <w:r>
              <w:rPr>
                <w:sz w:val="22"/>
              </w:rPr>
              <w:t>joint</w:t>
            </w:r>
            <w:r>
              <w:rPr>
                <w:spacing w:val="-7"/>
                <w:sz w:val="22"/>
              </w:rPr>
              <w:t> </w:t>
            </w:r>
            <w:r>
              <w:rPr>
                <w:sz w:val="22"/>
              </w:rPr>
              <w:t>responsibility</w:t>
            </w:r>
            <w:r>
              <w:rPr>
                <w:spacing w:val="-8"/>
                <w:sz w:val="22"/>
              </w:rPr>
              <w:t> </w:t>
            </w:r>
            <w:r>
              <w:rPr>
                <w:sz w:val="22"/>
              </w:rPr>
              <w:t>of</w:t>
            </w:r>
            <w:r>
              <w:rPr>
                <w:spacing w:val="-8"/>
                <w:sz w:val="22"/>
              </w:rPr>
              <w:t> </w:t>
            </w:r>
            <w:r>
              <w:rPr>
                <w:sz w:val="22"/>
              </w:rPr>
              <w:t>concerned</w:t>
            </w:r>
            <w:r>
              <w:rPr>
                <w:spacing w:val="-7"/>
                <w:sz w:val="22"/>
              </w:rPr>
              <w:t> </w:t>
            </w:r>
            <w:r>
              <w:rPr>
                <w:sz w:val="22"/>
              </w:rPr>
              <w:t>Architect/L.S./Engineer</w:t>
            </w:r>
            <w:r>
              <w:rPr>
                <w:spacing w:val="-8"/>
                <w:sz w:val="22"/>
              </w:rPr>
              <w:t> </w:t>
            </w:r>
            <w:r>
              <w:rPr>
                <w:sz w:val="22"/>
              </w:rPr>
              <w:t>and</w:t>
            </w:r>
            <w:r>
              <w:rPr>
                <w:spacing w:val="-7"/>
                <w:sz w:val="22"/>
              </w:rPr>
              <w:t> </w:t>
            </w:r>
            <w:r>
              <w:rPr>
                <w:sz w:val="22"/>
              </w:rPr>
              <w:t>the</w:t>
            </w:r>
            <w:r>
              <w:rPr>
                <w:spacing w:val="-7"/>
                <w:sz w:val="22"/>
              </w:rPr>
              <w:t> </w:t>
            </w:r>
            <w:r>
              <w:rPr>
                <w:spacing w:val="-2"/>
                <w:sz w:val="22"/>
              </w:rPr>
              <w:t>owner.</w:t>
            </w:r>
          </w:p>
        </w:tc>
      </w:tr>
      <w:tr>
        <w:trPr>
          <w:trHeight w:val="2581" w:hRule="atLeast"/>
        </w:trPr>
        <w:tc>
          <w:tcPr>
            <w:tcW w:w="450" w:type="dxa"/>
          </w:tcPr>
          <w:p>
            <w:pPr>
              <w:pStyle w:val="TableParagraph"/>
              <w:rPr>
                <w:rFonts w:ascii="Times New Roman"/>
                <w:sz w:val="20"/>
              </w:rPr>
            </w:pPr>
          </w:p>
        </w:tc>
        <w:tc>
          <w:tcPr>
            <w:tcW w:w="9043" w:type="dxa"/>
          </w:tcPr>
          <w:p>
            <w:pPr>
              <w:pStyle w:val="TableParagraph"/>
              <w:ind w:left="106" w:right="50"/>
              <w:jc w:val="both"/>
              <w:rPr>
                <w:sz w:val="22"/>
              </w:rPr>
            </w:pPr>
            <w:r>
              <w:rPr>
                <w:b/>
                <w:sz w:val="22"/>
              </w:rPr>
              <w:t>b)</w:t>
            </w:r>
            <w:r>
              <w:rPr>
                <w:sz w:val="22"/>
              </w:rPr>
              <w:t>It will be the responsibility of the concern Architect /L.S/Engineer, Site Supervisor &amp; Structural Engineer appointed for the proposed development, jointly or severally to ensure that all plans shall be in consonance with provisions of Development Control Regulations.</w:t>
            </w:r>
            <w:r>
              <w:rPr>
                <w:spacing w:val="40"/>
                <w:sz w:val="22"/>
              </w:rPr>
              <w:t> </w:t>
            </w:r>
            <w:r>
              <w:rPr>
                <w:sz w:val="22"/>
              </w:rPr>
              <w:t>All the requirements of the DCR / DCPR shall have to be complied with due care and the work is carried out as per the approval only. Any deviation required during the construction shall be approved by Architect/L.S./Engineer</w:t>
            </w:r>
            <w:r>
              <w:rPr>
                <w:spacing w:val="-18"/>
                <w:sz w:val="22"/>
              </w:rPr>
              <w:t> </w:t>
            </w:r>
            <w:r>
              <w:rPr>
                <w:sz w:val="22"/>
              </w:rPr>
              <w:t>before</w:t>
            </w:r>
            <w:r>
              <w:rPr>
                <w:spacing w:val="-18"/>
                <w:sz w:val="22"/>
              </w:rPr>
              <w:t> </w:t>
            </w:r>
            <w:r>
              <w:rPr>
                <w:sz w:val="22"/>
              </w:rPr>
              <w:t>execution.</w:t>
            </w:r>
            <w:r>
              <w:rPr>
                <w:spacing w:val="32"/>
                <w:sz w:val="22"/>
              </w:rPr>
              <w:t> </w:t>
            </w:r>
            <w:r>
              <w:rPr>
                <w:sz w:val="22"/>
              </w:rPr>
              <w:t>The</w:t>
            </w:r>
            <w:r>
              <w:rPr>
                <w:spacing w:val="-16"/>
                <w:sz w:val="22"/>
              </w:rPr>
              <w:t> </w:t>
            </w:r>
            <w:r>
              <w:rPr>
                <w:sz w:val="22"/>
              </w:rPr>
              <w:t>concerned</w:t>
            </w:r>
            <w:r>
              <w:rPr>
                <w:spacing w:val="-18"/>
                <w:sz w:val="22"/>
              </w:rPr>
              <w:t> </w:t>
            </w:r>
            <w:r>
              <w:rPr>
                <w:sz w:val="22"/>
              </w:rPr>
              <w:t>Architect</w:t>
            </w:r>
            <w:r>
              <w:rPr>
                <w:spacing w:val="-18"/>
                <w:sz w:val="22"/>
              </w:rPr>
              <w:t> </w:t>
            </w:r>
            <w:r>
              <w:rPr>
                <w:sz w:val="22"/>
              </w:rPr>
              <w:t>/L.S./Engineer shall be empowered for any amendments in the plan in process of construction within the purview of DCR.</w:t>
            </w:r>
          </w:p>
        </w:tc>
      </w:tr>
      <w:tr>
        <w:trPr>
          <w:trHeight w:val="2066" w:hRule="atLeast"/>
        </w:trPr>
        <w:tc>
          <w:tcPr>
            <w:tcW w:w="450" w:type="dxa"/>
          </w:tcPr>
          <w:p>
            <w:pPr>
              <w:pStyle w:val="TableParagraph"/>
              <w:rPr>
                <w:rFonts w:ascii="Times New Roman"/>
                <w:sz w:val="20"/>
              </w:rPr>
            </w:pPr>
          </w:p>
        </w:tc>
        <w:tc>
          <w:tcPr>
            <w:tcW w:w="9043" w:type="dxa"/>
          </w:tcPr>
          <w:p>
            <w:pPr>
              <w:pStyle w:val="TableParagraph"/>
              <w:rPr>
                <w:sz w:val="22"/>
              </w:rPr>
            </w:pPr>
          </w:p>
          <w:p>
            <w:pPr>
              <w:pStyle w:val="TableParagraph"/>
              <w:ind w:left="106"/>
              <w:jc w:val="both"/>
              <w:rPr>
                <w:sz w:val="22"/>
              </w:rPr>
            </w:pPr>
            <w:r>
              <w:rPr>
                <w:b/>
                <w:sz w:val="22"/>
                <w:u w:val="single"/>
              </w:rPr>
              <w:t>c)</w:t>
            </w:r>
            <w:r>
              <w:rPr>
                <w:b/>
                <w:spacing w:val="-13"/>
                <w:sz w:val="22"/>
                <w:u w:val="single"/>
              </w:rPr>
              <w:t> </w:t>
            </w:r>
            <w:r>
              <w:rPr>
                <w:sz w:val="22"/>
                <w:u w:val="single"/>
              </w:rPr>
              <w:t>Frequency</w:t>
            </w:r>
            <w:r>
              <w:rPr>
                <w:spacing w:val="-4"/>
                <w:sz w:val="22"/>
                <w:u w:val="single"/>
              </w:rPr>
              <w:t> </w:t>
            </w:r>
            <w:r>
              <w:rPr>
                <w:sz w:val="22"/>
                <w:u w:val="single"/>
              </w:rPr>
              <w:t>of</w:t>
            </w:r>
            <w:r>
              <w:rPr>
                <w:spacing w:val="-5"/>
                <w:sz w:val="22"/>
                <w:u w:val="single"/>
              </w:rPr>
              <w:t> </w:t>
            </w:r>
            <w:r>
              <w:rPr>
                <w:sz w:val="22"/>
                <w:u w:val="single"/>
              </w:rPr>
              <w:t>Inspection</w:t>
            </w:r>
            <w:r>
              <w:rPr>
                <w:spacing w:val="-5"/>
                <w:sz w:val="22"/>
                <w:u w:val="single"/>
              </w:rPr>
              <w:t> </w:t>
            </w:r>
            <w:r>
              <w:rPr>
                <w:sz w:val="22"/>
                <w:u w:val="single"/>
              </w:rPr>
              <w:t>By</w:t>
            </w:r>
            <w:r>
              <w:rPr>
                <w:spacing w:val="-3"/>
                <w:sz w:val="22"/>
                <w:u w:val="single"/>
              </w:rPr>
              <w:t> </w:t>
            </w:r>
            <w:r>
              <w:rPr>
                <w:sz w:val="22"/>
                <w:u w:val="single"/>
              </w:rPr>
              <w:t>the</w:t>
            </w:r>
            <w:r>
              <w:rPr>
                <w:spacing w:val="-2"/>
                <w:sz w:val="22"/>
                <w:u w:val="single"/>
              </w:rPr>
              <w:t> Architect/L.S./Engineer:-</w:t>
            </w:r>
          </w:p>
          <w:p>
            <w:pPr>
              <w:pStyle w:val="TableParagraph"/>
              <w:spacing w:before="1"/>
              <w:ind w:left="106" w:right="51"/>
              <w:jc w:val="both"/>
              <w:rPr>
                <w:sz w:val="22"/>
              </w:rPr>
            </w:pPr>
            <w:r>
              <w:rPr>
                <w:sz w:val="22"/>
              </w:rPr>
              <w:t>The Architect/L.S./Engineer shall inspect and submit the site inspection report along</w:t>
            </w:r>
            <w:r>
              <w:rPr>
                <w:spacing w:val="-16"/>
                <w:sz w:val="22"/>
              </w:rPr>
              <w:t> </w:t>
            </w:r>
            <w:r>
              <w:rPr>
                <w:sz w:val="22"/>
              </w:rPr>
              <w:t>with</w:t>
            </w:r>
            <w:r>
              <w:rPr>
                <w:spacing w:val="-16"/>
                <w:sz w:val="22"/>
              </w:rPr>
              <w:t> </w:t>
            </w:r>
            <w:r>
              <w:rPr>
                <w:sz w:val="22"/>
              </w:rPr>
              <w:t>photographs/video</w:t>
            </w:r>
            <w:r>
              <w:rPr>
                <w:spacing w:val="-15"/>
                <w:sz w:val="22"/>
              </w:rPr>
              <w:t> </w:t>
            </w:r>
            <w:r>
              <w:rPr>
                <w:sz w:val="22"/>
              </w:rPr>
              <w:t>clips,</w:t>
            </w:r>
            <w:r>
              <w:rPr>
                <w:spacing w:val="-17"/>
                <w:sz w:val="22"/>
              </w:rPr>
              <w:t> </w:t>
            </w:r>
            <w:r>
              <w:rPr>
                <w:sz w:val="22"/>
              </w:rPr>
              <w:t>at</w:t>
            </w:r>
            <w:r>
              <w:rPr>
                <w:spacing w:val="-16"/>
                <w:sz w:val="22"/>
              </w:rPr>
              <w:t> </w:t>
            </w:r>
            <w:r>
              <w:rPr>
                <w:sz w:val="22"/>
              </w:rPr>
              <w:t>variou</w:t>
            </w:r>
            <w:r>
              <w:rPr>
                <w:i/>
                <w:sz w:val="22"/>
              </w:rPr>
              <w:t>s</w:t>
            </w:r>
            <w:r>
              <w:rPr>
                <w:i/>
                <w:spacing w:val="-11"/>
                <w:sz w:val="22"/>
              </w:rPr>
              <w:t> </w:t>
            </w:r>
            <w:r>
              <w:rPr>
                <w:sz w:val="22"/>
              </w:rPr>
              <w:t>stages</w:t>
            </w:r>
            <w:r>
              <w:rPr>
                <w:spacing w:val="-16"/>
                <w:sz w:val="22"/>
              </w:rPr>
              <w:t> </w:t>
            </w:r>
            <w:r>
              <w:rPr>
                <w:sz w:val="22"/>
              </w:rPr>
              <w:t>while</w:t>
            </w:r>
            <w:r>
              <w:rPr>
                <w:spacing w:val="-14"/>
                <w:sz w:val="22"/>
              </w:rPr>
              <w:t> </w:t>
            </w:r>
            <w:r>
              <w:rPr>
                <w:sz w:val="22"/>
              </w:rPr>
              <w:t>submitting</w:t>
            </w:r>
            <w:r>
              <w:rPr>
                <w:spacing w:val="-16"/>
                <w:sz w:val="22"/>
              </w:rPr>
              <w:t> </w:t>
            </w:r>
            <w:r>
              <w:rPr>
                <w:sz w:val="22"/>
              </w:rPr>
              <w:t>the</w:t>
            </w:r>
            <w:r>
              <w:rPr>
                <w:spacing w:val="-14"/>
                <w:sz w:val="22"/>
              </w:rPr>
              <w:t> </w:t>
            </w:r>
            <w:r>
              <w:rPr>
                <w:sz w:val="22"/>
              </w:rPr>
              <w:t>building proposal, after completion of plinth work, and finally at the time of Building completion certificate to the authority. Such</w:t>
            </w:r>
            <w:r>
              <w:rPr>
                <w:spacing w:val="-2"/>
                <w:sz w:val="22"/>
              </w:rPr>
              <w:t> </w:t>
            </w:r>
            <w:r>
              <w:rPr>
                <w:sz w:val="22"/>
              </w:rPr>
              <w:t>inspection reports shall be submitted and uploaded within 48 hours from the date of inspection.</w:t>
            </w:r>
          </w:p>
        </w:tc>
      </w:tr>
      <w:tr>
        <w:trPr>
          <w:trHeight w:val="2324" w:hRule="atLeast"/>
        </w:trPr>
        <w:tc>
          <w:tcPr>
            <w:tcW w:w="450" w:type="dxa"/>
          </w:tcPr>
          <w:p>
            <w:pPr>
              <w:pStyle w:val="TableParagraph"/>
              <w:rPr>
                <w:rFonts w:ascii="Times New Roman"/>
                <w:sz w:val="20"/>
              </w:rPr>
            </w:pPr>
          </w:p>
        </w:tc>
        <w:tc>
          <w:tcPr>
            <w:tcW w:w="9043" w:type="dxa"/>
          </w:tcPr>
          <w:p>
            <w:pPr>
              <w:pStyle w:val="TableParagraph"/>
              <w:rPr>
                <w:sz w:val="22"/>
              </w:rPr>
            </w:pPr>
          </w:p>
          <w:p>
            <w:pPr>
              <w:pStyle w:val="TableParagraph"/>
              <w:ind w:left="106" w:right="53"/>
              <w:jc w:val="both"/>
              <w:rPr>
                <w:sz w:val="22"/>
              </w:rPr>
            </w:pPr>
            <w:r>
              <w:rPr>
                <w:b/>
                <w:sz w:val="22"/>
              </w:rPr>
              <w:t>d)</w:t>
            </w:r>
            <w:r>
              <w:rPr>
                <w:sz w:val="22"/>
              </w:rPr>
              <w:t>After submitting the application or during the construction of building if the Architect/L.S./Engineer are changed, he shall intimate the competent authority immediately that he is no longer responsible for the project from the date of intimation. The construction work shall have to be suspended until the new Architect/L.S./Engineer as the case may be appointed by the owner.</w:t>
            </w:r>
            <w:r>
              <w:rPr>
                <w:spacing w:val="40"/>
                <w:sz w:val="22"/>
              </w:rPr>
              <w:t> </w:t>
            </w:r>
            <w:r>
              <w:rPr>
                <w:sz w:val="22"/>
              </w:rPr>
              <w:t>Owner’s intimation</w:t>
            </w:r>
            <w:r>
              <w:rPr>
                <w:spacing w:val="56"/>
                <w:sz w:val="22"/>
              </w:rPr>
              <w:t> </w:t>
            </w:r>
            <w:r>
              <w:rPr>
                <w:sz w:val="22"/>
              </w:rPr>
              <w:t>regarding</w:t>
            </w:r>
            <w:r>
              <w:rPr>
                <w:spacing w:val="57"/>
                <w:sz w:val="22"/>
              </w:rPr>
              <w:t> </w:t>
            </w:r>
            <w:r>
              <w:rPr>
                <w:sz w:val="22"/>
              </w:rPr>
              <w:t>change</w:t>
            </w:r>
            <w:r>
              <w:rPr>
                <w:spacing w:val="61"/>
                <w:sz w:val="22"/>
              </w:rPr>
              <w:t> </w:t>
            </w:r>
            <w:r>
              <w:rPr>
                <w:sz w:val="22"/>
              </w:rPr>
              <w:t>of</w:t>
            </w:r>
            <w:r>
              <w:rPr>
                <w:spacing w:val="58"/>
                <w:sz w:val="22"/>
              </w:rPr>
              <w:t> </w:t>
            </w:r>
            <w:r>
              <w:rPr>
                <w:sz w:val="22"/>
              </w:rPr>
              <w:t>licensee</w:t>
            </w:r>
            <w:r>
              <w:rPr>
                <w:spacing w:val="61"/>
                <w:sz w:val="22"/>
              </w:rPr>
              <w:t> </w:t>
            </w:r>
            <w:r>
              <w:rPr>
                <w:sz w:val="22"/>
              </w:rPr>
              <w:t>shall</w:t>
            </w:r>
            <w:r>
              <w:rPr>
                <w:spacing w:val="60"/>
                <w:sz w:val="22"/>
              </w:rPr>
              <w:t> </w:t>
            </w:r>
            <w:r>
              <w:rPr>
                <w:sz w:val="22"/>
              </w:rPr>
              <w:t>be</w:t>
            </w:r>
            <w:r>
              <w:rPr>
                <w:spacing w:val="61"/>
                <w:sz w:val="22"/>
              </w:rPr>
              <w:t> </w:t>
            </w:r>
            <w:r>
              <w:rPr>
                <w:sz w:val="22"/>
              </w:rPr>
              <w:t>considered</w:t>
            </w:r>
            <w:r>
              <w:rPr>
                <w:spacing w:val="59"/>
                <w:sz w:val="22"/>
              </w:rPr>
              <w:t> </w:t>
            </w:r>
            <w:r>
              <w:rPr>
                <w:sz w:val="22"/>
              </w:rPr>
              <w:t>to</w:t>
            </w:r>
            <w:r>
              <w:rPr>
                <w:spacing w:val="57"/>
                <w:sz w:val="22"/>
              </w:rPr>
              <w:t> </w:t>
            </w:r>
            <w:r>
              <w:rPr>
                <w:sz w:val="22"/>
              </w:rPr>
              <w:t>be</w:t>
            </w:r>
            <w:r>
              <w:rPr>
                <w:spacing w:val="61"/>
                <w:sz w:val="22"/>
              </w:rPr>
              <w:t> </w:t>
            </w:r>
            <w:r>
              <w:rPr>
                <w:sz w:val="22"/>
              </w:rPr>
              <w:t>final.</w:t>
            </w:r>
            <w:r>
              <w:rPr>
                <w:spacing w:val="58"/>
                <w:sz w:val="22"/>
              </w:rPr>
              <w:t> </w:t>
            </w:r>
            <w:r>
              <w:rPr>
                <w:spacing w:val="-2"/>
                <w:sz w:val="22"/>
              </w:rPr>
              <w:t>After</w:t>
            </w:r>
          </w:p>
          <w:p>
            <w:pPr>
              <w:pStyle w:val="TableParagraph"/>
              <w:spacing w:line="258" w:lineRule="exact"/>
              <w:ind w:left="106" w:right="53"/>
              <w:jc w:val="both"/>
              <w:rPr>
                <w:sz w:val="22"/>
              </w:rPr>
            </w:pPr>
            <w:r>
              <w:rPr>
                <w:sz w:val="22"/>
              </w:rPr>
              <w:t>intimation of the new appointed licensee shall then undertakes and start the </w:t>
            </w:r>
            <w:r>
              <w:rPr>
                <w:spacing w:val="-2"/>
                <w:sz w:val="22"/>
              </w:rPr>
              <w:t>project.</w:t>
            </w:r>
          </w:p>
        </w:tc>
      </w:tr>
    </w:tbl>
    <w:p>
      <w:pPr>
        <w:pStyle w:val="TableParagraph"/>
        <w:spacing w:after="0" w:line="258" w:lineRule="exact"/>
        <w:jc w:val="both"/>
        <w:rPr>
          <w:sz w:val="22"/>
        </w:rPr>
        <w:sectPr>
          <w:pgSz w:w="11910" w:h="16840"/>
          <w:pgMar w:header="1065" w:footer="1194" w:top="1500" w:bottom="1380" w:left="360" w:right="360"/>
        </w:sectPr>
      </w:pPr>
    </w:p>
    <w:p>
      <w:pPr>
        <w:pStyle w:val="BodyText"/>
        <w:spacing w:before="13"/>
        <w:jc w:val="left"/>
        <w:rPr>
          <w:sz w:val="20"/>
        </w:rPr>
      </w:pPr>
    </w:p>
    <w:tbl>
      <w:tblPr>
        <w:tblW w:w="0" w:type="auto"/>
        <w:jc w:val="left"/>
        <w:tblInd w:w="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7"/>
        <w:gridCol w:w="9050"/>
      </w:tblGrid>
      <w:tr>
        <w:trPr>
          <w:trHeight w:val="4004" w:hRule="atLeast"/>
        </w:trPr>
        <w:tc>
          <w:tcPr>
            <w:tcW w:w="437" w:type="dxa"/>
          </w:tcPr>
          <w:p>
            <w:pPr>
              <w:pStyle w:val="TableParagraph"/>
              <w:ind w:right="61"/>
              <w:jc w:val="center"/>
              <w:rPr>
                <w:sz w:val="22"/>
              </w:rPr>
            </w:pPr>
            <w:r>
              <w:rPr>
                <w:spacing w:val="-5"/>
                <w:sz w:val="22"/>
              </w:rPr>
              <w:t>13</w:t>
            </w:r>
          </w:p>
        </w:tc>
        <w:tc>
          <w:tcPr>
            <w:tcW w:w="9050" w:type="dxa"/>
          </w:tcPr>
          <w:p>
            <w:pPr>
              <w:pStyle w:val="TableParagraph"/>
              <w:ind w:left="112"/>
              <w:rPr>
                <w:b/>
                <w:sz w:val="22"/>
              </w:rPr>
            </w:pPr>
            <w:r>
              <w:rPr>
                <w:b/>
                <w:sz w:val="22"/>
              </w:rPr>
              <w:t>Authorisation</w:t>
            </w:r>
            <w:r>
              <w:rPr>
                <w:b/>
                <w:spacing w:val="-6"/>
                <w:sz w:val="22"/>
              </w:rPr>
              <w:t> </w:t>
            </w:r>
            <w:r>
              <w:rPr>
                <w:b/>
                <w:sz w:val="22"/>
              </w:rPr>
              <w:t>to</w:t>
            </w:r>
            <w:r>
              <w:rPr>
                <w:b/>
                <w:spacing w:val="-6"/>
                <w:sz w:val="22"/>
              </w:rPr>
              <w:t> </w:t>
            </w:r>
            <w:r>
              <w:rPr>
                <w:b/>
                <w:spacing w:val="-2"/>
                <w:sz w:val="22"/>
              </w:rPr>
              <w:t>Authority:-</w:t>
            </w:r>
          </w:p>
          <w:p>
            <w:pPr>
              <w:pStyle w:val="TableParagraph"/>
              <w:spacing w:before="2"/>
              <w:rPr>
                <w:sz w:val="22"/>
              </w:rPr>
            </w:pPr>
          </w:p>
          <w:p>
            <w:pPr>
              <w:pStyle w:val="TableParagraph"/>
              <w:numPr>
                <w:ilvl w:val="0"/>
                <w:numId w:val="327"/>
              </w:numPr>
              <w:tabs>
                <w:tab w:pos="376" w:val="left" w:leader="none"/>
              </w:tabs>
              <w:spacing w:line="240" w:lineRule="auto" w:before="0" w:after="0"/>
              <w:ind w:left="376" w:right="54" w:hanging="264"/>
              <w:jc w:val="both"/>
              <w:rPr>
                <w:sz w:val="22"/>
              </w:rPr>
            </w:pPr>
            <w:r>
              <w:rPr>
                <w:sz w:val="22"/>
              </w:rPr>
              <w:t>In</w:t>
            </w:r>
            <w:r>
              <w:rPr>
                <w:spacing w:val="-18"/>
                <w:sz w:val="22"/>
              </w:rPr>
              <w:t> </w:t>
            </w:r>
            <w:r>
              <w:rPr>
                <w:sz w:val="22"/>
              </w:rPr>
              <w:t>case</w:t>
            </w:r>
            <w:r>
              <w:rPr>
                <w:spacing w:val="-16"/>
                <w:sz w:val="22"/>
              </w:rPr>
              <w:t> </w:t>
            </w:r>
            <w:r>
              <w:rPr>
                <w:sz w:val="22"/>
              </w:rPr>
              <w:t>of</w:t>
            </w:r>
            <w:r>
              <w:rPr>
                <w:spacing w:val="-18"/>
                <w:sz w:val="22"/>
              </w:rPr>
              <w:t> </w:t>
            </w:r>
            <w:r>
              <w:rPr>
                <w:sz w:val="22"/>
              </w:rPr>
              <w:t>any</w:t>
            </w:r>
            <w:r>
              <w:rPr>
                <w:spacing w:val="-16"/>
                <w:sz w:val="22"/>
              </w:rPr>
              <w:t> </w:t>
            </w:r>
            <w:r>
              <w:rPr>
                <w:sz w:val="22"/>
              </w:rPr>
              <w:t>deviations/irregularities</w:t>
            </w:r>
            <w:r>
              <w:rPr>
                <w:spacing w:val="-18"/>
                <w:sz w:val="22"/>
              </w:rPr>
              <w:t> </w:t>
            </w:r>
            <w:r>
              <w:rPr>
                <w:sz w:val="22"/>
              </w:rPr>
              <w:t>noticed</w:t>
            </w:r>
            <w:r>
              <w:rPr>
                <w:spacing w:val="-18"/>
                <w:sz w:val="22"/>
              </w:rPr>
              <w:t> </w:t>
            </w:r>
            <w:r>
              <w:rPr>
                <w:sz w:val="22"/>
              </w:rPr>
              <w:t>in</w:t>
            </w:r>
            <w:r>
              <w:rPr>
                <w:spacing w:val="-16"/>
                <w:sz w:val="22"/>
              </w:rPr>
              <w:t> </w:t>
            </w:r>
            <w:r>
              <w:rPr>
                <w:sz w:val="22"/>
              </w:rPr>
              <w:t>the</w:t>
            </w:r>
            <w:r>
              <w:rPr>
                <w:spacing w:val="-17"/>
                <w:sz w:val="22"/>
              </w:rPr>
              <w:t> </w:t>
            </w:r>
            <w:r>
              <w:rPr>
                <w:sz w:val="22"/>
              </w:rPr>
              <w:t>process</w:t>
            </w:r>
            <w:r>
              <w:rPr>
                <w:spacing w:val="-16"/>
                <w:sz w:val="22"/>
              </w:rPr>
              <w:t> </w:t>
            </w:r>
            <w:r>
              <w:rPr>
                <w:sz w:val="22"/>
              </w:rPr>
              <w:t>or</w:t>
            </w:r>
            <w:r>
              <w:rPr>
                <w:spacing w:val="-18"/>
                <w:sz w:val="22"/>
              </w:rPr>
              <w:t> </w:t>
            </w:r>
            <w:r>
              <w:rPr>
                <w:sz w:val="22"/>
              </w:rPr>
              <w:t>after</w:t>
            </w:r>
            <w:r>
              <w:rPr>
                <w:spacing w:val="-17"/>
                <w:sz w:val="22"/>
              </w:rPr>
              <w:t> </w:t>
            </w:r>
            <w:r>
              <w:rPr>
                <w:sz w:val="22"/>
              </w:rPr>
              <w:t>completion, the Planning</w:t>
            </w:r>
            <w:r>
              <w:rPr>
                <w:spacing w:val="-2"/>
                <w:sz w:val="22"/>
              </w:rPr>
              <w:t> </w:t>
            </w:r>
            <w:r>
              <w:rPr>
                <w:sz w:val="22"/>
              </w:rPr>
              <w:t>Authority may immediately</w:t>
            </w:r>
            <w:r>
              <w:rPr>
                <w:spacing w:val="-2"/>
                <w:sz w:val="22"/>
              </w:rPr>
              <w:t> </w:t>
            </w:r>
            <w:r>
              <w:rPr>
                <w:sz w:val="22"/>
              </w:rPr>
              <w:t>issue notice to</w:t>
            </w:r>
            <w:r>
              <w:rPr>
                <w:spacing w:val="-1"/>
                <w:sz w:val="22"/>
              </w:rPr>
              <w:t> </w:t>
            </w:r>
            <w:r>
              <w:rPr>
                <w:sz w:val="22"/>
              </w:rPr>
              <w:t>the owner</w:t>
            </w:r>
            <w:r>
              <w:rPr>
                <w:spacing w:val="-3"/>
                <w:sz w:val="22"/>
              </w:rPr>
              <w:t> </w:t>
            </w:r>
            <w:r>
              <w:rPr>
                <w:sz w:val="22"/>
              </w:rPr>
              <w:t>and or</w:t>
            </w:r>
            <w:r>
              <w:rPr>
                <w:spacing w:val="-1"/>
                <w:sz w:val="22"/>
              </w:rPr>
              <w:t> </w:t>
            </w:r>
            <w:r>
              <w:rPr>
                <w:sz w:val="22"/>
              </w:rPr>
              <w:t>to</w:t>
            </w:r>
            <w:r>
              <w:rPr>
                <w:spacing w:val="-1"/>
                <w:sz w:val="22"/>
              </w:rPr>
              <w:t> </w:t>
            </w:r>
            <w:r>
              <w:rPr>
                <w:sz w:val="22"/>
              </w:rPr>
              <w:t>the concerned licensee to suspend the further work and rectify the deviations/irregularities. Only after satisfaction of rectification made by the owner</w:t>
            </w:r>
            <w:r>
              <w:rPr>
                <w:spacing w:val="-12"/>
                <w:sz w:val="22"/>
              </w:rPr>
              <w:t> </w:t>
            </w:r>
            <w:r>
              <w:rPr>
                <w:sz w:val="22"/>
              </w:rPr>
              <w:t>or</w:t>
            </w:r>
            <w:r>
              <w:rPr>
                <w:spacing w:val="-12"/>
                <w:sz w:val="22"/>
              </w:rPr>
              <w:t> </w:t>
            </w:r>
            <w:r>
              <w:rPr>
                <w:sz w:val="22"/>
              </w:rPr>
              <w:t>concerned</w:t>
            </w:r>
            <w:r>
              <w:rPr>
                <w:spacing w:val="-11"/>
                <w:sz w:val="22"/>
              </w:rPr>
              <w:t> </w:t>
            </w:r>
            <w:r>
              <w:rPr>
                <w:sz w:val="22"/>
              </w:rPr>
              <w:t>licensee,</w:t>
            </w:r>
            <w:r>
              <w:rPr>
                <w:spacing w:val="-15"/>
                <w:sz w:val="22"/>
              </w:rPr>
              <w:t> </w:t>
            </w:r>
            <w:r>
              <w:rPr>
                <w:sz w:val="22"/>
              </w:rPr>
              <w:t>the</w:t>
            </w:r>
            <w:r>
              <w:rPr>
                <w:spacing w:val="-11"/>
                <w:sz w:val="22"/>
              </w:rPr>
              <w:t> </w:t>
            </w:r>
            <w:r>
              <w:rPr>
                <w:sz w:val="22"/>
              </w:rPr>
              <w:t>Planning</w:t>
            </w:r>
            <w:r>
              <w:rPr>
                <w:spacing w:val="-13"/>
                <w:sz w:val="22"/>
              </w:rPr>
              <w:t> </w:t>
            </w:r>
            <w:r>
              <w:rPr>
                <w:sz w:val="22"/>
              </w:rPr>
              <w:t>Authority</w:t>
            </w:r>
            <w:r>
              <w:rPr>
                <w:spacing w:val="-13"/>
                <w:sz w:val="22"/>
              </w:rPr>
              <w:t> </w:t>
            </w:r>
            <w:r>
              <w:rPr>
                <w:sz w:val="22"/>
              </w:rPr>
              <w:t>issue</w:t>
            </w:r>
            <w:r>
              <w:rPr>
                <w:spacing w:val="-11"/>
                <w:sz w:val="22"/>
              </w:rPr>
              <w:t> </w:t>
            </w:r>
            <w:r>
              <w:rPr>
                <w:sz w:val="22"/>
              </w:rPr>
              <w:t>intimation</w:t>
            </w:r>
            <w:r>
              <w:rPr>
                <w:spacing w:val="-11"/>
                <w:sz w:val="22"/>
              </w:rPr>
              <w:t> </w:t>
            </w:r>
            <w:r>
              <w:rPr>
                <w:sz w:val="22"/>
              </w:rPr>
              <w:t>to</w:t>
            </w:r>
            <w:r>
              <w:rPr>
                <w:spacing w:val="-13"/>
                <w:sz w:val="22"/>
              </w:rPr>
              <w:t> </w:t>
            </w:r>
            <w:r>
              <w:rPr>
                <w:sz w:val="22"/>
              </w:rPr>
              <w:t>start</w:t>
            </w:r>
            <w:r>
              <w:rPr>
                <w:spacing w:val="-11"/>
                <w:sz w:val="22"/>
              </w:rPr>
              <w:t> </w:t>
            </w:r>
            <w:r>
              <w:rPr>
                <w:sz w:val="22"/>
              </w:rPr>
              <w:t>the work. In major violations, the Planning Authority shall authorise to take appropriate action against Architect/L.S./Engineer as the case may be, as per the DCR or as per respective Acts and Laws.</w:t>
            </w:r>
          </w:p>
          <w:p>
            <w:pPr>
              <w:pStyle w:val="TableParagraph"/>
              <w:numPr>
                <w:ilvl w:val="0"/>
                <w:numId w:val="327"/>
              </w:numPr>
              <w:tabs>
                <w:tab w:pos="374" w:val="left" w:leader="none"/>
                <w:tab w:pos="376" w:val="left" w:leader="none"/>
              </w:tabs>
              <w:spacing w:line="240" w:lineRule="auto" w:before="1" w:after="0"/>
              <w:ind w:left="376" w:right="53" w:hanging="264"/>
              <w:jc w:val="both"/>
              <w:rPr>
                <w:sz w:val="22"/>
              </w:rPr>
            </w:pPr>
            <w:r>
              <w:rPr>
                <w:sz w:val="22"/>
              </w:rPr>
              <w:t>Municipal Commissioner/Chief Officer, as the case may be,of the respective Authority are authorised to prepare common application forms, proformas, affidavit</w:t>
            </w:r>
            <w:r>
              <w:rPr>
                <w:spacing w:val="-14"/>
                <w:sz w:val="22"/>
              </w:rPr>
              <w:t> </w:t>
            </w:r>
            <w:r>
              <w:rPr>
                <w:sz w:val="22"/>
              </w:rPr>
              <w:t>etc.</w:t>
            </w:r>
            <w:r>
              <w:rPr>
                <w:spacing w:val="-14"/>
                <w:sz w:val="22"/>
              </w:rPr>
              <w:t> </w:t>
            </w:r>
            <w:r>
              <w:rPr>
                <w:sz w:val="22"/>
              </w:rPr>
              <w:t>wherever</w:t>
            </w:r>
            <w:r>
              <w:rPr>
                <w:spacing w:val="-15"/>
                <w:sz w:val="22"/>
              </w:rPr>
              <w:t> </w:t>
            </w:r>
            <w:r>
              <w:rPr>
                <w:sz w:val="22"/>
              </w:rPr>
              <w:t>required</w:t>
            </w:r>
            <w:r>
              <w:rPr>
                <w:spacing w:val="-12"/>
                <w:sz w:val="22"/>
              </w:rPr>
              <w:t> </w:t>
            </w:r>
            <w:r>
              <w:rPr>
                <w:sz w:val="22"/>
              </w:rPr>
              <w:t>for</w:t>
            </w:r>
            <w:r>
              <w:rPr>
                <w:spacing w:val="-12"/>
                <w:sz w:val="22"/>
              </w:rPr>
              <w:t> </w:t>
            </w:r>
            <w:r>
              <w:rPr>
                <w:sz w:val="22"/>
              </w:rPr>
              <w:t>the</w:t>
            </w:r>
            <w:r>
              <w:rPr>
                <w:spacing w:val="-9"/>
                <w:sz w:val="22"/>
              </w:rPr>
              <w:t> </w:t>
            </w:r>
            <w:r>
              <w:rPr>
                <w:sz w:val="22"/>
              </w:rPr>
              <w:t>smooth</w:t>
            </w:r>
            <w:r>
              <w:rPr>
                <w:spacing w:val="-11"/>
                <w:sz w:val="22"/>
              </w:rPr>
              <w:t> </w:t>
            </w:r>
            <w:r>
              <w:rPr>
                <w:sz w:val="22"/>
              </w:rPr>
              <w:t>implementation</w:t>
            </w:r>
            <w:r>
              <w:rPr>
                <w:spacing w:val="-13"/>
                <w:sz w:val="22"/>
              </w:rPr>
              <w:t> </w:t>
            </w:r>
            <w:r>
              <w:rPr>
                <w:sz w:val="22"/>
              </w:rPr>
              <w:t>of</w:t>
            </w:r>
            <w:r>
              <w:rPr>
                <w:spacing w:val="-12"/>
                <w:sz w:val="22"/>
              </w:rPr>
              <w:t> </w:t>
            </w:r>
            <w:r>
              <w:rPr>
                <w:sz w:val="22"/>
              </w:rPr>
              <w:t>this</w:t>
            </w:r>
            <w:r>
              <w:rPr>
                <w:spacing w:val="-11"/>
                <w:sz w:val="22"/>
              </w:rPr>
              <w:t> </w:t>
            </w:r>
            <w:r>
              <w:rPr>
                <w:sz w:val="22"/>
              </w:rPr>
              <w:t>regulation.</w:t>
            </w:r>
          </w:p>
          <w:p>
            <w:pPr>
              <w:pStyle w:val="TableParagraph"/>
              <w:numPr>
                <w:ilvl w:val="0"/>
                <w:numId w:val="327"/>
              </w:numPr>
              <w:tabs>
                <w:tab w:pos="376" w:val="left" w:leader="none"/>
              </w:tabs>
              <w:spacing w:line="240" w:lineRule="auto" w:before="0" w:after="0"/>
              <w:ind w:left="376" w:right="59" w:hanging="264"/>
              <w:jc w:val="both"/>
              <w:rPr>
                <w:sz w:val="22"/>
              </w:rPr>
            </w:pPr>
            <w:r>
              <w:rPr>
                <w:sz w:val="22"/>
              </w:rPr>
              <w:t>The above procedure shall be integrated with the Online Building Permission Management System (BPMS) by the concerned Authority.</w:t>
            </w:r>
          </w:p>
        </w:tc>
      </w:tr>
      <w:tr>
        <w:trPr>
          <w:trHeight w:val="1678" w:hRule="atLeast"/>
        </w:trPr>
        <w:tc>
          <w:tcPr>
            <w:tcW w:w="437" w:type="dxa"/>
          </w:tcPr>
          <w:p>
            <w:pPr>
              <w:pStyle w:val="TableParagraph"/>
              <w:spacing w:before="129"/>
              <w:ind w:right="61"/>
              <w:jc w:val="center"/>
              <w:rPr>
                <w:sz w:val="22"/>
              </w:rPr>
            </w:pPr>
            <w:r>
              <w:rPr>
                <w:spacing w:val="-5"/>
                <w:sz w:val="22"/>
              </w:rPr>
              <w:t>14</w:t>
            </w:r>
          </w:p>
        </w:tc>
        <w:tc>
          <w:tcPr>
            <w:tcW w:w="9050" w:type="dxa"/>
          </w:tcPr>
          <w:p>
            <w:pPr>
              <w:pStyle w:val="TableParagraph"/>
              <w:spacing w:before="129"/>
              <w:ind w:left="112" w:right="48"/>
              <w:jc w:val="both"/>
              <w:rPr>
                <w:sz w:val="22"/>
              </w:rPr>
            </w:pPr>
            <w:r>
              <w:rPr>
                <w:b/>
                <w:sz w:val="22"/>
              </w:rPr>
              <w:t>Exceptions from this Procedure:-</w:t>
            </w:r>
            <w:r>
              <w:rPr>
                <w:sz w:val="22"/>
              </w:rPr>
              <w:t>The above Procedure for Building Permission shall</w:t>
            </w:r>
            <w:r>
              <w:rPr>
                <w:spacing w:val="-18"/>
                <w:sz w:val="22"/>
              </w:rPr>
              <w:t> </w:t>
            </w:r>
            <w:r>
              <w:rPr>
                <w:sz w:val="22"/>
              </w:rPr>
              <w:t>not</w:t>
            </w:r>
            <w:r>
              <w:rPr>
                <w:spacing w:val="-18"/>
                <w:sz w:val="22"/>
              </w:rPr>
              <w:t> </w:t>
            </w:r>
            <w:r>
              <w:rPr>
                <w:sz w:val="22"/>
              </w:rPr>
              <w:t>bar</w:t>
            </w:r>
            <w:r>
              <w:rPr>
                <w:spacing w:val="-17"/>
                <w:sz w:val="22"/>
              </w:rPr>
              <w:t> </w:t>
            </w:r>
            <w:r>
              <w:rPr>
                <w:sz w:val="22"/>
              </w:rPr>
              <w:t>the</w:t>
            </w:r>
            <w:r>
              <w:rPr>
                <w:spacing w:val="-18"/>
                <w:sz w:val="22"/>
              </w:rPr>
              <w:t> </w:t>
            </w:r>
            <w:r>
              <w:rPr>
                <w:sz w:val="22"/>
              </w:rPr>
              <w:t>owner</w:t>
            </w:r>
            <w:r>
              <w:rPr>
                <w:b/>
                <w:sz w:val="22"/>
              </w:rPr>
              <w:t>/</w:t>
            </w:r>
            <w:r>
              <w:rPr>
                <w:b/>
                <w:spacing w:val="-19"/>
                <w:sz w:val="22"/>
              </w:rPr>
              <w:t> </w:t>
            </w:r>
            <w:r>
              <w:rPr>
                <w:sz w:val="22"/>
              </w:rPr>
              <w:t>Architect/L.S./Engineer</w:t>
            </w:r>
            <w:r>
              <w:rPr>
                <w:spacing w:val="-17"/>
                <w:sz w:val="22"/>
              </w:rPr>
              <w:t> </w:t>
            </w:r>
            <w:r>
              <w:rPr>
                <w:sz w:val="22"/>
              </w:rPr>
              <w:t>to</w:t>
            </w:r>
            <w:r>
              <w:rPr>
                <w:spacing w:val="-18"/>
                <w:sz w:val="22"/>
              </w:rPr>
              <w:t> </w:t>
            </w:r>
            <w:r>
              <w:rPr>
                <w:sz w:val="22"/>
              </w:rPr>
              <w:t>obtain</w:t>
            </w:r>
            <w:r>
              <w:rPr>
                <w:spacing w:val="-17"/>
                <w:sz w:val="22"/>
              </w:rPr>
              <w:t> </w:t>
            </w:r>
            <w:r>
              <w:rPr>
                <w:sz w:val="22"/>
              </w:rPr>
              <w:t>development</w:t>
            </w:r>
            <w:r>
              <w:rPr>
                <w:spacing w:val="-18"/>
                <w:sz w:val="22"/>
              </w:rPr>
              <w:t> </w:t>
            </w:r>
            <w:r>
              <w:rPr>
                <w:sz w:val="22"/>
              </w:rPr>
              <w:t>permission as per Regular provisions of the DCPR. Also this</w:t>
            </w:r>
            <w:r>
              <w:rPr>
                <w:spacing w:val="40"/>
                <w:sz w:val="22"/>
              </w:rPr>
              <w:t> </w:t>
            </w:r>
            <w:r>
              <w:rPr>
                <w:sz w:val="22"/>
              </w:rPr>
              <w:t>stipulations</w:t>
            </w:r>
            <w:r>
              <w:rPr>
                <w:spacing w:val="40"/>
                <w:sz w:val="22"/>
              </w:rPr>
              <w:t> </w:t>
            </w:r>
            <w:r>
              <w:rPr>
                <w:sz w:val="22"/>
              </w:rPr>
              <w:t>shall not be applicable to the proposals who desired to obtain Development Permission as per</w:t>
            </w:r>
          </w:p>
          <w:p>
            <w:pPr>
              <w:pStyle w:val="TableParagraph"/>
              <w:spacing w:line="256" w:lineRule="exact"/>
              <w:ind w:left="112" w:right="48"/>
              <w:jc w:val="both"/>
              <w:rPr>
                <w:sz w:val="22"/>
              </w:rPr>
            </w:pPr>
            <w:r>
              <w:rPr>
                <w:b/>
                <w:sz w:val="22"/>
              </w:rPr>
              <w:t>Type Design Pattern </w:t>
            </w:r>
            <w:r>
              <w:rPr>
                <w:sz w:val="22"/>
              </w:rPr>
              <w:t>which was issued by Government vide TPS-1813/3200/CR 520/13/UD 13, Dated 03/01/2015.</w:t>
            </w:r>
          </w:p>
        </w:tc>
      </w:tr>
    </w:tbl>
    <w:p>
      <w:pPr>
        <w:pStyle w:val="TableParagraph"/>
        <w:spacing w:after="0" w:line="256" w:lineRule="exact"/>
        <w:jc w:val="both"/>
        <w:rPr>
          <w:sz w:val="22"/>
        </w:rPr>
        <w:sectPr>
          <w:pgSz w:w="11910" w:h="16840"/>
          <w:pgMar w:header="1065" w:footer="1194" w:top="1500" w:bottom="1380" w:left="360" w:right="360"/>
        </w:sectPr>
      </w:pPr>
    </w:p>
    <w:p>
      <w:pPr>
        <w:pStyle w:val="Heading1"/>
        <w:ind w:left="1536"/>
        <w:jc w:val="both"/>
      </w:pPr>
      <w:r>
        <w:rPr/>
        <w:t>PART-</w:t>
      </w:r>
      <w:r>
        <w:rPr>
          <w:spacing w:val="-13"/>
        </w:rPr>
        <w:t> </w:t>
      </w:r>
      <w:r>
        <w:rPr/>
        <w:t>XII</w:t>
      </w:r>
      <w:r>
        <w:rPr>
          <w:spacing w:val="-10"/>
        </w:rPr>
        <w:t> </w:t>
      </w:r>
      <w:r>
        <w:rPr/>
        <w:t>-</w:t>
      </w:r>
      <w:r>
        <w:rPr>
          <w:spacing w:val="-11"/>
        </w:rPr>
        <w:t> </w:t>
      </w:r>
      <w:r>
        <w:rPr/>
        <w:t>ENVIRONMENTAL</w:t>
      </w:r>
      <w:r>
        <w:rPr>
          <w:spacing w:val="-12"/>
        </w:rPr>
        <w:t> </w:t>
      </w:r>
      <w:r>
        <w:rPr>
          <w:spacing w:val="-2"/>
        </w:rPr>
        <w:t>SUSTAINABILITY</w:t>
      </w:r>
    </w:p>
    <w:p>
      <w:pPr>
        <w:pStyle w:val="Heading3"/>
        <w:numPr>
          <w:ilvl w:val="0"/>
          <w:numId w:val="263"/>
        </w:numPr>
        <w:tabs>
          <w:tab w:pos="1490" w:val="left" w:leader="none"/>
        </w:tabs>
        <w:spacing w:line="240" w:lineRule="auto" w:before="238" w:after="0"/>
        <w:ind w:left="1490" w:right="0" w:hanging="718"/>
        <w:jc w:val="both"/>
        <w:rPr>
          <w:i w:val="0"/>
        </w:rPr>
      </w:pPr>
      <w:r>
        <w:rPr/>
        <w:t>Public</w:t>
      </w:r>
      <w:r>
        <w:rPr>
          <w:spacing w:val="-11"/>
        </w:rPr>
        <w:t> </w:t>
      </w:r>
      <w:r>
        <w:rPr/>
        <w:t>Sanitary</w:t>
      </w:r>
      <w:r>
        <w:rPr>
          <w:spacing w:val="-9"/>
        </w:rPr>
        <w:t> </w:t>
      </w:r>
      <w:r>
        <w:rPr/>
        <w:t>Convenience</w:t>
      </w:r>
      <w:r>
        <w:rPr>
          <w:spacing w:val="-6"/>
        </w:rPr>
        <w:t> </w:t>
      </w:r>
      <w:r>
        <w:rPr/>
        <w:t>(PSC)</w:t>
      </w:r>
      <w:r>
        <w:rPr>
          <w:spacing w:val="-8"/>
        </w:rPr>
        <w:t> </w:t>
      </w:r>
      <w:r>
        <w:rPr>
          <w:spacing w:val="-2"/>
        </w:rPr>
        <w:t>Blocks/Toilets</w:t>
      </w:r>
    </w:p>
    <w:p>
      <w:pPr>
        <w:pStyle w:val="BodyText"/>
        <w:spacing w:before="124"/>
        <w:ind w:left="1493" w:right="768"/>
      </w:pPr>
      <w:r>
        <w:rPr/>
        <w:t>With the approval of the Commissioner, PSC block may be constructed, maintained and made available for general public use on Municipal/Govt. plots,</w:t>
      </w:r>
      <w:r>
        <w:rPr>
          <w:spacing w:val="-20"/>
        </w:rPr>
        <w:t> </w:t>
      </w:r>
      <w:r>
        <w:rPr/>
        <w:t>which</w:t>
      </w:r>
      <w:r>
        <w:rPr>
          <w:spacing w:val="-19"/>
        </w:rPr>
        <w:t> </w:t>
      </w:r>
      <w:r>
        <w:rPr/>
        <w:t>are</w:t>
      </w:r>
      <w:r>
        <w:rPr>
          <w:spacing w:val="-19"/>
        </w:rPr>
        <w:t> </w:t>
      </w:r>
      <w:r>
        <w:rPr/>
        <w:t>reserved/existing</w:t>
      </w:r>
      <w:r>
        <w:rPr>
          <w:spacing w:val="-19"/>
        </w:rPr>
        <w:t> </w:t>
      </w:r>
      <w:r>
        <w:rPr/>
        <w:t>amenity</w:t>
      </w:r>
      <w:r>
        <w:rPr>
          <w:spacing w:val="-19"/>
        </w:rPr>
        <w:t> </w:t>
      </w:r>
      <w:r>
        <w:rPr/>
        <w:t>for</w:t>
      </w:r>
      <w:r>
        <w:rPr>
          <w:spacing w:val="-20"/>
        </w:rPr>
        <w:t> </w:t>
      </w:r>
      <w:r>
        <w:rPr/>
        <w:t>public</w:t>
      </w:r>
      <w:r>
        <w:rPr>
          <w:spacing w:val="-19"/>
        </w:rPr>
        <w:t> </w:t>
      </w:r>
      <w:r>
        <w:rPr/>
        <w:t>purpose</w:t>
      </w:r>
      <w:r>
        <w:rPr>
          <w:spacing w:val="-19"/>
        </w:rPr>
        <w:t> </w:t>
      </w:r>
      <w:r>
        <w:rPr/>
        <w:t>in</w:t>
      </w:r>
      <w:r>
        <w:rPr>
          <w:spacing w:val="-19"/>
        </w:rPr>
        <w:t> </w:t>
      </w:r>
      <w:r>
        <w:rPr/>
        <w:t>the</w:t>
      </w:r>
      <w:r>
        <w:rPr>
          <w:spacing w:val="-19"/>
        </w:rPr>
        <w:t> </w:t>
      </w:r>
      <w:r>
        <w:rPr/>
        <w:t>following </w:t>
      </w:r>
      <w:r>
        <w:rPr>
          <w:spacing w:val="-2"/>
        </w:rPr>
        <w:t>manner:</w:t>
      </w:r>
    </w:p>
    <w:p>
      <w:pPr>
        <w:pStyle w:val="ListParagraph"/>
        <w:numPr>
          <w:ilvl w:val="0"/>
          <w:numId w:val="328"/>
        </w:numPr>
        <w:tabs>
          <w:tab w:pos="1722" w:val="left" w:leader="none"/>
        </w:tabs>
        <w:spacing w:line="240" w:lineRule="auto" w:before="119" w:after="0"/>
        <w:ind w:left="1493" w:right="776" w:firstLine="0"/>
        <w:jc w:val="both"/>
        <w:rPr>
          <w:sz w:val="24"/>
        </w:rPr>
      </w:pPr>
      <w:r>
        <w:rPr>
          <w:sz w:val="24"/>
        </w:rPr>
        <w:t>The location of PSC blocks shall be such that the same are accessible for general public use.</w:t>
      </w:r>
    </w:p>
    <w:p>
      <w:pPr>
        <w:pStyle w:val="ListParagraph"/>
        <w:numPr>
          <w:ilvl w:val="0"/>
          <w:numId w:val="328"/>
        </w:numPr>
        <w:tabs>
          <w:tab w:pos="1707" w:val="left" w:leader="none"/>
        </w:tabs>
        <w:spacing w:line="240" w:lineRule="auto" w:before="120" w:after="0"/>
        <w:ind w:left="1493" w:right="770" w:firstLine="0"/>
        <w:jc w:val="both"/>
        <w:rPr>
          <w:sz w:val="24"/>
        </w:rPr>
      </w:pPr>
      <w:r>
        <w:rPr>
          <w:sz w:val="24"/>
        </w:rPr>
        <w:t>The toilets shall be maintained by the user of the plotor as decided by the </w:t>
      </w:r>
      <w:r>
        <w:rPr>
          <w:spacing w:val="-2"/>
          <w:sz w:val="24"/>
        </w:rPr>
        <w:t>Commissioner.</w:t>
      </w:r>
    </w:p>
    <w:p>
      <w:pPr>
        <w:pStyle w:val="ListParagraph"/>
        <w:numPr>
          <w:ilvl w:val="0"/>
          <w:numId w:val="328"/>
        </w:numPr>
        <w:tabs>
          <w:tab w:pos="1779" w:val="left" w:leader="none"/>
        </w:tabs>
        <w:spacing w:line="240" w:lineRule="auto" w:before="121" w:after="0"/>
        <w:ind w:left="1493" w:right="768" w:firstLine="0"/>
        <w:jc w:val="both"/>
        <w:rPr>
          <w:sz w:val="24"/>
        </w:rPr>
      </w:pPr>
      <w:r>
        <w:rPr>
          <w:sz w:val="24"/>
        </w:rPr>
        <w:t>On plots having non-buildable/POS reservation/existing amenity and having area more than 4,000 sq. m, 2 toilets and 2 urinals each for ladies and gents and preferably one toilet for differently abled persons and one urinal for children shall be constructed.</w:t>
      </w:r>
    </w:p>
    <w:p>
      <w:pPr>
        <w:pStyle w:val="ListParagraph"/>
        <w:numPr>
          <w:ilvl w:val="0"/>
          <w:numId w:val="328"/>
        </w:numPr>
        <w:tabs>
          <w:tab w:pos="1760" w:val="left" w:leader="none"/>
        </w:tabs>
        <w:spacing w:line="240" w:lineRule="auto" w:before="122" w:after="0"/>
        <w:ind w:left="1493" w:right="768" w:firstLine="0"/>
        <w:jc w:val="both"/>
        <w:rPr>
          <w:sz w:val="24"/>
        </w:rPr>
      </w:pPr>
      <w:r>
        <w:rPr>
          <w:sz w:val="24"/>
        </w:rPr>
        <w:t>On plots having non-buildable/POS reservation/existing amenityand having</w:t>
      </w:r>
      <w:r>
        <w:rPr>
          <w:spacing w:val="-2"/>
          <w:sz w:val="24"/>
        </w:rPr>
        <w:t> </w:t>
      </w:r>
      <w:r>
        <w:rPr>
          <w:sz w:val="24"/>
        </w:rPr>
        <w:t>area</w:t>
      </w:r>
      <w:r>
        <w:rPr>
          <w:spacing w:val="-2"/>
          <w:sz w:val="24"/>
        </w:rPr>
        <w:t> </w:t>
      </w:r>
      <w:r>
        <w:rPr>
          <w:sz w:val="24"/>
        </w:rPr>
        <w:t>less</w:t>
      </w:r>
      <w:r>
        <w:rPr>
          <w:spacing w:val="-2"/>
          <w:sz w:val="24"/>
        </w:rPr>
        <w:t> </w:t>
      </w:r>
      <w:r>
        <w:rPr>
          <w:sz w:val="24"/>
        </w:rPr>
        <w:t>than</w:t>
      </w:r>
      <w:r>
        <w:rPr>
          <w:spacing w:val="-2"/>
          <w:sz w:val="24"/>
        </w:rPr>
        <w:t> </w:t>
      </w:r>
      <w:r>
        <w:rPr>
          <w:sz w:val="24"/>
        </w:rPr>
        <w:t>4,000</w:t>
      </w:r>
      <w:r>
        <w:rPr>
          <w:spacing w:val="-2"/>
          <w:sz w:val="24"/>
        </w:rPr>
        <w:t> </w:t>
      </w:r>
      <w:r>
        <w:rPr>
          <w:sz w:val="24"/>
        </w:rPr>
        <w:t>sq.</w:t>
      </w:r>
      <w:r>
        <w:rPr>
          <w:spacing w:val="-2"/>
          <w:sz w:val="24"/>
        </w:rPr>
        <w:t> </w:t>
      </w:r>
      <w:r>
        <w:rPr>
          <w:sz w:val="24"/>
        </w:rPr>
        <w:t>m,</w:t>
      </w:r>
      <w:r>
        <w:rPr>
          <w:spacing w:val="-2"/>
          <w:sz w:val="24"/>
        </w:rPr>
        <w:t> </w:t>
      </w:r>
      <w:r>
        <w:rPr>
          <w:sz w:val="24"/>
        </w:rPr>
        <w:t>1</w:t>
      </w:r>
      <w:r>
        <w:rPr>
          <w:spacing w:val="-2"/>
          <w:sz w:val="24"/>
        </w:rPr>
        <w:t> </w:t>
      </w:r>
      <w:r>
        <w:rPr>
          <w:sz w:val="24"/>
        </w:rPr>
        <w:t>toilet</w:t>
      </w:r>
      <w:r>
        <w:rPr>
          <w:spacing w:val="-2"/>
          <w:sz w:val="24"/>
        </w:rPr>
        <w:t> </w:t>
      </w:r>
      <w:r>
        <w:rPr>
          <w:sz w:val="24"/>
        </w:rPr>
        <w:t>and</w:t>
      </w:r>
      <w:r>
        <w:rPr>
          <w:spacing w:val="-2"/>
          <w:sz w:val="24"/>
        </w:rPr>
        <w:t> </w:t>
      </w:r>
      <w:r>
        <w:rPr>
          <w:sz w:val="24"/>
        </w:rPr>
        <w:t>2</w:t>
      </w:r>
      <w:r>
        <w:rPr>
          <w:spacing w:val="-2"/>
          <w:sz w:val="24"/>
        </w:rPr>
        <w:t> </w:t>
      </w:r>
      <w:r>
        <w:rPr>
          <w:sz w:val="24"/>
        </w:rPr>
        <w:t>urinals</w:t>
      </w:r>
      <w:r>
        <w:rPr>
          <w:spacing w:val="-2"/>
          <w:sz w:val="24"/>
        </w:rPr>
        <w:t> </w:t>
      </w:r>
      <w:r>
        <w:rPr>
          <w:sz w:val="24"/>
        </w:rPr>
        <w:t>each</w:t>
      </w:r>
      <w:r>
        <w:rPr>
          <w:spacing w:val="-2"/>
          <w:sz w:val="24"/>
        </w:rPr>
        <w:t> </w:t>
      </w:r>
      <w:r>
        <w:rPr>
          <w:sz w:val="24"/>
        </w:rPr>
        <w:t>for</w:t>
      </w:r>
      <w:r>
        <w:rPr>
          <w:spacing w:val="-2"/>
          <w:sz w:val="24"/>
        </w:rPr>
        <w:t> </w:t>
      </w:r>
      <w:r>
        <w:rPr>
          <w:sz w:val="24"/>
        </w:rPr>
        <w:t>ladies</w:t>
      </w:r>
      <w:r>
        <w:rPr>
          <w:spacing w:val="-2"/>
          <w:sz w:val="24"/>
        </w:rPr>
        <w:t> </w:t>
      </w:r>
      <w:r>
        <w:rPr>
          <w:sz w:val="24"/>
        </w:rPr>
        <w:t>and gents maybe constructed.</w:t>
      </w:r>
    </w:p>
    <w:p>
      <w:pPr>
        <w:pStyle w:val="ListParagraph"/>
        <w:numPr>
          <w:ilvl w:val="0"/>
          <w:numId w:val="328"/>
        </w:numPr>
        <w:tabs>
          <w:tab w:pos="1751" w:val="left" w:leader="none"/>
        </w:tabs>
        <w:spacing w:line="240" w:lineRule="auto" w:before="119" w:after="0"/>
        <w:ind w:left="1493" w:right="768" w:firstLine="0"/>
        <w:jc w:val="both"/>
        <w:rPr>
          <w:sz w:val="24"/>
        </w:rPr>
      </w:pPr>
      <w:r>
        <w:rPr>
          <w:sz w:val="24"/>
        </w:rPr>
        <w:t>On</w:t>
      </w:r>
      <w:r>
        <w:rPr>
          <w:spacing w:val="-18"/>
          <w:sz w:val="24"/>
        </w:rPr>
        <w:t> </w:t>
      </w:r>
      <w:r>
        <w:rPr>
          <w:sz w:val="24"/>
        </w:rPr>
        <w:t>plots</w:t>
      </w:r>
      <w:r>
        <w:rPr>
          <w:spacing w:val="-18"/>
          <w:sz w:val="24"/>
        </w:rPr>
        <w:t> </w:t>
      </w:r>
      <w:r>
        <w:rPr>
          <w:sz w:val="24"/>
        </w:rPr>
        <w:t>having</w:t>
      </w:r>
      <w:r>
        <w:rPr>
          <w:spacing w:val="-18"/>
          <w:sz w:val="24"/>
        </w:rPr>
        <w:t> </w:t>
      </w:r>
      <w:r>
        <w:rPr>
          <w:sz w:val="24"/>
        </w:rPr>
        <w:t>buildable</w:t>
      </w:r>
      <w:r>
        <w:rPr>
          <w:spacing w:val="-18"/>
          <w:sz w:val="24"/>
        </w:rPr>
        <w:t> </w:t>
      </w:r>
      <w:r>
        <w:rPr>
          <w:sz w:val="24"/>
        </w:rPr>
        <w:t>reservation</w:t>
      </w:r>
      <w:r>
        <w:rPr>
          <w:spacing w:val="80"/>
          <w:sz w:val="24"/>
        </w:rPr>
        <w:t> </w:t>
      </w:r>
      <w:r>
        <w:rPr>
          <w:sz w:val="24"/>
        </w:rPr>
        <w:t>amenity</w:t>
      </w:r>
      <w:r>
        <w:rPr>
          <w:spacing w:val="-18"/>
          <w:sz w:val="24"/>
        </w:rPr>
        <w:t> </w:t>
      </w:r>
      <w:r>
        <w:rPr>
          <w:sz w:val="24"/>
        </w:rPr>
        <w:t>and</w:t>
      </w:r>
      <w:r>
        <w:rPr>
          <w:spacing w:val="-18"/>
          <w:sz w:val="24"/>
        </w:rPr>
        <w:t> </w:t>
      </w:r>
      <w:r>
        <w:rPr>
          <w:sz w:val="24"/>
        </w:rPr>
        <w:t>having</w:t>
      </w:r>
      <w:r>
        <w:rPr>
          <w:spacing w:val="-18"/>
          <w:sz w:val="24"/>
        </w:rPr>
        <w:t> </w:t>
      </w:r>
      <w:r>
        <w:rPr>
          <w:sz w:val="24"/>
        </w:rPr>
        <w:t>area</w:t>
      </w:r>
      <w:r>
        <w:rPr>
          <w:spacing w:val="-18"/>
          <w:sz w:val="24"/>
        </w:rPr>
        <w:t> </w:t>
      </w:r>
      <w:r>
        <w:rPr>
          <w:sz w:val="24"/>
        </w:rPr>
        <w:t>more</w:t>
      </w:r>
      <w:r>
        <w:rPr>
          <w:spacing w:val="-18"/>
          <w:sz w:val="24"/>
        </w:rPr>
        <w:t> </w:t>
      </w:r>
      <w:r>
        <w:rPr>
          <w:sz w:val="24"/>
        </w:rPr>
        <w:t>than 2000 sq. m , 1 toilet and 2 urinals each for ladies and gents and preferably one toilet for differently abled persons and one urinal for children shall be constructed while developing the plot. On plots having buildable existing amenityand having area more than 2000 sq. m, 1 toilet and 2 urinals each for ladies and gents and preferably one toilet for differently abled persons and one urinal for children may be constructed. The PSC so proposed preferably shall have access directly from the public street and shall be located in such a way that, it shall not cause nuisance to the occupants of the plot and same shall have to be maintained as decided by the Commissioner in hygienic condition.Efforts shall be made to construct PSC blocks at a distance of every 3 km. especially near the bus stop along highway/major roads taking in to consideration other requirements for provision of PSC block.</w:t>
      </w:r>
    </w:p>
    <w:p>
      <w:pPr>
        <w:pStyle w:val="ListParagraph"/>
        <w:numPr>
          <w:ilvl w:val="0"/>
          <w:numId w:val="328"/>
        </w:numPr>
        <w:tabs>
          <w:tab w:pos="1758" w:val="left" w:leader="none"/>
        </w:tabs>
        <w:spacing w:line="240" w:lineRule="auto" w:before="120" w:after="0"/>
        <w:ind w:left="1493" w:right="769" w:firstLine="0"/>
        <w:jc w:val="both"/>
        <w:rPr>
          <w:sz w:val="24"/>
        </w:rPr>
      </w:pPr>
      <w:r>
        <w:rPr>
          <w:sz w:val="24"/>
        </w:rPr>
        <w:t>Construction</w:t>
      </w:r>
      <w:r>
        <w:rPr>
          <w:spacing w:val="-9"/>
          <w:sz w:val="24"/>
        </w:rPr>
        <w:t> </w:t>
      </w:r>
      <w:r>
        <w:rPr>
          <w:sz w:val="24"/>
        </w:rPr>
        <w:t>of</w:t>
      </w:r>
      <w:r>
        <w:rPr>
          <w:spacing w:val="-10"/>
          <w:sz w:val="24"/>
        </w:rPr>
        <w:t> </w:t>
      </w:r>
      <w:r>
        <w:rPr>
          <w:sz w:val="24"/>
        </w:rPr>
        <w:t>such</w:t>
      </w:r>
      <w:r>
        <w:rPr>
          <w:spacing w:val="-9"/>
          <w:sz w:val="24"/>
        </w:rPr>
        <w:t> </w:t>
      </w:r>
      <w:r>
        <w:rPr>
          <w:sz w:val="24"/>
        </w:rPr>
        <w:t>PSC</w:t>
      </w:r>
      <w:r>
        <w:rPr>
          <w:spacing w:val="-10"/>
          <w:sz w:val="24"/>
        </w:rPr>
        <w:t> </w:t>
      </w:r>
      <w:r>
        <w:rPr>
          <w:sz w:val="24"/>
        </w:rPr>
        <w:t>may</w:t>
      </w:r>
      <w:r>
        <w:rPr>
          <w:spacing w:val="-10"/>
          <w:sz w:val="24"/>
        </w:rPr>
        <w:t> </w:t>
      </w:r>
      <w:r>
        <w:rPr>
          <w:sz w:val="24"/>
        </w:rPr>
        <w:t>be</w:t>
      </w:r>
      <w:r>
        <w:rPr>
          <w:spacing w:val="-10"/>
          <w:sz w:val="24"/>
        </w:rPr>
        <w:t> </w:t>
      </w:r>
      <w:r>
        <w:rPr>
          <w:sz w:val="24"/>
        </w:rPr>
        <w:t>allowed</w:t>
      </w:r>
      <w:r>
        <w:rPr>
          <w:spacing w:val="-10"/>
          <w:sz w:val="24"/>
        </w:rPr>
        <w:t> </w:t>
      </w:r>
      <w:r>
        <w:rPr>
          <w:sz w:val="24"/>
        </w:rPr>
        <w:t>touching</w:t>
      </w:r>
      <w:r>
        <w:rPr>
          <w:spacing w:val="-10"/>
          <w:sz w:val="24"/>
        </w:rPr>
        <w:t> </w:t>
      </w:r>
      <w:r>
        <w:rPr>
          <w:sz w:val="24"/>
        </w:rPr>
        <w:t>the</w:t>
      </w:r>
      <w:r>
        <w:rPr>
          <w:spacing w:val="-10"/>
          <w:sz w:val="24"/>
        </w:rPr>
        <w:t> </w:t>
      </w:r>
      <w:r>
        <w:rPr>
          <w:sz w:val="24"/>
        </w:rPr>
        <w:t>plot</w:t>
      </w:r>
      <w:r>
        <w:rPr>
          <w:spacing w:val="-7"/>
          <w:sz w:val="24"/>
        </w:rPr>
        <w:t> </w:t>
      </w:r>
      <w:r>
        <w:rPr>
          <w:sz w:val="24"/>
        </w:rPr>
        <w:t>boundary</w:t>
      </w:r>
      <w:r>
        <w:rPr>
          <w:spacing w:val="-10"/>
          <w:sz w:val="24"/>
        </w:rPr>
        <w:t> </w:t>
      </w:r>
      <w:r>
        <w:rPr>
          <w:sz w:val="24"/>
        </w:rPr>
        <w:t>and accessible</w:t>
      </w:r>
      <w:r>
        <w:rPr>
          <w:spacing w:val="-2"/>
          <w:sz w:val="24"/>
        </w:rPr>
        <w:t> </w:t>
      </w:r>
      <w:r>
        <w:rPr>
          <w:sz w:val="24"/>
        </w:rPr>
        <w:t>from</w:t>
      </w:r>
      <w:r>
        <w:rPr>
          <w:spacing w:val="-2"/>
          <w:sz w:val="24"/>
        </w:rPr>
        <w:t> </w:t>
      </w:r>
      <w:r>
        <w:rPr>
          <w:sz w:val="24"/>
        </w:rPr>
        <w:t>Public</w:t>
      </w:r>
      <w:r>
        <w:rPr>
          <w:spacing w:val="-2"/>
          <w:sz w:val="24"/>
        </w:rPr>
        <w:t> </w:t>
      </w:r>
      <w:r>
        <w:rPr>
          <w:sz w:val="24"/>
        </w:rPr>
        <w:t>Street.</w:t>
      </w:r>
      <w:r>
        <w:rPr>
          <w:spacing w:val="-2"/>
          <w:sz w:val="24"/>
        </w:rPr>
        <w:t> </w:t>
      </w:r>
      <w:r>
        <w:rPr>
          <w:sz w:val="24"/>
        </w:rPr>
        <w:t>The</w:t>
      </w:r>
      <w:r>
        <w:rPr>
          <w:spacing w:val="-2"/>
          <w:sz w:val="24"/>
        </w:rPr>
        <w:t> </w:t>
      </w:r>
      <w:r>
        <w:rPr>
          <w:sz w:val="24"/>
        </w:rPr>
        <w:t>joint</w:t>
      </w:r>
      <w:r>
        <w:rPr>
          <w:spacing w:val="-2"/>
          <w:sz w:val="24"/>
        </w:rPr>
        <w:t> </w:t>
      </w:r>
      <w:r>
        <w:rPr>
          <w:sz w:val="24"/>
        </w:rPr>
        <w:t>open</w:t>
      </w:r>
      <w:r>
        <w:rPr>
          <w:spacing w:val="-2"/>
          <w:sz w:val="24"/>
        </w:rPr>
        <w:t> </w:t>
      </w:r>
      <w:r>
        <w:rPr>
          <w:sz w:val="24"/>
        </w:rPr>
        <w:t>space</w:t>
      </w:r>
      <w:r>
        <w:rPr>
          <w:spacing w:val="-2"/>
          <w:sz w:val="24"/>
        </w:rPr>
        <w:t> </w:t>
      </w:r>
      <w:r>
        <w:rPr>
          <w:sz w:val="24"/>
        </w:rPr>
        <w:t>between</w:t>
      </w:r>
      <w:r>
        <w:rPr>
          <w:spacing w:val="-2"/>
          <w:sz w:val="24"/>
        </w:rPr>
        <w:t> </w:t>
      </w:r>
      <w:r>
        <w:rPr>
          <w:sz w:val="24"/>
        </w:rPr>
        <w:t>the structure</w:t>
      </w:r>
      <w:r>
        <w:rPr>
          <w:spacing w:val="-2"/>
          <w:sz w:val="24"/>
        </w:rPr>
        <w:t> </w:t>
      </w:r>
      <w:r>
        <w:rPr>
          <w:sz w:val="24"/>
        </w:rPr>
        <w:t>of primary</w:t>
      </w:r>
      <w:r>
        <w:rPr>
          <w:spacing w:val="-3"/>
          <w:sz w:val="24"/>
        </w:rPr>
        <w:t> </w:t>
      </w:r>
      <w:r>
        <w:rPr>
          <w:sz w:val="24"/>
        </w:rPr>
        <w:t>user</w:t>
      </w:r>
      <w:r>
        <w:rPr>
          <w:spacing w:val="-3"/>
          <w:sz w:val="24"/>
        </w:rPr>
        <w:t> </w:t>
      </w:r>
      <w:r>
        <w:rPr>
          <w:sz w:val="24"/>
        </w:rPr>
        <w:t>and</w:t>
      </w:r>
      <w:r>
        <w:rPr>
          <w:spacing w:val="-3"/>
          <w:sz w:val="24"/>
        </w:rPr>
        <w:t> </w:t>
      </w:r>
      <w:r>
        <w:rPr>
          <w:sz w:val="24"/>
        </w:rPr>
        <w:t>the</w:t>
      </w:r>
      <w:r>
        <w:rPr>
          <w:spacing w:val="-3"/>
          <w:sz w:val="24"/>
        </w:rPr>
        <w:t> </w:t>
      </w:r>
      <w:r>
        <w:rPr>
          <w:sz w:val="24"/>
        </w:rPr>
        <w:t>structure</w:t>
      </w:r>
      <w:r>
        <w:rPr>
          <w:spacing w:val="-3"/>
          <w:sz w:val="24"/>
        </w:rPr>
        <w:t> </w:t>
      </w:r>
      <w:r>
        <w:rPr>
          <w:sz w:val="24"/>
        </w:rPr>
        <w:t>for</w:t>
      </w:r>
      <w:r>
        <w:rPr>
          <w:spacing w:val="-3"/>
          <w:sz w:val="24"/>
        </w:rPr>
        <w:t> </w:t>
      </w:r>
      <w:r>
        <w:rPr>
          <w:sz w:val="24"/>
        </w:rPr>
        <w:t>PSC</w:t>
      </w:r>
      <w:r>
        <w:rPr>
          <w:spacing w:val="-3"/>
          <w:sz w:val="24"/>
        </w:rPr>
        <w:t> </w:t>
      </w:r>
      <w:r>
        <w:rPr>
          <w:sz w:val="24"/>
        </w:rPr>
        <w:t>shall</w:t>
      </w:r>
      <w:r>
        <w:rPr>
          <w:spacing w:val="-3"/>
          <w:sz w:val="24"/>
        </w:rPr>
        <w:t> </w:t>
      </w:r>
      <w:r>
        <w:rPr>
          <w:sz w:val="24"/>
        </w:rPr>
        <w:t>not</w:t>
      </w:r>
      <w:r>
        <w:rPr>
          <w:spacing w:val="-3"/>
          <w:sz w:val="24"/>
        </w:rPr>
        <w:t> </w:t>
      </w:r>
      <w:r>
        <w:rPr>
          <w:sz w:val="24"/>
        </w:rPr>
        <w:t>be</w:t>
      </w:r>
      <w:r>
        <w:rPr>
          <w:spacing w:val="-3"/>
          <w:sz w:val="24"/>
        </w:rPr>
        <w:t> </w:t>
      </w:r>
      <w:r>
        <w:rPr>
          <w:sz w:val="24"/>
        </w:rPr>
        <w:t>less</w:t>
      </w:r>
      <w:r>
        <w:rPr>
          <w:spacing w:val="-3"/>
          <w:sz w:val="24"/>
        </w:rPr>
        <w:t> </w:t>
      </w:r>
      <w:r>
        <w:rPr>
          <w:sz w:val="24"/>
        </w:rPr>
        <w:t>than</w:t>
      </w:r>
      <w:r>
        <w:rPr>
          <w:spacing w:val="-6"/>
          <w:sz w:val="24"/>
        </w:rPr>
        <w:t> </w:t>
      </w:r>
      <w:r>
        <w:rPr>
          <w:sz w:val="24"/>
        </w:rPr>
        <w:t>required</w:t>
      </w:r>
      <w:r>
        <w:rPr>
          <w:spacing w:val="-3"/>
          <w:sz w:val="24"/>
        </w:rPr>
        <w:t> </w:t>
      </w:r>
      <w:r>
        <w:rPr>
          <w:sz w:val="24"/>
        </w:rPr>
        <w:t>front open space for structure ofprimary user or 3 m whichever ishigher.</w:t>
      </w:r>
    </w:p>
    <w:p>
      <w:pPr>
        <w:pStyle w:val="ListParagraph"/>
        <w:numPr>
          <w:ilvl w:val="0"/>
          <w:numId w:val="328"/>
        </w:numPr>
        <w:tabs>
          <w:tab w:pos="1910" w:val="left" w:leader="none"/>
        </w:tabs>
        <w:spacing w:line="240" w:lineRule="auto" w:before="241" w:after="0"/>
        <w:ind w:left="1910" w:right="0" w:hanging="417"/>
        <w:jc w:val="both"/>
        <w:rPr>
          <w:sz w:val="24"/>
        </w:rPr>
      </w:pPr>
      <w:r>
        <w:rPr>
          <w:sz w:val="24"/>
        </w:rPr>
        <w:t>The</w:t>
      </w:r>
      <w:r>
        <w:rPr>
          <w:spacing w:val="-1"/>
          <w:sz w:val="24"/>
        </w:rPr>
        <w:t> </w:t>
      </w:r>
      <w:r>
        <w:rPr>
          <w:sz w:val="24"/>
        </w:rPr>
        <w:t>PSC</w:t>
      </w:r>
      <w:r>
        <w:rPr>
          <w:spacing w:val="-1"/>
          <w:sz w:val="24"/>
        </w:rPr>
        <w:t> </w:t>
      </w:r>
      <w:r>
        <w:rPr>
          <w:sz w:val="24"/>
        </w:rPr>
        <w:t>to</w:t>
      </w:r>
      <w:r>
        <w:rPr>
          <w:spacing w:val="-1"/>
          <w:sz w:val="24"/>
        </w:rPr>
        <w:t> </w:t>
      </w:r>
      <w:r>
        <w:rPr>
          <w:sz w:val="24"/>
        </w:rPr>
        <w:t>the</w:t>
      </w:r>
      <w:r>
        <w:rPr>
          <w:spacing w:val="-1"/>
          <w:sz w:val="24"/>
        </w:rPr>
        <w:t> </w:t>
      </w:r>
      <w:r>
        <w:rPr>
          <w:sz w:val="24"/>
        </w:rPr>
        <w:t>extent</w:t>
      </w:r>
      <w:r>
        <w:rPr>
          <w:spacing w:val="-1"/>
          <w:sz w:val="24"/>
        </w:rPr>
        <w:t> </w:t>
      </w:r>
      <w:r>
        <w:rPr>
          <w:sz w:val="24"/>
        </w:rPr>
        <w:t>specified</w:t>
      </w:r>
      <w:r>
        <w:rPr>
          <w:spacing w:val="-1"/>
          <w:sz w:val="24"/>
        </w:rPr>
        <w:t> </w:t>
      </w:r>
      <w:r>
        <w:rPr>
          <w:sz w:val="24"/>
        </w:rPr>
        <w:t>shall</w:t>
      </w:r>
      <w:r>
        <w:rPr>
          <w:spacing w:val="-1"/>
          <w:sz w:val="24"/>
        </w:rPr>
        <w:t> </w:t>
      </w:r>
      <w:r>
        <w:rPr>
          <w:sz w:val="24"/>
        </w:rPr>
        <w:t>be</w:t>
      </w:r>
      <w:r>
        <w:rPr>
          <w:spacing w:val="-1"/>
          <w:sz w:val="24"/>
        </w:rPr>
        <w:t> </w:t>
      </w:r>
      <w:r>
        <w:rPr>
          <w:sz w:val="24"/>
        </w:rPr>
        <w:t>permissible</w:t>
      </w:r>
      <w:r>
        <w:rPr>
          <w:spacing w:val="-1"/>
          <w:sz w:val="24"/>
        </w:rPr>
        <w:t> </w:t>
      </w:r>
      <w:r>
        <w:rPr>
          <w:sz w:val="24"/>
        </w:rPr>
        <w:t>free</w:t>
      </w:r>
      <w:r>
        <w:rPr>
          <w:spacing w:val="-1"/>
          <w:sz w:val="24"/>
        </w:rPr>
        <w:t> </w:t>
      </w:r>
      <w:r>
        <w:rPr>
          <w:sz w:val="24"/>
        </w:rPr>
        <w:t>of</w:t>
      </w:r>
      <w:r>
        <w:rPr>
          <w:spacing w:val="-1"/>
          <w:sz w:val="24"/>
        </w:rPr>
        <w:t> </w:t>
      </w:r>
      <w:r>
        <w:rPr>
          <w:spacing w:val="-4"/>
          <w:sz w:val="24"/>
        </w:rPr>
        <w:t>FSI.</w:t>
      </w:r>
    </w:p>
    <w:p>
      <w:pPr>
        <w:pStyle w:val="ListParagraph"/>
        <w:numPr>
          <w:ilvl w:val="0"/>
          <w:numId w:val="328"/>
        </w:numPr>
        <w:tabs>
          <w:tab w:pos="1990" w:val="left" w:leader="none"/>
        </w:tabs>
        <w:spacing w:line="240" w:lineRule="auto" w:before="240" w:after="0"/>
        <w:ind w:left="1493" w:right="768" w:firstLine="0"/>
        <w:jc w:val="both"/>
        <w:rPr>
          <w:sz w:val="24"/>
        </w:rPr>
      </w:pPr>
      <w:r>
        <w:rPr>
          <w:sz w:val="24"/>
        </w:rPr>
        <w:t>Availability of PSC shall be displayed insucha way that it isclearly seen from Public Street.</w:t>
      </w:r>
    </w:p>
    <w:p>
      <w:pPr>
        <w:pStyle w:val="ListParagraph"/>
        <w:numPr>
          <w:ilvl w:val="0"/>
          <w:numId w:val="328"/>
        </w:numPr>
        <w:tabs>
          <w:tab w:pos="1850" w:val="left" w:leader="none"/>
        </w:tabs>
        <w:spacing w:line="240" w:lineRule="auto" w:before="240" w:after="0"/>
        <w:ind w:left="1493" w:right="770" w:firstLine="0"/>
        <w:jc w:val="both"/>
        <w:rPr>
          <w:sz w:val="24"/>
        </w:rPr>
      </w:pPr>
      <w:r>
        <w:rPr>
          <w:sz w:val="24"/>
        </w:rPr>
        <w:t>Substation</w:t>
      </w:r>
      <w:r>
        <w:rPr>
          <w:spacing w:val="-1"/>
          <w:sz w:val="24"/>
        </w:rPr>
        <w:t> </w:t>
      </w:r>
      <w:r>
        <w:rPr>
          <w:sz w:val="24"/>
        </w:rPr>
        <w:t>can</w:t>
      </w:r>
      <w:r>
        <w:rPr>
          <w:spacing w:val="-1"/>
          <w:sz w:val="24"/>
        </w:rPr>
        <w:t> </w:t>
      </w:r>
      <w:r>
        <w:rPr>
          <w:sz w:val="24"/>
        </w:rPr>
        <w:t>be</w:t>
      </w:r>
      <w:r>
        <w:rPr>
          <w:spacing w:val="-1"/>
          <w:sz w:val="24"/>
        </w:rPr>
        <w:t> </w:t>
      </w:r>
      <w:r>
        <w:rPr>
          <w:sz w:val="24"/>
        </w:rPr>
        <w:t>provided</w:t>
      </w:r>
      <w:r>
        <w:rPr>
          <w:spacing w:val="-1"/>
          <w:sz w:val="24"/>
        </w:rPr>
        <w:t> </w:t>
      </w:r>
      <w:r>
        <w:rPr>
          <w:sz w:val="24"/>
        </w:rPr>
        <w:t>above</w:t>
      </w:r>
      <w:r>
        <w:rPr>
          <w:spacing w:val="-1"/>
          <w:sz w:val="24"/>
        </w:rPr>
        <w:t> </w:t>
      </w:r>
      <w:r>
        <w:rPr>
          <w:sz w:val="24"/>
        </w:rPr>
        <w:t>PSC</w:t>
      </w:r>
      <w:r>
        <w:rPr>
          <w:spacing w:val="-1"/>
          <w:sz w:val="24"/>
        </w:rPr>
        <w:t> </w:t>
      </w:r>
      <w:r>
        <w:rPr>
          <w:sz w:val="24"/>
        </w:rPr>
        <w:t>as</w:t>
      </w:r>
      <w:r>
        <w:rPr>
          <w:spacing w:val="-1"/>
          <w:sz w:val="24"/>
        </w:rPr>
        <w:t> </w:t>
      </w:r>
      <w:r>
        <w:rPr>
          <w:sz w:val="24"/>
        </w:rPr>
        <w:t>per</w:t>
      </w:r>
      <w:r>
        <w:rPr>
          <w:spacing w:val="-1"/>
          <w:sz w:val="24"/>
        </w:rPr>
        <w:t> </w:t>
      </w:r>
      <w:r>
        <w:rPr>
          <w:sz w:val="24"/>
        </w:rPr>
        <w:t>the</w:t>
      </w:r>
      <w:r>
        <w:rPr>
          <w:spacing w:val="-1"/>
          <w:sz w:val="24"/>
        </w:rPr>
        <w:t> </w:t>
      </w:r>
      <w:r>
        <w:rPr>
          <w:sz w:val="24"/>
        </w:rPr>
        <w:t>requirement</w:t>
      </w:r>
      <w:r>
        <w:rPr>
          <w:spacing w:val="-1"/>
          <w:sz w:val="24"/>
        </w:rPr>
        <w:t> </w:t>
      </w:r>
      <w:r>
        <w:rPr>
          <w:sz w:val="24"/>
        </w:rPr>
        <w:t>of</w:t>
      </w:r>
      <w:r>
        <w:rPr>
          <w:spacing w:val="-1"/>
          <w:sz w:val="24"/>
        </w:rPr>
        <w:t> </w:t>
      </w:r>
      <w:r>
        <w:rPr>
          <w:sz w:val="24"/>
        </w:rPr>
        <w:t>Electric Supply Company subject to NOC from CFO.</w:t>
      </w:r>
    </w:p>
    <w:p>
      <w:pPr>
        <w:pStyle w:val="ListParagraph"/>
        <w:spacing w:after="0" w:line="240" w:lineRule="auto"/>
        <w:jc w:val="both"/>
        <w:rPr>
          <w:sz w:val="24"/>
        </w:rPr>
        <w:sectPr>
          <w:headerReference w:type="default" r:id="rId76"/>
          <w:footerReference w:type="default" r:id="rId77"/>
          <w:pgSz w:w="11910" w:h="16840"/>
          <w:pgMar w:header="1058" w:footer="1196" w:top="1500" w:bottom="1380" w:left="360" w:right="360"/>
        </w:sectPr>
      </w:pPr>
    </w:p>
    <w:p>
      <w:pPr>
        <w:pStyle w:val="Heading3"/>
        <w:numPr>
          <w:ilvl w:val="0"/>
          <w:numId w:val="263"/>
        </w:numPr>
        <w:tabs>
          <w:tab w:pos="1493" w:val="left" w:leader="none"/>
        </w:tabs>
        <w:spacing w:line="240" w:lineRule="auto" w:before="251" w:after="0"/>
        <w:ind w:left="1493" w:right="0" w:hanging="721"/>
        <w:jc w:val="left"/>
        <w:rPr>
          <w:i w:val="0"/>
        </w:rPr>
      </w:pPr>
      <w:r>
        <w:rPr/>
        <w:t>Rain</w:t>
      </w:r>
      <w:r>
        <w:rPr>
          <w:spacing w:val="-5"/>
        </w:rPr>
        <w:t> </w:t>
      </w:r>
      <w:r>
        <w:rPr/>
        <w:t>Water</w:t>
      </w:r>
      <w:r>
        <w:rPr>
          <w:spacing w:val="-5"/>
        </w:rPr>
        <w:t> </w:t>
      </w:r>
      <w:r>
        <w:rPr>
          <w:spacing w:val="-2"/>
        </w:rPr>
        <w:t>Harvesting(RWH)</w:t>
      </w:r>
    </w:p>
    <w:p>
      <w:pPr>
        <w:pStyle w:val="BodyText"/>
        <w:spacing w:line="242" w:lineRule="auto" w:before="241"/>
        <w:ind w:left="1493" w:right="770" w:firstLine="60"/>
      </w:pPr>
      <w:r>
        <w:rPr>
          <w:b/>
          <w:i/>
        </w:rPr>
        <w:t>General:</w:t>
      </w:r>
      <w:r>
        <w:rPr/>
        <w:t>The Rain Water Harvesting (RWH) arrangement shall be provided in case ofDevelopment/Redevelopment of plots having area of500sq. m and more.It shall have one or more RWH structures having a minimum total capacity as detailed in schedule below;</w:t>
      </w:r>
    </w:p>
    <w:p>
      <w:pPr>
        <w:pStyle w:val="BodyText"/>
        <w:spacing w:line="281" w:lineRule="exact" w:before="233"/>
        <w:ind w:left="1493"/>
      </w:pPr>
      <w:r>
        <w:rPr/>
        <w:t>Provided</w:t>
      </w:r>
      <w:r>
        <w:rPr>
          <w:spacing w:val="32"/>
        </w:rPr>
        <w:t> </w:t>
      </w:r>
      <w:r>
        <w:rPr/>
        <w:t>that</w:t>
      </w:r>
      <w:r>
        <w:rPr>
          <w:spacing w:val="33"/>
        </w:rPr>
        <w:t> </w:t>
      </w:r>
      <w:r>
        <w:rPr/>
        <w:t>the</w:t>
      </w:r>
      <w:r>
        <w:rPr>
          <w:spacing w:val="35"/>
        </w:rPr>
        <w:t> </w:t>
      </w:r>
      <w:r>
        <w:rPr/>
        <w:t>professional</w:t>
      </w:r>
      <w:r>
        <w:rPr>
          <w:spacing w:val="33"/>
        </w:rPr>
        <w:t> </w:t>
      </w:r>
      <w:r>
        <w:rPr/>
        <w:t>on</w:t>
      </w:r>
      <w:r>
        <w:rPr>
          <w:spacing w:val="33"/>
        </w:rPr>
        <w:t> </w:t>
      </w:r>
      <w:r>
        <w:rPr/>
        <w:t>record</w:t>
      </w:r>
      <w:r>
        <w:rPr>
          <w:spacing w:val="31"/>
        </w:rPr>
        <w:t> </w:t>
      </w:r>
      <w:r>
        <w:rPr/>
        <w:t>shall</w:t>
      </w:r>
      <w:r>
        <w:rPr>
          <w:spacing w:val="33"/>
        </w:rPr>
        <w:t> </w:t>
      </w:r>
      <w:r>
        <w:rPr/>
        <w:t>certifythat</w:t>
      </w:r>
      <w:r>
        <w:rPr>
          <w:spacing w:val="34"/>
        </w:rPr>
        <w:t> </w:t>
      </w:r>
      <w:r>
        <w:rPr/>
        <w:t>the</w:t>
      </w:r>
      <w:r>
        <w:rPr>
          <w:spacing w:val="33"/>
        </w:rPr>
        <w:t> </w:t>
      </w:r>
      <w:r>
        <w:rPr>
          <w:spacing w:val="-2"/>
        </w:rPr>
        <w:t>RWHSystem</w:t>
      </w:r>
    </w:p>
    <w:p>
      <w:pPr>
        <w:pStyle w:val="BodyText"/>
        <w:ind w:left="1493" w:right="768"/>
      </w:pPr>
      <w:r>
        <w:rPr/>
        <w:t>/Structures have been constructed as per the specification or of specifications different from those in Schedule, subject to the minimum capacity of RWHSystem being ensured in each case.</w:t>
      </w:r>
    </w:p>
    <w:p>
      <w:pPr>
        <w:pStyle w:val="BodyText"/>
        <w:spacing w:before="241"/>
        <w:ind w:left="1493" w:right="770"/>
      </w:pPr>
      <w:r>
        <w:rPr/>
        <w:t>The owner/society of every building shall ensure that the RWH structure/system is maintained in good condition for storage of water for non-potable purposes or recharge of ground water at all times.</w:t>
      </w:r>
    </w:p>
    <w:p>
      <w:pPr>
        <w:pStyle w:val="BodyText"/>
        <w:spacing w:before="241"/>
        <w:ind w:left="1493" w:right="769"/>
      </w:pPr>
      <w:r>
        <w:rPr/>
        <w:t>The Authority may impose a levy of not exceeding Rs.1000/- per annum for every</w:t>
      </w:r>
      <w:r>
        <w:rPr>
          <w:spacing w:val="-3"/>
        </w:rPr>
        <w:t> </w:t>
      </w:r>
      <w:r>
        <w:rPr/>
        <w:t>100</w:t>
      </w:r>
      <w:r>
        <w:rPr>
          <w:spacing w:val="-3"/>
        </w:rPr>
        <w:t> </w:t>
      </w:r>
      <w:r>
        <w:rPr/>
        <w:t>Sq.Mt.</w:t>
      </w:r>
      <w:r>
        <w:rPr>
          <w:spacing w:val="-3"/>
        </w:rPr>
        <w:t> </w:t>
      </w:r>
      <w:r>
        <w:rPr/>
        <w:t>of</w:t>
      </w:r>
      <w:r>
        <w:rPr>
          <w:spacing w:val="-1"/>
        </w:rPr>
        <w:t> </w:t>
      </w:r>
      <w:r>
        <w:rPr/>
        <w:t>built-up</w:t>
      </w:r>
      <w:r>
        <w:rPr>
          <w:spacing w:val="-3"/>
        </w:rPr>
        <w:t> </w:t>
      </w:r>
      <w:r>
        <w:rPr/>
        <w:t>area</w:t>
      </w:r>
      <w:r>
        <w:rPr>
          <w:spacing w:val="-3"/>
        </w:rPr>
        <w:t> </w:t>
      </w:r>
      <w:r>
        <w:rPr/>
        <w:t>for</w:t>
      </w:r>
      <w:r>
        <w:rPr>
          <w:spacing w:val="-3"/>
        </w:rPr>
        <w:t> </w:t>
      </w:r>
      <w:r>
        <w:rPr/>
        <w:t>the</w:t>
      </w:r>
      <w:r>
        <w:rPr>
          <w:spacing w:val="-1"/>
        </w:rPr>
        <w:t> </w:t>
      </w:r>
      <w:r>
        <w:rPr/>
        <w:t>failure</w:t>
      </w:r>
      <w:r>
        <w:rPr>
          <w:spacing w:val="-3"/>
        </w:rPr>
        <w:t> </w:t>
      </w:r>
      <w:r>
        <w:rPr/>
        <w:t>of</w:t>
      </w:r>
      <w:r>
        <w:rPr>
          <w:spacing w:val="-3"/>
        </w:rPr>
        <w:t> </w:t>
      </w:r>
      <w:r>
        <w:rPr/>
        <w:t>the</w:t>
      </w:r>
      <w:r>
        <w:rPr>
          <w:spacing w:val="-3"/>
        </w:rPr>
        <w:t> </w:t>
      </w:r>
      <w:r>
        <w:rPr/>
        <w:t>owner</w:t>
      </w:r>
      <w:r>
        <w:rPr>
          <w:spacing w:val="-1"/>
        </w:rPr>
        <w:t> </w:t>
      </w:r>
      <w:r>
        <w:rPr/>
        <w:t>of</w:t>
      </w:r>
      <w:r>
        <w:rPr>
          <w:spacing w:val="-3"/>
        </w:rPr>
        <w:t> </w:t>
      </w:r>
      <w:r>
        <w:rPr/>
        <w:t>any</w:t>
      </w:r>
      <w:r>
        <w:rPr>
          <w:spacing w:val="-3"/>
        </w:rPr>
        <w:t> </w:t>
      </w:r>
      <w:r>
        <w:rPr/>
        <w:t>building mentioned</w:t>
      </w:r>
      <w:r>
        <w:rPr>
          <w:spacing w:val="80"/>
          <w:w w:val="150"/>
        </w:rPr>
        <w:t> </w:t>
      </w:r>
      <w:r>
        <w:rPr/>
        <w:t>above to provide or to maintain Rain Water Harvesting structures as required under these byelaws.</w:t>
      </w:r>
    </w:p>
    <w:p>
      <w:pPr>
        <w:spacing w:before="238"/>
        <w:ind w:left="0" w:right="0" w:firstLine="0"/>
        <w:jc w:val="center"/>
        <w:rPr>
          <w:b/>
          <w:sz w:val="24"/>
        </w:rPr>
      </w:pPr>
      <w:r>
        <w:rPr>
          <w:b/>
          <w:spacing w:val="-2"/>
          <w:sz w:val="24"/>
          <w:u w:val="single"/>
        </w:rPr>
        <w:t>SCHEDULE</w:t>
      </w:r>
    </w:p>
    <w:p>
      <w:pPr>
        <w:pStyle w:val="BodyText"/>
        <w:spacing w:before="242"/>
        <w:ind w:left="1493" w:right="774"/>
      </w:pPr>
      <w:r>
        <w:rPr/>
        <w:t>RWH in a building site includes storage or recharging into ground of rain water falling on the terrace or on any paved or unpaved surface within the building site.</w:t>
      </w:r>
    </w:p>
    <w:p>
      <w:pPr>
        <w:pStyle w:val="ListParagraph"/>
        <w:numPr>
          <w:ilvl w:val="0"/>
          <w:numId w:val="329"/>
        </w:numPr>
        <w:tabs>
          <w:tab w:pos="1853" w:val="left" w:leader="none"/>
        </w:tabs>
        <w:spacing w:line="240" w:lineRule="auto" w:before="120" w:after="0"/>
        <w:ind w:left="1853" w:right="771" w:hanging="360"/>
        <w:jc w:val="both"/>
        <w:rPr>
          <w:sz w:val="24"/>
        </w:rPr>
      </w:pPr>
      <w:r>
        <w:rPr>
          <w:sz w:val="24"/>
        </w:rPr>
        <w:t>The</w:t>
      </w:r>
      <w:r>
        <w:rPr>
          <w:spacing w:val="-20"/>
          <w:sz w:val="24"/>
        </w:rPr>
        <w:t> </w:t>
      </w:r>
      <w:r>
        <w:rPr>
          <w:sz w:val="24"/>
        </w:rPr>
        <w:t>following</w:t>
      </w:r>
      <w:r>
        <w:rPr>
          <w:spacing w:val="-19"/>
          <w:sz w:val="24"/>
        </w:rPr>
        <w:t> </w:t>
      </w:r>
      <w:r>
        <w:rPr>
          <w:sz w:val="24"/>
        </w:rPr>
        <w:t>systems</w:t>
      </w:r>
      <w:r>
        <w:rPr>
          <w:spacing w:val="-19"/>
          <w:sz w:val="24"/>
        </w:rPr>
        <w:t> </w:t>
      </w:r>
      <w:r>
        <w:rPr>
          <w:sz w:val="24"/>
        </w:rPr>
        <w:t>may</w:t>
      </w:r>
      <w:r>
        <w:rPr>
          <w:spacing w:val="-19"/>
          <w:sz w:val="24"/>
        </w:rPr>
        <w:t> </w:t>
      </w:r>
      <w:r>
        <w:rPr>
          <w:sz w:val="24"/>
        </w:rPr>
        <w:t>be</w:t>
      </w:r>
      <w:r>
        <w:rPr>
          <w:spacing w:val="-19"/>
          <w:sz w:val="24"/>
        </w:rPr>
        <w:t> </w:t>
      </w:r>
      <w:r>
        <w:rPr>
          <w:sz w:val="24"/>
        </w:rPr>
        <w:t>adopted</w:t>
      </w:r>
      <w:r>
        <w:rPr>
          <w:spacing w:val="-20"/>
          <w:sz w:val="24"/>
        </w:rPr>
        <w:t> </w:t>
      </w:r>
      <w:r>
        <w:rPr>
          <w:sz w:val="24"/>
        </w:rPr>
        <w:t>for</w:t>
      </w:r>
      <w:r>
        <w:rPr>
          <w:spacing w:val="-19"/>
          <w:sz w:val="24"/>
        </w:rPr>
        <w:t> </w:t>
      </w:r>
      <w:r>
        <w:rPr>
          <w:sz w:val="24"/>
        </w:rPr>
        <w:t>harvesting</w:t>
      </w:r>
      <w:r>
        <w:rPr>
          <w:spacing w:val="-19"/>
          <w:sz w:val="24"/>
        </w:rPr>
        <w:t> </w:t>
      </w:r>
      <w:r>
        <w:rPr>
          <w:sz w:val="24"/>
        </w:rPr>
        <w:t>the</w:t>
      </w:r>
      <w:r>
        <w:rPr>
          <w:spacing w:val="-19"/>
          <w:sz w:val="24"/>
        </w:rPr>
        <w:t> </w:t>
      </w:r>
      <w:r>
        <w:rPr>
          <w:sz w:val="24"/>
        </w:rPr>
        <w:t>rain</w:t>
      </w:r>
      <w:r>
        <w:rPr>
          <w:spacing w:val="-19"/>
          <w:sz w:val="24"/>
        </w:rPr>
        <w:t> </w:t>
      </w:r>
      <w:r>
        <w:rPr>
          <w:sz w:val="24"/>
        </w:rPr>
        <w:t>water</w:t>
      </w:r>
      <w:r>
        <w:rPr>
          <w:spacing w:val="-20"/>
          <w:sz w:val="24"/>
        </w:rPr>
        <w:t> </w:t>
      </w:r>
      <w:r>
        <w:rPr>
          <w:sz w:val="24"/>
        </w:rPr>
        <w:t>drawn from terrace and the paved surface.</w:t>
      </w:r>
    </w:p>
    <w:p>
      <w:pPr>
        <w:pStyle w:val="ListParagraph"/>
        <w:numPr>
          <w:ilvl w:val="1"/>
          <w:numId w:val="329"/>
        </w:numPr>
        <w:tabs>
          <w:tab w:pos="1853" w:val="left" w:leader="none"/>
        </w:tabs>
        <w:spacing w:line="240" w:lineRule="auto" w:before="118" w:after="0"/>
        <w:ind w:left="1853" w:right="770" w:hanging="396"/>
        <w:jc w:val="both"/>
        <w:rPr>
          <w:sz w:val="24"/>
        </w:rPr>
      </w:pPr>
      <w:r>
        <w:rPr>
          <w:sz w:val="24"/>
        </w:rPr>
        <w:t>Open well of a minimum diameter of 1m and minimum depth of 6m OR open</w:t>
      </w:r>
      <w:r>
        <w:rPr>
          <w:spacing w:val="-5"/>
          <w:sz w:val="24"/>
        </w:rPr>
        <w:t> </w:t>
      </w:r>
      <w:r>
        <w:rPr>
          <w:sz w:val="24"/>
        </w:rPr>
        <w:t>well</w:t>
      </w:r>
      <w:r>
        <w:rPr>
          <w:spacing w:val="-5"/>
          <w:sz w:val="24"/>
        </w:rPr>
        <w:t> </w:t>
      </w:r>
      <w:r>
        <w:rPr>
          <w:sz w:val="24"/>
        </w:rPr>
        <w:t>of</w:t>
      </w:r>
      <w:r>
        <w:rPr>
          <w:spacing w:val="-5"/>
          <w:sz w:val="24"/>
        </w:rPr>
        <w:t> </w:t>
      </w:r>
      <w:r>
        <w:rPr>
          <w:sz w:val="24"/>
        </w:rPr>
        <w:t>a</w:t>
      </w:r>
      <w:r>
        <w:rPr>
          <w:spacing w:val="-5"/>
          <w:sz w:val="24"/>
        </w:rPr>
        <w:t> </w:t>
      </w:r>
      <w:r>
        <w:rPr>
          <w:sz w:val="24"/>
        </w:rPr>
        <w:t>minimum</w:t>
      </w:r>
      <w:r>
        <w:rPr>
          <w:spacing w:val="-5"/>
          <w:sz w:val="24"/>
        </w:rPr>
        <w:t> </w:t>
      </w:r>
      <w:r>
        <w:rPr>
          <w:sz w:val="24"/>
        </w:rPr>
        <w:t>diameter</w:t>
      </w:r>
      <w:r>
        <w:rPr>
          <w:spacing w:val="-5"/>
          <w:sz w:val="24"/>
        </w:rPr>
        <w:t> </w:t>
      </w:r>
      <w:r>
        <w:rPr>
          <w:sz w:val="24"/>
        </w:rPr>
        <w:t>of</w:t>
      </w:r>
      <w:r>
        <w:rPr>
          <w:spacing w:val="-5"/>
          <w:sz w:val="24"/>
        </w:rPr>
        <w:t> </w:t>
      </w:r>
      <w:r>
        <w:rPr>
          <w:sz w:val="24"/>
        </w:rPr>
        <w:t>0.3</w:t>
      </w:r>
      <w:r>
        <w:rPr>
          <w:spacing w:val="-2"/>
          <w:sz w:val="24"/>
        </w:rPr>
        <w:t> </w:t>
      </w:r>
      <w:r>
        <w:rPr>
          <w:sz w:val="24"/>
        </w:rPr>
        <w:t>m</w:t>
      </w:r>
      <w:r>
        <w:rPr>
          <w:spacing w:val="-5"/>
          <w:sz w:val="24"/>
        </w:rPr>
        <w:t> </w:t>
      </w:r>
      <w:r>
        <w:rPr>
          <w:sz w:val="24"/>
        </w:rPr>
        <w:t>and</w:t>
      </w:r>
      <w:r>
        <w:rPr>
          <w:spacing w:val="-5"/>
          <w:sz w:val="24"/>
        </w:rPr>
        <w:t> </w:t>
      </w:r>
      <w:r>
        <w:rPr>
          <w:sz w:val="24"/>
        </w:rPr>
        <w:t>minimum</w:t>
      </w:r>
      <w:r>
        <w:rPr>
          <w:spacing w:val="-5"/>
          <w:sz w:val="24"/>
        </w:rPr>
        <w:t> </w:t>
      </w:r>
      <w:r>
        <w:rPr>
          <w:sz w:val="24"/>
        </w:rPr>
        <w:t>depth</w:t>
      </w:r>
      <w:r>
        <w:rPr>
          <w:spacing w:val="-5"/>
          <w:sz w:val="24"/>
        </w:rPr>
        <w:t> </w:t>
      </w:r>
      <w:r>
        <w:rPr>
          <w:sz w:val="24"/>
        </w:rPr>
        <w:t>of</w:t>
      </w:r>
      <w:r>
        <w:rPr>
          <w:spacing w:val="-5"/>
          <w:sz w:val="24"/>
        </w:rPr>
        <w:t> </w:t>
      </w:r>
      <w:r>
        <w:rPr>
          <w:sz w:val="24"/>
        </w:rPr>
        <w:t>2</w:t>
      </w:r>
      <w:r>
        <w:rPr>
          <w:spacing w:val="-5"/>
          <w:sz w:val="24"/>
        </w:rPr>
        <w:t> </w:t>
      </w:r>
      <w:r>
        <w:rPr>
          <w:sz w:val="24"/>
        </w:rPr>
        <w:t>m</w:t>
      </w:r>
      <w:r>
        <w:rPr>
          <w:spacing w:val="-4"/>
          <w:sz w:val="24"/>
        </w:rPr>
        <w:t> </w:t>
      </w:r>
      <w:r>
        <w:rPr>
          <w:sz w:val="24"/>
        </w:rPr>
        <w:t>at every 6 m in the Storm Water Drain, into which rain water may be channeled,</w:t>
      </w:r>
      <w:r>
        <w:rPr>
          <w:spacing w:val="-15"/>
          <w:sz w:val="24"/>
        </w:rPr>
        <w:t> </w:t>
      </w:r>
      <w:r>
        <w:rPr>
          <w:sz w:val="24"/>
        </w:rPr>
        <w:t>after</w:t>
      </w:r>
      <w:r>
        <w:rPr>
          <w:spacing w:val="-15"/>
          <w:sz w:val="24"/>
        </w:rPr>
        <w:t> </w:t>
      </w:r>
      <w:r>
        <w:rPr>
          <w:sz w:val="24"/>
        </w:rPr>
        <w:t>filtration</w:t>
      </w:r>
      <w:r>
        <w:rPr>
          <w:spacing w:val="-15"/>
          <w:sz w:val="24"/>
        </w:rPr>
        <w:t> </w:t>
      </w:r>
      <w:r>
        <w:rPr>
          <w:sz w:val="24"/>
        </w:rPr>
        <w:t>for</w:t>
      </w:r>
      <w:r>
        <w:rPr>
          <w:spacing w:val="-15"/>
          <w:sz w:val="24"/>
        </w:rPr>
        <w:t> </w:t>
      </w:r>
      <w:r>
        <w:rPr>
          <w:sz w:val="24"/>
        </w:rPr>
        <w:t>removing</w:t>
      </w:r>
      <w:r>
        <w:rPr>
          <w:spacing w:val="-15"/>
          <w:sz w:val="24"/>
        </w:rPr>
        <w:t> </w:t>
      </w:r>
      <w:r>
        <w:rPr>
          <w:sz w:val="24"/>
        </w:rPr>
        <w:t>silt</w:t>
      </w:r>
      <w:r>
        <w:rPr>
          <w:spacing w:val="-15"/>
          <w:sz w:val="24"/>
        </w:rPr>
        <w:t> </w:t>
      </w:r>
      <w:r>
        <w:rPr>
          <w:sz w:val="24"/>
        </w:rPr>
        <w:t>and</w:t>
      </w:r>
      <w:r>
        <w:rPr>
          <w:spacing w:val="-15"/>
          <w:sz w:val="24"/>
        </w:rPr>
        <w:t> </w:t>
      </w:r>
      <w:r>
        <w:rPr>
          <w:sz w:val="24"/>
        </w:rPr>
        <w:t>floating</w:t>
      </w:r>
      <w:r>
        <w:rPr>
          <w:spacing w:val="-15"/>
          <w:sz w:val="24"/>
        </w:rPr>
        <w:t> </w:t>
      </w:r>
      <w:r>
        <w:rPr>
          <w:sz w:val="24"/>
        </w:rPr>
        <w:t>material.</w:t>
      </w:r>
      <w:r>
        <w:rPr>
          <w:spacing w:val="40"/>
          <w:sz w:val="24"/>
        </w:rPr>
        <w:t> </w:t>
      </w:r>
      <w:r>
        <w:rPr>
          <w:sz w:val="24"/>
        </w:rPr>
        <w:t>The</w:t>
      </w:r>
      <w:r>
        <w:rPr>
          <w:spacing w:val="-15"/>
          <w:sz w:val="24"/>
        </w:rPr>
        <w:t> </w:t>
      </w:r>
      <w:r>
        <w:rPr>
          <w:sz w:val="24"/>
        </w:rPr>
        <w:t>well shall be provided with ventilating covers.</w:t>
      </w:r>
      <w:r>
        <w:rPr>
          <w:spacing w:val="40"/>
          <w:sz w:val="24"/>
        </w:rPr>
        <w:t> </w:t>
      </w:r>
      <w:r>
        <w:rPr>
          <w:sz w:val="24"/>
        </w:rPr>
        <w:t>The water from the open well may be used for non-potable domestic purposes such as washing, flushing and for watering the garden.</w:t>
      </w:r>
    </w:p>
    <w:p>
      <w:pPr>
        <w:pStyle w:val="ListParagraph"/>
        <w:numPr>
          <w:ilvl w:val="1"/>
          <w:numId w:val="329"/>
        </w:numPr>
        <w:tabs>
          <w:tab w:pos="1853" w:val="left" w:leader="none"/>
        </w:tabs>
        <w:spacing w:line="240" w:lineRule="auto" w:before="121" w:after="0"/>
        <w:ind w:left="1853" w:right="769" w:hanging="468"/>
        <w:jc w:val="both"/>
        <w:rPr>
          <w:sz w:val="24"/>
        </w:rPr>
      </w:pPr>
      <w:r>
        <w:rPr>
          <w:sz w:val="24"/>
        </w:rPr>
        <w:t>RWH for recharge of ground water may be done through a bore well around which a pit of one meter width may be excavated upto a depth of at least 3 m and refilled with stone aggregate and sand. The filtered rain water may be channeled to the refilled pit for recharging the borewell.</w:t>
      </w:r>
    </w:p>
    <w:p>
      <w:pPr>
        <w:pStyle w:val="ListParagraph"/>
        <w:numPr>
          <w:ilvl w:val="1"/>
          <w:numId w:val="329"/>
        </w:numPr>
        <w:tabs>
          <w:tab w:pos="1853" w:val="left" w:leader="none"/>
        </w:tabs>
        <w:spacing w:line="240" w:lineRule="auto" w:before="121" w:after="0"/>
        <w:ind w:left="1853" w:right="768" w:hanging="540"/>
        <w:jc w:val="both"/>
        <w:rPr>
          <w:sz w:val="24"/>
        </w:rPr>
      </w:pPr>
      <w:r>
        <w:rPr>
          <w:sz w:val="24"/>
        </w:rPr>
        <w:t>An impervious surface/underground storage tank of required capacity may be constructed in the open space and the rain water may be channeled</w:t>
      </w:r>
      <w:r>
        <w:rPr>
          <w:spacing w:val="-11"/>
          <w:sz w:val="24"/>
        </w:rPr>
        <w:t> </w:t>
      </w:r>
      <w:r>
        <w:rPr>
          <w:sz w:val="24"/>
        </w:rPr>
        <w:t>to</w:t>
      </w:r>
      <w:r>
        <w:rPr>
          <w:spacing w:val="-11"/>
          <w:sz w:val="24"/>
        </w:rPr>
        <w:t> </w:t>
      </w:r>
      <w:r>
        <w:rPr>
          <w:sz w:val="24"/>
        </w:rPr>
        <w:t>the</w:t>
      </w:r>
      <w:r>
        <w:rPr>
          <w:spacing w:val="-11"/>
          <w:sz w:val="24"/>
        </w:rPr>
        <w:t> </w:t>
      </w:r>
      <w:r>
        <w:rPr>
          <w:sz w:val="24"/>
        </w:rPr>
        <w:t>storage</w:t>
      </w:r>
      <w:r>
        <w:rPr>
          <w:spacing w:val="-11"/>
          <w:sz w:val="24"/>
        </w:rPr>
        <w:t> </w:t>
      </w:r>
      <w:r>
        <w:rPr>
          <w:sz w:val="24"/>
        </w:rPr>
        <w:t>tank.</w:t>
      </w:r>
      <w:r>
        <w:rPr>
          <w:spacing w:val="40"/>
          <w:sz w:val="24"/>
        </w:rPr>
        <w:t> </w:t>
      </w:r>
      <w:r>
        <w:rPr>
          <w:sz w:val="24"/>
        </w:rPr>
        <w:t>The</w:t>
      </w:r>
      <w:r>
        <w:rPr>
          <w:spacing w:val="-11"/>
          <w:sz w:val="24"/>
        </w:rPr>
        <w:t> </w:t>
      </w:r>
      <w:r>
        <w:rPr>
          <w:sz w:val="24"/>
        </w:rPr>
        <w:t>storage</w:t>
      </w:r>
      <w:r>
        <w:rPr>
          <w:spacing w:val="-11"/>
          <w:sz w:val="24"/>
        </w:rPr>
        <w:t> </w:t>
      </w:r>
      <w:r>
        <w:rPr>
          <w:sz w:val="24"/>
        </w:rPr>
        <w:t>tank</w:t>
      </w:r>
      <w:r>
        <w:rPr>
          <w:spacing w:val="-11"/>
          <w:sz w:val="24"/>
        </w:rPr>
        <w:t> </w:t>
      </w:r>
      <w:r>
        <w:rPr>
          <w:sz w:val="24"/>
        </w:rPr>
        <w:t>shall</w:t>
      </w:r>
      <w:r>
        <w:rPr>
          <w:spacing w:val="-11"/>
          <w:sz w:val="24"/>
        </w:rPr>
        <w:t> </w:t>
      </w:r>
      <w:r>
        <w:rPr>
          <w:sz w:val="24"/>
        </w:rPr>
        <w:t>always</w:t>
      </w:r>
      <w:r>
        <w:rPr>
          <w:spacing w:val="-13"/>
          <w:sz w:val="24"/>
        </w:rPr>
        <w:t> </w:t>
      </w:r>
      <w:r>
        <w:rPr>
          <w:sz w:val="24"/>
        </w:rPr>
        <w:t>be</w:t>
      </w:r>
      <w:r>
        <w:rPr>
          <w:spacing w:val="-11"/>
          <w:sz w:val="24"/>
        </w:rPr>
        <w:t> </w:t>
      </w:r>
      <w:r>
        <w:rPr>
          <w:sz w:val="24"/>
        </w:rPr>
        <w:t>provided with ventilating covers and shall have drawn-off taps suitably placed so that</w:t>
      </w:r>
      <w:r>
        <w:rPr>
          <w:spacing w:val="-16"/>
          <w:sz w:val="24"/>
        </w:rPr>
        <w:t> </w:t>
      </w:r>
      <w:r>
        <w:rPr>
          <w:sz w:val="24"/>
        </w:rPr>
        <w:t>the</w:t>
      </w:r>
      <w:r>
        <w:rPr>
          <w:spacing w:val="-15"/>
          <w:sz w:val="24"/>
        </w:rPr>
        <w:t> </w:t>
      </w:r>
      <w:r>
        <w:rPr>
          <w:sz w:val="24"/>
        </w:rPr>
        <w:t>rain</w:t>
      </w:r>
      <w:r>
        <w:rPr>
          <w:spacing w:val="-15"/>
          <w:sz w:val="24"/>
        </w:rPr>
        <w:t> </w:t>
      </w:r>
      <w:r>
        <w:rPr>
          <w:sz w:val="24"/>
        </w:rPr>
        <w:t>water</w:t>
      </w:r>
      <w:r>
        <w:rPr>
          <w:spacing w:val="-20"/>
          <w:sz w:val="24"/>
        </w:rPr>
        <w:t> </w:t>
      </w:r>
      <w:r>
        <w:rPr>
          <w:sz w:val="24"/>
        </w:rPr>
        <w:t>may</w:t>
      </w:r>
      <w:r>
        <w:rPr>
          <w:spacing w:val="-14"/>
          <w:sz w:val="24"/>
        </w:rPr>
        <w:t> </w:t>
      </w:r>
      <w:r>
        <w:rPr>
          <w:sz w:val="24"/>
        </w:rPr>
        <w:t>be</w:t>
      </w:r>
      <w:r>
        <w:rPr>
          <w:spacing w:val="-15"/>
          <w:sz w:val="24"/>
        </w:rPr>
        <w:t> </w:t>
      </w:r>
      <w:r>
        <w:rPr>
          <w:sz w:val="24"/>
        </w:rPr>
        <w:t>drawn</w:t>
      </w:r>
      <w:r>
        <w:rPr>
          <w:spacing w:val="-15"/>
          <w:sz w:val="24"/>
        </w:rPr>
        <w:t> </w:t>
      </w:r>
      <w:r>
        <w:rPr>
          <w:sz w:val="24"/>
        </w:rPr>
        <w:t>off</w:t>
      </w:r>
      <w:r>
        <w:rPr>
          <w:spacing w:val="-18"/>
          <w:sz w:val="24"/>
        </w:rPr>
        <w:t> </w:t>
      </w:r>
      <w:r>
        <w:rPr>
          <w:sz w:val="24"/>
        </w:rPr>
        <w:t>for</w:t>
      </w:r>
      <w:r>
        <w:rPr>
          <w:spacing w:val="-18"/>
          <w:sz w:val="24"/>
        </w:rPr>
        <w:t> </w:t>
      </w:r>
      <w:r>
        <w:rPr>
          <w:sz w:val="24"/>
        </w:rPr>
        <w:t>domestic</w:t>
      </w:r>
      <w:r>
        <w:rPr>
          <w:spacing w:val="-15"/>
          <w:sz w:val="24"/>
        </w:rPr>
        <w:t> </w:t>
      </w:r>
      <w:r>
        <w:rPr>
          <w:sz w:val="24"/>
        </w:rPr>
        <w:t>washing,</w:t>
      </w:r>
      <w:r>
        <w:rPr>
          <w:spacing w:val="-15"/>
          <w:sz w:val="24"/>
        </w:rPr>
        <w:t> </w:t>
      </w:r>
      <w:r>
        <w:rPr>
          <w:sz w:val="24"/>
        </w:rPr>
        <w:t>gardening</w:t>
      </w:r>
      <w:r>
        <w:rPr>
          <w:spacing w:val="-15"/>
          <w:sz w:val="24"/>
        </w:rPr>
        <w:t> </w:t>
      </w:r>
      <w:r>
        <w:rPr>
          <w:sz w:val="24"/>
        </w:rPr>
        <w:t>and such other purposes. The storage tanks shall be provided with an </w:t>
      </w:r>
      <w:r>
        <w:rPr>
          <w:spacing w:val="-2"/>
          <w:sz w:val="24"/>
        </w:rPr>
        <w:t>overflow.</w:t>
      </w:r>
    </w:p>
    <w:p>
      <w:pPr>
        <w:pStyle w:val="BodyText"/>
        <w:jc w:val="left"/>
        <w:rPr>
          <w:sz w:val="14"/>
        </w:rPr>
      </w:pPr>
    </w:p>
    <w:p>
      <w:pPr>
        <w:pStyle w:val="BodyText"/>
        <w:spacing w:before="7"/>
        <w:jc w:val="left"/>
        <w:rPr>
          <w:sz w:val="14"/>
        </w:rPr>
      </w:pPr>
    </w:p>
    <w:p>
      <w:pPr>
        <w:spacing w:before="0"/>
        <w:ind w:left="0" w:right="1052" w:firstLine="0"/>
        <w:jc w:val="right"/>
        <w:rPr>
          <w:rFonts w:ascii="Arial"/>
          <w:b/>
          <w:i/>
          <w:sz w:val="14"/>
        </w:rPr>
      </w:pPr>
      <w:r>
        <w:rPr>
          <w:rFonts w:ascii="Arial"/>
          <w:b/>
          <w:i/>
          <w:sz w:val="14"/>
        </w:rPr>
        <mc:AlternateContent>
          <mc:Choice Requires="wps">
            <w:drawing>
              <wp:anchor distT="0" distB="0" distL="0" distR="0" allowOverlap="1" layoutInCell="1" locked="0" behindDoc="1" simplePos="0" relativeHeight="471361024">
                <wp:simplePos x="0" y="0"/>
                <wp:positionH relativeFrom="page">
                  <wp:posOffset>719327</wp:posOffset>
                </wp:positionH>
                <wp:positionV relativeFrom="paragraph">
                  <wp:posOffset>26235</wp:posOffset>
                </wp:positionV>
                <wp:extent cx="2514600" cy="197485"/>
                <wp:effectExtent l="0" t="0" r="0" b="0"/>
                <wp:wrapNone/>
                <wp:docPr id="577" name="Graphic 577"/>
                <wp:cNvGraphicFramePr>
                  <a:graphicFrameLocks/>
                </wp:cNvGraphicFramePr>
                <a:graphic>
                  <a:graphicData uri="http://schemas.microsoft.com/office/word/2010/wordprocessingShape">
                    <wps:wsp>
                      <wps:cNvPr id="577" name="Graphic 577"/>
                      <wps:cNvSpPr/>
                      <wps:spPr>
                        <a:xfrm>
                          <a:off x="0" y="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rect style="position:absolute;margin-left:56.639999pt;margin-top:2.065792pt;width:198pt;height:15.55pt;mso-position-horizontal-relative:page;mso-position-vertical-relative:paragraph;z-index:-31955456" id="docshape497" filled="false" stroked="true" strokeweight="1pt" strokecolor="#666666">
                <v:stroke dashstyle="solid"/>
                <w10:wrap type="none"/>
              </v:rect>
            </w:pict>
          </mc:Fallback>
        </mc:AlternateContent>
      </w:r>
      <w:r>
        <w:rPr>
          <w:rFonts w:ascii="Arial"/>
          <w:b/>
          <w:i/>
          <w:sz w:val="14"/>
        </w:rPr>
        <w:t>Development</w:t>
      </w:r>
      <w:r>
        <w:rPr>
          <w:rFonts w:ascii="Arial"/>
          <w:b/>
          <w:i/>
          <w:spacing w:val="-8"/>
          <w:sz w:val="14"/>
        </w:rPr>
        <w:t> </w:t>
      </w:r>
      <w:r>
        <w:rPr>
          <w:rFonts w:ascii="Arial"/>
          <w:b/>
          <w:i/>
          <w:sz w:val="14"/>
        </w:rPr>
        <w:t>Plan</w:t>
      </w:r>
      <w:r>
        <w:rPr>
          <w:rFonts w:ascii="Arial"/>
          <w:b/>
          <w:i/>
          <w:spacing w:val="-9"/>
          <w:sz w:val="14"/>
        </w:rPr>
        <w:t> </w:t>
      </w:r>
      <w:r>
        <w:rPr>
          <w:rFonts w:ascii="Arial"/>
          <w:b/>
          <w:i/>
          <w:spacing w:val="-4"/>
          <w:sz w:val="14"/>
        </w:rPr>
        <w:t>2034</w:t>
      </w:r>
    </w:p>
    <w:p>
      <w:pPr>
        <w:spacing w:after="0"/>
        <w:jc w:val="right"/>
        <w:rPr>
          <w:rFonts w:ascii="Arial"/>
          <w:b/>
          <w:i/>
          <w:sz w:val="14"/>
        </w:rPr>
        <w:sectPr>
          <w:headerReference w:type="default" r:id="rId78"/>
          <w:footerReference w:type="default" r:id="rId79"/>
          <w:pgSz w:w="11910" w:h="16840"/>
          <w:pgMar w:header="1058" w:footer="1066" w:top="1500" w:bottom="1260" w:left="360" w:right="360"/>
        </w:sectPr>
      </w:pPr>
    </w:p>
    <w:p>
      <w:pPr>
        <w:pStyle w:val="ListParagraph"/>
        <w:numPr>
          <w:ilvl w:val="1"/>
          <w:numId w:val="329"/>
        </w:numPr>
        <w:tabs>
          <w:tab w:pos="1853" w:val="left" w:leader="none"/>
        </w:tabs>
        <w:spacing w:line="240" w:lineRule="auto" w:before="255" w:after="0"/>
        <w:ind w:left="1853" w:right="768" w:hanging="521"/>
        <w:jc w:val="both"/>
        <w:rPr>
          <w:sz w:val="24"/>
        </w:rPr>
      </w:pPr>
      <w:r>
        <w:rPr>
          <w:sz w:val="24"/>
        </w:rPr>
        <w:t>The surplus rain water after storage may be recharged into ground through</w:t>
      </w:r>
      <w:r>
        <w:rPr>
          <w:spacing w:val="-6"/>
          <w:sz w:val="24"/>
        </w:rPr>
        <w:t> </w:t>
      </w:r>
      <w:r>
        <w:rPr>
          <w:sz w:val="24"/>
        </w:rPr>
        <w:t>percolation</w:t>
      </w:r>
      <w:r>
        <w:rPr>
          <w:spacing w:val="-6"/>
          <w:sz w:val="24"/>
        </w:rPr>
        <w:t> </w:t>
      </w:r>
      <w:r>
        <w:rPr>
          <w:sz w:val="24"/>
        </w:rPr>
        <w:t>pits</w:t>
      </w:r>
      <w:r>
        <w:rPr>
          <w:spacing w:val="-6"/>
          <w:sz w:val="24"/>
        </w:rPr>
        <w:t> </w:t>
      </w:r>
      <w:r>
        <w:rPr>
          <w:sz w:val="24"/>
        </w:rPr>
        <w:t>or</w:t>
      </w:r>
      <w:r>
        <w:rPr>
          <w:spacing w:val="-6"/>
          <w:sz w:val="24"/>
        </w:rPr>
        <w:t> </w:t>
      </w:r>
      <w:r>
        <w:rPr>
          <w:sz w:val="24"/>
        </w:rPr>
        <w:t>trenches</w:t>
      </w:r>
      <w:r>
        <w:rPr>
          <w:spacing w:val="-6"/>
          <w:sz w:val="24"/>
        </w:rPr>
        <w:t> </w:t>
      </w:r>
      <w:r>
        <w:rPr>
          <w:sz w:val="24"/>
        </w:rPr>
        <w:t>or</w:t>
      </w:r>
      <w:r>
        <w:rPr>
          <w:spacing w:val="-6"/>
          <w:sz w:val="24"/>
        </w:rPr>
        <w:t> </w:t>
      </w:r>
      <w:r>
        <w:rPr>
          <w:sz w:val="24"/>
        </w:rPr>
        <w:t>combination</w:t>
      </w:r>
      <w:r>
        <w:rPr>
          <w:spacing w:val="-6"/>
          <w:sz w:val="24"/>
        </w:rPr>
        <w:t> </w:t>
      </w:r>
      <w:r>
        <w:rPr>
          <w:sz w:val="24"/>
        </w:rPr>
        <w:t>of</w:t>
      </w:r>
      <w:r>
        <w:rPr>
          <w:spacing w:val="-6"/>
          <w:sz w:val="24"/>
        </w:rPr>
        <w:t> </w:t>
      </w:r>
      <w:r>
        <w:rPr>
          <w:sz w:val="24"/>
        </w:rPr>
        <w:t>pits</w:t>
      </w:r>
      <w:r>
        <w:rPr>
          <w:spacing w:val="-6"/>
          <w:sz w:val="24"/>
        </w:rPr>
        <w:t> </w:t>
      </w:r>
      <w:r>
        <w:rPr>
          <w:sz w:val="24"/>
        </w:rPr>
        <w:t>and</w:t>
      </w:r>
      <w:r>
        <w:rPr>
          <w:spacing w:val="-6"/>
          <w:sz w:val="24"/>
        </w:rPr>
        <w:t> </w:t>
      </w:r>
      <w:r>
        <w:rPr>
          <w:sz w:val="24"/>
        </w:rPr>
        <w:t>trenches. Depending</w:t>
      </w:r>
      <w:r>
        <w:rPr>
          <w:spacing w:val="-10"/>
          <w:sz w:val="24"/>
        </w:rPr>
        <w:t> </w:t>
      </w:r>
      <w:r>
        <w:rPr>
          <w:sz w:val="24"/>
        </w:rPr>
        <w:t>on</w:t>
      </w:r>
      <w:r>
        <w:rPr>
          <w:spacing w:val="-10"/>
          <w:sz w:val="24"/>
        </w:rPr>
        <w:t> </w:t>
      </w:r>
      <w:r>
        <w:rPr>
          <w:sz w:val="24"/>
        </w:rPr>
        <w:t>the</w:t>
      </w:r>
      <w:r>
        <w:rPr>
          <w:spacing w:val="-10"/>
          <w:sz w:val="24"/>
        </w:rPr>
        <w:t> </w:t>
      </w:r>
      <w:r>
        <w:rPr>
          <w:sz w:val="24"/>
        </w:rPr>
        <w:t>geomorphological</w:t>
      </w:r>
      <w:r>
        <w:rPr>
          <w:spacing w:val="-10"/>
          <w:sz w:val="24"/>
        </w:rPr>
        <w:t> </w:t>
      </w:r>
      <w:r>
        <w:rPr>
          <w:sz w:val="24"/>
        </w:rPr>
        <w:t>and</w:t>
      </w:r>
      <w:r>
        <w:rPr>
          <w:spacing w:val="-13"/>
          <w:sz w:val="24"/>
        </w:rPr>
        <w:t> </w:t>
      </w:r>
      <w:r>
        <w:rPr>
          <w:sz w:val="24"/>
        </w:rPr>
        <w:t>topographical</w:t>
      </w:r>
      <w:r>
        <w:rPr>
          <w:spacing w:val="-10"/>
          <w:sz w:val="24"/>
        </w:rPr>
        <w:t> </w:t>
      </w:r>
      <w:r>
        <w:rPr>
          <w:sz w:val="24"/>
        </w:rPr>
        <w:t>condition,</w:t>
      </w:r>
      <w:r>
        <w:rPr>
          <w:spacing w:val="-10"/>
          <w:sz w:val="24"/>
        </w:rPr>
        <w:t> </w:t>
      </w:r>
      <w:r>
        <w:rPr>
          <w:sz w:val="24"/>
        </w:rPr>
        <w:t>the</w:t>
      </w:r>
      <w:r>
        <w:rPr>
          <w:spacing w:val="-10"/>
          <w:sz w:val="24"/>
        </w:rPr>
        <w:t> </w:t>
      </w:r>
      <w:r>
        <w:rPr>
          <w:sz w:val="24"/>
        </w:rPr>
        <w:t>pits may be of the size of 1.20 m width x 1.20 m length x 2.00 m to 2.50 m depth.</w:t>
      </w:r>
      <w:r>
        <w:rPr>
          <w:spacing w:val="74"/>
          <w:w w:val="150"/>
          <w:sz w:val="24"/>
        </w:rPr>
        <w:t> </w:t>
      </w:r>
      <w:r>
        <w:rPr>
          <w:sz w:val="24"/>
        </w:rPr>
        <w:t>The</w:t>
      </w:r>
      <w:r>
        <w:rPr>
          <w:spacing w:val="17"/>
          <w:sz w:val="24"/>
        </w:rPr>
        <w:t> </w:t>
      </w:r>
      <w:r>
        <w:rPr>
          <w:sz w:val="24"/>
        </w:rPr>
        <w:t>trenches</w:t>
      </w:r>
      <w:r>
        <w:rPr>
          <w:spacing w:val="17"/>
          <w:sz w:val="24"/>
        </w:rPr>
        <w:t> </w:t>
      </w:r>
      <w:r>
        <w:rPr>
          <w:sz w:val="24"/>
        </w:rPr>
        <w:t>can</w:t>
      </w:r>
      <w:r>
        <w:rPr>
          <w:spacing w:val="16"/>
          <w:sz w:val="24"/>
        </w:rPr>
        <w:t> </w:t>
      </w:r>
      <w:r>
        <w:rPr>
          <w:sz w:val="24"/>
        </w:rPr>
        <w:t>be</w:t>
      </w:r>
      <w:r>
        <w:rPr>
          <w:spacing w:val="18"/>
          <w:sz w:val="24"/>
        </w:rPr>
        <w:t> </w:t>
      </w:r>
      <w:r>
        <w:rPr>
          <w:sz w:val="24"/>
        </w:rPr>
        <w:t>of</w:t>
      </w:r>
      <w:r>
        <w:rPr>
          <w:spacing w:val="19"/>
          <w:sz w:val="24"/>
        </w:rPr>
        <w:t> </w:t>
      </w:r>
      <w:r>
        <w:rPr>
          <w:sz w:val="24"/>
        </w:rPr>
        <w:t>0.60</w:t>
      </w:r>
      <w:r>
        <w:rPr>
          <w:spacing w:val="16"/>
          <w:sz w:val="24"/>
        </w:rPr>
        <w:t> </w:t>
      </w:r>
      <w:r>
        <w:rPr>
          <w:sz w:val="24"/>
        </w:rPr>
        <w:t>m</w:t>
      </w:r>
      <w:r>
        <w:rPr>
          <w:spacing w:val="19"/>
          <w:sz w:val="24"/>
        </w:rPr>
        <w:t> </w:t>
      </w:r>
      <w:r>
        <w:rPr>
          <w:sz w:val="24"/>
        </w:rPr>
        <w:t>width</w:t>
      </w:r>
      <w:r>
        <w:rPr>
          <w:spacing w:val="18"/>
          <w:sz w:val="24"/>
        </w:rPr>
        <w:t> </w:t>
      </w:r>
      <w:r>
        <w:rPr>
          <w:sz w:val="24"/>
        </w:rPr>
        <w:t>x</w:t>
      </w:r>
      <w:r>
        <w:rPr>
          <w:spacing w:val="17"/>
          <w:sz w:val="24"/>
        </w:rPr>
        <w:t> </w:t>
      </w:r>
      <w:r>
        <w:rPr>
          <w:sz w:val="24"/>
        </w:rPr>
        <w:t>2.00</w:t>
      </w:r>
      <w:r>
        <w:rPr>
          <w:spacing w:val="16"/>
          <w:sz w:val="24"/>
        </w:rPr>
        <w:t> </w:t>
      </w:r>
      <w:r>
        <w:rPr>
          <w:sz w:val="24"/>
        </w:rPr>
        <w:t>to</w:t>
      </w:r>
      <w:r>
        <w:rPr>
          <w:spacing w:val="19"/>
          <w:sz w:val="24"/>
        </w:rPr>
        <w:t> </w:t>
      </w:r>
      <w:r>
        <w:rPr>
          <w:sz w:val="24"/>
        </w:rPr>
        <w:t>6.00</w:t>
      </w:r>
      <w:r>
        <w:rPr>
          <w:spacing w:val="19"/>
          <w:sz w:val="24"/>
        </w:rPr>
        <w:t> </w:t>
      </w:r>
      <w:r>
        <w:rPr>
          <w:sz w:val="24"/>
        </w:rPr>
        <w:t>m</w:t>
      </w:r>
      <w:r>
        <w:rPr>
          <w:spacing w:val="17"/>
          <w:sz w:val="24"/>
        </w:rPr>
        <w:t> </w:t>
      </w:r>
      <w:r>
        <w:rPr>
          <w:sz w:val="24"/>
        </w:rPr>
        <w:t>length</w:t>
      </w:r>
      <w:r>
        <w:rPr>
          <w:spacing w:val="19"/>
          <w:sz w:val="24"/>
        </w:rPr>
        <w:t> </w:t>
      </w:r>
      <w:r>
        <w:rPr>
          <w:sz w:val="24"/>
        </w:rPr>
        <w:t>x</w:t>
      </w:r>
    </w:p>
    <w:p>
      <w:pPr>
        <w:pStyle w:val="BodyText"/>
        <w:ind w:left="1853" w:right="773"/>
      </w:pPr>
      <w:r>
        <w:rPr/>
        <w:t>1.50 to 2.00 m depth.</w:t>
      </w:r>
      <w:r>
        <w:rPr>
          <w:spacing w:val="40"/>
        </w:rPr>
        <w:t> </w:t>
      </w:r>
      <w:r>
        <w:rPr/>
        <w:t>Terrace water shall be channeled to pits or trenches. Such pits or trenches shall be back filled with filter media comprising the following materials.</w:t>
      </w:r>
    </w:p>
    <w:p>
      <w:pPr>
        <w:pStyle w:val="ListParagraph"/>
        <w:numPr>
          <w:ilvl w:val="2"/>
          <w:numId w:val="329"/>
        </w:numPr>
        <w:tabs>
          <w:tab w:pos="1851" w:val="left" w:leader="none"/>
        </w:tabs>
        <w:spacing w:line="240" w:lineRule="auto" w:before="122" w:after="0"/>
        <w:ind w:left="1851" w:right="0" w:hanging="267"/>
        <w:jc w:val="both"/>
        <w:rPr>
          <w:sz w:val="24"/>
        </w:rPr>
      </w:pPr>
      <w:r>
        <w:rPr>
          <w:sz w:val="24"/>
        </w:rPr>
        <w:t>40</w:t>
      </w:r>
      <w:r>
        <w:rPr>
          <w:spacing w:val="-1"/>
          <w:sz w:val="24"/>
        </w:rPr>
        <w:t> </w:t>
      </w:r>
      <w:r>
        <w:rPr>
          <w:sz w:val="24"/>
        </w:rPr>
        <w:t>mm stone aggregate as</w:t>
      </w:r>
      <w:r>
        <w:rPr>
          <w:spacing w:val="-1"/>
          <w:sz w:val="24"/>
        </w:rPr>
        <w:t> </w:t>
      </w:r>
      <w:r>
        <w:rPr>
          <w:sz w:val="24"/>
        </w:rPr>
        <w:t>bottom layer up to</w:t>
      </w:r>
      <w:r>
        <w:rPr>
          <w:spacing w:val="-1"/>
          <w:sz w:val="24"/>
        </w:rPr>
        <w:t> </w:t>
      </w:r>
      <w:r>
        <w:rPr>
          <w:sz w:val="24"/>
        </w:rPr>
        <w:t>50% of the </w:t>
      </w:r>
      <w:r>
        <w:rPr>
          <w:spacing w:val="-2"/>
          <w:sz w:val="24"/>
        </w:rPr>
        <w:t>depth;</w:t>
      </w:r>
    </w:p>
    <w:p>
      <w:pPr>
        <w:pStyle w:val="BodyText"/>
        <w:spacing w:before="77"/>
        <w:jc w:val="left"/>
      </w:pPr>
    </w:p>
    <w:p>
      <w:pPr>
        <w:pStyle w:val="ListParagraph"/>
        <w:numPr>
          <w:ilvl w:val="2"/>
          <w:numId w:val="329"/>
        </w:numPr>
        <w:tabs>
          <w:tab w:pos="1852" w:val="left" w:leader="none"/>
        </w:tabs>
        <w:spacing w:line="240" w:lineRule="auto" w:before="0" w:after="0"/>
        <w:ind w:left="1852" w:right="0" w:hanging="268"/>
        <w:jc w:val="both"/>
        <w:rPr>
          <w:sz w:val="24"/>
        </w:rPr>
      </w:pPr>
      <w:r>
        <w:rPr>
          <w:sz w:val="24"/>
        </w:rPr>
        <w:t>20</w:t>
      </w:r>
      <w:r>
        <w:rPr>
          <w:spacing w:val="-1"/>
          <w:sz w:val="24"/>
        </w:rPr>
        <w:t> </w:t>
      </w:r>
      <w:r>
        <w:rPr>
          <w:sz w:val="24"/>
        </w:rPr>
        <w:t>mm stone aggregate as</w:t>
      </w:r>
      <w:r>
        <w:rPr>
          <w:spacing w:val="-1"/>
          <w:sz w:val="24"/>
        </w:rPr>
        <w:t> </w:t>
      </w:r>
      <w:r>
        <w:rPr>
          <w:sz w:val="24"/>
        </w:rPr>
        <w:t>lower middle layer</w:t>
      </w:r>
      <w:r>
        <w:rPr>
          <w:spacing w:val="1"/>
          <w:sz w:val="24"/>
        </w:rPr>
        <w:t> </w:t>
      </w:r>
      <w:r>
        <w:rPr>
          <w:sz w:val="24"/>
        </w:rPr>
        <w:t>up</w:t>
      </w:r>
      <w:r>
        <w:rPr>
          <w:spacing w:val="-1"/>
          <w:sz w:val="24"/>
        </w:rPr>
        <w:t> </w:t>
      </w:r>
      <w:r>
        <w:rPr>
          <w:sz w:val="24"/>
        </w:rPr>
        <w:t>to 20% of the </w:t>
      </w:r>
      <w:r>
        <w:rPr>
          <w:spacing w:val="-2"/>
          <w:sz w:val="24"/>
        </w:rPr>
        <w:t>depth;</w:t>
      </w:r>
    </w:p>
    <w:p>
      <w:pPr>
        <w:pStyle w:val="BodyText"/>
        <w:spacing w:before="78"/>
        <w:jc w:val="left"/>
      </w:pPr>
    </w:p>
    <w:p>
      <w:pPr>
        <w:pStyle w:val="ListParagraph"/>
        <w:numPr>
          <w:ilvl w:val="2"/>
          <w:numId w:val="329"/>
        </w:numPr>
        <w:tabs>
          <w:tab w:pos="1852" w:val="left" w:leader="none"/>
        </w:tabs>
        <w:spacing w:line="240" w:lineRule="auto" w:before="0" w:after="0"/>
        <w:ind w:left="1852" w:right="0" w:hanging="268"/>
        <w:jc w:val="both"/>
        <w:rPr>
          <w:sz w:val="24"/>
        </w:rPr>
      </w:pPr>
      <w:r>
        <w:rPr>
          <w:sz w:val="24"/>
        </w:rPr>
        <w:t>Coarse</w:t>
      </w:r>
      <w:r>
        <w:rPr>
          <w:spacing w:val="-3"/>
          <w:sz w:val="24"/>
        </w:rPr>
        <w:t> </w:t>
      </w:r>
      <w:r>
        <w:rPr>
          <w:sz w:val="24"/>
        </w:rPr>
        <w:t>sand as</w:t>
      </w:r>
      <w:r>
        <w:rPr>
          <w:spacing w:val="-1"/>
          <w:sz w:val="24"/>
        </w:rPr>
        <w:t> </w:t>
      </w:r>
      <w:r>
        <w:rPr>
          <w:sz w:val="24"/>
        </w:rPr>
        <w:t>upper middle</w:t>
      </w:r>
      <w:r>
        <w:rPr>
          <w:spacing w:val="-1"/>
          <w:sz w:val="24"/>
        </w:rPr>
        <w:t> </w:t>
      </w:r>
      <w:r>
        <w:rPr>
          <w:sz w:val="24"/>
        </w:rPr>
        <w:t>layer</w:t>
      </w:r>
      <w:r>
        <w:rPr>
          <w:spacing w:val="1"/>
          <w:sz w:val="24"/>
        </w:rPr>
        <w:t> </w:t>
      </w:r>
      <w:r>
        <w:rPr>
          <w:sz w:val="24"/>
        </w:rPr>
        <w:t>up</w:t>
      </w:r>
      <w:r>
        <w:rPr>
          <w:spacing w:val="-1"/>
          <w:sz w:val="24"/>
        </w:rPr>
        <w:t> </w:t>
      </w:r>
      <w:r>
        <w:rPr>
          <w:sz w:val="24"/>
        </w:rPr>
        <w:t>to 20%</w:t>
      </w:r>
      <w:r>
        <w:rPr>
          <w:spacing w:val="-1"/>
          <w:sz w:val="24"/>
        </w:rPr>
        <w:t> </w:t>
      </w:r>
      <w:r>
        <w:rPr>
          <w:sz w:val="24"/>
        </w:rPr>
        <w:t>of the </w:t>
      </w:r>
      <w:r>
        <w:rPr>
          <w:spacing w:val="-2"/>
          <w:sz w:val="24"/>
        </w:rPr>
        <w:t>depth;</w:t>
      </w:r>
    </w:p>
    <w:p>
      <w:pPr>
        <w:pStyle w:val="BodyText"/>
        <w:spacing w:before="80"/>
        <w:jc w:val="left"/>
      </w:pPr>
    </w:p>
    <w:p>
      <w:pPr>
        <w:pStyle w:val="ListParagraph"/>
        <w:numPr>
          <w:ilvl w:val="2"/>
          <w:numId w:val="329"/>
        </w:numPr>
        <w:tabs>
          <w:tab w:pos="1852" w:val="left" w:leader="none"/>
        </w:tabs>
        <w:spacing w:line="240" w:lineRule="auto" w:before="0" w:after="0"/>
        <w:ind w:left="1852" w:right="0" w:hanging="268"/>
        <w:jc w:val="both"/>
        <w:rPr>
          <w:sz w:val="24"/>
        </w:rPr>
      </w:pPr>
      <w:r>
        <w:rPr>
          <w:sz w:val="24"/>
        </w:rPr>
        <w:t>A</w:t>
      </w:r>
      <w:r>
        <w:rPr>
          <w:spacing w:val="-1"/>
          <w:sz w:val="24"/>
        </w:rPr>
        <w:t> </w:t>
      </w:r>
      <w:r>
        <w:rPr>
          <w:sz w:val="24"/>
        </w:rPr>
        <w:t>thin</w:t>
      </w:r>
      <w:r>
        <w:rPr>
          <w:spacing w:val="-1"/>
          <w:sz w:val="24"/>
        </w:rPr>
        <w:t> </w:t>
      </w:r>
      <w:r>
        <w:rPr>
          <w:sz w:val="24"/>
        </w:rPr>
        <w:t>layer</w:t>
      </w:r>
      <w:r>
        <w:rPr>
          <w:spacing w:val="-1"/>
          <w:sz w:val="24"/>
        </w:rPr>
        <w:t> </w:t>
      </w:r>
      <w:r>
        <w:rPr>
          <w:sz w:val="24"/>
        </w:rPr>
        <w:t>of</w:t>
      </w:r>
      <w:r>
        <w:rPr>
          <w:spacing w:val="-1"/>
          <w:sz w:val="24"/>
        </w:rPr>
        <w:t> </w:t>
      </w:r>
      <w:r>
        <w:rPr>
          <w:sz w:val="24"/>
        </w:rPr>
        <w:t>fine</w:t>
      </w:r>
      <w:r>
        <w:rPr>
          <w:spacing w:val="-1"/>
          <w:sz w:val="24"/>
        </w:rPr>
        <w:t> </w:t>
      </w:r>
      <w:r>
        <w:rPr>
          <w:sz w:val="24"/>
        </w:rPr>
        <w:t>sand</w:t>
      </w:r>
      <w:r>
        <w:rPr>
          <w:spacing w:val="-1"/>
          <w:sz w:val="24"/>
        </w:rPr>
        <w:t> </w:t>
      </w:r>
      <w:r>
        <w:rPr>
          <w:sz w:val="24"/>
        </w:rPr>
        <w:t>as</w:t>
      </w:r>
      <w:r>
        <w:rPr>
          <w:spacing w:val="-1"/>
          <w:sz w:val="24"/>
        </w:rPr>
        <w:t> </w:t>
      </w:r>
      <w:r>
        <w:rPr>
          <w:sz w:val="24"/>
        </w:rPr>
        <w:t>top</w:t>
      </w:r>
      <w:r>
        <w:rPr>
          <w:spacing w:val="-1"/>
          <w:sz w:val="24"/>
        </w:rPr>
        <w:t> </w:t>
      </w:r>
      <w:r>
        <w:rPr>
          <w:spacing w:val="-2"/>
          <w:sz w:val="24"/>
        </w:rPr>
        <w:t>layer;</w:t>
      </w:r>
    </w:p>
    <w:p>
      <w:pPr>
        <w:pStyle w:val="BodyText"/>
        <w:spacing w:before="77"/>
        <w:jc w:val="left"/>
      </w:pPr>
    </w:p>
    <w:p>
      <w:pPr>
        <w:pStyle w:val="ListParagraph"/>
        <w:numPr>
          <w:ilvl w:val="2"/>
          <w:numId w:val="329"/>
        </w:numPr>
        <w:tabs>
          <w:tab w:pos="1853" w:val="left" w:leader="none"/>
        </w:tabs>
        <w:spacing w:line="240" w:lineRule="auto" w:before="0" w:after="0"/>
        <w:ind w:left="1853" w:right="773" w:hanging="269"/>
        <w:jc w:val="both"/>
        <w:rPr>
          <w:sz w:val="24"/>
        </w:rPr>
      </w:pPr>
      <w:r>
        <w:rPr>
          <w:sz w:val="24"/>
        </w:rPr>
        <w:t>Top</w:t>
      </w:r>
      <w:r>
        <w:rPr>
          <w:spacing w:val="-15"/>
          <w:sz w:val="24"/>
        </w:rPr>
        <w:t> </w:t>
      </w:r>
      <w:r>
        <w:rPr>
          <w:sz w:val="24"/>
        </w:rPr>
        <w:t>10%</w:t>
      </w:r>
      <w:r>
        <w:rPr>
          <w:spacing w:val="-13"/>
          <w:sz w:val="24"/>
        </w:rPr>
        <w:t> </w:t>
      </w:r>
      <w:r>
        <w:rPr>
          <w:sz w:val="24"/>
        </w:rPr>
        <w:t>of</w:t>
      </w:r>
      <w:r>
        <w:rPr>
          <w:spacing w:val="-15"/>
          <w:sz w:val="24"/>
        </w:rPr>
        <w:t> </w:t>
      </w:r>
      <w:r>
        <w:rPr>
          <w:sz w:val="24"/>
        </w:rPr>
        <w:t>the</w:t>
      </w:r>
      <w:r>
        <w:rPr>
          <w:spacing w:val="-15"/>
          <w:sz w:val="24"/>
        </w:rPr>
        <w:t> </w:t>
      </w:r>
      <w:r>
        <w:rPr>
          <w:sz w:val="24"/>
        </w:rPr>
        <w:t>pits/</w:t>
      </w:r>
      <w:r>
        <w:rPr>
          <w:spacing w:val="-13"/>
          <w:sz w:val="24"/>
        </w:rPr>
        <w:t> </w:t>
      </w:r>
      <w:r>
        <w:rPr>
          <w:sz w:val="24"/>
        </w:rPr>
        <w:t>trenches</w:t>
      </w:r>
      <w:r>
        <w:rPr>
          <w:spacing w:val="-15"/>
          <w:sz w:val="24"/>
        </w:rPr>
        <w:t> </w:t>
      </w:r>
      <w:r>
        <w:rPr>
          <w:sz w:val="24"/>
        </w:rPr>
        <w:t>will</w:t>
      </w:r>
      <w:r>
        <w:rPr>
          <w:spacing w:val="-15"/>
          <w:sz w:val="24"/>
        </w:rPr>
        <w:t> </w:t>
      </w:r>
      <w:r>
        <w:rPr>
          <w:sz w:val="24"/>
        </w:rPr>
        <w:t>be</w:t>
      </w:r>
      <w:r>
        <w:rPr>
          <w:spacing w:val="-15"/>
          <w:sz w:val="24"/>
        </w:rPr>
        <w:t> </w:t>
      </w:r>
      <w:r>
        <w:rPr>
          <w:sz w:val="24"/>
        </w:rPr>
        <w:t>empty</w:t>
      </w:r>
      <w:r>
        <w:rPr>
          <w:spacing w:val="-15"/>
          <w:sz w:val="24"/>
        </w:rPr>
        <w:t> </w:t>
      </w:r>
      <w:r>
        <w:rPr>
          <w:sz w:val="24"/>
        </w:rPr>
        <w:t>and</w:t>
      </w:r>
      <w:r>
        <w:rPr>
          <w:spacing w:val="-15"/>
          <w:sz w:val="24"/>
        </w:rPr>
        <w:t> </w:t>
      </w:r>
      <w:r>
        <w:rPr>
          <w:sz w:val="24"/>
        </w:rPr>
        <w:t>a</w:t>
      </w:r>
      <w:r>
        <w:rPr>
          <w:spacing w:val="-15"/>
          <w:sz w:val="24"/>
        </w:rPr>
        <w:t> </w:t>
      </w:r>
      <w:r>
        <w:rPr>
          <w:sz w:val="24"/>
        </w:rPr>
        <w:t>splash</w:t>
      </w:r>
      <w:r>
        <w:rPr>
          <w:spacing w:val="-15"/>
          <w:sz w:val="24"/>
        </w:rPr>
        <w:t> </w:t>
      </w:r>
      <w:r>
        <w:rPr>
          <w:sz w:val="24"/>
        </w:rPr>
        <w:t>is</w:t>
      </w:r>
      <w:r>
        <w:rPr>
          <w:spacing w:val="-15"/>
          <w:sz w:val="24"/>
        </w:rPr>
        <w:t> </w:t>
      </w:r>
      <w:r>
        <w:rPr>
          <w:sz w:val="24"/>
        </w:rPr>
        <w:t>to</w:t>
      </w:r>
      <w:r>
        <w:rPr>
          <w:spacing w:val="-13"/>
          <w:sz w:val="24"/>
        </w:rPr>
        <w:t> </w:t>
      </w:r>
      <w:r>
        <w:rPr>
          <w:sz w:val="24"/>
        </w:rPr>
        <w:t>be</w:t>
      </w:r>
      <w:r>
        <w:rPr>
          <w:spacing w:val="-15"/>
          <w:sz w:val="24"/>
        </w:rPr>
        <w:t> </w:t>
      </w:r>
      <w:r>
        <w:rPr>
          <w:sz w:val="24"/>
        </w:rPr>
        <w:t>provided in this portion in such a way that roof top water falls on the splash pad.</w:t>
      </w:r>
    </w:p>
    <w:p>
      <w:pPr>
        <w:pStyle w:val="BodyText"/>
        <w:spacing w:before="79"/>
        <w:jc w:val="left"/>
      </w:pPr>
    </w:p>
    <w:p>
      <w:pPr>
        <w:pStyle w:val="ListParagraph"/>
        <w:numPr>
          <w:ilvl w:val="2"/>
          <w:numId w:val="329"/>
        </w:numPr>
        <w:tabs>
          <w:tab w:pos="1853" w:val="left" w:leader="none"/>
        </w:tabs>
        <w:spacing w:line="240" w:lineRule="auto" w:before="0" w:after="0"/>
        <w:ind w:left="1853" w:right="776" w:hanging="269"/>
        <w:jc w:val="both"/>
        <w:rPr>
          <w:sz w:val="24"/>
        </w:rPr>
      </w:pPr>
      <w:r>
        <w:rPr>
          <w:sz w:val="24"/>
        </w:rPr>
        <w:t>Brick masonry wall is to be constructed on the exposed surface of pits/ trenches and the cement mortar plastered.</w:t>
      </w:r>
    </w:p>
    <w:p>
      <w:pPr>
        <w:pStyle w:val="BodyText"/>
        <w:spacing w:before="79"/>
        <w:jc w:val="left"/>
      </w:pPr>
    </w:p>
    <w:p>
      <w:pPr>
        <w:pStyle w:val="BodyText"/>
        <w:ind w:left="1853" w:right="775"/>
      </w:pPr>
      <w:r>
        <w:rPr/>
        <w:t>The depth of wall below ground shall be such that the wall prevents lose soil entering into pits/trenches.</w:t>
      </w:r>
      <w:r>
        <w:rPr>
          <w:spacing w:val="40"/>
        </w:rPr>
        <w:t> </w:t>
      </w:r>
      <w:r>
        <w:rPr/>
        <w:t>The projection of the wall above ground shall be atleast 15 cm.</w:t>
      </w:r>
    </w:p>
    <w:p>
      <w:pPr>
        <w:pStyle w:val="BodyText"/>
        <w:spacing w:before="78"/>
        <w:jc w:val="left"/>
      </w:pPr>
    </w:p>
    <w:p>
      <w:pPr>
        <w:pStyle w:val="ListParagraph"/>
        <w:numPr>
          <w:ilvl w:val="2"/>
          <w:numId w:val="329"/>
        </w:numPr>
        <w:tabs>
          <w:tab w:pos="1852" w:val="left" w:leader="none"/>
        </w:tabs>
        <w:spacing w:line="240" w:lineRule="auto" w:before="0" w:after="0"/>
        <w:ind w:left="1852" w:right="0" w:hanging="268"/>
        <w:jc w:val="both"/>
        <w:rPr>
          <w:sz w:val="24"/>
        </w:rPr>
      </w:pPr>
      <w:r>
        <w:rPr>
          <w:sz w:val="24"/>
        </w:rPr>
        <w:t>Perforated</w:t>
      </w:r>
      <w:r>
        <w:rPr>
          <w:spacing w:val="-3"/>
          <w:sz w:val="24"/>
        </w:rPr>
        <w:t> </w:t>
      </w:r>
      <w:r>
        <w:rPr>
          <w:sz w:val="24"/>
        </w:rPr>
        <w:t>concrete</w:t>
      </w:r>
      <w:r>
        <w:rPr>
          <w:spacing w:val="-2"/>
          <w:sz w:val="24"/>
        </w:rPr>
        <w:t> </w:t>
      </w:r>
      <w:r>
        <w:rPr>
          <w:sz w:val="24"/>
        </w:rPr>
        <w:t>slabs</w:t>
      </w:r>
      <w:r>
        <w:rPr>
          <w:spacing w:val="-2"/>
          <w:sz w:val="24"/>
        </w:rPr>
        <w:t> </w:t>
      </w:r>
      <w:r>
        <w:rPr>
          <w:sz w:val="24"/>
        </w:rPr>
        <w:t>shall</w:t>
      </w:r>
      <w:r>
        <w:rPr>
          <w:spacing w:val="-2"/>
          <w:sz w:val="24"/>
        </w:rPr>
        <w:t> </w:t>
      </w:r>
      <w:r>
        <w:rPr>
          <w:sz w:val="24"/>
        </w:rPr>
        <w:t>be</w:t>
      </w:r>
      <w:r>
        <w:rPr>
          <w:spacing w:val="-2"/>
          <w:sz w:val="24"/>
        </w:rPr>
        <w:t> </w:t>
      </w:r>
      <w:r>
        <w:rPr>
          <w:sz w:val="24"/>
        </w:rPr>
        <w:t>provided</w:t>
      </w:r>
      <w:r>
        <w:rPr>
          <w:spacing w:val="-2"/>
          <w:sz w:val="24"/>
        </w:rPr>
        <w:t> </w:t>
      </w:r>
      <w:r>
        <w:rPr>
          <w:sz w:val="24"/>
        </w:rPr>
        <w:t>on</w:t>
      </w:r>
      <w:r>
        <w:rPr>
          <w:spacing w:val="-2"/>
          <w:sz w:val="24"/>
        </w:rPr>
        <w:t> </w:t>
      </w:r>
      <w:r>
        <w:rPr>
          <w:sz w:val="24"/>
        </w:rPr>
        <w:t>the</w:t>
      </w:r>
      <w:r>
        <w:rPr>
          <w:spacing w:val="-2"/>
          <w:sz w:val="24"/>
        </w:rPr>
        <w:t> pits/trenches.</w:t>
      </w:r>
    </w:p>
    <w:p>
      <w:pPr>
        <w:pStyle w:val="BodyText"/>
        <w:spacing w:before="78"/>
        <w:jc w:val="left"/>
      </w:pPr>
    </w:p>
    <w:p>
      <w:pPr>
        <w:pStyle w:val="ListParagraph"/>
        <w:numPr>
          <w:ilvl w:val="1"/>
          <w:numId w:val="329"/>
        </w:numPr>
        <w:tabs>
          <w:tab w:pos="1853" w:val="left" w:leader="none"/>
        </w:tabs>
        <w:spacing w:line="240" w:lineRule="auto" w:before="0" w:after="0"/>
        <w:ind w:left="1853" w:right="772" w:hanging="449"/>
        <w:jc w:val="both"/>
        <w:rPr>
          <w:sz w:val="24"/>
        </w:rPr>
      </w:pPr>
      <w:r>
        <w:rPr>
          <w:sz w:val="24"/>
        </w:rPr>
        <w:t>If</w:t>
      </w:r>
      <w:r>
        <w:rPr>
          <w:spacing w:val="-19"/>
          <w:sz w:val="24"/>
        </w:rPr>
        <w:t> </w:t>
      </w:r>
      <w:r>
        <w:rPr>
          <w:sz w:val="24"/>
        </w:rPr>
        <w:t>the</w:t>
      </w:r>
      <w:r>
        <w:rPr>
          <w:spacing w:val="-19"/>
          <w:sz w:val="24"/>
        </w:rPr>
        <w:t> </w:t>
      </w:r>
      <w:r>
        <w:rPr>
          <w:sz w:val="24"/>
        </w:rPr>
        <w:t>open</w:t>
      </w:r>
      <w:r>
        <w:rPr>
          <w:spacing w:val="-19"/>
          <w:sz w:val="24"/>
        </w:rPr>
        <w:t> </w:t>
      </w:r>
      <w:r>
        <w:rPr>
          <w:sz w:val="24"/>
        </w:rPr>
        <w:t>space</w:t>
      </w:r>
      <w:r>
        <w:rPr>
          <w:spacing w:val="-19"/>
          <w:sz w:val="24"/>
        </w:rPr>
        <w:t> </w:t>
      </w:r>
      <w:r>
        <w:rPr>
          <w:sz w:val="24"/>
        </w:rPr>
        <w:t>surrounding</w:t>
      </w:r>
      <w:r>
        <w:rPr>
          <w:spacing w:val="-19"/>
          <w:sz w:val="24"/>
        </w:rPr>
        <w:t> </w:t>
      </w:r>
      <w:r>
        <w:rPr>
          <w:sz w:val="24"/>
        </w:rPr>
        <w:t>the</w:t>
      </w:r>
      <w:r>
        <w:rPr>
          <w:spacing w:val="-19"/>
          <w:sz w:val="24"/>
        </w:rPr>
        <w:t> </w:t>
      </w:r>
      <w:r>
        <w:rPr>
          <w:sz w:val="24"/>
        </w:rPr>
        <w:t>building</w:t>
      </w:r>
      <w:r>
        <w:rPr>
          <w:spacing w:val="-19"/>
          <w:sz w:val="24"/>
        </w:rPr>
        <w:t> </w:t>
      </w:r>
      <w:r>
        <w:rPr>
          <w:sz w:val="24"/>
        </w:rPr>
        <w:t>is</w:t>
      </w:r>
      <w:r>
        <w:rPr>
          <w:spacing w:val="-19"/>
          <w:sz w:val="24"/>
        </w:rPr>
        <w:t> </w:t>
      </w:r>
      <w:r>
        <w:rPr>
          <w:sz w:val="24"/>
        </w:rPr>
        <w:t>not</w:t>
      </w:r>
      <w:r>
        <w:rPr>
          <w:spacing w:val="-19"/>
          <w:sz w:val="24"/>
        </w:rPr>
        <w:t> </w:t>
      </w:r>
      <w:r>
        <w:rPr>
          <w:sz w:val="24"/>
        </w:rPr>
        <w:t>paved,</w:t>
      </w:r>
      <w:r>
        <w:rPr>
          <w:spacing w:val="-17"/>
          <w:sz w:val="24"/>
        </w:rPr>
        <w:t> </w:t>
      </w:r>
      <w:r>
        <w:rPr>
          <w:sz w:val="24"/>
        </w:rPr>
        <w:t>the</w:t>
      </w:r>
      <w:r>
        <w:rPr>
          <w:spacing w:val="-19"/>
          <w:sz w:val="24"/>
        </w:rPr>
        <w:t> </w:t>
      </w:r>
      <w:r>
        <w:rPr>
          <w:sz w:val="24"/>
        </w:rPr>
        <w:t>top</w:t>
      </w:r>
      <w:r>
        <w:rPr>
          <w:spacing w:val="-19"/>
          <w:sz w:val="24"/>
        </w:rPr>
        <w:t> </w:t>
      </w:r>
      <w:r>
        <w:rPr>
          <w:sz w:val="24"/>
        </w:rPr>
        <w:t>layer</w:t>
      </w:r>
      <w:r>
        <w:rPr>
          <w:spacing w:val="-19"/>
          <w:sz w:val="24"/>
        </w:rPr>
        <w:t> </w:t>
      </w:r>
      <w:r>
        <w:rPr>
          <w:sz w:val="24"/>
        </w:rPr>
        <w:t>upto a</w:t>
      </w:r>
      <w:r>
        <w:rPr>
          <w:spacing w:val="-5"/>
          <w:sz w:val="24"/>
        </w:rPr>
        <w:t> </w:t>
      </w:r>
      <w:r>
        <w:rPr>
          <w:sz w:val="24"/>
        </w:rPr>
        <w:t>sufficient</w:t>
      </w:r>
      <w:r>
        <w:rPr>
          <w:spacing w:val="-5"/>
          <w:sz w:val="24"/>
        </w:rPr>
        <w:t> </w:t>
      </w:r>
      <w:r>
        <w:rPr>
          <w:sz w:val="24"/>
        </w:rPr>
        <w:t>depth</w:t>
      </w:r>
      <w:r>
        <w:rPr>
          <w:spacing w:val="-5"/>
          <w:sz w:val="24"/>
        </w:rPr>
        <w:t> </w:t>
      </w:r>
      <w:r>
        <w:rPr>
          <w:sz w:val="24"/>
        </w:rPr>
        <w:t>shall</w:t>
      </w:r>
      <w:r>
        <w:rPr>
          <w:spacing w:val="-5"/>
          <w:sz w:val="24"/>
        </w:rPr>
        <w:t> </w:t>
      </w:r>
      <w:r>
        <w:rPr>
          <w:sz w:val="24"/>
        </w:rPr>
        <w:t>be</w:t>
      </w:r>
      <w:r>
        <w:rPr>
          <w:spacing w:val="-5"/>
          <w:sz w:val="24"/>
        </w:rPr>
        <w:t> </w:t>
      </w:r>
      <w:r>
        <w:rPr>
          <w:sz w:val="24"/>
        </w:rPr>
        <w:t>removed</w:t>
      </w:r>
      <w:r>
        <w:rPr>
          <w:spacing w:val="-5"/>
          <w:sz w:val="24"/>
        </w:rPr>
        <w:t> </w:t>
      </w:r>
      <w:r>
        <w:rPr>
          <w:sz w:val="24"/>
        </w:rPr>
        <w:t>and</w:t>
      </w:r>
      <w:r>
        <w:rPr>
          <w:spacing w:val="-3"/>
          <w:sz w:val="24"/>
        </w:rPr>
        <w:t> </w:t>
      </w:r>
      <w:r>
        <w:rPr>
          <w:sz w:val="24"/>
        </w:rPr>
        <w:t>refilled</w:t>
      </w:r>
      <w:r>
        <w:rPr>
          <w:spacing w:val="-5"/>
          <w:sz w:val="24"/>
        </w:rPr>
        <w:t> </w:t>
      </w:r>
      <w:r>
        <w:rPr>
          <w:sz w:val="24"/>
        </w:rPr>
        <w:t>with</w:t>
      </w:r>
      <w:r>
        <w:rPr>
          <w:spacing w:val="-5"/>
          <w:sz w:val="24"/>
        </w:rPr>
        <w:t> </w:t>
      </w:r>
      <w:r>
        <w:rPr>
          <w:sz w:val="24"/>
        </w:rPr>
        <w:t>course</w:t>
      </w:r>
      <w:r>
        <w:rPr>
          <w:spacing w:val="-5"/>
          <w:sz w:val="24"/>
        </w:rPr>
        <w:t> </w:t>
      </w:r>
      <w:r>
        <w:rPr>
          <w:sz w:val="24"/>
        </w:rPr>
        <w:t>sand</w:t>
      </w:r>
      <w:r>
        <w:rPr>
          <w:spacing w:val="-5"/>
          <w:sz w:val="24"/>
        </w:rPr>
        <w:t> </w:t>
      </w:r>
      <w:r>
        <w:rPr>
          <w:sz w:val="24"/>
        </w:rPr>
        <w:t>to</w:t>
      </w:r>
      <w:r>
        <w:rPr>
          <w:spacing w:val="-5"/>
          <w:sz w:val="24"/>
        </w:rPr>
        <w:t> </w:t>
      </w:r>
      <w:r>
        <w:rPr>
          <w:sz w:val="24"/>
        </w:rPr>
        <w:t>allow percolation of rain water into ground.</w:t>
      </w:r>
    </w:p>
    <w:p>
      <w:pPr>
        <w:pStyle w:val="BodyText"/>
        <w:spacing w:before="78"/>
        <w:jc w:val="left"/>
      </w:pPr>
    </w:p>
    <w:p>
      <w:pPr>
        <w:pStyle w:val="ListParagraph"/>
        <w:numPr>
          <w:ilvl w:val="1"/>
          <w:numId w:val="329"/>
        </w:numPr>
        <w:tabs>
          <w:tab w:pos="1853" w:val="left" w:leader="none"/>
        </w:tabs>
        <w:spacing w:line="240" w:lineRule="auto" w:before="0" w:after="0"/>
        <w:ind w:left="1853" w:right="769" w:hanging="521"/>
        <w:jc w:val="both"/>
        <w:rPr>
          <w:sz w:val="24"/>
        </w:rPr>
      </w:pPr>
      <w:r>
        <w:rPr>
          <w:sz w:val="24"/>
        </w:rPr>
        <w:t>For effective drainage of rain water, the roof of building shall be so constructed or framed as to permit effective drainage of the rain water therefrom</w:t>
      </w:r>
      <w:r>
        <w:rPr>
          <w:spacing w:val="-6"/>
          <w:sz w:val="24"/>
        </w:rPr>
        <w:t> </w:t>
      </w:r>
      <w:r>
        <w:rPr>
          <w:sz w:val="24"/>
        </w:rPr>
        <w:t>by</w:t>
      </w:r>
      <w:r>
        <w:rPr>
          <w:spacing w:val="-6"/>
          <w:sz w:val="24"/>
        </w:rPr>
        <w:t> </w:t>
      </w:r>
      <w:r>
        <w:rPr>
          <w:sz w:val="24"/>
        </w:rPr>
        <w:t>means</w:t>
      </w:r>
      <w:r>
        <w:rPr>
          <w:spacing w:val="-8"/>
          <w:sz w:val="24"/>
        </w:rPr>
        <w:t> </w:t>
      </w:r>
      <w:r>
        <w:rPr>
          <w:sz w:val="24"/>
        </w:rPr>
        <w:t>of</w:t>
      </w:r>
      <w:r>
        <w:rPr>
          <w:spacing w:val="-6"/>
          <w:sz w:val="24"/>
        </w:rPr>
        <w:t> </w:t>
      </w:r>
      <w:r>
        <w:rPr>
          <w:sz w:val="24"/>
        </w:rPr>
        <w:t>rain</w:t>
      </w:r>
      <w:r>
        <w:rPr>
          <w:spacing w:val="-6"/>
          <w:sz w:val="24"/>
        </w:rPr>
        <w:t> </w:t>
      </w:r>
      <w:r>
        <w:rPr>
          <w:sz w:val="24"/>
        </w:rPr>
        <w:t>water</w:t>
      </w:r>
      <w:r>
        <w:rPr>
          <w:spacing w:val="-6"/>
          <w:sz w:val="24"/>
        </w:rPr>
        <w:t> </w:t>
      </w:r>
      <w:r>
        <w:rPr>
          <w:sz w:val="24"/>
        </w:rPr>
        <w:t>pipes.</w:t>
      </w:r>
      <w:r>
        <w:rPr>
          <w:spacing w:val="-10"/>
          <w:sz w:val="24"/>
        </w:rPr>
        <w:t> </w:t>
      </w:r>
      <w:r>
        <w:rPr>
          <w:sz w:val="24"/>
        </w:rPr>
        <w:t>Such</w:t>
      </w:r>
      <w:r>
        <w:rPr>
          <w:spacing w:val="-6"/>
          <w:sz w:val="24"/>
        </w:rPr>
        <w:t> </w:t>
      </w:r>
      <w:r>
        <w:rPr>
          <w:sz w:val="24"/>
        </w:rPr>
        <w:t>pipes</w:t>
      </w:r>
      <w:r>
        <w:rPr>
          <w:spacing w:val="-6"/>
          <w:sz w:val="24"/>
        </w:rPr>
        <w:t> </w:t>
      </w:r>
      <w:r>
        <w:rPr>
          <w:sz w:val="24"/>
        </w:rPr>
        <w:t>shall</w:t>
      </w:r>
      <w:r>
        <w:rPr>
          <w:spacing w:val="-6"/>
          <w:sz w:val="24"/>
        </w:rPr>
        <w:t> </w:t>
      </w:r>
      <w:r>
        <w:rPr>
          <w:sz w:val="24"/>
        </w:rPr>
        <w:t>be</w:t>
      </w:r>
      <w:r>
        <w:rPr>
          <w:spacing w:val="-10"/>
          <w:sz w:val="24"/>
        </w:rPr>
        <w:t> </w:t>
      </w:r>
      <w:r>
        <w:rPr>
          <w:sz w:val="24"/>
        </w:rPr>
        <w:t>so</w:t>
      </w:r>
      <w:r>
        <w:rPr>
          <w:spacing w:val="-6"/>
          <w:sz w:val="24"/>
        </w:rPr>
        <w:t> </w:t>
      </w:r>
      <w:r>
        <w:rPr>
          <w:sz w:val="24"/>
        </w:rPr>
        <w:t>arranged, joined and fixed so as to ensure that the rain water is carried away from the building without causing dampness in any part of the walls or foundation of the building or those of adjacent buildings.</w:t>
      </w:r>
    </w:p>
    <w:p>
      <w:pPr>
        <w:pStyle w:val="BodyText"/>
        <w:spacing w:before="80"/>
        <w:jc w:val="left"/>
      </w:pPr>
    </w:p>
    <w:p>
      <w:pPr>
        <w:pStyle w:val="ListParagraph"/>
        <w:numPr>
          <w:ilvl w:val="0"/>
          <w:numId w:val="329"/>
        </w:numPr>
        <w:tabs>
          <w:tab w:pos="1853" w:val="left" w:leader="none"/>
        </w:tabs>
        <w:spacing w:line="240" w:lineRule="auto" w:before="0" w:after="0"/>
        <w:ind w:left="1853" w:right="769" w:hanging="360"/>
        <w:jc w:val="both"/>
        <w:rPr>
          <w:sz w:val="24"/>
        </w:rPr>
      </w:pPr>
      <w:r>
        <w:rPr>
          <w:sz w:val="24"/>
        </w:rPr>
        <w:t>The terrace shall be connected to the open well/borewell/storage tank/recharge pit/ trench by means of HDPE/PVC pipes through filter media.</w:t>
      </w:r>
      <w:r>
        <w:rPr>
          <w:spacing w:val="40"/>
          <w:sz w:val="24"/>
        </w:rPr>
        <w:t> </w:t>
      </w:r>
      <w:r>
        <w:rPr>
          <w:sz w:val="24"/>
        </w:rPr>
        <w:t>A valve system shall be provided to enable drain away the first washings from roof or terrace catchment, as they would contain undesirable dirt.</w:t>
      </w:r>
      <w:r>
        <w:rPr>
          <w:spacing w:val="80"/>
          <w:sz w:val="24"/>
        </w:rPr>
        <w:t> </w:t>
      </w:r>
      <w:r>
        <w:rPr>
          <w:sz w:val="24"/>
        </w:rPr>
        <w:t>The mouths of all pipes and openings shall be covered</w:t>
      </w:r>
    </w:p>
    <w:p>
      <w:pPr>
        <w:pStyle w:val="ListParagraph"/>
        <w:spacing w:after="0" w:line="240" w:lineRule="auto"/>
        <w:jc w:val="both"/>
        <w:rPr>
          <w:sz w:val="24"/>
        </w:rPr>
        <w:sectPr>
          <w:headerReference w:type="default" r:id="rId80"/>
          <w:footerReference w:type="default" r:id="rId81"/>
          <w:pgSz w:w="11910" w:h="16840"/>
          <w:pgMar w:header="1058" w:footer="1196" w:top="1500" w:bottom="1380" w:left="360" w:right="360"/>
        </w:sectPr>
      </w:pPr>
    </w:p>
    <w:p>
      <w:pPr>
        <w:pStyle w:val="BodyText"/>
        <w:spacing w:before="255"/>
        <w:ind w:left="1853" w:right="773"/>
      </w:pPr>
      <w:r>
        <w:rPr/>
        <w:t>with mosquito (insect) proof wire net.</w:t>
      </w:r>
      <w:r>
        <w:rPr>
          <w:spacing w:val="40"/>
        </w:rPr>
        <w:t> </w:t>
      </w:r>
      <w:r>
        <w:rPr/>
        <w:t>For the efficient discharge of rain water, there shall be at least two rain water pipes of 100 mm dia. for a roof area of 100 sq. m.</w:t>
      </w:r>
    </w:p>
    <w:p>
      <w:pPr>
        <w:pStyle w:val="BodyText"/>
        <w:spacing w:before="80"/>
        <w:jc w:val="left"/>
      </w:pPr>
    </w:p>
    <w:p>
      <w:pPr>
        <w:pStyle w:val="ListParagraph"/>
        <w:numPr>
          <w:ilvl w:val="0"/>
          <w:numId w:val="329"/>
        </w:numPr>
        <w:tabs>
          <w:tab w:pos="1853" w:val="left" w:leader="none"/>
        </w:tabs>
        <w:spacing w:line="240" w:lineRule="auto" w:before="0" w:after="0"/>
        <w:ind w:left="1853" w:right="772" w:hanging="360"/>
        <w:jc w:val="both"/>
        <w:rPr>
          <w:sz w:val="24"/>
        </w:rPr>
      </w:pPr>
      <w:r>
        <w:rPr>
          <w:sz w:val="24"/>
        </w:rPr>
        <w:t>RWH structures shall be so sited as not to endanger the stability of building or earthwork. The structures shall be designed such that no dampness</w:t>
      </w:r>
      <w:r>
        <w:rPr>
          <w:spacing w:val="-7"/>
          <w:sz w:val="24"/>
        </w:rPr>
        <w:t> </w:t>
      </w:r>
      <w:r>
        <w:rPr>
          <w:sz w:val="24"/>
        </w:rPr>
        <w:t>is</w:t>
      </w:r>
      <w:r>
        <w:rPr>
          <w:spacing w:val="-7"/>
          <w:sz w:val="24"/>
        </w:rPr>
        <w:t> </w:t>
      </w:r>
      <w:r>
        <w:rPr>
          <w:sz w:val="24"/>
        </w:rPr>
        <w:t>caused</w:t>
      </w:r>
      <w:r>
        <w:rPr>
          <w:spacing w:val="-4"/>
          <w:sz w:val="24"/>
        </w:rPr>
        <w:t> </w:t>
      </w:r>
      <w:r>
        <w:rPr>
          <w:sz w:val="24"/>
        </w:rPr>
        <w:t>in</w:t>
      </w:r>
      <w:r>
        <w:rPr>
          <w:spacing w:val="-7"/>
          <w:sz w:val="24"/>
        </w:rPr>
        <w:t> </w:t>
      </w:r>
      <w:r>
        <w:rPr>
          <w:sz w:val="24"/>
        </w:rPr>
        <w:t>any</w:t>
      </w:r>
      <w:r>
        <w:rPr>
          <w:spacing w:val="-7"/>
          <w:sz w:val="24"/>
        </w:rPr>
        <w:t> </w:t>
      </w:r>
      <w:r>
        <w:rPr>
          <w:sz w:val="24"/>
        </w:rPr>
        <w:t>part</w:t>
      </w:r>
      <w:r>
        <w:rPr>
          <w:spacing w:val="-5"/>
          <w:sz w:val="24"/>
        </w:rPr>
        <w:t> </w:t>
      </w:r>
      <w:r>
        <w:rPr>
          <w:sz w:val="24"/>
        </w:rPr>
        <w:t>of</w:t>
      </w:r>
      <w:r>
        <w:rPr>
          <w:spacing w:val="-7"/>
          <w:sz w:val="24"/>
        </w:rPr>
        <w:t> </w:t>
      </w:r>
      <w:r>
        <w:rPr>
          <w:sz w:val="24"/>
        </w:rPr>
        <w:t>the</w:t>
      </w:r>
      <w:r>
        <w:rPr>
          <w:spacing w:val="-7"/>
          <w:sz w:val="24"/>
        </w:rPr>
        <w:t> </w:t>
      </w:r>
      <w:r>
        <w:rPr>
          <w:sz w:val="24"/>
        </w:rPr>
        <w:t>walls</w:t>
      </w:r>
      <w:r>
        <w:rPr>
          <w:spacing w:val="-7"/>
          <w:sz w:val="24"/>
        </w:rPr>
        <w:t> </w:t>
      </w:r>
      <w:r>
        <w:rPr>
          <w:sz w:val="24"/>
        </w:rPr>
        <w:t>or</w:t>
      </w:r>
      <w:r>
        <w:rPr>
          <w:spacing w:val="-6"/>
          <w:sz w:val="24"/>
        </w:rPr>
        <w:t> </w:t>
      </w:r>
      <w:r>
        <w:rPr>
          <w:sz w:val="24"/>
        </w:rPr>
        <w:t>foundation</w:t>
      </w:r>
      <w:r>
        <w:rPr>
          <w:spacing w:val="-7"/>
          <w:sz w:val="24"/>
        </w:rPr>
        <w:t> </w:t>
      </w:r>
      <w:r>
        <w:rPr>
          <w:sz w:val="24"/>
        </w:rPr>
        <w:t>of</w:t>
      </w:r>
      <w:r>
        <w:rPr>
          <w:spacing w:val="-5"/>
          <w:sz w:val="24"/>
        </w:rPr>
        <w:t> </w:t>
      </w:r>
      <w:r>
        <w:rPr>
          <w:sz w:val="24"/>
        </w:rPr>
        <w:t>the</w:t>
      </w:r>
      <w:r>
        <w:rPr>
          <w:spacing w:val="-7"/>
          <w:sz w:val="24"/>
        </w:rPr>
        <w:t> </w:t>
      </w:r>
      <w:r>
        <w:rPr>
          <w:sz w:val="24"/>
        </w:rPr>
        <w:t>building or those of an adjacent building.</w:t>
      </w:r>
    </w:p>
    <w:p>
      <w:pPr>
        <w:pStyle w:val="BodyText"/>
        <w:spacing w:before="74"/>
        <w:jc w:val="left"/>
      </w:pPr>
    </w:p>
    <w:p>
      <w:pPr>
        <w:pStyle w:val="ListParagraph"/>
        <w:numPr>
          <w:ilvl w:val="0"/>
          <w:numId w:val="329"/>
        </w:numPr>
        <w:tabs>
          <w:tab w:pos="1851" w:val="left" w:leader="none"/>
          <w:tab w:pos="1853" w:val="left" w:leader="none"/>
        </w:tabs>
        <w:spacing w:line="276" w:lineRule="auto" w:before="1" w:after="0"/>
        <w:ind w:left="1853" w:right="989" w:hanging="360"/>
        <w:jc w:val="left"/>
        <w:rPr>
          <w:b/>
          <w:sz w:val="24"/>
        </w:rPr>
      </w:pPr>
      <w:r>
        <w:rPr>
          <w:sz w:val="24"/>
        </w:rPr>
        <w:t>The</w:t>
      </w:r>
      <w:r>
        <w:rPr>
          <w:spacing w:val="40"/>
          <w:sz w:val="24"/>
        </w:rPr>
        <w:t> </w:t>
      </w:r>
      <w:r>
        <w:rPr>
          <w:sz w:val="24"/>
        </w:rPr>
        <w:t>water</w:t>
      </w:r>
      <w:r>
        <w:rPr>
          <w:spacing w:val="40"/>
          <w:sz w:val="24"/>
        </w:rPr>
        <w:t> </w:t>
      </w:r>
      <w:r>
        <w:rPr>
          <w:sz w:val="24"/>
        </w:rPr>
        <w:t>so</w:t>
      </w:r>
      <w:r>
        <w:rPr>
          <w:spacing w:val="40"/>
          <w:sz w:val="24"/>
        </w:rPr>
        <w:t> </w:t>
      </w:r>
      <w:r>
        <w:rPr>
          <w:sz w:val="24"/>
        </w:rPr>
        <w:t>collected/</w:t>
      </w:r>
      <w:r>
        <w:rPr>
          <w:spacing w:val="40"/>
          <w:sz w:val="24"/>
        </w:rPr>
        <w:t> </w:t>
      </w:r>
      <w:r>
        <w:rPr>
          <w:sz w:val="24"/>
        </w:rPr>
        <w:t>recharged</w:t>
      </w:r>
      <w:r>
        <w:rPr>
          <w:spacing w:val="40"/>
          <w:sz w:val="24"/>
        </w:rPr>
        <w:t> </w:t>
      </w:r>
      <w:r>
        <w:rPr>
          <w:sz w:val="24"/>
        </w:rPr>
        <w:t>shall</w:t>
      </w:r>
      <w:r>
        <w:rPr>
          <w:spacing w:val="40"/>
          <w:sz w:val="24"/>
        </w:rPr>
        <w:t> </w:t>
      </w:r>
      <w:r>
        <w:rPr>
          <w:sz w:val="24"/>
        </w:rPr>
        <w:t>as</w:t>
      </w:r>
      <w:r>
        <w:rPr>
          <w:spacing w:val="40"/>
          <w:sz w:val="24"/>
        </w:rPr>
        <w:t> </w:t>
      </w:r>
      <w:r>
        <w:rPr>
          <w:sz w:val="24"/>
        </w:rPr>
        <w:t>far</w:t>
      </w:r>
      <w:r>
        <w:rPr>
          <w:spacing w:val="40"/>
          <w:sz w:val="24"/>
        </w:rPr>
        <w:t> </w:t>
      </w:r>
      <w:r>
        <w:rPr>
          <w:sz w:val="24"/>
        </w:rPr>
        <w:t>as</w:t>
      </w:r>
      <w:r>
        <w:rPr>
          <w:spacing w:val="40"/>
          <w:sz w:val="24"/>
        </w:rPr>
        <w:t> </w:t>
      </w:r>
      <w:r>
        <w:rPr>
          <w:sz w:val="24"/>
        </w:rPr>
        <w:t>possible</w:t>
      </w:r>
      <w:r>
        <w:rPr>
          <w:spacing w:val="40"/>
          <w:sz w:val="24"/>
        </w:rPr>
        <w:t> </w:t>
      </w:r>
      <w:r>
        <w:rPr>
          <w:sz w:val="24"/>
        </w:rPr>
        <w:t>be</w:t>
      </w:r>
      <w:r>
        <w:rPr>
          <w:spacing w:val="40"/>
          <w:sz w:val="24"/>
        </w:rPr>
        <w:t> </w:t>
      </w:r>
      <w:r>
        <w:rPr>
          <w:sz w:val="24"/>
        </w:rPr>
        <w:t>used for</w:t>
      </w:r>
      <w:r>
        <w:rPr>
          <w:spacing w:val="40"/>
          <w:sz w:val="24"/>
        </w:rPr>
        <w:t> </w:t>
      </w:r>
      <w:r>
        <w:rPr>
          <w:spacing w:val="9"/>
          <w:sz w:val="24"/>
        </w:rPr>
        <w:t>non-</w:t>
      </w:r>
      <w:r>
        <w:rPr>
          <w:sz w:val="24"/>
        </w:rPr>
        <w:t>drinking</w:t>
      </w:r>
      <w:r>
        <w:rPr>
          <w:spacing w:val="40"/>
          <w:sz w:val="24"/>
        </w:rPr>
        <w:t> </w:t>
      </w:r>
      <w:r>
        <w:rPr>
          <w:sz w:val="24"/>
        </w:rPr>
        <w:t>and</w:t>
      </w:r>
      <w:r>
        <w:rPr>
          <w:spacing w:val="40"/>
          <w:sz w:val="24"/>
        </w:rPr>
        <w:t> </w:t>
      </w:r>
      <w:r>
        <w:rPr>
          <w:spacing w:val="10"/>
          <w:sz w:val="24"/>
        </w:rPr>
        <w:t>non-</w:t>
      </w:r>
      <w:r>
        <w:rPr>
          <w:sz w:val="24"/>
        </w:rPr>
        <w:t>cooking</w:t>
      </w:r>
      <w:r>
        <w:rPr>
          <w:spacing w:val="40"/>
          <w:sz w:val="24"/>
        </w:rPr>
        <w:t> </w:t>
      </w:r>
      <w:r>
        <w:rPr>
          <w:sz w:val="24"/>
        </w:rPr>
        <w:t>purpose</w:t>
      </w:r>
      <w:r>
        <w:rPr>
          <w:b/>
          <w:sz w:val="24"/>
        </w:rPr>
        <w:t>.</w:t>
      </w:r>
    </w:p>
    <w:p>
      <w:pPr>
        <w:pStyle w:val="BodyText"/>
        <w:spacing w:line="276" w:lineRule="auto" w:before="240"/>
        <w:ind w:left="1853" w:right="779"/>
      </w:pPr>
      <w:r>
        <w:rPr/>
        <w:t>Provided</w:t>
      </w:r>
      <w:r>
        <w:rPr>
          <w:spacing w:val="40"/>
        </w:rPr>
        <w:t> </w:t>
      </w:r>
      <w:r>
        <w:rPr/>
        <w:t>that</w:t>
      </w:r>
      <w:r>
        <w:rPr>
          <w:spacing w:val="40"/>
        </w:rPr>
        <w:t> </w:t>
      </w:r>
      <w:r>
        <w:rPr/>
        <w:t>when</w:t>
      </w:r>
      <w:r>
        <w:rPr>
          <w:spacing w:val="40"/>
        </w:rPr>
        <w:t> </w:t>
      </w:r>
      <w:r>
        <w:rPr/>
        <w:t>the</w:t>
      </w:r>
      <w:r>
        <w:rPr>
          <w:spacing w:val="40"/>
        </w:rPr>
        <w:t> </w:t>
      </w:r>
      <w:r>
        <w:rPr/>
        <w:t>rain</w:t>
      </w:r>
      <w:r>
        <w:rPr>
          <w:spacing w:val="40"/>
        </w:rPr>
        <w:t> </w:t>
      </w:r>
      <w:r>
        <w:rPr/>
        <w:t>water</w:t>
      </w:r>
      <w:r>
        <w:rPr>
          <w:spacing w:val="40"/>
        </w:rPr>
        <w:t> </w:t>
      </w:r>
      <w:r>
        <w:rPr/>
        <w:t>in</w:t>
      </w:r>
      <w:r>
        <w:rPr>
          <w:spacing w:val="40"/>
        </w:rPr>
        <w:t> </w:t>
      </w:r>
      <w:r>
        <w:rPr/>
        <w:t>exceptional</w:t>
      </w:r>
      <w:r>
        <w:rPr>
          <w:spacing w:val="40"/>
        </w:rPr>
        <w:t> </w:t>
      </w:r>
      <w:r>
        <w:rPr/>
        <w:t>circumstances</w:t>
      </w:r>
      <w:r>
        <w:rPr>
          <w:spacing w:val="40"/>
        </w:rPr>
        <w:t> </w:t>
      </w:r>
      <w:r>
        <w:rPr/>
        <w:t>will be utilised for drinking and/ or cooking purpose, it shall be ensured</w:t>
      </w:r>
      <w:r>
        <w:rPr>
          <w:spacing w:val="40"/>
        </w:rPr>
        <w:t> </w:t>
      </w:r>
      <w:r>
        <w:rPr/>
        <w:t>that</w:t>
      </w:r>
      <w:r>
        <w:rPr>
          <w:spacing w:val="40"/>
        </w:rPr>
        <w:t> </w:t>
      </w:r>
      <w:r>
        <w:rPr/>
        <w:t>proper</w:t>
      </w:r>
      <w:r>
        <w:rPr>
          <w:spacing w:val="40"/>
        </w:rPr>
        <w:t> </w:t>
      </w:r>
      <w:r>
        <w:rPr/>
        <w:t>filter</w:t>
      </w:r>
      <w:r>
        <w:rPr>
          <w:spacing w:val="40"/>
        </w:rPr>
        <w:t> </w:t>
      </w:r>
      <w:r>
        <w:rPr/>
        <w:t>arrangement and</w:t>
      </w:r>
      <w:r>
        <w:rPr>
          <w:spacing w:val="40"/>
        </w:rPr>
        <w:t> </w:t>
      </w:r>
      <w:r>
        <w:rPr/>
        <w:t>the</w:t>
      </w:r>
      <w:r>
        <w:rPr>
          <w:spacing w:val="40"/>
        </w:rPr>
        <w:t> </w:t>
      </w:r>
      <w:r>
        <w:rPr/>
        <w:t>separate</w:t>
      </w:r>
      <w:r>
        <w:rPr>
          <w:spacing w:val="40"/>
        </w:rPr>
        <w:t> </w:t>
      </w:r>
      <w:r>
        <w:rPr/>
        <w:t>outlet</w:t>
      </w:r>
      <w:r>
        <w:rPr>
          <w:spacing w:val="40"/>
        </w:rPr>
        <w:t> </w:t>
      </w:r>
      <w:r>
        <w:rPr/>
        <w:t>for</w:t>
      </w:r>
      <w:r>
        <w:rPr>
          <w:spacing w:val="40"/>
        </w:rPr>
        <w:t> </w:t>
      </w:r>
      <w:r>
        <w:rPr/>
        <w:t>by passing the</w:t>
      </w:r>
      <w:r>
        <w:rPr>
          <w:spacing w:val="40"/>
        </w:rPr>
        <w:t> </w:t>
      </w:r>
      <w:r>
        <w:rPr/>
        <w:t>first</w:t>
      </w:r>
      <w:r>
        <w:rPr>
          <w:spacing w:val="40"/>
        </w:rPr>
        <w:t> </w:t>
      </w:r>
      <w:r>
        <w:rPr>
          <w:spacing w:val="9"/>
        </w:rPr>
        <w:t>rain-</w:t>
      </w:r>
      <w:r>
        <w:rPr/>
        <w:t>water</w:t>
      </w:r>
      <w:r>
        <w:rPr>
          <w:spacing w:val="40"/>
        </w:rPr>
        <w:t> </w:t>
      </w:r>
      <w:r>
        <w:rPr/>
        <w:t>has</w:t>
      </w:r>
      <w:r>
        <w:rPr>
          <w:spacing w:val="40"/>
        </w:rPr>
        <w:t> </w:t>
      </w:r>
      <w:r>
        <w:rPr/>
        <w:t>been</w:t>
      </w:r>
      <w:r>
        <w:rPr>
          <w:spacing w:val="40"/>
        </w:rPr>
        <w:t> </w:t>
      </w:r>
      <w:r>
        <w:rPr/>
        <w:t>provided.</w:t>
      </w:r>
    </w:p>
    <w:p>
      <w:pPr>
        <w:pStyle w:val="BodyText"/>
        <w:spacing w:before="243"/>
        <w:ind w:left="1853" w:right="1094"/>
        <w:jc w:val="left"/>
      </w:pPr>
      <w:r>
        <w:rPr/>
        <w:t>Provided</w:t>
      </w:r>
      <w:r>
        <w:rPr>
          <w:spacing w:val="40"/>
        </w:rPr>
        <w:t> </w:t>
      </w:r>
      <w:r>
        <w:rPr/>
        <w:t>further</w:t>
      </w:r>
      <w:r>
        <w:rPr>
          <w:spacing w:val="40"/>
        </w:rPr>
        <w:t> </w:t>
      </w:r>
      <w:r>
        <w:rPr/>
        <w:t>that</w:t>
      </w:r>
      <w:r>
        <w:rPr>
          <w:spacing w:val="40"/>
        </w:rPr>
        <w:t> </w:t>
      </w:r>
      <w:r>
        <w:rPr/>
        <w:t>it</w:t>
      </w:r>
      <w:r>
        <w:rPr>
          <w:spacing w:val="40"/>
        </w:rPr>
        <w:t> </w:t>
      </w:r>
      <w:r>
        <w:rPr/>
        <w:t>will</w:t>
      </w:r>
      <w:r>
        <w:rPr>
          <w:spacing w:val="40"/>
        </w:rPr>
        <w:t> </w:t>
      </w:r>
      <w:r>
        <w:rPr/>
        <w:t>be</w:t>
      </w:r>
      <w:r>
        <w:rPr>
          <w:spacing w:val="40"/>
        </w:rPr>
        <w:t> </w:t>
      </w:r>
      <w:r>
        <w:rPr/>
        <w:t>ensured</w:t>
      </w:r>
      <w:r>
        <w:rPr>
          <w:spacing w:val="40"/>
        </w:rPr>
        <w:t> </w:t>
      </w:r>
      <w:r>
        <w:rPr/>
        <w:t>that</w:t>
      </w:r>
      <w:r>
        <w:rPr>
          <w:spacing w:val="40"/>
        </w:rPr>
        <w:t> </w:t>
      </w:r>
      <w:r>
        <w:rPr/>
        <w:t>for</w:t>
      </w:r>
      <w:r>
        <w:rPr>
          <w:spacing w:val="40"/>
        </w:rPr>
        <w:t> </w:t>
      </w:r>
      <w:r>
        <w:rPr/>
        <w:t>such</w:t>
      </w:r>
      <w:r>
        <w:rPr>
          <w:spacing w:val="40"/>
        </w:rPr>
        <w:t> </w:t>
      </w:r>
      <w:r>
        <w:rPr/>
        <w:t>use,</w:t>
      </w:r>
      <w:r>
        <w:rPr>
          <w:spacing w:val="40"/>
        </w:rPr>
        <w:t> </w:t>
      </w:r>
      <w:r>
        <w:rPr/>
        <w:t>proper disinfectants</w:t>
      </w:r>
      <w:r>
        <w:rPr>
          <w:spacing w:val="40"/>
        </w:rPr>
        <w:t> </w:t>
      </w:r>
      <w:r>
        <w:rPr/>
        <w:t>and</w:t>
      </w:r>
      <w:r>
        <w:rPr>
          <w:spacing w:val="40"/>
        </w:rPr>
        <w:t> </w:t>
      </w:r>
      <w:r>
        <w:rPr/>
        <w:t>the</w:t>
      </w:r>
      <w:r>
        <w:rPr>
          <w:spacing w:val="40"/>
        </w:rPr>
        <w:t> </w:t>
      </w:r>
      <w:r>
        <w:rPr/>
        <w:t>water</w:t>
      </w:r>
      <w:r>
        <w:rPr>
          <w:spacing w:val="40"/>
        </w:rPr>
        <w:t> </w:t>
      </w:r>
      <w:r>
        <w:rPr/>
        <w:t>purification</w:t>
      </w:r>
      <w:r>
        <w:rPr>
          <w:spacing w:val="40"/>
        </w:rPr>
        <w:t> </w:t>
      </w:r>
      <w:r>
        <w:rPr/>
        <w:t>arrangement</w:t>
      </w:r>
      <w:r>
        <w:rPr>
          <w:spacing w:val="40"/>
        </w:rPr>
        <w:t> </w:t>
      </w:r>
      <w:r>
        <w:rPr/>
        <w:t>have</w:t>
      </w:r>
      <w:r>
        <w:rPr>
          <w:spacing w:val="40"/>
        </w:rPr>
        <w:t> </w:t>
      </w:r>
      <w:r>
        <w:rPr/>
        <w:t>been</w:t>
      </w:r>
      <w:r>
        <w:rPr>
          <w:spacing w:val="80"/>
        </w:rPr>
        <w:t> </w:t>
      </w:r>
      <w:r>
        <w:rPr>
          <w:spacing w:val="-2"/>
        </w:rPr>
        <w:t>made.</w:t>
      </w:r>
    </w:p>
    <w:p>
      <w:pPr>
        <w:pStyle w:val="Heading3"/>
        <w:numPr>
          <w:ilvl w:val="0"/>
          <w:numId w:val="263"/>
        </w:numPr>
        <w:tabs>
          <w:tab w:pos="1493" w:val="left" w:leader="none"/>
        </w:tabs>
        <w:spacing w:line="240" w:lineRule="auto" w:before="235" w:after="0"/>
        <w:ind w:left="772" w:right="1000" w:firstLine="0"/>
        <w:jc w:val="left"/>
        <w:rPr>
          <w:i w:val="0"/>
        </w:rPr>
      </w:pPr>
      <w:r>
        <w:rPr/>
        <w:t>Special</w:t>
      </w:r>
      <w:r>
        <w:rPr>
          <w:spacing w:val="-6"/>
        </w:rPr>
        <w:t> </w:t>
      </w:r>
      <w:r>
        <w:rPr/>
        <w:t>Provisions;</w:t>
      </w:r>
      <w:r>
        <w:rPr>
          <w:spacing w:val="-4"/>
        </w:rPr>
        <w:t> </w:t>
      </w:r>
      <w:r>
        <w:rPr/>
        <w:t>for</w:t>
      </w:r>
      <w:r>
        <w:rPr>
          <w:spacing w:val="-4"/>
        </w:rPr>
        <w:t> </w:t>
      </w:r>
      <w:r>
        <w:rPr/>
        <w:t>installation</w:t>
      </w:r>
      <w:r>
        <w:rPr>
          <w:spacing w:val="-4"/>
        </w:rPr>
        <w:t> </w:t>
      </w:r>
      <w:r>
        <w:rPr/>
        <w:t>of</w:t>
      </w:r>
      <w:r>
        <w:rPr>
          <w:spacing w:val="-8"/>
        </w:rPr>
        <w:t> </w:t>
      </w:r>
      <w:r>
        <w:rPr/>
        <w:t>Solar</w:t>
      </w:r>
      <w:r>
        <w:rPr>
          <w:spacing w:val="-4"/>
        </w:rPr>
        <w:t> </w:t>
      </w:r>
      <w:r>
        <w:rPr/>
        <w:t>Water</w:t>
      </w:r>
      <w:r>
        <w:rPr>
          <w:spacing w:val="-6"/>
        </w:rPr>
        <w:t> </w:t>
      </w:r>
      <w:r>
        <w:rPr/>
        <w:t>Heating (SWH) Systems</w:t>
      </w:r>
      <w:r>
        <w:rPr>
          <w:i w:val="0"/>
        </w:rPr>
        <w:t>.</w:t>
      </w:r>
    </w:p>
    <w:p>
      <w:pPr>
        <w:pStyle w:val="BodyText"/>
        <w:spacing w:before="245"/>
        <w:ind w:left="1493" w:right="783"/>
      </w:pPr>
      <w:r>
        <w:rPr/>
        <w:t>Solar</w:t>
      </w:r>
      <w:r>
        <w:rPr>
          <w:spacing w:val="40"/>
        </w:rPr>
        <w:t> </w:t>
      </w:r>
      <w:r>
        <w:rPr/>
        <w:t>Water</w:t>
      </w:r>
      <w:r>
        <w:rPr>
          <w:spacing w:val="40"/>
        </w:rPr>
        <w:t> </w:t>
      </w:r>
      <w:r>
        <w:rPr/>
        <w:t>Heating</w:t>
      </w:r>
      <w:r>
        <w:rPr>
          <w:spacing w:val="40"/>
        </w:rPr>
        <w:t> </w:t>
      </w:r>
      <w:r>
        <w:rPr/>
        <w:t>(SWH)</w:t>
      </w:r>
      <w:r>
        <w:rPr>
          <w:spacing w:val="40"/>
        </w:rPr>
        <w:t> </w:t>
      </w:r>
      <w:r>
        <w:rPr/>
        <w:t>Systems</w:t>
      </w:r>
      <w:r>
        <w:rPr>
          <w:spacing w:val="40"/>
        </w:rPr>
        <w:t> </w:t>
      </w:r>
      <w:r>
        <w:rPr/>
        <w:t>shall</w:t>
      </w:r>
      <w:r>
        <w:rPr>
          <w:spacing w:val="40"/>
        </w:rPr>
        <w:t> </w:t>
      </w:r>
      <w:r>
        <w:rPr/>
        <w:t>be</w:t>
      </w:r>
      <w:r>
        <w:rPr>
          <w:spacing w:val="40"/>
        </w:rPr>
        <w:t> </w:t>
      </w:r>
      <w:r>
        <w:rPr/>
        <w:t>installed</w:t>
      </w:r>
      <w:r>
        <w:rPr>
          <w:spacing w:val="40"/>
        </w:rPr>
        <w:t> </w:t>
      </w:r>
      <w:r>
        <w:rPr/>
        <w:t>in</w:t>
      </w:r>
      <w:r>
        <w:rPr>
          <w:spacing w:val="40"/>
        </w:rPr>
        <w:t> </w:t>
      </w:r>
      <w:r>
        <w:rPr/>
        <w:t>the</w:t>
      </w:r>
      <w:r>
        <w:rPr>
          <w:spacing w:val="40"/>
        </w:rPr>
        <w:t> </w:t>
      </w:r>
      <w:r>
        <w:rPr/>
        <w:t>buildings for Hospitals, Hotels, Guest Houses, Police/Army Barracks, Canteens, Laboratories</w:t>
      </w:r>
      <w:r>
        <w:rPr>
          <w:spacing w:val="80"/>
        </w:rPr>
        <w:t> </w:t>
      </w:r>
      <w:r>
        <w:rPr/>
        <w:t>and</w:t>
      </w:r>
      <w:r>
        <w:rPr>
          <w:spacing w:val="80"/>
        </w:rPr>
        <w:t> </w:t>
      </w:r>
      <w:r>
        <w:rPr/>
        <w:t>Research</w:t>
      </w:r>
      <w:r>
        <w:rPr>
          <w:spacing w:val="80"/>
        </w:rPr>
        <w:t> </w:t>
      </w:r>
      <w:r>
        <w:rPr/>
        <w:t>Institutions,</w:t>
      </w:r>
      <w:r>
        <w:rPr>
          <w:spacing w:val="80"/>
        </w:rPr>
        <w:t> </w:t>
      </w:r>
      <w:r>
        <w:rPr/>
        <w:t>Hostels</w:t>
      </w:r>
      <w:r>
        <w:rPr>
          <w:spacing w:val="80"/>
        </w:rPr>
        <w:t> </w:t>
      </w:r>
      <w:r>
        <w:rPr/>
        <w:t>of</w:t>
      </w:r>
      <w:r>
        <w:rPr>
          <w:spacing w:val="80"/>
        </w:rPr>
        <w:t> </w:t>
      </w:r>
      <w:r>
        <w:rPr/>
        <w:t>Schools</w:t>
      </w:r>
      <w:r>
        <w:rPr>
          <w:spacing w:val="80"/>
        </w:rPr>
        <w:t> </w:t>
      </w:r>
      <w:r>
        <w:rPr/>
        <w:t>and Colleges and other </w:t>
      </w:r>
      <w:r>
        <w:rPr>
          <w:spacing w:val="9"/>
        </w:rPr>
        <w:t>Institutions.</w:t>
      </w:r>
    </w:p>
    <w:p>
      <w:pPr>
        <w:pStyle w:val="ListParagraph"/>
        <w:numPr>
          <w:ilvl w:val="0"/>
          <w:numId w:val="330"/>
        </w:numPr>
        <w:tabs>
          <w:tab w:pos="1853" w:val="left" w:leader="none"/>
          <w:tab w:pos="1856" w:val="left" w:leader="none"/>
        </w:tabs>
        <w:spacing w:line="240" w:lineRule="auto" w:before="241" w:after="0"/>
        <w:ind w:left="1853" w:right="783" w:hanging="360"/>
        <w:jc w:val="both"/>
        <w:rPr>
          <w:sz w:val="24"/>
        </w:rPr>
      </w:pPr>
      <w:r>
        <w:rPr>
          <w:sz w:val="24"/>
        </w:rPr>
        <w:t>The</w:t>
      </w:r>
      <w:r>
        <w:rPr>
          <w:spacing w:val="40"/>
          <w:sz w:val="24"/>
        </w:rPr>
        <w:t> </w:t>
      </w:r>
      <w:r>
        <w:rPr>
          <w:sz w:val="24"/>
        </w:rPr>
        <w:t>SWH systems</w:t>
      </w:r>
      <w:r>
        <w:rPr>
          <w:spacing w:val="40"/>
          <w:sz w:val="24"/>
        </w:rPr>
        <w:t> </w:t>
      </w:r>
      <w:r>
        <w:rPr>
          <w:sz w:val="24"/>
        </w:rPr>
        <w:t>shall be</w:t>
      </w:r>
      <w:r>
        <w:rPr>
          <w:spacing w:val="40"/>
          <w:sz w:val="24"/>
        </w:rPr>
        <w:t> </w:t>
      </w:r>
      <w:r>
        <w:rPr>
          <w:sz w:val="24"/>
        </w:rPr>
        <w:t>mandatory in hospitals</w:t>
      </w:r>
      <w:r>
        <w:rPr>
          <w:spacing w:val="40"/>
          <w:sz w:val="24"/>
        </w:rPr>
        <w:t> </w:t>
      </w:r>
      <w:r>
        <w:rPr>
          <w:sz w:val="24"/>
        </w:rPr>
        <w:t>and</w:t>
      </w:r>
      <w:r>
        <w:rPr>
          <w:spacing w:val="40"/>
          <w:sz w:val="24"/>
        </w:rPr>
        <w:t> </w:t>
      </w:r>
      <w:r>
        <w:rPr>
          <w:sz w:val="24"/>
        </w:rPr>
        <w:t>hotels, where the</w:t>
      </w:r>
      <w:r>
        <w:rPr>
          <w:spacing w:val="40"/>
          <w:sz w:val="24"/>
        </w:rPr>
        <w:t> </w:t>
      </w:r>
      <w:r>
        <w:rPr>
          <w:sz w:val="24"/>
        </w:rPr>
        <w:t>hot</w:t>
      </w:r>
      <w:r>
        <w:rPr>
          <w:spacing w:val="40"/>
          <w:sz w:val="24"/>
        </w:rPr>
        <w:t> </w:t>
      </w:r>
      <w:r>
        <w:rPr>
          <w:sz w:val="24"/>
        </w:rPr>
        <w:t>water</w:t>
      </w:r>
      <w:r>
        <w:rPr>
          <w:spacing w:val="40"/>
          <w:sz w:val="24"/>
        </w:rPr>
        <w:t> </w:t>
      </w:r>
      <w:r>
        <w:rPr>
          <w:sz w:val="24"/>
        </w:rPr>
        <w:t>requirement</w:t>
      </w:r>
      <w:r>
        <w:rPr>
          <w:spacing w:val="40"/>
          <w:sz w:val="24"/>
        </w:rPr>
        <w:t> </w:t>
      </w:r>
      <w:r>
        <w:rPr>
          <w:sz w:val="24"/>
        </w:rPr>
        <w:t>is</w:t>
      </w:r>
      <w:r>
        <w:rPr>
          <w:spacing w:val="40"/>
          <w:sz w:val="24"/>
        </w:rPr>
        <w:t> </w:t>
      </w:r>
      <w:r>
        <w:rPr>
          <w:sz w:val="24"/>
        </w:rPr>
        <w:t>of</w:t>
      </w:r>
      <w:r>
        <w:rPr>
          <w:spacing w:val="40"/>
          <w:sz w:val="24"/>
        </w:rPr>
        <w:t> </w:t>
      </w:r>
      <w:r>
        <w:rPr>
          <w:sz w:val="24"/>
        </w:rPr>
        <w:t>continuous</w:t>
      </w:r>
      <w:r>
        <w:rPr>
          <w:spacing w:val="40"/>
          <w:sz w:val="24"/>
        </w:rPr>
        <w:t> </w:t>
      </w:r>
      <w:r>
        <w:rPr>
          <w:sz w:val="24"/>
        </w:rPr>
        <w:t>nature.</w:t>
      </w:r>
      <w:r>
        <w:rPr>
          <w:spacing w:val="40"/>
          <w:sz w:val="24"/>
        </w:rPr>
        <w:t> </w:t>
      </w:r>
      <w:r>
        <w:rPr>
          <w:sz w:val="24"/>
        </w:rPr>
        <w:t>In</w:t>
      </w:r>
      <w:r>
        <w:rPr>
          <w:spacing w:val="40"/>
          <w:sz w:val="24"/>
        </w:rPr>
        <w:t> </w:t>
      </w:r>
      <w:r>
        <w:rPr>
          <w:sz w:val="24"/>
        </w:rPr>
        <w:t>these</w:t>
      </w:r>
      <w:r>
        <w:rPr>
          <w:spacing w:val="40"/>
          <w:sz w:val="24"/>
        </w:rPr>
        <w:t> </w:t>
      </w:r>
      <w:r>
        <w:rPr>
          <w:sz w:val="24"/>
        </w:rPr>
        <w:t>buildings,</w:t>
      </w:r>
      <w:r>
        <w:rPr>
          <w:spacing w:val="80"/>
          <w:sz w:val="24"/>
        </w:rPr>
        <w:t> </w:t>
      </w:r>
      <w:r>
        <w:rPr>
          <w:sz w:val="24"/>
        </w:rPr>
        <w:t>the</w:t>
      </w:r>
      <w:r>
        <w:rPr>
          <w:spacing w:val="80"/>
          <w:sz w:val="24"/>
        </w:rPr>
        <w:t> </w:t>
      </w:r>
      <w:r>
        <w:rPr>
          <w:sz w:val="24"/>
        </w:rPr>
        <w:t>system</w:t>
      </w:r>
      <w:r>
        <w:rPr>
          <w:spacing w:val="80"/>
          <w:sz w:val="24"/>
        </w:rPr>
        <w:t> </w:t>
      </w:r>
      <w:r>
        <w:rPr>
          <w:sz w:val="24"/>
        </w:rPr>
        <w:t>shall</w:t>
      </w:r>
      <w:r>
        <w:rPr>
          <w:spacing w:val="80"/>
          <w:sz w:val="24"/>
        </w:rPr>
        <w:t> </w:t>
      </w:r>
      <w:r>
        <w:rPr>
          <w:sz w:val="24"/>
        </w:rPr>
        <w:t>be</w:t>
      </w:r>
      <w:r>
        <w:rPr>
          <w:spacing w:val="80"/>
          <w:sz w:val="24"/>
        </w:rPr>
        <w:t> </w:t>
      </w:r>
      <w:r>
        <w:rPr>
          <w:sz w:val="24"/>
        </w:rPr>
        <w:t>provided</w:t>
      </w:r>
      <w:r>
        <w:rPr>
          <w:spacing w:val="80"/>
          <w:sz w:val="24"/>
        </w:rPr>
        <w:t> </w:t>
      </w:r>
      <w:r>
        <w:rPr>
          <w:sz w:val="24"/>
        </w:rPr>
        <w:t>with</w:t>
      </w:r>
      <w:r>
        <w:rPr>
          <w:spacing w:val="80"/>
          <w:sz w:val="24"/>
        </w:rPr>
        <w:t> </w:t>
      </w:r>
      <w:r>
        <w:rPr>
          <w:sz w:val="24"/>
        </w:rPr>
        <w:t>auxiliary</w:t>
      </w:r>
      <w:r>
        <w:rPr>
          <w:spacing w:val="80"/>
          <w:sz w:val="24"/>
        </w:rPr>
        <w:t> </w:t>
      </w:r>
      <w:r>
        <w:rPr>
          <w:sz w:val="24"/>
        </w:rPr>
        <w:t>electrical </w:t>
      </w:r>
      <w:r>
        <w:rPr>
          <w:spacing w:val="-2"/>
          <w:sz w:val="24"/>
        </w:rPr>
        <w:t>back-up.</w:t>
      </w:r>
    </w:p>
    <w:p>
      <w:pPr>
        <w:pStyle w:val="ListParagraph"/>
        <w:numPr>
          <w:ilvl w:val="0"/>
          <w:numId w:val="330"/>
        </w:numPr>
        <w:tabs>
          <w:tab w:pos="1853" w:val="left" w:leader="none"/>
          <w:tab w:pos="1856" w:val="left" w:leader="none"/>
        </w:tabs>
        <w:spacing w:line="240" w:lineRule="auto" w:before="239" w:after="0"/>
        <w:ind w:left="1853" w:right="792" w:hanging="360"/>
        <w:jc w:val="both"/>
        <w:rPr>
          <w:sz w:val="24"/>
        </w:rPr>
      </w:pPr>
      <w:r>
        <w:rPr>
          <w:sz w:val="24"/>
        </w:rPr>
        <w:t>The</w:t>
      </w:r>
      <w:r>
        <w:rPr>
          <w:sz w:val="24"/>
        </w:rPr>
        <w:t> use of SWH system is recommended in the following type of buildings</w:t>
      </w:r>
      <w:r>
        <w:rPr>
          <w:spacing w:val="40"/>
          <w:sz w:val="24"/>
        </w:rPr>
        <w:t> </w:t>
      </w:r>
      <w:r>
        <w:rPr>
          <w:sz w:val="24"/>
        </w:rPr>
        <w:t>in</w:t>
      </w:r>
      <w:r>
        <w:rPr>
          <w:spacing w:val="40"/>
          <w:sz w:val="24"/>
        </w:rPr>
        <w:t> </w:t>
      </w:r>
      <w:r>
        <w:rPr>
          <w:spacing w:val="9"/>
          <w:sz w:val="24"/>
        </w:rPr>
        <w:t>Govt/Semi–Govt</w:t>
      </w:r>
      <w:r>
        <w:rPr>
          <w:spacing w:val="40"/>
          <w:sz w:val="24"/>
        </w:rPr>
        <w:t> </w:t>
      </w:r>
      <w:r>
        <w:rPr>
          <w:sz w:val="24"/>
        </w:rPr>
        <w:t>and</w:t>
      </w:r>
      <w:r>
        <w:rPr>
          <w:spacing w:val="40"/>
          <w:sz w:val="24"/>
        </w:rPr>
        <w:t> </w:t>
      </w:r>
      <w:r>
        <w:rPr>
          <w:sz w:val="24"/>
        </w:rPr>
        <w:t>Institutional</w:t>
      </w:r>
      <w:r>
        <w:rPr>
          <w:spacing w:val="40"/>
          <w:sz w:val="24"/>
        </w:rPr>
        <w:t> </w:t>
      </w:r>
      <w:r>
        <w:rPr>
          <w:sz w:val="24"/>
        </w:rPr>
        <w:t>buildingswhere</w:t>
      </w:r>
      <w:r>
        <w:rPr>
          <w:spacing w:val="40"/>
          <w:sz w:val="24"/>
        </w:rPr>
        <w:t> </w:t>
      </w:r>
      <w:r>
        <w:rPr>
          <w:sz w:val="24"/>
        </w:rPr>
        <w:t>the hot</w:t>
      </w:r>
      <w:r>
        <w:rPr>
          <w:spacing w:val="40"/>
          <w:sz w:val="24"/>
        </w:rPr>
        <w:t> </w:t>
      </w:r>
      <w:r>
        <w:rPr>
          <w:sz w:val="24"/>
        </w:rPr>
        <w:t>water</w:t>
      </w:r>
      <w:r>
        <w:rPr>
          <w:spacing w:val="40"/>
          <w:sz w:val="24"/>
        </w:rPr>
        <w:t> </w:t>
      </w:r>
      <w:r>
        <w:rPr>
          <w:sz w:val="24"/>
        </w:rPr>
        <w:t>requirement</w:t>
      </w:r>
      <w:r>
        <w:rPr>
          <w:spacing w:val="40"/>
          <w:sz w:val="24"/>
        </w:rPr>
        <w:t> </w:t>
      </w:r>
      <w:r>
        <w:rPr>
          <w:sz w:val="24"/>
        </w:rPr>
        <w:t>may</w:t>
      </w:r>
      <w:r>
        <w:rPr>
          <w:spacing w:val="40"/>
          <w:sz w:val="24"/>
        </w:rPr>
        <w:t> </w:t>
      </w:r>
      <w:r>
        <w:rPr>
          <w:sz w:val="24"/>
        </w:rPr>
        <w:t>not</w:t>
      </w:r>
      <w:r>
        <w:rPr>
          <w:spacing w:val="40"/>
          <w:sz w:val="24"/>
        </w:rPr>
        <w:t> </w:t>
      </w:r>
      <w:r>
        <w:rPr>
          <w:sz w:val="24"/>
        </w:rPr>
        <w:t>be</w:t>
      </w:r>
      <w:r>
        <w:rPr>
          <w:spacing w:val="40"/>
          <w:sz w:val="24"/>
        </w:rPr>
        <w:t> </w:t>
      </w:r>
      <w:r>
        <w:rPr>
          <w:spacing w:val="9"/>
          <w:sz w:val="24"/>
        </w:rPr>
        <w:t>continuous/permanent:</w:t>
      </w:r>
    </w:p>
    <w:p>
      <w:pPr>
        <w:pStyle w:val="ListParagraph"/>
        <w:numPr>
          <w:ilvl w:val="1"/>
          <w:numId w:val="330"/>
        </w:numPr>
        <w:tabs>
          <w:tab w:pos="2212" w:val="left" w:leader="none"/>
        </w:tabs>
        <w:spacing w:line="240" w:lineRule="auto" w:before="240" w:after="0"/>
        <w:ind w:left="2212" w:right="0" w:hanging="359"/>
        <w:jc w:val="left"/>
        <w:rPr>
          <w:sz w:val="24"/>
        </w:rPr>
      </w:pPr>
      <w:r>
        <w:rPr>
          <w:sz w:val="24"/>
        </w:rPr>
        <w:t>Guest</w:t>
      </w:r>
      <w:r>
        <w:rPr>
          <w:spacing w:val="55"/>
          <w:sz w:val="24"/>
        </w:rPr>
        <w:t> </w:t>
      </w:r>
      <w:r>
        <w:rPr>
          <w:spacing w:val="7"/>
          <w:sz w:val="24"/>
        </w:rPr>
        <w:t>House</w:t>
      </w:r>
    </w:p>
    <w:p>
      <w:pPr>
        <w:pStyle w:val="ListParagraph"/>
        <w:numPr>
          <w:ilvl w:val="1"/>
          <w:numId w:val="330"/>
        </w:numPr>
        <w:tabs>
          <w:tab w:pos="2212" w:val="left" w:leader="none"/>
        </w:tabs>
        <w:spacing w:line="281" w:lineRule="exact" w:before="2" w:after="0"/>
        <w:ind w:left="2212" w:right="0" w:hanging="359"/>
        <w:jc w:val="left"/>
        <w:rPr>
          <w:sz w:val="24"/>
        </w:rPr>
      </w:pPr>
      <w:r>
        <w:rPr>
          <w:sz w:val="24"/>
        </w:rPr>
        <w:t>Police/Army</w:t>
      </w:r>
      <w:r>
        <w:rPr>
          <w:spacing w:val="72"/>
          <w:w w:val="150"/>
          <w:sz w:val="24"/>
        </w:rPr>
        <w:t> </w:t>
      </w:r>
      <w:r>
        <w:rPr>
          <w:spacing w:val="-2"/>
          <w:sz w:val="24"/>
        </w:rPr>
        <w:t>barracks</w:t>
      </w:r>
    </w:p>
    <w:p>
      <w:pPr>
        <w:pStyle w:val="ListParagraph"/>
        <w:numPr>
          <w:ilvl w:val="1"/>
          <w:numId w:val="330"/>
        </w:numPr>
        <w:tabs>
          <w:tab w:pos="2212" w:val="left" w:leader="none"/>
        </w:tabs>
        <w:spacing w:line="281" w:lineRule="exact" w:before="0" w:after="0"/>
        <w:ind w:left="2212" w:right="0" w:hanging="359"/>
        <w:jc w:val="left"/>
        <w:rPr>
          <w:sz w:val="24"/>
        </w:rPr>
      </w:pPr>
      <w:r>
        <w:rPr>
          <w:spacing w:val="-2"/>
          <w:sz w:val="24"/>
        </w:rPr>
        <w:t>Canteens</w:t>
      </w:r>
    </w:p>
    <w:p>
      <w:pPr>
        <w:pStyle w:val="ListParagraph"/>
        <w:numPr>
          <w:ilvl w:val="1"/>
          <w:numId w:val="330"/>
        </w:numPr>
        <w:tabs>
          <w:tab w:pos="2212" w:val="left" w:leader="none"/>
        </w:tabs>
        <w:spacing w:line="281" w:lineRule="exact" w:before="1" w:after="0"/>
        <w:ind w:left="2212" w:right="0" w:hanging="359"/>
        <w:jc w:val="left"/>
        <w:rPr>
          <w:sz w:val="24"/>
        </w:rPr>
      </w:pPr>
      <w:r>
        <w:rPr>
          <w:sz w:val="24"/>
        </w:rPr>
        <w:t>Laboratory</w:t>
      </w:r>
      <w:r>
        <w:rPr>
          <w:spacing w:val="65"/>
          <w:sz w:val="24"/>
        </w:rPr>
        <w:t> </w:t>
      </w:r>
      <w:r>
        <w:rPr>
          <w:sz w:val="24"/>
        </w:rPr>
        <w:t>and</w:t>
      </w:r>
      <w:r>
        <w:rPr>
          <w:spacing w:val="68"/>
          <w:sz w:val="24"/>
        </w:rPr>
        <w:t> </w:t>
      </w:r>
      <w:r>
        <w:rPr>
          <w:sz w:val="24"/>
        </w:rPr>
        <w:t>Research</w:t>
      </w:r>
      <w:r>
        <w:rPr>
          <w:spacing w:val="65"/>
          <w:sz w:val="24"/>
        </w:rPr>
        <w:t> </w:t>
      </w:r>
      <w:r>
        <w:rPr>
          <w:sz w:val="24"/>
        </w:rPr>
        <w:t>Institutions</w:t>
      </w:r>
      <w:r>
        <w:rPr>
          <w:spacing w:val="68"/>
          <w:sz w:val="24"/>
        </w:rPr>
        <w:t> </w:t>
      </w:r>
      <w:r>
        <w:rPr>
          <w:sz w:val="24"/>
        </w:rPr>
        <w:t>where</w:t>
      </w:r>
      <w:r>
        <w:rPr>
          <w:spacing w:val="65"/>
          <w:sz w:val="24"/>
        </w:rPr>
        <w:t> </w:t>
      </w:r>
      <w:r>
        <w:rPr>
          <w:sz w:val="24"/>
        </w:rPr>
        <w:t>hot</w:t>
      </w:r>
      <w:r>
        <w:rPr>
          <w:spacing w:val="65"/>
          <w:sz w:val="24"/>
        </w:rPr>
        <w:t> </w:t>
      </w:r>
      <w:r>
        <w:rPr>
          <w:sz w:val="24"/>
        </w:rPr>
        <w:t>water</w:t>
      </w:r>
      <w:r>
        <w:rPr>
          <w:spacing w:val="65"/>
          <w:sz w:val="24"/>
        </w:rPr>
        <w:t> </w:t>
      </w:r>
      <w:r>
        <w:rPr>
          <w:sz w:val="24"/>
        </w:rPr>
        <w:t>is</w:t>
      </w:r>
      <w:r>
        <w:rPr>
          <w:spacing w:val="69"/>
          <w:sz w:val="24"/>
        </w:rPr>
        <w:t> </w:t>
      </w:r>
      <w:r>
        <w:rPr>
          <w:spacing w:val="-2"/>
          <w:sz w:val="24"/>
        </w:rPr>
        <w:t>needed</w:t>
      </w:r>
    </w:p>
    <w:p>
      <w:pPr>
        <w:pStyle w:val="ListParagraph"/>
        <w:numPr>
          <w:ilvl w:val="1"/>
          <w:numId w:val="330"/>
        </w:numPr>
        <w:tabs>
          <w:tab w:pos="2212" w:val="left" w:leader="none"/>
        </w:tabs>
        <w:spacing w:line="281" w:lineRule="exact" w:before="0" w:after="0"/>
        <w:ind w:left="2212" w:right="0" w:hanging="359"/>
        <w:jc w:val="left"/>
        <w:rPr>
          <w:sz w:val="24"/>
        </w:rPr>
      </w:pPr>
      <w:r>
        <w:rPr>
          <w:sz w:val="24"/>
        </w:rPr>
        <w:t>Hostels</w:t>
      </w:r>
      <w:r>
        <w:rPr>
          <w:spacing w:val="54"/>
          <w:sz w:val="24"/>
        </w:rPr>
        <w:t> </w:t>
      </w:r>
      <w:r>
        <w:rPr>
          <w:sz w:val="24"/>
        </w:rPr>
        <w:t>of</w:t>
      </w:r>
      <w:r>
        <w:rPr>
          <w:spacing w:val="57"/>
          <w:sz w:val="24"/>
        </w:rPr>
        <w:t> </w:t>
      </w:r>
      <w:r>
        <w:rPr>
          <w:sz w:val="24"/>
        </w:rPr>
        <w:t>Schools</w:t>
      </w:r>
      <w:r>
        <w:rPr>
          <w:spacing w:val="62"/>
          <w:sz w:val="24"/>
        </w:rPr>
        <w:t> </w:t>
      </w:r>
      <w:r>
        <w:rPr>
          <w:sz w:val="24"/>
        </w:rPr>
        <w:t>and</w:t>
      </w:r>
      <w:r>
        <w:rPr>
          <w:spacing w:val="56"/>
          <w:sz w:val="24"/>
        </w:rPr>
        <w:t> </w:t>
      </w:r>
      <w:r>
        <w:rPr>
          <w:sz w:val="24"/>
        </w:rPr>
        <w:t>Colleges</w:t>
      </w:r>
      <w:r>
        <w:rPr>
          <w:spacing w:val="55"/>
          <w:sz w:val="24"/>
        </w:rPr>
        <w:t> </w:t>
      </w:r>
      <w:r>
        <w:rPr>
          <w:sz w:val="24"/>
        </w:rPr>
        <w:t>and</w:t>
      </w:r>
      <w:r>
        <w:rPr>
          <w:spacing w:val="60"/>
          <w:sz w:val="24"/>
        </w:rPr>
        <w:t> </w:t>
      </w:r>
      <w:r>
        <w:rPr>
          <w:sz w:val="24"/>
        </w:rPr>
        <w:t>other</w:t>
      </w:r>
      <w:r>
        <w:rPr>
          <w:spacing w:val="55"/>
          <w:sz w:val="24"/>
        </w:rPr>
        <w:t> </w:t>
      </w:r>
      <w:r>
        <w:rPr>
          <w:spacing w:val="-2"/>
          <w:sz w:val="24"/>
        </w:rPr>
        <w:t>Institutes.</w:t>
      </w:r>
    </w:p>
    <w:p>
      <w:pPr>
        <w:pStyle w:val="ListParagraph"/>
        <w:numPr>
          <w:ilvl w:val="0"/>
          <w:numId w:val="330"/>
        </w:numPr>
        <w:tabs>
          <w:tab w:pos="1856" w:val="left" w:leader="none"/>
        </w:tabs>
        <w:spacing w:line="281" w:lineRule="exact" w:before="0" w:after="0"/>
        <w:ind w:left="1856" w:right="0" w:hanging="363"/>
        <w:jc w:val="left"/>
        <w:rPr>
          <w:sz w:val="24"/>
        </w:rPr>
      </w:pPr>
      <w:r>
        <w:rPr>
          <w:sz w:val="24"/>
        </w:rPr>
        <w:t>The</w:t>
      </w:r>
      <w:r>
        <w:rPr>
          <w:spacing w:val="45"/>
          <w:sz w:val="24"/>
        </w:rPr>
        <w:t> </w:t>
      </w:r>
      <w:r>
        <w:rPr>
          <w:sz w:val="24"/>
        </w:rPr>
        <w:t>use</w:t>
      </w:r>
      <w:r>
        <w:rPr>
          <w:spacing w:val="48"/>
          <w:sz w:val="24"/>
        </w:rPr>
        <w:t> </w:t>
      </w:r>
      <w:r>
        <w:rPr>
          <w:sz w:val="24"/>
        </w:rPr>
        <w:t>ofSWH</w:t>
      </w:r>
      <w:r>
        <w:rPr>
          <w:spacing w:val="49"/>
          <w:sz w:val="24"/>
        </w:rPr>
        <w:t> </w:t>
      </w:r>
      <w:r>
        <w:rPr>
          <w:sz w:val="24"/>
        </w:rPr>
        <w:t>system</w:t>
      </w:r>
      <w:r>
        <w:rPr>
          <w:spacing w:val="45"/>
          <w:sz w:val="24"/>
        </w:rPr>
        <w:t> </w:t>
      </w:r>
      <w:r>
        <w:rPr>
          <w:sz w:val="24"/>
        </w:rPr>
        <w:t>may</w:t>
      </w:r>
      <w:r>
        <w:rPr>
          <w:spacing w:val="48"/>
          <w:sz w:val="24"/>
        </w:rPr>
        <w:t> </w:t>
      </w:r>
      <w:r>
        <w:rPr>
          <w:sz w:val="24"/>
        </w:rPr>
        <w:t>be</w:t>
      </w:r>
      <w:r>
        <w:rPr>
          <w:spacing w:val="44"/>
          <w:sz w:val="24"/>
        </w:rPr>
        <w:t> </w:t>
      </w:r>
      <w:r>
        <w:rPr>
          <w:sz w:val="24"/>
        </w:rPr>
        <w:t>allowed</w:t>
      </w:r>
      <w:r>
        <w:rPr>
          <w:spacing w:val="44"/>
          <w:sz w:val="24"/>
        </w:rPr>
        <w:t> </w:t>
      </w:r>
      <w:r>
        <w:rPr>
          <w:sz w:val="24"/>
        </w:rPr>
        <w:t>in</w:t>
      </w:r>
      <w:r>
        <w:rPr>
          <w:spacing w:val="44"/>
          <w:sz w:val="24"/>
        </w:rPr>
        <w:t> </w:t>
      </w:r>
      <w:r>
        <w:rPr>
          <w:sz w:val="24"/>
        </w:rPr>
        <w:t>any</w:t>
      </w:r>
      <w:r>
        <w:rPr>
          <w:spacing w:val="48"/>
          <w:sz w:val="24"/>
        </w:rPr>
        <w:t> </w:t>
      </w:r>
      <w:r>
        <w:rPr>
          <w:sz w:val="24"/>
        </w:rPr>
        <w:t>other</w:t>
      </w:r>
      <w:r>
        <w:rPr>
          <w:spacing w:val="49"/>
          <w:sz w:val="24"/>
        </w:rPr>
        <w:t> </w:t>
      </w:r>
      <w:r>
        <w:rPr>
          <w:spacing w:val="-2"/>
          <w:sz w:val="24"/>
        </w:rPr>
        <w:t>building.</w:t>
      </w:r>
    </w:p>
    <w:p>
      <w:pPr>
        <w:pStyle w:val="ListParagraph"/>
        <w:spacing w:after="0" w:line="281" w:lineRule="exact"/>
        <w:jc w:val="left"/>
        <w:rPr>
          <w:sz w:val="24"/>
        </w:rPr>
        <w:sectPr>
          <w:pgSz w:w="11910" w:h="16840"/>
          <w:pgMar w:header="1058" w:footer="1196" w:top="1500" w:bottom="1380" w:left="360" w:right="360"/>
        </w:sectPr>
      </w:pPr>
    </w:p>
    <w:p>
      <w:pPr>
        <w:pStyle w:val="BodyText"/>
        <w:spacing w:before="255"/>
        <w:ind w:left="1853" w:right="784"/>
      </w:pPr>
      <w:r>
        <w:rPr/>
        <w:t>The installation of the electrical backup in all such water heating systems</w:t>
      </w:r>
      <w:r>
        <w:rPr>
          <w:spacing w:val="80"/>
        </w:rPr>
        <w:t> </w:t>
      </w:r>
      <w:r>
        <w:rPr/>
        <w:t>shall</w:t>
      </w:r>
      <w:r>
        <w:rPr>
          <w:spacing w:val="80"/>
        </w:rPr>
        <w:t> </w:t>
      </w:r>
      <w:r>
        <w:rPr/>
        <w:t>be</w:t>
      </w:r>
      <w:r>
        <w:rPr>
          <w:spacing w:val="80"/>
        </w:rPr>
        <w:t> </w:t>
      </w:r>
      <w:r>
        <w:rPr/>
        <w:t>optional</w:t>
      </w:r>
      <w:r>
        <w:rPr>
          <w:spacing w:val="80"/>
        </w:rPr>
        <w:t> </w:t>
      </w:r>
      <w:r>
        <w:rPr/>
        <w:t>depending</w:t>
      </w:r>
      <w:r>
        <w:rPr>
          <w:spacing w:val="80"/>
        </w:rPr>
        <w:t> </w:t>
      </w:r>
      <w:r>
        <w:rPr/>
        <w:t>on</w:t>
      </w:r>
      <w:r>
        <w:rPr>
          <w:spacing w:val="80"/>
        </w:rPr>
        <w:t> </w:t>
      </w:r>
      <w:r>
        <w:rPr/>
        <w:t>the</w:t>
      </w:r>
      <w:r>
        <w:rPr>
          <w:spacing w:val="80"/>
        </w:rPr>
        <w:t> </w:t>
      </w:r>
      <w:r>
        <w:rPr/>
        <w:t>nature</w:t>
      </w:r>
      <w:r>
        <w:rPr>
          <w:spacing w:val="80"/>
        </w:rPr>
        <w:t> </w:t>
      </w:r>
      <w:r>
        <w:rPr/>
        <w:t>of</w:t>
      </w:r>
      <w:r>
        <w:rPr>
          <w:spacing w:val="80"/>
        </w:rPr>
        <w:t> </w:t>
      </w:r>
      <w:r>
        <w:rPr/>
        <w:t>requirement of hot </w:t>
      </w:r>
      <w:r>
        <w:rPr>
          <w:spacing w:val="9"/>
        </w:rPr>
        <w:t>water.</w:t>
      </w:r>
    </w:p>
    <w:p>
      <w:pPr>
        <w:pStyle w:val="BodyText"/>
        <w:spacing w:before="242"/>
        <w:ind w:left="1853" w:right="781"/>
      </w:pPr>
      <w:r>
        <w:rPr/>
        <w:t>It</w:t>
      </w:r>
      <w:r>
        <w:rPr>
          <w:spacing w:val="40"/>
        </w:rPr>
        <w:t> </w:t>
      </w:r>
      <w:r>
        <w:rPr/>
        <w:t>is</w:t>
      </w:r>
      <w:r>
        <w:rPr>
          <w:spacing w:val="40"/>
        </w:rPr>
        <w:t> </w:t>
      </w:r>
      <w:r>
        <w:rPr/>
        <w:t>suggested</w:t>
      </w:r>
      <w:r>
        <w:rPr>
          <w:spacing w:val="40"/>
        </w:rPr>
        <w:t> </w:t>
      </w:r>
      <w:r>
        <w:rPr/>
        <w:t>that</w:t>
      </w:r>
      <w:r>
        <w:rPr>
          <w:spacing w:val="40"/>
        </w:rPr>
        <w:t> </w:t>
      </w:r>
      <w:r>
        <w:rPr/>
        <w:t>SWH</w:t>
      </w:r>
      <w:r>
        <w:rPr>
          <w:spacing w:val="40"/>
        </w:rPr>
        <w:t> </w:t>
      </w:r>
      <w:r>
        <w:rPr/>
        <w:t>systems</w:t>
      </w:r>
      <w:r>
        <w:rPr>
          <w:spacing w:val="40"/>
        </w:rPr>
        <w:t> </w:t>
      </w:r>
      <w:r>
        <w:rPr/>
        <w:t>of</w:t>
      </w:r>
      <w:r>
        <w:rPr>
          <w:spacing w:val="40"/>
        </w:rPr>
        <w:t> </w:t>
      </w:r>
      <w:r>
        <w:rPr/>
        <w:t>the</w:t>
      </w:r>
      <w:r>
        <w:rPr>
          <w:spacing w:val="40"/>
        </w:rPr>
        <w:t> </w:t>
      </w:r>
      <w:r>
        <w:rPr/>
        <w:t>capacity</w:t>
      </w:r>
      <w:r>
        <w:rPr>
          <w:spacing w:val="40"/>
        </w:rPr>
        <w:t> </w:t>
      </w:r>
      <w:r>
        <w:rPr/>
        <w:t>of</w:t>
      </w:r>
      <w:r>
        <w:rPr>
          <w:spacing w:val="40"/>
        </w:rPr>
        <w:t> </w:t>
      </w:r>
      <w:r>
        <w:rPr/>
        <w:t>about</w:t>
      </w:r>
      <w:r>
        <w:rPr>
          <w:spacing w:val="40"/>
        </w:rPr>
        <w:t> </w:t>
      </w:r>
      <w:r>
        <w:rPr/>
        <w:t>100</w:t>
      </w:r>
      <w:r>
        <w:rPr>
          <w:spacing w:val="40"/>
        </w:rPr>
        <w:t> </w:t>
      </w:r>
      <w:r>
        <w:rPr/>
        <w:t>liters per</w:t>
      </w:r>
      <w:r>
        <w:rPr>
          <w:spacing w:val="40"/>
        </w:rPr>
        <w:t> </w:t>
      </w:r>
      <w:r>
        <w:rPr/>
        <w:t>day</w:t>
      </w:r>
      <w:r>
        <w:rPr>
          <w:spacing w:val="40"/>
        </w:rPr>
        <w:t> </w:t>
      </w:r>
      <w:r>
        <w:rPr/>
        <w:t>on</w:t>
      </w:r>
      <w:r>
        <w:rPr>
          <w:spacing w:val="40"/>
        </w:rPr>
        <w:t> </w:t>
      </w:r>
      <w:r>
        <w:rPr/>
        <w:t>thermosyphon</w:t>
      </w:r>
      <w:r>
        <w:rPr>
          <w:spacing w:val="40"/>
        </w:rPr>
        <w:t> </w:t>
      </w:r>
      <w:r>
        <w:rPr/>
        <w:t>with</w:t>
      </w:r>
      <w:r>
        <w:rPr>
          <w:spacing w:val="40"/>
        </w:rPr>
        <w:t> </w:t>
      </w:r>
      <w:r>
        <w:rPr/>
        <w:t>necessary</w:t>
      </w:r>
      <w:r>
        <w:rPr>
          <w:spacing w:val="40"/>
        </w:rPr>
        <w:t> </w:t>
      </w:r>
      <w:r>
        <w:rPr/>
        <w:t>electrical</w:t>
      </w:r>
      <w:r>
        <w:rPr>
          <w:spacing w:val="12"/>
        </w:rPr>
        <w:t> back-</w:t>
      </w:r>
      <w:r>
        <w:rPr/>
        <w:t>up</w:t>
      </w:r>
      <w:r>
        <w:rPr>
          <w:spacing w:val="40"/>
        </w:rPr>
        <w:t> </w:t>
      </w:r>
      <w:r>
        <w:rPr/>
        <w:t>be installed</w:t>
      </w:r>
      <w:r>
        <w:rPr>
          <w:spacing w:val="80"/>
        </w:rPr>
        <w:t> </w:t>
      </w:r>
      <w:r>
        <w:rPr/>
        <w:t>at</w:t>
      </w:r>
      <w:r>
        <w:rPr>
          <w:spacing w:val="80"/>
        </w:rPr>
        <w:t> </w:t>
      </w:r>
      <w:r>
        <w:rPr/>
        <w:t>residential</w:t>
      </w:r>
      <w:r>
        <w:rPr>
          <w:spacing w:val="80"/>
        </w:rPr>
        <w:t> </w:t>
      </w:r>
      <w:r>
        <w:rPr/>
        <w:t>buildings</w:t>
      </w:r>
      <w:r>
        <w:rPr>
          <w:spacing w:val="80"/>
        </w:rPr>
        <w:t> </w:t>
      </w:r>
      <w:r>
        <w:rPr/>
        <w:t>like</w:t>
      </w:r>
      <w:r>
        <w:rPr>
          <w:spacing w:val="80"/>
        </w:rPr>
        <w:t> </w:t>
      </w:r>
      <w:r>
        <w:rPr/>
        <w:t>hostels.</w:t>
      </w:r>
    </w:p>
    <w:p>
      <w:pPr>
        <w:pStyle w:val="BodyText"/>
        <w:spacing w:before="239"/>
        <w:ind w:left="1853" w:right="785"/>
      </w:pPr>
      <w:r>
        <w:rPr/>
        <w:t>In order to facilitate the installation of the SWH systems, the new buildings</w:t>
      </w:r>
      <w:r>
        <w:rPr>
          <w:spacing w:val="40"/>
        </w:rPr>
        <w:t> </w:t>
      </w:r>
      <w:r>
        <w:rPr/>
        <w:t>of</w:t>
      </w:r>
      <w:r>
        <w:rPr>
          <w:spacing w:val="40"/>
        </w:rPr>
        <w:t> </w:t>
      </w:r>
      <w:r>
        <w:rPr/>
        <w:t>aforesaid</w:t>
      </w:r>
      <w:r>
        <w:rPr>
          <w:spacing w:val="40"/>
        </w:rPr>
        <w:t> </w:t>
      </w:r>
      <w:r>
        <w:rPr/>
        <w:t>types</w:t>
      </w:r>
      <w:r>
        <w:rPr>
          <w:spacing w:val="40"/>
        </w:rPr>
        <w:t> </w:t>
      </w:r>
      <w:r>
        <w:rPr/>
        <w:t>shall</w:t>
      </w:r>
      <w:r>
        <w:rPr>
          <w:spacing w:val="40"/>
        </w:rPr>
        <w:t> </w:t>
      </w:r>
      <w:r>
        <w:rPr/>
        <w:t>have</w:t>
      </w:r>
      <w:r>
        <w:rPr>
          <w:spacing w:val="40"/>
        </w:rPr>
        <w:t> </w:t>
      </w:r>
      <w:r>
        <w:rPr/>
        <w:t>the</w:t>
      </w:r>
      <w:r>
        <w:rPr>
          <w:spacing w:val="40"/>
        </w:rPr>
        <w:t> </w:t>
      </w:r>
      <w:r>
        <w:rPr/>
        <w:t>following</w:t>
      </w:r>
      <w:r>
        <w:rPr>
          <w:spacing w:val="80"/>
        </w:rPr>
        <w:t> </w:t>
      </w:r>
      <w:r>
        <w:rPr>
          <w:spacing w:val="9"/>
        </w:rPr>
        <w:t>provisions.</w:t>
      </w:r>
    </w:p>
    <w:p>
      <w:pPr>
        <w:pStyle w:val="ListParagraph"/>
        <w:numPr>
          <w:ilvl w:val="1"/>
          <w:numId w:val="330"/>
        </w:numPr>
        <w:tabs>
          <w:tab w:pos="2213" w:val="left" w:leader="none"/>
        </w:tabs>
        <w:spacing w:line="240" w:lineRule="auto" w:before="241" w:after="0"/>
        <w:ind w:left="2213" w:right="771" w:hanging="360"/>
        <w:jc w:val="both"/>
        <w:rPr>
          <w:sz w:val="24"/>
        </w:rPr>
      </w:pPr>
      <w:r>
        <w:rPr>
          <w:sz w:val="24"/>
        </w:rPr>
        <w:t>All</w:t>
      </w:r>
      <w:r>
        <w:rPr>
          <w:spacing w:val="40"/>
          <w:sz w:val="24"/>
        </w:rPr>
        <w:t> </w:t>
      </w:r>
      <w:r>
        <w:rPr>
          <w:sz w:val="24"/>
        </w:rPr>
        <w:t>such</w:t>
      </w:r>
      <w:r>
        <w:rPr>
          <w:spacing w:val="40"/>
          <w:sz w:val="24"/>
        </w:rPr>
        <w:t> </w:t>
      </w:r>
      <w:r>
        <w:rPr>
          <w:sz w:val="24"/>
        </w:rPr>
        <w:t>buildings</w:t>
      </w:r>
      <w:r>
        <w:rPr>
          <w:spacing w:val="40"/>
          <w:sz w:val="24"/>
        </w:rPr>
        <w:t> </w:t>
      </w:r>
      <w:r>
        <w:rPr>
          <w:sz w:val="24"/>
        </w:rPr>
        <w:t>where</w:t>
      </w:r>
      <w:r>
        <w:rPr>
          <w:spacing w:val="40"/>
          <w:sz w:val="24"/>
        </w:rPr>
        <w:t> </w:t>
      </w:r>
      <w:r>
        <w:rPr>
          <w:sz w:val="24"/>
        </w:rPr>
        <w:t>SWH</w:t>
      </w:r>
      <w:r>
        <w:rPr>
          <w:spacing w:val="40"/>
          <w:sz w:val="24"/>
        </w:rPr>
        <w:t> </w:t>
      </w:r>
      <w:r>
        <w:rPr>
          <w:sz w:val="24"/>
        </w:rPr>
        <w:t>systems</w:t>
      </w:r>
      <w:r>
        <w:rPr>
          <w:spacing w:val="40"/>
          <w:sz w:val="24"/>
        </w:rPr>
        <w:t> </w:t>
      </w:r>
      <w:r>
        <w:rPr>
          <w:sz w:val="24"/>
        </w:rPr>
        <w:t>are</w:t>
      </w:r>
      <w:r>
        <w:rPr>
          <w:spacing w:val="40"/>
          <w:sz w:val="24"/>
        </w:rPr>
        <w:t> </w:t>
      </w:r>
      <w:r>
        <w:rPr>
          <w:sz w:val="24"/>
        </w:rPr>
        <w:t>to</w:t>
      </w:r>
      <w:r>
        <w:rPr>
          <w:spacing w:val="40"/>
          <w:sz w:val="24"/>
        </w:rPr>
        <w:t> </w:t>
      </w:r>
      <w:r>
        <w:rPr>
          <w:sz w:val="24"/>
        </w:rPr>
        <w:t>be</w:t>
      </w:r>
      <w:r>
        <w:rPr>
          <w:spacing w:val="40"/>
          <w:sz w:val="24"/>
        </w:rPr>
        <w:t> </w:t>
      </w:r>
      <w:r>
        <w:rPr>
          <w:sz w:val="24"/>
        </w:rPr>
        <w:t>installed</w:t>
      </w:r>
      <w:r>
        <w:rPr>
          <w:spacing w:val="40"/>
          <w:sz w:val="24"/>
        </w:rPr>
        <w:t> </w:t>
      </w:r>
      <w:r>
        <w:rPr>
          <w:sz w:val="24"/>
        </w:rPr>
        <w:t>will have</w:t>
      </w:r>
      <w:r>
        <w:rPr>
          <w:spacing w:val="40"/>
          <w:sz w:val="24"/>
        </w:rPr>
        <w:t> </w:t>
      </w:r>
      <w:r>
        <w:rPr>
          <w:sz w:val="24"/>
        </w:rPr>
        <w:t>open</w:t>
      </w:r>
      <w:r>
        <w:rPr>
          <w:spacing w:val="40"/>
          <w:sz w:val="24"/>
        </w:rPr>
        <w:t> </w:t>
      </w:r>
      <w:r>
        <w:rPr>
          <w:sz w:val="24"/>
        </w:rPr>
        <w:t>sunny</w:t>
      </w:r>
      <w:r>
        <w:rPr>
          <w:spacing w:val="40"/>
          <w:sz w:val="24"/>
        </w:rPr>
        <w:t> </w:t>
      </w:r>
      <w:r>
        <w:rPr>
          <w:sz w:val="24"/>
        </w:rPr>
        <w:t>roof</w:t>
      </w:r>
      <w:r>
        <w:rPr>
          <w:spacing w:val="40"/>
          <w:sz w:val="24"/>
        </w:rPr>
        <w:t> </w:t>
      </w:r>
      <w:r>
        <w:rPr>
          <w:sz w:val="24"/>
        </w:rPr>
        <w:t>area</w:t>
      </w:r>
      <w:r>
        <w:rPr>
          <w:spacing w:val="40"/>
          <w:sz w:val="24"/>
        </w:rPr>
        <w:t> </w:t>
      </w:r>
      <w:r>
        <w:rPr>
          <w:sz w:val="24"/>
        </w:rPr>
        <w:t>available</w:t>
      </w:r>
      <w:r>
        <w:rPr>
          <w:spacing w:val="40"/>
          <w:sz w:val="24"/>
        </w:rPr>
        <w:t> </w:t>
      </w:r>
      <w:r>
        <w:rPr>
          <w:sz w:val="24"/>
        </w:rPr>
        <w:t>for</w:t>
      </w:r>
      <w:r>
        <w:rPr>
          <w:spacing w:val="40"/>
          <w:sz w:val="24"/>
        </w:rPr>
        <w:t> </w:t>
      </w:r>
      <w:r>
        <w:rPr>
          <w:spacing w:val="9"/>
          <w:sz w:val="24"/>
        </w:rPr>
        <w:t>installation</w:t>
      </w:r>
      <w:r>
        <w:rPr>
          <w:spacing w:val="40"/>
          <w:sz w:val="24"/>
        </w:rPr>
        <w:t> </w:t>
      </w:r>
      <w:r>
        <w:rPr>
          <w:sz w:val="24"/>
        </w:rPr>
        <w:t>of</w:t>
      </w:r>
      <w:r>
        <w:rPr>
          <w:spacing w:val="40"/>
          <w:sz w:val="24"/>
        </w:rPr>
        <w:t> </w:t>
      </w:r>
      <w:r>
        <w:rPr>
          <w:sz w:val="24"/>
        </w:rPr>
        <w:t>SWH </w:t>
      </w:r>
      <w:r>
        <w:rPr>
          <w:spacing w:val="-2"/>
          <w:sz w:val="24"/>
        </w:rPr>
        <w:t>system.</w:t>
      </w:r>
    </w:p>
    <w:p>
      <w:pPr>
        <w:pStyle w:val="ListParagraph"/>
        <w:numPr>
          <w:ilvl w:val="1"/>
          <w:numId w:val="330"/>
        </w:numPr>
        <w:tabs>
          <w:tab w:pos="2213" w:val="left" w:leader="none"/>
        </w:tabs>
        <w:spacing w:line="240" w:lineRule="auto" w:before="240" w:after="0"/>
        <w:ind w:left="2213" w:right="799" w:hanging="360"/>
        <w:jc w:val="both"/>
        <w:rPr>
          <w:sz w:val="24"/>
        </w:rPr>
      </w:pPr>
      <w:r>
        <w:rPr>
          <w:sz w:val="24"/>
        </w:rPr>
        <w:t>The</w:t>
      </w:r>
      <w:r>
        <w:rPr>
          <w:spacing w:val="76"/>
          <w:sz w:val="24"/>
        </w:rPr>
        <w:t> </w:t>
      </w:r>
      <w:r>
        <w:rPr>
          <w:sz w:val="24"/>
        </w:rPr>
        <w:t>roof</w:t>
      </w:r>
      <w:r>
        <w:rPr>
          <w:spacing w:val="76"/>
          <w:sz w:val="24"/>
        </w:rPr>
        <w:t> </w:t>
      </w:r>
      <w:r>
        <w:rPr>
          <w:sz w:val="24"/>
        </w:rPr>
        <w:t>loading</w:t>
      </w:r>
      <w:r>
        <w:rPr>
          <w:spacing w:val="80"/>
          <w:sz w:val="24"/>
        </w:rPr>
        <w:t> </w:t>
      </w:r>
      <w:r>
        <w:rPr>
          <w:sz w:val="24"/>
        </w:rPr>
        <w:t>adopted</w:t>
      </w:r>
      <w:r>
        <w:rPr>
          <w:spacing w:val="79"/>
          <w:sz w:val="24"/>
        </w:rPr>
        <w:t> </w:t>
      </w:r>
      <w:r>
        <w:rPr>
          <w:sz w:val="24"/>
        </w:rPr>
        <w:t>in</w:t>
      </w:r>
      <w:r>
        <w:rPr>
          <w:spacing w:val="79"/>
          <w:sz w:val="24"/>
        </w:rPr>
        <w:t> </w:t>
      </w:r>
      <w:r>
        <w:rPr>
          <w:sz w:val="24"/>
        </w:rPr>
        <w:t>the</w:t>
      </w:r>
      <w:r>
        <w:rPr>
          <w:spacing w:val="80"/>
          <w:sz w:val="24"/>
        </w:rPr>
        <w:t> </w:t>
      </w:r>
      <w:r>
        <w:rPr>
          <w:sz w:val="24"/>
        </w:rPr>
        <w:t>design</w:t>
      </w:r>
      <w:r>
        <w:rPr>
          <w:spacing w:val="76"/>
          <w:sz w:val="24"/>
        </w:rPr>
        <w:t> </w:t>
      </w:r>
      <w:r>
        <w:rPr>
          <w:sz w:val="24"/>
        </w:rPr>
        <w:t>of</w:t>
      </w:r>
      <w:r>
        <w:rPr>
          <w:spacing w:val="80"/>
          <w:sz w:val="24"/>
        </w:rPr>
        <w:t> </w:t>
      </w:r>
      <w:r>
        <w:rPr>
          <w:sz w:val="24"/>
        </w:rPr>
        <w:t>such</w:t>
      </w:r>
      <w:r>
        <w:rPr>
          <w:spacing w:val="79"/>
          <w:sz w:val="24"/>
        </w:rPr>
        <w:t> </w:t>
      </w:r>
      <w:r>
        <w:rPr>
          <w:sz w:val="24"/>
        </w:rPr>
        <w:t>building</w:t>
      </w:r>
      <w:r>
        <w:rPr>
          <w:spacing w:val="76"/>
          <w:sz w:val="24"/>
        </w:rPr>
        <w:t> </w:t>
      </w:r>
      <w:r>
        <w:rPr>
          <w:sz w:val="24"/>
        </w:rPr>
        <w:t>should be</w:t>
      </w:r>
      <w:r>
        <w:rPr>
          <w:spacing w:val="40"/>
          <w:sz w:val="24"/>
        </w:rPr>
        <w:t> </w:t>
      </w:r>
      <w:r>
        <w:rPr>
          <w:sz w:val="24"/>
        </w:rPr>
        <w:t>at</w:t>
      </w:r>
      <w:r>
        <w:rPr>
          <w:spacing w:val="40"/>
          <w:sz w:val="24"/>
        </w:rPr>
        <w:t> </w:t>
      </w:r>
      <w:r>
        <w:rPr>
          <w:sz w:val="24"/>
        </w:rPr>
        <w:t>least</w:t>
      </w:r>
      <w:r>
        <w:rPr>
          <w:spacing w:val="40"/>
          <w:sz w:val="24"/>
        </w:rPr>
        <w:t> </w:t>
      </w:r>
      <w:r>
        <w:rPr>
          <w:sz w:val="24"/>
        </w:rPr>
        <w:t>50</w:t>
      </w:r>
      <w:r>
        <w:rPr>
          <w:spacing w:val="40"/>
          <w:sz w:val="24"/>
        </w:rPr>
        <w:t> </w:t>
      </w:r>
      <w:r>
        <w:rPr>
          <w:sz w:val="24"/>
        </w:rPr>
        <w:t>kg/sq.</w:t>
      </w:r>
      <w:r>
        <w:rPr>
          <w:spacing w:val="40"/>
          <w:sz w:val="24"/>
        </w:rPr>
        <w:t> </w:t>
      </w:r>
      <w:r>
        <w:rPr>
          <w:sz w:val="24"/>
        </w:rPr>
        <w:t>m</w:t>
      </w:r>
      <w:r>
        <w:rPr>
          <w:spacing w:val="40"/>
          <w:sz w:val="24"/>
        </w:rPr>
        <w:t> </w:t>
      </w:r>
      <w:r>
        <w:rPr>
          <w:sz w:val="24"/>
        </w:rPr>
        <w:t>for</w:t>
      </w:r>
      <w:r>
        <w:rPr>
          <w:spacing w:val="40"/>
          <w:sz w:val="24"/>
        </w:rPr>
        <w:t> </w:t>
      </w:r>
      <w:r>
        <w:rPr>
          <w:sz w:val="24"/>
        </w:rPr>
        <w:t>the</w:t>
      </w:r>
      <w:r>
        <w:rPr>
          <w:spacing w:val="40"/>
          <w:sz w:val="24"/>
        </w:rPr>
        <w:t> </w:t>
      </w:r>
      <w:r>
        <w:rPr>
          <w:sz w:val="24"/>
        </w:rPr>
        <w:t>installation</w:t>
      </w:r>
      <w:r>
        <w:rPr>
          <w:spacing w:val="40"/>
          <w:sz w:val="24"/>
        </w:rPr>
        <w:t> </w:t>
      </w:r>
      <w:r>
        <w:rPr>
          <w:sz w:val="24"/>
        </w:rPr>
        <w:t>of</w:t>
      </w:r>
      <w:r>
        <w:rPr>
          <w:spacing w:val="76"/>
          <w:sz w:val="24"/>
        </w:rPr>
        <w:t> </w:t>
      </w:r>
      <w:r>
        <w:rPr>
          <w:sz w:val="24"/>
        </w:rPr>
        <w:t>SWH</w:t>
      </w:r>
      <w:r>
        <w:rPr>
          <w:spacing w:val="40"/>
          <w:sz w:val="24"/>
        </w:rPr>
        <w:t> </w:t>
      </w:r>
      <w:r>
        <w:rPr>
          <w:sz w:val="24"/>
        </w:rPr>
        <w:t>system.</w:t>
      </w:r>
    </w:p>
    <w:p>
      <w:pPr>
        <w:pStyle w:val="ListParagraph"/>
        <w:numPr>
          <w:ilvl w:val="1"/>
          <w:numId w:val="330"/>
        </w:numPr>
        <w:tabs>
          <w:tab w:pos="2213" w:val="left" w:leader="none"/>
        </w:tabs>
        <w:spacing w:line="240" w:lineRule="auto" w:before="238" w:after="0"/>
        <w:ind w:left="2213" w:right="771" w:hanging="360"/>
        <w:jc w:val="both"/>
        <w:rPr>
          <w:sz w:val="24"/>
        </w:rPr>
      </w:pPr>
      <w:r>
        <w:rPr>
          <w:sz w:val="24"/>
        </w:rPr>
        <w:t>SWHsystems</w:t>
      </w:r>
      <w:r>
        <w:rPr>
          <w:spacing w:val="40"/>
          <w:sz w:val="24"/>
        </w:rPr>
        <w:t> </w:t>
      </w:r>
      <w:r>
        <w:rPr>
          <w:sz w:val="24"/>
        </w:rPr>
        <w:t>can</w:t>
      </w:r>
      <w:r>
        <w:rPr>
          <w:spacing w:val="40"/>
          <w:sz w:val="24"/>
        </w:rPr>
        <w:t> </w:t>
      </w:r>
      <w:r>
        <w:rPr>
          <w:sz w:val="24"/>
        </w:rPr>
        <w:t>also</w:t>
      </w:r>
      <w:r>
        <w:rPr>
          <w:spacing w:val="40"/>
          <w:sz w:val="24"/>
        </w:rPr>
        <w:t> </w:t>
      </w:r>
      <w:r>
        <w:rPr>
          <w:sz w:val="24"/>
        </w:rPr>
        <w:t>be</w:t>
      </w:r>
      <w:r>
        <w:rPr>
          <w:spacing w:val="40"/>
          <w:sz w:val="24"/>
        </w:rPr>
        <w:t> </w:t>
      </w:r>
      <w:r>
        <w:rPr>
          <w:sz w:val="24"/>
        </w:rPr>
        <w:t>integrated</w:t>
      </w:r>
      <w:r>
        <w:rPr>
          <w:spacing w:val="40"/>
          <w:sz w:val="24"/>
        </w:rPr>
        <w:t> </w:t>
      </w:r>
      <w:r>
        <w:rPr>
          <w:sz w:val="24"/>
        </w:rPr>
        <w:t>with</w:t>
      </w:r>
      <w:r>
        <w:rPr>
          <w:spacing w:val="40"/>
          <w:sz w:val="24"/>
        </w:rPr>
        <w:t> </w:t>
      </w:r>
      <w:r>
        <w:rPr>
          <w:sz w:val="24"/>
        </w:rPr>
        <w:t>the</w:t>
      </w:r>
      <w:r>
        <w:rPr>
          <w:spacing w:val="40"/>
          <w:sz w:val="24"/>
        </w:rPr>
        <w:t> </w:t>
      </w:r>
      <w:r>
        <w:rPr>
          <w:sz w:val="24"/>
        </w:rPr>
        <w:t>building</w:t>
      </w:r>
      <w:r>
        <w:rPr>
          <w:spacing w:val="40"/>
          <w:sz w:val="24"/>
        </w:rPr>
        <w:t> </w:t>
      </w:r>
      <w:r>
        <w:rPr>
          <w:sz w:val="24"/>
        </w:rPr>
        <w:t>design. These</w:t>
      </w:r>
      <w:r>
        <w:rPr>
          <w:spacing w:val="40"/>
          <w:sz w:val="24"/>
        </w:rPr>
        <w:t> </w:t>
      </w:r>
      <w:r>
        <w:rPr>
          <w:sz w:val="24"/>
        </w:rPr>
        <w:t>can</w:t>
      </w:r>
      <w:r>
        <w:rPr>
          <w:spacing w:val="40"/>
          <w:sz w:val="24"/>
        </w:rPr>
        <w:t> </w:t>
      </w:r>
      <w:r>
        <w:rPr>
          <w:sz w:val="24"/>
        </w:rPr>
        <w:t>either</w:t>
      </w:r>
      <w:r>
        <w:rPr>
          <w:spacing w:val="40"/>
          <w:sz w:val="24"/>
        </w:rPr>
        <w:t> </w:t>
      </w:r>
      <w:r>
        <w:rPr>
          <w:sz w:val="24"/>
        </w:rPr>
        <w:t>be</w:t>
      </w:r>
      <w:r>
        <w:rPr>
          <w:spacing w:val="40"/>
          <w:sz w:val="24"/>
        </w:rPr>
        <w:t> </w:t>
      </w:r>
      <w:r>
        <w:rPr>
          <w:sz w:val="24"/>
        </w:rPr>
        <w:t>put</w:t>
      </w:r>
      <w:r>
        <w:rPr>
          <w:spacing w:val="40"/>
          <w:sz w:val="24"/>
        </w:rPr>
        <w:t> </w:t>
      </w:r>
      <w:r>
        <w:rPr>
          <w:sz w:val="24"/>
        </w:rPr>
        <w:t>on</w:t>
      </w:r>
      <w:r>
        <w:rPr>
          <w:spacing w:val="40"/>
          <w:sz w:val="24"/>
        </w:rPr>
        <w:t> </w:t>
      </w:r>
      <w:r>
        <w:rPr>
          <w:sz w:val="24"/>
        </w:rPr>
        <w:t>the</w:t>
      </w:r>
      <w:r>
        <w:rPr>
          <w:spacing w:val="40"/>
          <w:sz w:val="24"/>
        </w:rPr>
        <w:t> </w:t>
      </w:r>
      <w:r>
        <w:rPr>
          <w:sz w:val="24"/>
        </w:rPr>
        <w:t>parapet</w:t>
      </w:r>
      <w:r>
        <w:rPr>
          <w:spacing w:val="40"/>
          <w:sz w:val="24"/>
        </w:rPr>
        <w:t> </w:t>
      </w:r>
      <w:r>
        <w:rPr>
          <w:sz w:val="24"/>
        </w:rPr>
        <w:t>or</w:t>
      </w:r>
      <w:r>
        <w:rPr>
          <w:spacing w:val="40"/>
          <w:sz w:val="24"/>
        </w:rPr>
        <w:t> </w:t>
      </w:r>
      <w:r>
        <w:rPr>
          <w:sz w:val="24"/>
        </w:rPr>
        <w:t>could</w:t>
      </w:r>
      <w:r>
        <w:rPr>
          <w:spacing w:val="40"/>
          <w:sz w:val="24"/>
        </w:rPr>
        <w:t> </w:t>
      </w:r>
      <w:r>
        <w:rPr>
          <w:sz w:val="24"/>
        </w:rPr>
        <w:t>be</w:t>
      </w:r>
      <w:r>
        <w:rPr>
          <w:spacing w:val="40"/>
          <w:sz w:val="24"/>
        </w:rPr>
        <w:t> </w:t>
      </w:r>
      <w:r>
        <w:rPr>
          <w:spacing w:val="9"/>
          <w:sz w:val="24"/>
        </w:rPr>
        <w:t>integrated </w:t>
      </w:r>
      <w:r>
        <w:rPr>
          <w:sz w:val="24"/>
        </w:rPr>
        <w:t>with the south facing, vertical wall of the building. The best inclination</w:t>
      </w:r>
      <w:r>
        <w:rPr>
          <w:spacing w:val="80"/>
          <w:sz w:val="24"/>
        </w:rPr>
        <w:t> </w:t>
      </w:r>
      <w:r>
        <w:rPr>
          <w:sz w:val="24"/>
        </w:rPr>
        <w:t>of</w:t>
      </w:r>
      <w:r>
        <w:rPr>
          <w:spacing w:val="80"/>
          <w:sz w:val="24"/>
        </w:rPr>
        <w:t> </w:t>
      </w:r>
      <w:r>
        <w:rPr>
          <w:sz w:val="24"/>
        </w:rPr>
        <w:t>the</w:t>
      </w:r>
      <w:r>
        <w:rPr>
          <w:spacing w:val="80"/>
          <w:sz w:val="24"/>
        </w:rPr>
        <w:t> </w:t>
      </w:r>
      <w:r>
        <w:rPr>
          <w:sz w:val="24"/>
        </w:rPr>
        <w:t>solar</w:t>
      </w:r>
      <w:r>
        <w:rPr>
          <w:spacing w:val="80"/>
          <w:sz w:val="24"/>
        </w:rPr>
        <w:t> </w:t>
      </w:r>
      <w:r>
        <w:rPr>
          <w:sz w:val="24"/>
        </w:rPr>
        <w:t>energy</w:t>
      </w:r>
      <w:r>
        <w:rPr>
          <w:spacing w:val="80"/>
          <w:sz w:val="24"/>
        </w:rPr>
        <w:t> </w:t>
      </w:r>
      <w:r>
        <w:rPr>
          <w:sz w:val="24"/>
        </w:rPr>
        <w:t>collector</w:t>
      </w:r>
      <w:r>
        <w:rPr>
          <w:spacing w:val="80"/>
          <w:sz w:val="24"/>
        </w:rPr>
        <w:t> </w:t>
      </w:r>
      <w:r>
        <w:rPr>
          <w:sz w:val="24"/>
        </w:rPr>
        <w:t>for</w:t>
      </w:r>
      <w:r>
        <w:rPr>
          <w:spacing w:val="80"/>
          <w:sz w:val="24"/>
        </w:rPr>
        <w:t> </w:t>
      </w:r>
      <w:r>
        <w:rPr>
          <w:sz w:val="24"/>
        </w:rPr>
        <w:t>regular</w:t>
      </w:r>
      <w:r>
        <w:rPr>
          <w:spacing w:val="80"/>
          <w:sz w:val="24"/>
        </w:rPr>
        <w:t> </w:t>
      </w:r>
      <w:r>
        <w:rPr>
          <w:spacing w:val="9"/>
          <w:sz w:val="24"/>
        </w:rPr>
        <w:t>use </w:t>
      </w:r>
      <w:r>
        <w:rPr>
          <w:sz w:val="24"/>
        </w:rPr>
        <w:t>throughout</w:t>
      </w:r>
      <w:r>
        <w:rPr>
          <w:spacing w:val="40"/>
          <w:sz w:val="24"/>
        </w:rPr>
        <w:t> </w:t>
      </w:r>
      <w:r>
        <w:rPr>
          <w:sz w:val="24"/>
        </w:rPr>
        <w:t>the</w:t>
      </w:r>
      <w:r>
        <w:rPr>
          <w:spacing w:val="40"/>
          <w:sz w:val="24"/>
        </w:rPr>
        <w:t> </w:t>
      </w:r>
      <w:r>
        <w:rPr>
          <w:sz w:val="24"/>
        </w:rPr>
        <w:t>year</w:t>
      </w:r>
      <w:r>
        <w:rPr>
          <w:spacing w:val="40"/>
          <w:sz w:val="24"/>
        </w:rPr>
        <w:t> </w:t>
      </w:r>
      <w:r>
        <w:rPr>
          <w:sz w:val="24"/>
        </w:rPr>
        <w:t>is</w:t>
      </w:r>
      <w:r>
        <w:rPr>
          <w:spacing w:val="40"/>
          <w:sz w:val="24"/>
        </w:rPr>
        <w:t> </w:t>
      </w:r>
      <w:r>
        <w:rPr>
          <w:sz w:val="24"/>
        </w:rPr>
        <w:t>equal</w:t>
      </w:r>
      <w:r>
        <w:rPr>
          <w:spacing w:val="40"/>
          <w:sz w:val="24"/>
        </w:rPr>
        <w:t> </w:t>
      </w:r>
      <w:r>
        <w:rPr>
          <w:sz w:val="24"/>
        </w:rPr>
        <w:t>to</w:t>
      </w:r>
      <w:r>
        <w:rPr>
          <w:spacing w:val="40"/>
          <w:sz w:val="24"/>
        </w:rPr>
        <w:t> </w:t>
      </w:r>
      <w:r>
        <w:rPr>
          <w:sz w:val="24"/>
        </w:rPr>
        <w:t>the</w:t>
      </w:r>
      <w:r>
        <w:rPr>
          <w:spacing w:val="40"/>
          <w:sz w:val="24"/>
        </w:rPr>
        <w:t> </w:t>
      </w:r>
      <w:r>
        <w:rPr>
          <w:sz w:val="24"/>
        </w:rPr>
        <w:t>local</w:t>
      </w:r>
      <w:r>
        <w:rPr>
          <w:spacing w:val="40"/>
          <w:sz w:val="24"/>
        </w:rPr>
        <w:t> </w:t>
      </w:r>
      <w:r>
        <w:rPr>
          <w:sz w:val="24"/>
        </w:rPr>
        <w:t>Latitude</w:t>
      </w:r>
      <w:r>
        <w:rPr>
          <w:spacing w:val="40"/>
          <w:sz w:val="24"/>
        </w:rPr>
        <w:t> </w:t>
      </w:r>
      <w:r>
        <w:rPr>
          <w:sz w:val="24"/>
        </w:rPr>
        <w:t>of</w:t>
      </w:r>
      <w:r>
        <w:rPr>
          <w:spacing w:val="40"/>
          <w:sz w:val="24"/>
        </w:rPr>
        <w:t> </w:t>
      </w:r>
      <w:r>
        <w:rPr>
          <w:sz w:val="24"/>
        </w:rPr>
        <w:t>the</w:t>
      </w:r>
      <w:r>
        <w:rPr>
          <w:spacing w:val="40"/>
          <w:sz w:val="24"/>
        </w:rPr>
        <w:t> </w:t>
      </w:r>
      <w:r>
        <w:rPr>
          <w:sz w:val="24"/>
        </w:rPr>
        <w:t>place.</w:t>
      </w:r>
      <w:r>
        <w:rPr>
          <w:spacing w:val="40"/>
          <w:sz w:val="24"/>
        </w:rPr>
        <w:t> </w:t>
      </w:r>
      <w:r>
        <w:rPr>
          <w:sz w:val="24"/>
        </w:rPr>
        <w:t>The</w:t>
      </w:r>
      <w:r>
        <w:rPr>
          <w:spacing w:val="40"/>
          <w:sz w:val="24"/>
        </w:rPr>
        <w:t> </w:t>
      </w:r>
      <w:r>
        <w:rPr>
          <w:sz w:val="24"/>
        </w:rPr>
        <w:t>solar</w:t>
      </w:r>
      <w:r>
        <w:rPr>
          <w:spacing w:val="40"/>
          <w:sz w:val="24"/>
        </w:rPr>
        <w:t> </w:t>
      </w:r>
      <w:r>
        <w:rPr>
          <w:sz w:val="24"/>
        </w:rPr>
        <w:t>energy</w:t>
      </w:r>
      <w:r>
        <w:rPr>
          <w:spacing w:val="40"/>
          <w:sz w:val="24"/>
        </w:rPr>
        <w:t> </w:t>
      </w:r>
      <w:r>
        <w:rPr>
          <w:sz w:val="24"/>
        </w:rPr>
        <w:t>collector</w:t>
      </w:r>
      <w:r>
        <w:rPr>
          <w:spacing w:val="40"/>
          <w:sz w:val="24"/>
        </w:rPr>
        <w:t> </w:t>
      </w:r>
      <w:r>
        <w:rPr>
          <w:sz w:val="24"/>
        </w:rPr>
        <w:t>should</w:t>
      </w:r>
      <w:r>
        <w:rPr>
          <w:spacing w:val="40"/>
          <w:sz w:val="24"/>
        </w:rPr>
        <w:t> </w:t>
      </w:r>
      <w:r>
        <w:rPr>
          <w:sz w:val="24"/>
        </w:rPr>
        <w:t>be</w:t>
      </w:r>
      <w:r>
        <w:rPr>
          <w:spacing w:val="40"/>
          <w:sz w:val="24"/>
        </w:rPr>
        <w:t> </w:t>
      </w:r>
      <w:r>
        <w:rPr>
          <w:sz w:val="24"/>
        </w:rPr>
        <w:t>facing</w:t>
      </w:r>
      <w:r>
        <w:rPr>
          <w:spacing w:val="40"/>
          <w:sz w:val="24"/>
        </w:rPr>
        <w:t> </w:t>
      </w:r>
      <w:r>
        <w:rPr>
          <w:sz w:val="24"/>
        </w:rPr>
        <w:t>south.</w:t>
      </w:r>
      <w:r>
        <w:rPr>
          <w:spacing w:val="40"/>
          <w:sz w:val="24"/>
        </w:rPr>
        <w:t> </w:t>
      </w:r>
      <w:r>
        <w:rPr>
          <w:sz w:val="24"/>
        </w:rPr>
        <w:t>However,</w:t>
      </w:r>
      <w:r>
        <w:rPr>
          <w:spacing w:val="40"/>
          <w:sz w:val="24"/>
        </w:rPr>
        <w:t> </w:t>
      </w:r>
      <w:r>
        <w:rPr>
          <w:sz w:val="24"/>
        </w:rPr>
        <w:t>for only</w:t>
      </w:r>
      <w:r>
        <w:rPr>
          <w:spacing w:val="40"/>
          <w:sz w:val="24"/>
        </w:rPr>
        <w:t> </w:t>
      </w:r>
      <w:r>
        <w:rPr>
          <w:sz w:val="24"/>
        </w:rPr>
        <w:t>winter</w:t>
      </w:r>
      <w:r>
        <w:rPr>
          <w:spacing w:val="40"/>
          <w:sz w:val="24"/>
        </w:rPr>
        <w:t> </w:t>
      </w:r>
      <w:r>
        <w:rPr>
          <w:sz w:val="24"/>
        </w:rPr>
        <w:t>use,</w:t>
      </w:r>
      <w:r>
        <w:rPr>
          <w:spacing w:val="40"/>
          <w:sz w:val="24"/>
        </w:rPr>
        <w:t> </w:t>
      </w:r>
      <w:r>
        <w:rPr>
          <w:sz w:val="24"/>
        </w:rPr>
        <w:t>the</w:t>
      </w:r>
      <w:r>
        <w:rPr>
          <w:spacing w:val="40"/>
          <w:sz w:val="24"/>
        </w:rPr>
        <w:t> </w:t>
      </w:r>
      <w:r>
        <w:rPr>
          <w:sz w:val="24"/>
        </w:rPr>
        <w:t>optimum</w:t>
      </w:r>
      <w:r>
        <w:rPr>
          <w:spacing w:val="40"/>
          <w:sz w:val="24"/>
        </w:rPr>
        <w:t> </w:t>
      </w:r>
      <w:r>
        <w:rPr>
          <w:sz w:val="24"/>
        </w:rPr>
        <w:t>inclination</w:t>
      </w:r>
      <w:r>
        <w:rPr>
          <w:spacing w:val="40"/>
          <w:sz w:val="24"/>
        </w:rPr>
        <w:t> </w:t>
      </w:r>
      <w:r>
        <w:rPr>
          <w:sz w:val="24"/>
        </w:rPr>
        <w:t>of</w:t>
      </w:r>
      <w:r>
        <w:rPr>
          <w:spacing w:val="40"/>
          <w:sz w:val="24"/>
        </w:rPr>
        <w:t> </w:t>
      </w:r>
      <w:r>
        <w:rPr>
          <w:sz w:val="24"/>
        </w:rPr>
        <w:t>the</w:t>
      </w:r>
      <w:r>
        <w:rPr>
          <w:spacing w:val="40"/>
          <w:sz w:val="24"/>
        </w:rPr>
        <w:t> </w:t>
      </w:r>
      <w:r>
        <w:rPr>
          <w:sz w:val="24"/>
        </w:rPr>
        <w:t>solar</w:t>
      </w:r>
      <w:r>
        <w:rPr>
          <w:spacing w:val="40"/>
          <w:sz w:val="24"/>
        </w:rPr>
        <w:t> </w:t>
      </w:r>
      <w:r>
        <w:rPr>
          <w:sz w:val="24"/>
        </w:rPr>
        <w:t>energy collector</w:t>
      </w:r>
      <w:r>
        <w:rPr>
          <w:spacing w:val="80"/>
          <w:sz w:val="24"/>
        </w:rPr>
        <w:t> </w:t>
      </w:r>
      <w:r>
        <w:rPr>
          <w:sz w:val="24"/>
        </w:rPr>
        <w:t>would</w:t>
      </w:r>
      <w:r>
        <w:rPr>
          <w:spacing w:val="80"/>
          <w:sz w:val="24"/>
        </w:rPr>
        <w:t> </w:t>
      </w:r>
      <w:r>
        <w:rPr>
          <w:sz w:val="24"/>
        </w:rPr>
        <w:t>be</w:t>
      </w:r>
      <w:r>
        <w:rPr>
          <w:spacing w:val="80"/>
          <w:sz w:val="24"/>
        </w:rPr>
        <w:t> </w:t>
      </w:r>
      <w:r>
        <w:rPr>
          <w:sz w:val="24"/>
        </w:rPr>
        <w:t>Latitude+15</w:t>
      </w:r>
      <w:r>
        <w:rPr>
          <w:spacing w:val="40"/>
          <w:sz w:val="24"/>
        </w:rPr>
        <w:t> </w:t>
      </w:r>
      <w:r>
        <w:rPr>
          <w:sz w:val="24"/>
        </w:rPr>
        <w:t>degrees</w:t>
      </w:r>
      <w:r>
        <w:rPr>
          <w:spacing w:val="40"/>
          <w:sz w:val="24"/>
        </w:rPr>
        <w:t> </w:t>
      </w:r>
      <w:r>
        <w:rPr>
          <w:sz w:val="24"/>
        </w:rPr>
        <w:t>of</w:t>
      </w:r>
      <w:r>
        <w:rPr>
          <w:spacing w:val="40"/>
          <w:sz w:val="24"/>
        </w:rPr>
        <w:t> </w:t>
      </w:r>
      <w:r>
        <w:rPr>
          <w:sz w:val="24"/>
        </w:rPr>
        <w:t>the</w:t>
      </w:r>
      <w:r>
        <w:rPr>
          <w:spacing w:val="80"/>
          <w:sz w:val="24"/>
        </w:rPr>
        <w:t> </w:t>
      </w:r>
      <w:r>
        <w:rPr>
          <w:sz w:val="24"/>
        </w:rPr>
        <w:t>south.</w:t>
      </w:r>
    </w:p>
    <w:p>
      <w:pPr>
        <w:pStyle w:val="ListParagraph"/>
        <w:numPr>
          <w:ilvl w:val="1"/>
          <w:numId w:val="330"/>
        </w:numPr>
        <w:tabs>
          <w:tab w:pos="2213" w:val="left" w:leader="none"/>
        </w:tabs>
        <w:spacing w:line="240" w:lineRule="auto" w:before="243" w:after="0"/>
        <w:ind w:left="2213" w:right="795" w:hanging="360"/>
        <w:jc w:val="both"/>
        <w:rPr>
          <w:sz w:val="24"/>
        </w:rPr>
      </w:pPr>
      <w:r>
        <w:rPr>
          <w:sz w:val="24"/>
        </w:rPr>
        <w:t>All</w:t>
      </w:r>
      <w:r>
        <w:rPr>
          <w:spacing w:val="40"/>
          <w:sz w:val="24"/>
        </w:rPr>
        <w:t> </w:t>
      </w:r>
      <w:r>
        <w:rPr>
          <w:sz w:val="24"/>
        </w:rPr>
        <w:t>the</w:t>
      </w:r>
      <w:r>
        <w:rPr>
          <w:spacing w:val="40"/>
          <w:sz w:val="24"/>
        </w:rPr>
        <w:t> </w:t>
      </w:r>
      <w:r>
        <w:rPr>
          <w:sz w:val="24"/>
        </w:rPr>
        <w:t>new</w:t>
      </w:r>
      <w:r>
        <w:rPr>
          <w:spacing w:val="40"/>
          <w:sz w:val="24"/>
        </w:rPr>
        <w:t> </w:t>
      </w:r>
      <w:r>
        <w:rPr>
          <w:sz w:val="24"/>
        </w:rPr>
        <w:t>buildings</w:t>
      </w:r>
      <w:r>
        <w:rPr>
          <w:spacing w:val="40"/>
          <w:sz w:val="24"/>
        </w:rPr>
        <w:t> </w:t>
      </w:r>
      <w:r>
        <w:rPr>
          <w:sz w:val="24"/>
        </w:rPr>
        <w:t>of</w:t>
      </w:r>
      <w:r>
        <w:rPr>
          <w:spacing w:val="40"/>
          <w:sz w:val="24"/>
        </w:rPr>
        <w:t> </w:t>
      </w:r>
      <w:r>
        <w:rPr>
          <w:sz w:val="24"/>
        </w:rPr>
        <w:t>aforesaid</w:t>
      </w:r>
      <w:r>
        <w:rPr>
          <w:spacing w:val="40"/>
          <w:sz w:val="24"/>
        </w:rPr>
        <w:t> </w:t>
      </w:r>
      <w:r>
        <w:rPr>
          <w:sz w:val="24"/>
        </w:rPr>
        <w:t>types</w:t>
      </w:r>
      <w:r>
        <w:rPr>
          <w:spacing w:val="40"/>
          <w:sz w:val="24"/>
        </w:rPr>
        <w:t> </w:t>
      </w:r>
      <w:r>
        <w:rPr>
          <w:sz w:val="24"/>
        </w:rPr>
        <w:t>to</w:t>
      </w:r>
      <w:r>
        <w:rPr>
          <w:spacing w:val="40"/>
          <w:sz w:val="24"/>
        </w:rPr>
        <w:t> </w:t>
      </w:r>
      <w:r>
        <w:rPr>
          <w:sz w:val="24"/>
        </w:rPr>
        <w:t>be</w:t>
      </w:r>
      <w:r>
        <w:rPr>
          <w:spacing w:val="40"/>
          <w:sz w:val="24"/>
        </w:rPr>
        <w:t> </w:t>
      </w:r>
      <w:r>
        <w:rPr>
          <w:sz w:val="24"/>
        </w:rPr>
        <w:t>constructed</w:t>
      </w:r>
      <w:r>
        <w:rPr>
          <w:spacing w:val="40"/>
          <w:sz w:val="24"/>
        </w:rPr>
        <w:t> </w:t>
      </w:r>
      <w:r>
        <w:rPr>
          <w:sz w:val="24"/>
        </w:rPr>
        <w:t>shall have</w:t>
      </w:r>
      <w:r>
        <w:rPr>
          <w:spacing w:val="40"/>
          <w:sz w:val="24"/>
        </w:rPr>
        <w:t> </w:t>
      </w:r>
      <w:r>
        <w:rPr>
          <w:sz w:val="24"/>
        </w:rPr>
        <w:t>an</w:t>
      </w:r>
      <w:r>
        <w:rPr>
          <w:spacing w:val="40"/>
          <w:sz w:val="24"/>
        </w:rPr>
        <w:t> </w:t>
      </w:r>
      <w:r>
        <w:rPr>
          <w:sz w:val="24"/>
        </w:rPr>
        <w:t>installed</w:t>
      </w:r>
      <w:r>
        <w:rPr>
          <w:spacing w:val="40"/>
          <w:sz w:val="24"/>
        </w:rPr>
        <w:t> </w:t>
      </w:r>
      <w:r>
        <w:rPr>
          <w:sz w:val="24"/>
        </w:rPr>
        <w:t>hot</w:t>
      </w:r>
      <w:r>
        <w:rPr>
          <w:spacing w:val="40"/>
          <w:sz w:val="24"/>
        </w:rPr>
        <w:t> </w:t>
      </w:r>
      <w:r>
        <w:rPr>
          <w:sz w:val="24"/>
        </w:rPr>
        <w:t>water</w:t>
      </w:r>
      <w:r>
        <w:rPr>
          <w:spacing w:val="40"/>
          <w:sz w:val="24"/>
        </w:rPr>
        <w:t> </w:t>
      </w:r>
      <w:r>
        <w:rPr>
          <w:sz w:val="24"/>
        </w:rPr>
        <w:t>line</w:t>
      </w:r>
      <w:r>
        <w:rPr>
          <w:spacing w:val="40"/>
          <w:sz w:val="24"/>
        </w:rPr>
        <w:t> </w:t>
      </w:r>
      <w:r>
        <w:rPr>
          <w:sz w:val="24"/>
        </w:rPr>
        <w:t>from</w:t>
      </w:r>
      <w:r>
        <w:rPr>
          <w:spacing w:val="40"/>
          <w:sz w:val="24"/>
        </w:rPr>
        <w:t> </w:t>
      </w:r>
      <w:r>
        <w:rPr>
          <w:sz w:val="24"/>
        </w:rPr>
        <w:t>the</w:t>
      </w:r>
      <w:r>
        <w:rPr>
          <w:spacing w:val="40"/>
          <w:sz w:val="24"/>
        </w:rPr>
        <w:t> </w:t>
      </w:r>
      <w:r>
        <w:rPr>
          <w:sz w:val="24"/>
        </w:rPr>
        <w:t>roof</w:t>
      </w:r>
      <w:r>
        <w:rPr>
          <w:spacing w:val="40"/>
          <w:sz w:val="24"/>
        </w:rPr>
        <w:t> </w:t>
      </w:r>
      <w:r>
        <w:rPr>
          <w:sz w:val="24"/>
        </w:rPr>
        <w:t>top</w:t>
      </w:r>
      <w:r>
        <w:rPr>
          <w:spacing w:val="40"/>
          <w:sz w:val="24"/>
        </w:rPr>
        <w:t> </w:t>
      </w:r>
      <w:r>
        <w:rPr>
          <w:sz w:val="24"/>
        </w:rPr>
        <w:t>and</w:t>
      </w:r>
      <w:r>
        <w:rPr>
          <w:spacing w:val="40"/>
          <w:sz w:val="24"/>
        </w:rPr>
        <w:t> </w:t>
      </w:r>
      <w:r>
        <w:rPr>
          <w:sz w:val="24"/>
        </w:rPr>
        <w:t>also insulated</w:t>
      </w:r>
      <w:r>
        <w:rPr>
          <w:spacing w:val="40"/>
          <w:sz w:val="24"/>
        </w:rPr>
        <w:t> </w:t>
      </w:r>
      <w:r>
        <w:rPr>
          <w:sz w:val="24"/>
        </w:rPr>
        <w:t>distribution</w:t>
      </w:r>
      <w:r>
        <w:rPr>
          <w:spacing w:val="40"/>
          <w:sz w:val="24"/>
        </w:rPr>
        <w:t> </w:t>
      </w:r>
      <w:r>
        <w:rPr>
          <w:sz w:val="24"/>
        </w:rPr>
        <w:t>pipelines</w:t>
      </w:r>
      <w:r>
        <w:rPr>
          <w:spacing w:val="40"/>
          <w:sz w:val="24"/>
        </w:rPr>
        <w:t> </w:t>
      </w:r>
      <w:r>
        <w:rPr>
          <w:sz w:val="24"/>
        </w:rPr>
        <w:t>to</w:t>
      </w:r>
      <w:r>
        <w:rPr>
          <w:spacing w:val="40"/>
          <w:sz w:val="24"/>
        </w:rPr>
        <w:t> </w:t>
      </w:r>
      <w:r>
        <w:rPr>
          <w:sz w:val="24"/>
        </w:rPr>
        <w:t>each</w:t>
      </w:r>
      <w:r>
        <w:rPr>
          <w:spacing w:val="40"/>
          <w:sz w:val="24"/>
        </w:rPr>
        <w:t> </w:t>
      </w:r>
      <w:r>
        <w:rPr>
          <w:sz w:val="24"/>
        </w:rPr>
        <w:t>of</w:t>
      </w:r>
      <w:r>
        <w:rPr>
          <w:spacing w:val="40"/>
          <w:sz w:val="24"/>
        </w:rPr>
        <w:t> </w:t>
      </w:r>
      <w:r>
        <w:rPr>
          <w:sz w:val="24"/>
        </w:rPr>
        <w:t>the</w:t>
      </w:r>
      <w:r>
        <w:rPr>
          <w:spacing w:val="40"/>
          <w:sz w:val="24"/>
        </w:rPr>
        <w:t> </w:t>
      </w:r>
      <w:r>
        <w:rPr>
          <w:sz w:val="24"/>
        </w:rPr>
        <w:t>points</w:t>
      </w:r>
      <w:r>
        <w:rPr>
          <w:spacing w:val="40"/>
          <w:sz w:val="24"/>
        </w:rPr>
        <w:t> </w:t>
      </w:r>
      <w:r>
        <w:rPr>
          <w:sz w:val="24"/>
        </w:rPr>
        <w:t>where</w:t>
      </w:r>
      <w:r>
        <w:rPr>
          <w:spacing w:val="40"/>
          <w:sz w:val="24"/>
        </w:rPr>
        <w:t> </w:t>
      </w:r>
      <w:r>
        <w:rPr>
          <w:sz w:val="24"/>
        </w:rPr>
        <w:t>hot water</w:t>
      </w:r>
      <w:r>
        <w:rPr>
          <w:spacing w:val="40"/>
          <w:sz w:val="24"/>
        </w:rPr>
        <w:t> </w:t>
      </w:r>
      <w:r>
        <w:rPr>
          <w:sz w:val="24"/>
        </w:rPr>
        <w:t>is</w:t>
      </w:r>
      <w:r>
        <w:rPr>
          <w:spacing w:val="40"/>
          <w:sz w:val="24"/>
        </w:rPr>
        <w:t> </w:t>
      </w:r>
      <w:r>
        <w:rPr>
          <w:sz w:val="24"/>
        </w:rPr>
        <w:t>required</w:t>
      </w:r>
      <w:r>
        <w:rPr>
          <w:spacing w:val="40"/>
          <w:sz w:val="24"/>
        </w:rPr>
        <w:t> </w:t>
      </w:r>
      <w:r>
        <w:rPr>
          <w:sz w:val="24"/>
        </w:rPr>
        <w:t>in</w:t>
      </w:r>
      <w:r>
        <w:rPr>
          <w:spacing w:val="40"/>
          <w:sz w:val="24"/>
        </w:rPr>
        <w:t> </w:t>
      </w:r>
      <w:r>
        <w:rPr>
          <w:sz w:val="24"/>
        </w:rPr>
        <w:t>the</w:t>
      </w:r>
      <w:r>
        <w:rPr>
          <w:spacing w:val="40"/>
          <w:sz w:val="24"/>
        </w:rPr>
        <w:t> </w:t>
      </w:r>
      <w:r>
        <w:rPr>
          <w:sz w:val="24"/>
        </w:rPr>
        <w:t>building.</w:t>
      </w:r>
    </w:p>
    <w:p>
      <w:pPr>
        <w:pStyle w:val="ListParagraph"/>
        <w:numPr>
          <w:ilvl w:val="1"/>
          <w:numId w:val="330"/>
        </w:numPr>
        <w:tabs>
          <w:tab w:pos="2213" w:val="left" w:leader="none"/>
        </w:tabs>
        <w:spacing w:line="240" w:lineRule="auto" w:before="119" w:after="0"/>
        <w:ind w:left="2213" w:right="785" w:hanging="360"/>
        <w:jc w:val="both"/>
        <w:rPr>
          <w:sz w:val="24"/>
        </w:rPr>
      </w:pPr>
      <w:r>
        <w:rPr>
          <w:sz w:val="24"/>
        </w:rPr>
        <w:t>The</w:t>
      </w:r>
      <w:r>
        <w:rPr>
          <w:spacing w:val="40"/>
          <w:sz w:val="24"/>
        </w:rPr>
        <w:t> </w:t>
      </w:r>
      <w:r>
        <w:rPr>
          <w:sz w:val="24"/>
        </w:rPr>
        <w:t>capacity</w:t>
      </w:r>
      <w:r>
        <w:rPr>
          <w:spacing w:val="40"/>
          <w:sz w:val="24"/>
        </w:rPr>
        <w:t> </w:t>
      </w:r>
      <w:r>
        <w:rPr>
          <w:sz w:val="24"/>
        </w:rPr>
        <w:t>of</w:t>
      </w:r>
      <w:r>
        <w:rPr>
          <w:spacing w:val="40"/>
          <w:sz w:val="24"/>
        </w:rPr>
        <w:t> </w:t>
      </w:r>
      <w:r>
        <w:rPr>
          <w:sz w:val="24"/>
        </w:rPr>
        <w:t>the</w:t>
      </w:r>
      <w:r>
        <w:rPr>
          <w:spacing w:val="40"/>
          <w:sz w:val="24"/>
        </w:rPr>
        <w:t> </w:t>
      </w:r>
      <w:r>
        <w:rPr>
          <w:sz w:val="24"/>
        </w:rPr>
        <w:t>SWH</w:t>
      </w:r>
      <w:r>
        <w:rPr>
          <w:spacing w:val="40"/>
          <w:sz w:val="24"/>
        </w:rPr>
        <w:t> </w:t>
      </w:r>
      <w:r>
        <w:rPr>
          <w:sz w:val="24"/>
        </w:rPr>
        <w:t>system</w:t>
      </w:r>
      <w:r>
        <w:rPr>
          <w:spacing w:val="40"/>
          <w:sz w:val="24"/>
        </w:rPr>
        <w:t> </w:t>
      </w:r>
      <w:r>
        <w:rPr>
          <w:sz w:val="24"/>
        </w:rPr>
        <w:t>to</w:t>
      </w:r>
      <w:r>
        <w:rPr>
          <w:spacing w:val="40"/>
          <w:sz w:val="24"/>
        </w:rPr>
        <w:t> </w:t>
      </w:r>
      <w:r>
        <w:rPr>
          <w:sz w:val="24"/>
        </w:rPr>
        <w:t>be</w:t>
      </w:r>
      <w:r>
        <w:rPr>
          <w:spacing w:val="40"/>
          <w:sz w:val="24"/>
        </w:rPr>
        <w:t> </w:t>
      </w:r>
      <w:r>
        <w:rPr>
          <w:sz w:val="24"/>
        </w:rPr>
        <w:t>installed</w:t>
      </w:r>
      <w:r>
        <w:rPr>
          <w:spacing w:val="40"/>
          <w:sz w:val="24"/>
        </w:rPr>
        <w:t> </w:t>
      </w:r>
      <w:r>
        <w:rPr>
          <w:sz w:val="24"/>
        </w:rPr>
        <w:t>on</w:t>
      </w:r>
      <w:r>
        <w:rPr>
          <w:spacing w:val="40"/>
          <w:sz w:val="24"/>
        </w:rPr>
        <w:t> </w:t>
      </w:r>
      <w:r>
        <w:rPr>
          <w:sz w:val="24"/>
        </w:rPr>
        <w:t>the</w:t>
      </w:r>
      <w:r>
        <w:rPr>
          <w:spacing w:val="40"/>
          <w:sz w:val="24"/>
        </w:rPr>
        <w:t> </w:t>
      </w:r>
      <w:r>
        <w:rPr>
          <w:sz w:val="24"/>
        </w:rPr>
        <w:t>building shall be decided on the basis of the average occupancy of the buildings.</w:t>
      </w:r>
      <w:r>
        <w:rPr>
          <w:spacing w:val="80"/>
          <w:sz w:val="24"/>
        </w:rPr>
        <w:t> </w:t>
      </w:r>
      <w:r>
        <w:rPr>
          <w:sz w:val="24"/>
        </w:rPr>
        <w:t>The</w:t>
      </w:r>
      <w:r>
        <w:rPr>
          <w:spacing w:val="80"/>
          <w:sz w:val="24"/>
        </w:rPr>
        <w:t> </w:t>
      </w:r>
      <w:r>
        <w:rPr>
          <w:sz w:val="24"/>
        </w:rPr>
        <w:t>norms</w:t>
      </w:r>
      <w:r>
        <w:rPr>
          <w:spacing w:val="80"/>
          <w:sz w:val="24"/>
        </w:rPr>
        <w:t> </w:t>
      </w:r>
      <w:r>
        <w:rPr>
          <w:sz w:val="24"/>
        </w:rPr>
        <w:t>for</w:t>
      </w:r>
      <w:r>
        <w:rPr>
          <w:spacing w:val="80"/>
          <w:sz w:val="24"/>
        </w:rPr>
        <w:t> </w:t>
      </w:r>
      <w:r>
        <w:rPr>
          <w:sz w:val="24"/>
        </w:rPr>
        <w:t>hospitals,</w:t>
      </w:r>
      <w:r>
        <w:rPr>
          <w:spacing w:val="80"/>
          <w:sz w:val="24"/>
        </w:rPr>
        <w:t> </w:t>
      </w:r>
      <w:r>
        <w:rPr>
          <w:sz w:val="24"/>
        </w:rPr>
        <w:t>hotels</w:t>
      </w:r>
      <w:r>
        <w:rPr>
          <w:spacing w:val="80"/>
          <w:sz w:val="24"/>
        </w:rPr>
        <w:t> </w:t>
      </w:r>
      <w:r>
        <w:rPr>
          <w:sz w:val="24"/>
        </w:rPr>
        <w:t>and</w:t>
      </w:r>
      <w:r>
        <w:rPr>
          <w:spacing w:val="80"/>
          <w:sz w:val="24"/>
        </w:rPr>
        <w:t> </w:t>
      </w:r>
      <w:r>
        <w:rPr>
          <w:sz w:val="24"/>
        </w:rPr>
        <w:t>other</w:t>
      </w:r>
      <w:r>
        <w:rPr>
          <w:spacing w:val="80"/>
          <w:sz w:val="24"/>
        </w:rPr>
        <w:t> </w:t>
      </w:r>
      <w:r>
        <w:rPr>
          <w:sz w:val="24"/>
        </w:rPr>
        <w:t>buildings are given </w:t>
      </w:r>
      <w:r>
        <w:rPr>
          <w:spacing w:val="9"/>
          <w:sz w:val="24"/>
        </w:rPr>
        <w:t>below:</w:t>
      </w:r>
    </w:p>
    <w:p>
      <w:pPr>
        <w:pStyle w:val="BodyText"/>
        <w:spacing w:before="167" w:after="1"/>
        <w:jc w:val="left"/>
        <w:rPr>
          <w:sz w:val="20"/>
        </w:rPr>
      </w:pPr>
    </w:p>
    <w:tbl>
      <w:tblPr>
        <w:tblW w:w="0" w:type="auto"/>
        <w:jc w:val="left"/>
        <w:tblInd w:w="14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1"/>
        <w:gridCol w:w="4266"/>
        <w:gridCol w:w="2953"/>
      </w:tblGrid>
      <w:tr>
        <w:trPr>
          <w:trHeight w:val="926" w:hRule="atLeast"/>
        </w:trPr>
        <w:tc>
          <w:tcPr>
            <w:tcW w:w="1171" w:type="dxa"/>
            <w:shd w:val="clear" w:color="auto" w:fill="E7E6E6"/>
          </w:tcPr>
          <w:p>
            <w:pPr>
              <w:pStyle w:val="TableParagraph"/>
              <w:spacing w:before="37"/>
              <w:ind w:left="9"/>
              <w:jc w:val="center"/>
              <w:rPr>
                <w:sz w:val="24"/>
              </w:rPr>
            </w:pPr>
            <w:r>
              <w:rPr>
                <w:sz w:val="24"/>
              </w:rPr>
              <w:t>Sr. </w:t>
            </w:r>
            <w:r>
              <w:rPr>
                <w:spacing w:val="-5"/>
                <w:sz w:val="24"/>
              </w:rPr>
              <w:t>No.</w:t>
            </w:r>
          </w:p>
        </w:tc>
        <w:tc>
          <w:tcPr>
            <w:tcW w:w="4266" w:type="dxa"/>
            <w:shd w:val="clear" w:color="auto" w:fill="E7E6E6"/>
          </w:tcPr>
          <w:p>
            <w:pPr>
              <w:pStyle w:val="TableParagraph"/>
              <w:spacing w:before="37"/>
              <w:ind w:left="107"/>
              <w:rPr>
                <w:sz w:val="24"/>
              </w:rPr>
            </w:pPr>
            <w:r>
              <w:rPr>
                <w:sz w:val="24"/>
              </w:rPr>
              <w:t>Type</w:t>
            </w:r>
            <w:r>
              <w:rPr>
                <w:spacing w:val="-4"/>
                <w:sz w:val="24"/>
              </w:rPr>
              <w:t> </w:t>
            </w:r>
            <w:r>
              <w:rPr>
                <w:sz w:val="24"/>
              </w:rPr>
              <w:t>of</w:t>
            </w:r>
            <w:r>
              <w:rPr>
                <w:spacing w:val="-1"/>
                <w:sz w:val="24"/>
              </w:rPr>
              <w:t> </w:t>
            </w:r>
            <w:r>
              <w:rPr>
                <w:spacing w:val="-2"/>
                <w:sz w:val="24"/>
              </w:rPr>
              <w:t>Building</w:t>
            </w:r>
          </w:p>
        </w:tc>
        <w:tc>
          <w:tcPr>
            <w:tcW w:w="2953" w:type="dxa"/>
            <w:shd w:val="clear" w:color="auto" w:fill="E7E6E6"/>
          </w:tcPr>
          <w:p>
            <w:pPr>
              <w:pStyle w:val="TableParagraph"/>
              <w:spacing w:before="40"/>
              <w:ind w:left="107" w:right="106"/>
              <w:rPr>
                <w:sz w:val="24"/>
              </w:rPr>
            </w:pPr>
            <w:r>
              <w:rPr>
                <w:sz w:val="24"/>
              </w:rPr>
              <w:t>Per capita capacity recommended</w:t>
            </w:r>
            <w:r>
              <w:rPr>
                <w:spacing w:val="-20"/>
                <w:sz w:val="24"/>
              </w:rPr>
              <w:t> </w:t>
            </w:r>
            <w:r>
              <w:rPr>
                <w:sz w:val="24"/>
              </w:rPr>
              <w:t>(litres per day).</w:t>
            </w:r>
          </w:p>
        </w:tc>
      </w:tr>
      <w:tr>
        <w:trPr>
          <w:trHeight w:val="361" w:hRule="atLeast"/>
        </w:trPr>
        <w:tc>
          <w:tcPr>
            <w:tcW w:w="1171" w:type="dxa"/>
          </w:tcPr>
          <w:p>
            <w:pPr>
              <w:pStyle w:val="TableParagraph"/>
              <w:spacing w:before="37"/>
              <w:ind w:left="9"/>
              <w:jc w:val="center"/>
              <w:rPr>
                <w:sz w:val="24"/>
              </w:rPr>
            </w:pPr>
            <w:r>
              <w:rPr>
                <w:spacing w:val="-10"/>
                <w:sz w:val="24"/>
              </w:rPr>
              <w:t>1</w:t>
            </w:r>
          </w:p>
        </w:tc>
        <w:tc>
          <w:tcPr>
            <w:tcW w:w="4266" w:type="dxa"/>
          </w:tcPr>
          <w:p>
            <w:pPr>
              <w:pStyle w:val="TableParagraph"/>
              <w:spacing w:before="37"/>
              <w:ind w:left="107"/>
              <w:rPr>
                <w:sz w:val="24"/>
              </w:rPr>
            </w:pPr>
            <w:r>
              <w:rPr>
                <w:spacing w:val="-2"/>
                <w:sz w:val="24"/>
              </w:rPr>
              <w:t>Hospitals</w:t>
            </w:r>
          </w:p>
        </w:tc>
        <w:tc>
          <w:tcPr>
            <w:tcW w:w="2953" w:type="dxa"/>
          </w:tcPr>
          <w:p>
            <w:pPr>
              <w:pStyle w:val="TableParagraph"/>
              <w:spacing w:before="37"/>
              <w:ind w:left="107"/>
              <w:rPr>
                <w:sz w:val="24"/>
              </w:rPr>
            </w:pPr>
            <w:r>
              <w:rPr>
                <w:spacing w:val="-5"/>
                <w:sz w:val="24"/>
              </w:rPr>
              <w:t>100</w:t>
            </w:r>
          </w:p>
        </w:tc>
      </w:tr>
      <w:tr>
        <w:trPr>
          <w:trHeight w:val="361" w:hRule="atLeast"/>
        </w:trPr>
        <w:tc>
          <w:tcPr>
            <w:tcW w:w="1171" w:type="dxa"/>
          </w:tcPr>
          <w:p>
            <w:pPr>
              <w:pStyle w:val="TableParagraph"/>
              <w:spacing w:before="37"/>
              <w:ind w:left="9"/>
              <w:jc w:val="center"/>
              <w:rPr>
                <w:sz w:val="24"/>
              </w:rPr>
            </w:pPr>
            <w:r>
              <w:rPr>
                <w:spacing w:val="-10"/>
                <w:sz w:val="24"/>
              </w:rPr>
              <w:t>2</w:t>
            </w:r>
          </w:p>
        </w:tc>
        <w:tc>
          <w:tcPr>
            <w:tcW w:w="4266" w:type="dxa"/>
          </w:tcPr>
          <w:p>
            <w:pPr>
              <w:pStyle w:val="TableParagraph"/>
              <w:spacing w:before="37"/>
              <w:ind w:left="107"/>
              <w:rPr>
                <w:sz w:val="24"/>
              </w:rPr>
            </w:pPr>
            <w:r>
              <w:rPr>
                <w:spacing w:val="-2"/>
                <w:sz w:val="24"/>
              </w:rPr>
              <w:t>Hotels</w:t>
            </w:r>
          </w:p>
        </w:tc>
        <w:tc>
          <w:tcPr>
            <w:tcW w:w="2953" w:type="dxa"/>
          </w:tcPr>
          <w:p>
            <w:pPr>
              <w:pStyle w:val="TableParagraph"/>
              <w:spacing w:before="37"/>
              <w:ind w:left="107"/>
              <w:rPr>
                <w:sz w:val="24"/>
              </w:rPr>
            </w:pPr>
            <w:r>
              <w:rPr>
                <w:spacing w:val="-5"/>
                <w:sz w:val="24"/>
              </w:rPr>
              <w:t>150</w:t>
            </w:r>
          </w:p>
        </w:tc>
      </w:tr>
      <w:tr>
        <w:trPr>
          <w:trHeight w:val="361" w:hRule="atLeast"/>
        </w:trPr>
        <w:tc>
          <w:tcPr>
            <w:tcW w:w="1171" w:type="dxa"/>
          </w:tcPr>
          <w:p>
            <w:pPr>
              <w:pStyle w:val="TableParagraph"/>
              <w:spacing w:before="37"/>
              <w:ind w:left="9"/>
              <w:jc w:val="center"/>
              <w:rPr>
                <w:sz w:val="24"/>
              </w:rPr>
            </w:pPr>
            <w:r>
              <w:rPr>
                <w:spacing w:val="-10"/>
                <w:sz w:val="24"/>
              </w:rPr>
              <w:t>3</w:t>
            </w:r>
          </w:p>
        </w:tc>
        <w:tc>
          <w:tcPr>
            <w:tcW w:w="4266" w:type="dxa"/>
          </w:tcPr>
          <w:p>
            <w:pPr>
              <w:pStyle w:val="TableParagraph"/>
              <w:spacing w:before="37"/>
              <w:ind w:left="107"/>
              <w:rPr>
                <w:sz w:val="24"/>
              </w:rPr>
            </w:pPr>
            <w:r>
              <w:rPr>
                <w:sz w:val="24"/>
              </w:rPr>
              <w:t>Hostels</w:t>
            </w:r>
            <w:r>
              <w:rPr>
                <w:spacing w:val="-1"/>
                <w:sz w:val="24"/>
              </w:rPr>
              <w:t> </w:t>
            </w:r>
            <w:r>
              <w:rPr>
                <w:sz w:val="24"/>
              </w:rPr>
              <w:t>&amp;</w:t>
            </w:r>
            <w:r>
              <w:rPr>
                <w:spacing w:val="-1"/>
                <w:sz w:val="24"/>
              </w:rPr>
              <w:t> </w:t>
            </w:r>
            <w:r>
              <w:rPr>
                <w:sz w:val="24"/>
              </w:rPr>
              <w:t>other</w:t>
            </w:r>
            <w:r>
              <w:rPr>
                <w:spacing w:val="-1"/>
                <w:sz w:val="24"/>
              </w:rPr>
              <w:t> </w:t>
            </w:r>
            <w:r>
              <w:rPr>
                <w:sz w:val="24"/>
              </w:rPr>
              <w:t>such </w:t>
            </w:r>
            <w:r>
              <w:rPr>
                <w:spacing w:val="-2"/>
                <w:sz w:val="24"/>
              </w:rPr>
              <w:t>buildings</w:t>
            </w:r>
          </w:p>
        </w:tc>
        <w:tc>
          <w:tcPr>
            <w:tcW w:w="2953" w:type="dxa"/>
          </w:tcPr>
          <w:p>
            <w:pPr>
              <w:pStyle w:val="TableParagraph"/>
              <w:spacing w:before="37"/>
              <w:ind w:left="107"/>
              <w:rPr>
                <w:sz w:val="24"/>
              </w:rPr>
            </w:pPr>
            <w:r>
              <w:rPr>
                <w:spacing w:val="-5"/>
                <w:sz w:val="24"/>
              </w:rPr>
              <w:t>25</w:t>
            </w:r>
          </w:p>
        </w:tc>
      </w:tr>
      <w:tr>
        <w:trPr>
          <w:trHeight w:val="361" w:hRule="atLeast"/>
        </w:trPr>
        <w:tc>
          <w:tcPr>
            <w:tcW w:w="1171" w:type="dxa"/>
          </w:tcPr>
          <w:p>
            <w:pPr>
              <w:pStyle w:val="TableParagraph"/>
              <w:spacing w:before="37"/>
              <w:ind w:left="9"/>
              <w:jc w:val="center"/>
              <w:rPr>
                <w:sz w:val="24"/>
              </w:rPr>
            </w:pPr>
            <w:r>
              <w:rPr>
                <w:spacing w:val="-10"/>
                <w:sz w:val="24"/>
              </w:rPr>
              <w:t>4</w:t>
            </w:r>
          </w:p>
        </w:tc>
        <w:tc>
          <w:tcPr>
            <w:tcW w:w="4266" w:type="dxa"/>
          </w:tcPr>
          <w:p>
            <w:pPr>
              <w:pStyle w:val="TableParagraph"/>
              <w:spacing w:before="37"/>
              <w:ind w:left="107"/>
              <w:rPr>
                <w:sz w:val="24"/>
              </w:rPr>
            </w:pPr>
            <w:r>
              <w:rPr>
                <w:spacing w:val="-2"/>
                <w:sz w:val="24"/>
              </w:rPr>
              <w:t>Canteen</w:t>
            </w:r>
          </w:p>
        </w:tc>
        <w:tc>
          <w:tcPr>
            <w:tcW w:w="2953" w:type="dxa"/>
          </w:tcPr>
          <w:p>
            <w:pPr>
              <w:pStyle w:val="TableParagraph"/>
              <w:spacing w:before="37"/>
              <w:ind w:left="107"/>
              <w:rPr>
                <w:sz w:val="24"/>
              </w:rPr>
            </w:pPr>
            <w:r>
              <w:rPr>
                <w:sz w:val="24"/>
              </w:rPr>
              <w:t>As </w:t>
            </w:r>
            <w:r>
              <w:rPr>
                <w:spacing w:val="-2"/>
                <w:sz w:val="24"/>
              </w:rPr>
              <w:t>required</w:t>
            </w:r>
          </w:p>
        </w:tc>
      </w:tr>
      <w:tr>
        <w:trPr>
          <w:trHeight w:val="642" w:hRule="atLeast"/>
        </w:trPr>
        <w:tc>
          <w:tcPr>
            <w:tcW w:w="1171" w:type="dxa"/>
          </w:tcPr>
          <w:p>
            <w:pPr>
              <w:pStyle w:val="TableParagraph"/>
              <w:spacing w:before="37"/>
              <w:ind w:left="9"/>
              <w:jc w:val="center"/>
              <w:rPr>
                <w:sz w:val="24"/>
              </w:rPr>
            </w:pPr>
            <w:r>
              <w:rPr>
                <w:spacing w:val="-10"/>
                <w:sz w:val="24"/>
              </w:rPr>
              <w:t>5</w:t>
            </w:r>
          </w:p>
        </w:tc>
        <w:tc>
          <w:tcPr>
            <w:tcW w:w="4266" w:type="dxa"/>
          </w:tcPr>
          <w:p>
            <w:pPr>
              <w:pStyle w:val="TableParagraph"/>
              <w:spacing w:before="40"/>
              <w:ind w:left="107" w:right="170"/>
              <w:rPr>
                <w:sz w:val="24"/>
              </w:rPr>
            </w:pPr>
            <w:r>
              <w:rPr>
                <w:sz w:val="24"/>
              </w:rPr>
              <w:t>Laboratory</w:t>
            </w:r>
            <w:r>
              <w:rPr>
                <w:spacing w:val="-19"/>
                <w:sz w:val="24"/>
              </w:rPr>
              <w:t> </w:t>
            </w:r>
            <w:r>
              <w:rPr>
                <w:sz w:val="24"/>
              </w:rPr>
              <w:t>&amp;</w:t>
            </w:r>
            <w:r>
              <w:rPr>
                <w:spacing w:val="-19"/>
                <w:sz w:val="24"/>
              </w:rPr>
              <w:t> </w:t>
            </w:r>
            <w:r>
              <w:rPr>
                <w:sz w:val="24"/>
              </w:rPr>
              <w:t>Research </w:t>
            </w:r>
            <w:r>
              <w:rPr>
                <w:spacing w:val="-2"/>
                <w:sz w:val="24"/>
              </w:rPr>
              <w:t>Institutions</w:t>
            </w:r>
          </w:p>
        </w:tc>
        <w:tc>
          <w:tcPr>
            <w:tcW w:w="2953" w:type="dxa"/>
          </w:tcPr>
          <w:p>
            <w:pPr>
              <w:pStyle w:val="TableParagraph"/>
              <w:spacing w:before="37"/>
              <w:ind w:left="107"/>
              <w:rPr>
                <w:sz w:val="24"/>
              </w:rPr>
            </w:pPr>
            <w:r>
              <w:rPr>
                <w:sz w:val="24"/>
              </w:rPr>
              <w:t>As </w:t>
            </w:r>
            <w:r>
              <w:rPr>
                <w:spacing w:val="-2"/>
                <w:sz w:val="24"/>
              </w:rPr>
              <w:t>required.</w:t>
            </w:r>
          </w:p>
        </w:tc>
      </w:tr>
    </w:tbl>
    <w:p>
      <w:pPr>
        <w:pStyle w:val="TableParagraph"/>
        <w:spacing w:after="0"/>
        <w:rPr>
          <w:sz w:val="24"/>
        </w:rPr>
        <w:sectPr>
          <w:pgSz w:w="11910" w:h="16840"/>
          <w:pgMar w:header="1058" w:footer="1196" w:top="1500" w:bottom="1380" w:left="360" w:right="360"/>
        </w:sectPr>
      </w:pPr>
    </w:p>
    <w:p>
      <w:pPr>
        <w:pStyle w:val="BodyText"/>
        <w:spacing w:before="20"/>
        <w:jc w:val="left"/>
        <w:rPr>
          <w:sz w:val="20"/>
        </w:rPr>
      </w:pPr>
    </w:p>
    <w:tbl>
      <w:tblPr>
        <w:tblW w:w="0" w:type="auto"/>
        <w:jc w:val="left"/>
        <w:tblInd w:w="14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1"/>
        <w:gridCol w:w="4266"/>
        <w:gridCol w:w="2953"/>
      </w:tblGrid>
      <w:tr>
        <w:trPr>
          <w:trHeight w:val="364" w:hRule="atLeast"/>
        </w:trPr>
        <w:tc>
          <w:tcPr>
            <w:tcW w:w="1171" w:type="dxa"/>
          </w:tcPr>
          <w:p>
            <w:pPr>
              <w:pStyle w:val="TableParagraph"/>
              <w:spacing w:before="40"/>
              <w:ind w:left="9"/>
              <w:jc w:val="center"/>
              <w:rPr>
                <w:sz w:val="24"/>
              </w:rPr>
            </w:pPr>
            <w:r>
              <w:rPr>
                <w:spacing w:val="-10"/>
                <w:sz w:val="24"/>
              </w:rPr>
              <w:t>6</w:t>
            </w:r>
          </w:p>
        </w:tc>
        <w:tc>
          <w:tcPr>
            <w:tcW w:w="4266" w:type="dxa"/>
          </w:tcPr>
          <w:p>
            <w:pPr>
              <w:pStyle w:val="TableParagraph"/>
              <w:spacing w:before="40"/>
              <w:ind w:left="107"/>
              <w:rPr>
                <w:sz w:val="24"/>
              </w:rPr>
            </w:pPr>
            <w:r>
              <w:rPr>
                <w:sz w:val="24"/>
              </w:rPr>
              <w:t>Other </w:t>
            </w:r>
            <w:r>
              <w:rPr>
                <w:spacing w:val="-2"/>
                <w:sz w:val="24"/>
              </w:rPr>
              <w:t>buildings</w:t>
            </w:r>
          </w:p>
        </w:tc>
        <w:tc>
          <w:tcPr>
            <w:tcW w:w="2953" w:type="dxa"/>
          </w:tcPr>
          <w:p>
            <w:pPr>
              <w:pStyle w:val="TableParagraph"/>
              <w:spacing w:before="40"/>
              <w:ind w:left="107"/>
              <w:rPr>
                <w:sz w:val="24"/>
              </w:rPr>
            </w:pPr>
            <w:r>
              <w:rPr>
                <w:sz w:val="24"/>
              </w:rPr>
              <w:t>As </w:t>
            </w:r>
            <w:r>
              <w:rPr>
                <w:spacing w:val="-2"/>
                <w:sz w:val="24"/>
              </w:rPr>
              <w:t>required.</w:t>
            </w:r>
          </w:p>
        </w:tc>
      </w:tr>
    </w:tbl>
    <w:p>
      <w:pPr>
        <w:pStyle w:val="BodyText"/>
        <w:spacing w:before="238"/>
        <w:jc w:val="left"/>
      </w:pPr>
    </w:p>
    <w:p>
      <w:pPr>
        <w:pStyle w:val="ListParagraph"/>
        <w:numPr>
          <w:ilvl w:val="1"/>
          <w:numId w:val="330"/>
        </w:numPr>
        <w:tabs>
          <w:tab w:pos="2213" w:val="left" w:leader="none"/>
        </w:tabs>
        <w:spacing w:line="240" w:lineRule="auto" w:before="0" w:after="0"/>
        <w:ind w:left="2213" w:right="769" w:hanging="360"/>
        <w:jc w:val="both"/>
        <w:rPr>
          <w:sz w:val="24"/>
        </w:rPr>
      </w:pPr>
      <w:r>
        <w:rPr>
          <w:sz w:val="24"/>
        </w:rPr>
        <w:t>An open area of 3 sq. m would be required for installation of a solar energy collector which supplies about 100 liters of water per day. At least</w:t>
      </w:r>
      <w:r>
        <w:rPr>
          <w:spacing w:val="-3"/>
          <w:sz w:val="24"/>
        </w:rPr>
        <w:t> </w:t>
      </w:r>
      <w:r>
        <w:rPr>
          <w:sz w:val="24"/>
        </w:rPr>
        <w:t>60</w:t>
      </w:r>
      <w:r>
        <w:rPr>
          <w:spacing w:val="-3"/>
          <w:sz w:val="24"/>
        </w:rPr>
        <w:t> </w:t>
      </w:r>
      <w:r>
        <w:rPr>
          <w:sz w:val="24"/>
        </w:rPr>
        <w:t>per</w:t>
      </w:r>
      <w:r>
        <w:rPr>
          <w:spacing w:val="-3"/>
          <w:sz w:val="24"/>
        </w:rPr>
        <w:t> </w:t>
      </w:r>
      <w:r>
        <w:rPr>
          <w:sz w:val="24"/>
        </w:rPr>
        <w:t>cent</w:t>
      </w:r>
      <w:r>
        <w:rPr>
          <w:spacing w:val="-6"/>
          <w:sz w:val="24"/>
        </w:rPr>
        <w:t> </w:t>
      </w:r>
      <w:r>
        <w:rPr>
          <w:sz w:val="24"/>
        </w:rPr>
        <w:t>of</w:t>
      </w:r>
      <w:r>
        <w:rPr>
          <w:spacing w:val="-3"/>
          <w:sz w:val="24"/>
        </w:rPr>
        <w:t> </w:t>
      </w:r>
      <w:r>
        <w:rPr>
          <w:sz w:val="24"/>
        </w:rPr>
        <w:t>the</w:t>
      </w:r>
      <w:r>
        <w:rPr>
          <w:spacing w:val="-3"/>
          <w:sz w:val="24"/>
        </w:rPr>
        <w:t> </w:t>
      </w:r>
      <w:r>
        <w:rPr>
          <w:sz w:val="24"/>
        </w:rPr>
        <w:t>roof</w:t>
      </w:r>
      <w:r>
        <w:rPr>
          <w:spacing w:val="-3"/>
          <w:sz w:val="24"/>
        </w:rPr>
        <w:t> </w:t>
      </w:r>
      <w:r>
        <w:rPr>
          <w:sz w:val="24"/>
        </w:rPr>
        <w:t>area</w:t>
      </w:r>
      <w:r>
        <w:rPr>
          <w:spacing w:val="-3"/>
          <w:sz w:val="24"/>
        </w:rPr>
        <w:t> </w:t>
      </w:r>
      <w:r>
        <w:rPr>
          <w:sz w:val="24"/>
        </w:rPr>
        <w:t>may</w:t>
      </w:r>
      <w:r>
        <w:rPr>
          <w:spacing w:val="-6"/>
          <w:sz w:val="24"/>
        </w:rPr>
        <w:t> </w:t>
      </w:r>
      <w:r>
        <w:rPr>
          <w:sz w:val="24"/>
        </w:rPr>
        <w:t>be</w:t>
      </w:r>
      <w:r>
        <w:rPr>
          <w:spacing w:val="-6"/>
          <w:sz w:val="24"/>
        </w:rPr>
        <w:t> </w:t>
      </w:r>
      <w:r>
        <w:rPr>
          <w:sz w:val="24"/>
        </w:rPr>
        <w:t>utilised</w:t>
      </w:r>
      <w:r>
        <w:rPr>
          <w:spacing w:val="-3"/>
          <w:sz w:val="24"/>
        </w:rPr>
        <w:t> </w:t>
      </w:r>
      <w:r>
        <w:rPr>
          <w:sz w:val="24"/>
        </w:rPr>
        <w:t>for</w:t>
      </w:r>
      <w:r>
        <w:rPr>
          <w:spacing w:val="-3"/>
          <w:sz w:val="24"/>
        </w:rPr>
        <w:t> </w:t>
      </w:r>
      <w:r>
        <w:rPr>
          <w:sz w:val="24"/>
        </w:rPr>
        <w:t>installation</w:t>
      </w:r>
      <w:r>
        <w:rPr>
          <w:spacing w:val="-3"/>
          <w:sz w:val="24"/>
        </w:rPr>
        <w:t> </w:t>
      </w:r>
      <w:r>
        <w:rPr>
          <w:sz w:val="24"/>
        </w:rPr>
        <w:t>of</w:t>
      </w:r>
      <w:r>
        <w:rPr>
          <w:spacing w:val="-3"/>
          <w:sz w:val="24"/>
        </w:rPr>
        <w:t> </w:t>
      </w:r>
      <w:r>
        <w:rPr>
          <w:sz w:val="24"/>
        </w:rPr>
        <w:t>the </w:t>
      </w:r>
      <w:r>
        <w:rPr>
          <w:spacing w:val="-2"/>
          <w:sz w:val="24"/>
        </w:rPr>
        <w:t>system.</w:t>
      </w:r>
    </w:p>
    <w:p>
      <w:pPr>
        <w:pStyle w:val="ListParagraph"/>
        <w:numPr>
          <w:ilvl w:val="1"/>
          <w:numId w:val="330"/>
        </w:numPr>
        <w:tabs>
          <w:tab w:pos="2213" w:val="left" w:leader="none"/>
        </w:tabs>
        <w:spacing w:line="240" w:lineRule="auto" w:before="121" w:after="0"/>
        <w:ind w:left="2213" w:right="768" w:hanging="360"/>
        <w:jc w:val="both"/>
        <w:rPr>
          <w:sz w:val="24"/>
        </w:rPr>
      </w:pPr>
      <w:r>
        <w:rPr>
          <w:sz w:val="24"/>
        </w:rPr>
        <w:t>The</w:t>
      </w:r>
      <w:r>
        <w:rPr>
          <w:spacing w:val="-18"/>
          <w:sz w:val="24"/>
        </w:rPr>
        <w:t> </w:t>
      </w:r>
      <w:r>
        <w:rPr>
          <w:sz w:val="24"/>
        </w:rPr>
        <w:t>specification</w:t>
      </w:r>
      <w:r>
        <w:rPr>
          <w:spacing w:val="-18"/>
          <w:sz w:val="24"/>
        </w:rPr>
        <w:t> </w:t>
      </w:r>
      <w:r>
        <w:rPr>
          <w:sz w:val="24"/>
        </w:rPr>
        <w:t>for</w:t>
      </w:r>
      <w:r>
        <w:rPr>
          <w:spacing w:val="-15"/>
          <w:sz w:val="24"/>
        </w:rPr>
        <w:t> </w:t>
      </w:r>
      <w:r>
        <w:rPr>
          <w:sz w:val="24"/>
        </w:rPr>
        <w:t>the</w:t>
      </w:r>
      <w:r>
        <w:rPr>
          <w:spacing w:val="-17"/>
          <w:sz w:val="24"/>
        </w:rPr>
        <w:t> </w:t>
      </w:r>
      <w:r>
        <w:rPr>
          <w:sz w:val="24"/>
        </w:rPr>
        <w:t>SWH</w:t>
      </w:r>
      <w:r>
        <w:rPr>
          <w:spacing w:val="-18"/>
          <w:sz w:val="24"/>
        </w:rPr>
        <w:t> </w:t>
      </w:r>
      <w:r>
        <w:rPr>
          <w:sz w:val="24"/>
        </w:rPr>
        <w:t>system</w:t>
      </w:r>
      <w:r>
        <w:rPr>
          <w:spacing w:val="-18"/>
          <w:sz w:val="24"/>
        </w:rPr>
        <w:t> </w:t>
      </w:r>
      <w:r>
        <w:rPr>
          <w:sz w:val="24"/>
        </w:rPr>
        <w:t>laid</w:t>
      </w:r>
      <w:r>
        <w:rPr>
          <w:spacing w:val="-20"/>
          <w:sz w:val="24"/>
        </w:rPr>
        <w:t> </w:t>
      </w:r>
      <w:r>
        <w:rPr>
          <w:sz w:val="24"/>
        </w:rPr>
        <w:t>down</w:t>
      </w:r>
      <w:r>
        <w:rPr>
          <w:spacing w:val="-17"/>
          <w:sz w:val="24"/>
        </w:rPr>
        <w:t> </w:t>
      </w:r>
      <w:r>
        <w:rPr>
          <w:sz w:val="24"/>
        </w:rPr>
        <w:t>by</w:t>
      </w:r>
      <w:r>
        <w:rPr>
          <w:spacing w:val="-18"/>
          <w:sz w:val="24"/>
        </w:rPr>
        <w:t> </w:t>
      </w:r>
      <w:r>
        <w:rPr>
          <w:sz w:val="24"/>
        </w:rPr>
        <w:t>the</w:t>
      </w:r>
      <w:r>
        <w:rPr>
          <w:spacing w:val="-18"/>
          <w:sz w:val="24"/>
        </w:rPr>
        <w:t> </w:t>
      </w:r>
      <w:r>
        <w:rPr>
          <w:sz w:val="24"/>
        </w:rPr>
        <w:t>Ministry</w:t>
      </w:r>
      <w:r>
        <w:rPr>
          <w:spacing w:val="-18"/>
          <w:sz w:val="24"/>
        </w:rPr>
        <w:t> </w:t>
      </w:r>
      <w:r>
        <w:rPr>
          <w:sz w:val="24"/>
        </w:rPr>
        <w:t>of</w:t>
      </w:r>
      <w:r>
        <w:rPr>
          <w:spacing w:val="-18"/>
          <w:sz w:val="24"/>
        </w:rPr>
        <w:t> </w:t>
      </w:r>
      <w:r>
        <w:rPr>
          <w:sz w:val="24"/>
        </w:rPr>
        <w:t>Non- Conventional Energy Sources can be followed. Flat plate Collector conforming to IS</w:t>
      </w:r>
      <w:r>
        <w:rPr>
          <w:spacing w:val="40"/>
          <w:sz w:val="24"/>
        </w:rPr>
        <w:t> </w:t>
      </w:r>
      <w:r>
        <w:rPr>
          <w:sz w:val="24"/>
        </w:rPr>
        <w:t>12933 shall be used in all such solar water heating </w:t>
      </w:r>
      <w:r>
        <w:rPr>
          <w:spacing w:val="-2"/>
          <w:sz w:val="24"/>
        </w:rPr>
        <w:t>systems.</w:t>
      </w:r>
    </w:p>
    <w:p>
      <w:pPr>
        <w:pStyle w:val="BodyText"/>
        <w:spacing w:before="120"/>
        <w:ind w:left="3293" w:right="770" w:hanging="1080"/>
      </w:pPr>
      <w:r>
        <w:rPr/>
        <w:t>Note:</w:t>
      </w:r>
      <w:r>
        <w:rPr>
          <w:spacing w:val="32"/>
        </w:rPr>
        <w:t> </w:t>
      </w:r>
      <w:r>
        <w:rPr/>
        <w:t>1.</w:t>
      </w:r>
      <w:r>
        <w:rPr>
          <w:spacing w:val="40"/>
        </w:rPr>
        <w:t> </w:t>
      </w:r>
      <w:r>
        <w:rPr/>
        <w:t>The</w:t>
      </w:r>
      <w:r>
        <w:rPr>
          <w:spacing w:val="-15"/>
        </w:rPr>
        <w:t> </w:t>
      </w:r>
      <w:r>
        <w:rPr/>
        <w:t>Commissioner</w:t>
      </w:r>
      <w:r>
        <w:rPr>
          <w:spacing w:val="-15"/>
        </w:rPr>
        <w:t> </w:t>
      </w:r>
      <w:r>
        <w:rPr/>
        <w:t>may</w:t>
      </w:r>
      <w:r>
        <w:rPr>
          <w:spacing w:val="-15"/>
        </w:rPr>
        <w:t> </w:t>
      </w:r>
      <w:r>
        <w:rPr/>
        <w:t>add</w:t>
      </w:r>
      <w:r>
        <w:rPr>
          <w:spacing w:val="-15"/>
        </w:rPr>
        <w:t> </w:t>
      </w:r>
      <w:r>
        <w:rPr/>
        <w:t>to</w:t>
      </w:r>
      <w:r>
        <w:rPr>
          <w:spacing w:val="-15"/>
        </w:rPr>
        <w:t> </w:t>
      </w:r>
      <w:r>
        <w:rPr/>
        <w:t>the</w:t>
      </w:r>
      <w:r>
        <w:rPr>
          <w:spacing w:val="-15"/>
        </w:rPr>
        <w:t> </w:t>
      </w:r>
      <w:r>
        <w:rPr/>
        <w:t>list</w:t>
      </w:r>
      <w:r>
        <w:rPr>
          <w:spacing w:val="-15"/>
        </w:rPr>
        <w:t> </w:t>
      </w:r>
      <w:r>
        <w:rPr/>
        <w:t>of</w:t>
      </w:r>
      <w:r>
        <w:rPr>
          <w:spacing w:val="-18"/>
        </w:rPr>
        <w:t> </w:t>
      </w:r>
      <w:r>
        <w:rPr/>
        <w:t>buildings</w:t>
      </w:r>
      <w:r>
        <w:rPr>
          <w:spacing w:val="-15"/>
        </w:rPr>
        <w:t> </w:t>
      </w:r>
      <w:r>
        <w:rPr/>
        <w:t>mentioned above on which installation of SWH systems can be made </w:t>
      </w:r>
      <w:r>
        <w:rPr>
          <w:spacing w:val="-2"/>
        </w:rPr>
        <w:t>mandatory.</w:t>
      </w:r>
    </w:p>
    <w:p>
      <w:pPr>
        <w:pStyle w:val="ListParagraph"/>
        <w:numPr>
          <w:ilvl w:val="2"/>
          <w:numId w:val="330"/>
        </w:numPr>
        <w:tabs>
          <w:tab w:pos="3291" w:val="left" w:leader="none"/>
          <w:tab w:pos="3293" w:val="left" w:leader="none"/>
        </w:tabs>
        <w:spacing w:line="240" w:lineRule="auto" w:before="239" w:after="0"/>
        <w:ind w:left="3293" w:right="768" w:hanging="360"/>
        <w:jc w:val="both"/>
        <w:rPr>
          <w:sz w:val="24"/>
        </w:rPr>
      </w:pPr>
      <w:r>
        <w:rPr>
          <w:sz w:val="24"/>
        </w:rPr>
        <w:t>The Commissioner may insist on installation of solar energy collectors</w:t>
      </w:r>
      <w:r>
        <w:rPr>
          <w:spacing w:val="-20"/>
          <w:sz w:val="24"/>
        </w:rPr>
        <w:t> </w:t>
      </w:r>
      <w:r>
        <w:rPr>
          <w:sz w:val="24"/>
        </w:rPr>
        <w:t>on</w:t>
      </w:r>
      <w:r>
        <w:rPr>
          <w:spacing w:val="-19"/>
          <w:sz w:val="24"/>
        </w:rPr>
        <w:t> </w:t>
      </w:r>
      <w:r>
        <w:rPr>
          <w:sz w:val="24"/>
        </w:rPr>
        <w:t>the</w:t>
      </w:r>
      <w:r>
        <w:rPr>
          <w:spacing w:val="-19"/>
          <w:sz w:val="24"/>
        </w:rPr>
        <w:t> </w:t>
      </w:r>
      <w:r>
        <w:rPr>
          <w:sz w:val="24"/>
        </w:rPr>
        <w:t>terraces</w:t>
      </w:r>
      <w:r>
        <w:rPr>
          <w:spacing w:val="-19"/>
          <w:sz w:val="24"/>
        </w:rPr>
        <w:t> </w:t>
      </w:r>
      <w:r>
        <w:rPr>
          <w:sz w:val="24"/>
        </w:rPr>
        <w:t>of</w:t>
      </w:r>
      <w:r>
        <w:rPr>
          <w:spacing w:val="-19"/>
          <w:sz w:val="24"/>
        </w:rPr>
        <w:t> </w:t>
      </w:r>
      <w:r>
        <w:rPr>
          <w:sz w:val="24"/>
        </w:rPr>
        <w:t>the</w:t>
      </w:r>
      <w:r>
        <w:rPr>
          <w:spacing w:val="-20"/>
          <w:sz w:val="24"/>
        </w:rPr>
        <w:t> </w:t>
      </w:r>
      <w:r>
        <w:rPr>
          <w:sz w:val="24"/>
        </w:rPr>
        <w:t>buildings</w:t>
      </w:r>
      <w:r>
        <w:rPr>
          <w:spacing w:val="-19"/>
          <w:sz w:val="24"/>
        </w:rPr>
        <w:t> </w:t>
      </w:r>
      <w:r>
        <w:rPr>
          <w:sz w:val="24"/>
        </w:rPr>
        <w:t>for</w:t>
      </w:r>
      <w:r>
        <w:rPr>
          <w:spacing w:val="-19"/>
          <w:sz w:val="24"/>
        </w:rPr>
        <w:t> </w:t>
      </w:r>
      <w:r>
        <w:rPr>
          <w:sz w:val="24"/>
        </w:rPr>
        <w:t>harnessing</w:t>
      </w:r>
      <w:r>
        <w:rPr>
          <w:spacing w:val="-19"/>
          <w:sz w:val="24"/>
        </w:rPr>
        <w:t> </w:t>
      </w:r>
      <w:r>
        <w:rPr>
          <w:sz w:val="24"/>
        </w:rPr>
        <w:t>solar energy for purposes other than water heating as well.</w:t>
      </w:r>
    </w:p>
    <w:p>
      <w:pPr>
        <w:pStyle w:val="ListParagraph"/>
        <w:numPr>
          <w:ilvl w:val="2"/>
          <w:numId w:val="330"/>
        </w:numPr>
        <w:tabs>
          <w:tab w:pos="3291" w:val="left" w:leader="none"/>
        </w:tabs>
        <w:spacing w:line="240" w:lineRule="auto" w:before="240" w:after="0"/>
        <w:ind w:left="3291" w:right="0" w:hanging="358"/>
        <w:jc w:val="left"/>
        <w:rPr>
          <w:sz w:val="24"/>
        </w:rPr>
      </w:pPr>
      <w:r>
        <w:rPr>
          <w:sz w:val="24"/>
        </w:rPr>
        <w:t>The</w:t>
      </w:r>
      <w:r>
        <w:rPr>
          <w:spacing w:val="-2"/>
          <w:sz w:val="24"/>
        </w:rPr>
        <w:t> </w:t>
      </w:r>
      <w:r>
        <w:rPr>
          <w:sz w:val="24"/>
        </w:rPr>
        <w:t>construction</w:t>
      </w:r>
      <w:r>
        <w:rPr>
          <w:spacing w:val="-2"/>
          <w:sz w:val="24"/>
        </w:rPr>
        <w:t> </w:t>
      </w:r>
      <w:r>
        <w:rPr>
          <w:sz w:val="24"/>
        </w:rPr>
        <w:t>of</w:t>
      </w:r>
      <w:r>
        <w:rPr>
          <w:spacing w:val="1"/>
          <w:sz w:val="24"/>
        </w:rPr>
        <w:t> </w:t>
      </w:r>
      <w:r>
        <w:rPr>
          <w:sz w:val="24"/>
        </w:rPr>
        <w:t>SWH</w:t>
      </w:r>
      <w:r>
        <w:rPr>
          <w:spacing w:val="-1"/>
          <w:sz w:val="24"/>
        </w:rPr>
        <w:t> </w:t>
      </w:r>
      <w:r>
        <w:rPr>
          <w:sz w:val="24"/>
        </w:rPr>
        <w:t>system</w:t>
      </w:r>
      <w:r>
        <w:rPr>
          <w:spacing w:val="-2"/>
          <w:sz w:val="24"/>
        </w:rPr>
        <w:t> </w:t>
      </w:r>
      <w:r>
        <w:rPr>
          <w:sz w:val="24"/>
        </w:rPr>
        <w:t>shall</w:t>
      </w:r>
      <w:r>
        <w:rPr>
          <w:spacing w:val="-2"/>
          <w:sz w:val="24"/>
        </w:rPr>
        <w:t> </w:t>
      </w:r>
      <w:r>
        <w:rPr>
          <w:sz w:val="24"/>
        </w:rPr>
        <w:t>be</w:t>
      </w:r>
      <w:r>
        <w:rPr>
          <w:spacing w:val="-1"/>
          <w:sz w:val="24"/>
        </w:rPr>
        <w:t> </w:t>
      </w:r>
      <w:r>
        <w:rPr>
          <w:sz w:val="24"/>
        </w:rPr>
        <w:t>in</w:t>
      </w:r>
      <w:r>
        <w:rPr>
          <w:spacing w:val="-2"/>
          <w:sz w:val="24"/>
        </w:rPr>
        <w:t> </w:t>
      </w:r>
      <w:r>
        <w:rPr>
          <w:sz w:val="24"/>
        </w:rPr>
        <w:t>conformity</w:t>
      </w:r>
      <w:r>
        <w:rPr>
          <w:spacing w:val="-1"/>
          <w:sz w:val="24"/>
        </w:rPr>
        <w:t> </w:t>
      </w:r>
      <w:r>
        <w:rPr>
          <w:spacing w:val="-4"/>
          <w:sz w:val="24"/>
        </w:rPr>
        <w:t>with</w:t>
      </w:r>
    </w:p>
    <w:p>
      <w:pPr>
        <w:pStyle w:val="BodyText"/>
        <w:spacing w:before="1"/>
        <w:ind w:left="1673"/>
        <w:jc w:val="left"/>
      </w:pPr>
      <w:r>
        <w:rPr>
          <w:spacing w:val="-2"/>
        </w:rPr>
        <w:t>IS12976.</w:t>
      </w:r>
    </w:p>
    <w:p>
      <w:pPr>
        <w:pStyle w:val="Heading2"/>
        <w:numPr>
          <w:ilvl w:val="0"/>
          <w:numId w:val="263"/>
        </w:numPr>
        <w:tabs>
          <w:tab w:pos="1493" w:val="left" w:leader="none"/>
        </w:tabs>
        <w:spacing w:line="240" w:lineRule="auto" w:before="238" w:after="0"/>
        <w:ind w:left="1493" w:right="0" w:hanging="721"/>
        <w:jc w:val="left"/>
      </w:pPr>
      <w:r>
        <w:rPr/>
        <w:t>Waste</w:t>
      </w:r>
      <w:r>
        <w:rPr>
          <w:spacing w:val="-7"/>
        </w:rPr>
        <w:t> </w:t>
      </w:r>
      <w:r>
        <w:rPr/>
        <w:t>(Grey)Water</w:t>
      </w:r>
      <w:r>
        <w:rPr>
          <w:spacing w:val="-5"/>
        </w:rPr>
        <w:t> </w:t>
      </w:r>
      <w:r>
        <w:rPr/>
        <w:t>Recycling</w:t>
      </w:r>
      <w:r>
        <w:rPr>
          <w:spacing w:val="-7"/>
        </w:rPr>
        <w:t> </w:t>
      </w:r>
      <w:r>
        <w:rPr/>
        <w:t>and</w:t>
      </w:r>
      <w:r>
        <w:rPr>
          <w:spacing w:val="-7"/>
        </w:rPr>
        <w:t> </w:t>
      </w:r>
      <w:r>
        <w:rPr>
          <w:spacing w:val="-2"/>
        </w:rPr>
        <w:t>Reuse</w:t>
      </w:r>
    </w:p>
    <w:p>
      <w:pPr>
        <w:pStyle w:val="ListParagraph"/>
        <w:numPr>
          <w:ilvl w:val="1"/>
          <w:numId w:val="263"/>
        </w:numPr>
        <w:tabs>
          <w:tab w:pos="1860" w:val="left" w:leader="none"/>
        </w:tabs>
        <w:spacing w:line="240" w:lineRule="auto" w:before="242" w:after="0"/>
        <w:ind w:left="1493" w:right="838" w:firstLine="0"/>
        <w:jc w:val="left"/>
        <w:rPr>
          <w:sz w:val="24"/>
        </w:rPr>
      </w:pPr>
      <w:r>
        <w:rPr>
          <w:sz w:val="24"/>
        </w:rPr>
        <w:t>Development/redevelopment of the plotswhich attract requirements/provisions of Notifications of Ministry of Environment and Forest</w:t>
      </w:r>
      <w:r>
        <w:rPr>
          <w:spacing w:val="-3"/>
          <w:sz w:val="24"/>
        </w:rPr>
        <w:t> </w:t>
      </w:r>
      <w:r>
        <w:rPr>
          <w:sz w:val="24"/>
        </w:rPr>
        <w:t>(MoEF),</w:t>
      </w:r>
      <w:r>
        <w:rPr>
          <w:spacing w:val="-3"/>
          <w:sz w:val="24"/>
        </w:rPr>
        <w:t> </w:t>
      </w:r>
      <w:r>
        <w:rPr>
          <w:sz w:val="24"/>
        </w:rPr>
        <w:t>Government</w:t>
      </w:r>
      <w:r>
        <w:rPr>
          <w:spacing w:val="-3"/>
          <w:sz w:val="24"/>
        </w:rPr>
        <w:t> </w:t>
      </w:r>
      <w:r>
        <w:rPr>
          <w:sz w:val="24"/>
        </w:rPr>
        <w:t>of</w:t>
      </w:r>
      <w:r>
        <w:rPr>
          <w:spacing w:val="-3"/>
          <w:sz w:val="24"/>
        </w:rPr>
        <w:t> </w:t>
      </w:r>
      <w:r>
        <w:rPr>
          <w:sz w:val="24"/>
        </w:rPr>
        <w:t>India,</w:t>
      </w:r>
      <w:r>
        <w:rPr>
          <w:spacing w:val="-3"/>
          <w:sz w:val="24"/>
        </w:rPr>
        <w:t> </w:t>
      </w:r>
      <w:r>
        <w:rPr>
          <w:sz w:val="24"/>
        </w:rPr>
        <w:t>issued</w:t>
      </w:r>
      <w:r>
        <w:rPr>
          <w:spacing w:val="-3"/>
          <w:sz w:val="24"/>
        </w:rPr>
        <w:t> </w:t>
      </w:r>
      <w:r>
        <w:rPr>
          <w:sz w:val="24"/>
        </w:rPr>
        <w:t>from</w:t>
      </w:r>
      <w:r>
        <w:rPr>
          <w:spacing w:val="-3"/>
          <w:sz w:val="24"/>
        </w:rPr>
        <w:t> </w:t>
      </w:r>
      <w:r>
        <w:rPr>
          <w:sz w:val="24"/>
        </w:rPr>
        <w:t>time</w:t>
      </w:r>
      <w:r>
        <w:rPr>
          <w:spacing w:val="-3"/>
          <w:sz w:val="24"/>
        </w:rPr>
        <w:t> </w:t>
      </w:r>
      <w:r>
        <w:rPr>
          <w:sz w:val="24"/>
        </w:rPr>
        <w:t>to</w:t>
      </w:r>
      <w:r>
        <w:rPr>
          <w:spacing w:val="-3"/>
          <w:sz w:val="24"/>
        </w:rPr>
        <w:t> </w:t>
      </w:r>
      <w:r>
        <w:rPr>
          <w:sz w:val="24"/>
        </w:rPr>
        <w:t>timeshall</w:t>
      </w:r>
      <w:r>
        <w:rPr>
          <w:spacing w:val="-3"/>
          <w:sz w:val="24"/>
        </w:rPr>
        <w:t> </w:t>
      </w:r>
      <w:r>
        <w:rPr>
          <w:sz w:val="24"/>
        </w:rPr>
        <w:t>have</w:t>
      </w:r>
      <w:r>
        <w:rPr>
          <w:spacing w:val="-3"/>
          <w:sz w:val="24"/>
        </w:rPr>
        <w:t> </w:t>
      </w:r>
      <w:r>
        <w:rPr>
          <w:sz w:val="24"/>
        </w:rPr>
        <w:t>the provision for recycling and reuse of waste water.</w:t>
      </w:r>
    </w:p>
    <w:p>
      <w:pPr>
        <w:pStyle w:val="BodyText"/>
        <w:spacing w:before="241"/>
        <w:ind w:left="1493" w:right="768"/>
      </w:pPr>
      <w:r>
        <w:rPr/>
        <w:t>Provision of recycling and reuse of waste water system may also be permissible in any development other than mentioned above.The professional on record shall certify the detailed scheme for therecycle and reuse of waste water.</w:t>
      </w:r>
    </w:p>
    <w:p>
      <w:pPr>
        <w:pStyle w:val="BodyText"/>
        <w:spacing w:before="239"/>
        <w:ind w:left="1493"/>
      </w:pPr>
      <w:r>
        <w:rPr/>
        <w:t>The</w:t>
      </w:r>
      <w:r>
        <w:rPr>
          <w:spacing w:val="-1"/>
        </w:rPr>
        <w:t> </w:t>
      </w:r>
      <w:r>
        <w:rPr/>
        <w:t>Waste Water Recycling System</w:t>
      </w:r>
      <w:r>
        <w:rPr>
          <w:spacing w:val="-1"/>
        </w:rPr>
        <w:t> </w:t>
      </w:r>
      <w:r>
        <w:rPr/>
        <w:t>shall include the </w:t>
      </w:r>
      <w:r>
        <w:rPr>
          <w:spacing w:val="-2"/>
        </w:rPr>
        <w:t>following:</w:t>
      </w:r>
    </w:p>
    <w:p>
      <w:pPr>
        <w:pStyle w:val="ListParagraph"/>
        <w:numPr>
          <w:ilvl w:val="0"/>
          <w:numId w:val="331"/>
        </w:numPr>
        <w:tabs>
          <w:tab w:pos="1895" w:val="left" w:leader="none"/>
        </w:tabs>
        <w:spacing w:line="240" w:lineRule="auto" w:before="241" w:after="0"/>
        <w:ind w:left="1673" w:right="772" w:firstLine="0"/>
        <w:jc w:val="left"/>
        <w:rPr>
          <w:sz w:val="24"/>
        </w:rPr>
      </w:pPr>
      <w:r>
        <w:rPr>
          <w:sz w:val="24"/>
        </w:rPr>
        <w:t>Waste</w:t>
      </w:r>
      <w:r>
        <w:rPr>
          <w:spacing w:val="-1"/>
          <w:sz w:val="24"/>
        </w:rPr>
        <w:t> </w:t>
      </w:r>
      <w:r>
        <w:rPr>
          <w:sz w:val="24"/>
        </w:rPr>
        <w:t>water</w:t>
      </w:r>
      <w:r>
        <w:rPr>
          <w:spacing w:val="-1"/>
          <w:sz w:val="24"/>
        </w:rPr>
        <w:t> </w:t>
      </w:r>
      <w:r>
        <w:rPr>
          <w:sz w:val="24"/>
        </w:rPr>
        <w:t>other</w:t>
      </w:r>
      <w:r>
        <w:rPr>
          <w:spacing w:val="-1"/>
          <w:sz w:val="24"/>
        </w:rPr>
        <w:t> </w:t>
      </w:r>
      <w:r>
        <w:rPr>
          <w:sz w:val="24"/>
        </w:rPr>
        <w:t>than</w:t>
      </w:r>
      <w:r>
        <w:rPr>
          <w:spacing w:val="-1"/>
          <w:sz w:val="24"/>
        </w:rPr>
        <w:t> </w:t>
      </w:r>
      <w:r>
        <w:rPr>
          <w:sz w:val="24"/>
        </w:rPr>
        <w:t>from</w:t>
      </w:r>
      <w:r>
        <w:rPr>
          <w:spacing w:val="-1"/>
          <w:sz w:val="24"/>
        </w:rPr>
        <w:t> </w:t>
      </w:r>
      <w:r>
        <w:rPr>
          <w:sz w:val="24"/>
        </w:rPr>
        <w:t>water</w:t>
      </w:r>
      <w:r>
        <w:rPr>
          <w:spacing w:val="-1"/>
          <w:sz w:val="24"/>
        </w:rPr>
        <w:t> </w:t>
      </w:r>
      <w:r>
        <w:rPr>
          <w:sz w:val="24"/>
        </w:rPr>
        <w:t>closet</w:t>
      </w:r>
      <w:r>
        <w:rPr>
          <w:color w:val="000000"/>
          <w:sz w:val="24"/>
          <w:shd w:fill="FFCCFF" w:color="auto" w:val="clear"/>
        </w:rPr>
        <w:t>,</w:t>
      </w:r>
      <w:r>
        <w:rPr>
          <w:color w:val="000000"/>
          <w:spacing w:val="-1"/>
          <w:sz w:val="24"/>
          <w:shd w:fill="FFCCFF" w:color="auto" w:val="clear"/>
        </w:rPr>
        <w:t> </w:t>
      </w:r>
      <w:r>
        <w:rPr>
          <w:color w:val="000000"/>
          <w:sz w:val="24"/>
          <w:shd w:fill="FFCCFF" w:color="auto" w:val="clear"/>
        </w:rPr>
        <w:t>laundries,</w:t>
      </w:r>
      <w:r>
        <w:rPr>
          <w:color w:val="000000"/>
          <w:spacing w:val="-1"/>
          <w:sz w:val="24"/>
          <w:shd w:fill="FFCCFF" w:color="auto" w:val="clear"/>
        </w:rPr>
        <w:t> </w:t>
      </w:r>
      <w:r>
        <w:rPr>
          <w:color w:val="000000"/>
          <w:sz w:val="24"/>
          <w:shd w:fill="FFCCFF" w:color="auto" w:val="clear"/>
        </w:rPr>
        <w:t>and</w:t>
      </w:r>
      <w:r>
        <w:rPr>
          <w:color w:val="000000"/>
          <w:spacing w:val="-1"/>
          <w:sz w:val="24"/>
          <w:shd w:fill="FFCCFF" w:color="auto" w:val="clear"/>
        </w:rPr>
        <w:t> </w:t>
      </w:r>
      <w:r>
        <w:rPr>
          <w:color w:val="000000"/>
          <w:sz w:val="24"/>
          <w:shd w:fill="FFCCFF" w:color="auto" w:val="clear"/>
        </w:rPr>
        <w:t>hospitals</w:t>
      </w:r>
      <w:r>
        <w:rPr>
          <w:color w:val="000000"/>
          <w:sz w:val="24"/>
        </w:rPr>
        <w:t> shall be recycled.</w:t>
      </w:r>
    </w:p>
    <w:p>
      <w:pPr>
        <w:pStyle w:val="ListParagraph"/>
        <w:numPr>
          <w:ilvl w:val="0"/>
          <w:numId w:val="331"/>
        </w:numPr>
        <w:tabs>
          <w:tab w:pos="1981" w:val="left" w:leader="none"/>
        </w:tabs>
        <w:spacing w:line="240" w:lineRule="auto" w:before="239" w:after="0"/>
        <w:ind w:left="1673" w:right="775" w:firstLine="0"/>
        <w:jc w:val="left"/>
        <w:rPr>
          <w:sz w:val="24"/>
        </w:rPr>
      </w:pPr>
      <w:r>
        <w:rPr>
          <w:sz w:val="24"/>
        </w:rPr>
        <w:t>The system shall not constitute a nuisance of foul gases and/or cause public hazard due to its installation and operation.</w:t>
      </w:r>
    </w:p>
    <w:p>
      <w:pPr>
        <w:pStyle w:val="ListParagraph"/>
        <w:numPr>
          <w:ilvl w:val="0"/>
          <w:numId w:val="331"/>
        </w:numPr>
        <w:tabs>
          <w:tab w:pos="2085" w:val="left" w:leader="none"/>
        </w:tabs>
        <w:spacing w:line="240" w:lineRule="auto" w:before="241" w:after="0"/>
        <w:ind w:left="1673" w:right="775" w:firstLine="0"/>
        <w:jc w:val="left"/>
        <w:rPr>
          <w:sz w:val="24"/>
        </w:rPr>
      </w:pPr>
      <w:r>
        <w:rPr>
          <w:sz w:val="24"/>
        </w:rPr>
        <w:t>The</w:t>
      </w:r>
      <w:r>
        <w:rPr>
          <w:spacing w:val="40"/>
          <w:sz w:val="24"/>
        </w:rPr>
        <w:t> </w:t>
      </w:r>
      <w:r>
        <w:rPr>
          <w:sz w:val="24"/>
        </w:rPr>
        <w:t>waste</w:t>
      </w:r>
      <w:r>
        <w:rPr>
          <w:spacing w:val="40"/>
          <w:sz w:val="24"/>
        </w:rPr>
        <w:t> </w:t>
      </w:r>
      <w:r>
        <w:rPr>
          <w:sz w:val="24"/>
        </w:rPr>
        <w:t>water</w:t>
      </w:r>
      <w:r>
        <w:rPr>
          <w:spacing w:val="40"/>
          <w:sz w:val="24"/>
        </w:rPr>
        <w:t> </w:t>
      </w:r>
      <w:r>
        <w:rPr>
          <w:sz w:val="24"/>
        </w:rPr>
        <w:t>recycling</w:t>
      </w:r>
      <w:r>
        <w:rPr>
          <w:spacing w:val="40"/>
          <w:sz w:val="24"/>
        </w:rPr>
        <w:t> </w:t>
      </w:r>
      <w:r>
        <w:rPr>
          <w:sz w:val="24"/>
        </w:rPr>
        <w:t>system</w:t>
      </w:r>
      <w:r>
        <w:rPr>
          <w:spacing w:val="40"/>
          <w:sz w:val="24"/>
        </w:rPr>
        <w:t> </w:t>
      </w:r>
      <w:r>
        <w:rPr>
          <w:sz w:val="24"/>
        </w:rPr>
        <w:t>shall</w:t>
      </w:r>
      <w:r>
        <w:rPr>
          <w:spacing w:val="40"/>
          <w:sz w:val="24"/>
        </w:rPr>
        <w:t> </w:t>
      </w:r>
      <w:r>
        <w:rPr>
          <w:sz w:val="24"/>
        </w:rPr>
        <w:t>be</w:t>
      </w:r>
      <w:r>
        <w:rPr>
          <w:spacing w:val="40"/>
          <w:sz w:val="24"/>
        </w:rPr>
        <w:t> </w:t>
      </w:r>
      <w:r>
        <w:rPr>
          <w:sz w:val="24"/>
        </w:rPr>
        <w:t>designed</w:t>
      </w:r>
      <w:r>
        <w:rPr>
          <w:spacing w:val="40"/>
          <w:sz w:val="24"/>
        </w:rPr>
        <w:t> </w:t>
      </w:r>
      <w:r>
        <w:rPr>
          <w:sz w:val="24"/>
        </w:rPr>
        <w:t>considering</w:t>
      </w:r>
      <w:r>
        <w:rPr>
          <w:spacing w:val="40"/>
          <w:sz w:val="24"/>
        </w:rPr>
        <w:t> </w:t>
      </w:r>
      <w:r>
        <w:rPr>
          <w:sz w:val="24"/>
        </w:rPr>
        <w:t>the anticipated occupancy load and seasonal fluctuations in discharge.</w:t>
      </w:r>
    </w:p>
    <w:p>
      <w:pPr>
        <w:pStyle w:val="ListParagraph"/>
        <w:numPr>
          <w:ilvl w:val="0"/>
          <w:numId w:val="331"/>
        </w:numPr>
        <w:tabs>
          <w:tab w:pos="2018" w:val="left" w:leader="none"/>
        </w:tabs>
        <w:spacing w:line="240" w:lineRule="auto" w:before="240" w:after="0"/>
        <w:ind w:left="2018" w:right="0" w:hanging="345"/>
        <w:jc w:val="left"/>
        <w:rPr>
          <w:sz w:val="24"/>
        </w:rPr>
      </w:pPr>
      <w:r>
        <w:rPr>
          <w:sz w:val="24"/>
        </w:rPr>
        <w:t>Separating of Waste </w:t>
      </w:r>
      <w:r>
        <w:rPr>
          <w:spacing w:val="-2"/>
          <w:sz w:val="24"/>
        </w:rPr>
        <w:t>Water:</w:t>
      </w:r>
    </w:p>
    <w:p>
      <w:pPr>
        <w:pStyle w:val="ListParagraph"/>
        <w:spacing w:after="0" w:line="240" w:lineRule="auto"/>
        <w:jc w:val="left"/>
        <w:rPr>
          <w:sz w:val="24"/>
        </w:rPr>
        <w:sectPr>
          <w:pgSz w:w="11910" w:h="16840"/>
          <w:pgMar w:header="1058" w:footer="1196" w:top="1500" w:bottom="1380" w:left="360" w:right="360"/>
        </w:sectPr>
      </w:pPr>
    </w:p>
    <w:p>
      <w:pPr>
        <w:pStyle w:val="ListParagraph"/>
        <w:numPr>
          <w:ilvl w:val="1"/>
          <w:numId w:val="331"/>
        </w:numPr>
        <w:tabs>
          <w:tab w:pos="2212" w:val="left" w:leader="none"/>
        </w:tabs>
        <w:spacing w:line="240" w:lineRule="auto" w:before="255" w:after="0"/>
        <w:ind w:left="2212" w:right="0" w:hanging="359"/>
        <w:jc w:val="both"/>
        <w:rPr>
          <w:sz w:val="24"/>
        </w:rPr>
      </w:pPr>
      <w:r>
        <w:rPr>
          <w:sz w:val="24"/>
        </w:rPr>
        <w:t>The</w:t>
      </w:r>
      <w:r>
        <w:rPr>
          <w:spacing w:val="-2"/>
          <w:sz w:val="24"/>
        </w:rPr>
        <w:t> </w:t>
      </w:r>
      <w:r>
        <w:rPr>
          <w:sz w:val="24"/>
        </w:rPr>
        <w:t>waste</w:t>
      </w:r>
      <w:r>
        <w:rPr>
          <w:spacing w:val="-1"/>
          <w:sz w:val="24"/>
        </w:rPr>
        <w:t> </w:t>
      </w:r>
      <w:r>
        <w:rPr>
          <w:sz w:val="24"/>
        </w:rPr>
        <w:t>water</w:t>
      </w:r>
      <w:r>
        <w:rPr>
          <w:spacing w:val="1"/>
          <w:sz w:val="24"/>
        </w:rPr>
        <w:t> </w:t>
      </w:r>
      <w:r>
        <w:rPr>
          <w:sz w:val="24"/>
        </w:rPr>
        <w:t>shall</w:t>
      </w:r>
      <w:r>
        <w:rPr>
          <w:spacing w:val="-1"/>
          <w:sz w:val="24"/>
        </w:rPr>
        <w:t> </w:t>
      </w:r>
      <w:r>
        <w:rPr>
          <w:sz w:val="24"/>
        </w:rPr>
        <w:t>be</w:t>
      </w:r>
      <w:r>
        <w:rPr>
          <w:spacing w:val="-1"/>
          <w:sz w:val="24"/>
        </w:rPr>
        <w:t> </w:t>
      </w:r>
      <w:r>
        <w:rPr>
          <w:sz w:val="24"/>
        </w:rPr>
        <w:t>recycled</w:t>
      </w:r>
      <w:r>
        <w:rPr>
          <w:spacing w:val="-1"/>
          <w:sz w:val="24"/>
        </w:rPr>
        <w:t> </w:t>
      </w:r>
      <w:r>
        <w:rPr>
          <w:sz w:val="24"/>
        </w:rPr>
        <w:t>by</w:t>
      </w:r>
      <w:r>
        <w:rPr>
          <w:spacing w:val="-1"/>
          <w:sz w:val="24"/>
        </w:rPr>
        <w:t> </w:t>
      </w:r>
      <w:r>
        <w:rPr>
          <w:sz w:val="24"/>
        </w:rPr>
        <w:t>installing</w:t>
      </w:r>
      <w:r>
        <w:rPr>
          <w:spacing w:val="-1"/>
          <w:sz w:val="24"/>
        </w:rPr>
        <w:t> </w:t>
      </w:r>
      <w:r>
        <w:rPr>
          <w:sz w:val="24"/>
        </w:rPr>
        <w:t>recycling</w:t>
      </w:r>
      <w:r>
        <w:rPr>
          <w:spacing w:val="-1"/>
          <w:sz w:val="24"/>
        </w:rPr>
        <w:t> </w:t>
      </w:r>
      <w:r>
        <w:rPr>
          <w:spacing w:val="-2"/>
          <w:sz w:val="24"/>
        </w:rPr>
        <w:t>plant.</w:t>
      </w:r>
    </w:p>
    <w:p>
      <w:pPr>
        <w:pStyle w:val="ListParagraph"/>
        <w:numPr>
          <w:ilvl w:val="1"/>
          <w:numId w:val="331"/>
        </w:numPr>
        <w:tabs>
          <w:tab w:pos="2248" w:val="left" w:leader="none"/>
        </w:tabs>
        <w:spacing w:line="240" w:lineRule="auto" w:before="241" w:after="0"/>
        <w:ind w:left="1853" w:right="772" w:firstLine="0"/>
        <w:jc w:val="both"/>
        <w:rPr>
          <w:sz w:val="24"/>
        </w:rPr>
      </w:pPr>
      <w:r>
        <w:rPr>
          <w:sz w:val="24"/>
        </w:rPr>
        <w:t>Separate plumbing network shall be installed to collect waste water from kitchens, bath rooms, washing machines and dish washers leading to recycling plant with separate underground and overhead tanks provided for this purpose.</w:t>
      </w:r>
    </w:p>
    <w:p>
      <w:pPr>
        <w:pStyle w:val="ListParagraph"/>
        <w:numPr>
          <w:ilvl w:val="1"/>
          <w:numId w:val="331"/>
        </w:numPr>
        <w:tabs>
          <w:tab w:pos="2198" w:val="left" w:leader="none"/>
        </w:tabs>
        <w:spacing w:line="240" w:lineRule="auto" w:before="239" w:after="0"/>
        <w:ind w:left="2198" w:right="0" w:hanging="345"/>
        <w:jc w:val="both"/>
        <w:rPr>
          <w:sz w:val="24"/>
        </w:rPr>
      </w:pPr>
      <w:r>
        <w:rPr>
          <w:sz w:val="24"/>
        </w:rPr>
        <w:t>The</w:t>
      </w:r>
      <w:r>
        <w:rPr>
          <w:spacing w:val="-2"/>
          <w:sz w:val="24"/>
        </w:rPr>
        <w:t> </w:t>
      </w:r>
      <w:r>
        <w:rPr>
          <w:sz w:val="24"/>
        </w:rPr>
        <w:t>entire</w:t>
      </w:r>
      <w:r>
        <w:rPr>
          <w:spacing w:val="-1"/>
          <w:sz w:val="24"/>
        </w:rPr>
        <w:t> </w:t>
      </w:r>
      <w:r>
        <w:rPr>
          <w:sz w:val="24"/>
        </w:rPr>
        <w:t>connecting</w:t>
      </w:r>
      <w:r>
        <w:rPr>
          <w:spacing w:val="-2"/>
          <w:sz w:val="24"/>
        </w:rPr>
        <w:t> </w:t>
      </w:r>
      <w:r>
        <w:rPr>
          <w:sz w:val="24"/>
        </w:rPr>
        <w:t>network</w:t>
      </w:r>
      <w:r>
        <w:rPr>
          <w:spacing w:val="-1"/>
          <w:sz w:val="24"/>
        </w:rPr>
        <w:t> </w:t>
      </w:r>
      <w:r>
        <w:rPr>
          <w:sz w:val="24"/>
        </w:rPr>
        <w:t>shall</w:t>
      </w:r>
      <w:r>
        <w:rPr>
          <w:spacing w:val="-1"/>
          <w:sz w:val="24"/>
        </w:rPr>
        <w:t> </w:t>
      </w:r>
      <w:r>
        <w:rPr>
          <w:sz w:val="24"/>
        </w:rPr>
        <w:t>be</w:t>
      </w:r>
      <w:r>
        <w:rPr>
          <w:spacing w:val="-2"/>
          <w:sz w:val="24"/>
        </w:rPr>
        <w:t> </w:t>
      </w:r>
      <w:r>
        <w:rPr>
          <w:sz w:val="24"/>
        </w:rPr>
        <w:t>painted</w:t>
      </w:r>
      <w:r>
        <w:rPr>
          <w:spacing w:val="-1"/>
          <w:sz w:val="24"/>
        </w:rPr>
        <w:t> </w:t>
      </w:r>
      <w:r>
        <w:rPr>
          <w:sz w:val="24"/>
        </w:rPr>
        <w:t>in</w:t>
      </w:r>
      <w:r>
        <w:rPr>
          <w:spacing w:val="-2"/>
          <w:sz w:val="24"/>
        </w:rPr>
        <w:t> </w:t>
      </w:r>
      <w:r>
        <w:rPr>
          <w:sz w:val="24"/>
        </w:rPr>
        <w:t>purple</w:t>
      </w:r>
      <w:r>
        <w:rPr>
          <w:spacing w:val="-1"/>
          <w:sz w:val="24"/>
        </w:rPr>
        <w:t> </w:t>
      </w:r>
      <w:r>
        <w:rPr>
          <w:sz w:val="24"/>
        </w:rPr>
        <w:t>blue</w:t>
      </w:r>
      <w:r>
        <w:rPr>
          <w:spacing w:val="-1"/>
          <w:sz w:val="24"/>
        </w:rPr>
        <w:t> </w:t>
      </w:r>
      <w:r>
        <w:rPr>
          <w:spacing w:val="-2"/>
          <w:sz w:val="24"/>
        </w:rPr>
        <w:t>color.</w:t>
      </w:r>
    </w:p>
    <w:p>
      <w:pPr>
        <w:pStyle w:val="ListParagraph"/>
        <w:numPr>
          <w:ilvl w:val="1"/>
          <w:numId w:val="331"/>
        </w:numPr>
        <w:tabs>
          <w:tab w:pos="2212" w:val="left" w:leader="none"/>
        </w:tabs>
        <w:spacing w:line="240" w:lineRule="auto" w:before="241" w:after="0"/>
        <w:ind w:left="1853" w:right="772" w:firstLine="0"/>
        <w:jc w:val="both"/>
        <w:rPr>
          <w:sz w:val="24"/>
        </w:rPr>
      </w:pPr>
      <w:r>
        <w:rPr>
          <w:sz w:val="24"/>
        </w:rPr>
        <w:t>Recycled Waste Water system shall be maintained in good condition and</w:t>
      </w:r>
      <w:r>
        <w:rPr>
          <w:spacing w:val="-13"/>
          <w:sz w:val="24"/>
        </w:rPr>
        <w:t> </w:t>
      </w:r>
      <w:r>
        <w:rPr>
          <w:sz w:val="24"/>
        </w:rPr>
        <w:t>shall</w:t>
      </w:r>
      <w:r>
        <w:rPr>
          <w:spacing w:val="-13"/>
          <w:sz w:val="24"/>
        </w:rPr>
        <w:t> </w:t>
      </w:r>
      <w:r>
        <w:rPr>
          <w:sz w:val="24"/>
        </w:rPr>
        <w:t>comply</w:t>
      </w:r>
      <w:r>
        <w:rPr>
          <w:spacing w:val="-11"/>
          <w:sz w:val="24"/>
        </w:rPr>
        <w:t> </w:t>
      </w:r>
      <w:r>
        <w:rPr>
          <w:sz w:val="24"/>
        </w:rPr>
        <w:t>with</w:t>
      </w:r>
      <w:r>
        <w:rPr>
          <w:spacing w:val="-13"/>
          <w:sz w:val="24"/>
        </w:rPr>
        <w:t> </w:t>
      </w:r>
      <w:r>
        <w:rPr>
          <w:sz w:val="24"/>
        </w:rPr>
        <w:t>the</w:t>
      </w:r>
      <w:r>
        <w:rPr>
          <w:spacing w:val="-13"/>
          <w:sz w:val="24"/>
        </w:rPr>
        <w:t> </w:t>
      </w:r>
      <w:r>
        <w:rPr>
          <w:sz w:val="24"/>
        </w:rPr>
        <w:t>requirements</w:t>
      </w:r>
      <w:r>
        <w:rPr>
          <w:spacing w:val="-11"/>
          <w:sz w:val="24"/>
        </w:rPr>
        <w:t> </w:t>
      </w:r>
      <w:r>
        <w:rPr>
          <w:sz w:val="24"/>
        </w:rPr>
        <w:t>of</w:t>
      </w:r>
      <w:r>
        <w:rPr>
          <w:spacing w:val="-13"/>
          <w:sz w:val="24"/>
        </w:rPr>
        <w:t> </w:t>
      </w:r>
      <w:r>
        <w:rPr>
          <w:sz w:val="24"/>
        </w:rPr>
        <w:t>Maharashtra</w:t>
      </w:r>
      <w:r>
        <w:rPr>
          <w:spacing w:val="-13"/>
          <w:sz w:val="24"/>
        </w:rPr>
        <w:t> </w:t>
      </w:r>
      <w:r>
        <w:rPr>
          <w:sz w:val="24"/>
        </w:rPr>
        <w:t>Pollution</w:t>
      </w:r>
      <w:r>
        <w:rPr>
          <w:spacing w:val="-13"/>
          <w:sz w:val="24"/>
        </w:rPr>
        <w:t> </w:t>
      </w:r>
      <w:r>
        <w:rPr>
          <w:sz w:val="24"/>
        </w:rPr>
        <w:t>Control Board (MPCB), if any.</w:t>
      </w:r>
    </w:p>
    <w:p>
      <w:pPr>
        <w:pStyle w:val="ListParagraph"/>
        <w:numPr>
          <w:ilvl w:val="1"/>
          <w:numId w:val="263"/>
        </w:numPr>
        <w:tabs>
          <w:tab w:pos="1860" w:val="left" w:leader="none"/>
        </w:tabs>
        <w:spacing w:line="240" w:lineRule="auto" w:before="241" w:after="0"/>
        <w:ind w:left="1860" w:right="0" w:hanging="367"/>
        <w:jc w:val="both"/>
        <w:rPr>
          <w:sz w:val="24"/>
        </w:rPr>
      </w:pPr>
      <w:r>
        <w:rPr>
          <w:sz w:val="24"/>
        </w:rPr>
        <w:t>Reuseof</w:t>
      </w:r>
      <w:r>
        <w:rPr>
          <w:spacing w:val="-2"/>
          <w:sz w:val="24"/>
        </w:rPr>
        <w:t> </w:t>
      </w:r>
      <w:r>
        <w:rPr>
          <w:sz w:val="24"/>
        </w:rPr>
        <w:t>Waste </w:t>
      </w:r>
      <w:r>
        <w:rPr>
          <w:spacing w:val="-2"/>
          <w:sz w:val="24"/>
        </w:rPr>
        <w:t>Water:</w:t>
      </w:r>
    </w:p>
    <w:p>
      <w:pPr>
        <w:pStyle w:val="ListParagraph"/>
        <w:numPr>
          <w:ilvl w:val="0"/>
          <w:numId w:val="332"/>
        </w:numPr>
        <w:tabs>
          <w:tab w:pos="1729" w:val="left" w:leader="none"/>
        </w:tabs>
        <w:spacing w:line="240" w:lineRule="auto" w:before="239" w:after="0"/>
        <w:ind w:left="1493" w:right="769" w:firstLine="0"/>
        <w:jc w:val="both"/>
        <w:rPr>
          <w:sz w:val="24"/>
        </w:rPr>
      </w:pPr>
      <w:r>
        <w:rPr>
          <w:sz w:val="24"/>
        </w:rPr>
        <w:t>The treated waste water shall be used only for gardening, toilet flushing, landscape, irrigation, cooling towers, car washing, etc.and in no case for drinking, bathing, or washing clothes and utensils.</w:t>
      </w:r>
    </w:p>
    <w:p>
      <w:pPr>
        <w:pStyle w:val="ListParagraph"/>
        <w:numPr>
          <w:ilvl w:val="0"/>
          <w:numId w:val="332"/>
        </w:numPr>
        <w:tabs>
          <w:tab w:pos="1808" w:val="left" w:leader="none"/>
        </w:tabs>
        <w:spacing w:line="240" w:lineRule="auto" w:before="119" w:after="0"/>
        <w:ind w:left="1493" w:right="768" w:firstLine="0"/>
        <w:jc w:val="both"/>
        <w:rPr>
          <w:sz w:val="24"/>
        </w:rPr>
      </w:pPr>
      <w:r>
        <w:rPr>
          <w:sz w:val="24"/>
        </w:rPr>
        <w:t>The output water quality shall conform to the standards of non-potable water as may be prescribed by the MPCB.</w:t>
      </w:r>
    </w:p>
    <w:p>
      <w:pPr>
        <w:pStyle w:val="ListParagraph"/>
        <w:numPr>
          <w:ilvl w:val="0"/>
          <w:numId w:val="332"/>
        </w:numPr>
        <w:tabs>
          <w:tab w:pos="1917" w:val="left" w:leader="none"/>
        </w:tabs>
        <w:spacing w:line="240" w:lineRule="auto" w:before="121" w:after="0"/>
        <w:ind w:left="1493" w:right="769" w:firstLine="0"/>
        <w:jc w:val="both"/>
        <w:rPr>
          <w:sz w:val="24"/>
        </w:rPr>
      </w:pPr>
      <w:r>
        <w:rPr>
          <w:sz w:val="24"/>
        </w:rPr>
        <w:t>A clause must be included by the owner/developer in the </w:t>
      </w:r>
      <w:r>
        <w:rPr>
          <w:sz w:val="24"/>
        </w:rPr>
        <w:t>purchase agreement</w:t>
      </w:r>
      <w:r>
        <w:rPr>
          <w:spacing w:val="-19"/>
          <w:sz w:val="24"/>
        </w:rPr>
        <w:t> </w:t>
      </w:r>
      <w:r>
        <w:rPr>
          <w:sz w:val="24"/>
        </w:rPr>
        <w:t>with</w:t>
      </w:r>
      <w:r>
        <w:rPr>
          <w:spacing w:val="-19"/>
          <w:sz w:val="24"/>
        </w:rPr>
        <w:t> </w:t>
      </w:r>
      <w:r>
        <w:rPr>
          <w:sz w:val="24"/>
        </w:rPr>
        <w:t>the</w:t>
      </w:r>
      <w:r>
        <w:rPr>
          <w:spacing w:val="-19"/>
          <w:sz w:val="24"/>
        </w:rPr>
        <w:t> </w:t>
      </w:r>
      <w:r>
        <w:rPr>
          <w:sz w:val="24"/>
        </w:rPr>
        <w:t>purchaser,</w:t>
      </w:r>
      <w:r>
        <w:rPr>
          <w:spacing w:val="-19"/>
          <w:sz w:val="24"/>
        </w:rPr>
        <w:t> </w:t>
      </w:r>
      <w:r>
        <w:rPr>
          <w:sz w:val="24"/>
        </w:rPr>
        <w:t>owner</w:t>
      </w:r>
      <w:r>
        <w:rPr>
          <w:spacing w:val="-19"/>
          <w:sz w:val="24"/>
        </w:rPr>
        <w:t> </w:t>
      </w:r>
      <w:r>
        <w:rPr>
          <w:sz w:val="24"/>
        </w:rPr>
        <w:t>of</w:t>
      </w:r>
      <w:r>
        <w:rPr>
          <w:spacing w:val="-19"/>
          <w:sz w:val="24"/>
        </w:rPr>
        <w:t> </w:t>
      </w:r>
      <w:r>
        <w:rPr>
          <w:sz w:val="24"/>
        </w:rPr>
        <w:t>the</w:t>
      </w:r>
      <w:r>
        <w:rPr>
          <w:spacing w:val="-19"/>
          <w:sz w:val="24"/>
        </w:rPr>
        <w:t> </w:t>
      </w:r>
      <w:r>
        <w:rPr>
          <w:sz w:val="24"/>
        </w:rPr>
        <w:t>premises/organization</w:t>
      </w:r>
      <w:r>
        <w:rPr>
          <w:spacing w:val="-19"/>
          <w:sz w:val="24"/>
        </w:rPr>
        <w:t> </w:t>
      </w:r>
      <w:r>
        <w:rPr>
          <w:sz w:val="24"/>
        </w:rPr>
        <w:t>or</w:t>
      </w:r>
      <w:r>
        <w:rPr>
          <w:spacing w:val="-19"/>
          <w:sz w:val="24"/>
        </w:rPr>
        <w:t> </w:t>
      </w:r>
      <w:r>
        <w:rPr>
          <w:sz w:val="24"/>
        </w:rPr>
        <w:t>society of</w:t>
      </w:r>
      <w:r>
        <w:rPr>
          <w:spacing w:val="-20"/>
          <w:sz w:val="24"/>
        </w:rPr>
        <w:t> </w:t>
      </w:r>
      <w:r>
        <w:rPr>
          <w:sz w:val="24"/>
        </w:rPr>
        <w:t>the</w:t>
      </w:r>
      <w:r>
        <w:rPr>
          <w:spacing w:val="-19"/>
          <w:sz w:val="24"/>
        </w:rPr>
        <w:t> </w:t>
      </w:r>
      <w:r>
        <w:rPr>
          <w:sz w:val="24"/>
        </w:rPr>
        <w:t>occupiers</w:t>
      </w:r>
      <w:r>
        <w:rPr>
          <w:spacing w:val="-19"/>
          <w:sz w:val="24"/>
        </w:rPr>
        <w:t> </w:t>
      </w:r>
      <w:r>
        <w:rPr>
          <w:sz w:val="24"/>
        </w:rPr>
        <w:t>or</w:t>
      </w:r>
      <w:r>
        <w:rPr>
          <w:spacing w:val="-19"/>
          <w:sz w:val="24"/>
        </w:rPr>
        <w:t> </w:t>
      </w:r>
      <w:r>
        <w:rPr>
          <w:sz w:val="24"/>
        </w:rPr>
        <w:t>the</w:t>
      </w:r>
      <w:r>
        <w:rPr>
          <w:spacing w:val="-19"/>
          <w:sz w:val="24"/>
        </w:rPr>
        <w:t> </w:t>
      </w:r>
      <w:r>
        <w:rPr>
          <w:sz w:val="24"/>
        </w:rPr>
        <w:t>society</w:t>
      </w:r>
      <w:r>
        <w:rPr>
          <w:spacing w:val="-20"/>
          <w:sz w:val="24"/>
        </w:rPr>
        <w:t> </w:t>
      </w:r>
      <w:r>
        <w:rPr>
          <w:sz w:val="24"/>
        </w:rPr>
        <w:t>of</w:t>
      </w:r>
      <w:r>
        <w:rPr>
          <w:spacing w:val="-19"/>
          <w:sz w:val="24"/>
        </w:rPr>
        <w:t> </w:t>
      </w:r>
      <w:r>
        <w:rPr>
          <w:sz w:val="24"/>
        </w:rPr>
        <w:t>purchasers</w:t>
      </w:r>
      <w:r>
        <w:rPr>
          <w:spacing w:val="-19"/>
          <w:sz w:val="24"/>
        </w:rPr>
        <w:t> </w:t>
      </w:r>
      <w:r>
        <w:rPr>
          <w:sz w:val="24"/>
        </w:rPr>
        <w:t>stating</w:t>
      </w:r>
      <w:r>
        <w:rPr>
          <w:spacing w:val="-19"/>
          <w:sz w:val="24"/>
        </w:rPr>
        <w:t> </w:t>
      </w:r>
      <w:r>
        <w:rPr>
          <w:sz w:val="24"/>
        </w:rPr>
        <w:t>that</w:t>
      </w:r>
      <w:r>
        <w:rPr>
          <w:spacing w:val="-19"/>
          <w:sz w:val="24"/>
        </w:rPr>
        <w:t> </w:t>
      </w:r>
      <w:r>
        <w:rPr>
          <w:sz w:val="24"/>
        </w:rPr>
        <w:t>recycled</w:t>
      </w:r>
      <w:r>
        <w:rPr>
          <w:spacing w:val="-20"/>
          <w:sz w:val="24"/>
        </w:rPr>
        <w:t> </w:t>
      </w:r>
      <w:r>
        <w:rPr>
          <w:sz w:val="24"/>
        </w:rPr>
        <w:t>waste</w:t>
      </w:r>
      <w:r>
        <w:rPr>
          <w:spacing w:val="-19"/>
          <w:sz w:val="24"/>
        </w:rPr>
        <w:t> </w:t>
      </w:r>
      <w:r>
        <w:rPr>
          <w:sz w:val="24"/>
        </w:rPr>
        <w:t>water system has been provided in the development and shall have to be maintained in good condition as per the requirements of MPCB, if any.</w:t>
      </w:r>
    </w:p>
    <w:p>
      <w:pPr>
        <w:pStyle w:val="Heading3"/>
        <w:numPr>
          <w:ilvl w:val="0"/>
          <w:numId w:val="263"/>
        </w:numPr>
        <w:tabs>
          <w:tab w:pos="1490" w:val="left" w:leader="none"/>
        </w:tabs>
        <w:spacing w:line="240" w:lineRule="auto" w:before="236" w:after="0"/>
        <w:ind w:left="1490" w:right="0" w:hanging="718"/>
        <w:jc w:val="both"/>
        <w:rPr>
          <w:i w:val="0"/>
        </w:rPr>
      </w:pPr>
      <w:r>
        <w:rPr/>
        <w:t>Sewage</w:t>
      </w:r>
      <w:r>
        <w:rPr>
          <w:spacing w:val="-4"/>
        </w:rPr>
        <w:t> </w:t>
      </w:r>
      <w:r>
        <w:rPr/>
        <w:t>Treatment</w:t>
      </w:r>
      <w:r>
        <w:rPr>
          <w:spacing w:val="-6"/>
        </w:rPr>
        <w:t> </w:t>
      </w:r>
      <w:r>
        <w:rPr/>
        <w:t>Plant</w:t>
      </w:r>
      <w:r>
        <w:rPr>
          <w:spacing w:val="-6"/>
        </w:rPr>
        <w:t> </w:t>
      </w:r>
      <w:r>
        <w:rPr/>
        <w:t>(STP)</w:t>
      </w:r>
      <w:r>
        <w:rPr>
          <w:spacing w:val="-6"/>
        </w:rPr>
        <w:t> </w:t>
      </w:r>
      <w:r>
        <w:rPr/>
        <w:t>&amp;</w:t>
      </w:r>
      <w:r>
        <w:rPr>
          <w:spacing w:val="-7"/>
        </w:rPr>
        <w:t> </w:t>
      </w:r>
      <w:r>
        <w:rPr>
          <w:spacing w:val="-2"/>
        </w:rPr>
        <w:t>Disposal</w:t>
      </w:r>
    </w:p>
    <w:p>
      <w:pPr>
        <w:pStyle w:val="BodyText"/>
        <w:spacing w:before="125"/>
        <w:ind w:left="1493" w:right="768"/>
      </w:pPr>
      <w:r>
        <w:rPr/>
        <w:t>Development/redevelopment of the plots which attract requirements/provisions of relevant Notification of Ministry of Environment and Forest (MoEF), Government of India issued from time to timeshallbe provided with Sewage Treatment Plant (STP) and disposal system.</w:t>
      </w:r>
    </w:p>
    <w:p>
      <w:pPr>
        <w:pStyle w:val="BodyText"/>
        <w:spacing w:before="121"/>
        <w:ind w:left="1493" w:right="771"/>
      </w:pPr>
      <w:r>
        <w:rPr/>
        <w:t>Provision of STP and disposalsystem may also be permissible in any development other than mentioned above. The professional on record shall certify the detailed scheme for theSTP and disposal system.</w:t>
      </w:r>
    </w:p>
    <w:p>
      <w:pPr>
        <w:pStyle w:val="BodyText"/>
        <w:spacing w:before="239"/>
        <w:ind w:left="1493"/>
      </w:pPr>
      <w:r>
        <w:rPr/>
        <w:t>STP</w:t>
      </w:r>
      <w:r>
        <w:rPr>
          <w:spacing w:val="-4"/>
        </w:rPr>
        <w:t> </w:t>
      </w:r>
      <w:r>
        <w:rPr/>
        <w:t>shall comply</w:t>
      </w:r>
      <w:r>
        <w:rPr>
          <w:spacing w:val="-1"/>
        </w:rPr>
        <w:t> </w:t>
      </w:r>
      <w:r>
        <w:rPr/>
        <w:t>with the </w:t>
      </w:r>
      <w:r>
        <w:rPr>
          <w:spacing w:val="-2"/>
        </w:rPr>
        <w:t>following:</w:t>
      </w:r>
    </w:p>
    <w:p>
      <w:pPr>
        <w:pStyle w:val="ListParagraph"/>
        <w:numPr>
          <w:ilvl w:val="0"/>
          <w:numId w:val="333"/>
        </w:numPr>
        <w:tabs>
          <w:tab w:pos="1832" w:val="left" w:leader="none"/>
        </w:tabs>
        <w:spacing w:line="240" w:lineRule="auto" w:before="118" w:after="0"/>
        <w:ind w:left="1832" w:right="0" w:hanging="351"/>
        <w:jc w:val="both"/>
        <w:rPr>
          <w:sz w:val="24"/>
        </w:rPr>
      </w:pPr>
      <w:r>
        <w:rPr>
          <w:sz w:val="24"/>
        </w:rPr>
        <mc:AlternateContent>
          <mc:Choice Requires="wps">
            <w:drawing>
              <wp:anchor distT="0" distB="0" distL="0" distR="0" allowOverlap="1" layoutInCell="1" locked="0" behindDoc="1" simplePos="0" relativeHeight="471361536">
                <wp:simplePos x="0" y="0"/>
                <wp:positionH relativeFrom="page">
                  <wp:posOffset>2472563</wp:posOffset>
                </wp:positionH>
                <wp:positionV relativeFrom="paragraph">
                  <wp:posOffset>246064</wp:posOffset>
                </wp:positionV>
                <wp:extent cx="48895" cy="189230"/>
                <wp:effectExtent l="0" t="0" r="0" b="0"/>
                <wp:wrapNone/>
                <wp:docPr id="593" name="Graphic 593"/>
                <wp:cNvGraphicFramePr>
                  <a:graphicFrameLocks/>
                </wp:cNvGraphicFramePr>
                <a:graphic>
                  <a:graphicData uri="http://schemas.microsoft.com/office/word/2010/wordprocessingShape">
                    <wps:wsp>
                      <wps:cNvPr id="593" name="Graphic 593"/>
                      <wps:cNvSpPr/>
                      <wps:spPr>
                        <a:xfrm>
                          <a:off x="0" y="0"/>
                          <a:ext cx="48895" cy="189230"/>
                        </a:xfrm>
                        <a:custGeom>
                          <a:avLst/>
                          <a:gdLst/>
                          <a:ahLst/>
                          <a:cxnLst/>
                          <a:rect l="l" t="t" r="r" b="b"/>
                          <a:pathLst>
                            <a:path w="48895" h="189230">
                              <a:moveTo>
                                <a:pt x="48768" y="0"/>
                              </a:moveTo>
                              <a:lnTo>
                                <a:pt x="0" y="0"/>
                              </a:lnTo>
                              <a:lnTo>
                                <a:pt x="0" y="188975"/>
                              </a:lnTo>
                              <a:lnTo>
                                <a:pt x="48768" y="188975"/>
                              </a:lnTo>
                              <a:lnTo>
                                <a:pt x="48768" y="0"/>
                              </a:lnTo>
                              <a:close/>
                            </a:path>
                          </a:pathLst>
                        </a:custGeom>
                        <a:solidFill>
                          <a:srgbClr val="FFCCFF"/>
                        </a:solidFill>
                      </wps:spPr>
                      <wps:bodyPr wrap="square" lIns="0" tIns="0" rIns="0" bIns="0" rtlCol="0">
                        <a:prstTxWarp prst="textNoShape">
                          <a:avLst/>
                        </a:prstTxWarp>
                        <a:noAutofit/>
                      </wps:bodyPr>
                    </wps:wsp>
                  </a:graphicData>
                </a:graphic>
              </wp:anchor>
            </w:drawing>
          </mc:Choice>
          <mc:Fallback>
            <w:pict>
              <v:rect style="position:absolute;margin-left:194.690002pt;margin-top:19.375156pt;width:3.84pt;height:14.88pt;mso-position-horizontal-relative:page;mso-position-vertical-relative:paragraph;z-index:-31954944" id="docshape511" filled="true" fillcolor="#ffccff" stroked="false">
                <v:fill type="solid"/>
                <w10:wrap type="none"/>
              </v:rect>
            </w:pict>
          </mc:Fallback>
        </mc:AlternateContent>
      </w:r>
      <w:r>
        <w:rPr>
          <w:sz w:val="24"/>
        </w:rPr>
        <w:t>STP</w:t>
      </w:r>
      <w:r>
        <w:rPr>
          <w:spacing w:val="62"/>
          <w:sz w:val="24"/>
        </w:rPr>
        <w:t> </w:t>
      </w:r>
      <w:r>
        <w:rPr>
          <w:sz w:val="24"/>
        </w:rPr>
        <w:t>structure</w:t>
      </w:r>
      <w:r>
        <w:rPr>
          <w:spacing w:val="62"/>
          <w:sz w:val="24"/>
        </w:rPr>
        <w:t> </w:t>
      </w:r>
      <w:r>
        <w:rPr>
          <w:sz w:val="24"/>
        </w:rPr>
        <w:t>shall</w:t>
      </w:r>
      <w:r>
        <w:rPr>
          <w:spacing w:val="62"/>
          <w:sz w:val="24"/>
        </w:rPr>
        <w:t> </w:t>
      </w:r>
      <w:r>
        <w:rPr>
          <w:sz w:val="24"/>
        </w:rPr>
        <w:t>be</w:t>
      </w:r>
      <w:r>
        <w:rPr>
          <w:spacing w:val="62"/>
          <w:sz w:val="24"/>
        </w:rPr>
        <w:t> </w:t>
      </w:r>
      <w:r>
        <w:rPr>
          <w:sz w:val="24"/>
        </w:rPr>
        <w:t>of</w:t>
      </w:r>
      <w:r>
        <w:rPr>
          <w:spacing w:val="63"/>
          <w:sz w:val="24"/>
        </w:rPr>
        <w:t> </w:t>
      </w:r>
      <w:r>
        <w:rPr>
          <w:sz w:val="24"/>
        </w:rPr>
        <w:t>compact</w:t>
      </w:r>
      <w:r>
        <w:rPr>
          <w:spacing w:val="62"/>
          <w:sz w:val="24"/>
        </w:rPr>
        <w:t> </w:t>
      </w:r>
      <w:r>
        <w:rPr>
          <w:sz w:val="24"/>
        </w:rPr>
        <w:t>design</w:t>
      </w:r>
      <w:r>
        <w:rPr>
          <w:spacing w:val="65"/>
          <w:sz w:val="24"/>
        </w:rPr>
        <w:t> </w:t>
      </w:r>
      <w:r>
        <w:rPr>
          <w:rFonts w:ascii="Times New Roman"/>
          <w:sz w:val="24"/>
        </w:rPr>
        <w:t>with</w:t>
      </w:r>
      <w:r>
        <w:rPr>
          <w:rFonts w:ascii="Times New Roman"/>
          <w:spacing w:val="54"/>
          <w:sz w:val="24"/>
        </w:rPr>
        <w:t> </w:t>
      </w:r>
      <w:r>
        <w:rPr>
          <w:rFonts w:ascii="Times New Roman"/>
          <w:sz w:val="24"/>
        </w:rPr>
        <w:t>due</w:t>
      </w:r>
      <w:r>
        <w:rPr>
          <w:rFonts w:ascii="Times New Roman"/>
          <w:spacing w:val="53"/>
          <w:sz w:val="24"/>
        </w:rPr>
        <w:t> </w:t>
      </w:r>
      <w:r>
        <w:rPr>
          <w:rFonts w:ascii="Times New Roman"/>
          <w:sz w:val="24"/>
        </w:rPr>
        <w:t>approval</w:t>
      </w:r>
      <w:r>
        <w:rPr>
          <w:rFonts w:ascii="Times New Roman"/>
          <w:spacing w:val="58"/>
          <w:sz w:val="24"/>
        </w:rPr>
        <w:t> </w:t>
      </w:r>
      <w:r>
        <w:rPr>
          <w:sz w:val="24"/>
        </w:rPr>
        <w:t>of</w:t>
      </w:r>
      <w:r>
        <w:rPr>
          <w:spacing w:val="63"/>
          <w:sz w:val="24"/>
        </w:rPr>
        <w:t> </w:t>
      </w:r>
      <w:r>
        <w:rPr>
          <w:spacing w:val="-2"/>
          <w:sz w:val="24"/>
        </w:rPr>
        <w:t>relevent</w:t>
      </w:r>
    </w:p>
    <w:p>
      <w:pPr>
        <w:pStyle w:val="BodyText"/>
        <w:spacing w:before="1"/>
        <w:ind w:left="1481"/>
      </w:pPr>
      <w:r>
        <w:rPr>
          <w:rFonts w:ascii="Times New Roman"/>
        </w:rPr>
        <w:t>competent</w:t>
      </w:r>
      <w:r>
        <w:rPr>
          <w:rFonts w:ascii="Times New Roman"/>
          <w:spacing w:val="-2"/>
        </w:rPr>
        <w:t> Authority.</w:t>
      </w:r>
      <w:r>
        <w:rPr>
          <w:spacing w:val="-2"/>
        </w:rPr>
        <w:t>,</w:t>
      </w:r>
    </w:p>
    <w:p>
      <w:pPr>
        <w:pStyle w:val="BodyText"/>
        <w:spacing w:before="241"/>
        <w:jc w:val="left"/>
      </w:pPr>
    </w:p>
    <w:p>
      <w:pPr>
        <w:pStyle w:val="ListParagraph"/>
        <w:numPr>
          <w:ilvl w:val="0"/>
          <w:numId w:val="333"/>
        </w:numPr>
        <w:tabs>
          <w:tab w:pos="1797" w:val="left" w:leader="none"/>
        </w:tabs>
        <w:spacing w:line="240" w:lineRule="auto" w:before="0" w:after="0"/>
        <w:ind w:left="953" w:right="773" w:firstLine="540"/>
        <w:jc w:val="left"/>
        <w:rPr>
          <w:sz w:val="24"/>
        </w:rPr>
      </w:pPr>
      <w:r>
        <w:rPr>
          <w:sz w:val="24"/>
        </w:rPr>
        <w:t>There shall not be any foul odour around the STP area or in the ambient </w:t>
      </w:r>
      <w:r>
        <w:rPr>
          <w:spacing w:val="-2"/>
          <w:sz w:val="24"/>
        </w:rPr>
        <w:t>environment.</w:t>
      </w:r>
    </w:p>
    <w:p>
      <w:pPr>
        <w:pStyle w:val="ListParagraph"/>
        <w:numPr>
          <w:ilvl w:val="0"/>
          <w:numId w:val="333"/>
        </w:numPr>
        <w:tabs>
          <w:tab w:pos="1756" w:val="left" w:leader="none"/>
        </w:tabs>
        <w:spacing w:line="240" w:lineRule="auto" w:before="240" w:after="0"/>
        <w:ind w:left="1493" w:right="770" w:firstLine="0"/>
        <w:jc w:val="both"/>
        <w:rPr>
          <w:sz w:val="24"/>
        </w:rPr>
      </w:pPr>
      <w:r>
        <w:rPr>
          <w:sz w:val="24"/>
        </w:rPr>
        <w:t>STP</w:t>
      </w:r>
      <w:r>
        <w:rPr>
          <w:spacing w:val="-14"/>
          <w:sz w:val="24"/>
        </w:rPr>
        <w:t> </w:t>
      </w:r>
      <w:r>
        <w:rPr>
          <w:sz w:val="24"/>
        </w:rPr>
        <w:t>shall</w:t>
      </w:r>
      <w:r>
        <w:rPr>
          <w:spacing w:val="-14"/>
          <w:sz w:val="24"/>
        </w:rPr>
        <w:t> </w:t>
      </w:r>
      <w:r>
        <w:rPr>
          <w:sz w:val="24"/>
        </w:rPr>
        <w:t>not</w:t>
      </w:r>
      <w:r>
        <w:rPr>
          <w:spacing w:val="-14"/>
          <w:sz w:val="24"/>
        </w:rPr>
        <w:t> </w:t>
      </w:r>
      <w:r>
        <w:rPr>
          <w:sz w:val="24"/>
        </w:rPr>
        <w:t>require</w:t>
      </w:r>
      <w:r>
        <w:rPr>
          <w:spacing w:val="-14"/>
          <w:sz w:val="24"/>
        </w:rPr>
        <w:t> </w:t>
      </w:r>
      <w:r>
        <w:rPr>
          <w:sz w:val="24"/>
        </w:rPr>
        <w:t>continuous</w:t>
      </w:r>
      <w:r>
        <w:rPr>
          <w:spacing w:val="-14"/>
          <w:sz w:val="24"/>
        </w:rPr>
        <w:t> </w:t>
      </w:r>
      <w:r>
        <w:rPr>
          <w:sz w:val="24"/>
        </w:rPr>
        <w:t>monitoring</w:t>
      </w:r>
      <w:r>
        <w:rPr>
          <w:spacing w:val="-14"/>
          <w:sz w:val="24"/>
        </w:rPr>
        <w:t> </w:t>
      </w:r>
      <w:r>
        <w:rPr>
          <w:sz w:val="24"/>
        </w:rPr>
        <w:t>and</w:t>
      </w:r>
      <w:r>
        <w:rPr>
          <w:spacing w:val="-14"/>
          <w:sz w:val="24"/>
        </w:rPr>
        <w:t> </w:t>
      </w:r>
      <w:r>
        <w:rPr>
          <w:sz w:val="24"/>
        </w:rPr>
        <w:t>operation</w:t>
      </w:r>
      <w:r>
        <w:rPr>
          <w:spacing w:val="-16"/>
          <w:sz w:val="24"/>
        </w:rPr>
        <w:t> </w:t>
      </w:r>
      <w:r>
        <w:rPr>
          <w:sz w:val="24"/>
        </w:rPr>
        <w:t>and</w:t>
      </w:r>
      <w:r>
        <w:rPr>
          <w:spacing w:val="-14"/>
          <w:sz w:val="24"/>
        </w:rPr>
        <w:t> </w:t>
      </w:r>
      <w:r>
        <w:rPr>
          <w:sz w:val="24"/>
        </w:rPr>
        <w:t>shall</w:t>
      </w:r>
      <w:r>
        <w:rPr>
          <w:spacing w:val="-14"/>
          <w:sz w:val="24"/>
        </w:rPr>
        <w:t> </w:t>
      </w:r>
      <w:r>
        <w:rPr>
          <w:sz w:val="24"/>
        </w:rPr>
        <w:t>work well with inconsistent inflow.</w:t>
      </w:r>
    </w:p>
    <w:p>
      <w:pPr>
        <w:pStyle w:val="ListParagraph"/>
        <w:spacing w:after="0" w:line="240" w:lineRule="auto"/>
        <w:jc w:val="both"/>
        <w:rPr>
          <w:sz w:val="24"/>
        </w:rPr>
        <w:sectPr>
          <w:pgSz w:w="11910" w:h="16840"/>
          <w:pgMar w:header="1058" w:footer="1196" w:top="1500" w:bottom="1380" w:left="360" w:right="360"/>
        </w:sectPr>
      </w:pPr>
    </w:p>
    <w:p>
      <w:pPr>
        <w:pStyle w:val="ListParagraph"/>
        <w:numPr>
          <w:ilvl w:val="0"/>
          <w:numId w:val="333"/>
        </w:numPr>
        <w:tabs>
          <w:tab w:pos="1778" w:val="left" w:leader="none"/>
        </w:tabs>
        <w:spacing w:line="240" w:lineRule="auto" w:before="255" w:after="0"/>
        <w:ind w:left="1493" w:right="769" w:firstLine="0"/>
        <w:jc w:val="both"/>
        <w:rPr>
          <w:sz w:val="24"/>
        </w:rPr>
      </w:pPr>
      <w:r>
        <w:rPr>
          <w:sz w:val="24"/>
        </w:rPr>
        <w:t>Treated</w:t>
      </w:r>
      <w:r>
        <w:rPr>
          <w:spacing w:val="-13"/>
          <w:sz w:val="24"/>
        </w:rPr>
        <w:t> </w:t>
      </w:r>
      <w:r>
        <w:rPr>
          <w:sz w:val="24"/>
        </w:rPr>
        <w:t>water</w:t>
      </w:r>
      <w:r>
        <w:rPr>
          <w:spacing w:val="-15"/>
          <w:sz w:val="24"/>
        </w:rPr>
        <w:t> </w:t>
      </w:r>
      <w:r>
        <w:rPr>
          <w:sz w:val="24"/>
        </w:rPr>
        <w:t>quality</w:t>
      </w:r>
      <w:r>
        <w:rPr>
          <w:spacing w:val="-15"/>
          <w:sz w:val="24"/>
        </w:rPr>
        <w:t> </w:t>
      </w:r>
      <w:r>
        <w:rPr>
          <w:sz w:val="24"/>
        </w:rPr>
        <w:t>shall</w:t>
      </w:r>
      <w:r>
        <w:rPr>
          <w:spacing w:val="-15"/>
          <w:sz w:val="24"/>
        </w:rPr>
        <w:t> </w:t>
      </w:r>
      <w:r>
        <w:rPr>
          <w:sz w:val="24"/>
        </w:rPr>
        <w:t>be</w:t>
      </w:r>
      <w:r>
        <w:rPr>
          <w:spacing w:val="-15"/>
          <w:sz w:val="24"/>
        </w:rPr>
        <w:t> </w:t>
      </w:r>
      <w:r>
        <w:rPr>
          <w:sz w:val="24"/>
        </w:rPr>
        <w:t>of</w:t>
      </w:r>
      <w:r>
        <w:rPr>
          <w:spacing w:val="-15"/>
          <w:sz w:val="24"/>
        </w:rPr>
        <w:t> </w:t>
      </w:r>
      <w:r>
        <w:rPr>
          <w:sz w:val="24"/>
        </w:rPr>
        <w:t>non-potable</w:t>
      </w:r>
      <w:r>
        <w:rPr>
          <w:spacing w:val="-15"/>
          <w:sz w:val="24"/>
        </w:rPr>
        <w:t> </w:t>
      </w:r>
      <w:r>
        <w:rPr>
          <w:sz w:val="24"/>
        </w:rPr>
        <w:t>standards</w:t>
      </w:r>
      <w:r>
        <w:rPr>
          <w:spacing w:val="-15"/>
          <w:sz w:val="24"/>
        </w:rPr>
        <w:t> </w:t>
      </w:r>
      <w:r>
        <w:rPr>
          <w:sz w:val="24"/>
        </w:rPr>
        <w:t>and</w:t>
      </w:r>
      <w:r>
        <w:rPr>
          <w:spacing w:val="-15"/>
          <w:sz w:val="24"/>
        </w:rPr>
        <w:t> </w:t>
      </w:r>
      <w:r>
        <w:rPr>
          <w:sz w:val="24"/>
        </w:rPr>
        <w:t>can</w:t>
      </w:r>
      <w:r>
        <w:rPr>
          <w:spacing w:val="-15"/>
          <w:sz w:val="24"/>
        </w:rPr>
        <w:t> </w:t>
      </w:r>
      <w:r>
        <w:rPr>
          <w:sz w:val="24"/>
        </w:rPr>
        <w:t>be</w:t>
      </w:r>
      <w:r>
        <w:rPr>
          <w:spacing w:val="-15"/>
          <w:sz w:val="24"/>
        </w:rPr>
        <w:t> </w:t>
      </w:r>
      <w:r>
        <w:rPr>
          <w:sz w:val="24"/>
        </w:rPr>
        <w:t>reused for gardening, toilet flushing, landscape, irrigation, cooling towers, </w:t>
      </w:r>
      <w:r>
        <w:rPr>
          <w:sz w:val="24"/>
        </w:rPr>
        <w:t>car washing, etc. but in no case for drinking, bathing, or washing clothes and </w:t>
      </w:r>
      <w:r>
        <w:rPr>
          <w:spacing w:val="-2"/>
          <w:sz w:val="24"/>
        </w:rPr>
        <w:t>utensils.</w:t>
      </w:r>
    </w:p>
    <w:p>
      <w:pPr>
        <w:pStyle w:val="ListParagraph"/>
        <w:numPr>
          <w:ilvl w:val="0"/>
          <w:numId w:val="333"/>
        </w:numPr>
        <w:tabs>
          <w:tab w:pos="1754" w:val="left" w:leader="none"/>
        </w:tabs>
        <w:spacing w:line="240" w:lineRule="auto" w:before="241" w:after="0"/>
        <w:ind w:left="1754" w:right="0" w:hanging="261"/>
        <w:jc w:val="both"/>
        <w:rPr>
          <w:sz w:val="24"/>
        </w:rPr>
      </w:pPr>
      <w:r>
        <w:rPr>
          <w:sz w:val="24"/>
        </w:rPr>
        <w:t>Treated</w:t>
      </w:r>
      <w:r>
        <w:rPr>
          <w:spacing w:val="-13"/>
          <w:sz w:val="24"/>
        </w:rPr>
        <w:t> </w:t>
      </w:r>
      <w:r>
        <w:rPr>
          <w:sz w:val="24"/>
        </w:rPr>
        <w:t>water</w:t>
      </w:r>
      <w:r>
        <w:rPr>
          <w:spacing w:val="-13"/>
          <w:sz w:val="24"/>
        </w:rPr>
        <w:t> </w:t>
      </w:r>
      <w:r>
        <w:rPr>
          <w:sz w:val="24"/>
        </w:rPr>
        <w:t>shall</w:t>
      </w:r>
      <w:r>
        <w:rPr>
          <w:spacing w:val="-13"/>
          <w:sz w:val="24"/>
        </w:rPr>
        <w:t> </w:t>
      </w:r>
      <w:r>
        <w:rPr>
          <w:sz w:val="24"/>
        </w:rPr>
        <w:t>be</w:t>
      </w:r>
      <w:r>
        <w:rPr>
          <w:spacing w:val="-13"/>
          <w:sz w:val="24"/>
        </w:rPr>
        <w:t> </w:t>
      </w:r>
      <w:r>
        <w:rPr>
          <w:sz w:val="24"/>
        </w:rPr>
        <w:t>environmentally</w:t>
      </w:r>
      <w:r>
        <w:rPr>
          <w:spacing w:val="-11"/>
          <w:sz w:val="24"/>
        </w:rPr>
        <w:t> </w:t>
      </w:r>
      <w:r>
        <w:rPr>
          <w:sz w:val="24"/>
        </w:rPr>
        <w:t>safe</w:t>
      </w:r>
      <w:r>
        <w:rPr>
          <w:spacing w:val="-13"/>
          <w:sz w:val="24"/>
        </w:rPr>
        <w:t> </w:t>
      </w:r>
      <w:r>
        <w:rPr>
          <w:sz w:val="24"/>
        </w:rPr>
        <w:t>to</w:t>
      </w:r>
      <w:r>
        <w:rPr>
          <w:spacing w:val="-13"/>
          <w:sz w:val="24"/>
        </w:rPr>
        <w:t> </w:t>
      </w:r>
      <w:r>
        <w:rPr>
          <w:sz w:val="24"/>
        </w:rPr>
        <w:t>dispose</w:t>
      </w:r>
      <w:r>
        <w:rPr>
          <w:spacing w:val="-13"/>
          <w:sz w:val="24"/>
        </w:rPr>
        <w:t> </w:t>
      </w:r>
      <w:r>
        <w:rPr>
          <w:sz w:val="24"/>
        </w:rPr>
        <w:t>of</w:t>
      </w:r>
      <w:r>
        <w:rPr>
          <w:spacing w:val="-13"/>
          <w:sz w:val="24"/>
        </w:rPr>
        <w:t> </w:t>
      </w:r>
      <w:r>
        <w:rPr>
          <w:sz w:val="24"/>
        </w:rPr>
        <w:t>in</w:t>
      </w:r>
      <w:r>
        <w:rPr>
          <w:spacing w:val="-11"/>
          <w:sz w:val="24"/>
        </w:rPr>
        <w:t> </w:t>
      </w:r>
      <w:r>
        <w:rPr>
          <w:sz w:val="24"/>
        </w:rPr>
        <w:t>Land</w:t>
      </w:r>
      <w:r>
        <w:rPr>
          <w:spacing w:val="-13"/>
          <w:sz w:val="24"/>
        </w:rPr>
        <w:t> </w:t>
      </w:r>
      <w:r>
        <w:rPr>
          <w:sz w:val="24"/>
        </w:rPr>
        <w:t>or</w:t>
      </w:r>
      <w:r>
        <w:rPr>
          <w:spacing w:val="-12"/>
          <w:sz w:val="24"/>
        </w:rPr>
        <w:t> </w:t>
      </w:r>
      <w:r>
        <w:rPr>
          <w:spacing w:val="-2"/>
          <w:sz w:val="24"/>
        </w:rPr>
        <w:t>Water.</w:t>
      </w:r>
    </w:p>
    <w:p>
      <w:pPr>
        <w:pStyle w:val="ListParagraph"/>
        <w:numPr>
          <w:ilvl w:val="0"/>
          <w:numId w:val="333"/>
        </w:numPr>
        <w:tabs>
          <w:tab w:pos="1792" w:val="left" w:leader="none"/>
        </w:tabs>
        <w:spacing w:line="240" w:lineRule="auto" w:before="239" w:after="0"/>
        <w:ind w:left="1493" w:right="769" w:firstLine="0"/>
        <w:jc w:val="both"/>
        <w:rPr>
          <w:sz w:val="24"/>
        </w:rPr>
      </w:pPr>
      <w:r>
        <w:rPr>
          <w:sz w:val="24"/>
        </w:rPr>
        <w:t>A clause must be included by the owner/developer in the purchase agreement</w:t>
      </w:r>
      <w:r>
        <w:rPr>
          <w:spacing w:val="-19"/>
          <w:sz w:val="24"/>
        </w:rPr>
        <w:t> </w:t>
      </w:r>
      <w:r>
        <w:rPr>
          <w:sz w:val="24"/>
        </w:rPr>
        <w:t>with</w:t>
      </w:r>
      <w:r>
        <w:rPr>
          <w:spacing w:val="-19"/>
          <w:sz w:val="24"/>
        </w:rPr>
        <w:t> </w:t>
      </w:r>
      <w:r>
        <w:rPr>
          <w:sz w:val="24"/>
        </w:rPr>
        <w:t>the</w:t>
      </w:r>
      <w:r>
        <w:rPr>
          <w:spacing w:val="-19"/>
          <w:sz w:val="24"/>
        </w:rPr>
        <w:t> </w:t>
      </w:r>
      <w:r>
        <w:rPr>
          <w:sz w:val="24"/>
        </w:rPr>
        <w:t>purchaser,</w:t>
      </w:r>
      <w:r>
        <w:rPr>
          <w:spacing w:val="-19"/>
          <w:sz w:val="24"/>
        </w:rPr>
        <w:t> </w:t>
      </w:r>
      <w:r>
        <w:rPr>
          <w:sz w:val="24"/>
        </w:rPr>
        <w:t>owner</w:t>
      </w:r>
      <w:r>
        <w:rPr>
          <w:spacing w:val="-19"/>
          <w:sz w:val="24"/>
        </w:rPr>
        <w:t> </w:t>
      </w:r>
      <w:r>
        <w:rPr>
          <w:sz w:val="24"/>
        </w:rPr>
        <w:t>of</w:t>
      </w:r>
      <w:r>
        <w:rPr>
          <w:spacing w:val="-19"/>
          <w:sz w:val="24"/>
        </w:rPr>
        <w:t> </w:t>
      </w:r>
      <w:r>
        <w:rPr>
          <w:sz w:val="24"/>
        </w:rPr>
        <w:t>the</w:t>
      </w:r>
      <w:r>
        <w:rPr>
          <w:spacing w:val="-19"/>
          <w:sz w:val="24"/>
        </w:rPr>
        <w:t> </w:t>
      </w:r>
      <w:r>
        <w:rPr>
          <w:sz w:val="24"/>
        </w:rPr>
        <w:t>premises/organization</w:t>
      </w:r>
      <w:r>
        <w:rPr>
          <w:spacing w:val="-19"/>
          <w:sz w:val="24"/>
        </w:rPr>
        <w:t> </w:t>
      </w:r>
      <w:r>
        <w:rPr>
          <w:sz w:val="24"/>
        </w:rPr>
        <w:t>or</w:t>
      </w:r>
      <w:r>
        <w:rPr>
          <w:spacing w:val="-19"/>
          <w:sz w:val="24"/>
        </w:rPr>
        <w:t> </w:t>
      </w:r>
      <w:r>
        <w:rPr>
          <w:sz w:val="24"/>
        </w:rPr>
        <w:t>society of the occupiers or the society of purchasers stating that, STPhas been provided in the development and shall have to be maintained in good condition</w:t>
      </w:r>
      <w:r>
        <w:rPr>
          <w:spacing w:val="-16"/>
          <w:sz w:val="24"/>
        </w:rPr>
        <w:t> </w:t>
      </w:r>
      <w:r>
        <w:rPr>
          <w:sz w:val="24"/>
        </w:rPr>
        <w:t>as</w:t>
      </w:r>
      <w:r>
        <w:rPr>
          <w:spacing w:val="-16"/>
          <w:sz w:val="24"/>
        </w:rPr>
        <w:t> </w:t>
      </w:r>
      <w:r>
        <w:rPr>
          <w:sz w:val="24"/>
        </w:rPr>
        <w:t>per</w:t>
      </w:r>
      <w:r>
        <w:rPr>
          <w:spacing w:val="-16"/>
          <w:sz w:val="24"/>
        </w:rPr>
        <w:t> </w:t>
      </w:r>
      <w:r>
        <w:rPr>
          <w:sz w:val="24"/>
        </w:rPr>
        <w:t>the</w:t>
      </w:r>
      <w:r>
        <w:rPr>
          <w:spacing w:val="-19"/>
          <w:sz w:val="24"/>
        </w:rPr>
        <w:t> </w:t>
      </w:r>
      <w:r>
        <w:rPr>
          <w:sz w:val="24"/>
        </w:rPr>
        <w:t>requirement</w:t>
      </w:r>
      <w:r>
        <w:rPr>
          <w:spacing w:val="-16"/>
          <w:sz w:val="24"/>
        </w:rPr>
        <w:t> </w:t>
      </w:r>
      <w:r>
        <w:rPr>
          <w:sz w:val="24"/>
        </w:rPr>
        <w:t>of</w:t>
      </w:r>
      <w:r>
        <w:rPr>
          <w:spacing w:val="-16"/>
          <w:sz w:val="24"/>
        </w:rPr>
        <w:t> </w:t>
      </w:r>
      <w:r>
        <w:rPr>
          <w:sz w:val="24"/>
        </w:rPr>
        <w:t>the</w:t>
      </w:r>
      <w:r>
        <w:rPr>
          <w:spacing w:val="-16"/>
          <w:sz w:val="24"/>
        </w:rPr>
        <w:t> </w:t>
      </w:r>
      <w:r>
        <w:rPr>
          <w:sz w:val="24"/>
        </w:rPr>
        <w:t>Maharashtra</w:t>
      </w:r>
      <w:r>
        <w:rPr>
          <w:spacing w:val="-16"/>
          <w:sz w:val="24"/>
        </w:rPr>
        <w:t> </w:t>
      </w:r>
      <w:r>
        <w:rPr>
          <w:sz w:val="24"/>
        </w:rPr>
        <w:t>Pollution</w:t>
      </w:r>
      <w:r>
        <w:rPr>
          <w:spacing w:val="-16"/>
          <w:sz w:val="24"/>
        </w:rPr>
        <w:t> </w:t>
      </w:r>
      <w:r>
        <w:rPr>
          <w:sz w:val="24"/>
        </w:rPr>
        <w:t>Control</w:t>
      </w:r>
      <w:r>
        <w:rPr>
          <w:spacing w:val="-16"/>
          <w:sz w:val="24"/>
        </w:rPr>
        <w:t> </w:t>
      </w:r>
      <w:r>
        <w:rPr>
          <w:sz w:val="24"/>
        </w:rPr>
        <w:t>Board </w:t>
      </w:r>
      <w:r>
        <w:rPr>
          <w:spacing w:val="-2"/>
          <w:sz w:val="24"/>
        </w:rPr>
        <w:t>(MPCB).</w:t>
      </w:r>
    </w:p>
    <w:p>
      <w:pPr>
        <w:pStyle w:val="Heading3"/>
        <w:numPr>
          <w:ilvl w:val="0"/>
          <w:numId w:val="263"/>
        </w:numPr>
        <w:tabs>
          <w:tab w:pos="1493" w:val="left" w:leader="none"/>
        </w:tabs>
        <w:spacing w:line="240" w:lineRule="auto" w:before="238" w:after="0"/>
        <w:ind w:left="1493" w:right="0" w:hanging="721"/>
        <w:jc w:val="left"/>
        <w:rPr>
          <w:i w:val="0"/>
        </w:rPr>
      </w:pPr>
      <w:r>
        <w:rPr/>
        <w:t>Solid</w:t>
      </w:r>
      <w:r>
        <w:rPr>
          <w:spacing w:val="-4"/>
        </w:rPr>
        <w:t> </w:t>
      </w:r>
      <w:r>
        <w:rPr/>
        <w:t>Waste</w:t>
      </w:r>
      <w:r>
        <w:rPr>
          <w:spacing w:val="-5"/>
        </w:rPr>
        <w:t> </w:t>
      </w:r>
      <w:r>
        <w:rPr>
          <w:spacing w:val="-2"/>
        </w:rPr>
        <w:t>Segregation</w:t>
      </w:r>
    </w:p>
    <w:p>
      <w:pPr>
        <w:pStyle w:val="BodyText"/>
        <w:spacing w:before="244"/>
        <w:ind w:left="1493" w:right="768"/>
      </w:pPr>
      <w:r>
        <w:rPr/>
        <w:t>All buildings shall be provided with separate coloured bins to collect dry waste (paper, plastic, metal, glass, etc.) and wet waste (organic waste). Dedicated space shall be allocated for collecting waste before transferring waste for recycling/disposal separately.</w:t>
      </w:r>
    </w:p>
    <w:p>
      <w:pPr>
        <w:pStyle w:val="BodyText"/>
        <w:spacing w:before="239"/>
        <w:ind w:left="1493" w:right="772"/>
      </w:pPr>
      <w:r>
        <w:rPr/>
        <w:t>Separate bins shall be provided for safe disposal of hazardous waste (batteries, e-waste, lamps, medical waste, etc.) as provided in hazardous waste management guidelines prescribed by the Ministry of Environment and Forest (MoEF), Government of India.</w:t>
      </w:r>
    </w:p>
    <w:p>
      <w:pPr>
        <w:pStyle w:val="BodyText"/>
        <w:spacing w:before="242"/>
        <w:ind w:left="1493" w:right="770"/>
      </w:pPr>
      <w:r>
        <w:rPr/>
        <w:t>Provision</w:t>
      </w:r>
      <w:r>
        <w:rPr>
          <w:spacing w:val="-8"/>
        </w:rPr>
        <w:t> </w:t>
      </w:r>
      <w:r>
        <w:rPr/>
        <w:t>for</w:t>
      </w:r>
      <w:r>
        <w:rPr>
          <w:spacing w:val="-8"/>
        </w:rPr>
        <w:t> </w:t>
      </w:r>
      <w:r>
        <w:rPr/>
        <w:t>treating</w:t>
      </w:r>
      <w:r>
        <w:rPr>
          <w:spacing w:val="-11"/>
        </w:rPr>
        <w:t> </w:t>
      </w:r>
      <w:r>
        <w:rPr/>
        <w:t>the</w:t>
      </w:r>
      <w:r>
        <w:rPr>
          <w:spacing w:val="-8"/>
        </w:rPr>
        <w:t> </w:t>
      </w:r>
      <w:r>
        <w:rPr/>
        <w:t>wet</w:t>
      </w:r>
      <w:r>
        <w:rPr>
          <w:spacing w:val="-8"/>
        </w:rPr>
        <w:t> </w:t>
      </w:r>
      <w:r>
        <w:rPr/>
        <w:t>waste</w:t>
      </w:r>
      <w:r>
        <w:rPr>
          <w:spacing w:val="-11"/>
        </w:rPr>
        <w:t> </w:t>
      </w:r>
      <w:r>
        <w:rPr/>
        <w:t>in</w:t>
      </w:r>
      <w:r>
        <w:rPr>
          <w:spacing w:val="-8"/>
        </w:rPr>
        <w:t> </w:t>
      </w:r>
      <w:r>
        <w:rPr/>
        <w:t>situ</w:t>
      </w:r>
      <w:r>
        <w:rPr>
          <w:spacing w:val="-8"/>
        </w:rPr>
        <w:t> </w:t>
      </w:r>
      <w:r>
        <w:rPr/>
        <w:t>will</w:t>
      </w:r>
      <w:r>
        <w:rPr>
          <w:spacing w:val="-8"/>
        </w:rPr>
        <w:t> </w:t>
      </w:r>
      <w:r>
        <w:rPr/>
        <w:t>have</w:t>
      </w:r>
      <w:r>
        <w:rPr>
          <w:spacing w:val="-8"/>
        </w:rPr>
        <w:t> </w:t>
      </w:r>
      <w:r>
        <w:rPr/>
        <w:t>to</w:t>
      </w:r>
      <w:r>
        <w:rPr>
          <w:spacing w:val="-11"/>
        </w:rPr>
        <w:t> </w:t>
      </w:r>
      <w:r>
        <w:rPr/>
        <w:t>be</w:t>
      </w:r>
      <w:r>
        <w:rPr>
          <w:spacing w:val="-8"/>
        </w:rPr>
        <w:t> </w:t>
      </w:r>
      <w:r>
        <w:rPr/>
        <w:t>made</w:t>
      </w:r>
      <w:r>
        <w:rPr>
          <w:spacing w:val="-8"/>
        </w:rPr>
        <w:t> </w:t>
      </w:r>
      <w:r>
        <w:rPr/>
        <w:t>and</w:t>
      </w:r>
      <w:r>
        <w:rPr>
          <w:spacing w:val="-8"/>
        </w:rPr>
        <w:t> </w:t>
      </w:r>
      <w:r>
        <w:rPr/>
        <w:t>a</w:t>
      </w:r>
      <w:r>
        <w:rPr>
          <w:spacing w:val="-8"/>
        </w:rPr>
        <w:t> </w:t>
      </w:r>
      <w:r>
        <w:rPr/>
        <w:t>clause must be included by the owner/developer in the purchase agreement with the</w:t>
      </w:r>
      <w:r>
        <w:rPr>
          <w:spacing w:val="-20"/>
        </w:rPr>
        <w:t> </w:t>
      </w:r>
      <w:r>
        <w:rPr/>
        <w:t>purchaser,</w:t>
      </w:r>
      <w:r>
        <w:rPr>
          <w:spacing w:val="-19"/>
        </w:rPr>
        <w:t> </w:t>
      </w:r>
      <w:r>
        <w:rPr/>
        <w:t>owner</w:t>
      </w:r>
      <w:r>
        <w:rPr>
          <w:spacing w:val="-19"/>
        </w:rPr>
        <w:t> </w:t>
      </w:r>
      <w:r>
        <w:rPr/>
        <w:t>of</w:t>
      </w:r>
      <w:r>
        <w:rPr>
          <w:spacing w:val="-19"/>
        </w:rPr>
        <w:t> </w:t>
      </w:r>
      <w:r>
        <w:rPr/>
        <w:t>the</w:t>
      </w:r>
      <w:r>
        <w:rPr>
          <w:spacing w:val="-19"/>
        </w:rPr>
        <w:t> </w:t>
      </w:r>
      <w:r>
        <w:rPr/>
        <w:t>premises/organization</w:t>
      </w:r>
      <w:r>
        <w:rPr>
          <w:spacing w:val="-20"/>
        </w:rPr>
        <w:t> </w:t>
      </w:r>
      <w:r>
        <w:rPr/>
        <w:t>or</w:t>
      </w:r>
      <w:r>
        <w:rPr>
          <w:spacing w:val="-19"/>
        </w:rPr>
        <w:t> </w:t>
      </w:r>
      <w:r>
        <w:rPr/>
        <w:t>society</w:t>
      </w:r>
      <w:r>
        <w:rPr>
          <w:spacing w:val="-19"/>
        </w:rPr>
        <w:t> </w:t>
      </w:r>
      <w:r>
        <w:rPr/>
        <w:t>of</w:t>
      </w:r>
      <w:r>
        <w:rPr>
          <w:spacing w:val="-19"/>
        </w:rPr>
        <w:t> </w:t>
      </w:r>
      <w:r>
        <w:rPr/>
        <w:t>the</w:t>
      </w:r>
      <w:r>
        <w:rPr>
          <w:spacing w:val="-19"/>
        </w:rPr>
        <w:t> </w:t>
      </w:r>
      <w:r>
        <w:rPr/>
        <w:t>occupiers or</w:t>
      </w:r>
      <w:r>
        <w:rPr>
          <w:spacing w:val="-15"/>
        </w:rPr>
        <w:t> </w:t>
      </w:r>
      <w:r>
        <w:rPr/>
        <w:t>the</w:t>
      </w:r>
      <w:r>
        <w:rPr>
          <w:spacing w:val="-15"/>
        </w:rPr>
        <w:t> </w:t>
      </w:r>
      <w:r>
        <w:rPr/>
        <w:t>society</w:t>
      </w:r>
      <w:r>
        <w:rPr>
          <w:spacing w:val="-15"/>
        </w:rPr>
        <w:t> </w:t>
      </w:r>
      <w:r>
        <w:rPr/>
        <w:t>of</w:t>
      </w:r>
      <w:r>
        <w:rPr>
          <w:spacing w:val="-15"/>
        </w:rPr>
        <w:t> </w:t>
      </w:r>
      <w:r>
        <w:rPr/>
        <w:t>purchasers</w:t>
      </w:r>
      <w:r>
        <w:rPr>
          <w:spacing w:val="-15"/>
        </w:rPr>
        <w:t> </w:t>
      </w:r>
      <w:r>
        <w:rPr/>
        <w:t>stating</w:t>
      </w:r>
      <w:r>
        <w:rPr>
          <w:spacing w:val="-15"/>
        </w:rPr>
        <w:t> </w:t>
      </w:r>
      <w:r>
        <w:rPr/>
        <w:t>that,</w:t>
      </w:r>
      <w:r>
        <w:rPr>
          <w:spacing w:val="-15"/>
        </w:rPr>
        <w:t> </w:t>
      </w:r>
      <w:r>
        <w:rPr/>
        <w:t>wet</w:t>
      </w:r>
      <w:r>
        <w:rPr>
          <w:spacing w:val="-15"/>
        </w:rPr>
        <w:t> </w:t>
      </w:r>
      <w:r>
        <w:rPr/>
        <w:t>waste</w:t>
      </w:r>
      <w:r>
        <w:rPr>
          <w:spacing w:val="-15"/>
        </w:rPr>
        <w:t> </w:t>
      </w:r>
      <w:r>
        <w:rPr/>
        <w:t>will</w:t>
      </w:r>
      <w:r>
        <w:rPr>
          <w:spacing w:val="-15"/>
        </w:rPr>
        <w:t> </w:t>
      </w:r>
      <w:r>
        <w:rPr/>
        <w:t>be</w:t>
      </w:r>
      <w:r>
        <w:rPr>
          <w:spacing w:val="-15"/>
        </w:rPr>
        <w:t> </w:t>
      </w:r>
      <w:r>
        <w:rPr/>
        <w:t>treated</w:t>
      </w:r>
      <w:r>
        <w:rPr>
          <w:spacing w:val="-15"/>
        </w:rPr>
        <w:t> </w:t>
      </w:r>
      <w:r>
        <w:rPr/>
        <w:t>in</w:t>
      </w:r>
      <w:r>
        <w:rPr>
          <w:spacing w:val="-15"/>
        </w:rPr>
        <w:t> </w:t>
      </w:r>
      <w:r>
        <w:rPr/>
        <w:t>situ</w:t>
      </w:r>
      <w:r>
        <w:rPr>
          <w:spacing w:val="-15"/>
        </w:rPr>
        <w:t> </w:t>
      </w:r>
      <w:r>
        <w:rPr/>
        <w:t>and shall have to be maintained in operational condition as per the requirement of MCGM if any.</w:t>
      </w:r>
    </w:p>
    <w:p>
      <w:pPr>
        <w:pStyle w:val="BodyText"/>
        <w:spacing w:before="239"/>
        <w:ind w:left="1493" w:right="772"/>
      </w:pPr>
      <w:r>
        <w:rPr/>
        <w:t>The planning design, construction and installation of Solid Waste Management</w:t>
      </w:r>
      <w:r>
        <w:rPr>
          <w:spacing w:val="-17"/>
        </w:rPr>
        <w:t> </w:t>
      </w:r>
      <w:r>
        <w:rPr/>
        <w:t>System</w:t>
      </w:r>
      <w:r>
        <w:rPr>
          <w:spacing w:val="-15"/>
        </w:rPr>
        <w:t> </w:t>
      </w:r>
      <w:r>
        <w:rPr/>
        <w:t>shall</w:t>
      </w:r>
      <w:r>
        <w:rPr>
          <w:spacing w:val="-15"/>
        </w:rPr>
        <w:t> </w:t>
      </w:r>
      <w:r>
        <w:rPr/>
        <w:t>be</w:t>
      </w:r>
      <w:r>
        <w:rPr>
          <w:spacing w:val="-14"/>
        </w:rPr>
        <w:t> </w:t>
      </w:r>
      <w:r>
        <w:rPr/>
        <w:t>as</w:t>
      </w:r>
      <w:r>
        <w:rPr>
          <w:spacing w:val="-12"/>
        </w:rPr>
        <w:t> </w:t>
      </w:r>
      <w:r>
        <w:rPr/>
        <w:t>per</w:t>
      </w:r>
      <w:r>
        <w:rPr>
          <w:spacing w:val="-15"/>
        </w:rPr>
        <w:t> </w:t>
      </w:r>
      <w:r>
        <w:rPr/>
        <w:t>the</w:t>
      </w:r>
      <w:r>
        <w:rPr>
          <w:spacing w:val="-15"/>
        </w:rPr>
        <w:t> </w:t>
      </w:r>
      <w:r>
        <w:rPr/>
        <w:t>National</w:t>
      </w:r>
      <w:r>
        <w:rPr>
          <w:spacing w:val="-14"/>
        </w:rPr>
        <w:t> </w:t>
      </w:r>
      <w:r>
        <w:rPr/>
        <w:t>Building</w:t>
      </w:r>
      <w:r>
        <w:rPr>
          <w:spacing w:val="-15"/>
        </w:rPr>
        <w:t> </w:t>
      </w:r>
      <w:r>
        <w:rPr/>
        <w:t>Code</w:t>
      </w:r>
      <w:r>
        <w:rPr>
          <w:spacing w:val="-15"/>
        </w:rPr>
        <w:t> </w:t>
      </w:r>
      <w:r>
        <w:rPr/>
        <w:t>of</w:t>
      </w:r>
      <w:r>
        <w:rPr>
          <w:spacing w:val="-15"/>
        </w:rPr>
        <w:t> </w:t>
      </w:r>
      <w:r>
        <w:rPr/>
        <w:t>India,</w:t>
      </w:r>
      <w:r>
        <w:rPr>
          <w:spacing w:val="-14"/>
        </w:rPr>
        <w:t> </w:t>
      </w:r>
      <w:r>
        <w:rPr>
          <w:spacing w:val="-4"/>
        </w:rPr>
        <w:t>Part</w:t>
      </w:r>
    </w:p>
    <w:p>
      <w:pPr>
        <w:pStyle w:val="BodyText"/>
        <w:ind w:left="1493" w:right="773"/>
      </w:pPr>
      <w:r>
        <w:rPr/>
        <w:t>9 Plumbing Services, Section 1- Water Supply, Drainage and Sanitation (Including Solid Waste Management) Paragraph 6.</w:t>
      </w:r>
    </w:p>
    <w:p>
      <w:pPr>
        <w:pStyle w:val="BodyText"/>
        <w:spacing w:line="360" w:lineRule="auto" w:before="241"/>
        <w:ind w:left="1404" w:right="768" w:firstLine="719"/>
      </w:pPr>
      <w:r>
        <w:rPr/>
        <w:t>On</w:t>
      </w:r>
      <w:r>
        <w:rPr>
          <w:spacing w:val="-4"/>
        </w:rPr>
        <w:t> </w:t>
      </w:r>
      <w:r>
        <w:rPr/>
        <w:t>the</w:t>
      </w:r>
      <w:r>
        <w:rPr>
          <w:spacing w:val="-4"/>
        </w:rPr>
        <w:t> </w:t>
      </w:r>
      <w:r>
        <w:rPr/>
        <w:t>plots</w:t>
      </w:r>
      <w:r>
        <w:rPr>
          <w:spacing w:val="-4"/>
        </w:rPr>
        <w:t> </w:t>
      </w:r>
      <w:r>
        <w:rPr/>
        <w:t>having</w:t>
      </w:r>
      <w:r>
        <w:rPr>
          <w:spacing w:val="-7"/>
        </w:rPr>
        <w:t> </w:t>
      </w:r>
      <w:r>
        <w:rPr/>
        <w:t>total</w:t>
      </w:r>
      <w:r>
        <w:rPr>
          <w:spacing w:val="-4"/>
        </w:rPr>
        <w:t> </w:t>
      </w:r>
      <w:r>
        <w:rPr/>
        <w:t>construction</w:t>
      </w:r>
      <w:r>
        <w:rPr>
          <w:spacing w:val="-4"/>
        </w:rPr>
        <w:t> </w:t>
      </w:r>
      <w:r>
        <w:rPr/>
        <w:t>area</w:t>
      </w:r>
      <w:r>
        <w:rPr>
          <w:spacing w:val="-4"/>
        </w:rPr>
        <w:t> </w:t>
      </w:r>
      <w:r>
        <w:rPr/>
        <w:t>20,000</w:t>
      </w:r>
      <w:r>
        <w:rPr>
          <w:spacing w:val="-4"/>
        </w:rPr>
        <w:t> </w:t>
      </w:r>
      <w:r>
        <w:rPr/>
        <w:t>Sq.mt</w:t>
      </w:r>
      <w:r>
        <w:rPr>
          <w:spacing w:val="-4"/>
        </w:rPr>
        <w:t> </w:t>
      </w:r>
      <w:r>
        <w:rPr/>
        <w:t>&amp;</w:t>
      </w:r>
      <w:r>
        <w:rPr>
          <w:spacing w:val="-4"/>
        </w:rPr>
        <w:t> </w:t>
      </w:r>
      <w:r>
        <w:rPr/>
        <w:t>above</w:t>
      </w:r>
      <w:r>
        <w:rPr>
          <w:spacing w:val="-4"/>
        </w:rPr>
        <w:t> </w:t>
      </w:r>
      <w:r>
        <w:rPr/>
        <w:t>Bio- degradable</w:t>
      </w:r>
      <w:r>
        <w:rPr>
          <w:spacing w:val="-6"/>
        </w:rPr>
        <w:t> </w:t>
      </w:r>
      <w:r>
        <w:rPr/>
        <w:t>Waste</w:t>
      </w:r>
      <w:r>
        <w:rPr>
          <w:spacing w:val="-6"/>
        </w:rPr>
        <w:t> </w:t>
      </w:r>
      <w:r>
        <w:rPr/>
        <w:t>Treatment</w:t>
      </w:r>
      <w:r>
        <w:rPr>
          <w:spacing w:val="-6"/>
        </w:rPr>
        <w:t> </w:t>
      </w:r>
      <w:r>
        <w:rPr/>
        <w:t>Plant</w:t>
      </w:r>
      <w:r>
        <w:rPr>
          <w:spacing w:val="-6"/>
        </w:rPr>
        <w:t> </w:t>
      </w:r>
      <w:r>
        <w:rPr/>
        <w:t>of</w:t>
      </w:r>
      <w:r>
        <w:rPr>
          <w:spacing w:val="-5"/>
        </w:rPr>
        <w:t> </w:t>
      </w:r>
      <w:r>
        <w:rPr/>
        <w:t>required</w:t>
      </w:r>
      <w:r>
        <w:rPr>
          <w:spacing w:val="-6"/>
        </w:rPr>
        <w:t> </w:t>
      </w:r>
      <w:r>
        <w:rPr/>
        <w:t>capacity</w:t>
      </w:r>
      <w:r>
        <w:rPr>
          <w:spacing w:val="-6"/>
        </w:rPr>
        <w:t> </w:t>
      </w:r>
      <w:r>
        <w:rPr/>
        <w:t>shall</w:t>
      </w:r>
      <w:r>
        <w:rPr>
          <w:spacing w:val="-8"/>
        </w:rPr>
        <w:t> </w:t>
      </w:r>
      <w:r>
        <w:rPr/>
        <w:t>be</w:t>
      </w:r>
      <w:r>
        <w:rPr>
          <w:spacing w:val="-6"/>
        </w:rPr>
        <w:t> </w:t>
      </w:r>
      <w:r>
        <w:rPr/>
        <w:t>provided</w:t>
      </w:r>
      <w:r>
        <w:rPr>
          <w:spacing w:val="-6"/>
        </w:rPr>
        <w:t> </w:t>
      </w:r>
      <w:r>
        <w:rPr/>
        <w:t>and </w:t>
      </w:r>
      <w:r>
        <w:rPr>
          <w:spacing w:val="-2"/>
        </w:rPr>
        <w:t>maintained.</w:t>
      </w:r>
    </w:p>
    <w:p>
      <w:pPr>
        <w:pStyle w:val="BodyText"/>
        <w:spacing w:line="360" w:lineRule="auto"/>
        <w:ind w:left="1404" w:right="768" w:firstLine="719"/>
      </w:pPr>
      <w:r>
        <w:rPr/>
        <w:t>The</w:t>
      </w:r>
      <w:r>
        <w:rPr>
          <w:spacing w:val="-7"/>
        </w:rPr>
        <w:t> </w:t>
      </w:r>
      <w:r>
        <w:rPr/>
        <w:t>area</w:t>
      </w:r>
      <w:r>
        <w:rPr>
          <w:spacing w:val="-7"/>
        </w:rPr>
        <w:t> </w:t>
      </w:r>
      <w:r>
        <w:rPr/>
        <w:t>under</w:t>
      </w:r>
      <w:r>
        <w:rPr>
          <w:spacing w:val="-7"/>
        </w:rPr>
        <w:t> </w:t>
      </w:r>
      <w:r>
        <w:rPr/>
        <w:t>construction</w:t>
      </w:r>
      <w:r>
        <w:rPr>
          <w:spacing w:val="-7"/>
        </w:rPr>
        <w:t> </w:t>
      </w:r>
      <w:r>
        <w:rPr/>
        <w:t>of</w:t>
      </w:r>
      <w:r>
        <w:rPr>
          <w:spacing w:val="-7"/>
        </w:rPr>
        <w:t> </w:t>
      </w:r>
      <w:r>
        <w:rPr/>
        <w:t>Solid</w:t>
      </w:r>
      <w:r>
        <w:rPr>
          <w:spacing w:val="-7"/>
        </w:rPr>
        <w:t> </w:t>
      </w:r>
      <w:r>
        <w:rPr/>
        <w:t>Waste</w:t>
      </w:r>
      <w:r>
        <w:rPr>
          <w:spacing w:val="-7"/>
        </w:rPr>
        <w:t> </w:t>
      </w:r>
      <w:r>
        <w:rPr/>
        <w:t>Management</w:t>
      </w:r>
      <w:r>
        <w:rPr>
          <w:spacing w:val="-7"/>
        </w:rPr>
        <w:t> </w:t>
      </w:r>
      <w:r>
        <w:rPr/>
        <w:t>System</w:t>
      </w:r>
      <w:r>
        <w:rPr>
          <w:spacing w:val="-7"/>
        </w:rPr>
        <w:t> </w:t>
      </w:r>
      <w:r>
        <w:rPr/>
        <w:t>/Bio- degradable waste treatment plant shall be free of FSI.</w:t>
      </w:r>
    </w:p>
    <w:p>
      <w:pPr>
        <w:pStyle w:val="BodyText"/>
        <w:spacing w:line="281" w:lineRule="exact"/>
        <w:ind w:right="774"/>
        <w:jc w:val="right"/>
      </w:pPr>
      <w:r>
        <w:rPr/>
        <w:t>The</w:t>
      </w:r>
      <w:r>
        <w:rPr>
          <w:spacing w:val="39"/>
        </w:rPr>
        <w:t> </w:t>
      </w:r>
      <w:r>
        <w:rPr/>
        <w:t>Completion</w:t>
      </w:r>
      <w:r>
        <w:rPr>
          <w:spacing w:val="41"/>
        </w:rPr>
        <w:t> </w:t>
      </w:r>
      <w:r>
        <w:rPr/>
        <w:t>Certificate</w:t>
      </w:r>
      <w:r>
        <w:rPr>
          <w:spacing w:val="39"/>
        </w:rPr>
        <w:t> </w:t>
      </w:r>
      <w:r>
        <w:rPr/>
        <w:t>for</w:t>
      </w:r>
      <w:r>
        <w:rPr>
          <w:spacing w:val="40"/>
        </w:rPr>
        <w:t> </w:t>
      </w:r>
      <w:r>
        <w:rPr/>
        <w:t>the</w:t>
      </w:r>
      <w:r>
        <w:rPr>
          <w:spacing w:val="39"/>
        </w:rPr>
        <w:t> </w:t>
      </w:r>
      <w:r>
        <w:rPr/>
        <w:t>Solid</w:t>
      </w:r>
      <w:r>
        <w:rPr>
          <w:spacing w:val="41"/>
        </w:rPr>
        <w:t> </w:t>
      </w:r>
      <w:r>
        <w:rPr/>
        <w:t>Waste</w:t>
      </w:r>
      <w:r>
        <w:rPr>
          <w:spacing w:val="39"/>
        </w:rPr>
        <w:t> </w:t>
      </w:r>
      <w:r>
        <w:rPr/>
        <w:t>Management</w:t>
      </w:r>
      <w:r>
        <w:rPr>
          <w:spacing w:val="40"/>
        </w:rPr>
        <w:t> </w:t>
      </w:r>
      <w:r>
        <w:rPr>
          <w:spacing w:val="-2"/>
        </w:rPr>
        <w:t>System</w:t>
      </w:r>
    </w:p>
    <w:p>
      <w:pPr>
        <w:pStyle w:val="BodyText"/>
        <w:spacing w:before="141"/>
        <w:ind w:right="771"/>
        <w:jc w:val="right"/>
      </w:pPr>
      <w:r>
        <w:rPr/>
        <w:t>/Bio-degradable</w:t>
      </w:r>
      <w:r>
        <w:rPr>
          <w:spacing w:val="-12"/>
        </w:rPr>
        <w:t> </w:t>
      </w:r>
      <w:r>
        <w:rPr/>
        <w:t>Waste</w:t>
      </w:r>
      <w:r>
        <w:rPr>
          <w:spacing w:val="-9"/>
        </w:rPr>
        <w:t> </w:t>
      </w:r>
      <w:r>
        <w:rPr/>
        <w:t>Treatment</w:t>
      </w:r>
      <w:r>
        <w:rPr>
          <w:spacing w:val="-9"/>
        </w:rPr>
        <w:t> </w:t>
      </w:r>
      <w:r>
        <w:rPr/>
        <w:t>Plant</w:t>
      </w:r>
      <w:r>
        <w:rPr>
          <w:spacing w:val="-9"/>
        </w:rPr>
        <w:t> </w:t>
      </w:r>
      <w:r>
        <w:rPr/>
        <w:t>issued</w:t>
      </w:r>
      <w:r>
        <w:rPr>
          <w:spacing w:val="-9"/>
        </w:rPr>
        <w:t> </w:t>
      </w:r>
      <w:r>
        <w:rPr/>
        <w:t>by</w:t>
      </w:r>
      <w:r>
        <w:rPr>
          <w:spacing w:val="-9"/>
        </w:rPr>
        <w:t> </w:t>
      </w:r>
      <w:r>
        <w:rPr/>
        <w:t>Environmental</w:t>
      </w:r>
      <w:r>
        <w:rPr>
          <w:spacing w:val="-9"/>
        </w:rPr>
        <w:t> </w:t>
      </w:r>
      <w:r>
        <w:rPr>
          <w:spacing w:val="-2"/>
        </w:rPr>
        <w:t>Consultant</w:t>
      </w:r>
    </w:p>
    <w:p>
      <w:pPr>
        <w:pStyle w:val="BodyText"/>
        <w:spacing w:after="0"/>
        <w:jc w:val="right"/>
        <w:sectPr>
          <w:pgSz w:w="11910" w:h="16840"/>
          <w:pgMar w:header="1058" w:footer="1196" w:top="1500" w:bottom="1380" w:left="360" w:right="360"/>
        </w:sectPr>
      </w:pPr>
    </w:p>
    <w:p>
      <w:pPr>
        <w:pStyle w:val="BodyText"/>
        <w:spacing w:line="362" w:lineRule="auto" w:before="255"/>
        <w:ind w:left="1404" w:right="772"/>
      </w:pPr>
      <w:r>
        <w:rPr/>
        <w:t>shall be submitted before asking for Occupation Certificate/Building Completion Certificate.”</w:t>
      </w:r>
    </w:p>
    <w:p>
      <w:pPr>
        <w:pStyle w:val="BodyText"/>
        <w:spacing w:before="132"/>
        <w:jc w:val="left"/>
      </w:pPr>
    </w:p>
    <w:p>
      <w:pPr>
        <w:pStyle w:val="Heading3"/>
        <w:numPr>
          <w:ilvl w:val="0"/>
          <w:numId w:val="263"/>
        </w:numPr>
        <w:tabs>
          <w:tab w:pos="1490" w:val="left" w:leader="none"/>
        </w:tabs>
        <w:spacing w:line="240" w:lineRule="auto" w:before="1" w:after="0"/>
        <w:ind w:left="1490" w:right="0" w:hanging="718"/>
        <w:jc w:val="both"/>
        <w:rPr>
          <w:i w:val="0"/>
        </w:rPr>
      </w:pPr>
      <w:r>
        <w:rPr/>
        <w:t>Tree</w:t>
      </w:r>
      <w:r>
        <w:rPr>
          <w:spacing w:val="34"/>
          <w:w w:val="150"/>
        </w:rPr>
        <w:t>  </w:t>
      </w:r>
      <w:r>
        <w:rPr/>
        <w:t>Plantation</w:t>
      </w:r>
      <w:r>
        <w:rPr>
          <w:spacing w:val="34"/>
          <w:w w:val="150"/>
        </w:rPr>
        <w:t>  </w:t>
      </w:r>
      <w:r>
        <w:rPr/>
        <w:t>Provisions</w:t>
      </w:r>
      <w:r>
        <w:rPr>
          <w:spacing w:val="33"/>
          <w:w w:val="150"/>
        </w:rPr>
        <w:t>  </w:t>
      </w:r>
      <w:r>
        <w:rPr/>
        <w:t>for</w:t>
      </w:r>
      <w:r>
        <w:rPr>
          <w:spacing w:val="35"/>
          <w:w w:val="150"/>
        </w:rPr>
        <w:t>  </w:t>
      </w:r>
      <w:r>
        <w:rPr>
          <w:spacing w:val="-2"/>
        </w:rPr>
        <w:t>Enhancing/Conserving</w:t>
      </w:r>
    </w:p>
    <w:p>
      <w:pPr>
        <w:spacing w:before="0"/>
        <w:ind w:left="1493" w:right="0" w:firstLine="0"/>
        <w:jc w:val="both"/>
        <w:rPr>
          <w:b/>
          <w:i/>
          <w:sz w:val="28"/>
        </w:rPr>
      </w:pPr>
      <w:r>
        <w:rPr>
          <w:b/>
          <w:i/>
          <w:sz w:val="28"/>
        </w:rPr>
        <w:t>/Preserving</w:t>
      </w:r>
      <w:r>
        <w:rPr>
          <w:b/>
          <w:i/>
          <w:spacing w:val="-8"/>
          <w:sz w:val="28"/>
        </w:rPr>
        <w:t> </w:t>
      </w:r>
      <w:r>
        <w:rPr>
          <w:b/>
          <w:i/>
          <w:spacing w:val="-2"/>
          <w:sz w:val="28"/>
        </w:rPr>
        <w:t>Biodiversity</w:t>
      </w:r>
    </w:p>
    <w:p>
      <w:pPr>
        <w:pStyle w:val="ListParagraph"/>
        <w:numPr>
          <w:ilvl w:val="0"/>
          <w:numId w:val="334"/>
        </w:numPr>
        <w:tabs>
          <w:tab w:pos="1713" w:val="left" w:leader="none"/>
        </w:tabs>
        <w:spacing w:line="240" w:lineRule="auto" w:before="124" w:after="0"/>
        <w:ind w:left="1493" w:right="769" w:firstLine="0"/>
        <w:jc w:val="both"/>
        <w:rPr>
          <w:sz w:val="24"/>
        </w:rPr>
      </w:pPr>
      <w:r>
        <w:rPr>
          <w:sz w:val="24"/>
        </w:rPr>
        <w:t>The</w:t>
      </w:r>
      <w:r>
        <w:rPr>
          <w:spacing w:val="-3"/>
          <w:sz w:val="24"/>
        </w:rPr>
        <w:t> </w:t>
      </w:r>
      <w:r>
        <w:rPr>
          <w:sz w:val="24"/>
        </w:rPr>
        <w:t>development</w:t>
      </w:r>
      <w:r>
        <w:rPr>
          <w:spacing w:val="-3"/>
          <w:sz w:val="24"/>
        </w:rPr>
        <w:t> </w:t>
      </w:r>
      <w:r>
        <w:rPr>
          <w:sz w:val="24"/>
        </w:rPr>
        <w:t>in</w:t>
      </w:r>
      <w:r>
        <w:rPr>
          <w:spacing w:val="-3"/>
          <w:sz w:val="24"/>
        </w:rPr>
        <w:t> </w:t>
      </w:r>
      <w:r>
        <w:rPr>
          <w:sz w:val="24"/>
        </w:rPr>
        <w:t>any</w:t>
      </w:r>
      <w:r>
        <w:rPr>
          <w:spacing w:val="-3"/>
          <w:sz w:val="24"/>
        </w:rPr>
        <w:t> </w:t>
      </w:r>
      <w:r>
        <w:rPr>
          <w:sz w:val="24"/>
        </w:rPr>
        <w:t>plot</w:t>
      </w:r>
      <w:r>
        <w:rPr>
          <w:spacing w:val="-3"/>
          <w:sz w:val="24"/>
        </w:rPr>
        <w:t> </w:t>
      </w:r>
      <w:r>
        <w:rPr>
          <w:sz w:val="24"/>
        </w:rPr>
        <w:t>of</w:t>
      </w:r>
      <w:r>
        <w:rPr>
          <w:spacing w:val="-3"/>
          <w:sz w:val="24"/>
        </w:rPr>
        <w:t> </w:t>
      </w:r>
      <w:r>
        <w:rPr>
          <w:sz w:val="24"/>
        </w:rPr>
        <w:t>land</w:t>
      </w:r>
      <w:r>
        <w:rPr>
          <w:spacing w:val="-3"/>
          <w:sz w:val="24"/>
        </w:rPr>
        <w:t> </w:t>
      </w:r>
      <w:r>
        <w:rPr>
          <w:sz w:val="24"/>
        </w:rPr>
        <w:t>shall</w:t>
      </w:r>
      <w:r>
        <w:rPr>
          <w:spacing w:val="-3"/>
          <w:sz w:val="24"/>
        </w:rPr>
        <w:t> </w:t>
      </w:r>
      <w:r>
        <w:rPr>
          <w:sz w:val="24"/>
        </w:rPr>
        <w:t>be</w:t>
      </w:r>
      <w:r>
        <w:rPr>
          <w:spacing w:val="-3"/>
          <w:sz w:val="24"/>
        </w:rPr>
        <w:t> </w:t>
      </w:r>
      <w:r>
        <w:rPr>
          <w:sz w:val="24"/>
        </w:rPr>
        <w:t>such</w:t>
      </w:r>
      <w:r>
        <w:rPr>
          <w:spacing w:val="-3"/>
          <w:sz w:val="24"/>
        </w:rPr>
        <w:t> </w:t>
      </w:r>
      <w:r>
        <w:rPr>
          <w:sz w:val="24"/>
        </w:rPr>
        <w:t>as</w:t>
      </w:r>
      <w:r>
        <w:rPr>
          <w:spacing w:val="-3"/>
          <w:sz w:val="24"/>
        </w:rPr>
        <w:t> </w:t>
      </w:r>
      <w:r>
        <w:rPr>
          <w:sz w:val="24"/>
        </w:rPr>
        <w:t>to</w:t>
      </w:r>
      <w:r>
        <w:rPr>
          <w:spacing w:val="-3"/>
          <w:sz w:val="24"/>
        </w:rPr>
        <w:t> </w:t>
      </w:r>
      <w:r>
        <w:rPr>
          <w:sz w:val="24"/>
        </w:rPr>
        <w:t>preserve,</w:t>
      </w:r>
      <w:r>
        <w:rPr>
          <w:spacing w:val="-3"/>
          <w:sz w:val="24"/>
        </w:rPr>
        <w:t> </w:t>
      </w:r>
      <w:r>
        <w:rPr>
          <w:sz w:val="24"/>
        </w:rPr>
        <w:t>as</w:t>
      </w:r>
      <w:r>
        <w:rPr>
          <w:spacing w:val="-3"/>
          <w:sz w:val="24"/>
        </w:rPr>
        <w:t> </w:t>
      </w:r>
      <w:r>
        <w:rPr>
          <w:sz w:val="24"/>
        </w:rPr>
        <w:t>far</w:t>
      </w:r>
      <w:r>
        <w:rPr>
          <w:spacing w:val="-3"/>
          <w:sz w:val="24"/>
        </w:rPr>
        <w:t> </w:t>
      </w:r>
      <w:r>
        <w:rPr>
          <w:sz w:val="24"/>
        </w:rPr>
        <w:t>as practicable,the</w:t>
      </w:r>
      <w:r>
        <w:rPr>
          <w:spacing w:val="-2"/>
          <w:sz w:val="24"/>
        </w:rPr>
        <w:t> </w:t>
      </w:r>
      <w:r>
        <w:rPr>
          <w:sz w:val="24"/>
        </w:rPr>
        <w:t>existing</w:t>
      </w:r>
      <w:r>
        <w:rPr>
          <w:spacing w:val="-1"/>
          <w:sz w:val="24"/>
        </w:rPr>
        <w:t> </w:t>
      </w:r>
      <w:r>
        <w:rPr>
          <w:sz w:val="24"/>
        </w:rPr>
        <w:t>trees.Where</w:t>
      </w:r>
      <w:r>
        <w:rPr>
          <w:spacing w:val="-2"/>
          <w:sz w:val="24"/>
        </w:rPr>
        <w:t> </w:t>
      </w:r>
      <w:r>
        <w:rPr>
          <w:sz w:val="24"/>
        </w:rPr>
        <w:t>trees</w:t>
      </w:r>
      <w:r>
        <w:rPr>
          <w:spacing w:val="-5"/>
          <w:sz w:val="24"/>
        </w:rPr>
        <w:t> </w:t>
      </w:r>
      <w:r>
        <w:rPr>
          <w:sz w:val="24"/>
        </w:rPr>
        <w:t>are</w:t>
      </w:r>
      <w:r>
        <w:rPr>
          <w:spacing w:val="-2"/>
          <w:sz w:val="24"/>
        </w:rPr>
        <w:t> </w:t>
      </w:r>
      <w:r>
        <w:rPr>
          <w:sz w:val="24"/>
        </w:rPr>
        <w:t>required</w:t>
      </w:r>
      <w:r>
        <w:rPr>
          <w:spacing w:val="-2"/>
          <w:sz w:val="24"/>
        </w:rPr>
        <w:t> </w:t>
      </w:r>
      <w:r>
        <w:rPr>
          <w:sz w:val="24"/>
        </w:rPr>
        <w:t>to</w:t>
      </w:r>
      <w:r>
        <w:rPr>
          <w:spacing w:val="-2"/>
          <w:sz w:val="24"/>
        </w:rPr>
        <w:t> </w:t>
      </w:r>
      <w:r>
        <w:rPr>
          <w:sz w:val="24"/>
        </w:rPr>
        <w:t>be</w:t>
      </w:r>
      <w:r>
        <w:rPr>
          <w:spacing w:val="-5"/>
          <w:sz w:val="24"/>
        </w:rPr>
        <w:t> </w:t>
      </w:r>
      <w:r>
        <w:rPr>
          <w:sz w:val="24"/>
        </w:rPr>
        <w:t>felled, twice</w:t>
      </w:r>
      <w:r>
        <w:rPr>
          <w:spacing w:val="-2"/>
          <w:sz w:val="24"/>
        </w:rPr>
        <w:t> </w:t>
      </w:r>
      <w:r>
        <w:rPr>
          <w:sz w:val="24"/>
        </w:rPr>
        <w:t>the number of trees shall be planted for every tree to be felled.</w:t>
      </w:r>
    </w:p>
    <w:p>
      <w:pPr>
        <w:pStyle w:val="ListParagraph"/>
        <w:numPr>
          <w:ilvl w:val="0"/>
          <w:numId w:val="334"/>
        </w:numPr>
        <w:tabs>
          <w:tab w:pos="1785" w:val="left" w:leader="none"/>
        </w:tabs>
        <w:spacing w:line="240" w:lineRule="auto" w:before="120" w:after="0"/>
        <w:ind w:left="1785" w:right="0" w:hanging="292"/>
        <w:jc w:val="both"/>
        <w:rPr>
          <w:sz w:val="24"/>
        </w:rPr>
      </w:pPr>
      <w:r>
        <w:rPr>
          <w:sz w:val="24"/>
        </w:rPr>
        <w:t>Every</w:t>
      </w:r>
      <w:r>
        <w:rPr>
          <w:spacing w:val="-1"/>
          <w:sz w:val="24"/>
        </w:rPr>
        <w:t> </w:t>
      </w:r>
      <w:r>
        <w:rPr>
          <w:sz w:val="24"/>
        </w:rPr>
        <w:t>plot of</w:t>
      </w:r>
      <w:r>
        <w:rPr>
          <w:spacing w:val="-1"/>
          <w:sz w:val="24"/>
        </w:rPr>
        <w:t> </w:t>
      </w:r>
      <w:r>
        <w:rPr>
          <w:sz w:val="24"/>
        </w:rPr>
        <w:t>land shall</w:t>
      </w:r>
      <w:r>
        <w:rPr>
          <w:spacing w:val="-1"/>
          <w:sz w:val="24"/>
        </w:rPr>
        <w:t> </w:t>
      </w:r>
      <w:r>
        <w:rPr>
          <w:sz w:val="24"/>
        </w:rPr>
        <w:t>have at </w:t>
      </w:r>
      <w:r>
        <w:rPr>
          <w:spacing w:val="-2"/>
          <w:sz w:val="24"/>
        </w:rPr>
        <w:t>least</w:t>
      </w:r>
    </w:p>
    <w:p>
      <w:pPr>
        <w:pStyle w:val="ListParagraph"/>
        <w:numPr>
          <w:ilvl w:val="1"/>
          <w:numId w:val="334"/>
        </w:numPr>
        <w:tabs>
          <w:tab w:pos="1775" w:val="left" w:leader="none"/>
        </w:tabs>
        <w:spacing w:line="240" w:lineRule="auto" w:before="119" w:after="0"/>
        <w:ind w:left="1493" w:right="791" w:firstLine="0"/>
        <w:jc w:val="both"/>
        <w:rPr>
          <w:sz w:val="24"/>
        </w:rPr>
      </w:pP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5</w:t>
      </w:r>
      <w:r>
        <w:rPr>
          <w:spacing w:val="40"/>
          <w:sz w:val="24"/>
        </w:rPr>
        <w:t> </w:t>
      </w:r>
      <w:r>
        <w:rPr>
          <w:sz w:val="24"/>
        </w:rPr>
        <w:t>trees</w:t>
      </w:r>
      <w:r>
        <w:rPr>
          <w:spacing w:val="40"/>
          <w:sz w:val="24"/>
        </w:rPr>
        <w:t> </w:t>
      </w:r>
      <w:r>
        <w:rPr>
          <w:sz w:val="24"/>
        </w:rPr>
        <w:t>per</w:t>
      </w:r>
      <w:r>
        <w:rPr>
          <w:spacing w:val="40"/>
          <w:sz w:val="24"/>
        </w:rPr>
        <w:t> </w:t>
      </w:r>
      <w:r>
        <w:rPr>
          <w:sz w:val="24"/>
        </w:rPr>
        <w:t>100</w:t>
      </w:r>
      <w:r>
        <w:rPr>
          <w:spacing w:val="40"/>
          <w:sz w:val="24"/>
        </w:rPr>
        <w:t> </w:t>
      </w:r>
      <w:r>
        <w:rPr>
          <w:sz w:val="24"/>
        </w:rPr>
        <w:t>sq.m</w:t>
      </w:r>
      <w:r>
        <w:rPr>
          <w:spacing w:val="40"/>
          <w:sz w:val="24"/>
        </w:rPr>
        <w:t> </w:t>
      </w:r>
      <w:r>
        <w:rPr>
          <w:sz w:val="24"/>
        </w:rPr>
        <w:t>or</w:t>
      </w:r>
      <w:r>
        <w:rPr>
          <w:spacing w:val="40"/>
          <w:sz w:val="24"/>
        </w:rPr>
        <w:t> </w:t>
      </w:r>
      <w:r>
        <w:rPr>
          <w:sz w:val="24"/>
        </w:rPr>
        <w:t>part</w:t>
      </w:r>
      <w:r>
        <w:rPr>
          <w:spacing w:val="40"/>
          <w:sz w:val="24"/>
        </w:rPr>
        <w:t> </w:t>
      </w:r>
      <w:r>
        <w:rPr>
          <w:sz w:val="24"/>
        </w:rPr>
        <w:t>thereof</w:t>
      </w:r>
      <w:r>
        <w:rPr>
          <w:spacing w:val="40"/>
          <w:sz w:val="24"/>
        </w:rPr>
        <w:t> </w:t>
      </w:r>
      <w:r>
        <w:rPr>
          <w:sz w:val="24"/>
        </w:rPr>
        <w:t>of</w:t>
      </w:r>
      <w:r>
        <w:rPr>
          <w:spacing w:val="40"/>
          <w:sz w:val="24"/>
        </w:rPr>
        <w:t> </w:t>
      </w:r>
      <w:r>
        <w:rPr>
          <w:sz w:val="24"/>
        </w:rPr>
        <w:t>the</w:t>
      </w:r>
      <w:r>
        <w:rPr>
          <w:spacing w:val="40"/>
          <w:sz w:val="24"/>
        </w:rPr>
        <w:t> </w:t>
      </w:r>
      <w:r>
        <w:rPr>
          <w:sz w:val="24"/>
        </w:rPr>
        <w:t>said recreational</w:t>
      </w:r>
      <w:r>
        <w:rPr>
          <w:spacing w:val="80"/>
          <w:sz w:val="24"/>
        </w:rPr>
        <w:t> </w:t>
      </w:r>
      <w:r>
        <w:rPr>
          <w:sz w:val="24"/>
        </w:rPr>
        <w:t>space,</w:t>
      </w:r>
      <w:r>
        <w:rPr>
          <w:spacing w:val="80"/>
          <w:sz w:val="24"/>
        </w:rPr>
        <w:t> </w:t>
      </w:r>
      <w:r>
        <w:rPr>
          <w:sz w:val="24"/>
        </w:rPr>
        <w:t>to</w:t>
      </w:r>
      <w:r>
        <w:rPr>
          <w:spacing w:val="80"/>
          <w:sz w:val="24"/>
        </w:rPr>
        <w:t> </w:t>
      </w:r>
      <w:r>
        <w:rPr>
          <w:sz w:val="24"/>
        </w:rPr>
        <w:t>begrown</w:t>
      </w:r>
      <w:r>
        <w:rPr>
          <w:spacing w:val="80"/>
          <w:sz w:val="24"/>
        </w:rPr>
        <w:t> </w:t>
      </w:r>
      <w:r>
        <w:rPr>
          <w:sz w:val="24"/>
        </w:rPr>
        <w:t>within</w:t>
      </w:r>
      <w:r>
        <w:rPr>
          <w:spacing w:val="80"/>
          <w:sz w:val="24"/>
        </w:rPr>
        <w:t> </w:t>
      </w:r>
      <w:r>
        <w:rPr>
          <w:sz w:val="24"/>
        </w:rPr>
        <w:t>the</w:t>
      </w:r>
      <w:r>
        <w:rPr>
          <w:spacing w:val="80"/>
          <w:sz w:val="24"/>
        </w:rPr>
        <w:t> </w:t>
      </w:r>
      <w:r>
        <w:rPr>
          <w:sz w:val="24"/>
        </w:rPr>
        <w:t>entire</w:t>
      </w:r>
      <w:r>
        <w:rPr>
          <w:spacing w:val="80"/>
          <w:sz w:val="24"/>
        </w:rPr>
        <w:t> </w:t>
      </w:r>
      <w:r>
        <w:rPr>
          <w:sz w:val="24"/>
        </w:rPr>
        <w:t>plot.</w:t>
      </w:r>
    </w:p>
    <w:p>
      <w:pPr>
        <w:pStyle w:val="ListParagraph"/>
        <w:numPr>
          <w:ilvl w:val="1"/>
          <w:numId w:val="334"/>
        </w:numPr>
        <w:tabs>
          <w:tab w:pos="1915" w:val="left" w:leader="none"/>
        </w:tabs>
        <w:spacing w:line="240" w:lineRule="auto" w:before="241" w:after="0"/>
        <w:ind w:left="1493" w:right="787" w:firstLine="0"/>
        <w:jc w:val="both"/>
        <w:rPr>
          <w:sz w:val="24"/>
        </w:rPr>
      </w:pP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1</w:t>
      </w:r>
      <w:r>
        <w:rPr>
          <w:spacing w:val="40"/>
          <w:sz w:val="24"/>
        </w:rPr>
        <w:t> </w:t>
      </w:r>
      <w:r>
        <w:rPr>
          <w:sz w:val="24"/>
        </w:rPr>
        <w:t>tree</w:t>
      </w:r>
      <w:r>
        <w:rPr>
          <w:spacing w:val="40"/>
          <w:sz w:val="24"/>
        </w:rPr>
        <w:t> </w:t>
      </w:r>
      <w:r>
        <w:rPr>
          <w:sz w:val="24"/>
        </w:rPr>
        <w:t>per</w:t>
      </w:r>
      <w:r>
        <w:rPr>
          <w:spacing w:val="40"/>
          <w:sz w:val="24"/>
        </w:rPr>
        <w:t> </w:t>
      </w:r>
      <w:r>
        <w:rPr>
          <w:sz w:val="24"/>
        </w:rPr>
        <w:t>80</w:t>
      </w:r>
      <w:r>
        <w:rPr>
          <w:spacing w:val="40"/>
          <w:sz w:val="24"/>
        </w:rPr>
        <w:t> </w:t>
      </w:r>
      <w:r>
        <w:rPr>
          <w:sz w:val="24"/>
        </w:rPr>
        <w:t>sq.</w:t>
      </w:r>
      <w:r>
        <w:rPr>
          <w:spacing w:val="40"/>
          <w:sz w:val="24"/>
        </w:rPr>
        <w:t> </w:t>
      </w:r>
      <w:r>
        <w:rPr>
          <w:sz w:val="24"/>
        </w:rPr>
        <w:t>m</w:t>
      </w:r>
      <w:r>
        <w:rPr>
          <w:spacing w:val="40"/>
          <w:sz w:val="24"/>
        </w:rPr>
        <w:t> </w:t>
      </w:r>
      <w:r>
        <w:rPr>
          <w:sz w:val="24"/>
        </w:rPr>
        <w:t>or</w:t>
      </w:r>
      <w:r>
        <w:rPr>
          <w:spacing w:val="40"/>
          <w:sz w:val="24"/>
        </w:rPr>
        <w:t> </w:t>
      </w:r>
      <w:r>
        <w:rPr>
          <w:sz w:val="24"/>
        </w:rPr>
        <w:t>part</w:t>
      </w:r>
      <w:r>
        <w:rPr>
          <w:spacing w:val="40"/>
          <w:sz w:val="24"/>
        </w:rPr>
        <w:t> </w:t>
      </w:r>
      <w:r>
        <w:rPr>
          <w:sz w:val="24"/>
        </w:rPr>
        <w:t>thereof</w:t>
      </w:r>
      <w:r>
        <w:rPr>
          <w:spacing w:val="40"/>
          <w:sz w:val="24"/>
        </w:rPr>
        <w:t> </w:t>
      </w:r>
      <w:r>
        <w:rPr>
          <w:sz w:val="24"/>
        </w:rPr>
        <w:t>to</w:t>
      </w:r>
      <w:r>
        <w:rPr>
          <w:spacing w:val="40"/>
          <w:sz w:val="24"/>
        </w:rPr>
        <w:t> </w:t>
      </w:r>
      <w:r>
        <w:rPr>
          <w:sz w:val="24"/>
        </w:rPr>
        <w:t>be</w:t>
      </w:r>
      <w:r>
        <w:rPr>
          <w:spacing w:val="40"/>
          <w:sz w:val="24"/>
        </w:rPr>
        <w:t> </w:t>
      </w:r>
      <w:r>
        <w:rPr>
          <w:sz w:val="24"/>
        </w:rPr>
        <w:t>grown</w:t>
      </w:r>
      <w:r>
        <w:rPr>
          <w:spacing w:val="40"/>
          <w:sz w:val="24"/>
        </w:rPr>
        <w:t> </w:t>
      </w:r>
      <w:r>
        <w:rPr>
          <w:sz w:val="24"/>
        </w:rPr>
        <w:t>in</w:t>
      </w:r>
      <w:r>
        <w:rPr>
          <w:spacing w:val="40"/>
          <w:sz w:val="24"/>
        </w:rPr>
        <w:t> </w:t>
      </w:r>
      <w:r>
        <w:rPr>
          <w:sz w:val="24"/>
        </w:rPr>
        <w:t>a plot</w:t>
      </w:r>
      <w:r>
        <w:rPr>
          <w:spacing w:val="40"/>
          <w:sz w:val="24"/>
        </w:rPr>
        <w:t> </w:t>
      </w:r>
      <w:r>
        <w:rPr>
          <w:sz w:val="24"/>
        </w:rPr>
        <w:t>for</w:t>
      </w:r>
      <w:r>
        <w:rPr>
          <w:spacing w:val="40"/>
          <w:sz w:val="24"/>
        </w:rPr>
        <w:t> </w:t>
      </w:r>
      <w:r>
        <w:rPr>
          <w:sz w:val="24"/>
        </w:rPr>
        <w:t>which</w:t>
      </w:r>
      <w:r>
        <w:rPr>
          <w:spacing w:val="40"/>
          <w:sz w:val="24"/>
        </w:rPr>
        <w:t> </w:t>
      </w:r>
      <w:r>
        <w:rPr>
          <w:sz w:val="24"/>
        </w:rPr>
        <w:t>a</w:t>
      </w:r>
      <w:r>
        <w:rPr>
          <w:spacing w:val="40"/>
          <w:sz w:val="24"/>
        </w:rPr>
        <w:t> </w:t>
      </w:r>
      <w:r>
        <w:rPr>
          <w:spacing w:val="9"/>
          <w:sz w:val="24"/>
        </w:rPr>
        <w:t>sub-</w:t>
      </w:r>
      <w:r>
        <w:rPr>
          <w:sz w:val="24"/>
        </w:rPr>
        <w:t>division</w:t>
      </w:r>
      <w:r>
        <w:rPr>
          <w:spacing w:val="40"/>
          <w:sz w:val="24"/>
        </w:rPr>
        <w:t> </w:t>
      </w:r>
      <w:r>
        <w:rPr>
          <w:sz w:val="24"/>
        </w:rPr>
        <w:t>or</w:t>
      </w:r>
      <w:r>
        <w:rPr>
          <w:spacing w:val="40"/>
          <w:sz w:val="24"/>
        </w:rPr>
        <w:t> </w:t>
      </w:r>
      <w:r>
        <w:rPr>
          <w:sz w:val="24"/>
        </w:rPr>
        <w:t>layout</w:t>
      </w:r>
      <w:r>
        <w:rPr>
          <w:spacing w:val="40"/>
          <w:sz w:val="24"/>
        </w:rPr>
        <w:t> </w:t>
      </w:r>
      <w:r>
        <w:rPr>
          <w:sz w:val="24"/>
        </w:rPr>
        <w:t>is</w:t>
      </w:r>
      <w:r>
        <w:rPr>
          <w:spacing w:val="40"/>
          <w:sz w:val="24"/>
        </w:rPr>
        <w:t> </w:t>
      </w:r>
      <w:r>
        <w:rPr>
          <w:sz w:val="24"/>
        </w:rPr>
        <w:t>not</w:t>
      </w:r>
      <w:r>
        <w:rPr>
          <w:spacing w:val="40"/>
          <w:sz w:val="24"/>
        </w:rPr>
        <w:t> </w:t>
      </w:r>
      <w:r>
        <w:rPr>
          <w:sz w:val="24"/>
        </w:rPr>
        <w:t>necessary.</w:t>
      </w:r>
    </w:p>
    <w:p>
      <w:pPr>
        <w:pStyle w:val="ListParagraph"/>
        <w:numPr>
          <w:ilvl w:val="0"/>
          <w:numId w:val="334"/>
        </w:numPr>
        <w:tabs>
          <w:tab w:pos="1926" w:val="left" w:leader="none"/>
        </w:tabs>
        <w:spacing w:line="240" w:lineRule="auto" w:before="121" w:after="0"/>
        <w:ind w:left="1493" w:right="772" w:firstLine="0"/>
        <w:jc w:val="both"/>
        <w:rPr>
          <w:sz w:val="24"/>
        </w:rPr>
      </w:pPr>
      <w:r>
        <w:rPr>
          <w:sz w:val="24"/>
        </w:rPr>
        <w:t>Trees shall be planted taking care that they shall not obstruct the maneuvering of firefighting vehicles during an emergency.</w:t>
      </w:r>
    </w:p>
    <w:p>
      <w:pPr>
        <w:pStyle w:val="ListParagraph"/>
        <w:numPr>
          <w:ilvl w:val="0"/>
          <w:numId w:val="334"/>
        </w:numPr>
        <w:tabs>
          <w:tab w:pos="1821" w:val="left" w:leader="none"/>
        </w:tabs>
        <w:spacing w:line="240" w:lineRule="auto" w:before="238" w:after="0"/>
        <w:ind w:left="1493" w:right="772" w:firstLine="0"/>
        <w:jc w:val="both"/>
        <w:rPr>
          <w:sz w:val="24"/>
        </w:rPr>
      </w:pPr>
      <w:r>
        <w:rPr>
          <w:sz w:val="24"/>
        </w:rPr>
        <w:t>In</w:t>
      </w:r>
      <w:r>
        <w:rPr>
          <w:spacing w:val="-19"/>
          <w:sz w:val="24"/>
        </w:rPr>
        <w:t> </w:t>
      </w:r>
      <w:r>
        <w:rPr>
          <w:sz w:val="24"/>
        </w:rPr>
        <w:t>between</w:t>
      </w:r>
      <w:r>
        <w:rPr>
          <w:spacing w:val="-19"/>
          <w:sz w:val="24"/>
        </w:rPr>
        <w:t> </w:t>
      </w:r>
      <w:r>
        <w:rPr>
          <w:sz w:val="24"/>
        </w:rPr>
        <w:t>the</w:t>
      </w:r>
      <w:r>
        <w:rPr>
          <w:spacing w:val="-19"/>
          <w:sz w:val="24"/>
        </w:rPr>
        <w:t> </w:t>
      </w:r>
      <w:r>
        <w:rPr>
          <w:sz w:val="24"/>
        </w:rPr>
        <w:t>trees</w:t>
      </w:r>
      <w:r>
        <w:rPr>
          <w:spacing w:val="-19"/>
          <w:sz w:val="24"/>
        </w:rPr>
        <w:t> </w:t>
      </w:r>
      <w:r>
        <w:rPr>
          <w:sz w:val="24"/>
        </w:rPr>
        <w:t>planted</w:t>
      </w:r>
      <w:r>
        <w:rPr>
          <w:spacing w:val="-19"/>
          <w:sz w:val="24"/>
        </w:rPr>
        <w:t> </w:t>
      </w:r>
      <w:r>
        <w:rPr>
          <w:sz w:val="24"/>
        </w:rPr>
        <w:t>along</w:t>
      </w:r>
      <w:r>
        <w:rPr>
          <w:spacing w:val="-19"/>
          <w:sz w:val="24"/>
        </w:rPr>
        <w:t> </w:t>
      </w:r>
      <w:r>
        <w:rPr>
          <w:sz w:val="24"/>
        </w:rPr>
        <w:t>the</w:t>
      </w:r>
      <w:r>
        <w:rPr>
          <w:spacing w:val="-15"/>
          <w:sz w:val="24"/>
        </w:rPr>
        <w:t> </w:t>
      </w:r>
      <w:r>
        <w:rPr>
          <w:sz w:val="24"/>
        </w:rPr>
        <w:t>boundary</w:t>
      </w:r>
      <w:r>
        <w:rPr>
          <w:spacing w:val="-19"/>
          <w:sz w:val="24"/>
        </w:rPr>
        <w:t> </w:t>
      </w:r>
      <w:r>
        <w:rPr>
          <w:sz w:val="24"/>
        </w:rPr>
        <w:t>of</w:t>
      </w:r>
      <w:r>
        <w:rPr>
          <w:spacing w:val="-19"/>
          <w:sz w:val="24"/>
        </w:rPr>
        <w:t> </w:t>
      </w:r>
      <w:r>
        <w:rPr>
          <w:sz w:val="24"/>
        </w:rPr>
        <w:t>plot,</w:t>
      </w:r>
      <w:r>
        <w:rPr>
          <w:spacing w:val="-19"/>
          <w:sz w:val="24"/>
        </w:rPr>
        <w:t> </w:t>
      </w:r>
      <w:r>
        <w:rPr>
          <w:sz w:val="24"/>
        </w:rPr>
        <w:t>shrubs</w:t>
      </w:r>
      <w:r>
        <w:rPr>
          <w:spacing w:val="-19"/>
          <w:sz w:val="24"/>
        </w:rPr>
        <w:t> </w:t>
      </w:r>
      <w:r>
        <w:rPr>
          <w:sz w:val="24"/>
        </w:rPr>
        <w:t>with</w:t>
      </w:r>
      <w:r>
        <w:rPr>
          <w:spacing w:val="-19"/>
          <w:sz w:val="24"/>
        </w:rPr>
        <w:t> </w:t>
      </w:r>
      <w:r>
        <w:rPr>
          <w:sz w:val="24"/>
        </w:rPr>
        <w:t>grass shall be planted.</w:t>
      </w:r>
    </w:p>
    <w:p>
      <w:pPr>
        <w:pStyle w:val="Heading3"/>
        <w:numPr>
          <w:ilvl w:val="0"/>
          <w:numId w:val="263"/>
        </w:numPr>
        <w:tabs>
          <w:tab w:pos="1490" w:val="left" w:leader="none"/>
        </w:tabs>
        <w:spacing w:line="240" w:lineRule="auto" w:before="236" w:after="0"/>
        <w:ind w:left="1490" w:right="0" w:hanging="718"/>
        <w:jc w:val="both"/>
        <w:rPr>
          <w:i w:val="0"/>
        </w:rPr>
      </w:pPr>
      <w:r>
        <w:rPr/>
        <w:t>Coastal</w:t>
      </w:r>
      <w:r>
        <w:rPr>
          <w:spacing w:val="-10"/>
        </w:rPr>
        <w:t> </w:t>
      </w:r>
      <w:r>
        <w:rPr/>
        <w:t>Regulation</w:t>
      </w:r>
      <w:r>
        <w:rPr>
          <w:spacing w:val="-4"/>
        </w:rPr>
        <w:t> </w:t>
      </w:r>
      <w:r>
        <w:rPr/>
        <w:t>Zone</w:t>
      </w:r>
      <w:r>
        <w:rPr>
          <w:spacing w:val="-5"/>
        </w:rPr>
        <w:t> </w:t>
      </w:r>
      <w:r>
        <w:rPr>
          <w:spacing w:val="-2"/>
        </w:rPr>
        <w:t>(CRZ)</w:t>
      </w:r>
    </w:p>
    <w:p>
      <w:pPr>
        <w:pStyle w:val="BodyText"/>
        <w:spacing w:before="245"/>
        <w:ind w:left="1493" w:right="769"/>
      </w:pPr>
      <w:r>
        <w:rPr/>
        <w:t>Notwithstanding anything contained in these Regulations, any development within</w:t>
      </w:r>
      <w:r>
        <w:rPr>
          <w:spacing w:val="-15"/>
        </w:rPr>
        <w:t> </w:t>
      </w:r>
      <w:r>
        <w:rPr/>
        <w:t>CRZ</w:t>
      </w:r>
      <w:r>
        <w:rPr>
          <w:spacing w:val="-15"/>
        </w:rPr>
        <w:t> </w:t>
      </w:r>
      <w:r>
        <w:rPr/>
        <w:t>areas</w:t>
      </w:r>
      <w:r>
        <w:rPr>
          <w:spacing w:val="-15"/>
        </w:rPr>
        <w:t> </w:t>
      </w:r>
      <w:r>
        <w:rPr/>
        <w:t>shall</w:t>
      </w:r>
      <w:r>
        <w:rPr>
          <w:spacing w:val="-15"/>
        </w:rPr>
        <w:t> </w:t>
      </w:r>
      <w:r>
        <w:rPr/>
        <w:t>be</w:t>
      </w:r>
      <w:r>
        <w:rPr>
          <w:spacing w:val="-15"/>
        </w:rPr>
        <w:t> </w:t>
      </w:r>
      <w:r>
        <w:rPr/>
        <w:t>governed</w:t>
      </w:r>
      <w:r>
        <w:rPr>
          <w:spacing w:val="-15"/>
        </w:rPr>
        <w:t> </w:t>
      </w:r>
      <w:r>
        <w:rPr/>
        <w:t>by</w:t>
      </w:r>
      <w:r>
        <w:rPr>
          <w:spacing w:val="-15"/>
        </w:rPr>
        <w:t> </w:t>
      </w:r>
      <w:r>
        <w:rPr/>
        <w:t>the</w:t>
      </w:r>
      <w:r>
        <w:rPr>
          <w:spacing w:val="-15"/>
        </w:rPr>
        <w:t> </w:t>
      </w:r>
      <w:r>
        <w:rPr/>
        <w:t>amended</w:t>
      </w:r>
      <w:r>
        <w:rPr>
          <w:spacing w:val="-13"/>
        </w:rPr>
        <w:t> </w:t>
      </w:r>
      <w:r>
        <w:rPr/>
        <w:t>Coastal</w:t>
      </w:r>
      <w:r>
        <w:rPr>
          <w:spacing w:val="-15"/>
        </w:rPr>
        <w:t> </w:t>
      </w:r>
      <w:r>
        <w:rPr/>
        <w:t>Regulation</w:t>
      </w:r>
      <w:r>
        <w:rPr>
          <w:spacing w:val="-15"/>
        </w:rPr>
        <w:t> </w:t>
      </w:r>
      <w:r>
        <w:rPr/>
        <w:t>Zone Notification</w:t>
      </w:r>
      <w:r>
        <w:rPr>
          <w:spacing w:val="-6"/>
        </w:rPr>
        <w:t> </w:t>
      </w:r>
      <w:r>
        <w:rPr/>
        <w:t>No.S.O.19(E),</w:t>
      </w:r>
      <w:r>
        <w:rPr>
          <w:spacing w:val="-7"/>
        </w:rPr>
        <w:t> </w:t>
      </w:r>
      <w:r>
        <w:rPr/>
        <w:t>dated</w:t>
      </w:r>
      <w:r>
        <w:rPr>
          <w:spacing w:val="-7"/>
        </w:rPr>
        <w:t> </w:t>
      </w:r>
      <w:r>
        <w:rPr/>
        <w:t>6th</w:t>
      </w:r>
      <w:r>
        <w:rPr>
          <w:spacing w:val="-6"/>
        </w:rPr>
        <w:t> </w:t>
      </w:r>
      <w:r>
        <w:rPr/>
        <w:t>Jan,</w:t>
      </w:r>
      <w:r>
        <w:rPr>
          <w:spacing w:val="-7"/>
        </w:rPr>
        <w:t> </w:t>
      </w:r>
      <w:r>
        <w:rPr/>
        <w:t>2011</w:t>
      </w:r>
      <w:r>
        <w:rPr>
          <w:spacing w:val="-7"/>
        </w:rPr>
        <w:t> </w:t>
      </w:r>
      <w:r>
        <w:rPr/>
        <w:t>Ministry</w:t>
      </w:r>
      <w:r>
        <w:rPr>
          <w:spacing w:val="-7"/>
        </w:rPr>
        <w:t> </w:t>
      </w:r>
      <w:r>
        <w:rPr/>
        <w:t>of</w:t>
      </w:r>
      <w:r>
        <w:rPr>
          <w:spacing w:val="-7"/>
        </w:rPr>
        <w:t> </w:t>
      </w:r>
      <w:r>
        <w:rPr/>
        <w:t>Environment</w:t>
      </w:r>
      <w:r>
        <w:rPr>
          <w:spacing w:val="-7"/>
        </w:rPr>
        <w:t> </w:t>
      </w:r>
      <w:r>
        <w:rPr/>
        <w:t>and Forest</w:t>
      </w:r>
      <w:r>
        <w:rPr>
          <w:spacing w:val="-10"/>
        </w:rPr>
        <w:t> </w:t>
      </w:r>
      <w:r>
        <w:rPr/>
        <w:t>(MoEF),</w:t>
      </w:r>
      <w:r>
        <w:rPr>
          <w:spacing w:val="-10"/>
        </w:rPr>
        <w:t> </w:t>
      </w:r>
      <w:r>
        <w:rPr/>
        <w:t>Government</w:t>
      </w:r>
      <w:r>
        <w:rPr>
          <w:spacing w:val="-10"/>
        </w:rPr>
        <w:t> </w:t>
      </w:r>
      <w:r>
        <w:rPr/>
        <w:t>of</w:t>
      </w:r>
      <w:r>
        <w:rPr>
          <w:spacing w:val="-10"/>
        </w:rPr>
        <w:t> </w:t>
      </w:r>
      <w:r>
        <w:rPr/>
        <w:t>India</w:t>
      </w:r>
      <w:r>
        <w:rPr>
          <w:spacing w:val="-9"/>
        </w:rPr>
        <w:t> </w:t>
      </w:r>
      <w:r>
        <w:rPr/>
        <w:t>as</w:t>
      </w:r>
      <w:r>
        <w:rPr>
          <w:spacing w:val="-9"/>
        </w:rPr>
        <w:t> </w:t>
      </w:r>
      <w:r>
        <w:rPr/>
        <w:t>amended</w:t>
      </w:r>
      <w:r>
        <w:rPr>
          <w:spacing w:val="-10"/>
        </w:rPr>
        <w:t> </w:t>
      </w:r>
      <w:r>
        <w:rPr/>
        <w:t>from</w:t>
      </w:r>
      <w:r>
        <w:rPr>
          <w:spacing w:val="-10"/>
        </w:rPr>
        <w:t> </w:t>
      </w:r>
      <w:r>
        <w:rPr/>
        <w:t>time</w:t>
      </w:r>
      <w:r>
        <w:rPr>
          <w:spacing w:val="-10"/>
        </w:rPr>
        <w:t> </w:t>
      </w:r>
      <w:r>
        <w:rPr/>
        <w:t>to</w:t>
      </w:r>
      <w:r>
        <w:rPr>
          <w:spacing w:val="-10"/>
        </w:rPr>
        <w:t> </w:t>
      </w:r>
      <w:r>
        <w:rPr/>
        <w:t>time,</w:t>
      </w:r>
      <w:r>
        <w:rPr>
          <w:spacing w:val="-10"/>
        </w:rPr>
        <w:t> </w:t>
      </w:r>
      <w:r>
        <w:rPr/>
        <w:t>wherever applicable.Lands shown</w:t>
      </w:r>
      <w:r>
        <w:rPr>
          <w:spacing w:val="-1"/>
        </w:rPr>
        <w:t> </w:t>
      </w:r>
      <w:r>
        <w:rPr/>
        <w:t>as</w:t>
      </w:r>
      <w:r>
        <w:rPr>
          <w:spacing w:val="-1"/>
        </w:rPr>
        <w:t> </w:t>
      </w:r>
      <w:r>
        <w:rPr/>
        <w:t>Natural</w:t>
      </w:r>
      <w:r>
        <w:rPr>
          <w:spacing w:val="-1"/>
        </w:rPr>
        <w:t> </w:t>
      </w:r>
      <w:r>
        <w:rPr/>
        <w:t>Area in</w:t>
      </w:r>
      <w:r>
        <w:rPr>
          <w:spacing w:val="-1"/>
        </w:rPr>
        <w:t> </w:t>
      </w:r>
      <w:r>
        <w:rPr/>
        <w:t>DP and</w:t>
      </w:r>
      <w:r>
        <w:rPr>
          <w:spacing w:val="-1"/>
        </w:rPr>
        <w:t> </w:t>
      </w:r>
      <w:r>
        <w:rPr/>
        <w:t>situated on</w:t>
      </w:r>
      <w:r>
        <w:rPr>
          <w:spacing w:val="-1"/>
        </w:rPr>
        <w:t> </w:t>
      </w:r>
      <w:r>
        <w:rPr/>
        <w:t>the</w:t>
      </w:r>
      <w:r>
        <w:rPr>
          <w:spacing w:val="-1"/>
        </w:rPr>
        <w:t> </w:t>
      </w:r>
      <w:r>
        <w:rPr/>
        <w:t>seaward side of High Tide Line, if after modification to High Tide Line, falls on the landward side of modified High Tide Line, then in such case the said land will be deemed to have been situated in the zone of adjoining land unless, said land is forest/salt pan land/occupied by mangroves/mud flats.</w:t>
      </w:r>
    </w:p>
    <w:p>
      <w:pPr>
        <w:pStyle w:val="BodyText"/>
        <w:jc w:val="left"/>
      </w:pPr>
    </w:p>
    <w:p>
      <w:pPr>
        <w:pStyle w:val="BodyText"/>
        <w:spacing w:before="194"/>
        <w:jc w:val="left"/>
      </w:pPr>
    </w:p>
    <w:p>
      <w:pPr>
        <w:pStyle w:val="Heading3"/>
        <w:numPr>
          <w:ilvl w:val="0"/>
          <w:numId w:val="263"/>
        </w:numPr>
        <w:tabs>
          <w:tab w:pos="1490" w:val="left" w:leader="none"/>
        </w:tabs>
        <w:spacing w:line="240" w:lineRule="auto" w:before="0" w:after="0"/>
        <w:ind w:left="1490" w:right="0" w:hanging="718"/>
        <w:jc w:val="both"/>
        <w:rPr>
          <w:i w:val="0"/>
        </w:rPr>
      </w:pPr>
      <w:r>
        <w:rPr/>
        <w:t>Environment</w:t>
      </w:r>
      <w:r>
        <w:rPr>
          <w:spacing w:val="-9"/>
        </w:rPr>
        <w:t> </w:t>
      </w:r>
      <w:r>
        <w:rPr/>
        <w:t>Impact</w:t>
      </w:r>
      <w:r>
        <w:rPr>
          <w:spacing w:val="-10"/>
        </w:rPr>
        <w:t> </w:t>
      </w:r>
      <w:r>
        <w:rPr/>
        <w:t>Assessment</w:t>
      </w:r>
      <w:r>
        <w:rPr>
          <w:spacing w:val="-11"/>
        </w:rPr>
        <w:t> </w:t>
      </w:r>
      <w:r>
        <w:rPr>
          <w:spacing w:val="-2"/>
        </w:rPr>
        <w:t>(EIA)</w:t>
      </w:r>
    </w:p>
    <w:p>
      <w:pPr>
        <w:pStyle w:val="BodyText"/>
        <w:spacing w:before="245"/>
        <w:ind w:left="1493" w:right="769"/>
      </w:pPr>
      <w:r>
        <w:rPr/>
        <w:t>This</w:t>
      </w:r>
      <w:r>
        <w:rPr>
          <w:spacing w:val="-20"/>
        </w:rPr>
        <w:t> </w:t>
      </w:r>
      <w:r>
        <w:rPr/>
        <w:t>Regulation</w:t>
      </w:r>
      <w:r>
        <w:rPr>
          <w:spacing w:val="-19"/>
        </w:rPr>
        <w:t> </w:t>
      </w:r>
      <w:r>
        <w:rPr/>
        <w:t>shall</w:t>
      </w:r>
      <w:r>
        <w:rPr>
          <w:spacing w:val="-19"/>
        </w:rPr>
        <w:t> </w:t>
      </w:r>
      <w:r>
        <w:rPr/>
        <w:t>be</w:t>
      </w:r>
      <w:r>
        <w:rPr>
          <w:spacing w:val="-19"/>
        </w:rPr>
        <w:t> </w:t>
      </w:r>
      <w:r>
        <w:rPr/>
        <w:t>applicable</w:t>
      </w:r>
      <w:r>
        <w:rPr>
          <w:spacing w:val="-19"/>
        </w:rPr>
        <w:t> </w:t>
      </w:r>
      <w:r>
        <w:rPr/>
        <w:t>to</w:t>
      </w:r>
      <w:r>
        <w:rPr>
          <w:spacing w:val="-20"/>
        </w:rPr>
        <w:t> </w:t>
      </w:r>
      <w:r>
        <w:rPr/>
        <w:t>developments</w:t>
      </w:r>
      <w:r>
        <w:rPr>
          <w:spacing w:val="-19"/>
        </w:rPr>
        <w:t> </w:t>
      </w:r>
      <w:r>
        <w:rPr/>
        <w:t>as</w:t>
      </w:r>
      <w:r>
        <w:rPr>
          <w:spacing w:val="-19"/>
        </w:rPr>
        <w:t> </w:t>
      </w:r>
      <w:r>
        <w:rPr/>
        <w:t>specified</w:t>
      </w:r>
      <w:r>
        <w:rPr>
          <w:spacing w:val="-19"/>
        </w:rPr>
        <w:t> </w:t>
      </w:r>
      <w:r>
        <w:rPr/>
        <w:t>in</w:t>
      </w:r>
      <w:r>
        <w:rPr>
          <w:spacing w:val="-19"/>
        </w:rPr>
        <w:t> </w:t>
      </w:r>
      <w:r>
        <w:rPr/>
        <w:t>provisions of amended Environmental Impact Assessment Notification No.S.O.1533 dated 14.09.2006 as amended from time to time. The compliance of conditions of NOC/Remarks shall be the responsibility of the owner/developer/project proponent.</w:t>
      </w:r>
    </w:p>
    <w:p>
      <w:pPr>
        <w:pStyle w:val="BodyText"/>
        <w:spacing w:after="0"/>
        <w:sectPr>
          <w:pgSz w:w="11910" w:h="16840"/>
          <w:pgMar w:header="1058" w:footer="1196" w:top="1500" w:bottom="1380" w:left="360" w:right="360"/>
        </w:sectPr>
      </w:pPr>
    </w:p>
    <w:p>
      <w:pPr>
        <w:pStyle w:val="Heading3"/>
        <w:numPr>
          <w:ilvl w:val="0"/>
          <w:numId w:val="263"/>
        </w:numPr>
        <w:tabs>
          <w:tab w:pos="1493" w:val="left" w:leader="none"/>
        </w:tabs>
        <w:spacing w:line="240" w:lineRule="auto" w:before="251" w:after="0"/>
        <w:ind w:left="1493" w:right="0" w:hanging="721"/>
        <w:jc w:val="left"/>
        <w:rPr>
          <w:i w:val="0"/>
        </w:rPr>
      </w:pPr>
      <w:r>
        <w:rPr/>
        <w:t>Energy</w:t>
      </w:r>
      <w:r>
        <w:rPr>
          <w:spacing w:val="-7"/>
        </w:rPr>
        <w:t> </w:t>
      </w:r>
      <w:r>
        <w:rPr/>
        <w:t>Efficient</w:t>
      </w:r>
      <w:r>
        <w:rPr>
          <w:spacing w:val="-7"/>
        </w:rPr>
        <w:t> </w:t>
      </w:r>
      <w:r>
        <w:rPr>
          <w:spacing w:val="-2"/>
        </w:rPr>
        <w:t>Buildings</w:t>
      </w:r>
    </w:p>
    <w:p>
      <w:pPr>
        <w:pStyle w:val="BodyText"/>
        <w:spacing w:before="244"/>
        <w:ind w:left="1493" w:right="770"/>
      </w:pPr>
      <w:r>
        <w:rPr/>
        <w:t>Owner/Developer/Project proponent at his option may opt for the certification of Indian Green Building code (IGBC)/Energy Conservation Building Conservation Code(ECBC). The provisions of appliances/fitting as per IGBC/ECBC shall be as per direction of GOI/GOM if any from time to </w:t>
      </w:r>
      <w:r>
        <w:rPr>
          <w:spacing w:val="-2"/>
        </w:rPr>
        <w:t>time.</w:t>
      </w:r>
    </w:p>
    <w:p>
      <w:pPr>
        <w:pStyle w:val="BodyText"/>
        <w:spacing w:after="0"/>
        <w:sectPr>
          <w:pgSz w:w="11910" w:h="16840"/>
          <w:pgMar w:header="1058" w:footer="1196" w:top="1500" w:bottom="1380" w:left="360" w:right="360"/>
        </w:sectPr>
      </w:pPr>
    </w:p>
    <w:p>
      <w:pPr>
        <w:pStyle w:val="Heading4"/>
        <w:spacing w:before="276"/>
        <w:ind w:right="10"/>
      </w:pPr>
      <w:r>
        <w:rPr/>
        <w:t>APPENDIX-</w:t>
      </w:r>
      <w:r>
        <w:rPr>
          <w:spacing w:val="53"/>
          <w:w w:val="150"/>
        </w:rPr>
        <w:t> </w:t>
      </w:r>
      <w:r>
        <w:rPr>
          <w:spacing w:val="-10"/>
        </w:rPr>
        <w:t>I</w:t>
      </w:r>
    </w:p>
    <w:p>
      <w:pPr>
        <w:pStyle w:val="Heading5"/>
        <w:spacing w:before="239"/>
        <w:ind w:right="8"/>
        <w:jc w:val="center"/>
      </w:pPr>
      <w:r>
        <w:rPr/>
        <w:t>(Regulation</w:t>
      </w:r>
      <w:r>
        <w:rPr>
          <w:spacing w:val="70"/>
          <w:w w:val="150"/>
        </w:rPr>
        <w:t> </w:t>
      </w:r>
      <w:r>
        <w:rPr>
          <w:spacing w:val="-5"/>
        </w:rPr>
        <w:t>47)</w:t>
      </w:r>
    </w:p>
    <w:p>
      <w:pPr>
        <w:pStyle w:val="Heading6"/>
        <w:spacing w:before="239"/>
        <w:ind w:left="777"/>
        <w:rPr>
          <w:i w:val="0"/>
        </w:rPr>
      </w:pPr>
      <w:r>
        <w:rPr/>
        <w:t>Additional</w:t>
      </w:r>
      <w:r>
        <w:rPr>
          <w:spacing w:val="80"/>
          <w:w w:val="150"/>
        </w:rPr>
        <w:t> </w:t>
      </w:r>
      <w:r>
        <w:rPr/>
        <w:t>Fire</w:t>
      </w:r>
      <w:r>
        <w:rPr>
          <w:spacing w:val="80"/>
          <w:w w:val="150"/>
        </w:rPr>
        <w:t> </w:t>
      </w:r>
      <w:r>
        <w:rPr/>
        <w:t>Protection</w:t>
      </w:r>
      <w:r>
        <w:rPr>
          <w:spacing w:val="80"/>
          <w:w w:val="150"/>
        </w:rPr>
        <w:t> </w:t>
      </w:r>
      <w:r>
        <w:rPr/>
        <w:t>Requirements</w:t>
      </w:r>
      <w:r>
        <w:rPr>
          <w:spacing w:val="80"/>
          <w:w w:val="150"/>
        </w:rPr>
        <w:t> </w:t>
      </w:r>
      <w:r>
        <w:rPr/>
        <w:t>for</w:t>
      </w:r>
      <w:r>
        <w:rPr>
          <w:spacing w:val="80"/>
          <w:w w:val="150"/>
        </w:rPr>
        <w:t> </w:t>
      </w:r>
      <w:r>
        <w:rPr/>
        <w:t>High</w:t>
      </w:r>
      <w:r>
        <w:rPr>
          <w:spacing w:val="80"/>
          <w:w w:val="150"/>
        </w:rPr>
        <w:t> </w:t>
      </w:r>
      <w:r>
        <w:rPr/>
        <w:t>Rise</w:t>
      </w:r>
      <w:r>
        <w:rPr>
          <w:spacing w:val="80"/>
          <w:w w:val="150"/>
        </w:rPr>
        <w:t> </w:t>
      </w:r>
      <w:r>
        <w:rPr/>
        <w:t>and</w:t>
      </w:r>
      <w:r>
        <w:rPr>
          <w:spacing w:val="80"/>
          <w:w w:val="150"/>
        </w:rPr>
        <w:t> </w:t>
      </w:r>
      <w:r>
        <w:rPr/>
        <w:t>special Building</w:t>
      </w:r>
      <w:r>
        <w:rPr>
          <w:i w:val="0"/>
        </w:rPr>
        <w:t>: -</w:t>
      </w:r>
    </w:p>
    <w:p>
      <w:pPr>
        <w:pStyle w:val="ListParagraph"/>
        <w:numPr>
          <w:ilvl w:val="0"/>
          <w:numId w:val="335"/>
        </w:numPr>
        <w:tabs>
          <w:tab w:pos="1117" w:val="left" w:leader="none"/>
        </w:tabs>
        <w:spacing w:line="240" w:lineRule="auto" w:before="240" w:after="0"/>
        <w:ind w:left="1117" w:right="0" w:hanging="340"/>
        <w:jc w:val="left"/>
        <w:rPr>
          <w:b/>
          <w:sz w:val="24"/>
        </w:rPr>
      </w:pPr>
      <w:r>
        <w:rPr>
          <w:b/>
          <w:i/>
          <w:spacing w:val="-2"/>
          <w:sz w:val="24"/>
        </w:rPr>
        <w:t>General</w:t>
      </w:r>
    </w:p>
    <w:p>
      <w:pPr>
        <w:pStyle w:val="BodyText"/>
        <w:spacing w:before="241"/>
        <w:ind w:left="1061" w:right="787" w:firstLine="148"/>
      </w:pPr>
      <w:r>
        <w:rPr/>
        <w:t>In addition to the provisions of fire Protection, National Building code of</w:t>
      </w:r>
      <w:r>
        <w:rPr>
          <w:spacing w:val="80"/>
        </w:rPr>
        <w:t> </w:t>
      </w:r>
      <w:r>
        <w:rPr/>
        <w:t>India,</w:t>
      </w:r>
      <w:r>
        <w:rPr>
          <w:spacing w:val="40"/>
        </w:rPr>
        <w:t> </w:t>
      </w:r>
      <w:r>
        <w:rPr/>
        <w:t>the</w:t>
      </w:r>
      <w:r>
        <w:rPr>
          <w:spacing w:val="40"/>
        </w:rPr>
        <w:t> </w:t>
      </w:r>
      <w:r>
        <w:rPr/>
        <w:t>Chief</w:t>
      </w:r>
      <w:r>
        <w:rPr>
          <w:spacing w:val="40"/>
        </w:rPr>
        <w:t> </w:t>
      </w:r>
      <w:r>
        <w:rPr/>
        <w:t>Fire</w:t>
      </w:r>
      <w:r>
        <w:rPr>
          <w:spacing w:val="40"/>
        </w:rPr>
        <w:t> </w:t>
      </w:r>
      <w:r>
        <w:rPr/>
        <w:t>Officer</w:t>
      </w:r>
      <w:r>
        <w:rPr>
          <w:spacing w:val="40"/>
        </w:rPr>
        <w:t> </w:t>
      </w:r>
      <w:r>
        <w:rPr/>
        <w:t>may</w:t>
      </w:r>
      <w:r>
        <w:rPr>
          <w:spacing w:val="40"/>
        </w:rPr>
        <w:t> </w:t>
      </w:r>
      <w:r>
        <w:rPr/>
        <w:t>insist</w:t>
      </w:r>
      <w:r>
        <w:rPr>
          <w:spacing w:val="40"/>
        </w:rPr>
        <w:t> </w:t>
      </w:r>
      <w:r>
        <w:rPr/>
        <w:t>on</w:t>
      </w:r>
      <w:r>
        <w:rPr>
          <w:spacing w:val="40"/>
        </w:rPr>
        <w:t> </w:t>
      </w:r>
      <w:r>
        <w:rPr/>
        <w:t>suitable</w:t>
      </w:r>
      <w:r>
        <w:rPr>
          <w:spacing w:val="40"/>
        </w:rPr>
        <w:t> </w:t>
      </w:r>
      <w:r>
        <w:rPr/>
        <w:t>provisions</w:t>
      </w:r>
      <w:r>
        <w:rPr>
          <w:spacing w:val="40"/>
        </w:rPr>
        <w:t> </w:t>
      </w:r>
      <w:r>
        <w:rPr/>
        <w:t>in,</w:t>
      </w:r>
      <w:r>
        <w:rPr>
          <w:spacing w:val="40"/>
        </w:rPr>
        <w:t> </w:t>
      </w:r>
      <w:r>
        <w:rPr/>
        <w:t>high</w:t>
      </w:r>
      <w:r>
        <w:rPr>
          <w:spacing w:val="40"/>
        </w:rPr>
        <w:t> </w:t>
      </w:r>
      <w:r>
        <w:rPr/>
        <w:t>rise and</w:t>
      </w:r>
      <w:r>
        <w:rPr>
          <w:spacing w:val="40"/>
        </w:rPr>
        <w:t> </w:t>
      </w:r>
      <w:r>
        <w:rPr/>
        <w:t>special</w:t>
      </w:r>
      <w:r>
        <w:rPr>
          <w:spacing w:val="40"/>
        </w:rPr>
        <w:t> </w:t>
      </w:r>
      <w:r>
        <w:rPr/>
        <w:t>buildings</w:t>
      </w:r>
      <w:r>
        <w:rPr>
          <w:spacing w:val="40"/>
        </w:rPr>
        <w:t> </w:t>
      </w:r>
      <w:r>
        <w:rPr/>
        <w:t>or</w:t>
      </w:r>
      <w:r>
        <w:rPr>
          <w:spacing w:val="40"/>
        </w:rPr>
        <w:t> </w:t>
      </w:r>
      <w:r>
        <w:rPr/>
        <w:t>premises</w:t>
      </w:r>
      <w:r>
        <w:rPr>
          <w:spacing w:val="40"/>
        </w:rPr>
        <w:t> </w:t>
      </w:r>
      <w:r>
        <w:rPr/>
        <w:t>from</w:t>
      </w:r>
      <w:r>
        <w:rPr>
          <w:spacing w:val="40"/>
        </w:rPr>
        <w:t> </w:t>
      </w:r>
      <w:r>
        <w:rPr/>
        <w:t>the</w:t>
      </w:r>
      <w:r>
        <w:rPr>
          <w:spacing w:val="40"/>
        </w:rPr>
        <w:t> </w:t>
      </w:r>
      <w:r>
        <w:rPr/>
        <w:t>fire</w:t>
      </w:r>
      <w:r>
        <w:rPr>
          <w:spacing w:val="40"/>
        </w:rPr>
        <w:t> </w:t>
      </w:r>
      <w:r>
        <w:rPr/>
        <w:t>safety</w:t>
      </w:r>
      <w:r>
        <w:rPr>
          <w:spacing w:val="40"/>
        </w:rPr>
        <w:t> </w:t>
      </w:r>
      <w:r>
        <w:rPr/>
        <w:t>and</w:t>
      </w:r>
      <w:r>
        <w:rPr>
          <w:spacing w:val="40"/>
        </w:rPr>
        <w:t> </w:t>
      </w:r>
      <w:r>
        <w:rPr>
          <w:spacing w:val="12"/>
        </w:rPr>
        <w:t>fire-</w:t>
      </w:r>
      <w:r>
        <w:rPr/>
        <w:t>fighting</w:t>
      </w:r>
      <w:r>
        <w:rPr>
          <w:spacing w:val="80"/>
        </w:rPr>
        <w:t> </w:t>
      </w:r>
      <w:r>
        <w:rPr/>
        <w:t>point</w:t>
      </w:r>
      <w:r>
        <w:rPr>
          <w:spacing w:val="40"/>
        </w:rPr>
        <w:t> </w:t>
      </w:r>
      <w:r>
        <w:rPr/>
        <w:t>of</w:t>
      </w:r>
      <w:r>
        <w:rPr>
          <w:spacing w:val="40"/>
        </w:rPr>
        <w:t> </w:t>
      </w:r>
      <w:r>
        <w:rPr/>
        <w:t>view</w:t>
      </w:r>
      <w:r>
        <w:rPr>
          <w:spacing w:val="40"/>
        </w:rPr>
        <w:t> </w:t>
      </w:r>
      <w:r>
        <w:rPr/>
        <w:t>depending</w:t>
      </w:r>
      <w:r>
        <w:rPr>
          <w:spacing w:val="40"/>
        </w:rPr>
        <w:t> </w:t>
      </w:r>
      <w:r>
        <w:rPr/>
        <w:t>on</w:t>
      </w:r>
      <w:r>
        <w:rPr>
          <w:spacing w:val="40"/>
        </w:rPr>
        <w:t> </w:t>
      </w:r>
      <w:r>
        <w:rPr/>
        <w:t>their</w:t>
      </w:r>
      <w:r>
        <w:rPr>
          <w:spacing w:val="40"/>
        </w:rPr>
        <w:t> </w:t>
      </w:r>
      <w:r>
        <w:rPr/>
        <w:t>occupancy</w:t>
      </w:r>
      <w:r>
        <w:rPr>
          <w:spacing w:val="40"/>
        </w:rPr>
        <w:t> </w:t>
      </w:r>
      <w:r>
        <w:rPr/>
        <w:t>and</w:t>
      </w:r>
      <w:r>
        <w:rPr>
          <w:spacing w:val="40"/>
        </w:rPr>
        <w:t> </w:t>
      </w:r>
      <w:r>
        <w:rPr/>
        <w:t>height.</w:t>
      </w:r>
    </w:p>
    <w:p>
      <w:pPr>
        <w:pStyle w:val="Heading6"/>
        <w:numPr>
          <w:ilvl w:val="0"/>
          <w:numId w:val="335"/>
        </w:numPr>
        <w:tabs>
          <w:tab w:pos="1126" w:val="left" w:leader="none"/>
        </w:tabs>
        <w:spacing w:line="240" w:lineRule="auto" w:before="240" w:after="0"/>
        <w:ind w:left="1126" w:right="0" w:hanging="349"/>
        <w:jc w:val="left"/>
        <w:rPr>
          <w:i w:val="0"/>
        </w:rPr>
      </w:pPr>
      <w:r>
        <w:rPr>
          <w:spacing w:val="2"/>
        </w:rPr>
        <w:t>Construction</w:t>
      </w:r>
      <w:r>
        <w:rPr>
          <w:i w:val="0"/>
          <w:spacing w:val="2"/>
        </w:rPr>
        <w:t>:</w:t>
      </w:r>
      <w:r>
        <w:rPr>
          <w:i w:val="0"/>
          <w:spacing w:val="67"/>
          <w:w w:val="150"/>
        </w:rPr>
        <w:t> </w:t>
      </w:r>
      <w:r>
        <w:rPr>
          <w:i w:val="0"/>
          <w:spacing w:val="-10"/>
        </w:rPr>
        <w:t>-</w:t>
      </w:r>
    </w:p>
    <w:p>
      <w:pPr>
        <w:pStyle w:val="ListParagraph"/>
        <w:numPr>
          <w:ilvl w:val="1"/>
          <w:numId w:val="335"/>
        </w:numPr>
        <w:tabs>
          <w:tab w:pos="1286" w:val="left" w:leader="none"/>
        </w:tabs>
        <w:spacing w:line="240" w:lineRule="auto" w:before="241" w:after="0"/>
        <w:ind w:left="1286" w:right="0" w:hanging="406"/>
        <w:jc w:val="left"/>
        <w:rPr>
          <w:sz w:val="24"/>
        </w:rPr>
      </w:pPr>
      <w:r>
        <w:rPr>
          <w:sz w:val="24"/>
        </w:rPr>
        <w:t>Building</w:t>
      </w:r>
      <w:r>
        <w:rPr>
          <w:spacing w:val="55"/>
          <w:w w:val="150"/>
          <w:sz w:val="24"/>
        </w:rPr>
        <w:t> </w:t>
      </w:r>
      <w:r>
        <w:rPr>
          <w:sz w:val="24"/>
        </w:rPr>
        <w:t>materials:</w:t>
      </w:r>
      <w:r>
        <w:rPr>
          <w:spacing w:val="60"/>
          <w:w w:val="150"/>
          <w:sz w:val="24"/>
        </w:rPr>
        <w:t> </w:t>
      </w:r>
      <w:r>
        <w:rPr>
          <w:spacing w:val="-12"/>
          <w:sz w:val="24"/>
        </w:rPr>
        <w:t>-</w:t>
      </w:r>
    </w:p>
    <w:p>
      <w:pPr>
        <w:pStyle w:val="ListParagraph"/>
        <w:numPr>
          <w:ilvl w:val="2"/>
          <w:numId w:val="335"/>
        </w:numPr>
        <w:tabs>
          <w:tab w:pos="1676" w:val="left" w:leader="none"/>
          <w:tab w:pos="1678" w:val="left" w:leader="none"/>
        </w:tabs>
        <w:spacing w:line="240" w:lineRule="auto" w:before="239" w:after="0"/>
        <w:ind w:left="1678" w:right="784" w:hanging="360"/>
        <w:jc w:val="both"/>
        <w:rPr>
          <w:sz w:val="24"/>
        </w:rPr>
      </w:pPr>
      <w:r>
        <w:rPr>
          <w:sz w:val="24"/>
        </w:rPr>
        <w:t>Load</w:t>
      </w:r>
      <w:r>
        <w:rPr>
          <w:spacing w:val="40"/>
          <w:sz w:val="24"/>
        </w:rPr>
        <w:t> </w:t>
      </w:r>
      <w:r>
        <w:rPr>
          <w:sz w:val="24"/>
        </w:rPr>
        <w:t>bearing</w:t>
      </w:r>
      <w:r>
        <w:rPr>
          <w:spacing w:val="40"/>
          <w:sz w:val="24"/>
        </w:rPr>
        <w:t> </w:t>
      </w:r>
      <w:r>
        <w:rPr>
          <w:sz w:val="24"/>
        </w:rPr>
        <w:t>elements</w:t>
      </w:r>
      <w:r>
        <w:rPr>
          <w:spacing w:val="40"/>
          <w:sz w:val="24"/>
        </w:rPr>
        <w:t> </w:t>
      </w:r>
      <w:r>
        <w:rPr>
          <w:sz w:val="24"/>
        </w:rPr>
        <w:t>of</w:t>
      </w:r>
      <w:r>
        <w:rPr>
          <w:spacing w:val="40"/>
          <w:sz w:val="24"/>
        </w:rPr>
        <w:t> </w:t>
      </w:r>
      <w:r>
        <w:rPr>
          <w:sz w:val="24"/>
        </w:rPr>
        <w:t>construction</w:t>
      </w:r>
      <w:r>
        <w:rPr>
          <w:spacing w:val="40"/>
          <w:sz w:val="24"/>
        </w:rPr>
        <w:t> </w:t>
      </w:r>
      <w:r>
        <w:rPr>
          <w:sz w:val="24"/>
        </w:rPr>
        <w:t>and</w:t>
      </w:r>
      <w:r>
        <w:rPr>
          <w:spacing w:val="40"/>
          <w:sz w:val="24"/>
        </w:rPr>
        <w:t> </w:t>
      </w:r>
      <w:r>
        <w:rPr>
          <w:sz w:val="24"/>
        </w:rPr>
        <w:t>elements</w:t>
      </w:r>
      <w:r>
        <w:rPr>
          <w:spacing w:val="40"/>
          <w:sz w:val="24"/>
        </w:rPr>
        <w:t> </w:t>
      </w:r>
      <w:r>
        <w:rPr>
          <w:sz w:val="24"/>
        </w:rPr>
        <w:t>of</w:t>
      </w:r>
      <w:r>
        <w:rPr>
          <w:spacing w:val="40"/>
          <w:sz w:val="24"/>
        </w:rPr>
        <w:t> </w:t>
      </w:r>
      <w:r>
        <w:rPr>
          <w:sz w:val="24"/>
        </w:rPr>
        <w:t>construction</w:t>
      </w:r>
      <w:r>
        <w:rPr>
          <w:spacing w:val="80"/>
          <w:sz w:val="24"/>
        </w:rPr>
        <w:t> </w:t>
      </w:r>
      <w:r>
        <w:rPr>
          <w:sz w:val="24"/>
        </w:rPr>
        <w:t>for</w:t>
      </w:r>
      <w:r>
        <w:rPr>
          <w:spacing w:val="40"/>
          <w:sz w:val="24"/>
        </w:rPr>
        <w:t> </w:t>
      </w:r>
      <w:r>
        <w:rPr>
          <w:sz w:val="24"/>
        </w:rPr>
        <w:t>which</w:t>
      </w:r>
      <w:r>
        <w:rPr>
          <w:spacing w:val="40"/>
          <w:sz w:val="24"/>
        </w:rPr>
        <w:t> </w:t>
      </w:r>
      <w:r>
        <w:rPr>
          <w:sz w:val="24"/>
        </w:rPr>
        <w:t>the</w:t>
      </w:r>
      <w:r>
        <w:rPr>
          <w:spacing w:val="40"/>
          <w:sz w:val="24"/>
        </w:rPr>
        <w:t> </w:t>
      </w:r>
      <w:r>
        <w:rPr>
          <w:sz w:val="24"/>
        </w:rPr>
        <w:t>required</w:t>
      </w:r>
      <w:r>
        <w:rPr>
          <w:spacing w:val="40"/>
          <w:sz w:val="24"/>
        </w:rPr>
        <w:t> </w:t>
      </w:r>
      <w:r>
        <w:rPr>
          <w:sz w:val="24"/>
        </w:rPr>
        <w:t>fire</w:t>
      </w:r>
      <w:r>
        <w:rPr>
          <w:spacing w:val="40"/>
          <w:sz w:val="24"/>
        </w:rPr>
        <w:t> </w:t>
      </w:r>
      <w:r>
        <w:rPr>
          <w:sz w:val="24"/>
        </w:rPr>
        <w:t>resistance</w:t>
      </w:r>
      <w:r>
        <w:rPr>
          <w:spacing w:val="40"/>
          <w:sz w:val="24"/>
        </w:rPr>
        <w:t> </w:t>
      </w:r>
      <w:r>
        <w:rPr>
          <w:sz w:val="24"/>
        </w:rPr>
        <w:t>is</w:t>
      </w:r>
      <w:r>
        <w:rPr>
          <w:spacing w:val="40"/>
          <w:sz w:val="24"/>
        </w:rPr>
        <w:t> </w:t>
      </w:r>
      <w:r>
        <w:rPr>
          <w:sz w:val="24"/>
        </w:rPr>
        <w:t>one</w:t>
      </w:r>
      <w:r>
        <w:rPr>
          <w:spacing w:val="40"/>
          <w:sz w:val="24"/>
        </w:rPr>
        <w:t> </w:t>
      </w:r>
      <w:r>
        <w:rPr>
          <w:sz w:val="24"/>
        </w:rPr>
        <w:t>hour</w:t>
      </w:r>
      <w:r>
        <w:rPr>
          <w:spacing w:val="40"/>
          <w:sz w:val="24"/>
        </w:rPr>
        <w:t> </w:t>
      </w:r>
      <w:r>
        <w:rPr>
          <w:sz w:val="24"/>
        </w:rPr>
        <w:t>or</w:t>
      </w:r>
      <w:r>
        <w:rPr>
          <w:spacing w:val="40"/>
          <w:sz w:val="24"/>
        </w:rPr>
        <w:t> </w:t>
      </w:r>
      <w:r>
        <w:rPr>
          <w:sz w:val="24"/>
        </w:rPr>
        <w:t>more</w:t>
      </w:r>
      <w:r>
        <w:rPr>
          <w:spacing w:val="40"/>
          <w:sz w:val="24"/>
        </w:rPr>
        <w:t> </w:t>
      </w:r>
      <w:r>
        <w:rPr>
          <w:sz w:val="24"/>
        </w:rPr>
        <w:t>shall</w:t>
      </w:r>
      <w:r>
        <w:rPr>
          <w:spacing w:val="40"/>
          <w:sz w:val="24"/>
        </w:rPr>
        <w:t> </w:t>
      </w:r>
      <w:r>
        <w:rPr>
          <w:sz w:val="24"/>
        </w:rPr>
        <w:t>be</w:t>
      </w:r>
      <w:r>
        <w:rPr>
          <w:spacing w:val="40"/>
          <w:sz w:val="24"/>
        </w:rPr>
        <w:t> </w:t>
      </w:r>
      <w:r>
        <w:rPr>
          <w:sz w:val="24"/>
        </w:rPr>
        <w:t>of non-combustible</w:t>
      </w:r>
      <w:r>
        <w:rPr>
          <w:spacing w:val="80"/>
          <w:sz w:val="24"/>
        </w:rPr>
        <w:t> </w:t>
      </w:r>
      <w:r>
        <w:rPr>
          <w:sz w:val="24"/>
        </w:rPr>
        <w:t>material.</w:t>
      </w:r>
      <w:r>
        <w:rPr>
          <w:spacing w:val="80"/>
          <w:sz w:val="24"/>
        </w:rPr>
        <w:t> </w:t>
      </w:r>
      <w:r>
        <w:rPr>
          <w:sz w:val="24"/>
        </w:rPr>
        <w:t>Interior</w:t>
      </w:r>
      <w:r>
        <w:rPr>
          <w:spacing w:val="80"/>
          <w:sz w:val="24"/>
        </w:rPr>
        <w:t> </w:t>
      </w:r>
      <w:r>
        <w:rPr>
          <w:sz w:val="24"/>
        </w:rPr>
        <w:t>finish</w:t>
      </w:r>
      <w:r>
        <w:rPr>
          <w:spacing w:val="80"/>
          <w:sz w:val="24"/>
        </w:rPr>
        <w:t> </w:t>
      </w:r>
      <w:r>
        <w:rPr>
          <w:sz w:val="24"/>
        </w:rPr>
        <w:t>materials</w:t>
      </w:r>
      <w:r>
        <w:rPr>
          <w:spacing w:val="80"/>
          <w:sz w:val="24"/>
        </w:rPr>
        <w:t> </w:t>
      </w:r>
      <w:r>
        <w:rPr>
          <w:sz w:val="24"/>
        </w:rPr>
        <w:t>(wall</w:t>
      </w:r>
      <w:r>
        <w:rPr>
          <w:spacing w:val="80"/>
          <w:sz w:val="24"/>
        </w:rPr>
        <w:t> </w:t>
      </w:r>
      <w:r>
        <w:rPr>
          <w:sz w:val="24"/>
        </w:rPr>
        <w:t>paneling, floor</w:t>
      </w:r>
      <w:r>
        <w:rPr>
          <w:spacing w:val="40"/>
          <w:sz w:val="24"/>
        </w:rPr>
        <w:t> </w:t>
      </w:r>
      <w:r>
        <w:rPr>
          <w:sz w:val="24"/>
        </w:rPr>
        <w:t>coverings</w:t>
      </w:r>
      <w:r>
        <w:rPr>
          <w:spacing w:val="40"/>
          <w:sz w:val="24"/>
        </w:rPr>
        <w:t> </w:t>
      </w:r>
      <w:r>
        <w:rPr>
          <w:sz w:val="24"/>
        </w:rPr>
        <w:t>etc.)</w:t>
      </w:r>
      <w:r>
        <w:rPr>
          <w:spacing w:val="40"/>
          <w:sz w:val="24"/>
        </w:rPr>
        <w:t> </w:t>
      </w:r>
      <w:r>
        <w:rPr>
          <w:sz w:val="24"/>
        </w:rPr>
        <w:t>may</w:t>
      </w:r>
      <w:r>
        <w:rPr>
          <w:spacing w:val="40"/>
          <w:sz w:val="24"/>
        </w:rPr>
        <w:t> </w:t>
      </w:r>
      <w:r>
        <w:rPr>
          <w:sz w:val="24"/>
        </w:rPr>
        <w:t>be</w:t>
      </w:r>
      <w:r>
        <w:rPr>
          <w:spacing w:val="40"/>
          <w:sz w:val="24"/>
        </w:rPr>
        <w:t> </w:t>
      </w:r>
      <w:r>
        <w:rPr>
          <w:sz w:val="24"/>
        </w:rPr>
        <w:t>permitted</w:t>
      </w:r>
      <w:r>
        <w:rPr>
          <w:spacing w:val="40"/>
          <w:sz w:val="24"/>
        </w:rPr>
        <w:t> </w:t>
      </w:r>
      <w:r>
        <w:rPr>
          <w:sz w:val="24"/>
        </w:rPr>
        <w:t>of</w:t>
      </w:r>
      <w:r>
        <w:rPr>
          <w:spacing w:val="40"/>
          <w:sz w:val="24"/>
        </w:rPr>
        <w:t> </w:t>
      </w:r>
      <w:r>
        <w:rPr>
          <w:sz w:val="24"/>
        </w:rPr>
        <w:t>materials</w:t>
      </w:r>
      <w:r>
        <w:rPr>
          <w:spacing w:val="40"/>
          <w:sz w:val="24"/>
        </w:rPr>
        <w:t> </w:t>
      </w:r>
      <w:r>
        <w:rPr>
          <w:sz w:val="24"/>
        </w:rPr>
        <w:t>having</w:t>
      </w:r>
      <w:r>
        <w:rPr>
          <w:spacing w:val="40"/>
          <w:sz w:val="24"/>
        </w:rPr>
        <w:t> </w:t>
      </w:r>
      <w:r>
        <w:rPr>
          <w:sz w:val="24"/>
        </w:rPr>
        <w:t>their</w:t>
      </w:r>
      <w:r>
        <w:rPr>
          <w:spacing w:val="40"/>
          <w:sz w:val="24"/>
        </w:rPr>
        <w:t> </w:t>
      </w:r>
      <w:r>
        <w:rPr>
          <w:sz w:val="24"/>
        </w:rPr>
        <w:t>rating for flame spread and smoke developed not exceeding a very low flame spread limit in accordance with IS:1642,1960 (Class I) Ceiling</w:t>
      </w:r>
      <w:r>
        <w:rPr>
          <w:spacing w:val="40"/>
          <w:sz w:val="24"/>
        </w:rPr>
        <w:t> </w:t>
      </w:r>
      <w:r>
        <w:rPr>
          <w:sz w:val="24"/>
        </w:rPr>
        <w:t>linings shall</w:t>
      </w:r>
      <w:r>
        <w:rPr>
          <w:spacing w:val="40"/>
          <w:sz w:val="24"/>
        </w:rPr>
        <w:t> </w:t>
      </w:r>
      <w:r>
        <w:rPr>
          <w:sz w:val="24"/>
        </w:rPr>
        <w:t>be</w:t>
      </w:r>
      <w:r>
        <w:rPr>
          <w:spacing w:val="40"/>
          <w:sz w:val="24"/>
        </w:rPr>
        <w:t> </w:t>
      </w:r>
      <w:r>
        <w:rPr>
          <w:spacing w:val="9"/>
          <w:sz w:val="24"/>
        </w:rPr>
        <w:t>non-</w:t>
      </w:r>
      <w:r>
        <w:rPr>
          <w:sz w:val="24"/>
        </w:rPr>
        <w:t>combustible</w:t>
      </w:r>
      <w:r>
        <w:rPr>
          <w:spacing w:val="40"/>
          <w:sz w:val="24"/>
        </w:rPr>
        <w:t> </w:t>
      </w:r>
      <w:r>
        <w:rPr>
          <w:sz w:val="24"/>
        </w:rPr>
        <w:t>or</w:t>
      </w:r>
      <w:r>
        <w:rPr>
          <w:spacing w:val="40"/>
          <w:sz w:val="24"/>
        </w:rPr>
        <w:t> </w:t>
      </w:r>
      <w:r>
        <w:rPr>
          <w:sz w:val="24"/>
        </w:rPr>
        <w:t>of</w:t>
      </w:r>
      <w:r>
        <w:rPr>
          <w:spacing w:val="40"/>
          <w:sz w:val="24"/>
        </w:rPr>
        <w:t> </w:t>
      </w:r>
      <w:r>
        <w:rPr>
          <w:sz w:val="24"/>
        </w:rPr>
        <w:t>plasterboard.</w:t>
      </w:r>
    </w:p>
    <w:p>
      <w:pPr>
        <w:pStyle w:val="ListParagraph"/>
        <w:numPr>
          <w:ilvl w:val="2"/>
          <w:numId w:val="335"/>
        </w:numPr>
        <w:tabs>
          <w:tab w:pos="1675" w:val="left" w:leader="none"/>
        </w:tabs>
        <w:spacing w:line="240" w:lineRule="auto" w:before="242" w:after="0"/>
        <w:ind w:left="1675" w:right="0" w:hanging="357"/>
        <w:jc w:val="both"/>
        <w:rPr>
          <w:sz w:val="24"/>
        </w:rPr>
      </w:pPr>
      <w:r>
        <w:rPr>
          <w:sz w:val="24"/>
        </w:rPr>
        <w:t>Stairways</w:t>
      </w:r>
      <w:r>
        <w:rPr>
          <w:spacing w:val="70"/>
          <w:sz w:val="24"/>
        </w:rPr>
        <w:t> </w:t>
      </w:r>
      <w:r>
        <w:rPr>
          <w:sz w:val="24"/>
        </w:rPr>
        <w:t>and</w:t>
      </w:r>
      <w:r>
        <w:rPr>
          <w:spacing w:val="75"/>
          <w:sz w:val="24"/>
        </w:rPr>
        <w:t> </w:t>
      </w:r>
      <w:r>
        <w:rPr>
          <w:sz w:val="24"/>
        </w:rPr>
        <w:t>corridors</w:t>
      </w:r>
      <w:r>
        <w:rPr>
          <w:spacing w:val="72"/>
          <w:sz w:val="24"/>
        </w:rPr>
        <w:t> </w:t>
      </w:r>
      <w:r>
        <w:rPr>
          <w:sz w:val="24"/>
        </w:rPr>
        <w:t>shall</w:t>
      </w:r>
      <w:r>
        <w:rPr>
          <w:spacing w:val="73"/>
          <w:sz w:val="24"/>
        </w:rPr>
        <w:t> </w:t>
      </w:r>
      <w:r>
        <w:rPr>
          <w:sz w:val="24"/>
        </w:rPr>
        <w:t>not</w:t>
      </w:r>
      <w:r>
        <w:rPr>
          <w:spacing w:val="72"/>
          <w:sz w:val="24"/>
        </w:rPr>
        <w:t> </w:t>
      </w:r>
      <w:r>
        <w:rPr>
          <w:sz w:val="24"/>
        </w:rPr>
        <w:t>contain</w:t>
      </w:r>
      <w:r>
        <w:rPr>
          <w:spacing w:val="72"/>
          <w:sz w:val="24"/>
        </w:rPr>
        <w:t> </w:t>
      </w:r>
      <w:r>
        <w:rPr>
          <w:sz w:val="24"/>
        </w:rPr>
        <w:t>combustible</w:t>
      </w:r>
      <w:r>
        <w:rPr>
          <w:spacing w:val="73"/>
          <w:sz w:val="24"/>
        </w:rPr>
        <w:t> </w:t>
      </w:r>
      <w:r>
        <w:rPr>
          <w:spacing w:val="7"/>
          <w:sz w:val="24"/>
        </w:rPr>
        <w:t>materials.</w:t>
      </w:r>
    </w:p>
    <w:p>
      <w:pPr>
        <w:pStyle w:val="ListParagraph"/>
        <w:numPr>
          <w:ilvl w:val="1"/>
          <w:numId w:val="335"/>
        </w:numPr>
        <w:tabs>
          <w:tab w:pos="1318" w:val="left" w:leader="none"/>
          <w:tab w:pos="1354" w:val="left" w:leader="none"/>
        </w:tabs>
        <w:spacing w:line="240" w:lineRule="auto" w:before="239" w:after="0"/>
        <w:ind w:left="1318" w:right="801" w:hanging="360"/>
        <w:jc w:val="right"/>
        <w:rPr>
          <w:sz w:val="24"/>
        </w:rPr>
      </w:pPr>
      <w:r>
        <w:rPr>
          <w:sz w:val="24"/>
        </w:rPr>
        <w:t>Structural</w:t>
      </w:r>
      <w:r>
        <w:rPr>
          <w:spacing w:val="80"/>
          <w:sz w:val="24"/>
        </w:rPr>
        <w:t> </w:t>
      </w:r>
      <w:r>
        <w:rPr>
          <w:sz w:val="24"/>
        </w:rPr>
        <w:t>members</w:t>
      </w:r>
      <w:r>
        <w:rPr>
          <w:spacing w:val="40"/>
          <w:sz w:val="24"/>
        </w:rPr>
        <w:t> </w:t>
      </w:r>
      <w:r>
        <w:rPr>
          <w:sz w:val="24"/>
        </w:rPr>
        <w:t>such</w:t>
      </w:r>
      <w:r>
        <w:rPr>
          <w:spacing w:val="40"/>
          <w:sz w:val="24"/>
        </w:rPr>
        <w:t> </w:t>
      </w:r>
      <w:r>
        <w:rPr>
          <w:sz w:val="24"/>
        </w:rPr>
        <w:t>as</w:t>
      </w:r>
      <w:r>
        <w:rPr>
          <w:spacing w:val="40"/>
          <w:sz w:val="24"/>
        </w:rPr>
        <w:t> </w:t>
      </w:r>
      <w:r>
        <w:rPr>
          <w:sz w:val="24"/>
        </w:rPr>
        <w:t>supports</w:t>
      </w:r>
      <w:r>
        <w:rPr>
          <w:spacing w:val="40"/>
          <w:sz w:val="24"/>
        </w:rPr>
        <w:t> </w:t>
      </w:r>
      <w:r>
        <w:rPr>
          <w:sz w:val="24"/>
        </w:rPr>
        <w:t>and</w:t>
      </w:r>
      <w:r>
        <w:rPr>
          <w:spacing w:val="40"/>
          <w:sz w:val="24"/>
        </w:rPr>
        <w:t> </w:t>
      </w:r>
      <w:r>
        <w:rPr>
          <w:sz w:val="24"/>
        </w:rPr>
        <w:t>load</w:t>
      </w:r>
      <w:r>
        <w:rPr>
          <w:spacing w:val="40"/>
          <w:sz w:val="24"/>
        </w:rPr>
        <w:t> </w:t>
      </w:r>
      <w:r>
        <w:rPr>
          <w:sz w:val="24"/>
        </w:rPr>
        <w:t>bearing</w:t>
      </w:r>
      <w:r>
        <w:rPr>
          <w:spacing w:val="40"/>
          <w:sz w:val="24"/>
        </w:rPr>
        <w:t> </w:t>
      </w:r>
      <w:r>
        <w:rPr>
          <w:sz w:val="24"/>
        </w:rPr>
        <w:t>walls</w:t>
      </w:r>
      <w:r>
        <w:rPr>
          <w:spacing w:val="40"/>
          <w:sz w:val="24"/>
        </w:rPr>
        <w:t> </w:t>
      </w:r>
      <w:r>
        <w:rPr>
          <w:sz w:val="24"/>
        </w:rPr>
        <w:t>shall</w:t>
      </w:r>
      <w:r>
        <w:rPr>
          <w:spacing w:val="40"/>
          <w:sz w:val="24"/>
        </w:rPr>
        <w:t> </w:t>
      </w:r>
      <w:r>
        <w:rPr>
          <w:sz w:val="24"/>
        </w:rPr>
        <w:t>have fire</w:t>
      </w:r>
      <w:r>
        <w:rPr>
          <w:spacing w:val="51"/>
          <w:sz w:val="24"/>
        </w:rPr>
        <w:t> </w:t>
      </w:r>
      <w:r>
        <w:rPr>
          <w:sz w:val="24"/>
        </w:rPr>
        <w:t>resistance</w:t>
      </w:r>
      <w:r>
        <w:rPr>
          <w:spacing w:val="55"/>
          <w:sz w:val="24"/>
        </w:rPr>
        <w:t> </w:t>
      </w:r>
      <w:r>
        <w:rPr>
          <w:sz w:val="24"/>
        </w:rPr>
        <w:t>rating</w:t>
      </w:r>
      <w:r>
        <w:rPr>
          <w:spacing w:val="52"/>
          <w:sz w:val="24"/>
        </w:rPr>
        <w:t> </w:t>
      </w:r>
      <w:r>
        <w:rPr>
          <w:sz w:val="24"/>
        </w:rPr>
        <w:t>of</w:t>
      </w:r>
      <w:r>
        <w:rPr>
          <w:spacing w:val="51"/>
          <w:sz w:val="24"/>
        </w:rPr>
        <w:t> </w:t>
      </w:r>
      <w:r>
        <w:rPr>
          <w:sz w:val="24"/>
        </w:rPr>
        <w:t>3</w:t>
      </w:r>
      <w:r>
        <w:rPr>
          <w:spacing w:val="55"/>
          <w:sz w:val="24"/>
        </w:rPr>
        <w:t> </w:t>
      </w:r>
      <w:r>
        <w:rPr>
          <w:sz w:val="24"/>
        </w:rPr>
        <w:t>hour,</w:t>
      </w:r>
      <w:r>
        <w:rPr>
          <w:spacing w:val="54"/>
          <w:sz w:val="24"/>
        </w:rPr>
        <w:t> </w:t>
      </w:r>
      <w:r>
        <w:rPr>
          <w:sz w:val="24"/>
        </w:rPr>
        <w:t>transoms</w:t>
      </w:r>
      <w:r>
        <w:rPr>
          <w:spacing w:val="52"/>
          <w:sz w:val="24"/>
        </w:rPr>
        <w:t> </w:t>
      </w:r>
      <w:r>
        <w:rPr>
          <w:sz w:val="24"/>
        </w:rPr>
        <w:t>and</w:t>
      </w:r>
      <w:r>
        <w:rPr>
          <w:spacing w:val="55"/>
          <w:sz w:val="24"/>
        </w:rPr>
        <w:t> </w:t>
      </w:r>
      <w:r>
        <w:rPr>
          <w:sz w:val="24"/>
        </w:rPr>
        <w:t>ceilings</w:t>
      </w:r>
      <w:r>
        <w:rPr>
          <w:spacing w:val="51"/>
          <w:sz w:val="24"/>
        </w:rPr>
        <w:t> </w:t>
      </w:r>
      <w:r>
        <w:rPr>
          <w:sz w:val="24"/>
        </w:rPr>
        <w:t>at</w:t>
      </w:r>
      <w:r>
        <w:rPr>
          <w:spacing w:val="52"/>
          <w:sz w:val="24"/>
        </w:rPr>
        <w:t> </w:t>
      </w:r>
      <w:r>
        <w:rPr>
          <w:sz w:val="24"/>
        </w:rPr>
        <w:t>least</w:t>
      </w:r>
      <w:r>
        <w:rPr>
          <w:spacing w:val="52"/>
          <w:sz w:val="24"/>
        </w:rPr>
        <w:t> </w:t>
      </w:r>
      <w:r>
        <w:rPr>
          <w:sz w:val="24"/>
        </w:rPr>
        <w:t>2</w:t>
      </w:r>
      <w:r>
        <w:rPr>
          <w:spacing w:val="55"/>
          <w:sz w:val="24"/>
        </w:rPr>
        <w:t> </w:t>
      </w:r>
      <w:r>
        <w:rPr>
          <w:spacing w:val="7"/>
          <w:sz w:val="24"/>
        </w:rPr>
        <w:t>hours.</w:t>
      </w:r>
    </w:p>
    <w:p>
      <w:pPr>
        <w:pStyle w:val="ListParagraph"/>
        <w:numPr>
          <w:ilvl w:val="1"/>
          <w:numId w:val="335"/>
        </w:numPr>
        <w:tabs>
          <w:tab w:pos="1318" w:val="left" w:leader="none"/>
          <w:tab w:pos="1376" w:val="left" w:leader="none"/>
        </w:tabs>
        <w:spacing w:line="240" w:lineRule="auto" w:before="240" w:after="0"/>
        <w:ind w:left="1318" w:right="781" w:hanging="360"/>
        <w:jc w:val="both"/>
        <w:rPr>
          <w:sz w:val="24"/>
        </w:rPr>
      </w:pPr>
      <w:r>
        <w:rPr>
          <w:sz w:val="24"/>
        </w:rPr>
        <w:t>Internal</w:t>
      </w:r>
      <w:r>
        <w:rPr>
          <w:spacing w:val="80"/>
          <w:w w:val="150"/>
          <w:sz w:val="24"/>
        </w:rPr>
        <w:t> </w:t>
      </w:r>
      <w:r>
        <w:rPr>
          <w:sz w:val="24"/>
        </w:rPr>
        <w:t>walls</w:t>
      </w:r>
      <w:r>
        <w:rPr>
          <w:spacing w:val="40"/>
          <w:sz w:val="24"/>
        </w:rPr>
        <w:t> </w:t>
      </w:r>
      <w:r>
        <w:rPr>
          <w:sz w:val="24"/>
        </w:rPr>
        <w:t>and</w:t>
      </w:r>
      <w:r>
        <w:rPr>
          <w:spacing w:val="40"/>
          <w:sz w:val="24"/>
        </w:rPr>
        <w:t> </w:t>
      </w:r>
      <w:r>
        <w:rPr>
          <w:sz w:val="24"/>
        </w:rPr>
        <w:t>partitions</w:t>
      </w:r>
      <w:r>
        <w:rPr>
          <w:spacing w:val="40"/>
          <w:sz w:val="24"/>
        </w:rPr>
        <w:t> </w:t>
      </w:r>
      <w:r>
        <w:rPr>
          <w:sz w:val="24"/>
        </w:rPr>
        <w:t>separating</w:t>
      </w:r>
      <w:r>
        <w:rPr>
          <w:spacing w:val="40"/>
          <w:sz w:val="24"/>
        </w:rPr>
        <w:t> </w:t>
      </w:r>
      <w:r>
        <w:rPr>
          <w:sz w:val="24"/>
        </w:rPr>
        <w:t>corridors</w:t>
      </w:r>
      <w:r>
        <w:rPr>
          <w:spacing w:val="40"/>
          <w:sz w:val="24"/>
        </w:rPr>
        <w:t> </w:t>
      </w:r>
      <w:r>
        <w:rPr>
          <w:sz w:val="24"/>
        </w:rPr>
        <w:t>from</w:t>
      </w:r>
      <w:r>
        <w:rPr>
          <w:spacing w:val="40"/>
          <w:sz w:val="24"/>
        </w:rPr>
        <w:t> </w:t>
      </w:r>
      <w:r>
        <w:rPr>
          <w:sz w:val="24"/>
        </w:rPr>
        <w:t>areas</w:t>
      </w:r>
      <w:r>
        <w:rPr>
          <w:spacing w:val="40"/>
          <w:sz w:val="24"/>
        </w:rPr>
        <w:t> </w:t>
      </w:r>
      <w:r>
        <w:rPr>
          <w:sz w:val="24"/>
        </w:rPr>
        <w:t>on</w:t>
      </w:r>
      <w:r>
        <w:rPr>
          <w:spacing w:val="40"/>
          <w:sz w:val="24"/>
        </w:rPr>
        <w:t> </w:t>
      </w:r>
      <w:r>
        <w:rPr>
          <w:sz w:val="24"/>
        </w:rPr>
        <w:t>floors that are used for any purpose other than circulation shall have a fire resistance of not less than one hour. There shall be no openings in such walls</w:t>
      </w:r>
      <w:r>
        <w:rPr>
          <w:spacing w:val="40"/>
          <w:sz w:val="24"/>
        </w:rPr>
        <w:t> </w:t>
      </w:r>
      <w:r>
        <w:rPr>
          <w:sz w:val="24"/>
        </w:rPr>
        <w:t>other</w:t>
      </w:r>
      <w:r>
        <w:rPr>
          <w:spacing w:val="40"/>
          <w:sz w:val="24"/>
        </w:rPr>
        <w:t> </w:t>
      </w:r>
      <w:r>
        <w:rPr>
          <w:sz w:val="24"/>
        </w:rPr>
        <w:t>than</w:t>
      </w:r>
      <w:r>
        <w:rPr>
          <w:spacing w:val="40"/>
          <w:sz w:val="24"/>
        </w:rPr>
        <w:t> </w:t>
      </w:r>
      <w:r>
        <w:rPr>
          <w:sz w:val="24"/>
        </w:rPr>
        <w:t>for</w:t>
      </w:r>
      <w:r>
        <w:rPr>
          <w:spacing w:val="40"/>
          <w:sz w:val="24"/>
        </w:rPr>
        <w:t> </w:t>
      </w:r>
      <w:r>
        <w:rPr>
          <w:sz w:val="24"/>
        </w:rPr>
        <w:t>doors</w:t>
      </w:r>
      <w:r>
        <w:rPr>
          <w:spacing w:val="40"/>
          <w:sz w:val="24"/>
        </w:rPr>
        <w:t> </w:t>
      </w:r>
      <w:r>
        <w:rPr>
          <w:sz w:val="24"/>
        </w:rPr>
        <w:t>or</w:t>
      </w:r>
      <w:r>
        <w:rPr>
          <w:spacing w:val="40"/>
          <w:sz w:val="24"/>
        </w:rPr>
        <w:t> </w:t>
      </w:r>
      <w:r>
        <w:rPr>
          <w:sz w:val="24"/>
        </w:rPr>
        <w:t>delivery</w:t>
      </w:r>
      <w:r>
        <w:rPr>
          <w:spacing w:val="80"/>
          <w:sz w:val="24"/>
        </w:rPr>
        <w:t> </w:t>
      </w:r>
      <w:r>
        <w:rPr>
          <w:sz w:val="24"/>
        </w:rPr>
        <w:t>hatches</w:t>
      </w:r>
      <w:r>
        <w:rPr>
          <w:spacing w:val="40"/>
          <w:sz w:val="24"/>
        </w:rPr>
        <w:t> </w:t>
      </w:r>
      <w:r>
        <w:rPr>
          <w:sz w:val="24"/>
        </w:rPr>
        <w:t>with</w:t>
      </w:r>
      <w:r>
        <w:rPr>
          <w:spacing w:val="40"/>
          <w:sz w:val="24"/>
        </w:rPr>
        <w:t> </w:t>
      </w:r>
      <w:r>
        <w:rPr>
          <w:sz w:val="24"/>
        </w:rPr>
        <w:t>fire</w:t>
      </w:r>
      <w:r>
        <w:rPr>
          <w:spacing w:val="40"/>
          <w:sz w:val="24"/>
        </w:rPr>
        <w:t> </w:t>
      </w:r>
      <w:r>
        <w:rPr>
          <w:sz w:val="24"/>
        </w:rPr>
        <w:t>resistance</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half</w:t>
      </w:r>
      <w:r>
        <w:rPr>
          <w:spacing w:val="40"/>
          <w:sz w:val="24"/>
        </w:rPr>
        <w:t> </w:t>
      </w:r>
      <w:r>
        <w:rPr>
          <w:sz w:val="24"/>
        </w:rPr>
        <w:t>an</w:t>
      </w:r>
      <w:r>
        <w:rPr>
          <w:spacing w:val="40"/>
          <w:sz w:val="24"/>
        </w:rPr>
        <w:t> </w:t>
      </w:r>
      <w:r>
        <w:rPr>
          <w:sz w:val="24"/>
        </w:rPr>
        <w:t>hour.</w:t>
      </w:r>
      <w:r>
        <w:rPr>
          <w:spacing w:val="40"/>
          <w:sz w:val="24"/>
        </w:rPr>
        <w:t> </w:t>
      </w:r>
      <w:r>
        <w:rPr>
          <w:sz w:val="24"/>
        </w:rPr>
        <w:t>Fire</w:t>
      </w:r>
      <w:r>
        <w:rPr>
          <w:spacing w:val="40"/>
          <w:sz w:val="24"/>
        </w:rPr>
        <w:t> </w:t>
      </w:r>
      <w:r>
        <w:rPr>
          <w:sz w:val="24"/>
        </w:rPr>
        <w:t>sections</w:t>
      </w:r>
      <w:r>
        <w:rPr>
          <w:spacing w:val="40"/>
          <w:sz w:val="24"/>
        </w:rPr>
        <w:t> </w:t>
      </w:r>
      <w:r>
        <w:rPr>
          <w:sz w:val="24"/>
        </w:rPr>
        <w:t>(fire</w:t>
      </w:r>
      <w:r>
        <w:rPr>
          <w:spacing w:val="40"/>
          <w:sz w:val="24"/>
        </w:rPr>
        <w:t> </w:t>
      </w:r>
      <w:r>
        <w:rPr>
          <w:sz w:val="24"/>
        </w:rPr>
        <w:t>walls)</w:t>
      </w:r>
      <w:r>
        <w:rPr>
          <w:spacing w:val="40"/>
          <w:sz w:val="24"/>
        </w:rPr>
        <w:t> </w:t>
      </w:r>
      <w:r>
        <w:rPr>
          <w:spacing w:val="12"/>
          <w:sz w:val="24"/>
        </w:rPr>
        <w:t>sub-</w:t>
      </w:r>
      <w:r>
        <w:rPr>
          <w:sz w:val="24"/>
        </w:rPr>
        <w:t>dividing</w:t>
      </w:r>
      <w:r>
        <w:rPr>
          <w:spacing w:val="40"/>
          <w:sz w:val="24"/>
        </w:rPr>
        <w:t> </w:t>
      </w:r>
      <w:r>
        <w:rPr>
          <w:sz w:val="24"/>
        </w:rPr>
        <w:t>the</w:t>
      </w:r>
      <w:r>
        <w:rPr>
          <w:spacing w:val="40"/>
          <w:sz w:val="24"/>
        </w:rPr>
        <w:t> </w:t>
      </w:r>
      <w:r>
        <w:rPr>
          <w:sz w:val="24"/>
        </w:rPr>
        <w:t>building to</w:t>
      </w:r>
      <w:r>
        <w:rPr>
          <w:spacing w:val="40"/>
          <w:sz w:val="24"/>
        </w:rPr>
        <w:t> </w:t>
      </w:r>
      <w:r>
        <w:rPr>
          <w:sz w:val="24"/>
        </w:rPr>
        <w:t>prevent</w:t>
      </w:r>
      <w:r>
        <w:rPr>
          <w:spacing w:val="40"/>
          <w:sz w:val="24"/>
        </w:rPr>
        <w:t> </w:t>
      </w:r>
      <w:r>
        <w:rPr>
          <w:sz w:val="24"/>
        </w:rPr>
        <w:t>fire</w:t>
      </w:r>
      <w:r>
        <w:rPr>
          <w:spacing w:val="40"/>
          <w:sz w:val="24"/>
        </w:rPr>
        <w:t> </w:t>
      </w:r>
      <w:r>
        <w:rPr>
          <w:sz w:val="24"/>
        </w:rPr>
        <w:t>spread,</w:t>
      </w:r>
      <w:r>
        <w:rPr>
          <w:spacing w:val="40"/>
          <w:sz w:val="24"/>
        </w:rPr>
        <w:t> </w:t>
      </w:r>
      <w:r>
        <w:rPr>
          <w:sz w:val="24"/>
        </w:rPr>
        <w:t>shall</w:t>
      </w:r>
      <w:r>
        <w:rPr>
          <w:spacing w:val="40"/>
          <w:sz w:val="24"/>
        </w:rPr>
        <w:t> </w:t>
      </w:r>
      <w:r>
        <w:rPr>
          <w:sz w:val="24"/>
        </w:rPr>
        <w:t>have</w:t>
      </w:r>
      <w:r>
        <w:rPr>
          <w:spacing w:val="40"/>
          <w:sz w:val="24"/>
        </w:rPr>
        <w:t> </w:t>
      </w:r>
      <w:r>
        <w:rPr>
          <w:sz w:val="24"/>
        </w:rPr>
        <w:t>a</w:t>
      </w:r>
      <w:r>
        <w:rPr>
          <w:spacing w:val="40"/>
          <w:sz w:val="24"/>
        </w:rPr>
        <w:t> </w:t>
      </w:r>
      <w:r>
        <w:rPr>
          <w:sz w:val="24"/>
        </w:rPr>
        <w:t>fire</w:t>
      </w:r>
      <w:r>
        <w:rPr>
          <w:spacing w:val="40"/>
          <w:sz w:val="24"/>
        </w:rPr>
        <w:t> </w:t>
      </w:r>
      <w:r>
        <w:rPr>
          <w:sz w:val="24"/>
        </w:rPr>
        <w:t>resistance,</w:t>
      </w:r>
      <w:r>
        <w:rPr>
          <w:spacing w:val="40"/>
          <w:sz w:val="24"/>
        </w:rPr>
        <w:t> </w:t>
      </w:r>
      <w:r>
        <w:rPr>
          <w:sz w:val="24"/>
        </w:rPr>
        <w:t>rating</w:t>
      </w:r>
      <w:r>
        <w:rPr>
          <w:spacing w:val="40"/>
          <w:sz w:val="24"/>
        </w:rPr>
        <w:t> </w:t>
      </w:r>
      <w:r>
        <w:rPr>
          <w:sz w:val="24"/>
        </w:rPr>
        <w:t>not</w:t>
      </w:r>
      <w:r>
        <w:rPr>
          <w:spacing w:val="40"/>
          <w:sz w:val="24"/>
        </w:rPr>
        <w:t> </w:t>
      </w:r>
      <w:r>
        <w:rPr>
          <w:sz w:val="24"/>
        </w:rPr>
        <w:t>less</w:t>
      </w:r>
      <w:r>
        <w:rPr>
          <w:spacing w:val="40"/>
          <w:sz w:val="24"/>
        </w:rPr>
        <w:t> </w:t>
      </w:r>
      <w:r>
        <w:rPr>
          <w:sz w:val="24"/>
        </w:rPr>
        <w:t>than two </w:t>
      </w:r>
      <w:r>
        <w:rPr>
          <w:spacing w:val="9"/>
          <w:sz w:val="24"/>
        </w:rPr>
        <w:t>hours.</w:t>
      </w:r>
    </w:p>
    <w:p>
      <w:pPr>
        <w:pStyle w:val="ListParagraph"/>
        <w:numPr>
          <w:ilvl w:val="1"/>
          <w:numId w:val="335"/>
        </w:numPr>
        <w:tabs>
          <w:tab w:pos="1277" w:val="left" w:leader="none"/>
          <w:tab w:pos="1318" w:val="left" w:leader="none"/>
        </w:tabs>
        <w:spacing w:line="240" w:lineRule="auto" w:before="242" w:after="0"/>
        <w:ind w:left="1318" w:right="781" w:hanging="360"/>
        <w:jc w:val="both"/>
        <w:rPr>
          <w:sz w:val="22"/>
        </w:rPr>
      </w:pPr>
      <w:r>
        <w:rPr>
          <w:sz w:val="24"/>
        </w:rPr>
        <w:t>Facades excluding windows and doors shall consist of </w:t>
      </w:r>
      <w:r>
        <w:rPr>
          <w:spacing w:val="10"/>
          <w:sz w:val="24"/>
        </w:rPr>
        <w:t>non-</w:t>
      </w:r>
      <w:r>
        <w:rPr>
          <w:sz w:val="24"/>
        </w:rPr>
        <w:t>combustible building</w:t>
      </w:r>
      <w:r>
        <w:rPr>
          <w:spacing w:val="40"/>
          <w:sz w:val="24"/>
        </w:rPr>
        <w:t> </w:t>
      </w:r>
      <w:r>
        <w:rPr>
          <w:sz w:val="24"/>
        </w:rPr>
        <w:t>materials.</w:t>
      </w:r>
      <w:r>
        <w:rPr>
          <w:spacing w:val="40"/>
          <w:sz w:val="24"/>
        </w:rPr>
        <w:t>  </w:t>
      </w:r>
      <w:r>
        <w:rPr>
          <w:sz w:val="24"/>
        </w:rPr>
        <w:t>The</w:t>
      </w:r>
      <w:r>
        <w:rPr>
          <w:spacing w:val="40"/>
          <w:sz w:val="24"/>
        </w:rPr>
        <w:t> </w:t>
      </w:r>
      <w:r>
        <w:rPr>
          <w:sz w:val="24"/>
        </w:rPr>
        <w:t>minimum</w:t>
      </w:r>
      <w:r>
        <w:rPr>
          <w:spacing w:val="40"/>
          <w:sz w:val="24"/>
        </w:rPr>
        <w:t> </w:t>
      </w:r>
      <w:r>
        <w:rPr>
          <w:sz w:val="24"/>
        </w:rPr>
        <w:t>distance</w:t>
      </w:r>
      <w:r>
        <w:rPr>
          <w:spacing w:val="40"/>
          <w:sz w:val="24"/>
        </w:rPr>
        <w:t> </w:t>
      </w:r>
      <w:r>
        <w:rPr>
          <w:sz w:val="24"/>
        </w:rPr>
        <w:t>between</w:t>
      </w:r>
      <w:r>
        <w:rPr>
          <w:spacing w:val="40"/>
          <w:sz w:val="24"/>
        </w:rPr>
        <w:t> </w:t>
      </w:r>
      <w:r>
        <w:rPr>
          <w:sz w:val="24"/>
        </w:rPr>
        <w:t>the</w:t>
      </w:r>
      <w:r>
        <w:rPr>
          <w:spacing w:val="40"/>
          <w:sz w:val="24"/>
        </w:rPr>
        <w:t> </w:t>
      </w:r>
      <w:r>
        <w:rPr>
          <w:sz w:val="24"/>
        </w:rPr>
        <w:t>top</w:t>
      </w:r>
      <w:r>
        <w:rPr>
          <w:spacing w:val="40"/>
          <w:sz w:val="24"/>
        </w:rPr>
        <w:t> </w:t>
      </w:r>
      <w:r>
        <w:rPr>
          <w:sz w:val="24"/>
        </w:rPr>
        <w:t>of</w:t>
      </w:r>
      <w:r>
        <w:rPr>
          <w:spacing w:val="40"/>
          <w:sz w:val="24"/>
        </w:rPr>
        <w:t> </w:t>
      </w:r>
      <w:r>
        <w:rPr>
          <w:sz w:val="24"/>
        </w:rPr>
        <w:t>the opening</w:t>
      </w:r>
      <w:r>
        <w:rPr>
          <w:spacing w:val="36"/>
          <w:sz w:val="24"/>
        </w:rPr>
        <w:t> </w:t>
      </w:r>
      <w:r>
        <w:rPr>
          <w:sz w:val="24"/>
        </w:rPr>
        <w:t>on</w:t>
      </w:r>
      <w:r>
        <w:rPr>
          <w:spacing w:val="36"/>
          <w:sz w:val="24"/>
        </w:rPr>
        <w:t> </w:t>
      </w:r>
      <w:r>
        <w:rPr>
          <w:sz w:val="24"/>
        </w:rPr>
        <w:t>a</w:t>
      </w:r>
      <w:r>
        <w:rPr>
          <w:spacing w:val="36"/>
          <w:sz w:val="24"/>
        </w:rPr>
        <w:t> </w:t>
      </w:r>
      <w:r>
        <w:rPr>
          <w:sz w:val="24"/>
        </w:rPr>
        <w:t>lower</w:t>
      </w:r>
      <w:r>
        <w:rPr>
          <w:spacing w:val="36"/>
          <w:sz w:val="24"/>
        </w:rPr>
        <w:t> </w:t>
      </w:r>
      <w:r>
        <w:rPr>
          <w:sz w:val="24"/>
        </w:rPr>
        <w:t>floor</w:t>
      </w:r>
      <w:r>
        <w:rPr>
          <w:spacing w:val="36"/>
          <w:sz w:val="24"/>
        </w:rPr>
        <w:t> </w:t>
      </w:r>
      <w:r>
        <w:rPr>
          <w:sz w:val="24"/>
        </w:rPr>
        <w:t>and</w:t>
      </w:r>
      <w:r>
        <w:rPr>
          <w:spacing w:val="36"/>
          <w:sz w:val="24"/>
        </w:rPr>
        <w:t> </w:t>
      </w:r>
      <w:r>
        <w:rPr>
          <w:sz w:val="24"/>
        </w:rPr>
        <w:t>the</w:t>
      </w:r>
      <w:r>
        <w:rPr>
          <w:spacing w:val="36"/>
          <w:sz w:val="24"/>
        </w:rPr>
        <w:t> </w:t>
      </w:r>
      <w:r>
        <w:rPr>
          <w:sz w:val="24"/>
        </w:rPr>
        <w:t>sill</w:t>
      </w:r>
      <w:r>
        <w:rPr>
          <w:spacing w:val="39"/>
          <w:sz w:val="24"/>
        </w:rPr>
        <w:t> </w:t>
      </w:r>
      <w:r>
        <w:rPr>
          <w:sz w:val="24"/>
        </w:rPr>
        <w:t>of</w:t>
      </w:r>
      <w:r>
        <w:rPr>
          <w:spacing w:val="39"/>
          <w:sz w:val="24"/>
        </w:rPr>
        <w:t> </w:t>
      </w:r>
      <w:r>
        <w:rPr>
          <w:sz w:val="24"/>
        </w:rPr>
        <w:t>that</w:t>
      </w:r>
      <w:r>
        <w:rPr>
          <w:spacing w:val="36"/>
          <w:sz w:val="24"/>
        </w:rPr>
        <w:t> </w:t>
      </w:r>
      <w:r>
        <w:rPr>
          <w:sz w:val="24"/>
        </w:rPr>
        <w:t>on</w:t>
      </w:r>
      <w:r>
        <w:rPr>
          <w:spacing w:val="36"/>
          <w:sz w:val="24"/>
        </w:rPr>
        <w:t> </w:t>
      </w:r>
      <w:r>
        <w:rPr>
          <w:sz w:val="24"/>
        </w:rPr>
        <w:t>the</w:t>
      </w:r>
      <w:r>
        <w:rPr>
          <w:spacing w:val="39"/>
          <w:sz w:val="24"/>
        </w:rPr>
        <w:t> </w:t>
      </w:r>
      <w:r>
        <w:rPr>
          <w:sz w:val="24"/>
        </w:rPr>
        <w:t>floor</w:t>
      </w:r>
      <w:r>
        <w:rPr>
          <w:spacing w:val="36"/>
          <w:sz w:val="24"/>
        </w:rPr>
        <w:t> </w:t>
      </w:r>
      <w:r>
        <w:rPr>
          <w:sz w:val="24"/>
        </w:rPr>
        <w:t>above</w:t>
      </w:r>
      <w:r>
        <w:rPr>
          <w:spacing w:val="36"/>
          <w:sz w:val="24"/>
        </w:rPr>
        <w:t> </w:t>
      </w:r>
      <w:r>
        <w:rPr>
          <w:sz w:val="24"/>
        </w:rPr>
        <w:t>it</w:t>
      </w:r>
      <w:r>
        <w:rPr>
          <w:spacing w:val="36"/>
          <w:sz w:val="24"/>
        </w:rPr>
        <w:t> </w:t>
      </w:r>
      <w:r>
        <w:rPr>
          <w:sz w:val="24"/>
        </w:rPr>
        <w:t>shall</w:t>
      </w:r>
      <w:r>
        <w:rPr>
          <w:spacing w:val="36"/>
          <w:sz w:val="24"/>
        </w:rPr>
        <w:t> </w:t>
      </w:r>
      <w:r>
        <w:rPr>
          <w:sz w:val="24"/>
        </w:rPr>
        <w:t>be</w:t>
      </w:r>
    </w:p>
    <w:p>
      <w:pPr>
        <w:pStyle w:val="BodyText"/>
        <w:ind w:left="1318" w:right="803"/>
      </w:pPr>
      <w:r>
        <w:rPr/>
        <w:t>0.9</w:t>
      </w:r>
      <w:r>
        <w:rPr>
          <w:spacing w:val="40"/>
        </w:rPr>
        <w:t> </w:t>
      </w:r>
      <w:r>
        <w:rPr/>
        <w:t>m.,</w:t>
      </w:r>
      <w:r>
        <w:rPr>
          <w:spacing w:val="40"/>
        </w:rPr>
        <w:t> </w:t>
      </w:r>
      <w:r>
        <w:rPr/>
        <w:t>so</w:t>
      </w:r>
      <w:r>
        <w:rPr>
          <w:spacing w:val="40"/>
        </w:rPr>
        <w:t> </w:t>
      </w:r>
      <w:r>
        <w:rPr/>
        <w:t>that</w:t>
      </w:r>
      <w:r>
        <w:rPr>
          <w:spacing w:val="40"/>
        </w:rPr>
        <w:t> </w:t>
      </w:r>
      <w:r>
        <w:rPr/>
        <w:t>the</w:t>
      </w:r>
      <w:r>
        <w:rPr>
          <w:spacing w:val="40"/>
        </w:rPr>
        <w:t> </w:t>
      </w:r>
      <w:r>
        <w:rPr/>
        <w:t>fire</w:t>
      </w:r>
      <w:r>
        <w:rPr>
          <w:spacing w:val="40"/>
        </w:rPr>
        <w:t> </w:t>
      </w:r>
      <w:r>
        <w:rPr/>
        <w:t>would</w:t>
      </w:r>
      <w:r>
        <w:rPr>
          <w:spacing w:val="40"/>
        </w:rPr>
        <w:t> </w:t>
      </w:r>
      <w:r>
        <w:rPr/>
        <w:t>have</w:t>
      </w:r>
      <w:r>
        <w:rPr>
          <w:spacing w:val="40"/>
        </w:rPr>
        <w:t> </w:t>
      </w:r>
      <w:r>
        <w:rPr/>
        <w:t>to</w:t>
      </w:r>
      <w:r>
        <w:rPr>
          <w:spacing w:val="40"/>
        </w:rPr>
        <w:t> </w:t>
      </w:r>
      <w:r>
        <w:rPr/>
        <w:t>travel</w:t>
      </w:r>
      <w:r>
        <w:rPr>
          <w:spacing w:val="40"/>
        </w:rPr>
        <w:t> </w:t>
      </w:r>
      <w:r>
        <w:rPr/>
        <w:t>at</w:t>
      </w:r>
      <w:r>
        <w:rPr>
          <w:spacing w:val="40"/>
        </w:rPr>
        <w:t> </w:t>
      </w:r>
      <w:r>
        <w:rPr/>
        <w:t>least</w:t>
      </w:r>
      <w:r>
        <w:rPr>
          <w:spacing w:val="40"/>
        </w:rPr>
        <w:t> </w:t>
      </w:r>
      <w:r>
        <w:rPr/>
        <w:t>0.9</w:t>
      </w:r>
      <w:r>
        <w:rPr>
          <w:spacing w:val="40"/>
        </w:rPr>
        <w:t> </w:t>
      </w:r>
      <w:r>
        <w:rPr/>
        <w:t>m.</w:t>
      </w:r>
      <w:r>
        <w:rPr>
          <w:spacing w:val="40"/>
        </w:rPr>
        <w:t> </w:t>
      </w:r>
      <w:r>
        <w:rPr/>
        <w:t>between </w:t>
      </w:r>
      <w:r>
        <w:rPr>
          <w:spacing w:val="-2"/>
        </w:rPr>
        <w:t>storeys.</w:t>
      </w:r>
    </w:p>
    <w:p>
      <w:pPr>
        <w:pStyle w:val="Heading6"/>
        <w:numPr>
          <w:ilvl w:val="0"/>
          <w:numId w:val="335"/>
        </w:numPr>
        <w:tabs>
          <w:tab w:pos="1136" w:val="left" w:leader="none"/>
        </w:tabs>
        <w:spacing w:line="240" w:lineRule="auto" w:before="237" w:after="0"/>
        <w:ind w:left="1136" w:right="0" w:hanging="359"/>
        <w:jc w:val="left"/>
        <w:rPr>
          <w:i w:val="0"/>
        </w:rPr>
      </w:pPr>
      <w:r>
        <w:rPr/>
        <w:t>Staircase</w:t>
      </w:r>
      <w:r>
        <w:rPr>
          <w:spacing w:val="63"/>
          <w:w w:val="150"/>
        </w:rPr>
        <w:t> </w:t>
      </w:r>
      <w:r>
        <w:rPr/>
        <w:t>enclosures</w:t>
      </w:r>
      <w:r>
        <w:rPr>
          <w:i w:val="0"/>
        </w:rPr>
        <w:t>:</w:t>
      </w:r>
      <w:r>
        <w:rPr>
          <w:i w:val="0"/>
          <w:spacing w:val="64"/>
          <w:w w:val="150"/>
        </w:rPr>
        <w:t> </w:t>
      </w:r>
      <w:r>
        <w:rPr>
          <w:i w:val="0"/>
          <w:spacing w:val="-10"/>
        </w:rPr>
        <w:t>-</w:t>
      </w:r>
    </w:p>
    <w:p>
      <w:pPr>
        <w:pStyle w:val="ListParagraph"/>
        <w:numPr>
          <w:ilvl w:val="1"/>
          <w:numId w:val="335"/>
        </w:numPr>
        <w:tabs>
          <w:tab w:pos="1598" w:val="left" w:leader="none"/>
          <w:tab w:pos="1601" w:val="left" w:leader="none"/>
          <w:tab w:pos="10063" w:val="left" w:leader="none"/>
        </w:tabs>
        <w:spacing w:line="240" w:lineRule="auto" w:before="242" w:after="0"/>
        <w:ind w:left="1601" w:right="785" w:hanging="483"/>
        <w:jc w:val="right"/>
        <w:rPr>
          <w:sz w:val="24"/>
        </w:rPr>
      </w:pPr>
      <w:r>
        <w:rPr>
          <w:sz w:val="24"/>
        </w:rPr>
        <w:t>The</w:t>
      </w:r>
      <w:r>
        <w:rPr>
          <w:spacing w:val="80"/>
          <w:sz w:val="24"/>
        </w:rPr>
        <w:t> </w:t>
      </w:r>
      <w:r>
        <w:rPr>
          <w:sz w:val="24"/>
        </w:rPr>
        <w:t>internal</w:t>
      </w:r>
      <w:r>
        <w:rPr>
          <w:spacing w:val="80"/>
          <w:sz w:val="24"/>
        </w:rPr>
        <w:t> </w:t>
      </w:r>
      <w:r>
        <w:rPr>
          <w:sz w:val="24"/>
        </w:rPr>
        <w:t>enclosing</w:t>
      </w:r>
      <w:r>
        <w:rPr>
          <w:spacing w:val="80"/>
          <w:sz w:val="24"/>
        </w:rPr>
        <w:t> </w:t>
      </w:r>
      <w:r>
        <w:rPr>
          <w:sz w:val="24"/>
        </w:rPr>
        <w:t>walls</w:t>
      </w:r>
      <w:r>
        <w:rPr>
          <w:spacing w:val="80"/>
          <w:sz w:val="24"/>
        </w:rPr>
        <w:t> </w:t>
      </w:r>
      <w:r>
        <w:rPr>
          <w:sz w:val="24"/>
        </w:rPr>
        <w:t>of</w:t>
      </w:r>
      <w:r>
        <w:rPr>
          <w:spacing w:val="80"/>
          <w:sz w:val="24"/>
        </w:rPr>
        <w:t> </w:t>
      </w:r>
      <w:r>
        <w:rPr>
          <w:sz w:val="24"/>
        </w:rPr>
        <w:t>staircase</w:t>
      </w:r>
      <w:r>
        <w:rPr>
          <w:spacing w:val="80"/>
          <w:sz w:val="24"/>
        </w:rPr>
        <w:t> </w:t>
      </w:r>
      <w:r>
        <w:rPr>
          <w:sz w:val="24"/>
        </w:rPr>
        <w:t>shall</w:t>
      </w:r>
      <w:r>
        <w:rPr>
          <w:spacing w:val="80"/>
          <w:sz w:val="24"/>
        </w:rPr>
        <w:t> </w:t>
      </w:r>
      <w:r>
        <w:rPr>
          <w:sz w:val="24"/>
        </w:rPr>
        <w:t>be</w:t>
      </w:r>
      <w:r>
        <w:rPr>
          <w:spacing w:val="80"/>
          <w:sz w:val="24"/>
        </w:rPr>
        <w:t> </w:t>
      </w:r>
      <w:r>
        <w:rPr>
          <w:sz w:val="24"/>
        </w:rPr>
        <w:t>of</w:t>
      </w:r>
      <w:r>
        <w:rPr>
          <w:spacing w:val="80"/>
          <w:sz w:val="24"/>
        </w:rPr>
        <w:t> </w:t>
      </w:r>
      <w:r>
        <w:rPr>
          <w:sz w:val="24"/>
        </w:rPr>
        <w:t>brick</w:t>
      </w:r>
      <w:r>
        <w:rPr>
          <w:spacing w:val="80"/>
          <w:sz w:val="24"/>
        </w:rPr>
        <w:t> </w:t>
      </w:r>
      <w:r>
        <w:rPr>
          <w:sz w:val="24"/>
        </w:rPr>
        <w:t>or</w:t>
      </w:r>
      <w:r>
        <w:rPr>
          <w:spacing w:val="80"/>
          <w:sz w:val="24"/>
        </w:rPr>
        <w:t> </w:t>
      </w:r>
      <w:r>
        <w:rPr>
          <w:sz w:val="24"/>
        </w:rPr>
        <w:t>R.C.C. construction</w:t>
      </w:r>
      <w:r>
        <w:rPr>
          <w:spacing w:val="50"/>
          <w:w w:val="150"/>
          <w:sz w:val="24"/>
        </w:rPr>
        <w:t> </w:t>
      </w:r>
      <w:r>
        <w:rPr>
          <w:sz w:val="24"/>
        </w:rPr>
        <w:t>with</w:t>
      </w:r>
      <w:r>
        <w:rPr>
          <w:spacing w:val="53"/>
          <w:w w:val="150"/>
          <w:sz w:val="24"/>
        </w:rPr>
        <w:t> </w:t>
      </w:r>
      <w:r>
        <w:rPr>
          <w:sz w:val="24"/>
        </w:rPr>
        <w:t>a</w:t>
      </w:r>
      <w:r>
        <w:rPr>
          <w:spacing w:val="50"/>
          <w:w w:val="150"/>
          <w:sz w:val="24"/>
        </w:rPr>
        <w:t> </w:t>
      </w:r>
      <w:r>
        <w:rPr>
          <w:sz w:val="24"/>
        </w:rPr>
        <w:t>fire</w:t>
      </w:r>
      <w:r>
        <w:rPr>
          <w:spacing w:val="51"/>
          <w:w w:val="150"/>
          <w:sz w:val="24"/>
        </w:rPr>
        <w:t> </w:t>
      </w:r>
      <w:r>
        <w:rPr>
          <w:sz w:val="24"/>
        </w:rPr>
        <w:t>resistance</w:t>
      </w:r>
      <w:r>
        <w:rPr>
          <w:spacing w:val="50"/>
          <w:w w:val="150"/>
          <w:sz w:val="24"/>
        </w:rPr>
        <w:t> </w:t>
      </w:r>
      <w:r>
        <w:rPr>
          <w:sz w:val="24"/>
        </w:rPr>
        <w:t>of</w:t>
      </w:r>
      <w:r>
        <w:rPr>
          <w:spacing w:val="51"/>
          <w:w w:val="150"/>
          <w:sz w:val="24"/>
        </w:rPr>
        <w:t> </w:t>
      </w:r>
      <w:r>
        <w:rPr>
          <w:sz w:val="24"/>
        </w:rPr>
        <w:t>not</w:t>
      </w:r>
      <w:r>
        <w:rPr>
          <w:spacing w:val="50"/>
          <w:w w:val="150"/>
          <w:sz w:val="24"/>
        </w:rPr>
        <w:t> </w:t>
      </w:r>
      <w:r>
        <w:rPr>
          <w:sz w:val="24"/>
        </w:rPr>
        <w:t>less</w:t>
      </w:r>
      <w:r>
        <w:rPr>
          <w:spacing w:val="51"/>
          <w:w w:val="150"/>
          <w:sz w:val="24"/>
        </w:rPr>
        <w:t> </w:t>
      </w:r>
      <w:r>
        <w:rPr>
          <w:sz w:val="24"/>
        </w:rPr>
        <w:t>than</w:t>
      </w:r>
      <w:r>
        <w:rPr>
          <w:spacing w:val="50"/>
          <w:w w:val="150"/>
          <w:sz w:val="24"/>
        </w:rPr>
        <w:t> </w:t>
      </w:r>
      <w:r>
        <w:rPr>
          <w:sz w:val="24"/>
        </w:rPr>
        <w:t>two</w:t>
      </w:r>
      <w:r>
        <w:rPr>
          <w:spacing w:val="51"/>
          <w:w w:val="150"/>
          <w:sz w:val="24"/>
        </w:rPr>
        <w:t> </w:t>
      </w:r>
      <w:r>
        <w:rPr>
          <w:spacing w:val="-2"/>
          <w:sz w:val="24"/>
        </w:rPr>
        <w:t>hours.</w:t>
      </w:r>
      <w:r>
        <w:rPr>
          <w:sz w:val="24"/>
        </w:rPr>
        <w:tab/>
      </w:r>
      <w:r>
        <w:rPr>
          <w:spacing w:val="-5"/>
          <w:sz w:val="24"/>
        </w:rPr>
        <w:t>All</w:t>
      </w:r>
    </w:p>
    <w:p>
      <w:pPr>
        <w:pStyle w:val="ListParagraph"/>
        <w:spacing w:after="0" w:line="240" w:lineRule="auto"/>
        <w:jc w:val="right"/>
        <w:rPr>
          <w:sz w:val="24"/>
        </w:rPr>
        <w:sectPr>
          <w:headerReference w:type="default" r:id="rId82"/>
          <w:footerReference w:type="default" r:id="rId83"/>
          <w:pgSz w:w="11910" w:h="16850"/>
          <w:pgMar w:header="1024" w:footer="1302" w:top="1480" w:bottom="1500" w:left="360" w:right="360"/>
        </w:sectPr>
      </w:pPr>
    </w:p>
    <w:p>
      <w:pPr>
        <w:pStyle w:val="BodyText"/>
        <w:spacing w:before="276"/>
        <w:ind w:left="1601" w:right="777"/>
      </w:pPr>
      <w:r>
        <w:rPr/>
        <w:t>enclosed</w:t>
      </w:r>
      <w:r>
        <w:rPr>
          <w:spacing w:val="40"/>
        </w:rPr>
        <w:t> </w:t>
      </w:r>
      <w:r>
        <w:rPr/>
        <w:t>staircases</w:t>
      </w:r>
      <w:r>
        <w:rPr>
          <w:spacing w:val="40"/>
        </w:rPr>
        <w:t> </w:t>
      </w:r>
      <w:r>
        <w:rPr/>
        <w:t>shall</w:t>
      </w:r>
      <w:r>
        <w:rPr>
          <w:spacing w:val="40"/>
        </w:rPr>
        <w:t> </w:t>
      </w:r>
      <w:r>
        <w:rPr/>
        <w:t>be</w:t>
      </w:r>
      <w:r>
        <w:rPr>
          <w:spacing w:val="40"/>
        </w:rPr>
        <w:t> </w:t>
      </w:r>
      <w:r>
        <w:rPr/>
        <w:t>reached</w:t>
      </w:r>
      <w:r>
        <w:rPr>
          <w:spacing w:val="40"/>
        </w:rPr>
        <w:t> </w:t>
      </w:r>
      <w:r>
        <w:rPr/>
        <w:t>via</w:t>
      </w:r>
      <w:r>
        <w:rPr>
          <w:spacing w:val="40"/>
        </w:rPr>
        <w:t> </w:t>
      </w:r>
      <w:r>
        <w:rPr/>
        <w:t>a</w:t>
      </w:r>
      <w:r>
        <w:rPr>
          <w:spacing w:val="40"/>
        </w:rPr>
        <w:t> </w:t>
      </w:r>
      <w:r>
        <w:rPr/>
        <w:t>ventilated</w:t>
      </w:r>
      <w:r>
        <w:rPr>
          <w:spacing w:val="40"/>
        </w:rPr>
        <w:t> </w:t>
      </w:r>
      <w:r>
        <w:rPr/>
        <w:t>lobby</w:t>
      </w:r>
      <w:r>
        <w:rPr>
          <w:spacing w:val="40"/>
        </w:rPr>
        <w:t> </w:t>
      </w:r>
      <w:r>
        <w:rPr/>
        <w:t>and</w:t>
      </w:r>
      <w:r>
        <w:rPr>
          <w:spacing w:val="40"/>
        </w:rPr>
        <w:t> </w:t>
      </w:r>
      <w:r>
        <w:rPr>
          <w:spacing w:val="9"/>
        </w:rPr>
        <w:t>shall </w:t>
      </w:r>
      <w:r>
        <w:rPr/>
        <w:t>have access through </w:t>
      </w:r>
      <w:r>
        <w:rPr>
          <w:spacing w:val="10"/>
        </w:rPr>
        <w:t>self-</w:t>
      </w:r>
      <w:r>
        <w:rPr/>
        <w:t>closing doors of at least half an hour fire resistance.</w:t>
      </w:r>
      <w:r>
        <w:rPr>
          <w:spacing w:val="80"/>
          <w:w w:val="150"/>
        </w:rPr>
        <w:t> </w:t>
      </w:r>
      <w:r>
        <w:rPr/>
        <w:t>These</w:t>
      </w:r>
      <w:r>
        <w:rPr>
          <w:spacing w:val="40"/>
        </w:rPr>
        <w:t> </w:t>
      </w:r>
      <w:r>
        <w:rPr/>
        <w:t>shall</w:t>
      </w:r>
      <w:r>
        <w:rPr>
          <w:spacing w:val="40"/>
        </w:rPr>
        <w:t> </w:t>
      </w:r>
      <w:r>
        <w:rPr/>
        <w:t>be</w:t>
      </w:r>
      <w:r>
        <w:rPr>
          <w:spacing w:val="40"/>
        </w:rPr>
        <w:t> </w:t>
      </w:r>
      <w:r>
        <w:rPr/>
        <w:t>single</w:t>
      </w:r>
      <w:r>
        <w:rPr>
          <w:spacing w:val="40"/>
        </w:rPr>
        <w:t> </w:t>
      </w:r>
      <w:r>
        <w:rPr/>
        <w:t>swing</w:t>
      </w:r>
      <w:r>
        <w:rPr>
          <w:spacing w:val="40"/>
        </w:rPr>
        <w:t> </w:t>
      </w:r>
      <w:r>
        <w:rPr/>
        <w:t>doors</w:t>
      </w:r>
      <w:r>
        <w:rPr>
          <w:spacing w:val="40"/>
        </w:rPr>
        <w:t> </w:t>
      </w:r>
      <w:r>
        <w:rPr/>
        <w:t>opening</w:t>
      </w:r>
      <w:r>
        <w:rPr>
          <w:spacing w:val="40"/>
        </w:rPr>
        <w:t> </w:t>
      </w:r>
      <w:r>
        <w:rPr/>
        <w:t>in</w:t>
      </w:r>
      <w:r>
        <w:rPr>
          <w:spacing w:val="40"/>
        </w:rPr>
        <w:t> </w:t>
      </w:r>
      <w:r>
        <w:rPr/>
        <w:t>the</w:t>
      </w:r>
      <w:r>
        <w:rPr>
          <w:spacing w:val="40"/>
        </w:rPr>
        <w:t> </w:t>
      </w:r>
      <w:r>
        <w:rPr>
          <w:spacing w:val="9"/>
        </w:rPr>
        <w:t>direction </w:t>
      </w:r>
      <w:r>
        <w:rPr/>
        <w:t>of the escape.</w:t>
      </w:r>
      <w:r>
        <w:rPr>
          <w:spacing w:val="80"/>
        </w:rPr>
        <w:t> </w:t>
      </w:r>
      <w:r>
        <w:rPr/>
        <w:t>The</w:t>
      </w:r>
      <w:r>
        <w:rPr>
          <w:spacing w:val="40"/>
        </w:rPr>
        <w:t> </w:t>
      </w:r>
      <w:r>
        <w:rPr/>
        <w:t>door shall be fitted</w:t>
      </w:r>
      <w:r>
        <w:rPr>
          <w:spacing w:val="40"/>
        </w:rPr>
        <w:t> </w:t>
      </w:r>
      <w:r>
        <w:rPr/>
        <w:t>with check section</w:t>
      </w:r>
      <w:r>
        <w:rPr>
          <w:spacing w:val="40"/>
        </w:rPr>
        <w:t> </w:t>
      </w:r>
      <w:r>
        <w:rPr/>
        <w:t>door closers. The</w:t>
      </w:r>
      <w:r>
        <w:rPr>
          <w:spacing w:val="35"/>
        </w:rPr>
        <w:t> </w:t>
      </w:r>
      <w:r>
        <w:rPr/>
        <w:t>floor</w:t>
      </w:r>
      <w:r>
        <w:rPr>
          <w:spacing w:val="42"/>
        </w:rPr>
        <w:t> </w:t>
      </w:r>
      <w:r>
        <w:rPr/>
        <w:t>landing</w:t>
      </w:r>
      <w:r>
        <w:rPr>
          <w:spacing w:val="37"/>
        </w:rPr>
        <w:t> </w:t>
      </w:r>
      <w:r>
        <w:rPr/>
        <w:t>of</w:t>
      </w:r>
      <w:r>
        <w:rPr>
          <w:spacing w:val="42"/>
        </w:rPr>
        <w:t> </w:t>
      </w:r>
      <w:r>
        <w:rPr/>
        <w:t>staircases</w:t>
      </w:r>
      <w:r>
        <w:rPr>
          <w:spacing w:val="38"/>
        </w:rPr>
        <w:t> </w:t>
      </w:r>
      <w:r>
        <w:rPr/>
        <w:t>shall</w:t>
      </w:r>
      <w:r>
        <w:rPr>
          <w:spacing w:val="37"/>
        </w:rPr>
        <w:t> </w:t>
      </w:r>
      <w:r>
        <w:rPr/>
        <w:t>not</w:t>
      </w:r>
      <w:r>
        <w:rPr>
          <w:spacing w:val="38"/>
        </w:rPr>
        <w:t> </w:t>
      </w:r>
      <w:r>
        <w:rPr/>
        <w:t>form</w:t>
      </w:r>
      <w:r>
        <w:rPr>
          <w:spacing w:val="37"/>
        </w:rPr>
        <w:t> </w:t>
      </w:r>
      <w:r>
        <w:rPr/>
        <w:t>part</w:t>
      </w:r>
      <w:r>
        <w:rPr>
          <w:spacing w:val="38"/>
        </w:rPr>
        <w:t> </w:t>
      </w:r>
      <w:r>
        <w:rPr/>
        <w:t>of</w:t>
      </w:r>
      <w:r>
        <w:rPr>
          <w:spacing w:val="37"/>
        </w:rPr>
        <w:t> </w:t>
      </w:r>
      <w:r>
        <w:rPr/>
        <w:t>common</w:t>
      </w:r>
      <w:r>
        <w:rPr>
          <w:spacing w:val="38"/>
        </w:rPr>
        <w:t> </w:t>
      </w:r>
      <w:r>
        <w:rPr>
          <w:spacing w:val="-2"/>
        </w:rPr>
        <w:t>corridor.</w:t>
      </w:r>
    </w:p>
    <w:p>
      <w:pPr>
        <w:pStyle w:val="ListParagraph"/>
        <w:numPr>
          <w:ilvl w:val="1"/>
          <w:numId w:val="335"/>
        </w:numPr>
        <w:tabs>
          <w:tab w:pos="1598" w:val="left" w:leader="none"/>
          <w:tab w:pos="1601" w:val="left" w:leader="none"/>
        </w:tabs>
        <w:spacing w:line="240" w:lineRule="auto" w:before="240" w:after="0"/>
        <w:ind w:left="1601" w:right="799" w:hanging="483"/>
        <w:jc w:val="both"/>
        <w:rPr>
          <w:sz w:val="24"/>
        </w:rPr>
      </w:pPr>
      <w:r>
        <w:rPr>
          <w:sz w:val="24"/>
        </w:rPr>
        <w:t>The staircase enclosures on the external wall of a building shall be ventilated</w:t>
      </w:r>
      <w:r>
        <w:rPr>
          <w:spacing w:val="40"/>
          <w:sz w:val="24"/>
        </w:rPr>
        <w:t> </w:t>
      </w:r>
      <w:r>
        <w:rPr>
          <w:sz w:val="24"/>
        </w:rPr>
        <w:t>to</w:t>
      </w:r>
      <w:r>
        <w:rPr>
          <w:spacing w:val="40"/>
          <w:sz w:val="24"/>
        </w:rPr>
        <w:t> </w:t>
      </w:r>
      <w:r>
        <w:rPr>
          <w:sz w:val="24"/>
        </w:rPr>
        <w:t>the</w:t>
      </w:r>
      <w:r>
        <w:rPr>
          <w:spacing w:val="40"/>
          <w:sz w:val="24"/>
        </w:rPr>
        <w:t> </w:t>
      </w:r>
      <w:r>
        <w:rPr>
          <w:sz w:val="24"/>
        </w:rPr>
        <w:t>atmosphere</w:t>
      </w:r>
      <w:r>
        <w:rPr>
          <w:spacing w:val="80"/>
          <w:sz w:val="24"/>
        </w:rPr>
        <w:t> </w:t>
      </w:r>
      <w:r>
        <w:rPr>
          <w:sz w:val="24"/>
        </w:rPr>
        <w:t>at</w:t>
      </w:r>
      <w:r>
        <w:rPr>
          <w:spacing w:val="40"/>
          <w:sz w:val="24"/>
        </w:rPr>
        <w:t> </w:t>
      </w:r>
      <w:r>
        <w:rPr>
          <w:sz w:val="24"/>
        </w:rPr>
        <w:t>each</w:t>
      </w:r>
      <w:r>
        <w:rPr>
          <w:spacing w:val="40"/>
          <w:sz w:val="24"/>
        </w:rPr>
        <w:t> </w:t>
      </w:r>
      <w:r>
        <w:rPr>
          <w:sz w:val="24"/>
        </w:rPr>
        <w:t>landing</w:t>
      </w:r>
      <w:r>
        <w:rPr>
          <w:spacing w:val="40"/>
          <w:sz w:val="24"/>
        </w:rPr>
        <w:t> </w:t>
      </w:r>
      <w:r>
        <w:rPr>
          <w:sz w:val="24"/>
        </w:rPr>
        <w:t>or</w:t>
      </w:r>
      <w:r>
        <w:rPr>
          <w:spacing w:val="40"/>
          <w:sz w:val="24"/>
        </w:rPr>
        <w:t> </w:t>
      </w:r>
      <w:r>
        <w:rPr>
          <w:spacing w:val="10"/>
          <w:sz w:val="24"/>
        </w:rPr>
        <w:t>mid-</w:t>
      </w:r>
      <w:r>
        <w:rPr>
          <w:sz w:val="24"/>
        </w:rPr>
        <w:t>landing.</w:t>
      </w:r>
    </w:p>
    <w:p>
      <w:pPr>
        <w:pStyle w:val="ListParagraph"/>
        <w:numPr>
          <w:ilvl w:val="1"/>
          <w:numId w:val="335"/>
        </w:numPr>
        <w:tabs>
          <w:tab w:pos="1598" w:val="left" w:leader="none"/>
          <w:tab w:pos="1601" w:val="left" w:leader="none"/>
        </w:tabs>
        <w:spacing w:line="240" w:lineRule="auto" w:before="240" w:after="0"/>
        <w:ind w:left="1601" w:right="779" w:hanging="483"/>
        <w:jc w:val="both"/>
        <w:rPr>
          <w:sz w:val="24"/>
        </w:rPr>
      </w:pPr>
      <w:r>
        <w:rPr>
          <w:sz w:val="24"/>
        </w:rPr>
        <w:t>A permanent vent at the top equal to 5 per cent of the</w:t>
      </w:r>
      <w:r>
        <w:rPr>
          <w:spacing w:val="40"/>
          <w:sz w:val="24"/>
        </w:rPr>
        <w:t> </w:t>
      </w:r>
      <w:r>
        <w:rPr>
          <w:spacing w:val="9"/>
          <w:sz w:val="24"/>
        </w:rPr>
        <w:t>cross-</w:t>
      </w:r>
      <w:r>
        <w:rPr>
          <w:sz w:val="24"/>
        </w:rPr>
        <w:t>sectional</w:t>
      </w:r>
      <w:r>
        <w:rPr>
          <w:spacing w:val="40"/>
          <w:sz w:val="24"/>
        </w:rPr>
        <w:t> </w:t>
      </w:r>
      <w:r>
        <w:rPr>
          <w:sz w:val="24"/>
        </w:rPr>
        <w:t>area</w:t>
      </w:r>
      <w:r>
        <w:rPr>
          <w:spacing w:val="40"/>
          <w:sz w:val="24"/>
        </w:rPr>
        <w:t> </w:t>
      </w:r>
      <w:r>
        <w:rPr>
          <w:sz w:val="24"/>
        </w:rPr>
        <w:t>of</w:t>
      </w:r>
      <w:r>
        <w:rPr>
          <w:spacing w:val="40"/>
          <w:sz w:val="24"/>
        </w:rPr>
        <w:t> </w:t>
      </w:r>
      <w:r>
        <w:rPr>
          <w:sz w:val="24"/>
        </w:rPr>
        <w:t>the</w:t>
      </w:r>
      <w:r>
        <w:rPr>
          <w:spacing w:val="40"/>
          <w:sz w:val="24"/>
        </w:rPr>
        <w:t> </w:t>
      </w:r>
      <w:r>
        <w:rPr>
          <w:sz w:val="24"/>
        </w:rPr>
        <w:t>enclosure</w:t>
      </w:r>
      <w:r>
        <w:rPr>
          <w:spacing w:val="40"/>
          <w:sz w:val="24"/>
        </w:rPr>
        <w:t> </w:t>
      </w:r>
      <w:r>
        <w:rPr>
          <w:sz w:val="24"/>
        </w:rPr>
        <w:t>and</w:t>
      </w:r>
      <w:r>
        <w:rPr>
          <w:spacing w:val="40"/>
          <w:sz w:val="24"/>
        </w:rPr>
        <w:t> </w:t>
      </w:r>
      <w:r>
        <w:rPr>
          <w:sz w:val="24"/>
        </w:rPr>
        <w:t>open</w:t>
      </w:r>
      <w:r>
        <w:rPr>
          <w:spacing w:val="40"/>
          <w:sz w:val="24"/>
        </w:rPr>
        <w:t> </w:t>
      </w:r>
      <w:r>
        <w:rPr>
          <w:sz w:val="24"/>
        </w:rPr>
        <w:t>able</w:t>
      </w:r>
      <w:r>
        <w:rPr>
          <w:spacing w:val="40"/>
          <w:sz w:val="24"/>
        </w:rPr>
        <w:t> </w:t>
      </w:r>
      <w:r>
        <w:rPr>
          <w:sz w:val="24"/>
        </w:rPr>
        <w:t>sashes</w:t>
      </w:r>
      <w:r>
        <w:rPr>
          <w:spacing w:val="40"/>
          <w:sz w:val="24"/>
        </w:rPr>
        <w:t> </w:t>
      </w:r>
      <w:r>
        <w:rPr>
          <w:sz w:val="24"/>
        </w:rPr>
        <w:t>at</w:t>
      </w:r>
      <w:r>
        <w:rPr>
          <w:spacing w:val="40"/>
          <w:sz w:val="24"/>
        </w:rPr>
        <w:t> </w:t>
      </w:r>
      <w:r>
        <w:rPr>
          <w:sz w:val="24"/>
        </w:rPr>
        <w:t>each</w:t>
      </w:r>
      <w:r>
        <w:rPr>
          <w:spacing w:val="40"/>
          <w:sz w:val="24"/>
        </w:rPr>
        <w:t> </w:t>
      </w:r>
      <w:r>
        <w:rPr>
          <w:sz w:val="24"/>
        </w:rPr>
        <w:t>landing</w:t>
      </w:r>
      <w:r>
        <w:rPr>
          <w:spacing w:val="40"/>
          <w:sz w:val="24"/>
        </w:rPr>
        <w:t> </w:t>
      </w:r>
      <w:r>
        <w:rPr>
          <w:sz w:val="24"/>
        </w:rPr>
        <w:t>level</w:t>
      </w:r>
      <w:r>
        <w:rPr>
          <w:spacing w:val="9"/>
          <w:sz w:val="24"/>
        </w:rPr>
        <w:t> with </w:t>
      </w:r>
      <w:r>
        <w:rPr>
          <w:sz w:val="24"/>
        </w:rPr>
        <w:t>area</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0.5</w:t>
      </w:r>
      <w:r>
        <w:rPr>
          <w:spacing w:val="40"/>
          <w:sz w:val="24"/>
        </w:rPr>
        <w:t> </w:t>
      </w:r>
      <w:r>
        <w:rPr>
          <w:sz w:val="24"/>
        </w:rPr>
        <w:t>sq.</w:t>
      </w:r>
      <w:r>
        <w:rPr>
          <w:spacing w:val="40"/>
          <w:sz w:val="24"/>
        </w:rPr>
        <w:t> </w:t>
      </w:r>
      <w:r>
        <w:rPr>
          <w:sz w:val="24"/>
        </w:rPr>
        <w:t>m.</w:t>
      </w:r>
      <w:r>
        <w:rPr>
          <w:spacing w:val="40"/>
          <w:sz w:val="24"/>
        </w:rPr>
        <w:t> </w:t>
      </w:r>
      <w:r>
        <w:rPr>
          <w:sz w:val="24"/>
        </w:rPr>
        <w:t>on</w:t>
      </w:r>
      <w:r>
        <w:rPr>
          <w:spacing w:val="40"/>
          <w:sz w:val="24"/>
        </w:rPr>
        <w:t> </w:t>
      </w:r>
      <w:r>
        <w:rPr>
          <w:sz w:val="24"/>
        </w:rPr>
        <w:t>the</w:t>
      </w:r>
      <w:r>
        <w:rPr>
          <w:spacing w:val="40"/>
          <w:sz w:val="24"/>
        </w:rPr>
        <w:t> </w:t>
      </w:r>
      <w:r>
        <w:rPr>
          <w:sz w:val="24"/>
        </w:rPr>
        <w:t>external</w:t>
      </w:r>
      <w:r>
        <w:rPr>
          <w:spacing w:val="40"/>
          <w:sz w:val="24"/>
        </w:rPr>
        <w:t> </w:t>
      </w:r>
      <w:r>
        <w:rPr>
          <w:sz w:val="24"/>
        </w:rPr>
        <w:t>wall</w:t>
      </w:r>
      <w:r>
        <w:rPr>
          <w:spacing w:val="40"/>
          <w:sz w:val="24"/>
        </w:rPr>
        <w:t> </w:t>
      </w:r>
      <w:r>
        <w:rPr>
          <w:sz w:val="24"/>
        </w:rPr>
        <w:t>shall</w:t>
      </w:r>
      <w:r>
        <w:rPr>
          <w:spacing w:val="40"/>
          <w:sz w:val="24"/>
        </w:rPr>
        <w:t> </w:t>
      </w:r>
      <w:r>
        <w:rPr>
          <w:sz w:val="24"/>
        </w:rPr>
        <w:t>be</w:t>
      </w:r>
      <w:r>
        <w:rPr>
          <w:spacing w:val="40"/>
          <w:sz w:val="24"/>
        </w:rPr>
        <w:t> </w:t>
      </w:r>
      <w:r>
        <w:rPr>
          <w:sz w:val="24"/>
        </w:rPr>
        <w:t>provided. The roof of the shaft shall be at least 1 m. above the surrounding roof. There</w:t>
      </w:r>
      <w:r>
        <w:rPr>
          <w:spacing w:val="40"/>
          <w:sz w:val="24"/>
        </w:rPr>
        <w:t> </w:t>
      </w:r>
      <w:r>
        <w:rPr>
          <w:sz w:val="24"/>
        </w:rPr>
        <w:t>shall</w:t>
      </w:r>
      <w:r>
        <w:rPr>
          <w:spacing w:val="40"/>
          <w:sz w:val="24"/>
        </w:rPr>
        <w:t> </w:t>
      </w:r>
      <w:r>
        <w:rPr>
          <w:sz w:val="24"/>
        </w:rPr>
        <w:t>be</w:t>
      </w:r>
      <w:r>
        <w:rPr>
          <w:spacing w:val="40"/>
          <w:sz w:val="24"/>
        </w:rPr>
        <w:t> </w:t>
      </w:r>
      <w:r>
        <w:rPr>
          <w:sz w:val="24"/>
        </w:rPr>
        <w:t>no</w:t>
      </w:r>
      <w:r>
        <w:rPr>
          <w:spacing w:val="40"/>
          <w:sz w:val="24"/>
        </w:rPr>
        <w:t> </w:t>
      </w:r>
      <w:r>
        <w:rPr>
          <w:sz w:val="24"/>
        </w:rPr>
        <w:t>glazing</w:t>
      </w:r>
      <w:r>
        <w:rPr>
          <w:spacing w:val="40"/>
          <w:sz w:val="24"/>
        </w:rPr>
        <w:t> </w:t>
      </w:r>
      <w:r>
        <w:rPr>
          <w:sz w:val="24"/>
        </w:rPr>
        <w:t>or</w:t>
      </w:r>
      <w:r>
        <w:rPr>
          <w:spacing w:val="40"/>
          <w:sz w:val="24"/>
        </w:rPr>
        <w:t> </w:t>
      </w:r>
      <w:r>
        <w:rPr>
          <w:sz w:val="24"/>
        </w:rPr>
        <w:t>glass</w:t>
      </w:r>
      <w:r>
        <w:rPr>
          <w:spacing w:val="40"/>
          <w:sz w:val="24"/>
        </w:rPr>
        <w:t> </w:t>
      </w:r>
      <w:r>
        <w:rPr>
          <w:sz w:val="24"/>
        </w:rPr>
        <w:t>bricks</w:t>
      </w:r>
      <w:r>
        <w:rPr>
          <w:spacing w:val="40"/>
          <w:sz w:val="24"/>
        </w:rPr>
        <w:t> </w:t>
      </w:r>
      <w:r>
        <w:rPr>
          <w:sz w:val="24"/>
        </w:rPr>
        <w:t>in</w:t>
      </w:r>
      <w:r>
        <w:rPr>
          <w:spacing w:val="40"/>
          <w:sz w:val="24"/>
        </w:rPr>
        <w:t> </w:t>
      </w:r>
      <w:r>
        <w:rPr>
          <w:sz w:val="24"/>
        </w:rPr>
        <w:t>any</w:t>
      </w:r>
      <w:r>
        <w:rPr>
          <w:spacing w:val="40"/>
          <w:sz w:val="24"/>
        </w:rPr>
        <w:t> </w:t>
      </w:r>
      <w:r>
        <w:rPr>
          <w:sz w:val="24"/>
        </w:rPr>
        <w:t>internal</w:t>
      </w:r>
      <w:r>
        <w:rPr>
          <w:spacing w:val="40"/>
          <w:sz w:val="24"/>
        </w:rPr>
        <w:t> </w:t>
      </w:r>
      <w:r>
        <w:rPr>
          <w:sz w:val="24"/>
        </w:rPr>
        <w:t>enclosing</w:t>
      </w:r>
      <w:r>
        <w:rPr>
          <w:spacing w:val="40"/>
          <w:sz w:val="24"/>
        </w:rPr>
        <w:t> </w:t>
      </w:r>
      <w:r>
        <w:rPr>
          <w:sz w:val="24"/>
        </w:rPr>
        <w:t>wall of</w:t>
      </w:r>
      <w:r>
        <w:rPr>
          <w:spacing w:val="30"/>
          <w:sz w:val="24"/>
        </w:rPr>
        <w:t> </w:t>
      </w:r>
      <w:r>
        <w:rPr>
          <w:sz w:val="24"/>
        </w:rPr>
        <w:t>a</w:t>
      </w:r>
      <w:r>
        <w:rPr>
          <w:spacing w:val="33"/>
          <w:sz w:val="24"/>
        </w:rPr>
        <w:t> </w:t>
      </w:r>
      <w:r>
        <w:rPr>
          <w:sz w:val="24"/>
        </w:rPr>
        <w:t>staircase.</w:t>
      </w:r>
      <w:r>
        <w:rPr>
          <w:spacing w:val="80"/>
          <w:w w:val="150"/>
          <w:sz w:val="24"/>
        </w:rPr>
        <w:t> </w:t>
      </w:r>
      <w:r>
        <w:rPr>
          <w:sz w:val="24"/>
        </w:rPr>
        <w:t>If</w:t>
      </w:r>
      <w:r>
        <w:rPr>
          <w:spacing w:val="30"/>
          <w:sz w:val="24"/>
        </w:rPr>
        <w:t> </w:t>
      </w:r>
      <w:r>
        <w:rPr>
          <w:sz w:val="24"/>
        </w:rPr>
        <w:t>the</w:t>
      </w:r>
      <w:r>
        <w:rPr>
          <w:spacing w:val="30"/>
          <w:sz w:val="24"/>
        </w:rPr>
        <w:t> </w:t>
      </w:r>
      <w:r>
        <w:rPr>
          <w:sz w:val="24"/>
        </w:rPr>
        <w:t>staircase</w:t>
      </w:r>
      <w:r>
        <w:rPr>
          <w:spacing w:val="33"/>
          <w:sz w:val="24"/>
        </w:rPr>
        <w:t> </w:t>
      </w:r>
      <w:r>
        <w:rPr>
          <w:sz w:val="24"/>
        </w:rPr>
        <w:t>is</w:t>
      </w:r>
      <w:r>
        <w:rPr>
          <w:spacing w:val="33"/>
          <w:sz w:val="24"/>
        </w:rPr>
        <w:t> </w:t>
      </w:r>
      <w:r>
        <w:rPr>
          <w:sz w:val="24"/>
        </w:rPr>
        <w:t>in</w:t>
      </w:r>
      <w:r>
        <w:rPr>
          <w:spacing w:val="30"/>
          <w:sz w:val="24"/>
        </w:rPr>
        <w:t> </w:t>
      </w:r>
      <w:r>
        <w:rPr>
          <w:sz w:val="24"/>
        </w:rPr>
        <w:t>the</w:t>
      </w:r>
      <w:r>
        <w:rPr>
          <w:spacing w:val="33"/>
          <w:sz w:val="24"/>
        </w:rPr>
        <w:t> </w:t>
      </w:r>
      <w:r>
        <w:rPr>
          <w:sz w:val="24"/>
        </w:rPr>
        <w:t>core</w:t>
      </w:r>
      <w:r>
        <w:rPr>
          <w:spacing w:val="33"/>
          <w:sz w:val="24"/>
        </w:rPr>
        <w:t> </w:t>
      </w:r>
      <w:r>
        <w:rPr>
          <w:sz w:val="24"/>
        </w:rPr>
        <w:t>of</w:t>
      </w:r>
      <w:r>
        <w:rPr>
          <w:spacing w:val="33"/>
          <w:sz w:val="24"/>
        </w:rPr>
        <w:t> </w:t>
      </w:r>
      <w:r>
        <w:rPr>
          <w:sz w:val="24"/>
        </w:rPr>
        <w:t>the</w:t>
      </w:r>
      <w:r>
        <w:rPr>
          <w:spacing w:val="33"/>
          <w:sz w:val="24"/>
        </w:rPr>
        <w:t> </w:t>
      </w:r>
      <w:r>
        <w:rPr>
          <w:sz w:val="24"/>
        </w:rPr>
        <w:t>building</w:t>
      </w:r>
      <w:r>
        <w:rPr>
          <w:spacing w:val="30"/>
          <w:sz w:val="24"/>
        </w:rPr>
        <w:t> </w:t>
      </w:r>
      <w:r>
        <w:rPr>
          <w:sz w:val="24"/>
        </w:rPr>
        <w:t>and</w:t>
      </w:r>
      <w:r>
        <w:rPr>
          <w:spacing w:val="33"/>
          <w:sz w:val="24"/>
        </w:rPr>
        <w:t> </w:t>
      </w:r>
      <w:r>
        <w:rPr>
          <w:sz w:val="24"/>
        </w:rPr>
        <w:t>cannot be</w:t>
      </w:r>
      <w:r>
        <w:rPr>
          <w:spacing w:val="33"/>
          <w:sz w:val="24"/>
        </w:rPr>
        <w:t> </w:t>
      </w:r>
      <w:r>
        <w:rPr>
          <w:sz w:val="24"/>
        </w:rPr>
        <w:t>ventilated</w:t>
      </w:r>
      <w:r>
        <w:rPr>
          <w:spacing w:val="36"/>
          <w:sz w:val="24"/>
        </w:rPr>
        <w:t> </w:t>
      </w:r>
      <w:r>
        <w:rPr>
          <w:sz w:val="24"/>
        </w:rPr>
        <w:t>at</w:t>
      </w:r>
      <w:r>
        <w:rPr>
          <w:spacing w:val="36"/>
          <w:sz w:val="24"/>
        </w:rPr>
        <w:t> </w:t>
      </w:r>
      <w:r>
        <w:rPr>
          <w:sz w:val="24"/>
        </w:rPr>
        <w:t>each</w:t>
      </w:r>
      <w:r>
        <w:rPr>
          <w:spacing w:val="33"/>
          <w:sz w:val="24"/>
        </w:rPr>
        <w:t> </w:t>
      </w:r>
      <w:r>
        <w:rPr>
          <w:sz w:val="24"/>
        </w:rPr>
        <w:t>landing,</w:t>
      </w:r>
      <w:r>
        <w:rPr>
          <w:spacing w:val="33"/>
          <w:sz w:val="24"/>
        </w:rPr>
        <w:t> </w:t>
      </w:r>
      <w:r>
        <w:rPr>
          <w:sz w:val="24"/>
        </w:rPr>
        <w:t>a</w:t>
      </w:r>
      <w:r>
        <w:rPr>
          <w:spacing w:val="36"/>
          <w:sz w:val="24"/>
        </w:rPr>
        <w:t> </w:t>
      </w:r>
      <w:r>
        <w:rPr>
          <w:sz w:val="24"/>
        </w:rPr>
        <w:t>positive</w:t>
      </w:r>
      <w:r>
        <w:rPr>
          <w:spacing w:val="33"/>
          <w:sz w:val="24"/>
        </w:rPr>
        <w:t> </w:t>
      </w:r>
      <w:r>
        <w:rPr>
          <w:sz w:val="24"/>
        </w:rPr>
        <w:t>pressure</w:t>
      </w:r>
      <w:r>
        <w:rPr>
          <w:spacing w:val="33"/>
          <w:sz w:val="24"/>
        </w:rPr>
        <w:t> </w:t>
      </w:r>
      <w:r>
        <w:rPr>
          <w:sz w:val="24"/>
        </w:rPr>
        <w:t>of</w:t>
      </w:r>
      <w:r>
        <w:rPr>
          <w:spacing w:val="33"/>
          <w:sz w:val="24"/>
        </w:rPr>
        <w:t> </w:t>
      </w:r>
      <w:r>
        <w:rPr>
          <w:sz w:val="24"/>
        </w:rPr>
        <w:t>5</w:t>
      </w:r>
      <w:r>
        <w:rPr>
          <w:spacing w:val="36"/>
          <w:sz w:val="24"/>
        </w:rPr>
        <w:t> </w:t>
      </w:r>
      <w:r>
        <w:rPr>
          <w:sz w:val="24"/>
        </w:rPr>
        <w:t>mm.</w:t>
      </w:r>
      <w:r>
        <w:rPr>
          <w:spacing w:val="36"/>
          <w:sz w:val="24"/>
        </w:rPr>
        <w:t> </w:t>
      </w:r>
      <w:r>
        <w:rPr>
          <w:sz w:val="24"/>
        </w:rPr>
        <w:t>water</w:t>
      </w:r>
      <w:r>
        <w:rPr>
          <w:spacing w:val="36"/>
          <w:sz w:val="24"/>
        </w:rPr>
        <w:t> </w:t>
      </w:r>
      <w:r>
        <w:rPr>
          <w:sz w:val="24"/>
        </w:rPr>
        <w:t>gauge by</w:t>
      </w:r>
      <w:r>
        <w:rPr>
          <w:spacing w:val="40"/>
          <w:sz w:val="24"/>
        </w:rPr>
        <w:t> </w:t>
      </w:r>
      <w:r>
        <w:rPr>
          <w:sz w:val="24"/>
        </w:rPr>
        <w:t>an</w:t>
      </w:r>
      <w:r>
        <w:rPr>
          <w:spacing w:val="40"/>
          <w:sz w:val="24"/>
        </w:rPr>
        <w:t> </w:t>
      </w:r>
      <w:r>
        <w:rPr>
          <w:sz w:val="24"/>
        </w:rPr>
        <w:t>electrically</w:t>
      </w:r>
      <w:r>
        <w:rPr>
          <w:spacing w:val="40"/>
          <w:sz w:val="24"/>
        </w:rPr>
        <w:t> </w:t>
      </w:r>
      <w:r>
        <w:rPr>
          <w:sz w:val="24"/>
        </w:rPr>
        <w:t>operated</w:t>
      </w:r>
      <w:r>
        <w:rPr>
          <w:spacing w:val="40"/>
          <w:sz w:val="24"/>
        </w:rPr>
        <w:t> </w:t>
      </w:r>
      <w:r>
        <w:rPr>
          <w:sz w:val="24"/>
        </w:rPr>
        <w:t>blower</w:t>
      </w:r>
      <w:r>
        <w:rPr>
          <w:spacing w:val="40"/>
          <w:sz w:val="24"/>
        </w:rPr>
        <w:t> </w:t>
      </w:r>
      <w:r>
        <w:rPr>
          <w:sz w:val="24"/>
        </w:rPr>
        <w:t>shall</w:t>
      </w:r>
      <w:r>
        <w:rPr>
          <w:spacing w:val="40"/>
          <w:sz w:val="24"/>
        </w:rPr>
        <w:t> </w:t>
      </w:r>
      <w:r>
        <w:rPr>
          <w:sz w:val="24"/>
        </w:rPr>
        <w:t>be</w:t>
      </w:r>
      <w:r>
        <w:rPr>
          <w:spacing w:val="40"/>
          <w:sz w:val="24"/>
        </w:rPr>
        <w:t> </w:t>
      </w:r>
      <w:r>
        <w:rPr>
          <w:spacing w:val="9"/>
          <w:sz w:val="24"/>
        </w:rPr>
        <w:t>maintained.</w:t>
      </w:r>
    </w:p>
    <w:p>
      <w:pPr>
        <w:pStyle w:val="ListParagraph"/>
        <w:numPr>
          <w:ilvl w:val="1"/>
          <w:numId w:val="335"/>
        </w:numPr>
        <w:tabs>
          <w:tab w:pos="1598" w:val="left" w:leader="none"/>
          <w:tab w:pos="1601" w:val="left" w:leader="none"/>
        </w:tabs>
        <w:spacing w:line="240" w:lineRule="auto" w:before="241" w:after="0"/>
        <w:ind w:left="1601" w:right="777" w:hanging="483"/>
        <w:jc w:val="both"/>
        <w:rPr>
          <w:sz w:val="24"/>
        </w:rPr>
      </w:pPr>
      <w:r>
        <w:rPr>
          <w:sz w:val="24"/>
        </w:rPr>
        <w:t>The mechanism for pressuring the staircase shaft shall be so installed</w:t>
      </w:r>
      <w:r>
        <w:rPr>
          <w:spacing w:val="80"/>
          <w:sz w:val="24"/>
        </w:rPr>
        <w:t> </w:t>
      </w:r>
      <w:r>
        <w:rPr>
          <w:sz w:val="24"/>
        </w:rPr>
        <w:t>that it operates </w:t>
      </w:r>
      <w:r>
        <w:rPr>
          <w:spacing w:val="9"/>
          <w:sz w:val="24"/>
        </w:rPr>
        <w:t>automatically </w:t>
      </w:r>
      <w:r>
        <w:rPr>
          <w:sz w:val="24"/>
        </w:rPr>
        <w:t>and also manually</w:t>
      </w:r>
      <w:r>
        <w:rPr>
          <w:spacing w:val="40"/>
          <w:sz w:val="24"/>
        </w:rPr>
        <w:t> </w:t>
      </w:r>
      <w:r>
        <w:rPr>
          <w:sz w:val="24"/>
        </w:rPr>
        <w:t>when the </w:t>
      </w:r>
      <w:r>
        <w:rPr>
          <w:spacing w:val="9"/>
          <w:sz w:val="24"/>
        </w:rPr>
        <w:t>automatic</w:t>
      </w:r>
      <w:r>
        <w:rPr>
          <w:spacing w:val="40"/>
          <w:sz w:val="24"/>
        </w:rPr>
        <w:t> </w:t>
      </w:r>
      <w:r>
        <w:rPr>
          <w:sz w:val="24"/>
        </w:rPr>
        <w:t>fire alarm operates.</w:t>
      </w:r>
    </w:p>
    <w:p>
      <w:pPr>
        <w:pStyle w:val="Heading6"/>
        <w:numPr>
          <w:ilvl w:val="0"/>
          <w:numId w:val="335"/>
        </w:numPr>
        <w:tabs>
          <w:tab w:pos="1136" w:val="left" w:leader="none"/>
        </w:tabs>
        <w:spacing w:line="240" w:lineRule="auto" w:before="237" w:after="0"/>
        <w:ind w:left="1136" w:right="0" w:hanging="359"/>
        <w:jc w:val="left"/>
        <w:rPr>
          <w:i w:val="0"/>
        </w:rPr>
      </w:pPr>
      <w:r>
        <w:rPr/>
        <w:t>Lift</w:t>
      </w:r>
      <w:r>
        <w:rPr>
          <w:spacing w:val="39"/>
          <w:w w:val="150"/>
        </w:rPr>
        <w:t> </w:t>
      </w:r>
      <w:r>
        <w:rPr/>
        <w:t>enclosures</w:t>
      </w:r>
      <w:r>
        <w:rPr>
          <w:i w:val="0"/>
        </w:rPr>
        <w:t>:</w:t>
      </w:r>
      <w:r>
        <w:rPr>
          <w:i w:val="0"/>
          <w:spacing w:val="40"/>
          <w:w w:val="150"/>
        </w:rPr>
        <w:t> </w:t>
      </w:r>
      <w:r>
        <w:rPr>
          <w:i w:val="0"/>
          <w:spacing w:val="-10"/>
        </w:rPr>
        <w:t>-</w:t>
      </w:r>
    </w:p>
    <w:p>
      <w:pPr>
        <w:pStyle w:val="ListParagraph"/>
        <w:numPr>
          <w:ilvl w:val="1"/>
          <w:numId w:val="335"/>
        </w:numPr>
        <w:tabs>
          <w:tab w:pos="1570" w:val="left" w:leader="none"/>
          <w:tab w:pos="1572" w:val="left" w:leader="none"/>
        </w:tabs>
        <w:spacing w:line="240" w:lineRule="auto" w:before="242" w:after="0"/>
        <w:ind w:left="1572" w:right="779" w:hanging="454"/>
        <w:jc w:val="both"/>
        <w:rPr>
          <w:sz w:val="24"/>
        </w:rPr>
      </w:pPr>
      <w:r>
        <w:rPr>
          <w:sz w:val="24"/>
        </w:rPr>
        <w:t>The</w:t>
      </w:r>
      <w:r>
        <w:rPr>
          <w:spacing w:val="40"/>
          <w:sz w:val="24"/>
        </w:rPr>
        <w:t> </w:t>
      </w:r>
      <w:r>
        <w:rPr>
          <w:sz w:val="24"/>
        </w:rPr>
        <w:t>walls</w:t>
      </w:r>
      <w:r>
        <w:rPr>
          <w:spacing w:val="40"/>
          <w:sz w:val="24"/>
        </w:rPr>
        <w:t> </w:t>
      </w:r>
      <w:r>
        <w:rPr>
          <w:sz w:val="24"/>
        </w:rPr>
        <w:t>enclosing</w:t>
      </w:r>
      <w:r>
        <w:rPr>
          <w:spacing w:val="40"/>
          <w:sz w:val="24"/>
        </w:rPr>
        <w:t> </w:t>
      </w:r>
      <w:r>
        <w:rPr>
          <w:sz w:val="24"/>
        </w:rPr>
        <w:t>the</w:t>
      </w:r>
      <w:r>
        <w:rPr>
          <w:spacing w:val="40"/>
          <w:sz w:val="24"/>
        </w:rPr>
        <w:t> </w:t>
      </w:r>
      <w:r>
        <w:rPr>
          <w:sz w:val="24"/>
        </w:rPr>
        <w:t>lift</w:t>
      </w:r>
      <w:r>
        <w:rPr>
          <w:spacing w:val="40"/>
          <w:sz w:val="24"/>
        </w:rPr>
        <w:t> </w:t>
      </w:r>
      <w:r>
        <w:rPr>
          <w:sz w:val="24"/>
        </w:rPr>
        <w:t>shafts</w:t>
      </w:r>
      <w:r>
        <w:rPr>
          <w:spacing w:val="40"/>
          <w:sz w:val="24"/>
        </w:rPr>
        <w:t> </w:t>
      </w:r>
      <w:r>
        <w:rPr>
          <w:sz w:val="24"/>
        </w:rPr>
        <w:t>shall</w:t>
      </w:r>
      <w:r>
        <w:rPr>
          <w:spacing w:val="40"/>
          <w:sz w:val="24"/>
        </w:rPr>
        <w:t> </w:t>
      </w:r>
      <w:r>
        <w:rPr>
          <w:sz w:val="24"/>
        </w:rPr>
        <w:t>have</w:t>
      </w:r>
      <w:r>
        <w:rPr>
          <w:spacing w:val="40"/>
          <w:sz w:val="24"/>
        </w:rPr>
        <w:t> </w:t>
      </w:r>
      <w:r>
        <w:rPr>
          <w:sz w:val="24"/>
        </w:rPr>
        <w:t>a</w:t>
      </w:r>
      <w:r>
        <w:rPr>
          <w:spacing w:val="40"/>
          <w:sz w:val="24"/>
        </w:rPr>
        <w:t> </w:t>
      </w:r>
      <w:r>
        <w:rPr>
          <w:sz w:val="24"/>
        </w:rPr>
        <w:t>fire</w:t>
      </w:r>
      <w:r>
        <w:rPr>
          <w:spacing w:val="40"/>
          <w:sz w:val="24"/>
        </w:rPr>
        <w:t> </w:t>
      </w:r>
      <w:r>
        <w:rPr>
          <w:sz w:val="24"/>
        </w:rPr>
        <w:t>resistance</w:t>
      </w:r>
      <w:r>
        <w:rPr>
          <w:spacing w:val="40"/>
          <w:sz w:val="24"/>
        </w:rPr>
        <w:t> </w:t>
      </w:r>
      <w:r>
        <w:rPr>
          <w:sz w:val="24"/>
        </w:rPr>
        <w:t>of</w:t>
      </w:r>
      <w:r>
        <w:rPr>
          <w:spacing w:val="40"/>
          <w:sz w:val="24"/>
        </w:rPr>
        <w:t> </w:t>
      </w:r>
      <w:r>
        <w:rPr>
          <w:sz w:val="24"/>
        </w:rPr>
        <w:t>not</w:t>
      </w:r>
      <w:r>
        <w:rPr>
          <w:spacing w:val="40"/>
          <w:sz w:val="24"/>
        </w:rPr>
        <w:t> </w:t>
      </w:r>
      <w:r>
        <w:rPr>
          <w:sz w:val="24"/>
        </w:rPr>
        <w:t>less than</w:t>
      </w:r>
      <w:r>
        <w:rPr>
          <w:spacing w:val="40"/>
          <w:sz w:val="24"/>
        </w:rPr>
        <w:t> </w:t>
      </w:r>
      <w:r>
        <w:rPr>
          <w:sz w:val="24"/>
        </w:rPr>
        <w:t>two hours.</w:t>
      </w:r>
      <w:r>
        <w:rPr>
          <w:spacing w:val="80"/>
          <w:sz w:val="24"/>
        </w:rPr>
        <w:t> </w:t>
      </w:r>
      <w:r>
        <w:rPr>
          <w:sz w:val="24"/>
        </w:rPr>
        <w:t>Shafts shall</w:t>
      </w:r>
      <w:r>
        <w:rPr>
          <w:spacing w:val="40"/>
          <w:sz w:val="24"/>
        </w:rPr>
        <w:t> </w:t>
      </w:r>
      <w:r>
        <w:rPr>
          <w:sz w:val="24"/>
        </w:rPr>
        <w:t>have permanent vents</w:t>
      </w:r>
      <w:r>
        <w:rPr>
          <w:spacing w:val="40"/>
          <w:sz w:val="24"/>
        </w:rPr>
        <w:t> </w:t>
      </w:r>
      <w:r>
        <w:rPr>
          <w:sz w:val="24"/>
        </w:rPr>
        <w:t>at the top not less</w:t>
      </w:r>
      <w:r>
        <w:rPr>
          <w:spacing w:val="40"/>
          <w:sz w:val="24"/>
        </w:rPr>
        <w:t> </w:t>
      </w:r>
      <w:r>
        <w:rPr>
          <w:sz w:val="24"/>
        </w:rPr>
        <w:t>than</w:t>
      </w:r>
      <w:r>
        <w:rPr>
          <w:spacing w:val="40"/>
          <w:sz w:val="24"/>
        </w:rPr>
        <w:t> </w:t>
      </w:r>
      <w:r>
        <w:rPr>
          <w:sz w:val="24"/>
        </w:rPr>
        <w:t>1800</w:t>
      </w:r>
      <w:r>
        <w:rPr>
          <w:spacing w:val="40"/>
          <w:sz w:val="24"/>
        </w:rPr>
        <w:t> </w:t>
      </w:r>
      <w:r>
        <w:rPr>
          <w:sz w:val="24"/>
        </w:rPr>
        <w:t>m.</w:t>
      </w:r>
      <w:r>
        <w:rPr>
          <w:spacing w:val="40"/>
          <w:sz w:val="24"/>
        </w:rPr>
        <w:t> </w:t>
      </w:r>
      <w:r>
        <w:rPr>
          <w:sz w:val="24"/>
        </w:rPr>
        <w:t>m.</w:t>
      </w:r>
      <w:r>
        <w:rPr>
          <w:spacing w:val="40"/>
          <w:sz w:val="24"/>
        </w:rPr>
        <w:t> </w:t>
      </w:r>
      <w:r>
        <w:rPr>
          <w:sz w:val="24"/>
        </w:rPr>
        <w:t>(0.2</w:t>
      </w:r>
      <w:r>
        <w:rPr>
          <w:spacing w:val="40"/>
          <w:sz w:val="24"/>
        </w:rPr>
        <w:t> </w:t>
      </w:r>
      <w:r>
        <w:rPr>
          <w:sz w:val="24"/>
        </w:rPr>
        <w:t>sq.</w:t>
      </w:r>
      <w:r>
        <w:rPr>
          <w:spacing w:val="40"/>
          <w:sz w:val="24"/>
        </w:rPr>
        <w:t> </w:t>
      </w:r>
      <w:r>
        <w:rPr>
          <w:sz w:val="24"/>
        </w:rPr>
        <w:t>m.)</w:t>
      </w:r>
      <w:r>
        <w:rPr>
          <w:spacing w:val="40"/>
          <w:sz w:val="24"/>
        </w:rPr>
        <w:t> </w:t>
      </w:r>
      <w:r>
        <w:rPr>
          <w:sz w:val="24"/>
        </w:rPr>
        <w:t>in</w:t>
      </w:r>
      <w:r>
        <w:rPr>
          <w:spacing w:val="40"/>
          <w:sz w:val="24"/>
        </w:rPr>
        <w:t> </w:t>
      </w:r>
      <w:r>
        <w:rPr>
          <w:sz w:val="24"/>
        </w:rPr>
        <w:t>clear</w:t>
      </w:r>
      <w:r>
        <w:rPr>
          <w:spacing w:val="40"/>
          <w:sz w:val="24"/>
        </w:rPr>
        <w:t> </w:t>
      </w:r>
      <w:r>
        <w:rPr>
          <w:sz w:val="24"/>
        </w:rPr>
        <w:t>area.</w:t>
      </w:r>
      <w:r>
        <w:rPr>
          <w:spacing w:val="80"/>
          <w:w w:val="150"/>
          <w:sz w:val="24"/>
        </w:rPr>
        <w:t> </w:t>
      </w:r>
      <w:r>
        <w:rPr>
          <w:sz w:val="24"/>
        </w:rPr>
        <w:t>Lifts</w:t>
      </w:r>
      <w:r>
        <w:rPr>
          <w:spacing w:val="40"/>
          <w:sz w:val="24"/>
        </w:rPr>
        <w:t> </w:t>
      </w:r>
      <w:r>
        <w:rPr>
          <w:sz w:val="24"/>
        </w:rPr>
        <w:t>motor</w:t>
      </w:r>
      <w:r>
        <w:rPr>
          <w:spacing w:val="40"/>
          <w:sz w:val="24"/>
        </w:rPr>
        <w:t> </w:t>
      </w:r>
      <w:r>
        <w:rPr>
          <w:sz w:val="24"/>
        </w:rPr>
        <w:t>rooms should</w:t>
      </w:r>
      <w:r>
        <w:rPr>
          <w:spacing w:val="40"/>
          <w:sz w:val="24"/>
        </w:rPr>
        <w:t> </w:t>
      </w:r>
      <w:r>
        <w:rPr>
          <w:sz w:val="24"/>
        </w:rPr>
        <w:t>preferably</w:t>
      </w:r>
      <w:r>
        <w:rPr>
          <w:spacing w:val="40"/>
          <w:sz w:val="24"/>
        </w:rPr>
        <w:t> </w:t>
      </w:r>
      <w:r>
        <w:rPr>
          <w:sz w:val="24"/>
        </w:rPr>
        <w:t>be</w:t>
      </w:r>
      <w:r>
        <w:rPr>
          <w:spacing w:val="40"/>
          <w:sz w:val="24"/>
        </w:rPr>
        <w:t> </w:t>
      </w:r>
      <w:r>
        <w:rPr>
          <w:sz w:val="24"/>
        </w:rPr>
        <w:t>sited</w:t>
      </w:r>
      <w:r>
        <w:rPr>
          <w:spacing w:val="40"/>
          <w:sz w:val="24"/>
        </w:rPr>
        <w:t> </w:t>
      </w:r>
      <w:r>
        <w:rPr>
          <w:sz w:val="24"/>
        </w:rPr>
        <w:t>at</w:t>
      </w:r>
      <w:r>
        <w:rPr>
          <w:spacing w:val="40"/>
          <w:sz w:val="24"/>
        </w:rPr>
        <w:t> </w:t>
      </w:r>
      <w:r>
        <w:rPr>
          <w:sz w:val="24"/>
        </w:rPr>
        <w:t>the</w:t>
      </w:r>
      <w:r>
        <w:rPr>
          <w:spacing w:val="40"/>
          <w:sz w:val="24"/>
        </w:rPr>
        <w:t> </w:t>
      </w:r>
      <w:r>
        <w:rPr>
          <w:sz w:val="24"/>
        </w:rPr>
        <w:t>top</w:t>
      </w:r>
      <w:r>
        <w:rPr>
          <w:spacing w:val="40"/>
          <w:sz w:val="24"/>
        </w:rPr>
        <w:t> </w:t>
      </w:r>
      <w:r>
        <w:rPr>
          <w:sz w:val="24"/>
        </w:rPr>
        <w:t>of</w:t>
      </w:r>
      <w:r>
        <w:rPr>
          <w:spacing w:val="40"/>
          <w:sz w:val="24"/>
        </w:rPr>
        <w:t> </w:t>
      </w:r>
      <w:r>
        <w:rPr>
          <w:sz w:val="24"/>
        </w:rPr>
        <w:t>the</w:t>
      </w:r>
      <w:r>
        <w:rPr>
          <w:spacing w:val="40"/>
          <w:sz w:val="24"/>
        </w:rPr>
        <w:t> </w:t>
      </w:r>
      <w:r>
        <w:rPr>
          <w:sz w:val="24"/>
        </w:rPr>
        <w:t>shaft</w:t>
      </w:r>
      <w:r>
        <w:rPr>
          <w:spacing w:val="40"/>
          <w:sz w:val="24"/>
        </w:rPr>
        <w:t> </w:t>
      </w:r>
      <w:r>
        <w:rPr>
          <w:sz w:val="24"/>
        </w:rPr>
        <w:t>and</w:t>
      </w:r>
      <w:r>
        <w:rPr>
          <w:spacing w:val="40"/>
          <w:sz w:val="24"/>
        </w:rPr>
        <w:t> </w:t>
      </w:r>
      <w:r>
        <w:rPr>
          <w:sz w:val="24"/>
        </w:rPr>
        <w:t>shall</w:t>
      </w:r>
      <w:r>
        <w:rPr>
          <w:spacing w:val="40"/>
          <w:sz w:val="24"/>
        </w:rPr>
        <w:t> </w:t>
      </w:r>
      <w:r>
        <w:rPr>
          <w:sz w:val="24"/>
        </w:rPr>
        <w:t>be separated</w:t>
      </w:r>
      <w:r>
        <w:rPr>
          <w:spacing w:val="40"/>
          <w:sz w:val="24"/>
        </w:rPr>
        <w:t> </w:t>
      </w:r>
      <w:r>
        <w:rPr>
          <w:sz w:val="24"/>
        </w:rPr>
        <w:t>from</w:t>
      </w:r>
      <w:r>
        <w:rPr>
          <w:spacing w:val="40"/>
          <w:sz w:val="24"/>
        </w:rPr>
        <w:t> </w:t>
      </w:r>
      <w:r>
        <w:rPr>
          <w:sz w:val="24"/>
        </w:rPr>
        <w:t>lift</w:t>
      </w:r>
      <w:r>
        <w:rPr>
          <w:spacing w:val="40"/>
          <w:sz w:val="24"/>
        </w:rPr>
        <w:t> </w:t>
      </w:r>
      <w:r>
        <w:rPr>
          <w:sz w:val="24"/>
        </w:rPr>
        <w:t>shafts</w:t>
      </w:r>
      <w:r>
        <w:rPr>
          <w:spacing w:val="40"/>
          <w:sz w:val="24"/>
        </w:rPr>
        <w:t> </w:t>
      </w:r>
      <w:r>
        <w:rPr>
          <w:sz w:val="24"/>
        </w:rPr>
        <w:t>by</w:t>
      </w:r>
      <w:r>
        <w:rPr>
          <w:spacing w:val="40"/>
          <w:sz w:val="24"/>
        </w:rPr>
        <w:t> </w:t>
      </w:r>
      <w:r>
        <w:rPr>
          <w:sz w:val="24"/>
        </w:rPr>
        <w:t>the</w:t>
      </w:r>
      <w:r>
        <w:rPr>
          <w:spacing w:val="40"/>
          <w:sz w:val="24"/>
        </w:rPr>
        <w:t> </w:t>
      </w:r>
      <w:r>
        <w:rPr>
          <w:sz w:val="24"/>
        </w:rPr>
        <w:t>enclosing</w:t>
      </w:r>
      <w:r>
        <w:rPr>
          <w:spacing w:val="40"/>
          <w:sz w:val="24"/>
        </w:rPr>
        <w:t> </w:t>
      </w:r>
      <w:r>
        <w:rPr>
          <w:sz w:val="24"/>
        </w:rPr>
        <w:t>wall</w:t>
      </w:r>
      <w:r>
        <w:rPr>
          <w:spacing w:val="40"/>
          <w:sz w:val="24"/>
        </w:rPr>
        <w:t> </w:t>
      </w:r>
      <w:r>
        <w:rPr>
          <w:sz w:val="24"/>
        </w:rPr>
        <w:t>of</w:t>
      </w:r>
      <w:r>
        <w:rPr>
          <w:spacing w:val="40"/>
          <w:sz w:val="24"/>
        </w:rPr>
        <w:t> </w:t>
      </w:r>
      <w:r>
        <w:rPr>
          <w:sz w:val="24"/>
        </w:rPr>
        <w:t>the</w:t>
      </w:r>
      <w:r>
        <w:rPr>
          <w:spacing w:val="40"/>
          <w:sz w:val="24"/>
        </w:rPr>
        <w:t> </w:t>
      </w:r>
      <w:r>
        <w:rPr>
          <w:sz w:val="24"/>
        </w:rPr>
        <w:t>shaft</w:t>
      </w:r>
      <w:r>
        <w:rPr>
          <w:spacing w:val="40"/>
          <w:sz w:val="24"/>
        </w:rPr>
        <w:t> </w:t>
      </w:r>
      <w:r>
        <w:rPr>
          <w:sz w:val="24"/>
        </w:rPr>
        <w:t>or</w:t>
      </w:r>
      <w:r>
        <w:rPr>
          <w:spacing w:val="40"/>
          <w:sz w:val="24"/>
        </w:rPr>
        <w:t> </w:t>
      </w:r>
      <w:r>
        <w:rPr>
          <w:sz w:val="24"/>
        </w:rPr>
        <w:t>by</w:t>
      </w:r>
      <w:r>
        <w:rPr>
          <w:spacing w:val="40"/>
          <w:sz w:val="24"/>
        </w:rPr>
        <w:t> </w:t>
      </w:r>
      <w:r>
        <w:rPr>
          <w:sz w:val="24"/>
        </w:rPr>
        <w:t>the floor of the motor </w:t>
      </w:r>
      <w:r>
        <w:rPr>
          <w:spacing w:val="9"/>
          <w:sz w:val="24"/>
        </w:rPr>
        <w:t>rooms.</w:t>
      </w:r>
    </w:p>
    <w:p>
      <w:pPr>
        <w:pStyle w:val="ListParagraph"/>
        <w:numPr>
          <w:ilvl w:val="1"/>
          <w:numId w:val="335"/>
        </w:numPr>
        <w:tabs>
          <w:tab w:pos="1570" w:val="left" w:leader="none"/>
          <w:tab w:pos="1572" w:val="left" w:leader="none"/>
        </w:tabs>
        <w:spacing w:line="240" w:lineRule="auto" w:before="242" w:after="0"/>
        <w:ind w:left="1572" w:right="780" w:hanging="454"/>
        <w:jc w:val="both"/>
        <w:rPr>
          <w:sz w:val="24"/>
        </w:rPr>
      </w:pPr>
      <w:r>
        <w:rPr>
          <w:sz w:val="24"/>
        </w:rPr>
        <w:t>Landing doors in lift enclosures shall open into </w:t>
      </w:r>
      <w:r>
        <w:rPr>
          <w:spacing w:val="10"/>
          <w:sz w:val="24"/>
        </w:rPr>
        <w:t>the</w:t>
      </w:r>
      <w:r>
        <w:rPr>
          <w:spacing w:val="10"/>
          <w:sz w:val="24"/>
        </w:rPr>
        <w:t> </w:t>
      </w:r>
      <w:r>
        <w:rPr>
          <w:sz w:val="24"/>
        </w:rPr>
        <w:t>ventilated or pressurised</w:t>
      </w:r>
      <w:r>
        <w:rPr>
          <w:spacing w:val="40"/>
          <w:sz w:val="24"/>
        </w:rPr>
        <w:t> </w:t>
      </w:r>
      <w:r>
        <w:rPr>
          <w:sz w:val="24"/>
        </w:rPr>
        <w:t>corridor/lobby</w:t>
      </w:r>
      <w:r>
        <w:rPr>
          <w:spacing w:val="40"/>
          <w:sz w:val="24"/>
        </w:rPr>
        <w:t> </w:t>
      </w:r>
      <w:r>
        <w:rPr>
          <w:sz w:val="24"/>
        </w:rPr>
        <w:t>and</w:t>
      </w:r>
      <w:r>
        <w:rPr>
          <w:spacing w:val="40"/>
          <w:sz w:val="24"/>
        </w:rPr>
        <w:t> </w:t>
      </w:r>
      <w:r>
        <w:rPr>
          <w:sz w:val="24"/>
        </w:rPr>
        <w:t>shall</w:t>
      </w:r>
      <w:r>
        <w:rPr>
          <w:spacing w:val="40"/>
          <w:sz w:val="24"/>
        </w:rPr>
        <w:t> </w:t>
      </w:r>
      <w:r>
        <w:rPr>
          <w:sz w:val="24"/>
        </w:rPr>
        <w:t>have</w:t>
      </w:r>
      <w:r>
        <w:rPr>
          <w:spacing w:val="40"/>
          <w:sz w:val="24"/>
        </w:rPr>
        <w:t> </w:t>
      </w:r>
      <w:r>
        <w:rPr>
          <w:sz w:val="24"/>
        </w:rPr>
        <w:t>fire</w:t>
      </w:r>
      <w:r>
        <w:rPr>
          <w:spacing w:val="40"/>
          <w:sz w:val="24"/>
        </w:rPr>
        <w:t> </w:t>
      </w:r>
      <w:r>
        <w:rPr>
          <w:sz w:val="24"/>
        </w:rPr>
        <w:t>resistance</w:t>
      </w:r>
      <w:r>
        <w:rPr>
          <w:spacing w:val="40"/>
          <w:sz w:val="24"/>
        </w:rPr>
        <w:t> </w:t>
      </w:r>
      <w:r>
        <w:rPr>
          <w:sz w:val="24"/>
        </w:rPr>
        <w:t>of</w:t>
      </w:r>
      <w:r>
        <w:rPr>
          <w:spacing w:val="40"/>
          <w:sz w:val="24"/>
        </w:rPr>
        <w:t> </w:t>
      </w:r>
      <w:r>
        <w:rPr>
          <w:sz w:val="24"/>
        </w:rPr>
        <w:t>not</w:t>
      </w:r>
      <w:r>
        <w:rPr>
          <w:spacing w:val="40"/>
          <w:sz w:val="24"/>
        </w:rPr>
        <w:t> </w:t>
      </w:r>
      <w:r>
        <w:rPr>
          <w:sz w:val="24"/>
        </w:rPr>
        <w:t>less than one hour.</w:t>
      </w:r>
    </w:p>
    <w:p>
      <w:pPr>
        <w:pStyle w:val="ListParagraph"/>
        <w:numPr>
          <w:ilvl w:val="1"/>
          <w:numId w:val="335"/>
        </w:numPr>
        <w:tabs>
          <w:tab w:pos="1570" w:val="left" w:leader="none"/>
          <w:tab w:pos="1572" w:val="left" w:leader="none"/>
        </w:tabs>
        <w:spacing w:line="240" w:lineRule="auto" w:before="239" w:after="0"/>
        <w:ind w:left="1572" w:right="803" w:hanging="454"/>
        <w:jc w:val="both"/>
        <w:rPr>
          <w:sz w:val="24"/>
        </w:rPr>
      </w:pPr>
      <w:r>
        <w:rPr>
          <w:sz w:val="24"/>
        </w:rPr>
        <w:t>The</w:t>
      </w:r>
      <w:r>
        <w:rPr>
          <w:spacing w:val="40"/>
          <w:sz w:val="24"/>
        </w:rPr>
        <w:t> </w:t>
      </w:r>
      <w:r>
        <w:rPr>
          <w:sz w:val="24"/>
        </w:rPr>
        <w:t>number</w:t>
      </w:r>
      <w:r>
        <w:rPr>
          <w:spacing w:val="40"/>
          <w:sz w:val="24"/>
        </w:rPr>
        <w:t> </w:t>
      </w:r>
      <w:r>
        <w:rPr>
          <w:sz w:val="24"/>
        </w:rPr>
        <w:t>of</w:t>
      </w:r>
      <w:r>
        <w:rPr>
          <w:spacing w:val="40"/>
          <w:sz w:val="24"/>
        </w:rPr>
        <w:t> </w:t>
      </w:r>
      <w:r>
        <w:rPr>
          <w:sz w:val="24"/>
        </w:rPr>
        <w:t>lifts</w:t>
      </w:r>
      <w:r>
        <w:rPr>
          <w:spacing w:val="40"/>
          <w:sz w:val="24"/>
        </w:rPr>
        <w:t> </w:t>
      </w:r>
      <w:r>
        <w:rPr>
          <w:sz w:val="24"/>
        </w:rPr>
        <w:t>in</w:t>
      </w:r>
      <w:r>
        <w:rPr>
          <w:spacing w:val="40"/>
          <w:sz w:val="24"/>
        </w:rPr>
        <w:t> </w:t>
      </w:r>
      <w:r>
        <w:rPr>
          <w:sz w:val="24"/>
        </w:rPr>
        <w:t>one</w:t>
      </w:r>
      <w:r>
        <w:rPr>
          <w:spacing w:val="40"/>
          <w:sz w:val="24"/>
        </w:rPr>
        <w:t> </w:t>
      </w:r>
      <w:r>
        <w:rPr>
          <w:sz w:val="24"/>
        </w:rPr>
        <w:t>lift</w:t>
      </w:r>
      <w:r>
        <w:rPr>
          <w:spacing w:val="40"/>
          <w:sz w:val="24"/>
        </w:rPr>
        <w:t> </w:t>
      </w:r>
      <w:r>
        <w:rPr>
          <w:sz w:val="24"/>
        </w:rPr>
        <w:t>bank</w:t>
      </w:r>
      <w:r>
        <w:rPr>
          <w:spacing w:val="40"/>
          <w:sz w:val="24"/>
        </w:rPr>
        <w:t> </w:t>
      </w:r>
      <w:r>
        <w:rPr>
          <w:sz w:val="24"/>
        </w:rPr>
        <w:t>shall</w:t>
      </w:r>
      <w:r>
        <w:rPr>
          <w:spacing w:val="40"/>
          <w:sz w:val="24"/>
        </w:rPr>
        <w:t> </w:t>
      </w:r>
      <w:r>
        <w:rPr>
          <w:sz w:val="24"/>
        </w:rPr>
        <w:t>not</w:t>
      </w:r>
      <w:r>
        <w:rPr>
          <w:spacing w:val="40"/>
          <w:sz w:val="24"/>
        </w:rPr>
        <w:t> </w:t>
      </w:r>
      <w:r>
        <w:rPr>
          <w:sz w:val="24"/>
        </w:rPr>
        <w:t>exceed</w:t>
      </w:r>
      <w:r>
        <w:rPr>
          <w:spacing w:val="40"/>
          <w:sz w:val="24"/>
        </w:rPr>
        <w:t> </w:t>
      </w:r>
      <w:r>
        <w:rPr>
          <w:sz w:val="24"/>
        </w:rPr>
        <w:t>four.</w:t>
      </w:r>
      <w:r>
        <w:rPr>
          <w:spacing w:val="40"/>
          <w:sz w:val="24"/>
        </w:rPr>
        <w:t>  </w:t>
      </w:r>
      <w:r>
        <w:rPr>
          <w:sz w:val="24"/>
        </w:rPr>
        <w:t>The</w:t>
      </w:r>
      <w:r>
        <w:rPr>
          <w:spacing w:val="40"/>
          <w:sz w:val="24"/>
        </w:rPr>
        <w:t> </w:t>
      </w:r>
      <w:r>
        <w:rPr>
          <w:sz w:val="24"/>
        </w:rPr>
        <w:t>shaft for</w:t>
      </w:r>
      <w:r>
        <w:rPr>
          <w:spacing w:val="40"/>
          <w:sz w:val="24"/>
        </w:rPr>
        <w:t> </w:t>
      </w:r>
      <w:r>
        <w:rPr>
          <w:sz w:val="24"/>
        </w:rPr>
        <w:t>the</w:t>
      </w:r>
      <w:r>
        <w:rPr>
          <w:spacing w:val="40"/>
          <w:sz w:val="24"/>
        </w:rPr>
        <w:t> </w:t>
      </w:r>
      <w:r>
        <w:rPr>
          <w:sz w:val="24"/>
        </w:rPr>
        <w:t>fire</w:t>
      </w:r>
      <w:r>
        <w:rPr>
          <w:spacing w:val="40"/>
          <w:sz w:val="24"/>
        </w:rPr>
        <w:t> </w:t>
      </w:r>
      <w:r>
        <w:rPr>
          <w:sz w:val="24"/>
        </w:rPr>
        <w:t>lift</w:t>
      </w:r>
      <w:r>
        <w:rPr>
          <w:spacing w:val="40"/>
          <w:sz w:val="24"/>
        </w:rPr>
        <w:t> </w:t>
      </w:r>
      <w:r>
        <w:rPr>
          <w:sz w:val="24"/>
        </w:rPr>
        <w:t>in</w:t>
      </w:r>
      <w:r>
        <w:rPr>
          <w:spacing w:val="40"/>
          <w:sz w:val="24"/>
        </w:rPr>
        <w:t> </w:t>
      </w:r>
      <w:r>
        <w:rPr>
          <w:sz w:val="24"/>
        </w:rPr>
        <w:t>a</w:t>
      </w:r>
      <w:r>
        <w:rPr>
          <w:spacing w:val="40"/>
          <w:sz w:val="24"/>
        </w:rPr>
        <w:t> </w:t>
      </w:r>
      <w:r>
        <w:rPr>
          <w:sz w:val="24"/>
        </w:rPr>
        <w:t>lift</w:t>
      </w:r>
      <w:r>
        <w:rPr>
          <w:spacing w:val="40"/>
          <w:sz w:val="24"/>
        </w:rPr>
        <w:t> </w:t>
      </w:r>
      <w:r>
        <w:rPr>
          <w:sz w:val="24"/>
        </w:rPr>
        <w:t>bank</w:t>
      </w:r>
      <w:r>
        <w:rPr>
          <w:spacing w:val="40"/>
          <w:sz w:val="24"/>
        </w:rPr>
        <w:t> </w:t>
      </w:r>
      <w:r>
        <w:rPr>
          <w:sz w:val="24"/>
        </w:rPr>
        <w:t>shall</w:t>
      </w:r>
      <w:r>
        <w:rPr>
          <w:spacing w:val="40"/>
          <w:sz w:val="24"/>
        </w:rPr>
        <w:t> </w:t>
      </w:r>
      <w:r>
        <w:rPr>
          <w:sz w:val="24"/>
        </w:rPr>
        <w:t>be</w:t>
      </w:r>
      <w:r>
        <w:rPr>
          <w:spacing w:val="40"/>
          <w:sz w:val="24"/>
        </w:rPr>
        <w:t> </w:t>
      </w:r>
      <w:r>
        <w:rPr>
          <w:sz w:val="24"/>
        </w:rPr>
        <w:t>separated</w:t>
      </w:r>
      <w:r>
        <w:rPr>
          <w:spacing w:val="40"/>
          <w:sz w:val="24"/>
        </w:rPr>
        <w:t> </w:t>
      </w:r>
      <w:r>
        <w:rPr>
          <w:sz w:val="24"/>
        </w:rPr>
        <w:t>from</w:t>
      </w:r>
      <w:r>
        <w:rPr>
          <w:spacing w:val="40"/>
          <w:sz w:val="24"/>
        </w:rPr>
        <w:t> </w:t>
      </w:r>
      <w:r>
        <w:rPr>
          <w:sz w:val="24"/>
        </w:rPr>
        <w:t>each</w:t>
      </w:r>
      <w:r>
        <w:rPr>
          <w:spacing w:val="40"/>
          <w:sz w:val="24"/>
        </w:rPr>
        <w:t> </w:t>
      </w:r>
      <w:r>
        <w:rPr>
          <w:sz w:val="24"/>
        </w:rPr>
        <w:t>other</w:t>
      </w:r>
      <w:r>
        <w:rPr>
          <w:spacing w:val="40"/>
          <w:sz w:val="24"/>
        </w:rPr>
        <w:t> </w:t>
      </w:r>
      <w:r>
        <w:rPr>
          <w:sz w:val="24"/>
        </w:rPr>
        <w:t>by</w:t>
      </w:r>
      <w:r>
        <w:rPr>
          <w:spacing w:val="40"/>
          <w:sz w:val="24"/>
        </w:rPr>
        <w:t> </w:t>
      </w:r>
      <w:r>
        <w:rPr>
          <w:sz w:val="24"/>
        </w:rPr>
        <w:t>a brick</w:t>
      </w:r>
      <w:r>
        <w:rPr>
          <w:spacing w:val="40"/>
          <w:sz w:val="24"/>
        </w:rPr>
        <w:t> </w:t>
      </w:r>
      <w:r>
        <w:rPr>
          <w:sz w:val="24"/>
        </w:rPr>
        <w:t>masonry</w:t>
      </w:r>
      <w:r>
        <w:rPr>
          <w:spacing w:val="40"/>
          <w:sz w:val="24"/>
        </w:rPr>
        <w:t> </w:t>
      </w:r>
      <w:r>
        <w:rPr>
          <w:sz w:val="24"/>
        </w:rPr>
        <w:t>or</w:t>
      </w:r>
      <w:r>
        <w:rPr>
          <w:spacing w:val="40"/>
          <w:sz w:val="24"/>
        </w:rPr>
        <w:t> </w:t>
      </w:r>
      <w:r>
        <w:rPr>
          <w:sz w:val="24"/>
        </w:rPr>
        <w:t>R.C.C.</w:t>
      </w:r>
      <w:r>
        <w:rPr>
          <w:spacing w:val="40"/>
          <w:sz w:val="24"/>
        </w:rPr>
        <w:t> </w:t>
      </w:r>
      <w:r>
        <w:rPr>
          <w:sz w:val="24"/>
        </w:rPr>
        <w:t>wall</w:t>
      </w:r>
      <w:r>
        <w:rPr>
          <w:spacing w:val="40"/>
          <w:sz w:val="24"/>
        </w:rPr>
        <w:t> </w:t>
      </w:r>
      <w:r>
        <w:rPr>
          <w:sz w:val="24"/>
        </w:rPr>
        <w:t>of</w:t>
      </w:r>
      <w:r>
        <w:rPr>
          <w:spacing w:val="40"/>
          <w:sz w:val="24"/>
        </w:rPr>
        <w:t> </w:t>
      </w:r>
      <w:r>
        <w:rPr>
          <w:sz w:val="24"/>
        </w:rPr>
        <w:t>fire</w:t>
      </w:r>
      <w:r>
        <w:rPr>
          <w:spacing w:val="40"/>
          <w:sz w:val="24"/>
        </w:rPr>
        <w:t> </w:t>
      </w:r>
      <w:r>
        <w:rPr>
          <w:sz w:val="24"/>
        </w:rPr>
        <w:t>resistance</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two hours.</w:t>
      </w:r>
      <w:r>
        <w:rPr>
          <w:spacing w:val="80"/>
          <w:w w:val="150"/>
          <w:sz w:val="24"/>
        </w:rPr>
        <w:t> </w:t>
      </w:r>
      <w:r>
        <w:rPr>
          <w:sz w:val="24"/>
        </w:rPr>
        <w:t>Lift</w:t>
      </w:r>
      <w:r>
        <w:rPr>
          <w:spacing w:val="40"/>
          <w:sz w:val="24"/>
        </w:rPr>
        <w:t> </w:t>
      </w:r>
      <w:r>
        <w:rPr>
          <w:sz w:val="24"/>
        </w:rPr>
        <w:t>car</w:t>
      </w:r>
      <w:r>
        <w:rPr>
          <w:spacing w:val="40"/>
          <w:sz w:val="24"/>
        </w:rPr>
        <w:t> </w:t>
      </w:r>
      <w:r>
        <w:rPr>
          <w:sz w:val="24"/>
        </w:rPr>
        <w:t>doors</w:t>
      </w:r>
      <w:r>
        <w:rPr>
          <w:spacing w:val="40"/>
          <w:sz w:val="24"/>
        </w:rPr>
        <w:t> </w:t>
      </w:r>
      <w:r>
        <w:rPr>
          <w:sz w:val="24"/>
        </w:rPr>
        <w:t>shall</w:t>
      </w:r>
      <w:r>
        <w:rPr>
          <w:spacing w:val="40"/>
          <w:sz w:val="24"/>
        </w:rPr>
        <w:t> </w:t>
      </w:r>
      <w:r>
        <w:rPr>
          <w:sz w:val="24"/>
        </w:rPr>
        <w:t>have</w:t>
      </w:r>
      <w:r>
        <w:rPr>
          <w:spacing w:val="40"/>
          <w:sz w:val="24"/>
        </w:rPr>
        <w:t> </w:t>
      </w:r>
      <w:r>
        <w:rPr>
          <w:sz w:val="24"/>
        </w:rPr>
        <w:t>fire</w:t>
      </w:r>
      <w:r>
        <w:rPr>
          <w:spacing w:val="40"/>
          <w:sz w:val="24"/>
        </w:rPr>
        <w:t> </w:t>
      </w:r>
      <w:r>
        <w:rPr>
          <w:sz w:val="24"/>
        </w:rPr>
        <w:t>resistance</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one </w:t>
      </w:r>
      <w:r>
        <w:rPr>
          <w:spacing w:val="-2"/>
          <w:sz w:val="24"/>
        </w:rPr>
        <w:t>hour.</w:t>
      </w:r>
    </w:p>
    <w:p>
      <w:pPr>
        <w:pStyle w:val="ListParagraph"/>
        <w:numPr>
          <w:ilvl w:val="1"/>
          <w:numId w:val="335"/>
        </w:numPr>
        <w:tabs>
          <w:tab w:pos="1570" w:val="left" w:leader="none"/>
          <w:tab w:pos="1572" w:val="left" w:leader="none"/>
        </w:tabs>
        <w:spacing w:line="240" w:lineRule="auto" w:before="241" w:after="0"/>
        <w:ind w:left="1572" w:right="790" w:hanging="454"/>
        <w:jc w:val="both"/>
        <w:rPr>
          <w:sz w:val="24"/>
        </w:rPr>
      </w:pPr>
      <w:r>
        <w:rPr>
          <w:sz w:val="24"/>
        </w:rPr>
        <w:t>If the lift shaft and lift lobby are in the core of the building, a positive pressure</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2.5</w:t>
      </w:r>
      <w:r>
        <w:rPr>
          <w:spacing w:val="40"/>
          <w:sz w:val="24"/>
        </w:rPr>
        <w:t> </w:t>
      </w:r>
      <w:r>
        <w:rPr>
          <w:sz w:val="24"/>
        </w:rPr>
        <w:t>mm.</w:t>
      </w:r>
      <w:r>
        <w:rPr>
          <w:spacing w:val="40"/>
          <w:sz w:val="24"/>
        </w:rPr>
        <w:t> </w:t>
      </w:r>
      <w:r>
        <w:rPr>
          <w:sz w:val="24"/>
        </w:rPr>
        <w:t>and</w:t>
      </w:r>
      <w:r>
        <w:rPr>
          <w:spacing w:val="40"/>
          <w:sz w:val="24"/>
        </w:rPr>
        <w:t> </w:t>
      </w:r>
      <w:r>
        <w:rPr>
          <w:sz w:val="24"/>
        </w:rPr>
        <w:t>not</w:t>
      </w:r>
      <w:r>
        <w:rPr>
          <w:spacing w:val="40"/>
          <w:sz w:val="24"/>
        </w:rPr>
        <w:t> </w:t>
      </w:r>
      <w:r>
        <w:rPr>
          <w:sz w:val="24"/>
        </w:rPr>
        <w:t>more</w:t>
      </w:r>
      <w:r>
        <w:rPr>
          <w:spacing w:val="40"/>
          <w:sz w:val="24"/>
        </w:rPr>
        <w:t> </w:t>
      </w:r>
      <w:r>
        <w:rPr>
          <w:sz w:val="24"/>
        </w:rPr>
        <w:t>than</w:t>
      </w:r>
      <w:r>
        <w:rPr>
          <w:spacing w:val="40"/>
          <w:sz w:val="24"/>
        </w:rPr>
        <w:t> </w:t>
      </w:r>
      <w:r>
        <w:rPr>
          <w:sz w:val="24"/>
        </w:rPr>
        <w:t>3</w:t>
      </w:r>
      <w:r>
        <w:rPr>
          <w:spacing w:val="40"/>
          <w:sz w:val="24"/>
        </w:rPr>
        <w:t> </w:t>
      </w:r>
      <w:r>
        <w:rPr>
          <w:sz w:val="24"/>
        </w:rPr>
        <w:t>mm.</w:t>
      </w:r>
      <w:r>
        <w:rPr>
          <w:spacing w:val="40"/>
          <w:sz w:val="24"/>
        </w:rPr>
        <w:t> </w:t>
      </w:r>
      <w:r>
        <w:rPr>
          <w:sz w:val="24"/>
        </w:rPr>
        <w:t>water gauge by an electrically operated bower shall be maintained in the lift lobby</w:t>
      </w:r>
      <w:r>
        <w:rPr>
          <w:spacing w:val="40"/>
          <w:sz w:val="24"/>
        </w:rPr>
        <w:t> </w:t>
      </w:r>
      <w:r>
        <w:rPr>
          <w:sz w:val="24"/>
        </w:rPr>
        <w:t>and</w:t>
      </w:r>
      <w:r>
        <w:rPr>
          <w:spacing w:val="40"/>
          <w:sz w:val="24"/>
        </w:rPr>
        <w:t> </w:t>
      </w:r>
      <w:r>
        <w:rPr>
          <w:sz w:val="24"/>
        </w:rPr>
        <w:t>positive</w:t>
      </w:r>
      <w:r>
        <w:rPr>
          <w:spacing w:val="40"/>
          <w:sz w:val="24"/>
        </w:rPr>
        <w:t> </w:t>
      </w:r>
      <w:r>
        <w:rPr>
          <w:sz w:val="24"/>
        </w:rPr>
        <w:t>pressure</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5</w:t>
      </w:r>
      <w:r>
        <w:rPr>
          <w:spacing w:val="40"/>
          <w:sz w:val="24"/>
        </w:rPr>
        <w:t> </w:t>
      </w:r>
      <w:r>
        <w:rPr>
          <w:sz w:val="24"/>
        </w:rPr>
        <w:t>mm.</w:t>
      </w:r>
      <w:r>
        <w:rPr>
          <w:spacing w:val="40"/>
          <w:sz w:val="24"/>
        </w:rPr>
        <w:t> </w:t>
      </w:r>
      <w:r>
        <w:rPr>
          <w:sz w:val="24"/>
        </w:rPr>
        <w:t>water</w:t>
      </w:r>
      <w:r>
        <w:rPr>
          <w:spacing w:val="40"/>
          <w:sz w:val="24"/>
        </w:rPr>
        <w:t> </w:t>
      </w:r>
      <w:r>
        <w:rPr>
          <w:sz w:val="24"/>
        </w:rPr>
        <w:t>gauge</w:t>
      </w:r>
      <w:r>
        <w:rPr>
          <w:spacing w:val="40"/>
          <w:sz w:val="24"/>
        </w:rPr>
        <w:t> </w:t>
      </w:r>
      <w:r>
        <w:rPr>
          <w:sz w:val="24"/>
        </w:rPr>
        <w:t>shall be maintained in the lift shaft.</w:t>
      </w:r>
      <w:r>
        <w:rPr>
          <w:spacing w:val="80"/>
          <w:sz w:val="24"/>
        </w:rPr>
        <w:t> </w:t>
      </w:r>
      <w:r>
        <w:rPr>
          <w:sz w:val="24"/>
        </w:rPr>
        <w:t>The mechanism for pressuring the lift</w:t>
      </w:r>
      <w:r>
        <w:rPr>
          <w:spacing w:val="80"/>
          <w:sz w:val="24"/>
        </w:rPr>
        <w:t> </w:t>
      </w:r>
      <w:r>
        <w:rPr>
          <w:sz w:val="24"/>
        </w:rPr>
        <w:t>shaft and lift lobby shall be so installed that they shall operate automatically</w:t>
      </w:r>
      <w:r>
        <w:rPr>
          <w:spacing w:val="80"/>
          <w:sz w:val="24"/>
        </w:rPr>
        <w:t> </w:t>
      </w:r>
      <w:r>
        <w:rPr>
          <w:sz w:val="24"/>
        </w:rPr>
        <w:t>and</w:t>
      </w:r>
      <w:r>
        <w:rPr>
          <w:spacing w:val="80"/>
          <w:sz w:val="24"/>
        </w:rPr>
        <w:t> </w:t>
      </w:r>
      <w:r>
        <w:rPr>
          <w:sz w:val="24"/>
        </w:rPr>
        <w:t>also</w:t>
      </w:r>
      <w:r>
        <w:rPr>
          <w:spacing w:val="80"/>
          <w:sz w:val="24"/>
        </w:rPr>
        <w:t> </w:t>
      </w:r>
      <w:r>
        <w:rPr>
          <w:sz w:val="24"/>
        </w:rPr>
        <w:t>manually</w:t>
      </w:r>
      <w:r>
        <w:rPr>
          <w:spacing w:val="80"/>
          <w:sz w:val="24"/>
        </w:rPr>
        <w:t> </w:t>
      </w:r>
      <w:r>
        <w:rPr>
          <w:sz w:val="24"/>
        </w:rPr>
        <w:t>when</w:t>
      </w:r>
      <w:r>
        <w:rPr>
          <w:spacing w:val="80"/>
          <w:sz w:val="24"/>
        </w:rPr>
        <w:t> </w:t>
      </w:r>
      <w:r>
        <w:rPr>
          <w:sz w:val="24"/>
        </w:rPr>
        <w:t>the</w:t>
      </w:r>
      <w:r>
        <w:rPr>
          <w:spacing w:val="80"/>
          <w:sz w:val="24"/>
        </w:rPr>
        <w:t> </w:t>
      </w:r>
      <w:r>
        <w:rPr>
          <w:sz w:val="24"/>
        </w:rPr>
        <w:t>detector</w:t>
      </w:r>
      <w:r>
        <w:rPr>
          <w:spacing w:val="80"/>
          <w:sz w:val="24"/>
        </w:rPr>
        <w:t> </w:t>
      </w:r>
      <w:r>
        <w:rPr>
          <w:sz w:val="24"/>
        </w:rPr>
        <w:t>&amp;</w:t>
      </w:r>
      <w:r>
        <w:rPr>
          <w:spacing w:val="80"/>
          <w:sz w:val="24"/>
        </w:rPr>
        <w:t> </w:t>
      </w:r>
      <w:r>
        <w:rPr>
          <w:sz w:val="24"/>
        </w:rPr>
        <w:t>automatic</w:t>
      </w:r>
      <w:r>
        <w:rPr>
          <w:spacing w:val="80"/>
          <w:sz w:val="24"/>
        </w:rPr>
        <w:t> </w:t>
      </w:r>
      <w:r>
        <w:rPr>
          <w:sz w:val="24"/>
        </w:rPr>
        <w:t>fire</w:t>
      </w:r>
    </w:p>
    <w:p>
      <w:pPr>
        <w:pStyle w:val="ListParagraph"/>
        <w:spacing w:after="0" w:line="240" w:lineRule="auto"/>
        <w:jc w:val="both"/>
        <w:rPr>
          <w:sz w:val="24"/>
        </w:rPr>
        <w:sectPr>
          <w:pgSz w:w="11910" w:h="16850"/>
          <w:pgMar w:header="1024" w:footer="1302" w:top="1480" w:bottom="1500" w:left="360" w:right="360"/>
        </w:sectPr>
      </w:pPr>
    </w:p>
    <w:p>
      <w:pPr>
        <w:pStyle w:val="BodyText"/>
        <w:tabs>
          <w:tab w:pos="3987" w:val="left" w:leader="none"/>
        </w:tabs>
        <w:spacing w:before="276"/>
        <w:ind w:left="1572" w:right="838"/>
        <w:jc w:val="left"/>
      </w:pPr>
      <w:r>
        <w:rPr/>
        <w:t>alarm</w:t>
      </w:r>
      <w:r>
        <w:rPr>
          <w:spacing w:val="80"/>
        </w:rPr>
        <w:t> </w:t>
      </w:r>
      <w:r>
        <w:rPr/>
        <w:t>operates.</w:t>
        <w:tab/>
        <w:t>The</w:t>
      </w:r>
      <w:r>
        <w:rPr>
          <w:spacing w:val="80"/>
          <w:w w:val="150"/>
        </w:rPr>
        <w:t> </w:t>
      </w:r>
      <w:r>
        <w:rPr/>
        <w:t>mechanism</w:t>
      </w:r>
      <w:r>
        <w:rPr>
          <w:spacing w:val="80"/>
          <w:w w:val="150"/>
        </w:rPr>
        <w:t> </w:t>
      </w:r>
      <w:r>
        <w:rPr/>
        <w:t>shall</w:t>
      </w:r>
      <w:r>
        <w:rPr>
          <w:spacing w:val="80"/>
          <w:w w:val="150"/>
        </w:rPr>
        <w:t> </w:t>
      </w:r>
      <w:r>
        <w:rPr/>
        <w:t>have</w:t>
      </w:r>
      <w:r>
        <w:rPr>
          <w:spacing w:val="80"/>
          <w:w w:val="150"/>
        </w:rPr>
        <w:t> </w:t>
      </w:r>
      <w:r>
        <w:rPr/>
        <w:t>facilities</w:t>
      </w:r>
      <w:r>
        <w:rPr>
          <w:spacing w:val="80"/>
          <w:w w:val="150"/>
        </w:rPr>
        <w:t> </w:t>
      </w:r>
      <w:r>
        <w:rPr/>
        <w:t>to</w:t>
      </w:r>
      <w:r>
        <w:rPr>
          <w:spacing w:val="80"/>
          <w:w w:val="150"/>
        </w:rPr>
        <w:t> </w:t>
      </w:r>
      <w:r>
        <w:rPr/>
        <w:t>operate</w:t>
      </w:r>
      <w:r>
        <w:rPr>
          <w:spacing w:val="40"/>
        </w:rPr>
        <w:t> </w:t>
      </w:r>
      <w:r>
        <w:rPr>
          <w:spacing w:val="-2"/>
        </w:rPr>
        <w:t>manually.</w:t>
      </w:r>
    </w:p>
    <w:p>
      <w:pPr>
        <w:pStyle w:val="ListParagraph"/>
        <w:numPr>
          <w:ilvl w:val="1"/>
          <w:numId w:val="335"/>
        </w:numPr>
        <w:tabs>
          <w:tab w:pos="1570" w:val="left" w:leader="none"/>
          <w:tab w:pos="1572" w:val="left" w:leader="none"/>
        </w:tabs>
        <w:spacing w:line="240" w:lineRule="auto" w:before="240" w:after="0"/>
        <w:ind w:left="1572" w:right="786" w:hanging="454"/>
        <w:jc w:val="both"/>
        <w:rPr>
          <w:sz w:val="24"/>
        </w:rPr>
      </w:pPr>
      <w:r>
        <w:rPr>
          <w:sz w:val="24"/>
        </w:rPr>
        <w:t>Exit from the lift lobby, if located in the core of the building, </w:t>
      </w:r>
      <w:r>
        <w:rPr>
          <w:spacing w:val="11"/>
          <w:sz w:val="24"/>
        </w:rPr>
        <w:t>shall </w:t>
      </w:r>
      <w:r>
        <w:rPr>
          <w:sz w:val="24"/>
        </w:rPr>
        <w:t>be through</w:t>
      </w:r>
      <w:r>
        <w:rPr>
          <w:spacing w:val="40"/>
          <w:sz w:val="24"/>
        </w:rPr>
        <w:t> </w:t>
      </w:r>
      <w:r>
        <w:rPr>
          <w:sz w:val="24"/>
        </w:rPr>
        <w:t>a</w:t>
      </w:r>
      <w:r>
        <w:rPr>
          <w:spacing w:val="40"/>
          <w:sz w:val="24"/>
        </w:rPr>
        <w:t> </w:t>
      </w:r>
      <w:r>
        <w:rPr>
          <w:spacing w:val="9"/>
          <w:sz w:val="24"/>
        </w:rPr>
        <w:t>self-</w:t>
      </w:r>
      <w:r>
        <w:rPr>
          <w:sz w:val="24"/>
        </w:rPr>
        <w:t>closing</w:t>
      </w:r>
      <w:r>
        <w:rPr>
          <w:spacing w:val="40"/>
          <w:sz w:val="24"/>
        </w:rPr>
        <w:t> </w:t>
      </w:r>
      <w:r>
        <w:rPr>
          <w:sz w:val="24"/>
        </w:rPr>
        <w:t>smoke</w:t>
      </w:r>
      <w:r>
        <w:rPr>
          <w:spacing w:val="40"/>
          <w:sz w:val="24"/>
        </w:rPr>
        <w:t> </w:t>
      </w:r>
      <w:r>
        <w:rPr>
          <w:sz w:val="24"/>
        </w:rPr>
        <w:t>stop</w:t>
      </w:r>
      <w:r>
        <w:rPr>
          <w:spacing w:val="40"/>
          <w:sz w:val="24"/>
        </w:rPr>
        <w:t> </w:t>
      </w:r>
      <w:r>
        <w:rPr>
          <w:sz w:val="24"/>
        </w:rPr>
        <w:t>door</w:t>
      </w:r>
      <w:r>
        <w:rPr>
          <w:spacing w:val="40"/>
          <w:sz w:val="24"/>
        </w:rPr>
        <w:t> </w:t>
      </w:r>
      <w:r>
        <w:rPr>
          <w:sz w:val="24"/>
        </w:rPr>
        <w:t>of</w:t>
      </w:r>
      <w:r>
        <w:rPr>
          <w:spacing w:val="40"/>
          <w:sz w:val="24"/>
        </w:rPr>
        <w:t> </w:t>
      </w:r>
      <w:r>
        <w:rPr>
          <w:sz w:val="24"/>
        </w:rPr>
        <w:t>a</w:t>
      </w:r>
      <w:r>
        <w:rPr>
          <w:spacing w:val="40"/>
          <w:sz w:val="24"/>
        </w:rPr>
        <w:t> </w:t>
      </w:r>
      <w:r>
        <w:rPr>
          <w:spacing w:val="11"/>
          <w:sz w:val="24"/>
        </w:rPr>
        <w:t>half-</w:t>
      </w:r>
      <w:r>
        <w:rPr>
          <w:sz w:val="24"/>
        </w:rPr>
        <w:t>hour</w:t>
      </w:r>
      <w:r>
        <w:rPr>
          <w:spacing w:val="40"/>
          <w:sz w:val="24"/>
        </w:rPr>
        <w:t> </w:t>
      </w:r>
      <w:r>
        <w:rPr>
          <w:sz w:val="24"/>
        </w:rPr>
        <w:t>fire</w:t>
      </w:r>
      <w:r>
        <w:rPr>
          <w:spacing w:val="40"/>
          <w:sz w:val="24"/>
        </w:rPr>
        <w:t> </w:t>
      </w:r>
      <w:r>
        <w:rPr>
          <w:sz w:val="24"/>
        </w:rPr>
        <w:t>resistance.</w:t>
      </w:r>
    </w:p>
    <w:p>
      <w:pPr>
        <w:pStyle w:val="ListParagraph"/>
        <w:numPr>
          <w:ilvl w:val="1"/>
          <w:numId w:val="335"/>
        </w:numPr>
        <w:tabs>
          <w:tab w:pos="1570" w:val="left" w:leader="none"/>
          <w:tab w:pos="1572" w:val="left" w:leader="none"/>
        </w:tabs>
        <w:spacing w:line="240" w:lineRule="auto" w:before="241" w:after="0"/>
        <w:ind w:left="1572" w:right="803" w:hanging="454"/>
        <w:jc w:val="both"/>
        <w:rPr>
          <w:sz w:val="24"/>
        </w:rPr>
      </w:pPr>
      <w:r>
        <w:rPr>
          <w:sz w:val="24"/>
        </w:rPr>
        <w:t>The</w:t>
      </w:r>
      <w:r>
        <w:rPr>
          <w:spacing w:val="40"/>
          <w:sz w:val="24"/>
        </w:rPr>
        <w:t> </w:t>
      </w:r>
      <w:r>
        <w:rPr>
          <w:sz w:val="24"/>
        </w:rPr>
        <w:t>lift</w:t>
      </w:r>
      <w:r>
        <w:rPr>
          <w:spacing w:val="40"/>
          <w:sz w:val="24"/>
        </w:rPr>
        <w:t> </w:t>
      </w:r>
      <w:r>
        <w:rPr>
          <w:sz w:val="24"/>
        </w:rPr>
        <w:t>machine</w:t>
      </w:r>
      <w:r>
        <w:rPr>
          <w:spacing w:val="40"/>
          <w:sz w:val="24"/>
        </w:rPr>
        <w:t> </w:t>
      </w:r>
      <w:r>
        <w:rPr>
          <w:sz w:val="24"/>
        </w:rPr>
        <w:t>room</w:t>
      </w:r>
      <w:r>
        <w:rPr>
          <w:spacing w:val="40"/>
          <w:sz w:val="24"/>
        </w:rPr>
        <w:t> </w:t>
      </w:r>
      <w:r>
        <w:rPr>
          <w:sz w:val="24"/>
        </w:rPr>
        <w:t>shall</w:t>
      </w:r>
      <w:r>
        <w:rPr>
          <w:spacing w:val="40"/>
          <w:sz w:val="24"/>
        </w:rPr>
        <w:t> </w:t>
      </w:r>
      <w:r>
        <w:rPr>
          <w:sz w:val="24"/>
        </w:rPr>
        <w:t>be</w:t>
      </w:r>
      <w:r>
        <w:rPr>
          <w:spacing w:val="40"/>
          <w:sz w:val="24"/>
        </w:rPr>
        <w:t> </w:t>
      </w:r>
      <w:r>
        <w:rPr>
          <w:sz w:val="24"/>
        </w:rPr>
        <w:t>separate</w:t>
      </w:r>
      <w:r>
        <w:rPr>
          <w:spacing w:val="40"/>
          <w:sz w:val="24"/>
        </w:rPr>
        <w:t> </w:t>
      </w:r>
      <w:r>
        <w:rPr>
          <w:sz w:val="24"/>
        </w:rPr>
        <w:t>and</w:t>
      </w:r>
      <w:r>
        <w:rPr>
          <w:spacing w:val="40"/>
          <w:sz w:val="24"/>
        </w:rPr>
        <w:t> </w:t>
      </w:r>
      <w:r>
        <w:rPr>
          <w:sz w:val="24"/>
        </w:rPr>
        <w:t>no</w:t>
      </w:r>
      <w:r>
        <w:rPr>
          <w:spacing w:val="40"/>
          <w:sz w:val="24"/>
        </w:rPr>
        <w:t> </w:t>
      </w:r>
      <w:r>
        <w:rPr>
          <w:sz w:val="24"/>
        </w:rPr>
        <w:t>other</w:t>
      </w:r>
      <w:r>
        <w:rPr>
          <w:spacing w:val="40"/>
          <w:sz w:val="24"/>
        </w:rPr>
        <w:t> </w:t>
      </w:r>
      <w:r>
        <w:rPr>
          <w:sz w:val="24"/>
        </w:rPr>
        <w:t>machinery</w:t>
      </w:r>
      <w:r>
        <w:rPr>
          <w:spacing w:val="40"/>
          <w:sz w:val="24"/>
        </w:rPr>
        <w:t> </w:t>
      </w:r>
      <w:r>
        <w:rPr>
          <w:sz w:val="24"/>
        </w:rPr>
        <w:t>shall be installed </w:t>
      </w:r>
      <w:r>
        <w:rPr>
          <w:spacing w:val="9"/>
          <w:sz w:val="24"/>
        </w:rPr>
        <w:t>therein.</w:t>
      </w:r>
    </w:p>
    <w:p>
      <w:pPr>
        <w:pStyle w:val="ListParagraph"/>
        <w:numPr>
          <w:ilvl w:val="1"/>
          <w:numId w:val="335"/>
        </w:numPr>
        <w:tabs>
          <w:tab w:pos="1570" w:val="left" w:leader="none"/>
          <w:tab w:pos="1572" w:val="left" w:leader="none"/>
        </w:tabs>
        <w:spacing w:line="240" w:lineRule="auto" w:before="238" w:after="0"/>
        <w:ind w:left="1572" w:right="787" w:hanging="454"/>
        <w:jc w:val="both"/>
        <w:rPr>
          <w:sz w:val="24"/>
        </w:rPr>
      </w:pPr>
      <w:r>
        <w:rPr>
          <w:sz w:val="24"/>
        </w:rPr>
        <w:t>Lifts</w:t>
      </w:r>
      <w:r>
        <w:rPr>
          <w:spacing w:val="80"/>
          <w:sz w:val="24"/>
        </w:rPr>
        <w:t> </w:t>
      </w:r>
      <w:r>
        <w:rPr>
          <w:sz w:val="24"/>
        </w:rPr>
        <w:t>shall</w:t>
      </w:r>
      <w:r>
        <w:rPr>
          <w:spacing w:val="80"/>
          <w:sz w:val="24"/>
        </w:rPr>
        <w:t> </w:t>
      </w:r>
      <w:r>
        <w:rPr>
          <w:sz w:val="24"/>
        </w:rPr>
        <w:t>not</w:t>
      </w:r>
      <w:r>
        <w:rPr>
          <w:spacing w:val="80"/>
          <w:sz w:val="24"/>
        </w:rPr>
        <w:t> </w:t>
      </w:r>
      <w:r>
        <w:rPr>
          <w:sz w:val="24"/>
        </w:rPr>
        <w:t>normally</w:t>
      </w:r>
      <w:r>
        <w:rPr>
          <w:spacing w:val="80"/>
          <w:sz w:val="24"/>
        </w:rPr>
        <w:t> </w:t>
      </w:r>
      <w:r>
        <w:rPr>
          <w:sz w:val="24"/>
        </w:rPr>
        <w:t>communicate</w:t>
      </w:r>
      <w:r>
        <w:rPr>
          <w:spacing w:val="40"/>
          <w:sz w:val="24"/>
        </w:rPr>
        <w:t> </w:t>
      </w:r>
      <w:r>
        <w:rPr>
          <w:sz w:val="24"/>
        </w:rPr>
        <w:t>with</w:t>
      </w:r>
      <w:r>
        <w:rPr>
          <w:spacing w:val="80"/>
          <w:sz w:val="24"/>
        </w:rPr>
        <w:t> </w:t>
      </w:r>
      <w:r>
        <w:rPr>
          <w:sz w:val="24"/>
        </w:rPr>
        <w:t>the</w:t>
      </w:r>
      <w:r>
        <w:rPr>
          <w:spacing w:val="40"/>
          <w:sz w:val="24"/>
        </w:rPr>
        <w:t> </w:t>
      </w:r>
      <w:r>
        <w:rPr>
          <w:sz w:val="24"/>
        </w:rPr>
        <w:t>basement.</w:t>
      </w:r>
      <w:r>
        <w:rPr>
          <w:spacing w:val="40"/>
          <w:sz w:val="24"/>
        </w:rPr>
        <w:t>  </w:t>
      </w:r>
      <w:r>
        <w:rPr>
          <w:sz w:val="24"/>
        </w:rPr>
        <w:t>However, one</w:t>
      </w:r>
      <w:r>
        <w:rPr>
          <w:spacing w:val="40"/>
          <w:sz w:val="24"/>
        </w:rPr>
        <w:t> </w:t>
      </w:r>
      <w:r>
        <w:rPr>
          <w:sz w:val="24"/>
        </w:rPr>
        <w:t>of</w:t>
      </w:r>
      <w:r>
        <w:rPr>
          <w:spacing w:val="40"/>
          <w:sz w:val="24"/>
        </w:rPr>
        <w:t> </w:t>
      </w:r>
      <w:r>
        <w:rPr>
          <w:sz w:val="24"/>
        </w:rPr>
        <w:t>the</w:t>
      </w:r>
      <w:r>
        <w:rPr>
          <w:spacing w:val="40"/>
          <w:sz w:val="24"/>
        </w:rPr>
        <w:t> </w:t>
      </w:r>
      <w:r>
        <w:rPr>
          <w:sz w:val="24"/>
        </w:rPr>
        <w:t>lifts</w:t>
      </w:r>
      <w:r>
        <w:rPr>
          <w:spacing w:val="40"/>
          <w:sz w:val="24"/>
        </w:rPr>
        <w:t> </w:t>
      </w:r>
      <w:r>
        <w:rPr>
          <w:sz w:val="24"/>
        </w:rPr>
        <w:t>may</w:t>
      </w:r>
      <w:r>
        <w:rPr>
          <w:spacing w:val="40"/>
          <w:sz w:val="24"/>
        </w:rPr>
        <w:t> </w:t>
      </w:r>
      <w:r>
        <w:rPr>
          <w:sz w:val="24"/>
        </w:rPr>
        <w:t>be</w:t>
      </w:r>
      <w:r>
        <w:rPr>
          <w:spacing w:val="40"/>
          <w:sz w:val="24"/>
        </w:rPr>
        <w:t> </w:t>
      </w:r>
      <w:r>
        <w:rPr>
          <w:sz w:val="24"/>
        </w:rPr>
        <w:t>permitted</w:t>
      </w:r>
      <w:r>
        <w:rPr>
          <w:spacing w:val="40"/>
          <w:sz w:val="24"/>
        </w:rPr>
        <w:t> </w:t>
      </w:r>
      <w:r>
        <w:rPr>
          <w:sz w:val="24"/>
        </w:rPr>
        <w:t>to</w:t>
      </w:r>
      <w:r>
        <w:rPr>
          <w:spacing w:val="40"/>
          <w:sz w:val="24"/>
        </w:rPr>
        <w:t> </w:t>
      </w:r>
      <w:r>
        <w:rPr>
          <w:sz w:val="24"/>
        </w:rPr>
        <w:t>reach</w:t>
      </w:r>
      <w:r>
        <w:rPr>
          <w:spacing w:val="40"/>
          <w:sz w:val="24"/>
        </w:rPr>
        <w:t> </w:t>
      </w:r>
      <w:r>
        <w:rPr>
          <w:sz w:val="24"/>
        </w:rPr>
        <w:t>the</w:t>
      </w:r>
      <w:r>
        <w:rPr>
          <w:spacing w:val="40"/>
          <w:sz w:val="24"/>
        </w:rPr>
        <w:t> </w:t>
      </w:r>
      <w:r>
        <w:rPr>
          <w:sz w:val="24"/>
        </w:rPr>
        <w:t>basement</w:t>
      </w:r>
      <w:r>
        <w:rPr>
          <w:spacing w:val="40"/>
          <w:sz w:val="24"/>
        </w:rPr>
        <w:t> </w:t>
      </w:r>
      <w:r>
        <w:rPr>
          <w:sz w:val="24"/>
        </w:rPr>
        <w:t>level</w:t>
      </w:r>
      <w:r>
        <w:rPr>
          <w:spacing w:val="40"/>
          <w:sz w:val="24"/>
        </w:rPr>
        <w:t> </w:t>
      </w:r>
      <w:r>
        <w:rPr>
          <w:sz w:val="24"/>
        </w:rPr>
        <w:t>provided the</w:t>
      </w:r>
      <w:r>
        <w:rPr>
          <w:spacing w:val="40"/>
          <w:sz w:val="24"/>
        </w:rPr>
        <w:t> </w:t>
      </w:r>
      <w:r>
        <w:rPr>
          <w:sz w:val="24"/>
        </w:rPr>
        <w:t>lift</w:t>
      </w:r>
      <w:r>
        <w:rPr>
          <w:spacing w:val="40"/>
          <w:sz w:val="24"/>
        </w:rPr>
        <w:t> </w:t>
      </w:r>
      <w:r>
        <w:rPr>
          <w:sz w:val="24"/>
        </w:rPr>
        <w:t>lobby</w:t>
      </w:r>
      <w:r>
        <w:rPr>
          <w:spacing w:val="40"/>
          <w:sz w:val="24"/>
        </w:rPr>
        <w:t> </w:t>
      </w:r>
      <w:r>
        <w:rPr>
          <w:sz w:val="24"/>
        </w:rPr>
        <w:t>at</w:t>
      </w:r>
      <w:r>
        <w:rPr>
          <w:spacing w:val="80"/>
          <w:sz w:val="24"/>
        </w:rPr>
        <w:t> </w:t>
      </w:r>
      <w:r>
        <w:rPr>
          <w:sz w:val="24"/>
        </w:rPr>
        <w:t>each</w:t>
      </w:r>
      <w:r>
        <w:rPr>
          <w:spacing w:val="40"/>
          <w:sz w:val="24"/>
        </w:rPr>
        <w:t> </w:t>
      </w:r>
      <w:r>
        <w:rPr>
          <w:sz w:val="24"/>
        </w:rPr>
        <w:t>basement</w:t>
      </w:r>
      <w:r>
        <w:rPr>
          <w:spacing w:val="80"/>
          <w:sz w:val="24"/>
        </w:rPr>
        <w:t> </w:t>
      </w:r>
      <w:r>
        <w:rPr>
          <w:sz w:val="24"/>
        </w:rPr>
        <w:t>level</w:t>
      </w:r>
      <w:r>
        <w:rPr>
          <w:spacing w:val="80"/>
          <w:sz w:val="24"/>
        </w:rPr>
        <w:t> </w:t>
      </w:r>
      <w:r>
        <w:rPr>
          <w:sz w:val="24"/>
        </w:rPr>
        <w:t>shall</w:t>
      </w:r>
      <w:r>
        <w:rPr>
          <w:spacing w:val="40"/>
          <w:sz w:val="24"/>
        </w:rPr>
        <w:t> </w:t>
      </w:r>
      <w:r>
        <w:rPr>
          <w:sz w:val="24"/>
        </w:rPr>
        <w:t>be</w:t>
      </w:r>
      <w:r>
        <w:rPr>
          <w:spacing w:val="80"/>
          <w:sz w:val="24"/>
        </w:rPr>
        <w:t> </w:t>
      </w:r>
      <w:r>
        <w:rPr>
          <w:sz w:val="24"/>
        </w:rPr>
        <w:t>pressurized</w:t>
      </w:r>
      <w:r>
        <w:rPr>
          <w:spacing w:val="40"/>
          <w:sz w:val="24"/>
        </w:rPr>
        <w:t> </w:t>
      </w:r>
      <w:r>
        <w:rPr>
          <w:sz w:val="24"/>
        </w:rPr>
        <w:t>and separated</w:t>
      </w:r>
      <w:r>
        <w:rPr>
          <w:spacing w:val="40"/>
          <w:sz w:val="24"/>
        </w:rPr>
        <w:t> </w:t>
      </w:r>
      <w:r>
        <w:rPr>
          <w:sz w:val="24"/>
        </w:rPr>
        <w:t>from</w:t>
      </w:r>
      <w:r>
        <w:rPr>
          <w:spacing w:val="40"/>
          <w:sz w:val="24"/>
        </w:rPr>
        <w:t> </w:t>
      </w:r>
      <w:r>
        <w:rPr>
          <w:sz w:val="24"/>
        </w:rPr>
        <w:t>the</w:t>
      </w:r>
      <w:r>
        <w:rPr>
          <w:spacing w:val="40"/>
          <w:sz w:val="24"/>
        </w:rPr>
        <w:t> </w:t>
      </w:r>
      <w:r>
        <w:rPr>
          <w:sz w:val="24"/>
        </w:rPr>
        <w:t>rest</w:t>
      </w:r>
      <w:r>
        <w:rPr>
          <w:spacing w:val="40"/>
          <w:sz w:val="24"/>
        </w:rPr>
        <w:t> </w:t>
      </w:r>
      <w:r>
        <w:rPr>
          <w:sz w:val="24"/>
        </w:rPr>
        <w:t>of</w:t>
      </w:r>
      <w:r>
        <w:rPr>
          <w:spacing w:val="40"/>
          <w:sz w:val="24"/>
        </w:rPr>
        <w:t> </w:t>
      </w:r>
      <w:r>
        <w:rPr>
          <w:sz w:val="24"/>
        </w:rPr>
        <w:t>the</w:t>
      </w:r>
      <w:r>
        <w:rPr>
          <w:spacing w:val="40"/>
          <w:sz w:val="24"/>
        </w:rPr>
        <w:t> </w:t>
      </w:r>
      <w:r>
        <w:rPr>
          <w:sz w:val="24"/>
        </w:rPr>
        <w:t>basement</w:t>
      </w:r>
      <w:r>
        <w:rPr>
          <w:spacing w:val="40"/>
          <w:sz w:val="24"/>
        </w:rPr>
        <w:t> </w:t>
      </w:r>
      <w:r>
        <w:rPr>
          <w:sz w:val="24"/>
        </w:rPr>
        <w:t>areas,</w:t>
      </w:r>
      <w:r>
        <w:rPr>
          <w:spacing w:val="40"/>
          <w:sz w:val="24"/>
        </w:rPr>
        <w:t> </w:t>
      </w:r>
      <w:r>
        <w:rPr>
          <w:sz w:val="24"/>
        </w:rPr>
        <w:t>by</w:t>
      </w:r>
      <w:r>
        <w:rPr>
          <w:spacing w:val="40"/>
          <w:sz w:val="24"/>
        </w:rPr>
        <w:t> </w:t>
      </w:r>
      <w:r>
        <w:rPr>
          <w:sz w:val="24"/>
        </w:rPr>
        <w:t>a</w:t>
      </w:r>
      <w:r>
        <w:rPr>
          <w:spacing w:val="40"/>
          <w:sz w:val="24"/>
        </w:rPr>
        <w:t> </w:t>
      </w:r>
      <w:r>
        <w:rPr>
          <w:spacing w:val="10"/>
          <w:sz w:val="24"/>
        </w:rPr>
        <w:t>smoke-</w:t>
      </w:r>
      <w:r>
        <w:rPr>
          <w:sz w:val="24"/>
        </w:rPr>
        <w:t>actuated fire</w:t>
      </w:r>
      <w:r>
        <w:rPr>
          <w:spacing w:val="40"/>
          <w:sz w:val="24"/>
        </w:rPr>
        <w:t> </w:t>
      </w:r>
      <w:r>
        <w:rPr>
          <w:sz w:val="24"/>
        </w:rPr>
        <w:t>resisting</w:t>
      </w:r>
      <w:r>
        <w:rPr>
          <w:spacing w:val="40"/>
          <w:sz w:val="24"/>
        </w:rPr>
        <w:t> </w:t>
      </w:r>
      <w:r>
        <w:rPr>
          <w:sz w:val="24"/>
        </w:rPr>
        <w:t>door</w:t>
      </w:r>
      <w:r>
        <w:rPr>
          <w:spacing w:val="40"/>
          <w:sz w:val="24"/>
        </w:rPr>
        <w:t> </w:t>
      </w:r>
      <w:r>
        <w:rPr>
          <w:sz w:val="24"/>
        </w:rPr>
        <w:t>of</w:t>
      </w:r>
      <w:r>
        <w:rPr>
          <w:spacing w:val="40"/>
          <w:sz w:val="24"/>
        </w:rPr>
        <w:t> </w:t>
      </w:r>
      <w:r>
        <w:rPr>
          <w:sz w:val="24"/>
        </w:rPr>
        <w:t>two</w:t>
      </w:r>
      <w:r>
        <w:rPr>
          <w:spacing w:val="40"/>
          <w:sz w:val="24"/>
        </w:rPr>
        <w:t> </w:t>
      </w:r>
      <w:r>
        <w:rPr>
          <w:sz w:val="24"/>
        </w:rPr>
        <w:t>hours’</w:t>
      </w:r>
      <w:r>
        <w:rPr>
          <w:spacing w:val="40"/>
          <w:sz w:val="24"/>
        </w:rPr>
        <w:t> </w:t>
      </w:r>
      <w:r>
        <w:rPr>
          <w:sz w:val="24"/>
        </w:rPr>
        <w:t>fire</w:t>
      </w:r>
      <w:r>
        <w:rPr>
          <w:spacing w:val="40"/>
          <w:sz w:val="24"/>
        </w:rPr>
        <w:t> </w:t>
      </w:r>
      <w:r>
        <w:rPr>
          <w:sz w:val="24"/>
        </w:rPr>
        <w:t>resistance.</w:t>
      </w:r>
      <w:r>
        <w:rPr>
          <w:spacing w:val="40"/>
          <w:sz w:val="24"/>
        </w:rPr>
        <w:t>  </w:t>
      </w:r>
      <w:r>
        <w:rPr>
          <w:sz w:val="24"/>
        </w:rPr>
        <w:t>These</w:t>
      </w:r>
      <w:r>
        <w:rPr>
          <w:spacing w:val="40"/>
          <w:sz w:val="24"/>
        </w:rPr>
        <w:t> </w:t>
      </w:r>
      <w:r>
        <w:rPr>
          <w:sz w:val="24"/>
        </w:rPr>
        <w:t>doors</w:t>
      </w:r>
      <w:r>
        <w:rPr>
          <w:spacing w:val="40"/>
          <w:sz w:val="24"/>
        </w:rPr>
        <w:t> </w:t>
      </w:r>
      <w:r>
        <w:rPr>
          <w:sz w:val="24"/>
        </w:rPr>
        <w:t>can</w:t>
      </w:r>
      <w:r>
        <w:rPr>
          <w:spacing w:val="40"/>
          <w:sz w:val="24"/>
        </w:rPr>
        <w:t> </w:t>
      </w:r>
      <w:r>
        <w:rPr>
          <w:sz w:val="24"/>
        </w:rPr>
        <w:t>also be</w:t>
      </w:r>
      <w:r>
        <w:rPr>
          <w:spacing w:val="40"/>
          <w:sz w:val="24"/>
        </w:rPr>
        <w:t> </w:t>
      </w:r>
      <w:r>
        <w:rPr>
          <w:sz w:val="24"/>
        </w:rPr>
        <w:t>kept</w:t>
      </w:r>
      <w:r>
        <w:rPr>
          <w:spacing w:val="40"/>
          <w:sz w:val="24"/>
        </w:rPr>
        <w:t> </w:t>
      </w:r>
      <w:r>
        <w:rPr>
          <w:sz w:val="24"/>
        </w:rPr>
        <w:t>in</w:t>
      </w:r>
      <w:r>
        <w:rPr>
          <w:spacing w:val="40"/>
          <w:sz w:val="24"/>
        </w:rPr>
        <w:t> </w:t>
      </w:r>
      <w:r>
        <w:rPr>
          <w:spacing w:val="10"/>
          <w:sz w:val="24"/>
        </w:rPr>
        <w:t>hold-</w:t>
      </w:r>
      <w:r>
        <w:rPr>
          <w:sz w:val="24"/>
        </w:rPr>
        <w:t>open</w:t>
      </w:r>
      <w:r>
        <w:rPr>
          <w:spacing w:val="40"/>
          <w:sz w:val="24"/>
        </w:rPr>
        <w:t> </w:t>
      </w:r>
      <w:r>
        <w:rPr>
          <w:sz w:val="24"/>
        </w:rPr>
        <w:t>position</w:t>
      </w:r>
      <w:r>
        <w:rPr>
          <w:spacing w:val="40"/>
          <w:sz w:val="24"/>
        </w:rPr>
        <w:t> </w:t>
      </w:r>
      <w:r>
        <w:rPr>
          <w:sz w:val="24"/>
        </w:rPr>
        <w:t>by</w:t>
      </w:r>
      <w:r>
        <w:rPr>
          <w:spacing w:val="40"/>
          <w:sz w:val="24"/>
        </w:rPr>
        <w:t> </w:t>
      </w:r>
      <w:r>
        <w:rPr>
          <w:sz w:val="24"/>
        </w:rPr>
        <w:t>an</w:t>
      </w:r>
      <w:r>
        <w:rPr>
          <w:spacing w:val="40"/>
          <w:sz w:val="24"/>
        </w:rPr>
        <w:t> </w:t>
      </w:r>
      <w:r>
        <w:rPr>
          <w:spacing w:val="10"/>
          <w:sz w:val="24"/>
        </w:rPr>
        <w:t>electro-</w:t>
      </w:r>
      <w:r>
        <w:rPr>
          <w:sz w:val="24"/>
        </w:rPr>
        <w:t>magnetic</w:t>
      </w:r>
      <w:r>
        <w:rPr>
          <w:spacing w:val="40"/>
          <w:sz w:val="24"/>
        </w:rPr>
        <w:t> </w:t>
      </w:r>
      <w:r>
        <w:rPr>
          <w:sz w:val="24"/>
        </w:rPr>
        <w:t>device</w:t>
      </w:r>
      <w:r>
        <w:rPr>
          <w:spacing w:val="40"/>
          <w:sz w:val="24"/>
        </w:rPr>
        <w:t> </w:t>
      </w:r>
      <w:r>
        <w:rPr>
          <w:sz w:val="24"/>
        </w:rPr>
        <w:t>to</w:t>
      </w:r>
      <w:r>
        <w:rPr>
          <w:spacing w:val="40"/>
          <w:sz w:val="24"/>
        </w:rPr>
        <w:t> </w:t>
      </w:r>
      <w:r>
        <w:rPr>
          <w:sz w:val="24"/>
        </w:rPr>
        <w:t>be linked with a smoke </w:t>
      </w:r>
      <w:r>
        <w:rPr>
          <w:spacing w:val="9"/>
          <w:sz w:val="24"/>
        </w:rPr>
        <w:t>detector.</w:t>
      </w:r>
    </w:p>
    <w:p>
      <w:pPr>
        <w:pStyle w:val="Heading6"/>
        <w:numPr>
          <w:ilvl w:val="0"/>
          <w:numId w:val="335"/>
        </w:numPr>
        <w:tabs>
          <w:tab w:pos="1136" w:val="left" w:leader="none"/>
        </w:tabs>
        <w:spacing w:line="240" w:lineRule="auto" w:before="239" w:after="0"/>
        <w:ind w:left="1136" w:right="0" w:hanging="359"/>
        <w:jc w:val="left"/>
        <w:rPr>
          <w:i w:val="0"/>
        </w:rPr>
      </w:pPr>
      <w:r>
        <w:rPr/>
        <w:t>External</w:t>
      </w:r>
      <w:r>
        <w:rPr>
          <w:spacing w:val="43"/>
          <w:w w:val="150"/>
        </w:rPr>
        <w:t> </w:t>
      </w:r>
      <w:r>
        <w:rPr>
          <w:spacing w:val="-2"/>
        </w:rPr>
        <w:t>windows</w:t>
      </w:r>
      <w:r>
        <w:rPr>
          <w:i w:val="0"/>
          <w:spacing w:val="-2"/>
        </w:rPr>
        <w:t>.</w:t>
      </w:r>
    </w:p>
    <w:p>
      <w:pPr>
        <w:pStyle w:val="BodyText"/>
        <w:spacing w:before="241"/>
        <w:ind w:left="1138" w:right="788"/>
      </w:pPr>
      <w:r>
        <w:rPr/>
        <w:t>The</w:t>
      </w:r>
      <w:r>
        <w:rPr>
          <w:spacing w:val="40"/>
        </w:rPr>
        <w:t> </w:t>
      </w:r>
      <w:r>
        <w:rPr/>
        <w:t>area</w:t>
      </w:r>
      <w:r>
        <w:rPr>
          <w:spacing w:val="40"/>
        </w:rPr>
        <w:t> </w:t>
      </w:r>
      <w:r>
        <w:rPr/>
        <w:t>of</w:t>
      </w:r>
      <w:r>
        <w:rPr>
          <w:spacing w:val="40"/>
        </w:rPr>
        <w:t> </w:t>
      </w:r>
      <w:r>
        <w:rPr/>
        <w:t>the</w:t>
      </w:r>
      <w:r>
        <w:rPr>
          <w:spacing w:val="40"/>
        </w:rPr>
        <w:t> </w:t>
      </w:r>
      <w:r>
        <w:rPr/>
        <w:t>open</w:t>
      </w:r>
      <w:r>
        <w:rPr>
          <w:spacing w:val="40"/>
        </w:rPr>
        <w:t> </w:t>
      </w:r>
      <w:r>
        <w:rPr/>
        <w:t>able</w:t>
      </w:r>
      <w:r>
        <w:rPr>
          <w:spacing w:val="40"/>
        </w:rPr>
        <w:t> </w:t>
      </w:r>
      <w:r>
        <w:rPr/>
        <w:t>external</w:t>
      </w:r>
      <w:r>
        <w:rPr>
          <w:spacing w:val="40"/>
        </w:rPr>
        <w:t> </w:t>
      </w:r>
      <w:r>
        <w:rPr/>
        <w:t>windows</w:t>
      </w:r>
      <w:r>
        <w:rPr>
          <w:spacing w:val="40"/>
        </w:rPr>
        <w:t> </w:t>
      </w:r>
      <w:r>
        <w:rPr/>
        <w:t>on</w:t>
      </w:r>
      <w:r>
        <w:rPr>
          <w:spacing w:val="40"/>
        </w:rPr>
        <w:t> </w:t>
      </w:r>
      <w:r>
        <w:rPr/>
        <w:t>a</w:t>
      </w:r>
      <w:r>
        <w:rPr>
          <w:spacing w:val="40"/>
        </w:rPr>
        <w:t> </w:t>
      </w:r>
      <w:r>
        <w:rPr/>
        <w:t>floor</w:t>
      </w:r>
      <w:r>
        <w:rPr>
          <w:spacing w:val="40"/>
        </w:rPr>
        <w:t> </w:t>
      </w:r>
      <w:r>
        <w:rPr>
          <w:spacing w:val="10"/>
        </w:rPr>
        <w:t>shall</w:t>
      </w:r>
      <w:r>
        <w:rPr>
          <w:spacing w:val="40"/>
        </w:rPr>
        <w:t> </w:t>
      </w:r>
      <w:r>
        <w:rPr/>
        <w:t>be</w:t>
      </w:r>
      <w:r>
        <w:rPr>
          <w:spacing w:val="40"/>
        </w:rPr>
        <w:t> </w:t>
      </w:r>
      <w:r>
        <w:rPr/>
        <w:t>not</w:t>
      </w:r>
      <w:r>
        <w:rPr>
          <w:spacing w:val="40"/>
        </w:rPr>
        <w:t> </w:t>
      </w:r>
      <w:r>
        <w:rPr/>
        <w:t>less than</w:t>
      </w:r>
      <w:r>
        <w:rPr>
          <w:spacing w:val="40"/>
        </w:rPr>
        <w:t> </w:t>
      </w:r>
      <w:r>
        <w:rPr/>
        <w:t>2</w:t>
      </w:r>
      <w:r>
        <w:rPr>
          <w:spacing w:val="40"/>
        </w:rPr>
        <w:t> </w:t>
      </w:r>
      <w:r>
        <w:rPr/>
        <w:t>1/2</w:t>
      </w:r>
      <w:r>
        <w:rPr>
          <w:spacing w:val="40"/>
        </w:rPr>
        <w:t> </w:t>
      </w:r>
      <w:r>
        <w:rPr/>
        <w:t>per</w:t>
      </w:r>
      <w:r>
        <w:rPr>
          <w:spacing w:val="40"/>
        </w:rPr>
        <w:t> </w:t>
      </w:r>
      <w:r>
        <w:rPr/>
        <w:t>cent</w:t>
      </w:r>
      <w:r>
        <w:rPr>
          <w:spacing w:val="40"/>
        </w:rPr>
        <w:t> </w:t>
      </w:r>
      <w:r>
        <w:rPr/>
        <w:t>of</w:t>
      </w:r>
      <w:r>
        <w:rPr>
          <w:spacing w:val="40"/>
        </w:rPr>
        <w:t> </w:t>
      </w:r>
      <w:r>
        <w:rPr/>
        <w:t>the</w:t>
      </w:r>
      <w:r>
        <w:rPr>
          <w:spacing w:val="40"/>
        </w:rPr>
        <w:t> </w:t>
      </w:r>
      <w:r>
        <w:rPr/>
        <w:t>floor</w:t>
      </w:r>
      <w:r>
        <w:rPr>
          <w:spacing w:val="40"/>
        </w:rPr>
        <w:t> </w:t>
      </w:r>
      <w:r>
        <w:rPr/>
        <w:t>area.</w:t>
      </w:r>
      <w:r>
        <w:rPr>
          <w:spacing w:val="40"/>
        </w:rPr>
        <w:t>  </w:t>
      </w:r>
      <w:r>
        <w:rPr/>
        <w:t>The</w:t>
      </w:r>
      <w:r>
        <w:rPr>
          <w:spacing w:val="40"/>
        </w:rPr>
        <w:t> </w:t>
      </w:r>
      <w:r>
        <w:rPr/>
        <w:t>locks</w:t>
      </w:r>
      <w:r>
        <w:rPr>
          <w:spacing w:val="40"/>
        </w:rPr>
        <w:t> </w:t>
      </w:r>
      <w:r>
        <w:rPr/>
        <w:t>for</w:t>
      </w:r>
      <w:r>
        <w:rPr>
          <w:spacing w:val="40"/>
        </w:rPr>
        <w:t> </w:t>
      </w:r>
      <w:r>
        <w:rPr/>
        <w:t>these</w:t>
      </w:r>
      <w:r>
        <w:rPr>
          <w:spacing w:val="40"/>
        </w:rPr>
        <w:t> </w:t>
      </w:r>
      <w:r>
        <w:rPr/>
        <w:t>windows</w:t>
      </w:r>
      <w:r>
        <w:rPr>
          <w:spacing w:val="40"/>
        </w:rPr>
        <w:t> </w:t>
      </w:r>
      <w:r>
        <w:rPr/>
        <w:t>shall be</w:t>
      </w:r>
      <w:r>
        <w:rPr>
          <w:spacing w:val="40"/>
        </w:rPr>
        <w:t> </w:t>
      </w:r>
      <w:r>
        <w:rPr/>
        <w:t>fitted</w:t>
      </w:r>
      <w:r>
        <w:rPr>
          <w:spacing w:val="40"/>
        </w:rPr>
        <w:t> </w:t>
      </w:r>
      <w:r>
        <w:rPr/>
        <w:t>with</w:t>
      </w:r>
      <w:r>
        <w:rPr>
          <w:spacing w:val="40"/>
        </w:rPr>
        <w:t> </w:t>
      </w:r>
      <w:r>
        <w:rPr/>
        <w:t>budget</w:t>
      </w:r>
      <w:r>
        <w:rPr>
          <w:spacing w:val="40"/>
        </w:rPr>
        <w:t> </w:t>
      </w:r>
      <w:r>
        <w:rPr/>
        <w:t>lock</w:t>
      </w:r>
      <w:r>
        <w:rPr>
          <w:spacing w:val="40"/>
        </w:rPr>
        <w:t> </w:t>
      </w:r>
      <w:r>
        <w:rPr/>
        <w:t>of</w:t>
      </w:r>
      <w:r>
        <w:rPr>
          <w:spacing w:val="40"/>
        </w:rPr>
        <w:t> </w:t>
      </w:r>
      <w:r>
        <w:rPr/>
        <w:t>the</w:t>
      </w:r>
      <w:r>
        <w:rPr>
          <w:spacing w:val="40"/>
        </w:rPr>
        <w:t> </w:t>
      </w:r>
      <w:r>
        <w:rPr/>
        <w:t>carriage</w:t>
      </w:r>
      <w:r>
        <w:rPr>
          <w:spacing w:val="40"/>
        </w:rPr>
        <w:t> </w:t>
      </w:r>
      <w:r>
        <w:rPr/>
        <w:t>key</w:t>
      </w:r>
      <w:r>
        <w:rPr>
          <w:spacing w:val="40"/>
        </w:rPr>
        <w:t> </w:t>
      </w:r>
      <w:r>
        <w:rPr/>
        <w:t>type</w:t>
      </w:r>
      <w:r>
        <w:rPr>
          <w:spacing w:val="40"/>
        </w:rPr>
        <w:t> </w:t>
      </w:r>
      <w:r>
        <w:rPr/>
        <w:t>(which</w:t>
      </w:r>
      <w:r>
        <w:rPr>
          <w:spacing w:val="40"/>
        </w:rPr>
        <w:t> </w:t>
      </w:r>
      <w:r>
        <w:rPr/>
        <w:t>can</w:t>
      </w:r>
      <w:r>
        <w:rPr>
          <w:spacing w:val="40"/>
        </w:rPr>
        <w:t> </w:t>
      </w:r>
      <w:r>
        <w:rPr/>
        <w:t>be</w:t>
      </w:r>
      <w:r>
        <w:rPr>
          <w:spacing w:val="40"/>
        </w:rPr>
        <w:t> </w:t>
      </w:r>
      <w:r>
        <w:rPr/>
        <w:t>opened with</w:t>
      </w:r>
      <w:r>
        <w:rPr>
          <w:spacing w:val="40"/>
        </w:rPr>
        <w:t> </w:t>
      </w:r>
      <w:r>
        <w:rPr/>
        <w:t>the</w:t>
      </w:r>
      <w:r>
        <w:rPr>
          <w:spacing w:val="40"/>
        </w:rPr>
        <w:t> </w:t>
      </w:r>
      <w:r>
        <w:rPr/>
        <w:t>point</w:t>
      </w:r>
      <w:r>
        <w:rPr>
          <w:spacing w:val="40"/>
        </w:rPr>
        <w:t> </w:t>
      </w:r>
      <w:r>
        <w:rPr/>
        <w:t>of</w:t>
      </w:r>
      <w:r>
        <w:rPr>
          <w:spacing w:val="40"/>
        </w:rPr>
        <w:t> </w:t>
      </w:r>
      <w:r>
        <w:rPr/>
        <w:t>a</w:t>
      </w:r>
      <w:r>
        <w:rPr>
          <w:spacing w:val="40"/>
        </w:rPr>
        <w:t> </w:t>
      </w:r>
      <w:r>
        <w:rPr/>
        <w:t>fireman's'</w:t>
      </w:r>
      <w:r>
        <w:rPr>
          <w:spacing w:val="40"/>
        </w:rPr>
        <w:t> </w:t>
      </w:r>
      <w:r>
        <w:rPr>
          <w:spacing w:val="9"/>
        </w:rPr>
        <w:t>axe).</w:t>
      </w:r>
    </w:p>
    <w:p>
      <w:pPr>
        <w:pStyle w:val="Heading6"/>
        <w:numPr>
          <w:ilvl w:val="0"/>
          <w:numId w:val="335"/>
        </w:numPr>
        <w:tabs>
          <w:tab w:pos="1136" w:val="left" w:leader="none"/>
        </w:tabs>
        <w:spacing w:line="240" w:lineRule="auto" w:before="239" w:after="0"/>
        <w:ind w:left="1136" w:right="0" w:hanging="359"/>
        <w:jc w:val="left"/>
      </w:pPr>
      <w:r>
        <w:rPr/>
        <w:t>Fire</w:t>
      </w:r>
      <w:r>
        <w:rPr>
          <w:spacing w:val="46"/>
        </w:rPr>
        <w:t> </w:t>
      </w:r>
      <w:r>
        <w:rPr>
          <w:spacing w:val="-2"/>
        </w:rPr>
        <w:t>lifts</w:t>
      </w:r>
    </w:p>
    <w:p>
      <w:pPr>
        <w:pStyle w:val="BodyText"/>
        <w:spacing w:before="242"/>
        <w:ind w:left="1138"/>
      </w:pPr>
      <w:r>
        <w:rPr/>
        <w:t>The</w:t>
      </w:r>
      <w:r>
        <w:rPr>
          <w:spacing w:val="48"/>
        </w:rPr>
        <w:t> </w:t>
      </w:r>
      <w:r>
        <w:rPr/>
        <w:t>following</w:t>
      </w:r>
      <w:r>
        <w:rPr>
          <w:spacing w:val="52"/>
        </w:rPr>
        <w:t> </w:t>
      </w:r>
      <w:r>
        <w:rPr/>
        <w:t>provisions</w:t>
      </w:r>
      <w:r>
        <w:rPr>
          <w:spacing w:val="49"/>
        </w:rPr>
        <w:t> </w:t>
      </w:r>
      <w:r>
        <w:rPr/>
        <w:t>shall</w:t>
      </w:r>
      <w:r>
        <w:rPr>
          <w:spacing w:val="48"/>
        </w:rPr>
        <w:t> </w:t>
      </w:r>
      <w:r>
        <w:rPr/>
        <w:t>be</w:t>
      </w:r>
      <w:r>
        <w:rPr>
          <w:spacing w:val="52"/>
        </w:rPr>
        <w:t> </w:t>
      </w:r>
      <w:r>
        <w:rPr/>
        <w:t>made</w:t>
      </w:r>
      <w:r>
        <w:rPr>
          <w:spacing w:val="49"/>
        </w:rPr>
        <w:t> </w:t>
      </w:r>
      <w:r>
        <w:rPr/>
        <w:t>for</w:t>
      </w:r>
      <w:r>
        <w:rPr>
          <w:spacing w:val="48"/>
        </w:rPr>
        <w:t> </w:t>
      </w:r>
      <w:r>
        <w:rPr/>
        <w:t>a</w:t>
      </w:r>
      <w:r>
        <w:rPr>
          <w:spacing w:val="49"/>
        </w:rPr>
        <w:t> </w:t>
      </w:r>
      <w:r>
        <w:rPr>
          <w:spacing w:val="10"/>
        </w:rPr>
        <w:t>fire</w:t>
      </w:r>
      <w:r>
        <w:rPr>
          <w:spacing w:val="49"/>
        </w:rPr>
        <w:t> </w:t>
      </w:r>
      <w:r>
        <w:rPr/>
        <w:t>lift.</w:t>
      </w:r>
      <w:r>
        <w:rPr>
          <w:spacing w:val="52"/>
        </w:rPr>
        <w:t> </w:t>
      </w:r>
      <w:r>
        <w:rPr>
          <w:spacing w:val="-10"/>
        </w:rPr>
        <w:t>-</w:t>
      </w:r>
    </w:p>
    <w:p>
      <w:pPr>
        <w:pStyle w:val="ListParagraph"/>
        <w:numPr>
          <w:ilvl w:val="0"/>
          <w:numId w:val="336"/>
        </w:numPr>
        <w:tabs>
          <w:tab w:pos="1569" w:val="left" w:leader="none"/>
          <w:tab w:pos="1572" w:val="left" w:leader="none"/>
        </w:tabs>
        <w:spacing w:line="240" w:lineRule="auto" w:before="241" w:after="0"/>
        <w:ind w:left="1572" w:right="779" w:hanging="454"/>
        <w:jc w:val="both"/>
        <w:rPr>
          <w:sz w:val="24"/>
        </w:rPr>
      </w:pPr>
      <w:r>
        <w:rPr>
          <w:sz w:val="24"/>
        </w:rPr>
        <w:t>To</w:t>
      </w:r>
      <w:r>
        <w:rPr>
          <w:spacing w:val="40"/>
          <w:sz w:val="24"/>
        </w:rPr>
        <w:t> </w:t>
      </w:r>
      <w:r>
        <w:rPr>
          <w:sz w:val="24"/>
        </w:rPr>
        <w:t>enable</w:t>
      </w:r>
      <w:r>
        <w:rPr>
          <w:spacing w:val="40"/>
          <w:sz w:val="24"/>
        </w:rPr>
        <w:t> </w:t>
      </w:r>
      <w:r>
        <w:rPr>
          <w:sz w:val="24"/>
        </w:rPr>
        <w:t>fire</w:t>
      </w:r>
      <w:r>
        <w:rPr>
          <w:spacing w:val="40"/>
          <w:sz w:val="24"/>
        </w:rPr>
        <w:t> </w:t>
      </w:r>
      <w:r>
        <w:rPr>
          <w:sz w:val="24"/>
        </w:rPr>
        <w:t>services</w:t>
      </w:r>
      <w:r>
        <w:rPr>
          <w:spacing w:val="40"/>
          <w:sz w:val="24"/>
        </w:rPr>
        <w:t> </w:t>
      </w:r>
      <w:r>
        <w:rPr>
          <w:sz w:val="24"/>
        </w:rPr>
        <w:t>personnel</w:t>
      </w:r>
      <w:r>
        <w:rPr>
          <w:spacing w:val="40"/>
          <w:sz w:val="24"/>
        </w:rPr>
        <w:t> </w:t>
      </w:r>
      <w:r>
        <w:rPr>
          <w:sz w:val="24"/>
        </w:rPr>
        <w:t>to</w:t>
      </w:r>
      <w:r>
        <w:rPr>
          <w:spacing w:val="40"/>
          <w:sz w:val="24"/>
        </w:rPr>
        <w:t> </w:t>
      </w:r>
      <w:r>
        <w:rPr>
          <w:sz w:val="24"/>
        </w:rPr>
        <w:t>reach</w:t>
      </w:r>
      <w:r>
        <w:rPr>
          <w:spacing w:val="40"/>
          <w:sz w:val="24"/>
        </w:rPr>
        <w:t> </w:t>
      </w:r>
      <w:r>
        <w:rPr>
          <w:sz w:val="24"/>
        </w:rPr>
        <w:t>the</w:t>
      </w:r>
      <w:r>
        <w:rPr>
          <w:spacing w:val="40"/>
          <w:sz w:val="24"/>
        </w:rPr>
        <w:t> </w:t>
      </w:r>
      <w:r>
        <w:rPr>
          <w:sz w:val="24"/>
        </w:rPr>
        <w:t>upper</w:t>
      </w:r>
      <w:r>
        <w:rPr>
          <w:spacing w:val="40"/>
          <w:sz w:val="24"/>
        </w:rPr>
        <w:t> </w:t>
      </w:r>
      <w:r>
        <w:rPr>
          <w:sz w:val="24"/>
        </w:rPr>
        <w:t>floors</w:t>
      </w:r>
      <w:r>
        <w:rPr>
          <w:spacing w:val="40"/>
          <w:sz w:val="24"/>
        </w:rPr>
        <w:t> </w:t>
      </w:r>
      <w:r>
        <w:rPr>
          <w:sz w:val="24"/>
        </w:rPr>
        <w:t>with minimum delay, one or more of the lifts shall be so designed as to be available</w:t>
      </w:r>
      <w:r>
        <w:rPr>
          <w:spacing w:val="40"/>
          <w:sz w:val="24"/>
        </w:rPr>
        <w:t> </w:t>
      </w:r>
      <w:r>
        <w:rPr>
          <w:sz w:val="24"/>
        </w:rPr>
        <w:t>for</w:t>
      </w:r>
      <w:r>
        <w:rPr>
          <w:spacing w:val="40"/>
          <w:sz w:val="24"/>
        </w:rPr>
        <w:t> </w:t>
      </w:r>
      <w:r>
        <w:rPr>
          <w:sz w:val="24"/>
        </w:rPr>
        <w:t>the</w:t>
      </w:r>
      <w:r>
        <w:rPr>
          <w:spacing w:val="40"/>
          <w:sz w:val="24"/>
        </w:rPr>
        <w:t> </w:t>
      </w:r>
      <w:r>
        <w:rPr>
          <w:sz w:val="24"/>
        </w:rPr>
        <w:t>exclusive</w:t>
      </w:r>
      <w:r>
        <w:rPr>
          <w:spacing w:val="40"/>
          <w:sz w:val="24"/>
        </w:rPr>
        <w:t> </w:t>
      </w:r>
      <w:r>
        <w:rPr>
          <w:sz w:val="24"/>
        </w:rPr>
        <w:t>use</w:t>
      </w:r>
      <w:r>
        <w:rPr>
          <w:spacing w:val="40"/>
          <w:sz w:val="24"/>
        </w:rPr>
        <w:t> </w:t>
      </w:r>
      <w:r>
        <w:rPr>
          <w:sz w:val="24"/>
        </w:rPr>
        <w:t>of</w:t>
      </w:r>
      <w:r>
        <w:rPr>
          <w:spacing w:val="40"/>
          <w:sz w:val="24"/>
        </w:rPr>
        <w:t> </w:t>
      </w:r>
      <w:r>
        <w:rPr>
          <w:sz w:val="24"/>
        </w:rPr>
        <w:t>such</w:t>
      </w:r>
      <w:r>
        <w:rPr>
          <w:spacing w:val="40"/>
          <w:sz w:val="24"/>
        </w:rPr>
        <w:t> </w:t>
      </w:r>
      <w:r>
        <w:rPr>
          <w:sz w:val="24"/>
        </w:rPr>
        <w:t>personnel</w:t>
      </w:r>
      <w:r>
        <w:rPr>
          <w:spacing w:val="40"/>
          <w:sz w:val="24"/>
        </w:rPr>
        <w:t> </w:t>
      </w:r>
      <w:r>
        <w:rPr>
          <w:sz w:val="24"/>
        </w:rPr>
        <w:t>in</w:t>
      </w:r>
      <w:r>
        <w:rPr>
          <w:spacing w:val="40"/>
          <w:sz w:val="24"/>
        </w:rPr>
        <w:t> </w:t>
      </w:r>
      <w:r>
        <w:rPr>
          <w:sz w:val="24"/>
        </w:rPr>
        <w:t>an</w:t>
      </w:r>
      <w:r>
        <w:rPr>
          <w:spacing w:val="40"/>
          <w:sz w:val="24"/>
        </w:rPr>
        <w:t> </w:t>
      </w:r>
      <w:r>
        <w:rPr>
          <w:sz w:val="24"/>
        </w:rPr>
        <w:t>emergency</w:t>
      </w:r>
      <w:r>
        <w:rPr>
          <w:spacing w:val="40"/>
          <w:sz w:val="24"/>
        </w:rPr>
        <w:t> </w:t>
      </w:r>
      <w:r>
        <w:rPr>
          <w:sz w:val="24"/>
        </w:rPr>
        <w:t>and be</w:t>
      </w:r>
      <w:r>
        <w:rPr>
          <w:spacing w:val="40"/>
          <w:sz w:val="24"/>
        </w:rPr>
        <w:t> </w:t>
      </w:r>
      <w:r>
        <w:rPr>
          <w:sz w:val="24"/>
        </w:rPr>
        <w:t>directly</w:t>
      </w:r>
      <w:r>
        <w:rPr>
          <w:spacing w:val="40"/>
          <w:sz w:val="24"/>
        </w:rPr>
        <w:t> </w:t>
      </w:r>
      <w:r>
        <w:rPr>
          <w:sz w:val="24"/>
        </w:rPr>
        <w:t>accessible</w:t>
      </w:r>
      <w:r>
        <w:rPr>
          <w:spacing w:val="40"/>
          <w:sz w:val="24"/>
        </w:rPr>
        <w:t> </w:t>
      </w:r>
      <w:r>
        <w:rPr>
          <w:sz w:val="24"/>
        </w:rPr>
        <w:t>to</w:t>
      </w:r>
      <w:r>
        <w:rPr>
          <w:spacing w:val="40"/>
          <w:sz w:val="24"/>
        </w:rPr>
        <w:t> </w:t>
      </w:r>
      <w:r>
        <w:rPr>
          <w:sz w:val="24"/>
        </w:rPr>
        <w:t>every</w:t>
      </w:r>
      <w:r>
        <w:rPr>
          <w:spacing w:val="80"/>
          <w:sz w:val="24"/>
        </w:rPr>
        <w:t> </w:t>
      </w:r>
      <w:r>
        <w:rPr>
          <w:sz w:val="24"/>
        </w:rPr>
        <w:t>dwelling/lettable</w:t>
      </w:r>
      <w:r>
        <w:rPr>
          <w:spacing w:val="40"/>
          <w:sz w:val="24"/>
        </w:rPr>
        <w:t> </w:t>
      </w:r>
      <w:r>
        <w:rPr>
          <w:sz w:val="24"/>
        </w:rPr>
        <w:t>floor</w:t>
      </w:r>
      <w:r>
        <w:rPr>
          <w:spacing w:val="40"/>
          <w:sz w:val="24"/>
        </w:rPr>
        <w:t> </w:t>
      </w:r>
      <w:r>
        <w:rPr>
          <w:sz w:val="24"/>
        </w:rPr>
        <w:t>space</w:t>
      </w:r>
      <w:r>
        <w:rPr>
          <w:spacing w:val="40"/>
          <w:sz w:val="24"/>
        </w:rPr>
        <w:t> </w:t>
      </w:r>
      <w:r>
        <w:rPr>
          <w:sz w:val="24"/>
        </w:rPr>
        <w:t>of</w:t>
      </w:r>
      <w:r>
        <w:rPr>
          <w:spacing w:val="40"/>
          <w:sz w:val="24"/>
        </w:rPr>
        <w:t> </w:t>
      </w:r>
      <w:r>
        <w:rPr>
          <w:sz w:val="24"/>
        </w:rPr>
        <w:t>each</w:t>
      </w:r>
      <w:r>
        <w:rPr>
          <w:spacing w:val="80"/>
          <w:sz w:val="24"/>
        </w:rPr>
        <w:t> </w:t>
      </w:r>
      <w:r>
        <w:rPr>
          <w:spacing w:val="-2"/>
          <w:sz w:val="24"/>
        </w:rPr>
        <w:t>floor.</w:t>
      </w:r>
    </w:p>
    <w:p>
      <w:pPr>
        <w:pStyle w:val="ListParagraph"/>
        <w:numPr>
          <w:ilvl w:val="0"/>
          <w:numId w:val="336"/>
        </w:numPr>
        <w:tabs>
          <w:tab w:pos="1570" w:val="left" w:leader="none"/>
          <w:tab w:pos="1572" w:val="left" w:leader="none"/>
        </w:tabs>
        <w:spacing w:line="240" w:lineRule="auto" w:before="241" w:after="0"/>
        <w:ind w:left="1572" w:right="779" w:hanging="454"/>
        <w:jc w:val="both"/>
        <w:rPr>
          <w:sz w:val="24"/>
        </w:rPr>
      </w:pPr>
      <w:r>
        <w:rPr>
          <w:sz w:val="24"/>
        </w:rPr>
        <w:t>The</w:t>
      </w:r>
      <w:r>
        <w:rPr>
          <w:spacing w:val="40"/>
          <w:sz w:val="24"/>
        </w:rPr>
        <w:t> </w:t>
      </w:r>
      <w:r>
        <w:rPr>
          <w:sz w:val="24"/>
        </w:rPr>
        <w:t>lift</w:t>
      </w:r>
      <w:r>
        <w:rPr>
          <w:spacing w:val="40"/>
          <w:sz w:val="24"/>
        </w:rPr>
        <w:t> </w:t>
      </w:r>
      <w:r>
        <w:rPr>
          <w:sz w:val="24"/>
        </w:rPr>
        <w:t>shall</w:t>
      </w:r>
      <w:r>
        <w:rPr>
          <w:spacing w:val="40"/>
          <w:sz w:val="24"/>
        </w:rPr>
        <w:t> </w:t>
      </w:r>
      <w:r>
        <w:rPr>
          <w:sz w:val="24"/>
        </w:rPr>
        <w:t>have</w:t>
      </w:r>
      <w:r>
        <w:rPr>
          <w:spacing w:val="40"/>
          <w:sz w:val="24"/>
        </w:rPr>
        <w:t> </w:t>
      </w:r>
      <w:r>
        <w:rPr>
          <w:sz w:val="24"/>
        </w:rPr>
        <w:t>a</w:t>
      </w:r>
      <w:r>
        <w:rPr>
          <w:spacing w:val="40"/>
          <w:sz w:val="24"/>
        </w:rPr>
        <w:t> </w:t>
      </w:r>
      <w:r>
        <w:rPr>
          <w:sz w:val="24"/>
        </w:rPr>
        <w:t>floor</w:t>
      </w:r>
      <w:r>
        <w:rPr>
          <w:spacing w:val="40"/>
          <w:sz w:val="24"/>
        </w:rPr>
        <w:t> </w:t>
      </w:r>
      <w:r>
        <w:rPr>
          <w:sz w:val="24"/>
        </w:rPr>
        <w:t>area</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1.4</w:t>
      </w:r>
      <w:r>
        <w:rPr>
          <w:spacing w:val="40"/>
          <w:sz w:val="24"/>
        </w:rPr>
        <w:t> </w:t>
      </w:r>
      <w:r>
        <w:rPr>
          <w:sz w:val="24"/>
        </w:rPr>
        <w:t>sq.</w:t>
      </w:r>
      <w:r>
        <w:rPr>
          <w:spacing w:val="40"/>
          <w:sz w:val="24"/>
        </w:rPr>
        <w:t> </w:t>
      </w:r>
      <w:r>
        <w:rPr>
          <w:sz w:val="24"/>
        </w:rPr>
        <w:t>m.</w:t>
      </w:r>
      <w:r>
        <w:rPr>
          <w:spacing w:val="40"/>
          <w:sz w:val="24"/>
        </w:rPr>
        <w:t> </w:t>
      </w:r>
      <w:r>
        <w:rPr>
          <w:sz w:val="24"/>
        </w:rPr>
        <w:t>with</w:t>
      </w:r>
      <w:r>
        <w:rPr>
          <w:spacing w:val="40"/>
          <w:sz w:val="24"/>
        </w:rPr>
        <w:t> </w:t>
      </w:r>
      <w:r>
        <w:rPr>
          <w:sz w:val="24"/>
        </w:rPr>
        <w:t>a minimum</w:t>
      </w:r>
      <w:r>
        <w:rPr>
          <w:spacing w:val="40"/>
          <w:sz w:val="24"/>
        </w:rPr>
        <w:t> </w:t>
      </w:r>
      <w:r>
        <w:rPr>
          <w:sz w:val="24"/>
        </w:rPr>
        <w:t>dimension</w:t>
      </w:r>
      <w:r>
        <w:rPr>
          <w:spacing w:val="40"/>
          <w:sz w:val="24"/>
        </w:rPr>
        <w:t> </w:t>
      </w:r>
      <w:r>
        <w:rPr>
          <w:sz w:val="24"/>
        </w:rPr>
        <w:t>of</w:t>
      </w:r>
      <w:r>
        <w:rPr>
          <w:spacing w:val="40"/>
          <w:sz w:val="24"/>
        </w:rPr>
        <w:t> </w:t>
      </w:r>
      <w:r>
        <w:rPr>
          <w:sz w:val="24"/>
        </w:rPr>
        <w:t>1.12</w:t>
      </w:r>
      <w:r>
        <w:rPr>
          <w:spacing w:val="40"/>
          <w:sz w:val="24"/>
        </w:rPr>
        <w:t> </w:t>
      </w:r>
      <w:r>
        <w:rPr>
          <w:sz w:val="24"/>
        </w:rPr>
        <w:t>m.</w:t>
      </w:r>
      <w:r>
        <w:rPr>
          <w:spacing w:val="80"/>
          <w:sz w:val="24"/>
        </w:rPr>
        <w:t> </w:t>
      </w:r>
      <w:r>
        <w:rPr>
          <w:sz w:val="24"/>
        </w:rPr>
        <w:t>It</w:t>
      </w:r>
      <w:r>
        <w:rPr>
          <w:spacing w:val="40"/>
          <w:sz w:val="24"/>
        </w:rPr>
        <w:t> </w:t>
      </w:r>
      <w:r>
        <w:rPr>
          <w:sz w:val="24"/>
        </w:rPr>
        <w:t>shall</w:t>
      </w:r>
      <w:r>
        <w:rPr>
          <w:spacing w:val="40"/>
          <w:sz w:val="24"/>
        </w:rPr>
        <w:t> </w:t>
      </w:r>
      <w:r>
        <w:rPr>
          <w:sz w:val="24"/>
        </w:rPr>
        <w:t>have</w:t>
      </w:r>
      <w:r>
        <w:rPr>
          <w:spacing w:val="40"/>
          <w:sz w:val="24"/>
        </w:rPr>
        <w:t> </w:t>
      </w:r>
      <w:r>
        <w:rPr>
          <w:sz w:val="24"/>
        </w:rPr>
        <w:t>a</w:t>
      </w:r>
      <w:r>
        <w:rPr>
          <w:spacing w:val="40"/>
          <w:sz w:val="24"/>
        </w:rPr>
        <w:t> </w:t>
      </w:r>
      <w:r>
        <w:rPr>
          <w:sz w:val="24"/>
        </w:rPr>
        <w:t>loading</w:t>
      </w:r>
      <w:r>
        <w:rPr>
          <w:spacing w:val="40"/>
          <w:sz w:val="24"/>
        </w:rPr>
        <w:t> </w:t>
      </w:r>
      <w:r>
        <w:rPr>
          <w:sz w:val="24"/>
        </w:rPr>
        <w:t>capacity</w:t>
      </w:r>
      <w:r>
        <w:rPr>
          <w:spacing w:val="40"/>
          <w:sz w:val="24"/>
        </w:rPr>
        <w:t> </w:t>
      </w:r>
      <w:r>
        <w:rPr>
          <w:sz w:val="24"/>
        </w:rPr>
        <w:t>of</w:t>
      </w:r>
      <w:r>
        <w:rPr>
          <w:spacing w:val="40"/>
          <w:sz w:val="24"/>
        </w:rPr>
        <w:t> </w:t>
      </w:r>
      <w:r>
        <w:rPr>
          <w:sz w:val="24"/>
        </w:rPr>
        <w:t>not less</w:t>
      </w:r>
      <w:r>
        <w:rPr>
          <w:spacing w:val="40"/>
          <w:sz w:val="24"/>
        </w:rPr>
        <w:t> </w:t>
      </w:r>
      <w:r>
        <w:rPr>
          <w:sz w:val="24"/>
        </w:rPr>
        <w:t>than</w:t>
      </w:r>
      <w:r>
        <w:rPr>
          <w:spacing w:val="40"/>
          <w:sz w:val="24"/>
        </w:rPr>
        <w:t> </w:t>
      </w:r>
      <w:r>
        <w:rPr>
          <w:sz w:val="24"/>
        </w:rPr>
        <w:t>545</w:t>
      </w:r>
      <w:r>
        <w:rPr>
          <w:spacing w:val="78"/>
          <w:sz w:val="24"/>
        </w:rPr>
        <w:t> </w:t>
      </w:r>
      <w:r>
        <w:rPr>
          <w:sz w:val="24"/>
        </w:rPr>
        <w:t>kg.</w:t>
      </w:r>
      <w:r>
        <w:rPr>
          <w:spacing w:val="40"/>
          <w:sz w:val="24"/>
        </w:rPr>
        <w:t> </w:t>
      </w:r>
      <w:r>
        <w:rPr>
          <w:sz w:val="24"/>
        </w:rPr>
        <w:t>(8</w:t>
      </w:r>
      <w:r>
        <w:rPr>
          <w:spacing w:val="40"/>
          <w:sz w:val="24"/>
        </w:rPr>
        <w:t> </w:t>
      </w:r>
      <w:r>
        <w:rPr>
          <w:sz w:val="24"/>
        </w:rPr>
        <w:t>persons</w:t>
      </w:r>
      <w:r>
        <w:rPr>
          <w:spacing w:val="40"/>
          <w:sz w:val="24"/>
        </w:rPr>
        <w:t> </w:t>
      </w:r>
      <w:r>
        <w:rPr>
          <w:sz w:val="24"/>
        </w:rPr>
        <w:t>lift)</w:t>
      </w:r>
      <w:r>
        <w:rPr>
          <w:spacing w:val="78"/>
          <w:sz w:val="24"/>
        </w:rPr>
        <w:t> </w:t>
      </w:r>
      <w:r>
        <w:rPr>
          <w:sz w:val="24"/>
        </w:rPr>
        <w:t>with</w:t>
      </w:r>
      <w:r>
        <w:rPr>
          <w:spacing w:val="78"/>
          <w:sz w:val="24"/>
        </w:rPr>
        <w:t> </w:t>
      </w:r>
      <w:r>
        <w:rPr>
          <w:sz w:val="24"/>
        </w:rPr>
        <w:t>automatic</w:t>
      </w:r>
      <w:r>
        <w:rPr>
          <w:spacing w:val="40"/>
          <w:sz w:val="24"/>
        </w:rPr>
        <w:t> </w:t>
      </w:r>
      <w:r>
        <w:rPr>
          <w:sz w:val="24"/>
        </w:rPr>
        <w:t>closing</w:t>
      </w:r>
      <w:r>
        <w:rPr>
          <w:spacing w:val="78"/>
          <w:sz w:val="24"/>
        </w:rPr>
        <w:t> </w:t>
      </w:r>
      <w:r>
        <w:rPr>
          <w:sz w:val="24"/>
        </w:rPr>
        <w:t>doors.</w:t>
      </w:r>
    </w:p>
    <w:p>
      <w:pPr>
        <w:pStyle w:val="ListParagraph"/>
        <w:numPr>
          <w:ilvl w:val="0"/>
          <w:numId w:val="336"/>
        </w:numPr>
        <w:tabs>
          <w:tab w:pos="1570" w:val="left" w:leader="none"/>
          <w:tab w:pos="1572" w:val="left" w:leader="none"/>
        </w:tabs>
        <w:spacing w:line="240" w:lineRule="auto" w:before="240" w:after="0"/>
        <w:ind w:left="1572" w:right="780" w:hanging="454"/>
        <w:jc w:val="both"/>
        <w:rPr>
          <w:sz w:val="24"/>
        </w:rPr>
      </w:pPr>
      <w:r>
        <w:rPr>
          <w:sz w:val="24"/>
        </w:rPr>
        <w:t>There</w:t>
      </w:r>
      <w:r>
        <w:rPr>
          <w:spacing w:val="40"/>
          <w:sz w:val="24"/>
        </w:rPr>
        <w:t> </w:t>
      </w:r>
      <w:r>
        <w:rPr>
          <w:sz w:val="24"/>
        </w:rPr>
        <w:t>shall</w:t>
      </w:r>
      <w:r>
        <w:rPr>
          <w:spacing w:val="40"/>
          <w:sz w:val="24"/>
        </w:rPr>
        <w:t> </w:t>
      </w:r>
      <w:r>
        <w:rPr>
          <w:sz w:val="24"/>
        </w:rPr>
        <w:t>be</w:t>
      </w:r>
      <w:r>
        <w:rPr>
          <w:spacing w:val="40"/>
          <w:sz w:val="24"/>
        </w:rPr>
        <w:t> </w:t>
      </w:r>
      <w:r>
        <w:rPr>
          <w:sz w:val="24"/>
        </w:rPr>
        <w:t>an</w:t>
      </w:r>
      <w:r>
        <w:rPr>
          <w:spacing w:val="40"/>
          <w:sz w:val="24"/>
        </w:rPr>
        <w:t> </w:t>
      </w:r>
      <w:r>
        <w:rPr>
          <w:sz w:val="24"/>
        </w:rPr>
        <w:t>alternate</w:t>
      </w:r>
      <w:r>
        <w:rPr>
          <w:spacing w:val="40"/>
          <w:sz w:val="24"/>
        </w:rPr>
        <w:t> </w:t>
      </w:r>
      <w:r>
        <w:rPr>
          <w:sz w:val="24"/>
        </w:rPr>
        <w:t>electric</w:t>
      </w:r>
      <w:r>
        <w:rPr>
          <w:spacing w:val="40"/>
          <w:sz w:val="24"/>
        </w:rPr>
        <w:t> </w:t>
      </w:r>
      <w:r>
        <w:rPr>
          <w:sz w:val="24"/>
        </w:rPr>
        <w:t>supply</w:t>
      </w:r>
      <w:r>
        <w:rPr>
          <w:spacing w:val="40"/>
          <w:sz w:val="24"/>
        </w:rPr>
        <w:t> </w:t>
      </w:r>
      <w:r>
        <w:rPr>
          <w:sz w:val="24"/>
        </w:rPr>
        <w:t>from</w:t>
      </w:r>
      <w:r>
        <w:rPr>
          <w:spacing w:val="40"/>
          <w:sz w:val="24"/>
        </w:rPr>
        <w:t> </w:t>
      </w:r>
      <w:r>
        <w:rPr>
          <w:sz w:val="24"/>
        </w:rPr>
        <w:t>a</w:t>
      </w:r>
      <w:r>
        <w:rPr>
          <w:spacing w:val="40"/>
          <w:sz w:val="24"/>
        </w:rPr>
        <w:t> </w:t>
      </w:r>
      <w:r>
        <w:rPr>
          <w:sz w:val="24"/>
        </w:rPr>
        <w:t>generator</w:t>
      </w:r>
      <w:r>
        <w:rPr>
          <w:spacing w:val="40"/>
          <w:sz w:val="24"/>
        </w:rPr>
        <w:t> </w:t>
      </w:r>
      <w:r>
        <w:rPr>
          <w:sz w:val="24"/>
        </w:rPr>
        <w:t>of</w:t>
      </w:r>
      <w:r>
        <w:rPr>
          <w:spacing w:val="40"/>
          <w:sz w:val="24"/>
        </w:rPr>
        <w:t> </w:t>
      </w:r>
      <w:r>
        <w:rPr>
          <w:sz w:val="24"/>
        </w:rPr>
        <w:t>an adequate</w:t>
      </w:r>
      <w:r>
        <w:rPr>
          <w:spacing w:val="40"/>
          <w:sz w:val="24"/>
        </w:rPr>
        <w:t> </w:t>
      </w:r>
      <w:r>
        <w:rPr>
          <w:sz w:val="24"/>
        </w:rPr>
        <w:t>capacity</w:t>
      </w:r>
      <w:r>
        <w:rPr>
          <w:spacing w:val="40"/>
          <w:sz w:val="24"/>
        </w:rPr>
        <w:t> </w:t>
      </w:r>
      <w:r>
        <w:rPr>
          <w:sz w:val="24"/>
        </w:rPr>
        <w:t>apart</w:t>
      </w:r>
      <w:r>
        <w:rPr>
          <w:spacing w:val="40"/>
          <w:sz w:val="24"/>
        </w:rPr>
        <w:t> </w:t>
      </w:r>
      <w:r>
        <w:rPr>
          <w:sz w:val="24"/>
        </w:rPr>
        <w:t>from</w:t>
      </w:r>
      <w:r>
        <w:rPr>
          <w:spacing w:val="40"/>
          <w:sz w:val="24"/>
        </w:rPr>
        <w:t> </w:t>
      </w:r>
      <w:r>
        <w:rPr>
          <w:sz w:val="24"/>
        </w:rPr>
        <w:t>the</w:t>
      </w:r>
      <w:r>
        <w:rPr>
          <w:spacing w:val="40"/>
          <w:sz w:val="24"/>
        </w:rPr>
        <w:t> </w:t>
      </w:r>
      <w:r>
        <w:rPr>
          <w:sz w:val="24"/>
        </w:rPr>
        <w:t>electric</w:t>
      </w:r>
      <w:r>
        <w:rPr>
          <w:spacing w:val="40"/>
          <w:sz w:val="24"/>
        </w:rPr>
        <w:t> </w:t>
      </w:r>
      <w:r>
        <w:rPr>
          <w:sz w:val="24"/>
        </w:rPr>
        <w:t>supply</w:t>
      </w:r>
      <w:r>
        <w:rPr>
          <w:spacing w:val="40"/>
          <w:sz w:val="24"/>
        </w:rPr>
        <w:t> </w:t>
      </w:r>
      <w:r>
        <w:rPr>
          <w:sz w:val="24"/>
        </w:rPr>
        <w:t>in</w:t>
      </w:r>
      <w:r>
        <w:rPr>
          <w:spacing w:val="40"/>
          <w:sz w:val="24"/>
        </w:rPr>
        <w:t> </w:t>
      </w:r>
      <w:r>
        <w:rPr>
          <w:sz w:val="24"/>
        </w:rPr>
        <w:t>the</w:t>
      </w:r>
      <w:r>
        <w:rPr>
          <w:spacing w:val="40"/>
          <w:sz w:val="24"/>
        </w:rPr>
        <w:t> </w:t>
      </w:r>
      <w:r>
        <w:rPr>
          <w:sz w:val="24"/>
        </w:rPr>
        <w:t>building</w:t>
      </w:r>
      <w:r>
        <w:rPr>
          <w:spacing w:val="40"/>
          <w:sz w:val="24"/>
        </w:rPr>
        <w:t> </w:t>
      </w:r>
      <w:r>
        <w:rPr>
          <w:sz w:val="24"/>
        </w:rPr>
        <w:t>and</w:t>
      </w:r>
      <w:r>
        <w:rPr>
          <w:spacing w:val="40"/>
          <w:sz w:val="24"/>
        </w:rPr>
        <w:t> </w:t>
      </w:r>
      <w:r>
        <w:rPr>
          <w:sz w:val="24"/>
        </w:rPr>
        <w:t>the</w:t>
      </w:r>
      <w:r>
        <w:rPr>
          <w:spacing w:val="40"/>
          <w:sz w:val="24"/>
        </w:rPr>
        <w:t> </w:t>
      </w:r>
      <w:r>
        <w:rPr>
          <w:sz w:val="24"/>
        </w:rPr>
        <w:t>cables</w:t>
      </w:r>
      <w:r>
        <w:rPr>
          <w:spacing w:val="40"/>
          <w:sz w:val="24"/>
        </w:rPr>
        <w:t> </w:t>
      </w:r>
      <w:r>
        <w:rPr>
          <w:sz w:val="24"/>
        </w:rPr>
        <w:t>shall</w:t>
      </w:r>
      <w:r>
        <w:rPr>
          <w:spacing w:val="40"/>
          <w:sz w:val="24"/>
        </w:rPr>
        <w:t> </w:t>
      </w:r>
      <w:r>
        <w:rPr>
          <w:sz w:val="24"/>
        </w:rPr>
        <w:t>run</w:t>
      </w:r>
      <w:r>
        <w:rPr>
          <w:spacing w:val="40"/>
          <w:sz w:val="24"/>
        </w:rPr>
        <w:t> </w:t>
      </w:r>
      <w:r>
        <w:rPr>
          <w:sz w:val="24"/>
        </w:rPr>
        <w:t>in</w:t>
      </w:r>
      <w:r>
        <w:rPr>
          <w:spacing w:val="40"/>
          <w:sz w:val="24"/>
        </w:rPr>
        <w:t> </w:t>
      </w:r>
      <w:r>
        <w:rPr>
          <w:sz w:val="24"/>
        </w:rPr>
        <w:t>a</w:t>
      </w:r>
      <w:r>
        <w:rPr>
          <w:spacing w:val="40"/>
          <w:sz w:val="24"/>
        </w:rPr>
        <w:t> </w:t>
      </w:r>
      <w:r>
        <w:rPr>
          <w:sz w:val="24"/>
        </w:rPr>
        <w:t>route</w:t>
      </w:r>
      <w:r>
        <w:rPr>
          <w:spacing w:val="40"/>
          <w:sz w:val="24"/>
        </w:rPr>
        <w:t> </w:t>
      </w:r>
      <w:r>
        <w:rPr>
          <w:sz w:val="24"/>
        </w:rPr>
        <w:t>safe</w:t>
      </w:r>
      <w:r>
        <w:rPr>
          <w:spacing w:val="40"/>
          <w:sz w:val="24"/>
        </w:rPr>
        <w:t> </w:t>
      </w:r>
      <w:r>
        <w:rPr>
          <w:sz w:val="24"/>
        </w:rPr>
        <w:t>from</w:t>
      </w:r>
      <w:r>
        <w:rPr>
          <w:spacing w:val="40"/>
          <w:sz w:val="24"/>
        </w:rPr>
        <w:t> </w:t>
      </w:r>
      <w:r>
        <w:rPr>
          <w:sz w:val="24"/>
        </w:rPr>
        <w:t>fire,</w:t>
      </w:r>
      <w:r>
        <w:rPr>
          <w:spacing w:val="40"/>
          <w:sz w:val="24"/>
        </w:rPr>
        <w:t> </w:t>
      </w:r>
      <w:r>
        <w:rPr>
          <w:sz w:val="24"/>
        </w:rPr>
        <w:t>i.e.</w:t>
      </w:r>
      <w:r>
        <w:rPr>
          <w:spacing w:val="40"/>
          <w:sz w:val="24"/>
        </w:rPr>
        <w:t> </w:t>
      </w:r>
      <w:r>
        <w:rPr>
          <w:sz w:val="24"/>
        </w:rPr>
        <w:t>within</w:t>
      </w:r>
      <w:r>
        <w:rPr>
          <w:spacing w:val="40"/>
          <w:sz w:val="24"/>
        </w:rPr>
        <w:t> </w:t>
      </w:r>
      <w:r>
        <w:rPr>
          <w:sz w:val="24"/>
        </w:rPr>
        <w:t>the</w:t>
      </w:r>
      <w:r>
        <w:rPr>
          <w:spacing w:val="40"/>
          <w:sz w:val="24"/>
        </w:rPr>
        <w:t> </w:t>
      </w:r>
      <w:r>
        <w:rPr>
          <w:sz w:val="24"/>
        </w:rPr>
        <w:t>lift</w:t>
      </w:r>
      <w:r>
        <w:rPr>
          <w:spacing w:val="40"/>
          <w:sz w:val="24"/>
        </w:rPr>
        <w:t> </w:t>
      </w:r>
      <w:r>
        <w:rPr>
          <w:sz w:val="24"/>
        </w:rPr>
        <w:t>shaft. In</w:t>
      </w:r>
      <w:r>
        <w:rPr>
          <w:spacing w:val="40"/>
          <w:sz w:val="24"/>
        </w:rPr>
        <w:t> </w:t>
      </w:r>
      <w:r>
        <w:rPr>
          <w:sz w:val="24"/>
        </w:rPr>
        <w:t>case</w:t>
      </w:r>
      <w:r>
        <w:rPr>
          <w:spacing w:val="40"/>
          <w:sz w:val="24"/>
        </w:rPr>
        <w:t> </w:t>
      </w:r>
      <w:r>
        <w:rPr>
          <w:sz w:val="24"/>
        </w:rPr>
        <w:t>of</w:t>
      </w:r>
      <w:r>
        <w:rPr>
          <w:spacing w:val="40"/>
          <w:sz w:val="24"/>
        </w:rPr>
        <w:t> </w:t>
      </w:r>
      <w:r>
        <w:rPr>
          <w:sz w:val="24"/>
        </w:rPr>
        <w:t>failure</w:t>
      </w:r>
      <w:r>
        <w:rPr>
          <w:spacing w:val="40"/>
          <w:sz w:val="24"/>
        </w:rPr>
        <w:t> </w:t>
      </w:r>
      <w:r>
        <w:rPr>
          <w:sz w:val="24"/>
        </w:rPr>
        <w:t>of</w:t>
      </w:r>
      <w:r>
        <w:rPr>
          <w:spacing w:val="40"/>
          <w:sz w:val="24"/>
        </w:rPr>
        <w:t> </w:t>
      </w:r>
      <w:r>
        <w:rPr>
          <w:sz w:val="24"/>
        </w:rPr>
        <w:t>normal</w:t>
      </w:r>
      <w:r>
        <w:rPr>
          <w:spacing w:val="40"/>
          <w:sz w:val="24"/>
        </w:rPr>
        <w:t> </w:t>
      </w:r>
      <w:r>
        <w:rPr>
          <w:sz w:val="24"/>
        </w:rPr>
        <w:t>electric</w:t>
      </w:r>
      <w:r>
        <w:rPr>
          <w:spacing w:val="40"/>
          <w:sz w:val="24"/>
        </w:rPr>
        <w:t> </w:t>
      </w:r>
      <w:r>
        <w:rPr>
          <w:sz w:val="24"/>
        </w:rPr>
        <w:t>supply,</w:t>
      </w:r>
      <w:r>
        <w:rPr>
          <w:spacing w:val="40"/>
          <w:sz w:val="24"/>
        </w:rPr>
        <w:t> </w:t>
      </w:r>
      <w:r>
        <w:rPr>
          <w:sz w:val="24"/>
        </w:rPr>
        <w:t>it</w:t>
      </w:r>
      <w:r>
        <w:rPr>
          <w:spacing w:val="40"/>
          <w:sz w:val="24"/>
        </w:rPr>
        <w:t> </w:t>
      </w:r>
      <w:r>
        <w:rPr>
          <w:spacing w:val="9"/>
          <w:sz w:val="24"/>
        </w:rPr>
        <w:t>shall</w:t>
      </w:r>
      <w:r>
        <w:rPr>
          <w:spacing w:val="40"/>
          <w:sz w:val="24"/>
        </w:rPr>
        <w:t> </w:t>
      </w:r>
      <w:r>
        <w:rPr>
          <w:sz w:val="24"/>
        </w:rPr>
        <w:t>automatically</w:t>
      </w:r>
      <w:r>
        <w:rPr>
          <w:spacing w:val="40"/>
          <w:sz w:val="24"/>
        </w:rPr>
        <w:t> </w:t>
      </w:r>
      <w:r>
        <w:rPr>
          <w:sz w:val="24"/>
        </w:rPr>
        <w:t>trip over to alternate supply.</w:t>
      </w:r>
      <w:r>
        <w:rPr>
          <w:spacing w:val="40"/>
          <w:sz w:val="24"/>
        </w:rPr>
        <w:t> </w:t>
      </w:r>
      <w:r>
        <w:rPr>
          <w:sz w:val="24"/>
        </w:rPr>
        <w:t>For apartment buildings, this change over of supply</w:t>
      </w:r>
      <w:r>
        <w:rPr>
          <w:spacing w:val="40"/>
          <w:sz w:val="24"/>
        </w:rPr>
        <w:t> </w:t>
      </w:r>
      <w:r>
        <w:rPr>
          <w:sz w:val="24"/>
        </w:rPr>
        <w:t>could</w:t>
      </w:r>
      <w:r>
        <w:rPr>
          <w:spacing w:val="40"/>
          <w:sz w:val="24"/>
        </w:rPr>
        <w:t> </w:t>
      </w:r>
      <w:r>
        <w:rPr>
          <w:sz w:val="24"/>
        </w:rPr>
        <w:t>be</w:t>
      </w:r>
      <w:r>
        <w:rPr>
          <w:spacing w:val="40"/>
          <w:sz w:val="24"/>
        </w:rPr>
        <w:t> </w:t>
      </w:r>
      <w:r>
        <w:rPr>
          <w:sz w:val="24"/>
        </w:rPr>
        <w:t>done</w:t>
      </w:r>
      <w:r>
        <w:rPr>
          <w:spacing w:val="40"/>
          <w:sz w:val="24"/>
        </w:rPr>
        <w:t> </w:t>
      </w:r>
      <w:r>
        <w:rPr>
          <w:sz w:val="24"/>
        </w:rPr>
        <w:t>through</w:t>
      </w:r>
      <w:r>
        <w:rPr>
          <w:spacing w:val="40"/>
          <w:sz w:val="24"/>
        </w:rPr>
        <w:t> </w:t>
      </w:r>
      <w:r>
        <w:rPr>
          <w:sz w:val="24"/>
        </w:rPr>
        <w:t>a</w:t>
      </w:r>
      <w:r>
        <w:rPr>
          <w:spacing w:val="40"/>
          <w:sz w:val="24"/>
        </w:rPr>
        <w:t> </w:t>
      </w:r>
      <w:r>
        <w:rPr>
          <w:sz w:val="24"/>
        </w:rPr>
        <w:t>manually</w:t>
      </w:r>
      <w:r>
        <w:rPr>
          <w:spacing w:val="40"/>
          <w:sz w:val="24"/>
        </w:rPr>
        <w:t> </w:t>
      </w:r>
      <w:r>
        <w:rPr>
          <w:sz w:val="24"/>
        </w:rPr>
        <w:t>operated</w:t>
      </w:r>
      <w:r>
        <w:rPr>
          <w:spacing w:val="40"/>
          <w:sz w:val="24"/>
        </w:rPr>
        <w:t> </w:t>
      </w:r>
      <w:r>
        <w:rPr>
          <w:spacing w:val="11"/>
          <w:sz w:val="24"/>
        </w:rPr>
        <w:t>change-</w:t>
      </w:r>
      <w:r>
        <w:rPr>
          <w:sz w:val="24"/>
        </w:rPr>
        <w:t>over</w:t>
      </w:r>
      <w:r>
        <w:rPr>
          <w:spacing w:val="80"/>
          <w:w w:val="150"/>
          <w:sz w:val="24"/>
        </w:rPr>
        <w:t> </w:t>
      </w:r>
      <w:r>
        <w:rPr>
          <w:spacing w:val="-2"/>
          <w:sz w:val="24"/>
        </w:rPr>
        <w:t>switch.</w:t>
      </w:r>
    </w:p>
    <w:p>
      <w:pPr>
        <w:pStyle w:val="ListParagraph"/>
        <w:numPr>
          <w:ilvl w:val="0"/>
          <w:numId w:val="336"/>
        </w:numPr>
        <w:tabs>
          <w:tab w:pos="1570" w:val="left" w:leader="none"/>
          <w:tab w:pos="1572" w:val="left" w:leader="none"/>
        </w:tabs>
        <w:spacing w:line="240" w:lineRule="auto" w:before="238" w:after="0"/>
        <w:ind w:left="1572" w:right="797" w:hanging="454"/>
        <w:jc w:val="both"/>
        <w:rPr>
          <w:sz w:val="24"/>
        </w:rPr>
      </w:pPr>
      <w:r>
        <w:rPr>
          <w:sz w:val="24"/>
        </w:rPr>
        <w:t>The</w:t>
      </w:r>
      <w:r>
        <w:rPr>
          <w:spacing w:val="40"/>
          <w:sz w:val="24"/>
        </w:rPr>
        <w:t> </w:t>
      </w:r>
      <w:r>
        <w:rPr>
          <w:sz w:val="24"/>
        </w:rPr>
        <w:t>operation</w:t>
      </w:r>
      <w:r>
        <w:rPr>
          <w:spacing w:val="40"/>
          <w:sz w:val="24"/>
        </w:rPr>
        <w:t> </w:t>
      </w:r>
      <w:r>
        <w:rPr>
          <w:sz w:val="24"/>
        </w:rPr>
        <w:t>of</w:t>
      </w:r>
      <w:r>
        <w:rPr>
          <w:spacing w:val="40"/>
          <w:sz w:val="24"/>
        </w:rPr>
        <w:t> </w:t>
      </w:r>
      <w:r>
        <w:rPr>
          <w:sz w:val="24"/>
        </w:rPr>
        <w:t>a</w:t>
      </w:r>
      <w:r>
        <w:rPr>
          <w:spacing w:val="40"/>
          <w:sz w:val="24"/>
        </w:rPr>
        <w:t> </w:t>
      </w:r>
      <w:r>
        <w:rPr>
          <w:sz w:val="24"/>
        </w:rPr>
        <w:t>fire</w:t>
      </w:r>
      <w:r>
        <w:rPr>
          <w:spacing w:val="40"/>
          <w:sz w:val="24"/>
        </w:rPr>
        <w:t> </w:t>
      </w:r>
      <w:r>
        <w:rPr>
          <w:sz w:val="24"/>
        </w:rPr>
        <w:t>lift</w:t>
      </w:r>
      <w:r>
        <w:rPr>
          <w:spacing w:val="40"/>
          <w:sz w:val="24"/>
        </w:rPr>
        <w:t> </w:t>
      </w:r>
      <w:r>
        <w:rPr>
          <w:sz w:val="24"/>
        </w:rPr>
        <w:t>shall</w:t>
      </w:r>
      <w:r>
        <w:rPr>
          <w:spacing w:val="40"/>
          <w:sz w:val="24"/>
        </w:rPr>
        <w:t> </w:t>
      </w:r>
      <w:r>
        <w:rPr>
          <w:sz w:val="24"/>
        </w:rPr>
        <w:t>be</w:t>
      </w:r>
      <w:r>
        <w:rPr>
          <w:spacing w:val="40"/>
          <w:sz w:val="24"/>
        </w:rPr>
        <w:t> </w:t>
      </w:r>
      <w:r>
        <w:rPr>
          <w:sz w:val="24"/>
        </w:rPr>
        <w:t>by</w:t>
      </w:r>
      <w:r>
        <w:rPr>
          <w:spacing w:val="40"/>
          <w:sz w:val="24"/>
        </w:rPr>
        <w:t> </w:t>
      </w:r>
      <w:r>
        <w:rPr>
          <w:sz w:val="24"/>
        </w:rPr>
        <w:t>a</w:t>
      </w:r>
      <w:r>
        <w:rPr>
          <w:spacing w:val="40"/>
          <w:sz w:val="24"/>
        </w:rPr>
        <w:t> </w:t>
      </w:r>
      <w:r>
        <w:rPr>
          <w:sz w:val="24"/>
        </w:rPr>
        <w:t>simple</w:t>
      </w:r>
      <w:r>
        <w:rPr>
          <w:spacing w:val="40"/>
          <w:sz w:val="24"/>
        </w:rPr>
        <w:t> </w:t>
      </w:r>
      <w:r>
        <w:rPr>
          <w:sz w:val="24"/>
        </w:rPr>
        <w:t>toggle</w:t>
      </w:r>
      <w:r>
        <w:rPr>
          <w:spacing w:val="40"/>
          <w:sz w:val="24"/>
        </w:rPr>
        <w:t> </w:t>
      </w:r>
      <w:r>
        <w:rPr>
          <w:sz w:val="24"/>
        </w:rPr>
        <w:t>or</w:t>
      </w:r>
      <w:r>
        <w:rPr>
          <w:spacing w:val="40"/>
          <w:sz w:val="24"/>
        </w:rPr>
        <w:t> </w:t>
      </w:r>
      <w:r>
        <w:rPr>
          <w:sz w:val="24"/>
        </w:rPr>
        <w:t>two</w:t>
      </w:r>
      <w:r>
        <w:rPr>
          <w:spacing w:val="40"/>
          <w:sz w:val="24"/>
        </w:rPr>
        <w:t> </w:t>
      </w:r>
      <w:r>
        <w:rPr>
          <w:sz w:val="24"/>
        </w:rPr>
        <w:t>button switch</w:t>
      </w:r>
      <w:r>
        <w:rPr>
          <w:spacing w:val="77"/>
          <w:w w:val="150"/>
          <w:sz w:val="24"/>
        </w:rPr>
        <w:t> </w:t>
      </w:r>
      <w:r>
        <w:rPr>
          <w:sz w:val="24"/>
        </w:rPr>
        <w:t>situated</w:t>
      </w:r>
      <w:r>
        <w:rPr>
          <w:spacing w:val="77"/>
          <w:w w:val="150"/>
          <w:sz w:val="24"/>
        </w:rPr>
        <w:t> </w:t>
      </w:r>
      <w:r>
        <w:rPr>
          <w:sz w:val="24"/>
        </w:rPr>
        <w:t>in</w:t>
      </w:r>
      <w:r>
        <w:rPr>
          <w:spacing w:val="80"/>
          <w:w w:val="150"/>
          <w:sz w:val="24"/>
        </w:rPr>
        <w:t> </w:t>
      </w:r>
      <w:r>
        <w:rPr>
          <w:sz w:val="24"/>
        </w:rPr>
        <w:t>a</w:t>
      </w:r>
      <w:r>
        <w:rPr>
          <w:spacing w:val="80"/>
          <w:w w:val="150"/>
          <w:sz w:val="24"/>
        </w:rPr>
        <w:t> </w:t>
      </w:r>
      <w:r>
        <w:rPr>
          <w:sz w:val="24"/>
        </w:rPr>
        <w:t>glass</w:t>
      </w:r>
      <w:r>
        <w:rPr>
          <w:spacing w:val="80"/>
          <w:w w:val="150"/>
          <w:sz w:val="24"/>
        </w:rPr>
        <w:t> </w:t>
      </w:r>
      <w:r>
        <w:rPr>
          <w:sz w:val="24"/>
        </w:rPr>
        <w:t>fronted</w:t>
      </w:r>
      <w:r>
        <w:rPr>
          <w:spacing w:val="80"/>
          <w:w w:val="150"/>
          <w:sz w:val="24"/>
        </w:rPr>
        <w:t> </w:t>
      </w:r>
      <w:r>
        <w:rPr>
          <w:sz w:val="24"/>
        </w:rPr>
        <w:t>box</w:t>
      </w:r>
      <w:r>
        <w:rPr>
          <w:spacing w:val="77"/>
          <w:w w:val="150"/>
          <w:sz w:val="24"/>
        </w:rPr>
        <w:t> </w:t>
      </w:r>
      <w:r>
        <w:rPr>
          <w:sz w:val="24"/>
        </w:rPr>
        <w:t>adjacent</w:t>
      </w:r>
      <w:r>
        <w:rPr>
          <w:spacing w:val="80"/>
          <w:w w:val="150"/>
          <w:sz w:val="24"/>
        </w:rPr>
        <w:t> </w:t>
      </w:r>
      <w:r>
        <w:rPr>
          <w:sz w:val="24"/>
        </w:rPr>
        <w:t>to</w:t>
      </w:r>
      <w:r>
        <w:rPr>
          <w:spacing w:val="77"/>
          <w:w w:val="150"/>
          <w:sz w:val="24"/>
        </w:rPr>
        <w:t> </w:t>
      </w:r>
      <w:r>
        <w:rPr>
          <w:sz w:val="24"/>
        </w:rPr>
        <w:t>the</w:t>
      </w:r>
      <w:r>
        <w:rPr>
          <w:spacing w:val="77"/>
          <w:w w:val="150"/>
          <w:sz w:val="24"/>
        </w:rPr>
        <w:t> </w:t>
      </w:r>
      <w:r>
        <w:rPr>
          <w:sz w:val="24"/>
        </w:rPr>
        <w:t>lift</w:t>
      </w:r>
      <w:r>
        <w:rPr>
          <w:spacing w:val="80"/>
          <w:w w:val="150"/>
          <w:sz w:val="24"/>
        </w:rPr>
        <w:t> </w:t>
      </w:r>
      <w:r>
        <w:rPr>
          <w:sz w:val="24"/>
        </w:rPr>
        <w:t>at</w:t>
      </w:r>
      <w:r>
        <w:rPr>
          <w:spacing w:val="77"/>
          <w:w w:val="150"/>
          <w:sz w:val="24"/>
        </w:rPr>
        <w:t> </w:t>
      </w:r>
      <w:r>
        <w:rPr>
          <w:sz w:val="24"/>
        </w:rPr>
        <w:t>the</w:t>
      </w:r>
    </w:p>
    <w:p>
      <w:pPr>
        <w:pStyle w:val="ListParagraph"/>
        <w:spacing w:after="0" w:line="240" w:lineRule="auto"/>
        <w:jc w:val="both"/>
        <w:rPr>
          <w:sz w:val="24"/>
        </w:rPr>
        <w:sectPr>
          <w:pgSz w:w="11910" w:h="16850"/>
          <w:pgMar w:header="1024" w:footer="1302" w:top="1480" w:bottom="1500" w:left="360" w:right="360"/>
        </w:sectPr>
      </w:pPr>
    </w:p>
    <w:p>
      <w:pPr>
        <w:pStyle w:val="BodyText"/>
        <w:spacing w:before="276"/>
        <w:ind w:left="1572" w:right="785"/>
      </w:pPr>
      <w:r>
        <w:rPr/>
        <w:t>entrance level.</w:t>
      </w:r>
      <w:r>
        <w:rPr>
          <w:spacing w:val="40"/>
        </w:rPr>
        <w:t> </w:t>
      </w:r>
      <w:r>
        <w:rPr/>
        <w:t>When the switch is on, landing </w:t>
      </w:r>
      <w:r>
        <w:rPr>
          <w:spacing w:val="9"/>
        </w:rPr>
        <w:t>call-</w:t>
      </w:r>
      <w:r>
        <w:rPr/>
        <w:t>points will become inoperative</w:t>
      </w:r>
      <w:r>
        <w:rPr>
          <w:spacing w:val="40"/>
        </w:rPr>
        <w:t> </w:t>
      </w:r>
      <w:r>
        <w:rPr/>
        <w:t>and</w:t>
      </w:r>
      <w:r>
        <w:rPr>
          <w:spacing w:val="40"/>
        </w:rPr>
        <w:t> </w:t>
      </w:r>
      <w:r>
        <w:rPr/>
        <w:t>the</w:t>
      </w:r>
      <w:r>
        <w:rPr>
          <w:spacing w:val="40"/>
        </w:rPr>
        <w:t> </w:t>
      </w:r>
      <w:r>
        <w:rPr/>
        <w:t>lift</w:t>
      </w:r>
      <w:r>
        <w:rPr>
          <w:spacing w:val="40"/>
        </w:rPr>
        <w:t> </w:t>
      </w:r>
      <w:r>
        <w:rPr/>
        <w:t>will</w:t>
      </w:r>
      <w:r>
        <w:rPr>
          <w:spacing w:val="40"/>
        </w:rPr>
        <w:t> </w:t>
      </w:r>
      <w:r>
        <w:rPr/>
        <w:t>be</w:t>
      </w:r>
      <w:r>
        <w:rPr>
          <w:spacing w:val="40"/>
        </w:rPr>
        <w:t> </w:t>
      </w:r>
      <w:r>
        <w:rPr/>
        <w:t>on</w:t>
      </w:r>
      <w:r>
        <w:rPr>
          <w:spacing w:val="40"/>
        </w:rPr>
        <w:t> </w:t>
      </w:r>
      <w:r>
        <w:rPr/>
        <w:t>care</w:t>
      </w:r>
      <w:r>
        <w:rPr>
          <w:spacing w:val="40"/>
        </w:rPr>
        <w:t> </w:t>
      </w:r>
      <w:r>
        <w:rPr/>
        <w:t>control</w:t>
      </w:r>
      <w:r>
        <w:rPr>
          <w:spacing w:val="40"/>
        </w:rPr>
        <w:t> </w:t>
      </w:r>
      <w:r>
        <w:rPr/>
        <w:t>only</w:t>
      </w:r>
      <w:r>
        <w:rPr>
          <w:spacing w:val="40"/>
        </w:rPr>
        <w:t> </w:t>
      </w:r>
      <w:r>
        <w:rPr/>
        <w:t>or</w:t>
      </w:r>
      <w:r>
        <w:rPr>
          <w:spacing w:val="40"/>
        </w:rPr>
        <w:t> </w:t>
      </w:r>
      <w:r>
        <w:rPr/>
        <w:t>on</w:t>
      </w:r>
      <w:r>
        <w:rPr>
          <w:spacing w:val="40"/>
        </w:rPr>
        <w:t> </w:t>
      </w:r>
      <w:r>
        <w:rPr/>
        <w:t>priority control device.</w:t>
      </w:r>
      <w:r>
        <w:rPr>
          <w:spacing w:val="80"/>
        </w:rPr>
        <w:t> </w:t>
      </w:r>
      <w:r>
        <w:rPr/>
        <w:t>When the switch is off, the lift will return to normal working.</w:t>
      </w:r>
      <w:r>
        <w:rPr>
          <w:spacing w:val="40"/>
        </w:rPr>
        <w:t>  </w:t>
      </w:r>
      <w:r>
        <w:rPr/>
        <w:t>This</w:t>
      </w:r>
      <w:r>
        <w:rPr>
          <w:spacing w:val="40"/>
        </w:rPr>
        <w:t> </w:t>
      </w:r>
      <w:r>
        <w:rPr/>
        <w:t>lift</w:t>
      </w:r>
      <w:r>
        <w:rPr>
          <w:spacing w:val="40"/>
        </w:rPr>
        <w:t> </w:t>
      </w:r>
      <w:r>
        <w:rPr/>
        <w:t>can</w:t>
      </w:r>
      <w:r>
        <w:rPr>
          <w:spacing w:val="40"/>
        </w:rPr>
        <w:t> </w:t>
      </w:r>
      <w:r>
        <w:rPr/>
        <w:t>be</w:t>
      </w:r>
      <w:r>
        <w:rPr>
          <w:spacing w:val="40"/>
        </w:rPr>
        <w:t> </w:t>
      </w:r>
      <w:r>
        <w:rPr/>
        <w:t>used</w:t>
      </w:r>
      <w:r>
        <w:rPr>
          <w:spacing w:val="40"/>
        </w:rPr>
        <w:t> </w:t>
      </w:r>
      <w:r>
        <w:rPr/>
        <w:t>by</w:t>
      </w:r>
      <w:r>
        <w:rPr>
          <w:spacing w:val="40"/>
        </w:rPr>
        <w:t> </w:t>
      </w:r>
      <w:r>
        <w:rPr/>
        <w:t>the</w:t>
      </w:r>
      <w:r>
        <w:rPr>
          <w:spacing w:val="40"/>
        </w:rPr>
        <w:t> </w:t>
      </w:r>
      <w:r>
        <w:rPr/>
        <w:t>occupants</w:t>
      </w:r>
      <w:r>
        <w:rPr>
          <w:spacing w:val="40"/>
        </w:rPr>
        <w:t> </w:t>
      </w:r>
      <w:r>
        <w:rPr/>
        <w:t>in</w:t>
      </w:r>
      <w:r>
        <w:rPr>
          <w:spacing w:val="40"/>
        </w:rPr>
        <w:t> </w:t>
      </w:r>
      <w:r>
        <w:rPr/>
        <w:t>normal</w:t>
      </w:r>
      <w:r>
        <w:rPr>
          <w:spacing w:val="40"/>
        </w:rPr>
        <w:t> </w:t>
      </w:r>
      <w:r>
        <w:rPr/>
        <w:t>times.</w:t>
      </w:r>
    </w:p>
    <w:p>
      <w:pPr>
        <w:pStyle w:val="ListParagraph"/>
        <w:numPr>
          <w:ilvl w:val="0"/>
          <w:numId w:val="336"/>
        </w:numPr>
        <w:tabs>
          <w:tab w:pos="1570" w:val="left" w:leader="none"/>
          <w:tab w:pos="1572" w:val="left" w:leader="none"/>
        </w:tabs>
        <w:spacing w:line="240" w:lineRule="auto" w:before="241" w:after="0"/>
        <w:ind w:left="1572" w:right="803" w:hanging="454"/>
        <w:jc w:val="both"/>
        <w:rPr>
          <w:sz w:val="24"/>
        </w:rPr>
      </w:pPr>
      <w:r>
        <w:rPr>
          <w:sz w:val="24"/>
        </w:rPr>
        <w:t>The words 'FIRE LIFT' shall be conspicuously displayed in fluorescent paint</w:t>
      </w:r>
      <w:r>
        <w:rPr>
          <w:spacing w:val="40"/>
          <w:sz w:val="24"/>
        </w:rPr>
        <w:t> </w:t>
      </w:r>
      <w:r>
        <w:rPr>
          <w:sz w:val="24"/>
        </w:rPr>
        <w:t>on</w:t>
      </w:r>
      <w:r>
        <w:rPr>
          <w:spacing w:val="40"/>
          <w:sz w:val="24"/>
        </w:rPr>
        <w:t> </w:t>
      </w:r>
      <w:r>
        <w:rPr>
          <w:sz w:val="24"/>
        </w:rPr>
        <w:t>the</w:t>
      </w:r>
      <w:r>
        <w:rPr>
          <w:spacing w:val="40"/>
          <w:sz w:val="24"/>
        </w:rPr>
        <w:t> </w:t>
      </w:r>
      <w:r>
        <w:rPr>
          <w:sz w:val="24"/>
        </w:rPr>
        <w:t>lift</w:t>
      </w:r>
      <w:r>
        <w:rPr>
          <w:spacing w:val="40"/>
          <w:sz w:val="24"/>
        </w:rPr>
        <w:t> </w:t>
      </w:r>
      <w:r>
        <w:rPr>
          <w:sz w:val="24"/>
        </w:rPr>
        <w:t>landing</w:t>
      </w:r>
      <w:r>
        <w:rPr>
          <w:spacing w:val="40"/>
          <w:sz w:val="24"/>
        </w:rPr>
        <w:t> </w:t>
      </w:r>
      <w:r>
        <w:rPr>
          <w:sz w:val="24"/>
        </w:rPr>
        <w:t>doors</w:t>
      </w:r>
      <w:r>
        <w:rPr>
          <w:spacing w:val="40"/>
          <w:sz w:val="24"/>
        </w:rPr>
        <w:t> </w:t>
      </w:r>
      <w:r>
        <w:rPr>
          <w:sz w:val="24"/>
        </w:rPr>
        <w:t>at</w:t>
      </w:r>
      <w:r>
        <w:rPr>
          <w:spacing w:val="40"/>
          <w:sz w:val="24"/>
        </w:rPr>
        <w:t> </w:t>
      </w:r>
      <w:r>
        <w:rPr>
          <w:sz w:val="24"/>
        </w:rPr>
        <w:t>each</w:t>
      </w:r>
      <w:r>
        <w:rPr>
          <w:spacing w:val="40"/>
          <w:sz w:val="24"/>
        </w:rPr>
        <w:t> </w:t>
      </w:r>
      <w:r>
        <w:rPr>
          <w:sz w:val="24"/>
        </w:rPr>
        <w:t>floor</w:t>
      </w:r>
      <w:r>
        <w:rPr>
          <w:spacing w:val="40"/>
          <w:sz w:val="24"/>
        </w:rPr>
        <w:t> </w:t>
      </w:r>
      <w:r>
        <w:rPr>
          <w:spacing w:val="9"/>
          <w:sz w:val="24"/>
        </w:rPr>
        <w:t>level.</w:t>
      </w:r>
    </w:p>
    <w:p>
      <w:pPr>
        <w:pStyle w:val="ListParagraph"/>
        <w:numPr>
          <w:ilvl w:val="0"/>
          <w:numId w:val="336"/>
        </w:numPr>
        <w:tabs>
          <w:tab w:pos="1569" w:val="left" w:leader="none"/>
          <w:tab w:pos="1572" w:val="left" w:leader="none"/>
        </w:tabs>
        <w:spacing w:line="240" w:lineRule="auto" w:before="238" w:after="0"/>
        <w:ind w:left="1572" w:right="787" w:hanging="454"/>
        <w:jc w:val="both"/>
        <w:rPr>
          <w:sz w:val="24"/>
        </w:rPr>
      </w:pPr>
      <w:r>
        <w:rPr>
          <w:sz w:val="24"/>
        </w:rPr>
        <w:t>Collapsible</w:t>
      </w:r>
      <w:r>
        <w:rPr>
          <w:spacing w:val="40"/>
          <w:sz w:val="24"/>
        </w:rPr>
        <w:t> </w:t>
      </w:r>
      <w:r>
        <w:rPr>
          <w:sz w:val="24"/>
        </w:rPr>
        <w:t>gates</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permitted</w:t>
      </w:r>
      <w:r>
        <w:rPr>
          <w:spacing w:val="40"/>
          <w:sz w:val="24"/>
        </w:rPr>
        <w:t> </w:t>
      </w:r>
      <w:r>
        <w:rPr>
          <w:sz w:val="24"/>
        </w:rPr>
        <w:t>for</w:t>
      </w:r>
      <w:r>
        <w:rPr>
          <w:spacing w:val="40"/>
          <w:sz w:val="24"/>
        </w:rPr>
        <w:t> </w:t>
      </w:r>
      <w:r>
        <w:rPr>
          <w:sz w:val="24"/>
        </w:rPr>
        <w:t>lifts;</w:t>
      </w:r>
      <w:r>
        <w:rPr>
          <w:spacing w:val="40"/>
          <w:sz w:val="24"/>
        </w:rPr>
        <w:t> </w:t>
      </w:r>
      <w:r>
        <w:rPr>
          <w:sz w:val="24"/>
        </w:rPr>
        <w:t>the</w:t>
      </w:r>
      <w:r>
        <w:rPr>
          <w:spacing w:val="40"/>
          <w:sz w:val="24"/>
        </w:rPr>
        <w:t> </w:t>
      </w:r>
      <w:r>
        <w:rPr>
          <w:sz w:val="24"/>
        </w:rPr>
        <w:t>lifts</w:t>
      </w:r>
      <w:r>
        <w:rPr>
          <w:spacing w:val="40"/>
          <w:sz w:val="24"/>
        </w:rPr>
        <w:t> </w:t>
      </w:r>
      <w:r>
        <w:rPr>
          <w:sz w:val="24"/>
        </w:rPr>
        <w:t>shall</w:t>
      </w:r>
      <w:r>
        <w:rPr>
          <w:spacing w:val="40"/>
          <w:sz w:val="24"/>
        </w:rPr>
        <w:t> </w:t>
      </w:r>
      <w:r>
        <w:rPr>
          <w:sz w:val="24"/>
        </w:rPr>
        <w:t>have solid</w:t>
      </w:r>
      <w:r>
        <w:rPr>
          <w:spacing w:val="40"/>
          <w:sz w:val="24"/>
        </w:rPr>
        <w:t> </w:t>
      </w:r>
      <w:r>
        <w:rPr>
          <w:sz w:val="24"/>
        </w:rPr>
        <w:t>doors</w:t>
      </w:r>
      <w:r>
        <w:rPr>
          <w:spacing w:val="40"/>
          <w:sz w:val="24"/>
        </w:rPr>
        <w:t> </w:t>
      </w:r>
      <w:r>
        <w:rPr>
          <w:sz w:val="24"/>
        </w:rPr>
        <w:t>with</w:t>
      </w:r>
      <w:r>
        <w:rPr>
          <w:spacing w:val="40"/>
          <w:sz w:val="24"/>
        </w:rPr>
        <w:t> </w:t>
      </w:r>
      <w:r>
        <w:rPr>
          <w:sz w:val="24"/>
        </w:rPr>
        <w:t>fire</w:t>
      </w:r>
      <w:r>
        <w:rPr>
          <w:spacing w:val="40"/>
          <w:sz w:val="24"/>
        </w:rPr>
        <w:t> </w:t>
      </w:r>
      <w:r>
        <w:rPr>
          <w:sz w:val="24"/>
        </w:rPr>
        <w:t>resistance</w:t>
      </w:r>
      <w:r>
        <w:rPr>
          <w:spacing w:val="40"/>
          <w:sz w:val="24"/>
        </w:rPr>
        <w:t> </w:t>
      </w:r>
      <w:r>
        <w:rPr>
          <w:sz w:val="24"/>
        </w:rPr>
        <w:t>of</w:t>
      </w:r>
      <w:r>
        <w:rPr>
          <w:spacing w:val="40"/>
          <w:sz w:val="24"/>
        </w:rPr>
        <w:t> </w:t>
      </w:r>
      <w:r>
        <w:rPr>
          <w:sz w:val="24"/>
        </w:rPr>
        <w:t>at</w:t>
      </w:r>
      <w:r>
        <w:rPr>
          <w:spacing w:val="40"/>
          <w:sz w:val="24"/>
        </w:rPr>
        <w:t> </w:t>
      </w:r>
      <w:r>
        <w:rPr>
          <w:sz w:val="24"/>
        </w:rPr>
        <w:t>least</w:t>
      </w:r>
      <w:r>
        <w:rPr>
          <w:spacing w:val="40"/>
          <w:sz w:val="24"/>
        </w:rPr>
        <w:t> </w:t>
      </w:r>
      <w:r>
        <w:rPr>
          <w:sz w:val="24"/>
        </w:rPr>
        <w:t>one</w:t>
      </w:r>
      <w:r>
        <w:rPr>
          <w:spacing w:val="40"/>
          <w:sz w:val="24"/>
        </w:rPr>
        <w:t> </w:t>
      </w:r>
      <w:r>
        <w:rPr>
          <w:sz w:val="24"/>
        </w:rPr>
        <w:t>hour.</w:t>
      </w:r>
    </w:p>
    <w:p>
      <w:pPr>
        <w:pStyle w:val="ListParagraph"/>
        <w:numPr>
          <w:ilvl w:val="0"/>
          <w:numId w:val="336"/>
        </w:numPr>
        <w:tabs>
          <w:tab w:pos="1570" w:val="left" w:leader="none"/>
          <w:tab w:pos="1572" w:val="left" w:leader="none"/>
        </w:tabs>
        <w:spacing w:line="242" w:lineRule="auto" w:before="240" w:after="0"/>
        <w:ind w:left="1572" w:right="804" w:hanging="454"/>
        <w:jc w:val="both"/>
        <w:rPr>
          <w:sz w:val="24"/>
        </w:rPr>
      </w:pPr>
      <w:r>
        <w:rPr>
          <w:sz w:val="24"/>
        </w:rPr>
        <w:t>The</w:t>
      </w:r>
      <w:r>
        <w:rPr>
          <w:spacing w:val="40"/>
          <w:sz w:val="24"/>
        </w:rPr>
        <w:t> </w:t>
      </w:r>
      <w:r>
        <w:rPr>
          <w:sz w:val="24"/>
        </w:rPr>
        <w:t>speed</w:t>
      </w:r>
      <w:r>
        <w:rPr>
          <w:spacing w:val="40"/>
          <w:sz w:val="24"/>
        </w:rPr>
        <w:t> </w:t>
      </w:r>
      <w:r>
        <w:rPr>
          <w:sz w:val="24"/>
        </w:rPr>
        <w:t>of</w:t>
      </w:r>
      <w:r>
        <w:rPr>
          <w:spacing w:val="40"/>
          <w:sz w:val="24"/>
        </w:rPr>
        <w:t> </w:t>
      </w:r>
      <w:r>
        <w:rPr>
          <w:sz w:val="24"/>
        </w:rPr>
        <w:t>the</w:t>
      </w:r>
      <w:r>
        <w:rPr>
          <w:spacing w:val="40"/>
          <w:sz w:val="24"/>
        </w:rPr>
        <w:t> </w:t>
      </w:r>
      <w:r>
        <w:rPr>
          <w:sz w:val="24"/>
        </w:rPr>
        <w:t>fire</w:t>
      </w:r>
      <w:r>
        <w:rPr>
          <w:spacing w:val="40"/>
          <w:sz w:val="24"/>
        </w:rPr>
        <w:t> </w:t>
      </w:r>
      <w:r>
        <w:rPr>
          <w:sz w:val="24"/>
        </w:rPr>
        <w:t>lift</w:t>
      </w:r>
      <w:r>
        <w:rPr>
          <w:spacing w:val="40"/>
          <w:sz w:val="24"/>
        </w:rPr>
        <w:t> </w:t>
      </w:r>
      <w:r>
        <w:rPr>
          <w:sz w:val="24"/>
        </w:rPr>
        <w:t>shall</w:t>
      </w:r>
      <w:r>
        <w:rPr>
          <w:spacing w:val="40"/>
          <w:sz w:val="24"/>
        </w:rPr>
        <w:t> </w:t>
      </w:r>
      <w:r>
        <w:rPr>
          <w:sz w:val="24"/>
        </w:rPr>
        <w:t>be</w:t>
      </w:r>
      <w:r>
        <w:rPr>
          <w:spacing w:val="40"/>
          <w:sz w:val="24"/>
        </w:rPr>
        <w:t> </w:t>
      </w:r>
      <w:r>
        <w:rPr>
          <w:sz w:val="24"/>
        </w:rPr>
        <w:t>such</w:t>
      </w:r>
      <w:r>
        <w:rPr>
          <w:spacing w:val="40"/>
          <w:sz w:val="24"/>
        </w:rPr>
        <w:t> </w:t>
      </w:r>
      <w:r>
        <w:rPr>
          <w:sz w:val="24"/>
        </w:rPr>
        <w:t>that</w:t>
      </w:r>
      <w:r>
        <w:rPr>
          <w:spacing w:val="40"/>
          <w:sz w:val="24"/>
        </w:rPr>
        <w:t> </w:t>
      </w:r>
      <w:r>
        <w:rPr>
          <w:sz w:val="24"/>
        </w:rPr>
        <w:t>it</w:t>
      </w:r>
      <w:r>
        <w:rPr>
          <w:spacing w:val="40"/>
          <w:sz w:val="24"/>
        </w:rPr>
        <w:t> </w:t>
      </w:r>
      <w:r>
        <w:rPr>
          <w:sz w:val="24"/>
        </w:rPr>
        <w:t>can</w:t>
      </w:r>
      <w:r>
        <w:rPr>
          <w:spacing w:val="40"/>
          <w:sz w:val="24"/>
        </w:rPr>
        <w:t> </w:t>
      </w:r>
      <w:r>
        <w:rPr>
          <w:sz w:val="24"/>
        </w:rPr>
        <w:t>reach</w:t>
      </w:r>
      <w:r>
        <w:rPr>
          <w:spacing w:val="40"/>
          <w:sz w:val="24"/>
        </w:rPr>
        <w:t> </w:t>
      </w:r>
      <w:r>
        <w:rPr>
          <w:sz w:val="24"/>
        </w:rPr>
        <w:t>the</w:t>
      </w:r>
      <w:r>
        <w:rPr>
          <w:spacing w:val="40"/>
          <w:sz w:val="24"/>
        </w:rPr>
        <w:t> </w:t>
      </w:r>
      <w:r>
        <w:rPr>
          <w:sz w:val="24"/>
        </w:rPr>
        <w:t>top</w:t>
      </w:r>
      <w:r>
        <w:rPr>
          <w:spacing w:val="40"/>
          <w:sz w:val="24"/>
        </w:rPr>
        <w:t> </w:t>
      </w:r>
      <w:r>
        <w:rPr>
          <w:sz w:val="24"/>
        </w:rPr>
        <w:t>floor from</w:t>
      </w:r>
      <w:r>
        <w:rPr>
          <w:spacing w:val="40"/>
          <w:sz w:val="24"/>
        </w:rPr>
        <w:t> </w:t>
      </w:r>
      <w:r>
        <w:rPr>
          <w:sz w:val="24"/>
        </w:rPr>
        <w:t>ground</w:t>
      </w:r>
      <w:r>
        <w:rPr>
          <w:spacing w:val="40"/>
          <w:sz w:val="24"/>
        </w:rPr>
        <w:t> </w:t>
      </w:r>
      <w:r>
        <w:rPr>
          <w:sz w:val="24"/>
        </w:rPr>
        <w:t>level</w:t>
      </w:r>
      <w:r>
        <w:rPr>
          <w:spacing w:val="40"/>
          <w:sz w:val="24"/>
        </w:rPr>
        <w:t> </w:t>
      </w:r>
      <w:r>
        <w:rPr>
          <w:sz w:val="24"/>
        </w:rPr>
        <w:t>within</w:t>
      </w:r>
      <w:r>
        <w:rPr>
          <w:spacing w:val="40"/>
          <w:sz w:val="24"/>
        </w:rPr>
        <w:t> </w:t>
      </w:r>
      <w:r>
        <w:rPr>
          <w:sz w:val="24"/>
        </w:rPr>
        <w:t>one</w:t>
      </w:r>
      <w:r>
        <w:rPr>
          <w:spacing w:val="40"/>
          <w:sz w:val="24"/>
        </w:rPr>
        <w:t> </w:t>
      </w:r>
      <w:r>
        <w:rPr>
          <w:spacing w:val="9"/>
          <w:sz w:val="24"/>
        </w:rPr>
        <w:t>minute.</w:t>
      </w:r>
    </w:p>
    <w:p>
      <w:pPr>
        <w:pStyle w:val="Heading6"/>
        <w:numPr>
          <w:ilvl w:val="0"/>
          <w:numId w:val="335"/>
        </w:numPr>
        <w:tabs>
          <w:tab w:pos="1136" w:val="left" w:leader="none"/>
        </w:tabs>
        <w:spacing w:line="240" w:lineRule="auto" w:before="234" w:after="0"/>
        <w:ind w:left="1136" w:right="0" w:hanging="359"/>
        <w:jc w:val="left"/>
      </w:pPr>
      <w:r>
        <w:rPr/>
        <w:t>Basements:</w:t>
      </w:r>
      <w:r>
        <w:rPr>
          <w:spacing w:val="61"/>
          <w:w w:val="150"/>
        </w:rPr>
        <w:t> </w:t>
      </w:r>
      <w:r>
        <w:rPr>
          <w:spacing w:val="-10"/>
        </w:rPr>
        <w:t>-</w:t>
      </w:r>
    </w:p>
    <w:p>
      <w:pPr>
        <w:pStyle w:val="ListParagraph"/>
        <w:numPr>
          <w:ilvl w:val="1"/>
          <w:numId w:val="335"/>
        </w:numPr>
        <w:tabs>
          <w:tab w:pos="1570" w:val="left" w:leader="none"/>
          <w:tab w:pos="1572" w:val="left" w:leader="none"/>
        </w:tabs>
        <w:spacing w:line="240" w:lineRule="auto" w:before="241" w:after="0"/>
        <w:ind w:left="1572" w:right="778" w:hanging="454"/>
        <w:jc w:val="both"/>
        <w:rPr>
          <w:sz w:val="24"/>
        </w:rPr>
      </w:pPr>
      <w:r>
        <w:rPr>
          <w:sz w:val="24"/>
        </w:rPr>
        <w:t>Each</w:t>
      </w:r>
      <w:r>
        <w:rPr>
          <w:spacing w:val="40"/>
          <w:sz w:val="24"/>
        </w:rPr>
        <w:t> </w:t>
      </w:r>
      <w:r>
        <w:rPr>
          <w:sz w:val="24"/>
        </w:rPr>
        <w:t>basement</w:t>
      </w:r>
      <w:r>
        <w:rPr>
          <w:spacing w:val="40"/>
          <w:sz w:val="24"/>
        </w:rPr>
        <w:t> </w:t>
      </w:r>
      <w:r>
        <w:rPr>
          <w:sz w:val="24"/>
        </w:rPr>
        <w:t>shall</w:t>
      </w:r>
      <w:r>
        <w:rPr>
          <w:spacing w:val="40"/>
          <w:sz w:val="24"/>
        </w:rPr>
        <w:t> </w:t>
      </w:r>
      <w:r>
        <w:rPr>
          <w:sz w:val="24"/>
        </w:rPr>
        <w:t>be</w:t>
      </w:r>
      <w:r>
        <w:rPr>
          <w:spacing w:val="40"/>
          <w:sz w:val="24"/>
        </w:rPr>
        <w:t> </w:t>
      </w:r>
      <w:r>
        <w:rPr>
          <w:sz w:val="24"/>
        </w:rPr>
        <w:t>separately</w:t>
      </w:r>
      <w:r>
        <w:rPr>
          <w:spacing w:val="40"/>
          <w:sz w:val="24"/>
        </w:rPr>
        <w:t> </w:t>
      </w:r>
      <w:r>
        <w:rPr>
          <w:sz w:val="24"/>
        </w:rPr>
        <w:t>ventilated.</w:t>
      </w:r>
      <w:r>
        <w:rPr>
          <w:spacing w:val="80"/>
          <w:w w:val="150"/>
          <w:sz w:val="24"/>
        </w:rPr>
        <w:t> </w:t>
      </w:r>
      <w:r>
        <w:rPr>
          <w:sz w:val="24"/>
        </w:rPr>
        <w:t>Vents</w:t>
      </w:r>
      <w:r>
        <w:rPr>
          <w:spacing w:val="40"/>
          <w:sz w:val="24"/>
        </w:rPr>
        <w:t> </w:t>
      </w:r>
      <w:r>
        <w:rPr>
          <w:sz w:val="24"/>
        </w:rPr>
        <w:t>with</w:t>
      </w:r>
      <w:r>
        <w:rPr>
          <w:spacing w:val="40"/>
          <w:sz w:val="24"/>
        </w:rPr>
        <w:t> </w:t>
      </w:r>
      <w:r>
        <w:rPr>
          <w:sz w:val="24"/>
        </w:rPr>
        <w:t>cross, sectional</w:t>
      </w:r>
      <w:r>
        <w:rPr>
          <w:spacing w:val="40"/>
          <w:sz w:val="24"/>
        </w:rPr>
        <w:t> </w:t>
      </w:r>
      <w:r>
        <w:rPr>
          <w:sz w:val="24"/>
        </w:rPr>
        <w:t>area</w:t>
      </w:r>
      <w:r>
        <w:rPr>
          <w:spacing w:val="40"/>
          <w:sz w:val="24"/>
        </w:rPr>
        <w:t> </w:t>
      </w:r>
      <w:r>
        <w:rPr>
          <w:sz w:val="24"/>
        </w:rPr>
        <w:t>(aggregate)</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2.5</w:t>
      </w:r>
      <w:r>
        <w:rPr>
          <w:spacing w:val="40"/>
          <w:sz w:val="24"/>
        </w:rPr>
        <w:t> </w:t>
      </w:r>
      <w:r>
        <w:rPr>
          <w:sz w:val="24"/>
        </w:rPr>
        <w:t>percent</w:t>
      </w:r>
      <w:r>
        <w:rPr>
          <w:spacing w:val="40"/>
          <w:sz w:val="24"/>
        </w:rPr>
        <w:t> </w:t>
      </w:r>
      <w:r>
        <w:rPr>
          <w:sz w:val="24"/>
        </w:rPr>
        <w:t>of</w:t>
      </w:r>
      <w:r>
        <w:rPr>
          <w:spacing w:val="40"/>
          <w:sz w:val="24"/>
        </w:rPr>
        <w:t> </w:t>
      </w:r>
      <w:r>
        <w:rPr>
          <w:sz w:val="24"/>
        </w:rPr>
        <w:t>the</w:t>
      </w:r>
      <w:r>
        <w:rPr>
          <w:spacing w:val="40"/>
          <w:sz w:val="24"/>
        </w:rPr>
        <w:t> </w:t>
      </w:r>
      <w:r>
        <w:rPr>
          <w:sz w:val="24"/>
        </w:rPr>
        <w:t>floor</w:t>
      </w:r>
      <w:r>
        <w:rPr>
          <w:spacing w:val="40"/>
          <w:sz w:val="24"/>
        </w:rPr>
        <w:t> </w:t>
      </w:r>
      <w:r>
        <w:rPr>
          <w:sz w:val="24"/>
        </w:rPr>
        <w:t>area spread</w:t>
      </w:r>
      <w:r>
        <w:rPr>
          <w:spacing w:val="40"/>
          <w:sz w:val="24"/>
        </w:rPr>
        <w:t> </w:t>
      </w:r>
      <w:r>
        <w:rPr>
          <w:sz w:val="24"/>
        </w:rPr>
        <w:t>evenly</w:t>
      </w:r>
      <w:r>
        <w:rPr>
          <w:spacing w:val="40"/>
          <w:sz w:val="24"/>
        </w:rPr>
        <w:t> </w:t>
      </w:r>
      <w:r>
        <w:rPr>
          <w:sz w:val="24"/>
        </w:rPr>
        <w:t>around</w:t>
      </w:r>
      <w:r>
        <w:rPr>
          <w:spacing w:val="40"/>
          <w:sz w:val="24"/>
        </w:rPr>
        <w:t> </w:t>
      </w:r>
      <w:r>
        <w:rPr>
          <w:sz w:val="24"/>
        </w:rPr>
        <w:t>the</w:t>
      </w:r>
      <w:r>
        <w:rPr>
          <w:spacing w:val="40"/>
          <w:sz w:val="24"/>
        </w:rPr>
        <w:t> </w:t>
      </w:r>
      <w:r>
        <w:rPr>
          <w:sz w:val="24"/>
        </w:rPr>
        <w:t>perimeter</w:t>
      </w:r>
      <w:r>
        <w:rPr>
          <w:spacing w:val="40"/>
          <w:sz w:val="24"/>
        </w:rPr>
        <w:t> </w:t>
      </w:r>
      <w:r>
        <w:rPr>
          <w:sz w:val="24"/>
        </w:rPr>
        <w:t>of</w:t>
      </w:r>
      <w:r>
        <w:rPr>
          <w:spacing w:val="40"/>
          <w:sz w:val="24"/>
        </w:rPr>
        <w:t> </w:t>
      </w:r>
      <w:r>
        <w:rPr>
          <w:sz w:val="24"/>
        </w:rPr>
        <w:t>the</w:t>
      </w:r>
      <w:r>
        <w:rPr>
          <w:spacing w:val="40"/>
          <w:sz w:val="24"/>
        </w:rPr>
        <w:t> </w:t>
      </w:r>
      <w:r>
        <w:rPr>
          <w:sz w:val="24"/>
        </w:rPr>
        <w:t>basement</w:t>
      </w:r>
      <w:r>
        <w:rPr>
          <w:spacing w:val="40"/>
          <w:sz w:val="24"/>
        </w:rPr>
        <w:t> </w:t>
      </w:r>
      <w:r>
        <w:rPr>
          <w:sz w:val="24"/>
        </w:rPr>
        <w:t>shall</w:t>
      </w:r>
      <w:r>
        <w:rPr>
          <w:spacing w:val="40"/>
          <w:sz w:val="24"/>
        </w:rPr>
        <w:t> </w:t>
      </w:r>
      <w:r>
        <w:rPr>
          <w:sz w:val="24"/>
        </w:rPr>
        <w:t>be</w:t>
      </w:r>
      <w:r>
        <w:rPr>
          <w:spacing w:val="40"/>
          <w:sz w:val="24"/>
        </w:rPr>
        <w:t> </w:t>
      </w:r>
      <w:r>
        <w:rPr>
          <w:sz w:val="24"/>
        </w:rPr>
        <w:t>provided in</w:t>
      </w:r>
      <w:r>
        <w:rPr>
          <w:spacing w:val="40"/>
          <w:sz w:val="24"/>
        </w:rPr>
        <w:t> </w:t>
      </w:r>
      <w:r>
        <w:rPr>
          <w:sz w:val="24"/>
        </w:rPr>
        <w:t>the</w:t>
      </w:r>
      <w:r>
        <w:rPr>
          <w:spacing w:val="40"/>
          <w:sz w:val="24"/>
        </w:rPr>
        <w:t> </w:t>
      </w:r>
      <w:r>
        <w:rPr>
          <w:sz w:val="24"/>
        </w:rPr>
        <w:t>form</w:t>
      </w:r>
      <w:r>
        <w:rPr>
          <w:spacing w:val="40"/>
          <w:sz w:val="24"/>
        </w:rPr>
        <w:t> </w:t>
      </w:r>
      <w:r>
        <w:rPr>
          <w:sz w:val="24"/>
        </w:rPr>
        <w:t>of</w:t>
      </w:r>
      <w:r>
        <w:rPr>
          <w:spacing w:val="40"/>
          <w:sz w:val="24"/>
        </w:rPr>
        <w:t> </w:t>
      </w:r>
      <w:r>
        <w:rPr>
          <w:sz w:val="24"/>
        </w:rPr>
        <w:t>grills</w:t>
      </w:r>
      <w:r>
        <w:rPr>
          <w:spacing w:val="40"/>
          <w:sz w:val="24"/>
        </w:rPr>
        <w:t> </w:t>
      </w:r>
      <w:r>
        <w:rPr>
          <w:sz w:val="24"/>
        </w:rPr>
        <w:t>or</w:t>
      </w:r>
      <w:r>
        <w:rPr>
          <w:spacing w:val="40"/>
          <w:sz w:val="24"/>
        </w:rPr>
        <w:t> </w:t>
      </w:r>
      <w:r>
        <w:rPr>
          <w:sz w:val="24"/>
        </w:rPr>
        <w:t>breakable</w:t>
      </w:r>
      <w:r>
        <w:rPr>
          <w:spacing w:val="40"/>
          <w:sz w:val="24"/>
        </w:rPr>
        <w:t> </w:t>
      </w:r>
      <w:r>
        <w:rPr>
          <w:sz w:val="24"/>
        </w:rPr>
        <w:t>stall</w:t>
      </w:r>
      <w:r>
        <w:rPr>
          <w:spacing w:val="40"/>
          <w:sz w:val="24"/>
        </w:rPr>
        <w:t> </w:t>
      </w:r>
      <w:r>
        <w:rPr>
          <w:sz w:val="24"/>
        </w:rPr>
        <w:t>boards</w:t>
      </w:r>
      <w:r>
        <w:rPr>
          <w:spacing w:val="40"/>
          <w:sz w:val="24"/>
        </w:rPr>
        <w:t> </w:t>
      </w:r>
      <w:r>
        <w:rPr>
          <w:sz w:val="24"/>
        </w:rPr>
        <w:t>lights</w:t>
      </w:r>
      <w:r>
        <w:rPr>
          <w:spacing w:val="40"/>
          <w:sz w:val="24"/>
        </w:rPr>
        <w:t> </w:t>
      </w:r>
      <w:r>
        <w:rPr>
          <w:sz w:val="24"/>
        </w:rPr>
        <w:t>or</w:t>
      </w:r>
      <w:r>
        <w:rPr>
          <w:spacing w:val="40"/>
          <w:sz w:val="24"/>
        </w:rPr>
        <w:t> </w:t>
      </w:r>
      <w:r>
        <w:rPr>
          <w:sz w:val="24"/>
        </w:rPr>
        <w:t>pavement</w:t>
      </w:r>
      <w:r>
        <w:rPr>
          <w:spacing w:val="40"/>
          <w:sz w:val="24"/>
        </w:rPr>
        <w:t> </w:t>
      </w:r>
      <w:r>
        <w:rPr>
          <w:sz w:val="24"/>
        </w:rPr>
        <w:t>lights or</w:t>
      </w:r>
      <w:r>
        <w:rPr>
          <w:spacing w:val="40"/>
          <w:sz w:val="24"/>
        </w:rPr>
        <w:t> </w:t>
      </w:r>
      <w:r>
        <w:rPr>
          <w:sz w:val="24"/>
        </w:rPr>
        <w:t>by</w:t>
      </w:r>
      <w:r>
        <w:rPr>
          <w:spacing w:val="40"/>
          <w:sz w:val="24"/>
        </w:rPr>
        <w:t> </w:t>
      </w:r>
      <w:r>
        <w:rPr>
          <w:sz w:val="24"/>
        </w:rPr>
        <w:t>way</w:t>
      </w:r>
      <w:r>
        <w:rPr>
          <w:spacing w:val="40"/>
          <w:sz w:val="24"/>
        </w:rPr>
        <w:t> </w:t>
      </w:r>
      <w:r>
        <w:rPr>
          <w:sz w:val="24"/>
        </w:rPr>
        <w:t>of</w:t>
      </w:r>
      <w:r>
        <w:rPr>
          <w:spacing w:val="40"/>
          <w:sz w:val="24"/>
        </w:rPr>
        <w:t> </w:t>
      </w:r>
      <w:r>
        <w:rPr>
          <w:sz w:val="24"/>
        </w:rPr>
        <w:t>shafts.</w:t>
      </w:r>
      <w:r>
        <w:rPr>
          <w:spacing w:val="80"/>
          <w:w w:val="150"/>
          <w:sz w:val="24"/>
        </w:rPr>
        <w:t> </w:t>
      </w:r>
      <w:r>
        <w:rPr>
          <w:sz w:val="24"/>
        </w:rPr>
        <w:t>Alternatively,</w:t>
      </w:r>
      <w:r>
        <w:rPr>
          <w:spacing w:val="40"/>
          <w:sz w:val="24"/>
        </w:rPr>
        <w:t> </w:t>
      </w:r>
      <w:r>
        <w:rPr>
          <w:sz w:val="24"/>
        </w:rPr>
        <w:t>a</w:t>
      </w:r>
      <w:r>
        <w:rPr>
          <w:spacing w:val="40"/>
          <w:sz w:val="24"/>
        </w:rPr>
        <w:t> </w:t>
      </w:r>
      <w:r>
        <w:rPr>
          <w:sz w:val="24"/>
        </w:rPr>
        <w:t>system</w:t>
      </w:r>
      <w:r>
        <w:rPr>
          <w:spacing w:val="40"/>
          <w:sz w:val="24"/>
        </w:rPr>
        <w:t> </w:t>
      </w:r>
      <w:r>
        <w:rPr>
          <w:sz w:val="24"/>
        </w:rPr>
        <w:t>of</w:t>
      </w:r>
      <w:r>
        <w:rPr>
          <w:spacing w:val="40"/>
          <w:sz w:val="24"/>
        </w:rPr>
        <w:t> </w:t>
      </w:r>
      <w:r>
        <w:rPr>
          <w:sz w:val="24"/>
        </w:rPr>
        <w:t>air</w:t>
      </w:r>
      <w:r>
        <w:rPr>
          <w:spacing w:val="40"/>
          <w:sz w:val="24"/>
        </w:rPr>
        <w:t> </w:t>
      </w:r>
      <w:r>
        <w:rPr>
          <w:sz w:val="24"/>
        </w:rPr>
        <w:t>inlets</w:t>
      </w:r>
      <w:r>
        <w:rPr>
          <w:spacing w:val="40"/>
          <w:sz w:val="24"/>
        </w:rPr>
        <w:t> </w:t>
      </w:r>
      <w:r>
        <w:rPr>
          <w:sz w:val="24"/>
        </w:rPr>
        <w:t>shall</w:t>
      </w:r>
      <w:r>
        <w:rPr>
          <w:spacing w:val="40"/>
          <w:sz w:val="24"/>
        </w:rPr>
        <w:t> </w:t>
      </w:r>
      <w:r>
        <w:rPr>
          <w:sz w:val="24"/>
        </w:rPr>
        <w:t>be provided at basement floor level and smoke outlets at basement </w:t>
      </w:r>
      <w:r>
        <w:rPr>
          <w:spacing w:val="9"/>
          <w:sz w:val="24"/>
        </w:rPr>
        <w:t>ceiling </w:t>
      </w:r>
      <w:r>
        <w:rPr>
          <w:sz w:val="24"/>
        </w:rPr>
        <w:t>level.</w:t>
      </w:r>
      <w:r>
        <w:rPr>
          <w:spacing w:val="80"/>
          <w:sz w:val="24"/>
        </w:rPr>
        <w:t> </w:t>
      </w:r>
      <w:r>
        <w:rPr>
          <w:sz w:val="24"/>
        </w:rPr>
        <w:t>Inlets and outlets may be terminated at ground level with stall boards</w:t>
      </w:r>
      <w:r>
        <w:rPr>
          <w:spacing w:val="40"/>
          <w:sz w:val="24"/>
        </w:rPr>
        <w:t> </w:t>
      </w:r>
      <w:r>
        <w:rPr>
          <w:sz w:val="24"/>
        </w:rPr>
        <w:t>or</w:t>
      </w:r>
      <w:r>
        <w:rPr>
          <w:spacing w:val="40"/>
          <w:sz w:val="24"/>
        </w:rPr>
        <w:t> </w:t>
      </w:r>
      <w:r>
        <w:rPr>
          <w:sz w:val="24"/>
        </w:rPr>
        <w:t>pavement</w:t>
      </w:r>
      <w:r>
        <w:rPr>
          <w:spacing w:val="40"/>
          <w:sz w:val="24"/>
        </w:rPr>
        <w:t> </w:t>
      </w:r>
      <w:r>
        <w:rPr>
          <w:sz w:val="24"/>
        </w:rPr>
        <w:t>lights</w:t>
      </w:r>
      <w:r>
        <w:rPr>
          <w:spacing w:val="40"/>
          <w:sz w:val="24"/>
        </w:rPr>
        <w:t> </w:t>
      </w:r>
      <w:r>
        <w:rPr>
          <w:sz w:val="24"/>
        </w:rPr>
        <w:t>as</w:t>
      </w:r>
      <w:r>
        <w:rPr>
          <w:spacing w:val="40"/>
          <w:sz w:val="24"/>
        </w:rPr>
        <w:t> </w:t>
      </w:r>
      <w:r>
        <w:rPr>
          <w:sz w:val="24"/>
        </w:rPr>
        <w:t>before</w:t>
      </w:r>
      <w:r>
        <w:rPr>
          <w:spacing w:val="40"/>
          <w:sz w:val="24"/>
        </w:rPr>
        <w:t> </w:t>
      </w:r>
      <w:r>
        <w:rPr>
          <w:sz w:val="24"/>
        </w:rPr>
        <w:t>but</w:t>
      </w:r>
      <w:r>
        <w:rPr>
          <w:spacing w:val="40"/>
          <w:sz w:val="24"/>
        </w:rPr>
        <w:t> </w:t>
      </w:r>
      <w:r>
        <w:rPr>
          <w:sz w:val="24"/>
        </w:rPr>
        <w:t>ducts</w:t>
      </w:r>
      <w:r>
        <w:rPr>
          <w:spacing w:val="40"/>
          <w:sz w:val="24"/>
        </w:rPr>
        <w:t> </w:t>
      </w:r>
      <w:r>
        <w:rPr>
          <w:sz w:val="24"/>
        </w:rPr>
        <w:t>to</w:t>
      </w:r>
      <w:r>
        <w:rPr>
          <w:spacing w:val="40"/>
          <w:sz w:val="24"/>
        </w:rPr>
        <w:t> </w:t>
      </w:r>
      <w:r>
        <w:rPr>
          <w:sz w:val="24"/>
        </w:rPr>
        <w:t>convey</w:t>
      </w:r>
      <w:r>
        <w:rPr>
          <w:spacing w:val="40"/>
          <w:sz w:val="24"/>
        </w:rPr>
        <w:t> </w:t>
      </w:r>
      <w:r>
        <w:rPr>
          <w:sz w:val="24"/>
        </w:rPr>
        <w:t>fresh</w:t>
      </w:r>
      <w:r>
        <w:rPr>
          <w:spacing w:val="40"/>
          <w:sz w:val="24"/>
        </w:rPr>
        <w:t> </w:t>
      </w:r>
      <w:r>
        <w:rPr>
          <w:sz w:val="24"/>
        </w:rPr>
        <w:t>air</w:t>
      </w:r>
      <w:r>
        <w:rPr>
          <w:spacing w:val="40"/>
          <w:sz w:val="24"/>
        </w:rPr>
        <w:t> </w:t>
      </w:r>
      <w:r>
        <w:rPr>
          <w:sz w:val="24"/>
        </w:rPr>
        <w:t>to</w:t>
      </w:r>
      <w:r>
        <w:rPr>
          <w:spacing w:val="40"/>
          <w:sz w:val="24"/>
        </w:rPr>
        <w:t> </w:t>
      </w:r>
      <w:r>
        <w:rPr>
          <w:sz w:val="24"/>
        </w:rPr>
        <w:t>the</w:t>
      </w:r>
      <w:r>
        <w:rPr>
          <w:spacing w:val="40"/>
          <w:sz w:val="24"/>
        </w:rPr>
        <w:t> </w:t>
      </w:r>
      <w:r>
        <w:rPr>
          <w:sz w:val="24"/>
        </w:rPr>
        <w:t>basement</w:t>
      </w:r>
      <w:r>
        <w:rPr>
          <w:spacing w:val="40"/>
          <w:sz w:val="24"/>
        </w:rPr>
        <w:t> </w:t>
      </w:r>
      <w:r>
        <w:rPr>
          <w:sz w:val="24"/>
        </w:rPr>
        <w:t>floor</w:t>
      </w:r>
      <w:r>
        <w:rPr>
          <w:spacing w:val="40"/>
          <w:sz w:val="24"/>
        </w:rPr>
        <w:t> </w:t>
      </w:r>
      <w:r>
        <w:rPr>
          <w:sz w:val="24"/>
        </w:rPr>
        <w:t>level</w:t>
      </w:r>
      <w:r>
        <w:rPr>
          <w:spacing w:val="40"/>
          <w:sz w:val="24"/>
        </w:rPr>
        <w:t> </w:t>
      </w:r>
      <w:r>
        <w:rPr>
          <w:sz w:val="24"/>
        </w:rPr>
        <w:t>shall</w:t>
      </w:r>
      <w:r>
        <w:rPr>
          <w:spacing w:val="40"/>
          <w:sz w:val="24"/>
        </w:rPr>
        <w:t> </w:t>
      </w:r>
      <w:r>
        <w:rPr>
          <w:sz w:val="24"/>
        </w:rPr>
        <w:t>have</w:t>
      </w:r>
      <w:r>
        <w:rPr>
          <w:spacing w:val="40"/>
          <w:sz w:val="24"/>
        </w:rPr>
        <w:t> </w:t>
      </w:r>
      <w:r>
        <w:rPr>
          <w:sz w:val="24"/>
        </w:rPr>
        <w:t>to</w:t>
      </w:r>
      <w:r>
        <w:rPr>
          <w:spacing w:val="40"/>
          <w:sz w:val="24"/>
        </w:rPr>
        <w:t> </w:t>
      </w:r>
      <w:r>
        <w:rPr>
          <w:sz w:val="24"/>
        </w:rPr>
        <w:t>be</w:t>
      </w:r>
      <w:r>
        <w:rPr>
          <w:spacing w:val="40"/>
          <w:sz w:val="24"/>
        </w:rPr>
        <w:t> </w:t>
      </w:r>
      <w:r>
        <w:rPr>
          <w:sz w:val="24"/>
        </w:rPr>
        <w:t>laid.</w:t>
      </w:r>
      <w:r>
        <w:rPr>
          <w:spacing w:val="80"/>
          <w:w w:val="150"/>
          <w:sz w:val="24"/>
        </w:rPr>
        <w:t> </w:t>
      </w:r>
      <w:r>
        <w:rPr>
          <w:sz w:val="24"/>
        </w:rPr>
        <w:t>Stall</w:t>
      </w:r>
      <w:r>
        <w:rPr>
          <w:spacing w:val="40"/>
          <w:sz w:val="24"/>
        </w:rPr>
        <w:t> </w:t>
      </w:r>
      <w:r>
        <w:rPr>
          <w:sz w:val="24"/>
        </w:rPr>
        <w:t>boards</w:t>
      </w:r>
      <w:r>
        <w:rPr>
          <w:spacing w:val="40"/>
          <w:sz w:val="24"/>
        </w:rPr>
        <w:t> </w:t>
      </w:r>
      <w:r>
        <w:rPr>
          <w:sz w:val="24"/>
        </w:rPr>
        <w:t>and pavement</w:t>
      </w:r>
      <w:r>
        <w:rPr>
          <w:spacing w:val="40"/>
          <w:sz w:val="24"/>
        </w:rPr>
        <w:t> </w:t>
      </w:r>
      <w:r>
        <w:rPr>
          <w:sz w:val="24"/>
        </w:rPr>
        <w:t>lights</w:t>
      </w:r>
      <w:r>
        <w:rPr>
          <w:spacing w:val="40"/>
          <w:sz w:val="24"/>
        </w:rPr>
        <w:t> </w:t>
      </w:r>
      <w:r>
        <w:rPr>
          <w:sz w:val="24"/>
        </w:rPr>
        <w:t>should</w:t>
      </w:r>
      <w:r>
        <w:rPr>
          <w:spacing w:val="40"/>
          <w:sz w:val="24"/>
        </w:rPr>
        <w:t> </w:t>
      </w:r>
      <w:r>
        <w:rPr>
          <w:sz w:val="24"/>
        </w:rPr>
        <w:t>be</w:t>
      </w:r>
      <w:r>
        <w:rPr>
          <w:spacing w:val="40"/>
          <w:sz w:val="24"/>
        </w:rPr>
        <w:t> </w:t>
      </w:r>
      <w:r>
        <w:rPr>
          <w:sz w:val="24"/>
        </w:rPr>
        <w:t>in</w:t>
      </w:r>
      <w:r>
        <w:rPr>
          <w:spacing w:val="40"/>
          <w:sz w:val="24"/>
        </w:rPr>
        <w:t> </w:t>
      </w:r>
      <w:r>
        <w:rPr>
          <w:sz w:val="24"/>
        </w:rPr>
        <w:t>position</w:t>
      </w:r>
      <w:r>
        <w:rPr>
          <w:spacing w:val="40"/>
          <w:sz w:val="24"/>
        </w:rPr>
        <w:t> </w:t>
      </w:r>
      <w:r>
        <w:rPr>
          <w:sz w:val="24"/>
        </w:rPr>
        <w:t>easily</w:t>
      </w:r>
      <w:r>
        <w:rPr>
          <w:spacing w:val="40"/>
          <w:sz w:val="24"/>
        </w:rPr>
        <w:t> </w:t>
      </w:r>
      <w:r>
        <w:rPr>
          <w:sz w:val="24"/>
        </w:rPr>
        <w:t>accessible</w:t>
      </w:r>
      <w:r>
        <w:rPr>
          <w:spacing w:val="40"/>
          <w:sz w:val="24"/>
        </w:rPr>
        <w:t> </w:t>
      </w:r>
      <w:r>
        <w:rPr>
          <w:sz w:val="24"/>
        </w:rPr>
        <w:t>to</w:t>
      </w:r>
      <w:r>
        <w:rPr>
          <w:spacing w:val="40"/>
          <w:sz w:val="24"/>
        </w:rPr>
        <w:t> </w:t>
      </w:r>
      <w:r>
        <w:rPr>
          <w:sz w:val="24"/>
        </w:rPr>
        <w:t>the</w:t>
      </w:r>
      <w:r>
        <w:rPr>
          <w:spacing w:val="40"/>
          <w:sz w:val="24"/>
        </w:rPr>
        <w:t> </w:t>
      </w:r>
      <w:r>
        <w:rPr>
          <w:sz w:val="24"/>
        </w:rPr>
        <w:t>Fire Brigade</w:t>
      </w:r>
      <w:r>
        <w:rPr>
          <w:spacing w:val="40"/>
          <w:sz w:val="24"/>
        </w:rPr>
        <w:t> </w:t>
      </w:r>
      <w:r>
        <w:rPr>
          <w:sz w:val="24"/>
        </w:rPr>
        <w:t>personal</w:t>
      </w:r>
      <w:r>
        <w:rPr>
          <w:spacing w:val="40"/>
          <w:sz w:val="24"/>
        </w:rPr>
        <w:t> </w:t>
      </w:r>
      <w:r>
        <w:rPr>
          <w:sz w:val="24"/>
        </w:rPr>
        <w:t>and</w:t>
      </w:r>
      <w:r>
        <w:rPr>
          <w:spacing w:val="40"/>
          <w:sz w:val="24"/>
        </w:rPr>
        <w:t> </w:t>
      </w:r>
      <w:r>
        <w:rPr>
          <w:sz w:val="24"/>
        </w:rPr>
        <w:t>rescue</w:t>
      </w:r>
      <w:r>
        <w:rPr>
          <w:spacing w:val="40"/>
          <w:sz w:val="24"/>
        </w:rPr>
        <w:t> </w:t>
      </w:r>
      <w:r>
        <w:rPr>
          <w:sz w:val="24"/>
        </w:rPr>
        <w:t>teams</w:t>
      </w:r>
      <w:r>
        <w:rPr>
          <w:spacing w:val="40"/>
          <w:sz w:val="24"/>
        </w:rPr>
        <w:t> </w:t>
      </w:r>
      <w:r>
        <w:rPr>
          <w:sz w:val="24"/>
        </w:rPr>
        <w:t>and</w:t>
      </w:r>
      <w:r>
        <w:rPr>
          <w:spacing w:val="40"/>
          <w:sz w:val="24"/>
        </w:rPr>
        <w:t> </w:t>
      </w:r>
      <w:r>
        <w:rPr>
          <w:sz w:val="24"/>
        </w:rPr>
        <w:t>clearly</w:t>
      </w:r>
      <w:r>
        <w:rPr>
          <w:spacing w:val="40"/>
          <w:sz w:val="24"/>
        </w:rPr>
        <w:t> </w:t>
      </w:r>
      <w:r>
        <w:rPr>
          <w:sz w:val="24"/>
        </w:rPr>
        <w:t>marked</w:t>
      </w:r>
      <w:r>
        <w:rPr>
          <w:spacing w:val="40"/>
          <w:sz w:val="24"/>
        </w:rPr>
        <w:t> </w:t>
      </w:r>
      <w:r>
        <w:rPr>
          <w:spacing w:val="9"/>
          <w:sz w:val="24"/>
        </w:rPr>
        <w:t>'SMOKE </w:t>
      </w:r>
      <w:r>
        <w:rPr>
          <w:sz w:val="24"/>
        </w:rPr>
        <w:t>OUTLET' or AIR INLET' with an indication of area served at or near the </w:t>
      </w:r>
      <w:r>
        <w:rPr>
          <w:spacing w:val="-2"/>
          <w:sz w:val="24"/>
        </w:rPr>
        <w:t>opening.</w:t>
      </w:r>
    </w:p>
    <w:p>
      <w:pPr>
        <w:pStyle w:val="ListParagraph"/>
        <w:numPr>
          <w:ilvl w:val="1"/>
          <w:numId w:val="335"/>
        </w:numPr>
        <w:tabs>
          <w:tab w:pos="1570" w:val="left" w:leader="none"/>
          <w:tab w:pos="1572" w:val="left" w:leader="none"/>
        </w:tabs>
        <w:spacing w:line="240" w:lineRule="auto" w:before="240" w:after="0"/>
        <w:ind w:left="1572" w:right="783" w:hanging="454"/>
        <w:jc w:val="both"/>
        <w:rPr>
          <w:sz w:val="24"/>
        </w:rPr>
      </w:pPr>
      <w:r>
        <w:rPr>
          <w:sz w:val="24"/>
        </w:rPr>
        <w:t>The staircase of basements shall (a) be of enclosed type having fire resistance</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two</w:t>
      </w:r>
      <w:r>
        <w:rPr>
          <w:spacing w:val="40"/>
          <w:sz w:val="24"/>
        </w:rPr>
        <w:t> </w:t>
      </w:r>
      <w:r>
        <w:rPr>
          <w:sz w:val="24"/>
        </w:rPr>
        <w:t>hours;</w:t>
      </w:r>
      <w:r>
        <w:rPr>
          <w:spacing w:val="40"/>
          <w:sz w:val="24"/>
        </w:rPr>
        <w:t> </w:t>
      </w:r>
      <w:r>
        <w:rPr>
          <w:sz w:val="24"/>
        </w:rPr>
        <w:t>(b)</w:t>
      </w:r>
      <w:r>
        <w:rPr>
          <w:spacing w:val="40"/>
          <w:sz w:val="24"/>
        </w:rPr>
        <w:t> </w:t>
      </w:r>
      <w:r>
        <w:rPr>
          <w:sz w:val="24"/>
        </w:rPr>
        <w:t>be</w:t>
      </w:r>
      <w:r>
        <w:rPr>
          <w:spacing w:val="40"/>
          <w:sz w:val="24"/>
        </w:rPr>
        <w:t> </w:t>
      </w:r>
      <w:r>
        <w:rPr>
          <w:sz w:val="24"/>
        </w:rPr>
        <w:t>situated</w:t>
      </w:r>
      <w:r>
        <w:rPr>
          <w:spacing w:val="40"/>
          <w:sz w:val="24"/>
        </w:rPr>
        <w:t> </w:t>
      </w:r>
      <w:r>
        <w:rPr>
          <w:sz w:val="24"/>
        </w:rPr>
        <w:t>at</w:t>
      </w:r>
      <w:r>
        <w:rPr>
          <w:spacing w:val="40"/>
          <w:sz w:val="24"/>
        </w:rPr>
        <w:t> </w:t>
      </w:r>
      <w:r>
        <w:rPr>
          <w:sz w:val="24"/>
        </w:rPr>
        <w:t>periphery</w:t>
      </w:r>
      <w:r>
        <w:rPr>
          <w:spacing w:val="40"/>
          <w:sz w:val="24"/>
        </w:rPr>
        <w:t> </w:t>
      </w:r>
      <w:r>
        <w:rPr>
          <w:sz w:val="24"/>
        </w:rPr>
        <w:t>of the</w:t>
      </w:r>
      <w:r>
        <w:rPr>
          <w:spacing w:val="40"/>
          <w:sz w:val="24"/>
        </w:rPr>
        <w:t> </w:t>
      </w:r>
      <w:r>
        <w:rPr>
          <w:sz w:val="24"/>
        </w:rPr>
        <w:t>basement</w:t>
      </w:r>
      <w:r>
        <w:rPr>
          <w:spacing w:val="40"/>
          <w:sz w:val="24"/>
        </w:rPr>
        <w:t> </w:t>
      </w:r>
      <w:r>
        <w:rPr>
          <w:sz w:val="24"/>
        </w:rPr>
        <w:t>to</w:t>
      </w:r>
      <w:r>
        <w:rPr>
          <w:spacing w:val="40"/>
          <w:sz w:val="24"/>
        </w:rPr>
        <w:t> </w:t>
      </w:r>
      <w:r>
        <w:rPr>
          <w:sz w:val="24"/>
        </w:rPr>
        <w:t>be</w:t>
      </w:r>
      <w:r>
        <w:rPr>
          <w:spacing w:val="40"/>
          <w:sz w:val="24"/>
        </w:rPr>
        <w:t> </w:t>
      </w:r>
      <w:r>
        <w:rPr>
          <w:sz w:val="24"/>
        </w:rPr>
        <w:t>entered</w:t>
      </w:r>
      <w:r>
        <w:rPr>
          <w:spacing w:val="40"/>
          <w:sz w:val="24"/>
        </w:rPr>
        <w:t> </w:t>
      </w:r>
      <w:r>
        <w:rPr>
          <w:sz w:val="24"/>
        </w:rPr>
        <w:t>at</w:t>
      </w:r>
      <w:r>
        <w:rPr>
          <w:spacing w:val="40"/>
          <w:sz w:val="24"/>
        </w:rPr>
        <w:t> </w:t>
      </w:r>
      <w:r>
        <w:rPr>
          <w:sz w:val="24"/>
        </w:rPr>
        <w:t>ground</w:t>
      </w:r>
      <w:r>
        <w:rPr>
          <w:spacing w:val="40"/>
          <w:sz w:val="24"/>
        </w:rPr>
        <w:t> </w:t>
      </w:r>
      <w:r>
        <w:rPr>
          <w:sz w:val="24"/>
        </w:rPr>
        <w:t>level</w:t>
      </w:r>
      <w:r>
        <w:rPr>
          <w:spacing w:val="40"/>
          <w:sz w:val="24"/>
        </w:rPr>
        <w:t> </w:t>
      </w:r>
      <w:r>
        <w:rPr>
          <w:sz w:val="24"/>
        </w:rPr>
        <w:t>only</w:t>
      </w:r>
      <w:r>
        <w:rPr>
          <w:spacing w:val="40"/>
          <w:sz w:val="24"/>
        </w:rPr>
        <w:t> </w:t>
      </w:r>
      <w:r>
        <w:rPr>
          <w:sz w:val="24"/>
        </w:rPr>
        <w:t>from</w:t>
      </w:r>
      <w:r>
        <w:rPr>
          <w:spacing w:val="40"/>
          <w:sz w:val="24"/>
        </w:rPr>
        <w:t> </w:t>
      </w:r>
      <w:r>
        <w:rPr>
          <w:sz w:val="24"/>
        </w:rPr>
        <w:t>the</w:t>
      </w:r>
      <w:r>
        <w:rPr>
          <w:spacing w:val="40"/>
          <w:sz w:val="24"/>
        </w:rPr>
        <w:t> </w:t>
      </w:r>
      <w:r>
        <w:rPr>
          <w:sz w:val="24"/>
        </w:rPr>
        <w:t>open</w:t>
      </w:r>
      <w:r>
        <w:rPr>
          <w:spacing w:val="40"/>
          <w:sz w:val="24"/>
        </w:rPr>
        <w:t> </w:t>
      </w:r>
      <w:r>
        <w:rPr>
          <w:sz w:val="24"/>
        </w:rPr>
        <w:t>air</w:t>
      </w:r>
      <w:r>
        <w:rPr>
          <w:spacing w:val="40"/>
          <w:sz w:val="24"/>
        </w:rPr>
        <w:t> </w:t>
      </w:r>
      <w:r>
        <w:rPr>
          <w:sz w:val="24"/>
        </w:rPr>
        <w:t>and in such a, position that smoke from any fire </w:t>
      </w:r>
      <w:r>
        <w:rPr>
          <w:spacing w:val="11"/>
          <w:sz w:val="24"/>
        </w:rPr>
        <w:t>in </w:t>
      </w:r>
      <w:r>
        <w:rPr>
          <w:sz w:val="24"/>
        </w:rPr>
        <w:t>the basement shall not enter</w:t>
      </w:r>
      <w:r>
        <w:rPr>
          <w:spacing w:val="40"/>
          <w:sz w:val="24"/>
        </w:rPr>
        <w:t> </w:t>
      </w:r>
      <w:r>
        <w:rPr>
          <w:sz w:val="24"/>
        </w:rPr>
        <w:t>and</w:t>
      </w:r>
      <w:r>
        <w:rPr>
          <w:spacing w:val="40"/>
          <w:sz w:val="24"/>
        </w:rPr>
        <w:t> </w:t>
      </w:r>
      <w:r>
        <w:rPr>
          <w:sz w:val="24"/>
        </w:rPr>
        <w:t>exit</w:t>
      </w:r>
      <w:r>
        <w:rPr>
          <w:spacing w:val="40"/>
          <w:sz w:val="24"/>
        </w:rPr>
        <w:t> </w:t>
      </w:r>
      <w:r>
        <w:rPr>
          <w:sz w:val="24"/>
        </w:rPr>
        <w:t>serving</w:t>
      </w:r>
      <w:r>
        <w:rPr>
          <w:spacing w:val="40"/>
          <w:sz w:val="24"/>
        </w:rPr>
        <w:t> </w:t>
      </w:r>
      <w:r>
        <w:rPr>
          <w:sz w:val="24"/>
        </w:rPr>
        <w:t>the</w:t>
      </w:r>
      <w:r>
        <w:rPr>
          <w:spacing w:val="40"/>
          <w:sz w:val="24"/>
        </w:rPr>
        <w:t> </w:t>
      </w:r>
      <w:r>
        <w:rPr>
          <w:sz w:val="24"/>
        </w:rPr>
        <w:t>ground</w:t>
      </w:r>
      <w:r>
        <w:rPr>
          <w:spacing w:val="40"/>
          <w:sz w:val="24"/>
        </w:rPr>
        <w:t> </w:t>
      </w:r>
      <w:r>
        <w:rPr>
          <w:sz w:val="24"/>
        </w:rPr>
        <w:t>and</w:t>
      </w:r>
      <w:r>
        <w:rPr>
          <w:spacing w:val="40"/>
          <w:sz w:val="24"/>
        </w:rPr>
        <w:t> </w:t>
      </w:r>
      <w:r>
        <w:rPr>
          <w:sz w:val="24"/>
        </w:rPr>
        <w:t>upper</w:t>
      </w:r>
      <w:r>
        <w:rPr>
          <w:spacing w:val="40"/>
          <w:sz w:val="24"/>
        </w:rPr>
        <w:t> </w:t>
      </w:r>
      <w:r>
        <w:rPr>
          <w:sz w:val="24"/>
        </w:rPr>
        <w:t>storeys</w:t>
      </w:r>
      <w:r>
        <w:rPr>
          <w:spacing w:val="40"/>
          <w:sz w:val="24"/>
        </w:rPr>
        <w:t> </w:t>
      </w:r>
      <w:r>
        <w:rPr>
          <w:sz w:val="24"/>
        </w:rPr>
        <w:t>of</w:t>
      </w:r>
      <w:r>
        <w:rPr>
          <w:spacing w:val="40"/>
          <w:sz w:val="24"/>
        </w:rPr>
        <w:t> </w:t>
      </w:r>
      <w:r>
        <w:rPr>
          <w:sz w:val="24"/>
        </w:rPr>
        <w:t>the</w:t>
      </w:r>
      <w:r>
        <w:rPr>
          <w:spacing w:val="40"/>
          <w:sz w:val="24"/>
        </w:rPr>
        <w:t> </w:t>
      </w:r>
      <w:r>
        <w:rPr>
          <w:sz w:val="24"/>
        </w:rPr>
        <w:t>building; and (c) communicate with basement though a lobby provided with </w:t>
      </w:r>
      <w:r>
        <w:rPr>
          <w:spacing w:val="10"/>
          <w:sz w:val="24"/>
        </w:rPr>
        <w:t>fire- </w:t>
      </w:r>
      <w:r>
        <w:rPr>
          <w:sz w:val="24"/>
        </w:rPr>
        <w:t>resisting </w:t>
      </w:r>
      <w:r>
        <w:rPr>
          <w:spacing w:val="9"/>
          <w:sz w:val="24"/>
        </w:rPr>
        <w:t>self-</w:t>
      </w:r>
      <w:r>
        <w:rPr>
          <w:sz w:val="24"/>
        </w:rPr>
        <w:t>closing doors of one hour fire resistance.</w:t>
      </w:r>
      <w:r>
        <w:rPr>
          <w:spacing w:val="80"/>
          <w:sz w:val="24"/>
        </w:rPr>
        <w:t> </w:t>
      </w:r>
      <w:r>
        <w:rPr>
          <w:sz w:val="24"/>
        </w:rPr>
        <w:t>If the travel distance exceeds the values mentioned in Regulation No </w:t>
      </w:r>
      <w:r>
        <w:rPr>
          <w:spacing w:val="9"/>
          <w:sz w:val="24"/>
        </w:rPr>
        <w:t>47(3)(i) </w:t>
      </w:r>
      <w:r>
        <w:rPr>
          <w:sz w:val="24"/>
        </w:rPr>
        <w:t>(I &amp;ii), additional</w:t>
      </w:r>
      <w:r>
        <w:rPr>
          <w:spacing w:val="40"/>
          <w:sz w:val="24"/>
        </w:rPr>
        <w:t> </w:t>
      </w:r>
      <w:r>
        <w:rPr>
          <w:sz w:val="24"/>
        </w:rPr>
        <w:t>staircases</w:t>
      </w:r>
      <w:r>
        <w:rPr>
          <w:spacing w:val="40"/>
          <w:sz w:val="24"/>
        </w:rPr>
        <w:t> </w:t>
      </w:r>
      <w:r>
        <w:rPr>
          <w:sz w:val="24"/>
        </w:rPr>
        <w:t>at</w:t>
      </w:r>
      <w:r>
        <w:rPr>
          <w:spacing w:val="40"/>
          <w:sz w:val="24"/>
        </w:rPr>
        <w:t> </w:t>
      </w:r>
      <w:r>
        <w:rPr>
          <w:sz w:val="24"/>
        </w:rPr>
        <w:t>proper</w:t>
      </w:r>
      <w:r>
        <w:rPr>
          <w:spacing w:val="40"/>
          <w:sz w:val="24"/>
        </w:rPr>
        <w:t> </w:t>
      </w:r>
      <w:r>
        <w:rPr>
          <w:sz w:val="24"/>
        </w:rPr>
        <w:t>places</w:t>
      </w:r>
      <w:r>
        <w:rPr>
          <w:spacing w:val="40"/>
          <w:sz w:val="24"/>
        </w:rPr>
        <w:t> </w:t>
      </w:r>
      <w:r>
        <w:rPr>
          <w:sz w:val="24"/>
        </w:rPr>
        <w:t>shall</w:t>
      </w:r>
      <w:r>
        <w:rPr>
          <w:spacing w:val="40"/>
          <w:sz w:val="24"/>
        </w:rPr>
        <w:t> </w:t>
      </w:r>
      <w:r>
        <w:rPr>
          <w:sz w:val="24"/>
        </w:rPr>
        <w:t>be</w:t>
      </w:r>
      <w:r>
        <w:rPr>
          <w:spacing w:val="40"/>
          <w:sz w:val="24"/>
        </w:rPr>
        <w:t> </w:t>
      </w:r>
      <w:r>
        <w:rPr>
          <w:spacing w:val="9"/>
          <w:sz w:val="24"/>
        </w:rPr>
        <w:t>provided.</w:t>
      </w:r>
    </w:p>
    <w:p>
      <w:pPr>
        <w:pStyle w:val="ListParagraph"/>
        <w:numPr>
          <w:ilvl w:val="1"/>
          <w:numId w:val="335"/>
        </w:numPr>
        <w:tabs>
          <w:tab w:pos="1570" w:val="left" w:leader="none"/>
          <w:tab w:pos="1572" w:val="left" w:leader="none"/>
        </w:tabs>
        <w:spacing w:line="240" w:lineRule="auto" w:before="242" w:after="0"/>
        <w:ind w:left="1572" w:right="789" w:hanging="454"/>
        <w:jc w:val="both"/>
        <w:rPr>
          <w:sz w:val="24"/>
        </w:rPr>
      </w:pPr>
      <w:r>
        <w:rPr>
          <w:sz w:val="24"/>
        </w:rPr>
        <w:t>Intake ducts may serve al basement levels but each basement and basement</w:t>
      </w:r>
      <w:r>
        <w:rPr>
          <w:spacing w:val="80"/>
          <w:sz w:val="24"/>
        </w:rPr>
        <w:t> </w:t>
      </w:r>
      <w:r>
        <w:rPr>
          <w:sz w:val="24"/>
        </w:rPr>
        <w:t>compartment</w:t>
      </w:r>
      <w:r>
        <w:rPr>
          <w:spacing w:val="80"/>
          <w:sz w:val="24"/>
        </w:rPr>
        <w:t> </w:t>
      </w:r>
      <w:r>
        <w:rPr>
          <w:sz w:val="24"/>
        </w:rPr>
        <w:t>shall</w:t>
      </w:r>
      <w:r>
        <w:rPr>
          <w:spacing w:val="80"/>
          <w:sz w:val="24"/>
        </w:rPr>
        <w:t> </w:t>
      </w:r>
      <w:r>
        <w:rPr>
          <w:sz w:val="24"/>
        </w:rPr>
        <w:t>have</w:t>
      </w:r>
      <w:r>
        <w:rPr>
          <w:spacing w:val="80"/>
          <w:sz w:val="24"/>
        </w:rPr>
        <w:t> </w:t>
      </w:r>
      <w:r>
        <w:rPr>
          <w:sz w:val="24"/>
        </w:rPr>
        <w:t>separate</w:t>
      </w:r>
      <w:r>
        <w:rPr>
          <w:spacing w:val="80"/>
          <w:sz w:val="24"/>
        </w:rPr>
        <w:t> </w:t>
      </w:r>
      <w:r>
        <w:rPr>
          <w:sz w:val="24"/>
        </w:rPr>
        <w:t>smoke</w:t>
      </w:r>
      <w:r>
        <w:rPr>
          <w:spacing w:val="80"/>
          <w:sz w:val="24"/>
        </w:rPr>
        <w:t> </w:t>
      </w:r>
      <w:r>
        <w:rPr>
          <w:sz w:val="24"/>
        </w:rPr>
        <w:t>outlet</w:t>
      </w:r>
      <w:r>
        <w:rPr>
          <w:spacing w:val="80"/>
          <w:sz w:val="24"/>
        </w:rPr>
        <w:t> </w:t>
      </w:r>
      <w:r>
        <w:rPr>
          <w:sz w:val="24"/>
        </w:rPr>
        <w:t>duct</w:t>
      </w:r>
      <w:r>
        <w:rPr>
          <w:spacing w:val="80"/>
          <w:sz w:val="24"/>
        </w:rPr>
        <w:t> </w:t>
      </w:r>
      <w:r>
        <w:rPr>
          <w:sz w:val="24"/>
        </w:rPr>
        <w:t>or </w:t>
      </w:r>
      <w:r>
        <w:rPr>
          <w:spacing w:val="-2"/>
          <w:sz w:val="24"/>
        </w:rPr>
        <w:t>ducts.</w:t>
      </w:r>
    </w:p>
    <w:p>
      <w:pPr>
        <w:pStyle w:val="ListParagraph"/>
        <w:numPr>
          <w:ilvl w:val="1"/>
          <w:numId w:val="335"/>
        </w:numPr>
        <w:tabs>
          <w:tab w:pos="1570" w:val="left" w:leader="none"/>
          <w:tab w:pos="1572" w:val="left" w:leader="none"/>
        </w:tabs>
        <w:spacing w:line="240" w:lineRule="auto" w:before="240" w:after="0"/>
        <w:ind w:left="1572" w:right="786" w:hanging="454"/>
        <w:jc w:val="both"/>
        <w:rPr>
          <w:sz w:val="24"/>
        </w:rPr>
      </w:pPr>
      <w:r>
        <w:rPr>
          <w:sz w:val="24"/>
        </w:rPr>
        <w:t>Mechanical extractors for </w:t>
      </w:r>
      <w:r>
        <w:rPr>
          <w:spacing w:val="10"/>
          <w:sz w:val="24"/>
        </w:rPr>
        <w:t>smoke-</w:t>
      </w:r>
      <w:r>
        <w:rPr>
          <w:sz w:val="24"/>
        </w:rPr>
        <w:t>venting system from lower basement levels</w:t>
      </w:r>
      <w:r>
        <w:rPr>
          <w:spacing w:val="65"/>
          <w:sz w:val="24"/>
        </w:rPr>
        <w:t> </w:t>
      </w:r>
      <w:r>
        <w:rPr>
          <w:sz w:val="24"/>
        </w:rPr>
        <w:t>shall</w:t>
      </w:r>
      <w:r>
        <w:rPr>
          <w:spacing w:val="65"/>
          <w:sz w:val="24"/>
        </w:rPr>
        <w:t> </w:t>
      </w:r>
      <w:r>
        <w:rPr>
          <w:sz w:val="24"/>
        </w:rPr>
        <w:t>also</w:t>
      </w:r>
      <w:r>
        <w:rPr>
          <w:spacing w:val="68"/>
          <w:sz w:val="24"/>
        </w:rPr>
        <w:t> </w:t>
      </w:r>
      <w:r>
        <w:rPr>
          <w:sz w:val="24"/>
        </w:rPr>
        <w:t>be</w:t>
      </w:r>
      <w:r>
        <w:rPr>
          <w:spacing w:val="68"/>
          <w:sz w:val="24"/>
        </w:rPr>
        <w:t> </w:t>
      </w:r>
      <w:r>
        <w:rPr>
          <w:sz w:val="24"/>
        </w:rPr>
        <w:t>provided.</w:t>
      </w:r>
      <w:r>
        <w:rPr>
          <w:spacing w:val="40"/>
          <w:sz w:val="24"/>
        </w:rPr>
        <w:t>  </w:t>
      </w:r>
      <w:r>
        <w:rPr>
          <w:sz w:val="24"/>
        </w:rPr>
        <w:t>The</w:t>
      </w:r>
      <w:r>
        <w:rPr>
          <w:spacing w:val="65"/>
          <w:sz w:val="24"/>
        </w:rPr>
        <w:t> </w:t>
      </w:r>
      <w:r>
        <w:rPr>
          <w:sz w:val="24"/>
        </w:rPr>
        <w:t>system</w:t>
      </w:r>
      <w:r>
        <w:rPr>
          <w:spacing w:val="65"/>
          <w:sz w:val="24"/>
        </w:rPr>
        <w:t> </w:t>
      </w:r>
      <w:r>
        <w:rPr>
          <w:sz w:val="24"/>
        </w:rPr>
        <w:t>shall</w:t>
      </w:r>
      <w:r>
        <w:rPr>
          <w:spacing w:val="69"/>
          <w:sz w:val="24"/>
        </w:rPr>
        <w:t> </w:t>
      </w:r>
      <w:r>
        <w:rPr>
          <w:sz w:val="24"/>
        </w:rPr>
        <w:t>be</w:t>
      </w:r>
      <w:r>
        <w:rPr>
          <w:spacing w:val="65"/>
          <w:sz w:val="24"/>
        </w:rPr>
        <w:t> </w:t>
      </w:r>
      <w:r>
        <w:rPr>
          <w:sz w:val="24"/>
        </w:rPr>
        <w:t>of</w:t>
      </w:r>
      <w:r>
        <w:rPr>
          <w:spacing w:val="65"/>
          <w:sz w:val="24"/>
        </w:rPr>
        <w:t> </w:t>
      </w:r>
      <w:r>
        <w:rPr>
          <w:sz w:val="24"/>
        </w:rPr>
        <w:t>such</w:t>
      </w:r>
      <w:r>
        <w:rPr>
          <w:spacing w:val="65"/>
          <w:sz w:val="24"/>
        </w:rPr>
        <w:t> </w:t>
      </w:r>
      <w:r>
        <w:rPr>
          <w:sz w:val="24"/>
        </w:rPr>
        <w:t>design</w:t>
      </w:r>
      <w:r>
        <w:rPr>
          <w:spacing w:val="65"/>
          <w:sz w:val="24"/>
        </w:rPr>
        <w:t> </w:t>
      </w:r>
      <w:r>
        <w:rPr>
          <w:sz w:val="24"/>
        </w:rPr>
        <w:t>as to</w:t>
      </w:r>
      <w:r>
        <w:rPr>
          <w:spacing w:val="40"/>
          <w:sz w:val="24"/>
        </w:rPr>
        <w:t> </w:t>
      </w:r>
      <w:r>
        <w:rPr>
          <w:sz w:val="24"/>
        </w:rPr>
        <w:t>operate</w:t>
      </w:r>
      <w:r>
        <w:rPr>
          <w:spacing w:val="40"/>
          <w:sz w:val="24"/>
        </w:rPr>
        <w:t> </w:t>
      </w:r>
      <w:r>
        <w:rPr>
          <w:sz w:val="24"/>
        </w:rPr>
        <w:t>on</w:t>
      </w:r>
      <w:r>
        <w:rPr>
          <w:spacing w:val="40"/>
          <w:sz w:val="24"/>
        </w:rPr>
        <w:t> </w:t>
      </w:r>
      <w:r>
        <w:rPr>
          <w:sz w:val="24"/>
        </w:rPr>
        <w:t>actuation</w:t>
      </w:r>
      <w:r>
        <w:rPr>
          <w:spacing w:val="40"/>
          <w:sz w:val="24"/>
        </w:rPr>
        <w:t> </w:t>
      </w:r>
      <w:r>
        <w:rPr>
          <w:sz w:val="24"/>
        </w:rPr>
        <w:t>of</w:t>
      </w:r>
      <w:r>
        <w:rPr>
          <w:spacing w:val="40"/>
          <w:sz w:val="24"/>
        </w:rPr>
        <w:t> </w:t>
      </w:r>
      <w:r>
        <w:rPr>
          <w:sz w:val="24"/>
        </w:rPr>
        <w:t>heat</w:t>
      </w:r>
      <w:r>
        <w:rPr>
          <w:spacing w:val="40"/>
          <w:sz w:val="24"/>
        </w:rPr>
        <w:t> </w:t>
      </w:r>
      <w:r>
        <w:rPr>
          <w:sz w:val="24"/>
        </w:rPr>
        <w:t>sensitive</w:t>
      </w:r>
      <w:r>
        <w:rPr>
          <w:spacing w:val="40"/>
          <w:sz w:val="24"/>
        </w:rPr>
        <w:t> </w:t>
      </w:r>
      <w:r>
        <w:rPr>
          <w:sz w:val="24"/>
        </w:rPr>
        <w:t>detectors</w:t>
      </w:r>
      <w:r>
        <w:rPr>
          <w:spacing w:val="40"/>
          <w:sz w:val="24"/>
        </w:rPr>
        <w:t> </w:t>
      </w:r>
      <w:r>
        <w:rPr>
          <w:sz w:val="24"/>
        </w:rPr>
        <w:t>or</w:t>
      </w:r>
      <w:r>
        <w:rPr>
          <w:spacing w:val="40"/>
          <w:sz w:val="24"/>
        </w:rPr>
        <w:t> </w:t>
      </w:r>
      <w:r>
        <w:rPr>
          <w:sz w:val="24"/>
        </w:rPr>
        <w:t>sprinklers</w:t>
      </w:r>
      <w:r>
        <w:rPr>
          <w:spacing w:val="40"/>
          <w:sz w:val="24"/>
        </w:rPr>
        <w:t> </w:t>
      </w:r>
      <w:r>
        <w:rPr>
          <w:sz w:val="24"/>
        </w:rPr>
        <w:t>if installed</w:t>
      </w:r>
      <w:r>
        <w:rPr>
          <w:spacing w:val="80"/>
          <w:sz w:val="24"/>
        </w:rPr>
        <w:t> </w:t>
      </w:r>
      <w:r>
        <w:rPr>
          <w:sz w:val="24"/>
        </w:rPr>
        <w:t>and</w:t>
      </w:r>
      <w:r>
        <w:rPr>
          <w:spacing w:val="80"/>
          <w:sz w:val="24"/>
        </w:rPr>
        <w:t> </w:t>
      </w:r>
      <w:r>
        <w:rPr>
          <w:sz w:val="24"/>
        </w:rPr>
        <w:t>shall</w:t>
      </w:r>
      <w:r>
        <w:rPr>
          <w:spacing w:val="80"/>
          <w:sz w:val="24"/>
        </w:rPr>
        <w:t> </w:t>
      </w:r>
      <w:r>
        <w:rPr>
          <w:sz w:val="24"/>
        </w:rPr>
        <w:t>have</w:t>
      </w:r>
      <w:r>
        <w:rPr>
          <w:spacing w:val="80"/>
          <w:sz w:val="24"/>
        </w:rPr>
        <w:t> </w:t>
      </w:r>
      <w:r>
        <w:rPr>
          <w:sz w:val="24"/>
        </w:rPr>
        <w:t>a</w:t>
      </w:r>
      <w:r>
        <w:rPr>
          <w:spacing w:val="80"/>
          <w:sz w:val="24"/>
        </w:rPr>
        <w:t> </w:t>
      </w:r>
      <w:r>
        <w:rPr>
          <w:sz w:val="24"/>
        </w:rPr>
        <w:t>considerably</w:t>
      </w:r>
      <w:r>
        <w:rPr>
          <w:spacing w:val="80"/>
          <w:sz w:val="24"/>
        </w:rPr>
        <w:t> </w:t>
      </w:r>
      <w:r>
        <w:rPr>
          <w:sz w:val="24"/>
        </w:rPr>
        <w:t>higher</w:t>
      </w:r>
      <w:r>
        <w:rPr>
          <w:spacing w:val="80"/>
          <w:sz w:val="24"/>
        </w:rPr>
        <w:t> </w:t>
      </w:r>
      <w:r>
        <w:rPr>
          <w:sz w:val="24"/>
        </w:rPr>
        <w:t>performance</w:t>
      </w:r>
      <w:r>
        <w:rPr>
          <w:spacing w:val="80"/>
          <w:sz w:val="24"/>
        </w:rPr>
        <w:t> </w:t>
      </w:r>
      <w:r>
        <w:rPr>
          <w:sz w:val="24"/>
        </w:rPr>
        <w:t>than</w:t>
      </w:r>
      <w:r>
        <w:rPr>
          <w:spacing w:val="80"/>
          <w:sz w:val="24"/>
        </w:rPr>
        <w:t> </w:t>
      </w:r>
      <w:r>
        <w:rPr>
          <w:sz w:val="24"/>
        </w:rPr>
        <w:t>the</w:t>
      </w:r>
    </w:p>
    <w:p>
      <w:pPr>
        <w:pStyle w:val="ListParagraph"/>
        <w:spacing w:after="0" w:line="240" w:lineRule="auto"/>
        <w:jc w:val="both"/>
        <w:rPr>
          <w:sz w:val="24"/>
        </w:rPr>
        <w:sectPr>
          <w:pgSz w:w="11910" w:h="16850"/>
          <w:pgMar w:header="1024" w:footer="1302" w:top="1480" w:bottom="1500" w:left="360" w:right="360"/>
        </w:sectPr>
      </w:pPr>
    </w:p>
    <w:p>
      <w:pPr>
        <w:pStyle w:val="BodyText"/>
        <w:spacing w:before="276"/>
        <w:ind w:left="1572" w:right="779"/>
      </w:pPr>
      <w:r>
        <w:rPr/>
        <w:t>standard</w:t>
      </w:r>
      <w:r>
        <w:rPr>
          <w:spacing w:val="40"/>
        </w:rPr>
        <w:t> </w:t>
      </w:r>
      <w:r>
        <w:rPr/>
        <w:t>units.</w:t>
      </w:r>
      <w:r>
        <w:rPr>
          <w:spacing w:val="80"/>
          <w:w w:val="150"/>
        </w:rPr>
        <w:t> </w:t>
      </w:r>
      <w:r>
        <w:rPr/>
        <w:t>The</w:t>
      </w:r>
      <w:r>
        <w:rPr>
          <w:spacing w:val="40"/>
        </w:rPr>
        <w:t> </w:t>
      </w:r>
      <w:r>
        <w:rPr/>
        <w:t>system</w:t>
      </w:r>
      <w:r>
        <w:rPr>
          <w:spacing w:val="40"/>
        </w:rPr>
        <w:t> </w:t>
      </w:r>
      <w:r>
        <w:rPr/>
        <w:t>should</w:t>
      </w:r>
      <w:r>
        <w:rPr>
          <w:spacing w:val="40"/>
        </w:rPr>
        <w:t> </w:t>
      </w:r>
      <w:r>
        <w:rPr/>
        <w:t>also</w:t>
      </w:r>
      <w:r>
        <w:rPr>
          <w:spacing w:val="40"/>
        </w:rPr>
        <w:t> </w:t>
      </w:r>
      <w:r>
        <w:rPr/>
        <w:t>have</w:t>
      </w:r>
      <w:r>
        <w:rPr>
          <w:spacing w:val="40"/>
        </w:rPr>
        <w:t> </w:t>
      </w:r>
      <w:r>
        <w:rPr/>
        <w:t>an</w:t>
      </w:r>
      <w:r>
        <w:rPr>
          <w:spacing w:val="40"/>
        </w:rPr>
        <w:t> </w:t>
      </w:r>
      <w:r>
        <w:rPr/>
        <w:t>arrangement</w:t>
      </w:r>
      <w:r>
        <w:rPr>
          <w:spacing w:val="40"/>
        </w:rPr>
        <w:t> </w:t>
      </w:r>
      <w:r>
        <w:rPr/>
        <w:t>to</w:t>
      </w:r>
      <w:r>
        <w:rPr>
          <w:spacing w:val="40"/>
        </w:rPr>
        <w:t> </w:t>
      </w:r>
      <w:r>
        <w:rPr>
          <w:spacing w:val="9"/>
        </w:rPr>
        <w:t>start </w:t>
      </w:r>
      <w:r>
        <w:rPr/>
        <w:t>it</w:t>
      </w:r>
      <w:r>
        <w:rPr>
          <w:spacing w:val="80"/>
        </w:rPr>
        <w:t> </w:t>
      </w:r>
      <w:r>
        <w:rPr/>
        <w:t>manually</w:t>
      </w:r>
      <w:r>
        <w:rPr>
          <w:spacing w:val="80"/>
        </w:rPr>
        <w:t> </w:t>
      </w:r>
      <w:r>
        <w:rPr/>
        <w:t>and</w:t>
      </w:r>
      <w:r>
        <w:rPr>
          <w:spacing w:val="80"/>
        </w:rPr>
        <w:t> </w:t>
      </w:r>
      <w:r>
        <w:rPr/>
        <w:t>shall</w:t>
      </w:r>
      <w:r>
        <w:rPr>
          <w:spacing w:val="80"/>
        </w:rPr>
        <w:t> </w:t>
      </w:r>
      <w:r>
        <w:rPr/>
        <w:t>be</w:t>
      </w:r>
      <w:r>
        <w:rPr>
          <w:spacing w:val="80"/>
        </w:rPr>
        <w:t> </w:t>
      </w:r>
      <w:r>
        <w:rPr/>
        <w:t>designed</w:t>
      </w:r>
      <w:r>
        <w:rPr>
          <w:spacing w:val="80"/>
        </w:rPr>
        <w:t> </w:t>
      </w:r>
      <w:r>
        <w:rPr/>
        <w:t>to</w:t>
      </w:r>
      <w:r>
        <w:rPr>
          <w:spacing w:val="80"/>
        </w:rPr>
        <w:t> </w:t>
      </w:r>
      <w:r>
        <w:rPr/>
        <w:t>function</w:t>
      </w:r>
      <w:r>
        <w:rPr>
          <w:spacing w:val="80"/>
        </w:rPr>
        <w:t> </w:t>
      </w:r>
      <w:r>
        <w:rPr/>
        <w:t>at</w:t>
      </w:r>
      <w:r>
        <w:rPr>
          <w:spacing w:val="80"/>
        </w:rPr>
        <w:t> </w:t>
      </w:r>
      <w:r>
        <w:rPr/>
        <w:t>a</w:t>
      </w:r>
      <w:r>
        <w:rPr>
          <w:spacing w:val="80"/>
        </w:rPr>
        <w:t> </w:t>
      </w:r>
      <w:r>
        <w:rPr/>
        <w:t>temperature</w:t>
      </w:r>
      <w:r>
        <w:rPr>
          <w:spacing w:val="80"/>
        </w:rPr>
        <w:t> </w:t>
      </w:r>
      <w:r>
        <w:rPr/>
        <w:t>not less than </w:t>
      </w:r>
      <w:r>
        <w:rPr>
          <w:spacing w:val="9"/>
        </w:rPr>
        <w:t>550</w:t>
      </w:r>
      <w:r>
        <w:rPr>
          <w:spacing w:val="9"/>
          <w:position w:val="6"/>
          <w:sz w:val="16"/>
        </w:rPr>
        <w:t>0</w:t>
      </w:r>
      <w:r>
        <w:rPr>
          <w:spacing w:val="9"/>
        </w:rPr>
        <w:t>C.</w:t>
      </w:r>
    </w:p>
    <w:p>
      <w:pPr>
        <w:pStyle w:val="ListParagraph"/>
        <w:numPr>
          <w:ilvl w:val="1"/>
          <w:numId w:val="335"/>
        </w:numPr>
        <w:tabs>
          <w:tab w:pos="1570" w:val="left" w:leader="none"/>
        </w:tabs>
        <w:spacing w:line="240" w:lineRule="auto" w:before="239" w:after="0"/>
        <w:ind w:left="1570" w:right="0" w:hanging="452"/>
        <w:jc w:val="both"/>
        <w:rPr>
          <w:sz w:val="24"/>
        </w:rPr>
      </w:pPr>
      <w:r>
        <w:rPr>
          <w:sz w:val="24"/>
        </w:rPr>
        <w:t>Kitchens</w:t>
      </w:r>
      <w:r>
        <w:rPr>
          <w:spacing w:val="54"/>
          <w:sz w:val="24"/>
        </w:rPr>
        <w:t> </w:t>
      </w:r>
      <w:r>
        <w:rPr>
          <w:sz w:val="24"/>
        </w:rPr>
        <w:t>working</w:t>
      </w:r>
      <w:r>
        <w:rPr>
          <w:spacing w:val="51"/>
          <w:sz w:val="24"/>
        </w:rPr>
        <w:t> </w:t>
      </w:r>
      <w:r>
        <w:rPr>
          <w:sz w:val="24"/>
        </w:rPr>
        <w:t>or</w:t>
      </w:r>
      <w:r>
        <w:rPr>
          <w:spacing w:val="52"/>
          <w:sz w:val="24"/>
        </w:rPr>
        <w:t> </w:t>
      </w:r>
      <w:r>
        <w:rPr>
          <w:sz w:val="24"/>
        </w:rPr>
        <w:t>gas</w:t>
      </w:r>
      <w:r>
        <w:rPr>
          <w:spacing w:val="51"/>
          <w:sz w:val="24"/>
        </w:rPr>
        <w:t> </w:t>
      </w:r>
      <w:r>
        <w:rPr>
          <w:sz w:val="24"/>
        </w:rPr>
        <w:t>fuel</w:t>
      </w:r>
      <w:r>
        <w:rPr>
          <w:spacing w:val="52"/>
          <w:sz w:val="24"/>
        </w:rPr>
        <w:t> </w:t>
      </w:r>
      <w:r>
        <w:rPr>
          <w:sz w:val="24"/>
        </w:rPr>
        <w:t>shall</w:t>
      </w:r>
      <w:r>
        <w:rPr>
          <w:spacing w:val="52"/>
          <w:sz w:val="24"/>
        </w:rPr>
        <w:t> </w:t>
      </w:r>
      <w:r>
        <w:rPr>
          <w:sz w:val="24"/>
        </w:rPr>
        <w:t>not</w:t>
      </w:r>
      <w:r>
        <w:rPr>
          <w:spacing w:val="54"/>
          <w:sz w:val="24"/>
        </w:rPr>
        <w:t> </w:t>
      </w:r>
      <w:r>
        <w:rPr>
          <w:sz w:val="24"/>
        </w:rPr>
        <w:t>be</w:t>
      </w:r>
      <w:r>
        <w:rPr>
          <w:spacing w:val="51"/>
          <w:sz w:val="24"/>
        </w:rPr>
        <w:t> </w:t>
      </w:r>
      <w:r>
        <w:rPr>
          <w:sz w:val="24"/>
        </w:rPr>
        <w:t>permitted</w:t>
      </w:r>
      <w:r>
        <w:rPr>
          <w:spacing w:val="52"/>
          <w:sz w:val="24"/>
        </w:rPr>
        <w:t> </w:t>
      </w:r>
      <w:r>
        <w:rPr>
          <w:sz w:val="24"/>
        </w:rPr>
        <w:t>in</w:t>
      </w:r>
      <w:r>
        <w:rPr>
          <w:spacing w:val="52"/>
          <w:sz w:val="24"/>
        </w:rPr>
        <w:t> </w:t>
      </w:r>
      <w:r>
        <w:rPr>
          <w:spacing w:val="7"/>
          <w:sz w:val="24"/>
        </w:rPr>
        <w:t>basements.</w:t>
      </w:r>
    </w:p>
    <w:p>
      <w:pPr>
        <w:spacing w:before="239"/>
        <w:ind w:left="1138" w:right="768" w:firstLine="0"/>
        <w:jc w:val="left"/>
        <w:rPr>
          <w:sz w:val="24"/>
        </w:rPr>
      </w:pPr>
      <w:r>
        <w:rPr>
          <w:b/>
          <w:i/>
          <w:sz w:val="24"/>
        </w:rPr>
        <w:t>Floor</w:t>
      </w:r>
      <w:r>
        <w:rPr>
          <w:b/>
          <w:i/>
          <w:spacing w:val="40"/>
          <w:sz w:val="24"/>
        </w:rPr>
        <w:t> </w:t>
      </w:r>
      <w:r>
        <w:rPr>
          <w:b/>
          <w:i/>
          <w:sz w:val="24"/>
        </w:rPr>
        <w:t>space</w:t>
      </w:r>
      <w:r>
        <w:rPr>
          <w:b/>
          <w:i/>
          <w:spacing w:val="40"/>
          <w:sz w:val="24"/>
        </w:rPr>
        <w:t> </w:t>
      </w:r>
      <w:r>
        <w:rPr>
          <w:b/>
          <w:i/>
          <w:sz w:val="24"/>
        </w:rPr>
        <w:t>division</w:t>
      </w:r>
      <w:r>
        <w:rPr>
          <w:b/>
          <w:i/>
          <w:spacing w:val="40"/>
          <w:sz w:val="24"/>
        </w:rPr>
        <w:t> </w:t>
      </w:r>
      <w:r>
        <w:rPr>
          <w:b/>
          <w:i/>
          <w:sz w:val="24"/>
        </w:rPr>
        <w:t>(fire</w:t>
      </w:r>
      <w:r>
        <w:rPr>
          <w:b/>
          <w:i/>
          <w:spacing w:val="40"/>
          <w:sz w:val="24"/>
        </w:rPr>
        <w:t> </w:t>
      </w:r>
      <w:r>
        <w:rPr>
          <w:b/>
          <w:i/>
          <w:spacing w:val="9"/>
          <w:sz w:val="24"/>
        </w:rPr>
        <w:t>sections)</w:t>
      </w:r>
      <w:r>
        <w:rPr>
          <w:spacing w:val="9"/>
          <w:sz w:val="24"/>
        </w:rPr>
        <w:t>The</w:t>
      </w:r>
      <w:r>
        <w:rPr>
          <w:spacing w:val="40"/>
          <w:sz w:val="24"/>
        </w:rPr>
        <w:t> </w:t>
      </w:r>
      <w:r>
        <w:rPr>
          <w:sz w:val="24"/>
        </w:rPr>
        <w:t>floor</w:t>
      </w:r>
      <w:r>
        <w:rPr>
          <w:spacing w:val="40"/>
          <w:sz w:val="24"/>
        </w:rPr>
        <w:t> </w:t>
      </w:r>
      <w:r>
        <w:rPr>
          <w:sz w:val="24"/>
        </w:rPr>
        <w:t>space</w:t>
      </w:r>
      <w:r>
        <w:rPr>
          <w:spacing w:val="40"/>
          <w:sz w:val="24"/>
        </w:rPr>
        <w:t> </w:t>
      </w:r>
      <w:r>
        <w:rPr>
          <w:sz w:val="24"/>
        </w:rPr>
        <w:t>division</w:t>
      </w:r>
      <w:r>
        <w:rPr>
          <w:spacing w:val="40"/>
          <w:sz w:val="24"/>
        </w:rPr>
        <w:t> </w:t>
      </w:r>
      <w:r>
        <w:rPr>
          <w:sz w:val="24"/>
        </w:rPr>
        <w:t>on</w:t>
      </w:r>
      <w:r>
        <w:rPr>
          <w:spacing w:val="40"/>
          <w:sz w:val="24"/>
        </w:rPr>
        <w:t> </w:t>
      </w:r>
      <w:r>
        <w:rPr>
          <w:sz w:val="24"/>
        </w:rPr>
        <w:t>floors</w:t>
      </w:r>
      <w:r>
        <w:rPr>
          <w:spacing w:val="40"/>
          <w:sz w:val="24"/>
        </w:rPr>
        <w:t> </w:t>
      </w:r>
      <w:r>
        <w:rPr>
          <w:sz w:val="24"/>
        </w:rPr>
        <w:t>and in</w:t>
      </w:r>
      <w:r>
        <w:rPr>
          <w:spacing w:val="40"/>
          <w:sz w:val="24"/>
        </w:rPr>
        <w:t> </w:t>
      </w:r>
      <w:r>
        <w:rPr>
          <w:sz w:val="24"/>
        </w:rPr>
        <w:t>basements</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per</w:t>
      </w:r>
      <w:r>
        <w:rPr>
          <w:spacing w:val="40"/>
          <w:sz w:val="24"/>
        </w:rPr>
        <w:t> </w:t>
      </w:r>
      <w:r>
        <w:rPr>
          <w:sz w:val="24"/>
        </w:rPr>
        <w:t>provisions</w:t>
      </w:r>
      <w:r>
        <w:rPr>
          <w:spacing w:val="40"/>
          <w:sz w:val="24"/>
        </w:rPr>
        <w:t> </w:t>
      </w:r>
      <w:r>
        <w:rPr>
          <w:sz w:val="24"/>
        </w:rPr>
        <w:t>of</w:t>
      </w:r>
      <w:r>
        <w:rPr>
          <w:spacing w:val="40"/>
          <w:sz w:val="24"/>
        </w:rPr>
        <w:t> </w:t>
      </w:r>
      <w:r>
        <w:rPr>
          <w:spacing w:val="9"/>
          <w:sz w:val="24"/>
        </w:rPr>
        <w:t>N.B.C.</w:t>
      </w:r>
    </w:p>
    <w:p>
      <w:pPr>
        <w:pStyle w:val="Heading6"/>
        <w:numPr>
          <w:ilvl w:val="0"/>
          <w:numId w:val="335"/>
        </w:numPr>
        <w:tabs>
          <w:tab w:pos="1136" w:val="left" w:leader="none"/>
        </w:tabs>
        <w:spacing w:line="240" w:lineRule="auto" w:before="238" w:after="0"/>
        <w:ind w:left="1136" w:right="0" w:hanging="359"/>
        <w:jc w:val="left"/>
        <w:rPr>
          <w:i w:val="0"/>
        </w:rPr>
      </w:pPr>
      <w:r>
        <w:rPr/>
        <w:t>Service</w:t>
      </w:r>
      <w:r>
        <w:rPr>
          <w:spacing w:val="75"/>
        </w:rPr>
        <w:t> </w:t>
      </w:r>
      <w:r>
        <w:rPr>
          <w:spacing w:val="-2"/>
        </w:rPr>
        <w:t>ducts</w:t>
      </w:r>
      <w:r>
        <w:rPr>
          <w:i w:val="0"/>
          <w:spacing w:val="-2"/>
        </w:rPr>
        <w:t>.</w:t>
      </w:r>
    </w:p>
    <w:p>
      <w:pPr>
        <w:pStyle w:val="ListParagraph"/>
        <w:numPr>
          <w:ilvl w:val="1"/>
          <w:numId w:val="335"/>
        </w:numPr>
        <w:tabs>
          <w:tab w:pos="1519" w:val="left" w:leader="none"/>
          <w:tab w:pos="1572" w:val="left" w:leader="none"/>
        </w:tabs>
        <w:spacing w:line="240" w:lineRule="auto" w:before="244" w:after="0"/>
        <w:ind w:left="1572" w:right="803" w:hanging="454"/>
        <w:jc w:val="both"/>
        <w:rPr>
          <w:sz w:val="24"/>
        </w:rPr>
      </w:pPr>
      <w:r>
        <w:rPr>
          <w:sz w:val="24"/>
        </w:rPr>
        <w:t>Service</w:t>
      </w:r>
      <w:r>
        <w:rPr>
          <w:spacing w:val="40"/>
          <w:sz w:val="24"/>
        </w:rPr>
        <w:t> </w:t>
      </w:r>
      <w:r>
        <w:rPr>
          <w:sz w:val="24"/>
        </w:rPr>
        <w:t>ducts</w:t>
      </w:r>
      <w:r>
        <w:rPr>
          <w:spacing w:val="40"/>
          <w:sz w:val="24"/>
        </w:rPr>
        <w:t> </w:t>
      </w:r>
      <w:r>
        <w:rPr>
          <w:sz w:val="24"/>
        </w:rPr>
        <w:t>shall</w:t>
      </w:r>
      <w:r>
        <w:rPr>
          <w:spacing w:val="40"/>
          <w:sz w:val="24"/>
        </w:rPr>
        <w:t> </w:t>
      </w:r>
      <w:r>
        <w:rPr>
          <w:sz w:val="24"/>
        </w:rPr>
        <w:t>be</w:t>
      </w:r>
      <w:r>
        <w:rPr>
          <w:spacing w:val="40"/>
          <w:sz w:val="24"/>
        </w:rPr>
        <w:t> </w:t>
      </w:r>
      <w:r>
        <w:rPr>
          <w:sz w:val="24"/>
        </w:rPr>
        <w:t>enclosed</w:t>
      </w:r>
      <w:r>
        <w:rPr>
          <w:spacing w:val="40"/>
          <w:sz w:val="24"/>
        </w:rPr>
        <w:t> </w:t>
      </w:r>
      <w:r>
        <w:rPr>
          <w:sz w:val="24"/>
        </w:rPr>
        <w:t>by</w:t>
      </w:r>
      <w:r>
        <w:rPr>
          <w:spacing w:val="40"/>
          <w:sz w:val="24"/>
        </w:rPr>
        <w:t> </w:t>
      </w:r>
      <w:r>
        <w:rPr>
          <w:sz w:val="24"/>
        </w:rPr>
        <w:t>walls</w:t>
      </w:r>
      <w:r>
        <w:rPr>
          <w:spacing w:val="40"/>
          <w:sz w:val="24"/>
        </w:rPr>
        <w:t> </w:t>
      </w:r>
      <w:r>
        <w:rPr>
          <w:sz w:val="24"/>
        </w:rPr>
        <w:t>having</w:t>
      </w:r>
      <w:r>
        <w:rPr>
          <w:spacing w:val="40"/>
          <w:sz w:val="24"/>
        </w:rPr>
        <w:t> </w:t>
      </w:r>
      <w:r>
        <w:rPr>
          <w:sz w:val="24"/>
        </w:rPr>
        <w:t>a</w:t>
      </w:r>
      <w:r>
        <w:rPr>
          <w:spacing w:val="40"/>
          <w:sz w:val="24"/>
        </w:rPr>
        <w:t> </w:t>
      </w:r>
      <w:r>
        <w:rPr>
          <w:sz w:val="24"/>
        </w:rPr>
        <w:t>fire</w:t>
      </w:r>
      <w:r>
        <w:rPr>
          <w:spacing w:val="40"/>
          <w:sz w:val="24"/>
        </w:rPr>
        <w:t> </w:t>
      </w:r>
      <w:r>
        <w:rPr>
          <w:sz w:val="24"/>
        </w:rPr>
        <w:t>resistance</w:t>
      </w:r>
      <w:r>
        <w:rPr>
          <w:spacing w:val="40"/>
          <w:sz w:val="24"/>
        </w:rPr>
        <w:t> </w:t>
      </w:r>
      <w:r>
        <w:rPr>
          <w:sz w:val="24"/>
        </w:rPr>
        <w:t>of</w:t>
      </w:r>
      <w:r>
        <w:rPr>
          <w:spacing w:val="40"/>
          <w:sz w:val="24"/>
        </w:rPr>
        <w:t> </w:t>
      </w:r>
      <w:r>
        <w:rPr>
          <w:sz w:val="24"/>
        </w:rPr>
        <w:t>not less</w:t>
      </w:r>
      <w:r>
        <w:rPr>
          <w:spacing w:val="40"/>
          <w:sz w:val="24"/>
        </w:rPr>
        <w:t> </w:t>
      </w:r>
      <w:r>
        <w:rPr>
          <w:sz w:val="24"/>
        </w:rPr>
        <w:t>than</w:t>
      </w:r>
      <w:r>
        <w:rPr>
          <w:spacing w:val="40"/>
          <w:sz w:val="24"/>
        </w:rPr>
        <w:t> </w:t>
      </w:r>
      <w:r>
        <w:rPr>
          <w:sz w:val="24"/>
        </w:rPr>
        <w:t>two</w:t>
      </w:r>
      <w:r>
        <w:rPr>
          <w:spacing w:val="40"/>
          <w:sz w:val="24"/>
        </w:rPr>
        <w:t> </w:t>
      </w:r>
      <w:r>
        <w:rPr>
          <w:sz w:val="24"/>
        </w:rPr>
        <w:t>hours.</w:t>
      </w:r>
      <w:r>
        <w:rPr>
          <w:spacing w:val="80"/>
          <w:w w:val="150"/>
          <w:sz w:val="24"/>
        </w:rPr>
        <w:t> </w:t>
      </w:r>
      <w:r>
        <w:rPr>
          <w:sz w:val="24"/>
        </w:rPr>
        <w:t>Doors</w:t>
      </w:r>
      <w:r>
        <w:rPr>
          <w:spacing w:val="40"/>
          <w:sz w:val="24"/>
        </w:rPr>
        <w:t> </w:t>
      </w:r>
      <w:r>
        <w:rPr>
          <w:sz w:val="24"/>
        </w:rPr>
        <w:t>for</w:t>
      </w:r>
      <w:r>
        <w:rPr>
          <w:spacing w:val="40"/>
          <w:sz w:val="24"/>
        </w:rPr>
        <w:t> </w:t>
      </w:r>
      <w:r>
        <w:rPr>
          <w:sz w:val="24"/>
        </w:rPr>
        <w:t>inspection</w:t>
      </w:r>
      <w:r>
        <w:rPr>
          <w:spacing w:val="40"/>
          <w:sz w:val="24"/>
        </w:rPr>
        <w:t> </w:t>
      </w:r>
      <w:r>
        <w:rPr>
          <w:sz w:val="24"/>
        </w:rPr>
        <w:t>or</w:t>
      </w:r>
      <w:r>
        <w:rPr>
          <w:spacing w:val="40"/>
          <w:sz w:val="24"/>
        </w:rPr>
        <w:t> </w:t>
      </w:r>
      <w:r>
        <w:rPr>
          <w:sz w:val="24"/>
        </w:rPr>
        <w:t>access</w:t>
      </w:r>
      <w:r>
        <w:rPr>
          <w:spacing w:val="40"/>
          <w:sz w:val="24"/>
        </w:rPr>
        <w:t> </w:t>
      </w:r>
      <w:r>
        <w:rPr>
          <w:sz w:val="24"/>
        </w:rPr>
        <w:t>shall</w:t>
      </w:r>
      <w:r>
        <w:rPr>
          <w:spacing w:val="40"/>
          <w:sz w:val="24"/>
        </w:rPr>
        <w:t> </w:t>
      </w:r>
      <w:r>
        <w:rPr>
          <w:sz w:val="24"/>
        </w:rPr>
        <w:t>also</w:t>
      </w:r>
      <w:r>
        <w:rPr>
          <w:spacing w:val="40"/>
          <w:sz w:val="24"/>
        </w:rPr>
        <w:t> </w:t>
      </w:r>
      <w:r>
        <w:rPr>
          <w:sz w:val="24"/>
        </w:rPr>
        <w:t>have</w:t>
      </w:r>
      <w:r>
        <w:rPr>
          <w:spacing w:val="40"/>
          <w:sz w:val="24"/>
        </w:rPr>
        <w:t> </w:t>
      </w:r>
      <w:r>
        <w:rPr>
          <w:sz w:val="24"/>
        </w:rPr>
        <w:t>a fire</w:t>
      </w:r>
      <w:r>
        <w:rPr>
          <w:spacing w:val="40"/>
          <w:sz w:val="24"/>
        </w:rPr>
        <w:t> </w:t>
      </w:r>
      <w:r>
        <w:rPr>
          <w:sz w:val="24"/>
        </w:rPr>
        <w:t>resistance</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two</w:t>
      </w:r>
      <w:r>
        <w:rPr>
          <w:spacing w:val="40"/>
          <w:sz w:val="24"/>
        </w:rPr>
        <w:t> </w:t>
      </w:r>
      <w:r>
        <w:rPr>
          <w:spacing w:val="9"/>
          <w:sz w:val="24"/>
        </w:rPr>
        <w:t>hours.</w:t>
      </w:r>
    </w:p>
    <w:p>
      <w:pPr>
        <w:pStyle w:val="ListParagraph"/>
        <w:numPr>
          <w:ilvl w:val="1"/>
          <w:numId w:val="335"/>
        </w:numPr>
        <w:tabs>
          <w:tab w:pos="1570" w:val="left" w:leader="none"/>
          <w:tab w:pos="1572" w:val="left" w:leader="none"/>
        </w:tabs>
        <w:spacing w:line="240" w:lineRule="auto" w:before="241" w:after="0"/>
        <w:ind w:left="1572" w:right="784" w:hanging="454"/>
        <w:jc w:val="both"/>
        <w:rPr>
          <w:sz w:val="24"/>
        </w:rPr>
      </w:pPr>
      <w:r>
        <w:rPr>
          <w:sz w:val="24"/>
        </w:rPr>
        <w:t>If the </w:t>
      </w:r>
      <w:r>
        <w:rPr>
          <w:spacing w:val="9"/>
          <w:sz w:val="24"/>
        </w:rPr>
        <w:t>cross-</w:t>
      </w:r>
      <w:r>
        <w:rPr>
          <w:sz w:val="24"/>
        </w:rPr>
        <w:t>sectional area of a duct exceeds 1 sq. m it shall be sealed where it passes a floor with </w:t>
      </w:r>
      <w:r>
        <w:rPr>
          <w:spacing w:val="11"/>
          <w:sz w:val="24"/>
        </w:rPr>
        <w:t>non-</w:t>
      </w:r>
      <w:r>
        <w:rPr>
          <w:sz w:val="24"/>
        </w:rPr>
        <w:t>combustible light material. The seal within</w:t>
      </w:r>
      <w:r>
        <w:rPr>
          <w:spacing w:val="40"/>
          <w:sz w:val="24"/>
        </w:rPr>
        <w:t> </w:t>
      </w:r>
      <w:r>
        <w:rPr>
          <w:sz w:val="24"/>
        </w:rPr>
        <w:t>the</w:t>
      </w:r>
      <w:r>
        <w:rPr>
          <w:spacing w:val="40"/>
          <w:sz w:val="24"/>
        </w:rPr>
        <w:t> </w:t>
      </w:r>
      <w:r>
        <w:rPr>
          <w:sz w:val="24"/>
        </w:rPr>
        <w:t>duct</w:t>
      </w:r>
      <w:r>
        <w:rPr>
          <w:spacing w:val="40"/>
          <w:sz w:val="24"/>
        </w:rPr>
        <w:t> </w:t>
      </w:r>
      <w:r>
        <w:rPr>
          <w:sz w:val="24"/>
        </w:rPr>
        <w:t>maybe</w:t>
      </w:r>
      <w:r>
        <w:rPr>
          <w:spacing w:val="40"/>
          <w:sz w:val="24"/>
        </w:rPr>
        <w:t> </w:t>
      </w:r>
      <w:r>
        <w:rPr>
          <w:sz w:val="24"/>
        </w:rPr>
        <w:t>pierced</w:t>
      </w:r>
      <w:r>
        <w:rPr>
          <w:spacing w:val="40"/>
          <w:sz w:val="24"/>
        </w:rPr>
        <w:t> </w:t>
      </w:r>
      <w:r>
        <w:rPr>
          <w:sz w:val="24"/>
        </w:rPr>
        <w:t>for</w:t>
      </w:r>
      <w:r>
        <w:rPr>
          <w:spacing w:val="40"/>
          <w:sz w:val="24"/>
        </w:rPr>
        <w:t> </w:t>
      </w:r>
      <w:r>
        <w:rPr>
          <w:sz w:val="24"/>
        </w:rPr>
        <w:t>any</w:t>
      </w:r>
      <w:r>
        <w:rPr>
          <w:spacing w:val="40"/>
          <w:sz w:val="24"/>
        </w:rPr>
        <w:t> </w:t>
      </w:r>
      <w:r>
        <w:rPr>
          <w:sz w:val="24"/>
        </w:rPr>
        <w:t>service</w:t>
      </w:r>
      <w:r>
        <w:rPr>
          <w:spacing w:val="40"/>
          <w:sz w:val="24"/>
        </w:rPr>
        <w:t> </w:t>
      </w:r>
      <w:r>
        <w:rPr>
          <w:sz w:val="24"/>
        </w:rPr>
        <w:t>pipe</w:t>
      </w:r>
      <w:r>
        <w:rPr>
          <w:spacing w:val="40"/>
          <w:sz w:val="24"/>
        </w:rPr>
        <w:t> </w:t>
      </w:r>
      <w:r>
        <w:rPr>
          <w:sz w:val="24"/>
        </w:rPr>
        <w:t>or</w:t>
      </w:r>
      <w:r>
        <w:rPr>
          <w:spacing w:val="40"/>
          <w:sz w:val="24"/>
        </w:rPr>
        <w:t> </w:t>
      </w:r>
      <w:r>
        <w:rPr>
          <w:sz w:val="24"/>
        </w:rPr>
        <w:t>ventilated</w:t>
      </w:r>
      <w:r>
        <w:rPr>
          <w:spacing w:val="40"/>
          <w:sz w:val="24"/>
        </w:rPr>
        <w:t> </w:t>
      </w:r>
      <w:r>
        <w:rPr>
          <w:sz w:val="24"/>
        </w:rPr>
        <w:t>trunk and</w:t>
      </w:r>
      <w:r>
        <w:rPr>
          <w:spacing w:val="40"/>
          <w:sz w:val="24"/>
        </w:rPr>
        <w:t> </w:t>
      </w:r>
      <w:r>
        <w:rPr>
          <w:sz w:val="24"/>
        </w:rPr>
        <w:t>shall</w:t>
      </w:r>
      <w:r>
        <w:rPr>
          <w:spacing w:val="40"/>
          <w:sz w:val="24"/>
        </w:rPr>
        <w:t> </w:t>
      </w:r>
      <w:r>
        <w:rPr>
          <w:sz w:val="24"/>
        </w:rPr>
        <w:t>fit</w:t>
      </w:r>
      <w:r>
        <w:rPr>
          <w:spacing w:val="40"/>
          <w:sz w:val="24"/>
        </w:rPr>
        <w:t> </w:t>
      </w:r>
      <w:r>
        <w:rPr>
          <w:sz w:val="24"/>
        </w:rPr>
        <w:t>as</w:t>
      </w:r>
      <w:r>
        <w:rPr>
          <w:spacing w:val="40"/>
          <w:sz w:val="24"/>
        </w:rPr>
        <w:t> </w:t>
      </w:r>
      <w:r>
        <w:rPr>
          <w:sz w:val="24"/>
        </w:rPr>
        <w:t>closely</w:t>
      </w:r>
      <w:r>
        <w:rPr>
          <w:spacing w:val="40"/>
          <w:sz w:val="24"/>
        </w:rPr>
        <w:t> </w:t>
      </w:r>
      <w:r>
        <w:rPr>
          <w:sz w:val="24"/>
        </w:rPr>
        <w:t>as</w:t>
      </w:r>
      <w:r>
        <w:rPr>
          <w:spacing w:val="40"/>
          <w:sz w:val="24"/>
        </w:rPr>
        <w:t> </w:t>
      </w:r>
      <w:r>
        <w:rPr>
          <w:sz w:val="24"/>
        </w:rPr>
        <w:t>possible</w:t>
      </w:r>
      <w:r>
        <w:rPr>
          <w:spacing w:val="40"/>
          <w:sz w:val="24"/>
        </w:rPr>
        <w:t> </w:t>
      </w:r>
      <w:r>
        <w:rPr>
          <w:sz w:val="24"/>
        </w:rPr>
        <w:t>around</w:t>
      </w:r>
      <w:r>
        <w:rPr>
          <w:spacing w:val="40"/>
          <w:sz w:val="24"/>
        </w:rPr>
        <w:t> </w:t>
      </w:r>
      <w:r>
        <w:rPr>
          <w:sz w:val="24"/>
        </w:rPr>
        <w:t>any</w:t>
      </w:r>
      <w:r>
        <w:rPr>
          <w:spacing w:val="40"/>
          <w:sz w:val="24"/>
        </w:rPr>
        <w:t> </w:t>
      </w:r>
      <w:r>
        <w:rPr>
          <w:sz w:val="24"/>
        </w:rPr>
        <w:t>such</w:t>
      </w:r>
      <w:r>
        <w:rPr>
          <w:spacing w:val="40"/>
          <w:sz w:val="24"/>
        </w:rPr>
        <w:t> </w:t>
      </w:r>
      <w:r>
        <w:rPr>
          <w:sz w:val="24"/>
        </w:rPr>
        <w:t>pipe</w:t>
      </w:r>
      <w:r>
        <w:rPr>
          <w:spacing w:val="40"/>
          <w:sz w:val="24"/>
        </w:rPr>
        <w:t> </w:t>
      </w:r>
      <w:r>
        <w:rPr>
          <w:sz w:val="24"/>
        </w:rPr>
        <w:t>or</w:t>
      </w:r>
      <w:r>
        <w:rPr>
          <w:spacing w:val="40"/>
          <w:sz w:val="24"/>
        </w:rPr>
        <w:t> </w:t>
      </w:r>
      <w:r>
        <w:rPr>
          <w:spacing w:val="9"/>
          <w:sz w:val="24"/>
        </w:rPr>
        <w:t>trunk.</w:t>
      </w:r>
    </w:p>
    <w:p>
      <w:pPr>
        <w:pStyle w:val="ListParagraph"/>
        <w:numPr>
          <w:ilvl w:val="1"/>
          <w:numId w:val="335"/>
        </w:numPr>
        <w:tabs>
          <w:tab w:pos="1570" w:val="left" w:leader="none"/>
          <w:tab w:pos="1572" w:val="left" w:leader="none"/>
        </w:tabs>
        <w:spacing w:line="240" w:lineRule="auto" w:before="238" w:after="0"/>
        <w:ind w:left="1572" w:right="799" w:hanging="454"/>
        <w:jc w:val="both"/>
        <w:rPr>
          <w:sz w:val="24"/>
        </w:rPr>
      </w:pPr>
      <w:r>
        <w:rPr>
          <w:sz w:val="24"/>
        </w:rPr>
        <w:t>A</w:t>
      </w:r>
      <w:r>
        <w:rPr>
          <w:spacing w:val="40"/>
          <w:sz w:val="24"/>
        </w:rPr>
        <w:t> </w:t>
      </w:r>
      <w:r>
        <w:rPr>
          <w:sz w:val="24"/>
        </w:rPr>
        <w:t>permanent</w:t>
      </w:r>
      <w:r>
        <w:rPr>
          <w:spacing w:val="40"/>
          <w:sz w:val="24"/>
        </w:rPr>
        <w:t> </w:t>
      </w:r>
      <w:r>
        <w:rPr>
          <w:sz w:val="24"/>
        </w:rPr>
        <w:t>vent</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at</w:t>
      </w:r>
      <w:r>
        <w:rPr>
          <w:spacing w:val="40"/>
          <w:sz w:val="24"/>
        </w:rPr>
        <w:t> </w:t>
      </w:r>
      <w:r>
        <w:rPr>
          <w:sz w:val="24"/>
        </w:rPr>
        <w:t>the</w:t>
      </w:r>
      <w:r>
        <w:rPr>
          <w:spacing w:val="40"/>
          <w:sz w:val="24"/>
        </w:rPr>
        <w:t> </w:t>
      </w:r>
      <w:r>
        <w:rPr>
          <w:sz w:val="24"/>
        </w:rPr>
        <w:t>top</w:t>
      </w:r>
      <w:r>
        <w:rPr>
          <w:spacing w:val="40"/>
          <w:sz w:val="24"/>
        </w:rPr>
        <w:t> </w:t>
      </w:r>
      <w:r>
        <w:rPr>
          <w:sz w:val="24"/>
        </w:rPr>
        <w:t>of</w:t>
      </w:r>
      <w:r>
        <w:rPr>
          <w:spacing w:val="40"/>
          <w:sz w:val="24"/>
        </w:rPr>
        <w:t> </w:t>
      </w:r>
      <w:r>
        <w:rPr>
          <w:sz w:val="24"/>
        </w:rPr>
        <w:t>the</w:t>
      </w:r>
      <w:r>
        <w:rPr>
          <w:spacing w:val="40"/>
          <w:sz w:val="24"/>
        </w:rPr>
        <w:t> </w:t>
      </w:r>
      <w:r>
        <w:rPr>
          <w:sz w:val="24"/>
        </w:rPr>
        <w:t>service</w:t>
      </w:r>
      <w:r>
        <w:rPr>
          <w:spacing w:val="40"/>
          <w:sz w:val="24"/>
        </w:rPr>
        <w:t> </w:t>
      </w:r>
      <w:r>
        <w:rPr>
          <w:sz w:val="24"/>
        </w:rPr>
        <w:t>shaft</w:t>
      </w:r>
      <w:r>
        <w:rPr>
          <w:spacing w:val="40"/>
          <w:sz w:val="24"/>
        </w:rPr>
        <w:t> </w:t>
      </w:r>
      <w:r>
        <w:rPr>
          <w:sz w:val="24"/>
        </w:rPr>
        <w:t>of cross-sectional</w:t>
      </w:r>
      <w:r>
        <w:rPr>
          <w:spacing w:val="40"/>
          <w:sz w:val="24"/>
        </w:rPr>
        <w:t> </w:t>
      </w:r>
      <w:r>
        <w:rPr>
          <w:sz w:val="24"/>
        </w:rPr>
        <w:t>area</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460</w:t>
      </w:r>
      <w:r>
        <w:rPr>
          <w:spacing w:val="40"/>
          <w:sz w:val="24"/>
        </w:rPr>
        <w:t> </w:t>
      </w:r>
      <w:r>
        <w:rPr>
          <w:sz w:val="24"/>
        </w:rPr>
        <w:t>sq.</w:t>
      </w:r>
      <w:r>
        <w:rPr>
          <w:spacing w:val="40"/>
          <w:sz w:val="24"/>
        </w:rPr>
        <w:t> </w:t>
      </w:r>
      <w:r>
        <w:rPr>
          <w:sz w:val="24"/>
        </w:rPr>
        <w:t>cm</w:t>
      </w:r>
      <w:r>
        <w:rPr>
          <w:spacing w:val="40"/>
          <w:sz w:val="24"/>
        </w:rPr>
        <w:t> </w:t>
      </w:r>
      <w:r>
        <w:rPr>
          <w:sz w:val="24"/>
        </w:rPr>
        <w:t>or</w:t>
      </w:r>
      <w:r>
        <w:rPr>
          <w:spacing w:val="40"/>
          <w:sz w:val="24"/>
        </w:rPr>
        <w:t> </w:t>
      </w:r>
      <w:r>
        <w:rPr>
          <w:sz w:val="24"/>
        </w:rPr>
        <w:t>6.25</w:t>
      </w:r>
      <w:r>
        <w:rPr>
          <w:spacing w:val="40"/>
          <w:sz w:val="24"/>
        </w:rPr>
        <w:t> </w:t>
      </w:r>
      <w:r>
        <w:rPr>
          <w:sz w:val="24"/>
        </w:rPr>
        <w:t>cm.</w:t>
      </w:r>
      <w:r>
        <w:rPr>
          <w:spacing w:val="40"/>
          <w:sz w:val="24"/>
        </w:rPr>
        <w:t> </w:t>
      </w:r>
      <w:r>
        <w:rPr>
          <w:sz w:val="24"/>
        </w:rPr>
        <w:t>for</w:t>
      </w:r>
      <w:r>
        <w:rPr>
          <w:spacing w:val="40"/>
          <w:sz w:val="24"/>
        </w:rPr>
        <w:t> </w:t>
      </w:r>
      <w:r>
        <w:rPr>
          <w:sz w:val="24"/>
        </w:rPr>
        <w:t>each</w:t>
      </w:r>
      <w:r>
        <w:rPr>
          <w:spacing w:val="40"/>
          <w:sz w:val="24"/>
        </w:rPr>
        <w:t> </w:t>
      </w:r>
      <w:r>
        <w:rPr>
          <w:sz w:val="24"/>
        </w:rPr>
        <w:t>900-sq.</w:t>
      </w:r>
      <w:r>
        <w:rPr>
          <w:spacing w:val="40"/>
          <w:sz w:val="24"/>
        </w:rPr>
        <w:t> </w:t>
      </w:r>
      <w:r>
        <w:rPr>
          <w:sz w:val="24"/>
        </w:rPr>
        <w:t>cm</w:t>
      </w:r>
      <w:r>
        <w:rPr>
          <w:spacing w:val="40"/>
          <w:sz w:val="24"/>
        </w:rPr>
        <w:t> </w:t>
      </w:r>
      <w:r>
        <w:rPr>
          <w:sz w:val="24"/>
        </w:rPr>
        <w:t>of</w:t>
      </w:r>
      <w:r>
        <w:rPr>
          <w:spacing w:val="40"/>
          <w:sz w:val="24"/>
        </w:rPr>
        <w:t> </w:t>
      </w:r>
      <w:r>
        <w:rPr>
          <w:sz w:val="24"/>
        </w:rPr>
        <w:t>the</w:t>
      </w:r>
      <w:r>
        <w:rPr>
          <w:spacing w:val="40"/>
          <w:sz w:val="24"/>
        </w:rPr>
        <w:t> </w:t>
      </w:r>
      <w:r>
        <w:rPr>
          <w:sz w:val="24"/>
        </w:rPr>
        <w:t>area</w:t>
      </w:r>
      <w:r>
        <w:rPr>
          <w:spacing w:val="40"/>
          <w:sz w:val="24"/>
        </w:rPr>
        <w:t> </w:t>
      </w:r>
      <w:r>
        <w:rPr>
          <w:sz w:val="24"/>
        </w:rPr>
        <w:t>of</w:t>
      </w:r>
      <w:r>
        <w:rPr>
          <w:spacing w:val="40"/>
          <w:sz w:val="24"/>
        </w:rPr>
        <w:t> </w:t>
      </w:r>
      <w:r>
        <w:rPr>
          <w:sz w:val="24"/>
        </w:rPr>
        <w:t>the</w:t>
      </w:r>
      <w:r>
        <w:rPr>
          <w:spacing w:val="40"/>
          <w:sz w:val="24"/>
        </w:rPr>
        <w:t> </w:t>
      </w:r>
      <w:r>
        <w:rPr>
          <w:sz w:val="24"/>
        </w:rPr>
        <w:t>shaft,</w:t>
      </w:r>
      <w:r>
        <w:rPr>
          <w:spacing w:val="40"/>
          <w:sz w:val="24"/>
        </w:rPr>
        <w:t> </w:t>
      </w:r>
      <w:r>
        <w:rPr>
          <w:spacing w:val="9"/>
          <w:sz w:val="24"/>
        </w:rPr>
        <w:t>whichever</w:t>
      </w:r>
      <w:r>
        <w:rPr>
          <w:spacing w:val="40"/>
          <w:sz w:val="24"/>
        </w:rPr>
        <w:t> </w:t>
      </w:r>
      <w:r>
        <w:rPr>
          <w:sz w:val="24"/>
        </w:rPr>
        <w:t>is</w:t>
      </w:r>
      <w:r>
        <w:rPr>
          <w:spacing w:val="40"/>
          <w:sz w:val="24"/>
        </w:rPr>
        <w:t> </w:t>
      </w:r>
      <w:r>
        <w:rPr>
          <w:sz w:val="24"/>
        </w:rPr>
        <w:t>more.</w:t>
      </w:r>
    </w:p>
    <w:p>
      <w:pPr>
        <w:pStyle w:val="Heading6"/>
        <w:numPr>
          <w:ilvl w:val="0"/>
          <w:numId w:val="335"/>
        </w:numPr>
        <w:tabs>
          <w:tab w:pos="1136" w:val="left" w:leader="none"/>
        </w:tabs>
        <w:spacing w:line="240" w:lineRule="auto" w:before="240" w:after="0"/>
        <w:ind w:left="1136" w:right="0" w:hanging="359"/>
        <w:jc w:val="left"/>
        <w:rPr>
          <w:i w:val="0"/>
        </w:rPr>
      </w:pPr>
      <w:r>
        <w:rPr/>
        <w:t>Refuse</w:t>
      </w:r>
      <w:r>
        <w:rPr>
          <w:spacing w:val="57"/>
        </w:rPr>
        <w:t> </w:t>
      </w:r>
      <w:r>
        <w:rPr/>
        <w:t>chutes</w:t>
      </w:r>
      <w:r>
        <w:rPr>
          <w:spacing w:val="61"/>
        </w:rPr>
        <w:t> </w:t>
      </w:r>
      <w:r>
        <w:rPr/>
        <w:t>and</w:t>
      </w:r>
      <w:r>
        <w:rPr>
          <w:spacing w:val="58"/>
        </w:rPr>
        <w:t> </w:t>
      </w:r>
      <w:r>
        <w:rPr/>
        <w:t>refuse</w:t>
      </w:r>
      <w:r>
        <w:rPr>
          <w:spacing w:val="61"/>
        </w:rPr>
        <w:t> </w:t>
      </w:r>
      <w:r>
        <w:rPr>
          <w:spacing w:val="-2"/>
        </w:rPr>
        <w:t>chambers</w:t>
      </w:r>
      <w:r>
        <w:rPr>
          <w:i w:val="0"/>
          <w:spacing w:val="-2"/>
        </w:rPr>
        <w:t>.</w:t>
      </w:r>
    </w:p>
    <w:p>
      <w:pPr>
        <w:pStyle w:val="ListParagraph"/>
        <w:numPr>
          <w:ilvl w:val="1"/>
          <w:numId w:val="335"/>
        </w:numPr>
        <w:tabs>
          <w:tab w:pos="1572" w:val="left" w:leader="none"/>
        </w:tabs>
        <w:spacing w:line="240" w:lineRule="auto" w:before="242" w:after="0"/>
        <w:ind w:left="1118" w:right="782" w:firstLine="0"/>
        <w:jc w:val="both"/>
        <w:rPr>
          <w:sz w:val="24"/>
        </w:rPr>
      </w:pPr>
      <w:r>
        <w:rPr>
          <w:sz w:val="24"/>
        </w:rPr>
        <w:t>Hoppers</w:t>
      </w:r>
      <w:r>
        <w:rPr>
          <w:spacing w:val="40"/>
          <w:sz w:val="24"/>
        </w:rPr>
        <w:t> </w:t>
      </w:r>
      <w:r>
        <w:rPr>
          <w:sz w:val="24"/>
        </w:rPr>
        <w:t>under</w:t>
      </w:r>
      <w:r>
        <w:rPr>
          <w:spacing w:val="40"/>
          <w:sz w:val="24"/>
        </w:rPr>
        <w:t> </w:t>
      </w:r>
      <w:r>
        <w:rPr>
          <w:sz w:val="24"/>
        </w:rPr>
        <w:t>refuse</w:t>
      </w:r>
      <w:r>
        <w:rPr>
          <w:spacing w:val="40"/>
          <w:sz w:val="24"/>
        </w:rPr>
        <w:t> </w:t>
      </w:r>
      <w:r>
        <w:rPr>
          <w:sz w:val="24"/>
        </w:rPr>
        <w:t>chutes</w:t>
      </w:r>
      <w:r>
        <w:rPr>
          <w:spacing w:val="40"/>
          <w:sz w:val="24"/>
        </w:rPr>
        <w:t> </w:t>
      </w:r>
      <w:r>
        <w:rPr>
          <w:sz w:val="24"/>
        </w:rPr>
        <w:t>shall</w:t>
      </w:r>
      <w:r>
        <w:rPr>
          <w:spacing w:val="40"/>
          <w:sz w:val="24"/>
        </w:rPr>
        <w:t> </w:t>
      </w:r>
      <w:r>
        <w:rPr>
          <w:sz w:val="24"/>
        </w:rPr>
        <w:t>be</w:t>
      </w:r>
      <w:r>
        <w:rPr>
          <w:spacing w:val="40"/>
          <w:sz w:val="24"/>
        </w:rPr>
        <w:t> </w:t>
      </w:r>
      <w:r>
        <w:rPr>
          <w:sz w:val="24"/>
        </w:rPr>
        <w:t>situated</w:t>
      </w:r>
      <w:r>
        <w:rPr>
          <w:spacing w:val="40"/>
          <w:sz w:val="24"/>
        </w:rPr>
        <w:t> </w:t>
      </w:r>
      <w:r>
        <w:rPr>
          <w:sz w:val="24"/>
        </w:rPr>
        <w:t>in</w:t>
      </w:r>
      <w:r>
        <w:rPr>
          <w:spacing w:val="40"/>
          <w:sz w:val="24"/>
        </w:rPr>
        <w:t> </w:t>
      </w:r>
      <w:r>
        <w:rPr>
          <w:sz w:val="24"/>
        </w:rPr>
        <w:t>a</w:t>
      </w:r>
      <w:r>
        <w:rPr>
          <w:spacing w:val="40"/>
          <w:sz w:val="24"/>
        </w:rPr>
        <w:t> </w:t>
      </w:r>
      <w:r>
        <w:rPr>
          <w:sz w:val="24"/>
        </w:rPr>
        <w:t>well-ventilated position</w:t>
      </w:r>
      <w:r>
        <w:rPr>
          <w:spacing w:val="40"/>
          <w:sz w:val="24"/>
        </w:rPr>
        <w:t> </w:t>
      </w:r>
      <w:r>
        <w:rPr>
          <w:sz w:val="24"/>
        </w:rPr>
        <w:t>and</w:t>
      </w:r>
      <w:r>
        <w:rPr>
          <w:spacing w:val="40"/>
          <w:sz w:val="24"/>
        </w:rPr>
        <w:t> </w:t>
      </w:r>
      <w:r>
        <w:rPr>
          <w:sz w:val="24"/>
        </w:rPr>
        <w:t>the</w:t>
      </w:r>
      <w:r>
        <w:rPr>
          <w:spacing w:val="40"/>
          <w:sz w:val="24"/>
        </w:rPr>
        <w:t> </w:t>
      </w:r>
      <w:r>
        <w:rPr>
          <w:sz w:val="24"/>
        </w:rPr>
        <w:t>chutes</w:t>
      </w:r>
      <w:r>
        <w:rPr>
          <w:spacing w:val="40"/>
          <w:sz w:val="24"/>
        </w:rPr>
        <w:t> </w:t>
      </w:r>
      <w:r>
        <w:rPr>
          <w:sz w:val="24"/>
        </w:rPr>
        <w:t>shall</w:t>
      </w:r>
      <w:r>
        <w:rPr>
          <w:spacing w:val="40"/>
          <w:sz w:val="24"/>
        </w:rPr>
        <w:t> </w:t>
      </w:r>
      <w:r>
        <w:rPr>
          <w:sz w:val="24"/>
        </w:rPr>
        <w:t>be</w:t>
      </w:r>
      <w:r>
        <w:rPr>
          <w:spacing w:val="40"/>
          <w:sz w:val="24"/>
        </w:rPr>
        <w:t> </w:t>
      </w:r>
      <w:r>
        <w:rPr>
          <w:sz w:val="24"/>
        </w:rPr>
        <w:t>continued</w:t>
      </w:r>
      <w:r>
        <w:rPr>
          <w:spacing w:val="40"/>
          <w:sz w:val="24"/>
        </w:rPr>
        <w:t> </w:t>
      </w:r>
      <w:r>
        <w:rPr>
          <w:sz w:val="24"/>
        </w:rPr>
        <w:t>upwards</w:t>
      </w:r>
      <w:r>
        <w:rPr>
          <w:spacing w:val="40"/>
          <w:sz w:val="24"/>
        </w:rPr>
        <w:t> </w:t>
      </w:r>
      <w:r>
        <w:rPr>
          <w:sz w:val="24"/>
        </w:rPr>
        <w:t>with</w:t>
      </w:r>
      <w:r>
        <w:rPr>
          <w:spacing w:val="40"/>
          <w:sz w:val="24"/>
        </w:rPr>
        <w:t> </w:t>
      </w:r>
      <w:r>
        <w:rPr>
          <w:sz w:val="24"/>
        </w:rPr>
        <w:t>an</w:t>
      </w:r>
      <w:r>
        <w:rPr>
          <w:spacing w:val="40"/>
          <w:sz w:val="24"/>
        </w:rPr>
        <w:t> </w:t>
      </w:r>
      <w:r>
        <w:rPr>
          <w:sz w:val="24"/>
        </w:rPr>
        <w:t>outlet</w:t>
      </w:r>
      <w:r>
        <w:rPr>
          <w:spacing w:val="40"/>
          <w:sz w:val="24"/>
        </w:rPr>
        <w:t> </w:t>
      </w:r>
      <w:r>
        <w:rPr>
          <w:sz w:val="24"/>
        </w:rPr>
        <w:t>above roof level and with an enclosure wall of </w:t>
      </w:r>
      <w:r>
        <w:rPr>
          <w:spacing w:val="12"/>
          <w:sz w:val="24"/>
        </w:rPr>
        <w:t>non-</w:t>
      </w:r>
      <w:r>
        <w:rPr>
          <w:sz w:val="24"/>
        </w:rPr>
        <w:t>combustible material with fire resistance of not less than two hours.</w:t>
      </w:r>
      <w:r>
        <w:rPr>
          <w:spacing w:val="80"/>
          <w:sz w:val="24"/>
        </w:rPr>
        <w:t> </w:t>
      </w:r>
      <w:r>
        <w:rPr>
          <w:sz w:val="24"/>
        </w:rPr>
        <w:t>The hoppers shall not be </w:t>
      </w:r>
      <w:r>
        <w:rPr>
          <w:spacing w:val="9"/>
          <w:sz w:val="24"/>
        </w:rPr>
        <w:t>located</w:t>
      </w:r>
      <w:r>
        <w:rPr>
          <w:spacing w:val="80"/>
          <w:sz w:val="24"/>
        </w:rPr>
        <w:t> </w:t>
      </w:r>
      <w:r>
        <w:rPr>
          <w:sz w:val="24"/>
        </w:rPr>
        <w:t>within</w:t>
      </w:r>
      <w:r>
        <w:rPr>
          <w:spacing w:val="40"/>
          <w:sz w:val="24"/>
        </w:rPr>
        <w:t> </w:t>
      </w:r>
      <w:r>
        <w:rPr>
          <w:sz w:val="24"/>
        </w:rPr>
        <w:t>the</w:t>
      </w:r>
      <w:r>
        <w:rPr>
          <w:spacing w:val="40"/>
          <w:sz w:val="24"/>
        </w:rPr>
        <w:t> </w:t>
      </w:r>
      <w:r>
        <w:rPr>
          <w:sz w:val="24"/>
        </w:rPr>
        <w:t>staircase</w:t>
      </w:r>
      <w:r>
        <w:rPr>
          <w:spacing w:val="9"/>
          <w:sz w:val="24"/>
        </w:rPr>
        <w:t> enclose.</w:t>
      </w:r>
    </w:p>
    <w:p>
      <w:pPr>
        <w:pStyle w:val="ListParagraph"/>
        <w:numPr>
          <w:ilvl w:val="1"/>
          <w:numId w:val="335"/>
        </w:numPr>
        <w:tabs>
          <w:tab w:pos="1512" w:val="left" w:leader="none"/>
        </w:tabs>
        <w:spacing w:line="240" w:lineRule="auto" w:before="240" w:after="0"/>
        <w:ind w:left="1118" w:right="787" w:firstLine="0"/>
        <w:jc w:val="both"/>
        <w:rPr>
          <w:sz w:val="24"/>
        </w:rPr>
      </w:pPr>
      <w:r>
        <w:rPr>
          <w:sz w:val="24"/>
        </w:rPr>
        <w:t>Inspection</w:t>
      </w:r>
      <w:r>
        <w:rPr>
          <w:spacing w:val="40"/>
          <w:sz w:val="24"/>
        </w:rPr>
        <w:t> </w:t>
      </w:r>
      <w:r>
        <w:rPr>
          <w:sz w:val="24"/>
        </w:rPr>
        <w:t>panels and hopper (charging station) opening shall be fitted</w:t>
      </w:r>
      <w:r>
        <w:rPr>
          <w:spacing w:val="40"/>
          <w:sz w:val="24"/>
        </w:rPr>
        <w:t> </w:t>
      </w:r>
      <w:r>
        <w:rPr>
          <w:sz w:val="24"/>
        </w:rPr>
        <w:t>with</w:t>
      </w:r>
      <w:r>
        <w:rPr>
          <w:spacing w:val="40"/>
          <w:sz w:val="24"/>
        </w:rPr>
        <w:t> </w:t>
      </w:r>
      <w:r>
        <w:rPr>
          <w:sz w:val="24"/>
        </w:rPr>
        <w:t>light</w:t>
      </w:r>
      <w:r>
        <w:rPr>
          <w:spacing w:val="40"/>
          <w:sz w:val="24"/>
        </w:rPr>
        <w:t> </w:t>
      </w:r>
      <w:r>
        <w:rPr>
          <w:sz w:val="24"/>
        </w:rPr>
        <w:t>fitting,</w:t>
      </w:r>
      <w:r>
        <w:rPr>
          <w:spacing w:val="40"/>
          <w:sz w:val="24"/>
        </w:rPr>
        <w:t> </w:t>
      </w:r>
      <w:r>
        <w:rPr>
          <w:sz w:val="24"/>
        </w:rPr>
        <w:t>metal</w:t>
      </w:r>
      <w:r>
        <w:rPr>
          <w:spacing w:val="40"/>
          <w:sz w:val="24"/>
        </w:rPr>
        <w:t> </w:t>
      </w:r>
      <w:r>
        <w:rPr>
          <w:sz w:val="24"/>
        </w:rPr>
        <w:t>doors,</w:t>
      </w:r>
      <w:r>
        <w:rPr>
          <w:spacing w:val="40"/>
          <w:sz w:val="24"/>
        </w:rPr>
        <w:t> </w:t>
      </w:r>
      <w:r>
        <w:rPr>
          <w:sz w:val="24"/>
        </w:rPr>
        <w:t>covers,</w:t>
      </w:r>
      <w:r>
        <w:rPr>
          <w:spacing w:val="40"/>
          <w:sz w:val="24"/>
        </w:rPr>
        <w:t> </w:t>
      </w:r>
      <w:r>
        <w:rPr>
          <w:sz w:val="24"/>
        </w:rPr>
        <w:t>having</w:t>
      </w:r>
      <w:r>
        <w:rPr>
          <w:spacing w:val="40"/>
          <w:sz w:val="24"/>
        </w:rPr>
        <w:t> </w:t>
      </w:r>
      <w:r>
        <w:rPr>
          <w:sz w:val="24"/>
        </w:rPr>
        <w:t>a</w:t>
      </w:r>
      <w:r>
        <w:rPr>
          <w:spacing w:val="40"/>
          <w:sz w:val="24"/>
        </w:rPr>
        <w:t> </w:t>
      </w:r>
      <w:r>
        <w:rPr>
          <w:sz w:val="24"/>
        </w:rPr>
        <w:t>fire</w:t>
      </w:r>
      <w:r>
        <w:rPr>
          <w:spacing w:val="40"/>
          <w:sz w:val="24"/>
        </w:rPr>
        <w:t> </w:t>
      </w:r>
      <w:r>
        <w:rPr>
          <w:sz w:val="24"/>
        </w:rPr>
        <w:t>resistance</w:t>
      </w:r>
      <w:r>
        <w:rPr>
          <w:spacing w:val="13"/>
          <w:sz w:val="24"/>
        </w:rPr>
        <w:t> of </w:t>
      </w:r>
      <w:r>
        <w:rPr>
          <w:sz w:val="24"/>
        </w:rPr>
        <w:t>not</w:t>
      </w:r>
      <w:r>
        <w:rPr>
          <w:spacing w:val="40"/>
          <w:sz w:val="24"/>
        </w:rPr>
        <w:t> </w:t>
      </w:r>
      <w:r>
        <w:rPr>
          <w:sz w:val="24"/>
        </w:rPr>
        <w:t>less than one hour. Flap doors/covers i.e. </w:t>
      </w:r>
      <w:r>
        <w:rPr>
          <w:spacing w:val="11"/>
          <w:sz w:val="24"/>
        </w:rPr>
        <w:t>push-</w:t>
      </w:r>
      <w:r>
        <w:rPr>
          <w:sz w:val="24"/>
        </w:rPr>
        <w:t>in or </w:t>
      </w:r>
      <w:r>
        <w:rPr>
          <w:spacing w:val="9"/>
          <w:sz w:val="24"/>
        </w:rPr>
        <w:t>lift-</w:t>
      </w:r>
      <w:r>
        <w:rPr>
          <w:sz w:val="24"/>
        </w:rPr>
        <w:t>up type shall not be </w:t>
      </w:r>
      <w:r>
        <w:rPr>
          <w:spacing w:val="7"/>
          <w:sz w:val="24"/>
        </w:rPr>
        <w:t>permitted.</w:t>
      </w:r>
    </w:p>
    <w:p>
      <w:pPr>
        <w:pStyle w:val="ListParagraph"/>
        <w:numPr>
          <w:ilvl w:val="1"/>
          <w:numId w:val="335"/>
        </w:numPr>
        <w:tabs>
          <w:tab w:pos="1620" w:val="left" w:leader="none"/>
        </w:tabs>
        <w:spacing w:line="240" w:lineRule="auto" w:before="239" w:after="0"/>
        <w:ind w:left="1118" w:right="797" w:firstLine="0"/>
        <w:jc w:val="both"/>
        <w:rPr>
          <w:sz w:val="24"/>
        </w:rPr>
      </w:pPr>
      <w:r>
        <w:rPr>
          <w:sz w:val="24"/>
        </w:rPr>
        <w:t>Refuse chutes shall not be provided in staircase walls and air</w:t>
      </w:r>
      <w:r>
        <w:rPr>
          <w:spacing w:val="80"/>
          <w:sz w:val="24"/>
        </w:rPr>
        <w:t> </w:t>
      </w:r>
      <w:r>
        <w:rPr>
          <w:sz w:val="24"/>
        </w:rPr>
        <w:t>conditioning</w:t>
      </w:r>
      <w:r>
        <w:rPr>
          <w:spacing w:val="40"/>
          <w:sz w:val="24"/>
        </w:rPr>
        <w:t> </w:t>
      </w:r>
      <w:r>
        <w:rPr>
          <w:sz w:val="24"/>
        </w:rPr>
        <w:t>shafts,</w:t>
      </w:r>
      <w:r>
        <w:rPr>
          <w:spacing w:val="40"/>
          <w:sz w:val="24"/>
        </w:rPr>
        <w:t> </w:t>
      </w:r>
      <w:r>
        <w:rPr>
          <w:sz w:val="24"/>
        </w:rPr>
        <w:t>etc.</w:t>
      </w:r>
    </w:p>
    <w:p>
      <w:pPr>
        <w:pStyle w:val="ListParagraph"/>
        <w:numPr>
          <w:ilvl w:val="1"/>
          <w:numId w:val="335"/>
        </w:numPr>
        <w:tabs>
          <w:tab w:pos="1550" w:val="left" w:leader="none"/>
        </w:tabs>
        <w:spacing w:line="240" w:lineRule="auto" w:before="241" w:after="0"/>
        <w:ind w:left="1118" w:right="785" w:firstLine="0"/>
        <w:jc w:val="both"/>
        <w:rPr>
          <w:sz w:val="24"/>
        </w:rPr>
      </w:pPr>
      <w:r>
        <w:rPr>
          <w:sz w:val="24"/>
        </w:rPr>
        <w:t>Refuse</w:t>
      </w:r>
      <w:r>
        <w:rPr>
          <w:spacing w:val="40"/>
          <w:sz w:val="24"/>
        </w:rPr>
        <w:t> </w:t>
      </w:r>
      <w:r>
        <w:rPr>
          <w:sz w:val="24"/>
        </w:rPr>
        <w:t>chambers</w:t>
      </w:r>
      <w:r>
        <w:rPr>
          <w:spacing w:val="40"/>
          <w:sz w:val="24"/>
        </w:rPr>
        <w:t> </w:t>
      </w:r>
      <w:r>
        <w:rPr>
          <w:sz w:val="24"/>
        </w:rPr>
        <w:t>shall</w:t>
      </w:r>
      <w:r>
        <w:rPr>
          <w:spacing w:val="40"/>
          <w:sz w:val="24"/>
        </w:rPr>
        <w:t> </w:t>
      </w:r>
      <w:r>
        <w:rPr>
          <w:sz w:val="24"/>
        </w:rPr>
        <w:t>have</w:t>
      </w:r>
      <w:r>
        <w:rPr>
          <w:spacing w:val="40"/>
          <w:sz w:val="24"/>
        </w:rPr>
        <w:t> </w:t>
      </w:r>
      <w:r>
        <w:rPr>
          <w:sz w:val="24"/>
        </w:rPr>
        <w:t>walls</w:t>
      </w:r>
      <w:r>
        <w:rPr>
          <w:spacing w:val="40"/>
          <w:sz w:val="24"/>
        </w:rPr>
        <w:t> </w:t>
      </w:r>
      <w:r>
        <w:rPr>
          <w:sz w:val="24"/>
        </w:rPr>
        <w:t>and</w:t>
      </w:r>
      <w:r>
        <w:rPr>
          <w:spacing w:val="40"/>
          <w:sz w:val="24"/>
        </w:rPr>
        <w:t> </w:t>
      </w:r>
      <w:r>
        <w:rPr>
          <w:sz w:val="24"/>
        </w:rPr>
        <w:t>floors</w:t>
      </w:r>
      <w:r>
        <w:rPr>
          <w:spacing w:val="40"/>
          <w:sz w:val="24"/>
        </w:rPr>
        <w:t> </w:t>
      </w:r>
      <w:r>
        <w:rPr>
          <w:sz w:val="24"/>
        </w:rPr>
        <w:t>or</w:t>
      </w:r>
      <w:r>
        <w:rPr>
          <w:spacing w:val="40"/>
          <w:sz w:val="24"/>
        </w:rPr>
        <w:t> </w:t>
      </w:r>
      <w:r>
        <w:rPr>
          <w:sz w:val="24"/>
        </w:rPr>
        <w:t>roofs</w:t>
      </w:r>
      <w:r>
        <w:rPr>
          <w:spacing w:val="40"/>
          <w:sz w:val="24"/>
        </w:rPr>
        <w:t> </w:t>
      </w:r>
      <w:r>
        <w:rPr>
          <w:spacing w:val="9"/>
          <w:sz w:val="24"/>
        </w:rPr>
        <w:t>constructed</w:t>
      </w:r>
      <w:r>
        <w:rPr>
          <w:spacing w:val="40"/>
          <w:sz w:val="24"/>
        </w:rPr>
        <w:t> </w:t>
      </w:r>
      <w:r>
        <w:rPr>
          <w:sz w:val="24"/>
        </w:rPr>
        <w:t>of non-combustible</w:t>
      </w:r>
      <w:r>
        <w:rPr>
          <w:spacing w:val="40"/>
          <w:sz w:val="24"/>
        </w:rPr>
        <w:t> </w:t>
      </w:r>
      <w:r>
        <w:rPr>
          <w:sz w:val="24"/>
        </w:rPr>
        <w:t>and</w:t>
      </w:r>
      <w:r>
        <w:rPr>
          <w:spacing w:val="40"/>
          <w:sz w:val="24"/>
        </w:rPr>
        <w:t> </w:t>
      </w:r>
      <w:r>
        <w:rPr>
          <w:sz w:val="24"/>
        </w:rPr>
        <w:t>impervious</w:t>
      </w:r>
      <w:r>
        <w:rPr>
          <w:spacing w:val="40"/>
          <w:sz w:val="24"/>
        </w:rPr>
        <w:t> </w:t>
      </w:r>
      <w:r>
        <w:rPr>
          <w:sz w:val="24"/>
        </w:rPr>
        <w:t>material</w:t>
      </w:r>
      <w:r>
        <w:rPr>
          <w:spacing w:val="40"/>
          <w:sz w:val="24"/>
        </w:rPr>
        <w:t> </w:t>
      </w:r>
      <w:r>
        <w:rPr>
          <w:sz w:val="24"/>
        </w:rPr>
        <w:t>and</w:t>
      </w:r>
      <w:r>
        <w:rPr>
          <w:spacing w:val="40"/>
          <w:sz w:val="24"/>
        </w:rPr>
        <w:t> </w:t>
      </w:r>
      <w:r>
        <w:rPr>
          <w:sz w:val="24"/>
        </w:rPr>
        <w:t>shall</w:t>
      </w:r>
      <w:r>
        <w:rPr>
          <w:spacing w:val="40"/>
          <w:sz w:val="24"/>
        </w:rPr>
        <w:t> </w:t>
      </w:r>
      <w:r>
        <w:rPr>
          <w:sz w:val="24"/>
        </w:rPr>
        <w:t>have</w:t>
      </w:r>
      <w:r>
        <w:rPr>
          <w:spacing w:val="40"/>
          <w:sz w:val="24"/>
        </w:rPr>
        <w:t> </w:t>
      </w:r>
      <w:r>
        <w:rPr>
          <w:sz w:val="24"/>
        </w:rPr>
        <w:t>a</w:t>
      </w:r>
      <w:r>
        <w:rPr>
          <w:spacing w:val="40"/>
          <w:sz w:val="24"/>
        </w:rPr>
        <w:t> </w:t>
      </w:r>
      <w:r>
        <w:rPr>
          <w:sz w:val="24"/>
        </w:rPr>
        <w:t>fire</w:t>
      </w:r>
      <w:r>
        <w:rPr>
          <w:spacing w:val="40"/>
          <w:sz w:val="24"/>
        </w:rPr>
        <w:t> </w:t>
      </w:r>
      <w:r>
        <w:rPr>
          <w:spacing w:val="9"/>
          <w:sz w:val="24"/>
        </w:rPr>
        <w:t>resistance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two</w:t>
      </w:r>
      <w:r>
        <w:rPr>
          <w:spacing w:val="40"/>
          <w:sz w:val="24"/>
        </w:rPr>
        <w:t> </w:t>
      </w:r>
      <w:r>
        <w:rPr>
          <w:sz w:val="24"/>
        </w:rPr>
        <w:t>hours.</w:t>
      </w:r>
      <w:r>
        <w:rPr>
          <w:spacing w:val="40"/>
          <w:sz w:val="24"/>
        </w:rPr>
        <w:t> </w:t>
      </w:r>
      <w:r>
        <w:rPr>
          <w:sz w:val="24"/>
        </w:rPr>
        <w:t>They</w:t>
      </w:r>
      <w:r>
        <w:rPr>
          <w:spacing w:val="40"/>
          <w:sz w:val="24"/>
        </w:rPr>
        <w:t> </w:t>
      </w:r>
      <w:r>
        <w:rPr>
          <w:sz w:val="24"/>
        </w:rPr>
        <w:t>shall</w:t>
      </w:r>
      <w:r>
        <w:rPr>
          <w:spacing w:val="40"/>
          <w:sz w:val="24"/>
        </w:rPr>
        <w:t> </w:t>
      </w:r>
      <w:r>
        <w:rPr>
          <w:sz w:val="24"/>
        </w:rPr>
        <w:t>be</w:t>
      </w:r>
      <w:r>
        <w:rPr>
          <w:spacing w:val="40"/>
          <w:sz w:val="24"/>
        </w:rPr>
        <w:t> </w:t>
      </w:r>
      <w:r>
        <w:rPr>
          <w:sz w:val="24"/>
        </w:rPr>
        <w:t>located</w:t>
      </w:r>
      <w:r>
        <w:rPr>
          <w:spacing w:val="40"/>
          <w:sz w:val="24"/>
        </w:rPr>
        <w:t> </w:t>
      </w:r>
      <w:r>
        <w:rPr>
          <w:sz w:val="24"/>
        </w:rPr>
        <w:t>at</w:t>
      </w:r>
      <w:r>
        <w:rPr>
          <w:spacing w:val="40"/>
          <w:sz w:val="24"/>
        </w:rPr>
        <w:t> </w:t>
      </w:r>
      <w:r>
        <w:rPr>
          <w:sz w:val="24"/>
        </w:rPr>
        <w:t>a</w:t>
      </w:r>
      <w:r>
        <w:rPr>
          <w:spacing w:val="40"/>
          <w:sz w:val="24"/>
        </w:rPr>
        <w:t> </w:t>
      </w:r>
      <w:r>
        <w:rPr>
          <w:sz w:val="24"/>
        </w:rPr>
        <w:t>safe</w:t>
      </w:r>
      <w:r>
        <w:rPr>
          <w:spacing w:val="40"/>
          <w:sz w:val="24"/>
        </w:rPr>
        <w:t> </w:t>
      </w:r>
      <w:r>
        <w:rPr>
          <w:sz w:val="24"/>
        </w:rPr>
        <w:t>distance</w:t>
      </w:r>
      <w:r>
        <w:rPr>
          <w:spacing w:val="40"/>
          <w:sz w:val="24"/>
        </w:rPr>
        <w:t> </w:t>
      </w:r>
      <w:r>
        <w:rPr>
          <w:sz w:val="24"/>
        </w:rPr>
        <w:t>from exit </w:t>
      </w:r>
      <w:r>
        <w:rPr>
          <w:spacing w:val="9"/>
          <w:sz w:val="24"/>
        </w:rPr>
        <w:t>routes.</w:t>
      </w:r>
    </w:p>
    <w:p>
      <w:pPr>
        <w:pStyle w:val="Heading6"/>
        <w:numPr>
          <w:ilvl w:val="0"/>
          <w:numId w:val="335"/>
        </w:numPr>
        <w:tabs>
          <w:tab w:pos="1215" w:val="left" w:leader="none"/>
        </w:tabs>
        <w:spacing w:line="240" w:lineRule="auto" w:before="239" w:after="0"/>
        <w:ind w:left="1215" w:right="0" w:hanging="438"/>
        <w:jc w:val="left"/>
        <w:rPr>
          <w:sz w:val="22"/>
        </w:rPr>
      </w:pPr>
      <w:r>
        <w:rPr/>
        <w:t>Building</w:t>
      </w:r>
      <w:r>
        <w:rPr>
          <w:spacing w:val="43"/>
          <w:w w:val="150"/>
        </w:rPr>
        <w:t> </w:t>
      </w:r>
      <w:r>
        <w:rPr>
          <w:spacing w:val="7"/>
        </w:rPr>
        <w:t>services</w:t>
      </w:r>
    </w:p>
    <w:p>
      <w:pPr>
        <w:pStyle w:val="ListParagraph"/>
        <w:numPr>
          <w:ilvl w:val="1"/>
          <w:numId w:val="335"/>
        </w:numPr>
        <w:tabs>
          <w:tab w:pos="1570" w:val="left" w:leader="none"/>
        </w:tabs>
        <w:spacing w:line="240" w:lineRule="auto" w:before="239" w:after="0"/>
        <w:ind w:left="1570" w:right="0" w:hanging="452"/>
        <w:jc w:val="both"/>
        <w:rPr>
          <w:b/>
          <w:i/>
          <w:sz w:val="24"/>
        </w:rPr>
      </w:pPr>
      <w:r>
        <w:rPr>
          <w:b/>
          <w:i/>
          <w:sz w:val="24"/>
        </w:rPr>
        <w:t>Electrical</w:t>
      </w:r>
      <w:r>
        <w:rPr>
          <w:b/>
          <w:i/>
          <w:spacing w:val="61"/>
          <w:w w:val="150"/>
          <w:sz w:val="24"/>
        </w:rPr>
        <w:t> </w:t>
      </w:r>
      <w:r>
        <w:rPr>
          <w:b/>
          <w:i/>
          <w:spacing w:val="-2"/>
          <w:sz w:val="24"/>
        </w:rPr>
        <w:t>Services</w:t>
      </w:r>
    </w:p>
    <w:p>
      <w:pPr>
        <w:pStyle w:val="ListParagraph"/>
        <w:spacing w:after="0" w:line="240" w:lineRule="auto"/>
        <w:jc w:val="both"/>
        <w:rPr>
          <w:b/>
          <w:i/>
          <w:sz w:val="24"/>
        </w:rPr>
        <w:sectPr>
          <w:pgSz w:w="11910" w:h="16850"/>
          <w:pgMar w:header="1024" w:footer="1302" w:top="1480" w:bottom="1500" w:left="360" w:right="360"/>
        </w:sectPr>
      </w:pPr>
    </w:p>
    <w:p>
      <w:pPr>
        <w:pStyle w:val="ListParagraph"/>
        <w:numPr>
          <w:ilvl w:val="0"/>
          <w:numId w:val="337"/>
        </w:numPr>
        <w:tabs>
          <w:tab w:pos="1884" w:val="left" w:leader="none"/>
          <w:tab w:pos="2026" w:val="left" w:leader="none"/>
        </w:tabs>
        <w:spacing w:line="240" w:lineRule="auto" w:before="276" w:after="0"/>
        <w:ind w:left="2026" w:right="789" w:hanging="454"/>
        <w:jc w:val="both"/>
        <w:rPr>
          <w:sz w:val="24"/>
        </w:rPr>
      </w:pPr>
      <w:r>
        <w:rPr>
          <w:sz w:val="24"/>
        </w:rPr>
        <w:t>The</w:t>
      </w:r>
      <w:r>
        <w:rPr>
          <w:spacing w:val="40"/>
          <w:sz w:val="24"/>
        </w:rPr>
        <w:t> </w:t>
      </w:r>
      <w:r>
        <w:rPr>
          <w:sz w:val="24"/>
        </w:rPr>
        <w:t>electric</w:t>
      </w:r>
      <w:r>
        <w:rPr>
          <w:spacing w:val="40"/>
          <w:sz w:val="24"/>
        </w:rPr>
        <w:t> </w:t>
      </w:r>
      <w:r>
        <w:rPr>
          <w:sz w:val="24"/>
        </w:rPr>
        <w:t>distribution</w:t>
      </w:r>
      <w:r>
        <w:rPr>
          <w:spacing w:val="40"/>
          <w:sz w:val="24"/>
        </w:rPr>
        <w:t> </w:t>
      </w:r>
      <w:r>
        <w:rPr>
          <w:sz w:val="24"/>
        </w:rPr>
        <w:t>cables</w:t>
      </w:r>
      <w:r>
        <w:rPr>
          <w:spacing w:val="40"/>
          <w:sz w:val="24"/>
        </w:rPr>
        <w:t> </w:t>
      </w:r>
      <w:r>
        <w:rPr>
          <w:sz w:val="24"/>
        </w:rPr>
        <w:t>wiring</w:t>
      </w:r>
      <w:r>
        <w:rPr>
          <w:spacing w:val="40"/>
          <w:sz w:val="24"/>
        </w:rPr>
        <w:t> </w:t>
      </w:r>
      <w:r>
        <w:rPr>
          <w:sz w:val="24"/>
        </w:rPr>
        <w:t>shall</w:t>
      </w:r>
      <w:r>
        <w:rPr>
          <w:spacing w:val="40"/>
          <w:sz w:val="24"/>
        </w:rPr>
        <w:t> </w:t>
      </w:r>
      <w:r>
        <w:rPr>
          <w:sz w:val="24"/>
        </w:rPr>
        <w:t>be</w:t>
      </w:r>
      <w:r>
        <w:rPr>
          <w:spacing w:val="40"/>
          <w:sz w:val="24"/>
        </w:rPr>
        <w:t> </w:t>
      </w:r>
      <w:r>
        <w:rPr>
          <w:sz w:val="24"/>
        </w:rPr>
        <w:t>laid</w:t>
      </w:r>
      <w:r>
        <w:rPr>
          <w:spacing w:val="40"/>
          <w:sz w:val="24"/>
        </w:rPr>
        <w:t> </w:t>
      </w:r>
      <w:r>
        <w:rPr>
          <w:sz w:val="24"/>
        </w:rPr>
        <w:t>in</w:t>
      </w:r>
      <w:r>
        <w:rPr>
          <w:spacing w:val="40"/>
          <w:sz w:val="24"/>
        </w:rPr>
        <w:t> </w:t>
      </w:r>
      <w:r>
        <w:rPr>
          <w:sz w:val="24"/>
        </w:rPr>
        <w:t>a</w:t>
      </w:r>
      <w:r>
        <w:rPr>
          <w:spacing w:val="40"/>
          <w:sz w:val="24"/>
        </w:rPr>
        <w:t> </w:t>
      </w:r>
      <w:r>
        <w:rPr>
          <w:sz w:val="24"/>
        </w:rPr>
        <w:t>separate duct.</w:t>
      </w:r>
      <w:r>
        <w:rPr>
          <w:spacing w:val="40"/>
          <w:sz w:val="24"/>
        </w:rPr>
        <w:t> </w:t>
      </w:r>
      <w:r>
        <w:rPr>
          <w:sz w:val="24"/>
        </w:rPr>
        <w:t>The duct shall be sealed at every floor with </w:t>
      </w:r>
      <w:r>
        <w:rPr>
          <w:spacing w:val="12"/>
          <w:sz w:val="24"/>
        </w:rPr>
        <w:t>non-</w:t>
      </w:r>
      <w:r>
        <w:rPr>
          <w:sz w:val="24"/>
        </w:rPr>
        <w:t>combustible materials</w:t>
      </w:r>
      <w:r>
        <w:rPr>
          <w:spacing w:val="76"/>
          <w:sz w:val="24"/>
        </w:rPr>
        <w:t> </w:t>
      </w:r>
      <w:r>
        <w:rPr>
          <w:sz w:val="24"/>
        </w:rPr>
        <w:t>having</w:t>
      </w:r>
      <w:r>
        <w:rPr>
          <w:spacing w:val="40"/>
          <w:sz w:val="24"/>
        </w:rPr>
        <w:t> </w:t>
      </w:r>
      <w:r>
        <w:rPr>
          <w:sz w:val="24"/>
        </w:rPr>
        <w:t>the</w:t>
      </w:r>
      <w:r>
        <w:rPr>
          <w:spacing w:val="40"/>
          <w:sz w:val="24"/>
        </w:rPr>
        <w:t> </w:t>
      </w:r>
      <w:r>
        <w:rPr>
          <w:sz w:val="24"/>
        </w:rPr>
        <w:t>same</w:t>
      </w:r>
      <w:r>
        <w:rPr>
          <w:spacing w:val="76"/>
          <w:sz w:val="24"/>
        </w:rPr>
        <w:t> </w:t>
      </w:r>
      <w:r>
        <w:rPr>
          <w:sz w:val="24"/>
        </w:rPr>
        <w:t>fire</w:t>
      </w:r>
      <w:r>
        <w:rPr>
          <w:spacing w:val="40"/>
          <w:sz w:val="24"/>
        </w:rPr>
        <w:t> </w:t>
      </w:r>
      <w:r>
        <w:rPr>
          <w:sz w:val="24"/>
        </w:rPr>
        <w:t>resistance</w:t>
      </w:r>
      <w:r>
        <w:rPr>
          <w:spacing w:val="40"/>
          <w:sz w:val="24"/>
        </w:rPr>
        <w:t> </w:t>
      </w:r>
      <w:r>
        <w:rPr>
          <w:sz w:val="24"/>
        </w:rPr>
        <w:t>as</w:t>
      </w:r>
      <w:r>
        <w:rPr>
          <w:spacing w:val="76"/>
          <w:sz w:val="24"/>
        </w:rPr>
        <w:t> </w:t>
      </w:r>
      <w:r>
        <w:rPr>
          <w:sz w:val="24"/>
        </w:rPr>
        <w:t>that</w:t>
      </w:r>
      <w:r>
        <w:rPr>
          <w:spacing w:val="40"/>
          <w:sz w:val="24"/>
        </w:rPr>
        <w:t> </w:t>
      </w:r>
      <w:r>
        <w:rPr>
          <w:sz w:val="24"/>
        </w:rPr>
        <w:t>of</w:t>
      </w:r>
      <w:r>
        <w:rPr>
          <w:spacing w:val="40"/>
          <w:sz w:val="24"/>
        </w:rPr>
        <w:t> </w:t>
      </w:r>
      <w:r>
        <w:rPr>
          <w:sz w:val="24"/>
        </w:rPr>
        <w:t>the</w:t>
      </w:r>
      <w:r>
        <w:rPr>
          <w:spacing w:val="76"/>
          <w:sz w:val="24"/>
        </w:rPr>
        <w:t> </w:t>
      </w:r>
      <w:r>
        <w:rPr>
          <w:sz w:val="24"/>
        </w:rPr>
        <w:t>duct.</w:t>
      </w:r>
    </w:p>
    <w:p>
      <w:pPr>
        <w:pStyle w:val="ListParagraph"/>
        <w:numPr>
          <w:ilvl w:val="0"/>
          <w:numId w:val="337"/>
        </w:numPr>
        <w:tabs>
          <w:tab w:pos="2018" w:val="left" w:leader="none"/>
          <w:tab w:pos="2026" w:val="left" w:leader="none"/>
        </w:tabs>
        <w:spacing w:line="240" w:lineRule="auto" w:before="239" w:after="0"/>
        <w:ind w:left="2026" w:right="792" w:hanging="454"/>
        <w:jc w:val="both"/>
        <w:rPr>
          <w:sz w:val="24"/>
        </w:rPr>
      </w:pPr>
      <w:r>
        <w:rPr>
          <w:sz w:val="24"/>
        </w:rPr>
        <w:t>Water</w:t>
      </w:r>
      <w:r>
        <w:rPr>
          <w:spacing w:val="40"/>
          <w:sz w:val="24"/>
        </w:rPr>
        <w:t> </w:t>
      </w:r>
      <w:r>
        <w:rPr>
          <w:sz w:val="24"/>
        </w:rPr>
        <w:t>mains,</w:t>
      </w:r>
      <w:r>
        <w:rPr>
          <w:spacing w:val="40"/>
          <w:sz w:val="24"/>
        </w:rPr>
        <w:t> </w:t>
      </w:r>
      <w:r>
        <w:rPr>
          <w:sz w:val="24"/>
        </w:rPr>
        <w:t>telephone</w:t>
      </w:r>
      <w:r>
        <w:rPr>
          <w:spacing w:val="40"/>
          <w:sz w:val="24"/>
        </w:rPr>
        <w:t> </w:t>
      </w:r>
      <w:r>
        <w:rPr>
          <w:sz w:val="24"/>
        </w:rPr>
        <w:t>lines,</w:t>
      </w:r>
      <w:r>
        <w:rPr>
          <w:spacing w:val="40"/>
          <w:sz w:val="24"/>
        </w:rPr>
        <w:t> </w:t>
      </w:r>
      <w:r>
        <w:rPr>
          <w:spacing w:val="11"/>
          <w:sz w:val="24"/>
        </w:rPr>
        <w:t>inter-</w:t>
      </w:r>
      <w:r>
        <w:rPr>
          <w:sz w:val="24"/>
        </w:rPr>
        <w:t>com</w:t>
      </w:r>
      <w:r>
        <w:rPr>
          <w:spacing w:val="40"/>
          <w:sz w:val="24"/>
        </w:rPr>
        <w:t> </w:t>
      </w:r>
      <w:r>
        <w:rPr>
          <w:sz w:val="24"/>
        </w:rPr>
        <w:t>lines,</w:t>
      </w:r>
      <w:r>
        <w:rPr>
          <w:spacing w:val="40"/>
          <w:sz w:val="24"/>
        </w:rPr>
        <w:t> </w:t>
      </w:r>
      <w:r>
        <w:rPr>
          <w:sz w:val="24"/>
        </w:rPr>
        <w:t>gas</w:t>
      </w:r>
      <w:r>
        <w:rPr>
          <w:spacing w:val="40"/>
          <w:sz w:val="24"/>
        </w:rPr>
        <w:t> </w:t>
      </w:r>
      <w:r>
        <w:rPr>
          <w:sz w:val="24"/>
        </w:rPr>
        <w:t>pipes</w:t>
      </w:r>
      <w:r>
        <w:rPr>
          <w:spacing w:val="40"/>
          <w:sz w:val="24"/>
        </w:rPr>
        <w:t> </w:t>
      </w:r>
      <w:r>
        <w:rPr>
          <w:sz w:val="24"/>
        </w:rPr>
        <w:t>or</w:t>
      </w:r>
      <w:r>
        <w:rPr>
          <w:spacing w:val="40"/>
          <w:sz w:val="24"/>
        </w:rPr>
        <w:t> </w:t>
      </w:r>
      <w:r>
        <w:rPr>
          <w:sz w:val="24"/>
        </w:rPr>
        <w:t>any other</w:t>
      </w:r>
      <w:r>
        <w:rPr>
          <w:spacing w:val="40"/>
          <w:sz w:val="24"/>
        </w:rPr>
        <w:t> </w:t>
      </w:r>
      <w:r>
        <w:rPr>
          <w:sz w:val="24"/>
        </w:rPr>
        <w:t>service</w:t>
      </w:r>
      <w:r>
        <w:rPr>
          <w:spacing w:val="40"/>
          <w:sz w:val="24"/>
        </w:rPr>
        <w:t> </w:t>
      </w:r>
      <w:r>
        <w:rPr>
          <w:sz w:val="24"/>
        </w:rPr>
        <w:t>line</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laid</w:t>
      </w:r>
      <w:r>
        <w:rPr>
          <w:spacing w:val="40"/>
          <w:sz w:val="24"/>
        </w:rPr>
        <w:t> </w:t>
      </w:r>
      <w:r>
        <w:rPr>
          <w:sz w:val="24"/>
        </w:rPr>
        <w:t>in</w:t>
      </w:r>
      <w:r>
        <w:rPr>
          <w:spacing w:val="40"/>
          <w:sz w:val="24"/>
        </w:rPr>
        <w:t> </w:t>
      </w:r>
      <w:r>
        <w:rPr>
          <w:sz w:val="24"/>
        </w:rPr>
        <w:t>the</w:t>
      </w:r>
      <w:r>
        <w:rPr>
          <w:spacing w:val="40"/>
          <w:sz w:val="24"/>
        </w:rPr>
        <w:t> </w:t>
      </w:r>
      <w:r>
        <w:rPr>
          <w:sz w:val="24"/>
        </w:rPr>
        <w:t>duct</w:t>
      </w:r>
      <w:r>
        <w:rPr>
          <w:spacing w:val="40"/>
          <w:sz w:val="24"/>
        </w:rPr>
        <w:t> </w:t>
      </w:r>
      <w:r>
        <w:rPr>
          <w:sz w:val="24"/>
        </w:rPr>
        <w:t>for</w:t>
      </w:r>
      <w:r>
        <w:rPr>
          <w:spacing w:val="40"/>
          <w:sz w:val="24"/>
        </w:rPr>
        <w:t> </w:t>
      </w:r>
      <w:r>
        <w:rPr>
          <w:sz w:val="24"/>
        </w:rPr>
        <w:t>electric</w:t>
      </w:r>
      <w:r>
        <w:rPr>
          <w:spacing w:val="40"/>
          <w:sz w:val="24"/>
        </w:rPr>
        <w:t> </w:t>
      </w:r>
      <w:r>
        <w:rPr>
          <w:sz w:val="24"/>
        </w:rPr>
        <w:t>cables.</w:t>
      </w:r>
    </w:p>
    <w:p>
      <w:pPr>
        <w:pStyle w:val="ListParagraph"/>
        <w:numPr>
          <w:ilvl w:val="0"/>
          <w:numId w:val="337"/>
        </w:numPr>
        <w:tabs>
          <w:tab w:pos="2009" w:val="left" w:leader="none"/>
          <w:tab w:pos="2026" w:val="left" w:leader="none"/>
        </w:tabs>
        <w:spacing w:line="240" w:lineRule="auto" w:before="241" w:after="0"/>
        <w:ind w:left="2026" w:right="781" w:hanging="454"/>
        <w:jc w:val="both"/>
        <w:rPr>
          <w:sz w:val="24"/>
        </w:rPr>
      </w:pPr>
      <w:r>
        <w:rPr>
          <w:sz w:val="24"/>
        </w:rPr>
        <w:t>Separate</w:t>
      </w:r>
      <w:r>
        <w:rPr>
          <w:spacing w:val="40"/>
          <w:sz w:val="24"/>
        </w:rPr>
        <w:t> </w:t>
      </w:r>
      <w:r>
        <w:rPr>
          <w:sz w:val="24"/>
        </w:rPr>
        <w:t>circuits</w:t>
      </w:r>
      <w:r>
        <w:rPr>
          <w:spacing w:val="40"/>
          <w:sz w:val="24"/>
        </w:rPr>
        <w:t> </w:t>
      </w:r>
      <w:r>
        <w:rPr>
          <w:sz w:val="24"/>
        </w:rPr>
        <w:t>for</w:t>
      </w:r>
      <w:r>
        <w:rPr>
          <w:spacing w:val="40"/>
          <w:sz w:val="24"/>
        </w:rPr>
        <w:t> </w:t>
      </w:r>
      <w:r>
        <w:rPr>
          <w:sz w:val="24"/>
        </w:rPr>
        <w:t>water</w:t>
      </w:r>
      <w:r>
        <w:rPr>
          <w:spacing w:val="40"/>
          <w:sz w:val="24"/>
        </w:rPr>
        <w:t> </w:t>
      </w:r>
      <w:r>
        <w:rPr>
          <w:sz w:val="24"/>
        </w:rPr>
        <w:t>pumps,</w:t>
      </w:r>
      <w:r>
        <w:rPr>
          <w:spacing w:val="40"/>
          <w:sz w:val="24"/>
        </w:rPr>
        <w:t> </w:t>
      </w:r>
      <w:r>
        <w:rPr>
          <w:sz w:val="24"/>
        </w:rPr>
        <w:t>lifts,</w:t>
      </w:r>
      <w:r>
        <w:rPr>
          <w:spacing w:val="40"/>
          <w:sz w:val="24"/>
        </w:rPr>
        <w:t> </w:t>
      </w:r>
      <w:r>
        <w:rPr>
          <w:sz w:val="24"/>
        </w:rPr>
        <w:t>staircase</w:t>
      </w:r>
      <w:r>
        <w:rPr>
          <w:spacing w:val="40"/>
          <w:sz w:val="24"/>
        </w:rPr>
        <w:t> </w:t>
      </w:r>
      <w:r>
        <w:rPr>
          <w:sz w:val="24"/>
        </w:rPr>
        <w:t>and</w:t>
      </w:r>
      <w:r>
        <w:rPr>
          <w:spacing w:val="40"/>
          <w:sz w:val="24"/>
        </w:rPr>
        <w:t> </w:t>
      </w:r>
      <w:r>
        <w:rPr>
          <w:sz w:val="24"/>
        </w:rPr>
        <w:t>corridor lighting and blowers for the pressurizing system shall be provided directly</w:t>
      </w:r>
      <w:r>
        <w:rPr>
          <w:spacing w:val="76"/>
          <w:sz w:val="24"/>
        </w:rPr>
        <w:t> </w:t>
      </w:r>
      <w:r>
        <w:rPr>
          <w:sz w:val="24"/>
        </w:rPr>
        <w:t>from</w:t>
      </w:r>
      <w:r>
        <w:rPr>
          <w:spacing w:val="40"/>
          <w:sz w:val="24"/>
        </w:rPr>
        <w:t> </w:t>
      </w:r>
      <w:r>
        <w:rPr>
          <w:sz w:val="24"/>
        </w:rPr>
        <w:t>the</w:t>
      </w:r>
      <w:r>
        <w:rPr>
          <w:spacing w:val="76"/>
          <w:sz w:val="24"/>
        </w:rPr>
        <w:t> </w:t>
      </w:r>
      <w:r>
        <w:rPr>
          <w:sz w:val="24"/>
        </w:rPr>
        <w:t>main</w:t>
      </w:r>
      <w:r>
        <w:rPr>
          <w:spacing w:val="40"/>
          <w:sz w:val="24"/>
        </w:rPr>
        <w:t> </w:t>
      </w:r>
      <w:r>
        <w:rPr>
          <w:sz w:val="24"/>
        </w:rPr>
        <w:t>switch</w:t>
      </w:r>
      <w:r>
        <w:rPr>
          <w:spacing w:val="40"/>
          <w:sz w:val="24"/>
        </w:rPr>
        <w:t> </w:t>
      </w:r>
      <w:r>
        <w:rPr>
          <w:sz w:val="24"/>
        </w:rPr>
        <w:t>gear</w:t>
      </w:r>
      <w:r>
        <w:rPr>
          <w:spacing w:val="76"/>
          <w:sz w:val="24"/>
        </w:rPr>
        <w:t> </w:t>
      </w:r>
      <w:r>
        <w:rPr>
          <w:sz w:val="24"/>
        </w:rPr>
        <w:t>panel</w:t>
      </w:r>
      <w:r>
        <w:rPr>
          <w:spacing w:val="40"/>
          <w:sz w:val="24"/>
        </w:rPr>
        <w:t> </w:t>
      </w:r>
      <w:r>
        <w:rPr>
          <w:sz w:val="24"/>
        </w:rPr>
        <w:t>and</w:t>
      </w:r>
      <w:r>
        <w:rPr>
          <w:spacing w:val="40"/>
          <w:sz w:val="24"/>
        </w:rPr>
        <w:t> </w:t>
      </w:r>
      <w:r>
        <w:rPr>
          <w:sz w:val="24"/>
        </w:rPr>
        <w:t>these</w:t>
      </w:r>
      <w:r>
        <w:rPr>
          <w:spacing w:val="40"/>
          <w:sz w:val="24"/>
        </w:rPr>
        <w:t> </w:t>
      </w:r>
      <w:r>
        <w:rPr>
          <w:sz w:val="24"/>
        </w:rPr>
        <w:t>circuits</w:t>
      </w:r>
      <w:r>
        <w:rPr>
          <w:spacing w:val="40"/>
          <w:sz w:val="24"/>
        </w:rPr>
        <w:t> </w:t>
      </w:r>
      <w:r>
        <w:rPr>
          <w:spacing w:val="9"/>
          <w:sz w:val="24"/>
        </w:rPr>
        <w:t>shall </w:t>
      </w:r>
      <w:r>
        <w:rPr>
          <w:sz w:val="24"/>
        </w:rPr>
        <w:t>be</w:t>
      </w:r>
      <w:r>
        <w:rPr>
          <w:spacing w:val="40"/>
          <w:sz w:val="24"/>
        </w:rPr>
        <w:t> </w:t>
      </w:r>
      <w:r>
        <w:rPr>
          <w:sz w:val="24"/>
        </w:rPr>
        <w:t>laid</w:t>
      </w:r>
      <w:r>
        <w:rPr>
          <w:spacing w:val="40"/>
          <w:sz w:val="24"/>
        </w:rPr>
        <w:t> </w:t>
      </w:r>
      <w:r>
        <w:rPr>
          <w:sz w:val="24"/>
        </w:rPr>
        <w:t>in</w:t>
      </w:r>
      <w:r>
        <w:rPr>
          <w:spacing w:val="40"/>
          <w:sz w:val="24"/>
        </w:rPr>
        <w:t> </w:t>
      </w:r>
      <w:r>
        <w:rPr>
          <w:sz w:val="24"/>
        </w:rPr>
        <w:t>separate</w:t>
      </w:r>
      <w:r>
        <w:rPr>
          <w:spacing w:val="40"/>
          <w:sz w:val="24"/>
        </w:rPr>
        <w:t> </w:t>
      </w:r>
      <w:r>
        <w:rPr>
          <w:sz w:val="24"/>
        </w:rPr>
        <w:t>conduit</w:t>
      </w:r>
      <w:r>
        <w:rPr>
          <w:spacing w:val="40"/>
          <w:sz w:val="24"/>
        </w:rPr>
        <w:t> </w:t>
      </w:r>
      <w:r>
        <w:rPr>
          <w:sz w:val="24"/>
        </w:rPr>
        <w:t>pipes</w:t>
      </w:r>
      <w:r>
        <w:rPr>
          <w:spacing w:val="40"/>
          <w:sz w:val="24"/>
        </w:rPr>
        <w:t> </w:t>
      </w:r>
      <w:r>
        <w:rPr>
          <w:sz w:val="24"/>
        </w:rPr>
        <w:t>so</w:t>
      </w:r>
      <w:r>
        <w:rPr>
          <w:spacing w:val="40"/>
          <w:sz w:val="24"/>
        </w:rPr>
        <w:t> </w:t>
      </w:r>
      <w:r>
        <w:rPr>
          <w:sz w:val="24"/>
        </w:rPr>
        <w:t>that</w:t>
      </w:r>
      <w:r>
        <w:rPr>
          <w:spacing w:val="40"/>
          <w:sz w:val="24"/>
        </w:rPr>
        <w:t> </w:t>
      </w:r>
      <w:r>
        <w:rPr>
          <w:sz w:val="24"/>
        </w:rPr>
        <w:t>a</w:t>
      </w:r>
      <w:r>
        <w:rPr>
          <w:spacing w:val="40"/>
          <w:sz w:val="24"/>
        </w:rPr>
        <w:t> </w:t>
      </w:r>
      <w:r>
        <w:rPr>
          <w:sz w:val="24"/>
        </w:rPr>
        <w:t>fire</w:t>
      </w:r>
      <w:r>
        <w:rPr>
          <w:spacing w:val="40"/>
          <w:sz w:val="24"/>
        </w:rPr>
        <w:t> </w:t>
      </w:r>
      <w:r>
        <w:rPr>
          <w:sz w:val="24"/>
        </w:rPr>
        <w:t>in</w:t>
      </w:r>
      <w:r>
        <w:rPr>
          <w:spacing w:val="40"/>
          <w:sz w:val="24"/>
        </w:rPr>
        <w:t> </w:t>
      </w:r>
      <w:r>
        <w:rPr>
          <w:sz w:val="24"/>
        </w:rPr>
        <w:t>one</w:t>
      </w:r>
      <w:r>
        <w:rPr>
          <w:spacing w:val="40"/>
          <w:sz w:val="24"/>
        </w:rPr>
        <w:t> </w:t>
      </w:r>
      <w:r>
        <w:rPr>
          <w:sz w:val="24"/>
        </w:rPr>
        <w:t>circuit</w:t>
      </w:r>
      <w:r>
        <w:rPr>
          <w:spacing w:val="40"/>
          <w:sz w:val="24"/>
        </w:rPr>
        <w:t> </w:t>
      </w:r>
      <w:r>
        <w:rPr>
          <w:sz w:val="24"/>
        </w:rPr>
        <w:t>will not</w:t>
      </w:r>
      <w:r>
        <w:rPr>
          <w:spacing w:val="80"/>
          <w:sz w:val="24"/>
        </w:rPr>
        <w:t> </w:t>
      </w:r>
      <w:r>
        <w:rPr>
          <w:sz w:val="24"/>
        </w:rPr>
        <w:t>affect</w:t>
      </w:r>
      <w:r>
        <w:rPr>
          <w:spacing w:val="80"/>
          <w:sz w:val="24"/>
        </w:rPr>
        <w:t> </w:t>
      </w:r>
      <w:r>
        <w:rPr>
          <w:sz w:val="24"/>
        </w:rPr>
        <w:t>the</w:t>
      </w:r>
      <w:r>
        <w:rPr>
          <w:spacing w:val="80"/>
          <w:sz w:val="24"/>
        </w:rPr>
        <w:t> </w:t>
      </w:r>
      <w:r>
        <w:rPr>
          <w:sz w:val="24"/>
        </w:rPr>
        <w:t>others.</w:t>
      </w:r>
      <w:r>
        <w:rPr>
          <w:spacing w:val="80"/>
          <w:sz w:val="24"/>
        </w:rPr>
        <w:t>  </w:t>
      </w:r>
      <w:r>
        <w:rPr>
          <w:sz w:val="24"/>
        </w:rPr>
        <w:t>Master</w:t>
      </w:r>
      <w:r>
        <w:rPr>
          <w:spacing w:val="80"/>
          <w:sz w:val="24"/>
        </w:rPr>
        <w:t> </w:t>
      </w:r>
      <w:r>
        <w:rPr>
          <w:sz w:val="24"/>
        </w:rPr>
        <w:t>switches</w:t>
      </w:r>
      <w:r>
        <w:rPr>
          <w:spacing w:val="80"/>
          <w:sz w:val="24"/>
        </w:rPr>
        <w:t> </w:t>
      </w:r>
      <w:r>
        <w:rPr>
          <w:sz w:val="24"/>
        </w:rPr>
        <w:t>controlling</w:t>
      </w:r>
      <w:r>
        <w:rPr>
          <w:spacing w:val="80"/>
          <w:sz w:val="24"/>
        </w:rPr>
        <w:t> </w:t>
      </w:r>
      <w:r>
        <w:rPr>
          <w:sz w:val="24"/>
        </w:rPr>
        <w:t>essential services</w:t>
      </w:r>
      <w:r>
        <w:rPr>
          <w:spacing w:val="40"/>
          <w:sz w:val="24"/>
        </w:rPr>
        <w:t> </w:t>
      </w:r>
      <w:r>
        <w:rPr>
          <w:sz w:val="24"/>
        </w:rPr>
        <w:t>circuits</w:t>
      </w:r>
      <w:r>
        <w:rPr>
          <w:spacing w:val="40"/>
          <w:sz w:val="24"/>
        </w:rPr>
        <w:t> </w:t>
      </w:r>
      <w:r>
        <w:rPr>
          <w:sz w:val="24"/>
        </w:rPr>
        <w:t>shall</w:t>
      </w:r>
      <w:r>
        <w:rPr>
          <w:spacing w:val="40"/>
          <w:sz w:val="24"/>
        </w:rPr>
        <w:t> </w:t>
      </w:r>
      <w:r>
        <w:rPr>
          <w:sz w:val="24"/>
        </w:rPr>
        <w:t>be</w:t>
      </w:r>
      <w:r>
        <w:rPr>
          <w:spacing w:val="40"/>
          <w:sz w:val="24"/>
        </w:rPr>
        <w:t> </w:t>
      </w:r>
      <w:r>
        <w:rPr>
          <w:sz w:val="24"/>
        </w:rPr>
        <w:t>clearly</w:t>
      </w:r>
      <w:r>
        <w:rPr>
          <w:spacing w:val="40"/>
          <w:sz w:val="24"/>
        </w:rPr>
        <w:t> </w:t>
      </w:r>
      <w:r>
        <w:rPr>
          <w:spacing w:val="9"/>
          <w:sz w:val="24"/>
        </w:rPr>
        <w:t>labelled.</w:t>
      </w:r>
    </w:p>
    <w:p>
      <w:pPr>
        <w:pStyle w:val="ListParagraph"/>
        <w:numPr>
          <w:ilvl w:val="0"/>
          <w:numId w:val="337"/>
        </w:numPr>
        <w:tabs>
          <w:tab w:pos="1963" w:val="left" w:leader="none"/>
          <w:tab w:pos="2026" w:val="left" w:leader="none"/>
        </w:tabs>
        <w:spacing w:line="240" w:lineRule="auto" w:before="240" w:after="0"/>
        <w:ind w:left="2026" w:right="777" w:hanging="454"/>
        <w:jc w:val="both"/>
        <w:rPr>
          <w:sz w:val="24"/>
        </w:rPr>
      </w:pPr>
      <w:r>
        <w:rPr>
          <w:sz w:val="24"/>
        </w:rPr>
        <w:t>The</w:t>
      </w:r>
      <w:r>
        <w:rPr>
          <w:spacing w:val="38"/>
          <w:sz w:val="24"/>
        </w:rPr>
        <w:t> </w:t>
      </w:r>
      <w:r>
        <w:rPr>
          <w:sz w:val="24"/>
        </w:rPr>
        <w:t>inspection</w:t>
      </w:r>
      <w:r>
        <w:rPr>
          <w:spacing w:val="40"/>
          <w:sz w:val="24"/>
        </w:rPr>
        <w:t> </w:t>
      </w:r>
      <w:r>
        <w:rPr>
          <w:sz w:val="24"/>
        </w:rPr>
        <w:t>panel</w:t>
      </w:r>
      <w:r>
        <w:rPr>
          <w:spacing w:val="35"/>
          <w:sz w:val="24"/>
        </w:rPr>
        <w:t> </w:t>
      </w:r>
      <w:r>
        <w:rPr>
          <w:sz w:val="24"/>
        </w:rPr>
        <w:t>doors</w:t>
      </w:r>
      <w:r>
        <w:rPr>
          <w:spacing w:val="38"/>
          <w:sz w:val="24"/>
        </w:rPr>
        <w:t> </w:t>
      </w:r>
      <w:r>
        <w:rPr>
          <w:sz w:val="24"/>
        </w:rPr>
        <w:t>and</w:t>
      </w:r>
      <w:r>
        <w:rPr>
          <w:spacing w:val="35"/>
          <w:sz w:val="24"/>
        </w:rPr>
        <w:t> </w:t>
      </w:r>
      <w:r>
        <w:rPr>
          <w:sz w:val="24"/>
        </w:rPr>
        <w:t>any</w:t>
      </w:r>
      <w:r>
        <w:rPr>
          <w:spacing w:val="35"/>
          <w:sz w:val="24"/>
        </w:rPr>
        <w:t> </w:t>
      </w:r>
      <w:r>
        <w:rPr>
          <w:sz w:val="24"/>
        </w:rPr>
        <w:t>other</w:t>
      </w:r>
      <w:r>
        <w:rPr>
          <w:spacing w:val="38"/>
          <w:sz w:val="24"/>
        </w:rPr>
        <w:t> </w:t>
      </w:r>
      <w:r>
        <w:rPr>
          <w:sz w:val="24"/>
        </w:rPr>
        <w:t>opening</w:t>
      </w:r>
      <w:r>
        <w:rPr>
          <w:spacing w:val="35"/>
          <w:sz w:val="24"/>
        </w:rPr>
        <w:t> </w:t>
      </w:r>
      <w:r>
        <w:rPr>
          <w:sz w:val="24"/>
        </w:rPr>
        <w:t>in</w:t>
      </w:r>
      <w:r>
        <w:rPr>
          <w:spacing w:val="35"/>
          <w:sz w:val="24"/>
        </w:rPr>
        <w:t> </w:t>
      </w:r>
      <w:r>
        <w:rPr>
          <w:sz w:val="24"/>
        </w:rPr>
        <w:t>the</w:t>
      </w:r>
      <w:r>
        <w:rPr>
          <w:spacing w:val="10"/>
          <w:sz w:val="24"/>
        </w:rPr>
        <w:t> shaft </w:t>
      </w:r>
      <w:r>
        <w:rPr>
          <w:sz w:val="24"/>
        </w:rPr>
        <w:t>shall be</w:t>
      </w:r>
      <w:r>
        <w:rPr>
          <w:spacing w:val="40"/>
          <w:sz w:val="24"/>
        </w:rPr>
        <w:t> </w:t>
      </w:r>
      <w:r>
        <w:rPr>
          <w:sz w:val="24"/>
        </w:rPr>
        <w:t>provided</w:t>
      </w:r>
      <w:r>
        <w:rPr>
          <w:spacing w:val="40"/>
          <w:sz w:val="24"/>
        </w:rPr>
        <w:t> </w:t>
      </w:r>
      <w:r>
        <w:rPr>
          <w:sz w:val="24"/>
        </w:rPr>
        <w:t>with</w:t>
      </w:r>
      <w:r>
        <w:rPr>
          <w:spacing w:val="9"/>
          <w:sz w:val="24"/>
        </w:rPr>
        <w:t> air-</w:t>
      </w:r>
      <w:r>
        <w:rPr>
          <w:sz w:val="24"/>
        </w:rPr>
        <w:t>tight</w:t>
      </w:r>
      <w:r>
        <w:rPr>
          <w:spacing w:val="40"/>
          <w:sz w:val="24"/>
        </w:rPr>
        <w:t> </w:t>
      </w:r>
      <w:r>
        <w:rPr>
          <w:sz w:val="24"/>
        </w:rPr>
        <w:t>fire</w:t>
      </w:r>
      <w:r>
        <w:rPr>
          <w:spacing w:val="40"/>
          <w:sz w:val="24"/>
        </w:rPr>
        <w:t> </w:t>
      </w:r>
      <w:r>
        <w:rPr>
          <w:sz w:val="24"/>
        </w:rPr>
        <w:t>doors</w:t>
      </w:r>
      <w:r>
        <w:rPr>
          <w:spacing w:val="40"/>
          <w:sz w:val="24"/>
        </w:rPr>
        <w:t> </w:t>
      </w:r>
      <w:r>
        <w:rPr>
          <w:sz w:val="24"/>
        </w:rPr>
        <w:t>having</w:t>
      </w:r>
      <w:r>
        <w:rPr>
          <w:spacing w:val="40"/>
          <w:sz w:val="24"/>
        </w:rPr>
        <w:t> </w:t>
      </w:r>
      <w:r>
        <w:rPr>
          <w:sz w:val="24"/>
        </w:rPr>
        <w:t>a</w:t>
      </w:r>
      <w:r>
        <w:rPr>
          <w:spacing w:val="40"/>
          <w:sz w:val="24"/>
        </w:rPr>
        <w:t> </w:t>
      </w:r>
      <w:r>
        <w:rPr>
          <w:sz w:val="24"/>
        </w:rPr>
        <w:t>fire</w:t>
      </w:r>
      <w:r>
        <w:rPr>
          <w:spacing w:val="40"/>
          <w:sz w:val="24"/>
        </w:rPr>
        <w:t> </w:t>
      </w:r>
      <w:r>
        <w:rPr>
          <w:sz w:val="24"/>
        </w:rPr>
        <w:t>resistance</w:t>
      </w:r>
      <w:r>
        <w:rPr>
          <w:spacing w:val="40"/>
          <w:sz w:val="24"/>
        </w:rPr>
        <w:t> </w:t>
      </w:r>
      <w:r>
        <w:rPr>
          <w:sz w:val="24"/>
        </w:rPr>
        <w:t>of</w:t>
      </w:r>
      <w:r>
        <w:rPr>
          <w:spacing w:val="40"/>
          <w:sz w:val="24"/>
        </w:rPr>
        <w:t> </w:t>
      </w:r>
      <w:r>
        <w:rPr>
          <w:sz w:val="24"/>
        </w:rPr>
        <w:t>not less than two </w:t>
      </w:r>
      <w:r>
        <w:rPr>
          <w:spacing w:val="9"/>
          <w:sz w:val="24"/>
        </w:rPr>
        <w:t>hours.</w:t>
      </w:r>
    </w:p>
    <w:p>
      <w:pPr>
        <w:pStyle w:val="ListParagraph"/>
        <w:numPr>
          <w:ilvl w:val="0"/>
          <w:numId w:val="337"/>
        </w:numPr>
        <w:tabs>
          <w:tab w:pos="1946" w:val="left" w:leader="none"/>
          <w:tab w:pos="2026" w:val="left" w:leader="none"/>
        </w:tabs>
        <w:spacing w:line="240" w:lineRule="auto" w:before="239" w:after="0"/>
        <w:ind w:left="2026" w:right="803" w:hanging="454"/>
        <w:jc w:val="both"/>
        <w:rPr>
          <w:sz w:val="24"/>
        </w:rPr>
      </w:pPr>
      <w:r>
        <w:rPr>
          <w:sz w:val="24"/>
        </w:rPr>
        <w:t>High,</w:t>
      </w:r>
      <w:r>
        <w:rPr>
          <w:spacing w:val="40"/>
          <w:sz w:val="24"/>
        </w:rPr>
        <w:t> </w:t>
      </w:r>
      <w:r>
        <w:rPr>
          <w:sz w:val="24"/>
        </w:rPr>
        <w:t>Medium</w:t>
      </w:r>
      <w:r>
        <w:rPr>
          <w:spacing w:val="40"/>
          <w:sz w:val="24"/>
        </w:rPr>
        <w:t> </w:t>
      </w:r>
      <w:r>
        <w:rPr>
          <w:sz w:val="24"/>
        </w:rPr>
        <w:t>and</w:t>
      </w:r>
      <w:r>
        <w:rPr>
          <w:spacing w:val="40"/>
          <w:sz w:val="24"/>
        </w:rPr>
        <w:t> </w:t>
      </w:r>
      <w:r>
        <w:rPr>
          <w:sz w:val="24"/>
        </w:rPr>
        <w:t>low</w:t>
      </w:r>
      <w:r>
        <w:rPr>
          <w:spacing w:val="40"/>
          <w:sz w:val="24"/>
        </w:rPr>
        <w:t> </w:t>
      </w:r>
      <w:r>
        <w:rPr>
          <w:sz w:val="24"/>
        </w:rPr>
        <w:t>voltage</w:t>
      </w:r>
      <w:r>
        <w:rPr>
          <w:spacing w:val="40"/>
          <w:sz w:val="24"/>
        </w:rPr>
        <w:t> </w:t>
      </w:r>
      <w:r>
        <w:rPr>
          <w:sz w:val="24"/>
        </w:rPr>
        <w:t>wiring</w:t>
      </w:r>
      <w:r>
        <w:rPr>
          <w:spacing w:val="40"/>
          <w:sz w:val="24"/>
        </w:rPr>
        <w:t> </w:t>
      </w:r>
      <w:r>
        <w:rPr>
          <w:sz w:val="24"/>
        </w:rPr>
        <w:t>running</w:t>
      </w:r>
      <w:r>
        <w:rPr>
          <w:spacing w:val="40"/>
          <w:sz w:val="24"/>
        </w:rPr>
        <w:t> </w:t>
      </w:r>
      <w:r>
        <w:rPr>
          <w:sz w:val="24"/>
        </w:rPr>
        <w:t>in</w:t>
      </w:r>
      <w:r>
        <w:rPr>
          <w:spacing w:val="40"/>
          <w:sz w:val="24"/>
        </w:rPr>
        <w:t> </w:t>
      </w:r>
      <w:r>
        <w:rPr>
          <w:sz w:val="24"/>
        </w:rPr>
        <w:t>shafts,</w:t>
      </w:r>
      <w:r>
        <w:rPr>
          <w:spacing w:val="40"/>
          <w:sz w:val="24"/>
        </w:rPr>
        <w:t> </w:t>
      </w:r>
      <w:r>
        <w:rPr>
          <w:sz w:val="24"/>
        </w:rPr>
        <w:t>and</w:t>
      </w:r>
      <w:r>
        <w:rPr>
          <w:spacing w:val="40"/>
          <w:sz w:val="24"/>
        </w:rPr>
        <w:t> </w:t>
      </w:r>
      <w:r>
        <w:rPr>
          <w:sz w:val="24"/>
        </w:rPr>
        <w:t>within a</w:t>
      </w:r>
      <w:r>
        <w:rPr>
          <w:spacing w:val="40"/>
          <w:sz w:val="24"/>
        </w:rPr>
        <w:t> </w:t>
      </w:r>
      <w:r>
        <w:rPr>
          <w:sz w:val="24"/>
        </w:rPr>
        <w:t>false</w:t>
      </w:r>
      <w:r>
        <w:rPr>
          <w:spacing w:val="40"/>
          <w:sz w:val="24"/>
        </w:rPr>
        <w:t> </w:t>
      </w:r>
      <w:r>
        <w:rPr>
          <w:sz w:val="24"/>
        </w:rPr>
        <w:t>ceiling,</w:t>
      </w:r>
      <w:r>
        <w:rPr>
          <w:spacing w:val="40"/>
          <w:sz w:val="24"/>
        </w:rPr>
        <w:t> </w:t>
      </w:r>
      <w:r>
        <w:rPr>
          <w:sz w:val="24"/>
        </w:rPr>
        <w:t>shall</w:t>
      </w:r>
      <w:r>
        <w:rPr>
          <w:spacing w:val="40"/>
          <w:sz w:val="24"/>
        </w:rPr>
        <w:t> </w:t>
      </w:r>
      <w:r>
        <w:rPr>
          <w:sz w:val="24"/>
        </w:rPr>
        <w:t>run</w:t>
      </w:r>
      <w:r>
        <w:rPr>
          <w:spacing w:val="40"/>
          <w:sz w:val="24"/>
        </w:rPr>
        <w:t> </w:t>
      </w:r>
      <w:r>
        <w:rPr>
          <w:sz w:val="24"/>
        </w:rPr>
        <w:t>in</w:t>
      </w:r>
      <w:r>
        <w:rPr>
          <w:spacing w:val="40"/>
          <w:sz w:val="24"/>
        </w:rPr>
        <w:t> </w:t>
      </w:r>
      <w:r>
        <w:rPr>
          <w:sz w:val="24"/>
        </w:rPr>
        <w:t>metal</w:t>
      </w:r>
      <w:r>
        <w:rPr>
          <w:spacing w:val="40"/>
          <w:sz w:val="24"/>
        </w:rPr>
        <w:t> </w:t>
      </w:r>
      <w:r>
        <w:rPr>
          <w:spacing w:val="9"/>
          <w:sz w:val="24"/>
        </w:rPr>
        <w:t>conduits.</w:t>
      </w:r>
    </w:p>
    <w:p>
      <w:pPr>
        <w:pStyle w:val="ListParagraph"/>
        <w:numPr>
          <w:ilvl w:val="0"/>
          <w:numId w:val="337"/>
        </w:numPr>
        <w:tabs>
          <w:tab w:pos="1913" w:val="left" w:leader="none"/>
          <w:tab w:pos="2026" w:val="left" w:leader="none"/>
        </w:tabs>
        <w:spacing w:line="240" w:lineRule="auto" w:before="241" w:after="0"/>
        <w:ind w:left="2026" w:right="780" w:hanging="454"/>
        <w:jc w:val="both"/>
        <w:rPr>
          <w:sz w:val="24"/>
        </w:rPr>
      </w:pPr>
      <w:r>
        <w:rPr>
          <w:sz w:val="24"/>
        </w:rPr>
        <w:t>An</w:t>
      </w:r>
      <w:r>
        <w:rPr>
          <w:spacing w:val="40"/>
          <w:sz w:val="24"/>
        </w:rPr>
        <w:t> </w:t>
      </w:r>
      <w:r>
        <w:rPr>
          <w:sz w:val="24"/>
        </w:rPr>
        <w:t>independent</w:t>
      </w:r>
      <w:r>
        <w:rPr>
          <w:spacing w:val="40"/>
          <w:sz w:val="24"/>
        </w:rPr>
        <w:t> </w:t>
      </w:r>
      <w:r>
        <w:rPr>
          <w:sz w:val="24"/>
        </w:rPr>
        <w:t>and</w:t>
      </w:r>
      <w:r>
        <w:rPr>
          <w:spacing w:val="40"/>
          <w:sz w:val="24"/>
        </w:rPr>
        <w:t> </w:t>
      </w:r>
      <w:r>
        <w:rPr>
          <w:sz w:val="24"/>
        </w:rPr>
        <w:t>well</w:t>
      </w:r>
      <w:r>
        <w:rPr>
          <w:spacing w:val="40"/>
          <w:sz w:val="24"/>
        </w:rPr>
        <w:t> </w:t>
      </w:r>
      <w:r>
        <w:rPr>
          <w:sz w:val="24"/>
        </w:rPr>
        <w:t>ventilated</w:t>
      </w:r>
      <w:r>
        <w:rPr>
          <w:spacing w:val="40"/>
          <w:sz w:val="24"/>
        </w:rPr>
        <w:t> </w:t>
      </w:r>
      <w:r>
        <w:rPr>
          <w:sz w:val="24"/>
        </w:rPr>
        <w:t>service</w:t>
      </w:r>
      <w:r>
        <w:rPr>
          <w:spacing w:val="40"/>
          <w:sz w:val="24"/>
        </w:rPr>
        <w:t> </w:t>
      </w:r>
      <w:r>
        <w:rPr>
          <w:sz w:val="24"/>
        </w:rPr>
        <w:t>room</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on the ground floor with direct access from outside or from the</w:t>
      </w:r>
      <w:r>
        <w:rPr>
          <w:spacing w:val="80"/>
          <w:sz w:val="24"/>
        </w:rPr>
        <w:t> </w:t>
      </w:r>
      <w:r>
        <w:rPr>
          <w:sz w:val="24"/>
        </w:rPr>
        <w:t>corridor for the purpose of termination of electric supply from the licensees'</w:t>
      </w:r>
      <w:r>
        <w:rPr>
          <w:spacing w:val="80"/>
          <w:sz w:val="24"/>
        </w:rPr>
        <w:t> </w:t>
      </w:r>
      <w:r>
        <w:rPr>
          <w:sz w:val="24"/>
        </w:rPr>
        <w:t>service</w:t>
      </w:r>
      <w:r>
        <w:rPr>
          <w:spacing w:val="80"/>
          <w:sz w:val="24"/>
        </w:rPr>
        <w:t> </w:t>
      </w:r>
      <w:r>
        <w:rPr>
          <w:sz w:val="24"/>
        </w:rPr>
        <w:t>and</w:t>
      </w:r>
      <w:r>
        <w:rPr>
          <w:spacing w:val="80"/>
          <w:sz w:val="24"/>
        </w:rPr>
        <w:t> </w:t>
      </w:r>
      <w:r>
        <w:rPr>
          <w:sz w:val="24"/>
        </w:rPr>
        <w:t>alternative</w:t>
      </w:r>
      <w:r>
        <w:rPr>
          <w:spacing w:val="80"/>
          <w:sz w:val="24"/>
        </w:rPr>
        <w:t> </w:t>
      </w:r>
      <w:r>
        <w:rPr>
          <w:sz w:val="24"/>
        </w:rPr>
        <w:t>supply</w:t>
      </w:r>
      <w:r>
        <w:rPr>
          <w:spacing w:val="80"/>
          <w:sz w:val="24"/>
        </w:rPr>
        <w:t> </w:t>
      </w:r>
      <w:r>
        <w:rPr>
          <w:sz w:val="24"/>
        </w:rPr>
        <w:t>cables.</w:t>
      </w:r>
      <w:r>
        <w:rPr>
          <w:spacing w:val="80"/>
          <w:sz w:val="24"/>
        </w:rPr>
        <w:t>  </w:t>
      </w:r>
      <w:r>
        <w:rPr>
          <w:sz w:val="24"/>
        </w:rPr>
        <w:t>The</w:t>
      </w:r>
      <w:r>
        <w:rPr>
          <w:spacing w:val="80"/>
          <w:sz w:val="24"/>
        </w:rPr>
        <w:t> </w:t>
      </w:r>
      <w:r>
        <w:rPr>
          <w:sz w:val="24"/>
        </w:rPr>
        <w:t>doors provided</w:t>
      </w:r>
      <w:r>
        <w:rPr>
          <w:spacing w:val="40"/>
          <w:sz w:val="24"/>
        </w:rPr>
        <w:t> </w:t>
      </w:r>
      <w:r>
        <w:rPr>
          <w:sz w:val="24"/>
        </w:rPr>
        <w:t>for</w:t>
      </w:r>
      <w:r>
        <w:rPr>
          <w:spacing w:val="40"/>
          <w:sz w:val="24"/>
        </w:rPr>
        <w:t> </w:t>
      </w:r>
      <w:r>
        <w:rPr>
          <w:sz w:val="24"/>
        </w:rPr>
        <w:t>the</w:t>
      </w:r>
      <w:r>
        <w:rPr>
          <w:spacing w:val="40"/>
          <w:sz w:val="24"/>
        </w:rPr>
        <w:t> </w:t>
      </w:r>
      <w:r>
        <w:rPr>
          <w:sz w:val="24"/>
        </w:rPr>
        <w:t>service</w:t>
      </w:r>
      <w:r>
        <w:rPr>
          <w:spacing w:val="40"/>
          <w:sz w:val="24"/>
        </w:rPr>
        <w:t> </w:t>
      </w:r>
      <w:r>
        <w:rPr>
          <w:sz w:val="24"/>
        </w:rPr>
        <w:t>room</w:t>
      </w:r>
      <w:r>
        <w:rPr>
          <w:spacing w:val="40"/>
          <w:sz w:val="24"/>
        </w:rPr>
        <w:t> </w:t>
      </w:r>
      <w:r>
        <w:rPr>
          <w:sz w:val="24"/>
        </w:rPr>
        <w:t>shall</w:t>
      </w:r>
      <w:r>
        <w:rPr>
          <w:spacing w:val="40"/>
          <w:sz w:val="24"/>
        </w:rPr>
        <w:t> </w:t>
      </w:r>
      <w:r>
        <w:rPr>
          <w:sz w:val="24"/>
        </w:rPr>
        <w:t>have</w:t>
      </w:r>
      <w:r>
        <w:rPr>
          <w:spacing w:val="40"/>
          <w:sz w:val="24"/>
        </w:rPr>
        <w:t> </w:t>
      </w:r>
      <w:r>
        <w:rPr>
          <w:sz w:val="24"/>
        </w:rPr>
        <w:t>fire</w:t>
      </w:r>
      <w:r>
        <w:rPr>
          <w:spacing w:val="40"/>
          <w:sz w:val="24"/>
        </w:rPr>
        <w:t> </w:t>
      </w:r>
      <w:r>
        <w:rPr>
          <w:sz w:val="24"/>
        </w:rPr>
        <w:t>resistance</w:t>
      </w:r>
      <w:r>
        <w:rPr>
          <w:spacing w:val="40"/>
          <w:sz w:val="24"/>
        </w:rPr>
        <w:t> </w:t>
      </w:r>
      <w:r>
        <w:rPr>
          <w:sz w:val="24"/>
        </w:rPr>
        <w:t>of</w:t>
      </w:r>
      <w:r>
        <w:rPr>
          <w:spacing w:val="40"/>
          <w:sz w:val="24"/>
        </w:rPr>
        <w:t> </w:t>
      </w:r>
      <w:r>
        <w:rPr>
          <w:sz w:val="24"/>
        </w:rPr>
        <w:t>not</w:t>
      </w:r>
      <w:r>
        <w:rPr>
          <w:spacing w:val="40"/>
          <w:sz w:val="24"/>
        </w:rPr>
        <w:t> </w:t>
      </w:r>
      <w:r>
        <w:rPr>
          <w:sz w:val="24"/>
        </w:rPr>
        <w:t>less than two hours.</w:t>
      </w:r>
    </w:p>
    <w:p>
      <w:pPr>
        <w:pStyle w:val="ListParagraph"/>
        <w:numPr>
          <w:ilvl w:val="0"/>
          <w:numId w:val="337"/>
        </w:numPr>
        <w:tabs>
          <w:tab w:pos="1872" w:val="left" w:leader="none"/>
          <w:tab w:pos="2026" w:val="left" w:leader="none"/>
        </w:tabs>
        <w:spacing w:line="240" w:lineRule="auto" w:before="242" w:after="0"/>
        <w:ind w:left="2026" w:right="786" w:hanging="454"/>
        <w:jc w:val="both"/>
        <w:rPr>
          <w:sz w:val="24"/>
        </w:rPr>
      </w:pPr>
      <w:r>
        <w:rPr>
          <w:sz w:val="24"/>
        </w:rPr>
        <w:t>If</w:t>
      </w:r>
      <w:r>
        <w:rPr>
          <w:spacing w:val="40"/>
          <w:sz w:val="24"/>
        </w:rPr>
        <w:t> </w:t>
      </w:r>
      <w:r>
        <w:rPr>
          <w:sz w:val="24"/>
        </w:rPr>
        <w:t>the</w:t>
      </w:r>
      <w:r>
        <w:rPr>
          <w:spacing w:val="40"/>
          <w:sz w:val="24"/>
        </w:rPr>
        <w:t> </w:t>
      </w:r>
      <w:r>
        <w:rPr>
          <w:sz w:val="24"/>
        </w:rPr>
        <w:t>licensees</w:t>
      </w:r>
      <w:r>
        <w:rPr>
          <w:spacing w:val="40"/>
          <w:sz w:val="24"/>
        </w:rPr>
        <w:t> </w:t>
      </w:r>
      <w:r>
        <w:rPr>
          <w:sz w:val="24"/>
        </w:rPr>
        <w:t>agree</w:t>
      </w:r>
      <w:r>
        <w:rPr>
          <w:spacing w:val="40"/>
          <w:sz w:val="24"/>
        </w:rPr>
        <w:t> </w:t>
      </w:r>
      <w:r>
        <w:rPr>
          <w:sz w:val="24"/>
        </w:rPr>
        <w:t>to</w:t>
      </w:r>
      <w:r>
        <w:rPr>
          <w:spacing w:val="40"/>
          <w:sz w:val="24"/>
        </w:rPr>
        <w:t> </w:t>
      </w:r>
      <w:r>
        <w:rPr>
          <w:sz w:val="24"/>
        </w:rPr>
        <w:t>provide</w:t>
      </w:r>
      <w:r>
        <w:rPr>
          <w:spacing w:val="40"/>
          <w:sz w:val="24"/>
        </w:rPr>
        <w:t> </w:t>
      </w:r>
      <w:r>
        <w:rPr>
          <w:sz w:val="24"/>
        </w:rPr>
        <w:t>meters</w:t>
      </w:r>
      <w:r>
        <w:rPr>
          <w:spacing w:val="40"/>
          <w:sz w:val="24"/>
        </w:rPr>
        <w:t> </w:t>
      </w:r>
      <w:r>
        <w:rPr>
          <w:sz w:val="24"/>
        </w:rPr>
        <w:t>on</w:t>
      </w:r>
      <w:r>
        <w:rPr>
          <w:spacing w:val="40"/>
          <w:sz w:val="24"/>
        </w:rPr>
        <w:t> </w:t>
      </w:r>
      <w:r>
        <w:rPr>
          <w:sz w:val="24"/>
        </w:rPr>
        <w:t>upper</w:t>
      </w:r>
      <w:r>
        <w:rPr>
          <w:spacing w:val="40"/>
          <w:sz w:val="24"/>
        </w:rPr>
        <w:t> </w:t>
      </w:r>
      <w:r>
        <w:rPr>
          <w:sz w:val="24"/>
        </w:rPr>
        <w:t>floors,</w:t>
      </w:r>
      <w:r>
        <w:rPr>
          <w:spacing w:val="40"/>
          <w:sz w:val="24"/>
        </w:rPr>
        <w:t> </w:t>
      </w:r>
      <w:r>
        <w:rPr>
          <w:sz w:val="24"/>
        </w:rPr>
        <w:t>the</w:t>
      </w:r>
      <w:r>
        <w:rPr>
          <w:spacing w:val="80"/>
          <w:sz w:val="24"/>
        </w:rPr>
        <w:t> </w:t>
      </w:r>
      <w:r>
        <w:rPr>
          <w:sz w:val="24"/>
        </w:rPr>
        <w:t>licensees' cables shall be segregated from consumers' cables by a partition</w:t>
      </w:r>
      <w:r>
        <w:rPr>
          <w:spacing w:val="40"/>
          <w:sz w:val="24"/>
        </w:rPr>
        <w:t> </w:t>
      </w:r>
      <w:r>
        <w:rPr>
          <w:sz w:val="24"/>
        </w:rPr>
        <w:t>in</w:t>
      </w:r>
      <w:r>
        <w:rPr>
          <w:spacing w:val="40"/>
          <w:sz w:val="24"/>
        </w:rPr>
        <w:t> </w:t>
      </w:r>
      <w:r>
        <w:rPr>
          <w:sz w:val="24"/>
        </w:rPr>
        <w:t>the</w:t>
      </w:r>
      <w:r>
        <w:rPr>
          <w:spacing w:val="40"/>
          <w:sz w:val="24"/>
        </w:rPr>
        <w:t> </w:t>
      </w:r>
      <w:r>
        <w:rPr>
          <w:sz w:val="24"/>
        </w:rPr>
        <w:t>duct.</w:t>
      </w:r>
      <w:r>
        <w:rPr>
          <w:spacing w:val="80"/>
          <w:w w:val="150"/>
          <w:sz w:val="24"/>
        </w:rPr>
        <w:t> </w:t>
      </w:r>
      <w:r>
        <w:rPr>
          <w:sz w:val="24"/>
        </w:rPr>
        <w:t>Meter</w:t>
      </w:r>
      <w:r>
        <w:rPr>
          <w:spacing w:val="40"/>
          <w:sz w:val="24"/>
        </w:rPr>
        <w:t> </w:t>
      </w:r>
      <w:r>
        <w:rPr>
          <w:sz w:val="24"/>
        </w:rPr>
        <w:t>rooms</w:t>
      </w:r>
      <w:r>
        <w:rPr>
          <w:spacing w:val="40"/>
          <w:sz w:val="24"/>
        </w:rPr>
        <w:t> </w:t>
      </w:r>
      <w:r>
        <w:rPr>
          <w:sz w:val="24"/>
        </w:rPr>
        <w:t>on</w:t>
      </w:r>
      <w:r>
        <w:rPr>
          <w:spacing w:val="40"/>
          <w:sz w:val="24"/>
        </w:rPr>
        <w:t> </w:t>
      </w:r>
      <w:r>
        <w:rPr>
          <w:sz w:val="24"/>
        </w:rPr>
        <w:t>upper</w:t>
      </w:r>
      <w:r>
        <w:rPr>
          <w:spacing w:val="40"/>
          <w:sz w:val="24"/>
        </w:rPr>
        <w:t> </w:t>
      </w:r>
      <w:r>
        <w:rPr>
          <w:sz w:val="24"/>
        </w:rPr>
        <w:t>floors</w:t>
      </w:r>
      <w:r>
        <w:rPr>
          <w:spacing w:val="40"/>
          <w:sz w:val="24"/>
        </w:rPr>
        <w:t> </w:t>
      </w:r>
      <w:r>
        <w:rPr>
          <w:sz w:val="24"/>
        </w:rPr>
        <w:t>shall</w:t>
      </w:r>
      <w:r>
        <w:rPr>
          <w:spacing w:val="40"/>
          <w:sz w:val="24"/>
        </w:rPr>
        <w:t> </w:t>
      </w:r>
      <w:r>
        <w:rPr>
          <w:sz w:val="24"/>
        </w:rPr>
        <w:t>not</w:t>
      </w:r>
      <w:r>
        <w:rPr>
          <w:spacing w:val="40"/>
          <w:sz w:val="24"/>
        </w:rPr>
        <w:t> </w:t>
      </w:r>
      <w:r>
        <w:rPr>
          <w:sz w:val="24"/>
        </w:rPr>
        <w:t>open into</w:t>
      </w:r>
      <w:r>
        <w:rPr>
          <w:spacing w:val="40"/>
          <w:sz w:val="24"/>
        </w:rPr>
        <w:t> </w:t>
      </w:r>
      <w:r>
        <w:rPr>
          <w:sz w:val="24"/>
        </w:rPr>
        <w:t>staircase</w:t>
      </w:r>
      <w:r>
        <w:rPr>
          <w:spacing w:val="40"/>
          <w:sz w:val="24"/>
        </w:rPr>
        <w:t> </w:t>
      </w:r>
      <w:r>
        <w:rPr>
          <w:sz w:val="24"/>
        </w:rPr>
        <w:t>enclosures</w:t>
      </w:r>
      <w:r>
        <w:rPr>
          <w:spacing w:val="40"/>
          <w:sz w:val="24"/>
        </w:rPr>
        <w:t> </w:t>
      </w:r>
      <w:r>
        <w:rPr>
          <w:sz w:val="24"/>
        </w:rPr>
        <w:t>and</w:t>
      </w:r>
      <w:r>
        <w:rPr>
          <w:spacing w:val="40"/>
          <w:sz w:val="24"/>
        </w:rPr>
        <w:t> </w:t>
      </w:r>
      <w:r>
        <w:rPr>
          <w:sz w:val="24"/>
        </w:rPr>
        <w:t>shall</w:t>
      </w:r>
      <w:r>
        <w:rPr>
          <w:spacing w:val="40"/>
          <w:sz w:val="24"/>
        </w:rPr>
        <w:t> </w:t>
      </w:r>
      <w:r>
        <w:rPr>
          <w:sz w:val="24"/>
        </w:rPr>
        <w:t>be</w:t>
      </w:r>
      <w:r>
        <w:rPr>
          <w:spacing w:val="40"/>
          <w:sz w:val="24"/>
        </w:rPr>
        <w:t> </w:t>
      </w:r>
      <w:r>
        <w:rPr>
          <w:spacing w:val="9"/>
          <w:sz w:val="24"/>
        </w:rPr>
        <w:t>ventilated</w:t>
      </w:r>
      <w:r>
        <w:rPr>
          <w:spacing w:val="40"/>
          <w:sz w:val="24"/>
        </w:rPr>
        <w:t> </w:t>
      </w:r>
      <w:r>
        <w:rPr>
          <w:sz w:val="24"/>
        </w:rPr>
        <w:t>directly</w:t>
      </w:r>
      <w:r>
        <w:rPr>
          <w:spacing w:val="40"/>
          <w:sz w:val="24"/>
        </w:rPr>
        <w:t> </w:t>
      </w:r>
      <w:r>
        <w:rPr>
          <w:sz w:val="24"/>
        </w:rPr>
        <w:t>to</w:t>
      </w:r>
      <w:r>
        <w:rPr>
          <w:spacing w:val="40"/>
          <w:sz w:val="24"/>
        </w:rPr>
        <w:t> </w:t>
      </w:r>
      <w:r>
        <w:rPr>
          <w:sz w:val="24"/>
        </w:rPr>
        <w:t>open</w:t>
      </w:r>
      <w:r>
        <w:rPr>
          <w:spacing w:val="40"/>
          <w:sz w:val="24"/>
        </w:rPr>
        <w:t> </w:t>
      </w:r>
      <w:r>
        <w:rPr>
          <w:sz w:val="24"/>
        </w:rPr>
        <w:t>air </w:t>
      </w:r>
      <w:r>
        <w:rPr>
          <w:spacing w:val="9"/>
          <w:sz w:val="24"/>
        </w:rPr>
        <w:t>outside.</w:t>
      </w:r>
    </w:p>
    <w:p>
      <w:pPr>
        <w:pStyle w:val="ListParagraph"/>
        <w:numPr>
          <w:ilvl w:val="0"/>
          <w:numId w:val="337"/>
        </w:numPr>
        <w:tabs>
          <w:tab w:pos="1901" w:val="left" w:leader="none"/>
          <w:tab w:pos="2026" w:val="left" w:leader="none"/>
        </w:tabs>
        <w:spacing w:line="240" w:lineRule="auto" w:before="238" w:after="0"/>
        <w:ind w:left="2026" w:right="801" w:hanging="454"/>
        <w:jc w:val="both"/>
        <w:rPr>
          <w:sz w:val="24"/>
        </w:rPr>
      </w:pPr>
      <w:r>
        <w:rPr>
          <w:sz w:val="24"/>
        </w:rPr>
        <w:t>PVC</w:t>
      </w:r>
      <w:r>
        <w:rPr>
          <w:spacing w:val="40"/>
          <w:sz w:val="24"/>
        </w:rPr>
        <w:t> </w:t>
      </w:r>
      <w:r>
        <w:rPr>
          <w:sz w:val="24"/>
        </w:rPr>
        <w:t>cables</w:t>
      </w:r>
      <w:r>
        <w:rPr>
          <w:spacing w:val="40"/>
          <w:sz w:val="24"/>
        </w:rPr>
        <w:t> </w:t>
      </w:r>
      <w:r>
        <w:rPr>
          <w:sz w:val="24"/>
        </w:rPr>
        <w:t>should</w:t>
      </w:r>
      <w:r>
        <w:rPr>
          <w:spacing w:val="40"/>
          <w:sz w:val="24"/>
        </w:rPr>
        <w:t> </w:t>
      </w:r>
      <w:r>
        <w:rPr>
          <w:sz w:val="24"/>
        </w:rPr>
        <w:t>have</w:t>
      </w:r>
      <w:r>
        <w:rPr>
          <w:spacing w:val="40"/>
          <w:sz w:val="24"/>
        </w:rPr>
        <w:t> </w:t>
      </w:r>
      <w:r>
        <w:rPr>
          <w:sz w:val="24"/>
        </w:rPr>
        <w:t>an</w:t>
      </w:r>
      <w:r>
        <w:rPr>
          <w:spacing w:val="40"/>
          <w:sz w:val="24"/>
        </w:rPr>
        <w:t> </w:t>
      </w:r>
      <w:r>
        <w:rPr>
          <w:sz w:val="24"/>
        </w:rPr>
        <w:t>additional</w:t>
      </w:r>
      <w:r>
        <w:rPr>
          <w:spacing w:val="40"/>
          <w:sz w:val="24"/>
        </w:rPr>
        <w:t> </w:t>
      </w:r>
      <w:r>
        <w:rPr>
          <w:sz w:val="24"/>
        </w:rPr>
        <w:t>sheathing</w:t>
      </w:r>
      <w:r>
        <w:rPr>
          <w:spacing w:val="40"/>
          <w:sz w:val="24"/>
        </w:rPr>
        <w:t> </w:t>
      </w:r>
      <w:r>
        <w:rPr>
          <w:sz w:val="24"/>
        </w:rPr>
        <w:t>or</w:t>
      </w:r>
      <w:r>
        <w:rPr>
          <w:spacing w:val="40"/>
          <w:sz w:val="24"/>
        </w:rPr>
        <w:t> </w:t>
      </w:r>
      <w:r>
        <w:rPr>
          <w:sz w:val="24"/>
        </w:rPr>
        <w:t>protection provided</w:t>
      </w:r>
      <w:r>
        <w:rPr>
          <w:spacing w:val="40"/>
          <w:sz w:val="24"/>
        </w:rPr>
        <w:t> </w:t>
      </w:r>
      <w:r>
        <w:rPr>
          <w:sz w:val="24"/>
        </w:rPr>
        <w:t>by</w:t>
      </w:r>
      <w:r>
        <w:rPr>
          <w:spacing w:val="40"/>
          <w:sz w:val="24"/>
        </w:rPr>
        <w:t> </w:t>
      </w:r>
      <w:r>
        <w:rPr>
          <w:sz w:val="24"/>
        </w:rPr>
        <w:t>compounds</w:t>
      </w:r>
      <w:r>
        <w:rPr>
          <w:spacing w:val="40"/>
          <w:sz w:val="24"/>
        </w:rPr>
        <w:t> </w:t>
      </w:r>
      <w:r>
        <w:rPr>
          <w:sz w:val="24"/>
        </w:rPr>
        <w:t>sprayed</w:t>
      </w:r>
      <w:r>
        <w:rPr>
          <w:spacing w:val="40"/>
          <w:sz w:val="24"/>
        </w:rPr>
        <w:t> </w:t>
      </w:r>
      <w:r>
        <w:rPr>
          <w:sz w:val="24"/>
        </w:rPr>
        <w:t>on</w:t>
      </w:r>
      <w:r>
        <w:rPr>
          <w:spacing w:val="40"/>
          <w:sz w:val="24"/>
        </w:rPr>
        <w:t> </w:t>
      </w:r>
      <w:r>
        <w:rPr>
          <w:sz w:val="24"/>
        </w:rPr>
        <w:t>after</w:t>
      </w:r>
      <w:r>
        <w:rPr>
          <w:spacing w:val="40"/>
          <w:sz w:val="24"/>
        </w:rPr>
        <w:t> </w:t>
      </w:r>
      <w:r>
        <w:rPr>
          <w:spacing w:val="9"/>
          <w:sz w:val="24"/>
        </w:rPr>
        <w:t>installation.</w:t>
      </w:r>
    </w:p>
    <w:p>
      <w:pPr>
        <w:pStyle w:val="Heading6"/>
        <w:numPr>
          <w:ilvl w:val="1"/>
          <w:numId w:val="335"/>
        </w:numPr>
        <w:tabs>
          <w:tab w:pos="1570" w:val="left" w:leader="none"/>
        </w:tabs>
        <w:spacing w:line="240" w:lineRule="auto" w:before="238" w:after="0"/>
        <w:ind w:left="1570" w:right="0" w:hanging="452"/>
        <w:jc w:val="left"/>
      </w:pPr>
      <w:r>
        <w:rPr/>
        <w:t>Town</w:t>
      </w:r>
      <w:r>
        <w:rPr>
          <w:spacing w:val="57"/>
        </w:rPr>
        <w:t> </w:t>
      </w:r>
      <w:r>
        <w:rPr/>
        <w:t>gas/L.P.</w:t>
      </w:r>
      <w:r>
        <w:rPr>
          <w:spacing w:val="61"/>
        </w:rPr>
        <w:t> </w:t>
      </w:r>
      <w:r>
        <w:rPr/>
        <w:t>Gas</w:t>
      </w:r>
      <w:r>
        <w:rPr>
          <w:spacing w:val="58"/>
        </w:rPr>
        <w:t> </w:t>
      </w:r>
      <w:r>
        <w:rPr/>
        <w:t>supply</w:t>
      </w:r>
      <w:r>
        <w:rPr>
          <w:spacing w:val="61"/>
        </w:rPr>
        <w:t> </w:t>
      </w:r>
      <w:r>
        <w:rPr>
          <w:spacing w:val="-2"/>
        </w:rPr>
        <w:t>pipes</w:t>
      </w:r>
    </w:p>
    <w:p>
      <w:pPr>
        <w:pStyle w:val="BodyText"/>
        <w:spacing w:before="244"/>
        <w:ind w:left="1572" w:right="799"/>
      </w:pPr>
      <w:r>
        <w:rPr/>
        <w:t>These</w:t>
      </w:r>
      <w:r>
        <w:rPr>
          <w:spacing w:val="40"/>
        </w:rPr>
        <w:t> </w:t>
      </w:r>
      <w:r>
        <w:rPr/>
        <w:t>pipes</w:t>
      </w:r>
      <w:r>
        <w:rPr>
          <w:spacing w:val="40"/>
        </w:rPr>
        <w:t> </w:t>
      </w:r>
      <w:r>
        <w:rPr/>
        <w:t>shall</w:t>
      </w:r>
      <w:r>
        <w:rPr>
          <w:spacing w:val="40"/>
        </w:rPr>
        <w:t> </w:t>
      </w:r>
      <w:r>
        <w:rPr/>
        <w:t>be</w:t>
      </w:r>
      <w:r>
        <w:rPr>
          <w:spacing w:val="40"/>
        </w:rPr>
        <w:t> </w:t>
      </w:r>
      <w:r>
        <w:rPr/>
        <w:t>run</w:t>
      </w:r>
      <w:r>
        <w:rPr>
          <w:spacing w:val="40"/>
        </w:rPr>
        <w:t> </w:t>
      </w:r>
      <w:r>
        <w:rPr/>
        <w:t>in</w:t>
      </w:r>
      <w:r>
        <w:rPr>
          <w:spacing w:val="40"/>
        </w:rPr>
        <w:t> </w:t>
      </w:r>
      <w:r>
        <w:rPr/>
        <w:t>shafts</w:t>
      </w:r>
      <w:r>
        <w:rPr>
          <w:spacing w:val="40"/>
        </w:rPr>
        <w:t> </w:t>
      </w:r>
      <w:r>
        <w:rPr/>
        <w:t>exclusively</w:t>
      </w:r>
      <w:r>
        <w:rPr>
          <w:spacing w:val="40"/>
        </w:rPr>
        <w:t> </w:t>
      </w:r>
      <w:r>
        <w:rPr/>
        <w:t>for</w:t>
      </w:r>
      <w:r>
        <w:rPr>
          <w:spacing w:val="40"/>
        </w:rPr>
        <w:t> </w:t>
      </w:r>
      <w:r>
        <w:rPr/>
        <w:t>this</w:t>
      </w:r>
      <w:r>
        <w:rPr>
          <w:spacing w:val="40"/>
        </w:rPr>
        <w:t> </w:t>
      </w:r>
      <w:r>
        <w:rPr/>
        <w:t>purpose</w:t>
      </w:r>
      <w:r>
        <w:rPr>
          <w:spacing w:val="40"/>
        </w:rPr>
        <w:t> </w:t>
      </w:r>
      <w:r>
        <w:rPr/>
        <w:t>and shall</w:t>
      </w:r>
      <w:r>
        <w:rPr>
          <w:spacing w:val="40"/>
        </w:rPr>
        <w:t> </w:t>
      </w:r>
      <w:r>
        <w:rPr/>
        <w:t>be</w:t>
      </w:r>
      <w:r>
        <w:rPr>
          <w:spacing w:val="40"/>
        </w:rPr>
        <w:t> </w:t>
      </w:r>
      <w:r>
        <w:rPr/>
        <w:t>on</w:t>
      </w:r>
      <w:r>
        <w:rPr>
          <w:spacing w:val="72"/>
        </w:rPr>
        <w:t> </w:t>
      </w:r>
      <w:r>
        <w:rPr/>
        <w:t>external</w:t>
      </w:r>
      <w:r>
        <w:rPr>
          <w:spacing w:val="40"/>
        </w:rPr>
        <w:t> </w:t>
      </w:r>
      <w:r>
        <w:rPr/>
        <w:t>walls,</w:t>
      </w:r>
      <w:r>
        <w:rPr>
          <w:spacing w:val="40"/>
        </w:rPr>
        <w:t> </w:t>
      </w:r>
      <w:r>
        <w:rPr/>
        <w:t>away</w:t>
      </w:r>
      <w:r>
        <w:rPr>
          <w:spacing w:val="40"/>
        </w:rPr>
        <w:t> </w:t>
      </w:r>
      <w:r>
        <w:rPr/>
        <w:t>from</w:t>
      </w:r>
      <w:r>
        <w:rPr>
          <w:spacing w:val="40"/>
        </w:rPr>
        <w:t> </w:t>
      </w:r>
      <w:r>
        <w:rPr/>
        <w:t>the</w:t>
      </w:r>
      <w:r>
        <w:rPr>
          <w:spacing w:val="72"/>
        </w:rPr>
        <w:t> </w:t>
      </w:r>
      <w:r>
        <w:rPr/>
        <w:t>staircases.</w:t>
      </w:r>
      <w:r>
        <w:rPr>
          <w:spacing w:val="40"/>
        </w:rPr>
        <w:t>  </w:t>
      </w:r>
      <w:r>
        <w:rPr/>
        <w:t>There</w:t>
      </w:r>
      <w:r>
        <w:rPr>
          <w:spacing w:val="40"/>
        </w:rPr>
        <w:t> </w:t>
      </w:r>
      <w:r>
        <w:rPr/>
        <w:t>shall</w:t>
      </w:r>
      <w:r>
        <w:rPr>
          <w:spacing w:val="73"/>
        </w:rPr>
        <w:t> </w:t>
      </w:r>
      <w:r>
        <w:rPr/>
        <w:t>be no</w:t>
      </w:r>
      <w:r>
        <w:rPr>
          <w:spacing w:val="40"/>
        </w:rPr>
        <w:t> </w:t>
      </w:r>
      <w:r>
        <w:rPr>
          <w:spacing w:val="9"/>
        </w:rPr>
        <w:t>inter-</w:t>
      </w:r>
      <w:r>
        <w:rPr/>
        <w:t>connection</w:t>
      </w:r>
      <w:r>
        <w:rPr>
          <w:spacing w:val="40"/>
        </w:rPr>
        <w:t> </w:t>
      </w:r>
      <w:r>
        <w:rPr/>
        <w:t>between</w:t>
      </w:r>
      <w:r>
        <w:rPr>
          <w:spacing w:val="40"/>
        </w:rPr>
        <w:t> </w:t>
      </w:r>
      <w:r>
        <w:rPr/>
        <w:t>these</w:t>
      </w:r>
      <w:r>
        <w:rPr>
          <w:spacing w:val="40"/>
        </w:rPr>
        <w:t> </w:t>
      </w:r>
      <w:r>
        <w:rPr/>
        <w:t>shafts</w:t>
      </w:r>
      <w:r>
        <w:rPr>
          <w:spacing w:val="40"/>
        </w:rPr>
        <w:t> </w:t>
      </w:r>
      <w:r>
        <w:rPr/>
        <w:t>and</w:t>
      </w:r>
      <w:r>
        <w:rPr>
          <w:spacing w:val="40"/>
        </w:rPr>
        <w:t> </w:t>
      </w:r>
      <w:r>
        <w:rPr/>
        <w:t>the</w:t>
      </w:r>
      <w:r>
        <w:rPr>
          <w:spacing w:val="40"/>
        </w:rPr>
        <w:t> </w:t>
      </w:r>
      <w:r>
        <w:rPr/>
        <w:t>rest</w:t>
      </w:r>
      <w:r>
        <w:rPr>
          <w:spacing w:val="40"/>
        </w:rPr>
        <w:t> </w:t>
      </w:r>
      <w:r>
        <w:rPr/>
        <w:t>of</w:t>
      </w:r>
      <w:r>
        <w:rPr>
          <w:spacing w:val="40"/>
        </w:rPr>
        <w:t> </w:t>
      </w:r>
      <w:r>
        <w:rPr/>
        <w:t>the</w:t>
      </w:r>
      <w:r>
        <w:rPr>
          <w:spacing w:val="40"/>
        </w:rPr>
        <w:t> </w:t>
      </w:r>
      <w:r>
        <w:rPr/>
        <w:t>floors,</w:t>
      </w:r>
      <w:r>
        <w:rPr>
          <w:spacing w:val="40"/>
        </w:rPr>
        <w:t> </w:t>
      </w:r>
      <w:r>
        <w:rPr/>
        <w:t>Gas meters shall be housed in a suitable constructed metal cupboard located</w:t>
      </w:r>
      <w:r>
        <w:rPr>
          <w:spacing w:val="40"/>
        </w:rPr>
        <w:t> </w:t>
      </w:r>
      <w:r>
        <w:rPr/>
        <w:t>in</w:t>
      </w:r>
      <w:r>
        <w:rPr>
          <w:spacing w:val="40"/>
        </w:rPr>
        <w:t> </w:t>
      </w:r>
      <w:r>
        <w:rPr/>
        <w:t>a</w:t>
      </w:r>
      <w:r>
        <w:rPr>
          <w:spacing w:val="40"/>
        </w:rPr>
        <w:t> </w:t>
      </w:r>
      <w:r>
        <w:rPr>
          <w:spacing w:val="9"/>
        </w:rPr>
        <w:t>well-</w:t>
      </w:r>
      <w:r>
        <w:rPr/>
        <w:t>ventilated</w:t>
      </w:r>
      <w:r>
        <w:rPr>
          <w:spacing w:val="40"/>
        </w:rPr>
        <w:t> </w:t>
      </w:r>
      <w:r>
        <w:rPr/>
        <w:t>space</w:t>
      </w:r>
      <w:r>
        <w:rPr>
          <w:spacing w:val="40"/>
        </w:rPr>
        <w:t> </w:t>
      </w:r>
      <w:r>
        <w:rPr/>
        <w:t>at</w:t>
      </w:r>
      <w:r>
        <w:rPr>
          <w:spacing w:val="40"/>
        </w:rPr>
        <w:t> </w:t>
      </w:r>
      <w:r>
        <w:rPr/>
        <w:t>ground</w:t>
      </w:r>
      <w:r>
        <w:rPr>
          <w:spacing w:val="40"/>
        </w:rPr>
        <w:t> </w:t>
      </w:r>
      <w:r>
        <w:rPr/>
        <w:t>level.</w:t>
      </w:r>
    </w:p>
    <w:p>
      <w:pPr>
        <w:pStyle w:val="Heading6"/>
        <w:numPr>
          <w:ilvl w:val="1"/>
          <w:numId w:val="335"/>
        </w:numPr>
        <w:tabs>
          <w:tab w:pos="1570" w:val="left" w:leader="none"/>
        </w:tabs>
        <w:spacing w:line="240" w:lineRule="auto" w:before="236" w:after="0"/>
        <w:ind w:left="1570" w:right="0" w:hanging="452"/>
        <w:jc w:val="left"/>
      </w:pPr>
      <w:r>
        <w:rPr/>
        <w:t>Staircase</w:t>
      </w:r>
      <w:r>
        <w:rPr>
          <w:spacing w:val="69"/>
        </w:rPr>
        <w:t> </w:t>
      </w:r>
      <w:r>
        <w:rPr/>
        <w:t>and</w:t>
      </w:r>
      <w:r>
        <w:rPr>
          <w:spacing w:val="75"/>
        </w:rPr>
        <w:t> </w:t>
      </w:r>
      <w:r>
        <w:rPr/>
        <w:t>Corridor</w:t>
      </w:r>
      <w:r>
        <w:rPr>
          <w:spacing w:val="70"/>
        </w:rPr>
        <w:t> </w:t>
      </w:r>
      <w:r>
        <w:rPr>
          <w:spacing w:val="-2"/>
        </w:rPr>
        <w:t>Lightings</w:t>
      </w:r>
    </w:p>
    <w:p>
      <w:pPr>
        <w:pStyle w:val="Heading6"/>
        <w:spacing w:after="0" w:line="240" w:lineRule="auto"/>
        <w:jc w:val="left"/>
        <w:sectPr>
          <w:pgSz w:w="11910" w:h="16850"/>
          <w:pgMar w:header="1024" w:footer="1302" w:top="1480" w:bottom="1500" w:left="360" w:right="360"/>
        </w:sectPr>
      </w:pPr>
    </w:p>
    <w:p>
      <w:pPr>
        <w:pStyle w:val="ListParagraph"/>
        <w:numPr>
          <w:ilvl w:val="0"/>
          <w:numId w:val="338"/>
        </w:numPr>
        <w:tabs>
          <w:tab w:pos="2023" w:val="left" w:leader="none"/>
          <w:tab w:pos="2026" w:val="left" w:leader="none"/>
        </w:tabs>
        <w:spacing w:line="240" w:lineRule="auto" w:before="276" w:after="0"/>
        <w:ind w:left="2026" w:right="781" w:hanging="454"/>
        <w:jc w:val="both"/>
        <w:rPr>
          <w:sz w:val="24"/>
        </w:rPr>
      </w:pPr>
      <w:r>
        <w:rPr>
          <w:sz w:val="24"/>
        </w:rPr>
        <w:t>The</w:t>
      </w:r>
      <w:r>
        <w:rPr>
          <w:spacing w:val="80"/>
          <w:sz w:val="24"/>
        </w:rPr>
        <w:t> </w:t>
      </w:r>
      <w:r>
        <w:rPr>
          <w:sz w:val="24"/>
        </w:rPr>
        <w:t>staircase</w:t>
      </w:r>
      <w:r>
        <w:rPr>
          <w:spacing w:val="80"/>
          <w:sz w:val="24"/>
        </w:rPr>
        <w:t> </w:t>
      </w:r>
      <w:r>
        <w:rPr>
          <w:sz w:val="24"/>
        </w:rPr>
        <w:t>and</w:t>
      </w:r>
      <w:r>
        <w:rPr>
          <w:spacing w:val="80"/>
          <w:sz w:val="24"/>
        </w:rPr>
        <w:t> </w:t>
      </w:r>
      <w:r>
        <w:rPr>
          <w:sz w:val="24"/>
        </w:rPr>
        <w:t>corridor</w:t>
      </w:r>
      <w:r>
        <w:rPr>
          <w:spacing w:val="80"/>
          <w:sz w:val="24"/>
        </w:rPr>
        <w:t> </w:t>
      </w:r>
      <w:r>
        <w:rPr>
          <w:sz w:val="24"/>
        </w:rPr>
        <w:t>lighting</w:t>
      </w:r>
      <w:r>
        <w:rPr>
          <w:spacing w:val="80"/>
          <w:sz w:val="24"/>
        </w:rPr>
        <w:t> </w:t>
      </w:r>
      <w:r>
        <w:rPr>
          <w:sz w:val="24"/>
        </w:rPr>
        <w:t>shall</w:t>
      </w:r>
      <w:r>
        <w:rPr>
          <w:spacing w:val="80"/>
          <w:sz w:val="24"/>
        </w:rPr>
        <w:t> </w:t>
      </w:r>
      <w:r>
        <w:rPr>
          <w:sz w:val="24"/>
        </w:rPr>
        <w:t>be</w:t>
      </w:r>
      <w:r>
        <w:rPr>
          <w:spacing w:val="80"/>
          <w:sz w:val="24"/>
        </w:rPr>
        <w:t> </w:t>
      </w:r>
      <w:r>
        <w:rPr>
          <w:sz w:val="24"/>
        </w:rPr>
        <w:t>on</w:t>
      </w:r>
      <w:r>
        <w:rPr>
          <w:spacing w:val="80"/>
          <w:sz w:val="24"/>
        </w:rPr>
        <w:t> </w:t>
      </w:r>
      <w:r>
        <w:rPr>
          <w:sz w:val="24"/>
        </w:rPr>
        <w:t>separate</w:t>
      </w:r>
      <w:r>
        <w:rPr>
          <w:spacing w:val="80"/>
          <w:sz w:val="24"/>
        </w:rPr>
        <w:t> </w:t>
      </w:r>
      <w:r>
        <w:rPr>
          <w:sz w:val="24"/>
        </w:rPr>
        <w:t>circuits and</w:t>
      </w:r>
      <w:r>
        <w:rPr>
          <w:spacing w:val="40"/>
          <w:sz w:val="24"/>
        </w:rPr>
        <w:t> </w:t>
      </w:r>
      <w:r>
        <w:rPr>
          <w:sz w:val="24"/>
        </w:rPr>
        <w:t>shall</w:t>
      </w:r>
      <w:r>
        <w:rPr>
          <w:spacing w:val="40"/>
          <w:sz w:val="24"/>
        </w:rPr>
        <w:t> </w:t>
      </w:r>
      <w:r>
        <w:rPr>
          <w:sz w:val="24"/>
        </w:rPr>
        <w:t>be</w:t>
      </w:r>
      <w:r>
        <w:rPr>
          <w:spacing w:val="40"/>
          <w:sz w:val="24"/>
        </w:rPr>
        <w:t> </w:t>
      </w:r>
      <w:r>
        <w:rPr>
          <w:sz w:val="24"/>
        </w:rPr>
        <w:t>independently</w:t>
      </w:r>
      <w:r>
        <w:rPr>
          <w:spacing w:val="40"/>
          <w:sz w:val="24"/>
        </w:rPr>
        <w:t> </w:t>
      </w:r>
      <w:r>
        <w:rPr>
          <w:sz w:val="24"/>
        </w:rPr>
        <w:t>connected</w:t>
      </w:r>
      <w:r>
        <w:rPr>
          <w:spacing w:val="40"/>
          <w:sz w:val="24"/>
        </w:rPr>
        <w:t> </w:t>
      </w:r>
      <w:r>
        <w:rPr>
          <w:sz w:val="24"/>
        </w:rPr>
        <w:t>so</w:t>
      </w:r>
      <w:r>
        <w:rPr>
          <w:spacing w:val="40"/>
          <w:sz w:val="24"/>
        </w:rPr>
        <w:t> </w:t>
      </w:r>
      <w:r>
        <w:rPr>
          <w:sz w:val="24"/>
        </w:rPr>
        <w:t>that</w:t>
      </w:r>
      <w:r>
        <w:rPr>
          <w:spacing w:val="40"/>
          <w:sz w:val="24"/>
        </w:rPr>
        <w:t> </w:t>
      </w:r>
      <w:r>
        <w:rPr>
          <w:sz w:val="24"/>
        </w:rPr>
        <w:t>they</w:t>
      </w:r>
      <w:r>
        <w:rPr>
          <w:spacing w:val="40"/>
          <w:sz w:val="24"/>
        </w:rPr>
        <w:t> </w:t>
      </w:r>
      <w:r>
        <w:rPr>
          <w:sz w:val="24"/>
        </w:rPr>
        <w:t>could</w:t>
      </w:r>
      <w:r>
        <w:rPr>
          <w:spacing w:val="40"/>
          <w:sz w:val="24"/>
        </w:rPr>
        <w:t> </w:t>
      </w:r>
      <w:r>
        <w:rPr>
          <w:sz w:val="24"/>
        </w:rPr>
        <w:t>be operated by one switch installation on the ground floor easily accessible</w:t>
      </w:r>
      <w:r>
        <w:rPr>
          <w:spacing w:val="40"/>
          <w:sz w:val="24"/>
        </w:rPr>
        <w:t> </w:t>
      </w:r>
      <w:r>
        <w:rPr>
          <w:sz w:val="24"/>
        </w:rPr>
        <w:t>to</w:t>
      </w:r>
      <w:r>
        <w:rPr>
          <w:spacing w:val="40"/>
          <w:sz w:val="24"/>
        </w:rPr>
        <w:t> </w:t>
      </w:r>
      <w:r>
        <w:rPr>
          <w:spacing w:val="10"/>
          <w:sz w:val="24"/>
        </w:rPr>
        <w:t>fire-</w:t>
      </w:r>
      <w:r>
        <w:rPr>
          <w:sz w:val="24"/>
        </w:rPr>
        <w:t>fighting</w:t>
      </w:r>
      <w:r>
        <w:rPr>
          <w:spacing w:val="40"/>
          <w:sz w:val="24"/>
        </w:rPr>
        <w:t> </w:t>
      </w:r>
      <w:r>
        <w:rPr>
          <w:sz w:val="24"/>
        </w:rPr>
        <w:t>staff</w:t>
      </w:r>
      <w:r>
        <w:rPr>
          <w:spacing w:val="40"/>
          <w:sz w:val="24"/>
        </w:rPr>
        <w:t> </w:t>
      </w:r>
      <w:r>
        <w:rPr>
          <w:sz w:val="24"/>
        </w:rPr>
        <w:t>at</w:t>
      </w:r>
      <w:r>
        <w:rPr>
          <w:spacing w:val="40"/>
          <w:sz w:val="24"/>
        </w:rPr>
        <w:t> </w:t>
      </w:r>
      <w:r>
        <w:rPr>
          <w:sz w:val="24"/>
        </w:rPr>
        <w:t>any</w:t>
      </w:r>
      <w:r>
        <w:rPr>
          <w:spacing w:val="40"/>
          <w:sz w:val="24"/>
        </w:rPr>
        <w:t> </w:t>
      </w:r>
      <w:r>
        <w:rPr>
          <w:sz w:val="24"/>
        </w:rPr>
        <w:t>time</w:t>
      </w:r>
      <w:r>
        <w:rPr>
          <w:spacing w:val="40"/>
          <w:sz w:val="24"/>
        </w:rPr>
        <w:t> </w:t>
      </w:r>
      <w:r>
        <w:rPr>
          <w:sz w:val="24"/>
        </w:rPr>
        <w:t>irrespective</w:t>
      </w:r>
      <w:r>
        <w:rPr>
          <w:spacing w:val="40"/>
          <w:sz w:val="24"/>
        </w:rPr>
        <w:t> </w:t>
      </w:r>
      <w:r>
        <w:rPr>
          <w:sz w:val="24"/>
        </w:rPr>
        <w:t>of</w:t>
      </w:r>
      <w:r>
        <w:rPr>
          <w:spacing w:val="40"/>
          <w:sz w:val="24"/>
        </w:rPr>
        <w:t> </w:t>
      </w:r>
      <w:r>
        <w:rPr>
          <w:sz w:val="24"/>
        </w:rPr>
        <w:t>the position</w:t>
      </w:r>
      <w:r>
        <w:rPr>
          <w:spacing w:val="80"/>
          <w:sz w:val="24"/>
        </w:rPr>
        <w:t> </w:t>
      </w:r>
      <w:r>
        <w:rPr>
          <w:sz w:val="24"/>
        </w:rPr>
        <w:t>of</w:t>
      </w:r>
      <w:r>
        <w:rPr>
          <w:spacing w:val="40"/>
          <w:sz w:val="24"/>
        </w:rPr>
        <w:t> </w:t>
      </w:r>
      <w:r>
        <w:rPr>
          <w:sz w:val="24"/>
        </w:rPr>
        <w:t>individual</w:t>
      </w:r>
      <w:r>
        <w:rPr>
          <w:spacing w:val="40"/>
          <w:sz w:val="24"/>
        </w:rPr>
        <w:t> </w:t>
      </w:r>
      <w:r>
        <w:rPr>
          <w:sz w:val="24"/>
        </w:rPr>
        <w:t>control</w:t>
      </w:r>
      <w:r>
        <w:rPr>
          <w:spacing w:val="40"/>
          <w:sz w:val="24"/>
        </w:rPr>
        <w:t> </w:t>
      </w:r>
      <w:r>
        <w:rPr>
          <w:sz w:val="24"/>
        </w:rPr>
        <w:t>of</w:t>
      </w:r>
      <w:r>
        <w:rPr>
          <w:spacing w:val="80"/>
          <w:sz w:val="24"/>
        </w:rPr>
        <w:t> </w:t>
      </w:r>
      <w:r>
        <w:rPr>
          <w:sz w:val="24"/>
        </w:rPr>
        <w:t>light</w:t>
      </w:r>
      <w:r>
        <w:rPr>
          <w:spacing w:val="80"/>
          <w:sz w:val="24"/>
        </w:rPr>
        <w:t> </w:t>
      </w:r>
      <w:r>
        <w:rPr>
          <w:sz w:val="24"/>
        </w:rPr>
        <w:t>points,</w:t>
      </w:r>
      <w:r>
        <w:rPr>
          <w:spacing w:val="40"/>
          <w:sz w:val="24"/>
        </w:rPr>
        <w:t> </w:t>
      </w:r>
      <w:r>
        <w:rPr>
          <w:sz w:val="24"/>
        </w:rPr>
        <w:t>if</w:t>
      </w:r>
      <w:r>
        <w:rPr>
          <w:spacing w:val="40"/>
          <w:sz w:val="24"/>
        </w:rPr>
        <w:t> </w:t>
      </w:r>
      <w:r>
        <w:rPr>
          <w:sz w:val="24"/>
        </w:rPr>
        <w:t>any.</w:t>
      </w:r>
    </w:p>
    <w:p>
      <w:pPr>
        <w:pStyle w:val="ListParagraph"/>
        <w:numPr>
          <w:ilvl w:val="0"/>
          <w:numId w:val="338"/>
        </w:numPr>
        <w:tabs>
          <w:tab w:pos="2023" w:val="left" w:leader="none"/>
          <w:tab w:pos="2026" w:val="left" w:leader="none"/>
        </w:tabs>
        <w:spacing w:line="240" w:lineRule="auto" w:before="240" w:after="0"/>
        <w:ind w:left="2026" w:right="783" w:hanging="454"/>
        <w:jc w:val="both"/>
        <w:rPr>
          <w:sz w:val="24"/>
        </w:rPr>
      </w:pPr>
      <w:r>
        <w:rPr>
          <w:sz w:val="24"/>
        </w:rPr>
        <w:t>Staircase and corridor lighting shall also be connected to alternate supply</w:t>
      </w:r>
      <w:r>
        <w:rPr>
          <w:spacing w:val="40"/>
          <w:sz w:val="24"/>
        </w:rPr>
        <w:t> </w:t>
      </w:r>
      <w:r>
        <w:rPr>
          <w:sz w:val="24"/>
        </w:rPr>
        <w:t>as</w:t>
      </w:r>
      <w:r>
        <w:rPr>
          <w:spacing w:val="40"/>
          <w:sz w:val="24"/>
        </w:rPr>
        <w:t> </w:t>
      </w:r>
      <w:r>
        <w:rPr>
          <w:sz w:val="24"/>
        </w:rPr>
        <w:t>defined</w:t>
      </w:r>
      <w:r>
        <w:rPr>
          <w:spacing w:val="40"/>
          <w:sz w:val="24"/>
        </w:rPr>
        <w:t> </w:t>
      </w:r>
      <w:r>
        <w:rPr>
          <w:sz w:val="24"/>
        </w:rPr>
        <w:t>in</w:t>
      </w:r>
      <w:r>
        <w:rPr>
          <w:spacing w:val="40"/>
          <w:sz w:val="24"/>
        </w:rPr>
        <w:t> </w:t>
      </w:r>
      <w:r>
        <w:rPr>
          <w:spacing w:val="10"/>
          <w:sz w:val="24"/>
        </w:rPr>
        <w:t>sub-</w:t>
      </w:r>
      <w:r>
        <w:rPr>
          <w:sz w:val="24"/>
        </w:rPr>
        <w:t>Regulations</w:t>
      </w:r>
      <w:r>
        <w:rPr>
          <w:spacing w:val="40"/>
          <w:sz w:val="24"/>
        </w:rPr>
        <w:t> </w:t>
      </w:r>
      <w:r>
        <w:rPr>
          <w:sz w:val="24"/>
        </w:rPr>
        <w:t>(4).</w:t>
      </w:r>
      <w:r>
        <w:rPr>
          <w:spacing w:val="40"/>
          <w:sz w:val="24"/>
        </w:rPr>
        <w:t> </w:t>
      </w:r>
      <w:r>
        <w:rPr>
          <w:sz w:val="24"/>
        </w:rPr>
        <w:t>However,</w:t>
      </w:r>
      <w:r>
        <w:rPr>
          <w:spacing w:val="40"/>
          <w:sz w:val="24"/>
        </w:rPr>
        <w:t> </w:t>
      </w:r>
      <w:r>
        <w:rPr>
          <w:sz w:val="24"/>
        </w:rPr>
        <w:t>for</w:t>
      </w:r>
      <w:r>
        <w:rPr>
          <w:spacing w:val="40"/>
          <w:sz w:val="24"/>
        </w:rPr>
        <w:t> </w:t>
      </w:r>
      <w:r>
        <w:rPr>
          <w:sz w:val="24"/>
        </w:rPr>
        <w:t>assembly</w:t>
      </w:r>
      <w:r>
        <w:rPr>
          <w:spacing w:val="40"/>
          <w:sz w:val="24"/>
        </w:rPr>
        <w:t> </w:t>
      </w:r>
      <w:r>
        <w:rPr>
          <w:sz w:val="24"/>
        </w:rPr>
        <w:t>and</w:t>
      </w:r>
      <w:r>
        <w:rPr>
          <w:spacing w:val="40"/>
          <w:sz w:val="24"/>
        </w:rPr>
        <w:t> </w:t>
      </w:r>
      <w:r>
        <w:rPr>
          <w:sz w:val="24"/>
        </w:rPr>
        <w:t>institutional</w:t>
      </w:r>
      <w:r>
        <w:rPr>
          <w:spacing w:val="40"/>
          <w:sz w:val="24"/>
        </w:rPr>
        <w:t> </w:t>
      </w:r>
      <w:r>
        <w:rPr>
          <w:sz w:val="24"/>
        </w:rPr>
        <w:t>buildings</w:t>
      </w:r>
      <w:r>
        <w:rPr>
          <w:spacing w:val="40"/>
          <w:sz w:val="24"/>
        </w:rPr>
        <w:t> </w:t>
      </w:r>
      <w:r>
        <w:rPr>
          <w:sz w:val="24"/>
        </w:rPr>
        <w:t>less</w:t>
      </w:r>
      <w:r>
        <w:rPr>
          <w:spacing w:val="40"/>
          <w:sz w:val="24"/>
        </w:rPr>
        <w:t> </w:t>
      </w:r>
      <w:r>
        <w:rPr>
          <w:sz w:val="24"/>
        </w:rPr>
        <w:t>than</w:t>
      </w:r>
      <w:r>
        <w:rPr>
          <w:spacing w:val="40"/>
          <w:sz w:val="24"/>
        </w:rPr>
        <w:t> </w:t>
      </w:r>
      <w:r>
        <w:rPr>
          <w:sz w:val="24"/>
        </w:rPr>
        <w:t>32</w:t>
      </w:r>
      <w:r>
        <w:rPr>
          <w:spacing w:val="40"/>
          <w:sz w:val="24"/>
        </w:rPr>
        <w:t> </w:t>
      </w:r>
      <w:r>
        <w:rPr>
          <w:sz w:val="24"/>
        </w:rPr>
        <w:t>m.</w:t>
      </w:r>
      <w:r>
        <w:rPr>
          <w:spacing w:val="40"/>
          <w:sz w:val="24"/>
        </w:rPr>
        <w:t> </w:t>
      </w:r>
      <w:r>
        <w:rPr>
          <w:sz w:val="24"/>
        </w:rPr>
        <w:t>when</w:t>
      </w:r>
      <w:r>
        <w:rPr>
          <w:spacing w:val="40"/>
          <w:sz w:val="24"/>
        </w:rPr>
        <w:t> </w:t>
      </w:r>
      <w:r>
        <w:rPr>
          <w:sz w:val="24"/>
        </w:rPr>
        <w:t>the</w:t>
      </w:r>
      <w:r>
        <w:rPr>
          <w:spacing w:val="40"/>
          <w:sz w:val="24"/>
        </w:rPr>
        <w:t> </w:t>
      </w:r>
      <w:r>
        <w:rPr>
          <w:sz w:val="24"/>
        </w:rPr>
        <w:t>alternate source of supply may be provided by battery continuously </w:t>
      </w:r>
      <w:r>
        <w:rPr>
          <w:spacing w:val="10"/>
          <w:sz w:val="24"/>
        </w:rPr>
        <w:t>trickle- </w:t>
      </w:r>
      <w:r>
        <w:rPr>
          <w:sz w:val="24"/>
        </w:rPr>
        <w:t>charged</w:t>
      </w:r>
      <w:r>
        <w:rPr>
          <w:spacing w:val="40"/>
          <w:sz w:val="24"/>
        </w:rPr>
        <w:t> </w:t>
      </w:r>
      <w:r>
        <w:rPr>
          <w:sz w:val="24"/>
        </w:rPr>
        <w:t>from</w:t>
      </w:r>
      <w:r>
        <w:rPr>
          <w:spacing w:val="40"/>
          <w:sz w:val="24"/>
        </w:rPr>
        <w:t> </w:t>
      </w:r>
      <w:r>
        <w:rPr>
          <w:sz w:val="24"/>
        </w:rPr>
        <w:t>the</w:t>
      </w:r>
      <w:r>
        <w:rPr>
          <w:spacing w:val="40"/>
          <w:sz w:val="24"/>
        </w:rPr>
        <w:t> </w:t>
      </w:r>
      <w:r>
        <w:rPr>
          <w:sz w:val="24"/>
        </w:rPr>
        <w:t>electric</w:t>
      </w:r>
      <w:r>
        <w:rPr>
          <w:spacing w:val="40"/>
          <w:sz w:val="24"/>
        </w:rPr>
        <w:t> </w:t>
      </w:r>
      <w:r>
        <w:rPr>
          <w:spacing w:val="9"/>
          <w:sz w:val="24"/>
        </w:rPr>
        <w:t>mains.</w:t>
      </w:r>
    </w:p>
    <w:p>
      <w:pPr>
        <w:pStyle w:val="ListParagraph"/>
        <w:numPr>
          <w:ilvl w:val="0"/>
          <w:numId w:val="338"/>
        </w:numPr>
        <w:tabs>
          <w:tab w:pos="2023" w:val="left" w:leader="none"/>
          <w:tab w:pos="2026" w:val="left" w:leader="none"/>
        </w:tabs>
        <w:spacing w:line="240" w:lineRule="auto" w:before="241" w:after="0"/>
        <w:ind w:left="2026" w:right="780" w:hanging="454"/>
        <w:jc w:val="both"/>
        <w:rPr>
          <w:sz w:val="24"/>
        </w:rPr>
      </w:pPr>
      <w:r>
        <w:rPr>
          <w:sz w:val="24"/>
        </w:rPr>
        <w:t>Double</w:t>
      </w:r>
      <w:r>
        <w:rPr>
          <w:spacing w:val="40"/>
          <w:sz w:val="24"/>
        </w:rPr>
        <w:t> </w:t>
      </w:r>
      <w:r>
        <w:rPr>
          <w:sz w:val="24"/>
        </w:rPr>
        <w:t>throw</w:t>
      </w:r>
      <w:r>
        <w:rPr>
          <w:spacing w:val="40"/>
          <w:sz w:val="24"/>
        </w:rPr>
        <w:t> </w:t>
      </w:r>
      <w:r>
        <w:rPr>
          <w:sz w:val="24"/>
        </w:rPr>
        <w:t>switches</w:t>
      </w:r>
      <w:r>
        <w:rPr>
          <w:spacing w:val="40"/>
          <w:sz w:val="24"/>
        </w:rPr>
        <w:t> </w:t>
      </w:r>
      <w:r>
        <w:rPr>
          <w:sz w:val="24"/>
        </w:rPr>
        <w:t>should</w:t>
      </w:r>
      <w:r>
        <w:rPr>
          <w:spacing w:val="40"/>
          <w:sz w:val="24"/>
        </w:rPr>
        <w:t> </w:t>
      </w:r>
      <w:r>
        <w:rPr>
          <w:sz w:val="24"/>
        </w:rPr>
        <w:t>be</w:t>
      </w:r>
      <w:r>
        <w:rPr>
          <w:spacing w:val="40"/>
          <w:sz w:val="24"/>
        </w:rPr>
        <w:t> </w:t>
      </w:r>
      <w:r>
        <w:rPr>
          <w:sz w:val="24"/>
        </w:rPr>
        <w:t>installed</w:t>
      </w:r>
      <w:r>
        <w:rPr>
          <w:spacing w:val="40"/>
          <w:sz w:val="24"/>
        </w:rPr>
        <w:t> </w:t>
      </w:r>
      <w:r>
        <w:rPr>
          <w:sz w:val="24"/>
        </w:rPr>
        <w:t>to</w:t>
      </w:r>
      <w:r>
        <w:rPr>
          <w:spacing w:val="40"/>
          <w:sz w:val="24"/>
        </w:rPr>
        <w:t> </w:t>
      </w:r>
      <w:r>
        <w:rPr>
          <w:sz w:val="24"/>
        </w:rPr>
        <w:t>ensure</w:t>
      </w:r>
      <w:r>
        <w:rPr>
          <w:spacing w:val="40"/>
          <w:sz w:val="24"/>
        </w:rPr>
        <w:t> </w:t>
      </w:r>
      <w:r>
        <w:rPr>
          <w:sz w:val="24"/>
        </w:rPr>
        <w:t>that</w:t>
      </w:r>
      <w:r>
        <w:rPr>
          <w:spacing w:val="40"/>
          <w:sz w:val="24"/>
        </w:rPr>
        <w:t> </w:t>
      </w:r>
      <w:r>
        <w:rPr>
          <w:sz w:val="24"/>
        </w:rPr>
        <w:t>the lighting</w:t>
      </w:r>
      <w:r>
        <w:rPr>
          <w:spacing w:val="40"/>
          <w:sz w:val="24"/>
        </w:rPr>
        <w:t> </w:t>
      </w:r>
      <w:r>
        <w:rPr>
          <w:sz w:val="24"/>
        </w:rPr>
        <w:t>in</w:t>
      </w:r>
      <w:r>
        <w:rPr>
          <w:spacing w:val="40"/>
          <w:sz w:val="24"/>
        </w:rPr>
        <w:t> </w:t>
      </w:r>
      <w:r>
        <w:rPr>
          <w:sz w:val="24"/>
        </w:rPr>
        <w:t>the</w:t>
      </w:r>
      <w:r>
        <w:rPr>
          <w:spacing w:val="40"/>
          <w:sz w:val="24"/>
        </w:rPr>
        <w:t> </w:t>
      </w:r>
      <w:r>
        <w:rPr>
          <w:sz w:val="24"/>
        </w:rPr>
        <w:t>staircase</w:t>
      </w:r>
      <w:r>
        <w:rPr>
          <w:spacing w:val="40"/>
          <w:sz w:val="24"/>
        </w:rPr>
        <w:t> </w:t>
      </w:r>
      <w:r>
        <w:rPr>
          <w:sz w:val="24"/>
        </w:rPr>
        <w:t>and</w:t>
      </w:r>
      <w:r>
        <w:rPr>
          <w:spacing w:val="40"/>
          <w:sz w:val="24"/>
        </w:rPr>
        <w:t> </w:t>
      </w:r>
      <w:r>
        <w:rPr>
          <w:sz w:val="24"/>
        </w:rPr>
        <w:t>the</w:t>
      </w:r>
      <w:r>
        <w:rPr>
          <w:spacing w:val="40"/>
          <w:sz w:val="24"/>
        </w:rPr>
        <w:t> </w:t>
      </w:r>
      <w:r>
        <w:rPr>
          <w:sz w:val="24"/>
        </w:rPr>
        <w:t>corridor</w:t>
      </w:r>
      <w:r>
        <w:rPr>
          <w:spacing w:val="40"/>
          <w:sz w:val="24"/>
        </w:rPr>
        <w:t> </w:t>
      </w:r>
      <w:r>
        <w:rPr>
          <w:sz w:val="24"/>
        </w:rPr>
        <w:t>do</w:t>
      </w:r>
      <w:r>
        <w:rPr>
          <w:spacing w:val="40"/>
          <w:sz w:val="24"/>
        </w:rPr>
        <w:t> </w:t>
      </w:r>
      <w:r>
        <w:rPr>
          <w:sz w:val="24"/>
        </w:rPr>
        <w:t>not</w:t>
      </w:r>
      <w:r>
        <w:rPr>
          <w:spacing w:val="40"/>
          <w:sz w:val="24"/>
        </w:rPr>
        <w:t> </w:t>
      </w:r>
      <w:r>
        <w:rPr>
          <w:sz w:val="24"/>
        </w:rPr>
        <w:t>get</w:t>
      </w:r>
      <w:r>
        <w:rPr>
          <w:spacing w:val="40"/>
          <w:sz w:val="24"/>
        </w:rPr>
        <w:t> </w:t>
      </w:r>
      <w:r>
        <w:rPr>
          <w:sz w:val="24"/>
        </w:rPr>
        <w:t>connected</w:t>
      </w:r>
      <w:r>
        <w:rPr>
          <w:spacing w:val="40"/>
          <w:sz w:val="24"/>
        </w:rPr>
        <w:t> </w:t>
      </w:r>
      <w:r>
        <w:rPr>
          <w:sz w:val="24"/>
        </w:rPr>
        <w:t>to two</w:t>
      </w:r>
      <w:r>
        <w:rPr>
          <w:spacing w:val="40"/>
          <w:sz w:val="24"/>
        </w:rPr>
        <w:t> </w:t>
      </w:r>
      <w:r>
        <w:rPr>
          <w:sz w:val="24"/>
        </w:rPr>
        <w:t>sources</w:t>
      </w:r>
      <w:r>
        <w:rPr>
          <w:spacing w:val="40"/>
          <w:sz w:val="24"/>
        </w:rPr>
        <w:t> </w:t>
      </w:r>
      <w:r>
        <w:rPr>
          <w:sz w:val="24"/>
        </w:rPr>
        <w:t>of</w:t>
      </w:r>
      <w:r>
        <w:rPr>
          <w:spacing w:val="40"/>
          <w:sz w:val="24"/>
        </w:rPr>
        <w:t> </w:t>
      </w:r>
      <w:r>
        <w:rPr>
          <w:sz w:val="24"/>
        </w:rPr>
        <w:t>supply</w:t>
      </w:r>
      <w:r>
        <w:rPr>
          <w:spacing w:val="40"/>
          <w:sz w:val="24"/>
        </w:rPr>
        <w:t> </w:t>
      </w:r>
      <w:r>
        <w:rPr>
          <w:sz w:val="24"/>
        </w:rPr>
        <w:t>simultaneously.</w:t>
      </w:r>
      <w:r>
        <w:rPr>
          <w:spacing w:val="80"/>
          <w:w w:val="150"/>
          <w:sz w:val="24"/>
        </w:rPr>
        <w:t> </w:t>
      </w:r>
      <w:r>
        <w:rPr>
          <w:sz w:val="24"/>
        </w:rPr>
        <w:t>A</w:t>
      </w:r>
      <w:r>
        <w:rPr>
          <w:spacing w:val="40"/>
          <w:sz w:val="24"/>
        </w:rPr>
        <w:t> </w:t>
      </w:r>
      <w:r>
        <w:rPr>
          <w:sz w:val="24"/>
        </w:rPr>
        <w:t>double</w:t>
      </w:r>
      <w:r>
        <w:rPr>
          <w:spacing w:val="40"/>
          <w:sz w:val="24"/>
        </w:rPr>
        <w:t> </w:t>
      </w:r>
      <w:r>
        <w:rPr>
          <w:sz w:val="24"/>
        </w:rPr>
        <w:t>throw</w:t>
      </w:r>
      <w:r>
        <w:rPr>
          <w:spacing w:val="40"/>
          <w:sz w:val="24"/>
        </w:rPr>
        <w:t> </w:t>
      </w:r>
      <w:r>
        <w:rPr>
          <w:sz w:val="24"/>
        </w:rPr>
        <w:t>switch</w:t>
      </w:r>
      <w:r>
        <w:rPr>
          <w:spacing w:val="40"/>
          <w:sz w:val="24"/>
        </w:rPr>
        <w:t> </w:t>
      </w:r>
      <w:r>
        <w:rPr>
          <w:sz w:val="24"/>
        </w:rPr>
        <w:t>shall be</w:t>
      </w:r>
      <w:r>
        <w:rPr>
          <w:spacing w:val="40"/>
          <w:sz w:val="24"/>
        </w:rPr>
        <w:t> </w:t>
      </w:r>
      <w:r>
        <w:rPr>
          <w:sz w:val="24"/>
        </w:rPr>
        <w:t>installed</w:t>
      </w:r>
      <w:r>
        <w:rPr>
          <w:spacing w:val="40"/>
          <w:sz w:val="24"/>
        </w:rPr>
        <w:t> </w:t>
      </w:r>
      <w:r>
        <w:rPr>
          <w:sz w:val="24"/>
        </w:rPr>
        <w:t>in</w:t>
      </w:r>
      <w:r>
        <w:rPr>
          <w:spacing w:val="40"/>
          <w:sz w:val="24"/>
        </w:rPr>
        <w:t> </w:t>
      </w:r>
      <w:r>
        <w:rPr>
          <w:sz w:val="24"/>
        </w:rPr>
        <w:t>the</w:t>
      </w:r>
      <w:r>
        <w:rPr>
          <w:spacing w:val="40"/>
          <w:sz w:val="24"/>
        </w:rPr>
        <w:t> </w:t>
      </w:r>
      <w:r>
        <w:rPr>
          <w:sz w:val="24"/>
        </w:rPr>
        <w:t>service</w:t>
      </w:r>
      <w:r>
        <w:rPr>
          <w:spacing w:val="40"/>
          <w:sz w:val="24"/>
        </w:rPr>
        <w:t> </w:t>
      </w:r>
      <w:r>
        <w:rPr>
          <w:sz w:val="24"/>
        </w:rPr>
        <w:t>room</w:t>
      </w:r>
      <w:r>
        <w:rPr>
          <w:spacing w:val="40"/>
          <w:sz w:val="24"/>
        </w:rPr>
        <w:t> </w:t>
      </w:r>
      <w:r>
        <w:rPr>
          <w:sz w:val="24"/>
        </w:rPr>
        <w:t>to</w:t>
      </w:r>
      <w:r>
        <w:rPr>
          <w:spacing w:val="40"/>
          <w:sz w:val="24"/>
        </w:rPr>
        <w:t> </w:t>
      </w:r>
      <w:r>
        <w:rPr>
          <w:sz w:val="24"/>
        </w:rPr>
        <w:t>terminate</w:t>
      </w:r>
      <w:r>
        <w:rPr>
          <w:spacing w:val="40"/>
          <w:sz w:val="24"/>
        </w:rPr>
        <w:t> </w:t>
      </w:r>
      <w:r>
        <w:rPr>
          <w:sz w:val="24"/>
        </w:rPr>
        <w:t>the</w:t>
      </w:r>
      <w:r>
        <w:rPr>
          <w:spacing w:val="40"/>
          <w:sz w:val="24"/>
        </w:rPr>
        <w:t> </w:t>
      </w:r>
      <w:r>
        <w:rPr>
          <w:spacing w:val="10"/>
          <w:sz w:val="24"/>
        </w:rPr>
        <w:t>stand-by-</w:t>
      </w:r>
      <w:r>
        <w:rPr>
          <w:sz w:val="24"/>
        </w:rPr>
        <w:t>supply.</w:t>
      </w:r>
    </w:p>
    <w:p>
      <w:pPr>
        <w:pStyle w:val="ListParagraph"/>
        <w:numPr>
          <w:ilvl w:val="0"/>
          <w:numId w:val="338"/>
        </w:numPr>
        <w:tabs>
          <w:tab w:pos="2023" w:val="left" w:leader="none"/>
          <w:tab w:pos="2026" w:val="left" w:leader="none"/>
        </w:tabs>
        <w:spacing w:line="240" w:lineRule="auto" w:before="238" w:after="0"/>
        <w:ind w:left="2026" w:right="780" w:hanging="454"/>
        <w:jc w:val="both"/>
        <w:rPr>
          <w:sz w:val="24"/>
        </w:rPr>
      </w:pPr>
      <w:r>
        <w:rPr>
          <w:sz w:val="24"/>
        </w:rPr>
        <w:t>Emergency lights shall be provided in the staircase/corridors </w:t>
      </w:r>
      <w:r>
        <w:rPr>
          <w:spacing w:val="9"/>
          <w:sz w:val="24"/>
        </w:rPr>
        <w:t>for </w:t>
      </w:r>
      <w:r>
        <w:rPr>
          <w:sz w:val="24"/>
        </w:rPr>
        <w:t>multistoried</w:t>
      </w:r>
      <w:r>
        <w:rPr>
          <w:spacing w:val="40"/>
          <w:sz w:val="24"/>
        </w:rPr>
        <w:t> </w:t>
      </w:r>
      <w:r>
        <w:rPr>
          <w:sz w:val="24"/>
        </w:rPr>
        <w:t>high</w:t>
      </w:r>
      <w:r>
        <w:rPr>
          <w:spacing w:val="40"/>
          <w:sz w:val="24"/>
        </w:rPr>
        <w:t> </w:t>
      </w:r>
      <w:r>
        <w:rPr>
          <w:sz w:val="24"/>
        </w:rPr>
        <w:t>rise</w:t>
      </w:r>
      <w:r>
        <w:rPr>
          <w:spacing w:val="40"/>
          <w:sz w:val="24"/>
        </w:rPr>
        <w:t> </w:t>
      </w:r>
      <w:r>
        <w:rPr>
          <w:sz w:val="24"/>
        </w:rPr>
        <w:t>and</w:t>
      </w:r>
      <w:r>
        <w:rPr>
          <w:spacing w:val="40"/>
          <w:sz w:val="24"/>
        </w:rPr>
        <w:t> </w:t>
      </w:r>
      <w:r>
        <w:rPr>
          <w:sz w:val="24"/>
        </w:rPr>
        <w:t>special</w:t>
      </w:r>
      <w:r>
        <w:rPr>
          <w:spacing w:val="40"/>
          <w:sz w:val="24"/>
        </w:rPr>
        <w:t> </w:t>
      </w:r>
      <w:r>
        <w:rPr>
          <w:spacing w:val="9"/>
          <w:sz w:val="24"/>
        </w:rPr>
        <w:t>buildings.</w:t>
      </w:r>
    </w:p>
    <w:p>
      <w:pPr>
        <w:pStyle w:val="BodyText"/>
        <w:jc w:val="left"/>
      </w:pPr>
    </w:p>
    <w:p>
      <w:pPr>
        <w:pStyle w:val="BodyText"/>
        <w:spacing w:before="198"/>
        <w:jc w:val="left"/>
      </w:pPr>
    </w:p>
    <w:p>
      <w:pPr>
        <w:pStyle w:val="Heading6"/>
        <w:numPr>
          <w:ilvl w:val="1"/>
          <w:numId w:val="335"/>
        </w:numPr>
        <w:tabs>
          <w:tab w:pos="1570" w:val="left" w:leader="none"/>
        </w:tabs>
        <w:spacing w:line="240" w:lineRule="auto" w:before="0" w:after="0"/>
        <w:ind w:left="1570" w:right="0" w:hanging="452"/>
        <w:jc w:val="left"/>
      </w:pPr>
      <w:r>
        <w:rPr/>
        <w:t>Alternate</w:t>
      </w:r>
      <w:r>
        <w:rPr>
          <w:spacing w:val="68"/>
        </w:rPr>
        <w:t> </w:t>
      </w:r>
      <w:r>
        <w:rPr/>
        <w:t>source</w:t>
      </w:r>
      <w:r>
        <w:rPr>
          <w:spacing w:val="70"/>
        </w:rPr>
        <w:t> </w:t>
      </w:r>
      <w:r>
        <w:rPr/>
        <w:t>of</w:t>
      </w:r>
      <w:r>
        <w:rPr>
          <w:spacing w:val="67"/>
        </w:rPr>
        <w:t> </w:t>
      </w:r>
      <w:r>
        <w:rPr/>
        <w:t>electric</w:t>
      </w:r>
      <w:r>
        <w:rPr>
          <w:spacing w:val="67"/>
        </w:rPr>
        <w:t> </w:t>
      </w:r>
      <w:r>
        <w:rPr>
          <w:spacing w:val="-2"/>
        </w:rPr>
        <w:t>supply</w:t>
      </w:r>
    </w:p>
    <w:p>
      <w:pPr>
        <w:pStyle w:val="BodyText"/>
        <w:spacing w:before="242"/>
        <w:ind w:left="1572" w:right="787"/>
      </w:pPr>
      <w:r>
        <w:rPr/>
        <w:t>A </w:t>
      </w:r>
      <w:r>
        <w:rPr>
          <w:spacing w:val="9"/>
        </w:rPr>
        <w:t>stand-</w:t>
      </w:r>
      <w:r>
        <w:rPr/>
        <w:t>by electric generator shall be installed to supply power to staircase</w:t>
      </w:r>
      <w:r>
        <w:rPr>
          <w:spacing w:val="40"/>
        </w:rPr>
        <w:t> </w:t>
      </w:r>
      <w:r>
        <w:rPr/>
        <w:t>and</w:t>
      </w:r>
      <w:r>
        <w:rPr>
          <w:spacing w:val="40"/>
        </w:rPr>
        <w:t> </w:t>
      </w:r>
      <w:r>
        <w:rPr/>
        <w:t>corridor</w:t>
      </w:r>
      <w:r>
        <w:rPr>
          <w:spacing w:val="40"/>
        </w:rPr>
        <w:t> </w:t>
      </w:r>
      <w:r>
        <w:rPr/>
        <w:t>lighting</w:t>
      </w:r>
      <w:r>
        <w:rPr>
          <w:spacing w:val="40"/>
        </w:rPr>
        <w:t> </w:t>
      </w:r>
      <w:r>
        <w:rPr/>
        <w:t>circuits,</w:t>
      </w:r>
      <w:r>
        <w:rPr>
          <w:spacing w:val="40"/>
        </w:rPr>
        <w:t> </w:t>
      </w:r>
      <w:r>
        <w:rPr/>
        <w:t>fire</w:t>
      </w:r>
      <w:r>
        <w:rPr>
          <w:spacing w:val="40"/>
        </w:rPr>
        <w:t> </w:t>
      </w:r>
      <w:r>
        <w:rPr/>
        <w:t>lifts,</w:t>
      </w:r>
      <w:r>
        <w:rPr>
          <w:spacing w:val="40"/>
        </w:rPr>
        <w:t> </w:t>
      </w:r>
      <w:r>
        <w:rPr/>
        <w:t>the</w:t>
      </w:r>
      <w:r>
        <w:rPr>
          <w:spacing w:val="40"/>
        </w:rPr>
        <w:t> </w:t>
      </w:r>
      <w:r>
        <w:rPr>
          <w:spacing w:val="9"/>
        </w:rPr>
        <w:t>stand-</w:t>
      </w:r>
      <w:r>
        <w:rPr/>
        <w:t>by</w:t>
      </w:r>
      <w:r>
        <w:rPr>
          <w:spacing w:val="40"/>
        </w:rPr>
        <w:t> </w:t>
      </w:r>
      <w:r>
        <w:rPr/>
        <w:t>fire pump, pressurization fans and blowers, smoke extraction and damper systems</w:t>
      </w:r>
      <w:r>
        <w:rPr>
          <w:spacing w:val="40"/>
        </w:rPr>
        <w:t> </w:t>
      </w:r>
      <w:r>
        <w:rPr/>
        <w:t>in</w:t>
      </w:r>
      <w:r>
        <w:rPr>
          <w:spacing w:val="40"/>
        </w:rPr>
        <w:t> </w:t>
      </w:r>
      <w:r>
        <w:rPr/>
        <w:t>case</w:t>
      </w:r>
      <w:r>
        <w:rPr>
          <w:spacing w:val="40"/>
        </w:rPr>
        <w:t> </w:t>
      </w:r>
      <w:r>
        <w:rPr/>
        <w:t>of</w:t>
      </w:r>
      <w:r>
        <w:rPr>
          <w:spacing w:val="40"/>
        </w:rPr>
        <w:t> </w:t>
      </w:r>
      <w:r>
        <w:rPr/>
        <w:t>failure</w:t>
      </w:r>
      <w:r>
        <w:rPr>
          <w:spacing w:val="40"/>
        </w:rPr>
        <w:t> </w:t>
      </w:r>
      <w:r>
        <w:rPr/>
        <w:t>of</w:t>
      </w:r>
      <w:r>
        <w:rPr>
          <w:spacing w:val="40"/>
        </w:rPr>
        <w:t> </w:t>
      </w:r>
      <w:r>
        <w:rPr/>
        <w:t>normal</w:t>
      </w:r>
      <w:r>
        <w:rPr>
          <w:spacing w:val="40"/>
        </w:rPr>
        <w:t> </w:t>
      </w:r>
      <w:r>
        <w:rPr/>
        <w:t>electric</w:t>
      </w:r>
      <w:r>
        <w:rPr>
          <w:spacing w:val="40"/>
        </w:rPr>
        <w:t> </w:t>
      </w:r>
      <w:r>
        <w:rPr/>
        <w:t>supply.</w:t>
      </w:r>
      <w:r>
        <w:rPr>
          <w:spacing w:val="40"/>
        </w:rPr>
        <w:t>  </w:t>
      </w:r>
      <w:r>
        <w:rPr/>
        <w:t>The</w:t>
      </w:r>
      <w:r>
        <w:rPr>
          <w:spacing w:val="40"/>
        </w:rPr>
        <w:t> </w:t>
      </w:r>
      <w:r>
        <w:rPr/>
        <w:t>generator shall</w:t>
      </w:r>
      <w:r>
        <w:rPr>
          <w:spacing w:val="40"/>
        </w:rPr>
        <w:t> </w:t>
      </w:r>
      <w:r>
        <w:rPr/>
        <w:t>be</w:t>
      </w:r>
      <w:r>
        <w:rPr>
          <w:spacing w:val="40"/>
        </w:rPr>
        <w:t> </w:t>
      </w:r>
      <w:r>
        <w:rPr/>
        <w:t>capable</w:t>
      </w:r>
      <w:r>
        <w:rPr>
          <w:spacing w:val="40"/>
        </w:rPr>
        <w:t> </w:t>
      </w:r>
      <w:r>
        <w:rPr/>
        <w:t>of</w:t>
      </w:r>
      <w:r>
        <w:rPr>
          <w:spacing w:val="40"/>
        </w:rPr>
        <w:t> </w:t>
      </w:r>
      <w:r>
        <w:rPr/>
        <w:t>taking</w:t>
      </w:r>
      <w:r>
        <w:rPr>
          <w:spacing w:val="40"/>
        </w:rPr>
        <w:t> </w:t>
      </w:r>
      <w:r>
        <w:rPr/>
        <w:t>starting</w:t>
      </w:r>
      <w:r>
        <w:rPr>
          <w:spacing w:val="40"/>
        </w:rPr>
        <w:t> </w:t>
      </w:r>
      <w:r>
        <w:rPr/>
        <w:t>current</w:t>
      </w:r>
      <w:r>
        <w:rPr>
          <w:spacing w:val="40"/>
        </w:rPr>
        <w:t> </w:t>
      </w:r>
      <w:r>
        <w:rPr/>
        <w:t>of</w:t>
      </w:r>
      <w:r>
        <w:rPr>
          <w:spacing w:val="40"/>
        </w:rPr>
        <w:t> </w:t>
      </w:r>
      <w:r>
        <w:rPr/>
        <w:t>all</w:t>
      </w:r>
      <w:r>
        <w:rPr>
          <w:spacing w:val="40"/>
        </w:rPr>
        <w:t> </w:t>
      </w:r>
      <w:r>
        <w:rPr/>
        <w:t>the</w:t>
      </w:r>
      <w:r>
        <w:rPr>
          <w:spacing w:val="40"/>
        </w:rPr>
        <w:t> </w:t>
      </w:r>
      <w:r>
        <w:rPr/>
        <w:t>machine</w:t>
      </w:r>
      <w:r>
        <w:rPr>
          <w:spacing w:val="40"/>
        </w:rPr>
        <w:t> </w:t>
      </w:r>
      <w:r>
        <w:rPr/>
        <w:t>and circuits</w:t>
      </w:r>
      <w:r>
        <w:rPr>
          <w:spacing w:val="40"/>
        </w:rPr>
        <w:t> </w:t>
      </w:r>
      <w:r>
        <w:rPr/>
        <w:t>stated</w:t>
      </w:r>
      <w:r>
        <w:rPr>
          <w:spacing w:val="40"/>
        </w:rPr>
        <w:t> </w:t>
      </w:r>
      <w:r>
        <w:rPr/>
        <w:t>above</w:t>
      </w:r>
      <w:r>
        <w:rPr>
          <w:spacing w:val="40"/>
        </w:rPr>
        <w:t> </w:t>
      </w:r>
      <w:r>
        <w:rPr/>
        <w:t>simultaneously.</w:t>
      </w:r>
      <w:r>
        <w:rPr>
          <w:spacing w:val="40"/>
        </w:rPr>
        <w:t>  </w:t>
      </w:r>
      <w:r>
        <w:rPr/>
        <w:t>If</w:t>
      </w:r>
      <w:r>
        <w:rPr>
          <w:spacing w:val="40"/>
        </w:rPr>
        <w:t> </w:t>
      </w:r>
      <w:r>
        <w:rPr/>
        <w:t>the</w:t>
      </w:r>
      <w:r>
        <w:rPr>
          <w:spacing w:val="40"/>
        </w:rPr>
        <w:t> </w:t>
      </w:r>
      <w:r>
        <w:rPr>
          <w:spacing w:val="10"/>
        </w:rPr>
        <w:t>stand-</w:t>
      </w:r>
      <w:r>
        <w:rPr/>
        <w:t>by</w:t>
      </w:r>
      <w:r>
        <w:rPr>
          <w:spacing w:val="40"/>
        </w:rPr>
        <w:t> </w:t>
      </w:r>
      <w:r>
        <w:rPr/>
        <w:t>pumps</w:t>
      </w:r>
      <w:r>
        <w:rPr>
          <w:spacing w:val="40"/>
        </w:rPr>
        <w:t> </w:t>
      </w:r>
      <w:r>
        <w:rPr/>
        <w:t>are</w:t>
      </w:r>
      <w:r>
        <w:rPr>
          <w:spacing w:val="80"/>
        </w:rPr>
        <w:t> </w:t>
      </w:r>
      <w:r>
        <w:rPr/>
        <w:t>driven</w:t>
      </w:r>
      <w:r>
        <w:rPr>
          <w:spacing w:val="80"/>
        </w:rPr>
        <w:t> </w:t>
      </w:r>
      <w:r>
        <w:rPr/>
        <w:t>by</w:t>
      </w:r>
      <w:r>
        <w:rPr>
          <w:spacing w:val="80"/>
        </w:rPr>
        <w:t> </w:t>
      </w:r>
      <w:r>
        <w:rPr/>
        <w:t>diesel</w:t>
      </w:r>
      <w:r>
        <w:rPr>
          <w:spacing w:val="80"/>
        </w:rPr>
        <w:t> </w:t>
      </w:r>
      <w:r>
        <w:rPr/>
        <w:t>engine,</w:t>
      </w:r>
      <w:r>
        <w:rPr>
          <w:spacing w:val="80"/>
        </w:rPr>
        <w:t> </w:t>
      </w:r>
      <w:r>
        <w:rPr/>
        <w:t>the</w:t>
      </w:r>
      <w:r>
        <w:rPr>
          <w:spacing w:val="80"/>
        </w:rPr>
        <w:t> </w:t>
      </w:r>
      <w:r>
        <w:rPr/>
        <w:t>generator</w:t>
      </w:r>
      <w:r>
        <w:rPr>
          <w:spacing w:val="80"/>
        </w:rPr>
        <w:t> </w:t>
      </w:r>
      <w:r>
        <w:rPr/>
        <w:t>supply</w:t>
      </w:r>
      <w:r>
        <w:rPr>
          <w:spacing w:val="80"/>
        </w:rPr>
        <w:t> </w:t>
      </w:r>
      <w:r>
        <w:rPr/>
        <w:t>need</w:t>
      </w:r>
      <w:r>
        <w:rPr>
          <w:spacing w:val="80"/>
        </w:rPr>
        <w:t> </w:t>
      </w:r>
      <w:r>
        <w:rPr/>
        <w:t>not</w:t>
      </w:r>
      <w:r>
        <w:rPr>
          <w:spacing w:val="80"/>
        </w:rPr>
        <w:t> </w:t>
      </w:r>
      <w:r>
        <w:rPr/>
        <w:t>be</w:t>
      </w:r>
      <w:r>
        <w:rPr>
          <w:spacing w:val="80"/>
        </w:rPr>
        <w:t> </w:t>
      </w:r>
      <w:r>
        <w:rPr/>
        <w:t>connected to the stand by pump.</w:t>
      </w:r>
    </w:p>
    <w:p>
      <w:pPr>
        <w:pStyle w:val="Heading6"/>
        <w:numPr>
          <w:ilvl w:val="1"/>
          <w:numId w:val="335"/>
        </w:numPr>
        <w:tabs>
          <w:tab w:pos="1570" w:val="left" w:leader="none"/>
        </w:tabs>
        <w:spacing w:line="240" w:lineRule="auto" w:before="238" w:after="0"/>
        <w:ind w:left="1570" w:right="0" w:hanging="452"/>
        <w:jc w:val="left"/>
      </w:pPr>
      <w:r>
        <w:rPr>
          <w:spacing w:val="7"/>
        </w:rPr>
        <w:t>Transformer</w:t>
      </w:r>
    </w:p>
    <w:p>
      <w:pPr>
        <w:pStyle w:val="ListParagraph"/>
        <w:numPr>
          <w:ilvl w:val="0"/>
          <w:numId w:val="339"/>
        </w:numPr>
        <w:tabs>
          <w:tab w:pos="1977" w:val="left" w:leader="none"/>
          <w:tab w:pos="2026" w:val="left" w:leader="none"/>
        </w:tabs>
        <w:spacing w:line="240" w:lineRule="auto" w:before="241" w:after="0"/>
        <w:ind w:left="2026" w:right="783" w:hanging="454"/>
        <w:jc w:val="both"/>
        <w:rPr>
          <w:sz w:val="24"/>
        </w:rPr>
      </w:pPr>
      <w:r>
        <w:rPr>
          <w:sz w:val="24"/>
        </w:rPr>
        <w:t>If</w:t>
      </w:r>
      <w:r>
        <w:rPr>
          <w:spacing w:val="76"/>
          <w:sz w:val="24"/>
        </w:rPr>
        <w:t> </w:t>
      </w:r>
      <w:r>
        <w:rPr>
          <w:sz w:val="24"/>
        </w:rPr>
        <w:t>transformers</w:t>
      </w:r>
      <w:r>
        <w:rPr>
          <w:spacing w:val="80"/>
          <w:sz w:val="24"/>
        </w:rPr>
        <w:t> </w:t>
      </w:r>
      <w:r>
        <w:rPr>
          <w:sz w:val="24"/>
        </w:rPr>
        <w:t>are</w:t>
      </w:r>
      <w:r>
        <w:rPr>
          <w:spacing w:val="76"/>
          <w:sz w:val="24"/>
        </w:rPr>
        <w:t> </w:t>
      </w:r>
      <w:r>
        <w:rPr>
          <w:sz w:val="24"/>
        </w:rPr>
        <w:t>housed</w:t>
      </w:r>
      <w:r>
        <w:rPr>
          <w:spacing w:val="79"/>
          <w:sz w:val="24"/>
        </w:rPr>
        <w:t> </w:t>
      </w:r>
      <w:r>
        <w:rPr>
          <w:sz w:val="24"/>
        </w:rPr>
        <w:t>in</w:t>
      </w:r>
      <w:r>
        <w:rPr>
          <w:spacing w:val="79"/>
          <w:sz w:val="24"/>
        </w:rPr>
        <w:t> </w:t>
      </w:r>
      <w:r>
        <w:rPr>
          <w:sz w:val="24"/>
        </w:rPr>
        <w:t>basement,</w:t>
      </w:r>
      <w:r>
        <w:rPr>
          <w:spacing w:val="79"/>
          <w:sz w:val="24"/>
        </w:rPr>
        <w:t> </w:t>
      </w:r>
      <w:r>
        <w:rPr>
          <w:sz w:val="24"/>
        </w:rPr>
        <w:t>they</w:t>
      </w:r>
      <w:r>
        <w:rPr>
          <w:spacing w:val="79"/>
          <w:sz w:val="24"/>
        </w:rPr>
        <w:t> </w:t>
      </w:r>
      <w:r>
        <w:rPr>
          <w:sz w:val="24"/>
        </w:rPr>
        <w:t>shall</w:t>
      </w:r>
      <w:r>
        <w:rPr>
          <w:spacing w:val="76"/>
          <w:sz w:val="24"/>
        </w:rPr>
        <w:t> </w:t>
      </w:r>
      <w:r>
        <w:rPr>
          <w:sz w:val="24"/>
        </w:rPr>
        <w:t>be</w:t>
      </w:r>
      <w:r>
        <w:rPr>
          <w:spacing w:val="76"/>
          <w:sz w:val="24"/>
        </w:rPr>
        <w:t> </w:t>
      </w:r>
      <w:r>
        <w:rPr>
          <w:sz w:val="24"/>
        </w:rPr>
        <w:t>necessarily in the first basement in a separate fire resisting room of four house rating,</w:t>
      </w:r>
      <w:r>
        <w:rPr>
          <w:spacing w:val="40"/>
          <w:sz w:val="24"/>
        </w:rPr>
        <w:t> </w:t>
      </w:r>
      <w:r>
        <w:rPr>
          <w:sz w:val="24"/>
        </w:rPr>
        <w:t>at</w:t>
      </w:r>
      <w:r>
        <w:rPr>
          <w:spacing w:val="40"/>
          <w:sz w:val="24"/>
        </w:rPr>
        <w:t> </w:t>
      </w:r>
      <w:r>
        <w:rPr>
          <w:sz w:val="24"/>
        </w:rPr>
        <w:t>the</w:t>
      </w:r>
      <w:r>
        <w:rPr>
          <w:spacing w:val="40"/>
          <w:sz w:val="24"/>
        </w:rPr>
        <w:t> </w:t>
      </w:r>
      <w:r>
        <w:rPr>
          <w:sz w:val="24"/>
        </w:rPr>
        <w:t>periphery</w:t>
      </w:r>
      <w:r>
        <w:rPr>
          <w:spacing w:val="40"/>
          <w:sz w:val="24"/>
        </w:rPr>
        <w:t> </w:t>
      </w:r>
      <w:r>
        <w:rPr>
          <w:sz w:val="24"/>
        </w:rPr>
        <w:t>of</w:t>
      </w:r>
      <w:r>
        <w:rPr>
          <w:spacing w:val="40"/>
          <w:sz w:val="24"/>
        </w:rPr>
        <w:t> </w:t>
      </w:r>
      <w:r>
        <w:rPr>
          <w:sz w:val="24"/>
        </w:rPr>
        <w:t>the</w:t>
      </w:r>
      <w:r>
        <w:rPr>
          <w:spacing w:val="40"/>
          <w:sz w:val="24"/>
        </w:rPr>
        <w:t> </w:t>
      </w:r>
      <w:r>
        <w:rPr>
          <w:sz w:val="24"/>
        </w:rPr>
        <w:t>basement.</w:t>
      </w:r>
      <w:r>
        <w:rPr>
          <w:spacing w:val="80"/>
          <w:sz w:val="24"/>
        </w:rPr>
        <w:t> </w:t>
      </w:r>
      <w:r>
        <w:rPr>
          <w:sz w:val="24"/>
        </w:rPr>
        <w:t>The</w:t>
      </w:r>
      <w:r>
        <w:rPr>
          <w:spacing w:val="40"/>
          <w:sz w:val="24"/>
        </w:rPr>
        <w:t> </w:t>
      </w:r>
      <w:r>
        <w:rPr>
          <w:sz w:val="24"/>
        </w:rPr>
        <w:t>rooms</w:t>
      </w:r>
      <w:r>
        <w:rPr>
          <w:spacing w:val="40"/>
          <w:sz w:val="24"/>
        </w:rPr>
        <w:t> </w:t>
      </w:r>
      <w:r>
        <w:rPr>
          <w:sz w:val="24"/>
        </w:rPr>
        <w:t>shall</w:t>
      </w:r>
      <w:r>
        <w:rPr>
          <w:spacing w:val="40"/>
          <w:sz w:val="24"/>
        </w:rPr>
        <w:t> </w:t>
      </w:r>
      <w:r>
        <w:rPr>
          <w:sz w:val="24"/>
        </w:rPr>
        <w:t>be protected</w:t>
      </w:r>
      <w:r>
        <w:rPr>
          <w:spacing w:val="40"/>
          <w:sz w:val="24"/>
        </w:rPr>
        <w:t> </w:t>
      </w:r>
      <w:r>
        <w:rPr>
          <w:sz w:val="24"/>
        </w:rPr>
        <w:t>by</w:t>
      </w:r>
      <w:r>
        <w:rPr>
          <w:spacing w:val="40"/>
          <w:sz w:val="24"/>
        </w:rPr>
        <w:t> </w:t>
      </w:r>
      <w:r>
        <w:rPr>
          <w:sz w:val="24"/>
        </w:rPr>
        <w:t>carbon</w:t>
      </w:r>
      <w:r>
        <w:rPr>
          <w:spacing w:val="40"/>
          <w:sz w:val="24"/>
        </w:rPr>
        <w:t> </w:t>
      </w:r>
      <w:r>
        <w:rPr>
          <w:sz w:val="24"/>
        </w:rPr>
        <w:t>dioxide</w:t>
      </w:r>
      <w:r>
        <w:rPr>
          <w:spacing w:val="40"/>
          <w:sz w:val="24"/>
        </w:rPr>
        <w:t> </w:t>
      </w:r>
      <w:r>
        <w:rPr>
          <w:sz w:val="24"/>
        </w:rPr>
        <w:t>or</w:t>
      </w:r>
      <w:r>
        <w:rPr>
          <w:spacing w:val="40"/>
          <w:sz w:val="24"/>
        </w:rPr>
        <w:t> </w:t>
      </w:r>
      <w:r>
        <w:rPr>
          <w:sz w:val="24"/>
        </w:rPr>
        <w:t>BCF</w:t>
      </w:r>
      <w:r>
        <w:rPr>
          <w:spacing w:val="40"/>
          <w:sz w:val="24"/>
        </w:rPr>
        <w:t> </w:t>
      </w:r>
      <w:r>
        <w:rPr>
          <w:sz w:val="24"/>
        </w:rPr>
        <w:t>fixed</w:t>
      </w:r>
      <w:r>
        <w:rPr>
          <w:spacing w:val="40"/>
          <w:sz w:val="24"/>
        </w:rPr>
        <w:t> </w:t>
      </w:r>
      <w:r>
        <w:rPr>
          <w:sz w:val="24"/>
        </w:rPr>
        <w:t>installation</w:t>
      </w:r>
      <w:r>
        <w:rPr>
          <w:spacing w:val="40"/>
          <w:sz w:val="24"/>
        </w:rPr>
        <w:t> </w:t>
      </w:r>
      <w:r>
        <w:rPr>
          <w:sz w:val="24"/>
        </w:rPr>
        <w:t>system</w:t>
      </w:r>
      <w:r>
        <w:rPr>
          <w:spacing w:val="40"/>
          <w:sz w:val="24"/>
        </w:rPr>
        <w:t> </w:t>
      </w:r>
      <w:r>
        <w:rPr>
          <w:sz w:val="24"/>
        </w:rPr>
        <w:t>to protect</w:t>
      </w:r>
      <w:r>
        <w:rPr>
          <w:spacing w:val="40"/>
          <w:sz w:val="24"/>
        </w:rPr>
        <w:t> </w:t>
      </w:r>
      <w:r>
        <w:rPr>
          <w:sz w:val="24"/>
        </w:rPr>
        <w:t>transformers.</w:t>
      </w:r>
      <w:r>
        <w:rPr>
          <w:spacing w:val="80"/>
          <w:w w:val="150"/>
          <w:sz w:val="24"/>
        </w:rPr>
        <w:t> </w:t>
      </w:r>
      <w:r>
        <w:rPr>
          <w:sz w:val="24"/>
        </w:rPr>
        <w:t>The</w:t>
      </w:r>
      <w:r>
        <w:rPr>
          <w:spacing w:val="40"/>
          <w:sz w:val="24"/>
        </w:rPr>
        <w:t> </w:t>
      </w:r>
      <w:r>
        <w:rPr>
          <w:sz w:val="24"/>
        </w:rPr>
        <w:t>entrance</w:t>
      </w:r>
      <w:r>
        <w:rPr>
          <w:spacing w:val="40"/>
          <w:sz w:val="24"/>
        </w:rPr>
        <w:t> </w:t>
      </w:r>
      <w:r>
        <w:rPr>
          <w:sz w:val="24"/>
        </w:rPr>
        <w:t>to</w:t>
      </w:r>
      <w:r>
        <w:rPr>
          <w:spacing w:val="40"/>
          <w:sz w:val="24"/>
        </w:rPr>
        <w:t> </w:t>
      </w:r>
      <w:r>
        <w:rPr>
          <w:sz w:val="24"/>
        </w:rPr>
        <w:t>the</w:t>
      </w:r>
      <w:r>
        <w:rPr>
          <w:spacing w:val="40"/>
          <w:sz w:val="24"/>
        </w:rPr>
        <w:t> </w:t>
      </w:r>
      <w:r>
        <w:rPr>
          <w:sz w:val="24"/>
        </w:rPr>
        <w:t>room</w:t>
      </w:r>
      <w:r>
        <w:rPr>
          <w:spacing w:val="40"/>
          <w:sz w:val="24"/>
        </w:rPr>
        <w:t> </w:t>
      </w:r>
      <w:r>
        <w:rPr>
          <w:sz w:val="24"/>
        </w:rPr>
        <w:t>shall</w:t>
      </w:r>
      <w:r>
        <w:rPr>
          <w:spacing w:val="40"/>
          <w:sz w:val="24"/>
        </w:rPr>
        <w:t> </w:t>
      </w:r>
      <w:r>
        <w:rPr>
          <w:sz w:val="24"/>
        </w:rPr>
        <w:t>be</w:t>
      </w:r>
      <w:r>
        <w:rPr>
          <w:spacing w:val="40"/>
          <w:sz w:val="24"/>
        </w:rPr>
        <w:t> </w:t>
      </w:r>
      <w:r>
        <w:rPr>
          <w:sz w:val="24"/>
        </w:rPr>
        <w:t>provided with</w:t>
      </w:r>
      <w:r>
        <w:rPr>
          <w:spacing w:val="40"/>
          <w:sz w:val="24"/>
        </w:rPr>
        <w:t> </w:t>
      </w:r>
      <w:r>
        <w:rPr>
          <w:sz w:val="24"/>
        </w:rPr>
        <w:t>a</w:t>
      </w:r>
      <w:r>
        <w:rPr>
          <w:spacing w:val="40"/>
          <w:sz w:val="24"/>
        </w:rPr>
        <w:t> </w:t>
      </w:r>
      <w:r>
        <w:rPr>
          <w:sz w:val="24"/>
        </w:rPr>
        <w:t>steel</w:t>
      </w:r>
      <w:r>
        <w:rPr>
          <w:spacing w:val="40"/>
          <w:sz w:val="24"/>
        </w:rPr>
        <w:t> </w:t>
      </w:r>
      <w:r>
        <w:rPr>
          <w:sz w:val="24"/>
        </w:rPr>
        <w:t>doors</w:t>
      </w:r>
      <w:r>
        <w:rPr>
          <w:spacing w:val="40"/>
          <w:sz w:val="24"/>
        </w:rPr>
        <w:t> </w:t>
      </w:r>
      <w:r>
        <w:rPr>
          <w:sz w:val="24"/>
        </w:rPr>
        <w:t>of</w:t>
      </w:r>
      <w:r>
        <w:rPr>
          <w:spacing w:val="40"/>
          <w:sz w:val="24"/>
        </w:rPr>
        <w:t> </w:t>
      </w:r>
      <w:r>
        <w:rPr>
          <w:sz w:val="24"/>
        </w:rPr>
        <w:t>two</w:t>
      </w:r>
      <w:r>
        <w:rPr>
          <w:spacing w:val="40"/>
          <w:sz w:val="24"/>
        </w:rPr>
        <w:t> </w:t>
      </w:r>
      <w:r>
        <w:rPr>
          <w:sz w:val="24"/>
        </w:rPr>
        <w:t>hours’</w:t>
      </w:r>
      <w:r>
        <w:rPr>
          <w:spacing w:val="40"/>
          <w:sz w:val="24"/>
        </w:rPr>
        <w:t> </w:t>
      </w:r>
      <w:r>
        <w:rPr>
          <w:sz w:val="24"/>
        </w:rPr>
        <w:t>fire</w:t>
      </w:r>
      <w:r>
        <w:rPr>
          <w:spacing w:val="40"/>
          <w:sz w:val="24"/>
        </w:rPr>
        <w:t> </w:t>
      </w:r>
      <w:r>
        <w:rPr>
          <w:sz w:val="24"/>
        </w:rPr>
        <w:t>rating.</w:t>
      </w:r>
      <w:r>
        <w:rPr>
          <w:spacing w:val="40"/>
          <w:sz w:val="24"/>
        </w:rPr>
        <w:t>  </w:t>
      </w:r>
      <w:r>
        <w:rPr>
          <w:sz w:val="24"/>
        </w:rPr>
        <w:t>A</w:t>
      </w:r>
      <w:r>
        <w:rPr>
          <w:spacing w:val="40"/>
          <w:sz w:val="24"/>
        </w:rPr>
        <w:t> </w:t>
      </w:r>
      <w:r>
        <w:rPr>
          <w:sz w:val="24"/>
        </w:rPr>
        <w:t>curb</w:t>
      </w:r>
      <w:r>
        <w:rPr>
          <w:spacing w:val="40"/>
          <w:sz w:val="24"/>
        </w:rPr>
        <w:t> </w:t>
      </w:r>
      <w:r>
        <w:rPr>
          <w:sz w:val="24"/>
        </w:rPr>
        <w:t>(sili)</w:t>
      </w:r>
      <w:r>
        <w:rPr>
          <w:spacing w:val="40"/>
          <w:sz w:val="24"/>
        </w:rPr>
        <w:t> </w:t>
      </w:r>
      <w:r>
        <w:rPr>
          <w:sz w:val="24"/>
        </w:rPr>
        <w:t>of</w:t>
      </w:r>
      <w:r>
        <w:rPr>
          <w:spacing w:val="40"/>
          <w:sz w:val="24"/>
        </w:rPr>
        <w:t> </w:t>
      </w:r>
      <w:r>
        <w:rPr>
          <w:sz w:val="24"/>
        </w:rPr>
        <w:t>a suitable height shall be provided with at the entrance in order to prevent</w:t>
      </w:r>
      <w:r>
        <w:rPr>
          <w:spacing w:val="40"/>
          <w:sz w:val="24"/>
        </w:rPr>
        <w:t> </w:t>
      </w:r>
      <w:r>
        <w:rPr>
          <w:sz w:val="24"/>
        </w:rPr>
        <w:t>the</w:t>
      </w:r>
      <w:r>
        <w:rPr>
          <w:spacing w:val="40"/>
          <w:sz w:val="24"/>
        </w:rPr>
        <w:t> </w:t>
      </w:r>
      <w:r>
        <w:rPr>
          <w:sz w:val="24"/>
        </w:rPr>
        <w:t>flow</w:t>
      </w:r>
      <w:r>
        <w:rPr>
          <w:spacing w:val="40"/>
          <w:sz w:val="24"/>
        </w:rPr>
        <w:t> </w:t>
      </w:r>
      <w:r>
        <w:rPr>
          <w:sz w:val="24"/>
        </w:rPr>
        <w:t>of</w:t>
      </w:r>
      <w:r>
        <w:rPr>
          <w:spacing w:val="40"/>
          <w:sz w:val="24"/>
        </w:rPr>
        <w:t> </w:t>
      </w:r>
      <w:r>
        <w:rPr>
          <w:sz w:val="24"/>
        </w:rPr>
        <w:t>oil</w:t>
      </w:r>
      <w:r>
        <w:rPr>
          <w:spacing w:val="40"/>
          <w:sz w:val="24"/>
        </w:rPr>
        <w:t> </w:t>
      </w:r>
      <w:r>
        <w:rPr>
          <w:sz w:val="24"/>
        </w:rPr>
        <w:t>from</w:t>
      </w:r>
      <w:r>
        <w:rPr>
          <w:spacing w:val="40"/>
          <w:sz w:val="24"/>
        </w:rPr>
        <w:t> </w:t>
      </w:r>
      <w:r>
        <w:rPr>
          <w:sz w:val="24"/>
        </w:rPr>
        <w:t>a</w:t>
      </w:r>
      <w:r>
        <w:rPr>
          <w:spacing w:val="40"/>
          <w:sz w:val="24"/>
        </w:rPr>
        <w:t> </w:t>
      </w:r>
      <w:r>
        <w:rPr>
          <w:sz w:val="24"/>
        </w:rPr>
        <w:t>ruptured</w:t>
      </w:r>
      <w:r>
        <w:rPr>
          <w:spacing w:val="40"/>
          <w:sz w:val="24"/>
        </w:rPr>
        <w:t> </w:t>
      </w:r>
      <w:r>
        <w:rPr>
          <w:sz w:val="24"/>
        </w:rPr>
        <w:t>transformer</w:t>
      </w:r>
      <w:r>
        <w:rPr>
          <w:spacing w:val="40"/>
          <w:sz w:val="24"/>
        </w:rPr>
        <w:t> </w:t>
      </w:r>
      <w:r>
        <w:rPr>
          <w:sz w:val="24"/>
        </w:rPr>
        <w:t>into</w:t>
      </w:r>
      <w:r>
        <w:rPr>
          <w:spacing w:val="40"/>
          <w:sz w:val="24"/>
        </w:rPr>
        <w:t> </w:t>
      </w:r>
      <w:r>
        <w:rPr>
          <w:sz w:val="24"/>
        </w:rPr>
        <w:t>other</w:t>
      </w:r>
      <w:r>
        <w:rPr>
          <w:spacing w:val="40"/>
          <w:sz w:val="24"/>
        </w:rPr>
        <w:t> </w:t>
      </w:r>
      <w:r>
        <w:rPr>
          <w:sz w:val="24"/>
        </w:rPr>
        <w:t>parts of the basement.</w:t>
      </w:r>
      <w:r>
        <w:rPr>
          <w:spacing w:val="40"/>
          <w:sz w:val="24"/>
        </w:rPr>
        <w:t> </w:t>
      </w:r>
      <w:r>
        <w:rPr>
          <w:sz w:val="24"/>
        </w:rPr>
        <w:t>Direct access to the transformer room shall be provided</w:t>
      </w:r>
      <w:r>
        <w:rPr>
          <w:spacing w:val="80"/>
          <w:sz w:val="24"/>
        </w:rPr>
        <w:t> </w:t>
      </w:r>
      <w:r>
        <w:rPr>
          <w:sz w:val="24"/>
        </w:rPr>
        <w:t>preferably</w:t>
      </w:r>
      <w:r>
        <w:rPr>
          <w:spacing w:val="80"/>
          <w:sz w:val="24"/>
        </w:rPr>
        <w:t> </w:t>
      </w:r>
      <w:r>
        <w:rPr>
          <w:sz w:val="24"/>
        </w:rPr>
        <w:t>from</w:t>
      </w:r>
      <w:r>
        <w:rPr>
          <w:spacing w:val="80"/>
          <w:sz w:val="24"/>
        </w:rPr>
        <w:t> </w:t>
      </w:r>
      <w:r>
        <w:rPr>
          <w:sz w:val="24"/>
        </w:rPr>
        <w:t>outside.</w:t>
      </w:r>
      <w:r>
        <w:rPr>
          <w:spacing w:val="80"/>
          <w:sz w:val="24"/>
        </w:rPr>
        <w:t>  </w:t>
      </w:r>
      <w:r>
        <w:rPr>
          <w:sz w:val="24"/>
        </w:rPr>
        <w:t>The</w:t>
      </w:r>
      <w:r>
        <w:rPr>
          <w:spacing w:val="80"/>
          <w:sz w:val="24"/>
        </w:rPr>
        <w:t> </w:t>
      </w:r>
      <w:r>
        <w:rPr>
          <w:sz w:val="24"/>
        </w:rPr>
        <w:t>switch</w:t>
      </w:r>
      <w:r>
        <w:rPr>
          <w:spacing w:val="80"/>
          <w:sz w:val="24"/>
        </w:rPr>
        <w:t> </w:t>
      </w:r>
      <w:r>
        <w:rPr>
          <w:sz w:val="24"/>
        </w:rPr>
        <w:t>gears</w:t>
      </w:r>
      <w:r>
        <w:rPr>
          <w:spacing w:val="80"/>
          <w:sz w:val="24"/>
        </w:rPr>
        <w:t> </w:t>
      </w:r>
      <w:r>
        <w:rPr>
          <w:sz w:val="24"/>
        </w:rPr>
        <w:t>shall</w:t>
      </w:r>
      <w:r>
        <w:rPr>
          <w:spacing w:val="80"/>
          <w:sz w:val="24"/>
        </w:rPr>
        <w:t> </w:t>
      </w:r>
      <w:r>
        <w:rPr>
          <w:sz w:val="24"/>
        </w:rPr>
        <w:t>be housed</w:t>
      </w:r>
      <w:r>
        <w:rPr>
          <w:spacing w:val="40"/>
          <w:sz w:val="24"/>
        </w:rPr>
        <w:t> </w:t>
      </w:r>
      <w:r>
        <w:rPr>
          <w:sz w:val="24"/>
        </w:rPr>
        <w:t>in</w:t>
      </w:r>
      <w:r>
        <w:rPr>
          <w:spacing w:val="40"/>
          <w:sz w:val="24"/>
        </w:rPr>
        <w:t> </w:t>
      </w:r>
      <w:r>
        <w:rPr>
          <w:sz w:val="24"/>
        </w:rPr>
        <w:t>a</w:t>
      </w:r>
      <w:r>
        <w:rPr>
          <w:spacing w:val="40"/>
          <w:sz w:val="24"/>
        </w:rPr>
        <w:t> </w:t>
      </w:r>
      <w:r>
        <w:rPr>
          <w:sz w:val="24"/>
        </w:rPr>
        <w:t>separate</w:t>
      </w:r>
      <w:r>
        <w:rPr>
          <w:spacing w:val="40"/>
          <w:sz w:val="24"/>
        </w:rPr>
        <w:t> </w:t>
      </w:r>
      <w:r>
        <w:rPr>
          <w:sz w:val="24"/>
        </w:rPr>
        <w:t>room</w:t>
      </w:r>
      <w:r>
        <w:rPr>
          <w:spacing w:val="40"/>
          <w:sz w:val="24"/>
        </w:rPr>
        <w:t> </w:t>
      </w:r>
      <w:r>
        <w:rPr>
          <w:sz w:val="24"/>
        </w:rPr>
        <w:t>separated</w:t>
      </w:r>
      <w:r>
        <w:rPr>
          <w:spacing w:val="40"/>
          <w:sz w:val="24"/>
        </w:rPr>
        <w:t> </w:t>
      </w:r>
      <w:r>
        <w:rPr>
          <w:sz w:val="24"/>
        </w:rPr>
        <w:t>from</w:t>
      </w:r>
      <w:r>
        <w:rPr>
          <w:spacing w:val="40"/>
          <w:sz w:val="24"/>
        </w:rPr>
        <w:t> </w:t>
      </w:r>
      <w:r>
        <w:rPr>
          <w:sz w:val="24"/>
        </w:rPr>
        <w:t>the</w:t>
      </w:r>
      <w:r>
        <w:rPr>
          <w:spacing w:val="40"/>
          <w:sz w:val="24"/>
        </w:rPr>
        <w:t> </w:t>
      </w:r>
      <w:r>
        <w:rPr>
          <w:sz w:val="24"/>
        </w:rPr>
        <w:t>transformer</w:t>
      </w:r>
      <w:r>
        <w:rPr>
          <w:spacing w:val="40"/>
          <w:sz w:val="24"/>
        </w:rPr>
        <w:t> </w:t>
      </w:r>
      <w:r>
        <w:rPr>
          <w:sz w:val="24"/>
        </w:rPr>
        <w:t>bays</w:t>
      </w:r>
      <w:r>
        <w:rPr>
          <w:spacing w:val="40"/>
          <w:sz w:val="24"/>
        </w:rPr>
        <w:t> </w:t>
      </w:r>
      <w:r>
        <w:rPr>
          <w:sz w:val="24"/>
        </w:rPr>
        <w:t>by a</w:t>
      </w:r>
      <w:r>
        <w:rPr>
          <w:spacing w:val="40"/>
          <w:sz w:val="24"/>
        </w:rPr>
        <w:t> </w:t>
      </w:r>
      <w:r>
        <w:rPr>
          <w:sz w:val="24"/>
        </w:rPr>
        <w:t>fire</w:t>
      </w:r>
      <w:r>
        <w:rPr>
          <w:spacing w:val="40"/>
          <w:sz w:val="24"/>
        </w:rPr>
        <w:t> </w:t>
      </w:r>
      <w:r>
        <w:rPr>
          <w:sz w:val="24"/>
        </w:rPr>
        <w:t>resisting</w:t>
      </w:r>
      <w:r>
        <w:rPr>
          <w:spacing w:val="40"/>
          <w:sz w:val="24"/>
        </w:rPr>
        <w:t> </w:t>
      </w:r>
      <w:r>
        <w:rPr>
          <w:sz w:val="24"/>
        </w:rPr>
        <w:t>wall</w:t>
      </w:r>
      <w:r>
        <w:rPr>
          <w:spacing w:val="40"/>
          <w:sz w:val="24"/>
        </w:rPr>
        <w:t> </w:t>
      </w:r>
      <w:r>
        <w:rPr>
          <w:sz w:val="24"/>
        </w:rPr>
        <w:t>with</w:t>
      </w:r>
      <w:r>
        <w:rPr>
          <w:spacing w:val="40"/>
          <w:sz w:val="24"/>
        </w:rPr>
        <w:t> </w:t>
      </w:r>
      <w:r>
        <w:rPr>
          <w:sz w:val="24"/>
        </w:rPr>
        <w:t>fire</w:t>
      </w:r>
      <w:r>
        <w:rPr>
          <w:spacing w:val="40"/>
          <w:sz w:val="24"/>
        </w:rPr>
        <w:t> </w:t>
      </w:r>
      <w:r>
        <w:rPr>
          <w:sz w:val="24"/>
        </w:rPr>
        <w:t>resistance</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four</w:t>
      </w:r>
      <w:r>
        <w:rPr>
          <w:spacing w:val="40"/>
          <w:sz w:val="24"/>
        </w:rPr>
        <w:t> </w:t>
      </w:r>
      <w:r>
        <w:rPr>
          <w:sz w:val="24"/>
        </w:rPr>
        <w:t>hours.</w:t>
      </w:r>
    </w:p>
    <w:p>
      <w:pPr>
        <w:pStyle w:val="ListParagraph"/>
        <w:spacing w:after="0" w:line="240" w:lineRule="auto"/>
        <w:jc w:val="both"/>
        <w:rPr>
          <w:sz w:val="24"/>
        </w:rPr>
        <w:sectPr>
          <w:pgSz w:w="11910" w:h="16850"/>
          <w:pgMar w:header="1024" w:footer="1302" w:top="1480" w:bottom="1500" w:left="360" w:right="360"/>
        </w:sectPr>
      </w:pPr>
    </w:p>
    <w:p>
      <w:pPr>
        <w:pStyle w:val="ListParagraph"/>
        <w:numPr>
          <w:ilvl w:val="0"/>
          <w:numId w:val="339"/>
        </w:numPr>
        <w:tabs>
          <w:tab w:pos="2023" w:val="left" w:leader="none"/>
          <w:tab w:pos="2026" w:val="left" w:leader="none"/>
        </w:tabs>
        <w:spacing w:line="240" w:lineRule="auto" w:before="276" w:after="0"/>
        <w:ind w:left="2026" w:right="802" w:hanging="454"/>
        <w:jc w:val="both"/>
        <w:rPr>
          <w:sz w:val="24"/>
        </w:rPr>
      </w:pPr>
      <w:r>
        <w:rPr>
          <w:sz w:val="24"/>
        </w:rPr>
        <w:t>If housed in basement, the transformer shall be protected by an automatic</w:t>
      </w:r>
      <w:r>
        <w:rPr>
          <w:spacing w:val="40"/>
          <w:sz w:val="24"/>
        </w:rPr>
        <w:t> </w:t>
      </w:r>
      <w:r>
        <w:rPr>
          <w:sz w:val="24"/>
        </w:rPr>
        <w:t>high</w:t>
      </w:r>
      <w:r>
        <w:rPr>
          <w:spacing w:val="40"/>
          <w:sz w:val="24"/>
        </w:rPr>
        <w:t> </w:t>
      </w:r>
      <w:r>
        <w:rPr>
          <w:sz w:val="24"/>
        </w:rPr>
        <w:t>pressure</w:t>
      </w:r>
      <w:r>
        <w:rPr>
          <w:spacing w:val="40"/>
          <w:sz w:val="24"/>
        </w:rPr>
        <w:t> </w:t>
      </w:r>
      <w:r>
        <w:rPr>
          <w:sz w:val="24"/>
        </w:rPr>
        <w:t>water</w:t>
      </w:r>
      <w:r>
        <w:rPr>
          <w:spacing w:val="40"/>
          <w:sz w:val="24"/>
        </w:rPr>
        <w:t> </w:t>
      </w:r>
      <w:r>
        <w:rPr>
          <w:sz w:val="24"/>
        </w:rPr>
        <w:t>spray</w:t>
      </w:r>
      <w:r>
        <w:rPr>
          <w:spacing w:val="40"/>
          <w:sz w:val="24"/>
        </w:rPr>
        <w:t> </w:t>
      </w:r>
      <w:r>
        <w:rPr>
          <w:sz w:val="24"/>
        </w:rPr>
        <w:t>system</w:t>
      </w:r>
      <w:r>
        <w:rPr>
          <w:spacing w:val="40"/>
          <w:sz w:val="24"/>
        </w:rPr>
        <w:t> </w:t>
      </w:r>
      <w:r>
        <w:rPr>
          <w:spacing w:val="9"/>
          <w:sz w:val="24"/>
        </w:rPr>
        <w:t>(emulsifying).</w:t>
      </w:r>
    </w:p>
    <w:p>
      <w:pPr>
        <w:pStyle w:val="ListParagraph"/>
        <w:numPr>
          <w:ilvl w:val="0"/>
          <w:numId w:val="339"/>
        </w:numPr>
        <w:tabs>
          <w:tab w:pos="2024" w:val="left" w:leader="none"/>
          <w:tab w:pos="2026" w:val="left" w:leader="none"/>
        </w:tabs>
        <w:spacing w:line="240" w:lineRule="auto" w:before="240" w:after="0"/>
        <w:ind w:left="2026" w:right="787" w:hanging="454"/>
        <w:jc w:val="both"/>
        <w:rPr>
          <w:sz w:val="24"/>
        </w:rPr>
      </w:pPr>
      <w:r>
        <w:rPr>
          <w:sz w:val="24"/>
        </w:rPr>
        <w:t>Transformers housed at ground floor level shall be </w:t>
      </w:r>
      <w:r>
        <w:rPr>
          <w:spacing w:val="13"/>
          <w:sz w:val="24"/>
        </w:rPr>
        <w:t>cut-</w:t>
      </w:r>
      <w:r>
        <w:rPr>
          <w:sz w:val="24"/>
        </w:rPr>
        <w:t>off from the other</w:t>
      </w:r>
      <w:r>
        <w:rPr>
          <w:spacing w:val="40"/>
          <w:sz w:val="24"/>
        </w:rPr>
        <w:t> </w:t>
      </w:r>
      <w:r>
        <w:rPr>
          <w:sz w:val="24"/>
        </w:rPr>
        <w:t>portion</w:t>
      </w:r>
      <w:r>
        <w:rPr>
          <w:spacing w:val="40"/>
          <w:sz w:val="24"/>
        </w:rPr>
        <w:t> </w:t>
      </w:r>
      <w:r>
        <w:rPr>
          <w:sz w:val="24"/>
        </w:rPr>
        <w:t>of</w:t>
      </w:r>
      <w:r>
        <w:rPr>
          <w:spacing w:val="40"/>
          <w:sz w:val="24"/>
        </w:rPr>
        <w:t> </w:t>
      </w:r>
      <w:r>
        <w:rPr>
          <w:sz w:val="24"/>
        </w:rPr>
        <w:t>the</w:t>
      </w:r>
      <w:r>
        <w:rPr>
          <w:spacing w:val="40"/>
          <w:sz w:val="24"/>
        </w:rPr>
        <w:t> </w:t>
      </w:r>
      <w:r>
        <w:rPr>
          <w:sz w:val="24"/>
        </w:rPr>
        <w:t>premises</w:t>
      </w:r>
      <w:r>
        <w:rPr>
          <w:spacing w:val="40"/>
          <w:sz w:val="24"/>
        </w:rPr>
        <w:t> </w:t>
      </w:r>
      <w:r>
        <w:rPr>
          <w:sz w:val="24"/>
        </w:rPr>
        <w:t>by</w:t>
      </w:r>
      <w:r>
        <w:rPr>
          <w:spacing w:val="40"/>
          <w:sz w:val="24"/>
        </w:rPr>
        <w:t> </w:t>
      </w:r>
      <w:r>
        <w:rPr>
          <w:sz w:val="24"/>
        </w:rPr>
        <w:t>fire</w:t>
      </w:r>
      <w:r>
        <w:rPr>
          <w:spacing w:val="40"/>
          <w:sz w:val="24"/>
        </w:rPr>
        <w:t> </w:t>
      </w:r>
      <w:r>
        <w:rPr>
          <w:sz w:val="24"/>
        </w:rPr>
        <w:t>resisting</w:t>
      </w:r>
      <w:r>
        <w:rPr>
          <w:spacing w:val="40"/>
          <w:sz w:val="24"/>
        </w:rPr>
        <w:t> </w:t>
      </w:r>
      <w:r>
        <w:rPr>
          <w:sz w:val="24"/>
        </w:rPr>
        <w:t>walls</w:t>
      </w:r>
      <w:r>
        <w:rPr>
          <w:spacing w:val="40"/>
          <w:sz w:val="24"/>
        </w:rPr>
        <w:t> </w:t>
      </w:r>
      <w:r>
        <w:rPr>
          <w:sz w:val="24"/>
        </w:rPr>
        <w:t>of</w:t>
      </w:r>
      <w:r>
        <w:rPr>
          <w:spacing w:val="40"/>
          <w:sz w:val="24"/>
        </w:rPr>
        <w:t> </w:t>
      </w:r>
      <w:r>
        <w:rPr>
          <w:sz w:val="24"/>
        </w:rPr>
        <w:t>four</w:t>
      </w:r>
      <w:r>
        <w:rPr>
          <w:spacing w:val="40"/>
          <w:sz w:val="24"/>
        </w:rPr>
        <w:t> </w:t>
      </w:r>
      <w:r>
        <w:rPr>
          <w:sz w:val="24"/>
        </w:rPr>
        <w:t>hours' fire resistance.</w:t>
      </w:r>
    </w:p>
    <w:p>
      <w:pPr>
        <w:pStyle w:val="ListParagraph"/>
        <w:numPr>
          <w:ilvl w:val="0"/>
          <w:numId w:val="339"/>
        </w:numPr>
        <w:tabs>
          <w:tab w:pos="2023" w:val="left" w:leader="none"/>
          <w:tab w:pos="2026" w:val="left" w:leader="none"/>
        </w:tabs>
        <w:spacing w:line="240" w:lineRule="auto" w:before="240" w:after="0"/>
        <w:ind w:left="2026" w:right="791" w:hanging="454"/>
        <w:jc w:val="both"/>
        <w:rPr>
          <w:sz w:val="24"/>
        </w:rPr>
      </w:pPr>
      <w:r>
        <w:rPr>
          <w:sz w:val="24"/>
        </w:rPr>
        <w:t>They</w:t>
      </w:r>
      <w:r>
        <w:rPr>
          <w:spacing w:val="39"/>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housed</w:t>
      </w:r>
      <w:r>
        <w:rPr>
          <w:spacing w:val="40"/>
          <w:sz w:val="24"/>
        </w:rPr>
        <w:t> </w:t>
      </w:r>
      <w:r>
        <w:rPr>
          <w:sz w:val="24"/>
        </w:rPr>
        <w:t>on</w:t>
      </w:r>
      <w:r>
        <w:rPr>
          <w:spacing w:val="40"/>
          <w:sz w:val="24"/>
        </w:rPr>
        <w:t> </w:t>
      </w:r>
      <w:r>
        <w:rPr>
          <w:sz w:val="24"/>
        </w:rPr>
        <w:t>upper</w:t>
      </w:r>
      <w:r>
        <w:rPr>
          <w:spacing w:val="40"/>
          <w:sz w:val="24"/>
        </w:rPr>
        <w:t> </w:t>
      </w:r>
      <w:r>
        <w:rPr>
          <w:sz w:val="24"/>
        </w:rPr>
        <w:t>floors</w:t>
      </w:r>
      <w:r>
        <w:rPr>
          <w:spacing w:val="40"/>
          <w:sz w:val="24"/>
        </w:rPr>
        <w:t> </w:t>
      </w:r>
      <w:r>
        <w:rPr>
          <w:sz w:val="24"/>
        </w:rPr>
        <w:t>except</w:t>
      </w:r>
      <w:r>
        <w:rPr>
          <w:spacing w:val="40"/>
          <w:sz w:val="24"/>
        </w:rPr>
        <w:t> </w:t>
      </w:r>
      <w:r>
        <w:rPr>
          <w:sz w:val="24"/>
        </w:rPr>
        <w:t>stilt</w:t>
      </w:r>
      <w:r>
        <w:rPr>
          <w:spacing w:val="39"/>
          <w:sz w:val="24"/>
        </w:rPr>
        <w:t> </w:t>
      </w:r>
      <w:r>
        <w:rPr>
          <w:sz w:val="24"/>
        </w:rPr>
        <w:t>at</w:t>
      </w:r>
      <w:r>
        <w:rPr>
          <w:spacing w:val="40"/>
          <w:sz w:val="24"/>
        </w:rPr>
        <w:t> </w:t>
      </w:r>
      <w:r>
        <w:rPr>
          <w:sz w:val="24"/>
        </w:rPr>
        <w:t>upper</w:t>
      </w:r>
      <w:r>
        <w:rPr>
          <w:spacing w:val="39"/>
          <w:sz w:val="24"/>
        </w:rPr>
        <w:t> </w:t>
      </w:r>
      <w:r>
        <w:rPr>
          <w:sz w:val="24"/>
        </w:rPr>
        <w:t>level &amp; podium if dry type.</w:t>
      </w:r>
    </w:p>
    <w:p>
      <w:pPr>
        <w:pStyle w:val="ListParagraph"/>
        <w:numPr>
          <w:ilvl w:val="0"/>
          <w:numId w:val="339"/>
        </w:numPr>
        <w:tabs>
          <w:tab w:pos="2024" w:val="left" w:leader="none"/>
          <w:tab w:pos="2026" w:val="left" w:leader="none"/>
        </w:tabs>
        <w:spacing w:line="240" w:lineRule="auto" w:before="240" w:after="0"/>
        <w:ind w:left="2026" w:right="784" w:hanging="454"/>
        <w:jc w:val="both"/>
        <w:rPr>
          <w:sz w:val="24"/>
        </w:rPr>
      </w:pPr>
      <w:r>
        <w:rPr>
          <w:sz w:val="24"/>
        </w:rPr>
        <w:t>A</w:t>
      </w:r>
      <w:r>
        <w:rPr>
          <w:spacing w:val="40"/>
          <w:sz w:val="24"/>
        </w:rPr>
        <w:t> </w:t>
      </w:r>
      <w:r>
        <w:rPr>
          <w:sz w:val="24"/>
        </w:rPr>
        <w:t>tank</w:t>
      </w:r>
      <w:r>
        <w:rPr>
          <w:spacing w:val="40"/>
          <w:sz w:val="24"/>
        </w:rPr>
        <w:t> </w:t>
      </w:r>
      <w:r>
        <w:rPr>
          <w:sz w:val="24"/>
        </w:rPr>
        <w:t>of</w:t>
      </w:r>
      <w:r>
        <w:rPr>
          <w:spacing w:val="40"/>
          <w:sz w:val="24"/>
        </w:rPr>
        <w:t> </w:t>
      </w:r>
      <w:r>
        <w:rPr>
          <w:sz w:val="24"/>
        </w:rPr>
        <w:t>RCC</w:t>
      </w:r>
      <w:r>
        <w:rPr>
          <w:spacing w:val="40"/>
          <w:sz w:val="24"/>
        </w:rPr>
        <w:t> </w:t>
      </w:r>
      <w:r>
        <w:rPr>
          <w:sz w:val="24"/>
        </w:rPr>
        <w:t>construction</w:t>
      </w:r>
      <w:r>
        <w:rPr>
          <w:spacing w:val="40"/>
          <w:sz w:val="24"/>
        </w:rPr>
        <w:t> </w:t>
      </w:r>
      <w:r>
        <w:rPr>
          <w:sz w:val="24"/>
        </w:rPr>
        <w:t>of</w:t>
      </w:r>
      <w:r>
        <w:rPr>
          <w:spacing w:val="40"/>
          <w:sz w:val="24"/>
        </w:rPr>
        <w:t> </w:t>
      </w:r>
      <w:r>
        <w:rPr>
          <w:sz w:val="24"/>
        </w:rPr>
        <w:t>capacity</w:t>
      </w:r>
      <w:r>
        <w:rPr>
          <w:spacing w:val="40"/>
          <w:sz w:val="24"/>
        </w:rPr>
        <w:t> </w:t>
      </w:r>
      <w:r>
        <w:rPr>
          <w:sz w:val="24"/>
        </w:rPr>
        <w:t>capable</w:t>
      </w:r>
      <w:r>
        <w:rPr>
          <w:spacing w:val="40"/>
          <w:sz w:val="24"/>
        </w:rPr>
        <w:t> </w:t>
      </w:r>
      <w:r>
        <w:rPr>
          <w:sz w:val="24"/>
        </w:rPr>
        <w:t>of</w:t>
      </w:r>
      <w:r>
        <w:rPr>
          <w:spacing w:val="40"/>
          <w:sz w:val="24"/>
        </w:rPr>
        <w:t> </w:t>
      </w:r>
      <w:r>
        <w:rPr>
          <w:sz w:val="24"/>
        </w:rPr>
        <w:t>accommodating the</w:t>
      </w:r>
      <w:r>
        <w:rPr>
          <w:spacing w:val="68"/>
          <w:sz w:val="24"/>
        </w:rPr>
        <w:t> </w:t>
      </w:r>
      <w:r>
        <w:rPr>
          <w:sz w:val="24"/>
        </w:rPr>
        <w:t>entire</w:t>
      </w:r>
      <w:r>
        <w:rPr>
          <w:spacing w:val="68"/>
          <w:sz w:val="24"/>
        </w:rPr>
        <w:t> </w:t>
      </w:r>
      <w:r>
        <w:rPr>
          <w:sz w:val="24"/>
        </w:rPr>
        <w:t>oil</w:t>
      </w:r>
      <w:r>
        <w:rPr>
          <w:spacing w:val="68"/>
          <w:sz w:val="24"/>
        </w:rPr>
        <w:t> </w:t>
      </w:r>
      <w:r>
        <w:rPr>
          <w:sz w:val="24"/>
        </w:rPr>
        <w:t>of</w:t>
      </w:r>
      <w:r>
        <w:rPr>
          <w:spacing w:val="73"/>
          <w:sz w:val="24"/>
        </w:rPr>
        <w:t> </w:t>
      </w:r>
      <w:r>
        <w:rPr>
          <w:sz w:val="24"/>
        </w:rPr>
        <w:t>the</w:t>
      </w:r>
      <w:r>
        <w:rPr>
          <w:spacing w:val="68"/>
          <w:sz w:val="24"/>
        </w:rPr>
        <w:t> </w:t>
      </w:r>
      <w:r>
        <w:rPr>
          <w:sz w:val="24"/>
        </w:rPr>
        <w:t>transformers</w:t>
      </w:r>
      <w:r>
        <w:rPr>
          <w:spacing w:val="68"/>
          <w:sz w:val="24"/>
        </w:rPr>
        <w:t> </w:t>
      </w:r>
      <w:r>
        <w:rPr>
          <w:sz w:val="24"/>
        </w:rPr>
        <w:t>shall</w:t>
      </w:r>
      <w:r>
        <w:rPr>
          <w:spacing w:val="68"/>
          <w:sz w:val="24"/>
        </w:rPr>
        <w:t> </w:t>
      </w:r>
      <w:r>
        <w:rPr>
          <w:sz w:val="24"/>
        </w:rPr>
        <w:t>be</w:t>
      </w:r>
      <w:r>
        <w:rPr>
          <w:spacing w:val="68"/>
          <w:sz w:val="24"/>
        </w:rPr>
        <w:t> </w:t>
      </w:r>
      <w:r>
        <w:rPr>
          <w:sz w:val="24"/>
        </w:rPr>
        <w:t>provided</w:t>
      </w:r>
      <w:r>
        <w:rPr>
          <w:spacing w:val="68"/>
          <w:sz w:val="24"/>
        </w:rPr>
        <w:t> </w:t>
      </w:r>
      <w:r>
        <w:rPr>
          <w:sz w:val="24"/>
        </w:rPr>
        <w:t>at</w:t>
      </w:r>
      <w:r>
        <w:rPr>
          <w:spacing w:val="73"/>
          <w:sz w:val="24"/>
        </w:rPr>
        <w:t> </w:t>
      </w:r>
      <w:r>
        <w:rPr>
          <w:sz w:val="24"/>
        </w:rPr>
        <w:t>lower</w:t>
      </w:r>
      <w:r>
        <w:rPr>
          <w:spacing w:val="68"/>
          <w:sz w:val="24"/>
        </w:rPr>
        <w:t> </w:t>
      </w:r>
      <w:r>
        <w:rPr>
          <w:sz w:val="24"/>
        </w:rPr>
        <w:t>level, to collect the oil from the </w:t>
      </w:r>
      <w:r>
        <w:rPr>
          <w:spacing w:val="9"/>
          <w:sz w:val="24"/>
        </w:rPr>
        <w:t>catch-</w:t>
      </w:r>
      <w:r>
        <w:rPr>
          <w:sz w:val="24"/>
        </w:rPr>
        <w:t>pit in an emergency. The pipe connecting the </w:t>
      </w:r>
      <w:r>
        <w:rPr>
          <w:spacing w:val="9"/>
          <w:sz w:val="24"/>
        </w:rPr>
        <w:t>catch-</w:t>
      </w:r>
      <w:r>
        <w:rPr>
          <w:sz w:val="24"/>
        </w:rPr>
        <w:t>pit to the tank shall be of </w:t>
      </w:r>
      <w:r>
        <w:rPr>
          <w:spacing w:val="11"/>
          <w:sz w:val="24"/>
        </w:rPr>
        <w:t>non-</w:t>
      </w:r>
      <w:r>
        <w:rPr>
          <w:sz w:val="24"/>
        </w:rPr>
        <w:t>combustible construction</w:t>
      </w:r>
      <w:r>
        <w:rPr>
          <w:spacing w:val="40"/>
          <w:sz w:val="24"/>
        </w:rPr>
        <w:t> </w:t>
      </w:r>
      <w:r>
        <w:rPr>
          <w:sz w:val="24"/>
        </w:rPr>
        <w:t>and</w:t>
      </w:r>
      <w:r>
        <w:rPr>
          <w:spacing w:val="40"/>
          <w:sz w:val="24"/>
        </w:rPr>
        <w:t> </w:t>
      </w:r>
      <w:r>
        <w:rPr>
          <w:sz w:val="24"/>
        </w:rPr>
        <w:t>shall</w:t>
      </w:r>
      <w:r>
        <w:rPr>
          <w:spacing w:val="40"/>
          <w:sz w:val="24"/>
        </w:rPr>
        <w:t> </w:t>
      </w:r>
      <w:r>
        <w:rPr>
          <w:sz w:val="24"/>
        </w:rPr>
        <w:t>be</w:t>
      </w:r>
      <w:r>
        <w:rPr>
          <w:spacing w:val="80"/>
          <w:sz w:val="24"/>
        </w:rPr>
        <w:t> </w:t>
      </w:r>
      <w:r>
        <w:rPr>
          <w:sz w:val="24"/>
        </w:rPr>
        <w:t>provided</w:t>
      </w:r>
      <w:r>
        <w:rPr>
          <w:spacing w:val="40"/>
          <w:sz w:val="24"/>
        </w:rPr>
        <w:t> </w:t>
      </w:r>
      <w:r>
        <w:rPr>
          <w:sz w:val="24"/>
        </w:rPr>
        <w:t>with</w:t>
      </w:r>
      <w:r>
        <w:rPr>
          <w:spacing w:val="40"/>
          <w:sz w:val="24"/>
        </w:rPr>
        <w:t> </w:t>
      </w:r>
      <w:r>
        <w:rPr>
          <w:sz w:val="24"/>
        </w:rPr>
        <w:t>a</w:t>
      </w:r>
      <w:r>
        <w:rPr>
          <w:spacing w:val="40"/>
          <w:sz w:val="24"/>
        </w:rPr>
        <w:t> </w:t>
      </w:r>
      <w:r>
        <w:rPr>
          <w:spacing w:val="9"/>
          <w:sz w:val="24"/>
        </w:rPr>
        <w:t>flame-</w:t>
      </w:r>
      <w:r>
        <w:rPr>
          <w:sz w:val="24"/>
        </w:rPr>
        <w:t>arrester.</w:t>
      </w:r>
    </w:p>
    <w:p>
      <w:pPr>
        <w:pStyle w:val="Heading6"/>
        <w:numPr>
          <w:ilvl w:val="1"/>
          <w:numId w:val="335"/>
        </w:numPr>
        <w:tabs>
          <w:tab w:pos="1570" w:val="left" w:leader="none"/>
        </w:tabs>
        <w:spacing w:line="240" w:lineRule="auto" w:before="239" w:after="0"/>
        <w:ind w:left="1570" w:right="0" w:hanging="452"/>
        <w:jc w:val="left"/>
      </w:pPr>
      <w:r>
        <w:rPr/>
        <w:t>Air-</w:t>
      </w:r>
      <w:r>
        <w:rPr>
          <w:spacing w:val="-2"/>
        </w:rPr>
        <w:t>conditioning</w:t>
      </w:r>
    </w:p>
    <w:p>
      <w:pPr>
        <w:pStyle w:val="ListParagraph"/>
        <w:numPr>
          <w:ilvl w:val="0"/>
          <w:numId w:val="340"/>
        </w:numPr>
        <w:tabs>
          <w:tab w:pos="1992" w:val="left" w:leader="none"/>
          <w:tab w:pos="2026" w:val="left" w:leader="none"/>
        </w:tabs>
        <w:spacing w:line="240" w:lineRule="auto" w:before="241" w:after="0"/>
        <w:ind w:left="2026" w:right="803" w:hanging="454"/>
        <w:jc w:val="both"/>
        <w:rPr>
          <w:sz w:val="24"/>
        </w:rPr>
      </w:pPr>
      <w:r>
        <w:rPr>
          <w:sz w:val="24"/>
        </w:rPr>
        <w:t>Escape</w:t>
      </w:r>
      <w:r>
        <w:rPr>
          <w:spacing w:val="40"/>
          <w:sz w:val="24"/>
        </w:rPr>
        <w:t> </w:t>
      </w:r>
      <w:r>
        <w:rPr>
          <w:sz w:val="24"/>
        </w:rPr>
        <w:t>routes</w:t>
      </w:r>
      <w:r>
        <w:rPr>
          <w:spacing w:val="40"/>
          <w:sz w:val="24"/>
        </w:rPr>
        <w:t> </w:t>
      </w:r>
      <w:r>
        <w:rPr>
          <w:sz w:val="24"/>
        </w:rPr>
        <w:t>like</w:t>
      </w:r>
      <w:r>
        <w:rPr>
          <w:spacing w:val="40"/>
          <w:sz w:val="24"/>
        </w:rPr>
        <w:t> </w:t>
      </w:r>
      <w:r>
        <w:rPr>
          <w:sz w:val="24"/>
        </w:rPr>
        <w:t>staircases,</w:t>
      </w:r>
      <w:r>
        <w:rPr>
          <w:spacing w:val="40"/>
          <w:sz w:val="24"/>
        </w:rPr>
        <w:t> </w:t>
      </w:r>
      <w:r>
        <w:rPr>
          <w:sz w:val="24"/>
        </w:rPr>
        <w:t>common</w:t>
      </w:r>
      <w:r>
        <w:rPr>
          <w:spacing w:val="40"/>
          <w:sz w:val="24"/>
        </w:rPr>
        <w:t> </w:t>
      </w:r>
      <w:r>
        <w:rPr>
          <w:sz w:val="24"/>
        </w:rPr>
        <w:t>corridors,</w:t>
      </w:r>
      <w:r>
        <w:rPr>
          <w:spacing w:val="40"/>
          <w:sz w:val="24"/>
        </w:rPr>
        <w:t> </w:t>
      </w:r>
      <w:r>
        <w:rPr>
          <w:sz w:val="24"/>
        </w:rPr>
        <w:t>lift</w:t>
      </w:r>
      <w:r>
        <w:rPr>
          <w:spacing w:val="40"/>
          <w:sz w:val="24"/>
        </w:rPr>
        <w:t> </w:t>
      </w:r>
      <w:r>
        <w:rPr>
          <w:sz w:val="24"/>
        </w:rPr>
        <w:t>lobbies</w:t>
      </w:r>
      <w:r>
        <w:rPr>
          <w:spacing w:val="40"/>
          <w:sz w:val="24"/>
        </w:rPr>
        <w:t> </w:t>
      </w:r>
      <w:r>
        <w:rPr>
          <w:sz w:val="24"/>
        </w:rPr>
        <w:t>etc. shall</w:t>
      </w:r>
      <w:r>
        <w:rPr>
          <w:spacing w:val="40"/>
          <w:sz w:val="24"/>
        </w:rPr>
        <w:t> </w:t>
      </w:r>
      <w:r>
        <w:rPr>
          <w:sz w:val="24"/>
        </w:rPr>
        <w:t>not</w:t>
      </w:r>
      <w:r>
        <w:rPr>
          <w:spacing w:val="40"/>
          <w:sz w:val="24"/>
        </w:rPr>
        <w:t> </w:t>
      </w:r>
      <w:r>
        <w:rPr>
          <w:sz w:val="24"/>
        </w:rPr>
        <w:t>be</w:t>
      </w:r>
      <w:r>
        <w:rPr>
          <w:spacing w:val="40"/>
          <w:sz w:val="24"/>
        </w:rPr>
        <w:t> </w:t>
      </w:r>
      <w:r>
        <w:rPr>
          <w:sz w:val="24"/>
        </w:rPr>
        <w:t>used</w:t>
      </w:r>
      <w:r>
        <w:rPr>
          <w:spacing w:val="40"/>
          <w:sz w:val="24"/>
        </w:rPr>
        <w:t> </w:t>
      </w:r>
      <w:r>
        <w:rPr>
          <w:sz w:val="24"/>
        </w:rPr>
        <w:t>as</w:t>
      </w:r>
      <w:r>
        <w:rPr>
          <w:spacing w:val="40"/>
          <w:sz w:val="24"/>
        </w:rPr>
        <w:t> </w:t>
      </w:r>
      <w:r>
        <w:rPr>
          <w:sz w:val="24"/>
        </w:rPr>
        <w:t>return</w:t>
      </w:r>
      <w:r>
        <w:rPr>
          <w:spacing w:val="40"/>
          <w:sz w:val="24"/>
        </w:rPr>
        <w:t> </w:t>
      </w:r>
      <w:r>
        <w:rPr>
          <w:sz w:val="24"/>
        </w:rPr>
        <w:t>air</w:t>
      </w:r>
      <w:r>
        <w:rPr>
          <w:spacing w:val="40"/>
          <w:sz w:val="24"/>
        </w:rPr>
        <w:t> </w:t>
      </w:r>
      <w:r>
        <w:rPr>
          <w:spacing w:val="9"/>
          <w:sz w:val="24"/>
        </w:rPr>
        <w:t>passages.</w:t>
      </w:r>
    </w:p>
    <w:p>
      <w:pPr>
        <w:pStyle w:val="ListParagraph"/>
        <w:numPr>
          <w:ilvl w:val="0"/>
          <w:numId w:val="340"/>
        </w:numPr>
        <w:tabs>
          <w:tab w:pos="2023" w:val="left" w:leader="none"/>
          <w:tab w:pos="2026" w:val="left" w:leader="none"/>
        </w:tabs>
        <w:spacing w:line="240" w:lineRule="auto" w:before="241" w:after="0"/>
        <w:ind w:left="2026" w:right="804" w:hanging="454"/>
        <w:jc w:val="both"/>
        <w:rPr>
          <w:sz w:val="24"/>
        </w:rPr>
      </w:pPr>
      <w:r>
        <w:rPr>
          <w:sz w:val="24"/>
        </w:rPr>
        <w:t>The ducting shall be constructed of substantial gauge metal in accordance</w:t>
      </w:r>
      <w:r>
        <w:rPr>
          <w:spacing w:val="80"/>
          <w:sz w:val="24"/>
        </w:rPr>
        <w:t> </w:t>
      </w:r>
      <w:r>
        <w:rPr>
          <w:sz w:val="24"/>
        </w:rPr>
        <w:t>with</w:t>
      </w:r>
      <w:r>
        <w:rPr>
          <w:spacing w:val="80"/>
          <w:sz w:val="24"/>
        </w:rPr>
        <w:t> </w:t>
      </w:r>
      <w:r>
        <w:rPr>
          <w:spacing w:val="10"/>
          <w:sz w:val="24"/>
        </w:rPr>
        <w:t>IS-</w:t>
      </w:r>
      <w:r>
        <w:rPr>
          <w:sz w:val="24"/>
        </w:rPr>
        <w:t>655-1963</w:t>
      </w:r>
      <w:r>
        <w:rPr>
          <w:spacing w:val="80"/>
          <w:sz w:val="24"/>
        </w:rPr>
        <w:t> </w:t>
      </w:r>
      <w:r>
        <w:rPr>
          <w:sz w:val="24"/>
        </w:rPr>
        <w:t>Metal</w:t>
      </w:r>
      <w:r>
        <w:rPr>
          <w:spacing w:val="80"/>
          <w:sz w:val="24"/>
        </w:rPr>
        <w:t> </w:t>
      </w:r>
      <w:r>
        <w:rPr>
          <w:sz w:val="24"/>
        </w:rPr>
        <w:t>Air</w:t>
      </w:r>
      <w:r>
        <w:rPr>
          <w:spacing w:val="80"/>
          <w:sz w:val="24"/>
        </w:rPr>
        <w:t> </w:t>
      </w:r>
      <w:r>
        <w:rPr>
          <w:sz w:val="24"/>
        </w:rPr>
        <w:t>Ducts</w:t>
      </w:r>
      <w:r>
        <w:rPr>
          <w:spacing w:val="80"/>
          <w:sz w:val="24"/>
        </w:rPr>
        <w:t> </w:t>
      </w:r>
      <w:r>
        <w:rPr>
          <w:sz w:val="24"/>
        </w:rPr>
        <w:t>(Revised).</w:t>
      </w:r>
    </w:p>
    <w:p>
      <w:pPr>
        <w:pStyle w:val="ListParagraph"/>
        <w:numPr>
          <w:ilvl w:val="0"/>
          <w:numId w:val="340"/>
        </w:numPr>
        <w:tabs>
          <w:tab w:pos="2024" w:val="left" w:leader="none"/>
          <w:tab w:pos="2026" w:val="left" w:leader="none"/>
        </w:tabs>
        <w:spacing w:line="240" w:lineRule="auto" w:before="241" w:after="0"/>
        <w:ind w:left="2026" w:right="791" w:hanging="454"/>
        <w:jc w:val="both"/>
        <w:rPr>
          <w:sz w:val="24"/>
        </w:rPr>
      </w:pPr>
      <w:r>
        <w:rPr>
          <w:sz w:val="24"/>
        </w:rPr>
        <w:t>Wherever the ducts pass through </w:t>
      </w:r>
      <w:r>
        <w:rPr>
          <w:spacing w:val="10"/>
          <w:sz w:val="24"/>
        </w:rPr>
        <w:t>fire-</w:t>
      </w:r>
      <w:r>
        <w:rPr>
          <w:sz w:val="24"/>
        </w:rPr>
        <w:t>walls or floors, the opening around</w:t>
      </w:r>
      <w:r>
        <w:rPr>
          <w:spacing w:val="40"/>
          <w:sz w:val="24"/>
        </w:rPr>
        <w:t> </w:t>
      </w:r>
      <w:r>
        <w:rPr>
          <w:sz w:val="24"/>
        </w:rPr>
        <w:t>the</w:t>
      </w:r>
      <w:r>
        <w:rPr>
          <w:spacing w:val="40"/>
          <w:sz w:val="24"/>
        </w:rPr>
        <w:t> </w:t>
      </w:r>
      <w:r>
        <w:rPr>
          <w:sz w:val="24"/>
        </w:rPr>
        <w:t>ducts</w:t>
      </w:r>
      <w:r>
        <w:rPr>
          <w:spacing w:val="40"/>
          <w:sz w:val="24"/>
        </w:rPr>
        <w:t> </w:t>
      </w:r>
      <w:r>
        <w:rPr>
          <w:sz w:val="24"/>
        </w:rPr>
        <w:t>shall</w:t>
      </w:r>
      <w:r>
        <w:rPr>
          <w:spacing w:val="40"/>
          <w:sz w:val="24"/>
        </w:rPr>
        <w:t> </w:t>
      </w:r>
      <w:r>
        <w:rPr>
          <w:sz w:val="24"/>
        </w:rPr>
        <w:t>be</w:t>
      </w:r>
      <w:r>
        <w:rPr>
          <w:spacing w:val="40"/>
          <w:sz w:val="24"/>
        </w:rPr>
        <w:t> </w:t>
      </w:r>
      <w:r>
        <w:rPr>
          <w:sz w:val="24"/>
        </w:rPr>
        <w:t>sealed</w:t>
      </w:r>
      <w:r>
        <w:rPr>
          <w:spacing w:val="40"/>
          <w:sz w:val="24"/>
        </w:rPr>
        <w:t> </w:t>
      </w:r>
      <w:r>
        <w:rPr>
          <w:sz w:val="24"/>
        </w:rPr>
        <w:t>with</w:t>
      </w:r>
      <w:r>
        <w:rPr>
          <w:spacing w:val="40"/>
          <w:sz w:val="24"/>
        </w:rPr>
        <w:t> </w:t>
      </w:r>
      <w:r>
        <w:rPr>
          <w:spacing w:val="11"/>
          <w:sz w:val="24"/>
        </w:rPr>
        <w:t>fire-</w:t>
      </w:r>
      <w:r>
        <w:rPr>
          <w:sz w:val="24"/>
        </w:rPr>
        <w:t>resisting</w:t>
      </w:r>
      <w:r>
        <w:rPr>
          <w:spacing w:val="40"/>
          <w:sz w:val="24"/>
        </w:rPr>
        <w:t> </w:t>
      </w:r>
      <w:r>
        <w:rPr>
          <w:sz w:val="24"/>
        </w:rPr>
        <w:t>materials</w:t>
      </w:r>
      <w:r>
        <w:rPr>
          <w:spacing w:val="40"/>
          <w:sz w:val="24"/>
        </w:rPr>
        <w:t> </w:t>
      </w:r>
      <w:r>
        <w:rPr>
          <w:sz w:val="24"/>
        </w:rPr>
        <w:t>such as</w:t>
      </w:r>
      <w:r>
        <w:rPr>
          <w:spacing w:val="80"/>
          <w:sz w:val="24"/>
        </w:rPr>
        <w:t> </w:t>
      </w:r>
      <w:r>
        <w:rPr>
          <w:sz w:val="24"/>
        </w:rPr>
        <w:t>asbestos</w:t>
      </w:r>
      <w:r>
        <w:rPr>
          <w:spacing w:val="80"/>
          <w:sz w:val="24"/>
        </w:rPr>
        <w:t> </w:t>
      </w:r>
      <w:r>
        <w:rPr>
          <w:sz w:val="24"/>
        </w:rPr>
        <w:t>rope</w:t>
      </w:r>
      <w:r>
        <w:rPr>
          <w:spacing w:val="80"/>
          <w:sz w:val="24"/>
        </w:rPr>
        <w:t> </w:t>
      </w:r>
      <w:r>
        <w:rPr>
          <w:sz w:val="24"/>
        </w:rPr>
        <w:t>or</w:t>
      </w:r>
      <w:r>
        <w:rPr>
          <w:spacing w:val="80"/>
          <w:sz w:val="24"/>
        </w:rPr>
        <w:t> </w:t>
      </w:r>
      <w:r>
        <w:rPr>
          <w:sz w:val="24"/>
        </w:rPr>
        <w:t>verniculire</w:t>
      </w:r>
      <w:r>
        <w:rPr>
          <w:spacing w:val="80"/>
          <w:sz w:val="24"/>
        </w:rPr>
        <w:t> </w:t>
      </w:r>
      <w:r>
        <w:rPr>
          <w:sz w:val="24"/>
        </w:rPr>
        <w:t>concrete</w:t>
      </w:r>
      <w:r>
        <w:rPr>
          <w:spacing w:val="80"/>
          <w:sz w:val="24"/>
        </w:rPr>
        <w:t> </w:t>
      </w:r>
      <w:r>
        <w:rPr>
          <w:sz w:val="24"/>
        </w:rPr>
        <w:t>glass</w:t>
      </w:r>
      <w:r>
        <w:rPr>
          <w:spacing w:val="80"/>
          <w:sz w:val="24"/>
        </w:rPr>
        <w:t> </w:t>
      </w:r>
      <w:r>
        <w:rPr>
          <w:sz w:val="24"/>
        </w:rPr>
        <w:t>wool.</w:t>
      </w:r>
    </w:p>
    <w:p>
      <w:pPr>
        <w:pStyle w:val="ListParagraph"/>
        <w:numPr>
          <w:ilvl w:val="0"/>
          <w:numId w:val="340"/>
        </w:numPr>
        <w:tabs>
          <w:tab w:pos="2023" w:val="left" w:leader="none"/>
          <w:tab w:pos="2026" w:val="left" w:leader="none"/>
        </w:tabs>
        <w:spacing w:line="240" w:lineRule="auto" w:before="239" w:after="0"/>
        <w:ind w:left="2026" w:right="799" w:hanging="454"/>
        <w:jc w:val="both"/>
        <w:rPr>
          <w:sz w:val="24"/>
        </w:rPr>
      </w:pPr>
      <w:r>
        <w:rPr>
          <w:sz w:val="24"/>
        </w:rPr>
        <w:t>As</w:t>
      </w:r>
      <w:r>
        <w:rPr>
          <w:spacing w:val="40"/>
          <w:sz w:val="24"/>
        </w:rPr>
        <w:t> </w:t>
      </w:r>
      <w:r>
        <w:rPr>
          <w:sz w:val="24"/>
        </w:rPr>
        <w:t>far</w:t>
      </w:r>
      <w:r>
        <w:rPr>
          <w:spacing w:val="40"/>
          <w:sz w:val="24"/>
        </w:rPr>
        <w:t> </w:t>
      </w:r>
      <w:r>
        <w:rPr>
          <w:sz w:val="24"/>
        </w:rPr>
        <w:t>as</w:t>
      </w:r>
      <w:r>
        <w:rPr>
          <w:spacing w:val="40"/>
          <w:sz w:val="24"/>
        </w:rPr>
        <w:t> </w:t>
      </w:r>
      <w:r>
        <w:rPr>
          <w:sz w:val="24"/>
        </w:rPr>
        <w:t>possible,</w:t>
      </w:r>
      <w:r>
        <w:rPr>
          <w:spacing w:val="40"/>
          <w:sz w:val="24"/>
        </w:rPr>
        <w:t> </w:t>
      </w:r>
      <w:r>
        <w:rPr>
          <w:sz w:val="24"/>
        </w:rPr>
        <w:t>metallic</w:t>
      </w:r>
      <w:r>
        <w:rPr>
          <w:spacing w:val="40"/>
          <w:sz w:val="24"/>
        </w:rPr>
        <w:t> </w:t>
      </w:r>
      <w:r>
        <w:rPr>
          <w:sz w:val="24"/>
        </w:rPr>
        <w:t>ducts</w:t>
      </w:r>
      <w:r>
        <w:rPr>
          <w:spacing w:val="40"/>
          <w:sz w:val="24"/>
        </w:rPr>
        <w:t> </w:t>
      </w:r>
      <w:r>
        <w:rPr>
          <w:sz w:val="24"/>
        </w:rPr>
        <w:t>shall</w:t>
      </w:r>
      <w:r>
        <w:rPr>
          <w:spacing w:val="40"/>
          <w:sz w:val="24"/>
        </w:rPr>
        <w:t> </w:t>
      </w:r>
      <w:r>
        <w:rPr>
          <w:sz w:val="24"/>
        </w:rPr>
        <w:t>be</w:t>
      </w:r>
      <w:r>
        <w:rPr>
          <w:spacing w:val="40"/>
          <w:sz w:val="24"/>
        </w:rPr>
        <w:t> </w:t>
      </w:r>
      <w:r>
        <w:rPr>
          <w:sz w:val="24"/>
        </w:rPr>
        <w:t>used</w:t>
      </w:r>
      <w:r>
        <w:rPr>
          <w:spacing w:val="40"/>
          <w:sz w:val="24"/>
        </w:rPr>
        <w:t> </w:t>
      </w:r>
      <w:r>
        <w:rPr>
          <w:sz w:val="24"/>
        </w:rPr>
        <w:t>even</w:t>
      </w:r>
      <w:r>
        <w:rPr>
          <w:spacing w:val="40"/>
          <w:sz w:val="24"/>
        </w:rPr>
        <w:t> </w:t>
      </w:r>
      <w:r>
        <w:rPr>
          <w:sz w:val="24"/>
        </w:rPr>
        <w:t>for</w:t>
      </w:r>
      <w:r>
        <w:rPr>
          <w:spacing w:val="40"/>
          <w:sz w:val="24"/>
        </w:rPr>
        <w:t> </w:t>
      </w:r>
      <w:r>
        <w:rPr>
          <w:sz w:val="24"/>
        </w:rPr>
        <w:t>the</w:t>
      </w:r>
      <w:r>
        <w:rPr>
          <w:spacing w:val="40"/>
          <w:sz w:val="24"/>
        </w:rPr>
        <w:t> </w:t>
      </w:r>
      <w:r>
        <w:rPr>
          <w:sz w:val="24"/>
        </w:rPr>
        <w:t>return air</w:t>
      </w:r>
      <w:r>
        <w:rPr>
          <w:spacing w:val="40"/>
          <w:sz w:val="24"/>
        </w:rPr>
        <w:t> </w:t>
      </w:r>
      <w:r>
        <w:rPr>
          <w:sz w:val="24"/>
        </w:rPr>
        <w:t>instead</w:t>
      </w:r>
      <w:r>
        <w:rPr>
          <w:spacing w:val="40"/>
          <w:sz w:val="24"/>
        </w:rPr>
        <w:t> </w:t>
      </w:r>
      <w:r>
        <w:rPr>
          <w:sz w:val="24"/>
        </w:rPr>
        <w:t>of</w:t>
      </w:r>
      <w:r>
        <w:rPr>
          <w:spacing w:val="40"/>
          <w:sz w:val="24"/>
        </w:rPr>
        <w:t> </w:t>
      </w:r>
      <w:r>
        <w:rPr>
          <w:sz w:val="24"/>
        </w:rPr>
        <w:t>space</w:t>
      </w:r>
      <w:r>
        <w:rPr>
          <w:spacing w:val="40"/>
          <w:sz w:val="24"/>
        </w:rPr>
        <w:t> </w:t>
      </w:r>
      <w:r>
        <w:rPr>
          <w:sz w:val="24"/>
        </w:rPr>
        <w:t>above</w:t>
      </w:r>
      <w:r>
        <w:rPr>
          <w:spacing w:val="40"/>
          <w:sz w:val="24"/>
        </w:rPr>
        <w:t> </w:t>
      </w:r>
      <w:r>
        <w:rPr>
          <w:sz w:val="24"/>
        </w:rPr>
        <w:t>the</w:t>
      </w:r>
      <w:r>
        <w:rPr>
          <w:spacing w:val="40"/>
          <w:sz w:val="24"/>
        </w:rPr>
        <w:t> </w:t>
      </w:r>
      <w:r>
        <w:rPr>
          <w:sz w:val="24"/>
        </w:rPr>
        <w:t>false</w:t>
      </w:r>
      <w:r>
        <w:rPr>
          <w:spacing w:val="40"/>
          <w:sz w:val="24"/>
        </w:rPr>
        <w:t> </w:t>
      </w:r>
      <w:r>
        <w:rPr>
          <w:spacing w:val="9"/>
          <w:sz w:val="24"/>
        </w:rPr>
        <w:t>ceiling.</w:t>
      </w:r>
    </w:p>
    <w:p>
      <w:pPr>
        <w:pStyle w:val="ListParagraph"/>
        <w:numPr>
          <w:ilvl w:val="0"/>
          <w:numId w:val="340"/>
        </w:numPr>
        <w:tabs>
          <w:tab w:pos="2024" w:val="left" w:leader="none"/>
          <w:tab w:pos="2026" w:val="left" w:leader="none"/>
        </w:tabs>
        <w:spacing w:line="240" w:lineRule="auto" w:before="241" w:after="0"/>
        <w:ind w:left="2026" w:right="796" w:hanging="454"/>
        <w:jc w:val="both"/>
        <w:rPr>
          <w:sz w:val="24"/>
        </w:rPr>
      </w:pPr>
      <w:r>
        <w:rPr>
          <w:sz w:val="24"/>
        </w:rPr>
        <w:t>The</w:t>
      </w:r>
      <w:r>
        <w:rPr>
          <w:spacing w:val="40"/>
          <w:sz w:val="24"/>
        </w:rPr>
        <w:t> </w:t>
      </w:r>
      <w:r>
        <w:rPr>
          <w:sz w:val="24"/>
        </w:rPr>
        <w:t>materials</w:t>
      </w:r>
      <w:r>
        <w:rPr>
          <w:spacing w:val="40"/>
          <w:sz w:val="24"/>
        </w:rPr>
        <w:t> </w:t>
      </w:r>
      <w:r>
        <w:rPr>
          <w:sz w:val="24"/>
        </w:rPr>
        <w:t>used</w:t>
      </w:r>
      <w:r>
        <w:rPr>
          <w:spacing w:val="40"/>
          <w:sz w:val="24"/>
        </w:rPr>
        <w:t> </w:t>
      </w:r>
      <w:r>
        <w:rPr>
          <w:sz w:val="24"/>
        </w:rPr>
        <w:t>for</w:t>
      </w:r>
      <w:r>
        <w:rPr>
          <w:spacing w:val="40"/>
          <w:sz w:val="24"/>
        </w:rPr>
        <w:t> </w:t>
      </w:r>
      <w:r>
        <w:rPr>
          <w:sz w:val="24"/>
        </w:rPr>
        <w:t>insulating</w:t>
      </w:r>
      <w:r>
        <w:rPr>
          <w:spacing w:val="40"/>
          <w:sz w:val="24"/>
        </w:rPr>
        <w:t> </w:t>
      </w:r>
      <w:r>
        <w:rPr>
          <w:sz w:val="24"/>
        </w:rPr>
        <w:t>the</w:t>
      </w:r>
      <w:r>
        <w:rPr>
          <w:spacing w:val="40"/>
          <w:sz w:val="24"/>
        </w:rPr>
        <w:t> </w:t>
      </w:r>
      <w:r>
        <w:rPr>
          <w:sz w:val="24"/>
        </w:rPr>
        <w:t>duct</w:t>
      </w:r>
      <w:r>
        <w:rPr>
          <w:spacing w:val="40"/>
          <w:sz w:val="24"/>
        </w:rPr>
        <w:t> </w:t>
      </w:r>
      <w:r>
        <w:rPr>
          <w:sz w:val="24"/>
        </w:rPr>
        <w:t>system</w:t>
      </w:r>
      <w:r>
        <w:rPr>
          <w:spacing w:val="40"/>
          <w:sz w:val="24"/>
        </w:rPr>
        <w:t> </w:t>
      </w:r>
      <w:r>
        <w:rPr>
          <w:sz w:val="24"/>
        </w:rPr>
        <w:t>(inside</w:t>
      </w:r>
      <w:r>
        <w:rPr>
          <w:spacing w:val="40"/>
          <w:sz w:val="24"/>
        </w:rPr>
        <w:t> </w:t>
      </w:r>
      <w:r>
        <w:rPr>
          <w:sz w:val="24"/>
        </w:rPr>
        <w:t>or</w:t>
      </w:r>
      <w:r>
        <w:rPr>
          <w:spacing w:val="40"/>
          <w:sz w:val="24"/>
        </w:rPr>
        <w:t> </w:t>
      </w:r>
      <w:r>
        <w:rPr>
          <w:sz w:val="24"/>
        </w:rPr>
        <w:t>outside) shall be of </w:t>
      </w:r>
      <w:r>
        <w:rPr>
          <w:spacing w:val="9"/>
          <w:sz w:val="24"/>
        </w:rPr>
        <w:t>non-</w:t>
      </w:r>
      <w:r>
        <w:rPr>
          <w:sz w:val="24"/>
        </w:rPr>
        <w:t>combustible materials such as glass wool, spun</w:t>
      </w:r>
      <w:r>
        <w:rPr>
          <w:spacing w:val="40"/>
          <w:sz w:val="24"/>
        </w:rPr>
        <w:t> </w:t>
      </w:r>
      <w:r>
        <w:rPr>
          <w:sz w:val="24"/>
        </w:rPr>
        <w:t>glass</w:t>
      </w:r>
      <w:r>
        <w:rPr>
          <w:spacing w:val="40"/>
          <w:sz w:val="24"/>
        </w:rPr>
        <w:t> </w:t>
      </w:r>
      <w:r>
        <w:rPr>
          <w:sz w:val="24"/>
        </w:rPr>
        <w:t>with</w:t>
      </w:r>
      <w:r>
        <w:rPr>
          <w:spacing w:val="40"/>
          <w:sz w:val="24"/>
        </w:rPr>
        <w:t> </w:t>
      </w:r>
      <w:r>
        <w:rPr>
          <w:sz w:val="24"/>
        </w:rPr>
        <w:t>neoprene</w:t>
      </w:r>
      <w:r>
        <w:rPr>
          <w:spacing w:val="40"/>
          <w:sz w:val="24"/>
        </w:rPr>
        <w:t> </w:t>
      </w:r>
      <w:r>
        <w:rPr>
          <w:spacing w:val="9"/>
          <w:sz w:val="24"/>
        </w:rPr>
        <w:t>facing.</w:t>
      </w:r>
    </w:p>
    <w:p>
      <w:pPr>
        <w:pStyle w:val="ListParagraph"/>
        <w:numPr>
          <w:ilvl w:val="0"/>
          <w:numId w:val="340"/>
        </w:numPr>
        <w:tabs>
          <w:tab w:pos="2023" w:val="left" w:leader="none"/>
          <w:tab w:pos="2026" w:val="left" w:leader="none"/>
        </w:tabs>
        <w:spacing w:line="240" w:lineRule="auto" w:before="240" w:after="0"/>
        <w:ind w:left="2026" w:right="797" w:hanging="454"/>
        <w:jc w:val="both"/>
        <w:rPr>
          <w:sz w:val="24"/>
        </w:rPr>
      </w:pPr>
      <w:r>
        <w:rPr>
          <w:sz w:val="24"/>
        </w:rPr>
        <w:t>Area</w:t>
      </w:r>
      <w:r>
        <w:rPr>
          <w:spacing w:val="40"/>
          <w:sz w:val="24"/>
        </w:rPr>
        <w:t> </w:t>
      </w:r>
      <w:r>
        <w:rPr>
          <w:sz w:val="24"/>
        </w:rPr>
        <w:t>more</w:t>
      </w:r>
      <w:r>
        <w:rPr>
          <w:spacing w:val="40"/>
          <w:sz w:val="24"/>
        </w:rPr>
        <w:t> </w:t>
      </w:r>
      <w:r>
        <w:rPr>
          <w:sz w:val="24"/>
        </w:rPr>
        <w:t>than</w:t>
      </w:r>
      <w:r>
        <w:rPr>
          <w:spacing w:val="40"/>
          <w:sz w:val="24"/>
        </w:rPr>
        <w:t> </w:t>
      </w:r>
      <w:r>
        <w:rPr>
          <w:sz w:val="24"/>
        </w:rPr>
        <w:t>750</w:t>
      </w:r>
      <w:r>
        <w:rPr>
          <w:spacing w:val="40"/>
          <w:sz w:val="24"/>
        </w:rPr>
        <w:t> </w:t>
      </w:r>
      <w:r>
        <w:rPr>
          <w:sz w:val="24"/>
        </w:rPr>
        <w:t>sq.</w:t>
      </w:r>
      <w:r>
        <w:rPr>
          <w:spacing w:val="40"/>
          <w:sz w:val="24"/>
        </w:rPr>
        <w:t> </w:t>
      </w:r>
      <w:r>
        <w:rPr>
          <w:sz w:val="24"/>
        </w:rPr>
        <w:t>m</w:t>
      </w:r>
      <w:r>
        <w:rPr>
          <w:spacing w:val="40"/>
          <w:sz w:val="24"/>
        </w:rPr>
        <w:t> </w:t>
      </w:r>
      <w:r>
        <w:rPr>
          <w:sz w:val="24"/>
        </w:rPr>
        <w:t>on</w:t>
      </w:r>
      <w:r>
        <w:rPr>
          <w:spacing w:val="40"/>
          <w:sz w:val="24"/>
        </w:rPr>
        <w:t> </w:t>
      </w:r>
      <w:r>
        <w:rPr>
          <w:sz w:val="24"/>
        </w:rPr>
        <w:t>the</w:t>
      </w:r>
      <w:r>
        <w:rPr>
          <w:spacing w:val="40"/>
          <w:sz w:val="24"/>
        </w:rPr>
        <w:t> </w:t>
      </w:r>
      <w:r>
        <w:rPr>
          <w:sz w:val="24"/>
        </w:rPr>
        <w:t>individual</w:t>
      </w:r>
      <w:r>
        <w:rPr>
          <w:spacing w:val="40"/>
          <w:sz w:val="24"/>
        </w:rPr>
        <w:t> </w:t>
      </w:r>
      <w:r>
        <w:rPr>
          <w:sz w:val="24"/>
        </w:rPr>
        <w:t>floor</w:t>
      </w:r>
      <w:r>
        <w:rPr>
          <w:spacing w:val="40"/>
          <w:sz w:val="24"/>
        </w:rPr>
        <w:t> </w:t>
      </w:r>
      <w:r>
        <w:rPr>
          <w:sz w:val="24"/>
        </w:rPr>
        <w:t>shall</w:t>
      </w:r>
      <w:r>
        <w:rPr>
          <w:spacing w:val="40"/>
          <w:sz w:val="24"/>
        </w:rPr>
        <w:t> </w:t>
      </w:r>
      <w:r>
        <w:rPr>
          <w:sz w:val="24"/>
        </w:rPr>
        <w:t>be segregated by</w:t>
      </w:r>
      <w:r>
        <w:rPr>
          <w:spacing w:val="40"/>
          <w:sz w:val="24"/>
        </w:rPr>
        <w:t> </w:t>
      </w:r>
      <w:r>
        <w:rPr>
          <w:sz w:val="24"/>
        </w:rPr>
        <w:t>a </w:t>
      </w:r>
      <w:r>
        <w:rPr>
          <w:spacing w:val="9"/>
          <w:sz w:val="24"/>
        </w:rPr>
        <w:t>fire-</w:t>
      </w:r>
      <w:r>
        <w:rPr>
          <w:sz w:val="24"/>
        </w:rPr>
        <w:t>wall and automatic fire</w:t>
      </w:r>
      <w:r>
        <w:rPr>
          <w:spacing w:val="40"/>
          <w:sz w:val="24"/>
        </w:rPr>
        <w:t> </w:t>
      </w:r>
      <w:r>
        <w:rPr>
          <w:sz w:val="24"/>
        </w:rPr>
        <w:t>dampers for isolation</w:t>
      </w:r>
      <w:r>
        <w:rPr>
          <w:spacing w:val="40"/>
          <w:sz w:val="24"/>
        </w:rPr>
        <w:t> </w:t>
      </w:r>
      <w:r>
        <w:rPr>
          <w:sz w:val="24"/>
        </w:rPr>
        <w:t>shall be provided where the ducts pass through fire walls.</w:t>
      </w:r>
      <w:r>
        <w:rPr>
          <w:spacing w:val="40"/>
          <w:sz w:val="24"/>
        </w:rPr>
        <w:t> </w:t>
      </w:r>
      <w:r>
        <w:rPr>
          <w:sz w:val="24"/>
        </w:rPr>
        <w:t>The fire dampers</w:t>
      </w:r>
      <w:r>
        <w:rPr>
          <w:spacing w:val="40"/>
          <w:sz w:val="24"/>
        </w:rPr>
        <w:t> </w:t>
      </w:r>
      <w:r>
        <w:rPr>
          <w:sz w:val="24"/>
        </w:rPr>
        <w:t>shall</w:t>
      </w:r>
      <w:r>
        <w:rPr>
          <w:spacing w:val="40"/>
          <w:sz w:val="24"/>
        </w:rPr>
        <w:t> </w:t>
      </w:r>
      <w:r>
        <w:rPr>
          <w:sz w:val="24"/>
        </w:rPr>
        <w:t>be</w:t>
      </w:r>
      <w:r>
        <w:rPr>
          <w:spacing w:val="40"/>
          <w:sz w:val="24"/>
        </w:rPr>
        <w:t> </w:t>
      </w:r>
      <w:r>
        <w:rPr>
          <w:sz w:val="24"/>
        </w:rPr>
        <w:t>capable</w:t>
      </w:r>
      <w:r>
        <w:rPr>
          <w:spacing w:val="40"/>
          <w:sz w:val="24"/>
        </w:rPr>
        <w:t> </w:t>
      </w:r>
      <w:r>
        <w:rPr>
          <w:sz w:val="24"/>
        </w:rPr>
        <w:t>of</w:t>
      </w:r>
      <w:r>
        <w:rPr>
          <w:spacing w:val="40"/>
          <w:sz w:val="24"/>
        </w:rPr>
        <w:t> </w:t>
      </w:r>
      <w:r>
        <w:rPr>
          <w:sz w:val="24"/>
        </w:rPr>
        <w:t>operating</w:t>
      </w:r>
      <w:r>
        <w:rPr>
          <w:spacing w:val="40"/>
          <w:sz w:val="24"/>
        </w:rPr>
        <w:t> </w:t>
      </w:r>
      <w:r>
        <w:rPr>
          <w:spacing w:val="9"/>
          <w:sz w:val="24"/>
        </w:rPr>
        <w:t>manually.</w:t>
      </w:r>
    </w:p>
    <w:p>
      <w:pPr>
        <w:pStyle w:val="ListParagraph"/>
        <w:numPr>
          <w:ilvl w:val="0"/>
          <w:numId w:val="340"/>
        </w:numPr>
        <w:tabs>
          <w:tab w:pos="2024" w:val="left" w:leader="none"/>
          <w:tab w:pos="2026" w:val="left" w:leader="none"/>
        </w:tabs>
        <w:spacing w:line="240" w:lineRule="auto" w:before="239" w:after="0"/>
        <w:ind w:left="2026" w:right="798" w:hanging="454"/>
        <w:jc w:val="both"/>
        <w:rPr>
          <w:sz w:val="24"/>
        </w:rPr>
      </w:pPr>
      <w:r>
        <w:rPr>
          <w:sz w:val="24"/>
        </w:rPr>
        <w:t>Air</w:t>
      </w:r>
      <w:r>
        <w:rPr>
          <w:spacing w:val="40"/>
          <w:sz w:val="24"/>
        </w:rPr>
        <w:t> </w:t>
      </w:r>
      <w:r>
        <w:rPr>
          <w:sz w:val="24"/>
        </w:rPr>
        <w:t>ducts</w:t>
      </w:r>
      <w:r>
        <w:rPr>
          <w:spacing w:val="40"/>
          <w:sz w:val="24"/>
        </w:rPr>
        <w:t> </w:t>
      </w:r>
      <w:r>
        <w:rPr>
          <w:sz w:val="24"/>
        </w:rPr>
        <w:t>serving</w:t>
      </w:r>
      <w:r>
        <w:rPr>
          <w:spacing w:val="40"/>
          <w:sz w:val="24"/>
        </w:rPr>
        <w:t> </w:t>
      </w:r>
      <w:r>
        <w:rPr>
          <w:sz w:val="24"/>
        </w:rPr>
        <w:t>floor</w:t>
      </w:r>
      <w:r>
        <w:rPr>
          <w:spacing w:val="40"/>
          <w:sz w:val="24"/>
        </w:rPr>
        <w:t> </w:t>
      </w:r>
      <w:r>
        <w:rPr>
          <w:sz w:val="24"/>
        </w:rPr>
        <w:t>areas,</w:t>
      </w:r>
      <w:r>
        <w:rPr>
          <w:spacing w:val="40"/>
          <w:sz w:val="24"/>
        </w:rPr>
        <w:t> </w:t>
      </w:r>
      <w:r>
        <w:rPr>
          <w:sz w:val="24"/>
        </w:rPr>
        <w:t>corridor</w:t>
      </w:r>
      <w:r>
        <w:rPr>
          <w:spacing w:val="40"/>
          <w:sz w:val="24"/>
        </w:rPr>
        <w:t> </w:t>
      </w:r>
      <w:r>
        <w:rPr>
          <w:sz w:val="24"/>
        </w:rPr>
        <w:t>etc.</w:t>
      </w:r>
      <w:r>
        <w:rPr>
          <w:spacing w:val="40"/>
          <w:sz w:val="24"/>
        </w:rPr>
        <w:t> </w:t>
      </w:r>
      <w:r>
        <w:rPr>
          <w:sz w:val="24"/>
        </w:rPr>
        <w:t>shall</w:t>
      </w:r>
      <w:r>
        <w:rPr>
          <w:spacing w:val="40"/>
          <w:sz w:val="24"/>
        </w:rPr>
        <w:t> </w:t>
      </w:r>
      <w:r>
        <w:rPr>
          <w:sz w:val="24"/>
        </w:rPr>
        <w:t>not</w:t>
      </w:r>
      <w:r>
        <w:rPr>
          <w:spacing w:val="40"/>
          <w:sz w:val="24"/>
        </w:rPr>
        <w:t> </w:t>
      </w:r>
      <w:r>
        <w:rPr>
          <w:sz w:val="24"/>
        </w:rPr>
        <w:t>pass</w:t>
      </w:r>
      <w:r>
        <w:rPr>
          <w:spacing w:val="40"/>
          <w:sz w:val="24"/>
        </w:rPr>
        <w:t> </w:t>
      </w:r>
      <w:r>
        <w:rPr>
          <w:sz w:val="24"/>
        </w:rPr>
        <w:t>through the staircase </w:t>
      </w:r>
      <w:r>
        <w:rPr>
          <w:spacing w:val="9"/>
          <w:sz w:val="24"/>
        </w:rPr>
        <w:t>enclosure.</w:t>
      </w:r>
    </w:p>
    <w:p>
      <w:pPr>
        <w:pStyle w:val="ListParagraph"/>
        <w:numPr>
          <w:ilvl w:val="0"/>
          <w:numId w:val="340"/>
        </w:numPr>
        <w:tabs>
          <w:tab w:pos="2023" w:val="left" w:leader="none"/>
          <w:tab w:pos="2026" w:val="left" w:leader="none"/>
        </w:tabs>
        <w:spacing w:line="240" w:lineRule="auto" w:before="240" w:after="0"/>
        <w:ind w:left="2026" w:right="800" w:hanging="454"/>
        <w:jc w:val="both"/>
        <w:rPr>
          <w:sz w:val="24"/>
        </w:rPr>
      </w:pPr>
      <w:r>
        <w:rPr>
          <w:sz w:val="24"/>
        </w:rPr>
        <w:t>The air handling units shall as far as possible be separate for each floor and air ducts for every floor shall be separate and in no way interconnected</w:t>
      </w:r>
      <w:r>
        <w:rPr>
          <w:spacing w:val="80"/>
          <w:sz w:val="24"/>
        </w:rPr>
        <w:t> </w:t>
      </w:r>
      <w:r>
        <w:rPr>
          <w:sz w:val="24"/>
        </w:rPr>
        <w:t>with</w:t>
      </w:r>
      <w:r>
        <w:rPr>
          <w:spacing w:val="40"/>
          <w:sz w:val="24"/>
        </w:rPr>
        <w:t> </w:t>
      </w:r>
      <w:r>
        <w:rPr>
          <w:sz w:val="24"/>
        </w:rPr>
        <w:t>the</w:t>
      </w:r>
      <w:r>
        <w:rPr>
          <w:spacing w:val="40"/>
          <w:sz w:val="24"/>
        </w:rPr>
        <w:t> </w:t>
      </w:r>
      <w:r>
        <w:rPr>
          <w:sz w:val="24"/>
        </w:rPr>
        <w:t>ducting</w:t>
      </w:r>
      <w:r>
        <w:rPr>
          <w:spacing w:val="80"/>
          <w:sz w:val="24"/>
        </w:rPr>
        <w:t> </w:t>
      </w:r>
      <w:r>
        <w:rPr>
          <w:sz w:val="24"/>
        </w:rPr>
        <w:t>of</w:t>
      </w:r>
      <w:r>
        <w:rPr>
          <w:spacing w:val="40"/>
          <w:sz w:val="24"/>
        </w:rPr>
        <w:t> </w:t>
      </w:r>
      <w:r>
        <w:rPr>
          <w:sz w:val="24"/>
        </w:rPr>
        <w:t>any</w:t>
      </w:r>
      <w:r>
        <w:rPr>
          <w:spacing w:val="40"/>
          <w:sz w:val="24"/>
        </w:rPr>
        <w:t> </w:t>
      </w:r>
      <w:r>
        <w:rPr>
          <w:sz w:val="24"/>
        </w:rPr>
        <w:t>other</w:t>
      </w:r>
      <w:r>
        <w:rPr>
          <w:spacing w:val="40"/>
          <w:sz w:val="24"/>
        </w:rPr>
        <w:t> </w:t>
      </w:r>
      <w:r>
        <w:rPr>
          <w:sz w:val="24"/>
        </w:rPr>
        <w:t>floors.</w:t>
      </w:r>
    </w:p>
    <w:p>
      <w:pPr>
        <w:pStyle w:val="ListParagraph"/>
        <w:numPr>
          <w:ilvl w:val="0"/>
          <w:numId w:val="340"/>
        </w:numPr>
        <w:tabs>
          <w:tab w:pos="2024" w:val="left" w:leader="none"/>
          <w:tab w:pos="2026" w:val="left" w:leader="none"/>
        </w:tabs>
        <w:spacing w:line="240" w:lineRule="auto" w:before="240" w:after="0"/>
        <w:ind w:left="2026" w:right="781" w:hanging="454"/>
        <w:jc w:val="both"/>
        <w:rPr>
          <w:sz w:val="24"/>
        </w:rPr>
      </w:pPr>
      <w:r>
        <w:rPr>
          <w:sz w:val="24"/>
        </w:rPr>
        <w:t>Automatic</w:t>
      </w:r>
      <w:r>
        <w:rPr>
          <w:spacing w:val="40"/>
          <w:sz w:val="24"/>
        </w:rPr>
        <w:t> </w:t>
      </w:r>
      <w:r>
        <w:rPr>
          <w:sz w:val="24"/>
        </w:rPr>
        <w:t>fire</w:t>
      </w:r>
      <w:r>
        <w:rPr>
          <w:spacing w:val="40"/>
          <w:sz w:val="24"/>
        </w:rPr>
        <w:t> </w:t>
      </w:r>
      <w:r>
        <w:rPr>
          <w:sz w:val="24"/>
        </w:rPr>
        <w:t>dampers</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at</w:t>
      </w:r>
      <w:r>
        <w:rPr>
          <w:spacing w:val="40"/>
          <w:sz w:val="24"/>
        </w:rPr>
        <w:t> </w:t>
      </w:r>
      <w:r>
        <w:rPr>
          <w:sz w:val="24"/>
        </w:rPr>
        <w:t>the</w:t>
      </w:r>
      <w:r>
        <w:rPr>
          <w:spacing w:val="40"/>
          <w:sz w:val="24"/>
        </w:rPr>
        <w:t> </w:t>
      </w:r>
      <w:r>
        <w:rPr>
          <w:sz w:val="24"/>
        </w:rPr>
        <w:t>inlet</w:t>
      </w:r>
      <w:r>
        <w:rPr>
          <w:spacing w:val="40"/>
          <w:sz w:val="24"/>
        </w:rPr>
        <w:t> </w:t>
      </w:r>
      <w:r>
        <w:rPr>
          <w:sz w:val="24"/>
        </w:rPr>
        <w:t>of</w:t>
      </w:r>
      <w:r>
        <w:rPr>
          <w:spacing w:val="40"/>
          <w:sz w:val="24"/>
        </w:rPr>
        <w:t> </w:t>
      </w:r>
      <w:r>
        <w:rPr>
          <w:sz w:val="24"/>
        </w:rPr>
        <w:t>the</w:t>
      </w:r>
      <w:r>
        <w:rPr>
          <w:spacing w:val="40"/>
          <w:sz w:val="24"/>
        </w:rPr>
        <w:t> </w:t>
      </w:r>
      <w:r>
        <w:rPr>
          <w:sz w:val="24"/>
        </w:rPr>
        <w:t>fresh air</w:t>
      </w:r>
      <w:r>
        <w:rPr>
          <w:spacing w:val="79"/>
          <w:sz w:val="24"/>
        </w:rPr>
        <w:t> </w:t>
      </w:r>
      <w:r>
        <w:rPr>
          <w:sz w:val="24"/>
        </w:rPr>
        <w:t>duct</w:t>
      </w:r>
      <w:r>
        <w:rPr>
          <w:spacing w:val="79"/>
          <w:sz w:val="24"/>
        </w:rPr>
        <w:t> </w:t>
      </w:r>
      <w:r>
        <w:rPr>
          <w:sz w:val="24"/>
        </w:rPr>
        <w:t>and</w:t>
      </w:r>
      <w:r>
        <w:rPr>
          <w:spacing w:val="79"/>
          <w:sz w:val="24"/>
        </w:rPr>
        <w:t> </w:t>
      </w:r>
      <w:r>
        <w:rPr>
          <w:sz w:val="24"/>
        </w:rPr>
        <w:t>the</w:t>
      </w:r>
      <w:r>
        <w:rPr>
          <w:spacing w:val="79"/>
          <w:sz w:val="24"/>
        </w:rPr>
        <w:t> </w:t>
      </w:r>
      <w:r>
        <w:rPr>
          <w:spacing w:val="11"/>
          <w:sz w:val="24"/>
        </w:rPr>
        <w:t>re-</w:t>
      </w:r>
      <w:r>
        <w:rPr>
          <w:sz w:val="24"/>
        </w:rPr>
        <w:t>turn</w:t>
      </w:r>
      <w:r>
        <w:rPr>
          <w:spacing w:val="79"/>
          <w:sz w:val="24"/>
        </w:rPr>
        <w:t> </w:t>
      </w:r>
      <w:r>
        <w:rPr>
          <w:sz w:val="24"/>
        </w:rPr>
        <w:t>air</w:t>
      </w:r>
      <w:r>
        <w:rPr>
          <w:spacing w:val="79"/>
          <w:sz w:val="24"/>
        </w:rPr>
        <w:t> </w:t>
      </w:r>
      <w:r>
        <w:rPr>
          <w:sz w:val="24"/>
        </w:rPr>
        <w:t>duct</w:t>
      </w:r>
      <w:r>
        <w:rPr>
          <w:spacing w:val="79"/>
          <w:sz w:val="24"/>
        </w:rPr>
        <w:t> </w:t>
      </w:r>
      <w:r>
        <w:rPr>
          <w:sz w:val="24"/>
        </w:rPr>
        <w:t>of</w:t>
      </w:r>
      <w:r>
        <w:rPr>
          <w:spacing w:val="79"/>
          <w:sz w:val="24"/>
        </w:rPr>
        <w:t> </w:t>
      </w:r>
      <w:r>
        <w:rPr>
          <w:sz w:val="24"/>
        </w:rPr>
        <w:t>each</w:t>
      </w:r>
      <w:r>
        <w:rPr>
          <w:spacing w:val="79"/>
          <w:sz w:val="24"/>
        </w:rPr>
        <w:t> </w:t>
      </w:r>
      <w:r>
        <w:rPr>
          <w:sz w:val="24"/>
        </w:rPr>
        <w:t>compartment</w:t>
      </w:r>
      <w:r>
        <w:rPr>
          <w:spacing w:val="80"/>
          <w:sz w:val="24"/>
        </w:rPr>
        <w:t> </w:t>
      </w:r>
      <w:r>
        <w:rPr>
          <w:sz w:val="24"/>
        </w:rPr>
        <w:t>on</w:t>
      </w:r>
      <w:r>
        <w:rPr>
          <w:spacing w:val="79"/>
          <w:sz w:val="24"/>
        </w:rPr>
        <w:t> </w:t>
      </w:r>
      <w:r>
        <w:rPr>
          <w:sz w:val="24"/>
        </w:rPr>
        <w:t>every</w:t>
      </w:r>
    </w:p>
    <w:p>
      <w:pPr>
        <w:pStyle w:val="ListParagraph"/>
        <w:spacing w:after="0" w:line="240" w:lineRule="auto"/>
        <w:jc w:val="both"/>
        <w:rPr>
          <w:sz w:val="24"/>
        </w:rPr>
        <w:sectPr>
          <w:pgSz w:w="11910" w:h="16850"/>
          <w:pgMar w:header="1024" w:footer="1302" w:top="1480" w:bottom="1500" w:left="360" w:right="360"/>
        </w:sectPr>
      </w:pPr>
    </w:p>
    <w:p>
      <w:pPr>
        <w:pStyle w:val="BodyText"/>
        <w:spacing w:before="276"/>
        <w:ind w:left="2026" w:right="792"/>
      </w:pPr>
      <w:r>
        <w:rPr/>
        <w:t>floor.They</w:t>
      </w:r>
      <w:r>
        <w:rPr>
          <w:spacing w:val="40"/>
        </w:rPr>
        <w:t> </w:t>
      </w:r>
      <w:r>
        <w:rPr/>
        <w:t>shall</w:t>
      </w:r>
      <w:r>
        <w:rPr>
          <w:spacing w:val="40"/>
        </w:rPr>
        <w:t> </w:t>
      </w:r>
      <w:r>
        <w:rPr/>
        <w:t>be</w:t>
      </w:r>
      <w:r>
        <w:rPr>
          <w:spacing w:val="40"/>
        </w:rPr>
        <w:t> </w:t>
      </w:r>
      <w:r>
        <w:rPr/>
        <w:t>so</w:t>
      </w:r>
      <w:r>
        <w:rPr>
          <w:spacing w:val="40"/>
        </w:rPr>
        <w:t> </w:t>
      </w:r>
      <w:r>
        <w:rPr/>
        <w:t>arranged</w:t>
      </w:r>
      <w:r>
        <w:rPr>
          <w:spacing w:val="40"/>
        </w:rPr>
        <w:t> </w:t>
      </w:r>
      <w:r>
        <w:rPr/>
        <w:t>as</w:t>
      </w:r>
      <w:r>
        <w:rPr>
          <w:spacing w:val="40"/>
        </w:rPr>
        <w:t> </w:t>
      </w:r>
      <w:r>
        <w:rPr/>
        <w:t>to</w:t>
      </w:r>
      <w:r>
        <w:rPr>
          <w:spacing w:val="40"/>
        </w:rPr>
        <w:t> </w:t>
      </w:r>
      <w:r>
        <w:rPr/>
        <w:t>close</w:t>
      </w:r>
      <w:r>
        <w:rPr>
          <w:spacing w:val="40"/>
        </w:rPr>
        <w:t> </w:t>
      </w:r>
      <w:r>
        <w:rPr/>
        <w:t>by</w:t>
      </w:r>
      <w:r>
        <w:rPr>
          <w:spacing w:val="40"/>
        </w:rPr>
        <w:t> </w:t>
      </w:r>
      <w:r>
        <w:rPr/>
        <w:t>gravity</w:t>
      </w:r>
      <w:r>
        <w:rPr>
          <w:spacing w:val="40"/>
        </w:rPr>
        <w:t> </w:t>
      </w:r>
      <w:r>
        <w:rPr/>
        <w:t>in</w:t>
      </w:r>
      <w:r>
        <w:rPr>
          <w:spacing w:val="40"/>
        </w:rPr>
        <w:t> </w:t>
      </w:r>
      <w:r>
        <w:rPr/>
        <w:t>the direction of the air movement and to remain tightly closed upon operation of a</w:t>
      </w:r>
      <w:r>
        <w:rPr>
          <w:spacing w:val="40"/>
        </w:rPr>
        <w:t> </w:t>
      </w:r>
      <w:r>
        <w:rPr/>
        <w:t>smoke </w:t>
      </w:r>
      <w:r>
        <w:rPr>
          <w:spacing w:val="9"/>
        </w:rPr>
        <w:t>detector.</w:t>
      </w:r>
    </w:p>
    <w:p>
      <w:pPr>
        <w:pStyle w:val="ListParagraph"/>
        <w:numPr>
          <w:ilvl w:val="0"/>
          <w:numId w:val="340"/>
        </w:numPr>
        <w:tabs>
          <w:tab w:pos="2024" w:val="left" w:leader="none"/>
          <w:tab w:pos="2026" w:val="left" w:leader="none"/>
        </w:tabs>
        <w:spacing w:line="240" w:lineRule="auto" w:before="239" w:after="0"/>
        <w:ind w:left="2026" w:right="792" w:hanging="454"/>
        <w:jc w:val="both"/>
        <w:rPr>
          <w:sz w:val="24"/>
        </w:rPr>
      </w:pPr>
      <w:r>
        <w:rPr>
          <w:sz w:val="24"/>
        </w:rPr>
        <w:t>If</w:t>
      </w:r>
      <w:r>
        <w:rPr>
          <w:spacing w:val="40"/>
          <w:sz w:val="24"/>
        </w:rPr>
        <w:t> </w:t>
      </w:r>
      <w:r>
        <w:rPr>
          <w:sz w:val="24"/>
        </w:rPr>
        <w:t>the</w:t>
      </w:r>
      <w:r>
        <w:rPr>
          <w:spacing w:val="40"/>
          <w:sz w:val="24"/>
        </w:rPr>
        <w:t> </w:t>
      </w:r>
      <w:r>
        <w:rPr>
          <w:sz w:val="24"/>
        </w:rPr>
        <w:t>air</w:t>
      </w:r>
      <w:r>
        <w:rPr>
          <w:spacing w:val="40"/>
          <w:sz w:val="24"/>
        </w:rPr>
        <w:t> </w:t>
      </w:r>
      <w:r>
        <w:rPr>
          <w:sz w:val="24"/>
        </w:rPr>
        <w:t>handling</w:t>
      </w:r>
      <w:r>
        <w:rPr>
          <w:spacing w:val="40"/>
          <w:sz w:val="24"/>
        </w:rPr>
        <w:t> </w:t>
      </w:r>
      <w:r>
        <w:rPr>
          <w:sz w:val="24"/>
        </w:rPr>
        <w:t>unit</w:t>
      </w:r>
      <w:r>
        <w:rPr>
          <w:spacing w:val="40"/>
          <w:sz w:val="24"/>
        </w:rPr>
        <w:t> </w:t>
      </w:r>
      <w:r>
        <w:rPr>
          <w:sz w:val="24"/>
        </w:rPr>
        <w:t>serves</w:t>
      </w:r>
      <w:r>
        <w:rPr>
          <w:spacing w:val="40"/>
          <w:sz w:val="24"/>
        </w:rPr>
        <w:t> </w:t>
      </w:r>
      <w:r>
        <w:rPr>
          <w:sz w:val="24"/>
        </w:rPr>
        <w:t>more</w:t>
      </w:r>
      <w:r>
        <w:rPr>
          <w:spacing w:val="40"/>
          <w:sz w:val="24"/>
        </w:rPr>
        <w:t> </w:t>
      </w:r>
      <w:r>
        <w:rPr>
          <w:sz w:val="24"/>
        </w:rPr>
        <w:t>than</w:t>
      </w:r>
      <w:r>
        <w:rPr>
          <w:spacing w:val="40"/>
          <w:sz w:val="24"/>
        </w:rPr>
        <w:t> </w:t>
      </w:r>
      <w:r>
        <w:rPr>
          <w:sz w:val="24"/>
        </w:rPr>
        <w:t>one</w:t>
      </w:r>
      <w:r>
        <w:rPr>
          <w:spacing w:val="40"/>
          <w:sz w:val="24"/>
        </w:rPr>
        <w:t> </w:t>
      </w:r>
      <w:r>
        <w:rPr>
          <w:sz w:val="24"/>
        </w:rPr>
        <w:t>floor,</w:t>
      </w:r>
      <w:r>
        <w:rPr>
          <w:spacing w:val="40"/>
          <w:sz w:val="24"/>
        </w:rPr>
        <w:t> </w:t>
      </w:r>
      <w:r>
        <w:rPr>
          <w:sz w:val="24"/>
        </w:rPr>
        <w:t>the requirements given above shall be compiled with an addition to the conditions</w:t>
      </w:r>
      <w:r>
        <w:rPr>
          <w:spacing w:val="40"/>
          <w:sz w:val="24"/>
        </w:rPr>
        <w:t> </w:t>
      </w:r>
      <w:r>
        <w:rPr>
          <w:sz w:val="24"/>
        </w:rPr>
        <w:t>given</w:t>
      </w:r>
      <w:r>
        <w:rPr>
          <w:spacing w:val="40"/>
          <w:sz w:val="24"/>
        </w:rPr>
        <w:t> </w:t>
      </w:r>
      <w:r>
        <w:rPr>
          <w:sz w:val="24"/>
        </w:rPr>
        <w:t>below:</w:t>
      </w:r>
      <w:r>
        <w:rPr>
          <w:spacing w:val="40"/>
          <w:sz w:val="24"/>
        </w:rPr>
        <w:t> </w:t>
      </w:r>
      <w:r>
        <w:rPr>
          <w:sz w:val="24"/>
        </w:rPr>
        <w:t>-</w:t>
      </w:r>
    </w:p>
    <w:p>
      <w:pPr>
        <w:pStyle w:val="ListParagraph"/>
        <w:numPr>
          <w:ilvl w:val="1"/>
          <w:numId w:val="340"/>
        </w:numPr>
        <w:tabs>
          <w:tab w:pos="2309" w:val="left" w:leader="none"/>
          <w:tab w:pos="2434" w:val="left" w:leader="none"/>
        </w:tabs>
        <w:spacing w:line="240" w:lineRule="auto" w:before="240" w:after="0"/>
        <w:ind w:left="2309" w:right="789" w:hanging="192"/>
        <w:jc w:val="both"/>
        <w:rPr>
          <w:sz w:val="24"/>
        </w:rPr>
      </w:pPr>
      <w:r>
        <w:rPr>
          <w:sz w:val="24"/>
        </w:rPr>
        <w:t>Proper</w:t>
      </w:r>
      <w:r>
        <w:rPr>
          <w:spacing w:val="40"/>
          <w:sz w:val="24"/>
        </w:rPr>
        <w:t> </w:t>
      </w:r>
      <w:r>
        <w:rPr>
          <w:sz w:val="24"/>
        </w:rPr>
        <w:t>arrangements</w:t>
      </w:r>
      <w:r>
        <w:rPr>
          <w:spacing w:val="40"/>
          <w:sz w:val="24"/>
        </w:rPr>
        <w:t> </w:t>
      </w:r>
      <w:r>
        <w:rPr>
          <w:sz w:val="24"/>
        </w:rPr>
        <w:t>by</w:t>
      </w:r>
      <w:r>
        <w:rPr>
          <w:spacing w:val="40"/>
          <w:sz w:val="24"/>
        </w:rPr>
        <w:t> </w:t>
      </w:r>
      <w:r>
        <w:rPr>
          <w:sz w:val="24"/>
        </w:rPr>
        <w:t>way</w:t>
      </w:r>
      <w:r>
        <w:rPr>
          <w:spacing w:val="40"/>
          <w:sz w:val="24"/>
        </w:rPr>
        <w:t> </w:t>
      </w:r>
      <w:r>
        <w:rPr>
          <w:sz w:val="24"/>
        </w:rPr>
        <w:t>of</w:t>
      </w:r>
      <w:r>
        <w:rPr>
          <w:spacing w:val="40"/>
          <w:sz w:val="24"/>
        </w:rPr>
        <w:t> </w:t>
      </w:r>
      <w:r>
        <w:rPr>
          <w:sz w:val="24"/>
        </w:rPr>
        <w:t>automatic</w:t>
      </w:r>
      <w:r>
        <w:rPr>
          <w:spacing w:val="40"/>
          <w:sz w:val="24"/>
        </w:rPr>
        <w:t> </w:t>
      </w:r>
      <w:r>
        <w:rPr>
          <w:sz w:val="24"/>
        </w:rPr>
        <w:t>fire</w:t>
      </w:r>
      <w:r>
        <w:rPr>
          <w:spacing w:val="9"/>
          <w:sz w:val="24"/>
        </w:rPr>
        <w:t> dampers </w:t>
      </w:r>
      <w:r>
        <w:rPr>
          <w:sz w:val="24"/>
        </w:rPr>
        <w:t>working on</w:t>
      </w:r>
      <w:r>
        <w:rPr>
          <w:spacing w:val="40"/>
          <w:sz w:val="24"/>
        </w:rPr>
        <w:t> </w:t>
      </w:r>
      <w:r>
        <w:rPr>
          <w:sz w:val="24"/>
        </w:rPr>
        <w:t>smoke</w:t>
      </w:r>
      <w:r>
        <w:rPr>
          <w:spacing w:val="40"/>
          <w:sz w:val="24"/>
        </w:rPr>
        <w:t> </w:t>
      </w:r>
      <w:r>
        <w:rPr>
          <w:sz w:val="24"/>
        </w:rPr>
        <w:t>detectors</w:t>
      </w:r>
      <w:r>
        <w:rPr>
          <w:spacing w:val="40"/>
          <w:sz w:val="24"/>
        </w:rPr>
        <w:t> </w:t>
      </w:r>
      <w:r>
        <w:rPr>
          <w:sz w:val="24"/>
        </w:rPr>
        <w:t>for</w:t>
      </w:r>
      <w:r>
        <w:rPr>
          <w:spacing w:val="40"/>
          <w:sz w:val="24"/>
        </w:rPr>
        <w:t> </w:t>
      </w:r>
      <w:r>
        <w:rPr>
          <w:sz w:val="24"/>
        </w:rPr>
        <w:t>isolating</w:t>
      </w:r>
      <w:r>
        <w:rPr>
          <w:spacing w:val="40"/>
          <w:sz w:val="24"/>
        </w:rPr>
        <w:t> </w:t>
      </w:r>
      <w:r>
        <w:rPr>
          <w:sz w:val="24"/>
        </w:rPr>
        <w:t>all</w:t>
      </w:r>
      <w:r>
        <w:rPr>
          <w:spacing w:val="40"/>
          <w:sz w:val="24"/>
        </w:rPr>
        <w:t> </w:t>
      </w:r>
      <w:r>
        <w:rPr>
          <w:sz w:val="24"/>
        </w:rPr>
        <w:t>ducting</w:t>
      </w:r>
      <w:r>
        <w:rPr>
          <w:spacing w:val="40"/>
          <w:sz w:val="24"/>
        </w:rPr>
        <w:t> </w:t>
      </w:r>
      <w:r>
        <w:rPr>
          <w:sz w:val="24"/>
        </w:rPr>
        <w:t>at</w:t>
      </w:r>
      <w:r>
        <w:rPr>
          <w:spacing w:val="40"/>
          <w:sz w:val="24"/>
        </w:rPr>
        <w:t> </w:t>
      </w:r>
      <w:r>
        <w:rPr>
          <w:sz w:val="24"/>
        </w:rPr>
        <w:t>every</w:t>
      </w:r>
      <w:r>
        <w:rPr>
          <w:spacing w:val="40"/>
          <w:sz w:val="24"/>
        </w:rPr>
        <w:t> </w:t>
      </w:r>
      <w:r>
        <w:rPr>
          <w:sz w:val="24"/>
        </w:rPr>
        <w:t>floor</w:t>
      </w:r>
      <w:r>
        <w:rPr>
          <w:spacing w:val="40"/>
          <w:sz w:val="24"/>
        </w:rPr>
        <w:t> </w:t>
      </w:r>
      <w:r>
        <w:rPr>
          <w:sz w:val="24"/>
        </w:rPr>
        <w:t>from</w:t>
      </w:r>
      <w:r>
        <w:rPr>
          <w:spacing w:val="40"/>
          <w:sz w:val="24"/>
        </w:rPr>
        <w:t> </w:t>
      </w:r>
      <w:r>
        <w:rPr>
          <w:sz w:val="24"/>
        </w:rPr>
        <w:t>the</w:t>
      </w:r>
      <w:r>
        <w:rPr>
          <w:spacing w:val="40"/>
          <w:sz w:val="24"/>
        </w:rPr>
        <w:t> </w:t>
      </w:r>
      <w:r>
        <w:rPr>
          <w:sz w:val="24"/>
        </w:rPr>
        <w:t>main</w:t>
      </w:r>
      <w:r>
        <w:rPr>
          <w:spacing w:val="40"/>
          <w:sz w:val="24"/>
        </w:rPr>
        <w:t> </w:t>
      </w:r>
      <w:r>
        <w:rPr>
          <w:sz w:val="24"/>
        </w:rPr>
        <w:t>riser</w:t>
      </w:r>
      <w:r>
        <w:rPr>
          <w:spacing w:val="40"/>
          <w:sz w:val="24"/>
        </w:rPr>
        <w:t> </w:t>
      </w:r>
      <w:r>
        <w:rPr>
          <w:sz w:val="24"/>
        </w:rPr>
        <w:t>shall</w:t>
      </w:r>
      <w:r>
        <w:rPr>
          <w:spacing w:val="40"/>
          <w:sz w:val="24"/>
        </w:rPr>
        <w:t> </w:t>
      </w:r>
      <w:r>
        <w:rPr>
          <w:sz w:val="24"/>
        </w:rPr>
        <w:t>be</w:t>
      </w:r>
      <w:r>
        <w:rPr>
          <w:spacing w:val="9"/>
          <w:sz w:val="24"/>
        </w:rPr>
        <w:t> made.</w:t>
      </w:r>
    </w:p>
    <w:p>
      <w:pPr>
        <w:pStyle w:val="ListParagraph"/>
        <w:numPr>
          <w:ilvl w:val="1"/>
          <w:numId w:val="340"/>
        </w:numPr>
        <w:tabs>
          <w:tab w:pos="2309" w:val="left" w:leader="none"/>
          <w:tab w:pos="2579" w:val="left" w:leader="none"/>
        </w:tabs>
        <w:spacing w:line="240" w:lineRule="auto" w:before="242" w:after="0"/>
        <w:ind w:left="2309" w:right="792" w:hanging="192"/>
        <w:jc w:val="both"/>
        <w:rPr>
          <w:sz w:val="24"/>
        </w:rPr>
      </w:pPr>
      <w:r>
        <w:rPr>
          <w:sz w:val="24"/>
        </w:rPr>
        <w:t>When the automatic fire alarm operates, the respective air handling</w:t>
      </w:r>
      <w:r>
        <w:rPr>
          <w:spacing w:val="80"/>
          <w:sz w:val="24"/>
        </w:rPr>
        <w:t> </w:t>
      </w:r>
      <w:r>
        <w:rPr>
          <w:sz w:val="24"/>
        </w:rPr>
        <w:t>units</w:t>
      </w:r>
      <w:r>
        <w:rPr>
          <w:spacing w:val="80"/>
          <w:sz w:val="24"/>
        </w:rPr>
        <w:t> </w:t>
      </w:r>
      <w:r>
        <w:rPr>
          <w:sz w:val="24"/>
        </w:rPr>
        <w:t>of</w:t>
      </w:r>
      <w:r>
        <w:rPr>
          <w:spacing w:val="80"/>
          <w:sz w:val="24"/>
        </w:rPr>
        <w:t> </w:t>
      </w:r>
      <w:r>
        <w:rPr>
          <w:sz w:val="24"/>
        </w:rPr>
        <w:t>the</w:t>
      </w:r>
      <w:r>
        <w:rPr>
          <w:spacing w:val="80"/>
          <w:sz w:val="24"/>
        </w:rPr>
        <w:t> </w:t>
      </w:r>
      <w:r>
        <w:rPr>
          <w:spacing w:val="9"/>
          <w:sz w:val="24"/>
        </w:rPr>
        <w:t>air-</w:t>
      </w:r>
      <w:r>
        <w:rPr>
          <w:sz w:val="24"/>
        </w:rPr>
        <w:t>conditioning</w:t>
      </w:r>
      <w:r>
        <w:rPr>
          <w:spacing w:val="80"/>
          <w:sz w:val="24"/>
        </w:rPr>
        <w:t> </w:t>
      </w:r>
      <w:r>
        <w:rPr>
          <w:sz w:val="24"/>
        </w:rPr>
        <w:t>system</w:t>
      </w:r>
      <w:r>
        <w:rPr>
          <w:spacing w:val="80"/>
          <w:sz w:val="24"/>
        </w:rPr>
        <w:t> </w:t>
      </w:r>
      <w:r>
        <w:rPr>
          <w:sz w:val="24"/>
        </w:rPr>
        <w:t>shall automatically</w:t>
      </w:r>
      <w:r>
        <w:rPr>
          <w:spacing w:val="40"/>
          <w:sz w:val="24"/>
        </w:rPr>
        <w:t> </w:t>
      </w:r>
      <w:r>
        <w:rPr>
          <w:sz w:val="24"/>
        </w:rPr>
        <w:t>be</w:t>
      </w:r>
      <w:r>
        <w:rPr>
          <w:spacing w:val="40"/>
          <w:sz w:val="24"/>
        </w:rPr>
        <w:t> </w:t>
      </w:r>
      <w:r>
        <w:rPr>
          <w:sz w:val="24"/>
        </w:rPr>
        <w:t>switched</w:t>
      </w:r>
      <w:r>
        <w:rPr>
          <w:spacing w:val="40"/>
          <w:sz w:val="24"/>
        </w:rPr>
        <w:t> </w:t>
      </w:r>
      <w:r>
        <w:rPr>
          <w:sz w:val="24"/>
        </w:rPr>
        <w:t>off.</w:t>
      </w:r>
    </w:p>
    <w:p>
      <w:pPr>
        <w:pStyle w:val="ListParagraph"/>
        <w:numPr>
          <w:ilvl w:val="0"/>
          <w:numId w:val="340"/>
        </w:numPr>
        <w:tabs>
          <w:tab w:pos="2023" w:val="left" w:leader="none"/>
          <w:tab w:pos="2026" w:val="left" w:leader="none"/>
        </w:tabs>
        <w:spacing w:line="240" w:lineRule="auto" w:before="240" w:after="0"/>
        <w:ind w:left="2026" w:right="789" w:hanging="454"/>
        <w:jc w:val="both"/>
        <w:rPr>
          <w:sz w:val="24"/>
        </w:rPr>
      </w:pPr>
      <w:r>
        <w:rPr>
          <w:sz w:val="24"/>
        </w:rPr>
        <w:t>The air filters of the </w:t>
      </w:r>
      <w:r>
        <w:rPr>
          <w:spacing w:val="10"/>
          <w:sz w:val="24"/>
        </w:rPr>
        <w:t>air-</w:t>
      </w:r>
      <w:r>
        <w:rPr>
          <w:sz w:val="24"/>
        </w:rPr>
        <w:t>handling units shall be of </w:t>
      </w:r>
      <w:r>
        <w:rPr>
          <w:spacing w:val="11"/>
          <w:sz w:val="24"/>
        </w:rPr>
        <w:t>non-</w:t>
      </w:r>
      <w:r>
        <w:rPr>
          <w:sz w:val="24"/>
        </w:rPr>
        <w:t>combustible </w:t>
      </w:r>
      <w:r>
        <w:rPr>
          <w:spacing w:val="-2"/>
          <w:sz w:val="24"/>
        </w:rPr>
        <w:t>materials.</w:t>
      </w:r>
    </w:p>
    <w:p>
      <w:pPr>
        <w:pStyle w:val="ListParagraph"/>
        <w:numPr>
          <w:ilvl w:val="0"/>
          <w:numId w:val="340"/>
        </w:numPr>
        <w:tabs>
          <w:tab w:pos="2024" w:val="left" w:leader="none"/>
          <w:tab w:pos="2026" w:val="left" w:leader="none"/>
        </w:tabs>
        <w:spacing w:line="240" w:lineRule="auto" w:before="238" w:after="0"/>
        <w:ind w:left="2026" w:right="795" w:hanging="454"/>
        <w:jc w:val="both"/>
        <w:rPr>
          <w:sz w:val="24"/>
        </w:rPr>
      </w:pPr>
      <w:r>
        <w:rPr>
          <w:sz w:val="24"/>
        </w:rPr>
        <w:t>The air handling unit room shall not be used for storage of any combustible </w:t>
      </w:r>
      <w:r>
        <w:rPr>
          <w:spacing w:val="9"/>
          <w:sz w:val="24"/>
        </w:rPr>
        <w:t>materials.</w:t>
      </w:r>
    </w:p>
    <w:p>
      <w:pPr>
        <w:pStyle w:val="ListParagraph"/>
        <w:numPr>
          <w:ilvl w:val="0"/>
          <w:numId w:val="340"/>
        </w:numPr>
        <w:tabs>
          <w:tab w:pos="2023" w:val="left" w:leader="none"/>
          <w:tab w:pos="2026" w:val="left" w:leader="none"/>
        </w:tabs>
        <w:spacing w:line="240" w:lineRule="auto" w:before="241" w:after="0"/>
        <w:ind w:left="2026" w:right="800" w:hanging="454"/>
        <w:jc w:val="both"/>
        <w:rPr>
          <w:sz w:val="24"/>
        </w:rPr>
      </w:pPr>
      <w:r>
        <w:rPr>
          <w:sz w:val="24"/>
        </w:rPr>
        <w:t>Inspection</w:t>
      </w:r>
      <w:r>
        <w:rPr>
          <w:spacing w:val="40"/>
          <w:sz w:val="24"/>
        </w:rPr>
        <w:t> </w:t>
      </w:r>
      <w:r>
        <w:rPr>
          <w:sz w:val="24"/>
        </w:rPr>
        <w:t>panels</w:t>
      </w:r>
      <w:r>
        <w:rPr>
          <w:spacing w:val="40"/>
          <w:sz w:val="24"/>
        </w:rPr>
        <w:t> </w:t>
      </w:r>
      <w:r>
        <w:rPr>
          <w:sz w:val="24"/>
        </w:rPr>
        <w:t>should</w:t>
      </w:r>
      <w:r>
        <w:rPr>
          <w:spacing w:val="40"/>
          <w:sz w:val="24"/>
        </w:rPr>
        <w:t> </w:t>
      </w:r>
      <w:r>
        <w:rPr>
          <w:sz w:val="24"/>
        </w:rPr>
        <w:t>be</w:t>
      </w:r>
      <w:r>
        <w:rPr>
          <w:spacing w:val="40"/>
          <w:sz w:val="24"/>
        </w:rPr>
        <w:t> </w:t>
      </w:r>
      <w:r>
        <w:rPr>
          <w:sz w:val="24"/>
        </w:rPr>
        <w:t>provided</w:t>
      </w:r>
      <w:r>
        <w:rPr>
          <w:spacing w:val="40"/>
          <w:sz w:val="24"/>
        </w:rPr>
        <w:t> </w:t>
      </w:r>
      <w:r>
        <w:rPr>
          <w:sz w:val="24"/>
        </w:rPr>
        <w:t>in</w:t>
      </w:r>
      <w:r>
        <w:rPr>
          <w:spacing w:val="40"/>
          <w:sz w:val="24"/>
        </w:rPr>
        <w:t> </w:t>
      </w:r>
      <w:r>
        <w:rPr>
          <w:sz w:val="24"/>
        </w:rPr>
        <w:t>main</w:t>
      </w:r>
      <w:r>
        <w:rPr>
          <w:spacing w:val="40"/>
          <w:sz w:val="24"/>
        </w:rPr>
        <w:t> </w:t>
      </w:r>
      <w:r>
        <w:rPr>
          <w:sz w:val="24"/>
        </w:rPr>
        <w:t>trunking</w:t>
      </w:r>
      <w:r>
        <w:rPr>
          <w:spacing w:val="40"/>
          <w:sz w:val="24"/>
        </w:rPr>
        <w:t> </w:t>
      </w:r>
      <w:r>
        <w:rPr>
          <w:sz w:val="24"/>
        </w:rPr>
        <w:t>to</w:t>
      </w:r>
      <w:r>
        <w:rPr>
          <w:spacing w:val="40"/>
          <w:sz w:val="24"/>
        </w:rPr>
        <w:t> </w:t>
      </w:r>
      <w:r>
        <w:rPr>
          <w:sz w:val="24"/>
        </w:rPr>
        <w:t>facilitate the</w:t>
      </w:r>
      <w:r>
        <w:rPr>
          <w:spacing w:val="40"/>
          <w:sz w:val="24"/>
        </w:rPr>
        <w:t> </w:t>
      </w:r>
      <w:r>
        <w:rPr>
          <w:sz w:val="24"/>
        </w:rPr>
        <w:t>cleaning</w:t>
      </w:r>
      <w:r>
        <w:rPr>
          <w:spacing w:val="40"/>
          <w:sz w:val="24"/>
        </w:rPr>
        <w:t> </w:t>
      </w:r>
      <w:r>
        <w:rPr>
          <w:sz w:val="24"/>
        </w:rPr>
        <w:t>of</w:t>
      </w:r>
      <w:r>
        <w:rPr>
          <w:spacing w:val="40"/>
          <w:sz w:val="24"/>
        </w:rPr>
        <w:t> </w:t>
      </w:r>
      <w:r>
        <w:rPr>
          <w:sz w:val="24"/>
        </w:rPr>
        <w:t>the</w:t>
      </w:r>
      <w:r>
        <w:rPr>
          <w:spacing w:val="40"/>
          <w:sz w:val="24"/>
        </w:rPr>
        <w:t> </w:t>
      </w:r>
      <w:r>
        <w:rPr>
          <w:sz w:val="24"/>
        </w:rPr>
        <w:t>duct</w:t>
      </w:r>
      <w:r>
        <w:rPr>
          <w:spacing w:val="40"/>
          <w:sz w:val="24"/>
        </w:rPr>
        <w:t> </w:t>
      </w:r>
      <w:r>
        <w:rPr>
          <w:sz w:val="24"/>
        </w:rPr>
        <w:t>of</w:t>
      </w:r>
      <w:r>
        <w:rPr>
          <w:spacing w:val="40"/>
          <w:sz w:val="24"/>
        </w:rPr>
        <w:t> </w:t>
      </w:r>
      <w:r>
        <w:rPr>
          <w:sz w:val="24"/>
        </w:rPr>
        <w:t>accumulated</w:t>
      </w:r>
      <w:r>
        <w:rPr>
          <w:spacing w:val="40"/>
          <w:sz w:val="24"/>
        </w:rPr>
        <w:t> </w:t>
      </w:r>
      <w:r>
        <w:rPr>
          <w:sz w:val="24"/>
        </w:rPr>
        <w:t>dust</w:t>
      </w:r>
      <w:r>
        <w:rPr>
          <w:spacing w:val="40"/>
          <w:sz w:val="24"/>
        </w:rPr>
        <w:t> </w:t>
      </w:r>
      <w:r>
        <w:rPr>
          <w:sz w:val="24"/>
        </w:rPr>
        <w:t>and</w:t>
      </w:r>
      <w:r>
        <w:rPr>
          <w:spacing w:val="40"/>
          <w:sz w:val="24"/>
        </w:rPr>
        <w:t> </w:t>
      </w:r>
      <w:r>
        <w:rPr>
          <w:sz w:val="24"/>
        </w:rPr>
        <w:t>to</w:t>
      </w:r>
      <w:r>
        <w:rPr>
          <w:spacing w:val="40"/>
          <w:sz w:val="24"/>
        </w:rPr>
        <w:t> </w:t>
      </w:r>
      <w:r>
        <w:rPr>
          <w:sz w:val="24"/>
        </w:rPr>
        <w:t>obtain</w:t>
      </w:r>
      <w:r>
        <w:rPr>
          <w:spacing w:val="40"/>
          <w:sz w:val="24"/>
        </w:rPr>
        <w:t> </w:t>
      </w:r>
      <w:r>
        <w:rPr>
          <w:sz w:val="24"/>
        </w:rPr>
        <w:t>access for</w:t>
      </w:r>
      <w:r>
        <w:rPr>
          <w:spacing w:val="40"/>
          <w:sz w:val="24"/>
        </w:rPr>
        <w:t> </w:t>
      </w:r>
      <w:r>
        <w:rPr>
          <w:sz w:val="24"/>
        </w:rPr>
        <w:t>maintenance</w:t>
      </w:r>
      <w:r>
        <w:rPr>
          <w:spacing w:val="40"/>
          <w:sz w:val="24"/>
        </w:rPr>
        <w:t> </w:t>
      </w:r>
      <w:r>
        <w:rPr>
          <w:sz w:val="24"/>
        </w:rPr>
        <w:t>of</w:t>
      </w:r>
      <w:r>
        <w:rPr>
          <w:spacing w:val="40"/>
          <w:sz w:val="24"/>
        </w:rPr>
        <w:t> </w:t>
      </w:r>
      <w:r>
        <w:rPr>
          <w:sz w:val="24"/>
        </w:rPr>
        <w:t>fire</w:t>
      </w:r>
      <w:r>
        <w:rPr>
          <w:spacing w:val="9"/>
          <w:sz w:val="24"/>
        </w:rPr>
        <w:t> dampers.</w:t>
      </w:r>
    </w:p>
    <w:p>
      <w:pPr>
        <w:pStyle w:val="ListParagraph"/>
        <w:numPr>
          <w:ilvl w:val="0"/>
          <w:numId w:val="340"/>
        </w:numPr>
        <w:tabs>
          <w:tab w:pos="2023" w:val="left" w:leader="none"/>
          <w:tab w:pos="2026" w:val="left" w:leader="none"/>
        </w:tabs>
        <w:spacing w:line="240" w:lineRule="auto" w:before="240" w:after="0"/>
        <w:ind w:left="2026" w:right="795" w:hanging="454"/>
        <w:jc w:val="both"/>
        <w:rPr>
          <w:sz w:val="24"/>
        </w:rPr>
      </w:pPr>
      <w:r>
        <w:rPr>
          <w:sz w:val="24"/>
        </w:rPr>
        <w:t>No</w:t>
      </w:r>
      <w:r>
        <w:rPr>
          <w:spacing w:val="40"/>
          <w:sz w:val="24"/>
        </w:rPr>
        <w:t> </w:t>
      </w:r>
      <w:r>
        <w:rPr>
          <w:sz w:val="24"/>
        </w:rPr>
        <w:t>combustible</w:t>
      </w:r>
      <w:r>
        <w:rPr>
          <w:spacing w:val="40"/>
          <w:sz w:val="24"/>
        </w:rPr>
        <w:t> </w:t>
      </w:r>
      <w:r>
        <w:rPr>
          <w:sz w:val="24"/>
        </w:rPr>
        <w:t>material</w:t>
      </w:r>
      <w:r>
        <w:rPr>
          <w:spacing w:val="40"/>
          <w:sz w:val="24"/>
        </w:rPr>
        <w:t> </w:t>
      </w:r>
      <w:r>
        <w:rPr>
          <w:sz w:val="24"/>
        </w:rPr>
        <w:t>shall</w:t>
      </w:r>
      <w:r>
        <w:rPr>
          <w:spacing w:val="40"/>
          <w:sz w:val="24"/>
        </w:rPr>
        <w:t> </w:t>
      </w:r>
      <w:r>
        <w:rPr>
          <w:sz w:val="24"/>
        </w:rPr>
        <w:t>be</w:t>
      </w:r>
      <w:r>
        <w:rPr>
          <w:spacing w:val="40"/>
          <w:sz w:val="24"/>
        </w:rPr>
        <w:t> </w:t>
      </w:r>
      <w:r>
        <w:rPr>
          <w:sz w:val="24"/>
        </w:rPr>
        <w:t>fixed</w:t>
      </w:r>
      <w:r>
        <w:rPr>
          <w:spacing w:val="40"/>
          <w:sz w:val="24"/>
        </w:rPr>
        <w:t> </w:t>
      </w:r>
      <w:r>
        <w:rPr>
          <w:sz w:val="24"/>
        </w:rPr>
        <w:t>nearer</w:t>
      </w:r>
      <w:r>
        <w:rPr>
          <w:spacing w:val="40"/>
          <w:sz w:val="24"/>
        </w:rPr>
        <w:t> </w:t>
      </w:r>
      <w:r>
        <w:rPr>
          <w:sz w:val="24"/>
        </w:rPr>
        <w:t>than</w:t>
      </w:r>
      <w:r>
        <w:rPr>
          <w:spacing w:val="40"/>
          <w:sz w:val="24"/>
        </w:rPr>
        <w:t> </w:t>
      </w:r>
      <w:r>
        <w:rPr>
          <w:sz w:val="24"/>
        </w:rPr>
        <w:t>15</w:t>
      </w:r>
      <w:r>
        <w:rPr>
          <w:spacing w:val="40"/>
          <w:sz w:val="24"/>
        </w:rPr>
        <w:t> </w:t>
      </w:r>
      <w:r>
        <w:rPr>
          <w:sz w:val="24"/>
        </w:rPr>
        <w:t>cm.</w:t>
      </w:r>
      <w:r>
        <w:rPr>
          <w:spacing w:val="40"/>
          <w:sz w:val="24"/>
        </w:rPr>
        <w:t> </w:t>
      </w:r>
      <w:r>
        <w:rPr>
          <w:sz w:val="24"/>
        </w:rPr>
        <w:t>to</w:t>
      </w:r>
      <w:r>
        <w:rPr>
          <w:spacing w:val="40"/>
          <w:sz w:val="24"/>
        </w:rPr>
        <w:t> </w:t>
      </w:r>
      <w:r>
        <w:rPr>
          <w:sz w:val="24"/>
        </w:rPr>
        <w:t>any duct</w:t>
      </w:r>
      <w:r>
        <w:rPr>
          <w:spacing w:val="80"/>
          <w:sz w:val="24"/>
        </w:rPr>
        <w:t> </w:t>
      </w:r>
      <w:r>
        <w:rPr>
          <w:sz w:val="24"/>
        </w:rPr>
        <w:t>unless</w:t>
      </w:r>
      <w:r>
        <w:rPr>
          <w:spacing w:val="80"/>
          <w:sz w:val="24"/>
        </w:rPr>
        <w:t> </w:t>
      </w:r>
      <w:r>
        <w:rPr>
          <w:sz w:val="24"/>
        </w:rPr>
        <w:t>such</w:t>
      </w:r>
      <w:r>
        <w:rPr>
          <w:spacing w:val="80"/>
          <w:sz w:val="24"/>
        </w:rPr>
        <w:t> </w:t>
      </w:r>
      <w:r>
        <w:rPr>
          <w:sz w:val="24"/>
        </w:rPr>
        <w:t>duct</w:t>
      </w:r>
      <w:r>
        <w:rPr>
          <w:spacing w:val="80"/>
          <w:sz w:val="24"/>
        </w:rPr>
        <w:t> </w:t>
      </w:r>
      <w:r>
        <w:rPr>
          <w:sz w:val="24"/>
        </w:rPr>
        <w:t>is</w:t>
      </w:r>
      <w:r>
        <w:rPr>
          <w:spacing w:val="80"/>
          <w:sz w:val="24"/>
        </w:rPr>
        <w:t> </w:t>
      </w:r>
      <w:r>
        <w:rPr>
          <w:sz w:val="24"/>
        </w:rPr>
        <w:t>properly</w:t>
      </w:r>
      <w:r>
        <w:rPr>
          <w:spacing w:val="80"/>
          <w:sz w:val="24"/>
        </w:rPr>
        <w:t> </w:t>
      </w:r>
      <w:r>
        <w:rPr>
          <w:sz w:val="24"/>
        </w:rPr>
        <w:t>enclosed</w:t>
      </w:r>
      <w:r>
        <w:rPr>
          <w:spacing w:val="80"/>
          <w:sz w:val="24"/>
        </w:rPr>
        <w:t> </w:t>
      </w:r>
      <w:r>
        <w:rPr>
          <w:sz w:val="24"/>
        </w:rPr>
        <w:t>and</w:t>
      </w:r>
      <w:r>
        <w:rPr>
          <w:spacing w:val="80"/>
          <w:sz w:val="24"/>
        </w:rPr>
        <w:t> </w:t>
      </w:r>
      <w:r>
        <w:rPr>
          <w:sz w:val="24"/>
        </w:rPr>
        <w:t>protected</w:t>
      </w:r>
      <w:r>
        <w:rPr>
          <w:spacing w:val="80"/>
          <w:sz w:val="24"/>
        </w:rPr>
        <w:t> </w:t>
      </w:r>
      <w:r>
        <w:rPr>
          <w:sz w:val="24"/>
        </w:rPr>
        <w:t>with non-combustible material (glass wool) or spun glass with neoprene facing</w:t>
      </w:r>
      <w:r>
        <w:rPr>
          <w:spacing w:val="40"/>
          <w:sz w:val="24"/>
        </w:rPr>
        <w:t> </w:t>
      </w:r>
      <w:r>
        <w:rPr>
          <w:sz w:val="24"/>
        </w:rPr>
        <w:t>enclosed</w:t>
      </w:r>
      <w:r>
        <w:rPr>
          <w:spacing w:val="40"/>
          <w:sz w:val="24"/>
        </w:rPr>
        <w:t> </w:t>
      </w:r>
      <w:r>
        <w:rPr>
          <w:sz w:val="24"/>
        </w:rPr>
        <w:t>and</w:t>
      </w:r>
      <w:r>
        <w:rPr>
          <w:spacing w:val="40"/>
          <w:sz w:val="24"/>
        </w:rPr>
        <w:t> </w:t>
      </w:r>
      <w:r>
        <w:rPr>
          <w:sz w:val="24"/>
        </w:rPr>
        <w:t>wrapped</w:t>
      </w:r>
      <w:r>
        <w:rPr>
          <w:spacing w:val="40"/>
          <w:sz w:val="24"/>
        </w:rPr>
        <w:t> </w:t>
      </w:r>
      <w:r>
        <w:rPr>
          <w:sz w:val="24"/>
        </w:rPr>
        <w:t>with</w:t>
      </w:r>
      <w:r>
        <w:rPr>
          <w:spacing w:val="40"/>
          <w:sz w:val="24"/>
        </w:rPr>
        <w:t> </w:t>
      </w:r>
      <w:r>
        <w:rPr>
          <w:sz w:val="24"/>
        </w:rPr>
        <w:t>aluminum</w:t>
      </w:r>
      <w:r>
        <w:rPr>
          <w:spacing w:val="40"/>
          <w:sz w:val="24"/>
        </w:rPr>
        <w:t> </w:t>
      </w:r>
      <w:r>
        <w:rPr>
          <w:sz w:val="24"/>
        </w:rPr>
        <w:t>sheeting)</w:t>
      </w:r>
      <w:r>
        <w:rPr>
          <w:spacing w:val="40"/>
          <w:sz w:val="24"/>
        </w:rPr>
        <w:t> </w:t>
      </w:r>
      <w:r>
        <w:rPr>
          <w:sz w:val="24"/>
        </w:rPr>
        <w:t>at</w:t>
      </w:r>
      <w:r>
        <w:rPr>
          <w:spacing w:val="63"/>
          <w:sz w:val="24"/>
        </w:rPr>
        <w:t> </w:t>
      </w:r>
      <w:r>
        <w:rPr>
          <w:sz w:val="24"/>
        </w:rPr>
        <w:t>least</w:t>
      </w:r>
      <w:r>
        <w:rPr>
          <w:spacing w:val="40"/>
          <w:sz w:val="24"/>
        </w:rPr>
        <w:t> </w:t>
      </w:r>
      <w:r>
        <w:rPr>
          <w:sz w:val="24"/>
        </w:rPr>
        <w:t>3.2</w:t>
      </w:r>
    </w:p>
    <w:p>
      <w:pPr>
        <w:pStyle w:val="BodyText"/>
        <w:spacing w:before="1"/>
        <w:ind w:left="2026"/>
      </w:pPr>
      <w:r>
        <w:rPr/>
        <w:t>mm.</w:t>
      </w:r>
      <w:r>
        <w:rPr>
          <w:spacing w:val="50"/>
        </w:rPr>
        <w:t> </w:t>
      </w:r>
      <w:r>
        <w:rPr/>
        <w:t>thick</w:t>
      </w:r>
      <w:r>
        <w:rPr>
          <w:spacing w:val="55"/>
        </w:rPr>
        <w:t> </w:t>
      </w:r>
      <w:r>
        <w:rPr/>
        <w:t>and</w:t>
      </w:r>
      <w:r>
        <w:rPr>
          <w:spacing w:val="52"/>
        </w:rPr>
        <w:t> </w:t>
      </w:r>
      <w:r>
        <w:rPr/>
        <w:t>which</w:t>
      </w:r>
      <w:r>
        <w:rPr>
          <w:spacing w:val="52"/>
        </w:rPr>
        <w:t> </w:t>
      </w:r>
      <w:r>
        <w:rPr/>
        <w:t>does</w:t>
      </w:r>
      <w:r>
        <w:rPr>
          <w:spacing w:val="55"/>
        </w:rPr>
        <w:t> </w:t>
      </w:r>
      <w:r>
        <w:rPr/>
        <w:t>not</w:t>
      </w:r>
      <w:r>
        <w:rPr>
          <w:spacing w:val="51"/>
        </w:rPr>
        <w:t> </w:t>
      </w:r>
      <w:r>
        <w:rPr/>
        <w:t>readily</w:t>
      </w:r>
      <w:r>
        <w:rPr>
          <w:spacing w:val="55"/>
        </w:rPr>
        <w:t> </w:t>
      </w:r>
      <w:r>
        <w:rPr/>
        <w:t>conduct</w:t>
      </w:r>
      <w:r>
        <w:rPr>
          <w:spacing w:val="55"/>
        </w:rPr>
        <w:t> </w:t>
      </w:r>
      <w:r>
        <w:rPr>
          <w:spacing w:val="-2"/>
        </w:rPr>
        <w:t>heat.</w:t>
      </w:r>
    </w:p>
    <w:p>
      <w:pPr>
        <w:pStyle w:val="ListParagraph"/>
        <w:numPr>
          <w:ilvl w:val="0"/>
          <w:numId w:val="340"/>
        </w:numPr>
        <w:tabs>
          <w:tab w:pos="2023" w:val="left" w:leader="none"/>
          <w:tab w:pos="2026" w:val="left" w:leader="none"/>
        </w:tabs>
        <w:spacing w:line="240" w:lineRule="auto" w:before="239" w:after="0"/>
        <w:ind w:left="2026" w:right="788" w:hanging="454"/>
        <w:jc w:val="both"/>
        <w:rPr>
          <w:sz w:val="24"/>
        </w:rPr>
      </w:pPr>
      <w:r>
        <w:rPr>
          <w:sz w:val="24"/>
        </w:rPr>
        <w:t>Materials</w:t>
      </w:r>
      <w:r>
        <w:rPr>
          <w:spacing w:val="40"/>
          <w:sz w:val="24"/>
        </w:rPr>
        <w:t> </w:t>
      </w:r>
      <w:r>
        <w:rPr>
          <w:sz w:val="24"/>
        </w:rPr>
        <w:t>used</w:t>
      </w:r>
      <w:r>
        <w:rPr>
          <w:spacing w:val="40"/>
          <w:sz w:val="24"/>
        </w:rPr>
        <w:t> </w:t>
      </w:r>
      <w:r>
        <w:rPr>
          <w:sz w:val="24"/>
        </w:rPr>
        <w:t>for</w:t>
      </w:r>
      <w:r>
        <w:rPr>
          <w:spacing w:val="40"/>
          <w:sz w:val="24"/>
        </w:rPr>
        <w:t> </w:t>
      </w:r>
      <w:r>
        <w:rPr>
          <w:sz w:val="24"/>
        </w:rPr>
        <w:t>false</w:t>
      </w:r>
      <w:r>
        <w:rPr>
          <w:spacing w:val="40"/>
          <w:sz w:val="24"/>
        </w:rPr>
        <w:t> </w:t>
      </w:r>
      <w:r>
        <w:rPr>
          <w:sz w:val="24"/>
        </w:rPr>
        <w:t>ceilings,</w:t>
      </w:r>
      <w:r>
        <w:rPr>
          <w:spacing w:val="40"/>
          <w:sz w:val="24"/>
        </w:rPr>
        <w:t> </w:t>
      </w:r>
      <w:r>
        <w:rPr>
          <w:sz w:val="24"/>
        </w:rPr>
        <w:t>runners</w:t>
      </w:r>
      <w:r>
        <w:rPr>
          <w:spacing w:val="40"/>
          <w:sz w:val="24"/>
        </w:rPr>
        <w:t> </w:t>
      </w:r>
      <w:r>
        <w:rPr>
          <w:sz w:val="24"/>
        </w:rPr>
        <w:t>and</w:t>
      </w:r>
      <w:r>
        <w:rPr>
          <w:spacing w:val="40"/>
          <w:sz w:val="24"/>
        </w:rPr>
        <w:t> </w:t>
      </w:r>
      <w:r>
        <w:rPr>
          <w:sz w:val="24"/>
        </w:rPr>
        <w:t>suspenders</w:t>
      </w:r>
      <w:r>
        <w:rPr>
          <w:spacing w:val="40"/>
          <w:sz w:val="24"/>
        </w:rPr>
        <w:t> </w:t>
      </w:r>
      <w:r>
        <w:rPr>
          <w:sz w:val="24"/>
        </w:rPr>
        <w:t>shall</w:t>
      </w:r>
      <w:r>
        <w:rPr>
          <w:spacing w:val="40"/>
          <w:sz w:val="24"/>
        </w:rPr>
        <w:t> </w:t>
      </w:r>
      <w:r>
        <w:rPr>
          <w:sz w:val="24"/>
        </w:rPr>
        <w:t>be</w:t>
      </w:r>
      <w:r>
        <w:rPr>
          <w:spacing w:val="80"/>
          <w:sz w:val="24"/>
        </w:rPr>
        <w:t> </w:t>
      </w:r>
      <w:r>
        <w:rPr>
          <w:sz w:val="24"/>
        </w:rPr>
        <w:t>of</w:t>
      </w:r>
      <w:r>
        <w:rPr>
          <w:spacing w:val="40"/>
          <w:sz w:val="24"/>
        </w:rPr>
        <w:t> </w:t>
      </w:r>
      <w:r>
        <w:rPr>
          <w:sz w:val="24"/>
        </w:rPr>
        <w:t>non-combustible</w:t>
      </w:r>
      <w:r>
        <w:rPr>
          <w:spacing w:val="40"/>
          <w:sz w:val="24"/>
        </w:rPr>
        <w:t> </w:t>
      </w:r>
      <w:r>
        <w:rPr>
          <w:sz w:val="24"/>
        </w:rPr>
        <w:t>type.</w:t>
      </w:r>
    </w:p>
    <w:p>
      <w:pPr>
        <w:pStyle w:val="Heading6"/>
        <w:numPr>
          <w:ilvl w:val="1"/>
          <w:numId w:val="335"/>
        </w:numPr>
        <w:tabs>
          <w:tab w:pos="1570" w:val="left" w:leader="none"/>
        </w:tabs>
        <w:spacing w:line="240" w:lineRule="auto" w:before="238" w:after="0"/>
        <w:ind w:left="1570" w:right="0" w:hanging="452"/>
        <w:jc w:val="left"/>
      </w:pPr>
      <w:r>
        <w:rPr/>
        <w:t>Boiler</w:t>
      </w:r>
      <w:r>
        <w:rPr>
          <w:spacing w:val="64"/>
        </w:rPr>
        <w:t> </w:t>
      </w:r>
      <w:r>
        <w:rPr>
          <w:spacing w:val="5"/>
        </w:rPr>
        <w:t>room</w:t>
      </w:r>
    </w:p>
    <w:p>
      <w:pPr>
        <w:pStyle w:val="BodyText"/>
        <w:spacing w:before="242"/>
        <w:ind w:left="1572" w:right="773"/>
      </w:pPr>
      <w:r>
        <w:rPr/>
        <w:t>Boiler and boiler rooms shall </w:t>
      </w:r>
      <w:r>
        <w:rPr>
          <w:spacing w:val="9"/>
        </w:rPr>
        <w:t>conform</w:t>
      </w:r>
      <w:r>
        <w:rPr>
          <w:spacing w:val="9"/>
        </w:rPr>
        <w:t> </w:t>
      </w:r>
      <w:r>
        <w:rPr/>
        <w:t>to the Indian Boilers </w:t>
      </w:r>
      <w:r>
        <w:rPr>
          <w:spacing w:val="10"/>
        </w:rPr>
        <w:t>Act.The </w:t>
      </w:r>
      <w:r>
        <w:rPr/>
        <w:t>following</w:t>
      </w:r>
      <w:r>
        <w:rPr>
          <w:spacing w:val="40"/>
        </w:rPr>
        <w:t> </w:t>
      </w:r>
      <w:r>
        <w:rPr/>
        <w:t>additional</w:t>
      </w:r>
      <w:r>
        <w:rPr>
          <w:spacing w:val="40"/>
        </w:rPr>
        <w:t> </w:t>
      </w:r>
      <w:r>
        <w:rPr/>
        <w:t>aspects</w:t>
      </w:r>
      <w:r>
        <w:rPr>
          <w:spacing w:val="40"/>
        </w:rPr>
        <w:t> </w:t>
      </w:r>
      <w:r>
        <w:rPr/>
        <w:t>should</w:t>
      </w:r>
      <w:r>
        <w:rPr>
          <w:spacing w:val="40"/>
        </w:rPr>
        <w:t> </w:t>
      </w:r>
      <w:r>
        <w:rPr/>
        <w:t>be</w:t>
      </w:r>
      <w:r>
        <w:rPr>
          <w:spacing w:val="40"/>
        </w:rPr>
        <w:t> </w:t>
      </w:r>
      <w:r>
        <w:rPr/>
        <w:t>taken</w:t>
      </w:r>
      <w:r>
        <w:rPr>
          <w:spacing w:val="40"/>
        </w:rPr>
        <w:t> </w:t>
      </w:r>
      <w:r>
        <w:rPr/>
        <w:t>into</w:t>
      </w:r>
      <w:r>
        <w:rPr>
          <w:spacing w:val="40"/>
        </w:rPr>
        <w:t> </w:t>
      </w:r>
      <w:r>
        <w:rPr>
          <w:spacing w:val="9"/>
        </w:rPr>
        <w:t>account</w:t>
      </w:r>
      <w:r>
        <w:rPr>
          <w:spacing w:val="40"/>
        </w:rPr>
        <w:t> </w:t>
      </w:r>
      <w:r>
        <w:rPr/>
        <w:t>in</w:t>
      </w:r>
      <w:r>
        <w:rPr>
          <w:spacing w:val="40"/>
        </w:rPr>
        <w:t> </w:t>
      </w:r>
      <w:r>
        <w:rPr/>
        <w:t>the location</w:t>
      </w:r>
      <w:r>
        <w:rPr>
          <w:spacing w:val="40"/>
        </w:rPr>
        <w:t> </w:t>
      </w:r>
      <w:r>
        <w:rPr/>
        <w:t>of</w:t>
      </w:r>
      <w:r>
        <w:rPr>
          <w:spacing w:val="40"/>
        </w:rPr>
        <w:t> </w:t>
      </w:r>
      <w:r>
        <w:rPr/>
        <w:t>boiler/boiler</w:t>
      </w:r>
      <w:r>
        <w:rPr>
          <w:spacing w:val="40"/>
        </w:rPr>
        <w:t> </w:t>
      </w:r>
      <w:r>
        <w:rPr>
          <w:spacing w:val="9"/>
        </w:rPr>
        <w:t>room:</w:t>
      </w:r>
    </w:p>
    <w:p>
      <w:pPr>
        <w:pStyle w:val="ListParagraph"/>
        <w:numPr>
          <w:ilvl w:val="0"/>
          <w:numId w:val="341"/>
        </w:numPr>
        <w:tabs>
          <w:tab w:pos="2023" w:val="left" w:leader="none"/>
          <w:tab w:pos="2026" w:val="left" w:leader="none"/>
        </w:tabs>
        <w:spacing w:line="240" w:lineRule="auto" w:before="242" w:after="0"/>
        <w:ind w:left="2026" w:right="781" w:hanging="454"/>
        <w:jc w:val="both"/>
        <w:rPr>
          <w:sz w:val="24"/>
        </w:rPr>
      </w:pPr>
      <w:r>
        <w:rPr>
          <w:sz w:val="24"/>
        </w:rPr>
        <w:t>Boilers</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allowed</w:t>
      </w:r>
      <w:r>
        <w:rPr>
          <w:spacing w:val="40"/>
          <w:sz w:val="24"/>
        </w:rPr>
        <w:t> </w:t>
      </w:r>
      <w:r>
        <w:rPr>
          <w:sz w:val="24"/>
        </w:rPr>
        <w:t>in</w:t>
      </w:r>
      <w:r>
        <w:rPr>
          <w:spacing w:val="40"/>
          <w:sz w:val="24"/>
        </w:rPr>
        <w:t> </w:t>
      </w:r>
      <w:r>
        <w:rPr>
          <w:sz w:val="24"/>
        </w:rPr>
        <w:t>a</w:t>
      </w:r>
      <w:r>
        <w:rPr>
          <w:spacing w:val="40"/>
          <w:sz w:val="24"/>
        </w:rPr>
        <w:t> </w:t>
      </w:r>
      <w:r>
        <w:rPr>
          <w:sz w:val="24"/>
        </w:rPr>
        <w:t>lower</w:t>
      </w:r>
      <w:r>
        <w:rPr>
          <w:spacing w:val="40"/>
          <w:sz w:val="24"/>
        </w:rPr>
        <w:t> </w:t>
      </w:r>
      <w:r>
        <w:rPr>
          <w:sz w:val="24"/>
        </w:rPr>
        <w:t>basement</w:t>
      </w:r>
      <w:r>
        <w:rPr>
          <w:spacing w:val="40"/>
          <w:sz w:val="24"/>
        </w:rPr>
        <w:t> </w:t>
      </w:r>
      <w:r>
        <w:rPr>
          <w:sz w:val="24"/>
        </w:rPr>
        <w:t>but</w:t>
      </w:r>
      <w:r>
        <w:rPr>
          <w:spacing w:val="40"/>
          <w:sz w:val="24"/>
        </w:rPr>
        <w:t> </w:t>
      </w:r>
      <w:r>
        <w:rPr>
          <w:sz w:val="24"/>
        </w:rPr>
        <w:t>may</w:t>
      </w:r>
      <w:r>
        <w:rPr>
          <w:spacing w:val="40"/>
          <w:sz w:val="24"/>
        </w:rPr>
        <w:t> </w:t>
      </w:r>
      <w:r>
        <w:rPr>
          <w:sz w:val="24"/>
        </w:rPr>
        <w:t>be allowed</w:t>
      </w:r>
      <w:r>
        <w:rPr>
          <w:spacing w:val="40"/>
          <w:sz w:val="24"/>
        </w:rPr>
        <w:t> </w:t>
      </w:r>
      <w:r>
        <w:rPr>
          <w:sz w:val="24"/>
        </w:rPr>
        <w:t>in</w:t>
      </w:r>
      <w:r>
        <w:rPr>
          <w:spacing w:val="40"/>
          <w:sz w:val="24"/>
        </w:rPr>
        <w:t> </w:t>
      </w:r>
      <w:r>
        <w:rPr>
          <w:sz w:val="24"/>
        </w:rPr>
        <w:t>basements</w:t>
      </w:r>
      <w:r>
        <w:rPr>
          <w:spacing w:val="40"/>
          <w:sz w:val="24"/>
        </w:rPr>
        <w:t> </w:t>
      </w:r>
      <w:r>
        <w:rPr>
          <w:sz w:val="24"/>
        </w:rPr>
        <w:t>at</w:t>
      </w:r>
      <w:r>
        <w:rPr>
          <w:spacing w:val="40"/>
          <w:sz w:val="24"/>
        </w:rPr>
        <w:t> </w:t>
      </w:r>
      <w:r>
        <w:rPr>
          <w:sz w:val="24"/>
        </w:rPr>
        <w:t>first</w:t>
      </w:r>
      <w:r>
        <w:rPr>
          <w:spacing w:val="40"/>
          <w:sz w:val="24"/>
        </w:rPr>
        <w:t> </w:t>
      </w:r>
      <w:r>
        <w:rPr>
          <w:sz w:val="24"/>
        </w:rPr>
        <w:t>level</w:t>
      </w:r>
      <w:r>
        <w:rPr>
          <w:spacing w:val="40"/>
          <w:sz w:val="24"/>
        </w:rPr>
        <w:t> </w:t>
      </w:r>
      <w:r>
        <w:rPr>
          <w:sz w:val="24"/>
        </w:rPr>
        <w:t>and</w:t>
      </w:r>
      <w:r>
        <w:rPr>
          <w:spacing w:val="40"/>
          <w:sz w:val="24"/>
        </w:rPr>
        <w:t> </w:t>
      </w:r>
      <w:r>
        <w:rPr>
          <w:sz w:val="24"/>
        </w:rPr>
        <w:t>away</w:t>
      </w:r>
      <w:r>
        <w:rPr>
          <w:spacing w:val="40"/>
          <w:sz w:val="24"/>
        </w:rPr>
        <w:t> </w:t>
      </w:r>
      <w:r>
        <w:rPr>
          <w:sz w:val="24"/>
        </w:rPr>
        <w:t>from</w:t>
      </w:r>
      <w:r>
        <w:rPr>
          <w:spacing w:val="40"/>
          <w:sz w:val="24"/>
        </w:rPr>
        <w:t> </w:t>
      </w:r>
      <w:r>
        <w:rPr>
          <w:sz w:val="24"/>
        </w:rPr>
        <w:t>the</w:t>
      </w:r>
      <w:r>
        <w:rPr>
          <w:spacing w:val="40"/>
          <w:sz w:val="24"/>
        </w:rPr>
        <w:t> </w:t>
      </w:r>
      <w:r>
        <w:rPr>
          <w:sz w:val="24"/>
        </w:rPr>
        <w:t>escape</w:t>
      </w:r>
      <w:r>
        <w:rPr>
          <w:spacing w:val="40"/>
          <w:sz w:val="24"/>
        </w:rPr>
        <w:t> </w:t>
      </w:r>
      <w:r>
        <w:rPr>
          <w:spacing w:val="-2"/>
          <w:sz w:val="24"/>
        </w:rPr>
        <w:t>routes.</w:t>
      </w:r>
    </w:p>
    <w:p>
      <w:pPr>
        <w:pStyle w:val="ListParagraph"/>
        <w:numPr>
          <w:ilvl w:val="0"/>
          <w:numId w:val="341"/>
        </w:numPr>
        <w:tabs>
          <w:tab w:pos="2023" w:val="left" w:leader="none"/>
          <w:tab w:pos="2026" w:val="left" w:leader="none"/>
        </w:tabs>
        <w:spacing w:line="240" w:lineRule="auto" w:before="240" w:after="0"/>
        <w:ind w:left="2026" w:right="794" w:hanging="454"/>
        <w:jc w:val="both"/>
        <w:rPr>
          <w:sz w:val="24"/>
        </w:rPr>
      </w:pPr>
      <w:r>
        <w:rPr>
          <w:sz w:val="24"/>
        </w:rPr>
        <w:t>The</w:t>
      </w:r>
      <w:r>
        <w:rPr>
          <w:spacing w:val="40"/>
          <w:sz w:val="24"/>
        </w:rPr>
        <w:t> </w:t>
      </w:r>
      <w:r>
        <w:rPr>
          <w:sz w:val="24"/>
        </w:rPr>
        <w:t>boilers</w:t>
      </w:r>
      <w:r>
        <w:rPr>
          <w:spacing w:val="40"/>
          <w:sz w:val="24"/>
        </w:rPr>
        <w:t> </w:t>
      </w:r>
      <w:r>
        <w:rPr>
          <w:sz w:val="24"/>
        </w:rPr>
        <w:t>shall</w:t>
      </w:r>
      <w:r>
        <w:rPr>
          <w:spacing w:val="40"/>
          <w:sz w:val="24"/>
        </w:rPr>
        <w:t> </w:t>
      </w:r>
      <w:r>
        <w:rPr>
          <w:sz w:val="24"/>
        </w:rPr>
        <w:t>be</w:t>
      </w:r>
      <w:r>
        <w:rPr>
          <w:spacing w:val="40"/>
          <w:sz w:val="24"/>
        </w:rPr>
        <w:t> </w:t>
      </w:r>
      <w:r>
        <w:rPr>
          <w:sz w:val="24"/>
        </w:rPr>
        <w:t>installed</w:t>
      </w:r>
      <w:r>
        <w:rPr>
          <w:spacing w:val="40"/>
          <w:sz w:val="24"/>
        </w:rPr>
        <w:t> </w:t>
      </w:r>
      <w:r>
        <w:rPr>
          <w:sz w:val="24"/>
        </w:rPr>
        <w:t>in</w:t>
      </w:r>
      <w:r>
        <w:rPr>
          <w:spacing w:val="40"/>
          <w:sz w:val="24"/>
        </w:rPr>
        <w:t> </w:t>
      </w:r>
      <w:r>
        <w:rPr>
          <w:sz w:val="24"/>
        </w:rPr>
        <w:t>a</w:t>
      </w:r>
      <w:r>
        <w:rPr>
          <w:spacing w:val="40"/>
          <w:sz w:val="24"/>
        </w:rPr>
        <w:t> </w:t>
      </w:r>
      <w:r>
        <w:rPr>
          <w:spacing w:val="11"/>
          <w:sz w:val="24"/>
        </w:rPr>
        <w:t>fire-</w:t>
      </w:r>
      <w:r>
        <w:rPr>
          <w:sz w:val="24"/>
        </w:rPr>
        <w:t>resisting</w:t>
      </w:r>
      <w:r>
        <w:rPr>
          <w:spacing w:val="40"/>
          <w:sz w:val="24"/>
        </w:rPr>
        <w:t> </w:t>
      </w:r>
      <w:r>
        <w:rPr>
          <w:sz w:val="24"/>
        </w:rPr>
        <w:t>room</w:t>
      </w:r>
      <w:r>
        <w:rPr>
          <w:spacing w:val="40"/>
          <w:sz w:val="24"/>
        </w:rPr>
        <w:t> </w:t>
      </w:r>
      <w:r>
        <w:rPr>
          <w:sz w:val="24"/>
        </w:rPr>
        <w:t>of</w:t>
      </w:r>
      <w:r>
        <w:rPr>
          <w:spacing w:val="40"/>
          <w:sz w:val="24"/>
        </w:rPr>
        <w:t> </w:t>
      </w:r>
      <w:r>
        <w:rPr>
          <w:sz w:val="24"/>
        </w:rPr>
        <w:t>4</w:t>
      </w:r>
      <w:r>
        <w:rPr>
          <w:spacing w:val="40"/>
          <w:sz w:val="24"/>
        </w:rPr>
        <w:t> </w:t>
      </w:r>
      <w:r>
        <w:rPr>
          <w:sz w:val="24"/>
        </w:rPr>
        <w:t>hours'</w:t>
      </w:r>
      <w:r>
        <w:rPr>
          <w:spacing w:val="40"/>
          <w:sz w:val="24"/>
        </w:rPr>
        <w:t> </w:t>
      </w:r>
      <w:r>
        <w:rPr>
          <w:sz w:val="24"/>
        </w:rPr>
        <w:t>fire resistance rating situated on the periphery of the basement.</w:t>
      </w:r>
      <w:r>
        <w:rPr>
          <w:spacing w:val="80"/>
          <w:sz w:val="24"/>
        </w:rPr>
        <w:t> </w:t>
      </w:r>
      <w:r>
        <w:rPr>
          <w:sz w:val="24"/>
        </w:rPr>
        <w:t>Catch-pitch</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at</w:t>
      </w:r>
      <w:r>
        <w:rPr>
          <w:spacing w:val="40"/>
          <w:sz w:val="24"/>
        </w:rPr>
        <w:t> </w:t>
      </w:r>
      <w:r>
        <w:rPr>
          <w:sz w:val="24"/>
        </w:rPr>
        <w:t>the</w:t>
      </w:r>
      <w:r>
        <w:rPr>
          <w:spacing w:val="40"/>
          <w:sz w:val="24"/>
        </w:rPr>
        <w:t> </w:t>
      </w:r>
      <w:r>
        <w:rPr>
          <w:sz w:val="24"/>
        </w:rPr>
        <w:t>low</w:t>
      </w:r>
      <w:r>
        <w:rPr>
          <w:spacing w:val="40"/>
          <w:sz w:val="24"/>
        </w:rPr>
        <w:t> </w:t>
      </w:r>
      <w:r>
        <w:rPr>
          <w:sz w:val="24"/>
        </w:rPr>
        <w:t>level.</w:t>
      </w:r>
    </w:p>
    <w:p>
      <w:pPr>
        <w:pStyle w:val="ListParagraph"/>
        <w:spacing w:after="0" w:line="240" w:lineRule="auto"/>
        <w:jc w:val="both"/>
        <w:rPr>
          <w:sz w:val="24"/>
        </w:rPr>
        <w:sectPr>
          <w:pgSz w:w="11910" w:h="16850"/>
          <w:pgMar w:header="1024" w:footer="1302" w:top="1480" w:bottom="1500" w:left="360" w:right="360"/>
        </w:sectPr>
      </w:pPr>
    </w:p>
    <w:p>
      <w:pPr>
        <w:pStyle w:val="ListParagraph"/>
        <w:numPr>
          <w:ilvl w:val="0"/>
          <w:numId w:val="341"/>
        </w:numPr>
        <w:tabs>
          <w:tab w:pos="2024" w:val="left" w:leader="none"/>
          <w:tab w:pos="2026" w:val="left" w:leader="none"/>
        </w:tabs>
        <w:spacing w:line="240" w:lineRule="auto" w:before="276" w:after="0"/>
        <w:ind w:left="2026" w:right="802" w:hanging="454"/>
        <w:jc w:val="both"/>
        <w:rPr>
          <w:sz w:val="24"/>
        </w:rPr>
      </w:pPr>
      <w:r>
        <w:rPr>
          <w:sz w:val="24"/>
        </w:rPr>
        <w:t>Entry to this room shall be provided with a composite door of two hours’</w:t>
      </w:r>
      <w:r>
        <w:rPr>
          <w:spacing w:val="40"/>
          <w:sz w:val="24"/>
        </w:rPr>
        <w:t> </w:t>
      </w:r>
      <w:r>
        <w:rPr>
          <w:sz w:val="24"/>
        </w:rPr>
        <w:t>fire</w:t>
      </w:r>
      <w:r>
        <w:rPr>
          <w:spacing w:val="40"/>
          <w:sz w:val="24"/>
        </w:rPr>
        <w:t> </w:t>
      </w:r>
      <w:r>
        <w:rPr>
          <w:sz w:val="24"/>
        </w:rPr>
        <w:t>resistance.</w:t>
      </w:r>
    </w:p>
    <w:p>
      <w:pPr>
        <w:pStyle w:val="ListParagraph"/>
        <w:numPr>
          <w:ilvl w:val="0"/>
          <w:numId w:val="341"/>
        </w:numPr>
        <w:tabs>
          <w:tab w:pos="2023" w:val="left" w:leader="none"/>
          <w:tab w:pos="2026" w:val="left" w:leader="none"/>
        </w:tabs>
        <w:spacing w:line="240" w:lineRule="auto" w:before="240" w:after="0"/>
        <w:ind w:left="2026" w:right="802" w:hanging="454"/>
        <w:jc w:val="both"/>
        <w:rPr>
          <w:sz w:val="24"/>
        </w:rPr>
      </w:pPr>
      <w:r>
        <w:rPr>
          <w:sz w:val="24"/>
        </w:rPr>
        <w:t>The boiler room shall be provided with fresh air inlets and smoke exhausts</w:t>
      </w:r>
      <w:r>
        <w:rPr>
          <w:spacing w:val="40"/>
          <w:sz w:val="24"/>
        </w:rPr>
        <w:t> </w:t>
      </w:r>
      <w:r>
        <w:rPr>
          <w:sz w:val="24"/>
        </w:rPr>
        <w:t>directly</w:t>
      </w:r>
      <w:r>
        <w:rPr>
          <w:spacing w:val="40"/>
          <w:sz w:val="24"/>
        </w:rPr>
        <w:t> </w:t>
      </w:r>
      <w:r>
        <w:rPr>
          <w:sz w:val="24"/>
        </w:rPr>
        <w:t>to</w:t>
      </w:r>
      <w:r>
        <w:rPr>
          <w:spacing w:val="40"/>
          <w:sz w:val="24"/>
        </w:rPr>
        <w:t> </w:t>
      </w:r>
      <w:r>
        <w:rPr>
          <w:sz w:val="24"/>
        </w:rPr>
        <w:t>the</w:t>
      </w:r>
      <w:r>
        <w:rPr>
          <w:spacing w:val="40"/>
          <w:sz w:val="24"/>
        </w:rPr>
        <w:t> </w:t>
      </w:r>
      <w:r>
        <w:rPr>
          <w:spacing w:val="9"/>
          <w:sz w:val="24"/>
        </w:rPr>
        <w:t>atmosphere.</w:t>
      </w:r>
    </w:p>
    <w:p>
      <w:pPr>
        <w:pStyle w:val="ListParagraph"/>
        <w:numPr>
          <w:ilvl w:val="0"/>
          <w:numId w:val="341"/>
        </w:numPr>
        <w:tabs>
          <w:tab w:pos="2024" w:val="left" w:leader="none"/>
          <w:tab w:pos="2026" w:val="left" w:leader="none"/>
        </w:tabs>
        <w:spacing w:line="240" w:lineRule="auto" w:before="241" w:after="0"/>
        <w:ind w:left="2026" w:right="788" w:hanging="454"/>
        <w:jc w:val="both"/>
        <w:rPr>
          <w:sz w:val="24"/>
        </w:rPr>
      </w:pPr>
      <w:r>
        <w:rPr>
          <w:sz w:val="24"/>
        </w:rPr>
        <w:t>The furnace oil tank for the boiler, if located in the adjoining room, shall</w:t>
      </w:r>
      <w:r>
        <w:rPr>
          <w:spacing w:val="40"/>
          <w:sz w:val="24"/>
        </w:rPr>
        <w:t> </w:t>
      </w:r>
      <w:r>
        <w:rPr>
          <w:sz w:val="24"/>
        </w:rPr>
        <w:t>be</w:t>
      </w:r>
      <w:r>
        <w:rPr>
          <w:spacing w:val="40"/>
          <w:sz w:val="24"/>
        </w:rPr>
        <w:t> </w:t>
      </w:r>
      <w:r>
        <w:rPr>
          <w:sz w:val="24"/>
        </w:rPr>
        <w:t>separated</w:t>
      </w:r>
      <w:r>
        <w:rPr>
          <w:spacing w:val="11"/>
          <w:sz w:val="24"/>
        </w:rPr>
        <w:t> by-</w:t>
      </w:r>
      <w:r>
        <w:rPr>
          <w:sz w:val="24"/>
        </w:rPr>
        <w:t>fire</w:t>
      </w:r>
      <w:r>
        <w:rPr>
          <w:spacing w:val="40"/>
          <w:sz w:val="24"/>
        </w:rPr>
        <w:t> </w:t>
      </w:r>
      <w:r>
        <w:rPr>
          <w:sz w:val="24"/>
        </w:rPr>
        <w:t>resisting</w:t>
      </w:r>
      <w:r>
        <w:rPr>
          <w:spacing w:val="40"/>
          <w:sz w:val="24"/>
        </w:rPr>
        <w:t> </w:t>
      </w:r>
      <w:r>
        <w:rPr>
          <w:sz w:val="24"/>
        </w:rPr>
        <w:t>walls</w:t>
      </w:r>
      <w:r>
        <w:rPr>
          <w:spacing w:val="40"/>
          <w:sz w:val="24"/>
        </w:rPr>
        <w:t> </w:t>
      </w:r>
      <w:r>
        <w:rPr>
          <w:sz w:val="24"/>
        </w:rPr>
        <w:t>4</w:t>
      </w:r>
      <w:r>
        <w:rPr>
          <w:spacing w:val="40"/>
          <w:sz w:val="24"/>
        </w:rPr>
        <w:t> </w:t>
      </w:r>
      <w:r>
        <w:rPr>
          <w:sz w:val="24"/>
        </w:rPr>
        <w:t>hours</w:t>
      </w:r>
      <w:r>
        <w:rPr>
          <w:spacing w:val="40"/>
          <w:sz w:val="24"/>
        </w:rPr>
        <w:t> </w:t>
      </w:r>
      <w:r>
        <w:rPr>
          <w:sz w:val="24"/>
        </w:rPr>
        <w:t>rating.</w:t>
      </w:r>
      <w:r>
        <w:rPr>
          <w:spacing w:val="80"/>
          <w:w w:val="150"/>
          <w:sz w:val="24"/>
        </w:rPr>
        <w:t> </w:t>
      </w:r>
      <w:r>
        <w:rPr>
          <w:sz w:val="24"/>
        </w:rPr>
        <w:t>The entrance</w:t>
      </w:r>
      <w:r>
        <w:rPr>
          <w:spacing w:val="40"/>
          <w:sz w:val="24"/>
        </w:rPr>
        <w:t> </w:t>
      </w:r>
      <w:r>
        <w:rPr>
          <w:sz w:val="24"/>
        </w:rPr>
        <w:t>to</w:t>
      </w:r>
      <w:r>
        <w:rPr>
          <w:spacing w:val="40"/>
          <w:sz w:val="24"/>
        </w:rPr>
        <w:t> </w:t>
      </w:r>
      <w:r>
        <w:rPr>
          <w:sz w:val="24"/>
        </w:rPr>
        <w:t>this</w:t>
      </w:r>
      <w:r>
        <w:rPr>
          <w:spacing w:val="40"/>
          <w:sz w:val="24"/>
        </w:rPr>
        <w:t> </w:t>
      </w:r>
      <w:r>
        <w:rPr>
          <w:sz w:val="24"/>
        </w:rPr>
        <w:t>room</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with</w:t>
      </w:r>
      <w:r>
        <w:rPr>
          <w:spacing w:val="40"/>
          <w:sz w:val="24"/>
        </w:rPr>
        <w:t> </w:t>
      </w:r>
      <w:r>
        <w:rPr>
          <w:sz w:val="24"/>
        </w:rPr>
        <w:t>double</w:t>
      </w:r>
      <w:r>
        <w:rPr>
          <w:spacing w:val="40"/>
          <w:sz w:val="24"/>
        </w:rPr>
        <w:t> </w:t>
      </w:r>
      <w:r>
        <w:rPr>
          <w:sz w:val="24"/>
        </w:rPr>
        <w:t>composite doors.</w:t>
      </w:r>
      <w:r>
        <w:rPr>
          <w:spacing w:val="40"/>
          <w:sz w:val="24"/>
        </w:rPr>
        <w:t>  </w:t>
      </w:r>
      <w:r>
        <w:rPr>
          <w:sz w:val="24"/>
        </w:rPr>
        <w:t>A</w:t>
      </w:r>
      <w:r>
        <w:rPr>
          <w:spacing w:val="40"/>
          <w:sz w:val="24"/>
        </w:rPr>
        <w:t> </w:t>
      </w:r>
      <w:r>
        <w:rPr>
          <w:sz w:val="24"/>
        </w:rPr>
        <w:t>kerb</w:t>
      </w:r>
      <w:r>
        <w:rPr>
          <w:spacing w:val="40"/>
          <w:sz w:val="24"/>
        </w:rPr>
        <w:t> </w:t>
      </w:r>
      <w:r>
        <w:rPr>
          <w:sz w:val="24"/>
        </w:rPr>
        <w:t>of</w:t>
      </w:r>
      <w:r>
        <w:rPr>
          <w:spacing w:val="40"/>
          <w:sz w:val="24"/>
        </w:rPr>
        <w:t> </w:t>
      </w:r>
      <w:r>
        <w:rPr>
          <w:sz w:val="24"/>
        </w:rPr>
        <w:t>suitable</w:t>
      </w:r>
      <w:r>
        <w:rPr>
          <w:spacing w:val="40"/>
          <w:sz w:val="24"/>
        </w:rPr>
        <w:t> </w:t>
      </w:r>
      <w:r>
        <w:rPr>
          <w:sz w:val="24"/>
        </w:rPr>
        <w:t>height</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at</w:t>
      </w:r>
      <w:r>
        <w:rPr>
          <w:spacing w:val="40"/>
          <w:sz w:val="24"/>
        </w:rPr>
        <w:t> </w:t>
      </w:r>
      <w:r>
        <w:rPr>
          <w:sz w:val="24"/>
        </w:rPr>
        <w:t>the</w:t>
      </w:r>
      <w:r>
        <w:rPr>
          <w:spacing w:val="40"/>
          <w:sz w:val="24"/>
        </w:rPr>
        <w:t> </w:t>
      </w:r>
      <w:r>
        <w:rPr>
          <w:sz w:val="24"/>
        </w:rPr>
        <w:t>entrance in</w:t>
      </w:r>
      <w:r>
        <w:rPr>
          <w:spacing w:val="40"/>
          <w:sz w:val="24"/>
        </w:rPr>
        <w:t> </w:t>
      </w:r>
      <w:r>
        <w:rPr>
          <w:sz w:val="24"/>
        </w:rPr>
        <w:t>order</w:t>
      </w:r>
      <w:r>
        <w:rPr>
          <w:spacing w:val="40"/>
          <w:sz w:val="24"/>
        </w:rPr>
        <w:t> </w:t>
      </w:r>
      <w:r>
        <w:rPr>
          <w:sz w:val="24"/>
        </w:rPr>
        <w:t>to</w:t>
      </w:r>
      <w:r>
        <w:rPr>
          <w:spacing w:val="40"/>
          <w:sz w:val="24"/>
        </w:rPr>
        <w:t> </w:t>
      </w:r>
      <w:r>
        <w:rPr>
          <w:sz w:val="24"/>
        </w:rPr>
        <w:t>prevent</w:t>
      </w:r>
      <w:r>
        <w:rPr>
          <w:spacing w:val="40"/>
          <w:sz w:val="24"/>
        </w:rPr>
        <w:t> </w:t>
      </w:r>
      <w:r>
        <w:rPr>
          <w:sz w:val="24"/>
        </w:rPr>
        <w:t>the</w:t>
      </w:r>
      <w:r>
        <w:rPr>
          <w:spacing w:val="40"/>
          <w:sz w:val="24"/>
        </w:rPr>
        <w:t> </w:t>
      </w:r>
      <w:r>
        <w:rPr>
          <w:sz w:val="24"/>
        </w:rPr>
        <w:t>flow</w:t>
      </w:r>
      <w:r>
        <w:rPr>
          <w:spacing w:val="40"/>
          <w:sz w:val="24"/>
        </w:rPr>
        <w:t> </w:t>
      </w:r>
      <w:r>
        <w:rPr>
          <w:sz w:val="24"/>
        </w:rPr>
        <w:t>of</w:t>
      </w:r>
      <w:r>
        <w:rPr>
          <w:spacing w:val="40"/>
          <w:sz w:val="24"/>
        </w:rPr>
        <w:t> </w:t>
      </w:r>
      <w:r>
        <w:rPr>
          <w:sz w:val="24"/>
        </w:rPr>
        <w:t>oil</w:t>
      </w:r>
      <w:r>
        <w:rPr>
          <w:spacing w:val="40"/>
          <w:sz w:val="24"/>
        </w:rPr>
        <w:t> </w:t>
      </w:r>
      <w:r>
        <w:rPr>
          <w:sz w:val="24"/>
        </w:rPr>
        <w:t>into</w:t>
      </w:r>
      <w:r>
        <w:rPr>
          <w:spacing w:val="40"/>
          <w:sz w:val="24"/>
        </w:rPr>
        <w:t> </w:t>
      </w:r>
      <w:r>
        <w:rPr>
          <w:sz w:val="24"/>
        </w:rPr>
        <w:t>the</w:t>
      </w:r>
      <w:r>
        <w:rPr>
          <w:spacing w:val="40"/>
          <w:sz w:val="24"/>
        </w:rPr>
        <w:t> </w:t>
      </w:r>
      <w:r>
        <w:rPr>
          <w:sz w:val="24"/>
        </w:rPr>
        <w:t>boiler</w:t>
      </w:r>
      <w:r>
        <w:rPr>
          <w:spacing w:val="40"/>
          <w:sz w:val="24"/>
        </w:rPr>
        <w:t> </w:t>
      </w:r>
      <w:r>
        <w:rPr>
          <w:sz w:val="24"/>
        </w:rPr>
        <w:t>room</w:t>
      </w:r>
      <w:r>
        <w:rPr>
          <w:spacing w:val="40"/>
          <w:sz w:val="24"/>
        </w:rPr>
        <w:t> </w:t>
      </w:r>
      <w:r>
        <w:rPr>
          <w:sz w:val="24"/>
        </w:rPr>
        <w:t>in</w:t>
      </w:r>
      <w:r>
        <w:rPr>
          <w:spacing w:val="40"/>
          <w:sz w:val="24"/>
        </w:rPr>
        <w:t> </w:t>
      </w:r>
      <w:r>
        <w:rPr>
          <w:sz w:val="24"/>
        </w:rPr>
        <w:t>case</w:t>
      </w:r>
      <w:r>
        <w:rPr>
          <w:spacing w:val="40"/>
          <w:sz w:val="24"/>
        </w:rPr>
        <w:t> </w:t>
      </w:r>
      <w:r>
        <w:rPr>
          <w:sz w:val="24"/>
        </w:rPr>
        <w:t>of tank </w:t>
      </w:r>
      <w:r>
        <w:rPr>
          <w:spacing w:val="9"/>
          <w:sz w:val="24"/>
        </w:rPr>
        <w:t>rupture.</w:t>
      </w:r>
    </w:p>
    <w:p>
      <w:pPr>
        <w:pStyle w:val="ListParagraph"/>
        <w:numPr>
          <w:ilvl w:val="0"/>
          <w:numId w:val="341"/>
        </w:numPr>
        <w:tabs>
          <w:tab w:pos="2023" w:val="left" w:leader="none"/>
          <w:tab w:pos="2026" w:val="left" w:leader="none"/>
        </w:tabs>
        <w:spacing w:line="240" w:lineRule="auto" w:before="240" w:after="0"/>
        <w:ind w:left="2026" w:right="787" w:hanging="454"/>
        <w:jc w:val="both"/>
        <w:rPr>
          <w:sz w:val="24"/>
        </w:rPr>
      </w:pPr>
      <w:r>
        <w:rPr>
          <w:sz w:val="24"/>
        </w:rPr>
        <w:t>Foam inlets shall be provided on the external walls of the building</w:t>
      </w:r>
      <w:r>
        <w:rPr>
          <w:spacing w:val="80"/>
          <w:sz w:val="24"/>
        </w:rPr>
        <w:t> </w:t>
      </w:r>
      <w:r>
        <w:rPr>
          <w:sz w:val="24"/>
        </w:rPr>
        <w:t>near</w:t>
      </w:r>
      <w:r>
        <w:rPr>
          <w:spacing w:val="30"/>
          <w:sz w:val="24"/>
        </w:rPr>
        <w:t> </w:t>
      </w:r>
      <w:r>
        <w:rPr>
          <w:sz w:val="24"/>
        </w:rPr>
        <w:t>the</w:t>
      </w:r>
      <w:r>
        <w:rPr>
          <w:spacing w:val="30"/>
          <w:sz w:val="24"/>
        </w:rPr>
        <w:t> </w:t>
      </w:r>
      <w:r>
        <w:rPr>
          <w:sz w:val="24"/>
        </w:rPr>
        <w:t>ground</w:t>
      </w:r>
      <w:r>
        <w:rPr>
          <w:spacing w:val="30"/>
          <w:sz w:val="24"/>
        </w:rPr>
        <w:t> </w:t>
      </w:r>
      <w:r>
        <w:rPr>
          <w:sz w:val="24"/>
        </w:rPr>
        <w:t>level</w:t>
      </w:r>
      <w:r>
        <w:rPr>
          <w:spacing w:val="30"/>
          <w:sz w:val="24"/>
        </w:rPr>
        <w:t> </w:t>
      </w:r>
      <w:r>
        <w:rPr>
          <w:sz w:val="24"/>
        </w:rPr>
        <w:t>to</w:t>
      </w:r>
      <w:r>
        <w:rPr>
          <w:spacing w:val="30"/>
          <w:sz w:val="24"/>
        </w:rPr>
        <w:t> </w:t>
      </w:r>
      <w:r>
        <w:rPr>
          <w:sz w:val="24"/>
        </w:rPr>
        <w:t>enable</w:t>
      </w:r>
      <w:r>
        <w:rPr>
          <w:spacing w:val="30"/>
          <w:sz w:val="24"/>
        </w:rPr>
        <w:t> </w:t>
      </w:r>
      <w:r>
        <w:rPr>
          <w:sz w:val="24"/>
        </w:rPr>
        <w:t>the</w:t>
      </w:r>
      <w:r>
        <w:rPr>
          <w:spacing w:val="30"/>
          <w:sz w:val="24"/>
        </w:rPr>
        <w:t> </w:t>
      </w:r>
      <w:r>
        <w:rPr>
          <w:sz w:val="24"/>
        </w:rPr>
        <w:t>fire</w:t>
      </w:r>
      <w:r>
        <w:rPr>
          <w:spacing w:val="34"/>
          <w:sz w:val="24"/>
        </w:rPr>
        <w:t> </w:t>
      </w:r>
      <w:r>
        <w:rPr>
          <w:sz w:val="24"/>
        </w:rPr>
        <w:t>services</w:t>
      </w:r>
      <w:r>
        <w:rPr>
          <w:spacing w:val="30"/>
          <w:sz w:val="24"/>
        </w:rPr>
        <w:t> </w:t>
      </w:r>
      <w:r>
        <w:rPr>
          <w:sz w:val="24"/>
        </w:rPr>
        <w:t>to</w:t>
      </w:r>
      <w:r>
        <w:rPr>
          <w:spacing w:val="30"/>
          <w:sz w:val="24"/>
        </w:rPr>
        <w:t> </w:t>
      </w:r>
      <w:r>
        <w:rPr>
          <w:sz w:val="24"/>
        </w:rPr>
        <w:t>use</w:t>
      </w:r>
      <w:r>
        <w:rPr>
          <w:spacing w:val="10"/>
          <w:sz w:val="24"/>
        </w:rPr>
        <w:t> foam </w:t>
      </w:r>
      <w:r>
        <w:rPr>
          <w:sz w:val="24"/>
        </w:rPr>
        <w:t>in</w:t>
      </w:r>
      <w:r>
        <w:rPr>
          <w:spacing w:val="30"/>
          <w:sz w:val="24"/>
        </w:rPr>
        <w:t> </w:t>
      </w:r>
      <w:r>
        <w:rPr>
          <w:sz w:val="24"/>
        </w:rPr>
        <w:t>case of fire.</w:t>
      </w:r>
    </w:p>
    <w:p>
      <w:pPr>
        <w:pStyle w:val="Heading6"/>
        <w:numPr>
          <w:ilvl w:val="0"/>
          <w:numId w:val="335"/>
        </w:numPr>
        <w:tabs>
          <w:tab w:pos="1315" w:val="left" w:leader="none"/>
        </w:tabs>
        <w:spacing w:line="240" w:lineRule="auto" w:before="237" w:after="0"/>
        <w:ind w:left="1315" w:right="0" w:hanging="538"/>
        <w:jc w:val="left"/>
      </w:pPr>
      <w:r>
        <w:rPr/>
        <w:t>Provision</w:t>
      </w:r>
      <w:r>
        <w:rPr>
          <w:spacing w:val="54"/>
        </w:rPr>
        <w:t> </w:t>
      </w:r>
      <w:r>
        <w:rPr/>
        <w:t>of</w:t>
      </w:r>
      <w:r>
        <w:rPr>
          <w:spacing w:val="56"/>
        </w:rPr>
        <w:t> </w:t>
      </w:r>
      <w:r>
        <w:rPr/>
        <w:t>First</w:t>
      </w:r>
      <w:r>
        <w:rPr>
          <w:spacing w:val="60"/>
        </w:rPr>
        <w:t> </w:t>
      </w:r>
      <w:r>
        <w:rPr/>
        <w:t>Aid</w:t>
      </w:r>
      <w:r>
        <w:rPr>
          <w:spacing w:val="56"/>
        </w:rPr>
        <w:t> </w:t>
      </w:r>
      <w:r>
        <w:rPr/>
        <w:t>and</w:t>
      </w:r>
      <w:r>
        <w:rPr>
          <w:spacing w:val="59"/>
        </w:rPr>
        <w:t> </w:t>
      </w:r>
      <w:r>
        <w:rPr>
          <w:spacing w:val="9"/>
        </w:rPr>
        <w:t>Fire-</w:t>
      </w:r>
      <w:r>
        <w:rPr/>
        <w:t>fighting</w:t>
      </w:r>
      <w:r>
        <w:rPr>
          <w:spacing w:val="56"/>
        </w:rPr>
        <w:t> </w:t>
      </w:r>
      <w:r>
        <w:rPr>
          <w:spacing w:val="-2"/>
        </w:rPr>
        <w:t>Appliances</w:t>
      </w:r>
    </w:p>
    <w:p>
      <w:pPr>
        <w:pStyle w:val="ListParagraph"/>
        <w:numPr>
          <w:ilvl w:val="1"/>
          <w:numId w:val="335"/>
        </w:numPr>
        <w:tabs>
          <w:tab w:pos="1572" w:val="left" w:leader="none"/>
          <w:tab w:pos="1715" w:val="left" w:leader="none"/>
        </w:tabs>
        <w:spacing w:line="240" w:lineRule="auto" w:before="241" w:after="0"/>
        <w:ind w:left="1572" w:right="788" w:hanging="368"/>
        <w:jc w:val="both"/>
        <w:rPr>
          <w:sz w:val="24"/>
        </w:rPr>
      </w:pPr>
      <w:r>
        <w:rPr>
          <w:sz w:val="24"/>
        </w:rPr>
        <w:tab/>
      </w:r>
      <w:r>
        <w:rPr>
          <w:spacing w:val="9"/>
          <w:sz w:val="24"/>
        </w:rPr>
        <w:t>First-</w:t>
      </w:r>
      <w:r>
        <w:rPr>
          <w:sz w:val="24"/>
        </w:rPr>
        <w:t>aid</w:t>
      </w:r>
      <w:r>
        <w:rPr>
          <w:spacing w:val="40"/>
          <w:sz w:val="24"/>
        </w:rPr>
        <w:t> </w:t>
      </w:r>
      <w:r>
        <w:rPr>
          <w:sz w:val="24"/>
        </w:rPr>
        <w:t>firefighting</w:t>
      </w:r>
      <w:r>
        <w:rPr>
          <w:spacing w:val="40"/>
          <w:sz w:val="24"/>
        </w:rPr>
        <w:t> </w:t>
      </w:r>
      <w:r>
        <w:rPr>
          <w:sz w:val="24"/>
        </w:rPr>
        <w:t>equipment</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on</w:t>
      </w:r>
      <w:r>
        <w:rPr>
          <w:spacing w:val="40"/>
          <w:sz w:val="24"/>
        </w:rPr>
        <w:t> </w:t>
      </w:r>
      <w:r>
        <w:rPr>
          <w:sz w:val="24"/>
        </w:rPr>
        <w:t>all</w:t>
      </w:r>
      <w:r>
        <w:rPr>
          <w:spacing w:val="40"/>
          <w:sz w:val="24"/>
        </w:rPr>
        <w:t> </w:t>
      </w:r>
      <w:r>
        <w:rPr>
          <w:sz w:val="24"/>
        </w:rPr>
        <w:t>floors including basements lift rooms, etc. in accordance with IS: </w:t>
      </w:r>
      <w:r>
        <w:rPr>
          <w:spacing w:val="11"/>
          <w:sz w:val="24"/>
        </w:rPr>
        <w:t>2217-</w:t>
      </w:r>
      <w:r>
        <w:rPr>
          <w:sz w:val="24"/>
        </w:rPr>
        <w:t>1963 Recommendations</w:t>
      </w:r>
      <w:r>
        <w:rPr>
          <w:spacing w:val="80"/>
          <w:sz w:val="24"/>
        </w:rPr>
        <w:t> </w:t>
      </w:r>
      <w:r>
        <w:rPr>
          <w:sz w:val="24"/>
        </w:rPr>
        <w:t>for</w:t>
      </w:r>
      <w:r>
        <w:rPr>
          <w:spacing w:val="80"/>
          <w:sz w:val="24"/>
        </w:rPr>
        <w:t> </w:t>
      </w:r>
      <w:r>
        <w:rPr>
          <w:sz w:val="24"/>
        </w:rPr>
        <w:t>providing</w:t>
      </w:r>
      <w:r>
        <w:rPr>
          <w:spacing w:val="80"/>
          <w:sz w:val="24"/>
        </w:rPr>
        <w:t> </w:t>
      </w:r>
      <w:r>
        <w:rPr>
          <w:spacing w:val="10"/>
          <w:sz w:val="24"/>
        </w:rPr>
        <w:t>First-</w:t>
      </w:r>
      <w:r>
        <w:rPr>
          <w:sz w:val="24"/>
        </w:rPr>
        <w:t>Aid</w:t>
      </w:r>
      <w:r>
        <w:rPr>
          <w:spacing w:val="80"/>
          <w:sz w:val="24"/>
        </w:rPr>
        <w:t> </w:t>
      </w:r>
      <w:r>
        <w:rPr>
          <w:sz w:val="24"/>
        </w:rPr>
        <w:t>Fire</w:t>
      </w:r>
      <w:r>
        <w:rPr>
          <w:spacing w:val="80"/>
          <w:sz w:val="24"/>
        </w:rPr>
        <w:t> </w:t>
      </w:r>
      <w:r>
        <w:rPr>
          <w:sz w:val="24"/>
        </w:rPr>
        <w:t>Fighting</w:t>
      </w:r>
      <w:r>
        <w:rPr>
          <w:spacing w:val="80"/>
          <w:sz w:val="24"/>
        </w:rPr>
        <w:t> </w:t>
      </w:r>
      <w:r>
        <w:rPr>
          <w:sz w:val="24"/>
        </w:rPr>
        <w:t>Arrangements in Public Buildings.</w:t>
      </w:r>
    </w:p>
    <w:p>
      <w:pPr>
        <w:pStyle w:val="ListParagraph"/>
        <w:numPr>
          <w:ilvl w:val="1"/>
          <w:numId w:val="335"/>
        </w:numPr>
        <w:tabs>
          <w:tab w:pos="1570" w:val="left" w:leader="none"/>
          <w:tab w:pos="1572" w:val="left" w:leader="none"/>
        </w:tabs>
        <w:spacing w:line="240" w:lineRule="auto" w:before="242" w:after="0"/>
        <w:ind w:left="1572" w:right="788" w:hanging="454"/>
        <w:jc w:val="both"/>
        <w:rPr>
          <w:sz w:val="24"/>
        </w:rPr>
      </w:pPr>
      <w:r>
        <w:rPr>
          <w:sz w:val="24"/>
        </w:rPr>
        <w:t>The firefighting appliances shall be distributed over the building in accordance</w:t>
      </w:r>
      <w:r>
        <w:rPr>
          <w:spacing w:val="40"/>
          <w:sz w:val="24"/>
        </w:rPr>
        <w:t> </w:t>
      </w:r>
      <w:r>
        <w:rPr>
          <w:sz w:val="24"/>
        </w:rPr>
        <w:t>with</w:t>
      </w:r>
      <w:r>
        <w:rPr>
          <w:spacing w:val="40"/>
          <w:sz w:val="24"/>
        </w:rPr>
        <w:t> </w:t>
      </w:r>
      <w:r>
        <w:rPr>
          <w:sz w:val="24"/>
        </w:rPr>
        <w:t>IS:</w:t>
      </w:r>
      <w:r>
        <w:rPr>
          <w:spacing w:val="40"/>
          <w:sz w:val="24"/>
        </w:rPr>
        <w:t> </w:t>
      </w:r>
      <w:r>
        <w:rPr>
          <w:spacing w:val="9"/>
          <w:sz w:val="24"/>
        </w:rPr>
        <w:t>2190-</w:t>
      </w:r>
      <w:r>
        <w:rPr>
          <w:sz w:val="24"/>
        </w:rPr>
        <w:t>1971</w:t>
      </w:r>
      <w:r>
        <w:rPr>
          <w:spacing w:val="40"/>
          <w:sz w:val="24"/>
        </w:rPr>
        <w:t> </w:t>
      </w:r>
      <w:r>
        <w:rPr>
          <w:sz w:val="24"/>
        </w:rPr>
        <w:t>Code</w:t>
      </w:r>
      <w:r>
        <w:rPr>
          <w:spacing w:val="40"/>
          <w:sz w:val="24"/>
        </w:rPr>
        <w:t> </w:t>
      </w:r>
      <w:r>
        <w:rPr>
          <w:sz w:val="24"/>
        </w:rPr>
        <w:t>of</w:t>
      </w:r>
      <w:r>
        <w:rPr>
          <w:spacing w:val="40"/>
          <w:sz w:val="24"/>
        </w:rPr>
        <w:t> </w:t>
      </w:r>
      <w:r>
        <w:rPr>
          <w:sz w:val="24"/>
        </w:rPr>
        <w:t>Practice</w:t>
      </w:r>
      <w:r>
        <w:rPr>
          <w:spacing w:val="40"/>
          <w:sz w:val="24"/>
        </w:rPr>
        <w:t> </w:t>
      </w:r>
      <w:r>
        <w:rPr>
          <w:sz w:val="24"/>
        </w:rPr>
        <w:t>for</w:t>
      </w:r>
      <w:r>
        <w:rPr>
          <w:spacing w:val="40"/>
          <w:sz w:val="24"/>
        </w:rPr>
        <w:t> </w:t>
      </w:r>
      <w:r>
        <w:rPr>
          <w:sz w:val="24"/>
        </w:rPr>
        <w:t>Selection, Installation</w:t>
      </w:r>
      <w:r>
        <w:rPr>
          <w:spacing w:val="80"/>
          <w:sz w:val="24"/>
        </w:rPr>
        <w:t> </w:t>
      </w:r>
      <w:r>
        <w:rPr>
          <w:sz w:val="24"/>
        </w:rPr>
        <w:t>and</w:t>
      </w:r>
      <w:r>
        <w:rPr>
          <w:spacing w:val="80"/>
          <w:sz w:val="24"/>
        </w:rPr>
        <w:t> </w:t>
      </w:r>
      <w:r>
        <w:rPr>
          <w:sz w:val="24"/>
        </w:rPr>
        <w:t>Maintenance</w:t>
      </w:r>
      <w:r>
        <w:rPr>
          <w:spacing w:val="80"/>
          <w:sz w:val="24"/>
        </w:rPr>
        <w:t> </w:t>
      </w:r>
      <w:r>
        <w:rPr>
          <w:sz w:val="24"/>
        </w:rPr>
        <w:t>of</w:t>
      </w:r>
      <w:r>
        <w:rPr>
          <w:spacing w:val="80"/>
          <w:sz w:val="24"/>
        </w:rPr>
        <w:t> </w:t>
      </w:r>
      <w:r>
        <w:rPr>
          <w:sz w:val="24"/>
        </w:rPr>
        <w:t>Portable</w:t>
      </w:r>
      <w:r>
        <w:rPr>
          <w:spacing w:val="80"/>
          <w:sz w:val="24"/>
        </w:rPr>
        <w:t> </w:t>
      </w:r>
      <w:r>
        <w:rPr>
          <w:spacing w:val="11"/>
          <w:sz w:val="24"/>
        </w:rPr>
        <w:t>First-</w:t>
      </w:r>
      <w:r>
        <w:rPr>
          <w:sz w:val="24"/>
        </w:rPr>
        <w:t>Aid</w:t>
      </w:r>
      <w:r>
        <w:rPr>
          <w:spacing w:val="80"/>
          <w:sz w:val="24"/>
        </w:rPr>
        <w:t> </w:t>
      </w:r>
      <w:r>
        <w:rPr>
          <w:sz w:val="24"/>
        </w:rPr>
        <w:t>Fire</w:t>
      </w:r>
      <w:r>
        <w:rPr>
          <w:spacing w:val="80"/>
          <w:sz w:val="24"/>
        </w:rPr>
        <w:t> </w:t>
      </w:r>
      <w:r>
        <w:rPr>
          <w:sz w:val="24"/>
        </w:rPr>
        <w:t>Appliances.</w:t>
      </w:r>
    </w:p>
    <w:p>
      <w:pPr>
        <w:pStyle w:val="Heading6"/>
        <w:numPr>
          <w:ilvl w:val="0"/>
          <w:numId w:val="335"/>
        </w:numPr>
        <w:tabs>
          <w:tab w:pos="1215" w:val="left" w:leader="none"/>
        </w:tabs>
        <w:spacing w:line="240" w:lineRule="auto" w:before="237" w:after="0"/>
        <w:ind w:left="1215" w:right="0" w:hanging="438"/>
        <w:jc w:val="left"/>
        <w:rPr>
          <w:sz w:val="22"/>
        </w:rPr>
      </w:pPr>
      <w:r>
        <w:rPr/>
        <w:t>Fixed</w:t>
      </w:r>
      <w:r>
        <w:rPr>
          <w:spacing w:val="71"/>
        </w:rPr>
        <w:t> </w:t>
      </w:r>
      <w:r>
        <w:rPr>
          <w:spacing w:val="9"/>
        </w:rPr>
        <w:t>Fire-</w:t>
      </w:r>
      <w:r>
        <w:rPr/>
        <w:t>Fighting</w:t>
      </w:r>
      <w:r>
        <w:rPr>
          <w:spacing w:val="71"/>
        </w:rPr>
        <w:t> </w:t>
      </w:r>
      <w:r>
        <w:rPr>
          <w:spacing w:val="-2"/>
        </w:rPr>
        <w:t>Installations</w:t>
      </w:r>
    </w:p>
    <w:p>
      <w:pPr>
        <w:pStyle w:val="ListParagraph"/>
        <w:numPr>
          <w:ilvl w:val="1"/>
          <w:numId w:val="335"/>
        </w:numPr>
        <w:tabs>
          <w:tab w:pos="1528" w:val="left" w:leader="none"/>
          <w:tab w:pos="1572" w:val="left" w:leader="none"/>
        </w:tabs>
        <w:spacing w:line="240" w:lineRule="auto" w:before="244" w:after="0"/>
        <w:ind w:left="1572" w:right="786" w:hanging="454"/>
        <w:jc w:val="both"/>
        <w:rPr>
          <w:sz w:val="24"/>
        </w:rPr>
      </w:pPr>
      <w:r>
        <w:rPr>
          <w:sz w:val="24"/>
        </w:rPr>
        <w:t>Buildings shall be protected by wet riser, wet </w:t>
      </w:r>
      <w:r>
        <w:rPr>
          <w:spacing w:val="11"/>
          <w:sz w:val="24"/>
        </w:rPr>
        <w:t>riser-</w:t>
      </w:r>
      <w:r>
        <w:rPr>
          <w:spacing w:val="9"/>
          <w:sz w:val="24"/>
        </w:rPr>
        <w:t>cum-</w:t>
      </w:r>
      <w:r>
        <w:rPr>
          <w:sz w:val="24"/>
        </w:rPr>
        <w:t>down corner, automatic sprinkler, installation, high pressure water spray or foam generating</w:t>
      </w:r>
      <w:r>
        <w:rPr>
          <w:spacing w:val="62"/>
          <w:sz w:val="24"/>
        </w:rPr>
        <w:t> </w:t>
      </w:r>
      <w:r>
        <w:rPr>
          <w:sz w:val="24"/>
        </w:rPr>
        <w:t>system</w:t>
      </w:r>
      <w:r>
        <w:rPr>
          <w:spacing w:val="65"/>
          <w:sz w:val="24"/>
        </w:rPr>
        <w:t> </w:t>
      </w:r>
      <w:r>
        <w:rPr>
          <w:sz w:val="24"/>
        </w:rPr>
        <w:t>as</w:t>
      </w:r>
      <w:r>
        <w:rPr>
          <w:spacing w:val="62"/>
          <w:sz w:val="24"/>
        </w:rPr>
        <w:t> </w:t>
      </w:r>
      <w:r>
        <w:rPr>
          <w:sz w:val="24"/>
        </w:rPr>
        <w:t>prescribed</w:t>
      </w:r>
      <w:r>
        <w:rPr>
          <w:spacing w:val="65"/>
          <w:sz w:val="24"/>
        </w:rPr>
        <w:t> </w:t>
      </w:r>
      <w:r>
        <w:rPr>
          <w:sz w:val="24"/>
        </w:rPr>
        <w:t>in</w:t>
      </w:r>
      <w:r>
        <w:rPr>
          <w:spacing w:val="62"/>
          <w:sz w:val="24"/>
        </w:rPr>
        <w:t> </w:t>
      </w:r>
      <w:r>
        <w:rPr>
          <w:spacing w:val="10"/>
          <w:sz w:val="24"/>
        </w:rPr>
        <w:t>sub-</w:t>
      </w:r>
      <w:r>
        <w:rPr>
          <w:sz w:val="24"/>
        </w:rPr>
        <w:t>Regulations</w:t>
      </w:r>
      <w:r>
        <w:rPr>
          <w:spacing w:val="65"/>
          <w:sz w:val="24"/>
        </w:rPr>
        <w:t> </w:t>
      </w:r>
      <w:r>
        <w:rPr>
          <w:sz w:val="24"/>
        </w:rPr>
        <w:t>(2)</w:t>
      </w:r>
      <w:r>
        <w:rPr>
          <w:spacing w:val="40"/>
          <w:sz w:val="24"/>
        </w:rPr>
        <w:t> </w:t>
      </w:r>
      <w:r>
        <w:rPr>
          <w:sz w:val="24"/>
        </w:rPr>
        <w:t>to</w:t>
      </w:r>
      <w:r>
        <w:rPr>
          <w:spacing w:val="40"/>
          <w:sz w:val="24"/>
        </w:rPr>
        <w:t> </w:t>
      </w:r>
      <w:r>
        <w:rPr>
          <w:sz w:val="24"/>
        </w:rPr>
        <w:t>(6)</w:t>
      </w:r>
      <w:r>
        <w:rPr>
          <w:spacing w:val="69"/>
          <w:sz w:val="24"/>
        </w:rPr>
        <w:t> </w:t>
      </w:r>
      <w:r>
        <w:rPr>
          <w:sz w:val="24"/>
        </w:rPr>
        <w:t>below:</w:t>
      </w:r>
      <w:r>
        <w:rPr>
          <w:spacing w:val="64"/>
          <w:sz w:val="24"/>
        </w:rPr>
        <w:t> </w:t>
      </w:r>
      <w:r>
        <w:rPr>
          <w:sz w:val="24"/>
        </w:rPr>
        <w:t>-</w:t>
      </w:r>
    </w:p>
    <w:p>
      <w:pPr>
        <w:pStyle w:val="ListParagraph"/>
        <w:numPr>
          <w:ilvl w:val="1"/>
          <w:numId w:val="335"/>
        </w:numPr>
        <w:tabs>
          <w:tab w:pos="1570" w:val="left" w:leader="none"/>
          <w:tab w:pos="1572" w:val="left" w:leader="none"/>
        </w:tabs>
        <w:spacing w:line="240" w:lineRule="auto" w:before="240" w:after="0"/>
        <w:ind w:left="1572" w:right="796" w:hanging="454"/>
        <w:jc w:val="both"/>
        <w:rPr>
          <w:b/>
          <w:sz w:val="24"/>
        </w:rPr>
      </w:pPr>
      <w:r>
        <w:rPr>
          <w:sz w:val="24"/>
        </w:rPr>
        <w:t>The</w:t>
      </w:r>
      <w:r>
        <w:rPr>
          <w:spacing w:val="40"/>
          <w:sz w:val="24"/>
        </w:rPr>
        <w:t> </w:t>
      </w:r>
      <w:r>
        <w:rPr>
          <w:sz w:val="24"/>
        </w:rPr>
        <w:t>wet</w:t>
      </w:r>
      <w:r>
        <w:rPr>
          <w:spacing w:val="40"/>
          <w:sz w:val="24"/>
        </w:rPr>
        <w:t> </w:t>
      </w:r>
      <w:r>
        <w:rPr>
          <w:spacing w:val="9"/>
          <w:sz w:val="24"/>
        </w:rPr>
        <w:t>riser/riser-</w:t>
      </w:r>
      <w:r>
        <w:rPr>
          <w:sz w:val="24"/>
        </w:rPr>
        <w:t>cum-down</w:t>
      </w:r>
      <w:r>
        <w:rPr>
          <w:spacing w:val="40"/>
          <w:sz w:val="24"/>
        </w:rPr>
        <w:t> </w:t>
      </w:r>
      <w:r>
        <w:rPr>
          <w:sz w:val="24"/>
        </w:rPr>
        <w:t>comers'</w:t>
      </w:r>
      <w:r>
        <w:rPr>
          <w:spacing w:val="40"/>
          <w:sz w:val="24"/>
        </w:rPr>
        <w:t> </w:t>
      </w:r>
      <w:r>
        <w:rPr>
          <w:sz w:val="24"/>
        </w:rPr>
        <w:t>installation</w:t>
      </w:r>
      <w:r>
        <w:rPr>
          <w:spacing w:val="40"/>
          <w:sz w:val="24"/>
        </w:rPr>
        <w:t> </w:t>
      </w:r>
      <w:r>
        <w:rPr>
          <w:sz w:val="24"/>
        </w:rPr>
        <w:t>with</w:t>
      </w:r>
      <w:r>
        <w:rPr>
          <w:spacing w:val="40"/>
          <w:sz w:val="24"/>
        </w:rPr>
        <w:t> </w:t>
      </w:r>
      <w:r>
        <w:rPr>
          <w:sz w:val="24"/>
        </w:rPr>
        <w:t>capacity</w:t>
      </w:r>
      <w:r>
        <w:rPr>
          <w:spacing w:val="40"/>
          <w:sz w:val="24"/>
        </w:rPr>
        <w:t> </w:t>
      </w:r>
      <w:r>
        <w:rPr>
          <w:sz w:val="24"/>
        </w:rPr>
        <w:t>of water storage tanks and fire pumps shall conform to the requirements specified in Table </w:t>
      </w:r>
      <w:r>
        <w:rPr>
          <w:spacing w:val="9"/>
          <w:sz w:val="24"/>
        </w:rPr>
        <w:t>hereunder.</w:t>
      </w:r>
    </w:p>
    <w:p>
      <w:pPr>
        <w:pStyle w:val="Heading5"/>
        <w:spacing w:before="240"/>
        <w:ind w:right="1707"/>
        <w:jc w:val="center"/>
      </w:pPr>
      <w:r>
        <w:rPr>
          <w:spacing w:val="-2"/>
        </w:rPr>
        <w:t>Table</w:t>
      </w:r>
    </w:p>
    <w:p>
      <w:pPr>
        <w:spacing w:before="239"/>
        <w:ind w:left="3433" w:right="0" w:firstLine="0"/>
        <w:jc w:val="left"/>
        <w:rPr>
          <w:b/>
          <w:sz w:val="24"/>
        </w:rPr>
      </w:pPr>
      <w:r>
        <w:rPr>
          <w:b/>
          <w:spacing w:val="2"/>
          <w:sz w:val="24"/>
        </w:rPr>
        <w:t>Firefighting</w:t>
      </w:r>
      <w:r>
        <w:rPr>
          <w:b/>
          <w:spacing w:val="55"/>
          <w:w w:val="150"/>
          <w:sz w:val="24"/>
        </w:rPr>
        <w:t> </w:t>
      </w:r>
      <w:r>
        <w:rPr>
          <w:b/>
          <w:spacing w:val="2"/>
          <w:sz w:val="24"/>
        </w:rPr>
        <w:t>installation</w:t>
      </w:r>
      <w:r>
        <w:rPr>
          <w:b/>
          <w:spacing w:val="68"/>
          <w:w w:val="150"/>
          <w:sz w:val="24"/>
        </w:rPr>
        <w:t> </w:t>
      </w:r>
      <w:r>
        <w:rPr>
          <w:b/>
          <w:spacing w:val="2"/>
          <w:sz w:val="24"/>
        </w:rPr>
        <w:t>requirements:</w:t>
      </w:r>
      <w:r>
        <w:rPr>
          <w:b/>
          <w:spacing w:val="63"/>
          <w:w w:val="150"/>
          <w:sz w:val="24"/>
        </w:rPr>
        <w:t> </w:t>
      </w:r>
      <w:r>
        <w:rPr>
          <w:b/>
          <w:spacing w:val="-10"/>
          <w:sz w:val="24"/>
        </w:rPr>
        <w:t>-</w:t>
      </w:r>
    </w:p>
    <w:p>
      <w:pPr>
        <w:pStyle w:val="BodyText"/>
        <w:spacing w:before="7"/>
        <w:jc w:val="left"/>
        <w:rPr>
          <w:b/>
          <w:sz w:val="20"/>
        </w:rPr>
      </w:pPr>
    </w:p>
    <w:tbl>
      <w:tblPr>
        <w:tblW w:w="0" w:type="auto"/>
        <w:jc w:val="left"/>
        <w:tblInd w:w="9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40"/>
        <w:gridCol w:w="1800"/>
        <w:gridCol w:w="3241"/>
        <w:gridCol w:w="3301"/>
      </w:tblGrid>
      <w:tr>
        <w:trPr>
          <w:trHeight w:val="337" w:hRule="atLeast"/>
        </w:trPr>
        <w:tc>
          <w:tcPr>
            <w:tcW w:w="540" w:type="dxa"/>
            <w:vMerge w:val="restart"/>
            <w:shd w:val="clear" w:color="auto" w:fill="E7E6E6"/>
          </w:tcPr>
          <w:p>
            <w:pPr>
              <w:pStyle w:val="TableParagraph"/>
              <w:spacing w:before="212"/>
              <w:ind w:left="115"/>
              <w:rPr>
                <w:sz w:val="22"/>
              </w:rPr>
            </w:pPr>
            <w:r>
              <w:rPr>
                <w:spacing w:val="-5"/>
                <w:sz w:val="22"/>
              </w:rPr>
              <w:t>Sr.</w:t>
            </w:r>
          </w:p>
        </w:tc>
        <w:tc>
          <w:tcPr>
            <w:tcW w:w="1800" w:type="dxa"/>
            <w:vMerge w:val="restart"/>
            <w:shd w:val="clear" w:color="auto" w:fill="E7E6E6"/>
          </w:tcPr>
          <w:p>
            <w:pPr>
              <w:pStyle w:val="TableParagraph"/>
              <w:rPr>
                <w:rFonts w:ascii="Times New Roman"/>
                <w:sz w:val="22"/>
              </w:rPr>
            </w:pPr>
          </w:p>
        </w:tc>
        <w:tc>
          <w:tcPr>
            <w:tcW w:w="6542" w:type="dxa"/>
            <w:gridSpan w:val="2"/>
            <w:shd w:val="clear" w:color="auto" w:fill="E7E6E6"/>
          </w:tcPr>
          <w:p>
            <w:pPr>
              <w:pStyle w:val="TableParagraph"/>
              <w:spacing w:before="37"/>
              <w:ind w:left="17"/>
              <w:jc w:val="center"/>
              <w:rPr>
                <w:sz w:val="22"/>
              </w:rPr>
            </w:pPr>
            <w:r>
              <w:rPr>
                <w:spacing w:val="-2"/>
                <w:sz w:val="22"/>
              </w:rPr>
              <w:t>Requirements</w:t>
            </w:r>
          </w:p>
        </w:tc>
      </w:tr>
      <w:tr>
        <w:trPr>
          <w:trHeight w:val="337" w:hRule="atLeast"/>
        </w:trPr>
        <w:tc>
          <w:tcPr>
            <w:tcW w:w="540" w:type="dxa"/>
            <w:vMerge/>
            <w:tcBorders>
              <w:top w:val="nil"/>
            </w:tcBorders>
            <w:shd w:val="clear" w:color="auto" w:fill="E7E6E6"/>
          </w:tcPr>
          <w:p>
            <w:pPr>
              <w:rPr>
                <w:sz w:val="2"/>
                <w:szCs w:val="2"/>
              </w:rPr>
            </w:pPr>
          </w:p>
        </w:tc>
        <w:tc>
          <w:tcPr>
            <w:tcW w:w="1800" w:type="dxa"/>
            <w:vMerge/>
            <w:tcBorders>
              <w:top w:val="nil"/>
            </w:tcBorders>
            <w:shd w:val="clear" w:color="auto" w:fill="E7E6E6"/>
          </w:tcPr>
          <w:p>
            <w:pPr>
              <w:rPr>
                <w:sz w:val="2"/>
                <w:szCs w:val="2"/>
              </w:rPr>
            </w:pPr>
          </w:p>
        </w:tc>
        <w:tc>
          <w:tcPr>
            <w:tcW w:w="3241" w:type="dxa"/>
            <w:shd w:val="clear" w:color="auto" w:fill="E7E6E6"/>
          </w:tcPr>
          <w:p>
            <w:pPr>
              <w:pStyle w:val="TableParagraph"/>
              <w:spacing w:before="37"/>
              <w:ind w:left="893"/>
              <w:rPr>
                <w:sz w:val="22"/>
              </w:rPr>
            </w:pPr>
            <w:r>
              <w:rPr>
                <w:sz w:val="22"/>
              </w:rPr>
              <w:t>Water</w:t>
            </w:r>
            <w:r>
              <w:rPr>
                <w:spacing w:val="-4"/>
                <w:sz w:val="22"/>
              </w:rPr>
              <w:t> </w:t>
            </w:r>
            <w:r>
              <w:rPr>
                <w:spacing w:val="-2"/>
                <w:sz w:val="22"/>
              </w:rPr>
              <w:t>Supply</w:t>
            </w:r>
          </w:p>
        </w:tc>
        <w:tc>
          <w:tcPr>
            <w:tcW w:w="3301" w:type="dxa"/>
            <w:shd w:val="clear" w:color="auto" w:fill="E7E6E6"/>
          </w:tcPr>
          <w:p>
            <w:pPr>
              <w:pStyle w:val="TableParagraph"/>
              <w:spacing w:before="37"/>
              <w:ind w:left="832"/>
              <w:rPr>
                <w:sz w:val="22"/>
              </w:rPr>
            </w:pPr>
            <w:r>
              <w:rPr>
                <w:sz w:val="22"/>
              </w:rPr>
              <w:t>Pump</w:t>
            </w:r>
            <w:r>
              <w:rPr>
                <w:spacing w:val="-4"/>
                <w:sz w:val="22"/>
              </w:rPr>
              <w:t> </w:t>
            </w:r>
            <w:r>
              <w:rPr>
                <w:spacing w:val="-2"/>
                <w:sz w:val="22"/>
              </w:rPr>
              <w:t>Capacity</w:t>
            </w:r>
          </w:p>
        </w:tc>
      </w:tr>
    </w:tbl>
    <w:p>
      <w:pPr>
        <w:pStyle w:val="TableParagraph"/>
        <w:spacing w:after="0"/>
        <w:rPr>
          <w:sz w:val="22"/>
        </w:rPr>
        <w:sectPr>
          <w:pgSz w:w="11910" w:h="16850"/>
          <w:pgMar w:header="1024" w:footer="1302" w:top="1480" w:bottom="1500" w:left="360" w:right="360"/>
        </w:sectPr>
      </w:pPr>
    </w:p>
    <w:p>
      <w:pPr>
        <w:pStyle w:val="BodyText"/>
        <w:spacing w:before="41"/>
        <w:jc w:val="left"/>
        <w:rPr>
          <w:b/>
          <w:sz w:val="20"/>
        </w:rPr>
      </w:pPr>
    </w:p>
    <w:tbl>
      <w:tblPr>
        <w:tblW w:w="0" w:type="auto"/>
        <w:jc w:val="left"/>
        <w:tblInd w:w="9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40"/>
        <w:gridCol w:w="1800"/>
        <w:gridCol w:w="1261"/>
        <w:gridCol w:w="1080"/>
        <w:gridCol w:w="900"/>
        <w:gridCol w:w="1531"/>
        <w:gridCol w:w="1769"/>
      </w:tblGrid>
      <w:tr>
        <w:trPr>
          <w:trHeight w:val="1521" w:hRule="atLeast"/>
        </w:trPr>
        <w:tc>
          <w:tcPr>
            <w:tcW w:w="540" w:type="dxa"/>
            <w:shd w:val="clear" w:color="auto" w:fill="E7E6E6"/>
          </w:tcPr>
          <w:p>
            <w:pPr>
              <w:pStyle w:val="TableParagraph"/>
              <w:spacing w:line="257" w:lineRule="exact"/>
              <w:ind w:left="21"/>
              <w:jc w:val="center"/>
              <w:rPr>
                <w:sz w:val="22"/>
              </w:rPr>
            </w:pPr>
            <w:r>
              <w:rPr>
                <w:spacing w:val="-5"/>
                <w:sz w:val="22"/>
              </w:rPr>
              <w:t>No</w:t>
            </w:r>
          </w:p>
          <w:p>
            <w:pPr>
              <w:pStyle w:val="TableParagraph"/>
              <w:spacing w:before="1"/>
              <w:ind w:left="21"/>
              <w:jc w:val="center"/>
              <w:rPr>
                <w:sz w:val="22"/>
              </w:rPr>
            </w:pPr>
            <w:r>
              <w:rPr>
                <w:spacing w:val="-10"/>
                <w:sz w:val="22"/>
              </w:rPr>
              <w:t>.</w:t>
            </w:r>
          </w:p>
        </w:tc>
        <w:tc>
          <w:tcPr>
            <w:tcW w:w="1800" w:type="dxa"/>
            <w:shd w:val="clear" w:color="auto" w:fill="E7E6E6"/>
          </w:tcPr>
          <w:p>
            <w:pPr>
              <w:pStyle w:val="TableParagraph"/>
              <w:spacing w:before="51"/>
              <w:ind w:left="105" w:right="89"/>
              <w:jc w:val="center"/>
              <w:rPr>
                <w:sz w:val="22"/>
              </w:rPr>
            </w:pPr>
            <w:r>
              <w:rPr>
                <w:sz w:val="22"/>
              </w:rPr>
              <w:t>Type</w:t>
            </w:r>
            <w:r>
              <w:rPr>
                <w:spacing w:val="-18"/>
                <w:sz w:val="22"/>
              </w:rPr>
              <w:t> </w:t>
            </w:r>
            <w:r>
              <w:rPr>
                <w:sz w:val="22"/>
              </w:rPr>
              <w:t>of</w:t>
            </w:r>
            <w:r>
              <w:rPr>
                <w:spacing w:val="-18"/>
                <w:sz w:val="22"/>
              </w:rPr>
              <w:t> </w:t>
            </w:r>
            <w:r>
              <w:rPr>
                <w:sz w:val="22"/>
              </w:rPr>
              <w:t>the </w:t>
            </w:r>
            <w:r>
              <w:rPr>
                <w:spacing w:val="-2"/>
                <w:sz w:val="22"/>
              </w:rPr>
              <w:t>building occupancy</w:t>
            </w:r>
          </w:p>
        </w:tc>
        <w:tc>
          <w:tcPr>
            <w:tcW w:w="1261" w:type="dxa"/>
            <w:shd w:val="clear" w:color="auto" w:fill="E7E6E6"/>
          </w:tcPr>
          <w:p>
            <w:pPr>
              <w:pStyle w:val="TableParagraph"/>
              <w:spacing w:before="212"/>
              <w:ind w:left="153" w:right="134"/>
              <w:jc w:val="center"/>
              <w:rPr>
                <w:sz w:val="22"/>
              </w:rPr>
            </w:pPr>
            <w:r>
              <w:rPr>
                <w:sz w:val="22"/>
              </w:rPr>
              <w:t>Type of </w:t>
            </w:r>
            <w:r>
              <w:rPr>
                <w:spacing w:val="-2"/>
                <w:sz w:val="22"/>
              </w:rPr>
              <w:t>Installati </w:t>
            </w:r>
            <w:r>
              <w:rPr>
                <w:spacing w:val="-6"/>
                <w:sz w:val="22"/>
              </w:rPr>
              <w:t>on</w:t>
            </w:r>
          </w:p>
        </w:tc>
        <w:tc>
          <w:tcPr>
            <w:tcW w:w="1080" w:type="dxa"/>
            <w:shd w:val="clear" w:color="auto" w:fill="E7E6E6"/>
          </w:tcPr>
          <w:p>
            <w:pPr>
              <w:pStyle w:val="TableParagraph"/>
              <w:spacing w:before="82"/>
              <w:ind w:left="22"/>
              <w:jc w:val="center"/>
              <w:rPr>
                <w:sz w:val="22"/>
              </w:rPr>
            </w:pPr>
            <w:r>
              <w:rPr>
                <w:spacing w:val="-2"/>
                <w:sz w:val="22"/>
              </w:rPr>
              <w:t>Underg round Static </w:t>
            </w:r>
            <w:r>
              <w:rPr>
                <w:spacing w:val="-4"/>
                <w:sz w:val="22"/>
              </w:rPr>
              <w:t>Tank</w:t>
            </w:r>
          </w:p>
        </w:tc>
        <w:tc>
          <w:tcPr>
            <w:tcW w:w="900" w:type="dxa"/>
            <w:shd w:val="clear" w:color="auto" w:fill="E7E6E6"/>
          </w:tcPr>
          <w:p>
            <w:pPr>
              <w:pStyle w:val="TableParagraph"/>
              <w:spacing w:before="212"/>
              <w:ind w:left="99" w:right="79"/>
              <w:jc w:val="center"/>
              <w:rPr>
                <w:sz w:val="22"/>
              </w:rPr>
            </w:pPr>
            <w:r>
              <w:rPr>
                <w:spacing w:val="-2"/>
                <w:sz w:val="22"/>
              </w:rPr>
              <w:t>Terra </w:t>
            </w:r>
            <w:r>
              <w:rPr>
                <w:spacing w:val="-6"/>
                <w:sz w:val="22"/>
              </w:rPr>
              <w:t>ce </w:t>
            </w:r>
            <w:r>
              <w:rPr>
                <w:spacing w:val="-4"/>
                <w:sz w:val="22"/>
              </w:rPr>
              <w:t>Tank</w:t>
            </w:r>
          </w:p>
        </w:tc>
        <w:tc>
          <w:tcPr>
            <w:tcW w:w="1531" w:type="dxa"/>
            <w:shd w:val="clear" w:color="auto" w:fill="E7E6E6"/>
          </w:tcPr>
          <w:p>
            <w:pPr>
              <w:pStyle w:val="TableParagraph"/>
              <w:spacing w:before="243"/>
              <w:ind w:left="127" w:right="109" w:hanging="4"/>
              <w:jc w:val="center"/>
              <w:rPr>
                <w:sz w:val="22"/>
              </w:rPr>
            </w:pPr>
            <w:r>
              <w:rPr>
                <w:sz w:val="22"/>
              </w:rPr>
              <w:t>Near the </w:t>
            </w:r>
            <w:r>
              <w:rPr>
                <w:spacing w:val="-2"/>
                <w:sz w:val="22"/>
              </w:rPr>
              <w:t>undergroun </w:t>
            </w:r>
            <w:r>
              <w:rPr>
                <w:sz w:val="22"/>
              </w:rPr>
              <w:t>d Static </w:t>
            </w:r>
            <w:r>
              <w:rPr>
                <w:spacing w:val="-4"/>
                <w:sz w:val="22"/>
              </w:rPr>
              <w:t>Tank</w:t>
            </w:r>
          </w:p>
        </w:tc>
        <w:tc>
          <w:tcPr>
            <w:tcW w:w="1769" w:type="dxa"/>
            <w:shd w:val="clear" w:color="auto" w:fill="E7E6E6"/>
          </w:tcPr>
          <w:p>
            <w:pPr>
              <w:pStyle w:val="TableParagraph"/>
              <w:rPr>
                <w:b/>
                <w:sz w:val="22"/>
              </w:rPr>
            </w:pPr>
          </w:p>
          <w:p>
            <w:pPr>
              <w:pStyle w:val="TableParagraph"/>
              <w:spacing w:before="113"/>
              <w:rPr>
                <w:b/>
                <w:sz w:val="22"/>
              </w:rPr>
            </w:pPr>
          </w:p>
          <w:p>
            <w:pPr>
              <w:pStyle w:val="TableParagraph"/>
              <w:ind w:left="17"/>
              <w:jc w:val="center"/>
              <w:rPr>
                <w:sz w:val="22"/>
              </w:rPr>
            </w:pPr>
            <w:r>
              <w:rPr>
                <w:sz w:val="22"/>
              </w:rPr>
              <w:t>Terrace</w:t>
            </w:r>
            <w:r>
              <w:rPr>
                <w:spacing w:val="-3"/>
                <w:sz w:val="22"/>
              </w:rPr>
              <w:t> </w:t>
            </w:r>
            <w:r>
              <w:rPr>
                <w:spacing w:val="-2"/>
                <w:sz w:val="22"/>
              </w:rPr>
              <w:t>Level</w:t>
            </w:r>
          </w:p>
        </w:tc>
      </w:tr>
      <w:tr>
        <w:trPr>
          <w:trHeight w:val="340" w:hRule="atLeast"/>
        </w:trPr>
        <w:tc>
          <w:tcPr>
            <w:tcW w:w="540" w:type="dxa"/>
          </w:tcPr>
          <w:p>
            <w:pPr>
              <w:pStyle w:val="TableParagraph"/>
              <w:spacing w:before="39"/>
              <w:ind w:left="21" w:right="2"/>
              <w:jc w:val="center"/>
              <w:rPr>
                <w:sz w:val="22"/>
              </w:rPr>
            </w:pPr>
            <w:r>
              <w:rPr>
                <w:spacing w:val="-5"/>
                <w:sz w:val="22"/>
              </w:rPr>
              <w:t>(1)</w:t>
            </w:r>
          </w:p>
        </w:tc>
        <w:tc>
          <w:tcPr>
            <w:tcW w:w="1800" w:type="dxa"/>
          </w:tcPr>
          <w:p>
            <w:pPr>
              <w:pStyle w:val="TableParagraph"/>
              <w:spacing w:before="39"/>
              <w:ind w:left="107" w:right="86"/>
              <w:jc w:val="center"/>
              <w:rPr>
                <w:sz w:val="22"/>
              </w:rPr>
            </w:pPr>
            <w:r>
              <w:rPr>
                <w:spacing w:val="-5"/>
                <w:sz w:val="22"/>
              </w:rPr>
              <w:t>(2)</w:t>
            </w:r>
          </w:p>
        </w:tc>
        <w:tc>
          <w:tcPr>
            <w:tcW w:w="1261" w:type="dxa"/>
          </w:tcPr>
          <w:p>
            <w:pPr>
              <w:pStyle w:val="TableParagraph"/>
              <w:spacing w:before="39"/>
              <w:ind w:left="19"/>
              <w:jc w:val="center"/>
              <w:rPr>
                <w:sz w:val="22"/>
              </w:rPr>
            </w:pPr>
            <w:r>
              <w:rPr>
                <w:spacing w:val="-5"/>
                <w:sz w:val="22"/>
              </w:rPr>
              <w:t>(3)</w:t>
            </w:r>
          </w:p>
        </w:tc>
        <w:tc>
          <w:tcPr>
            <w:tcW w:w="1080" w:type="dxa"/>
          </w:tcPr>
          <w:p>
            <w:pPr>
              <w:pStyle w:val="TableParagraph"/>
              <w:spacing w:before="39"/>
              <w:ind w:left="22" w:right="2"/>
              <w:jc w:val="center"/>
              <w:rPr>
                <w:sz w:val="22"/>
              </w:rPr>
            </w:pPr>
            <w:r>
              <w:rPr>
                <w:spacing w:val="-5"/>
                <w:sz w:val="22"/>
              </w:rPr>
              <w:t>(4)</w:t>
            </w:r>
          </w:p>
        </w:tc>
        <w:tc>
          <w:tcPr>
            <w:tcW w:w="900" w:type="dxa"/>
          </w:tcPr>
          <w:p>
            <w:pPr>
              <w:pStyle w:val="TableParagraph"/>
              <w:spacing w:before="39"/>
              <w:ind w:left="99" w:right="81"/>
              <w:jc w:val="center"/>
              <w:rPr>
                <w:sz w:val="22"/>
              </w:rPr>
            </w:pPr>
            <w:r>
              <w:rPr>
                <w:spacing w:val="-5"/>
                <w:sz w:val="22"/>
              </w:rPr>
              <w:t>(5)</w:t>
            </w:r>
          </w:p>
        </w:tc>
        <w:tc>
          <w:tcPr>
            <w:tcW w:w="1531" w:type="dxa"/>
          </w:tcPr>
          <w:p>
            <w:pPr>
              <w:pStyle w:val="TableParagraph"/>
              <w:spacing w:before="39"/>
              <w:ind w:left="16"/>
              <w:jc w:val="center"/>
              <w:rPr>
                <w:sz w:val="22"/>
              </w:rPr>
            </w:pPr>
            <w:r>
              <w:rPr>
                <w:spacing w:val="-5"/>
                <w:sz w:val="22"/>
              </w:rPr>
              <w:t>(6)</w:t>
            </w:r>
          </w:p>
        </w:tc>
        <w:tc>
          <w:tcPr>
            <w:tcW w:w="1769" w:type="dxa"/>
          </w:tcPr>
          <w:p>
            <w:pPr>
              <w:pStyle w:val="TableParagraph"/>
              <w:spacing w:before="39"/>
              <w:ind w:left="15"/>
              <w:jc w:val="center"/>
              <w:rPr>
                <w:sz w:val="22"/>
              </w:rPr>
            </w:pPr>
            <w:r>
              <w:rPr>
                <w:spacing w:val="-5"/>
                <w:sz w:val="22"/>
              </w:rPr>
              <w:t>(7)</w:t>
            </w:r>
          </w:p>
        </w:tc>
      </w:tr>
      <w:tr>
        <w:trPr>
          <w:trHeight w:val="3540" w:hRule="atLeast"/>
        </w:trPr>
        <w:tc>
          <w:tcPr>
            <w:tcW w:w="540"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89"/>
              <w:rPr>
                <w:b/>
                <w:sz w:val="22"/>
              </w:rPr>
            </w:pPr>
          </w:p>
          <w:p>
            <w:pPr>
              <w:pStyle w:val="TableParagraph"/>
              <w:ind w:left="21" w:right="1"/>
              <w:jc w:val="center"/>
              <w:rPr>
                <w:sz w:val="22"/>
              </w:rPr>
            </w:pPr>
            <w:r>
              <w:rPr>
                <w:spacing w:val="-10"/>
                <w:sz w:val="22"/>
              </w:rPr>
              <w:t>1</w:t>
            </w:r>
          </w:p>
        </w:tc>
        <w:tc>
          <w:tcPr>
            <w:tcW w:w="1800" w:type="dxa"/>
          </w:tcPr>
          <w:p>
            <w:pPr>
              <w:pStyle w:val="TableParagraph"/>
              <w:rPr>
                <w:b/>
                <w:sz w:val="22"/>
              </w:rPr>
            </w:pPr>
          </w:p>
          <w:p>
            <w:pPr>
              <w:pStyle w:val="TableParagraph"/>
              <w:rPr>
                <w:b/>
                <w:sz w:val="22"/>
              </w:rPr>
            </w:pPr>
          </w:p>
          <w:p>
            <w:pPr>
              <w:pStyle w:val="TableParagraph"/>
              <w:rPr>
                <w:b/>
                <w:sz w:val="22"/>
              </w:rPr>
            </w:pPr>
          </w:p>
          <w:p>
            <w:pPr>
              <w:pStyle w:val="TableParagraph"/>
              <w:spacing w:before="221"/>
              <w:rPr>
                <w:b/>
                <w:sz w:val="22"/>
              </w:rPr>
            </w:pPr>
          </w:p>
          <w:p>
            <w:pPr>
              <w:pStyle w:val="TableParagraph"/>
              <w:ind w:left="400" w:right="134" w:hanging="228"/>
              <w:rPr>
                <w:sz w:val="22"/>
              </w:rPr>
            </w:pPr>
            <w:r>
              <w:rPr>
                <w:sz w:val="22"/>
              </w:rPr>
              <w:t>a)</w:t>
            </w:r>
            <w:r>
              <w:rPr>
                <w:spacing w:val="-18"/>
                <w:sz w:val="22"/>
              </w:rPr>
              <w:t> </w:t>
            </w:r>
            <w:r>
              <w:rPr>
                <w:sz w:val="22"/>
              </w:rPr>
              <w:t>Residentia</w:t>
            </w:r>
            <w:r>
              <w:rPr>
                <w:sz w:val="22"/>
              </w:rPr>
              <w:t>l </w:t>
            </w:r>
            <w:r>
              <w:rPr>
                <w:spacing w:val="-2"/>
                <w:sz w:val="22"/>
              </w:rPr>
              <w:t>buildings</w:t>
            </w:r>
          </w:p>
          <w:p>
            <w:pPr>
              <w:pStyle w:val="TableParagraph"/>
              <w:ind w:left="424" w:right="134" w:hanging="209"/>
              <w:rPr>
                <w:sz w:val="22"/>
              </w:rPr>
            </w:pPr>
            <w:r>
              <w:rPr>
                <w:sz w:val="22"/>
              </w:rPr>
              <w:t>below</w:t>
            </w:r>
            <w:r>
              <w:rPr>
                <w:spacing w:val="-13"/>
                <w:sz w:val="22"/>
              </w:rPr>
              <w:t> </w:t>
            </w:r>
            <w:r>
              <w:rPr>
                <w:sz w:val="22"/>
              </w:rPr>
              <w:t>15</w:t>
            </w:r>
            <w:r>
              <w:rPr>
                <w:spacing w:val="40"/>
                <w:sz w:val="22"/>
              </w:rPr>
              <w:t> </w:t>
            </w:r>
            <w:r>
              <w:rPr>
                <w:sz w:val="22"/>
              </w:rPr>
              <w:t>m. in height</w:t>
            </w:r>
          </w:p>
        </w:tc>
        <w:tc>
          <w:tcPr>
            <w:tcW w:w="1261" w:type="dxa"/>
          </w:tcPr>
          <w:p>
            <w:pPr>
              <w:pStyle w:val="TableParagraph"/>
              <w:spacing w:before="40"/>
              <w:ind w:left="134" w:right="115"/>
              <w:jc w:val="center"/>
              <w:rPr>
                <w:sz w:val="24"/>
              </w:rPr>
            </w:pPr>
            <w:r>
              <w:rPr>
                <w:spacing w:val="-4"/>
                <w:sz w:val="24"/>
              </w:rPr>
              <w:t>Fire </w:t>
            </w:r>
            <w:r>
              <w:rPr>
                <w:spacing w:val="-2"/>
                <w:sz w:val="24"/>
              </w:rPr>
              <w:t>Extingui sher,</w:t>
            </w:r>
            <w:r>
              <w:rPr>
                <w:spacing w:val="40"/>
                <w:sz w:val="24"/>
              </w:rPr>
              <w:t> </w:t>
            </w:r>
            <w:r>
              <w:rPr>
                <w:spacing w:val="-4"/>
                <w:sz w:val="24"/>
              </w:rPr>
              <w:t>dry </w:t>
            </w:r>
            <w:r>
              <w:rPr>
                <w:spacing w:val="-2"/>
                <w:sz w:val="24"/>
              </w:rPr>
              <w:t>Riser,</w:t>
            </w:r>
          </w:p>
          <w:p>
            <w:pPr>
              <w:pStyle w:val="TableParagraph"/>
              <w:spacing w:before="39"/>
              <w:ind w:left="127" w:right="108"/>
              <w:jc w:val="center"/>
              <w:rPr>
                <w:sz w:val="24"/>
              </w:rPr>
            </w:pPr>
            <w:r>
              <w:rPr>
                <w:spacing w:val="-2"/>
                <w:sz w:val="24"/>
              </w:rPr>
              <w:t>Automat </w:t>
            </w:r>
            <w:r>
              <w:rPr>
                <w:spacing w:val="-6"/>
                <w:sz w:val="24"/>
              </w:rPr>
              <w:t>ic </w:t>
            </w:r>
            <w:r>
              <w:rPr>
                <w:spacing w:val="-2"/>
                <w:sz w:val="24"/>
              </w:rPr>
              <w:t>sprinkle </w:t>
            </w:r>
            <w:r>
              <w:rPr>
                <w:sz w:val="24"/>
              </w:rPr>
              <w:t>r </w:t>
            </w:r>
            <w:r>
              <w:rPr>
                <w:spacing w:val="-2"/>
                <w:sz w:val="24"/>
              </w:rPr>
              <w:t>system</w:t>
            </w:r>
          </w:p>
          <w:p>
            <w:pPr>
              <w:pStyle w:val="TableParagraph"/>
              <w:spacing w:before="39"/>
              <w:ind w:left="151" w:right="132"/>
              <w:jc w:val="center"/>
              <w:rPr>
                <w:sz w:val="24"/>
              </w:rPr>
            </w:pPr>
            <w:r>
              <w:rPr>
                <w:spacing w:val="-2"/>
                <w:sz w:val="24"/>
              </w:rPr>
              <w:t>Require </w:t>
            </w:r>
            <w:r>
              <w:rPr>
                <w:sz w:val="24"/>
              </w:rPr>
              <w:t>see</w:t>
            </w:r>
            <w:r>
              <w:rPr>
                <w:spacing w:val="-20"/>
                <w:sz w:val="24"/>
              </w:rPr>
              <w:t> </w:t>
            </w:r>
            <w:r>
              <w:rPr>
                <w:sz w:val="24"/>
              </w:rPr>
              <w:t>note </w:t>
            </w:r>
            <w:r>
              <w:rPr>
                <w:spacing w:val="-6"/>
                <w:sz w:val="24"/>
              </w:rPr>
              <w:t>2)</w:t>
            </w:r>
          </w:p>
        </w:tc>
        <w:tc>
          <w:tcPr>
            <w:tcW w:w="1080" w:type="dxa"/>
          </w:tcPr>
          <w:p>
            <w:pPr>
              <w:pStyle w:val="TableParagraph"/>
              <w:rPr>
                <w:rFonts w:ascii="Times New Roman"/>
                <w:sz w:val="20"/>
              </w:rPr>
            </w:pPr>
          </w:p>
        </w:tc>
        <w:tc>
          <w:tcPr>
            <w:tcW w:w="900" w:type="dxa"/>
          </w:tcPr>
          <w:p>
            <w:pPr>
              <w:pStyle w:val="TableParagraph"/>
              <w:rPr>
                <w:b/>
                <w:sz w:val="22"/>
              </w:rPr>
            </w:pPr>
          </w:p>
          <w:p>
            <w:pPr>
              <w:pStyle w:val="TableParagraph"/>
              <w:rPr>
                <w:b/>
                <w:sz w:val="22"/>
              </w:rPr>
            </w:pPr>
          </w:p>
          <w:p>
            <w:pPr>
              <w:pStyle w:val="TableParagraph"/>
              <w:spacing w:before="198"/>
              <w:rPr>
                <w:b/>
                <w:sz w:val="22"/>
              </w:rPr>
            </w:pPr>
          </w:p>
          <w:p>
            <w:pPr>
              <w:pStyle w:val="TableParagraph"/>
              <w:ind w:left="110"/>
              <w:rPr>
                <w:sz w:val="22"/>
              </w:rPr>
            </w:pPr>
            <w:r>
              <w:rPr>
                <w:spacing w:val="-4"/>
                <w:sz w:val="22"/>
              </w:rPr>
              <w:t>5000</w:t>
            </w:r>
          </w:p>
          <w:p>
            <w:pPr>
              <w:pStyle w:val="TableParagraph"/>
              <w:spacing w:line="258" w:lineRule="exact" w:before="42"/>
              <w:ind w:left="146"/>
              <w:rPr>
                <w:sz w:val="22"/>
              </w:rPr>
            </w:pPr>
            <w:r>
              <w:rPr>
                <w:spacing w:val="-2"/>
                <w:sz w:val="22"/>
              </w:rPr>
              <w:t>(1000</w:t>
            </w:r>
          </w:p>
          <w:p>
            <w:pPr>
              <w:pStyle w:val="TableParagraph"/>
              <w:ind w:left="215" w:right="113" w:hanging="82"/>
              <w:rPr>
                <w:sz w:val="22"/>
              </w:rPr>
            </w:pPr>
            <w:r>
              <w:rPr>
                <w:sz w:val="22"/>
              </w:rPr>
              <w:t>0)</w:t>
            </w:r>
            <w:r>
              <w:rPr>
                <w:spacing w:val="-18"/>
                <w:sz w:val="22"/>
              </w:rPr>
              <w:t> </w:t>
            </w:r>
            <w:r>
              <w:rPr>
                <w:sz w:val="22"/>
              </w:rPr>
              <w:t>ltr</w:t>
            </w:r>
            <w:r>
              <w:rPr>
                <w:sz w:val="22"/>
              </w:rPr>
              <w:t>s </w:t>
            </w:r>
            <w:r>
              <w:rPr>
                <w:spacing w:val="-4"/>
                <w:sz w:val="22"/>
              </w:rPr>
              <w:t>(see note 3-4)</w:t>
            </w:r>
          </w:p>
        </w:tc>
        <w:tc>
          <w:tcPr>
            <w:tcW w:w="1531" w:type="dxa"/>
          </w:tcPr>
          <w:p>
            <w:pPr>
              <w:pStyle w:val="TableParagraph"/>
              <w:rPr>
                <w:rFonts w:ascii="Times New Roman"/>
                <w:sz w:val="20"/>
              </w:rPr>
            </w:pPr>
          </w:p>
        </w:tc>
        <w:tc>
          <w:tcPr>
            <w:tcW w:w="1769" w:type="dxa"/>
          </w:tcPr>
          <w:p>
            <w:pPr>
              <w:pStyle w:val="TableParagraph"/>
              <w:rPr>
                <w:rFonts w:ascii="Times New Roman"/>
                <w:sz w:val="20"/>
              </w:rPr>
            </w:pPr>
          </w:p>
        </w:tc>
      </w:tr>
      <w:tr>
        <w:trPr>
          <w:trHeight w:val="4103" w:hRule="atLeast"/>
        </w:trPr>
        <w:tc>
          <w:tcPr>
            <w:tcW w:w="54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19"/>
              <w:rPr>
                <w:b/>
                <w:sz w:val="24"/>
              </w:rPr>
            </w:pPr>
          </w:p>
          <w:p>
            <w:pPr>
              <w:pStyle w:val="TableParagraph"/>
              <w:ind w:left="21" w:right="4"/>
              <w:jc w:val="center"/>
              <w:rPr>
                <w:sz w:val="24"/>
              </w:rPr>
            </w:pPr>
            <w:r>
              <w:rPr>
                <w:spacing w:val="-10"/>
                <w:sz w:val="24"/>
              </w:rPr>
              <w:t>1</w:t>
            </w:r>
          </w:p>
        </w:tc>
        <w:tc>
          <w:tcPr>
            <w:tcW w:w="1800" w:type="dxa"/>
          </w:tcPr>
          <w:p>
            <w:pPr>
              <w:pStyle w:val="TableParagraph"/>
              <w:rPr>
                <w:b/>
                <w:sz w:val="24"/>
              </w:rPr>
            </w:pPr>
          </w:p>
          <w:p>
            <w:pPr>
              <w:pStyle w:val="TableParagraph"/>
              <w:rPr>
                <w:b/>
                <w:sz w:val="24"/>
              </w:rPr>
            </w:pPr>
          </w:p>
          <w:p>
            <w:pPr>
              <w:pStyle w:val="TableParagraph"/>
              <w:rPr>
                <w:b/>
                <w:sz w:val="24"/>
              </w:rPr>
            </w:pPr>
          </w:p>
          <w:p>
            <w:pPr>
              <w:pStyle w:val="TableParagraph"/>
              <w:spacing w:before="221"/>
              <w:rPr>
                <w:b/>
                <w:sz w:val="24"/>
              </w:rPr>
            </w:pPr>
          </w:p>
          <w:p>
            <w:pPr>
              <w:pStyle w:val="TableParagraph"/>
              <w:ind w:left="108" w:right="86"/>
              <w:jc w:val="center"/>
              <w:rPr>
                <w:sz w:val="24"/>
              </w:rPr>
            </w:pPr>
            <w:r>
              <w:rPr>
                <w:spacing w:val="-2"/>
                <w:sz w:val="24"/>
              </w:rPr>
              <w:t>b)Residential </w:t>
            </w:r>
            <w:r>
              <w:rPr>
                <w:sz w:val="24"/>
              </w:rPr>
              <w:t>buildings 15 mts&amp; above upto 32</w:t>
            </w:r>
            <w:r>
              <w:rPr>
                <w:spacing w:val="40"/>
                <w:sz w:val="24"/>
              </w:rPr>
              <w:t> </w:t>
            </w:r>
            <w:r>
              <w:rPr>
                <w:sz w:val="24"/>
              </w:rPr>
              <w:t>in </w:t>
            </w:r>
            <w:r>
              <w:rPr>
                <w:spacing w:val="-2"/>
                <w:sz w:val="24"/>
              </w:rPr>
              <w:t>height</w:t>
            </w:r>
          </w:p>
        </w:tc>
        <w:tc>
          <w:tcPr>
            <w:tcW w:w="1261" w:type="dxa"/>
          </w:tcPr>
          <w:p>
            <w:pPr>
              <w:pStyle w:val="TableParagraph"/>
              <w:spacing w:line="252" w:lineRule="auto" w:before="40"/>
              <w:ind w:left="134" w:right="116" w:firstLine="78"/>
              <w:jc w:val="center"/>
              <w:rPr>
                <w:sz w:val="24"/>
              </w:rPr>
            </w:pPr>
            <w:r>
              <w:rPr>
                <w:spacing w:val="-4"/>
                <w:sz w:val="24"/>
              </w:rPr>
              <w:t>Fire </w:t>
            </w:r>
            <w:r>
              <w:rPr>
                <w:spacing w:val="-2"/>
                <w:sz w:val="24"/>
              </w:rPr>
              <w:t>Exitingu isher, </w:t>
            </w:r>
            <w:r>
              <w:rPr>
                <w:spacing w:val="-4"/>
                <w:sz w:val="24"/>
              </w:rPr>
              <w:t>Hose</w:t>
            </w:r>
          </w:p>
          <w:p>
            <w:pPr>
              <w:pStyle w:val="TableParagraph"/>
              <w:spacing w:line="265" w:lineRule="exact"/>
              <w:ind w:left="17"/>
              <w:jc w:val="center"/>
              <w:rPr>
                <w:sz w:val="24"/>
              </w:rPr>
            </w:pPr>
            <w:r>
              <w:rPr>
                <w:spacing w:val="-2"/>
                <w:sz w:val="24"/>
              </w:rPr>
              <w:t>reel,</w:t>
            </w:r>
          </w:p>
          <w:p>
            <w:pPr>
              <w:pStyle w:val="TableParagraph"/>
              <w:spacing w:before="1"/>
              <w:ind w:left="127" w:right="108"/>
              <w:jc w:val="center"/>
              <w:rPr>
                <w:sz w:val="24"/>
              </w:rPr>
            </w:pPr>
            <w:r>
              <w:rPr>
                <w:spacing w:val="-4"/>
                <w:sz w:val="24"/>
              </w:rPr>
              <w:t>Down </w:t>
            </w:r>
            <w:r>
              <w:rPr>
                <w:spacing w:val="-2"/>
                <w:sz w:val="24"/>
              </w:rPr>
              <w:t>comer, Automat </w:t>
            </w:r>
            <w:r>
              <w:rPr>
                <w:spacing w:val="-6"/>
                <w:sz w:val="24"/>
              </w:rPr>
              <w:t>ic </w:t>
            </w:r>
            <w:r>
              <w:rPr>
                <w:spacing w:val="-2"/>
                <w:sz w:val="24"/>
              </w:rPr>
              <w:t>sprinkle </w:t>
            </w:r>
            <w:r>
              <w:rPr>
                <w:sz w:val="24"/>
              </w:rPr>
              <w:t>r </w:t>
            </w:r>
            <w:r>
              <w:rPr>
                <w:spacing w:val="-2"/>
                <w:sz w:val="24"/>
              </w:rPr>
              <w:t>system</w:t>
            </w:r>
          </w:p>
          <w:p>
            <w:pPr>
              <w:pStyle w:val="TableParagraph"/>
              <w:spacing w:before="40"/>
              <w:ind w:left="151" w:right="132"/>
              <w:jc w:val="center"/>
              <w:rPr>
                <w:sz w:val="24"/>
              </w:rPr>
            </w:pPr>
            <w:r>
              <w:rPr>
                <w:spacing w:val="-2"/>
                <w:sz w:val="24"/>
              </w:rPr>
              <w:t>Require </w:t>
            </w:r>
            <w:r>
              <w:rPr>
                <w:sz w:val="24"/>
              </w:rPr>
              <w:t>see</w:t>
            </w:r>
            <w:r>
              <w:rPr>
                <w:spacing w:val="-20"/>
                <w:sz w:val="24"/>
              </w:rPr>
              <w:t> </w:t>
            </w:r>
            <w:r>
              <w:rPr>
                <w:sz w:val="24"/>
              </w:rPr>
              <w:t>note </w:t>
            </w:r>
            <w:r>
              <w:rPr>
                <w:spacing w:val="-10"/>
                <w:sz w:val="24"/>
              </w:rPr>
              <w:t>2</w:t>
            </w:r>
          </w:p>
        </w:tc>
        <w:tc>
          <w:tcPr>
            <w:tcW w:w="108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19"/>
              <w:rPr>
                <w:b/>
                <w:sz w:val="24"/>
              </w:rPr>
            </w:pPr>
          </w:p>
          <w:p>
            <w:pPr>
              <w:pStyle w:val="TableParagraph"/>
              <w:ind w:left="22" w:right="3"/>
              <w:jc w:val="center"/>
              <w:rPr>
                <w:sz w:val="24"/>
              </w:rPr>
            </w:pPr>
            <w:r>
              <w:rPr>
                <w:spacing w:val="-5"/>
                <w:sz w:val="24"/>
              </w:rPr>
              <w:t>Nil</w:t>
            </w:r>
          </w:p>
        </w:tc>
        <w:tc>
          <w:tcPr>
            <w:tcW w:w="90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80"/>
              <w:rPr>
                <w:b/>
                <w:sz w:val="24"/>
              </w:rPr>
            </w:pPr>
          </w:p>
          <w:p>
            <w:pPr>
              <w:pStyle w:val="TableParagraph"/>
              <w:spacing w:line="281" w:lineRule="exact"/>
              <w:ind w:left="153"/>
              <w:rPr>
                <w:sz w:val="24"/>
              </w:rPr>
            </w:pPr>
            <w:r>
              <w:rPr>
                <w:spacing w:val="-4"/>
                <w:sz w:val="24"/>
              </w:rPr>
              <w:t>1500</w:t>
            </w:r>
          </w:p>
          <w:p>
            <w:pPr>
              <w:pStyle w:val="TableParagraph"/>
              <w:spacing w:line="281" w:lineRule="exact"/>
              <w:ind w:left="141"/>
              <w:rPr>
                <w:sz w:val="24"/>
              </w:rPr>
            </w:pPr>
            <w:r>
              <w:rPr>
                <w:sz w:val="24"/>
              </w:rPr>
              <w:t>0 </w:t>
            </w:r>
            <w:r>
              <w:rPr>
                <w:spacing w:val="-4"/>
                <w:sz w:val="24"/>
              </w:rPr>
              <w:t>ltrs</w:t>
            </w:r>
          </w:p>
        </w:tc>
        <w:tc>
          <w:tcPr>
            <w:tcW w:w="153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19"/>
              <w:rPr>
                <w:b/>
                <w:sz w:val="24"/>
              </w:rPr>
            </w:pPr>
          </w:p>
          <w:p>
            <w:pPr>
              <w:pStyle w:val="TableParagraph"/>
              <w:ind w:left="16" w:right="1"/>
              <w:jc w:val="center"/>
              <w:rPr>
                <w:sz w:val="24"/>
              </w:rPr>
            </w:pPr>
            <w:r>
              <w:rPr>
                <w:spacing w:val="-5"/>
                <w:sz w:val="24"/>
              </w:rPr>
              <w:t>Nil</w:t>
            </w:r>
          </w:p>
        </w:tc>
        <w:tc>
          <w:tcPr>
            <w:tcW w:w="1769" w:type="dxa"/>
          </w:tcPr>
          <w:p>
            <w:pPr>
              <w:pStyle w:val="TableParagraph"/>
              <w:rPr>
                <w:b/>
                <w:sz w:val="24"/>
              </w:rPr>
            </w:pPr>
          </w:p>
          <w:p>
            <w:pPr>
              <w:pStyle w:val="TableParagraph"/>
              <w:spacing w:before="201"/>
              <w:rPr>
                <w:b/>
                <w:sz w:val="24"/>
              </w:rPr>
            </w:pPr>
          </w:p>
          <w:p>
            <w:pPr>
              <w:pStyle w:val="TableParagraph"/>
              <w:ind w:left="43" w:right="110"/>
              <w:jc w:val="center"/>
              <w:rPr>
                <w:sz w:val="24"/>
              </w:rPr>
            </w:pPr>
            <w:r>
              <w:rPr>
                <w:sz w:val="24"/>
              </w:rPr>
              <w:t>900</w:t>
            </w:r>
            <w:r>
              <w:rPr>
                <w:spacing w:val="-5"/>
                <w:sz w:val="24"/>
              </w:rPr>
              <w:t> </w:t>
            </w:r>
            <w:r>
              <w:rPr>
                <w:sz w:val="24"/>
              </w:rPr>
              <w:t>litres</w:t>
            </w:r>
            <w:r>
              <w:rPr>
                <w:spacing w:val="-5"/>
                <w:sz w:val="24"/>
              </w:rPr>
              <w:t> </w:t>
            </w:r>
            <w:r>
              <w:rPr>
                <w:sz w:val="24"/>
              </w:rPr>
              <w:t>per minute</w:t>
            </w:r>
            <w:r>
              <w:rPr>
                <w:spacing w:val="-20"/>
                <w:sz w:val="24"/>
              </w:rPr>
              <w:t> </w:t>
            </w:r>
            <w:r>
              <w:rPr>
                <w:sz w:val="24"/>
              </w:rPr>
              <w:t>giving a pressure not less than</w:t>
            </w:r>
          </w:p>
          <w:p>
            <w:pPr>
              <w:pStyle w:val="TableParagraph"/>
              <w:ind w:left="338" w:right="35" w:hanging="183"/>
              <w:rPr>
                <w:sz w:val="24"/>
              </w:rPr>
            </w:pPr>
            <w:r>
              <w:rPr>
                <w:sz w:val="24"/>
              </w:rPr>
              <w:t>3.2</w:t>
            </w:r>
            <w:r>
              <w:rPr>
                <w:spacing w:val="-20"/>
                <w:sz w:val="24"/>
              </w:rPr>
              <w:t> </w:t>
            </w:r>
            <w:r>
              <w:rPr>
                <w:sz w:val="24"/>
              </w:rPr>
              <w:t>kg/cm2 at the </w:t>
            </w:r>
            <w:r>
              <w:rPr>
                <w:spacing w:val="-2"/>
                <w:sz w:val="24"/>
              </w:rPr>
              <w:t>topmost hydrant.</w:t>
            </w:r>
          </w:p>
        </w:tc>
      </w:tr>
      <w:tr>
        <w:trPr>
          <w:trHeight w:val="3693" w:hRule="atLeast"/>
        </w:trPr>
        <w:tc>
          <w:tcPr>
            <w:tcW w:w="540"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65"/>
              <w:rPr>
                <w:b/>
                <w:sz w:val="22"/>
              </w:rPr>
            </w:pPr>
          </w:p>
          <w:p>
            <w:pPr>
              <w:pStyle w:val="TableParagraph"/>
              <w:spacing w:before="1"/>
              <w:ind w:left="21" w:right="1"/>
              <w:jc w:val="center"/>
              <w:rPr>
                <w:sz w:val="22"/>
              </w:rPr>
            </w:pPr>
            <w:r>
              <w:rPr>
                <w:spacing w:val="-10"/>
                <w:sz w:val="22"/>
              </w:rPr>
              <w:t>2</w:t>
            </w:r>
          </w:p>
        </w:tc>
        <w:tc>
          <w:tcPr>
            <w:tcW w:w="1800" w:type="dxa"/>
          </w:tcPr>
          <w:p>
            <w:pPr>
              <w:pStyle w:val="TableParagraph"/>
              <w:spacing w:before="147"/>
              <w:ind w:left="357" w:right="284" w:hanging="53"/>
              <w:rPr>
                <w:sz w:val="22"/>
              </w:rPr>
            </w:pPr>
            <w:r>
              <w:rPr>
                <w:spacing w:val="-2"/>
                <w:sz w:val="22"/>
              </w:rPr>
              <w:t>Residential buildings-</w:t>
            </w:r>
          </w:p>
          <w:p>
            <w:pPr>
              <w:pStyle w:val="TableParagraph"/>
              <w:spacing w:line="258" w:lineRule="exact" w:before="41"/>
              <w:ind w:left="244"/>
              <w:rPr>
                <w:sz w:val="22"/>
              </w:rPr>
            </w:pPr>
            <w:r>
              <w:rPr>
                <w:sz w:val="22"/>
              </w:rPr>
              <w:t>(a)</w:t>
            </w:r>
            <w:r>
              <w:rPr>
                <w:spacing w:val="-4"/>
                <w:sz w:val="22"/>
              </w:rPr>
              <w:t> </w:t>
            </w:r>
            <w:r>
              <w:rPr>
                <w:sz w:val="22"/>
              </w:rPr>
              <w:t>Above</w:t>
            </w:r>
            <w:r>
              <w:rPr>
                <w:spacing w:val="-2"/>
                <w:sz w:val="22"/>
              </w:rPr>
              <w:t> </w:t>
            </w:r>
            <w:r>
              <w:rPr>
                <w:spacing w:val="-5"/>
                <w:sz w:val="22"/>
              </w:rPr>
              <w:t>32</w:t>
            </w:r>
          </w:p>
          <w:p>
            <w:pPr>
              <w:pStyle w:val="TableParagraph"/>
              <w:ind w:left="206" w:right="134" w:firstLine="105"/>
              <w:rPr>
                <w:sz w:val="22"/>
              </w:rPr>
            </w:pPr>
            <w:r>
              <w:rPr>
                <w:sz w:val="22"/>
              </w:rPr>
              <w:t>m. and not exceeding</w:t>
            </w:r>
            <w:r>
              <w:rPr>
                <w:spacing w:val="-18"/>
                <w:sz w:val="22"/>
              </w:rPr>
              <w:t> </w:t>
            </w:r>
            <w:r>
              <w:rPr>
                <w:sz w:val="22"/>
              </w:rPr>
              <w:t>7</w:t>
            </w:r>
            <w:r>
              <w:rPr>
                <w:sz w:val="22"/>
              </w:rPr>
              <w:t>0</w:t>
            </w:r>
          </w:p>
          <w:p>
            <w:pPr>
              <w:pStyle w:val="TableParagraph"/>
              <w:ind w:left="285" w:hanging="168"/>
              <w:rPr>
                <w:sz w:val="22"/>
              </w:rPr>
            </w:pPr>
            <w:r>
              <w:rPr>
                <w:sz w:val="22"/>
              </w:rPr>
              <w:t>m.</w:t>
            </w:r>
            <w:r>
              <w:rPr>
                <w:spacing w:val="-13"/>
                <w:sz w:val="22"/>
              </w:rPr>
              <w:t> </w:t>
            </w:r>
            <w:r>
              <w:rPr>
                <w:sz w:val="22"/>
              </w:rPr>
              <w:t>(if</w:t>
            </w:r>
            <w:r>
              <w:rPr>
                <w:spacing w:val="-13"/>
                <w:sz w:val="22"/>
              </w:rPr>
              <w:t> </w:t>
            </w:r>
            <w:r>
              <w:rPr>
                <w:sz w:val="22"/>
              </w:rPr>
              <w:t>plot</w:t>
            </w:r>
            <w:r>
              <w:rPr>
                <w:spacing w:val="-12"/>
                <w:sz w:val="22"/>
              </w:rPr>
              <w:t> </w:t>
            </w:r>
            <w:r>
              <w:rPr>
                <w:sz w:val="22"/>
              </w:rPr>
              <w:t>are</w:t>
            </w:r>
            <w:r>
              <w:rPr>
                <w:sz w:val="22"/>
              </w:rPr>
              <w:t>a is less than 600 sq. m)</w:t>
            </w:r>
          </w:p>
          <w:p>
            <w:pPr>
              <w:pStyle w:val="TableParagraph"/>
              <w:ind w:left="120" w:right="97" w:hanging="4"/>
              <w:jc w:val="center"/>
              <w:rPr>
                <w:sz w:val="22"/>
              </w:rPr>
            </w:pPr>
            <w:r>
              <w:rPr>
                <w:spacing w:val="-4"/>
                <w:sz w:val="22"/>
              </w:rPr>
              <w:t>with </w:t>
            </w:r>
            <w:r>
              <w:rPr>
                <w:spacing w:val="-2"/>
                <w:sz w:val="22"/>
              </w:rPr>
              <w:t>shopping/com </w:t>
            </w:r>
            <w:r>
              <w:rPr>
                <w:sz w:val="22"/>
              </w:rPr>
              <w:t>mercial up to two upper </w:t>
            </w:r>
            <w:r>
              <w:rPr>
                <w:spacing w:val="-4"/>
                <w:sz w:val="22"/>
              </w:rPr>
              <w:t>floor</w:t>
            </w:r>
          </w:p>
        </w:tc>
        <w:tc>
          <w:tcPr>
            <w:tcW w:w="1261" w:type="dxa"/>
          </w:tcPr>
          <w:p>
            <w:pPr>
              <w:pStyle w:val="TableParagraph"/>
              <w:rPr>
                <w:b/>
                <w:sz w:val="22"/>
              </w:rPr>
            </w:pPr>
          </w:p>
          <w:p>
            <w:pPr>
              <w:pStyle w:val="TableParagraph"/>
              <w:spacing w:before="200"/>
              <w:rPr>
                <w:b/>
                <w:sz w:val="22"/>
              </w:rPr>
            </w:pPr>
          </w:p>
          <w:p>
            <w:pPr>
              <w:pStyle w:val="TableParagraph"/>
              <w:ind w:left="269" w:right="246" w:hanging="4"/>
              <w:jc w:val="center"/>
              <w:rPr>
                <w:sz w:val="22"/>
              </w:rPr>
            </w:pPr>
            <w:r>
              <w:rPr>
                <w:spacing w:val="-4"/>
                <w:sz w:val="22"/>
              </w:rPr>
              <w:t>Wet </w:t>
            </w:r>
            <w:r>
              <w:rPr>
                <w:spacing w:val="-2"/>
                <w:sz w:val="22"/>
              </w:rPr>
              <w:t>riser- </w:t>
            </w:r>
            <w:r>
              <w:rPr>
                <w:spacing w:val="-4"/>
                <w:sz w:val="22"/>
              </w:rPr>
              <w:t>cum- down </w:t>
            </w:r>
            <w:r>
              <w:rPr>
                <w:spacing w:val="-2"/>
                <w:sz w:val="22"/>
              </w:rPr>
              <w:t>comer.</w:t>
            </w:r>
          </w:p>
        </w:tc>
        <w:tc>
          <w:tcPr>
            <w:tcW w:w="1080" w:type="dxa"/>
          </w:tcPr>
          <w:p>
            <w:pPr>
              <w:pStyle w:val="TableParagraph"/>
              <w:rPr>
                <w:b/>
                <w:sz w:val="22"/>
              </w:rPr>
            </w:pPr>
          </w:p>
          <w:p>
            <w:pPr>
              <w:pStyle w:val="TableParagraph"/>
              <w:rPr>
                <w:b/>
                <w:sz w:val="22"/>
              </w:rPr>
            </w:pPr>
          </w:p>
          <w:p>
            <w:pPr>
              <w:pStyle w:val="TableParagraph"/>
              <w:spacing w:before="9"/>
              <w:rPr>
                <w:b/>
                <w:sz w:val="22"/>
              </w:rPr>
            </w:pPr>
          </w:p>
          <w:p>
            <w:pPr>
              <w:pStyle w:val="TableParagraph"/>
              <w:spacing w:line="258" w:lineRule="exact"/>
              <w:ind w:left="165"/>
              <w:rPr>
                <w:sz w:val="22"/>
              </w:rPr>
            </w:pPr>
            <w:r>
              <w:rPr>
                <w:spacing w:val="-2"/>
                <w:sz w:val="22"/>
              </w:rPr>
              <w:t>50,000</w:t>
            </w:r>
          </w:p>
          <w:p>
            <w:pPr>
              <w:pStyle w:val="TableParagraph"/>
              <w:spacing w:line="258" w:lineRule="exact"/>
              <w:ind w:left="270"/>
              <w:rPr>
                <w:sz w:val="22"/>
              </w:rPr>
            </w:pPr>
            <w:r>
              <w:rPr>
                <w:spacing w:val="-2"/>
                <w:sz w:val="22"/>
              </w:rPr>
              <w:t>litres</w:t>
            </w:r>
          </w:p>
        </w:tc>
        <w:tc>
          <w:tcPr>
            <w:tcW w:w="900" w:type="dxa"/>
          </w:tcPr>
          <w:p>
            <w:pPr>
              <w:pStyle w:val="TableParagraph"/>
              <w:rPr>
                <w:b/>
                <w:sz w:val="22"/>
              </w:rPr>
            </w:pPr>
          </w:p>
          <w:p>
            <w:pPr>
              <w:pStyle w:val="TableParagraph"/>
              <w:rPr>
                <w:b/>
                <w:sz w:val="22"/>
              </w:rPr>
            </w:pPr>
          </w:p>
          <w:p>
            <w:pPr>
              <w:pStyle w:val="TableParagraph"/>
              <w:spacing w:before="9"/>
              <w:rPr>
                <w:b/>
                <w:sz w:val="22"/>
              </w:rPr>
            </w:pPr>
          </w:p>
          <w:p>
            <w:pPr>
              <w:pStyle w:val="TableParagraph"/>
              <w:spacing w:line="258" w:lineRule="exact"/>
              <w:ind w:left="110"/>
              <w:rPr>
                <w:sz w:val="22"/>
              </w:rPr>
            </w:pPr>
            <w:r>
              <w:rPr>
                <w:spacing w:val="-2"/>
                <w:sz w:val="22"/>
              </w:rPr>
              <w:t>30000</w:t>
            </w:r>
          </w:p>
          <w:p>
            <w:pPr>
              <w:pStyle w:val="TableParagraph"/>
              <w:spacing w:line="258" w:lineRule="exact"/>
              <w:ind w:left="182"/>
              <w:rPr>
                <w:sz w:val="22"/>
              </w:rPr>
            </w:pPr>
            <w:r>
              <w:rPr>
                <w:spacing w:val="-2"/>
                <w:sz w:val="22"/>
              </w:rPr>
              <w:t>litres</w:t>
            </w:r>
          </w:p>
        </w:tc>
        <w:tc>
          <w:tcPr>
            <w:tcW w:w="1531" w:type="dxa"/>
          </w:tcPr>
          <w:p>
            <w:pPr>
              <w:pStyle w:val="TableParagraph"/>
              <w:rPr>
                <w:b/>
                <w:sz w:val="22"/>
              </w:rPr>
            </w:pPr>
          </w:p>
          <w:p>
            <w:pPr>
              <w:pStyle w:val="TableParagraph"/>
              <w:spacing w:before="166"/>
              <w:rPr>
                <w:b/>
                <w:sz w:val="22"/>
              </w:rPr>
            </w:pPr>
          </w:p>
          <w:p>
            <w:pPr>
              <w:pStyle w:val="TableParagraph"/>
              <w:ind w:left="122" w:right="105" w:firstLine="2"/>
              <w:jc w:val="center"/>
              <w:rPr>
                <w:sz w:val="22"/>
              </w:rPr>
            </w:pPr>
            <w:r>
              <w:rPr>
                <w:sz w:val="22"/>
              </w:rPr>
              <w:t>2400 litres per minute giving a </w:t>
            </w:r>
            <w:r>
              <w:rPr>
                <w:spacing w:val="-2"/>
                <w:sz w:val="22"/>
              </w:rPr>
              <w:t>pressure </w:t>
            </w:r>
            <w:r>
              <w:rPr>
                <w:sz w:val="22"/>
              </w:rPr>
              <w:t>not less than 3.2 kg/cm2 at the</w:t>
            </w:r>
            <w:r>
              <w:rPr>
                <w:spacing w:val="-18"/>
                <w:sz w:val="22"/>
              </w:rPr>
              <w:t> </w:t>
            </w:r>
            <w:r>
              <w:rPr>
                <w:sz w:val="22"/>
              </w:rPr>
              <w:t>topmost </w:t>
            </w:r>
            <w:r>
              <w:rPr>
                <w:spacing w:val="-2"/>
                <w:sz w:val="22"/>
              </w:rPr>
              <w:t>hydrant.</w:t>
            </w:r>
          </w:p>
        </w:tc>
        <w:tc>
          <w:tcPr>
            <w:tcW w:w="1769" w:type="dxa"/>
          </w:tcPr>
          <w:p>
            <w:pPr>
              <w:pStyle w:val="TableParagraph"/>
              <w:rPr>
                <w:b/>
                <w:sz w:val="22"/>
              </w:rPr>
            </w:pPr>
          </w:p>
          <w:p>
            <w:pPr>
              <w:pStyle w:val="TableParagraph"/>
              <w:rPr>
                <w:b/>
                <w:sz w:val="22"/>
              </w:rPr>
            </w:pPr>
          </w:p>
          <w:p>
            <w:pPr>
              <w:pStyle w:val="TableParagraph"/>
              <w:spacing w:before="6"/>
              <w:rPr>
                <w:b/>
                <w:sz w:val="22"/>
              </w:rPr>
            </w:pPr>
          </w:p>
          <w:p>
            <w:pPr>
              <w:pStyle w:val="TableParagraph"/>
              <w:spacing w:before="1"/>
              <w:ind w:left="149" w:right="136" w:firstLine="3"/>
              <w:jc w:val="center"/>
              <w:rPr>
                <w:sz w:val="22"/>
              </w:rPr>
            </w:pPr>
            <w:r>
              <w:rPr>
                <w:sz w:val="22"/>
              </w:rPr>
              <w:t>900</w:t>
            </w:r>
            <w:r>
              <w:rPr>
                <w:spacing w:val="-7"/>
                <w:sz w:val="22"/>
              </w:rPr>
              <w:t> </w:t>
            </w:r>
            <w:r>
              <w:rPr>
                <w:sz w:val="22"/>
              </w:rPr>
              <w:t>litres</w:t>
            </w:r>
            <w:r>
              <w:rPr>
                <w:spacing w:val="-6"/>
                <w:sz w:val="22"/>
              </w:rPr>
              <w:t> </w:t>
            </w:r>
            <w:r>
              <w:rPr>
                <w:sz w:val="22"/>
              </w:rPr>
              <w:t>per minute</w:t>
            </w:r>
            <w:r>
              <w:rPr>
                <w:spacing w:val="-18"/>
                <w:sz w:val="22"/>
              </w:rPr>
              <w:t> </w:t>
            </w:r>
            <w:r>
              <w:rPr>
                <w:sz w:val="22"/>
              </w:rPr>
              <w:t>giving a pressure not less than</w:t>
            </w:r>
          </w:p>
          <w:p>
            <w:pPr>
              <w:pStyle w:val="TableParagraph"/>
              <w:ind w:left="240" w:right="1" w:hanging="128"/>
              <w:rPr>
                <w:sz w:val="22"/>
              </w:rPr>
            </w:pPr>
            <w:r>
              <w:rPr>
                <w:sz w:val="22"/>
              </w:rPr>
              <w:t>3.2</w:t>
            </w:r>
            <w:r>
              <w:rPr>
                <w:spacing w:val="-18"/>
                <w:sz w:val="22"/>
              </w:rPr>
              <w:t> </w:t>
            </w:r>
            <w:r>
              <w:rPr>
                <w:sz w:val="22"/>
              </w:rPr>
              <w:t>kg/cm2</w:t>
            </w:r>
            <w:r>
              <w:rPr>
                <w:spacing w:val="-18"/>
                <w:sz w:val="22"/>
              </w:rPr>
              <w:t> </w:t>
            </w:r>
            <w:r>
              <w:rPr>
                <w:sz w:val="22"/>
              </w:rPr>
              <w:t>a</w:t>
            </w:r>
            <w:r>
              <w:rPr>
                <w:sz w:val="22"/>
              </w:rPr>
              <w:t>t the topmost</w:t>
            </w:r>
          </w:p>
          <w:p>
            <w:pPr>
              <w:pStyle w:val="TableParagraph"/>
              <w:spacing w:before="1"/>
              <w:ind w:left="422"/>
              <w:rPr>
                <w:sz w:val="22"/>
              </w:rPr>
            </w:pPr>
            <w:r>
              <w:rPr>
                <w:spacing w:val="-2"/>
                <w:sz w:val="22"/>
              </w:rPr>
              <w:t>hydrant.</w:t>
            </w:r>
          </w:p>
        </w:tc>
      </w:tr>
    </w:tbl>
    <w:p>
      <w:pPr>
        <w:pStyle w:val="TableParagraph"/>
        <w:spacing w:after="0"/>
        <w:rPr>
          <w:sz w:val="22"/>
        </w:rPr>
        <w:sectPr>
          <w:pgSz w:w="11910" w:h="16850"/>
          <w:pgMar w:header="1024" w:footer="1302" w:top="1480" w:bottom="1500" w:left="360" w:right="360"/>
        </w:sectPr>
      </w:pPr>
    </w:p>
    <w:p>
      <w:pPr>
        <w:pStyle w:val="BodyText"/>
        <w:spacing w:before="41"/>
        <w:jc w:val="left"/>
        <w:rPr>
          <w:b/>
          <w:sz w:val="20"/>
        </w:rPr>
      </w:pPr>
    </w:p>
    <w:tbl>
      <w:tblPr>
        <w:tblW w:w="0" w:type="auto"/>
        <w:jc w:val="left"/>
        <w:tblInd w:w="9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40"/>
        <w:gridCol w:w="1800"/>
        <w:gridCol w:w="1261"/>
        <w:gridCol w:w="1080"/>
        <w:gridCol w:w="900"/>
        <w:gridCol w:w="1531"/>
        <w:gridCol w:w="1769"/>
      </w:tblGrid>
      <w:tr>
        <w:trPr>
          <w:trHeight w:val="5308" w:hRule="atLeast"/>
        </w:trPr>
        <w:tc>
          <w:tcPr>
            <w:tcW w:w="540" w:type="dxa"/>
          </w:tcPr>
          <w:p>
            <w:pPr>
              <w:pStyle w:val="TableParagraph"/>
              <w:rPr>
                <w:rFonts w:ascii="Times New Roman"/>
                <w:sz w:val="20"/>
              </w:rPr>
            </w:pPr>
          </w:p>
        </w:tc>
        <w:tc>
          <w:tcPr>
            <w:tcW w:w="1800" w:type="dxa"/>
          </w:tcPr>
          <w:p>
            <w:pPr>
              <w:pStyle w:val="TableParagraph"/>
              <w:spacing w:before="62"/>
              <w:rPr>
                <w:b/>
                <w:sz w:val="22"/>
              </w:rPr>
            </w:pPr>
          </w:p>
          <w:p>
            <w:pPr>
              <w:pStyle w:val="TableParagraph"/>
              <w:ind w:left="240"/>
              <w:rPr>
                <w:sz w:val="22"/>
              </w:rPr>
            </w:pPr>
            <w:r>
              <w:rPr>
                <w:sz w:val="22"/>
              </w:rPr>
              <w:t>(b)</w:t>
            </w:r>
            <w:r>
              <w:rPr>
                <w:spacing w:val="-6"/>
                <w:sz w:val="22"/>
              </w:rPr>
              <w:t> </w:t>
            </w:r>
            <w:r>
              <w:rPr>
                <w:sz w:val="22"/>
              </w:rPr>
              <w:t>Above</w:t>
            </w:r>
            <w:r>
              <w:rPr>
                <w:spacing w:val="-1"/>
                <w:sz w:val="22"/>
              </w:rPr>
              <w:t> </w:t>
            </w:r>
            <w:r>
              <w:rPr>
                <w:spacing w:val="-5"/>
                <w:sz w:val="22"/>
              </w:rPr>
              <w:t>32</w:t>
            </w:r>
          </w:p>
          <w:p>
            <w:pPr>
              <w:pStyle w:val="TableParagraph"/>
              <w:spacing w:before="1"/>
              <w:ind w:left="206" w:right="134" w:firstLine="105"/>
              <w:rPr>
                <w:sz w:val="22"/>
              </w:rPr>
            </w:pPr>
            <w:r>
              <w:rPr>
                <w:sz w:val="22"/>
              </w:rPr>
              <w:t>m. and not exceeding</w:t>
            </w:r>
            <w:r>
              <w:rPr>
                <w:spacing w:val="-18"/>
                <w:sz w:val="22"/>
              </w:rPr>
              <w:t> </w:t>
            </w:r>
            <w:r>
              <w:rPr>
                <w:sz w:val="22"/>
              </w:rPr>
              <w:t>7</w:t>
            </w:r>
            <w:r>
              <w:rPr>
                <w:sz w:val="22"/>
              </w:rPr>
              <w:t>0</w:t>
            </w:r>
          </w:p>
          <w:p>
            <w:pPr>
              <w:pStyle w:val="TableParagraph"/>
              <w:ind w:left="175" w:hanging="58"/>
              <w:rPr>
                <w:sz w:val="22"/>
              </w:rPr>
            </w:pPr>
            <w:r>
              <w:rPr>
                <w:sz w:val="22"/>
              </w:rPr>
              <w:t>m.</w:t>
            </w:r>
            <w:r>
              <w:rPr>
                <w:spacing w:val="-13"/>
                <w:sz w:val="22"/>
              </w:rPr>
              <w:t> </w:t>
            </w:r>
            <w:r>
              <w:rPr>
                <w:sz w:val="22"/>
              </w:rPr>
              <w:t>(if</w:t>
            </w:r>
            <w:r>
              <w:rPr>
                <w:spacing w:val="-13"/>
                <w:sz w:val="22"/>
              </w:rPr>
              <w:t> </w:t>
            </w:r>
            <w:r>
              <w:rPr>
                <w:sz w:val="22"/>
              </w:rPr>
              <w:t>plot</w:t>
            </w:r>
            <w:r>
              <w:rPr>
                <w:spacing w:val="-12"/>
                <w:sz w:val="22"/>
              </w:rPr>
              <w:t> </w:t>
            </w:r>
            <w:r>
              <w:rPr>
                <w:sz w:val="22"/>
              </w:rPr>
              <w:t>are</w:t>
            </w:r>
            <w:r>
              <w:rPr>
                <w:sz w:val="22"/>
              </w:rPr>
              <w:t>a is more than 600 sq. m) </w:t>
            </w:r>
            <w:r>
              <w:rPr>
                <w:spacing w:val="-2"/>
                <w:sz w:val="22"/>
              </w:rPr>
              <w:t>withshopping</w:t>
            </w:r>
          </w:p>
          <w:p>
            <w:pPr>
              <w:pStyle w:val="TableParagraph"/>
              <w:spacing w:before="1"/>
              <w:ind w:left="105" w:right="86"/>
              <w:jc w:val="center"/>
              <w:rPr>
                <w:sz w:val="22"/>
              </w:rPr>
            </w:pPr>
            <w:r>
              <w:rPr>
                <w:spacing w:val="-2"/>
                <w:sz w:val="22"/>
              </w:rPr>
              <w:t>/commercial </w:t>
            </w:r>
            <w:r>
              <w:rPr>
                <w:sz w:val="22"/>
              </w:rPr>
              <w:t>up to two upper floor</w:t>
            </w:r>
          </w:p>
          <w:p>
            <w:pPr>
              <w:pStyle w:val="TableParagraph"/>
              <w:spacing w:before="39"/>
              <w:ind w:left="544" w:right="134" w:hanging="384"/>
              <w:rPr>
                <w:sz w:val="22"/>
              </w:rPr>
            </w:pPr>
            <w:r>
              <w:rPr>
                <w:sz w:val="22"/>
              </w:rPr>
              <w:t>(c)</w:t>
            </w:r>
            <w:r>
              <w:rPr>
                <w:spacing w:val="33"/>
                <w:sz w:val="22"/>
              </w:rPr>
              <w:t> </w:t>
            </w:r>
            <w:r>
              <w:rPr>
                <w:sz w:val="22"/>
              </w:rPr>
              <w:t>Exceedin</w:t>
            </w:r>
            <w:r>
              <w:rPr>
                <w:sz w:val="22"/>
              </w:rPr>
              <w:t>g 70 m.</w:t>
            </w:r>
          </w:p>
        </w:tc>
        <w:tc>
          <w:tcPr>
            <w:tcW w:w="1261" w:type="dxa"/>
          </w:tcPr>
          <w:p>
            <w:pPr>
              <w:pStyle w:val="TableParagraph"/>
              <w:spacing w:before="62"/>
              <w:rPr>
                <w:b/>
                <w:sz w:val="22"/>
              </w:rPr>
            </w:pPr>
          </w:p>
          <w:p>
            <w:pPr>
              <w:pStyle w:val="TableParagraph"/>
              <w:ind w:left="146" w:right="126"/>
              <w:jc w:val="center"/>
              <w:rPr>
                <w:sz w:val="22"/>
              </w:rPr>
            </w:pPr>
            <w:r>
              <w:rPr>
                <w:sz w:val="22"/>
              </w:rPr>
              <w:t>Wet</w:t>
            </w:r>
            <w:r>
              <w:rPr>
                <w:spacing w:val="-18"/>
                <w:sz w:val="22"/>
              </w:rPr>
              <w:t> </w:t>
            </w:r>
            <w:r>
              <w:rPr>
                <w:sz w:val="22"/>
              </w:rPr>
              <w:t>riser </w:t>
            </w:r>
            <w:r>
              <w:rPr>
                <w:spacing w:val="-4"/>
                <w:sz w:val="22"/>
              </w:rPr>
              <w:t>cum- down </w:t>
            </w:r>
            <w:r>
              <w:rPr>
                <w:spacing w:val="-2"/>
                <w:sz w:val="22"/>
              </w:rPr>
              <w:t>comer.</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37"/>
              <w:rPr>
                <w:b/>
                <w:sz w:val="22"/>
              </w:rPr>
            </w:pPr>
          </w:p>
          <w:p>
            <w:pPr>
              <w:pStyle w:val="TableParagraph"/>
              <w:ind w:left="146" w:right="126"/>
              <w:jc w:val="center"/>
              <w:rPr>
                <w:sz w:val="22"/>
              </w:rPr>
            </w:pPr>
            <w:r>
              <w:rPr>
                <w:sz w:val="22"/>
              </w:rPr>
              <w:t>Wet</w:t>
            </w:r>
            <w:r>
              <w:rPr>
                <w:spacing w:val="-18"/>
                <w:sz w:val="22"/>
              </w:rPr>
              <w:t> </w:t>
            </w:r>
            <w:r>
              <w:rPr>
                <w:sz w:val="22"/>
              </w:rPr>
              <w:t>riser </w:t>
            </w:r>
            <w:r>
              <w:rPr>
                <w:spacing w:val="-4"/>
                <w:sz w:val="22"/>
              </w:rPr>
              <w:t>cum down </w:t>
            </w:r>
            <w:r>
              <w:rPr>
                <w:spacing w:val="-2"/>
                <w:sz w:val="22"/>
              </w:rPr>
              <w:t>corner</w:t>
            </w:r>
          </w:p>
        </w:tc>
        <w:tc>
          <w:tcPr>
            <w:tcW w:w="1080" w:type="dxa"/>
          </w:tcPr>
          <w:p>
            <w:pPr>
              <w:pStyle w:val="TableParagraph"/>
              <w:spacing w:line="257" w:lineRule="exact"/>
              <w:ind w:left="22" w:right="5"/>
              <w:jc w:val="center"/>
              <w:rPr>
                <w:sz w:val="22"/>
              </w:rPr>
            </w:pPr>
            <w:r>
              <w:rPr>
                <w:spacing w:val="-2"/>
                <w:sz w:val="22"/>
              </w:rPr>
              <w:t>1,50,00</w:t>
            </w:r>
          </w:p>
          <w:p>
            <w:pPr>
              <w:pStyle w:val="TableParagraph"/>
              <w:spacing w:before="1"/>
              <w:ind w:left="22" w:right="6"/>
              <w:jc w:val="center"/>
              <w:rPr>
                <w:sz w:val="22"/>
              </w:rPr>
            </w:pPr>
            <w:r>
              <w:rPr>
                <w:spacing w:val="-10"/>
                <w:sz w:val="22"/>
              </w:rPr>
              <w:t>0</w:t>
            </w:r>
          </w:p>
          <w:p>
            <w:pPr>
              <w:pStyle w:val="TableParagraph"/>
              <w:spacing w:before="39"/>
              <w:ind w:left="22" w:right="4"/>
              <w:jc w:val="center"/>
              <w:rPr>
                <w:sz w:val="22"/>
              </w:rPr>
            </w:pPr>
            <w:r>
              <w:rPr>
                <w:spacing w:val="-2"/>
                <w:sz w:val="22"/>
              </w:rPr>
              <w:t>litres</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00"/>
              <w:rPr>
                <w:b/>
                <w:sz w:val="22"/>
              </w:rPr>
            </w:pPr>
          </w:p>
          <w:p>
            <w:pPr>
              <w:pStyle w:val="TableParagraph"/>
              <w:spacing w:line="258" w:lineRule="exact"/>
              <w:ind w:left="110"/>
              <w:rPr>
                <w:sz w:val="22"/>
              </w:rPr>
            </w:pPr>
            <w:r>
              <w:rPr>
                <w:spacing w:val="-2"/>
                <w:sz w:val="22"/>
              </w:rPr>
              <w:t>3,00,00</w:t>
            </w:r>
          </w:p>
          <w:p>
            <w:pPr>
              <w:pStyle w:val="TableParagraph"/>
              <w:spacing w:line="258" w:lineRule="exact"/>
              <w:ind w:left="110"/>
              <w:rPr>
                <w:sz w:val="22"/>
              </w:rPr>
            </w:pPr>
            <w:r>
              <w:rPr>
                <w:spacing w:val="-10"/>
                <w:sz w:val="22"/>
              </w:rPr>
              <w:t>0</w:t>
            </w:r>
          </w:p>
          <w:p>
            <w:pPr>
              <w:pStyle w:val="TableParagraph"/>
              <w:spacing w:before="42"/>
              <w:ind w:left="270"/>
              <w:rPr>
                <w:sz w:val="22"/>
              </w:rPr>
            </w:pPr>
            <w:r>
              <w:rPr>
                <w:spacing w:val="-2"/>
                <w:sz w:val="22"/>
              </w:rPr>
              <w:t>litres</w:t>
            </w:r>
          </w:p>
        </w:tc>
        <w:tc>
          <w:tcPr>
            <w:tcW w:w="900" w:type="dxa"/>
          </w:tcPr>
          <w:p>
            <w:pPr>
              <w:pStyle w:val="TableParagraph"/>
              <w:spacing w:line="257" w:lineRule="exact"/>
              <w:ind w:left="110"/>
              <w:rPr>
                <w:sz w:val="22"/>
              </w:rPr>
            </w:pPr>
            <w:r>
              <w:rPr>
                <w:spacing w:val="-2"/>
                <w:sz w:val="22"/>
              </w:rPr>
              <w:t>30,00</w:t>
            </w:r>
          </w:p>
          <w:p>
            <w:pPr>
              <w:pStyle w:val="TableParagraph"/>
              <w:spacing w:before="1"/>
              <w:ind w:left="110"/>
              <w:rPr>
                <w:sz w:val="22"/>
              </w:rPr>
            </w:pPr>
            <w:r>
              <w:rPr>
                <w:spacing w:val="-10"/>
                <w:sz w:val="22"/>
              </w:rPr>
              <w:t>0</w:t>
            </w:r>
          </w:p>
          <w:p>
            <w:pPr>
              <w:pStyle w:val="TableParagraph"/>
              <w:spacing w:before="39"/>
              <w:ind w:left="182"/>
              <w:rPr>
                <w:sz w:val="22"/>
              </w:rPr>
            </w:pPr>
            <w:r>
              <w:rPr>
                <w:spacing w:val="-2"/>
                <w:sz w:val="22"/>
              </w:rPr>
              <w:t>litres</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00"/>
              <w:rPr>
                <w:b/>
                <w:sz w:val="22"/>
              </w:rPr>
            </w:pPr>
          </w:p>
          <w:p>
            <w:pPr>
              <w:pStyle w:val="TableParagraph"/>
              <w:spacing w:line="258" w:lineRule="exact"/>
              <w:ind w:left="99" w:right="80"/>
              <w:jc w:val="center"/>
              <w:rPr>
                <w:sz w:val="22"/>
              </w:rPr>
            </w:pPr>
            <w:r>
              <w:rPr>
                <w:spacing w:val="-2"/>
                <w:sz w:val="22"/>
              </w:rPr>
              <w:t>50,00</w:t>
            </w:r>
          </w:p>
          <w:p>
            <w:pPr>
              <w:pStyle w:val="TableParagraph"/>
              <w:spacing w:line="258" w:lineRule="exact"/>
              <w:ind w:left="99" w:right="79"/>
              <w:jc w:val="center"/>
              <w:rPr>
                <w:sz w:val="22"/>
              </w:rPr>
            </w:pPr>
            <w:r>
              <w:rPr>
                <w:spacing w:val="-10"/>
                <w:sz w:val="22"/>
              </w:rPr>
              <w:t>0</w:t>
            </w:r>
          </w:p>
          <w:p>
            <w:pPr>
              <w:pStyle w:val="TableParagraph"/>
              <w:spacing w:before="1"/>
              <w:ind w:left="99" w:right="79"/>
              <w:jc w:val="center"/>
              <w:rPr>
                <w:sz w:val="22"/>
              </w:rPr>
            </w:pPr>
            <w:r>
              <w:rPr>
                <w:spacing w:val="-2"/>
                <w:sz w:val="22"/>
              </w:rPr>
              <w:t>litres</w:t>
            </w:r>
          </w:p>
        </w:tc>
        <w:tc>
          <w:tcPr>
            <w:tcW w:w="1531" w:type="dxa"/>
          </w:tcPr>
          <w:p>
            <w:pPr>
              <w:pStyle w:val="TableParagraph"/>
              <w:ind w:left="110" w:right="117"/>
              <w:rPr>
                <w:sz w:val="22"/>
              </w:rPr>
            </w:pPr>
            <w:r>
              <w:rPr>
                <w:sz w:val="22"/>
              </w:rPr>
              <w:t>2,400 litres per minute giving a </w:t>
            </w:r>
            <w:r>
              <w:rPr>
                <w:spacing w:val="-2"/>
                <w:sz w:val="22"/>
              </w:rPr>
              <w:t>pressure </w:t>
            </w:r>
            <w:r>
              <w:rPr>
                <w:sz w:val="22"/>
              </w:rPr>
              <w:t>not less than 3.2 kg/cm2 at the</w:t>
            </w:r>
            <w:r>
              <w:rPr>
                <w:spacing w:val="-18"/>
                <w:sz w:val="22"/>
              </w:rPr>
              <w:t> </w:t>
            </w:r>
            <w:r>
              <w:rPr>
                <w:sz w:val="22"/>
              </w:rPr>
              <w:t>topmost </w:t>
            </w:r>
            <w:r>
              <w:rPr>
                <w:spacing w:val="-2"/>
                <w:sz w:val="22"/>
              </w:rPr>
              <w:t>hydrant.</w:t>
            </w:r>
          </w:p>
          <w:p>
            <w:pPr>
              <w:pStyle w:val="TableParagraph"/>
              <w:spacing w:before="101"/>
              <w:rPr>
                <w:b/>
                <w:sz w:val="22"/>
              </w:rPr>
            </w:pPr>
          </w:p>
          <w:p>
            <w:pPr>
              <w:pStyle w:val="TableParagraph"/>
              <w:spacing w:before="1"/>
              <w:ind w:left="110" w:right="157"/>
              <w:rPr>
                <w:sz w:val="22"/>
              </w:rPr>
            </w:pPr>
            <w:r>
              <w:rPr>
                <w:sz w:val="22"/>
              </w:rPr>
              <w:t>2800</w:t>
            </w:r>
            <w:r>
              <w:rPr>
                <w:spacing w:val="-10"/>
                <w:sz w:val="22"/>
              </w:rPr>
              <w:t> </w:t>
            </w:r>
            <w:r>
              <w:rPr>
                <w:sz w:val="22"/>
              </w:rPr>
              <w:t>litres per</w:t>
            </w:r>
            <w:r>
              <w:rPr>
                <w:spacing w:val="-18"/>
                <w:sz w:val="22"/>
              </w:rPr>
              <w:t> </w:t>
            </w:r>
            <w:r>
              <w:rPr>
                <w:sz w:val="22"/>
              </w:rPr>
              <w:t>minute </w:t>
            </w:r>
            <w:r>
              <w:rPr>
                <w:spacing w:val="-2"/>
                <w:sz w:val="22"/>
              </w:rPr>
              <w:t>giving pressure </w:t>
            </w:r>
            <w:r>
              <w:rPr>
                <w:sz w:val="22"/>
              </w:rPr>
              <w:t>not less than 3.2</w:t>
            </w:r>
          </w:p>
          <w:p>
            <w:pPr>
              <w:pStyle w:val="TableParagraph"/>
              <w:spacing w:before="1"/>
              <w:ind w:left="110" w:right="157"/>
              <w:rPr>
                <w:sz w:val="22"/>
              </w:rPr>
            </w:pPr>
            <w:r>
              <w:rPr>
                <w:sz w:val="22"/>
              </w:rPr>
              <w:t>kg/cm</w:t>
            </w:r>
            <w:r>
              <w:rPr>
                <w:spacing w:val="-18"/>
                <w:sz w:val="22"/>
              </w:rPr>
              <w:t> </w:t>
            </w:r>
            <w:r>
              <w:rPr>
                <w:sz w:val="22"/>
              </w:rPr>
              <w:t>2</w:t>
            </w:r>
            <w:r>
              <w:rPr>
                <w:spacing w:val="-18"/>
                <w:sz w:val="22"/>
              </w:rPr>
              <w:t> </w:t>
            </w:r>
            <w:r>
              <w:rPr>
                <w:sz w:val="22"/>
              </w:rPr>
              <w:t>at the top </w:t>
            </w:r>
            <w:r>
              <w:rPr>
                <w:spacing w:val="-4"/>
                <w:sz w:val="22"/>
              </w:rPr>
              <w:t>most </w:t>
            </w:r>
            <w:r>
              <w:rPr>
                <w:spacing w:val="-2"/>
                <w:sz w:val="22"/>
              </w:rPr>
              <w:t>hydrant.</w:t>
            </w:r>
          </w:p>
        </w:tc>
        <w:tc>
          <w:tcPr>
            <w:tcW w:w="1769" w:type="dxa"/>
          </w:tcPr>
          <w:p>
            <w:pPr>
              <w:pStyle w:val="TableParagraph"/>
              <w:spacing w:before="62"/>
              <w:rPr>
                <w:b/>
                <w:sz w:val="22"/>
              </w:rPr>
            </w:pPr>
          </w:p>
          <w:p>
            <w:pPr>
              <w:pStyle w:val="TableParagraph"/>
              <w:ind w:left="108" w:right="176"/>
              <w:rPr>
                <w:sz w:val="22"/>
              </w:rPr>
            </w:pPr>
            <w:r>
              <w:rPr>
                <w:sz w:val="22"/>
              </w:rPr>
              <w:t>900</w:t>
            </w:r>
            <w:r>
              <w:rPr>
                <w:spacing w:val="-5"/>
                <w:sz w:val="22"/>
              </w:rPr>
              <w:t> </w:t>
            </w:r>
            <w:r>
              <w:rPr>
                <w:sz w:val="22"/>
              </w:rPr>
              <w:t>litres</w:t>
            </w:r>
            <w:r>
              <w:rPr>
                <w:spacing w:val="-4"/>
                <w:sz w:val="22"/>
              </w:rPr>
              <w:t> </w:t>
            </w:r>
            <w:r>
              <w:rPr>
                <w:sz w:val="22"/>
              </w:rPr>
              <w:t>per minute</w:t>
            </w:r>
            <w:r>
              <w:rPr>
                <w:spacing w:val="-18"/>
                <w:sz w:val="22"/>
              </w:rPr>
              <w:t> </w:t>
            </w:r>
            <w:r>
              <w:rPr>
                <w:sz w:val="22"/>
              </w:rPr>
              <w:t>giving a pressure not less than</w:t>
            </w:r>
          </w:p>
          <w:p>
            <w:pPr>
              <w:pStyle w:val="TableParagraph"/>
              <w:spacing w:before="1"/>
              <w:ind w:left="108" w:right="1"/>
              <w:rPr>
                <w:sz w:val="22"/>
              </w:rPr>
            </w:pPr>
            <w:r>
              <w:rPr>
                <w:sz w:val="22"/>
              </w:rPr>
              <w:t>3.2</w:t>
            </w:r>
            <w:r>
              <w:rPr>
                <w:spacing w:val="-18"/>
                <w:sz w:val="22"/>
              </w:rPr>
              <w:t> </w:t>
            </w:r>
            <w:r>
              <w:rPr>
                <w:sz w:val="22"/>
              </w:rPr>
              <w:t>kg/cm2</w:t>
            </w:r>
            <w:r>
              <w:rPr>
                <w:spacing w:val="-18"/>
                <w:sz w:val="22"/>
              </w:rPr>
              <w:t> </w:t>
            </w:r>
            <w:r>
              <w:rPr>
                <w:sz w:val="22"/>
              </w:rPr>
              <w:t>a</w:t>
            </w:r>
            <w:r>
              <w:rPr>
                <w:sz w:val="22"/>
              </w:rPr>
              <w:t>t the topmost </w:t>
            </w:r>
            <w:r>
              <w:rPr>
                <w:spacing w:val="-2"/>
                <w:sz w:val="22"/>
              </w:rPr>
              <w:t>hydrant.</w:t>
            </w:r>
          </w:p>
          <w:p>
            <w:pPr>
              <w:pStyle w:val="TableParagraph"/>
              <w:rPr>
                <w:b/>
                <w:sz w:val="22"/>
              </w:rPr>
            </w:pPr>
          </w:p>
          <w:p>
            <w:pPr>
              <w:pStyle w:val="TableParagraph"/>
              <w:spacing w:before="166"/>
              <w:rPr>
                <w:b/>
                <w:sz w:val="22"/>
              </w:rPr>
            </w:pPr>
          </w:p>
          <w:p>
            <w:pPr>
              <w:pStyle w:val="TableParagraph"/>
              <w:ind w:left="108" w:right="1"/>
              <w:rPr>
                <w:sz w:val="22"/>
              </w:rPr>
            </w:pPr>
            <w:r>
              <w:rPr>
                <w:sz w:val="22"/>
              </w:rPr>
              <w:t>900 litres per minute giving pressure not less than 3.2 kg/cm2</w:t>
            </w:r>
            <w:r>
              <w:rPr>
                <w:spacing w:val="-18"/>
                <w:sz w:val="22"/>
              </w:rPr>
              <w:t> </w:t>
            </w:r>
            <w:r>
              <w:rPr>
                <w:sz w:val="22"/>
              </w:rPr>
              <w:t>at</w:t>
            </w:r>
            <w:r>
              <w:rPr>
                <w:spacing w:val="-18"/>
                <w:sz w:val="22"/>
              </w:rPr>
              <w:t> </w:t>
            </w:r>
            <w:r>
              <w:rPr>
                <w:sz w:val="22"/>
              </w:rPr>
              <w:t>th</w:t>
            </w:r>
            <w:r>
              <w:rPr>
                <w:sz w:val="22"/>
              </w:rPr>
              <w:t>e top most </w:t>
            </w:r>
            <w:r>
              <w:rPr>
                <w:spacing w:val="-2"/>
                <w:sz w:val="22"/>
              </w:rPr>
              <w:t>hydrant.</w:t>
            </w:r>
          </w:p>
        </w:tc>
      </w:tr>
      <w:tr>
        <w:trPr>
          <w:trHeight w:val="7958" w:hRule="atLeast"/>
        </w:trPr>
        <w:tc>
          <w:tcPr>
            <w:tcW w:w="540"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33"/>
              <w:rPr>
                <w:b/>
                <w:sz w:val="22"/>
              </w:rPr>
            </w:pPr>
          </w:p>
          <w:p>
            <w:pPr>
              <w:pStyle w:val="TableParagraph"/>
              <w:ind w:left="136"/>
              <w:rPr>
                <w:sz w:val="22"/>
              </w:rPr>
            </w:pPr>
            <w:r>
              <w:rPr>
                <w:spacing w:val="-5"/>
                <w:sz w:val="22"/>
              </w:rPr>
              <w:t>(3)</w:t>
            </w:r>
          </w:p>
        </w:tc>
        <w:tc>
          <w:tcPr>
            <w:tcW w:w="1800" w:type="dxa"/>
          </w:tcPr>
          <w:p>
            <w:pPr>
              <w:pStyle w:val="TableParagraph"/>
              <w:spacing w:before="152"/>
              <w:ind w:left="110" w:right="134"/>
              <w:rPr>
                <w:sz w:val="22"/>
              </w:rPr>
            </w:pPr>
            <w:r>
              <w:rPr>
                <w:spacing w:val="-4"/>
                <w:sz w:val="22"/>
              </w:rPr>
              <w:t>Non- </w:t>
            </w:r>
            <w:r>
              <w:rPr>
                <w:spacing w:val="-2"/>
                <w:sz w:val="22"/>
              </w:rPr>
              <w:t>residential</w:t>
            </w:r>
          </w:p>
          <w:p>
            <w:pPr>
              <w:pStyle w:val="TableParagraph"/>
              <w:spacing w:line="297" w:lineRule="auto" w:before="50"/>
              <w:ind w:left="110" w:right="315"/>
              <w:rPr>
                <w:sz w:val="22"/>
              </w:rPr>
            </w:pPr>
            <w:r>
              <w:rPr>
                <w:rFonts w:ascii="Arial"/>
                <w:sz w:val="22"/>
              </w:rPr>
              <w:t>/</w:t>
            </w:r>
            <w:r>
              <w:rPr>
                <w:sz w:val="22"/>
              </w:rPr>
              <w:t>Special</w:t>
            </w:r>
            <w:r>
              <w:rPr>
                <w:spacing w:val="-18"/>
                <w:sz w:val="22"/>
              </w:rPr>
              <w:t> </w:t>
            </w:r>
            <w:r>
              <w:rPr>
                <w:sz w:val="22"/>
              </w:rPr>
              <w:t>type </w:t>
            </w:r>
            <w:r>
              <w:rPr>
                <w:spacing w:val="-2"/>
                <w:sz w:val="22"/>
              </w:rPr>
              <w:t>buildings-</w:t>
            </w:r>
          </w:p>
          <w:p>
            <w:pPr>
              <w:pStyle w:val="TableParagraph"/>
              <w:numPr>
                <w:ilvl w:val="0"/>
                <w:numId w:val="342"/>
              </w:numPr>
              <w:tabs>
                <w:tab w:pos="462" w:val="left" w:leader="none"/>
              </w:tabs>
              <w:spacing w:line="235" w:lineRule="exact" w:before="0" w:after="0"/>
              <w:ind w:left="462" w:right="0" w:hanging="328"/>
              <w:jc w:val="left"/>
              <w:rPr>
                <w:sz w:val="22"/>
              </w:rPr>
            </w:pPr>
            <w:r>
              <w:rPr>
                <w:sz w:val="22"/>
              </w:rPr>
              <w:t>Upto</w:t>
            </w:r>
            <w:r>
              <w:rPr>
                <w:spacing w:val="-2"/>
                <w:sz w:val="22"/>
              </w:rPr>
              <w:t> </w:t>
            </w:r>
            <w:r>
              <w:rPr>
                <w:sz w:val="22"/>
              </w:rPr>
              <w:t>15</w:t>
            </w:r>
            <w:r>
              <w:rPr>
                <w:spacing w:val="-3"/>
                <w:sz w:val="22"/>
              </w:rPr>
              <w:t> </w:t>
            </w:r>
            <w:r>
              <w:rPr>
                <w:spacing w:val="-5"/>
                <w:sz w:val="22"/>
              </w:rPr>
              <w:t>m.</w:t>
            </w:r>
          </w:p>
          <w:p>
            <w:pPr>
              <w:pStyle w:val="TableParagraph"/>
              <w:spacing w:before="1"/>
              <w:ind w:left="388"/>
              <w:rPr>
                <w:sz w:val="22"/>
              </w:rPr>
            </w:pPr>
            <w:r>
              <w:rPr>
                <w:sz w:val="22"/>
              </w:rPr>
              <w:t>in</w:t>
            </w:r>
            <w:r>
              <w:rPr>
                <w:spacing w:val="-1"/>
                <w:sz w:val="22"/>
              </w:rPr>
              <w:t> </w:t>
            </w:r>
            <w:r>
              <w:rPr>
                <w:spacing w:val="-2"/>
                <w:sz w:val="22"/>
              </w:rPr>
              <w:t>height.</w:t>
            </w:r>
          </w:p>
          <w:p>
            <w:pPr>
              <w:pStyle w:val="TableParagraph"/>
              <w:spacing w:before="102"/>
              <w:rPr>
                <w:b/>
                <w:sz w:val="22"/>
              </w:rPr>
            </w:pPr>
          </w:p>
          <w:p>
            <w:pPr>
              <w:pStyle w:val="TableParagraph"/>
              <w:numPr>
                <w:ilvl w:val="0"/>
                <w:numId w:val="342"/>
              </w:numPr>
              <w:tabs>
                <w:tab w:pos="576" w:val="left" w:leader="none"/>
              </w:tabs>
              <w:spacing w:line="240" w:lineRule="auto" w:before="1" w:after="0"/>
              <w:ind w:left="576" w:right="0" w:hanging="336"/>
              <w:jc w:val="left"/>
              <w:rPr>
                <w:sz w:val="22"/>
              </w:rPr>
            </w:pPr>
            <w:r>
              <w:rPr>
                <w:sz w:val="22"/>
              </w:rPr>
              <w:t>Above</w:t>
            </w:r>
            <w:r>
              <w:rPr>
                <w:spacing w:val="-4"/>
                <w:sz w:val="22"/>
              </w:rPr>
              <w:t> </w:t>
            </w:r>
            <w:r>
              <w:rPr>
                <w:spacing w:val="-5"/>
                <w:sz w:val="22"/>
              </w:rPr>
              <w:t>15</w:t>
            </w:r>
          </w:p>
          <w:p>
            <w:pPr>
              <w:pStyle w:val="TableParagraph"/>
              <w:spacing w:before="1"/>
              <w:ind w:left="206" w:right="134" w:firstLine="124"/>
              <w:rPr>
                <w:sz w:val="22"/>
              </w:rPr>
            </w:pPr>
            <w:r>
              <w:rPr>
                <w:sz w:val="22"/>
              </w:rPr>
              <w:t>m. but not exceeding</w:t>
            </w:r>
            <w:r>
              <w:rPr>
                <w:spacing w:val="-18"/>
                <w:sz w:val="22"/>
              </w:rPr>
              <w:t> </w:t>
            </w:r>
            <w:r>
              <w:rPr>
                <w:sz w:val="22"/>
              </w:rPr>
              <w:t>3</w:t>
            </w:r>
            <w:r>
              <w:rPr>
                <w:sz w:val="22"/>
              </w:rPr>
              <w:t>2</w:t>
            </w:r>
          </w:p>
          <w:p>
            <w:pPr>
              <w:pStyle w:val="TableParagraph"/>
              <w:ind w:left="556" w:hanging="308"/>
              <w:rPr>
                <w:sz w:val="22"/>
              </w:rPr>
            </w:pPr>
            <w:r>
              <w:rPr>
                <w:sz w:val="22"/>
              </w:rPr>
              <w:t>m.</w:t>
            </w:r>
            <w:r>
              <w:rPr>
                <w:spacing w:val="-18"/>
                <w:sz w:val="22"/>
              </w:rPr>
              <w:t> </w:t>
            </w:r>
            <w:r>
              <w:rPr>
                <w:sz w:val="22"/>
              </w:rPr>
              <w:t>in</w:t>
            </w:r>
            <w:r>
              <w:rPr>
                <w:spacing w:val="-17"/>
                <w:sz w:val="22"/>
              </w:rPr>
              <w:t> </w:t>
            </w:r>
            <w:r>
              <w:rPr>
                <w:sz w:val="22"/>
              </w:rPr>
              <w:t>height </w:t>
            </w:r>
            <w:r>
              <w:rPr>
                <w:spacing w:val="-2"/>
                <w:sz w:val="22"/>
              </w:rPr>
              <w:t>except</w:t>
            </w:r>
          </w:p>
          <w:p>
            <w:pPr>
              <w:pStyle w:val="TableParagraph"/>
              <w:ind w:left="367" w:hanging="94"/>
              <w:rPr>
                <w:sz w:val="22"/>
              </w:rPr>
            </w:pPr>
            <w:r>
              <w:rPr>
                <w:spacing w:val="-2"/>
                <w:sz w:val="22"/>
              </w:rPr>
              <w:t>educational buildings.</w:t>
            </w:r>
          </w:p>
          <w:p>
            <w:pPr>
              <w:pStyle w:val="TableParagraph"/>
              <w:spacing w:before="102"/>
              <w:rPr>
                <w:b/>
                <w:sz w:val="22"/>
              </w:rPr>
            </w:pPr>
          </w:p>
          <w:p>
            <w:pPr>
              <w:pStyle w:val="TableParagraph"/>
              <w:ind w:left="216"/>
              <w:rPr>
                <w:sz w:val="22"/>
              </w:rPr>
            </w:pPr>
            <w:r>
              <w:rPr>
                <w:sz w:val="22"/>
              </w:rPr>
              <w:t>(c)</w:t>
            </w:r>
            <w:r>
              <w:rPr>
                <w:spacing w:val="64"/>
                <w:sz w:val="22"/>
              </w:rPr>
              <w:t> </w:t>
            </w:r>
            <w:r>
              <w:rPr>
                <w:sz w:val="22"/>
              </w:rPr>
              <w:t>Above</w:t>
            </w:r>
            <w:r>
              <w:rPr>
                <w:spacing w:val="-1"/>
                <w:sz w:val="22"/>
              </w:rPr>
              <w:t> </w:t>
            </w:r>
            <w:r>
              <w:rPr>
                <w:spacing w:val="-5"/>
                <w:sz w:val="22"/>
              </w:rPr>
              <w:t>32</w:t>
            </w:r>
          </w:p>
          <w:p>
            <w:pPr>
              <w:pStyle w:val="TableParagraph"/>
              <w:spacing w:before="2"/>
              <w:ind w:left="206" w:right="134" w:firstLine="124"/>
              <w:rPr>
                <w:sz w:val="22"/>
              </w:rPr>
            </w:pPr>
            <w:r>
              <w:rPr>
                <w:sz w:val="22"/>
              </w:rPr>
              <w:t>m. but not exceeding</w:t>
            </w:r>
            <w:r>
              <w:rPr>
                <w:spacing w:val="-18"/>
                <w:sz w:val="22"/>
              </w:rPr>
              <w:t> </w:t>
            </w:r>
            <w:r>
              <w:rPr>
                <w:sz w:val="22"/>
              </w:rPr>
              <w:t>7</w:t>
            </w:r>
            <w:r>
              <w:rPr>
                <w:sz w:val="22"/>
              </w:rPr>
              <w:t>0</w:t>
            </w:r>
          </w:p>
          <w:p>
            <w:pPr>
              <w:pStyle w:val="TableParagraph"/>
              <w:ind w:left="556" w:hanging="308"/>
              <w:rPr>
                <w:sz w:val="22"/>
              </w:rPr>
            </w:pPr>
            <w:r>
              <w:rPr>
                <w:sz w:val="22"/>
              </w:rPr>
              <w:t>m.</w:t>
            </w:r>
            <w:r>
              <w:rPr>
                <w:spacing w:val="-18"/>
                <w:sz w:val="22"/>
              </w:rPr>
              <w:t> </w:t>
            </w:r>
            <w:r>
              <w:rPr>
                <w:sz w:val="22"/>
              </w:rPr>
              <w:t>in</w:t>
            </w:r>
            <w:r>
              <w:rPr>
                <w:spacing w:val="-17"/>
                <w:sz w:val="22"/>
              </w:rPr>
              <w:t> </w:t>
            </w:r>
            <w:r>
              <w:rPr>
                <w:sz w:val="22"/>
              </w:rPr>
              <w:t>height </w:t>
            </w:r>
            <w:r>
              <w:rPr>
                <w:spacing w:val="-2"/>
                <w:sz w:val="22"/>
              </w:rPr>
              <w:t>except</w:t>
            </w:r>
          </w:p>
          <w:p>
            <w:pPr>
              <w:pStyle w:val="TableParagraph"/>
              <w:ind w:left="170" w:right="149" w:hanging="2"/>
              <w:jc w:val="center"/>
              <w:rPr>
                <w:sz w:val="22"/>
              </w:rPr>
            </w:pPr>
            <w:r>
              <w:rPr>
                <w:spacing w:val="-2"/>
                <w:sz w:val="22"/>
              </w:rPr>
              <w:t>educational </w:t>
            </w:r>
            <w:r>
              <w:rPr>
                <w:sz w:val="22"/>
              </w:rPr>
              <w:t>buildings. (If area</w:t>
            </w:r>
            <w:r>
              <w:rPr>
                <w:spacing w:val="-12"/>
                <w:sz w:val="22"/>
              </w:rPr>
              <w:t> </w:t>
            </w:r>
            <w:r>
              <w:rPr>
                <w:sz w:val="22"/>
              </w:rPr>
              <w:t>of</w:t>
            </w:r>
            <w:r>
              <w:rPr>
                <w:spacing w:val="-12"/>
                <w:sz w:val="22"/>
              </w:rPr>
              <w:t> </w:t>
            </w:r>
            <w:r>
              <w:rPr>
                <w:sz w:val="22"/>
              </w:rPr>
              <w:t>plot</w:t>
            </w:r>
            <w:r>
              <w:rPr>
                <w:spacing w:val="-12"/>
                <w:sz w:val="22"/>
              </w:rPr>
              <w:t> </w:t>
            </w:r>
            <w:r>
              <w:rPr>
                <w:sz w:val="22"/>
              </w:rPr>
              <w:t>is less</w:t>
            </w:r>
            <w:r>
              <w:rPr>
                <w:spacing w:val="-18"/>
                <w:sz w:val="22"/>
              </w:rPr>
              <w:t> </w:t>
            </w:r>
            <w:r>
              <w:rPr>
                <w:sz w:val="22"/>
              </w:rPr>
              <w:t>than</w:t>
            </w:r>
            <w:r>
              <w:rPr>
                <w:spacing w:val="-18"/>
                <w:sz w:val="22"/>
              </w:rPr>
              <w:t> </w:t>
            </w:r>
            <w:r>
              <w:rPr>
                <w:sz w:val="22"/>
              </w:rPr>
              <w:t>600 sq. m)</w:t>
            </w:r>
          </w:p>
          <w:p>
            <w:pPr>
              <w:pStyle w:val="TableParagraph"/>
              <w:spacing w:before="103"/>
              <w:rPr>
                <w:b/>
                <w:sz w:val="22"/>
              </w:rPr>
            </w:pPr>
          </w:p>
          <w:p>
            <w:pPr>
              <w:pStyle w:val="TableParagraph"/>
              <w:ind w:left="240"/>
              <w:rPr>
                <w:sz w:val="22"/>
              </w:rPr>
            </w:pPr>
            <w:r>
              <w:rPr>
                <w:sz w:val="22"/>
              </w:rPr>
              <w:t>(d)</w:t>
            </w:r>
            <w:r>
              <w:rPr>
                <w:spacing w:val="-6"/>
                <w:sz w:val="22"/>
              </w:rPr>
              <w:t> </w:t>
            </w:r>
            <w:r>
              <w:rPr>
                <w:sz w:val="22"/>
              </w:rPr>
              <w:t>Above</w:t>
            </w:r>
            <w:r>
              <w:rPr>
                <w:spacing w:val="-1"/>
                <w:sz w:val="22"/>
              </w:rPr>
              <w:t> </w:t>
            </w:r>
            <w:r>
              <w:rPr>
                <w:spacing w:val="-5"/>
                <w:sz w:val="22"/>
              </w:rPr>
              <w:t>32</w:t>
            </w:r>
          </w:p>
          <w:p>
            <w:pPr>
              <w:pStyle w:val="TableParagraph"/>
              <w:spacing w:before="1"/>
              <w:ind w:left="331"/>
              <w:rPr>
                <w:sz w:val="22"/>
              </w:rPr>
            </w:pPr>
            <w:r>
              <w:rPr>
                <w:sz w:val="22"/>
              </w:rPr>
              <w:t>m.</w:t>
            </w:r>
            <w:r>
              <w:rPr>
                <w:spacing w:val="-4"/>
                <w:sz w:val="22"/>
              </w:rPr>
              <w:t> </w:t>
            </w:r>
            <w:r>
              <w:rPr>
                <w:sz w:val="22"/>
              </w:rPr>
              <w:t>but</w:t>
            </w:r>
            <w:r>
              <w:rPr>
                <w:spacing w:val="-2"/>
                <w:sz w:val="22"/>
              </w:rPr>
              <w:t> </w:t>
            </w:r>
            <w:r>
              <w:rPr>
                <w:spacing w:val="-5"/>
                <w:sz w:val="22"/>
              </w:rPr>
              <w:t>not</w:t>
            </w:r>
          </w:p>
        </w:tc>
        <w:tc>
          <w:tcPr>
            <w:tcW w:w="1261" w:type="dxa"/>
          </w:tcPr>
          <w:p>
            <w:pPr>
              <w:pStyle w:val="TableParagraph"/>
              <w:spacing w:before="102"/>
              <w:rPr>
                <w:b/>
                <w:sz w:val="22"/>
              </w:rPr>
            </w:pPr>
          </w:p>
          <w:p>
            <w:pPr>
              <w:pStyle w:val="TableParagraph"/>
              <w:spacing w:before="1"/>
              <w:ind w:left="21"/>
              <w:jc w:val="center"/>
              <w:rPr>
                <w:sz w:val="22"/>
              </w:rPr>
            </w:pPr>
            <w:r>
              <w:rPr>
                <w:spacing w:val="-5"/>
                <w:sz w:val="22"/>
              </w:rPr>
              <w:t>Nil</w:t>
            </w:r>
          </w:p>
          <w:p>
            <w:pPr>
              <w:pStyle w:val="TableParagraph"/>
              <w:rPr>
                <w:b/>
                <w:sz w:val="22"/>
              </w:rPr>
            </w:pPr>
          </w:p>
          <w:p>
            <w:pPr>
              <w:pStyle w:val="TableParagraph"/>
              <w:spacing w:before="166"/>
              <w:rPr>
                <w:b/>
                <w:sz w:val="22"/>
              </w:rPr>
            </w:pPr>
          </w:p>
          <w:p>
            <w:pPr>
              <w:pStyle w:val="TableParagraph"/>
              <w:ind w:left="252" w:right="227" w:hanging="6"/>
              <w:jc w:val="center"/>
              <w:rPr>
                <w:sz w:val="22"/>
              </w:rPr>
            </w:pPr>
            <w:r>
              <w:rPr>
                <w:spacing w:val="-4"/>
                <w:sz w:val="22"/>
              </w:rPr>
              <w:t>Wet </w:t>
            </w:r>
            <w:r>
              <w:rPr>
                <w:spacing w:val="-2"/>
                <w:sz w:val="22"/>
              </w:rPr>
              <w:t>riser- </w:t>
            </w:r>
            <w:r>
              <w:rPr>
                <w:spacing w:val="-4"/>
                <w:sz w:val="22"/>
              </w:rPr>
              <w:t>cum- down </w:t>
            </w:r>
            <w:r>
              <w:rPr>
                <w:spacing w:val="-2"/>
                <w:sz w:val="22"/>
              </w:rPr>
              <w:t>corner.</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36"/>
              <w:rPr>
                <w:b/>
                <w:sz w:val="22"/>
              </w:rPr>
            </w:pPr>
          </w:p>
          <w:p>
            <w:pPr>
              <w:pStyle w:val="TableParagraph"/>
              <w:ind w:left="286" w:right="263" w:hanging="4"/>
              <w:jc w:val="center"/>
              <w:rPr>
                <w:sz w:val="22"/>
              </w:rPr>
            </w:pPr>
            <w:r>
              <w:rPr>
                <w:spacing w:val="-4"/>
                <w:sz w:val="22"/>
              </w:rPr>
              <w:t>Wet </w:t>
            </w:r>
            <w:r>
              <w:rPr>
                <w:spacing w:val="-2"/>
                <w:sz w:val="22"/>
              </w:rPr>
              <w:t>riser- </w:t>
            </w:r>
            <w:r>
              <w:rPr>
                <w:spacing w:val="-4"/>
                <w:sz w:val="22"/>
              </w:rPr>
              <w:t>cum- down </w:t>
            </w:r>
            <w:r>
              <w:rPr>
                <w:spacing w:val="-2"/>
                <w:sz w:val="22"/>
              </w:rPr>
              <w:t>corner</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39"/>
              <w:rPr>
                <w:b/>
                <w:sz w:val="22"/>
              </w:rPr>
            </w:pPr>
          </w:p>
          <w:p>
            <w:pPr>
              <w:pStyle w:val="TableParagraph"/>
              <w:spacing w:line="260" w:lineRule="atLeast"/>
              <w:ind w:left="343" w:right="322" w:hanging="3"/>
              <w:jc w:val="center"/>
              <w:rPr>
                <w:sz w:val="22"/>
              </w:rPr>
            </w:pPr>
            <w:r>
              <w:rPr>
                <w:spacing w:val="-4"/>
                <w:sz w:val="22"/>
              </w:rPr>
              <w:t>Wet </w:t>
            </w:r>
            <w:r>
              <w:rPr>
                <w:spacing w:val="-2"/>
                <w:sz w:val="22"/>
              </w:rPr>
              <w:t>riser- </w:t>
            </w:r>
            <w:r>
              <w:rPr>
                <w:spacing w:val="-4"/>
                <w:sz w:val="22"/>
              </w:rPr>
              <w:t>cum-</w:t>
            </w:r>
          </w:p>
        </w:tc>
        <w:tc>
          <w:tcPr>
            <w:tcW w:w="1080" w:type="dxa"/>
          </w:tcPr>
          <w:p>
            <w:pPr>
              <w:pStyle w:val="TableParagraph"/>
              <w:spacing w:line="258" w:lineRule="exact" w:before="152"/>
              <w:ind w:left="110"/>
              <w:rPr>
                <w:sz w:val="22"/>
              </w:rPr>
            </w:pPr>
            <w:r>
              <w:rPr>
                <w:spacing w:val="-2"/>
                <w:sz w:val="22"/>
              </w:rPr>
              <w:t>50,000</w:t>
            </w:r>
          </w:p>
          <w:p>
            <w:pPr>
              <w:pStyle w:val="TableParagraph"/>
              <w:spacing w:line="258" w:lineRule="exact"/>
              <w:ind w:left="110"/>
              <w:rPr>
                <w:sz w:val="22"/>
              </w:rPr>
            </w:pPr>
            <w:r>
              <w:rPr>
                <w:spacing w:val="-2"/>
                <w:sz w:val="22"/>
              </w:rPr>
              <w:t>litres</w:t>
            </w:r>
          </w:p>
          <w:p>
            <w:pPr>
              <w:pStyle w:val="TableParagraph"/>
              <w:spacing w:before="102"/>
              <w:rPr>
                <w:b/>
                <w:sz w:val="22"/>
              </w:rPr>
            </w:pPr>
          </w:p>
          <w:p>
            <w:pPr>
              <w:pStyle w:val="TableParagraph"/>
              <w:spacing w:before="1"/>
              <w:ind w:left="129"/>
              <w:rPr>
                <w:sz w:val="22"/>
              </w:rPr>
            </w:pPr>
            <w:r>
              <w:rPr>
                <w:spacing w:val="-2"/>
                <w:sz w:val="22"/>
              </w:rPr>
              <w:t>1,00,00</w:t>
            </w:r>
          </w:p>
          <w:p>
            <w:pPr>
              <w:pStyle w:val="TableParagraph"/>
              <w:spacing w:before="1"/>
              <w:ind w:left="203"/>
              <w:rPr>
                <w:sz w:val="22"/>
              </w:rPr>
            </w:pPr>
            <w:r>
              <w:rPr>
                <w:spacing w:val="-2"/>
                <w:sz w:val="22"/>
              </w:rPr>
              <w:t>0litres</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98"/>
              <w:rPr>
                <w:b/>
                <w:sz w:val="22"/>
              </w:rPr>
            </w:pPr>
          </w:p>
          <w:p>
            <w:pPr>
              <w:pStyle w:val="TableParagraph"/>
              <w:ind w:left="129"/>
              <w:rPr>
                <w:sz w:val="22"/>
              </w:rPr>
            </w:pPr>
            <w:r>
              <w:rPr>
                <w:spacing w:val="-2"/>
                <w:sz w:val="22"/>
              </w:rPr>
              <w:t>1,00,00</w:t>
            </w:r>
          </w:p>
          <w:p>
            <w:pPr>
              <w:pStyle w:val="TableParagraph"/>
              <w:spacing w:before="1"/>
              <w:ind w:left="203"/>
              <w:rPr>
                <w:sz w:val="22"/>
              </w:rPr>
            </w:pPr>
            <w:r>
              <w:rPr>
                <w:spacing w:val="-2"/>
                <w:sz w:val="22"/>
              </w:rPr>
              <w:t>0litres</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64"/>
              <w:rPr>
                <w:b/>
                <w:sz w:val="22"/>
              </w:rPr>
            </w:pPr>
          </w:p>
          <w:p>
            <w:pPr>
              <w:pStyle w:val="TableParagraph"/>
              <w:spacing w:line="258" w:lineRule="exact"/>
              <w:ind w:left="129"/>
              <w:rPr>
                <w:sz w:val="22"/>
              </w:rPr>
            </w:pPr>
            <w:r>
              <w:rPr>
                <w:spacing w:val="-2"/>
                <w:sz w:val="22"/>
              </w:rPr>
              <w:t>1,50,00</w:t>
            </w:r>
          </w:p>
          <w:p>
            <w:pPr>
              <w:pStyle w:val="TableParagraph"/>
              <w:spacing w:line="258" w:lineRule="exact"/>
              <w:ind w:left="203"/>
              <w:rPr>
                <w:sz w:val="22"/>
              </w:rPr>
            </w:pPr>
            <w:r>
              <w:rPr>
                <w:spacing w:val="-2"/>
                <w:sz w:val="22"/>
              </w:rPr>
              <w:t>0litres</w:t>
            </w:r>
          </w:p>
        </w:tc>
        <w:tc>
          <w:tcPr>
            <w:tcW w:w="900" w:type="dxa"/>
          </w:tcPr>
          <w:p>
            <w:pPr>
              <w:pStyle w:val="TableParagraph"/>
              <w:spacing w:before="118"/>
              <w:ind w:left="110"/>
              <w:rPr>
                <w:sz w:val="22"/>
              </w:rPr>
            </w:pPr>
            <w:r>
              <w:rPr>
                <w:spacing w:val="-5"/>
                <w:sz w:val="22"/>
              </w:rPr>
              <w:t>Nil</w:t>
            </w:r>
          </w:p>
          <w:p>
            <w:pPr>
              <w:pStyle w:val="TableParagraph"/>
              <w:rPr>
                <w:b/>
                <w:sz w:val="22"/>
              </w:rPr>
            </w:pPr>
          </w:p>
          <w:p>
            <w:pPr>
              <w:pStyle w:val="TableParagraph"/>
              <w:spacing w:before="169"/>
              <w:rPr>
                <w:b/>
                <w:sz w:val="22"/>
              </w:rPr>
            </w:pPr>
          </w:p>
          <w:p>
            <w:pPr>
              <w:pStyle w:val="TableParagraph"/>
              <w:spacing w:line="258" w:lineRule="exact"/>
              <w:ind w:left="110"/>
              <w:rPr>
                <w:sz w:val="22"/>
              </w:rPr>
            </w:pPr>
            <w:r>
              <w:rPr>
                <w:spacing w:val="-2"/>
                <w:sz w:val="22"/>
              </w:rPr>
              <w:t>20,00</w:t>
            </w:r>
          </w:p>
          <w:p>
            <w:pPr>
              <w:pStyle w:val="TableParagraph"/>
              <w:spacing w:line="258" w:lineRule="exact"/>
              <w:ind w:left="110"/>
              <w:rPr>
                <w:sz w:val="22"/>
              </w:rPr>
            </w:pPr>
            <w:r>
              <w:rPr>
                <w:spacing w:val="-2"/>
                <w:sz w:val="22"/>
              </w:rPr>
              <w:t>0litres</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00"/>
              <w:rPr>
                <w:b/>
                <w:sz w:val="22"/>
              </w:rPr>
            </w:pPr>
          </w:p>
          <w:p>
            <w:pPr>
              <w:pStyle w:val="TableParagraph"/>
              <w:spacing w:line="258" w:lineRule="exact"/>
              <w:ind w:left="143"/>
              <w:rPr>
                <w:sz w:val="22"/>
              </w:rPr>
            </w:pPr>
            <w:r>
              <w:rPr>
                <w:spacing w:val="-2"/>
                <w:sz w:val="22"/>
              </w:rPr>
              <w:t>30,00</w:t>
            </w:r>
          </w:p>
          <w:p>
            <w:pPr>
              <w:pStyle w:val="TableParagraph"/>
              <w:spacing w:line="258" w:lineRule="exact"/>
              <w:ind w:left="112"/>
              <w:rPr>
                <w:sz w:val="22"/>
              </w:rPr>
            </w:pPr>
            <w:r>
              <w:rPr>
                <w:spacing w:val="-2"/>
                <w:sz w:val="22"/>
              </w:rPr>
              <w:t>0litres</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64"/>
              <w:rPr>
                <w:b/>
                <w:sz w:val="22"/>
              </w:rPr>
            </w:pPr>
          </w:p>
          <w:p>
            <w:pPr>
              <w:pStyle w:val="TableParagraph"/>
              <w:spacing w:line="258" w:lineRule="exact"/>
              <w:ind w:left="143"/>
              <w:rPr>
                <w:sz w:val="22"/>
              </w:rPr>
            </w:pPr>
            <w:r>
              <w:rPr>
                <w:spacing w:val="-2"/>
                <w:sz w:val="22"/>
              </w:rPr>
              <w:t>30,00</w:t>
            </w:r>
          </w:p>
          <w:p>
            <w:pPr>
              <w:pStyle w:val="TableParagraph"/>
              <w:spacing w:line="258" w:lineRule="exact"/>
              <w:ind w:left="182"/>
              <w:rPr>
                <w:sz w:val="22"/>
              </w:rPr>
            </w:pPr>
            <w:r>
              <w:rPr>
                <w:spacing w:val="-2"/>
                <w:sz w:val="22"/>
              </w:rPr>
              <w:t>litres</w:t>
            </w:r>
          </w:p>
        </w:tc>
        <w:tc>
          <w:tcPr>
            <w:tcW w:w="1531"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97"/>
              <w:rPr>
                <w:b/>
                <w:sz w:val="22"/>
              </w:rPr>
            </w:pPr>
          </w:p>
          <w:p>
            <w:pPr>
              <w:pStyle w:val="TableParagraph"/>
              <w:ind w:left="110"/>
              <w:rPr>
                <w:sz w:val="22"/>
              </w:rPr>
            </w:pPr>
            <w:r>
              <w:rPr>
                <w:spacing w:val="-5"/>
                <w:sz w:val="22"/>
              </w:rPr>
              <w:t>Nil</w:t>
            </w:r>
          </w:p>
          <w:p>
            <w:pPr>
              <w:pStyle w:val="TableParagraph"/>
              <w:spacing w:before="103"/>
              <w:rPr>
                <w:b/>
                <w:sz w:val="22"/>
              </w:rPr>
            </w:pPr>
          </w:p>
          <w:p>
            <w:pPr>
              <w:pStyle w:val="TableParagraph"/>
              <w:ind w:left="110" w:right="117"/>
              <w:rPr>
                <w:sz w:val="22"/>
              </w:rPr>
            </w:pPr>
            <w:r>
              <w:rPr>
                <w:sz w:val="22"/>
              </w:rPr>
              <w:t>1400 litres per minute giving a </w:t>
            </w:r>
            <w:r>
              <w:rPr>
                <w:spacing w:val="-2"/>
                <w:sz w:val="22"/>
              </w:rPr>
              <w:t>pressure </w:t>
            </w:r>
            <w:r>
              <w:rPr>
                <w:sz w:val="22"/>
              </w:rPr>
              <w:t>not less than 3.2 kg/cm2 at the</w:t>
            </w:r>
            <w:r>
              <w:rPr>
                <w:spacing w:val="-18"/>
                <w:sz w:val="22"/>
              </w:rPr>
              <w:t> </w:t>
            </w:r>
            <w:r>
              <w:rPr>
                <w:sz w:val="22"/>
              </w:rPr>
              <w:t>topmost </w:t>
            </w:r>
            <w:r>
              <w:rPr>
                <w:spacing w:val="-2"/>
                <w:sz w:val="22"/>
              </w:rPr>
              <w:t>hydrant</w:t>
            </w:r>
          </w:p>
          <w:p>
            <w:pPr>
              <w:pStyle w:val="TableParagraph"/>
              <w:spacing w:before="40"/>
              <w:ind w:left="122" w:right="105" w:firstLine="2"/>
              <w:jc w:val="center"/>
              <w:rPr>
                <w:sz w:val="22"/>
              </w:rPr>
            </w:pPr>
            <w:r>
              <w:rPr>
                <w:sz w:val="22"/>
              </w:rPr>
              <w:t>2400 litres per minute giving a </w:t>
            </w:r>
            <w:r>
              <w:rPr>
                <w:spacing w:val="-2"/>
                <w:sz w:val="22"/>
              </w:rPr>
              <w:t>pressure </w:t>
            </w:r>
            <w:r>
              <w:rPr>
                <w:sz w:val="22"/>
              </w:rPr>
              <w:t>not less than 3.2 kg/cm2 at the</w:t>
            </w:r>
            <w:r>
              <w:rPr>
                <w:spacing w:val="-18"/>
                <w:sz w:val="22"/>
              </w:rPr>
              <w:t> </w:t>
            </w:r>
            <w:r>
              <w:rPr>
                <w:sz w:val="22"/>
              </w:rPr>
              <w:t>topmost </w:t>
            </w:r>
            <w:r>
              <w:rPr>
                <w:spacing w:val="-2"/>
                <w:sz w:val="22"/>
              </w:rPr>
              <w:t>hydrant.</w:t>
            </w:r>
          </w:p>
          <w:p>
            <w:pPr>
              <w:pStyle w:val="TableParagraph"/>
              <w:rPr>
                <w:b/>
                <w:sz w:val="22"/>
              </w:rPr>
            </w:pPr>
          </w:p>
          <w:p>
            <w:pPr>
              <w:pStyle w:val="TableParagraph"/>
              <w:spacing w:before="167"/>
              <w:rPr>
                <w:b/>
                <w:sz w:val="22"/>
              </w:rPr>
            </w:pPr>
          </w:p>
          <w:p>
            <w:pPr>
              <w:pStyle w:val="TableParagraph"/>
              <w:ind w:left="172" w:right="156" w:firstLine="3"/>
              <w:jc w:val="center"/>
              <w:rPr>
                <w:sz w:val="22"/>
              </w:rPr>
            </w:pPr>
            <w:r>
              <w:rPr>
                <w:sz w:val="22"/>
              </w:rPr>
              <w:t>2400</w:t>
            </w:r>
            <w:r>
              <w:rPr>
                <w:spacing w:val="-13"/>
                <w:sz w:val="22"/>
              </w:rPr>
              <w:t> </w:t>
            </w:r>
            <w:r>
              <w:rPr>
                <w:sz w:val="22"/>
              </w:rPr>
              <w:t>litres per</w:t>
            </w:r>
            <w:r>
              <w:rPr>
                <w:spacing w:val="-2"/>
                <w:sz w:val="22"/>
              </w:rPr>
              <w:t> </w:t>
            </w:r>
            <w:r>
              <w:rPr>
                <w:spacing w:val="-2"/>
                <w:sz w:val="22"/>
              </w:rPr>
              <w:t>minute</w:t>
            </w:r>
          </w:p>
        </w:tc>
        <w:tc>
          <w:tcPr>
            <w:tcW w:w="1769"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31"/>
              <w:rPr>
                <w:b/>
                <w:sz w:val="22"/>
              </w:rPr>
            </w:pPr>
          </w:p>
          <w:p>
            <w:pPr>
              <w:pStyle w:val="TableParagraph"/>
              <w:ind w:left="17"/>
              <w:jc w:val="center"/>
              <w:rPr>
                <w:sz w:val="22"/>
              </w:rPr>
            </w:pPr>
            <w:r>
              <w:rPr>
                <w:spacing w:val="-5"/>
                <w:sz w:val="22"/>
              </w:rPr>
              <w:t>Nil</w:t>
            </w:r>
          </w:p>
          <w:p>
            <w:pPr>
              <w:pStyle w:val="TableParagraph"/>
              <w:spacing w:before="102"/>
              <w:rPr>
                <w:b/>
                <w:sz w:val="22"/>
              </w:rPr>
            </w:pPr>
          </w:p>
          <w:p>
            <w:pPr>
              <w:pStyle w:val="TableParagraph"/>
              <w:ind w:left="149" w:right="136" w:firstLine="3"/>
              <w:jc w:val="center"/>
              <w:rPr>
                <w:sz w:val="22"/>
              </w:rPr>
            </w:pPr>
            <w:r>
              <w:rPr>
                <w:sz w:val="22"/>
              </w:rPr>
              <w:t>900</w:t>
            </w:r>
            <w:r>
              <w:rPr>
                <w:spacing w:val="-7"/>
                <w:sz w:val="22"/>
              </w:rPr>
              <w:t> </w:t>
            </w:r>
            <w:r>
              <w:rPr>
                <w:sz w:val="22"/>
              </w:rPr>
              <w:t>litres</w:t>
            </w:r>
            <w:r>
              <w:rPr>
                <w:spacing w:val="-7"/>
                <w:sz w:val="22"/>
              </w:rPr>
              <w:t> </w:t>
            </w:r>
            <w:r>
              <w:rPr>
                <w:sz w:val="22"/>
              </w:rPr>
              <w:t>per minute</w:t>
            </w:r>
            <w:r>
              <w:rPr>
                <w:spacing w:val="-18"/>
                <w:sz w:val="22"/>
              </w:rPr>
              <w:t> </w:t>
            </w:r>
            <w:r>
              <w:rPr>
                <w:sz w:val="22"/>
              </w:rPr>
              <w:t>giving a pressure not less than</w:t>
            </w:r>
          </w:p>
          <w:p>
            <w:pPr>
              <w:pStyle w:val="TableParagraph"/>
              <w:spacing w:before="2"/>
              <w:ind w:left="422" w:right="35" w:hanging="310"/>
              <w:rPr>
                <w:sz w:val="22"/>
              </w:rPr>
            </w:pPr>
            <w:r>
              <w:rPr>
                <w:sz w:val="22"/>
              </w:rPr>
              <w:t>3.2</w:t>
            </w:r>
            <w:r>
              <w:rPr>
                <w:spacing w:val="-18"/>
                <w:sz w:val="22"/>
              </w:rPr>
              <w:t> </w:t>
            </w:r>
            <w:r>
              <w:rPr>
                <w:sz w:val="22"/>
              </w:rPr>
              <w:t>kg/cm2</w:t>
            </w:r>
            <w:r>
              <w:rPr>
                <w:spacing w:val="-18"/>
                <w:sz w:val="22"/>
              </w:rPr>
              <w:t> </w:t>
            </w:r>
            <w:r>
              <w:rPr>
                <w:sz w:val="22"/>
              </w:rPr>
              <w:t>a</w:t>
            </w:r>
            <w:r>
              <w:rPr>
                <w:sz w:val="22"/>
              </w:rPr>
              <w:t>t the top </w:t>
            </w:r>
            <w:r>
              <w:rPr>
                <w:spacing w:val="-2"/>
                <w:sz w:val="22"/>
              </w:rPr>
              <w:t>hydrant.</w:t>
            </w:r>
          </w:p>
          <w:p>
            <w:pPr>
              <w:pStyle w:val="TableParagraph"/>
              <w:rPr>
                <w:b/>
                <w:sz w:val="22"/>
              </w:rPr>
            </w:pPr>
          </w:p>
          <w:p>
            <w:pPr>
              <w:pStyle w:val="TableParagraph"/>
              <w:spacing w:before="166"/>
              <w:rPr>
                <w:b/>
                <w:sz w:val="22"/>
              </w:rPr>
            </w:pPr>
          </w:p>
          <w:p>
            <w:pPr>
              <w:pStyle w:val="TableParagraph"/>
              <w:ind w:left="149" w:right="136" w:firstLine="3"/>
              <w:jc w:val="center"/>
              <w:rPr>
                <w:sz w:val="22"/>
              </w:rPr>
            </w:pPr>
            <w:r>
              <w:rPr>
                <w:sz w:val="22"/>
              </w:rPr>
              <w:t>900</w:t>
            </w:r>
            <w:r>
              <w:rPr>
                <w:spacing w:val="-7"/>
                <w:sz w:val="22"/>
              </w:rPr>
              <w:t> </w:t>
            </w:r>
            <w:r>
              <w:rPr>
                <w:sz w:val="22"/>
              </w:rPr>
              <w:t>litres</w:t>
            </w:r>
            <w:r>
              <w:rPr>
                <w:spacing w:val="-6"/>
                <w:sz w:val="22"/>
              </w:rPr>
              <w:t> </w:t>
            </w:r>
            <w:r>
              <w:rPr>
                <w:sz w:val="22"/>
              </w:rPr>
              <w:t>per minute</w:t>
            </w:r>
            <w:r>
              <w:rPr>
                <w:spacing w:val="-18"/>
                <w:sz w:val="22"/>
              </w:rPr>
              <w:t> </w:t>
            </w:r>
            <w:r>
              <w:rPr>
                <w:sz w:val="22"/>
              </w:rPr>
              <w:t>giving a pressure not less than</w:t>
            </w:r>
          </w:p>
          <w:p>
            <w:pPr>
              <w:pStyle w:val="TableParagraph"/>
              <w:spacing w:before="2"/>
              <w:ind w:left="422" w:right="35" w:hanging="310"/>
              <w:rPr>
                <w:sz w:val="22"/>
              </w:rPr>
            </w:pPr>
            <w:r>
              <w:rPr>
                <w:sz w:val="22"/>
              </w:rPr>
              <w:t>3.2</w:t>
            </w:r>
            <w:r>
              <w:rPr>
                <w:spacing w:val="-18"/>
                <w:sz w:val="22"/>
              </w:rPr>
              <w:t> </w:t>
            </w:r>
            <w:r>
              <w:rPr>
                <w:sz w:val="22"/>
              </w:rPr>
              <w:t>kg/cm2</w:t>
            </w:r>
            <w:r>
              <w:rPr>
                <w:spacing w:val="-18"/>
                <w:sz w:val="22"/>
              </w:rPr>
              <w:t> </w:t>
            </w:r>
            <w:r>
              <w:rPr>
                <w:sz w:val="22"/>
              </w:rPr>
              <w:t>a</w:t>
            </w:r>
            <w:r>
              <w:rPr>
                <w:sz w:val="22"/>
              </w:rPr>
              <w:t>t the top </w:t>
            </w:r>
            <w:r>
              <w:rPr>
                <w:spacing w:val="-2"/>
                <w:sz w:val="22"/>
              </w:rPr>
              <w:t>hydrant.</w:t>
            </w:r>
          </w:p>
          <w:p>
            <w:pPr>
              <w:pStyle w:val="TableParagraph"/>
              <w:rPr>
                <w:b/>
                <w:sz w:val="22"/>
              </w:rPr>
            </w:pPr>
          </w:p>
          <w:p>
            <w:pPr>
              <w:pStyle w:val="TableParagraph"/>
              <w:rPr>
                <w:b/>
                <w:sz w:val="22"/>
              </w:rPr>
            </w:pPr>
          </w:p>
          <w:p>
            <w:pPr>
              <w:pStyle w:val="TableParagraph"/>
              <w:spacing w:before="228"/>
              <w:rPr>
                <w:b/>
                <w:sz w:val="22"/>
              </w:rPr>
            </w:pPr>
          </w:p>
          <w:p>
            <w:pPr>
              <w:pStyle w:val="TableParagraph"/>
              <w:ind w:left="149" w:right="136" w:firstLine="3"/>
              <w:jc w:val="center"/>
              <w:rPr>
                <w:sz w:val="22"/>
              </w:rPr>
            </w:pPr>
            <w:r>
              <w:rPr>
                <w:sz w:val="22"/>
              </w:rPr>
              <w:t>900</w:t>
            </w:r>
            <w:r>
              <w:rPr>
                <w:spacing w:val="-7"/>
                <w:sz w:val="22"/>
              </w:rPr>
              <w:t> </w:t>
            </w:r>
            <w:r>
              <w:rPr>
                <w:sz w:val="22"/>
              </w:rPr>
              <w:t>litres</w:t>
            </w:r>
            <w:r>
              <w:rPr>
                <w:spacing w:val="-6"/>
                <w:sz w:val="22"/>
              </w:rPr>
              <w:t> </w:t>
            </w:r>
            <w:r>
              <w:rPr>
                <w:sz w:val="22"/>
              </w:rPr>
              <w:t>per minute</w:t>
            </w:r>
            <w:r>
              <w:rPr>
                <w:spacing w:val="-6"/>
                <w:sz w:val="22"/>
              </w:rPr>
              <w:t> </w:t>
            </w:r>
            <w:r>
              <w:rPr>
                <w:spacing w:val="-2"/>
                <w:sz w:val="22"/>
              </w:rPr>
              <w:t>givin</w:t>
            </w:r>
            <w:r>
              <w:rPr>
                <w:spacing w:val="-2"/>
                <w:sz w:val="22"/>
              </w:rPr>
              <w:t>g</w:t>
            </w:r>
          </w:p>
        </w:tc>
      </w:tr>
    </w:tbl>
    <w:p>
      <w:pPr>
        <w:pStyle w:val="TableParagraph"/>
        <w:spacing w:after="0"/>
        <w:jc w:val="center"/>
        <w:rPr>
          <w:sz w:val="22"/>
        </w:rPr>
        <w:sectPr>
          <w:pgSz w:w="11910" w:h="16850"/>
          <w:pgMar w:header="1024" w:footer="1302" w:top="1480" w:bottom="1500" w:left="360" w:right="360"/>
        </w:sectPr>
      </w:pPr>
    </w:p>
    <w:p>
      <w:pPr>
        <w:pStyle w:val="BodyText"/>
        <w:spacing w:before="41"/>
        <w:jc w:val="left"/>
        <w:rPr>
          <w:b/>
          <w:sz w:val="20"/>
        </w:rPr>
      </w:pPr>
    </w:p>
    <w:tbl>
      <w:tblPr>
        <w:tblW w:w="0" w:type="auto"/>
        <w:jc w:val="left"/>
        <w:tblInd w:w="9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40"/>
        <w:gridCol w:w="1800"/>
        <w:gridCol w:w="1261"/>
        <w:gridCol w:w="1080"/>
        <w:gridCol w:w="900"/>
        <w:gridCol w:w="1531"/>
        <w:gridCol w:w="1769"/>
      </w:tblGrid>
      <w:tr>
        <w:trPr>
          <w:trHeight w:val="4536" w:hRule="atLeast"/>
        </w:trPr>
        <w:tc>
          <w:tcPr>
            <w:tcW w:w="540" w:type="dxa"/>
          </w:tcPr>
          <w:p>
            <w:pPr>
              <w:pStyle w:val="TableParagraph"/>
              <w:rPr>
                <w:rFonts w:ascii="Times New Roman"/>
                <w:sz w:val="22"/>
              </w:rPr>
            </w:pPr>
          </w:p>
        </w:tc>
        <w:tc>
          <w:tcPr>
            <w:tcW w:w="1800" w:type="dxa"/>
          </w:tcPr>
          <w:p>
            <w:pPr>
              <w:pStyle w:val="TableParagraph"/>
              <w:spacing w:line="257" w:lineRule="exact"/>
              <w:ind w:left="206"/>
              <w:jc w:val="both"/>
              <w:rPr>
                <w:sz w:val="22"/>
              </w:rPr>
            </w:pPr>
            <w:r>
              <w:rPr>
                <w:sz w:val="22"/>
              </w:rPr>
              <w:t>exceeding</w:t>
            </w:r>
            <w:r>
              <w:rPr>
                <w:spacing w:val="-8"/>
                <w:sz w:val="22"/>
              </w:rPr>
              <w:t> </w:t>
            </w:r>
            <w:r>
              <w:rPr>
                <w:spacing w:val="-5"/>
                <w:sz w:val="22"/>
              </w:rPr>
              <w:t>70</w:t>
            </w:r>
          </w:p>
          <w:p>
            <w:pPr>
              <w:pStyle w:val="TableParagraph"/>
              <w:spacing w:before="1"/>
              <w:ind w:left="218" w:right="197" w:firstLine="2"/>
              <w:jc w:val="both"/>
              <w:rPr>
                <w:sz w:val="22"/>
              </w:rPr>
            </w:pPr>
            <w:r>
              <w:rPr>
                <w:sz w:val="22"/>
              </w:rPr>
              <w:t>m.</w:t>
            </w:r>
            <w:r>
              <w:rPr>
                <w:spacing w:val="-11"/>
                <w:sz w:val="22"/>
              </w:rPr>
              <w:t> </w:t>
            </w:r>
            <w:r>
              <w:rPr>
                <w:sz w:val="22"/>
              </w:rPr>
              <w:t>(If</w:t>
            </w:r>
            <w:r>
              <w:rPr>
                <w:spacing w:val="-11"/>
                <w:sz w:val="22"/>
              </w:rPr>
              <w:t> </w:t>
            </w:r>
            <w:r>
              <w:rPr>
                <w:sz w:val="22"/>
              </w:rPr>
              <w:t>area</w:t>
            </w:r>
            <w:r>
              <w:rPr>
                <w:spacing w:val="-11"/>
                <w:sz w:val="22"/>
              </w:rPr>
              <w:t> </w:t>
            </w:r>
            <w:r>
              <w:rPr>
                <w:sz w:val="22"/>
              </w:rPr>
              <w:t>of plot is more than</w:t>
            </w:r>
            <w:r>
              <w:rPr>
                <w:spacing w:val="-4"/>
                <w:sz w:val="22"/>
              </w:rPr>
              <w:t> </w:t>
            </w:r>
            <w:r>
              <w:rPr>
                <w:sz w:val="22"/>
              </w:rPr>
              <w:t>600</w:t>
            </w:r>
            <w:r>
              <w:rPr>
                <w:spacing w:val="-3"/>
                <w:sz w:val="22"/>
              </w:rPr>
              <w:t> </w:t>
            </w:r>
            <w:r>
              <w:rPr>
                <w:spacing w:val="-5"/>
                <w:sz w:val="22"/>
              </w:rPr>
              <w:t>sq.</w:t>
            </w:r>
          </w:p>
          <w:p>
            <w:pPr>
              <w:pStyle w:val="TableParagraph"/>
              <w:ind w:left="107" w:right="86"/>
              <w:jc w:val="center"/>
              <w:rPr>
                <w:sz w:val="22"/>
              </w:rPr>
            </w:pPr>
            <w:r>
              <w:rPr>
                <w:spacing w:val="-10"/>
                <w:sz w:val="22"/>
              </w:rPr>
              <w:t>m</w:t>
            </w:r>
          </w:p>
          <w:p>
            <w:pPr>
              <w:pStyle w:val="TableParagraph"/>
              <w:rPr>
                <w:b/>
                <w:sz w:val="22"/>
              </w:rPr>
            </w:pPr>
          </w:p>
          <w:p>
            <w:pPr>
              <w:pStyle w:val="TableParagraph"/>
              <w:spacing w:before="166"/>
              <w:rPr>
                <w:b/>
                <w:sz w:val="22"/>
              </w:rPr>
            </w:pPr>
          </w:p>
          <w:p>
            <w:pPr>
              <w:pStyle w:val="TableParagraph"/>
              <w:ind w:left="422" w:hanging="310"/>
              <w:rPr>
                <w:sz w:val="22"/>
              </w:rPr>
            </w:pPr>
            <w:r>
              <w:rPr>
                <w:sz w:val="22"/>
              </w:rPr>
              <w:t>e)</w:t>
            </w:r>
            <w:r>
              <w:rPr>
                <w:spacing w:val="-13"/>
                <w:sz w:val="22"/>
              </w:rPr>
              <w:t> </w:t>
            </w:r>
            <w:r>
              <w:rPr>
                <w:sz w:val="22"/>
              </w:rPr>
              <w:t>Above</w:t>
            </w:r>
            <w:r>
              <w:rPr>
                <w:spacing w:val="-12"/>
                <w:sz w:val="22"/>
              </w:rPr>
              <w:t> </w:t>
            </w:r>
            <w:r>
              <w:rPr>
                <w:sz w:val="22"/>
              </w:rPr>
              <w:t>70</w:t>
            </w:r>
            <w:r>
              <w:rPr>
                <w:spacing w:val="-14"/>
                <w:sz w:val="22"/>
              </w:rPr>
              <w:t> </w:t>
            </w:r>
            <w:r>
              <w:rPr>
                <w:sz w:val="22"/>
              </w:rPr>
              <w:t>m</w:t>
            </w:r>
            <w:r>
              <w:rPr>
                <w:sz w:val="22"/>
              </w:rPr>
              <w:t>. in height</w:t>
            </w:r>
          </w:p>
          <w:p>
            <w:pPr>
              <w:pStyle w:val="TableParagraph"/>
              <w:ind w:left="170" w:right="149" w:hanging="1"/>
              <w:jc w:val="center"/>
              <w:rPr>
                <w:sz w:val="22"/>
              </w:rPr>
            </w:pPr>
            <w:r>
              <w:rPr>
                <w:sz w:val="22"/>
              </w:rPr>
              <w:t>buildings. (If area</w:t>
            </w:r>
            <w:r>
              <w:rPr>
                <w:spacing w:val="-12"/>
                <w:sz w:val="22"/>
              </w:rPr>
              <w:t> </w:t>
            </w:r>
            <w:r>
              <w:rPr>
                <w:sz w:val="22"/>
              </w:rPr>
              <w:t>of</w:t>
            </w:r>
            <w:r>
              <w:rPr>
                <w:spacing w:val="-12"/>
                <w:sz w:val="22"/>
              </w:rPr>
              <w:t> </w:t>
            </w:r>
            <w:r>
              <w:rPr>
                <w:sz w:val="22"/>
              </w:rPr>
              <w:t>plot</w:t>
            </w:r>
            <w:r>
              <w:rPr>
                <w:spacing w:val="-12"/>
                <w:sz w:val="22"/>
              </w:rPr>
              <w:t> </w:t>
            </w:r>
            <w:r>
              <w:rPr>
                <w:sz w:val="22"/>
              </w:rPr>
              <w:t>is more than 600 sq. m)</w:t>
            </w:r>
          </w:p>
        </w:tc>
        <w:tc>
          <w:tcPr>
            <w:tcW w:w="1261" w:type="dxa"/>
          </w:tcPr>
          <w:p>
            <w:pPr>
              <w:pStyle w:val="TableParagraph"/>
              <w:ind w:left="252" w:right="226" w:firstLine="91"/>
              <w:rPr>
                <w:sz w:val="22"/>
              </w:rPr>
            </w:pPr>
            <w:r>
              <w:rPr>
                <w:spacing w:val="-4"/>
                <w:sz w:val="22"/>
              </w:rPr>
              <w:t>down </w:t>
            </w:r>
            <w:r>
              <w:rPr>
                <w:spacing w:val="-2"/>
                <w:sz w:val="22"/>
              </w:rPr>
              <w:t>corner.</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34"/>
              <w:rPr>
                <w:b/>
                <w:sz w:val="22"/>
              </w:rPr>
            </w:pPr>
          </w:p>
          <w:p>
            <w:pPr>
              <w:pStyle w:val="TableParagraph"/>
              <w:ind w:left="110" w:right="369"/>
              <w:rPr>
                <w:sz w:val="22"/>
              </w:rPr>
            </w:pPr>
            <w:r>
              <w:rPr>
                <w:spacing w:val="-4"/>
                <w:sz w:val="22"/>
              </w:rPr>
              <w:t>Wet </w:t>
            </w:r>
            <w:r>
              <w:rPr>
                <w:spacing w:val="-2"/>
                <w:sz w:val="22"/>
              </w:rPr>
              <w:t>riser- </w:t>
            </w:r>
            <w:r>
              <w:rPr>
                <w:spacing w:val="-4"/>
                <w:sz w:val="22"/>
              </w:rPr>
              <w:t>cum- down </w:t>
            </w:r>
            <w:r>
              <w:rPr>
                <w:spacing w:val="-2"/>
                <w:sz w:val="22"/>
              </w:rPr>
              <w:t>corner.</w:t>
            </w:r>
          </w:p>
        </w:tc>
        <w:tc>
          <w:tcPr>
            <w:tcW w:w="1080" w:type="dxa"/>
          </w:tcPr>
          <w:p>
            <w:pPr>
              <w:pStyle w:val="TableParagraph"/>
              <w:spacing w:line="257" w:lineRule="exact"/>
              <w:ind w:left="129"/>
              <w:rPr>
                <w:sz w:val="22"/>
              </w:rPr>
            </w:pPr>
            <w:r>
              <w:rPr>
                <w:spacing w:val="-2"/>
                <w:sz w:val="22"/>
              </w:rPr>
              <w:t>3,00,00</w:t>
            </w:r>
          </w:p>
          <w:p>
            <w:pPr>
              <w:pStyle w:val="TableParagraph"/>
              <w:spacing w:before="1"/>
              <w:ind w:left="167"/>
              <w:rPr>
                <w:sz w:val="22"/>
              </w:rPr>
            </w:pPr>
            <w:r>
              <w:rPr>
                <w:spacing w:val="-2"/>
                <w:sz w:val="22"/>
              </w:rPr>
              <w:t>0litres.</w:t>
            </w:r>
          </w:p>
        </w:tc>
        <w:tc>
          <w:tcPr>
            <w:tcW w:w="900" w:type="dxa"/>
          </w:tcPr>
          <w:p>
            <w:pPr>
              <w:pStyle w:val="TableParagraph"/>
              <w:spacing w:line="257" w:lineRule="exact"/>
              <w:ind w:left="99" w:right="80"/>
              <w:jc w:val="center"/>
              <w:rPr>
                <w:sz w:val="22"/>
              </w:rPr>
            </w:pPr>
            <w:r>
              <w:rPr>
                <w:spacing w:val="-2"/>
                <w:sz w:val="22"/>
              </w:rPr>
              <w:t>50,00</w:t>
            </w:r>
          </w:p>
          <w:p>
            <w:pPr>
              <w:pStyle w:val="TableParagraph"/>
              <w:spacing w:before="1"/>
              <w:ind w:left="99" w:right="79"/>
              <w:jc w:val="center"/>
              <w:rPr>
                <w:sz w:val="22"/>
              </w:rPr>
            </w:pPr>
            <w:r>
              <w:rPr>
                <w:spacing w:val="-10"/>
                <w:sz w:val="22"/>
              </w:rPr>
              <w:t>0</w:t>
            </w:r>
          </w:p>
          <w:p>
            <w:pPr>
              <w:pStyle w:val="TableParagraph"/>
              <w:spacing w:before="1"/>
              <w:ind w:left="100" w:right="79"/>
              <w:jc w:val="center"/>
              <w:rPr>
                <w:sz w:val="22"/>
              </w:rPr>
            </w:pPr>
            <w:r>
              <w:rPr>
                <w:spacing w:val="-2"/>
                <w:sz w:val="22"/>
              </w:rPr>
              <w:t>litres</w:t>
            </w:r>
          </w:p>
        </w:tc>
        <w:tc>
          <w:tcPr>
            <w:tcW w:w="1531" w:type="dxa"/>
          </w:tcPr>
          <w:p>
            <w:pPr>
              <w:pStyle w:val="TableParagraph"/>
              <w:ind w:left="122" w:right="105" w:firstLine="2"/>
              <w:jc w:val="center"/>
              <w:rPr>
                <w:sz w:val="22"/>
              </w:rPr>
            </w:pPr>
            <w:r>
              <w:rPr>
                <w:sz w:val="22"/>
              </w:rPr>
              <w:t>giving a </w:t>
            </w:r>
            <w:r>
              <w:rPr>
                <w:spacing w:val="-2"/>
                <w:sz w:val="22"/>
              </w:rPr>
              <w:t>pressure </w:t>
            </w:r>
            <w:r>
              <w:rPr>
                <w:sz w:val="22"/>
              </w:rPr>
              <w:t>not less than 3.2 kg/cm2 at the</w:t>
            </w:r>
            <w:r>
              <w:rPr>
                <w:spacing w:val="-18"/>
                <w:sz w:val="22"/>
              </w:rPr>
              <w:t> </w:t>
            </w:r>
            <w:r>
              <w:rPr>
                <w:sz w:val="22"/>
              </w:rPr>
              <w:t>topmost </w:t>
            </w:r>
            <w:r>
              <w:rPr>
                <w:spacing w:val="-2"/>
                <w:sz w:val="22"/>
              </w:rPr>
              <w:t>hydrant.</w:t>
            </w:r>
          </w:p>
          <w:p>
            <w:pPr>
              <w:pStyle w:val="TableParagraph"/>
              <w:spacing w:before="102"/>
              <w:rPr>
                <w:b/>
                <w:sz w:val="22"/>
              </w:rPr>
            </w:pPr>
          </w:p>
          <w:p>
            <w:pPr>
              <w:pStyle w:val="TableParagraph"/>
              <w:ind w:left="110" w:right="117"/>
              <w:rPr>
                <w:sz w:val="22"/>
              </w:rPr>
            </w:pPr>
            <w:r>
              <w:rPr>
                <w:sz w:val="22"/>
              </w:rPr>
              <w:t>2800 litres per minute giving a </w:t>
            </w:r>
            <w:r>
              <w:rPr>
                <w:spacing w:val="-2"/>
                <w:sz w:val="22"/>
              </w:rPr>
              <w:t>pressure </w:t>
            </w:r>
            <w:r>
              <w:rPr>
                <w:sz w:val="22"/>
              </w:rPr>
              <w:t>not less than 3.2 kg/cm2 at the</w:t>
            </w:r>
            <w:r>
              <w:rPr>
                <w:spacing w:val="-18"/>
                <w:sz w:val="22"/>
              </w:rPr>
              <w:t> </w:t>
            </w:r>
            <w:r>
              <w:rPr>
                <w:sz w:val="22"/>
              </w:rPr>
              <w:t>topmost </w:t>
            </w:r>
            <w:r>
              <w:rPr>
                <w:spacing w:val="-2"/>
                <w:sz w:val="22"/>
              </w:rPr>
              <w:t>hydrant.</w:t>
            </w:r>
          </w:p>
        </w:tc>
        <w:tc>
          <w:tcPr>
            <w:tcW w:w="1769" w:type="dxa"/>
          </w:tcPr>
          <w:p>
            <w:pPr>
              <w:pStyle w:val="TableParagraph"/>
              <w:ind w:left="180" w:right="1" w:firstLine="134"/>
              <w:rPr>
                <w:sz w:val="22"/>
              </w:rPr>
            </w:pPr>
            <w:r>
              <w:rPr>
                <w:sz w:val="22"/>
              </w:rPr>
              <w:t>a pressure not</w:t>
            </w:r>
            <w:r>
              <w:rPr>
                <w:spacing w:val="-18"/>
                <w:sz w:val="22"/>
              </w:rPr>
              <w:t> </w:t>
            </w:r>
            <w:r>
              <w:rPr>
                <w:sz w:val="22"/>
              </w:rPr>
              <w:t>less</w:t>
            </w:r>
            <w:r>
              <w:rPr>
                <w:spacing w:val="-18"/>
                <w:sz w:val="22"/>
              </w:rPr>
              <w:t> </w:t>
            </w:r>
            <w:r>
              <w:rPr>
                <w:sz w:val="22"/>
              </w:rPr>
              <w:t>than</w:t>
            </w:r>
          </w:p>
          <w:p>
            <w:pPr>
              <w:pStyle w:val="TableParagraph"/>
              <w:ind w:left="422" w:right="35" w:hanging="310"/>
              <w:rPr>
                <w:sz w:val="22"/>
              </w:rPr>
            </w:pPr>
            <w:r>
              <w:rPr>
                <w:sz w:val="22"/>
              </w:rPr>
              <w:t>3.2</w:t>
            </w:r>
            <w:r>
              <w:rPr>
                <w:spacing w:val="-18"/>
                <w:sz w:val="22"/>
              </w:rPr>
              <w:t> </w:t>
            </w:r>
            <w:r>
              <w:rPr>
                <w:sz w:val="22"/>
              </w:rPr>
              <w:t>kg/cm2</w:t>
            </w:r>
            <w:r>
              <w:rPr>
                <w:spacing w:val="-18"/>
                <w:sz w:val="22"/>
              </w:rPr>
              <w:t> </w:t>
            </w:r>
            <w:r>
              <w:rPr>
                <w:sz w:val="22"/>
              </w:rPr>
              <w:t>a</w:t>
            </w:r>
            <w:r>
              <w:rPr>
                <w:sz w:val="22"/>
              </w:rPr>
              <w:t>t the top </w:t>
            </w:r>
            <w:r>
              <w:rPr>
                <w:spacing w:val="-2"/>
                <w:sz w:val="22"/>
              </w:rPr>
              <w:t>hydrant.</w:t>
            </w:r>
          </w:p>
          <w:p>
            <w:pPr>
              <w:pStyle w:val="TableParagraph"/>
              <w:rPr>
                <w:b/>
                <w:sz w:val="22"/>
              </w:rPr>
            </w:pPr>
          </w:p>
          <w:p>
            <w:pPr>
              <w:pStyle w:val="TableParagraph"/>
              <w:spacing w:before="166"/>
              <w:rPr>
                <w:b/>
                <w:sz w:val="22"/>
              </w:rPr>
            </w:pPr>
          </w:p>
          <w:p>
            <w:pPr>
              <w:pStyle w:val="TableParagraph"/>
              <w:ind w:left="108" w:right="176"/>
              <w:rPr>
                <w:sz w:val="22"/>
              </w:rPr>
            </w:pPr>
            <w:r>
              <w:rPr>
                <w:sz w:val="22"/>
              </w:rPr>
              <w:t>900</w:t>
            </w:r>
            <w:r>
              <w:rPr>
                <w:spacing w:val="-5"/>
                <w:sz w:val="22"/>
              </w:rPr>
              <w:t> </w:t>
            </w:r>
            <w:r>
              <w:rPr>
                <w:sz w:val="22"/>
              </w:rPr>
              <w:t>litres</w:t>
            </w:r>
            <w:r>
              <w:rPr>
                <w:spacing w:val="-4"/>
                <w:sz w:val="22"/>
              </w:rPr>
              <w:t> </w:t>
            </w:r>
            <w:r>
              <w:rPr>
                <w:sz w:val="22"/>
              </w:rPr>
              <w:t>per minute</w:t>
            </w:r>
            <w:r>
              <w:rPr>
                <w:spacing w:val="-18"/>
                <w:sz w:val="22"/>
              </w:rPr>
              <w:t> </w:t>
            </w:r>
            <w:r>
              <w:rPr>
                <w:sz w:val="22"/>
              </w:rPr>
              <w:t>giving a pressure not less than</w:t>
            </w:r>
          </w:p>
          <w:p>
            <w:pPr>
              <w:pStyle w:val="TableParagraph"/>
              <w:spacing w:before="1"/>
              <w:ind w:left="108" w:right="1"/>
              <w:rPr>
                <w:sz w:val="22"/>
              </w:rPr>
            </w:pPr>
            <w:r>
              <w:rPr>
                <w:sz w:val="22"/>
              </w:rPr>
              <w:t>3.2</w:t>
            </w:r>
            <w:r>
              <w:rPr>
                <w:spacing w:val="-18"/>
                <w:sz w:val="22"/>
              </w:rPr>
              <w:t> </w:t>
            </w:r>
            <w:r>
              <w:rPr>
                <w:sz w:val="22"/>
              </w:rPr>
              <w:t>kg/cm2</w:t>
            </w:r>
            <w:r>
              <w:rPr>
                <w:spacing w:val="-18"/>
                <w:sz w:val="22"/>
              </w:rPr>
              <w:t> </w:t>
            </w:r>
            <w:r>
              <w:rPr>
                <w:sz w:val="22"/>
              </w:rPr>
              <w:t>a</w:t>
            </w:r>
            <w:r>
              <w:rPr>
                <w:sz w:val="22"/>
              </w:rPr>
              <w:t>t the top </w:t>
            </w:r>
            <w:r>
              <w:rPr>
                <w:spacing w:val="-2"/>
                <w:sz w:val="22"/>
              </w:rPr>
              <w:t>hydrant.</w:t>
            </w:r>
          </w:p>
        </w:tc>
      </w:tr>
    </w:tbl>
    <w:p>
      <w:pPr>
        <w:pStyle w:val="BodyText"/>
        <w:spacing w:before="279"/>
        <w:ind w:left="777" w:right="838"/>
        <w:jc w:val="left"/>
      </w:pPr>
      <w:r>
        <w:rPr/>
        <w:t>Note – 1)Height of the building</w:t>
      </w:r>
      <w:r>
        <w:rPr>
          <w:spacing w:val="40"/>
        </w:rPr>
        <w:t> </w:t>
      </w:r>
      <w:r>
        <w:rPr/>
        <w:t>permitted as per Maharashtra fire Prevention and life safety Act 2006</w:t>
      </w:r>
    </w:p>
    <w:p>
      <w:pPr>
        <w:pStyle w:val="ListParagraph"/>
        <w:numPr>
          <w:ilvl w:val="0"/>
          <w:numId w:val="343"/>
        </w:numPr>
        <w:tabs>
          <w:tab w:pos="1071" w:val="left" w:leader="none"/>
        </w:tabs>
        <w:spacing w:line="281" w:lineRule="exact" w:before="1" w:after="0"/>
        <w:ind w:left="1071" w:right="0" w:hanging="294"/>
        <w:jc w:val="left"/>
        <w:rPr>
          <w:sz w:val="24"/>
        </w:rPr>
      </w:pPr>
      <w:r>
        <w:rPr>
          <w:sz w:val="24"/>
        </w:rPr>
        <w:t>Required</w:t>
      </w:r>
      <w:r>
        <w:rPr>
          <w:spacing w:val="-5"/>
          <w:sz w:val="24"/>
        </w:rPr>
        <w:t> </w:t>
      </w:r>
      <w:r>
        <w:rPr>
          <w:sz w:val="24"/>
        </w:rPr>
        <w:t>to</w:t>
      </w:r>
      <w:r>
        <w:rPr>
          <w:spacing w:val="-5"/>
          <w:sz w:val="24"/>
        </w:rPr>
        <w:t> </w:t>
      </w:r>
      <w:r>
        <w:rPr>
          <w:sz w:val="24"/>
        </w:rPr>
        <w:t>be</w:t>
      </w:r>
      <w:r>
        <w:rPr>
          <w:spacing w:val="-5"/>
          <w:sz w:val="24"/>
        </w:rPr>
        <w:t> </w:t>
      </w:r>
      <w:r>
        <w:rPr>
          <w:sz w:val="24"/>
        </w:rPr>
        <w:t>installed</w:t>
      </w:r>
      <w:r>
        <w:rPr>
          <w:spacing w:val="-5"/>
          <w:sz w:val="24"/>
        </w:rPr>
        <w:t> </w:t>
      </w:r>
      <w:r>
        <w:rPr>
          <w:sz w:val="24"/>
        </w:rPr>
        <w:t>in</w:t>
      </w:r>
      <w:r>
        <w:rPr>
          <w:spacing w:val="-4"/>
          <w:sz w:val="24"/>
        </w:rPr>
        <w:t> </w:t>
      </w:r>
      <w:r>
        <w:rPr>
          <w:sz w:val="24"/>
        </w:rPr>
        <w:t>the</w:t>
      </w:r>
      <w:r>
        <w:rPr>
          <w:spacing w:val="-5"/>
          <w:sz w:val="24"/>
        </w:rPr>
        <w:t> </w:t>
      </w:r>
      <w:r>
        <w:rPr>
          <w:sz w:val="24"/>
        </w:rPr>
        <w:t>basement</w:t>
      </w:r>
      <w:r>
        <w:rPr>
          <w:spacing w:val="-5"/>
          <w:sz w:val="24"/>
        </w:rPr>
        <w:t> </w:t>
      </w:r>
      <w:r>
        <w:rPr>
          <w:sz w:val="24"/>
        </w:rPr>
        <w:t>if</w:t>
      </w:r>
      <w:r>
        <w:rPr>
          <w:spacing w:val="-5"/>
          <w:sz w:val="24"/>
        </w:rPr>
        <w:t> </w:t>
      </w:r>
      <w:r>
        <w:rPr>
          <w:sz w:val="24"/>
        </w:rPr>
        <w:t>area</w:t>
      </w:r>
      <w:r>
        <w:rPr>
          <w:spacing w:val="-5"/>
          <w:sz w:val="24"/>
        </w:rPr>
        <w:t> </w:t>
      </w:r>
      <w:r>
        <w:rPr>
          <w:sz w:val="24"/>
        </w:rPr>
        <w:t>of</w:t>
      </w:r>
      <w:r>
        <w:rPr>
          <w:spacing w:val="-4"/>
          <w:sz w:val="24"/>
        </w:rPr>
        <w:t> </w:t>
      </w:r>
      <w:r>
        <w:rPr>
          <w:sz w:val="24"/>
        </w:rPr>
        <w:t>basement</w:t>
      </w:r>
      <w:r>
        <w:rPr>
          <w:spacing w:val="-5"/>
          <w:sz w:val="24"/>
        </w:rPr>
        <w:t> </w:t>
      </w:r>
      <w:r>
        <w:rPr>
          <w:sz w:val="24"/>
        </w:rPr>
        <w:t>exceeds</w:t>
      </w:r>
      <w:r>
        <w:rPr>
          <w:spacing w:val="-5"/>
          <w:sz w:val="24"/>
        </w:rPr>
        <w:t> </w:t>
      </w:r>
      <w:r>
        <w:rPr>
          <w:sz w:val="24"/>
        </w:rPr>
        <w:t>200</w:t>
      </w:r>
      <w:r>
        <w:rPr>
          <w:spacing w:val="-5"/>
          <w:sz w:val="24"/>
        </w:rPr>
        <w:t> </w:t>
      </w:r>
      <w:r>
        <w:rPr>
          <w:sz w:val="24"/>
        </w:rPr>
        <w:t>sq.</w:t>
      </w:r>
      <w:r>
        <w:rPr>
          <w:spacing w:val="-6"/>
          <w:sz w:val="24"/>
        </w:rPr>
        <w:t> </w:t>
      </w:r>
      <w:r>
        <w:rPr>
          <w:spacing w:val="-5"/>
          <w:sz w:val="24"/>
        </w:rPr>
        <w:t>m.</w:t>
      </w:r>
    </w:p>
    <w:p>
      <w:pPr>
        <w:pStyle w:val="ListParagraph"/>
        <w:numPr>
          <w:ilvl w:val="0"/>
          <w:numId w:val="343"/>
        </w:numPr>
        <w:tabs>
          <w:tab w:pos="1074" w:val="left" w:leader="none"/>
        </w:tabs>
        <w:spacing w:line="281" w:lineRule="exact" w:before="0" w:after="0"/>
        <w:ind w:left="1074" w:right="0" w:hanging="297"/>
        <w:jc w:val="left"/>
        <w:rPr>
          <w:sz w:val="24"/>
        </w:rPr>
      </w:pPr>
      <w:r>
        <w:rPr>
          <w:sz w:val="24"/>
        </w:rPr>
        <w:t>Required</w:t>
      </w:r>
      <w:r>
        <w:rPr>
          <w:spacing w:val="-2"/>
          <w:sz w:val="24"/>
        </w:rPr>
        <w:t> </w:t>
      </w:r>
      <w:r>
        <w:rPr>
          <w:sz w:val="24"/>
        </w:rPr>
        <w:t>to</w:t>
      </w:r>
      <w:r>
        <w:rPr>
          <w:spacing w:val="-2"/>
          <w:sz w:val="24"/>
        </w:rPr>
        <w:t> </w:t>
      </w:r>
      <w:r>
        <w:rPr>
          <w:sz w:val="24"/>
        </w:rPr>
        <w:t>be</w:t>
      </w:r>
      <w:r>
        <w:rPr>
          <w:spacing w:val="-1"/>
          <w:sz w:val="24"/>
        </w:rPr>
        <w:t> </w:t>
      </w:r>
      <w:r>
        <w:rPr>
          <w:sz w:val="24"/>
        </w:rPr>
        <w:t>provided</w:t>
      </w:r>
      <w:r>
        <w:rPr>
          <w:spacing w:val="-2"/>
          <w:sz w:val="24"/>
        </w:rPr>
        <w:t> </w:t>
      </w:r>
      <w:r>
        <w:rPr>
          <w:sz w:val="24"/>
        </w:rPr>
        <w:t>in</w:t>
      </w:r>
      <w:r>
        <w:rPr>
          <w:spacing w:val="-2"/>
          <w:sz w:val="24"/>
        </w:rPr>
        <w:t> </w:t>
      </w:r>
      <w:r>
        <w:rPr>
          <w:sz w:val="24"/>
        </w:rPr>
        <w:t>the</w:t>
      </w:r>
      <w:r>
        <w:rPr>
          <w:spacing w:val="-1"/>
          <w:sz w:val="24"/>
        </w:rPr>
        <w:t> </w:t>
      </w:r>
      <w:r>
        <w:rPr>
          <w:sz w:val="24"/>
        </w:rPr>
        <w:t>basement</w:t>
      </w:r>
      <w:r>
        <w:rPr>
          <w:spacing w:val="-2"/>
          <w:sz w:val="24"/>
        </w:rPr>
        <w:t> </w:t>
      </w:r>
      <w:r>
        <w:rPr>
          <w:sz w:val="24"/>
        </w:rPr>
        <w:t>if</w:t>
      </w:r>
      <w:r>
        <w:rPr>
          <w:spacing w:val="-1"/>
          <w:sz w:val="24"/>
        </w:rPr>
        <w:t> </w:t>
      </w:r>
      <w:r>
        <w:rPr>
          <w:sz w:val="24"/>
        </w:rPr>
        <w:t>basement</w:t>
      </w:r>
      <w:r>
        <w:rPr>
          <w:spacing w:val="-2"/>
          <w:sz w:val="24"/>
        </w:rPr>
        <w:t> </w:t>
      </w:r>
      <w:r>
        <w:rPr>
          <w:sz w:val="24"/>
        </w:rPr>
        <w:t>area</w:t>
      </w:r>
      <w:r>
        <w:rPr>
          <w:spacing w:val="-2"/>
          <w:sz w:val="24"/>
        </w:rPr>
        <w:t> </w:t>
      </w:r>
      <w:r>
        <w:rPr>
          <w:sz w:val="24"/>
        </w:rPr>
        <w:t>exceeds</w:t>
      </w:r>
      <w:r>
        <w:rPr>
          <w:spacing w:val="-1"/>
          <w:sz w:val="24"/>
        </w:rPr>
        <w:t> </w:t>
      </w:r>
      <w:r>
        <w:rPr>
          <w:sz w:val="24"/>
        </w:rPr>
        <w:t>200</w:t>
      </w:r>
      <w:r>
        <w:rPr>
          <w:spacing w:val="-2"/>
          <w:sz w:val="24"/>
        </w:rPr>
        <w:t> </w:t>
      </w:r>
      <w:r>
        <w:rPr>
          <w:sz w:val="24"/>
        </w:rPr>
        <w:t>sq.</w:t>
      </w:r>
      <w:r>
        <w:rPr>
          <w:spacing w:val="-1"/>
          <w:sz w:val="24"/>
        </w:rPr>
        <w:t> </w:t>
      </w:r>
      <w:r>
        <w:rPr>
          <w:spacing w:val="-5"/>
          <w:sz w:val="24"/>
        </w:rPr>
        <w:t>m.</w:t>
      </w:r>
    </w:p>
    <w:p>
      <w:pPr>
        <w:pStyle w:val="ListParagraph"/>
        <w:numPr>
          <w:ilvl w:val="0"/>
          <w:numId w:val="343"/>
        </w:numPr>
        <w:tabs>
          <w:tab w:pos="1074" w:val="left" w:leader="none"/>
        </w:tabs>
        <w:spacing w:line="281" w:lineRule="exact" w:before="0" w:after="0"/>
        <w:ind w:left="1074" w:right="0" w:hanging="297"/>
        <w:jc w:val="left"/>
        <w:rPr>
          <w:sz w:val="24"/>
        </w:rPr>
      </w:pPr>
      <w:r>
        <w:rPr>
          <w:sz w:val="24"/>
        </w:rPr>
        <w:t>value</w:t>
      </w:r>
      <w:r>
        <w:rPr>
          <w:spacing w:val="-1"/>
          <w:sz w:val="24"/>
        </w:rPr>
        <w:t> </w:t>
      </w:r>
      <w:r>
        <w:rPr>
          <w:sz w:val="24"/>
        </w:rPr>
        <w:t>given in</w:t>
      </w:r>
      <w:r>
        <w:rPr>
          <w:spacing w:val="-1"/>
          <w:sz w:val="24"/>
        </w:rPr>
        <w:t> </w:t>
      </w:r>
      <w:r>
        <w:rPr>
          <w:sz w:val="24"/>
        </w:rPr>
        <w:t>parenthesis shall</w:t>
      </w:r>
      <w:r>
        <w:rPr>
          <w:spacing w:val="-1"/>
          <w:sz w:val="24"/>
        </w:rPr>
        <w:t> </w:t>
      </w:r>
      <w:r>
        <w:rPr>
          <w:sz w:val="24"/>
        </w:rPr>
        <w:t>apply if</w:t>
      </w:r>
      <w:r>
        <w:rPr>
          <w:spacing w:val="-1"/>
          <w:sz w:val="24"/>
        </w:rPr>
        <w:t> </w:t>
      </w:r>
      <w:r>
        <w:rPr>
          <w:sz w:val="24"/>
        </w:rPr>
        <w:t>the basement</w:t>
      </w:r>
      <w:r>
        <w:rPr>
          <w:spacing w:val="-1"/>
          <w:sz w:val="24"/>
        </w:rPr>
        <w:t> </w:t>
      </w:r>
      <w:r>
        <w:rPr>
          <w:sz w:val="24"/>
        </w:rPr>
        <w:t>are exceeds</w:t>
      </w:r>
      <w:r>
        <w:rPr>
          <w:spacing w:val="-1"/>
          <w:sz w:val="24"/>
        </w:rPr>
        <w:t> </w:t>
      </w:r>
      <w:r>
        <w:rPr>
          <w:sz w:val="24"/>
        </w:rPr>
        <w:t>200 sq. </w:t>
      </w:r>
      <w:r>
        <w:rPr>
          <w:spacing w:val="-10"/>
          <w:sz w:val="24"/>
        </w:rPr>
        <w:t>m</w:t>
      </w:r>
    </w:p>
    <w:p>
      <w:pPr>
        <w:pStyle w:val="BodyText"/>
        <w:spacing w:before="188"/>
        <w:jc w:val="left"/>
        <w:rPr>
          <w:sz w:val="20"/>
        </w:rPr>
      </w:pPr>
    </w:p>
    <w:p>
      <w:pPr>
        <w:pStyle w:val="BodyText"/>
        <w:spacing w:after="0"/>
        <w:jc w:val="left"/>
        <w:rPr>
          <w:sz w:val="20"/>
        </w:rPr>
        <w:sectPr>
          <w:pgSz w:w="11910" w:h="16850"/>
          <w:pgMar w:header="1024" w:footer="1302" w:top="1480" w:bottom="1500" w:left="360" w:right="360"/>
        </w:sectPr>
      </w:pPr>
    </w:p>
    <w:p>
      <w:pPr>
        <w:pStyle w:val="BodyText"/>
        <w:spacing w:before="100"/>
        <w:ind w:left="777"/>
        <w:jc w:val="left"/>
      </w:pPr>
      <w:r>
        <w:rPr>
          <w:spacing w:val="-2"/>
        </w:rPr>
        <w:t>Note:</w:t>
      </w:r>
    </w:p>
    <w:p>
      <w:pPr>
        <w:spacing w:line="240" w:lineRule="auto" w:before="0"/>
        <w:rPr>
          <w:sz w:val="24"/>
        </w:rPr>
      </w:pPr>
      <w:r>
        <w:rPr/>
        <w:br w:type="column"/>
      </w:r>
      <w:r>
        <w:rPr>
          <w:sz w:val="24"/>
        </w:rPr>
      </w:r>
    </w:p>
    <w:p>
      <w:pPr>
        <w:pStyle w:val="BodyText"/>
        <w:spacing w:before="59"/>
        <w:jc w:val="left"/>
      </w:pPr>
    </w:p>
    <w:p>
      <w:pPr>
        <w:pStyle w:val="ListParagraph"/>
        <w:numPr>
          <w:ilvl w:val="0"/>
          <w:numId w:val="344"/>
        </w:numPr>
        <w:tabs>
          <w:tab w:pos="555" w:val="left" w:leader="none"/>
          <w:tab w:pos="633" w:val="left" w:leader="none"/>
        </w:tabs>
        <w:spacing w:line="240" w:lineRule="auto" w:before="0" w:after="0"/>
        <w:ind w:left="555" w:right="782" w:hanging="368"/>
        <w:jc w:val="both"/>
        <w:rPr>
          <w:sz w:val="24"/>
        </w:rPr>
      </w:pPr>
      <w:r>
        <w:rPr>
          <w:sz w:val="24"/>
        </w:rPr>
        <w:tab/>
        <w:t>Any</w:t>
      </w:r>
      <w:r>
        <w:rPr>
          <w:spacing w:val="40"/>
          <w:sz w:val="24"/>
        </w:rPr>
        <w:t> </w:t>
      </w:r>
      <w:r>
        <w:rPr>
          <w:sz w:val="24"/>
        </w:rPr>
        <w:t>of</w:t>
      </w:r>
      <w:r>
        <w:rPr>
          <w:spacing w:val="40"/>
          <w:sz w:val="24"/>
        </w:rPr>
        <w:t> </w:t>
      </w:r>
      <w:r>
        <w:rPr>
          <w:sz w:val="24"/>
        </w:rPr>
        <w:t>the</w:t>
      </w:r>
      <w:r>
        <w:rPr>
          <w:spacing w:val="40"/>
          <w:sz w:val="24"/>
        </w:rPr>
        <w:t> </w:t>
      </w:r>
      <w:r>
        <w:rPr>
          <w:sz w:val="24"/>
        </w:rPr>
        <w:t>above</w:t>
      </w:r>
      <w:r>
        <w:rPr>
          <w:spacing w:val="40"/>
          <w:sz w:val="24"/>
        </w:rPr>
        <w:t> </w:t>
      </w:r>
      <w:r>
        <w:rPr>
          <w:sz w:val="24"/>
        </w:rPr>
        <w:t>categories</w:t>
      </w:r>
      <w:r>
        <w:rPr>
          <w:spacing w:val="40"/>
          <w:sz w:val="24"/>
        </w:rPr>
        <w:t> </w:t>
      </w:r>
      <w:r>
        <w:rPr>
          <w:sz w:val="24"/>
        </w:rPr>
        <w:t>may</w:t>
      </w:r>
      <w:r>
        <w:rPr>
          <w:spacing w:val="40"/>
          <w:sz w:val="24"/>
        </w:rPr>
        <w:t> </w:t>
      </w:r>
      <w:r>
        <w:rPr>
          <w:sz w:val="24"/>
        </w:rPr>
        <w:t>incorporate</w:t>
      </w:r>
      <w:r>
        <w:rPr>
          <w:spacing w:val="40"/>
          <w:sz w:val="24"/>
        </w:rPr>
        <w:t> </w:t>
      </w:r>
      <w:r>
        <w:rPr>
          <w:sz w:val="24"/>
        </w:rPr>
        <w:t>an</w:t>
      </w:r>
      <w:r>
        <w:rPr>
          <w:spacing w:val="40"/>
          <w:sz w:val="24"/>
        </w:rPr>
        <w:t> </w:t>
      </w:r>
      <w:r>
        <w:rPr>
          <w:sz w:val="24"/>
        </w:rPr>
        <w:t>automatic sprinkle/a</w:t>
      </w:r>
      <w:r>
        <w:rPr>
          <w:spacing w:val="40"/>
          <w:sz w:val="24"/>
        </w:rPr>
        <w:t> </w:t>
      </w:r>
      <w:r>
        <w:rPr>
          <w:sz w:val="24"/>
        </w:rPr>
        <w:t>drencher</w:t>
      </w:r>
      <w:r>
        <w:rPr>
          <w:spacing w:val="40"/>
          <w:sz w:val="24"/>
        </w:rPr>
        <w:t> </w:t>
      </w:r>
      <w:r>
        <w:rPr>
          <w:sz w:val="24"/>
        </w:rPr>
        <w:t>system,</w:t>
      </w:r>
      <w:r>
        <w:rPr>
          <w:spacing w:val="40"/>
          <w:sz w:val="24"/>
        </w:rPr>
        <w:t> </w:t>
      </w:r>
      <w:r>
        <w:rPr>
          <w:sz w:val="24"/>
        </w:rPr>
        <w:t>if</w:t>
      </w:r>
      <w:r>
        <w:rPr>
          <w:spacing w:val="40"/>
          <w:sz w:val="24"/>
        </w:rPr>
        <w:t> </w:t>
      </w:r>
      <w:r>
        <w:rPr>
          <w:sz w:val="24"/>
        </w:rPr>
        <w:t>the</w:t>
      </w:r>
      <w:r>
        <w:rPr>
          <w:spacing w:val="40"/>
          <w:sz w:val="24"/>
        </w:rPr>
        <w:t> </w:t>
      </w:r>
      <w:r>
        <w:rPr>
          <w:sz w:val="24"/>
        </w:rPr>
        <w:t>risk</w:t>
      </w:r>
      <w:r>
        <w:rPr>
          <w:spacing w:val="40"/>
          <w:sz w:val="24"/>
        </w:rPr>
        <w:t> </w:t>
      </w:r>
      <w:r>
        <w:rPr>
          <w:sz w:val="24"/>
        </w:rPr>
        <w:t>is</w:t>
      </w:r>
      <w:r>
        <w:rPr>
          <w:spacing w:val="40"/>
          <w:sz w:val="24"/>
        </w:rPr>
        <w:t> </w:t>
      </w:r>
      <w:r>
        <w:rPr>
          <w:sz w:val="24"/>
        </w:rPr>
        <w:t>such</w:t>
      </w:r>
      <w:r>
        <w:rPr>
          <w:spacing w:val="40"/>
          <w:sz w:val="24"/>
        </w:rPr>
        <w:t> </w:t>
      </w:r>
      <w:r>
        <w:rPr>
          <w:sz w:val="24"/>
        </w:rPr>
        <w:t>that</w:t>
      </w:r>
      <w:r>
        <w:rPr>
          <w:spacing w:val="40"/>
          <w:sz w:val="24"/>
        </w:rPr>
        <w:t> </w:t>
      </w:r>
      <w:r>
        <w:rPr>
          <w:sz w:val="24"/>
        </w:rPr>
        <w:t>it</w:t>
      </w:r>
      <w:r>
        <w:rPr>
          <w:spacing w:val="40"/>
          <w:sz w:val="24"/>
        </w:rPr>
        <w:t> </w:t>
      </w:r>
      <w:r>
        <w:rPr>
          <w:spacing w:val="9"/>
          <w:sz w:val="24"/>
        </w:rPr>
        <w:t>requires </w:t>
      </w:r>
      <w:r>
        <w:rPr>
          <w:sz w:val="24"/>
        </w:rPr>
        <w:t>such protective </w:t>
      </w:r>
      <w:r>
        <w:rPr>
          <w:spacing w:val="9"/>
          <w:sz w:val="24"/>
        </w:rPr>
        <w:t>methods.</w:t>
      </w:r>
    </w:p>
    <w:p>
      <w:pPr>
        <w:pStyle w:val="ListParagraph"/>
        <w:numPr>
          <w:ilvl w:val="0"/>
          <w:numId w:val="344"/>
        </w:numPr>
        <w:tabs>
          <w:tab w:pos="518" w:val="left" w:leader="none"/>
        </w:tabs>
        <w:spacing w:line="240" w:lineRule="auto" w:before="240" w:after="0"/>
        <w:ind w:left="518" w:right="0" w:hanging="330"/>
        <w:jc w:val="left"/>
        <w:rPr>
          <w:sz w:val="24"/>
        </w:rPr>
      </w:pPr>
      <w:r>
        <w:rPr>
          <w:sz w:val="24"/>
        </w:rPr>
        <w:t>A</w:t>
      </w:r>
      <w:r>
        <w:rPr>
          <w:spacing w:val="49"/>
          <w:sz w:val="24"/>
        </w:rPr>
        <w:t> </w:t>
      </w:r>
      <w:r>
        <w:rPr>
          <w:sz w:val="24"/>
        </w:rPr>
        <w:t>minimum</w:t>
      </w:r>
      <w:r>
        <w:rPr>
          <w:spacing w:val="50"/>
          <w:sz w:val="24"/>
        </w:rPr>
        <w:t> </w:t>
      </w:r>
      <w:r>
        <w:rPr>
          <w:sz w:val="24"/>
        </w:rPr>
        <w:t>of</w:t>
      </w:r>
      <w:r>
        <w:rPr>
          <w:spacing w:val="50"/>
          <w:sz w:val="24"/>
        </w:rPr>
        <w:t> </w:t>
      </w:r>
      <w:r>
        <w:rPr>
          <w:sz w:val="24"/>
        </w:rPr>
        <w:t>two</w:t>
      </w:r>
      <w:r>
        <w:rPr>
          <w:spacing w:val="50"/>
          <w:sz w:val="24"/>
        </w:rPr>
        <w:t> </w:t>
      </w:r>
      <w:r>
        <w:rPr>
          <w:sz w:val="24"/>
        </w:rPr>
        <w:t>hydrants</w:t>
      </w:r>
      <w:r>
        <w:rPr>
          <w:spacing w:val="50"/>
          <w:sz w:val="24"/>
        </w:rPr>
        <w:t> </w:t>
      </w:r>
      <w:r>
        <w:rPr>
          <w:sz w:val="24"/>
        </w:rPr>
        <w:t>shall</w:t>
      </w:r>
      <w:r>
        <w:rPr>
          <w:spacing w:val="53"/>
          <w:sz w:val="24"/>
        </w:rPr>
        <w:t> </w:t>
      </w:r>
      <w:r>
        <w:rPr>
          <w:sz w:val="24"/>
        </w:rPr>
        <w:t>be</w:t>
      </w:r>
      <w:r>
        <w:rPr>
          <w:spacing w:val="50"/>
          <w:sz w:val="24"/>
        </w:rPr>
        <w:t> </w:t>
      </w:r>
      <w:r>
        <w:rPr>
          <w:sz w:val="24"/>
        </w:rPr>
        <w:t>provided</w:t>
      </w:r>
      <w:r>
        <w:rPr>
          <w:spacing w:val="50"/>
          <w:sz w:val="24"/>
        </w:rPr>
        <w:t> </w:t>
      </w:r>
      <w:r>
        <w:rPr>
          <w:sz w:val="24"/>
        </w:rPr>
        <w:t>within</w:t>
      </w:r>
      <w:r>
        <w:rPr>
          <w:spacing w:val="53"/>
          <w:sz w:val="24"/>
        </w:rPr>
        <w:t> </w:t>
      </w:r>
      <w:r>
        <w:rPr>
          <w:sz w:val="24"/>
        </w:rPr>
        <w:t>a</w:t>
      </w:r>
      <w:r>
        <w:rPr>
          <w:spacing w:val="50"/>
          <w:sz w:val="24"/>
        </w:rPr>
        <w:t> </w:t>
      </w:r>
      <w:r>
        <w:rPr>
          <w:spacing w:val="7"/>
          <w:sz w:val="24"/>
        </w:rPr>
        <w:t>courtyard.</w:t>
      </w:r>
    </w:p>
    <w:p>
      <w:pPr>
        <w:pStyle w:val="ListParagraph"/>
        <w:numPr>
          <w:ilvl w:val="0"/>
          <w:numId w:val="344"/>
        </w:numPr>
        <w:tabs>
          <w:tab w:pos="555" w:val="left" w:leader="none"/>
          <w:tab w:pos="656" w:val="left" w:leader="none"/>
        </w:tabs>
        <w:spacing w:line="240" w:lineRule="auto" w:before="239" w:after="0"/>
        <w:ind w:left="555" w:right="780" w:hanging="454"/>
        <w:jc w:val="both"/>
        <w:rPr>
          <w:sz w:val="24"/>
        </w:rPr>
      </w:pPr>
      <w:r>
        <w:rPr>
          <w:sz w:val="24"/>
        </w:rPr>
        <w:tab/>
        <w:t>Wet</w:t>
      </w:r>
      <w:r>
        <w:rPr>
          <w:spacing w:val="40"/>
          <w:sz w:val="24"/>
        </w:rPr>
        <w:t> </w:t>
      </w:r>
      <w:r>
        <w:rPr>
          <w:spacing w:val="9"/>
          <w:sz w:val="24"/>
        </w:rPr>
        <w:t>riser-</w:t>
      </w:r>
      <w:r>
        <w:rPr>
          <w:spacing w:val="10"/>
          <w:sz w:val="24"/>
        </w:rPr>
        <w:t>cum-</w:t>
      </w:r>
      <w:r>
        <w:rPr>
          <w:sz w:val="24"/>
        </w:rPr>
        <w:t>down</w:t>
      </w:r>
      <w:r>
        <w:rPr>
          <w:spacing w:val="40"/>
          <w:sz w:val="24"/>
        </w:rPr>
        <w:t> </w:t>
      </w:r>
      <w:r>
        <w:rPr>
          <w:sz w:val="24"/>
        </w:rPr>
        <w:t>corner</w:t>
      </w:r>
      <w:r>
        <w:rPr>
          <w:spacing w:val="40"/>
          <w:sz w:val="24"/>
        </w:rPr>
        <w:t> </w:t>
      </w:r>
      <w:r>
        <w:rPr>
          <w:sz w:val="24"/>
        </w:rPr>
        <w:t>is</w:t>
      </w:r>
      <w:r>
        <w:rPr>
          <w:spacing w:val="40"/>
          <w:sz w:val="24"/>
        </w:rPr>
        <w:t> </w:t>
      </w:r>
      <w:r>
        <w:rPr>
          <w:sz w:val="24"/>
        </w:rPr>
        <w:t>an</w:t>
      </w:r>
      <w:r>
        <w:rPr>
          <w:spacing w:val="40"/>
          <w:sz w:val="24"/>
        </w:rPr>
        <w:t> </w:t>
      </w:r>
      <w:r>
        <w:rPr>
          <w:sz w:val="24"/>
        </w:rPr>
        <w:t>arrangement</w:t>
      </w:r>
      <w:r>
        <w:rPr>
          <w:spacing w:val="40"/>
          <w:sz w:val="24"/>
        </w:rPr>
        <w:t> </w:t>
      </w:r>
      <w:r>
        <w:rPr>
          <w:sz w:val="24"/>
        </w:rPr>
        <w:t>for</w:t>
      </w:r>
      <w:r>
        <w:rPr>
          <w:spacing w:val="40"/>
          <w:sz w:val="24"/>
        </w:rPr>
        <w:t> </w:t>
      </w:r>
      <w:r>
        <w:rPr>
          <w:sz w:val="24"/>
        </w:rPr>
        <w:t>firefighting within</w:t>
      </w:r>
      <w:r>
        <w:rPr>
          <w:spacing w:val="40"/>
          <w:sz w:val="24"/>
        </w:rPr>
        <w:t> </w:t>
      </w:r>
      <w:r>
        <w:rPr>
          <w:sz w:val="24"/>
        </w:rPr>
        <w:t>the</w:t>
      </w:r>
      <w:r>
        <w:rPr>
          <w:spacing w:val="40"/>
          <w:sz w:val="24"/>
        </w:rPr>
        <w:t> </w:t>
      </w:r>
      <w:r>
        <w:rPr>
          <w:sz w:val="24"/>
        </w:rPr>
        <w:t>building</w:t>
      </w:r>
      <w:r>
        <w:rPr>
          <w:spacing w:val="40"/>
          <w:sz w:val="24"/>
        </w:rPr>
        <w:t> </w:t>
      </w:r>
      <w:r>
        <w:rPr>
          <w:sz w:val="24"/>
        </w:rPr>
        <w:t>by</w:t>
      </w:r>
      <w:r>
        <w:rPr>
          <w:spacing w:val="40"/>
          <w:sz w:val="24"/>
        </w:rPr>
        <w:t> </w:t>
      </w:r>
      <w:r>
        <w:rPr>
          <w:sz w:val="24"/>
        </w:rPr>
        <w:t>means</w:t>
      </w:r>
      <w:r>
        <w:rPr>
          <w:spacing w:val="40"/>
          <w:sz w:val="24"/>
        </w:rPr>
        <w:t> </w:t>
      </w:r>
      <w:r>
        <w:rPr>
          <w:sz w:val="24"/>
        </w:rPr>
        <w:t>of</w:t>
      </w:r>
      <w:r>
        <w:rPr>
          <w:spacing w:val="40"/>
          <w:sz w:val="24"/>
        </w:rPr>
        <w:t> </w:t>
      </w:r>
      <w:r>
        <w:rPr>
          <w:sz w:val="24"/>
        </w:rPr>
        <w:t>vertical</w:t>
      </w:r>
      <w:r>
        <w:rPr>
          <w:spacing w:val="40"/>
          <w:sz w:val="24"/>
        </w:rPr>
        <w:t> </w:t>
      </w:r>
      <w:r>
        <w:rPr>
          <w:sz w:val="24"/>
        </w:rPr>
        <w:t>rising</w:t>
      </w:r>
      <w:r>
        <w:rPr>
          <w:spacing w:val="40"/>
          <w:sz w:val="24"/>
        </w:rPr>
        <w:t> </w:t>
      </w:r>
      <w:r>
        <w:rPr>
          <w:sz w:val="24"/>
        </w:rPr>
        <w:t>mains</w:t>
      </w:r>
      <w:r>
        <w:rPr>
          <w:spacing w:val="40"/>
          <w:sz w:val="24"/>
        </w:rPr>
        <w:t> </w:t>
      </w:r>
      <w:r>
        <w:rPr>
          <w:sz w:val="24"/>
        </w:rPr>
        <w:t>of</w:t>
      </w:r>
      <w:r>
        <w:rPr>
          <w:spacing w:val="40"/>
          <w:sz w:val="24"/>
        </w:rPr>
        <w:t> </w:t>
      </w:r>
      <w:r>
        <w:rPr>
          <w:sz w:val="24"/>
        </w:rPr>
        <w:t>not</w:t>
      </w:r>
      <w:r>
        <w:rPr>
          <w:spacing w:val="40"/>
          <w:sz w:val="24"/>
        </w:rPr>
        <w:t> </w:t>
      </w:r>
      <w:r>
        <w:rPr>
          <w:sz w:val="24"/>
        </w:rPr>
        <w:t>less than 10 cm. Internal dia, with hydrant and hose reel on each floor landing</w:t>
      </w:r>
      <w:r>
        <w:rPr>
          <w:spacing w:val="80"/>
          <w:sz w:val="24"/>
        </w:rPr>
        <w:t> </w:t>
      </w:r>
      <w:r>
        <w:rPr>
          <w:sz w:val="24"/>
        </w:rPr>
        <w:t>connected</w:t>
      </w:r>
      <w:r>
        <w:rPr>
          <w:spacing w:val="80"/>
          <w:sz w:val="24"/>
        </w:rPr>
        <w:t> </w:t>
      </w:r>
      <w:r>
        <w:rPr>
          <w:sz w:val="24"/>
        </w:rPr>
        <w:t>to</w:t>
      </w:r>
      <w:r>
        <w:rPr>
          <w:spacing w:val="80"/>
          <w:sz w:val="24"/>
        </w:rPr>
        <w:t> </w:t>
      </w:r>
      <w:r>
        <w:rPr>
          <w:sz w:val="24"/>
        </w:rPr>
        <w:t>an</w:t>
      </w:r>
      <w:r>
        <w:rPr>
          <w:spacing w:val="80"/>
          <w:sz w:val="24"/>
        </w:rPr>
        <w:t> </w:t>
      </w:r>
      <w:r>
        <w:rPr>
          <w:sz w:val="24"/>
        </w:rPr>
        <w:t>overhead</w:t>
      </w:r>
      <w:r>
        <w:rPr>
          <w:spacing w:val="80"/>
          <w:sz w:val="24"/>
        </w:rPr>
        <w:t> </w:t>
      </w:r>
      <w:r>
        <w:rPr>
          <w:sz w:val="24"/>
        </w:rPr>
        <w:t>water/storage</w:t>
      </w:r>
      <w:r>
        <w:rPr>
          <w:spacing w:val="80"/>
          <w:sz w:val="24"/>
        </w:rPr>
        <w:t> </w:t>
      </w:r>
      <w:r>
        <w:rPr>
          <w:sz w:val="24"/>
        </w:rPr>
        <w:t>tank</w:t>
      </w:r>
      <w:r>
        <w:rPr>
          <w:spacing w:val="80"/>
          <w:sz w:val="24"/>
        </w:rPr>
        <w:t> </w:t>
      </w:r>
      <w:r>
        <w:rPr>
          <w:sz w:val="24"/>
        </w:rPr>
        <w:t>for firefighting</w:t>
      </w:r>
      <w:r>
        <w:rPr>
          <w:spacing w:val="40"/>
          <w:sz w:val="24"/>
        </w:rPr>
        <w:t> </w:t>
      </w:r>
      <w:r>
        <w:rPr>
          <w:sz w:val="24"/>
        </w:rPr>
        <w:t>purpose</w:t>
      </w:r>
      <w:r>
        <w:rPr>
          <w:spacing w:val="40"/>
          <w:sz w:val="24"/>
        </w:rPr>
        <w:t> </w:t>
      </w:r>
      <w:r>
        <w:rPr>
          <w:sz w:val="24"/>
        </w:rPr>
        <w:t>through</w:t>
      </w:r>
      <w:r>
        <w:rPr>
          <w:spacing w:val="40"/>
          <w:sz w:val="24"/>
        </w:rPr>
        <w:t> </w:t>
      </w:r>
      <w:r>
        <w:rPr>
          <w:sz w:val="24"/>
        </w:rPr>
        <w:t>a</w:t>
      </w:r>
      <w:r>
        <w:rPr>
          <w:spacing w:val="40"/>
          <w:sz w:val="24"/>
        </w:rPr>
        <w:t> </w:t>
      </w:r>
      <w:r>
        <w:rPr>
          <w:sz w:val="24"/>
        </w:rPr>
        <w:t>booster</w:t>
      </w:r>
      <w:r>
        <w:rPr>
          <w:spacing w:val="40"/>
          <w:sz w:val="24"/>
        </w:rPr>
        <w:t> </w:t>
      </w:r>
      <w:r>
        <w:rPr>
          <w:sz w:val="24"/>
        </w:rPr>
        <w:t>pump,</w:t>
      </w:r>
      <w:r>
        <w:rPr>
          <w:spacing w:val="40"/>
          <w:sz w:val="24"/>
        </w:rPr>
        <w:t> </w:t>
      </w:r>
      <w:r>
        <w:rPr>
          <w:sz w:val="24"/>
        </w:rPr>
        <w:t>check</w:t>
      </w:r>
      <w:r>
        <w:rPr>
          <w:spacing w:val="40"/>
          <w:sz w:val="24"/>
        </w:rPr>
        <w:t> </w:t>
      </w:r>
      <w:r>
        <w:rPr>
          <w:sz w:val="24"/>
        </w:rPr>
        <w:t>valve</w:t>
      </w:r>
      <w:r>
        <w:rPr>
          <w:spacing w:val="40"/>
          <w:sz w:val="24"/>
        </w:rPr>
        <w:t> </w:t>
      </w:r>
      <w:r>
        <w:rPr>
          <w:sz w:val="24"/>
        </w:rPr>
        <w:t>and</w:t>
      </w:r>
      <w:r>
        <w:rPr>
          <w:spacing w:val="40"/>
          <w:sz w:val="24"/>
        </w:rPr>
        <w:t> </w:t>
      </w:r>
      <w:r>
        <w:rPr>
          <w:sz w:val="24"/>
        </w:rPr>
        <w:t>a non-return valve near the tank end and a fire pump, gate and </w:t>
      </w:r>
      <w:r>
        <w:rPr>
          <w:spacing w:val="10"/>
          <w:sz w:val="24"/>
        </w:rPr>
        <w:t>non- </w:t>
      </w:r>
      <w:r>
        <w:rPr>
          <w:sz w:val="24"/>
        </w:rPr>
        <w:t>return</w:t>
      </w:r>
      <w:r>
        <w:rPr>
          <w:spacing w:val="40"/>
          <w:sz w:val="24"/>
        </w:rPr>
        <w:t> </w:t>
      </w:r>
      <w:r>
        <w:rPr>
          <w:sz w:val="24"/>
        </w:rPr>
        <w:t>valve</w:t>
      </w:r>
      <w:r>
        <w:rPr>
          <w:spacing w:val="40"/>
          <w:sz w:val="24"/>
        </w:rPr>
        <w:t> </w:t>
      </w:r>
      <w:r>
        <w:rPr>
          <w:sz w:val="24"/>
        </w:rPr>
        <w:t>over</w:t>
      </w:r>
      <w:r>
        <w:rPr>
          <w:spacing w:val="40"/>
          <w:sz w:val="24"/>
        </w:rPr>
        <w:t> </w:t>
      </w:r>
      <w:r>
        <w:rPr>
          <w:sz w:val="24"/>
        </w:rPr>
        <w:t>the</w:t>
      </w:r>
      <w:r>
        <w:rPr>
          <w:spacing w:val="40"/>
          <w:sz w:val="24"/>
        </w:rPr>
        <w:t> </w:t>
      </w:r>
      <w:r>
        <w:rPr>
          <w:sz w:val="24"/>
        </w:rPr>
        <w:t>underground</w:t>
      </w:r>
      <w:r>
        <w:rPr>
          <w:spacing w:val="40"/>
          <w:sz w:val="24"/>
        </w:rPr>
        <w:t> </w:t>
      </w:r>
      <w:r>
        <w:rPr>
          <w:sz w:val="24"/>
        </w:rPr>
        <w:t>static</w:t>
      </w:r>
      <w:r>
        <w:rPr>
          <w:spacing w:val="40"/>
          <w:sz w:val="24"/>
        </w:rPr>
        <w:t> </w:t>
      </w:r>
      <w:r>
        <w:rPr>
          <w:sz w:val="24"/>
        </w:rPr>
        <w:t>tank.</w:t>
      </w:r>
      <w:r>
        <w:rPr>
          <w:spacing w:val="40"/>
          <w:sz w:val="24"/>
        </w:rPr>
        <w:t>  </w:t>
      </w:r>
      <w:r>
        <w:rPr>
          <w:sz w:val="24"/>
        </w:rPr>
        <w:t>A</w:t>
      </w:r>
      <w:r>
        <w:rPr>
          <w:spacing w:val="40"/>
          <w:sz w:val="24"/>
        </w:rPr>
        <w:t> </w:t>
      </w:r>
      <w:r>
        <w:rPr>
          <w:sz w:val="24"/>
        </w:rPr>
        <w:t>fire</w:t>
      </w:r>
      <w:r>
        <w:rPr>
          <w:spacing w:val="40"/>
          <w:sz w:val="24"/>
        </w:rPr>
        <w:t> </w:t>
      </w:r>
      <w:r>
        <w:rPr>
          <w:sz w:val="24"/>
        </w:rPr>
        <w:t>service</w:t>
      </w:r>
      <w:r>
        <w:rPr>
          <w:spacing w:val="40"/>
          <w:sz w:val="24"/>
        </w:rPr>
        <w:t> </w:t>
      </w:r>
      <w:r>
        <w:rPr>
          <w:spacing w:val="9"/>
          <w:sz w:val="24"/>
        </w:rPr>
        <w:t>inlet </w:t>
      </w:r>
      <w:r>
        <w:rPr>
          <w:sz w:val="24"/>
        </w:rPr>
        <w:t>at</w:t>
      </w:r>
      <w:r>
        <w:rPr>
          <w:spacing w:val="39"/>
          <w:sz w:val="24"/>
        </w:rPr>
        <w:t> </w:t>
      </w:r>
      <w:r>
        <w:rPr>
          <w:sz w:val="24"/>
        </w:rPr>
        <w:t>ground</w:t>
      </w:r>
      <w:r>
        <w:rPr>
          <w:spacing w:val="39"/>
          <w:sz w:val="24"/>
        </w:rPr>
        <w:t> </w:t>
      </w:r>
      <w:r>
        <w:rPr>
          <w:sz w:val="24"/>
        </w:rPr>
        <w:t>level</w:t>
      </w:r>
      <w:r>
        <w:rPr>
          <w:spacing w:val="39"/>
          <w:sz w:val="24"/>
        </w:rPr>
        <w:t> </w:t>
      </w:r>
      <w:r>
        <w:rPr>
          <w:sz w:val="24"/>
        </w:rPr>
        <w:t>filled</w:t>
      </w:r>
      <w:r>
        <w:rPr>
          <w:spacing w:val="39"/>
          <w:sz w:val="24"/>
        </w:rPr>
        <w:t> </w:t>
      </w:r>
      <w:r>
        <w:rPr>
          <w:sz w:val="24"/>
        </w:rPr>
        <w:t>with</w:t>
      </w:r>
      <w:r>
        <w:rPr>
          <w:spacing w:val="40"/>
          <w:sz w:val="24"/>
        </w:rPr>
        <w:t> </w:t>
      </w:r>
      <w:r>
        <w:rPr>
          <w:sz w:val="24"/>
        </w:rPr>
        <w:t>a</w:t>
      </w:r>
      <w:r>
        <w:rPr>
          <w:spacing w:val="39"/>
          <w:sz w:val="24"/>
        </w:rPr>
        <w:t> </w:t>
      </w:r>
      <w:r>
        <w:rPr>
          <w:spacing w:val="11"/>
          <w:sz w:val="24"/>
        </w:rPr>
        <w:t>non-</w:t>
      </w:r>
      <w:r>
        <w:rPr>
          <w:sz w:val="24"/>
        </w:rPr>
        <w:t>return</w:t>
      </w:r>
      <w:r>
        <w:rPr>
          <w:spacing w:val="39"/>
          <w:sz w:val="24"/>
        </w:rPr>
        <w:t> </w:t>
      </w:r>
      <w:r>
        <w:rPr>
          <w:sz w:val="24"/>
        </w:rPr>
        <w:t>valve</w:t>
      </w:r>
      <w:r>
        <w:rPr>
          <w:spacing w:val="40"/>
          <w:sz w:val="24"/>
        </w:rPr>
        <w:t> </w:t>
      </w:r>
      <w:r>
        <w:rPr>
          <w:sz w:val="24"/>
        </w:rPr>
        <w:t>shall</w:t>
      </w:r>
      <w:r>
        <w:rPr>
          <w:spacing w:val="40"/>
          <w:sz w:val="24"/>
        </w:rPr>
        <w:t> </w:t>
      </w:r>
      <w:r>
        <w:rPr>
          <w:sz w:val="24"/>
        </w:rPr>
        <w:t>also</w:t>
      </w:r>
      <w:r>
        <w:rPr>
          <w:spacing w:val="40"/>
          <w:sz w:val="24"/>
        </w:rPr>
        <w:t> </w:t>
      </w:r>
      <w:r>
        <w:rPr>
          <w:sz w:val="24"/>
        </w:rPr>
        <w:t>be</w:t>
      </w:r>
      <w:r>
        <w:rPr>
          <w:spacing w:val="39"/>
          <w:sz w:val="24"/>
        </w:rPr>
        <w:t> </w:t>
      </w:r>
      <w:r>
        <w:rPr>
          <w:sz w:val="24"/>
        </w:rPr>
        <w:t>provided to the rising main for charging it by a fire service pump in case of failure</w:t>
      </w:r>
      <w:r>
        <w:rPr>
          <w:spacing w:val="40"/>
          <w:sz w:val="24"/>
        </w:rPr>
        <w:t> </w:t>
      </w:r>
      <w:r>
        <w:rPr>
          <w:sz w:val="24"/>
        </w:rPr>
        <w:t>of</w:t>
      </w:r>
      <w:r>
        <w:rPr>
          <w:spacing w:val="40"/>
          <w:sz w:val="24"/>
        </w:rPr>
        <w:t> </w:t>
      </w:r>
      <w:r>
        <w:rPr>
          <w:sz w:val="24"/>
        </w:rPr>
        <w:t>static</w:t>
      </w:r>
      <w:r>
        <w:rPr>
          <w:spacing w:val="40"/>
          <w:sz w:val="24"/>
        </w:rPr>
        <w:t> </w:t>
      </w:r>
      <w:r>
        <w:rPr>
          <w:sz w:val="24"/>
        </w:rPr>
        <w:t>fire</w:t>
      </w:r>
      <w:r>
        <w:rPr>
          <w:spacing w:val="80"/>
          <w:sz w:val="24"/>
        </w:rPr>
        <w:t> </w:t>
      </w:r>
      <w:r>
        <w:rPr>
          <w:sz w:val="24"/>
        </w:rPr>
        <w:t>pumps</w:t>
      </w:r>
      <w:r>
        <w:rPr>
          <w:spacing w:val="40"/>
          <w:sz w:val="24"/>
        </w:rPr>
        <w:t> </w:t>
      </w:r>
      <w:r>
        <w:rPr>
          <w:sz w:val="24"/>
        </w:rPr>
        <w:t>over</w:t>
      </w:r>
      <w:r>
        <w:rPr>
          <w:spacing w:val="40"/>
          <w:sz w:val="24"/>
        </w:rPr>
        <w:t> </w:t>
      </w:r>
      <w:r>
        <w:rPr>
          <w:sz w:val="24"/>
        </w:rPr>
        <w:t>the</w:t>
      </w:r>
      <w:r>
        <w:rPr>
          <w:spacing w:val="40"/>
          <w:sz w:val="24"/>
        </w:rPr>
        <w:t> </w:t>
      </w:r>
      <w:r>
        <w:rPr>
          <w:sz w:val="24"/>
        </w:rPr>
        <w:t>underground</w:t>
      </w:r>
      <w:r>
        <w:rPr>
          <w:spacing w:val="40"/>
          <w:sz w:val="24"/>
        </w:rPr>
        <w:t> </w:t>
      </w:r>
      <w:r>
        <w:rPr>
          <w:sz w:val="24"/>
        </w:rPr>
        <w:t>static</w:t>
      </w:r>
      <w:r>
        <w:rPr>
          <w:spacing w:val="40"/>
          <w:sz w:val="24"/>
        </w:rPr>
        <w:t> </w:t>
      </w:r>
      <w:r>
        <w:rPr>
          <w:spacing w:val="9"/>
          <w:sz w:val="24"/>
        </w:rPr>
        <w:t>tanks.</w:t>
      </w:r>
    </w:p>
    <w:p>
      <w:pPr>
        <w:pStyle w:val="ListParagraph"/>
        <w:numPr>
          <w:ilvl w:val="0"/>
          <w:numId w:val="344"/>
        </w:numPr>
        <w:tabs>
          <w:tab w:pos="457" w:val="left" w:leader="none"/>
          <w:tab w:pos="555" w:val="left" w:leader="none"/>
        </w:tabs>
        <w:spacing w:line="240" w:lineRule="auto" w:before="241" w:after="0"/>
        <w:ind w:left="555" w:right="802" w:hanging="454"/>
        <w:jc w:val="both"/>
        <w:rPr>
          <w:sz w:val="24"/>
        </w:rPr>
      </w:pPr>
      <w:r>
        <w:rPr>
          <w:sz w:val="24"/>
        </w:rPr>
        <w:t>The performance of pumps specified above shall be at R.P.M. not exceeding </w:t>
      </w:r>
      <w:r>
        <w:rPr>
          <w:spacing w:val="9"/>
          <w:sz w:val="24"/>
        </w:rPr>
        <w:t>2,000.</w:t>
      </w:r>
    </w:p>
    <w:p>
      <w:pPr>
        <w:pStyle w:val="ListParagraph"/>
        <w:spacing w:after="0" w:line="240" w:lineRule="auto"/>
        <w:jc w:val="both"/>
        <w:rPr>
          <w:sz w:val="24"/>
        </w:rPr>
        <w:sectPr>
          <w:type w:val="continuous"/>
          <w:pgSz w:w="11910" w:h="16850"/>
          <w:pgMar w:header="1024" w:footer="1302" w:top="1360" w:bottom="280" w:left="360" w:right="360"/>
          <w:cols w:num="2" w:equalWidth="0">
            <w:col w:w="1431" w:space="40"/>
            <w:col w:w="9719"/>
          </w:cols>
        </w:sectPr>
      </w:pPr>
    </w:p>
    <w:p>
      <w:pPr>
        <w:pStyle w:val="ListParagraph"/>
        <w:numPr>
          <w:ilvl w:val="0"/>
          <w:numId w:val="344"/>
        </w:numPr>
        <w:tabs>
          <w:tab w:pos="1935" w:val="left" w:leader="none"/>
          <w:tab w:pos="2026" w:val="left" w:leader="none"/>
        </w:tabs>
        <w:spacing w:line="240" w:lineRule="auto" w:before="276" w:after="0"/>
        <w:ind w:left="2026" w:right="792" w:hanging="454"/>
        <w:jc w:val="both"/>
        <w:rPr>
          <w:sz w:val="24"/>
        </w:rPr>
      </w:pPr>
      <w:r>
        <w:rPr>
          <w:sz w:val="24"/>
        </w:rPr>
        <w:t>The</w:t>
      </w:r>
      <w:r>
        <w:rPr>
          <w:spacing w:val="80"/>
          <w:sz w:val="24"/>
        </w:rPr>
        <w:t> </w:t>
      </w:r>
      <w:r>
        <w:rPr>
          <w:sz w:val="24"/>
        </w:rPr>
        <w:t>above</w:t>
      </w:r>
      <w:r>
        <w:rPr>
          <w:spacing w:val="80"/>
          <w:sz w:val="24"/>
        </w:rPr>
        <w:t> </w:t>
      </w:r>
      <w:r>
        <w:rPr>
          <w:sz w:val="24"/>
        </w:rPr>
        <w:t>quantities</w:t>
      </w:r>
      <w:r>
        <w:rPr>
          <w:spacing w:val="80"/>
          <w:sz w:val="24"/>
        </w:rPr>
        <w:t> </w:t>
      </w:r>
      <w:r>
        <w:rPr>
          <w:sz w:val="24"/>
        </w:rPr>
        <w:t>of</w:t>
      </w:r>
      <w:r>
        <w:rPr>
          <w:spacing w:val="80"/>
          <w:sz w:val="24"/>
        </w:rPr>
        <w:t> </w:t>
      </w:r>
      <w:r>
        <w:rPr>
          <w:sz w:val="24"/>
        </w:rPr>
        <w:t>water</w:t>
      </w:r>
      <w:r>
        <w:rPr>
          <w:spacing w:val="80"/>
          <w:sz w:val="24"/>
        </w:rPr>
        <w:t> </w:t>
      </w:r>
      <w:r>
        <w:rPr>
          <w:sz w:val="24"/>
        </w:rPr>
        <w:t>shall</w:t>
      </w:r>
      <w:r>
        <w:rPr>
          <w:spacing w:val="80"/>
          <w:sz w:val="24"/>
        </w:rPr>
        <w:t> </w:t>
      </w:r>
      <w:r>
        <w:rPr>
          <w:sz w:val="24"/>
        </w:rPr>
        <w:t>be</w:t>
      </w:r>
      <w:r>
        <w:rPr>
          <w:spacing w:val="80"/>
          <w:sz w:val="24"/>
        </w:rPr>
        <w:t> </w:t>
      </w:r>
      <w:r>
        <w:rPr>
          <w:sz w:val="24"/>
        </w:rPr>
        <w:t>exclusively</w:t>
      </w:r>
      <w:r>
        <w:rPr>
          <w:spacing w:val="80"/>
          <w:sz w:val="24"/>
        </w:rPr>
        <w:t> </w:t>
      </w:r>
      <w:r>
        <w:rPr>
          <w:sz w:val="24"/>
        </w:rPr>
        <w:t>for</w:t>
      </w:r>
      <w:r>
        <w:rPr>
          <w:spacing w:val="80"/>
          <w:sz w:val="24"/>
        </w:rPr>
        <w:t> </w:t>
      </w:r>
      <w:r>
        <w:rPr>
          <w:sz w:val="24"/>
        </w:rPr>
        <w:t>firefighting and shall not be utilised for domestic/or other use.</w:t>
      </w:r>
      <w:r>
        <w:rPr>
          <w:spacing w:val="40"/>
          <w:sz w:val="24"/>
        </w:rPr>
        <w:t> </w:t>
      </w:r>
      <w:r>
        <w:rPr>
          <w:sz w:val="24"/>
        </w:rPr>
        <w:t>The layout of underground static water tank shall be as per the requirement of CFO/CFO manual.</w:t>
      </w:r>
    </w:p>
    <w:p>
      <w:pPr>
        <w:pStyle w:val="ListParagraph"/>
        <w:numPr>
          <w:ilvl w:val="0"/>
          <w:numId w:val="344"/>
        </w:numPr>
        <w:tabs>
          <w:tab w:pos="1890" w:val="left" w:leader="none"/>
          <w:tab w:pos="2026" w:val="left" w:leader="none"/>
        </w:tabs>
        <w:spacing w:line="240" w:lineRule="auto" w:before="241" w:after="0"/>
        <w:ind w:left="2026" w:right="786" w:hanging="454"/>
        <w:jc w:val="both"/>
        <w:rPr>
          <w:sz w:val="24"/>
        </w:rPr>
      </w:pPr>
      <w:r>
        <w:rPr>
          <w:sz w:val="24"/>
        </w:rPr>
        <w:t>The size of the riser in the </w:t>
      </w:r>
      <w:r>
        <w:rPr>
          <w:spacing w:val="11"/>
          <w:sz w:val="24"/>
        </w:rPr>
        <w:t>non-</w:t>
      </w:r>
      <w:r>
        <w:rPr>
          <w:sz w:val="24"/>
        </w:rPr>
        <w:t>residential buildings over 32 m. high shall</w:t>
      </w:r>
      <w:r>
        <w:rPr>
          <w:spacing w:val="40"/>
          <w:sz w:val="24"/>
        </w:rPr>
        <w:t> </w:t>
      </w:r>
      <w:r>
        <w:rPr>
          <w:sz w:val="24"/>
        </w:rPr>
        <w:t>be</w:t>
      </w:r>
      <w:r>
        <w:rPr>
          <w:spacing w:val="40"/>
          <w:sz w:val="24"/>
        </w:rPr>
        <w:t> </w:t>
      </w:r>
      <w:r>
        <w:rPr>
          <w:sz w:val="24"/>
        </w:rPr>
        <w:t>15</w:t>
      </w:r>
      <w:r>
        <w:rPr>
          <w:spacing w:val="40"/>
          <w:sz w:val="24"/>
        </w:rPr>
        <w:t> </w:t>
      </w:r>
      <w:r>
        <w:rPr>
          <w:sz w:val="24"/>
        </w:rPr>
        <w:t>cm.</w:t>
      </w:r>
      <w:r>
        <w:rPr>
          <w:spacing w:val="40"/>
          <w:sz w:val="24"/>
        </w:rPr>
        <w:t> </w:t>
      </w:r>
      <w:r>
        <w:rPr>
          <w:sz w:val="24"/>
        </w:rPr>
        <w:t>(internal</w:t>
      </w:r>
      <w:r>
        <w:rPr>
          <w:spacing w:val="40"/>
          <w:sz w:val="24"/>
        </w:rPr>
        <w:t> </w:t>
      </w:r>
      <w:r>
        <w:rPr>
          <w:sz w:val="24"/>
        </w:rPr>
        <w:t>dia.)</w:t>
      </w:r>
      <w:r>
        <w:rPr>
          <w:spacing w:val="40"/>
          <w:sz w:val="24"/>
        </w:rPr>
        <w:t> </w:t>
      </w:r>
      <w:r>
        <w:rPr>
          <w:sz w:val="24"/>
        </w:rPr>
        <w:t>with</w:t>
      </w:r>
      <w:r>
        <w:rPr>
          <w:spacing w:val="40"/>
          <w:sz w:val="24"/>
        </w:rPr>
        <w:t> </w:t>
      </w:r>
      <w:r>
        <w:rPr>
          <w:sz w:val="24"/>
        </w:rPr>
        <w:t>twin</w:t>
      </w:r>
      <w:r>
        <w:rPr>
          <w:spacing w:val="40"/>
          <w:sz w:val="24"/>
        </w:rPr>
        <w:t> </w:t>
      </w:r>
      <w:r>
        <w:rPr>
          <w:sz w:val="24"/>
        </w:rPr>
        <w:t>hydrant</w:t>
      </w:r>
      <w:r>
        <w:rPr>
          <w:spacing w:val="40"/>
          <w:sz w:val="24"/>
        </w:rPr>
        <w:t> </w:t>
      </w:r>
      <w:r>
        <w:rPr>
          <w:spacing w:val="10"/>
          <w:sz w:val="24"/>
        </w:rPr>
        <w:t>outlets</w:t>
      </w:r>
      <w:r>
        <w:rPr>
          <w:spacing w:val="40"/>
          <w:sz w:val="24"/>
        </w:rPr>
        <w:t> </w:t>
      </w:r>
      <w:r>
        <w:rPr>
          <w:sz w:val="24"/>
        </w:rPr>
        <w:t>and</w:t>
      </w:r>
      <w:r>
        <w:rPr>
          <w:spacing w:val="40"/>
          <w:sz w:val="24"/>
        </w:rPr>
        <w:t> </w:t>
      </w:r>
      <w:r>
        <w:rPr>
          <w:sz w:val="24"/>
        </w:rPr>
        <w:t>hose reel on each </w:t>
      </w:r>
      <w:r>
        <w:rPr>
          <w:spacing w:val="9"/>
          <w:sz w:val="24"/>
        </w:rPr>
        <w:t>floor.</w:t>
      </w:r>
    </w:p>
    <w:p>
      <w:pPr>
        <w:pStyle w:val="ListParagraph"/>
        <w:numPr>
          <w:ilvl w:val="0"/>
          <w:numId w:val="344"/>
        </w:numPr>
        <w:tabs>
          <w:tab w:pos="2026" w:val="left" w:leader="none"/>
          <w:tab w:pos="2031" w:val="left" w:leader="none"/>
        </w:tabs>
        <w:spacing w:line="240" w:lineRule="auto" w:before="239" w:after="0"/>
        <w:ind w:left="2026" w:right="792" w:hanging="368"/>
        <w:jc w:val="both"/>
        <w:rPr>
          <w:sz w:val="24"/>
        </w:rPr>
      </w:pPr>
      <w:r>
        <w:rPr>
          <w:sz w:val="24"/>
        </w:rPr>
        <w:t>A</w:t>
      </w:r>
      <w:r>
        <w:rPr>
          <w:spacing w:val="40"/>
          <w:sz w:val="24"/>
        </w:rPr>
        <w:t> </w:t>
      </w:r>
      <w:r>
        <w:rPr>
          <w:sz w:val="24"/>
        </w:rPr>
        <w:t>facility</w:t>
      </w:r>
      <w:r>
        <w:rPr>
          <w:spacing w:val="40"/>
          <w:sz w:val="24"/>
        </w:rPr>
        <w:t> </w:t>
      </w:r>
      <w:r>
        <w:rPr>
          <w:sz w:val="24"/>
        </w:rPr>
        <w:t>to</w:t>
      </w:r>
      <w:r>
        <w:rPr>
          <w:spacing w:val="40"/>
          <w:sz w:val="24"/>
        </w:rPr>
        <w:t> </w:t>
      </w:r>
      <w:r>
        <w:rPr>
          <w:sz w:val="24"/>
        </w:rPr>
        <w:t>boost</w:t>
      </w:r>
      <w:r>
        <w:rPr>
          <w:spacing w:val="40"/>
          <w:sz w:val="24"/>
        </w:rPr>
        <w:t> </w:t>
      </w:r>
      <w:r>
        <w:rPr>
          <w:sz w:val="24"/>
        </w:rPr>
        <w:t>water</w:t>
      </w:r>
      <w:r>
        <w:rPr>
          <w:spacing w:val="40"/>
          <w:sz w:val="24"/>
        </w:rPr>
        <w:t> </w:t>
      </w:r>
      <w:r>
        <w:rPr>
          <w:sz w:val="24"/>
        </w:rPr>
        <w:t>pressure</w:t>
      </w:r>
      <w:r>
        <w:rPr>
          <w:spacing w:val="40"/>
          <w:sz w:val="24"/>
        </w:rPr>
        <w:t> </w:t>
      </w:r>
      <w:r>
        <w:rPr>
          <w:sz w:val="24"/>
        </w:rPr>
        <w:t>in</w:t>
      </w:r>
      <w:r>
        <w:rPr>
          <w:spacing w:val="40"/>
          <w:sz w:val="24"/>
        </w:rPr>
        <w:t> </w:t>
      </w:r>
      <w:r>
        <w:rPr>
          <w:sz w:val="24"/>
        </w:rPr>
        <w:t>the</w:t>
      </w:r>
      <w:r>
        <w:rPr>
          <w:spacing w:val="40"/>
          <w:sz w:val="24"/>
        </w:rPr>
        <w:t> </w:t>
      </w:r>
      <w:r>
        <w:rPr>
          <w:sz w:val="24"/>
        </w:rPr>
        <w:t>riser</w:t>
      </w:r>
      <w:r>
        <w:rPr>
          <w:spacing w:val="40"/>
          <w:sz w:val="24"/>
        </w:rPr>
        <w:t> </w:t>
      </w:r>
      <w:r>
        <w:rPr>
          <w:sz w:val="24"/>
        </w:rPr>
        <w:t>directly</w:t>
      </w:r>
      <w:r>
        <w:rPr>
          <w:spacing w:val="40"/>
          <w:sz w:val="24"/>
        </w:rPr>
        <w:t> </w:t>
      </w:r>
      <w:r>
        <w:rPr>
          <w:sz w:val="24"/>
        </w:rPr>
        <w:t>from</w:t>
      </w:r>
      <w:r>
        <w:rPr>
          <w:spacing w:val="40"/>
          <w:sz w:val="24"/>
        </w:rPr>
        <w:t> </w:t>
      </w:r>
      <w:r>
        <w:rPr>
          <w:sz w:val="24"/>
        </w:rPr>
        <w:t>the mobile pump shall also be provided to the wet riser system with suitable</w:t>
      </w:r>
      <w:r>
        <w:rPr>
          <w:spacing w:val="40"/>
          <w:sz w:val="24"/>
        </w:rPr>
        <w:t> </w:t>
      </w:r>
      <w:r>
        <w:rPr>
          <w:sz w:val="24"/>
        </w:rPr>
        <w:t>fire</w:t>
      </w:r>
      <w:r>
        <w:rPr>
          <w:spacing w:val="40"/>
          <w:sz w:val="24"/>
        </w:rPr>
        <w:t> </w:t>
      </w:r>
      <w:r>
        <w:rPr>
          <w:sz w:val="24"/>
        </w:rPr>
        <w:t>service</w:t>
      </w:r>
      <w:r>
        <w:rPr>
          <w:spacing w:val="40"/>
          <w:sz w:val="24"/>
        </w:rPr>
        <w:t> </w:t>
      </w:r>
      <w:r>
        <w:rPr>
          <w:sz w:val="24"/>
        </w:rPr>
        <w:t>inlets</w:t>
      </w:r>
      <w:r>
        <w:rPr>
          <w:spacing w:val="40"/>
          <w:sz w:val="24"/>
        </w:rPr>
        <w:t> </w:t>
      </w:r>
      <w:r>
        <w:rPr>
          <w:sz w:val="24"/>
        </w:rPr>
        <w:t>(collecting</w:t>
      </w:r>
      <w:r>
        <w:rPr>
          <w:spacing w:val="40"/>
          <w:sz w:val="24"/>
        </w:rPr>
        <w:t> </w:t>
      </w:r>
      <w:r>
        <w:rPr>
          <w:sz w:val="24"/>
        </w:rPr>
        <w:t>head</w:t>
      </w:r>
      <w:r>
        <w:rPr>
          <w:spacing w:val="40"/>
          <w:sz w:val="24"/>
        </w:rPr>
        <w:t> </w:t>
      </w:r>
      <w:r>
        <w:rPr>
          <w:sz w:val="24"/>
        </w:rPr>
        <w:t>with</w:t>
      </w:r>
      <w:r>
        <w:rPr>
          <w:spacing w:val="40"/>
          <w:sz w:val="24"/>
        </w:rPr>
        <w:t> </w:t>
      </w:r>
      <w:r>
        <w:rPr>
          <w:sz w:val="24"/>
        </w:rPr>
        <w:t>two</w:t>
      </w:r>
      <w:r>
        <w:rPr>
          <w:spacing w:val="40"/>
          <w:sz w:val="24"/>
        </w:rPr>
        <w:t> </w:t>
      </w:r>
      <w:r>
        <w:rPr>
          <w:sz w:val="24"/>
        </w:rPr>
        <w:t>63</w:t>
      </w:r>
      <w:r>
        <w:rPr>
          <w:spacing w:val="40"/>
          <w:sz w:val="24"/>
        </w:rPr>
        <w:t> </w:t>
      </w:r>
      <w:r>
        <w:rPr>
          <w:sz w:val="24"/>
        </w:rPr>
        <w:t>mm</w:t>
      </w:r>
      <w:r>
        <w:rPr>
          <w:spacing w:val="40"/>
          <w:sz w:val="24"/>
        </w:rPr>
        <w:t> </w:t>
      </w:r>
      <w:r>
        <w:rPr>
          <w:sz w:val="24"/>
        </w:rPr>
        <w:t>inlets</w:t>
      </w:r>
      <w:r>
        <w:rPr>
          <w:spacing w:val="40"/>
          <w:sz w:val="24"/>
        </w:rPr>
        <w:t> </w:t>
      </w:r>
      <w:r>
        <w:rPr>
          <w:sz w:val="24"/>
        </w:rPr>
        <w:t>for</w:t>
      </w:r>
      <w:r>
        <w:rPr>
          <w:spacing w:val="40"/>
          <w:sz w:val="24"/>
        </w:rPr>
        <w:t> </w:t>
      </w:r>
      <w:r>
        <w:rPr>
          <w:sz w:val="24"/>
        </w:rPr>
        <w:t>10</w:t>
      </w:r>
      <w:r>
        <w:rPr>
          <w:spacing w:val="40"/>
          <w:sz w:val="24"/>
        </w:rPr>
        <w:t> </w:t>
      </w:r>
      <w:r>
        <w:rPr>
          <w:sz w:val="24"/>
        </w:rPr>
        <w:t>cm</w:t>
      </w:r>
      <w:r>
        <w:rPr>
          <w:spacing w:val="40"/>
          <w:sz w:val="24"/>
        </w:rPr>
        <w:t> </w:t>
      </w:r>
      <w:r>
        <w:rPr>
          <w:sz w:val="24"/>
        </w:rPr>
        <w:t>rising</w:t>
      </w:r>
      <w:r>
        <w:rPr>
          <w:spacing w:val="40"/>
          <w:sz w:val="24"/>
        </w:rPr>
        <w:t> </w:t>
      </w:r>
      <w:r>
        <w:rPr>
          <w:sz w:val="24"/>
        </w:rPr>
        <w:t>main</w:t>
      </w:r>
      <w:r>
        <w:rPr>
          <w:spacing w:val="40"/>
          <w:sz w:val="24"/>
        </w:rPr>
        <w:t> </w:t>
      </w:r>
      <w:r>
        <w:rPr>
          <w:sz w:val="24"/>
        </w:rPr>
        <w:t>and</w:t>
      </w:r>
      <w:r>
        <w:rPr>
          <w:spacing w:val="40"/>
          <w:sz w:val="24"/>
        </w:rPr>
        <w:t> </w:t>
      </w:r>
      <w:r>
        <w:rPr>
          <w:sz w:val="24"/>
        </w:rPr>
        <w:t>four</w:t>
      </w:r>
      <w:r>
        <w:rPr>
          <w:spacing w:val="40"/>
          <w:sz w:val="24"/>
        </w:rPr>
        <w:t> </w:t>
      </w:r>
      <w:r>
        <w:rPr>
          <w:sz w:val="24"/>
        </w:rPr>
        <w:t>63</w:t>
      </w:r>
      <w:r>
        <w:rPr>
          <w:spacing w:val="40"/>
          <w:sz w:val="24"/>
        </w:rPr>
        <w:t> </w:t>
      </w:r>
      <w:r>
        <w:rPr>
          <w:sz w:val="24"/>
        </w:rPr>
        <w:t>mm</w:t>
      </w:r>
      <w:r>
        <w:rPr>
          <w:spacing w:val="40"/>
          <w:sz w:val="24"/>
        </w:rPr>
        <w:t> </w:t>
      </w:r>
      <w:r>
        <w:rPr>
          <w:sz w:val="24"/>
        </w:rPr>
        <w:t>inlets</w:t>
      </w:r>
      <w:r>
        <w:rPr>
          <w:spacing w:val="40"/>
          <w:sz w:val="24"/>
        </w:rPr>
        <w:t> </w:t>
      </w:r>
      <w:r>
        <w:rPr>
          <w:sz w:val="24"/>
        </w:rPr>
        <w:t>with</w:t>
      </w:r>
      <w:r>
        <w:rPr>
          <w:spacing w:val="40"/>
          <w:sz w:val="24"/>
        </w:rPr>
        <w:t> </w:t>
      </w:r>
      <w:r>
        <w:rPr>
          <w:sz w:val="24"/>
        </w:rPr>
        <w:t>check</w:t>
      </w:r>
      <w:r>
        <w:rPr>
          <w:spacing w:val="40"/>
          <w:sz w:val="24"/>
        </w:rPr>
        <w:t> </w:t>
      </w:r>
      <w:r>
        <w:rPr>
          <w:sz w:val="24"/>
        </w:rPr>
        <w:t>valves</w:t>
      </w:r>
      <w:r>
        <w:rPr>
          <w:spacing w:val="40"/>
          <w:sz w:val="24"/>
        </w:rPr>
        <w:t> </w:t>
      </w:r>
      <w:r>
        <w:rPr>
          <w:sz w:val="24"/>
        </w:rPr>
        <w:t>for 15</w:t>
      </w:r>
      <w:r>
        <w:rPr>
          <w:spacing w:val="40"/>
          <w:sz w:val="24"/>
        </w:rPr>
        <w:t> </w:t>
      </w:r>
      <w:r>
        <w:rPr>
          <w:sz w:val="24"/>
        </w:rPr>
        <w:t>cm.</w:t>
      </w:r>
      <w:r>
        <w:rPr>
          <w:spacing w:val="40"/>
          <w:sz w:val="24"/>
        </w:rPr>
        <w:t> </w:t>
      </w:r>
      <w:r>
        <w:rPr>
          <w:sz w:val="24"/>
        </w:rPr>
        <w:t>Dia</w:t>
      </w:r>
      <w:r>
        <w:rPr>
          <w:spacing w:val="40"/>
          <w:sz w:val="24"/>
        </w:rPr>
        <w:t> </w:t>
      </w:r>
      <w:r>
        <w:rPr>
          <w:sz w:val="24"/>
        </w:rPr>
        <w:t>rising</w:t>
      </w:r>
      <w:r>
        <w:rPr>
          <w:spacing w:val="40"/>
          <w:sz w:val="24"/>
        </w:rPr>
        <w:t> </w:t>
      </w:r>
      <w:r>
        <w:rPr>
          <w:sz w:val="24"/>
        </w:rPr>
        <w:t>main)</w:t>
      </w:r>
      <w:r>
        <w:rPr>
          <w:spacing w:val="40"/>
          <w:sz w:val="24"/>
        </w:rPr>
        <w:t> </w:t>
      </w:r>
      <w:r>
        <w:rPr>
          <w:sz w:val="24"/>
        </w:rPr>
        <w:t>and</w:t>
      </w:r>
      <w:r>
        <w:rPr>
          <w:spacing w:val="40"/>
          <w:sz w:val="24"/>
        </w:rPr>
        <w:t> </w:t>
      </w:r>
      <w:r>
        <w:rPr>
          <w:sz w:val="24"/>
        </w:rPr>
        <w:t>a</w:t>
      </w:r>
      <w:r>
        <w:rPr>
          <w:spacing w:val="40"/>
          <w:sz w:val="24"/>
        </w:rPr>
        <w:t> </w:t>
      </w:r>
      <w:r>
        <w:rPr>
          <w:spacing w:val="10"/>
          <w:sz w:val="24"/>
        </w:rPr>
        <w:t>non-</w:t>
      </w:r>
      <w:r>
        <w:rPr>
          <w:sz w:val="24"/>
        </w:rPr>
        <w:t>return</w:t>
      </w:r>
      <w:r>
        <w:rPr>
          <w:spacing w:val="40"/>
          <w:sz w:val="24"/>
        </w:rPr>
        <w:t> </w:t>
      </w:r>
      <w:r>
        <w:rPr>
          <w:sz w:val="24"/>
        </w:rPr>
        <w:t>valve</w:t>
      </w:r>
      <w:r>
        <w:rPr>
          <w:spacing w:val="40"/>
          <w:sz w:val="24"/>
        </w:rPr>
        <w:t> </w:t>
      </w:r>
      <w:r>
        <w:rPr>
          <w:sz w:val="24"/>
        </w:rPr>
        <w:t>and</w:t>
      </w:r>
      <w:r>
        <w:rPr>
          <w:spacing w:val="40"/>
          <w:sz w:val="24"/>
        </w:rPr>
        <w:t> </w:t>
      </w:r>
      <w:r>
        <w:rPr>
          <w:sz w:val="24"/>
        </w:rPr>
        <w:t>a</w:t>
      </w:r>
      <w:r>
        <w:rPr>
          <w:spacing w:val="40"/>
          <w:sz w:val="24"/>
        </w:rPr>
        <w:t> </w:t>
      </w:r>
      <w:r>
        <w:rPr>
          <w:sz w:val="24"/>
        </w:rPr>
        <w:t>gate</w:t>
      </w:r>
      <w:r>
        <w:rPr>
          <w:spacing w:val="40"/>
          <w:sz w:val="24"/>
        </w:rPr>
        <w:t> </w:t>
      </w:r>
      <w:r>
        <w:rPr>
          <w:sz w:val="24"/>
        </w:rPr>
        <w:t>valve.</w:t>
      </w:r>
    </w:p>
    <w:p>
      <w:pPr>
        <w:pStyle w:val="ListParagraph"/>
        <w:numPr>
          <w:ilvl w:val="0"/>
          <w:numId w:val="344"/>
        </w:numPr>
        <w:tabs>
          <w:tab w:pos="1930" w:val="left" w:leader="none"/>
          <w:tab w:pos="2026" w:val="left" w:leader="none"/>
        </w:tabs>
        <w:spacing w:line="240" w:lineRule="auto" w:before="241" w:after="0"/>
        <w:ind w:left="2026" w:right="791" w:hanging="454"/>
        <w:jc w:val="both"/>
        <w:rPr>
          <w:sz w:val="24"/>
        </w:rPr>
      </w:pPr>
      <w:r>
        <w:rPr>
          <w:sz w:val="24"/>
        </w:rPr>
        <w:t>Hose</w:t>
      </w:r>
      <w:r>
        <w:rPr>
          <w:spacing w:val="40"/>
          <w:sz w:val="24"/>
        </w:rPr>
        <w:t> </w:t>
      </w:r>
      <w:r>
        <w:rPr>
          <w:spacing w:val="10"/>
          <w:sz w:val="24"/>
        </w:rPr>
        <w:t>Reel-</w:t>
      </w:r>
      <w:r>
        <w:rPr>
          <w:sz w:val="24"/>
        </w:rPr>
        <w:t>The</w:t>
      </w:r>
      <w:r>
        <w:rPr>
          <w:spacing w:val="40"/>
          <w:sz w:val="24"/>
        </w:rPr>
        <w:t> </w:t>
      </w:r>
      <w:r>
        <w:rPr>
          <w:sz w:val="24"/>
        </w:rPr>
        <w:t>Internal</w:t>
      </w:r>
      <w:r>
        <w:rPr>
          <w:spacing w:val="40"/>
          <w:sz w:val="24"/>
        </w:rPr>
        <w:t> </w:t>
      </w:r>
      <w:r>
        <w:rPr>
          <w:sz w:val="24"/>
        </w:rPr>
        <w:t>diameter</w:t>
      </w:r>
      <w:r>
        <w:rPr>
          <w:spacing w:val="40"/>
          <w:sz w:val="24"/>
        </w:rPr>
        <w:t> </w:t>
      </w:r>
      <w:r>
        <w:rPr>
          <w:sz w:val="24"/>
        </w:rPr>
        <w:t>of</w:t>
      </w:r>
      <w:r>
        <w:rPr>
          <w:spacing w:val="40"/>
          <w:sz w:val="24"/>
        </w:rPr>
        <w:t> </w:t>
      </w:r>
      <w:r>
        <w:rPr>
          <w:sz w:val="24"/>
        </w:rPr>
        <w:t>rubber</w:t>
      </w:r>
      <w:r>
        <w:rPr>
          <w:spacing w:val="40"/>
          <w:sz w:val="24"/>
        </w:rPr>
        <w:t> </w:t>
      </w:r>
      <w:r>
        <w:rPr>
          <w:sz w:val="24"/>
        </w:rPr>
        <w:t>hose</w:t>
      </w:r>
      <w:r>
        <w:rPr>
          <w:spacing w:val="40"/>
          <w:sz w:val="24"/>
        </w:rPr>
        <w:t> </w:t>
      </w:r>
      <w:r>
        <w:rPr>
          <w:sz w:val="24"/>
        </w:rPr>
        <w:t>for</w:t>
      </w:r>
      <w:r>
        <w:rPr>
          <w:spacing w:val="40"/>
          <w:sz w:val="24"/>
        </w:rPr>
        <w:t> </w:t>
      </w:r>
      <w:r>
        <w:rPr>
          <w:sz w:val="24"/>
        </w:rPr>
        <w:t>the</w:t>
      </w:r>
      <w:r>
        <w:rPr>
          <w:spacing w:val="40"/>
          <w:sz w:val="24"/>
        </w:rPr>
        <w:t> </w:t>
      </w:r>
      <w:r>
        <w:rPr>
          <w:sz w:val="24"/>
        </w:rPr>
        <w:t>hose</w:t>
      </w:r>
      <w:r>
        <w:rPr>
          <w:spacing w:val="40"/>
          <w:sz w:val="24"/>
        </w:rPr>
        <w:t> </w:t>
      </w:r>
      <w:r>
        <w:rPr>
          <w:sz w:val="24"/>
        </w:rPr>
        <w:t>reel shall</w:t>
      </w:r>
      <w:r>
        <w:rPr>
          <w:spacing w:val="38"/>
          <w:sz w:val="24"/>
        </w:rPr>
        <w:t> </w:t>
      </w:r>
      <w:r>
        <w:rPr>
          <w:sz w:val="24"/>
        </w:rPr>
        <w:t>be</w:t>
      </w:r>
      <w:r>
        <w:rPr>
          <w:spacing w:val="38"/>
          <w:sz w:val="24"/>
        </w:rPr>
        <w:t> </w:t>
      </w:r>
      <w:r>
        <w:rPr>
          <w:sz w:val="24"/>
        </w:rPr>
        <w:t>a</w:t>
      </w:r>
      <w:r>
        <w:rPr>
          <w:spacing w:val="40"/>
          <w:sz w:val="24"/>
        </w:rPr>
        <w:t> </w:t>
      </w:r>
      <w:r>
        <w:rPr>
          <w:sz w:val="24"/>
        </w:rPr>
        <w:t>minimum</w:t>
      </w:r>
      <w:r>
        <w:rPr>
          <w:spacing w:val="40"/>
          <w:sz w:val="24"/>
        </w:rPr>
        <w:t> </w:t>
      </w:r>
      <w:r>
        <w:rPr>
          <w:sz w:val="24"/>
        </w:rPr>
        <w:t>of</w:t>
      </w:r>
      <w:r>
        <w:rPr>
          <w:spacing w:val="40"/>
          <w:sz w:val="24"/>
        </w:rPr>
        <w:t> </w:t>
      </w:r>
      <w:r>
        <w:rPr>
          <w:sz w:val="24"/>
        </w:rPr>
        <w:t>19</w:t>
      </w:r>
      <w:r>
        <w:rPr>
          <w:spacing w:val="38"/>
          <w:sz w:val="24"/>
        </w:rPr>
        <w:t> </w:t>
      </w:r>
      <w:r>
        <w:rPr>
          <w:sz w:val="24"/>
        </w:rPr>
        <w:t>mm.</w:t>
      </w:r>
      <w:r>
        <w:rPr>
          <w:spacing w:val="34"/>
          <w:sz w:val="24"/>
        </w:rPr>
        <w:t>  </w:t>
      </w:r>
      <w:r>
        <w:rPr>
          <w:sz w:val="24"/>
        </w:rPr>
        <w:t>A</w:t>
      </w:r>
      <w:r>
        <w:rPr>
          <w:spacing w:val="38"/>
          <w:sz w:val="24"/>
        </w:rPr>
        <w:t> </w:t>
      </w:r>
      <w:r>
        <w:rPr>
          <w:spacing w:val="10"/>
          <w:sz w:val="24"/>
        </w:rPr>
        <w:t>shut-</w:t>
      </w:r>
      <w:r>
        <w:rPr>
          <w:sz w:val="24"/>
        </w:rPr>
        <w:t>off</w:t>
      </w:r>
      <w:r>
        <w:rPr>
          <w:spacing w:val="40"/>
          <w:sz w:val="24"/>
        </w:rPr>
        <w:t> </w:t>
      </w:r>
      <w:r>
        <w:rPr>
          <w:sz w:val="24"/>
        </w:rPr>
        <w:t>branch</w:t>
      </w:r>
      <w:r>
        <w:rPr>
          <w:spacing w:val="38"/>
          <w:sz w:val="24"/>
        </w:rPr>
        <w:t> </w:t>
      </w:r>
      <w:r>
        <w:rPr>
          <w:sz w:val="24"/>
        </w:rPr>
        <w:t>with</w:t>
      </w:r>
      <w:r>
        <w:rPr>
          <w:spacing w:val="40"/>
          <w:sz w:val="24"/>
        </w:rPr>
        <w:t> </w:t>
      </w:r>
      <w:r>
        <w:rPr>
          <w:sz w:val="24"/>
        </w:rPr>
        <w:t>a</w:t>
      </w:r>
      <w:r>
        <w:rPr>
          <w:spacing w:val="38"/>
          <w:sz w:val="24"/>
        </w:rPr>
        <w:t> </w:t>
      </w:r>
      <w:r>
        <w:rPr>
          <w:sz w:val="24"/>
        </w:rPr>
        <w:t>nozzle</w:t>
      </w:r>
      <w:r>
        <w:rPr>
          <w:spacing w:val="38"/>
          <w:sz w:val="24"/>
        </w:rPr>
        <w:t> </w:t>
      </w:r>
      <w:r>
        <w:rPr>
          <w:sz w:val="24"/>
        </w:rPr>
        <w:t>of</w:t>
      </w:r>
    </w:p>
    <w:p>
      <w:pPr>
        <w:pStyle w:val="BodyText"/>
        <w:spacing w:line="280" w:lineRule="exact"/>
        <w:ind w:left="2026"/>
        <w:jc w:val="left"/>
      </w:pPr>
      <w:r>
        <w:rPr/>
        <w:t>4.8</w:t>
      </w:r>
      <w:r>
        <w:rPr>
          <w:spacing w:val="41"/>
        </w:rPr>
        <w:t> </w:t>
      </w:r>
      <w:r>
        <w:rPr/>
        <w:t>mm.</w:t>
      </w:r>
      <w:r>
        <w:rPr>
          <w:spacing w:val="42"/>
        </w:rPr>
        <w:t> </w:t>
      </w:r>
      <w:r>
        <w:rPr/>
        <w:t>size</w:t>
      </w:r>
      <w:r>
        <w:rPr>
          <w:spacing w:val="40"/>
        </w:rPr>
        <w:t> </w:t>
      </w:r>
      <w:r>
        <w:rPr/>
        <w:t>shall</w:t>
      </w:r>
      <w:r>
        <w:rPr>
          <w:spacing w:val="44"/>
        </w:rPr>
        <w:t> </w:t>
      </w:r>
      <w:r>
        <w:rPr/>
        <w:t>be</w:t>
      </w:r>
      <w:r>
        <w:rPr>
          <w:spacing w:val="41"/>
        </w:rPr>
        <w:t> </w:t>
      </w:r>
      <w:r>
        <w:rPr>
          <w:spacing w:val="-2"/>
        </w:rPr>
        <w:t>provided.</w:t>
      </w:r>
    </w:p>
    <w:p>
      <w:pPr>
        <w:pStyle w:val="Heading6"/>
        <w:numPr>
          <w:ilvl w:val="1"/>
          <w:numId w:val="335"/>
        </w:numPr>
        <w:tabs>
          <w:tab w:pos="1548" w:val="left" w:leader="none"/>
        </w:tabs>
        <w:spacing w:line="240" w:lineRule="auto" w:before="239" w:after="0"/>
        <w:ind w:left="1548" w:right="0" w:hanging="430"/>
        <w:jc w:val="left"/>
        <w:rPr>
          <w:i w:val="0"/>
        </w:rPr>
      </w:pPr>
      <w:r>
        <w:rPr/>
        <w:t>Wet</w:t>
      </w:r>
      <w:r>
        <w:rPr>
          <w:spacing w:val="46"/>
        </w:rPr>
        <w:t> </w:t>
      </w:r>
      <w:r>
        <w:rPr/>
        <w:t>Riser</w:t>
      </w:r>
      <w:r>
        <w:rPr>
          <w:spacing w:val="46"/>
        </w:rPr>
        <w:t> </w:t>
      </w:r>
      <w:r>
        <w:rPr>
          <w:spacing w:val="-2"/>
        </w:rPr>
        <w:t>Installation</w:t>
      </w:r>
    </w:p>
    <w:p>
      <w:pPr>
        <w:pStyle w:val="BodyText"/>
        <w:spacing w:before="242"/>
        <w:ind w:left="1498" w:right="785"/>
      </w:pPr>
      <w:r>
        <w:rPr/>
        <w:t>They</w:t>
      </w:r>
      <w:r>
        <w:rPr>
          <w:spacing w:val="40"/>
        </w:rPr>
        <w:t> </w:t>
      </w:r>
      <w:r>
        <w:rPr/>
        <w:t>shall</w:t>
      </w:r>
      <w:r>
        <w:rPr>
          <w:spacing w:val="40"/>
        </w:rPr>
        <w:t> </w:t>
      </w:r>
      <w:r>
        <w:rPr/>
        <w:t>conform</w:t>
      </w:r>
      <w:r>
        <w:rPr>
          <w:spacing w:val="40"/>
        </w:rPr>
        <w:t> </w:t>
      </w:r>
      <w:r>
        <w:rPr/>
        <w:t>to</w:t>
      </w:r>
      <w:r>
        <w:rPr>
          <w:spacing w:val="40"/>
        </w:rPr>
        <w:t> </w:t>
      </w:r>
      <w:r>
        <w:rPr/>
        <w:t>IS:</w:t>
      </w:r>
      <w:r>
        <w:rPr>
          <w:spacing w:val="40"/>
        </w:rPr>
        <w:t> </w:t>
      </w:r>
      <w:r>
        <w:rPr>
          <w:spacing w:val="10"/>
        </w:rPr>
        <w:t>3644-</w:t>
      </w:r>
      <w:r>
        <w:rPr/>
        <w:t>1966</w:t>
      </w:r>
      <w:r>
        <w:rPr>
          <w:spacing w:val="40"/>
        </w:rPr>
        <w:t> </w:t>
      </w:r>
      <w:r>
        <w:rPr/>
        <w:t>Code</w:t>
      </w:r>
      <w:r>
        <w:rPr>
          <w:spacing w:val="40"/>
        </w:rPr>
        <w:t> </w:t>
      </w:r>
      <w:r>
        <w:rPr/>
        <w:t>of</w:t>
      </w:r>
      <w:r>
        <w:rPr>
          <w:spacing w:val="40"/>
        </w:rPr>
        <w:t> </w:t>
      </w:r>
      <w:r>
        <w:rPr/>
        <w:t>Practice</w:t>
      </w:r>
      <w:r>
        <w:rPr>
          <w:spacing w:val="40"/>
        </w:rPr>
        <w:t> </w:t>
      </w:r>
      <w:r>
        <w:rPr/>
        <w:t>for</w:t>
      </w:r>
      <w:r>
        <w:rPr>
          <w:spacing w:val="40"/>
        </w:rPr>
        <w:t> </w:t>
      </w:r>
      <w:r>
        <w:rPr/>
        <w:t>Installations</w:t>
      </w:r>
      <w:r>
        <w:rPr>
          <w:spacing w:val="40"/>
        </w:rPr>
        <w:t> </w:t>
      </w:r>
      <w:r>
        <w:rPr/>
        <w:t>of</w:t>
      </w:r>
      <w:r>
        <w:rPr>
          <w:spacing w:val="40"/>
        </w:rPr>
        <w:t> </w:t>
      </w:r>
      <w:r>
        <w:rPr/>
        <w:t>Internal</w:t>
      </w:r>
      <w:r>
        <w:rPr>
          <w:spacing w:val="40"/>
        </w:rPr>
        <w:t> </w:t>
      </w:r>
      <w:r>
        <w:rPr/>
        <w:t>Fire</w:t>
      </w:r>
      <w:r>
        <w:rPr>
          <w:spacing w:val="40"/>
        </w:rPr>
        <w:t> </w:t>
      </w:r>
      <w:r>
        <w:rPr/>
        <w:t>Hydrants</w:t>
      </w:r>
      <w:r>
        <w:rPr>
          <w:spacing w:val="40"/>
        </w:rPr>
        <w:t> </w:t>
      </w:r>
      <w:r>
        <w:rPr/>
        <w:t>in</w:t>
      </w:r>
      <w:r>
        <w:rPr>
          <w:spacing w:val="40"/>
        </w:rPr>
        <w:t> </w:t>
      </w:r>
      <w:r>
        <w:rPr>
          <w:spacing w:val="10"/>
        </w:rPr>
        <w:t>high-</w:t>
      </w:r>
      <w:r>
        <w:rPr/>
        <w:t>rise</w:t>
      </w:r>
      <w:r>
        <w:rPr>
          <w:spacing w:val="40"/>
        </w:rPr>
        <w:t> </w:t>
      </w:r>
      <w:r>
        <w:rPr/>
        <w:t>buildings.</w:t>
      </w:r>
      <w:r>
        <w:rPr>
          <w:spacing w:val="40"/>
        </w:rPr>
        <w:t> </w:t>
      </w:r>
      <w:r>
        <w:rPr/>
        <w:t>In</w:t>
      </w:r>
      <w:r>
        <w:rPr>
          <w:spacing w:val="40"/>
        </w:rPr>
        <w:t> </w:t>
      </w:r>
      <w:r>
        <w:rPr/>
        <w:t>addition,</w:t>
      </w:r>
      <w:r>
        <w:rPr>
          <w:spacing w:val="40"/>
        </w:rPr>
        <w:t> </w:t>
      </w:r>
      <w:r>
        <w:rPr/>
        <w:t>the</w:t>
      </w:r>
      <w:r>
        <w:rPr>
          <w:spacing w:val="40"/>
        </w:rPr>
        <w:t> </w:t>
      </w:r>
      <w:r>
        <w:rPr/>
        <w:t>wet- riser shall be designed for zonal distribution ensuring that unduly high pressure</w:t>
      </w:r>
      <w:r>
        <w:rPr>
          <w:spacing w:val="40"/>
        </w:rPr>
        <w:t> </w:t>
      </w:r>
      <w:r>
        <w:rPr/>
        <w:t>does</w:t>
      </w:r>
      <w:r>
        <w:rPr>
          <w:spacing w:val="40"/>
        </w:rPr>
        <w:t> </w:t>
      </w:r>
      <w:r>
        <w:rPr/>
        <w:t>not</w:t>
      </w:r>
      <w:r>
        <w:rPr>
          <w:spacing w:val="40"/>
        </w:rPr>
        <w:t> </w:t>
      </w:r>
      <w:r>
        <w:rPr/>
        <w:t>develop</w:t>
      </w:r>
      <w:r>
        <w:rPr>
          <w:spacing w:val="40"/>
        </w:rPr>
        <w:t> </w:t>
      </w:r>
      <w:r>
        <w:rPr/>
        <w:t>in</w:t>
      </w:r>
      <w:r>
        <w:rPr>
          <w:spacing w:val="40"/>
        </w:rPr>
        <w:t> </w:t>
      </w:r>
      <w:r>
        <w:rPr/>
        <w:t>risers</w:t>
      </w:r>
      <w:r>
        <w:rPr>
          <w:spacing w:val="40"/>
        </w:rPr>
        <w:t> </w:t>
      </w:r>
      <w:r>
        <w:rPr/>
        <w:t>and</w:t>
      </w:r>
      <w:r>
        <w:rPr>
          <w:spacing w:val="40"/>
        </w:rPr>
        <w:t> </w:t>
      </w:r>
      <w:r>
        <w:rPr/>
        <w:t>hose</w:t>
      </w:r>
      <w:r>
        <w:rPr>
          <w:spacing w:val="40"/>
        </w:rPr>
        <w:t> </w:t>
      </w:r>
      <w:r>
        <w:rPr/>
        <w:t>pipes.</w:t>
      </w:r>
    </w:p>
    <w:p>
      <w:pPr>
        <w:pStyle w:val="BodyText"/>
        <w:spacing w:before="241"/>
        <w:ind w:left="1498" w:right="785"/>
      </w:pPr>
      <w:r>
        <w:rPr/>
        <w:t>In addition to </w:t>
      </w:r>
      <w:r>
        <w:rPr>
          <w:spacing w:val="10"/>
        </w:rPr>
        <w:t>wet-</w:t>
      </w:r>
      <w:r>
        <w:rPr/>
        <w:t>riser, wet </w:t>
      </w:r>
      <w:r>
        <w:rPr>
          <w:spacing w:val="9"/>
        </w:rPr>
        <w:t>riser-cum-</w:t>
      </w:r>
      <w:r>
        <w:rPr/>
        <w:t>down corner, first aid hose reels shall</w:t>
      </w:r>
      <w:r>
        <w:rPr>
          <w:spacing w:val="40"/>
        </w:rPr>
        <w:t> </w:t>
      </w:r>
      <w:r>
        <w:rPr/>
        <w:t>be</w:t>
      </w:r>
      <w:r>
        <w:rPr>
          <w:spacing w:val="40"/>
        </w:rPr>
        <w:t> </w:t>
      </w:r>
      <w:r>
        <w:rPr/>
        <w:t>installed</w:t>
      </w:r>
      <w:r>
        <w:rPr>
          <w:spacing w:val="40"/>
        </w:rPr>
        <w:t> </w:t>
      </w:r>
      <w:r>
        <w:rPr/>
        <w:t>on</w:t>
      </w:r>
      <w:r>
        <w:rPr>
          <w:spacing w:val="40"/>
        </w:rPr>
        <w:t> </w:t>
      </w:r>
      <w:r>
        <w:rPr/>
        <w:t>the</w:t>
      </w:r>
      <w:r>
        <w:rPr>
          <w:spacing w:val="40"/>
        </w:rPr>
        <w:t> </w:t>
      </w:r>
      <w:r>
        <w:rPr/>
        <w:t>floors</w:t>
      </w:r>
      <w:r>
        <w:rPr>
          <w:spacing w:val="40"/>
        </w:rPr>
        <w:t> </w:t>
      </w:r>
      <w:r>
        <w:rPr/>
        <w:t>of</w:t>
      </w:r>
      <w:r>
        <w:rPr>
          <w:spacing w:val="40"/>
        </w:rPr>
        <w:t> </w:t>
      </w:r>
      <w:r>
        <w:rPr/>
        <w:t>buildings</w:t>
      </w:r>
      <w:r>
        <w:rPr>
          <w:spacing w:val="40"/>
        </w:rPr>
        <w:t> </w:t>
      </w:r>
      <w:r>
        <w:rPr/>
        <w:t>above</w:t>
      </w:r>
      <w:r>
        <w:rPr>
          <w:spacing w:val="40"/>
        </w:rPr>
        <w:t> </w:t>
      </w:r>
      <w:r>
        <w:rPr/>
        <w:t>32</w:t>
      </w:r>
      <w:r>
        <w:rPr>
          <w:spacing w:val="40"/>
        </w:rPr>
        <w:t> </w:t>
      </w:r>
      <w:r>
        <w:rPr/>
        <w:t>m.</w:t>
      </w:r>
      <w:r>
        <w:rPr>
          <w:spacing w:val="40"/>
        </w:rPr>
        <w:t> </w:t>
      </w:r>
      <w:r>
        <w:rPr/>
        <w:t>and</w:t>
      </w:r>
      <w:r>
        <w:rPr>
          <w:spacing w:val="11"/>
        </w:rPr>
        <w:t> shall </w:t>
      </w:r>
      <w:r>
        <w:rPr/>
        <w:t>conform to IS </w:t>
      </w:r>
      <w:r>
        <w:rPr>
          <w:spacing w:val="9"/>
        </w:rPr>
        <w:t>:884-</w:t>
      </w:r>
      <w:r>
        <w:rPr/>
        <w:t>1969 Specifications for First Aid Hose Reel for Fire Fighting</w:t>
      </w:r>
      <w:r>
        <w:rPr>
          <w:spacing w:val="40"/>
        </w:rPr>
        <w:t> </w:t>
      </w:r>
      <w:r>
        <w:rPr/>
        <w:t>(Fixed</w:t>
      </w:r>
      <w:r>
        <w:rPr>
          <w:spacing w:val="40"/>
        </w:rPr>
        <w:t> </w:t>
      </w:r>
      <w:r>
        <w:rPr/>
        <w:t>Installation).</w:t>
      </w:r>
      <w:r>
        <w:rPr>
          <w:spacing w:val="40"/>
        </w:rPr>
        <w:t>  </w:t>
      </w:r>
      <w:r>
        <w:rPr/>
        <w:t>The</w:t>
      </w:r>
      <w:r>
        <w:rPr>
          <w:spacing w:val="40"/>
        </w:rPr>
        <w:t> </w:t>
      </w:r>
      <w:r>
        <w:rPr/>
        <w:t>first</w:t>
      </w:r>
      <w:r>
        <w:rPr>
          <w:spacing w:val="40"/>
        </w:rPr>
        <w:t> </w:t>
      </w:r>
      <w:r>
        <w:rPr/>
        <w:t>aid</w:t>
      </w:r>
      <w:r>
        <w:rPr>
          <w:spacing w:val="40"/>
        </w:rPr>
        <w:t> </w:t>
      </w:r>
      <w:r>
        <w:rPr/>
        <w:t>hose</w:t>
      </w:r>
      <w:r>
        <w:rPr>
          <w:spacing w:val="40"/>
        </w:rPr>
        <w:t> </w:t>
      </w:r>
      <w:r>
        <w:rPr/>
        <w:t>reel</w:t>
      </w:r>
      <w:r>
        <w:rPr>
          <w:spacing w:val="40"/>
        </w:rPr>
        <w:t> </w:t>
      </w:r>
      <w:r>
        <w:rPr/>
        <w:t>shall</w:t>
      </w:r>
      <w:r>
        <w:rPr>
          <w:spacing w:val="40"/>
        </w:rPr>
        <w:t> </w:t>
      </w:r>
      <w:r>
        <w:rPr/>
        <w:t>be</w:t>
      </w:r>
      <w:r>
        <w:rPr>
          <w:spacing w:val="40"/>
        </w:rPr>
        <w:t> </w:t>
      </w:r>
      <w:r>
        <w:rPr/>
        <w:t>connected to</w:t>
      </w:r>
      <w:r>
        <w:rPr>
          <w:spacing w:val="40"/>
        </w:rPr>
        <w:t> </w:t>
      </w:r>
      <w:r>
        <w:rPr/>
        <w:t>one</w:t>
      </w:r>
      <w:r>
        <w:rPr>
          <w:spacing w:val="40"/>
        </w:rPr>
        <w:t> </w:t>
      </w:r>
      <w:r>
        <w:rPr/>
        <w:t>of</w:t>
      </w:r>
      <w:r>
        <w:rPr>
          <w:spacing w:val="40"/>
        </w:rPr>
        <w:t> </w:t>
      </w:r>
      <w:r>
        <w:rPr/>
        <w:t>the</w:t>
      </w:r>
      <w:r>
        <w:rPr>
          <w:spacing w:val="40"/>
        </w:rPr>
        <w:t> </w:t>
      </w:r>
      <w:r>
        <w:rPr/>
        <w:t>female</w:t>
      </w:r>
      <w:r>
        <w:rPr>
          <w:spacing w:val="40"/>
        </w:rPr>
        <w:t> </w:t>
      </w:r>
      <w:r>
        <w:rPr/>
        <w:t>couplings</w:t>
      </w:r>
      <w:r>
        <w:rPr>
          <w:spacing w:val="40"/>
        </w:rPr>
        <w:t> </w:t>
      </w:r>
      <w:r>
        <w:rPr/>
        <w:t>of</w:t>
      </w:r>
      <w:r>
        <w:rPr>
          <w:spacing w:val="40"/>
        </w:rPr>
        <w:t> </w:t>
      </w:r>
      <w:r>
        <w:rPr/>
        <w:t>twin</w:t>
      </w:r>
      <w:r>
        <w:rPr>
          <w:spacing w:val="40"/>
        </w:rPr>
        <w:t> </w:t>
      </w:r>
      <w:r>
        <w:rPr/>
        <w:t>couplings</w:t>
      </w:r>
      <w:r>
        <w:rPr>
          <w:spacing w:val="40"/>
        </w:rPr>
        <w:t> </w:t>
      </w:r>
      <w:r>
        <w:rPr/>
        <w:t>of</w:t>
      </w:r>
      <w:r>
        <w:rPr>
          <w:spacing w:val="40"/>
        </w:rPr>
        <w:t> </w:t>
      </w:r>
      <w:r>
        <w:rPr/>
        <w:t>landing</w:t>
      </w:r>
      <w:r>
        <w:rPr>
          <w:spacing w:val="40"/>
        </w:rPr>
        <w:t> </w:t>
      </w:r>
      <w:r>
        <w:rPr/>
        <w:t>valves directly to the wet riser in the case of single outlet of the wet riser installations</w:t>
      </w:r>
      <w:r>
        <w:rPr>
          <w:spacing w:val="40"/>
        </w:rPr>
        <w:t> </w:t>
      </w:r>
      <w:r>
        <w:rPr/>
        <w:t>by</w:t>
      </w:r>
      <w:r>
        <w:rPr>
          <w:spacing w:val="40"/>
        </w:rPr>
        <w:t> </w:t>
      </w:r>
      <w:r>
        <w:rPr/>
        <w:t>means</w:t>
      </w:r>
      <w:r>
        <w:rPr>
          <w:spacing w:val="40"/>
        </w:rPr>
        <w:t> </w:t>
      </w:r>
      <w:r>
        <w:rPr/>
        <w:t>of</w:t>
      </w:r>
      <w:r>
        <w:rPr>
          <w:spacing w:val="40"/>
        </w:rPr>
        <w:t> </w:t>
      </w:r>
      <w:r>
        <w:rPr/>
        <w:t>adapter:</w:t>
      </w:r>
      <w:r>
        <w:rPr>
          <w:spacing w:val="40"/>
        </w:rPr>
        <w:t> </w:t>
      </w:r>
      <w:r>
        <w:rPr/>
        <w:t>-</w:t>
      </w:r>
    </w:p>
    <w:p>
      <w:pPr>
        <w:pStyle w:val="ListParagraph"/>
        <w:numPr>
          <w:ilvl w:val="2"/>
          <w:numId w:val="335"/>
        </w:numPr>
        <w:tabs>
          <w:tab w:pos="2023" w:val="left" w:leader="none"/>
          <w:tab w:pos="2026" w:val="left" w:leader="none"/>
        </w:tabs>
        <w:spacing w:line="240" w:lineRule="auto" w:before="239" w:after="0"/>
        <w:ind w:left="2026" w:right="779" w:hanging="569"/>
        <w:jc w:val="both"/>
        <w:rPr>
          <w:sz w:val="24"/>
        </w:rPr>
      </w:pPr>
      <w:r>
        <w:rPr>
          <w:sz w:val="24"/>
        </w:rPr>
        <w:t>Static Water Storage Tank</w:t>
      </w:r>
      <w:r>
        <w:rPr>
          <w:b/>
          <w:sz w:val="24"/>
        </w:rPr>
        <w:t>: -</w:t>
      </w:r>
      <w:r>
        <w:rPr>
          <w:b/>
          <w:spacing w:val="40"/>
          <w:sz w:val="24"/>
        </w:rPr>
        <w:t> </w:t>
      </w:r>
      <w:r>
        <w:rPr>
          <w:sz w:val="24"/>
        </w:rPr>
        <w:t>A satisfactory supply of water for the purpose of firefighting shall always be available in the form of an underground static storage tank with capacity specified for each building</w:t>
      </w:r>
      <w:r>
        <w:rPr>
          <w:spacing w:val="80"/>
          <w:sz w:val="24"/>
        </w:rPr>
        <w:t> </w:t>
      </w:r>
      <w:r>
        <w:rPr>
          <w:sz w:val="24"/>
        </w:rPr>
        <w:t>with</w:t>
      </w:r>
      <w:r>
        <w:rPr>
          <w:spacing w:val="80"/>
          <w:sz w:val="24"/>
        </w:rPr>
        <w:t> </w:t>
      </w:r>
      <w:r>
        <w:rPr>
          <w:sz w:val="24"/>
        </w:rPr>
        <w:t>arrangements</w:t>
      </w:r>
      <w:r>
        <w:rPr>
          <w:spacing w:val="80"/>
          <w:sz w:val="24"/>
        </w:rPr>
        <w:t> </w:t>
      </w:r>
      <w:r>
        <w:rPr>
          <w:sz w:val="24"/>
        </w:rPr>
        <w:t>of</w:t>
      </w:r>
      <w:r>
        <w:rPr>
          <w:spacing w:val="80"/>
          <w:sz w:val="24"/>
        </w:rPr>
        <w:t> </w:t>
      </w:r>
      <w:r>
        <w:rPr>
          <w:sz w:val="24"/>
        </w:rPr>
        <w:t>replenishment</w:t>
      </w:r>
      <w:r>
        <w:rPr>
          <w:spacing w:val="80"/>
          <w:sz w:val="24"/>
        </w:rPr>
        <w:t> </w:t>
      </w:r>
      <w:r>
        <w:rPr>
          <w:sz w:val="24"/>
        </w:rPr>
        <w:t>by</w:t>
      </w:r>
      <w:r>
        <w:rPr>
          <w:spacing w:val="80"/>
          <w:sz w:val="24"/>
        </w:rPr>
        <w:t> </w:t>
      </w:r>
      <w:r>
        <w:rPr>
          <w:sz w:val="24"/>
        </w:rPr>
        <w:t>main</w:t>
      </w:r>
      <w:r>
        <w:rPr>
          <w:spacing w:val="80"/>
          <w:sz w:val="24"/>
        </w:rPr>
        <w:t> </w:t>
      </w:r>
      <w:r>
        <w:rPr>
          <w:sz w:val="24"/>
        </w:rPr>
        <w:t>or alternative source of supply at 1,000 liters per minute.</w:t>
      </w:r>
      <w:r>
        <w:rPr>
          <w:spacing w:val="40"/>
          <w:sz w:val="24"/>
        </w:rPr>
        <w:t> </w:t>
      </w:r>
      <w:r>
        <w:rPr>
          <w:sz w:val="24"/>
        </w:rPr>
        <w:t>The </w:t>
      </w:r>
      <w:r>
        <w:rPr>
          <w:spacing w:val="9"/>
          <w:sz w:val="24"/>
        </w:rPr>
        <w:t>static </w:t>
      </w:r>
      <w:r>
        <w:rPr>
          <w:sz w:val="24"/>
        </w:rPr>
        <w:t>storage water supply should easily be accessible to fire engines. Provision</w:t>
      </w:r>
      <w:r>
        <w:rPr>
          <w:spacing w:val="40"/>
          <w:sz w:val="24"/>
        </w:rPr>
        <w:t> </w:t>
      </w:r>
      <w:r>
        <w:rPr>
          <w:sz w:val="24"/>
        </w:rPr>
        <w:t>of</w:t>
      </w:r>
      <w:r>
        <w:rPr>
          <w:spacing w:val="40"/>
          <w:sz w:val="24"/>
        </w:rPr>
        <w:t> </w:t>
      </w:r>
      <w:r>
        <w:rPr>
          <w:sz w:val="24"/>
        </w:rPr>
        <w:t>suitable</w:t>
      </w:r>
      <w:r>
        <w:rPr>
          <w:spacing w:val="40"/>
          <w:sz w:val="24"/>
        </w:rPr>
        <w:t> </w:t>
      </w:r>
      <w:r>
        <w:rPr>
          <w:sz w:val="24"/>
        </w:rPr>
        <w:t>number</w:t>
      </w:r>
      <w:r>
        <w:rPr>
          <w:spacing w:val="40"/>
          <w:sz w:val="24"/>
        </w:rPr>
        <w:t> </w:t>
      </w:r>
      <w:r>
        <w:rPr>
          <w:sz w:val="24"/>
        </w:rPr>
        <w:t>of</w:t>
      </w:r>
      <w:r>
        <w:rPr>
          <w:spacing w:val="40"/>
          <w:sz w:val="24"/>
        </w:rPr>
        <w:t> </w:t>
      </w:r>
      <w:r>
        <w:rPr>
          <w:sz w:val="24"/>
        </w:rPr>
        <w:t>manholes</w:t>
      </w:r>
      <w:r>
        <w:rPr>
          <w:spacing w:val="40"/>
          <w:sz w:val="24"/>
        </w:rPr>
        <w:t> </w:t>
      </w:r>
      <w:r>
        <w:rPr>
          <w:sz w:val="24"/>
        </w:rPr>
        <w:t>shall</w:t>
      </w:r>
      <w:r>
        <w:rPr>
          <w:spacing w:val="40"/>
          <w:sz w:val="24"/>
        </w:rPr>
        <w:t> </w:t>
      </w:r>
      <w:r>
        <w:rPr>
          <w:sz w:val="24"/>
        </w:rPr>
        <w:t>be</w:t>
      </w:r>
      <w:r>
        <w:rPr>
          <w:spacing w:val="40"/>
          <w:sz w:val="24"/>
        </w:rPr>
        <w:t> </w:t>
      </w:r>
      <w:r>
        <w:rPr>
          <w:sz w:val="24"/>
        </w:rPr>
        <w:t>made</w:t>
      </w:r>
      <w:r>
        <w:rPr>
          <w:spacing w:val="40"/>
          <w:sz w:val="24"/>
        </w:rPr>
        <w:t> </w:t>
      </w:r>
      <w:r>
        <w:rPr>
          <w:sz w:val="24"/>
        </w:rPr>
        <w:t>available for immersion, repairs and inspection of suction hose etc.</w:t>
      </w:r>
      <w:r>
        <w:rPr>
          <w:spacing w:val="80"/>
          <w:sz w:val="24"/>
        </w:rPr>
        <w:t> </w:t>
      </w:r>
      <w:r>
        <w:rPr>
          <w:sz w:val="24"/>
        </w:rPr>
        <w:t>The</w:t>
      </w:r>
      <w:r>
        <w:rPr>
          <w:spacing w:val="40"/>
          <w:sz w:val="24"/>
        </w:rPr>
        <w:t> </w:t>
      </w:r>
      <w:r>
        <w:rPr>
          <w:sz w:val="24"/>
        </w:rPr>
        <w:t>covering</w:t>
      </w:r>
      <w:r>
        <w:rPr>
          <w:spacing w:val="40"/>
          <w:sz w:val="24"/>
        </w:rPr>
        <w:t> </w:t>
      </w:r>
      <w:r>
        <w:rPr>
          <w:sz w:val="24"/>
        </w:rPr>
        <w:t>slab</w:t>
      </w:r>
      <w:r>
        <w:rPr>
          <w:spacing w:val="40"/>
          <w:sz w:val="24"/>
        </w:rPr>
        <w:t> </w:t>
      </w:r>
      <w:r>
        <w:rPr>
          <w:sz w:val="24"/>
        </w:rPr>
        <w:t>shall</w:t>
      </w:r>
      <w:r>
        <w:rPr>
          <w:spacing w:val="40"/>
          <w:sz w:val="24"/>
        </w:rPr>
        <w:t> </w:t>
      </w:r>
      <w:r>
        <w:rPr>
          <w:sz w:val="24"/>
        </w:rPr>
        <w:t>be</w:t>
      </w:r>
      <w:r>
        <w:rPr>
          <w:spacing w:val="40"/>
          <w:sz w:val="24"/>
        </w:rPr>
        <w:t> </w:t>
      </w:r>
      <w:r>
        <w:rPr>
          <w:sz w:val="24"/>
        </w:rPr>
        <w:t>able</w:t>
      </w:r>
      <w:r>
        <w:rPr>
          <w:spacing w:val="40"/>
          <w:sz w:val="24"/>
        </w:rPr>
        <w:t> </w:t>
      </w:r>
      <w:r>
        <w:rPr>
          <w:sz w:val="24"/>
        </w:rPr>
        <w:t>to</w:t>
      </w:r>
      <w:r>
        <w:rPr>
          <w:spacing w:val="40"/>
          <w:sz w:val="24"/>
        </w:rPr>
        <w:t> </w:t>
      </w:r>
      <w:r>
        <w:rPr>
          <w:sz w:val="24"/>
        </w:rPr>
        <w:t>withstand</w:t>
      </w:r>
      <w:r>
        <w:rPr>
          <w:spacing w:val="40"/>
          <w:sz w:val="24"/>
        </w:rPr>
        <w:t> </w:t>
      </w:r>
      <w:r>
        <w:rPr>
          <w:sz w:val="24"/>
        </w:rPr>
        <w:t>a</w:t>
      </w:r>
      <w:r>
        <w:rPr>
          <w:spacing w:val="40"/>
          <w:sz w:val="24"/>
        </w:rPr>
        <w:t> </w:t>
      </w:r>
      <w:r>
        <w:rPr>
          <w:sz w:val="24"/>
        </w:rPr>
        <w:t>vehicular</w:t>
      </w:r>
      <w:r>
        <w:rPr>
          <w:spacing w:val="40"/>
          <w:sz w:val="24"/>
        </w:rPr>
        <w:t> </w:t>
      </w:r>
      <w:r>
        <w:rPr>
          <w:sz w:val="24"/>
        </w:rPr>
        <w:t>load</w:t>
      </w:r>
      <w:r>
        <w:rPr>
          <w:spacing w:val="40"/>
          <w:sz w:val="24"/>
        </w:rPr>
        <w:t> </w:t>
      </w:r>
      <w:r>
        <w:rPr>
          <w:sz w:val="24"/>
        </w:rPr>
        <w:t>of</w:t>
      </w:r>
      <w:r>
        <w:rPr>
          <w:spacing w:val="40"/>
          <w:sz w:val="24"/>
        </w:rPr>
        <w:t> </w:t>
      </w:r>
      <w:r>
        <w:rPr>
          <w:sz w:val="24"/>
        </w:rPr>
        <w:t>18 tonnes. The domestic suction tank connected to the static water storage</w:t>
      </w:r>
      <w:r>
        <w:rPr>
          <w:spacing w:val="40"/>
          <w:sz w:val="24"/>
        </w:rPr>
        <w:t> </w:t>
      </w:r>
      <w:r>
        <w:rPr>
          <w:sz w:val="24"/>
        </w:rPr>
        <w:t>tank</w:t>
      </w:r>
      <w:r>
        <w:rPr>
          <w:spacing w:val="40"/>
          <w:sz w:val="24"/>
        </w:rPr>
        <w:t> </w:t>
      </w:r>
      <w:r>
        <w:rPr>
          <w:sz w:val="24"/>
        </w:rPr>
        <w:t>shall</w:t>
      </w:r>
      <w:r>
        <w:rPr>
          <w:spacing w:val="40"/>
          <w:sz w:val="24"/>
        </w:rPr>
        <w:t> </w:t>
      </w:r>
      <w:r>
        <w:rPr>
          <w:sz w:val="24"/>
        </w:rPr>
        <w:t>have</w:t>
      </w:r>
      <w:r>
        <w:rPr>
          <w:spacing w:val="40"/>
          <w:sz w:val="24"/>
        </w:rPr>
        <w:t> </w:t>
      </w:r>
      <w:r>
        <w:rPr>
          <w:sz w:val="24"/>
        </w:rPr>
        <w:t>an</w:t>
      </w:r>
      <w:r>
        <w:rPr>
          <w:spacing w:val="40"/>
          <w:sz w:val="24"/>
        </w:rPr>
        <w:t> </w:t>
      </w:r>
      <w:r>
        <w:rPr>
          <w:sz w:val="24"/>
        </w:rPr>
        <w:t>overflow</w:t>
      </w:r>
      <w:r>
        <w:rPr>
          <w:spacing w:val="40"/>
          <w:sz w:val="24"/>
        </w:rPr>
        <w:t> </w:t>
      </w:r>
      <w:r>
        <w:rPr>
          <w:sz w:val="24"/>
        </w:rPr>
        <w:t>capable</w:t>
      </w:r>
      <w:r>
        <w:rPr>
          <w:spacing w:val="40"/>
          <w:sz w:val="24"/>
        </w:rPr>
        <w:t> </w:t>
      </w:r>
      <w:r>
        <w:rPr>
          <w:sz w:val="24"/>
        </w:rPr>
        <w:t>of</w:t>
      </w:r>
      <w:r>
        <w:rPr>
          <w:spacing w:val="40"/>
          <w:sz w:val="24"/>
        </w:rPr>
        <w:t> </w:t>
      </w:r>
      <w:r>
        <w:rPr>
          <w:sz w:val="24"/>
        </w:rPr>
        <w:t>discharging</w:t>
      </w:r>
      <w:r>
        <w:rPr>
          <w:spacing w:val="40"/>
          <w:sz w:val="24"/>
        </w:rPr>
        <w:t> </w:t>
      </w:r>
      <w:r>
        <w:rPr>
          <w:sz w:val="24"/>
        </w:rPr>
        <w:t>2250 litres per minute to a visible drain point from which by a separate conduit</w:t>
      </w:r>
      <w:r>
        <w:rPr>
          <w:spacing w:val="77"/>
          <w:sz w:val="24"/>
        </w:rPr>
        <w:t> </w:t>
      </w:r>
      <w:r>
        <w:rPr>
          <w:sz w:val="24"/>
        </w:rPr>
        <w:t>the</w:t>
      </w:r>
      <w:r>
        <w:rPr>
          <w:spacing w:val="40"/>
          <w:sz w:val="24"/>
        </w:rPr>
        <w:t> </w:t>
      </w:r>
      <w:r>
        <w:rPr>
          <w:sz w:val="24"/>
        </w:rPr>
        <w:t>overflow</w:t>
      </w:r>
      <w:r>
        <w:rPr>
          <w:spacing w:val="40"/>
          <w:sz w:val="24"/>
        </w:rPr>
        <w:t> </w:t>
      </w:r>
      <w:r>
        <w:rPr>
          <w:sz w:val="24"/>
        </w:rPr>
        <w:t>shall</w:t>
      </w:r>
      <w:r>
        <w:rPr>
          <w:spacing w:val="40"/>
          <w:sz w:val="24"/>
        </w:rPr>
        <w:t> </w:t>
      </w:r>
      <w:r>
        <w:rPr>
          <w:sz w:val="24"/>
        </w:rPr>
        <w:t>be</w:t>
      </w:r>
      <w:r>
        <w:rPr>
          <w:spacing w:val="40"/>
          <w:sz w:val="24"/>
        </w:rPr>
        <w:t> </w:t>
      </w:r>
      <w:r>
        <w:rPr>
          <w:sz w:val="24"/>
        </w:rPr>
        <w:t>conveyed</w:t>
      </w:r>
      <w:r>
        <w:rPr>
          <w:spacing w:val="40"/>
          <w:sz w:val="24"/>
        </w:rPr>
        <w:t> </w:t>
      </w:r>
      <w:r>
        <w:rPr>
          <w:sz w:val="24"/>
        </w:rPr>
        <w:t>to</w:t>
      </w:r>
      <w:r>
        <w:rPr>
          <w:spacing w:val="40"/>
          <w:sz w:val="24"/>
        </w:rPr>
        <w:t> </w:t>
      </w:r>
      <w:r>
        <w:rPr>
          <w:sz w:val="24"/>
        </w:rPr>
        <w:t>a</w:t>
      </w:r>
      <w:r>
        <w:rPr>
          <w:spacing w:val="40"/>
          <w:sz w:val="24"/>
        </w:rPr>
        <w:t> </w:t>
      </w:r>
      <w:r>
        <w:rPr>
          <w:sz w:val="24"/>
        </w:rPr>
        <w:t>storm</w:t>
      </w:r>
      <w:r>
        <w:rPr>
          <w:spacing w:val="40"/>
          <w:sz w:val="24"/>
        </w:rPr>
        <w:t> </w:t>
      </w:r>
      <w:r>
        <w:rPr>
          <w:sz w:val="24"/>
        </w:rPr>
        <w:t>water</w:t>
      </w:r>
      <w:r>
        <w:rPr>
          <w:spacing w:val="77"/>
          <w:sz w:val="24"/>
        </w:rPr>
        <w:t> </w:t>
      </w:r>
      <w:r>
        <w:rPr>
          <w:sz w:val="24"/>
        </w:rPr>
        <w:t>drain.</w:t>
      </w:r>
    </w:p>
    <w:p>
      <w:pPr>
        <w:pStyle w:val="ListParagraph"/>
        <w:spacing w:after="0" w:line="240" w:lineRule="auto"/>
        <w:jc w:val="both"/>
        <w:rPr>
          <w:sz w:val="24"/>
        </w:rPr>
        <w:sectPr>
          <w:pgSz w:w="11910" w:h="16850"/>
          <w:pgMar w:header="1024" w:footer="1302" w:top="1480" w:bottom="1500" w:left="360" w:right="360"/>
        </w:sectPr>
      </w:pPr>
    </w:p>
    <w:p>
      <w:pPr>
        <w:pStyle w:val="ListParagraph"/>
        <w:numPr>
          <w:ilvl w:val="2"/>
          <w:numId w:val="335"/>
        </w:numPr>
        <w:tabs>
          <w:tab w:pos="2026" w:val="left" w:leader="none"/>
          <w:tab w:pos="2174" w:val="left" w:leader="none"/>
        </w:tabs>
        <w:spacing w:line="240" w:lineRule="auto" w:before="276" w:after="0"/>
        <w:ind w:left="2026" w:right="789" w:hanging="569"/>
        <w:jc w:val="both"/>
        <w:rPr>
          <w:sz w:val="24"/>
        </w:rPr>
      </w:pPr>
      <w:r>
        <w:rPr>
          <w:sz w:val="24"/>
        </w:rPr>
        <w:tab/>
        <w:t>To</w:t>
      </w:r>
      <w:r>
        <w:rPr>
          <w:spacing w:val="40"/>
          <w:sz w:val="24"/>
        </w:rPr>
        <w:t> </w:t>
      </w:r>
      <w:r>
        <w:rPr>
          <w:sz w:val="24"/>
        </w:rPr>
        <w:t>prevent</w:t>
      </w:r>
      <w:r>
        <w:rPr>
          <w:spacing w:val="40"/>
          <w:sz w:val="24"/>
        </w:rPr>
        <w:t> </w:t>
      </w:r>
      <w:r>
        <w:rPr>
          <w:sz w:val="24"/>
        </w:rPr>
        <w:t>stagnation</w:t>
      </w:r>
      <w:r>
        <w:rPr>
          <w:spacing w:val="40"/>
          <w:sz w:val="24"/>
        </w:rPr>
        <w:t> </w:t>
      </w:r>
      <w:r>
        <w:rPr>
          <w:sz w:val="24"/>
        </w:rPr>
        <w:t>of</w:t>
      </w:r>
      <w:r>
        <w:rPr>
          <w:spacing w:val="40"/>
          <w:sz w:val="24"/>
        </w:rPr>
        <w:t> </w:t>
      </w:r>
      <w:r>
        <w:rPr>
          <w:sz w:val="24"/>
        </w:rPr>
        <w:t>water</w:t>
      </w:r>
      <w:r>
        <w:rPr>
          <w:spacing w:val="40"/>
          <w:sz w:val="24"/>
        </w:rPr>
        <w:t> </w:t>
      </w:r>
      <w:r>
        <w:rPr>
          <w:sz w:val="24"/>
        </w:rPr>
        <w:t>in</w:t>
      </w:r>
      <w:r>
        <w:rPr>
          <w:spacing w:val="40"/>
          <w:sz w:val="24"/>
        </w:rPr>
        <w:t> </w:t>
      </w:r>
      <w:r>
        <w:rPr>
          <w:sz w:val="24"/>
        </w:rPr>
        <w:t>the</w:t>
      </w:r>
      <w:r>
        <w:rPr>
          <w:spacing w:val="40"/>
          <w:sz w:val="24"/>
        </w:rPr>
        <w:t> </w:t>
      </w:r>
      <w:r>
        <w:rPr>
          <w:sz w:val="24"/>
        </w:rPr>
        <w:t>static</w:t>
      </w:r>
      <w:r>
        <w:rPr>
          <w:spacing w:val="40"/>
          <w:sz w:val="24"/>
        </w:rPr>
        <w:t> </w:t>
      </w:r>
      <w:r>
        <w:rPr>
          <w:sz w:val="24"/>
        </w:rPr>
        <w:t>water</w:t>
      </w:r>
      <w:r>
        <w:rPr>
          <w:spacing w:val="40"/>
          <w:sz w:val="24"/>
        </w:rPr>
        <w:t> </w:t>
      </w:r>
      <w:r>
        <w:rPr>
          <w:sz w:val="24"/>
        </w:rPr>
        <w:t>storage</w:t>
      </w:r>
      <w:r>
        <w:rPr>
          <w:spacing w:val="40"/>
          <w:sz w:val="24"/>
        </w:rPr>
        <w:t> </w:t>
      </w:r>
      <w:r>
        <w:rPr>
          <w:sz w:val="24"/>
        </w:rPr>
        <w:t>tank,</w:t>
      </w:r>
      <w:r>
        <w:rPr>
          <w:spacing w:val="40"/>
          <w:sz w:val="24"/>
        </w:rPr>
        <w:t> </w:t>
      </w:r>
      <w:r>
        <w:rPr>
          <w:sz w:val="24"/>
        </w:rPr>
        <w:t>the suction tank of the domestic water </w:t>
      </w:r>
      <w:r>
        <w:rPr>
          <w:spacing w:val="9"/>
          <w:sz w:val="24"/>
        </w:rPr>
        <w:t>supply</w:t>
      </w:r>
      <w:r>
        <w:rPr>
          <w:spacing w:val="9"/>
          <w:sz w:val="24"/>
        </w:rPr>
        <w:t> </w:t>
      </w:r>
      <w:r>
        <w:rPr>
          <w:sz w:val="24"/>
        </w:rPr>
        <w:t>shall be fed only through</w:t>
      </w:r>
      <w:r>
        <w:rPr>
          <w:spacing w:val="40"/>
          <w:sz w:val="24"/>
        </w:rPr>
        <w:t> </w:t>
      </w:r>
      <w:r>
        <w:rPr>
          <w:sz w:val="24"/>
        </w:rPr>
        <w:t>an</w:t>
      </w:r>
      <w:r>
        <w:rPr>
          <w:spacing w:val="40"/>
          <w:sz w:val="24"/>
        </w:rPr>
        <w:t> </w:t>
      </w:r>
      <w:r>
        <w:rPr>
          <w:sz w:val="24"/>
        </w:rPr>
        <w:t>overflow</w:t>
      </w:r>
      <w:r>
        <w:rPr>
          <w:spacing w:val="40"/>
          <w:sz w:val="24"/>
        </w:rPr>
        <w:t> </w:t>
      </w:r>
      <w:r>
        <w:rPr>
          <w:sz w:val="24"/>
        </w:rPr>
        <w:t>arrangement</w:t>
      </w:r>
      <w:r>
        <w:rPr>
          <w:spacing w:val="40"/>
          <w:sz w:val="24"/>
        </w:rPr>
        <w:t> </w:t>
      </w:r>
      <w:r>
        <w:rPr>
          <w:sz w:val="24"/>
        </w:rPr>
        <w:t>to</w:t>
      </w:r>
      <w:r>
        <w:rPr>
          <w:spacing w:val="40"/>
          <w:sz w:val="24"/>
        </w:rPr>
        <w:t> </w:t>
      </w:r>
      <w:r>
        <w:rPr>
          <w:sz w:val="24"/>
        </w:rPr>
        <w:t>maintain</w:t>
      </w:r>
      <w:r>
        <w:rPr>
          <w:spacing w:val="40"/>
          <w:sz w:val="24"/>
        </w:rPr>
        <w:t> </w:t>
      </w:r>
      <w:r>
        <w:rPr>
          <w:sz w:val="24"/>
        </w:rPr>
        <w:t>the</w:t>
      </w:r>
      <w:r>
        <w:rPr>
          <w:spacing w:val="40"/>
          <w:sz w:val="24"/>
        </w:rPr>
        <w:t> </w:t>
      </w:r>
      <w:r>
        <w:rPr>
          <w:sz w:val="24"/>
        </w:rPr>
        <w:t>level</w:t>
      </w:r>
      <w:r>
        <w:rPr>
          <w:spacing w:val="40"/>
          <w:sz w:val="24"/>
        </w:rPr>
        <w:t> </w:t>
      </w:r>
      <w:r>
        <w:rPr>
          <w:sz w:val="24"/>
        </w:rPr>
        <w:t>therein</w:t>
      </w:r>
      <w:r>
        <w:rPr>
          <w:spacing w:val="40"/>
          <w:sz w:val="24"/>
        </w:rPr>
        <w:t> </w:t>
      </w:r>
      <w:r>
        <w:rPr>
          <w:sz w:val="24"/>
        </w:rPr>
        <w:t>at the</w:t>
      </w:r>
      <w:r>
        <w:rPr>
          <w:spacing w:val="40"/>
          <w:sz w:val="24"/>
        </w:rPr>
        <w:t> </w:t>
      </w:r>
      <w:r>
        <w:rPr>
          <w:sz w:val="24"/>
        </w:rPr>
        <w:t>minimum</w:t>
      </w:r>
      <w:r>
        <w:rPr>
          <w:spacing w:val="40"/>
          <w:sz w:val="24"/>
        </w:rPr>
        <w:t> </w:t>
      </w:r>
      <w:r>
        <w:rPr>
          <w:sz w:val="24"/>
        </w:rPr>
        <w:t>specified</w:t>
      </w:r>
      <w:r>
        <w:rPr>
          <w:spacing w:val="9"/>
          <w:sz w:val="24"/>
        </w:rPr>
        <w:t> capacity.</w:t>
      </w:r>
    </w:p>
    <w:p>
      <w:pPr>
        <w:pStyle w:val="ListParagraph"/>
        <w:numPr>
          <w:ilvl w:val="2"/>
          <w:numId w:val="335"/>
        </w:numPr>
        <w:tabs>
          <w:tab w:pos="2026" w:val="left" w:leader="none"/>
          <w:tab w:pos="2173" w:val="left" w:leader="none"/>
        </w:tabs>
        <w:spacing w:line="240" w:lineRule="auto" w:before="241" w:after="0"/>
        <w:ind w:left="2026" w:right="782" w:hanging="569"/>
        <w:jc w:val="both"/>
        <w:rPr>
          <w:sz w:val="24"/>
        </w:rPr>
      </w:pPr>
      <w:r>
        <w:rPr>
          <w:sz w:val="24"/>
        </w:rPr>
        <w:tab/>
        <w:t>The static water storage tank shall be provided with a fire brigade collecting breaching with four 63 mm. Dia. (two of 63 mm. dia. for pump</w:t>
      </w:r>
      <w:r>
        <w:rPr>
          <w:spacing w:val="80"/>
          <w:sz w:val="24"/>
        </w:rPr>
        <w:t> </w:t>
      </w:r>
      <w:r>
        <w:rPr>
          <w:sz w:val="24"/>
        </w:rPr>
        <w:t>with</w:t>
      </w:r>
      <w:r>
        <w:rPr>
          <w:spacing w:val="80"/>
          <w:sz w:val="24"/>
        </w:rPr>
        <w:t> </w:t>
      </w:r>
      <w:r>
        <w:rPr>
          <w:sz w:val="24"/>
        </w:rPr>
        <w:t>capacity</w:t>
      </w:r>
      <w:r>
        <w:rPr>
          <w:spacing w:val="80"/>
          <w:sz w:val="24"/>
        </w:rPr>
        <w:t> </w:t>
      </w:r>
      <w:r>
        <w:rPr>
          <w:sz w:val="24"/>
        </w:rPr>
        <w:t>1,400</w:t>
      </w:r>
      <w:r>
        <w:rPr>
          <w:spacing w:val="80"/>
          <w:sz w:val="24"/>
        </w:rPr>
        <w:t> </w:t>
      </w:r>
      <w:r>
        <w:rPr>
          <w:sz w:val="24"/>
        </w:rPr>
        <w:t>liters/minute)</w:t>
      </w:r>
      <w:r>
        <w:rPr>
          <w:spacing w:val="80"/>
          <w:sz w:val="24"/>
        </w:rPr>
        <w:t> </w:t>
      </w:r>
      <w:r>
        <w:rPr>
          <w:sz w:val="24"/>
        </w:rPr>
        <w:t>instantaneous</w:t>
      </w:r>
      <w:r>
        <w:rPr>
          <w:spacing w:val="80"/>
          <w:sz w:val="24"/>
        </w:rPr>
        <w:t> </w:t>
      </w:r>
      <w:r>
        <w:rPr>
          <w:sz w:val="24"/>
        </w:rPr>
        <w:t>male</w:t>
      </w:r>
      <w:r>
        <w:rPr>
          <w:spacing w:val="80"/>
          <w:sz w:val="24"/>
        </w:rPr>
        <w:t> </w:t>
      </w:r>
      <w:r>
        <w:rPr>
          <w:sz w:val="24"/>
        </w:rPr>
        <w:t>inlets arranged in a valve box at a suitable point at street level and connected</w:t>
      </w:r>
      <w:r>
        <w:rPr>
          <w:spacing w:val="40"/>
          <w:sz w:val="24"/>
        </w:rPr>
        <w:t> </w:t>
      </w:r>
      <w:r>
        <w:rPr>
          <w:sz w:val="24"/>
        </w:rPr>
        <w:t>to</w:t>
      </w:r>
      <w:r>
        <w:rPr>
          <w:spacing w:val="40"/>
          <w:sz w:val="24"/>
        </w:rPr>
        <w:t> </w:t>
      </w:r>
      <w:r>
        <w:rPr>
          <w:sz w:val="24"/>
        </w:rPr>
        <w:t>the</w:t>
      </w:r>
      <w:r>
        <w:rPr>
          <w:spacing w:val="40"/>
          <w:sz w:val="24"/>
        </w:rPr>
        <w:t> </w:t>
      </w:r>
      <w:r>
        <w:rPr>
          <w:sz w:val="24"/>
        </w:rPr>
        <w:t>static</w:t>
      </w:r>
      <w:r>
        <w:rPr>
          <w:spacing w:val="40"/>
          <w:sz w:val="24"/>
        </w:rPr>
        <w:t> </w:t>
      </w:r>
      <w:r>
        <w:rPr>
          <w:sz w:val="24"/>
        </w:rPr>
        <w:t>tank</w:t>
      </w:r>
      <w:r>
        <w:rPr>
          <w:spacing w:val="40"/>
          <w:sz w:val="24"/>
        </w:rPr>
        <w:t> </w:t>
      </w:r>
      <w:r>
        <w:rPr>
          <w:sz w:val="24"/>
        </w:rPr>
        <w:t>by</w:t>
      </w:r>
      <w:r>
        <w:rPr>
          <w:spacing w:val="40"/>
          <w:sz w:val="24"/>
        </w:rPr>
        <w:t> </w:t>
      </w:r>
      <w:r>
        <w:rPr>
          <w:sz w:val="24"/>
        </w:rPr>
        <w:t>a</w:t>
      </w:r>
      <w:r>
        <w:rPr>
          <w:spacing w:val="40"/>
          <w:sz w:val="24"/>
        </w:rPr>
        <w:t> </w:t>
      </w:r>
      <w:r>
        <w:rPr>
          <w:sz w:val="24"/>
        </w:rPr>
        <w:t>suitable</w:t>
      </w:r>
      <w:r>
        <w:rPr>
          <w:spacing w:val="40"/>
          <w:sz w:val="24"/>
        </w:rPr>
        <w:t> </w:t>
      </w:r>
      <w:r>
        <w:rPr>
          <w:sz w:val="24"/>
        </w:rPr>
        <w:t>fixed</w:t>
      </w:r>
      <w:r>
        <w:rPr>
          <w:spacing w:val="40"/>
          <w:sz w:val="24"/>
        </w:rPr>
        <w:t> </w:t>
      </w:r>
      <w:r>
        <w:rPr>
          <w:sz w:val="24"/>
        </w:rPr>
        <w:t>pipe</w:t>
      </w:r>
      <w:r>
        <w:rPr>
          <w:spacing w:val="40"/>
          <w:sz w:val="24"/>
        </w:rPr>
        <w:t> </w:t>
      </w:r>
      <w:r>
        <w:rPr>
          <w:sz w:val="24"/>
        </w:rPr>
        <w:t>of</w:t>
      </w:r>
      <w:r>
        <w:rPr>
          <w:spacing w:val="40"/>
          <w:sz w:val="24"/>
        </w:rPr>
        <w:t> </w:t>
      </w:r>
      <w:r>
        <w:rPr>
          <w:sz w:val="24"/>
        </w:rPr>
        <w:t>not</w:t>
      </w:r>
      <w:r>
        <w:rPr>
          <w:spacing w:val="40"/>
          <w:sz w:val="24"/>
        </w:rPr>
        <w:t> </w:t>
      </w:r>
      <w:r>
        <w:rPr>
          <w:sz w:val="24"/>
        </w:rPr>
        <w:t>less than</w:t>
      </w:r>
      <w:r>
        <w:rPr>
          <w:spacing w:val="40"/>
          <w:sz w:val="24"/>
        </w:rPr>
        <w:t> </w:t>
      </w:r>
      <w:r>
        <w:rPr>
          <w:sz w:val="24"/>
        </w:rPr>
        <w:t>15</w:t>
      </w:r>
      <w:r>
        <w:rPr>
          <w:spacing w:val="40"/>
          <w:sz w:val="24"/>
        </w:rPr>
        <w:t> </w:t>
      </w:r>
      <w:r>
        <w:rPr>
          <w:sz w:val="24"/>
        </w:rPr>
        <w:t>cm</w:t>
      </w:r>
      <w:r>
        <w:rPr>
          <w:spacing w:val="40"/>
          <w:sz w:val="24"/>
        </w:rPr>
        <w:t> </w:t>
      </w:r>
      <w:r>
        <w:rPr>
          <w:sz w:val="24"/>
        </w:rPr>
        <w:t>dia.</w:t>
      </w:r>
      <w:r>
        <w:rPr>
          <w:spacing w:val="40"/>
          <w:sz w:val="24"/>
        </w:rPr>
        <w:t> </w:t>
      </w:r>
      <w:r>
        <w:rPr>
          <w:sz w:val="24"/>
        </w:rPr>
        <w:t>to</w:t>
      </w:r>
      <w:r>
        <w:rPr>
          <w:spacing w:val="40"/>
          <w:sz w:val="24"/>
        </w:rPr>
        <w:t> </w:t>
      </w:r>
      <w:r>
        <w:rPr>
          <w:sz w:val="24"/>
        </w:rPr>
        <w:t>discharge</w:t>
      </w:r>
      <w:r>
        <w:rPr>
          <w:spacing w:val="40"/>
          <w:sz w:val="24"/>
        </w:rPr>
        <w:t> </w:t>
      </w:r>
      <w:r>
        <w:rPr>
          <w:sz w:val="24"/>
        </w:rPr>
        <w:t>water</w:t>
      </w:r>
      <w:r>
        <w:rPr>
          <w:spacing w:val="40"/>
          <w:sz w:val="24"/>
        </w:rPr>
        <w:t> </w:t>
      </w:r>
      <w:r>
        <w:rPr>
          <w:sz w:val="24"/>
        </w:rPr>
        <w:t>into</w:t>
      </w:r>
      <w:r>
        <w:rPr>
          <w:spacing w:val="40"/>
          <w:sz w:val="24"/>
        </w:rPr>
        <w:t> </w:t>
      </w:r>
      <w:r>
        <w:rPr>
          <w:sz w:val="24"/>
        </w:rPr>
        <w:t>the</w:t>
      </w:r>
      <w:r>
        <w:rPr>
          <w:spacing w:val="40"/>
          <w:sz w:val="24"/>
        </w:rPr>
        <w:t> </w:t>
      </w:r>
      <w:r>
        <w:rPr>
          <w:sz w:val="24"/>
        </w:rPr>
        <w:t>tank</w:t>
      </w:r>
      <w:r>
        <w:rPr>
          <w:spacing w:val="40"/>
          <w:sz w:val="24"/>
        </w:rPr>
        <w:t> </w:t>
      </w:r>
      <w:r>
        <w:rPr>
          <w:sz w:val="24"/>
        </w:rPr>
        <w:t>when</w:t>
      </w:r>
      <w:r>
        <w:rPr>
          <w:spacing w:val="40"/>
          <w:sz w:val="24"/>
        </w:rPr>
        <w:t> </w:t>
      </w:r>
      <w:r>
        <w:rPr>
          <w:spacing w:val="10"/>
          <w:sz w:val="24"/>
        </w:rPr>
        <w:t>required</w:t>
      </w:r>
      <w:r>
        <w:rPr>
          <w:spacing w:val="40"/>
          <w:sz w:val="24"/>
        </w:rPr>
        <w:t> </w:t>
      </w:r>
      <w:r>
        <w:rPr>
          <w:sz w:val="24"/>
        </w:rPr>
        <w:t>at a</w:t>
      </w:r>
      <w:r>
        <w:rPr>
          <w:spacing w:val="40"/>
          <w:sz w:val="24"/>
        </w:rPr>
        <w:t> </w:t>
      </w:r>
      <w:r>
        <w:rPr>
          <w:sz w:val="24"/>
        </w:rPr>
        <w:t>rate</w:t>
      </w:r>
      <w:r>
        <w:rPr>
          <w:spacing w:val="40"/>
          <w:sz w:val="24"/>
        </w:rPr>
        <w:t> </w:t>
      </w:r>
      <w:r>
        <w:rPr>
          <w:sz w:val="24"/>
        </w:rPr>
        <w:t>of</w:t>
      </w:r>
      <w:r>
        <w:rPr>
          <w:spacing w:val="40"/>
          <w:sz w:val="24"/>
        </w:rPr>
        <w:t> </w:t>
      </w:r>
      <w:r>
        <w:rPr>
          <w:sz w:val="24"/>
        </w:rPr>
        <w:t>2250</w:t>
      </w:r>
      <w:r>
        <w:rPr>
          <w:spacing w:val="40"/>
          <w:sz w:val="24"/>
        </w:rPr>
        <w:t> </w:t>
      </w:r>
      <w:r>
        <w:rPr>
          <w:sz w:val="24"/>
        </w:rPr>
        <w:t>litres</w:t>
      </w:r>
      <w:r>
        <w:rPr>
          <w:spacing w:val="40"/>
          <w:sz w:val="24"/>
        </w:rPr>
        <w:t> </w:t>
      </w:r>
      <w:r>
        <w:rPr>
          <w:sz w:val="24"/>
        </w:rPr>
        <w:t>per</w:t>
      </w:r>
      <w:r>
        <w:rPr>
          <w:spacing w:val="9"/>
          <w:sz w:val="24"/>
        </w:rPr>
        <w:t> minute.</w:t>
      </w:r>
    </w:p>
    <w:p>
      <w:pPr>
        <w:pStyle w:val="ListParagraph"/>
        <w:numPr>
          <w:ilvl w:val="2"/>
          <w:numId w:val="335"/>
        </w:numPr>
        <w:tabs>
          <w:tab w:pos="1833" w:val="left" w:leader="none"/>
          <w:tab w:pos="2026" w:val="left" w:leader="none"/>
          <w:tab w:pos="3347" w:val="left" w:leader="none"/>
          <w:tab w:pos="4973" w:val="left" w:leader="none"/>
          <w:tab w:pos="5297" w:val="left" w:leader="none"/>
          <w:tab w:pos="7496" w:val="left" w:leader="none"/>
          <w:tab w:pos="8330" w:val="left" w:leader="none"/>
          <w:tab w:pos="8842" w:val="left" w:leader="none"/>
          <w:tab w:pos="10156" w:val="left" w:leader="none"/>
        </w:tabs>
        <w:spacing w:line="240" w:lineRule="auto" w:before="239" w:after="0"/>
        <w:ind w:left="2026" w:right="788" w:hanging="569"/>
        <w:jc w:val="left"/>
        <w:rPr>
          <w:sz w:val="24"/>
        </w:rPr>
      </w:pPr>
      <w:r>
        <w:rPr>
          <w:spacing w:val="-2"/>
          <w:sz w:val="24"/>
        </w:rPr>
        <w:t>Automatic</w:t>
      </w:r>
      <w:r>
        <w:rPr>
          <w:sz w:val="24"/>
        </w:rPr>
        <w:tab/>
      </w:r>
      <w:r>
        <w:rPr>
          <w:spacing w:val="-2"/>
          <w:sz w:val="24"/>
        </w:rPr>
        <w:t>Sprinklers:</w:t>
      </w:r>
      <w:r>
        <w:rPr>
          <w:sz w:val="24"/>
        </w:rPr>
        <w:tab/>
      </w:r>
      <w:r>
        <w:rPr>
          <w:spacing w:val="-10"/>
          <w:sz w:val="24"/>
        </w:rPr>
        <w:t>-</w:t>
      </w:r>
      <w:r>
        <w:rPr>
          <w:sz w:val="24"/>
        </w:rPr>
        <w:tab/>
      </w:r>
      <w:r>
        <w:rPr>
          <w:spacing w:val="7"/>
          <w:sz w:val="24"/>
        </w:rPr>
        <w:t>Auto-</w:t>
      </w:r>
      <w:r>
        <w:rPr>
          <w:sz w:val="24"/>
        </w:rPr>
        <w:t>sprinklers</w:t>
        <w:tab/>
      </w:r>
      <w:r>
        <w:rPr>
          <w:spacing w:val="-2"/>
          <w:sz w:val="24"/>
        </w:rPr>
        <w:t>shall</w:t>
      </w:r>
      <w:r>
        <w:rPr>
          <w:sz w:val="24"/>
        </w:rPr>
        <w:tab/>
      </w:r>
      <w:r>
        <w:rPr>
          <w:spacing w:val="-6"/>
          <w:sz w:val="24"/>
        </w:rPr>
        <w:t>be</w:t>
      </w:r>
      <w:r>
        <w:rPr>
          <w:sz w:val="24"/>
        </w:rPr>
        <w:tab/>
      </w:r>
      <w:r>
        <w:rPr>
          <w:spacing w:val="-2"/>
          <w:sz w:val="24"/>
        </w:rPr>
        <w:t>installed</w:t>
      </w:r>
      <w:r>
        <w:rPr>
          <w:sz w:val="24"/>
        </w:rPr>
        <w:tab/>
      </w:r>
      <w:r>
        <w:rPr>
          <w:spacing w:val="-6"/>
          <w:sz w:val="24"/>
        </w:rPr>
        <w:t>in </w:t>
      </w:r>
      <w:r>
        <w:rPr>
          <w:sz w:val="24"/>
        </w:rPr>
        <w:t>accordance</w:t>
      </w:r>
      <w:r>
        <w:rPr>
          <w:spacing w:val="40"/>
          <w:sz w:val="24"/>
        </w:rPr>
        <w:t> </w:t>
      </w:r>
      <w:r>
        <w:rPr>
          <w:sz w:val="24"/>
        </w:rPr>
        <w:t>with</w:t>
      </w:r>
      <w:r>
        <w:rPr>
          <w:spacing w:val="40"/>
          <w:sz w:val="24"/>
        </w:rPr>
        <w:t> </w:t>
      </w:r>
      <w:r>
        <w:rPr>
          <w:sz w:val="24"/>
        </w:rPr>
        <w:t>provisions</w:t>
      </w:r>
      <w:r>
        <w:rPr>
          <w:spacing w:val="80"/>
          <w:sz w:val="24"/>
        </w:rPr>
        <w:t> </w:t>
      </w:r>
      <w:r>
        <w:rPr>
          <w:sz w:val="24"/>
        </w:rPr>
        <w:t>of</w:t>
      </w:r>
      <w:r>
        <w:rPr>
          <w:spacing w:val="40"/>
          <w:sz w:val="24"/>
        </w:rPr>
        <w:t> </w:t>
      </w:r>
      <w:r>
        <w:rPr>
          <w:sz w:val="24"/>
        </w:rPr>
        <w:t>NBC,</w:t>
      </w:r>
      <w:r>
        <w:rPr>
          <w:spacing w:val="40"/>
          <w:sz w:val="24"/>
        </w:rPr>
        <w:t> </w:t>
      </w:r>
      <w:r>
        <w:rPr>
          <w:sz w:val="24"/>
        </w:rPr>
        <w:t>amended</w:t>
      </w:r>
      <w:r>
        <w:rPr>
          <w:spacing w:val="40"/>
          <w:sz w:val="24"/>
        </w:rPr>
        <w:t> </w:t>
      </w:r>
      <w:r>
        <w:rPr>
          <w:sz w:val="24"/>
        </w:rPr>
        <w:t>up</w:t>
      </w:r>
      <w:r>
        <w:rPr>
          <w:spacing w:val="40"/>
          <w:sz w:val="24"/>
        </w:rPr>
        <w:t> </w:t>
      </w:r>
      <w:r>
        <w:rPr>
          <w:sz w:val="24"/>
        </w:rPr>
        <w:t>to</w:t>
      </w:r>
      <w:r>
        <w:rPr>
          <w:spacing w:val="40"/>
          <w:sz w:val="24"/>
        </w:rPr>
        <w:t> </w:t>
      </w:r>
      <w:r>
        <w:rPr>
          <w:sz w:val="24"/>
        </w:rPr>
        <w:t>date:</w:t>
      </w:r>
    </w:p>
    <w:p>
      <w:pPr>
        <w:pStyle w:val="ListParagraph"/>
        <w:numPr>
          <w:ilvl w:val="3"/>
          <w:numId w:val="335"/>
        </w:numPr>
        <w:tabs>
          <w:tab w:pos="2344" w:val="left" w:leader="none"/>
        </w:tabs>
        <w:spacing w:line="240" w:lineRule="auto" w:before="240" w:after="0"/>
        <w:ind w:left="2344" w:right="0" w:hanging="422"/>
        <w:jc w:val="left"/>
        <w:rPr>
          <w:sz w:val="24"/>
        </w:rPr>
      </w:pPr>
      <w:r>
        <w:rPr>
          <w:spacing w:val="-10"/>
          <w:sz w:val="24"/>
        </w:rPr>
        <w:t>.</w:t>
      </w:r>
    </w:p>
    <w:p>
      <w:pPr>
        <w:pStyle w:val="ListParagraph"/>
        <w:numPr>
          <w:ilvl w:val="1"/>
          <w:numId w:val="335"/>
        </w:numPr>
        <w:tabs>
          <w:tab w:pos="1456" w:val="left" w:leader="none"/>
          <w:tab w:pos="1498" w:val="left" w:leader="none"/>
        </w:tabs>
        <w:spacing w:line="240" w:lineRule="auto" w:before="239" w:after="0"/>
        <w:ind w:left="1498" w:right="782" w:hanging="380"/>
        <w:jc w:val="both"/>
        <w:rPr>
          <w:b/>
          <w:sz w:val="22"/>
        </w:rPr>
      </w:pPr>
      <w:r>
        <w:rPr>
          <w:b/>
          <w:sz w:val="24"/>
        </w:rPr>
        <w:t>Automatic High Pressure</w:t>
      </w:r>
      <w:r>
        <w:rPr>
          <w:b/>
          <w:spacing w:val="40"/>
          <w:sz w:val="24"/>
        </w:rPr>
        <w:t> </w:t>
      </w:r>
      <w:r>
        <w:rPr>
          <w:b/>
          <w:sz w:val="24"/>
        </w:rPr>
        <w:t>Water</w:t>
      </w:r>
      <w:r>
        <w:rPr>
          <w:b/>
          <w:spacing w:val="40"/>
          <w:sz w:val="24"/>
        </w:rPr>
        <w:t> </w:t>
      </w:r>
      <w:r>
        <w:rPr>
          <w:b/>
          <w:sz w:val="24"/>
        </w:rPr>
        <w:t>Spray </w:t>
      </w:r>
      <w:r>
        <w:rPr>
          <w:b/>
          <w:spacing w:val="9"/>
          <w:sz w:val="24"/>
        </w:rPr>
        <w:t>(emulsifying):</w:t>
      </w:r>
      <w:r>
        <w:rPr>
          <w:b/>
          <w:spacing w:val="9"/>
          <w:sz w:val="24"/>
        </w:rPr>
        <w:t> </w:t>
      </w:r>
      <w:r>
        <w:rPr>
          <w:b/>
          <w:sz w:val="24"/>
        </w:rPr>
        <w:t>- </w:t>
      </w:r>
      <w:r>
        <w:rPr>
          <w:sz w:val="24"/>
        </w:rPr>
        <w:t>This</w:t>
      </w:r>
      <w:r>
        <w:rPr>
          <w:spacing w:val="40"/>
          <w:sz w:val="24"/>
        </w:rPr>
        <w:t> </w:t>
      </w:r>
      <w:r>
        <w:rPr>
          <w:sz w:val="24"/>
        </w:rPr>
        <w:t>system shall</w:t>
      </w:r>
      <w:r>
        <w:rPr>
          <w:spacing w:val="40"/>
          <w:sz w:val="24"/>
        </w:rPr>
        <w:t> </w:t>
      </w:r>
      <w:r>
        <w:rPr>
          <w:sz w:val="24"/>
        </w:rPr>
        <w:t>be</w:t>
      </w:r>
      <w:r>
        <w:rPr>
          <w:spacing w:val="40"/>
          <w:sz w:val="24"/>
        </w:rPr>
        <w:t> </w:t>
      </w:r>
      <w:r>
        <w:rPr>
          <w:sz w:val="24"/>
        </w:rPr>
        <w:t>provided</w:t>
      </w:r>
      <w:r>
        <w:rPr>
          <w:spacing w:val="40"/>
          <w:sz w:val="24"/>
        </w:rPr>
        <w:t> </w:t>
      </w:r>
      <w:r>
        <w:rPr>
          <w:sz w:val="24"/>
        </w:rPr>
        <w:t>for</w:t>
      </w:r>
      <w:r>
        <w:rPr>
          <w:spacing w:val="40"/>
          <w:sz w:val="24"/>
        </w:rPr>
        <w:t> </w:t>
      </w:r>
      <w:r>
        <w:rPr>
          <w:sz w:val="24"/>
        </w:rPr>
        <w:t>protection</w:t>
      </w:r>
      <w:r>
        <w:rPr>
          <w:spacing w:val="40"/>
          <w:sz w:val="24"/>
        </w:rPr>
        <w:t> </w:t>
      </w:r>
      <w:r>
        <w:rPr>
          <w:sz w:val="24"/>
        </w:rPr>
        <w:t>of</w:t>
      </w:r>
      <w:r>
        <w:rPr>
          <w:spacing w:val="40"/>
          <w:sz w:val="24"/>
        </w:rPr>
        <w:t> </w:t>
      </w:r>
      <w:r>
        <w:rPr>
          <w:sz w:val="24"/>
        </w:rPr>
        <w:t>indoor</w:t>
      </w:r>
      <w:r>
        <w:rPr>
          <w:spacing w:val="40"/>
          <w:sz w:val="24"/>
        </w:rPr>
        <w:t> </w:t>
      </w:r>
      <w:r>
        <w:rPr>
          <w:sz w:val="24"/>
        </w:rPr>
        <w:t>transformers</w:t>
      </w:r>
      <w:r>
        <w:rPr>
          <w:spacing w:val="40"/>
          <w:sz w:val="24"/>
        </w:rPr>
        <w:t> </w:t>
      </w:r>
      <w:r>
        <w:rPr>
          <w:sz w:val="24"/>
        </w:rPr>
        <w:t>of</w:t>
      </w:r>
      <w:r>
        <w:rPr>
          <w:spacing w:val="40"/>
          <w:sz w:val="24"/>
        </w:rPr>
        <w:t> </w:t>
      </w:r>
      <w:r>
        <w:rPr>
          <w:sz w:val="24"/>
        </w:rPr>
        <w:t>a</w:t>
      </w:r>
      <w:r>
        <w:rPr>
          <w:spacing w:val="40"/>
          <w:sz w:val="24"/>
        </w:rPr>
        <w:t> </w:t>
      </w:r>
      <w:r>
        <w:rPr>
          <w:spacing w:val="9"/>
          <w:sz w:val="24"/>
        </w:rPr>
        <w:t>substation </w:t>
      </w:r>
      <w:r>
        <w:rPr>
          <w:sz w:val="24"/>
        </w:rPr>
        <w:t>in a basement area.</w:t>
      </w:r>
    </w:p>
    <w:p>
      <w:pPr>
        <w:pStyle w:val="ListParagraph"/>
        <w:numPr>
          <w:ilvl w:val="1"/>
          <w:numId w:val="335"/>
        </w:numPr>
        <w:tabs>
          <w:tab w:pos="1456" w:val="left" w:leader="none"/>
          <w:tab w:pos="1498" w:val="left" w:leader="none"/>
        </w:tabs>
        <w:spacing w:line="240" w:lineRule="auto" w:before="242" w:after="0"/>
        <w:ind w:left="1498" w:right="790" w:hanging="380"/>
        <w:jc w:val="both"/>
        <w:rPr>
          <w:b/>
          <w:sz w:val="22"/>
        </w:rPr>
      </w:pPr>
      <w:r>
        <w:rPr>
          <w:b/>
          <w:sz w:val="24"/>
        </w:rPr>
        <w:t>Foam</w:t>
      </w:r>
      <w:r>
        <w:rPr>
          <w:b/>
          <w:spacing w:val="40"/>
          <w:sz w:val="24"/>
        </w:rPr>
        <w:t> </w:t>
      </w:r>
      <w:r>
        <w:rPr>
          <w:b/>
          <w:sz w:val="24"/>
        </w:rPr>
        <w:t>Generating</w:t>
      </w:r>
      <w:r>
        <w:rPr>
          <w:b/>
          <w:spacing w:val="40"/>
          <w:sz w:val="24"/>
        </w:rPr>
        <w:t> </w:t>
      </w:r>
      <w:r>
        <w:rPr>
          <w:b/>
          <w:sz w:val="24"/>
        </w:rPr>
        <w:t>System:</w:t>
      </w:r>
      <w:r>
        <w:rPr>
          <w:b/>
          <w:spacing w:val="40"/>
          <w:sz w:val="24"/>
        </w:rPr>
        <w:t> </w:t>
      </w:r>
      <w:r>
        <w:rPr>
          <w:b/>
          <w:sz w:val="24"/>
        </w:rPr>
        <w:t>-</w:t>
      </w:r>
      <w:r>
        <w:rPr>
          <w:b/>
          <w:spacing w:val="40"/>
          <w:sz w:val="24"/>
        </w:rPr>
        <w:t> </w:t>
      </w:r>
      <w:r>
        <w:rPr>
          <w:sz w:val="24"/>
        </w:rPr>
        <w:t>This</w:t>
      </w:r>
      <w:r>
        <w:rPr>
          <w:spacing w:val="40"/>
          <w:sz w:val="24"/>
        </w:rPr>
        <w:t> </w:t>
      </w:r>
      <w:r>
        <w:rPr>
          <w:sz w:val="24"/>
        </w:rPr>
        <w:t>system</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for</w:t>
      </w:r>
      <w:r>
        <w:rPr>
          <w:spacing w:val="40"/>
          <w:sz w:val="24"/>
        </w:rPr>
        <w:t> </w:t>
      </w:r>
      <w:r>
        <w:rPr>
          <w:sz w:val="24"/>
        </w:rPr>
        <w:t>protection of boiler rooms with ancillary, storage of furnace oils in a </w:t>
      </w:r>
      <w:r>
        <w:rPr>
          <w:spacing w:val="-2"/>
          <w:sz w:val="24"/>
        </w:rPr>
        <w:t>basement.</w:t>
      </w:r>
    </w:p>
    <w:p>
      <w:pPr>
        <w:pStyle w:val="ListParagraph"/>
        <w:numPr>
          <w:ilvl w:val="1"/>
          <w:numId w:val="335"/>
        </w:numPr>
        <w:tabs>
          <w:tab w:pos="1456" w:val="left" w:leader="none"/>
          <w:tab w:pos="1514" w:val="left" w:leader="none"/>
        </w:tabs>
        <w:spacing w:line="240" w:lineRule="auto" w:before="240" w:after="0"/>
        <w:ind w:left="1514" w:right="779" w:hanging="396"/>
        <w:jc w:val="both"/>
        <w:rPr>
          <w:b/>
          <w:sz w:val="22"/>
        </w:rPr>
      </w:pPr>
      <w:r>
        <w:rPr>
          <w:b/>
          <w:spacing w:val="9"/>
          <w:sz w:val="24"/>
        </w:rPr>
        <w:t>Carbon-</w:t>
      </w:r>
      <w:r>
        <w:rPr>
          <w:b/>
          <w:sz w:val="24"/>
        </w:rPr>
        <w:t>dioxide (Co2) Fire Extinguishing System: -</w:t>
      </w:r>
      <w:r>
        <w:rPr>
          <w:b/>
          <w:spacing w:val="40"/>
          <w:sz w:val="24"/>
        </w:rPr>
        <w:t> </w:t>
      </w:r>
      <w:r>
        <w:rPr>
          <w:sz w:val="24"/>
        </w:rPr>
        <w:t>Fixed Co2 fire extinguishing</w:t>
      </w:r>
      <w:r>
        <w:rPr>
          <w:spacing w:val="40"/>
          <w:sz w:val="24"/>
        </w:rPr>
        <w:t> </w:t>
      </w:r>
      <w:r>
        <w:rPr>
          <w:sz w:val="24"/>
        </w:rPr>
        <w:t>installation</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as</w:t>
      </w:r>
      <w:r>
        <w:rPr>
          <w:spacing w:val="40"/>
          <w:sz w:val="24"/>
        </w:rPr>
        <w:t> </w:t>
      </w:r>
      <w:r>
        <w:rPr>
          <w:sz w:val="24"/>
        </w:rPr>
        <w:t>per</w:t>
      </w:r>
      <w:r>
        <w:rPr>
          <w:spacing w:val="40"/>
          <w:sz w:val="24"/>
        </w:rPr>
        <w:t> </w:t>
      </w:r>
      <w:r>
        <w:rPr>
          <w:sz w:val="24"/>
        </w:rPr>
        <w:t>IS:</w:t>
      </w:r>
      <w:r>
        <w:rPr>
          <w:spacing w:val="40"/>
          <w:sz w:val="24"/>
        </w:rPr>
        <w:t> </w:t>
      </w:r>
      <w:r>
        <w:rPr>
          <w:spacing w:val="9"/>
          <w:sz w:val="24"/>
        </w:rPr>
        <w:t>6382-</w:t>
      </w:r>
      <w:r>
        <w:rPr>
          <w:sz w:val="24"/>
        </w:rPr>
        <w:t>1971</w:t>
      </w:r>
      <w:r>
        <w:rPr>
          <w:spacing w:val="40"/>
          <w:sz w:val="24"/>
        </w:rPr>
        <w:t> </w:t>
      </w:r>
      <w:r>
        <w:rPr>
          <w:sz w:val="24"/>
        </w:rPr>
        <w:t>Code of Practice for Design and Installation of Fixed Co2 Fire Extinguishing System</w:t>
      </w:r>
      <w:r>
        <w:rPr>
          <w:spacing w:val="40"/>
          <w:sz w:val="24"/>
        </w:rPr>
        <w:t> </w:t>
      </w:r>
      <w:r>
        <w:rPr>
          <w:sz w:val="24"/>
        </w:rPr>
        <w:t>on</w:t>
      </w:r>
      <w:r>
        <w:rPr>
          <w:spacing w:val="40"/>
          <w:sz w:val="24"/>
        </w:rPr>
        <w:t> </w:t>
      </w:r>
      <w:r>
        <w:rPr>
          <w:sz w:val="24"/>
        </w:rPr>
        <w:t>premises</w:t>
      </w:r>
      <w:r>
        <w:rPr>
          <w:spacing w:val="40"/>
          <w:sz w:val="24"/>
        </w:rPr>
        <w:t> </w:t>
      </w:r>
      <w:r>
        <w:rPr>
          <w:sz w:val="24"/>
        </w:rPr>
        <w:t>where</w:t>
      </w:r>
      <w:r>
        <w:rPr>
          <w:spacing w:val="40"/>
          <w:sz w:val="24"/>
        </w:rPr>
        <w:t> </w:t>
      </w:r>
      <w:r>
        <w:rPr>
          <w:sz w:val="24"/>
        </w:rPr>
        <w:t>water</w:t>
      </w:r>
      <w:r>
        <w:rPr>
          <w:spacing w:val="40"/>
          <w:sz w:val="24"/>
        </w:rPr>
        <w:t> </w:t>
      </w:r>
      <w:r>
        <w:rPr>
          <w:sz w:val="24"/>
        </w:rPr>
        <w:t>or</w:t>
      </w:r>
      <w:r>
        <w:rPr>
          <w:spacing w:val="40"/>
          <w:sz w:val="24"/>
        </w:rPr>
        <w:t> </w:t>
      </w:r>
      <w:r>
        <w:rPr>
          <w:sz w:val="24"/>
        </w:rPr>
        <w:t>foam</w:t>
      </w:r>
      <w:r>
        <w:rPr>
          <w:spacing w:val="40"/>
          <w:sz w:val="24"/>
        </w:rPr>
        <w:t> </w:t>
      </w:r>
      <w:r>
        <w:rPr>
          <w:sz w:val="24"/>
        </w:rPr>
        <w:t>cannot</w:t>
      </w:r>
      <w:r>
        <w:rPr>
          <w:spacing w:val="40"/>
          <w:sz w:val="24"/>
        </w:rPr>
        <w:t> </w:t>
      </w:r>
      <w:r>
        <w:rPr>
          <w:sz w:val="24"/>
        </w:rPr>
        <w:t>be</w:t>
      </w:r>
      <w:r>
        <w:rPr>
          <w:spacing w:val="10"/>
          <w:sz w:val="24"/>
        </w:rPr>
        <w:t> used</w:t>
      </w:r>
      <w:r>
        <w:rPr>
          <w:spacing w:val="10"/>
          <w:sz w:val="24"/>
        </w:rPr>
        <w:t> </w:t>
      </w:r>
      <w:r>
        <w:rPr>
          <w:sz w:val="24"/>
        </w:rPr>
        <w:t>for extinguishing fire because of the special nature of the contents of the buildings/areas</w:t>
      </w:r>
      <w:r>
        <w:rPr>
          <w:spacing w:val="40"/>
          <w:sz w:val="24"/>
        </w:rPr>
        <w:t> </w:t>
      </w:r>
      <w:r>
        <w:rPr>
          <w:sz w:val="24"/>
        </w:rPr>
        <w:t>to</w:t>
      </w:r>
      <w:r>
        <w:rPr>
          <w:spacing w:val="40"/>
          <w:sz w:val="24"/>
        </w:rPr>
        <w:t> </w:t>
      </w:r>
      <w:r>
        <w:rPr>
          <w:sz w:val="24"/>
        </w:rPr>
        <w:t>be</w:t>
      </w:r>
      <w:r>
        <w:rPr>
          <w:spacing w:val="40"/>
          <w:sz w:val="24"/>
        </w:rPr>
        <w:t> </w:t>
      </w:r>
      <w:r>
        <w:rPr>
          <w:sz w:val="24"/>
        </w:rPr>
        <w:t>protected.</w:t>
      </w:r>
      <w:r>
        <w:rPr>
          <w:spacing w:val="80"/>
          <w:w w:val="150"/>
          <w:sz w:val="24"/>
        </w:rPr>
        <w:t> </w:t>
      </w:r>
      <w:r>
        <w:rPr>
          <w:sz w:val="24"/>
        </w:rPr>
        <w:t>Where</w:t>
      </w:r>
      <w:r>
        <w:rPr>
          <w:spacing w:val="40"/>
          <w:sz w:val="24"/>
        </w:rPr>
        <w:t> </w:t>
      </w:r>
      <w:r>
        <w:rPr>
          <w:sz w:val="24"/>
        </w:rPr>
        <w:t>possible,</w:t>
      </w:r>
      <w:r>
        <w:rPr>
          <w:spacing w:val="40"/>
          <w:sz w:val="24"/>
        </w:rPr>
        <w:t> </w:t>
      </w:r>
      <w:r>
        <w:rPr>
          <w:sz w:val="24"/>
        </w:rPr>
        <w:t>BCF</w:t>
      </w:r>
      <w:r>
        <w:rPr>
          <w:spacing w:val="40"/>
          <w:sz w:val="24"/>
        </w:rPr>
        <w:t> </w:t>
      </w:r>
      <w:r>
        <w:rPr>
          <w:sz w:val="24"/>
        </w:rPr>
        <w:t>installation</w:t>
      </w:r>
      <w:r>
        <w:rPr>
          <w:spacing w:val="40"/>
          <w:sz w:val="24"/>
        </w:rPr>
        <w:t> </w:t>
      </w:r>
      <w:r>
        <w:rPr>
          <w:sz w:val="24"/>
        </w:rPr>
        <w:t>may be</w:t>
      </w:r>
      <w:r>
        <w:rPr>
          <w:spacing w:val="40"/>
          <w:sz w:val="24"/>
        </w:rPr>
        <w:t> </w:t>
      </w:r>
      <w:r>
        <w:rPr>
          <w:sz w:val="24"/>
        </w:rPr>
        <w:t>provided</w:t>
      </w:r>
      <w:r>
        <w:rPr>
          <w:spacing w:val="40"/>
          <w:sz w:val="24"/>
        </w:rPr>
        <w:t> </w:t>
      </w:r>
      <w:r>
        <w:rPr>
          <w:sz w:val="24"/>
        </w:rPr>
        <w:t>instead</w:t>
      </w:r>
      <w:r>
        <w:rPr>
          <w:spacing w:val="40"/>
          <w:sz w:val="24"/>
        </w:rPr>
        <w:t> </w:t>
      </w:r>
      <w:r>
        <w:rPr>
          <w:sz w:val="24"/>
        </w:rPr>
        <w:t>of</w:t>
      </w:r>
      <w:r>
        <w:rPr>
          <w:spacing w:val="40"/>
          <w:sz w:val="24"/>
        </w:rPr>
        <w:t> </w:t>
      </w:r>
      <w:r>
        <w:rPr>
          <w:sz w:val="24"/>
        </w:rPr>
        <w:t>Co2</w:t>
      </w:r>
      <w:r>
        <w:rPr>
          <w:spacing w:val="40"/>
          <w:sz w:val="24"/>
        </w:rPr>
        <w:t> </w:t>
      </w:r>
      <w:r>
        <w:rPr>
          <w:spacing w:val="9"/>
          <w:sz w:val="24"/>
        </w:rPr>
        <w:t>installation.</w:t>
      </w:r>
    </w:p>
    <w:p>
      <w:pPr>
        <w:pStyle w:val="Heading5"/>
        <w:numPr>
          <w:ilvl w:val="0"/>
          <w:numId w:val="335"/>
        </w:numPr>
        <w:tabs>
          <w:tab w:pos="1205" w:val="left" w:leader="none"/>
        </w:tabs>
        <w:spacing w:line="240" w:lineRule="auto" w:before="239" w:after="0"/>
        <w:ind w:left="1205" w:right="0" w:hanging="428"/>
        <w:jc w:val="left"/>
        <w:rPr>
          <w:sz w:val="22"/>
        </w:rPr>
      </w:pPr>
      <w:r>
        <w:rPr/>
        <w:t>FireAlarm</w:t>
      </w:r>
      <w:r>
        <w:rPr>
          <w:spacing w:val="43"/>
          <w:w w:val="150"/>
        </w:rPr>
        <w:t> </w:t>
      </w:r>
      <w:r>
        <w:rPr/>
        <w:t>System:</w:t>
      </w:r>
      <w:r>
        <w:rPr>
          <w:spacing w:val="47"/>
          <w:w w:val="150"/>
        </w:rPr>
        <w:t> </w:t>
      </w:r>
      <w:r>
        <w:rPr>
          <w:spacing w:val="-10"/>
        </w:rPr>
        <w:t>-</w:t>
      </w:r>
    </w:p>
    <w:p>
      <w:pPr>
        <w:pStyle w:val="BodyText"/>
        <w:spacing w:line="276" w:lineRule="auto" w:before="239"/>
        <w:ind w:left="1572" w:right="838"/>
        <w:jc w:val="left"/>
      </w:pPr>
      <w:r>
        <w:rPr/>
        <w:t>All</w:t>
      </w:r>
      <w:r>
        <w:rPr>
          <w:spacing w:val="80"/>
          <w:w w:val="150"/>
        </w:rPr>
        <w:t> </w:t>
      </w:r>
      <w:r>
        <w:rPr/>
        <w:t>buildings</w:t>
      </w:r>
      <w:r>
        <w:rPr>
          <w:spacing w:val="80"/>
          <w:w w:val="150"/>
        </w:rPr>
        <w:t> </w:t>
      </w:r>
      <w:r>
        <w:rPr/>
        <w:t>mentioned</w:t>
      </w:r>
      <w:r>
        <w:rPr>
          <w:spacing w:val="80"/>
          <w:w w:val="150"/>
        </w:rPr>
        <w:t> </w:t>
      </w:r>
      <w:r>
        <w:rPr/>
        <w:t>below</w:t>
      </w:r>
      <w:r>
        <w:rPr>
          <w:spacing w:val="80"/>
          <w:w w:val="150"/>
        </w:rPr>
        <w:t> </w:t>
      </w:r>
      <w:r>
        <w:rPr/>
        <w:t>shall</w:t>
      </w:r>
      <w:r>
        <w:rPr>
          <w:spacing w:val="80"/>
          <w:w w:val="150"/>
        </w:rPr>
        <w:t> </w:t>
      </w:r>
      <w:r>
        <w:rPr/>
        <w:t>be</w:t>
      </w:r>
      <w:r>
        <w:rPr>
          <w:spacing w:val="80"/>
          <w:w w:val="150"/>
        </w:rPr>
        <w:t> </w:t>
      </w:r>
      <w:r>
        <w:rPr>
          <w:spacing w:val="9"/>
        </w:rPr>
        <w:t>equipped</w:t>
      </w:r>
      <w:r>
        <w:rPr>
          <w:spacing w:val="80"/>
          <w:w w:val="150"/>
        </w:rPr>
        <w:t> </w:t>
      </w:r>
      <w:r>
        <w:rPr/>
        <w:t>with</w:t>
      </w:r>
      <w:r>
        <w:rPr>
          <w:spacing w:val="80"/>
          <w:w w:val="150"/>
        </w:rPr>
        <w:t> </w:t>
      </w:r>
      <w:r>
        <w:rPr/>
        <w:t>fire</w:t>
      </w:r>
      <w:r>
        <w:rPr>
          <w:spacing w:val="80"/>
          <w:w w:val="150"/>
        </w:rPr>
        <w:t> </w:t>
      </w:r>
      <w:r>
        <w:rPr/>
        <w:t>alarm systems</w:t>
      </w:r>
      <w:r>
        <w:rPr>
          <w:spacing w:val="40"/>
        </w:rPr>
        <w:t> </w:t>
      </w:r>
      <w:r>
        <w:rPr/>
        <w:t>as</w:t>
      </w:r>
      <w:r>
        <w:rPr>
          <w:spacing w:val="40"/>
        </w:rPr>
        <w:t> </w:t>
      </w:r>
      <w:r>
        <w:rPr/>
        <w:t>given</w:t>
      </w:r>
      <w:r>
        <w:rPr>
          <w:spacing w:val="40"/>
        </w:rPr>
        <w:t> </w:t>
      </w:r>
      <w:r>
        <w:rPr/>
        <w:t>below:</w:t>
      </w:r>
      <w:r>
        <w:rPr>
          <w:spacing w:val="40"/>
        </w:rPr>
        <w:t> </w:t>
      </w:r>
      <w:r>
        <w:rPr/>
        <w:t>-</w:t>
      </w:r>
    </w:p>
    <w:p>
      <w:pPr>
        <w:pStyle w:val="Heading6"/>
        <w:numPr>
          <w:ilvl w:val="0"/>
          <w:numId w:val="345"/>
        </w:numPr>
        <w:tabs>
          <w:tab w:pos="2364" w:val="left" w:leader="none"/>
        </w:tabs>
        <w:spacing w:line="240" w:lineRule="auto" w:before="240" w:after="0"/>
        <w:ind w:left="2026" w:right="800" w:firstLine="0"/>
        <w:jc w:val="left"/>
        <w:rPr>
          <w:b w:val="0"/>
          <w:i w:val="0"/>
        </w:rPr>
      </w:pPr>
      <w:r>
        <w:rPr/>
        <w:t>Special</w:t>
      </w:r>
      <w:r>
        <w:rPr>
          <w:spacing w:val="40"/>
        </w:rPr>
        <w:t> </w:t>
      </w:r>
      <w:r>
        <w:rPr/>
        <w:t>buildings</w:t>
      </w:r>
      <w:r>
        <w:rPr>
          <w:spacing w:val="40"/>
        </w:rPr>
        <w:t> </w:t>
      </w:r>
      <w:r>
        <w:rPr/>
        <w:t>above</w:t>
      </w:r>
      <w:r>
        <w:rPr>
          <w:spacing w:val="40"/>
        </w:rPr>
        <w:t> </w:t>
      </w:r>
      <w:r>
        <w:rPr/>
        <w:t>15</w:t>
      </w:r>
      <w:r>
        <w:rPr>
          <w:spacing w:val="40"/>
        </w:rPr>
        <w:t> </w:t>
      </w:r>
      <w:r>
        <w:rPr/>
        <w:t>m.</w:t>
      </w:r>
      <w:r>
        <w:rPr>
          <w:spacing w:val="40"/>
        </w:rPr>
        <w:t> </w:t>
      </w:r>
      <w:r>
        <w:rPr/>
        <w:t>in</w:t>
      </w:r>
      <w:r>
        <w:rPr>
          <w:spacing w:val="40"/>
        </w:rPr>
        <w:t> </w:t>
      </w:r>
      <w:r>
        <w:rPr/>
        <w:t>height</w:t>
      </w:r>
      <w:r>
        <w:rPr>
          <w:spacing w:val="40"/>
        </w:rPr>
        <w:t> </w:t>
      </w:r>
      <w:r>
        <w:rPr/>
        <w:t>and</w:t>
      </w:r>
      <w:r>
        <w:rPr>
          <w:spacing w:val="40"/>
        </w:rPr>
        <w:t> </w:t>
      </w:r>
      <w:r>
        <w:rPr/>
        <w:t>Business</w:t>
      </w:r>
      <w:r>
        <w:rPr>
          <w:spacing w:val="40"/>
        </w:rPr>
        <w:t> </w:t>
      </w:r>
      <w:r>
        <w:rPr/>
        <w:t>and</w:t>
      </w:r>
      <w:r>
        <w:rPr>
          <w:spacing w:val="40"/>
        </w:rPr>
        <w:t> </w:t>
      </w:r>
      <w:r>
        <w:rPr/>
        <w:t>Industrial</w:t>
      </w:r>
      <w:r>
        <w:rPr>
          <w:spacing w:val="40"/>
        </w:rPr>
        <w:t> </w:t>
      </w:r>
      <w:r>
        <w:rPr/>
        <w:t>buildings</w:t>
      </w:r>
      <w:r>
        <w:rPr>
          <w:spacing w:val="40"/>
        </w:rPr>
        <w:t> </w:t>
      </w:r>
      <w:r>
        <w:rPr/>
        <w:t>above</w:t>
      </w:r>
      <w:r>
        <w:rPr>
          <w:spacing w:val="40"/>
        </w:rPr>
        <w:t> </w:t>
      </w:r>
      <w:r>
        <w:rPr/>
        <w:t>32</w:t>
      </w:r>
      <w:r>
        <w:rPr>
          <w:spacing w:val="40"/>
        </w:rPr>
        <w:t> </w:t>
      </w:r>
      <w:r>
        <w:rPr/>
        <w:t>m</w:t>
      </w:r>
      <w:r>
        <w:rPr>
          <w:spacing w:val="40"/>
        </w:rPr>
        <w:t> </w:t>
      </w:r>
      <w:r>
        <w:rPr/>
        <w:t>in</w:t>
      </w:r>
      <w:r>
        <w:rPr>
          <w:spacing w:val="40"/>
        </w:rPr>
        <w:t> </w:t>
      </w:r>
      <w:r>
        <w:rPr/>
        <w:t>height</w:t>
      </w:r>
      <w:r>
        <w:rPr>
          <w:b w:val="0"/>
          <w:i w:val="0"/>
        </w:rPr>
        <w:t>-</w:t>
      </w:r>
    </w:p>
    <w:p>
      <w:pPr>
        <w:pStyle w:val="ListParagraph"/>
        <w:numPr>
          <w:ilvl w:val="0"/>
          <w:numId w:val="346"/>
        </w:numPr>
        <w:tabs>
          <w:tab w:pos="2038" w:val="left" w:leader="none"/>
          <w:tab w:pos="2091" w:val="left" w:leader="none"/>
        </w:tabs>
        <w:spacing w:line="240" w:lineRule="auto" w:before="243" w:after="0"/>
        <w:ind w:left="2038" w:right="782" w:hanging="449"/>
        <w:jc w:val="both"/>
        <w:rPr>
          <w:sz w:val="24"/>
        </w:rPr>
      </w:pPr>
      <w:r>
        <w:rPr>
          <w:sz w:val="24"/>
        </w:rPr>
        <w:t>Such</w:t>
      </w:r>
      <w:r>
        <w:rPr>
          <w:spacing w:val="40"/>
          <w:sz w:val="24"/>
        </w:rPr>
        <w:t> </w:t>
      </w:r>
      <w:r>
        <w:rPr>
          <w:sz w:val="24"/>
        </w:rPr>
        <w:t>buildings</w:t>
      </w:r>
      <w:r>
        <w:rPr>
          <w:spacing w:val="40"/>
          <w:sz w:val="24"/>
        </w:rPr>
        <w:t> </w:t>
      </w:r>
      <w:r>
        <w:rPr>
          <w:sz w:val="24"/>
        </w:rPr>
        <w:t>shall</w:t>
      </w:r>
      <w:r>
        <w:rPr>
          <w:spacing w:val="40"/>
          <w:sz w:val="24"/>
        </w:rPr>
        <w:t> </w:t>
      </w:r>
      <w:r>
        <w:rPr>
          <w:sz w:val="24"/>
        </w:rPr>
        <w:t>be</w:t>
      </w:r>
      <w:r>
        <w:rPr>
          <w:spacing w:val="40"/>
          <w:sz w:val="24"/>
        </w:rPr>
        <w:t> </w:t>
      </w:r>
      <w:r>
        <w:rPr>
          <w:sz w:val="24"/>
        </w:rPr>
        <w:t>equipped</w:t>
      </w:r>
      <w:r>
        <w:rPr>
          <w:spacing w:val="40"/>
          <w:sz w:val="24"/>
        </w:rPr>
        <w:t> </w:t>
      </w:r>
      <w:r>
        <w:rPr>
          <w:sz w:val="24"/>
        </w:rPr>
        <w:t>with</w:t>
      </w:r>
      <w:r>
        <w:rPr>
          <w:spacing w:val="40"/>
          <w:sz w:val="24"/>
        </w:rPr>
        <w:t> </w:t>
      </w:r>
      <w:r>
        <w:rPr>
          <w:sz w:val="24"/>
        </w:rPr>
        <w:t>a</w:t>
      </w:r>
      <w:r>
        <w:rPr>
          <w:spacing w:val="40"/>
          <w:sz w:val="24"/>
        </w:rPr>
        <w:t> </w:t>
      </w:r>
      <w:r>
        <w:rPr>
          <w:spacing w:val="10"/>
          <w:sz w:val="24"/>
        </w:rPr>
        <w:t>manually-</w:t>
      </w:r>
      <w:r>
        <w:rPr>
          <w:sz w:val="24"/>
        </w:rPr>
        <w:t>operated electrical</w:t>
      </w:r>
      <w:r>
        <w:rPr>
          <w:spacing w:val="40"/>
          <w:sz w:val="24"/>
        </w:rPr>
        <w:t> </w:t>
      </w:r>
      <w:r>
        <w:rPr>
          <w:sz w:val="24"/>
        </w:rPr>
        <w:t>fire</w:t>
      </w:r>
      <w:r>
        <w:rPr>
          <w:spacing w:val="40"/>
          <w:sz w:val="24"/>
        </w:rPr>
        <w:t> </w:t>
      </w:r>
      <w:r>
        <w:rPr>
          <w:sz w:val="24"/>
        </w:rPr>
        <w:t>alarm</w:t>
      </w:r>
      <w:r>
        <w:rPr>
          <w:spacing w:val="40"/>
          <w:sz w:val="24"/>
        </w:rPr>
        <w:t> </w:t>
      </w:r>
      <w:r>
        <w:rPr>
          <w:sz w:val="24"/>
        </w:rPr>
        <w:t>system</w:t>
      </w:r>
      <w:r>
        <w:rPr>
          <w:spacing w:val="40"/>
          <w:sz w:val="24"/>
        </w:rPr>
        <w:t> </w:t>
      </w:r>
      <w:r>
        <w:rPr>
          <w:sz w:val="24"/>
        </w:rPr>
        <w:t>with</w:t>
      </w:r>
      <w:r>
        <w:rPr>
          <w:spacing w:val="40"/>
          <w:sz w:val="24"/>
        </w:rPr>
        <w:t> </w:t>
      </w:r>
      <w:r>
        <w:rPr>
          <w:sz w:val="24"/>
        </w:rPr>
        <w:t>one</w:t>
      </w:r>
      <w:r>
        <w:rPr>
          <w:spacing w:val="40"/>
          <w:sz w:val="24"/>
        </w:rPr>
        <w:t> </w:t>
      </w:r>
      <w:r>
        <w:rPr>
          <w:sz w:val="24"/>
        </w:rPr>
        <w:t>or</w:t>
      </w:r>
      <w:r>
        <w:rPr>
          <w:spacing w:val="40"/>
          <w:sz w:val="24"/>
        </w:rPr>
        <w:t> </w:t>
      </w:r>
      <w:r>
        <w:rPr>
          <w:sz w:val="24"/>
        </w:rPr>
        <w:t>more</w:t>
      </w:r>
      <w:r>
        <w:rPr>
          <w:spacing w:val="40"/>
          <w:sz w:val="24"/>
        </w:rPr>
        <w:t> </w:t>
      </w:r>
      <w:r>
        <w:rPr>
          <w:sz w:val="24"/>
        </w:rPr>
        <w:t>call</w:t>
      </w:r>
      <w:r>
        <w:rPr>
          <w:spacing w:val="40"/>
          <w:sz w:val="24"/>
        </w:rPr>
        <w:t> </w:t>
      </w:r>
      <w:r>
        <w:rPr>
          <w:sz w:val="24"/>
        </w:rPr>
        <w:t>boxes</w:t>
      </w:r>
      <w:r>
        <w:rPr>
          <w:spacing w:val="40"/>
          <w:sz w:val="24"/>
        </w:rPr>
        <w:t> </w:t>
      </w:r>
      <w:r>
        <w:rPr>
          <w:sz w:val="24"/>
        </w:rPr>
        <w:t>located</w:t>
      </w:r>
      <w:r>
        <w:rPr>
          <w:spacing w:val="40"/>
          <w:sz w:val="24"/>
        </w:rPr>
        <w:t> </w:t>
      </w:r>
      <w:r>
        <w:rPr>
          <w:sz w:val="24"/>
        </w:rPr>
        <w:t>at each</w:t>
      </w:r>
      <w:r>
        <w:rPr>
          <w:spacing w:val="40"/>
          <w:sz w:val="24"/>
        </w:rPr>
        <w:t> </w:t>
      </w:r>
      <w:r>
        <w:rPr>
          <w:sz w:val="24"/>
        </w:rPr>
        <w:t>floor.</w:t>
      </w:r>
      <w:r>
        <w:rPr>
          <w:spacing w:val="80"/>
          <w:sz w:val="24"/>
        </w:rPr>
        <w:t> </w:t>
      </w:r>
      <w:r>
        <w:rPr>
          <w:sz w:val="24"/>
        </w:rPr>
        <w:t>The</w:t>
      </w:r>
      <w:r>
        <w:rPr>
          <w:spacing w:val="40"/>
          <w:sz w:val="24"/>
        </w:rPr>
        <w:t> </w:t>
      </w:r>
      <w:r>
        <w:rPr>
          <w:sz w:val="24"/>
        </w:rPr>
        <w:t>call</w:t>
      </w:r>
      <w:r>
        <w:rPr>
          <w:spacing w:val="40"/>
          <w:sz w:val="24"/>
        </w:rPr>
        <w:t> </w:t>
      </w:r>
      <w:r>
        <w:rPr>
          <w:sz w:val="24"/>
        </w:rPr>
        <w:t>boxes</w:t>
      </w:r>
      <w:r>
        <w:rPr>
          <w:spacing w:val="40"/>
          <w:sz w:val="24"/>
        </w:rPr>
        <w:t> </w:t>
      </w:r>
      <w:r>
        <w:rPr>
          <w:sz w:val="24"/>
        </w:rPr>
        <w:t>shall</w:t>
      </w:r>
      <w:r>
        <w:rPr>
          <w:spacing w:val="40"/>
          <w:sz w:val="24"/>
        </w:rPr>
        <w:t> </w:t>
      </w:r>
      <w:r>
        <w:rPr>
          <w:sz w:val="24"/>
        </w:rPr>
        <w:t>be</w:t>
      </w:r>
      <w:r>
        <w:rPr>
          <w:spacing w:val="40"/>
          <w:sz w:val="24"/>
        </w:rPr>
        <w:t> </w:t>
      </w:r>
      <w:r>
        <w:rPr>
          <w:sz w:val="24"/>
        </w:rPr>
        <w:t>so</w:t>
      </w:r>
      <w:r>
        <w:rPr>
          <w:spacing w:val="40"/>
          <w:sz w:val="24"/>
        </w:rPr>
        <w:t> </w:t>
      </w:r>
      <w:r>
        <w:rPr>
          <w:sz w:val="24"/>
        </w:rPr>
        <w:t>located</w:t>
      </w:r>
      <w:r>
        <w:rPr>
          <w:spacing w:val="40"/>
          <w:sz w:val="24"/>
        </w:rPr>
        <w:t> </w:t>
      </w:r>
      <w:r>
        <w:rPr>
          <w:sz w:val="24"/>
        </w:rPr>
        <w:t>that</w:t>
      </w:r>
      <w:r>
        <w:rPr>
          <w:spacing w:val="40"/>
          <w:sz w:val="24"/>
        </w:rPr>
        <w:t> </w:t>
      </w:r>
      <w:r>
        <w:rPr>
          <w:sz w:val="24"/>
        </w:rPr>
        <w:t>one</w:t>
      </w:r>
      <w:r>
        <w:rPr>
          <w:spacing w:val="40"/>
          <w:sz w:val="24"/>
        </w:rPr>
        <w:t> </w:t>
      </w:r>
      <w:r>
        <w:rPr>
          <w:sz w:val="24"/>
        </w:rPr>
        <w:t>or</w:t>
      </w:r>
      <w:r>
        <w:rPr>
          <w:spacing w:val="40"/>
          <w:sz w:val="24"/>
        </w:rPr>
        <w:t> </w:t>
      </w:r>
      <w:r>
        <w:rPr>
          <w:sz w:val="24"/>
        </w:rPr>
        <w:t>other</w:t>
      </w:r>
      <w:r>
        <w:rPr>
          <w:spacing w:val="40"/>
          <w:sz w:val="24"/>
        </w:rPr>
        <w:t> </w:t>
      </w:r>
      <w:r>
        <w:rPr>
          <w:sz w:val="24"/>
        </w:rPr>
        <w:t>of them</w:t>
      </w:r>
      <w:r>
        <w:rPr>
          <w:spacing w:val="40"/>
          <w:sz w:val="24"/>
        </w:rPr>
        <w:t> </w:t>
      </w:r>
      <w:r>
        <w:rPr>
          <w:sz w:val="24"/>
        </w:rPr>
        <w:t>shall</w:t>
      </w:r>
      <w:r>
        <w:rPr>
          <w:spacing w:val="40"/>
          <w:sz w:val="24"/>
        </w:rPr>
        <w:t> </w:t>
      </w:r>
      <w:r>
        <w:rPr>
          <w:sz w:val="24"/>
        </w:rPr>
        <w:t>be</w:t>
      </w:r>
      <w:r>
        <w:rPr>
          <w:spacing w:val="40"/>
          <w:sz w:val="24"/>
        </w:rPr>
        <w:t> </w:t>
      </w:r>
      <w:r>
        <w:rPr>
          <w:sz w:val="24"/>
        </w:rPr>
        <w:t>accessible</w:t>
      </w:r>
      <w:r>
        <w:rPr>
          <w:spacing w:val="40"/>
          <w:sz w:val="24"/>
        </w:rPr>
        <w:t> </w:t>
      </w:r>
      <w:r>
        <w:rPr>
          <w:sz w:val="24"/>
        </w:rPr>
        <w:t>to</w:t>
      </w:r>
      <w:r>
        <w:rPr>
          <w:spacing w:val="40"/>
          <w:sz w:val="24"/>
        </w:rPr>
        <w:t> </w:t>
      </w:r>
      <w:r>
        <w:rPr>
          <w:sz w:val="24"/>
        </w:rPr>
        <w:t>all</w:t>
      </w:r>
      <w:r>
        <w:rPr>
          <w:spacing w:val="40"/>
          <w:sz w:val="24"/>
        </w:rPr>
        <w:t> </w:t>
      </w:r>
      <w:r>
        <w:rPr>
          <w:sz w:val="24"/>
        </w:rPr>
        <w:t>occupants</w:t>
      </w:r>
      <w:r>
        <w:rPr>
          <w:spacing w:val="40"/>
          <w:sz w:val="24"/>
        </w:rPr>
        <w:t> </w:t>
      </w:r>
      <w:r>
        <w:rPr>
          <w:sz w:val="24"/>
        </w:rPr>
        <w:t>of</w:t>
      </w:r>
      <w:r>
        <w:rPr>
          <w:spacing w:val="40"/>
          <w:sz w:val="24"/>
        </w:rPr>
        <w:t> </w:t>
      </w:r>
      <w:r>
        <w:rPr>
          <w:sz w:val="24"/>
        </w:rPr>
        <w:t>the</w:t>
      </w:r>
      <w:r>
        <w:rPr>
          <w:spacing w:val="40"/>
          <w:sz w:val="24"/>
        </w:rPr>
        <w:t> </w:t>
      </w:r>
      <w:r>
        <w:rPr>
          <w:sz w:val="24"/>
        </w:rPr>
        <w:t>floor</w:t>
      </w:r>
      <w:r>
        <w:rPr>
          <w:spacing w:val="40"/>
          <w:sz w:val="24"/>
        </w:rPr>
        <w:t> </w:t>
      </w:r>
      <w:r>
        <w:rPr>
          <w:sz w:val="24"/>
        </w:rPr>
        <w:t>without</w:t>
      </w:r>
      <w:r>
        <w:rPr>
          <w:spacing w:val="40"/>
          <w:sz w:val="24"/>
        </w:rPr>
        <w:t> </w:t>
      </w:r>
      <w:r>
        <w:rPr>
          <w:sz w:val="24"/>
        </w:rPr>
        <w:t>having</w:t>
      </w:r>
      <w:r>
        <w:rPr>
          <w:spacing w:val="40"/>
          <w:sz w:val="24"/>
        </w:rPr>
        <w:t> </w:t>
      </w:r>
      <w:r>
        <w:rPr>
          <w:sz w:val="24"/>
        </w:rPr>
        <w:t>to</w:t>
      </w:r>
      <w:r>
        <w:rPr>
          <w:spacing w:val="40"/>
          <w:sz w:val="24"/>
        </w:rPr>
        <w:t> </w:t>
      </w:r>
      <w:r>
        <w:rPr>
          <w:sz w:val="24"/>
        </w:rPr>
        <w:t>travel</w:t>
      </w:r>
      <w:r>
        <w:rPr>
          <w:spacing w:val="40"/>
          <w:sz w:val="24"/>
        </w:rPr>
        <w:t> </w:t>
      </w:r>
      <w:r>
        <w:rPr>
          <w:sz w:val="24"/>
        </w:rPr>
        <w:t>more</w:t>
      </w:r>
      <w:r>
        <w:rPr>
          <w:spacing w:val="40"/>
          <w:sz w:val="24"/>
        </w:rPr>
        <w:t> </w:t>
      </w:r>
      <w:r>
        <w:rPr>
          <w:sz w:val="24"/>
        </w:rPr>
        <w:t>than</w:t>
      </w:r>
      <w:r>
        <w:rPr>
          <w:spacing w:val="40"/>
          <w:sz w:val="24"/>
        </w:rPr>
        <w:t> </w:t>
      </w:r>
      <w:r>
        <w:rPr>
          <w:sz w:val="24"/>
        </w:rPr>
        <w:t>30</w:t>
      </w:r>
      <w:r>
        <w:rPr>
          <w:spacing w:val="40"/>
          <w:sz w:val="24"/>
        </w:rPr>
        <w:t> </w:t>
      </w:r>
      <w:r>
        <w:rPr>
          <w:sz w:val="24"/>
        </w:rPr>
        <w:t>m.</w:t>
      </w:r>
    </w:p>
    <w:p>
      <w:pPr>
        <w:pStyle w:val="ListParagraph"/>
        <w:spacing w:after="0" w:line="240" w:lineRule="auto"/>
        <w:jc w:val="both"/>
        <w:rPr>
          <w:sz w:val="24"/>
        </w:rPr>
        <w:sectPr>
          <w:pgSz w:w="11910" w:h="16850"/>
          <w:pgMar w:header="1024" w:footer="1302" w:top="1480" w:bottom="1500" w:left="360" w:right="360"/>
        </w:sectPr>
      </w:pPr>
    </w:p>
    <w:p>
      <w:pPr>
        <w:pStyle w:val="ListParagraph"/>
        <w:numPr>
          <w:ilvl w:val="0"/>
          <w:numId w:val="346"/>
        </w:numPr>
        <w:tabs>
          <w:tab w:pos="2023" w:val="left" w:leader="none"/>
          <w:tab w:pos="2026" w:val="left" w:leader="none"/>
        </w:tabs>
        <w:spacing w:line="240" w:lineRule="auto" w:before="276" w:after="0"/>
        <w:ind w:left="2026" w:right="789" w:hanging="454"/>
        <w:jc w:val="both"/>
        <w:rPr>
          <w:sz w:val="24"/>
        </w:rPr>
      </w:pPr>
      <w:r>
        <w:rPr>
          <w:sz w:val="24"/>
        </w:rPr>
        <w:t>The call boxes shall be of the </w:t>
      </w:r>
      <w:r>
        <w:rPr>
          <w:spacing w:val="10"/>
          <w:sz w:val="24"/>
        </w:rPr>
        <w:t>'break-</w:t>
      </w:r>
      <w:r>
        <w:rPr>
          <w:sz w:val="24"/>
        </w:rPr>
        <w:t>glass' type without any moving parts</w:t>
      </w:r>
      <w:r>
        <w:rPr>
          <w:spacing w:val="40"/>
          <w:sz w:val="24"/>
        </w:rPr>
        <w:t> </w:t>
      </w:r>
      <w:r>
        <w:rPr>
          <w:sz w:val="24"/>
        </w:rPr>
        <w:t>where</w:t>
      </w:r>
      <w:r>
        <w:rPr>
          <w:spacing w:val="40"/>
          <w:sz w:val="24"/>
        </w:rPr>
        <w:t> </w:t>
      </w:r>
      <w:r>
        <w:rPr>
          <w:sz w:val="24"/>
        </w:rPr>
        <w:t>the</w:t>
      </w:r>
      <w:r>
        <w:rPr>
          <w:spacing w:val="40"/>
          <w:sz w:val="24"/>
        </w:rPr>
        <w:t> </w:t>
      </w:r>
      <w:r>
        <w:rPr>
          <w:sz w:val="24"/>
        </w:rPr>
        <w:t>call</w:t>
      </w:r>
      <w:r>
        <w:rPr>
          <w:spacing w:val="40"/>
          <w:sz w:val="24"/>
        </w:rPr>
        <w:t> </w:t>
      </w:r>
      <w:r>
        <w:rPr>
          <w:sz w:val="24"/>
        </w:rPr>
        <w:t>is</w:t>
      </w:r>
      <w:r>
        <w:rPr>
          <w:spacing w:val="40"/>
          <w:sz w:val="24"/>
        </w:rPr>
        <w:t> </w:t>
      </w:r>
      <w:r>
        <w:rPr>
          <w:sz w:val="24"/>
        </w:rPr>
        <w:t>transmitted</w:t>
      </w:r>
      <w:r>
        <w:rPr>
          <w:spacing w:val="40"/>
          <w:sz w:val="24"/>
        </w:rPr>
        <w:t> </w:t>
      </w:r>
      <w:r>
        <w:rPr>
          <w:sz w:val="24"/>
        </w:rPr>
        <w:t>automatically</w:t>
      </w:r>
      <w:r>
        <w:rPr>
          <w:spacing w:val="40"/>
          <w:sz w:val="24"/>
        </w:rPr>
        <w:t> </w:t>
      </w:r>
      <w:r>
        <w:rPr>
          <w:sz w:val="24"/>
        </w:rPr>
        <w:t>to</w:t>
      </w:r>
      <w:r>
        <w:rPr>
          <w:spacing w:val="40"/>
          <w:sz w:val="24"/>
        </w:rPr>
        <w:t> </w:t>
      </w:r>
      <w:r>
        <w:rPr>
          <w:sz w:val="24"/>
        </w:rPr>
        <w:t>the</w:t>
      </w:r>
      <w:r>
        <w:rPr>
          <w:spacing w:val="40"/>
          <w:sz w:val="24"/>
        </w:rPr>
        <w:t> </w:t>
      </w:r>
      <w:r>
        <w:rPr>
          <w:sz w:val="24"/>
        </w:rPr>
        <w:t>control</w:t>
      </w:r>
      <w:r>
        <w:rPr>
          <w:spacing w:val="40"/>
          <w:sz w:val="24"/>
        </w:rPr>
        <w:t> </w:t>
      </w:r>
      <w:r>
        <w:rPr>
          <w:sz w:val="24"/>
        </w:rPr>
        <w:t>room</w:t>
      </w:r>
      <w:r>
        <w:rPr>
          <w:spacing w:val="40"/>
          <w:sz w:val="24"/>
        </w:rPr>
        <w:t> </w:t>
      </w:r>
      <w:r>
        <w:rPr>
          <w:sz w:val="24"/>
        </w:rPr>
        <w:t>without</w:t>
      </w:r>
      <w:r>
        <w:rPr>
          <w:spacing w:val="40"/>
          <w:sz w:val="24"/>
        </w:rPr>
        <w:t> </w:t>
      </w:r>
      <w:r>
        <w:rPr>
          <w:sz w:val="24"/>
        </w:rPr>
        <w:t>any</w:t>
      </w:r>
      <w:r>
        <w:rPr>
          <w:spacing w:val="40"/>
          <w:sz w:val="24"/>
        </w:rPr>
        <w:t> </w:t>
      </w:r>
      <w:r>
        <w:rPr>
          <w:sz w:val="24"/>
        </w:rPr>
        <w:t>other</w:t>
      </w:r>
      <w:r>
        <w:rPr>
          <w:spacing w:val="40"/>
          <w:sz w:val="24"/>
        </w:rPr>
        <w:t> </w:t>
      </w:r>
      <w:r>
        <w:rPr>
          <w:sz w:val="24"/>
        </w:rPr>
        <w:t>action</w:t>
      </w:r>
      <w:r>
        <w:rPr>
          <w:spacing w:val="40"/>
          <w:sz w:val="24"/>
        </w:rPr>
        <w:t> </w:t>
      </w:r>
      <w:r>
        <w:rPr>
          <w:sz w:val="24"/>
        </w:rPr>
        <w:t>on</w:t>
      </w:r>
      <w:r>
        <w:rPr>
          <w:spacing w:val="40"/>
          <w:sz w:val="24"/>
        </w:rPr>
        <w:t> </w:t>
      </w:r>
      <w:r>
        <w:rPr>
          <w:sz w:val="24"/>
        </w:rPr>
        <w:t>the</w:t>
      </w:r>
      <w:r>
        <w:rPr>
          <w:spacing w:val="40"/>
          <w:sz w:val="24"/>
        </w:rPr>
        <w:t> </w:t>
      </w:r>
      <w:r>
        <w:rPr>
          <w:sz w:val="24"/>
        </w:rPr>
        <w:t>part</w:t>
      </w:r>
      <w:r>
        <w:rPr>
          <w:spacing w:val="40"/>
          <w:sz w:val="24"/>
        </w:rPr>
        <w:t> </w:t>
      </w:r>
      <w:r>
        <w:rPr>
          <w:sz w:val="24"/>
        </w:rPr>
        <w:t>of</w:t>
      </w:r>
      <w:r>
        <w:rPr>
          <w:spacing w:val="40"/>
          <w:sz w:val="24"/>
        </w:rPr>
        <w:t> </w:t>
      </w:r>
      <w:r>
        <w:rPr>
          <w:sz w:val="24"/>
        </w:rPr>
        <w:t>the</w:t>
      </w:r>
      <w:r>
        <w:rPr>
          <w:spacing w:val="40"/>
          <w:sz w:val="24"/>
        </w:rPr>
        <w:t> </w:t>
      </w:r>
      <w:r>
        <w:rPr>
          <w:sz w:val="24"/>
        </w:rPr>
        <w:t>person</w:t>
      </w:r>
      <w:r>
        <w:rPr>
          <w:spacing w:val="40"/>
          <w:sz w:val="24"/>
        </w:rPr>
        <w:t> </w:t>
      </w:r>
      <w:r>
        <w:rPr>
          <w:sz w:val="24"/>
        </w:rPr>
        <w:t>operating the call box.</w:t>
      </w:r>
    </w:p>
    <w:p>
      <w:pPr>
        <w:pStyle w:val="ListParagraph"/>
        <w:numPr>
          <w:ilvl w:val="0"/>
          <w:numId w:val="346"/>
        </w:numPr>
        <w:tabs>
          <w:tab w:pos="2024" w:val="left" w:leader="none"/>
          <w:tab w:pos="2026" w:val="left" w:leader="none"/>
        </w:tabs>
        <w:spacing w:line="240" w:lineRule="auto" w:before="241" w:after="0"/>
        <w:ind w:left="2026" w:right="786" w:hanging="454"/>
        <w:jc w:val="both"/>
        <w:rPr>
          <w:sz w:val="24"/>
        </w:rPr>
      </w:pPr>
      <w:r>
        <w:rPr>
          <w:sz w:val="24"/>
        </w:rPr>
        <w:t>All</w:t>
      </w:r>
      <w:r>
        <w:rPr>
          <w:spacing w:val="40"/>
          <w:sz w:val="24"/>
        </w:rPr>
        <w:t> </w:t>
      </w:r>
      <w:r>
        <w:rPr>
          <w:sz w:val="24"/>
        </w:rPr>
        <w:t>call</w:t>
      </w:r>
      <w:r>
        <w:rPr>
          <w:spacing w:val="40"/>
          <w:sz w:val="24"/>
        </w:rPr>
        <w:t> </w:t>
      </w:r>
      <w:r>
        <w:rPr>
          <w:sz w:val="24"/>
        </w:rPr>
        <w:t>boxes</w:t>
      </w:r>
      <w:r>
        <w:rPr>
          <w:spacing w:val="40"/>
          <w:sz w:val="24"/>
        </w:rPr>
        <w:t> </w:t>
      </w:r>
      <w:r>
        <w:rPr>
          <w:sz w:val="24"/>
        </w:rPr>
        <w:t>shall</w:t>
      </w:r>
      <w:r>
        <w:rPr>
          <w:spacing w:val="40"/>
          <w:sz w:val="24"/>
        </w:rPr>
        <w:t> </w:t>
      </w:r>
      <w:r>
        <w:rPr>
          <w:sz w:val="24"/>
        </w:rPr>
        <w:t>be</w:t>
      </w:r>
      <w:r>
        <w:rPr>
          <w:spacing w:val="40"/>
          <w:sz w:val="24"/>
        </w:rPr>
        <w:t> </w:t>
      </w:r>
      <w:r>
        <w:rPr>
          <w:sz w:val="24"/>
        </w:rPr>
        <w:t>wired</w:t>
      </w:r>
      <w:r>
        <w:rPr>
          <w:spacing w:val="40"/>
          <w:sz w:val="24"/>
        </w:rPr>
        <w:t> </w:t>
      </w:r>
      <w:r>
        <w:rPr>
          <w:sz w:val="24"/>
        </w:rPr>
        <w:t>in</w:t>
      </w:r>
      <w:r>
        <w:rPr>
          <w:spacing w:val="40"/>
          <w:sz w:val="24"/>
        </w:rPr>
        <w:t> </w:t>
      </w:r>
      <w:r>
        <w:rPr>
          <w:sz w:val="24"/>
        </w:rPr>
        <w:t>a</w:t>
      </w:r>
      <w:r>
        <w:rPr>
          <w:spacing w:val="40"/>
          <w:sz w:val="24"/>
        </w:rPr>
        <w:t> </w:t>
      </w:r>
      <w:r>
        <w:rPr>
          <w:sz w:val="24"/>
        </w:rPr>
        <w:t>closed</w:t>
      </w:r>
      <w:r>
        <w:rPr>
          <w:spacing w:val="40"/>
          <w:sz w:val="24"/>
        </w:rPr>
        <w:t> </w:t>
      </w:r>
      <w:r>
        <w:rPr>
          <w:sz w:val="24"/>
        </w:rPr>
        <w:t>circuit</w:t>
      </w:r>
      <w:r>
        <w:rPr>
          <w:spacing w:val="40"/>
          <w:sz w:val="24"/>
        </w:rPr>
        <w:t> </w:t>
      </w:r>
      <w:r>
        <w:rPr>
          <w:sz w:val="24"/>
        </w:rPr>
        <w:t>to</w:t>
      </w:r>
      <w:r>
        <w:rPr>
          <w:spacing w:val="40"/>
          <w:sz w:val="24"/>
        </w:rPr>
        <w:t> </w:t>
      </w:r>
      <w:r>
        <w:rPr>
          <w:sz w:val="24"/>
        </w:rPr>
        <w:t>a</w:t>
      </w:r>
      <w:r>
        <w:rPr>
          <w:spacing w:val="40"/>
          <w:sz w:val="24"/>
        </w:rPr>
        <w:t> </w:t>
      </w:r>
      <w:r>
        <w:rPr>
          <w:sz w:val="24"/>
        </w:rPr>
        <w:t>control</w:t>
      </w:r>
      <w:r>
        <w:rPr>
          <w:spacing w:val="40"/>
          <w:sz w:val="24"/>
        </w:rPr>
        <w:t> </w:t>
      </w:r>
      <w:r>
        <w:rPr>
          <w:sz w:val="24"/>
        </w:rPr>
        <w:t>panel</w:t>
      </w:r>
      <w:r>
        <w:rPr>
          <w:spacing w:val="80"/>
          <w:sz w:val="24"/>
        </w:rPr>
        <w:t> </w:t>
      </w:r>
      <w:r>
        <w:rPr>
          <w:sz w:val="24"/>
        </w:rPr>
        <w:t>in the control room located as given in this rule so that the floor number where the call box is actuated is clearly indicated on the control panel.</w:t>
      </w:r>
      <w:r>
        <w:rPr>
          <w:spacing w:val="80"/>
          <w:sz w:val="24"/>
        </w:rPr>
        <w:t> </w:t>
      </w:r>
      <w:r>
        <w:rPr>
          <w:sz w:val="24"/>
        </w:rPr>
        <w:t>The circuit shall also include one or more </w:t>
      </w:r>
      <w:r>
        <w:rPr>
          <w:spacing w:val="10"/>
          <w:sz w:val="24"/>
        </w:rPr>
        <w:t>batteries </w:t>
      </w:r>
      <w:r>
        <w:rPr>
          <w:sz w:val="24"/>
        </w:rPr>
        <w:t>with</w:t>
      </w:r>
      <w:r>
        <w:rPr>
          <w:spacing w:val="40"/>
          <w:sz w:val="24"/>
        </w:rPr>
        <w:t> </w:t>
      </w:r>
      <w:r>
        <w:rPr>
          <w:sz w:val="24"/>
        </w:rPr>
        <w:t>a</w:t>
      </w:r>
      <w:r>
        <w:rPr>
          <w:spacing w:val="40"/>
          <w:sz w:val="24"/>
        </w:rPr>
        <w:t> </w:t>
      </w:r>
      <w:r>
        <w:rPr>
          <w:sz w:val="24"/>
        </w:rPr>
        <w:t>capacity</w:t>
      </w:r>
      <w:r>
        <w:rPr>
          <w:spacing w:val="40"/>
          <w:sz w:val="24"/>
        </w:rPr>
        <w:t> </w:t>
      </w:r>
      <w:r>
        <w:rPr>
          <w:sz w:val="24"/>
        </w:rPr>
        <w:t>of</w:t>
      </w:r>
      <w:r>
        <w:rPr>
          <w:spacing w:val="40"/>
          <w:sz w:val="24"/>
        </w:rPr>
        <w:t> </w:t>
      </w:r>
      <w:r>
        <w:rPr>
          <w:sz w:val="24"/>
        </w:rPr>
        <w:t>48</w:t>
      </w:r>
      <w:r>
        <w:rPr>
          <w:spacing w:val="40"/>
          <w:sz w:val="24"/>
        </w:rPr>
        <w:t> </w:t>
      </w:r>
      <w:r>
        <w:rPr>
          <w:sz w:val="24"/>
        </w:rPr>
        <w:t>hours</w:t>
      </w:r>
      <w:r>
        <w:rPr>
          <w:spacing w:val="40"/>
          <w:sz w:val="24"/>
        </w:rPr>
        <w:t> </w:t>
      </w:r>
      <w:r>
        <w:rPr>
          <w:sz w:val="24"/>
        </w:rPr>
        <w:t>normal</w:t>
      </w:r>
      <w:r>
        <w:rPr>
          <w:spacing w:val="40"/>
          <w:sz w:val="24"/>
        </w:rPr>
        <w:t> </w:t>
      </w:r>
      <w:r>
        <w:rPr>
          <w:sz w:val="24"/>
        </w:rPr>
        <w:t>working</w:t>
      </w:r>
      <w:r>
        <w:rPr>
          <w:spacing w:val="40"/>
          <w:sz w:val="24"/>
        </w:rPr>
        <w:t> </w:t>
      </w:r>
      <w:r>
        <w:rPr>
          <w:sz w:val="24"/>
        </w:rPr>
        <w:t>at</w:t>
      </w:r>
      <w:r>
        <w:rPr>
          <w:spacing w:val="40"/>
          <w:sz w:val="24"/>
        </w:rPr>
        <w:t> </w:t>
      </w:r>
      <w:r>
        <w:rPr>
          <w:sz w:val="24"/>
        </w:rPr>
        <w:t>full</w:t>
      </w:r>
      <w:r>
        <w:rPr>
          <w:spacing w:val="40"/>
          <w:sz w:val="24"/>
        </w:rPr>
        <w:t> </w:t>
      </w:r>
      <w:r>
        <w:rPr>
          <w:sz w:val="24"/>
        </w:rPr>
        <w:t>load.</w:t>
      </w:r>
      <w:r>
        <w:rPr>
          <w:spacing w:val="40"/>
          <w:sz w:val="24"/>
        </w:rPr>
        <w:t>  </w:t>
      </w:r>
      <w:r>
        <w:rPr>
          <w:sz w:val="24"/>
        </w:rPr>
        <w:t>The battery</w:t>
      </w:r>
      <w:r>
        <w:rPr>
          <w:spacing w:val="40"/>
          <w:sz w:val="24"/>
        </w:rPr>
        <w:t> </w:t>
      </w:r>
      <w:r>
        <w:rPr>
          <w:sz w:val="24"/>
        </w:rPr>
        <w:t>shall</w:t>
      </w:r>
      <w:r>
        <w:rPr>
          <w:spacing w:val="40"/>
          <w:sz w:val="24"/>
        </w:rPr>
        <w:t> </w:t>
      </w:r>
      <w:r>
        <w:rPr>
          <w:sz w:val="24"/>
        </w:rPr>
        <w:t>be</w:t>
      </w:r>
      <w:r>
        <w:rPr>
          <w:spacing w:val="40"/>
          <w:sz w:val="24"/>
        </w:rPr>
        <w:t> </w:t>
      </w:r>
      <w:r>
        <w:rPr>
          <w:sz w:val="24"/>
        </w:rPr>
        <w:t>arranged</w:t>
      </w:r>
      <w:r>
        <w:rPr>
          <w:spacing w:val="40"/>
          <w:sz w:val="24"/>
        </w:rPr>
        <w:t> </w:t>
      </w:r>
      <w:r>
        <w:rPr>
          <w:sz w:val="24"/>
        </w:rPr>
        <w:t>to</w:t>
      </w:r>
      <w:r>
        <w:rPr>
          <w:spacing w:val="40"/>
          <w:sz w:val="24"/>
        </w:rPr>
        <w:t> </w:t>
      </w:r>
      <w:r>
        <w:rPr>
          <w:sz w:val="24"/>
        </w:rPr>
        <w:t>be</w:t>
      </w:r>
      <w:r>
        <w:rPr>
          <w:spacing w:val="40"/>
          <w:sz w:val="24"/>
        </w:rPr>
        <w:t> </w:t>
      </w:r>
      <w:r>
        <w:rPr>
          <w:sz w:val="24"/>
        </w:rPr>
        <w:t>continuously</w:t>
      </w:r>
      <w:r>
        <w:rPr>
          <w:spacing w:val="40"/>
          <w:sz w:val="24"/>
        </w:rPr>
        <w:t> </w:t>
      </w:r>
      <w:r>
        <w:rPr>
          <w:spacing w:val="11"/>
          <w:sz w:val="24"/>
        </w:rPr>
        <w:t>trickle-</w:t>
      </w:r>
      <w:r>
        <w:rPr>
          <w:sz w:val="24"/>
        </w:rPr>
        <w:t>charged</w:t>
      </w:r>
      <w:r>
        <w:rPr>
          <w:spacing w:val="40"/>
          <w:sz w:val="24"/>
        </w:rPr>
        <w:t> </w:t>
      </w:r>
      <w:r>
        <w:rPr>
          <w:sz w:val="24"/>
        </w:rPr>
        <w:t>from the electric mains.</w:t>
      </w:r>
      <w:r>
        <w:rPr>
          <w:spacing w:val="80"/>
          <w:sz w:val="24"/>
        </w:rPr>
        <w:t> </w:t>
      </w:r>
      <w:r>
        <w:rPr>
          <w:sz w:val="24"/>
        </w:rPr>
        <w:t>The circuit may be connected to an alternate source of electric </w:t>
      </w:r>
      <w:r>
        <w:rPr>
          <w:spacing w:val="9"/>
          <w:sz w:val="24"/>
        </w:rPr>
        <w:t>supply.</w:t>
      </w:r>
    </w:p>
    <w:p>
      <w:pPr>
        <w:pStyle w:val="ListParagraph"/>
        <w:numPr>
          <w:ilvl w:val="0"/>
          <w:numId w:val="346"/>
        </w:numPr>
        <w:tabs>
          <w:tab w:pos="2023" w:val="left" w:leader="none"/>
          <w:tab w:pos="2026" w:val="left" w:leader="none"/>
        </w:tabs>
        <w:spacing w:line="240" w:lineRule="auto" w:before="240" w:after="0"/>
        <w:ind w:left="2026" w:right="796" w:hanging="454"/>
        <w:jc w:val="both"/>
        <w:rPr>
          <w:sz w:val="24"/>
        </w:rPr>
      </w:pPr>
      <w:r>
        <w:rPr>
          <w:sz w:val="24"/>
        </w:rPr>
        <w:t>The</w:t>
      </w:r>
      <w:r>
        <w:rPr>
          <w:spacing w:val="40"/>
          <w:sz w:val="24"/>
        </w:rPr>
        <w:t> </w:t>
      </w:r>
      <w:r>
        <w:rPr>
          <w:sz w:val="24"/>
        </w:rPr>
        <w:t>call</w:t>
      </w:r>
      <w:r>
        <w:rPr>
          <w:spacing w:val="40"/>
          <w:sz w:val="24"/>
        </w:rPr>
        <w:t> </w:t>
      </w:r>
      <w:r>
        <w:rPr>
          <w:sz w:val="24"/>
        </w:rPr>
        <w:t>boxes</w:t>
      </w:r>
      <w:r>
        <w:rPr>
          <w:spacing w:val="40"/>
          <w:sz w:val="24"/>
        </w:rPr>
        <w:t> </w:t>
      </w:r>
      <w:r>
        <w:rPr>
          <w:sz w:val="24"/>
        </w:rPr>
        <w:t>shall</w:t>
      </w:r>
      <w:r>
        <w:rPr>
          <w:spacing w:val="40"/>
          <w:sz w:val="24"/>
        </w:rPr>
        <w:t> </w:t>
      </w:r>
      <w:r>
        <w:rPr>
          <w:sz w:val="24"/>
        </w:rPr>
        <w:t>be</w:t>
      </w:r>
      <w:r>
        <w:rPr>
          <w:spacing w:val="40"/>
          <w:sz w:val="24"/>
        </w:rPr>
        <w:t> </w:t>
      </w:r>
      <w:r>
        <w:rPr>
          <w:spacing w:val="9"/>
          <w:sz w:val="24"/>
        </w:rPr>
        <w:t>arranged</w:t>
      </w:r>
      <w:r>
        <w:rPr>
          <w:spacing w:val="40"/>
          <w:sz w:val="24"/>
        </w:rPr>
        <w:t> </w:t>
      </w:r>
      <w:r>
        <w:rPr>
          <w:sz w:val="24"/>
        </w:rPr>
        <w:t>to</w:t>
      </w:r>
      <w:r>
        <w:rPr>
          <w:spacing w:val="40"/>
          <w:sz w:val="24"/>
        </w:rPr>
        <w:t> </w:t>
      </w:r>
      <w:r>
        <w:rPr>
          <w:sz w:val="24"/>
        </w:rPr>
        <w:t>sound</w:t>
      </w:r>
      <w:r>
        <w:rPr>
          <w:spacing w:val="40"/>
          <w:sz w:val="24"/>
        </w:rPr>
        <w:t> </w:t>
      </w:r>
      <w:r>
        <w:rPr>
          <w:sz w:val="24"/>
        </w:rPr>
        <w:t>one</w:t>
      </w:r>
      <w:r>
        <w:rPr>
          <w:spacing w:val="40"/>
          <w:sz w:val="24"/>
        </w:rPr>
        <w:t> </w:t>
      </w:r>
      <w:r>
        <w:rPr>
          <w:sz w:val="24"/>
        </w:rPr>
        <w:t>or</w:t>
      </w:r>
      <w:r>
        <w:rPr>
          <w:spacing w:val="40"/>
          <w:sz w:val="24"/>
        </w:rPr>
        <w:t> </w:t>
      </w:r>
      <w:r>
        <w:rPr>
          <w:sz w:val="24"/>
        </w:rPr>
        <w:t>more</w:t>
      </w:r>
      <w:r>
        <w:rPr>
          <w:spacing w:val="40"/>
          <w:sz w:val="24"/>
        </w:rPr>
        <w:t> </w:t>
      </w:r>
      <w:r>
        <w:rPr>
          <w:sz w:val="24"/>
        </w:rPr>
        <w:t>sounders</w:t>
      </w:r>
      <w:r>
        <w:rPr>
          <w:spacing w:val="40"/>
          <w:sz w:val="24"/>
        </w:rPr>
        <w:t> </w:t>
      </w:r>
      <w:r>
        <w:rPr>
          <w:sz w:val="24"/>
        </w:rPr>
        <w:t>so as to ensure that all the occupants of the building are warned whenever</w:t>
      </w:r>
      <w:r>
        <w:rPr>
          <w:spacing w:val="40"/>
          <w:sz w:val="24"/>
        </w:rPr>
        <w:t> </w:t>
      </w:r>
      <w:r>
        <w:rPr>
          <w:sz w:val="24"/>
        </w:rPr>
        <w:t>any</w:t>
      </w:r>
      <w:r>
        <w:rPr>
          <w:spacing w:val="40"/>
          <w:sz w:val="24"/>
        </w:rPr>
        <w:t> </w:t>
      </w:r>
      <w:r>
        <w:rPr>
          <w:sz w:val="24"/>
        </w:rPr>
        <w:t>call</w:t>
      </w:r>
      <w:r>
        <w:rPr>
          <w:spacing w:val="40"/>
          <w:sz w:val="24"/>
        </w:rPr>
        <w:t> </w:t>
      </w:r>
      <w:r>
        <w:rPr>
          <w:sz w:val="24"/>
        </w:rPr>
        <w:t>box</w:t>
      </w:r>
      <w:r>
        <w:rPr>
          <w:spacing w:val="40"/>
          <w:sz w:val="24"/>
        </w:rPr>
        <w:t> </w:t>
      </w:r>
      <w:r>
        <w:rPr>
          <w:sz w:val="24"/>
        </w:rPr>
        <w:t>is</w:t>
      </w:r>
      <w:r>
        <w:rPr>
          <w:spacing w:val="9"/>
          <w:sz w:val="24"/>
        </w:rPr>
        <w:t> actuated.</w:t>
      </w:r>
    </w:p>
    <w:p>
      <w:pPr>
        <w:pStyle w:val="ListParagraph"/>
        <w:numPr>
          <w:ilvl w:val="0"/>
          <w:numId w:val="346"/>
        </w:numPr>
        <w:tabs>
          <w:tab w:pos="2024" w:val="left" w:leader="none"/>
          <w:tab w:pos="2026" w:val="left" w:leader="none"/>
        </w:tabs>
        <w:spacing w:line="240" w:lineRule="auto" w:before="240" w:after="0"/>
        <w:ind w:left="2026" w:right="782" w:hanging="454"/>
        <w:jc w:val="both"/>
        <w:rPr>
          <w:sz w:val="24"/>
        </w:rPr>
      </w:pPr>
      <w:r>
        <w:rPr>
          <w:sz w:val="24"/>
        </w:rPr>
        <w:t>The</w:t>
      </w:r>
      <w:r>
        <w:rPr>
          <w:spacing w:val="40"/>
          <w:sz w:val="24"/>
        </w:rPr>
        <w:t> </w:t>
      </w:r>
      <w:r>
        <w:rPr>
          <w:sz w:val="24"/>
        </w:rPr>
        <w:t>call</w:t>
      </w:r>
      <w:r>
        <w:rPr>
          <w:spacing w:val="40"/>
          <w:sz w:val="24"/>
        </w:rPr>
        <w:t> </w:t>
      </w:r>
      <w:r>
        <w:rPr>
          <w:sz w:val="24"/>
        </w:rPr>
        <w:t>boxes</w:t>
      </w:r>
      <w:r>
        <w:rPr>
          <w:spacing w:val="40"/>
          <w:sz w:val="24"/>
        </w:rPr>
        <w:t> </w:t>
      </w:r>
      <w:r>
        <w:rPr>
          <w:sz w:val="24"/>
        </w:rPr>
        <w:t>shall</w:t>
      </w:r>
      <w:r>
        <w:rPr>
          <w:spacing w:val="40"/>
          <w:sz w:val="24"/>
        </w:rPr>
        <w:t> </w:t>
      </w:r>
      <w:r>
        <w:rPr>
          <w:sz w:val="24"/>
        </w:rPr>
        <w:t>be</w:t>
      </w:r>
      <w:r>
        <w:rPr>
          <w:spacing w:val="40"/>
          <w:sz w:val="24"/>
        </w:rPr>
        <w:t> </w:t>
      </w:r>
      <w:r>
        <w:rPr>
          <w:sz w:val="24"/>
        </w:rPr>
        <w:t>so</w:t>
      </w:r>
      <w:r>
        <w:rPr>
          <w:spacing w:val="40"/>
          <w:sz w:val="24"/>
        </w:rPr>
        <w:t> </w:t>
      </w:r>
      <w:r>
        <w:rPr>
          <w:sz w:val="24"/>
        </w:rPr>
        <w:t>installed</w:t>
      </w:r>
      <w:r>
        <w:rPr>
          <w:spacing w:val="40"/>
          <w:sz w:val="24"/>
        </w:rPr>
        <w:t> </w:t>
      </w:r>
      <w:r>
        <w:rPr>
          <w:sz w:val="24"/>
        </w:rPr>
        <w:t>that</w:t>
      </w:r>
      <w:r>
        <w:rPr>
          <w:spacing w:val="40"/>
          <w:sz w:val="24"/>
        </w:rPr>
        <w:t> </w:t>
      </w:r>
      <w:r>
        <w:rPr>
          <w:sz w:val="24"/>
        </w:rPr>
        <w:t>they</w:t>
      </w:r>
      <w:r>
        <w:rPr>
          <w:spacing w:val="40"/>
          <w:sz w:val="24"/>
        </w:rPr>
        <w:t> </w:t>
      </w:r>
      <w:r>
        <w:rPr>
          <w:sz w:val="24"/>
        </w:rPr>
        <w:t>do</w:t>
      </w:r>
      <w:r>
        <w:rPr>
          <w:spacing w:val="40"/>
          <w:sz w:val="24"/>
        </w:rPr>
        <w:t> </w:t>
      </w:r>
      <w:r>
        <w:rPr>
          <w:sz w:val="24"/>
        </w:rPr>
        <w:t>not</w:t>
      </w:r>
      <w:r>
        <w:rPr>
          <w:spacing w:val="40"/>
          <w:sz w:val="24"/>
        </w:rPr>
        <w:t> </w:t>
      </w:r>
      <w:r>
        <w:rPr>
          <w:sz w:val="24"/>
        </w:rPr>
        <w:t>obstruct</w:t>
      </w:r>
      <w:r>
        <w:rPr>
          <w:spacing w:val="40"/>
          <w:sz w:val="24"/>
        </w:rPr>
        <w:t> </w:t>
      </w:r>
      <w:r>
        <w:rPr>
          <w:sz w:val="24"/>
        </w:rPr>
        <w:t>the exit-ways and yet their location can easily be noticed from either direction.</w:t>
      </w:r>
      <w:r>
        <w:rPr>
          <w:spacing w:val="80"/>
          <w:sz w:val="24"/>
        </w:rPr>
        <w:t> </w:t>
      </w:r>
      <w:r>
        <w:rPr>
          <w:sz w:val="24"/>
        </w:rPr>
        <w:t>The</w:t>
      </w:r>
      <w:r>
        <w:rPr>
          <w:spacing w:val="40"/>
          <w:sz w:val="24"/>
        </w:rPr>
        <w:t> </w:t>
      </w:r>
      <w:r>
        <w:rPr>
          <w:sz w:val="24"/>
        </w:rPr>
        <w:t>base</w:t>
      </w:r>
      <w:r>
        <w:rPr>
          <w:spacing w:val="40"/>
          <w:sz w:val="24"/>
        </w:rPr>
        <w:t> </w:t>
      </w:r>
      <w:r>
        <w:rPr>
          <w:sz w:val="24"/>
        </w:rPr>
        <w:t>of</w:t>
      </w:r>
      <w:r>
        <w:rPr>
          <w:spacing w:val="40"/>
          <w:sz w:val="24"/>
        </w:rPr>
        <w:t> </w:t>
      </w:r>
      <w:r>
        <w:rPr>
          <w:sz w:val="24"/>
        </w:rPr>
        <w:t>the</w:t>
      </w:r>
      <w:r>
        <w:rPr>
          <w:spacing w:val="40"/>
          <w:sz w:val="24"/>
        </w:rPr>
        <w:t> </w:t>
      </w:r>
      <w:r>
        <w:rPr>
          <w:sz w:val="24"/>
        </w:rPr>
        <w:t>call</w:t>
      </w:r>
      <w:r>
        <w:rPr>
          <w:spacing w:val="40"/>
          <w:sz w:val="24"/>
        </w:rPr>
        <w:t> </w:t>
      </w:r>
      <w:r>
        <w:rPr>
          <w:sz w:val="24"/>
        </w:rPr>
        <w:t>box</w:t>
      </w:r>
      <w:r>
        <w:rPr>
          <w:spacing w:val="40"/>
          <w:sz w:val="24"/>
        </w:rPr>
        <w:t> </w:t>
      </w:r>
      <w:r>
        <w:rPr>
          <w:sz w:val="24"/>
        </w:rPr>
        <w:t>be</w:t>
      </w:r>
      <w:r>
        <w:rPr>
          <w:spacing w:val="40"/>
          <w:sz w:val="24"/>
        </w:rPr>
        <w:t> </w:t>
      </w:r>
      <w:r>
        <w:rPr>
          <w:sz w:val="24"/>
        </w:rPr>
        <w:t>at</w:t>
      </w:r>
      <w:r>
        <w:rPr>
          <w:spacing w:val="40"/>
          <w:sz w:val="24"/>
        </w:rPr>
        <w:t> </w:t>
      </w:r>
      <w:r>
        <w:rPr>
          <w:sz w:val="24"/>
        </w:rPr>
        <w:t>a</w:t>
      </w:r>
      <w:r>
        <w:rPr>
          <w:spacing w:val="40"/>
          <w:sz w:val="24"/>
        </w:rPr>
        <w:t> </w:t>
      </w:r>
      <w:r>
        <w:rPr>
          <w:sz w:val="24"/>
        </w:rPr>
        <w:t>height</w:t>
      </w:r>
      <w:r>
        <w:rPr>
          <w:spacing w:val="40"/>
          <w:sz w:val="24"/>
        </w:rPr>
        <w:t> </w:t>
      </w:r>
      <w:r>
        <w:rPr>
          <w:sz w:val="24"/>
        </w:rPr>
        <w:t>of</w:t>
      </w:r>
      <w:r>
        <w:rPr>
          <w:spacing w:val="40"/>
          <w:sz w:val="24"/>
        </w:rPr>
        <w:t> </w:t>
      </w:r>
      <w:r>
        <w:rPr>
          <w:sz w:val="24"/>
        </w:rPr>
        <w:t>1</w:t>
      </w:r>
      <w:r>
        <w:rPr>
          <w:spacing w:val="40"/>
          <w:sz w:val="24"/>
        </w:rPr>
        <w:t> </w:t>
      </w:r>
      <w:r>
        <w:rPr>
          <w:sz w:val="24"/>
        </w:rPr>
        <w:t>m.</w:t>
      </w:r>
      <w:r>
        <w:rPr>
          <w:spacing w:val="40"/>
          <w:sz w:val="24"/>
        </w:rPr>
        <w:t> </w:t>
      </w:r>
      <w:r>
        <w:rPr>
          <w:sz w:val="24"/>
        </w:rPr>
        <w:t>from</w:t>
      </w:r>
      <w:r>
        <w:rPr>
          <w:spacing w:val="40"/>
          <w:sz w:val="24"/>
        </w:rPr>
        <w:t> </w:t>
      </w:r>
      <w:r>
        <w:rPr>
          <w:sz w:val="24"/>
        </w:rPr>
        <w:t>the floor </w:t>
      </w:r>
      <w:r>
        <w:rPr>
          <w:spacing w:val="9"/>
          <w:sz w:val="24"/>
        </w:rPr>
        <w:t>level.</w:t>
      </w:r>
    </w:p>
    <w:p>
      <w:pPr>
        <w:pStyle w:val="Heading6"/>
        <w:numPr>
          <w:ilvl w:val="0"/>
          <w:numId w:val="345"/>
        </w:numPr>
        <w:tabs>
          <w:tab w:pos="1978" w:val="left" w:leader="none"/>
        </w:tabs>
        <w:spacing w:line="240" w:lineRule="auto" w:before="236" w:after="0"/>
        <w:ind w:left="1978" w:right="800" w:hanging="720"/>
        <w:jc w:val="left"/>
        <w:rPr>
          <w:b w:val="0"/>
        </w:rPr>
      </w:pPr>
      <w:r>
        <w:rPr/>
        <w:t>All</w:t>
      </w:r>
      <w:r>
        <w:rPr>
          <w:spacing w:val="80"/>
        </w:rPr>
        <w:t> </w:t>
      </w:r>
      <w:r>
        <w:rPr/>
        <w:t>other</w:t>
      </w:r>
      <w:r>
        <w:rPr>
          <w:spacing w:val="80"/>
        </w:rPr>
        <w:t> </w:t>
      </w:r>
      <w:r>
        <w:rPr/>
        <w:t>buildings</w:t>
      </w:r>
      <w:r>
        <w:rPr>
          <w:spacing w:val="80"/>
        </w:rPr>
        <w:t> </w:t>
      </w:r>
      <w:r>
        <w:rPr/>
        <w:t>exceeding</w:t>
      </w:r>
      <w:r>
        <w:rPr>
          <w:spacing w:val="80"/>
        </w:rPr>
        <w:t> </w:t>
      </w:r>
      <w:r>
        <w:rPr/>
        <w:t>32</w:t>
      </w:r>
      <w:r>
        <w:rPr>
          <w:spacing w:val="80"/>
        </w:rPr>
        <w:t> </w:t>
      </w:r>
      <w:r>
        <w:rPr/>
        <w:t>m.</w:t>
      </w:r>
      <w:r>
        <w:rPr>
          <w:spacing w:val="80"/>
        </w:rPr>
        <w:t> </w:t>
      </w:r>
      <w:r>
        <w:rPr/>
        <w:t>height</w:t>
      </w:r>
      <w:r>
        <w:rPr>
          <w:spacing w:val="80"/>
        </w:rPr>
        <w:t> </w:t>
      </w:r>
      <w:r>
        <w:rPr/>
        <w:t>excluding</w:t>
      </w:r>
      <w:r>
        <w:rPr>
          <w:spacing w:val="80"/>
        </w:rPr>
        <w:t> </w:t>
      </w:r>
      <w:r>
        <w:rPr/>
        <w:t>those</w:t>
      </w:r>
      <w:r>
        <w:rPr>
          <w:spacing w:val="40"/>
        </w:rPr>
        <w:t> </w:t>
      </w:r>
      <w:r>
        <w:rPr/>
        <w:t>mentioned</w:t>
      </w:r>
      <w:r>
        <w:rPr>
          <w:spacing w:val="40"/>
        </w:rPr>
        <w:t> </w:t>
      </w:r>
      <w:r>
        <w:rPr/>
        <w:t>in</w:t>
      </w:r>
      <w:r>
        <w:rPr>
          <w:spacing w:val="40"/>
        </w:rPr>
        <w:t> </w:t>
      </w:r>
      <w:r>
        <w:rPr/>
        <w:t>clause</w:t>
      </w:r>
      <w:r>
        <w:rPr>
          <w:spacing w:val="40"/>
        </w:rPr>
        <w:t> </w:t>
      </w:r>
      <w:r>
        <w:rPr/>
        <w:t>(i)</w:t>
      </w:r>
      <w:r>
        <w:rPr>
          <w:spacing w:val="40"/>
        </w:rPr>
        <w:t> </w:t>
      </w:r>
      <w:r>
        <w:rPr/>
        <w:t>above</w:t>
      </w:r>
      <w:r>
        <w:rPr>
          <w:b w:val="0"/>
        </w:rPr>
        <w:t>:</w:t>
      </w:r>
      <w:r>
        <w:rPr>
          <w:b w:val="0"/>
          <w:spacing w:val="40"/>
        </w:rPr>
        <w:t> </w:t>
      </w:r>
      <w:r>
        <w:rPr>
          <w:b w:val="0"/>
        </w:rPr>
        <w:t>-</w:t>
      </w:r>
    </w:p>
    <w:p>
      <w:pPr>
        <w:pStyle w:val="BodyText"/>
        <w:spacing w:before="243"/>
        <w:ind w:left="1978" w:right="781"/>
      </w:pPr>
      <w:r>
        <w:rPr/>
        <w:t>These</w:t>
      </w:r>
      <w:r>
        <w:rPr>
          <w:spacing w:val="40"/>
        </w:rPr>
        <w:t> </w:t>
      </w:r>
      <w:r>
        <w:rPr/>
        <w:t>buildings</w:t>
      </w:r>
      <w:r>
        <w:rPr>
          <w:spacing w:val="80"/>
        </w:rPr>
        <w:t> </w:t>
      </w:r>
      <w:r>
        <w:rPr/>
        <w:t>shall,</w:t>
      </w:r>
      <w:r>
        <w:rPr>
          <w:spacing w:val="40"/>
        </w:rPr>
        <w:t> </w:t>
      </w:r>
      <w:r>
        <w:rPr/>
        <w:t>in</w:t>
      </w:r>
      <w:r>
        <w:rPr>
          <w:spacing w:val="40"/>
        </w:rPr>
        <w:t> </w:t>
      </w:r>
      <w:r>
        <w:rPr/>
        <w:t>addition</w:t>
      </w:r>
      <w:r>
        <w:rPr>
          <w:spacing w:val="80"/>
        </w:rPr>
        <w:t> </w:t>
      </w:r>
      <w:r>
        <w:rPr/>
        <w:t>to</w:t>
      </w:r>
      <w:r>
        <w:rPr>
          <w:spacing w:val="40"/>
        </w:rPr>
        <w:t> </w:t>
      </w:r>
      <w:r>
        <w:rPr/>
        <w:t>the</w:t>
      </w:r>
      <w:r>
        <w:rPr>
          <w:spacing w:val="40"/>
        </w:rPr>
        <w:t> </w:t>
      </w:r>
      <w:r>
        <w:rPr/>
        <w:t>manually</w:t>
      </w:r>
      <w:r>
        <w:rPr>
          <w:spacing w:val="80"/>
        </w:rPr>
        <w:t> </w:t>
      </w:r>
      <w:r>
        <w:rPr/>
        <w:t>operated electrical</w:t>
      </w:r>
      <w:r>
        <w:rPr>
          <w:spacing w:val="40"/>
        </w:rPr>
        <w:t> </w:t>
      </w:r>
      <w:r>
        <w:rPr/>
        <w:t>fire</w:t>
      </w:r>
      <w:r>
        <w:rPr>
          <w:spacing w:val="40"/>
        </w:rPr>
        <w:t> </w:t>
      </w:r>
      <w:r>
        <w:rPr/>
        <w:t>alarm</w:t>
      </w:r>
      <w:r>
        <w:rPr>
          <w:spacing w:val="40"/>
        </w:rPr>
        <w:t> </w:t>
      </w:r>
      <w:r>
        <w:rPr/>
        <w:t>system,</w:t>
      </w:r>
      <w:r>
        <w:rPr>
          <w:spacing w:val="40"/>
        </w:rPr>
        <w:t> </w:t>
      </w:r>
      <w:r>
        <w:rPr/>
        <w:t>be</w:t>
      </w:r>
      <w:r>
        <w:rPr>
          <w:spacing w:val="40"/>
        </w:rPr>
        <w:t> </w:t>
      </w:r>
      <w:r>
        <w:rPr/>
        <w:t>equipped</w:t>
      </w:r>
      <w:r>
        <w:rPr>
          <w:spacing w:val="40"/>
        </w:rPr>
        <w:t> </w:t>
      </w:r>
      <w:r>
        <w:rPr/>
        <w:t>with</w:t>
      </w:r>
      <w:r>
        <w:rPr>
          <w:spacing w:val="40"/>
        </w:rPr>
        <w:t> </w:t>
      </w:r>
      <w:r>
        <w:rPr/>
        <w:t>an</w:t>
      </w:r>
      <w:r>
        <w:rPr>
          <w:spacing w:val="40"/>
        </w:rPr>
        <w:t> </w:t>
      </w:r>
      <w:r>
        <w:rPr/>
        <w:t>automatic</w:t>
      </w:r>
      <w:r>
        <w:rPr>
          <w:spacing w:val="40"/>
        </w:rPr>
        <w:t> </w:t>
      </w:r>
      <w:r>
        <w:rPr/>
        <w:t>fire alarm system.</w:t>
      </w:r>
      <w:r>
        <w:rPr>
          <w:spacing w:val="40"/>
        </w:rPr>
        <w:t> </w:t>
      </w:r>
      <w:r>
        <w:rPr/>
        <w:t>The latter shall be in addition to any automatic </w:t>
      </w:r>
      <w:r>
        <w:rPr>
          <w:spacing w:val="10"/>
        </w:rPr>
        <w:t>fire- </w:t>
      </w:r>
      <w:r>
        <w:rPr/>
        <w:t>extinguishing system installed in any particular occupancy in accordance with these rules.</w:t>
      </w:r>
      <w:r>
        <w:rPr>
          <w:spacing w:val="80"/>
        </w:rPr>
        <w:t> </w:t>
      </w:r>
      <w:r>
        <w:rPr/>
        <w:t>The detectors for the automatic </w:t>
      </w:r>
      <w:r>
        <w:rPr>
          <w:spacing w:val="9"/>
        </w:rPr>
        <w:t>fire</w:t>
      </w:r>
      <w:r>
        <w:rPr>
          <w:spacing w:val="40"/>
        </w:rPr>
        <w:t> </w:t>
      </w:r>
      <w:r>
        <w:rPr/>
        <w:t>alarm shall conform to the relevant IS Specification Heat Smoke Sensitive Type Fire Detector and the system shall be installed in accordance with IS: 2189-1976 Code of Practice for </w:t>
      </w:r>
      <w:r>
        <w:rPr>
          <w:spacing w:val="9"/>
        </w:rPr>
        <w:t>Automatic </w:t>
      </w:r>
      <w:r>
        <w:rPr/>
        <w:t>Fire Alarm</w:t>
      </w:r>
      <w:r>
        <w:rPr>
          <w:spacing w:val="40"/>
        </w:rPr>
        <w:t> </w:t>
      </w:r>
      <w:r>
        <w:rPr/>
        <w:t>System</w:t>
      </w:r>
      <w:r>
        <w:rPr>
          <w:spacing w:val="40"/>
        </w:rPr>
        <w:t> </w:t>
      </w:r>
      <w:r>
        <w:rPr/>
        <w:t>of</w:t>
      </w:r>
      <w:r>
        <w:rPr>
          <w:spacing w:val="40"/>
        </w:rPr>
        <w:t> </w:t>
      </w:r>
      <w:r>
        <w:rPr/>
        <w:t>any</w:t>
      </w:r>
      <w:r>
        <w:rPr>
          <w:spacing w:val="40"/>
        </w:rPr>
        <w:t> </w:t>
      </w:r>
      <w:r>
        <w:rPr/>
        <w:t>other</w:t>
      </w:r>
      <w:r>
        <w:rPr>
          <w:spacing w:val="40"/>
        </w:rPr>
        <w:t> </w:t>
      </w:r>
      <w:r>
        <w:rPr/>
        <w:t>relevant</w:t>
      </w:r>
      <w:r>
        <w:rPr>
          <w:spacing w:val="40"/>
        </w:rPr>
        <w:t> </w:t>
      </w:r>
      <w:r>
        <w:rPr/>
        <w:t>Indian</w:t>
      </w:r>
      <w:r>
        <w:rPr>
          <w:spacing w:val="40"/>
        </w:rPr>
        <w:t> </w:t>
      </w:r>
      <w:r>
        <w:rPr/>
        <w:t>Standard,</w:t>
      </w:r>
      <w:r>
        <w:rPr>
          <w:spacing w:val="40"/>
        </w:rPr>
        <w:t> </w:t>
      </w:r>
      <w:r>
        <w:rPr/>
        <w:t>prescribed</w:t>
      </w:r>
      <w:r>
        <w:rPr>
          <w:spacing w:val="40"/>
        </w:rPr>
        <w:t> </w:t>
      </w:r>
      <w:r>
        <w:rPr/>
        <w:t>from time to </w:t>
      </w:r>
      <w:r>
        <w:rPr>
          <w:spacing w:val="9"/>
        </w:rPr>
        <w:t>time.</w:t>
      </w:r>
    </w:p>
    <w:p>
      <w:pPr>
        <w:pStyle w:val="BodyText"/>
        <w:spacing w:before="241"/>
        <w:ind w:left="1978" w:right="780"/>
      </w:pPr>
      <w:r>
        <w:rPr/>
        <w:t>Provided</w:t>
      </w:r>
      <w:r>
        <w:rPr>
          <w:spacing w:val="40"/>
        </w:rPr>
        <w:t> </w:t>
      </w:r>
      <w:r>
        <w:rPr/>
        <w:t>that,</w:t>
      </w:r>
      <w:r>
        <w:rPr>
          <w:spacing w:val="40"/>
        </w:rPr>
        <w:t> </w:t>
      </w:r>
      <w:r>
        <w:rPr/>
        <w:t>no</w:t>
      </w:r>
      <w:r>
        <w:rPr>
          <w:spacing w:val="40"/>
        </w:rPr>
        <w:t> </w:t>
      </w:r>
      <w:r>
        <w:rPr/>
        <w:t>automatic</w:t>
      </w:r>
      <w:r>
        <w:rPr>
          <w:spacing w:val="40"/>
        </w:rPr>
        <w:t> </w:t>
      </w:r>
      <w:r>
        <w:rPr/>
        <w:t>detector</w:t>
      </w:r>
      <w:r>
        <w:rPr>
          <w:spacing w:val="40"/>
        </w:rPr>
        <w:t> </w:t>
      </w:r>
      <w:r>
        <w:rPr/>
        <w:t>shall</w:t>
      </w:r>
      <w:r>
        <w:rPr>
          <w:spacing w:val="40"/>
        </w:rPr>
        <w:t> </w:t>
      </w:r>
      <w:r>
        <w:rPr/>
        <w:t>be</w:t>
      </w:r>
      <w:r>
        <w:rPr>
          <w:spacing w:val="40"/>
        </w:rPr>
        <w:t> </w:t>
      </w:r>
      <w:r>
        <w:rPr/>
        <w:t>required</w:t>
      </w:r>
      <w:r>
        <w:rPr>
          <w:spacing w:val="40"/>
        </w:rPr>
        <w:t> </w:t>
      </w:r>
      <w:r>
        <w:rPr/>
        <w:t>in</w:t>
      </w:r>
      <w:r>
        <w:rPr>
          <w:spacing w:val="40"/>
        </w:rPr>
        <w:t> </w:t>
      </w:r>
      <w:r>
        <w:rPr/>
        <w:t>any</w:t>
      </w:r>
      <w:r>
        <w:rPr>
          <w:spacing w:val="40"/>
        </w:rPr>
        <w:t> </w:t>
      </w:r>
      <w:r>
        <w:rPr>
          <w:spacing w:val="9"/>
        </w:rPr>
        <w:t>room </w:t>
      </w:r>
      <w:r>
        <w:rPr/>
        <w:t>or portion of a building which is equipped with an approved</w:t>
      </w:r>
      <w:r>
        <w:rPr>
          <w:spacing w:val="80"/>
        </w:rPr>
        <w:t> </w:t>
      </w:r>
      <w:r>
        <w:rPr/>
        <w:t>installation</w:t>
      </w:r>
      <w:r>
        <w:rPr>
          <w:spacing w:val="40"/>
        </w:rPr>
        <w:t> </w:t>
      </w:r>
      <w:r>
        <w:rPr/>
        <w:t>of</w:t>
      </w:r>
      <w:r>
        <w:rPr>
          <w:spacing w:val="40"/>
        </w:rPr>
        <w:t> </w:t>
      </w:r>
      <w:r>
        <w:rPr/>
        <w:t>automatic</w:t>
      </w:r>
      <w:r>
        <w:rPr>
          <w:spacing w:val="40"/>
        </w:rPr>
        <w:t> </w:t>
      </w:r>
      <w:r>
        <w:rPr>
          <w:spacing w:val="9"/>
        </w:rPr>
        <w:t>sprinklers.</w:t>
      </w:r>
    </w:p>
    <w:p>
      <w:pPr>
        <w:pStyle w:val="Heading6"/>
        <w:numPr>
          <w:ilvl w:val="0"/>
          <w:numId w:val="347"/>
        </w:numPr>
        <w:tabs>
          <w:tab w:pos="1215" w:val="left" w:leader="none"/>
        </w:tabs>
        <w:spacing w:line="240" w:lineRule="auto" w:before="237" w:after="0"/>
        <w:ind w:left="1215" w:right="0" w:hanging="438"/>
        <w:jc w:val="left"/>
        <w:rPr>
          <w:sz w:val="22"/>
        </w:rPr>
      </w:pPr>
      <w:r>
        <w:rPr/>
        <w:t>Lightning</w:t>
      </w:r>
      <w:r>
        <w:rPr>
          <w:spacing w:val="74"/>
        </w:rPr>
        <w:t> </w:t>
      </w:r>
      <w:r>
        <w:rPr/>
        <w:t>Protection</w:t>
      </w:r>
      <w:r>
        <w:rPr>
          <w:spacing w:val="74"/>
        </w:rPr>
        <w:t> </w:t>
      </w:r>
      <w:r>
        <w:rPr/>
        <w:t>of</w:t>
      </w:r>
      <w:r>
        <w:rPr>
          <w:spacing w:val="74"/>
        </w:rPr>
        <w:t> </w:t>
      </w:r>
      <w:r>
        <w:rPr>
          <w:spacing w:val="-2"/>
        </w:rPr>
        <w:t>Buildings</w:t>
      </w:r>
    </w:p>
    <w:p>
      <w:pPr>
        <w:pStyle w:val="BodyText"/>
        <w:spacing w:before="244"/>
        <w:ind w:left="1138" w:right="802"/>
      </w:pPr>
      <w:r>
        <w:rPr/>
        <w:t>The</w:t>
      </w:r>
      <w:r>
        <w:rPr>
          <w:spacing w:val="40"/>
        </w:rPr>
        <w:t> </w:t>
      </w:r>
      <w:r>
        <w:rPr/>
        <w:t>lightning</w:t>
      </w:r>
      <w:r>
        <w:rPr>
          <w:spacing w:val="40"/>
        </w:rPr>
        <w:t> </w:t>
      </w:r>
      <w:r>
        <w:rPr/>
        <w:t>protection</w:t>
      </w:r>
      <w:r>
        <w:rPr>
          <w:spacing w:val="40"/>
        </w:rPr>
        <w:t> </w:t>
      </w:r>
      <w:r>
        <w:rPr/>
        <w:t>systems</w:t>
      </w:r>
      <w:r>
        <w:rPr>
          <w:spacing w:val="40"/>
        </w:rPr>
        <w:t> </w:t>
      </w:r>
      <w:r>
        <w:rPr/>
        <w:t>for</w:t>
      </w:r>
      <w:r>
        <w:rPr>
          <w:spacing w:val="40"/>
        </w:rPr>
        <w:t> </w:t>
      </w:r>
      <w:r>
        <w:rPr/>
        <w:t>buildings</w:t>
      </w:r>
      <w:r>
        <w:rPr>
          <w:spacing w:val="40"/>
        </w:rPr>
        <w:t> </w:t>
      </w:r>
      <w:r>
        <w:rPr/>
        <w:t>shall</w:t>
      </w:r>
      <w:r>
        <w:rPr>
          <w:spacing w:val="40"/>
        </w:rPr>
        <w:t> </w:t>
      </w:r>
      <w:r>
        <w:rPr/>
        <w:t>be</w:t>
      </w:r>
      <w:r>
        <w:rPr>
          <w:spacing w:val="40"/>
        </w:rPr>
        <w:t> </w:t>
      </w:r>
      <w:r>
        <w:rPr/>
        <w:t>in</w:t>
      </w:r>
      <w:r>
        <w:rPr>
          <w:spacing w:val="40"/>
        </w:rPr>
        <w:t> </w:t>
      </w:r>
      <w:r>
        <w:rPr/>
        <w:t>accordance</w:t>
      </w:r>
      <w:r>
        <w:rPr>
          <w:spacing w:val="40"/>
        </w:rPr>
        <w:t> </w:t>
      </w:r>
      <w:r>
        <w:rPr/>
        <w:t>with the</w:t>
      </w:r>
      <w:r>
        <w:rPr>
          <w:spacing w:val="40"/>
        </w:rPr>
        <w:t> </w:t>
      </w:r>
      <w:r>
        <w:rPr/>
        <w:t>provisions</w:t>
      </w:r>
      <w:r>
        <w:rPr>
          <w:spacing w:val="40"/>
        </w:rPr>
        <w:t> </w:t>
      </w:r>
      <w:r>
        <w:rPr/>
        <w:t>of</w:t>
      </w:r>
      <w:r>
        <w:rPr>
          <w:spacing w:val="40"/>
        </w:rPr>
        <w:t> </w:t>
      </w:r>
      <w:r>
        <w:rPr/>
        <w:t>Part</w:t>
      </w:r>
      <w:r>
        <w:rPr>
          <w:spacing w:val="40"/>
        </w:rPr>
        <w:t> </w:t>
      </w:r>
      <w:r>
        <w:rPr/>
        <w:t>III,</w:t>
      </w:r>
      <w:r>
        <w:rPr>
          <w:spacing w:val="40"/>
        </w:rPr>
        <w:t> </w:t>
      </w:r>
      <w:r>
        <w:rPr/>
        <w:t>National</w:t>
      </w:r>
      <w:r>
        <w:rPr>
          <w:spacing w:val="40"/>
        </w:rPr>
        <w:t> </w:t>
      </w:r>
      <w:r>
        <w:rPr/>
        <w:t>Building</w:t>
      </w:r>
      <w:r>
        <w:rPr>
          <w:spacing w:val="40"/>
        </w:rPr>
        <w:t> </w:t>
      </w:r>
      <w:r>
        <w:rPr/>
        <w:t>Code</w:t>
      </w:r>
      <w:r>
        <w:rPr>
          <w:spacing w:val="40"/>
        </w:rPr>
        <w:t> </w:t>
      </w:r>
      <w:r>
        <w:rPr/>
        <w:t>of</w:t>
      </w:r>
      <w:r>
        <w:rPr>
          <w:spacing w:val="40"/>
        </w:rPr>
        <w:t> </w:t>
      </w:r>
      <w:r>
        <w:rPr/>
        <w:t>India</w:t>
      </w:r>
      <w:r>
        <w:rPr>
          <w:spacing w:val="40"/>
        </w:rPr>
        <w:t> </w:t>
      </w:r>
      <w:r>
        <w:rPr/>
        <w:t>amended</w:t>
      </w:r>
      <w:r>
        <w:rPr>
          <w:spacing w:val="40"/>
        </w:rPr>
        <w:t> </w:t>
      </w:r>
      <w:r>
        <w:rPr/>
        <w:t>up</w:t>
      </w:r>
      <w:r>
        <w:rPr>
          <w:spacing w:val="40"/>
        </w:rPr>
        <w:t> </w:t>
      </w:r>
      <w:r>
        <w:rPr/>
        <w:t>to </w:t>
      </w:r>
      <w:r>
        <w:rPr>
          <w:spacing w:val="-2"/>
        </w:rPr>
        <w:t>date.</w:t>
      </w:r>
    </w:p>
    <w:p>
      <w:pPr>
        <w:pStyle w:val="Heading6"/>
        <w:numPr>
          <w:ilvl w:val="0"/>
          <w:numId w:val="347"/>
        </w:numPr>
        <w:tabs>
          <w:tab w:pos="1215" w:val="left" w:leader="none"/>
        </w:tabs>
        <w:spacing w:line="240" w:lineRule="auto" w:before="237" w:after="0"/>
        <w:ind w:left="1215" w:right="0" w:hanging="438"/>
        <w:jc w:val="left"/>
        <w:rPr>
          <w:sz w:val="22"/>
        </w:rPr>
      </w:pPr>
      <w:r>
        <w:rPr/>
        <w:t>Control</w:t>
      </w:r>
      <w:r>
        <w:rPr>
          <w:spacing w:val="75"/>
        </w:rPr>
        <w:t> </w:t>
      </w:r>
      <w:r>
        <w:rPr>
          <w:spacing w:val="-4"/>
        </w:rPr>
        <w:t>Room</w:t>
      </w:r>
    </w:p>
    <w:p>
      <w:pPr>
        <w:pStyle w:val="Heading6"/>
        <w:spacing w:after="0" w:line="240" w:lineRule="auto"/>
        <w:jc w:val="left"/>
        <w:rPr>
          <w:sz w:val="22"/>
        </w:rPr>
        <w:sectPr>
          <w:pgSz w:w="11910" w:h="16850"/>
          <w:pgMar w:header="1024" w:footer="1302" w:top="1480" w:bottom="1500" w:left="360" w:right="360"/>
        </w:sectPr>
      </w:pPr>
    </w:p>
    <w:p>
      <w:pPr>
        <w:pStyle w:val="BodyText"/>
        <w:spacing w:before="276"/>
        <w:ind w:left="1138" w:right="780"/>
      </w:pPr>
      <w:r>
        <w:rPr/>
        <w:t>For all buildings mentioned in clause no 14 above except residential</w:t>
      </w:r>
      <w:r>
        <w:rPr>
          <w:spacing w:val="80"/>
        </w:rPr>
        <w:t> </w:t>
      </w:r>
      <w:r>
        <w:rPr/>
        <w:t>buildings,</w:t>
      </w:r>
      <w:r>
        <w:rPr>
          <w:spacing w:val="40"/>
        </w:rPr>
        <w:t> </w:t>
      </w:r>
      <w:r>
        <w:rPr/>
        <w:t>there</w:t>
      </w:r>
      <w:r>
        <w:rPr>
          <w:spacing w:val="40"/>
        </w:rPr>
        <w:t> </w:t>
      </w:r>
      <w:r>
        <w:rPr/>
        <w:t>shall</w:t>
      </w:r>
      <w:r>
        <w:rPr>
          <w:spacing w:val="40"/>
        </w:rPr>
        <w:t> </w:t>
      </w:r>
      <w:r>
        <w:rPr/>
        <w:t>be</w:t>
      </w:r>
      <w:r>
        <w:rPr>
          <w:spacing w:val="40"/>
        </w:rPr>
        <w:t> </w:t>
      </w:r>
      <w:r>
        <w:rPr/>
        <w:t>a</w:t>
      </w:r>
      <w:r>
        <w:rPr>
          <w:spacing w:val="40"/>
        </w:rPr>
        <w:t> </w:t>
      </w:r>
      <w:r>
        <w:rPr/>
        <w:t>control</w:t>
      </w:r>
      <w:r>
        <w:rPr>
          <w:spacing w:val="40"/>
        </w:rPr>
        <w:t> </w:t>
      </w:r>
      <w:r>
        <w:rPr/>
        <w:t>room</w:t>
      </w:r>
      <w:r>
        <w:rPr>
          <w:spacing w:val="40"/>
        </w:rPr>
        <w:t> </w:t>
      </w:r>
      <w:r>
        <w:rPr/>
        <w:t>on</w:t>
      </w:r>
      <w:r>
        <w:rPr>
          <w:spacing w:val="40"/>
        </w:rPr>
        <w:t> </w:t>
      </w:r>
      <w:r>
        <w:rPr/>
        <w:t>the</w:t>
      </w:r>
      <w:r>
        <w:rPr>
          <w:spacing w:val="40"/>
        </w:rPr>
        <w:t> </w:t>
      </w:r>
      <w:r>
        <w:rPr/>
        <w:t>entrance</w:t>
      </w:r>
      <w:r>
        <w:rPr>
          <w:spacing w:val="40"/>
        </w:rPr>
        <w:t> </w:t>
      </w:r>
      <w:r>
        <w:rPr/>
        <w:t>floor</w:t>
      </w:r>
      <w:r>
        <w:rPr>
          <w:spacing w:val="40"/>
        </w:rPr>
        <w:t> </w:t>
      </w:r>
      <w:r>
        <w:rPr/>
        <w:t>of</w:t>
      </w:r>
      <w:r>
        <w:rPr>
          <w:spacing w:val="40"/>
        </w:rPr>
        <w:t> </w:t>
      </w:r>
      <w:r>
        <w:rPr/>
        <w:t>the building</w:t>
      </w:r>
      <w:r>
        <w:rPr>
          <w:spacing w:val="80"/>
        </w:rPr>
        <w:t> </w:t>
      </w:r>
      <w:r>
        <w:rPr/>
        <w:t>with</w:t>
      </w:r>
      <w:r>
        <w:rPr>
          <w:spacing w:val="80"/>
        </w:rPr>
        <w:t> </w:t>
      </w:r>
      <w:r>
        <w:rPr/>
        <w:t>communication</w:t>
      </w:r>
      <w:r>
        <w:rPr>
          <w:spacing w:val="80"/>
        </w:rPr>
        <w:t> </w:t>
      </w:r>
      <w:r>
        <w:rPr/>
        <w:t>system</w:t>
      </w:r>
      <w:r>
        <w:rPr>
          <w:spacing w:val="80"/>
        </w:rPr>
        <w:t> </w:t>
      </w:r>
      <w:r>
        <w:rPr/>
        <w:t>(suitable</w:t>
      </w:r>
      <w:r>
        <w:rPr>
          <w:spacing w:val="80"/>
        </w:rPr>
        <w:t> </w:t>
      </w:r>
      <w:r>
        <w:rPr/>
        <w:t>public</w:t>
      </w:r>
      <w:r>
        <w:rPr>
          <w:spacing w:val="80"/>
        </w:rPr>
        <w:t> </w:t>
      </w:r>
      <w:r>
        <w:rPr/>
        <w:t>address</w:t>
      </w:r>
      <w:r>
        <w:rPr>
          <w:spacing w:val="80"/>
        </w:rPr>
        <w:t> </w:t>
      </w:r>
      <w:r>
        <w:rPr/>
        <w:t>system)</w:t>
      </w:r>
      <w:r>
        <w:rPr>
          <w:spacing w:val="80"/>
        </w:rPr>
        <w:t> </w:t>
      </w:r>
      <w:r>
        <w:rPr/>
        <w:t>to all floor planers along with the details of </w:t>
      </w:r>
      <w:r>
        <w:rPr>
          <w:spacing w:val="9"/>
        </w:rPr>
        <w:t>firefighting</w:t>
      </w:r>
      <w:r>
        <w:rPr>
          <w:spacing w:val="9"/>
        </w:rPr>
        <w:t> </w:t>
      </w:r>
      <w:r>
        <w:rPr/>
        <w:t>equipment and installations</w:t>
      </w:r>
      <w:r>
        <w:rPr>
          <w:spacing w:val="40"/>
        </w:rPr>
        <w:t> </w:t>
      </w:r>
      <w:r>
        <w:rPr/>
        <w:t>shall</w:t>
      </w:r>
      <w:r>
        <w:rPr>
          <w:spacing w:val="40"/>
        </w:rPr>
        <w:t> </w:t>
      </w:r>
      <w:r>
        <w:rPr/>
        <w:t>be</w:t>
      </w:r>
      <w:r>
        <w:rPr>
          <w:spacing w:val="40"/>
        </w:rPr>
        <w:t> </w:t>
      </w:r>
      <w:r>
        <w:rPr/>
        <w:t>maintained</w:t>
      </w:r>
      <w:r>
        <w:rPr>
          <w:spacing w:val="40"/>
        </w:rPr>
        <w:t> </w:t>
      </w:r>
      <w:r>
        <w:rPr/>
        <w:t>in</w:t>
      </w:r>
      <w:r>
        <w:rPr>
          <w:spacing w:val="40"/>
        </w:rPr>
        <w:t> </w:t>
      </w:r>
      <w:r>
        <w:rPr/>
        <w:t>the</w:t>
      </w:r>
      <w:r>
        <w:rPr>
          <w:spacing w:val="40"/>
        </w:rPr>
        <w:t> </w:t>
      </w:r>
      <w:r>
        <w:rPr/>
        <w:t>control</w:t>
      </w:r>
      <w:r>
        <w:rPr>
          <w:spacing w:val="40"/>
        </w:rPr>
        <w:t> </w:t>
      </w:r>
      <w:r>
        <w:rPr/>
        <w:t>room.</w:t>
      </w:r>
      <w:r>
        <w:rPr>
          <w:spacing w:val="80"/>
          <w:w w:val="150"/>
        </w:rPr>
        <w:t> </w:t>
      </w:r>
      <w:r>
        <w:rPr/>
        <w:t>The</w:t>
      </w:r>
      <w:r>
        <w:rPr>
          <w:spacing w:val="40"/>
        </w:rPr>
        <w:t> </w:t>
      </w:r>
      <w:r>
        <w:rPr/>
        <w:t>control</w:t>
      </w:r>
      <w:r>
        <w:rPr>
          <w:spacing w:val="40"/>
        </w:rPr>
        <w:t> </w:t>
      </w:r>
      <w:r>
        <w:rPr>
          <w:spacing w:val="9"/>
        </w:rPr>
        <w:t>room </w:t>
      </w:r>
      <w:r>
        <w:rPr/>
        <w:t>shall</w:t>
      </w:r>
      <w:r>
        <w:rPr>
          <w:spacing w:val="40"/>
        </w:rPr>
        <w:t> </w:t>
      </w:r>
      <w:r>
        <w:rPr/>
        <w:t>also</w:t>
      </w:r>
      <w:r>
        <w:rPr>
          <w:spacing w:val="40"/>
        </w:rPr>
        <w:t> </w:t>
      </w:r>
      <w:r>
        <w:rPr/>
        <w:t>have</w:t>
      </w:r>
      <w:r>
        <w:rPr>
          <w:spacing w:val="40"/>
        </w:rPr>
        <w:t> </w:t>
      </w:r>
      <w:r>
        <w:rPr/>
        <w:t>facilities</w:t>
      </w:r>
      <w:r>
        <w:rPr>
          <w:spacing w:val="40"/>
        </w:rPr>
        <w:t> </w:t>
      </w:r>
      <w:r>
        <w:rPr/>
        <w:t>to</w:t>
      </w:r>
      <w:r>
        <w:rPr>
          <w:spacing w:val="40"/>
        </w:rPr>
        <w:t> </w:t>
      </w:r>
      <w:r>
        <w:rPr/>
        <w:t>detect</w:t>
      </w:r>
      <w:r>
        <w:rPr>
          <w:spacing w:val="40"/>
        </w:rPr>
        <w:t> </w:t>
      </w:r>
      <w:r>
        <w:rPr/>
        <w:t>a</w:t>
      </w:r>
      <w:r>
        <w:rPr>
          <w:spacing w:val="40"/>
        </w:rPr>
        <w:t> </w:t>
      </w:r>
      <w:r>
        <w:rPr/>
        <w:t>fire</w:t>
      </w:r>
      <w:r>
        <w:rPr>
          <w:spacing w:val="40"/>
        </w:rPr>
        <w:t> </w:t>
      </w:r>
      <w:r>
        <w:rPr/>
        <w:t>on</w:t>
      </w:r>
      <w:r>
        <w:rPr>
          <w:spacing w:val="40"/>
        </w:rPr>
        <w:t> </w:t>
      </w:r>
      <w:r>
        <w:rPr/>
        <w:t>any</w:t>
      </w:r>
      <w:r>
        <w:rPr>
          <w:spacing w:val="40"/>
        </w:rPr>
        <w:t> </w:t>
      </w:r>
      <w:r>
        <w:rPr/>
        <w:t>floor</w:t>
      </w:r>
      <w:r>
        <w:rPr>
          <w:spacing w:val="40"/>
        </w:rPr>
        <w:t> </w:t>
      </w:r>
      <w:r>
        <w:rPr/>
        <w:t>through</w:t>
      </w:r>
      <w:r>
        <w:rPr>
          <w:spacing w:val="40"/>
        </w:rPr>
        <w:t> </w:t>
      </w:r>
      <w:r>
        <w:rPr/>
        <w:t>indicator boards</w:t>
      </w:r>
      <w:r>
        <w:rPr>
          <w:spacing w:val="80"/>
        </w:rPr>
        <w:t> </w:t>
      </w:r>
      <w:r>
        <w:rPr/>
        <w:t>connecting</w:t>
      </w:r>
      <w:r>
        <w:rPr>
          <w:spacing w:val="80"/>
        </w:rPr>
        <w:t> </w:t>
      </w:r>
      <w:r>
        <w:rPr/>
        <w:t>fire</w:t>
      </w:r>
      <w:r>
        <w:rPr>
          <w:spacing w:val="80"/>
        </w:rPr>
        <w:t> </w:t>
      </w:r>
      <w:r>
        <w:rPr/>
        <w:t>detecting</w:t>
      </w:r>
      <w:r>
        <w:rPr>
          <w:spacing w:val="80"/>
        </w:rPr>
        <w:t> </w:t>
      </w:r>
      <w:r>
        <w:rPr/>
        <w:t>and</w:t>
      </w:r>
      <w:r>
        <w:rPr>
          <w:spacing w:val="80"/>
        </w:rPr>
        <w:t> </w:t>
      </w:r>
      <w:r>
        <w:rPr/>
        <w:t>alarm</w:t>
      </w:r>
      <w:r>
        <w:rPr>
          <w:spacing w:val="80"/>
        </w:rPr>
        <w:t> </w:t>
      </w:r>
      <w:r>
        <w:rPr/>
        <w:t>systems</w:t>
      </w:r>
      <w:r>
        <w:rPr>
          <w:spacing w:val="80"/>
        </w:rPr>
        <w:t> </w:t>
      </w:r>
      <w:r>
        <w:rPr/>
        <w:t>on</w:t>
      </w:r>
      <w:r>
        <w:rPr>
          <w:spacing w:val="80"/>
        </w:rPr>
        <w:t> </w:t>
      </w:r>
      <w:r>
        <w:rPr/>
        <w:t>all</w:t>
      </w:r>
      <w:r>
        <w:rPr>
          <w:spacing w:val="80"/>
        </w:rPr>
        <w:t> </w:t>
      </w:r>
      <w:r>
        <w:rPr/>
        <w:t>floors.</w:t>
      </w:r>
      <w:r>
        <w:rPr>
          <w:spacing w:val="40"/>
        </w:rPr>
        <w:t>  </w:t>
      </w:r>
      <w:r>
        <w:rPr/>
        <w:t>The staff</w:t>
      </w:r>
      <w:r>
        <w:rPr>
          <w:spacing w:val="40"/>
        </w:rPr>
        <w:t> </w:t>
      </w:r>
      <w:r>
        <w:rPr>
          <w:spacing w:val="10"/>
        </w:rPr>
        <w:t>in-</w:t>
      </w:r>
      <w:r>
        <w:rPr/>
        <w:t>charge</w:t>
      </w:r>
      <w:r>
        <w:rPr>
          <w:spacing w:val="40"/>
        </w:rPr>
        <w:t> </w:t>
      </w:r>
      <w:r>
        <w:rPr/>
        <w:t>of</w:t>
      </w:r>
      <w:r>
        <w:rPr>
          <w:spacing w:val="40"/>
        </w:rPr>
        <w:t> </w:t>
      </w:r>
      <w:r>
        <w:rPr/>
        <w:t>the</w:t>
      </w:r>
      <w:r>
        <w:rPr>
          <w:spacing w:val="40"/>
        </w:rPr>
        <w:t> </w:t>
      </w:r>
      <w:r>
        <w:rPr/>
        <w:t>control</w:t>
      </w:r>
      <w:r>
        <w:rPr>
          <w:spacing w:val="40"/>
        </w:rPr>
        <w:t> </w:t>
      </w:r>
      <w:r>
        <w:rPr/>
        <w:t>room</w:t>
      </w:r>
      <w:r>
        <w:rPr>
          <w:spacing w:val="40"/>
        </w:rPr>
        <w:t> </w:t>
      </w:r>
      <w:r>
        <w:rPr/>
        <w:t>shall</w:t>
      </w:r>
      <w:r>
        <w:rPr>
          <w:spacing w:val="40"/>
        </w:rPr>
        <w:t> </w:t>
      </w:r>
      <w:r>
        <w:rPr/>
        <w:t>be</w:t>
      </w:r>
      <w:r>
        <w:rPr>
          <w:spacing w:val="40"/>
        </w:rPr>
        <w:t> </w:t>
      </w:r>
      <w:r>
        <w:rPr/>
        <w:t>responsible</w:t>
      </w:r>
      <w:r>
        <w:rPr>
          <w:spacing w:val="40"/>
        </w:rPr>
        <w:t> </w:t>
      </w:r>
      <w:r>
        <w:rPr/>
        <w:t>for</w:t>
      </w:r>
      <w:r>
        <w:rPr>
          <w:spacing w:val="40"/>
        </w:rPr>
        <w:t> </w:t>
      </w:r>
      <w:r>
        <w:rPr/>
        <w:t>the</w:t>
      </w:r>
      <w:r>
        <w:rPr>
          <w:spacing w:val="40"/>
        </w:rPr>
        <w:t> </w:t>
      </w:r>
      <w:r>
        <w:rPr/>
        <w:t>maintenance of the various services and firefighting equipment and installations.</w:t>
      </w:r>
      <w:r>
        <w:rPr>
          <w:spacing w:val="40"/>
        </w:rPr>
        <w:t>  </w:t>
      </w:r>
      <w:r>
        <w:rPr/>
        <w:t>Control</w:t>
      </w:r>
      <w:r>
        <w:rPr>
          <w:spacing w:val="80"/>
        </w:rPr>
        <w:t> </w:t>
      </w:r>
      <w:r>
        <w:rPr/>
        <w:t>room</w:t>
      </w:r>
      <w:r>
        <w:rPr>
          <w:spacing w:val="80"/>
        </w:rPr>
        <w:t> </w:t>
      </w:r>
      <w:r>
        <w:rPr/>
        <w:t>shall</w:t>
      </w:r>
      <w:r>
        <w:rPr>
          <w:spacing w:val="80"/>
        </w:rPr>
        <w:t> </w:t>
      </w:r>
      <w:r>
        <w:rPr/>
        <w:t>be</w:t>
      </w:r>
      <w:r>
        <w:rPr>
          <w:spacing w:val="80"/>
        </w:rPr>
        <w:t> </w:t>
      </w:r>
      <w:r>
        <w:rPr/>
        <w:t>manned</w:t>
      </w:r>
      <w:r>
        <w:rPr>
          <w:spacing w:val="80"/>
        </w:rPr>
        <w:t> </w:t>
      </w:r>
      <w:r>
        <w:rPr/>
        <w:t>around</w:t>
      </w:r>
      <w:r>
        <w:rPr>
          <w:spacing w:val="80"/>
        </w:rPr>
        <w:t> </w:t>
      </w:r>
      <w:r>
        <w:rPr/>
        <w:t>the</w:t>
      </w:r>
      <w:r>
        <w:rPr>
          <w:spacing w:val="79"/>
        </w:rPr>
        <w:t> </w:t>
      </w:r>
      <w:r>
        <w:rPr/>
        <w:t>clock.</w:t>
      </w:r>
    </w:p>
    <w:p>
      <w:pPr>
        <w:pStyle w:val="Heading6"/>
        <w:numPr>
          <w:ilvl w:val="0"/>
          <w:numId w:val="347"/>
        </w:numPr>
        <w:tabs>
          <w:tab w:pos="1215" w:val="left" w:leader="none"/>
        </w:tabs>
        <w:spacing w:line="240" w:lineRule="auto" w:before="238" w:after="0"/>
        <w:ind w:left="1215" w:right="0" w:hanging="438"/>
        <w:jc w:val="left"/>
        <w:rPr>
          <w:sz w:val="22"/>
        </w:rPr>
      </w:pPr>
      <w:r>
        <w:rPr/>
        <w:t>Fire</w:t>
      </w:r>
      <w:r>
        <w:rPr>
          <w:spacing w:val="49"/>
        </w:rPr>
        <w:t> </w:t>
      </w:r>
      <w:r>
        <w:rPr/>
        <w:t>drills</w:t>
      </w:r>
      <w:r>
        <w:rPr>
          <w:spacing w:val="50"/>
        </w:rPr>
        <w:t> </w:t>
      </w:r>
      <w:r>
        <w:rPr/>
        <w:t>and</w:t>
      </w:r>
      <w:r>
        <w:rPr>
          <w:spacing w:val="50"/>
        </w:rPr>
        <w:t> </w:t>
      </w:r>
      <w:r>
        <w:rPr/>
        <w:t>fire</w:t>
      </w:r>
      <w:r>
        <w:rPr>
          <w:spacing w:val="50"/>
        </w:rPr>
        <w:t> </w:t>
      </w:r>
      <w:r>
        <w:rPr>
          <w:spacing w:val="-2"/>
        </w:rPr>
        <w:t>orders</w:t>
      </w:r>
    </w:p>
    <w:p>
      <w:pPr>
        <w:pStyle w:val="BodyText"/>
        <w:spacing w:before="242"/>
        <w:ind w:left="1138" w:right="784"/>
      </w:pPr>
      <w:r>
        <w:rPr/>
        <w:t>Fire notices/orders shall be prepared </w:t>
      </w:r>
      <w:r>
        <w:rPr>
          <w:spacing w:val="9"/>
        </w:rPr>
        <w:t>indicating</w:t>
      </w:r>
      <w:r>
        <w:rPr>
          <w:spacing w:val="9"/>
        </w:rPr>
        <w:t> </w:t>
      </w:r>
      <w:r>
        <w:rPr/>
        <w:t>the requirements of firefighting and evacuation of the building in the event of fire or another emergency.</w:t>
      </w:r>
      <w:r>
        <w:rPr>
          <w:spacing w:val="80"/>
        </w:rPr>
        <w:t>  </w:t>
      </w:r>
      <w:r>
        <w:rPr/>
        <w:t>Occupants</w:t>
      </w:r>
      <w:r>
        <w:rPr>
          <w:spacing w:val="80"/>
        </w:rPr>
        <w:t> </w:t>
      </w:r>
      <w:r>
        <w:rPr/>
        <w:t>shall</w:t>
      </w:r>
      <w:r>
        <w:rPr>
          <w:spacing w:val="80"/>
        </w:rPr>
        <w:t> </w:t>
      </w:r>
      <w:r>
        <w:rPr/>
        <w:t>be</w:t>
      </w:r>
      <w:r>
        <w:rPr>
          <w:spacing w:val="80"/>
        </w:rPr>
        <w:t> </w:t>
      </w:r>
      <w:r>
        <w:rPr/>
        <w:t>thoroughly</w:t>
      </w:r>
      <w:r>
        <w:rPr>
          <w:spacing w:val="80"/>
        </w:rPr>
        <w:t> </w:t>
      </w:r>
      <w:r>
        <w:rPr/>
        <w:t>familiarised</w:t>
      </w:r>
      <w:r>
        <w:rPr>
          <w:spacing w:val="80"/>
        </w:rPr>
        <w:t> </w:t>
      </w:r>
      <w:r>
        <w:rPr/>
        <w:t>with</w:t>
      </w:r>
      <w:r>
        <w:rPr>
          <w:spacing w:val="80"/>
        </w:rPr>
        <w:t> </w:t>
      </w:r>
      <w:r>
        <w:rPr/>
        <w:t>their contents and action needed in the event of an emergency.</w:t>
      </w:r>
      <w:r>
        <w:rPr>
          <w:spacing w:val="80"/>
        </w:rPr>
        <w:t> </w:t>
      </w:r>
      <w:r>
        <w:rPr/>
        <w:t>Such notices</w:t>
      </w:r>
      <w:r>
        <w:rPr>
          <w:spacing w:val="40"/>
        </w:rPr>
        <w:t> </w:t>
      </w:r>
      <w:r>
        <w:rPr/>
        <w:t>should</w:t>
      </w:r>
      <w:r>
        <w:rPr>
          <w:spacing w:val="40"/>
        </w:rPr>
        <w:t> </w:t>
      </w:r>
      <w:r>
        <w:rPr/>
        <w:t>be</w:t>
      </w:r>
      <w:r>
        <w:rPr>
          <w:spacing w:val="40"/>
        </w:rPr>
        <w:t> </w:t>
      </w:r>
      <w:r>
        <w:rPr/>
        <w:t>displayed</w:t>
      </w:r>
      <w:r>
        <w:rPr>
          <w:spacing w:val="40"/>
        </w:rPr>
        <w:t> </w:t>
      </w:r>
      <w:r>
        <w:rPr/>
        <w:t>prominently.</w:t>
      </w:r>
    </w:p>
    <w:p>
      <w:pPr>
        <w:pStyle w:val="Heading6"/>
        <w:numPr>
          <w:ilvl w:val="0"/>
          <w:numId w:val="347"/>
        </w:numPr>
        <w:tabs>
          <w:tab w:pos="1257" w:val="left" w:leader="none"/>
        </w:tabs>
        <w:spacing w:line="240" w:lineRule="auto" w:before="237" w:after="0"/>
        <w:ind w:left="1257" w:right="0" w:hanging="480"/>
        <w:jc w:val="left"/>
        <w:rPr>
          <w:i w:val="0"/>
        </w:rPr>
      </w:pPr>
      <w:r>
        <w:rPr/>
        <w:t>Location</w:t>
      </w:r>
      <w:r>
        <w:rPr>
          <w:spacing w:val="-3"/>
        </w:rPr>
        <w:t> </w:t>
      </w:r>
      <w:r>
        <w:rPr/>
        <w:t>of</w:t>
      </w:r>
      <w:r>
        <w:rPr>
          <w:spacing w:val="-4"/>
        </w:rPr>
        <w:t> </w:t>
      </w:r>
      <w:r>
        <w:rPr/>
        <w:t>Refuge</w:t>
      </w:r>
      <w:r>
        <w:rPr>
          <w:spacing w:val="-3"/>
        </w:rPr>
        <w:t> </w:t>
      </w:r>
      <w:r>
        <w:rPr/>
        <w:t>Area:</w:t>
      </w:r>
      <w:r>
        <w:rPr>
          <w:spacing w:val="-3"/>
        </w:rPr>
        <w:t> </w:t>
      </w:r>
      <w:r>
        <w:rPr>
          <w:spacing w:val="-10"/>
        </w:rPr>
        <w:t>-</w:t>
      </w:r>
    </w:p>
    <w:p>
      <w:pPr>
        <w:pStyle w:val="ListParagraph"/>
        <w:numPr>
          <w:ilvl w:val="1"/>
          <w:numId w:val="347"/>
        </w:numPr>
        <w:tabs>
          <w:tab w:pos="1470" w:val="left" w:leader="none"/>
        </w:tabs>
        <w:spacing w:line="240" w:lineRule="auto" w:before="242" w:after="0"/>
        <w:ind w:left="1470" w:right="0" w:hanging="244"/>
        <w:jc w:val="left"/>
        <w:rPr>
          <w:b/>
          <w:sz w:val="24"/>
        </w:rPr>
      </w:pPr>
      <w:r>
        <w:rPr>
          <w:b/>
          <w:i/>
          <w:sz w:val="24"/>
        </w:rPr>
        <w:t>Manner</w:t>
      </w:r>
      <w:r>
        <w:rPr>
          <w:b/>
          <w:i/>
          <w:spacing w:val="-4"/>
          <w:sz w:val="24"/>
        </w:rPr>
        <w:t> </w:t>
      </w:r>
      <w:r>
        <w:rPr>
          <w:b/>
          <w:i/>
          <w:sz w:val="24"/>
        </w:rPr>
        <w:t>of</w:t>
      </w:r>
      <w:r>
        <w:rPr>
          <w:b/>
          <w:i/>
          <w:spacing w:val="-3"/>
          <w:sz w:val="24"/>
        </w:rPr>
        <w:t> </w:t>
      </w:r>
      <w:r>
        <w:rPr>
          <w:b/>
          <w:i/>
          <w:sz w:val="24"/>
        </w:rPr>
        <w:t>providing</w:t>
      </w:r>
      <w:r>
        <w:rPr>
          <w:b/>
          <w:i/>
          <w:spacing w:val="-3"/>
          <w:sz w:val="24"/>
        </w:rPr>
        <w:t> </w:t>
      </w:r>
      <w:r>
        <w:rPr>
          <w:b/>
          <w:i/>
          <w:sz w:val="24"/>
        </w:rPr>
        <w:t>refuge</w:t>
      </w:r>
      <w:r>
        <w:rPr>
          <w:b/>
          <w:i/>
          <w:spacing w:val="-3"/>
          <w:sz w:val="24"/>
        </w:rPr>
        <w:t> </w:t>
      </w:r>
      <w:r>
        <w:rPr>
          <w:b/>
          <w:i/>
          <w:sz w:val="24"/>
        </w:rPr>
        <w:t>area</w:t>
      </w:r>
      <w:r>
        <w:rPr>
          <w:b/>
          <w:sz w:val="24"/>
        </w:rPr>
        <w:t>:</w:t>
      </w:r>
      <w:r>
        <w:rPr>
          <w:b/>
          <w:spacing w:val="-3"/>
          <w:sz w:val="24"/>
        </w:rPr>
        <w:t> </w:t>
      </w:r>
      <w:r>
        <w:rPr>
          <w:b/>
          <w:spacing w:val="-10"/>
          <w:sz w:val="24"/>
        </w:rPr>
        <w:t>-</w:t>
      </w:r>
    </w:p>
    <w:p>
      <w:pPr>
        <w:pStyle w:val="ListParagraph"/>
        <w:numPr>
          <w:ilvl w:val="2"/>
          <w:numId w:val="347"/>
        </w:numPr>
        <w:tabs>
          <w:tab w:pos="1766" w:val="left" w:leader="none"/>
          <w:tab w:pos="1783" w:val="left" w:leader="none"/>
        </w:tabs>
        <w:spacing w:line="240" w:lineRule="auto" w:before="241" w:after="0"/>
        <w:ind w:left="1766" w:right="778" w:hanging="272"/>
        <w:jc w:val="both"/>
        <w:rPr>
          <w:sz w:val="24"/>
        </w:rPr>
      </w:pPr>
      <w:r>
        <w:rPr>
          <w:sz w:val="24"/>
        </w:rPr>
        <w:t>The</w:t>
      </w:r>
      <w:r>
        <w:rPr>
          <w:sz w:val="24"/>
        </w:rPr>
        <w:t> refuge area shall be so located that it shall preferably face the access road/s or otherwise face the wider open space on the side of the </w:t>
      </w:r>
      <w:r>
        <w:rPr>
          <w:sz w:val="24"/>
        </w:rPr>
        <w:t>building perpendicular to the main access road.</w:t>
      </w:r>
    </w:p>
    <w:p>
      <w:pPr>
        <w:pStyle w:val="ListParagraph"/>
        <w:numPr>
          <w:ilvl w:val="2"/>
          <w:numId w:val="347"/>
        </w:numPr>
        <w:tabs>
          <w:tab w:pos="1766" w:val="left" w:leader="none"/>
          <w:tab w:pos="1793" w:val="left" w:leader="none"/>
        </w:tabs>
        <w:spacing w:line="240" w:lineRule="auto" w:before="240" w:after="0"/>
        <w:ind w:left="1766" w:right="773" w:hanging="272"/>
        <w:jc w:val="both"/>
        <w:rPr>
          <w:sz w:val="24"/>
        </w:rPr>
      </w:pPr>
      <w:r>
        <w:rPr>
          <w:sz w:val="24"/>
        </w:rPr>
        <w:t>The</w:t>
      </w:r>
      <w:r>
        <w:rPr>
          <w:sz w:val="24"/>
        </w:rPr>
        <w:t> cantilevered Refuge</w:t>
      </w:r>
      <w:r>
        <w:rPr>
          <w:spacing w:val="-1"/>
          <w:sz w:val="24"/>
        </w:rPr>
        <w:t> </w:t>
      </w:r>
      <w:r>
        <w:rPr>
          <w:sz w:val="24"/>
        </w:rPr>
        <w:t>area</w:t>
      </w:r>
      <w:r>
        <w:rPr>
          <w:spacing w:val="-1"/>
          <w:sz w:val="24"/>
        </w:rPr>
        <w:t> </w:t>
      </w:r>
      <w:r>
        <w:rPr>
          <w:sz w:val="24"/>
        </w:rPr>
        <w:t>on</w:t>
      </w:r>
      <w:r>
        <w:rPr>
          <w:spacing w:val="-1"/>
          <w:sz w:val="24"/>
        </w:rPr>
        <w:t> </w:t>
      </w:r>
      <w:r>
        <w:rPr>
          <w:sz w:val="24"/>
        </w:rPr>
        <w:t>cantilever</w:t>
      </w:r>
      <w:r>
        <w:rPr>
          <w:spacing w:val="-1"/>
          <w:sz w:val="24"/>
        </w:rPr>
        <w:t> </w:t>
      </w:r>
      <w:r>
        <w:rPr>
          <w:sz w:val="24"/>
        </w:rPr>
        <w:t>will</w:t>
      </w:r>
      <w:r>
        <w:rPr>
          <w:spacing w:val="-1"/>
          <w:sz w:val="24"/>
        </w:rPr>
        <w:t> </w:t>
      </w:r>
      <w:r>
        <w:rPr>
          <w:sz w:val="24"/>
        </w:rPr>
        <w:t>be</w:t>
      </w:r>
      <w:r>
        <w:rPr>
          <w:spacing w:val="-1"/>
          <w:sz w:val="24"/>
        </w:rPr>
        <w:t> </w:t>
      </w:r>
      <w:r>
        <w:rPr>
          <w:sz w:val="24"/>
        </w:rPr>
        <w:t>permissible</w:t>
      </w:r>
      <w:r>
        <w:rPr>
          <w:spacing w:val="-1"/>
          <w:sz w:val="24"/>
        </w:rPr>
        <w:t> </w:t>
      </w:r>
      <w:r>
        <w:rPr>
          <w:sz w:val="24"/>
        </w:rPr>
        <w:t>at</w:t>
      </w:r>
      <w:r>
        <w:rPr>
          <w:spacing w:val="-1"/>
          <w:sz w:val="24"/>
        </w:rPr>
        <w:t> </w:t>
      </w:r>
      <w:r>
        <w:rPr>
          <w:sz w:val="24"/>
        </w:rPr>
        <w:t>the</w:t>
      </w:r>
      <w:r>
        <w:rPr>
          <w:spacing w:val="-1"/>
          <w:sz w:val="24"/>
        </w:rPr>
        <w:t> </w:t>
      </w:r>
      <w:r>
        <w:rPr>
          <w:sz w:val="24"/>
        </w:rPr>
        <w:t>mid- landing of the staircase only. All other refuge areas shall be within the building line only.</w:t>
      </w:r>
    </w:p>
    <w:p>
      <w:pPr>
        <w:pStyle w:val="ListParagraph"/>
        <w:numPr>
          <w:ilvl w:val="2"/>
          <w:numId w:val="347"/>
        </w:numPr>
        <w:tabs>
          <w:tab w:pos="1768" w:val="left" w:leader="none"/>
        </w:tabs>
        <w:spacing w:line="240" w:lineRule="auto" w:before="240" w:after="0"/>
        <w:ind w:left="1768" w:right="0" w:hanging="273"/>
        <w:jc w:val="left"/>
        <w:rPr>
          <w:sz w:val="24"/>
        </w:rPr>
      </w:pPr>
      <w:r>
        <w:rPr>
          <w:sz w:val="24"/>
        </w:rPr>
        <w:t>The</w:t>
      </w:r>
      <w:r>
        <w:rPr>
          <w:spacing w:val="-2"/>
          <w:sz w:val="24"/>
        </w:rPr>
        <w:t> </w:t>
      </w:r>
      <w:r>
        <w:rPr>
          <w:sz w:val="24"/>
        </w:rPr>
        <w:t>cantilevered</w:t>
      </w:r>
      <w:r>
        <w:rPr>
          <w:spacing w:val="-2"/>
          <w:sz w:val="24"/>
        </w:rPr>
        <w:t> </w:t>
      </w:r>
      <w:r>
        <w:rPr>
          <w:sz w:val="24"/>
        </w:rPr>
        <w:t>refuge</w:t>
      </w:r>
      <w:r>
        <w:rPr>
          <w:spacing w:val="-1"/>
          <w:sz w:val="24"/>
        </w:rPr>
        <w:t> </w:t>
      </w:r>
      <w:r>
        <w:rPr>
          <w:sz w:val="24"/>
        </w:rPr>
        <w:t>area</w:t>
      </w:r>
      <w:r>
        <w:rPr>
          <w:spacing w:val="-2"/>
          <w:sz w:val="24"/>
        </w:rPr>
        <w:t> </w:t>
      </w:r>
      <w:r>
        <w:rPr>
          <w:sz w:val="24"/>
        </w:rPr>
        <w:t>shall</w:t>
      </w:r>
      <w:r>
        <w:rPr>
          <w:spacing w:val="-2"/>
          <w:sz w:val="24"/>
        </w:rPr>
        <w:t> </w:t>
      </w:r>
      <w:r>
        <w:rPr>
          <w:sz w:val="24"/>
        </w:rPr>
        <w:t>necessarily</w:t>
      </w:r>
      <w:r>
        <w:rPr>
          <w:spacing w:val="-1"/>
          <w:sz w:val="24"/>
        </w:rPr>
        <w:t> </w:t>
      </w:r>
      <w:r>
        <w:rPr>
          <w:sz w:val="24"/>
        </w:rPr>
        <w:t>be</w:t>
      </w:r>
      <w:r>
        <w:rPr>
          <w:spacing w:val="-2"/>
          <w:sz w:val="24"/>
        </w:rPr>
        <w:t> </w:t>
      </w:r>
      <w:r>
        <w:rPr>
          <w:sz w:val="24"/>
        </w:rPr>
        <w:t>of</w:t>
      </w:r>
      <w:r>
        <w:rPr>
          <w:spacing w:val="-2"/>
          <w:sz w:val="24"/>
        </w:rPr>
        <w:t> </w:t>
      </w:r>
      <w:r>
        <w:rPr>
          <w:sz w:val="24"/>
        </w:rPr>
        <w:t>RCC</w:t>
      </w:r>
      <w:r>
        <w:rPr>
          <w:spacing w:val="-1"/>
          <w:sz w:val="24"/>
        </w:rPr>
        <w:t> </w:t>
      </w:r>
      <w:r>
        <w:rPr>
          <w:spacing w:val="-2"/>
          <w:sz w:val="24"/>
        </w:rPr>
        <w:t>type.</w:t>
      </w:r>
    </w:p>
    <w:p>
      <w:pPr>
        <w:pStyle w:val="ListParagraph"/>
        <w:numPr>
          <w:ilvl w:val="2"/>
          <w:numId w:val="347"/>
        </w:numPr>
        <w:tabs>
          <w:tab w:pos="1792" w:val="left" w:leader="none"/>
        </w:tabs>
        <w:spacing w:line="240" w:lineRule="auto" w:before="242" w:after="0"/>
        <w:ind w:left="1792" w:right="0" w:hanging="297"/>
        <w:jc w:val="left"/>
        <w:rPr>
          <w:sz w:val="24"/>
        </w:rPr>
      </w:pPr>
      <w:r>
        <w:rPr>
          <w:sz w:val="24"/>
        </w:rPr>
        <w:t>The</w:t>
      </w:r>
      <w:r>
        <w:rPr>
          <w:spacing w:val="-2"/>
          <w:sz w:val="24"/>
        </w:rPr>
        <w:t> </w:t>
      </w:r>
      <w:r>
        <w:rPr>
          <w:sz w:val="24"/>
        </w:rPr>
        <w:t>refuge</w:t>
      </w:r>
      <w:r>
        <w:rPr>
          <w:spacing w:val="-1"/>
          <w:sz w:val="24"/>
        </w:rPr>
        <w:t> </w:t>
      </w:r>
      <w:r>
        <w:rPr>
          <w:sz w:val="24"/>
        </w:rPr>
        <w:t>area</w:t>
      </w:r>
      <w:r>
        <w:rPr>
          <w:spacing w:val="-2"/>
          <w:sz w:val="24"/>
        </w:rPr>
        <w:t> </w:t>
      </w:r>
      <w:r>
        <w:rPr>
          <w:sz w:val="24"/>
        </w:rPr>
        <w:t>shall</w:t>
      </w:r>
      <w:r>
        <w:rPr>
          <w:spacing w:val="-1"/>
          <w:sz w:val="24"/>
        </w:rPr>
        <w:t> </w:t>
      </w:r>
      <w:r>
        <w:rPr>
          <w:sz w:val="24"/>
        </w:rPr>
        <w:t>be</w:t>
      </w:r>
      <w:r>
        <w:rPr>
          <w:spacing w:val="-2"/>
          <w:sz w:val="24"/>
        </w:rPr>
        <w:t> </w:t>
      </w:r>
      <w:r>
        <w:rPr>
          <w:sz w:val="24"/>
        </w:rPr>
        <w:t>provided</w:t>
      </w:r>
      <w:r>
        <w:rPr>
          <w:spacing w:val="-1"/>
          <w:sz w:val="24"/>
        </w:rPr>
        <w:t> </w:t>
      </w:r>
      <w:r>
        <w:rPr>
          <w:sz w:val="24"/>
        </w:rPr>
        <w:t>with</w:t>
      </w:r>
      <w:r>
        <w:rPr>
          <w:spacing w:val="-1"/>
          <w:sz w:val="24"/>
        </w:rPr>
        <w:t> </w:t>
      </w:r>
      <w:r>
        <w:rPr>
          <w:sz w:val="24"/>
        </w:rPr>
        <w:t>railing</w:t>
      </w:r>
      <w:r>
        <w:rPr>
          <w:spacing w:val="-2"/>
          <w:sz w:val="24"/>
        </w:rPr>
        <w:t> </w:t>
      </w:r>
      <w:r>
        <w:rPr>
          <w:sz w:val="24"/>
        </w:rPr>
        <w:t>/</w:t>
      </w:r>
      <w:r>
        <w:rPr>
          <w:spacing w:val="-1"/>
          <w:sz w:val="24"/>
        </w:rPr>
        <w:t> </w:t>
      </w:r>
      <w:r>
        <w:rPr>
          <w:sz w:val="24"/>
        </w:rPr>
        <w:t>parapet</w:t>
      </w:r>
      <w:r>
        <w:rPr>
          <w:spacing w:val="-2"/>
          <w:sz w:val="24"/>
        </w:rPr>
        <w:t> </w:t>
      </w:r>
      <w:r>
        <w:rPr>
          <w:sz w:val="24"/>
        </w:rPr>
        <w:t>of</w:t>
      </w:r>
      <w:r>
        <w:rPr>
          <w:spacing w:val="-1"/>
          <w:sz w:val="24"/>
        </w:rPr>
        <w:t> </w:t>
      </w:r>
      <w:r>
        <w:rPr>
          <w:sz w:val="24"/>
        </w:rPr>
        <w:t>1.20</w:t>
      </w:r>
      <w:r>
        <w:rPr>
          <w:spacing w:val="-1"/>
          <w:sz w:val="24"/>
        </w:rPr>
        <w:t> </w:t>
      </w:r>
      <w:r>
        <w:rPr>
          <w:spacing w:val="-5"/>
          <w:sz w:val="24"/>
        </w:rPr>
        <w:t>m.</w:t>
      </w:r>
    </w:p>
    <w:p>
      <w:pPr>
        <w:pStyle w:val="ListParagraph"/>
        <w:numPr>
          <w:ilvl w:val="2"/>
          <w:numId w:val="347"/>
        </w:numPr>
        <w:tabs>
          <w:tab w:pos="1753" w:val="left" w:leader="none"/>
        </w:tabs>
        <w:spacing w:line="240" w:lineRule="auto" w:before="239" w:after="0"/>
        <w:ind w:left="1753" w:right="0" w:hanging="258"/>
        <w:jc w:val="left"/>
        <w:rPr>
          <w:sz w:val="24"/>
        </w:rPr>
      </w:pPr>
      <w:r>
        <w:rPr>
          <w:sz w:val="24"/>
        </w:rPr>
        <w:t>R.C.C.</w:t>
      </w:r>
      <w:r>
        <w:rPr>
          <w:spacing w:val="-18"/>
          <w:sz w:val="24"/>
        </w:rPr>
        <w:t> </w:t>
      </w:r>
      <w:r>
        <w:rPr>
          <w:sz w:val="24"/>
        </w:rPr>
        <w:t>covering</w:t>
      </w:r>
      <w:r>
        <w:rPr>
          <w:spacing w:val="-16"/>
          <w:sz w:val="24"/>
        </w:rPr>
        <w:t> </w:t>
      </w:r>
      <w:r>
        <w:rPr>
          <w:sz w:val="24"/>
        </w:rPr>
        <w:t>shall</w:t>
      </w:r>
      <w:r>
        <w:rPr>
          <w:spacing w:val="-16"/>
          <w:sz w:val="24"/>
        </w:rPr>
        <w:t> </w:t>
      </w:r>
      <w:r>
        <w:rPr>
          <w:sz w:val="24"/>
        </w:rPr>
        <w:t>be</w:t>
      </w:r>
      <w:r>
        <w:rPr>
          <w:spacing w:val="-15"/>
          <w:sz w:val="24"/>
        </w:rPr>
        <w:t> </w:t>
      </w:r>
      <w:r>
        <w:rPr>
          <w:sz w:val="24"/>
        </w:rPr>
        <w:t>provided</w:t>
      </w:r>
      <w:r>
        <w:rPr>
          <w:spacing w:val="-16"/>
          <w:sz w:val="24"/>
        </w:rPr>
        <w:t> </w:t>
      </w:r>
      <w:r>
        <w:rPr>
          <w:sz w:val="24"/>
        </w:rPr>
        <w:t>above</w:t>
      </w:r>
      <w:r>
        <w:rPr>
          <w:spacing w:val="-16"/>
          <w:sz w:val="24"/>
        </w:rPr>
        <w:t> </w:t>
      </w:r>
      <w:r>
        <w:rPr>
          <w:sz w:val="24"/>
        </w:rPr>
        <w:t>the</w:t>
      </w:r>
      <w:r>
        <w:rPr>
          <w:spacing w:val="-15"/>
          <w:sz w:val="24"/>
        </w:rPr>
        <w:t> </w:t>
      </w:r>
      <w:r>
        <w:rPr>
          <w:sz w:val="24"/>
        </w:rPr>
        <w:t>topmost</w:t>
      </w:r>
      <w:r>
        <w:rPr>
          <w:spacing w:val="-16"/>
          <w:sz w:val="24"/>
        </w:rPr>
        <w:t> </w:t>
      </w:r>
      <w:r>
        <w:rPr>
          <w:sz w:val="24"/>
        </w:rPr>
        <w:t>cantilever</w:t>
      </w:r>
      <w:r>
        <w:rPr>
          <w:spacing w:val="-16"/>
          <w:sz w:val="24"/>
        </w:rPr>
        <w:t> </w:t>
      </w:r>
      <w:r>
        <w:rPr>
          <w:sz w:val="24"/>
        </w:rPr>
        <w:t>refuge</w:t>
      </w:r>
      <w:r>
        <w:rPr>
          <w:spacing w:val="-15"/>
          <w:sz w:val="24"/>
        </w:rPr>
        <w:t> </w:t>
      </w:r>
      <w:r>
        <w:rPr>
          <w:spacing w:val="-2"/>
          <w:sz w:val="24"/>
        </w:rPr>
        <w:t>area.</w:t>
      </w:r>
    </w:p>
    <w:p>
      <w:pPr>
        <w:pStyle w:val="ListParagraph"/>
        <w:numPr>
          <w:ilvl w:val="2"/>
          <w:numId w:val="347"/>
        </w:numPr>
        <w:tabs>
          <w:tab w:pos="1738" w:val="left" w:leader="none"/>
          <w:tab w:pos="1766" w:val="left" w:leader="none"/>
        </w:tabs>
        <w:spacing w:line="240" w:lineRule="auto" w:before="239" w:after="0"/>
        <w:ind w:left="1766" w:right="782" w:hanging="272"/>
        <w:jc w:val="both"/>
        <w:rPr>
          <w:sz w:val="24"/>
        </w:rPr>
      </w:pPr>
      <w:r>
        <w:rPr>
          <w:sz w:val="24"/>
        </w:rPr>
        <w:t>The refuge area shall have a door which shall be painted or fixed with a sign in luminous paint mentioning “REFUGE AREA”</w:t>
      </w:r>
    </w:p>
    <w:p>
      <w:pPr>
        <w:pStyle w:val="ListParagraph"/>
        <w:numPr>
          <w:ilvl w:val="2"/>
          <w:numId w:val="347"/>
        </w:numPr>
        <w:tabs>
          <w:tab w:pos="1773" w:val="left" w:leader="none"/>
        </w:tabs>
        <w:spacing w:line="240" w:lineRule="auto" w:before="241" w:after="0"/>
        <w:ind w:left="1773" w:right="0" w:hanging="278"/>
        <w:jc w:val="left"/>
        <w:rPr>
          <w:sz w:val="24"/>
        </w:rPr>
      </w:pPr>
      <w:r>
        <w:rPr>
          <w:sz w:val="24"/>
        </w:rPr>
        <w:t>The</w:t>
      </w:r>
      <w:r>
        <w:rPr>
          <w:spacing w:val="-2"/>
          <w:sz w:val="24"/>
        </w:rPr>
        <w:t> </w:t>
      </w:r>
      <w:r>
        <w:rPr>
          <w:sz w:val="24"/>
        </w:rPr>
        <w:t>lift/s</w:t>
      </w:r>
      <w:r>
        <w:rPr>
          <w:spacing w:val="-2"/>
          <w:sz w:val="24"/>
        </w:rPr>
        <w:t> </w:t>
      </w:r>
      <w:r>
        <w:rPr>
          <w:sz w:val="24"/>
        </w:rPr>
        <w:t>shall</w:t>
      </w:r>
      <w:r>
        <w:rPr>
          <w:spacing w:val="-1"/>
          <w:sz w:val="24"/>
        </w:rPr>
        <w:t> </w:t>
      </w:r>
      <w:r>
        <w:rPr>
          <w:sz w:val="24"/>
        </w:rPr>
        <w:t>not</w:t>
      </w:r>
      <w:r>
        <w:rPr>
          <w:spacing w:val="-2"/>
          <w:sz w:val="24"/>
        </w:rPr>
        <w:t> </w:t>
      </w:r>
      <w:r>
        <w:rPr>
          <w:sz w:val="24"/>
        </w:rPr>
        <w:t>be</w:t>
      </w:r>
      <w:r>
        <w:rPr>
          <w:spacing w:val="-1"/>
          <w:sz w:val="24"/>
        </w:rPr>
        <w:t> </w:t>
      </w:r>
      <w:r>
        <w:rPr>
          <w:sz w:val="24"/>
        </w:rPr>
        <w:t>permitted</w:t>
      </w:r>
      <w:r>
        <w:rPr>
          <w:spacing w:val="-2"/>
          <w:sz w:val="24"/>
        </w:rPr>
        <w:t> </w:t>
      </w:r>
      <w:r>
        <w:rPr>
          <w:sz w:val="24"/>
        </w:rPr>
        <w:t>to</w:t>
      </w:r>
      <w:r>
        <w:rPr>
          <w:spacing w:val="-1"/>
          <w:sz w:val="24"/>
        </w:rPr>
        <w:t> </w:t>
      </w:r>
      <w:r>
        <w:rPr>
          <w:sz w:val="24"/>
        </w:rPr>
        <w:t>open</w:t>
      </w:r>
      <w:r>
        <w:rPr>
          <w:spacing w:val="-2"/>
          <w:sz w:val="24"/>
        </w:rPr>
        <w:t> </w:t>
      </w:r>
      <w:r>
        <w:rPr>
          <w:sz w:val="24"/>
        </w:rPr>
        <w:t>into</w:t>
      </w:r>
      <w:r>
        <w:rPr>
          <w:spacing w:val="-1"/>
          <w:sz w:val="24"/>
        </w:rPr>
        <w:t> </w:t>
      </w:r>
      <w:r>
        <w:rPr>
          <w:sz w:val="24"/>
        </w:rPr>
        <w:t>the</w:t>
      </w:r>
      <w:r>
        <w:rPr>
          <w:spacing w:val="-2"/>
          <w:sz w:val="24"/>
        </w:rPr>
        <w:t> </w:t>
      </w:r>
      <w:r>
        <w:rPr>
          <w:sz w:val="24"/>
        </w:rPr>
        <w:t>refuge </w:t>
      </w:r>
      <w:r>
        <w:rPr>
          <w:spacing w:val="-2"/>
          <w:sz w:val="24"/>
        </w:rPr>
        <w:t>areas.</w:t>
      </w:r>
    </w:p>
    <w:p>
      <w:pPr>
        <w:pStyle w:val="ListParagraph"/>
        <w:numPr>
          <w:ilvl w:val="2"/>
          <w:numId w:val="347"/>
        </w:numPr>
        <w:tabs>
          <w:tab w:pos="1766" w:val="left" w:leader="none"/>
          <w:tab w:pos="1843" w:val="left" w:leader="none"/>
        </w:tabs>
        <w:spacing w:line="240" w:lineRule="auto" w:before="241" w:after="0"/>
        <w:ind w:left="1766" w:right="778" w:hanging="272"/>
        <w:jc w:val="both"/>
        <w:rPr>
          <w:sz w:val="24"/>
        </w:rPr>
      </w:pPr>
      <w:r>
        <w:rPr>
          <w:sz w:val="24"/>
        </w:rPr>
        <w:tab/>
        <w:t>The refuge area provided within building line shall be accessible from common passage/ staircase.</w:t>
      </w:r>
    </w:p>
    <w:p>
      <w:pPr>
        <w:pStyle w:val="Heading6"/>
        <w:numPr>
          <w:ilvl w:val="1"/>
          <w:numId w:val="347"/>
        </w:numPr>
        <w:tabs>
          <w:tab w:pos="1560" w:val="left" w:leader="none"/>
        </w:tabs>
        <w:spacing w:line="240" w:lineRule="auto" w:before="236" w:after="0"/>
        <w:ind w:left="1560" w:right="0" w:hanging="331"/>
        <w:jc w:val="left"/>
        <w:rPr>
          <w:i w:val="0"/>
        </w:rPr>
      </w:pPr>
      <w:r>
        <w:rPr/>
        <w:t>Use</w:t>
      </w:r>
      <w:r>
        <w:rPr>
          <w:spacing w:val="-3"/>
        </w:rPr>
        <w:t> </w:t>
      </w:r>
      <w:r>
        <w:rPr/>
        <w:t>of</w:t>
      </w:r>
      <w:r>
        <w:rPr>
          <w:spacing w:val="-3"/>
        </w:rPr>
        <w:t> </w:t>
      </w:r>
      <w:r>
        <w:rPr/>
        <w:t>refuge</w:t>
      </w:r>
      <w:r>
        <w:rPr>
          <w:spacing w:val="-3"/>
        </w:rPr>
        <w:t> </w:t>
      </w:r>
      <w:r>
        <w:rPr/>
        <w:t>area</w:t>
      </w:r>
      <w:r>
        <w:rPr>
          <w:i w:val="0"/>
        </w:rPr>
        <w:t>:</w:t>
      </w:r>
      <w:r>
        <w:rPr>
          <w:i w:val="0"/>
          <w:spacing w:val="-2"/>
        </w:rPr>
        <w:t> </w:t>
      </w:r>
      <w:r>
        <w:rPr>
          <w:i w:val="0"/>
          <w:spacing w:val="-10"/>
        </w:rPr>
        <w:t>-</w:t>
      </w:r>
    </w:p>
    <w:p>
      <w:pPr>
        <w:pStyle w:val="ListParagraph"/>
        <w:numPr>
          <w:ilvl w:val="2"/>
          <w:numId w:val="347"/>
        </w:numPr>
        <w:tabs>
          <w:tab w:pos="1706" w:val="left" w:leader="none"/>
          <w:tab w:pos="1769" w:val="left" w:leader="none"/>
        </w:tabs>
        <w:spacing w:line="240" w:lineRule="auto" w:before="244" w:after="0"/>
        <w:ind w:left="1769" w:right="773" w:hanging="272"/>
        <w:jc w:val="left"/>
        <w:rPr>
          <w:sz w:val="24"/>
        </w:rPr>
      </w:pPr>
      <w:r>
        <w:rPr>
          <w:sz w:val="24"/>
        </w:rPr>
        <w:t>The</w:t>
      </w:r>
      <w:r>
        <w:rPr>
          <w:spacing w:val="-7"/>
          <w:sz w:val="24"/>
        </w:rPr>
        <w:t> </w:t>
      </w:r>
      <w:r>
        <w:rPr>
          <w:sz w:val="24"/>
        </w:rPr>
        <w:t>refuge</w:t>
      </w:r>
      <w:r>
        <w:rPr>
          <w:spacing w:val="-5"/>
          <w:sz w:val="24"/>
        </w:rPr>
        <w:t> </w:t>
      </w:r>
      <w:r>
        <w:rPr>
          <w:sz w:val="24"/>
        </w:rPr>
        <w:t>area</w:t>
      </w:r>
      <w:r>
        <w:rPr>
          <w:spacing w:val="-7"/>
          <w:sz w:val="24"/>
        </w:rPr>
        <w:t> </w:t>
      </w:r>
      <w:r>
        <w:rPr>
          <w:sz w:val="24"/>
        </w:rPr>
        <w:t>shall</w:t>
      </w:r>
      <w:r>
        <w:rPr>
          <w:spacing w:val="-7"/>
          <w:sz w:val="24"/>
        </w:rPr>
        <w:t> </w:t>
      </w:r>
      <w:r>
        <w:rPr>
          <w:sz w:val="24"/>
        </w:rPr>
        <w:t>be</w:t>
      </w:r>
      <w:r>
        <w:rPr>
          <w:spacing w:val="-7"/>
          <w:sz w:val="24"/>
        </w:rPr>
        <w:t> </w:t>
      </w:r>
      <w:r>
        <w:rPr>
          <w:sz w:val="24"/>
        </w:rPr>
        <w:t>earmarked</w:t>
      </w:r>
      <w:r>
        <w:rPr>
          <w:spacing w:val="-7"/>
          <w:sz w:val="24"/>
        </w:rPr>
        <w:t> </w:t>
      </w:r>
      <w:r>
        <w:rPr>
          <w:sz w:val="24"/>
        </w:rPr>
        <w:t>exclusively</w:t>
      </w:r>
      <w:r>
        <w:rPr>
          <w:spacing w:val="-7"/>
          <w:sz w:val="24"/>
        </w:rPr>
        <w:t> </w:t>
      </w:r>
      <w:r>
        <w:rPr>
          <w:sz w:val="24"/>
        </w:rPr>
        <w:t>for</w:t>
      </w:r>
      <w:r>
        <w:rPr>
          <w:spacing w:val="-7"/>
          <w:sz w:val="24"/>
        </w:rPr>
        <w:t> </w:t>
      </w:r>
      <w:r>
        <w:rPr>
          <w:sz w:val="24"/>
        </w:rPr>
        <w:t>the</w:t>
      </w:r>
      <w:r>
        <w:rPr>
          <w:spacing w:val="-7"/>
          <w:sz w:val="24"/>
        </w:rPr>
        <w:t> </w:t>
      </w:r>
      <w:r>
        <w:rPr>
          <w:sz w:val="24"/>
        </w:rPr>
        <w:t>use</w:t>
      </w:r>
      <w:r>
        <w:rPr>
          <w:spacing w:val="-5"/>
          <w:sz w:val="24"/>
        </w:rPr>
        <w:t> </w:t>
      </w:r>
      <w:r>
        <w:rPr>
          <w:sz w:val="24"/>
        </w:rPr>
        <w:t>of</w:t>
      </w:r>
      <w:r>
        <w:rPr>
          <w:spacing w:val="-7"/>
          <w:sz w:val="24"/>
        </w:rPr>
        <w:t> </w:t>
      </w:r>
      <w:r>
        <w:rPr>
          <w:sz w:val="24"/>
        </w:rPr>
        <w:t>occupants</w:t>
      </w:r>
      <w:r>
        <w:rPr>
          <w:spacing w:val="-7"/>
          <w:sz w:val="24"/>
        </w:rPr>
        <w:t> </w:t>
      </w:r>
      <w:r>
        <w:rPr>
          <w:sz w:val="24"/>
        </w:rPr>
        <w:t>as temporary</w:t>
      </w:r>
      <w:r>
        <w:rPr>
          <w:spacing w:val="-10"/>
          <w:sz w:val="24"/>
        </w:rPr>
        <w:t> </w:t>
      </w:r>
      <w:r>
        <w:rPr>
          <w:sz w:val="24"/>
        </w:rPr>
        <w:t>shelter</w:t>
      </w:r>
      <w:r>
        <w:rPr>
          <w:spacing w:val="-10"/>
          <w:sz w:val="24"/>
        </w:rPr>
        <w:t> </w:t>
      </w:r>
      <w:r>
        <w:rPr>
          <w:sz w:val="24"/>
        </w:rPr>
        <w:t>and</w:t>
      </w:r>
      <w:r>
        <w:rPr>
          <w:spacing w:val="-10"/>
          <w:sz w:val="24"/>
        </w:rPr>
        <w:t> </w:t>
      </w:r>
      <w:r>
        <w:rPr>
          <w:sz w:val="24"/>
        </w:rPr>
        <w:t>for</w:t>
      </w:r>
      <w:r>
        <w:rPr>
          <w:spacing w:val="-10"/>
          <w:sz w:val="24"/>
        </w:rPr>
        <w:t> </w:t>
      </w:r>
      <w:r>
        <w:rPr>
          <w:sz w:val="24"/>
        </w:rPr>
        <w:t>the</w:t>
      </w:r>
      <w:r>
        <w:rPr>
          <w:spacing w:val="-10"/>
          <w:sz w:val="24"/>
        </w:rPr>
        <w:t> </w:t>
      </w:r>
      <w:r>
        <w:rPr>
          <w:sz w:val="24"/>
        </w:rPr>
        <w:t>use</w:t>
      </w:r>
      <w:r>
        <w:rPr>
          <w:spacing w:val="-10"/>
          <w:sz w:val="24"/>
        </w:rPr>
        <w:t> </w:t>
      </w:r>
      <w:r>
        <w:rPr>
          <w:sz w:val="24"/>
        </w:rPr>
        <w:t>of</w:t>
      </w:r>
      <w:r>
        <w:rPr>
          <w:spacing w:val="-10"/>
          <w:sz w:val="24"/>
        </w:rPr>
        <w:t> </w:t>
      </w:r>
      <w:r>
        <w:rPr>
          <w:sz w:val="24"/>
        </w:rPr>
        <w:t>Fire</w:t>
      </w:r>
      <w:r>
        <w:rPr>
          <w:spacing w:val="-10"/>
          <w:sz w:val="24"/>
        </w:rPr>
        <w:t> </w:t>
      </w:r>
      <w:r>
        <w:rPr>
          <w:sz w:val="24"/>
        </w:rPr>
        <w:t>Brigade</w:t>
      </w:r>
      <w:r>
        <w:rPr>
          <w:spacing w:val="-10"/>
          <w:sz w:val="24"/>
        </w:rPr>
        <w:t> </w:t>
      </w:r>
      <w:r>
        <w:rPr>
          <w:sz w:val="24"/>
        </w:rPr>
        <w:t>Department</w:t>
      </w:r>
      <w:r>
        <w:rPr>
          <w:spacing w:val="-10"/>
          <w:sz w:val="24"/>
        </w:rPr>
        <w:t> </w:t>
      </w:r>
      <w:r>
        <w:rPr>
          <w:sz w:val="24"/>
        </w:rPr>
        <w:t>or</w:t>
      </w:r>
      <w:r>
        <w:rPr>
          <w:spacing w:val="-10"/>
          <w:sz w:val="24"/>
        </w:rPr>
        <w:t> </w:t>
      </w:r>
      <w:r>
        <w:rPr>
          <w:sz w:val="24"/>
        </w:rPr>
        <w:t>any</w:t>
      </w:r>
      <w:r>
        <w:rPr>
          <w:spacing w:val="-10"/>
          <w:sz w:val="24"/>
        </w:rPr>
        <w:t> </w:t>
      </w:r>
      <w:r>
        <w:rPr>
          <w:sz w:val="24"/>
        </w:rPr>
        <w:t>other</w:t>
      </w:r>
    </w:p>
    <w:p>
      <w:pPr>
        <w:pStyle w:val="ListParagraph"/>
        <w:spacing w:after="0" w:line="240" w:lineRule="auto"/>
        <w:jc w:val="left"/>
        <w:rPr>
          <w:sz w:val="24"/>
        </w:rPr>
        <w:sectPr>
          <w:pgSz w:w="11910" w:h="16850"/>
          <w:pgMar w:header="1024" w:footer="1302" w:top="1480" w:bottom="1500" w:left="360" w:right="360"/>
        </w:sectPr>
      </w:pPr>
    </w:p>
    <w:p>
      <w:pPr>
        <w:pStyle w:val="BodyText"/>
        <w:spacing w:before="276"/>
        <w:ind w:left="1769" w:right="778"/>
      </w:pPr>
      <w:r>
        <w:rPr/>
        <w:t>organization dealing with fire or other emergencies when occur in the building and also for exercises/drills if conducted by the Fire Brigade </w:t>
      </w:r>
      <w:r>
        <w:rPr>
          <w:spacing w:val="-2"/>
        </w:rPr>
        <w:t>Department.</w:t>
      </w:r>
    </w:p>
    <w:p>
      <w:pPr>
        <w:pStyle w:val="ListParagraph"/>
        <w:numPr>
          <w:ilvl w:val="2"/>
          <w:numId w:val="347"/>
        </w:numPr>
        <w:tabs>
          <w:tab w:pos="1769" w:val="left" w:leader="none"/>
          <w:tab w:pos="1782" w:val="left" w:leader="none"/>
        </w:tabs>
        <w:spacing w:line="240" w:lineRule="auto" w:before="239" w:after="0"/>
        <w:ind w:left="1769" w:right="775" w:hanging="272"/>
        <w:jc w:val="both"/>
        <w:rPr>
          <w:sz w:val="24"/>
        </w:rPr>
      </w:pPr>
      <w:r>
        <w:rPr>
          <w:sz w:val="24"/>
        </w:rPr>
        <w:t>The</w:t>
      </w:r>
      <w:r>
        <w:rPr>
          <w:spacing w:val="-2"/>
          <w:sz w:val="24"/>
        </w:rPr>
        <w:t> </w:t>
      </w:r>
      <w:r>
        <w:rPr>
          <w:sz w:val="24"/>
        </w:rPr>
        <w:t>refuge</w:t>
      </w:r>
      <w:r>
        <w:rPr>
          <w:spacing w:val="-14"/>
          <w:sz w:val="24"/>
        </w:rPr>
        <w:t> </w:t>
      </w:r>
      <w:r>
        <w:rPr>
          <w:sz w:val="24"/>
        </w:rPr>
        <w:t>areas</w:t>
      </w:r>
      <w:r>
        <w:rPr>
          <w:spacing w:val="-14"/>
          <w:sz w:val="24"/>
        </w:rPr>
        <w:t> </w:t>
      </w:r>
      <w:r>
        <w:rPr>
          <w:sz w:val="24"/>
        </w:rPr>
        <w:t>shall</w:t>
      </w:r>
      <w:r>
        <w:rPr>
          <w:spacing w:val="-14"/>
          <w:sz w:val="24"/>
        </w:rPr>
        <w:t> </w:t>
      </w:r>
      <w:r>
        <w:rPr>
          <w:sz w:val="24"/>
        </w:rPr>
        <w:t>not</w:t>
      </w:r>
      <w:r>
        <w:rPr>
          <w:spacing w:val="-14"/>
          <w:sz w:val="24"/>
        </w:rPr>
        <w:t> </w:t>
      </w:r>
      <w:r>
        <w:rPr>
          <w:sz w:val="24"/>
        </w:rPr>
        <w:t>be</w:t>
      </w:r>
      <w:r>
        <w:rPr>
          <w:spacing w:val="-14"/>
          <w:sz w:val="24"/>
        </w:rPr>
        <w:t> </w:t>
      </w:r>
      <w:r>
        <w:rPr>
          <w:sz w:val="24"/>
        </w:rPr>
        <w:t>allowed</w:t>
      </w:r>
      <w:r>
        <w:rPr>
          <w:spacing w:val="-14"/>
          <w:sz w:val="24"/>
        </w:rPr>
        <w:t> </w:t>
      </w:r>
      <w:r>
        <w:rPr>
          <w:sz w:val="24"/>
        </w:rPr>
        <w:t>to</w:t>
      </w:r>
      <w:r>
        <w:rPr>
          <w:spacing w:val="-14"/>
          <w:sz w:val="24"/>
        </w:rPr>
        <w:t> </w:t>
      </w:r>
      <w:r>
        <w:rPr>
          <w:sz w:val="24"/>
        </w:rPr>
        <w:t>be</w:t>
      </w:r>
      <w:r>
        <w:rPr>
          <w:spacing w:val="-14"/>
          <w:sz w:val="24"/>
        </w:rPr>
        <w:t> </w:t>
      </w:r>
      <w:r>
        <w:rPr>
          <w:sz w:val="24"/>
        </w:rPr>
        <w:t>used</w:t>
      </w:r>
      <w:r>
        <w:rPr>
          <w:spacing w:val="-14"/>
          <w:sz w:val="24"/>
        </w:rPr>
        <w:t> </w:t>
      </w:r>
      <w:r>
        <w:rPr>
          <w:sz w:val="24"/>
        </w:rPr>
        <w:t>for</w:t>
      </w:r>
      <w:r>
        <w:rPr>
          <w:spacing w:val="-14"/>
          <w:sz w:val="24"/>
        </w:rPr>
        <w:t> </w:t>
      </w:r>
      <w:r>
        <w:rPr>
          <w:sz w:val="24"/>
        </w:rPr>
        <w:t>any</w:t>
      </w:r>
      <w:r>
        <w:rPr>
          <w:spacing w:val="-14"/>
          <w:sz w:val="24"/>
        </w:rPr>
        <w:t> </w:t>
      </w:r>
      <w:r>
        <w:rPr>
          <w:sz w:val="24"/>
        </w:rPr>
        <w:t>other</w:t>
      </w:r>
      <w:r>
        <w:rPr>
          <w:spacing w:val="-14"/>
          <w:sz w:val="24"/>
        </w:rPr>
        <w:t> </w:t>
      </w:r>
      <w:r>
        <w:rPr>
          <w:sz w:val="24"/>
        </w:rPr>
        <w:t>purpose</w:t>
      </w:r>
      <w:r>
        <w:rPr>
          <w:spacing w:val="-12"/>
          <w:sz w:val="24"/>
        </w:rPr>
        <w:t> </w:t>
      </w:r>
      <w:r>
        <w:rPr>
          <w:sz w:val="24"/>
        </w:rPr>
        <w:t>and it shall be the responsibility of the owner/occupier to maintain the same clean and free of encumbrances and encroachments at all times.</w:t>
      </w:r>
    </w:p>
    <w:p>
      <w:pPr>
        <w:pStyle w:val="Heading6"/>
        <w:numPr>
          <w:ilvl w:val="1"/>
          <w:numId w:val="347"/>
        </w:numPr>
        <w:tabs>
          <w:tab w:pos="1645" w:val="left" w:leader="none"/>
        </w:tabs>
        <w:spacing w:line="240" w:lineRule="auto" w:before="237" w:after="0"/>
        <w:ind w:left="1645" w:right="0" w:hanging="416"/>
        <w:jc w:val="left"/>
      </w:pPr>
      <w:r>
        <w:rPr/>
        <w:t>Facilities</w:t>
      </w:r>
      <w:r>
        <w:rPr>
          <w:spacing w:val="-4"/>
        </w:rPr>
        <w:t> </w:t>
      </w:r>
      <w:r>
        <w:rPr/>
        <w:t>to</w:t>
      </w:r>
      <w:r>
        <w:rPr>
          <w:spacing w:val="-2"/>
        </w:rPr>
        <w:t> </w:t>
      </w:r>
      <w:r>
        <w:rPr/>
        <w:t>be</w:t>
      </w:r>
      <w:r>
        <w:rPr>
          <w:spacing w:val="-2"/>
        </w:rPr>
        <w:t> </w:t>
      </w:r>
      <w:r>
        <w:rPr/>
        <w:t>provided</w:t>
      </w:r>
      <w:r>
        <w:rPr>
          <w:spacing w:val="-2"/>
        </w:rPr>
        <w:t> </w:t>
      </w:r>
      <w:r>
        <w:rPr/>
        <w:t>at</w:t>
      </w:r>
      <w:r>
        <w:rPr>
          <w:spacing w:val="-2"/>
        </w:rPr>
        <w:t> </w:t>
      </w:r>
      <w:r>
        <w:rPr/>
        <w:t>refuge</w:t>
      </w:r>
      <w:r>
        <w:rPr>
          <w:spacing w:val="-2"/>
        </w:rPr>
        <w:t> </w:t>
      </w:r>
      <w:r>
        <w:rPr/>
        <w:t>area:</w:t>
      </w:r>
      <w:r>
        <w:rPr>
          <w:spacing w:val="-2"/>
        </w:rPr>
        <w:t> </w:t>
      </w:r>
      <w:r>
        <w:rPr>
          <w:spacing w:val="-10"/>
        </w:rPr>
        <w:t>-</w:t>
      </w:r>
    </w:p>
    <w:p>
      <w:pPr>
        <w:pStyle w:val="ListParagraph"/>
        <w:numPr>
          <w:ilvl w:val="2"/>
          <w:numId w:val="347"/>
        </w:numPr>
        <w:tabs>
          <w:tab w:pos="2217" w:val="left" w:leader="none"/>
        </w:tabs>
        <w:spacing w:line="240" w:lineRule="auto" w:before="242" w:after="0"/>
        <w:ind w:left="2217" w:right="0" w:hanging="479"/>
        <w:jc w:val="left"/>
        <w:rPr>
          <w:sz w:val="24"/>
        </w:rPr>
      </w:pPr>
      <w:r>
        <w:rPr>
          <w:sz w:val="24"/>
        </w:rPr>
        <w:t>Adequate emergency lighting facility shall be </w:t>
      </w:r>
      <w:r>
        <w:rPr>
          <w:spacing w:val="-2"/>
          <w:sz w:val="24"/>
        </w:rPr>
        <w:t>provided.</w:t>
      </w:r>
    </w:p>
    <w:p>
      <w:pPr>
        <w:pStyle w:val="ListParagraph"/>
        <w:numPr>
          <w:ilvl w:val="2"/>
          <w:numId w:val="347"/>
        </w:numPr>
        <w:tabs>
          <w:tab w:pos="2217" w:val="left" w:leader="none"/>
        </w:tabs>
        <w:spacing w:line="240" w:lineRule="auto" w:before="42" w:after="0"/>
        <w:ind w:left="2217" w:right="0" w:hanging="479"/>
        <w:jc w:val="left"/>
        <w:rPr>
          <w:sz w:val="24"/>
        </w:rPr>
      </w:pPr>
      <w:r>
        <w:rPr>
          <w:sz w:val="24"/>
        </w:rPr>
        <w:t>Toilet</w:t>
      </w:r>
      <w:r>
        <w:rPr>
          <w:spacing w:val="-3"/>
          <w:sz w:val="24"/>
        </w:rPr>
        <w:t> </w:t>
      </w:r>
      <w:r>
        <w:rPr>
          <w:sz w:val="24"/>
        </w:rPr>
        <w:t>may</w:t>
      </w:r>
      <w:r>
        <w:rPr>
          <w:spacing w:val="-2"/>
          <w:sz w:val="24"/>
        </w:rPr>
        <w:t> </w:t>
      </w:r>
      <w:r>
        <w:rPr>
          <w:sz w:val="24"/>
        </w:rPr>
        <w:t>be</w:t>
      </w:r>
      <w:r>
        <w:rPr>
          <w:spacing w:val="-2"/>
          <w:sz w:val="24"/>
        </w:rPr>
        <w:t> </w:t>
      </w:r>
      <w:r>
        <w:rPr>
          <w:sz w:val="24"/>
        </w:rPr>
        <w:t>provided</w:t>
      </w:r>
      <w:r>
        <w:rPr>
          <w:spacing w:val="-3"/>
          <w:sz w:val="24"/>
        </w:rPr>
        <w:t> </w:t>
      </w:r>
      <w:r>
        <w:rPr>
          <w:sz w:val="24"/>
        </w:rPr>
        <w:t>within</w:t>
      </w:r>
      <w:r>
        <w:rPr>
          <w:spacing w:val="-2"/>
          <w:sz w:val="24"/>
        </w:rPr>
        <w:t> </w:t>
      </w:r>
      <w:r>
        <w:rPr>
          <w:sz w:val="24"/>
        </w:rPr>
        <w:t>refuge</w:t>
      </w:r>
      <w:r>
        <w:rPr>
          <w:spacing w:val="-2"/>
          <w:sz w:val="24"/>
        </w:rPr>
        <w:t> area.</w:t>
      </w:r>
    </w:p>
    <w:p>
      <w:pPr>
        <w:pStyle w:val="ListParagraph"/>
        <w:numPr>
          <w:ilvl w:val="2"/>
          <w:numId w:val="347"/>
        </w:numPr>
        <w:tabs>
          <w:tab w:pos="2217" w:val="left" w:leader="none"/>
        </w:tabs>
        <w:spacing w:line="240" w:lineRule="auto" w:before="43" w:after="0"/>
        <w:ind w:left="2217" w:right="0" w:hanging="479"/>
        <w:jc w:val="left"/>
        <w:rPr>
          <w:sz w:val="24"/>
        </w:rPr>
      </w:pPr>
      <w:r>
        <w:rPr>
          <w:sz w:val="24"/>
        </w:rPr>
        <w:t>Drinking water shall be </w:t>
      </w:r>
      <w:r>
        <w:rPr>
          <w:spacing w:val="-2"/>
          <w:sz w:val="24"/>
        </w:rPr>
        <w:t>provided.</w:t>
      </w:r>
    </w:p>
    <w:p>
      <w:pPr>
        <w:pStyle w:val="BodyText"/>
        <w:jc w:val="left"/>
      </w:pPr>
    </w:p>
    <w:p>
      <w:pPr>
        <w:pStyle w:val="Heading6"/>
        <w:numPr>
          <w:ilvl w:val="1"/>
          <w:numId w:val="347"/>
        </w:numPr>
        <w:tabs>
          <w:tab w:pos="1535" w:val="left" w:leader="none"/>
        </w:tabs>
        <w:spacing w:line="240" w:lineRule="auto" w:before="1" w:after="0"/>
        <w:ind w:left="1535" w:right="0" w:hanging="306"/>
        <w:jc w:val="left"/>
        <w:rPr>
          <w:i w:val="0"/>
        </w:rPr>
      </w:pPr>
      <w:r>
        <w:rPr/>
        <w:t>Terrace</w:t>
      </w:r>
      <w:r>
        <w:rPr>
          <w:spacing w:val="-4"/>
        </w:rPr>
        <w:t> </w:t>
      </w:r>
      <w:r>
        <w:rPr/>
        <w:t>floor</w:t>
      </w:r>
      <w:r>
        <w:rPr>
          <w:spacing w:val="-2"/>
        </w:rPr>
        <w:t> </w:t>
      </w:r>
      <w:r>
        <w:rPr/>
        <w:t>as</w:t>
      </w:r>
      <w:r>
        <w:rPr>
          <w:spacing w:val="-2"/>
        </w:rPr>
        <w:t> </w:t>
      </w:r>
      <w:r>
        <w:rPr/>
        <w:t>a</w:t>
      </w:r>
      <w:r>
        <w:rPr>
          <w:spacing w:val="-2"/>
        </w:rPr>
        <w:t> </w:t>
      </w:r>
      <w:r>
        <w:rPr/>
        <w:t>refuge</w:t>
      </w:r>
      <w:r>
        <w:rPr>
          <w:spacing w:val="-2"/>
        </w:rPr>
        <w:t> </w:t>
      </w:r>
      <w:r>
        <w:rPr/>
        <w:t>floor</w:t>
      </w:r>
      <w:r>
        <w:rPr>
          <w:i w:val="0"/>
        </w:rPr>
        <w:t>:</w:t>
      </w:r>
      <w:r>
        <w:rPr>
          <w:i w:val="0"/>
          <w:spacing w:val="-1"/>
        </w:rPr>
        <w:t> </w:t>
      </w:r>
      <w:r>
        <w:rPr>
          <w:i w:val="0"/>
          <w:spacing w:val="-10"/>
        </w:rPr>
        <w:t>-</w:t>
      </w:r>
    </w:p>
    <w:p>
      <w:pPr>
        <w:pStyle w:val="ListParagraph"/>
        <w:numPr>
          <w:ilvl w:val="2"/>
          <w:numId w:val="347"/>
        </w:numPr>
        <w:tabs>
          <w:tab w:pos="1767" w:val="left" w:leader="none"/>
          <w:tab w:pos="1769" w:val="left" w:leader="none"/>
        </w:tabs>
        <w:spacing w:line="240" w:lineRule="auto" w:before="241" w:after="0"/>
        <w:ind w:left="1769" w:right="773" w:hanging="272"/>
        <w:jc w:val="both"/>
        <w:rPr>
          <w:sz w:val="24"/>
        </w:rPr>
      </w:pPr>
      <w:r>
        <w:rPr>
          <w:sz w:val="24"/>
        </w:rPr>
        <w:t>The necessary facilities such as emergency lighting, drinking water etc. shall be provided.</w:t>
      </w:r>
    </w:p>
    <w:p>
      <w:pPr>
        <w:pStyle w:val="ListParagraph"/>
        <w:numPr>
          <w:ilvl w:val="2"/>
          <w:numId w:val="347"/>
        </w:numPr>
        <w:tabs>
          <w:tab w:pos="1767" w:val="left" w:leader="none"/>
          <w:tab w:pos="1769" w:val="left" w:leader="none"/>
        </w:tabs>
        <w:spacing w:line="240" w:lineRule="auto" w:before="241" w:after="0"/>
        <w:ind w:left="1769" w:right="772" w:hanging="272"/>
        <w:jc w:val="both"/>
        <w:rPr>
          <w:sz w:val="24"/>
        </w:rPr>
      </w:pPr>
      <w:r>
        <w:rPr>
          <w:sz w:val="24"/>
        </w:rPr>
        <w:t>The access door/s from the enclosed staircase/s to the terrace floor shall have louvers at top half portion of the door. The entrance doors to the terrace shall be painted or fixed with sign painted in luminous paint mentioning "REFUGE AREA”</w:t>
      </w:r>
    </w:p>
    <w:p>
      <w:pPr>
        <w:pStyle w:val="Heading6"/>
        <w:numPr>
          <w:ilvl w:val="0"/>
          <w:numId w:val="347"/>
        </w:numPr>
        <w:tabs>
          <w:tab w:pos="1497" w:val="left" w:leader="none"/>
        </w:tabs>
        <w:spacing w:line="240" w:lineRule="auto" w:before="236" w:after="0"/>
        <w:ind w:left="1497" w:right="0" w:hanging="720"/>
        <w:jc w:val="left"/>
      </w:pPr>
      <w:r>
        <w:rPr/>
        <w:t>Glass </w:t>
      </w:r>
      <w:r>
        <w:rPr>
          <w:spacing w:val="-2"/>
        </w:rPr>
        <w:t>Façade</w:t>
      </w:r>
    </w:p>
    <w:p>
      <w:pPr>
        <w:pStyle w:val="BodyText"/>
        <w:spacing w:before="244"/>
        <w:ind w:left="1229" w:right="768" w:firstLine="28"/>
        <w:jc w:val="left"/>
      </w:pPr>
      <w:r>
        <w:rPr/>
        <w:t>All</w:t>
      </w:r>
      <w:r>
        <w:rPr>
          <w:spacing w:val="-15"/>
        </w:rPr>
        <w:t> </w:t>
      </w:r>
      <w:r>
        <w:rPr/>
        <w:t>the</w:t>
      </w:r>
      <w:r>
        <w:rPr>
          <w:spacing w:val="-15"/>
        </w:rPr>
        <w:t> </w:t>
      </w:r>
      <w:r>
        <w:rPr/>
        <w:t>buildings</w:t>
      </w:r>
      <w:r>
        <w:rPr>
          <w:spacing w:val="-15"/>
        </w:rPr>
        <w:t> </w:t>
      </w:r>
      <w:r>
        <w:rPr/>
        <w:t>having</w:t>
      </w:r>
      <w:r>
        <w:rPr>
          <w:spacing w:val="-15"/>
        </w:rPr>
        <w:t> </w:t>
      </w:r>
      <w:r>
        <w:rPr/>
        <w:t>glass</w:t>
      </w:r>
      <w:r>
        <w:rPr>
          <w:spacing w:val="-15"/>
        </w:rPr>
        <w:t> </w:t>
      </w:r>
      <w:r>
        <w:rPr/>
        <w:t>façade</w:t>
      </w:r>
      <w:r>
        <w:rPr>
          <w:spacing w:val="-15"/>
        </w:rPr>
        <w:t> </w:t>
      </w:r>
      <w:r>
        <w:rPr/>
        <w:t>shall</w:t>
      </w:r>
      <w:r>
        <w:rPr>
          <w:spacing w:val="-15"/>
        </w:rPr>
        <w:t> </w:t>
      </w:r>
      <w:r>
        <w:rPr/>
        <w:t>comply</w:t>
      </w:r>
      <w:r>
        <w:rPr>
          <w:spacing w:val="-15"/>
        </w:rPr>
        <w:t> </w:t>
      </w:r>
      <w:r>
        <w:rPr/>
        <w:t>with</w:t>
      </w:r>
      <w:r>
        <w:rPr>
          <w:spacing w:val="-15"/>
        </w:rPr>
        <w:t> </w:t>
      </w:r>
      <w:r>
        <w:rPr/>
        <w:t>fire</w:t>
      </w:r>
      <w:r>
        <w:rPr>
          <w:spacing w:val="-15"/>
        </w:rPr>
        <w:t> </w:t>
      </w:r>
      <w:r>
        <w:rPr/>
        <w:t>safety</w:t>
      </w:r>
      <w:r>
        <w:rPr>
          <w:spacing w:val="-15"/>
        </w:rPr>
        <w:t> </w:t>
      </w:r>
      <w:r>
        <w:rPr/>
        <w:t>requirements as per Model Building Bye Laws/NBC</w:t>
      </w:r>
    </w:p>
    <w:p>
      <w:pPr>
        <w:pStyle w:val="BodyText"/>
        <w:spacing w:after="0"/>
        <w:jc w:val="left"/>
        <w:sectPr>
          <w:pgSz w:w="11910" w:h="16850"/>
          <w:pgMar w:header="1024" w:footer="1302" w:top="1480" w:bottom="1500" w:left="360" w:right="360"/>
        </w:sectPr>
      </w:pPr>
    </w:p>
    <w:p>
      <w:pPr>
        <w:pStyle w:val="Heading4"/>
        <w:spacing w:before="276"/>
        <w:ind w:left="52"/>
      </w:pPr>
      <w:r>
        <w:rPr/>
        <w:t>APPENDIX- </w:t>
      </w:r>
      <w:r>
        <w:rPr>
          <w:spacing w:val="-5"/>
        </w:rPr>
        <w:t>II</w:t>
      </w:r>
    </w:p>
    <w:p>
      <w:pPr>
        <w:pStyle w:val="BodyText"/>
        <w:spacing w:before="239"/>
        <w:ind w:left="52"/>
        <w:jc w:val="center"/>
      </w:pPr>
      <w:r>
        <w:rPr/>
        <w:t>[Regulations10.1,</w:t>
      </w:r>
      <w:r>
        <w:rPr>
          <w:spacing w:val="-1"/>
        </w:rPr>
        <w:t> </w:t>
      </w:r>
      <w:r>
        <w:rPr/>
        <w:t>10(3) (iii), </w:t>
      </w:r>
      <w:r>
        <w:rPr>
          <w:spacing w:val="-2"/>
        </w:rPr>
        <w:t>(iv)]</w:t>
      </w:r>
    </w:p>
    <w:p>
      <w:pPr>
        <w:pStyle w:val="BodyText"/>
        <w:spacing w:before="241"/>
        <w:ind w:left="777" w:right="722"/>
      </w:pPr>
      <w:r>
        <w:rPr/>
        <w:t>Form</w:t>
      </w:r>
      <w:r>
        <w:rPr>
          <w:spacing w:val="-12"/>
        </w:rPr>
        <w:t> </w:t>
      </w:r>
      <w:r>
        <w:rPr/>
        <w:t>of</w:t>
      </w:r>
      <w:r>
        <w:rPr>
          <w:spacing w:val="-12"/>
        </w:rPr>
        <w:t> </w:t>
      </w:r>
      <w:r>
        <w:rPr/>
        <w:t>Notice</w:t>
      </w:r>
      <w:r>
        <w:rPr>
          <w:spacing w:val="-12"/>
        </w:rPr>
        <w:t> </w:t>
      </w:r>
      <w:r>
        <w:rPr/>
        <w:t>and</w:t>
      </w:r>
      <w:r>
        <w:rPr>
          <w:spacing w:val="-12"/>
        </w:rPr>
        <w:t> </w:t>
      </w:r>
      <w:r>
        <w:rPr/>
        <w:t>first</w:t>
      </w:r>
      <w:r>
        <w:rPr>
          <w:spacing w:val="-12"/>
        </w:rPr>
        <w:t> </w:t>
      </w:r>
      <w:r>
        <w:rPr/>
        <w:t>Application</w:t>
      </w:r>
      <w:r>
        <w:rPr>
          <w:spacing w:val="-12"/>
        </w:rPr>
        <w:t> </w:t>
      </w:r>
      <w:r>
        <w:rPr/>
        <w:t>for</w:t>
      </w:r>
      <w:r>
        <w:rPr>
          <w:spacing w:val="-12"/>
        </w:rPr>
        <w:t> </w:t>
      </w:r>
      <w:r>
        <w:rPr/>
        <w:t>development</w:t>
      </w:r>
      <w:r>
        <w:rPr>
          <w:spacing w:val="-12"/>
        </w:rPr>
        <w:t> </w:t>
      </w:r>
      <w:r>
        <w:rPr/>
        <w:t>Under</w:t>
      </w:r>
      <w:r>
        <w:rPr>
          <w:spacing w:val="-12"/>
        </w:rPr>
        <w:t> </w:t>
      </w:r>
      <w:r>
        <w:rPr/>
        <w:t>Sections</w:t>
      </w:r>
      <w:r>
        <w:rPr>
          <w:spacing w:val="-12"/>
        </w:rPr>
        <w:t> </w:t>
      </w:r>
      <w:r>
        <w:rPr/>
        <w:t>44,45,58,69</w:t>
      </w:r>
      <w:r>
        <w:rPr>
          <w:spacing w:val="-12"/>
        </w:rPr>
        <w:t> </w:t>
      </w:r>
      <w:r>
        <w:rPr/>
        <w:t>of the Maharashtra Regional and Town Planning Act 1966 and to erect a building under section 337/342 of the Mumbai Municipal Corporation Act, 1888.</w:t>
      </w:r>
    </w:p>
    <w:p>
      <w:pPr>
        <w:pStyle w:val="BodyText"/>
        <w:spacing w:before="240"/>
        <w:ind w:left="777"/>
        <w:jc w:val="left"/>
      </w:pPr>
      <w:r>
        <w:rPr>
          <w:spacing w:val="-5"/>
        </w:rPr>
        <w:t>To,</w:t>
      </w:r>
    </w:p>
    <w:p>
      <w:pPr>
        <w:pStyle w:val="BodyText"/>
        <w:spacing w:before="239"/>
        <w:ind w:left="777"/>
        <w:jc w:val="left"/>
      </w:pPr>
      <w:r>
        <w:rPr/>
        <w:t>The</w:t>
      </w:r>
      <w:r>
        <w:rPr>
          <w:spacing w:val="-3"/>
        </w:rPr>
        <w:t> </w:t>
      </w:r>
      <w:r>
        <w:rPr>
          <w:spacing w:val="-2"/>
        </w:rPr>
        <w:t>……………………..</w:t>
      </w:r>
    </w:p>
    <w:p>
      <w:pPr>
        <w:pStyle w:val="BodyText"/>
        <w:spacing w:line="444" w:lineRule="auto" w:before="242"/>
        <w:ind w:left="777" w:right="4416"/>
        <w:jc w:val="left"/>
      </w:pPr>
      <w:r>
        <w:rPr/>
        <w:t>Municipal</w:t>
      </w:r>
      <w:r>
        <w:rPr>
          <w:spacing w:val="-9"/>
        </w:rPr>
        <w:t> </w:t>
      </w:r>
      <w:r>
        <w:rPr/>
        <w:t>Corporation</w:t>
      </w:r>
      <w:r>
        <w:rPr>
          <w:spacing w:val="-9"/>
        </w:rPr>
        <w:t> </w:t>
      </w:r>
      <w:r>
        <w:rPr/>
        <w:t>of</w:t>
      </w:r>
      <w:r>
        <w:rPr>
          <w:spacing w:val="-9"/>
        </w:rPr>
        <w:t> </w:t>
      </w:r>
      <w:r>
        <w:rPr/>
        <w:t>Greater</w:t>
      </w:r>
      <w:r>
        <w:rPr>
          <w:spacing w:val="-9"/>
        </w:rPr>
        <w:t> </w:t>
      </w:r>
      <w:r>
        <w:rPr/>
        <w:t>Mumbai, </w:t>
      </w:r>
      <w:r>
        <w:rPr>
          <w:spacing w:val="-2"/>
        </w:rPr>
        <w:t>Mumbai.</w:t>
      </w:r>
    </w:p>
    <w:p>
      <w:pPr>
        <w:pStyle w:val="BodyText"/>
        <w:spacing w:before="2"/>
        <w:ind w:left="777"/>
        <w:jc w:val="left"/>
      </w:pPr>
      <w:r>
        <w:rPr>
          <w:spacing w:val="-4"/>
        </w:rPr>
        <w:t>Sir,</w:t>
      </w:r>
    </w:p>
    <w:p>
      <w:pPr>
        <w:pStyle w:val="BodyText"/>
        <w:spacing w:before="239"/>
        <w:ind w:left="777" w:right="721" w:firstLine="384"/>
      </w:pPr>
      <w:r>
        <w:rPr/>
        <w:t>I intend to carry out development in the site/to erect, to re-erect/to make material alteration in the building…………………….on/in plot No. C.S.No./C.T.S. No………………………..of……………………..Division/village/Town Planning Scheme No…………………………situated at Road/Street………………………</w:t>
      </w:r>
    </w:p>
    <w:p>
      <w:pPr>
        <w:pStyle w:val="BodyText"/>
        <w:spacing w:before="238"/>
        <w:ind w:left="777" w:right="723"/>
      </w:pPr>
      <w:r>
        <w:rPr/>
        <w:t>ward……………………….and in accordance with section 44,45, 58,69 of the Maharashtra Regional and Town Planning Act, 1966/section 337, 342 of the Mumbai</w:t>
      </w:r>
      <w:r>
        <w:rPr>
          <w:spacing w:val="-11"/>
        </w:rPr>
        <w:t> </w:t>
      </w:r>
      <w:r>
        <w:rPr/>
        <w:t>Municipal</w:t>
      </w:r>
      <w:r>
        <w:rPr>
          <w:spacing w:val="-11"/>
        </w:rPr>
        <w:t> </w:t>
      </w:r>
      <w:r>
        <w:rPr/>
        <w:t>Corporation</w:t>
      </w:r>
      <w:r>
        <w:rPr>
          <w:spacing w:val="-11"/>
        </w:rPr>
        <w:t> </w:t>
      </w:r>
      <w:r>
        <w:rPr/>
        <w:t>Act,</w:t>
      </w:r>
      <w:r>
        <w:rPr>
          <w:spacing w:val="-11"/>
        </w:rPr>
        <w:t> </w:t>
      </w:r>
      <w:r>
        <w:rPr/>
        <w:t>1888,</w:t>
      </w:r>
      <w:r>
        <w:rPr>
          <w:spacing w:val="-11"/>
        </w:rPr>
        <w:t> </w:t>
      </w:r>
      <w:r>
        <w:rPr/>
        <w:t>and</w:t>
      </w:r>
      <w:r>
        <w:rPr>
          <w:spacing w:val="-11"/>
        </w:rPr>
        <w:t> </w:t>
      </w:r>
      <w:r>
        <w:rPr/>
        <w:t>the</w:t>
      </w:r>
      <w:r>
        <w:rPr>
          <w:spacing w:val="-10"/>
        </w:rPr>
        <w:t> </w:t>
      </w:r>
      <w:r>
        <w:rPr/>
        <w:t>Maharashtra</w:t>
      </w:r>
      <w:r>
        <w:rPr>
          <w:spacing w:val="-11"/>
        </w:rPr>
        <w:t> </w:t>
      </w:r>
      <w:r>
        <w:rPr/>
        <w:t>Development</w:t>
      </w:r>
      <w:r>
        <w:rPr>
          <w:spacing w:val="-10"/>
        </w:rPr>
        <w:t> </w:t>
      </w:r>
      <w:r>
        <w:rPr/>
        <w:t>Plan Rules, 1970.</w:t>
      </w:r>
    </w:p>
    <w:p>
      <w:pPr>
        <w:pStyle w:val="ListParagraph"/>
        <w:numPr>
          <w:ilvl w:val="0"/>
          <w:numId w:val="348"/>
        </w:numPr>
        <w:tabs>
          <w:tab w:pos="1156" w:val="left" w:leader="none"/>
        </w:tabs>
        <w:spacing w:line="240" w:lineRule="auto" w:before="242" w:after="0"/>
        <w:ind w:left="777" w:right="725" w:firstLine="0"/>
        <w:jc w:val="left"/>
        <w:rPr>
          <w:sz w:val="24"/>
        </w:rPr>
      </w:pPr>
      <w:r>
        <w:rPr>
          <w:sz w:val="24"/>
        </w:rPr>
        <w:t>I</w:t>
      </w:r>
      <w:r>
        <w:rPr>
          <w:spacing w:val="-1"/>
          <w:sz w:val="24"/>
        </w:rPr>
        <w:t> </w:t>
      </w:r>
      <w:r>
        <w:rPr>
          <w:sz w:val="24"/>
        </w:rPr>
        <w:t>enclose</w:t>
      </w:r>
      <w:r>
        <w:rPr>
          <w:spacing w:val="-3"/>
          <w:sz w:val="24"/>
        </w:rPr>
        <w:t> </w:t>
      </w:r>
      <w:r>
        <w:rPr>
          <w:sz w:val="24"/>
        </w:rPr>
        <w:t>the</w:t>
      </w:r>
      <w:r>
        <w:rPr>
          <w:spacing w:val="-3"/>
          <w:sz w:val="24"/>
        </w:rPr>
        <w:t> </w:t>
      </w:r>
      <w:r>
        <w:rPr>
          <w:sz w:val="24"/>
        </w:rPr>
        <w:t>following</w:t>
      </w:r>
      <w:r>
        <w:rPr>
          <w:spacing w:val="-3"/>
          <w:sz w:val="24"/>
        </w:rPr>
        <w:t> </w:t>
      </w:r>
      <w:r>
        <w:rPr>
          <w:sz w:val="24"/>
        </w:rPr>
        <w:t>plans</w:t>
      </w:r>
      <w:r>
        <w:rPr>
          <w:spacing w:val="-3"/>
          <w:sz w:val="24"/>
        </w:rPr>
        <w:t> </w:t>
      </w:r>
      <w:r>
        <w:rPr>
          <w:sz w:val="24"/>
        </w:rPr>
        <w:t>and</w:t>
      </w:r>
      <w:r>
        <w:rPr>
          <w:spacing w:val="-3"/>
          <w:sz w:val="24"/>
        </w:rPr>
        <w:t> </w:t>
      </w:r>
      <w:r>
        <w:rPr>
          <w:sz w:val="24"/>
        </w:rPr>
        <w:t>statements</w:t>
      </w:r>
      <w:r>
        <w:rPr>
          <w:spacing w:val="-3"/>
          <w:sz w:val="24"/>
        </w:rPr>
        <w:t> </w:t>
      </w:r>
      <w:r>
        <w:rPr>
          <w:sz w:val="24"/>
        </w:rPr>
        <w:t>(Items</w:t>
      </w:r>
      <w:r>
        <w:rPr>
          <w:spacing w:val="-3"/>
          <w:sz w:val="24"/>
        </w:rPr>
        <w:t> </w:t>
      </w:r>
      <w:r>
        <w:rPr>
          <w:sz w:val="24"/>
        </w:rPr>
        <w:t>1</w:t>
      </w:r>
      <w:r>
        <w:rPr>
          <w:spacing w:val="-3"/>
          <w:sz w:val="24"/>
        </w:rPr>
        <w:t> </w:t>
      </w:r>
      <w:r>
        <w:rPr>
          <w:sz w:val="24"/>
        </w:rPr>
        <w:t>to</w:t>
      </w:r>
      <w:r>
        <w:rPr>
          <w:spacing w:val="-3"/>
          <w:sz w:val="24"/>
        </w:rPr>
        <w:t> </w:t>
      </w:r>
      <w:r>
        <w:rPr>
          <w:sz w:val="24"/>
        </w:rPr>
        <w:t>6)</w:t>
      </w:r>
      <w:r>
        <w:rPr>
          <w:spacing w:val="-6"/>
          <w:sz w:val="24"/>
        </w:rPr>
        <w:t> </w:t>
      </w:r>
      <w:r>
        <w:rPr>
          <w:sz w:val="24"/>
        </w:rPr>
        <w:t>wherever</w:t>
      </w:r>
      <w:r>
        <w:rPr>
          <w:spacing w:val="-3"/>
          <w:sz w:val="24"/>
        </w:rPr>
        <w:t> </w:t>
      </w:r>
      <w:r>
        <w:rPr>
          <w:sz w:val="24"/>
        </w:rPr>
        <w:t>applicable, in quadruplicate</w:t>
      </w:r>
    </w:p>
    <w:p>
      <w:pPr>
        <w:pStyle w:val="BodyText"/>
        <w:spacing w:before="240"/>
        <w:ind w:left="777"/>
        <w:jc w:val="left"/>
      </w:pPr>
      <w:r>
        <w:rPr/>
        <w:t>,</w:t>
      </w:r>
      <w:r>
        <w:rPr>
          <w:spacing w:val="-2"/>
        </w:rPr>
        <w:t> </w:t>
      </w:r>
      <w:r>
        <w:rPr/>
        <w:t>signed</w:t>
      </w:r>
      <w:r>
        <w:rPr>
          <w:spacing w:val="-2"/>
        </w:rPr>
        <w:t> </w:t>
      </w:r>
      <w:r>
        <w:rPr/>
        <w:t>by</w:t>
      </w:r>
      <w:r>
        <w:rPr>
          <w:spacing w:val="-1"/>
        </w:rPr>
        <w:t> </w:t>
      </w:r>
      <w:r>
        <w:rPr/>
        <w:t>(Name</w:t>
      </w:r>
      <w:r>
        <w:rPr>
          <w:spacing w:val="-2"/>
        </w:rPr>
        <w:t> </w:t>
      </w:r>
      <w:r>
        <w:rPr/>
        <w:t>in</w:t>
      </w:r>
      <w:r>
        <w:rPr>
          <w:spacing w:val="-2"/>
        </w:rPr>
        <w:t> </w:t>
      </w:r>
      <w:r>
        <w:rPr/>
        <w:t>block</w:t>
      </w:r>
      <w:r>
        <w:rPr>
          <w:spacing w:val="-1"/>
        </w:rPr>
        <w:t> </w:t>
      </w:r>
      <w:r>
        <w:rPr>
          <w:spacing w:val="-2"/>
        </w:rPr>
        <w:t>letter)……………………………………</w:t>
      </w:r>
    </w:p>
    <w:p>
      <w:pPr>
        <w:pStyle w:val="BodyText"/>
        <w:tabs>
          <w:tab w:pos="2418" w:val="left" w:leader="none"/>
          <w:tab w:pos="6519" w:val="left" w:leader="none"/>
          <w:tab w:pos="9586" w:val="left" w:leader="none"/>
        </w:tabs>
        <w:spacing w:before="240"/>
        <w:ind w:left="777" w:right="723"/>
        <w:jc w:val="left"/>
      </w:pPr>
      <w:r>
        <w:rPr>
          <w:spacing w:val="-2"/>
        </w:rPr>
        <w:t>Licensed</w:t>
      </w:r>
      <w:r>
        <w:rPr/>
        <w:tab/>
      </w:r>
      <w:r>
        <w:rPr>
          <w:spacing w:val="-2"/>
        </w:rPr>
        <w:t>surveyor/engineer/structural</w:t>
      </w:r>
      <w:r>
        <w:rPr/>
        <w:tab/>
      </w:r>
      <w:r>
        <w:rPr>
          <w:spacing w:val="-2"/>
        </w:rPr>
        <w:t>engineer/supervisor,</w:t>
      </w:r>
      <w:r>
        <w:rPr/>
        <w:tab/>
      </w:r>
      <w:r>
        <w:rPr>
          <w:spacing w:val="-2"/>
        </w:rPr>
        <w:t>License No………………</w:t>
      </w:r>
    </w:p>
    <w:p>
      <w:pPr>
        <w:pStyle w:val="BodyText"/>
        <w:spacing w:before="240"/>
        <w:ind w:left="777" w:right="838"/>
        <w:jc w:val="left"/>
      </w:pPr>
      <w:r>
        <w:rPr/>
        <w:t>or architect, who has prepared the plans and designs on my behalf and copies of other statements/documents as applicable (Items 7 to 14): -</w:t>
      </w:r>
    </w:p>
    <w:p>
      <w:pPr>
        <w:pStyle w:val="ListParagraph"/>
        <w:numPr>
          <w:ilvl w:val="1"/>
          <w:numId w:val="348"/>
        </w:numPr>
        <w:tabs>
          <w:tab w:pos="1737" w:val="left" w:leader="none"/>
        </w:tabs>
        <w:spacing w:line="240" w:lineRule="auto" w:before="241" w:after="0"/>
        <w:ind w:left="1737" w:right="0" w:hanging="479"/>
        <w:jc w:val="left"/>
        <w:rPr>
          <w:sz w:val="24"/>
        </w:rPr>
      </w:pPr>
      <w:r>
        <w:rPr>
          <w:sz w:val="24"/>
        </w:rPr>
        <w:t>Key</w:t>
      </w:r>
      <w:r>
        <w:rPr>
          <w:spacing w:val="-4"/>
          <w:sz w:val="24"/>
        </w:rPr>
        <w:t> </w:t>
      </w:r>
      <w:r>
        <w:rPr>
          <w:sz w:val="24"/>
        </w:rPr>
        <w:t>Plan</w:t>
      </w:r>
      <w:r>
        <w:rPr>
          <w:spacing w:val="-4"/>
          <w:sz w:val="24"/>
        </w:rPr>
        <w:t> </w:t>
      </w:r>
      <w:r>
        <w:rPr>
          <w:sz w:val="24"/>
        </w:rPr>
        <w:t>(Location</w:t>
      </w:r>
      <w:r>
        <w:rPr>
          <w:spacing w:val="-3"/>
          <w:sz w:val="24"/>
        </w:rPr>
        <w:t> </w:t>
      </w:r>
      <w:r>
        <w:rPr>
          <w:spacing w:val="-2"/>
          <w:sz w:val="24"/>
        </w:rPr>
        <w:t>Plan)</w:t>
      </w:r>
    </w:p>
    <w:p>
      <w:pPr>
        <w:pStyle w:val="ListParagraph"/>
        <w:numPr>
          <w:ilvl w:val="1"/>
          <w:numId w:val="348"/>
        </w:numPr>
        <w:tabs>
          <w:tab w:pos="1737" w:val="left" w:leader="none"/>
        </w:tabs>
        <w:spacing w:line="240" w:lineRule="auto" w:before="59" w:after="0"/>
        <w:ind w:left="1737" w:right="0" w:hanging="479"/>
        <w:jc w:val="left"/>
        <w:rPr>
          <w:sz w:val="24"/>
        </w:rPr>
      </w:pPr>
      <w:r>
        <w:rPr>
          <w:sz w:val="24"/>
        </w:rPr>
        <w:t>Site </w:t>
      </w:r>
      <w:r>
        <w:rPr>
          <w:spacing w:val="-4"/>
          <w:sz w:val="24"/>
        </w:rPr>
        <w:t>Plan</w:t>
      </w:r>
    </w:p>
    <w:p>
      <w:pPr>
        <w:pStyle w:val="ListParagraph"/>
        <w:numPr>
          <w:ilvl w:val="1"/>
          <w:numId w:val="348"/>
        </w:numPr>
        <w:tabs>
          <w:tab w:pos="1737" w:val="left" w:leader="none"/>
        </w:tabs>
        <w:spacing w:line="240" w:lineRule="auto" w:before="59" w:after="0"/>
        <w:ind w:left="1737" w:right="0" w:hanging="479"/>
        <w:jc w:val="left"/>
        <w:rPr>
          <w:sz w:val="24"/>
        </w:rPr>
      </w:pPr>
      <w:r>
        <w:rPr>
          <w:sz w:val="24"/>
        </w:rPr>
        <w:t>Sub-division/layout</w:t>
      </w:r>
      <w:r>
        <w:rPr>
          <w:spacing w:val="-3"/>
          <w:sz w:val="24"/>
        </w:rPr>
        <w:t> </w:t>
      </w:r>
      <w:r>
        <w:rPr>
          <w:spacing w:val="-4"/>
          <w:sz w:val="24"/>
        </w:rPr>
        <w:t>plan</w:t>
      </w:r>
    </w:p>
    <w:p>
      <w:pPr>
        <w:pStyle w:val="ListParagraph"/>
        <w:numPr>
          <w:ilvl w:val="1"/>
          <w:numId w:val="348"/>
        </w:numPr>
        <w:tabs>
          <w:tab w:pos="1737" w:val="left" w:leader="none"/>
        </w:tabs>
        <w:spacing w:line="240" w:lineRule="auto" w:before="62" w:after="0"/>
        <w:ind w:left="1737" w:right="0" w:hanging="479"/>
        <w:jc w:val="left"/>
        <w:rPr>
          <w:sz w:val="24"/>
        </w:rPr>
      </w:pPr>
      <w:r>
        <w:rPr>
          <w:sz w:val="24"/>
        </w:rPr>
        <w:t>Building </w:t>
      </w:r>
      <w:r>
        <w:rPr>
          <w:spacing w:val="-4"/>
          <w:sz w:val="24"/>
        </w:rPr>
        <w:t>Plan</w:t>
      </w:r>
    </w:p>
    <w:p>
      <w:pPr>
        <w:pStyle w:val="ListParagraph"/>
        <w:numPr>
          <w:ilvl w:val="1"/>
          <w:numId w:val="348"/>
        </w:numPr>
        <w:tabs>
          <w:tab w:pos="1737" w:val="left" w:leader="none"/>
        </w:tabs>
        <w:spacing w:line="240" w:lineRule="auto" w:before="59" w:after="0"/>
        <w:ind w:left="1737" w:right="0" w:hanging="479"/>
        <w:jc w:val="left"/>
        <w:rPr>
          <w:sz w:val="24"/>
        </w:rPr>
      </w:pPr>
      <w:r>
        <w:rPr>
          <w:sz w:val="24"/>
        </w:rPr>
        <w:t>Particulars</w:t>
      </w:r>
      <w:r>
        <w:rPr>
          <w:spacing w:val="-3"/>
          <w:sz w:val="24"/>
        </w:rPr>
        <w:t> </w:t>
      </w:r>
      <w:r>
        <w:rPr>
          <w:sz w:val="24"/>
        </w:rPr>
        <w:t>of development in</w:t>
      </w:r>
      <w:r>
        <w:rPr>
          <w:spacing w:val="-1"/>
          <w:sz w:val="24"/>
        </w:rPr>
        <w:t> </w:t>
      </w:r>
      <w:r>
        <w:rPr>
          <w:sz w:val="24"/>
        </w:rPr>
        <w:t>the form in </w:t>
      </w:r>
      <w:r>
        <w:rPr>
          <w:spacing w:val="-2"/>
          <w:sz w:val="24"/>
        </w:rPr>
        <w:t>Annexure-</w:t>
      </w:r>
    </w:p>
    <w:p>
      <w:pPr>
        <w:pStyle w:val="ListParagraph"/>
        <w:numPr>
          <w:ilvl w:val="1"/>
          <w:numId w:val="348"/>
        </w:numPr>
        <w:tabs>
          <w:tab w:pos="1738" w:val="left" w:leader="none"/>
          <w:tab w:pos="3304" w:val="left" w:leader="none"/>
          <w:tab w:pos="4108" w:val="left" w:leader="none"/>
          <w:tab w:pos="5699" w:val="left" w:leader="none"/>
          <w:tab w:pos="6440" w:val="left" w:leader="none"/>
          <w:tab w:pos="7949" w:val="left" w:leader="none"/>
          <w:tab w:pos="8695" w:val="left" w:leader="none"/>
          <w:tab w:pos="10180" w:val="left" w:leader="none"/>
        </w:tabs>
        <w:spacing w:line="240" w:lineRule="auto" w:before="61" w:after="0"/>
        <w:ind w:left="1738" w:right="725" w:hanging="480"/>
        <w:jc w:val="left"/>
        <w:rPr>
          <w:sz w:val="24"/>
        </w:rPr>
      </w:pPr>
      <w:r>
        <w:rPr>
          <w:spacing w:val="-2"/>
          <w:sz w:val="24"/>
        </w:rPr>
        <w:t>Ownership</w:t>
      </w:r>
      <w:r>
        <w:rPr>
          <w:sz w:val="24"/>
        </w:rPr>
        <w:tab/>
      </w:r>
      <w:r>
        <w:rPr>
          <w:spacing w:val="-2"/>
          <w:sz w:val="24"/>
        </w:rPr>
        <w:t>Title</w:t>
      </w:r>
      <w:r>
        <w:rPr>
          <w:sz w:val="24"/>
        </w:rPr>
        <w:tab/>
      </w:r>
      <w:r>
        <w:rPr>
          <w:spacing w:val="-2"/>
          <w:sz w:val="24"/>
        </w:rPr>
        <w:t>documents</w:t>
      </w:r>
      <w:r>
        <w:rPr>
          <w:sz w:val="24"/>
        </w:rPr>
        <w:tab/>
      </w:r>
      <w:r>
        <w:rPr>
          <w:spacing w:val="-4"/>
          <w:sz w:val="24"/>
        </w:rPr>
        <w:t>and</w:t>
      </w:r>
      <w:r>
        <w:rPr>
          <w:sz w:val="24"/>
        </w:rPr>
        <w:tab/>
      </w:r>
      <w:r>
        <w:rPr>
          <w:spacing w:val="-2"/>
          <w:sz w:val="24"/>
        </w:rPr>
        <w:t>ownership</w:t>
      </w:r>
      <w:r>
        <w:rPr>
          <w:sz w:val="24"/>
        </w:rPr>
        <w:tab/>
      </w:r>
      <w:r>
        <w:rPr>
          <w:spacing w:val="-2"/>
          <w:sz w:val="24"/>
        </w:rPr>
        <w:t>title</w:t>
      </w:r>
      <w:r>
        <w:rPr>
          <w:sz w:val="24"/>
        </w:rPr>
        <w:tab/>
      </w:r>
      <w:r>
        <w:rPr>
          <w:spacing w:val="-2"/>
          <w:sz w:val="24"/>
        </w:rPr>
        <w:t>submitted</w:t>
      </w:r>
      <w:r>
        <w:rPr>
          <w:sz w:val="24"/>
        </w:rPr>
        <w:tab/>
      </w:r>
      <w:r>
        <w:rPr>
          <w:spacing w:val="-6"/>
          <w:sz w:val="24"/>
        </w:rPr>
        <w:t>by </w:t>
      </w:r>
      <w:r>
        <w:rPr>
          <w:spacing w:val="-2"/>
          <w:sz w:val="24"/>
        </w:rPr>
        <w:t>Solicitor/Advocate</w:t>
      </w:r>
    </w:p>
    <w:p>
      <w:pPr>
        <w:pStyle w:val="ListParagraph"/>
        <w:numPr>
          <w:ilvl w:val="1"/>
          <w:numId w:val="348"/>
        </w:numPr>
        <w:tabs>
          <w:tab w:pos="1737" w:val="left" w:leader="none"/>
        </w:tabs>
        <w:spacing w:line="240" w:lineRule="auto" w:before="59" w:after="0"/>
        <w:ind w:left="1737" w:right="0" w:hanging="479"/>
        <w:jc w:val="left"/>
        <w:rPr>
          <w:sz w:val="24"/>
        </w:rPr>
      </w:pPr>
      <w:r>
        <w:rPr>
          <w:sz w:val="24"/>
        </w:rPr>
        <w:t>Attested</w:t>
      </w:r>
      <w:r>
        <w:rPr>
          <w:spacing w:val="-1"/>
          <w:sz w:val="24"/>
        </w:rPr>
        <w:t> </w:t>
      </w:r>
      <w:r>
        <w:rPr>
          <w:sz w:val="24"/>
        </w:rPr>
        <w:t>copy</w:t>
      </w:r>
      <w:r>
        <w:rPr>
          <w:spacing w:val="-1"/>
          <w:sz w:val="24"/>
        </w:rPr>
        <w:t> </w:t>
      </w:r>
      <w:r>
        <w:rPr>
          <w:sz w:val="24"/>
        </w:rPr>
        <w:t>of</w:t>
      </w:r>
      <w:r>
        <w:rPr>
          <w:spacing w:val="-1"/>
          <w:sz w:val="24"/>
        </w:rPr>
        <w:t> </w:t>
      </w:r>
      <w:r>
        <w:rPr>
          <w:sz w:val="24"/>
        </w:rPr>
        <w:t>receipt</w:t>
      </w:r>
      <w:r>
        <w:rPr>
          <w:spacing w:val="-1"/>
          <w:sz w:val="24"/>
        </w:rPr>
        <w:t> </w:t>
      </w:r>
      <w:r>
        <w:rPr>
          <w:sz w:val="24"/>
        </w:rPr>
        <w:t>for payment</w:t>
      </w:r>
      <w:r>
        <w:rPr>
          <w:spacing w:val="-1"/>
          <w:sz w:val="24"/>
        </w:rPr>
        <w:t> </w:t>
      </w:r>
      <w:r>
        <w:rPr>
          <w:sz w:val="24"/>
        </w:rPr>
        <w:t>of</w:t>
      </w:r>
      <w:r>
        <w:rPr>
          <w:spacing w:val="-1"/>
          <w:sz w:val="24"/>
        </w:rPr>
        <w:t> </w:t>
      </w:r>
      <w:r>
        <w:rPr>
          <w:sz w:val="24"/>
        </w:rPr>
        <w:t>building</w:t>
      </w:r>
      <w:r>
        <w:rPr>
          <w:spacing w:val="-1"/>
          <w:sz w:val="24"/>
        </w:rPr>
        <w:t> </w:t>
      </w:r>
      <w:r>
        <w:rPr>
          <w:sz w:val="24"/>
        </w:rPr>
        <w:t>permit </w:t>
      </w:r>
      <w:r>
        <w:rPr>
          <w:spacing w:val="-5"/>
          <w:sz w:val="24"/>
        </w:rPr>
        <w:t>fee</w:t>
      </w:r>
    </w:p>
    <w:p>
      <w:pPr>
        <w:pStyle w:val="ListParagraph"/>
        <w:spacing w:after="0" w:line="240" w:lineRule="auto"/>
        <w:jc w:val="left"/>
        <w:rPr>
          <w:sz w:val="24"/>
        </w:rPr>
        <w:sectPr>
          <w:pgSz w:w="11910" w:h="16850"/>
          <w:pgMar w:header="1024" w:footer="1302" w:top="1480" w:bottom="1500" w:left="360" w:right="360"/>
        </w:sectPr>
      </w:pPr>
    </w:p>
    <w:p>
      <w:pPr>
        <w:pStyle w:val="ListParagraph"/>
        <w:numPr>
          <w:ilvl w:val="1"/>
          <w:numId w:val="348"/>
        </w:numPr>
        <w:tabs>
          <w:tab w:pos="1737" w:val="left" w:leader="none"/>
        </w:tabs>
        <w:spacing w:line="240" w:lineRule="auto" w:before="276" w:after="0"/>
        <w:ind w:left="1737" w:right="0" w:hanging="479"/>
        <w:jc w:val="left"/>
        <w:rPr>
          <w:sz w:val="24"/>
        </w:rPr>
      </w:pPr>
      <w:r>
        <w:rPr>
          <w:sz w:val="24"/>
        </w:rPr>
        <w:t>Self</w:t>
      </w:r>
      <w:r>
        <w:rPr>
          <w:spacing w:val="-4"/>
          <w:sz w:val="24"/>
        </w:rPr>
        <w:t> </w:t>
      </w:r>
      <w:r>
        <w:rPr>
          <w:sz w:val="24"/>
        </w:rPr>
        <w:t>certification</w:t>
      </w:r>
      <w:r>
        <w:rPr>
          <w:spacing w:val="-2"/>
          <w:sz w:val="24"/>
        </w:rPr>
        <w:t> </w:t>
      </w:r>
      <w:r>
        <w:rPr>
          <w:sz w:val="24"/>
        </w:rPr>
        <w:t>from</w:t>
      </w:r>
      <w:r>
        <w:rPr>
          <w:spacing w:val="-2"/>
          <w:sz w:val="24"/>
        </w:rPr>
        <w:t> </w:t>
      </w:r>
      <w:r>
        <w:rPr>
          <w:sz w:val="24"/>
        </w:rPr>
        <w:t>owner/developer</w:t>
      </w:r>
      <w:r>
        <w:rPr>
          <w:spacing w:val="-2"/>
          <w:sz w:val="24"/>
        </w:rPr>
        <w:t> </w:t>
      </w:r>
      <w:r>
        <w:rPr>
          <w:sz w:val="24"/>
        </w:rPr>
        <w:t>regarding</w:t>
      </w:r>
      <w:r>
        <w:rPr>
          <w:spacing w:val="-2"/>
          <w:sz w:val="24"/>
        </w:rPr>
        <w:t> </w:t>
      </w:r>
      <w:r>
        <w:rPr>
          <w:sz w:val="24"/>
        </w:rPr>
        <w:t>municipal</w:t>
      </w:r>
      <w:r>
        <w:rPr>
          <w:spacing w:val="-2"/>
          <w:sz w:val="24"/>
        </w:rPr>
        <w:t> </w:t>
      </w:r>
      <w:r>
        <w:rPr>
          <w:sz w:val="24"/>
        </w:rPr>
        <w:t>tax</w:t>
      </w:r>
      <w:r>
        <w:rPr>
          <w:spacing w:val="-2"/>
          <w:sz w:val="24"/>
        </w:rPr>
        <w:t> clearance.</w:t>
      </w:r>
    </w:p>
    <w:p>
      <w:pPr>
        <w:pStyle w:val="ListParagraph"/>
        <w:numPr>
          <w:ilvl w:val="1"/>
          <w:numId w:val="348"/>
        </w:numPr>
        <w:tabs>
          <w:tab w:pos="1737" w:val="left" w:leader="none"/>
        </w:tabs>
        <w:spacing w:line="240" w:lineRule="auto" w:before="59" w:after="0"/>
        <w:ind w:left="1737" w:right="0" w:hanging="479"/>
        <w:jc w:val="left"/>
        <w:rPr>
          <w:sz w:val="24"/>
        </w:rPr>
      </w:pPr>
      <w:r>
        <w:rPr>
          <w:sz w:val="24"/>
        </w:rPr>
        <w:t>No</w:t>
      </w:r>
      <w:r>
        <w:rPr>
          <w:spacing w:val="-3"/>
          <w:sz w:val="24"/>
        </w:rPr>
        <w:t> </w:t>
      </w:r>
      <w:r>
        <w:rPr>
          <w:sz w:val="24"/>
        </w:rPr>
        <w:t>objection</w:t>
      </w:r>
      <w:r>
        <w:rPr>
          <w:spacing w:val="-2"/>
          <w:sz w:val="24"/>
        </w:rPr>
        <w:t> </w:t>
      </w:r>
      <w:r>
        <w:rPr>
          <w:sz w:val="24"/>
        </w:rPr>
        <w:t>certificate/s,</w:t>
      </w:r>
      <w:r>
        <w:rPr>
          <w:spacing w:val="-2"/>
          <w:sz w:val="24"/>
        </w:rPr>
        <w:t> </w:t>
      </w:r>
      <w:r>
        <w:rPr>
          <w:sz w:val="24"/>
        </w:rPr>
        <w:t>where</w:t>
      </w:r>
      <w:r>
        <w:rPr>
          <w:spacing w:val="-2"/>
          <w:sz w:val="24"/>
        </w:rPr>
        <w:t> required.</w:t>
      </w:r>
    </w:p>
    <w:p>
      <w:pPr>
        <w:pStyle w:val="ListParagraph"/>
        <w:numPr>
          <w:ilvl w:val="1"/>
          <w:numId w:val="348"/>
        </w:numPr>
        <w:tabs>
          <w:tab w:pos="1737" w:val="left" w:leader="none"/>
        </w:tabs>
        <w:spacing w:line="240" w:lineRule="auto" w:before="61" w:after="0"/>
        <w:ind w:left="1737" w:right="0" w:hanging="479"/>
        <w:jc w:val="left"/>
        <w:rPr>
          <w:sz w:val="24"/>
        </w:rPr>
      </w:pPr>
      <w:r>
        <w:rPr>
          <w:sz w:val="24"/>
        </w:rPr>
        <w:t>Appointment</w:t>
      </w:r>
      <w:r>
        <w:rPr>
          <w:spacing w:val="-1"/>
          <w:sz w:val="24"/>
        </w:rPr>
        <w:t> </w:t>
      </w:r>
      <w:r>
        <w:rPr>
          <w:sz w:val="24"/>
        </w:rPr>
        <w:t>letter</w:t>
      </w:r>
      <w:r>
        <w:rPr>
          <w:spacing w:val="-1"/>
          <w:sz w:val="24"/>
        </w:rPr>
        <w:t> </w:t>
      </w:r>
      <w:r>
        <w:rPr>
          <w:sz w:val="24"/>
        </w:rPr>
        <w:t>in</w:t>
      </w:r>
      <w:r>
        <w:rPr>
          <w:spacing w:val="-1"/>
          <w:sz w:val="24"/>
        </w:rPr>
        <w:t> </w:t>
      </w:r>
      <w:r>
        <w:rPr>
          <w:sz w:val="24"/>
        </w:rPr>
        <w:t>favour</w:t>
      </w:r>
      <w:r>
        <w:rPr>
          <w:spacing w:val="-1"/>
          <w:sz w:val="24"/>
        </w:rPr>
        <w:t> </w:t>
      </w:r>
      <w:r>
        <w:rPr>
          <w:sz w:val="24"/>
        </w:rPr>
        <w:t>of</w:t>
      </w:r>
      <w:r>
        <w:rPr>
          <w:spacing w:val="-1"/>
          <w:sz w:val="24"/>
        </w:rPr>
        <w:t> </w:t>
      </w:r>
      <w:r>
        <w:rPr>
          <w:sz w:val="24"/>
        </w:rPr>
        <w:t>licensed</w:t>
      </w:r>
      <w:r>
        <w:rPr>
          <w:spacing w:val="-1"/>
          <w:sz w:val="24"/>
        </w:rPr>
        <w:t> </w:t>
      </w:r>
      <w:r>
        <w:rPr>
          <w:sz w:val="24"/>
        </w:rPr>
        <w:t>technical</w:t>
      </w:r>
      <w:r>
        <w:rPr>
          <w:spacing w:val="-1"/>
          <w:sz w:val="24"/>
        </w:rPr>
        <w:t> </w:t>
      </w:r>
      <w:r>
        <w:rPr>
          <w:sz w:val="24"/>
        </w:rPr>
        <w:t>personnel</w:t>
      </w:r>
      <w:r>
        <w:rPr>
          <w:spacing w:val="-1"/>
          <w:sz w:val="24"/>
        </w:rPr>
        <w:t> </w:t>
      </w:r>
      <w:r>
        <w:rPr>
          <w:sz w:val="24"/>
        </w:rPr>
        <w:t>or </w:t>
      </w:r>
      <w:r>
        <w:rPr>
          <w:spacing w:val="-2"/>
          <w:sz w:val="24"/>
        </w:rPr>
        <w:t>architect.</w:t>
      </w:r>
    </w:p>
    <w:p>
      <w:pPr>
        <w:pStyle w:val="ListParagraph"/>
        <w:numPr>
          <w:ilvl w:val="1"/>
          <w:numId w:val="348"/>
        </w:numPr>
        <w:tabs>
          <w:tab w:pos="1737" w:val="left" w:leader="none"/>
        </w:tabs>
        <w:spacing w:line="240" w:lineRule="auto" w:before="59" w:after="0"/>
        <w:ind w:left="1737" w:right="0" w:hanging="479"/>
        <w:jc w:val="left"/>
        <w:rPr>
          <w:sz w:val="24"/>
        </w:rPr>
      </w:pPr>
      <w:r>
        <w:rPr>
          <w:sz w:val="24"/>
        </w:rPr>
        <w:t>Supervision</w:t>
      </w:r>
      <w:r>
        <w:rPr>
          <w:spacing w:val="-3"/>
          <w:sz w:val="24"/>
        </w:rPr>
        <w:t> </w:t>
      </w:r>
      <w:r>
        <w:rPr>
          <w:sz w:val="24"/>
        </w:rPr>
        <w:t>memorandum</w:t>
      </w:r>
      <w:r>
        <w:rPr>
          <w:spacing w:val="-3"/>
          <w:sz w:val="24"/>
        </w:rPr>
        <w:t> </w:t>
      </w:r>
      <w:r>
        <w:rPr>
          <w:sz w:val="24"/>
        </w:rPr>
        <w:t>of</w:t>
      </w:r>
      <w:r>
        <w:rPr>
          <w:spacing w:val="-3"/>
          <w:sz w:val="24"/>
        </w:rPr>
        <w:t> </w:t>
      </w:r>
      <w:r>
        <w:rPr>
          <w:sz w:val="24"/>
        </w:rPr>
        <w:t>licensed</w:t>
      </w:r>
      <w:r>
        <w:rPr>
          <w:spacing w:val="-2"/>
          <w:sz w:val="24"/>
        </w:rPr>
        <w:t> </w:t>
      </w:r>
      <w:r>
        <w:rPr>
          <w:sz w:val="24"/>
        </w:rPr>
        <w:t>technical</w:t>
      </w:r>
      <w:r>
        <w:rPr>
          <w:spacing w:val="-3"/>
          <w:sz w:val="24"/>
        </w:rPr>
        <w:t> </w:t>
      </w:r>
      <w:r>
        <w:rPr>
          <w:sz w:val="24"/>
        </w:rPr>
        <w:t>personnel</w:t>
      </w:r>
      <w:r>
        <w:rPr>
          <w:spacing w:val="-3"/>
          <w:sz w:val="24"/>
        </w:rPr>
        <w:t> </w:t>
      </w:r>
      <w:r>
        <w:rPr>
          <w:sz w:val="24"/>
        </w:rPr>
        <w:t>or</w:t>
      </w:r>
      <w:r>
        <w:rPr>
          <w:spacing w:val="-2"/>
          <w:sz w:val="24"/>
        </w:rPr>
        <w:t> architect.</w:t>
      </w:r>
    </w:p>
    <w:p>
      <w:pPr>
        <w:pStyle w:val="ListParagraph"/>
        <w:numPr>
          <w:ilvl w:val="1"/>
          <w:numId w:val="348"/>
        </w:numPr>
        <w:tabs>
          <w:tab w:pos="1738" w:val="left" w:leader="none"/>
        </w:tabs>
        <w:spacing w:line="240" w:lineRule="auto" w:before="62" w:after="0"/>
        <w:ind w:left="1738" w:right="728" w:hanging="480"/>
        <w:jc w:val="left"/>
        <w:rPr>
          <w:sz w:val="24"/>
        </w:rPr>
      </w:pPr>
      <w:r>
        <w:rPr>
          <w:sz w:val="24"/>
        </w:rPr>
        <w:t>Property register card, and city survey plan for plot in original signed by</w:t>
      </w:r>
      <w:r>
        <w:rPr>
          <w:spacing w:val="40"/>
          <w:sz w:val="24"/>
        </w:rPr>
        <w:t> </w:t>
      </w:r>
      <w:r>
        <w:rPr>
          <w:sz w:val="24"/>
        </w:rPr>
        <w:t>the Competent City Survey Authority not issued prior to12 months,</w:t>
      </w:r>
    </w:p>
    <w:p>
      <w:pPr>
        <w:pStyle w:val="ListParagraph"/>
        <w:numPr>
          <w:ilvl w:val="1"/>
          <w:numId w:val="348"/>
        </w:numPr>
        <w:tabs>
          <w:tab w:pos="1814" w:val="left" w:leader="none"/>
        </w:tabs>
        <w:spacing w:line="240" w:lineRule="auto" w:before="58" w:after="0"/>
        <w:ind w:left="1814" w:right="0" w:hanging="556"/>
        <w:jc w:val="left"/>
        <w:rPr>
          <w:sz w:val="24"/>
        </w:rPr>
      </w:pPr>
      <w:r>
        <w:rPr>
          <w:sz w:val="24"/>
        </w:rPr>
        <w:t>Owners'</w:t>
      </w:r>
      <w:r>
        <w:rPr>
          <w:spacing w:val="-4"/>
          <w:sz w:val="24"/>
        </w:rPr>
        <w:t> </w:t>
      </w:r>
      <w:r>
        <w:rPr>
          <w:sz w:val="24"/>
        </w:rPr>
        <w:t>affidavit</w:t>
      </w:r>
      <w:r>
        <w:rPr>
          <w:spacing w:val="-1"/>
          <w:sz w:val="24"/>
        </w:rPr>
        <w:t> </w:t>
      </w:r>
      <w:r>
        <w:rPr>
          <w:sz w:val="24"/>
        </w:rPr>
        <w:t>regarding</w:t>
      </w:r>
      <w:r>
        <w:rPr>
          <w:spacing w:val="-2"/>
          <w:sz w:val="24"/>
        </w:rPr>
        <w:t> </w:t>
      </w:r>
      <w:r>
        <w:rPr>
          <w:sz w:val="24"/>
        </w:rPr>
        <w:t>area</w:t>
      </w:r>
      <w:r>
        <w:rPr>
          <w:spacing w:val="-1"/>
          <w:sz w:val="24"/>
        </w:rPr>
        <w:t> </w:t>
      </w:r>
      <w:r>
        <w:rPr>
          <w:sz w:val="24"/>
        </w:rPr>
        <w:t>of</w:t>
      </w:r>
      <w:r>
        <w:rPr>
          <w:spacing w:val="-2"/>
          <w:sz w:val="24"/>
        </w:rPr>
        <w:t> </w:t>
      </w:r>
      <w:r>
        <w:rPr>
          <w:sz w:val="24"/>
        </w:rPr>
        <w:t>the</w:t>
      </w:r>
      <w:r>
        <w:rPr>
          <w:spacing w:val="-1"/>
          <w:sz w:val="24"/>
        </w:rPr>
        <w:t> </w:t>
      </w:r>
      <w:r>
        <w:rPr>
          <w:spacing w:val="-2"/>
          <w:sz w:val="24"/>
        </w:rPr>
        <w:t>plot.</w:t>
      </w:r>
    </w:p>
    <w:p>
      <w:pPr>
        <w:pStyle w:val="ListParagraph"/>
        <w:numPr>
          <w:ilvl w:val="1"/>
          <w:numId w:val="348"/>
        </w:numPr>
        <w:tabs>
          <w:tab w:pos="1738" w:val="left" w:leader="none"/>
        </w:tabs>
        <w:spacing w:line="240" w:lineRule="auto" w:before="61" w:after="0"/>
        <w:ind w:left="1738" w:right="727" w:hanging="480"/>
        <w:jc w:val="left"/>
        <w:rPr>
          <w:sz w:val="24"/>
        </w:rPr>
      </w:pPr>
      <w:r>
        <w:rPr>
          <w:sz w:val="24"/>
        </w:rPr>
        <w:t>Architect's</w:t>
      </w:r>
      <w:r>
        <w:rPr>
          <w:spacing w:val="80"/>
          <w:sz w:val="24"/>
        </w:rPr>
        <w:t> </w:t>
      </w:r>
      <w:r>
        <w:rPr>
          <w:sz w:val="24"/>
        </w:rPr>
        <w:t>certificate</w:t>
      </w:r>
      <w:r>
        <w:rPr>
          <w:spacing w:val="80"/>
          <w:sz w:val="24"/>
        </w:rPr>
        <w:t> </w:t>
      </w:r>
      <w:r>
        <w:rPr>
          <w:sz w:val="24"/>
        </w:rPr>
        <w:t>for</w:t>
      </w:r>
      <w:r>
        <w:rPr>
          <w:spacing w:val="80"/>
          <w:sz w:val="24"/>
        </w:rPr>
        <w:t> </w:t>
      </w:r>
      <w:r>
        <w:rPr>
          <w:sz w:val="24"/>
        </w:rPr>
        <w:t>plot</w:t>
      </w:r>
      <w:r>
        <w:rPr>
          <w:spacing w:val="80"/>
          <w:sz w:val="24"/>
        </w:rPr>
        <w:t> </w:t>
      </w:r>
      <w:r>
        <w:rPr>
          <w:sz w:val="24"/>
        </w:rPr>
        <w:t>area</w:t>
      </w:r>
      <w:r>
        <w:rPr>
          <w:spacing w:val="80"/>
          <w:sz w:val="24"/>
        </w:rPr>
        <w:t> </w:t>
      </w:r>
      <w:r>
        <w:rPr>
          <w:sz w:val="24"/>
        </w:rPr>
        <w:t>along</w:t>
      </w:r>
      <w:r>
        <w:rPr>
          <w:spacing w:val="80"/>
          <w:sz w:val="24"/>
        </w:rPr>
        <w:t> </w:t>
      </w:r>
      <w:r>
        <w:rPr>
          <w:sz w:val="24"/>
        </w:rPr>
        <w:t>with</w:t>
      </w:r>
      <w:r>
        <w:rPr>
          <w:spacing w:val="80"/>
          <w:sz w:val="24"/>
        </w:rPr>
        <w:t> </w:t>
      </w:r>
      <w:r>
        <w:rPr>
          <w:sz w:val="24"/>
        </w:rPr>
        <w:t>area</w:t>
      </w:r>
      <w:r>
        <w:rPr>
          <w:spacing w:val="80"/>
          <w:sz w:val="24"/>
        </w:rPr>
        <w:t> </w:t>
      </w:r>
      <w:r>
        <w:rPr>
          <w:sz w:val="24"/>
        </w:rPr>
        <w:t>calculations</w:t>
      </w:r>
      <w:r>
        <w:rPr>
          <w:spacing w:val="80"/>
          <w:sz w:val="24"/>
        </w:rPr>
        <w:t> </w:t>
      </w:r>
      <w:r>
        <w:rPr>
          <w:sz w:val="24"/>
        </w:rPr>
        <w:t>by</w:t>
      </w:r>
      <w:r>
        <w:rPr>
          <w:spacing w:val="80"/>
          <w:sz w:val="24"/>
        </w:rPr>
        <w:t> </w:t>
      </w:r>
      <w:r>
        <w:rPr>
          <w:sz w:val="24"/>
        </w:rPr>
        <w:t>triangulation method.</w:t>
      </w:r>
    </w:p>
    <w:p>
      <w:pPr>
        <w:pStyle w:val="BodyText"/>
        <w:spacing w:before="61"/>
        <w:ind w:left="777" w:firstLine="384"/>
        <w:jc w:val="left"/>
      </w:pPr>
      <w:r>
        <w:rPr/>
        <w:t>Please</w:t>
      </w:r>
      <w:r>
        <w:rPr>
          <w:spacing w:val="80"/>
        </w:rPr>
        <w:t> </w:t>
      </w:r>
      <w:r>
        <w:rPr/>
        <w:t>approve</w:t>
      </w:r>
      <w:r>
        <w:rPr>
          <w:spacing w:val="79"/>
        </w:rPr>
        <w:t> </w:t>
      </w:r>
      <w:r>
        <w:rPr/>
        <w:t>the</w:t>
      </w:r>
      <w:r>
        <w:rPr>
          <w:spacing w:val="80"/>
        </w:rPr>
        <w:t> </w:t>
      </w:r>
      <w:r>
        <w:rPr/>
        <w:t>proposed</w:t>
      </w:r>
      <w:r>
        <w:rPr>
          <w:spacing w:val="80"/>
        </w:rPr>
        <w:t> </w:t>
      </w:r>
      <w:r>
        <w:rPr/>
        <w:t>development/construction</w:t>
      </w:r>
      <w:r>
        <w:rPr>
          <w:spacing w:val="80"/>
        </w:rPr>
        <w:t> </w:t>
      </w:r>
      <w:r>
        <w:rPr/>
        <w:t>and</w:t>
      </w:r>
      <w:r>
        <w:rPr>
          <w:spacing w:val="80"/>
        </w:rPr>
        <w:t> </w:t>
      </w:r>
      <w:r>
        <w:rPr/>
        <w:t>permit</w:t>
      </w:r>
      <w:r>
        <w:rPr>
          <w:spacing w:val="80"/>
        </w:rPr>
        <w:t> </w:t>
      </w:r>
      <w:r>
        <w:rPr/>
        <w:t>me</w:t>
      </w:r>
      <w:r>
        <w:rPr>
          <w:spacing w:val="40"/>
        </w:rPr>
        <w:t> </w:t>
      </w:r>
      <w:r>
        <w:rPr/>
        <w:t>to execute the work.</w:t>
      </w:r>
    </w:p>
    <w:p>
      <w:pPr>
        <w:pStyle w:val="BodyText"/>
        <w:spacing w:before="240"/>
        <w:jc w:val="left"/>
      </w:pPr>
    </w:p>
    <w:p>
      <w:pPr>
        <w:pStyle w:val="BodyText"/>
        <w:ind w:left="6615"/>
        <w:jc w:val="left"/>
      </w:pPr>
      <w:r>
        <w:rPr/>
        <w:t>Yours </w:t>
      </w:r>
      <w:r>
        <w:rPr>
          <w:spacing w:val="-2"/>
        </w:rPr>
        <w:t>faithfully,</w:t>
      </w:r>
    </w:p>
    <w:p>
      <w:pPr>
        <w:pStyle w:val="BodyText"/>
        <w:tabs>
          <w:tab w:pos="5613" w:val="left" w:leader="none"/>
        </w:tabs>
        <w:spacing w:before="239"/>
        <w:ind w:left="777"/>
        <w:jc w:val="left"/>
      </w:pPr>
      <w:r>
        <w:rPr/>
        <w:t>Date: </w:t>
      </w:r>
      <w:r>
        <w:rPr>
          <w:spacing w:val="-2"/>
        </w:rPr>
        <w:t>…………………….</w:t>
      </w:r>
      <w:r>
        <w:rPr/>
        <w:tab/>
        <w:t>Signature</w:t>
      </w:r>
      <w:r>
        <w:rPr>
          <w:spacing w:val="-3"/>
        </w:rPr>
        <w:t> </w:t>
      </w:r>
      <w:r>
        <w:rPr/>
        <w:t>of Owner -------------------------</w:t>
      </w:r>
      <w:r>
        <w:rPr>
          <w:spacing w:val="-10"/>
        </w:rPr>
        <w:t>-</w:t>
      </w:r>
    </w:p>
    <w:p>
      <w:pPr>
        <w:pStyle w:val="BodyText"/>
        <w:spacing w:before="1"/>
        <w:jc w:val="left"/>
        <w:rPr>
          <w:sz w:val="12"/>
        </w:rPr>
      </w:pPr>
      <w:r>
        <w:rPr>
          <w:sz w:val="12"/>
        </w:rPr>
        <mc:AlternateContent>
          <mc:Choice Requires="wps">
            <w:drawing>
              <wp:anchor distT="0" distB="0" distL="0" distR="0" allowOverlap="1" layoutInCell="1" locked="0" behindDoc="1" simplePos="0" relativeHeight="487610880">
                <wp:simplePos x="0" y="0"/>
                <wp:positionH relativeFrom="page">
                  <wp:posOffset>722376</wp:posOffset>
                </wp:positionH>
                <wp:positionV relativeFrom="paragraph">
                  <wp:posOffset>105618</wp:posOffset>
                </wp:positionV>
                <wp:extent cx="1280160" cy="1270"/>
                <wp:effectExtent l="0" t="0" r="0" b="0"/>
                <wp:wrapTopAndBottom/>
                <wp:docPr id="609" name="Graphic 609"/>
                <wp:cNvGraphicFramePr>
                  <a:graphicFrameLocks/>
                </wp:cNvGraphicFramePr>
                <a:graphic>
                  <a:graphicData uri="http://schemas.microsoft.com/office/word/2010/wordprocessingShape">
                    <wps:wsp>
                      <wps:cNvPr id="609" name="Graphic 609"/>
                      <wps:cNvSpPr/>
                      <wps:spPr>
                        <a:xfrm>
                          <a:off x="0" y="0"/>
                          <a:ext cx="1280160" cy="1270"/>
                        </a:xfrm>
                        <a:custGeom>
                          <a:avLst/>
                          <a:gdLst/>
                          <a:ahLst/>
                          <a:cxnLst/>
                          <a:rect l="l" t="t" r="r" b="b"/>
                          <a:pathLst>
                            <a:path w="1280160" h="0">
                              <a:moveTo>
                                <a:pt x="0" y="0"/>
                              </a:moveTo>
                              <a:lnTo>
                                <a:pt x="128016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56.880001pt;margin-top:8.31645pt;width:100.8pt;height:.1pt;mso-position-horizontal-relative:page;mso-position-vertical-relative:paragraph;z-index:-15705600;mso-wrap-distance-left:0;mso-wrap-distance-right:0" id="docshape525" coordorigin="1138,166" coordsize="2016,0" path="m1138,166l3154,166e" filled="false" stroked="true" strokeweight=".72pt" strokecolor="#000000">
                <v:path arrowok="t"/>
                <v:stroke dashstyle="dash"/>
                <w10:wrap type="topAndBottom"/>
              </v:shape>
            </w:pict>
          </mc:Fallback>
        </mc:AlternateContent>
      </w:r>
    </w:p>
    <w:p>
      <w:pPr>
        <w:pStyle w:val="BodyText"/>
        <w:spacing w:before="14"/>
        <w:jc w:val="left"/>
        <w:rPr>
          <w:sz w:val="20"/>
        </w:rPr>
      </w:pPr>
    </w:p>
    <w:p>
      <w:pPr>
        <w:pStyle w:val="BodyText"/>
        <w:spacing w:after="0"/>
        <w:jc w:val="left"/>
        <w:rPr>
          <w:sz w:val="20"/>
        </w:rPr>
        <w:sectPr>
          <w:pgSz w:w="11910" w:h="16850"/>
          <w:pgMar w:header="1024" w:footer="1302" w:top="1480" w:bottom="1500" w:left="360" w:right="360"/>
        </w:sectPr>
      </w:pPr>
    </w:p>
    <w:p>
      <w:pPr>
        <w:pStyle w:val="BodyText"/>
        <w:spacing w:before="99"/>
        <w:jc w:val="left"/>
      </w:pPr>
    </w:p>
    <w:p>
      <w:pPr>
        <w:pStyle w:val="BodyText"/>
        <w:ind w:left="777"/>
        <w:jc w:val="left"/>
      </w:pPr>
      <w:r>
        <w:rPr/>
        <mc:AlternateContent>
          <mc:Choice Requires="wps">
            <w:drawing>
              <wp:anchor distT="0" distB="0" distL="0" distR="0" allowOverlap="1" layoutInCell="1" locked="0" behindDoc="0" simplePos="0" relativeHeight="15752192">
                <wp:simplePos x="0" y="0"/>
                <wp:positionH relativeFrom="page">
                  <wp:posOffset>5229733</wp:posOffset>
                </wp:positionH>
                <wp:positionV relativeFrom="paragraph">
                  <wp:posOffset>-72062</wp:posOffset>
                </wp:positionV>
                <wp:extent cx="1643380" cy="1270"/>
                <wp:effectExtent l="0" t="0" r="0" b="0"/>
                <wp:wrapNone/>
                <wp:docPr id="610" name="Graphic 610"/>
                <wp:cNvGraphicFramePr>
                  <a:graphicFrameLocks/>
                </wp:cNvGraphicFramePr>
                <a:graphic>
                  <a:graphicData uri="http://schemas.microsoft.com/office/word/2010/wordprocessingShape">
                    <wps:wsp>
                      <wps:cNvPr id="610" name="Graphic 610"/>
                      <wps:cNvSpPr/>
                      <wps:spPr>
                        <a:xfrm>
                          <a:off x="0" y="0"/>
                          <a:ext cx="1643380" cy="1270"/>
                        </a:xfrm>
                        <a:custGeom>
                          <a:avLst/>
                          <a:gdLst/>
                          <a:ahLst/>
                          <a:cxnLst/>
                          <a:rect l="l" t="t" r="r" b="b"/>
                          <a:pathLst>
                            <a:path w="1643380" h="0">
                              <a:moveTo>
                                <a:pt x="0" y="0"/>
                              </a:moveTo>
                              <a:lnTo>
                                <a:pt x="1642857" y="0"/>
                              </a:lnTo>
                            </a:path>
                          </a:pathLst>
                        </a:custGeom>
                        <a:ln w="9144">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411.790009pt,-5.674215pt" to="541.148843pt,-5.674215pt" stroked="true" strokeweight=".72pt" strokecolor="#000000">
                <v:stroke dashstyle="shortdash"/>
                <w10:wrap type="none"/>
              </v:line>
            </w:pict>
          </mc:Fallback>
        </mc:AlternateContent>
      </w:r>
      <w:r>
        <w:rPr/>
        <mc:AlternateContent>
          <mc:Choice Requires="wps">
            <w:drawing>
              <wp:anchor distT="0" distB="0" distL="0" distR="0" allowOverlap="1" layoutInCell="1" locked="0" behindDoc="0" simplePos="0" relativeHeight="15752704">
                <wp:simplePos x="0" y="0"/>
                <wp:positionH relativeFrom="page">
                  <wp:posOffset>5226684</wp:posOffset>
                </wp:positionH>
                <wp:positionV relativeFrom="paragraph">
                  <wp:posOffset>438477</wp:posOffset>
                </wp:positionV>
                <wp:extent cx="1645920" cy="1270"/>
                <wp:effectExtent l="0" t="0" r="0" b="0"/>
                <wp:wrapNone/>
                <wp:docPr id="611" name="Graphic 611"/>
                <wp:cNvGraphicFramePr>
                  <a:graphicFrameLocks/>
                </wp:cNvGraphicFramePr>
                <a:graphic>
                  <a:graphicData uri="http://schemas.microsoft.com/office/word/2010/wordprocessingShape">
                    <wps:wsp>
                      <wps:cNvPr id="611" name="Graphic 611"/>
                      <wps:cNvSpPr/>
                      <wps:spPr>
                        <a:xfrm>
                          <a:off x="0" y="0"/>
                          <a:ext cx="1645920" cy="1270"/>
                        </a:xfrm>
                        <a:custGeom>
                          <a:avLst/>
                          <a:gdLst/>
                          <a:ahLst/>
                          <a:cxnLst/>
                          <a:rect l="l" t="t" r="r" b="b"/>
                          <a:pathLst>
                            <a:path w="1645920" h="0">
                              <a:moveTo>
                                <a:pt x="0" y="0"/>
                              </a:moveTo>
                              <a:lnTo>
                                <a:pt x="1645752" y="0"/>
                              </a:lnTo>
                            </a:path>
                          </a:pathLst>
                        </a:custGeom>
                        <a:ln w="9144">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704" from="411.549988pt,34.525768pt" to="541.136822pt,34.525768pt" stroked="true" strokeweight=".72pt" strokecolor="#000000">
                <v:stroke dashstyle="shortdash"/>
                <w10:wrap type="none"/>
              </v:line>
            </w:pict>
          </mc:Fallback>
        </mc:AlternateContent>
      </w:r>
      <w:r>
        <w:rPr/>
        <mc:AlternateContent>
          <mc:Choice Requires="wps">
            <w:drawing>
              <wp:anchor distT="0" distB="0" distL="0" distR="0" allowOverlap="1" layoutInCell="1" locked="0" behindDoc="0" simplePos="0" relativeHeight="15753216">
                <wp:simplePos x="0" y="0"/>
                <wp:positionH relativeFrom="page">
                  <wp:posOffset>722376</wp:posOffset>
                </wp:positionH>
                <wp:positionV relativeFrom="paragraph">
                  <wp:posOffset>617039</wp:posOffset>
                </wp:positionV>
                <wp:extent cx="1158240" cy="1270"/>
                <wp:effectExtent l="0" t="0" r="0" b="0"/>
                <wp:wrapNone/>
                <wp:docPr id="612" name="Graphic 612"/>
                <wp:cNvGraphicFramePr>
                  <a:graphicFrameLocks/>
                </wp:cNvGraphicFramePr>
                <a:graphic>
                  <a:graphicData uri="http://schemas.microsoft.com/office/word/2010/wordprocessingShape">
                    <wps:wsp>
                      <wps:cNvPr id="612" name="Graphic 612"/>
                      <wps:cNvSpPr/>
                      <wps:spPr>
                        <a:xfrm>
                          <a:off x="0" y="0"/>
                          <a:ext cx="1158240" cy="1270"/>
                        </a:xfrm>
                        <a:custGeom>
                          <a:avLst/>
                          <a:gdLst/>
                          <a:ahLst/>
                          <a:cxnLst/>
                          <a:rect l="l" t="t" r="r" b="b"/>
                          <a:pathLst>
                            <a:path w="1158240" h="0">
                              <a:moveTo>
                                <a:pt x="0" y="0"/>
                              </a:moveTo>
                              <a:lnTo>
                                <a:pt x="115824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216" from="56.880001pt,48.585766pt" to="148.080005pt,48.585766pt" stroked="true" strokeweight=".72pt" strokecolor="#000000">
                <v:stroke dashstyle="dash"/>
                <w10:wrap type="none"/>
              </v:line>
            </w:pict>
          </mc:Fallback>
        </mc:AlternateContent>
      </w:r>
      <w:r>
        <w:rPr/>
        <w:t>--</w:t>
      </w:r>
      <w:r>
        <w:rPr>
          <w:spacing w:val="-4"/>
        </w:rPr>
        <w:t> </w:t>
      </w:r>
      <w:r>
        <w:rPr/>
        <w:t>(in</w:t>
      </w:r>
      <w:r>
        <w:rPr>
          <w:spacing w:val="-2"/>
        </w:rPr>
        <w:t> </w:t>
      </w:r>
      <w:r>
        <w:rPr/>
        <w:t>block</w:t>
      </w:r>
      <w:r>
        <w:rPr>
          <w:spacing w:val="-2"/>
        </w:rPr>
        <w:t> letters)</w:t>
      </w:r>
    </w:p>
    <w:p>
      <w:pPr>
        <w:pStyle w:val="BodyText"/>
        <w:spacing w:line="684" w:lineRule="auto" w:before="100"/>
        <w:ind w:left="777" w:right="3561"/>
        <w:jc w:val="left"/>
      </w:pPr>
      <w:r>
        <w:rPr/>
        <w:br w:type="column"/>
      </w:r>
      <w:r>
        <w:rPr/>
        <w:t>Name of Owner Address</w:t>
      </w:r>
      <w:r>
        <w:rPr>
          <w:spacing w:val="-13"/>
        </w:rPr>
        <w:t> </w:t>
      </w:r>
      <w:r>
        <w:rPr/>
        <w:t>of</w:t>
      </w:r>
      <w:r>
        <w:rPr>
          <w:spacing w:val="-13"/>
        </w:rPr>
        <w:t> </w:t>
      </w:r>
      <w:r>
        <w:rPr/>
        <w:t>Owner</w:t>
      </w:r>
    </w:p>
    <w:p>
      <w:pPr>
        <w:pStyle w:val="BodyText"/>
        <w:spacing w:after="0" w:line="684" w:lineRule="auto"/>
        <w:jc w:val="left"/>
        <w:sectPr>
          <w:type w:val="continuous"/>
          <w:pgSz w:w="11910" w:h="16850"/>
          <w:pgMar w:header="1024" w:footer="1302" w:top="1360" w:bottom="280" w:left="360" w:right="360"/>
          <w:cols w:num="2" w:equalWidth="0">
            <w:col w:w="2979" w:space="1784"/>
            <w:col w:w="6427"/>
          </w:cols>
        </w:sectPr>
      </w:pPr>
    </w:p>
    <w:p>
      <w:pPr>
        <w:pStyle w:val="BodyText"/>
        <w:jc w:val="left"/>
      </w:pPr>
    </w:p>
    <w:p>
      <w:pPr>
        <w:pStyle w:val="BodyText"/>
        <w:spacing w:before="233"/>
        <w:jc w:val="left"/>
      </w:pPr>
    </w:p>
    <w:p>
      <w:pPr>
        <w:pStyle w:val="Heading5"/>
        <w:spacing w:line="343" w:lineRule="auto"/>
        <w:ind w:left="4311" w:right="4310"/>
        <w:jc w:val="center"/>
      </w:pPr>
      <w:r>
        <w:rPr/>
        <w:t>Appendix III Regulation</w:t>
      </w:r>
      <w:r>
        <w:rPr>
          <w:spacing w:val="-18"/>
        </w:rPr>
        <w:t> </w:t>
      </w:r>
      <w:r>
        <w:rPr/>
        <w:t>NO</w:t>
      </w:r>
      <w:r>
        <w:rPr>
          <w:spacing w:val="-18"/>
        </w:rPr>
        <w:t> </w:t>
      </w:r>
      <w:r>
        <w:rPr/>
        <w:t>59</w:t>
      </w:r>
    </w:p>
    <w:p>
      <w:pPr>
        <w:spacing w:line="220" w:lineRule="exact" w:before="0"/>
        <w:ind w:left="0" w:right="138" w:firstLine="0"/>
        <w:jc w:val="center"/>
        <w:rPr>
          <w:i/>
          <w:sz w:val="24"/>
        </w:rPr>
      </w:pPr>
      <w:r>
        <w:rPr>
          <w:i/>
          <w:sz w:val="24"/>
        </w:rPr>
        <w:t>Table.List</w:t>
      </w:r>
      <w:r>
        <w:rPr>
          <w:i/>
          <w:spacing w:val="8"/>
          <w:sz w:val="24"/>
        </w:rPr>
        <w:t> </w:t>
      </w:r>
      <w:r>
        <w:rPr>
          <w:i/>
          <w:sz w:val="24"/>
        </w:rPr>
        <w:t>of</w:t>
      </w:r>
      <w:r>
        <w:rPr>
          <w:i/>
          <w:spacing w:val="23"/>
          <w:sz w:val="24"/>
        </w:rPr>
        <w:t> </w:t>
      </w:r>
      <w:r>
        <w:rPr>
          <w:i/>
          <w:sz w:val="24"/>
        </w:rPr>
        <w:t>special</w:t>
      </w:r>
      <w:r>
        <w:rPr>
          <w:i/>
          <w:spacing w:val="17"/>
          <w:sz w:val="24"/>
        </w:rPr>
        <w:t> </w:t>
      </w:r>
      <w:r>
        <w:rPr>
          <w:i/>
          <w:sz w:val="24"/>
        </w:rPr>
        <w:t>purpose</w:t>
      </w:r>
      <w:r>
        <w:rPr>
          <w:i/>
          <w:spacing w:val="15"/>
          <w:sz w:val="24"/>
        </w:rPr>
        <w:t> </w:t>
      </w:r>
      <w:r>
        <w:rPr>
          <w:i/>
          <w:spacing w:val="-4"/>
          <w:sz w:val="24"/>
        </w:rPr>
        <w:t>NOCs.</w:t>
      </w:r>
    </w:p>
    <w:p>
      <w:pPr>
        <w:pStyle w:val="BodyText"/>
        <w:spacing w:before="7"/>
        <w:jc w:val="left"/>
        <w:rPr>
          <w:i/>
          <w:sz w:val="20"/>
        </w:rPr>
      </w:pPr>
    </w:p>
    <w:tbl>
      <w:tblPr>
        <w:tblW w:w="0" w:type="auto"/>
        <w:jc w:val="left"/>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5"/>
        <w:gridCol w:w="2148"/>
        <w:gridCol w:w="6077"/>
      </w:tblGrid>
      <w:tr>
        <w:trPr>
          <w:trHeight w:val="472" w:hRule="atLeast"/>
        </w:trPr>
        <w:tc>
          <w:tcPr>
            <w:tcW w:w="1015" w:type="dxa"/>
          </w:tcPr>
          <w:p>
            <w:pPr>
              <w:pStyle w:val="TableParagraph"/>
              <w:spacing w:before="95"/>
              <w:ind w:left="177"/>
              <w:rPr>
                <w:sz w:val="24"/>
              </w:rPr>
            </w:pPr>
            <w:r>
              <w:rPr>
                <w:spacing w:val="-2"/>
                <w:sz w:val="24"/>
              </w:rPr>
              <w:t>Sr.No.</w:t>
            </w:r>
          </w:p>
        </w:tc>
        <w:tc>
          <w:tcPr>
            <w:tcW w:w="2148" w:type="dxa"/>
          </w:tcPr>
          <w:p>
            <w:pPr>
              <w:pStyle w:val="TableParagraph"/>
              <w:spacing w:before="95"/>
              <w:ind w:left="177"/>
              <w:rPr>
                <w:sz w:val="24"/>
              </w:rPr>
            </w:pPr>
            <w:r>
              <w:rPr>
                <w:spacing w:val="-2"/>
                <w:sz w:val="24"/>
              </w:rPr>
              <w:t>Authority</w:t>
            </w:r>
          </w:p>
        </w:tc>
        <w:tc>
          <w:tcPr>
            <w:tcW w:w="6077" w:type="dxa"/>
          </w:tcPr>
          <w:p>
            <w:pPr>
              <w:pStyle w:val="TableParagraph"/>
              <w:spacing w:before="95"/>
              <w:ind w:left="3488"/>
              <w:rPr>
                <w:sz w:val="24"/>
              </w:rPr>
            </w:pPr>
            <w:r>
              <w:rPr>
                <w:spacing w:val="-2"/>
                <w:sz w:val="24"/>
              </w:rPr>
              <w:t>Location</w:t>
            </w:r>
          </w:p>
        </w:tc>
      </w:tr>
      <w:tr>
        <w:trPr>
          <w:trHeight w:val="755" w:hRule="atLeast"/>
        </w:trPr>
        <w:tc>
          <w:tcPr>
            <w:tcW w:w="1015" w:type="dxa"/>
          </w:tcPr>
          <w:p>
            <w:pPr>
              <w:pStyle w:val="TableParagraph"/>
              <w:spacing w:before="95"/>
              <w:ind w:left="177"/>
              <w:rPr>
                <w:sz w:val="24"/>
              </w:rPr>
            </w:pPr>
            <w:r>
              <w:rPr>
                <w:spacing w:val="-10"/>
                <w:sz w:val="24"/>
              </w:rPr>
              <w:t>1</w:t>
            </w:r>
          </w:p>
        </w:tc>
        <w:tc>
          <w:tcPr>
            <w:tcW w:w="2148" w:type="dxa"/>
          </w:tcPr>
          <w:p>
            <w:pPr>
              <w:pStyle w:val="TableParagraph"/>
              <w:spacing w:before="95"/>
              <w:ind w:left="177"/>
              <w:rPr>
                <w:sz w:val="24"/>
              </w:rPr>
            </w:pPr>
            <w:r>
              <w:rPr>
                <w:spacing w:val="-2"/>
                <w:sz w:val="24"/>
              </w:rPr>
              <w:t>Airport</w:t>
            </w:r>
          </w:p>
        </w:tc>
        <w:tc>
          <w:tcPr>
            <w:tcW w:w="6077" w:type="dxa"/>
          </w:tcPr>
          <w:p>
            <w:pPr>
              <w:pStyle w:val="TableParagraph"/>
              <w:spacing w:before="95"/>
              <w:ind w:left="178"/>
              <w:rPr>
                <w:sz w:val="24"/>
              </w:rPr>
            </w:pPr>
            <w:r>
              <w:rPr>
                <w:sz w:val="24"/>
              </w:rPr>
              <w:t>For height of buildings as per the provisions </w:t>
            </w:r>
            <w:r>
              <w:rPr>
                <w:sz w:val="24"/>
              </w:rPr>
              <w:t>of</w:t>
            </w:r>
            <w:r>
              <w:rPr>
                <w:spacing w:val="80"/>
                <w:sz w:val="24"/>
              </w:rPr>
              <w:t> </w:t>
            </w:r>
            <w:r>
              <w:rPr>
                <w:sz w:val="24"/>
              </w:rPr>
              <w:t>Regulation No 45(f)</w:t>
            </w:r>
          </w:p>
        </w:tc>
      </w:tr>
      <w:tr>
        <w:trPr>
          <w:trHeight w:val="475" w:hRule="atLeast"/>
        </w:trPr>
        <w:tc>
          <w:tcPr>
            <w:tcW w:w="1015" w:type="dxa"/>
          </w:tcPr>
          <w:p>
            <w:pPr>
              <w:pStyle w:val="TableParagraph"/>
              <w:spacing w:before="95"/>
              <w:ind w:left="177"/>
              <w:rPr>
                <w:sz w:val="24"/>
              </w:rPr>
            </w:pPr>
            <w:r>
              <w:rPr>
                <w:spacing w:val="-10"/>
                <w:sz w:val="24"/>
              </w:rPr>
              <w:t>2</w:t>
            </w:r>
          </w:p>
        </w:tc>
        <w:tc>
          <w:tcPr>
            <w:tcW w:w="2148" w:type="dxa"/>
          </w:tcPr>
          <w:p>
            <w:pPr>
              <w:pStyle w:val="TableParagraph"/>
              <w:spacing w:before="95"/>
              <w:ind w:left="177"/>
              <w:rPr>
                <w:sz w:val="24"/>
              </w:rPr>
            </w:pPr>
            <w:r>
              <w:rPr>
                <w:spacing w:val="-2"/>
                <w:sz w:val="24"/>
              </w:rPr>
              <w:t>Police</w:t>
            </w:r>
          </w:p>
        </w:tc>
        <w:tc>
          <w:tcPr>
            <w:tcW w:w="6077" w:type="dxa"/>
          </w:tcPr>
          <w:p>
            <w:pPr>
              <w:pStyle w:val="TableParagraph"/>
              <w:spacing w:before="95"/>
              <w:ind w:left="178"/>
              <w:rPr>
                <w:sz w:val="24"/>
              </w:rPr>
            </w:pPr>
            <w:r>
              <w:rPr>
                <w:sz w:val="24"/>
              </w:rPr>
              <w:t>For</w:t>
            </w:r>
            <w:r>
              <w:rPr>
                <w:spacing w:val="-3"/>
                <w:sz w:val="24"/>
              </w:rPr>
              <w:t> </w:t>
            </w:r>
            <w:r>
              <w:rPr>
                <w:sz w:val="24"/>
              </w:rPr>
              <w:t>Construction</w:t>
            </w:r>
            <w:r>
              <w:rPr>
                <w:spacing w:val="-3"/>
                <w:sz w:val="24"/>
              </w:rPr>
              <w:t> </w:t>
            </w:r>
            <w:r>
              <w:rPr>
                <w:sz w:val="24"/>
              </w:rPr>
              <w:t>of</w:t>
            </w:r>
            <w:r>
              <w:rPr>
                <w:spacing w:val="-3"/>
                <w:sz w:val="24"/>
              </w:rPr>
              <w:t> </w:t>
            </w:r>
            <w:r>
              <w:rPr>
                <w:sz w:val="24"/>
              </w:rPr>
              <w:t>Religious</w:t>
            </w:r>
            <w:r>
              <w:rPr>
                <w:spacing w:val="-2"/>
                <w:sz w:val="24"/>
              </w:rPr>
              <w:t> Structures</w:t>
            </w:r>
          </w:p>
        </w:tc>
      </w:tr>
      <w:tr>
        <w:trPr>
          <w:trHeight w:val="755" w:hRule="atLeast"/>
        </w:trPr>
        <w:tc>
          <w:tcPr>
            <w:tcW w:w="1015" w:type="dxa"/>
          </w:tcPr>
          <w:p>
            <w:pPr>
              <w:pStyle w:val="TableParagraph"/>
              <w:spacing w:before="95"/>
              <w:ind w:left="177"/>
              <w:rPr>
                <w:sz w:val="24"/>
              </w:rPr>
            </w:pPr>
            <w:r>
              <w:rPr>
                <w:spacing w:val="-10"/>
                <w:sz w:val="24"/>
              </w:rPr>
              <w:t>3</w:t>
            </w:r>
          </w:p>
        </w:tc>
        <w:tc>
          <w:tcPr>
            <w:tcW w:w="2148" w:type="dxa"/>
          </w:tcPr>
          <w:p>
            <w:pPr>
              <w:pStyle w:val="TableParagraph"/>
              <w:spacing w:before="95"/>
              <w:ind w:left="177"/>
              <w:rPr>
                <w:sz w:val="24"/>
              </w:rPr>
            </w:pPr>
            <w:r>
              <w:rPr>
                <w:sz w:val="24"/>
              </w:rPr>
              <w:t>Jail </w:t>
            </w:r>
            <w:r>
              <w:rPr>
                <w:spacing w:val="-2"/>
                <w:sz w:val="24"/>
              </w:rPr>
              <w:t>Authority</w:t>
            </w:r>
          </w:p>
        </w:tc>
        <w:tc>
          <w:tcPr>
            <w:tcW w:w="6077" w:type="dxa"/>
          </w:tcPr>
          <w:p>
            <w:pPr>
              <w:pStyle w:val="TableParagraph"/>
              <w:spacing w:before="95"/>
              <w:ind w:left="178"/>
              <w:rPr>
                <w:sz w:val="24"/>
              </w:rPr>
            </w:pPr>
            <w:r>
              <w:rPr>
                <w:sz w:val="24"/>
              </w:rPr>
              <w:t>Required</w:t>
            </w:r>
            <w:r>
              <w:rPr>
                <w:spacing w:val="40"/>
                <w:sz w:val="24"/>
              </w:rPr>
              <w:t> </w:t>
            </w:r>
            <w:r>
              <w:rPr>
                <w:sz w:val="24"/>
              </w:rPr>
              <w:t>by</w:t>
            </w:r>
            <w:r>
              <w:rPr>
                <w:spacing w:val="40"/>
                <w:sz w:val="24"/>
              </w:rPr>
              <w:t> </w:t>
            </w:r>
            <w:r>
              <w:rPr>
                <w:sz w:val="24"/>
              </w:rPr>
              <w:t>the</w:t>
            </w:r>
            <w:r>
              <w:rPr>
                <w:spacing w:val="40"/>
                <w:sz w:val="24"/>
              </w:rPr>
              <w:t> </w:t>
            </w:r>
            <w:r>
              <w:rPr>
                <w:sz w:val="24"/>
              </w:rPr>
              <w:t>Competent</w:t>
            </w:r>
            <w:r>
              <w:rPr>
                <w:spacing w:val="40"/>
                <w:sz w:val="24"/>
              </w:rPr>
              <w:t> </w:t>
            </w:r>
            <w:r>
              <w:rPr>
                <w:sz w:val="24"/>
              </w:rPr>
              <w:t>Authority</w:t>
            </w:r>
            <w:r>
              <w:rPr>
                <w:spacing w:val="40"/>
                <w:sz w:val="24"/>
              </w:rPr>
              <w:t> </w:t>
            </w:r>
            <w:r>
              <w:rPr>
                <w:sz w:val="24"/>
              </w:rPr>
              <w:t>and</w:t>
            </w:r>
            <w:r>
              <w:rPr>
                <w:spacing w:val="40"/>
                <w:sz w:val="24"/>
              </w:rPr>
              <w:t> </w:t>
            </w:r>
            <w:r>
              <w:rPr>
                <w:sz w:val="24"/>
              </w:rPr>
              <w:t>as</w:t>
            </w:r>
            <w:r>
              <w:rPr>
                <w:spacing w:val="80"/>
                <w:sz w:val="24"/>
              </w:rPr>
              <w:t> </w:t>
            </w:r>
            <w:r>
              <w:rPr>
                <w:sz w:val="24"/>
              </w:rPr>
              <w:t>notified</w:t>
            </w:r>
            <w:r>
              <w:rPr>
                <w:spacing w:val="-14"/>
                <w:sz w:val="24"/>
              </w:rPr>
              <w:t> </w:t>
            </w:r>
            <w:r>
              <w:rPr>
                <w:sz w:val="24"/>
              </w:rPr>
              <w:t>by</w:t>
            </w:r>
            <w:r>
              <w:rPr>
                <w:spacing w:val="-14"/>
                <w:sz w:val="24"/>
              </w:rPr>
              <w:t> </w:t>
            </w:r>
            <w:r>
              <w:rPr>
                <w:sz w:val="24"/>
              </w:rPr>
              <w:t>Urban</w:t>
            </w:r>
            <w:r>
              <w:rPr>
                <w:spacing w:val="-14"/>
                <w:sz w:val="24"/>
              </w:rPr>
              <w:t> </w:t>
            </w:r>
            <w:r>
              <w:rPr>
                <w:sz w:val="24"/>
              </w:rPr>
              <w:t>Development</w:t>
            </w:r>
            <w:r>
              <w:rPr>
                <w:spacing w:val="-12"/>
                <w:sz w:val="24"/>
              </w:rPr>
              <w:t> </w:t>
            </w:r>
            <w:r>
              <w:rPr>
                <w:sz w:val="24"/>
              </w:rPr>
              <w:t>Department,</w:t>
            </w:r>
            <w:r>
              <w:rPr>
                <w:spacing w:val="-12"/>
                <w:sz w:val="24"/>
              </w:rPr>
              <w:t> </w:t>
            </w:r>
            <w:r>
              <w:rPr>
                <w:sz w:val="24"/>
              </w:rPr>
              <w:t>GoM</w:t>
            </w:r>
          </w:p>
        </w:tc>
      </w:tr>
      <w:tr>
        <w:trPr>
          <w:trHeight w:val="755" w:hRule="atLeast"/>
        </w:trPr>
        <w:tc>
          <w:tcPr>
            <w:tcW w:w="1015" w:type="dxa"/>
          </w:tcPr>
          <w:p>
            <w:pPr>
              <w:pStyle w:val="TableParagraph"/>
              <w:spacing w:before="95"/>
              <w:ind w:left="177"/>
              <w:rPr>
                <w:sz w:val="24"/>
              </w:rPr>
            </w:pPr>
            <w:r>
              <w:rPr>
                <w:spacing w:val="-10"/>
                <w:sz w:val="24"/>
              </w:rPr>
              <w:t>4</w:t>
            </w:r>
          </w:p>
        </w:tc>
        <w:tc>
          <w:tcPr>
            <w:tcW w:w="2148" w:type="dxa"/>
          </w:tcPr>
          <w:p>
            <w:pPr>
              <w:pStyle w:val="TableParagraph"/>
              <w:spacing w:before="95"/>
              <w:ind w:left="177"/>
              <w:rPr>
                <w:sz w:val="24"/>
              </w:rPr>
            </w:pPr>
            <w:r>
              <w:rPr>
                <w:spacing w:val="-2"/>
                <w:sz w:val="24"/>
              </w:rPr>
              <w:t>Railway</w:t>
            </w:r>
          </w:p>
        </w:tc>
        <w:tc>
          <w:tcPr>
            <w:tcW w:w="6077" w:type="dxa"/>
          </w:tcPr>
          <w:p>
            <w:pPr>
              <w:pStyle w:val="TableParagraph"/>
              <w:tabs>
                <w:tab w:pos="664" w:val="left" w:leader="none"/>
                <w:tab w:pos="1945" w:val="left" w:leader="none"/>
                <w:tab w:pos="3010" w:val="left" w:leader="none"/>
                <w:tab w:pos="3634" w:val="left" w:leader="none"/>
                <w:tab w:pos="4186" w:val="left" w:leader="none"/>
                <w:tab w:pos="5057" w:val="left" w:leader="none"/>
              </w:tabs>
              <w:spacing w:before="95"/>
              <w:ind w:left="178" w:right="95"/>
              <w:rPr>
                <w:sz w:val="24"/>
              </w:rPr>
            </w:pPr>
            <w:r>
              <w:rPr>
                <w:spacing w:val="-6"/>
                <w:sz w:val="24"/>
              </w:rPr>
              <w:t>If</w:t>
            </w:r>
            <w:r>
              <w:rPr>
                <w:sz w:val="24"/>
              </w:rPr>
              <w:tab/>
            </w:r>
            <w:r>
              <w:rPr>
                <w:spacing w:val="-2"/>
                <w:sz w:val="24"/>
              </w:rPr>
              <w:t>situated</w:t>
            </w:r>
            <w:r>
              <w:rPr>
                <w:sz w:val="24"/>
              </w:rPr>
              <w:tab/>
            </w:r>
            <w:r>
              <w:rPr>
                <w:spacing w:val="-2"/>
                <w:sz w:val="24"/>
              </w:rPr>
              <w:t>within</w:t>
            </w:r>
            <w:r>
              <w:rPr>
                <w:sz w:val="24"/>
              </w:rPr>
              <w:tab/>
            </w:r>
            <w:r>
              <w:rPr>
                <w:spacing w:val="-6"/>
                <w:sz w:val="24"/>
              </w:rPr>
              <w:t>30</w:t>
            </w:r>
            <w:r>
              <w:rPr>
                <w:sz w:val="24"/>
              </w:rPr>
              <w:tab/>
            </w:r>
            <w:r>
              <w:rPr>
                <w:spacing w:val="-10"/>
                <w:sz w:val="24"/>
              </w:rPr>
              <w:t>m</w:t>
            </w:r>
            <w:r>
              <w:rPr>
                <w:sz w:val="24"/>
              </w:rPr>
              <w:tab/>
            </w:r>
            <w:r>
              <w:rPr>
                <w:spacing w:val="-4"/>
                <w:sz w:val="24"/>
              </w:rPr>
              <w:t>from</w:t>
            </w:r>
            <w:r>
              <w:rPr>
                <w:sz w:val="24"/>
              </w:rPr>
              <w:tab/>
            </w:r>
            <w:r>
              <w:rPr>
                <w:spacing w:val="-2"/>
                <w:sz w:val="24"/>
              </w:rPr>
              <w:t>Railway TrackBoundary.</w:t>
            </w:r>
          </w:p>
        </w:tc>
      </w:tr>
      <w:tr>
        <w:trPr>
          <w:trHeight w:val="1036" w:hRule="atLeast"/>
        </w:trPr>
        <w:tc>
          <w:tcPr>
            <w:tcW w:w="1015" w:type="dxa"/>
          </w:tcPr>
          <w:p>
            <w:pPr>
              <w:pStyle w:val="TableParagraph"/>
              <w:spacing w:before="95"/>
              <w:ind w:left="177"/>
              <w:rPr>
                <w:sz w:val="24"/>
              </w:rPr>
            </w:pPr>
            <w:r>
              <w:rPr>
                <w:spacing w:val="-10"/>
                <w:sz w:val="24"/>
              </w:rPr>
              <w:t>5</w:t>
            </w:r>
          </w:p>
        </w:tc>
        <w:tc>
          <w:tcPr>
            <w:tcW w:w="2148" w:type="dxa"/>
          </w:tcPr>
          <w:p>
            <w:pPr>
              <w:pStyle w:val="TableParagraph"/>
              <w:spacing w:before="95"/>
              <w:ind w:left="177"/>
              <w:rPr>
                <w:sz w:val="24"/>
              </w:rPr>
            </w:pPr>
            <w:r>
              <w:rPr>
                <w:spacing w:val="-2"/>
                <w:sz w:val="24"/>
              </w:rPr>
              <w:t>Defence</w:t>
            </w:r>
          </w:p>
        </w:tc>
        <w:tc>
          <w:tcPr>
            <w:tcW w:w="6077" w:type="dxa"/>
          </w:tcPr>
          <w:p>
            <w:pPr>
              <w:pStyle w:val="TableParagraph"/>
              <w:spacing w:before="95"/>
              <w:ind w:left="178" w:right="88"/>
              <w:jc w:val="both"/>
              <w:rPr>
                <w:sz w:val="24"/>
              </w:rPr>
            </w:pPr>
            <w:r>
              <w:rPr>
                <w:spacing w:val="-2"/>
                <w:sz w:val="24"/>
              </w:rPr>
              <w:t>Required</w:t>
            </w:r>
            <w:r>
              <w:rPr>
                <w:spacing w:val="-16"/>
                <w:sz w:val="24"/>
              </w:rPr>
              <w:t> </w:t>
            </w:r>
            <w:r>
              <w:rPr>
                <w:spacing w:val="-2"/>
                <w:sz w:val="24"/>
              </w:rPr>
              <w:t>by</w:t>
            </w:r>
            <w:r>
              <w:rPr>
                <w:spacing w:val="-13"/>
                <w:sz w:val="24"/>
              </w:rPr>
              <w:t> </w:t>
            </w:r>
            <w:r>
              <w:rPr>
                <w:spacing w:val="-2"/>
                <w:sz w:val="24"/>
              </w:rPr>
              <w:t>the</w:t>
            </w:r>
            <w:r>
              <w:rPr>
                <w:spacing w:val="-14"/>
                <w:sz w:val="24"/>
              </w:rPr>
              <w:t> </w:t>
            </w:r>
            <w:r>
              <w:rPr>
                <w:spacing w:val="-2"/>
                <w:sz w:val="24"/>
              </w:rPr>
              <w:t>Defence</w:t>
            </w:r>
            <w:r>
              <w:rPr>
                <w:spacing w:val="-15"/>
                <w:sz w:val="24"/>
              </w:rPr>
              <w:t> </w:t>
            </w:r>
            <w:r>
              <w:rPr>
                <w:spacing w:val="-2"/>
                <w:sz w:val="24"/>
              </w:rPr>
              <w:t>Authority</w:t>
            </w:r>
            <w:r>
              <w:rPr>
                <w:spacing w:val="-16"/>
                <w:sz w:val="24"/>
              </w:rPr>
              <w:t> </w:t>
            </w:r>
            <w:r>
              <w:rPr>
                <w:spacing w:val="-2"/>
                <w:sz w:val="24"/>
              </w:rPr>
              <w:t>around</w:t>
            </w:r>
            <w:r>
              <w:rPr>
                <w:spacing w:val="-16"/>
                <w:sz w:val="24"/>
              </w:rPr>
              <w:t> </w:t>
            </w:r>
            <w:r>
              <w:rPr>
                <w:spacing w:val="-2"/>
                <w:sz w:val="24"/>
              </w:rPr>
              <w:t>defence installation</w:t>
            </w:r>
            <w:r>
              <w:rPr>
                <w:spacing w:val="-11"/>
                <w:sz w:val="24"/>
              </w:rPr>
              <w:t> </w:t>
            </w:r>
            <w:r>
              <w:rPr>
                <w:spacing w:val="-2"/>
                <w:sz w:val="24"/>
              </w:rPr>
              <w:t>and</w:t>
            </w:r>
            <w:r>
              <w:rPr>
                <w:spacing w:val="-11"/>
                <w:sz w:val="24"/>
              </w:rPr>
              <w:t> </w:t>
            </w:r>
            <w:r>
              <w:rPr>
                <w:spacing w:val="-2"/>
                <w:sz w:val="24"/>
              </w:rPr>
              <w:t>as</w:t>
            </w:r>
            <w:r>
              <w:rPr>
                <w:spacing w:val="-11"/>
                <w:sz w:val="24"/>
              </w:rPr>
              <w:t> </w:t>
            </w:r>
            <w:r>
              <w:rPr>
                <w:spacing w:val="-2"/>
                <w:sz w:val="24"/>
              </w:rPr>
              <w:t>notified</w:t>
            </w:r>
            <w:r>
              <w:rPr>
                <w:spacing w:val="-11"/>
                <w:sz w:val="24"/>
              </w:rPr>
              <w:t> </w:t>
            </w:r>
            <w:r>
              <w:rPr>
                <w:spacing w:val="-2"/>
                <w:sz w:val="24"/>
              </w:rPr>
              <w:t>by</w:t>
            </w:r>
            <w:r>
              <w:rPr>
                <w:spacing w:val="-13"/>
                <w:sz w:val="24"/>
              </w:rPr>
              <w:t> </w:t>
            </w:r>
            <w:r>
              <w:rPr>
                <w:spacing w:val="-2"/>
                <w:sz w:val="24"/>
              </w:rPr>
              <w:t>Urban</w:t>
            </w:r>
            <w:r>
              <w:rPr>
                <w:spacing w:val="-11"/>
                <w:sz w:val="24"/>
              </w:rPr>
              <w:t> </w:t>
            </w:r>
            <w:r>
              <w:rPr>
                <w:spacing w:val="-2"/>
                <w:sz w:val="24"/>
              </w:rPr>
              <w:t>Development </w:t>
            </w:r>
            <w:r>
              <w:rPr>
                <w:sz w:val="24"/>
              </w:rPr>
              <w:t>Department, GoM</w:t>
            </w:r>
          </w:p>
        </w:tc>
      </w:tr>
      <w:tr>
        <w:trPr>
          <w:trHeight w:val="1036" w:hRule="atLeast"/>
        </w:trPr>
        <w:tc>
          <w:tcPr>
            <w:tcW w:w="1015" w:type="dxa"/>
          </w:tcPr>
          <w:p>
            <w:pPr>
              <w:pStyle w:val="TableParagraph"/>
              <w:spacing w:before="95"/>
              <w:ind w:left="177"/>
              <w:rPr>
                <w:sz w:val="24"/>
              </w:rPr>
            </w:pPr>
            <w:r>
              <w:rPr>
                <w:spacing w:val="-10"/>
                <w:sz w:val="24"/>
              </w:rPr>
              <w:t>6</w:t>
            </w:r>
          </w:p>
        </w:tc>
        <w:tc>
          <w:tcPr>
            <w:tcW w:w="2148" w:type="dxa"/>
          </w:tcPr>
          <w:p>
            <w:pPr>
              <w:pStyle w:val="TableParagraph"/>
              <w:spacing w:before="95"/>
              <w:ind w:left="177"/>
              <w:rPr>
                <w:sz w:val="24"/>
              </w:rPr>
            </w:pPr>
            <w:r>
              <w:rPr>
                <w:spacing w:val="-4"/>
                <w:sz w:val="24"/>
              </w:rPr>
              <w:t>MHCC</w:t>
            </w:r>
          </w:p>
        </w:tc>
        <w:tc>
          <w:tcPr>
            <w:tcW w:w="6077" w:type="dxa"/>
          </w:tcPr>
          <w:p>
            <w:pPr>
              <w:pStyle w:val="TableParagraph"/>
              <w:spacing w:before="95"/>
              <w:ind w:left="178" w:right="94"/>
              <w:jc w:val="both"/>
              <w:rPr>
                <w:sz w:val="24"/>
              </w:rPr>
            </w:pPr>
            <w:r>
              <w:rPr>
                <w:sz w:val="24"/>
              </w:rPr>
              <w:t>For development related to Heritage Structures and in Heritage Precincts as specified in the Regulation No 52.</w:t>
            </w:r>
          </w:p>
        </w:tc>
      </w:tr>
      <w:tr>
        <w:trPr>
          <w:trHeight w:val="1036" w:hRule="atLeast"/>
        </w:trPr>
        <w:tc>
          <w:tcPr>
            <w:tcW w:w="1015" w:type="dxa"/>
          </w:tcPr>
          <w:p>
            <w:pPr>
              <w:pStyle w:val="TableParagraph"/>
              <w:spacing w:before="95"/>
              <w:ind w:left="177"/>
              <w:rPr>
                <w:sz w:val="24"/>
              </w:rPr>
            </w:pPr>
            <w:r>
              <w:rPr>
                <w:spacing w:val="-10"/>
                <w:sz w:val="24"/>
              </w:rPr>
              <w:t>7</w:t>
            </w:r>
          </w:p>
        </w:tc>
        <w:tc>
          <w:tcPr>
            <w:tcW w:w="2148" w:type="dxa"/>
          </w:tcPr>
          <w:p>
            <w:pPr>
              <w:pStyle w:val="TableParagraph"/>
              <w:spacing w:before="95"/>
              <w:ind w:left="107"/>
              <w:rPr>
                <w:sz w:val="24"/>
              </w:rPr>
            </w:pPr>
            <w:r>
              <w:rPr>
                <w:spacing w:val="-5"/>
                <w:sz w:val="24"/>
              </w:rPr>
              <w:t>ASI</w:t>
            </w:r>
          </w:p>
          <w:p>
            <w:pPr>
              <w:pStyle w:val="TableParagraph"/>
              <w:spacing w:before="1"/>
              <w:ind w:left="107"/>
              <w:rPr>
                <w:sz w:val="24"/>
              </w:rPr>
            </w:pPr>
            <w:r>
              <w:rPr>
                <w:spacing w:val="-2"/>
                <w:sz w:val="24"/>
              </w:rPr>
              <w:t>(Archeological </w:t>
            </w:r>
            <w:r>
              <w:rPr>
                <w:sz w:val="24"/>
              </w:rPr>
              <w:t>Survey</w:t>
            </w:r>
            <w:r>
              <w:rPr>
                <w:spacing w:val="-18"/>
                <w:sz w:val="24"/>
              </w:rPr>
              <w:t> </w:t>
            </w:r>
            <w:r>
              <w:rPr>
                <w:sz w:val="24"/>
              </w:rPr>
              <w:t>of</w:t>
            </w:r>
            <w:r>
              <w:rPr>
                <w:spacing w:val="-18"/>
                <w:sz w:val="24"/>
              </w:rPr>
              <w:t> </w:t>
            </w:r>
            <w:r>
              <w:rPr>
                <w:sz w:val="24"/>
              </w:rPr>
              <w:t>India)</w:t>
            </w:r>
          </w:p>
        </w:tc>
        <w:tc>
          <w:tcPr>
            <w:tcW w:w="6077" w:type="dxa"/>
          </w:tcPr>
          <w:p>
            <w:pPr>
              <w:pStyle w:val="TableParagraph"/>
              <w:spacing w:before="95"/>
              <w:ind w:left="108"/>
              <w:rPr>
                <w:sz w:val="24"/>
              </w:rPr>
            </w:pPr>
            <w:r>
              <w:rPr>
                <w:sz w:val="24"/>
              </w:rPr>
              <w:t>As</w:t>
            </w:r>
            <w:r>
              <w:rPr>
                <w:spacing w:val="-2"/>
                <w:sz w:val="24"/>
              </w:rPr>
              <w:t> </w:t>
            </w:r>
            <w:r>
              <w:rPr>
                <w:sz w:val="24"/>
              </w:rPr>
              <w:t>notified</w:t>
            </w:r>
            <w:r>
              <w:rPr>
                <w:spacing w:val="-1"/>
                <w:sz w:val="24"/>
              </w:rPr>
              <w:t> </w:t>
            </w:r>
            <w:r>
              <w:rPr>
                <w:sz w:val="24"/>
              </w:rPr>
              <w:t>by</w:t>
            </w:r>
            <w:r>
              <w:rPr>
                <w:spacing w:val="-2"/>
                <w:sz w:val="24"/>
              </w:rPr>
              <w:t> </w:t>
            </w:r>
            <w:r>
              <w:rPr>
                <w:sz w:val="24"/>
              </w:rPr>
              <w:t>the</w:t>
            </w:r>
            <w:r>
              <w:rPr>
                <w:spacing w:val="-1"/>
                <w:sz w:val="24"/>
              </w:rPr>
              <w:t> </w:t>
            </w:r>
            <w:r>
              <w:rPr>
                <w:sz w:val="24"/>
              </w:rPr>
              <w:t>Competent</w:t>
            </w:r>
            <w:r>
              <w:rPr>
                <w:spacing w:val="-1"/>
                <w:sz w:val="24"/>
              </w:rPr>
              <w:t> </w:t>
            </w:r>
            <w:r>
              <w:rPr>
                <w:spacing w:val="-2"/>
                <w:sz w:val="24"/>
              </w:rPr>
              <w:t>Authority</w:t>
            </w:r>
          </w:p>
        </w:tc>
      </w:tr>
      <w:tr>
        <w:trPr>
          <w:trHeight w:val="1038" w:hRule="atLeast"/>
        </w:trPr>
        <w:tc>
          <w:tcPr>
            <w:tcW w:w="1015" w:type="dxa"/>
          </w:tcPr>
          <w:p>
            <w:pPr>
              <w:pStyle w:val="TableParagraph"/>
              <w:spacing w:before="97"/>
              <w:ind w:left="261"/>
              <w:rPr>
                <w:sz w:val="24"/>
              </w:rPr>
            </w:pPr>
            <w:r>
              <w:rPr>
                <w:spacing w:val="-10"/>
                <w:sz w:val="24"/>
              </w:rPr>
              <w:t>8</w:t>
            </w:r>
          </w:p>
        </w:tc>
        <w:tc>
          <w:tcPr>
            <w:tcW w:w="2148" w:type="dxa"/>
          </w:tcPr>
          <w:p>
            <w:pPr>
              <w:pStyle w:val="TableParagraph"/>
              <w:spacing w:line="281" w:lineRule="exact" w:before="97"/>
              <w:ind w:left="177"/>
              <w:rPr>
                <w:sz w:val="24"/>
              </w:rPr>
            </w:pPr>
            <w:r>
              <w:rPr>
                <w:spacing w:val="-2"/>
                <w:sz w:val="24"/>
              </w:rPr>
              <w:t>MHADA</w:t>
            </w:r>
          </w:p>
          <w:p>
            <w:pPr>
              <w:pStyle w:val="TableParagraph"/>
              <w:spacing w:line="281" w:lineRule="exact"/>
              <w:ind w:left="177"/>
              <w:rPr>
                <w:sz w:val="24"/>
              </w:rPr>
            </w:pPr>
            <w:r>
              <w:rPr>
                <w:sz w:val="24"/>
              </w:rPr>
              <w:t>/MBRR</w:t>
            </w:r>
            <w:r>
              <w:rPr>
                <w:spacing w:val="-6"/>
                <w:sz w:val="24"/>
              </w:rPr>
              <w:t> </w:t>
            </w:r>
            <w:r>
              <w:rPr>
                <w:spacing w:val="-4"/>
                <w:sz w:val="24"/>
              </w:rPr>
              <w:t>Board</w:t>
            </w:r>
          </w:p>
        </w:tc>
        <w:tc>
          <w:tcPr>
            <w:tcW w:w="6077" w:type="dxa"/>
          </w:tcPr>
          <w:p>
            <w:pPr>
              <w:pStyle w:val="TableParagraph"/>
              <w:spacing w:before="97"/>
              <w:ind w:left="178" w:right="89"/>
              <w:jc w:val="both"/>
              <w:rPr>
                <w:sz w:val="24"/>
              </w:rPr>
            </w:pPr>
            <w:r>
              <w:rPr>
                <w:sz w:val="24"/>
              </w:rPr>
              <w:t>In case of development of lands belonging to MHADA /development in MHADA layout, Cessed </w:t>
            </w:r>
            <w:r>
              <w:rPr>
                <w:spacing w:val="-2"/>
                <w:sz w:val="24"/>
              </w:rPr>
              <w:t>Buildings</w:t>
            </w:r>
          </w:p>
        </w:tc>
      </w:tr>
      <w:tr>
        <w:trPr>
          <w:trHeight w:val="755" w:hRule="atLeast"/>
        </w:trPr>
        <w:tc>
          <w:tcPr>
            <w:tcW w:w="1015" w:type="dxa"/>
          </w:tcPr>
          <w:p>
            <w:pPr>
              <w:pStyle w:val="TableParagraph"/>
              <w:spacing w:before="95"/>
              <w:ind w:left="177"/>
              <w:rPr>
                <w:sz w:val="24"/>
              </w:rPr>
            </w:pPr>
            <w:r>
              <w:rPr>
                <w:spacing w:val="-10"/>
                <w:sz w:val="24"/>
              </w:rPr>
              <w:t>9</w:t>
            </w:r>
          </w:p>
        </w:tc>
        <w:tc>
          <w:tcPr>
            <w:tcW w:w="2148" w:type="dxa"/>
          </w:tcPr>
          <w:p>
            <w:pPr>
              <w:pStyle w:val="TableParagraph"/>
              <w:spacing w:before="95"/>
              <w:ind w:left="177"/>
              <w:rPr>
                <w:sz w:val="24"/>
              </w:rPr>
            </w:pPr>
            <w:r>
              <w:rPr>
                <w:spacing w:val="-2"/>
                <w:sz w:val="24"/>
              </w:rPr>
              <w:t>MCZMA</w:t>
            </w:r>
          </w:p>
        </w:tc>
        <w:tc>
          <w:tcPr>
            <w:tcW w:w="6077" w:type="dxa"/>
          </w:tcPr>
          <w:p>
            <w:pPr>
              <w:pStyle w:val="TableParagraph"/>
              <w:tabs>
                <w:tab w:pos="943" w:val="left" w:leader="none"/>
                <w:tab w:pos="2801" w:val="left" w:leader="none"/>
                <w:tab w:pos="3408" w:val="left" w:leader="none"/>
                <w:tab w:pos="4411" w:val="left" w:leader="none"/>
                <w:tab w:pos="5694" w:val="left" w:leader="none"/>
              </w:tabs>
              <w:spacing w:before="95"/>
              <w:ind w:left="178" w:right="92"/>
              <w:rPr>
                <w:sz w:val="24"/>
              </w:rPr>
            </w:pPr>
            <w:r>
              <w:rPr>
                <w:spacing w:val="-4"/>
                <w:sz w:val="24"/>
              </w:rPr>
              <w:t>For</w:t>
            </w:r>
            <w:r>
              <w:rPr>
                <w:sz w:val="24"/>
              </w:rPr>
              <w:tab/>
            </w:r>
            <w:r>
              <w:rPr>
                <w:spacing w:val="-2"/>
                <w:sz w:val="24"/>
              </w:rPr>
              <w:t>development</w:t>
            </w:r>
            <w:r>
              <w:rPr>
                <w:sz w:val="24"/>
              </w:rPr>
              <w:tab/>
            </w:r>
            <w:r>
              <w:rPr>
                <w:spacing w:val="-6"/>
                <w:sz w:val="24"/>
              </w:rPr>
              <w:t>in</w:t>
            </w:r>
            <w:r>
              <w:rPr>
                <w:sz w:val="24"/>
              </w:rPr>
              <w:tab/>
            </w:r>
            <w:r>
              <w:rPr>
                <w:spacing w:val="-4"/>
                <w:sz w:val="24"/>
              </w:rPr>
              <w:t>areas</w:t>
            </w:r>
            <w:r>
              <w:rPr>
                <w:sz w:val="24"/>
              </w:rPr>
              <w:tab/>
            </w:r>
            <w:r>
              <w:rPr>
                <w:spacing w:val="-2"/>
                <w:sz w:val="24"/>
              </w:rPr>
              <w:t>affected</w:t>
            </w:r>
            <w:r>
              <w:rPr>
                <w:sz w:val="24"/>
              </w:rPr>
              <w:tab/>
            </w:r>
            <w:r>
              <w:rPr>
                <w:spacing w:val="-6"/>
                <w:sz w:val="24"/>
              </w:rPr>
              <w:t>by </w:t>
            </w:r>
            <w:r>
              <w:rPr>
                <w:sz w:val="24"/>
              </w:rPr>
              <w:t>CoastalRegulation Zone</w:t>
            </w:r>
          </w:p>
        </w:tc>
      </w:tr>
      <w:tr>
        <w:trPr>
          <w:trHeight w:val="473" w:hRule="atLeast"/>
        </w:trPr>
        <w:tc>
          <w:tcPr>
            <w:tcW w:w="1015" w:type="dxa"/>
          </w:tcPr>
          <w:p>
            <w:pPr>
              <w:pStyle w:val="TableParagraph"/>
              <w:spacing w:before="95"/>
              <w:ind w:left="177"/>
              <w:rPr>
                <w:sz w:val="24"/>
              </w:rPr>
            </w:pPr>
            <w:r>
              <w:rPr>
                <w:spacing w:val="-5"/>
                <w:sz w:val="24"/>
              </w:rPr>
              <w:t>10</w:t>
            </w:r>
          </w:p>
        </w:tc>
        <w:tc>
          <w:tcPr>
            <w:tcW w:w="2148" w:type="dxa"/>
          </w:tcPr>
          <w:p>
            <w:pPr>
              <w:pStyle w:val="TableParagraph"/>
              <w:spacing w:before="95"/>
              <w:ind w:left="177"/>
              <w:rPr>
                <w:sz w:val="24"/>
              </w:rPr>
            </w:pPr>
            <w:r>
              <w:rPr>
                <w:spacing w:val="-4"/>
                <w:sz w:val="24"/>
              </w:rPr>
              <w:t>MoEF</w:t>
            </w:r>
          </w:p>
        </w:tc>
        <w:tc>
          <w:tcPr>
            <w:tcW w:w="6077" w:type="dxa"/>
          </w:tcPr>
          <w:p>
            <w:pPr>
              <w:pStyle w:val="TableParagraph"/>
              <w:spacing w:before="95"/>
              <w:ind w:left="178"/>
              <w:rPr>
                <w:sz w:val="24"/>
              </w:rPr>
            </w:pPr>
            <w:r>
              <w:rPr>
                <w:spacing w:val="-4"/>
                <w:sz w:val="24"/>
              </w:rPr>
              <w:t>For</w:t>
            </w:r>
            <w:r>
              <w:rPr>
                <w:spacing w:val="-7"/>
                <w:sz w:val="24"/>
              </w:rPr>
              <w:t> </w:t>
            </w:r>
            <w:r>
              <w:rPr>
                <w:spacing w:val="-4"/>
                <w:sz w:val="24"/>
              </w:rPr>
              <w:t>development</w:t>
            </w:r>
            <w:r>
              <w:rPr>
                <w:spacing w:val="-6"/>
                <w:sz w:val="24"/>
              </w:rPr>
              <w:t> </w:t>
            </w:r>
            <w:r>
              <w:rPr>
                <w:spacing w:val="-4"/>
                <w:sz w:val="24"/>
              </w:rPr>
              <w:t>attracting</w:t>
            </w:r>
            <w:r>
              <w:rPr>
                <w:spacing w:val="-5"/>
                <w:sz w:val="24"/>
              </w:rPr>
              <w:t> </w:t>
            </w:r>
            <w:r>
              <w:rPr>
                <w:spacing w:val="-4"/>
                <w:sz w:val="24"/>
              </w:rPr>
              <w:t>the</w:t>
            </w:r>
            <w:r>
              <w:rPr>
                <w:spacing w:val="-6"/>
                <w:sz w:val="24"/>
              </w:rPr>
              <w:t> </w:t>
            </w:r>
            <w:r>
              <w:rPr>
                <w:spacing w:val="-4"/>
                <w:sz w:val="24"/>
              </w:rPr>
              <w:t>EIA</w:t>
            </w:r>
            <w:r>
              <w:rPr>
                <w:spacing w:val="-8"/>
                <w:sz w:val="24"/>
              </w:rPr>
              <w:t> </w:t>
            </w:r>
            <w:r>
              <w:rPr>
                <w:spacing w:val="-4"/>
                <w:sz w:val="24"/>
              </w:rPr>
              <w:t>Notification</w:t>
            </w:r>
          </w:p>
        </w:tc>
      </w:tr>
      <w:tr>
        <w:trPr>
          <w:trHeight w:val="474" w:hRule="atLeast"/>
        </w:trPr>
        <w:tc>
          <w:tcPr>
            <w:tcW w:w="1015" w:type="dxa"/>
          </w:tcPr>
          <w:p>
            <w:pPr>
              <w:pStyle w:val="TableParagraph"/>
              <w:spacing w:before="95"/>
              <w:ind w:left="177"/>
              <w:rPr>
                <w:sz w:val="24"/>
              </w:rPr>
            </w:pPr>
            <w:r>
              <w:rPr>
                <w:spacing w:val="-5"/>
                <w:sz w:val="24"/>
              </w:rPr>
              <w:t>11</w:t>
            </w:r>
          </w:p>
        </w:tc>
        <w:tc>
          <w:tcPr>
            <w:tcW w:w="2148" w:type="dxa"/>
          </w:tcPr>
          <w:p>
            <w:pPr>
              <w:pStyle w:val="TableParagraph"/>
              <w:spacing w:before="95"/>
              <w:ind w:left="177"/>
              <w:rPr>
                <w:sz w:val="24"/>
              </w:rPr>
            </w:pPr>
            <w:r>
              <w:rPr>
                <w:spacing w:val="-2"/>
                <w:sz w:val="24"/>
              </w:rPr>
              <w:t>Highway</w:t>
            </w:r>
          </w:p>
        </w:tc>
        <w:tc>
          <w:tcPr>
            <w:tcW w:w="6077" w:type="dxa"/>
          </w:tcPr>
          <w:p>
            <w:pPr>
              <w:pStyle w:val="TableParagraph"/>
              <w:spacing w:before="95"/>
              <w:ind w:right="301"/>
              <w:jc w:val="right"/>
              <w:rPr>
                <w:sz w:val="24"/>
              </w:rPr>
            </w:pPr>
            <w:r>
              <w:rPr>
                <w:spacing w:val="-4"/>
                <w:sz w:val="24"/>
              </w:rPr>
              <w:t>Plot</w:t>
            </w:r>
            <w:r>
              <w:rPr>
                <w:spacing w:val="-7"/>
                <w:sz w:val="24"/>
              </w:rPr>
              <w:t> </w:t>
            </w:r>
            <w:r>
              <w:rPr>
                <w:spacing w:val="-4"/>
                <w:sz w:val="24"/>
              </w:rPr>
              <w:t>falling</w:t>
            </w:r>
            <w:r>
              <w:rPr>
                <w:spacing w:val="-6"/>
                <w:sz w:val="24"/>
              </w:rPr>
              <w:t> </w:t>
            </w:r>
            <w:r>
              <w:rPr>
                <w:spacing w:val="-4"/>
                <w:sz w:val="24"/>
              </w:rPr>
              <w:t>within</w:t>
            </w:r>
            <w:r>
              <w:rPr>
                <w:spacing w:val="-5"/>
                <w:sz w:val="24"/>
              </w:rPr>
              <w:t> </w:t>
            </w:r>
            <w:r>
              <w:rPr>
                <w:spacing w:val="-4"/>
                <w:sz w:val="24"/>
              </w:rPr>
              <w:t>highwaybuffer</w:t>
            </w:r>
            <w:r>
              <w:rPr>
                <w:spacing w:val="-7"/>
                <w:sz w:val="24"/>
              </w:rPr>
              <w:t> </w:t>
            </w:r>
            <w:r>
              <w:rPr>
                <w:spacing w:val="-4"/>
                <w:sz w:val="24"/>
              </w:rPr>
              <w:t>as</w:t>
            </w:r>
            <w:r>
              <w:rPr>
                <w:spacing w:val="-6"/>
                <w:sz w:val="24"/>
              </w:rPr>
              <w:t> </w:t>
            </w:r>
            <w:r>
              <w:rPr>
                <w:spacing w:val="-4"/>
                <w:sz w:val="24"/>
              </w:rPr>
              <w:t>shown</w:t>
            </w:r>
            <w:r>
              <w:rPr>
                <w:spacing w:val="-6"/>
                <w:sz w:val="24"/>
              </w:rPr>
              <w:t> </w:t>
            </w:r>
            <w:r>
              <w:rPr>
                <w:spacing w:val="-4"/>
                <w:sz w:val="24"/>
              </w:rPr>
              <w:t>on</w:t>
            </w:r>
            <w:r>
              <w:rPr>
                <w:spacing w:val="-6"/>
                <w:sz w:val="24"/>
              </w:rPr>
              <w:t> </w:t>
            </w:r>
            <w:r>
              <w:rPr>
                <w:spacing w:val="-5"/>
                <w:sz w:val="24"/>
              </w:rPr>
              <w:t>DP</w:t>
            </w:r>
          </w:p>
        </w:tc>
      </w:tr>
      <w:tr>
        <w:trPr>
          <w:trHeight w:val="755" w:hRule="atLeast"/>
        </w:trPr>
        <w:tc>
          <w:tcPr>
            <w:tcW w:w="1015" w:type="dxa"/>
          </w:tcPr>
          <w:p>
            <w:pPr>
              <w:pStyle w:val="TableParagraph"/>
              <w:spacing w:before="95"/>
              <w:ind w:left="177"/>
              <w:rPr>
                <w:sz w:val="24"/>
              </w:rPr>
            </w:pPr>
            <w:r>
              <w:rPr>
                <w:spacing w:val="-5"/>
                <w:sz w:val="24"/>
              </w:rPr>
              <w:t>12</w:t>
            </w:r>
          </w:p>
        </w:tc>
        <w:tc>
          <w:tcPr>
            <w:tcW w:w="2148" w:type="dxa"/>
          </w:tcPr>
          <w:p>
            <w:pPr>
              <w:pStyle w:val="TableParagraph"/>
              <w:spacing w:before="95"/>
              <w:ind w:left="177"/>
              <w:rPr>
                <w:sz w:val="24"/>
              </w:rPr>
            </w:pPr>
            <w:r>
              <w:rPr>
                <w:spacing w:val="-2"/>
                <w:sz w:val="24"/>
              </w:rPr>
              <w:t>MMRDA</w:t>
            </w:r>
          </w:p>
        </w:tc>
        <w:tc>
          <w:tcPr>
            <w:tcW w:w="6077" w:type="dxa"/>
          </w:tcPr>
          <w:p>
            <w:pPr>
              <w:pStyle w:val="TableParagraph"/>
              <w:spacing w:before="95"/>
              <w:ind w:left="178"/>
              <w:rPr>
                <w:sz w:val="24"/>
              </w:rPr>
            </w:pPr>
            <w:r>
              <w:rPr>
                <w:sz w:val="24"/>
              </w:rPr>
              <w:t>In</w:t>
            </w:r>
            <w:r>
              <w:rPr>
                <w:spacing w:val="32"/>
                <w:sz w:val="24"/>
              </w:rPr>
              <w:t> </w:t>
            </w:r>
            <w:r>
              <w:rPr>
                <w:sz w:val="24"/>
              </w:rPr>
              <w:t>influence</w:t>
            </w:r>
            <w:r>
              <w:rPr>
                <w:spacing w:val="32"/>
                <w:sz w:val="24"/>
              </w:rPr>
              <w:t> </w:t>
            </w:r>
            <w:r>
              <w:rPr>
                <w:sz w:val="24"/>
              </w:rPr>
              <w:t>zone</w:t>
            </w:r>
            <w:r>
              <w:rPr>
                <w:spacing w:val="32"/>
                <w:sz w:val="24"/>
              </w:rPr>
              <w:t> </w:t>
            </w:r>
            <w:r>
              <w:rPr>
                <w:sz w:val="24"/>
              </w:rPr>
              <w:t>of</w:t>
            </w:r>
            <w:r>
              <w:rPr>
                <w:spacing w:val="40"/>
                <w:sz w:val="24"/>
              </w:rPr>
              <w:t> </w:t>
            </w:r>
            <w:r>
              <w:rPr>
                <w:sz w:val="24"/>
              </w:rPr>
              <w:t>Metro/Monorail</w:t>
            </w:r>
            <w:r>
              <w:rPr>
                <w:spacing w:val="40"/>
                <w:sz w:val="24"/>
              </w:rPr>
              <w:t> </w:t>
            </w:r>
            <w:r>
              <w:rPr>
                <w:sz w:val="24"/>
              </w:rPr>
              <w:t>as</w:t>
            </w:r>
            <w:r>
              <w:rPr>
                <w:spacing w:val="40"/>
                <w:sz w:val="24"/>
              </w:rPr>
              <w:t> </w:t>
            </w:r>
            <w:r>
              <w:rPr>
                <w:sz w:val="24"/>
              </w:rPr>
              <w:t>may</w:t>
            </w:r>
            <w:r>
              <w:rPr>
                <w:spacing w:val="40"/>
                <w:sz w:val="24"/>
              </w:rPr>
              <w:t> </w:t>
            </w:r>
            <w:r>
              <w:rPr>
                <w:sz w:val="24"/>
              </w:rPr>
              <w:t>be notified by the Competent Authority.</w:t>
            </w:r>
          </w:p>
        </w:tc>
      </w:tr>
      <w:tr>
        <w:trPr>
          <w:trHeight w:val="1036" w:hRule="atLeast"/>
        </w:trPr>
        <w:tc>
          <w:tcPr>
            <w:tcW w:w="1015" w:type="dxa"/>
          </w:tcPr>
          <w:p>
            <w:pPr>
              <w:pStyle w:val="TableParagraph"/>
              <w:spacing w:before="95"/>
              <w:ind w:left="177"/>
              <w:rPr>
                <w:sz w:val="24"/>
              </w:rPr>
            </w:pPr>
            <w:r>
              <w:rPr>
                <w:spacing w:val="-5"/>
                <w:sz w:val="24"/>
              </w:rPr>
              <w:t>13</w:t>
            </w:r>
          </w:p>
        </w:tc>
        <w:tc>
          <w:tcPr>
            <w:tcW w:w="2148" w:type="dxa"/>
          </w:tcPr>
          <w:p>
            <w:pPr>
              <w:pStyle w:val="TableParagraph"/>
              <w:tabs>
                <w:tab w:pos="1828" w:val="left" w:leader="none"/>
              </w:tabs>
              <w:spacing w:before="95"/>
              <w:ind w:left="107" w:right="96" w:firstLine="76"/>
              <w:rPr>
                <w:sz w:val="24"/>
              </w:rPr>
            </w:pPr>
            <w:r>
              <w:rPr>
                <w:spacing w:val="-2"/>
                <w:sz w:val="24"/>
              </w:rPr>
              <w:t>Estate Department</w:t>
            </w:r>
            <w:r>
              <w:rPr>
                <w:sz w:val="24"/>
              </w:rPr>
              <w:tab/>
            </w:r>
            <w:r>
              <w:rPr>
                <w:spacing w:val="-6"/>
                <w:sz w:val="24"/>
              </w:rPr>
              <w:t>of </w:t>
            </w:r>
            <w:r>
              <w:rPr>
                <w:spacing w:val="-4"/>
                <w:sz w:val="24"/>
              </w:rPr>
              <w:t>MCGM</w:t>
            </w:r>
          </w:p>
        </w:tc>
        <w:tc>
          <w:tcPr>
            <w:tcW w:w="6077" w:type="dxa"/>
          </w:tcPr>
          <w:p>
            <w:pPr>
              <w:pStyle w:val="TableParagraph"/>
              <w:spacing w:before="95"/>
              <w:ind w:left="178"/>
              <w:rPr>
                <w:sz w:val="24"/>
              </w:rPr>
            </w:pPr>
            <w:r>
              <w:rPr>
                <w:spacing w:val="-2"/>
                <w:sz w:val="24"/>
              </w:rPr>
              <w:t>Land</w:t>
            </w:r>
            <w:r>
              <w:rPr>
                <w:spacing w:val="-18"/>
                <w:sz w:val="24"/>
              </w:rPr>
              <w:t> </w:t>
            </w:r>
            <w:r>
              <w:rPr>
                <w:spacing w:val="-2"/>
                <w:sz w:val="24"/>
              </w:rPr>
              <w:t>of</w:t>
            </w:r>
            <w:r>
              <w:rPr>
                <w:spacing w:val="-17"/>
                <w:sz w:val="24"/>
              </w:rPr>
              <w:t> </w:t>
            </w:r>
            <w:r>
              <w:rPr>
                <w:spacing w:val="-2"/>
                <w:sz w:val="24"/>
              </w:rPr>
              <w:t>Improvement</w:t>
            </w:r>
            <w:r>
              <w:rPr>
                <w:spacing w:val="-16"/>
                <w:sz w:val="24"/>
              </w:rPr>
              <w:t> </w:t>
            </w:r>
            <w:r>
              <w:rPr>
                <w:spacing w:val="-4"/>
                <w:sz w:val="24"/>
              </w:rPr>
              <w:t>Trust</w:t>
            </w:r>
          </w:p>
        </w:tc>
      </w:tr>
      <w:tr>
        <w:trPr>
          <w:trHeight w:val="474" w:hRule="atLeast"/>
        </w:trPr>
        <w:tc>
          <w:tcPr>
            <w:tcW w:w="1015" w:type="dxa"/>
          </w:tcPr>
          <w:p>
            <w:pPr>
              <w:pStyle w:val="TableParagraph"/>
              <w:spacing w:before="95"/>
              <w:ind w:left="177"/>
              <w:rPr>
                <w:sz w:val="24"/>
              </w:rPr>
            </w:pPr>
            <w:r>
              <w:rPr>
                <w:spacing w:val="-5"/>
                <w:sz w:val="24"/>
              </w:rPr>
              <w:t>14</w:t>
            </w:r>
          </w:p>
        </w:tc>
        <w:tc>
          <w:tcPr>
            <w:tcW w:w="2148" w:type="dxa"/>
          </w:tcPr>
          <w:p>
            <w:pPr>
              <w:pStyle w:val="TableParagraph"/>
              <w:spacing w:before="95"/>
              <w:ind w:left="177"/>
              <w:rPr>
                <w:sz w:val="24"/>
              </w:rPr>
            </w:pPr>
            <w:r>
              <w:rPr>
                <w:spacing w:val="-2"/>
                <w:sz w:val="24"/>
              </w:rPr>
              <w:t>Collector</w:t>
            </w:r>
          </w:p>
        </w:tc>
        <w:tc>
          <w:tcPr>
            <w:tcW w:w="6077" w:type="dxa"/>
          </w:tcPr>
          <w:p>
            <w:pPr>
              <w:pStyle w:val="TableParagraph"/>
              <w:spacing w:before="95"/>
              <w:ind w:right="333"/>
              <w:jc w:val="right"/>
              <w:rPr>
                <w:sz w:val="24"/>
              </w:rPr>
            </w:pPr>
            <w:r>
              <w:rPr>
                <w:spacing w:val="-4"/>
                <w:sz w:val="24"/>
              </w:rPr>
              <w:t>Government</w:t>
            </w:r>
            <w:r>
              <w:rPr>
                <w:spacing w:val="-6"/>
                <w:sz w:val="24"/>
              </w:rPr>
              <w:t> </w:t>
            </w:r>
            <w:r>
              <w:rPr>
                <w:spacing w:val="-4"/>
                <w:sz w:val="24"/>
              </w:rPr>
              <w:t>land/</w:t>
            </w:r>
            <w:r>
              <w:rPr>
                <w:spacing w:val="-6"/>
                <w:sz w:val="24"/>
              </w:rPr>
              <w:t> </w:t>
            </w:r>
            <w:r>
              <w:rPr>
                <w:spacing w:val="-4"/>
                <w:sz w:val="24"/>
              </w:rPr>
              <w:t>NA/</w:t>
            </w:r>
            <w:r>
              <w:rPr>
                <w:spacing w:val="-9"/>
                <w:sz w:val="24"/>
              </w:rPr>
              <w:t> </w:t>
            </w:r>
            <w:r>
              <w:rPr>
                <w:spacing w:val="-4"/>
                <w:sz w:val="24"/>
              </w:rPr>
              <w:t>ULC</w:t>
            </w:r>
            <w:r>
              <w:rPr>
                <w:spacing w:val="-6"/>
                <w:sz w:val="24"/>
              </w:rPr>
              <w:t> </w:t>
            </w:r>
            <w:r>
              <w:rPr>
                <w:spacing w:val="-4"/>
                <w:sz w:val="24"/>
              </w:rPr>
              <w:t>wherever</w:t>
            </w:r>
            <w:r>
              <w:rPr>
                <w:spacing w:val="-5"/>
                <w:sz w:val="24"/>
              </w:rPr>
              <w:t> </w:t>
            </w:r>
            <w:r>
              <w:rPr>
                <w:spacing w:val="-4"/>
                <w:sz w:val="24"/>
              </w:rPr>
              <w:t>applicable</w:t>
            </w:r>
          </w:p>
        </w:tc>
      </w:tr>
    </w:tbl>
    <w:p>
      <w:pPr>
        <w:pStyle w:val="TableParagraph"/>
        <w:spacing w:after="0"/>
        <w:jc w:val="right"/>
        <w:rPr>
          <w:sz w:val="24"/>
        </w:rPr>
        <w:sectPr>
          <w:pgSz w:w="11910" w:h="16850"/>
          <w:pgMar w:header="1024" w:footer="1302" w:top="1480" w:bottom="1500" w:left="360" w:right="360"/>
        </w:sectPr>
      </w:pPr>
    </w:p>
    <w:p>
      <w:pPr>
        <w:pStyle w:val="BodyText"/>
        <w:spacing w:before="41"/>
        <w:jc w:val="left"/>
        <w:rPr>
          <w:i/>
          <w:sz w:val="20"/>
        </w:rPr>
      </w:pPr>
    </w:p>
    <w:tbl>
      <w:tblPr>
        <w:tblW w:w="0" w:type="auto"/>
        <w:jc w:val="left"/>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5"/>
        <w:gridCol w:w="2148"/>
        <w:gridCol w:w="6077"/>
      </w:tblGrid>
      <w:tr>
        <w:trPr>
          <w:trHeight w:val="755" w:hRule="atLeast"/>
        </w:trPr>
        <w:tc>
          <w:tcPr>
            <w:tcW w:w="1015" w:type="dxa"/>
          </w:tcPr>
          <w:p>
            <w:pPr>
              <w:pStyle w:val="TableParagraph"/>
              <w:spacing w:before="95"/>
              <w:ind w:left="177"/>
              <w:rPr>
                <w:sz w:val="24"/>
              </w:rPr>
            </w:pPr>
            <w:r>
              <w:rPr>
                <w:spacing w:val="-5"/>
                <w:sz w:val="24"/>
              </w:rPr>
              <w:t>15</w:t>
            </w:r>
          </w:p>
        </w:tc>
        <w:tc>
          <w:tcPr>
            <w:tcW w:w="2148" w:type="dxa"/>
          </w:tcPr>
          <w:p>
            <w:pPr>
              <w:pStyle w:val="TableParagraph"/>
              <w:tabs>
                <w:tab w:pos="1828" w:val="left" w:leader="none"/>
              </w:tabs>
              <w:spacing w:before="95"/>
              <w:ind w:left="177" w:right="96"/>
              <w:rPr>
                <w:sz w:val="24"/>
              </w:rPr>
            </w:pPr>
            <w:r>
              <w:rPr>
                <w:spacing w:val="-2"/>
                <w:sz w:val="24"/>
              </w:rPr>
              <w:t>Director</w:t>
            </w:r>
            <w:r>
              <w:rPr>
                <w:sz w:val="24"/>
              </w:rPr>
              <w:tab/>
            </w:r>
            <w:r>
              <w:rPr>
                <w:spacing w:val="-6"/>
                <w:sz w:val="24"/>
              </w:rPr>
              <w:t>of </w:t>
            </w:r>
            <w:r>
              <w:rPr>
                <w:spacing w:val="-2"/>
                <w:sz w:val="24"/>
              </w:rPr>
              <w:t>Industries</w:t>
            </w:r>
          </w:p>
        </w:tc>
        <w:tc>
          <w:tcPr>
            <w:tcW w:w="6077" w:type="dxa"/>
          </w:tcPr>
          <w:p>
            <w:pPr>
              <w:pStyle w:val="TableParagraph"/>
              <w:spacing w:before="95"/>
              <w:ind w:left="178"/>
              <w:rPr>
                <w:sz w:val="24"/>
              </w:rPr>
            </w:pPr>
            <w:r>
              <w:rPr>
                <w:spacing w:val="-2"/>
                <w:sz w:val="24"/>
              </w:rPr>
              <w:t>As</w:t>
            </w:r>
            <w:r>
              <w:rPr>
                <w:spacing w:val="-17"/>
                <w:sz w:val="24"/>
              </w:rPr>
              <w:t> </w:t>
            </w:r>
            <w:r>
              <w:rPr>
                <w:spacing w:val="-2"/>
                <w:sz w:val="24"/>
              </w:rPr>
              <w:t>specified</w:t>
            </w:r>
            <w:r>
              <w:rPr>
                <w:spacing w:val="-14"/>
                <w:sz w:val="24"/>
              </w:rPr>
              <w:t> </w:t>
            </w:r>
            <w:r>
              <w:rPr>
                <w:spacing w:val="-2"/>
                <w:sz w:val="24"/>
              </w:rPr>
              <w:t>in</w:t>
            </w:r>
            <w:r>
              <w:rPr>
                <w:spacing w:val="-15"/>
                <w:sz w:val="24"/>
              </w:rPr>
              <w:t> </w:t>
            </w:r>
            <w:r>
              <w:rPr>
                <w:spacing w:val="-2"/>
                <w:sz w:val="24"/>
              </w:rPr>
              <w:t>these</w:t>
            </w:r>
            <w:r>
              <w:rPr>
                <w:spacing w:val="-14"/>
                <w:sz w:val="24"/>
              </w:rPr>
              <w:t> </w:t>
            </w:r>
            <w:r>
              <w:rPr>
                <w:spacing w:val="-2"/>
                <w:sz w:val="24"/>
              </w:rPr>
              <w:t>Regulations</w:t>
            </w:r>
          </w:p>
        </w:tc>
      </w:tr>
    </w:tbl>
    <w:p>
      <w:pPr>
        <w:pStyle w:val="ListParagraph"/>
        <w:numPr>
          <w:ilvl w:val="0"/>
          <w:numId w:val="349"/>
        </w:numPr>
        <w:tabs>
          <w:tab w:pos="1498" w:val="left" w:leader="none"/>
        </w:tabs>
        <w:spacing w:line="240" w:lineRule="auto" w:before="0" w:after="0"/>
        <w:ind w:left="1498" w:right="779" w:hanging="360"/>
        <w:jc w:val="left"/>
        <w:rPr>
          <w:sz w:val="24"/>
        </w:rPr>
      </w:pPr>
      <w:r>
        <w:rPr>
          <w:sz w:val="24"/>
        </w:rPr>
        <w:t>The</w:t>
      </w:r>
      <w:r>
        <w:rPr>
          <w:spacing w:val="80"/>
          <w:sz w:val="24"/>
        </w:rPr>
        <w:t> </w:t>
      </w:r>
      <w:r>
        <w:rPr>
          <w:sz w:val="24"/>
        </w:rPr>
        <w:t>above</w:t>
      </w:r>
      <w:r>
        <w:rPr>
          <w:spacing w:val="80"/>
          <w:sz w:val="24"/>
        </w:rPr>
        <w:t> </w:t>
      </w:r>
      <w:r>
        <w:rPr>
          <w:sz w:val="24"/>
        </w:rPr>
        <w:t>cited</w:t>
      </w:r>
      <w:r>
        <w:rPr>
          <w:spacing w:val="80"/>
          <w:sz w:val="24"/>
        </w:rPr>
        <w:t> </w:t>
      </w:r>
      <w:r>
        <w:rPr>
          <w:sz w:val="24"/>
        </w:rPr>
        <w:t>list</w:t>
      </w:r>
      <w:r>
        <w:rPr>
          <w:spacing w:val="80"/>
          <w:sz w:val="24"/>
        </w:rPr>
        <w:t> </w:t>
      </w:r>
      <w:r>
        <w:rPr>
          <w:sz w:val="24"/>
        </w:rPr>
        <w:t>shall</w:t>
      </w:r>
      <w:r>
        <w:rPr>
          <w:spacing w:val="80"/>
          <w:sz w:val="24"/>
        </w:rPr>
        <w:t> </w:t>
      </w:r>
      <w:r>
        <w:rPr>
          <w:sz w:val="24"/>
        </w:rPr>
        <w:t>stand</w:t>
      </w:r>
      <w:r>
        <w:rPr>
          <w:spacing w:val="80"/>
          <w:sz w:val="24"/>
        </w:rPr>
        <w:t> </w:t>
      </w:r>
      <w:r>
        <w:rPr>
          <w:sz w:val="24"/>
        </w:rPr>
        <w:t>amended</w:t>
      </w:r>
      <w:r>
        <w:rPr>
          <w:spacing w:val="80"/>
          <w:sz w:val="24"/>
        </w:rPr>
        <w:t> </w:t>
      </w:r>
      <w:r>
        <w:rPr>
          <w:sz w:val="24"/>
        </w:rPr>
        <w:t>through</w:t>
      </w:r>
      <w:r>
        <w:rPr>
          <w:spacing w:val="80"/>
          <w:sz w:val="24"/>
        </w:rPr>
        <w:t> </w:t>
      </w:r>
      <w:r>
        <w:rPr>
          <w:sz w:val="24"/>
        </w:rPr>
        <w:t>additions/deletions mandated by GoM from time to time.</w:t>
      </w:r>
    </w:p>
    <w:p>
      <w:pPr>
        <w:pStyle w:val="Heading5"/>
        <w:spacing w:line="524" w:lineRule="exact" w:before="46"/>
        <w:ind w:left="4745" w:right="3646" w:firstLine="213"/>
      </w:pPr>
      <w:r>
        <w:rPr/>
        <w:t>Appendix IV (Regulation </w:t>
      </w:r>
      <w:r>
        <w:rPr/>
        <w:t>60)</w:t>
      </w:r>
    </w:p>
    <w:p>
      <w:pPr>
        <w:spacing w:before="69"/>
        <w:ind w:left="1138" w:right="0" w:firstLine="0"/>
        <w:jc w:val="left"/>
        <w:rPr>
          <w:b/>
          <w:sz w:val="24"/>
        </w:rPr>
      </w:pPr>
      <w:r>
        <w:rPr>
          <w:b/>
          <w:sz w:val="24"/>
        </w:rPr>
        <w:t>Repairs</w:t>
      </w:r>
      <w:r>
        <w:rPr>
          <w:b/>
          <w:spacing w:val="62"/>
          <w:sz w:val="24"/>
        </w:rPr>
        <w:t> </w:t>
      </w:r>
      <w:r>
        <w:rPr>
          <w:b/>
          <w:sz w:val="24"/>
        </w:rPr>
        <w:t>to</w:t>
      </w:r>
      <w:r>
        <w:rPr>
          <w:b/>
          <w:spacing w:val="62"/>
          <w:sz w:val="24"/>
        </w:rPr>
        <w:t> </w:t>
      </w:r>
      <w:r>
        <w:rPr>
          <w:b/>
          <w:sz w:val="24"/>
        </w:rPr>
        <w:t>existing</w:t>
      </w:r>
      <w:r>
        <w:rPr>
          <w:b/>
          <w:spacing w:val="63"/>
          <w:sz w:val="24"/>
        </w:rPr>
        <w:t> </w:t>
      </w:r>
      <w:r>
        <w:rPr>
          <w:b/>
          <w:spacing w:val="7"/>
          <w:sz w:val="24"/>
        </w:rPr>
        <w:t>Building</w:t>
      </w:r>
    </w:p>
    <w:p>
      <w:pPr>
        <w:pStyle w:val="Heading6"/>
        <w:numPr>
          <w:ilvl w:val="0"/>
          <w:numId w:val="350"/>
        </w:numPr>
        <w:tabs>
          <w:tab w:pos="1496" w:val="left" w:leader="none"/>
        </w:tabs>
        <w:spacing w:line="240" w:lineRule="auto" w:before="114" w:after="0"/>
        <w:ind w:left="1496" w:right="0" w:hanging="358"/>
        <w:jc w:val="left"/>
        <w:rPr>
          <w:b w:val="0"/>
          <w:i w:val="0"/>
          <w:sz w:val="22"/>
        </w:rPr>
      </w:pPr>
      <w:r>
        <w:rPr/>
        <w:t>Repairs</w:t>
      </w:r>
      <w:r>
        <w:rPr>
          <w:spacing w:val="-3"/>
        </w:rPr>
        <w:t> </w:t>
      </w:r>
      <w:r>
        <w:rPr/>
        <w:t>to</w:t>
      </w:r>
      <w:r>
        <w:rPr>
          <w:spacing w:val="-3"/>
        </w:rPr>
        <w:t> </w:t>
      </w:r>
      <w:r>
        <w:rPr/>
        <w:t>be</w:t>
      </w:r>
      <w:r>
        <w:rPr>
          <w:spacing w:val="-3"/>
        </w:rPr>
        <w:t> </w:t>
      </w:r>
      <w:r>
        <w:rPr/>
        <w:t>carried</w:t>
      </w:r>
      <w:r>
        <w:rPr>
          <w:spacing w:val="-3"/>
        </w:rPr>
        <w:t> </w:t>
      </w:r>
      <w:r>
        <w:rPr/>
        <w:t>out</w:t>
      </w:r>
      <w:r>
        <w:rPr>
          <w:spacing w:val="-2"/>
        </w:rPr>
        <w:t> </w:t>
      </w:r>
      <w:r>
        <w:rPr/>
        <w:t>can</w:t>
      </w:r>
      <w:r>
        <w:rPr>
          <w:spacing w:val="-3"/>
        </w:rPr>
        <w:t> </w:t>
      </w:r>
      <w:r>
        <w:rPr/>
        <w:t>be</w:t>
      </w:r>
      <w:r>
        <w:rPr>
          <w:spacing w:val="-3"/>
        </w:rPr>
        <w:t> </w:t>
      </w:r>
      <w:r>
        <w:rPr/>
        <w:t>categorized</w:t>
      </w:r>
      <w:r>
        <w:rPr>
          <w:spacing w:val="-3"/>
        </w:rPr>
        <w:t> </w:t>
      </w:r>
      <w:r>
        <w:rPr/>
        <w:t>as</w:t>
      </w:r>
      <w:r>
        <w:rPr>
          <w:spacing w:val="-3"/>
        </w:rPr>
        <w:t> </w:t>
      </w:r>
      <w:r>
        <w:rPr/>
        <w:t>detailed</w:t>
      </w:r>
      <w:r>
        <w:rPr>
          <w:spacing w:val="-2"/>
        </w:rPr>
        <w:t> below</w:t>
      </w:r>
      <w:r>
        <w:rPr>
          <w:b w:val="0"/>
          <w:i w:val="0"/>
          <w:spacing w:val="-2"/>
        </w:rPr>
        <w:t>:</w:t>
      </w:r>
    </w:p>
    <w:p>
      <w:pPr>
        <w:pStyle w:val="BodyText"/>
        <w:spacing w:before="168"/>
        <w:ind w:left="1498" w:right="776"/>
      </w:pPr>
      <w:r>
        <w:rPr/>
        <w:t>Partial repairs- The repairs to the extent of 75% of BUA will be termed as partial repairs. The partial repairs shall be allowed with the permission of the Commissioner.</w:t>
      </w:r>
    </w:p>
    <w:p>
      <w:pPr>
        <w:pStyle w:val="BodyText"/>
        <w:spacing w:before="120"/>
        <w:ind w:left="1498" w:right="778"/>
      </w:pPr>
      <w:r>
        <w:rPr/>
        <w:t>Extensive repairs- The repairs beyond 75% of BUA will be termed as extensive repairs which shall be allowed with the special permission of the </w:t>
      </w:r>
      <w:r>
        <w:rPr>
          <w:spacing w:val="-2"/>
        </w:rPr>
        <w:t>Commissioner.</w:t>
      </w:r>
    </w:p>
    <w:p>
      <w:pPr>
        <w:pStyle w:val="ListParagraph"/>
        <w:numPr>
          <w:ilvl w:val="0"/>
          <w:numId w:val="350"/>
        </w:numPr>
        <w:tabs>
          <w:tab w:pos="1496" w:val="left" w:leader="none"/>
        </w:tabs>
        <w:spacing w:line="240" w:lineRule="auto" w:before="121" w:after="0"/>
        <w:ind w:left="1496" w:right="0" w:hanging="358"/>
        <w:jc w:val="both"/>
        <w:rPr>
          <w:sz w:val="22"/>
        </w:rPr>
      </w:pPr>
      <w:r>
        <w:rPr>
          <w:b/>
          <w:i/>
          <w:sz w:val="22"/>
        </w:rPr>
        <w:t>Type</w:t>
      </w:r>
      <w:r>
        <w:rPr>
          <w:b/>
          <w:i/>
          <w:spacing w:val="-2"/>
          <w:sz w:val="22"/>
        </w:rPr>
        <w:t> </w:t>
      </w:r>
      <w:r>
        <w:rPr>
          <w:b/>
          <w:i/>
          <w:sz w:val="22"/>
        </w:rPr>
        <w:t>of</w:t>
      </w:r>
      <w:r>
        <w:rPr>
          <w:b/>
          <w:i/>
          <w:spacing w:val="-1"/>
          <w:sz w:val="22"/>
        </w:rPr>
        <w:t> </w:t>
      </w:r>
      <w:r>
        <w:rPr>
          <w:b/>
          <w:i/>
          <w:spacing w:val="-2"/>
          <w:sz w:val="22"/>
        </w:rPr>
        <w:t>Repairs</w:t>
      </w:r>
      <w:r>
        <w:rPr>
          <w:spacing w:val="-2"/>
          <w:sz w:val="22"/>
        </w:rPr>
        <w:t>:</w:t>
      </w:r>
    </w:p>
    <w:p>
      <w:pPr>
        <w:pStyle w:val="BodyText"/>
        <w:spacing w:before="158"/>
        <w:ind w:left="1498"/>
        <w:jc w:val="left"/>
      </w:pPr>
      <w:r>
        <w:rPr/>
        <w:t>Category</w:t>
      </w:r>
      <w:r>
        <w:rPr>
          <w:b/>
        </w:rPr>
        <w:t>-</w:t>
      </w:r>
      <w:r>
        <w:rPr>
          <w:b/>
          <w:spacing w:val="29"/>
        </w:rPr>
        <w:t> </w:t>
      </w:r>
      <w:r>
        <w:rPr>
          <w:b/>
        </w:rPr>
        <w:t>I</w:t>
      </w:r>
      <w:r>
        <w:rPr/>
        <w:t>-The</w:t>
      </w:r>
      <w:r>
        <w:rPr>
          <w:spacing w:val="29"/>
        </w:rPr>
        <w:t> </w:t>
      </w:r>
      <w:r>
        <w:rPr/>
        <w:t>building</w:t>
      </w:r>
      <w:r>
        <w:rPr>
          <w:spacing w:val="29"/>
        </w:rPr>
        <w:t> </w:t>
      </w:r>
      <w:r>
        <w:rPr/>
        <w:t>neither</w:t>
      </w:r>
      <w:r>
        <w:rPr>
          <w:spacing w:val="29"/>
        </w:rPr>
        <w:t> </w:t>
      </w:r>
      <w:r>
        <w:rPr/>
        <w:t>affected</w:t>
      </w:r>
      <w:r>
        <w:rPr>
          <w:spacing w:val="29"/>
        </w:rPr>
        <w:t> </w:t>
      </w:r>
      <w:r>
        <w:rPr/>
        <w:t>by</w:t>
      </w:r>
      <w:r>
        <w:rPr>
          <w:spacing w:val="29"/>
        </w:rPr>
        <w:t> </w:t>
      </w:r>
      <w:r>
        <w:rPr/>
        <w:t>the</w:t>
      </w:r>
      <w:r>
        <w:rPr>
          <w:spacing w:val="31"/>
        </w:rPr>
        <w:t> </w:t>
      </w:r>
      <w:r>
        <w:rPr/>
        <w:t>road</w:t>
      </w:r>
      <w:r>
        <w:rPr>
          <w:spacing w:val="29"/>
        </w:rPr>
        <w:t> </w:t>
      </w:r>
      <w:r>
        <w:rPr/>
        <w:t>widening</w:t>
      </w:r>
      <w:r>
        <w:rPr>
          <w:spacing w:val="29"/>
        </w:rPr>
        <w:t> </w:t>
      </w:r>
      <w:r>
        <w:rPr/>
        <w:t>nor</w:t>
      </w:r>
      <w:r>
        <w:rPr>
          <w:spacing w:val="29"/>
        </w:rPr>
        <w:t> </w:t>
      </w:r>
      <w:r>
        <w:rPr/>
        <w:t>by</w:t>
      </w:r>
      <w:r>
        <w:rPr>
          <w:spacing w:val="29"/>
        </w:rPr>
        <w:t> </w:t>
      </w:r>
      <w:r>
        <w:rPr/>
        <w:t>DP </w:t>
      </w:r>
      <w:r>
        <w:rPr>
          <w:spacing w:val="-2"/>
        </w:rPr>
        <w:t>Reservations.</w:t>
      </w:r>
    </w:p>
    <w:p>
      <w:pPr>
        <w:pStyle w:val="BodyText"/>
        <w:spacing w:before="120"/>
        <w:ind w:left="1498" w:right="768"/>
        <w:jc w:val="left"/>
      </w:pPr>
      <w:r>
        <w:rPr/>
        <w:t>Category-II-The</w:t>
      </w:r>
      <w:r>
        <w:rPr>
          <w:spacing w:val="-14"/>
        </w:rPr>
        <w:t> </w:t>
      </w:r>
      <w:r>
        <w:rPr/>
        <w:t>buildings</w:t>
      </w:r>
      <w:r>
        <w:rPr>
          <w:spacing w:val="-14"/>
        </w:rPr>
        <w:t> </w:t>
      </w:r>
      <w:r>
        <w:rPr/>
        <w:t>affected</w:t>
      </w:r>
      <w:r>
        <w:rPr>
          <w:spacing w:val="-14"/>
        </w:rPr>
        <w:t> </w:t>
      </w:r>
      <w:r>
        <w:rPr/>
        <w:t>by</w:t>
      </w:r>
      <w:r>
        <w:rPr>
          <w:spacing w:val="-14"/>
        </w:rPr>
        <w:t> </w:t>
      </w:r>
      <w:r>
        <w:rPr/>
        <w:t>the</w:t>
      </w:r>
      <w:r>
        <w:rPr>
          <w:spacing w:val="-14"/>
        </w:rPr>
        <w:t> </w:t>
      </w:r>
      <w:r>
        <w:rPr/>
        <w:t>road</w:t>
      </w:r>
      <w:r>
        <w:rPr>
          <w:spacing w:val="-14"/>
        </w:rPr>
        <w:t> </w:t>
      </w:r>
      <w:r>
        <w:rPr/>
        <w:t>widening</w:t>
      </w:r>
      <w:r>
        <w:rPr>
          <w:spacing w:val="-14"/>
        </w:rPr>
        <w:t> </w:t>
      </w:r>
      <w:r>
        <w:rPr/>
        <w:t>or</w:t>
      </w:r>
      <w:r>
        <w:rPr>
          <w:spacing w:val="-14"/>
        </w:rPr>
        <w:t> </w:t>
      </w:r>
      <w:r>
        <w:rPr/>
        <w:t>by</w:t>
      </w:r>
      <w:r>
        <w:rPr>
          <w:spacing w:val="-14"/>
        </w:rPr>
        <w:t> </w:t>
      </w:r>
      <w:r>
        <w:rPr/>
        <w:t>reservations</w:t>
      </w:r>
      <w:r>
        <w:rPr>
          <w:spacing w:val="-14"/>
        </w:rPr>
        <w:t> </w:t>
      </w:r>
      <w:r>
        <w:rPr/>
        <w:t>or by both</w:t>
      </w:r>
    </w:p>
    <w:p>
      <w:pPr>
        <w:pStyle w:val="ListParagraph"/>
        <w:numPr>
          <w:ilvl w:val="0"/>
          <w:numId w:val="350"/>
        </w:numPr>
        <w:tabs>
          <w:tab w:pos="1496" w:val="left" w:leader="none"/>
        </w:tabs>
        <w:spacing w:line="240" w:lineRule="auto" w:before="121" w:after="0"/>
        <w:ind w:left="1496" w:right="0" w:hanging="358"/>
        <w:jc w:val="left"/>
        <w:rPr>
          <w:b/>
          <w:i/>
          <w:sz w:val="22"/>
        </w:rPr>
      </w:pPr>
      <w:r>
        <w:rPr>
          <w:b/>
          <w:i/>
          <w:sz w:val="22"/>
        </w:rPr>
        <w:t>Pre-requisites</w:t>
      </w:r>
      <w:r>
        <w:rPr>
          <w:b/>
          <w:i/>
          <w:spacing w:val="-9"/>
          <w:sz w:val="22"/>
        </w:rPr>
        <w:t> </w:t>
      </w:r>
      <w:r>
        <w:rPr>
          <w:b/>
          <w:i/>
          <w:sz w:val="22"/>
        </w:rPr>
        <w:t>while</w:t>
      </w:r>
      <w:r>
        <w:rPr>
          <w:b/>
          <w:i/>
          <w:spacing w:val="-8"/>
          <w:sz w:val="22"/>
        </w:rPr>
        <w:t> </w:t>
      </w:r>
      <w:r>
        <w:rPr>
          <w:b/>
          <w:i/>
          <w:sz w:val="22"/>
        </w:rPr>
        <w:t>submitting</w:t>
      </w:r>
      <w:r>
        <w:rPr>
          <w:b/>
          <w:i/>
          <w:spacing w:val="-8"/>
          <w:sz w:val="22"/>
        </w:rPr>
        <w:t> </w:t>
      </w:r>
      <w:r>
        <w:rPr>
          <w:b/>
          <w:i/>
          <w:sz w:val="22"/>
        </w:rPr>
        <w:t>the</w:t>
      </w:r>
      <w:r>
        <w:rPr>
          <w:b/>
          <w:i/>
          <w:spacing w:val="-8"/>
          <w:sz w:val="22"/>
        </w:rPr>
        <w:t> </w:t>
      </w:r>
      <w:r>
        <w:rPr>
          <w:b/>
          <w:i/>
          <w:spacing w:val="-2"/>
          <w:sz w:val="22"/>
        </w:rPr>
        <w:t>proposal:</w:t>
      </w:r>
    </w:p>
    <w:p>
      <w:pPr>
        <w:pStyle w:val="ListParagraph"/>
        <w:numPr>
          <w:ilvl w:val="1"/>
          <w:numId w:val="350"/>
        </w:numPr>
        <w:tabs>
          <w:tab w:pos="1978" w:val="left" w:leader="none"/>
        </w:tabs>
        <w:spacing w:line="240" w:lineRule="auto" w:before="160" w:after="0"/>
        <w:ind w:left="1978" w:right="775" w:hanging="480"/>
        <w:jc w:val="left"/>
        <w:rPr>
          <w:sz w:val="24"/>
        </w:rPr>
      </w:pPr>
      <w:r>
        <w:rPr>
          <w:sz w:val="24"/>
        </w:rPr>
        <w:t>Notice</w:t>
      </w:r>
      <w:r>
        <w:rPr>
          <w:spacing w:val="-6"/>
          <w:sz w:val="24"/>
        </w:rPr>
        <w:t> </w:t>
      </w:r>
      <w:r>
        <w:rPr>
          <w:sz w:val="24"/>
        </w:rPr>
        <w:t>under</w:t>
      </w:r>
      <w:r>
        <w:rPr>
          <w:spacing w:val="-6"/>
          <w:sz w:val="24"/>
        </w:rPr>
        <w:t> </w:t>
      </w:r>
      <w:r>
        <w:rPr>
          <w:sz w:val="24"/>
        </w:rPr>
        <w:t>section</w:t>
      </w:r>
      <w:r>
        <w:rPr>
          <w:spacing w:val="-8"/>
          <w:sz w:val="24"/>
        </w:rPr>
        <w:t> </w:t>
      </w:r>
      <w:r>
        <w:rPr>
          <w:sz w:val="24"/>
        </w:rPr>
        <w:t>342</w:t>
      </w:r>
      <w:r>
        <w:rPr>
          <w:spacing w:val="-6"/>
          <w:sz w:val="24"/>
        </w:rPr>
        <w:t> </w:t>
      </w:r>
      <w:r>
        <w:rPr>
          <w:sz w:val="24"/>
        </w:rPr>
        <w:t>of</w:t>
      </w:r>
      <w:r>
        <w:rPr>
          <w:spacing w:val="-6"/>
          <w:sz w:val="24"/>
        </w:rPr>
        <w:t> </w:t>
      </w:r>
      <w:r>
        <w:rPr>
          <w:sz w:val="24"/>
        </w:rPr>
        <w:t>MMC</w:t>
      </w:r>
      <w:r>
        <w:rPr>
          <w:spacing w:val="-6"/>
          <w:sz w:val="24"/>
        </w:rPr>
        <w:t> </w:t>
      </w:r>
      <w:r>
        <w:rPr>
          <w:sz w:val="24"/>
        </w:rPr>
        <w:t>Act</w:t>
      </w:r>
      <w:r>
        <w:rPr>
          <w:spacing w:val="-6"/>
          <w:sz w:val="24"/>
        </w:rPr>
        <w:t> </w:t>
      </w:r>
      <w:r>
        <w:rPr>
          <w:sz w:val="24"/>
        </w:rPr>
        <w:t>and</w:t>
      </w:r>
      <w:r>
        <w:rPr>
          <w:spacing w:val="-6"/>
          <w:sz w:val="24"/>
        </w:rPr>
        <w:t> </w:t>
      </w:r>
      <w:r>
        <w:rPr>
          <w:sz w:val="24"/>
        </w:rPr>
        <w:t>notice</w:t>
      </w:r>
      <w:r>
        <w:rPr>
          <w:spacing w:val="-6"/>
          <w:sz w:val="24"/>
        </w:rPr>
        <w:t> </w:t>
      </w:r>
      <w:r>
        <w:rPr>
          <w:sz w:val="24"/>
        </w:rPr>
        <w:t>under</w:t>
      </w:r>
      <w:r>
        <w:rPr>
          <w:spacing w:val="-6"/>
          <w:sz w:val="24"/>
        </w:rPr>
        <w:t> </w:t>
      </w:r>
      <w:r>
        <w:rPr>
          <w:sz w:val="24"/>
        </w:rPr>
        <w:t>section</w:t>
      </w:r>
      <w:r>
        <w:rPr>
          <w:spacing w:val="-6"/>
          <w:sz w:val="24"/>
        </w:rPr>
        <w:t> </w:t>
      </w:r>
      <w:r>
        <w:rPr>
          <w:sz w:val="24"/>
        </w:rPr>
        <w:t>44/69</w:t>
      </w:r>
      <w:r>
        <w:rPr>
          <w:spacing w:val="-6"/>
          <w:sz w:val="24"/>
        </w:rPr>
        <w:t> </w:t>
      </w:r>
      <w:r>
        <w:rPr>
          <w:sz w:val="24"/>
        </w:rPr>
        <w:t>of MR &amp; TP Act 1966 duly signed by owner/NOC Holder.</w:t>
      </w:r>
    </w:p>
    <w:p>
      <w:pPr>
        <w:pStyle w:val="ListParagraph"/>
        <w:numPr>
          <w:ilvl w:val="1"/>
          <w:numId w:val="350"/>
        </w:numPr>
        <w:tabs>
          <w:tab w:pos="1977" w:val="left" w:leader="none"/>
        </w:tabs>
        <w:spacing w:line="240" w:lineRule="auto" w:before="58" w:after="0"/>
        <w:ind w:left="1977" w:right="0" w:hanging="479"/>
        <w:jc w:val="left"/>
        <w:rPr>
          <w:sz w:val="24"/>
        </w:rPr>
      </w:pPr>
      <w:r>
        <w:rPr>
          <w:sz w:val="24"/>
        </w:rPr>
        <w:t>NOC</w:t>
      </w:r>
      <w:r>
        <w:rPr>
          <w:spacing w:val="-2"/>
          <w:sz w:val="24"/>
        </w:rPr>
        <w:t> </w:t>
      </w:r>
      <w:r>
        <w:rPr>
          <w:sz w:val="24"/>
        </w:rPr>
        <w:t>from</w:t>
      </w:r>
      <w:r>
        <w:rPr>
          <w:spacing w:val="-2"/>
          <w:sz w:val="24"/>
        </w:rPr>
        <w:t> </w:t>
      </w:r>
      <w:r>
        <w:rPr>
          <w:sz w:val="24"/>
        </w:rPr>
        <w:t>M.B.R</w:t>
      </w:r>
      <w:r>
        <w:rPr>
          <w:spacing w:val="-1"/>
          <w:sz w:val="24"/>
        </w:rPr>
        <w:t> </w:t>
      </w:r>
      <w:r>
        <w:rPr>
          <w:sz w:val="24"/>
        </w:rPr>
        <w:t>&amp;</w:t>
      </w:r>
      <w:r>
        <w:rPr>
          <w:spacing w:val="-2"/>
          <w:sz w:val="24"/>
        </w:rPr>
        <w:t> </w:t>
      </w:r>
      <w:r>
        <w:rPr>
          <w:sz w:val="24"/>
        </w:rPr>
        <w:t>R</w:t>
      </w:r>
      <w:r>
        <w:rPr>
          <w:spacing w:val="-2"/>
          <w:sz w:val="24"/>
        </w:rPr>
        <w:t> </w:t>
      </w:r>
      <w:r>
        <w:rPr>
          <w:sz w:val="24"/>
        </w:rPr>
        <w:t>Board</w:t>
      </w:r>
      <w:r>
        <w:rPr>
          <w:spacing w:val="-1"/>
          <w:sz w:val="24"/>
        </w:rPr>
        <w:t> </w:t>
      </w:r>
      <w:r>
        <w:rPr>
          <w:sz w:val="24"/>
        </w:rPr>
        <w:t>(if</w:t>
      </w:r>
      <w:r>
        <w:rPr>
          <w:spacing w:val="-2"/>
          <w:sz w:val="24"/>
        </w:rPr>
        <w:t> </w:t>
      </w:r>
      <w:r>
        <w:rPr>
          <w:sz w:val="24"/>
        </w:rPr>
        <w:t>cessed </w:t>
      </w:r>
      <w:r>
        <w:rPr>
          <w:spacing w:val="-2"/>
          <w:sz w:val="24"/>
        </w:rPr>
        <w:t>building)</w:t>
      </w:r>
    </w:p>
    <w:p>
      <w:pPr>
        <w:pStyle w:val="ListParagraph"/>
        <w:numPr>
          <w:ilvl w:val="1"/>
          <w:numId w:val="350"/>
        </w:numPr>
        <w:tabs>
          <w:tab w:pos="1977" w:val="left" w:leader="none"/>
        </w:tabs>
        <w:spacing w:line="240" w:lineRule="auto" w:before="61" w:after="0"/>
        <w:ind w:left="1977" w:right="0" w:hanging="479"/>
        <w:jc w:val="left"/>
        <w:rPr>
          <w:sz w:val="24"/>
        </w:rPr>
      </w:pPr>
      <w:r>
        <w:rPr>
          <w:sz w:val="24"/>
        </w:rPr>
        <w:t>Structural</w:t>
      </w:r>
      <w:r>
        <w:rPr>
          <w:spacing w:val="-1"/>
          <w:sz w:val="24"/>
        </w:rPr>
        <w:t> </w:t>
      </w:r>
      <w:r>
        <w:rPr>
          <w:sz w:val="24"/>
        </w:rPr>
        <w:t>audit</w:t>
      </w:r>
      <w:r>
        <w:rPr>
          <w:spacing w:val="-1"/>
          <w:sz w:val="24"/>
        </w:rPr>
        <w:t> </w:t>
      </w:r>
      <w:r>
        <w:rPr>
          <w:sz w:val="24"/>
        </w:rPr>
        <w:t>report/Statutory</w:t>
      </w:r>
      <w:r>
        <w:rPr>
          <w:spacing w:val="-1"/>
          <w:sz w:val="24"/>
        </w:rPr>
        <w:t> </w:t>
      </w:r>
      <w:r>
        <w:rPr>
          <w:sz w:val="24"/>
        </w:rPr>
        <w:t>Notice</w:t>
      </w:r>
      <w:r>
        <w:rPr>
          <w:spacing w:val="-1"/>
          <w:sz w:val="24"/>
        </w:rPr>
        <w:t> </w:t>
      </w:r>
      <w:r>
        <w:rPr>
          <w:sz w:val="24"/>
        </w:rPr>
        <w:t>issued</w:t>
      </w:r>
      <w:r>
        <w:rPr>
          <w:spacing w:val="-1"/>
          <w:sz w:val="24"/>
        </w:rPr>
        <w:t> </w:t>
      </w:r>
      <w:r>
        <w:rPr>
          <w:sz w:val="24"/>
        </w:rPr>
        <w:t>by </w:t>
      </w:r>
      <w:r>
        <w:rPr>
          <w:spacing w:val="-2"/>
          <w:sz w:val="24"/>
        </w:rPr>
        <w:t>MCGM/MHADA</w:t>
      </w:r>
    </w:p>
    <w:p>
      <w:pPr>
        <w:pStyle w:val="ListParagraph"/>
        <w:numPr>
          <w:ilvl w:val="1"/>
          <w:numId w:val="350"/>
        </w:numPr>
        <w:tabs>
          <w:tab w:pos="1977" w:val="left" w:leader="none"/>
        </w:tabs>
        <w:spacing w:line="240" w:lineRule="auto" w:before="59" w:after="0"/>
        <w:ind w:left="1977" w:right="0" w:hanging="479"/>
        <w:jc w:val="left"/>
        <w:rPr>
          <w:sz w:val="24"/>
        </w:rPr>
      </w:pPr>
      <w:r>
        <w:rPr>
          <w:sz w:val="24"/>
        </w:rPr>
        <w:t>Photographs</w:t>
      </w:r>
      <w:r>
        <w:rPr>
          <w:spacing w:val="-2"/>
          <w:sz w:val="24"/>
        </w:rPr>
        <w:t> </w:t>
      </w:r>
      <w:r>
        <w:rPr>
          <w:sz w:val="24"/>
        </w:rPr>
        <w:t>showing</w:t>
      </w:r>
      <w:r>
        <w:rPr>
          <w:spacing w:val="-1"/>
          <w:sz w:val="24"/>
        </w:rPr>
        <w:t> </w:t>
      </w:r>
      <w:r>
        <w:rPr>
          <w:sz w:val="24"/>
        </w:rPr>
        <w:t>condition</w:t>
      </w:r>
      <w:r>
        <w:rPr>
          <w:spacing w:val="-1"/>
          <w:sz w:val="24"/>
        </w:rPr>
        <w:t> </w:t>
      </w:r>
      <w:r>
        <w:rPr>
          <w:sz w:val="24"/>
        </w:rPr>
        <w:t>of</w:t>
      </w:r>
      <w:r>
        <w:rPr>
          <w:spacing w:val="-2"/>
          <w:sz w:val="24"/>
        </w:rPr>
        <w:t> </w:t>
      </w:r>
      <w:r>
        <w:rPr>
          <w:sz w:val="24"/>
        </w:rPr>
        <w:t>building</w:t>
      </w:r>
      <w:r>
        <w:rPr>
          <w:spacing w:val="-1"/>
          <w:sz w:val="24"/>
        </w:rPr>
        <w:t> </w:t>
      </w:r>
      <w:r>
        <w:rPr>
          <w:sz w:val="24"/>
        </w:rPr>
        <w:t>as</w:t>
      </w:r>
      <w:r>
        <w:rPr>
          <w:spacing w:val="-1"/>
          <w:sz w:val="24"/>
        </w:rPr>
        <w:t> </w:t>
      </w:r>
      <w:r>
        <w:rPr>
          <w:spacing w:val="-2"/>
          <w:sz w:val="24"/>
        </w:rPr>
        <w:t>under:</w:t>
      </w:r>
    </w:p>
    <w:p>
      <w:pPr>
        <w:pStyle w:val="ListParagraph"/>
        <w:numPr>
          <w:ilvl w:val="2"/>
          <w:numId w:val="350"/>
        </w:numPr>
        <w:tabs>
          <w:tab w:pos="2338" w:val="left" w:leader="none"/>
        </w:tabs>
        <w:spacing w:line="240" w:lineRule="auto" w:before="62" w:after="0"/>
        <w:ind w:left="2338" w:right="778" w:hanging="360"/>
        <w:jc w:val="left"/>
        <w:rPr>
          <w:sz w:val="24"/>
        </w:rPr>
      </w:pPr>
      <w:r>
        <w:rPr>
          <w:sz w:val="24"/>
        </w:rPr>
        <w:t>Front</w:t>
      </w:r>
      <w:r>
        <w:rPr>
          <w:spacing w:val="80"/>
          <w:sz w:val="24"/>
        </w:rPr>
        <w:t> </w:t>
      </w:r>
      <w:r>
        <w:rPr>
          <w:sz w:val="24"/>
        </w:rPr>
        <w:t>roadside</w:t>
      </w:r>
      <w:r>
        <w:rPr>
          <w:spacing w:val="80"/>
          <w:sz w:val="24"/>
        </w:rPr>
        <w:t> </w:t>
      </w:r>
      <w:r>
        <w:rPr>
          <w:sz w:val="24"/>
        </w:rPr>
        <w:t>view</w:t>
      </w:r>
      <w:r>
        <w:rPr>
          <w:spacing w:val="80"/>
          <w:sz w:val="24"/>
        </w:rPr>
        <w:t> </w:t>
      </w:r>
      <w:r>
        <w:rPr>
          <w:sz w:val="24"/>
        </w:rPr>
        <w:t>from</w:t>
      </w:r>
      <w:r>
        <w:rPr>
          <w:spacing w:val="80"/>
          <w:sz w:val="24"/>
        </w:rPr>
        <w:t> </w:t>
      </w:r>
      <w:r>
        <w:rPr>
          <w:sz w:val="24"/>
        </w:rPr>
        <w:t>ground</w:t>
      </w:r>
      <w:r>
        <w:rPr>
          <w:spacing w:val="80"/>
          <w:sz w:val="24"/>
        </w:rPr>
        <w:t> </w:t>
      </w:r>
      <w:r>
        <w:rPr>
          <w:sz w:val="24"/>
        </w:rPr>
        <w:t>to</w:t>
      </w:r>
      <w:r>
        <w:rPr>
          <w:spacing w:val="80"/>
          <w:sz w:val="24"/>
        </w:rPr>
        <w:t> </w:t>
      </w:r>
      <w:r>
        <w:rPr>
          <w:sz w:val="24"/>
        </w:rPr>
        <w:t>top</w:t>
      </w:r>
      <w:r>
        <w:rPr>
          <w:spacing w:val="80"/>
          <w:sz w:val="24"/>
        </w:rPr>
        <w:t> </w:t>
      </w:r>
      <w:r>
        <w:rPr>
          <w:sz w:val="24"/>
        </w:rPr>
        <w:t>floor</w:t>
      </w:r>
      <w:r>
        <w:rPr>
          <w:spacing w:val="80"/>
          <w:sz w:val="24"/>
        </w:rPr>
        <w:t> </w:t>
      </w:r>
      <w:r>
        <w:rPr>
          <w:sz w:val="24"/>
        </w:rPr>
        <w:t>in</w:t>
      </w:r>
      <w:r>
        <w:rPr>
          <w:spacing w:val="80"/>
          <w:sz w:val="24"/>
        </w:rPr>
        <w:t> </w:t>
      </w:r>
      <w:r>
        <w:rPr>
          <w:sz w:val="24"/>
        </w:rPr>
        <w:t>one</w:t>
      </w:r>
      <w:r>
        <w:rPr>
          <w:spacing w:val="80"/>
          <w:sz w:val="24"/>
        </w:rPr>
        <w:t> </w:t>
      </w:r>
      <w:r>
        <w:rPr>
          <w:sz w:val="24"/>
        </w:rPr>
        <w:t>or</w:t>
      </w:r>
      <w:r>
        <w:rPr>
          <w:spacing w:val="80"/>
          <w:sz w:val="24"/>
        </w:rPr>
        <w:t> </w:t>
      </w:r>
      <w:r>
        <w:rPr>
          <w:sz w:val="24"/>
        </w:rPr>
        <w:t>more photographs as possible.</w:t>
      </w:r>
    </w:p>
    <w:p>
      <w:pPr>
        <w:pStyle w:val="ListParagraph"/>
        <w:numPr>
          <w:ilvl w:val="2"/>
          <w:numId w:val="350"/>
        </w:numPr>
        <w:tabs>
          <w:tab w:pos="2414" w:val="left" w:leader="none"/>
        </w:tabs>
        <w:spacing w:line="240" w:lineRule="auto" w:before="58" w:after="0"/>
        <w:ind w:left="2414" w:right="0" w:hanging="436"/>
        <w:jc w:val="left"/>
        <w:rPr>
          <w:sz w:val="24"/>
        </w:rPr>
      </w:pPr>
      <w:r>
        <w:rPr>
          <w:sz w:val="24"/>
        </w:rPr>
        <w:t>Side</w:t>
      </w:r>
      <w:r>
        <w:rPr>
          <w:spacing w:val="-2"/>
          <w:sz w:val="24"/>
        </w:rPr>
        <w:t> </w:t>
      </w:r>
      <w:r>
        <w:rPr>
          <w:sz w:val="24"/>
        </w:rPr>
        <w:t>view</w:t>
      </w:r>
      <w:r>
        <w:rPr>
          <w:spacing w:val="-2"/>
          <w:sz w:val="24"/>
        </w:rPr>
        <w:t> </w:t>
      </w:r>
      <w:r>
        <w:rPr>
          <w:sz w:val="24"/>
        </w:rPr>
        <w:t>elevation</w:t>
      </w:r>
      <w:r>
        <w:rPr>
          <w:spacing w:val="-1"/>
          <w:sz w:val="24"/>
        </w:rPr>
        <w:t> </w:t>
      </w:r>
      <w:r>
        <w:rPr>
          <w:sz w:val="24"/>
        </w:rPr>
        <w:t>photographs</w:t>
      </w:r>
      <w:r>
        <w:rPr>
          <w:spacing w:val="-2"/>
          <w:sz w:val="24"/>
        </w:rPr>
        <w:t> </w:t>
      </w:r>
      <w:r>
        <w:rPr>
          <w:sz w:val="24"/>
        </w:rPr>
        <w:t>wherever</w:t>
      </w:r>
      <w:r>
        <w:rPr>
          <w:spacing w:val="-1"/>
          <w:sz w:val="24"/>
        </w:rPr>
        <w:t> </w:t>
      </w:r>
      <w:r>
        <w:rPr>
          <w:spacing w:val="-2"/>
          <w:sz w:val="24"/>
        </w:rPr>
        <w:t>possible.</w:t>
      </w:r>
    </w:p>
    <w:p>
      <w:pPr>
        <w:pStyle w:val="ListParagraph"/>
        <w:numPr>
          <w:ilvl w:val="2"/>
          <w:numId w:val="350"/>
        </w:numPr>
        <w:tabs>
          <w:tab w:pos="2337" w:val="left" w:leader="none"/>
        </w:tabs>
        <w:spacing w:line="240" w:lineRule="auto" w:before="62" w:after="0"/>
        <w:ind w:left="2337" w:right="0" w:hanging="359"/>
        <w:jc w:val="left"/>
        <w:rPr>
          <w:sz w:val="24"/>
        </w:rPr>
      </w:pPr>
      <w:r>
        <w:rPr>
          <w:sz w:val="24"/>
        </w:rPr>
        <w:t>Dangerous</w:t>
      </w:r>
      <w:r>
        <w:rPr>
          <w:spacing w:val="-2"/>
          <w:sz w:val="24"/>
        </w:rPr>
        <w:t> </w:t>
      </w:r>
      <w:r>
        <w:rPr>
          <w:sz w:val="24"/>
        </w:rPr>
        <w:t>portions</w:t>
      </w:r>
      <w:r>
        <w:rPr>
          <w:spacing w:val="-2"/>
          <w:sz w:val="24"/>
        </w:rPr>
        <w:t> </w:t>
      </w:r>
      <w:r>
        <w:rPr>
          <w:sz w:val="24"/>
        </w:rPr>
        <w:t>proposed</w:t>
      </w:r>
      <w:r>
        <w:rPr>
          <w:spacing w:val="-2"/>
          <w:sz w:val="24"/>
        </w:rPr>
        <w:t> </w:t>
      </w:r>
      <w:r>
        <w:rPr>
          <w:sz w:val="24"/>
        </w:rPr>
        <w:t>for</w:t>
      </w:r>
      <w:r>
        <w:rPr>
          <w:spacing w:val="-1"/>
          <w:sz w:val="24"/>
        </w:rPr>
        <w:t> </w:t>
      </w:r>
      <w:r>
        <w:rPr>
          <w:spacing w:val="-2"/>
          <w:sz w:val="24"/>
        </w:rPr>
        <w:t>repairs</w:t>
      </w:r>
    </w:p>
    <w:p>
      <w:pPr>
        <w:pStyle w:val="ListParagraph"/>
        <w:numPr>
          <w:ilvl w:val="2"/>
          <w:numId w:val="350"/>
        </w:numPr>
        <w:tabs>
          <w:tab w:pos="2337" w:val="left" w:leader="none"/>
        </w:tabs>
        <w:spacing w:line="240" w:lineRule="auto" w:before="59" w:after="0"/>
        <w:ind w:left="2337" w:right="0" w:hanging="359"/>
        <w:jc w:val="left"/>
        <w:rPr>
          <w:sz w:val="24"/>
        </w:rPr>
      </w:pPr>
      <w:r>
        <w:rPr>
          <w:sz w:val="24"/>
        </w:rPr>
        <w:t>Type</w:t>
      </w:r>
      <w:r>
        <w:rPr>
          <w:spacing w:val="-1"/>
          <w:sz w:val="24"/>
        </w:rPr>
        <w:t> </w:t>
      </w:r>
      <w:r>
        <w:rPr>
          <w:sz w:val="24"/>
        </w:rPr>
        <w:t>of existing material</w:t>
      </w:r>
      <w:r>
        <w:rPr>
          <w:spacing w:val="-1"/>
          <w:sz w:val="24"/>
        </w:rPr>
        <w:t> </w:t>
      </w:r>
      <w:r>
        <w:rPr>
          <w:sz w:val="24"/>
        </w:rPr>
        <w:t>in mode of </w:t>
      </w:r>
      <w:r>
        <w:rPr>
          <w:spacing w:val="-2"/>
          <w:sz w:val="24"/>
        </w:rPr>
        <w:t>construction</w:t>
      </w:r>
    </w:p>
    <w:p>
      <w:pPr>
        <w:pStyle w:val="ListParagraph"/>
        <w:numPr>
          <w:ilvl w:val="2"/>
          <w:numId w:val="350"/>
        </w:numPr>
        <w:tabs>
          <w:tab w:pos="2337" w:val="left" w:leader="none"/>
        </w:tabs>
        <w:spacing w:line="240" w:lineRule="auto" w:before="59" w:after="0"/>
        <w:ind w:left="2337" w:right="0" w:hanging="359"/>
        <w:jc w:val="left"/>
        <w:rPr>
          <w:sz w:val="24"/>
        </w:rPr>
      </w:pPr>
      <w:r>
        <w:rPr>
          <w:sz w:val="24"/>
        </w:rPr>
        <w:t>Roof </w:t>
      </w:r>
      <w:r>
        <w:rPr>
          <w:spacing w:val="-2"/>
          <w:sz w:val="24"/>
        </w:rPr>
        <w:t>photographs.</w:t>
      </w:r>
    </w:p>
    <w:p>
      <w:pPr>
        <w:pStyle w:val="ListParagraph"/>
        <w:numPr>
          <w:ilvl w:val="1"/>
          <w:numId w:val="350"/>
        </w:numPr>
        <w:tabs>
          <w:tab w:pos="1976" w:val="left" w:leader="none"/>
        </w:tabs>
        <w:spacing w:line="240" w:lineRule="auto" w:before="62" w:after="0"/>
        <w:ind w:left="1976" w:right="0" w:hanging="478"/>
        <w:jc w:val="both"/>
        <w:rPr>
          <w:sz w:val="24"/>
        </w:rPr>
      </w:pPr>
      <w:r>
        <w:rPr>
          <w:sz w:val="24"/>
        </w:rPr>
        <w:t>Plan</w:t>
      </w:r>
      <w:r>
        <w:rPr>
          <w:spacing w:val="-16"/>
          <w:sz w:val="24"/>
        </w:rPr>
        <w:t> </w:t>
      </w:r>
      <w:r>
        <w:rPr>
          <w:sz w:val="24"/>
        </w:rPr>
        <w:t>showing</w:t>
      </w:r>
      <w:r>
        <w:rPr>
          <w:spacing w:val="-13"/>
          <w:sz w:val="24"/>
        </w:rPr>
        <w:t> </w:t>
      </w:r>
      <w:r>
        <w:rPr>
          <w:sz w:val="24"/>
        </w:rPr>
        <w:t>block</w:t>
      </w:r>
      <w:r>
        <w:rPr>
          <w:spacing w:val="-11"/>
          <w:sz w:val="24"/>
        </w:rPr>
        <w:t> </w:t>
      </w:r>
      <w:r>
        <w:rPr>
          <w:sz w:val="24"/>
        </w:rPr>
        <w:t>plan,</w:t>
      </w:r>
      <w:r>
        <w:rPr>
          <w:spacing w:val="-13"/>
          <w:sz w:val="24"/>
        </w:rPr>
        <w:t> </w:t>
      </w:r>
      <w:r>
        <w:rPr>
          <w:sz w:val="24"/>
        </w:rPr>
        <w:t>location</w:t>
      </w:r>
      <w:r>
        <w:rPr>
          <w:spacing w:val="-14"/>
          <w:sz w:val="24"/>
        </w:rPr>
        <w:t> </w:t>
      </w:r>
      <w:r>
        <w:rPr>
          <w:sz w:val="24"/>
        </w:rPr>
        <w:t>plan</w:t>
      </w:r>
      <w:r>
        <w:rPr>
          <w:spacing w:val="-13"/>
          <w:sz w:val="24"/>
        </w:rPr>
        <w:t> </w:t>
      </w:r>
      <w:r>
        <w:rPr>
          <w:sz w:val="24"/>
        </w:rPr>
        <w:t>and</w:t>
      </w:r>
      <w:r>
        <w:rPr>
          <w:spacing w:val="-13"/>
          <w:sz w:val="24"/>
        </w:rPr>
        <w:t> </w:t>
      </w:r>
      <w:r>
        <w:rPr>
          <w:sz w:val="24"/>
        </w:rPr>
        <w:t>all</w:t>
      </w:r>
      <w:r>
        <w:rPr>
          <w:spacing w:val="-13"/>
          <w:sz w:val="24"/>
        </w:rPr>
        <w:t> </w:t>
      </w:r>
      <w:r>
        <w:rPr>
          <w:sz w:val="24"/>
        </w:rPr>
        <w:t>the</w:t>
      </w:r>
      <w:r>
        <w:rPr>
          <w:spacing w:val="-14"/>
          <w:sz w:val="24"/>
        </w:rPr>
        <w:t> </w:t>
      </w:r>
      <w:r>
        <w:rPr>
          <w:sz w:val="24"/>
        </w:rPr>
        <w:t>details</w:t>
      </w:r>
      <w:r>
        <w:rPr>
          <w:spacing w:val="-11"/>
          <w:sz w:val="24"/>
        </w:rPr>
        <w:t> </w:t>
      </w:r>
      <w:r>
        <w:rPr>
          <w:sz w:val="24"/>
        </w:rPr>
        <w:t>existing</w:t>
      </w:r>
      <w:r>
        <w:rPr>
          <w:spacing w:val="-11"/>
          <w:sz w:val="24"/>
        </w:rPr>
        <w:t> </w:t>
      </w:r>
      <w:r>
        <w:rPr>
          <w:sz w:val="24"/>
        </w:rPr>
        <w:t>on</w:t>
      </w:r>
      <w:r>
        <w:rPr>
          <w:spacing w:val="-13"/>
          <w:sz w:val="24"/>
        </w:rPr>
        <w:t> </w:t>
      </w:r>
      <w:r>
        <w:rPr>
          <w:spacing w:val="-4"/>
          <w:sz w:val="24"/>
        </w:rPr>
        <w:t>site</w:t>
      </w:r>
    </w:p>
    <w:p>
      <w:pPr>
        <w:pStyle w:val="ListParagraph"/>
        <w:numPr>
          <w:ilvl w:val="1"/>
          <w:numId w:val="350"/>
        </w:numPr>
        <w:tabs>
          <w:tab w:pos="1958" w:val="left" w:leader="none"/>
          <w:tab w:pos="1978" w:val="left" w:leader="none"/>
        </w:tabs>
        <w:spacing w:line="240" w:lineRule="auto" w:before="119" w:after="0"/>
        <w:ind w:left="1978" w:right="772" w:hanging="480"/>
        <w:jc w:val="both"/>
        <w:rPr>
          <w:sz w:val="24"/>
        </w:rPr>
      </w:pPr>
      <w:r>
        <w:rPr>
          <w:sz w:val="24"/>
        </w:rPr>
        <w:t>List of all the existing tenants/occupants signed by NOC Holder and countersigned</w:t>
      </w:r>
      <w:r>
        <w:rPr>
          <w:spacing w:val="-4"/>
          <w:sz w:val="24"/>
        </w:rPr>
        <w:t> </w:t>
      </w:r>
      <w:r>
        <w:rPr>
          <w:sz w:val="24"/>
        </w:rPr>
        <w:t>by</w:t>
      </w:r>
      <w:r>
        <w:rPr>
          <w:spacing w:val="-4"/>
          <w:sz w:val="24"/>
        </w:rPr>
        <w:t> </w:t>
      </w:r>
      <w:r>
        <w:rPr>
          <w:sz w:val="24"/>
        </w:rPr>
        <w:t>Architect,</w:t>
      </w:r>
      <w:r>
        <w:rPr>
          <w:spacing w:val="-4"/>
          <w:sz w:val="24"/>
        </w:rPr>
        <w:t> </w:t>
      </w:r>
      <w:r>
        <w:rPr>
          <w:sz w:val="24"/>
        </w:rPr>
        <w:t>in</w:t>
      </w:r>
      <w:r>
        <w:rPr>
          <w:spacing w:val="-4"/>
          <w:sz w:val="24"/>
        </w:rPr>
        <w:t> </w:t>
      </w:r>
      <w:r>
        <w:rPr>
          <w:sz w:val="24"/>
        </w:rPr>
        <w:t>case</w:t>
      </w:r>
      <w:r>
        <w:rPr>
          <w:spacing w:val="-4"/>
          <w:sz w:val="24"/>
        </w:rPr>
        <w:t> </w:t>
      </w:r>
      <w:r>
        <w:rPr>
          <w:sz w:val="24"/>
        </w:rPr>
        <w:t>of</w:t>
      </w:r>
      <w:r>
        <w:rPr>
          <w:spacing w:val="-4"/>
          <w:sz w:val="24"/>
        </w:rPr>
        <w:t> </w:t>
      </w:r>
      <w:r>
        <w:rPr>
          <w:sz w:val="24"/>
        </w:rPr>
        <w:t>non</w:t>
      </w:r>
      <w:r>
        <w:rPr>
          <w:spacing w:val="-4"/>
          <w:sz w:val="24"/>
        </w:rPr>
        <w:t> </w:t>
      </w:r>
      <w:r>
        <w:rPr>
          <w:sz w:val="24"/>
        </w:rPr>
        <w:t>cessed</w:t>
      </w:r>
      <w:r>
        <w:rPr>
          <w:spacing w:val="-4"/>
          <w:sz w:val="24"/>
        </w:rPr>
        <w:t> </w:t>
      </w:r>
      <w:r>
        <w:rPr>
          <w:sz w:val="24"/>
        </w:rPr>
        <w:t>building</w:t>
      </w:r>
      <w:r>
        <w:rPr>
          <w:spacing w:val="-4"/>
          <w:sz w:val="24"/>
        </w:rPr>
        <w:t> </w:t>
      </w:r>
      <w:r>
        <w:rPr>
          <w:sz w:val="24"/>
        </w:rPr>
        <w:t>and</w:t>
      </w:r>
      <w:r>
        <w:rPr>
          <w:spacing w:val="-4"/>
          <w:sz w:val="24"/>
        </w:rPr>
        <w:t> </w:t>
      </w:r>
      <w:r>
        <w:rPr>
          <w:sz w:val="24"/>
        </w:rPr>
        <w:t>list</w:t>
      </w:r>
      <w:r>
        <w:rPr>
          <w:spacing w:val="-4"/>
          <w:sz w:val="24"/>
        </w:rPr>
        <w:t> </w:t>
      </w:r>
      <w:r>
        <w:rPr>
          <w:sz w:val="24"/>
        </w:rPr>
        <w:t>of</w:t>
      </w:r>
      <w:r>
        <w:rPr>
          <w:spacing w:val="-4"/>
          <w:sz w:val="24"/>
        </w:rPr>
        <w:t> </w:t>
      </w:r>
      <w:r>
        <w:rPr>
          <w:sz w:val="24"/>
        </w:rPr>
        <w:t>all the existing tenants/occupants signed by Ex. Engineer M.B. R. &amp; R Board in case of cessed building.</w:t>
      </w:r>
    </w:p>
    <w:p>
      <w:pPr>
        <w:pStyle w:val="ListParagraph"/>
        <w:spacing w:after="0" w:line="240" w:lineRule="auto"/>
        <w:jc w:val="both"/>
        <w:rPr>
          <w:sz w:val="24"/>
        </w:rPr>
        <w:sectPr>
          <w:pgSz w:w="11910" w:h="16850"/>
          <w:pgMar w:header="1024" w:footer="1302" w:top="1480" w:bottom="1500" w:left="360" w:right="360"/>
        </w:sectPr>
      </w:pPr>
    </w:p>
    <w:p>
      <w:pPr>
        <w:pStyle w:val="ListParagraph"/>
        <w:numPr>
          <w:ilvl w:val="1"/>
          <w:numId w:val="350"/>
        </w:numPr>
        <w:tabs>
          <w:tab w:pos="1978" w:val="left" w:leader="none"/>
          <w:tab w:pos="2003" w:val="left" w:leader="none"/>
        </w:tabs>
        <w:spacing w:line="240" w:lineRule="auto" w:before="276" w:after="0"/>
        <w:ind w:left="1978" w:right="774" w:hanging="480"/>
        <w:jc w:val="left"/>
        <w:rPr>
          <w:sz w:val="24"/>
        </w:rPr>
      </w:pPr>
      <w:r>
        <w:rPr>
          <w:sz w:val="24"/>
        </w:rPr>
        <w:t>Owner’s</w:t>
      </w:r>
      <w:r>
        <w:rPr>
          <w:sz w:val="24"/>
        </w:rPr>
        <w:t> consent for the proposed repairs/authority under section 499 of</w:t>
      </w:r>
      <w:r>
        <w:rPr>
          <w:spacing w:val="-1"/>
          <w:sz w:val="24"/>
        </w:rPr>
        <w:t> </w:t>
      </w:r>
      <w:r>
        <w:rPr>
          <w:sz w:val="24"/>
        </w:rPr>
        <w:t>MMC</w:t>
      </w:r>
      <w:r>
        <w:rPr>
          <w:spacing w:val="-1"/>
          <w:sz w:val="24"/>
        </w:rPr>
        <w:t> </w:t>
      </w:r>
      <w:r>
        <w:rPr>
          <w:sz w:val="24"/>
        </w:rPr>
        <w:t>Act</w:t>
      </w:r>
      <w:r>
        <w:rPr>
          <w:spacing w:val="-1"/>
          <w:sz w:val="24"/>
        </w:rPr>
        <w:t> </w:t>
      </w:r>
      <w:r>
        <w:rPr>
          <w:sz w:val="24"/>
        </w:rPr>
        <w:t>where</w:t>
      </w:r>
      <w:r>
        <w:rPr>
          <w:spacing w:val="-1"/>
          <w:sz w:val="24"/>
        </w:rPr>
        <w:t> </w:t>
      </w:r>
      <w:r>
        <w:rPr>
          <w:sz w:val="24"/>
        </w:rPr>
        <w:t>Owner’s</w:t>
      </w:r>
      <w:r>
        <w:rPr>
          <w:spacing w:val="-1"/>
          <w:sz w:val="24"/>
        </w:rPr>
        <w:t> </w:t>
      </w:r>
      <w:r>
        <w:rPr>
          <w:sz w:val="24"/>
        </w:rPr>
        <w:t>consent</w:t>
      </w:r>
      <w:r>
        <w:rPr>
          <w:spacing w:val="-1"/>
          <w:sz w:val="24"/>
        </w:rPr>
        <w:t> </w:t>
      </w:r>
      <w:r>
        <w:rPr>
          <w:sz w:val="24"/>
        </w:rPr>
        <w:t>for</w:t>
      </w:r>
      <w:r>
        <w:rPr>
          <w:spacing w:val="-1"/>
          <w:sz w:val="24"/>
        </w:rPr>
        <w:t> </w:t>
      </w:r>
      <w:r>
        <w:rPr>
          <w:sz w:val="24"/>
        </w:rPr>
        <w:t>proposed</w:t>
      </w:r>
      <w:r>
        <w:rPr>
          <w:spacing w:val="-1"/>
          <w:sz w:val="24"/>
        </w:rPr>
        <w:t> </w:t>
      </w:r>
      <w:r>
        <w:rPr>
          <w:sz w:val="24"/>
        </w:rPr>
        <w:t>repairs</w:t>
      </w:r>
      <w:r>
        <w:rPr>
          <w:spacing w:val="-1"/>
          <w:sz w:val="24"/>
        </w:rPr>
        <w:t> </w:t>
      </w:r>
      <w:r>
        <w:rPr>
          <w:sz w:val="24"/>
        </w:rPr>
        <w:t>is</w:t>
      </w:r>
      <w:r>
        <w:rPr>
          <w:spacing w:val="-1"/>
          <w:sz w:val="24"/>
        </w:rPr>
        <w:t> </w:t>
      </w:r>
      <w:r>
        <w:rPr>
          <w:sz w:val="24"/>
        </w:rPr>
        <w:t>not </w:t>
      </w:r>
      <w:r>
        <w:rPr>
          <w:spacing w:val="-2"/>
          <w:sz w:val="24"/>
        </w:rPr>
        <w:t>possible.</w:t>
      </w:r>
    </w:p>
    <w:p>
      <w:pPr>
        <w:pStyle w:val="ListParagraph"/>
        <w:numPr>
          <w:ilvl w:val="1"/>
          <w:numId w:val="350"/>
        </w:numPr>
        <w:tabs>
          <w:tab w:pos="1976" w:val="left" w:leader="none"/>
          <w:tab w:pos="1978" w:val="left" w:leader="none"/>
        </w:tabs>
        <w:spacing w:line="240" w:lineRule="auto" w:before="120" w:after="0"/>
        <w:ind w:left="1978" w:right="778" w:hanging="480"/>
        <w:jc w:val="left"/>
        <w:rPr>
          <w:sz w:val="24"/>
        </w:rPr>
      </w:pPr>
      <w:r>
        <w:rPr>
          <w:sz w:val="24"/>
        </w:rPr>
        <w:t>The onus of submitting authenticity of the structure for which repairs have been proposed shall entirely vest with owner/NOC holder</w:t>
      </w:r>
    </w:p>
    <w:p>
      <w:pPr>
        <w:pStyle w:val="Heading6"/>
        <w:numPr>
          <w:ilvl w:val="0"/>
          <w:numId w:val="350"/>
        </w:numPr>
        <w:tabs>
          <w:tab w:pos="1554" w:val="left" w:leader="none"/>
        </w:tabs>
        <w:spacing w:line="240" w:lineRule="auto" w:before="118" w:after="0"/>
        <w:ind w:left="1554" w:right="0" w:hanging="296"/>
        <w:jc w:val="left"/>
        <w:rPr>
          <w:b w:val="0"/>
          <w:i w:val="0"/>
          <w:sz w:val="22"/>
        </w:rPr>
      </w:pPr>
      <w:r>
        <w:rPr>
          <w:spacing w:val="-2"/>
        </w:rPr>
        <w:t>Guidelines</w:t>
      </w:r>
    </w:p>
    <w:p>
      <w:pPr>
        <w:pStyle w:val="ListParagraph"/>
        <w:numPr>
          <w:ilvl w:val="0"/>
          <w:numId w:val="351"/>
        </w:numPr>
        <w:tabs>
          <w:tab w:pos="1978" w:val="left" w:leader="none"/>
          <w:tab w:pos="1982" w:val="left" w:leader="none"/>
        </w:tabs>
        <w:spacing w:line="240" w:lineRule="auto" w:before="122" w:after="0"/>
        <w:ind w:left="1978" w:right="773" w:hanging="360"/>
        <w:jc w:val="both"/>
        <w:rPr>
          <w:sz w:val="24"/>
        </w:rPr>
      </w:pPr>
      <w:r>
        <w:rPr>
          <w:sz w:val="24"/>
        </w:rPr>
        <w:t>The</w:t>
      </w:r>
      <w:r>
        <w:rPr>
          <w:spacing w:val="-3"/>
          <w:sz w:val="24"/>
        </w:rPr>
        <w:t> </w:t>
      </w:r>
      <w:r>
        <w:rPr>
          <w:sz w:val="24"/>
        </w:rPr>
        <w:t>buildings</w:t>
      </w:r>
      <w:r>
        <w:rPr>
          <w:spacing w:val="-7"/>
          <w:sz w:val="24"/>
        </w:rPr>
        <w:t> </w:t>
      </w:r>
      <w:r>
        <w:rPr>
          <w:sz w:val="24"/>
        </w:rPr>
        <w:t>which</w:t>
      </w:r>
      <w:r>
        <w:rPr>
          <w:spacing w:val="-7"/>
          <w:sz w:val="24"/>
        </w:rPr>
        <w:t> </w:t>
      </w:r>
      <w:r>
        <w:rPr>
          <w:sz w:val="24"/>
        </w:rPr>
        <w:t>are</w:t>
      </w:r>
      <w:r>
        <w:rPr>
          <w:spacing w:val="-7"/>
          <w:sz w:val="24"/>
        </w:rPr>
        <w:t> </w:t>
      </w:r>
      <w:r>
        <w:rPr>
          <w:sz w:val="24"/>
        </w:rPr>
        <w:t>in</w:t>
      </w:r>
      <w:r>
        <w:rPr>
          <w:spacing w:val="-7"/>
          <w:sz w:val="24"/>
        </w:rPr>
        <w:t> </w:t>
      </w:r>
      <w:r>
        <w:rPr>
          <w:sz w:val="24"/>
        </w:rPr>
        <w:t>need</w:t>
      </w:r>
      <w:r>
        <w:rPr>
          <w:spacing w:val="-6"/>
          <w:sz w:val="24"/>
        </w:rPr>
        <w:t> </w:t>
      </w:r>
      <w:r>
        <w:rPr>
          <w:sz w:val="24"/>
        </w:rPr>
        <w:t>of</w:t>
      </w:r>
      <w:r>
        <w:rPr>
          <w:spacing w:val="-7"/>
          <w:sz w:val="24"/>
        </w:rPr>
        <w:t> </w:t>
      </w:r>
      <w:r>
        <w:rPr>
          <w:sz w:val="24"/>
        </w:rPr>
        <w:t>Extensive</w:t>
      </w:r>
      <w:r>
        <w:rPr>
          <w:spacing w:val="-7"/>
          <w:sz w:val="24"/>
        </w:rPr>
        <w:t> </w:t>
      </w:r>
      <w:r>
        <w:rPr>
          <w:sz w:val="24"/>
        </w:rPr>
        <w:t>Repairs</w:t>
      </w:r>
      <w:r>
        <w:rPr>
          <w:spacing w:val="-7"/>
          <w:sz w:val="24"/>
        </w:rPr>
        <w:t> </w:t>
      </w:r>
      <w:r>
        <w:rPr>
          <w:sz w:val="24"/>
        </w:rPr>
        <w:t>shall</w:t>
      </w:r>
      <w:r>
        <w:rPr>
          <w:spacing w:val="-6"/>
          <w:sz w:val="24"/>
        </w:rPr>
        <w:t> </w:t>
      </w:r>
      <w:r>
        <w:rPr>
          <w:sz w:val="24"/>
        </w:rPr>
        <w:t>be</w:t>
      </w:r>
      <w:r>
        <w:rPr>
          <w:spacing w:val="-7"/>
          <w:sz w:val="24"/>
        </w:rPr>
        <w:t> </w:t>
      </w:r>
      <w:r>
        <w:rPr>
          <w:sz w:val="24"/>
        </w:rPr>
        <w:t>preferably developed or redeveloped under the provisions of these Regulations. However, if development/redevelopment is not possible due to </w:t>
      </w:r>
      <w:r>
        <w:rPr>
          <w:sz w:val="24"/>
        </w:rPr>
        <w:t>various reasons such as size/shape of plot, disputes and other reasons, then Extensive Repair may be allowed.</w:t>
      </w:r>
    </w:p>
    <w:p>
      <w:pPr>
        <w:pStyle w:val="ListParagraph"/>
        <w:numPr>
          <w:ilvl w:val="0"/>
          <w:numId w:val="351"/>
        </w:numPr>
        <w:tabs>
          <w:tab w:pos="1910" w:val="left" w:leader="none"/>
          <w:tab w:pos="1978" w:val="left" w:leader="none"/>
        </w:tabs>
        <w:spacing w:line="240" w:lineRule="auto" w:before="61" w:after="0"/>
        <w:ind w:left="1978" w:right="774" w:hanging="360"/>
        <w:jc w:val="both"/>
        <w:rPr>
          <w:sz w:val="24"/>
        </w:rPr>
      </w:pPr>
      <w:r>
        <w:rPr>
          <w:sz w:val="24"/>
        </w:rPr>
        <w:t>Except those buildings affected by setback of important roads from the point of view of their widening, in all other cases repairs will be allowed inclusive of setbacks, with registered undertaking for not claiming any compensation</w:t>
      </w:r>
      <w:r>
        <w:rPr>
          <w:spacing w:val="-16"/>
          <w:sz w:val="24"/>
        </w:rPr>
        <w:t> </w:t>
      </w:r>
      <w:r>
        <w:rPr>
          <w:sz w:val="24"/>
        </w:rPr>
        <w:t>on</w:t>
      </w:r>
      <w:r>
        <w:rPr>
          <w:spacing w:val="-16"/>
          <w:sz w:val="24"/>
        </w:rPr>
        <w:t> </w:t>
      </w:r>
      <w:r>
        <w:rPr>
          <w:sz w:val="24"/>
        </w:rPr>
        <w:t>account</w:t>
      </w:r>
      <w:r>
        <w:rPr>
          <w:spacing w:val="-16"/>
          <w:sz w:val="24"/>
        </w:rPr>
        <w:t> </w:t>
      </w:r>
      <w:r>
        <w:rPr>
          <w:sz w:val="24"/>
        </w:rPr>
        <w:t>of</w:t>
      </w:r>
      <w:r>
        <w:rPr>
          <w:spacing w:val="-16"/>
          <w:sz w:val="24"/>
        </w:rPr>
        <w:t> </w:t>
      </w:r>
      <w:r>
        <w:rPr>
          <w:sz w:val="24"/>
        </w:rPr>
        <w:t>repairs</w:t>
      </w:r>
      <w:r>
        <w:rPr>
          <w:spacing w:val="-16"/>
          <w:sz w:val="24"/>
        </w:rPr>
        <w:t> </w:t>
      </w:r>
      <w:r>
        <w:rPr>
          <w:sz w:val="24"/>
        </w:rPr>
        <w:t>for</w:t>
      </w:r>
      <w:r>
        <w:rPr>
          <w:spacing w:val="-16"/>
          <w:sz w:val="24"/>
        </w:rPr>
        <w:t> </w:t>
      </w:r>
      <w:r>
        <w:rPr>
          <w:sz w:val="24"/>
        </w:rPr>
        <w:t>the</w:t>
      </w:r>
      <w:r>
        <w:rPr>
          <w:spacing w:val="-16"/>
          <w:sz w:val="24"/>
        </w:rPr>
        <w:t> </w:t>
      </w:r>
      <w:r>
        <w:rPr>
          <w:sz w:val="24"/>
        </w:rPr>
        <w:t>structure</w:t>
      </w:r>
      <w:r>
        <w:rPr>
          <w:spacing w:val="-16"/>
          <w:sz w:val="24"/>
        </w:rPr>
        <w:t> </w:t>
      </w:r>
      <w:r>
        <w:rPr>
          <w:sz w:val="24"/>
        </w:rPr>
        <w:t>and</w:t>
      </w:r>
      <w:r>
        <w:rPr>
          <w:spacing w:val="-16"/>
          <w:sz w:val="24"/>
        </w:rPr>
        <w:t> </w:t>
      </w:r>
      <w:r>
        <w:rPr>
          <w:sz w:val="24"/>
        </w:rPr>
        <w:t>shall</w:t>
      </w:r>
      <w:r>
        <w:rPr>
          <w:spacing w:val="-19"/>
          <w:sz w:val="24"/>
        </w:rPr>
        <w:t> </w:t>
      </w:r>
      <w:r>
        <w:rPr>
          <w:sz w:val="24"/>
        </w:rPr>
        <w:t>handover the portion of road setback as per prevailing policy/provision, when required</w:t>
      </w:r>
      <w:r>
        <w:rPr>
          <w:spacing w:val="-11"/>
          <w:sz w:val="24"/>
        </w:rPr>
        <w:t> </w:t>
      </w:r>
      <w:r>
        <w:rPr>
          <w:sz w:val="24"/>
        </w:rPr>
        <w:t>by</w:t>
      </w:r>
      <w:r>
        <w:rPr>
          <w:spacing w:val="-11"/>
          <w:sz w:val="24"/>
        </w:rPr>
        <w:t> </w:t>
      </w:r>
      <w:r>
        <w:rPr>
          <w:sz w:val="24"/>
        </w:rPr>
        <w:t>MCGM.</w:t>
      </w:r>
      <w:r>
        <w:rPr>
          <w:spacing w:val="40"/>
          <w:sz w:val="24"/>
        </w:rPr>
        <w:t> </w:t>
      </w:r>
      <w:r>
        <w:rPr>
          <w:sz w:val="24"/>
        </w:rPr>
        <w:t>The</w:t>
      </w:r>
      <w:r>
        <w:rPr>
          <w:spacing w:val="-11"/>
          <w:sz w:val="24"/>
        </w:rPr>
        <w:t> </w:t>
      </w:r>
      <w:r>
        <w:rPr>
          <w:sz w:val="24"/>
        </w:rPr>
        <w:t>provision</w:t>
      </w:r>
      <w:r>
        <w:rPr>
          <w:spacing w:val="-9"/>
          <w:sz w:val="24"/>
        </w:rPr>
        <w:t> </w:t>
      </w:r>
      <w:r>
        <w:rPr>
          <w:sz w:val="24"/>
        </w:rPr>
        <w:t>of</w:t>
      </w:r>
      <w:r>
        <w:rPr>
          <w:spacing w:val="-8"/>
          <w:sz w:val="24"/>
        </w:rPr>
        <w:t> </w:t>
      </w:r>
      <w:r>
        <w:rPr>
          <w:sz w:val="24"/>
        </w:rPr>
        <w:t>Twin</w:t>
      </w:r>
      <w:r>
        <w:rPr>
          <w:spacing w:val="-11"/>
          <w:sz w:val="24"/>
        </w:rPr>
        <w:t> </w:t>
      </w:r>
      <w:r>
        <w:rPr>
          <w:sz w:val="24"/>
        </w:rPr>
        <w:t>column</w:t>
      </w:r>
      <w:r>
        <w:rPr>
          <w:spacing w:val="-11"/>
          <w:sz w:val="24"/>
        </w:rPr>
        <w:t> </w:t>
      </w:r>
      <w:r>
        <w:rPr>
          <w:sz w:val="24"/>
        </w:rPr>
        <w:t>arrangement</w:t>
      </w:r>
      <w:r>
        <w:rPr>
          <w:spacing w:val="-11"/>
          <w:sz w:val="24"/>
        </w:rPr>
        <w:t> </w:t>
      </w:r>
      <w:r>
        <w:rPr>
          <w:sz w:val="24"/>
        </w:rPr>
        <w:t>shall</w:t>
      </w:r>
      <w:r>
        <w:rPr>
          <w:spacing w:val="-11"/>
          <w:sz w:val="24"/>
        </w:rPr>
        <w:t> </w:t>
      </w:r>
      <w:r>
        <w:rPr>
          <w:sz w:val="24"/>
        </w:rPr>
        <w:t>be insisted</w:t>
      </w:r>
      <w:r>
        <w:rPr>
          <w:spacing w:val="-12"/>
          <w:sz w:val="24"/>
        </w:rPr>
        <w:t> </w:t>
      </w:r>
      <w:r>
        <w:rPr>
          <w:sz w:val="24"/>
        </w:rPr>
        <w:t>at</w:t>
      </w:r>
      <w:r>
        <w:rPr>
          <w:spacing w:val="-12"/>
          <w:sz w:val="24"/>
        </w:rPr>
        <w:t> </w:t>
      </w:r>
      <w:r>
        <w:rPr>
          <w:sz w:val="24"/>
        </w:rPr>
        <w:t>the</w:t>
      </w:r>
      <w:r>
        <w:rPr>
          <w:spacing w:val="-12"/>
          <w:sz w:val="24"/>
        </w:rPr>
        <w:t> </w:t>
      </w:r>
      <w:r>
        <w:rPr>
          <w:sz w:val="24"/>
        </w:rPr>
        <w:t>sanctioned</w:t>
      </w:r>
      <w:r>
        <w:rPr>
          <w:spacing w:val="-12"/>
          <w:sz w:val="24"/>
        </w:rPr>
        <w:t> </w:t>
      </w:r>
      <w:r>
        <w:rPr>
          <w:sz w:val="24"/>
        </w:rPr>
        <w:t>R.L</w:t>
      </w:r>
      <w:r>
        <w:rPr>
          <w:spacing w:val="-12"/>
          <w:sz w:val="24"/>
        </w:rPr>
        <w:t> </w:t>
      </w:r>
      <w:r>
        <w:rPr>
          <w:sz w:val="24"/>
        </w:rPr>
        <w:t>/</w:t>
      </w:r>
      <w:r>
        <w:rPr>
          <w:spacing w:val="-12"/>
          <w:sz w:val="24"/>
        </w:rPr>
        <w:t> </w:t>
      </w:r>
      <w:r>
        <w:rPr>
          <w:sz w:val="24"/>
        </w:rPr>
        <w:t>D.P.</w:t>
      </w:r>
      <w:r>
        <w:rPr>
          <w:spacing w:val="-10"/>
          <w:sz w:val="24"/>
        </w:rPr>
        <w:t> </w:t>
      </w:r>
      <w:r>
        <w:rPr>
          <w:sz w:val="24"/>
        </w:rPr>
        <w:t>Road</w:t>
      </w:r>
      <w:r>
        <w:rPr>
          <w:spacing w:val="-12"/>
          <w:sz w:val="24"/>
        </w:rPr>
        <w:t> </w:t>
      </w:r>
      <w:r>
        <w:rPr>
          <w:sz w:val="24"/>
        </w:rPr>
        <w:t>so</w:t>
      </w:r>
      <w:r>
        <w:rPr>
          <w:spacing w:val="-12"/>
          <w:sz w:val="24"/>
        </w:rPr>
        <w:t> </w:t>
      </w:r>
      <w:r>
        <w:rPr>
          <w:sz w:val="24"/>
        </w:rPr>
        <w:t>as</w:t>
      </w:r>
      <w:r>
        <w:rPr>
          <w:spacing w:val="-12"/>
          <w:sz w:val="24"/>
        </w:rPr>
        <w:t> </w:t>
      </w:r>
      <w:r>
        <w:rPr>
          <w:sz w:val="24"/>
        </w:rPr>
        <w:t>to</w:t>
      </w:r>
      <w:r>
        <w:rPr>
          <w:spacing w:val="-10"/>
          <w:sz w:val="24"/>
        </w:rPr>
        <w:t> </w:t>
      </w:r>
      <w:r>
        <w:rPr>
          <w:sz w:val="24"/>
        </w:rPr>
        <w:t>detach</w:t>
      </w:r>
      <w:r>
        <w:rPr>
          <w:spacing w:val="-12"/>
          <w:sz w:val="24"/>
        </w:rPr>
        <w:t> </w:t>
      </w:r>
      <w:r>
        <w:rPr>
          <w:sz w:val="24"/>
        </w:rPr>
        <w:t>the</w:t>
      </w:r>
      <w:r>
        <w:rPr>
          <w:spacing w:val="-10"/>
          <w:sz w:val="24"/>
        </w:rPr>
        <w:t> </w:t>
      </w:r>
      <w:r>
        <w:rPr>
          <w:sz w:val="24"/>
        </w:rPr>
        <w:t>part</w:t>
      </w:r>
      <w:r>
        <w:rPr>
          <w:spacing w:val="-12"/>
          <w:sz w:val="24"/>
        </w:rPr>
        <w:t> </w:t>
      </w:r>
      <w:r>
        <w:rPr>
          <w:sz w:val="24"/>
        </w:rPr>
        <w:t>of</w:t>
      </w:r>
      <w:r>
        <w:rPr>
          <w:spacing w:val="-12"/>
          <w:sz w:val="24"/>
        </w:rPr>
        <w:t> </w:t>
      </w:r>
      <w:r>
        <w:rPr>
          <w:sz w:val="24"/>
        </w:rPr>
        <w:t>the building falling within the setback as and when required by MCGM for widening of roads.</w:t>
      </w:r>
    </w:p>
    <w:p>
      <w:pPr>
        <w:pStyle w:val="ListParagraph"/>
        <w:numPr>
          <w:ilvl w:val="0"/>
          <w:numId w:val="351"/>
        </w:numPr>
        <w:tabs>
          <w:tab w:pos="1978" w:val="left" w:leader="none"/>
          <w:tab w:pos="2010" w:val="left" w:leader="none"/>
        </w:tabs>
        <w:spacing w:line="240" w:lineRule="auto" w:before="58" w:after="0"/>
        <w:ind w:left="1978" w:right="771" w:hanging="360"/>
        <w:jc w:val="both"/>
        <w:rPr>
          <w:sz w:val="24"/>
        </w:rPr>
      </w:pPr>
      <w:r>
        <w:rPr>
          <w:sz w:val="24"/>
        </w:rPr>
        <w:t>When</w:t>
      </w:r>
      <w:r>
        <w:rPr>
          <w:sz w:val="24"/>
        </w:rPr>
        <w:t> repairs are allowed in the setback/widening of the road portion only then, Standing Committee shall be intimated as per the section 297(3) of MMC Act.</w:t>
      </w:r>
    </w:p>
    <w:p>
      <w:pPr>
        <w:pStyle w:val="BodyText"/>
        <w:spacing w:before="63"/>
        <w:ind w:left="1978" w:right="778"/>
      </w:pPr>
      <w:r>
        <w:rPr/>
        <w:t>If a road is already widened on either side of the building which is to be taken up for repairs, such building can be taken up for repairs in conformity with (2) and (3) above, if it requires extensive repairs.</w:t>
      </w:r>
    </w:p>
    <w:p>
      <w:pPr>
        <w:pStyle w:val="ListParagraph"/>
        <w:numPr>
          <w:ilvl w:val="0"/>
          <w:numId w:val="351"/>
        </w:numPr>
        <w:tabs>
          <w:tab w:pos="1910" w:val="left" w:leader="none"/>
          <w:tab w:pos="1978" w:val="left" w:leader="none"/>
        </w:tabs>
        <w:spacing w:line="240" w:lineRule="auto" w:before="60" w:after="0"/>
        <w:ind w:left="1978" w:right="778" w:hanging="360"/>
        <w:jc w:val="both"/>
        <w:rPr>
          <w:sz w:val="24"/>
        </w:rPr>
      </w:pPr>
      <w:r>
        <w:rPr>
          <w:sz w:val="24"/>
        </w:rPr>
        <w:t>Repairs may be allowed on sites under reservation, if the same is not under acquisition.</w:t>
      </w:r>
    </w:p>
    <w:p>
      <w:pPr>
        <w:pStyle w:val="BodyText"/>
        <w:spacing w:before="58"/>
        <w:ind w:left="1978" w:right="771" w:hanging="360"/>
      </w:pPr>
      <w:r>
        <w:rPr/>
        <w:t>Incase of reserved sites which are under acquisition, the repairs may be allowed</w:t>
      </w:r>
      <w:r>
        <w:rPr>
          <w:spacing w:val="-6"/>
        </w:rPr>
        <w:t> </w:t>
      </w:r>
      <w:r>
        <w:rPr/>
        <w:t>with</w:t>
      </w:r>
      <w:r>
        <w:rPr>
          <w:spacing w:val="-6"/>
        </w:rPr>
        <w:t> </w:t>
      </w:r>
      <w:r>
        <w:rPr/>
        <w:t>special</w:t>
      </w:r>
      <w:r>
        <w:rPr>
          <w:spacing w:val="-6"/>
        </w:rPr>
        <w:t> </w:t>
      </w:r>
      <w:r>
        <w:rPr/>
        <w:t>permission</w:t>
      </w:r>
      <w:r>
        <w:rPr>
          <w:spacing w:val="-6"/>
        </w:rPr>
        <w:t> </w:t>
      </w:r>
      <w:r>
        <w:rPr/>
        <w:t>of</w:t>
      </w:r>
      <w:r>
        <w:rPr>
          <w:spacing w:val="-6"/>
        </w:rPr>
        <w:t> </w:t>
      </w:r>
      <w:r>
        <w:rPr/>
        <w:t>the</w:t>
      </w:r>
      <w:r>
        <w:rPr>
          <w:spacing w:val="-6"/>
        </w:rPr>
        <w:t> </w:t>
      </w:r>
      <w:r>
        <w:rPr/>
        <w:t>Commissioner.</w:t>
      </w:r>
      <w:r>
        <w:rPr>
          <w:spacing w:val="-6"/>
        </w:rPr>
        <w:t> </w:t>
      </w:r>
      <w:r>
        <w:rPr/>
        <w:t>In</w:t>
      </w:r>
      <w:r>
        <w:rPr>
          <w:spacing w:val="-6"/>
        </w:rPr>
        <w:t> </w:t>
      </w:r>
      <w:r>
        <w:rPr/>
        <w:t>both</w:t>
      </w:r>
      <w:r>
        <w:rPr>
          <w:spacing w:val="-8"/>
        </w:rPr>
        <w:t> </w:t>
      </w:r>
      <w:r>
        <w:rPr/>
        <w:t>the</w:t>
      </w:r>
      <w:r>
        <w:rPr>
          <w:spacing w:val="-6"/>
        </w:rPr>
        <w:t> </w:t>
      </w:r>
      <w:r>
        <w:rPr/>
        <w:t>cases, registered undertaking shall be insisted upon from the NOC holder/owner stating that no compensation will be claimed on account of repairs for the structure as and when the property is acquired, and grant of permission for repairs will not in any way affect the process of acquisition and shall not be used as a tool to impede the process of </w:t>
      </w:r>
      <w:r>
        <w:rPr>
          <w:spacing w:val="-2"/>
        </w:rPr>
        <w:t>acquisition.</w:t>
      </w:r>
    </w:p>
    <w:p>
      <w:pPr>
        <w:pStyle w:val="ListParagraph"/>
        <w:numPr>
          <w:ilvl w:val="0"/>
          <w:numId w:val="351"/>
        </w:numPr>
        <w:tabs>
          <w:tab w:pos="1978" w:val="left" w:leader="none"/>
        </w:tabs>
        <w:spacing w:line="240" w:lineRule="auto" w:before="60" w:after="0"/>
        <w:ind w:left="1978" w:right="778" w:hanging="360"/>
        <w:jc w:val="both"/>
        <w:rPr>
          <w:sz w:val="24"/>
        </w:rPr>
      </w:pPr>
      <w:r>
        <w:rPr>
          <w:sz w:val="24"/>
        </w:rPr>
        <w:t>It</w:t>
      </w:r>
      <w:r>
        <w:rPr>
          <w:spacing w:val="-9"/>
          <w:sz w:val="24"/>
        </w:rPr>
        <w:t> </w:t>
      </w:r>
      <w:r>
        <w:rPr>
          <w:sz w:val="24"/>
        </w:rPr>
        <w:t>shall</w:t>
      </w:r>
      <w:r>
        <w:rPr>
          <w:spacing w:val="-9"/>
          <w:sz w:val="24"/>
        </w:rPr>
        <w:t> </w:t>
      </w:r>
      <w:r>
        <w:rPr>
          <w:sz w:val="24"/>
        </w:rPr>
        <w:t>be</w:t>
      </w:r>
      <w:r>
        <w:rPr>
          <w:spacing w:val="-9"/>
          <w:sz w:val="24"/>
        </w:rPr>
        <w:t> </w:t>
      </w:r>
      <w:r>
        <w:rPr>
          <w:sz w:val="24"/>
        </w:rPr>
        <w:t>the</w:t>
      </w:r>
      <w:r>
        <w:rPr>
          <w:spacing w:val="-9"/>
          <w:sz w:val="24"/>
        </w:rPr>
        <w:t> </w:t>
      </w:r>
      <w:r>
        <w:rPr>
          <w:sz w:val="24"/>
        </w:rPr>
        <w:t>responsibility</w:t>
      </w:r>
      <w:r>
        <w:rPr>
          <w:spacing w:val="-9"/>
          <w:sz w:val="24"/>
        </w:rPr>
        <w:t> </w:t>
      </w:r>
      <w:r>
        <w:rPr>
          <w:sz w:val="24"/>
        </w:rPr>
        <w:t>of</w:t>
      </w:r>
      <w:r>
        <w:rPr>
          <w:spacing w:val="-9"/>
          <w:sz w:val="24"/>
        </w:rPr>
        <w:t> </w:t>
      </w:r>
      <w:r>
        <w:rPr>
          <w:sz w:val="24"/>
        </w:rPr>
        <w:t>the</w:t>
      </w:r>
      <w:r>
        <w:rPr>
          <w:spacing w:val="-9"/>
          <w:sz w:val="24"/>
        </w:rPr>
        <w:t> </w:t>
      </w:r>
      <w:r>
        <w:rPr>
          <w:sz w:val="24"/>
        </w:rPr>
        <w:t>owner/NOC</w:t>
      </w:r>
      <w:r>
        <w:rPr>
          <w:spacing w:val="-9"/>
          <w:sz w:val="24"/>
        </w:rPr>
        <w:t> </w:t>
      </w:r>
      <w:r>
        <w:rPr>
          <w:sz w:val="24"/>
        </w:rPr>
        <w:t>holder</w:t>
      </w:r>
      <w:r>
        <w:rPr>
          <w:spacing w:val="-9"/>
          <w:sz w:val="24"/>
        </w:rPr>
        <w:t> </w:t>
      </w:r>
      <w:r>
        <w:rPr>
          <w:sz w:val="24"/>
        </w:rPr>
        <w:t>to</w:t>
      </w:r>
      <w:r>
        <w:rPr>
          <w:spacing w:val="-9"/>
          <w:sz w:val="24"/>
        </w:rPr>
        <w:t> </w:t>
      </w:r>
      <w:r>
        <w:rPr>
          <w:sz w:val="24"/>
        </w:rPr>
        <w:t>ensure</w:t>
      </w:r>
      <w:r>
        <w:rPr>
          <w:spacing w:val="-9"/>
          <w:sz w:val="24"/>
        </w:rPr>
        <w:t> </w:t>
      </w:r>
      <w:r>
        <w:rPr>
          <w:sz w:val="24"/>
        </w:rPr>
        <w:t>that</w:t>
      </w:r>
      <w:r>
        <w:rPr>
          <w:spacing w:val="-9"/>
          <w:sz w:val="24"/>
        </w:rPr>
        <w:t> </w:t>
      </w:r>
      <w:r>
        <w:rPr>
          <w:sz w:val="24"/>
        </w:rPr>
        <w:t>the existing tenements/existing authorised uses are maintained.</w:t>
      </w:r>
    </w:p>
    <w:p>
      <w:pPr>
        <w:pStyle w:val="ListParagraph"/>
        <w:numPr>
          <w:ilvl w:val="0"/>
          <w:numId w:val="351"/>
        </w:numPr>
        <w:tabs>
          <w:tab w:pos="1972" w:val="left" w:leader="none"/>
          <w:tab w:pos="1978" w:val="left" w:leader="none"/>
        </w:tabs>
        <w:spacing w:line="240" w:lineRule="auto" w:before="61" w:after="0"/>
        <w:ind w:left="1978" w:right="775" w:hanging="360"/>
        <w:jc w:val="both"/>
        <w:rPr>
          <w:sz w:val="24"/>
        </w:rPr>
      </w:pPr>
      <w:r>
        <w:rPr>
          <w:sz w:val="24"/>
        </w:rPr>
        <w:t>No</w:t>
      </w:r>
      <w:r>
        <w:rPr>
          <w:spacing w:val="-19"/>
          <w:sz w:val="24"/>
        </w:rPr>
        <w:t> </w:t>
      </w:r>
      <w:r>
        <w:rPr>
          <w:sz w:val="24"/>
        </w:rPr>
        <w:t>repairs</w:t>
      </w:r>
      <w:r>
        <w:rPr>
          <w:spacing w:val="-19"/>
          <w:sz w:val="24"/>
        </w:rPr>
        <w:t> </w:t>
      </w:r>
      <w:r>
        <w:rPr>
          <w:sz w:val="24"/>
        </w:rPr>
        <w:t>to</w:t>
      </w:r>
      <w:r>
        <w:rPr>
          <w:spacing w:val="-19"/>
          <w:sz w:val="24"/>
        </w:rPr>
        <w:t> </w:t>
      </w:r>
      <w:r>
        <w:rPr>
          <w:sz w:val="24"/>
        </w:rPr>
        <w:t>the</w:t>
      </w:r>
      <w:r>
        <w:rPr>
          <w:spacing w:val="-16"/>
          <w:sz w:val="24"/>
        </w:rPr>
        <w:t> </w:t>
      </w:r>
      <w:r>
        <w:rPr>
          <w:sz w:val="24"/>
        </w:rPr>
        <w:t>unauthorised</w:t>
      </w:r>
      <w:r>
        <w:rPr>
          <w:spacing w:val="-19"/>
          <w:sz w:val="24"/>
        </w:rPr>
        <w:t> </w:t>
      </w:r>
      <w:r>
        <w:rPr>
          <w:sz w:val="24"/>
        </w:rPr>
        <w:t>structure/unauthorised</w:t>
      </w:r>
      <w:r>
        <w:rPr>
          <w:spacing w:val="-18"/>
          <w:sz w:val="24"/>
        </w:rPr>
        <w:t> </w:t>
      </w:r>
      <w:r>
        <w:rPr>
          <w:sz w:val="24"/>
        </w:rPr>
        <w:t>part</w:t>
      </w:r>
      <w:r>
        <w:rPr>
          <w:spacing w:val="-19"/>
          <w:sz w:val="24"/>
        </w:rPr>
        <w:t> </w:t>
      </w:r>
      <w:r>
        <w:rPr>
          <w:sz w:val="24"/>
        </w:rPr>
        <w:t>of</w:t>
      </w:r>
      <w:r>
        <w:rPr>
          <w:spacing w:val="-19"/>
          <w:sz w:val="24"/>
        </w:rPr>
        <w:t> </w:t>
      </w:r>
      <w:r>
        <w:rPr>
          <w:sz w:val="24"/>
        </w:rPr>
        <w:t>structure shall be allowed.</w:t>
      </w:r>
    </w:p>
    <w:p>
      <w:pPr>
        <w:pStyle w:val="ListParagraph"/>
        <w:numPr>
          <w:ilvl w:val="0"/>
          <w:numId w:val="351"/>
        </w:numPr>
        <w:tabs>
          <w:tab w:pos="1978" w:val="left" w:leader="none"/>
          <w:tab w:pos="2006" w:val="left" w:leader="none"/>
        </w:tabs>
        <w:spacing w:line="240" w:lineRule="auto" w:before="60" w:after="0"/>
        <w:ind w:left="1978" w:right="777" w:hanging="360"/>
        <w:jc w:val="both"/>
        <w:rPr>
          <w:sz w:val="24"/>
        </w:rPr>
      </w:pPr>
      <w:r>
        <w:rPr>
          <w:sz w:val="24"/>
        </w:rPr>
        <w:t>In</w:t>
      </w:r>
      <w:r>
        <w:rPr>
          <w:sz w:val="24"/>
        </w:rPr>
        <w:t> case of cessed properties MHADA/MBRRB may carry out repairs of buildings after obtaining remarks from MCGM as per provisions of </w:t>
      </w:r>
      <w:r>
        <w:rPr>
          <w:sz w:val="24"/>
        </w:rPr>
        <w:t>the MHADA Act. Remarks and observations if any as stated in these guidelines shall be complied with during the course of repairs.</w:t>
      </w:r>
    </w:p>
    <w:p>
      <w:pPr>
        <w:pStyle w:val="BodyText"/>
        <w:spacing w:before="61"/>
        <w:ind w:left="1258"/>
        <w:jc w:val="left"/>
      </w:pPr>
      <w:r>
        <w:rPr>
          <w:spacing w:val="-2"/>
        </w:rPr>
        <w:t>Notes:</w:t>
      </w:r>
    </w:p>
    <w:p>
      <w:pPr>
        <w:pStyle w:val="BodyText"/>
        <w:spacing w:after="0"/>
        <w:jc w:val="left"/>
        <w:sectPr>
          <w:pgSz w:w="11910" w:h="16850"/>
          <w:pgMar w:header="1024" w:footer="1302" w:top="1480" w:bottom="1500" w:left="360" w:right="360"/>
        </w:sectPr>
      </w:pPr>
    </w:p>
    <w:p>
      <w:pPr>
        <w:pStyle w:val="ListParagraph"/>
        <w:numPr>
          <w:ilvl w:val="0"/>
          <w:numId w:val="352"/>
        </w:numPr>
        <w:tabs>
          <w:tab w:pos="1618" w:val="left" w:leader="none"/>
        </w:tabs>
        <w:spacing w:line="240" w:lineRule="auto" w:before="276" w:after="0"/>
        <w:ind w:left="1618" w:right="774" w:hanging="360"/>
        <w:jc w:val="both"/>
        <w:rPr>
          <w:sz w:val="24"/>
        </w:rPr>
      </w:pPr>
      <w:r>
        <w:rPr>
          <w:sz w:val="24"/>
        </w:rPr>
        <w:t>The repairs to the non-tallying portion which forms part of common amenities such as toilet block, washing places, common passage, and staircase can be considered at Dy. Ch. E (BP)'s level.</w:t>
      </w:r>
    </w:p>
    <w:p>
      <w:pPr>
        <w:pStyle w:val="ListParagraph"/>
        <w:numPr>
          <w:ilvl w:val="0"/>
          <w:numId w:val="352"/>
        </w:numPr>
        <w:tabs>
          <w:tab w:pos="1618" w:val="left" w:leader="none"/>
        </w:tabs>
        <w:spacing w:line="240" w:lineRule="auto" w:before="59" w:after="0"/>
        <w:ind w:left="1618" w:right="773" w:hanging="360"/>
        <w:jc w:val="both"/>
        <w:rPr>
          <w:sz w:val="24"/>
        </w:rPr>
      </w:pPr>
      <w:r>
        <w:rPr>
          <w:sz w:val="24"/>
        </w:rPr>
        <w:t>In case applicant submits documentary evidence from </w:t>
      </w:r>
      <w:r>
        <w:rPr>
          <w:sz w:val="24"/>
        </w:rPr>
        <w:t>Government Authority</w:t>
      </w:r>
      <w:r>
        <w:rPr>
          <w:spacing w:val="-18"/>
          <w:sz w:val="24"/>
        </w:rPr>
        <w:t> </w:t>
      </w:r>
      <w:r>
        <w:rPr>
          <w:sz w:val="24"/>
        </w:rPr>
        <w:t>to</w:t>
      </w:r>
      <w:r>
        <w:rPr>
          <w:spacing w:val="-18"/>
          <w:sz w:val="24"/>
        </w:rPr>
        <w:t> </w:t>
      </w:r>
      <w:r>
        <w:rPr>
          <w:sz w:val="24"/>
        </w:rPr>
        <w:t>prove</w:t>
      </w:r>
      <w:r>
        <w:rPr>
          <w:spacing w:val="-18"/>
          <w:sz w:val="24"/>
        </w:rPr>
        <w:t> </w:t>
      </w:r>
      <w:r>
        <w:rPr>
          <w:sz w:val="24"/>
        </w:rPr>
        <w:t>the</w:t>
      </w:r>
      <w:r>
        <w:rPr>
          <w:spacing w:val="-18"/>
          <w:sz w:val="24"/>
        </w:rPr>
        <w:t> </w:t>
      </w:r>
      <w:r>
        <w:rPr>
          <w:sz w:val="24"/>
        </w:rPr>
        <w:t>existence</w:t>
      </w:r>
      <w:r>
        <w:rPr>
          <w:spacing w:val="-18"/>
          <w:sz w:val="24"/>
        </w:rPr>
        <w:t> </w:t>
      </w:r>
      <w:r>
        <w:rPr>
          <w:sz w:val="24"/>
        </w:rPr>
        <w:t>of</w:t>
      </w:r>
      <w:r>
        <w:rPr>
          <w:spacing w:val="-18"/>
          <w:sz w:val="24"/>
        </w:rPr>
        <w:t> </w:t>
      </w:r>
      <w:r>
        <w:rPr>
          <w:sz w:val="24"/>
        </w:rPr>
        <w:t>non-tallying</w:t>
      </w:r>
      <w:r>
        <w:rPr>
          <w:spacing w:val="-18"/>
          <w:sz w:val="24"/>
        </w:rPr>
        <w:t> </w:t>
      </w:r>
      <w:r>
        <w:rPr>
          <w:sz w:val="24"/>
        </w:rPr>
        <w:t>portion</w:t>
      </w:r>
      <w:r>
        <w:rPr>
          <w:spacing w:val="-18"/>
          <w:sz w:val="24"/>
        </w:rPr>
        <w:t> </w:t>
      </w:r>
      <w:r>
        <w:rPr>
          <w:sz w:val="24"/>
        </w:rPr>
        <w:t>prior</w:t>
      </w:r>
      <w:r>
        <w:rPr>
          <w:spacing w:val="-18"/>
          <w:sz w:val="24"/>
        </w:rPr>
        <w:t> </w:t>
      </w:r>
      <w:r>
        <w:rPr>
          <w:sz w:val="24"/>
        </w:rPr>
        <w:t>to</w:t>
      </w:r>
      <w:r>
        <w:rPr>
          <w:spacing w:val="-18"/>
          <w:sz w:val="24"/>
        </w:rPr>
        <w:t> </w:t>
      </w:r>
      <w:r>
        <w:rPr>
          <w:sz w:val="24"/>
        </w:rPr>
        <w:t>01/04/1962 for</w:t>
      </w:r>
      <w:r>
        <w:rPr>
          <w:spacing w:val="-5"/>
          <w:sz w:val="24"/>
        </w:rPr>
        <w:t> </w:t>
      </w:r>
      <w:r>
        <w:rPr>
          <w:sz w:val="24"/>
        </w:rPr>
        <w:t>non-residential</w:t>
      </w:r>
      <w:r>
        <w:rPr>
          <w:spacing w:val="-5"/>
          <w:sz w:val="24"/>
        </w:rPr>
        <w:t> </w:t>
      </w:r>
      <w:r>
        <w:rPr>
          <w:sz w:val="24"/>
        </w:rPr>
        <w:t>and</w:t>
      </w:r>
      <w:r>
        <w:rPr>
          <w:spacing w:val="-5"/>
          <w:sz w:val="24"/>
        </w:rPr>
        <w:t> </w:t>
      </w:r>
      <w:r>
        <w:rPr>
          <w:sz w:val="24"/>
        </w:rPr>
        <w:t>17/4/1964</w:t>
      </w:r>
      <w:r>
        <w:rPr>
          <w:spacing w:val="-5"/>
          <w:sz w:val="24"/>
        </w:rPr>
        <w:t> </w:t>
      </w:r>
      <w:r>
        <w:rPr>
          <w:sz w:val="24"/>
        </w:rPr>
        <w:t>for</w:t>
      </w:r>
      <w:r>
        <w:rPr>
          <w:spacing w:val="-5"/>
          <w:sz w:val="24"/>
        </w:rPr>
        <w:t> </w:t>
      </w:r>
      <w:r>
        <w:rPr>
          <w:sz w:val="24"/>
        </w:rPr>
        <w:t>residential</w:t>
      </w:r>
      <w:r>
        <w:rPr>
          <w:spacing w:val="-5"/>
          <w:sz w:val="24"/>
        </w:rPr>
        <w:t> </w:t>
      </w:r>
      <w:r>
        <w:rPr>
          <w:sz w:val="24"/>
        </w:rPr>
        <w:t>buildings,</w:t>
      </w:r>
      <w:r>
        <w:rPr>
          <w:spacing w:val="-5"/>
          <w:sz w:val="24"/>
        </w:rPr>
        <w:t> </w:t>
      </w:r>
      <w:r>
        <w:rPr>
          <w:sz w:val="24"/>
        </w:rPr>
        <w:t>repairs</w:t>
      </w:r>
      <w:r>
        <w:rPr>
          <w:spacing w:val="-5"/>
          <w:sz w:val="24"/>
        </w:rPr>
        <w:t> </w:t>
      </w:r>
      <w:r>
        <w:rPr>
          <w:sz w:val="24"/>
        </w:rPr>
        <w:t>can</w:t>
      </w:r>
      <w:r>
        <w:rPr>
          <w:spacing w:val="-5"/>
          <w:sz w:val="24"/>
        </w:rPr>
        <w:t> </w:t>
      </w:r>
      <w:r>
        <w:rPr>
          <w:sz w:val="24"/>
        </w:rPr>
        <w:t>be </w:t>
      </w:r>
      <w:r>
        <w:rPr>
          <w:spacing w:val="-2"/>
          <w:sz w:val="24"/>
        </w:rPr>
        <w:t>allowed</w:t>
      </w:r>
    </w:p>
    <w:p>
      <w:pPr>
        <w:pStyle w:val="ListParagraph"/>
        <w:numPr>
          <w:ilvl w:val="0"/>
          <w:numId w:val="352"/>
        </w:numPr>
        <w:tabs>
          <w:tab w:pos="1618" w:val="left" w:leader="none"/>
          <w:tab w:pos="4930" w:val="left" w:leader="none"/>
          <w:tab w:pos="7517" w:val="left" w:leader="none"/>
        </w:tabs>
        <w:spacing w:line="240" w:lineRule="auto" w:before="61" w:after="0"/>
        <w:ind w:left="1618" w:right="775" w:hanging="360"/>
        <w:jc w:val="both"/>
        <w:rPr>
          <w:sz w:val="24"/>
        </w:rPr>
      </w:pPr>
      <w:r>
        <w:rPr>
          <w:sz w:val="24"/>
        </w:rPr>
        <w:t>In case of partial/extensive structural repairs of buildings owned by </w:t>
      </w:r>
      <w:r>
        <w:rPr>
          <w:spacing w:val="-2"/>
          <w:sz w:val="24"/>
        </w:rPr>
        <w:t>Government/Semi</w:t>
      </w:r>
      <w:r>
        <w:rPr>
          <w:sz w:val="24"/>
        </w:rPr>
        <w:tab/>
      </w:r>
      <w:r>
        <w:rPr>
          <w:spacing w:val="-2"/>
          <w:sz w:val="24"/>
        </w:rPr>
        <w:t>Government</w:t>
      </w:r>
      <w:r>
        <w:rPr>
          <w:sz w:val="24"/>
        </w:rPr>
        <w:tab/>
      </w:r>
      <w:r>
        <w:rPr>
          <w:spacing w:val="-2"/>
          <w:sz w:val="24"/>
        </w:rPr>
        <w:t>organizations/Municipal </w:t>
      </w:r>
      <w:r>
        <w:rPr>
          <w:sz w:val="24"/>
        </w:rPr>
        <w:t>Corporation/B.E.S.T. Undertaking/Government-Semi Government Undertakings,</w:t>
      </w:r>
      <w:r>
        <w:rPr>
          <w:spacing w:val="-5"/>
          <w:sz w:val="24"/>
        </w:rPr>
        <w:t> </w:t>
      </w:r>
      <w:r>
        <w:rPr>
          <w:sz w:val="24"/>
        </w:rPr>
        <w:t>approval</w:t>
      </w:r>
      <w:r>
        <w:rPr>
          <w:spacing w:val="-5"/>
          <w:sz w:val="24"/>
        </w:rPr>
        <w:t> </w:t>
      </w:r>
      <w:r>
        <w:rPr>
          <w:sz w:val="24"/>
        </w:rPr>
        <w:t>of</w:t>
      </w:r>
      <w:r>
        <w:rPr>
          <w:spacing w:val="-5"/>
          <w:sz w:val="24"/>
        </w:rPr>
        <w:t> </w:t>
      </w:r>
      <w:r>
        <w:rPr>
          <w:sz w:val="24"/>
        </w:rPr>
        <w:t>the</w:t>
      </w:r>
      <w:r>
        <w:rPr>
          <w:spacing w:val="-5"/>
          <w:sz w:val="24"/>
        </w:rPr>
        <w:t> </w:t>
      </w:r>
      <w:r>
        <w:rPr>
          <w:sz w:val="24"/>
        </w:rPr>
        <w:t>Head</w:t>
      </w:r>
      <w:r>
        <w:rPr>
          <w:spacing w:val="-5"/>
          <w:sz w:val="24"/>
        </w:rPr>
        <w:t> </w:t>
      </w:r>
      <w:r>
        <w:rPr>
          <w:sz w:val="24"/>
        </w:rPr>
        <w:t>of</w:t>
      </w:r>
      <w:r>
        <w:rPr>
          <w:spacing w:val="-5"/>
          <w:sz w:val="24"/>
        </w:rPr>
        <w:t> </w:t>
      </w:r>
      <w:r>
        <w:rPr>
          <w:sz w:val="24"/>
        </w:rPr>
        <w:t>department/Competent</w:t>
      </w:r>
      <w:r>
        <w:rPr>
          <w:spacing w:val="-5"/>
          <w:sz w:val="24"/>
        </w:rPr>
        <w:t> </w:t>
      </w:r>
      <w:r>
        <w:rPr>
          <w:sz w:val="24"/>
        </w:rPr>
        <w:t>Authority</w:t>
      </w:r>
      <w:r>
        <w:rPr>
          <w:spacing w:val="-5"/>
          <w:sz w:val="24"/>
        </w:rPr>
        <w:t> </w:t>
      </w:r>
      <w:r>
        <w:rPr>
          <w:sz w:val="24"/>
        </w:rPr>
        <w:t>of Concerned organization shall be sufficient. Structural Audit as per the requirement</w:t>
      </w:r>
      <w:r>
        <w:rPr>
          <w:spacing w:val="-6"/>
          <w:sz w:val="24"/>
        </w:rPr>
        <w:t> </w:t>
      </w:r>
      <w:r>
        <w:rPr>
          <w:sz w:val="24"/>
        </w:rPr>
        <w:t>of</w:t>
      </w:r>
      <w:r>
        <w:rPr>
          <w:spacing w:val="-6"/>
          <w:sz w:val="24"/>
        </w:rPr>
        <w:t> </w:t>
      </w:r>
      <w:r>
        <w:rPr>
          <w:sz w:val="24"/>
        </w:rPr>
        <w:t>MCGM</w:t>
      </w:r>
      <w:r>
        <w:rPr>
          <w:spacing w:val="-6"/>
          <w:sz w:val="24"/>
        </w:rPr>
        <w:t> </w:t>
      </w:r>
      <w:r>
        <w:rPr>
          <w:sz w:val="24"/>
        </w:rPr>
        <w:t>and</w:t>
      </w:r>
      <w:r>
        <w:rPr>
          <w:spacing w:val="-6"/>
          <w:sz w:val="24"/>
        </w:rPr>
        <w:t> </w:t>
      </w:r>
      <w:r>
        <w:rPr>
          <w:sz w:val="24"/>
        </w:rPr>
        <w:t>compliance</w:t>
      </w:r>
      <w:r>
        <w:rPr>
          <w:spacing w:val="-6"/>
          <w:sz w:val="24"/>
        </w:rPr>
        <w:t> </w:t>
      </w:r>
      <w:r>
        <w:rPr>
          <w:sz w:val="24"/>
        </w:rPr>
        <w:t>thereof</w:t>
      </w:r>
      <w:r>
        <w:rPr>
          <w:spacing w:val="-6"/>
          <w:sz w:val="24"/>
        </w:rPr>
        <w:t> </w:t>
      </w:r>
      <w:r>
        <w:rPr>
          <w:sz w:val="24"/>
        </w:rPr>
        <w:t>shall</w:t>
      </w:r>
      <w:r>
        <w:rPr>
          <w:spacing w:val="-6"/>
          <w:sz w:val="24"/>
        </w:rPr>
        <w:t> </w:t>
      </w:r>
      <w:r>
        <w:rPr>
          <w:sz w:val="24"/>
        </w:rPr>
        <w:t>have</w:t>
      </w:r>
      <w:r>
        <w:rPr>
          <w:spacing w:val="-6"/>
          <w:sz w:val="24"/>
        </w:rPr>
        <w:t> </w:t>
      </w:r>
      <w:r>
        <w:rPr>
          <w:sz w:val="24"/>
        </w:rPr>
        <w:t>to</w:t>
      </w:r>
      <w:r>
        <w:rPr>
          <w:spacing w:val="-6"/>
          <w:sz w:val="24"/>
        </w:rPr>
        <w:t> </w:t>
      </w:r>
      <w:r>
        <w:rPr>
          <w:sz w:val="24"/>
        </w:rPr>
        <w:t>be</w:t>
      </w:r>
      <w:r>
        <w:rPr>
          <w:spacing w:val="-6"/>
          <w:sz w:val="24"/>
        </w:rPr>
        <w:t> </w:t>
      </w:r>
      <w:r>
        <w:rPr>
          <w:sz w:val="24"/>
        </w:rPr>
        <w:t>observed</w:t>
      </w:r>
      <w:r>
        <w:rPr>
          <w:spacing w:val="-6"/>
          <w:sz w:val="24"/>
        </w:rPr>
        <w:t> </w:t>
      </w:r>
      <w:r>
        <w:rPr>
          <w:sz w:val="24"/>
        </w:rPr>
        <w:t>by the concerned organization/Authority.</w:t>
      </w:r>
    </w:p>
    <w:p>
      <w:pPr>
        <w:pStyle w:val="ListParagraph"/>
        <w:spacing w:after="0" w:line="240" w:lineRule="auto"/>
        <w:jc w:val="both"/>
        <w:rPr>
          <w:sz w:val="24"/>
        </w:rPr>
        <w:sectPr>
          <w:pgSz w:w="11910" w:h="16850"/>
          <w:pgMar w:header="1024" w:footer="1302" w:top="1480" w:bottom="1500" w:left="360" w:right="360"/>
        </w:sectPr>
      </w:pPr>
    </w:p>
    <w:p>
      <w:pPr>
        <w:pStyle w:val="BodyText"/>
        <w:jc w:val="left"/>
      </w:pPr>
    </w:p>
    <w:p>
      <w:pPr>
        <w:pStyle w:val="BodyText"/>
        <w:spacing w:before="233"/>
        <w:jc w:val="left"/>
      </w:pPr>
    </w:p>
    <w:p>
      <w:pPr>
        <w:pStyle w:val="Heading4"/>
      </w:pPr>
      <w:r>
        <w:rPr/>
        <w:t>APPENDIX- </w:t>
      </w:r>
      <w:r>
        <w:rPr>
          <w:spacing w:val="-10"/>
        </w:rPr>
        <w:t>V</w:t>
      </w:r>
    </w:p>
    <w:p>
      <w:pPr>
        <w:spacing w:before="241"/>
        <w:ind w:left="0" w:right="1" w:firstLine="0"/>
        <w:jc w:val="center"/>
        <w:rPr>
          <w:b/>
          <w:sz w:val="24"/>
        </w:rPr>
      </w:pPr>
      <w:r>
        <w:rPr>
          <w:b/>
          <w:sz w:val="24"/>
        </w:rPr>
        <w:t>MUNICIPAL</w:t>
      </w:r>
      <w:r>
        <w:rPr>
          <w:b/>
          <w:spacing w:val="-5"/>
          <w:sz w:val="24"/>
        </w:rPr>
        <w:t> </w:t>
      </w:r>
      <w:r>
        <w:rPr>
          <w:b/>
          <w:sz w:val="24"/>
        </w:rPr>
        <w:t>CORPORATION</w:t>
      </w:r>
      <w:r>
        <w:rPr>
          <w:b/>
          <w:spacing w:val="-2"/>
          <w:sz w:val="24"/>
        </w:rPr>
        <w:t> </w:t>
      </w:r>
      <w:r>
        <w:rPr>
          <w:b/>
          <w:sz w:val="24"/>
        </w:rPr>
        <w:t>OF</w:t>
      </w:r>
      <w:r>
        <w:rPr>
          <w:b/>
          <w:spacing w:val="-2"/>
          <w:sz w:val="24"/>
        </w:rPr>
        <w:t> </w:t>
      </w:r>
      <w:r>
        <w:rPr>
          <w:b/>
          <w:sz w:val="24"/>
        </w:rPr>
        <w:t>GREATER</w:t>
      </w:r>
      <w:r>
        <w:rPr>
          <w:b/>
          <w:spacing w:val="-2"/>
          <w:sz w:val="24"/>
        </w:rPr>
        <w:t> MUMBAI</w:t>
      </w:r>
    </w:p>
    <w:p>
      <w:pPr>
        <w:pStyle w:val="Heading5"/>
        <w:tabs>
          <w:tab w:pos="4320" w:val="left" w:leader="none"/>
        </w:tabs>
        <w:spacing w:before="239"/>
        <w:jc w:val="center"/>
      </w:pPr>
      <w:r>
        <w:rPr/>
        <w:t>No. </w:t>
      </w:r>
      <w:r>
        <w:rPr>
          <w:spacing w:val="-2"/>
        </w:rPr>
        <w:t>Dy.Ch.E./BP/</w:t>
      </w:r>
      <w:r>
        <w:rPr/>
        <w:tab/>
      </w:r>
      <w:r>
        <w:rPr>
          <w:spacing w:val="-5"/>
        </w:rPr>
        <w:t>of</w:t>
      </w:r>
    </w:p>
    <w:p>
      <w:pPr>
        <w:pStyle w:val="BodyText"/>
        <w:spacing w:before="242"/>
        <w:ind w:left="6894"/>
        <w:jc w:val="left"/>
      </w:pPr>
      <w:r>
        <w:rPr/>
        <w:t>Office </w:t>
      </w:r>
      <w:r>
        <w:rPr>
          <w:spacing w:val="-2"/>
        </w:rPr>
        <w:t>ofthe:</w:t>
      </w:r>
    </w:p>
    <w:p>
      <w:pPr>
        <w:pStyle w:val="BodyText"/>
        <w:spacing w:before="239"/>
        <w:ind w:left="6894"/>
        <w:jc w:val="left"/>
      </w:pPr>
      <w:r>
        <w:rPr/>
        <w:t>Dy. Chief Engineer </w:t>
      </w:r>
      <w:r>
        <w:rPr>
          <w:spacing w:val="-2"/>
        </w:rPr>
        <w:t>(B.P.)</w:t>
      </w:r>
    </w:p>
    <w:p>
      <w:pPr>
        <w:pStyle w:val="Heading4"/>
        <w:spacing w:before="240"/>
        <w:ind w:right="1"/>
      </w:pPr>
      <w:r>
        <w:rPr/>
        <w:t>ADVANCE</w:t>
      </w:r>
      <w:r>
        <w:rPr>
          <w:spacing w:val="-7"/>
        </w:rPr>
        <w:t> </w:t>
      </w:r>
      <w:r>
        <w:rPr/>
        <w:t>POSSESSION</w:t>
      </w:r>
      <w:r>
        <w:rPr>
          <w:spacing w:val="-5"/>
        </w:rPr>
        <w:t> </w:t>
      </w:r>
      <w:r>
        <w:rPr>
          <w:spacing w:val="-2"/>
        </w:rPr>
        <w:t>RECEIPT</w:t>
      </w:r>
    </w:p>
    <w:p>
      <w:pPr>
        <w:pStyle w:val="BodyText"/>
        <w:tabs>
          <w:tab w:pos="9772" w:val="left" w:leader="dot"/>
        </w:tabs>
        <w:spacing w:before="241"/>
        <w:ind w:left="2818" w:right="774" w:hanging="600"/>
      </w:pPr>
      <w:r>
        <w:rPr/>
        <w:t>Sub: -Handing over and taking over the advance possession of plot/Area of D.P. Road/Reservation/amenity area etc. as per provisions</w:t>
      </w:r>
      <w:r>
        <w:rPr>
          <w:spacing w:val="-6"/>
        </w:rPr>
        <w:t> </w:t>
      </w:r>
      <w:r>
        <w:rPr/>
        <w:t>of</w:t>
      </w:r>
      <w:r>
        <w:rPr>
          <w:spacing w:val="-5"/>
        </w:rPr>
        <w:t> </w:t>
      </w:r>
      <w:r>
        <w:rPr/>
        <w:t>DCR</w:t>
      </w:r>
      <w:r>
        <w:rPr>
          <w:spacing w:val="-5"/>
        </w:rPr>
        <w:t> </w:t>
      </w:r>
      <w:r>
        <w:rPr/>
        <w:t>2034</w:t>
      </w:r>
      <w:r>
        <w:rPr>
          <w:spacing w:val="-6"/>
        </w:rPr>
        <w:t> </w:t>
      </w:r>
      <w:r>
        <w:rPr/>
        <w:t>out</w:t>
      </w:r>
      <w:r>
        <w:rPr>
          <w:spacing w:val="-5"/>
        </w:rPr>
        <w:t> </w:t>
      </w:r>
      <w:r>
        <w:rPr/>
        <w:t>of</w:t>
      </w:r>
      <w:r>
        <w:rPr>
          <w:spacing w:val="-5"/>
        </w:rPr>
        <w:t> </w:t>
      </w:r>
      <w:r>
        <w:rPr/>
        <w:t>Survey</w:t>
      </w:r>
      <w:r>
        <w:rPr>
          <w:spacing w:val="-5"/>
        </w:rPr>
        <w:t> </w:t>
      </w:r>
      <w:r>
        <w:rPr>
          <w:spacing w:val="-2"/>
        </w:rPr>
        <w:t>No./H.No.</w:t>
      </w:r>
      <w:r>
        <w:rPr/>
        <w:tab/>
        <w:t>,</w:t>
      </w:r>
      <w:r>
        <w:rPr>
          <w:spacing w:val="-5"/>
        </w:rPr>
        <w:t> CTS</w:t>
      </w:r>
    </w:p>
    <w:p>
      <w:pPr>
        <w:pStyle w:val="BodyText"/>
        <w:spacing w:line="281" w:lineRule="exact"/>
        <w:ind w:left="2818"/>
      </w:pPr>
      <w:r>
        <w:rPr/>
        <w:t>No.</w:t>
      </w:r>
      <w:r>
        <w:rPr>
          <w:spacing w:val="28"/>
        </w:rPr>
        <w:t>  </w:t>
      </w:r>
      <w:r>
        <w:rPr/>
        <w:t>/C.S.</w:t>
      </w:r>
      <w:r>
        <w:rPr>
          <w:spacing w:val="28"/>
        </w:rPr>
        <w:t>  </w:t>
      </w:r>
      <w:r>
        <w:rPr/>
        <w:t>No./</w:t>
      </w:r>
      <w:r>
        <w:rPr>
          <w:spacing w:val="28"/>
        </w:rPr>
        <w:t>  </w:t>
      </w:r>
      <w:r>
        <w:rPr/>
        <w:t>F.P.</w:t>
      </w:r>
      <w:r>
        <w:rPr>
          <w:spacing w:val="28"/>
        </w:rPr>
        <w:t>  </w:t>
      </w:r>
      <w:r>
        <w:rPr/>
        <w:t>No.</w:t>
      </w:r>
      <w:r>
        <w:rPr>
          <w:spacing w:val="28"/>
        </w:rPr>
        <w:t>  </w:t>
      </w:r>
      <w:r>
        <w:rPr/>
        <w:t>....................................</w:t>
      </w:r>
      <w:r>
        <w:rPr>
          <w:spacing w:val="28"/>
        </w:rPr>
        <w:t>  </w:t>
      </w:r>
      <w:r>
        <w:rPr/>
        <w:t>of</w:t>
      </w:r>
      <w:r>
        <w:rPr>
          <w:spacing w:val="28"/>
        </w:rPr>
        <w:t>  </w:t>
      </w:r>
      <w:r>
        <w:rPr>
          <w:spacing w:val="-2"/>
        </w:rPr>
        <w:t>village</w:t>
      </w:r>
    </w:p>
    <w:p>
      <w:pPr>
        <w:pStyle w:val="BodyText"/>
        <w:tabs>
          <w:tab w:pos="9575" w:val="left" w:leader="dot"/>
        </w:tabs>
        <w:spacing w:line="281" w:lineRule="exact"/>
        <w:ind w:left="2818"/>
      </w:pPr>
      <w:r>
        <w:rPr/>
        <w:t>/Division/</w:t>
      </w:r>
      <w:r>
        <w:rPr>
          <w:spacing w:val="-2"/>
        </w:rPr>
        <w:t> </w:t>
      </w:r>
      <w:r>
        <w:rPr/>
        <w:t>T.P.</w:t>
      </w:r>
      <w:r>
        <w:rPr>
          <w:spacing w:val="-2"/>
        </w:rPr>
        <w:t> </w:t>
      </w:r>
      <w:r>
        <w:rPr/>
        <w:t>Scheme</w:t>
      </w:r>
      <w:r>
        <w:rPr>
          <w:spacing w:val="-2"/>
        </w:rPr>
        <w:t> </w:t>
      </w:r>
      <w:r>
        <w:rPr/>
        <w:t>No.</w:t>
      </w:r>
      <w:r>
        <w:rPr>
          <w:spacing w:val="-2"/>
        </w:rPr>
        <w:t> </w:t>
      </w:r>
      <w:r>
        <w:rPr/>
        <w:t>...........................</w:t>
      </w:r>
      <w:r>
        <w:rPr>
          <w:spacing w:val="-2"/>
        </w:rPr>
        <w:t> </w:t>
      </w:r>
      <w:r>
        <w:rPr>
          <w:spacing w:val="-5"/>
        </w:rPr>
        <w:t>in</w:t>
      </w:r>
      <w:r>
        <w:rPr/>
        <w:tab/>
      </w:r>
      <w:r>
        <w:rPr>
          <w:spacing w:val="-2"/>
        </w:rPr>
        <w:t>Ward.</w:t>
      </w:r>
    </w:p>
    <w:p>
      <w:pPr>
        <w:pStyle w:val="BodyText"/>
        <w:tabs>
          <w:tab w:pos="3685" w:val="left" w:leader="none"/>
        </w:tabs>
        <w:spacing w:before="242"/>
        <w:ind w:left="777" w:right="773" w:firstLine="797"/>
      </w:pPr>
      <w:r>
        <w:rPr>
          <w:u w:val="single"/>
        </w:rPr>
        <w:tab/>
      </w:r>
      <w:r>
        <w:rPr>
          <w:spacing w:val="-20"/>
        </w:rPr>
        <w:t> </w:t>
      </w:r>
      <w:r>
        <w:rPr/>
        <w:t>working</w:t>
      </w:r>
      <w:r>
        <w:rPr>
          <w:spacing w:val="-19"/>
        </w:rPr>
        <w:t> </w:t>
      </w:r>
      <w:r>
        <w:rPr/>
        <w:t>as Assistant Engineer in the Office of Dy. Ch.E. (B.P.)........ and ....................................., the owner of the said plot of land have respectively taken over on behalf of MCGM as per provisions of DCR and handed over the representative possession of the above said land respectively.</w:t>
      </w:r>
      <w:r>
        <w:rPr>
          <w:spacing w:val="40"/>
        </w:rPr>
        <w:t> </w:t>
      </w:r>
      <w:r>
        <w:rPr/>
        <w:t>The possession</w:t>
      </w:r>
      <w:r>
        <w:rPr>
          <w:spacing w:val="-6"/>
        </w:rPr>
        <w:t> </w:t>
      </w:r>
      <w:r>
        <w:rPr/>
        <w:t>of</w:t>
      </w:r>
      <w:r>
        <w:rPr>
          <w:spacing w:val="-6"/>
        </w:rPr>
        <w:t> </w:t>
      </w:r>
      <w:r>
        <w:rPr/>
        <w:t>the</w:t>
      </w:r>
      <w:r>
        <w:rPr>
          <w:spacing w:val="-6"/>
        </w:rPr>
        <w:t> </w:t>
      </w:r>
      <w:r>
        <w:rPr/>
        <w:t>land</w:t>
      </w:r>
      <w:r>
        <w:rPr>
          <w:spacing w:val="-6"/>
        </w:rPr>
        <w:t> </w:t>
      </w:r>
      <w:r>
        <w:rPr/>
        <w:t>mentioned</w:t>
      </w:r>
      <w:r>
        <w:rPr>
          <w:spacing w:val="-6"/>
        </w:rPr>
        <w:t> </w:t>
      </w:r>
      <w:r>
        <w:rPr/>
        <w:t>below</w:t>
      </w:r>
      <w:r>
        <w:rPr>
          <w:spacing w:val="-6"/>
        </w:rPr>
        <w:t> </w:t>
      </w:r>
      <w:r>
        <w:rPr/>
        <w:t>has</w:t>
      </w:r>
      <w:r>
        <w:rPr>
          <w:spacing w:val="-6"/>
        </w:rPr>
        <w:t> </w:t>
      </w:r>
      <w:r>
        <w:rPr/>
        <w:t>been</w:t>
      </w:r>
      <w:r>
        <w:rPr>
          <w:spacing w:val="-6"/>
        </w:rPr>
        <w:t> </w:t>
      </w:r>
      <w:r>
        <w:rPr/>
        <w:t>taken</w:t>
      </w:r>
      <w:r>
        <w:rPr>
          <w:spacing w:val="-6"/>
        </w:rPr>
        <w:t> </w:t>
      </w:r>
      <w:r>
        <w:rPr/>
        <w:t>as</w:t>
      </w:r>
      <w:r>
        <w:rPr>
          <w:spacing w:val="-6"/>
        </w:rPr>
        <w:t> </w:t>
      </w:r>
      <w:r>
        <w:rPr/>
        <w:t>required</w:t>
      </w:r>
      <w:r>
        <w:rPr>
          <w:spacing w:val="-6"/>
        </w:rPr>
        <w:t> </w:t>
      </w:r>
      <w:r>
        <w:rPr/>
        <w:t>by</w:t>
      </w:r>
      <w:r>
        <w:rPr>
          <w:spacing w:val="-6"/>
        </w:rPr>
        <w:t> </w:t>
      </w:r>
      <w:r>
        <w:rPr/>
        <w:t>the</w:t>
      </w:r>
      <w:r>
        <w:rPr>
          <w:spacing w:val="-6"/>
        </w:rPr>
        <w:t> </w:t>
      </w:r>
      <w:r>
        <w:rPr/>
        <w:t>Deputy Superintendent Land Records as per Indian Registration Act, 1908, for the rectification in the Land Record.</w:t>
      </w:r>
      <w:r>
        <w:rPr>
          <w:spacing w:val="40"/>
        </w:rPr>
        <w:t> </w:t>
      </w:r>
      <w:r>
        <w:rPr/>
        <w:t>This possession Receipt does not mean that MCGM have taken final possession of the said land.</w:t>
      </w:r>
    </w:p>
    <w:p>
      <w:pPr>
        <w:pStyle w:val="BodyText"/>
        <w:spacing w:before="240"/>
        <w:ind w:left="777" w:right="775" w:firstLine="720"/>
      </w:pPr>
      <w:r>
        <w:rPr/>
        <w:t>The</w:t>
      </w:r>
      <w:r>
        <w:rPr>
          <w:spacing w:val="-15"/>
        </w:rPr>
        <w:t> </w:t>
      </w:r>
      <w:r>
        <w:rPr/>
        <w:t>final</w:t>
      </w:r>
      <w:r>
        <w:rPr>
          <w:spacing w:val="-13"/>
        </w:rPr>
        <w:t> </w:t>
      </w:r>
      <w:r>
        <w:rPr/>
        <w:t>possession</w:t>
      </w:r>
      <w:r>
        <w:rPr>
          <w:spacing w:val="-13"/>
        </w:rPr>
        <w:t> </w:t>
      </w:r>
      <w:r>
        <w:rPr/>
        <w:t>receipt</w:t>
      </w:r>
      <w:r>
        <w:rPr>
          <w:spacing w:val="-15"/>
        </w:rPr>
        <w:t> </w:t>
      </w:r>
      <w:r>
        <w:rPr/>
        <w:t>shall</w:t>
      </w:r>
      <w:r>
        <w:rPr>
          <w:spacing w:val="-15"/>
        </w:rPr>
        <w:t> </w:t>
      </w:r>
      <w:r>
        <w:rPr/>
        <w:t>be</w:t>
      </w:r>
      <w:r>
        <w:rPr>
          <w:spacing w:val="-15"/>
        </w:rPr>
        <w:t> </w:t>
      </w:r>
      <w:r>
        <w:rPr/>
        <w:t>issued</w:t>
      </w:r>
      <w:r>
        <w:rPr>
          <w:spacing w:val="-15"/>
        </w:rPr>
        <w:t> </w:t>
      </w:r>
      <w:r>
        <w:rPr/>
        <w:t>only</w:t>
      </w:r>
      <w:r>
        <w:rPr>
          <w:spacing w:val="-15"/>
        </w:rPr>
        <w:t> </w:t>
      </w:r>
      <w:r>
        <w:rPr/>
        <w:t>after</w:t>
      </w:r>
      <w:r>
        <w:rPr>
          <w:spacing w:val="-15"/>
        </w:rPr>
        <w:t> </w:t>
      </w:r>
      <w:r>
        <w:rPr/>
        <w:t>ascertaining</w:t>
      </w:r>
      <w:r>
        <w:rPr>
          <w:spacing w:val="-15"/>
        </w:rPr>
        <w:t> </w:t>
      </w:r>
      <w:r>
        <w:rPr/>
        <w:t>the</w:t>
      </w:r>
      <w:r>
        <w:rPr>
          <w:spacing w:val="-15"/>
        </w:rPr>
        <w:t> </w:t>
      </w:r>
      <w:r>
        <w:rPr/>
        <w:t>actual area</w:t>
      </w:r>
      <w:r>
        <w:rPr>
          <w:spacing w:val="-10"/>
        </w:rPr>
        <w:t> </w:t>
      </w:r>
      <w:r>
        <w:rPr/>
        <w:t>as</w:t>
      </w:r>
      <w:r>
        <w:rPr>
          <w:spacing w:val="-10"/>
        </w:rPr>
        <w:t> </w:t>
      </w:r>
      <w:r>
        <w:rPr/>
        <w:t>per</w:t>
      </w:r>
      <w:r>
        <w:rPr>
          <w:spacing w:val="-10"/>
        </w:rPr>
        <w:t> </w:t>
      </w:r>
      <w:r>
        <w:rPr/>
        <w:t>provisions</w:t>
      </w:r>
      <w:r>
        <w:rPr>
          <w:spacing w:val="-10"/>
        </w:rPr>
        <w:t> </w:t>
      </w:r>
      <w:r>
        <w:rPr/>
        <w:t>of</w:t>
      </w:r>
      <w:r>
        <w:rPr>
          <w:spacing w:val="-10"/>
        </w:rPr>
        <w:t> </w:t>
      </w:r>
      <w:r>
        <w:rPr/>
        <w:t>DCR</w:t>
      </w:r>
      <w:r>
        <w:rPr>
          <w:spacing w:val="-10"/>
        </w:rPr>
        <w:t> </w:t>
      </w:r>
      <w:r>
        <w:rPr/>
        <w:t>&amp;</w:t>
      </w:r>
      <w:r>
        <w:rPr>
          <w:spacing w:val="-10"/>
        </w:rPr>
        <w:t> </w:t>
      </w:r>
      <w:r>
        <w:rPr/>
        <w:t>joint</w:t>
      </w:r>
      <w:r>
        <w:rPr>
          <w:spacing w:val="-10"/>
        </w:rPr>
        <w:t> </w:t>
      </w:r>
      <w:r>
        <w:rPr/>
        <w:t>measurement</w:t>
      </w:r>
      <w:r>
        <w:rPr>
          <w:spacing w:val="-10"/>
        </w:rPr>
        <w:t> </w:t>
      </w:r>
      <w:r>
        <w:rPr/>
        <w:t>plan</w:t>
      </w:r>
      <w:r>
        <w:rPr>
          <w:spacing w:val="-10"/>
        </w:rPr>
        <w:t> </w:t>
      </w:r>
      <w:r>
        <w:rPr/>
        <w:t>and</w:t>
      </w:r>
      <w:r>
        <w:rPr>
          <w:spacing w:val="-10"/>
        </w:rPr>
        <w:t> </w:t>
      </w:r>
      <w:r>
        <w:rPr/>
        <w:t>physically</w:t>
      </w:r>
      <w:r>
        <w:rPr>
          <w:spacing w:val="-10"/>
        </w:rPr>
        <w:t> </w:t>
      </w:r>
      <w:r>
        <w:rPr/>
        <w:t>taken</w:t>
      </w:r>
      <w:r>
        <w:rPr>
          <w:spacing w:val="-10"/>
        </w:rPr>
        <w:t> </w:t>
      </w:r>
      <w:r>
        <w:rPr/>
        <w:t>over the possession of plot by MCGM and handed over by the owner. The cost of any transaction involved shall be borne by the owner or lessee.</w:t>
      </w:r>
    </w:p>
    <w:p>
      <w:pPr>
        <w:pStyle w:val="BodyText"/>
        <w:spacing w:before="239"/>
        <w:ind w:left="777" w:right="774" w:firstLine="720"/>
      </w:pPr>
      <w:r>
        <w:rPr/>
        <w:t>The</w:t>
      </w:r>
      <w:r>
        <w:rPr>
          <w:spacing w:val="-4"/>
        </w:rPr>
        <w:t> </w:t>
      </w:r>
      <w:r>
        <w:rPr/>
        <w:t>particulars</w:t>
      </w:r>
      <w:r>
        <w:rPr>
          <w:spacing w:val="-4"/>
        </w:rPr>
        <w:t> </w:t>
      </w:r>
      <w:r>
        <w:rPr/>
        <w:t>of</w:t>
      </w:r>
      <w:r>
        <w:rPr>
          <w:spacing w:val="-4"/>
        </w:rPr>
        <w:t> </w:t>
      </w:r>
      <w:r>
        <w:rPr/>
        <w:t>land</w:t>
      </w:r>
      <w:r>
        <w:rPr>
          <w:spacing w:val="-4"/>
        </w:rPr>
        <w:t> </w:t>
      </w:r>
      <w:r>
        <w:rPr/>
        <w:t>considered</w:t>
      </w:r>
      <w:r>
        <w:rPr>
          <w:spacing w:val="-4"/>
        </w:rPr>
        <w:t> </w:t>
      </w:r>
      <w:r>
        <w:rPr/>
        <w:t>for</w:t>
      </w:r>
      <w:r>
        <w:rPr>
          <w:spacing w:val="-4"/>
        </w:rPr>
        <w:t> </w:t>
      </w:r>
      <w:r>
        <w:rPr/>
        <w:t>initial</w:t>
      </w:r>
      <w:r>
        <w:rPr>
          <w:spacing w:val="-4"/>
        </w:rPr>
        <w:t> </w:t>
      </w:r>
      <w:r>
        <w:rPr/>
        <w:t>stage</w:t>
      </w:r>
      <w:r>
        <w:rPr>
          <w:spacing w:val="-4"/>
        </w:rPr>
        <w:t> </w:t>
      </w:r>
      <w:r>
        <w:rPr/>
        <w:t>of</w:t>
      </w:r>
      <w:r>
        <w:rPr>
          <w:spacing w:val="-4"/>
        </w:rPr>
        <w:t> </w:t>
      </w:r>
      <w:r>
        <w:rPr/>
        <w:t>representative</w:t>
      </w:r>
      <w:r>
        <w:rPr>
          <w:spacing w:val="-4"/>
        </w:rPr>
        <w:t> </w:t>
      </w:r>
      <w:r>
        <w:rPr/>
        <w:t>advance possession receipt is as mentioned below-</w:t>
      </w:r>
    </w:p>
    <w:p>
      <w:pPr>
        <w:pStyle w:val="BodyText"/>
        <w:spacing w:before="6"/>
        <w:jc w:val="left"/>
        <w:rPr>
          <w:sz w:val="20"/>
        </w:rPr>
      </w:pPr>
    </w:p>
    <w:tbl>
      <w:tblPr>
        <w:tblW w:w="0" w:type="auto"/>
        <w:jc w:val="left"/>
        <w:tblInd w:w="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2"/>
        <w:gridCol w:w="1477"/>
        <w:gridCol w:w="2617"/>
        <w:gridCol w:w="2689"/>
        <w:gridCol w:w="1428"/>
      </w:tblGrid>
      <w:tr>
        <w:trPr>
          <w:trHeight w:val="643" w:hRule="atLeast"/>
        </w:trPr>
        <w:tc>
          <w:tcPr>
            <w:tcW w:w="1412" w:type="dxa"/>
            <w:shd w:val="clear" w:color="auto" w:fill="E7E6E6"/>
          </w:tcPr>
          <w:p>
            <w:pPr>
              <w:pStyle w:val="TableParagraph"/>
              <w:spacing w:before="40"/>
              <w:ind w:left="107" w:right="485"/>
              <w:rPr>
                <w:sz w:val="24"/>
              </w:rPr>
            </w:pPr>
            <w:r>
              <w:rPr>
                <w:spacing w:val="-2"/>
                <w:sz w:val="24"/>
              </w:rPr>
              <w:t>Survey </w:t>
            </w:r>
            <w:r>
              <w:rPr>
                <w:spacing w:val="-4"/>
                <w:sz w:val="24"/>
              </w:rPr>
              <w:t>No.</w:t>
            </w:r>
          </w:p>
        </w:tc>
        <w:tc>
          <w:tcPr>
            <w:tcW w:w="1477" w:type="dxa"/>
            <w:shd w:val="clear" w:color="auto" w:fill="E7E6E6"/>
          </w:tcPr>
          <w:p>
            <w:pPr>
              <w:pStyle w:val="TableParagraph"/>
              <w:spacing w:before="38"/>
              <w:ind w:left="107"/>
              <w:rPr>
                <w:sz w:val="24"/>
              </w:rPr>
            </w:pPr>
            <w:r>
              <w:rPr>
                <w:spacing w:val="-2"/>
                <w:sz w:val="24"/>
              </w:rPr>
              <w:t>H.No.</w:t>
            </w:r>
          </w:p>
        </w:tc>
        <w:tc>
          <w:tcPr>
            <w:tcW w:w="2617" w:type="dxa"/>
            <w:shd w:val="clear" w:color="auto" w:fill="E7E6E6"/>
          </w:tcPr>
          <w:p>
            <w:pPr>
              <w:pStyle w:val="TableParagraph"/>
              <w:spacing w:before="40"/>
              <w:ind w:left="107" w:right="97"/>
              <w:rPr>
                <w:sz w:val="24"/>
              </w:rPr>
            </w:pPr>
            <w:r>
              <w:rPr>
                <w:spacing w:val="-4"/>
                <w:sz w:val="24"/>
              </w:rPr>
              <w:t>CTS </w:t>
            </w:r>
            <w:r>
              <w:rPr>
                <w:spacing w:val="-2"/>
                <w:sz w:val="24"/>
              </w:rPr>
              <w:t>No./C.S.No./F.P.No.</w:t>
            </w:r>
          </w:p>
        </w:tc>
        <w:tc>
          <w:tcPr>
            <w:tcW w:w="2689" w:type="dxa"/>
            <w:shd w:val="clear" w:color="auto" w:fill="E7E6E6"/>
          </w:tcPr>
          <w:p>
            <w:pPr>
              <w:pStyle w:val="TableParagraph"/>
              <w:spacing w:before="38"/>
              <w:ind w:left="106"/>
              <w:rPr>
                <w:sz w:val="24"/>
              </w:rPr>
            </w:pPr>
            <w:r>
              <w:rPr>
                <w:spacing w:val="-2"/>
                <w:sz w:val="24"/>
              </w:rPr>
              <w:t>Village/Division/TPS</w:t>
            </w:r>
          </w:p>
        </w:tc>
        <w:tc>
          <w:tcPr>
            <w:tcW w:w="1428" w:type="dxa"/>
            <w:shd w:val="clear" w:color="auto" w:fill="E7E6E6"/>
          </w:tcPr>
          <w:p>
            <w:pPr>
              <w:pStyle w:val="TableParagraph"/>
              <w:tabs>
                <w:tab w:pos="1087" w:val="left" w:leader="none"/>
              </w:tabs>
              <w:spacing w:before="40"/>
              <w:ind w:left="106" w:right="98"/>
              <w:rPr>
                <w:sz w:val="24"/>
              </w:rPr>
            </w:pPr>
            <w:r>
              <w:rPr>
                <w:spacing w:val="-4"/>
                <w:sz w:val="24"/>
              </w:rPr>
              <w:t>Area</w:t>
            </w:r>
            <w:r>
              <w:rPr>
                <w:sz w:val="24"/>
              </w:rPr>
              <w:tab/>
            </w:r>
            <w:r>
              <w:rPr>
                <w:spacing w:val="-6"/>
                <w:sz w:val="24"/>
              </w:rPr>
              <w:t>in </w:t>
            </w:r>
            <w:r>
              <w:rPr>
                <w:sz w:val="24"/>
              </w:rPr>
              <w:t>Sq. M.</w:t>
            </w:r>
          </w:p>
        </w:tc>
      </w:tr>
      <w:tr>
        <w:trPr>
          <w:trHeight w:val="362" w:hRule="atLeast"/>
        </w:trPr>
        <w:tc>
          <w:tcPr>
            <w:tcW w:w="1412" w:type="dxa"/>
          </w:tcPr>
          <w:p>
            <w:pPr>
              <w:pStyle w:val="TableParagraph"/>
              <w:rPr>
                <w:rFonts w:ascii="Times New Roman"/>
                <w:sz w:val="22"/>
              </w:rPr>
            </w:pPr>
          </w:p>
        </w:tc>
        <w:tc>
          <w:tcPr>
            <w:tcW w:w="1477" w:type="dxa"/>
          </w:tcPr>
          <w:p>
            <w:pPr>
              <w:pStyle w:val="TableParagraph"/>
              <w:rPr>
                <w:rFonts w:ascii="Times New Roman"/>
                <w:sz w:val="22"/>
              </w:rPr>
            </w:pPr>
          </w:p>
        </w:tc>
        <w:tc>
          <w:tcPr>
            <w:tcW w:w="2617" w:type="dxa"/>
          </w:tcPr>
          <w:p>
            <w:pPr>
              <w:pStyle w:val="TableParagraph"/>
              <w:rPr>
                <w:rFonts w:ascii="Times New Roman"/>
                <w:sz w:val="22"/>
              </w:rPr>
            </w:pPr>
          </w:p>
        </w:tc>
        <w:tc>
          <w:tcPr>
            <w:tcW w:w="2689" w:type="dxa"/>
          </w:tcPr>
          <w:p>
            <w:pPr>
              <w:pStyle w:val="TableParagraph"/>
              <w:rPr>
                <w:rFonts w:ascii="Times New Roman"/>
                <w:sz w:val="22"/>
              </w:rPr>
            </w:pPr>
          </w:p>
        </w:tc>
        <w:tc>
          <w:tcPr>
            <w:tcW w:w="1428" w:type="dxa"/>
          </w:tcPr>
          <w:p>
            <w:pPr>
              <w:pStyle w:val="TableParagraph"/>
              <w:rPr>
                <w:rFonts w:ascii="Times New Roman"/>
                <w:sz w:val="22"/>
              </w:rPr>
            </w:pPr>
          </w:p>
        </w:tc>
      </w:tr>
    </w:tbl>
    <w:p>
      <w:pPr>
        <w:pStyle w:val="BodyText"/>
        <w:spacing w:before="240"/>
        <w:jc w:val="left"/>
      </w:pPr>
    </w:p>
    <w:p>
      <w:pPr>
        <w:pStyle w:val="BodyText"/>
        <w:ind w:left="1498" w:right="838"/>
        <w:jc w:val="left"/>
      </w:pPr>
      <w:r>
        <w:rPr/>
        <w:t>Conditions to be complied with before handing over final possession of the subject land.</w:t>
      </w:r>
    </w:p>
    <w:p>
      <w:pPr>
        <w:pStyle w:val="ListParagraph"/>
        <w:numPr>
          <w:ilvl w:val="1"/>
          <w:numId w:val="352"/>
        </w:numPr>
        <w:tabs>
          <w:tab w:pos="1737" w:val="left" w:leader="none"/>
        </w:tabs>
        <w:spacing w:line="240" w:lineRule="auto" w:before="240" w:after="0"/>
        <w:ind w:left="1737" w:right="0" w:hanging="239"/>
        <w:jc w:val="left"/>
        <w:rPr>
          <w:sz w:val="24"/>
        </w:rPr>
      </w:pPr>
      <w:r>
        <w:rPr>
          <w:sz w:val="24"/>
        </w:rPr>
        <w:t>The</w:t>
      </w:r>
      <w:r>
        <w:rPr>
          <w:spacing w:val="-3"/>
          <w:sz w:val="24"/>
        </w:rPr>
        <w:t> </w:t>
      </w:r>
      <w:r>
        <w:rPr>
          <w:sz w:val="24"/>
        </w:rPr>
        <w:t>construction</w:t>
      </w:r>
      <w:r>
        <w:rPr>
          <w:spacing w:val="-3"/>
          <w:sz w:val="24"/>
        </w:rPr>
        <w:t> </w:t>
      </w:r>
      <w:r>
        <w:rPr>
          <w:sz w:val="24"/>
        </w:rPr>
        <w:t>of</w:t>
      </w:r>
      <w:r>
        <w:rPr>
          <w:spacing w:val="-2"/>
          <w:sz w:val="24"/>
        </w:rPr>
        <w:t> </w:t>
      </w:r>
      <w:r>
        <w:rPr>
          <w:sz w:val="24"/>
        </w:rPr>
        <w:t>compound</w:t>
      </w:r>
      <w:r>
        <w:rPr>
          <w:spacing w:val="-3"/>
          <w:sz w:val="24"/>
        </w:rPr>
        <w:t> </w:t>
      </w:r>
      <w:r>
        <w:rPr>
          <w:sz w:val="24"/>
        </w:rPr>
        <w:t>wall</w:t>
      </w:r>
      <w:r>
        <w:rPr>
          <w:spacing w:val="-3"/>
          <w:sz w:val="24"/>
        </w:rPr>
        <w:t> </w:t>
      </w:r>
      <w:r>
        <w:rPr>
          <w:sz w:val="24"/>
        </w:rPr>
        <w:t>with</w:t>
      </w:r>
      <w:r>
        <w:rPr>
          <w:spacing w:val="-3"/>
          <w:sz w:val="24"/>
        </w:rPr>
        <w:t> </w:t>
      </w:r>
      <w:r>
        <w:rPr>
          <w:sz w:val="24"/>
        </w:rPr>
        <w:t>gate</w:t>
      </w:r>
      <w:r>
        <w:rPr>
          <w:spacing w:val="-2"/>
          <w:sz w:val="24"/>
        </w:rPr>
        <w:t> </w:t>
      </w:r>
      <w:r>
        <w:rPr>
          <w:sz w:val="24"/>
        </w:rPr>
        <w:t>wherever</w:t>
      </w:r>
      <w:r>
        <w:rPr>
          <w:spacing w:val="-3"/>
          <w:sz w:val="24"/>
        </w:rPr>
        <w:t> </w:t>
      </w:r>
      <w:r>
        <w:rPr>
          <w:spacing w:val="-2"/>
          <w:sz w:val="24"/>
        </w:rPr>
        <w:t>necessary.</w:t>
      </w:r>
    </w:p>
    <w:p>
      <w:pPr>
        <w:pStyle w:val="ListParagraph"/>
        <w:numPr>
          <w:ilvl w:val="1"/>
          <w:numId w:val="352"/>
        </w:numPr>
        <w:tabs>
          <w:tab w:pos="1737" w:val="left" w:leader="none"/>
        </w:tabs>
        <w:spacing w:line="240" w:lineRule="auto" w:before="59" w:after="0"/>
        <w:ind w:left="1737" w:right="0" w:hanging="239"/>
        <w:jc w:val="left"/>
        <w:rPr>
          <w:sz w:val="24"/>
        </w:rPr>
      </w:pPr>
      <w:r>
        <w:rPr>
          <w:sz w:val="24"/>
        </w:rPr>
        <w:t>The</w:t>
      </w:r>
      <w:r>
        <w:rPr>
          <w:spacing w:val="-1"/>
          <w:sz w:val="24"/>
        </w:rPr>
        <w:t> </w:t>
      </w:r>
      <w:r>
        <w:rPr>
          <w:sz w:val="24"/>
        </w:rPr>
        <w:t>necessary provision</w:t>
      </w:r>
      <w:r>
        <w:rPr>
          <w:spacing w:val="-1"/>
          <w:sz w:val="24"/>
        </w:rPr>
        <w:t> </w:t>
      </w:r>
      <w:r>
        <w:rPr>
          <w:sz w:val="24"/>
        </w:rPr>
        <w:t>of storm</w:t>
      </w:r>
      <w:r>
        <w:rPr>
          <w:spacing w:val="-1"/>
          <w:sz w:val="24"/>
        </w:rPr>
        <w:t> </w:t>
      </w:r>
      <w:r>
        <w:rPr>
          <w:sz w:val="24"/>
        </w:rPr>
        <w:t>water </w:t>
      </w:r>
      <w:r>
        <w:rPr>
          <w:spacing w:val="-2"/>
          <w:sz w:val="24"/>
        </w:rPr>
        <w:t>drain.</w:t>
      </w:r>
    </w:p>
    <w:p>
      <w:pPr>
        <w:pStyle w:val="ListParagraph"/>
        <w:spacing w:after="0" w:line="240" w:lineRule="auto"/>
        <w:jc w:val="left"/>
        <w:rPr>
          <w:sz w:val="24"/>
        </w:rPr>
        <w:sectPr>
          <w:pgSz w:w="11910" w:h="16850"/>
          <w:pgMar w:header="1024" w:footer="1302" w:top="1480" w:bottom="1500" w:left="360" w:right="360"/>
        </w:sectPr>
      </w:pPr>
    </w:p>
    <w:p>
      <w:pPr>
        <w:pStyle w:val="ListParagraph"/>
        <w:numPr>
          <w:ilvl w:val="1"/>
          <w:numId w:val="352"/>
        </w:numPr>
        <w:tabs>
          <w:tab w:pos="1814" w:val="left" w:leader="none"/>
        </w:tabs>
        <w:spacing w:line="240" w:lineRule="auto" w:before="275" w:after="0"/>
        <w:ind w:left="1814" w:right="0" w:hanging="316"/>
        <w:jc w:val="left"/>
        <w:rPr>
          <w:sz w:val="24"/>
        </w:rPr>
      </w:pPr>
      <w:r>
        <w:rPr>
          <w:sz w:val="24"/>
        </w:rPr>
        <w:t>Joint</w:t>
      </w:r>
      <w:r>
        <w:rPr>
          <w:spacing w:val="-1"/>
          <w:sz w:val="24"/>
        </w:rPr>
        <w:t> </w:t>
      </w:r>
      <w:r>
        <w:rPr>
          <w:sz w:val="24"/>
        </w:rPr>
        <w:t>Measurement</w:t>
      </w:r>
      <w:r>
        <w:rPr>
          <w:spacing w:val="-1"/>
          <w:sz w:val="24"/>
        </w:rPr>
        <w:t> </w:t>
      </w:r>
      <w:r>
        <w:rPr>
          <w:sz w:val="24"/>
        </w:rPr>
        <w:t>Survey</w:t>
      </w:r>
      <w:r>
        <w:rPr>
          <w:spacing w:val="-1"/>
          <w:sz w:val="24"/>
        </w:rPr>
        <w:t> </w:t>
      </w:r>
      <w:r>
        <w:rPr>
          <w:sz w:val="24"/>
        </w:rPr>
        <w:t>with </w:t>
      </w:r>
      <w:r>
        <w:rPr>
          <w:spacing w:val="-2"/>
          <w:sz w:val="24"/>
        </w:rPr>
        <w:t>C.T.S.O</w:t>
      </w:r>
    </w:p>
    <w:p>
      <w:pPr>
        <w:pStyle w:val="ListParagraph"/>
        <w:numPr>
          <w:ilvl w:val="1"/>
          <w:numId w:val="352"/>
        </w:numPr>
        <w:tabs>
          <w:tab w:pos="1738" w:val="left" w:leader="none"/>
        </w:tabs>
        <w:spacing w:line="240" w:lineRule="auto" w:before="61" w:after="0"/>
        <w:ind w:left="1738" w:right="787" w:hanging="240"/>
        <w:jc w:val="left"/>
        <w:rPr>
          <w:sz w:val="24"/>
        </w:rPr>
      </w:pPr>
      <w:r>
        <w:rPr>
          <w:sz w:val="24"/>
        </w:rPr>
        <w:t>The</w:t>
      </w:r>
      <w:r>
        <w:rPr>
          <w:spacing w:val="40"/>
          <w:sz w:val="24"/>
        </w:rPr>
        <w:t> </w:t>
      </w:r>
      <w:r>
        <w:rPr>
          <w:sz w:val="24"/>
        </w:rPr>
        <w:t>Title</w:t>
      </w:r>
      <w:r>
        <w:rPr>
          <w:spacing w:val="40"/>
          <w:sz w:val="24"/>
        </w:rPr>
        <w:t> </w:t>
      </w:r>
      <w:r>
        <w:rPr>
          <w:sz w:val="24"/>
        </w:rPr>
        <w:t>Clearance</w:t>
      </w:r>
      <w:r>
        <w:rPr>
          <w:spacing w:val="40"/>
          <w:sz w:val="24"/>
        </w:rPr>
        <w:t> </w:t>
      </w:r>
      <w:r>
        <w:rPr>
          <w:sz w:val="24"/>
        </w:rPr>
        <w:t>has</w:t>
      </w:r>
      <w:r>
        <w:rPr>
          <w:spacing w:val="40"/>
          <w:sz w:val="24"/>
        </w:rPr>
        <w:t> </w:t>
      </w:r>
      <w:r>
        <w:rPr>
          <w:sz w:val="24"/>
        </w:rPr>
        <w:t>been</w:t>
      </w:r>
      <w:r>
        <w:rPr>
          <w:spacing w:val="40"/>
          <w:sz w:val="24"/>
        </w:rPr>
        <w:t> </w:t>
      </w:r>
      <w:r>
        <w:rPr>
          <w:sz w:val="24"/>
        </w:rPr>
        <w:t>certified</w:t>
      </w:r>
      <w:r>
        <w:rPr>
          <w:spacing w:val="40"/>
          <w:sz w:val="24"/>
        </w:rPr>
        <w:t> </w:t>
      </w:r>
      <w:r>
        <w:rPr>
          <w:sz w:val="24"/>
        </w:rPr>
        <w:t>by</w:t>
      </w:r>
      <w:r>
        <w:rPr>
          <w:spacing w:val="40"/>
          <w:sz w:val="24"/>
        </w:rPr>
        <w:t> </w:t>
      </w:r>
      <w:r>
        <w:rPr>
          <w:sz w:val="24"/>
        </w:rPr>
        <w:t>Advocate/Solicitor</w:t>
      </w:r>
      <w:r>
        <w:rPr>
          <w:spacing w:val="40"/>
          <w:sz w:val="24"/>
        </w:rPr>
        <w:t> </w:t>
      </w:r>
      <w:r>
        <w:rPr>
          <w:sz w:val="24"/>
        </w:rPr>
        <w:t>who</w:t>
      </w:r>
      <w:r>
        <w:rPr>
          <w:spacing w:val="80"/>
          <w:sz w:val="24"/>
        </w:rPr>
        <w:t> </w:t>
      </w:r>
      <w:r>
        <w:rPr>
          <w:sz w:val="24"/>
        </w:rPr>
        <w:t>has experience</w:t>
      </w:r>
      <w:r>
        <w:rPr>
          <w:spacing w:val="40"/>
          <w:sz w:val="24"/>
        </w:rPr>
        <w:t> </w:t>
      </w:r>
      <w:r>
        <w:rPr>
          <w:sz w:val="24"/>
        </w:rPr>
        <w:t>in</w:t>
      </w:r>
      <w:r>
        <w:rPr>
          <w:spacing w:val="40"/>
          <w:sz w:val="24"/>
        </w:rPr>
        <w:t> </w:t>
      </w:r>
      <w:r>
        <w:rPr>
          <w:sz w:val="24"/>
        </w:rPr>
        <w:t>this</w:t>
      </w:r>
      <w:r>
        <w:rPr>
          <w:spacing w:val="40"/>
          <w:sz w:val="24"/>
        </w:rPr>
        <w:t> </w:t>
      </w:r>
      <w:r>
        <w:rPr>
          <w:sz w:val="24"/>
        </w:rPr>
        <w:t>field</w:t>
      </w:r>
      <w:r>
        <w:rPr>
          <w:spacing w:val="40"/>
          <w:sz w:val="24"/>
        </w:rPr>
        <w:t> </w:t>
      </w:r>
      <w:r>
        <w:rPr>
          <w:sz w:val="24"/>
        </w:rPr>
        <w:t>of</w:t>
      </w:r>
      <w:r>
        <w:rPr>
          <w:spacing w:val="40"/>
          <w:sz w:val="24"/>
        </w:rPr>
        <w:t> </w:t>
      </w:r>
      <w:r>
        <w:rPr>
          <w:sz w:val="24"/>
        </w:rPr>
        <w:t>a</w:t>
      </w:r>
      <w:r>
        <w:rPr>
          <w:spacing w:val="40"/>
          <w:sz w:val="24"/>
        </w:rPr>
        <w:t> </w:t>
      </w:r>
      <w:r>
        <w:rPr>
          <w:sz w:val="24"/>
        </w:rPr>
        <w:t>minimum</w:t>
      </w:r>
      <w:r>
        <w:rPr>
          <w:spacing w:val="40"/>
          <w:sz w:val="24"/>
        </w:rPr>
        <w:t> </w:t>
      </w:r>
      <w:r>
        <w:rPr>
          <w:sz w:val="24"/>
        </w:rPr>
        <w:t>10</w:t>
      </w:r>
      <w:r>
        <w:rPr>
          <w:spacing w:val="40"/>
          <w:sz w:val="24"/>
        </w:rPr>
        <w:t> </w:t>
      </w:r>
      <w:r>
        <w:rPr>
          <w:sz w:val="24"/>
        </w:rPr>
        <w:t>years.</w:t>
      </w:r>
    </w:p>
    <w:p>
      <w:pPr>
        <w:pStyle w:val="ListParagraph"/>
        <w:numPr>
          <w:ilvl w:val="1"/>
          <w:numId w:val="352"/>
        </w:numPr>
        <w:tabs>
          <w:tab w:pos="1738" w:val="left" w:leader="none"/>
        </w:tabs>
        <w:spacing w:line="240" w:lineRule="auto" w:before="60" w:after="0"/>
        <w:ind w:left="1738" w:right="773" w:hanging="240"/>
        <w:jc w:val="left"/>
        <w:rPr>
          <w:sz w:val="24"/>
        </w:rPr>
      </w:pPr>
      <w:r>
        <w:rPr>
          <w:sz w:val="24"/>
        </w:rPr>
        <w:t>The</w:t>
      </w:r>
      <w:r>
        <w:rPr>
          <w:spacing w:val="-6"/>
          <w:sz w:val="24"/>
        </w:rPr>
        <w:t> </w:t>
      </w:r>
      <w:r>
        <w:rPr>
          <w:sz w:val="24"/>
        </w:rPr>
        <w:t>owner/developer</w:t>
      </w:r>
      <w:r>
        <w:rPr>
          <w:spacing w:val="-6"/>
          <w:sz w:val="24"/>
        </w:rPr>
        <w:t> </w:t>
      </w:r>
      <w:r>
        <w:rPr>
          <w:sz w:val="24"/>
        </w:rPr>
        <w:t>agreeing</w:t>
      </w:r>
      <w:r>
        <w:rPr>
          <w:spacing w:val="-6"/>
          <w:sz w:val="24"/>
        </w:rPr>
        <w:t> </w:t>
      </w:r>
      <w:r>
        <w:rPr>
          <w:sz w:val="24"/>
        </w:rPr>
        <w:t>to</w:t>
      </w:r>
      <w:r>
        <w:rPr>
          <w:spacing w:val="-6"/>
          <w:sz w:val="24"/>
        </w:rPr>
        <w:t> </w:t>
      </w:r>
      <w:r>
        <w:rPr>
          <w:sz w:val="24"/>
        </w:rPr>
        <w:t>rectify</w:t>
      </w:r>
      <w:r>
        <w:rPr>
          <w:spacing w:val="-6"/>
          <w:sz w:val="24"/>
        </w:rPr>
        <w:t> </w:t>
      </w:r>
      <w:r>
        <w:rPr>
          <w:sz w:val="24"/>
        </w:rPr>
        <w:t>the</w:t>
      </w:r>
      <w:r>
        <w:rPr>
          <w:spacing w:val="-6"/>
          <w:sz w:val="24"/>
        </w:rPr>
        <w:t> </w:t>
      </w:r>
      <w:r>
        <w:rPr>
          <w:sz w:val="24"/>
        </w:rPr>
        <w:t>defects</w:t>
      </w:r>
      <w:r>
        <w:rPr>
          <w:spacing w:val="-6"/>
          <w:sz w:val="24"/>
        </w:rPr>
        <w:t> </w:t>
      </w:r>
      <w:r>
        <w:rPr>
          <w:sz w:val="24"/>
        </w:rPr>
        <w:t>in</w:t>
      </w:r>
      <w:r>
        <w:rPr>
          <w:spacing w:val="-6"/>
          <w:sz w:val="24"/>
        </w:rPr>
        <w:t> </w:t>
      </w:r>
      <w:r>
        <w:rPr>
          <w:sz w:val="24"/>
        </w:rPr>
        <w:t>the</w:t>
      </w:r>
      <w:r>
        <w:rPr>
          <w:spacing w:val="-6"/>
          <w:sz w:val="24"/>
        </w:rPr>
        <w:t> </w:t>
      </w:r>
      <w:r>
        <w:rPr>
          <w:sz w:val="24"/>
        </w:rPr>
        <w:t>works,</w:t>
      </w:r>
      <w:r>
        <w:rPr>
          <w:spacing w:val="-6"/>
          <w:sz w:val="24"/>
        </w:rPr>
        <w:t> </w:t>
      </w:r>
      <w:r>
        <w:rPr>
          <w:sz w:val="24"/>
        </w:rPr>
        <w:t>if</w:t>
      </w:r>
      <w:r>
        <w:rPr>
          <w:spacing w:val="-6"/>
          <w:sz w:val="24"/>
        </w:rPr>
        <w:t> </w:t>
      </w:r>
      <w:r>
        <w:rPr>
          <w:sz w:val="24"/>
        </w:rPr>
        <w:t>any,</w:t>
      </w:r>
      <w:r>
        <w:rPr>
          <w:spacing w:val="-6"/>
          <w:sz w:val="24"/>
        </w:rPr>
        <w:t> </w:t>
      </w:r>
      <w:r>
        <w:rPr>
          <w:sz w:val="24"/>
        </w:rPr>
        <w:t>in terms of Undertaking separately given by the owner.</w:t>
      </w:r>
    </w:p>
    <w:p>
      <w:pPr>
        <w:pStyle w:val="ListParagraph"/>
        <w:numPr>
          <w:ilvl w:val="1"/>
          <w:numId w:val="352"/>
        </w:numPr>
        <w:tabs>
          <w:tab w:pos="1738" w:val="left" w:leader="none"/>
        </w:tabs>
        <w:spacing w:line="240" w:lineRule="auto" w:before="60" w:after="0"/>
        <w:ind w:left="1738" w:right="774" w:hanging="240"/>
        <w:jc w:val="left"/>
        <w:rPr>
          <w:sz w:val="24"/>
        </w:rPr>
      </w:pPr>
      <w:r>
        <w:rPr>
          <w:sz w:val="24"/>
        </w:rPr>
        <w:t>Any</w:t>
      </w:r>
      <w:r>
        <w:rPr>
          <w:spacing w:val="-3"/>
          <w:sz w:val="24"/>
        </w:rPr>
        <w:t> </w:t>
      </w:r>
      <w:r>
        <w:rPr>
          <w:sz w:val="24"/>
        </w:rPr>
        <w:t>other</w:t>
      </w:r>
      <w:r>
        <w:rPr>
          <w:spacing w:val="-3"/>
          <w:sz w:val="24"/>
        </w:rPr>
        <w:t> </w:t>
      </w:r>
      <w:r>
        <w:rPr>
          <w:sz w:val="24"/>
        </w:rPr>
        <w:t>conditions</w:t>
      </w:r>
      <w:r>
        <w:rPr>
          <w:spacing w:val="-6"/>
          <w:sz w:val="24"/>
        </w:rPr>
        <w:t> </w:t>
      </w:r>
      <w:r>
        <w:rPr>
          <w:sz w:val="24"/>
        </w:rPr>
        <w:t>as</w:t>
      </w:r>
      <w:r>
        <w:rPr>
          <w:spacing w:val="-3"/>
          <w:sz w:val="24"/>
        </w:rPr>
        <w:t> </w:t>
      </w:r>
      <w:r>
        <w:rPr>
          <w:sz w:val="24"/>
        </w:rPr>
        <w:t>may</w:t>
      </w:r>
      <w:r>
        <w:rPr>
          <w:spacing w:val="-3"/>
          <w:sz w:val="24"/>
        </w:rPr>
        <w:t> </w:t>
      </w:r>
      <w:r>
        <w:rPr>
          <w:sz w:val="24"/>
        </w:rPr>
        <w:t>deem</w:t>
      </w:r>
      <w:r>
        <w:rPr>
          <w:spacing w:val="-6"/>
          <w:sz w:val="24"/>
        </w:rPr>
        <w:t> </w:t>
      </w:r>
      <w:r>
        <w:rPr>
          <w:sz w:val="24"/>
        </w:rPr>
        <w:t>fit</w:t>
      </w:r>
      <w:r>
        <w:rPr>
          <w:spacing w:val="-3"/>
          <w:sz w:val="24"/>
        </w:rPr>
        <w:t> </w:t>
      </w:r>
      <w:r>
        <w:rPr>
          <w:sz w:val="24"/>
        </w:rPr>
        <w:t>and</w:t>
      </w:r>
      <w:r>
        <w:rPr>
          <w:spacing w:val="-6"/>
          <w:sz w:val="24"/>
        </w:rPr>
        <w:t> </w:t>
      </w:r>
      <w:r>
        <w:rPr>
          <w:sz w:val="24"/>
        </w:rPr>
        <w:t>proper</w:t>
      </w:r>
      <w:r>
        <w:rPr>
          <w:spacing w:val="-3"/>
          <w:sz w:val="24"/>
        </w:rPr>
        <w:t> </w:t>
      </w:r>
      <w:r>
        <w:rPr>
          <w:sz w:val="24"/>
        </w:rPr>
        <w:t>in</w:t>
      </w:r>
      <w:r>
        <w:rPr>
          <w:spacing w:val="-3"/>
          <w:sz w:val="24"/>
        </w:rPr>
        <w:t> </w:t>
      </w:r>
      <w:r>
        <w:rPr>
          <w:sz w:val="24"/>
        </w:rPr>
        <w:t>the</w:t>
      </w:r>
      <w:r>
        <w:rPr>
          <w:spacing w:val="-6"/>
          <w:sz w:val="24"/>
        </w:rPr>
        <w:t> </w:t>
      </w:r>
      <w:r>
        <w:rPr>
          <w:sz w:val="24"/>
        </w:rPr>
        <w:t>interest</w:t>
      </w:r>
      <w:r>
        <w:rPr>
          <w:spacing w:val="-3"/>
          <w:sz w:val="24"/>
        </w:rPr>
        <w:t> </w:t>
      </w:r>
      <w:r>
        <w:rPr>
          <w:sz w:val="24"/>
        </w:rPr>
        <w:t>of</w:t>
      </w:r>
      <w:r>
        <w:rPr>
          <w:spacing w:val="-3"/>
          <w:sz w:val="24"/>
        </w:rPr>
        <w:t> </w:t>
      </w:r>
      <w:r>
        <w:rPr>
          <w:sz w:val="24"/>
        </w:rPr>
        <w:t>general </w:t>
      </w:r>
      <w:r>
        <w:rPr>
          <w:spacing w:val="-2"/>
          <w:sz w:val="24"/>
        </w:rPr>
        <w:t>public.</w:t>
      </w:r>
    </w:p>
    <w:p>
      <w:pPr>
        <w:pStyle w:val="BodyText"/>
        <w:tabs>
          <w:tab w:pos="6112" w:val="left" w:leader="none"/>
          <w:tab w:pos="7139" w:val="left" w:leader="none"/>
          <w:tab w:pos="7919" w:val="left" w:leader="none"/>
          <w:tab w:pos="8860" w:val="left" w:leader="none"/>
          <w:tab w:pos="10196" w:val="left" w:leader="none"/>
        </w:tabs>
        <w:spacing w:line="281" w:lineRule="exact" w:before="60"/>
        <w:ind w:left="1738"/>
        <w:jc w:val="left"/>
      </w:pPr>
      <w:r>
        <w:rPr>
          <w:spacing w:val="-2"/>
        </w:rPr>
        <w:t>On.............................................</w:t>
      </w:r>
      <w:r>
        <w:rPr/>
        <w:tab/>
      </w:r>
      <w:r>
        <w:rPr>
          <w:spacing w:val="-5"/>
        </w:rPr>
        <w:t>Day</w:t>
      </w:r>
      <w:r>
        <w:rPr/>
        <w:tab/>
      </w:r>
      <w:r>
        <w:rPr>
          <w:spacing w:val="-5"/>
        </w:rPr>
        <w:t>of</w:t>
      </w:r>
      <w:r>
        <w:rPr/>
        <w:tab/>
      </w:r>
      <w:r>
        <w:rPr>
          <w:spacing w:val="-5"/>
        </w:rPr>
        <w:t>the</w:t>
      </w:r>
      <w:r>
        <w:rPr/>
        <w:tab/>
      </w:r>
      <w:r>
        <w:rPr>
          <w:spacing w:val="-2"/>
        </w:rPr>
        <w:t>month</w:t>
      </w:r>
      <w:r>
        <w:rPr/>
        <w:tab/>
      </w:r>
      <w:r>
        <w:rPr>
          <w:spacing w:val="-5"/>
        </w:rPr>
        <w:t>of</w:t>
      </w:r>
    </w:p>
    <w:p>
      <w:pPr>
        <w:spacing w:line="281" w:lineRule="exact" w:before="0"/>
        <w:ind w:left="1738" w:right="0" w:firstLine="0"/>
        <w:jc w:val="left"/>
        <w:rPr>
          <w:sz w:val="24"/>
        </w:rPr>
      </w:pPr>
      <w:r>
        <w:rPr>
          <w:spacing w:val="-2"/>
          <w:sz w:val="24"/>
        </w:rPr>
        <w:t>....................................</w:t>
      </w:r>
    </w:p>
    <w:p>
      <w:pPr>
        <w:pStyle w:val="BodyText"/>
        <w:spacing w:before="8"/>
        <w:jc w:val="left"/>
        <w:rPr>
          <w:sz w:val="20"/>
        </w:rPr>
      </w:pPr>
    </w:p>
    <w:tbl>
      <w:tblPr>
        <w:tblW w:w="0" w:type="auto"/>
        <w:jc w:val="left"/>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1"/>
        <w:gridCol w:w="4852"/>
      </w:tblGrid>
      <w:tr>
        <w:trPr>
          <w:trHeight w:val="521" w:hRule="atLeast"/>
        </w:trPr>
        <w:tc>
          <w:tcPr>
            <w:tcW w:w="4271" w:type="dxa"/>
          </w:tcPr>
          <w:p>
            <w:pPr>
              <w:pStyle w:val="TableParagraph"/>
              <w:spacing w:before="59"/>
              <w:ind w:left="108"/>
              <w:rPr>
                <w:sz w:val="24"/>
              </w:rPr>
            </w:pPr>
            <w:r>
              <w:rPr>
                <w:sz w:val="24"/>
              </w:rPr>
              <w:t>Handed</w:t>
            </w:r>
            <w:r>
              <w:rPr>
                <w:spacing w:val="-3"/>
                <w:sz w:val="24"/>
              </w:rPr>
              <w:t> </w:t>
            </w:r>
            <w:r>
              <w:rPr>
                <w:sz w:val="24"/>
              </w:rPr>
              <w:t>over</w:t>
            </w:r>
            <w:r>
              <w:rPr>
                <w:spacing w:val="-2"/>
                <w:sz w:val="24"/>
              </w:rPr>
              <w:t> </w:t>
            </w:r>
            <w:r>
              <w:rPr>
                <w:spacing w:val="-5"/>
                <w:sz w:val="24"/>
              </w:rPr>
              <w:t>by</w:t>
            </w:r>
          </w:p>
        </w:tc>
        <w:tc>
          <w:tcPr>
            <w:tcW w:w="4852" w:type="dxa"/>
          </w:tcPr>
          <w:p>
            <w:pPr>
              <w:pStyle w:val="TableParagraph"/>
              <w:spacing w:line="281" w:lineRule="exact"/>
              <w:ind w:left="107"/>
              <w:rPr>
                <w:sz w:val="24"/>
              </w:rPr>
            </w:pPr>
            <w:r>
              <w:rPr>
                <w:sz w:val="24"/>
              </w:rPr>
              <w:t>Taken</w:t>
            </w:r>
            <w:r>
              <w:rPr>
                <w:spacing w:val="-3"/>
                <w:sz w:val="24"/>
              </w:rPr>
              <w:t> </w:t>
            </w:r>
            <w:r>
              <w:rPr>
                <w:sz w:val="24"/>
              </w:rPr>
              <w:t>over</w:t>
            </w:r>
            <w:r>
              <w:rPr>
                <w:spacing w:val="-3"/>
                <w:sz w:val="24"/>
              </w:rPr>
              <w:t> </w:t>
            </w:r>
            <w:r>
              <w:rPr>
                <w:spacing w:val="-5"/>
                <w:sz w:val="24"/>
              </w:rPr>
              <w:t>by</w:t>
            </w:r>
          </w:p>
        </w:tc>
      </w:tr>
      <w:tr>
        <w:trPr>
          <w:trHeight w:val="1310" w:hRule="atLeast"/>
        </w:trPr>
        <w:tc>
          <w:tcPr>
            <w:tcW w:w="4271" w:type="dxa"/>
          </w:tcPr>
          <w:p>
            <w:pPr>
              <w:pStyle w:val="TableParagraph"/>
              <w:spacing w:line="281" w:lineRule="exact"/>
              <w:ind w:left="108"/>
              <w:rPr>
                <w:sz w:val="24"/>
              </w:rPr>
            </w:pPr>
            <w:r>
              <w:rPr>
                <w:spacing w:val="-2"/>
                <w:sz w:val="24"/>
              </w:rPr>
              <w:t>OWNER</w:t>
            </w:r>
          </w:p>
          <w:p>
            <w:pPr>
              <w:pStyle w:val="TableParagraph"/>
              <w:spacing w:before="241"/>
              <w:ind w:left="108"/>
              <w:rPr>
                <w:sz w:val="24"/>
              </w:rPr>
            </w:pPr>
            <w:r>
              <w:rPr>
                <w:sz w:val="24"/>
              </w:rPr>
              <w:t>Address </w:t>
            </w:r>
            <w:r>
              <w:rPr>
                <w:spacing w:val="-10"/>
                <w:sz w:val="24"/>
              </w:rPr>
              <w:t>:</w:t>
            </w:r>
          </w:p>
        </w:tc>
        <w:tc>
          <w:tcPr>
            <w:tcW w:w="4852" w:type="dxa"/>
          </w:tcPr>
          <w:p>
            <w:pPr>
              <w:pStyle w:val="TableParagraph"/>
              <w:tabs>
                <w:tab w:pos="2483" w:val="left" w:leader="none"/>
              </w:tabs>
              <w:spacing w:line="444" w:lineRule="auto" w:before="133"/>
              <w:ind w:left="107" w:right="781"/>
              <w:rPr>
                <w:sz w:val="24"/>
              </w:rPr>
            </w:pPr>
            <w:r>
              <w:rPr>
                <w:sz w:val="24"/>
              </w:rPr>
              <w:t>Sub</w:t>
            </w:r>
            <w:r>
              <w:rPr>
                <w:spacing w:val="-19"/>
                <w:sz w:val="24"/>
              </w:rPr>
              <w:t> </w:t>
            </w:r>
            <w:r>
              <w:rPr>
                <w:sz w:val="24"/>
              </w:rPr>
              <w:t>Engineer/Assistant</w:t>
            </w:r>
            <w:r>
              <w:rPr>
                <w:spacing w:val="-19"/>
                <w:sz w:val="24"/>
              </w:rPr>
              <w:t> </w:t>
            </w:r>
            <w:r>
              <w:rPr>
                <w:sz w:val="24"/>
              </w:rPr>
              <w:t>Engineer Bldg. Proposal (</w:t>
              <w:tab/>
            </w:r>
            <w:r>
              <w:rPr>
                <w:spacing w:val="-2"/>
                <w:sz w:val="24"/>
              </w:rPr>
              <w:t>Ward)</w:t>
            </w:r>
          </w:p>
        </w:tc>
      </w:tr>
    </w:tbl>
    <w:p>
      <w:pPr>
        <w:pStyle w:val="BodyText"/>
        <w:ind w:left="777" w:right="774" w:firstLine="922"/>
      </w:pPr>
      <w:r>
        <w:rPr/>
        <w:t>Disclaimer: This advance possession receipt is issued on the request of applicant</w:t>
      </w:r>
      <w:r>
        <w:rPr>
          <w:spacing w:val="-20"/>
        </w:rPr>
        <w:t> </w:t>
      </w:r>
      <w:r>
        <w:rPr/>
        <w:t>and</w:t>
      </w:r>
      <w:r>
        <w:rPr>
          <w:spacing w:val="-19"/>
        </w:rPr>
        <w:t> </w:t>
      </w:r>
      <w:r>
        <w:rPr/>
        <w:t>as</w:t>
      </w:r>
      <w:r>
        <w:rPr>
          <w:spacing w:val="-19"/>
        </w:rPr>
        <w:t> </w:t>
      </w:r>
      <w:r>
        <w:rPr/>
        <w:t>per</w:t>
      </w:r>
      <w:r>
        <w:rPr>
          <w:spacing w:val="-15"/>
        </w:rPr>
        <w:t> </w:t>
      </w:r>
      <w:r>
        <w:rPr/>
        <w:t>Provisions</w:t>
      </w:r>
      <w:r>
        <w:rPr>
          <w:spacing w:val="-20"/>
        </w:rPr>
        <w:t> </w:t>
      </w:r>
      <w:r>
        <w:rPr/>
        <w:t>of</w:t>
      </w:r>
      <w:r>
        <w:rPr>
          <w:spacing w:val="-19"/>
        </w:rPr>
        <w:t> </w:t>
      </w:r>
      <w:r>
        <w:rPr/>
        <w:t>Regulation</w:t>
      </w:r>
      <w:r>
        <w:rPr>
          <w:spacing w:val="-19"/>
        </w:rPr>
        <w:t> </w:t>
      </w:r>
      <w:r>
        <w:rPr/>
        <w:t>No...........of</w:t>
      </w:r>
      <w:r>
        <w:rPr>
          <w:spacing w:val="-19"/>
        </w:rPr>
        <w:t> </w:t>
      </w:r>
      <w:r>
        <w:rPr/>
        <w:t>DCR</w:t>
      </w:r>
      <w:r>
        <w:rPr>
          <w:spacing w:val="-18"/>
        </w:rPr>
        <w:t> </w:t>
      </w:r>
      <w:r>
        <w:rPr/>
        <w:t>2034.</w:t>
      </w:r>
      <w:r>
        <w:rPr>
          <w:spacing w:val="39"/>
        </w:rPr>
        <w:t> </w:t>
      </w:r>
      <w:r>
        <w:rPr/>
        <w:t>This</w:t>
      </w:r>
      <w:r>
        <w:rPr>
          <w:spacing w:val="-18"/>
        </w:rPr>
        <w:t> </w:t>
      </w:r>
      <w:r>
        <w:rPr/>
        <w:t>advance possession</w:t>
      </w:r>
      <w:r>
        <w:rPr>
          <w:spacing w:val="-16"/>
        </w:rPr>
        <w:t> </w:t>
      </w:r>
      <w:r>
        <w:rPr/>
        <w:t>receipt</w:t>
      </w:r>
      <w:r>
        <w:rPr>
          <w:spacing w:val="-16"/>
        </w:rPr>
        <w:t> </w:t>
      </w:r>
      <w:r>
        <w:rPr/>
        <w:t>will</w:t>
      </w:r>
      <w:r>
        <w:rPr>
          <w:spacing w:val="-16"/>
        </w:rPr>
        <w:t> </w:t>
      </w:r>
      <w:r>
        <w:rPr/>
        <w:t>not</w:t>
      </w:r>
      <w:r>
        <w:rPr>
          <w:spacing w:val="-16"/>
        </w:rPr>
        <w:t> </w:t>
      </w:r>
      <w:r>
        <w:rPr/>
        <w:t>entail</w:t>
      </w:r>
      <w:r>
        <w:rPr>
          <w:spacing w:val="-16"/>
        </w:rPr>
        <w:t> </w:t>
      </w:r>
      <w:r>
        <w:rPr/>
        <w:t>land</w:t>
      </w:r>
      <w:r>
        <w:rPr>
          <w:spacing w:val="-16"/>
        </w:rPr>
        <w:t> </w:t>
      </w:r>
      <w:r>
        <w:rPr/>
        <w:t>owner/lessee</w:t>
      </w:r>
      <w:r>
        <w:rPr>
          <w:spacing w:val="-16"/>
        </w:rPr>
        <w:t> </w:t>
      </w:r>
      <w:r>
        <w:rPr/>
        <w:t>to</w:t>
      </w:r>
      <w:r>
        <w:rPr>
          <w:spacing w:val="-16"/>
        </w:rPr>
        <w:t> </w:t>
      </w:r>
      <w:r>
        <w:rPr/>
        <w:t>serve</w:t>
      </w:r>
      <w:r>
        <w:rPr>
          <w:spacing w:val="-15"/>
        </w:rPr>
        <w:t> </w:t>
      </w:r>
      <w:r>
        <w:rPr/>
        <w:t>Purchase</w:t>
      </w:r>
      <w:r>
        <w:rPr>
          <w:spacing w:val="-16"/>
        </w:rPr>
        <w:t> </w:t>
      </w:r>
      <w:r>
        <w:rPr/>
        <w:t>Notice</w:t>
      </w:r>
      <w:r>
        <w:rPr>
          <w:spacing w:val="-16"/>
        </w:rPr>
        <w:t> </w:t>
      </w:r>
      <w:r>
        <w:rPr/>
        <w:t>under Section 49/127 of M.R. &amp; T.P. Act, 1966 amended up to date.</w:t>
      </w:r>
    </w:p>
    <w:p>
      <w:pPr>
        <w:pStyle w:val="BodyText"/>
        <w:spacing w:after="0"/>
        <w:sectPr>
          <w:pgSz w:w="11910" w:h="16850"/>
          <w:pgMar w:header="1024" w:footer="1302" w:top="1480" w:bottom="1500" w:left="360" w:right="360"/>
        </w:sectPr>
      </w:pPr>
    </w:p>
    <w:p>
      <w:pPr>
        <w:pStyle w:val="Heading4"/>
        <w:spacing w:before="276"/>
        <w:ind w:left="4"/>
      </w:pPr>
      <w:r>
        <w:rPr/>
        <w:t>APPENDIX- </w:t>
      </w:r>
      <w:r>
        <w:rPr>
          <w:spacing w:val="-5"/>
        </w:rPr>
        <w:t>VI</w:t>
      </w:r>
    </w:p>
    <w:p>
      <w:pPr>
        <w:spacing w:before="239"/>
        <w:ind w:left="777" w:right="768" w:firstLine="0"/>
        <w:jc w:val="left"/>
        <w:rPr>
          <w:b/>
          <w:sz w:val="24"/>
        </w:rPr>
      </w:pPr>
      <w:r>
        <w:rPr>
          <w:b/>
          <w:sz w:val="24"/>
        </w:rPr>
        <w:t>(Final</w:t>
      </w:r>
      <w:r>
        <w:rPr>
          <w:b/>
          <w:spacing w:val="-8"/>
          <w:sz w:val="24"/>
        </w:rPr>
        <w:t> </w:t>
      </w:r>
      <w:r>
        <w:rPr>
          <w:b/>
          <w:sz w:val="24"/>
        </w:rPr>
        <w:t>Possession</w:t>
      </w:r>
      <w:r>
        <w:rPr>
          <w:b/>
          <w:spacing w:val="-8"/>
          <w:sz w:val="24"/>
        </w:rPr>
        <w:t> </w:t>
      </w:r>
      <w:r>
        <w:rPr>
          <w:b/>
          <w:sz w:val="24"/>
        </w:rPr>
        <w:t>Receipt</w:t>
      </w:r>
      <w:r>
        <w:rPr>
          <w:b/>
          <w:spacing w:val="-8"/>
          <w:sz w:val="24"/>
        </w:rPr>
        <w:t> </w:t>
      </w:r>
      <w:r>
        <w:rPr>
          <w:b/>
          <w:sz w:val="24"/>
        </w:rPr>
        <w:t>from</w:t>
      </w:r>
      <w:r>
        <w:rPr>
          <w:b/>
          <w:spacing w:val="-8"/>
          <w:sz w:val="24"/>
        </w:rPr>
        <w:t> </w:t>
      </w:r>
      <w:r>
        <w:rPr>
          <w:b/>
          <w:sz w:val="24"/>
        </w:rPr>
        <w:t>Owner</w:t>
      </w:r>
      <w:r>
        <w:rPr>
          <w:b/>
          <w:spacing w:val="-8"/>
          <w:sz w:val="24"/>
        </w:rPr>
        <w:t> </w:t>
      </w:r>
      <w:r>
        <w:rPr>
          <w:b/>
          <w:sz w:val="24"/>
        </w:rPr>
        <w:t>to</w:t>
      </w:r>
      <w:r>
        <w:rPr>
          <w:b/>
          <w:spacing w:val="-8"/>
          <w:sz w:val="24"/>
        </w:rPr>
        <w:t> </w:t>
      </w:r>
      <w:r>
        <w:rPr>
          <w:b/>
          <w:sz w:val="24"/>
        </w:rPr>
        <w:t>DP</w:t>
      </w:r>
      <w:r>
        <w:rPr>
          <w:b/>
          <w:spacing w:val="-8"/>
          <w:sz w:val="24"/>
        </w:rPr>
        <w:t> </w:t>
      </w:r>
      <w:r>
        <w:rPr>
          <w:b/>
          <w:sz w:val="24"/>
        </w:rPr>
        <w:t>Department</w:t>
      </w:r>
      <w:r>
        <w:rPr>
          <w:b/>
          <w:spacing w:val="-8"/>
          <w:sz w:val="24"/>
        </w:rPr>
        <w:t> </w:t>
      </w:r>
      <w:r>
        <w:rPr>
          <w:b/>
          <w:sz w:val="24"/>
        </w:rPr>
        <w:t>&amp;</w:t>
      </w:r>
      <w:r>
        <w:rPr>
          <w:b/>
          <w:spacing w:val="-8"/>
          <w:sz w:val="24"/>
        </w:rPr>
        <w:t> </w:t>
      </w:r>
      <w:r>
        <w:rPr>
          <w:b/>
          <w:sz w:val="24"/>
        </w:rPr>
        <w:t>DP</w:t>
      </w:r>
      <w:r>
        <w:rPr>
          <w:b/>
          <w:spacing w:val="-8"/>
          <w:sz w:val="24"/>
        </w:rPr>
        <w:t> </w:t>
      </w:r>
      <w:r>
        <w:rPr>
          <w:b/>
          <w:sz w:val="24"/>
        </w:rPr>
        <w:t>Department</w:t>
      </w:r>
      <w:r>
        <w:rPr>
          <w:b/>
          <w:spacing w:val="-8"/>
          <w:sz w:val="24"/>
        </w:rPr>
        <w:t> </w:t>
      </w:r>
      <w:r>
        <w:rPr>
          <w:b/>
          <w:sz w:val="24"/>
        </w:rPr>
        <w:t>to Estate Department)</w:t>
      </w:r>
    </w:p>
    <w:p>
      <w:pPr>
        <w:pStyle w:val="Heading4"/>
        <w:spacing w:before="240"/>
        <w:ind w:right="2"/>
      </w:pPr>
      <w:r>
        <w:rPr/>
        <w:t>MUNICIPAL</w:t>
      </w:r>
      <w:r>
        <w:rPr>
          <w:spacing w:val="-5"/>
        </w:rPr>
        <w:t> </w:t>
      </w:r>
      <w:r>
        <w:rPr/>
        <w:t>CORPORATION</w:t>
      </w:r>
      <w:r>
        <w:rPr>
          <w:spacing w:val="-2"/>
        </w:rPr>
        <w:t> </w:t>
      </w:r>
      <w:r>
        <w:rPr/>
        <w:t>OF</w:t>
      </w:r>
      <w:r>
        <w:rPr>
          <w:spacing w:val="-2"/>
        </w:rPr>
        <w:t> </w:t>
      </w:r>
      <w:r>
        <w:rPr/>
        <w:t>GREATER</w:t>
      </w:r>
      <w:r>
        <w:rPr>
          <w:spacing w:val="-2"/>
        </w:rPr>
        <w:t> MUMBAI</w:t>
      </w:r>
    </w:p>
    <w:p>
      <w:pPr>
        <w:pStyle w:val="Heading5"/>
        <w:tabs>
          <w:tab w:pos="3600" w:val="left" w:leader="none"/>
        </w:tabs>
        <w:spacing w:before="242"/>
        <w:jc w:val="center"/>
      </w:pPr>
      <w:r>
        <w:rPr/>
        <w:t>No. </w:t>
      </w:r>
      <w:r>
        <w:rPr>
          <w:spacing w:val="-2"/>
        </w:rPr>
        <w:t>Ch.E./DP/</w:t>
      </w:r>
      <w:r>
        <w:rPr/>
        <w:tab/>
      </w:r>
      <w:r>
        <w:rPr>
          <w:spacing w:val="-5"/>
        </w:rPr>
        <w:t>of</w:t>
      </w:r>
    </w:p>
    <w:p>
      <w:pPr>
        <w:pStyle w:val="BodyText"/>
        <w:spacing w:before="239"/>
        <w:ind w:left="5818"/>
        <w:jc w:val="left"/>
      </w:pPr>
      <w:r>
        <w:rPr/>
        <w:t>OFFICE OF </w:t>
      </w:r>
      <w:r>
        <w:rPr>
          <w:spacing w:val="-4"/>
        </w:rPr>
        <w:t>THE:</w:t>
      </w:r>
    </w:p>
    <w:p>
      <w:pPr>
        <w:pStyle w:val="BodyText"/>
        <w:spacing w:line="292" w:lineRule="auto" w:before="59"/>
        <w:ind w:left="5818" w:right="838"/>
        <w:jc w:val="left"/>
      </w:pPr>
      <w:r>
        <w:rPr/>
        <w:t>Chief</w:t>
      </w:r>
      <w:r>
        <w:rPr>
          <w:spacing w:val="-11"/>
        </w:rPr>
        <w:t> </w:t>
      </w:r>
      <w:r>
        <w:rPr/>
        <w:t>Engineer</w:t>
      </w:r>
      <w:r>
        <w:rPr>
          <w:spacing w:val="-11"/>
        </w:rPr>
        <w:t> </w:t>
      </w:r>
      <w:r>
        <w:rPr/>
        <w:t>(Development</w:t>
      </w:r>
      <w:r>
        <w:rPr>
          <w:spacing w:val="-11"/>
        </w:rPr>
        <w:t> </w:t>
      </w:r>
      <w:r>
        <w:rPr/>
        <w:t>Plan) </w:t>
      </w:r>
      <w:r>
        <w:rPr>
          <w:spacing w:val="-2"/>
        </w:rPr>
        <w:t>BrihanmumbaiMahanagarpalika, </w:t>
      </w:r>
      <w:r>
        <w:rPr/>
        <w:t>Municipal Head Office,</w:t>
      </w:r>
    </w:p>
    <w:p>
      <w:pPr>
        <w:pStyle w:val="BodyText"/>
        <w:spacing w:line="290" w:lineRule="auto"/>
        <w:ind w:left="5818" w:right="1094"/>
        <w:jc w:val="left"/>
      </w:pPr>
      <w:r>
        <w:rPr/>
        <w:t>5</w:t>
      </w:r>
      <w:r>
        <w:rPr>
          <w:position w:val="6"/>
          <w:sz w:val="16"/>
        </w:rPr>
        <w:t>th</w:t>
      </w:r>
      <w:r>
        <w:rPr>
          <w:spacing w:val="14"/>
          <w:position w:val="6"/>
          <w:sz w:val="16"/>
        </w:rPr>
        <w:t> </w:t>
      </w:r>
      <w:r>
        <w:rPr/>
        <w:t>floor,</w:t>
      </w:r>
      <w:r>
        <w:rPr>
          <w:spacing w:val="-11"/>
        </w:rPr>
        <w:t> </w:t>
      </w:r>
      <w:r>
        <w:rPr/>
        <w:t>Annexe</w:t>
      </w:r>
      <w:r>
        <w:rPr>
          <w:spacing w:val="-11"/>
        </w:rPr>
        <w:t> </w:t>
      </w:r>
      <w:r>
        <w:rPr/>
        <w:t>Building, Mahapalika Marg,</w:t>
      </w:r>
    </w:p>
    <w:p>
      <w:pPr>
        <w:pStyle w:val="BodyText"/>
        <w:ind w:left="5818"/>
        <w:jc w:val="left"/>
      </w:pPr>
      <w:r>
        <w:rPr/>
        <w:t>Fort,</w:t>
      </w:r>
      <w:r>
        <w:rPr>
          <w:spacing w:val="-2"/>
        </w:rPr>
        <w:t> </w:t>
      </w:r>
      <w:r>
        <w:rPr/>
        <w:t>Mumbai-400</w:t>
      </w:r>
      <w:r>
        <w:rPr>
          <w:spacing w:val="-1"/>
        </w:rPr>
        <w:t> </w:t>
      </w:r>
      <w:r>
        <w:rPr>
          <w:spacing w:val="-4"/>
        </w:rPr>
        <w:t>001.</w:t>
      </w:r>
    </w:p>
    <w:p>
      <w:pPr>
        <w:pStyle w:val="Heading4"/>
        <w:spacing w:before="58"/>
      </w:pPr>
      <w:r>
        <w:rPr/>
        <w:t>FINAL</w:t>
      </w:r>
      <w:r>
        <w:rPr>
          <w:spacing w:val="-2"/>
        </w:rPr>
        <w:t> </w:t>
      </w:r>
      <w:r>
        <w:rPr/>
        <w:t>POSSESSION</w:t>
      </w:r>
      <w:r>
        <w:rPr>
          <w:spacing w:val="-2"/>
        </w:rPr>
        <w:t> RECEIPT</w:t>
      </w:r>
    </w:p>
    <w:p>
      <w:pPr>
        <w:pStyle w:val="BodyText"/>
        <w:tabs>
          <w:tab w:pos="2147" w:val="left" w:leader="none"/>
          <w:tab w:pos="3066" w:val="left" w:leader="none"/>
          <w:tab w:pos="3942" w:val="left" w:leader="none"/>
          <w:tab w:pos="5110" w:val="left" w:leader="none"/>
          <w:tab w:pos="6029" w:val="left" w:leader="none"/>
          <w:tab w:pos="6670" w:val="left" w:leader="none"/>
          <w:tab w:pos="7594" w:val="left" w:leader="none"/>
        </w:tabs>
        <w:spacing w:line="281" w:lineRule="exact" w:before="239"/>
        <w:ind w:right="776"/>
        <w:jc w:val="right"/>
      </w:pPr>
      <w:r>
        <w:rPr/>
        <w:t>Sub:-</w:t>
      </w:r>
      <w:r>
        <w:rPr>
          <w:spacing w:val="-1"/>
        </w:rPr>
        <w:t> </w:t>
      </w:r>
      <w:r>
        <w:rPr>
          <w:spacing w:val="-2"/>
        </w:rPr>
        <w:t>Handing</w:t>
      </w:r>
      <w:r>
        <w:rPr/>
        <w:tab/>
      </w:r>
      <w:r>
        <w:rPr>
          <w:spacing w:val="-4"/>
        </w:rPr>
        <w:t>over</w:t>
      </w:r>
      <w:r>
        <w:rPr/>
        <w:tab/>
      </w:r>
      <w:r>
        <w:rPr>
          <w:spacing w:val="-5"/>
        </w:rPr>
        <w:t>and</w:t>
      </w:r>
      <w:r>
        <w:rPr/>
        <w:tab/>
      </w:r>
      <w:r>
        <w:rPr>
          <w:spacing w:val="-2"/>
        </w:rPr>
        <w:t>taking</w:t>
      </w:r>
      <w:r>
        <w:rPr/>
        <w:tab/>
      </w:r>
      <w:r>
        <w:rPr>
          <w:spacing w:val="-4"/>
        </w:rPr>
        <w:t>over</w:t>
      </w:r>
      <w:r>
        <w:rPr/>
        <w:tab/>
      </w:r>
      <w:r>
        <w:rPr>
          <w:spacing w:val="-5"/>
        </w:rPr>
        <w:t>of</w:t>
      </w:r>
      <w:r>
        <w:rPr/>
        <w:tab/>
      </w:r>
      <w:r>
        <w:rPr>
          <w:spacing w:val="-4"/>
        </w:rPr>
        <w:t>D.P.</w:t>
      </w:r>
      <w:r>
        <w:rPr/>
        <w:tab/>
      </w:r>
      <w:r>
        <w:rPr>
          <w:spacing w:val="-4"/>
        </w:rPr>
        <w:t>Road</w:t>
      </w:r>
    </w:p>
    <w:p>
      <w:pPr>
        <w:pStyle w:val="BodyText"/>
        <w:tabs>
          <w:tab w:pos="2874" w:val="left" w:leader="none"/>
          <w:tab w:pos="3632" w:val="left" w:leader="none"/>
          <w:tab w:pos="4271" w:val="left" w:leader="none"/>
          <w:tab w:pos="4726" w:val="left" w:leader="none"/>
          <w:tab w:pos="5782" w:val="left" w:leader="none"/>
          <w:tab w:pos="6420" w:val="left" w:leader="none"/>
          <w:tab w:pos="7006" w:val="left" w:leader="none"/>
        </w:tabs>
        <w:spacing w:line="281" w:lineRule="exact"/>
        <w:ind w:right="776"/>
        <w:jc w:val="right"/>
      </w:pPr>
      <w:r>
        <w:rPr>
          <w:spacing w:val="-2"/>
        </w:rPr>
        <w:t>/Reservation/Amenity</w:t>
      </w:r>
      <w:r>
        <w:rPr/>
        <w:tab/>
      </w:r>
      <w:r>
        <w:rPr>
          <w:spacing w:val="-4"/>
        </w:rPr>
        <w:t>area</w:t>
      </w:r>
      <w:r>
        <w:rPr/>
        <w:tab/>
      </w:r>
      <w:r>
        <w:rPr>
          <w:spacing w:val="-5"/>
        </w:rPr>
        <w:t>out</w:t>
      </w:r>
      <w:r>
        <w:rPr/>
        <w:tab/>
      </w:r>
      <w:r>
        <w:rPr>
          <w:spacing w:val="-5"/>
        </w:rPr>
        <w:t>of</w:t>
      </w:r>
      <w:r>
        <w:rPr/>
        <w:tab/>
      </w:r>
      <w:r>
        <w:rPr>
          <w:spacing w:val="-2"/>
        </w:rPr>
        <w:t>Survey</w:t>
      </w:r>
      <w:r>
        <w:rPr/>
        <w:tab/>
      </w:r>
      <w:r>
        <w:rPr>
          <w:spacing w:val="-5"/>
        </w:rPr>
        <w:t>No.</w:t>
      </w:r>
      <w:r>
        <w:rPr/>
        <w:tab/>
      </w:r>
      <w:r>
        <w:rPr>
          <w:spacing w:val="-5"/>
        </w:rPr>
        <w:t>/H</w:t>
      </w:r>
      <w:r>
        <w:rPr/>
        <w:tab/>
      </w:r>
      <w:r>
        <w:rPr>
          <w:spacing w:val="-4"/>
        </w:rPr>
        <w:t>.No.</w:t>
      </w:r>
    </w:p>
    <w:p>
      <w:pPr>
        <w:pStyle w:val="BodyText"/>
        <w:spacing w:line="281" w:lineRule="exact" w:before="1"/>
        <w:ind w:right="772"/>
        <w:jc w:val="right"/>
      </w:pPr>
      <w:r>
        <w:rPr/>
        <w:t>................,</w:t>
      </w:r>
      <w:r>
        <w:rPr>
          <w:spacing w:val="-13"/>
        </w:rPr>
        <w:t> </w:t>
      </w:r>
      <w:r>
        <w:rPr/>
        <w:t>CTS</w:t>
      </w:r>
      <w:r>
        <w:rPr>
          <w:spacing w:val="-12"/>
        </w:rPr>
        <w:t> </w:t>
      </w:r>
      <w:r>
        <w:rPr/>
        <w:t>No.</w:t>
      </w:r>
      <w:r>
        <w:rPr>
          <w:spacing w:val="-11"/>
        </w:rPr>
        <w:t> </w:t>
      </w:r>
      <w:r>
        <w:rPr/>
        <w:t>/C.S.</w:t>
      </w:r>
      <w:r>
        <w:rPr>
          <w:spacing w:val="-12"/>
        </w:rPr>
        <w:t> </w:t>
      </w:r>
      <w:r>
        <w:rPr/>
        <w:t>No.</w:t>
      </w:r>
      <w:r>
        <w:rPr>
          <w:spacing w:val="-13"/>
        </w:rPr>
        <w:t> </w:t>
      </w:r>
      <w:r>
        <w:rPr/>
        <w:t>/</w:t>
      </w:r>
      <w:r>
        <w:rPr>
          <w:spacing w:val="-12"/>
        </w:rPr>
        <w:t> </w:t>
      </w:r>
      <w:r>
        <w:rPr/>
        <w:t>F.P.</w:t>
      </w:r>
      <w:r>
        <w:rPr>
          <w:spacing w:val="-13"/>
        </w:rPr>
        <w:t> </w:t>
      </w:r>
      <w:r>
        <w:rPr/>
        <w:t>No.</w:t>
      </w:r>
      <w:r>
        <w:rPr>
          <w:spacing w:val="-12"/>
        </w:rPr>
        <w:t> </w:t>
      </w:r>
      <w:r>
        <w:rPr>
          <w:spacing w:val="-2"/>
        </w:rPr>
        <w:t>....................................</w:t>
      </w:r>
    </w:p>
    <w:p>
      <w:pPr>
        <w:pStyle w:val="BodyText"/>
        <w:ind w:left="2938" w:right="768"/>
        <w:jc w:val="left"/>
      </w:pPr>
      <w:r>
        <w:rPr/>
        <w:t>of</w:t>
      </w:r>
      <w:r>
        <w:rPr>
          <w:spacing w:val="-17"/>
        </w:rPr>
        <w:t> </w:t>
      </w:r>
      <w:r>
        <w:rPr/>
        <w:t>village</w:t>
      </w:r>
      <w:r>
        <w:rPr>
          <w:spacing w:val="-17"/>
        </w:rPr>
        <w:t> </w:t>
      </w:r>
      <w:r>
        <w:rPr/>
        <w:t>/Division/</w:t>
      </w:r>
      <w:r>
        <w:rPr>
          <w:spacing w:val="-15"/>
        </w:rPr>
        <w:t> </w:t>
      </w:r>
      <w:r>
        <w:rPr/>
        <w:t>T.P.</w:t>
      </w:r>
      <w:r>
        <w:rPr>
          <w:spacing w:val="-17"/>
        </w:rPr>
        <w:t> </w:t>
      </w:r>
      <w:r>
        <w:rPr/>
        <w:t>Scheme</w:t>
      </w:r>
      <w:r>
        <w:rPr>
          <w:spacing w:val="-15"/>
        </w:rPr>
        <w:t> </w:t>
      </w:r>
      <w:r>
        <w:rPr/>
        <w:t>No.</w:t>
      </w:r>
      <w:r>
        <w:rPr>
          <w:spacing w:val="-17"/>
        </w:rPr>
        <w:t> </w:t>
      </w:r>
      <w:r>
        <w:rPr/>
        <w:t>...........................</w:t>
      </w:r>
      <w:r>
        <w:rPr>
          <w:spacing w:val="-17"/>
        </w:rPr>
        <w:t> </w:t>
      </w:r>
      <w:r>
        <w:rPr/>
        <w:t>in.......... </w:t>
      </w:r>
      <w:r>
        <w:rPr>
          <w:spacing w:val="-2"/>
        </w:rPr>
        <w:t>Ward.</w:t>
      </w:r>
    </w:p>
    <w:p>
      <w:pPr>
        <w:pStyle w:val="BodyText"/>
        <w:spacing w:before="241"/>
        <w:ind w:left="2938" w:hanging="720"/>
        <w:jc w:val="left"/>
      </w:pPr>
      <w:r>
        <w:rPr/>
        <w:t>Ref:-1)</w:t>
      </w:r>
      <w:r>
        <w:rPr>
          <w:spacing w:val="80"/>
        </w:rPr>
        <w:t> </w:t>
      </w:r>
      <w:r>
        <w:rPr/>
        <w:t>Advance</w:t>
      </w:r>
      <w:r>
        <w:rPr>
          <w:spacing w:val="80"/>
        </w:rPr>
        <w:t> </w:t>
      </w:r>
      <w:r>
        <w:rPr/>
        <w:t>possession</w:t>
      </w:r>
      <w:r>
        <w:rPr>
          <w:spacing w:val="80"/>
        </w:rPr>
        <w:t> </w:t>
      </w:r>
      <w:r>
        <w:rPr/>
        <w:t>Receipt</w:t>
      </w:r>
      <w:r>
        <w:rPr>
          <w:spacing w:val="80"/>
        </w:rPr>
        <w:t> </w:t>
      </w:r>
      <w:r>
        <w:rPr/>
        <w:t>No.</w:t>
      </w:r>
      <w:r>
        <w:rPr>
          <w:spacing w:val="80"/>
        </w:rPr>
        <w:t> </w:t>
      </w:r>
      <w:r>
        <w:rPr/>
        <w:t>Dy.Ch.</w:t>
      </w:r>
      <w:r>
        <w:rPr>
          <w:spacing w:val="80"/>
        </w:rPr>
        <w:t> </w:t>
      </w:r>
      <w:r>
        <w:rPr/>
        <w:t>E.</w:t>
      </w:r>
      <w:r>
        <w:rPr>
          <w:spacing w:val="80"/>
        </w:rPr>
        <w:t> </w:t>
      </w:r>
      <w:r>
        <w:rPr/>
        <w:t>/BP/...........</w:t>
      </w:r>
      <w:r>
        <w:rPr>
          <w:spacing w:val="80"/>
        </w:rPr>
        <w:t> </w:t>
      </w:r>
      <w:r>
        <w:rPr>
          <w:spacing w:val="-2"/>
        </w:rPr>
        <w:t>dtd……………..</w:t>
      </w:r>
    </w:p>
    <w:p>
      <w:pPr>
        <w:pStyle w:val="BodyText"/>
        <w:tabs>
          <w:tab w:pos="3608" w:val="left" w:leader="none"/>
        </w:tabs>
        <w:spacing w:before="240"/>
        <w:ind w:left="777" w:right="777" w:firstLine="720"/>
      </w:pPr>
      <w:r>
        <w:rPr>
          <w:u w:val="single"/>
        </w:rPr>
        <w:tab/>
      </w:r>
      <w:r>
        <w:rPr/>
        <w:t>working</w:t>
      </w:r>
      <w:r>
        <w:rPr>
          <w:spacing w:val="-6"/>
        </w:rPr>
        <w:t> </w:t>
      </w:r>
      <w:r>
        <w:rPr/>
        <w:t>as</w:t>
      </w:r>
      <w:r>
        <w:rPr>
          <w:spacing w:val="-6"/>
        </w:rPr>
        <w:t> </w:t>
      </w:r>
      <w:r>
        <w:rPr/>
        <w:t>Assistant</w:t>
      </w:r>
      <w:r>
        <w:rPr>
          <w:spacing w:val="-6"/>
        </w:rPr>
        <w:t> </w:t>
      </w:r>
      <w:r>
        <w:rPr/>
        <w:t>Engineer</w:t>
      </w:r>
      <w:r>
        <w:rPr>
          <w:spacing w:val="-6"/>
        </w:rPr>
        <w:t> </w:t>
      </w:r>
      <w:r>
        <w:rPr/>
        <w:t>in</w:t>
      </w:r>
      <w:r>
        <w:rPr>
          <w:spacing w:val="-6"/>
        </w:rPr>
        <w:t> </w:t>
      </w:r>
      <w:r>
        <w:rPr/>
        <w:t>the</w:t>
      </w:r>
      <w:r>
        <w:rPr>
          <w:spacing w:val="-6"/>
        </w:rPr>
        <w:t> </w:t>
      </w:r>
      <w:r>
        <w:rPr/>
        <w:t>Office</w:t>
      </w:r>
      <w:r>
        <w:rPr>
          <w:spacing w:val="-3"/>
        </w:rPr>
        <w:t> </w:t>
      </w:r>
      <w:r>
        <w:rPr/>
        <w:t>of</w:t>
      </w:r>
      <w:r>
        <w:rPr>
          <w:spacing w:val="-6"/>
        </w:rPr>
        <w:t> </w:t>
      </w:r>
      <w:r>
        <w:rPr/>
        <w:t>Ch.E.</w:t>
      </w:r>
      <w:r>
        <w:rPr>
          <w:spacing w:val="-6"/>
        </w:rPr>
        <w:t> </w:t>
      </w:r>
      <w:r>
        <w:rPr/>
        <w:t>(D.P.) and ....................................., the owner for the said plot of the land have respectively taken over and handed over the possession of the above mentioned vacant land.</w:t>
      </w:r>
    </w:p>
    <w:p>
      <w:pPr>
        <w:pStyle w:val="BodyText"/>
        <w:spacing w:before="239"/>
        <w:ind w:left="1498"/>
        <w:jc w:val="left"/>
      </w:pPr>
      <w:r>
        <w:rPr/>
        <w:t>The</w:t>
      </w:r>
      <w:r>
        <w:rPr>
          <w:spacing w:val="-2"/>
        </w:rPr>
        <w:t> </w:t>
      </w:r>
      <w:r>
        <w:rPr/>
        <w:t>particulars</w:t>
      </w:r>
      <w:r>
        <w:rPr>
          <w:spacing w:val="-2"/>
        </w:rPr>
        <w:t> </w:t>
      </w:r>
      <w:r>
        <w:rPr/>
        <w:t>of</w:t>
      </w:r>
      <w:r>
        <w:rPr>
          <w:spacing w:val="-1"/>
        </w:rPr>
        <w:t> </w:t>
      </w:r>
      <w:r>
        <w:rPr/>
        <w:t>land</w:t>
      </w:r>
      <w:r>
        <w:rPr>
          <w:spacing w:val="-2"/>
        </w:rPr>
        <w:t> </w:t>
      </w:r>
      <w:r>
        <w:rPr/>
        <w:t>are</w:t>
      </w:r>
      <w:r>
        <w:rPr>
          <w:spacing w:val="-1"/>
        </w:rPr>
        <w:t> </w:t>
      </w:r>
      <w:r>
        <w:rPr/>
        <w:t>as</w:t>
      </w:r>
      <w:r>
        <w:rPr>
          <w:spacing w:val="-2"/>
        </w:rPr>
        <w:t> </w:t>
      </w:r>
      <w:r>
        <w:rPr/>
        <w:t>mentioned</w:t>
      </w:r>
      <w:r>
        <w:rPr>
          <w:spacing w:val="-1"/>
        </w:rPr>
        <w:t> </w:t>
      </w:r>
      <w:r>
        <w:rPr>
          <w:spacing w:val="-2"/>
        </w:rPr>
        <w:t>below-</w:t>
      </w:r>
    </w:p>
    <w:p>
      <w:pPr>
        <w:pStyle w:val="BodyText"/>
        <w:spacing w:before="7" w:after="1"/>
        <w:jc w:val="left"/>
        <w:rPr>
          <w:sz w:val="20"/>
        </w:rPr>
      </w:pPr>
    </w:p>
    <w:tbl>
      <w:tblPr>
        <w:tblW w:w="0" w:type="auto"/>
        <w:jc w:val="left"/>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8"/>
        <w:gridCol w:w="1803"/>
        <w:gridCol w:w="1827"/>
        <w:gridCol w:w="2088"/>
        <w:gridCol w:w="1676"/>
      </w:tblGrid>
      <w:tr>
        <w:trPr>
          <w:trHeight w:val="924" w:hRule="atLeast"/>
        </w:trPr>
        <w:tc>
          <w:tcPr>
            <w:tcW w:w="1658" w:type="dxa"/>
            <w:shd w:val="clear" w:color="auto" w:fill="E7E6E6"/>
          </w:tcPr>
          <w:p>
            <w:pPr>
              <w:pStyle w:val="TableParagraph"/>
              <w:spacing w:before="37"/>
              <w:ind w:left="107"/>
              <w:rPr>
                <w:sz w:val="24"/>
              </w:rPr>
            </w:pPr>
            <w:r>
              <w:rPr>
                <w:sz w:val="24"/>
              </w:rPr>
              <w:t>Survey </w:t>
            </w:r>
            <w:r>
              <w:rPr>
                <w:spacing w:val="-5"/>
                <w:sz w:val="24"/>
              </w:rPr>
              <w:t>No.</w:t>
            </w:r>
          </w:p>
        </w:tc>
        <w:tc>
          <w:tcPr>
            <w:tcW w:w="1803" w:type="dxa"/>
            <w:shd w:val="clear" w:color="auto" w:fill="E7E6E6"/>
          </w:tcPr>
          <w:p>
            <w:pPr>
              <w:pStyle w:val="TableParagraph"/>
              <w:spacing w:before="37"/>
              <w:ind w:left="108"/>
              <w:rPr>
                <w:sz w:val="24"/>
              </w:rPr>
            </w:pPr>
            <w:r>
              <w:rPr>
                <w:sz w:val="24"/>
              </w:rPr>
              <w:t>H. </w:t>
            </w:r>
            <w:r>
              <w:rPr>
                <w:spacing w:val="-5"/>
                <w:sz w:val="24"/>
              </w:rPr>
              <w:t>No.</w:t>
            </w:r>
          </w:p>
        </w:tc>
        <w:tc>
          <w:tcPr>
            <w:tcW w:w="1827" w:type="dxa"/>
            <w:shd w:val="clear" w:color="auto" w:fill="E7E6E6"/>
          </w:tcPr>
          <w:p>
            <w:pPr>
              <w:pStyle w:val="TableParagraph"/>
              <w:tabs>
                <w:tab w:pos="1182" w:val="left" w:leader="none"/>
              </w:tabs>
              <w:spacing w:line="282" w:lineRule="exact" w:before="40"/>
              <w:ind w:left="108"/>
              <w:rPr>
                <w:sz w:val="24"/>
              </w:rPr>
            </w:pPr>
            <w:r>
              <w:rPr>
                <w:spacing w:val="-5"/>
                <w:sz w:val="24"/>
              </w:rPr>
              <w:t>CTS</w:t>
            </w:r>
            <w:r>
              <w:rPr>
                <w:sz w:val="24"/>
              </w:rPr>
              <w:tab/>
            </w:r>
            <w:r>
              <w:rPr>
                <w:spacing w:val="-4"/>
                <w:sz w:val="24"/>
              </w:rPr>
              <w:t>No./</w:t>
            </w:r>
          </w:p>
          <w:p>
            <w:pPr>
              <w:pStyle w:val="TableParagraph"/>
              <w:spacing w:line="281" w:lineRule="exact"/>
              <w:ind w:left="108"/>
              <w:rPr>
                <w:sz w:val="24"/>
              </w:rPr>
            </w:pPr>
            <w:r>
              <w:rPr>
                <w:sz w:val="24"/>
              </w:rPr>
              <w:t>C.S.</w:t>
            </w:r>
            <w:r>
              <w:rPr>
                <w:spacing w:val="54"/>
                <w:sz w:val="24"/>
              </w:rPr>
              <w:t> </w:t>
            </w:r>
            <w:r>
              <w:rPr>
                <w:spacing w:val="-2"/>
                <w:sz w:val="24"/>
              </w:rPr>
              <w:t>No./F.P.</w:t>
            </w:r>
          </w:p>
          <w:p>
            <w:pPr>
              <w:pStyle w:val="TableParagraph"/>
              <w:spacing w:line="281" w:lineRule="exact"/>
              <w:ind w:left="108"/>
              <w:rPr>
                <w:sz w:val="24"/>
              </w:rPr>
            </w:pPr>
            <w:r>
              <w:rPr>
                <w:spacing w:val="-5"/>
                <w:sz w:val="24"/>
              </w:rPr>
              <w:t>No.</w:t>
            </w:r>
          </w:p>
        </w:tc>
        <w:tc>
          <w:tcPr>
            <w:tcW w:w="2088" w:type="dxa"/>
            <w:shd w:val="clear" w:color="auto" w:fill="E7E6E6"/>
          </w:tcPr>
          <w:p>
            <w:pPr>
              <w:pStyle w:val="TableParagraph"/>
              <w:spacing w:before="37"/>
              <w:ind w:left="107"/>
              <w:rPr>
                <w:sz w:val="24"/>
              </w:rPr>
            </w:pPr>
            <w:r>
              <w:rPr>
                <w:spacing w:val="-2"/>
                <w:sz w:val="24"/>
              </w:rPr>
              <w:t>Village/Division</w:t>
            </w:r>
          </w:p>
        </w:tc>
        <w:tc>
          <w:tcPr>
            <w:tcW w:w="1676" w:type="dxa"/>
            <w:shd w:val="clear" w:color="auto" w:fill="E7E6E6"/>
          </w:tcPr>
          <w:p>
            <w:pPr>
              <w:pStyle w:val="TableParagraph"/>
              <w:spacing w:before="40"/>
              <w:ind w:left="108" w:right="96"/>
              <w:rPr>
                <w:sz w:val="24"/>
              </w:rPr>
            </w:pPr>
            <w:r>
              <w:rPr>
                <w:sz w:val="24"/>
              </w:rPr>
              <w:t>Area</w:t>
            </w:r>
            <w:r>
              <w:rPr>
                <w:spacing w:val="40"/>
                <w:sz w:val="24"/>
              </w:rPr>
              <w:t> </w:t>
            </w:r>
            <w:r>
              <w:rPr>
                <w:sz w:val="24"/>
              </w:rPr>
              <w:t>in</w:t>
            </w:r>
            <w:r>
              <w:rPr>
                <w:spacing w:val="40"/>
                <w:sz w:val="24"/>
              </w:rPr>
              <w:t> </w:t>
            </w:r>
            <w:r>
              <w:rPr>
                <w:sz w:val="24"/>
              </w:rPr>
              <w:t>Sq. </w:t>
            </w:r>
            <w:r>
              <w:rPr>
                <w:spacing w:val="-6"/>
                <w:sz w:val="24"/>
              </w:rPr>
              <w:t>m.</w:t>
            </w:r>
          </w:p>
        </w:tc>
      </w:tr>
      <w:tr>
        <w:trPr>
          <w:trHeight w:val="362" w:hRule="atLeast"/>
        </w:trPr>
        <w:tc>
          <w:tcPr>
            <w:tcW w:w="1658" w:type="dxa"/>
          </w:tcPr>
          <w:p>
            <w:pPr>
              <w:pStyle w:val="TableParagraph"/>
              <w:rPr>
                <w:rFonts w:ascii="Times New Roman"/>
                <w:sz w:val="22"/>
              </w:rPr>
            </w:pPr>
          </w:p>
        </w:tc>
        <w:tc>
          <w:tcPr>
            <w:tcW w:w="1803" w:type="dxa"/>
          </w:tcPr>
          <w:p>
            <w:pPr>
              <w:pStyle w:val="TableParagraph"/>
              <w:rPr>
                <w:rFonts w:ascii="Times New Roman"/>
                <w:sz w:val="22"/>
              </w:rPr>
            </w:pPr>
          </w:p>
        </w:tc>
        <w:tc>
          <w:tcPr>
            <w:tcW w:w="1827" w:type="dxa"/>
          </w:tcPr>
          <w:p>
            <w:pPr>
              <w:pStyle w:val="TableParagraph"/>
              <w:rPr>
                <w:rFonts w:ascii="Times New Roman"/>
                <w:sz w:val="22"/>
              </w:rPr>
            </w:pPr>
          </w:p>
        </w:tc>
        <w:tc>
          <w:tcPr>
            <w:tcW w:w="2088" w:type="dxa"/>
          </w:tcPr>
          <w:p>
            <w:pPr>
              <w:pStyle w:val="TableParagraph"/>
              <w:rPr>
                <w:rFonts w:ascii="Times New Roman"/>
                <w:sz w:val="22"/>
              </w:rPr>
            </w:pPr>
          </w:p>
        </w:tc>
        <w:tc>
          <w:tcPr>
            <w:tcW w:w="1676" w:type="dxa"/>
          </w:tcPr>
          <w:p>
            <w:pPr>
              <w:pStyle w:val="TableParagraph"/>
              <w:rPr>
                <w:rFonts w:ascii="Times New Roman"/>
                <w:sz w:val="22"/>
              </w:rPr>
            </w:pPr>
          </w:p>
        </w:tc>
      </w:tr>
    </w:tbl>
    <w:p>
      <w:pPr>
        <w:pStyle w:val="ListParagraph"/>
        <w:numPr>
          <w:ilvl w:val="1"/>
          <w:numId w:val="352"/>
        </w:numPr>
        <w:tabs>
          <w:tab w:pos="1737" w:val="left" w:leader="none"/>
        </w:tabs>
        <w:spacing w:line="240" w:lineRule="auto" w:before="0" w:after="0"/>
        <w:ind w:left="1737" w:right="0" w:hanging="239"/>
        <w:jc w:val="both"/>
        <w:rPr>
          <w:sz w:val="24"/>
        </w:rPr>
      </w:pPr>
      <w:r>
        <w:rPr>
          <w:sz w:val="24"/>
        </w:rPr>
        <w:t>The</w:t>
      </w:r>
      <w:r>
        <w:rPr>
          <w:spacing w:val="-2"/>
          <w:sz w:val="24"/>
        </w:rPr>
        <w:t> </w:t>
      </w:r>
      <w:r>
        <w:rPr>
          <w:sz w:val="24"/>
        </w:rPr>
        <w:t>compound</w:t>
      </w:r>
      <w:r>
        <w:rPr>
          <w:spacing w:val="-2"/>
          <w:sz w:val="24"/>
        </w:rPr>
        <w:t> </w:t>
      </w:r>
      <w:r>
        <w:rPr>
          <w:sz w:val="24"/>
        </w:rPr>
        <w:t>wall</w:t>
      </w:r>
      <w:r>
        <w:rPr>
          <w:spacing w:val="1"/>
          <w:sz w:val="24"/>
        </w:rPr>
        <w:t> </w:t>
      </w:r>
      <w:r>
        <w:rPr>
          <w:sz w:val="24"/>
        </w:rPr>
        <w:t>with</w:t>
      </w:r>
      <w:r>
        <w:rPr>
          <w:spacing w:val="-2"/>
          <w:sz w:val="24"/>
        </w:rPr>
        <w:t> </w:t>
      </w:r>
      <w:r>
        <w:rPr>
          <w:sz w:val="24"/>
        </w:rPr>
        <w:t>gate</w:t>
      </w:r>
      <w:r>
        <w:rPr>
          <w:spacing w:val="-2"/>
          <w:sz w:val="24"/>
        </w:rPr>
        <w:t> </w:t>
      </w:r>
      <w:r>
        <w:rPr>
          <w:sz w:val="24"/>
        </w:rPr>
        <w:t>wherever</w:t>
      </w:r>
      <w:r>
        <w:rPr>
          <w:spacing w:val="-1"/>
          <w:sz w:val="24"/>
        </w:rPr>
        <w:t> </w:t>
      </w:r>
      <w:r>
        <w:rPr>
          <w:sz w:val="24"/>
        </w:rPr>
        <w:t>necessary</w:t>
      </w:r>
      <w:r>
        <w:rPr>
          <w:spacing w:val="-2"/>
          <w:sz w:val="24"/>
        </w:rPr>
        <w:t> </w:t>
      </w:r>
      <w:r>
        <w:rPr>
          <w:sz w:val="24"/>
        </w:rPr>
        <w:t>is</w:t>
      </w:r>
      <w:r>
        <w:rPr>
          <w:spacing w:val="-1"/>
          <w:sz w:val="24"/>
        </w:rPr>
        <w:t> </w:t>
      </w:r>
      <w:r>
        <w:rPr>
          <w:spacing w:val="-2"/>
          <w:sz w:val="24"/>
        </w:rPr>
        <w:t>provided.</w:t>
      </w:r>
    </w:p>
    <w:p>
      <w:pPr>
        <w:pStyle w:val="ListParagraph"/>
        <w:numPr>
          <w:ilvl w:val="1"/>
          <w:numId w:val="352"/>
        </w:numPr>
        <w:tabs>
          <w:tab w:pos="1737" w:val="left" w:leader="none"/>
        </w:tabs>
        <w:spacing w:line="240" w:lineRule="auto" w:before="59" w:after="0"/>
        <w:ind w:left="1737" w:right="0" w:hanging="239"/>
        <w:jc w:val="both"/>
        <w:rPr>
          <w:sz w:val="24"/>
        </w:rPr>
      </w:pPr>
      <w:r>
        <w:rPr>
          <w:sz w:val="24"/>
        </w:rPr>
        <w:t>The</w:t>
      </w:r>
      <w:r>
        <w:rPr>
          <w:spacing w:val="-1"/>
          <w:sz w:val="24"/>
        </w:rPr>
        <w:t> </w:t>
      </w:r>
      <w:r>
        <w:rPr>
          <w:sz w:val="24"/>
        </w:rPr>
        <w:t>necessary</w:t>
      </w:r>
      <w:r>
        <w:rPr>
          <w:spacing w:val="-1"/>
          <w:sz w:val="24"/>
        </w:rPr>
        <w:t> </w:t>
      </w:r>
      <w:r>
        <w:rPr>
          <w:sz w:val="24"/>
        </w:rPr>
        <w:t>provision</w:t>
      </w:r>
      <w:r>
        <w:rPr>
          <w:spacing w:val="-1"/>
          <w:sz w:val="24"/>
        </w:rPr>
        <w:t> </w:t>
      </w:r>
      <w:r>
        <w:rPr>
          <w:sz w:val="24"/>
        </w:rPr>
        <w:t>of</w:t>
      </w:r>
      <w:r>
        <w:rPr>
          <w:spacing w:val="-1"/>
          <w:sz w:val="24"/>
        </w:rPr>
        <w:t> </w:t>
      </w:r>
      <w:r>
        <w:rPr>
          <w:sz w:val="24"/>
        </w:rPr>
        <w:t>storm</w:t>
      </w:r>
      <w:r>
        <w:rPr>
          <w:spacing w:val="-1"/>
          <w:sz w:val="24"/>
        </w:rPr>
        <w:t> </w:t>
      </w:r>
      <w:r>
        <w:rPr>
          <w:sz w:val="24"/>
        </w:rPr>
        <w:t>water</w:t>
      </w:r>
      <w:r>
        <w:rPr>
          <w:spacing w:val="-1"/>
          <w:sz w:val="24"/>
        </w:rPr>
        <w:t> </w:t>
      </w:r>
      <w:r>
        <w:rPr>
          <w:sz w:val="24"/>
        </w:rPr>
        <w:t>drain</w:t>
      </w:r>
      <w:r>
        <w:rPr>
          <w:spacing w:val="-1"/>
          <w:sz w:val="24"/>
        </w:rPr>
        <w:t> </w:t>
      </w:r>
      <w:r>
        <w:rPr>
          <w:sz w:val="24"/>
        </w:rPr>
        <w:t>is </w:t>
      </w:r>
      <w:r>
        <w:rPr>
          <w:spacing w:val="-2"/>
          <w:sz w:val="24"/>
        </w:rPr>
        <w:t>made.</w:t>
      </w:r>
    </w:p>
    <w:p>
      <w:pPr>
        <w:pStyle w:val="ListParagraph"/>
        <w:numPr>
          <w:ilvl w:val="1"/>
          <w:numId w:val="352"/>
        </w:numPr>
        <w:tabs>
          <w:tab w:pos="1738" w:val="left" w:leader="none"/>
          <w:tab w:pos="9756" w:val="left" w:leader="dot"/>
        </w:tabs>
        <w:spacing w:line="240" w:lineRule="auto" w:before="61" w:after="0"/>
        <w:ind w:left="1738" w:right="774" w:hanging="240"/>
        <w:jc w:val="both"/>
        <w:rPr>
          <w:sz w:val="24"/>
        </w:rPr>
      </w:pPr>
      <w:r>
        <w:rPr>
          <w:sz w:val="24"/>
        </w:rPr>
        <w:t>The area of the D P Road/Reserved land/Amenity area has been ascertained on the basis of Joint Measurement Survey with SLR/C.S. Office</w:t>
      </w:r>
      <w:r>
        <w:rPr>
          <w:spacing w:val="35"/>
          <w:sz w:val="24"/>
        </w:rPr>
        <w:t>  </w:t>
      </w:r>
      <w:r>
        <w:rPr>
          <w:sz w:val="24"/>
        </w:rPr>
        <w:t>under</w:t>
      </w:r>
      <w:r>
        <w:rPr>
          <w:spacing w:val="35"/>
          <w:sz w:val="24"/>
        </w:rPr>
        <w:t>  </w:t>
      </w:r>
      <w:r>
        <w:rPr>
          <w:sz w:val="24"/>
        </w:rPr>
        <w:t>M.R.</w:t>
      </w:r>
      <w:r>
        <w:rPr>
          <w:spacing w:val="36"/>
          <w:sz w:val="24"/>
        </w:rPr>
        <w:t>  </w:t>
      </w:r>
      <w:r>
        <w:rPr>
          <w:sz w:val="24"/>
        </w:rPr>
        <w:t>Plan</w:t>
      </w:r>
      <w:r>
        <w:rPr>
          <w:spacing w:val="35"/>
          <w:sz w:val="24"/>
        </w:rPr>
        <w:t>  </w:t>
      </w:r>
      <w:r>
        <w:rPr>
          <w:spacing w:val="-5"/>
          <w:sz w:val="24"/>
        </w:rPr>
        <w:t>No.</w:t>
      </w:r>
      <w:r>
        <w:rPr>
          <w:sz w:val="24"/>
        </w:rPr>
        <w:tab/>
      </w:r>
      <w:r>
        <w:rPr>
          <w:spacing w:val="-2"/>
          <w:sz w:val="24"/>
        </w:rPr>
        <w:t>dated</w:t>
      </w:r>
    </w:p>
    <w:p>
      <w:pPr>
        <w:pStyle w:val="BodyText"/>
        <w:tabs>
          <w:tab w:pos="9759" w:val="left" w:leader="dot"/>
        </w:tabs>
        <w:spacing w:line="281" w:lineRule="exact"/>
        <w:ind w:left="1738"/>
      </w:pPr>
      <w:r>
        <w:rPr/>
        <w:t>............................</w:t>
      </w:r>
      <w:r>
        <w:rPr>
          <w:spacing w:val="54"/>
        </w:rPr>
        <w:t> </w:t>
      </w:r>
      <w:r>
        <w:rPr/>
        <w:t>with</w:t>
      </w:r>
      <w:r>
        <w:rPr>
          <w:spacing w:val="56"/>
        </w:rPr>
        <w:t> </w:t>
      </w:r>
      <w:r>
        <w:rPr/>
        <w:t>communication</w:t>
      </w:r>
      <w:r>
        <w:rPr>
          <w:spacing w:val="58"/>
        </w:rPr>
        <w:t> </w:t>
      </w:r>
      <w:r>
        <w:rPr>
          <w:spacing w:val="-5"/>
        </w:rPr>
        <w:t>No.</w:t>
      </w:r>
      <w:r>
        <w:rPr/>
        <w:tab/>
      </w:r>
      <w:r>
        <w:rPr>
          <w:spacing w:val="-2"/>
        </w:rPr>
        <w:t>dated</w:t>
      </w:r>
    </w:p>
    <w:p>
      <w:pPr>
        <w:pStyle w:val="BodyText"/>
        <w:tabs>
          <w:tab w:pos="3734" w:val="left" w:leader="dot"/>
        </w:tabs>
        <w:spacing w:line="281" w:lineRule="exact"/>
        <w:ind w:left="1738"/>
      </w:pPr>
      <w:r>
        <w:rPr>
          <w:spacing w:val="-10"/>
        </w:rPr>
        <w:t>.</w:t>
      </w:r>
      <w:r>
        <w:rPr/>
        <w:tab/>
        <w:t>and</w:t>
      </w:r>
      <w:r>
        <w:rPr>
          <w:spacing w:val="-1"/>
        </w:rPr>
        <w:t> </w:t>
      </w:r>
      <w:r>
        <w:rPr/>
        <w:t>as per the</w:t>
      </w:r>
      <w:r>
        <w:rPr>
          <w:spacing w:val="-1"/>
        </w:rPr>
        <w:t> </w:t>
      </w:r>
      <w:r>
        <w:rPr/>
        <w:t>provisions of these </w:t>
      </w:r>
      <w:r>
        <w:rPr>
          <w:spacing w:val="-2"/>
        </w:rPr>
        <w:t>Regulations.</w:t>
      </w:r>
    </w:p>
    <w:p>
      <w:pPr>
        <w:pStyle w:val="BodyText"/>
        <w:spacing w:after="0" w:line="281" w:lineRule="exact"/>
        <w:sectPr>
          <w:pgSz w:w="11910" w:h="16850"/>
          <w:pgMar w:header="1024" w:footer="1302" w:top="1480" w:bottom="1500" w:left="360" w:right="360"/>
        </w:sectPr>
      </w:pPr>
    </w:p>
    <w:p>
      <w:pPr>
        <w:pStyle w:val="ListParagraph"/>
        <w:numPr>
          <w:ilvl w:val="1"/>
          <w:numId w:val="352"/>
        </w:numPr>
        <w:tabs>
          <w:tab w:pos="1738" w:val="left" w:leader="none"/>
        </w:tabs>
        <w:spacing w:line="240" w:lineRule="auto" w:before="275" w:after="0"/>
        <w:ind w:left="1738" w:right="787" w:hanging="240"/>
        <w:jc w:val="both"/>
        <w:rPr>
          <w:sz w:val="24"/>
        </w:rPr>
      </w:pPr>
      <w:r>
        <w:rPr>
          <w:sz w:val="24"/>
        </w:rPr>
        <w:t>The Title Clearance has been certified by Advocate/Solicitor who has experience</w:t>
      </w:r>
      <w:r>
        <w:rPr>
          <w:spacing w:val="40"/>
          <w:sz w:val="24"/>
        </w:rPr>
        <w:t> </w:t>
      </w:r>
      <w:r>
        <w:rPr>
          <w:sz w:val="24"/>
        </w:rPr>
        <w:t>in</w:t>
      </w:r>
      <w:r>
        <w:rPr>
          <w:spacing w:val="40"/>
          <w:sz w:val="24"/>
        </w:rPr>
        <w:t> </w:t>
      </w:r>
      <w:r>
        <w:rPr>
          <w:sz w:val="24"/>
        </w:rPr>
        <w:t>this</w:t>
      </w:r>
      <w:r>
        <w:rPr>
          <w:spacing w:val="40"/>
          <w:sz w:val="24"/>
        </w:rPr>
        <w:t> </w:t>
      </w:r>
      <w:r>
        <w:rPr>
          <w:sz w:val="24"/>
        </w:rPr>
        <w:t>field</w:t>
      </w:r>
      <w:r>
        <w:rPr>
          <w:spacing w:val="40"/>
          <w:sz w:val="24"/>
        </w:rPr>
        <w:t> </w:t>
      </w:r>
      <w:r>
        <w:rPr>
          <w:sz w:val="24"/>
        </w:rPr>
        <w:t>of</w:t>
      </w:r>
      <w:r>
        <w:rPr>
          <w:spacing w:val="40"/>
          <w:sz w:val="24"/>
        </w:rPr>
        <w:t> </w:t>
      </w:r>
      <w:r>
        <w:rPr>
          <w:sz w:val="24"/>
        </w:rPr>
        <w:t>a</w:t>
      </w:r>
      <w:r>
        <w:rPr>
          <w:spacing w:val="40"/>
          <w:sz w:val="24"/>
        </w:rPr>
        <w:t> </w:t>
      </w:r>
      <w:r>
        <w:rPr>
          <w:sz w:val="24"/>
        </w:rPr>
        <w:t>minimum</w:t>
      </w:r>
      <w:r>
        <w:rPr>
          <w:spacing w:val="40"/>
          <w:sz w:val="24"/>
        </w:rPr>
        <w:t> </w:t>
      </w:r>
      <w:r>
        <w:rPr>
          <w:sz w:val="24"/>
        </w:rPr>
        <w:t>10</w:t>
      </w:r>
      <w:r>
        <w:rPr>
          <w:spacing w:val="40"/>
          <w:sz w:val="24"/>
        </w:rPr>
        <w:t> </w:t>
      </w:r>
      <w:r>
        <w:rPr>
          <w:sz w:val="24"/>
        </w:rPr>
        <w:t>years</w:t>
      </w:r>
    </w:p>
    <w:p>
      <w:pPr>
        <w:pStyle w:val="ListParagraph"/>
        <w:numPr>
          <w:ilvl w:val="1"/>
          <w:numId w:val="352"/>
        </w:numPr>
        <w:tabs>
          <w:tab w:pos="1738" w:val="left" w:leader="none"/>
        </w:tabs>
        <w:spacing w:line="240" w:lineRule="auto" w:before="60" w:after="0"/>
        <w:ind w:left="1738" w:right="774" w:hanging="240"/>
        <w:jc w:val="both"/>
        <w:rPr>
          <w:sz w:val="24"/>
        </w:rPr>
      </w:pPr>
      <w:r>
        <w:rPr>
          <w:sz w:val="24"/>
        </w:rPr>
        <w:t>Any</w:t>
      </w:r>
      <w:r>
        <w:rPr>
          <w:spacing w:val="-3"/>
          <w:sz w:val="24"/>
        </w:rPr>
        <w:t> </w:t>
      </w:r>
      <w:r>
        <w:rPr>
          <w:sz w:val="24"/>
        </w:rPr>
        <w:t>other</w:t>
      </w:r>
      <w:r>
        <w:rPr>
          <w:spacing w:val="-3"/>
          <w:sz w:val="24"/>
        </w:rPr>
        <w:t> </w:t>
      </w:r>
      <w:r>
        <w:rPr>
          <w:sz w:val="24"/>
        </w:rPr>
        <w:t>conditions</w:t>
      </w:r>
      <w:r>
        <w:rPr>
          <w:spacing w:val="-6"/>
          <w:sz w:val="24"/>
        </w:rPr>
        <w:t> </w:t>
      </w:r>
      <w:r>
        <w:rPr>
          <w:sz w:val="24"/>
        </w:rPr>
        <w:t>as</w:t>
      </w:r>
      <w:r>
        <w:rPr>
          <w:spacing w:val="-3"/>
          <w:sz w:val="24"/>
        </w:rPr>
        <w:t> </w:t>
      </w:r>
      <w:r>
        <w:rPr>
          <w:sz w:val="24"/>
        </w:rPr>
        <w:t>may</w:t>
      </w:r>
      <w:r>
        <w:rPr>
          <w:spacing w:val="-3"/>
          <w:sz w:val="24"/>
        </w:rPr>
        <w:t> </w:t>
      </w:r>
      <w:r>
        <w:rPr>
          <w:sz w:val="24"/>
        </w:rPr>
        <w:t>deem</w:t>
      </w:r>
      <w:r>
        <w:rPr>
          <w:spacing w:val="-6"/>
          <w:sz w:val="24"/>
        </w:rPr>
        <w:t> </w:t>
      </w:r>
      <w:r>
        <w:rPr>
          <w:sz w:val="24"/>
        </w:rPr>
        <w:t>fit</w:t>
      </w:r>
      <w:r>
        <w:rPr>
          <w:spacing w:val="-3"/>
          <w:sz w:val="24"/>
        </w:rPr>
        <w:t> </w:t>
      </w:r>
      <w:r>
        <w:rPr>
          <w:sz w:val="24"/>
        </w:rPr>
        <w:t>and</w:t>
      </w:r>
      <w:r>
        <w:rPr>
          <w:spacing w:val="-6"/>
          <w:sz w:val="24"/>
        </w:rPr>
        <w:t> </w:t>
      </w:r>
      <w:r>
        <w:rPr>
          <w:sz w:val="24"/>
        </w:rPr>
        <w:t>proper</w:t>
      </w:r>
      <w:r>
        <w:rPr>
          <w:spacing w:val="-3"/>
          <w:sz w:val="24"/>
        </w:rPr>
        <w:t> </w:t>
      </w:r>
      <w:r>
        <w:rPr>
          <w:sz w:val="24"/>
        </w:rPr>
        <w:t>in</w:t>
      </w:r>
      <w:r>
        <w:rPr>
          <w:spacing w:val="-3"/>
          <w:sz w:val="24"/>
        </w:rPr>
        <w:t> </w:t>
      </w:r>
      <w:r>
        <w:rPr>
          <w:sz w:val="24"/>
        </w:rPr>
        <w:t>the</w:t>
      </w:r>
      <w:r>
        <w:rPr>
          <w:spacing w:val="-6"/>
          <w:sz w:val="24"/>
        </w:rPr>
        <w:t> </w:t>
      </w:r>
      <w:r>
        <w:rPr>
          <w:sz w:val="24"/>
        </w:rPr>
        <w:t>interest</w:t>
      </w:r>
      <w:r>
        <w:rPr>
          <w:spacing w:val="-3"/>
          <w:sz w:val="24"/>
        </w:rPr>
        <w:t> </w:t>
      </w:r>
      <w:r>
        <w:rPr>
          <w:sz w:val="24"/>
        </w:rPr>
        <w:t>of</w:t>
      </w:r>
      <w:r>
        <w:rPr>
          <w:spacing w:val="-3"/>
          <w:sz w:val="24"/>
        </w:rPr>
        <w:t> </w:t>
      </w:r>
      <w:r>
        <w:rPr>
          <w:sz w:val="24"/>
        </w:rPr>
        <w:t>general </w:t>
      </w:r>
      <w:r>
        <w:rPr>
          <w:spacing w:val="-2"/>
          <w:sz w:val="24"/>
        </w:rPr>
        <w:t>public.</w:t>
      </w:r>
    </w:p>
    <w:p>
      <w:pPr>
        <w:pStyle w:val="ListParagraph"/>
        <w:numPr>
          <w:ilvl w:val="1"/>
          <w:numId w:val="352"/>
        </w:numPr>
        <w:tabs>
          <w:tab w:pos="1738" w:val="left" w:leader="none"/>
        </w:tabs>
        <w:spacing w:line="240" w:lineRule="auto" w:before="60" w:after="0"/>
        <w:ind w:left="1738" w:right="776" w:hanging="240"/>
        <w:jc w:val="both"/>
        <w:rPr>
          <w:sz w:val="24"/>
        </w:rPr>
      </w:pPr>
      <w:r>
        <w:rPr>
          <w:sz w:val="24"/>
        </w:rPr>
        <w:t>The</w:t>
      </w:r>
      <w:r>
        <w:rPr>
          <w:spacing w:val="-8"/>
          <w:sz w:val="24"/>
        </w:rPr>
        <w:t> </w:t>
      </w:r>
      <w:r>
        <w:rPr>
          <w:sz w:val="24"/>
        </w:rPr>
        <w:t>possession</w:t>
      </w:r>
      <w:r>
        <w:rPr>
          <w:spacing w:val="-8"/>
          <w:sz w:val="24"/>
        </w:rPr>
        <w:t> </w:t>
      </w:r>
      <w:r>
        <w:rPr>
          <w:sz w:val="24"/>
        </w:rPr>
        <w:t>of</w:t>
      </w:r>
      <w:r>
        <w:rPr>
          <w:spacing w:val="-8"/>
          <w:sz w:val="24"/>
        </w:rPr>
        <w:t> </w:t>
      </w:r>
      <w:r>
        <w:rPr>
          <w:sz w:val="24"/>
        </w:rPr>
        <w:t>above</w:t>
      </w:r>
      <w:r>
        <w:rPr>
          <w:spacing w:val="-8"/>
          <w:sz w:val="24"/>
        </w:rPr>
        <w:t> </w:t>
      </w:r>
      <w:r>
        <w:rPr>
          <w:sz w:val="24"/>
        </w:rPr>
        <w:t>land</w:t>
      </w:r>
      <w:r>
        <w:rPr>
          <w:spacing w:val="-8"/>
          <w:sz w:val="24"/>
        </w:rPr>
        <w:t> </w:t>
      </w:r>
      <w:r>
        <w:rPr>
          <w:sz w:val="24"/>
        </w:rPr>
        <w:t>is</w:t>
      </w:r>
      <w:r>
        <w:rPr>
          <w:spacing w:val="-8"/>
          <w:sz w:val="24"/>
        </w:rPr>
        <w:t> </w:t>
      </w:r>
      <w:r>
        <w:rPr>
          <w:sz w:val="24"/>
        </w:rPr>
        <w:t>taken</w:t>
      </w:r>
      <w:r>
        <w:rPr>
          <w:spacing w:val="-6"/>
          <w:sz w:val="24"/>
        </w:rPr>
        <w:t> </w:t>
      </w:r>
      <w:r>
        <w:rPr>
          <w:sz w:val="24"/>
        </w:rPr>
        <w:t>over</w:t>
      </w:r>
      <w:r>
        <w:rPr>
          <w:spacing w:val="-8"/>
          <w:sz w:val="24"/>
        </w:rPr>
        <w:t> </w:t>
      </w:r>
      <w:r>
        <w:rPr>
          <w:sz w:val="24"/>
        </w:rPr>
        <w:t>subject</w:t>
      </w:r>
      <w:r>
        <w:rPr>
          <w:spacing w:val="-8"/>
          <w:sz w:val="24"/>
        </w:rPr>
        <w:t> </w:t>
      </w:r>
      <w:r>
        <w:rPr>
          <w:sz w:val="24"/>
        </w:rPr>
        <w:t>to</w:t>
      </w:r>
      <w:r>
        <w:rPr>
          <w:spacing w:val="-8"/>
          <w:sz w:val="24"/>
        </w:rPr>
        <w:t> </w:t>
      </w:r>
      <w:r>
        <w:rPr>
          <w:sz w:val="24"/>
        </w:rPr>
        <w:t>the</w:t>
      </w:r>
      <w:r>
        <w:rPr>
          <w:spacing w:val="-6"/>
          <w:sz w:val="24"/>
        </w:rPr>
        <w:t> </w:t>
      </w:r>
      <w:r>
        <w:rPr>
          <w:sz w:val="24"/>
        </w:rPr>
        <w:t>owner/developer agreeing to rectify the defects in the works and in terms of Undertaking separately given by the owner.</w:t>
      </w:r>
    </w:p>
    <w:p>
      <w:pPr>
        <w:pStyle w:val="ListParagraph"/>
        <w:numPr>
          <w:ilvl w:val="1"/>
          <w:numId w:val="352"/>
        </w:numPr>
        <w:tabs>
          <w:tab w:pos="1738" w:val="left" w:leader="none"/>
        </w:tabs>
        <w:spacing w:line="240" w:lineRule="auto" w:before="61" w:after="0"/>
        <w:ind w:left="1738" w:right="778" w:hanging="240"/>
        <w:jc w:val="both"/>
        <w:rPr>
          <w:sz w:val="24"/>
        </w:rPr>
      </w:pPr>
      <w:r>
        <w:rPr>
          <w:sz w:val="24"/>
        </w:rPr>
        <w:t>Ownership of land so handed over shall be transferred in the name of MCGM</w:t>
      </w:r>
      <w:r>
        <w:rPr>
          <w:spacing w:val="-6"/>
          <w:sz w:val="24"/>
        </w:rPr>
        <w:t> </w:t>
      </w:r>
      <w:r>
        <w:rPr>
          <w:sz w:val="24"/>
        </w:rPr>
        <w:t>in</w:t>
      </w:r>
      <w:r>
        <w:rPr>
          <w:spacing w:val="-6"/>
          <w:sz w:val="24"/>
        </w:rPr>
        <w:t> </w:t>
      </w:r>
      <w:r>
        <w:rPr>
          <w:sz w:val="24"/>
        </w:rPr>
        <w:t>land</w:t>
      </w:r>
      <w:r>
        <w:rPr>
          <w:spacing w:val="-6"/>
          <w:sz w:val="24"/>
        </w:rPr>
        <w:t> </w:t>
      </w:r>
      <w:r>
        <w:rPr>
          <w:sz w:val="24"/>
        </w:rPr>
        <w:t>revenue</w:t>
      </w:r>
      <w:r>
        <w:rPr>
          <w:spacing w:val="-6"/>
          <w:sz w:val="24"/>
        </w:rPr>
        <w:t> </w:t>
      </w:r>
      <w:r>
        <w:rPr>
          <w:sz w:val="24"/>
        </w:rPr>
        <w:t>records.</w:t>
      </w:r>
      <w:r>
        <w:rPr>
          <w:spacing w:val="-3"/>
          <w:sz w:val="24"/>
        </w:rPr>
        <w:t> </w:t>
      </w:r>
      <w:r>
        <w:rPr>
          <w:sz w:val="24"/>
        </w:rPr>
        <w:t>The</w:t>
      </w:r>
      <w:r>
        <w:rPr>
          <w:spacing w:val="-6"/>
          <w:sz w:val="24"/>
        </w:rPr>
        <w:t> </w:t>
      </w:r>
      <w:r>
        <w:rPr>
          <w:sz w:val="24"/>
        </w:rPr>
        <w:t>cost</w:t>
      </w:r>
      <w:r>
        <w:rPr>
          <w:spacing w:val="-3"/>
          <w:sz w:val="24"/>
        </w:rPr>
        <w:t> </w:t>
      </w:r>
      <w:r>
        <w:rPr>
          <w:sz w:val="24"/>
        </w:rPr>
        <w:t>of</w:t>
      </w:r>
      <w:r>
        <w:rPr>
          <w:spacing w:val="-6"/>
          <w:sz w:val="24"/>
        </w:rPr>
        <w:t> </w:t>
      </w:r>
      <w:r>
        <w:rPr>
          <w:sz w:val="24"/>
        </w:rPr>
        <w:t>any</w:t>
      </w:r>
      <w:r>
        <w:rPr>
          <w:spacing w:val="-6"/>
          <w:sz w:val="24"/>
        </w:rPr>
        <w:t> </w:t>
      </w:r>
      <w:r>
        <w:rPr>
          <w:sz w:val="24"/>
        </w:rPr>
        <w:t>transaction</w:t>
      </w:r>
      <w:r>
        <w:rPr>
          <w:spacing w:val="-6"/>
          <w:sz w:val="24"/>
        </w:rPr>
        <w:t> </w:t>
      </w:r>
      <w:r>
        <w:rPr>
          <w:sz w:val="24"/>
        </w:rPr>
        <w:t>involved</w:t>
      </w:r>
      <w:r>
        <w:rPr>
          <w:spacing w:val="-6"/>
          <w:sz w:val="24"/>
        </w:rPr>
        <w:t> </w:t>
      </w:r>
      <w:r>
        <w:rPr>
          <w:sz w:val="24"/>
        </w:rPr>
        <w:t>shall be borne by the owner or lessee</w:t>
      </w:r>
    </w:p>
    <w:p>
      <w:pPr>
        <w:pStyle w:val="BodyText"/>
        <w:spacing w:before="61"/>
        <w:ind w:left="1738" w:right="773" w:hanging="240"/>
      </w:pPr>
      <w:r>
        <w:rPr/>
        <w:t>NOTE:-In</w:t>
      </w:r>
      <w:r>
        <w:rPr>
          <w:spacing w:val="-6"/>
        </w:rPr>
        <w:t> </w:t>
      </w:r>
      <w:r>
        <w:rPr/>
        <w:t>case</w:t>
      </w:r>
      <w:r>
        <w:rPr>
          <w:spacing w:val="-6"/>
        </w:rPr>
        <w:t> </w:t>
      </w:r>
      <w:r>
        <w:rPr/>
        <w:t>of</w:t>
      </w:r>
      <w:r>
        <w:rPr>
          <w:spacing w:val="-6"/>
        </w:rPr>
        <w:t> </w:t>
      </w:r>
      <w:r>
        <w:rPr/>
        <w:t>constructed</w:t>
      </w:r>
      <w:r>
        <w:rPr>
          <w:spacing w:val="-6"/>
        </w:rPr>
        <w:t> </w:t>
      </w:r>
      <w:r>
        <w:rPr/>
        <w:t>built</w:t>
      </w:r>
      <w:r>
        <w:rPr>
          <w:spacing w:val="-6"/>
        </w:rPr>
        <w:t> </w:t>
      </w:r>
      <w:r>
        <w:rPr/>
        <w:t>up</w:t>
      </w:r>
      <w:r>
        <w:rPr>
          <w:spacing w:val="-6"/>
        </w:rPr>
        <w:t> </w:t>
      </w:r>
      <w:r>
        <w:rPr/>
        <w:t>amenity</w:t>
      </w:r>
      <w:r>
        <w:rPr>
          <w:spacing w:val="-6"/>
        </w:rPr>
        <w:t> </w:t>
      </w:r>
      <w:r>
        <w:rPr/>
        <w:t>to</w:t>
      </w:r>
      <w:r>
        <w:rPr>
          <w:spacing w:val="-6"/>
        </w:rPr>
        <w:t> </w:t>
      </w:r>
      <w:r>
        <w:rPr/>
        <w:t>be</w:t>
      </w:r>
      <w:r>
        <w:rPr>
          <w:spacing w:val="-6"/>
        </w:rPr>
        <w:t> </w:t>
      </w:r>
      <w:r>
        <w:rPr/>
        <w:t>handed</w:t>
      </w:r>
      <w:r>
        <w:rPr>
          <w:spacing w:val="-8"/>
        </w:rPr>
        <w:t> </w:t>
      </w:r>
      <w:r>
        <w:rPr/>
        <w:t>over</w:t>
      </w:r>
      <w:r>
        <w:rPr>
          <w:spacing w:val="-6"/>
        </w:rPr>
        <w:t> </w:t>
      </w:r>
      <w:r>
        <w:rPr/>
        <w:t>along</w:t>
      </w:r>
      <w:r>
        <w:rPr>
          <w:spacing w:val="-6"/>
        </w:rPr>
        <w:t> </w:t>
      </w:r>
      <w:r>
        <w:rPr/>
        <w:t>with plot as per the provisions of these Regulations, then the details such as built up area of amenity, number of tenements/non-residential galas, along with requirements like number of</w:t>
      </w:r>
      <w:r>
        <w:rPr>
          <w:spacing w:val="-1"/>
        </w:rPr>
        <w:t> </w:t>
      </w:r>
      <w:r>
        <w:rPr/>
        <w:t>parking with their earmarking on the</w:t>
      </w:r>
      <w:r>
        <w:rPr>
          <w:spacing w:val="-4"/>
        </w:rPr>
        <w:t> </w:t>
      </w:r>
      <w:r>
        <w:rPr/>
        <w:t>occupation</w:t>
      </w:r>
      <w:r>
        <w:rPr>
          <w:spacing w:val="-4"/>
        </w:rPr>
        <w:t> </w:t>
      </w:r>
      <w:r>
        <w:rPr/>
        <w:t>plans</w:t>
      </w:r>
      <w:r>
        <w:rPr>
          <w:spacing w:val="-4"/>
        </w:rPr>
        <w:t> </w:t>
      </w:r>
      <w:r>
        <w:rPr/>
        <w:t>and</w:t>
      </w:r>
      <w:r>
        <w:rPr>
          <w:spacing w:val="-4"/>
        </w:rPr>
        <w:t> </w:t>
      </w:r>
      <w:r>
        <w:rPr/>
        <w:t>details</w:t>
      </w:r>
      <w:r>
        <w:rPr>
          <w:spacing w:val="-4"/>
        </w:rPr>
        <w:t> </w:t>
      </w:r>
      <w:r>
        <w:rPr/>
        <w:t>Occupation/Completion</w:t>
      </w:r>
      <w:r>
        <w:rPr>
          <w:spacing w:val="-4"/>
        </w:rPr>
        <w:t> </w:t>
      </w:r>
      <w:r>
        <w:rPr/>
        <w:t>Certificate</w:t>
      </w:r>
      <w:r>
        <w:rPr>
          <w:spacing w:val="-4"/>
        </w:rPr>
        <w:t> </w:t>
      </w:r>
      <w:r>
        <w:rPr/>
        <w:t>shall be clearly mentioned in the possession receipt.</w:t>
      </w:r>
    </w:p>
    <w:p>
      <w:pPr>
        <w:pStyle w:val="BodyText"/>
        <w:spacing w:before="59"/>
        <w:ind w:left="777"/>
      </w:pPr>
      <w:r>
        <w:rPr/>
        <w:t>On</w:t>
      </w:r>
      <w:r>
        <w:rPr>
          <w:spacing w:val="-1"/>
        </w:rPr>
        <w:t> </w:t>
      </w:r>
      <w:r>
        <w:rPr/>
        <w:t>.............................................</w:t>
      </w:r>
      <w:r>
        <w:rPr>
          <w:spacing w:val="-1"/>
        </w:rPr>
        <w:t> </w:t>
      </w:r>
      <w:r>
        <w:rPr/>
        <w:t>Day</w:t>
      </w:r>
      <w:r>
        <w:rPr>
          <w:spacing w:val="-1"/>
        </w:rPr>
        <w:t> </w:t>
      </w:r>
      <w:r>
        <w:rPr/>
        <w:t>of the</w:t>
      </w:r>
      <w:r>
        <w:rPr>
          <w:spacing w:val="-1"/>
        </w:rPr>
        <w:t> </w:t>
      </w:r>
      <w:r>
        <w:rPr/>
        <w:t>month</w:t>
      </w:r>
      <w:r>
        <w:rPr>
          <w:spacing w:val="-1"/>
        </w:rPr>
        <w:t> </w:t>
      </w:r>
      <w:r>
        <w:rPr/>
        <w:t>of </w:t>
      </w:r>
      <w:r>
        <w:rPr>
          <w:spacing w:val="-2"/>
        </w:rPr>
        <w:t>....................................</w:t>
      </w:r>
    </w:p>
    <w:p>
      <w:pPr>
        <w:pStyle w:val="BodyText"/>
        <w:tabs>
          <w:tab w:pos="5098" w:val="left" w:leader="none"/>
        </w:tabs>
        <w:spacing w:before="241"/>
        <w:ind w:left="777"/>
      </w:pPr>
      <w:r>
        <w:rPr/>
        <w:t>Handed</w:t>
      </w:r>
      <w:r>
        <w:rPr>
          <w:spacing w:val="-3"/>
        </w:rPr>
        <w:t> </w:t>
      </w:r>
      <w:r>
        <w:rPr/>
        <w:t>over</w:t>
      </w:r>
      <w:r>
        <w:rPr>
          <w:spacing w:val="-2"/>
        </w:rPr>
        <w:t> </w:t>
      </w:r>
      <w:r>
        <w:rPr>
          <w:spacing w:val="-5"/>
        </w:rPr>
        <w:t>by</w:t>
      </w:r>
      <w:r>
        <w:rPr/>
        <w:tab/>
        <w:t>Taken</w:t>
      </w:r>
      <w:r>
        <w:rPr>
          <w:spacing w:val="-3"/>
        </w:rPr>
        <w:t> </w:t>
      </w:r>
      <w:r>
        <w:rPr/>
        <w:t>over</w:t>
      </w:r>
      <w:r>
        <w:rPr>
          <w:spacing w:val="-3"/>
        </w:rPr>
        <w:t> </w:t>
      </w:r>
      <w:r>
        <w:rPr>
          <w:spacing w:val="-5"/>
        </w:rPr>
        <w:t>by</w:t>
      </w:r>
    </w:p>
    <w:p>
      <w:pPr>
        <w:pStyle w:val="BodyText"/>
        <w:tabs>
          <w:tab w:pos="5098" w:val="left" w:leader="none"/>
          <w:tab w:pos="6673" w:val="left" w:leader="none"/>
          <w:tab w:pos="9529" w:val="left" w:leader="none"/>
          <w:tab w:pos="10335" w:val="left" w:leader="none"/>
        </w:tabs>
        <w:spacing w:before="239"/>
        <w:ind w:left="777" w:right="777"/>
        <w:jc w:val="left"/>
      </w:pPr>
      <w:r>
        <w:rPr>
          <w:spacing w:val="-2"/>
        </w:rPr>
        <w:t>OWNER</w:t>
      </w:r>
      <w:r>
        <w:rPr/>
        <w:tab/>
      </w:r>
      <w:r>
        <w:rPr>
          <w:spacing w:val="-2"/>
        </w:rPr>
        <w:t>Sub/Asstt.</w:t>
      </w:r>
      <w:r>
        <w:rPr/>
        <w:tab/>
      </w:r>
      <w:r>
        <w:rPr>
          <w:spacing w:val="-2"/>
        </w:rPr>
        <w:t>EngineerDevelopment</w:t>
      </w:r>
      <w:r>
        <w:rPr/>
        <w:tab/>
      </w:r>
      <w:r>
        <w:rPr>
          <w:spacing w:val="-4"/>
        </w:rPr>
        <w:t>Plan</w:t>
      </w:r>
      <w:r>
        <w:rPr/>
        <w:tab/>
      </w:r>
      <w:r>
        <w:rPr>
          <w:spacing w:val="-10"/>
        </w:rPr>
        <w:t>( </w:t>
      </w:r>
      <w:r>
        <w:rPr>
          <w:spacing w:val="-2"/>
        </w:rPr>
        <w:t>Ward)</w:t>
      </w:r>
    </w:p>
    <w:p>
      <w:pPr>
        <w:pStyle w:val="BodyText"/>
        <w:spacing w:before="241"/>
        <w:ind w:left="777"/>
        <w:jc w:val="left"/>
      </w:pPr>
      <w:r>
        <w:rPr>
          <w:spacing w:val="-2"/>
        </w:rPr>
        <w:t>Address:</w:t>
      </w:r>
    </w:p>
    <w:p>
      <w:pPr>
        <w:pStyle w:val="BodyText"/>
        <w:spacing w:after="0"/>
        <w:jc w:val="left"/>
        <w:sectPr>
          <w:pgSz w:w="11910" w:h="16850"/>
          <w:pgMar w:header="1024" w:footer="1302" w:top="1480" w:bottom="1500" w:left="360" w:right="360"/>
        </w:sectPr>
      </w:pPr>
    </w:p>
    <w:p>
      <w:pPr>
        <w:pStyle w:val="Heading4"/>
        <w:spacing w:before="276"/>
        <w:ind w:right="2"/>
      </w:pPr>
      <w:r>
        <w:rPr/>
        <w:t>MUNICIPAL</w:t>
      </w:r>
      <w:r>
        <w:rPr>
          <w:spacing w:val="-5"/>
        </w:rPr>
        <w:t> </w:t>
      </w:r>
      <w:r>
        <w:rPr/>
        <w:t>CORPORATION</w:t>
      </w:r>
      <w:r>
        <w:rPr>
          <w:spacing w:val="-2"/>
        </w:rPr>
        <w:t> </w:t>
      </w:r>
      <w:r>
        <w:rPr/>
        <w:t>OF</w:t>
      </w:r>
      <w:r>
        <w:rPr>
          <w:spacing w:val="-2"/>
        </w:rPr>
        <w:t> </w:t>
      </w:r>
      <w:r>
        <w:rPr/>
        <w:t>GREATER</w:t>
      </w:r>
      <w:r>
        <w:rPr>
          <w:spacing w:val="-2"/>
        </w:rPr>
        <w:t> MUMBAI</w:t>
      </w:r>
    </w:p>
    <w:p>
      <w:pPr>
        <w:pStyle w:val="Heading5"/>
        <w:tabs>
          <w:tab w:pos="7273" w:val="left" w:leader="none"/>
        </w:tabs>
        <w:spacing w:line="446" w:lineRule="auto" w:before="239"/>
        <w:ind w:left="3673" w:right="3670"/>
        <w:jc w:val="center"/>
      </w:pPr>
      <w:r>
        <w:rPr/>
        <w:t>No. Ch.E. /DP/</w:t>
        <w:tab/>
      </w:r>
      <w:r>
        <w:rPr>
          <w:spacing w:val="-6"/>
        </w:rPr>
        <w:t>of </w:t>
      </w:r>
      <w:r>
        <w:rPr/>
        <w:t>FINAL POSSESSION RECEIPT</w:t>
      </w:r>
    </w:p>
    <w:p>
      <w:pPr>
        <w:pStyle w:val="BodyText"/>
        <w:tabs>
          <w:tab w:pos="4406" w:val="left" w:leader="none"/>
          <w:tab w:pos="5366" w:val="left" w:leader="none"/>
          <w:tab w:pos="6282" w:val="left" w:leader="none"/>
          <w:tab w:pos="6851" w:val="left" w:leader="none"/>
          <w:tab w:pos="7492" w:val="left" w:leader="none"/>
          <w:tab w:pos="7559" w:val="left" w:leader="none"/>
          <w:tab w:pos="8090" w:val="left" w:leader="none"/>
          <w:tab w:pos="8451" w:val="left" w:leader="none"/>
          <w:tab w:pos="9215" w:val="left" w:leader="none"/>
          <w:tab w:pos="10193" w:val="left" w:leader="none"/>
        </w:tabs>
        <w:spacing w:line="242" w:lineRule="auto"/>
        <w:ind w:left="2818" w:right="778" w:hanging="600"/>
        <w:jc w:val="right"/>
      </w:pPr>
      <w:r>
        <w:rPr/>
        <w:t>Sub:- Handing</w:t>
        <w:tab/>
      </w:r>
      <w:r>
        <w:rPr>
          <w:spacing w:val="-4"/>
        </w:rPr>
        <w:t>over</w:t>
      </w:r>
      <w:r>
        <w:rPr/>
        <w:tab/>
      </w:r>
      <w:r>
        <w:rPr>
          <w:spacing w:val="-4"/>
        </w:rPr>
        <w:t>and</w:t>
      </w:r>
      <w:r>
        <w:rPr/>
        <w:tab/>
      </w:r>
      <w:r>
        <w:rPr>
          <w:spacing w:val="-2"/>
        </w:rPr>
        <w:t>taking</w:t>
      </w:r>
      <w:r>
        <w:rPr/>
        <w:tab/>
      </w:r>
      <w:r>
        <w:rPr>
          <w:spacing w:val="-4"/>
        </w:rPr>
        <w:t>over</w:t>
      </w:r>
      <w:r>
        <w:rPr/>
        <w:tab/>
        <w:tab/>
      </w:r>
      <w:r>
        <w:rPr>
          <w:spacing w:val="-2"/>
        </w:rPr>
        <w:t>possession</w:t>
      </w:r>
      <w:r>
        <w:rPr/>
        <w:tab/>
      </w:r>
      <w:r>
        <w:rPr>
          <w:spacing w:val="-6"/>
        </w:rPr>
        <w:t>of </w:t>
      </w:r>
      <w:r>
        <w:rPr>
          <w:spacing w:val="-2"/>
        </w:rPr>
        <w:t>D.P.Road/Reservation/Amenity</w:t>
      </w:r>
      <w:r>
        <w:rPr/>
        <w:tab/>
      </w:r>
      <w:r>
        <w:rPr>
          <w:spacing w:val="-5"/>
        </w:rPr>
        <w:t>out</w:t>
      </w:r>
      <w:r>
        <w:rPr/>
        <w:tab/>
        <w:tab/>
      </w:r>
      <w:r>
        <w:rPr>
          <w:spacing w:val="-5"/>
        </w:rPr>
        <w:t>of</w:t>
      </w:r>
      <w:r>
        <w:rPr/>
        <w:tab/>
      </w:r>
      <w:r>
        <w:rPr>
          <w:spacing w:val="-2"/>
        </w:rPr>
        <w:t>Survey</w:t>
      </w:r>
      <w:r>
        <w:rPr/>
        <w:tab/>
      </w:r>
      <w:r>
        <w:rPr>
          <w:spacing w:val="-2"/>
        </w:rPr>
        <w:t>No./H.No.</w:t>
      </w:r>
    </w:p>
    <w:p>
      <w:pPr>
        <w:pStyle w:val="BodyText"/>
        <w:spacing w:line="276" w:lineRule="exact"/>
        <w:ind w:right="774"/>
        <w:jc w:val="right"/>
      </w:pPr>
      <w:r>
        <w:rPr/>
        <w:t>................,</w:t>
      </w:r>
      <w:r>
        <w:rPr>
          <w:spacing w:val="13"/>
        </w:rPr>
        <w:t> </w:t>
      </w:r>
      <w:r>
        <w:rPr/>
        <w:t>CTS</w:t>
      </w:r>
      <w:r>
        <w:rPr>
          <w:spacing w:val="13"/>
        </w:rPr>
        <w:t> </w:t>
      </w:r>
      <w:r>
        <w:rPr/>
        <w:t>No.</w:t>
      </w:r>
      <w:r>
        <w:rPr>
          <w:spacing w:val="14"/>
        </w:rPr>
        <w:t> </w:t>
      </w:r>
      <w:r>
        <w:rPr/>
        <w:t>/C.S.</w:t>
      </w:r>
      <w:r>
        <w:rPr>
          <w:spacing w:val="14"/>
        </w:rPr>
        <w:t> </w:t>
      </w:r>
      <w:r>
        <w:rPr/>
        <w:t>No./</w:t>
      </w:r>
      <w:r>
        <w:rPr>
          <w:spacing w:val="13"/>
        </w:rPr>
        <w:t> </w:t>
      </w:r>
      <w:r>
        <w:rPr/>
        <w:t>F.P.</w:t>
      </w:r>
      <w:r>
        <w:rPr>
          <w:spacing w:val="13"/>
        </w:rPr>
        <w:t> </w:t>
      </w:r>
      <w:r>
        <w:rPr/>
        <w:t>No.</w:t>
      </w:r>
      <w:r>
        <w:rPr>
          <w:spacing w:val="13"/>
        </w:rPr>
        <w:t> </w:t>
      </w:r>
      <w:r>
        <w:rPr>
          <w:spacing w:val="-2"/>
        </w:rPr>
        <w:t>....................................</w:t>
      </w:r>
    </w:p>
    <w:p>
      <w:pPr>
        <w:pStyle w:val="BodyText"/>
        <w:ind w:left="2818" w:right="768"/>
        <w:jc w:val="left"/>
      </w:pPr>
      <w:r>
        <w:rPr/>
        <w:t>of village /Division/ T.P.Scheme No. ........................... in .......... </w:t>
      </w:r>
      <w:r>
        <w:rPr>
          <w:spacing w:val="-2"/>
        </w:rPr>
        <w:t>Ward.</w:t>
      </w:r>
    </w:p>
    <w:p>
      <w:pPr>
        <w:pStyle w:val="BodyText"/>
        <w:tabs>
          <w:tab w:pos="4117" w:val="left" w:leader="none"/>
        </w:tabs>
        <w:spacing w:before="236"/>
        <w:ind w:left="777" w:right="774" w:firstLine="1229"/>
      </w:pPr>
      <w:r>
        <w:rPr>
          <w:u w:val="single"/>
        </w:rPr>
        <w:tab/>
      </w:r>
      <w:r>
        <w:rPr/>
        <w:t> working as Assistant Engineer in the Office of Ch.E.(D.P.) and ....................................., working as Assistant Engineer in the Office</w:t>
      </w:r>
      <w:r>
        <w:rPr>
          <w:spacing w:val="-13"/>
        </w:rPr>
        <w:t> </w:t>
      </w:r>
      <w:r>
        <w:rPr/>
        <w:t>of</w:t>
      </w:r>
      <w:r>
        <w:rPr>
          <w:spacing w:val="-13"/>
        </w:rPr>
        <w:t> </w:t>
      </w:r>
      <w:r>
        <w:rPr/>
        <w:t>Assistant</w:t>
      </w:r>
      <w:r>
        <w:rPr>
          <w:spacing w:val="-13"/>
        </w:rPr>
        <w:t> </w:t>
      </w:r>
      <w:r>
        <w:rPr/>
        <w:t>Commissioner</w:t>
      </w:r>
      <w:r>
        <w:rPr>
          <w:spacing w:val="-13"/>
        </w:rPr>
        <w:t> </w:t>
      </w:r>
      <w:r>
        <w:rPr/>
        <w:t>(Estates)</w:t>
      </w:r>
      <w:r>
        <w:rPr>
          <w:spacing w:val="-13"/>
        </w:rPr>
        <w:t> </w:t>
      </w:r>
      <w:r>
        <w:rPr/>
        <w:t>/</w:t>
      </w:r>
      <w:r>
        <w:rPr>
          <w:spacing w:val="-13"/>
        </w:rPr>
        <w:t> </w:t>
      </w:r>
      <w:r>
        <w:rPr/>
        <w:t>Ward</w:t>
      </w:r>
      <w:r>
        <w:rPr>
          <w:spacing w:val="-13"/>
        </w:rPr>
        <w:t> </w:t>
      </w:r>
      <w:r>
        <w:rPr/>
        <w:t>for</w:t>
      </w:r>
      <w:r>
        <w:rPr>
          <w:spacing w:val="-15"/>
        </w:rPr>
        <w:t> </w:t>
      </w:r>
      <w:r>
        <w:rPr/>
        <w:t>the</w:t>
      </w:r>
      <w:r>
        <w:rPr>
          <w:spacing w:val="-13"/>
        </w:rPr>
        <w:t> </w:t>
      </w:r>
      <w:r>
        <w:rPr/>
        <w:t>said</w:t>
      </w:r>
      <w:r>
        <w:rPr>
          <w:spacing w:val="-13"/>
        </w:rPr>
        <w:t> </w:t>
      </w:r>
      <w:r>
        <w:rPr/>
        <w:t>plot</w:t>
      </w:r>
      <w:r>
        <w:rPr>
          <w:spacing w:val="-13"/>
        </w:rPr>
        <w:t> </w:t>
      </w:r>
      <w:r>
        <w:rPr/>
        <w:t>of</w:t>
      </w:r>
      <w:r>
        <w:rPr>
          <w:spacing w:val="-13"/>
        </w:rPr>
        <w:t> </w:t>
      </w:r>
      <w:r>
        <w:rPr/>
        <w:t>the</w:t>
      </w:r>
      <w:r>
        <w:rPr>
          <w:spacing w:val="-15"/>
        </w:rPr>
        <w:t> </w:t>
      </w:r>
      <w:r>
        <w:rPr/>
        <w:t>land</w:t>
      </w:r>
      <w:r>
        <w:rPr>
          <w:spacing w:val="-13"/>
        </w:rPr>
        <w:t> </w:t>
      </w:r>
      <w:r>
        <w:rPr/>
        <w:t>have respectively handed over and taken over the possession of the above mentioned vacant land.</w:t>
      </w:r>
    </w:p>
    <w:p>
      <w:pPr>
        <w:pStyle w:val="BodyText"/>
        <w:spacing w:before="241"/>
        <w:ind w:left="1498"/>
        <w:jc w:val="left"/>
      </w:pPr>
      <w:r>
        <w:rPr/>
        <w:t>The</w:t>
      </w:r>
      <w:r>
        <w:rPr>
          <w:spacing w:val="-2"/>
        </w:rPr>
        <w:t> </w:t>
      </w:r>
      <w:r>
        <w:rPr/>
        <w:t>particulars</w:t>
      </w:r>
      <w:r>
        <w:rPr>
          <w:spacing w:val="-2"/>
        </w:rPr>
        <w:t> </w:t>
      </w:r>
      <w:r>
        <w:rPr/>
        <w:t>of</w:t>
      </w:r>
      <w:r>
        <w:rPr>
          <w:spacing w:val="-1"/>
        </w:rPr>
        <w:t> </w:t>
      </w:r>
      <w:r>
        <w:rPr/>
        <w:t>land</w:t>
      </w:r>
      <w:r>
        <w:rPr>
          <w:spacing w:val="-2"/>
        </w:rPr>
        <w:t> </w:t>
      </w:r>
      <w:r>
        <w:rPr/>
        <w:t>is</w:t>
      </w:r>
      <w:r>
        <w:rPr>
          <w:spacing w:val="-1"/>
        </w:rPr>
        <w:t> </w:t>
      </w:r>
      <w:r>
        <w:rPr/>
        <w:t>as</w:t>
      </w:r>
      <w:r>
        <w:rPr>
          <w:spacing w:val="-2"/>
        </w:rPr>
        <w:t> </w:t>
      </w:r>
      <w:r>
        <w:rPr/>
        <w:t>mentioned</w:t>
      </w:r>
      <w:r>
        <w:rPr>
          <w:spacing w:val="-1"/>
        </w:rPr>
        <w:t> </w:t>
      </w:r>
      <w:r>
        <w:rPr>
          <w:spacing w:val="-2"/>
        </w:rPr>
        <w:t>below-</w:t>
      </w:r>
    </w:p>
    <w:p>
      <w:pPr>
        <w:pStyle w:val="BodyText"/>
        <w:spacing w:before="4" w:after="1"/>
        <w:jc w:val="left"/>
        <w:rPr>
          <w:sz w:val="20"/>
        </w:rPr>
      </w:pPr>
    </w:p>
    <w:tbl>
      <w:tblPr>
        <w:tblW w:w="0" w:type="auto"/>
        <w:jc w:val="left"/>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2"/>
        <w:gridCol w:w="1801"/>
        <w:gridCol w:w="1830"/>
        <w:gridCol w:w="2089"/>
        <w:gridCol w:w="1808"/>
      </w:tblGrid>
      <w:tr>
        <w:trPr>
          <w:trHeight w:val="926" w:hRule="atLeast"/>
        </w:trPr>
        <w:tc>
          <w:tcPr>
            <w:tcW w:w="1822" w:type="dxa"/>
            <w:shd w:val="clear" w:color="auto" w:fill="E7E6E6"/>
          </w:tcPr>
          <w:p>
            <w:pPr>
              <w:pStyle w:val="TableParagraph"/>
              <w:spacing w:before="40"/>
              <w:ind w:left="110"/>
              <w:rPr>
                <w:sz w:val="24"/>
              </w:rPr>
            </w:pPr>
            <w:r>
              <w:rPr>
                <w:sz w:val="24"/>
              </w:rPr>
              <w:t>Survey </w:t>
            </w:r>
            <w:r>
              <w:rPr>
                <w:spacing w:val="-5"/>
                <w:sz w:val="24"/>
              </w:rPr>
              <w:t>No.</w:t>
            </w:r>
          </w:p>
        </w:tc>
        <w:tc>
          <w:tcPr>
            <w:tcW w:w="1801" w:type="dxa"/>
            <w:shd w:val="clear" w:color="auto" w:fill="E7E6E6"/>
          </w:tcPr>
          <w:p>
            <w:pPr>
              <w:pStyle w:val="TableParagraph"/>
              <w:spacing w:before="40"/>
              <w:ind w:left="107"/>
              <w:rPr>
                <w:sz w:val="24"/>
              </w:rPr>
            </w:pPr>
            <w:r>
              <w:rPr>
                <w:sz w:val="24"/>
              </w:rPr>
              <w:t>H. </w:t>
            </w:r>
            <w:r>
              <w:rPr>
                <w:spacing w:val="-5"/>
                <w:sz w:val="24"/>
              </w:rPr>
              <w:t>No.</w:t>
            </w:r>
          </w:p>
        </w:tc>
        <w:tc>
          <w:tcPr>
            <w:tcW w:w="1830" w:type="dxa"/>
            <w:shd w:val="clear" w:color="auto" w:fill="E7E6E6"/>
          </w:tcPr>
          <w:p>
            <w:pPr>
              <w:pStyle w:val="TableParagraph"/>
              <w:tabs>
                <w:tab w:pos="1184" w:val="left" w:leader="none"/>
              </w:tabs>
              <w:spacing w:line="281" w:lineRule="exact" w:before="42"/>
              <w:ind w:left="109"/>
              <w:rPr>
                <w:sz w:val="24"/>
              </w:rPr>
            </w:pPr>
            <w:r>
              <w:rPr>
                <w:spacing w:val="-5"/>
                <w:sz w:val="24"/>
              </w:rPr>
              <w:t>CTS</w:t>
            </w:r>
            <w:r>
              <w:rPr>
                <w:sz w:val="24"/>
              </w:rPr>
              <w:tab/>
            </w:r>
            <w:r>
              <w:rPr>
                <w:spacing w:val="-4"/>
                <w:sz w:val="24"/>
              </w:rPr>
              <w:t>No./</w:t>
            </w:r>
          </w:p>
          <w:p>
            <w:pPr>
              <w:pStyle w:val="TableParagraph"/>
              <w:spacing w:line="281" w:lineRule="exact"/>
              <w:ind w:left="109"/>
              <w:rPr>
                <w:sz w:val="24"/>
              </w:rPr>
            </w:pPr>
            <w:r>
              <w:rPr>
                <w:sz w:val="24"/>
              </w:rPr>
              <w:t>C.S.</w:t>
            </w:r>
            <w:r>
              <w:rPr>
                <w:spacing w:val="54"/>
                <w:sz w:val="24"/>
              </w:rPr>
              <w:t> </w:t>
            </w:r>
            <w:r>
              <w:rPr>
                <w:spacing w:val="-2"/>
                <w:sz w:val="24"/>
              </w:rPr>
              <w:t>No./F.P.</w:t>
            </w:r>
          </w:p>
          <w:p>
            <w:pPr>
              <w:pStyle w:val="TableParagraph"/>
              <w:spacing w:line="281" w:lineRule="exact"/>
              <w:ind w:left="109"/>
              <w:rPr>
                <w:sz w:val="24"/>
              </w:rPr>
            </w:pPr>
            <w:r>
              <w:rPr>
                <w:spacing w:val="-5"/>
                <w:sz w:val="24"/>
              </w:rPr>
              <w:t>No.</w:t>
            </w:r>
          </w:p>
        </w:tc>
        <w:tc>
          <w:tcPr>
            <w:tcW w:w="2089" w:type="dxa"/>
            <w:shd w:val="clear" w:color="auto" w:fill="E7E6E6"/>
          </w:tcPr>
          <w:p>
            <w:pPr>
              <w:pStyle w:val="TableParagraph"/>
              <w:spacing w:before="40"/>
              <w:ind w:left="106"/>
              <w:rPr>
                <w:sz w:val="24"/>
              </w:rPr>
            </w:pPr>
            <w:r>
              <w:rPr>
                <w:spacing w:val="-2"/>
                <w:sz w:val="24"/>
              </w:rPr>
              <w:t>Village/Division</w:t>
            </w:r>
          </w:p>
        </w:tc>
        <w:tc>
          <w:tcPr>
            <w:tcW w:w="1808" w:type="dxa"/>
            <w:shd w:val="clear" w:color="auto" w:fill="E7E6E6"/>
          </w:tcPr>
          <w:p>
            <w:pPr>
              <w:pStyle w:val="TableParagraph"/>
              <w:tabs>
                <w:tab w:pos="866" w:val="left" w:leader="none"/>
                <w:tab w:pos="1324" w:val="left" w:leader="none"/>
              </w:tabs>
              <w:spacing w:before="42"/>
              <w:ind w:left="105" w:right="97"/>
              <w:rPr>
                <w:sz w:val="24"/>
              </w:rPr>
            </w:pPr>
            <w:r>
              <w:rPr>
                <w:spacing w:val="-4"/>
                <w:sz w:val="24"/>
              </w:rPr>
              <w:t>Area</w:t>
            </w:r>
            <w:r>
              <w:rPr>
                <w:sz w:val="24"/>
              </w:rPr>
              <w:tab/>
            </w:r>
            <w:r>
              <w:rPr>
                <w:spacing w:val="-6"/>
                <w:sz w:val="24"/>
              </w:rPr>
              <w:t>in</w:t>
            </w:r>
            <w:r>
              <w:rPr>
                <w:sz w:val="24"/>
              </w:rPr>
              <w:tab/>
            </w:r>
            <w:r>
              <w:rPr>
                <w:spacing w:val="-4"/>
                <w:sz w:val="24"/>
              </w:rPr>
              <w:t>Sq. </w:t>
            </w:r>
            <w:r>
              <w:rPr>
                <w:spacing w:val="-6"/>
                <w:sz w:val="24"/>
              </w:rPr>
              <w:t>m.</w:t>
            </w:r>
          </w:p>
        </w:tc>
      </w:tr>
      <w:tr>
        <w:trPr>
          <w:trHeight w:val="362" w:hRule="atLeast"/>
        </w:trPr>
        <w:tc>
          <w:tcPr>
            <w:tcW w:w="1822" w:type="dxa"/>
          </w:tcPr>
          <w:p>
            <w:pPr>
              <w:pStyle w:val="TableParagraph"/>
              <w:rPr>
                <w:rFonts w:ascii="Times New Roman"/>
                <w:sz w:val="22"/>
              </w:rPr>
            </w:pPr>
          </w:p>
        </w:tc>
        <w:tc>
          <w:tcPr>
            <w:tcW w:w="1801" w:type="dxa"/>
          </w:tcPr>
          <w:p>
            <w:pPr>
              <w:pStyle w:val="TableParagraph"/>
              <w:rPr>
                <w:rFonts w:ascii="Times New Roman"/>
                <w:sz w:val="22"/>
              </w:rPr>
            </w:pPr>
          </w:p>
        </w:tc>
        <w:tc>
          <w:tcPr>
            <w:tcW w:w="1830" w:type="dxa"/>
          </w:tcPr>
          <w:p>
            <w:pPr>
              <w:pStyle w:val="TableParagraph"/>
              <w:rPr>
                <w:rFonts w:ascii="Times New Roman"/>
                <w:sz w:val="22"/>
              </w:rPr>
            </w:pPr>
          </w:p>
        </w:tc>
        <w:tc>
          <w:tcPr>
            <w:tcW w:w="2089" w:type="dxa"/>
          </w:tcPr>
          <w:p>
            <w:pPr>
              <w:pStyle w:val="TableParagraph"/>
              <w:rPr>
                <w:rFonts w:ascii="Times New Roman"/>
                <w:sz w:val="22"/>
              </w:rPr>
            </w:pPr>
          </w:p>
        </w:tc>
        <w:tc>
          <w:tcPr>
            <w:tcW w:w="1808" w:type="dxa"/>
          </w:tcPr>
          <w:p>
            <w:pPr>
              <w:pStyle w:val="TableParagraph"/>
              <w:rPr>
                <w:rFonts w:ascii="Times New Roman"/>
                <w:sz w:val="22"/>
              </w:rPr>
            </w:pPr>
          </w:p>
        </w:tc>
      </w:tr>
    </w:tbl>
    <w:p>
      <w:pPr>
        <w:pStyle w:val="BodyText"/>
        <w:spacing w:before="240"/>
        <w:jc w:val="left"/>
      </w:pPr>
    </w:p>
    <w:p>
      <w:pPr>
        <w:pStyle w:val="ListParagraph"/>
        <w:numPr>
          <w:ilvl w:val="1"/>
          <w:numId w:val="352"/>
        </w:numPr>
        <w:tabs>
          <w:tab w:pos="1735" w:val="left" w:leader="none"/>
        </w:tabs>
        <w:spacing w:line="240" w:lineRule="auto" w:before="0" w:after="0"/>
        <w:ind w:left="1735" w:right="0" w:hanging="237"/>
        <w:jc w:val="both"/>
        <w:rPr>
          <w:sz w:val="24"/>
        </w:rPr>
      </w:pPr>
      <w:r>
        <w:rPr>
          <w:sz w:val="24"/>
        </w:rPr>
        <w:t>The</w:t>
      </w:r>
      <w:r>
        <w:rPr>
          <w:spacing w:val="-2"/>
          <w:sz w:val="24"/>
        </w:rPr>
        <w:t> </w:t>
      </w:r>
      <w:r>
        <w:rPr>
          <w:sz w:val="24"/>
        </w:rPr>
        <w:t>compound</w:t>
      </w:r>
      <w:r>
        <w:rPr>
          <w:spacing w:val="-2"/>
          <w:sz w:val="24"/>
        </w:rPr>
        <w:t> </w:t>
      </w:r>
      <w:r>
        <w:rPr>
          <w:sz w:val="24"/>
        </w:rPr>
        <w:t>wall</w:t>
      </w:r>
      <w:r>
        <w:rPr>
          <w:spacing w:val="1"/>
          <w:sz w:val="24"/>
        </w:rPr>
        <w:t> </w:t>
      </w:r>
      <w:r>
        <w:rPr>
          <w:sz w:val="24"/>
        </w:rPr>
        <w:t>with</w:t>
      </w:r>
      <w:r>
        <w:rPr>
          <w:spacing w:val="-2"/>
          <w:sz w:val="24"/>
        </w:rPr>
        <w:t> </w:t>
      </w:r>
      <w:r>
        <w:rPr>
          <w:sz w:val="24"/>
        </w:rPr>
        <w:t>gate</w:t>
      </w:r>
      <w:r>
        <w:rPr>
          <w:spacing w:val="-2"/>
          <w:sz w:val="24"/>
        </w:rPr>
        <w:t> </w:t>
      </w:r>
      <w:r>
        <w:rPr>
          <w:sz w:val="24"/>
        </w:rPr>
        <w:t>wherever</w:t>
      </w:r>
      <w:r>
        <w:rPr>
          <w:spacing w:val="-1"/>
          <w:sz w:val="24"/>
        </w:rPr>
        <w:t> </w:t>
      </w:r>
      <w:r>
        <w:rPr>
          <w:sz w:val="24"/>
        </w:rPr>
        <w:t>applicable</w:t>
      </w:r>
      <w:r>
        <w:rPr>
          <w:spacing w:val="-2"/>
          <w:sz w:val="24"/>
        </w:rPr>
        <w:t> </w:t>
      </w:r>
      <w:r>
        <w:rPr>
          <w:sz w:val="24"/>
        </w:rPr>
        <w:t>is</w:t>
      </w:r>
      <w:r>
        <w:rPr>
          <w:spacing w:val="-1"/>
          <w:sz w:val="24"/>
        </w:rPr>
        <w:t> </w:t>
      </w:r>
      <w:r>
        <w:rPr>
          <w:spacing w:val="-2"/>
          <w:sz w:val="24"/>
        </w:rPr>
        <w:t>provided.</w:t>
      </w:r>
    </w:p>
    <w:p>
      <w:pPr>
        <w:pStyle w:val="ListParagraph"/>
        <w:numPr>
          <w:ilvl w:val="1"/>
          <w:numId w:val="352"/>
        </w:numPr>
        <w:tabs>
          <w:tab w:pos="1735" w:val="left" w:leader="none"/>
        </w:tabs>
        <w:spacing w:line="240" w:lineRule="auto" w:before="58" w:after="0"/>
        <w:ind w:left="1735" w:right="0" w:hanging="237"/>
        <w:jc w:val="both"/>
        <w:rPr>
          <w:sz w:val="24"/>
        </w:rPr>
      </w:pPr>
      <w:r>
        <w:rPr>
          <w:sz w:val="24"/>
        </w:rPr>
        <w:t>The</w:t>
      </w:r>
      <w:r>
        <w:rPr>
          <w:spacing w:val="-1"/>
          <w:sz w:val="24"/>
        </w:rPr>
        <w:t> </w:t>
      </w:r>
      <w:r>
        <w:rPr>
          <w:sz w:val="24"/>
        </w:rPr>
        <w:t>necessary</w:t>
      </w:r>
      <w:r>
        <w:rPr>
          <w:spacing w:val="-1"/>
          <w:sz w:val="24"/>
        </w:rPr>
        <w:t> </w:t>
      </w:r>
      <w:r>
        <w:rPr>
          <w:sz w:val="24"/>
        </w:rPr>
        <w:t>provision</w:t>
      </w:r>
      <w:r>
        <w:rPr>
          <w:spacing w:val="-1"/>
          <w:sz w:val="24"/>
        </w:rPr>
        <w:t> </w:t>
      </w:r>
      <w:r>
        <w:rPr>
          <w:sz w:val="24"/>
        </w:rPr>
        <w:t>of</w:t>
      </w:r>
      <w:r>
        <w:rPr>
          <w:spacing w:val="-1"/>
          <w:sz w:val="24"/>
        </w:rPr>
        <w:t> </w:t>
      </w:r>
      <w:r>
        <w:rPr>
          <w:sz w:val="24"/>
        </w:rPr>
        <w:t>storm</w:t>
      </w:r>
      <w:r>
        <w:rPr>
          <w:spacing w:val="-1"/>
          <w:sz w:val="24"/>
        </w:rPr>
        <w:t> </w:t>
      </w:r>
      <w:r>
        <w:rPr>
          <w:sz w:val="24"/>
        </w:rPr>
        <w:t>water</w:t>
      </w:r>
      <w:r>
        <w:rPr>
          <w:spacing w:val="-1"/>
          <w:sz w:val="24"/>
        </w:rPr>
        <w:t> </w:t>
      </w:r>
      <w:r>
        <w:rPr>
          <w:sz w:val="24"/>
        </w:rPr>
        <w:t>drain</w:t>
      </w:r>
      <w:r>
        <w:rPr>
          <w:spacing w:val="-1"/>
          <w:sz w:val="24"/>
        </w:rPr>
        <w:t> </w:t>
      </w:r>
      <w:r>
        <w:rPr>
          <w:sz w:val="24"/>
        </w:rPr>
        <w:t>is </w:t>
      </w:r>
      <w:r>
        <w:rPr>
          <w:spacing w:val="-2"/>
          <w:sz w:val="24"/>
        </w:rPr>
        <w:t>made.</w:t>
      </w:r>
    </w:p>
    <w:p>
      <w:pPr>
        <w:pStyle w:val="ListParagraph"/>
        <w:numPr>
          <w:ilvl w:val="1"/>
          <w:numId w:val="352"/>
        </w:numPr>
        <w:tabs>
          <w:tab w:pos="1735" w:val="left" w:leader="none"/>
          <w:tab w:pos="9754" w:val="left" w:leader="dot"/>
        </w:tabs>
        <w:spacing w:line="240" w:lineRule="auto" w:before="61" w:after="0"/>
        <w:ind w:left="1735" w:right="777" w:hanging="238"/>
        <w:jc w:val="both"/>
        <w:rPr>
          <w:sz w:val="24"/>
        </w:rPr>
      </w:pPr>
      <w:r>
        <w:rPr>
          <w:sz w:val="24"/>
        </w:rPr>
        <w:t>The area of the D P Road/Reserved land/Amenity area has been ascertained on the basis of Joint Measurement Survey with SLR/C.S. Office</w:t>
      </w:r>
      <w:r>
        <w:rPr>
          <w:spacing w:val="35"/>
          <w:sz w:val="24"/>
        </w:rPr>
        <w:t>  </w:t>
      </w:r>
      <w:r>
        <w:rPr>
          <w:sz w:val="24"/>
        </w:rPr>
        <w:t>under</w:t>
      </w:r>
      <w:r>
        <w:rPr>
          <w:spacing w:val="35"/>
          <w:sz w:val="24"/>
        </w:rPr>
        <w:t>  </w:t>
      </w:r>
      <w:r>
        <w:rPr>
          <w:sz w:val="24"/>
        </w:rPr>
        <w:t>M.R.</w:t>
      </w:r>
      <w:r>
        <w:rPr>
          <w:spacing w:val="36"/>
          <w:sz w:val="24"/>
        </w:rPr>
        <w:t>  </w:t>
      </w:r>
      <w:r>
        <w:rPr>
          <w:sz w:val="24"/>
        </w:rPr>
        <w:t>Plan</w:t>
      </w:r>
      <w:r>
        <w:rPr>
          <w:spacing w:val="35"/>
          <w:sz w:val="24"/>
        </w:rPr>
        <w:t>  </w:t>
      </w:r>
      <w:r>
        <w:rPr>
          <w:spacing w:val="-5"/>
          <w:sz w:val="24"/>
        </w:rPr>
        <w:t>No.</w:t>
      </w:r>
      <w:r>
        <w:rPr>
          <w:sz w:val="24"/>
        </w:rPr>
        <w:tab/>
      </w:r>
      <w:r>
        <w:rPr>
          <w:spacing w:val="-2"/>
          <w:sz w:val="24"/>
        </w:rPr>
        <w:t>dated</w:t>
      </w:r>
    </w:p>
    <w:p>
      <w:pPr>
        <w:pStyle w:val="BodyText"/>
        <w:tabs>
          <w:tab w:pos="9756" w:val="left" w:leader="dot"/>
        </w:tabs>
        <w:spacing w:line="281" w:lineRule="exact"/>
        <w:ind w:left="1735"/>
      </w:pPr>
      <w:r>
        <w:rPr/>
        <w:t>............................</w:t>
      </w:r>
      <w:r>
        <w:rPr>
          <w:spacing w:val="54"/>
        </w:rPr>
        <w:t> </w:t>
      </w:r>
      <w:r>
        <w:rPr/>
        <w:t>with</w:t>
      </w:r>
      <w:r>
        <w:rPr>
          <w:spacing w:val="57"/>
        </w:rPr>
        <w:t> </w:t>
      </w:r>
      <w:r>
        <w:rPr/>
        <w:t>communication</w:t>
      </w:r>
      <w:r>
        <w:rPr>
          <w:spacing w:val="57"/>
        </w:rPr>
        <w:t> </w:t>
      </w:r>
      <w:r>
        <w:rPr>
          <w:spacing w:val="-5"/>
        </w:rPr>
        <w:t>No.</w:t>
      </w:r>
      <w:r>
        <w:rPr/>
        <w:tab/>
      </w:r>
      <w:r>
        <w:rPr>
          <w:spacing w:val="-2"/>
        </w:rPr>
        <w:t>dated</w:t>
      </w:r>
    </w:p>
    <w:p>
      <w:pPr>
        <w:pStyle w:val="BodyText"/>
        <w:tabs>
          <w:tab w:pos="3732" w:val="left" w:leader="dot"/>
        </w:tabs>
        <w:spacing w:before="2"/>
        <w:ind w:left="1735"/>
      </w:pPr>
      <w:r>
        <w:rPr>
          <w:spacing w:val="-10"/>
        </w:rPr>
        <w:t>.</w:t>
      </w:r>
      <w:r>
        <w:rPr/>
        <w:tab/>
        <w:t>and</w:t>
      </w:r>
      <w:r>
        <w:rPr>
          <w:spacing w:val="-1"/>
        </w:rPr>
        <w:t> </w:t>
      </w:r>
      <w:r>
        <w:rPr/>
        <w:t>as per the</w:t>
      </w:r>
      <w:r>
        <w:rPr>
          <w:spacing w:val="-1"/>
        </w:rPr>
        <w:t> </w:t>
      </w:r>
      <w:r>
        <w:rPr/>
        <w:t>provisions of these </w:t>
      </w:r>
      <w:r>
        <w:rPr>
          <w:spacing w:val="-2"/>
        </w:rPr>
        <w:t>Regulations.</w:t>
      </w:r>
    </w:p>
    <w:p>
      <w:pPr>
        <w:pStyle w:val="ListParagraph"/>
        <w:numPr>
          <w:ilvl w:val="1"/>
          <w:numId w:val="352"/>
        </w:numPr>
        <w:tabs>
          <w:tab w:pos="1735" w:val="left" w:leader="none"/>
        </w:tabs>
        <w:spacing w:line="240" w:lineRule="auto" w:before="58" w:after="0"/>
        <w:ind w:left="1735" w:right="787" w:hanging="238"/>
        <w:jc w:val="both"/>
        <w:rPr>
          <w:sz w:val="24"/>
        </w:rPr>
      </w:pPr>
      <w:r>
        <w:rPr>
          <w:sz w:val="24"/>
        </w:rPr>
        <w:t>The Title Clearance has been certified by Advocate/Solicitor who has experience</w:t>
      </w:r>
      <w:r>
        <w:rPr>
          <w:spacing w:val="40"/>
          <w:sz w:val="24"/>
        </w:rPr>
        <w:t> </w:t>
      </w:r>
      <w:r>
        <w:rPr>
          <w:sz w:val="24"/>
        </w:rPr>
        <w:t>in</w:t>
      </w:r>
      <w:r>
        <w:rPr>
          <w:spacing w:val="40"/>
          <w:sz w:val="24"/>
        </w:rPr>
        <w:t> </w:t>
      </w:r>
      <w:r>
        <w:rPr>
          <w:sz w:val="24"/>
        </w:rPr>
        <w:t>this</w:t>
      </w:r>
      <w:r>
        <w:rPr>
          <w:spacing w:val="40"/>
          <w:sz w:val="24"/>
        </w:rPr>
        <w:t> </w:t>
      </w:r>
      <w:r>
        <w:rPr>
          <w:sz w:val="24"/>
        </w:rPr>
        <w:t>field</w:t>
      </w:r>
      <w:r>
        <w:rPr>
          <w:spacing w:val="40"/>
          <w:sz w:val="24"/>
        </w:rPr>
        <w:t> </w:t>
      </w:r>
      <w:r>
        <w:rPr>
          <w:sz w:val="24"/>
        </w:rPr>
        <w:t>of</w:t>
      </w:r>
      <w:r>
        <w:rPr>
          <w:spacing w:val="40"/>
          <w:sz w:val="24"/>
        </w:rPr>
        <w:t> </w:t>
      </w:r>
      <w:r>
        <w:rPr>
          <w:sz w:val="24"/>
        </w:rPr>
        <w:t>a</w:t>
      </w:r>
      <w:r>
        <w:rPr>
          <w:spacing w:val="40"/>
          <w:sz w:val="24"/>
        </w:rPr>
        <w:t> </w:t>
      </w:r>
      <w:r>
        <w:rPr>
          <w:sz w:val="24"/>
        </w:rPr>
        <w:t>minimum</w:t>
      </w:r>
      <w:r>
        <w:rPr>
          <w:spacing w:val="40"/>
          <w:sz w:val="24"/>
        </w:rPr>
        <w:t> </w:t>
      </w:r>
      <w:r>
        <w:rPr>
          <w:sz w:val="24"/>
        </w:rPr>
        <w:t>10</w:t>
      </w:r>
      <w:r>
        <w:rPr>
          <w:spacing w:val="40"/>
          <w:sz w:val="24"/>
        </w:rPr>
        <w:t> </w:t>
      </w:r>
      <w:r>
        <w:rPr>
          <w:sz w:val="24"/>
        </w:rPr>
        <w:t>years</w:t>
      </w:r>
    </w:p>
    <w:p>
      <w:pPr>
        <w:pStyle w:val="ListParagraph"/>
        <w:numPr>
          <w:ilvl w:val="1"/>
          <w:numId w:val="352"/>
        </w:numPr>
        <w:tabs>
          <w:tab w:pos="1735" w:val="left" w:leader="none"/>
        </w:tabs>
        <w:spacing w:line="240" w:lineRule="auto" w:before="61" w:after="0"/>
        <w:ind w:left="1735" w:right="774" w:hanging="238"/>
        <w:jc w:val="both"/>
        <w:rPr>
          <w:sz w:val="24"/>
        </w:rPr>
      </w:pPr>
      <w:r>
        <w:rPr>
          <w:sz w:val="24"/>
        </w:rPr>
        <w:t>Any</w:t>
      </w:r>
      <w:r>
        <w:rPr>
          <w:spacing w:val="-3"/>
          <w:sz w:val="24"/>
        </w:rPr>
        <w:t> </w:t>
      </w:r>
      <w:r>
        <w:rPr>
          <w:sz w:val="24"/>
        </w:rPr>
        <w:t>other</w:t>
      </w:r>
      <w:r>
        <w:rPr>
          <w:spacing w:val="-3"/>
          <w:sz w:val="24"/>
        </w:rPr>
        <w:t> </w:t>
      </w:r>
      <w:r>
        <w:rPr>
          <w:sz w:val="24"/>
        </w:rPr>
        <w:t>conditions</w:t>
      </w:r>
      <w:r>
        <w:rPr>
          <w:spacing w:val="-6"/>
          <w:sz w:val="24"/>
        </w:rPr>
        <w:t> </w:t>
      </w:r>
      <w:r>
        <w:rPr>
          <w:sz w:val="24"/>
        </w:rPr>
        <w:t>as</w:t>
      </w:r>
      <w:r>
        <w:rPr>
          <w:spacing w:val="-3"/>
          <w:sz w:val="24"/>
        </w:rPr>
        <w:t> </w:t>
      </w:r>
      <w:r>
        <w:rPr>
          <w:sz w:val="24"/>
        </w:rPr>
        <w:t>may</w:t>
      </w:r>
      <w:r>
        <w:rPr>
          <w:spacing w:val="-3"/>
          <w:sz w:val="24"/>
        </w:rPr>
        <w:t> </w:t>
      </w:r>
      <w:r>
        <w:rPr>
          <w:sz w:val="24"/>
        </w:rPr>
        <w:t>deem</w:t>
      </w:r>
      <w:r>
        <w:rPr>
          <w:spacing w:val="-3"/>
          <w:sz w:val="24"/>
        </w:rPr>
        <w:t> </w:t>
      </w:r>
      <w:r>
        <w:rPr>
          <w:sz w:val="24"/>
        </w:rPr>
        <w:t>fit</w:t>
      </w:r>
      <w:r>
        <w:rPr>
          <w:spacing w:val="-6"/>
          <w:sz w:val="24"/>
        </w:rPr>
        <w:t> </w:t>
      </w:r>
      <w:r>
        <w:rPr>
          <w:sz w:val="24"/>
        </w:rPr>
        <w:t>and</w:t>
      </w:r>
      <w:r>
        <w:rPr>
          <w:spacing w:val="-6"/>
          <w:sz w:val="24"/>
        </w:rPr>
        <w:t> </w:t>
      </w:r>
      <w:r>
        <w:rPr>
          <w:sz w:val="24"/>
        </w:rPr>
        <w:t>proper</w:t>
      </w:r>
      <w:r>
        <w:rPr>
          <w:spacing w:val="-3"/>
          <w:sz w:val="24"/>
        </w:rPr>
        <w:t> </w:t>
      </w:r>
      <w:r>
        <w:rPr>
          <w:sz w:val="24"/>
        </w:rPr>
        <w:t>in</w:t>
      </w:r>
      <w:r>
        <w:rPr>
          <w:spacing w:val="-3"/>
          <w:sz w:val="24"/>
        </w:rPr>
        <w:t> </w:t>
      </w:r>
      <w:r>
        <w:rPr>
          <w:sz w:val="24"/>
        </w:rPr>
        <w:t>the</w:t>
      </w:r>
      <w:r>
        <w:rPr>
          <w:spacing w:val="-3"/>
          <w:sz w:val="24"/>
        </w:rPr>
        <w:t> </w:t>
      </w:r>
      <w:r>
        <w:rPr>
          <w:sz w:val="24"/>
        </w:rPr>
        <w:t>interest</w:t>
      </w:r>
      <w:r>
        <w:rPr>
          <w:spacing w:val="-3"/>
          <w:sz w:val="24"/>
        </w:rPr>
        <w:t> </w:t>
      </w:r>
      <w:r>
        <w:rPr>
          <w:sz w:val="24"/>
        </w:rPr>
        <w:t>of</w:t>
      </w:r>
      <w:r>
        <w:rPr>
          <w:spacing w:val="-3"/>
          <w:sz w:val="24"/>
        </w:rPr>
        <w:t> </w:t>
      </w:r>
      <w:r>
        <w:rPr>
          <w:sz w:val="24"/>
        </w:rPr>
        <w:t>general </w:t>
      </w:r>
      <w:r>
        <w:rPr>
          <w:spacing w:val="-2"/>
          <w:sz w:val="24"/>
        </w:rPr>
        <w:t>public.</w:t>
      </w:r>
    </w:p>
    <w:p>
      <w:pPr>
        <w:pStyle w:val="ListParagraph"/>
        <w:numPr>
          <w:ilvl w:val="1"/>
          <w:numId w:val="352"/>
        </w:numPr>
        <w:tabs>
          <w:tab w:pos="1735" w:val="left" w:leader="none"/>
        </w:tabs>
        <w:spacing w:line="240" w:lineRule="auto" w:before="60" w:after="0"/>
        <w:ind w:left="1735" w:right="776" w:hanging="238"/>
        <w:jc w:val="both"/>
        <w:rPr>
          <w:sz w:val="24"/>
        </w:rPr>
      </w:pPr>
      <w:r>
        <w:rPr>
          <w:sz w:val="24"/>
        </w:rPr>
        <w:t>The</w:t>
      </w:r>
      <w:r>
        <w:rPr>
          <w:spacing w:val="-6"/>
          <w:sz w:val="24"/>
        </w:rPr>
        <w:t> </w:t>
      </w:r>
      <w:r>
        <w:rPr>
          <w:sz w:val="24"/>
        </w:rPr>
        <w:t>possession</w:t>
      </w:r>
      <w:r>
        <w:rPr>
          <w:spacing w:val="-8"/>
          <w:sz w:val="24"/>
        </w:rPr>
        <w:t> </w:t>
      </w:r>
      <w:r>
        <w:rPr>
          <w:sz w:val="24"/>
        </w:rPr>
        <w:t>of</w:t>
      </w:r>
      <w:r>
        <w:rPr>
          <w:spacing w:val="-6"/>
          <w:sz w:val="24"/>
        </w:rPr>
        <w:t> </w:t>
      </w:r>
      <w:r>
        <w:rPr>
          <w:sz w:val="24"/>
        </w:rPr>
        <w:t>above</w:t>
      </w:r>
      <w:r>
        <w:rPr>
          <w:spacing w:val="-8"/>
          <w:sz w:val="24"/>
        </w:rPr>
        <w:t> </w:t>
      </w:r>
      <w:r>
        <w:rPr>
          <w:sz w:val="24"/>
        </w:rPr>
        <w:t>land</w:t>
      </w:r>
      <w:r>
        <w:rPr>
          <w:spacing w:val="-8"/>
          <w:sz w:val="24"/>
        </w:rPr>
        <w:t> </w:t>
      </w:r>
      <w:r>
        <w:rPr>
          <w:sz w:val="24"/>
        </w:rPr>
        <w:t>is</w:t>
      </w:r>
      <w:r>
        <w:rPr>
          <w:spacing w:val="-8"/>
          <w:sz w:val="24"/>
        </w:rPr>
        <w:t> </w:t>
      </w:r>
      <w:r>
        <w:rPr>
          <w:sz w:val="24"/>
        </w:rPr>
        <w:t>taken</w:t>
      </w:r>
      <w:r>
        <w:rPr>
          <w:spacing w:val="-8"/>
          <w:sz w:val="24"/>
        </w:rPr>
        <w:t> </w:t>
      </w:r>
      <w:r>
        <w:rPr>
          <w:sz w:val="24"/>
        </w:rPr>
        <w:t>over</w:t>
      </w:r>
      <w:r>
        <w:rPr>
          <w:spacing w:val="-8"/>
          <w:sz w:val="24"/>
        </w:rPr>
        <w:t> </w:t>
      </w:r>
      <w:r>
        <w:rPr>
          <w:sz w:val="24"/>
        </w:rPr>
        <w:t>subject</w:t>
      </w:r>
      <w:r>
        <w:rPr>
          <w:spacing w:val="-8"/>
          <w:sz w:val="24"/>
        </w:rPr>
        <w:t> </w:t>
      </w:r>
      <w:r>
        <w:rPr>
          <w:sz w:val="24"/>
        </w:rPr>
        <w:t>to</w:t>
      </w:r>
      <w:r>
        <w:rPr>
          <w:spacing w:val="-8"/>
          <w:sz w:val="24"/>
        </w:rPr>
        <w:t> </w:t>
      </w:r>
      <w:r>
        <w:rPr>
          <w:sz w:val="24"/>
        </w:rPr>
        <w:t>the</w:t>
      </w:r>
      <w:r>
        <w:rPr>
          <w:spacing w:val="-6"/>
          <w:sz w:val="24"/>
        </w:rPr>
        <w:t> </w:t>
      </w:r>
      <w:r>
        <w:rPr>
          <w:sz w:val="24"/>
        </w:rPr>
        <w:t>owner/developer agreeing to rectify the defects in the works and in terms of Undertaking separately given by the owner.</w:t>
      </w:r>
    </w:p>
    <w:p>
      <w:pPr>
        <w:pStyle w:val="ListParagraph"/>
        <w:numPr>
          <w:ilvl w:val="1"/>
          <w:numId w:val="352"/>
        </w:numPr>
        <w:tabs>
          <w:tab w:pos="1735" w:val="left" w:leader="none"/>
        </w:tabs>
        <w:spacing w:line="240" w:lineRule="auto" w:before="59" w:after="0"/>
        <w:ind w:left="1735" w:right="778" w:hanging="238"/>
        <w:jc w:val="both"/>
        <w:rPr>
          <w:sz w:val="24"/>
        </w:rPr>
      </w:pPr>
      <w:r>
        <w:rPr>
          <w:sz w:val="24"/>
        </w:rPr>
        <w:t>Ownership of land so handed over shall be transferred in the name of MCGM</w:t>
      </w:r>
      <w:r>
        <w:rPr>
          <w:spacing w:val="-6"/>
          <w:sz w:val="24"/>
        </w:rPr>
        <w:t> </w:t>
      </w:r>
      <w:r>
        <w:rPr>
          <w:sz w:val="24"/>
        </w:rPr>
        <w:t>in</w:t>
      </w:r>
      <w:r>
        <w:rPr>
          <w:spacing w:val="-6"/>
          <w:sz w:val="24"/>
        </w:rPr>
        <w:t> </w:t>
      </w:r>
      <w:r>
        <w:rPr>
          <w:sz w:val="24"/>
        </w:rPr>
        <w:t>land</w:t>
      </w:r>
      <w:r>
        <w:rPr>
          <w:spacing w:val="-6"/>
          <w:sz w:val="24"/>
        </w:rPr>
        <w:t> </w:t>
      </w:r>
      <w:r>
        <w:rPr>
          <w:sz w:val="24"/>
        </w:rPr>
        <w:t>revenue</w:t>
      </w:r>
      <w:r>
        <w:rPr>
          <w:spacing w:val="-6"/>
          <w:sz w:val="24"/>
        </w:rPr>
        <w:t> </w:t>
      </w:r>
      <w:r>
        <w:rPr>
          <w:sz w:val="24"/>
        </w:rPr>
        <w:t>records.</w:t>
      </w:r>
      <w:r>
        <w:rPr>
          <w:spacing w:val="-3"/>
          <w:sz w:val="24"/>
        </w:rPr>
        <w:t> </w:t>
      </w:r>
      <w:r>
        <w:rPr>
          <w:sz w:val="24"/>
        </w:rPr>
        <w:t>The</w:t>
      </w:r>
      <w:r>
        <w:rPr>
          <w:spacing w:val="-6"/>
          <w:sz w:val="24"/>
        </w:rPr>
        <w:t> </w:t>
      </w:r>
      <w:r>
        <w:rPr>
          <w:sz w:val="24"/>
        </w:rPr>
        <w:t>cost</w:t>
      </w:r>
      <w:r>
        <w:rPr>
          <w:spacing w:val="-1"/>
          <w:sz w:val="24"/>
        </w:rPr>
        <w:t> </w:t>
      </w:r>
      <w:r>
        <w:rPr>
          <w:sz w:val="24"/>
        </w:rPr>
        <w:t>of</w:t>
      </w:r>
      <w:r>
        <w:rPr>
          <w:spacing w:val="-6"/>
          <w:sz w:val="24"/>
        </w:rPr>
        <w:t> </w:t>
      </w:r>
      <w:r>
        <w:rPr>
          <w:sz w:val="24"/>
        </w:rPr>
        <w:t>any</w:t>
      </w:r>
      <w:r>
        <w:rPr>
          <w:spacing w:val="-6"/>
          <w:sz w:val="24"/>
        </w:rPr>
        <w:t> </w:t>
      </w:r>
      <w:r>
        <w:rPr>
          <w:sz w:val="24"/>
        </w:rPr>
        <w:t>transaction</w:t>
      </w:r>
      <w:r>
        <w:rPr>
          <w:spacing w:val="-6"/>
          <w:sz w:val="24"/>
        </w:rPr>
        <w:t> </w:t>
      </w:r>
      <w:r>
        <w:rPr>
          <w:sz w:val="24"/>
        </w:rPr>
        <w:t>involved</w:t>
      </w:r>
      <w:r>
        <w:rPr>
          <w:spacing w:val="-6"/>
          <w:sz w:val="24"/>
        </w:rPr>
        <w:t> </w:t>
      </w:r>
      <w:r>
        <w:rPr>
          <w:sz w:val="24"/>
        </w:rPr>
        <w:t>shall be borne by the owner or lessee</w:t>
      </w:r>
    </w:p>
    <w:p>
      <w:pPr>
        <w:pStyle w:val="BodyText"/>
        <w:spacing w:before="62"/>
        <w:ind w:left="1735" w:right="773" w:hanging="238"/>
      </w:pPr>
      <w:r>
        <w:rPr/>
        <w:t>NOTE:-In</w:t>
      </w:r>
      <w:r>
        <w:rPr>
          <w:spacing w:val="-6"/>
        </w:rPr>
        <w:t> </w:t>
      </w:r>
      <w:r>
        <w:rPr/>
        <w:t>case</w:t>
      </w:r>
      <w:r>
        <w:rPr>
          <w:spacing w:val="-6"/>
        </w:rPr>
        <w:t> </w:t>
      </w:r>
      <w:r>
        <w:rPr/>
        <w:t>of</w:t>
      </w:r>
      <w:r>
        <w:rPr>
          <w:spacing w:val="-6"/>
        </w:rPr>
        <w:t> </w:t>
      </w:r>
      <w:r>
        <w:rPr/>
        <w:t>constructed</w:t>
      </w:r>
      <w:r>
        <w:rPr>
          <w:spacing w:val="-6"/>
        </w:rPr>
        <w:t> </w:t>
      </w:r>
      <w:r>
        <w:rPr/>
        <w:t>built</w:t>
      </w:r>
      <w:r>
        <w:rPr>
          <w:spacing w:val="-6"/>
        </w:rPr>
        <w:t> </w:t>
      </w:r>
      <w:r>
        <w:rPr/>
        <w:t>up</w:t>
      </w:r>
      <w:r>
        <w:rPr>
          <w:spacing w:val="-6"/>
        </w:rPr>
        <w:t> </w:t>
      </w:r>
      <w:r>
        <w:rPr/>
        <w:t>amenity</w:t>
      </w:r>
      <w:r>
        <w:rPr>
          <w:spacing w:val="-6"/>
        </w:rPr>
        <w:t> </w:t>
      </w:r>
      <w:r>
        <w:rPr/>
        <w:t>to</w:t>
      </w:r>
      <w:r>
        <w:rPr>
          <w:spacing w:val="-6"/>
        </w:rPr>
        <w:t> </w:t>
      </w:r>
      <w:r>
        <w:rPr/>
        <w:t>be</w:t>
      </w:r>
      <w:r>
        <w:rPr>
          <w:spacing w:val="-6"/>
        </w:rPr>
        <w:t> </w:t>
      </w:r>
      <w:r>
        <w:rPr/>
        <w:t>handed</w:t>
      </w:r>
      <w:r>
        <w:rPr>
          <w:spacing w:val="-8"/>
        </w:rPr>
        <w:t> </w:t>
      </w:r>
      <w:r>
        <w:rPr/>
        <w:t>over</w:t>
      </w:r>
      <w:r>
        <w:rPr>
          <w:spacing w:val="-6"/>
        </w:rPr>
        <w:t> </w:t>
      </w:r>
      <w:r>
        <w:rPr/>
        <w:t>along</w:t>
      </w:r>
      <w:r>
        <w:rPr>
          <w:spacing w:val="-6"/>
        </w:rPr>
        <w:t> </w:t>
      </w:r>
      <w:r>
        <w:rPr/>
        <w:t>with plot</w:t>
      </w:r>
      <w:r>
        <w:rPr>
          <w:spacing w:val="19"/>
        </w:rPr>
        <w:t> </w:t>
      </w:r>
      <w:r>
        <w:rPr/>
        <w:t>as</w:t>
      </w:r>
      <w:r>
        <w:rPr>
          <w:spacing w:val="22"/>
        </w:rPr>
        <w:t> </w:t>
      </w:r>
      <w:r>
        <w:rPr/>
        <w:t>per</w:t>
      </w:r>
      <w:r>
        <w:rPr>
          <w:spacing w:val="22"/>
        </w:rPr>
        <w:t> </w:t>
      </w:r>
      <w:r>
        <w:rPr/>
        <w:t>the</w:t>
      </w:r>
      <w:r>
        <w:rPr>
          <w:spacing w:val="20"/>
        </w:rPr>
        <w:t> </w:t>
      </w:r>
      <w:r>
        <w:rPr/>
        <w:t>provisions</w:t>
      </w:r>
      <w:r>
        <w:rPr>
          <w:spacing w:val="22"/>
        </w:rPr>
        <w:t> </w:t>
      </w:r>
      <w:r>
        <w:rPr/>
        <w:t>of</w:t>
      </w:r>
      <w:r>
        <w:rPr>
          <w:spacing w:val="22"/>
        </w:rPr>
        <w:t> </w:t>
      </w:r>
      <w:r>
        <w:rPr/>
        <w:t>these</w:t>
      </w:r>
      <w:r>
        <w:rPr>
          <w:spacing w:val="22"/>
        </w:rPr>
        <w:t> </w:t>
      </w:r>
      <w:r>
        <w:rPr/>
        <w:t>Regulations,</w:t>
      </w:r>
      <w:r>
        <w:rPr>
          <w:spacing w:val="22"/>
        </w:rPr>
        <w:t> </w:t>
      </w:r>
      <w:r>
        <w:rPr/>
        <w:t>then</w:t>
      </w:r>
      <w:r>
        <w:rPr>
          <w:spacing w:val="22"/>
        </w:rPr>
        <w:t> </w:t>
      </w:r>
      <w:r>
        <w:rPr/>
        <w:t>the</w:t>
      </w:r>
      <w:r>
        <w:rPr>
          <w:spacing w:val="22"/>
        </w:rPr>
        <w:t> </w:t>
      </w:r>
      <w:r>
        <w:rPr/>
        <w:t>details</w:t>
      </w:r>
      <w:r>
        <w:rPr>
          <w:spacing w:val="22"/>
        </w:rPr>
        <w:t> </w:t>
      </w:r>
      <w:r>
        <w:rPr/>
        <w:t>such</w:t>
      </w:r>
      <w:r>
        <w:rPr>
          <w:spacing w:val="22"/>
        </w:rPr>
        <w:t> </w:t>
      </w:r>
      <w:r>
        <w:rPr>
          <w:spacing w:val="-5"/>
        </w:rPr>
        <w:t>as</w:t>
      </w:r>
    </w:p>
    <w:p>
      <w:pPr>
        <w:pStyle w:val="BodyText"/>
        <w:spacing w:after="0"/>
        <w:sectPr>
          <w:pgSz w:w="11910" w:h="16850"/>
          <w:pgMar w:header="1024" w:footer="1302" w:top="1480" w:bottom="1500" w:left="360" w:right="360"/>
        </w:sectPr>
      </w:pPr>
    </w:p>
    <w:p>
      <w:pPr>
        <w:pStyle w:val="BodyText"/>
        <w:spacing w:before="276"/>
        <w:ind w:left="1735" w:right="771"/>
      </w:pPr>
      <w:r>
        <w:rPr/>
        <w:t>built up area of amenity, number of tenements/non-residential galas, along with requirements like number of</w:t>
      </w:r>
      <w:r>
        <w:rPr>
          <w:spacing w:val="-1"/>
        </w:rPr>
        <w:t> </w:t>
      </w:r>
      <w:r>
        <w:rPr/>
        <w:t>parking with their earmarking on the</w:t>
      </w:r>
      <w:r>
        <w:rPr>
          <w:spacing w:val="-3"/>
        </w:rPr>
        <w:t> </w:t>
      </w:r>
      <w:r>
        <w:rPr/>
        <w:t>occupation</w:t>
      </w:r>
      <w:r>
        <w:rPr>
          <w:spacing w:val="-3"/>
        </w:rPr>
        <w:t> </w:t>
      </w:r>
      <w:r>
        <w:rPr/>
        <w:t>plans</w:t>
      </w:r>
      <w:r>
        <w:rPr>
          <w:spacing w:val="-3"/>
        </w:rPr>
        <w:t> </w:t>
      </w:r>
      <w:r>
        <w:rPr/>
        <w:t>and</w:t>
      </w:r>
      <w:r>
        <w:rPr>
          <w:spacing w:val="-3"/>
        </w:rPr>
        <w:t> </w:t>
      </w:r>
      <w:r>
        <w:rPr/>
        <w:t>details</w:t>
      </w:r>
      <w:r>
        <w:rPr>
          <w:spacing w:val="-3"/>
        </w:rPr>
        <w:t> </w:t>
      </w:r>
      <w:r>
        <w:rPr/>
        <w:t>Occupation/Completion</w:t>
      </w:r>
      <w:r>
        <w:rPr>
          <w:spacing w:val="-3"/>
        </w:rPr>
        <w:t> </w:t>
      </w:r>
      <w:r>
        <w:rPr/>
        <w:t>Certificate</w:t>
      </w:r>
      <w:r>
        <w:rPr>
          <w:spacing w:val="-3"/>
        </w:rPr>
        <w:t> </w:t>
      </w:r>
      <w:r>
        <w:rPr/>
        <w:t>shall be clearly mentioned in the possession receipt.</w:t>
      </w:r>
    </w:p>
    <w:p>
      <w:pPr>
        <w:pStyle w:val="BodyText"/>
        <w:jc w:val="left"/>
      </w:pPr>
    </w:p>
    <w:p>
      <w:pPr>
        <w:pStyle w:val="BodyText"/>
        <w:spacing w:before="18"/>
        <w:jc w:val="left"/>
      </w:pPr>
    </w:p>
    <w:p>
      <w:pPr>
        <w:pStyle w:val="BodyText"/>
        <w:ind w:left="777"/>
        <w:jc w:val="left"/>
      </w:pPr>
      <w:r>
        <w:rPr/>
        <w:t>On</w:t>
      </w:r>
      <w:r>
        <w:rPr>
          <w:spacing w:val="-1"/>
        </w:rPr>
        <w:t> </w:t>
      </w:r>
      <w:r>
        <w:rPr/>
        <w:t>.............................................</w:t>
      </w:r>
      <w:r>
        <w:rPr>
          <w:spacing w:val="-1"/>
        </w:rPr>
        <w:t> </w:t>
      </w:r>
      <w:r>
        <w:rPr/>
        <w:t>Day</w:t>
      </w:r>
      <w:r>
        <w:rPr>
          <w:spacing w:val="-1"/>
        </w:rPr>
        <w:t> </w:t>
      </w:r>
      <w:r>
        <w:rPr/>
        <w:t>of the</w:t>
      </w:r>
      <w:r>
        <w:rPr>
          <w:spacing w:val="-1"/>
        </w:rPr>
        <w:t> </w:t>
      </w:r>
      <w:r>
        <w:rPr/>
        <w:t>month</w:t>
      </w:r>
      <w:r>
        <w:rPr>
          <w:spacing w:val="-1"/>
        </w:rPr>
        <w:t> </w:t>
      </w:r>
      <w:r>
        <w:rPr/>
        <w:t>of </w:t>
      </w:r>
      <w:r>
        <w:rPr>
          <w:spacing w:val="-2"/>
        </w:rPr>
        <w:t>....................................</w:t>
      </w:r>
    </w:p>
    <w:p>
      <w:pPr>
        <w:pStyle w:val="BodyText"/>
        <w:jc w:val="left"/>
      </w:pPr>
    </w:p>
    <w:p>
      <w:pPr>
        <w:pStyle w:val="BodyText"/>
        <w:spacing w:before="199"/>
        <w:jc w:val="left"/>
      </w:pPr>
    </w:p>
    <w:p>
      <w:pPr>
        <w:pStyle w:val="BodyText"/>
        <w:tabs>
          <w:tab w:pos="6769" w:val="left" w:leader="none"/>
        </w:tabs>
        <w:ind w:left="777"/>
        <w:jc w:val="left"/>
      </w:pPr>
      <w:r>
        <w:rPr/>
        <w:t>Handed</w:t>
      </w:r>
      <w:r>
        <w:rPr>
          <w:spacing w:val="-3"/>
        </w:rPr>
        <w:t> </w:t>
      </w:r>
      <w:r>
        <w:rPr/>
        <w:t>over</w:t>
      </w:r>
      <w:r>
        <w:rPr>
          <w:spacing w:val="-2"/>
        </w:rPr>
        <w:t> </w:t>
      </w:r>
      <w:r>
        <w:rPr>
          <w:spacing w:val="-5"/>
        </w:rPr>
        <w:t>by</w:t>
      </w:r>
      <w:r>
        <w:rPr/>
        <w:tab/>
        <w:t>Taken</w:t>
      </w:r>
      <w:r>
        <w:rPr>
          <w:spacing w:val="-3"/>
        </w:rPr>
        <w:t> </w:t>
      </w:r>
      <w:r>
        <w:rPr/>
        <w:t>over</w:t>
      </w:r>
      <w:r>
        <w:rPr>
          <w:spacing w:val="-3"/>
        </w:rPr>
        <w:t> </w:t>
      </w:r>
      <w:r>
        <w:rPr>
          <w:spacing w:val="-5"/>
        </w:rPr>
        <w:t>by</w:t>
      </w:r>
    </w:p>
    <w:p>
      <w:pPr>
        <w:pStyle w:val="BodyText"/>
        <w:tabs>
          <w:tab w:pos="3580" w:val="left" w:leader="none"/>
          <w:tab w:pos="5328" w:val="left" w:leader="none"/>
          <w:tab w:pos="7258" w:val="left" w:leader="none"/>
        </w:tabs>
        <w:spacing w:line="446" w:lineRule="auto" w:before="240"/>
        <w:ind w:left="777" w:right="997"/>
        <w:jc w:val="left"/>
      </w:pPr>
      <w:r>
        <w:rPr/>
        <w:t>Sub/Assistant. Engineer</w:t>
        <w:tab/>
        <w:tab/>
        <w:t>Sub/Assistant Engineer Development</w:t>
      </w:r>
      <w:r>
        <w:rPr>
          <w:spacing w:val="-4"/>
        </w:rPr>
        <w:t> </w:t>
      </w:r>
      <w:r>
        <w:rPr/>
        <w:t>Plan</w:t>
      </w:r>
      <w:r>
        <w:rPr>
          <w:spacing w:val="-1"/>
        </w:rPr>
        <w:t> </w:t>
      </w:r>
      <w:r>
        <w:rPr>
          <w:spacing w:val="-10"/>
        </w:rPr>
        <w:t>(</w:t>
      </w:r>
      <w:r>
        <w:rPr/>
        <w:tab/>
      </w:r>
      <w:r>
        <w:rPr>
          <w:spacing w:val="-2"/>
        </w:rPr>
        <w:t>Ward)</w:t>
      </w:r>
      <w:r>
        <w:rPr/>
        <w:tab/>
        <w:t>Assistant</w:t>
      </w:r>
      <w:r>
        <w:rPr>
          <w:spacing w:val="-2"/>
        </w:rPr>
        <w:t> </w:t>
      </w:r>
      <w:r>
        <w:rPr/>
        <w:t>Commissioner (Estates) / </w:t>
      </w:r>
      <w:r>
        <w:rPr>
          <w:spacing w:val="-4"/>
        </w:rPr>
        <w:t>Ward</w:t>
      </w:r>
    </w:p>
    <w:p>
      <w:pPr>
        <w:pStyle w:val="BodyText"/>
        <w:spacing w:after="0" w:line="446" w:lineRule="auto"/>
        <w:jc w:val="left"/>
        <w:sectPr>
          <w:pgSz w:w="11910" w:h="16850"/>
          <w:pgMar w:header="1024" w:footer="1302" w:top="1480" w:bottom="1500" w:left="360" w:right="360"/>
        </w:sectPr>
      </w:pPr>
    </w:p>
    <w:p>
      <w:pPr>
        <w:pStyle w:val="BodyText"/>
        <w:spacing w:before="11"/>
        <w:jc w:val="left"/>
        <w:rPr>
          <w:sz w:val="14"/>
        </w:rPr>
      </w:pPr>
    </w:p>
    <w:p>
      <w:pPr>
        <w:pStyle w:val="BodyText"/>
        <w:spacing w:after="0"/>
        <w:jc w:val="left"/>
        <w:rPr>
          <w:sz w:val="14"/>
        </w:rPr>
        <w:sectPr>
          <w:pgSz w:w="11910" w:h="16850"/>
          <w:pgMar w:header="1024" w:footer="1302" w:top="1480" w:bottom="1500" w:left="360" w:right="360"/>
        </w:sectPr>
      </w:pPr>
    </w:p>
    <w:p>
      <w:pPr>
        <w:pStyle w:val="BodyText"/>
        <w:jc w:val="left"/>
      </w:pPr>
    </w:p>
    <w:p>
      <w:pPr>
        <w:pStyle w:val="BodyText"/>
        <w:jc w:val="left"/>
      </w:pPr>
    </w:p>
    <w:p>
      <w:pPr>
        <w:pStyle w:val="BodyText"/>
        <w:spacing w:before="179"/>
        <w:jc w:val="left"/>
      </w:pPr>
    </w:p>
    <w:p>
      <w:pPr>
        <w:pStyle w:val="BodyText"/>
        <w:ind w:left="777"/>
        <w:jc w:val="left"/>
      </w:pPr>
      <w:r>
        <w:rPr/>
        <w:t>Particulars of </w:t>
      </w:r>
      <w:r>
        <w:rPr>
          <w:spacing w:val="-2"/>
        </w:rPr>
        <w:t>Development</w:t>
      </w:r>
    </w:p>
    <w:p>
      <w:pPr>
        <w:pStyle w:val="Heading4"/>
        <w:spacing w:before="100"/>
        <w:ind w:right="3935"/>
      </w:pPr>
      <w:r>
        <w:rPr>
          <w:b w:val="0"/>
        </w:rPr>
        <w:br w:type="column"/>
      </w:r>
      <w:r>
        <w:rPr/>
        <w:t>ANNEXURE</w:t>
      </w:r>
      <w:r>
        <w:rPr>
          <w:spacing w:val="-4"/>
        </w:rPr>
        <w:t> </w:t>
      </w:r>
      <w:r>
        <w:rPr/>
        <w:t>-</w:t>
      </w:r>
      <w:r>
        <w:rPr>
          <w:spacing w:val="-3"/>
        </w:rPr>
        <w:t> </w:t>
      </w:r>
      <w:r>
        <w:rPr>
          <w:spacing w:val="-10"/>
        </w:rPr>
        <w:t>1</w:t>
      </w:r>
    </w:p>
    <w:p>
      <w:pPr>
        <w:pStyle w:val="BodyText"/>
        <w:spacing w:before="239"/>
        <w:ind w:right="3935"/>
        <w:jc w:val="center"/>
      </w:pPr>
      <w:r>
        <w:rPr/>
        <w:t>(Part</w:t>
      </w:r>
      <w:r>
        <w:rPr>
          <w:spacing w:val="-2"/>
        </w:rPr>
        <w:t> </w:t>
      </w:r>
      <w:r>
        <w:rPr/>
        <w:t>of</w:t>
      </w:r>
      <w:r>
        <w:rPr>
          <w:spacing w:val="-1"/>
        </w:rPr>
        <w:t> </w:t>
      </w:r>
      <w:r>
        <w:rPr/>
        <w:t>Appendix</w:t>
      </w:r>
      <w:r>
        <w:rPr>
          <w:spacing w:val="-2"/>
        </w:rPr>
        <w:t> </w:t>
      </w:r>
      <w:r>
        <w:rPr/>
        <w:t>II</w:t>
      </w:r>
      <w:r>
        <w:rPr>
          <w:spacing w:val="-2"/>
        </w:rPr>
        <w:t> </w:t>
      </w:r>
      <w:r>
        <w:rPr/>
        <w:t>Item</w:t>
      </w:r>
      <w:r>
        <w:rPr>
          <w:spacing w:val="-1"/>
        </w:rPr>
        <w:t> </w:t>
      </w:r>
      <w:r>
        <w:rPr>
          <w:spacing w:val="-5"/>
        </w:rPr>
        <w:t>5)</w:t>
      </w:r>
    </w:p>
    <w:p>
      <w:pPr>
        <w:pStyle w:val="BodyText"/>
        <w:spacing w:after="0"/>
        <w:jc w:val="center"/>
        <w:sectPr>
          <w:type w:val="continuous"/>
          <w:pgSz w:w="11910" w:h="16850"/>
          <w:pgMar w:header="1024" w:footer="1302" w:top="1360" w:bottom="280" w:left="360" w:right="360"/>
          <w:cols w:num="2" w:equalWidth="0">
            <w:col w:w="3951" w:space="40"/>
            <w:col w:w="7199"/>
          </w:cols>
        </w:sectPr>
      </w:pPr>
    </w:p>
    <w:p>
      <w:pPr>
        <w:pStyle w:val="ListParagraph"/>
        <w:numPr>
          <w:ilvl w:val="0"/>
          <w:numId w:val="353"/>
        </w:numPr>
        <w:tabs>
          <w:tab w:pos="1074" w:val="left" w:leader="none"/>
          <w:tab w:pos="1930" w:val="left" w:leader="none"/>
          <w:tab w:pos="4589" w:val="left" w:leader="none"/>
        </w:tabs>
        <w:spacing w:line="343" w:lineRule="auto" w:before="119" w:after="0"/>
        <w:ind w:left="1930" w:right="1795" w:hanging="1153"/>
        <w:jc w:val="left"/>
        <w:rPr>
          <w:sz w:val="24"/>
        </w:rPr>
      </w:pPr>
      <w:r>
        <w:rPr>
          <w:sz w:val="24"/>
        </w:rPr>
        <w:t>(a) (i)Applicant's Full Name</w:t>
      </w:r>
      <w:r>
        <w:rPr>
          <w:spacing w:val="40"/>
          <w:sz w:val="24"/>
        </w:rPr>
        <w:t> </w:t>
      </w:r>
      <w:r>
        <w:rPr>
          <w:sz w:val="24"/>
        </w:rPr>
        <w:t>…………………………………………………… (in block letters)</w:t>
        <w:tab/>
      </w:r>
      <w:r>
        <w:rPr>
          <w:spacing w:val="-2"/>
          <w:sz w:val="24"/>
        </w:rPr>
        <w:t>……………………………………………………</w:t>
      </w:r>
    </w:p>
    <w:p>
      <w:pPr>
        <w:pStyle w:val="BodyText"/>
        <w:tabs>
          <w:tab w:pos="4185" w:val="left" w:leader="none"/>
        </w:tabs>
        <w:spacing w:line="280" w:lineRule="exact"/>
        <w:ind w:left="1378"/>
        <w:jc w:val="left"/>
      </w:pPr>
      <w:r>
        <w:rPr/>
        <w:t>(ii)Applicant's </w:t>
      </w:r>
      <w:r>
        <w:rPr>
          <w:spacing w:val="-2"/>
        </w:rPr>
        <w:t>address</w:t>
      </w:r>
      <w:r>
        <w:rPr/>
        <w:tab/>
      </w:r>
      <w:r>
        <w:rPr>
          <w:spacing w:val="-2"/>
        </w:rPr>
        <w:t>……………………………………………………………..</w:t>
      </w:r>
    </w:p>
    <w:p>
      <w:pPr>
        <w:tabs>
          <w:tab w:pos="2222" w:val="left" w:leader="none"/>
          <w:tab w:pos="2862" w:val="left" w:leader="none"/>
          <w:tab w:pos="3930" w:val="left" w:leader="none"/>
          <w:tab w:pos="4354" w:val="left" w:leader="none"/>
          <w:tab w:pos="5513" w:val="left" w:leader="none"/>
          <w:tab w:pos="8703" w:val="left" w:leader="none"/>
          <w:tab w:pos="9045" w:val="left" w:leader="none"/>
          <w:tab w:pos="9600" w:val="left" w:leader="none"/>
          <w:tab w:pos="10235" w:val="left" w:leader="none"/>
        </w:tabs>
        <w:spacing w:line="276" w:lineRule="auto" w:before="119"/>
        <w:ind w:left="1378" w:right="727" w:hanging="360"/>
        <w:jc w:val="left"/>
        <w:rPr>
          <w:sz w:val="22"/>
        </w:rPr>
      </w:pPr>
      <w:r>
        <w:rPr>
          <w:sz w:val="22"/>
        </w:rPr>
        <w:t>(a) Name</w:t>
        <w:tab/>
      </w:r>
      <w:r>
        <w:rPr>
          <w:spacing w:val="-4"/>
          <w:sz w:val="22"/>
        </w:rPr>
        <w:t>and</w:t>
      </w:r>
      <w:r>
        <w:rPr>
          <w:sz w:val="22"/>
        </w:rPr>
        <w:tab/>
      </w:r>
      <w:r>
        <w:rPr>
          <w:spacing w:val="-2"/>
          <w:sz w:val="22"/>
        </w:rPr>
        <w:t>address</w:t>
      </w:r>
      <w:r>
        <w:rPr>
          <w:sz w:val="22"/>
        </w:rPr>
        <w:tab/>
      </w:r>
      <w:r>
        <w:rPr>
          <w:spacing w:val="-6"/>
          <w:sz w:val="22"/>
        </w:rPr>
        <w:t>of</w:t>
      </w:r>
      <w:r>
        <w:rPr>
          <w:sz w:val="22"/>
        </w:rPr>
        <w:tab/>
      </w:r>
      <w:r>
        <w:rPr>
          <w:spacing w:val="-2"/>
          <w:sz w:val="22"/>
        </w:rPr>
        <w:t>Licensed</w:t>
      </w:r>
      <w:r>
        <w:rPr>
          <w:sz w:val="22"/>
        </w:rPr>
        <w:tab/>
      </w:r>
      <w:r>
        <w:rPr>
          <w:spacing w:val="-62"/>
          <w:sz w:val="22"/>
        </w:rPr>
        <w:t> </w:t>
      </w:r>
      <w:r>
        <w:rPr>
          <w:spacing w:val="-2"/>
          <w:sz w:val="22"/>
        </w:rPr>
        <w:t>Surveyor/Engineer/Structural</w:t>
      </w:r>
      <w:r>
        <w:rPr>
          <w:sz w:val="22"/>
        </w:rPr>
        <w:tab/>
      </w:r>
      <w:r>
        <w:rPr>
          <w:spacing w:val="-2"/>
          <w:sz w:val="22"/>
        </w:rPr>
        <w:t>Engineer</w:t>
      </w:r>
      <w:r>
        <w:rPr>
          <w:sz w:val="22"/>
        </w:rPr>
        <w:tab/>
      </w:r>
      <w:r>
        <w:rPr>
          <w:spacing w:val="-6"/>
          <w:sz w:val="22"/>
        </w:rPr>
        <w:t>o</w:t>
      </w:r>
      <w:r>
        <w:rPr>
          <w:spacing w:val="-6"/>
          <w:sz w:val="22"/>
        </w:rPr>
        <w:t>r</w:t>
      </w:r>
      <w:r>
        <w:rPr>
          <w:spacing w:val="-6"/>
          <w:sz w:val="22"/>
        </w:rPr>
        <w:t> </w:t>
      </w:r>
      <w:r>
        <w:rPr>
          <w:spacing w:val="-2"/>
          <w:sz w:val="22"/>
        </w:rPr>
        <w:t>Supervisor/Architect</w:t>
      </w:r>
      <w:r>
        <w:rPr>
          <w:sz w:val="22"/>
        </w:rPr>
        <w:tab/>
        <w:tab/>
        <w:tab/>
      </w:r>
      <w:r>
        <w:rPr>
          <w:spacing w:val="-2"/>
          <w:sz w:val="22"/>
        </w:rPr>
        <w:t>employed/Professionals</w:t>
      </w:r>
      <w:r>
        <w:rPr>
          <w:sz w:val="22"/>
        </w:rPr>
        <w:tab/>
      </w:r>
      <w:r>
        <w:rPr>
          <w:spacing w:val="-5"/>
          <w:sz w:val="22"/>
        </w:rPr>
        <w:t>on</w:t>
      </w:r>
      <w:r>
        <w:rPr>
          <w:sz w:val="22"/>
        </w:rPr>
        <w:tab/>
        <w:tab/>
      </w:r>
      <w:r>
        <w:rPr>
          <w:spacing w:val="-2"/>
          <w:sz w:val="22"/>
        </w:rPr>
        <w:t>Record</w:t>
      </w:r>
      <w:r>
        <w:rPr>
          <w:spacing w:val="-2"/>
          <w:sz w:val="22"/>
        </w:rPr>
        <w:t>s</w:t>
      </w:r>
    </w:p>
    <w:p>
      <w:pPr>
        <w:spacing w:before="2"/>
        <w:ind w:left="1378" w:right="0" w:firstLine="0"/>
        <w:jc w:val="left"/>
        <w:rPr>
          <w:sz w:val="22"/>
        </w:rPr>
      </w:pPr>
      <w:r>
        <w:rPr>
          <w:spacing w:val="-2"/>
          <w:sz w:val="22"/>
        </w:rPr>
        <w:t>……………………………………………….</w:t>
      </w:r>
    </w:p>
    <w:p>
      <w:pPr>
        <w:spacing w:before="159"/>
        <w:ind w:left="0" w:right="268" w:firstLine="0"/>
        <w:jc w:val="center"/>
        <w:rPr>
          <w:sz w:val="24"/>
        </w:rPr>
      </w:pPr>
      <w:r>
        <w:rPr>
          <w:spacing w:val="-2"/>
          <w:sz w:val="24"/>
        </w:rPr>
        <w:t>…………………………………………………………………………………………</w:t>
      </w:r>
    </w:p>
    <w:p>
      <w:pPr>
        <w:pStyle w:val="ListParagraph"/>
        <w:numPr>
          <w:ilvl w:val="0"/>
          <w:numId w:val="354"/>
        </w:numPr>
        <w:tabs>
          <w:tab w:pos="268" w:val="left" w:leader="none"/>
        </w:tabs>
        <w:spacing w:line="240" w:lineRule="auto" w:before="119" w:after="0"/>
        <w:ind w:left="268" w:right="210" w:hanging="268"/>
        <w:jc w:val="center"/>
        <w:rPr>
          <w:sz w:val="24"/>
        </w:rPr>
      </w:pPr>
      <w:r>
        <w:rPr>
          <w:sz w:val="24"/>
        </w:rPr>
        <w:t>No.</w:t>
      </w:r>
      <w:r>
        <w:rPr>
          <w:spacing w:val="-1"/>
          <w:sz w:val="24"/>
        </w:rPr>
        <w:t> </w:t>
      </w:r>
      <w:r>
        <w:rPr>
          <w:sz w:val="24"/>
        </w:rPr>
        <w:t>and</w:t>
      </w:r>
      <w:r>
        <w:rPr>
          <w:spacing w:val="-1"/>
          <w:sz w:val="24"/>
        </w:rPr>
        <w:t> </w:t>
      </w:r>
      <w:r>
        <w:rPr>
          <w:sz w:val="24"/>
        </w:rPr>
        <w:t>date</w:t>
      </w:r>
      <w:r>
        <w:rPr>
          <w:spacing w:val="-1"/>
          <w:sz w:val="24"/>
        </w:rPr>
        <w:t> </w:t>
      </w:r>
      <w:r>
        <w:rPr>
          <w:sz w:val="24"/>
        </w:rPr>
        <w:t>of issue</w:t>
      </w:r>
      <w:r>
        <w:rPr>
          <w:spacing w:val="-1"/>
          <w:sz w:val="24"/>
        </w:rPr>
        <w:t> </w:t>
      </w:r>
      <w:r>
        <w:rPr>
          <w:sz w:val="24"/>
        </w:rPr>
        <w:t>of</w:t>
      </w:r>
      <w:r>
        <w:rPr>
          <w:spacing w:val="-1"/>
          <w:sz w:val="24"/>
        </w:rPr>
        <w:t> </w:t>
      </w:r>
      <w:r>
        <w:rPr>
          <w:sz w:val="24"/>
        </w:rPr>
        <w:t>license</w:t>
      </w:r>
      <w:r>
        <w:rPr>
          <w:spacing w:val="-1"/>
          <w:sz w:val="24"/>
        </w:rPr>
        <w:t> </w:t>
      </w:r>
      <w:r>
        <w:rPr>
          <w:sz w:val="24"/>
        </w:rPr>
        <w:t>……………….. Valid</w:t>
      </w:r>
      <w:r>
        <w:rPr>
          <w:spacing w:val="-1"/>
          <w:sz w:val="24"/>
        </w:rPr>
        <w:t> </w:t>
      </w:r>
      <w:r>
        <w:rPr>
          <w:sz w:val="24"/>
        </w:rPr>
        <w:t>up</w:t>
      </w:r>
      <w:r>
        <w:rPr>
          <w:spacing w:val="-1"/>
          <w:sz w:val="24"/>
        </w:rPr>
        <w:t> </w:t>
      </w:r>
      <w:r>
        <w:rPr>
          <w:sz w:val="24"/>
        </w:rPr>
        <w:t>to </w:t>
      </w:r>
      <w:r>
        <w:rPr>
          <w:spacing w:val="-2"/>
          <w:sz w:val="24"/>
        </w:rPr>
        <w:t>……………………</w:t>
      </w:r>
    </w:p>
    <w:p>
      <w:pPr>
        <w:pStyle w:val="ListParagraph"/>
        <w:numPr>
          <w:ilvl w:val="0"/>
          <w:numId w:val="353"/>
        </w:numPr>
        <w:tabs>
          <w:tab w:pos="1066" w:val="left" w:leader="none"/>
          <w:tab w:pos="1138" w:val="left" w:leader="none"/>
        </w:tabs>
        <w:spacing w:line="240" w:lineRule="auto" w:before="120" w:after="0"/>
        <w:ind w:left="1138" w:right="726" w:hanging="361"/>
        <w:jc w:val="both"/>
        <w:rPr>
          <w:sz w:val="24"/>
        </w:rPr>
      </w:pPr>
      <w:r>
        <w:rPr>
          <w:sz w:val="24"/>
        </w:rPr>
        <w:t>Is</w:t>
      </w:r>
      <w:r>
        <w:rPr>
          <w:spacing w:val="-10"/>
          <w:sz w:val="24"/>
        </w:rPr>
        <w:t> </w:t>
      </w:r>
      <w:r>
        <w:rPr>
          <w:sz w:val="24"/>
        </w:rPr>
        <w:t>the</w:t>
      </w:r>
      <w:r>
        <w:rPr>
          <w:spacing w:val="-10"/>
          <w:sz w:val="24"/>
        </w:rPr>
        <w:t> </w:t>
      </w:r>
      <w:r>
        <w:rPr>
          <w:sz w:val="24"/>
        </w:rPr>
        <w:t>plot</w:t>
      </w:r>
      <w:r>
        <w:rPr>
          <w:spacing w:val="-10"/>
          <w:sz w:val="24"/>
        </w:rPr>
        <w:t> </w:t>
      </w:r>
      <w:r>
        <w:rPr>
          <w:sz w:val="24"/>
        </w:rPr>
        <w:t>affected</w:t>
      </w:r>
      <w:r>
        <w:rPr>
          <w:spacing w:val="-10"/>
          <w:sz w:val="24"/>
        </w:rPr>
        <w:t> </w:t>
      </w:r>
      <w:r>
        <w:rPr>
          <w:sz w:val="24"/>
        </w:rPr>
        <w:t>by</w:t>
      </w:r>
      <w:r>
        <w:rPr>
          <w:spacing w:val="-10"/>
          <w:sz w:val="24"/>
        </w:rPr>
        <w:t> </w:t>
      </w:r>
      <w:r>
        <w:rPr>
          <w:sz w:val="24"/>
        </w:rPr>
        <w:t>any</w:t>
      </w:r>
      <w:r>
        <w:rPr>
          <w:spacing w:val="-10"/>
          <w:sz w:val="24"/>
        </w:rPr>
        <w:t> </w:t>
      </w:r>
      <w:r>
        <w:rPr>
          <w:sz w:val="24"/>
        </w:rPr>
        <w:t>reservation</w:t>
      </w:r>
      <w:r>
        <w:rPr>
          <w:spacing w:val="-10"/>
          <w:sz w:val="24"/>
        </w:rPr>
        <w:t> </w:t>
      </w:r>
      <w:r>
        <w:rPr>
          <w:sz w:val="24"/>
        </w:rPr>
        <w:t>or</w:t>
      </w:r>
      <w:r>
        <w:rPr>
          <w:spacing w:val="-10"/>
          <w:sz w:val="24"/>
        </w:rPr>
        <w:t> </w:t>
      </w:r>
      <w:r>
        <w:rPr>
          <w:sz w:val="24"/>
        </w:rPr>
        <w:t>road</w:t>
      </w:r>
      <w:r>
        <w:rPr>
          <w:spacing w:val="-10"/>
          <w:sz w:val="24"/>
        </w:rPr>
        <w:t> </w:t>
      </w:r>
      <w:r>
        <w:rPr>
          <w:sz w:val="24"/>
        </w:rPr>
        <w:t>lines?</w:t>
      </w:r>
      <w:r>
        <w:rPr>
          <w:spacing w:val="-10"/>
          <w:sz w:val="24"/>
        </w:rPr>
        <w:t> </w:t>
      </w:r>
      <w:r>
        <w:rPr>
          <w:sz w:val="24"/>
        </w:rPr>
        <w:t>If</w:t>
      </w:r>
      <w:r>
        <w:rPr>
          <w:spacing w:val="-10"/>
          <w:sz w:val="24"/>
        </w:rPr>
        <w:t> </w:t>
      </w:r>
      <w:r>
        <w:rPr>
          <w:sz w:val="24"/>
        </w:rPr>
        <w:t>so,</w:t>
      </w:r>
      <w:r>
        <w:rPr>
          <w:spacing w:val="-10"/>
          <w:sz w:val="24"/>
        </w:rPr>
        <w:t> </w:t>
      </w:r>
      <w:r>
        <w:rPr>
          <w:sz w:val="24"/>
        </w:rPr>
        <w:t>are</w:t>
      </w:r>
      <w:r>
        <w:rPr>
          <w:spacing w:val="-10"/>
          <w:sz w:val="24"/>
        </w:rPr>
        <w:t> </w:t>
      </w:r>
      <w:r>
        <w:rPr>
          <w:sz w:val="24"/>
        </w:rPr>
        <w:t>these</w:t>
      </w:r>
      <w:r>
        <w:rPr>
          <w:spacing w:val="-10"/>
          <w:sz w:val="24"/>
        </w:rPr>
        <w:t> </w:t>
      </w:r>
      <w:r>
        <w:rPr>
          <w:sz w:val="24"/>
        </w:rPr>
        <w:t>correctly</w:t>
      </w:r>
      <w:r>
        <w:rPr>
          <w:spacing w:val="-10"/>
          <w:sz w:val="24"/>
        </w:rPr>
        <w:t> </w:t>
      </w:r>
      <w:r>
        <w:rPr>
          <w:sz w:val="24"/>
        </w:rPr>
        <w:t>and clearly marked on the block plan?</w:t>
      </w:r>
    </w:p>
    <w:p>
      <w:pPr>
        <w:pStyle w:val="ListParagraph"/>
        <w:numPr>
          <w:ilvl w:val="0"/>
          <w:numId w:val="353"/>
        </w:numPr>
        <w:tabs>
          <w:tab w:pos="997" w:val="left" w:leader="none"/>
        </w:tabs>
        <w:spacing w:line="240" w:lineRule="auto" w:before="120" w:after="0"/>
        <w:ind w:left="997" w:right="0" w:hanging="220"/>
        <w:jc w:val="both"/>
        <w:rPr>
          <w:sz w:val="24"/>
        </w:rPr>
      </w:pPr>
      <w:r>
        <w:rPr>
          <w:sz w:val="24"/>
        </w:rPr>
        <w:t>*(a)What</w:t>
      </w:r>
      <w:r>
        <w:rPr>
          <w:spacing w:val="-1"/>
          <w:sz w:val="24"/>
        </w:rPr>
        <w:t> </w:t>
      </w:r>
      <w:r>
        <w:rPr>
          <w:sz w:val="24"/>
        </w:rPr>
        <w:t>is the</w:t>
      </w:r>
      <w:r>
        <w:rPr>
          <w:spacing w:val="-1"/>
          <w:sz w:val="24"/>
        </w:rPr>
        <w:t> </w:t>
      </w:r>
      <w:r>
        <w:rPr>
          <w:sz w:val="24"/>
        </w:rPr>
        <w:t>total</w:t>
      </w:r>
      <w:r>
        <w:rPr>
          <w:spacing w:val="-1"/>
          <w:sz w:val="24"/>
        </w:rPr>
        <w:t> </w:t>
      </w:r>
      <w:r>
        <w:rPr>
          <w:sz w:val="24"/>
        </w:rPr>
        <w:t>area of</w:t>
      </w:r>
      <w:r>
        <w:rPr>
          <w:spacing w:val="-1"/>
          <w:sz w:val="24"/>
        </w:rPr>
        <w:t> </w:t>
      </w:r>
      <w:r>
        <w:rPr>
          <w:sz w:val="24"/>
        </w:rPr>
        <w:t>the plot according</w:t>
      </w:r>
      <w:r>
        <w:rPr>
          <w:spacing w:val="-1"/>
          <w:sz w:val="24"/>
        </w:rPr>
        <w:t> </w:t>
      </w:r>
      <w:r>
        <w:rPr>
          <w:sz w:val="24"/>
        </w:rPr>
        <w:t>to the </w:t>
      </w:r>
      <w:r>
        <w:rPr>
          <w:spacing w:val="-2"/>
          <w:sz w:val="24"/>
        </w:rPr>
        <w:t>document?</w:t>
      </w:r>
    </w:p>
    <w:p>
      <w:pPr>
        <w:pStyle w:val="BodyText"/>
        <w:spacing w:before="122"/>
        <w:ind w:left="1018"/>
      </w:pPr>
      <w:r>
        <w:rPr/>
        <w:t>*(b)Does</w:t>
      </w:r>
      <w:r>
        <w:rPr>
          <w:spacing w:val="-1"/>
        </w:rPr>
        <w:t> </w:t>
      </w:r>
      <w:r>
        <w:rPr/>
        <w:t>it tally</w:t>
      </w:r>
      <w:r>
        <w:rPr>
          <w:spacing w:val="-1"/>
        </w:rPr>
        <w:t> </w:t>
      </w:r>
      <w:r>
        <w:rPr/>
        <w:t>with the</w:t>
      </w:r>
      <w:r>
        <w:rPr>
          <w:spacing w:val="-1"/>
        </w:rPr>
        <w:t> </w:t>
      </w:r>
      <w:r>
        <w:rPr/>
        <w:t>Collector's </w:t>
      </w:r>
      <w:r>
        <w:rPr>
          <w:spacing w:val="-2"/>
        </w:rPr>
        <w:t>record?</w:t>
      </w:r>
    </w:p>
    <w:p>
      <w:pPr>
        <w:pStyle w:val="BodyText"/>
        <w:spacing w:before="119"/>
        <w:ind w:left="1498" w:right="731" w:hanging="480"/>
      </w:pPr>
      <w:r>
        <w:rPr/>
        <w:t>*(c) What is the actual area available on site measured by the licensed surveyor/architect/engineer/supervisor or architect?</w:t>
      </w:r>
    </w:p>
    <w:p>
      <w:pPr>
        <w:pStyle w:val="ListParagraph"/>
        <w:numPr>
          <w:ilvl w:val="0"/>
          <w:numId w:val="354"/>
        </w:numPr>
        <w:tabs>
          <w:tab w:pos="1430" w:val="left" w:leader="none"/>
          <w:tab w:pos="1498" w:val="left" w:leader="none"/>
        </w:tabs>
        <w:spacing w:line="240" w:lineRule="auto" w:before="121" w:after="0"/>
        <w:ind w:left="1498" w:right="728" w:hanging="360"/>
        <w:jc w:val="both"/>
        <w:rPr>
          <w:sz w:val="24"/>
        </w:rPr>
      </w:pPr>
      <w:r>
        <w:rPr>
          <w:sz w:val="24"/>
        </w:rPr>
        <w:t>If there is any deduction in the original area of the plot on account of road lines or reservation? Please state the total area of such deductions.</w:t>
      </w:r>
    </w:p>
    <w:p>
      <w:pPr>
        <w:pStyle w:val="ListParagraph"/>
        <w:numPr>
          <w:ilvl w:val="0"/>
          <w:numId w:val="354"/>
        </w:numPr>
        <w:tabs>
          <w:tab w:pos="1483" w:val="left" w:leader="none"/>
        </w:tabs>
        <w:spacing w:line="240" w:lineRule="auto" w:before="118" w:after="0"/>
        <w:ind w:left="1483" w:right="0" w:hanging="345"/>
        <w:jc w:val="both"/>
        <w:rPr>
          <w:sz w:val="24"/>
        </w:rPr>
      </w:pPr>
      <w:r>
        <w:rPr>
          <w:sz w:val="24"/>
        </w:rPr>
        <w:t>If so, what</w:t>
      </w:r>
      <w:r>
        <w:rPr>
          <w:spacing w:val="1"/>
          <w:sz w:val="24"/>
        </w:rPr>
        <w:t> </w:t>
      </w:r>
      <w:r>
        <w:rPr>
          <w:sz w:val="24"/>
        </w:rPr>
        <w:t>is the</w:t>
      </w:r>
      <w:r>
        <w:rPr>
          <w:spacing w:val="-3"/>
          <w:sz w:val="24"/>
        </w:rPr>
        <w:t> </w:t>
      </w:r>
      <w:r>
        <w:rPr>
          <w:sz w:val="24"/>
        </w:rPr>
        <w:t>net</w:t>
      </w:r>
      <w:r>
        <w:rPr>
          <w:spacing w:val="1"/>
          <w:sz w:val="24"/>
        </w:rPr>
        <w:t> </w:t>
      </w:r>
      <w:r>
        <w:rPr>
          <w:spacing w:val="-2"/>
          <w:sz w:val="24"/>
        </w:rPr>
        <w:t>area?</w:t>
      </w:r>
    </w:p>
    <w:p>
      <w:pPr>
        <w:pStyle w:val="ListParagraph"/>
        <w:numPr>
          <w:ilvl w:val="0"/>
          <w:numId w:val="354"/>
        </w:numPr>
        <w:tabs>
          <w:tab w:pos="1498" w:val="left" w:leader="none"/>
        </w:tabs>
        <w:spacing w:line="240" w:lineRule="auto" w:before="121" w:after="0"/>
        <w:ind w:left="1498" w:right="723" w:hanging="360"/>
        <w:jc w:val="both"/>
        <w:rPr>
          <w:sz w:val="24"/>
        </w:rPr>
      </w:pPr>
      <w:r>
        <w:rPr>
          <w:sz w:val="24"/>
        </w:rPr>
        <w:t>Is the clearance under Urban Land (Ceiling and Regulations) Act, 1976 obtained? If so, what is the area allowed for development?</w:t>
      </w:r>
      <w:r>
        <w:rPr>
          <w:spacing w:val="40"/>
          <w:sz w:val="24"/>
        </w:rPr>
        <w:t> </w:t>
      </w:r>
      <w:r>
        <w:rPr>
          <w:sz w:val="24"/>
        </w:rPr>
        <w:t>Clearance under Urban Land (Ceiling and Regulations) Act, 1976 else an undertaking.</w:t>
      </w:r>
    </w:p>
    <w:p>
      <w:pPr>
        <w:pStyle w:val="BodyText"/>
        <w:spacing w:line="340" w:lineRule="auto" w:before="120"/>
        <w:ind w:left="777" w:right="1679"/>
      </w:pPr>
      <w:r>
        <w:rPr/>
        <w:t>*Permission will be based on the minimum of areas in (a), (c) or (f) above. Note.</w:t>
      </w:r>
      <w:r>
        <w:rPr>
          <w:spacing w:val="-2"/>
        </w:rPr>
        <w:t> </w:t>
      </w:r>
      <w:r>
        <w:rPr/>
        <w:t>-INDICATE</w:t>
      </w:r>
      <w:r>
        <w:rPr>
          <w:spacing w:val="-1"/>
        </w:rPr>
        <w:t> </w:t>
      </w:r>
      <w:r>
        <w:rPr/>
        <w:t>DETAILS</w:t>
      </w:r>
      <w:r>
        <w:rPr>
          <w:spacing w:val="-1"/>
        </w:rPr>
        <w:t> </w:t>
      </w:r>
      <w:r>
        <w:rPr/>
        <w:t>ON</w:t>
      </w:r>
      <w:r>
        <w:rPr>
          <w:spacing w:val="-1"/>
        </w:rPr>
        <w:t> </w:t>
      </w:r>
      <w:r>
        <w:rPr/>
        <w:t>THE</w:t>
      </w:r>
      <w:r>
        <w:rPr>
          <w:spacing w:val="-1"/>
        </w:rPr>
        <w:t> </w:t>
      </w:r>
      <w:r>
        <w:rPr/>
        <w:t>SITE/BUILDING</w:t>
      </w:r>
      <w:r>
        <w:rPr>
          <w:spacing w:val="-1"/>
        </w:rPr>
        <w:t> </w:t>
      </w:r>
      <w:r>
        <w:rPr/>
        <w:t>PLAN</w:t>
      </w:r>
      <w:r>
        <w:rPr>
          <w:spacing w:val="-1"/>
        </w:rPr>
        <w:t> </w:t>
      </w:r>
      <w:r>
        <w:rPr/>
        <w:t>AS</w:t>
      </w:r>
      <w:r>
        <w:rPr>
          <w:spacing w:val="-1"/>
        </w:rPr>
        <w:t> </w:t>
      </w:r>
      <w:r>
        <w:rPr/>
        <w:t>IN</w:t>
      </w:r>
      <w:r>
        <w:rPr>
          <w:spacing w:val="-1"/>
        </w:rPr>
        <w:t> </w:t>
      </w:r>
      <w:r>
        <w:rPr/>
        <w:t>FORM</w:t>
      </w:r>
      <w:r>
        <w:rPr>
          <w:spacing w:val="-1"/>
        </w:rPr>
        <w:t> </w:t>
      </w:r>
      <w:r>
        <w:rPr>
          <w:spacing w:val="-5"/>
        </w:rPr>
        <w:t>1.</w:t>
      </w:r>
    </w:p>
    <w:p>
      <w:pPr>
        <w:pStyle w:val="ListParagraph"/>
        <w:numPr>
          <w:ilvl w:val="0"/>
          <w:numId w:val="353"/>
        </w:numPr>
        <w:tabs>
          <w:tab w:pos="997" w:val="left" w:leader="none"/>
        </w:tabs>
        <w:spacing w:line="240" w:lineRule="auto" w:before="4" w:after="0"/>
        <w:ind w:left="997" w:right="0" w:hanging="220"/>
        <w:jc w:val="both"/>
        <w:rPr>
          <w:sz w:val="24"/>
        </w:rPr>
      </w:pPr>
      <w:r>
        <w:rPr>
          <w:sz w:val="24"/>
        </w:rPr>
        <w:t>Are</w:t>
      </w:r>
      <w:r>
        <w:rPr>
          <w:spacing w:val="-1"/>
          <w:sz w:val="24"/>
        </w:rPr>
        <w:t> </w:t>
      </w:r>
      <w:r>
        <w:rPr>
          <w:sz w:val="24"/>
        </w:rPr>
        <w:t>all</w:t>
      </w:r>
      <w:r>
        <w:rPr>
          <w:spacing w:val="-1"/>
          <w:sz w:val="24"/>
        </w:rPr>
        <w:t> </w:t>
      </w:r>
      <w:r>
        <w:rPr>
          <w:sz w:val="24"/>
        </w:rPr>
        <w:t>plans</w:t>
      </w:r>
      <w:r>
        <w:rPr>
          <w:spacing w:val="-1"/>
          <w:sz w:val="24"/>
        </w:rPr>
        <w:t> </w:t>
      </w:r>
      <w:r>
        <w:rPr>
          <w:sz w:val="24"/>
        </w:rPr>
        <w:t>as</w:t>
      </w:r>
      <w:r>
        <w:rPr>
          <w:spacing w:val="-1"/>
          <w:sz w:val="24"/>
        </w:rPr>
        <w:t> </w:t>
      </w:r>
      <w:r>
        <w:rPr>
          <w:sz w:val="24"/>
        </w:rPr>
        <w:t>required</w:t>
      </w:r>
      <w:r>
        <w:rPr>
          <w:spacing w:val="-1"/>
          <w:sz w:val="24"/>
        </w:rPr>
        <w:t> </w:t>
      </w:r>
      <w:r>
        <w:rPr>
          <w:sz w:val="24"/>
        </w:rPr>
        <w:t>under</w:t>
      </w:r>
      <w:r>
        <w:rPr>
          <w:spacing w:val="-1"/>
          <w:sz w:val="24"/>
        </w:rPr>
        <w:t> </w:t>
      </w:r>
      <w:r>
        <w:rPr>
          <w:sz w:val="24"/>
        </w:rPr>
        <w:t>Regulations</w:t>
      </w:r>
      <w:r>
        <w:rPr>
          <w:spacing w:val="-1"/>
          <w:sz w:val="24"/>
        </w:rPr>
        <w:t> </w:t>
      </w:r>
      <w:r>
        <w:rPr>
          <w:sz w:val="24"/>
        </w:rPr>
        <w:t>10(3) </w:t>
      </w:r>
      <w:r>
        <w:rPr>
          <w:spacing w:val="-2"/>
          <w:sz w:val="24"/>
        </w:rPr>
        <w:t>enclosed?</w:t>
      </w:r>
    </w:p>
    <w:p>
      <w:pPr>
        <w:pStyle w:val="ListParagraph"/>
        <w:numPr>
          <w:ilvl w:val="0"/>
          <w:numId w:val="353"/>
        </w:numPr>
        <w:tabs>
          <w:tab w:pos="1074" w:val="left" w:leader="none"/>
          <w:tab w:pos="1498" w:val="left" w:leader="none"/>
        </w:tabs>
        <w:spacing w:line="240" w:lineRule="auto" w:before="119" w:after="0"/>
        <w:ind w:left="1498" w:right="724" w:hanging="721"/>
        <w:jc w:val="both"/>
        <w:rPr>
          <w:sz w:val="24"/>
        </w:rPr>
      </w:pPr>
      <w:r>
        <w:rPr>
          <w:sz w:val="24"/>
        </w:rPr>
        <w:t>(a)</w:t>
      </w:r>
      <w:r>
        <w:rPr>
          <w:spacing w:val="57"/>
          <w:sz w:val="24"/>
        </w:rPr>
        <w:t> </w:t>
      </w:r>
      <w:r>
        <w:rPr>
          <w:sz w:val="24"/>
        </w:rPr>
        <w:t>Is</w:t>
      </w:r>
      <w:r>
        <w:rPr>
          <w:spacing w:val="-17"/>
          <w:sz w:val="24"/>
        </w:rPr>
        <w:t> </w:t>
      </w:r>
      <w:r>
        <w:rPr>
          <w:sz w:val="24"/>
        </w:rPr>
        <w:t>the</w:t>
      </w:r>
      <w:r>
        <w:rPr>
          <w:spacing w:val="-17"/>
          <w:sz w:val="24"/>
        </w:rPr>
        <w:t> </w:t>
      </w:r>
      <w:r>
        <w:rPr>
          <w:sz w:val="24"/>
        </w:rPr>
        <w:t>plot</w:t>
      </w:r>
      <w:r>
        <w:rPr>
          <w:spacing w:val="-17"/>
          <w:sz w:val="24"/>
        </w:rPr>
        <w:t> </w:t>
      </w:r>
      <w:r>
        <w:rPr>
          <w:sz w:val="24"/>
        </w:rPr>
        <w:t>part</w:t>
      </w:r>
      <w:r>
        <w:rPr>
          <w:spacing w:val="-17"/>
          <w:sz w:val="24"/>
        </w:rPr>
        <w:t> </w:t>
      </w:r>
      <w:r>
        <w:rPr>
          <w:sz w:val="24"/>
        </w:rPr>
        <w:t>of</w:t>
      </w:r>
      <w:r>
        <w:rPr>
          <w:spacing w:val="-17"/>
          <w:sz w:val="24"/>
        </w:rPr>
        <w:t> </w:t>
      </w:r>
      <w:r>
        <w:rPr>
          <w:sz w:val="24"/>
        </w:rPr>
        <w:t>a</w:t>
      </w:r>
      <w:r>
        <w:rPr>
          <w:spacing w:val="-17"/>
          <w:sz w:val="24"/>
        </w:rPr>
        <w:t> </w:t>
      </w:r>
      <w:r>
        <w:rPr>
          <w:sz w:val="24"/>
        </w:rPr>
        <w:t>city</w:t>
      </w:r>
      <w:r>
        <w:rPr>
          <w:spacing w:val="-17"/>
          <w:sz w:val="24"/>
        </w:rPr>
        <w:t> </w:t>
      </w:r>
      <w:r>
        <w:rPr>
          <w:sz w:val="24"/>
        </w:rPr>
        <w:t>triangulation</w:t>
      </w:r>
      <w:r>
        <w:rPr>
          <w:spacing w:val="-17"/>
          <w:sz w:val="24"/>
        </w:rPr>
        <w:t> </w:t>
      </w:r>
      <w:r>
        <w:rPr>
          <w:sz w:val="24"/>
        </w:rPr>
        <w:t>survey</w:t>
      </w:r>
      <w:r>
        <w:rPr>
          <w:spacing w:val="-17"/>
          <w:sz w:val="24"/>
        </w:rPr>
        <w:t> </w:t>
      </w:r>
      <w:r>
        <w:rPr>
          <w:sz w:val="24"/>
        </w:rPr>
        <w:t>number,</w:t>
      </w:r>
      <w:r>
        <w:rPr>
          <w:spacing w:val="-17"/>
          <w:sz w:val="24"/>
        </w:rPr>
        <w:t> </w:t>
      </w:r>
      <w:r>
        <w:rPr>
          <w:sz w:val="24"/>
        </w:rPr>
        <w:t>revenue</w:t>
      </w:r>
      <w:r>
        <w:rPr>
          <w:spacing w:val="-14"/>
          <w:sz w:val="24"/>
        </w:rPr>
        <w:t> </w:t>
      </w:r>
      <w:r>
        <w:rPr>
          <w:sz w:val="24"/>
        </w:rPr>
        <w:t>survey</w:t>
      </w:r>
      <w:r>
        <w:rPr>
          <w:spacing w:val="-17"/>
          <w:sz w:val="24"/>
        </w:rPr>
        <w:t> </w:t>
      </w:r>
      <w:r>
        <w:rPr>
          <w:sz w:val="24"/>
        </w:rPr>
        <w:t>number or hissa number or a final plot number (city survey number) of a Town Planning Schemes or a part of an approved layout?</w:t>
      </w:r>
    </w:p>
    <w:p>
      <w:pPr>
        <w:pStyle w:val="BodyText"/>
        <w:spacing w:before="120"/>
        <w:ind w:left="777"/>
      </w:pPr>
      <w:r>
        <w:rPr/>
        <w:t>(b)</w:t>
      </w:r>
      <w:r>
        <w:rPr>
          <w:spacing w:val="64"/>
        </w:rPr>
        <w:t>   </w:t>
      </w:r>
      <w:r>
        <w:rPr/>
        <w:t>Please</w:t>
      </w:r>
      <w:r>
        <w:rPr>
          <w:spacing w:val="-1"/>
        </w:rPr>
        <w:t> </w:t>
      </w:r>
      <w:r>
        <w:rPr/>
        <w:t>state</w:t>
      </w:r>
      <w:r>
        <w:rPr>
          <w:spacing w:val="-1"/>
        </w:rPr>
        <w:t> </w:t>
      </w:r>
      <w:r>
        <w:rPr/>
        <w:t>sanction</w:t>
      </w:r>
      <w:r>
        <w:rPr>
          <w:spacing w:val="-1"/>
        </w:rPr>
        <w:t> </w:t>
      </w:r>
      <w:r>
        <w:rPr/>
        <w:t>number</w:t>
      </w:r>
      <w:r>
        <w:rPr>
          <w:spacing w:val="-1"/>
        </w:rPr>
        <w:t> </w:t>
      </w:r>
      <w:r>
        <w:rPr/>
        <w:t>and date</w:t>
      </w:r>
      <w:r>
        <w:rPr>
          <w:spacing w:val="-1"/>
        </w:rPr>
        <w:t> </w:t>
      </w:r>
      <w:r>
        <w:rPr/>
        <w:t>of</w:t>
      </w:r>
      <w:r>
        <w:rPr>
          <w:spacing w:val="-1"/>
        </w:rPr>
        <w:t> </w:t>
      </w:r>
      <w:r>
        <w:rPr/>
        <w:t>sub-</w:t>
      </w:r>
      <w:r>
        <w:rPr>
          <w:spacing w:val="-2"/>
        </w:rPr>
        <w:t>division/layout.</w:t>
      </w:r>
    </w:p>
    <w:p>
      <w:pPr>
        <w:pStyle w:val="ListParagraph"/>
        <w:numPr>
          <w:ilvl w:val="0"/>
          <w:numId w:val="353"/>
        </w:numPr>
        <w:tabs>
          <w:tab w:pos="1074" w:val="left" w:leader="none"/>
        </w:tabs>
        <w:spacing w:line="240" w:lineRule="auto" w:before="122" w:after="0"/>
        <w:ind w:left="1074" w:right="0" w:hanging="297"/>
        <w:jc w:val="both"/>
        <w:rPr>
          <w:sz w:val="24"/>
        </w:rPr>
      </w:pPr>
      <w:r>
        <w:rPr>
          <w:sz w:val="24"/>
        </w:rPr>
        <w:t>(a)</w:t>
      </w:r>
      <w:r>
        <w:rPr>
          <w:spacing w:val="60"/>
          <w:sz w:val="24"/>
        </w:rPr>
        <w:t> </w:t>
      </w:r>
      <w:r>
        <w:rPr>
          <w:sz w:val="24"/>
        </w:rPr>
        <w:t>In what zone</w:t>
      </w:r>
      <w:r>
        <w:rPr>
          <w:spacing w:val="-1"/>
          <w:sz w:val="24"/>
        </w:rPr>
        <w:t> </w:t>
      </w:r>
      <w:r>
        <w:rPr>
          <w:sz w:val="24"/>
        </w:rPr>
        <w:t>does the plot </w:t>
      </w:r>
      <w:r>
        <w:rPr>
          <w:spacing w:val="-2"/>
          <w:sz w:val="24"/>
        </w:rPr>
        <w:t>fall?</w:t>
      </w:r>
    </w:p>
    <w:p>
      <w:pPr>
        <w:pStyle w:val="ListParagraph"/>
        <w:numPr>
          <w:ilvl w:val="0"/>
          <w:numId w:val="355"/>
        </w:numPr>
        <w:tabs>
          <w:tab w:pos="1497" w:val="left" w:leader="none"/>
        </w:tabs>
        <w:spacing w:line="240" w:lineRule="auto" w:before="119" w:after="0"/>
        <w:ind w:left="1497" w:right="0" w:hanging="720"/>
        <w:jc w:val="both"/>
        <w:rPr>
          <w:sz w:val="24"/>
        </w:rPr>
      </w:pPr>
      <w:r>
        <w:rPr>
          <w:sz w:val="24"/>
        </w:rPr>
        <w:t>What</w:t>
      </w:r>
      <w:r>
        <w:rPr>
          <w:spacing w:val="-1"/>
          <w:sz w:val="24"/>
        </w:rPr>
        <w:t> </w:t>
      </w:r>
      <w:r>
        <w:rPr>
          <w:sz w:val="24"/>
        </w:rPr>
        <w:t>is the permissible Floor Space Index of the </w:t>
      </w:r>
      <w:r>
        <w:rPr>
          <w:spacing w:val="-2"/>
          <w:sz w:val="24"/>
        </w:rPr>
        <w:t>Zone?</w:t>
      </w:r>
    </w:p>
    <w:p>
      <w:pPr>
        <w:pStyle w:val="ListParagraph"/>
        <w:numPr>
          <w:ilvl w:val="0"/>
          <w:numId w:val="355"/>
        </w:numPr>
        <w:tabs>
          <w:tab w:pos="854" w:val="left" w:leader="none"/>
          <w:tab w:pos="1497" w:val="left" w:leader="none"/>
        </w:tabs>
        <w:spacing w:line="343" w:lineRule="auto" w:before="119" w:after="0"/>
        <w:ind w:left="854" w:right="978" w:hanging="77"/>
        <w:jc w:val="both"/>
        <w:rPr>
          <w:sz w:val="24"/>
        </w:rPr>
      </w:pPr>
      <w:r>
        <w:rPr>
          <w:sz w:val="24"/>
        </w:rPr>
        <w:t>What</w:t>
      </w:r>
      <w:r>
        <w:rPr>
          <w:spacing w:val="-3"/>
          <w:sz w:val="24"/>
        </w:rPr>
        <w:t> </w:t>
      </w:r>
      <w:r>
        <w:rPr>
          <w:sz w:val="24"/>
        </w:rPr>
        <w:t>is</w:t>
      </w:r>
      <w:r>
        <w:rPr>
          <w:spacing w:val="-3"/>
          <w:sz w:val="24"/>
        </w:rPr>
        <w:t> </w:t>
      </w:r>
      <w:r>
        <w:rPr>
          <w:sz w:val="24"/>
        </w:rPr>
        <w:t>the</w:t>
      </w:r>
      <w:r>
        <w:rPr>
          <w:spacing w:val="-3"/>
          <w:sz w:val="24"/>
        </w:rPr>
        <w:t> </w:t>
      </w:r>
      <w:r>
        <w:rPr>
          <w:sz w:val="24"/>
        </w:rPr>
        <w:t>number</w:t>
      </w:r>
      <w:r>
        <w:rPr>
          <w:spacing w:val="-3"/>
          <w:sz w:val="24"/>
        </w:rPr>
        <w:t> </w:t>
      </w:r>
      <w:r>
        <w:rPr>
          <w:sz w:val="24"/>
        </w:rPr>
        <w:t>of</w:t>
      </w:r>
      <w:r>
        <w:rPr>
          <w:spacing w:val="-3"/>
          <w:sz w:val="24"/>
        </w:rPr>
        <w:t> </w:t>
      </w:r>
      <w:r>
        <w:rPr>
          <w:sz w:val="24"/>
        </w:rPr>
        <w:t>tenements</w:t>
      </w:r>
      <w:r>
        <w:rPr>
          <w:spacing w:val="-3"/>
          <w:sz w:val="24"/>
        </w:rPr>
        <w:t> </w:t>
      </w:r>
      <w:r>
        <w:rPr>
          <w:sz w:val="24"/>
        </w:rPr>
        <w:t>per</w:t>
      </w:r>
      <w:r>
        <w:rPr>
          <w:spacing w:val="-3"/>
          <w:sz w:val="24"/>
        </w:rPr>
        <w:t> </w:t>
      </w:r>
      <w:r>
        <w:rPr>
          <w:sz w:val="24"/>
        </w:rPr>
        <w:t>net</w:t>
      </w:r>
      <w:r>
        <w:rPr>
          <w:spacing w:val="-3"/>
          <w:sz w:val="24"/>
        </w:rPr>
        <w:t> </w:t>
      </w:r>
      <w:r>
        <w:rPr>
          <w:sz w:val="24"/>
        </w:rPr>
        <w:t>hectare</w:t>
      </w:r>
      <w:r>
        <w:rPr>
          <w:spacing w:val="-3"/>
          <w:sz w:val="24"/>
        </w:rPr>
        <w:t> </w:t>
      </w:r>
      <w:r>
        <w:rPr>
          <w:sz w:val="24"/>
        </w:rPr>
        <w:t>permissible</w:t>
      </w:r>
      <w:r>
        <w:rPr>
          <w:spacing w:val="-3"/>
          <w:sz w:val="24"/>
        </w:rPr>
        <w:t> </w:t>
      </w:r>
      <w:r>
        <w:rPr>
          <w:sz w:val="24"/>
        </w:rPr>
        <w:t>in</w:t>
      </w:r>
      <w:r>
        <w:rPr>
          <w:spacing w:val="-3"/>
          <w:sz w:val="24"/>
        </w:rPr>
        <w:t> </w:t>
      </w:r>
      <w:r>
        <w:rPr>
          <w:sz w:val="24"/>
        </w:rPr>
        <w:t>the</w:t>
      </w:r>
      <w:r>
        <w:rPr>
          <w:spacing w:val="-3"/>
          <w:sz w:val="24"/>
        </w:rPr>
        <w:t> </w:t>
      </w:r>
      <w:r>
        <w:rPr>
          <w:sz w:val="24"/>
        </w:rPr>
        <w:t>zone? 7(a)</w:t>
      </w:r>
      <w:r>
        <w:rPr>
          <w:spacing w:val="80"/>
          <w:w w:val="150"/>
          <w:sz w:val="24"/>
        </w:rPr>
        <w:t> </w:t>
      </w:r>
      <w:r>
        <w:rPr>
          <w:sz w:val="24"/>
        </w:rPr>
        <w:t>Is the use of every room in the proposed work marked on the plans?</w:t>
      </w:r>
    </w:p>
    <w:p>
      <w:pPr>
        <w:pStyle w:val="ListParagraph"/>
        <w:numPr>
          <w:ilvl w:val="0"/>
          <w:numId w:val="356"/>
        </w:numPr>
        <w:tabs>
          <w:tab w:pos="1497" w:val="left" w:leader="none"/>
        </w:tabs>
        <w:spacing w:line="280" w:lineRule="exact" w:before="0" w:after="0"/>
        <w:ind w:left="1497" w:right="0" w:hanging="720"/>
        <w:jc w:val="both"/>
        <w:rPr>
          <w:sz w:val="24"/>
        </w:rPr>
      </w:pPr>
      <w:r>
        <w:rPr>
          <w:sz w:val="24"/>
        </w:rPr>
        <w:t>Is</w:t>
      </w:r>
      <w:r>
        <w:rPr>
          <w:spacing w:val="-3"/>
          <w:sz w:val="24"/>
        </w:rPr>
        <w:t> </w:t>
      </w:r>
      <w:r>
        <w:rPr>
          <w:sz w:val="24"/>
        </w:rPr>
        <w:t>it</w:t>
      </w:r>
      <w:r>
        <w:rPr>
          <w:spacing w:val="-1"/>
          <w:sz w:val="24"/>
        </w:rPr>
        <w:t> </w:t>
      </w:r>
      <w:r>
        <w:rPr>
          <w:sz w:val="24"/>
        </w:rPr>
        <w:t>in accordance</w:t>
      </w:r>
      <w:r>
        <w:rPr>
          <w:spacing w:val="-1"/>
          <w:sz w:val="24"/>
        </w:rPr>
        <w:t> </w:t>
      </w:r>
      <w:r>
        <w:rPr>
          <w:sz w:val="24"/>
        </w:rPr>
        <w:t>with</w:t>
      </w:r>
      <w:r>
        <w:rPr>
          <w:spacing w:val="-1"/>
          <w:sz w:val="24"/>
        </w:rPr>
        <w:t> </w:t>
      </w:r>
      <w:r>
        <w:rPr>
          <w:sz w:val="24"/>
        </w:rPr>
        <w:t>the </w:t>
      </w:r>
      <w:r>
        <w:rPr>
          <w:spacing w:val="-2"/>
          <w:sz w:val="24"/>
        </w:rPr>
        <w:t>Regulations?</w:t>
      </w:r>
    </w:p>
    <w:p>
      <w:pPr>
        <w:pStyle w:val="ListParagraph"/>
        <w:spacing w:after="0" w:line="280" w:lineRule="exact"/>
        <w:jc w:val="both"/>
        <w:rPr>
          <w:sz w:val="24"/>
        </w:rPr>
        <w:sectPr>
          <w:type w:val="continuous"/>
          <w:pgSz w:w="11910" w:h="16850"/>
          <w:pgMar w:header="1024" w:footer="1302" w:top="1360" w:bottom="280" w:left="360" w:right="360"/>
        </w:sectPr>
      </w:pPr>
    </w:p>
    <w:p>
      <w:pPr>
        <w:pStyle w:val="ListParagraph"/>
        <w:numPr>
          <w:ilvl w:val="0"/>
          <w:numId w:val="356"/>
        </w:numPr>
        <w:tabs>
          <w:tab w:pos="1497" w:val="left" w:leader="none"/>
        </w:tabs>
        <w:spacing w:line="240" w:lineRule="auto" w:before="276" w:after="0"/>
        <w:ind w:left="1497" w:right="0" w:hanging="720"/>
        <w:jc w:val="both"/>
        <w:rPr>
          <w:sz w:val="24"/>
        </w:rPr>
      </w:pPr>
      <w:r>
        <w:rPr>
          <w:sz w:val="24"/>
        </w:rPr>
        <w:t>Does</w:t>
      </w:r>
      <w:r>
        <w:rPr>
          <w:spacing w:val="-1"/>
          <w:sz w:val="24"/>
        </w:rPr>
        <w:t> </w:t>
      </w:r>
      <w:r>
        <w:rPr>
          <w:sz w:val="24"/>
        </w:rPr>
        <w:t>the building fall in the category </w:t>
      </w:r>
      <w:r>
        <w:rPr>
          <w:spacing w:val="-5"/>
          <w:sz w:val="24"/>
        </w:rPr>
        <w:t>of-</w:t>
      </w:r>
    </w:p>
    <w:p>
      <w:pPr>
        <w:pStyle w:val="ListParagraph"/>
        <w:numPr>
          <w:ilvl w:val="1"/>
          <w:numId w:val="356"/>
        </w:numPr>
        <w:tabs>
          <w:tab w:pos="1867" w:val="left" w:leader="none"/>
        </w:tabs>
        <w:spacing w:line="240" w:lineRule="auto" w:before="119" w:after="0"/>
        <w:ind w:left="1867" w:right="0" w:hanging="369"/>
        <w:jc w:val="both"/>
        <w:rPr>
          <w:sz w:val="24"/>
        </w:rPr>
      </w:pPr>
      <w:r>
        <w:rPr>
          <w:sz w:val="24"/>
        </w:rPr>
        <w:t>Special</w:t>
      </w:r>
      <w:r>
        <w:rPr>
          <w:spacing w:val="-2"/>
          <w:sz w:val="24"/>
        </w:rPr>
        <w:t> </w:t>
      </w:r>
      <w:r>
        <w:rPr>
          <w:sz w:val="24"/>
        </w:rPr>
        <w:t>building</w:t>
      </w:r>
      <w:r>
        <w:rPr>
          <w:spacing w:val="-1"/>
          <w:sz w:val="24"/>
        </w:rPr>
        <w:t> </w:t>
      </w:r>
      <w:r>
        <w:rPr>
          <w:sz w:val="24"/>
        </w:rPr>
        <w:t>as</w:t>
      </w:r>
      <w:r>
        <w:rPr>
          <w:spacing w:val="-1"/>
          <w:sz w:val="24"/>
        </w:rPr>
        <w:t> </w:t>
      </w:r>
      <w:r>
        <w:rPr>
          <w:sz w:val="24"/>
        </w:rPr>
        <w:t>defined</w:t>
      </w:r>
      <w:r>
        <w:rPr>
          <w:spacing w:val="-1"/>
          <w:sz w:val="24"/>
        </w:rPr>
        <w:t> </w:t>
      </w:r>
      <w:r>
        <w:rPr>
          <w:sz w:val="24"/>
        </w:rPr>
        <w:t>in</w:t>
      </w:r>
      <w:r>
        <w:rPr>
          <w:spacing w:val="-1"/>
          <w:sz w:val="24"/>
        </w:rPr>
        <w:t> </w:t>
      </w:r>
      <w:r>
        <w:rPr>
          <w:sz w:val="24"/>
        </w:rPr>
        <w:t>Regulations</w:t>
      </w:r>
      <w:r>
        <w:rPr>
          <w:spacing w:val="-1"/>
          <w:sz w:val="24"/>
        </w:rPr>
        <w:t> </w:t>
      </w:r>
      <w:r>
        <w:rPr>
          <w:spacing w:val="-2"/>
          <w:sz w:val="24"/>
        </w:rPr>
        <w:t>2(iv)(17)(n)</w:t>
      </w:r>
    </w:p>
    <w:p>
      <w:pPr>
        <w:pStyle w:val="ListParagraph"/>
        <w:numPr>
          <w:ilvl w:val="1"/>
          <w:numId w:val="356"/>
        </w:numPr>
        <w:tabs>
          <w:tab w:pos="1862" w:val="left" w:leader="none"/>
        </w:tabs>
        <w:spacing w:line="240" w:lineRule="auto" w:before="121" w:after="0"/>
        <w:ind w:left="1862" w:right="0" w:hanging="364"/>
        <w:jc w:val="both"/>
        <w:rPr>
          <w:sz w:val="24"/>
        </w:rPr>
      </w:pPr>
      <w:r>
        <w:rPr>
          <w:sz w:val="24"/>
        </w:rPr>
        <w:t>High</w:t>
      </w:r>
      <w:r>
        <w:rPr>
          <w:spacing w:val="-2"/>
          <w:sz w:val="24"/>
        </w:rPr>
        <w:t> </w:t>
      </w:r>
      <w:r>
        <w:rPr>
          <w:sz w:val="24"/>
        </w:rPr>
        <w:t>rise</w:t>
      </w:r>
      <w:r>
        <w:rPr>
          <w:spacing w:val="-1"/>
          <w:sz w:val="24"/>
        </w:rPr>
        <w:t> </w:t>
      </w:r>
      <w:r>
        <w:rPr>
          <w:sz w:val="24"/>
        </w:rPr>
        <w:t>building</w:t>
      </w:r>
      <w:r>
        <w:rPr>
          <w:spacing w:val="-1"/>
          <w:sz w:val="24"/>
        </w:rPr>
        <w:t> </w:t>
      </w:r>
      <w:r>
        <w:rPr>
          <w:sz w:val="24"/>
        </w:rPr>
        <w:t>as</w:t>
      </w:r>
      <w:r>
        <w:rPr>
          <w:spacing w:val="-2"/>
          <w:sz w:val="24"/>
        </w:rPr>
        <w:t> </w:t>
      </w:r>
      <w:r>
        <w:rPr>
          <w:sz w:val="24"/>
        </w:rPr>
        <w:t>defined</w:t>
      </w:r>
      <w:r>
        <w:rPr>
          <w:spacing w:val="-1"/>
          <w:sz w:val="24"/>
        </w:rPr>
        <w:t> </w:t>
      </w:r>
      <w:r>
        <w:rPr>
          <w:sz w:val="24"/>
        </w:rPr>
        <w:t>in</w:t>
      </w:r>
      <w:r>
        <w:rPr>
          <w:spacing w:val="-1"/>
          <w:sz w:val="24"/>
        </w:rPr>
        <w:t> </w:t>
      </w:r>
      <w:r>
        <w:rPr>
          <w:sz w:val="24"/>
        </w:rPr>
        <w:t>Regulations</w:t>
      </w:r>
      <w:r>
        <w:rPr>
          <w:spacing w:val="-1"/>
          <w:sz w:val="24"/>
        </w:rPr>
        <w:t> </w:t>
      </w:r>
      <w:r>
        <w:rPr>
          <w:spacing w:val="-2"/>
          <w:sz w:val="24"/>
        </w:rPr>
        <w:t>2(iv76</w:t>
      </w:r>
    </w:p>
    <w:p>
      <w:pPr>
        <w:pStyle w:val="BodyText"/>
        <w:spacing w:before="119"/>
        <w:ind w:left="777"/>
      </w:pPr>
      <w:r>
        <w:rPr/>
        <w:t>8</w:t>
      </w:r>
      <w:r>
        <w:rPr>
          <w:spacing w:val="36"/>
        </w:rPr>
        <w:t>  </w:t>
      </w:r>
      <w:r>
        <w:rPr/>
        <w:t>If</w:t>
      </w:r>
      <w:r>
        <w:rPr>
          <w:spacing w:val="-2"/>
        </w:rPr>
        <w:t> </w:t>
      </w:r>
      <w:r>
        <w:rPr/>
        <w:t>the</w:t>
      </w:r>
      <w:r>
        <w:rPr>
          <w:spacing w:val="-1"/>
        </w:rPr>
        <w:t> </w:t>
      </w:r>
      <w:r>
        <w:rPr/>
        <w:t>work</w:t>
      </w:r>
      <w:r>
        <w:rPr>
          <w:spacing w:val="-2"/>
        </w:rPr>
        <w:t> </w:t>
      </w:r>
      <w:r>
        <w:rPr/>
        <w:t>is</w:t>
      </w:r>
      <w:r>
        <w:rPr>
          <w:spacing w:val="-2"/>
        </w:rPr>
        <w:t> </w:t>
      </w:r>
      <w:r>
        <w:rPr/>
        <w:t>in</w:t>
      </w:r>
      <w:r>
        <w:rPr>
          <w:spacing w:val="-1"/>
        </w:rPr>
        <w:t> </w:t>
      </w:r>
      <w:r>
        <w:rPr/>
        <w:t>connection</w:t>
      </w:r>
      <w:r>
        <w:rPr>
          <w:spacing w:val="-2"/>
        </w:rPr>
        <w:t> </w:t>
      </w:r>
      <w:r>
        <w:rPr/>
        <w:t>with</w:t>
      </w:r>
      <w:r>
        <w:rPr>
          <w:spacing w:val="-1"/>
        </w:rPr>
        <w:t> </w:t>
      </w:r>
      <w:r>
        <w:rPr/>
        <w:t>an</w:t>
      </w:r>
      <w:r>
        <w:rPr>
          <w:spacing w:val="-2"/>
        </w:rPr>
        <w:t> industry-</w:t>
      </w:r>
    </w:p>
    <w:p>
      <w:pPr>
        <w:pStyle w:val="ListParagraph"/>
        <w:numPr>
          <w:ilvl w:val="0"/>
          <w:numId w:val="357"/>
        </w:numPr>
        <w:tabs>
          <w:tab w:pos="1382" w:val="left" w:leader="none"/>
        </w:tabs>
        <w:spacing w:line="240" w:lineRule="auto" w:before="122" w:after="0"/>
        <w:ind w:left="1382" w:right="0" w:hanging="364"/>
        <w:jc w:val="both"/>
        <w:rPr>
          <w:sz w:val="24"/>
        </w:rPr>
      </w:pPr>
      <w:r>
        <w:rPr>
          <w:sz w:val="24"/>
        </w:rPr>
        <w:t>Please</w:t>
      </w:r>
      <w:r>
        <w:rPr>
          <w:spacing w:val="-1"/>
          <w:sz w:val="24"/>
        </w:rPr>
        <w:t> </w:t>
      </w:r>
      <w:r>
        <w:rPr>
          <w:sz w:val="24"/>
        </w:rPr>
        <w:t>briefly</w:t>
      </w:r>
      <w:r>
        <w:rPr>
          <w:spacing w:val="-1"/>
          <w:sz w:val="24"/>
        </w:rPr>
        <w:t> </w:t>
      </w:r>
      <w:r>
        <w:rPr>
          <w:sz w:val="24"/>
        </w:rPr>
        <w:t>describe</w:t>
      </w:r>
      <w:r>
        <w:rPr>
          <w:spacing w:val="-1"/>
          <w:sz w:val="24"/>
        </w:rPr>
        <w:t> </w:t>
      </w:r>
      <w:r>
        <w:rPr>
          <w:sz w:val="24"/>
        </w:rPr>
        <w:t>the main</w:t>
      </w:r>
      <w:r>
        <w:rPr>
          <w:spacing w:val="-1"/>
          <w:sz w:val="24"/>
        </w:rPr>
        <w:t> </w:t>
      </w:r>
      <w:r>
        <w:rPr>
          <w:sz w:val="24"/>
        </w:rPr>
        <w:t>and</w:t>
      </w:r>
      <w:r>
        <w:rPr>
          <w:spacing w:val="-1"/>
          <w:sz w:val="24"/>
        </w:rPr>
        <w:t> </w:t>
      </w:r>
      <w:r>
        <w:rPr>
          <w:sz w:val="24"/>
        </w:rPr>
        <w:t>accessory </w:t>
      </w:r>
      <w:r>
        <w:rPr>
          <w:spacing w:val="-2"/>
          <w:sz w:val="24"/>
        </w:rPr>
        <w:t>processes.</w:t>
      </w:r>
    </w:p>
    <w:p>
      <w:pPr>
        <w:pStyle w:val="ListParagraph"/>
        <w:numPr>
          <w:ilvl w:val="0"/>
          <w:numId w:val="357"/>
        </w:numPr>
        <w:tabs>
          <w:tab w:pos="1258" w:val="left" w:leader="none"/>
          <w:tab w:pos="1329" w:val="left" w:leader="none"/>
        </w:tabs>
        <w:spacing w:line="240" w:lineRule="auto" w:before="119" w:after="0"/>
        <w:ind w:left="1258" w:right="728" w:hanging="240"/>
        <w:jc w:val="both"/>
        <w:rPr>
          <w:sz w:val="24"/>
        </w:rPr>
      </w:pPr>
      <w:r>
        <w:rPr>
          <w:sz w:val="24"/>
        </w:rPr>
        <w:tab/>
        <w:t>Please state the maximum number of workmen and the total KW likely to be employed per shift in the factory.</w:t>
      </w:r>
    </w:p>
    <w:p>
      <w:pPr>
        <w:pStyle w:val="ListParagraph"/>
        <w:numPr>
          <w:ilvl w:val="0"/>
          <w:numId w:val="357"/>
        </w:numPr>
        <w:tabs>
          <w:tab w:pos="1258" w:val="left" w:leader="none"/>
          <w:tab w:pos="1384" w:val="left" w:leader="none"/>
        </w:tabs>
        <w:spacing w:line="240" w:lineRule="auto" w:before="120" w:after="0"/>
        <w:ind w:left="1258" w:right="727" w:hanging="240"/>
        <w:jc w:val="both"/>
        <w:rPr>
          <w:sz w:val="24"/>
        </w:rPr>
      </w:pPr>
      <w:r>
        <w:rPr>
          <w:sz w:val="24"/>
        </w:rPr>
        <w:tab/>
        <w:t>Under what industrial classification does it fall? (Reference to relevant Regulation should be given).</w:t>
      </w:r>
    </w:p>
    <w:p>
      <w:pPr>
        <w:pStyle w:val="ListParagraph"/>
        <w:numPr>
          <w:ilvl w:val="0"/>
          <w:numId w:val="357"/>
        </w:numPr>
        <w:tabs>
          <w:tab w:pos="1258" w:val="left" w:leader="none"/>
          <w:tab w:pos="1317" w:val="left" w:leader="none"/>
        </w:tabs>
        <w:spacing w:line="240" w:lineRule="auto" w:before="121" w:after="0"/>
        <w:ind w:left="1258" w:right="729" w:hanging="240"/>
        <w:jc w:val="both"/>
        <w:rPr>
          <w:sz w:val="24"/>
        </w:rPr>
      </w:pPr>
      <w:r>
        <w:rPr>
          <w:sz w:val="24"/>
        </w:rPr>
        <w:t>Is</w:t>
      </w:r>
      <w:r>
        <w:rPr>
          <w:spacing w:val="40"/>
          <w:sz w:val="24"/>
        </w:rPr>
        <w:t> </w:t>
      </w:r>
      <w:r>
        <w:rPr>
          <w:sz w:val="24"/>
        </w:rPr>
        <w:t>the proposal for relocation of an existing industry? If so, give the name and address of the existing industry.</w:t>
      </w:r>
    </w:p>
    <w:p>
      <w:pPr>
        <w:pStyle w:val="BodyText"/>
        <w:spacing w:before="119"/>
        <w:ind w:left="777"/>
      </w:pPr>
      <w:r>
        <w:rPr/>
        <w:t>Note.</w:t>
      </w:r>
      <w:r>
        <w:rPr>
          <w:spacing w:val="-2"/>
        </w:rPr>
        <w:t> </w:t>
      </w:r>
      <w:r>
        <w:rPr/>
        <w:t>-</w:t>
      </w:r>
      <w:r>
        <w:rPr>
          <w:spacing w:val="-1"/>
        </w:rPr>
        <w:t> </w:t>
      </w:r>
      <w:r>
        <w:rPr/>
        <w:t>The</w:t>
      </w:r>
      <w:r>
        <w:rPr>
          <w:spacing w:val="-1"/>
        </w:rPr>
        <w:t> </w:t>
      </w:r>
      <w:r>
        <w:rPr/>
        <w:t>permission</w:t>
      </w:r>
      <w:r>
        <w:rPr>
          <w:spacing w:val="-1"/>
        </w:rPr>
        <w:t> </w:t>
      </w:r>
      <w:r>
        <w:rPr/>
        <w:t>will</w:t>
      </w:r>
      <w:r>
        <w:rPr>
          <w:spacing w:val="-1"/>
        </w:rPr>
        <w:t> </w:t>
      </w:r>
      <w:r>
        <w:rPr/>
        <w:t>be</w:t>
      </w:r>
      <w:r>
        <w:rPr>
          <w:spacing w:val="-1"/>
        </w:rPr>
        <w:t> </w:t>
      </w:r>
      <w:r>
        <w:rPr/>
        <w:t>based</w:t>
      </w:r>
      <w:r>
        <w:rPr>
          <w:spacing w:val="-2"/>
        </w:rPr>
        <w:t> </w:t>
      </w:r>
      <w:r>
        <w:rPr/>
        <w:t>on</w:t>
      </w:r>
      <w:r>
        <w:rPr>
          <w:spacing w:val="-1"/>
        </w:rPr>
        <w:t> </w:t>
      </w:r>
      <w:r>
        <w:rPr/>
        <w:t>the</w:t>
      </w:r>
      <w:r>
        <w:rPr>
          <w:spacing w:val="-1"/>
        </w:rPr>
        <w:t> </w:t>
      </w:r>
      <w:r>
        <w:rPr/>
        <w:t>area</w:t>
      </w:r>
      <w:r>
        <w:rPr>
          <w:spacing w:val="-1"/>
        </w:rPr>
        <w:t> </w:t>
      </w:r>
      <w:r>
        <w:rPr/>
        <w:t>which</w:t>
      </w:r>
      <w:r>
        <w:rPr>
          <w:spacing w:val="-1"/>
        </w:rPr>
        <w:t> </w:t>
      </w:r>
      <w:r>
        <w:rPr/>
        <w:t>is</w:t>
      </w:r>
      <w:r>
        <w:rPr>
          <w:spacing w:val="-1"/>
        </w:rPr>
        <w:t> </w:t>
      </w:r>
      <w:r>
        <w:rPr>
          <w:spacing w:val="-2"/>
        </w:rPr>
        <w:t>minimum.</w:t>
      </w:r>
    </w:p>
    <w:p>
      <w:pPr>
        <w:pStyle w:val="ListParagraph"/>
        <w:numPr>
          <w:ilvl w:val="0"/>
          <w:numId w:val="357"/>
        </w:numPr>
        <w:tabs>
          <w:tab w:pos="1258" w:val="left" w:leader="none"/>
          <w:tab w:pos="1295" w:val="left" w:leader="none"/>
        </w:tabs>
        <w:spacing w:line="240" w:lineRule="auto" w:before="121" w:after="0"/>
        <w:ind w:left="1258" w:right="725" w:hanging="240"/>
        <w:jc w:val="both"/>
        <w:rPr>
          <w:sz w:val="24"/>
        </w:rPr>
      </w:pPr>
      <w:r>
        <w:rPr>
          <w:sz w:val="24"/>
        </w:rPr>
        <w:t>If</w:t>
      </w:r>
      <w:r>
        <w:rPr>
          <w:spacing w:val="37"/>
          <w:sz w:val="24"/>
        </w:rPr>
        <w:t> </w:t>
      </w:r>
      <w:r>
        <w:rPr>
          <w:sz w:val="24"/>
        </w:rPr>
        <w:t>the proposal is for the establishment of a new industry or for the expansion of an existing industry, is a copy of the "No Objection Certificate" from the Department of Industries enclosed [see Regulations No. 18(k) wherever </w:t>
      </w:r>
      <w:r>
        <w:rPr>
          <w:spacing w:val="-2"/>
          <w:sz w:val="24"/>
        </w:rPr>
        <w:t>applicable?</w:t>
      </w:r>
    </w:p>
    <w:p>
      <w:pPr>
        <w:pStyle w:val="ListParagraph"/>
        <w:numPr>
          <w:ilvl w:val="0"/>
          <w:numId w:val="357"/>
        </w:numPr>
        <w:tabs>
          <w:tab w:pos="1228" w:val="left" w:leader="none"/>
          <w:tab w:pos="1258" w:val="left" w:leader="none"/>
        </w:tabs>
        <w:spacing w:line="240" w:lineRule="auto" w:before="119" w:after="0"/>
        <w:ind w:left="1258" w:right="727" w:hanging="240"/>
        <w:jc w:val="both"/>
        <w:rPr>
          <w:sz w:val="24"/>
        </w:rPr>
      </w:pPr>
      <w:r>
        <w:rPr>
          <w:sz w:val="24"/>
        </w:rPr>
        <w:t>Will</w:t>
      </w:r>
      <w:r>
        <w:rPr>
          <w:spacing w:val="-17"/>
          <w:sz w:val="24"/>
        </w:rPr>
        <w:t> </w:t>
      </w:r>
      <w:r>
        <w:rPr>
          <w:sz w:val="24"/>
        </w:rPr>
        <w:t>the</w:t>
      </w:r>
      <w:r>
        <w:rPr>
          <w:spacing w:val="-17"/>
          <w:sz w:val="24"/>
        </w:rPr>
        <w:t> </w:t>
      </w:r>
      <w:r>
        <w:rPr>
          <w:sz w:val="24"/>
        </w:rPr>
        <w:t>building</w:t>
      </w:r>
      <w:r>
        <w:rPr>
          <w:spacing w:val="-15"/>
          <w:sz w:val="24"/>
        </w:rPr>
        <w:t> </w:t>
      </w:r>
      <w:r>
        <w:rPr>
          <w:sz w:val="24"/>
        </w:rPr>
        <w:t>be</w:t>
      </w:r>
      <w:r>
        <w:rPr>
          <w:spacing w:val="-17"/>
          <w:sz w:val="24"/>
        </w:rPr>
        <w:t> </w:t>
      </w:r>
      <w:r>
        <w:rPr>
          <w:sz w:val="24"/>
        </w:rPr>
        <w:t>away</w:t>
      </w:r>
      <w:r>
        <w:rPr>
          <w:spacing w:val="-17"/>
          <w:sz w:val="24"/>
        </w:rPr>
        <w:t> </w:t>
      </w:r>
      <w:r>
        <w:rPr>
          <w:sz w:val="24"/>
        </w:rPr>
        <w:t>from</w:t>
      </w:r>
      <w:r>
        <w:rPr>
          <w:spacing w:val="-17"/>
          <w:sz w:val="24"/>
        </w:rPr>
        <w:t> </w:t>
      </w:r>
      <w:r>
        <w:rPr>
          <w:sz w:val="24"/>
        </w:rPr>
        <w:t>the</w:t>
      </w:r>
      <w:r>
        <w:rPr>
          <w:spacing w:val="-15"/>
          <w:sz w:val="24"/>
        </w:rPr>
        <w:t> </w:t>
      </w:r>
      <w:r>
        <w:rPr>
          <w:sz w:val="24"/>
        </w:rPr>
        <w:t>boundary</w:t>
      </w:r>
      <w:r>
        <w:rPr>
          <w:spacing w:val="-17"/>
          <w:sz w:val="24"/>
        </w:rPr>
        <w:t> </w:t>
      </w:r>
      <w:r>
        <w:rPr>
          <w:sz w:val="24"/>
        </w:rPr>
        <w:t>of</w:t>
      </w:r>
      <w:r>
        <w:rPr>
          <w:spacing w:val="-17"/>
          <w:sz w:val="24"/>
        </w:rPr>
        <w:t> </w:t>
      </w:r>
      <w:r>
        <w:rPr>
          <w:sz w:val="24"/>
        </w:rPr>
        <w:t>a</w:t>
      </w:r>
      <w:r>
        <w:rPr>
          <w:spacing w:val="-17"/>
          <w:sz w:val="24"/>
        </w:rPr>
        <w:t> </w:t>
      </w:r>
      <w:r>
        <w:rPr>
          <w:sz w:val="24"/>
        </w:rPr>
        <w:t>residential</w:t>
      </w:r>
      <w:r>
        <w:rPr>
          <w:spacing w:val="-15"/>
          <w:sz w:val="24"/>
        </w:rPr>
        <w:t> </w:t>
      </w:r>
      <w:r>
        <w:rPr>
          <w:sz w:val="24"/>
        </w:rPr>
        <w:t>or</w:t>
      </w:r>
      <w:r>
        <w:rPr>
          <w:spacing w:val="-17"/>
          <w:sz w:val="24"/>
        </w:rPr>
        <w:t> </w:t>
      </w:r>
      <w:r>
        <w:rPr>
          <w:sz w:val="24"/>
        </w:rPr>
        <w:t>commercial</w:t>
      </w:r>
      <w:r>
        <w:rPr>
          <w:spacing w:val="-17"/>
          <w:sz w:val="24"/>
        </w:rPr>
        <w:t> </w:t>
      </w:r>
      <w:r>
        <w:rPr>
          <w:sz w:val="24"/>
        </w:rPr>
        <w:t>zone or as per Table 18(B) in Regulations 41(4)?</w:t>
      </w:r>
    </w:p>
    <w:p>
      <w:pPr>
        <w:pStyle w:val="ListParagraph"/>
        <w:numPr>
          <w:ilvl w:val="0"/>
          <w:numId w:val="357"/>
        </w:numPr>
        <w:tabs>
          <w:tab w:pos="1258" w:val="left" w:leader="none"/>
          <w:tab w:pos="1331" w:val="left" w:leader="none"/>
        </w:tabs>
        <w:spacing w:line="240" w:lineRule="auto" w:before="120" w:after="0"/>
        <w:ind w:left="1258" w:right="725" w:hanging="240"/>
        <w:jc w:val="both"/>
        <w:rPr>
          <w:sz w:val="24"/>
        </w:rPr>
      </w:pPr>
      <w:r>
        <w:rPr>
          <w:sz w:val="24"/>
        </w:rPr>
        <w:tab/>
        <w:t>Is the proposal for a service industrial estate on a plot reserved for service industries or in industrial zone?</w:t>
      </w:r>
    </w:p>
    <w:p>
      <w:pPr>
        <w:pStyle w:val="ListParagraph"/>
        <w:numPr>
          <w:ilvl w:val="0"/>
          <w:numId w:val="357"/>
        </w:numPr>
        <w:tabs>
          <w:tab w:pos="1256" w:val="left" w:leader="none"/>
          <w:tab w:pos="1258" w:val="left" w:leader="none"/>
        </w:tabs>
        <w:spacing w:line="240" w:lineRule="auto" w:before="121" w:after="0"/>
        <w:ind w:left="1258" w:right="723" w:hanging="240"/>
        <w:jc w:val="both"/>
        <w:rPr>
          <w:sz w:val="24"/>
        </w:rPr>
      </w:pPr>
      <w:r>
        <w:rPr>
          <w:sz w:val="24"/>
        </w:rPr>
        <w:t>Nature</w:t>
      </w:r>
      <w:r>
        <w:rPr>
          <w:spacing w:val="-2"/>
          <w:sz w:val="24"/>
        </w:rPr>
        <w:t> </w:t>
      </w:r>
      <w:r>
        <w:rPr>
          <w:sz w:val="24"/>
        </w:rPr>
        <w:t>and</w:t>
      </w:r>
      <w:r>
        <w:rPr>
          <w:spacing w:val="-2"/>
          <w:sz w:val="24"/>
        </w:rPr>
        <w:t> </w:t>
      </w:r>
      <w:r>
        <w:rPr>
          <w:sz w:val="24"/>
        </w:rPr>
        <w:t>quantum</w:t>
      </w:r>
      <w:r>
        <w:rPr>
          <w:spacing w:val="-2"/>
          <w:sz w:val="24"/>
        </w:rPr>
        <w:t> </w:t>
      </w:r>
      <w:r>
        <w:rPr>
          <w:sz w:val="24"/>
        </w:rPr>
        <w:t>of</w:t>
      </w:r>
      <w:r>
        <w:rPr>
          <w:spacing w:val="-2"/>
          <w:sz w:val="24"/>
        </w:rPr>
        <w:t> </w:t>
      </w:r>
      <w:r>
        <w:rPr>
          <w:sz w:val="24"/>
        </w:rPr>
        <w:t>industrial</w:t>
      </w:r>
      <w:r>
        <w:rPr>
          <w:spacing w:val="-2"/>
          <w:sz w:val="24"/>
        </w:rPr>
        <w:t> </w:t>
      </w:r>
      <w:r>
        <w:rPr>
          <w:sz w:val="24"/>
        </w:rPr>
        <w:t>waste/effluents</w:t>
      </w:r>
      <w:r>
        <w:rPr>
          <w:spacing w:val="-2"/>
          <w:sz w:val="24"/>
        </w:rPr>
        <w:t> </w:t>
      </w:r>
      <w:r>
        <w:rPr>
          <w:sz w:val="24"/>
        </w:rPr>
        <w:t>and</w:t>
      </w:r>
      <w:r>
        <w:rPr>
          <w:spacing w:val="-2"/>
          <w:sz w:val="24"/>
        </w:rPr>
        <w:t> </w:t>
      </w:r>
      <w:r>
        <w:rPr>
          <w:sz w:val="24"/>
        </w:rPr>
        <w:t>methods</w:t>
      </w:r>
      <w:r>
        <w:rPr>
          <w:spacing w:val="-2"/>
          <w:sz w:val="24"/>
        </w:rPr>
        <w:t> </w:t>
      </w:r>
      <w:r>
        <w:rPr>
          <w:sz w:val="24"/>
        </w:rPr>
        <w:t>of</w:t>
      </w:r>
      <w:r>
        <w:rPr>
          <w:spacing w:val="-2"/>
          <w:sz w:val="24"/>
        </w:rPr>
        <w:t> </w:t>
      </w:r>
      <w:r>
        <w:rPr>
          <w:sz w:val="24"/>
        </w:rPr>
        <w:t>disposal</w:t>
      </w:r>
      <w:r>
        <w:rPr>
          <w:spacing w:val="-2"/>
          <w:sz w:val="24"/>
        </w:rPr>
        <w:t> </w:t>
      </w:r>
      <w:r>
        <w:rPr>
          <w:sz w:val="24"/>
        </w:rPr>
        <w:t>be </w:t>
      </w:r>
      <w:r>
        <w:rPr>
          <w:spacing w:val="-2"/>
          <w:sz w:val="24"/>
        </w:rPr>
        <w:t>stated.</w:t>
      </w:r>
    </w:p>
    <w:p>
      <w:pPr>
        <w:pStyle w:val="ListParagraph"/>
        <w:numPr>
          <w:ilvl w:val="1"/>
          <w:numId w:val="141"/>
        </w:numPr>
        <w:tabs>
          <w:tab w:pos="1074" w:val="left" w:leader="none"/>
        </w:tabs>
        <w:spacing w:line="240" w:lineRule="auto" w:before="121" w:after="0"/>
        <w:ind w:left="1074" w:right="0" w:hanging="297"/>
        <w:jc w:val="both"/>
        <w:rPr>
          <w:sz w:val="24"/>
        </w:rPr>
      </w:pPr>
      <w:r>
        <w:rPr>
          <w:sz w:val="24"/>
        </w:rPr>
        <w:t>(a)What is the </w:t>
      </w:r>
      <w:r>
        <w:rPr>
          <w:spacing w:val="-2"/>
          <w:sz w:val="24"/>
        </w:rPr>
        <w:t>average-</w:t>
      </w:r>
    </w:p>
    <w:p>
      <w:pPr>
        <w:pStyle w:val="ListParagraph"/>
        <w:numPr>
          <w:ilvl w:val="0"/>
          <w:numId w:val="358"/>
        </w:numPr>
        <w:tabs>
          <w:tab w:pos="1550" w:val="left" w:leader="none"/>
        </w:tabs>
        <w:spacing w:line="240" w:lineRule="auto" w:before="119" w:after="0"/>
        <w:ind w:left="1550" w:right="0" w:hanging="292"/>
        <w:jc w:val="left"/>
        <w:rPr>
          <w:sz w:val="24"/>
        </w:rPr>
      </w:pPr>
      <w:r>
        <w:rPr>
          <w:sz w:val="24"/>
        </w:rPr>
        <w:t>Prescribedwidth</w:t>
      </w:r>
      <w:r>
        <w:rPr>
          <w:spacing w:val="-14"/>
          <w:sz w:val="24"/>
        </w:rPr>
        <w:t> </w:t>
      </w:r>
      <w:r>
        <w:rPr>
          <w:spacing w:val="-5"/>
          <w:sz w:val="24"/>
        </w:rPr>
        <w:t>and</w:t>
      </w:r>
    </w:p>
    <w:p>
      <w:pPr>
        <w:pStyle w:val="ListParagraph"/>
        <w:numPr>
          <w:ilvl w:val="0"/>
          <w:numId w:val="358"/>
        </w:numPr>
        <w:tabs>
          <w:tab w:pos="1622" w:val="left" w:leader="none"/>
        </w:tabs>
        <w:spacing w:line="240" w:lineRule="auto" w:before="119" w:after="0"/>
        <w:ind w:left="1622" w:right="0" w:hanging="364"/>
        <w:jc w:val="left"/>
        <w:rPr>
          <w:sz w:val="24"/>
        </w:rPr>
      </w:pPr>
      <w:r>
        <w:rPr>
          <w:sz w:val="24"/>
        </w:rPr>
        <w:t>Existing</w:t>
      </w:r>
      <w:r>
        <w:rPr>
          <w:spacing w:val="-1"/>
          <w:sz w:val="24"/>
        </w:rPr>
        <w:t> </w:t>
      </w:r>
      <w:r>
        <w:rPr>
          <w:sz w:val="24"/>
        </w:rPr>
        <w:t>width</w:t>
      </w:r>
      <w:r>
        <w:rPr>
          <w:spacing w:val="-1"/>
          <w:sz w:val="24"/>
        </w:rPr>
        <w:t> </w:t>
      </w:r>
      <w:r>
        <w:rPr>
          <w:sz w:val="24"/>
        </w:rPr>
        <w:t>of</w:t>
      </w:r>
      <w:r>
        <w:rPr>
          <w:spacing w:val="-1"/>
          <w:sz w:val="24"/>
        </w:rPr>
        <w:t> </w:t>
      </w:r>
      <w:r>
        <w:rPr>
          <w:sz w:val="24"/>
        </w:rPr>
        <w:t>the</w:t>
      </w:r>
      <w:r>
        <w:rPr>
          <w:spacing w:val="-1"/>
          <w:sz w:val="24"/>
        </w:rPr>
        <w:t> </w:t>
      </w:r>
      <w:r>
        <w:rPr>
          <w:spacing w:val="-2"/>
          <w:sz w:val="24"/>
        </w:rPr>
        <w:t>street?</w:t>
      </w:r>
    </w:p>
    <w:p>
      <w:pPr>
        <w:pStyle w:val="BodyText"/>
        <w:spacing w:before="122"/>
        <w:ind w:left="1258" w:right="723"/>
        <w:jc w:val="left"/>
      </w:pPr>
      <w:r>
        <w:rPr/>
        <w:t>(If</w:t>
      </w:r>
      <w:r>
        <w:rPr>
          <w:spacing w:val="40"/>
        </w:rPr>
        <w:t> </w:t>
      </w:r>
      <w:r>
        <w:rPr/>
        <w:t>the</w:t>
      </w:r>
      <w:r>
        <w:rPr>
          <w:spacing w:val="37"/>
        </w:rPr>
        <w:t> </w:t>
      </w:r>
      <w:r>
        <w:rPr/>
        <w:t>plot</w:t>
      </w:r>
      <w:r>
        <w:rPr>
          <w:spacing w:val="40"/>
        </w:rPr>
        <w:t> </w:t>
      </w:r>
      <w:r>
        <w:rPr/>
        <w:t>abuts</w:t>
      </w:r>
      <w:r>
        <w:rPr>
          <w:spacing w:val="37"/>
        </w:rPr>
        <w:t> </w:t>
      </w:r>
      <w:r>
        <w:rPr/>
        <w:t>two</w:t>
      </w:r>
      <w:r>
        <w:rPr>
          <w:spacing w:val="40"/>
        </w:rPr>
        <w:t> </w:t>
      </w:r>
      <w:r>
        <w:rPr/>
        <w:t>or</w:t>
      </w:r>
      <w:r>
        <w:rPr>
          <w:spacing w:val="40"/>
        </w:rPr>
        <w:t> </w:t>
      </w:r>
      <w:r>
        <w:rPr/>
        <w:t>more</w:t>
      </w:r>
      <w:r>
        <w:rPr>
          <w:spacing w:val="40"/>
        </w:rPr>
        <w:t> </w:t>
      </w:r>
      <w:r>
        <w:rPr/>
        <w:t>streets,</w:t>
      </w:r>
      <w:r>
        <w:rPr>
          <w:spacing w:val="37"/>
        </w:rPr>
        <w:t> </w:t>
      </w:r>
      <w:r>
        <w:rPr/>
        <w:t>information</w:t>
      </w:r>
      <w:r>
        <w:rPr>
          <w:spacing w:val="40"/>
        </w:rPr>
        <w:t> </w:t>
      </w:r>
      <w:r>
        <w:rPr/>
        <w:t>for</w:t>
      </w:r>
      <w:r>
        <w:rPr>
          <w:spacing w:val="40"/>
        </w:rPr>
        <w:t> </w:t>
      </w:r>
      <w:r>
        <w:rPr/>
        <w:t>all</w:t>
      </w:r>
      <w:r>
        <w:rPr>
          <w:spacing w:val="36"/>
        </w:rPr>
        <w:t> </w:t>
      </w:r>
      <w:r>
        <w:rPr/>
        <w:t>streets</w:t>
      </w:r>
      <w:r>
        <w:rPr>
          <w:spacing w:val="40"/>
        </w:rPr>
        <w:t> </w:t>
      </w:r>
      <w:r>
        <w:rPr/>
        <w:t>should</w:t>
      </w:r>
      <w:r>
        <w:rPr>
          <w:spacing w:val="40"/>
        </w:rPr>
        <w:t> </w:t>
      </w:r>
      <w:r>
        <w:rPr/>
        <w:t>be </w:t>
      </w:r>
      <w:r>
        <w:rPr>
          <w:spacing w:val="-2"/>
        </w:rPr>
        <w:t>given).</w:t>
      </w:r>
    </w:p>
    <w:p>
      <w:pPr>
        <w:pStyle w:val="ListParagraph"/>
        <w:numPr>
          <w:ilvl w:val="0"/>
          <w:numId w:val="359"/>
        </w:numPr>
        <w:tabs>
          <w:tab w:pos="1310" w:val="left" w:leader="none"/>
        </w:tabs>
        <w:spacing w:line="240" w:lineRule="auto" w:before="118" w:after="0"/>
        <w:ind w:left="1310" w:right="0" w:hanging="292"/>
        <w:jc w:val="left"/>
        <w:rPr>
          <w:sz w:val="24"/>
        </w:rPr>
      </w:pPr>
      <w:r>
        <w:rPr>
          <w:sz w:val="24"/>
        </w:rPr>
        <w:t>What is the height of the building-</w:t>
      </w:r>
      <w:r>
        <w:rPr>
          <w:spacing w:val="-10"/>
          <w:sz w:val="24"/>
        </w:rPr>
        <w:t>?</w:t>
      </w:r>
    </w:p>
    <w:p>
      <w:pPr>
        <w:pStyle w:val="ListParagraph"/>
        <w:numPr>
          <w:ilvl w:val="1"/>
          <w:numId w:val="359"/>
        </w:numPr>
        <w:tabs>
          <w:tab w:pos="1847" w:val="left" w:leader="none"/>
        </w:tabs>
        <w:spacing w:line="340" w:lineRule="auto" w:before="122" w:after="0"/>
        <w:ind w:left="777" w:right="4343" w:firstLine="701"/>
        <w:jc w:val="left"/>
        <w:rPr>
          <w:sz w:val="24"/>
        </w:rPr>
      </w:pPr>
      <w:r>
        <w:rPr>
          <w:sz w:val="24"/>
        </w:rPr>
        <w:t>above</w:t>
      </w:r>
      <w:r>
        <w:rPr>
          <w:spacing w:val="-5"/>
          <w:sz w:val="24"/>
        </w:rPr>
        <w:t> </w:t>
      </w:r>
      <w:r>
        <w:rPr>
          <w:sz w:val="24"/>
        </w:rPr>
        <w:t>the</w:t>
      </w:r>
      <w:r>
        <w:rPr>
          <w:spacing w:val="-5"/>
          <w:sz w:val="24"/>
        </w:rPr>
        <w:t> </w:t>
      </w:r>
      <w:r>
        <w:rPr>
          <w:sz w:val="24"/>
        </w:rPr>
        <w:t>average</w:t>
      </w:r>
      <w:r>
        <w:rPr>
          <w:spacing w:val="-5"/>
          <w:sz w:val="24"/>
        </w:rPr>
        <w:t> </w:t>
      </w:r>
      <w:r>
        <w:rPr>
          <w:sz w:val="24"/>
        </w:rPr>
        <w:t>ground</w:t>
      </w:r>
      <w:r>
        <w:rPr>
          <w:spacing w:val="-5"/>
          <w:sz w:val="24"/>
        </w:rPr>
        <w:t> </w:t>
      </w:r>
      <w:r>
        <w:rPr>
          <w:sz w:val="24"/>
        </w:rPr>
        <w:t>level</w:t>
      </w:r>
      <w:r>
        <w:rPr>
          <w:spacing w:val="-5"/>
          <w:sz w:val="24"/>
        </w:rPr>
        <w:t> </w:t>
      </w:r>
      <w:r>
        <w:rPr>
          <w:sz w:val="24"/>
        </w:rPr>
        <w:t>of</w:t>
      </w:r>
      <w:r>
        <w:rPr>
          <w:spacing w:val="-5"/>
          <w:sz w:val="24"/>
        </w:rPr>
        <w:t> </w:t>
      </w:r>
      <w:r>
        <w:rPr>
          <w:sz w:val="24"/>
        </w:rPr>
        <w:t>the</w:t>
      </w:r>
      <w:r>
        <w:rPr>
          <w:spacing w:val="-5"/>
          <w:sz w:val="24"/>
        </w:rPr>
        <w:t> </w:t>
      </w:r>
      <w:r>
        <w:rPr>
          <w:sz w:val="24"/>
        </w:rPr>
        <w:t>plot? Does it comply with Regulations 43?</w:t>
      </w:r>
    </w:p>
    <w:p>
      <w:pPr>
        <w:pStyle w:val="ListParagraph"/>
        <w:numPr>
          <w:ilvl w:val="1"/>
          <w:numId w:val="141"/>
        </w:numPr>
        <w:tabs>
          <w:tab w:pos="1222" w:val="left" w:leader="none"/>
        </w:tabs>
        <w:spacing w:line="240" w:lineRule="auto" w:before="4" w:after="0"/>
        <w:ind w:left="1222" w:right="0" w:hanging="445"/>
        <w:jc w:val="left"/>
        <w:rPr>
          <w:sz w:val="24"/>
        </w:rPr>
      </w:pPr>
      <w:r>
        <w:rPr>
          <w:sz w:val="24"/>
        </w:rPr>
        <w:t>(a)</w:t>
      </w:r>
      <w:r>
        <w:rPr>
          <w:spacing w:val="-3"/>
          <w:sz w:val="24"/>
        </w:rPr>
        <w:t> </w:t>
      </w:r>
      <w:r>
        <w:rPr>
          <w:sz w:val="24"/>
        </w:rPr>
        <w:t>If there</w:t>
      </w:r>
      <w:r>
        <w:rPr>
          <w:spacing w:val="-1"/>
          <w:sz w:val="24"/>
        </w:rPr>
        <w:t> </w:t>
      </w:r>
      <w:r>
        <w:rPr>
          <w:sz w:val="24"/>
        </w:rPr>
        <w:t>are existing structures</w:t>
      </w:r>
      <w:r>
        <w:rPr>
          <w:spacing w:val="-1"/>
          <w:sz w:val="24"/>
        </w:rPr>
        <w:t> </w:t>
      </w:r>
      <w:r>
        <w:rPr>
          <w:sz w:val="24"/>
        </w:rPr>
        <w:t>on the </w:t>
      </w:r>
      <w:r>
        <w:rPr>
          <w:spacing w:val="-2"/>
          <w:sz w:val="24"/>
        </w:rPr>
        <w:t>plot-</w:t>
      </w:r>
    </w:p>
    <w:p>
      <w:pPr>
        <w:pStyle w:val="ListParagraph"/>
        <w:numPr>
          <w:ilvl w:val="0"/>
          <w:numId w:val="360"/>
        </w:numPr>
        <w:tabs>
          <w:tab w:pos="1713" w:val="left" w:leader="none"/>
        </w:tabs>
        <w:spacing w:line="240" w:lineRule="auto" w:before="119" w:after="0"/>
        <w:ind w:left="1713" w:right="0" w:hanging="215"/>
        <w:jc w:val="left"/>
        <w:rPr>
          <w:sz w:val="24"/>
        </w:rPr>
      </w:pPr>
      <w:r>
        <w:rPr>
          <w:sz w:val="24"/>
        </w:rPr>
        <w:t>Are</w:t>
      </w:r>
      <w:r>
        <w:rPr>
          <w:spacing w:val="-2"/>
          <w:sz w:val="24"/>
        </w:rPr>
        <w:t> </w:t>
      </w:r>
      <w:r>
        <w:rPr>
          <w:sz w:val="24"/>
        </w:rPr>
        <w:t>they</w:t>
      </w:r>
      <w:r>
        <w:rPr>
          <w:spacing w:val="-2"/>
          <w:sz w:val="24"/>
        </w:rPr>
        <w:t> </w:t>
      </w:r>
      <w:r>
        <w:rPr>
          <w:sz w:val="24"/>
        </w:rPr>
        <w:t>correctly</w:t>
      </w:r>
      <w:r>
        <w:rPr>
          <w:spacing w:val="-1"/>
          <w:sz w:val="24"/>
        </w:rPr>
        <w:t> </w:t>
      </w:r>
      <w:r>
        <w:rPr>
          <w:sz w:val="24"/>
        </w:rPr>
        <w:t>marked</w:t>
      </w:r>
      <w:r>
        <w:rPr>
          <w:spacing w:val="-2"/>
          <w:sz w:val="24"/>
        </w:rPr>
        <w:t> </w:t>
      </w:r>
      <w:r>
        <w:rPr>
          <w:sz w:val="24"/>
        </w:rPr>
        <w:t>and</w:t>
      </w:r>
      <w:r>
        <w:rPr>
          <w:spacing w:val="-2"/>
          <w:sz w:val="24"/>
        </w:rPr>
        <w:t> </w:t>
      </w:r>
      <w:r>
        <w:rPr>
          <w:sz w:val="24"/>
        </w:rPr>
        <w:t>numbered</w:t>
      </w:r>
      <w:r>
        <w:rPr>
          <w:spacing w:val="-1"/>
          <w:sz w:val="24"/>
        </w:rPr>
        <w:t> </w:t>
      </w:r>
      <w:r>
        <w:rPr>
          <w:sz w:val="24"/>
        </w:rPr>
        <w:t>on</w:t>
      </w:r>
      <w:r>
        <w:rPr>
          <w:spacing w:val="-2"/>
          <w:sz w:val="24"/>
        </w:rPr>
        <w:t> </w:t>
      </w:r>
      <w:r>
        <w:rPr>
          <w:sz w:val="24"/>
        </w:rPr>
        <w:t>the</w:t>
      </w:r>
      <w:r>
        <w:rPr>
          <w:spacing w:val="-2"/>
          <w:sz w:val="24"/>
        </w:rPr>
        <w:t> </w:t>
      </w:r>
      <w:r>
        <w:rPr>
          <w:sz w:val="24"/>
        </w:rPr>
        <w:t>site</w:t>
      </w:r>
      <w:r>
        <w:rPr>
          <w:spacing w:val="-1"/>
          <w:sz w:val="24"/>
        </w:rPr>
        <w:t> </w:t>
      </w:r>
      <w:r>
        <w:rPr>
          <w:spacing w:val="-2"/>
          <w:sz w:val="24"/>
        </w:rPr>
        <w:t>plan?</w:t>
      </w:r>
    </w:p>
    <w:p>
      <w:pPr>
        <w:pStyle w:val="ListParagraph"/>
        <w:numPr>
          <w:ilvl w:val="0"/>
          <w:numId w:val="360"/>
        </w:numPr>
        <w:tabs>
          <w:tab w:pos="1939" w:val="left" w:leader="none"/>
        </w:tabs>
        <w:spacing w:line="240" w:lineRule="auto" w:before="119" w:after="0"/>
        <w:ind w:left="1939" w:right="0" w:hanging="441"/>
        <w:jc w:val="left"/>
        <w:rPr>
          <w:sz w:val="24"/>
        </w:rPr>
      </w:pPr>
      <w:r>
        <w:rPr>
          <w:sz w:val="24"/>
        </w:rPr>
        <w:t>Are</w:t>
      </w:r>
      <w:r>
        <w:rPr>
          <w:spacing w:val="-4"/>
          <w:sz w:val="24"/>
        </w:rPr>
        <w:t> </w:t>
      </w:r>
      <w:r>
        <w:rPr>
          <w:sz w:val="24"/>
        </w:rPr>
        <w:t>those</w:t>
      </w:r>
      <w:r>
        <w:rPr>
          <w:spacing w:val="-3"/>
          <w:sz w:val="24"/>
        </w:rPr>
        <w:t> </w:t>
      </w:r>
      <w:r>
        <w:rPr>
          <w:sz w:val="24"/>
        </w:rPr>
        <w:t>proposed</w:t>
      </w:r>
      <w:r>
        <w:rPr>
          <w:spacing w:val="-3"/>
          <w:sz w:val="24"/>
        </w:rPr>
        <w:t> </w:t>
      </w:r>
      <w:r>
        <w:rPr>
          <w:sz w:val="24"/>
        </w:rPr>
        <w:t>to</w:t>
      </w:r>
      <w:r>
        <w:rPr>
          <w:spacing w:val="-3"/>
          <w:sz w:val="24"/>
        </w:rPr>
        <w:t> </w:t>
      </w:r>
      <w:r>
        <w:rPr>
          <w:sz w:val="24"/>
        </w:rPr>
        <w:t>be</w:t>
      </w:r>
      <w:r>
        <w:rPr>
          <w:spacing w:val="-3"/>
          <w:sz w:val="24"/>
        </w:rPr>
        <w:t> </w:t>
      </w:r>
      <w:r>
        <w:rPr>
          <w:sz w:val="24"/>
        </w:rPr>
        <w:t>demolished</w:t>
      </w:r>
      <w:r>
        <w:rPr>
          <w:spacing w:val="-3"/>
          <w:sz w:val="24"/>
        </w:rPr>
        <w:t> </w:t>
      </w:r>
      <w:r>
        <w:rPr>
          <w:sz w:val="24"/>
        </w:rPr>
        <w:t>immediately</w:t>
      </w:r>
      <w:r>
        <w:rPr>
          <w:spacing w:val="-3"/>
          <w:sz w:val="24"/>
        </w:rPr>
        <w:t> </w:t>
      </w:r>
      <w:r>
        <w:rPr>
          <w:sz w:val="24"/>
        </w:rPr>
        <w:t>coloured</w:t>
      </w:r>
      <w:r>
        <w:rPr>
          <w:spacing w:val="-3"/>
          <w:sz w:val="24"/>
        </w:rPr>
        <w:t> </w:t>
      </w:r>
      <w:r>
        <w:rPr>
          <w:spacing w:val="-2"/>
          <w:sz w:val="24"/>
        </w:rPr>
        <w:t>yellow?</w:t>
      </w:r>
    </w:p>
    <w:p>
      <w:pPr>
        <w:pStyle w:val="ListParagraph"/>
        <w:numPr>
          <w:ilvl w:val="0"/>
          <w:numId w:val="360"/>
        </w:numPr>
        <w:tabs>
          <w:tab w:pos="2039" w:val="left" w:leader="none"/>
        </w:tabs>
        <w:spacing w:line="240" w:lineRule="auto" w:before="121" w:after="0"/>
        <w:ind w:left="1498" w:right="726" w:firstLine="0"/>
        <w:jc w:val="left"/>
        <w:rPr>
          <w:sz w:val="24"/>
        </w:rPr>
      </w:pPr>
      <w:r>
        <w:rPr>
          <w:sz w:val="24"/>
        </w:rPr>
        <w:t>What is the plinth area and total floor area of all existing structures to be retained?</w:t>
      </w:r>
    </w:p>
    <w:p>
      <w:pPr>
        <w:pStyle w:val="BodyText"/>
        <w:spacing w:before="119"/>
        <w:ind w:left="1498"/>
        <w:jc w:val="left"/>
      </w:pPr>
      <w:r>
        <w:rPr/>
        <w:t>(Please</w:t>
      </w:r>
      <w:r>
        <w:rPr>
          <w:spacing w:val="-2"/>
        </w:rPr>
        <w:t> </w:t>
      </w:r>
      <w:r>
        <w:rPr/>
        <w:t>indicate</w:t>
      </w:r>
      <w:r>
        <w:rPr>
          <w:spacing w:val="-2"/>
        </w:rPr>
        <w:t> </w:t>
      </w:r>
      <w:r>
        <w:rPr/>
        <w:t>in</w:t>
      </w:r>
      <w:r>
        <w:rPr>
          <w:spacing w:val="-1"/>
        </w:rPr>
        <w:t> </w:t>
      </w:r>
      <w:r>
        <w:rPr/>
        <w:t>the</w:t>
      </w:r>
      <w:r>
        <w:rPr>
          <w:spacing w:val="-2"/>
        </w:rPr>
        <w:t> </w:t>
      </w:r>
      <w:r>
        <w:rPr/>
        <w:t>appended</w:t>
      </w:r>
      <w:r>
        <w:rPr>
          <w:spacing w:val="-2"/>
        </w:rPr>
        <w:t> </w:t>
      </w:r>
      <w:r>
        <w:rPr/>
        <w:t>Statement</w:t>
      </w:r>
      <w:r>
        <w:rPr>
          <w:spacing w:val="-1"/>
        </w:rPr>
        <w:t> </w:t>
      </w:r>
      <w:r>
        <w:rPr/>
        <w:t>'A'</w:t>
      </w:r>
      <w:r>
        <w:rPr>
          <w:spacing w:val="-2"/>
        </w:rPr>
        <w:t> </w:t>
      </w:r>
      <w:r>
        <w:rPr/>
        <w:t>with</w:t>
      </w:r>
      <w:r>
        <w:rPr>
          <w:spacing w:val="-1"/>
        </w:rPr>
        <w:t> </w:t>
      </w:r>
      <w:r>
        <w:rPr>
          <w:spacing w:val="-2"/>
        </w:rPr>
        <w:t>details)</w:t>
      </w:r>
    </w:p>
    <w:p>
      <w:pPr>
        <w:pStyle w:val="BodyText"/>
        <w:spacing w:after="0"/>
        <w:jc w:val="left"/>
        <w:sectPr>
          <w:pgSz w:w="11910" w:h="16850"/>
          <w:pgMar w:header="1024" w:footer="1302" w:top="1480" w:bottom="1500" w:left="360" w:right="360"/>
        </w:sectPr>
      </w:pPr>
    </w:p>
    <w:p>
      <w:pPr>
        <w:pStyle w:val="ListParagraph"/>
        <w:numPr>
          <w:ilvl w:val="0"/>
          <w:numId w:val="360"/>
        </w:numPr>
        <w:tabs>
          <w:tab w:pos="1979" w:val="left" w:leader="none"/>
        </w:tabs>
        <w:spacing w:line="240" w:lineRule="auto" w:before="276" w:after="0"/>
        <w:ind w:left="1498" w:right="722" w:firstLine="0"/>
        <w:jc w:val="left"/>
        <w:rPr>
          <w:sz w:val="24"/>
        </w:rPr>
      </w:pPr>
      <w:r>
        <w:rPr>
          <w:sz w:val="24"/>
        </w:rPr>
        <w:t>What</w:t>
      </w:r>
      <w:r>
        <w:rPr>
          <w:spacing w:val="40"/>
          <w:sz w:val="24"/>
        </w:rPr>
        <w:t> </w:t>
      </w:r>
      <w:r>
        <w:rPr>
          <w:sz w:val="24"/>
        </w:rPr>
        <w:t>is</w:t>
      </w:r>
      <w:r>
        <w:rPr>
          <w:spacing w:val="40"/>
          <w:sz w:val="24"/>
        </w:rPr>
        <w:t> </w:t>
      </w:r>
      <w:r>
        <w:rPr>
          <w:sz w:val="24"/>
        </w:rPr>
        <w:t>the</w:t>
      </w:r>
      <w:r>
        <w:rPr>
          <w:spacing w:val="40"/>
          <w:sz w:val="24"/>
        </w:rPr>
        <w:t> </w:t>
      </w:r>
      <w:r>
        <w:rPr>
          <w:sz w:val="24"/>
        </w:rPr>
        <w:t>number</w:t>
      </w:r>
      <w:r>
        <w:rPr>
          <w:spacing w:val="40"/>
          <w:sz w:val="24"/>
        </w:rPr>
        <w:t> </w:t>
      </w:r>
      <w:r>
        <w:rPr>
          <w:sz w:val="24"/>
        </w:rPr>
        <w:t>of</w:t>
      </w:r>
      <w:r>
        <w:rPr>
          <w:spacing w:val="40"/>
          <w:sz w:val="24"/>
        </w:rPr>
        <w:t> </w:t>
      </w:r>
      <w:r>
        <w:rPr>
          <w:sz w:val="24"/>
        </w:rPr>
        <w:t>existing</w:t>
      </w:r>
      <w:r>
        <w:rPr>
          <w:spacing w:val="40"/>
          <w:sz w:val="24"/>
        </w:rPr>
        <w:t> </w:t>
      </w:r>
      <w:r>
        <w:rPr>
          <w:sz w:val="24"/>
        </w:rPr>
        <w:t>tenements</w:t>
      </w:r>
      <w:r>
        <w:rPr>
          <w:spacing w:val="40"/>
          <w:sz w:val="24"/>
        </w:rPr>
        <w:t> </w:t>
      </w:r>
      <w:r>
        <w:rPr>
          <w:sz w:val="24"/>
        </w:rPr>
        <w:t>in</w:t>
      </w:r>
      <w:r>
        <w:rPr>
          <w:spacing w:val="40"/>
          <w:sz w:val="24"/>
        </w:rPr>
        <w:t> </w:t>
      </w:r>
      <w:r>
        <w:rPr>
          <w:sz w:val="24"/>
        </w:rPr>
        <w:t>the</w:t>
      </w:r>
      <w:r>
        <w:rPr>
          <w:spacing w:val="40"/>
          <w:sz w:val="24"/>
        </w:rPr>
        <w:t> </w:t>
      </w:r>
      <w:r>
        <w:rPr>
          <w:sz w:val="24"/>
        </w:rPr>
        <w:t>structure(s)</w:t>
      </w:r>
      <w:r>
        <w:rPr>
          <w:spacing w:val="40"/>
          <w:sz w:val="24"/>
        </w:rPr>
        <w:t> </w:t>
      </w:r>
      <w:r>
        <w:rPr>
          <w:sz w:val="24"/>
        </w:rPr>
        <w:t>to</w:t>
      </w:r>
      <w:r>
        <w:rPr>
          <w:spacing w:val="40"/>
          <w:sz w:val="24"/>
        </w:rPr>
        <w:t> </w:t>
      </w:r>
      <w:r>
        <w:rPr>
          <w:sz w:val="24"/>
        </w:rPr>
        <w:t>be</w:t>
      </w:r>
      <w:r>
        <w:rPr>
          <w:spacing w:val="40"/>
          <w:sz w:val="24"/>
        </w:rPr>
        <w:t> </w:t>
      </w:r>
      <w:r>
        <w:rPr>
          <w:spacing w:val="-2"/>
          <w:sz w:val="24"/>
        </w:rPr>
        <w:t>retained?</w:t>
      </w:r>
    </w:p>
    <w:p>
      <w:pPr>
        <w:pStyle w:val="ListParagraph"/>
        <w:numPr>
          <w:ilvl w:val="0"/>
          <w:numId w:val="361"/>
        </w:numPr>
        <w:tabs>
          <w:tab w:pos="1430" w:val="left" w:leader="none"/>
        </w:tabs>
        <w:spacing w:line="340" w:lineRule="auto" w:before="120" w:after="0"/>
        <w:ind w:left="1138" w:right="730" w:firstLine="0"/>
        <w:jc w:val="left"/>
        <w:rPr>
          <w:sz w:val="24"/>
        </w:rPr>
      </w:pPr>
      <w:r>
        <w:rPr>
          <w:sz w:val="24"/>
        </w:rPr>
        <w:t>What</w:t>
      </w:r>
      <w:r>
        <w:rPr>
          <w:spacing w:val="-5"/>
          <w:sz w:val="24"/>
        </w:rPr>
        <w:t> </w:t>
      </w:r>
      <w:r>
        <w:rPr>
          <w:sz w:val="24"/>
        </w:rPr>
        <w:t>is</w:t>
      </w:r>
      <w:r>
        <w:rPr>
          <w:spacing w:val="-5"/>
          <w:sz w:val="24"/>
        </w:rPr>
        <w:t> </w:t>
      </w:r>
      <w:r>
        <w:rPr>
          <w:sz w:val="24"/>
        </w:rPr>
        <w:t>the</w:t>
      </w:r>
      <w:r>
        <w:rPr>
          <w:spacing w:val="-5"/>
          <w:sz w:val="24"/>
        </w:rPr>
        <w:t> </w:t>
      </w:r>
      <w:r>
        <w:rPr>
          <w:sz w:val="24"/>
        </w:rPr>
        <w:t>plinth</w:t>
      </w:r>
      <w:r>
        <w:rPr>
          <w:spacing w:val="-3"/>
          <w:sz w:val="24"/>
        </w:rPr>
        <w:t> </w:t>
      </w:r>
      <w:r>
        <w:rPr>
          <w:sz w:val="24"/>
        </w:rPr>
        <w:t>area</w:t>
      </w:r>
      <w:r>
        <w:rPr>
          <w:spacing w:val="-5"/>
          <w:sz w:val="24"/>
        </w:rPr>
        <w:t> </w:t>
      </w:r>
      <w:r>
        <w:rPr>
          <w:sz w:val="24"/>
        </w:rPr>
        <w:t>and</w:t>
      </w:r>
      <w:r>
        <w:rPr>
          <w:spacing w:val="-5"/>
          <w:sz w:val="24"/>
        </w:rPr>
        <w:t> </w:t>
      </w:r>
      <w:r>
        <w:rPr>
          <w:sz w:val="24"/>
        </w:rPr>
        <w:t>total</w:t>
      </w:r>
      <w:r>
        <w:rPr>
          <w:spacing w:val="-3"/>
          <w:sz w:val="24"/>
        </w:rPr>
        <w:t> </w:t>
      </w:r>
      <w:r>
        <w:rPr>
          <w:sz w:val="24"/>
        </w:rPr>
        <w:t>floor</w:t>
      </w:r>
      <w:r>
        <w:rPr>
          <w:spacing w:val="-2"/>
          <w:sz w:val="24"/>
        </w:rPr>
        <w:t> </w:t>
      </w:r>
      <w:r>
        <w:rPr>
          <w:sz w:val="24"/>
        </w:rPr>
        <w:t>area</w:t>
      </w:r>
      <w:r>
        <w:rPr>
          <w:spacing w:val="-5"/>
          <w:sz w:val="24"/>
        </w:rPr>
        <w:t> </w:t>
      </w:r>
      <w:r>
        <w:rPr>
          <w:sz w:val="24"/>
        </w:rPr>
        <w:t>of</w:t>
      </w:r>
      <w:r>
        <w:rPr>
          <w:spacing w:val="-5"/>
          <w:sz w:val="24"/>
        </w:rPr>
        <w:t> </w:t>
      </w:r>
      <w:r>
        <w:rPr>
          <w:sz w:val="24"/>
        </w:rPr>
        <w:t>the</w:t>
      </w:r>
      <w:r>
        <w:rPr>
          <w:spacing w:val="-5"/>
          <w:sz w:val="24"/>
        </w:rPr>
        <w:t> </w:t>
      </w:r>
      <w:r>
        <w:rPr>
          <w:sz w:val="24"/>
        </w:rPr>
        <w:t>proposed</w:t>
      </w:r>
      <w:r>
        <w:rPr>
          <w:spacing w:val="-3"/>
          <w:sz w:val="24"/>
        </w:rPr>
        <w:t> </w:t>
      </w:r>
      <w:r>
        <w:rPr>
          <w:sz w:val="24"/>
        </w:rPr>
        <w:t>work</w:t>
      </w:r>
      <w:r>
        <w:rPr>
          <w:spacing w:val="-5"/>
          <w:sz w:val="24"/>
        </w:rPr>
        <w:t> </w:t>
      </w:r>
      <w:r>
        <w:rPr>
          <w:sz w:val="24"/>
        </w:rPr>
        <w:t>or</w:t>
      </w:r>
      <w:r>
        <w:rPr>
          <w:spacing w:val="-5"/>
          <w:sz w:val="24"/>
        </w:rPr>
        <w:t> </w:t>
      </w:r>
      <w:r>
        <w:rPr>
          <w:sz w:val="24"/>
        </w:rPr>
        <w:t>building? (Please indicate in appended statement ’B’ with details</w:t>
      </w:r>
    </w:p>
    <w:p>
      <w:pPr>
        <w:pStyle w:val="ListParagraph"/>
        <w:numPr>
          <w:ilvl w:val="0"/>
          <w:numId w:val="361"/>
        </w:numPr>
        <w:tabs>
          <w:tab w:pos="1483" w:val="left" w:leader="none"/>
        </w:tabs>
        <w:spacing w:line="240" w:lineRule="auto" w:before="4" w:after="0"/>
        <w:ind w:left="1483" w:right="0" w:hanging="345"/>
        <w:jc w:val="left"/>
        <w:rPr>
          <w:sz w:val="24"/>
        </w:rPr>
      </w:pPr>
      <w:r>
        <w:rPr>
          <w:sz w:val="24"/>
        </w:rPr>
        <w:t>What is the number of tenements </w:t>
      </w:r>
      <w:r>
        <w:rPr>
          <w:spacing w:val="-2"/>
          <w:sz w:val="24"/>
        </w:rPr>
        <w:t>proposed?</w:t>
      </w:r>
    </w:p>
    <w:p>
      <w:pPr>
        <w:pStyle w:val="BodyText"/>
        <w:spacing w:before="119"/>
        <w:ind w:left="777"/>
      </w:pPr>
      <w:r>
        <w:rPr/>
        <w:t>Note.</w:t>
      </w:r>
      <w:r>
        <w:rPr>
          <w:spacing w:val="-1"/>
        </w:rPr>
        <w:t> </w:t>
      </w:r>
      <w:r>
        <w:rPr/>
        <w:t>-</w:t>
      </w:r>
      <w:r>
        <w:rPr>
          <w:spacing w:val="-1"/>
        </w:rPr>
        <w:t> </w:t>
      </w:r>
      <w:r>
        <w:rPr/>
        <w:t>INDICATE</w:t>
      </w:r>
      <w:r>
        <w:rPr>
          <w:spacing w:val="-1"/>
        </w:rPr>
        <w:t> </w:t>
      </w:r>
      <w:r>
        <w:rPr/>
        <w:t>DETAILS OF THE</w:t>
      </w:r>
      <w:r>
        <w:rPr>
          <w:spacing w:val="-1"/>
        </w:rPr>
        <w:t> </w:t>
      </w:r>
      <w:r>
        <w:rPr/>
        <w:t>BUILDING</w:t>
      </w:r>
      <w:r>
        <w:rPr>
          <w:spacing w:val="-1"/>
        </w:rPr>
        <w:t> </w:t>
      </w:r>
      <w:r>
        <w:rPr/>
        <w:t>PLAN AS</w:t>
      </w:r>
      <w:r>
        <w:rPr>
          <w:spacing w:val="-4"/>
        </w:rPr>
        <w:t> </w:t>
      </w:r>
      <w:r>
        <w:rPr/>
        <w:t>IN</w:t>
      </w:r>
      <w:r>
        <w:rPr>
          <w:spacing w:val="-4"/>
        </w:rPr>
        <w:t> </w:t>
      </w:r>
      <w:r>
        <w:rPr/>
        <w:t>FORM </w:t>
      </w:r>
      <w:r>
        <w:rPr>
          <w:spacing w:val="-5"/>
        </w:rPr>
        <w:t>1.</w:t>
      </w:r>
    </w:p>
    <w:p>
      <w:pPr>
        <w:pStyle w:val="ListParagraph"/>
        <w:numPr>
          <w:ilvl w:val="1"/>
          <w:numId w:val="141"/>
        </w:numPr>
        <w:tabs>
          <w:tab w:pos="1231" w:val="left" w:leader="none"/>
          <w:tab w:pos="2985" w:val="left" w:leader="none"/>
        </w:tabs>
        <w:spacing w:line="240" w:lineRule="auto" w:before="119" w:after="0"/>
        <w:ind w:left="777" w:right="727" w:firstLine="0"/>
        <w:jc w:val="left"/>
        <w:rPr>
          <w:sz w:val="24"/>
        </w:rPr>
      </w:pPr>
      <w:r>
        <w:rPr>
          <w:sz w:val="24"/>
        </w:rPr>
        <w:t>(a) Please state the plinth area and total floor area, existing and proposed (i.e. total of items 10)</w:t>
        <w:tab/>
        <w:t>a) (iii) and 10(b).</w:t>
      </w:r>
    </w:p>
    <w:p>
      <w:pPr>
        <w:pStyle w:val="ListParagraph"/>
        <w:numPr>
          <w:ilvl w:val="0"/>
          <w:numId w:val="326"/>
        </w:numPr>
        <w:tabs>
          <w:tab w:pos="1498" w:val="left" w:leader="none"/>
          <w:tab w:pos="1581" w:val="left" w:leader="none"/>
        </w:tabs>
        <w:spacing w:line="242" w:lineRule="auto" w:before="121" w:after="0"/>
        <w:ind w:left="1498" w:right="729" w:hanging="240"/>
        <w:jc w:val="left"/>
        <w:rPr>
          <w:sz w:val="24"/>
        </w:rPr>
      </w:pPr>
      <w:r>
        <w:rPr>
          <w:sz w:val="24"/>
        </w:rPr>
        <w:tab/>
        <w:t>Please state the Development Rights, if any, proposed to be used and the</w:t>
      </w:r>
      <w:r>
        <w:rPr>
          <w:spacing w:val="80"/>
          <w:sz w:val="24"/>
        </w:rPr>
        <w:t> </w:t>
      </w:r>
      <w:r>
        <w:rPr>
          <w:sz w:val="24"/>
        </w:rPr>
        <w:t>floor space index credit available there under.</w:t>
      </w:r>
    </w:p>
    <w:p>
      <w:pPr>
        <w:pStyle w:val="ListParagraph"/>
        <w:numPr>
          <w:ilvl w:val="0"/>
          <w:numId w:val="326"/>
        </w:numPr>
        <w:tabs>
          <w:tab w:pos="1498" w:val="left" w:leader="none"/>
          <w:tab w:pos="1519" w:val="left" w:leader="none"/>
        </w:tabs>
        <w:spacing w:line="240" w:lineRule="auto" w:before="115" w:after="0"/>
        <w:ind w:left="1498" w:right="723" w:hanging="240"/>
        <w:jc w:val="left"/>
        <w:rPr>
          <w:sz w:val="24"/>
        </w:rPr>
      </w:pPr>
      <w:r>
        <w:rPr>
          <w:sz w:val="24"/>
        </w:rPr>
        <w:t>Please</w:t>
      </w:r>
      <w:r>
        <w:rPr>
          <w:sz w:val="24"/>
        </w:rPr>
        <w:t> state</w:t>
      </w:r>
      <w:r>
        <w:rPr>
          <w:spacing w:val="-14"/>
          <w:sz w:val="24"/>
        </w:rPr>
        <w:t> </w:t>
      </w:r>
      <w:r>
        <w:rPr>
          <w:sz w:val="24"/>
        </w:rPr>
        <w:t>the</w:t>
      </w:r>
      <w:r>
        <w:rPr>
          <w:spacing w:val="-14"/>
          <w:sz w:val="24"/>
        </w:rPr>
        <w:t> </w:t>
      </w:r>
      <w:r>
        <w:rPr>
          <w:sz w:val="24"/>
        </w:rPr>
        <w:t>overall</w:t>
      </w:r>
      <w:r>
        <w:rPr>
          <w:spacing w:val="-14"/>
          <w:sz w:val="24"/>
        </w:rPr>
        <w:t> </w:t>
      </w:r>
      <w:r>
        <w:rPr>
          <w:sz w:val="24"/>
        </w:rPr>
        <w:t>floor</w:t>
      </w:r>
      <w:r>
        <w:rPr>
          <w:spacing w:val="-14"/>
          <w:sz w:val="24"/>
        </w:rPr>
        <w:t> </w:t>
      </w:r>
      <w:r>
        <w:rPr>
          <w:sz w:val="24"/>
        </w:rPr>
        <w:t>space</w:t>
      </w:r>
      <w:r>
        <w:rPr>
          <w:spacing w:val="-14"/>
          <w:sz w:val="24"/>
        </w:rPr>
        <w:t> </w:t>
      </w:r>
      <w:r>
        <w:rPr>
          <w:sz w:val="24"/>
        </w:rPr>
        <w:t>index</w:t>
      </w:r>
      <w:r>
        <w:rPr>
          <w:spacing w:val="-14"/>
          <w:sz w:val="24"/>
        </w:rPr>
        <w:t> </w:t>
      </w:r>
      <w:r>
        <w:rPr>
          <w:sz w:val="24"/>
        </w:rPr>
        <w:t>[Item</w:t>
      </w:r>
      <w:r>
        <w:rPr>
          <w:spacing w:val="-14"/>
          <w:sz w:val="24"/>
        </w:rPr>
        <w:t> </w:t>
      </w:r>
      <w:r>
        <w:rPr>
          <w:sz w:val="24"/>
        </w:rPr>
        <w:t>11(a)</w:t>
      </w:r>
      <w:r>
        <w:rPr>
          <w:spacing w:val="-14"/>
          <w:sz w:val="24"/>
        </w:rPr>
        <w:t> </w:t>
      </w:r>
      <w:r>
        <w:rPr>
          <w:sz w:val="24"/>
        </w:rPr>
        <w:t>divided</w:t>
      </w:r>
      <w:r>
        <w:rPr>
          <w:spacing w:val="-14"/>
          <w:sz w:val="24"/>
        </w:rPr>
        <w:t> </w:t>
      </w:r>
      <w:r>
        <w:rPr>
          <w:sz w:val="24"/>
        </w:rPr>
        <w:t>by</w:t>
      </w:r>
      <w:r>
        <w:rPr>
          <w:spacing w:val="-14"/>
          <w:sz w:val="24"/>
        </w:rPr>
        <w:t> </w:t>
      </w:r>
      <w:r>
        <w:rPr>
          <w:sz w:val="24"/>
        </w:rPr>
        <w:t>Item</w:t>
      </w:r>
      <w:r>
        <w:rPr>
          <w:spacing w:val="-14"/>
          <w:sz w:val="24"/>
        </w:rPr>
        <w:t> </w:t>
      </w:r>
      <w:r>
        <w:rPr>
          <w:sz w:val="24"/>
        </w:rPr>
        <w:t>3(e)]</w:t>
      </w:r>
      <w:r>
        <w:rPr>
          <w:spacing w:val="-14"/>
          <w:sz w:val="24"/>
        </w:rPr>
        <w:t> </w:t>
      </w:r>
      <w:r>
        <w:rPr>
          <w:sz w:val="24"/>
        </w:rPr>
        <w:t>plus the floor space index available due to Development Rights.</w:t>
      </w:r>
    </w:p>
    <w:p>
      <w:pPr>
        <w:pStyle w:val="ListParagraph"/>
        <w:numPr>
          <w:ilvl w:val="0"/>
          <w:numId w:val="326"/>
        </w:numPr>
        <w:tabs>
          <w:tab w:pos="1545" w:val="left" w:leader="none"/>
        </w:tabs>
        <w:spacing w:line="240" w:lineRule="auto" w:before="121" w:after="0"/>
        <w:ind w:left="1258" w:right="724" w:firstLine="0"/>
        <w:jc w:val="left"/>
        <w:rPr>
          <w:sz w:val="24"/>
        </w:rPr>
      </w:pPr>
      <w:r>
        <w:rPr>
          <w:sz w:val="24"/>
        </w:rPr>
        <w:t>Does</w:t>
      </w:r>
      <w:r>
        <w:rPr>
          <w:spacing w:val="-12"/>
          <w:sz w:val="24"/>
        </w:rPr>
        <w:t> </w:t>
      </w:r>
      <w:r>
        <w:rPr>
          <w:sz w:val="24"/>
        </w:rPr>
        <w:t>the</w:t>
      </w:r>
      <w:r>
        <w:rPr>
          <w:spacing w:val="-12"/>
          <w:sz w:val="24"/>
        </w:rPr>
        <w:t> </w:t>
      </w:r>
      <w:r>
        <w:rPr>
          <w:sz w:val="24"/>
        </w:rPr>
        <w:t>work</w:t>
      </w:r>
      <w:r>
        <w:rPr>
          <w:spacing w:val="-10"/>
          <w:sz w:val="24"/>
        </w:rPr>
        <w:t> </w:t>
      </w:r>
      <w:r>
        <w:rPr>
          <w:sz w:val="24"/>
        </w:rPr>
        <w:t>consume</w:t>
      </w:r>
      <w:r>
        <w:rPr>
          <w:spacing w:val="-12"/>
          <w:sz w:val="24"/>
        </w:rPr>
        <w:t> </w:t>
      </w:r>
      <w:r>
        <w:rPr>
          <w:sz w:val="24"/>
        </w:rPr>
        <w:t>the</w:t>
      </w:r>
      <w:r>
        <w:rPr>
          <w:spacing w:val="-12"/>
          <w:sz w:val="24"/>
        </w:rPr>
        <w:t> </w:t>
      </w:r>
      <w:r>
        <w:rPr>
          <w:sz w:val="24"/>
        </w:rPr>
        <w:t>full</w:t>
      </w:r>
      <w:r>
        <w:rPr>
          <w:spacing w:val="-12"/>
          <w:sz w:val="24"/>
        </w:rPr>
        <w:t> </w:t>
      </w:r>
      <w:r>
        <w:rPr>
          <w:sz w:val="24"/>
        </w:rPr>
        <w:t>floor</w:t>
      </w:r>
      <w:r>
        <w:rPr>
          <w:spacing w:val="-10"/>
          <w:sz w:val="24"/>
        </w:rPr>
        <w:t> </w:t>
      </w:r>
      <w:r>
        <w:rPr>
          <w:sz w:val="24"/>
        </w:rPr>
        <w:t>space</w:t>
      </w:r>
      <w:r>
        <w:rPr>
          <w:spacing w:val="-12"/>
          <w:sz w:val="24"/>
        </w:rPr>
        <w:t> </w:t>
      </w:r>
      <w:r>
        <w:rPr>
          <w:sz w:val="24"/>
        </w:rPr>
        <w:t>index</w:t>
      </w:r>
      <w:r>
        <w:rPr>
          <w:spacing w:val="-12"/>
          <w:sz w:val="24"/>
        </w:rPr>
        <w:t> </w:t>
      </w:r>
      <w:r>
        <w:rPr>
          <w:sz w:val="24"/>
        </w:rPr>
        <w:t>of</w:t>
      </w:r>
      <w:r>
        <w:rPr>
          <w:spacing w:val="-12"/>
          <w:sz w:val="24"/>
        </w:rPr>
        <w:t> </w:t>
      </w:r>
      <w:r>
        <w:rPr>
          <w:sz w:val="24"/>
        </w:rPr>
        <w:t>the</w:t>
      </w:r>
      <w:r>
        <w:rPr>
          <w:spacing w:val="-10"/>
          <w:sz w:val="24"/>
        </w:rPr>
        <w:t> </w:t>
      </w:r>
      <w:r>
        <w:rPr>
          <w:sz w:val="24"/>
        </w:rPr>
        <w:t>plot,</w:t>
      </w:r>
      <w:r>
        <w:rPr>
          <w:spacing w:val="-12"/>
          <w:sz w:val="24"/>
        </w:rPr>
        <w:t> </w:t>
      </w:r>
      <w:r>
        <w:rPr>
          <w:sz w:val="24"/>
        </w:rPr>
        <w:t>as</w:t>
      </w:r>
      <w:r>
        <w:rPr>
          <w:spacing w:val="-12"/>
          <w:sz w:val="24"/>
        </w:rPr>
        <w:t> </w:t>
      </w:r>
      <w:r>
        <w:rPr>
          <w:sz w:val="24"/>
        </w:rPr>
        <w:t>given</w:t>
      </w:r>
      <w:r>
        <w:rPr>
          <w:spacing w:val="-12"/>
          <w:sz w:val="24"/>
        </w:rPr>
        <w:t> </w:t>
      </w:r>
      <w:r>
        <w:rPr>
          <w:sz w:val="24"/>
        </w:rPr>
        <w:t>in</w:t>
      </w:r>
      <w:r>
        <w:rPr>
          <w:spacing w:val="-10"/>
          <w:sz w:val="24"/>
        </w:rPr>
        <w:t> </w:t>
      </w:r>
      <w:r>
        <w:rPr>
          <w:sz w:val="24"/>
        </w:rPr>
        <w:t>item </w:t>
      </w:r>
      <w:r>
        <w:rPr>
          <w:spacing w:val="-2"/>
          <w:sz w:val="24"/>
        </w:rPr>
        <w:t>6(b)?</w:t>
      </w:r>
    </w:p>
    <w:p>
      <w:pPr>
        <w:pStyle w:val="BodyText"/>
        <w:spacing w:before="118"/>
        <w:ind w:left="1498"/>
        <w:jc w:val="left"/>
      </w:pPr>
      <w:r>
        <w:rPr/>
        <w:t>If not,</w:t>
      </w:r>
      <w:r>
        <w:rPr>
          <w:spacing w:val="1"/>
        </w:rPr>
        <w:t> </w:t>
      </w:r>
      <w:r>
        <w:rPr/>
        <w:t>why</w:t>
      </w:r>
      <w:r>
        <w:rPr>
          <w:spacing w:val="1"/>
        </w:rPr>
        <w:t> </w:t>
      </w:r>
      <w:r>
        <w:rPr>
          <w:spacing w:val="-4"/>
        </w:rPr>
        <w:t>not?</w:t>
      </w:r>
    </w:p>
    <w:p>
      <w:pPr>
        <w:pStyle w:val="ListParagraph"/>
        <w:numPr>
          <w:ilvl w:val="0"/>
          <w:numId w:val="326"/>
        </w:numPr>
        <w:tabs>
          <w:tab w:pos="1531" w:val="left" w:leader="none"/>
        </w:tabs>
        <w:spacing w:line="240" w:lineRule="auto" w:before="121" w:after="0"/>
        <w:ind w:left="1531" w:right="0" w:hanging="273"/>
        <w:jc w:val="left"/>
        <w:rPr>
          <w:sz w:val="24"/>
        </w:rPr>
      </w:pPr>
      <w:r>
        <w:rPr>
          <w:sz w:val="24"/>
        </w:rPr>
        <w:t>Is</w:t>
      </w:r>
      <w:r>
        <w:rPr>
          <w:spacing w:val="-2"/>
          <w:sz w:val="24"/>
        </w:rPr>
        <w:t> </w:t>
      </w:r>
      <w:r>
        <w:rPr>
          <w:sz w:val="24"/>
        </w:rPr>
        <w:t>the</w:t>
      </w:r>
      <w:r>
        <w:rPr>
          <w:spacing w:val="-1"/>
          <w:sz w:val="24"/>
        </w:rPr>
        <w:t> </w:t>
      </w:r>
      <w:r>
        <w:rPr>
          <w:sz w:val="24"/>
        </w:rPr>
        <w:t>building</w:t>
      </w:r>
      <w:r>
        <w:rPr>
          <w:spacing w:val="-2"/>
          <w:sz w:val="24"/>
        </w:rPr>
        <w:t> </w:t>
      </w:r>
      <w:r>
        <w:rPr>
          <w:sz w:val="24"/>
        </w:rPr>
        <w:t>proposed</w:t>
      </w:r>
      <w:r>
        <w:rPr>
          <w:spacing w:val="-1"/>
          <w:sz w:val="24"/>
        </w:rPr>
        <w:t> </w:t>
      </w:r>
      <w:r>
        <w:rPr>
          <w:sz w:val="24"/>
        </w:rPr>
        <w:t>with</w:t>
      </w:r>
      <w:r>
        <w:rPr>
          <w:spacing w:val="-1"/>
          <w:sz w:val="24"/>
        </w:rPr>
        <w:t> </w:t>
      </w:r>
      <w:r>
        <w:rPr>
          <w:sz w:val="24"/>
        </w:rPr>
        <w:t>setbacks</w:t>
      </w:r>
      <w:r>
        <w:rPr>
          <w:spacing w:val="-2"/>
          <w:sz w:val="24"/>
        </w:rPr>
        <w:t> </w:t>
      </w:r>
      <w:r>
        <w:rPr>
          <w:sz w:val="24"/>
        </w:rPr>
        <w:t>on</w:t>
      </w:r>
      <w:r>
        <w:rPr>
          <w:spacing w:val="-1"/>
          <w:sz w:val="24"/>
        </w:rPr>
        <w:t> </w:t>
      </w:r>
      <w:r>
        <w:rPr>
          <w:sz w:val="24"/>
        </w:rPr>
        <w:t>upper</w:t>
      </w:r>
      <w:r>
        <w:rPr>
          <w:spacing w:val="-1"/>
          <w:sz w:val="24"/>
        </w:rPr>
        <w:t> </w:t>
      </w:r>
      <w:r>
        <w:rPr>
          <w:spacing w:val="-2"/>
          <w:sz w:val="24"/>
        </w:rPr>
        <w:t>floors?</w:t>
      </w:r>
    </w:p>
    <w:p>
      <w:pPr>
        <w:pStyle w:val="ListParagraph"/>
        <w:numPr>
          <w:ilvl w:val="0"/>
          <w:numId w:val="326"/>
        </w:numPr>
        <w:tabs>
          <w:tab w:pos="1482" w:val="left" w:leader="none"/>
        </w:tabs>
        <w:spacing w:line="343" w:lineRule="auto" w:before="120" w:after="0"/>
        <w:ind w:left="777" w:right="1381" w:firstLine="480"/>
        <w:jc w:val="left"/>
        <w:rPr>
          <w:sz w:val="24"/>
        </w:rPr>
      </w:pPr>
      <w:r>
        <w:rPr>
          <w:sz w:val="24"/>
        </w:rPr>
        <w:t>What</w:t>
      </w:r>
      <w:r>
        <w:rPr>
          <w:spacing w:val="-3"/>
          <w:sz w:val="24"/>
        </w:rPr>
        <w:t> </w:t>
      </w:r>
      <w:r>
        <w:rPr>
          <w:sz w:val="24"/>
        </w:rPr>
        <w:t>is</w:t>
      </w:r>
      <w:r>
        <w:rPr>
          <w:spacing w:val="-3"/>
          <w:sz w:val="24"/>
        </w:rPr>
        <w:t> </w:t>
      </w:r>
      <w:r>
        <w:rPr>
          <w:sz w:val="24"/>
        </w:rPr>
        <w:t>the</w:t>
      </w:r>
      <w:r>
        <w:rPr>
          <w:spacing w:val="-3"/>
          <w:sz w:val="24"/>
        </w:rPr>
        <w:t> </w:t>
      </w:r>
      <w:r>
        <w:rPr>
          <w:sz w:val="24"/>
        </w:rPr>
        <w:t>total</w:t>
      </w:r>
      <w:r>
        <w:rPr>
          <w:spacing w:val="-3"/>
          <w:sz w:val="24"/>
        </w:rPr>
        <w:t> </w:t>
      </w:r>
      <w:r>
        <w:rPr>
          <w:sz w:val="24"/>
        </w:rPr>
        <w:t>number</w:t>
      </w:r>
      <w:r>
        <w:rPr>
          <w:spacing w:val="-3"/>
          <w:sz w:val="24"/>
        </w:rPr>
        <w:t> </w:t>
      </w:r>
      <w:r>
        <w:rPr>
          <w:sz w:val="24"/>
        </w:rPr>
        <w:t>of</w:t>
      </w:r>
      <w:r>
        <w:rPr>
          <w:spacing w:val="-3"/>
          <w:sz w:val="24"/>
        </w:rPr>
        <w:t> </w:t>
      </w:r>
      <w:r>
        <w:rPr>
          <w:sz w:val="24"/>
        </w:rPr>
        <w:t>tenements</w:t>
      </w:r>
      <w:r>
        <w:rPr>
          <w:spacing w:val="-3"/>
          <w:sz w:val="24"/>
        </w:rPr>
        <w:t> </w:t>
      </w:r>
      <w:r>
        <w:rPr>
          <w:sz w:val="24"/>
        </w:rPr>
        <w:t>[Item</w:t>
      </w:r>
      <w:r>
        <w:rPr>
          <w:spacing w:val="-3"/>
          <w:sz w:val="24"/>
        </w:rPr>
        <w:t> </w:t>
      </w:r>
      <w:r>
        <w:rPr>
          <w:sz w:val="24"/>
        </w:rPr>
        <w:t>10(a)</w:t>
      </w:r>
      <w:r>
        <w:rPr>
          <w:spacing w:val="-3"/>
          <w:sz w:val="24"/>
        </w:rPr>
        <w:t> </w:t>
      </w:r>
      <w:r>
        <w:rPr>
          <w:sz w:val="24"/>
        </w:rPr>
        <w:t>(iv)</w:t>
      </w:r>
      <w:r>
        <w:rPr>
          <w:spacing w:val="-3"/>
          <w:sz w:val="24"/>
        </w:rPr>
        <w:t> </w:t>
      </w:r>
      <w:r>
        <w:rPr>
          <w:sz w:val="24"/>
        </w:rPr>
        <w:t>plus</w:t>
      </w:r>
      <w:r>
        <w:rPr>
          <w:spacing w:val="-6"/>
          <w:sz w:val="24"/>
        </w:rPr>
        <w:t> </w:t>
      </w:r>
      <w:r>
        <w:rPr>
          <w:sz w:val="24"/>
        </w:rPr>
        <w:t>Item</w:t>
      </w:r>
      <w:r>
        <w:rPr>
          <w:spacing w:val="-3"/>
          <w:sz w:val="24"/>
        </w:rPr>
        <w:t> </w:t>
      </w:r>
      <w:r>
        <w:rPr>
          <w:sz w:val="24"/>
        </w:rPr>
        <w:t>10(c)]? Note. -INDICATE DETAILS ON THE BUILDING PLAN AS IN FORM 1.</w:t>
      </w:r>
    </w:p>
    <w:p>
      <w:pPr>
        <w:pStyle w:val="ListParagraph"/>
        <w:numPr>
          <w:ilvl w:val="1"/>
          <w:numId w:val="141"/>
        </w:numPr>
        <w:tabs>
          <w:tab w:pos="1138" w:val="left" w:leader="none"/>
          <w:tab w:pos="1219" w:val="left" w:leader="none"/>
          <w:tab w:pos="6538" w:val="left" w:leader="none"/>
        </w:tabs>
        <w:spacing w:line="240" w:lineRule="auto" w:before="0" w:after="0"/>
        <w:ind w:left="1138" w:right="723" w:hanging="361"/>
        <w:jc w:val="both"/>
        <w:rPr>
          <w:sz w:val="24"/>
        </w:rPr>
      </w:pPr>
      <w:r>
        <w:rPr>
          <w:sz w:val="24"/>
        </w:rPr>
        <w:t>(a) What is the width of the front open space? If the building abuts two or more streets, does</w:t>
        <w:tab/>
        <w:t>the</w:t>
      </w:r>
      <w:r>
        <w:rPr>
          <w:spacing w:val="-2"/>
          <w:sz w:val="24"/>
        </w:rPr>
        <w:t> </w:t>
      </w:r>
      <w:r>
        <w:rPr>
          <w:sz w:val="24"/>
        </w:rPr>
        <w:t>front</w:t>
      </w:r>
      <w:r>
        <w:rPr>
          <w:spacing w:val="-2"/>
          <w:sz w:val="24"/>
        </w:rPr>
        <w:t> </w:t>
      </w:r>
      <w:r>
        <w:rPr>
          <w:sz w:val="24"/>
        </w:rPr>
        <w:t>open</w:t>
      </w:r>
      <w:r>
        <w:rPr>
          <w:spacing w:val="-2"/>
          <w:sz w:val="24"/>
        </w:rPr>
        <w:t> </w:t>
      </w:r>
      <w:r>
        <w:rPr>
          <w:sz w:val="24"/>
        </w:rPr>
        <w:t>space</w:t>
      </w:r>
      <w:r>
        <w:rPr>
          <w:spacing w:val="-2"/>
          <w:sz w:val="24"/>
        </w:rPr>
        <w:t> </w:t>
      </w:r>
      <w:r>
        <w:rPr>
          <w:sz w:val="24"/>
        </w:rPr>
        <w:t>comply</w:t>
      </w:r>
      <w:r>
        <w:rPr>
          <w:spacing w:val="-2"/>
          <w:sz w:val="24"/>
        </w:rPr>
        <w:t> </w:t>
      </w:r>
      <w:r>
        <w:rPr>
          <w:sz w:val="24"/>
        </w:rPr>
        <w:t>with Regulations 41(1)</w:t>
      </w:r>
    </w:p>
    <w:p>
      <w:pPr>
        <w:pStyle w:val="BodyText"/>
        <w:spacing w:before="118"/>
        <w:ind w:left="1498" w:right="726" w:hanging="360"/>
      </w:pPr>
      <w:r>
        <w:rPr/>
        <w:t>(b)</w:t>
      </w:r>
      <w:r>
        <w:rPr>
          <w:spacing w:val="-17"/>
        </w:rPr>
        <w:t> </w:t>
      </w:r>
      <w:r>
        <w:rPr/>
        <w:t>Please</w:t>
      </w:r>
      <w:r>
        <w:rPr>
          <w:spacing w:val="-17"/>
        </w:rPr>
        <w:t> </w:t>
      </w:r>
      <w:r>
        <w:rPr/>
        <w:t>state</w:t>
      </w:r>
      <w:r>
        <w:rPr>
          <w:spacing w:val="-17"/>
        </w:rPr>
        <w:t> </w:t>
      </w:r>
      <w:r>
        <w:rPr/>
        <w:t>which</w:t>
      </w:r>
      <w:r>
        <w:rPr>
          <w:spacing w:val="-17"/>
        </w:rPr>
        <w:t> </w:t>
      </w:r>
      <w:r>
        <w:rPr/>
        <w:t>of</w:t>
      </w:r>
      <w:r>
        <w:rPr>
          <w:spacing w:val="-17"/>
        </w:rPr>
        <w:t> </w:t>
      </w:r>
      <w:r>
        <w:rPr/>
        <w:t>the</w:t>
      </w:r>
      <w:r>
        <w:rPr>
          <w:spacing w:val="-17"/>
        </w:rPr>
        <w:t> </w:t>
      </w:r>
      <w:r>
        <w:rPr/>
        <w:t>sub-Regulations</w:t>
      </w:r>
      <w:r>
        <w:rPr>
          <w:spacing w:val="-17"/>
        </w:rPr>
        <w:t> </w:t>
      </w:r>
      <w:r>
        <w:rPr/>
        <w:t>of</w:t>
      </w:r>
      <w:r>
        <w:rPr>
          <w:spacing w:val="-17"/>
        </w:rPr>
        <w:t> </w:t>
      </w:r>
      <w:r>
        <w:rPr/>
        <w:t>Regulations</w:t>
      </w:r>
      <w:r>
        <w:rPr>
          <w:spacing w:val="-17"/>
        </w:rPr>
        <w:t> </w:t>
      </w:r>
      <w:r>
        <w:rPr/>
        <w:t>41</w:t>
      </w:r>
      <w:r>
        <w:rPr>
          <w:spacing w:val="-17"/>
        </w:rPr>
        <w:t> </w:t>
      </w:r>
      <w:r>
        <w:rPr/>
        <w:t>and/or</w:t>
      </w:r>
      <w:r>
        <w:rPr>
          <w:spacing w:val="-17"/>
        </w:rPr>
        <w:t> </w:t>
      </w:r>
      <w:r>
        <w:rPr/>
        <w:t>any</w:t>
      </w:r>
      <w:r>
        <w:rPr>
          <w:spacing w:val="-17"/>
        </w:rPr>
        <w:t> </w:t>
      </w:r>
      <w:r>
        <w:rPr/>
        <w:t>other Regulations is applicable for the open space?</w:t>
      </w:r>
    </w:p>
    <w:p>
      <w:pPr>
        <w:pStyle w:val="ListParagraph"/>
        <w:numPr>
          <w:ilvl w:val="1"/>
          <w:numId w:val="141"/>
        </w:numPr>
        <w:tabs>
          <w:tab w:pos="1145" w:val="left" w:leader="none"/>
        </w:tabs>
        <w:spacing w:line="240" w:lineRule="auto" w:before="120" w:after="0"/>
        <w:ind w:left="1145" w:right="0" w:hanging="368"/>
        <w:jc w:val="both"/>
        <w:rPr>
          <w:sz w:val="24"/>
        </w:rPr>
      </w:pPr>
      <w:r>
        <w:rPr>
          <w:sz w:val="24"/>
        </w:rPr>
        <w:t>Does</w:t>
      </w:r>
      <w:r>
        <w:rPr>
          <w:spacing w:val="-1"/>
          <w:sz w:val="24"/>
        </w:rPr>
        <w:t> </w:t>
      </w:r>
      <w:r>
        <w:rPr>
          <w:sz w:val="24"/>
        </w:rPr>
        <w:t>the</w:t>
      </w:r>
      <w:r>
        <w:rPr>
          <w:spacing w:val="-1"/>
          <w:sz w:val="24"/>
        </w:rPr>
        <w:t> </w:t>
      </w:r>
      <w:r>
        <w:rPr>
          <w:sz w:val="24"/>
        </w:rPr>
        <w:t>front</w:t>
      </w:r>
      <w:r>
        <w:rPr>
          <w:spacing w:val="-1"/>
          <w:sz w:val="24"/>
        </w:rPr>
        <w:t> </w:t>
      </w:r>
      <w:r>
        <w:rPr>
          <w:sz w:val="24"/>
        </w:rPr>
        <w:t>open space</w:t>
      </w:r>
      <w:r>
        <w:rPr>
          <w:spacing w:val="-1"/>
          <w:sz w:val="24"/>
        </w:rPr>
        <w:t> </w:t>
      </w:r>
      <w:r>
        <w:rPr>
          <w:sz w:val="24"/>
        </w:rPr>
        <w:t>comply</w:t>
      </w:r>
      <w:r>
        <w:rPr>
          <w:spacing w:val="-1"/>
          <w:sz w:val="24"/>
        </w:rPr>
        <w:t> </w:t>
      </w:r>
      <w:r>
        <w:rPr>
          <w:sz w:val="24"/>
        </w:rPr>
        <w:t>with</w:t>
      </w:r>
      <w:r>
        <w:rPr>
          <w:spacing w:val="-1"/>
          <w:sz w:val="24"/>
        </w:rPr>
        <w:t> </w:t>
      </w:r>
      <w:r>
        <w:rPr>
          <w:sz w:val="24"/>
        </w:rPr>
        <w:t>the </w:t>
      </w:r>
      <w:r>
        <w:rPr>
          <w:spacing w:val="-2"/>
          <w:sz w:val="24"/>
        </w:rPr>
        <w:t>Regulations?</w:t>
      </w:r>
    </w:p>
    <w:p>
      <w:pPr>
        <w:pStyle w:val="ListParagraph"/>
        <w:numPr>
          <w:ilvl w:val="1"/>
          <w:numId w:val="141"/>
        </w:numPr>
        <w:tabs>
          <w:tab w:pos="1222" w:val="left" w:leader="none"/>
        </w:tabs>
        <w:spacing w:line="240" w:lineRule="auto" w:before="120" w:after="0"/>
        <w:ind w:left="1222" w:right="0" w:hanging="445"/>
        <w:jc w:val="both"/>
        <w:rPr>
          <w:sz w:val="24"/>
        </w:rPr>
      </w:pPr>
      <w:r>
        <w:rPr>
          <w:sz w:val="24"/>
        </w:rPr>
        <w:t>(a) What </w:t>
      </w:r>
      <w:r>
        <w:rPr>
          <w:spacing w:val="-5"/>
          <w:sz w:val="24"/>
        </w:rPr>
        <w:t>is-</w:t>
      </w:r>
    </w:p>
    <w:p>
      <w:pPr>
        <w:pStyle w:val="ListParagraph"/>
        <w:numPr>
          <w:ilvl w:val="0"/>
          <w:numId w:val="362"/>
        </w:numPr>
        <w:tabs>
          <w:tab w:pos="1790" w:val="left" w:leader="none"/>
        </w:tabs>
        <w:spacing w:line="240" w:lineRule="auto" w:before="121" w:after="0"/>
        <w:ind w:left="1790" w:right="0" w:hanging="292"/>
        <w:jc w:val="left"/>
        <w:rPr>
          <w:sz w:val="24"/>
        </w:rPr>
      </w:pPr>
      <w:r>
        <w:rPr>
          <w:sz w:val="24"/>
        </w:rPr>
        <w:t>the</w:t>
      </w:r>
      <w:r>
        <w:rPr>
          <w:spacing w:val="-2"/>
          <w:sz w:val="24"/>
        </w:rPr>
        <w:t> </w:t>
      </w:r>
      <w:r>
        <w:rPr>
          <w:sz w:val="24"/>
        </w:rPr>
        <w:t>width</w:t>
      </w:r>
      <w:r>
        <w:rPr>
          <w:spacing w:val="-1"/>
          <w:sz w:val="24"/>
        </w:rPr>
        <w:t> </w:t>
      </w:r>
      <w:r>
        <w:rPr>
          <w:sz w:val="24"/>
        </w:rPr>
        <w:t>of</w:t>
      </w:r>
      <w:r>
        <w:rPr>
          <w:spacing w:val="-1"/>
          <w:sz w:val="24"/>
        </w:rPr>
        <w:t> </w:t>
      </w:r>
      <w:r>
        <w:rPr>
          <w:sz w:val="24"/>
        </w:rPr>
        <w:t>side</w:t>
      </w:r>
      <w:r>
        <w:rPr>
          <w:spacing w:val="-1"/>
          <w:sz w:val="24"/>
        </w:rPr>
        <w:t> </w:t>
      </w:r>
      <w:r>
        <w:rPr>
          <w:sz w:val="24"/>
        </w:rPr>
        <w:t>open</w:t>
      </w:r>
      <w:r>
        <w:rPr>
          <w:spacing w:val="-1"/>
          <w:sz w:val="24"/>
        </w:rPr>
        <w:t> </w:t>
      </w:r>
      <w:r>
        <w:rPr>
          <w:sz w:val="24"/>
        </w:rPr>
        <w:t>space</w:t>
      </w:r>
      <w:r>
        <w:rPr>
          <w:spacing w:val="-1"/>
          <w:sz w:val="24"/>
        </w:rPr>
        <w:t> </w:t>
      </w:r>
      <w:r>
        <w:rPr>
          <w:spacing w:val="-4"/>
          <w:sz w:val="24"/>
        </w:rPr>
        <w:t>(s)?</w:t>
      </w:r>
    </w:p>
    <w:p>
      <w:pPr>
        <w:pStyle w:val="ListParagraph"/>
        <w:numPr>
          <w:ilvl w:val="0"/>
          <w:numId w:val="362"/>
        </w:numPr>
        <w:tabs>
          <w:tab w:pos="1939" w:val="left" w:leader="none"/>
        </w:tabs>
        <w:spacing w:line="240" w:lineRule="auto" w:before="119" w:after="0"/>
        <w:ind w:left="1939" w:right="0" w:hanging="441"/>
        <w:jc w:val="left"/>
        <w:rPr>
          <w:sz w:val="24"/>
        </w:rPr>
      </w:pPr>
      <w:r>
        <w:rPr>
          <w:sz w:val="24"/>
        </w:rPr>
        <w:t>the</w:t>
      </w:r>
      <w:r>
        <w:rPr>
          <w:spacing w:val="-2"/>
          <w:sz w:val="24"/>
        </w:rPr>
        <w:t> </w:t>
      </w:r>
      <w:r>
        <w:rPr>
          <w:sz w:val="24"/>
        </w:rPr>
        <w:t>width</w:t>
      </w:r>
      <w:r>
        <w:rPr>
          <w:spacing w:val="-1"/>
          <w:sz w:val="24"/>
        </w:rPr>
        <w:t> </w:t>
      </w:r>
      <w:r>
        <w:rPr>
          <w:sz w:val="24"/>
        </w:rPr>
        <w:t>of</w:t>
      </w:r>
      <w:r>
        <w:rPr>
          <w:spacing w:val="-1"/>
          <w:sz w:val="24"/>
        </w:rPr>
        <w:t> </w:t>
      </w:r>
      <w:r>
        <w:rPr>
          <w:sz w:val="24"/>
        </w:rPr>
        <w:t>rear</w:t>
      </w:r>
      <w:r>
        <w:rPr>
          <w:spacing w:val="-1"/>
          <w:sz w:val="24"/>
        </w:rPr>
        <w:t> </w:t>
      </w:r>
      <w:r>
        <w:rPr>
          <w:sz w:val="24"/>
        </w:rPr>
        <w:t>open</w:t>
      </w:r>
      <w:r>
        <w:rPr>
          <w:spacing w:val="-1"/>
          <w:sz w:val="24"/>
        </w:rPr>
        <w:t> </w:t>
      </w:r>
      <w:r>
        <w:rPr>
          <w:sz w:val="24"/>
        </w:rPr>
        <w:t>space</w:t>
      </w:r>
      <w:r>
        <w:rPr>
          <w:spacing w:val="-1"/>
          <w:sz w:val="24"/>
        </w:rPr>
        <w:t> </w:t>
      </w:r>
      <w:r>
        <w:rPr>
          <w:spacing w:val="-4"/>
          <w:sz w:val="24"/>
        </w:rPr>
        <w:t>(s)?</w:t>
      </w:r>
    </w:p>
    <w:p>
      <w:pPr>
        <w:pStyle w:val="ListParagraph"/>
        <w:numPr>
          <w:ilvl w:val="0"/>
          <w:numId w:val="362"/>
        </w:numPr>
        <w:tabs>
          <w:tab w:pos="2011" w:val="left" w:leader="none"/>
        </w:tabs>
        <w:spacing w:line="240" w:lineRule="auto" w:before="120" w:after="0"/>
        <w:ind w:left="2011" w:right="0" w:hanging="513"/>
        <w:jc w:val="left"/>
        <w:rPr>
          <w:sz w:val="24"/>
        </w:rPr>
      </w:pPr>
      <w:r>
        <w:rPr>
          <w:sz w:val="24"/>
        </w:rPr>
        <w:t>the</w:t>
      </w:r>
      <w:r>
        <w:rPr>
          <w:spacing w:val="-4"/>
          <w:sz w:val="24"/>
        </w:rPr>
        <w:t> </w:t>
      </w:r>
      <w:r>
        <w:rPr>
          <w:sz w:val="24"/>
        </w:rPr>
        <w:t>distance</w:t>
      </w:r>
      <w:r>
        <w:rPr>
          <w:spacing w:val="-2"/>
          <w:sz w:val="24"/>
        </w:rPr>
        <w:t> </w:t>
      </w:r>
      <w:r>
        <w:rPr>
          <w:sz w:val="24"/>
        </w:rPr>
        <w:t>between</w:t>
      </w:r>
      <w:r>
        <w:rPr>
          <w:spacing w:val="-2"/>
          <w:sz w:val="24"/>
        </w:rPr>
        <w:t> buildings?</w:t>
      </w:r>
    </w:p>
    <w:p>
      <w:pPr>
        <w:pStyle w:val="ListParagraph"/>
        <w:numPr>
          <w:ilvl w:val="0"/>
          <w:numId w:val="363"/>
        </w:numPr>
        <w:tabs>
          <w:tab w:pos="1506" w:val="left" w:leader="none"/>
        </w:tabs>
        <w:spacing w:line="340" w:lineRule="auto" w:before="121" w:after="0"/>
        <w:ind w:left="777" w:right="4517" w:firstLine="360"/>
        <w:jc w:val="left"/>
        <w:rPr>
          <w:sz w:val="24"/>
        </w:rPr>
      </w:pPr>
      <w:r>
        <w:rPr>
          <w:sz w:val="24"/>
        </w:rPr>
        <w:t>Do</w:t>
      </w:r>
      <w:r>
        <w:rPr>
          <w:spacing w:val="-7"/>
          <w:sz w:val="24"/>
        </w:rPr>
        <w:t> </w:t>
      </w:r>
      <w:r>
        <w:rPr>
          <w:sz w:val="24"/>
        </w:rPr>
        <w:t>they</w:t>
      </w:r>
      <w:r>
        <w:rPr>
          <w:spacing w:val="-7"/>
          <w:sz w:val="24"/>
        </w:rPr>
        <w:t> </w:t>
      </w:r>
      <w:r>
        <w:rPr>
          <w:sz w:val="24"/>
        </w:rPr>
        <w:t>comply</w:t>
      </w:r>
      <w:r>
        <w:rPr>
          <w:spacing w:val="-7"/>
          <w:sz w:val="24"/>
        </w:rPr>
        <w:t> </w:t>
      </w:r>
      <w:r>
        <w:rPr>
          <w:sz w:val="24"/>
        </w:rPr>
        <w:t>with</w:t>
      </w:r>
      <w:r>
        <w:rPr>
          <w:spacing w:val="-7"/>
          <w:sz w:val="24"/>
        </w:rPr>
        <w:t> </w:t>
      </w:r>
      <w:r>
        <w:rPr>
          <w:sz w:val="24"/>
        </w:rPr>
        <w:t>Regulations</w:t>
      </w:r>
      <w:r>
        <w:rPr>
          <w:spacing w:val="-7"/>
          <w:sz w:val="24"/>
        </w:rPr>
        <w:t> </w:t>
      </w:r>
      <w:r>
        <w:rPr>
          <w:sz w:val="24"/>
        </w:rPr>
        <w:t>41(2)(i)(a)? Regulations 41(6)?</w:t>
      </w:r>
    </w:p>
    <w:p>
      <w:pPr>
        <w:pStyle w:val="ListParagraph"/>
        <w:numPr>
          <w:ilvl w:val="0"/>
          <w:numId w:val="363"/>
        </w:numPr>
        <w:tabs>
          <w:tab w:pos="1406" w:val="left" w:leader="none"/>
        </w:tabs>
        <w:spacing w:line="240" w:lineRule="auto" w:before="4" w:after="0"/>
        <w:ind w:left="1406" w:right="0" w:hanging="268"/>
        <w:jc w:val="left"/>
        <w:rPr>
          <w:sz w:val="24"/>
        </w:rPr>
      </w:pPr>
      <w:r>
        <w:rPr>
          <w:sz w:val="24"/>
        </w:rPr>
        <w:t>Are</w:t>
      </w:r>
      <w:r>
        <w:rPr>
          <w:spacing w:val="-1"/>
          <w:sz w:val="24"/>
        </w:rPr>
        <w:t> </w:t>
      </w:r>
      <w:r>
        <w:rPr>
          <w:sz w:val="24"/>
        </w:rPr>
        <w:t>there two</w:t>
      </w:r>
      <w:r>
        <w:rPr>
          <w:spacing w:val="-1"/>
          <w:sz w:val="24"/>
        </w:rPr>
        <w:t> </w:t>
      </w:r>
      <w:r>
        <w:rPr>
          <w:sz w:val="24"/>
        </w:rPr>
        <w:t>or more wings</w:t>
      </w:r>
      <w:r>
        <w:rPr>
          <w:spacing w:val="-1"/>
          <w:sz w:val="24"/>
        </w:rPr>
        <w:t> </w:t>
      </w:r>
      <w:r>
        <w:rPr>
          <w:sz w:val="24"/>
        </w:rPr>
        <w:t>to the </w:t>
      </w:r>
      <w:r>
        <w:rPr>
          <w:spacing w:val="-2"/>
          <w:sz w:val="24"/>
        </w:rPr>
        <w:t>buildings?</w:t>
      </w:r>
    </w:p>
    <w:p>
      <w:pPr>
        <w:pStyle w:val="BodyText"/>
        <w:spacing w:before="119"/>
        <w:ind w:left="1138"/>
        <w:jc w:val="left"/>
      </w:pPr>
      <w:r>
        <w:rPr/>
        <w:t>If</w:t>
      </w:r>
      <w:r>
        <w:rPr>
          <w:spacing w:val="40"/>
        </w:rPr>
        <w:t> </w:t>
      </w:r>
      <w:r>
        <w:rPr/>
        <w:t>so,</w:t>
      </w:r>
      <w:r>
        <w:rPr>
          <w:spacing w:val="37"/>
        </w:rPr>
        <w:t> </w:t>
      </w:r>
      <w:r>
        <w:rPr/>
        <w:t>are</w:t>
      </w:r>
      <w:r>
        <w:rPr>
          <w:spacing w:val="40"/>
        </w:rPr>
        <w:t> </w:t>
      </w:r>
      <w:r>
        <w:rPr/>
        <w:t>the</w:t>
      </w:r>
      <w:r>
        <w:rPr>
          <w:spacing w:val="40"/>
        </w:rPr>
        <w:t> </w:t>
      </w:r>
      <w:r>
        <w:rPr/>
        <w:t>open</w:t>
      </w:r>
      <w:r>
        <w:rPr>
          <w:spacing w:val="37"/>
        </w:rPr>
        <w:t> </w:t>
      </w:r>
      <w:r>
        <w:rPr/>
        <w:t>spaces</w:t>
      </w:r>
      <w:r>
        <w:rPr>
          <w:spacing w:val="40"/>
        </w:rPr>
        <w:t> </w:t>
      </w:r>
      <w:r>
        <w:rPr/>
        <w:t>separate</w:t>
      </w:r>
      <w:r>
        <w:rPr>
          <w:spacing w:val="40"/>
        </w:rPr>
        <w:t> </w:t>
      </w:r>
      <w:r>
        <w:rPr/>
        <w:t>or</w:t>
      </w:r>
      <w:r>
        <w:rPr>
          <w:spacing w:val="37"/>
        </w:rPr>
        <w:t> </w:t>
      </w:r>
      <w:r>
        <w:rPr/>
        <w:t>distinct</w:t>
      </w:r>
      <w:r>
        <w:rPr>
          <w:spacing w:val="40"/>
        </w:rPr>
        <w:t> </w:t>
      </w:r>
      <w:r>
        <w:rPr/>
        <w:t>for</w:t>
      </w:r>
      <w:r>
        <w:rPr>
          <w:spacing w:val="40"/>
        </w:rPr>
        <w:t> </w:t>
      </w:r>
      <w:r>
        <w:rPr/>
        <w:t>each</w:t>
      </w:r>
      <w:r>
        <w:rPr>
          <w:spacing w:val="40"/>
        </w:rPr>
        <w:t> </w:t>
      </w:r>
      <w:r>
        <w:rPr/>
        <w:t>wing</w:t>
      </w:r>
      <w:r>
        <w:rPr>
          <w:spacing w:val="40"/>
        </w:rPr>
        <w:t> </w:t>
      </w:r>
      <w:r>
        <w:rPr/>
        <w:t>as</w:t>
      </w:r>
      <w:r>
        <w:rPr>
          <w:spacing w:val="40"/>
        </w:rPr>
        <w:t> </w:t>
      </w:r>
      <w:r>
        <w:rPr/>
        <w:t>required</w:t>
      </w:r>
      <w:r>
        <w:rPr>
          <w:spacing w:val="40"/>
        </w:rPr>
        <w:t> </w:t>
      </w:r>
      <w:r>
        <w:rPr/>
        <w:t>by Regulations 41(1)(a)</w:t>
      </w:r>
    </w:p>
    <w:p>
      <w:pPr>
        <w:pStyle w:val="ListParagraph"/>
        <w:numPr>
          <w:ilvl w:val="1"/>
          <w:numId w:val="141"/>
        </w:numPr>
        <w:tabs>
          <w:tab w:pos="1246" w:val="left" w:leader="none"/>
          <w:tab w:pos="1258" w:val="left" w:leader="none"/>
        </w:tabs>
        <w:spacing w:line="240" w:lineRule="auto" w:before="121" w:after="0"/>
        <w:ind w:left="1258" w:right="725" w:hanging="481"/>
        <w:jc w:val="left"/>
        <w:rPr>
          <w:sz w:val="24"/>
        </w:rPr>
      </w:pPr>
      <w:r>
        <w:rPr>
          <w:sz w:val="24"/>
        </w:rPr>
        <w:t>If the plot is narrow, which clause under Regulations 41(7)(a) or Regulations</w:t>
      </w:r>
      <w:r>
        <w:rPr>
          <w:spacing w:val="40"/>
          <w:sz w:val="24"/>
        </w:rPr>
        <w:t> </w:t>
      </w:r>
      <w:r>
        <w:rPr>
          <w:sz w:val="24"/>
        </w:rPr>
        <w:t>41(7)(b), do you propose to take advantage of (whatever applicable)?</w:t>
      </w:r>
    </w:p>
    <w:p>
      <w:pPr>
        <w:pStyle w:val="ListParagraph"/>
        <w:numPr>
          <w:ilvl w:val="1"/>
          <w:numId w:val="141"/>
        </w:numPr>
        <w:tabs>
          <w:tab w:pos="1222" w:val="left" w:leader="none"/>
        </w:tabs>
        <w:spacing w:line="240" w:lineRule="auto" w:before="118" w:after="0"/>
        <w:ind w:left="1222" w:right="0" w:hanging="445"/>
        <w:jc w:val="left"/>
        <w:rPr>
          <w:sz w:val="24"/>
        </w:rPr>
      </w:pPr>
      <w:r>
        <w:rPr>
          <w:sz w:val="24"/>
        </w:rPr>
        <w:t>(a) What are the dimensions of the inner or outer </w:t>
      </w:r>
      <w:r>
        <w:rPr>
          <w:spacing w:val="-2"/>
          <w:sz w:val="24"/>
        </w:rPr>
        <w:t>chowk?</w:t>
      </w:r>
    </w:p>
    <w:p>
      <w:pPr>
        <w:pStyle w:val="ListParagraph"/>
        <w:spacing w:after="0" w:line="240" w:lineRule="auto"/>
        <w:jc w:val="left"/>
        <w:rPr>
          <w:sz w:val="24"/>
        </w:rPr>
        <w:sectPr>
          <w:pgSz w:w="11910" w:h="16850"/>
          <w:pgMar w:header="1024" w:footer="1302" w:top="1480" w:bottom="1500" w:left="360" w:right="360"/>
        </w:sectPr>
      </w:pPr>
    </w:p>
    <w:p>
      <w:pPr>
        <w:pStyle w:val="BodyText"/>
        <w:spacing w:before="276"/>
        <w:ind w:left="1858" w:right="723" w:hanging="720"/>
        <w:jc w:val="left"/>
      </w:pPr>
      <w:r>
        <w:rPr/>
        <w:t>(b)(i)Does</w:t>
      </w:r>
      <w:r>
        <w:rPr>
          <w:spacing w:val="-5"/>
        </w:rPr>
        <w:t> </w:t>
      </w:r>
      <w:r>
        <w:rPr/>
        <w:t>any</w:t>
      </w:r>
      <w:r>
        <w:rPr>
          <w:spacing w:val="-5"/>
        </w:rPr>
        <w:t> </w:t>
      </w:r>
      <w:r>
        <w:rPr/>
        <w:t>room</w:t>
      </w:r>
      <w:r>
        <w:rPr>
          <w:spacing w:val="-2"/>
        </w:rPr>
        <w:t> </w:t>
      </w:r>
      <w:r>
        <w:rPr/>
        <w:t>depend</w:t>
      </w:r>
      <w:r>
        <w:rPr>
          <w:spacing w:val="-5"/>
        </w:rPr>
        <w:t> </w:t>
      </w:r>
      <w:r>
        <w:rPr/>
        <w:t>for</w:t>
      </w:r>
      <w:r>
        <w:rPr>
          <w:spacing w:val="-5"/>
        </w:rPr>
        <w:t> </w:t>
      </w:r>
      <w:r>
        <w:rPr/>
        <w:t>its</w:t>
      </w:r>
      <w:r>
        <w:rPr>
          <w:spacing w:val="-5"/>
        </w:rPr>
        <w:t> </w:t>
      </w:r>
      <w:r>
        <w:rPr/>
        <w:t>light</w:t>
      </w:r>
      <w:r>
        <w:rPr>
          <w:spacing w:val="-5"/>
        </w:rPr>
        <w:t> </w:t>
      </w:r>
      <w:r>
        <w:rPr/>
        <w:t>and</w:t>
      </w:r>
      <w:r>
        <w:rPr>
          <w:spacing w:val="-5"/>
        </w:rPr>
        <w:t> </w:t>
      </w:r>
      <w:r>
        <w:rPr/>
        <w:t>ventilation</w:t>
      </w:r>
      <w:r>
        <w:rPr>
          <w:spacing w:val="-5"/>
        </w:rPr>
        <w:t> </w:t>
      </w:r>
      <w:r>
        <w:rPr/>
        <w:t>on</w:t>
      </w:r>
      <w:r>
        <w:rPr>
          <w:spacing w:val="-5"/>
        </w:rPr>
        <w:t> </w:t>
      </w:r>
      <w:r>
        <w:rPr/>
        <w:t>the</w:t>
      </w:r>
      <w:r>
        <w:rPr>
          <w:spacing w:val="-3"/>
        </w:rPr>
        <w:t> </w:t>
      </w:r>
      <w:r>
        <w:rPr/>
        <w:t>chowk?</w:t>
      </w:r>
      <w:r>
        <w:rPr>
          <w:spacing w:val="40"/>
        </w:rPr>
        <w:t> </w:t>
      </w:r>
      <w:r>
        <w:rPr/>
        <w:t>If</w:t>
      </w:r>
      <w:r>
        <w:rPr>
          <w:spacing w:val="-5"/>
        </w:rPr>
        <w:t> </w:t>
      </w:r>
      <w:r>
        <w:rPr/>
        <w:t>so,</w:t>
      </w:r>
      <w:r>
        <w:rPr>
          <w:spacing w:val="-5"/>
        </w:rPr>
        <w:t> </w:t>
      </w:r>
      <w:r>
        <w:rPr/>
        <w:t>are the dimensions as required for each wing of the buildings?</w:t>
      </w:r>
    </w:p>
    <w:p>
      <w:pPr>
        <w:pStyle w:val="ListParagraph"/>
        <w:numPr>
          <w:ilvl w:val="1"/>
          <w:numId w:val="359"/>
        </w:numPr>
        <w:tabs>
          <w:tab w:pos="1785" w:val="left" w:leader="none"/>
        </w:tabs>
        <w:spacing w:line="240" w:lineRule="auto" w:before="120" w:after="0"/>
        <w:ind w:left="1498" w:right="722" w:firstLine="0"/>
        <w:jc w:val="left"/>
        <w:rPr>
          <w:sz w:val="24"/>
        </w:rPr>
      </w:pPr>
      <w:r>
        <w:rPr>
          <w:sz w:val="24"/>
        </w:rPr>
        <w:t>If not, is the area at least equal to square of one-fifth of the height as per Regulations 41(8)</w:t>
      </w:r>
    </w:p>
    <w:p>
      <w:pPr>
        <w:pStyle w:val="ListParagraph"/>
        <w:numPr>
          <w:ilvl w:val="0"/>
          <w:numId w:val="364"/>
        </w:numPr>
        <w:tabs>
          <w:tab w:pos="1316" w:val="left" w:leader="none"/>
        </w:tabs>
        <w:spacing w:line="240" w:lineRule="auto" w:before="121" w:after="0"/>
        <w:ind w:left="777" w:right="729" w:firstLine="0"/>
        <w:jc w:val="left"/>
        <w:rPr>
          <w:sz w:val="24"/>
        </w:rPr>
      </w:pPr>
      <w:r>
        <w:rPr>
          <w:sz w:val="24"/>
        </w:rPr>
        <w:t>If the height of the building is greater than 16 m. above the average ground</w:t>
      </w:r>
      <w:r>
        <w:rPr>
          <w:spacing w:val="80"/>
          <w:sz w:val="24"/>
        </w:rPr>
        <w:t> </w:t>
      </w:r>
      <w:r>
        <w:rPr>
          <w:sz w:val="24"/>
        </w:rPr>
        <w:t>level, is provision for lift (s) made?If so, give the following details of the lift(s): -</w:t>
      </w:r>
    </w:p>
    <w:p>
      <w:pPr>
        <w:pStyle w:val="ListParagraph"/>
        <w:numPr>
          <w:ilvl w:val="1"/>
          <w:numId w:val="364"/>
        </w:numPr>
        <w:tabs>
          <w:tab w:pos="1496" w:val="left" w:leader="none"/>
        </w:tabs>
        <w:spacing w:line="240" w:lineRule="auto" w:before="117" w:after="0"/>
        <w:ind w:left="1496" w:right="0" w:hanging="358"/>
        <w:jc w:val="left"/>
        <w:rPr>
          <w:sz w:val="22"/>
        </w:rPr>
      </w:pPr>
      <w:r>
        <w:rPr>
          <w:sz w:val="22"/>
        </w:rPr>
        <w:t>Details</w:t>
      </w:r>
      <w:r>
        <w:rPr>
          <w:spacing w:val="-6"/>
          <w:sz w:val="22"/>
        </w:rPr>
        <w:t> </w:t>
      </w:r>
      <w:r>
        <w:rPr>
          <w:sz w:val="22"/>
        </w:rPr>
        <w:t>of</w:t>
      </w:r>
      <w:r>
        <w:rPr>
          <w:spacing w:val="-4"/>
          <w:sz w:val="22"/>
        </w:rPr>
        <w:t> lift</w:t>
      </w:r>
    </w:p>
    <w:p>
      <w:pPr>
        <w:pStyle w:val="BodyText"/>
        <w:tabs>
          <w:tab w:pos="6499" w:val="left" w:leader="none"/>
        </w:tabs>
        <w:spacing w:before="160"/>
        <w:ind w:left="1574"/>
        <w:jc w:val="left"/>
      </w:pPr>
      <w:r>
        <w:rPr/>
        <w:t>Type</w:t>
      </w:r>
      <w:r>
        <w:rPr>
          <w:spacing w:val="-1"/>
        </w:rPr>
        <w:t> </w:t>
      </w:r>
      <w:r>
        <w:rPr/>
        <w:t>| Passenger Capacity |No. of </w:t>
      </w:r>
      <w:r>
        <w:rPr>
          <w:spacing w:val="-2"/>
        </w:rPr>
        <w:t>lifts</w:t>
      </w:r>
      <w:r>
        <w:rPr/>
        <w:tab/>
        <w:t>|Types</w:t>
      </w:r>
      <w:r>
        <w:rPr>
          <w:spacing w:val="-2"/>
        </w:rPr>
        <w:t> </w:t>
      </w:r>
      <w:r>
        <w:rPr/>
        <w:t>of</w:t>
      </w:r>
      <w:r>
        <w:rPr>
          <w:spacing w:val="-2"/>
        </w:rPr>
        <w:t> doors</w:t>
      </w:r>
    </w:p>
    <w:p>
      <w:pPr>
        <w:pStyle w:val="ListParagraph"/>
        <w:numPr>
          <w:ilvl w:val="1"/>
          <w:numId w:val="364"/>
        </w:numPr>
        <w:tabs>
          <w:tab w:pos="1496" w:val="left" w:leader="none"/>
        </w:tabs>
        <w:spacing w:line="240" w:lineRule="auto" w:before="121" w:after="0"/>
        <w:ind w:left="1496" w:right="0" w:hanging="358"/>
        <w:jc w:val="left"/>
        <w:rPr>
          <w:sz w:val="22"/>
        </w:rPr>
      </w:pPr>
      <w:r>
        <w:rPr>
          <w:sz w:val="22"/>
        </w:rPr>
        <w:t>Details</w:t>
      </w:r>
      <w:r>
        <w:rPr>
          <w:spacing w:val="-8"/>
          <w:sz w:val="22"/>
        </w:rPr>
        <w:t> </w:t>
      </w:r>
      <w:r>
        <w:rPr>
          <w:sz w:val="22"/>
        </w:rPr>
        <w:t>of</w:t>
      </w:r>
      <w:r>
        <w:rPr>
          <w:spacing w:val="-5"/>
          <w:sz w:val="22"/>
        </w:rPr>
        <w:t> </w:t>
      </w:r>
      <w:r>
        <w:rPr>
          <w:sz w:val="22"/>
        </w:rPr>
        <w:t>fire</w:t>
      </w:r>
      <w:r>
        <w:rPr>
          <w:spacing w:val="-2"/>
          <w:sz w:val="22"/>
        </w:rPr>
        <w:t> </w:t>
      </w:r>
      <w:r>
        <w:rPr>
          <w:spacing w:val="-4"/>
          <w:sz w:val="22"/>
        </w:rPr>
        <w:t>lift.</w:t>
      </w:r>
    </w:p>
    <w:p>
      <w:pPr>
        <w:pStyle w:val="BodyText"/>
        <w:tabs>
          <w:tab w:pos="5702" w:val="left" w:leader="none"/>
        </w:tabs>
        <w:spacing w:before="158"/>
        <w:ind w:left="777"/>
        <w:jc w:val="left"/>
      </w:pPr>
      <w:r>
        <w:rPr/>
        <w:t>Type</w:t>
      </w:r>
      <w:r>
        <w:rPr>
          <w:spacing w:val="-1"/>
        </w:rPr>
        <w:t> </w:t>
      </w:r>
      <w:r>
        <w:rPr/>
        <w:t>| Passenger Capacity</w:t>
      </w:r>
      <w:r>
        <w:rPr>
          <w:spacing w:val="-1"/>
        </w:rPr>
        <w:t> </w:t>
      </w:r>
      <w:r>
        <w:rPr/>
        <w:t>|No. of </w:t>
      </w:r>
      <w:r>
        <w:rPr>
          <w:spacing w:val="-2"/>
        </w:rPr>
        <w:t>lifts</w:t>
      </w:r>
      <w:r>
        <w:rPr/>
        <w:tab/>
        <w:t>|Types</w:t>
      </w:r>
      <w:r>
        <w:rPr>
          <w:spacing w:val="-4"/>
        </w:rPr>
        <w:t> </w:t>
      </w:r>
      <w:r>
        <w:rPr/>
        <w:t>of</w:t>
      </w:r>
      <w:r>
        <w:rPr>
          <w:spacing w:val="-2"/>
        </w:rPr>
        <w:t> doors</w:t>
      </w:r>
    </w:p>
    <w:p>
      <w:pPr>
        <w:pStyle w:val="ListParagraph"/>
        <w:numPr>
          <w:ilvl w:val="0"/>
          <w:numId w:val="365"/>
        </w:numPr>
        <w:tabs>
          <w:tab w:pos="1267" w:val="left" w:leader="none"/>
          <w:tab w:pos="1498" w:val="left" w:leader="none"/>
        </w:tabs>
        <w:spacing w:line="240" w:lineRule="auto" w:before="122" w:after="0"/>
        <w:ind w:left="1498" w:right="720" w:hanging="721"/>
        <w:jc w:val="left"/>
        <w:rPr>
          <w:sz w:val="24"/>
        </w:rPr>
      </w:pPr>
      <w:r>
        <w:rPr>
          <w:sz w:val="24"/>
        </w:rPr>
        <w:t>(a)</w:t>
      </w:r>
      <w:r>
        <w:rPr>
          <w:spacing w:val="40"/>
          <w:sz w:val="24"/>
        </w:rPr>
        <w:t> </w:t>
      </w:r>
      <w:r>
        <w:rPr>
          <w:sz w:val="24"/>
        </w:rPr>
        <w:t>Does</w:t>
      </w:r>
      <w:r>
        <w:rPr>
          <w:spacing w:val="40"/>
          <w:sz w:val="24"/>
        </w:rPr>
        <w:t> </w:t>
      </w:r>
      <w:r>
        <w:rPr>
          <w:sz w:val="24"/>
        </w:rPr>
        <w:t>the</w:t>
      </w:r>
      <w:r>
        <w:rPr>
          <w:spacing w:val="40"/>
          <w:sz w:val="24"/>
        </w:rPr>
        <w:t> </w:t>
      </w:r>
      <w:r>
        <w:rPr>
          <w:sz w:val="24"/>
        </w:rPr>
        <w:t>building</w:t>
      </w:r>
      <w:r>
        <w:rPr>
          <w:spacing w:val="40"/>
          <w:sz w:val="24"/>
        </w:rPr>
        <w:t> </w:t>
      </w:r>
      <w:r>
        <w:rPr>
          <w:sz w:val="24"/>
        </w:rPr>
        <w:t>fall</w:t>
      </w:r>
      <w:r>
        <w:rPr>
          <w:spacing w:val="40"/>
          <w:sz w:val="24"/>
        </w:rPr>
        <w:t> </w:t>
      </w:r>
      <w:r>
        <w:rPr>
          <w:sz w:val="24"/>
        </w:rPr>
        <w:t>under</w:t>
      </w:r>
      <w:r>
        <w:rPr>
          <w:spacing w:val="40"/>
          <w:sz w:val="24"/>
        </w:rPr>
        <w:t> </w:t>
      </w:r>
      <w:r>
        <w:rPr>
          <w:sz w:val="24"/>
        </w:rPr>
        <w:t>the</w:t>
      </w:r>
      <w:r>
        <w:rPr>
          <w:spacing w:val="40"/>
          <w:sz w:val="24"/>
        </w:rPr>
        <w:t> </w:t>
      </w:r>
      <w:r>
        <w:rPr>
          <w:sz w:val="24"/>
        </w:rPr>
        <w:t>purview</w:t>
      </w:r>
      <w:r>
        <w:rPr>
          <w:spacing w:val="40"/>
          <w:sz w:val="24"/>
        </w:rPr>
        <w:t> </w:t>
      </w:r>
      <w:r>
        <w:rPr>
          <w:sz w:val="24"/>
        </w:rPr>
        <w:t>of</w:t>
      </w:r>
      <w:r>
        <w:rPr>
          <w:spacing w:val="40"/>
          <w:sz w:val="24"/>
        </w:rPr>
        <w:t> </w:t>
      </w:r>
      <w:r>
        <w:rPr>
          <w:sz w:val="24"/>
        </w:rPr>
        <w:t>clause</w:t>
      </w:r>
      <w:r>
        <w:rPr>
          <w:spacing w:val="40"/>
          <w:sz w:val="24"/>
        </w:rPr>
        <w:t> </w:t>
      </w:r>
      <w:r>
        <w:rPr>
          <w:sz w:val="24"/>
        </w:rPr>
        <w:t>2(iv)76or</w:t>
      </w:r>
      <w:r>
        <w:rPr>
          <w:spacing w:val="40"/>
          <w:sz w:val="24"/>
        </w:rPr>
        <w:t> </w:t>
      </w:r>
      <w:r>
        <w:rPr>
          <w:sz w:val="24"/>
        </w:rPr>
        <w:t>(n)</w:t>
      </w:r>
      <w:r>
        <w:rPr>
          <w:spacing w:val="40"/>
          <w:sz w:val="24"/>
        </w:rPr>
        <w:t> </w:t>
      </w:r>
      <w:r>
        <w:rPr>
          <w:sz w:val="24"/>
        </w:rPr>
        <w:t>of</w:t>
      </w:r>
      <w:r>
        <w:rPr>
          <w:spacing w:val="40"/>
          <w:sz w:val="24"/>
        </w:rPr>
        <w:t> </w:t>
      </w:r>
      <w:r>
        <w:rPr>
          <w:sz w:val="24"/>
        </w:rPr>
        <w:t>sub- Regulations (17), Regulations 2?</w:t>
      </w:r>
    </w:p>
    <w:p>
      <w:pPr>
        <w:pStyle w:val="ListParagraph"/>
        <w:numPr>
          <w:ilvl w:val="1"/>
          <w:numId w:val="365"/>
        </w:numPr>
        <w:tabs>
          <w:tab w:pos="1567" w:val="left" w:leader="none"/>
        </w:tabs>
        <w:spacing w:line="240" w:lineRule="auto" w:before="118" w:after="0"/>
        <w:ind w:left="1138" w:right="727" w:firstLine="0"/>
        <w:jc w:val="left"/>
        <w:rPr>
          <w:sz w:val="24"/>
        </w:rPr>
      </w:pPr>
      <w:r>
        <w:rPr>
          <w:sz w:val="24"/>
        </w:rPr>
        <w:t>If</w:t>
      </w:r>
      <w:r>
        <w:rPr>
          <w:spacing w:val="40"/>
          <w:sz w:val="24"/>
        </w:rPr>
        <w:t> </w:t>
      </w:r>
      <w:r>
        <w:rPr>
          <w:sz w:val="24"/>
        </w:rPr>
        <w:t>so,</w:t>
      </w:r>
      <w:r>
        <w:rPr>
          <w:spacing w:val="40"/>
          <w:sz w:val="24"/>
        </w:rPr>
        <w:t> </w:t>
      </w:r>
      <w:r>
        <w:rPr>
          <w:sz w:val="24"/>
        </w:rPr>
        <w:t>do</w:t>
      </w:r>
      <w:r>
        <w:rPr>
          <w:spacing w:val="40"/>
          <w:sz w:val="24"/>
        </w:rPr>
        <w:t> </w:t>
      </w:r>
      <w:r>
        <w:rPr>
          <w:sz w:val="24"/>
        </w:rPr>
        <w:t>the</w:t>
      </w:r>
      <w:r>
        <w:rPr>
          <w:spacing w:val="40"/>
          <w:sz w:val="24"/>
        </w:rPr>
        <w:t> </w:t>
      </w:r>
      <w:r>
        <w:rPr>
          <w:sz w:val="24"/>
        </w:rPr>
        <w:t>proposed</w:t>
      </w:r>
      <w:r>
        <w:rPr>
          <w:spacing w:val="40"/>
          <w:sz w:val="24"/>
        </w:rPr>
        <w:t> </w:t>
      </w:r>
      <w:r>
        <w:rPr>
          <w:sz w:val="24"/>
        </w:rPr>
        <w:t>fire</w:t>
      </w:r>
      <w:r>
        <w:rPr>
          <w:spacing w:val="40"/>
          <w:sz w:val="24"/>
        </w:rPr>
        <w:t> </w:t>
      </w:r>
      <w:r>
        <w:rPr>
          <w:sz w:val="24"/>
        </w:rPr>
        <w:t>protection</w:t>
      </w:r>
      <w:r>
        <w:rPr>
          <w:spacing w:val="40"/>
          <w:sz w:val="24"/>
        </w:rPr>
        <w:t> </w:t>
      </w:r>
      <w:r>
        <w:rPr>
          <w:sz w:val="24"/>
        </w:rPr>
        <w:t>requirements</w:t>
      </w:r>
      <w:r>
        <w:rPr>
          <w:spacing w:val="40"/>
          <w:sz w:val="24"/>
        </w:rPr>
        <w:t> </w:t>
      </w:r>
      <w:r>
        <w:rPr>
          <w:sz w:val="24"/>
        </w:rPr>
        <w:t>conform</w:t>
      </w:r>
      <w:r>
        <w:rPr>
          <w:spacing w:val="40"/>
          <w:sz w:val="24"/>
        </w:rPr>
        <w:t> </w:t>
      </w:r>
      <w:r>
        <w:rPr>
          <w:sz w:val="24"/>
        </w:rPr>
        <w:t>to</w:t>
      </w:r>
      <w:r>
        <w:rPr>
          <w:spacing w:val="40"/>
          <w:sz w:val="24"/>
        </w:rPr>
        <w:t> </w:t>
      </w:r>
      <w:r>
        <w:rPr>
          <w:sz w:val="24"/>
        </w:rPr>
        <w:t>those</w:t>
      </w:r>
      <w:r>
        <w:rPr>
          <w:spacing w:val="40"/>
          <w:sz w:val="24"/>
        </w:rPr>
        <w:t> </w:t>
      </w:r>
      <w:r>
        <w:rPr>
          <w:sz w:val="24"/>
        </w:rPr>
        <w:t>in Appendix I?</w:t>
      </w:r>
    </w:p>
    <w:p>
      <w:pPr>
        <w:pStyle w:val="ListParagraph"/>
        <w:numPr>
          <w:ilvl w:val="1"/>
          <w:numId w:val="365"/>
        </w:numPr>
        <w:tabs>
          <w:tab w:pos="1483" w:val="left" w:leader="none"/>
        </w:tabs>
        <w:spacing w:line="240" w:lineRule="auto" w:before="120" w:after="0"/>
        <w:ind w:left="1483" w:right="0" w:hanging="345"/>
        <w:jc w:val="left"/>
        <w:rPr>
          <w:sz w:val="24"/>
        </w:rPr>
      </w:pPr>
      <w:r>
        <w:rPr>
          <w:sz w:val="24"/>
        </w:rPr>
        <w:t>If not,</w:t>
      </w:r>
      <w:r>
        <w:rPr>
          <w:spacing w:val="1"/>
          <w:sz w:val="24"/>
        </w:rPr>
        <w:t> </w:t>
      </w:r>
      <w:r>
        <w:rPr>
          <w:sz w:val="24"/>
        </w:rPr>
        <w:t>give</w:t>
      </w:r>
      <w:r>
        <w:rPr>
          <w:spacing w:val="1"/>
          <w:sz w:val="24"/>
        </w:rPr>
        <w:t> </w:t>
      </w:r>
      <w:r>
        <w:rPr>
          <w:spacing w:val="-2"/>
          <w:sz w:val="24"/>
        </w:rPr>
        <w:t>reasons.</w:t>
      </w:r>
    </w:p>
    <w:p>
      <w:pPr>
        <w:pStyle w:val="ListParagraph"/>
        <w:numPr>
          <w:ilvl w:val="0"/>
          <w:numId w:val="365"/>
        </w:numPr>
        <w:tabs>
          <w:tab w:pos="1138" w:val="left" w:leader="none"/>
          <w:tab w:pos="1243" w:val="left" w:leader="none"/>
        </w:tabs>
        <w:spacing w:line="240" w:lineRule="auto" w:before="122" w:after="0"/>
        <w:ind w:left="1138" w:right="728" w:hanging="361"/>
        <w:jc w:val="left"/>
        <w:rPr>
          <w:sz w:val="24"/>
        </w:rPr>
      </w:pPr>
      <w:r>
        <w:rPr>
          <w:sz w:val="24"/>
        </w:rPr>
        <w:t>(a) (i) What is the requirement of parking spaces under Regulation 44(2) and</w:t>
      </w:r>
      <w:r>
        <w:rPr>
          <w:spacing w:val="40"/>
          <w:sz w:val="24"/>
        </w:rPr>
        <w:t> </w:t>
      </w:r>
      <w:r>
        <w:rPr>
          <w:spacing w:val="-4"/>
          <w:sz w:val="24"/>
        </w:rPr>
        <w:t>(3)?</w:t>
      </w:r>
    </w:p>
    <w:p>
      <w:pPr>
        <w:pStyle w:val="ListParagraph"/>
        <w:numPr>
          <w:ilvl w:val="0"/>
          <w:numId w:val="366"/>
        </w:numPr>
        <w:tabs>
          <w:tab w:pos="1862" w:val="left" w:leader="none"/>
        </w:tabs>
        <w:spacing w:line="240" w:lineRule="auto" w:before="118" w:after="0"/>
        <w:ind w:left="1862" w:right="0" w:hanging="364"/>
        <w:jc w:val="left"/>
        <w:rPr>
          <w:sz w:val="24"/>
        </w:rPr>
      </w:pPr>
      <w:r>
        <w:rPr>
          <w:sz w:val="24"/>
        </w:rPr>
        <w:t>How many are </w:t>
      </w:r>
      <w:r>
        <w:rPr>
          <w:spacing w:val="-2"/>
          <w:sz w:val="24"/>
        </w:rPr>
        <w:t>proposed?</w:t>
      </w:r>
    </w:p>
    <w:p>
      <w:pPr>
        <w:pStyle w:val="ListParagraph"/>
        <w:numPr>
          <w:ilvl w:val="0"/>
          <w:numId w:val="366"/>
        </w:numPr>
        <w:tabs>
          <w:tab w:pos="1934" w:val="left" w:leader="none"/>
        </w:tabs>
        <w:spacing w:line="240" w:lineRule="auto" w:before="122" w:after="0"/>
        <w:ind w:left="1934" w:right="0" w:hanging="436"/>
        <w:jc w:val="left"/>
        <w:rPr>
          <w:sz w:val="24"/>
        </w:rPr>
      </w:pPr>
      <w:r>
        <w:rPr>
          <w:sz w:val="24"/>
        </w:rPr>
        <w:t>How</w:t>
      </w:r>
      <w:r>
        <w:rPr>
          <w:spacing w:val="-1"/>
          <w:sz w:val="24"/>
        </w:rPr>
        <w:t> </w:t>
      </w:r>
      <w:r>
        <w:rPr>
          <w:sz w:val="24"/>
        </w:rPr>
        <w:t>many</w:t>
      </w:r>
      <w:r>
        <w:rPr>
          <w:spacing w:val="-1"/>
          <w:sz w:val="24"/>
        </w:rPr>
        <w:t> </w:t>
      </w:r>
      <w:r>
        <w:rPr>
          <w:sz w:val="24"/>
        </w:rPr>
        <w:t>lock-up</w:t>
      </w:r>
      <w:r>
        <w:rPr>
          <w:spacing w:val="-1"/>
          <w:sz w:val="24"/>
        </w:rPr>
        <w:t> </w:t>
      </w:r>
      <w:r>
        <w:rPr>
          <w:sz w:val="24"/>
        </w:rPr>
        <w:t>garages</w:t>
      </w:r>
      <w:r>
        <w:rPr>
          <w:spacing w:val="-1"/>
          <w:sz w:val="24"/>
        </w:rPr>
        <w:t> </w:t>
      </w:r>
      <w:r>
        <w:rPr>
          <w:sz w:val="24"/>
        </w:rPr>
        <w:t>are </w:t>
      </w:r>
      <w:r>
        <w:rPr>
          <w:spacing w:val="-2"/>
          <w:sz w:val="24"/>
        </w:rPr>
        <w:t>proposed?</w:t>
      </w:r>
    </w:p>
    <w:p>
      <w:pPr>
        <w:pStyle w:val="ListParagraph"/>
        <w:numPr>
          <w:ilvl w:val="0"/>
          <w:numId w:val="367"/>
        </w:numPr>
        <w:tabs>
          <w:tab w:pos="1497" w:val="left" w:leader="none"/>
        </w:tabs>
        <w:spacing w:line="240" w:lineRule="auto" w:before="119" w:after="0"/>
        <w:ind w:left="1497" w:right="0" w:hanging="359"/>
        <w:jc w:val="left"/>
        <w:rPr>
          <w:sz w:val="24"/>
        </w:rPr>
      </w:pPr>
      <w:r>
        <w:rPr>
          <w:sz w:val="24"/>
        </w:rPr>
        <w:t>(i)</w:t>
      </w:r>
      <w:r>
        <w:rPr>
          <w:spacing w:val="-1"/>
          <w:sz w:val="24"/>
        </w:rPr>
        <w:t> </w:t>
      </w:r>
      <w:r>
        <w:rPr>
          <w:sz w:val="24"/>
        </w:rPr>
        <w:t>Are</w:t>
      </w:r>
      <w:r>
        <w:rPr>
          <w:spacing w:val="-1"/>
          <w:sz w:val="24"/>
        </w:rPr>
        <w:t> </w:t>
      </w:r>
      <w:r>
        <w:rPr>
          <w:sz w:val="24"/>
        </w:rPr>
        <w:t>parking</w:t>
      </w:r>
      <w:r>
        <w:rPr>
          <w:spacing w:val="-1"/>
          <w:sz w:val="24"/>
        </w:rPr>
        <w:t> </w:t>
      </w:r>
      <w:r>
        <w:rPr>
          <w:sz w:val="24"/>
        </w:rPr>
        <w:t>spaces</w:t>
      </w:r>
      <w:r>
        <w:rPr>
          <w:spacing w:val="-1"/>
          <w:sz w:val="24"/>
        </w:rPr>
        <w:t> </w:t>
      </w:r>
      <w:r>
        <w:rPr>
          <w:sz w:val="24"/>
        </w:rPr>
        <w:t>for</w:t>
      </w:r>
      <w:r>
        <w:rPr>
          <w:spacing w:val="-1"/>
          <w:sz w:val="24"/>
        </w:rPr>
        <w:t> </w:t>
      </w:r>
      <w:r>
        <w:rPr>
          <w:sz w:val="24"/>
        </w:rPr>
        <w:t>transport</w:t>
      </w:r>
      <w:r>
        <w:rPr>
          <w:spacing w:val="-1"/>
          <w:sz w:val="24"/>
        </w:rPr>
        <w:t> </w:t>
      </w:r>
      <w:r>
        <w:rPr>
          <w:sz w:val="24"/>
        </w:rPr>
        <w:t>vehicles</w:t>
      </w:r>
      <w:r>
        <w:rPr>
          <w:spacing w:val="-1"/>
          <w:sz w:val="24"/>
        </w:rPr>
        <w:t> </w:t>
      </w:r>
      <w:r>
        <w:rPr>
          <w:sz w:val="24"/>
        </w:rPr>
        <w:t>provided</w:t>
      </w:r>
      <w:r>
        <w:rPr>
          <w:spacing w:val="-1"/>
          <w:sz w:val="24"/>
        </w:rPr>
        <w:t> </w:t>
      </w:r>
      <w:r>
        <w:rPr>
          <w:sz w:val="24"/>
        </w:rPr>
        <w:t>(Regulations</w:t>
      </w:r>
      <w:r>
        <w:rPr>
          <w:spacing w:val="1"/>
          <w:sz w:val="24"/>
        </w:rPr>
        <w:t> </w:t>
      </w:r>
      <w:r>
        <w:rPr>
          <w:spacing w:val="-2"/>
          <w:sz w:val="24"/>
        </w:rPr>
        <w:t>445))?</w:t>
      </w:r>
    </w:p>
    <w:p>
      <w:pPr>
        <w:pStyle w:val="ListParagraph"/>
        <w:numPr>
          <w:ilvl w:val="1"/>
          <w:numId w:val="367"/>
        </w:numPr>
        <w:tabs>
          <w:tab w:pos="1862" w:val="left" w:leader="none"/>
        </w:tabs>
        <w:spacing w:line="240" w:lineRule="auto" w:before="119" w:after="0"/>
        <w:ind w:left="1862" w:right="0" w:hanging="364"/>
        <w:jc w:val="left"/>
        <w:rPr>
          <w:sz w:val="24"/>
        </w:rPr>
      </w:pPr>
      <w:r>
        <w:rPr>
          <w:sz w:val="24"/>
        </w:rPr>
        <w:t>If so, what</w:t>
      </w:r>
      <w:r>
        <w:rPr>
          <w:spacing w:val="1"/>
          <w:sz w:val="24"/>
        </w:rPr>
        <w:t> </w:t>
      </w:r>
      <w:r>
        <w:rPr>
          <w:sz w:val="24"/>
        </w:rPr>
        <w:t>is the</w:t>
      </w:r>
      <w:r>
        <w:rPr>
          <w:spacing w:val="-2"/>
          <w:sz w:val="24"/>
        </w:rPr>
        <w:t> requirement?</w:t>
      </w:r>
    </w:p>
    <w:p>
      <w:pPr>
        <w:pStyle w:val="ListParagraph"/>
        <w:numPr>
          <w:ilvl w:val="1"/>
          <w:numId w:val="367"/>
        </w:numPr>
        <w:tabs>
          <w:tab w:pos="1934" w:val="left" w:leader="none"/>
        </w:tabs>
        <w:spacing w:line="240" w:lineRule="auto" w:before="122" w:after="0"/>
        <w:ind w:left="1934" w:right="0" w:hanging="436"/>
        <w:jc w:val="left"/>
        <w:rPr>
          <w:sz w:val="24"/>
        </w:rPr>
      </w:pPr>
      <w:r>
        <w:rPr>
          <w:sz w:val="24"/>
        </w:rPr>
        <w:t>How many are </w:t>
      </w:r>
      <w:r>
        <w:rPr>
          <w:spacing w:val="-2"/>
          <w:sz w:val="24"/>
        </w:rPr>
        <w:t>proposed?</w:t>
      </w:r>
    </w:p>
    <w:p>
      <w:pPr>
        <w:pStyle w:val="BodyText"/>
        <w:spacing w:before="119"/>
        <w:ind w:left="777"/>
        <w:jc w:val="left"/>
      </w:pPr>
      <w:r>
        <w:rPr/>
        <w:t>NOTE:</w:t>
      </w:r>
      <w:r>
        <w:rPr>
          <w:spacing w:val="-2"/>
        </w:rPr>
        <w:t> </w:t>
      </w:r>
      <w:r>
        <w:rPr/>
        <w:t>-INDICATE</w:t>
      </w:r>
      <w:r>
        <w:rPr>
          <w:spacing w:val="-1"/>
        </w:rPr>
        <w:t> </w:t>
      </w:r>
      <w:r>
        <w:rPr/>
        <w:t>DETAILS</w:t>
      </w:r>
      <w:r>
        <w:rPr>
          <w:spacing w:val="-1"/>
        </w:rPr>
        <w:t> </w:t>
      </w:r>
      <w:r>
        <w:rPr/>
        <w:t>ON</w:t>
      </w:r>
      <w:r>
        <w:rPr>
          <w:spacing w:val="-1"/>
        </w:rPr>
        <w:t> </w:t>
      </w:r>
      <w:r>
        <w:rPr/>
        <w:t>BUILDING</w:t>
      </w:r>
      <w:r>
        <w:rPr>
          <w:spacing w:val="-1"/>
        </w:rPr>
        <w:t> </w:t>
      </w:r>
      <w:r>
        <w:rPr/>
        <w:t>PLAN</w:t>
      </w:r>
      <w:r>
        <w:rPr>
          <w:spacing w:val="-1"/>
        </w:rPr>
        <w:t> </w:t>
      </w:r>
      <w:r>
        <w:rPr/>
        <w:t>AS</w:t>
      </w:r>
      <w:r>
        <w:rPr>
          <w:spacing w:val="-1"/>
        </w:rPr>
        <w:t> </w:t>
      </w:r>
      <w:r>
        <w:rPr/>
        <w:t>IN</w:t>
      </w:r>
      <w:r>
        <w:rPr>
          <w:spacing w:val="-1"/>
        </w:rPr>
        <w:t> </w:t>
      </w:r>
      <w:r>
        <w:rPr/>
        <w:t>FORM</w:t>
      </w:r>
      <w:r>
        <w:rPr>
          <w:spacing w:val="-4"/>
        </w:rPr>
        <w:t> </w:t>
      </w:r>
      <w:r>
        <w:rPr>
          <w:spacing w:val="-5"/>
        </w:rPr>
        <w:t>1.</w:t>
      </w:r>
    </w:p>
    <w:p>
      <w:pPr>
        <w:pStyle w:val="ListParagraph"/>
        <w:numPr>
          <w:ilvl w:val="0"/>
          <w:numId w:val="365"/>
        </w:numPr>
        <w:tabs>
          <w:tab w:pos="1138" w:val="left" w:leader="none"/>
          <w:tab w:pos="1497" w:val="left" w:leader="none"/>
          <w:tab w:pos="6538" w:val="left" w:leader="none"/>
        </w:tabs>
        <w:spacing w:line="240" w:lineRule="auto" w:before="121" w:after="0"/>
        <w:ind w:left="1138" w:right="721" w:hanging="361"/>
        <w:jc w:val="left"/>
        <w:rPr>
          <w:sz w:val="24"/>
        </w:rPr>
      </w:pPr>
      <w:r>
        <w:rPr>
          <w:sz w:val="24"/>
        </w:rPr>
        <w:t>(a) (i)</w:t>
        <w:tab/>
        <w:t>What</w:t>
      </w:r>
      <w:r>
        <w:rPr>
          <w:spacing w:val="-8"/>
          <w:sz w:val="24"/>
        </w:rPr>
        <w:t> </w:t>
      </w:r>
      <w:r>
        <w:rPr>
          <w:sz w:val="24"/>
        </w:rPr>
        <w:t>are</w:t>
      </w:r>
      <w:r>
        <w:rPr>
          <w:spacing w:val="-8"/>
          <w:sz w:val="24"/>
        </w:rPr>
        <w:t> </w:t>
      </w:r>
      <w:r>
        <w:rPr>
          <w:sz w:val="24"/>
        </w:rPr>
        <w:t>the</w:t>
      </w:r>
      <w:r>
        <w:rPr>
          <w:spacing w:val="-8"/>
          <w:sz w:val="24"/>
        </w:rPr>
        <w:t> </w:t>
      </w:r>
      <w:r>
        <w:rPr>
          <w:sz w:val="24"/>
        </w:rPr>
        <w:t>maximum</w:t>
      </w:r>
      <w:r>
        <w:rPr>
          <w:spacing w:val="-8"/>
          <w:sz w:val="24"/>
        </w:rPr>
        <w:t> </w:t>
      </w:r>
      <w:r>
        <w:rPr>
          <w:sz w:val="24"/>
        </w:rPr>
        <w:t>widths</w:t>
      </w:r>
      <w:r>
        <w:rPr>
          <w:spacing w:val="-8"/>
          <w:sz w:val="24"/>
        </w:rPr>
        <w:t> </w:t>
      </w:r>
      <w:r>
        <w:rPr>
          <w:sz w:val="24"/>
        </w:rPr>
        <w:t>of </w:t>
      </w:r>
      <w:r>
        <w:rPr>
          <w:spacing w:val="-2"/>
          <w:sz w:val="24"/>
        </w:rPr>
        <w:t>balconies?</w:t>
      </w:r>
    </w:p>
    <w:p>
      <w:pPr>
        <w:pStyle w:val="ListParagraph"/>
        <w:numPr>
          <w:ilvl w:val="0"/>
          <w:numId w:val="368"/>
        </w:numPr>
        <w:tabs>
          <w:tab w:pos="6538" w:val="left" w:leader="none"/>
          <w:tab w:pos="7191" w:val="left" w:leader="none"/>
          <w:tab w:pos="7901" w:val="left" w:leader="none"/>
          <w:tab w:pos="8899" w:val="left" w:leader="none"/>
          <w:tab w:pos="9478" w:val="left" w:leader="none"/>
        </w:tabs>
        <w:spacing w:line="240" w:lineRule="auto" w:before="118" w:after="0"/>
        <w:ind w:left="6538" w:right="0" w:hanging="5040"/>
        <w:jc w:val="left"/>
        <w:rPr>
          <w:sz w:val="24"/>
        </w:rPr>
      </w:pPr>
      <w:r>
        <w:rPr>
          <w:spacing w:val="-4"/>
          <w:sz w:val="24"/>
        </w:rPr>
        <w:t>Will</w:t>
      </w:r>
      <w:r>
        <w:rPr>
          <w:sz w:val="24"/>
        </w:rPr>
        <w:tab/>
      </w:r>
      <w:r>
        <w:rPr>
          <w:spacing w:val="-4"/>
          <w:sz w:val="24"/>
        </w:rPr>
        <w:t>they</w:t>
      </w:r>
      <w:r>
        <w:rPr>
          <w:sz w:val="24"/>
        </w:rPr>
        <w:tab/>
      </w:r>
      <w:r>
        <w:rPr>
          <w:spacing w:val="-2"/>
          <w:sz w:val="24"/>
        </w:rPr>
        <w:t>reduce</w:t>
      </w:r>
      <w:r>
        <w:rPr>
          <w:sz w:val="24"/>
        </w:rPr>
        <w:tab/>
      </w:r>
      <w:r>
        <w:rPr>
          <w:spacing w:val="-5"/>
          <w:sz w:val="24"/>
        </w:rPr>
        <w:t>the</w:t>
      </w:r>
      <w:r>
        <w:rPr>
          <w:sz w:val="24"/>
        </w:rPr>
        <w:tab/>
      </w:r>
      <w:r>
        <w:rPr>
          <w:spacing w:val="-2"/>
          <w:sz w:val="24"/>
        </w:rPr>
        <w:t>required</w:t>
      </w:r>
    </w:p>
    <w:p>
      <w:pPr>
        <w:pStyle w:val="BodyText"/>
        <w:spacing w:before="2"/>
        <w:ind w:left="1138"/>
        <w:jc w:val="left"/>
      </w:pPr>
      <w:r>
        <w:rPr/>
        <w:t>open</w:t>
      </w:r>
      <w:r>
        <w:rPr>
          <w:spacing w:val="-1"/>
        </w:rPr>
        <w:t> </w:t>
      </w:r>
      <w:r>
        <w:rPr/>
        <w:t>space</w:t>
      </w:r>
      <w:r>
        <w:rPr>
          <w:spacing w:val="-1"/>
        </w:rPr>
        <w:t> </w:t>
      </w:r>
      <w:r>
        <w:rPr/>
        <w:t>to</w:t>
      </w:r>
      <w:r>
        <w:rPr>
          <w:spacing w:val="-1"/>
        </w:rPr>
        <w:t> </w:t>
      </w:r>
      <w:r>
        <w:rPr/>
        <w:t>less</w:t>
      </w:r>
      <w:r>
        <w:rPr>
          <w:spacing w:val="-1"/>
        </w:rPr>
        <w:t> </w:t>
      </w:r>
      <w:r>
        <w:rPr/>
        <w:t>than the</w:t>
      </w:r>
      <w:r>
        <w:rPr>
          <w:spacing w:val="-1"/>
        </w:rPr>
        <w:t> </w:t>
      </w:r>
      <w:r>
        <w:rPr/>
        <w:t>provisions</w:t>
      </w:r>
      <w:r>
        <w:rPr>
          <w:spacing w:val="-1"/>
        </w:rPr>
        <w:t> </w:t>
      </w:r>
      <w:r>
        <w:rPr/>
        <w:t>of</w:t>
      </w:r>
      <w:r>
        <w:rPr>
          <w:spacing w:val="-1"/>
        </w:rPr>
        <w:t> </w:t>
      </w:r>
      <w:r>
        <w:rPr/>
        <w:t>the </w:t>
      </w:r>
      <w:r>
        <w:rPr>
          <w:spacing w:val="-2"/>
        </w:rPr>
        <w:t>Regulation?</w:t>
      </w:r>
    </w:p>
    <w:p>
      <w:pPr>
        <w:pStyle w:val="ListParagraph"/>
        <w:numPr>
          <w:ilvl w:val="0"/>
          <w:numId w:val="368"/>
        </w:numPr>
        <w:tabs>
          <w:tab w:pos="1856" w:val="left" w:leader="none"/>
        </w:tabs>
        <w:spacing w:line="240" w:lineRule="auto" w:before="119" w:after="0"/>
        <w:ind w:left="1856" w:right="0" w:hanging="358"/>
        <w:jc w:val="left"/>
        <w:rPr>
          <w:sz w:val="24"/>
        </w:rPr>
      </w:pPr>
      <w:r>
        <w:rPr>
          <w:sz w:val="24"/>
        </w:rPr>
        <w:t>Do</w:t>
      </w:r>
      <w:r>
        <w:rPr>
          <w:spacing w:val="-1"/>
          <w:sz w:val="24"/>
        </w:rPr>
        <w:t> </w:t>
      </w:r>
      <w:r>
        <w:rPr>
          <w:sz w:val="24"/>
        </w:rPr>
        <w:t>they serve as a passage</w:t>
      </w:r>
      <w:r>
        <w:rPr>
          <w:spacing w:val="-1"/>
          <w:sz w:val="24"/>
        </w:rPr>
        <w:t> </w:t>
      </w:r>
      <w:r>
        <w:rPr>
          <w:sz w:val="24"/>
        </w:rPr>
        <w:t>to any part of the </w:t>
      </w:r>
      <w:r>
        <w:rPr>
          <w:spacing w:val="-2"/>
          <w:sz w:val="24"/>
        </w:rPr>
        <w:t>building?</w:t>
      </w:r>
    </w:p>
    <w:p>
      <w:pPr>
        <w:pStyle w:val="ListParagraph"/>
        <w:numPr>
          <w:ilvl w:val="0"/>
          <w:numId w:val="368"/>
        </w:numPr>
        <w:tabs>
          <w:tab w:pos="1857" w:val="left" w:leader="none"/>
        </w:tabs>
        <w:spacing w:line="240" w:lineRule="auto" w:before="122" w:after="0"/>
        <w:ind w:left="1857" w:right="0" w:hanging="359"/>
        <w:jc w:val="left"/>
        <w:rPr>
          <w:sz w:val="24"/>
        </w:rPr>
      </w:pPr>
      <w:r>
        <w:rPr>
          <w:sz w:val="24"/>
        </w:rPr>
        <w:t>What is their total </w:t>
      </w:r>
      <w:r>
        <w:rPr>
          <w:spacing w:val="-2"/>
          <w:sz w:val="24"/>
        </w:rPr>
        <w:t>area?</w:t>
      </w:r>
    </w:p>
    <w:p>
      <w:pPr>
        <w:pStyle w:val="ListParagraph"/>
        <w:numPr>
          <w:ilvl w:val="0"/>
          <w:numId w:val="368"/>
        </w:numPr>
        <w:tabs>
          <w:tab w:pos="1857" w:val="left" w:leader="none"/>
          <w:tab w:pos="7978" w:val="left" w:leader="none"/>
          <w:tab w:pos="9265" w:val="left" w:leader="none"/>
          <w:tab w:pos="10220" w:val="left" w:leader="none"/>
        </w:tabs>
        <w:spacing w:line="240" w:lineRule="auto" w:before="119" w:after="0"/>
        <w:ind w:left="1138" w:right="720" w:firstLine="360"/>
        <w:jc w:val="left"/>
        <w:rPr>
          <w:sz w:val="24"/>
        </w:rPr>
      </w:pPr>
      <w:r>
        <w:rPr>
          <w:sz w:val="24"/>
        </w:rPr>
        <w:t>What</w:t>
      </w:r>
      <w:r>
        <w:rPr>
          <w:spacing w:val="-11"/>
          <w:sz w:val="24"/>
        </w:rPr>
        <w:t> </w:t>
      </w:r>
      <w:r>
        <w:rPr>
          <w:sz w:val="24"/>
        </w:rPr>
        <w:t>is</w:t>
      </w:r>
      <w:r>
        <w:rPr>
          <w:spacing w:val="-11"/>
          <w:sz w:val="24"/>
        </w:rPr>
        <w:t> </w:t>
      </w:r>
      <w:r>
        <w:rPr>
          <w:sz w:val="24"/>
        </w:rPr>
        <w:t>the</w:t>
      </w:r>
      <w:r>
        <w:rPr>
          <w:spacing w:val="-11"/>
          <w:sz w:val="24"/>
        </w:rPr>
        <w:t> </w:t>
      </w:r>
      <w:r>
        <w:rPr>
          <w:sz w:val="24"/>
        </w:rPr>
        <w:t>maximum</w:t>
      </w:r>
      <w:r>
        <w:rPr>
          <w:spacing w:val="-11"/>
          <w:sz w:val="24"/>
        </w:rPr>
        <w:t> </w:t>
      </w:r>
      <w:r>
        <w:rPr>
          <w:sz w:val="24"/>
        </w:rPr>
        <w:t>width</w:t>
      </w:r>
      <w:r>
        <w:rPr>
          <w:spacing w:val="-11"/>
          <w:sz w:val="24"/>
        </w:rPr>
        <w:t> </w:t>
      </w:r>
      <w:r>
        <w:rPr>
          <w:sz w:val="24"/>
        </w:rPr>
        <w:t>of</w:t>
      </w:r>
      <w:r>
        <w:rPr>
          <w:spacing w:val="-11"/>
          <w:sz w:val="24"/>
        </w:rPr>
        <w:t> </w:t>
      </w:r>
      <w:r>
        <w:rPr>
          <w:sz w:val="24"/>
        </w:rPr>
        <w:t>weather-frames,</w:t>
      </w:r>
      <w:r>
        <w:rPr>
          <w:spacing w:val="-11"/>
          <w:sz w:val="24"/>
        </w:rPr>
        <w:t> </w:t>
      </w:r>
      <w:r>
        <w:rPr>
          <w:sz w:val="24"/>
        </w:rPr>
        <w:t>sun-shades</w:t>
      </w:r>
      <w:r>
        <w:rPr>
          <w:spacing w:val="-11"/>
          <w:sz w:val="24"/>
        </w:rPr>
        <w:t> </w:t>
      </w:r>
      <w:r>
        <w:rPr>
          <w:sz w:val="24"/>
        </w:rPr>
        <w:t>(chajja),</w:t>
      </w:r>
      <w:r>
        <w:rPr>
          <w:spacing w:val="-11"/>
          <w:sz w:val="24"/>
        </w:rPr>
        <w:t> </w:t>
      </w:r>
      <w:r>
        <w:rPr>
          <w:sz w:val="24"/>
        </w:rPr>
        <w:t>sun- </w:t>
      </w:r>
      <w:r>
        <w:rPr>
          <w:spacing w:val="-2"/>
          <w:sz w:val="24"/>
        </w:rPr>
        <w:t>breakers,</w:t>
      </w:r>
      <w:r>
        <w:rPr>
          <w:sz w:val="24"/>
        </w:rPr>
        <w:tab/>
      </w:r>
      <w:r>
        <w:rPr>
          <w:spacing w:val="-2"/>
          <w:sz w:val="24"/>
        </w:rPr>
        <w:t>cornices,</w:t>
      </w:r>
      <w:r>
        <w:rPr>
          <w:sz w:val="24"/>
        </w:rPr>
        <w:tab/>
      </w:r>
      <w:r>
        <w:rPr>
          <w:spacing w:val="-2"/>
          <w:sz w:val="24"/>
        </w:rPr>
        <w:t>caves,</w:t>
      </w:r>
      <w:r>
        <w:rPr>
          <w:sz w:val="24"/>
        </w:rPr>
        <w:tab/>
      </w:r>
      <w:r>
        <w:rPr>
          <w:spacing w:val="-6"/>
          <w:sz w:val="24"/>
        </w:rPr>
        <w:t>or</w:t>
      </w:r>
    </w:p>
    <w:p>
      <w:pPr>
        <w:pStyle w:val="BodyText"/>
        <w:spacing w:before="1"/>
        <w:ind w:left="1138"/>
        <w:jc w:val="left"/>
      </w:pPr>
      <w:r>
        <w:rPr/>
        <w:t>other </w:t>
      </w:r>
      <w:r>
        <w:rPr>
          <w:spacing w:val="-2"/>
        </w:rPr>
        <w:t>projections?</w:t>
      </w:r>
    </w:p>
    <w:p>
      <w:pPr>
        <w:pStyle w:val="ListParagraph"/>
        <w:numPr>
          <w:ilvl w:val="0"/>
          <w:numId w:val="367"/>
        </w:numPr>
        <w:tabs>
          <w:tab w:pos="1497" w:val="left" w:leader="none"/>
        </w:tabs>
        <w:spacing w:line="240" w:lineRule="auto" w:before="119" w:after="0"/>
        <w:ind w:left="1497" w:right="0" w:hanging="359"/>
        <w:jc w:val="left"/>
        <w:rPr>
          <w:sz w:val="24"/>
        </w:rPr>
      </w:pPr>
      <w:r>
        <w:rPr>
          <w:sz w:val="24"/>
        </w:rPr>
        <w:t>(i)</w:t>
      </w:r>
      <w:r>
        <w:rPr>
          <w:spacing w:val="-1"/>
          <w:sz w:val="24"/>
        </w:rPr>
        <w:t> </w:t>
      </w:r>
      <w:r>
        <w:rPr>
          <w:sz w:val="24"/>
        </w:rPr>
        <w:t>Are any porches/canopies </w:t>
      </w:r>
      <w:r>
        <w:rPr>
          <w:spacing w:val="-2"/>
          <w:sz w:val="24"/>
        </w:rPr>
        <w:t>proposed?</w:t>
      </w:r>
    </w:p>
    <w:p>
      <w:pPr>
        <w:pStyle w:val="ListParagraph"/>
        <w:numPr>
          <w:ilvl w:val="1"/>
          <w:numId w:val="367"/>
        </w:numPr>
        <w:tabs>
          <w:tab w:pos="1781" w:val="left" w:leader="none"/>
        </w:tabs>
        <w:spacing w:line="240" w:lineRule="auto" w:before="119" w:after="0"/>
        <w:ind w:left="1781" w:right="0" w:hanging="283"/>
        <w:jc w:val="left"/>
        <w:rPr>
          <w:sz w:val="24"/>
        </w:rPr>
      </w:pPr>
      <w:r>
        <w:rPr>
          <w:sz w:val="24"/>
        </w:rPr>
        <w:t>Do</w:t>
      </w:r>
      <w:r>
        <w:rPr>
          <w:spacing w:val="-1"/>
          <w:sz w:val="24"/>
        </w:rPr>
        <w:t> </w:t>
      </w:r>
      <w:r>
        <w:rPr>
          <w:sz w:val="24"/>
        </w:rPr>
        <w:t>they</w:t>
      </w:r>
      <w:r>
        <w:rPr>
          <w:spacing w:val="-1"/>
          <w:sz w:val="24"/>
        </w:rPr>
        <w:t> </w:t>
      </w:r>
      <w:r>
        <w:rPr>
          <w:sz w:val="24"/>
        </w:rPr>
        <w:t>comply with</w:t>
      </w:r>
      <w:r>
        <w:rPr>
          <w:spacing w:val="-1"/>
          <w:sz w:val="24"/>
        </w:rPr>
        <w:t> </w:t>
      </w:r>
      <w:r>
        <w:rPr>
          <w:sz w:val="24"/>
        </w:rPr>
        <w:t>requirements of</w:t>
      </w:r>
      <w:r>
        <w:rPr>
          <w:spacing w:val="-1"/>
          <w:sz w:val="24"/>
        </w:rPr>
        <w:t> </w:t>
      </w:r>
      <w:r>
        <w:rPr>
          <w:sz w:val="24"/>
        </w:rPr>
        <w:t>Regulations </w:t>
      </w:r>
      <w:r>
        <w:rPr>
          <w:spacing w:val="-5"/>
          <w:sz w:val="24"/>
        </w:rPr>
        <w:t>42?</w:t>
      </w:r>
    </w:p>
    <w:p>
      <w:pPr>
        <w:pStyle w:val="ListParagraph"/>
        <w:numPr>
          <w:ilvl w:val="0"/>
          <w:numId w:val="365"/>
        </w:numPr>
        <w:tabs>
          <w:tab w:pos="1497" w:val="left" w:leader="none"/>
        </w:tabs>
        <w:spacing w:line="240" w:lineRule="auto" w:before="121" w:after="0"/>
        <w:ind w:left="1497" w:right="0" w:hanging="720"/>
        <w:jc w:val="left"/>
        <w:rPr>
          <w:sz w:val="24"/>
        </w:rPr>
      </w:pPr>
      <w:r>
        <w:rPr>
          <w:sz w:val="24"/>
        </w:rPr>
        <w:t>(a)</w:t>
      </w:r>
      <w:r>
        <w:rPr>
          <w:spacing w:val="-1"/>
          <w:sz w:val="24"/>
        </w:rPr>
        <w:t> </w:t>
      </w:r>
      <w:r>
        <w:rPr>
          <w:sz w:val="24"/>
        </w:rPr>
        <w:t>What is</w:t>
      </w:r>
      <w:r>
        <w:rPr>
          <w:spacing w:val="-1"/>
          <w:sz w:val="24"/>
        </w:rPr>
        <w:t> </w:t>
      </w:r>
      <w:r>
        <w:rPr>
          <w:sz w:val="24"/>
        </w:rPr>
        <w:t>the</w:t>
      </w:r>
      <w:r>
        <w:rPr>
          <w:spacing w:val="-1"/>
          <w:sz w:val="24"/>
        </w:rPr>
        <w:t> </w:t>
      </w:r>
      <w:r>
        <w:rPr>
          <w:sz w:val="24"/>
        </w:rPr>
        <w:t>width</w:t>
      </w:r>
      <w:r>
        <w:rPr>
          <w:spacing w:val="-1"/>
          <w:sz w:val="24"/>
        </w:rPr>
        <w:t> </w:t>
      </w:r>
      <w:r>
        <w:rPr>
          <w:sz w:val="24"/>
        </w:rPr>
        <w:t>of the</w:t>
      </w:r>
      <w:r>
        <w:rPr>
          <w:spacing w:val="-1"/>
          <w:sz w:val="24"/>
        </w:rPr>
        <w:t> </w:t>
      </w:r>
      <w:r>
        <w:rPr>
          <w:sz w:val="24"/>
        </w:rPr>
        <w:t>means of </w:t>
      </w:r>
      <w:r>
        <w:rPr>
          <w:spacing w:val="-2"/>
          <w:sz w:val="24"/>
        </w:rPr>
        <w:t>access?</w:t>
      </w:r>
    </w:p>
    <w:p>
      <w:pPr>
        <w:pStyle w:val="ListParagraph"/>
        <w:numPr>
          <w:ilvl w:val="1"/>
          <w:numId w:val="365"/>
        </w:numPr>
        <w:tabs>
          <w:tab w:pos="1507" w:val="left" w:leader="none"/>
        </w:tabs>
        <w:spacing w:line="240" w:lineRule="auto" w:before="119" w:after="0"/>
        <w:ind w:left="1507" w:right="0" w:hanging="369"/>
        <w:jc w:val="left"/>
        <w:rPr>
          <w:sz w:val="24"/>
        </w:rPr>
      </w:pPr>
      <w:r>
        <w:rPr>
          <w:sz w:val="24"/>
        </w:rPr>
        <w:t>What is its clear </w:t>
      </w:r>
      <w:r>
        <w:rPr>
          <w:spacing w:val="-2"/>
          <w:sz w:val="24"/>
        </w:rPr>
        <w:t>height?</w:t>
      </w:r>
    </w:p>
    <w:p>
      <w:pPr>
        <w:pStyle w:val="ListParagraph"/>
        <w:spacing w:after="0" w:line="240" w:lineRule="auto"/>
        <w:jc w:val="left"/>
        <w:rPr>
          <w:sz w:val="24"/>
        </w:rPr>
        <w:sectPr>
          <w:pgSz w:w="11910" w:h="16850"/>
          <w:pgMar w:header="1024" w:footer="1302" w:top="1480" w:bottom="1500" w:left="360" w:right="360"/>
        </w:sectPr>
      </w:pPr>
    </w:p>
    <w:p>
      <w:pPr>
        <w:pStyle w:val="ListParagraph"/>
        <w:numPr>
          <w:ilvl w:val="1"/>
          <w:numId w:val="365"/>
        </w:numPr>
        <w:tabs>
          <w:tab w:pos="1483" w:val="left" w:leader="none"/>
        </w:tabs>
        <w:spacing w:line="240" w:lineRule="auto" w:before="276" w:after="0"/>
        <w:ind w:left="1483" w:right="0" w:hanging="345"/>
        <w:jc w:val="left"/>
        <w:rPr>
          <w:sz w:val="24"/>
        </w:rPr>
      </w:pPr>
      <w:r>
        <w:rPr>
          <w:sz w:val="24"/>
        </w:rPr>
        <w:t>Will</w:t>
      </w:r>
      <w:r>
        <w:rPr>
          <w:spacing w:val="-1"/>
          <w:sz w:val="24"/>
        </w:rPr>
        <w:t> </w:t>
      </w:r>
      <w:r>
        <w:rPr>
          <w:sz w:val="24"/>
        </w:rPr>
        <w:t>it</w:t>
      </w:r>
      <w:r>
        <w:rPr>
          <w:spacing w:val="-1"/>
          <w:sz w:val="24"/>
        </w:rPr>
        <w:t> </w:t>
      </w:r>
      <w:r>
        <w:rPr>
          <w:sz w:val="24"/>
        </w:rPr>
        <w:t>be</w:t>
      </w:r>
      <w:r>
        <w:rPr>
          <w:spacing w:val="-1"/>
          <w:sz w:val="24"/>
        </w:rPr>
        <w:t> </w:t>
      </w:r>
      <w:r>
        <w:rPr>
          <w:sz w:val="24"/>
        </w:rPr>
        <w:t>paved,</w:t>
      </w:r>
      <w:r>
        <w:rPr>
          <w:spacing w:val="-1"/>
          <w:sz w:val="24"/>
        </w:rPr>
        <w:t> </w:t>
      </w:r>
      <w:r>
        <w:rPr>
          <w:sz w:val="24"/>
        </w:rPr>
        <w:t>drained</w:t>
      </w:r>
      <w:r>
        <w:rPr>
          <w:spacing w:val="-1"/>
          <w:sz w:val="24"/>
        </w:rPr>
        <w:t> </w:t>
      </w:r>
      <w:r>
        <w:rPr>
          <w:sz w:val="24"/>
        </w:rPr>
        <w:t>and</w:t>
      </w:r>
      <w:r>
        <w:rPr>
          <w:spacing w:val="-1"/>
          <w:sz w:val="24"/>
        </w:rPr>
        <w:t> </w:t>
      </w:r>
      <w:r>
        <w:rPr>
          <w:sz w:val="24"/>
        </w:rPr>
        <w:t>kept</w:t>
      </w:r>
      <w:r>
        <w:rPr>
          <w:spacing w:val="-1"/>
          <w:sz w:val="24"/>
        </w:rPr>
        <w:t> </w:t>
      </w:r>
      <w:r>
        <w:rPr>
          <w:sz w:val="24"/>
        </w:rPr>
        <w:t>free</w:t>
      </w:r>
      <w:r>
        <w:rPr>
          <w:spacing w:val="-1"/>
          <w:sz w:val="24"/>
        </w:rPr>
        <w:t> </w:t>
      </w:r>
      <w:r>
        <w:rPr>
          <w:sz w:val="24"/>
        </w:rPr>
        <w:t>of </w:t>
      </w:r>
      <w:r>
        <w:rPr>
          <w:spacing w:val="-2"/>
          <w:sz w:val="24"/>
        </w:rPr>
        <w:t>encroachment?</w:t>
      </w:r>
    </w:p>
    <w:p>
      <w:pPr>
        <w:pStyle w:val="ListParagraph"/>
        <w:numPr>
          <w:ilvl w:val="0"/>
          <w:numId w:val="365"/>
        </w:numPr>
        <w:tabs>
          <w:tab w:pos="1138" w:val="left" w:leader="none"/>
          <w:tab w:pos="1325" w:val="left" w:leader="none"/>
        </w:tabs>
        <w:spacing w:line="240" w:lineRule="auto" w:before="119" w:after="0"/>
        <w:ind w:left="1138" w:right="727" w:hanging="361"/>
        <w:jc w:val="left"/>
        <w:rPr>
          <w:sz w:val="24"/>
        </w:rPr>
      </w:pPr>
      <w:r>
        <w:rPr>
          <w:sz w:val="24"/>
        </w:rPr>
        <w:t>Is</w:t>
      </w:r>
      <w:r>
        <w:rPr>
          <w:spacing w:val="80"/>
          <w:sz w:val="24"/>
        </w:rPr>
        <w:t> </w:t>
      </w:r>
      <w:r>
        <w:rPr>
          <w:sz w:val="24"/>
        </w:rPr>
        <w:t>the</w:t>
      </w:r>
      <w:r>
        <w:rPr>
          <w:spacing w:val="80"/>
          <w:sz w:val="24"/>
        </w:rPr>
        <w:t> </w:t>
      </w:r>
      <w:r>
        <w:rPr>
          <w:sz w:val="24"/>
        </w:rPr>
        <w:t>recreational</w:t>
      </w:r>
      <w:r>
        <w:rPr>
          <w:spacing w:val="80"/>
          <w:sz w:val="24"/>
        </w:rPr>
        <w:t> </w:t>
      </w:r>
      <w:r>
        <w:rPr>
          <w:sz w:val="24"/>
        </w:rPr>
        <w:t>or</w:t>
      </w:r>
      <w:r>
        <w:rPr>
          <w:spacing w:val="80"/>
          <w:sz w:val="24"/>
        </w:rPr>
        <w:t> </w:t>
      </w:r>
      <w:r>
        <w:rPr>
          <w:sz w:val="24"/>
        </w:rPr>
        <w:t>amenity</w:t>
      </w:r>
      <w:r>
        <w:rPr>
          <w:spacing w:val="80"/>
          <w:sz w:val="24"/>
        </w:rPr>
        <w:t> </w:t>
      </w:r>
      <w:r>
        <w:rPr>
          <w:sz w:val="24"/>
        </w:rPr>
        <w:t>open</w:t>
      </w:r>
      <w:r>
        <w:rPr>
          <w:spacing w:val="80"/>
          <w:sz w:val="24"/>
        </w:rPr>
        <w:t> </w:t>
      </w:r>
      <w:r>
        <w:rPr>
          <w:sz w:val="24"/>
        </w:rPr>
        <w:t>space</w:t>
      </w:r>
      <w:r>
        <w:rPr>
          <w:spacing w:val="80"/>
          <w:sz w:val="24"/>
        </w:rPr>
        <w:t> </w:t>
      </w:r>
      <w:r>
        <w:rPr>
          <w:sz w:val="24"/>
        </w:rPr>
        <w:t>provided</w:t>
      </w:r>
      <w:r>
        <w:rPr>
          <w:spacing w:val="80"/>
          <w:sz w:val="24"/>
        </w:rPr>
        <w:t> </w:t>
      </w:r>
      <w:r>
        <w:rPr>
          <w:sz w:val="24"/>
        </w:rPr>
        <w:t>as</w:t>
      </w:r>
      <w:r>
        <w:rPr>
          <w:spacing w:val="80"/>
          <w:sz w:val="24"/>
        </w:rPr>
        <w:t> </w:t>
      </w:r>
      <w:r>
        <w:rPr>
          <w:sz w:val="24"/>
        </w:rPr>
        <w:t>required</w:t>
      </w:r>
      <w:r>
        <w:rPr>
          <w:spacing w:val="80"/>
          <w:sz w:val="24"/>
        </w:rPr>
        <w:t> </w:t>
      </w:r>
      <w:r>
        <w:rPr>
          <w:sz w:val="24"/>
        </w:rPr>
        <w:t>under Regulations 27(I), 27(2)?</w:t>
      </w:r>
    </w:p>
    <w:p>
      <w:pPr>
        <w:pStyle w:val="ListParagraph"/>
        <w:numPr>
          <w:ilvl w:val="0"/>
          <w:numId w:val="365"/>
        </w:numPr>
        <w:tabs>
          <w:tab w:pos="1138" w:val="left" w:leader="none"/>
          <w:tab w:pos="1497" w:val="left" w:leader="none"/>
        </w:tabs>
        <w:spacing w:line="343" w:lineRule="auto" w:before="120" w:after="0"/>
        <w:ind w:left="1138" w:right="1847" w:hanging="361"/>
        <w:jc w:val="left"/>
        <w:rPr>
          <w:sz w:val="24"/>
        </w:rPr>
      </w:pPr>
      <w:r>
        <w:rPr>
          <w:sz w:val="24"/>
        </w:rPr>
        <w:t>(a) Are any accessory buildings proposed?</w:t>
      </w:r>
      <w:r>
        <w:rPr>
          <w:spacing w:val="40"/>
          <w:sz w:val="24"/>
        </w:rPr>
        <w:t> </w:t>
      </w:r>
      <w:r>
        <w:rPr>
          <w:sz w:val="24"/>
        </w:rPr>
        <w:t>If so, for what </w:t>
      </w:r>
      <w:r>
        <w:rPr>
          <w:sz w:val="24"/>
        </w:rPr>
        <w:t>purpose? (b)What are their heights?</w:t>
      </w:r>
    </w:p>
    <w:p>
      <w:pPr>
        <w:pStyle w:val="ListParagraph"/>
        <w:numPr>
          <w:ilvl w:val="0"/>
          <w:numId w:val="369"/>
        </w:numPr>
        <w:tabs>
          <w:tab w:pos="1497" w:val="left" w:leader="none"/>
          <w:tab w:pos="6538" w:val="left" w:leader="none"/>
        </w:tabs>
        <w:spacing w:line="240" w:lineRule="auto" w:before="0" w:after="0"/>
        <w:ind w:left="1138" w:right="722" w:firstLine="0"/>
        <w:jc w:val="both"/>
        <w:rPr>
          <w:sz w:val="24"/>
        </w:rPr>
      </w:pPr>
      <w:r>
        <w:rPr>
          <w:sz w:val="24"/>
        </w:rPr>
        <w:t>Are</w:t>
      </w:r>
      <w:r>
        <w:rPr>
          <w:spacing w:val="-5"/>
          <w:sz w:val="24"/>
        </w:rPr>
        <w:t> </w:t>
      </w:r>
      <w:r>
        <w:rPr>
          <w:sz w:val="24"/>
        </w:rPr>
        <w:t>the</w:t>
      </w:r>
      <w:r>
        <w:rPr>
          <w:spacing w:val="-5"/>
          <w:sz w:val="24"/>
        </w:rPr>
        <w:t> </w:t>
      </w:r>
      <w:r>
        <w:rPr>
          <w:sz w:val="24"/>
        </w:rPr>
        <w:t>7.5</w:t>
      </w:r>
      <w:r>
        <w:rPr>
          <w:spacing w:val="-5"/>
          <w:sz w:val="24"/>
        </w:rPr>
        <w:t> </w:t>
      </w:r>
      <w:r>
        <w:rPr>
          <w:sz w:val="24"/>
        </w:rPr>
        <w:t>meters</w:t>
      </w:r>
      <w:r>
        <w:rPr>
          <w:spacing w:val="-5"/>
          <w:sz w:val="24"/>
        </w:rPr>
        <w:t> </w:t>
      </w:r>
      <w:r>
        <w:rPr>
          <w:sz w:val="24"/>
        </w:rPr>
        <w:t>away</w:t>
      </w:r>
      <w:r>
        <w:rPr>
          <w:spacing w:val="-5"/>
          <w:sz w:val="24"/>
        </w:rPr>
        <w:t> </w:t>
      </w:r>
      <w:r>
        <w:rPr>
          <w:sz w:val="24"/>
        </w:rPr>
        <w:t>from</w:t>
      </w:r>
      <w:r>
        <w:rPr>
          <w:spacing w:val="-5"/>
          <w:sz w:val="24"/>
        </w:rPr>
        <w:t> </w:t>
      </w:r>
      <w:r>
        <w:rPr>
          <w:sz w:val="24"/>
        </w:rPr>
        <w:t>the</w:t>
      </w:r>
      <w:r>
        <w:rPr>
          <w:spacing w:val="-5"/>
          <w:sz w:val="24"/>
        </w:rPr>
        <w:t> </w:t>
      </w:r>
      <w:r>
        <w:rPr>
          <w:sz w:val="24"/>
        </w:rPr>
        <w:t>street</w:t>
      </w:r>
      <w:r>
        <w:rPr>
          <w:spacing w:val="-5"/>
          <w:sz w:val="24"/>
        </w:rPr>
        <w:t> </w:t>
      </w:r>
      <w:r>
        <w:rPr>
          <w:sz w:val="24"/>
        </w:rPr>
        <w:t>or</w:t>
      </w:r>
      <w:r>
        <w:rPr>
          <w:spacing w:val="-5"/>
          <w:sz w:val="24"/>
        </w:rPr>
        <w:t> </w:t>
      </w:r>
      <w:r>
        <w:rPr>
          <w:sz w:val="24"/>
        </w:rPr>
        <w:t>front</w:t>
      </w:r>
      <w:r>
        <w:rPr>
          <w:spacing w:val="-5"/>
          <w:sz w:val="24"/>
        </w:rPr>
        <w:t> </w:t>
      </w:r>
      <w:r>
        <w:rPr>
          <w:sz w:val="24"/>
        </w:rPr>
        <w:t>plot</w:t>
      </w:r>
      <w:r>
        <w:rPr>
          <w:spacing w:val="-5"/>
          <w:sz w:val="24"/>
        </w:rPr>
        <w:t> </w:t>
      </w:r>
      <w:r>
        <w:rPr>
          <w:sz w:val="24"/>
        </w:rPr>
        <w:t>boundary</w:t>
      </w:r>
      <w:r>
        <w:rPr>
          <w:spacing w:val="-5"/>
          <w:sz w:val="24"/>
        </w:rPr>
        <w:t> </w:t>
      </w:r>
      <w:r>
        <w:rPr>
          <w:sz w:val="24"/>
        </w:rPr>
        <w:t>and</w:t>
      </w:r>
      <w:r>
        <w:rPr>
          <w:spacing w:val="-5"/>
          <w:sz w:val="24"/>
        </w:rPr>
        <w:t> </w:t>
      </w:r>
      <w:r>
        <w:rPr>
          <w:sz w:val="24"/>
        </w:rPr>
        <w:t>if</w:t>
      </w:r>
      <w:r>
        <w:rPr>
          <w:spacing w:val="-5"/>
          <w:sz w:val="24"/>
        </w:rPr>
        <w:t> </w:t>
      </w:r>
      <w:r>
        <w:rPr>
          <w:sz w:val="24"/>
        </w:rPr>
        <w:t>located within the</w:t>
        <w:tab/>
        <w:t>open</w:t>
      </w:r>
      <w:r>
        <w:rPr>
          <w:spacing w:val="-14"/>
          <w:sz w:val="24"/>
        </w:rPr>
        <w:t> </w:t>
      </w:r>
      <w:r>
        <w:rPr>
          <w:sz w:val="24"/>
        </w:rPr>
        <w:t>spaces,</w:t>
      </w:r>
      <w:r>
        <w:rPr>
          <w:spacing w:val="-14"/>
          <w:sz w:val="24"/>
        </w:rPr>
        <w:t> </w:t>
      </w:r>
      <w:r>
        <w:rPr>
          <w:sz w:val="24"/>
        </w:rPr>
        <w:t>1.5</w:t>
      </w:r>
      <w:r>
        <w:rPr>
          <w:spacing w:val="-14"/>
          <w:sz w:val="24"/>
        </w:rPr>
        <w:t> </w:t>
      </w:r>
      <w:r>
        <w:rPr>
          <w:sz w:val="24"/>
        </w:rPr>
        <w:t>meters</w:t>
      </w:r>
      <w:r>
        <w:rPr>
          <w:spacing w:val="-14"/>
          <w:sz w:val="24"/>
        </w:rPr>
        <w:t> </w:t>
      </w:r>
      <w:r>
        <w:rPr>
          <w:sz w:val="24"/>
        </w:rPr>
        <w:t>from</w:t>
      </w:r>
      <w:r>
        <w:rPr>
          <w:spacing w:val="-14"/>
          <w:sz w:val="24"/>
        </w:rPr>
        <w:t> </w:t>
      </w:r>
      <w:r>
        <w:rPr>
          <w:sz w:val="24"/>
        </w:rPr>
        <w:t>any other boundary?</w:t>
      </w:r>
    </w:p>
    <w:p>
      <w:pPr>
        <w:pStyle w:val="ListParagraph"/>
        <w:numPr>
          <w:ilvl w:val="0"/>
          <w:numId w:val="369"/>
        </w:numPr>
        <w:tabs>
          <w:tab w:pos="1507" w:val="left" w:leader="none"/>
        </w:tabs>
        <w:spacing w:line="240" w:lineRule="auto" w:before="118" w:after="0"/>
        <w:ind w:left="1507" w:right="0" w:hanging="369"/>
        <w:jc w:val="both"/>
        <w:rPr>
          <w:sz w:val="24"/>
        </w:rPr>
      </w:pPr>
      <w:r>
        <w:rPr>
          <w:sz w:val="24"/>
        </w:rPr>
        <w:t>Is</w:t>
      </w:r>
      <w:r>
        <w:rPr>
          <w:spacing w:val="-2"/>
          <w:sz w:val="24"/>
        </w:rPr>
        <w:t> </w:t>
      </w:r>
      <w:r>
        <w:rPr>
          <w:sz w:val="24"/>
        </w:rPr>
        <w:t>their</w:t>
      </w:r>
      <w:r>
        <w:rPr>
          <w:spacing w:val="-1"/>
          <w:sz w:val="24"/>
        </w:rPr>
        <w:t> </w:t>
      </w:r>
      <w:r>
        <w:rPr>
          <w:sz w:val="24"/>
        </w:rPr>
        <w:t>area</w:t>
      </w:r>
      <w:r>
        <w:rPr>
          <w:spacing w:val="-2"/>
          <w:sz w:val="24"/>
        </w:rPr>
        <w:t> </w:t>
      </w:r>
      <w:r>
        <w:rPr>
          <w:sz w:val="24"/>
        </w:rPr>
        <w:t>calculated</w:t>
      </w:r>
      <w:r>
        <w:rPr>
          <w:spacing w:val="-1"/>
          <w:sz w:val="24"/>
        </w:rPr>
        <w:t> </w:t>
      </w:r>
      <w:r>
        <w:rPr>
          <w:sz w:val="24"/>
        </w:rPr>
        <w:t>in</w:t>
      </w:r>
      <w:r>
        <w:rPr>
          <w:spacing w:val="-2"/>
          <w:sz w:val="24"/>
        </w:rPr>
        <w:t> </w:t>
      </w:r>
      <w:r>
        <w:rPr>
          <w:sz w:val="24"/>
        </w:rPr>
        <w:t>floor</w:t>
      </w:r>
      <w:r>
        <w:rPr>
          <w:spacing w:val="-1"/>
          <w:sz w:val="24"/>
        </w:rPr>
        <w:t> </w:t>
      </w:r>
      <w:r>
        <w:rPr>
          <w:sz w:val="24"/>
        </w:rPr>
        <w:t>space</w:t>
      </w:r>
      <w:r>
        <w:rPr>
          <w:spacing w:val="-1"/>
          <w:sz w:val="24"/>
        </w:rPr>
        <w:t> </w:t>
      </w:r>
      <w:r>
        <w:rPr>
          <w:spacing w:val="-2"/>
          <w:sz w:val="24"/>
        </w:rPr>
        <w:t>Index?</w:t>
      </w:r>
    </w:p>
    <w:p>
      <w:pPr>
        <w:pStyle w:val="ListParagraph"/>
        <w:numPr>
          <w:ilvl w:val="0"/>
          <w:numId w:val="365"/>
        </w:numPr>
        <w:tabs>
          <w:tab w:pos="1495" w:val="left" w:leader="none"/>
          <w:tab w:pos="1498" w:val="left" w:leader="none"/>
        </w:tabs>
        <w:spacing w:line="340" w:lineRule="auto" w:before="122" w:after="0"/>
        <w:ind w:left="1498" w:right="3335" w:hanging="721"/>
        <w:jc w:val="both"/>
        <w:rPr>
          <w:sz w:val="24"/>
        </w:rPr>
      </w:pPr>
      <w:r>
        <w:rPr>
          <w:sz w:val="24"/>
        </w:rPr>
        <w:t>(a)</w:t>
      </w:r>
      <w:r>
        <w:rPr>
          <w:spacing w:val="-4"/>
          <w:sz w:val="24"/>
        </w:rPr>
        <w:t> </w:t>
      </w:r>
      <w:r>
        <w:rPr>
          <w:sz w:val="24"/>
        </w:rPr>
        <w:t>what</w:t>
      </w:r>
      <w:r>
        <w:rPr>
          <w:spacing w:val="-4"/>
          <w:sz w:val="24"/>
        </w:rPr>
        <w:t> </w:t>
      </w:r>
      <w:r>
        <w:rPr>
          <w:sz w:val="24"/>
        </w:rPr>
        <w:t>is</w:t>
      </w:r>
      <w:r>
        <w:rPr>
          <w:spacing w:val="-4"/>
          <w:sz w:val="24"/>
        </w:rPr>
        <w:t> </w:t>
      </w:r>
      <w:r>
        <w:rPr>
          <w:sz w:val="24"/>
        </w:rPr>
        <w:t>the</w:t>
      </w:r>
      <w:r>
        <w:rPr>
          <w:spacing w:val="-4"/>
          <w:sz w:val="24"/>
        </w:rPr>
        <w:t> </w:t>
      </w:r>
      <w:r>
        <w:rPr>
          <w:sz w:val="24"/>
        </w:rPr>
        <w:t>proposed</w:t>
      </w:r>
      <w:r>
        <w:rPr>
          <w:spacing w:val="-4"/>
          <w:sz w:val="24"/>
        </w:rPr>
        <w:t> </w:t>
      </w:r>
      <w:r>
        <w:rPr>
          <w:sz w:val="24"/>
        </w:rPr>
        <w:t>height</w:t>
      </w:r>
      <w:r>
        <w:rPr>
          <w:spacing w:val="-4"/>
          <w:sz w:val="24"/>
        </w:rPr>
        <w:t> </w:t>
      </w:r>
      <w:r>
        <w:rPr>
          <w:sz w:val="24"/>
        </w:rPr>
        <w:t>of</w:t>
      </w:r>
      <w:r>
        <w:rPr>
          <w:spacing w:val="-4"/>
          <w:sz w:val="24"/>
        </w:rPr>
        <w:t> </w:t>
      </w:r>
      <w:r>
        <w:rPr>
          <w:sz w:val="24"/>
        </w:rPr>
        <w:t>the</w:t>
      </w:r>
      <w:r>
        <w:rPr>
          <w:spacing w:val="-4"/>
          <w:sz w:val="24"/>
        </w:rPr>
        <w:t> </w:t>
      </w:r>
      <w:r>
        <w:rPr>
          <w:sz w:val="24"/>
        </w:rPr>
        <w:t>compound</w:t>
      </w:r>
      <w:r>
        <w:rPr>
          <w:spacing w:val="-4"/>
          <w:sz w:val="24"/>
        </w:rPr>
        <w:t> </w:t>
      </w:r>
      <w:r>
        <w:rPr>
          <w:sz w:val="24"/>
        </w:rPr>
        <w:t>wall? Is it at a junction?</w:t>
      </w:r>
    </w:p>
    <w:p>
      <w:pPr>
        <w:pStyle w:val="ListParagraph"/>
        <w:numPr>
          <w:ilvl w:val="1"/>
          <w:numId w:val="365"/>
        </w:numPr>
        <w:tabs>
          <w:tab w:pos="1507" w:val="left" w:leader="none"/>
        </w:tabs>
        <w:spacing w:line="240" w:lineRule="auto" w:before="2" w:after="0"/>
        <w:ind w:left="1507" w:right="0" w:hanging="369"/>
        <w:jc w:val="both"/>
        <w:rPr>
          <w:sz w:val="24"/>
        </w:rPr>
      </w:pPr>
      <w:r>
        <w:rPr>
          <w:sz w:val="24"/>
        </w:rPr>
        <w:t>Does</w:t>
      </w:r>
      <w:r>
        <w:rPr>
          <w:spacing w:val="-3"/>
          <w:sz w:val="24"/>
        </w:rPr>
        <w:t> </w:t>
      </w:r>
      <w:r>
        <w:rPr>
          <w:sz w:val="24"/>
        </w:rPr>
        <w:t>it</w:t>
      </w:r>
      <w:r>
        <w:rPr>
          <w:spacing w:val="-1"/>
          <w:sz w:val="24"/>
        </w:rPr>
        <w:t> </w:t>
      </w:r>
      <w:r>
        <w:rPr>
          <w:sz w:val="24"/>
        </w:rPr>
        <w:t>comply with</w:t>
      </w:r>
      <w:r>
        <w:rPr>
          <w:spacing w:val="-1"/>
          <w:sz w:val="24"/>
        </w:rPr>
        <w:t> </w:t>
      </w:r>
      <w:r>
        <w:rPr>
          <w:sz w:val="24"/>
        </w:rPr>
        <w:t>Regulations </w:t>
      </w:r>
      <w:r>
        <w:rPr>
          <w:spacing w:val="-2"/>
          <w:sz w:val="24"/>
        </w:rPr>
        <w:t>37(24)?</w:t>
      </w:r>
    </w:p>
    <w:p>
      <w:pPr>
        <w:pStyle w:val="ListParagraph"/>
        <w:numPr>
          <w:ilvl w:val="0"/>
          <w:numId w:val="365"/>
        </w:numPr>
        <w:tabs>
          <w:tab w:pos="1138" w:val="left" w:leader="none"/>
          <w:tab w:pos="1495" w:val="left" w:leader="none"/>
          <w:tab w:pos="6538" w:val="left" w:leader="none"/>
        </w:tabs>
        <w:spacing w:line="240" w:lineRule="auto" w:before="121" w:after="0"/>
        <w:ind w:left="1138" w:right="722" w:hanging="361"/>
        <w:jc w:val="both"/>
        <w:rPr>
          <w:sz w:val="24"/>
        </w:rPr>
      </w:pPr>
      <w:r>
        <w:rPr>
          <w:sz w:val="24"/>
        </w:rPr>
        <w:t>(a) (I)</w:t>
        <w:tab/>
        <w:t>Is the proposal in the </w:t>
      </w:r>
      <w:r>
        <w:rPr>
          <w:sz w:val="24"/>
        </w:rPr>
        <w:t>airport </w:t>
      </w:r>
      <w:r>
        <w:rPr>
          <w:spacing w:val="-2"/>
          <w:sz w:val="24"/>
        </w:rPr>
        <w:t>zone?</w:t>
      </w:r>
    </w:p>
    <w:p>
      <w:pPr>
        <w:pStyle w:val="ListParagraph"/>
        <w:numPr>
          <w:ilvl w:val="1"/>
          <w:numId w:val="365"/>
        </w:numPr>
        <w:tabs>
          <w:tab w:pos="1497" w:val="left" w:leader="none"/>
          <w:tab w:pos="7978" w:val="left" w:leader="none"/>
        </w:tabs>
        <w:spacing w:line="240" w:lineRule="auto" w:before="118" w:after="0"/>
        <w:ind w:left="1138" w:right="723" w:firstLine="0"/>
        <w:jc w:val="both"/>
        <w:rPr>
          <w:sz w:val="24"/>
        </w:rPr>
      </w:pPr>
      <w:r>
        <w:rPr>
          <w:sz w:val="24"/>
        </w:rPr>
        <w:t>(ii)</w:t>
      </w:r>
      <w:r>
        <w:rPr>
          <w:spacing w:val="-6"/>
          <w:sz w:val="24"/>
        </w:rPr>
        <w:t> </w:t>
      </w:r>
      <w:r>
        <w:rPr>
          <w:sz w:val="24"/>
        </w:rPr>
        <w:t>Is a "No Objection Certificate" for height and character of smoke from </w:t>
      </w:r>
      <w:r>
        <w:rPr>
          <w:spacing w:val="-2"/>
          <w:sz w:val="24"/>
        </w:rPr>
        <w:t>chimneys</w:t>
      </w:r>
      <w:r>
        <w:rPr>
          <w:sz w:val="24"/>
        </w:rPr>
        <w:tab/>
        <w:t>obtained</w:t>
      </w:r>
      <w:r>
        <w:rPr>
          <w:spacing w:val="21"/>
          <w:sz w:val="24"/>
        </w:rPr>
        <w:t>  </w:t>
      </w:r>
      <w:r>
        <w:rPr>
          <w:sz w:val="24"/>
        </w:rPr>
        <w:t>from</w:t>
      </w:r>
      <w:r>
        <w:rPr>
          <w:spacing w:val="22"/>
          <w:sz w:val="24"/>
        </w:rPr>
        <w:t>  </w:t>
      </w:r>
      <w:r>
        <w:rPr>
          <w:spacing w:val="-2"/>
          <w:sz w:val="24"/>
        </w:rPr>
        <w:t>Civil</w:t>
      </w:r>
    </w:p>
    <w:p>
      <w:pPr>
        <w:pStyle w:val="BodyText"/>
        <w:spacing w:before="1"/>
        <w:ind w:left="1138"/>
      </w:pPr>
      <w:r>
        <w:rPr/>
        <w:t>Aviation</w:t>
      </w:r>
      <w:r>
        <w:rPr>
          <w:spacing w:val="-7"/>
        </w:rPr>
        <w:t> </w:t>
      </w:r>
      <w:r>
        <w:rPr/>
        <w:t>Authorities</w:t>
      </w:r>
      <w:r>
        <w:rPr>
          <w:spacing w:val="-4"/>
        </w:rPr>
        <w:t> </w:t>
      </w:r>
      <w:r>
        <w:rPr/>
        <w:t>(Attach</w:t>
      </w:r>
      <w:r>
        <w:rPr>
          <w:spacing w:val="-4"/>
        </w:rPr>
        <w:t> </w:t>
      </w:r>
      <w:r>
        <w:rPr>
          <w:spacing w:val="-2"/>
        </w:rPr>
        <w:t>copy).</w:t>
      </w:r>
    </w:p>
    <w:p>
      <w:pPr>
        <w:pStyle w:val="ListParagraph"/>
        <w:numPr>
          <w:ilvl w:val="1"/>
          <w:numId w:val="365"/>
        </w:numPr>
        <w:tabs>
          <w:tab w:pos="1485" w:val="left" w:leader="none"/>
          <w:tab w:pos="1498" w:val="left" w:leader="none"/>
        </w:tabs>
        <w:spacing w:line="240" w:lineRule="auto" w:before="121" w:after="0"/>
        <w:ind w:left="1498" w:right="725" w:hanging="360"/>
        <w:jc w:val="both"/>
        <w:rPr>
          <w:sz w:val="24"/>
        </w:rPr>
      </w:pPr>
      <w:r>
        <w:rPr>
          <w:sz w:val="24"/>
        </w:rPr>
        <w:t>Does</w:t>
      </w:r>
      <w:r>
        <w:rPr>
          <w:spacing w:val="-1"/>
          <w:sz w:val="24"/>
        </w:rPr>
        <w:t> </w:t>
      </w:r>
      <w:r>
        <w:rPr>
          <w:sz w:val="24"/>
        </w:rPr>
        <w:t>the</w:t>
      </w:r>
      <w:r>
        <w:rPr>
          <w:spacing w:val="-1"/>
          <w:sz w:val="24"/>
        </w:rPr>
        <w:t> </w:t>
      </w:r>
      <w:r>
        <w:rPr>
          <w:sz w:val="24"/>
        </w:rPr>
        <w:t>proposal</w:t>
      </w:r>
      <w:r>
        <w:rPr>
          <w:spacing w:val="-1"/>
          <w:sz w:val="24"/>
        </w:rPr>
        <w:t> </w:t>
      </w:r>
      <w:r>
        <w:rPr>
          <w:sz w:val="24"/>
        </w:rPr>
        <w:t>fall</w:t>
      </w:r>
      <w:r>
        <w:rPr>
          <w:spacing w:val="-1"/>
          <w:sz w:val="24"/>
        </w:rPr>
        <w:t> </w:t>
      </w:r>
      <w:r>
        <w:rPr>
          <w:sz w:val="24"/>
        </w:rPr>
        <w:t>in</w:t>
      </w:r>
      <w:r>
        <w:rPr>
          <w:spacing w:val="-1"/>
          <w:sz w:val="24"/>
        </w:rPr>
        <w:t> </w:t>
      </w:r>
      <w:r>
        <w:rPr>
          <w:sz w:val="24"/>
        </w:rPr>
        <w:t>the</w:t>
      </w:r>
      <w:r>
        <w:rPr>
          <w:spacing w:val="-1"/>
          <w:sz w:val="24"/>
        </w:rPr>
        <w:t> </w:t>
      </w:r>
      <w:r>
        <w:rPr>
          <w:sz w:val="24"/>
        </w:rPr>
        <w:t>category of</w:t>
      </w:r>
      <w:r>
        <w:rPr>
          <w:spacing w:val="-1"/>
          <w:sz w:val="24"/>
        </w:rPr>
        <w:t> </w:t>
      </w:r>
      <w:r>
        <w:rPr>
          <w:sz w:val="24"/>
        </w:rPr>
        <w:t>tower-like</w:t>
      </w:r>
      <w:r>
        <w:rPr>
          <w:spacing w:val="-1"/>
          <w:sz w:val="24"/>
        </w:rPr>
        <w:t> </w:t>
      </w:r>
      <w:r>
        <w:rPr>
          <w:sz w:val="24"/>
        </w:rPr>
        <w:t>structure</w:t>
      </w:r>
      <w:r>
        <w:rPr>
          <w:spacing w:val="-1"/>
          <w:sz w:val="24"/>
        </w:rPr>
        <w:t> </w:t>
      </w:r>
      <w:r>
        <w:rPr>
          <w:sz w:val="24"/>
        </w:rPr>
        <w:t>vide</w:t>
      </w:r>
      <w:r>
        <w:rPr>
          <w:spacing w:val="-1"/>
          <w:sz w:val="24"/>
        </w:rPr>
        <w:t> </w:t>
      </w:r>
      <w:r>
        <w:rPr>
          <w:sz w:val="24"/>
        </w:rPr>
        <w:t>Regulation 2(iv)()124</w:t>
      </w:r>
      <w:r>
        <w:rPr>
          <w:spacing w:val="-2"/>
          <w:sz w:val="24"/>
        </w:rPr>
        <w:t> </w:t>
      </w:r>
      <w:r>
        <w:rPr>
          <w:sz w:val="24"/>
        </w:rPr>
        <w:t>and</w:t>
      </w:r>
      <w:r>
        <w:rPr>
          <w:spacing w:val="-2"/>
          <w:sz w:val="24"/>
        </w:rPr>
        <w:t> </w:t>
      </w:r>
      <w:r>
        <w:rPr>
          <w:sz w:val="24"/>
        </w:rPr>
        <w:t>41(2)(i)(c)?</w:t>
      </w:r>
      <w:r>
        <w:rPr>
          <w:spacing w:val="74"/>
          <w:sz w:val="24"/>
        </w:rPr>
        <w:t> </w:t>
      </w:r>
      <w:r>
        <w:rPr>
          <w:sz w:val="24"/>
        </w:rPr>
        <w:t>If</w:t>
      </w:r>
      <w:r>
        <w:rPr>
          <w:spacing w:val="-2"/>
          <w:sz w:val="24"/>
        </w:rPr>
        <w:t> </w:t>
      </w:r>
      <w:r>
        <w:rPr>
          <w:sz w:val="24"/>
        </w:rPr>
        <w:t>so,</w:t>
      </w:r>
      <w:r>
        <w:rPr>
          <w:spacing w:val="-2"/>
          <w:sz w:val="24"/>
        </w:rPr>
        <w:t> </w:t>
      </w:r>
      <w:r>
        <w:rPr>
          <w:sz w:val="24"/>
        </w:rPr>
        <w:t>does</w:t>
      </w:r>
      <w:r>
        <w:rPr>
          <w:spacing w:val="-2"/>
          <w:sz w:val="24"/>
        </w:rPr>
        <w:t> </w:t>
      </w:r>
      <w:r>
        <w:rPr>
          <w:sz w:val="24"/>
        </w:rPr>
        <w:t>it</w:t>
      </w:r>
      <w:r>
        <w:rPr>
          <w:spacing w:val="-2"/>
          <w:sz w:val="24"/>
        </w:rPr>
        <w:t> </w:t>
      </w:r>
      <w:r>
        <w:rPr>
          <w:sz w:val="24"/>
        </w:rPr>
        <w:t>comply</w:t>
      </w:r>
      <w:r>
        <w:rPr>
          <w:spacing w:val="-2"/>
          <w:sz w:val="24"/>
        </w:rPr>
        <w:t> </w:t>
      </w:r>
      <w:r>
        <w:rPr>
          <w:sz w:val="24"/>
        </w:rPr>
        <w:t>with</w:t>
      </w:r>
      <w:r>
        <w:rPr>
          <w:spacing w:val="-2"/>
          <w:sz w:val="24"/>
        </w:rPr>
        <w:t> </w:t>
      </w:r>
      <w:r>
        <w:rPr>
          <w:sz w:val="24"/>
        </w:rPr>
        <w:t>the</w:t>
      </w:r>
      <w:r>
        <w:rPr>
          <w:spacing w:val="-2"/>
          <w:sz w:val="24"/>
        </w:rPr>
        <w:t> </w:t>
      </w:r>
      <w:r>
        <w:rPr>
          <w:sz w:val="24"/>
        </w:rPr>
        <w:t>requirement</w:t>
      </w:r>
      <w:r>
        <w:rPr>
          <w:spacing w:val="-2"/>
          <w:sz w:val="24"/>
        </w:rPr>
        <w:t> </w:t>
      </w:r>
      <w:r>
        <w:rPr>
          <w:sz w:val="24"/>
        </w:rPr>
        <w:t>thereof?</w:t>
      </w:r>
    </w:p>
    <w:p>
      <w:pPr>
        <w:pStyle w:val="ListParagraph"/>
        <w:numPr>
          <w:ilvl w:val="0"/>
          <w:numId w:val="365"/>
        </w:numPr>
        <w:tabs>
          <w:tab w:pos="1138" w:val="left" w:leader="none"/>
          <w:tab w:pos="1145" w:val="left" w:leader="none"/>
        </w:tabs>
        <w:spacing w:line="240" w:lineRule="auto" w:before="119" w:after="0"/>
        <w:ind w:left="1138" w:right="724" w:hanging="361"/>
        <w:jc w:val="both"/>
        <w:rPr>
          <w:sz w:val="24"/>
        </w:rPr>
      </w:pPr>
      <w:r>
        <w:rPr>
          <w:sz w:val="24"/>
        </w:rPr>
        <w:t>Indicate</w:t>
      </w:r>
      <w:r>
        <w:rPr>
          <w:sz w:val="24"/>
        </w:rPr>
        <w:t> provision for common conventional antenna for receipt of television transmission</w:t>
      </w:r>
      <w:r>
        <w:rPr>
          <w:spacing w:val="-6"/>
          <w:sz w:val="24"/>
        </w:rPr>
        <w:t> </w:t>
      </w:r>
      <w:r>
        <w:rPr>
          <w:sz w:val="24"/>
        </w:rPr>
        <w:t>in</w:t>
      </w:r>
      <w:r>
        <w:rPr>
          <w:spacing w:val="-7"/>
          <w:sz w:val="24"/>
        </w:rPr>
        <w:t> </w:t>
      </w:r>
      <w:r>
        <w:rPr>
          <w:sz w:val="24"/>
        </w:rPr>
        <w:t>residential</w:t>
      </w:r>
      <w:r>
        <w:rPr>
          <w:spacing w:val="-7"/>
          <w:sz w:val="24"/>
        </w:rPr>
        <w:t> </w:t>
      </w:r>
      <w:r>
        <w:rPr>
          <w:sz w:val="24"/>
        </w:rPr>
        <w:t>building</w:t>
      </w:r>
      <w:r>
        <w:rPr>
          <w:spacing w:val="-7"/>
          <w:sz w:val="24"/>
        </w:rPr>
        <w:t> </w:t>
      </w:r>
      <w:r>
        <w:rPr>
          <w:sz w:val="24"/>
        </w:rPr>
        <w:t>with</w:t>
      </w:r>
      <w:r>
        <w:rPr>
          <w:spacing w:val="-9"/>
          <w:sz w:val="24"/>
        </w:rPr>
        <w:t> </w:t>
      </w:r>
      <w:r>
        <w:rPr>
          <w:sz w:val="24"/>
        </w:rPr>
        <w:t>more</w:t>
      </w:r>
      <w:r>
        <w:rPr>
          <w:spacing w:val="-7"/>
          <w:sz w:val="24"/>
        </w:rPr>
        <w:t> </w:t>
      </w:r>
      <w:r>
        <w:rPr>
          <w:sz w:val="24"/>
        </w:rPr>
        <w:t>than</w:t>
      </w:r>
      <w:r>
        <w:rPr>
          <w:spacing w:val="-7"/>
          <w:sz w:val="24"/>
        </w:rPr>
        <w:t> </w:t>
      </w:r>
      <w:r>
        <w:rPr>
          <w:sz w:val="24"/>
        </w:rPr>
        <w:t>ten</w:t>
      </w:r>
      <w:r>
        <w:rPr>
          <w:spacing w:val="-7"/>
          <w:sz w:val="24"/>
        </w:rPr>
        <w:t> </w:t>
      </w:r>
      <w:r>
        <w:rPr>
          <w:sz w:val="24"/>
        </w:rPr>
        <w:t>tenements</w:t>
      </w:r>
      <w:r>
        <w:rPr>
          <w:spacing w:val="-7"/>
          <w:sz w:val="24"/>
        </w:rPr>
        <w:t> </w:t>
      </w:r>
      <w:r>
        <w:rPr>
          <w:sz w:val="24"/>
        </w:rPr>
        <w:t>(Regulations </w:t>
      </w:r>
      <w:r>
        <w:rPr>
          <w:spacing w:val="-4"/>
          <w:sz w:val="24"/>
        </w:rPr>
        <w:t>42)</w:t>
      </w:r>
    </w:p>
    <w:p>
      <w:pPr>
        <w:pStyle w:val="ListParagraph"/>
        <w:numPr>
          <w:ilvl w:val="0"/>
          <w:numId w:val="365"/>
        </w:numPr>
        <w:tabs>
          <w:tab w:pos="1138" w:val="left" w:leader="none"/>
          <w:tab w:pos="1145" w:val="left" w:leader="none"/>
        </w:tabs>
        <w:spacing w:line="240" w:lineRule="auto" w:before="122" w:after="0"/>
        <w:ind w:left="1138" w:right="723" w:hanging="361"/>
        <w:jc w:val="both"/>
        <w:rPr>
          <w:sz w:val="24"/>
        </w:rPr>
      </w:pPr>
      <w:r>
        <w:rPr>
          <w:sz w:val="24"/>
        </w:rPr>
        <w:t>Does</w:t>
      </w:r>
      <w:r>
        <w:rPr>
          <w:sz w:val="24"/>
        </w:rPr>
        <w:t> the proposal fall in any of the areas/zones such as those of the Mumbai Metropolitan Region Development Authority/ Maharashtra Housing and Area Development Authority/Railway/Highway/Slum </w:t>
      </w:r>
      <w:r>
        <w:rPr>
          <w:sz w:val="24"/>
        </w:rPr>
        <w:t>Authorities/Power Transmission line/Coastal Area/No Development Zone/Tourism Development Zone/Communication Authorities etc.?</w:t>
      </w:r>
    </w:p>
    <w:p>
      <w:pPr>
        <w:pStyle w:val="ListParagraph"/>
        <w:numPr>
          <w:ilvl w:val="0"/>
          <w:numId w:val="365"/>
        </w:numPr>
        <w:tabs>
          <w:tab w:pos="1222" w:val="left" w:leader="none"/>
        </w:tabs>
        <w:spacing w:line="240" w:lineRule="auto" w:before="118" w:after="0"/>
        <w:ind w:left="1222" w:right="0" w:hanging="445"/>
        <w:jc w:val="both"/>
        <w:rPr>
          <w:sz w:val="24"/>
        </w:rPr>
      </w:pPr>
      <w:r>
        <w:rPr>
          <w:sz w:val="24"/>
        </w:rPr>
        <w:t>(a)</w:t>
      </w:r>
      <w:r>
        <w:rPr>
          <w:spacing w:val="-1"/>
          <w:sz w:val="24"/>
        </w:rPr>
        <w:t> </w:t>
      </w:r>
      <w:r>
        <w:rPr>
          <w:sz w:val="24"/>
        </w:rPr>
        <w:t>Does</w:t>
      </w:r>
      <w:r>
        <w:rPr>
          <w:spacing w:val="-1"/>
          <w:sz w:val="24"/>
        </w:rPr>
        <w:t> </w:t>
      </w:r>
      <w:r>
        <w:rPr>
          <w:sz w:val="24"/>
        </w:rPr>
        <w:t>any</w:t>
      </w:r>
      <w:r>
        <w:rPr>
          <w:spacing w:val="-1"/>
          <w:sz w:val="24"/>
        </w:rPr>
        <w:t> </w:t>
      </w:r>
      <w:r>
        <w:rPr>
          <w:sz w:val="24"/>
        </w:rPr>
        <w:t>natural</w:t>
      </w:r>
      <w:r>
        <w:rPr>
          <w:spacing w:val="-1"/>
          <w:sz w:val="24"/>
        </w:rPr>
        <w:t> </w:t>
      </w:r>
      <w:r>
        <w:rPr>
          <w:sz w:val="24"/>
        </w:rPr>
        <w:t>water</w:t>
      </w:r>
      <w:r>
        <w:rPr>
          <w:spacing w:val="-1"/>
          <w:sz w:val="24"/>
        </w:rPr>
        <w:t> </w:t>
      </w:r>
      <w:r>
        <w:rPr>
          <w:sz w:val="24"/>
        </w:rPr>
        <w:t>course pass</w:t>
      </w:r>
      <w:r>
        <w:rPr>
          <w:spacing w:val="-1"/>
          <w:sz w:val="24"/>
        </w:rPr>
        <w:t> </w:t>
      </w:r>
      <w:r>
        <w:rPr>
          <w:sz w:val="24"/>
        </w:rPr>
        <w:t>through</w:t>
      </w:r>
      <w:r>
        <w:rPr>
          <w:spacing w:val="-1"/>
          <w:sz w:val="24"/>
        </w:rPr>
        <w:t> </w:t>
      </w:r>
      <w:r>
        <w:rPr>
          <w:sz w:val="24"/>
        </w:rPr>
        <w:t>the</w:t>
      </w:r>
      <w:r>
        <w:rPr>
          <w:spacing w:val="-1"/>
          <w:sz w:val="24"/>
        </w:rPr>
        <w:t> </w:t>
      </w:r>
      <w:r>
        <w:rPr>
          <w:sz w:val="24"/>
        </w:rPr>
        <w:t>land</w:t>
      </w:r>
      <w:r>
        <w:rPr>
          <w:spacing w:val="-1"/>
          <w:sz w:val="24"/>
        </w:rPr>
        <w:t> </w:t>
      </w:r>
      <w:r>
        <w:rPr>
          <w:sz w:val="24"/>
        </w:rPr>
        <w:t>under </w:t>
      </w:r>
      <w:r>
        <w:rPr>
          <w:spacing w:val="-2"/>
          <w:sz w:val="24"/>
        </w:rPr>
        <w:t>development?</w:t>
      </w:r>
    </w:p>
    <w:p>
      <w:pPr>
        <w:pStyle w:val="ListParagraph"/>
        <w:numPr>
          <w:ilvl w:val="1"/>
          <w:numId w:val="365"/>
        </w:numPr>
        <w:tabs>
          <w:tab w:pos="1507" w:val="left" w:leader="none"/>
        </w:tabs>
        <w:spacing w:line="240" w:lineRule="auto" w:before="121" w:after="0"/>
        <w:ind w:left="1507" w:right="0" w:hanging="369"/>
        <w:jc w:val="both"/>
        <w:rPr>
          <w:sz w:val="24"/>
        </w:rPr>
      </w:pPr>
      <w:r>
        <w:rPr>
          <w:sz w:val="24"/>
        </w:rPr>
        <w:t>Is</w:t>
      </w:r>
      <w:r>
        <w:rPr>
          <w:spacing w:val="-1"/>
          <w:sz w:val="24"/>
        </w:rPr>
        <w:t> </w:t>
      </w:r>
      <w:r>
        <w:rPr>
          <w:sz w:val="24"/>
        </w:rPr>
        <w:t>the</w:t>
      </w:r>
      <w:r>
        <w:rPr>
          <w:spacing w:val="-1"/>
          <w:sz w:val="24"/>
        </w:rPr>
        <w:t> </w:t>
      </w:r>
      <w:r>
        <w:rPr>
          <w:sz w:val="24"/>
        </w:rPr>
        <w:t>necessary</w:t>
      </w:r>
      <w:r>
        <w:rPr>
          <w:spacing w:val="-4"/>
          <w:sz w:val="24"/>
        </w:rPr>
        <w:t> </w:t>
      </w:r>
      <w:r>
        <w:rPr>
          <w:sz w:val="24"/>
        </w:rPr>
        <w:t>set</w:t>
      </w:r>
      <w:r>
        <w:rPr>
          <w:spacing w:val="-1"/>
          <w:sz w:val="24"/>
        </w:rPr>
        <w:t> </w:t>
      </w:r>
      <w:r>
        <w:rPr>
          <w:sz w:val="24"/>
        </w:rPr>
        <w:t>back</w:t>
      </w:r>
      <w:r>
        <w:rPr>
          <w:spacing w:val="-1"/>
          <w:sz w:val="24"/>
        </w:rPr>
        <w:t> </w:t>
      </w:r>
      <w:r>
        <w:rPr>
          <w:sz w:val="24"/>
        </w:rPr>
        <w:t>provided</w:t>
      </w:r>
      <w:r>
        <w:rPr>
          <w:spacing w:val="-1"/>
          <w:sz w:val="24"/>
        </w:rPr>
        <w:t> </w:t>
      </w:r>
      <w:r>
        <w:rPr>
          <w:sz w:val="24"/>
        </w:rPr>
        <w:t>according</w:t>
      </w:r>
      <w:r>
        <w:rPr>
          <w:spacing w:val="-1"/>
          <w:sz w:val="24"/>
        </w:rPr>
        <w:t> </w:t>
      </w:r>
      <w:r>
        <w:rPr>
          <w:sz w:val="24"/>
        </w:rPr>
        <w:t>to</w:t>
      </w:r>
      <w:r>
        <w:rPr>
          <w:spacing w:val="-1"/>
          <w:sz w:val="24"/>
        </w:rPr>
        <w:t> </w:t>
      </w:r>
      <w:r>
        <w:rPr>
          <w:sz w:val="24"/>
        </w:rPr>
        <w:t>Regulations</w:t>
      </w:r>
      <w:r>
        <w:rPr>
          <w:spacing w:val="-1"/>
          <w:sz w:val="24"/>
        </w:rPr>
        <w:t> </w:t>
      </w:r>
      <w:r>
        <w:rPr>
          <w:spacing w:val="-2"/>
          <w:sz w:val="24"/>
        </w:rPr>
        <w:t>18(b)?</w:t>
      </w:r>
    </w:p>
    <w:p>
      <w:pPr>
        <w:pStyle w:val="ListParagraph"/>
        <w:numPr>
          <w:ilvl w:val="0"/>
          <w:numId w:val="365"/>
        </w:numPr>
        <w:tabs>
          <w:tab w:pos="1138" w:val="left" w:leader="none"/>
          <w:tab w:pos="1495" w:val="left" w:leader="none"/>
        </w:tabs>
        <w:spacing w:line="240" w:lineRule="auto" w:before="120" w:after="0"/>
        <w:ind w:left="1138" w:right="728" w:hanging="361"/>
        <w:jc w:val="both"/>
        <w:rPr>
          <w:sz w:val="24"/>
        </w:rPr>
      </w:pPr>
      <w:r>
        <w:rPr>
          <w:sz w:val="24"/>
        </w:rPr>
        <w:tab/>
        <w:t>(a)</w:t>
      </w:r>
      <w:r>
        <w:rPr>
          <w:spacing w:val="-19"/>
          <w:sz w:val="24"/>
        </w:rPr>
        <w:t> </w:t>
      </w:r>
      <w:r>
        <w:rPr>
          <w:sz w:val="24"/>
        </w:rPr>
        <w:t>Is</w:t>
      </w:r>
      <w:r>
        <w:rPr>
          <w:spacing w:val="-19"/>
          <w:sz w:val="24"/>
        </w:rPr>
        <w:t> </w:t>
      </w:r>
      <w:r>
        <w:rPr>
          <w:sz w:val="24"/>
        </w:rPr>
        <w:t>the</w:t>
      </w:r>
      <w:r>
        <w:rPr>
          <w:spacing w:val="-19"/>
          <w:sz w:val="24"/>
        </w:rPr>
        <w:t> </w:t>
      </w:r>
      <w:r>
        <w:rPr>
          <w:sz w:val="24"/>
        </w:rPr>
        <w:t>plinth</w:t>
      </w:r>
      <w:r>
        <w:rPr>
          <w:spacing w:val="-19"/>
          <w:sz w:val="24"/>
        </w:rPr>
        <w:t> </w:t>
      </w:r>
      <w:r>
        <w:rPr>
          <w:sz w:val="24"/>
        </w:rPr>
        <w:t>level</w:t>
      </w:r>
      <w:r>
        <w:rPr>
          <w:spacing w:val="-17"/>
          <w:sz w:val="24"/>
        </w:rPr>
        <w:t> </w:t>
      </w:r>
      <w:r>
        <w:rPr>
          <w:sz w:val="24"/>
        </w:rPr>
        <w:t>proposed</w:t>
      </w:r>
      <w:r>
        <w:rPr>
          <w:spacing w:val="-19"/>
          <w:sz w:val="24"/>
        </w:rPr>
        <w:t> </w:t>
      </w:r>
      <w:r>
        <w:rPr>
          <w:sz w:val="24"/>
        </w:rPr>
        <w:t>to</w:t>
      </w:r>
      <w:r>
        <w:rPr>
          <w:spacing w:val="-19"/>
          <w:sz w:val="24"/>
        </w:rPr>
        <w:t> </w:t>
      </w:r>
      <w:r>
        <w:rPr>
          <w:sz w:val="24"/>
        </w:rPr>
        <w:t>be</w:t>
      </w:r>
      <w:r>
        <w:rPr>
          <w:spacing w:val="-19"/>
          <w:sz w:val="24"/>
        </w:rPr>
        <w:t> </w:t>
      </w:r>
      <w:r>
        <w:rPr>
          <w:sz w:val="24"/>
        </w:rPr>
        <w:t>above</w:t>
      </w:r>
      <w:r>
        <w:rPr>
          <w:spacing w:val="-17"/>
          <w:sz w:val="24"/>
        </w:rPr>
        <w:t> </w:t>
      </w:r>
      <w:r>
        <w:rPr>
          <w:sz w:val="24"/>
        </w:rPr>
        <w:t>the</w:t>
      </w:r>
      <w:r>
        <w:rPr>
          <w:spacing w:val="-19"/>
          <w:sz w:val="24"/>
        </w:rPr>
        <w:t> </w:t>
      </w:r>
      <w:r>
        <w:rPr>
          <w:sz w:val="24"/>
        </w:rPr>
        <w:t>level</w:t>
      </w:r>
      <w:r>
        <w:rPr>
          <w:spacing w:val="-19"/>
          <w:sz w:val="24"/>
        </w:rPr>
        <w:t> </w:t>
      </w:r>
      <w:r>
        <w:rPr>
          <w:sz w:val="24"/>
        </w:rPr>
        <w:t>of</w:t>
      </w:r>
      <w:r>
        <w:rPr>
          <w:spacing w:val="-17"/>
          <w:sz w:val="24"/>
        </w:rPr>
        <w:t> </w:t>
      </w:r>
      <w:r>
        <w:rPr>
          <w:sz w:val="24"/>
        </w:rPr>
        <w:t>the</w:t>
      </w:r>
      <w:r>
        <w:rPr>
          <w:spacing w:val="-19"/>
          <w:sz w:val="24"/>
        </w:rPr>
        <w:t> </w:t>
      </w:r>
      <w:r>
        <w:rPr>
          <w:sz w:val="24"/>
        </w:rPr>
        <w:t>surrounding</w:t>
      </w:r>
      <w:r>
        <w:rPr>
          <w:spacing w:val="-19"/>
          <w:sz w:val="24"/>
        </w:rPr>
        <w:t> </w:t>
      </w:r>
      <w:r>
        <w:rPr>
          <w:sz w:val="24"/>
        </w:rPr>
        <w:t>ground </w:t>
      </w:r>
      <w:r>
        <w:rPr>
          <w:spacing w:val="-2"/>
          <w:sz w:val="24"/>
        </w:rPr>
        <w:t>level?</w:t>
      </w:r>
    </w:p>
    <w:p>
      <w:pPr>
        <w:pStyle w:val="ListParagraph"/>
        <w:numPr>
          <w:ilvl w:val="1"/>
          <w:numId w:val="365"/>
        </w:numPr>
        <w:tabs>
          <w:tab w:pos="1507" w:val="left" w:leader="none"/>
        </w:tabs>
        <w:spacing w:line="240" w:lineRule="auto" w:before="121" w:after="0"/>
        <w:ind w:left="1507" w:right="0" w:hanging="369"/>
        <w:jc w:val="both"/>
        <w:rPr>
          <w:sz w:val="24"/>
        </w:rPr>
      </w:pPr>
      <w:r>
        <w:rPr>
          <w:sz w:val="24"/>
        </w:rPr>
        <w:t>Will</w:t>
      </w:r>
      <w:r>
        <w:rPr>
          <w:spacing w:val="-2"/>
          <w:sz w:val="24"/>
        </w:rPr>
        <w:t> </w:t>
      </w:r>
      <w:r>
        <w:rPr>
          <w:sz w:val="24"/>
        </w:rPr>
        <w:t>the</w:t>
      </w:r>
      <w:r>
        <w:rPr>
          <w:spacing w:val="-2"/>
          <w:sz w:val="24"/>
        </w:rPr>
        <w:t> </w:t>
      </w:r>
      <w:r>
        <w:rPr>
          <w:sz w:val="24"/>
        </w:rPr>
        <w:t>proposed</w:t>
      </w:r>
      <w:r>
        <w:rPr>
          <w:spacing w:val="-2"/>
          <w:sz w:val="24"/>
        </w:rPr>
        <w:t> </w:t>
      </w:r>
      <w:r>
        <w:rPr>
          <w:sz w:val="24"/>
        </w:rPr>
        <w:t>plinth</w:t>
      </w:r>
      <w:r>
        <w:rPr>
          <w:spacing w:val="-2"/>
          <w:sz w:val="24"/>
        </w:rPr>
        <w:t> </w:t>
      </w:r>
      <w:r>
        <w:rPr>
          <w:sz w:val="24"/>
        </w:rPr>
        <w:t>level</w:t>
      </w:r>
      <w:r>
        <w:rPr>
          <w:spacing w:val="-2"/>
          <w:sz w:val="24"/>
        </w:rPr>
        <w:t> </w:t>
      </w:r>
      <w:r>
        <w:rPr>
          <w:sz w:val="24"/>
        </w:rPr>
        <w:t>be</w:t>
      </w:r>
      <w:r>
        <w:rPr>
          <w:spacing w:val="-2"/>
          <w:sz w:val="24"/>
        </w:rPr>
        <w:t> </w:t>
      </w:r>
      <w:r>
        <w:rPr>
          <w:sz w:val="24"/>
        </w:rPr>
        <w:t>above</w:t>
      </w:r>
      <w:r>
        <w:rPr>
          <w:spacing w:val="-2"/>
          <w:sz w:val="24"/>
        </w:rPr>
        <w:t> </w:t>
      </w:r>
      <w:r>
        <w:rPr>
          <w:sz w:val="24"/>
        </w:rPr>
        <w:t>27.55</w:t>
      </w:r>
      <w:r>
        <w:rPr>
          <w:spacing w:val="-2"/>
          <w:sz w:val="24"/>
        </w:rPr>
        <w:t> </w:t>
      </w:r>
      <w:r>
        <w:rPr>
          <w:sz w:val="24"/>
        </w:rPr>
        <w:t>m</w:t>
      </w:r>
      <w:r>
        <w:rPr>
          <w:spacing w:val="-2"/>
          <w:sz w:val="24"/>
        </w:rPr>
        <w:t> </w:t>
      </w:r>
      <w:r>
        <w:rPr>
          <w:sz w:val="24"/>
        </w:rPr>
        <w:t>Town</w:t>
      </w:r>
      <w:r>
        <w:rPr>
          <w:spacing w:val="-2"/>
          <w:sz w:val="24"/>
        </w:rPr>
        <w:t> </w:t>
      </w:r>
      <w:r>
        <w:rPr>
          <w:sz w:val="24"/>
        </w:rPr>
        <w:t>Hall</w:t>
      </w:r>
      <w:r>
        <w:rPr>
          <w:spacing w:val="1"/>
          <w:sz w:val="24"/>
        </w:rPr>
        <w:t> </w:t>
      </w:r>
      <w:r>
        <w:rPr>
          <w:spacing w:val="-2"/>
          <w:sz w:val="24"/>
        </w:rPr>
        <w:t>Datum?</w:t>
      </w:r>
    </w:p>
    <w:p>
      <w:pPr>
        <w:pStyle w:val="ListParagraph"/>
        <w:numPr>
          <w:ilvl w:val="1"/>
          <w:numId w:val="365"/>
        </w:numPr>
        <w:tabs>
          <w:tab w:pos="1497" w:val="left" w:leader="none"/>
          <w:tab w:pos="6538" w:val="left" w:leader="none"/>
        </w:tabs>
        <w:spacing w:line="240" w:lineRule="auto" w:before="119" w:after="0"/>
        <w:ind w:left="1138" w:right="722" w:firstLine="0"/>
        <w:jc w:val="both"/>
        <w:rPr>
          <w:sz w:val="24"/>
        </w:rPr>
      </w:pPr>
      <w:r>
        <w:rPr>
          <w:sz w:val="24"/>
        </w:rPr>
        <w:t>Is</w:t>
      </w:r>
      <w:r>
        <w:rPr>
          <w:spacing w:val="-12"/>
          <w:sz w:val="24"/>
        </w:rPr>
        <w:t> </w:t>
      </w:r>
      <w:r>
        <w:rPr>
          <w:sz w:val="24"/>
        </w:rPr>
        <w:t>the</w:t>
      </w:r>
      <w:r>
        <w:rPr>
          <w:spacing w:val="-12"/>
          <w:sz w:val="24"/>
        </w:rPr>
        <w:t> </w:t>
      </w:r>
      <w:r>
        <w:rPr>
          <w:sz w:val="24"/>
        </w:rPr>
        <w:t>plot</w:t>
      </w:r>
      <w:r>
        <w:rPr>
          <w:spacing w:val="-12"/>
          <w:sz w:val="24"/>
        </w:rPr>
        <w:t> </w:t>
      </w:r>
      <w:r>
        <w:rPr>
          <w:sz w:val="24"/>
        </w:rPr>
        <w:t>proposed</w:t>
      </w:r>
      <w:r>
        <w:rPr>
          <w:spacing w:val="-12"/>
          <w:sz w:val="24"/>
        </w:rPr>
        <w:t> </w:t>
      </w:r>
      <w:r>
        <w:rPr>
          <w:sz w:val="24"/>
        </w:rPr>
        <w:t>to</w:t>
      </w:r>
      <w:r>
        <w:rPr>
          <w:spacing w:val="-12"/>
          <w:sz w:val="24"/>
        </w:rPr>
        <w:t> </w:t>
      </w:r>
      <w:r>
        <w:rPr>
          <w:sz w:val="24"/>
        </w:rPr>
        <w:t>be</w:t>
      </w:r>
      <w:r>
        <w:rPr>
          <w:spacing w:val="-12"/>
          <w:sz w:val="24"/>
        </w:rPr>
        <w:t> </w:t>
      </w:r>
      <w:r>
        <w:rPr>
          <w:sz w:val="24"/>
        </w:rPr>
        <w:t>filled</w:t>
      </w:r>
      <w:r>
        <w:rPr>
          <w:spacing w:val="-12"/>
          <w:sz w:val="24"/>
        </w:rPr>
        <w:t> </w:t>
      </w:r>
      <w:r>
        <w:rPr>
          <w:sz w:val="24"/>
        </w:rPr>
        <w:t>upto</w:t>
      </w:r>
      <w:r>
        <w:rPr>
          <w:spacing w:val="-12"/>
          <w:sz w:val="24"/>
        </w:rPr>
        <w:t> </w:t>
      </w:r>
      <w:r>
        <w:rPr>
          <w:sz w:val="24"/>
        </w:rPr>
        <w:t>the</w:t>
      </w:r>
      <w:r>
        <w:rPr>
          <w:spacing w:val="-12"/>
          <w:sz w:val="24"/>
        </w:rPr>
        <w:t> </w:t>
      </w:r>
      <w:r>
        <w:rPr>
          <w:sz w:val="24"/>
        </w:rPr>
        <w:t>level</w:t>
      </w:r>
      <w:r>
        <w:rPr>
          <w:spacing w:val="-12"/>
          <w:sz w:val="24"/>
        </w:rPr>
        <w:t> </w:t>
      </w:r>
      <w:r>
        <w:rPr>
          <w:sz w:val="24"/>
        </w:rPr>
        <w:t>of</w:t>
      </w:r>
      <w:r>
        <w:rPr>
          <w:spacing w:val="-12"/>
          <w:sz w:val="24"/>
        </w:rPr>
        <w:t> </w:t>
      </w:r>
      <w:r>
        <w:rPr>
          <w:sz w:val="24"/>
        </w:rPr>
        <w:t>the</w:t>
      </w:r>
      <w:r>
        <w:rPr>
          <w:spacing w:val="-12"/>
          <w:sz w:val="24"/>
        </w:rPr>
        <w:t> </w:t>
      </w:r>
      <w:r>
        <w:rPr>
          <w:sz w:val="24"/>
        </w:rPr>
        <w:t>abutting</w:t>
      </w:r>
      <w:r>
        <w:rPr>
          <w:spacing w:val="-12"/>
          <w:sz w:val="24"/>
        </w:rPr>
        <w:t> </w:t>
      </w:r>
      <w:r>
        <w:rPr>
          <w:sz w:val="24"/>
        </w:rPr>
        <w:t>road</w:t>
      </w:r>
      <w:r>
        <w:rPr>
          <w:spacing w:val="-12"/>
          <w:sz w:val="24"/>
        </w:rPr>
        <w:t> </w:t>
      </w:r>
      <w:r>
        <w:rPr>
          <w:sz w:val="24"/>
        </w:rPr>
        <w:t>or</w:t>
      </w:r>
      <w:r>
        <w:rPr>
          <w:spacing w:val="-12"/>
          <w:sz w:val="24"/>
        </w:rPr>
        <w:t> </w:t>
      </w:r>
      <w:r>
        <w:rPr>
          <w:sz w:val="24"/>
        </w:rPr>
        <w:t>Reduced Level (R.L.)</w:t>
        <w:tab/>
        <w:t>27.55 m Town Hall Datum, whichever is more?</w:t>
      </w:r>
    </w:p>
    <w:p>
      <w:pPr>
        <w:pStyle w:val="ListParagraph"/>
        <w:numPr>
          <w:ilvl w:val="0"/>
          <w:numId w:val="365"/>
        </w:numPr>
        <w:tabs>
          <w:tab w:pos="1138" w:val="left" w:leader="none"/>
          <w:tab w:pos="1495" w:val="left" w:leader="none"/>
        </w:tabs>
        <w:spacing w:line="240" w:lineRule="auto" w:before="119" w:after="0"/>
        <w:ind w:left="1138" w:right="726" w:hanging="361"/>
        <w:jc w:val="both"/>
        <w:rPr>
          <w:sz w:val="24"/>
        </w:rPr>
      </w:pPr>
      <w:r>
        <w:rPr>
          <w:sz w:val="24"/>
        </w:rPr>
        <w:tab/>
        <w:t>The</w:t>
      </w:r>
      <w:r>
        <w:rPr>
          <w:spacing w:val="-10"/>
          <w:sz w:val="24"/>
        </w:rPr>
        <w:t> </w:t>
      </w:r>
      <w:r>
        <w:rPr>
          <w:sz w:val="24"/>
        </w:rPr>
        <w:t>details</w:t>
      </w:r>
      <w:r>
        <w:rPr>
          <w:spacing w:val="-10"/>
          <w:sz w:val="24"/>
        </w:rPr>
        <w:t> </w:t>
      </w:r>
      <w:r>
        <w:rPr>
          <w:sz w:val="24"/>
        </w:rPr>
        <w:t>of</w:t>
      </w:r>
      <w:r>
        <w:rPr>
          <w:spacing w:val="-10"/>
          <w:sz w:val="24"/>
        </w:rPr>
        <w:t> </w:t>
      </w:r>
      <w:r>
        <w:rPr>
          <w:sz w:val="24"/>
        </w:rPr>
        <w:t>the</w:t>
      </w:r>
      <w:r>
        <w:rPr>
          <w:spacing w:val="-10"/>
          <w:sz w:val="24"/>
        </w:rPr>
        <w:t> </w:t>
      </w:r>
      <w:r>
        <w:rPr>
          <w:sz w:val="24"/>
        </w:rPr>
        <w:t>materials</w:t>
      </w:r>
      <w:r>
        <w:rPr>
          <w:spacing w:val="-10"/>
          <w:sz w:val="24"/>
        </w:rPr>
        <w:t> </w:t>
      </w:r>
      <w:r>
        <w:rPr>
          <w:sz w:val="24"/>
        </w:rPr>
        <w:t>to</w:t>
      </w:r>
      <w:r>
        <w:rPr>
          <w:spacing w:val="-10"/>
          <w:sz w:val="24"/>
        </w:rPr>
        <w:t> </w:t>
      </w:r>
      <w:r>
        <w:rPr>
          <w:sz w:val="24"/>
        </w:rPr>
        <w:t>be</w:t>
      </w:r>
      <w:r>
        <w:rPr>
          <w:spacing w:val="-10"/>
          <w:sz w:val="24"/>
        </w:rPr>
        <w:t> </w:t>
      </w:r>
      <w:r>
        <w:rPr>
          <w:sz w:val="24"/>
        </w:rPr>
        <w:t>used</w:t>
      </w:r>
      <w:r>
        <w:rPr>
          <w:spacing w:val="-10"/>
          <w:sz w:val="24"/>
        </w:rPr>
        <w:t> </w:t>
      </w:r>
      <w:r>
        <w:rPr>
          <w:sz w:val="24"/>
        </w:rPr>
        <w:t>in</w:t>
      </w:r>
      <w:r>
        <w:rPr>
          <w:spacing w:val="-10"/>
          <w:sz w:val="24"/>
        </w:rPr>
        <w:t> </w:t>
      </w:r>
      <w:r>
        <w:rPr>
          <w:sz w:val="24"/>
        </w:rPr>
        <w:t>construction</w:t>
      </w:r>
      <w:r>
        <w:rPr>
          <w:spacing w:val="-10"/>
          <w:sz w:val="24"/>
        </w:rPr>
        <w:t> </w:t>
      </w:r>
      <w:r>
        <w:rPr>
          <w:sz w:val="24"/>
        </w:rPr>
        <w:t>with</w:t>
      </w:r>
      <w:r>
        <w:rPr>
          <w:spacing w:val="-10"/>
          <w:sz w:val="24"/>
        </w:rPr>
        <w:t> </w:t>
      </w:r>
      <w:r>
        <w:rPr>
          <w:sz w:val="24"/>
        </w:rPr>
        <w:t>specifications</w:t>
      </w:r>
      <w:r>
        <w:rPr>
          <w:spacing w:val="-10"/>
          <w:sz w:val="24"/>
        </w:rPr>
        <w:t> </w:t>
      </w:r>
      <w:r>
        <w:rPr>
          <w:sz w:val="24"/>
        </w:rPr>
        <w:t>are as follows:</w:t>
      </w:r>
    </w:p>
    <w:p>
      <w:pPr>
        <w:pStyle w:val="ListParagraph"/>
        <w:spacing w:after="0" w:line="240" w:lineRule="auto"/>
        <w:jc w:val="both"/>
        <w:rPr>
          <w:sz w:val="24"/>
        </w:rPr>
        <w:sectPr>
          <w:pgSz w:w="11910" w:h="16850"/>
          <w:pgMar w:header="1024" w:footer="1302" w:top="1480" w:bottom="1500" w:left="360" w:right="360"/>
        </w:sectPr>
      </w:pPr>
    </w:p>
    <w:p>
      <w:pPr>
        <w:pStyle w:val="BodyText"/>
        <w:spacing w:before="276"/>
        <w:ind w:left="1138"/>
        <w:jc w:val="left"/>
      </w:pPr>
      <w:r>
        <w:rPr/>
        <mc:AlternateContent>
          <mc:Choice Requires="wps">
            <w:drawing>
              <wp:anchor distT="0" distB="0" distL="0" distR="0" allowOverlap="1" layoutInCell="1" locked="0" behindDoc="0" simplePos="0" relativeHeight="15757824">
                <wp:simplePos x="0" y="0"/>
                <wp:positionH relativeFrom="page">
                  <wp:posOffset>1359661</wp:posOffset>
                </wp:positionH>
                <wp:positionV relativeFrom="paragraph">
                  <wp:posOffset>281045</wp:posOffset>
                </wp:positionV>
                <wp:extent cx="5486400" cy="1270"/>
                <wp:effectExtent l="0" t="0" r="0" b="0"/>
                <wp:wrapNone/>
                <wp:docPr id="613" name="Graphic 613"/>
                <wp:cNvGraphicFramePr>
                  <a:graphicFrameLocks/>
                </wp:cNvGraphicFramePr>
                <a:graphic>
                  <a:graphicData uri="http://schemas.microsoft.com/office/word/2010/wordprocessingShape">
                    <wps:wsp>
                      <wps:cNvPr id="613" name="Graphic 613"/>
                      <wps:cNvSpPr/>
                      <wps:spPr>
                        <a:xfrm>
                          <a:off x="0" y="0"/>
                          <a:ext cx="5486400" cy="1270"/>
                        </a:xfrm>
                        <a:custGeom>
                          <a:avLst/>
                          <a:gdLst/>
                          <a:ahLst/>
                          <a:cxnLst/>
                          <a:rect l="l" t="t" r="r" b="b"/>
                          <a:pathLst>
                            <a:path w="5486400" h="0">
                              <a:moveTo>
                                <a:pt x="0" y="0"/>
                              </a:moveTo>
                              <a:lnTo>
                                <a:pt x="548640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824" from="107.059998pt,22.129541pt" to="539.060018pt,22.129541pt" stroked="true" strokeweight=".72pt" strokecolor="#000000">
                <v:stroke dashstyle="dash"/>
                <w10:wrap type="none"/>
              </v:line>
            </w:pict>
          </mc:Fallback>
        </mc:AlternateContent>
      </w:r>
      <w:r>
        <w:rPr/>
        <mc:AlternateContent>
          <mc:Choice Requires="wps">
            <w:drawing>
              <wp:anchor distT="0" distB="0" distL="0" distR="0" allowOverlap="1" layoutInCell="1" locked="0" behindDoc="0" simplePos="0" relativeHeight="15758336">
                <wp:simplePos x="0" y="0"/>
                <wp:positionH relativeFrom="page">
                  <wp:posOffset>1411477</wp:posOffset>
                </wp:positionH>
                <wp:positionV relativeFrom="paragraph">
                  <wp:posOffset>715385</wp:posOffset>
                </wp:positionV>
                <wp:extent cx="5425440" cy="1270"/>
                <wp:effectExtent l="0" t="0" r="0" b="0"/>
                <wp:wrapNone/>
                <wp:docPr id="614" name="Graphic 614"/>
                <wp:cNvGraphicFramePr>
                  <a:graphicFrameLocks/>
                </wp:cNvGraphicFramePr>
                <a:graphic>
                  <a:graphicData uri="http://schemas.microsoft.com/office/word/2010/wordprocessingShape">
                    <wps:wsp>
                      <wps:cNvPr id="614" name="Graphic 614"/>
                      <wps:cNvSpPr/>
                      <wps:spPr>
                        <a:xfrm>
                          <a:off x="0" y="0"/>
                          <a:ext cx="5425440" cy="1270"/>
                        </a:xfrm>
                        <a:custGeom>
                          <a:avLst/>
                          <a:gdLst/>
                          <a:ahLst/>
                          <a:cxnLst/>
                          <a:rect l="l" t="t" r="r" b="b"/>
                          <a:pathLst>
                            <a:path w="5425440" h="0">
                              <a:moveTo>
                                <a:pt x="0" y="0"/>
                              </a:moveTo>
                              <a:lnTo>
                                <a:pt x="542544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336" from="111.139999pt,56.329556pt" to="538.34002pt,56.329556pt" stroked="true" strokeweight=".72pt" strokecolor="#000000">
                <v:stroke dashstyle="dash"/>
                <w10:wrap type="none"/>
              </v:line>
            </w:pict>
          </mc:Fallback>
        </mc:AlternateContent>
      </w:r>
      <w:r>
        <w:rPr/>
        <mc:AlternateContent>
          <mc:Choice Requires="wps">
            <w:drawing>
              <wp:anchor distT="0" distB="0" distL="0" distR="0" allowOverlap="1" layoutInCell="1" locked="0" behindDoc="0" simplePos="0" relativeHeight="15758848">
                <wp:simplePos x="0" y="0"/>
                <wp:positionH relativeFrom="page">
                  <wp:posOffset>1356613</wp:posOffset>
                </wp:positionH>
                <wp:positionV relativeFrom="page">
                  <wp:posOffset>2089962</wp:posOffset>
                </wp:positionV>
                <wp:extent cx="5486400" cy="1270"/>
                <wp:effectExtent l="0" t="0" r="0" b="0"/>
                <wp:wrapNone/>
                <wp:docPr id="615" name="Graphic 615"/>
                <wp:cNvGraphicFramePr>
                  <a:graphicFrameLocks/>
                </wp:cNvGraphicFramePr>
                <a:graphic>
                  <a:graphicData uri="http://schemas.microsoft.com/office/word/2010/wordprocessingShape">
                    <wps:wsp>
                      <wps:cNvPr id="615" name="Graphic 615"/>
                      <wps:cNvSpPr/>
                      <wps:spPr>
                        <a:xfrm>
                          <a:off x="0" y="0"/>
                          <a:ext cx="5486400" cy="1270"/>
                        </a:xfrm>
                        <a:custGeom>
                          <a:avLst/>
                          <a:gdLst/>
                          <a:ahLst/>
                          <a:cxnLst/>
                          <a:rect l="l" t="t" r="r" b="b"/>
                          <a:pathLst>
                            <a:path w="5486400" h="0">
                              <a:moveTo>
                                <a:pt x="0" y="0"/>
                              </a:moveTo>
                              <a:lnTo>
                                <a:pt x="548640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8848" from="106.82pt,164.563980pt" to="538.82002pt,164.563980pt" stroked="true" strokeweight=".72pt" strokecolor="#000000">
                <v:stroke dashstyle="dash"/>
                <w10:wrap type="none"/>
              </v:line>
            </w:pict>
          </mc:Fallback>
        </mc:AlternateContent>
      </w:r>
      <w:r>
        <w:rPr/>
        <mc:AlternateContent>
          <mc:Choice Requires="wps">
            <w:drawing>
              <wp:anchor distT="0" distB="0" distL="0" distR="0" allowOverlap="1" layoutInCell="1" locked="0" behindDoc="0" simplePos="0" relativeHeight="15759360">
                <wp:simplePos x="0" y="0"/>
                <wp:positionH relativeFrom="page">
                  <wp:posOffset>1621789</wp:posOffset>
                </wp:positionH>
                <wp:positionV relativeFrom="page">
                  <wp:posOffset>2522778</wp:posOffset>
                </wp:positionV>
                <wp:extent cx="5242560" cy="1270"/>
                <wp:effectExtent l="0" t="0" r="0" b="0"/>
                <wp:wrapNone/>
                <wp:docPr id="616" name="Graphic 616"/>
                <wp:cNvGraphicFramePr>
                  <a:graphicFrameLocks/>
                </wp:cNvGraphicFramePr>
                <a:graphic>
                  <a:graphicData uri="http://schemas.microsoft.com/office/word/2010/wordprocessingShape">
                    <wps:wsp>
                      <wps:cNvPr id="616" name="Graphic 616"/>
                      <wps:cNvSpPr/>
                      <wps:spPr>
                        <a:xfrm>
                          <a:off x="0" y="0"/>
                          <a:ext cx="5242560" cy="1270"/>
                        </a:xfrm>
                        <a:custGeom>
                          <a:avLst/>
                          <a:gdLst/>
                          <a:ahLst/>
                          <a:cxnLst/>
                          <a:rect l="l" t="t" r="r" b="b"/>
                          <a:pathLst>
                            <a:path w="5242560" h="0">
                              <a:moveTo>
                                <a:pt x="0" y="0"/>
                              </a:moveTo>
                              <a:lnTo>
                                <a:pt x="524256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9360" from="127.699997pt,198.643997pt" to="540.500017pt,198.643997pt" stroked="true" strokeweight=".72pt" strokecolor="#000000">
                <v:stroke dashstyle="dash"/>
                <w10:wrap type="none"/>
              </v:line>
            </w:pict>
          </mc:Fallback>
        </mc:AlternateContent>
      </w:r>
      <w:r>
        <w:rPr/>
        <mc:AlternateContent>
          <mc:Choice Requires="wps">
            <w:drawing>
              <wp:anchor distT="0" distB="0" distL="0" distR="0" allowOverlap="1" layoutInCell="1" locked="0" behindDoc="0" simplePos="0" relativeHeight="15759872">
                <wp:simplePos x="0" y="0"/>
                <wp:positionH relativeFrom="page">
                  <wp:posOffset>1454150</wp:posOffset>
                </wp:positionH>
                <wp:positionV relativeFrom="page">
                  <wp:posOffset>2957118</wp:posOffset>
                </wp:positionV>
                <wp:extent cx="5365115" cy="1270"/>
                <wp:effectExtent l="0" t="0" r="0" b="0"/>
                <wp:wrapNone/>
                <wp:docPr id="617" name="Graphic 617"/>
                <wp:cNvGraphicFramePr>
                  <a:graphicFrameLocks/>
                </wp:cNvGraphicFramePr>
                <a:graphic>
                  <a:graphicData uri="http://schemas.microsoft.com/office/word/2010/wordprocessingShape">
                    <wps:wsp>
                      <wps:cNvPr id="617" name="Graphic 617"/>
                      <wps:cNvSpPr/>
                      <wps:spPr>
                        <a:xfrm>
                          <a:off x="0" y="0"/>
                          <a:ext cx="5365115" cy="1270"/>
                        </a:xfrm>
                        <a:custGeom>
                          <a:avLst/>
                          <a:gdLst/>
                          <a:ahLst/>
                          <a:cxnLst/>
                          <a:rect l="l" t="t" r="r" b="b"/>
                          <a:pathLst>
                            <a:path w="5365115" h="0">
                              <a:moveTo>
                                <a:pt x="0" y="0"/>
                              </a:moveTo>
                              <a:lnTo>
                                <a:pt x="5365115"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9872" from="114.5pt,232.844009pt" to="536.950009pt,232.844009pt" stroked="true" strokeweight=".72pt" strokecolor="#000000">
                <v:stroke dashstyle="dash"/>
                <w10:wrap type="none"/>
              </v:line>
            </w:pict>
          </mc:Fallback>
        </mc:AlternateContent>
      </w:r>
      <w:r>
        <w:rPr/>
        <mc:AlternateContent>
          <mc:Choice Requires="wps">
            <w:drawing>
              <wp:anchor distT="0" distB="0" distL="0" distR="0" allowOverlap="1" layoutInCell="1" locked="0" behindDoc="0" simplePos="0" relativeHeight="15760384">
                <wp:simplePos x="0" y="0"/>
                <wp:positionH relativeFrom="page">
                  <wp:posOffset>2359405</wp:posOffset>
                </wp:positionH>
                <wp:positionV relativeFrom="page">
                  <wp:posOffset>3391839</wp:posOffset>
                </wp:positionV>
                <wp:extent cx="4512945" cy="1270"/>
                <wp:effectExtent l="0" t="0" r="0" b="0"/>
                <wp:wrapNone/>
                <wp:docPr id="618" name="Graphic 618"/>
                <wp:cNvGraphicFramePr>
                  <a:graphicFrameLocks/>
                </wp:cNvGraphicFramePr>
                <a:graphic>
                  <a:graphicData uri="http://schemas.microsoft.com/office/word/2010/wordprocessingShape">
                    <wps:wsp>
                      <wps:cNvPr id="618" name="Graphic 618"/>
                      <wps:cNvSpPr/>
                      <wps:spPr>
                        <a:xfrm>
                          <a:off x="0" y="0"/>
                          <a:ext cx="4512945" cy="1270"/>
                        </a:xfrm>
                        <a:custGeom>
                          <a:avLst/>
                          <a:gdLst/>
                          <a:ahLst/>
                          <a:cxnLst/>
                          <a:rect l="l" t="t" r="r" b="b"/>
                          <a:pathLst>
                            <a:path w="4512945" h="0">
                              <a:moveTo>
                                <a:pt x="0" y="0"/>
                              </a:moveTo>
                              <a:lnTo>
                                <a:pt x="4512411"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60384" from="185.779999pt,267.073975pt" to="541.088016pt,267.073975pt" stroked="true" strokeweight=".72pt" strokecolor="#000000">
                <v:stroke dashstyle="dash"/>
                <w10:wrap type="none"/>
              </v:line>
            </w:pict>
          </mc:Fallback>
        </mc:AlternateContent>
      </w:r>
      <w:r>
        <w:rPr>
          <w:spacing w:val="-2"/>
        </w:rPr>
        <w:t>Roofs</w:t>
      </w:r>
    </w:p>
    <w:p>
      <w:pPr>
        <w:pStyle w:val="BodyText"/>
        <w:jc w:val="left"/>
        <w:rPr>
          <w:sz w:val="12"/>
        </w:rPr>
      </w:pPr>
      <w:r>
        <w:rPr>
          <w:sz w:val="12"/>
        </w:rPr>
        <mc:AlternateContent>
          <mc:Choice Requires="wps">
            <w:drawing>
              <wp:anchor distT="0" distB="0" distL="0" distR="0" allowOverlap="1" layoutInCell="1" locked="0" behindDoc="1" simplePos="0" relativeHeight="487612928">
                <wp:simplePos x="0" y="0"/>
                <wp:positionH relativeFrom="page">
                  <wp:posOffset>951280</wp:posOffset>
                </wp:positionH>
                <wp:positionV relativeFrom="paragraph">
                  <wp:posOffset>105202</wp:posOffset>
                </wp:positionV>
                <wp:extent cx="365760" cy="1270"/>
                <wp:effectExtent l="0" t="0" r="0" b="0"/>
                <wp:wrapTopAndBottom/>
                <wp:docPr id="619" name="Graphic 619"/>
                <wp:cNvGraphicFramePr>
                  <a:graphicFrameLocks/>
                </wp:cNvGraphicFramePr>
                <a:graphic>
                  <a:graphicData uri="http://schemas.microsoft.com/office/word/2010/wordprocessingShape">
                    <wps:wsp>
                      <wps:cNvPr id="619" name="Graphic 619"/>
                      <wps:cNvSpPr/>
                      <wps:spPr>
                        <a:xfrm>
                          <a:off x="0" y="0"/>
                          <a:ext cx="365760" cy="1270"/>
                        </a:xfrm>
                        <a:custGeom>
                          <a:avLst/>
                          <a:gdLst/>
                          <a:ahLst/>
                          <a:cxnLst/>
                          <a:rect l="l" t="t" r="r" b="b"/>
                          <a:pathLst>
                            <a:path w="365760" h="0">
                              <a:moveTo>
                                <a:pt x="0" y="0"/>
                              </a:moveTo>
                              <a:lnTo>
                                <a:pt x="36576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4.903999pt;margin-top:8.283644pt;width:28.8pt;height:.1pt;mso-position-horizontal-relative:page;mso-position-vertical-relative:paragraph;z-index:-15703552;mso-wrap-distance-left:0;mso-wrap-distance-right:0" id="docshape526" coordorigin="1498,166" coordsize="576,0" path="m1498,166l2074,166e" filled="false" stroked="true" strokeweight=".72pt" strokecolor="#000000">
                <v:path arrowok="t"/>
                <v:stroke dashstyle="dash"/>
                <w10:wrap type="topAndBottom"/>
              </v:shape>
            </w:pict>
          </mc:Fallback>
        </mc:AlternateContent>
      </w:r>
    </w:p>
    <w:p>
      <w:pPr>
        <w:pStyle w:val="BodyText"/>
        <w:spacing w:before="229"/>
        <w:ind w:left="1138"/>
        <w:jc w:val="left"/>
      </w:pPr>
      <w:r>
        <w:rPr>
          <w:spacing w:val="-2"/>
        </w:rPr>
        <w:t>Floors</w:t>
      </w:r>
    </w:p>
    <w:p>
      <w:pPr>
        <w:pStyle w:val="BodyText"/>
        <w:spacing w:before="1"/>
        <w:jc w:val="left"/>
        <w:rPr>
          <w:sz w:val="12"/>
        </w:rPr>
      </w:pPr>
      <w:r>
        <w:rPr>
          <w:sz w:val="12"/>
        </w:rPr>
        <mc:AlternateContent>
          <mc:Choice Requires="wps">
            <w:drawing>
              <wp:anchor distT="0" distB="0" distL="0" distR="0" allowOverlap="1" layoutInCell="1" locked="0" behindDoc="1" simplePos="0" relativeHeight="487613440">
                <wp:simplePos x="0" y="0"/>
                <wp:positionH relativeFrom="page">
                  <wp:posOffset>951280</wp:posOffset>
                </wp:positionH>
                <wp:positionV relativeFrom="paragraph">
                  <wp:posOffset>105461</wp:posOffset>
                </wp:positionV>
                <wp:extent cx="365760" cy="1270"/>
                <wp:effectExtent l="0" t="0" r="0" b="0"/>
                <wp:wrapTopAndBottom/>
                <wp:docPr id="620" name="Graphic 620"/>
                <wp:cNvGraphicFramePr>
                  <a:graphicFrameLocks/>
                </wp:cNvGraphicFramePr>
                <a:graphic>
                  <a:graphicData uri="http://schemas.microsoft.com/office/word/2010/wordprocessingShape">
                    <wps:wsp>
                      <wps:cNvPr id="620" name="Graphic 620"/>
                      <wps:cNvSpPr/>
                      <wps:spPr>
                        <a:xfrm>
                          <a:off x="0" y="0"/>
                          <a:ext cx="365760" cy="1270"/>
                        </a:xfrm>
                        <a:custGeom>
                          <a:avLst/>
                          <a:gdLst/>
                          <a:ahLst/>
                          <a:cxnLst/>
                          <a:rect l="l" t="t" r="r" b="b"/>
                          <a:pathLst>
                            <a:path w="365760" h="0">
                              <a:moveTo>
                                <a:pt x="0" y="0"/>
                              </a:moveTo>
                              <a:lnTo>
                                <a:pt x="36576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4.903999pt;margin-top:8.304074pt;width:28.8pt;height:.1pt;mso-position-horizontal-relative:page;mso-position-vertical-relative:paragraph;z-index:-15703040;mso-wrap-distance-left:0;mso-wrap-distance-right:0" id="docshape527" coordorigin="1498,166" coordsize="576,0" path="m1498,166l2074,166e" filled="false" stroked="true" strokeweight=".72pt" strokecolor="#000000">
                <v:path arrowok="t"/>
                <v:stroke dashstyle="dash"/>
                <w10:wrap type="topAndBottom"/>
              </v:shape>
            </w:pict>
          </mc:Fallback>
        </mc:AlternateContent>
      </w:r>
    </w:p>
    <w:p>
      <w:pPr>
        <w:pStyle w:val="BodyText"/>
        <w:spacing w:before="229"/>
        <w:ind w:left="1138"/>
        <w:jc w:val="left"/>
      </w:pPr>
      <w:r>
        <w:rPr>
          <w:spacing w:val="-2"/>
        </w:rPr>
        <w:t>Walls</w:t>
      </w:r>
    </w:p>
    <w:p>
      <w:pPr>
        <w:pStyle w:val="BodyText"/>
        <w:spacing w:before="1"/>
        <w:jc w:val="left"/>
        <w:rPr>
          <w:sz w:val="12"/>
        </w:rPr>
      </w:pPr>
      <w:r>
        <w:rPr>
          <w:sz w:val="12"/>
        </w:rPr>
        <mc:AlternateContent>
          <mc:Choice Requires="wps">
            <w:drawing>
              <wp:anchor distT="0" distB="0" distL="0" distR="0" allowOverlap="1" layoutInCell="1" locked="0" behindDoc="1" simplePos="0" relativeHeight="487613952">
                <wp:simplePos x="0" y="0"/>
                <wp:positionH relativeFrom="page">
                  <wp:posOffset>951280</wp:posOffset>
                </wp:positionH>
                <wp:positionV relativeFrom="paragraph">
                  <wp:posOffset>105460</wp:posOffset>
                </wp:positionV>
                <wp:extent cx="365760" cy="1270"/>
                <wp:effectExtent l="0" t="0" r="0" b="0"/>
                <wp:wrapTopAndBottom/>
                <wp:docPr id="621" name="Graphic 621"/>
                <wp:cNvGraphicFramePr>
                  <a:graphicFrameLocks/>
                </wp:cNvGraphicFramePr>
                <a:graphic>
                  <a:graphicData uri="http://schemas.microsoft.com/office/word/2010/wordprocessingShape">
                    <wps:wsp>
                      <wps:cNvPr id="621" name="Graphic 621"/>
                      <wps:cNvSpPr/>
                      <wps:spPr>
                        <a:xfrm>
                          <a:off x="0" y="0"/>
                          <a:ext cx="365760" cy="1270"/>
                        </a:xfrm>
                        <a:custGeom>
                          <a:avLst/>
                          <a:gdLst/>
                          <a:ahLst/>
                          <a:cxnLst/>
                          <a:rect l="l" t="t" r="r" b="b"/>
                          <a:pathLst>
                            <a:path w="365760" h="0">
                              <a:moveTo>
                                <a:pt x="0" y="0"/>
                              </a:moveTo>
                              <a:lnTo>
                                <a:pt x="36576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4.903999pt;margin-top:8.304013pt;width:28.8pt;height:.1pt;mso-position-horizontal-relative:page;mso-position-vertical-relative:paragraph;z-index:-15702528;mso-wrap-distance-left:0;mso-wrap-distance-right:0" id="docshape528" coordorigin="1498,166" coordsize="576,0" path="m1498,166l2074,166e" filled="false" stroked="true" strokeweight=".72pt" strokecolor="#000000">
                <v:path arrowok="t"/>
                <v:stroke dashstyle="dash"/>
                <w10:wrap type="topAndBottom"/>
              </v:shape>
            </w:pict>
          </mc:Fallback>
        </mc:AlternateContent>
      </w:r>
    </w:p>
    <w:p>
      <w:pPr>
        <w:pStyle w:val="BodyText"/>
        <w:spacing w:before="227"/>
        <w:ind w:left="1138"/>
        <w:jc w:val="left"/>
      </w:pPr>
      <w:r>
        <w:rPr>
          <w:spacing w:val="-2"/>
        </w:rPr>
        <w:t>Columns</w:t>
      </w:r>
    </w:p>
    <w:p>
      <w:pPr>
        <w:pStyle w:val="BodyText"/>
        <w:spacing w:before="3"/>
        <w:jc w:val="left"/>
        <w:rPr>
          <w:sz w:val="12"/>
        </w:rPr>
      </w:pPr>
      <w:r>
        <w:rPr>
          <w:sz w:val="12"/>
        </w:rPr>
        <mc:AlternateContent>
          <mc:Choice Requires="wps">
            <w:drawing>
              <wp:anchor distT="0" distB="0" distL="0" distR="0" allowOverlap="1" layoutInCell="1" locked="0" behindDoc="1" simplePos="0" relativeHeight="487614464">
                <wp:simplePos x="0" y="0"/>
                <wp:positionH relativeFrom="page">
                  <wp:posOffset>951280</wp:posOffset>
                </wp:positionH>
                <wp:positionV relativeFrom="paragraph">
                  <wp:posOffset>106731</wp:posOffset>
                </wp:positionV>
                <wp:extent cx="426720" cy="1270"/>
                <wp:effectExtent l="0" t="0" r="0" b="0"/>
                <wp:wrapTopAndBottom/>
                <wp:docPr id="622" name="Graphic 622"/>
                <wp:cNvGraphicFramePr>
                  <a:graphicFrameLocks/>
                </wp:cNvGraphicFramePr>
                <a:graphic>
                  <a:graphicData uri="http://schemas.microsoft.com/office/word/2010/wordprocessingShape">
                    <wps:wsp>
                      <wps:cNvPr id="622" name="Graphic 622"/>
                      <wps:cNvSpPr/>
                      <wps:spPr>
                        <a:xfrm>
                          <a:off x="0" y="0"/>
                          <a:ext cx="426720" cy="1270"/>
                        </a:xfrm>
                        <a:custGeom>
                          <a:avLst/>
                          <a:gdLst/>
                          <a:ahLst/>
                          <a:cxnLst/>
                          <a:rect l="l" t="t" r="r" b="b"/>
                          <a:pathLst>
                            <a:path w="426720" h="0">
                              <a:moveTo>
                                <a:pt x="0" y="0"/>
                              </a:moveTo>
                              <a:lnTo>
                                <a:pt x="42672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4.903999pt;margin-top:8.404075pt;width:33.6pt;height:.1pt;mso-position-horizontal-relative:page;mso-position-vertical-relative:paragraph;z-index:-15702016;mso-wrap-distance-left:0;mso-wrap-distance-right:0" id="docshape529" coordorigin="1498,168" coordsize="672,0" path="m1498,168l2170,168e" filled="false" stroked="true" strokeweight=".72pt" strokecolor="#000000">
                <v:path arrowok="t"/>
                <v:stroke dashstyle="dash"/>
                <w10:wrap type="topAndBottom"/>
              </v:shape>
            </w:pict>
          </mc:Fallback>
        </mc:AlternateContent>
      </w:r>
    </w:p>
    <w:p>
      <w:pPr>
        <w:pStyle w:val="BodyText"/>
        <w:spacing w:before="227"/>
        <w:ind w:left="1138"/>
        <w:jc w:val="left"/>
      </w:pPr>
      <w:r>
        <w:rPr>
          <w:spacing w:val="-2"/>
        </w:rPr>
        <w:t>Beams</w:t>
      </w:r>
    </w:p>
    <w:p>
      <w:pPr>
        <w:pStyle w:val="BodyText"/>
        <w:spacing w:before="3"/>
        <w:jc w:val="left"/>
        <w:rPr>
          <w:sz w:val="12"/>
        </w:rPr>
      </w:pPr>
      <w:r>
        <w:rPr>
          <w:sz w:val="12"/>
        </w:rPr>
        <mc:AlternateContent>
          <mc:Choice Requires="wps">
            <w:drawing>
              <wp:anchor distT="0" distB="0" distL="0" distR="0" allowOverlap="1" layoutInCell="1" locked="0" behindDoc="1" simplePos="0" relativeHeight="487614976">
                <wp:simplePos x="0" y="0"/>
                <wp:positionH relativeFrom="page">
                  <wp:posOffset>951280</wp:posOffset>
                </wp:positionH>
                <wp:positionV relativeFrom="paragraph">
                  <wp:posOffset>106731</wp:posOffset>
                </wp:positionV>
                <wp:extent cx="487680" cy="1270"/>
                <wp:effectExtent l="0" t="0" r="0" b="0"/>
                <wp:wrapTopAndBottom/>
                <wp:docPr id="623" name="Graphic 623"/>
                <wp:cNvGraphicFramePr>
                  <a:graphicFrameLocks/>
                </wp:cNvGraphicFramePr>
                <a:graphic>
                  <a:graphicData uri="http://schemas.microsoft.com/office/word/2010/wordprocessingShape">
                    <wps:wsp>
                      <wps:cNvPr id="623" name="Graphic 623"/>
                      <wps:cNvSpPr/>
                      <wps:spPr>
                        <a:xfrm>
                          <a:off x="0" y="0"/>
                          <a:ext cx="487680" cy="1270"/>
                        </a:xfrm>
                        <a:custGeom>
                          <a:avLst/>
                          <a:gdLst/>
                          <a:ahLst/>
                          <a:cxnLst/>
                          <a:rect l="l" t="t" r="r" b="b"/>
                          <a:pathLst>
                            <a:path w="487680" h="0">
                              <a:moveTo>
                                <a:pt x="0" y="0"/>
                              </a:moveTo>
                              <a:lnTo>
                                <a:pt x="48768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4.903999pt;margin-top:8.404075pt;width:38.4pt;height:.1pt;mso-position-horizontal-relative:page;mso-position-vertical-relative:paragraph;z-index:-15701504;mso-wrap-distance-left:0;mso-wrap-distance-right:0" id="docshape530" coordorigin="1498,168" coordsize="768,0" path="m1498,168l2266,168e" filled="false" stroked="true" strokeweight=".72pt" strokecolor="#000000">
                <v:path arrowok="t"/>
                <v:stroke dashstyle="dash"/>
                <w10:wrap type="topAndBottom"/>
              </v:shape>
            </w:pict>
          </mc:Fallback>
        </mc:AlternateContent>
      </w:r>
    </w:p>
    <w:p>
      <w:pPr>
        <w:pStyle w:val="BodyText"/>
        <w:spacing w:before="227"/>
        <w:ind w:left="1138"/>
        <w:jc w:val="left"/>
      </w:pPr>
      <w:r>
        <w:rPr/>
        <w:t>Any</w:t>
      </w:r>
      <w:r>
        <w:rPr>
          <w:spacing w:val="16"/>
        </w:rPr>
        <w:t> </w:t>
      </w:r>
      <w:r>
        <w:rPr/>
        <w:t>other</w:t>
      </w:r>
      <w:r>
        <w:rPr>
          <w:spacing w:val="16"/>
        </w:rPr>
        <w:t> </w:t>
      </w:r>
      <w:r>
        <w:rPr>
          <w:spacing w:val="-2"/>
        </w:rPr>
        <w:t>Material</w:t>
      </w:r>
    </w:p>
    <w:p>
      <w:pPr>
        <w:pStyle w:val="BodyText"/>
        <w:spacing w:before="1"/>
        <w:jc w:val="left"/>
        <w:rPr>
          <w:sz w:val="12"/>
        </w:rPr>
      </w:pPr>
      <w:r>
        <w:rPr>
          <w:sz w:val="12"/>
        </w:rPr>
        <mc:AlternateContent>
          <mc:Choice Requires="wps">
            <w:drawing>
              <wp:anchor distT="0" distB="0" distL="0" distR="0" allowOverlap="1" layoutInCell="1" locked="0" behindDoc="1" simplePos="0" relativeHeight="487615488">
                <wp:simplePos x="0" y="0"/>
                <wp:positionH relativeFrom="page">
                  <wp:posOffset>951280</wp:posOffset>
                </wp:positionH>
                <wp:positionV relativeFrom="paragraph">
                  <wp:posOffset>105588</wp:posOffset>
                </wp:positionV>
                <wp:extent cx="426720" cy="1270"/>
                <wp:effectExtent l="0" t="0" r="0" b="0"/>
                <wp:wrapTopAndBottom/>
                <wp:docPr id="624" name="Graphic 624"/>
                <wp:cNvGraphicFramePr>
                  <a:graphicFrameLocks/>
                </wp:cNvGraphicFramePr>
                <a:graphic>
                  <a:graphicData uri="http://schemas.microsoft.com/office/word/2010/wordprocessingShape">
                    <wps:wsp>
                      <wps:cNvPr id="624" name="Graphic 624"/>
                      <wps:cNvSpPr/>
                      <wps:spPr>
                        <a:xfrm>
                          <a:off x="0" y="0"/>
                          <a:ext cx="426720" cy="1270"/>
                        </a:xfrm>
                        <a:custGeom>
                          <a:avLst/>
                          <a:gdLst/>
                          <a:ahLst/>
                          <a:cxnLst/>
                          <a:rect l="l" t="t" r="r" b="b"/>
                          <a:pathLst>
                            <a:path w="426720" h="0">
                              <a:moveTo>
                                <a:pt x="0" y="0"/>
                              </a:moveTo>
                              <a:lnTo>
                                <a:pt x="42672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4.903999pt;margin-top:8.314048pt;width:33.6pt;height:.1pt;mso-position-horizontal-relative:page;mso-position-vertical-relative:paragraph;z-index:-15700992;mso-wrap-distance-left:0;mso-wrap-distance-right:0" id="docshape531" coordorigin="1498,166" coordsize="672,0" path="m1498,166l2170,166e" filled="false" stroked="true" strokeweight=".72pt" strokecolor="#000000">
                <v:path arrowok="t"/>
                <v:stroke dashstyle="dash"/>
                <w10:wrap type="topAndBottom"/>
              </v:shape>
            </w:pict>
          </mc:Fallback>
        </mc:AlternateContent>
      </w:r>
    </w:p>
    <w:p>
      <w:pPr>
        <w:pStyle w:val="BodyText"/>
        <w:spacing w:line="276" w:lineRule="auto" w:before="227"/>
        <w:ind w:left="1498" w:right="768"/>
        <w:jc w:val="left"/>
      </w:pPr>
      <w:r>
        <w:rPr/>
        <w:t>“Note:-</w:t>
      </w:r>
      <w:r>
        <w:rPr>
          <w:spacing w:val="-3"/>
        </w:rPr>
        <w:t> </w:t>
      </w:r>
      <w:r>
        <w:rPr/>
        <w:t>Building</w:t>
      </w:r>
      <w:r>
        <w:rPr>
          <w:spacing w:val="-3"/>
        </w:rPr>
        <w:t> </w:t>
      </w:r>
      <w:r>
        <w:rPr/>
        <w:t>material</w:t>
      </w:r>
      <w:r>
        <w:rPr>
          <w:spacing w:val="-3"/>
        </w:rPr>
        <w:t> </w:t>
      </w:r>
      <w:r>
        <w:rPr/>
        <w:t>to</w:t>
      </w:r>
      <w:r>
        <w:rPr>
          <w:spacing w:val="-3"/>
        </w:rPr>
        <w:t> </w:t>
      </w:r>
      <w:r>
        <w:rPr/>
        <w:t>be</w:t>
      </w:r>
      <w:r>
        <w:rPr>
          <w:spacing w:val="-3"/>
        </w:rPr>
        <w:t> </w:t>
      </w:r>
      <w:r>
        <w:rPr/>
        <w:t>used</w:t>
      </w:r>
      <w:r>
        <w:rPr>
          <w:spacing w:val="-3"/>
        </w:rPr>
        <w:t> </w:t>
      </w:r>
      <w:r>
        <w:rPr/>
        <w:t>in</w:t>
      </w:r>
      <w:r>
        <w:rPr>
          <w:spacing w:val="-3"/>
        </w:rPr>
        <w:t> </w:t>
      </w:r>
      <w:r>
        <w:rPr/>
        <w:t>construction</w:t>
      </w:r>
      <w:r>
        <w:rPr>
          <w:spacing w:val="-3"/>
        </w:rPr>
        <w:t> </w:t>
      </w:r>
      <w:r>
        <w:rPr/>
        <w:t>such</w:t>
      </w:r>
      <w:r>
        <w:rPr>
          <w:spacing w:val="-3"/>
        </w:rPr>
        <w:t> </w:t>
      </w:r>
      <w:r>
        <w:rPr/>
        <w:t>as</w:t>
      </w:r>
      <w:r>
        <w:rPr>
          <w:spacing w:val="-3"/>
        </w:rPr>
        <w:t> </w:t>
      </w:r>
      <w:r>
        <w:rPr/>
        <w:t>brick</w:t>
      </w:r>
      <w:r>
        <w:rPr>
          <w:spacing w:val="-3"/>
        </w:rPr>
        <w:t> </w:t>
      </w:r>
      <w:r>
        <w:rPr/>
        <w:t>etc.</w:t>
      </w:r>
      <w:r>
        <w:rPr>
          <w:spacing w:val="-3"/>
        </w:rPr>
        <w:t> </w:t>
      </w:r>
      <w:r>
        <w:rPr/>
        <w:t>shall contain</w:t>
      </w:r>
      <w:r>
        <w:rPr>
          <w:spacing w:val="40"/>
        </w:rPr>
        <w:t> </w:t>
      </w:r>
      <w:r>
        <w:rPr/>
        <w:t>fly ash. Fly ash shall also be used for construction and road/ maintenance as permissible as per I.S. specification”</w:t>
      </w:r>
    </w:p>
    <w:p>
      <w:pPr>
        <w:pStyle w:val="BodyText"/>
        <w:jc w:val="left"/>
      </w:pPr>
    </w:p>
    <w:p>
      <w:pPr>
        <w:pStyle w:val="BodyText"/>
        <w:jc w:val="left"/>
      </w:pPr>
    </w:p>
    <w:p>
      <w:pPr>
        <w:pStyle w:val="BodyText"/>
        <w:spacing w:before="4"/>
        <w:jc w:val="left"/>
      </w:pPr>
    </w:p>
    <w:p>
      <w:pPr>
        <w:pStyle w:val="BodyText"/>
        <w:ind w:left="1138" w:right="723"/>
        <w:jc w:val="left"/>
      </w:pPr>
      <w:r>
        <w:rPr/>
        <w:t>31</w:t>
      </w:r>
      <w:r>
        <w:rPr>
          <w:spacing w:val="-6"/>
        </w:rPr>
        <w:t> </w:t>
      </w:r>
      <w:r>
        <w:rPr/>
        <w:t>The</w:t>
      </w:r>
      <w:r>
        <w:rPr>
          <w:spacing w:val="-6"/>
        </w:rPr>
        <w:t> </w:t>
      </w:r>
      <w:r>
        <w:rPr/>
        <w:t>number</w:t>
      </w:r>
      <w:r>
        <w:rPr>
          <w:spacing w:val="-6"/>
        </w:rPr>
        <w:t> </w:t>
      </w:r>
      <w:r>
        <w:rPr/>
        <w:t>of</w:t>
      </w:r>
      <w:r>
        <w:rPr>
          <w:spacing w:val="-6"/>
        </w:rPr>
        <w:t> </w:t>
      </w:r>
      <w:r>
        <w:rPr/>
        <w:t>water</w:t>
      </w:r>
      <w:r>
        <w:rPr>
          <w:spacing w:val="-6"/>
        </w:rPr>
        <w:t> </w:t>
      </w:r>
      <w:r>
        <w:rPr/>
        <w:t>closets,</w:t>
      </w:r>
      <w:r>
        <w:rPr>
          <w:spacing w:val="-6"/>
        </w:rPr>
        <w:t> </w:t>
      </w:r>
      <w:r>
        <w:rPr/>
        <w:t>urinals,</w:t>
      </w:r>
      <w:r>
        <w:rPr>
          <w:spacing w:val="-8"/>
        </w:rPr>
        <w:t> </w:t>
      </w:r>
      <w:r>
        <w:rPr/>
        <w:t>kitchens,</w:t>
      </w:r>
      <w:r>
        <w:rPr>
          <w:spacing w:val="-6"/>
        </w:rPr>
        <w:t> </w:t>
      </w:r>
      <w:r>
        <w:rPr/>
        <w:t>and</w:t>
      </w:r>
      <w:r>
        <w:rPr>
          <w:spacing w:val="-6"/>
        </w:rPr>
        <w:t> </w:t>
      </w:r>
      <w:r>
        <w:rPr/>
        <w:t>baths</w:t>
      </w:r>
      <w:r>
        <w:rPr>
          <w:spacing w:val="-8"/>
        </w:rPr>
        <w:t> </w:t>
      </w:r>
      <w:r>
        <w:rPr/>
        <w:t>to</w:t>
      </w:r>
      <w:r>
        <w:rPr>
          <w:spacing w:val="-6"/>
        </w:rPr>
        <w:t> </w:t>
      </w:r>
      <w:r>
        <w:rPr/>
        <w:t>be</w:t>
      </w:r>
      <w:r>
        <w:rPr>
          <w:spacing w:val="-6"/>
        </w:rPr>
        <w:t> </w:t>
      </w:r>
      <w:r>
        <w:rPr/>
        <w:t>provided</w:t>
      </w:r>
      <w:r>
        <w:rPr>
          <w:spacing w:val="-6"/>
        </w:rPr>
        <w:t> </w:t>
      </w:r>
      <w:r>
        <w:rPr/>
        <w:t>are as follows:</w:t>
      </w:r>
    </w:p>
    <w:p>
      <w:pPr>
        <w:pStyle w:val="BodyText"/>
        <w:tabs>
          <w:tab w:pos="5001" w:val="left" w:leader="none"/>
        </w:tabs>
        <w:spacing w:line="340" w:lineRule="auto" w:before="121"/>
        <w:ind w:left="1138" w:right="5136"/>
        <w:jc w:val="left"/>
      </w:pPr>
      <w:r>
        <w:rPr/>
        <mc:AlternateContent>
          <mc:Choice Requires="wps">
            <w:drawing>
              <wp:anchor distT="0" distB="0" distL="0" distR="0" allowOverlap="1" layoutInCell="1" locked="0" behindDoc="1" simplePos="0" relativeHeight="487616000">
                <wp:simplePos x="0" y="0"/>
                <wp:positionH relativeFrom="page">
                  <wp:posOffset>951280</wp:posOffset>
                </wp:positionH>
                <wp:positionV relativeFrom="paragraph">
                  <wp:posOffset>615744</wp:posOffset>
                </wp:positionV>
                <wp:extent cx="548640" cy="1270"/>
                <wp:effectExtent l="0" t="0" r="0" b="0"/>
                <wp:wrapTopAndBottom/>
                <wp:docPr id="625" name="Graphic 625"/>
                <wp:cNvGraphicFramePr>
                  <a:graphicFrameLocks/>
                </wp:cNvGraphicFramePr>
                <a:graphic>
                  <a:graphicData uri="http://schemas.microsoft.com/office/word/2010/wordprocessingShape">
                    <wps:wsp>
                      <wps:cNvPr id="625" name="Graphic 625"/>
                      <wps:cNvSpPr/>
                      <wps:spPr>
                        <a:xfrm>
                          <a:off x="0" y="0"/>
                          <a:ext cx="548640" cy="1270"/>
                        </a:xfrm>
                        <a:custGeom>
                          <a:avLst/>
                          <a:gdLst/>
                          <a:ahLst/>
                          <a:cxnLst/>
                          <a:rect l="l" t="t" r="r" b="b"/>
                          <a:pathLst>
                            <a:path w="548640" h="0">
                              <a:moveTo>
                                <a:pt x="0" y="0"/>
                              </a:moveTo>
                              <a:lnTo>
                                <a:pt x="54864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4.903999pt;margin-top:48.483841pt;width:43.2pt;height:.1pt;mso-position-horizontal-relative:page;mso-position-vertical-relative:paragraph;z-index:-15700480;mso-wrap-distance-left:0;mso-wrap-distance-right:0" id="docshape532" coordorigin="1498,970" coordsize="864,0" path="m1498,970l2362,970e" filled="false" stroked="true" strokeweight=".72pt" strokecolor="#000000">
                <v:path arrowok="t"/>
                <v:stroke dashstyle="dash"/>
                <w10:wrap type="topAndBottom"/>
              </v:shape>
            </w:pict>
          </mc:Fallback>
        </mc:AlternateContent>
      </w:r>
      <w:r>
        <w:rPr/>
        <mc:AlternateContent>
          <mc:Choice Requires="wps">
            <w:drawing>
              <wp:anchor distT="0" distB="0" distL="0" distR="0" allowOverlap="1" layoutInCell="1" locked="0" behindDoc="0" simplePos="0" relativeHeight="15760896">
                <wp:simplePos x="0" y="0"/>
                <wp:positionH relativeFrom="page">
                  <wp:posOffset>1557782</wp:posOffset>
                </wp:positionH>
                <wp:positionV relativeFrom="paragraph">
                  <wp:posOffset>437436</wp:posOffset>
                </wp:positionV>
                <wp:extent cx="5303520" cy="1270"/>
                <wp:effectExtent l="0" t="0" r="0" b="0"/>
                <wp:wrapNone/>
                <wp:docPr id="626" name="Graphic 626"/>
                <wp:cNvGraphicFramePr>
                  <a:graphicFrameLocks/>
                </wp:cNvGraphicFramePr>
                <a:graphic>
                  <a:graphicData uri="http://schemas.microsoft.com/office/word/2010/wordprocessingShape">
                    <wps:wsp>
                      <wps:cNvPr id="626" name="Graphic 626"/>
                      <wps:cNvSpPr/>
                      <wps:spPr>
                        <a:xfrm>
                          <a:off x="0" y="0"/>
                          <a:ext cx="5303520" cy="1270"/>
                        </a:xfrm>
                        <a:custGeom>
                          <a:avLst/>
                          <a:gdLst/>
                          <a:ahLst/>
                          <a:cxnLst/>
                          <a:rect l="l" t="t" r="r" b="b"/>
                          <a:pathLst>
                            <a:path w="5303520" h="0">
                              <a:moveTo>
                                <a:pt x="0" y="0"/>
                              </a:moveTo>
                              <a:lnTo>
                                <a:pt x="530352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896" from="122.660004pt,34.443832pt" to="540.260023pt,34.443832pt" stroked="true" strokeweight=".72pt" strokecolor="#000000">
                <v:stroke dashstyle="dash"/>
                <w10:wrap type="none"/>
              </v:line>
            </w:pict>
          </mc:Fallback>
        </mc:AlternateContent>
      </w:r>
      <w:r>
        <w:rPr/>
        <mc:AlternateContent>
          <mc:Choice Requires="wps">
            <w:drawing>
              <wp:anchor distT="0" distB="0" distL="0" distR="0" allowOverlap="1" layoutInCell="1" locked="0" behindDoc="0" simplePos="0" relativeHeight="15761408">
                <wp:simplePos x="0" y="0"/>
                <wp:positionH relativeFrom="page">
                  <wp:posOffset>1630933</wp:posOffset>
                </wp:positionH>
                <wp:positionV relativeFrom="paragraph">
                  <wp:posOffset>871776</wp:posOffset>
                </wp:positionV>
                <wp:extent cx="5181600" cy="1270"/>
                <wp:effectExtent l="0" t="0" r="0" b="0"/>
                <wp:wrapNone/>
                <wp:docPr id="627" name="Graphic 627"/>
                <wp:cNvGraphicFramePr>
                  <a:graphicFrameLocks/>
                </wp:cNvGraphicFramePr>
                <a:graphic>
                  <a:graphicData uri="http://schemas.microsoft.com/office/word/2010/wordprocessingShape">
                    <wps:wsp>
                      <wps:cNvPr id="627" name="Graphic 627"/>
                      <wps:cNvSpPr/>
                      <wps:spPr>
                        <a:xfrm>
                          <a:off x="0" y="0"/>
                          <a:ext cx="5181600" cy="1270"/>
                        </a:xfrm>
                        <a:custGeom>
                          <a:avLst/>
                          <a:gdLst/>
                          <a:ahLst/>
                          <a:cxnLst/>
                          <a:rect l="l" t="t" r="r" b="b"/>
                          <a:pathLst>
                            <a:path w="5181600" h="0">
                              <a:moveTo>
                                <a:pt x="0" y="0"/>
                              </a:moveTo>
                              <a:lnTo>
                                <a:pt x="518160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408" from="128.419998pt,68.643845pt" to="536.420018pt,68.643845pt" stroked="true" strokeweight=".72pt" strokecolor="#000000">
                <v:stroke dashstyle="dash"/>
                <w10:wrap type="none"/>
              </v:line>
            </w:pict>
          </mc:Fallback>
        </mc:AlternateContent>
      </w:r>
      <w:r>
        <w:rPr/>
        <w:t>Water closets |Baths | Urinals</w:t>
        <w:tab/>
      </w:r>
      <w:r>
        <w:rPr>
          <w:spacing w:val="-2"/>
        </w:rPr>
        <w:t>|Kitchen Existing</w:t>
      </w:r>
    </w:p>
    <w:p>
      <w:pPr>
        <w:pStyle w:val="BodyText"/>
        <w:spacing w:before="229"/>
        <w:ind w:left="1138"/>
        <w:jc w:val="left"/>
      </w:pPr>
      <w:r>
        <w:rPr>
          <w:spacing w:val="-2"/>
        </w:rPr>
        <w:t>Proposed</w:t>
      </w:r>
    </w:p>
    <w:p>
      <w:pPr>
        <w:pStyle w:val="BodyText"/>
        <w:spacing w:before="1"/>
        <w:jc w:val="left"/>
        <w:rPr>
          <w:sz w:val="12"/>
        </w:rPr>
      </w:pPr>
      <w:r>
        <w:rPr>
          <w:sz w:val="12"/>
        </w:rPr>
        <mc:AlternateContent>
          <mc:Choice Requires="wps">
            <w:drawing>
              <wp:anchor distT="0" distB="0" distL="0" distR="0" allowOverlap="1" layoutInCell="1" locked="0" behindDoc="1" simplePos="0" relativeHeight="487616512">
                <wp:simplePos x="0" y="0"/>
                <wp:positionH relativeFrom="page">
                  <wp:posOffset>951280</wp:posOffset>
                </wp:positionH>
                <wp:positionV relativeFrom="paragraph">
                  <wp:posOffset>105461</wp:posOffset>
                </wp:positionV>
                <wp:extent cx="548640" cy="1270"/>
                <wp:effectExtent l="0" t="0" r="0" b="0"/>
                <wp:wrapTopAndBottom/>
                <wp:docPr id="628" name="Graphic 628"/>
                <wp:cNvGraphicFramePr>
                  <a:graphicFrameLocks/>
                </wp:cNvGraphicFramePr>
                <a:graphic>
                  <a:graphicData uri="http://schemas.microsoft.com/office/word/2010/wordprocessingShape">
                    <wps:wsp>
                      <wps:cNvPr id="628" name="Graphic 628"/>
                      <wps:cNvSpPr/>
                      <wps:spPr>
                        <a:xfrm>
                          <a:off x="0" y="0"/>
                          <a:ext cx="548640" cy="1270"/>
                        </a:xfrm>
                        <a:custGeom>
                          <a:avLst/>
                          <a:gdLst/>
                          <a:ahLst/>
                          <a:cxnLst/>
                          <a:rect l="l" t="t" r="r" b="b"/>
                          <a:pathLst>
                            <a:path w="548640" h="0">
                              <a:moveTo>
                                <a:pt x="0" y="0"/>
                              </a:moveTo>
                              <a:lnTo>
                                <a:pt x="54864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4.903999pt;margin-top:8.304074pt;width:43.2pt;height:.1pt;mso-position-horizontal-relative:page;mso-position-vertical-relative:paragraph;z-index:-15699968;mso-wrap-distance-left:0;mso-wrap-distance-right:0" id="docshape533" coordorigin="1498,166" coordsize="864,0" path="m1498,166l2362,166e" filled="false" stroked="true" strokeweight=".72pt" strokecolor="#000000">
                <v:path arrowok="t"/>
                <v:stroke dashstyle="dash"/>
                <w10:wrap type="topAndBottom"/>
              </v:shape>
            </w:pict>
          </mc:Fallback>
        </mc:AlternateContent>
      </w:r>
    </w:p>
    <w:p>
      <w:pPr>
        <w:pStyle w:val="ListParagraph"/>
        <w:numPr>
          <w:ilvl w:val="0"/>
          <w:numId w:val="370"/>
        </w:numPr>
        <w:tabs>
          <w:tab w:pos="1223" w:val="left" w:leader="none"/>
        </w:tabs>
        <w:spacing w:line="240" w:lineRule="auto" w:before="229" w:after="0"/>
        <w:ind w:left="1223" w:right="0" w:hanging="446"/>
        <w:jc w:val="left"/>
        <w:rPr>
          <w:sz w:val="24"/>
        </w:rPr>
      </w:pPr>
      <w:r>
        <w:rPr>
          <w:sz w:val="24"/>
        </w:rPr>
        <w:t>Details</w:t>
      </w:r>
      <w:r>
        <w:rPr>
          <w:spacing w:val="-1"/>
          <w:sz w:val="24"/>
        </w:rPr>
        <w:t> </w:t>
      </w:r>
      <w:r>
        <w:rPr>
          <w:sz w:val="24"/>
        </w:rPr>
        <w:t>of the</w:t>
      </w:r>
      <w:r>
        <w:rPr>
          <w:spacing w:val="-1"/>
          <w:sz w:val="24"/>
        </w:rPr>
        <w:t> </w:t>
      </w:r>
      <w:r>
        <w:rPr>
          <w:sz w:val="24"/>
        </w:rPr>
        <w:t>source of</w:t>
      </w:r>
      <w:r>
        <w:rPr>
          <w:spacing w:val="-1"/>
          <w:sz w:val="24"/>
        </w:rPr>
        <w:t> </w:t>
      </w:r>
      <w:r>
        <w:rPr>
          <w:sz w:val="24"/>
        </w:rPr>
        <w:t>water to</w:t>
      </w:r>
      <w:r>
        <w:rPr>
          <w:spacing w:val="-1"/>
          <w:sz w:val="24"/>
        </w:rPr>
        <w:t> </w:t>
      </w:r>
      <w:r>
        <w:rPr>
          <w:sz w:val="24"/>
        </w:rPr>
        <w:t>be used</w:t>
      </w:r>
      <w:r>
        <w:rPr>
          <w:spacing w:val="-1"/>
          <w:sz w:val="24"/>
        </w:rPr>
        <w:t> </w:t>
      </w:r>
      <w:r>
        <w:rPr>
          <w:sz w:val="24"/>
        </w:rPr>
        <w:t>in</w:t>
      </w:r>
      <w:r>
        <w:rPr>
          <w:spacing w:val="1"/>
          <w:sz w:val="24"/>
        </w:rPr>
        <w:t> </w:t>
      </w:r>
      <w:r>
        <w:rPr>
          <w:sz w:val="24"/>
        </w:rPr>
        <w:t>the </w:t>
      </w:r>
      <w:r>
        <w:rPr>
          <w:spacing w:val="-2"/>
          <w:sz w:val="24"/>
        </w:rPr>
        <w:t>construction.</w:t>
      </w:r>
    </w:p>
    <w:p>
      <w:pPr>
        <w:pStyle w:val="ListParagraph"/>
        <w:numPr>
          <w:ilvl w:val="0"/>
          <w:numId w:val="370"/>
        </w:numPr>
        <w:tabs>
          <w:tab w:pos="1223" w:val="left" w:leader="none"/>
        </w:tabs>
        <w:spacing w:line="240" w:lineRule="auto" w:before="119" w:after="0"/>
        <w:ind w:left="1223" w:right="0" w:hanging="446"/>
        <w:jc w:val="left"/>
        <w:rPr>
          <w:sz w:val="24"/>
        </w:rPr>
      </w:pPr>
      <w:r>
        <w:rPr>
          <w:sz w:val="24"/>
        </w:rPr>
        <w:t>Distance from the </w:t>
      </w:r>
      <w:r>
        <w:rPr>
          <w:spacing w:val="-2"/>
          <w:sz w:val="24"/>
        </w:rPr>
        <w:t>sewer.</w:t>
      </w:r>
    </w:p>
    <w:p>
      <w:pPr>
        <w:pStyle w:val="ListParagraph"/>
        <w:numPr>
          <w:ilvl w:val="0"/>
          <w:numId w:val="370"/>
        </w:numPr>
        <w:tabs>
          <w:tab w:pos="1223" w:val="left" w:leader="none"/>
        </w:tabs>
        <w:spacing w:line="240" w:lineRule="auto" w:before="119" w:after="0"/>
        <w:ind w:left="1223" w:right="0" w:hanging="446"/>
        <w:jc w:val="left"/>
        <w:rPr>
          <w:sz w:val="24"/>
        </w:rPr>
      </w:pPr>
      <w:r>
        <w:rPr>
          <w:sz w:val="24"/>
        </w:rPr>
        <w:t>How</w:t>
      </w:r>
      <w:r>
        <w:rPr>
          <w:spacing w:val="-1"/>
          <w:sz w:val="24"/>
        </w:rPr>
        <w:t> </w:t>
      </w:r>
      <w:r>
        <w:rPr>
          <w:sz w:val="24"/>
        </w:rPr>
        <w:t>much municipal</w:t>
      </w:r>
      <w:r>
        <w:rPr>
          <w:spacing w:val="-1"/>
          <w:sz w:val="24"/>
        </w:rPr>
        <w:t> </w:t>
      </w:r>
      <w:r>
        <w:rPr>
          <w:sz w:val="24"/>
        </w:rPr>
        <w:t>land, if</w:t>
      </w:r>
      <w:r>
        <w:rPr>
          <w:spacing w:val="-1"/>
          <w:sz w:val="24"/>
        </w:rPr>
        <w:t> </w:t>
      </w:r>
      <w:r>
        <w:rPr>
          <w:sz w:val="24"/>
        </w:rPr>
        <w:t>any, will</w:t>
      </w:r>
      <w:r>
        <w:rPr>
          <w:spacing w:val="-1"/>
          <w:sz w:val="24"/>
        </w:rPr>
        <w:t> </w:t>
      </w:r>
      <w:r>
        <w:rPr>
          <w:sz w:val="24"/>
        </w:rPr>
        <w:t>be used</w:t>
      </w:r>
      <w:r>
        <w:rPr>
          <w:spacing w:val="-1"/>
          <w:sz w:val="24"/>
        </w:rPr>
        <w:t> </w:t>
      </w:r>
      <w:r>
        <w:rPr>
          <w:sz w:val="24"/>
        </w:rPr>
        <w:t>for stacking</w:t>
      </w:r>
      <w:r>
        <w:rPr>
          <w:spacing w:val="-1"/>
          <w:sz w:val="24"/>
        </w:rPr>
        <w:t> </w:t>
      </w:r>
      <w:r>
        <w:rPr>
          <w:sz w:val="24"/>
        </w:rPr>
        <w:t>building </w:t>
      </w:r>
      <w:r>
        <w:rPr>
          <w:spacing w:val="-2"/>
          <w:sz w:val="24"/>
        </w:rPr>
        <w:t>material?</w:t>
      </w:r>
    </w:p>
    <w:p>
      <w:pPr>
        <w:pStyle w:val="ListParagraph"/>
        <w:numPr>
          <w:ilvl w:val="0"/>
          <w:numId w:val="370"/>
        </w:numPr>
        <w:tabs>
          <w:tab w:pos="1138" w:val="left" w:leader="none"/>
          <w:tab w:pos="1253" w:val="left" w:leader="none"/>
        </w:tabs>
        <w:spacing w:line="240" w:lineRule="auto" w:before="122" w:after="0"/>
        <w:ind w:left="1138" w:right="724" w:hanging="361"/>
        <w:jc w:val="both"/>
        <w:rPr>
          <w:sz w:val="24"/>
        </w:rPr>
      </w:pPr>
      <w:r>
        <w:rPr>
          <w:sz w:val="24"/>
        </w:rPr>
        <w:t>Please explain, in detail, in what respect the proposal does not comply with these Regulations and the reasons therefore, attaching separate sheets for </w:t>
      </w:r>
      <w:r>
        <w:rPr>
          <w:sz w:val="24"/>
        </w:rPr>
        <w:t>this information, if necessary.</w:t>
      </w:r>
    </w:p>
    <w:p>
      <w:pPr>
        <w:pStyle w:val="BodyText"/>
        <w:tabs>
          <w:tab w:pos="9817" w:val="left" w:leader="hyphen"/>
        </w:tabs>
        <w:spacing w:line="281" w:lineRule="exact" w:before="120"/>
        <w:ind w:left="777"/>
        <w:jc w:val="left"/>
      </w:pPr>
      <w:r>
        <w:rPr/>
        <w:t>I</w:t>
      </w:r>
      <w:r>
        <w:rPr>
          <w:spacing w:val="-18"/>
        </w:rPr>
        <w:t> </w:t>
      </w:r>
      <w:r>
        <w:rPr/>
        <w:t>am</w:t>
      </w:r>
      <w:r>
        <w:rPr>
          <w:spacing w:val="-18"/>
        </w:rPr>
        <w:t> </w:t>
      </w:r>
      <w:r>
        <w:rPr/>
        <w:t>the</w:t>
      </w:r>
      <w:r>
        <w:rPr>
          <w:spacing w:val="-18"/>
        </w:rPr>
        <w:t> </w:t>
      </w:r>
      <w:r>
        <w:rPr/>
        <w:t>owner-lessee/mortgagee</w:t>
      </w:r>
      <w:r>
        <w:rPr>
          <w:spacing w:val="-18"/>
        </w:rPr>
        <w:t> </w:t>
      </w:r>
      <w:r>
        <w:rPr/>
        <w:t>in</w:t>
      </w:r>
      <w:r>
        <w:rPr>
          <w:spacing w:val="-17"/>
        </w:rPr>
        <w:t> </w:t>
      </w:r>
      <w:r>
        <w:rPr>
          <w:spacing w:val="-2"/>
        </w:rPr>
        <w:t>possession/</w:t>
      </w:r>
      <w:r>
        <w:rPr/>
        <w:tab/>
        <w:t>of</w:t>
      </w:r>
      <w:r>
        <w:rPr>
          <w:spacing w:val="-19"/>
        </w:rPr>
        <w:t> </w:t>
      </w:r>
      <w:r>
        <w:rPr>
          <w:spacing w:val="-5"/>
        </w:rPr>
        <w:t>the</w:t>
      </w:r>
    </w:p>
    <w:p>
      <w:pPr>
        <w:pStyle w:val="BodyText"/>
        <w:ind w:left="777" w:right="723"/>
        <w:jc w:val="left"/>
      </w:pPr>
      <w:r>
        <w:rPr/>
        <w:t>plot</w:t>
      </w:r>
      <w:r>
        <w:rPr>
          <w:spacing w:val="-5"/>
        </w:rPr>
        <w:t> </w:t>
      </w:r>
      <w:r>
        <w:rPr/>
        <w:t>on</w:t>
      </w:r>
      <w:r>
        <w:rPr>
          <w:spacing w:val="-5"/>
        </w:rPr>
        <w:t> </w:t>
      </w:r>
      <w:r>
        <w:rPr/>
        <w:t>which</w:t>
      </w:r>
      <w:r>
        <w:rPr>
          <w:spacing w:val="-5"/>
        </w:rPr>
        <w:t> </w:t>
      </w:r>
      <w:r>
        <w:rPr/>
        <w:t>the</w:t>
      </w:r>
      <w:r>
        <w:rPr>
          <w:spacing w:val="-5"/>
        </w:rPr>
        <w:t> </w:t>
      </w:r>
      <w:r>
        <w:rPr/>
        <w:t>work</w:t>
      </w:r>
      <w:r>
        <w:rPr>
          <w:spacing w:val="-5"/>
        </w:rPr>
        <w:t> </w:t>
      </w:r>
      <w:r>
        <w:rPr/>
        <w:t>is</w:t>
      </w:r>
      <w:r>
        <w:rPr>
          <w:spacing w:val="-5"/>
        </w:rPr>
        <w:t> </w:t>
      </w:r>
      <w:r>
        <w:rPr/>
        <w:t>proposed</w:t>
      </w:r>
      <w:r>
        <w:rPr>
          <w:spacing w:val="-5"/>
        </w:rPr>
        <w:t> </w:t>
      </w:r>
      <w:r>
        <w:rPr/>
        <w:t>and</w:t>
      </w:r>
      <w:r>
        <w:rPr>
          <w:spacing w:val="-5"/>
        </w:rPr>
        <w:t> </w:t>
      </w:r>
      <w:r>
        <w:rPr/>
        <w:t>that</w:t>
      </w:r>
      <w:r>
        <w:rPr>
          <w:spacing w:val="-5"/>
        </w:rPr>
        <w:t> </w:t>
      </w:r>
      <w:r>
        <w:rPr/>
        <w:t>the</w:t>
      </w:r>
      <w:r>
        <w:rPr>
          <w:spacing w:val="-5"/>
        </w:rPr>
        <w:t> </w:t>
      </w:r>
      <w:r>
        <w:rPr/>
        <w:t>statements</w:t>
      </w:r>
      <w:r>
        <w:rPr>
          <w:spacing w:val="-2"/>
        </w:rPr>
        <w:t> </w:t>
      </w:r>
      <w:r>
        <w:rPr/>
        <w:t>made</w:t>
      </w:r>
      <w:r>
        <w:rPr>
          <w:spacing w:val="-5"/>
        </w:rPr>
        <w:t> </w:t>
      </w:r>
      <w:r>
        <w:rPr/>
        <w:t>in</w:t>
      </w:r>
      <w:r>
        <w:rPr>
          <w:spacing w:val="-5"/>
        </w:rPr>
        <w:t> </w:t>
      </w:r>
      <w:r>
        <w:rPr/>
        <w:t>this</w:t>
      </w:r>
      <w:r>
        <w:rPr>
          <w:spacing w:val="-5"/>
        </w:rPr>
        <w:t> </w:t>
      </w:r>
      <w:r>
        <w:rPr/>
        <w:t>Form</w:t>
      </w:r>
      <w:r>
        <w:rPr>
          <w:spacing w:val="-5"/>
        </w:rPr>
        <w:t> </w:t>
      </w:r>
      <w:r>
        <w:rPr/>
        <w:t>are true and correct.</w:t>
      </w:r>
    </w:p>
    <w:p>
      <w:pPr>
        <w:pStyle w:val="BodyText"/>
        <w:spacing w:before="120"/>
        <w:ind w:left="777"/>
        <w:jc w:val="left"/>
      </w:pPr>
      <w:r>
        <w:rPr>
          <w:spacing w:val="-2"/>
        </w:rPr>
        <w:t>Date:</w:t>
      </w:r>
    </w:p>
    <w:p>
      <w:pPr>
        <w:pStyle w:val="BodyText"/>
        <w:tabs>
          <w:tab w:pos="9317" w:val="left" w:leader="none"/>
        </w:tabs>
        <w:spacing w:before="119"/>
        <w:ind w:left="777"/>
        <w:jc w:val="left"/>
      </w:pPr>
      <w:r>
        <w:rPr>
          <w:spacing w:val="-2"/>
        </w:rPr>
        <w:t>Address:</w:t>
      </w:r>
      <w:r>
        <w:rPr/>
        <w:tab/>
      </w:r>
      <w:r>
        <w:rPr>
          <w:spacing w:val="-2"/>
        </w:rPr>
        <w:t>Signature</w:t>
      </w:r>
    </w:p>
    <w:p>
      <w:pPr>
        <w:pStyle w:val="BodyText"/>
        <w:spacing w:before="1"/>
        <w:ind w:left="777"/>
        <w:jc w:val="left"/>
      </w:pPr>
      <w:r>
        <w:rPr/>
        <w:t>of the </w:t>
      </w:r>
      <w:r>
        <w:rPr>
          <w:spacing w:val="-2"/>
        </w:rPr>
        <w:t>applicant.</w:t>
      </w:r>
    </w:p>
    <w:p>
      <w:pPr>
        <w:pStyle w:val="BodyText"/>
        <w:spacing w:before="120"/>
        <w:ind w:left="777"/>
        <w:jc w:val="left"/>
      </w:pPr>
      <w:r>
        <w:rPr/>
        <w:t>Form</w:t>
      </w:r>
      <w:r>
        <w:rPr>
          <w:spacing w:val="-2"/>
        </w:rPr>
        <w:t> </w:t>
      </w:r>
      <w:r>
        <w:rPr/>
        <w:t>of</w:t>
      </w:r>
      <w:r>
        <w:rPr>
          <w:spacing w:val="-1"/>
        </w:rPr>
        <w:t> </w:t>
      </w:r>
      <w:r>
        <w:rPr/>
        <w:t>certificate</w:t>
      </w:r>
      <w:r>
        <w:rPr>
          <w:spacing w:val="-2"/>
        </w:rPr>
        <w:t> </w:t>
      </w:r>
      <w:r>
        <w:rPr/>
        <w:t>be</w:t>
      </w:r>
      <w:r>
        <w:rPr>
          <w:spacing w:val="-1"/>
        </w:rPr>
        <w:t> </w:t>
      </w:r>
      <w:r>
        <w:rPr/>
        <w:t>signed</w:t>
      </w:r>
      <w:r>
        <w:rPr>
          <w:spacing w:val="-2"/>
        </w:rPr>
        <w:t> </w:t>
      </w:r>
      <w:r>
        <w:rPr/>
        <w:t>by</w:t>
      </w:r>
      <w:r>
        <w:rPr>
          <w:spacing w:val="-1"/>
        </w:rPr>
        <w:t> </w:t>
      </w:r>
      <w:r>
        <w:rPr/>
        <w:t>the</w:t>
      </w:r>
      <w:r>
        <w:rPr>
          <w:spacing w:val="-2"/>
        </w:rPr>
        <w:t> </w:t>
      </w:r>
      <w:r>
        <w:rPr/>
        <w:t>Licensed</w:t>
      </w:r>
      <w:r>
        <w:rPr>
          <w:spacing w:val="-1"/>
        </w:rPr>
        <w:t> </w:t>
      </w:r>
      <w:r>
        <w:rPr>
          <w:spacing w:val="-2"/>
        </w:rPr>
        <w:t>Surveyor/Engineer/Structural</w:t>
      </w:r>
    </w:p>
    <w:p>
      <w:pPr>
        <w:pStyle w:val="BodyText"/>
        <w:spacing w:after="0"/>
        <w:jc w:val="left"/>
        <w:sectPr>
          <w:pgSz w:w="11910" w:h="16850"/>
          <w:pgMar w:header="1024" w:footer="1302" w:top="1480" w:bottom="1500" w:left="360" w:right="360"/>
        </w:sectPr>
      </w:pPr>
    </w:p>
    <w:p>
      <w:pPr>
        <w:pStyle w:val="BodyText"/>
        <w:spacing w:before="276"/>
        <w:ind w:left="777" w:right="724"/>
      </w:pPr>
      <w:r>
        <w:rPr/>
        <w:t>Engineer/Supervisor or Architect/ Professionals on Records employed by the </w:t>
      </w:r>
      <w:r>
        <w:rPr>
          <w:spacing w:val="-2"/>
        </w:rPr>
        <w:t>Applicant</w:t>
      </w:r>
    </w:p>
    <w:p>
      <w:pPr>
        <w:pStyle w:val="BodyText"/>
        <w:tabs>
          <w:tab w:pos="9213" w:val="left" w:leader="none"/>
        </w:tabs>
        <w:spacing w:line="281" w:lineRule="exact" w:before="120"/>
        <w:ind w:left="777"/>
      </w:pPr>
      <w:r>
        <w:rPr/>
        <mc:AlternateContent>
          <mc:Choice Requires="wps">
            <w:drawing>
              <wp:anchor distT="0" distB="0" distL="0" distR="0" allowOverlap="1" layoutInCell="1" locked="0" behindDoc="1" simplePos="0" relativeHeight="471372288">
                <wp:simplePos x="0" y="0"/>
                <wp:positionH relativeFrom="page">
                  <wp:posOffset>1475486</wp:posOffset>
                </wp:positionH>
                <wp:positionV relativeFrom="paragraph">
                  <wp:posOffset>182342</wp:posOffset>
                </wp:positionV>
                <wp:extent cx="4509770" cy="1270"/>
                <wp:effectExtent l="0" t="0" r="0" b="0"/>
                <wp:wrapNone/>
                <wp:docPr id="629" name="Graphic 629"/>
                <wp:cNvGraphicFramePr>
                  <a:graphicFrameLocks/>
                </wp:cNvGraphicFramePr>
                <a:graphic>
                  <a:graphicData uri="http://schemas.microsoft.com/office/word/2010/wordprocessingShape">
                    <wps:wsp>
                      <wps:cNvPr id="629" name="Graphic 629"/>
                      <wps:cNvSpPr/>
                      <wps:spPr>
                        <a:xfrm>
                          <a:off x="0" y="0"/>
                          <a:ext cx="4509770" cy="1270"/>
                        </a:xfrm>
                        <a:custGeom>
                          <a:avLst/>
                          <a:gdLst/>
                          <a:ahLst/>
                          <a:cxnLst/>
                          <a:rect l="l" t="t" r="r" b="b"/>
                          <a:pathLst>
                            <a:path w="4509770" h="0">
                              <a:moveTo>
                                <a:pt x="0" y="0"/>
                              </a:moveTo>
                              <a:lnTo>
                                <a:pt x="4509516"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1944192" from="116.18pt,14.357679pt" to="471.260017pt,14.357679pt" stroked="true" strokeweight=".72pt" strokecolor="#000000">
                <v:stroke dashstyle="dash"/>
                <w10:wrap type="none"/>
              </v:line>
            </w:pict>
          </mc:Fallback>
        </mc:AlternateContent>
      </w:r>
      <w:r>
        <w:rPr/>
        <w:t>I</w:t>
      </w:r>
      <w:r>
        <w:rPr>
          <w:spacing w:val="70"/>
        </w:rPr>
        <w:t> </w:t>
      </w:r>
      <w:r>
        <w:rPr>
          <w:spacing w:val="-2"/>
        </w:rPr>
        <w:t>(Name)</w:t>
      </w:r>
      <w:r>
        <w:rPr/>
        <w:tab/>
        <w:t>have</w:t>
      </w:r>
      <w:r>
        <w:rPr>
          <w:spacing w:val="66"/>
        </w:rPr>
        <w:t> </w:t>
      </w:r>
      <w:r>
        <w:rPr>
          <w:spacing w:val="-4"/>
        </w:rPr>
        <w:t>been</w:t>
      </w:r>
    </w:p>
    <w:p>
      <w:pPr>
        <w:pStyle w:val="BodyText"/>
        <w:ind w:left="777" w:right="723"/>
      </w:pPr>
      <w:r>
        <w:rPr/>
        <w:t>employed by the applicant as his Licensed Surveyor/Engineer/Structural Engineer/Supervisor or Architect.</w:t>
      </w:r>
      <w:r>
        <w:rPr>
          <w:spacing w:val="40"/>
        </w:rPr>
        <w:t> </w:t>
      </w:r>
      <w:r>
        <w:rPr/>
        <w:t>I have carefully pursued his covenant or conveyance</w:t>
      </w:r>
      <w:r>
        <w:rPr>
          <w:spacing w:val="-2"/>
        </w:rPr>
        <w:t> </w:t>
      </w:r>
      <w:r>
        <w:rPr/>
        <w:t>in</w:t>
      </w:r>
      <w:r>
        <w:rPr>
          <w:spacing w:val="-2"/>
        </w:rPr>
        <w:t> </w:t>
      </w:r>
      <w:r>
        <w:rPr/>
        <w:t>respect</w:t>
      </w:r>
      <w:r>
        <w:rPr>
          <w:spacing w:val="-2"/>
        </w:rPr>
        <w:t> </w:t>
      </w:r>
      <w:r>
        <w:rPr/>
        <w:t>of</w:t>
      </w:r>
      <w:r>
        <w:rPr>
          <w:spacing w:val="-2"/>
        </w:rPr>
        <w:t> </w:t>
      </w:r>
      <w:r>
        <w:rPr/>
        <w:t>this</w:t>
      </w:r>
      <w:r>
        <w:rPr>
          <w:spacing w:val="-2"/>
        </w:rPr>
        <w:t> </w:t>
      </w:r>
      <w:r>
        <w:rPr/>
        <w:t>plot and</w:t>
      </w:r>
      <w:r>
        <w:rPr>
          <w:spacing w:val="-2"/>
        </w:rPr>
        <w:t> </w:t>
      </w:r>
      <w:r>
        <w:rPr/>
        <w:t>have</w:t>
      </w:r>
      <w:r>
        <w:rPr>
          <w:spacing w:val="-2"/>
        </w:rPr>
        <w:t> </w:t>
      </w:r>
      <w:r>
        <w:rPr/>
        <w:t>examined</w:t>
      </w:r>
      <w:r>
        <w:rPr>
          <w:spacing w:val="-2"/>
        </w:rPr>
        <w:t> </w:t>
      </w:r>
      <w:r>
        <w:rPr/>
        <w:t>the</w:t>
      </w:r>
      <w:r>
        <w:rPr>
          <w:spacing w:val="-2"/>
        </w:rPr>
        <w:t> </w:t>
      </w:r>
      <w:r>
        <w:rPr/>
        <w:t>boundaries</w:t>
      </w:r>
      <w:r>
        <w:rPr>
          <w:spacing w:val="-2"/>
        </w:rPr>
        <w:t> </w:t>
      </w:r>
      <w:r>
        <w:rPr/>
        <w:t>and</w:t>
      </w:r>
      <w:r>
        <w:rPr>
          <w:spacing w:val="-2"/>
        </w:rPr>
        <w:t> </w:t>
      </w:r>
      <w:r>
        <w:rPr/>
        <w:t>the area of the plot and I certify that I have personally verified all the statements made by the</w:t>
      </w:r>
      <w:r>
        <w:rPr>
          <w:spacing w:val="-17"/>
        </w:rPr>
        <w:t> </w:t>
      </w:r>
      <w:r>
        <w:rPr/>
        <w:t>applicant</w:t>
      </w:r>
      <w:r>
        <w:rPr>
          <w:spacing w:val="-17"/>
        </w:rPr>
        <w:t> </w:t>
      </w:r>
      <w:r>
        <w:rPr/>
        <w:t>who</w:t>
      </w:r>
      <w:r>
        <w:rPr>
          <w:spacing w:val="-17"/>
        </w:rPr>
        <w:t> </w:t>
      </w:r>
      <w:r>
        <w:rPr/>
        <w:t>is</w:t>
      </w:r>
      <w:r>
        <w:rPr>
          <w:spacing w:val="-14"/>
        </w:rPr>
        <w:t> </w:t>
      </w:r>
      <w:r>
        <w:rPr/>
        <w:t>the</w:t>
      </w:r>
      <w:r>
        <w:rPr>
          <w:spacing w:val="-17"/>
        </w:rPr>
        <w:t> </w:t>
      </w:r>
      <w:r>
        <w:rPr/>
        <w:t>owner/lessee/mortgage</w:t>
      </w:r>
      <w:r>
        <w:rPr>
          <w:spacing w:val="-17"/>
        </w:rPr>
        <w:t> </w:t>
      </w:r>
      <w:r>
        <w:rPr/>
        <w:t>in</w:t>
      </w:r>
      <w:r>
        <w:rPr>
          <w:spacing w:val="-17"/>
        </w:rPr>
        <w:t> </w:t>
      </w:r>
      <w:r>
        <w:rPr/>
        <w:t>possession</w:t>
      </w:r>
      <w:r>
        <w:rPr>
          <w:spacing w:val="-17"/>
        </w:rPr>
        <w:t> </w:t>
      </w:r>
      <w:r>
        <w:rPr/>
        <w:t>of</w:t>
      </w:r>
      <w:r>
        <w:rPr>
          <w:spacing w:val="-17"/>
        </w:rPr>
        <w:t> </w:t>
      </w:r>
      <w:r>
        <w:rPr/>
        <w:t>the</w:t>
      </w:r>
      <w:r>
        <w:rPr>
          <w:spacing w:val="-17"/>
        </w:rPr>
        <w:t> </w:t>
      </w:r>
      <w:r>
        <w:rPr/>
        <w:t>plot</w:t>
      </w:r>
      <w:r>
        <w:rPr>
          <w:spacing w:val="-17"/>
        </w:rPr>
        <w:t> </w:t>
      </w:r>
      <w:r>
        <w:rPr/>
        <w:t>&amp;</w:t>
      </w:r>
      <w:r>
        <w:rPr>
          <w:spacing w:val="-17"/>
        </w:rPr>
        <w:t> </w:t>
      </w:r>
      <w:r>
        <w:rPr/>
        <w:t>possess ownership/absolute development rights as in the above Form and the attached Statements A and B and found them to be correct.</w:t>
      </w:r>
    </w:p>
    <w:p>
      <w:pPr>
        <w:pStyle w:val="BodyText"/>
        <w:spacing w:before="120"/>
        <w:ind w:left="777"/>
        <w:jc w:val="left"/>
      </w:pPr>
      <w:r>
        <w:rPr>
          <w:spacing w:val="-2"/>
        </w:rPr>
        <w:t>Date:</w:t>
      </w:r>
    </w:p>
    <w:p>
      <w:pPr>
        <w:pStyle w:val="BodyText"/>
        <w:spacing w:before="120"/>
        <w:ind w:left="777"/>
        <w:jc w:val="left"/>
      </w:pPr>
      <w:r>
        <w:rPr>
          <w:spacing w:val="-2"/>
        </w:rPr>
        <w:t>Address</w:t>
      </w:r>
    </w:p>
    <w:p>
      <w:pPr>
        <w:pStyle w:val="BodyText"/>
        <w:spacing w:line="340" w:lineRule="auto" w:before="122"/>
        <w:ind w:left="777" w:right="3646"/>
        <w:jc w:val="left"/>
      </w:pPr>
      <w:r>
        <w:rPr/>
        <w:t>Signature of Licensed Surveyor/Architect Engineer/Structural </w:t>
      </w:r>
      <w:r>
        <w:rPr>
          <w:spacing w:val="-2"/>
        </w:rPr>
        <w:t>Engineer/Supervisor</w:t>
      </w:r>
    </w:p>
    <w:p>
      <w:pPr>
        <w:pStyle w:val="BodyText"/>
        <w:spacing w:before="1"/>
        <w:ind w:left="777"/>
        <w:jc w:val="left"/>
      </w:pPr>
      <w:r>
        <w:rPr/>
        <w:t>Note:</w:t>
      </w:r>
      <w:r>
        <w:rPr>
          <w:spacing w:val="-1"/>
        </w:rPr>
        <w:t> </w:t>
      </w:r>
      <w:r>
        <w:rPr/>
        <w:t>-</w:t>
      </w:r>
      <w:r>
        <w:rPr>
          <w:spacing w:val="76"/>
        </w:rPr>
        <w:t> </w:t>
      </w:r>
      <w:r>
        <w:rPr/>
        <w:t>INDICATE IN</w:t>
      </w:r>
      <w:r>
        <w:rPr>
          <w:spacing w:val="-1"/>
        </w:rPr>
        <w:t> </w:t>
      </w:r>
      <w:r>
        <w:rPr/>
        <w:t>BUILDING PLAN</w:t>
      </w:r>
      <w:r>
        <w:rPr>
          <w:spacing w:val="-1"/>
        </w:rPr>
        <w:t> </w:t>
      </w:r>
      <w:r>
        <w:rPr/>
        <w:t>AS IN FORM</w:t>
      </w:r>
      <w:r>
        <w:rPr>
          <w:spacing w:val="-4"/>
        </w:rPr>
        <w:t> </w:t>
      </w:r>
      <w:r>
        <w:rPr>
          <w:spacing w:val="-5"/>
        </w:rPr>
        <w:t>II.</w:t>
      </w:r>
    </w:p>
    <w:p>
      <w:pPr>
        <w:pStyle w:val="Heading4"/>
        <w:spacing w:before="122"/>
        <w:ind w:left="4642"/>
        <w:jc w:val="left"/>
      </w:pPr>
      <w:r>
        <w:rPr/>
        <w:t>STATEMENT</w:t>
      </w:r>
      <w:r>
        <w:rPr>
          <w:spacing w:val="-5"/>
        </w:rPr>
        <w:t> 'A'</w:t>
      </w:r>
    </w:p>
    <w:p>
      <w:pPr>
        <w:pStyle w:val="BodyText"/>
        <w:spacing w:line="446" w:lineRule="auto" w:before="239"/>
        <w:ind w:left="777" w:right="3261" w:firstLine="2689"/>
        <w:jc w:val="left"/>
      </w:pPr>
      <w:r>
        <w:rPr/>
        <w:t>(Serial</w:t>
      </w:r>
      <w:r>
        <w:rPr>
          <w:spacing w:val="-7"/>
        </w:rPr>
        <w:t> </w:t>
      </w:r>
      <w:r>
        <w:rPr/>
        <w:t>No.</w:t>
      </w:r>
      <w:r>
        <w:rPr>
          <w:spacing w:val="-7"/>
        </w:rPr>
        <w:t> </w:t>
      </w:r>
      <w:r>
        <w:rPr/>
        <w:t>10(a)(iii)</w:t>
      </w:r>
      <w:r>
        <w:rPr>
          <w:spacing w:val="-7"/>
        </w:rPr>
        <w:t> </w:t>
      </w:r>
      <w:r>
        <w:rPr/>
        <w:t>in</w:t>
      </w:r>
      <w:r>
        <w:rPr>
          <w:spacing w:val="-7"/>
        </w:rPr>
        <w:t> </w:t>
      </w:r>
      <w:r>
        <w:rPr/>
        <w:t>ANNEXURE</w:t>
      </w:r>
      <w:r>
        <w:rPr>
          <w:spacing w:val="-7"/>
        </w:rPr>
        <w:t> </w:t>
      </w:r>
      <w:r>
        <w:rPr/>
        <w:t>1) Existing Building to be retained</w:t>
      </w:r>
    </w:p>
    <w:tbl>
      <w:tblPr>
        <w:tblW w:w="0" w:type="auto"/>
        <w:jc w:val="left"/>
        <w:tblInd w:w="1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71"/>
        <w:gridCol w:w="1440"/>
        <w:gridCol w:w="1529"/>
        <w:gridCol w:w="2340"/>
        <w:gridCol w:w="1619"/>
      </w:tblGrid>
      <w:tr>
        <w:trPr>
          <w:trHeight w:val="1327" w:hRule="atLeast"/>
        </w:trPr>
        <w:tc>
          <w:tcPr>
            <w:tcW w:w="2071" w:type="dxa"/>
          </w:tcPr>
          <w:p>
            <w:pPr>
              <w:pStyle w:val="TableParagraph"/>
              <w:spacing w:line="256" w:lineRule="auto" w:before="37"/>
              <w:ind w:left="110" w:right="950"/>
              <w:jc w:val="both"/>
              <w:rPr>
                <w:sz w:val="24"/>
              </w:rPr>
            </w:pPr>
            <w:r>
              <w:rPr>
                <w:spacing w:val="-2"/>
                <w:sz w:val="24"/>
              </w:rPr>
              <w:t>Existing Building </w:t>
            </w:r>
            <w:r>
              <w:rPr>
                <w:spacing w:val="-4"/>
                <w:sz w:val="24"/>
              </w:rPr>
              <w:t>No.</w:t>
            </w:r>
          </w:p>
          <w:p>
            <w:pPr>
              <w:pStyle w:val="TableParagraph"/>
              <w:spacing w:before="19"/>
              <w:ind w:left="110"/>
              <w:rPr>
                <w:sz w:val="24"/>
              </w:rPr>
            </w:pPr>
            <w:r>
              <w:rPr>
                <w:spacing w:val="-5"/>
                <w:sz w:val="24"/>
              </w:rPr>
              <w:t>(1)</w:t>
            </w:r>
          </w:p>
        </w:tc>
        <w:tc>
          <w:tcPr>
            <w:tcW w:w="1440" w:type="dxa"/>
          </w:tcPr>
          <w:p>
            <w:pPr>
              <w:pStyle w:val="TableParagraph"/>
              <w:spacing w:line="276" w:lineRule="auto" w:before="34"/>
              <w:ind w:left="107" w:right="708"/>
              <w:rPr>
                <w:sz w:val="24"/>
              </w:rPr>
            </w:pPr>
            <w:r>
              <w:rPr>
                <w:spacing w:val="-2"/>
                <w:sz w:val="24"/>
              </w:rPr>
              <w:t>Floor </w:t>
            </w:r>
            <w:r>
              <w:rPr>
                <w:spacing w:val="-4"/>
                <w:sz w:val="24"/>
              </w:rPr>
              <w:t>No. (2)</w:t>
            </w:r>
          </w:p>
        </w:tc>
        <w:tc>
          <w:tcPr>
            <w:tcW w:w="1529" w:type="dxa"/>
          </w:tcPr>
          <w:p>
            <w:pPr>
              <w:pStyle w:val="TableParagraph"/>
              <w:spacing w:line="276" w:lineRule="auto" w:before="34"/>
              <w:ind w:left="108" w:right="703"/>
              <w:rPr>
                <w:sz w:val="24"/>
              </w:rPr>
            </w:pPr>
            <w:r>
              <w:rPr>
                <w:spacing w:val="-2"/>
                <w:sz w:val="24"/>
              </w:rPr>
              <w:t>Plinth </w:t>
            </w:r>
            <w:r>
              <w:rPr>
                <w:spacing w:val="-4"/>
                <w:sz w:val="24"/>
              </w:rPr>
              <w:t>Area (3)</w:t>
            </w:r>
          </w:p>
        </w:tc>
        <w:tc>
          <w:tcPr>
            <w:tcW w:w="2340" w:type="dxa"/>
          </w:tcPr>
          <w:p>
            <w:pPr>
              <w:pStyle w:val="TableParagraph"/>
              <w:spacing w:line="276" w:lineRule="auto" w:before="34"/>
              <w:ind w:left="111" w:right="290"/>
              <w:rPr>
                <w:sz w:val="24"/>
              </w:rPr>
            </w:pPr>
            <w:r>
              <w:rPr>
                <w:sz w:val="24"/>
              </w:rPr>
              <w:t>Total</w:t>
            </w:r>
            <w:r>
              <w:rPr>
                <w:spacing w:val="-20"/>
                <w:sz w:val="24"/>
              </w:rPr>
              <w:t> </w:t>
            </w:r>
            <w:r>
              <w:rPr>
                <w:sz w:val="24"/>
              </w:rPr>
              <w:t>floor</w:t>
            </w:r>
            <w:r>
              <w:rPr>
                <w:spacing w:val="-19"/>
                <w:sz w:val="24"/>
              </w:rPr>
              <w:t> </w:t>
            </w:r>
            <w:r>
              <w:rPr>
                <w:sz w:val="24"/>
              </w:rPr>
              <w:t>area of the Existing </w:t>
            </w:r>
            <w:r>
              <w:rPr>
                <w:spacing w:val="-2"/>
                <w:sz w:val="24"/>
              </w:rPr>
              <w:t>Building</w:t>
            </w:r>
          </w:p>
          <w:p>
            <w:pPr>
              <w:pStyle w:val="TableParagraph"/>
              <w:spacing w:line="277" w:lineRule="exact"/>
              <w:ind w:left="111"/>
              <w:rPr>
                <w:sz w:val="24"/>
              </w:rPr>
            </w:pPr>
            <w:r>
              <w:rPr>
                <w:spacing w:val="-5"/>
                <w:sz w:val="24"/>
              </w:rPr>
              <w:t>(4)</w:t>
            </w:r>
          </w:p>
        </w:tc>
        <w:tc>
          <w:tcPr>
            <w:tcW w:w="1619" w:type="dxa"/>
          </w:tcPr>
          <w:p>
            <w:pPr>
              <w:pStyle w:val="TableParagraph"/>
              <w:spacing w:line="276" w:lineRule="auto" w:before="34"/>
              <w:ind w:left="111" w:right="14"/>
              <w:rPr>
                <w:sz w:val="24"/>
              </w:rPr>
            </w:pPr>
            <w:r>
              <w:rPr>
                <w:sz w:val="24"/>
              </w:rPr>
              <w:t>Use or </w:t>
            </w:r>
            <w:r>
              <w:rPr>
                <w:spacing w:val="-2"/>
                <w:sz w:val="24"/>
              </w:rPr>
              <w:t>Occupancy </w:t>
            </w:r>
            <w:r>
              <w:rPr>
                <w:sz w:val="24"/>
              </w:rPr>
              <w:t>of floors</w:t>
            </w:r>
          </w:p>
          <w:p>
            <w:pPr>
              <w:pStyle w:val="TableParagraph"/>
              <w:spacing w:line="277" w:lineRule="exact"/>
              <w:ind w:left="111"/>
              <w:rPr>
                <w:sz w:val="24"/>
              </w:rPr>
            </w:pPr>
            <w:r>
              <w:rPr>
                <w:spacing w:val="-5"/>
                <w:sz w:val="24"/>
              </w:rPr>
              <w:t>(5)</w:t>
            </w:r>
          </w:p>
        </w:tc>
      </w:tr>
    </w:tbl>
    <w:p>
      <w:pPr>
        <w:pStyle w:val="BodyText"/>
        <w:jc w:val="left"/>
      </w:pPr>
    </w:p>
    <w:p>
      <w:pPr>
        <w:pStyle w:val="BodyText"/>
        <w:jc w:val="left"/>
      </w:pPr>
    </w:p>
    <w:p>
      <w:pPr>
        <w:pStyle w:val="BodyText"/>
        <w:jc w:val="left"/>
      </w:pPr>
    </w:p>
    <w:p>
      <w:pPr>
        <w:pStyle w:val="BodyText"/>
        <w:jc w:val="left"/>
      </w:pPr>
    </w:p>
    <w:p>
      <w:pPr>
        <w:pStyle w:val="BodyText"/>
        <w:spacing w:before="151"/>
        <w:jc w:val="left"/>
      </w:pPr>
    </w:p>
    <w:p>
      <w:pPr>
        <w:pStyle w:val="Heading4"/>
        <w:ind w:left="4642"/>
        <w:jc w:val="left"/>
      </w:pPr>
      <w:r>
        <w:rPr/>
        <w:t>STATEMENT</w:t>
      </w:r>
      <w:r>
        <w:rPr>
          <w:spacing w:val="-5"/>
        </w:rPr>
        <w:t> 'B'</w:t>
      </w:r>
    </w:p>
    <w:p>
      <w:pPr>
        <w:pStyle w:val="BodyText"/>
        <w:spacing w:before="242"/>
        <w:ind w:left="52"/>
        <w:jc w:val="center"/>
      </w:pPr>
      <w:r>
        <w:rPr/>
        <w:t>[Sr.</w:t>
      </w:r>
      <w:r>
        <w:rPr>
          <w:spacing w:val="-2"/>
        </w:rPr>
        <w:t> </w:t>
      </w:r>
      <w:r>
        <w:rPr/>
        <w:t>No.</w:t>
      </w:r>
      <w:r>
        <w:rPr>
          <w:spacing w:val="-2"/>
        </w:rPr>
        <w:t> </w:t>
      </w:r>
      <w:r>
        <w:rPr/>
        <w:t>10(b)</w:t>
      </w:r>
      <w:r>
        <w:rPr>
          <w:spacing w:val="-1"/>
        </w:rPr>
        <w:t> </w:t>
      </w:r>
      <w:r>
        <w:rPr/>
        <w:t>in</w:t>
      </w:r>
      <w:r>
        <w:rPr>
          <w:spacing w:val="-2"/>
        </w:rPr>
        <w:t> </w:t>
      </w:r>
      <w:r>
        <w:rPr/>
        <w:t>ANNEXURE</w:t>
      </w:r>
      <w:r>
        <w:rPr>
          <w:spacing w:val="-1"/>
        </w:rPr>
        <w:t> </w:t>
      </w:r>
      <w:r>
        <w:rPr>
          <w:spacing w:val="-4"/>
        </w:rPr>
        <w:t>"1"]</w:t>
      </w:r>
    </w:p>
    <w:p>
      <w:pPr>
        <w:pStyle w:val="BodyText"/>
        <w:spacing w:before="239"/>
        <w:ind w:left="777"/>
        <w:jc w:val="left"/>
      </w:pPr>
      <w:r>
        <w:rPr/>
        <w:t>Proposed</w:t>
      </w:r>
      <w:r>
        <w:rPr>
          <w:spacing w:val="-7"/>
        </w:rPr>
        <w:t> </w:t>
      </w:r>
      <w:r>
        <w:rPr>
          <w:spacing w:val="-2"/>
        </w:rPr>
        <w:t>Work/Buildings</w:t>
      </w:r>
    </w:p>
    <w:p>
      <w:pPr>
        <w:pStyle w:val="BodyText"/>
        <w:spacing w:before="8"/>
        <w:jc w:val="left"/>
        <w:rPr>
          <w:sz w:val="20"/>
        </w:rPr>
      </w:pPr>
    </w:p>
    <w:tbl>
      <w:tblPr>
        <w:tblW w:w="0" w:type="auto"/>
        <w:jc w:val="left"/>
        <w:tblInd w:w="17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69"/>
        <w:gridCol w:w="1440"/>
        <w:gridCol w:w="1532"/>
        <w:gridCol w:w="2341"/>
        <w:gridCol w:w="1620"/>
      </w:tblGrid>
      <w:tr>
        <w:trPr>
          <w:trHeight w:val="1285" w:hRule="atLeast"/>
        </w:trPr>
        <w:tc>
          <w:tcPr>
            <w:tcW w:w="2069" w:type="dxa"/>
          </w:tcPr>
          <w:p>
            <w:pPr>
              <w:pStyle w:val="TableParagraph"/>
              <w:spacing w:before="37"/>
              <w:ind w:left="107"/>
              <w:rPr>
                <w:sz w:val="24"/>
              </w:rPr>
            </w:pPr>
            <w:r>
              <w:rPr>
                <w:sz w:val="24"/>
              </w:rPr>
              <w:t>Building </w:t>
            </w:r>
            <w:r>
              <w:rPr>
                <w:spacing w:val="-5"/>
                <w:sz w:val="24"/>
              </w:rPr>
              <w:t>No.</w:t>
            </w:r>
          </w:p>
        </w:tc>
        <w:tc>
          <w:tcPr>
            <w:tcW w:w="1440" w:type="dxa"/>
          </w:tcPr>
          <w:p>
            <w:pPr>
              <w:pStyle w:val="TableParagraph"/>
              <w:spacing w:before="37"/>
              <w:ind w:left="108"/>
              <w:rPr>
                <w:sz w:val="24"/>
              </w:rPr>
            </w:pPr>
            <w:r>
              <w:rPr>
                <w:sz w:val="24"/>
              </w:rPr>
              <w:t>Floor </w:t>
            </w:r>
            <w:r>
              <w:rPr>
                <w:spacing w:val="-5"/>
                <w:sz w:val="24"/>
              </w:rPr>
              <w:t>No.</w:t>
            </w:r>
          </w:p>
        </w:tc>
        <w:tc>
          <w:tcPr>
            <w:tcW w:w="1532" w:type="dxa"/>
          </w:tcPr>
          <w:p>
            <w:pPr>
              <w:pStyle w:val="TableParagraph"/>
              <w:spacing w:before="37"/>
              <w:ind w:left="108"/>
              <w:rPr>
                <w:sz w:val="24"/>
              </w:rPr>
            </w:pPr>
            <w:r>
              <w:rPr>
                <w:spacing w:val="-4"/>
                <w:sz w:val="24"/>
              </w:rPr>
              <w:t>Area</w:t>
            </w:r>
          </w:p>
        </w:tc>
        <w:tc>
          <w:tcPr>
            <w:tcW w:w="2341" w:type="dxa"/>
          </w:tcPr>
          <w:p>
            <w:pPr>
              <w:pStyle w:val="TableParagraph"/>
              <w:spacing w:line="276" w:lineRule="auto" w:before="37"/>
              <w:ind w:left="107" w:right="205"/>
              <w:rPr>
                <w:sz w:val="24"/>
              </w:rPr>
            </w:pPr>
            <w:r>
              <w:rPr>
                <w:sz w:val="24"/>
              </w:rPr>
              <w:t>Total Floor Area of</w:t>
            </w:r>
            <w:r>
              <w:rPr>
                <w:spacing w:val="-19"/>
                <w:sz w:val="24"/>
              </w:rPr>
              <w:t> </w:t>
            </w:r>
            <w:r>
              <w:rPr>
                <w:sz w:val="24"/>
              </w:rPr>
              <w:t>proposed</w:t>
            </w:r>
            <w:r>
              <w:rPr>
                <w:spacing w:val="-19"/>
                <w:sz w:val="24"/>
              </w:rPr>
              <w:t> </w:t>
            </w:r>
            <w:r>
              <w:rPr>
                <w:sz w:val="24"/>
              </w:rPr>
              <w:t>work</w:t>
            </w:r>
          </w:p>
        </w:tc>
        <w:tc>
          <w:tcPr>
            <w:tcW w:w="1620" w:type="dxa"/>
          </w:tcPr>
          <w:p>
            <w:pPr>
              <w:pStyle w:val="TableParagraph"/>
              <w:spacing w:line="256" w:lineRule="auto" w:before="37"/>
              <w:ind w:left="107" w:right="31"/>
              <w:rPr>
                <w:sz w:val="24"/>
              </w:rPr>
            </w:pPr>
            <w:r>
              <w:rPr>
                <w:sz w:val="24"/>
              </w:rPr>
              <w:t>Use or </w:t>
            </w:r>
            <w:r>
              <w:rPr>
                <w:spacing w:val="-2"/>
                <w:sz w:val="24"/>
              </w:rPr>
              <w:t>Occupancy </w:t>
            </w:r>
            <w:r>
              <w:rPr>
                <w:spacing w:val="-6"/>
                <w:sz w:val="24"/>
              </w:rPr>
              <w:t>of</w:t>
            </w:r>
          </w:p>
          <w:p>
            <w:pPr>
              <w:pStyle w:val="TableParagraph"/>
              <w:spacing w:before="22"/>
              <w:ind w:left="107"/>
              <w:rPr>
                <w:sz w:val="24"/>
              </w:rPr>
            </w:pPr>
            <w:r>
              <w:rPr>
                <w:spacing w:val="-2"/>
                <w:sz w:val="24"/>
              </w:rPr>
              <w:t>Floors</w:t>
            </w:r>
          </w:p>
        </w:tc>
      </w:tr>
      <w:tr>
        <w:trPr>
          <w:trHeight w:val="529" w:hRule="atLeast"/>
        </w:trPr>
        <w:tc>
          <w:tcPr>
            <w:tcW w:w="2069" w:type="dxa"/>
          </w:tcPr>
          <w:p>
            <w:pPr>
              <w:pStyle w:val="TableParagraph"/>
              <w:rPr>
                <w:rFonts w:ascii="Times New Roman"/>
                <w:sz w:val="22"/>
              </w:rPr>
            </w:pPr>
          </w:p>
        </w:tc>
        <w:tc>
          <w:tcPr>
            <w:tcW w:w="1440" w:type="dxa"/>
          </w:tcPr>
          <w:p>
            <w:pPr>
              <w:pStyle w:val="TableParagraph"/>
              <w:rPr>
                <w:rFonts w:ascii="Times New Roman"/>
                <w:sz w:val="22"/>
              </w:rPr>
            </w:pPr>
          </w:p>
        </w:tc>
        <w:tc>
          <w:tcPr>
            <w:tcW w:w="1532" w:type="dxa"/>
          </w:tcPr>
          <w:p>
            <w:pPr>
              <w:pStyle w:val="TableParagraph"/>
              <w:rPr>
                <w:rFonts w:ascii="Times New Roman"/>
                <w:sz w:val="22"/>
              </w:rPr>
            </w:pPr>
          </w:p>
        </w:tc>
        <w:tc>
          <w:tcPr>
            <w:tcW w:w="2341" w:type="dxa"/>
          </w:tcPr>
          <w:p>
            <w:pPr>
              <w:pStyle w:val="TableParagraph"/>
              <w:rPr>
                <w:rFonts w:ascii="Times New Roman"/>
                <w:sz w:val="22"/>
              </w:rPr>
            </w:pPr>
          </w:p>
        </w:tc>
        <w:tc>
          <w:tcPr>
            <w:tcW w:w="1620" w:type="dxa"/>
          </w:tcPr>
          <w:p>
            <w:pPr>
              <w:pStyle w:val="TableParagraph"/>
              <w:rPr>
                <w:rFonts w:ascii="Times New Roman"/>
                <w:sz w:val="22"/>
              </w:rPr>
            </w:pPr>
          </w:p>
        </w:tc>
      </w:tr>
    </w:tbl>
    <w:p>
      <w:pPr>
        <w:pStyle w:val="TableParagraph"/>
        <w:spacing w:after="0"/>
        <w:rPr>
          <w:rFonts w:ascii="Times New Roman"/>
          <w:sz w:val="22"/>
        </w:rPr>
        <w:sectPr>
          <w:pgSz w:w="11910" w:h="16850"/>
          <w:pgMar w:header="1024" w:footer="1302" w:top="1480" w:bottom="1500" w:left="360" w:right="360"/>
        </w:sectPr>
      </w:pPr>
    </w:p>
    <w:p>
      <w:pPr>
        <w:pStyle w:val="Heading4"/>
        <w:spacing w:before="276"/>
        <w:ind w:left="49"/>
      </w:pPr>
      <w:r>
        <w:rPr/>
        <w:t>FORM</w:t>
      </w:r>
      <w:r>
        <w:rPr>
          <w:spacing w:val="-3"/>
        </w:rPr>
        <w:t> </w:t>
      </w:r>
      <w:r>
        <w:rPr>
          <w:spacing w:val="-10"/>
        </w:rPr>
        <w:t>I</w:t>
      </w:r>
    </w:p>
    <w:p>
      <w:pPr>
        <w:pStyle w:val="BodyText"/>
        <w:spacing w:before="239"/>
        <w:ind w:left="50"/>
        <w:jc w:val="center"/>
      </w:pPr>
      <w:r>
        <w:rPr/>
        <w:t>(Sr.</w:t>
      </w:r>
      <w:r>
        <w:rPr>
          <w:spacing w:val="-3"/>
        </w:rPr>
        <w:t> </w:t>
      </w:r>
      <w:r>
        <w:rPr/>
        <w:t>No.</w:t>
      </w:r>
      <w:r>
        <w:rPr>
          <w:spacing w:val="-3"/>
        </w:rPr>
        <w:t> </w:t>
      </w:r>
      <w:r>
        <w:rPr/>
        <w:t>2,</w:t>
      </w:r>
      <w:r>
        <w:rPr>
          <w:spacing w:val="-3"/>
        </w:rPr>
        <w:t> </w:t>
      </w:r>
      <w:r>
        <w:rPr/>
        <w:t>9,10,11,19</w:t>
      </w:r>
      <w:r>
        <w:rPr>
          <w:spacing w:val="-3"/>
        </w:rPr>
        <w:t> </w:t>
      </w:r>
      <w:r>
        <w:rPr/>
        <w:t>in</w:t>
      </w:r>
      <w:r>
        <w:rPr>
          <w:spacing w:val="-3"/>
        </w:rPr>
        <w:t> </w:t>
      </w:r>
      <w:r>
        <w:rPr/>
        <w:t>ANNEXURE</w:t>
      </w:r>
      <w:r>
        <w:rPr>
          <w:spacing w:val="-2"/>
        </w:rPr>
        <w:t> </w:t>
      </w:r>
      <w:r>
        <w:rPr>
          <w:spacing w:val="-4"/>
        </w:rPr>
        <w:t>"1")</w:t>
      </w:r>
    </w:p>
    <w:p>
      <w:pPr>
        <w:pStyle w:val="BodyText"/>
        <w:spacing w:before="241"/>
        <w:ind w:left="777"/>
        <w:jc w:val="left"/>
      </w:pPr>
      <w:r>
        <w:rPr/>
        <w:t>(At</w:t>
      </w:r>
      <w:r>
        <w:rPr>
          <w:spacing w:val="-1"/>
        </w:rPr>
        <w:t> </w:t>
      </w:r>
      <w:r>
        <w:rPr/>
        <w:t>right</w:t>
      </w:r>
      <w:r>
        <w:rPr>
          <w:spacing w:val="-1"/>
        </w:rPr>
        <w:t> </w:t>
      </w:r>
      <w:r>
        <w:rPr/>
        <w:t>top</w:t>
      </w:r>
      <w:r>
        <w:rPr>
          <w:spacing w:val="-1"/>
        </w:rPr>
        <w:t> </w:t>
      </w:r>
      <w:r>
        <w:rPr/>
        <w:t>corner</w:t>
      </w:r>
      <w:r>
        <w:rPr>
          <w:spacing w:val="-1"/>
        </w:rPr>
        <w:t> </w:t>
      </w:r>
      <w:r>
        <w:rPr/>
        <w:t>of</w:t>
      </w:r>
      <w:r>
        <w:rPr>
          <w:spacing w:val="-1"/>
        </w:rPr>
        <w:t> </w:t>
      </w:r>
      <w:r>
        <w:rPr/>
        <w:t>site/building</w:t>
      </w:r>
      <w:r>
        <w:rPr>
          <w:spacing w:val="-1"/>
        </w:rPr>
        <w:t> </w:t>
      </w:r>
      <w:r>
        <w:rPr/>
        <w:t>plan</w:t>
      </w:r>
      <w:r>
        <w:rPr>
          <w:spacing w:val="-1"/>
        </w:rPr>
        <w:t> </w:t>
      </w:r>
      <w:r>
        <w:rPr/>
        <w:t>at</w:t>
      </w:r>
      <w:r>
        <w:rPr>
          <w:spacing w:val="-1"/>
        </w:rPr>
        <w:t> </w:t>
      </w:r>
      <w:r>
        <w:rPr/>
        <w:t>Ground</w:t>
      </w:r>
      <w:r>
        <w:rPr>
          <w:spacing w:val="-1"/>
        </w:rPr>
        <w:t> </w:t>
      </w:r>
      <w:r>
        <w:rPr/>
        <w:t>Floor</w:t>
      </w:r>
      <w:r>
        <w:rPr>
          <w:spacing w:val="-1"/>
        </w:rPr>
        <w:t> </w:t>
      </w:r>
      <w:r>
        <w:rPr>
          <w:spacing w:val="-2"/>
        </w:rPr>
        <w:t>Level)</w:t>
      </w:r>
    </w:p>
    <w:p>
      <w:pPr>
        <w:pStyle w:val="BodyText"/>
        <w:tabs>
          <w:tab w:pos="7258" w:val="left" w:leader="none"/>
        </w:tabs>
        <w:spacing w:before="239"/>
        <w:ind w:left="777"/>
        <w:jc w:val="left"/>
      </w:pPr>
      <w:r>
        <w:rPr/>
        <w:t>I.</w:t>
      </w:r>
      <w:r>
        <w:rPr>
          <w:spacing w:val="76"/>
        </w:rPr>
        <w:t> </w:t>
      </w:r>
      <w:r>
        <w:rPr/>
        <w:t>Area</w:t>
      </w:r>
      <w:r>
        <w:rPr>
          <w:spacing w:val="-1"/>
        </w:rPr>
        <w:t> </w:t>
      </w:r>
      <w:r>
        <w:rPr>
          <w:spacing w:val="-2"/>
        </w:rPr>
        <w:t>Statement</w:t>
      </w:r>
      <w:r>
        <w:rPr/>
        <w:tab/>
        <w:t>Square </w:t>
      </w:r>
      <w:r>
        <w:rPr>
          <w:spacing w:val="-2"/>
        </w:rPr>
        <w:t>meter</w:t>
      </w:r>
    </w:p>
    <w:p>
      <w:pPr>
        <w:pStyle w:val="ListParagraph"/>
        <w:numPr>
          <w:ilvl w:val="0"/>
          <w:numId w:val="371"/>
        </w:numPr>
        <w:tabs>
          <w:tab w:pos="1574" w:val="left" w:leader="none"/>
        </w:tabs>
        <w:spacing w:line="240" w:lineRule="auto" w:before="122" w:after="0"/>
        <w:ind w:left="1574" w:right="0" w:hanging="436"/>
        <w:jc w:val="left"/>
        <w:rPr>
          <w:sz w:val="24"/>
        </w:rPr>
      </w:pPr>
      <w:r>
        <w:rPr>
          <w:sz w:val="24"/>
        </w:rPr>
        <w:t>Area</w:t>
      </w:r>
      <w:r>
        <w:rPr>
          <w:spacing w:val="-3"/>
          <w:sz w:val="24"/>
        </w:rPr>
        <w:t> </w:t>
      </w:r>
      <w:r>
        <w:rPr>
          <w:sz w:val="24"/>
        </w:rPr>
        <w:t>of</w:t>
      </w:r>
      <w:r>
        <w:rPr>
          <w:spacing w:val="-1"/>
          <w:sz w:val="24"/>
        </w:rPr>
        <w:t> </w:t>
      </w:r>
      <w:r>
        <w:rPr>
          <w:spacing w:val="-4"/>
          <w:sz w:val="24"/>
        </w:rPr>
        <w:t>plot</w:t>
      </w:r>
    </w:p>
    <w:p>
      <w:pPr>
        <w:pStyle w:val="ListParagraph"/>
        <w:numPr>
          <w:ilvl w:val="1"/>
          <w:numId w:val="371"/>
        </w:numPr>
        <w:tabs>
          <w:tab w:pos="2145" w:val="left" w:leader="none"/>
        </w:tabs>
        <w:spacing w:line="240" w:lineRule="auto" w:before="119" w:after="0"/>
        <w:ind w:left="2145" w:right="0" w:hanging="287"/>
        <w:jc w:val="left"/>
        <w:rPr>
          <w:sz w:val="24"/>
        </w:rPr>
      </w:pPr>
      <w:r>
        <w:rPr>
          <w:sz w:val="24"/>
        </w:rPr>
        <w:t>Area</w:t>
      </w:r>
      <w:r>
        <w:rPr>
          <w:spacing w:val="-4"/>
          <w:sz w:val="24"/>
        </w:rPr>
        <w:t> </w:t>
      </w:r>
      <w:r>
        <w:rPr>
          <w:sz w:val="24"/>
        </w:rPr>
        <w:t>of</w:t>
      </w:r>
      <w:r>
        <w:rPr>
          <w:spacing w:val="-3"/>
          <w:sz w:val="24"/>
        </w:rPr>
        <w:t> </w:t>
      </w:r>
      <w:r>
        <w:rPr>
          <w:sz w:val="24"/>
        </w:rPr>
        <w:t>Reservation</w:t>
      </w:r>
      <w:r>
        <w:rPr>
          <w:spacing w:val="-4"/>
          <w:sz w:val="24"/>
        </w:rPr>
        <w:t> </w:t>
      </w:r>
      <w:r>
        <w:rPr>
          <w:sz w:val="24"/>
        </w:rPr>
        <w:t>in</w:t>
      </w:r>
      <w:r>
        <w:rPr>
          <w:spacing w:val="-3"/>
          <w:sz w:val="24"/>
        </w:rPr>
        <w:t> </w:t>
      </w:r>
      <w:r>
        <w:rPr>
          <w:spacing w:val="-4"/>
          <w:sz w:val="24"/>
        </w:rPr>
        <w:t>plot</w:t>
      </w:r>
    </w:p>
    <w:p>
      <w:pPr>
        <w:pStyle w:val="ListParagraph"/>
        <w:numPr>
          <w:ilvl w:val="1"/>
          <w:numId w:val="371"/>
        </w:numPr>
        <w:tabs>
          <w:tab w:pos="2155" w:val="left" w:leader="none"/>
        </w:tabs>
        <w:spacing w:line="240" w:lineRule="auto" w:before="119" w:after="0"/>
        <w:ind w:left="2155" w:right="0" w:hanging="297"/>
        <w:jc w:val="left"/>
        <w:rPr>
          <w:sz w:val="24"/>
        </w:rPr>
      </w:pPr>
      <w:r>
        <w:rPr>
          <w:sz w:val="24"/>
        </w:rPr>
        <w:t>Area</w:t>
      </w:r>
      <w:r>
        <w:rPr>
          <w:spacing w:val="-4"/>
          <w:sz w:val="24"/>
        </w:rPr>
        <w:t> </w:t>
      </w:r>
      <w:r>
        <w:rPr>
          <w:sz w:val="24"/>
        </w:rPr>
        <w:t>of</w:t>
      </w:r>
      <w:r>
        <w:rPr>
          <w:spacing w:val="-1"/>
          <w:sz w:val="24"/>
        </w:rPr>
        <w:t> </w:t>
      </w:r>
      <w:r>
        <w:rPr>
          <w:sz w:val="24"/>
        </w:rPr>
        <w:t>Road</w:t>
      </w:r>
      <w:r>
        <w:rPr>
          <w:spacing w:val="-2"/>
          <w:sz w:val="24"/>
        </w:rPr>
        <w:t> </w:t>
      </w:r>
      <w:r>
        <w:rPr>
          <w:sz w:val="24"/>
        </w:rPr>
        <w:t>Set</w:t>
      </w:r>
      <w:r>
        <w:rPr>
          <w:spacing w:val="-1"/>
          <w:sz w:val="24"/>
        </w:rPr>
        <w:t> </w:t>
      </w:r>
      <w:r>
        <w:rPr>
          <w:spacing w:val="-4"/>
          <w:sz w:val="24"/>
        </w:rPr>
        <w:t>back</w:t>
      </w:r>
    </w:p>
    <w:p>
      <w:pPr>
        <w:pStyle w:val="ListParagraph"/>
        <w:numPr>
          <w:ilvl w:val="1"/>
          <w:numId w:val="371"/>
        </w:numPr>
        <w:tabs>
          <w:tab w:pos="2131" w:val="left" w:leader="none"/>
        </w:tabs>
        <w:spacing w:line="240" w:lineRule="auto" w:before="122" w:after="0"/>
        <w:ind w:left="2131" w:right="0" w:hanging="273"/>
        <w:jc w:val="left"/>
        <w:rPr>
          <w:sz w:val="24"/>
        </w:rPr>
      </w:pPr>
      <w:r>
        <w:rPr>
          <w:sz w:val="24"/>
        </w:rPr>
        <w:t>Area</w:t>
      </w:r>
      <w:r>
        <w:rPr>
          <w:spacing w:val="-3"/>
          <w:sz w:val="24"/>
        </w:rPr>
        <w:t> </w:t>
      </w:r>
      <w:r>
        <w:rPr>
          <w:sz w:val="24"/>
        </w:rPr>
        <w:t>of</w:t>
      </w:r>
      <w:r>
        <w:rPr>
          <w:spacing w:val="-1"/>
          <w:sz w:val="24"/>
        </w:rPr>
        <w:t> </w:t>
      </w:r>
      <w:r>
        <w:rPr>
          <w:sz w:val="24"/>
        </w:rPr>
        <w:t>D</w:t>
      </w:r>
      <w:r>
        <w:rPr>
          <w:spacing w:val="-1"/>
          <w:sz w:val="24"/>
        </w:rPr>
        <w:t> </w:t>
      </w:r>
      <w:r>
        <w:rPr>
          <w:sz w:val="24"/>
        </w:rPr>
        <w:t>P </w:t>
      </w:r>
      <w:r>
        <w:rPr>
          <w:spacing w:val="-4"/>
          <w:sz w:val="24"/>
        </w:rPr>
        <w:t>Road</w:t>
      </w:r>
    </w:p>
    <w:p>
      <w:pPr>
        <w:pStyle w:val="ListParagraph"/>
        <w:numPr>
          <w:ilvl w:val="0"/>
          <w:numId w:val="371"/>
        </w:numPr>
        <w:tabs>
          <w:tab w:pos="1497" w:val="left" w:leader="none"/>
        </w:tabs>
        <w:spacing w:line="240" w:lineRule="auto" w:before="119" w:after="0"/>
        <w:ind w:left="1497" w:right="0" w:hanging="359"/>
        <w:jc w:val="left"/>
        <w:rPr>
          <w:sz w:val="24"/>
        </w:rPr>
      </w:pPr>
      <w:r>
        <w:rPr>
          <w:sz w:val="24"/>
        </w:rPr>
        <w:t>Deductions </w:t>
      </w:r>
      <w:r>
        <w:rPr>
          <w:spacing w:val="-4"/>
          <w:sz w:val="24"/>
        </w:rPr>
        <w:t>for.</w:t>
      </w:r>
    </w:p>
    <w:p>
      <w:pPr>
        <w:pStyle w:val="BodyText"/>
        <w:spacing w:before="121"/>
        <w:ind w:left="1498"/>
        <w:jc w:val="left"/>
      </w:pPr>
      <w:r>
        <w:rPr/>
        <w:t>(A)For</w:t>
      </w:r>
      <w:r>
        <w:rPr>
          <w:spacing w:val="-8"/>
        </w:rPr>
        <w:t> </w:t>
      </w:r>
      <w:r>
        <w:rPr/>
        <w:t>Reservation/Road</w:t>
      </w:r>
      <w:r>
        <w:rPr>
          <w:spacing w:val="-7"/>
        </w:rPr>
        <w:t> </w:t>
      </w:r>
      <w:r>
        <w:rPr>
          <w:spacing w:val="-4"/>
        </w:rPr>
        <w:t>Area</w:t>
      </w:r>
    </w:p>
    <w:p>
      <w:pPr>
        <w:pStyle w:val="ListParagraph"/>
        <w:numPr>
          <w:ilvl w:val="0"/>
          <w:numId w:val="372"/>
        </w:numPr>
        <w:tabs>
          <w:tab w:pos="2294" w:val="left" w:leader="none"/>
        </w:tabs>
        <w:spacing w:line="240" w:lineRule="auto" w:before="120" w:after="0"/>
        <w:ind w:left="2294" w:right="0" w:hanging="436"/>
        <w:jc w:val="left"/>
        <w:rPr>
          <w:sz w:val="24"/>
        </w:rPr>
      </w:pPr>
      <w:r>
        <w:rPr>
          <w:sz w:val="24"/>
        </w:rPr>
        <w:t>Road</w:t>
      </w:r>
      <w:r>
        <w:rPr>
          <w:spacing w:val="-3"/>
          <w:sz w:val="24"/>
        </w:rPr>
        <w:t> </w:t>
      </w:r>
      <w:r>
        <w:rPr>
          <w:sz w:val="24"/>
        </w:rPr>
        <w:t>set-back</w:t>
      </w:r>
      <w:r>
        <w:rPr>
          <w:spacing w:val="-3"/>
          <w:sz w:val="24"/>
        </w:rPr>
        <w:t> </w:t>
      </w:r>
      <w:r>
        <w:rPr>
          <w:sz w:val="24"/>
        </w:rPr>
        <w:t>area</w:t>
      </w:r>
      <w:r>
        <w:rPr>
          <w:spacing w:val="-3"/>
          <w:sz w:val="24"/>
        </w:rPr>
        <w:t> </w:t>
      </w:r>
      <w:r>
        <w:rPr>
          <w:sz w:val="24"/>
        </w:rPr>
        <w:t>to</w:t>
      </w:r>
      <w:r>
        <w:rPr>
          <w:spacing w:val="-2"/>
          <w:sz w:val="24"/>
        </w:rPr>
        <w:t> </w:t>
      </w:r>
      <w:r>
        <w:rPr>
          <w:sz w:val="24"/>
        </w:rPr>
        <w:t>be</w:t>
      </w:r>
      <w:r>
        <w:rPr>
          <w:spacing w:val="-3"/>
          <w:sz w:val="24"/>
        </w:rPr>
        <w:t> </w:t>
      </w:r>
      <w:r>
        <w:rPr>
          <w:sz w:val="24"/>
        </w:rPr>
        <w:t>handed</w:t>
      </w:r>
      <w:r>
        <w:rPr>
          <w:spacing w:val="-3"/>
          <w:sz w:val="24"/>
        </w:rPr>
        <w:t> </w:t>
      </w:r>
      <w:r>
        <w:rPr>
          <w:sz w:val="24"/>
        </w:rPr>
        <w:t>over</w:t>
      </w:r>
      <w:r>
        <w:rPr>
          <w:spacing w:val="-1"/>
          <w:sz w:val="24"/>
        </w:rPr>
        <w:t> </w:t>
      </w:r>
      <w:r>
        <w:rPr>
          <w:sz w:val="24"/>
        </w:rPr>
        <w:t>(100%)</w:t>
      </w:r>
      <w:r>
        <w:rPr>
          <w:spacing w:val="-3"/>
          <w:sz w:val="24"/>
        </w:rPr>
        <w:t> </w:t>
      </w:r>
      <w:r>
        <w:rPr>
          <w:sz w:val="24"/>
        </w:rPr>
        <w:t>(Regulation</w:t>
      </w:r>
      <w:r>
        <w:rPr>
          <w:spacing w:val="-3"/>
          <w:sz w:val="24"/>
        </w:rPr>
        <w:t> </w:t>
      </w:r>
      <w:r>
        <w:rPr>
          <w:sz w:val="24"/>
        </w:rPr>
        <w:t>No</w:t>
      </w:r>
      <w:r>
        <w:rPr>
          <w:spacing w:val="-2"/>
          <w:sz w:val="24"/>
        </w:rPr>
        <w:t> </w:t>
      </w:r>
      <w:r>
        <w:rPr>
          <w:spacing w:val="-5"/>
          <w:sz w:val="24"/>
        </w:rPr>
        <w:t>16)</w:t>
      </w:r>
    </w:p>
    <w:p>
      <w:pPr>
        <w:pStyle w:val="ListParagraph"/>
        <w:numPr>
          <w:ilvl w:val="0"/>
          <w:numId w:val="372"/>
        </w:numPr>
        <w:tabs>
          <w:tab w:pos="2304" w:val="left" w:leader="none"/>
        </w:tabs>
        <w:spacing w:line="240" w:lineRule="auto" w:before="119" w:after="0"/>
        <w:ind w:left="2304" w:right="0" w:hanging="446"/>
        <w:jc w:val="left"/>
        <w:rPr>
          <w:sz w:val="24"/>
        </w:rPr>
      </w:pPr>
      <w:r>
        <w:rPr>
          <w:sz w:val="24"/>
        </w:rPr>
        <w:t>Proposed</w:t>
      </w:r>
      <w:r>
        <w:rPr>
          <w:spacing w:val="-3"/>
          <w:sz w:val="24"/>
        </w:rPr>
        <w:t> </w:t>
      </w:r>
      <w:r>
        <w:rPr>
          <w:sz w:val="24"/>
        </w:rPr>
        <w:t>D</w:t>
      </w:r>
      <w:r>
        <w:rPr>
          <w:spacing w:val="-2"/>
          <w:sz w:val="24"/>
        </w:rPr>
        <w:t> </w:t>
      </w:r>
      <w:r>
        <w:rPr>
          <w:sz w:val="24"/>
        </w:rPr>
        <w:t>P</w:t>
      </w:r>
      <w:r>
        <w:rPr>
          <w:spacing w:val="-3"/>
          <w:sz w:val="24"/>
        </w:rPr>
        <w:t> </w:t>
      </w:r>
      <w:r>
        <w:rPr>
          <w:sz w:val="24"/>
        </w:rPr>
        <w:t>road</w:t>
      </w:r>
      <w:r>
        <w:rPr>
          <w:spacing w:val="-2"/>
          <w:sz w:val="24"/>
        </w:rPr>
        <w:t> </w:t>
      </w:r>
      <w:r>
        <w:rPr>
          <w:sz w:val="24"/>
        </w:rPr>
        <w:t>to</w:t>
      </w:r>
      <w:r>
        <w:rPr>
          <w:spacing w:val="-3"/>
          <w:sz w:val="24"/>
        </w:rPr>
        <w:t> </w:t>
      </w:r>
      <w:r>
        <w:rPr>
          <w:sz w:val="24"/>
        </w:rPr>
        <w:t>be</w:t>
      </w:r>
      <w:r>
        <w:rPr>
          <w:spacing w:val="-2"/>
          <w:sz w:val="24"/>
        </w:rPr>
        <w:t> </w:t>
      </w:r>
      <w:r>
        <w:rPr>
          <w:sz w:val="24"/>
        </w:rPr>
        <w:t>handed</w:t>
      </w:r>
      <w:r>
        <w:rPr>
          <w:spacing w:val="-3"/>
          <w:sz w:val="24"/>
        </w:rPr>
        <w:t> </w:t>
      </w:r>
      <w:r>
        <w:rPr>
          <w:sz w:val="24"/>
        </w:rPr>
        <w:t>over</w:t>
      </w:r>
      <w:r>
        <w:rPr>
          <w:spacing w:val="-2"/>
          <w:sz w:val="24"/>
        </w:rPr>
        <w:t> </w:t>
      </w:r>
      <w:r>
        <w:rPr>
          <w:sz w:val="24"/>
        </w:rPr>
        <w:t>(100%)</w:t>
      </w:r>
      <w:r>
        <w:rPr>
          <w:spacing w:val="-3"/>
          <w:sz w:val="24"/>
        </w:rPr>
        <w:t> </w:t>
      </w:r>
      <w:r>
        <w:rPr>
          <w:sz w:val="24"/>
        </w:rPr>
        <w:t>(Regulation</w:t>
      </w:r>
      <w:r>
        <w:rPr>
          <w:spacing w:val="-2"/>
          <w:sz w:val="24"/>
        </w:rPr>
        <w:t> </w:t>
      </w:r>
      <w:r>
        <w:rPr>
          <w:sz w:val="24"/>
        </w:rPr>
        <w:t>No</w:t>
      </w:r>
      <w:r>
        <w:rPr>
          <w:spacing w:val="-2"/>
          <w:sz w:val="24"/>
        </w:rPr>
        <w:t> </w:t>
      </w:r>
      <w:r>
        <w:rPr>
          <w:spacing w:val="-5"/>
          <w:sz w:val="24"/>
        </w:rPr>
        <w:t>16)</w:t>
      </w:r>
    </w:p>
    <w:p>
      <w:pPr>
        <w:pStyle w:val="ListParagraph"/>
        <w:numPr>
          <w:ilvl w:val="0"/>
          <w:numId w:val="372"/>
        </w:numPr>
        <w:tabs>
          <w:tab w:pos="2203" w:val="left" w:leader="none"/>
        </w:tabs>
        <w:spacing w:line="240" w:lineRule="auto" w:before="121" w:after="0"/>
        <w:ind w:left="2203" w:right="0" w:hanging="345"/>
        <w:jc w:val="left"/>
        <w:rPr>
          <w:sz w:val="24"/>
        </w:rPr>
      </w:pPr>
      <w:r>
        <w:rPr>
          <w:sz w:val="24"/>
        </w:rPr>
        <w:t>(i)</w:t>
      </w:r>
      <w:r>
        <w:rPr>
          <w:spacing w:val="-3"/>
          <w:sz w:val="24"/>
        </w:rPr>
        <w:t> </w:t>
      </w:r>
      <w:r>
        <w:rPr>
          <w:sz w:val="24"/>
        </w:rPr>
        <w:t>Reservation</w:t>
      </w:r>
      <w:r>
        <w:rPr>
          <w:spacing w:val="-3"/>
          <w:sz w:val="24"/>
        </w:rPr>
        <w:t> </w:t>
      </w:r>
      <w:r>
        <w:rPr>
          <w:sz w:val="24"/>
        </w:rPr>
        <w:t>area</w:t>
      </w:r>
      <w:r>
        <w:rPr>
          <w:spacing w:val="-3"/>
          <w:sz w:val="24"/>
        </w:rPr>
        <w:t> </w:t>
      </w:r>
      <w:r>
        <w:rPr>
          <w:sz w:val="24"/>
        </w:rPr>
        <w:t>(plot)</w:t>
      </w:r>
      <w:r>
        <w:rPr>
          <w:spacing w:val="-3"/>
          <w:sz w:val="24"/>
        </w:rPr>
        <w:t> </w:t>
      </w:r>
      <w:r>
        <w:rPr>
          <w:sz w:val="24"/>
        </w:rPr>
        <w:t>to</w:t>
      </w:r>
      <w:r>
        <w:rPr>
          <w:spacing w:val="-3"/>
          <w:sz w:val="24"/>
        </w:rPr>
        <w:t> </w:t>
      </w:r>
      <w:r>
        <w:rPr>
          <w:sz w:val="24"/>
        </w:rPr>
        <w:t>be</w:t>
      </w:r>
      <w:r>
        <w:rPr>
          <w:spacing w:val="-3"/>
          <w:sz w:val="24"/>
        </w:rPr>
        <w:t> </w:t>
      </w:r>
      <w:r>
        <w:rPr>
          <w:sz w:val="24"/>
        </w:rPr>
        <w:t>handed</w:t>
      </w:r>
      <w:r>
        <w:rPr>
          <w:spacing w:val="-3"/>
          <w:sz w:val="24"/>
        </w:rPr>
        <w:t> </w:t>
      </w:r>
      <w:r>
        <w:rPr>
          <w:sz w:val="24"/>
        </w:rPr>
        <w:t>over</w:t>
      </w:r>
      <w:r>
        <w:rPr>
          <w:spacing w:val="-3"/>
          <w:sz w:val="24"/>
        </w:rPr>
        <w:t> </w:t>
      </w:r>
      <w:r>
        <w:rPr>
          <w:sz w:val="24"/>
        </w:rPr>
        <w:t>(Regulation</w:t>
      </w:r>
      <w:r>
        <w:rPr>
          <w:spacing w:val="-3"/>
          <w:sz w:val="24"/>
        </w:rPr>
        <w:t> </w:t>
      </w:r>
      <w:r>
        <w:rPr>
          <w:sz w:val="24"/>
        </w:rPr>
        <w:t>No</w:t>
      </w:r>
      <w:r>
        <w:rPr>
          <w:spacing w:val="-3"/>
          <w:sz w:val="24"/>
        </w:rPr>
        <w:t> </w:t>
      </w:r>
      <w:r>
        <w:rPr>
          <w:spacing w:val="-5"/>
          <w:sz w:val="24"/>
        </w:rPr>
        <w:t>17)</w:t>
      </w:r>
    </w:p>
    <w:p>
      <w:pPr>
        <w:pStyle w:val="BodyText"/>
        <w:spacing w:before="119"/>
        <w:ind w:left="1858"/>
        <w:jc w:val="left"/>
      </w:pPr>
      <w:r>
        <w:rPr/>
        <w:t>(ii)</w:t>
      </w:r>
      <w:r>
        <w:rPr>
          <w:spacing w:val="-3"/>
        </w:rPr>
        <w:t> </w:t>
      </w:r>
      <w:r>
        <w:rPr/>
        <w:t>Reservation</w:t>
      </w:r>
      <w:r>
        <w:rPr>
          <w:spacing w:val="-3"/>
        </w:rPr>
        <w:t> </w:t>
      </w:r>
      <w:r>
        <w:rPr/>
        <w:t>area</w:t>
      </w:r>
      <w:r>
        <w:rPr>
          <w:spacing w:val="-2"/>
        </w:rPr>
        <w:t> </w:t>
      </w:r>
      <w:r>
        <w:rPr/>
        <w:t>to</w:t>
      </w:r>
      <w:r>
        <w:rPr>
          <w:spacing w:val="-3"/>
        </w:rPr>
        <w:t> </w:t>
      </w:r>
      <w:r>
        <w:rPr/>
        <w:t>be</w:t>
      </w:r>
      <w:r>
        <w:rPr>
          <w:spacing w:val="-2"/>
        </w:rPr>
        <w:t> </w:t>
      </w:r>
      <w:r>
        <w:rPr/>
        <w:t>handed</w:t>
      </w:r>
      <w:r>
        <w:rPr>
          <w:spacing w:val="-3"/>
        </w:rPr>
        <w:t> </w:t>
      </w:r>
      <w:r>
        <w:rPr/>
        <w:t>over</w:t>
      </w:r>
      <w:r>
        <w:rPr>
          <w:spacing w:val="-3"/>
        </w:rPr>
        <w:t> </w:t>
      </w:r>
      <w:r>
        <w:rPr/>
        <w:t>as</w:t>
      </w:r>
      <w:r>
        <w:rPr>
          <w:spacing w:val="-2"/>
        </w:rPr>
        <w:t> </w:t>
      </w:r>
      <w:r>
        <w:rPr/>
        <w:t>per</w:t>
      </w:r>
      <w:r>
        <w:rPr>
          <w:spacing w:val="-3"/>
        </w:rPr>
        <w:t> </w:t>
      </w:r>
      <w:r>
        <w:rPr/>
        <w:t>AR</w:t>
      </w:r>
      <w:r>
        <w:rPr>
          <w:spacing w:val="-2"/>
        </w:rPr>
        <w:t> </w:t>
      </w:r>
      <w:r>
        <w:rPr/>
        <w:t>(Regulation</w:t>
      </w:r>
      <w:r>
        <w:rPr>
          <w:spacing w:val="-3"/>
        </w:rPr>
        <w:t> </w:t>
      </w:r>
      <w:r>
        <w:rPr/>
        <w:t>No</w:t>
      </w:r>
      <w:r>
        <w:rPr>
          <w:spacing w:val="-2"/>
        </w:rPr>
        <w:t> </w:t>
      </w:r>
      <w:r>
        <w:rPr>
          <w:spacing w:val="-5"/>
        </w:rPr>
        <w:t>17)</w:t>
      </w:r>
    </w:p>
    <w:p>
      <w:pPr>
        <w:pStyle w:val="BodyText"/>
        <w:spacing w:before="119"/>
        <w:ind w:left="1498"/>
        <w:jc w:val="left"/>
      </w:pPr>
      <w:r>
        <w:rPr/>
        <w:t>(B) For Amenity </w:t>
      </w:r>
      <w:r>
        <w:rPr>
          <w:spacing w:val="-4"/>
        </w:rPr>
        <w:t>area</w:t>
      </w:r>
    </w:p>
    <w:p>
      <w:pPr>
        <w:pStyle w:val="ListParagraph"/>
        <w:numPr>
          <w:ilvl w:val="0"/>
          <w:numId w:val="373"/>
        </w:numPr>
        <w:tabs>
          <w:tab w:pos="2281" w:val="left" w:leader="none"/>
        </w:tabs>
        <w:spacing w:line="240" w:lineRule="auto" w:before="122" w:after="0"/>
        <w:ind w:left="2281" w:right="0" w:hanging="359"/>
        <w:jc w:val="left"/>
        <w:rPr>
          <w:sz w:val="24"/>
        </w:rPr>
      </w:pPr>
      <w:r>
        <w:rPr>
          <w:sz w:val="24"/>
        </w:rPr>
        <w:t>Area</w:t>
      </w:r>
      <w:r>
        <w:rPr>
          <w:spacing w:val="-1"/>
          <w:sz w:val="24"/>
        </w:rPr>
        <w:t> </w:t>
      </w:r>
      <w:r>
        <w:rPr>
          <w:sz w:val="24"/>
        </w:rPr>
        <w:t>of</w:t>
      </w:r>
      <w:r>
        <w:rPr>
          <w:spacing w:val="-1"/>
          <w:sz w:val="24"/>
        </w:rPr>
        <w:t> </w:t>
      </w:r>
      <w:r>
        <w:rPr>
          <w:sz w:val="24"/>
        </w:rPr>
        <w:t>amenity</w:t>
      </w:r>
      <w:r>
        <w:rPr>
          <w:spacing w:val="-1"/>
          <w:sz w:val="24"/>
        </w:rPr>
        <w:t> </w:t>
      </w:r>
      <w:r>
        <w:rPr>
          <w:sz w:val="24"/>
        </w:rPr>
        <w:t>plot/plots</w:t>
      </w:r>
      <w:r>
        <w:rPr>
          <w:spacing w:val="-1"/>
          <w:sz w:val="24"/>
        </w:rPr>
        <w:t> </w:t>
      </w:r>
      <w:r>
        <w:rPr>
          <w:sz w:val="24"/>
        </w:rPr>
        <w:t>to</w:t>
      </w:r>
      <w:r>
        <w:rPr>
          <w:spacing w:val="-1"/>
          <w:sz w:val="24"/>
        </w:rPr>
        <w:t> </w:t>
      </w:r>
      <w:r>
        <w:rPr>
          <w:sz w:val="24"/>
        </w:rPr>
        <w:t>be</w:t>
      </w:r>
      <w:r>
        <w:rPr>
          <w:spacing w:val="-1"/>
          <w:sz w:val="24"/>
        </w:rPr>
        <w:t> </w:t>
      </w:r>
      <w:r>
        <w:rPr>
          <w:sz w:val="24"/>
        </w:rPr>
        <w:t>handed</w:t>
      </w:r>
      <w:r>
        <w:rPr>
          <w:spacing w:val="-1"/>
          <w:sz w:val="24"/>
        </w:rPr>
        <w:t> </w:t>
      </w:r>
      <w:r>
        <w:rPr>
          <w:sz w:val="24"/>
        </w:rPr>
        <w:t>over</w:t>
      </w:r>
      <w:r>
        <w:rPr>
          <w:spacing w:val="-1"/>
          <w:sz w:val="24"/>
        </w:rPr>
        <w:t> </w:t>
      </w:r>
      <w:r>
        <w:rPr>
          <w:sz w:val="24"/>
        </w:rPr>
        <w:t>as</w:t>
      </w:r>
      <w:r>
        <w:rPr>
          <w:spacing w:val="-1"/>
          <w:sz w:val="24"/>
        </w:rPr>
        <w:t> </w:t>
      </w:r>
      <w:r>
        <w:rPr>
          <w:sz w:val="24"/>
        </w:rPr>
        <w:t>per</w:t>
      </w:r>
      <w:r>
        <w:rPr>
          <w:spacing w:val="-1"/>
          <w:sz w:val="24"/>
        </w:rPr>
        <w:t> </w:t>
      </w:r>
      <w:r>
        <w:rPr>
          <w:sz w:val="24"/>
        </w:rPr>
        <w:t>DCR</w:t>
      </w:r>
      <w:r>
        <w:rPr>
          <w:spacing w:val="-1"/>
          <w:sz w:val="24"/>
        </w:rPr>
        <w:t> </w:t>
      </w:r>
      <w:r>
        <w:rPr>
          <w:spacing w:val="-2"/>
          <w:sz w:val="24"/>
        </w:rPr>
        <w:t>14(A)</w:t>
      </w:r>
    </w:p>
    <w:p>
      <w:pPr>
        <w:pStyle w:val="ListParagraph"/>
        <w:numPr>
          <w:ilvl w:val="0"/>
          <w:numId w:val="373"/>
        </w:numPr>
        <w:tabs>
          <w:tab w:pos="2291" w:val="left" w:leader="none"/>
        </w:tabs>
        <w:spacing w:line="343" w:lineRule="auto" w:before="118" w:after="0"/>
        <w:ind w:left="1858" w:right="1528" w:firstLine="64"/>
        <w:jc w:val="left"/>
        <w:rPr>
          <w:sz w:val="24"/>
        </w:rPr>
      </w:pPr>
      <w:r>
        <w:rPr>
          <w:sz w:val="24"/>
        </w:rPr>
        <w:t>Area</w:t>
      </w:r>
      <w:r>
        <w:rPr>
          <w:spacing w:val="-3"/>
          <w:sz w:val="24"/>
        </w:rPr>
        <w:t> </w:t>
      </w:r>
      <w:r>
        <w:rPr>
          <w:sz w:val="24"/>
        </w:rPr>
        <w:t>of</w:t>
      </w:r>
      <w:r>
        <w:rPr>
          <w:spacing w:val="-3"/>
          <w:sz w:val="24"/>
        </w:rPr>
        <w:t> </w:t>
      </w:r>
      <w:r>
        <w:rPr>
          <w:sz w:val="24"/>
        </w:rPr>
        <w:t>amenity</w:t>
      </w:r>
      <w:r>
        <w:rPr>
          <w:spacing w:val="-3"/>
          <w:sz w:val="24"/>
        </w:rPr>
        <w:t> </w:t>
      </w:r>
      <w:r>
        <w:rPr>
          <w:sz w:val="24"/>
        </w:rPr>
        <w:t>plot/plots</w:t>
      </w:r>
      <w:r>
        <w:rPr>
          <w:spacing w:val="-3"/>
          <w:sz w:val="24"/>
        </w:rPr>
        <w:t> </w:t>
      </w:r>
      <w:r>
        <w:rPr>
          <w:sz w:val="24"/>
        </w:rPr>
        <w:t>to</w:t>
      </w:r>
      <w:r>
        <w:rPr>
          <w:spacing w:val="-3"/>
          <w:sz w:val="24"/>
        </w:rPr>
        <w:t> </w:t>
      </w:r>
      <w:r>
        <w:rPr>
          <w:sz w:val="24"/>
        </w:rPr>
        <w:t>be</w:t>
      </w:r>
      <w:r>
        <w:rPr>
          <w:spacing w:val="-3"/>
          <w:sz w:val="24"/>
        </w:rPr>
        <w:t> </w:t>
      </w:r>
      <w:r>
        <w:rPr>
          <w:sz w:val="24"/>
        </w:rPr>
        <w:t>handed</w:t>
      </w:r>
      <w:r>
        <w:rPr>
          <w:spacing w:val="-3"/>
          <w:sz w:val="24"/>
        </w:rPr>
        <w:t> </w:t>
      </w:r>
      <w:r>
        <w:rPr>
          <w:sz w:val="24"/>
        </w:rPr>
        <w:t>over</w:t>
      </w:r>
      <w:r>
        <w:rPr>
          <w:spacing w:val="-3"/>
          <w:sz w:val="24"/>
        </w:rPr>
        <w:t> </w:t>
      </w:r>
      <w:r>
        <w:rPr>
          <w:sz w:val="24"/>
        </w:rPr>
        <w:t>as</w:t>
      </w:r>
      <w:r>
        <w:rPr>
          <w:spacing w:val="-3"/>
          <w:sz w:val="24"/>
        </w:rPr>
        <w:t> </w:t>
      </w:r>
      <w:r>
        <w:rPr>
          <w:sz w:val="24"/>
        </w:rPr>
        <w:t>per</w:t>
      </w:r>
      <w:r>
        <w:rPr>
          <w:spacing w:val="-3"/>
          <w:sz w:val="24"/>
        </w:rPr>
        <w:t> </w:t>
      </w:r>
      <w:r>
        <w:rPr>
          <w:sz w:val="24"/>
        </w:rPr>
        <w:t>DCR</w:t>
      </w:r>
      <w:r>
        <w:rPr>
          <w:spacing w:val="-3"/>
          <w:sz w:val="24"/>
        </w:rPr>
        <w:t> </w:t>
      </w:r>
      <w:r>
        <w:rPr>
          <w:sz w:val="24"/>
        </w:rPr>
        <w:t>14(B) </w:t>
      </w:r>
      <w:r>
        <w:rPr>
          <w:spacing w:val="-10"/>
          <w:sz w:val="24"/>
        </w:rPr>
        <w:t>(</w:t>
      </w:r>
    </w:p>
    <w:p>
      <w:pPr>
        <w:pStyle w:val="ListParagraph"/>
        <w:numPr>
          <w:ilvl w:val="0"/>
          <w:numId w:val="373"/>
        </w:numPr>
        <w:tabs>
          <w:tab w:pos="2271" w:val="left" w:leader="none"/>
        </w:tabs>
        <w:spacing w:line="240" w:lineRule="auto" w:before="0" w:after="0"/>
        <w:ind w:left="2271" w:right="0" w:hanging="337"/>
        <w:jc w:val="left"/>
        <w:rPr>
          <w:sz w:val="24"/>
        </w:rPr>
      </w:pPr>
      <w:r>
        <w:rPr>
          <w:sz w:val="24"/>
        </w:rPr>
        <w:t>Area</w:t>
      </w:r>
      <w:r>
        <w:rPr>
          <w:spacing w:val="-12"/>
          <w:sz w:val="24"/>
        </w:rPr>
        <w:t> </w:t>
      </w:r>
      <w:r>
        <w:rPr>
          <w:sz w:val="24"/>
        </w:rPr>
        <w:t>of</w:t>
      </w:r>
      <w:r>
        <w:rPr>
          <w:spacing w:val="-9"/>
          <w:sz w:val="24"/>
        </w:rPr>
        <w:t> </w:t>
      </w:r>
      <w:r>
        <w:rPr>
          <w:sz w:val="24"/>
        </w:rPr>
        <w:t>amenity</w:t>
      </w:r>
      <w:r>
        <w:rPr>
          <w:spacing w:val="-9"/>
          <w:sz w:val="24"/>
        </w:rPr>
        <w:t> </w:t>
      </w:r>
      <w:r>
        <w:rPr>
          <w:sz w:val="24"/>
        </w:rPr>
        <w:t>plot/plots</w:t>
      </w:r>
      <w:r>
        <w:rPr>
          <w:spacing w:val="-9"/>
          <w:sz w:val="24"/>
        </w:rPr>
        <w:t> </w:t>
      </w:r>
      <w:r>
        <w:rPr>
          <w:sz w:val="24"/>
        </w:rPr>
        <w:t>to</w:t>
      </w:r>
      <w:r>
        <w:rPr>
          <w:spacing w:val="-9"/>
          <w:sz w:val="24"/>
        </w:rPr>
        <w:t> </w:t>
      </w:r>
      <w:r>
        <w:rPr>
          <w:sz w:val="24"/>
        </w:rPr>
        <w:t>be</w:t>
      </w:r>
      <w:r>
        <w:rPr>
          <w:spacing w:val="-9"/>
          <w:sz w:val="24"/>
        </w:rPr>
        <w:t> </w:t>
      </w:r>
      <w:r>
        <w:rPr>
          <w:sz w:val="24"/>
        </w:rPr>
        <w:t>handed</w:t>
      </w:r>
      <w:r>
        <w:rPr>
          <w:spacing w:val="-9"/>
          <w:sz w:val="24"/>
        </w:rPr>
        <w:t> </w:t>
      </w:r>
      <w:r>
        <w:rPr>
          <w:sz w:val="24"/>
        </w:rPr>
        <w:t>over</w:t>
      </w:r>
      <w:r>
        <w:rPr>
          <w:spacing w:val="-9"/>
          <w:sz w:val="24"/>
        </w:rPr>
        <w:t> </w:t>
      </w:r>
      <w:r>
        <w:rPr>
          <w:sz w:val="24"/>
        </w:rPr>
        <w:t>as</w:t>
      </w:r>
      <w:r>
        <w:rPr>
          <w:spacing w:val="-9"/>
          <w:sz w:val="24"/>
        </w:rPr>
        <w:t> </w:t>
      </w:r>
      <w:r>
        <w:rPr>
          <w:sz w:val="24"/>
        </w:rPr>
        <w:t>per</w:t>
      </w:r>
      <w:r>
        <w:rPr>
          <w:spacing w:val="-9"/>
          <w:sz w:val="24"/>
        </w:rPr>
        <w:t> </w:t>
      </w:r>
      <w:r>
        <w:rPr>
          <w:sz w:val="24"/>
        </w:rPr>
        <w:t>DCR</w:t>
      </w:r>
      <w:r>
        <w:rPr>
          <w:spacing w:val="-11"/>
          <w:sz w:val="24"/>
        </w:rPr>
        <w:t> </w:t>
      </w:r>
      <w:r>
        <w:rPr>
          <w:spacing w:val="-2"/>
          <w:sz w:val="24"/>
        </w:rPr>
        <w:t>35(abeyance)</w:t>
      </w:r>
    </w:p>
    <w:p>
      <w:pPr>
        <w:pStyle w:val="BodyText"/>
        <w:spacing w:before="119"/>
        <w:ind w:left="1498" w:right="838"/>
        <w:jc w:val="left"/>
      </w:pPr>
      <w:r>
        <w:rPr/>
        <w:t>(C)Deductions for Existing Built up area to be retained if any/ Land component</w:t>
      </w:r>
      <w:r>
        <w:rPr>
          <w:spacing w:val="-4"/>
        </w:rPr>
        <w:t> </w:t>
      </w:r>
      <w:r>
        <w:rPr/>
        <w:t>of</w:t>
      </w:r>
      <w:r>
        <w:rPr>
          <w:spacing w:val="-4"/>
        </w:rPr>
        <w:t> </w:t>
      </w:r>
      <w:r>
        <w:rPr/>
        <w:t>Existing</w:t>
      </w:r>
      <w:r>
        <w:rPr>
          <w:spacing w:val="-4"/>
        </w:rPr>
        <w:t> </w:t>
      </w:r>
      <w:r>
        <w:rPr/>
        <w:t>BUA</w:t>
      </w:r>
      <w:r>
        <w:rPr>
          <w:spacing w:val="-4"/>
        </w:rPr>
        <w:t> </w:t>
      </w:r>
      <w:r>
        <w:rPr/>
        <w:t>/</w:t>
      </w:r>
      <w:r>
        <w:rPr>
          <w:spacing w:val="-4"/>
        </w:rPr>
        <w:t> </w:t>
      </w:r>
      <w:r>
        <w:rPr/>
        <w:t>Existing</w:t>
      </w:r>
      <w:r>
        <w:rPr>
          <w:spacing w:val="-4"/>
        </w:rPr>
        <w:t> </w:t>
      </w:r>
      <w:r>
        <w:rPr/>
        <w:t>BUA</w:t>
      </w:r>
      <w:r>
        <w:rPr>
          <w:spacing w:val="-4"/>
        </w:rPr>
        <w:t> </w:t>
      </w:r>
      <w:r>
        <w:rPr/>
        <w:t>as</w:t>
      </w:r>
      <w:r>
        <w:rPr>
          <w:spacing w:val="-4"/>
        </w:rPr>
        <w:t> </w:t>
      </w:r>
      <w:r>
        <w:rPr/>
        <w:t>per</w:t>
      </w:r>
      <w:r>
        <w:rPr>
          <w:spacing w:val="-4"/>
        </w:rPr>
        <w:t> </w:t>
      </w:r>
      <w:r>
        <w:rPr/>
        <w:t>Regulation</w:t>
      </w:r>
      <w:r>
        <w:rPr>
          <w:spacing w:val="-4"/>
        </w:rPr>
        <w:t> </w:t>
      </w:r>
      <w:r>
        <w:rPr/>
        <w:t>under</w:t>
      </w:r>
      <w:r>
        <w:rPr>
          <w:spacing w:val="-4"/>
        </w:rPr>
        <w:t> </w:t>
      </w:r>
      <w:r>
        <w:rPr/>
        <w:t>which the development was allowed.</w:t>
      </w:r>
    </w:p>
    <w:p>
      <w:pPr>
        <w:pStyle w:val="ListParagraph"/>
        <w:numPr>
          <w:ilvl w:val="0"/>
          <w:numId w:val="371"/>
        </w:numPr>
        <w:tabs>
          <w:tab w:pos="1613" w:val="left" w:leader="none"/>
        </w:tabs>
        <w:spacing w:line="281" w:lineRule="exact" w:before="0" w:after="0"/>
        <w:ind w:left="1613" w:right="0" w:hanging="430"/>
        <w:jc w:val="left"/>
        <w:rPr>
          <w:sz w:val="22"/>
        </w:rPr>
      </w:pPr>
      <w:r>
        <w:rPr>
          <w:sz w:val="22"/>
        </w:rPr>
        <w:t>(Total</w:t>
      </w:r>
      <w:r>
        <w:rPr>
          <w:spacing w:val="-4"/>
          <w:sz w:val="22"/>
        </w:rPr>
        <w:t> </w:t>
      </w:r>
      <w:r>
        <w:rPr>
          <w:sz w:val="22"/>
        </w:rPr>
        <w:t>deductions:</w:t>
      </w:r>
      <w:r>
        <w:rPr>
          <w:spacing w:val="-5"/>
          <w:sz w:val="22"/>
        </w:rPr>
        <w:t> </w:t>
      </w:r>
      <w:r>
        <w:rPr>
          <w:sz w:val="22"/>
        </w:rPr>
        <w:t>[</w:t>
      </w:r>
      <w:r>
        <w:rPr>
          <w:spacing w:val="-2"/>
          <w:sz w:val="22"/>
        </w:rPr>
        <w:t> </w:t>
      </w:r>
      <w:r>
        <w:rPr>
          <w:sz w:val="22"/>
        </w:rPr>
        <w:t>2(A)</w:t>
      </w:r>
      <w:r>
        <w:rPr>
          <w:spacing w:val="-3"/>
          <w:sz w:val="22"/>
        </w:rPr>
        <w:t> </w:t>
      </w:r>
      <w:r>
        <w:rPr>
          <w:sz w:val="22"/>
        </w:rPr>
        <w:t>+2(B)</w:t>
      </w:r>
      <w:r>
        <w:rPr>
          <w:spacing w:val="-4"/>
          <w:sz w:val="22"/>
        </w:rPr>
        <w:t> </w:t>
      </w:r>
      <w:r>
        <w:rPr>
          <w:sz w:val="22"/>
        </w:rPr>
        <w:t>+2(C)</w:t>
      </w:r>
      <w:r>
        <w:rPr>
          <w:spacing w:val="-3"/>
          <w:sz w:val="22"/>
        </w:rPr>
        <w:t> </w:t>
      </w:r>
      <w:r>
        <w:rPr>
          <w:sz w:val="24"/>
        </w:rPr>
        <w:t>as</w:t>
      </w:r>
      <w:r>
        <w:rPr>
          <w:spacing w:val="-3"/>
          <w:sz w:val="24"/>
        </w:rPr>
        <w:t> </w:t>
      </w:r>
      <w:r>
        <w:rPr>
          <w:sz w:val="24"/>
        </w:rPr>
        <w:t>and</w:t>
      </w:r>
      <w:r>
        <w:rPr>
          <w:spacing w:val="-6"/>
          <w:sz w:val="24"/>
        </w:rPr>
        <w:t> </w:t>
      </w:r>
      <w:r>
        <w:rPr>
          <w:sz w:val="24"/>
        </w:rPr>
        <w:t>when</w:t>
      </w:r>
      <w:r>
        <w:rPr>
          <w:spacing w:val="-2"/>
          <w:sz w:val="24"/>
        </w:rPr>
        <w:t> applicable.]</w:t>
      </w:r>
    </w:p>
    <w:p>
      <w:pPr>
        <w:pStyle w:val="ListParagraph"/>
        <w:numPr>
          <w:ilvl w:val="0"/>
          <w:numId w:val="371"/>
        </w:numPr>
        <w:tabs>
          <w:tab w:pos="1543" w:val="left" w:leader="none"/>
        </w:tabs>
        <w:spacing w:line="240" w:lineRule="auto" w:before="42" w:after="0"/>
        <w:ind w:left="1543" w:right="0" w:hanging="405"/>
        <w:jc w:val="left"/>
        <w:rPr>
          <w:sz w:val="24"/>
        </w:rPr>
      </w:pPr>
      <w:r>
        <w:rPr>
          <w:sz w:val="24"/>
        </w:rPr>
        <w:t>Balance</w:t>
      </w:r>
      <w:r>
        <w:rPr>
          <w:spacing w:val="-1"/>
          <w:sz w:val="24"/>
        </w:rPr>
        <w:t> </w:t>
      </w:r>
      <w:r>
        <w:rPr>
          <w:sz w:val="24"/>
        </w:rPr>
        <w:t>area</w:t>
      </w:r>
      <w:r>
        <w:rPr>
          <w:spacing w:val="-1"/>
          <w:sz w:val="24"/>
        </w:rPr>
        <w:t> </w:t>
      </w:r>
      <w:r>
        <w:rPr>
          <w:sz w:val="24"/>
        </w:rPr>
        <w:t>of plot</w:t>
      </w:r>
      <w:r>
        <w:rPr>
          <w:spacing w:val="-1"/>
          <w:sz w:val="24"/>
        </w:rPr>
        <w:t> </w:t>
      </w:r>
      <w:r>
        <w:rPr>
          <w:sz w:val="24"/>
        </w:rPr>
        <w:t>(1</w:t>
      </w:r>
      <w:r>
        <w:rPr>
          <w:spacing w:val="-1"/>
          <w:sz w:val="24"/>
        </w:rPr>
        <w:t> </w:t>
      </w:r>
      <w:r>
        <w:rPr>
          <w:sz w:val="24"/>
        </w:rPr>
        <w:t>minus </w:t>
      </w:r>
      <w:r>
        <w:rPr>
          <w:spacing w:val="-5"/>
          <w:sz w:val="24"/>
        </w:rPr>
        <w:t>3)</w:t>
      </w:r>
    </w:p>
    <w:p>
      <w:pPr>
        <w:pStyle w:val="ListParagraph"/>
        <w:numPr>
          <w:ilvl w:val="0"/>
          <w:numId w:val="371"/>
        </w:numPr>
        <w:tabs>
          <w:tab w:pos="1543" w:val="left" w:leader="none"/>
          <w:tab w:pos="1613" w:val="left" w:leader="none"/>
        </w:tabs>
        <w:spacing w:line="240" w:lineRule="auto" w:before="121" w:after="0"/>
        <w:ind w:left="1543" w:right="722" w:hanging="406"/>
        <w:jc w:val="left"/>
        <w:rPr>
          <w:sz w:val="24"/>
        </w:rPr>
      </w:pPr>
      <w:r>
        <w:rPr>
          <w:sz w:val="24"/>
        </w:rPr>
        <w:tab/>
      </w:r>
      <w:r>
        <w:rPr>
          <w:sz w:val="22"/>
        </w:rPr>
        <w:t>Plot</w:t>
      </w:r>
      <w:r>
        <w:rPr>
          <w:spacing w:val="78"/>
          <w:sz w:val="22"/>
        </w:rPr>
        <w:t> </w:t>
      </w:r>
      <w:r>
        <w:rPr>
          <w:sz w:val="22"/>
        </w:rPr>
        <w:t>area</w:t>
      </w:r>
      <w:r>
        <w:rPr>
          <w:spacing w:val="77"/>
          <w:sz w:val="22"/>
        </w:rPr>
        <w:t> </w:t>
      </w:r>
      <w:r>
        <w:rPr>
          <w:sz w:val="22"/>
        </w:rPr>
        <w:t>under</w:t>
      </w:r>
      <w:r>
        <w:rPr>
          <w:spacing w:val="76"/>
          <w:sz w:val="22"/>
        </w:rPr>
        <w:t> </w:t>
      </w:r>
      <w:r>
        <w:rPr>
          <w:sz w:val="22"/>
        </w:rPr>
        <w:t>Development</w:t>
      </w:r>
      <w:r>
        <w:rPr>
          <w:spacing w:val="79"/>
          <w:sz w:val="22"/>
        </w:rPr>
        <w:t> </w:t>
      </w:r>
      <w:r>
        <w:rPr>
          <w:sz w:val="22"/>
        </w:rPr>
        <w:t>after</w:t>
      </w:r>
      <w:r>
        <w:rPr>
          <w:spacing w:val="77"/>
          <w:sz w:val="22"/>
        </w:rPr>
        <w:t> </w:t>
      </w:r>
      <w:r>
        <w:rPr>
          <w:sz w:val="22"/>
        </w:rPr>
        <w:t>areas</w:t>
      </w:r>
      <w:r>
        <w:rPr>
          <w:spacing w:val="76"/>
          <w:sz w:val="22"/>
        </w:rPr>
        <w:t> </w:t>
      </w:r>
      <w:r>
        <w:rPr>
          <w:sz w:val="22"/>
        </w:rPr>
        <w:t>to</w:t>
      </w:r>
      <w:r>
        <w:rPr>
          <w:spacing w:val="79"/>
          <w:sz w:val="22"/>
        </w:rPr>
        <w:t> </w:t>
      </w:r>
      <w:r>
        <w:rPr>
          <w:sz w:val="22"/>
        </w:rPr>
        <w:t>be</w:t>
      </w:r>
      <w:r>
        <w:rPr>
          <w:spacing w:val="80"/>
          <w:sz w:val="22"/>
        </w:rPr>
        <w:t> </w:t>
      </w:r>
      <w:r>
        <w:rPr>
          <w:sz w:val="24"/>
        </w:rPr>
        <w:t>handed</w:t>
      </w:r>
      <w:r>
        <w:rPr>
          <w:spacing w:val="80"/>
          <w:sz w:val="24"/>
        </w:rPr>
        <w:t> </w:t>
      </w:r>
      <w:r>
        <w:rPr>
          <w:sz w:val="24"/>
        </w:rPr>
        <w:t>over</w:t>
      </w:r>
      <w:r>
        <w:rPr>
          <w:spacing w:val="78"/>
          <w:sz w:val="24"/>
        </w:rPr>
        <w:t> </w:t>
      </w:r>
      <w:r>
        <w:rPr>
          <w:sz w:val="24"/>
        </w:rPr>
        <w:t>to</w:t>
      </w:r>
      <w:r>
        <w:rPr>
          <w:spacing w:val="80"/>
          <w:sz w:val="24"/>
        </w:rPr>
        <w:t> </w:t>
      </w:r>
      <w:r>
        <w:rPr>
          <w:sz w:val="24"/>
        </w:rPr>
        <w:t>MCGM</w:t>
      </w:r>
      <w:r>
        <w:rPr>
          <w:spacing w:val="80"/>
          <w:sz w:val="24"/>
        </w:rPr>
        <w:t> </w:t>
      </w:r>
      <w:r>
        <w:rPr>
          <w:sz w:val="24"/>
        </w:rPr>
        <w:t>/ Appropriate Authority as per Sr. No. 4 above.</w:t>
      </w:r>
    </w:p>
    <w:p>
      <w:pPr>
        <w:pStyle w:val="ListParagraph"/>
        <w:numPr>
          <w:ilvl w:val="0"/>
          <w:numId w:val="371"/>
        </w:numPr>
        <w:tabs>
          <w:tab w:pos="1543" w:val="left" w:leader="none"/>
        </w:tabs>
        <w:spacing w:line="240" w:lineRule="auto" w:before="122" w:after="0"/>
        <w:ind w:left="1543" w:right="0" w:hanging="405"/>
        <w:jc w:val="left"/>
        <w:rPr>
          <w:sz w:val="24"/>
        </w:rPr>
      </w:pPr>
      <w:r>
        <w:rPr>
          <w:sz w:val="24"/>
        </w:rPr>
        <w:t>Zonal</w:t>
      </w:r>
      <w:r>
        <w:rPr>
          <w:spacing w:val="-1"/>
          <w:sz w:val="24"/>
        </w:rPr>
        <w:t> </w:t>
      </w:r>
      <w:r>
        <w:rPr>
          <w:sz w:val="24"/>
        </w:rPr>
        <w:t>(basic)</w:t>
      </w:r>
      <w:r>
        <w:rPr>
          <w:spacing w:val="-1"/>
          <w:sz w:val="24"/>
        </w:rPr>
        <w:t> </w:t>
      </w:r>
      <w:r>
        <w:rPr>
          <w:sz w:val="24"/>
        </w:rPr>
        <w:t>FSI</w:t>
      </w:r>
      <w:r>
        <w:rPr>
          <w:spacing w:val="1"/>
          <w:sz w:val="24"/>
        </w:rPr>
        <w:t> </w:t>
      </w:r>
      <w:r>
        <w:rPr>
          <w:sz w:val="24"/>
        </w:rPr>
        <w:t>(0.50</w:t>
      </w:r>
      <w:r>
        <w:rPr>
          <w:spacing w:val="-1"/>
          <w:sz w:val="24"/>
        </w:rPr>
        <w:t> </w:t>
      </w:r>
      <w:r>
        <w:rPr>
          <w:sz w:val="24"/>
        </w:rPr>
        <w:t>or</w:t>
      </w:r>
      <w:r>
        <w:rPr>
          <w:spacing w:val="-1"/>
          <w:sz w:val="24"/>
        </w:rPr>
        <w:t> </w:t>
      </w:r>
      <w:r>
        <w:rPr>
          <w:sz w:val="24"/>
        </w:rPr>
        <w:t>0.75</w:t>
      </w:r>
      <w:r>
        <w:rPr>
          <w:spacing w:val="-1"/>
          <w:sz w:val="24"/>
        </w:rPr>
        <w:t> </w:t>
      </w:r>
      <w:r>
        <w:rPr>
          <w:sz w:val="24"/>
        </w:rPr>
        <w:t>or</w:t>
      </w:r>
      <w:r>
        <w:rPr>
          <w:spacing w:val="-1"/>
          <w:sz w:val="24"/>
        </w:rPr>
        <w:t> </w:t>
      </w:r>
      <w:r>
        <w:rPr>
          <w:sz w:val="24"/>
        </w:rPr>
        <w:t>1</w:t>
      </w:r>
      <w:r>
        <w:rPr>
          <w:spacing w:val="-1"/>
          <w:sz w:val="24"/>
        </w:rPr>
        <w:t> </w:t>
      </w:r>
      <w:r>
        <w:rPr>
          <w:sz w:val="24"/>
        </w:rPr>
        <w:t>or </w:t>
      </w:r>
      <w:r>
        <w:rPr>
          <w:spacing w:val="-2"/>
          <w:sz w:val="24"/>
        </w:rPr>
        <w:t>1.33)</w:t>
      </w:r>
    </w:p>
    <w:p>
      <w:pPr>
        <w:pStyle w:val="ListParagraph"/>
        <w:numPr>
          <w:ilvl w:val="0"/>
          <w:numId w:val="371"/>
        </w:numPr>
        <w:tabs>
          <w:tab w:pos="1543" w:val="left" w:leader="none"/>
        </w:tabs>
        <w:spacing w:line="240" w:lineRule="auto" w:before="119" w:after="0"/>
        <w:ind w:left="1543" w:right="0" w:hanging="405"/>
        <w:jc w:val="left"/>
        <w:rPr>
          <w:sz w:val="24"/>
        </w:rPr>
      </w:pPr>
      <w:r>
        <w:rPr>
          <w:sz w:val="24"/>
        </w:rPr>
        <w:t>Permissible</w:t>
      </w:r>
      <w:r>
        <w:rPr>
          <w:spacing w:val="-1"/>
          <w:sz w:val="24"/>
        </w:rPr>
        <w:t> </w:t>
      </w:r>
      <w:r>
        <w:rPr>
          <w:sz w:val="24"/>
        </w:rPr>
        <w:t>Built up</w:t>
      </w:r>
      <w:r>
        <w:rPr>
          <w:spacing w:val="-1"/>
          <w:sz w:val="24"/>
        </w:rPr>
        <w:t> </w:t>
      </w:r>
      <w:r>
        <w:rPr>
          <w:sz w:val="24"/>
        </w:rPr>
        <w:t>Area as</w:t>
      </w:r>
      <w:r>
        <w:rPr>
          <w:spacing w:val="-1"/>
          <w:sz w:val="24"/>
        </w:rPr>
        <w:t> </w:t>
      </w:r>
      <w:r>
        <w:rPr>
          <w:sz w:val="24"/>
        </w:rPr>
        <w:t>per Zonal(basic)</w:t>
      </w:r>
      <w:r>
        <w:rPr>
          <w:spacing w:val="-1"/>
          <w:sz w:val="24"/>
        </w:rPr>
        <w:t> </w:t>
      </w:r>
      <w:r>
        <w:rPr>
          <w:sz w:val="24"/>
        </w:rPr>
        <w:t>FSI</w:t>
      </w:r>
      <w:r>
        <w:rPr>
          <w:spacing w:val="2"/>
          <w:sz w:val="24"/>
        </w:rPr>
        <w:t> </w:t>
      </w:r>
      <w:r>
        <w:rPr>
          <w:sz w:val="24"/>
        </w:rPr>
        <w:t>(5</w:t>
      </w:r>
      <w:r>
        <w:rPr>
          <w:spacing w:val="-1"/>
          <w:sz w:val="24"/>
        </w:rPr>
        <w:t> </w:t>
      </w:r>
      <w:r>
        <w:rPr>
          <w:sz w:val="24"/>
        </w:rPr>
        <w:t>* </w:t>
      </w:r>
      <w:r>
        <w:rPr>
          <w:spacing w:val="-5"/>
          <w:sz w:val="24"/>
        </w:rPr>
        <w:t>6)</w:t>
      </w:r>
    </w:p>
    <w:p>
      <w:pPr>
        <w:pStyle w:val="BodyText"/>
        <w:spacing w:before="119"/>
        <w:ind w:left="1498"/>
        <w:jc w:val="left"/>
      </w:pPr>
      <w:r>
        <w:rPr/>
        <w:t>(In</w:t>
      </w:r>
      <w:r>
        <w:rPr>
          <w:spacing w:val="-3"/>
        </w:rPr>
        <w:t> </w:t>
      </w:r>
      <w:r>
        <w:rPr/>
        <w:t>case</w:t>
      </w:r>
      <w:r>
        <w:rPr>
          <w:spacing w:val="-1"/>
        </w:rPr>
        <w:t> </w:t>
      </w:r>
      <w:r>
        <w:rPr/>
        <w:t>of Mill</w:t>
      </w:r>
      <w:r>
        <w:rPr>
          <w:spacing w:val="-1"/>
        </w:rPr>
        <w:t> </w:t>
      </w:r>
      <w:r>
        <w:rPr/>
        <w:t>land</w:t>
      </w:r>
      <w:r>
        <w:rPr>
          <w:spacing w:val="-4"/>
        </w:rPr>
        <w:t> </w:t>
      </w:r>
      <w:r>
        <w:rPr/>
        <w:t>Permissible Built</w:t>
      </w:r>
      <w:r>
        <w:rPr>
          <w:spacing w:val="-1"/>
        </w:rPr>
        <w:t> </w:t>
      </w:r>
      <w:r>
        <w:rPr/>
        <w:t>up Area BUA</w:t>
      </w:r>
      <w:r>
        <w:rPr>
          <w:spacing w:val="-1"/>
        </w:rPr>
        <w:t> </w:t>
      </w:r>
      <w:r>
        <w:rPr/>
        <w:t>kept in</w:t>
      </w:r>
      <w:r>
        <w:rPr>
          <w:spacing w:val="-1"/>
        </w:rPr>
        <w:t> </w:t>
      </w:r>
      <w:r>
        <w:rPr/>
        <w:t>abeyance </w:t>
      </w:r>
      <w:r>
        <w:rPr>
          <w:spacing w:val="-10"/>
        </w:rPr>
        <w:t>)</w:t>
      </w:r>
    </w:p>
    <w:p>
      <w:pPr>
        <w:pStyle w:val="ListParagraph"/>
        <w:numPr>
          <w:ilvl w:val="0"/>
          <w:numId w:val="371"/>
        </w:numPr>
        <w:tabs>
          <w:tab w:pos="1620" w:val="left" w:leader="none"/>
        </w:tabs>
        <w:spacing w:line="240" w:lineRule="auto" w:before="1" w:after="0"/>
        <w:ind w:left="1620" w:right="0" w:hanging="482"/>
        <w:jc w:val="left"/>
        <w:rPr>
          <w:sz w:val="24"/>
        </w:rPr>
      </w:pPr>
      <w:r>
        <w:rPr>
          <w:sz w:val="24"/>
        </w:rPr>
        <w:t>Built</w:t>
      </w:r>
      <w:r>
        <w:rPr>
          <w:spacing w:val="-2"/>
          <w:sz w:val="24"/>
        </w:rPr>
        <w:t> </w:t>
      </w:r>
      <w:r>
        <w:rPr>
          <w:sz w:val="24"/>
        </w:rPr>
        <w:t>up</w:t>
      </w:r>
      <w:r>
        <w:rPr>
          <w:spacing w:val="-3"/>
          <w:sz w:val="24"/>
        </w:rPr>
        <w:t> </w:t>
      </w:r>
      <w:r>
        <w:rPr>
          <w:sz w:val="24"/>
        </w:rPr>
        <w:t>area</w:t>
      </w:r>
      <w:r>
        <w:rPr>
          <w:spacing w:val="-2"/>
          <w:sz w:val="24"/>
        </w:rPr>
        <w:t> </w:t>
      </w:r>
      <w:r>
        <w:rPr>
          <w:sz w:val="24"/>
        </w:rPr>
        <w:t>equal</w:t>
      </w:r>
      <w:r>
        <w:rPr>
          <w:spacing w:val="-2"/>
          <w:sz w:val="24"/>
        </w:rPr>
        <w:t> </w:t>
      </w:r>
      <w:r>
        <w:rPr>
          <w:sz w:val="24"/>
        </w:rPr>
        <w:t>to</w:t>
      </w:r>
      <w:r>
        <w:rPr>
          <w:spacing w:val="-1"/>
          <w:sz w:val="24"/>
        </w:rPr>
        <w:t> </w:t>
      </w:r>
      <w:r>
        <w:rPr>
          <w:sz w:val="24"/>
        </w:rPr>
        <w:t>area</w:t>
      </w:r>
      <w:r>
        <w:rPr>
          <w:spacing w:val="-2"/>
          <w:sz w:val="24"/>
        </w:rPr>
        <w:t> </w:t>
      </w:r>
      <w:r>
        <w:rPr>
          <w:sz w:val="24"/>
        </w:rPr>
        <w:t>of</w:t>
      </w:r>
      <w:r>
        <w:rPr>
          <w:spacing w:val="-2"/>
          <w:sz w:val="24"/>
        </w:rPr>
        <w:t> </w:t>
      </w:r>
      <w:r>
        <w:rPr>
          <w:sz w:val="24"/>
        </w:rPr>
        <w:t>land</w:t>
      </w:r>
      <w:r>
        <w:rPr>
          <w:spacing w:val="-2"/>
          <w:sz w:val="24"/>
        </w:rPr>
        <w:t> </w:t>
      </w:r>
      <w:r>
        <w:rPr>
          <w:sz w:val="24"/>
        </w:rPr>
        <w:t>handed</w:t>
      </w:r>
      <w:r>
        <w:rPr>
          <w:spacing w:val="-2"/>
          <w:sz w:val="24"/>
        </w:rPr>
        <w:t> </w:t>
      </w:r>
      <w:r>
        <w:rPr>
          <w:sz w:val="24"/>
        </w:rPr>
        <w:t>over</w:t>
      </w:r>
      <w:r>
        <w:rPr>
          <w:spacing w:val="-1"/>
          <w:sz w:val="24"/>
        </w:rPr>
        <w:t> </w:t>
      </w:r>
      <w:r>
        <w:rPr>
          <w:sz w:val="24"/>
        </w:rPr>
        <w:t>as</w:t>
      </w:r>
      <w:r>
        <w:rPr>
          <w:spacing w:val="-2"/>
          <w:sz w:val="24"/>
        </w:rPr>
        <w:t> </w:t>
      </w:r>
      <w:r>
        <w:rPr>
          <w:sz w:val="24"/>
        </w:rPr>
        <w:t>per</w:t>
      </w:r>
      <w:r>
        <w:rPr>
          <w:spacing w:val="73"/>
          <w:sz w:val="24"/>
        </w:rPr>
        <w:t> </w:t>
      </w:r>
      <w:r>
        <w:rPr>
          <w:sz w:val="24"/>
        </w:rPr>
        <w:t>Regulation</w:t>
      </w:r>
      <w:r>
        <w:rPr>
          <w:spacing w:val="-2"/>
          <w:sz w:val="24"/>
        </w:rPr>
        <w:t> 30(A)</w:t>
      </w:r>
    </w:p>
    <w:p>
      <w:pPr>
        <w:pStyle w:val="ListParagraph"/>
        <w:numPr>
          <w:ilvl w:val="0"/>
          <w:numId w:val="371"/>
        </w:numPr>
        <w:tabs>
          <w:tab w:pos="1543" w:val="left" w:leader="none"/>
        </w:tabs>
        <w:spacing w:line="240" w:lineRule="auto" w:before="119" w:after="0"/>
        <w:ind w:left="1543" w:right="721" w:hanging="406"/>
        <w:jc w:val="left"/>
        <w:rPr>
          <w:sz w:val="24"/>
        </w:rPr>
      </w:pPr>
      <w:r>
        <w:rPr>
          <w:sz w:val="24"/>
        </w:rPr>
        <w:t>Built</w:t>
      </w:r>
      <w:r>
        <w:rPr>
          <w:spacing w:val="-12"/>
          <w:sz w:val="24"/>
        </w:rPr>
        <w:t> </w:t>
      </w:r>
      <w:r>
        <w:rPr>
          <w:sz w:val="24"/>
        </w:rPr>
        <w:t>up</w:t>
      </w:r>
      <w:r>
        <w:rPr>
          <w:spacing w:val="-12"/>
          <w:sz w:val="24"/>
        </w:rPr>
        <w:t> </w:t>
      </w:r>
      <w:r>
        <w:rPr>
          <w:sz w:val="24"/>
        </w:rPr>
        <w:t>Area</w:t>
      </w:r>
      <w:r>
        <w:rPr>
          <w:spacing w:val="-12"/>
          <w:sz w:val="24"/>
        </w:rPr>
        <w:t> </w:t>
      </w:r>
      <w:r>
        <w:rPr>
          <w:sz w:val="24"/>
        </w:rPr>
        <w:t>In</w:t>
      </w:r>
      <w:r>
        <w:rPr>
          <w:spacing w:val="-14"/>
          <w:sz w:val="24"/>
        </w:rPr>
        <w:t> </w:t>
      </w:r>
      <w:r>
        <w:rPr>
          <w:sz w:val="24"/>
        </w:rPr>
        <w:t>lieu</w:t>
      </w:r>
      <w:r>
        <w:rPr>
          <w:spacing w:val="-14"/>
          <w:sz w:val="24"/>
        </w:rPr>
        <w:t> </w:t>
      </w:r>
      <w:r>
        <w:rPr>
          <w:sz w:val="24"/>
        </w:rPr>
        <w:t>of</w:t>
      </w:r>
      <w:r>
        <w:rPr>
          <w:spacing w:val="-11"/>
          <w:sz w:val="24"/>
        </w:rPr>
        <w:t> </w:t>
      </w:r>
      <w:r>
        <w:rPr>
          <w:sz w:val="24"/>
        </w:rPr>
        <w:t>Cost</w:t>
      </w:r>
      <w:r>
        <w:rPr>
          <w:spacing w:val="-12"/>
          <w:sz w:val="24"/>
        </w:rPr>
        <w:t> </w:t>
      </w:r>
      <w:r>
        <w:rPr>
          <w:sz w:val="24"/>
        </w:rPr>
        <w:t>of</w:t>
      </w:r>
      <w:r>
        <w:rPr>
          <w:spacing w:val="-12"/>
          <w:sz w:val="24"/>
        </w:rPr>
        <w:t> </w:t>
      </w:r>
      <w:r>
        <w:rPr>
          <w:sz w:val="24"/>
        </w:rPr>
        <w:t>construction</w:t>
      </w:r>
      <w:r>
        <w:rPr>
          <w:spacing w:val="-12"/>
          <w:sz w:val="24"/>
        </w:rPr>
        <w:t> </w:t>
      </w:r>
      <w:r>
        <w:rPr>
          <w:sz w:val="24"/>
        </w:rPr>
        <w:t>of</w:t>
      </w:r>
      <w:r>
        <w:rPr>
          <w:spacing w:val="-12"/>
          <w:sz w:val="24"/>
        </w:rPr>
        <w:t> </w:t>
      </w:r>
      <w:r>
        <w:rPr>
          <w:sz w:val="24"/>
        </w:rPr>
        <w:t>built</w:t>
      </w:r>
      <w:r>
        <w:rPr>
          <w:spacing w:val="-12"/>
          <w:sz w:val="24"/>
        </w:rPr>
        <w:t> </w:t>
      </w:r>
      <w:r>
        <w:rPr>
          <w:sz w:val="24"/>
        </w:rPr>
        <w:t>up</w:t>
      </w:r>
      <w:r>
        <w:rPr>
          <w:spacing w:val="-12"/>
          <w:sz w:val="24"/>
        </w:rPr>
        <w:t> </w:t>
      </w:r>
      <w:r>
        <w:rPr>
          <w:sz w:val="24"/>
        </w:rPr>
        <w:t>amenity</w:t>
      </w:r>
      <w:r>
        <w:rPr>
          <w:spacing w:val="-12"/>
          <w:sz w:val="24"/>
        </w:rPr>
        <w:t> </w:t>
      </w:r>
      <w:r>
        <w:rPr>
          <w:sz w:val="24"/>
        </w:rPr>
        <w:t>to</w:t>
      </w:r>
      <w:r>
        <w:rPr>
          <w:spacing w:val="-12"/>
          <w:sz w:val="24"/>
        </w:rPr>
        <w:t> </w:t>
      </w:r>
      <w:r>
        <w:rPr>
          <w:sz w:val="24"/>
        </w:rPr>
        <w:t>be</w:t>
      </w:r>
      <w:r>
        <w:rPr>
          <w:spacing w:val="-12"/>
          <w:sz w:val="24"/>
        </w:rPr>
        <w:t> </w:t>
      </w:r>
      <w:r>
        <w:rPr>
          <w:sz w:val="24"/>
        </w:rPr>
        <w:t>handed over</w:t>
      </w:r>
      <w:r>
        <w:rPr>
          <w:spacing w:val="40"/>
          <w:sz w:val="24"/>
        </w:rPr>
        <w:t> </w:t>
      </w:r>
      <w:r>
        <w:rPr>
          <w:sz w:val="24"/>
        </w:rPr>
        <w:t>(within the limit of permissible BUA on remaining plot)</w:t>
      </w:r>
    </w:p>
    <w:p>
      <w:pPr>
        <w:pStyle w:val="ListParagraph"/>
        <w:numPr>
          <w:ilvl w:val="0"/>
          <w:numId w:val="371"/>
        </w:numPr>
        <w:tabs>
          <w:tab w:pos="1543" w:val="left" w:leader="none"/>
        </w:tabs>
        <w:spacing w:line="240" w:lineRule="auto" w:before="121" w:after="0"/>
        <w:ind w:left="1543" w:right="722" w:hanging="406"/>
        <w:jc w:val="left"/>
        <w:rPr>
          <w:sz w:val="24"/>
        </w:rPr>
      </w:pPr>
      <w:r>
        <w:rPr>
          <w:sz w:val="24"/>
        </w:rPr>
        <w:t>Built up area due to “Additional FSI on Payment of Premium” as per Table No 12 of Regulation No 30(A) </w:t>
      </w:r>
      <w:r>
        <w:rPr>
          <w:sz w:val="22"/>
        </w:rPr>
        <w:t>) and 32 on </w:t>
      </w:r>
      <w:r>
        <w:rPr>
          <w:sz w:val="24"/>
        </w:rPr>
        <w:t>remaining / balance plot</w:t>
      </w:r>
    </w:p>
    <w:p>
      <w:pPr>
        <w:pStyle w:val="ListParagraph"/>
        <w:spacing w:after="0" w:line="240" w:lineRule="auto"/>
        <w:jc w:val="left"/>
        <w:rPr>
          <w:sz w:val="24"/>
        </w:rPr>
        <w:sectPr>
          <w:pgSz w:w="11910" w:h="16850"/>
          <w:pgMar w:header="1024" w:footer="1302" w:top="1480" w:bottom="1500" w:left="360" w:right="360"/>
        </w:sectPr>
      </w:pPr>
    </w:p>
    <w:p>
      <w:pPr>
        <w:pStyle w:val="BodyText"/>
        <w:spacing w:before="17"/>
        <w:jc w:val="left"/>
        <w:rPr>
          <w:sz w:val="22"/>
        </w:rPr>
      </w:pPr>
    </w:p>
    <w:p>
      <w:pPr>
        <w:pStyle w:val="ListParagraph"/>
        <w:numPr>
          <w:ilvl w:val="0"/>
          <w:numId w:val="371"/>
        </w:numPr>
        <w:tabs>
          <w:tab w:pos="1543" w:val="left" w:leader="none"/>
          <w:tab w:pos="2217" w:val="left" w:leader="none"/>
        </w:tabs>
        <w:spacing w:line="268" w:lineRule="auto" w:before="0" w:after="0"/>
        <w:ind w:left="1543" w:right="938" w:hanging="360"/>
        <w:jc w:val="left"/>
        <w:rPr>
          <w:sz w:val="24"/>
        </w:rPr>
      </w:pPr>
      <w:r>
        <w:rPr>
          <w:sz w:val="22"/>
        </w:rPr>
        <w:t>Built up area</w:t>
      </w:r>
      <w:r>
        <w:rPr>
          <w:spacing w:val="-1"/>
          <w:sz w:val="22"/>
        </w:rPr>
        <w:t> </w:t>
      </w:r>
      <w:r>
        <w:rPr>
          <w:sz w:val="22"/>
        </w:rPr>
        <w:t>due to admissible “TDR” as per</w:t>
      </w:r>
      <w:r>
        <w:rPr>
          <w:spacing w:val="-1"/>
          <w:sz w:val="22"/>
        </w:rPr>
        <w:t> </w:t>
      </w:r>
      <w:r>
        <w:rPr>
          <w:sz w:val="22"/>
        </w:rPr>
        <w:t>Table No 12</w:t>
      </w:r>
      <w:r>
        <w:rPr>
          <w:spacing w:val="-1"/>
          <w:sz w:val="22"/>
        </w:rPr>
        <w:t> </w:t>
      </w:r>
      <w:r>
        <w:rPr>
          <w:sz w:val="22"/>
        </w:rPr>
        <w:t>of</w:t>
      </w:r>
      <w:r>
        <w:rPr>
          <w:spacing w:val="-1"/>
          <w:sz w:val="22"/>
        </w:rPr>
        <w:t> </w:t>
      </w:r>
      <w:r>
        <w:rPr>
          <w:sz w:val="22"/>
        </w:rPr>
        <w:t>Regulation No 30(A) and 32 on </w:t>
      </w:r>
      <w:r>
        <w:rPr>
          <w:sz w:val="24"/>
        </w:rPr>
        <w:t>remaining / balance plot</w:t>
      </w:r>
    </w:p>
    <w:p>
      <w:pPr>
        <w:pStyle w:val="ListParagraph"/>
        <w:numPr>
          <w:ilvl w:val="0"/>
          <w:numId w:val="371"/>
        </w:numPr>
        <w:tabs>
          <w:tab w:pos="1543" w:val="left" w:leader="none"/>
        </w:tabs>
        <w:spacing w:line="240" w:lineRule="auto" w:before="10" w:after="0"/>
        <w:ind w:left="1543" w:right="0" w:hanging="405"/>
        <w:jc w:val="left"/>
        <w:rPr>
          <w:sz w:val="24"/>
        </w:rPr>
      </w:pPr>
      <w:r>
        <w:rPr>
          <w:sz w:val="22"/>
        </w:rPr>
        <w:t>Permissible</w:t>
      </w:r>
      <w:r>
        <w:rPr>
          <w:spacing w:val="-3"/>
          <w:sz w:val="22"/>
        </w:rPr>
        <w:t> </w:t>
      </w:r>
      <w:r>
        <w:rPr>
          <w:sz w:val="22"/>
        </w:rPr>
        <w:t>Built</w:t>
      </w:r>
      <w:r>
        <w:rPr>
          <w:spacing w:val="-4"/>
          <w:sz w:val="22"/>
        </w:rPr>
        <w:t> </w:t>
      </w:r>
      <w:r>
        <w:rPr>
          <w:sz w:val="22"/>
        </w:rPr>
        <w:t>up</w:t>
      </w:r>
      <w:r>
        <w:rPr>
          <w:spacing w:val="-3"/>
          <w:sz w:val="22"/>
        </w:rPr>
        <w:t> </w:t>
      </w:r>
      <w:r>
        <w:rPr>
          <w:sz w:val="22"/>
        </w:rPr>
        <w:t>Area</w:t>
      </w:r>
      <w:r>
        <w:rPr>
          <w:spacing w:val="63"/>
          <w:sz w:val="22"/>
        </w:rPr>
        <w:t> </w:t>
      </w:r>
      <w:r>
        <w:rPr>
          <w:sz w:val="22"/>
        </w:rPr>
        <w:t>{as</w:t>
      </w:r>
      <w:r>
        <w:rPr>
          <w:spacing w:val="-3"/>
          <w:sz w:val="22"/>
        </w:rPr>
        <w:t> </w:t>
      </w:r>
      <w:r>
        <w:rPr>
          <w:sz w:val="22"/>
        </w:rPr>
        <w:t>the case</w:t>
      </w:r>
      <w:r>
        <w:rPr>
          <w:spacing w:val="-1"/>
          <w:sz w:val="22"/>
        </w:rPr>
        <w:t> </w:t>
      </w:r>
      <w:r>
        <w:rPr>
          <w:sz w:val="22"/>
        </w:rPr>
        <w:t>may</w:t>
      </w:r>
      <w:r>
        <w:rPr>
          <w:spacing w:val="-3"/>
          <w:sz w:val="22"/>
        </w:rPr>
        <w:t> </w:t>
      </w:r>
      <w:r>
        <w:rPr>
          <w:sz w:val="22"/>
        </w:rPr>
        <w:t>be </w:t>
      </w:r>
      <w:r>
        <w:rPr>
          <w:sz w:val="24"/>
        </w:rPr>
        <w:t>with</w:t>
      </w:r>
      <w:r>
        <w:rPr>
          <w:spacing w:val="-2"/>
          <w:sz w:val="24"/>
        </w:rPr>
        <w:t> </w:t>
      </w:r>
      <w:r>
        <w:rPr>
          <w:sz w:val="24"/>
        </w:rPr>
        <w:t>/without</w:t>
      </w:r>
      <w:r>
        <w:rPr>
          <w:spacing w:val="-2"/>
          <w:sz w:val="24"/>
        </w:rPr>
        <w:t> </w:t>
      </w:r>
      <w:r>
        <w:rPr>
          <w:sz w:val="24"/>
        </w:rPr>
        <w:t>BUA</w:t>
      </w:r>
      <w:r>
        <w:rPr>
          <w:spacing w:val="-2"/>
          <w:sz w:val="24"/>
        </w:rPr>
        <w:t> </w:t>
      </w:r>
      <w:r>
        <w:rPr>
          <w:sz w:val="24"/>
        </w:rPr>
        <w:t>as</w:t>
      </w:r>
      <w:r>
        <w:rPr>
          <w:spacing w:val="-2"/>
          <w:sz w:val="24"/>
        </w:rPr>
        <w:t> </w:t>
      </w:r>
      <w:r>
        <w:rPr>
          <w:sz w:val="24"/>
        </w:rPr>
        <w:t>per</w:t>
      </w:r>
      <w:r>
        <w:rPr>
          <w:spacing w:val="-2"/>
          <w:sz w:val="24"/>
        </w:rPr>
        <w:t> </w:t>
      </w:r>
      <w:r>
        <w:rPr>
          <w:sz w:val="24"/>
        </w:rPr>
        <w:t>2(</w:t>
      </w:r>
      <w:r>
        <w:rPr>
          <w:spacing w:val="-2"/>
          <w:sz w:val="24"/>
        </w:rPr>
        <w:t> </w:t>
      </w:r>
      <w:r>
        <w:rPr>
          <w:spacing w:val="-5"/>
          <w:sz w:val="24"/>
        </w:rPr>
        <w:t>c)}</w:t>
      </w:r>
    </w:p>
    <w:p>
      <w:pPr>
        <w:pStyle w:val="ListParagraph"/>
        <w:numPr>
          <w:ilvl w:val="0"/>
          <w:numId w:val="371"/>
        </w:numPr>
        <w:tabs>
          <w:tab w:pos="1543" w:val="left" w:leader="none"/>
        </w:tabs>
        <w:spacing w:line="240" w:lineRule="auto" w:before="119" w:after="0"/>
        <w:ind w:left="1543" w:right="0" w:hanging="405"/>
        <w:jc w:val="left"/>
        <w:rPr>
          <w:sz w:val="24"/>
        </w:rPr>
      </w:pPr>
      <w:r>
        <w:rPr>
          <w:sz w:val="24"/>
        </w:rPr>
        <w:t>Proposed</w:t>
      </w:r>
      <w:r>
        <w:rPr>
          <w:spacing w:val="-3"/>
          <w:sz w:val="24"/>
        </w:rPr>
        <w:t> </w:t>
      </w:r>
      <w:r>
        <w:rPr>
          <w:sz w:val="24"/>
        </w:rPr>
        <w:t>Built</w:t>
      </w:r>
      <w:r>
        <w:rPr>
          <w:spacing w:val="-2"/>
          <w:sz w:val="24"/>
        </w:rPr>
        <w:t> </w:t>
      </w:r>
      <w:r>
        <w:rPr>
          <w:sz w:val="24"/>
        </w:rPr>
        <w:t>Up</w:t>
      </w:r>
      <w:r>
        <w:rPr>
          <w:spacing w:val="-2"/>
          <w:sz w:val="24"/>
        </w:rPr>
        <w:t> </w:t>
      </w:r>
      <w:r>
        <w:rPr>
          <w:sz w:val="24"/>
        </w:rPr>
        <w:t>Area</w:t>
      </w:r>
      <w:r>
        <w:rPr>
          <w:sz w:val="22"/>
        </w:rPr>
        <w:t>{as</w:t>
      </w:r>
      <w:r>
        <w:rPr>
          <w:spacing w:val="-3"/>
          <w:sz w:val="22"/>
        </w:rPr>
        <w:t> </w:t>
      </w:r>
      <w:r>
        <w:rPr>
          <w:sz w:val="22"/>
        </w:rPr>
        <w:t>the case</w:t>
      </w:r>
      <w:r>
        <w:rPr>
          <w:spacing w:val="-1"/>
          <w:sz w:val="22"/>
        </w:rPr>
        <w:t> </w:t>
      </w:r>
      <w:r>
        <w:rPr>
          <w:sz w:val="22"/>
        </w:rPr>
        <w:t>may</w:t>
      </w:r>
      <w:r>
        <w:rPr>
          <w:spacing w:val="-3"/>
          <w:sz w:val="22"/>
        </w:rPr>
        <w:t> </w:t>
      </w:r>
      <w:r>
        <w:rPr>
          <w:sz w:val="22"/>
        </w:rPr>
        <w:t>be </w:t>
      </w:r>
      <w:r>
        <w:rPr>
          <w:sz w:val="24"/>
        </w:rPr>
        <w:t>with</w:t>
      </w:r>
      <w:r>
        <w:rPr>
          <w:spacing w:val="-2"/>
          <w:sz w:val="24"/>
        </w:rPr>
        <w:t> </w:t>
      </w:r>
      <w:r>
        <w:rPr>
          <w:sz w:val="24"/>
        </w:rPr>
        <w:t>/without</w:t>
      </w:r>
      <w:r>
        <w:rPr>
          <w:spacing w:val="-2"/>
          <w:sz w:val="24"/>
        </w:rPr>
        <w:t> </w:t>
      </w:r>
      <w:r>
        <w:rPr>
          <w:sz w:val="24"/>
        </w:rPr>
        <w:t>BUA</w:t>
      </w:r>
      <w:r>
        <w:rPr>
          <w:spacing w:val="-5"/>
          <w:sz w:val="24"/>
        </w:rPr>
        <w:t> </w:t>
      </w:r>
      <w:r>
        <w:rPr>
          <w:sz w:val="24"/>
        </w:rPr>
        <w:t>as</w:t>
      </w:r>
      <w:r>
        <w:rPr>
          <w:spacing w:val="-2"/>
          <w:sz w:val="24"/>
        </w:rPr>
        <w:t> </w:t>
      </w:r>
      <w:r>
        <w:rPr>
          <w:sz w:val="24"/>
        </w:rPr>
        <w:t>per</w:t>
      </w:r>
      <w:r>
        <w:rPr>
          <w:spacing w:val="-2"/>
          <w:sz w:val="24"/>
        </w:rPr>
        <w:t> </w:t>
      </w:r>
      <w:r>
        <w:rPr>
          <w:sz w:val="24"/>
        </w:rPr>
        <w:t>2(</w:t>
      </w:r>
      <w:r>
        <w:rPr>
          <w:spacing w:val="-2"/>
          <w:sz w:val="24"/>
        </w:rPr>
        <w:t> </w:t>
      </w:r>
      <w:r>
        <w:rPr>
          <w:spacing w:val="-5"/>
          <w:sz w:val="24"/>
        </w:rPr>
        <w:t>c)}</w:t>
      </w:r>
    </w:p>
    <w:p>
      <w:pPr>
        <w:pStyle w:val="ListParagraph"/>
        <w:numPr>
          <w:ilvl w:val="0"/>
          <w:numId w:val="371"/>
        </w:numPr>
        <w:tabs>
          <w:tab w:pos="1543" w:val="left" w:leader="none"/>
        </w:tabs>
        <w:spacing w:line="240" w:lineRule="auto" w:before="119" w:after="0"/>
        <w:ind w:left="1543" w:right="0" w:hanging="405"/>
        <w:jc w:val="left"/>
        <w:rPr>
          <w:sz w:val="24"/>
        </w:rPr>
      </w:pPr>
      <w:r>
        <w:rPr>
          <w:sz w:val="24"/>
        </w:rPr>
        <w:t>TDR</w:t>
      </w:r>
      <w:r>
        <w:rPr>
          <w:spacing w:val="-3"/>
          <w:sz w:val="24"/>
        </w:rPr>
        <w:t> </w:t>
      </w:r>
      <w:r>
        <w:rPr>
          <w:sz w:val="24"/>
        </w:rPr>
        <w:t>generated</w:t>
      </w:r>
      <w:r>
        <w:rPr>
          <w:spacing w:val="-2"/>
          <w:sz w:val="24"/>
        </w:rPr>
        <w:t> </w:t>
      </w:r>
      <w:r>
        <w:rPr>
          <w:sz w:val="24"/>
        </w:rPr>
        <w:t>if</w:t>
      </w:r>
      <w:r>
        <w:rPr>
          <w:spacing w:val="-2"/>
          <w:sz w:val="24"/>
        </w:rPr>
        <w:t> </w:t>
      </w:r>
      <w:r>
        <w:rPr>
          <w:sz w:val="24"/>
        </w:rPr>
        <w:t>any</w:t>
      </w:r>
      <w:r>
        <w:rPr>
          <w:spacing w:val="-3"/>
          <w:sz w:val="24"/>
        </w:rPr>
        <w:t> </w:t>
      </w:r>
      <w:r>
        <w:rPr>
          <w:sz w:val="24"/>
        </w:rPr>
        <w:t>as</w:t>
      </w:r>
      <w:r>
        <w:rPr>
          <w:spacing w:val="-2"/>
          <w:sz w:val="24"/>
        </w:rPr>
        <w:t> </w:t>
      </w:r>
      <w:r>
        <w:rPr>
          <w:sz w:val="24"/>
        </w:rPr>
        <w:t>per</w:t>
      </w:r>
      <w:r>
        <w:rPr>
          <w:spacing w:val="-2"/>
          <w:sz w:val="24"/>
        </w:rPr>
        <w:t> </w:t>
      </w:r>
      <w:r>
        <w:rPr>
          <w:sz w:val="24"/>
        </w:rPr>
        <w:t>regulation</w:t>
      </w:r>
      <w:r>
        <w:rPr>
          <w:spacing w:val="-3"/>
          <w:sz w:val="24"/>
        </w:rPr>
        <w:t> </w:t>
      </w:r>
      <w:r>
        <w:rPr>
          <w:sz w:val="24"/>
        </w:rPr>
        <w:t>30</w:t>
      </w:r>
      <w:r>
        <w:rPr>
          <w:spacing w:val="-2"/>
          <w:sz w:val="24"/>
        </w:rPr>
        <w:t> </w:t>
      </w:r>
      <w:r>
        <w:rPr>
          <w:sz w:val="24"/>
        </w:rPr>
        <w:t>(A)</w:t>
      </w:r>
      <w:r>
        <w:rPr>
          <w:spacing w:val="-1"/>
          <w:sz w:val="24"/>
        </w:rPr>
        <w:t> </w:t>
      </w:r>
      <w:r>
        <w:rPr>
          <w:sz w:val="24"/>
        </w:rPr>
        <w:t>and</w:t>
      </w:r>
      <w:r>
        <w:rPr>
          <w:spacing w:val="-2"/>
          <w:sz w:val="24"/>
        </w:rPr>
        <w:t> </w:t>
      </w:r>
      <w:r>
        <w:rPr>
          <w:spacing w:val="-5"/>
          <w:sz w:val="24"/>
        </w:rPr>
        <w:t>32</w:t>
      </w:r>
    </w:p>
    <w:p>
      <w:pPr>
        <w:pStyle w:val="ListParagraph"/>
        <w:numPr>
          <w:ilvl w:val="0"/>
          <w:numId w:val="371"/>
        </w:numPr>
        <w:tabs>
          <w:tab w:pos="1543" w:val="left" w:leader="none"/>
        </w:tabs>
        <w:spacing w:line="240" w:lineRule="auto" w:before="122" w:after="0"/>
        <w:ind w:left="1543" w:right="0" w:hanging="405"/>
        <w:jc w:val="left"/>
        <w:rPr>
          <w:sz w:val="24"/>
        </w:rPr>
      </w:pPr>
      <w:r>
        <w:rPr>
          <w:sz w:val="24"/>
        </w:rPr>
        <w:t>Fungible</w:t>
      </w:r>
      <w:r>
        <w:rPr>
          <w:spacing w:val="-3"/>
          <w:sz w:val="24"/>
        </w:rPr>
        <w:t> </w:t>
      </w:r>
      <w:r>
        <w:rPr>
          <w:sz w:val="24"/>
        </w:rPr>
        <w:t>Compensatory</w:t>
      </w:r>
      <w:r>
        <w:rPr>
          <w:spacing w:val="-2"/>
          <w:sz w:val="24"/>
        </w:rPr>
        <w:t> </w:t>
      </w:r>
      <w:r>
        <w:rPr>
          <w:sz w:val="24"/>
        </w:rPr>
        <w:t>Area</w:t>
      </w:r>
      <w:r>
        <w:rPr>
          <w:spacing w:val="-2"/>
          <w:sz w:val="24"/>
        </w:rPr>
        <w:t> </w:t>
      </w:r>
      <w:r>
        <w:rPr>
          <w:sz w:val="24"/>
        </w:rPr>
        <w:t>as</w:t>
      </w:r>
      <w:r>
        <w:rPr>
          <w:spacing w:val="-2"/>
          <w:sz w:val="24"/>
        </w:rPr>
        <w:t> </w:t>
      </w:r>
      <w:r>
        <w:rPr>
          <w:sz w:val="24"/>
        </w:rPr>
        <w:t>per</w:t>
      </w:r>
      <w:r>
        <w:rPr>
          <w:spacing w:val="-2"/>
          <w:sz w:val="24"/>
        </w:rPr>
        <w:t> </w:t>
      </w:r>
      <w:r>
        <w:rPr>
          <w:sz w:val="24"/>
        </w:rPr>
        <w:t>Regulation</w:t>
      </w:r>
      <w:r>
        <w:rPr>
          <w:spacing w:val="-2"/>
          <w:sz w:val="24"/>
        </w:rPr>
        <w:t> </w:t>
      </w:r>
      <w:r>
        <w:rPr>
          <w:sz w:val="24"/>
        </w:rPr>
        <w:t>No</w:t>
      </w:r>
      <w:r>
        <w:rPr>
          <w:spacing w:val="-1"/>
          <w:sz w:val="24"/>
        </w:rPr>
        <w:t> </w:t>
      </w:r>
      <w:r>
        <w:rPr>
          <w:spacing w:val="-2"/>
          <w:sz w:val="24"/>
        </w:rPr>
        <w:t>31(3)</w:t>
      </w:r>
    </w:p>
    <w:p>
      <w:pPr>
        <w:pStyle w:val="ListParagraph"/>
        <w:numPr>
          <w:ilvl w:val="1"/>
          <w:numId w:val="371"/>
        </w:numPr>
        <w:tabs>
          <w:tab w:pos="2218" w:val="left" w:leader="none"/>
        </w:tabs>
        <w:spacing w:line="240" w:lineRule="auto" w:before="119" w:after="0"/>
        <w:ind w:left="2218" w:right="724" w:hanging="360"/>
        <w:jc w:val="left"/>
        <w:rPr>
          <w:sz w:val="24"/>
        </w:rPr>
      </w:pPr>
      <w:r>
        <w:rPr>
          <w:sz w:val="24"/>
        </w:rPr>
        <w:t>i)Permissible</w:t>
      </w:r>
      <w:r>
        <w:rPr>
          <w:spacing w:val="80"/>
          <w:sz w:val="24"/>
        </w:rPr>
        <w:t> </w:t>
      </w:r>
      <w:r>
        <w:rPr>
          <w:sz w:val="24"/>
        </w:rPr>
        <w:t>Fungible</w:t>
      </w:r>
      <w:r>
        <w:rPr>
          <w:spacing w:val="80"/>
          <w:sz w:val="24"/>
        </w:rPr>
        <w:t> </w:t>
      </w:r>
      <w:r>
        <w:rPr>
          <w:sz w:val="24"/>
        </w:rPr>
        <w:t>Compensatory</w:t>
      </w:r>
      <w:r>
        <w:rPr>
          <w:spacing w:val="80"/>
          <w:sz w:val="24"/>
        </w:rPr>
        <w:t> </w:t>
      </w:r>
      <w:r>
        <w:rPr>
          <w:sz w:val="24"/>
        </w:rPr>
        <w:t>area</w:t>
      </w:r>
      <w:r>
        <w:rPr>
          <w:spacing w:val="80"/>
          <w:sz w:val="24"/>
        </w:rPr>
        <w:t> </w:t>
      </w:r>
      <w:r>
        <w:rPr>
          <w:sz w:val="24"/>
        </w:rPr>
        <w:t>for</w:t>
      </w:r>
      <w:r>
        <w:rPr>
          <w:spacing w:val="80"/>
          <w:sz w:val="24"/>
        </w:rPr>
        <w:t> </w:t>
      </w:r>
      <w:r>
        <w:rPr>
          <w:sz w:val="24"/>
        </w:rPr>
        <w:t>Rehab</w:t>
      </w:r>
      <w:r>
        <w:rPr>
          <w:spacing w:val="80"/>
          <w:sz w:val="24"/>
        </w:rPr>
        <w:t> </w:t>
      </w:r>
      <w:r>
        <w:rPr>
          <w:sz w:val="24"/>
        </w:rPr>
        <w:t>component without charging premium</w:t>
      </w:r>
    </w:p>
    <w:p>
      <w:pPr>
        <w:pStyle w:val="ListParagraph"/>
        <w:numPr>
          <w:ilvl w:val="2"/>
          <w:numId w:val="371"/>
        </w:numPr>
        <w:tabs>
          <w:tab w:pos="2524" w:val="left" w:leader="none"/>
        </w:tabs>
        <w:spacing w:line="240" w:lineRule="auto" w:before="120" w:after="0"/>
        <w:ind w:left="2218" w:right="723" w:firstLine="0"/>
        <w:jc w:val="left"/>
        <w:rPr>
          <w:sz w:val="24"/>
        </w:rPr>
      </w:pPr>
      <w:r>
        <w:rPr>
          <w:sz w:val="24"/>
        </w:rPr>
        <w:t>Fungible Compensatory area availed for Rehab component without charging premium</w:t>
      </w:r>
    </w:p>
    <w:p>
      <w:pPr>
        <w:pStyle w:val="ListParagraph"/>
        <w:numPr>
          <w:ilvl w:val="1"/>
          <w:numId w:val="371"/>
        </w:numPr>
        <w:tabs>
          <w:tab w:pos="2217" w:val="left" w:leader="none"/>
        </w:tabs>
        <w:spacing w:line="240" w:lineRule="auto" w:before="121" w:after="0"/>
        <w:ind w:left="2217" w:right="0" w:hanging="359"/>
        <w:jc w:val="left"/>
        <w:rPr>
          <w:sz w:val="24"/>
        </w:rPr>
      </w:pPr>
      <w:r>
        <w:rPr>
          <w:sz w:val="24"/>
        </w:rPr>
        <w:t>i)</w:t>
      </w:r>
      <w:r>
        <w:rPr>
          <w:spacing w:val="-1"/>
          <w:sz w:val="24"/>
        </w:rPr>
        <w:t> </w:t>
      </w:r>
      <w:r>
        <w:rPr>
          <w:sz w:val="24"/>
        </w:rPr>
        <w:t>Permissible Fungible</w:t>
      </w:r>
      <w:r>
        <w:rPr>
          <w:spacing w:val="-1"/>
          <w:sz w:val="24"/>
        </w:rPr>
        <w:t> </w:t>
      </w:r>
      <w:r>
        <w:rPr>
          <w:sz w:val="24"/>
        </w:rPr>
        <w:t>Compensatory area</w:t>
      </w:r>
      <w:r>
        <w:rPr>
          <w:spacing w:val="-1"/>
          <w:sz w:val="24"/>
        </w:rPr>
        <w:t> </w:t>
      </w:r>
      <w:r>
        <w:rPr>
          <w:sz w:val="24"/>
        </w:rPr>
        <w:t>by charging </w:t>
      </w:r>
      <w:r>
        <w:rPr>
          <w:spacing w:val="-2"/>
          <w:sz w:val="24"/>
        </w:rPr>
        <w:t>premium.</w:t>
      </w:r>
    </w:p>
    <w:p>
      <w:pPr>
        <w:pStyle w:val="ListParagraph"/>
        <w:numPr>
          <w:ilvl w:val="2"/>
          <w:numId w:val="371"/>
        </w:numPr>
        <w:tabs>
          <w:tab w:pos="2510" w:val="left" w:leader="none"/>
        </w:tabs>
        <w:spacing w:line="240" w:lineRule="auto" w:before="120" w:after="0"/>
        <w:ind w:left="2510" w:right="0" w:hanging="292"/>
        <w:jc w:val="left"/>
        <w:rPr>
          <w:sz w:val="24"/>
        </w:rPr>
      </w:pPr>
      <w:r>
        <w:rPr>
          <w:sz w:val="24"/>
        </w:rPr>
        <w:t>Fungible</w:t>
      </w:r>
      <w:r>
        <w:rPr>
          <w:spacing w:val="-2"/>
          <w:sz w:val="24"/>
        </w:rPr>
        <w:t> </w:t>
      </w:r>
      <w:r>
        <w:rPr>
          <w:sz w:val="24"/>
        </w:rPr>
        <w:t>Compensatory</w:t>
      </w:r>
      <w:r>
        <w:rPr>
          <w:spacing w:val="-1"/>
          <w:sz w:val="24"/>
        </w:rPr>
        <w:t> </w:t>
      </w:r>
      <w:r>
        <w:rPr>
          <w:sz w:val="24"/>
        </w:rPr>
        <w:t>area</w:t>
      </w:r>
      <w:r>
        <w:rPr>
          <w:spacing w:val="-2"/>
          <w:sz w:val="24"/>
        </w:rPr>
        <w:t> </w:t>
      </w:r>
      <w:r>
        <w:rPr>
          <w:sz w:val="24"/>
        </w:rPr>
        <w:t>availed</w:t>
      </w:r>
      <w:r>
        <w:rPr>
          <w:spacing w:val="-1"/>
          <w:sz w:val="24"/>
        </w:rPr>
        <w:t> </w:t>
      </w:r>
      <w:r>
        <w:rPr>
          <w:sz w:val="24"/>
        </w:rPr>
        <w:t>on</w:t>
      </w:r>
      <w:r>
        <w:rPr>
          <w:spacing w:val="-2"/>
          <w:sz w:val="24"/>
        </w:rPr>
        <w:t> </w:t>
      </w:r>
      <w:r>
        <w:rPr>
          <w:sz w:val="24"/>
        </w:rPr>
        <w:t>payment</w:t>
      </w:r>
      <w:r>
        <w:rPr>
          <w:spacing w:val="-1"/>
          <w:sz w:val="24"/>
        </w:rPr>
        <w:t> </w:t>
      </w:r>
      <w:r>
        <w:rPr>
          <w:sz w:val="24"/>
        </w:rPr>
        <w:t>of</w:t>
      </w:r>
      <w:r>
        <w:rPr>
          <w:spacing w:val="-1"/>
          <w:sz w:val="24"/>
        </w:rPr>
        <w:t> </w:t>
      </w:r>
      <w:r>
        <w:rPr>
          <w:spacing w:val="-2"/>
          <w:sz w:val="24"/>
        </w:rPr>
        <w:t>premium</w:t>
      </w:r>
    </w:p>
    <w:p>
      <w:pPr>
        <w:pStyle w:val="ListParagraph"/>
        <w:numPr>
          <w:ilvl w:val="0"/>
          <w:numId w:val="371"/>
        </w:numPr>
        <w:tabs>
          <w:tab w:pos="6615" w:val="left" w:leader="none"/>
        </w:tabs>
        <w:spacing w:line="240" w:lineRule="auto" w:before="119" w:after="0"/>
        <w:ind w:left="6615" w:right="0" w:hanging="5477"/>
        <w:jc w:val="left"/>
        <w:rPr>
          <w:sz w:val="24"/>
        </w:rPr>
      </w:pPr>
      <w:r>
        <w:rPr>
          <w:sz w:val="24"/>
        </w:rPr>
        <w:t>Total</w:t>
      </w:r>
      <w:r>
        <w:rPr>
          <w:spacing w:val="74"/>
          <w:w w:val="150"/>
          <w:sz w:val="24"/>
        </w:rPr>
        <w:t> </w:t>
      </w:r>
      <w:r>
        <w:rPr>
          <w:sz w:val="24"/>
        </w:rPr>
        <w:t>Built</w:t>
      </w:r>
      <w:r>
        <w:rPr>
          <w:spacing w:val="75"/>
          <w:w w:val="150"/>
          <w:sz w:val="24"/>
        </w:rPr>
        <w:t> </w:t>
      </w:r>
      <w:r>
        <w:rPr>
          <w:sz w:val="24"/>
        </w:rPr>
        <w:t>up</w:t>
      </w:r>
      <w:r>
        <w:rPr>
          <w:spacing w:val="75"/>
          <w:w w:val="150"/>
          <w:sz w:val="24"/>
        </w:rPr>
        <w:t> </w:t>
      </w:r>
      <w:r>
        <w:rPr>
          <w:sz w:val="24"/>
        </w:rPr>
        <w:t>Area</w:t>
      </w:r>
      <w:r>
        <w:rPr>
          <w:spacing w:val="75"/>
          <w:w w:val="150"/>
          <w:sz w:val="24"/>
        </w:rPr>
        <w:t> </w:t>
      </w:r>
      <w:r>
        <w:rPr>
          <w:spacing w:val="-2"/>
          <w:sz w:val="24"/>
        </w:rPr>
        <w:t>proposed</w:t>
      </w:r>
    </w:p>
    <w:p>
      <w:pPr>
        <w:pStyle w:val="BodyText"/>
        <w:spacing w:before="1"/>
        <w:ind w:left="1498"/>
        <w:jc w:val="left"/>
      </w:pPr>
      <w:r>
        <w:rPr/>
        <w:t>including</w:t>
      </w:r>
      <w:r>
        <w:rPr>
          <w:spacing w:val="-1"/>
        </w:rPr>
        <w:t> </w:t>
      </w:r>
      <w:r>
        <w:rPr/>
        <w:t>Fungible</w:t>
      </w:r>
      <w:r>
        <w:rPr>
          <w:spacing w:val="-1"/>
        </w:rPr>
        <w:t> </w:t>
      </w:r>
      <w:r>
        <w:rPr/>
        <w:t>Compensatory</w:t>
      </w:r>
      <w:r>
        <w:rPr>
          <w:spacing w:val="-1"/>
        </w:rPr>
        <w:t> </w:t>
      </w:r>
      <w:r>
        <w:rPr/>
        <w:t>Area</w:t>
      </w:r>
      <w:r>
        <w:rPr>
          <w:spacing w:val="-1"/>
        </w:rPr>
        <w:t> </w:t>
      </w:r>
      <w:r>
        <w:rPr/>
        <w:t>[13</w:t>
      </w:r>
      <w:r>
        <w:rPr>
          <w:spacing w:val="-1"/>
        </w:rPr>
        <w:t> </w:t>
      </w:r>
      <w:r>
        <w:rPr/>
        <w:t>+15(a)(ii) </w:t>
      </w:r>
      <w:r>
        <w:rPr>
          <w:spacing w:val="-2"/>
        </w:rPr>
        <w:t>+15(b)(ii)]</w:t>
      </w:r>
    </w:p>
    <w:p>
      <w:pPr>
        <w:pStyle w:val="ListParagraph"/>
        <w:numPr>
          <w:ilvl w:val="0"/>
          <w:numId w:val="371"/>
        </w:numPr>
        <w:tabs>
          <w:tab w:pos="6615" w:val="left" w:leader="none"/>
        </w:tabs>
        <w:spacing w:line="240" w:lineRule="auto" w:before="119" w:after="0"/>
        <w:ind w:left="6615" w:right="0" w:hanging="5477"/>
        <w:jc w:val="left"/>
        <w:rPr>
          <w:sz w:val="24"/>
        </w:rPr>
      </w:pPr>
      <w:r>
        <w:rPr>
          <w:sz w:val="24"/>
        </w:rPr>
        <w:t>FSI</w:t>
      </w:r>
      <w:r>
        <w:rPr>
          <w:spacing w:val="-17"/>
          <w:sz w:val="24"/>
        </w:rPr>
        <w:t> </w:t>
      </w:r>
      <w:r>
        <w:rPr>
          <w:sz w:val="24"/>
        </w:rPr>
        <w:t>consumed</w:t>
      </w:r>
      <w:r>
        <w:rPr>
          <w:spacing w:val="-17"/>
          <w:sz w:val="24"/>
        </w:rPr>
        <w:t> </w:t>
      </w:r>
      <w:r>
        <w:rPr>
          <w:sz w:val="24"/>
        </w:rPr>
        <w:t>on</w:t>
      </w:r>
      <w:r>
        <w:rPr>
          <w:spacing w:val="-17"/>
          <w:sz w:val="24"/>
        </w:rPr>
        <w:t> </w:t>
      </w:r>
      <w:r>
        <w:rPr>
          <w:sz w:val="24"/>
        </w:rPr>
        <w:t>Net</w:t>
      </w:r>
      <w:r>
        <w:rPr>
          <w:spacing w:val="-17"/>
          <w:sz w:val="24"/>
        </w:rPr>
        <w:t> </w:t>
      </w:r>
      <w:r>
        <w:rPr>
          <w:sz w:val="24"/>
        </w:rPr>
        <w:t>Plot</w:t>
      </w:r>
      <w:r>
        <w:rPr>
          <w:spacing w:val="-17"/>
          <w:sz w:val="24"/>
        </w:rPr>
        <w:t> </w:t>
      </w:r>
      <w:r>
        <w:rPr>
          <w:sz w:val="24"/>
        </w:rPr>
        <w:t>[13/</w:t>
      </w:r>
      <w:r>
        <w:rPr>
          <w:spacing w:val="-16"/>
          <w:sz w:val="24"/>
        </w:rPr>
        <w:t> </w:t>
      </w:r>
      <w:r>
        <w:rPr>
          <w:spacing w:val="-5"/>
          <w:sz w:val="24"/>
        </w:rPr>
        <w:t>4]</w:t>
      </w:r>
    </w:p>
    <w:p>
      <w:pPr>
        <w:pStyle w:val="BodyText"/>
        <w:spacing w:before="241"/>
        <w:jc w:val="left"/>
      </w:pPr>
    </w:p>
    <w:p>
      <w:pPr>
        <w:pStyle w:val="ListParagraph"/>
        <w:numPr>
          <w:ilvl w:val="0"/>
          <w:numId w:val="374"/>
        </w:numPr>
        <w:tabs>
          <w:tab w:pos="1547" w:val="left" w:leader="none"/>
        </w:tabs>
        <w:spacing w:line="240" w:lineRule="auto" w:before="0" w:after="0"/>
        <w:ind w:left="1547" w:right="0" w:hanging="693"/>
        <w:jc w:val="left"/>
        <w:rPr>
          <w:sz w:val="24"/>
        </w:rPr>
      </w:pPr>
      <w:r>
        <w:rPr>
          <w:sz w:val="24"/>
        </w:rPr>
        <w:t>Other </w:t>
      </w:r>
      <w:r>
        <w:rPr>
          <w:spacing w:val="-2"/>
          <w:sz w:val="24"/>
        </w:rPr>
        <w:t>Requirements</w:t>
      </w:r>
    </w:p>
    <w:p>
      <w:pPr>
        <w:pStyle w:val="ListParagraph"/>
        <w:numPr>
          <w:ilvl w:val="1"/>
          <w:numId w:val="374"/>
        </w:numPr>
        <w:tabs>
          <w:tab w:pos="1856" w:val="left" w:leader="none"/>
        </w:tabs>
        <w:spacing w:line="240" w:lineRule="auto" w:before="119" w:after="0"/>
        <w:ind w:left="1856" w:right="0" w:hanging="358"/>
        <w:jc w:val="left"/>
        <w:rPr>
          <w:sz w:val="24"/>
        </w:rPr>
      </w:pPr>
      <w:r>
        <w:rPr>
          <w:spacing w:val="-2"/>
          <w:sz w:val="24"/>
        </w:rPr>
        <w:t>Reservation/Designation</w:t>
      </w:r>
    </w:p>
    <w:p>
      <w:pPr>
        <w:pStyle w:val="ListParagraph"/>
        <w:numPr>
          <w:ilvl w:val="2"/>
          <w:numId w:val="374"/>
        </w:numPr>
        <w:tabs>
          <w:tab w:pos="2217" w:val="left" w:leader="none"/>
        </w:tabs>
        <w:spacing w:line="240" w:lineRule="auto" w:before="122" w:after="0"/>
        <w:ind w:left="2217" w:right="0" w:hanging="359"/>
        <w:jc w:val="left"/>
        <w:rPr>
          <w:sz w:val="24"/>
        </w:rPr>
      </w:pPr>
      <w:r>
        <w:rPr>
          <w:sz w:val="24"/>
        </w:rPr>
        <w:t>Name of </w:t>
      </w:r>
      <w:r>
        <w:rPr>
          <w:spacing w:val="-2"/>
          <w:sz w:val="24"/>
        </w:rPr>
        <w:t>Reservation</w:t>
      </w:r>
    </w:p>
    <w:p>
      <w:pPr>
        <w:pStyle w:val="ListParagraph"/>
        <w:numPr>
          <w:ilvl w:val="2"/>
          <w:numId w:val="374"/>
        </w:numPr>
        <w:tabs>
          <w:tab w:pos="2217" w:val="left" w:leader="none"/>
        </w:tabs>
        <w:spacing w:line="240" w:lineRule="auto" w:before="119" w:after="0"/>
        <w:ind w:left="2217" w:right="0" w:hanging="359"/>
        <w:jc w:val="left"/>
        <w:rPr>
          <w:sz w:val="24"/>
        </w:rPr>
      </w:pPr>
      <w:r>
        <w:rPr>
          <w:sz w:val="24"/>
        </w:rPr>
        <w:t>Area</w:t>
      </w:r>
      <w:r>
        <w:rPr>
          <w:spacing w:val="-3"/>
          <w:sz w:val="24"/>
        </w:rPr>
        <w:t> </w:t>
      </w:r>
      <w:r>
        <w:rPr>
          <w:sz w:val="24"/>
        </w:rPr>
        <w:t>of</w:t>
      </w:r>
      <w:r>
        <w:rPr>
          <w:spacing w:val="-3"/>
          <w:sz w:val="24"/>
        </w:rPr>
        <w:t> </w:t>
      </w:r>
      <w:r>
        <w:rPr>
          <w:sz w:val="24"/>
        </w:rPr>
        <w:t>Reservation</w:t>
      </w:r>
      <w:r>
        <w:rPr>
          <w:spacing w:val="-2"/>
          <w:sz w:val="24"/>
        </w:rPr>
        <w:t> </w:t>
      </w:r>
      <w:r>
        <w:rPr>
          <w:sz w:val="24"/>
        </w:rPr>
        <w:t>affecting</w:t>
      </w:r>
      <w:r>
        <w:rPr>
          <w:spacing w:val="-3"/>
          <w:sz w:val="24"/>
        </w:rPr>
        <w:t> </w:t>
      </w:r>
      <w:r>
        <w:rPr>
          <w:sz w:val="24"/>
        </w:rPr>
        <w:t>the</w:t>
      </w:r>
      <w:r>
        <w:rPr>
          <w:spacing w:val="-2"/>
          <w:sz w:val="24"/>
        </w:rPr>
        <w:t> </w:t>
      </w:r>
      <w:r>
        <w:rPr>
          <w:spacing w:val="-4"/>
          <w:sz w:val="24"/>
        </w:rPr>
        <w:t>plot</w:t>
      </w:r>
    </w:p>
    <w:p>
      <w:pPr>
        <w:pStyle w:val="ListParagraph"/>
        <w:numPr>
          <w:ilvl w:val="2"/>
          <w:numId w:val="374"/>
        </w:numPr>
        <w:tabs>
          <w:tab w:pos="2218" w:val="left" w:leader="none"/>
        </w:tabs>
        <w:spacing w:line="240" w:lineRule="auto" w:before="121" w:after="0"/>
        <w:ind w:left="2218" w:right="727" w:hanging="360"/>
        <w:jc w:val="left"/>
        <w:rPr>
          <w:sz w:val="24"/>
        </w:rPr>
      </w:pPr>
      <w:r>
        <w:rPr>
          <w:sz w:val="24"/>
        </w:rPr>
        <w:t>Area of Reservation land to be handed/handed over as per Regulation </w:t>
      </w:r>
      <w:r>
        <w:rPr>
          <w:spacing w:val="-2"/>
          <w:sz w:val="24"/>
        </w:rPr>
        <w:t>No.17</w:t>
      </w:r>
    </w:p>
    <w:p>
      <w:pPr>
        <w:pStyle w:val="ListParagraph"/>
        <w:numPr>
          <w:ilvl w:val="2"/>
          <w:numId w:val="374"/>
        </w:numPr>
        <w:tabs>
          <w:tab w:pos="2217" w:val="left" w:leader="none"/>
        </w:tabs>
        <w:spacing w:line="240" w:lineRule="auto" w:before="118" w:after="0"/>
        <w:ind w:left="2217" w:right="0" w:hanging="359"/>
        <w:jc w:val="left"/>
        <w:rPr>
          <w:sz w:val="24"/>
        </w:rPr>
      </w:pPr>
      <w:r>
        <w:rPr>
          <w:sz w:val="24"/>
        </w:rPr>
        <w:t>Built</w:t>
      </w:r>
      <w:r>
        <w:rPr>
          <w:spacing w:val="-2"/>
          <w:sz w:val="24"/>
        </w:rPr>
        <w:t> </w:t>
      </w:r>
      <w:r>
        <w:rPr>
          <w:sz w:val="24"/>
        </w:rPr>
        <w:t>up</w:t>
      </w:r>
      <w:r>
        <w:rPr>
          <w:spacing w:val="-2"/>
          <w:sz w:val="24"/>
        </w:rPr>
        <w:t> </w:t>
      </w:r>
      <w:r>
        <w:rPr>
          <w:sz w:val="24"/>
        </w:rPr>
        <w:t>area</w:t>
      </w:r>
      <w:r>
        <w:rPr>
          <w:spacing w:val="-1"/>
          <w:sz w:val="24"/>
        </w:rPr>
        <w:t> </w:t>
      </w:r>
      <w:r>
        <w:rPr>
          <w:sz w:val="24"/>
        </w:rPr>
        <w:t>of</w:t>
      </w:r>
      <w:r>
        <w:rPr>
          <w:spacing w:val="-2"/>
          <w:sz w:val="24"/>
        </w:rPr>
        <w:t> </w:t>
      </w:r>
      <w:r>
        <w:rPr>
          <w:sz w:val="24"/>
        </w:rPr>
        <w:t>Amenity</w:t>
      </w:r>
      <w:r>
        <w:rPr>
          <w:spacing w:val="-1"/>
          <w:sz w:val="24"/>
        </w:rPr>
        <w:t> </w:t>
      </w:r>
      <w:r>
        <w:rPr>
          <w:sz w:val="24"/>
        </w:rPr>
        <w:t>to</w:t>
      </w:r>
      <w:r>
        <w:rPr>
          <w:spacing w:val="-2"/>
          <w:sz w:val="24"/>
        </w:rPr>
        <w:t> </w:t>
      </w:r>
      <w:r>
        <w:rPr>
          <w:sz w:val="24"/>
        </w:rPr>
        <w:t>be</w:t>
      </w:r>
      <w:r>
        <w:rPr>
          <w:spacing w:val="-2"/>
          <w:sz w:val="24"/>
        </w:rPr>
        <w:t> </w:t>
      </w:r>
      <w:r>
        <w:rPr>
          <w:sz w:val="24"/>
        </w:rPr>
        <w:t>handed</w:t>
      </w:r>
      <w:r>
        <w:rPr>
          <w:spacing w:val="-1"/>
          <w:sz w:val="24"/>
        </w:rPr>
        <w:t> </w:t>
      </w:r>
      <w:r>
        <w:rPr>
          <w:sz w:val="24"/>
        </w:rPr>
        <w:t>over</w:t>
      </w:r>
      <w:r>
        <w:rPr>
          <w:spacing w:val="-2"/>
          <w:sz w:val="24"/>
        </w:rPr>
        <w:t> </w:t>
      </w:r>
      <w:r>
        <w:rPr>
          <w:sz w:val="24"/>
        </w:rPr>
        <w:t>as</w:t>
      </w:r>
      <w:r>
        <w:rPr>
          <w:spacing w:val="-1"/>
          <w:sz w:val="24"/>
        </w:rPr>
        <w:t> </w:t>
      </w:r>
      <w:r>
        <w:rPr>
          <w:sz w:val="24"/>
        </w:rPr>
        <w:t>per</w:t>
      </w:r>
      <w:r>
        <w:rPr>
          <w:spacing w:val="-2"/>
          <w:sz w:val="24"/>
        </w:rPr>
        <w:t> </w:t>
      </w:r>
      <w:r>
        <w:rPr>
          <w:sz w:val="24"/>
        </w:rPr>
        <w:t>Regulation</w:t>
      </w:r>
      <w:r>
        <w:rPr>
          <w:spacing w:val="-1"/>
          <w:sz w:val="24"/>
        </w:rPr>
        <w:t> </w:t>
      </w:r>
      <w:r>
        <w:rPr>
          <w:spacing w:val="-2"/>
          <w:sz w:val="24"/>
        </w:rPr>
        <w:t>No.17</w:t>
      </w:r>
    </w:p>
    <w:p>
      <w:pPr>
        <w:pStyle w:val="ListParagraph"/>
        <w:numPr>
          <w:ilvl w:val="2"/>
          <w:numId w:val="374"/>
        </w:numPr>
        <w:tabs>
          <w:tab w:pos="2217" w:val="left" w:leader="none"/>
        </w:tabs>
        <w:spacing w:line="240" w:lineRule="auto" w:before="122" w:after="0"/>
        <w:ind w:left="2217" w:right="0" w:hanging="359"/>
        <w:jc w:val="left"/>
        <w:rPr>
          <w:sz w:val="24"/>
        </w:rPr>
      </w:pPr>
      <w:r>
        <w:rPr>
          <w:sz w:val="24"/>
        </w:rPr>
        <w:t>Area/Built</w:t>
      </w:r>
      <w:r>
        <w:rPr>
          <w:spacing w:val="-1"/>
          <w:sz w:val="24"/>
        </w:rPr>
        <w:t> </w:t>
      </w:r>
      <w:r>
        <w:rPr>
          <w:sz w:val="24"/>
        </w:rPr>
        <w:t>up</w:t>
      </w:r>
      <w:r>
        <w:rPr>
          <w:spacing w:val="-1"/>
          <w:sz w:val="24"/>
        </w:rPr>
        <w:t> </w:t>
      </w:r>
      <w:r>
        <w:rPr>
          <w:sz w:val="24"/>
        </w:rPr>
        <w:t>Area</w:t>
      </w:r>
      <w:r>
        <w:rPr>
          <w:spacing w:val="-1"/>
          <w:sz w:val="24"/>
        </w:rPr>
        <w:t> </w:t>
      </w:r>
      <w:r>
        <w:rPr>
          <w:sz w:val="24"/>
        </w:rPr>
        <w:t>of</w:t>
      </w:r>
      <w:r>
        <w:rPr>
          <w:spacing w:val="-1"/>
          <w:sz w:val="24"/>
        </w:rPr>
        <w:t> </w:t>
      </w:r>
      <w:r>
        <w:rPr>
          <w:spacing w:val="-2"/>
          <w:sz w:val="24"/>
        </w:rPr>
        <w:t>Designation</w:t>
      </w:r>
    </w:p>
    <w:p>
      <w:pPr>
        <w:pStyle w:val="ListParagraph"/>
        <w:numPr>
          <w:ilvl w:val="1"/>
          <w:numId w:val="374"/>
        </w:numPr>
        <w:tabs>
          <w:tab w:pos="1896" w:val="left" w:leader="none"/>
        </w:tabs>
        <w:spacing w:line="240" w:lineRule="auto" w:before="119" w:after="0"/>
        <w:ind w:left="1896" w:right="0" w:hanging="398"/>
        <w:jc w:val="left"/>
        <w:rPr>
          <w:sz w:val="24"/>
        </w:rPr>
      </w:pPr>
      <w:r>
        <w:rPr>
          <w:sz w:val="24"/>
        </w:rPr>
        <w:t>Plot</w:t>
      </w:r>
      <w:r>
        <w:rPr>
          <w:spacing w:val="-2"/>
          <w:sz w:val="24"/>
        </w:rPr>
        <w:t> </w:t>
      </w:r>
      <w:r>
        <w:rPr>
          <w:sz w:val="24"/>
        </w:rPr>
        <w:t>area/Built</w:t>
      </w:r>
      <w:r>
        <w:rPr>
          <w:spacing w:val="-1"/>
          <w:sz w:val="24"/>
        </w:rPr>
        <w:t> </w:t>
      </w:r>
      <w:r>
        <w:rPr>
          <w:sz w:val="24"/>
        </w:rPr>
        <w:t>up</w:t>
      </w:r>
      <w:r>
        <w:rPr>
          <w:spacing w:val="-2"/>
          <w:sz w:val="24"/>
        </w:rPr>
        <w:t> </w:t>
      </w:r>
      <w:r>
        <w:rPr>
          <w:sz w:val="24"/>
        </w:rPr>
        <w:t>Amenity</w:t>
      </w:r>
      <w:r>
        <w:rPr>
          <w:spacing w:val="-1"/>
          <w:sz w:val="24"/>
        </w:rPr>
        <w:t> </w:t>
      </w:r>
      <w:r>
        <w:rPr>
          <w:sz w:val="24"/>
        </w:rPr>
        <w:t>to</w:t>
      </w:r>
      <w:r>
        <w:rPr>
          <w:spacing w:val="-2"/>
          <w:sz w:val="24"/>
        </w:rPr>
        <w:t> </w:t>
      </w:r>
      <w:r>
        <w:rPr>
          <w:sz w:val="24"/>
        </w:rPr>
        <w:t>be</w:t>
      </w:r>
      <w:r>
        <w:rPr>
          <w:spacing w:val="-1"/>
          <w:sz w:val="24"/>
        </w:rPr>
        <w:t> </w:t>
      </w:r>
      <w:r>
        <w:rPr>
          <w:sz w:val="24"/>
        </w:rPr>
        <w:t>Handed</w:t>
      </w:r>
      <w:r>
        <w:rPr>
          <w:spacing w:val="-2"/>
          <w:sz w:val="24"/>
        </w:rPr>
        <w:t> </w:t>
      </w:r>
      <w:r>
        <w:rPr>
          <w:sz w:val="24"/>
        </w:rPr>
        <w:t>Over</w:t>
      </w:r>
      <w:r>
        <w:rPr>
          <w:spacing w:val="-1"/>
          <w:sz w:val="24"/>
        </w:rPr>
        <w:t> </w:t>
      </w:r>
      <w:r>
        <w:rPr>
          <w:sz w:val="24"/>
        </w:rPr>
        <w:t>as</w:t>
      </w:r>
      <w:r>
        <w:rPr>
          <w:spacing w:val="-2"/>
          <w:sz w:val="24"/>
        </w:rPr>
        <w:t> </w:t>
      </w:r>
      <w:r>
        <w:rPr>
          <w:sz w:val="24"/>
        </w:rPr>
        <w:t>per</w:t>
      </w:r>
      <w:r>
        <w:rPr>
          <w:spacing w:val="-1"/>
          <w:sz w:val="24"/>
        </w:rPr>
        <w:t> </w:t>
      </w:r>
      <w:r>
        <w:rPr>
          <w:sz w:val="24"/>
        </w:rPr>
        <w:t>Regulation</w:t>
      </w:r>
      <w:r>
        <w:rPr>
          <w:spacing w:val="-1"/>
          <w:sz w:val="24"/>
        </w:rPr>
        <w:t> </w:t>
      </w:r>
      <w:r>
        <w:rPr>
          <w:spacing w:val="-5"/>
          <w:sz w:val="24"/>
        </w:rPr>
        <w:t>No</w:t>
      </w:r>
    </w:p>
    <w:p>
      <w:pPr>
        <w:pStyle w:val="ListParagraph"/>
        <w:numPr>
          <w:ilvl w:val="0"/>
          <w:numId w:val="375"/>
        </w:numPr>
        <w:tabs>
          <w:tab w:pos="2457" w:val="left" w:leader="none"/>
        </w:tabs>
        <w:spacing w:line="240" w:lineRule="auto" w:before="119" w:after="0"/>
        <w:ind w:left="2457" w:right="0" w:hanging="599"/>
        <w:jc w:val="left"/>
        <w:rPr>
          <w:sz w:val="24"/>
        </w:rPr>
      </w:pPr>
      <w:r>
        <w:rPr>
          <w:spacing w:val="-2"/>
          <w:sz w:val="24"/>
        </w:rPr>
        <w:t>14(A)</w:t>
      </w:r>
    </w:p>
    <w:p>
      <w:pPr>
        <w:pStyle w:val="ListParagraph"/>
        <w:numPr>
          <w:ilvl w:val="0"/>
          <w:numId w:val="375"/>
        </w:numPr>
        <w:tabs>
          <w:tab w:pos="2453" w:val="left" w:leader="none"/>
        </w:tabs>
        <w:spacing w:line="240" w:lineRule="auto" w:before="122" w:after="0"/>
        <w:ind w:left="2453" w:right="0" w:hanging="595"/>
        <w:jc w:val="left"/>
        <w:rPr>
          <w:sz w:val="24"/>
        </w:rPr>
      </w:pPr>
      <w:r>
        <w:rPr>
          <w:spacing w:val="-2"/>
          <w:sz w:val="24"/>
        </w:rPr>
        <w:t>14(B)</w:t>
      </w:r>
    </w:p>
    <w:p>
      <w:pPr>
        <w:pStyle w:val="ListParagraph"/>
        <w:numPr>
          <w:ilvl w:val="0"/>
          <w:numId w:val="375"/>
        </w:numPr>
        <w:tabs>
          <w:tab w:pos="2448" w:val="left" w:leader="none"/>
        </w:tabs>
        <w:spacing w:line="240" w:lineRule="auto" w:before="119" w:after="0"/>
        <w:ind w:left="2448" w:right="0" w:hanging="590"/>
        <w:jc w:val="left"/>
        <w:rPr>
          <w:sz w:val="24"/>
        </w:rPr>
      </w:pPr>
      <w:r>
        <w:rPr>
          <w:spacing w:val="-5"/>
          <w:sz w:val="24"/>
        </w:rPr>
        <w:t>15</w:t>
      </w:r>
    </w:p>
    <w:p>
      <w:pPr>
        <w:pStyle w:val="ListParagraph"/>
        <w:numPr>
          <w:ilvl w:val="1"/>
          <w:numId w:val="374"/>
        </w:numPr>
        <w:tabs>
          <w:tab w:pos="1819" w:val="left" w:leader="none"/>
        </w:tabs>
        <w:spacing w:line="281" w:lineRule="exact" w:before="122" w:after="0"/>
        <w:ind w:left="1819" w:right="0" w:hanging="321"/>
        <w:jc w:val="left"/>
        <w:rPr>
          <w:sz w:val="24"/>
        </w:rPr>
      </w:pPr>
      <w:r>
        <w:rPr>
          <w:sz w:val="24"/>
        </w:rPr>
        <w:t>Requirement</w:t>
      </w:r>
      <w:r>
        <w:rPr>
          <w:spacing w:val="-16"/>
          <w:sz w:val="24"/>
        </w:rPr>
        <w:t> </w:t>
      </w:r>
      <w:r>
        <w:rPr>
          <w:sz w:val="24"/>
        </w:rPr>
        <w:t>of</w:t>
      </w:r>
      <w:r>
        <w:rPr>
          <w:spacing w:val="-14"/>
          <w:sz w:val="24"/>
        </w:rPr>
        <w:t> </w:t>
      </w:r>
      <w:r>
        <w:rPr>
          <w:sz w:val="24"/>
        </w:rPr>
        <w:t>Recreational</w:t>
      </w:r>
      <w:r>
        <w:rPr>
          <w:spacing w:val="-13"/>
          <w:sz w:val="24"/>
        </w:rPr>
        <w:t> </w:t>
      </w:r>
      <w:r>
        <w:rPr>
          <w:sz w:val="24"/>
        </w:rPr>
        <w:t>Open</w:t>
      </w:r>
      <w:r>
        <w:rPr>
          <w:spacing w:val="-14"/>
          <w:sz w:val="24"/>
        </w:rPr>
        <w:t> </w:t>
      </w:r>
      <w:r>
        <w:rPr>
          <w:sz w:val="24"/>
        </w:rPr>
        <w:t>Space</w:t>
      </w:r>
      <w:r>
        <w:rPr>
          <w:spacing w:val="-13"/>
          <w:sz w:val="24"/>
        </w:rPr>
        <w:t> </w:t>
      </w:r>
      <w:r>
        <w:rPr>
          <w:sz w:val="24"/>
        </w:rPr>
        <w:t>in</w:t>
      </w:r>
      <w:r>
        <w:rPr>
          <w:spacing w:val="-14"/>
          <w:sz w:val="24"/>
        </w:rPr>
        <w:t> </w:t>
      </w:r>
      <w:r>
        <w:rPr>
          <w:sz w:val="24"/>
        </w:rPr>
        <w:t>Layout/Plot</w:t>
      </w:r>
      <w:r>
        <w:rPr>
          <w:spacing w:val="-13"/>
          <w:sz w:val="24"/>
        </w:rPr>
        <w:t> </w:t>
      </w:r>
      <w:r>
        <w:rPr>
          <w:sz w:val="24"/>
        </w:rPr>
        <w:t>as</w:t>
      </w:r>
      <w:r>
        <w:rPr>
          <w:spacing w:val="-14"/>
          <w:sz w:val="24"/>
        </w:rPr>
        <w:t> </w:t>
      </w:r>
      <w:r>
        <w:rPr>
          <w:sz w:val="24"/>
        </w:rPr>
        <w:t>per</w:t>
      </w:r>
      <w:r>
        <w:rPr>
          <w:spacing w:val="-13"/>
          <w:sz w:val="24"/>
        </w:rPr>
        <w:t> </w:t>
      </w:r>
      <w:r>
        <w:rPr>
          <w:spacing w:val="-2"/>
          <w:sz w:val="24"/>
        </w:rPr>
        <w:t>Regulation</w:t>
      </w:r>
    </w:p>
    <w:p>
      <w:pPr>
        <w:pStyle w:val="ListParagraph"/>
        <w:spacing w:after="0" w:line="281" w:lineRule="exact"/>
        <w:jc w:val="left"/>
        <w:rPr>
          <w:sz w:val="24"/>
        </w:rPr>
        <w:sectPr>
          <w:pgSz w:w="11910" w:h="16850"/>
          <w:pgMar w:header="1024" w:footer="1302" w:top="1480" w:bottom="1500" w:left="360" w:right="360"/>
        </w:sectPr>
      </w:pPr>
    </w:p>
    <w:p>
      <w:pPr>
        <w:pStyle w:val="BodyText"/>
        <w:ind w:left="777"/>
        <w:jc w:val="left"/>
      </w:pPr>
      <w:r>
        <w:rPr>
          <w:spacing w:val="-2"/>
        </w:rPr>
        <w:t>No.27</w:t>
      </w:r>
    </w:p>
    <w:p>
      <w:pPr>
        <w:spacing w:line="240" w:lineRule="auto" w:before="118"/>
        <w:rPr>
          <w:sz w:val="24"/>
        </w:rPr>
      </w:pPr>
      <w:r>
        <w:rPr/>
        <w:br w:type="column"/>
      </w:r>
      <w:r>
        <w:rPr>
          <w:sz w:val="24"/>
        </w:rPr>
      </w:r>
    </w:p>
    <w:p>
      <w:pPr>
        <w:pStyle w:val="ListParagraph"/>
        <w:numPr>
          <w:ilvl w:val="1"/>
          <w:numId w:val="374"/>
        </w:numPr>
        <w:tabs>
          <w:tab w:pos="412" w:val="left" w:leader="none"/>
        </w:tabs>
        <w:spacing w:line="240" w:lineRule="auto" w:before="1" w:after="0"/>
        <w:ind w:left="412" w:right="0" w:hanging="412"/>
        <w:jc w:val="left"/>
        <w:rPr>
          <w:sz w:val="24"/>
        </w:rPr>
      </w:pPr>
      <w:r>
        <w:rPr>
          <w:sz w:val="24"/>
        </w:rPr>
        <w:t>Tenement</w:t>
      </w:r>
      <w:r>
        <w:rPr>
          <w:spacing w:val="-5"/>
          <w:sz w:val="24"/>
        </w:rPr>
        <w:t> </w:t>
      </w:r>
      <w:r>
        <w:rPr>
          <w:spacing w:val="-2"/>
          <w:sz w:val="24"/>
        </w:rPr>
        <w:t>Statement</w:t>
      </w:r>
    </w:p>
    <w:p>
      <w:pPr>
        <w:pStyle w:val="ListParagraph"/>
        <w:numPr>
          <w:ilvl w:val="0"/>
          <w:numId w:val="376"/>
        </w:numPr>
        <w:tabs>
          <w:tab w:pos="959" w:val="left" w:leader="none"/>
        </w:tabs>
        <w:spacing w:line="240" w:lineRule="auto" w:before="121" w:after="0"/>
        <w:ind w:left="959" w:right="0" w:hanging="600"/>
        <w:jc w:val="left"/>
        <w:rPr>
          <w:sz w:val="24"/>
        </w:rPr>
      </w:pPr>
      <w:r>
        <w:rPr>
          <w:sz w:val="24"/>
        </w:rPr>
        <w:t>Proposed</w:t>
      </w:r>
      <w:r>
        <w:rPr>
          <w:spacing w:val="-3"/>
          <w:sz w:val="24"/>
        </w:rPr>
        <w:t> </w:t>
      </w:r>
      <w:r>
        <w:rPr>
          <w:sz w:val="24"/>
        </w:rPr>
        <w:t>built</w:t>
      </w:r>
      <w:r>
        <w:rPr>
          <w:spacing w:val="-3"/>
          <w:sz w:val="24"/>
        </w:rPr>
        <w:t> </w:t>
      </w:r>
      <w:r>
        <w:rPr>
          <w:sz w:val="24"/>
        </w:rPr>
        <w:t>up</w:t>
      </w:r>
      <w:r>
        <w:rPr>
          <w:spacing w:val="-2"/>
          <w:sz w:val="24"/>
        </w:rPr>
        <w:t> </w:t>
      </w:r>
      <w:r>
        <w:rPr>
          <w:sz w:val="24"/>
        </w:rPr>
        <w:t>area</w:t>
      </w:r>
      <w:r>
        <w:rPr>
          <w:spacing w:val="-3"/>
          <w:sz w:val="24"/>
        </w:rPr>
        <w:t> </w:t>
      </w:r>
      <w:r>
        <w:rPr>
          <w:sz w:val="24"/>
        </w:rPr>
        <w:t>(13</w:t>
      </w:r>
      <w:r>
        <w:rPr>
          <w:spacing w:val="-2"/>
          <w:sz w:val="24"/>
        </w:rPr>
        <w:t> above)</w:t>
      </w:r>
    </w:p>
    <w:p>
      <w:pPr>
        <w:pStyle w:val="ListParagraph"/>
        <w:numPr>
          <w:ilvl w:val="0"/>
          <w:numId w:val="376"/>
        </w:numPr>
        <w:tabs>
          <w:tab w:pos="955" w:val="left" w:leader="none"/>
        </w:tabs>
        <w:spacing w:line="240" w:lineRule="auto" w:before="119" w:after="0"/>
        <w:ind w:left="955" w:right="0" w:hanging="596"/>
        <w:jc w:val="left"/>
        <w:rPr>
          <w:sz w:val="24"/>
        </w:rPr>
      </w:pPr>
      <w:r>
        <w:rPr>
          <w:sz w:val="24"/>
        </w:rPr>
        <w:t>Less</w:t>
      </w:r>
      <w:r>
        <w:rPr>
          <w:spacing w:val="-3"/>
          <w:sz w:val="24"/>
        </w:rPr>
        <w:t> </w:t>
      </w:r>
      <w:r>
        <w:rPr>
          <w:sz w:val="24"/>
        </w:rPr>
        <w:t>deduction</w:t>
      </w:r>
      <w:r>
        <w:rPr>
          <w:spacing w:val="-3"/>
          <w:sz w:val="24"/>
        </w:rPr>
        <w:t> </w:t>
      </w:r>
      <w:r>
        <w:rPr>
          <w:sz w:val="24"/>
        </w:rPr>
        <w:t>of</w:t>
      </w:r>
      <w:r>
        <w:rPr>
          <w:spacing w:val="-3"/>
          <w:sz w:val="24"/>
        </w:rPr>
        <w:t> </w:t>
      </w:r>
      <w:r>
        <w:rPr>
          <w:sz w:val="24"/>
        </w:rPr>
        <w:t>Non-residential</w:t>
      </w:r>
      <w:r>
        <w:rPr>
          <w:spacing w:val="-3"/>
          <w:sz w:val="24"/>
        </w:rPr>
        <w:t> </w:t>
      </w:r>
      <w:r>
        <w:rPr>
          <w:sz w:val="24"/>
        </w:rPr>
        <w:t>area</w:t>
      </w:r>
      <w:r>
        <w:rPr>
          <w:spacing w:val="-3"/>
          <w:sz w:val="24"/>
        </w:rPr>
        <w:t> </w:t>
      </w:r>
      <w:r>
        <w:rPr>
          <w:sz w:val="24"/>
        </w:rPr>
        <w:t>(Shop</w:t>
      </w:r>
      <w:r>
        <w:rPr>
          <w:spacing w:val="-2"/>
          <w:sz w:val="24"/>
        </w:rPr>
        <w:t> etc.)</w:t>
      </w:r>
    </w:p>
    <w:p>
      <w:pPr>
        <w:pStyle w:val="ListParagraph"/>
        <w:numPr>
          <w:ilvl w:val="0"/>
          <w:numId w:val="376"/>
        </w:numPr>
        <w:tabs>
          <w:tab w:pos="950" w:val="left" w:leader="none"/>
        </w:tabs>
        <w:spacing w:line="240" w:lineRule="auto" w:before="122" w:after="0"/>
        <w:ind w:left="950" w:right="0" w:hanging="591"/>
        <w:jc w:val="left"/>
        <w:rPr>
          <w:sz w:val="24"/>
        </w:rPr>
      </w:pPr>
      <w:r>
        <w:rPr>
          <w:sz w:val="24"/>
        </w:rPr>
        <w:t>Area</w:t>
      </w:r>
      <w:r>
        <w:rPr>
          <w:spacing w:val="-1"/>
          <w:sz w:val="24"/>
        </w:rPr>
        <w:t> </w:t>
      </w:r>
      <w:r>
        <w:rPr>
          <w:sz w:val="24"/>
        </w:rPr>
        <w:t>available for</w:t>
      </w:r>
      <w:r>
        <w:rPr>
          <w:spacing w:val="-1"/>
          <w:sz w:val="24"/>
        </w:rPr>
        <w:t> </w:t>
      </w:r>
      <w:r>
        <w:rPr>
          <w:sz w:val="24"/>
        </w:rPr>
        <w:t>tenements [(i)</w:t>
      </w:r>
      <w:r>
        <w:rPr>
          <w:spacing w:val="-1"/>
          <w:sz w:val="24"/>
        </w:rPr>
        <w:t> </w:t>
      </w:r>
      <w:r>
        <w:rPr>
          <w:sz w:val="24"/>
        </w:rPr>
        <w:t>minus </w:t>
      </w:r>
      <w:r>
        <w:rPr>
          <w:spacing w:val="-2"/>
          <w:sz w:val="24"/>
        </w:rPr>
        <w:t>(ii).]</w:t>
      </w:r>
    </w:p>
    <w:p>
      <w:pPr>
        <w:pStyle w:val="ListParagraph"/>
        <w:numPr>
          <w:ilvl w:val="0"/>
          <w:numId w:val="376"/>
        </w:numPr>
        <w:tabs>
          <w:tab w:pos="931" w:val="left" w:leader="none"/>
        </w:tabs>
        <w:spacing w:line="240" w:lineRule="auto" w:before="119" w:after="0"/>
        <w:ind w:left="931" w:right="0" w:hanging="572"/>
        <w:jc w:val="left"/>
        <w:rPr>
          <w:sz w:val="24"/>
        </w:rPr>
      </w:pPr>
      <w:r>
        <w:rPr>
          <w:sz w:val="24"/>
        </w:rPr>
        <w:t>Tenements</w:t>
      </w:r>
      <w:r>
        <w:rPr>
          <w:spacing w:val="-1"/>
          <w:sz w:val="24"/>
        </w:rPr>
        <w:t> </w:t>
      </w:r>
      <w:r>
        <w:rPr>
          <w:sz w:val="24"/>
        </w:rPr>
        <w:t>permissible (Density of </w:t>
      </w:r>
      <w:r>
        <w:rPr>
          <w:spacing w:val="-2"/>
          <w:sz w:val="24"/>
        </w:rPr>
        <w:t>tenements/hectare)</w:t>
      </w:r>
    </w:p>
    <w:p>
      <w:pPr>
        <w:pStyle w:val="ListParagraph"/>
        <w:spacing w:after="0" w:line="240" w:lineRule="auto"/>
        <w:jc w:val="left"/>
        <w:rPr>
          <w:sz w:val="24"/>
        </w:rPr>
        <w:sectPr>
          <w:type w:val="continuous"/>
          <w:pgSz w:w="11910" w:h="16850"/>
          <w:pgMar w:header="1024" w:footer="1302" w:top="1360" w:bottom="280" w:left="360" w:right="360"/>
          <w:cols w:num="2" w:equalWidth="0">
            <w:col w:w="1464" w:space="34"/>
            <w:col w:w="9692"/>
          </w:cols>
        </w:sectPr>
      </w:pPr>
    </w:p>
    <w:p>
      <w:pPr>
        <w:pStyle w:val="ListParagraph"/>
        <w:numPr>
          <w:ilvl w:val="0"/>
          <w:numId w:val="376"/>
        </w:numPr>
        <w:tabs>
          <w:tab w:pos="2433" w:val="left" w:leader="none"/>
        </w:tabs>
        <w:spacing w:line="240" w:lineRule="auto" w:before="276" w:after="0"/>
        <w:ind w:left="2433" w:right="0" w:hanging="575"/>
        <w:jc w:val="left"/>
        <w:rPr>
          <w:sz w:val="24"/>
        </w:rPr>
      </w:pPr>
      <w:r>
        <w:rPr>
          <w:sz w:val="24"/>
        </w:rPr>
        <w:t>Total</w:t>
      </w:r>
      <w:r>
        <w:rPr>
          <w:spacing w:val="-1"/>
          <w:sz w:val="24"/>
        </w:rPr>
        <w:t> </w:t>
      </w:r>
      <w:r>
        <w:rPr>
          <w:sz w:val="24"/>
        </w:rPr>
        <w:t>number</w:t>
      </w:r>
      <w:r>
        <w:rPr>
          <w:spacing w:val="-1"/>
          <w:sz w:val="24"/>
        </w:rPr>
        <w:t> </w:t>
      </w:r>
      <w:r>
        <w:rPr>
          <w:sz w:val="24"/>
        </w:rPr>
        <w:t>of</w:t>
      </w:r>
      <w:r>
        <w:rPr>
          <w:spacing w:val="1"/>
          <w:sz w:val="24"/>
        </w:rPr>
        <w:t> </w:t>
      </w:r>
      <w:r>
        <w:rPr>
          <w:sz w:val="24"/>
        </w:rPr>
        <w:t>Tenements proposed</w:t>
      </w:r>
      <w:r>
        <w:rPr>
          <w:spacing w:val="-1"/>
          <w:sz w:val="24"/>
        </w:rPr>
        <w:t> </w:t>
      </w:r>
      <w:r>
        <w:rPr>
          <w:sz w:val="24"/>
        </w:rPr>
        <w:t>on</w:t>
      </w:r>
      <w:r>
        <w:rPr>
          <w:spacing w:val="-1"/>
          <w:sz w:val="24"/>
        </w:rPr>
        <w:t> </w:t>
      </w:r>
      <w:r>
        <w:rPr>
          <w:sz w:val="24"/>
        </w:rPr>
        <w:t>the </w:t>
      </w:r>
      <w:r>
        <w:rPr>
          <w:spacing w:val="-4"/>
          <w:sz w:val="24"/>
        </w:rPr>
        <w:t>plot</w:t>
      </w:r>
    </w:p>
    <w:p>
      <w:pPr>
        <w:pStyle w:val="ListParagraph"/>
        <w:numPr>
          <w:ilvl w:val="1"/>
          <w:numId w:val="374"/>
        </w:numPr>
        <w:tabs>
          <w:tab w:pos="1891" w:val="left" w:leader="none"/>
        </w:tabs>
        <w:spacing w:line="240" w:lineRule="auto" w:before="119" w:after="0"/>
        <w:ind w:left="1891" w:right="0" w:hanging="393"/>
        <w:jc w:val="left"/>
        <w:rPr>
          <w:sz w:val="24"/>
        </w:rPr>
      </w:pPr>
      <w:r>
        <w:rPr>
          <w:sz w:val="24"/>
        </w:rPr>
        <w:t>Parking </w:t>
      </w:r>
      <w:r>
        <w:rPr>
          <w:spacing w:val="-2"/>
          <w:sz w:val="24"/>
        </w:rPr>
        <w:t>Statement</w:t>
      </w:r>
    </w:p>
    <w:p>
      <w:pPr>
        <w:pStyle w:val="ListParagraph"/>
        <w:numPr>
          <w:ilvl w:val="0"/>
          <w:numId w:val="377"/>
        </w:numPr>
        <w:tabs>
          <w:tab w:pos="2073" w:val="left" w:leader="none"/>
          <w:tab w:pos="2218" w:val="left" w:leader="none"/>
        </w:tabs>
        <w:spacing w:line="340" w:lineRule="auto" w:before="121" w:after="0"/>
        <w:ind w:left="2218" w:right="4568" w:hanging="360"/>
        <w:jc w:val="left"/>
        <w:rPr>
          <w:sz w:val="24"/>
        </w:rPr>
      </w:pPr>
      <w:r>
        <w:rPr>
          <w:sz w:val="24"/>
        </w:rPr>
        <w:t>_Parking</w:t>
      </w:r>
      <w:r>
        <w:rPr>
          <w:spacing w:val="-7"/>
          <w:sz w:val="24"/>
        </w:rPr>
        <w:t> </w:t>
      </w:r>
      <w:r>
        <w:rPr>
          <w:sz w:val="24"/>
        </w:rPr>
        <w:t>required</w:t>
      </w:r>
      <w:r>
        <w:rPr>
          <w:spacing w:val="-7"/>
          <w:sz w:val="24"/>
        </w:rPr>
        <w:t> </w:t>
      </w:r>
      <w:r>
        <w:rPr>
          <w:sz w:val="24"/>
        </w:rPr>
        <w:t>by</w:t>
      </w:r>
      <w:r>
        <w:rPr>
          <w:spacing w:val="-7"/>
          <w:sz w:val="24"/>
        </w:rPr>
        <w:t> </w:t>
      </w:r>
      <w:r>
        <w:rPr>
          <w:sz w:val="24"/>
        </w:rPr>
        <w:t>Regulations</w:t>
      </w:r>
      <w:r>
        <w:rPr>
          <w:spacing w:val="-7"/>
          <w:sz w:val="24"/>
        </w:rPr>
        <w:t> </w:t>
      </w:r>
      <w:r>
        <w:rPr>
          <w:sz w:val="24"/>
        </w:rPr>
        <w:t>for.</w:t>
      </w:r>
      <w:r>
        <w:rPr>
          <w:spacing w:val="-7"/>
          <w:sz w:val="24"/>
        </w:rPr>
        <w:t> </w:t>
      </w:r>
      <w:r>
        <w:rPr>
          <w:sz w:val="24"/>
        </w:rPr>
        <w:t>- </w:t>
      </w:r>
      <w:r>
        <w:rPr>
          <w:spacing w:val="-4"/>
          <w:sz w:val="24"/>
        </w:rPr>
        <w:t>Car</w:t>
      </w:r>
    </w:p>
    <w:p>
      <w:pPr>
        <w:pStyle w:val="BodyText"/>
        <w:spacing w:line="340" w:lineRule="auto" w:before="4"/>
        <w:ind w:left="2218" w:right="5909"/>
        <w:jc w:val="left"/>
      </w:pPr>
      <w:r>
        <w:rPr/>
        <w:t>Scooter/Motor</w:t>
      </w:r>
      <w:r>
        <w:rPr>
          <w:spacing w:val="-20"/>
        </w:rPr>
        <w:t> </w:t>
      </w:r>
      <w:r>
        <w:rPr/>
        <w:t>cycle Outsiders (visitors)</w:t>
      </w:r>
    </w:p>
    <w:p>
      <w:pPr>
        <w:pStyle w:val="ListParagraph"/>
        <w:numPr>
          <w:ilvl w:val="0"/>
          <w:numId w:val="377"/>
        </w:numPr>
        <w:tabs>
          <w:tab w:pos="2299" w:val="left" w:leader="none"/>
        </w:tabs>
        <w:spacing w:line="240" w:lineRule="auto" w:before="2" w:after="0"/>
        <w:ind w:left="2299" w:right="0" w:hanging="441"/>
        <w:jc w:val="left"/>
        <w:rPr>
          <w:sz w:val="24"/>
        </w:rPr>
      </w:pPr>
      <w:r>
        <w:rPr>
          <w:sz w:val="24"/>
        </w:rPr>
        <w:t>Covered</w:t>
      </w:r>
      <w:r>
        <w:rPr>
          <w:spacing w:val="-3"/>
          <w:sz w:val="24"/>
        </w:rPr>
        <w:t> </w:t>
      </w:r>
      <w:r>
        <w:rPr>
          <w:sz w:val="24"/>
        </w:rPr>
        <w:t>garage</w:t>
      </w:r>
      <w:r>
        <w:rPr>
          <w:spacing w:val="-3"/>
          <w:sz w:val="24"/>
        </w:rPr>
        <w:t> </w:t>
      </w:r>
      <w:r>
        <w:rPr>
          <w:spacing w:val="-2"/>
          <w:sz w:val="24"/>
        </w:rPr>
        <w:t>permissible</w:t>
      </w:r>
    </w:p>
    <w:p>
      <w:pPr>
        <w:pStyle w:val="ListParagraph"/>
        <w:numPr>
          <w:ilvl w:val="0"/>
          <w:numId w:val="377"/>
        </w:numPr>
        <w:tabs>
          <w:tab w:pos="2218" w:val="left" w:leader="none"/>
          <w:tab w:pos="2371" w:val="left" w:leader="none"/>
        </w:tabs>
        <w:spacing w:line="340" w:lineRule="auto" w:before="121" w:after="0"/>
        <w:ind w:left="2218" w:right="5755" w:hanging="360"/>
        <w:jc w:val="left"/>
        <w:rPr>
          <w:sz w:val="24"/>
        </w:rPr>
      </w:pPr>
      <w:r>
        <w:rPr>
          <w:sz w:val="24"/>
        </w:rPr>
        <w:tab/>
        <w:t>Covered</w:t>
      </w:r>
      <w:r>
        <w:rPr>
          <w:spacing w:val="-17"/>
          <w:sz w:val="24"/>
        </w:rPr>
        <w:t> </w:t>
      </w:r>
      <w:r>
        <w:rPr>
          <w:sz w:val="24"/>
        </w:rPr>
        <w:t>garages</w:t>
      </w:r>
      <w:r>
        <w:rPr>
          <w:spacing w:val="-17"/>
          <w:sz w:val="24"/>
        </w:rPr>
        <w:t> </w:t>
      </w:r>
      <w:r>
        <w:rPr>
          <w:sz w:val="24"/>
        </w:rPr>
        <w:t>proposed </w:t>
      </w:r>
      <w:r>
        <w:rPr>
          <w:spacing w:val="-4"/>
          <w:sz w:val="24"/>
        </w:rPr>
        <w:t>Car</w:t>
      </w:r>
    </w:p>
    <w:p>
      <w:pPr>
        <w:pStyle w:val="BodyText"/>
        <w:spacing w:line="340" w:lineRule="auto" w:before="5"/>
        <w:ind w:left="2218" w:right="5909"/>
        <w:jc w:val="left"/>
      </w:pPr>
      <w:r>
        <w:rPr/>
        <w:t>Scooter/Motor</w:t>
      </w:r>
      <w:r>
        <w:rPr>
          <w:spacing w:val="-20"/>
        </w:rPr>
        <w:t> </w:t>
      </w:r>
      <w:r>
        <w:rPr/>
        <w:t>cycle Outsider (Visitors)</w:t>
      </w:r>
    </w:p>
    <w:p>
      <w:pPr>
        <w:pStyle w:val="ListParagraph"/>
        <w:numPr>
          <w:ilvl w:val="0"/>
          <w:numId w:val="377"/>
        </w:numPr>
        <w:tabs>
          <w:tab w:pos="2275" w:val="left" w:leader="none"/>
        </w:tabs>
        <w:spacing w:line="240" w:lineRule="auto" w:before="1" w:after="0"/>
        <w:ind w:left="2275" w:right="0" w:hanging="417"/>
        <w:jc w:val="left"/>
        <w:rPr>
          <w:sz w:val="24"/>
        </w:rPr>
      </w:pPr>
      <w:r>
        <w:rPr>
          <w:sz w:val="24"/>
        </w:rPr>
        <w:t>Total</w:t>
      </w:r>
      <w:r>
        <w:rPr>
          <w:spacing w:val="-4"/>
          <w:sz w:val="24"/>
        </w:rPr>
        <w:t> </w:t>
      </w:r>
      <w:r>
        <w:rPr>
          <w:sz w:val="24"/>
        </w:rPr>
        <w:t>parking</w:t>
      </w:r>
      <w:r>
        <w:rPr>
          <w:spacing w:val="-1"/>
          <w:sz w:val="24"/>
        </w:rPr>
        <w:t> </w:t>
      </w:r>
      <w:r>
        <w:rPr>
          <w:spacing w:val="-2"/>
          <w:sz w:val="24"/>
        </w:rPr>
        <w:t>provided</w:t>
      </w:r>
    </w:p>
    <w:p>
      <w:pPr>
        <w:pStyle w:val="BodyText"/>
        <w:spacing w:before="122"/>
        <w:ind w:left="1498"/>
        <w:jc w:val="left"/>
      </w:pPr>
      <w:r>
        <w:rPr/>
        <w:t>(D)</w:t>
      </w:r>
      <w:r>
        <w:rPr>
          <w:spacing w:val="-1"/>
        </w:rPr>
        <w:t> </w:t>
      </w:r>
      <w:r>
        <w:rPr/>
        <w:t>Transport Vehicles </w:t>
      </w:r>
      <w:r>
        <w:rPr>
          <w:spacing w:val="-2"/>
        </w:rPr>
        <w:t>Parking</w:t>
      </w:r>
    </w:p>
    <w:p>
      <w:pPr>
        <w:pStyle w:val="ListParagraph"/>
        <w:numPr>
          <w:ilvl w:val="0"/>
          <w:numId w:val="378"/>
        </w:numPr>
        <w:tabs>
          <w:tab w:pos="2227" w:val="left" w:leader="none"/>
        </w:tabs>
        <w:spacing w:line="240" w:lineRule="auto" w:before="119" w:after="0"/>
        <w:ind w:left="2227" w:right="0" w:hanging="369"/>
        <w:jc w:val="left"/>
        <w:rPr>
          <w:sz w:val="24"/>
        </w:rPr>
      </w:pPr>
      <w:r>
        <w:rPr>
          <w:sz w:val="24"/>
        </w:rPr>
        <w:t>Spaces</w:t>
      </w:r>
      <w:r>
        <w:rPr>
          <w:spacing w:val="-1"/>
          <w:sz w:val="24"/>
        </w:rPr>
        <w:t> </w:t>
      </w:r>
      <w:r>
        <w:rPr>
          <w:sz w:val="24"/>
        </w:rPr>
        <w:t>for</w:t>
      </w:r>
      <w:r>
        <w:rPr>
          <w:spacing w:val="-1"/>
          <w:sz w:val="24"/>
        </w:rPr>
        <w:t> </w:t>
      </w:r>
      <w:r>
        <w:rPr>
          <w:sz w:val="24"/>
        </w:rPr>
        <w:t>transport</w:t>
      </w:r>
      <w:r>
        <w:rPr>
          <w:spacing w:val="-1"/>
          <w:sz w:val="24"/>
        </w:rPr>
        <w:t> </w:t>
      </w:r>
      <w:r>
        <w:rPr>
          <w:sz w:val="24"/>
        </w:rPr>
        <w:t>vehicles</w:t>
      </w:r>
      <w:r>
        <w:rPr>
          <w:spacing w:val="-1"/>
          <w:sz w:val="24"/>
        </w:rPr>
        <w:t> </w:t>
      </w:r>
      <w:r>
        <w:rPr>
          <w:sz w:val="24"/>
        </w:rPr>
        <w:t>parking</w:t>
      </w:r>
      <w:r>
        <w:rPr>
          <w:spacing w:val="-1"/>
          <w:sz w:val="24"/>
        </w:rPr>
        <w:t> </w:t>
      </w:r>
      <w:r>
        <w:rPr>
          <w:sz w:val="24"/>
        </w:rPr>
        <w:t>required</w:t>
      </w:r>
      <w:r>
        <w:rPr>
          <w:spacing w:val="-1"/>
          <w:sz w:val="24"/>
        </w:rPr>
        <w:t> </w:t>
      </w:r>
      <w:r>
        <w:rPr>
          <w:sz w:val="24"/>
        </w:rPr>
        <w:t>by</w:t>
      </w:r>
      <w:r>
        <w:rPr>
          <w:spacing w:val="-1"/>
          <w:sz w:val="24"/>
        </w:rPr>
        <w:t> </w:t>
      </w:r>
      <w:r>
        <w:rPr>
          <w:spacing w:val="-2"/>
          <w:sz w:val="24"/>
        </w:rPr>
        <w:t>Regulations</w:t>
      </w:r>
    </w:p>
    <w:p>
      <w:pPr>
        <w:pStyle w:val="ListParagraph"/>
        <w:numPr>
          <w:ilvl w:val="0"/>
          <w:numId w:val="378"/>
        </w:numPr>
        <w:tabs>
          <w:tab w:pos="2299" w:val="left" w:leader="none"/>
        </w:tabs>
        <w:spacing w:line="240" w:lineRule="auto" w:before="119" w:after="0"/>
        <w:ind w:left="2299" w:right="0" w:hanging="441"/>
        <w:jc w:val="left"/>
        <w:rPr>
          <w:sz w:val="24"/>
        </w:rPr>
      </w:pPr>
      <w:r>
        <w:rPr>
          <w:sz w:val="24"/>
        </w:rPr>
        <w:t>Total</w:t>
      </w:r>
      <w:r>
        <w:rPr>
          <w:spacing w:val="-1"/>
          <w:sz w:val="24"/>
        </w:rPr>
        <w:t> </w:t>
      </w:r>
      <w:r>
        <w:rPr>
          <w:sz w:val="24"/>
        </w:rPr>
        <w:t>No.</w:t>
      </w:r>
      <w:r>
        <w:rPr>
          <w:spacing w:val="-1"/>
          <w:sz w:val="24"/>
        </w:rPr>
        <w:t> </w:t>
      </w:r>
      <w:r>
        <w:rPr>
          <w:sz w:val="24"/>
        </w:rPr>
        <w:t>of transport</w:t>
      </w:r>
      <w:r>
        <w:rPr>
          <w:spacing w:val="-1"/>
          <w:sz w:val="24"/>
        </w:rPr>
        <w:t> </w:t>
      </w:r>
      <w:r>
        <w:rPr>
          <w:sz w:val="24"/>
        </w:rPr>
        <w:t>vehicles parking</w:t>
      </w:r>
      <w:r>
        <w:rPr>
          <w:spacing w:val="-1"/>
          <w:sz w:val="24"/>
        </w:rPr>
        <w:t> </w:t>
      </w:r>
      <w:r>
        <w:rPr>
          <w:sz w:val="24"/>
        </w:rPr>
        <w:t>spaces </w:t>
      </w:r>
      <w:r>
        <w:rPr>
          <w:spacing w:val="-2"/>
          <w:sz w:val="24"/>
        </w:rPr>
        <w:t>provided</w:t>
      </w:r>
    </w:p>
    <w:p>
      <w:pPr>
        <w:pStyle w:val="BodyText"/>
        <w:spacing w:before="121"/>
        <w:ind w:left="777" w:firstLine="76"/>
        <w:jc w:val="left"/>
      </w:pPr>
      <w:r>
        <w:rPr/>
        <w:t>Note</w:t>
      </w:r>
      <w:r>
        <w:rPr>
          <w:spacing w:val="40"/>
        </w:rPr>
        <w:t> </w:t>
      </w:r>
      <w:r>
        <w:rPr/>
        <w:t>–</w:t>
      </w:r>
      <w:r>
        <w:rPr>
          <w:spacing w:val="40"/>
        </w:rPr>
        <w:t> </w:t>
      </w:r>
      <w:r>
        <w:rPr/>
        <w:t>The</w:t>
      </w:r>
      <w:r>
        <w:rPr>
          <w:spacing w:val="40"/>
        </w:rPr>
        <w:t> </w:t>
      </w:r>
      <w:r>
        <w:rPr/>
        <w:t>Proforma</w:t>
      </w:r>
      <w:r>
        <w:rPr>
          <w:spacing w:val="40"/>
        </w:rPr>
        <w:t> </w:t>
      </w:r>
      <w:r>
        <w:rPr/>
        <w:t>is</w:t>
      </w:r>
      <w:r>
        <w:rPr>
          <w:spacing w:val="40"/>
        </w:rPr>
        <w:t> </w:t>
      </w:r>
      <w:r>
        <w:rPr/>
        <w:t>for</w:t>
      </w:r>
      <w:r>
        <w:rPr>
          <w:spacing w:val="40"/>
        </w:rPr>
        <w:t> </w:t>
      </w:r>
      <w:r>
        <w:rPr/>
        <w:t>an</w:t>
      </w:r>
      <w:r>
        <w:rPr>
          <w:spacing w:val="40"/>
        </w:rPr>
        <w:t> </w:t>
      </w:r>
      <w:r>
        <w:rPr/>
        <w:t>illustrative</w:t>
      </w:r>
      <w:r>
        <w:rPr>
          <w:spacing w:val="40"/>
        </w:rPr>
        <w:t> </w:t>
      </w:r>
      <w:r>
        <w:rPr/>
        <w:t>guidelineonly.</w:t>
      </w:r>
      <w:r>
        <w:rPr>
          <w:spacing w:val="40"/>
        </w:rPr>
        <w:t> </w:t>
      </w:r>
      <w:r>
        <w:rPr/>
        <w:t>Theproforma</w:t>
      </w:r>
      <w:r>
        <w:rPr>
          <w:spacing w:val="40"/>
        </w:rPr>
        <w:t> </w:t>
      </w:r>
      <w:r>
        <w:rPr/>
        <w:t>may</w:t>
      </w:r>
      <w:r>
        <w:rPr>
          <w:spacing w:val="40"/>
        </w:rPr>
        <w:t> </w:t>
      </w:r>
      <w:r>
        <w:rPr/>
        <w:t>be modified to suit the provisions of DCR under which the development is proposed.</w:t>
      </w:r>
    </w:p>
    <w:p>
      <w:pPr>
        <w:pStyle w:val="BodyText"/>
        <w:spacing w:before="241"/>
        <w:ind w:left="777"/>
        <w:jc w:val="left"/>
      </w:pPr>
      <w:r>
        <w:rPr/>
        <w:t>FORM </w:t>
      </w:r>
      <w:r>
        <w:rPr>
          <w:spacing w:val="-5"/>
        </w:rPr>
        <w:t>II</w:t>
      </w:r>
    </w:p>
    <w:p>
      <w:pPr>
        <w:pStyle w:val="BodyText"/>
        <w:spacing w:line="340" w:lineRule="auto" w:before="119"/>
        <w:ind w:left="777" w:right="4416"/>
        <w:jc w:val="left"/>
      </w:pPr>
      <w:r>
        <w:rPr/>
        <w:t>(At</w:t>
      </w:r>
      <w:r>
        <w:rPr>
          <w:spacing w:val="-5"/>
        </w:rPr>
        <w:t> </w:t>
      </w:r>
      <w:r>
        <w:rPr/>
        <w:t>right</w:t>
      </w:r>
      <w:r>
        <w:rPr>
          <w:spacing w:val="-5"/>
        </w:rPr>
        <w:t> </w:t>
      </w:r>
      <w:r>
        <w:rPr/>
        <w:t>bottom</w:t>
      </w:r>
      <w:r>
        <w:rPr>
          <w:spacing w:val="-5"/>
        </w:rPr>
        <w:t> </w:t>
      </w:r>
      <w:r>
        <w:rPr/>
        <w:t>corner</w:t>
      </w:r>
      <w:r>
        <w:rPr>
          <w:spacing w:val="-5"/>
        </w:rPr>
        <w:t> </w:t>
      </w:r>
      <w:r>
        <w:rPr/>
        <w:t>of</w:t>
      </w:r>
      <w:r>
        <w:rPr>
          <w:spacing w:val="-5"/>
        </w:rPr>
        <w:t> </w:t>
      </w:r>
      <w:r>
        <w:rPr/>
        <w:t>plans/below</w:t>
      </w:r>
      <w:r>
        <w:rPr>
          <w:spacing w:val="-5"/>
        </w:rPr>
        <w:t> </w:t>
      </w:r>
      <w:r>
        <w:rPr/>
        <w:t>Form</w:t>
      </w:r>
      <w:r>
        <w:rPr>
          <w:spacing w:val="-5"/>
        </w:rPr>
        <w:t> </w:t>
      </w:r>
      <w:r>
        <w:rPr/>
        <w:t>I) Contents of sheet</w:t>
      </w:r>
    </w:p>
    <w:p>
      <w:pPr>
        <w:pStyle w:val="BodyText"/>
        <w:spacing w:line="340" w:lineRule="auto" w:before="4"/>
        <w:ind w:left="777" w:right="5909"/>
        <w:jc w:val="left"/>
      </w:pPr>
      <w:r>
        <w:rPr/>
        <w:t>Stamp</w:t>
      </w:r>
      <w:r>
        <w:rPr>
          <w:spacing w:val="-6"/>
        </w:rPr>
        <w:t> </w:t>
      </w:r>
      <w:r>
        <w:rPr/>
        <w:t>of</w:t>
      </w:r>
      <w:r>
        <w:rPr>
          <w:spacing w:val="-6"/>
        </w:rPr>
        <w:t> </w:t>
      </w:r>
      <w:r>
        <w:rPr/>
        <w:t>date</w:t>
      </w:r>
      <w:r>
        <w:rPr>
          <w:spacing w:val="-6"/>
        </w:rPr>
        <w:t> </w:t>
      </w:r>
      <w:r>
        <w:rPr/>
        <w:t>of</w:t>
      </w:r>
      <w:r>
        <w:rPr>
          <w:spacing w:val="-6"/>
        </w:rPr>
        <w:t> </w:t>
      </w:r>
      <w:r>
        <w:rPr/>
        <w:t>receipt</w:t>
      </w:r>
      <w:r>
        <w:rPr>
          <w:spacing w:val="-6"/>
        </w:rPr>
        <w:t> </w:t>
      </w:r>
      <w:r>
        <w:rPr/>
        <w:t>of</w:t>
      </w:r>
      <w:r>
        <w:rPr>
          <w:spacing w:val="-6"/>
        </w:rPr>
        <w:t> </w:t>
      </w:r>
      <w:r>
        <w:rPr/>
        <w:t>plans Stamp of approval of plans</w:t>
      </w:r>
    </w:p>
    <w:p>
      <w:pPr>
        <w:pStyle w:val="BodyText"/>
        <w:tabs>
          <w:tab w:pos="8257" w:val="left" w:leader="none"/>
        </w:tabs>
        <w:spacing w:line="281" w:lineRule="exact" w:before="4"/>
        <w:ind w:left="777"/>
        <w:jc w:val="left"/>
      </w:pPr>
      <w:r>
        <w:rPr>
          <w:spacing w:val="-2"/>
        </w:rPr>
        <w:t>Revision</w:t>
      </w:r>
      <w:r>
        <w:rPr/>
        <w:tab/>
      </w:r>
      <w:r>
        <w:rPr>
          <w:spacing w:val="-2"/>
        </w:rPr>
        <w:t>Description</w:t>
      </w:r>
    </w:p>
    <w:p>
      <w:pPr>
        <w:pStyle w:val="BodyText"/>
        <w:tabs>
          <w:tab w:pos="7978" w:val="left" w:leader="none"/>
        </w:tabs>
        <w:spacing w:line="281" w:lineRule="exact"/>
        <w:ind w:left="6539"/>
        <w:jc w:val="left"/>
      </w:pPr>
      <w:r>
        <w:rPr>
          <w:spacing w:val="-4"/>
        </w:rPr>
        <w:t>Date</w:t>
      </w:r>
      <w:r>
        <w:rPr/>
        <w:tab/>
      </w:r>
      <w:r>
        <w:rPr>
          <w:spacing w:val="-2"/>
        </w:rPr>
        <w:t>Signature</w:t>
      </w:r>
    </w:p>
    <w:p>
      <w:pPr>
        <w:pStyle w:val="BodyText"/>
        <w:jc w:val="left"/>
      </w:pPr>
    </w:p>
    <w:p>
      <w:pPr>
        <w:pStyle w:val="BodyText"/>
        <w:jc w:val="left"/>
      </w:pPr>
    </w:p>
    <w:p>
      <w:pPr>
        <w:pStyle w:val="BodyText"/>
        <w:spacing w:before="78"/>
        <w:jc w:val="left"/>
      </w:pPr>
    </w:p>
    <w:p>
      <w:pPr>
        <w:pStyle w:val="BodyText"/>
        <w:spacing w:before="1"/>
        <w:ind w:left="777"/>
        <w:jc w:val="left"/>
      </w:pPr>
      <w:r>
        <w:rPr/>
        <w:t>Certificate of </w:t>
      </w:r>
      <w:r>
        <w:rPr>
          <w:spacing w:val="-4"/>
        </w:rPr>
        <w:t>Area</w:t>
      </w:r>
    </w:p>
    <w:p>
      <w:pPr>
        <w:pStyle w:val="BodyText"/>
        <w:spacing w:before="240"/>
        <w:jc w:val="left"/>
      </w:pPr>
    </w:p>
    <w:p>
      <w:pPr>
        <w:pStyle w:val="BodyText"/>
        <w:ind w:left="777" w:right="724" w:firstLine="384"/>
      </w:pPr>
      <w:r>
        <w:rPr/>
        <w:t>Certified that I have surveyed the plot under reference on……….. and that the dimensions</w:t>
      </w:r>
      <w:r>
        <w:rPr>
          <w:spacing w:val="-3"/>
        </w:rPr>
        <w:t> </w:t>
      </w:r>
      <w:r>
        <w:rPr/>
        <w:t>of</w:t>
      </w:r>
      <w:r>
        <w:rPr>
          <w:spacing w:val="-3"/>
        </w:rPr>
        <w:t> </w:t>
      </w:r>
      <w:r>
        <w:rPr/>
        <w:t>the</w:t>
      </w:r>
      <w:r>
        <w:rPr>
          <w:spacing w:val="-3"/>
        </w:rPr>
        <w:t> </w:t>
      </w:r>
      <w:r>
        <w:rPr/>
        <w:t>sides,</w:t>
      </w:r>
      <w:r>
        <w:rPr>
          <w:spacing w:val="-3"/>
        </w:rPr>
        <w:t> </w:t>
      </w:r>
      <w:r>
        <w:rPr/>
        <w:t>etc.</w:t>
      </w:r>
      <w:r>
        <w:rPr>
          <w:spacing w:val="-3"/>
        </w:rPr>
        <w:t> </w:t>
      </w:r>
      <w:r>
        <w:rPr/>
        <w:t>of</w:t>
      </w:r>
      <w:r>
        <w:rPr>
          <w:spacing w:val="-3"/>
        </w:rPr>
        <w:t> </w:t>
      </w:r>
      <w:r>
        <w:rPr/>
        <w:t>the</w:t>
      </w:r>
      <w:r>
        <w:rPr>
          <w:spacing w:val="-3"/>
        </w:rPr>
        <w:t> </w:t>
      </w:r>
      <w:r>
        <w:rPr/>
        <w:t>plot</w:t>
      </w:r>
      <w:r>
        <w:rPr>
          <w:spacing w:val="-3"/>
        </w:rPr>
        <w:t> </w:t>
      </w:r>
      <w:r>
        <w:rPr/>
        <w:t>stated</w:t>
      </w:r>
      <w:r>
        <w:rPr>
          <w:spacing w:val="-3"/>
        </w:rPr>
        <w:t> </w:t>
      </w:r>
      <w:r>
        <w:rPr/>
        <w:t>on</w:t>
      </w:r>
      <w:r>
        <w:rPr>
          <w:spacing w:val="-3"/>
        </w:rPr>
        <w:t> </w:t>
      </w:r>
      <w:r>
        <w:rPr/>
        <w:t>the</w:t>
      </w:r>
      <w:r>
        <w:rPr>
          <w:spacing w:val="-3"/>
        </w:rPr>
        <w:t> </w:t>
      </w:r>
      <w:r>
        <w:rPr/>
        <w:t>plan</w:t>
      </w:r>
      <w:r>
        <w:rPr>
          <w:spacing w:val="-3"/>
        </w:rPr>
        <w:t> </w:t>
      </w:r>
      <w:r>
        <w:rPr/>
        <w:t>are</w:t>
      </w:r>
      <w:r>
        <w:rPr>
          <w:spacing w:val="-3"/>
        </w:rPr>
        <w:t> </w:t>
      </w:r>
      <w:r>
        <w:rPr/>
        <w:t>as</w:t>
      </w:r>
      <w:r>
        <w:rPr>
          <w:spacing w:val="-3"/>
        </w:rPr>
        <w:t> </w:t>
      </w:r>
      <w:r>
        <w:rPr/>
        <w:t>measured</w:t>
      </w:r>
      <w:r>
        <w:rPr>
          <w:spacing w:val="-3"/>
        </w:rPr>
        <w:t> </w:t>
      </w:r>
      <w:r>
        <w:rPr/>
        <w:t>on</w:t>
      </w:r>
      <w:r>
        <w:rPr>
          <w:spacing w:val="-3"/>
        </w:rPr>
        <w:t> </w:t>
      </w:r>
      <w:r>
        <w:rPr/>
        <w:t>site and the area so worked out is*…………………. squaremeters and tallies with the area stated in the document of ownership/Town Planning Scheme records.</w:t>
      </w:r>
    </w:p>
    <w:p>
      <w:pPr>
        <w:pStyle w:val="BodyText"/>
        <w:tabs>
          <w:tab w:pos="2757" w:val="left" w:leader="none"/>
          <w:tab w:pos="3805" w:val="left" w:leader="none"/>
          <w:tab w:pos="5665" w:val="left" w:leader="none"/>
        </w:tabs>
        <w:spacing w:before="119"/>
        <w:ind w:left="777" w:right="721"/>
      </w:pPr>
      <w:r>
        <w:rPr>
          <w:spacing w:val="-2"/>
        </w:rPr>
        <w:t>Signature</w:t>
      </w:r>
      <w:r>
        <w:rPr/>
        <w:tab/>
      </w:r>
      <w:r>
        <w:rPr>
          <w:spacing w:val="-6"/>
        </w:rPr>
        <w:t>of</w:t>
      </w:r>
      <w:r>
        <w:rPr/>
        <w:tab/>
      </w:r>
      <w:r>
        <w:rPr>
          <w:spacing w:val="-2"/>
        </w:rPr>
        <w:t>Licensed</w:t>
      </w:r>
      <w:r>
        <w:rPr/>
        <w:tab/>
      </w:r>
      <w:r>
        <w:rPr>
          <w:spacing w:val="-2"/>
        </w:rPr>
        <w:t>Surveyor/Architect/Engineer/Structural </w:t>
      </w:r>
      <w:r>
        <w:rPr/>
        <w:t>Engineer/Supervisor or Architect</w:t>
      </w:r>
    </w:p>
    <w:p>
      <w:pPr>
        <w:pStyle w:val="BodyText"/>
        <w:spacing w:after="0"/>
        <w:sectPr>
          <w:pgSz w:w="11910" w:h="16850"/>
          <w:pgMar w:header="1024" w:footer="1302" w:top="1480" w:bottom="1500" w:left="360" w:right="360"/>
        </w:sectPr>
      </w:pPr>
    </w:p>
    <w:p>
      <w:pPr>
        <w:pStyle w:val="BodyText"/>
        <w:spacing w:line="444" w:lineRule="auto" w:before="276"/>
        <w:ind w:left="777" w:right="5909"/>
        <w:jc w:val="left"/>
      </w:pPr>
      <w:r>
        <w:rPr/>
        <w:t>Description</w:t>
      </w:r>
      <w:r>
        <w:rPr>
          <w:spacing w:val="-9"/>
        </w:rPr>
        <w:t> </w:t>
      </w:r>
      <w:r>
        <w:rPr/>
        <w:t>of</w:t>
      </w:r>
      <w:r>
        <w:rPr>
          <w:spacing w:val="-9"/>
        </w:rPr>
        <w:t> </w:t>
      </w:r>
      <w:r>
        <w:rPr/>
        <w:t>proposal</w:t>
      </w:r>
      <w:r>
        <w:rPr>
          <w:spacing w:val="-9"/>
        </w:rPr>
        <w:t> </w:t>
      </w:r>
      <w:r>
        <w:rPr/>
        <w:t>and</w:t>
      </w:r>
      <w:r>
        <w:rPr>
          <w:spacing w:val="-9"/>
        </w:rPr>
        <w:t> </w:t>
      </w:r>
      <w:r>
        <w:rPr/>
        <w:t>property Name of owner</w:t>
      </w:r>
    </w:p>
    <w:p>
      <w:pPr>
        <w:pStyle w:val="BodyText"/>
        <w:tabs>
          <w:tab w:pos="7258" w:val="left" w:leader="none"/>
          <w:tab w:pos="8699" w:val="left" w:leader="none"/>
        </w:tabs>
        <w:spacing w:line="281" w:lineRule="exact" w:before="1"/>
        <w:ind w:left="777"/>
        <w:jc w:val="left"/>
      </w:pPr>
      <w:r>
        <w:rPr/>
        <w:t>Job</w:t>
      </w:r>
      <w:r>
        <w:rPr>
          <w:spacing w:val="-2"/>
        </w:rPr>
        <w:t> </w:t>
      </w:r>
      <w:r>
        <w:rPr>
          <w:spacing w:val="-5"/>
        </w:rPr>
        <w:t>No.</w:t>
      </w:r>
      <w:r>
        <w:rPr/>
        <w:tab/>
        <w:t>Drg </w:t>
      </w:r>
      <w:r>
        <w:rPr>
          <w:spacing w:val="-5"/>
        </w:rPr>
        <w:t>no.</w:t>
      </w:r>
      <w:r>
        <w:rPr/>
        <w:tab/>
        <w:t>Scale</w:t>
      </w:r>
      <w:r>
        <w:rPr>
          <w:spacing w:val="24"/>
        </w:rPr>
        <w:t> </w:t>
      </w:r>
      <w:r>
        <w:rPr>
          <w:spacing w:val="-2"/>
        </w:rPr>
        <w:t>Checked</w:t>
      </w:r>
    </w:p>
    <w:p>
      <w:pPr>
        <w:pStyle w:val="BodyText"/>
        <w:tabs>
          <w:tab w:pos="7690" w:val="left" w:leader="none"/>
        </w:tabs>
        <w:spacing w:line="281" w:lineRule="exact"/>
        <w:ind w:left="777"/>
        <w:jc w:val="left"/>
      </w:pPr>
      <w:r>
        <w:rPr>
          <w:spacing w:val="-5"/>
        </w:rPr>
        <w:t>by</w:t>
      </w:r>
      <w:r>
        <w:rPr/>
        <w:tab/>
        <w:t>Drawn</w:t>
      </w:r>
      <w:r>
        <w:rPr>
          <w:spacing w:val="-4"/>
        </w:rPr>
        <w:t> </w:t>
      </w:r>
      <w:r>
        <w:rPr>
          <w:spacing w:val="-5"/>
        </w:rPr>
        <w:t>by</w:t>
      </w:r>
    </w:p>
    <w:p>
      <w:pPr>
        <w:pStyle w:val="BodyText"/>
        <w:spacing w:before="242"/>
        <w:ind w:left="777"/>
        <w:jc w:val="left"/>
      </w:pPr>
      <w:r>
        <w:rPr/>
        <w:t>North</w:t>
      </w:r>
      <w:r>
        <w:rPr>
          <w:spacing w:val="-4"/>
        </w:rPr>
        <w:t> Line</w:t>
      </w:r>
    </w:p>
    <w:p>
      <w:pPr>
        <w:pStyle w:val="BodyText"/>
        <w:tabs>
          <w:tab w:pos="8084" w:val="left" w:leader="none"/>
          <w:tab w:pos="9440" w:val="left" w:leader="none"/>
        </w:tabs>
        <w:spacing w:before="239"/>
        <w:ind w:left="5999" w:right="721"/>
        <w:jc w:val="left"/>
      </w:pPr>
      <w:r>
        <w:rPr/>
        <w:t>Signature,</w:t>
      </w:r>
      <w:r>
        <w:rPr>
          <w:spacing w:val="-5"/>
        </w:rPr>
        <w:t> </w:t>
      </w:r>
      <w:r>
        <w:rPr/>
        <w:t>Name</w:t>
      </w:r>
      <w:r>
        <w:rPr>
          <w:spacing w:val="-5"/>
        </w:rPr>
        <w:t> </w:t>
      </w:r>
      <w:r>
        <w:rPr/>
        <w:t>(in</w:t>
      </w:r>
      <w:r>
        <w:rPr>
          <w:spacing w:val="-7"/>
        </w:rPr>
        <w:t> </w:t>
      </w:r>
      <w:r>
        <w:rPr/>
        <w:t>block</w:t>
      </w:r>
      <w:r>
        <w:rPr>
          <w:spacing w:val="-5"/>
        </w:rPr>
        <w:t> </w:t>
      </w:r>
      <w:r>
        <w:rPr/>
        <w:t>letters)</w:t>
      </w:r>
      <w:r>
        <w:rPr>
          <w:spacing w:val="-5"/>
        </w:rPr>
        <w:t> </w:t>
      </w:r>
      <w:r>
        <w:rPr/>
        <w:t>and </w:t>
      </w:r>
      <w:r>
        <w:rPr>
          <w:spacing w:val="-2"/>
        </w:rPr>
        <w:t>Address</w:t>
      </w:r>
      <w:r>
        <w:rPr/>
        <w:tab/>
      </w:r>
      <w:r>
        <w:rPr>
          <w:spacing w:val="-6"/>
        </w:rPr>
        <w:t>of</w:t>
      </w:r>
      <w:r>
        <w:rPr/>
        <w:tab/>
      </w:r>
      <w:r>
        <w:rPr>
          <w:spacing w:val="-2"/>
        </w:rPr>
        <w:t>Licensed Surveyor/Engineer/Structural </w:t>
      </w:r>
      <w:r>
        <w:rPr/>
        <w:t>Engineer/Supervisor or Architect.</w:t>
      </w:r>
    </w:p>
    <w:p>
      <w:pPr>
        <w:pStyle w:val="BodyText"/>
        <w:spacing w:before="241"/>
        <w:ind w:left="777"/>
        <w:jc w:val="left"/>
      </w:pPr>
      <w:r>
        <w:rPr/>
        <w:t>*Area</w:t>
      </w:r>
      <w:r>
        <w:rPr>
          <w:spacing w:val="-2"/>
        </w:rPr>
        <w:t> </w:t>
      </w:r>
      <w:r>
        <w:rPr/>
        <w:t>to</w:t>
      </w:r>
      <w:r>
        <w:rPr>
          <w:spacing w:val="-2"/>
        </w:rPr>
        <w:t> </w:t>
      </w:r>
      <w:r>
        <w:rPr/>
        <w:t>be</w:t>
      </w:r>
      <w:r>
        <w:rPr>
          <w:spacing w:val="-2"/>
        </w:rPr>
        <w:t> </w:t>
      </w:r>
      <w:r>
        <w:rPr/>
        <w:t>stated</w:t>
      </w:r>
      <w:r>
        <w:rPr>
          <w:spacing w:val="-2"/>
        </w:rPr>
        <w:t> </w:t>
      </w:r>
      <w:r>
        <w:rPr/>
        <w:t>in</w:t>
      </w:r>
      <w:r>
        <w:rPr>
          <w:spacing w:val="-2"/>
        </w:rPr>
        <w:t> </w:t>
      </w:r>
      <w:r>
        <w:rPr/>
        <w:t>figures</w:t>
      </w:r>
      <w:r>
        <w:rPr>
          <w:spacing w:val="-2"/>
        </w:rPr>
        <w:t> </w:t>
      </w:r>
      <w:r>
        <w:rPr/>
        <w:t>and</w:t>
      </w:r>
      <w:r>
        <w:rPr>
          <w:spacing w:val="-2"/>
        </w:rPr>
        <w:t> </w:t>
      </w:r>
      <w:r>
        <w:rPr/>
        <w:t>also</w:t>
      </w:r>
      <w:r>
        <w:rPr>
          <w:spacing w:val="-2"/>
        </w:rPr>
        <w:t> </w:t>
      </w:r>
      <w:r>
        <w:rPr/>
        <w:t>in</w:t>
      </w:r>
      <w:r>
        <w:rPr>
          <w:spacing w:val="-1"/>
        </w:rPr>
        <w:t> </w:t>
      </w:r>
      <w:r>
        <w:rPr>
          <w:spacing w:val="-2"/>
        </w:rPr>
        <w:t>words</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36"/>
        <w:jc w:val="left"/>
      </w:pPr>
    </w:p>
    <w:p>
      <w:pPr>
        <w:pStyle w:val="Heading4"/>
        <w:ind w:left="4"/>
      </w:pPr>
      <w:r>
        <w:rPr>
          <w:spacing w:val="-2"/>
        </w:rPr>
        <w:t>ANNEXURE</w:t>
      </w:r>
      <w:r>
        <w:rPr>
          <w:spacing w:val="-14"/>
        </w:rPr>
        <w:t> </w:t>
      </w:r>
      <w:r>
        <w:rPr>
          <w:spacing w:val="-10"/>
        </w:rPr>
        <w:t>2</w:t>
      </w:r>
    </w:p>
    <w:p>
      <w:pPr>
        <w:pStyle w:val="Heading4"/>
        <w:spacing w:after="0"/>
        <w:sectPr>
          <w:pgSz w:w="11910" w:h="16850"/>
          <w:pgMar w:header="1024" w:footer="1302" w:top="1480" w:bottom="1500" w:left="360" w:right="360"/>
        </w:sectPr>
      </w:pPr>
    </w:p>
    <w:p>
      <w:pPr>
        <w:spacing w:before="276"/>
        <w:ind w:left="0" w:right="0" w:firstLine="0"/>
        <w:jc w:val="center"/>
        <w:rPr>
          <w:b/>
          <w:sz w:val="24"/>
        </w:rPr>
      </w:pPr>
      <w:r>
        <w:rPr>
          <w:b/>
          <w:sz w:val="24"/>
        </w:rPr>
        <w:t>FORM</w:t>
      </w:r>
      <w:r>
        <w:rPr>
          <w:b/>
          <w:spacing w:val="-7"/>
          <w:sz w:val="24"/>
        </w:rPr>
        <w:t> </w:t>
      </w:r>
      <w:r>
        <w:rPr>
          <w:b/>
          <w:sz w:val="24"/>
        </w:rPr>
        <w:t>OF</w:t>
      </w:r>
      <w:r>
        <w:rPr>
          <w:b/>
          <w:spacing w:val="-3"/>
          <w:sz w:val="24"/>
        </w:rPr>
        <w:t> </w:t>
      </w:r>
      <w:r>
        <w:rPr>
          <w:b/>
          <w:sz w:val="24"/>
        </w:rPr>
        <w:t>SUPERVISION</w:t>
      </w:r>
      <w:r>
        <w:rPr>
          <w:b/>
          <w:spacing w:val="-3"/>
          <w:sz w:val="24"/>
        </w:rPr>
        <w:t> </w:t>
      </w:r>
      <w:r>
        <w:rPr>
          <w:b/>
          <w:spacing w:val="-2"/>
          <w:sz w:val="24"/>
        </w:rPr>
        <w:t>ACCEPTANCE</w:t>
      </w:r>
    </w:p>
    <w:p>
      <w:pPr>
        <w:pStyle w:val="BodyText"/>
        <w:spacing w:before="119"/>
        <w:ind w:left="1752"/>
        <w:jc w:val="left"/>
      </w:pPr>
      <w:r>
        <w:rPr/>
        <w:t>(By</w:t>
      </w:r>
      <w:r>
        <w:rPr>
          <w:spacing w:val="28"/>
        </w:rPr>
        <w:t> </w:t>
      </w:r>
      <w:r>
        <w:rPr/>
        <w:t>Architect/Licensed</w:t>
      </w:r>
      <w:r>
        <w:rPr>
          <w:spacing w:val="28"/>
        </w:rPr>
        <w:t> </w:t>
      </w:r>
      <w:r>
        <w:rPr/>
        <w:t>Surveyor</w:t>
      </w:r>
      <w:r>
        <w:rPr>
          <w:spacing w:val="29"/>
        </w:rPr>
        <w:t> </w:t>
      </w:r>
      <w:r>
        <w:rPr/>
        <w:t>for</w:t>
      </w:r>
      <w:r>
        <w:rPr>
          <w:spacing w:val="28"/>
        </w:rPr>
        <w:t> </w:t>
      </w:r>
      <w:r>
        <w:rPr/>
        <w:t>Building</w:t>
      </w:r>
      <w:r>
        <w:rPr>
          <w:spacing w:val="29"/>
        </w:rPr>
        <w:t> </w:t>
      </w:r>
      <w:r>
        <w:rPr>
          <w:spacing w:val="-2"/>
        </w:rPr>
        <w:t>Permission)</w:t>
      </w:r>
    </w:p>
    <w:p>
      <w:pPr>
        <w:pStyle w:val="BodyText"/>
        <w:spacing w:before="121"/>
        <w:ind w:left="777"/>
        <w:jc w:val="left"/>
      </w:pPr>
      <w:r>
        <w:rPr>
          <w:spacing w:val="-5"/>
        </w:rPr>
        <w:t>To</w:t>
      </w:r>
    </w:p>
    <w:p>
      <w:pPr>
        <w:pStyle w:val="BodyText"/>
        <w:spacing w:before="119"/>
        <w:ind w:left="777"/>
        <w:jc w:val="left"/>
      </w:pPr>
      <w:r>
        <w:rPr>
          <w:spacing w:val="-2"/>
        </w:rPr>
        <w:t>The…………………………………</w:t>
      </w:r>
    </w:p>
    <w:p>
      <w:pPr>
        <w:pStyle w:val="BodyText"/>
        <w:spacing w:before="2"/>
        <w:ind w:left="777" w:right="6655"/>
        <w:jc w:val="left"/>
      </w:pPr>
      <w:r>
        <w:rPr/>
        <w:t>………</w:t>
      </w:r>
      <w:r>
        <w:rPr>
          <w:spacing w:val="80"/>
        </w:rPr>
        <w:t> </w:t>
      </w:r>
      <w:r>
        <w:rPr/>
        <w:t>Municipal</w:t>
      </w:r>
      <w:r>
        <w:rPr>
          <w:spacing w:val="40"/>
        </w:rPr>
        <w:t> </w:t>
      </w:r>
      <w:r>
        <w:rPr/>
        <w:t>Corporation of Greater Mumbai, Mumbai</w:t>
      </w:r>
    </w:p>
    <w:p>
      <w:pPr>
        <w:pStyle w:val="BodyText"/>
        <w:spacing w:before="118"/>
        <w:ind w:left="2477"/>
        <w:jc w:val="left"/>
      </w:pPr>
      <w:r>
        <w:rPr/>
        <w:t>Subject:</w:t>
      </w:r>
      <w:r>
        <w:rPr>
          <w:spacing w:val="22"/>
        </w:rPr>
        <w:t>  </w:t>
      </w:r>
      <w:r>
        <w:rPr/>
        <w:t>Acceptance</w:t>
      </w:r>
      <w:r>
        <w:rPr>
          <w:spacing w:val="20"/>
        </w:rPr>
        <w:t> </w:t>
      </w:r>
      <w:r>
        <w:rPr/>
        <w:t>of</w:t>
      </w:r>
      <w:r>
        <w:rPr>
          <w:spacing w:val="20"/>
        </w:rPr>
        <w:t> </w:t>
      </w:r>
      <w:r>
        <w:rPr/>
        <w:t>supervision</w:t>
      </w:r>
      <w:r>
        <w:rPr>
          <w:spacing w:val="20"/>
        </w:rPr>
        <w:t> </w:t>
      </w:r>
      <w:r>
        <w:rPr/>
        <w:t>of</w:t>
      </w:r>
      <w:r>
        <w:rPr>
          <w:spacing w:val="20"/>
        </w:rPr>
        <w:t> </w:t>
      </w:r>
      <w:r>
        <w:rPr/>
        <w:t>proposed</w:t>
      </w:r>
      <w:r>
        <w:rPr>
          <w:spacing w:val="20"/>
        </w:rPr>
        <w:t> </w:t>
      </w:r>
      <w:r>
        <w:rPr>
          <w:spacing w:val="-2"/>
        </w:rPr>
        <w:t>development</w:t>
      </w:r>
    </w:p>
    <w:p>
      <w:pPr>
        <w:pStyle w:val="BodyText"/>
        <w:spacing w:before="121"/>
        <w:ind w:left="777"/>
        <w:jc w:val="left"/>
      </w:pPr>
      <w:r>
        <w:rPr>
          <w:spacing w:val="-4"/>
        </w:rPr>
        <w:t>Sir,</w:t>
      </w:r>
    </w:p>
    <w:p>
      <w:pPr>
        <w:pStyle w:val="BodyText"/>
        <w:spacing w:before="119"/>
        <w:ind w:left="2914"/>
        <w:jc w:val="left"/>
      </w:pPr>
      <w:r>
        <w:rPr/>
        <w:t>The</w:t>
      </w:r>
      <w:r>
        <w:rPr>
          <w:spacing w:val="16"/>
        </w:rPr>
        <w:t> </w:t>
      </w:r>
      <w:r>
        <w:rPr/>
        <w:t>development</w:t>
      </w:r>
      <w:r>
        <w:rPr>
          <w:spacing w:val="18"/>
        </w:rPr>
        <w:t> </w:t>
      </w:r>
      <w:r>
        <w:rPr/>
        <w:t>work</w:t>
      </w:r>
      <w:r>
        <w:rPr>
          <w:spacing w:val="18"/>
        </w:rPr>
        <w:t> </w:t>
      </w:r>
      <w:r>
        <w:rPr/>
        <w:t>of</w:t>
      </w:r>
      <w:r>
        <w:rPr>
          <w:spacing w:val="19"/>
        </w:rPr>
        <w:t> </w:t>
      </w:r>
      <w:r>
        <w:rPr>
          <w:spacing w:val="-5"/>
        </w:rPr>
        <w:t>the</w:t>
      </w:r>
    </w:p>
    <w:p>
      <w:pPr>
        <w:pStyle w:val="BodyText"/>
        <w:spacing w:before="6"/>
        <w:jc w:val="left"/>
        <w:rPr>
          <w:sz w:val="10"/>
        </w:rPr>
      </w:pPr>
    </w:p>
    <w:tbl>
      <w:tblPr>
        <w:tblW w:w="0" w:type="auto"/>
        <w:jc w:val="left"/>
        <w:tblInd w:w="1328"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top w:w="0" w:type="dxa"/>
          <w:left w:w="0" w:type="dxa"/>
          <w:bottom w:w="0" w:type="dxa"/>
          <w:right w:w="0" w:type="dxa"/>
        </w:tblCellMar>
        <w:tblLook w:val="01E0"/>
      </w:tblPr>
      <w:tblGrid>
        <w:gridCol w:w="4501"/>
        <w:gridCol w:w="4053"/>
      </w:tblGrid>
      <w:tr>
        <w:trPr>
          <w:trHeight w:val="376" w:hRule="atLeast"/>
        </w:trPr>
        <w:tc>
          <w:tcPr>
            <w:tcW w:w="4501" w:type="dxa"/>
          </w:tcPr>
          <w:p>
            <w:pPr>
              <w:pStyle w:val="TableParagraph"/>
              <w:spacing w:before="37"/>
              <w:ind w:left="78"/>
              <w:rPr>
                <w:sz w:val="24"/>
              </w:rPr>
            </w:pPr>
            <w:r>
              <w:rPr>
                <w:sz w:val="24"/>
              </w:rPr>
              <w:t>Full</w:t>
            </w:r>
            <w:r>
              <w:rPr>
                <w:spacing w:val="-8"/>
                <w:sz w:val="24"/>
              </w:rPr>
              <w:t> </w:t>
            </w:r>
            <w:r>
              <w:rPr>
                <w:sz w:val="24"/>
              </w:rPr>
              <w:t>Particular</w:t>
            </w:r>
            <w:r>
              <w:rPr>
                <w:spacing w:val="-4"/>
                <w:sz w:val="24"/>
              </w:rPr>
              <w:t> </w:t>
            </w:r>
            <w:r>
              <w:rPr>
                <w:sz w:val="24"/>
              </w:rPr>
              <w:t>of</w:t>
            </w:r>
            <w:r>
              <w:rPr>
                <w:spacing w:val="-5"/>
                <w:sz w:val="24"/>
              </w:rPr>
              <w:t> </w:t>
            </w:r>
            <w:r>
              <w:rPr>
                <w:sz w:val="24"/>
              </w:rPr>
              <w:t>the</w:t>
            </w:r>
            <w:r>
              <w:rPr>
                <w:spacing w:val="-2"/>
                <w:sz w:val="24"/>
              </w:rPr>
              <w:t> </w:t>
            </w:r>
            <w:r>
              <w:rPr>
                <w:spacing w:val="-4"/>
                <w:sz w:val="24"/>
              </w:rPr>
              <w:t>work</w:t>
            </w:r>
          </w:p>
        </w:tc>
        <w:tc>
          <w:tcPr>
            <w:tcW w:w="4053" w:type="dxa"/>
          </w:tcPr>
          <w:p>
            <w:pPr>
              <w:pStyle w:val="TableParagraph"/>
              <w:rPr>
                <w:rFonts w:ascii="Times New Roman"/>
                <w:sz w:val="22"/>
              </w:rPr>
            </w:pPr>
          </w:p>
        </w:tc>
      </w:tr>
      <w:tr>
        <w:trPr>
          <w:trHeight w:val="375" w:hRule="atLeast"/>
        </w:trPr>
        <w:tc>
          <w:tcPr>
            <w:tcW w:w="4501" w:type="dxa"/>
          </w:tcPr>
          <w:p>
            <w:pPr>
              <w:pStyle w:val="TableParagraph"/>
              <w:tabs>
                <w:tab w:pos="1799" w:val="left" w:leader="none"/>
                <w:tab w:pos="3616" w:val="left" w:leader="none"/>
              </w:tabs>
              <w:spacing w:before="39"/>
              <w:ind w:left="78" w:right="-15"/>
              <w:rPr>
                <w:sz w:val="24"/>
              </w:rPr>
            </w:pPr>
            <w:r>
              <w:rPr>
                <w:spacing w:val="-5"/>
                <w:sz w:val="24"/>
              </w:rPr>
              <w:t>On</w:t>
            </w:r>
            <w:r>
              <w:rPr>
                <w:sz w:val="24"/>
              </w:rPr>
              <w:tab/>
            </w:r>
            <w:r>
              <w:rPr>
                <w:spacing w:val="-4"/>
                <w:sz w:val="24"/>
              </w:rPr>
              <w:t>plot</w:t>
            </w:r>
            <w:r>
              <w:rPr>
                <w:sz w:val="24"/>
              </w:rPr>
              <w:tab/>
            </w:r>
            <w:r>
              <w:rPr>
                <w:spacing w:val="-2"/>
                <w:sz w:val="24"/>
              </w:rPr>
              <w:t>bearing</w:t>
            </w:r>
          </w:p>
        </w:tc>
        <w:tc>
          <w:tcPr>
            <w:tcW w:w="4053" w:type="dxa"/>
          </w:tcPr>
          <w:p>
            <w:pPr>
              <w:pStyle w:val="TableParagraph"/>
              <w:rPr>
                <w:rFonts w:ascii="Times New Roman"/>
                <w:sz w:val="22"/>
              </w:rPr>
            </w:pPr>
          </w:p>
        </w:tc>
      </w:tr>
      <w:tr>
        <w:trPr>
          <w:trHeight w:val="378" w:hRule="atLeast"/>
        </w:trPr>
        <w:tc>
          <w:tcPr>
            <w:tcW w:w="4501" w:type="dxa"/>
          </w:tcPr>
          <w:p>
            <w:pPr>
              <w:pStyle w:val="TableParagraph"/>
              <w:spacing w:before="39"/>
              <w:ind w:left="78"/>
              <w:rPr>
                <w:sz w:val="24"/>
              </w:rPr>
            </w:pPr>
            <w:r>
              <w:rPr>
                <w:spacing w:val="-2"/>
                <w:sz w:val="24"/>
              </w:rPr>
              <w:t>Of</w:t>
            </w:r>
            <w:r>
              <w:rPr>
                <w:spacing w:val="-1"/>
                <w:sz w:val="24"/>
              </w:rPr>
              <w:t> </w:t>
            </w:r>
            <w:r>
              <w:rPr>
                <w:spacing w:val="-2"/>
                <w:sz w:val="24"/>
              </w:rPr>
              <w:t>Division/village/T.P.</w:t>
            </w:r>
            <w:r>
              <w:rPr>
                <w:spacing w:val="-1"/>
                <w:sz w:val="24"/>
              </w:rPr>
              <w:t> </w:t>
            </w:r>
            <w:r>
              <w:rPr>
                <w:spacing w:val="-2"/>
                <w:sz w:val="24"/>
              </w:rPr>
              <w:t>Scheme</w:t>
            </w:r>
            <w:r>
              <w:rPr>
                <w:sz w:val="24"/>
              </w:rPr>
              <w:t> </w:t>
            </w:r>
            <w:r>
              <w:rPr>
                <w:spacing w:val="-5"/>
                <w:sz w:val="24"/>
              </w:rPr>
              <w:t>No.</w:t>
            </w:r>
          </w:p>
        </w:tc>
        <w:tc>
          <w:tcPr>
            <w:tcW w:w="4053" w:type="dxa"/>
          </w:tcPr>
          <w:p>
            <w:pPr>
              <w:pStyle w:val="TableParagraph"/>
              <w:rPr>
                <w:rFonts w:ascii="Times New Roman"/>
                <w:sz w:val="22"/>
              </w:rPr>
            </w:pPr>
          </w:p>
        </w:tc>
      </w:tr>
      <w:tr>
        <w:trPr>
          <w:trHeight w:val="376" w:hRule="atLeast"/>
        </w:trPr>
        <w:tc>
          <w:tcPr>
            <w:tcW w:w="4501" w:type="dxa"/>
          </w:tcPr>
          <w:p>
            <w:pPr>
              <w:pStyle w:val="TableParagraph"/>
              <w:spacing w:before="37"/>
              <w:ind w:left="9"/>
              <w:rPr>
                <w:sz w:val="24"/>
              </w:rPr>
            </w:pPr>
            <w:r>
              <w:rPr>
                <w:sz w:val="24"/>
              </w:rPr>
              <w:t>Type</w:t>
            </w:r>
            <w:r>
              <w:rPr>
                <w:spacing w:val="-2"/>
                <w:sz w:val="24"/>
              </w:rPr>
              <w:t> </w:t>
            </w:r>
            <w:r>
              <w:rPr>
                <w:sz w:val="24"/>
              </w:rPr>
              <w:t>of</w:t>
            </w:r>
            <w:r>
              <w:rPr>
                <w:spacing w:val="-1"/>
                <w:sz w:val="24"/>
              </w:rPr>
              <w:t> </w:t>
            </w:r>
            <w:r>
              <w:rPr>
                <w:spacing w:val="-2"/>
                <w:sz w:val="24"/>
              </w:rPr>
              <w:t>Development</w:t>
            </w:r>
          </w:p>
        </w:tc>
        <w:tc>
          <w:tcPr>
            <w:tcW w:w="4053" w:type="dxa"/>
          </w:tcPr>
          <w:p>
            <w:pPr>
              <w:pStyle w:val="TableParagraph"/>
              <w:rPr>
                <w:rFonts w:ascii="Times New Roman"/>
                <w:sz w:val="22"/>
              </w:rPr>
            </w:pPr>
          </w:p>
        </w:tc>
      </w:tr>
      <w:tr>
        <w:trPr>
          <w:trHeight w:val="378" w:hRule="atLeast"/>
        </w:trPr>
        <w:tc>
          <w:tcPr>
            <w:tcW w:w="4501" w:type="dxa"/>
          </w:tcPr>
          <w:p>
            <w:pPr>
              <w:pStyle w:val="TableParagraph"/>
              <w:spacing w:before="39"/>
              <w:ind w:left="78"/>
              <w:rPr>
                <w:sz w:val="24"/>
              </w:rPr>
            </w:pPr>
            <w:r>
              <w:rPr>
                <w:sz w:val="24"/>
              </w:rPr>
              <w:t>Road</w:t>
            </w:r>
            <w:r>
              <w:rPr>
                <w:spacing w:val="-7"/>
                <w:sz w:val="24"/>
              </w:rPr>
              <w:t> </w:t>
            </w:r>
            <w:r>
              <w:rPr>
                <w:spacing w:val="-2"/>
                <w:sz w:val="24"/>
              </w:rPr>
              <w:t>Name:</w:t>
            </w:r>
          </w:p>
        </w:tc>
        <w:tc>
          <w:tcPr>
            <w:tcW w:w="4053" w:type="dxa"/>
          </w:tcPr>
          <w:p>
            <w:pPr>
              <w:pStyle w:val="TableParagraph"/>
              <w:rPr>
                <w:rFonts w:ascii="Times New Roman"/>
                <w:sz w:val="22"/>
              </w:rPr>
            </w:pPr>
          </w:p>
        </w:tc>
      </w:tr>
      <w:tr>
        <w:trPr>
          <w:trHeight w:val="376" w:hRule="atLeast"/>
        </w:trPr>
        <w:tc>
          <w:tcPr>
            <w:tcW w:w="4501" w:type="dxa"/>
          </w:tcPr>
          <w:p>
            <w:pPr>
              <w:pStyle w:val="TableParagraph"/>
              <w:spacing w:before="37"/>
              <w:ind w:left="78"/>
              <w:rPr>
                <w:sz w:val="24"/>
              </w:rPr>
            </w:pPr>
            <w:r>
              <w:rPr>
                <w:spacing w:val="-4"/>
                <w:sz w:val="24"/>
              </w:rPr>
              <w:t>Ward</w:t>
            </w:r>
          </w:p>
        </w:tc>
        <w:tc>
          <w:tcPr>
            <w:tcW w:w="4053" w:type="dxa"/>
          </w:tcPr>
          <w:p>
            <w:pPr>
              <w:pStyle w:val="TableParagraph"/>
              <w:rPr>
                <w:rFonts w:ascii="Times New Roman"/>
                <w:sz w:val="22"/>
              </w:rPr>
            </w:pPr>
          </w:p>
        </w:tc>
      </w:tr>
      <w:tr>
        <w:trPr>
          <w:trHeight w:val="378" w:hRule="atLeast"/>
        </w:trPr>
        <w:tc>
          <w:tcPr>
            <w:tcW w:w="4501" w:type="dxa"/>
          </w:tcPr>
          <w:p>
            <w:pPr>
              <w:pStyle w:val="TableParagraph"/>
              <w:spacing w:before="37"/>
              <w:ind w:left="78"/>
              <w:rPr>
                <w:sz w:val="24"/>
              </w:rPr>
            </w:pPr>
            <w:r>
              <w:rPr>
                <w:sz w:val="24"/>
              </w:rPr>
              <w:t>Name</w:t>
            </w:r>
            <w:r>
              <w:rPr>
                <w:spacing w:val="-6"/>
                <w:sz w:val="24"/>
              </w:rPr>
              <w:t> </w:t>
            </w:r>
            <w:r>
              <w:rPr>
                <w:sz w:val="24"/>
              </w:rPr>
              <w:t>of</w:t>
            </w:r>
            <w:r>
              <w:rPr>
                <w:spacing w:val="-6"/>
                <w:sz w:val="24"/>
              </w:rPr>
              <w:t> </w:t>
            </w:r>
            <w:r>
              <w:rPr>
                <w:sz w:val="24"/>
              </w:rPr>
              <w:t>Architect/Licensed</w:t>
            </w:r>
            <w:r>
              <w:rPr>
                <w:spacing w:val="-5"/>
                <w:sz w:val="24"/>
              </w:rPr>
              <w:t> </w:t>
            </w:r>
            <w:r>
              <w:rPr>
                <w:spacing w:val="-2"/>
                <w:sz w:val="24"/>
              </w:rPr>
              <w:t>Surveyor</w:t>
            </w:r>
          </w:p>
        </w:tc>
        <w:tc>
          <w:tcPr>
            <w:tcW w:w="4053" w:type="dxa"/>
          </w:tcPr>
          <w:p>
            <w:pPr>
              <w:pStyle w:val="TableParagraph"/>
              <w:rPr>
                <w:rFonts w:ascii="Times New Roman"/>
                <w:sz w:val="22"/>
              </w:rPr>
            </w:pPr>
          </w:p>
        </w:tc>
      </w:tr>
    </w:tbl>
    <w:p>
      <w:pPr>
        <w:pStyle w:val="BodyText"/>
        <w:spacing w:before="240"/>
        <w:jc w:val="left"/>
      </w:pPr>
    </w:p>
    <w:p>
      <w:pPr>
        <w:pStyle w:val="BodyText"/>
        <w:ind w:left="777" w:right="857"/>
      </w:pPr>
      <w:r>
        <w:rPr/>
        <w:t>willbe carried out under my supervision. All the materials (type and grade) and the workmanship of the work will generally tally with the general specifications submitted along with the plans and the work will be carried out according to the sanctioned plans. I shall be responsible for the execution of the work in all </w:t>
      </w:r>
      <w:r>
        <w:rPr>
          <w:spacing w:val="-2"/>
        </w:rPr>
        <w:t>respects.</w:t>
      </w:r>
    </w:p>
    <w:p>
      <w:pPr>
        <w:pStyle w:val="BodyText"/>
        <w:spacing w:before="240"/>
        <w:ind w:left="7057"/>
        <w:jc w:val="left"/>
      </w:pPr>
      <w:r>
        <w:rPr/>
        <w:t>Yours</w:t>
      </w:r>
      <w:r>
        <w:rPr>
          <w:spacing w:val="7"/>
        </w:rPr>
        <w:t> </w:t>
      </w:r>
      <w:r>
        <w:rPr>
          <w:spacing w:val="-2"/>
        </w:rPr>
        <w:t>faithfully,</w:t>
      </w:r>
    </w:p>
    <w:p>
      <w:pPr>
        <w:pStyle w:val="BodyText"/>
        <w:spacing w:before="5"/>
        <w:jc w:val="left"/>
        <w:rPr>
          <w:sz w:val="20"/>
        </w:rPr>
      </w:pPr>
    </w:p>
    <w:tbl>
      <w:tblPr>
        <w:tblW w:w="0" w:type="auto"/>
        <w:jc w:val="left"/>
        <w:tblInd w:w="6208"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top w:w="0" w:type="dxa"/>
          <w:left w:w="0" w:type="dxa"/>
          <w:bottom w:w="0" w:type="dxa"/>
          <w:right w:w="0" w:type="dxa"/>
        </w:tblCellMar>
        <w:tblLook w:val="01E0"/>
      </w:tblPr>
      <w:tblGrid>
        <w:gridCol w:w="4201"/>
      </w:tblGrid>
      <w:tr>
        <w:trPr>
          <w:trHeight w:val="291" w:hRule="atLeast"/>
        </w:trPr>
        <w:tc>
          <w:tcPr>
            <w:tcW w:w="4201" w:type="dxa"/>
          </w:tcPr>
          <w:p>
            <w:pPr>
              <w:pStyle w:val="TableParagraph"/>
              <w:tabs>
                <w:tab w:pos="916" w:val="left" w:leader="none"/>
                <w:tab w:pos="1364" w:val="left" w:leader="none"/>
                <w:tab w:pos="1976" w:val="left" w:leader="none"/>
              </w:tabs>
              <w:spacing w:line="230" w:lineRule="exact" w:before="42"/>
              <w:ind w:left="11" w:right="-15"/>
              <w:rPr>
                <w:sz w:val="24"/>
              </w:rPr>
            </w:pPr>
            <w:r>
              <w:rPr>
                <w:spacing w:val="-4"/>
                <w:sz w:val="24"/>
              </w:rPr>
              <w:t>Name</w:t>
            </w:r>
            <w:r>
              <w:rPr>
                <w:sz w:val="24"/>
              </w:rPr>
              <w:tab/>
            </w:r>
            <w:r>
              <w:rPr>
                <w:spacing w:val="-5"/>
                <w:sz w:val="24"/>
              </w:rPr>
              <w:t>of</w:t>
            </w:r>
            <w:r>
              <w:rPr>
                <w:sz w:val="24"/>
              </w:rPr>
              <w:tab/>
            </w:r>
            <w:r>
              <w:rPr>
                <w:spacing w:val="-5"/>
                <w:sz w:val="24"/>
              </w:rPr>
              <w:t>the</w:t>
            </w:r>
            <w:r>
              <w:rPr>
                <w:sz w:val="24"/>
              </w:rPr>
              <w:tab/>
            </w:r>
            <w:r>
              <w:rPr>
                <w:spacing w:val="-2"/>
                <w:sz w:val="24"/>
              </w:rPr>
              <w:t>Architect/Licensed</w:t>
            </w:r>
          </w:p>
        </w:tc>
      </w:tr>
      <w:tr>
        <w:trPr>
          <w:trHeight w:val="289" w:hRule="atLeast"/>
        </w:trPr>
        <w:tc>
          <w:tcPr>
            <w:tcW w:w="4201" w:type="dxa"/>
          </w:tcPr>
          <w:p>
            <w:pPr>
              <w:pStyle w:val="TableParagraph"/>
              <w:spacing w:line="232" w:lineRule="exact" w:before="37"/>
              <w:ind w:left="11"/>
              <w:rPr>
                <w:sz w:val="24"/>
              </w:rPr>
            </w:pPr>
            <w:r>
              <w:rPr>
                <w:sz w:val="24"/>
              </w:rPr>
              <w:t>License</w:t>
            </w:r>
            <w:r>
              <w:rPr>
                <w:spacing w:val="-12"/>
                <w:sz w:val="24"/>
              </w:rPr>
              <w:t> </w:t>
            </w:r>
            <w:r>
              <w:rPr>
                <w:spacing w:val="-5"/>
                <w:sz w:val="24"/>
              </w:rPr>
              <w:t>No.</w:t>
            </w:r>
          </w:p>
        </w:tc>
      </w:tr>
      <w:tr>
        <w:trPr>
          <w:trHeight w:val="289" w:hRule="atLeast"/>
        </w:trPr>
        <w:tc>
          <w:tcPr>
            <w:tcW w:w="4201" w:type="dxa"/>
          </w:tcPr>
          <w:p>
            <w:pPr>
              <w:pStyle w:val="TableParagraph"/>
              <w:spacing w:line="232" w:lineRule="exact" w:before="37"/>
              <w:ind w:left="11"/>
              <w:rPr>
                <w:sz w:val="24"/>
              </w:rPr>
            </w:pPr>
            <w:r>
              <w:rPr>
                <w:spacing w:val="-2"/>
                <w:sz w:val="24"/>
              </w:rPr>
              <w:t>Address:</w:t>
            </w:r>
          </w:p>
        </w:tc>
      </w:tr>
      <w:tr>
        <w:trPr>
          <w:trHeight w:val="290" w:hRule="atLeast"/>
        </w:trPr>
        <w:tc>
          <w:tcPr>
            <w:tcW w:w="4201" w:type="dxa"/>
          </w:tcPr>
          <w:p>
            <w:pPr>
              <w:pStyle w:val="TableParagraph"/>
              <w:spacing w:line="232" w:lineRule="exact" w:before="38"/>
              <w:ind w:left="11"/>
              <w:rPr>
                <w:sz w:val="24"/>
              </w:rPr>
            </w:pPr>
            <w:r>
              <w:rPr>
                <w:sz w:val="24"/>
              </w:rPr>
              <w:t>Tel.</w:t>
            </w:r>
            <w:r>
              <w:rPr>
                <w:spacing w:val="-17"/>
                <w:sz w:val="24"/>
              </w:rPr>
              <w:t> </w:t>
            </w:r>
            <w:r>
              <w:rPr>
                <w:spacing w:val="-4"/>
                <w:sz w:val="24"/>
              </w:rPr>
              <w:t>No.:</w:t>
            </w:r>
          </w:p>
        </w:tc>
      </w:tr>
      <w:tr>
        <w:trPr>
          <w:trHeight w:val="289" w:hRule="atLeast"/>
        </w:trPr>
        <w:tc>
          <w:tcPr>
            <w:tcW w:w="4201" w:type="dxa"/>
          </w:tcPr>
          <w:p>
            <w:pPr>
              <w:pStyle w:val="TableParagraph"/>
              <w:spacing w:line="232" w:lineRule="exact" w:before="37"/>
              <w:ind w:left="11"/>
              <w:rPr>
                <w:sz w:val="24"/>
              </w:rPr>
            </w:pPr>
            <w:r>
              <w:rPr>
                <w:spacing w:val="-2"/>
                <w:sz w:val="24"/>
              </w:rPr>
              <w:t>Signature:</w:t>
            </w:r>
          </w:p>
        </w:tc>
      </w:tr>
      <w:tr>
        <w:trPr>
          <w:trHeight w:val="291" w:hRule="atLeast"/>
        </w:trPr>
        <w:tc>
          <w:tcPr>
            <w:tcW w:w="4201" w:type="dxa"/>
          </w:tcPr>
          <w:p>
            <w:pPr>
              <w:pStyle w:val="TableParagraph"/>
              <w:spacing w:line="232" w:lineRule="exact" w:before="39"/>
              <w:ind w:left="11"/>
              <w:rPr>
                <w:sz w:val="24"/>
              </w:rPr>
            </w:pPr>
            <w:r>
              <w:rPr>
                <w:spacing w:val="-4"/>
                <w:sz w:val="24"/>
              </w:rPr>
              <w:t>Date:</w:t>
            </w:r>
          </w:p>
        </w:tc>
      </w:tr>
    </w:tbl>
    <w:p>
      <w:pPr>
        <w:pStyle w:val="TableParagraph"/>
        <w:spacing w:after="0" w:line="232" w:lineRule="exact"/>
        <w:rPr>
          <w:sz w:val="24"/>
        </w:rPr>
        <w:sectPr>
          <w:pgSz w:w="11910" w:h="16850"/>
          <w:pgMar w:header="1024" w:footer="1302" w:top="1480" w:bottom="1500" w:left="360" w:right="360"/>
        </w:sectPr>
      </w:pPr>
    </w:p>
    <w:p>
      <w:pPr>
        <w:pStyle w:val="BodyText"/>
        <w:spacing w:before="9"/>
        <w:jc w:val="left"/>
        <w:rPr>
          <w:sz w:val="11"/>
        </w:rPr>
      </w:pPr>
    </w:p>
    <w:p>
      <w:pPr>
        <w:pStyle w:val="BodyText"/>
        <w:spacing w:after="0"/>
        <w:jc w:val="left"/>
        <w:rPr>
          <w:sz w:val="11"/>
        </w:rPr>
        <w:sectPr>
          <w:headerReference w:type="default" r:id="rId84"/>
          <w:footerReference w:type="default" r:id="rId85"/>
          <w:pgSz w:w="11910" w:h="16850"/>
          <w:pgMar w:header="1022" w:footer="870" w:top="2020" w:bottom="1060" w:left="360" w:right="360"/>
        </w:sectPr>
      </w:pPr>
    </w:p>
    <w:p>
      <w:pPr>
        <w:pStyle w:val="BodyText"/>
        <w:jc w:val="left"/>
      </w:pPr>
    </w:p>
    <w:p>
      <w:pPr>
        <w:pStyle w:val="BodyText"/>
        <w:jc w:val="left"/>
      </w:pPr>
    </w:p>
    <w:p>
      <w:pPr>
        <w:pStyle w:val="BodyText"/>
        <w:jc w:val="left"/>
      </w:pPr>
    </w:p>
    <w:p>
      <w:pPr>
        <w:pStyle w:val="BodyText"/>
        <w:jc w:val="left"/>
      </w:pPr>
    </w:p>
    <w:p>
      <w:pPr>
        <w:pStyle w:val="BodyText"/>
        <w:spacing w:before="19"/>
        <w:jc w:val="left"/>
      </w:pPr>
    </w:p>
    <w:p>
      <w:pPr>
        <w:pStyle w:val="BodyText"/>
        <w:jc w:val="right"/>
      </w:pPr>
      <w:r>
        <w:rPr>
          <w:spacing w:val="-5"/>
        </w:rPr>
        <w:t>To,</w:t>
      </w:r>
    </w:p>
    <w:p>
      <w:pPr>
        <w:pStyle w:val="BodyText"/>
        <w:spacing w:before="100"/>
        <w:ind w:right="2301"/>
        <w:jc w:val="center"/>
      </w:pPr>
      <w:r>
        <w:rPr/>
        <w:br w:type="column"/>
      </w:r>
      <w:r>
        <w:rPr/>
        <w:t>PLOT</w:t>
      </w:r>
      <w:r>
        <w:rPr>
          <w:spacing w:val="-13"/>
        </w:rPr>
        <w:t> </w:t>
      </w:r>
      <w:r>
        <w:rPr/>
        <w:t>AREA</w:t>
      </w:r>
      <w:r>
        <w:rPr>
          <w:spacing w:val="-9"/>
        </w:rPr>
        <w:t> </w:t>
      </w:r>
      <w:r>
        <w:rPr>
          <w:spacing w:val="-2"/>
        </w:rPr>
        <w:t>CERTIFICATE</w:t>
      </w:r>
    </w:p>
    <w:p>
      <w:pPr>
        <w:pStyle w:val="BodyText"/>
        <w:spacing w:before="242"/>
        <w:ind w:left="7" w:right="2301"/>
        <w:jc w:val="center"/>
      </w:pPr>
      <w:r>
        <w:rPr/>
        <w:t>(On</w:t>
      </w:r>
      <w:r>
        <w:rPr>
          <w:spacing w:val="15"/>
        </w:rPr>
        <w:t> </w:t>
      </w:r>
      <w:r>
        <w:rPr/>
        <w:t>the</w:t>
      </w:r>
      <w:r>
        <w:rPr>
          <w:spacing w:val="18"/>
        </w:rPr>
        <w:t> </w:t>
      </w:r>
      <w:r>
        <w:rPr/>
        <w:t>letter</w:t>
      </w:r>
      <w:r>
        <w:rPr>
          <w:spacing w:val="18"/>
        </w:rPr>
        <w:t> </w:t>
      </w:r>
      <w:r>
        <w:rPr/>
        <w:t>head</w:t>
      </w:r>
      <w:r>
        <w:rPr>
          <w:spacing w:val="21"/>
        </w:rPr>
        <w:t> </w:t>
      </w:r>
      <w:r>
        <w:rPr/>
        <w:t>of</w:t>
      </w:r>
      <w:r>
        <w:rPr>
          <w:spacing w:val="18"/>
        </w:rPr>
        <w:t> </w:t>
      </w:r>
      <w:r>
        <w:rPr/>
        <w:t>Architect/Licensed</w:t>
      </w:r>
      <w:r>
        <w:rPr>
          <w:spacing w:val="18"/>
        </w:rPr>
        <w:t> </w:t>
      </w:r>
      <w:r>
        <w:rPr>
          <w:spacing w:val="-2"/>
        </w:rPr>
        <w:t>Surveyor)</w:t>
      </w:r>
    </w:p>
    <w:p>
      <w:pPr>
        <w:pStyle w:val="BodyText"/>
        <w:tabs>
          <w:tab w:pos="7017" w:val="left" w:leader="none"/>
        </w:tabs>
        <w:spacing w:before="239"/>
        <w:ind w:left="4353"/>
        <w:jc w:val="left"/>
      </w:pPr>
      <w:r>
        <w:rPr/>
        <w:t>Date: </w:t>
      </w:r>
      <w:r>
        <w:rPr>
          <w:u w:val="single"/>
        </w:rPr>
        <w:tab/>
      </w:r>
    </w:p>
    <w:p>
      <w:pPr>
        <w:pStyle w:val="BodyText"/>
        <w:spacing w:after="0"/>
        <w:jc w:val="left"/>
        <w:sectPr>
          <w:type w:val="continuous"/>
          <w:pgSz w:w="11910" w:h="16850"/>
          <w:pgMar w:header="1022" w:footer="870" w:top="1360" w:bottom="280" w:left="360" w:right="360"/>
          <w:cols w:num="2" w:equalWidth="0">
            <w:col w:w="2259" w:space="40"/>
            <w:col w:w="8891"/>
          </w:cols>
        </w:sectPr>
      </w:pPr>
    </w:p>
    <w:p>
      <w:pPr>
        <w:pStyle w:val="BodyText"/>
        <w:spacing w:before="59"/>
        <w:ind w:left="1906"/>
        <w:jc w:val="left"/>
      </w:pPr>
      <w:r>
        <w:rPr/>
        <w:t>Executive</w:t>
      </w:r>
      <w:r>
        <w:rPr>
          <w:spacing w:val="30"/>
        </w:rPr>
        <w:t> </w:t>
      </w:r>
      <w:r>
        <w:rPr>
          <w:spacing w:val="-2"/>
        </w:rPr>
        <w:t>Engineer,</w:t>
      </w:r>
    </w:p>
    <w:p>
      <w:pPr>
        <w:pStyle w:val="BodyText"/>
        <w:tabs>
          <w:tab w:pos="4673" w:val="left" w:leader="none"/>
        </w:tabs>
        <w:spacing w:before="59"/>
        <w:ind w:left="1906"/>
        <w:jc w:val="left"/>
      </w:pPr>
      <w:r>
        <w:rPr/>
        <w:t>Building</w:t>
      </w:r>
      <w:r>
        <w:rPr>
          <w:spacing w:val="29"/>
        </w:rPr>
        <w:t> </w:t>
      </w:r>
      <w:r>
        <w:rPr>
          <w:spacing w:val="-2"/>
        </w:rPr>
        <w:t>Proposal</w:t>
      </w:r>
      <w:r>
        <w:rPr>
          <w:u w:val="single"/>
        </w:rPr>
        <w:tab/>
      </w:r>
      <w:r>
        <w:rPr/>
        <w:t>ward,</w:t>
      </w:r>
      <w:r>
        <w:rPr>
          <w:spacing w:val="19"/>
        </w:rPr>
        <w:t> </w:t>
      </w:r>
      <w:r>
        <w:rPr>
          <w:spacing w:val="-2"/>
        </w:rPr>
        <w:t>M.C.G.M.</w:t>
      </w:r>
    </w:p>
    <w:p>
      <w:pPr>
        <w:pStyle w:val="BodyText"/>
        <w:spacing w:before="121"/>
        <w:jc w:val="left"/>
      </w:pPr>
    </w:p>
    <w:p>
      <w:pPr>
        <w:pStyle w:val="BodyText"/>
        <w:ind w:left="2165"/>
        <w:jc w:val="left"/>
      </w:pPr>
      <w:r>
        <w:rPr/>
        <w:t>Subject:</w:t>
      </w:r>
      <w:r>
        <w:rPr>
          <w:spacing w:val="27"/>
        </w:rPr>
        <w:t> </w:t>
      </w:r>
      <w:r>
        <w:rPr/>
        <w:t>Proposed</w:t>
      </w:r>
      <w:r>
        <w:rPr>
          <w:spacing w:val="28"/>
        </w:rPr>
        <w:t> </w:t>
      </w:r>
      <w:r>
        <w:rPr/>
        <w:t>development</w:t>
      </w:r>
      <w:r>
        <w:rPr>
          <w:spacing w:val="28"/>
        </w:rPr>
        <w:t> </w:t>
      </w:r>
      <w:r>
        <w:rPr/>
        <w:t>on</w:t>
      </w:r>
      <w:r>
        <w:rPr>
          <w:spacing w:val="28"/>
        </w:rPr>
        <w:t> </w:t>
      </w:r>
      <w:r>
        <w:rPr>
          <w:spacing w:val="-4"/>
        </w:rPr>
        <w:t>plot</w:t>
      </w:r>
    </w:p>
    <w:p>
      <w:pPr>
        <w:pStyle w:val="BodyText"/>
        <w:spacing w:before="4"/>
        <w:jc w:val="left"/>
        <w:rPr>
          <w:sz w:val="5"/>
        </w:rPr>
      </w:pPr>
    </w:p>
    <w:tbl>
      <w:tblPr>
        <w:tblW w:w="0" w:type="auto"/>
        <w:jc w:val="left"/>
        <w:tblInd w:w="2201"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5353"/>
        <w:gridCol w:w="2045"/>
      </w:tblGrid>
      <w:tr>
        <w:trPr>
          <w:trHeight w:val="299" w:hRule="atLeast"/>
        </w:trPr>
        <w:tc>
          <w:tcPr>
            <w:tcW w:w="5353" w:type="dxa"/>
          </w:tcPr>
          <w:p>
            <w:pPr>
              <w:pStyle w:val="TableParagraph"/>
              <w:spacing w:line="242" w:lineRule="exact" w:before="37"/>
              <w:ind w:left="4"/>
              <w:rPr>
                <w:sz w:val="24"/>
              </w:rPr>
            </w:pPr>
            <w:r>
              <w:rPr>
                <w:sz w:val="24"/>
              </w:rPr>
              <w:t>Full</w:t>
            </w:r>
            <w:r>
              <w:rPr>
                <w:spacing w:val="-7"/>
                <w:sz w:val="24"/>
              </w:rPr>
              <w:t> </w:t>
            </w:r>
            <w:r>
              <w:rPr>
                <w:sz w:val="24"/>
              </w:rPr>
              <w:t>Particular</w:t>
            </w:r>
            <w:r>
              <w:rPr>
                <w:spacing w:val="-4"/>
                <w:sz w:val="24"/>
              </w:rPr>
              <w:t> </w:t>
            </w:r>
            <w:r>
              <w:rPr>
                <w:sz w:val="24"/>
              </w:rPr>
              <w:t>of</w:t>
            </w:r>
            <w:r>
              <w:rPr>
                <w:spacing w:val="-5"/>
                <w:sz w:val="24"/>
              </w:rPr>
              <w:t> </w:t>
            </w:r>
            <w:r>
              <w:rPr>
                <w:sz w:val="24"/>
              </w:rPr>
              <w:t>the</w:t>
            </w:r>
            <w:r>
              <w:rPr>
                <w:spacing w:val="-2"/>
                <w:sz w:val="24"/>
              </w:rPr>
              <w:t> </w:t>
            </w:r>
            <w:r>
              <w:rPr>
                <w:spacing w:val="-4"/>
                <w:sz w:val="24"/>
              </w:rPr>
              <w:t>work</w:t>
            </w:r>
          </w:p>
        </w:tc>
        <w:tc>
          <w:tcPr>
            <w:tcW w:w="2045" w:type="dxa"/>
          </w:tcPr>
          <w:p>
            <w:pPr>
              <w:pStyle w:val="TableParagraph"/>
              <w:rPr>
                <w:rFonts w:ascii="Times New Roman"/>
                <w:sz w:val="22"/>
              </w:rPr>
            </w:pPr>
          </w:p>
        </w:tc>
      </w:tr>
      <w:tr>
        <w:trPr>
          <w:trHeight w:val="299" w:hRule="atLeast"/>
        </w:trPr>
        <w:tc>
          <w:tcPr>
            <w:tcW w:w="5353" w:type="dxa"/>
          </w:tcPr>
          <w:p>
            <w:pPr>
              <w:pStyle w:val="TableParagraph"/>
              <w:spacing w:line="242" w:lineRule="exact" w:before="37"/>
              <w:ind w:left="4"/>
              <w:rPr>
                <w:sz w:val="24"/>
              </w:rPr>
            </w:pPr>
            <w:r>
              <w:rPr>
                <w:sz w:val="24"/>
              </w:rPr>
              <w:t>On</w:t>
            </w:r>
            <w:r>
              <w:rPr>
                <w:spacing w:val="-2"/>
                <w:sz w:val="24"/>
              </w:rPr>
              <w:t> </w:t>
            </w:r>
            <w:r>
              <w:rPr>
                <w:sz w:val="24"/>
              </w:rPr>
              <w:t>plot</w:t>
            </w:r>
            <w:r>
              <w:rPr>
                <w:spacing w:val="-1"/>
                <w:sz w:val="24"/>
              </w:rPr>
              <w:t> </w:t>
            </w:r>
            <w:r>
              <w:rPr>
                <w:sz w:val="24"/>
              </w:rPr>
              <w:t>bearing</w:t>
            </w:r>
            <w:r>
              <w:rPr>
                <w:spacing w:val="-1"/>
                <w:sz w:val="24"/>
              </w:rPr>
              <w:t> </w:t>
            </w:r>
            <w:r>
              <w:rPr>
                <w:spacing w:val="-2"/>
                <w:sz w:val="24"/>
              </w:rPr>
              <w:t>C.S.No./C.T.S.No./F.P.No./</w:t>
            </w:r>
          </w:p>
        </w:tc>
        <w:tc>
          <w:tcPr>
            <w:tcW w:w="2045" w:type="dxa"/>
          </w:tcPr>
          <w:p>
            <w:pPr>
              <w:pStyle w:val="TableParagraph"/>
              <w:rPr>
                <w:rFonts w:ascii="Times New Roman"/>
                <w:sz w:val="22"/>
              </w:rPr>
            </w:pPr>
          </w:p>
        </w:tc>
      </w:tr>
      <w:tr>
        <w:trPr>
          <w:trHeight w:val="299" w:hRule="atLeast"/>
        </w:trPr>
        <w:tc>
          <w:tcPr>
            <w:tcW w:w="5353" w:type="dxa"/>
          </w:tcPr>
          <w:p>
            <w:pPr>
              <w:pStyle w:val="TableParagraph"/>
              <w:spacing w:line="242" w:lineRule="exact" w:before="37"/>
              <w:ind w:left="4"/>
              <w:rPr>
                <w:sz w:val="24"/>
              </w:rPr>
            </w:pPr>
            <w:r>
              <w:rPr>
                <w:spacing w:val="-2"/>
                <w:sz w:val="24"/>
              </w:rPr>
              <w:t>Of</w:t>
            </w:r>
            <w:r>
              <w:rPr>
                <w:spacing w:val="-3"/>
                <w:sz w:val="24"/>
              </w:rPr>
              <w:t> </w:t>
            </w:r>
            <w:r>
              <w:rPr>
                <w:spacing w:val="-2"/>
                <w:sz w:val="24"/>
              </w:rPr>
              <w:t>Division/village/T.P.</w:t>
            </w:r>
            <w:r>
              <w:rPr>
                <w:spacing w:val="-1"/>
                <w:sz w:val="24"/>
              </w:rPr>
              <w:t> </w:t>
            </w:r>
            <w:r>
              <w:rPr>
                <w:spacing w:val="-2"/>
                <w:sz w:val="24"/>
              </w:rPr>
              <w:t>Scheme</w:t>
            </w:r>
            <w:r>
              <w:rPr>
                <w:sz w:val="24"/>
              </w:rPr>
              <w:t> </w:t>
            </w:r>
            <w:r>
              <w:rPr>
                <w:spacing w:val="-5"/>
                <w:sz w:val="24"/>
              </w:rPr>
              <w:t>No.</w:t>
            </w:r>
          </w:p>
        </w:tc>
        <w:tc>
          <w:tcPr>
            <w:tcW w:w="2045" w:type="dxa"/>
          </w:tcPr>
          <w:p>
            <w:pPr>
              <w:pStyle w:val="TableParagraph"/>
              <w:rPr>
                <w:rFonts w:ascii="Times New Roman"/>
                <w:sz w:val="22"/>
              </w:rPr>
            </w:pPr>
          </w:p>
        </w:tc>
      </w:tr>
      <w:tr>
        <w:trPr>
          <w:trHeight w:val="309" w:hRule="atLeast"/>
        </w:trPr>
        <w:tc>
          <w:tcPr>
            <w:tcW w:w="5353" w:type="dxa"/>
          </w:tcPr>
          <w:p>
            <w:pPr>
              <w:pStyle w:val="TableParagraph"/>
              <w:spacing w:line="252" w:lineRule="exact" w:before="37"/>
              <w:ind w:left="4"/>
              <w:rPr>
                <w:sz w:val="24"/>
              </w:rPr>
            </w:pPr>
            <w:r>
              <w:rPr>
                <w:spacing w:val="-4"/>
                <w:sz w:val="24"/>
              </w:rPr>
              <w:t>Ward</w:t>
            </w:r>
          </w:p>
        </w:tc>
        <w:tc>
          <w:tcPr>
            <w:tcW w:w="2045" w:type="dxa"/>
          </w:tcPr>
          <w:p>
            <w:pPr>
              <w:pStyle w:val="TableParagraph"/>
              <w:rPr>
                <w:rFonts w:ascii="Times New Roman"/>
                <w:sz w:val="22"/>
              </w:rPr>
            </w:pPr>
          </w:p>
        </w:tc>
      </w:tr>
      <w:tr>
        <w:trPr>
          <w:trHeight w:val="299" w:hRule="atLeast"/>
        </w:trPr>
        <w:tc>
          <w:tcPr>
            <w:tcW w:w="5353" w:type="dxa"/>
          </w:tcPr>
          <w:p>
            <w:pPr>
              <w:pStyle w:val="TableParagraph"/>
              <w:spacing w:line="242" w:lineRule="exact" w:before="37"/>
              <w:ind w:left="4"/>
              <w:rPr>
                <w:sz w:val="24"/>
              </w:rPr>
            </w:pPr>
            <w:r>
              <w:rPr>
                <w:sz w:val="24"/>
              </w:rPr>
              <w:t>Name of </w:t>
            </w:r>
            <w:r>
              <w:rPr>
                <w:spacing w:val="-2"/>
                <w:sz w:val="24"/>
              </w:rPr>
              <w:t>Owner</w:t>
            </w:r>
          </w:p>
        </w:tc>
        <w:tc>
          <w:tcPr>
            <w:tcW w:w="2045" w:type="dxa"/>
          </w:tcPr>
          <w:p>
            <w:pPr>
              <w:pStyle w:val="TableParagraph"/>
              <w:rPr>
                <w:rFonts w:ascii="Times New Roman"/>
                <w:sz w:val="22"/>
              </w:rPr>
            </w:pPr>
          </w:p>
        </w:tc>
      </w:tr>
    </w:tbl>
    <w:p>
      <w:pPr>
        <w:pStyle w:val="BodyText"/>
        <w:spacing w:before="63"/>
        <w:jc w:val="left"/>
      </w:pPr>
    </w:p>
    <w:p>
      <w:pPr>
        <w:pStyle w:val="BodyText"/>
        <w:spacing w:line="281" w:lineRule="exact"/>
        <w:ind w:right="3675"/>
        <w:jc w:val="right"/>
      </w:pPr>
      <w:r>
        <w:rPr/>
        <w:t>Reference:</w:t>
      </w:r>
      <w:r>
        <w:rPr>
          <w:spacing w:val="20"/>
        </w:rPr>
        <w:t>  </w:t>
      </w:r>
      <w:r>
        <w:rPr/>
        <w:t>Building</w:t>
      </w:r>
      <w:r>
        <w:rPr>
          <w:spacing w:val="25"/>
        </w:rPr>
        <w:t> </w:t>
      </w:r>
      <w:r>
        <w:rPr/>
        <w:t>Proposal</w:t>
      </w:r>
      <w:r>
        <w:rPr>
          <w:spacing w:val="21"/>
        </w:rPr>
        <w:t> </w:t>
      </w:r>
      <w:r>
        <w:rPr>
          <w:spacing w:val="-4"/>
        </w:rPr>
        <w:t>File</w:t>
      </w:r>
    </w:p>
    <w:p>
      <w:pPr>
        <w:pStyle w:val="BodyText"/>
        <w:tabs>
          <w:tab w:pos="2841" w:val="left" w:leader="none"/>
        </w:tabs>
        <w:spacing w:line="281" w:lineRule="exact"/>
        <w:ind w:right="3606"/>
        <w:jc w:val="right"/>
      </w:pPr>
      <w:r>
        <w:rPr>
          <w:spacing w:val="-5"/>
        </w:rPr>
        <w:t>No.</w:t>
      </w:r>
      <w:r>
        <w:rPr>
          <w:u w:val="single"/>
        </w:rPr>
        <w:tab/>
      </w:r>
    </w:p>
    <w:p>
      <w:pPr>
        <w:pStyle w:val="BodyText"/>
        <w:spacing w:before="119"/>
        <w:ind w:left="1906"/>
        <w:jc w:val="left"/>
      </w:pPr>
      <w:r>
        <w:rPr>
          <w:spacing w:val="-4"/>
        </w:rPr>
        <w:t>Sir,</w:t>
      </w:r>
    </w:p>
    <w:p>
      <w:pPr>
        <w:pStyle w:val="BodyText"/>
        <w:tabs>
          <w:tab w:pos="2277" w:val="left" w:leader="none"/>
          <w:tab w:pos="3127" w:val="left" w:leader="none"/>
          <w:tab w:pos="3374" w:val="left" w:leader="none"/>
          <w:tab w:pos="3944" w:val="left" w:leader="none"/>
          <w:tab w:pos="4646" w:val="left" w:leader="none"/>
          <w:tab w:pos="5076" w:val="left" w:leader="none"/>
          <w:tab w:pos="6406" w:val="left" w:leader="none"/>
          <w:tab w:pos="6994" w:val="left" w:leader="none"/>
          <w:tab w:pos="8029" w:val="left" w:leader="none"/>
          <w:tab w:pos="8536" w:val="left" w:leader="none"/>
          <w:tab w:pos="9743" w:val="left" w:leader="none"/>
        </w:tabs>
        <w:spacing w:before="122"/>
        <w:ind w:left="1906" w:right="775"/>
        <w:jc w:val="left"/>
      </w:pPr>
      <w:r>
        <w:rPr>
          <w:spacing w:val="-10"/>
        </w:rPr>
        <w:t>I</w:t>
      </w:r>
      <w:r>
        <w:rPr/>
        <w:tab/>
      </w:r>
      <w:r>
        <w:rPr>
          <w:spacing w:val="-4"/>
        </w:rPr>
        <w:t>have</w:t>
      </w:r>
      <w:r>
        <w:rPr/>
        <w:tab/>
      </w:r>
      <w:r>
        <w:rPr>
          <w:spacing w:val="-2"/>
        </w:rPr>
        <w:t>submitted</w:t>
      </w:r>
      <w:r>
        <w:rPr/>
        <w:tab/>
      </w:r>
      <w:r>
        <w:rPr>
          <w:spacing w:val="-10"/>
        </w:rPr>
        <w:t>a</w:t>
      </w:r>
      <w:r>
        <w:rPr/>
        <w:tab/>
      </w:r>
      <w:r>
        <w:rPr>
          <w:spacing w:val="-2"/>
        </w:rPr>
        <w:t>proposal</w:t>
      </w:r>
      <w:r>
        <w:rPr/>
        <w:tab/>
      </w:r>
      <w:r>
        <w:rPr>
          <w:spacing w:val="-6"/>
        </w:rPr>
        <w:t>on</w:t>
      </w:r>
      <w:r>
        <w:rPr/>
        <w:tab/>
      </w:r>
      <w:r>
        <w:rPr>
          <w:spacing w:val="-2"/>
        </w:rPr>
        <w:t>behalf</w:t>
      </w:r>
      <w:r>
        <w:rPr/>
        <w:tab/>
      </w:r>
      <w:r>
        <w:rPr>
          <w:spacing w:val="-6"/>
        </w:rPr>
        <w:t>of</w:t>
      </w:r>
      <w:r>
        <w:rPr/>
        <w:tab/>
      </w:r>
      <w:r>
        <w:rPr>
          <w:spacing w:val="-2"/>
        </w:rPr>
        <w:t>my/our</w:t>
      </w:r>
      <w:r>
        <w:rPr/>
        <w:tab/>
      </w:r>
      <w:r>
        <w:rPr>
          <w:spacing w:val="-2"/>
        </w:rPr>
        <w:t>clien</w:t>
      </w:r>
      <w:r>
        <w:rPr>
          <w:spacing w:val="-2"/>
        </w:rPr>
        <w:t>t</w:t>
      </w:r>
      <w:r>
        <w:rPr>
          <w:spacing w:val="-2"/>
        </w:rPr>
        <w:t> Shri/M/s.</w:t>
      </w:r>
      <w:r>
        <w:rPr/>
        <w:tab/>
        <w:tab/>
      </w:r>
      <w:r>
        <w:rPr>
          <w:u w:val="single"/>
        </w:rPr>
        <w:tab/>
      </w:r>
    </w:p>
    <w:p>
      <w:pPr>
        <w:pStyle w:val="BodyText"/>
        <w:tabs>
          <w:tab w:pos="5655" w:val="left" w:leader="none"/>
          <w:tab w:pos="8180" w:val="left" w:leader="none"/>
        </w:tabs>
        <w:spacing w:before="120"/>
        <w:ind w:left="1910" w:right="1047"/>
        <w:jc w:val="left"/>
      </w:pPr>
      <w:r>
        <w:rPr>
          <w:u w:val="single"/>
        </w:rPr>
        <w:tab/>
      </w:r>
      <w:r>
        <w:rPr/>
        <w:t>for the proposed development on the above</w:t>
      </w:r>
      <w:r>
        <w:rPr>
          <w:spacing w:val="10"/>
        </w:rPr>
        <w:t> </w:t>
      </w:r>
      <w:r>
        <w:rPr/>
        <w:t>referred</w:t>
      </w:r>
      <w:r>
        <w:rPr>
          <w:spacing w:val="12"/>
        </w:rPr>
        <w:t> </w:t>
      </w:r>
      <w:r>
        <w:rPr/>
        <w:t>plot.</w:t>
      </w:r>
      <w:r>
        <w:rPr>
          <w:spacing w:val="15"/>
        </w:rPr>
        <w:t> </w:t>
      </w:r>
      <w:r>
        <w:rPr/>
        <w:t>The</w:t>
      </w:r>
      <w:r>
        <w:rPr>
          <w:spacing w:val="12"/>
        </w:rPr>
        <w:t> </w:t>
      </w:r>
      <w:r>
        <w:rPr/>
        <w:t>area</w:t>
      </w:r>
      <w:r>
        <w:rPr>
          <w:spacing w:val="13"/>
        </w:rPr>
        <w:t> </w:t>
      </w:r>
      <w:r>
        <w:rPr/>
        <w:t>of</w:t>
      </w:r>
      <w:r>
        <w:rPr>
          <w:spacing w:val="12"/>
        </w:rPr>
        <w:t> </w:t>
      </w:r>
      <w:r>
        <w:rPr/>
        <w:t>the</w:t>
      </w:r>
      <w:r>
        <w:rPr>
          <w:spacing w:val="12"/>
        </w:rPr>
        <w:t> </w:t>
      </w:r>
      <w:r>
        <w:rPr/>
        <w:t>plot</w:t>
      </w:r>
      <w:r>
        <w:rPr>
          <w:spacing w:val="19"/>
        </w:rPr>
        <w:t> </w:t>
      </w:r>
      <w:r>
        <w:rPr>
          <w:spacing w:val="-5"/>
        </w:rPr>
        <w:t>is</w:t>
      </w:r>
      <w:r>
        <w:rPr>
          <w:u w:val="single"/>
        </w:rPr>
        <w:tab/>
      </w:r>
      <w:r>
        <w:rPr/>
        <w:t>sq.</w:t>
      </w:r>
      <w:r>
        <w:rPr>
          <w:spacing w:val="17"/>
        </w:rPr>
        <w:t> </w:t>
      </w:r>
      <w:r>
        <w:rPr/>
        <w:t>m</w:t>
      </w:r>
      <w:r>
        <w:rPr>
          <w:spacing w:val="18"/>
        </w:rPr>
        <w:t> </w:t>
      </w:r>
      <w:r>
        <w:rPr/>
        <w:t>as</w:t>
      </w:r>
      <w:r>
        <w:rPr>
          <w:spacing w:val="8"/>
        </w:rPr>
        <w:t> </w:t>
      </w:r>
      <w:r>
        <w:rPr/>
        <w:t>per</w:t>
      </w:r>
      <w:r>
        <w:rPr>
          <w:spacing w:val="8"/>
        </w:rPr>
        <w:t> </w:t>
      </w:r>
      <w:r>
        <w:rPr>
          <w:spacing w:val="-5"/>
        </w:rPr>
        <w:t>the</w:t>
      </w:r>
    </w:p>
    <w:p>
      <w:pPr>
        <w:pStyle w:val="BodyText"/>
        <w:tabs>
          <w:tab w:pos="8740" w:val="left" w:leader="none"/>
        </w:tabs>
        <w:ind w:left="1910" w:right="1049"/>
      </w:pPr>
      <w:r>
        <w:rPr/>
        <w:t>P.R. Cards obtained from city Survey office dated</w:t>
      </w:r>
      <w:r>
        <w:rPr>
          <w:u w:val="single"/>
        </w:rPr>
        <w:tab/>
      </w:r>
      <w:r>
        <w:rPr/>
        <w:t>.</w:t>
      </w:r>
      <w:r>
        <w:rPr>
          <w:spacing w:val="-11"/>
        </w:rPr>
        <w:t> </w:t>
      </w:r>
      <w:r>
        <w:rPr/>
        <w:t>In</w:t>
      </w:r>
      <w:r>
        <w:rPr>
          <w:spacing w:val="-10"/>
        </w:rPr>
        <w:t> </w:t>
      </w:r>
      <w:r>
        <w:rPr/>
        <w:t>order</w:t>
      </w:r>
      <w:r>
        <w:rPr>
          <w:spacing w:val="-11"/>
        </w:rPr>
        <w:t> </w:t>
      </w:r>
      <w:r>
        <w:rPr/>
        <w:t>to verify the </w:t>
      </w:r>
      <w:r>
        <w:rPr>
          <w:spacing w:val="24"/>
        </w:rPr>
        <w:t>plot</w:t>
      </w:r>
      <w:r>
        <w:rPr>
          <w:spacing w:val="80"/>
        </w:rPr>
        <w:t> </w:t>
      </w:r>
      <w:r>
        <w:rPr/>
        <w:t>area, I/We have carried out</w:t>
      </w:r>
      <w:r>
        <w:rPr>
          <w:spacing w:val="40"/>
        </w:rPr>
        <w:t> </w:t>
      </w:r>
      <w:r>
        <w:rPr/>
        <w:t>the survey</w:t>
      </w:r>
      <w:r>
        <w:rPr>
          <w:spacing w:val="40"/>
        </w:rPr>
        <w:t> </w:t>
      </w:r>
      <w:r>
        <w:rPr/>
        <w:t>of</w:t>
      </w:r>
      <w:r>
        <w:rPr>
          <w:spacing w:val="40"/>
        </w:rPr>
        <w:t> </w:t>
      </w:r>
      <w:r>
        <w:rPr/>
        <w:t>the said plot through our staff to ascertain correctness of the area mentioned in the Property Register Card. The said survey has been carried out on</w:t>
      </w:r>
      <w:r>
        <w:rPr>
          <w:spacing w:val="-1"/>
        </w:rPr>
        <w:t> </w:t>
      </w:r>
      <w:r>
        <w:rPr/>
        <w:t>the</w:t>
      </w:r>
      <w:r>
        <w:rPr>
          <w:spacing w:val="-1"/>
        </w:rPr>
        <w:t> </w:t>
      </w:r>
      <w:r>
        <w:rPr/>
        <w:t>basis</w:t>
      </w:r>
      <w:r>
        <w:rPr>
          <w:spacing w:val="-1"/>
        </w:rPr>
        <w:t> </w:t>
      </w:r>
      <w:r>
        <w:rPr/>
        <w:t>of</w:t>
      </w:r>
      <w:r>
        <w:rPr>
          <w:spacing w:val="-1"/>
        </w:rPr>
        <w:t> </w:t>
      </w:r>
      <w:r>
        <w:rPr/>
        <w:t>the</w:t>
      </w:r>
      <w:r>
        <w:rPr>
          <w:spacing w:val="-1"/>
        </w:rPr>
        <w:t> </w:t>
      </w:r>
      <w:r>
        <w:rPr/>
        <w:t>boundaries</w:t>
      </w:r>
      <w:r>
        <w:rPr>
          <w:spacing w:val="-1"/>
        </w:rPr>
        <w:t> </w:t>
      </w:r>
      <w:r>
        <w:rPr/>
        <w:t>of</w:t>
      </w:r>
      <w:r>
        <w:rPr>
          <w:spacing w:val="-1"/>
        </w:rPr>
        <w:t> </w:t>
      </w:r>
      <w:r>
        <w:rPr/>
        <w:t>the plot shown</w:t>
      </w:r>
      <w:r>
        <w:rPr>
          <w:spacing w:val="-1"/>
        </w:rPr>
        <w:t> </w:t>
      </w:r>
      <w:r>
        <w:rPr/>
        <w:t>by</w:t>
      </w:r>
      <w:r>
        <w:rPr>
          <w:spacing w:val="-1"/>
        </w:rPr>
        <w:t> </w:t>
      </w:r>
      <w:r>
        <w:rPr/>
        <w:t>the</w:t>
      </w:r>
      <w:r>
        <w:rPr>
          <w:spacing w:val="-1"/>
        </w:rPr>
        <w:t> </w:t>
      </w:r>
      <w:r>
        <w:rPr/>
        <w:t>Owner/client.</w:t>
      </w:r>
    </w:p>
    <w:p>
      <w:pPr>
        <w:pStyle w:val="BodyText"/>
        <w:tabs>
          <w:tab w:pos="5199" w:val="left" w:leader="none"/>
          <w:tab w:pos="7902" w:val="left" w:leader="none"/>
        </w:tabs>
        <w:spacing w:line="259" w:lineRule="auto" w:before="119"/>
        <w:ind w:left="772" w:right="1205"/>
      </w:pPr>
      <w:r>
        <w:rPr/>
        <w:t>The said area as per the survey no works</w:t>
      </w:r>
      <w:r>
        <w:rPr>
          <w:spacing w:val="40"/>
        </w:rPr>
        <w:t> </w:t>
      </w:r>
      <w:r>
        <w:rPr/>
        <w:t>o</w:t>
      </w:r>
      <w:r>
        <w:rPr>
          <w:spacing w:val="-17"/>
        </w:rPr>
        <w:t> </w:t>
      </w:r>
      <w:r>
        <w:rPr/>
        <w:t>u</w:t>
      </w:r>
      <w:r>
        <w:rPr>
          <w:spacing w:val="-17"/>
        </w:rPr>
        <w:t> </w:t>
      </w:r>
      <w:r>
        <w:rPr/>
        <w:t>t</w:t>
      </w:r>
      <w:r>
        <w:rPr>
          <w:spacing w:val="40"/>
        </w:rPr>
        <w:t> </w:t>
      </w:r>
      <w:r>
        <w:rPr/>
        <w:t>to</w:t>
      </w:r>
      <w:r>
        <w:rPr>
          <w:u w:val="single"/>
        </w:rPr>
        <w:tab/>
      </w:r>
      <w:r>
        <w:rPr/>
        <w:t>sq.</w:t>
      </w:r>
      <w:r>
        <w:rPr>
          <w:spacing w:val="-20"/>
        </w:rPr>
        <w:t> </w:t>
      </w:r>
      <w:r>
        <w:rPr/>
        <w:t>m</w:t>
      </w:r>
      <w:r>
        <w:rPr>
          <w:spacing w:val="-19"/>
        </w:rPr>
        <w:t> </w:t>
      </w:r>
      <w:r>
        <w:rPr/>
        <w:t>a</w:t>
      </w:r>
      <w:r>
        <w:rPr>
          <w:spacing w:val="-19"/>
        </w:rPr>
        <w:t> </w:t>
      </w:r>
      <w:r>
        <w:rPr/>
        <w:t>n</w:t>
      </w:r>
      <w:r>
        <w:rPr>
          <w:spacing w:val="-19"/>
        </w:rPr>
        <w:t> </w:t>
      </w:r>
      <w:r>
        <w:rPr/>
        <w:t>d</w:t>
      </w:r>
      <w:r>
        <w:rPr>
          <w:spacing w:val="40"/>
        </w:rPr>
        <w:t> </w:t>
      </w:r>
      <w:r>
        <w:rPr/>
        <w:t>FSI</w:t>
      </w:r>
      <w:r>
        <w:rPr>
          <w:spacing w:val="-1"/>
        </w:rPr>
        <w:t> </w:t>
      </w:r>
      <w:r>
        <w:rPr/>
        <w:t>is claimed for the plot area</w:t>
      </w:r>
      <w:r>
        <w:rPr>
          <w:u w:val="single"/>
        </w:rPr>
        <w:tab/>
      </w:r>
      <w:r>
        <w:rPr/>
        <w:t>sq. m</w:t>
      </w:r>
    </w:p>
    <w:p>
      <w:pPr>
        <w:pStyle w:val="BodyText"/>
        <w:spacing w:before="160"/>
        <w:ind w:right="843"/>
        <w:jc w:val="center"/>
      </w:pPr>
      <w:r>
        <w:rPr/>
        <w:t>Thanking</w:t>
      </w:r>
      <w:r>
        <w:rPr>
          <w:spacing w:val="30"/>
        </w:rPr>
        <w:t> </w:t>
      </w:r>
      <w:r>
        <w:rPr>
          <w:spacing w:val="-4"/>
        </w:rPr>
        <w:t>you,</w:t>
      </w:r>
    </w:p>
    <w:p>
      <w:pPr>
        <w:pStyle w:val="BodyText"/>
        <w:spacing w:before="241"/>
        <w:ind w:left="6579"/>
        <w:jc w:val="left"/>
      </w:pPr>
      <w:r>
        <w:rPr/>
        <w:t>Yours</w:t>
      </w:r>
      <w:r>
        <w:rPr>
          <w:spacing w:val="7"/>
        </w:rPr>
        <w:t> </w:t>
      </w:r>
      <w:r>
        <w:rPr>
          <w:spacing w:val="-2"/>
        </w:rPr>
        <w:t>faithfully</w:t>
      </w:r>
    </w:p>
    <w:p>
      <w:pPr>
        <w:pStyle w:val="BodyText"/>
        <w:spacing w:before="5"/>
        <w:jc w:val="left"/>
        <w:rPr>
          <w:sz w:val="20"/>
        </w:rPr>
      </w:pPr>
    </w:p>
    <w:tbl>
      <w:tblPr>
        <w:tblW w:w="0" w:type="auto"/>
        <w:jc w:val="left"/>
        <w:tblInd w:w="6361"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4054"/>
      </w:tblGrid>
      <w:tr>
        <w:trPr>
          <w:trHeight w:val="301" w:hRule="atLeast"/>
        </w:trPr>
        <w:tc>
          <w:tcPr>
            <w:tcW w:w="4054" w:type="dxa"/>
          </w:tcPr>
          <w:p>
            <w:pPr>
              <w:pStyle w:val="TableParagraph"/>
              <w:spacing w:line="240" w:lineRule="exact" w:before="42"/>
              <w:ind w:left="4" w:right="-15"/>
              <w:rPr>
                <w:sz w:val="24"/>
              </w:rPr>
            </w:pPr>
            <w:r>
              <w:rPr>
                <w:sz w:val="24"/>
              </w:rPr>
              <w:t>Name</w:t>
            </w:r>
            <w:r>
              <w:rPr>
                <w:spacing w:val="75"/>
                <w:w w:val="150"/>
                <w:sz w:val="24"/>
              </w:rPr>
              <w:t> </w:t>
            </w:r>
            <w:r>
              <w:rPr>
                <w:sz w:val="24"/>
              </w:rPr>
              <w:t>of</w:t>
            </w:r>
            <w:r>
              <w:rPr>
                <w:spacing w:val="76"/>
                <w:w w:val="150"/>
                <w:sz w:val="24"/>
              </w:rPr>
              <w:t> </w:t>
            </w:r>
            <w:r>
              <w:rPr>
                <w:sz w:val="24"/>
              </w:rPr>
              <w:t>the</w:t>
            </w:r>
            <w:r>
              <w:rPr>
                <w:spacing w:val="75"/>
                <w:w w:val="150"/>
                <w:sz w:val="24"/>
              </w:rPr>
              <w:t> </w:t>
            </w:r>
            <w:r>
              <w:rPr>
                <w:spacing w:val="-2"/>
                <w:sz w:val="24"/>
              </w:rPr>
              <w:t>Architect/Licensed</w:t>
            </w:r>
          </w:p>
        </w:tc>
      </w:tr>
      <w:tr>
        <w:trPr>
          <w:trHeight w:val="299" w:hRule="atLeast"/>
        </w:trPr>
        <w:tc>
          <w:tcPr>
            <w:tcW w:w="4054" w:type="dxa"/>
          </w:tcPr>
          <w:p>
            <w:pPr>
              <w:pStyle w:val="TableParagraph"/>
              <w:spacing w:line="242" w:lineRule="exact" w:before="37"/>
              <w:ind w:left="4"/>
              <w:rPr>
                <w:sz w:val="24"/>
              </w:rPr>
            </w:pPr>
            <w:r>
              <w:rPr>
                <w:sz w:val="24"/>
              </w:rPr>
              <w:t>Registration</w:t>
            </w:r>
            <w:r>
              <w:rPr>
                <w:spacing w:val="-18"/>
                <w:sz w:val="24"/>
              </w:rPr>
              <w:t> </w:t>
            </w:r>
            <w:r>
              <w:rPr>
                <w:spacing w:val="-4"/>
                <w:sz w:val="24"/>
              </w:rPr>
              <w:t>No.:</w:t>
            </w:r>
          </w:p>
        </w:tc>
      </w:tr>
      <w:tr>
        <w:trPr>
          <w:trHeight w:val="299" w:hRule="atLeast"/>
        </w:trPr>
        <w:tc>
          <w:tcPr>
            <w:tcW w:w="4054" w:type="dxa"/>
          </w:tcPr>
          <w:p>
            <w:pPr>
              <w:pStyle w:val="TableParagraph"/>
              <w:spacing w:line="242" w:lineRule="exact" w:before="37"/>
              <w:ind w:left="4"/>
              <w:rPr>
                <w:sz w:val="24"/>
              </w:rPr>
            </w:pPr>
            <w:r>
              <w:rPr>
                <w:spacing w:val="-2"/>
                <w:sz w:val="24"/>
              </w:rPr>
              <w:t>Address:</w:t>
            </w:r>
          </w:p>
        </w:tc>
      </w:tr>
      <w:tr>
        <w:trPr>
          <w:trHeight w:val="299" w:hRule="atLeast"/>
        </w:trPr>
        <w:tc>
          <w:tcPr>
            <w:tcW w:w="4054" w:type="dxa"/>
          </w:tcPr>
          <w:p>
            <w:pPr>
              <w:pStyle w:val="TableParagraph"/>
              <w:spacing w:line="242" w:lineRule="exact" w:before="37"/>
              <w:ind w:left="4"/>
              <w:rPr>
                <w:sz w:val="24"/>
              </w:rPr>
            </w:pPr>
            <w:r>
              <w:rPr>
                <w:spacing w:val="-2"/>
                <w:sz w:val="24"/>
              </w:rPr>
              <w:t>Tel.No.:</w:t>
            </w:r>
          </w:p>
        </w:tc>
      </w:tr>
      <w:tr>
        <w:trPr>
          <w:trHeight w:val="299" w:hRule="atLeast"/>
        </w:trPr>
        <w:tc>
          <w:tcPr>
            <w:tcW w:w="4054" w:type="dxa"/>
          </w:tcPr>
          <w:p>
            <w:pPr>
              <w:pStyle w:val="TableParagraph"/>
              <w:spacing w:line="242" w:lineRule="exact" w:before="37"/>
              <w:ind w:left="4"/>
              <w:rPr>
                <w:sz w:val="24"/>
              </w:rPr>
            </w:pPr>
            <w:r>
              <w:rPr>
                <w:spacing w:val="-2"/>
                <w:sz w:val="24"/>
              </w:rPr>
              <w:t>Signature:</w:t>
            </w:r>
          </w:p>
        </w:tc>
      </w:tr>
      <w:tr>
        <w:trPr>
          <w:trHeight w:val="302" w:hRule="atLeast"/>
        </w:trPr>
        <w:tc>
          <w:tcPr>
            <w:tcW w:w="4054" w:type="dxa"/>
          </w:tcPr>
          <w:p>
            <w:pPr>
              <w:pStyle w:val="TableParagraph"/>
              <w:spacing w:line="244" w:lineRule="exact" w:before="37"/>
              <w:ind w:left="4"/>
              <w:rPr>
                <w:sz w:val="24"/>
              </w:rPr>
            </w:pPr>
            <w:r>
              <w:rPr>
                <w:spacing w:val="-4"/>
                <w:sz w:val="24"/>
              </w:rPr>
              <w:t>Date:</w:t>
            </w:r>
          </w:p>
        </w:tc>
      </w:tr>
    </w:tbl>
    <w:p>
      <w:pPr>
        <w:pStyle w:val="TableParagraph"/>
        <w:spacing w:after="0" w:line="244" w:lineRule="exact"/>
        <w:rPr>
          <w:sz w:val="24"/>
        </w:rPr>
        <w:sectPr>
          <w:type w:val="continuous"/>
          <w:pgSz w:w="11910" w:h="16850"/>
          <w:pgMar w:header="1022" w:footer="870" w:top="1360" w:bottom="280" w:left="360" w:right="360"/>
        </w:sectPr>
      </w:pPr>
    </w:p>
    <w:p>
      <w:pPr>
        <w:pStyle w:val="Heading4"/>
        <w:spacing w:line="520" w:lineRule="atLeast" w:before="40"/>
        <w:ind w:left="3500" w:right="3261" w:firstLine="1593"/>
        <w:jc w:val="left"/>
      </w:pPr>
      <w:r>
        <w:rPr/>
        <w:t>ANNEXURE 4 OWNER’S</w:t>
      </w:r>
      <w:r>
        <w:rPr>
          <w:spacing w:val="-17"/>
        </w:rPr>
        <w:t> </w:t>
      </w:r>
      <w:r>
        <w:rPr/>
        <w:t>PLOT</w:t>
      </w:r>
      <w:r>
        <w:rPr>
          <w:spacing w:val="-17"/>
        </w:rPr>
        <w:t> </w:t>
      </w:r>
      <w:r>
        <w:rPr/>
        <w:t>AREA</w:t>
      </w:r>
      <w:r>
        <w:rPr>
          <w:spacing w:val="-18"/>
        </w:rPr>
        <w:t> </w:t>
      </w:r>
      <w:r>
        <w:rPr/>
        <w:t>AFFIDAVIT</w:t>
      </w:r>
    </w:p>
    <w:p>
      <w:pPr>
        <w:pStyle w:val="BodyText"/>
        <w:spacing w:before="62"/>
        <w:ind w:right="137"/>
        <w:jc w:val="center"/>
      </w:pPr>
      <w:r>
        <w:rPr/>
        <w:t>(To</w:t>
      </w:r>
      <w:r>
        <w:rPr>
          <w:spacing w:val="8"/>
        </w:rPr>
        <w:t> </w:t>
      </w:r>
      <w:r>
        <w:rPr/>
        <w:t>be</w:t>
      </w:r>
      <w:r>
        <w:rPr>
          <w:spacing w:val="9"/>
        </w:rPr>
        <w:t> </w:t>
      </w:r>
      <w:r>
        <w:rPr/>
        <w:t>typed</w:t>
      </w:r>
      <w:r>
        <w:rPr>
          <w:spacing w:val="9"/>
        </w:rPr>
        <w:t> </w:t>
      </w:r>
      <w:r>
        <w:rPr/>
        <w:t>on</w:t>
      </w:r>
      <w:r>
        <w:rPr>
          <w:spacing w:val="12"/>
        </w:rPr>
        <w:t> </w:t>
      </w:r>
      <w:r>
        <w:rPr/>
        <w:t>stamp</w:t>
      </w:r>
      <w:r>
        <w:rPr>
          <w:spacing w:val="9"/>
        </w:rPr>
        <w:t> </w:t>
      </w:r>
      <w:r>
        <w:rPr/>
        <w:t>Paper</w:t>
      </w:r>
      <w:r>
        <w:rPr>
          <w:spacing w:val="9"/>
        </w:rPr>
        <w:t> </w:t>
      </w:r>
      <w:r>
        <w:rPr/>
        <w:t>of</w:t>
      </w:r>
      <w:r>
        <w:rPr>
          <w:spacing w:val="9"/>
        </w:rPr>
        <w:t> </w:t>
      </w:r>
      <w:r>
        <w:rPr/>
        <w:t>Requisite</w:t>
      </w:r>
      <w:r>
        <w:rPr>
          <w:spacing w:val="9"/>
        </w:rPr>
        <w:t> </w:t>
      </w:r>
      <w:r>
        <w:rPr>
          <w:spacing w:val="-2"/>
        </w:rPr>
        <w:t>value)</w:t>
      </w:r>
    </w:p>
    <w:p>
      <w:pPr>
        <w:pStyle w:val="BodyText"/>
        <w:spacing w:before="59"/>
        <w:ind w:left="772"/>
        <w:jc w:val="left"/>
      </w:pPr>
      <w:r>
        <w:rPr>
          <w:spacing w:val="-5"/>
        </w:rPr>
        <w:t>To</w:t>
      </w:r>
    </w:p>
    <w:p>
      <w:pPr>
        <w:pStyle w:val="BodyText"/>
        <w:tabs>
          <w:tab w:pos="1857" w:val="left" w:leader="none"/>
        </w:tabs>
        <w:spacing w:line="290" w:lineRule="auto" w:before="61"/>
        <w:ind w:left="772" w:right="7492"/>
        <w:jc w:val="left"/>
      </w:pPr>
      <w:r>
        <w:rPr/>
        <w:t>The Executive Engineer, </w:t>
      </w:r>
      <w:r>
        <w:rPr>
          <w:spacing w:val="-4"/>
        </w:rPr>
        <w:t>B.P.</w:t>
      </w:r>
      <w:r>
        <w:rPr>
          <w:u w:val="single"/>
        </w:rPr>
        <w:tab/>
      </w:r>
      <w:r>
        <w:rPr>
          <w:spacing w:val="-2"/>
        </w:rPr>
        <w:t>wardMumbai.</w:t>
      </w:r>
    </w:p>
    <w:p>
      <w:pPr>
        <w:pStyle w:val="BodyText"/>
        <w:tabs>
          <w:tab w:pos="5223" w:val="left" w:leader="none"/>
          <w:tab w:pos="5333" w:val="left" w:leader="none"/>
          <w:tab w:pos="6925" w:val="left" w:leader="none"/>
          <w:tab w:pos="7153" w:val="left" w:leader="none"/>
          <w:tab w:pos="9203" w:val="left" w:leader="none"/>
        </w:tabs>
        <w:spacing w:before="180"/>
        <w:ind w:left="2933" w:right="1299"/>
        <w:jc w:val="left"/>
      </w:pPr>
      <w:r>
        <w:rPr/>
        <w:t>Subject: Proposed</w:t>
        <w:tab/>
        <w:tab/>
        <w:t>development on property bearing C.S./C.T.S.No./ F.P. No.</w:t>
      </w:r>
      <w:r>
        <w:rPr>
          <w:u w:val="single"/>
        </w:rPr>
        <w:tab/>
      </w:r>
      <w:r>
        <w:rPr>
          <w:spacing w:val="-2"/>
        </w:rPr>
        <w:t>,OfDivision/village/T.P. </w:t>
      </w:r>
      <w:r>
        <w:rPr/>
        <w:t>Scheme No.</w:t>
      </w:r>
      <w:r>
        <w:rPr>
          <w:u w:val="single"/>
        </w:rPr>
        <w:tab/>
      </w:r>
      <w:r>
        <w:rPr>
          <w:spacing w:val="-6"/>
        </w:rPr>
        <w:t>at</w:t>
      </w:r>
      <w:r>
        <w:rPr>
          <w:u w:val="single"/>
        </w:rPr>
        <w:tab/>
        <w:tab/>
      </w:r>
      <w:r>
        <w:rPr/>
        <w:t>Road in</w:t>
      </w:r>
      <w:r>
        <w:rPr>
          <w:u w:val="single"/>
        </w:rPr>
        <w:tab/>
      </w:r>
      <w:r>
        <w:rPr>
          <w:spacing w:val="-2"/>
        </w:rPr>
        <w:t>ward.</w:t>
      </w:r>
    </w:p>
    <w:p>
      <w:pPr>
        <w:pStyle w:val="BodyText"/>
        <w:jc w:val="left"/>
      </w:pPr>
    </w:p>
    <w:p>
      <w:pPr>
        <w:pStyle w:val="BodyText"/>
        <w:spacing w:before="20"/>
        <w:jc w:val="left"/>
      </w:pPr>
    </w:p>
    <w:p>
      <w:pPr>
        <w:pStyle w:val="BodyText"/>
        <w:tabs>
          <w:tab w:pos="5415" w:val="left" w:leader="none"/>
          <w:tab w:pos="6658" w:val="left" w:leader="none"/>
          <w:tab w:pos="7299" w:val="left" w:leader="none"/>
          <w:tab w:pos="9090" w:val="left" w:leader="none"/>
        </w:tabs>
        <w:ind w:left="2933"/>
        <w:jc w:val="left"/>
      </w:pPr>
      <w:r>
        <w:rPr>
          <w:spacing w:val="-2"/>
        </w:rPr>
        <w:t>Reference:Building</w:t>
      </w:r>
      <w:r>
        <w:rPr/>
        <w:tab/>
      </w:r>
      <w:r>
        <w:rPr>
          <w:spacing w:val="-2"/>
        </w:rPr>
        <w:t>Proposal</w:t>
      </w:r>
      <w:r>
        <w:rPr/>
        <w:tab/>
      </w:r>
      <w:r>
        <w:rPr>
          <w:spacing w:val="-4"/>
        </w:rPr>
        <w:t>File</w:t>
      </w:r>
      <w:r>
        <w:rPr/>
        <w:tab/>
      </w:r>
      <w:r>
        <w:rPr>
          <w:spacing w:val="-2"/>
        </w:rPr>
        <w:t>No./Proposal</w:t>
      </w:r>
      <w:r>
        <w:rPr/>
        <w:tab/>
      </w:r>
      <w:r>
        <w:rPr>
          <w:spacing w:val="-5"/>
        </w:rPr>
        <w:t>No.</w:t>
      </w:r>
    </w:p>
    <w:p>
      <w:pPr>
        <w:pStyle w:val="BodyText"/>
        <w:spacing w:before="2"/>
        <w:jc w:val="left"/>
        <w:rPr>
          <w:sz w:val="19"/>
        </w:rPr>
      </w:pPr>
      <w:r>
        <w:rPr>
          <w:sz w:val="19"/>
        </w:rPr>
        <mc:AlternateContent>
          <mc:Choice Requires="wps">
            <w:drawing>
              <wp:anchor distT="0" distB="0" distL="0" distR="0" allowOverlap="1" layoutInCell="1" locked="0" behindDoc="1" simplePos="0" relativeHeight="487621632">
                <wp:simplePos x="0" y="0"/>
                <wp:positionH relativeFrom="page">
                  <wp:posOffset>2091182</wp:posOffset>
                </wp:positionH>
                <wp:positionV relativeFrom="paragraph">
                  <wp:posOffset>158751</wp:posOffset>
                </wp:positionV>
                <wp:extent cx="1507490" cy="1270"/>
                <wp:effectExtent l="0" t="0" r="0" b="0"/>
                <wp:wrapTopAndBottom/>
                <wp:docPr id="647" name="Graphic 647"/>
                <wp:cNvGraphicFramePr>
                  <a:graphicFrameLocks/>
                </wp:cNvGraphicFramePr>
                <a:graphic>
                  <a:graphicData uri="http://schemas.microsoft.com/office/word/2010/wordprocessingShape">
                    <wps:wsp>
                      <wps:cNvPr id="647" name="Graphic 647"/>
                      <wps:cNvSpPr/>
                      <wps:spPr>
                        <a:xfrm>
                          <a:off x="0" y="0"/>
                          <a:ext cx="1507490" cy="1270"/>
                        </a:xfrm>
                        <a:custGeom>
                          <a:avLst/>
                          <a:gdLst/>
                          <a:ahLst/>
                          <a:cxnLst/>
                          <a:rect l="l" t="t" r="r" b="b"/>
                          <a:pathLst>
                            <a:path w="1507490" h="0">
                              <a:moveTo>
                                <a:pt x="0" y="0"/>
                              </a:moveTo>
                              <a:lnTo>
                                <a:pt x="1507083"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4.660004pt;margin-top:12.500086pt;width:118.7pt;height:.1pt;mso-position-horizontal-relative:page;mso-position-vertical-relative:paragraph;z-index:-15694848;mso-wrap-distance-left:0;mso-wrap-distance-right:0" id="docshape549" coordorigin="3293,250" coordsize="2374,0" path="m3293,250l5667,250e" filled="false" stroked="true" strokeweight=".6pt" strokecolor="#000000">
                <v:path arrowok="t"/>
                <v:stroke dashstyle="solid"/>
                <w10:wrap type="topAndBottom"/>
              </v:shape>
            </w:pict>
          </mc:Fallback>
        </mc:AlternateContent>
      </w:r>
    </w:p>
    <w:p>
      <w:pPr>
        <w:pStyle w:val="BodyText"/>
        <w:tabs>
          <w:tab w:pos="2599" w:val="left" w:leader="none"/>
          <w:tab w:pos="3065" w:val="left" w:leader="none"/>
          <w:tab w:pos="4764" w:val="left" w:leader="none"/>
          <w:tab w:pos="5537" w:val="left" w:leader="none"/>
          <w:tab w:pos="6505" w:val="left" w:leader="none"/>
          <w:tab w:pos="7110" w:val="left" w:leader="none"/>
          <w:tab w:pos="9030" w:val="left" w:leader="none"/>
          <w:tab w:pos="9702" w:val="left" w:leader="none"/>
          <w:tab w:pos="10387" w:val="left" w:leader="none"/>
        </w:tabs>
        <w:spacing w:before="267"/>
        <w:ind w:left="772" w:right="778"/>
        <w:jc w:val="left"/>
      </w:pPr>
      <w:r>
        <w:rPr>
          <w:spacing w:val="-10"/>
        </w:rPr>
        <w:t>I</w:t>
      </w:r>
      <w:r>
        <w:rPr>
          <w:u w:val="single"/>
        </w:rPr>
        <w:tab/>
      </w:r>
      <w:r>
        <w:rPr>
          <w:spacing w:val="-10"/>
        </w:rPr>
        <w:t>,</w:t>
      </w:r>
      <w:r>
        <w:rPr/>
        <w:tab/>
      </w:r>
      <w:r>
        <w:rPr>
          <w:spacing w:val="-2"/>
        </w:rPr>
        <w:t>possessing</w:t>
      </w:r>
      <w:r>
        <w:rPr/>
        <w:tab/>
      </w:r>
      <w:r>
        <w:rPr>
          <w:spacing w:val="-4"/>
        </w:rPr>
        <w:t>the</w:t>
      </w:r>
      <w:r>
        <w:rPr/>
        <w:tab/>
      </w:r>
      <w:r>
        <w:rPr>
          <w:spacing w:val="-2"/>
        </w:rPr>
        <w:t>right</w:t>
      </w:r>
      <w:r>
        <w:rPr/>
        <w:tab/>
      </w:r>
      <w:r>
        <w:rPr>
          <w:spacing w:val="-6"/>
        </w:rPr>
        <w:t>of</w:t>
      </w:r>
      <w:r>
        <w:rPr/>
        <w:tab/>
      </w:r>
      <w:r>
        <w:rPr>
          <w:spacing w:val="-2"/>
        </w:rPr>
        <w:t>development</w:t>
      </w:r>
      <w:r>
        <w:rPr/>
        <w:tab/>
      </w:r>
      <w:r>
        <w:rPr>
          <w:spacing w:val="-6"/>
        </w:rPr>
        <w:t>by</w:t>
      </w:r>
      <w:r>
        <w:rPr/>
        <w:tab/>
      </w:r>
      <w:r>
        <w:rPr>
          <w:spacing w:val="-2"/>
        </w:rPr>
        <w:t>virtu</w:t>
      </w:r>
      <w:r>
        <w:rPr>
          <w:spacing w:val="-2"/>
        </w:rPr>
        <w:t>e</w:t>
      </w:r>
      <w:r>
        <w:rPr>
          <w:spacing w:val="-2"/>
        </w:rPr>
        <w:t> ofconveyance/Lease/DevelopmentAgreement/PowerofAttorneydated</w:t>
      </w:r>
      <w:r>
        <w:rPr>
          <w:u w:val="single"/>
        </w:rPr>
        <w:tab/>
        <w:tab/>
        <w:tab/>
      </w:r>
    </w:p>
    <w:p>
      <w:pPr>
        <w:pStyle w:val="BodyText"/>
        <w:tabs>
          <w:tab w:pos="1891" w:val="left" w:leader="none"/>
          <w:tab w:pos="4179" w:val="left" w:leader="none"/>
          <w:tab w:pos="4625" w:val="left" w:leader="none"/>
          <w:tab w:pos="6524" w:val="left" w:leader="none"/>
          <w:tab w:pos="9508" w:val="left" w:leader="none"/>
          <w:tab w:pos="9597" w:val="left" w:leader="none"/>
        </w:tabs>
        <w:ind w:left="772" w:right="775"/>
        <w:jc w:val="left"/>
      </w:pPr>
      <w:r>
        <w:rPr>
          <w:u w:val="single"/>
        </w:rPr>
        <w:tab/>
      </w:r>
      <w:r>
        <w:rPr>
          <w:spacing w:val="-4"/>
        </w:rPr>
        <w:t>for</w:t>
      </w:r>
      <w:r>
        <w:rPr/>
        <w:tab/>
      </w:r>
      <w:r>
        <w:rPr>
          <w:spacing w:val="-4"/>
        </w:rPr>
        <w:t>the</w:t>
      </w:r>
      <w:r>
        <w:rPr/>
        <w:tab/>
        <w:tab/>
      </w:r>
      <w:r>
        <w:rPr>
          <w:spacing w:val="-2"/>
        </w:rPr>
        <w:t>property</w:t>
      </w:r>
      <w:r>
        <w:rPr/>
        <w:tab/>
      </w:r>
      <w:r>
        <w:rPr>
          <w:spacing w:val="-2"/>
        </w:rPr>
        <w:t>bearing C.S./C.T.S.No./F.P.No.</w:t>
      </w:r>
      <w:r>
        <w:rPr>
          <w:u w:val="single"/>
        </w:rPr>
        <w:tab/>
        <w:tab/>
      </w:r>
      <w:r>
        <w:rPr/>
        <w:t>,ofDivision/village/T.P.Scheme No</w:t>
      </w:r>
      <w:r>
        <w:rPr>
          <w:u w:val="single"/>
        </w:rPr>
        <w:tab/>
        <w:tab/>
      </w:r>
      <w:r>
        <w:rPr>
          <w:spacing w:val="-6"/>
        </w:rPr>
        <w:t>at</w:t>
      </w:r>
    </w:p>
    <w:p>
      <w:pPr>
        <w:pStyle w:val="BodyText"/>
        <w:tabs>
          <w:tab w:pos="2390" w:val="left" w:leader="none"/>
          <w:tab w:pos="3276" w:val="left" w:leader="none"/>
          <w:tab w:pos="4630" w:val="left" w:leader="none"/>
          <w:tab w:pos="5508" w:val="left" w:leader="none"/>
          <w:tab w:pos="6243" w:val="left" w:leader="none"/>
          <w:tab w:pos="7328" w:val="left" w:leader="none"/>
          <w:tab w:pos="7969" w:val="left" w:leader="none"/>
          <w:tab w:pos="10177" w:val="left" w:leader="none"/>
        </w:tabs>
        <w:spacing w:before="58"/>
        <w:ind w:left="772"/>
        <w:jc w:val="left"/>
      </w:pPr>
      <w:r>
        <w:rPr>
          <w:u w:val="single"/>
        </w:rPr>
        <w:tab/>
      </w:r>
      <w:r>
        <w:rPr>
          <w:spacing w:val="-4"/>
        </w:rPr>
        <w:t>Road</w:t>
      </w:r>
      <w:r>
        <w:rPr/>
        <w:tab/>
      </w:r>
      <w:r>
        <w:rPr>
          <w:spacing w:val="-5"/>
        </w:rPr>
        <w:t>in</w:t>
      </w:r>
      <w:r>
        <w:rPr>
          <w:u w:val="single"/>
        </w:rPr>
        <w:tab/>
      </w:r>
      <w:r>
        <w:rPr>
          <w:spacing w:val="-4"/>
        </w:rPr>
        <w:t>ward</w:t>
      </w:r>
      <w:r>
        <w:rPr/>
        <w:tab/>
      </w:r>
      <w:r>
        <w:rPr>
          <w:spacing w:val="-5"/>
        </w:rPr>
        <w:t>and</w:t>
      </w:r>
      <w:r>
        <w:rPr/>
        <w:tab/>
      </w:r>
      <w:r>
        <w:rPr>
          <w:spacing w:val="-2"/>
        </w:rPr>
        <w:t>having</w:t>
      </w:r>
      <w:r>
        <w:rPr/>
        <w:tab/>
      </w:r>
      <w:r>
        <w:rPr>
          <w:spacing w:val="-5"/>
        </w:rPr>
        <w:t>my</w:t>
      </w:r>
      <w:r>
        <w:rPr/>
        <w:tab/>
      </w:r>
      <w:r>
        <w:rPr>
          <w:spacing w:val="-2"/>
        </w:rPr>
        <w:t>residence/office</w:t>
      </w:r>
      <w:r>
        <w:rPr/>
        <w:tab/>
      </w:r>
      <w:r>
        <w:rPr>
          <w:spacing w:val="-5"/>
        </w:rPr>
        <w:t>at</w:t>
      </w:r>
    </w:p>
    <w:p>
      <w:pPr>
        <w:pStyle w:val="BodyText"/>
        <w:spacing w:before="5"/>
        <w:jc w:val="left"/>
        <w:rPr>
          <w:sz w:val="19"/>
        </w:rPr>
      </w:pPr>
      <w:r>
        <w:rPr>
          <w:sz w:val="19"/>
        </w:rPr>
        <mc:AlternateContent>
          <mc:Choice Requires="wps">
            <w:drawing>
              <wp:anchor distT="0" distB="0" distL="0" distR="0" allowOverlap="1" layoutInCell="1" locked="0" behindDoc="1" simplePos="0" relativeHeight="487622144">
                <wp:simplePos x="0" y="0"/>
                <wp:positionH relativeFrom="page">
                  <wp:posOffset>719327</wp:posOffset>
                </wp:positionH>
                <wp:positionV relativeFrom="paragraph">
                  <wp:posOffset>160278</wp:posOffset>
                </wp:positionV>
                <wp:extent cx="1268095" cy="1270"/>
                <wp:effectExtent l="0" t="0" r="0" b="0"/>
                <wp:wrapTopAndBottom/>
                <wp:docPr id="648" name="Graphic 648"/>
                <wp:cNvGraphicFramePr>
                  <a:graphicFrameLocks/>
                </wp:cNvGraphicFramePr>
                <a:graphic>
                  <a:graphicData uri="http://schemas.microsoft.com/office/word/2010/wordprocessingShape">
                    <wps:wsp>
                      <wps:cNvPr id="648" name="Graphic 648"/>
                      <wps:cNvSpPr/>
                      <wps:spPr>
                        <a:xfrm>
                          <a:off x="0" y="0"/>
                          <a:ext cx="1268095" cy="1270"/>
                        </a:xfrm>
                        <a:custGeom>
                          <a:avLst/>
                          <a:gdLst/>
                          <a:ahLst/>
                          <a:cxnLst/>
                          <a:rect l="l" t="t" r="r" b="b"/>
                          <a:pathLst>
                            <a:path w="1268095" h="0">
                              <a:moveTo>
                                <a:pt x="0" y="0"/>
                              </a:moveTo>
                              <a:lnTo>
                                <a:pt x="1267968"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39999pt;margin-top:12.620318pt;width:99.85pt;height:.1pt;mso-position-horizontal-relative:page;mso-position-vertical-relative:paragraph;z-index:-15694336;mso-wrap-distance-left:0;mso-wrap-distance-right:0" id="docshape550" coordorigin="1133,252" coordsize="1997,0" path="m1133,252l3130,252e" filled="false" stroked="true" strokeweight=".6pt" strokecolor="#000000">
                <v:path arrowok="t"/>
                <v:stroke dashstyle="solid"/>
                <w10:wrap type="topAndBottom"/>
              </v:shape>
            </w:pict>
          </mc:Fallback>
        </mc:AlternateContent>
      </w:r>
    </w:p>
    <w:p>
      <w:pPr>
        <w:pStyle w:val="BodyText"/>
        <w:tabs>
          <w:tab w:pos="5141" w:val="left" w:leader="none"/>
        </w:tabs>
        <w:spacing w:before="85"/>
        <w:ind w:left="772"/>
      </w:pPr>
      <w:r>
        <w:rPr>
          <w:u w:val="single"/>
        </w:rPr>
        <w:tab/>
      </w:r>
      <w:r>
        <w:rPr/>
        <w:t>solemnly</w:t>
      </w:r>
      <w:r>
        <w:rPr>
          <w:spacing w:val="13"/>
        </w:rPr>
        <w:t> </w:t>
      </w:r>
      <w:r>
        <w:rPr/>
        <w:t>affirm</w:t>
      </w:r>
      <w:r>
        <w:rPr>
          <w:spacing w:val="16"/>
        </w:rPr>
        <w:t> </w:t>
      </w:r>
      <w:r>
        <w:rPr/>
        <w:t>and</w:t>
      </w:r>
      <w:r>
        <w:rPr>
          <w:spacing w:val="15"/>
        </w:rPr>
        <w:t> </w:t>
      </w:r>
      <w:r>
        <w:rPr/>
        <w:t>say</w:t>
      </w:r>
      <w:r>
        <w:rPr>
          <w:spacing w:val="16"/>
        </w:rPr>
        <w:t> </w:t>
      </w:r>
      <w:r>
        <w:rPr/>
        <w:t>as</w:t>
      </w:r>
      <w:r>
        <w:rPr>
          <w:spacing w:val="16"/>
        </w:rPr>
        <w:t> </w:t>
      </w:r>
      <w:r>
        <w:rPr>
          <w:spacing w:val="-2"/>
        </w:rPr>
        <w:t>under:</w:t>
      </w:r>
    </w:p>
    <w:p>
      <w:pPr>
        <w:pStyle w:val="BodyText"/>
        <w:tabs>
          <w:tab w:pos="3824" w:val="left" w:leader="none"/>
          <w:tab w:pos="7354" w:val="left" w:leader="none"/>
        </w:tabs>
        <w:spacing w:before="59"/>
        <w:ind w:left="772" w:right="771"/>
      </w:pPr>
      <w:r>
        <w:rPr/>
        <w:t>I</w:t>
      </w:r>
      <w:r>
        <w:rPr>
          <w:spacing w:val="80"/>
        </w:rPr>
        <w:t>  </w:t>
      </w:r>
      <w:r>
        <w:rPr/>
        <w:t>have</w:t>
      </w:r>
      <w:r>
        <w:rPr>
          <w:spacing w:val="80"/>
        </w:rPr>
        <w:t>  </w:t>
      </w:r>
      <w:r>
        <w:rPr/>
        <w:t>submitted</w:t>
      </w:r>
      <w:r>
        <w:rPr>
          <w:spacing w:val="80"/>
        </w:rPr>
        <w:t>  </w:t>
      </w:r>
      <w:r>
        <w:rPr/>
        <w:t>the</w:t>
      </w:r>
      <w:r>
        <w:rPr>
          <w:spacing w:val="80"/>
        </w:rPr>
        <w:t>  </w:t>
      </w:r>
      <w:r>
        <w:rPr/>
        <w:t>plans</w:t>
      </w:r>
      <w:r>
        <w:rPr>
          <w:spacing w:val="80"/>
        </w:rPr>
        <w:t>  </w:t>
      </w:r>
      <w:r>
        <w:rPr/>
        <w:t>through</w:t>
      </w:r>
      <w:r>
        <w:rPr>
          <w:spacing w:val="80"/>
          <w:w w:val="150"/>
        </w:rPr>
        <w:t>  </w:t>
      </w:r>
      <w:r>
        <w:rPr/>
        <w:t>my</w:t>
      </w:r>
      <w:r>
        <w:rPr>
          <w:spacing w:val="80"/>
        </w:rPr>
        <w:t>  </w:t>
      </w:r>
      <w:r>
        <w:rPr/>
        <w:t>Architect/Licensed </w:t>
      </w:r>
      <w:r>
        <w:rPr>
          <w:spacing w:val="-2"/>
        </w:rPr>
        <w:t>surveyor</w:t>
      </w:r>
      <w:r>
        <w:rPr>
          <w:u w:val="single"/>
        </w:rPr>
        <w:tab/>
      </w:r>
      <w:r>
        <w:rPr/>
        <w:t>havingLicense</w:t>
      </w:r>
      <w:r>
        <w:rPr>
          <w:spacing w:val="40"/>
        </w:rPr>
        <w:t>  </w:t>
      </w:r>
      <w:r>
        <w:rPr/>
        <w:t>No.</w:t>
      </w:r>
      <w:r>
        <w:rPr>
          <w:u w:val="single"/>
        </w:rPr>
        <w:tab/>
      </w:r>
      <w:r>
        <w:rPr/>
        <w:t>fordevelopment of the aforesaid property.</w:t>
      </w:r>
    </w:p>
    <w:p>
      <w:pPr>
        <w:pStyle w:val="BodyText"/>
        <w:spacing w:before="62"/>
        <w:ind w:left="772" w:right="768"/>
      </w:pPr>
      <w:r>
        <w:rPr/>
        <w:t>In order to verify the area, I have also carried out survey of the said plot through my</w:t>
      </w:r>
      <w:r>
        <w:rPr>
          <w:spacing w:val="36"/>
        </w:rPr>
        <w:t> </w:t>
      </w:r>
      <w:r>
        <w:rPr/>
        <w:t>Architect/</w:t>
      </w:r>
      <w:r>
        <w:rPr>
          <w:spacing w:val="36"/>
        </w:rPr>
        <w:t> </w:t>
      </w:r>
      <w:r>
        <w:rPr/>
        <w:t>Licensed</w:t>
      </w:r>
      <w:r>
        <w:rPr>
          <w:spacing w:val="36"/>
        </w:rPr>
        <w:t> </w:t>
      </w:r>
      <w:r>
        <w:rPr/>
        <w:t>surveyor</w:t>
      </w:r>
      <w:r>
        <w:rPr>
          <w:spacing w:val="36"/>
        </w:rPr>
        <w:t> </w:t>
      </w:r>
      <w:r>
        <w:rPr/>
        <w:t>to</w:t>
      </w:r>
      <w:r>
        <w:rPr>
          <w:spacing w:val="36"/>
        </w:rPr>
        <w:t> </w:t>
      </w:r>
      <w:r>
        <w:rPr/>
        <w:t>ascertain</w:t>
      </w:r>
      <w:r>
        <w:rPr>
          <w:spacing w:val="36"/>
        </w:rPr>
        <w:t> </w:t>
      </w:r>
      <w:r>
        <w:rPr/>
        <w:t>the</w:t>
      </w:r>
      <w:r>
        <w:rPr>
          <w:spacing w:val="36"/>
        </w:rPr>
        <w:t> </w:t>
      </w:r>
      <w:r>
        <w:rPr/>
        <w:t>correctness</w:t>
      </w:r>
      <w:r>
        <w:rPr>
          <w:spacing w:val="36"/>
        </w:rPr>
        <w:t> </w:t>
      </w:r>
      <w:r>
        <w:rPr/>
        <w:t>of</w:t>
      </w:r>
      <w:r>
        <w:rPr>
          <w:spacing w:val="36"/>
        </w:rPr>
        <w:t> </w:t>
      </w:r>
      <w:r>
        <w:rPr/>
        <w:t>the</w:t>
      </w:r>
      <w:r>
        <w:rPr>
          <w:spacing w:val="36"/>
        </w:rPr>
        <w:t> </w:t>
      </w:r>
      <w:r>
        <w:rPr/>
        <w:t>area.</w:t>
      </w:r>
    </w:p>
    <w:p>
      <w:pPr>
        <w:pStyle w:val="BodyText"/>
        <w:spacing w:before="238"/>
        <w:ind w:left="772" w:right="768"/>
      </w:pPr>
      <w:r>
        <w:rPr/>
        <w:t>I say that my Architect/Licensed Surveyor has certified the said area on the basis of the property register card duly certified by the Superintendent of Land Records and/or on the basis survey carried out as per the boundaries of the property shown by me/us.</w:t>
      </w:r>
    </w:p>
    <w:p>
      <w:pPr>
        <w:pStyle w:val="BodyText"/>
        <w:tabs>
          <w:tab w:pos="5488" w:val="left" w:leader="none"/>
          <w:tab w:pos="6812" w:val="left" w:leader="none"/>
          <w:tab w:pos="9587" w:val="left" w:leader="none"/>
        </w:tabs>
        <w:spacing w:before="242"/>
        <w:ind w:left="772" w:right="771"/>
      </w:pPr>
      <w:r>
        <w:rPr/>
        <w:t>The said area works out to </w:t>
      </w:r>
      <w:r>
        <w:rPr>
          <w:u w:val="single"/>
        </w:rPr>
        <w:tab/>
      </w:r>
      <w:r>
        <w:rPr/>
        <w:t>sq. m (in words</w:t>
      </w:r>
      <w:r>
        <w:rPr>
          <w:u w:val="single"/>
        </w:rPr>
        <w:tab/>
      </w:r>
      <w:r>
        <w:rPr/>
        <w:t>sq. </w:t>
      </w:r>
      <w:r>
        <w:rPr/>
        <w:t>m. 0and F.S.I is claimed for the plot area</w:t>
      </w:r>
      <w:r>
        <w:rPr>
          <w:u w:val="single"/>
        </w:rPr>
        <w:tab/>
        <w:tab/>
      </w:r>
      <w:r>
        <w:rPr>
          <w:spacing w:val="-2"/>
        </w:rPr>
        <w:t>sq.m.</w:t>
      </w:r>
    </w:p>
    <w:p>
      <w:pPr>
        <w:pStyle w:val="BodyText"/>
        <w:spacing w:before="240"/>
        <w:ind w:left="772" w:right="795"/>
      </w:pPr>
      <w:r>
        <w:rPr/>
        <w:t>It may also be stated here that I/we do not hold /own any contiguous land with the subject land.</w:t>
      </w:r>
    </w:p>
    <w:p>
      <w:pPr>
        <w:pStyle w:val="BodyText"/>
        <w:tabs>
          <w:tab w:pos="2383" w:val="left" w:leader="none"/>
          <w:tab w:pos="3960" w:val="left" w:leader="none"/>
        </w:tabs>
        <w:spacing w:before="238"/>
        <w:ind w:left="772" w:right="6916"/>
        <w:jc w:val="left"/>
      </w:pPr>
      <w:r>
        <w:rPr>
          <w:spacing w:val="-2"/>
        </w:rPr>
        <w:t>SOLEMNLY</w:t>
      </w:r>
      <w:r>
        <w:rPr/>
        <w:tab/>
      </w:r>
      <w:r>
        <w:rPr>
          <w:spacing w:val="-2"/>
        </w:rPr>
        <w:t>AFFIRMED</w:t>
      </w:r>
      <w:r>
        <w:rPr/>
        <w:tab/>
      </w:r>
      <w:r>
        <w:rPr>
          <w:spacing w:val="-6"/>
        </w:rPr>
        <w:t>AT </w:t>
      </w:r>
      <w:r>
        <w:rPr>
          <w:spacing w:val="-2"/>
        </w:rPr>
        <w:t>MUMBAI</w:t>
      </w:r>
    </w:p>
    <w:p>
      <w:pPr>
        <w:pStyle w:val="BodyText"/>
        <w:tabs>
          <w:tab w:pos="2888" w:val="left" w:leader="none"/>
        </w:tabs>
        <w:spacing w:before="61"/>
        <w:ind w:left="772"/>
        <w:jc w:val="left"/>
      </w:pPr>
      <w:r>
        <w:rPr/>
        <w:t>DATED</w:t>
      </w:r>
      <w:r>
        <w:rPr>
          <w:spacing w:val="5"/>
        </w:rPr>
        <w:t> </w:t>
      </w:r>
      <w:r>
        <w:rPr>
          <w:spacing w:val="-4"/>
        </w:rPr>
        <w:t>THIS</w:t>
      </w:r>
      <w:r>
        <w:rPr>
          <w:u w:val="single"/>
        </w:rPr>
        <w:tab/>
      </w:r>
      <w:r>
        <w:rPr/>
        <w:t> DAYOF</w:t>
      </w:r>
    </w:p>
    <w:p>
      <w:pPr>
        <w:pStyle w:val="BodyText"/>
        <w:spacing w:line="292" w:lineRule="auto" w:before="59"/>
        <w:ind w:left="772" w:right="4416"/>
        <w:jc w:val="left"/>
      </w:pPr>
      <w:r>
        <w:rPr/>
        <w:t>(Name &amp;Signature of Owner/C.A. to Owner) BEFORE ME.</w:t>
      </w:r>
    </w:p>
    <w:p>
      <w:pPr>
        <w:pStyle w:val="BodyText"/>
        <w:spacing w:after="0" w:line="292" w:lineRule="auto"/>
        <w:jc w:val="left"/>
        <w:sectPr>
          <w:headerReference w:type="default" r:id="rId86"/>
          <w:footerReference w:type="default" r:id="rId87"/>
          <w:pgSz w:w="11910" w:h="16850"/>
          <w:pgMar w:header="1022" w:footer="870" w:top="1460" w:bottom="1060" w:left="360" w:right="360"/>
        </w:sectPr>
      </w:pPr>
    </w:p>
    <w:p>
      <w:pPr>
        <w:pStyle w:val="BodyText"/>
        <w:spacing w:before="278"/>
        <w:ind w:left="772"/>
        <w:jc w:val="left"/>
      </w:pPr>
      <w:r>
        <w:rPr/>
        <w:t>Note:</w:t>
      </w:r>
      <w:r>
        <w:rPr>
          <w:spacing w:val="13"/>
        </w:rPr>
        <w:t> </w:t>
      </w:r>
      <w:r>
        <w:rPr/>
        <w:t>To</w:t>
      </w:r>
      <w:r>
        <w:rPr>
          <w:spacing w:val="10"/>
        </w:rPr>
        <w:t> </w:t>
      </w:r>
      <w:r>
        <w:rPr/>
        <w:t>be</w:t>
      </w:r>
      <w:r>
        <w:rPr>
          <w:spacing w:val="11"/>
        </w:rPr>
        <w:t> </w:t>
      </w:r>
      <w:r>
        <w:rPr/>
        <w:t>submitted</w:t>
      </w:r>
      <w:r>
        <w:rPr>
          <w:spacing w:val="11"/>
        </w:rPr>
        <w:t> </w:t>
      </w:r>
      <w:r>
        <w:rPr/>
        <w:t>in</w:t>
      </w:r>
      <w:r>
        <w:rPr>
          <w:spacing w:val="11"/>
        </w:rPr>
        <w:t> </w:t>
      </w:r>
      <w:r>
        <w:rPr/>
        <w:t>original</w:t>
      </w:r>
      <w:r>
        <w:rPr>
          <w:spacing w:val="11"/>
        </w:rPr>
        <w:t> </w:t>
      </w:r>
      <w:r>
        <w:rPr/>
        <w:t>duly</w:t>
      </w:r>
      <w:r>
        <w:rPr>
          <w:spacing w:val="12"/>
        </w:rPr>
        <w:t> </w:t>
      </w:r>
      <w:r>
        <w:rPr>
          <w:spacing w:val="-2"/>
        </w:rPr>
        <w:t>notarized.</w:t>
      </w:r>
    </w:p>
    <w:p>
      <w:pPr>
        <w:pStyle w:val="BodyText"/>
        <w:spacing w:after="0"/>
        <w:jc w:val="left"/>
        <w:sectPr>
          <w:pgSz w:w="11910" w:h="16850"/>
          <w:pgMar w:header="1022" w:footer="870" w:top="1460" w:bottom="1060" w:left="360" w:right="360"/>
        </w:sectPr>
      </w:pPr>
    </w:p>
    <w:p>
      <w:pPr>
        <w:pStyle w:val="BodyText"/>
        <w:spacing w:before="2"/>
        <w:jc w:val="left"/>
        <w:rPr>
          <w:sz w:val="15"/>
        </w:rPr>
      </w:pPr>
    </w:p>
    <w:p>
      <w:pPr>
        <w:pStyle w:val="BodyText"/>
        <w:spacing w:after="0"/>
        <w:jc w:val="left"/>
        <w:rPr>
          <w:sz w:val="15"/>
        </w:rPr>
        <w:sectPr>
          <w:headerReference w:type="default" r:id="rId88"/>
          <w:footerReference w:type="default" r:id="rId89"/>
          <w:pgSz w:w="11910" w:h="16850"/>
          <w:pgMar w:header="1022" w:footer="0" w:top="1460" w:bottom="280" w:left="360" w:right="360"/>
        </w:sectPr>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94"/>
        <w:jc w:val="left"/>
      </w:pPr>
    </w:p>
    <w:p>
      <w:pPr>
        <w:pStyle w:val="BodyText"/>
        <w:ind w:left="772"/>
        <w:jc w:val="left"/>
      </w:pPr>
      <w:r>
        <w:rPr>
          <w:spacing w:val="-5"/>
        </w:rPr>
        <w:t>To,</w:t>
      </w:r>
    </w:p>
    <w:p>
      <w:pPr>
        <w:pStyle w:val="Heading4"/>
        <w:spacing w:before="100"/>
        <w:ind w:left="10" w:right="1676"/>
      </w:pPr>
      <w:r>
        <w:rPr>
          <w:b w:val="0"/>
        </w:rPr>
        <w:br w:type="column"/>
      </w:r>
      <w:r>
        <w:rPr>
          <w:spacing w:val="-2"/>
        </w:rPr>
        <w:t>ANNEXURE–5</w:t>
      </w:r>
    </w:p>
    <w:p>
      <w:pPr>
        <w:spacing w:before="239"/>
        <w:ind w:left="7" w:right="1676" w:firstLine="0"/>
        <w:jc w:val="center"/>
        <w:rPr>
          <w:b/>
          <w:sz w:val="24"/>
        </w:rPr>
      </w:pPr>
      <w:r>
        <w:rPr>
          <w:b/>
          <w:sz w:val="24"/>
        </w:rPr>
        <w:t>SUPERVISION</w:t>
      </w:r>
      <w:r>
        <w:rPr>
          <w:b/>
          <w:spacing w:val="-9"/>
          <w:sz w:val="24"/>
        </w:rPr>
        <w:t> </w:t>
      </w:r>
      <w:r>
        <w:rPr>
          <w:b/>
          <w:sz w:val="24"/>
        </w:rPr>
        <w:t>MEMO</w:t>
      </w:r>
      <w:r>
        <w:rPr>
          <w:b/>
          <w:spacing w:val="-7"/>
          <w:sz w:val="24"/>
        </w:rPr>
        <w:t> </w:t>
      </w:r>
      <w:r>
        <w:rPr>
          <w:b/>
          <w:sz w:val="24"/>
        </w:rPr>
        <w:t>OF</w:t>
      </w:r>
      <w:r>
        <w:rPr>
          <w:b/>
          <w:spacing w:val="-7"/>
          <w:sz w:val="24"/>
        </w:rPr>
        <w:t> </w:t>
      </w:r>
      <w:r>
        <w:rPr>
          <w:b/>
          <w:sz w:val="24"/>
        </w:rPr>
        <w:t>STRUCTURAL</w:t>
      </w:r>
      <w:r>
        <w:rPr>
          <w:b/>
          <w:spacing w:val="-7"/>
          <w:sz w:val="24"/>
        </w:rPr>
        <w:t> </w:t>
      </w:r>
      <w:r>
        <w:rPr>
          <w:b/>
          <w:spacing w:val="-2"/>
          <w:sz w:val="24"/>
        </w:rPr>
        <w:t>ENGINEER</w:t>
      </w:r>
    </w:p>
    <w:p>
      <w:pPr>
        <w:pStyle w:val="BodyText"/>
        <w:spacing w:before="241"/>
        <w:ind w:right="1676"/>
        <w:jc w:val="center"/>
      </w:pPr>
      <w:r>
        <w:rPr/>
        <w:t>(On</w:t>
      </w:r>
      <w:r>
        <w:rPr>
          <w:spacing w:val="10"/>
        </w:rPr>
        <w:t> </w:t>
      </w:r>
      <w:r>
        <w:rPr/>
        <w:t>the</w:t>
      </w:r>
      <w:r>
        <w:rPr>
          <w:spacing w:val="12"/>
        </w:rPr>
        <w:t> </w:t>
      </w:r>
      <w:r>
        <w:rPr/>
        <w:t>Letter</w:t>
      </w:r>
      <w:r>
        <w:rPr>
          <w:spacing w:val="13"/>
        </w:rPr>
        <w:t> </w:t>
      </w:r>
      <w:r>
        <w:rPr/>
        <w:t>Head</w:t>
      </w:r>
      <w:r>
        <w:rPr>
          <w:spacing w:val="12"/>
        </w:rPr>
        <w:t> </w:t>
      </w:r>
      <w:r>
        <w:rPr/>
        <w:t>of</w:t>
      </w:r>
      <w:r>
        <w:rPr>
          <w:spacing w:val="12"/>
        </w:rPr>
        <w:t> </w:t>
      </w:r>
      <w:r>
        <w:rPr/>
        <w:t>STRUCTURAL</w:t>
      </w:r>
      <w:r>
        <w:rPr>
          <w:spacing w:val="13"/>
        </w:rPr>
        <w:t> </w:t>
      </w:r>
      <w:r>
        <w:rPr>
          <w:spacing w:val="-2"/>
        </w:rPr>
        <w:t>ENGINEER)</w:t>
      </w:r>
    </w:p>
    <w:p>
      <w:pPr>
        <w:pStyle w:val="BodyText"/>
        <w:spacing w:line="273" w:lineRule="auto" w:before="239"/>
        <w:ind w:left="4863" w:right="64"/>
        <w:jc w:val="left"/>
      </w:pPr>
      <w:r>
        <w:rPr/>
        <w:t>Name of Structural Engineer </w:t>
      </w:r>
      <w:r>
        <w:rPr>
          <w:spacing w:val="-2"/>
        </w:rPr>
        <w:t>LicenseNo.</w:t>
      </w:r>
    </w:p>
    <w:p>
      <w:pPr>
        <w:pStyle w:val="BodyText"/>
        <w:tabs>
          <w:tab w:pos="6817" w:val="left" w:leader="none"/>
        </w:tabs>
        <w:spacing w:before="1"/>
        <w:ind w:left="4863"/>
        <w:jc w:val="left"/>
      </w:pPr>
      <w:r>
        <w:rPr>
          <w:spacing w:val="-2"/>
        </w:rPr>
        <w:t>Date:</w:t>
      </w:r>
      <w:r>
        <w:rPr>
          <w:u w:val="single"/>
        </w:rPr>
        <w:tab/>
      </w:r>
    </w:p>
    <w:p>
      <w:pPr>
        <w:pStyle w:val="BodyText"/>
        <w:spacing w:after="0"/>
        <w:jc w:val="left"/>
        <w:sectPr>
          <w:type w:val="continuous"/>
          <w:pgSz w:w="11910" w:h="16850"/>
          <w:pgMar w:header="1022" w:footer="0" w:top="1360" w:bottom="280" w:left="360" w:right="360"/>
          <w:cols w:num="2" w:equalWidth="0">
            <w:col w:w="1167" w:space="504"/>
            <w:col w:w="9519"/>
          </w:cols>
        </w:sectPr>
      </w:pPr>
    </w:p>
    <w:p>
      <w:pPr>
        <w:pStyle w:val="BodyText"/>
        <w:spacing w:before="40"/>
        <w:ind w:left="772"/>
        <w:jc w:val="left"/>
      </w:pPr>
      <w:r>
        <w:rPr/>
        <w:t>Executive</w:t>
      </w:r>
      <w:r>
        <w:rPr>
          <w:spacing w:val="31"/>
        </w:rPr>
        <w:t> </w:t>
      </w:r>
      <w:r>
        <w:rPr>
          <w:spacing w:val="-2"/>
        </w:rPr>
        <w:t>Engineer,</w:t>
      </w:r>
    </w:p>
    <w:p>
      <w:pPr>
        <w:pStyle w:val="BodyText"/>
        <w:tabs>
          <w:tab w:pos="3545" w:val="left" w:leader="none"/>
        </w:tabs>
        <w:spacing w:before="40"/>
        <w:ind w:left="772"/>
        <w:jc w:val="left"/>
      </w:pPr>
      <w:r>
        <w:rPr/>
        <w:t>Building</w:t>
      </w:r>
      <w:r>
        <w:rPr>
          <w:spacing w:val="29"/>
        </w:rPr>
        <w:t> </w:t>
      </w:r>
      <w:r>
        <w:rPr>
          <w:spacing w:val="-2"/>
        </w:rPr>
        <w:t>Proposal</w:t>
      </w:r>
      <w:r>
        <w:rPr>
          <w:u w:val="single"/>
        </w:rPr>
        <w:tab/>
      </w:r>
      <w:r>
        <w:rPr/>
        <w:t>ward,</w:t>
      </w:r>
      <w:r>
        <w:rPr>
          <w:spacing w:val="10"/>
        </w:rPr>
        <w:t> </w:t>
      </w:r>
      <w:r>
        <w:rPr>
          <w:spacing w:val="-2"/>
        </w:rPr>
        <w:t>M.C.G.M.</w:t>
      </w:r>
    </w:p>
    <w:p>
      <w:pPr>
        <w:pStyle w:val="BodyText"/>
        <w:spacing w:before="199"/>
        <w:ind w:left="2923"/>
        <w:jc w:val="left"/>
      </w:pPr>
      <w:r>
        <w:rPr/>
        <w:t>Subject:</w:t>
      </w:r>
      <w:r>
        <w:rPr>
          <w:spacing w:val="1"/>
        </w:rPr>
        <w:t> </w:t>
      </w:r>
      <w:r>
        <w:rPr/>
        <w:t>Proposed</w:t>
      </w:r>
      <w:r>
        <w:rPr>
          <w:spacing w:val="2"/>
        </w:rPr>
        <w:t> </w:t>
      </w:r>
      <w:r>
        <w:rPr/>
        <w:t>development</w:t>
      </w:r>
      <w:r>
        <w:rPr>
          <w:spacing w:val="1"/>
        </w:rPr>
        <w:t> </w:t>
      </w:r>
      <w:r>
        <w:rPr/>
        <w:t>work</w:t>
      </w:r>
      <w:r>
        <w:rPr>
          <w:spacing w:val="2"/>
        </w:rPr>
        <w:t> </w:t>
      </w:r>
      <w:r>
        <w:rPr/>
        <w:t>of</w:t>
      </w:r>
      <w:r>
        <w:rPr>
          <w:spacing w:val="2"/>
        </w:rPr>
        <w:t> </w:t>
      </w:r>
      <w:r>
        <w:rPr>
          <w:spacing w:val="-2"/>
        </w:rPr>
        <w:t>………………………………</w:t>
      </w:r>
    </w:p>
    <w:p>
      <w:pPr>
        <w:pStyle w:val="BodyText"/>
        <w:spacing w:before="4" w:after="1"/>
        <w:jc w:val="left"/>
        <w:rPr>
          <w:sz w:val="20"/>
        </w:rPr>
      </w:pPr>
    </w:p>
    <w:tbl>
      <w:tblPr>
        <w:tblW w:w="0" w:type="auto"/>
        <w:jc w:val="left"/>
        <w:tblInd w:w="1133"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4955"/>
        <w:gridCol w:w="3975"/>
      </w:tblGrid>
      <w:tr>
        <w:trPr>
          <w:trHeight w:val="302" w:hRule="atLeast"/>
        </w:trPr>
        <w:tc>
          <w:tcPr>
            <w:tcW w:w="4955" w:type="dxa"/>
          </w:tcPr>
          <w:p>
            <w:pPr>
              <w:pStyle w:val="TableParagraph"/>
              <w:spacing w:line="242" w:lineRule="exact" w:before="40"/>
              <w:ind w:left="62"/>
              <w:rPr>
                <w:sz w:val="24"/>
              </w:rPr>
            </w:pPr>
            <w:r>
              <w:rPr>
                <w:sz w:val="24"/>
              </w:rPr>
              <w:t>Building</w:t>
            </w:r>
            <w:r>
              <w:rPr>
                <w:spacing w:val="-4"/>
                <w:sz w:val="24"/>
              </w:rPr>
              <w:t> </w:t>
            </w:r>
            <w:r>
              <w:rPr>
                <w:sz w:val="24"/>
              </w:rPr>
              <w:t>proposal</w:t>
            </w:r>
            <w:r>
              <w:rPr>
                <w:spacing w:val="-1"/>
                <w:sz w:val="24"/>
              </w:rPr>
              <w:t> </w:t>
            </w:r>
            <w:r>
              <w:rPr>
                <w:spacing w:val="-5"/>
                <w:sz w:val="24"/>
              </w:rPr>
              <w:t>No</w:t>
            </w:r>
          </w:p>
        </w:tc>
        <w:tc>
          <w:tcPr>
            <w:tcW w:w="3975" w:type="dxa"/>
          </w:tcPr>
          <w:p>
            <w:pPr>
              <w:pStyle w:val="TableParagraph"/>
              <w:rPr>
                <w:rFonts w:ascii="Times New Roman"/>
                <w:sz w:val="22"/>
              </w:rPr>
            </w:pPr>
          </w:p>
        </w:tc>
      </w:tr>
      <w:tr>
        <w:trPr>
          <w:trHeight w:val="302" w:hRule="atLeast"/>
        </w:trPr>
        <w:tc>
          <w:tcPr>
            <w:tcW w:w="4955" w:type="dxa"/>
          </w:tcPr>
          <w:p>
            <w:pPr>
              <w:pStyle w:val="TableParagraph"/>
              <w:spacing w:line="242" w:lineRule="exact" w:before="40"/>
              <w:ind w:left="62"/>
              <w:rPr>
                <w:sz w:val="24"/>
              </w:rPr>
            </w:pPr>
            <w:r>
              <w:rPr>
                <w:sz w:val="24"/>
              </w:rPr>
              <w:t>Full</w:t>
            </w:r>
            <w:r>
              <w:rPr>
                <w:spacing w:val="-8"/>
                <w:sz w:val="24"/>
              </w:rPr>
              <w:t> </w:t>
            </w:r>
            <w:r>
              <w:rPr>
                <w:sz w:val="24"/>
              </w:rPr>
              <w:t>Particular</w:t>
            </w:r>
            <w:r>
              <w:rPr>
                <w:spacing w:val="-4"/>
                <w:sz w:val="24"/>
              </w:rPr>
              <w:t> </w:t>
            </w:r>
            <w:r>
              <w:rPr>
                <w:sz w:val="24"/>
              </w:rPr>
              <w:t>of</w:t>
            </w:r>
            <w:r>
              <w:rPr>
                <w:spacing w:val="-5"/>
                <w:sz w:val="24"/>
              </w:rPr>
              <w:t> </w:t>
            </w:r>
            <w:r>
              <w:rPr>
                <w:sz w:val="24"/>
              </w:rPr>
              <w:t>the</w:t>
            </w:r>
            <w:r>
              <w:rPr>
                <w:spacing w:val="-2"/>
                <w:sz w:val="24"/>
              </w:rPr>
              <w:t> </w:t>
            </w:r>
            <w:r>
              <w:rPr>
                <w:spacing w:val="-4"/>
                <w:sz w:val="24"/>
              </w:rPr>
              <w:t>work</w:t>
            </w:r>
          </w:p>
        </w:tc>
        <w:tc>
          <w:tcPr>
            <w:tcW w:w="3975" w:type="dxa"/>
          </w:tcPr>
          <w:p>
            <w:pPr>
              <w:pStyle w:val="TableParagraph"/>
              <w:rPr>
                <w:rFonts w:ascii="Times New Roman"/>
                <w:sz w:val="22"/>
              </w:rPr>
            </w:pPr>
          </w:p>
        </w:tc>
      </w:tr>
      <w:tr>
        <w:trPr>
          <w:trHeight w:val="573" w:hRule="atLeast"/>
        </w:trPr>
        <w:tc>
          <w:tcPr>
            <w:tcW w:w="4955" w:type="dxa"/>
          </w:tcPr>
          <w:p>
            <w:pPr>
              <w:pStyle w:val="TableParagraph"/>
              <w:spacing w:line="280" w:lineRule="exact" w:before="4"/>
              <w:ind w:left="62" w:right="1391"/>
              <w:rPr>
                <w:sz w:val="24"/>
              </w:rPr>
            </w:pPr>
            <w:r>
              <w:rPr>
                <w:sz w:val="24"/>
              </w:rPr>
              <w:t>On plot bearing </w:t>
            </w:r>
            <w:r>
              <w:rPr>
                <w:spacing w:val="-2"/>
                <w:sz w:val="24"/>
              </w:rPr>
              <w:t>C.S.No./C.T.S.No./F.P.No./Of</w:t>
            </w:r>
          </w:p>
        </w:tc>
        <w:tc>
          <w:tcPr>
            <w:tcW w:w="3975" w:type="dxa"/>
          </w:tcPr>
          <w:p>
            <w:pPr>
              <w:pStyle w:val="TableParagraph"/>
              <w:rPr>
                <w:rFonts w:ascii="Times New Roman"/>
                <w:sz w:val="22"/>
              </w:rPr>
            </w:pPr>
          </w:p>
        </w:tc>
      </w:tr>
      <w:tr>
        <w:trPr>
          <w:trHeight w:val="302" w:hRule="atLeast"/>
        </w:trPr>
        <w:tc>
          <w:tcPr>
            <w:tcW w:w="4955" w:type="dxa"/>
          </w:tcPr>
          <w:p>
            <w:pPr>
              <w:pStyle w:val="TableParagraph"/>
              <w:spacing w:line="242" w:lineRule="exact" w:before="40"/>
              <w:ind w:left="62"/>
              <w:rPr>
                <w:sz w:val="24"/>
              </w:rPr>
            </w:pPr>
            <w:r>
              <w:rPr>
                <w:sz w:val="24"/>
              </w:rPr>
              <w:t>Type</w:t>
            </w:r>
            <w:r>
              <w:rPr>
                <w:spacing w:val="-2"/>
                <w:sz w:val="24"/>
              </w:rPr>
              <w:t> </w:t>
            </w:r>
            <w:r>
              <w:rPr>
                <w:sz w:val="24"/>
              </w:rPr>
              <w:t>of</w:t>
            </w:r>
            <w:r>
              <w:rPr>
                <w:spacing w:val="-2"/>
                <w:sz w:val="24"/>
              </w:rPr>
              <w:t> development</w:t>
            </w:r>
          </w:p>
        </w:tc>
        <w:tc>
          <w:tcPr>
            <w:tcW w:w="3975" w:type="dxa"/>
          </w:tcPr>
          <w:p>
            <w:pPr>
              <w:pStyle w:val="TableParagraph"/>
              <w:rPr>
                <w:rFonts w:ascii="Times New Roman"/>
                <w:sz w:val="22"/>
              </w:rPr>
            </w:pPr>
          </w:p>
        </w:tc>
      </w:tr>
      <w:tr>
        <w:trPr>
          <w:trHeight w:val="301" w:hRule="atLeast"/>
        </w:trPr>
        <w:tc>
          <w:tcPr>
            <w:tcW w:w="4955" w:type="dxa"/>
          </w:tcPr>
          <w:p>
            <w:pPr>
              <w:pStyle w:val="TableParagraph"/>
              <w:spacing w:line="242" w:lineRule="exact" w:before="40"/>
              <w:ind w:left="62"/>
              <w:rPr>
                <w:sz w:val="24"/>
              </w:rPr>
            </w:pPr>
            <w:r>
              <w:rPr>
                <w:sz w:val="24"/>
              </w:rPr>
              <w:t>Road</w:t>
            </w:r>
            <w:r>
              <w:rPr>
                <w:spacing w:val="-7"/>
                <w:sz w:val="24"/>
              </w:rPr>
              <w:t> </w:t>
            </w:r>
            <w:r>
              <w:rPr>
                <w:spacing w:val="-4"/>
                <w:sz w:val="24"/>
              </w:rPr>
              <w:t>Name</w:t>
            </w:r>
          </w:p>
        </w:tc>
        <w:tc>
          <w:tcPr>
            <w:tcW w:w="3975" w:type="dxa"/>
          </w:tcPr>
          <w:p>
            <w:pPr>
              <w:pStyle w:val="TableParagraph"/>
              <w:rPr>
                <w:rFonts w:ascii="Times New Roman"/>
                <w:sz w:val="22"/>
              </w:rPr>
            </w:pPr>
          </w:p>
        </w:tc>
      </w:tr>
      <w:tr>
        <w:trPr>
          <w:trHeight w:val="302" w:hRule="atLeast"/>
        </w:trPr>
        <w:tc>
          <w:tcPr>
            <w:tcW w:w="4955" w:type="dxa"/>
          </w:tcPr>
          <w:p>
            <w:pPr>
              <w:pStyle w:val="TableParagraph"/>
              <w:spacing w:line="242" w:lineRule="exact" w:before="40"/>
              <w:ind w:left="62"/>
              <w:rPr>
                <w:sz w:val="24"/>
              </w:rPr>
            </w:pPr>
            <w:r>
              <w:rPr>
                <w:spacing w:val="-4"/>
                <w:sz w:val="24"/>
              </w:rPr>
              <w:t>Ward</w:t>
            </w:r>
          </w:p>
        </w:tc>
        <w:tc>
          <w:tcPr>
            <w:tcW w:w="3975" w:type="dxa"/>
          </w:tcPr>
          <w:p>
            <w:pPr>
              <w:pStyle w:val="TableParagraph"/>
              <w:rPr>
                <w:rFonts w:ascii="Times New Roman"/>
                <w:sz w:val="22"/>
              </w:rPr>
            </w:pPr>
          </w:p>
        </w:tc>
      </w:tr>
      <w:tr>
        <w:trPr>
          <w:trHeight w:val="301" w:hRule="atLeast"/>
        </w:trPr>
        <w:tc>
          <w:tcPr>
            <w:tcW w:w="4955" w:type="dxa"/>
          </w:tcPr>
          <w:p>
            <w:pPr>
              <w:pStyle w:val="TableParagraph"/>
              <w:spacing w:line="242" w:lineRule="exact" w:before="40"/>
              <w:ind w:left="62"/>
              <w:rPr>
                <w:sz w:val="24"/>
              </w:rPr>
            </w:pPr>
            <w:r>
              <w:rPr>
                <w:sz w:val="24"/>
              </w:rPr>
              <w:t>Name</w:t>
            </w:r>
            <w:r>
              <w:rPr>
                <w:spacing w:val="-3"/>
                <w:sz w:val="24"/>
              </w:rPr>
              <w:t> </w:t>
            </w:r>
            <w:r>
              <w:rPr>
                <w:sz w:val="24"/>
              </w:rPr>
              <w:t>of</w:t>
            </w:r>
            <w:r>
              <w:rPr>
                <w:spacing w:val="-3"/>
                <w:sz w:val="24"/>
              </w:rPr>
              <w:t> </w:t>
            </w:r>
            <w:r>
              <w:rPr>
                <w:sz w:val="24"/>
              </w:rPr>
              <w:t>Architect</w:t>
            </w:r>
            <w:r>
              <w:rPr>
                <w:spacing w:val="-3"/>
                <w:sz w:val="24"/>
              </w:rPr>
              <w:t> </w:t>
            </w:r>
            <w:r>
              <w:rPr>
                <w:sz w:val="24"/>
              </w:rPr>
              <w:t>/</w:t>
            </w:r>
            <w:r>
              <w:rPr>
                <w:spacing w:val="-3"/>
                <w:sz w:val="24"/>
              </w:rPr>
              <w:t> </w:t>
            </w:r>
            <w:r>
              <w:rPr>
                <w:sz w:val="24"/>
              </w:rPr>
              <w:t>Licensed</w:t>
            </w:r>
            <w:r>
              <w:rPr>
                <w:spacing w:val="-3"/>
                <w:sz w:val="24"/>
              </w:rPr>
              <w:t> </w:t>
            </w:r>
            <w:r>
              <w:rPr>
                <w:spacing w:val="-2"/>
                <w:sz w:val="24"/>
              </w:rPr>
              <w:t>Surveyor</w:t>
            </w:r>
          </w:p>
        </w:tc>
        <w:tc>
          <w:tcPr>
            <w:tcW w:w="3975" w:type="dxa"/>
          </w:tcPr>
          <w:p>
            <w:pPr>
              <w:pStyle w:val="TableParagraph"/>
              <w:rPr>
                <w:rFonts w:ascii="Times New Roman"/>
                <w:sz w:val="22"/>
              </w:rPr>
            </w:pPr>
          </w:p>
        </w:tc>
      </w:tr>
      <w:tr>
        <w:trPr>
          <w:trHeight w:val="304" w:hRule="atLeast"/>
        </w:trPr>
        <w:tc>
          <w:tcPr>
            <w:tcW w:w="4955" w:type="dxa"/>
          </w:tcPr>
          <w:p>
            <w:pPr>
              <w:pStyle w:val="TableParagraph"/>
              <w:spacing w:line="244" w:lineRule="exact" w:before="40"/>
              <w:ind w:left="62"/>
              <w:rPr>
                <w:sz w:val="24"/>
              </w:rPr>
            </w:pPr>
            <w:r>
              <w:rPr>
                <w:sz w:val="24"/>
              </w:rPr>
              <w:t>Name of </w:t>
            </w:r>
            <w:r>
              <w:rPr>
                <w:spacing w:val="-2"/>
                <w:sz w:val="24"/>
              </w:rPr>
              <w:t>Owner</w:t>
            </w:r>
          </w:p>
        </w:tc>
        <w:tc>
          <w:tcPr>
            <w:tcW w:w="3975" w:type="dxa"/>
          </w:tcPr>
          <w:p>
            <w:pPr>
              <w:pStyle w:val="TableParagraph"/>
              <w:rPr>
                <w:rFonts w:ascii="Times New Roman"/>
                <w:sz w:val="22"/>
              </w:rPr>
            </w:pPr>
          </w:p>
        </w:tc>
      </w:tr>
    </w:tbl>
    <w:p>
      <w:pPr>
        <w:pStyle w:val="BodyText"/>
        <w:tabs>
          <w:tab w:pos="8956" w:val="left" w:leader="none"/>
        </w:tabs>
        <w:spacing w:before="122"/>
        <w:ind w:left="917" w:right="771"/>
      </w:pPr>
      <w:r>
        <w:rPr/>
        <w:t>With reference to the letter of our appointment dated</w:t>
      </w:r>
      <w:r>
        <w:rPr>
          <w:u w:val="single"/>
        </w:rPr>
        <w:tab/>
      </w:r>
      <w:r>
        <w:rPr>
          <w:spacing w:val="-2"/>
        </w:rPr>
        <w:t>addressedto </w:t>
      </w:r>
      <w:r>
        <w:rPr/>
        <w:t>you, by the Owner, I hereby confirm that I have agreed to act as the Consulting Structural Engineer for the above proposal.</w:t>
      </w:r>
    </w:p>
    <w:p>
      <w:pPr>
        <w:pStyle w:val="BodyText"/>
        <w:spacing w:before="119"/>
        <w:ind w:left="917" w:right="771"/>
      </w:pPr>
      <w:r>
        <w:rPr/>
        <w:t>I further confirm that the structural design and calculations shall be inconformity with the pro- visions of IS Code nos. 1875,1893 &amp;4326 taking into consideration</w:t>
      </w:r>
      <w:r>
        <w:rPr>
          <w:spacing w:val="39"/>
        </w:rPr>
        <w:t> </w:t>
      </w:r>
      <w:r>
        <w:rPr/>
        <w:t>the</w:t>
      </w:r>
      <w:r>
        <w:rPr>
          <w:spacing w:val="40"/>
        </w:rPr>
        <w:t> </w:t>
      </w:r>
      <w:r>
        <w:rPr/>
        <w:t>Seismic</w:t>
      </w:r>
      <w:r>
        <w:rPr>
          <w:spacing w:val="39"/>
        </w:rPr>
        <w:t> </w:t>
      </w:r>
      <w:r>
        <w:rPr/>
        <w:t>forces</w:t>
      </w:r>
      <w:r>
        <w:rPr>
          <w:spacing w:val="40"/>
        </w:rPr>
        <w:t> </w:t>
      </w:r>
      <w:r>
        <w:rPr/>
        <w:t>etc.as</w:t>
      </w:r>
      <w:r>
        <w:rPr>
          <w:spacing w:val="40"/>
        </w:rPr>
        <w:t> </w:t>
      </w:r>
      <w:r>
        <w:rPr/>
        <w:t>required</w:t>
      </w:r>
      <w:r>
        <w:rPr>
          <w:spacing w:val="40"/>
        </w:rPr>
        <w:t> </w:t>
      </w:r>
      <w:r>
        <w:rPr/>
        <w:t>by</w:t>
      </w:r>
      <w:r>
        <w:rPr>
          <w:spacing w:val="39"/>
        </w:rPr>
        <w:t> </w:t>
      </w:r>
      <w:r>
        <w:rPr/>
        <w:t>the</w:t>
      </w:r>
      <w:r>
        <w:rPr>
          <w:spacing w:val="39"/>
        </w:rPr>
        <w:t> </w:t>
      </w:r>
      <w:r>
        <w:rPr/>
        <w:t>planning</w:t>
      </w:r>
      <w:r>
        <w:rPr>
          <w:spacing w:val="39"/>
        </w:rPr>
        <w:t> </w:t>
      </w:r>
      <w:r>
        <w:rPr/>
        <w:t>authority.</w:t>
      </w:r>
    </w:p>
    <w:p>
      <w:pPr>
        <w:pStyle w:val="BodyText"/>
        <w:spacing w:before="120"/>
        <w:ind w:left="4719"/>
      </w:pPr>
      <w:r>
        <w:rPr/>
        <w:t>Thanking</w:t>
      </w:r>
      <w:r>
        <w:rPr>
          <w:spacing w:val="30"/>
        </w:rPr>
        <w:t> </w:t>
      </w:r>
      <w:r>
        <w:rPr>
          <w:spacing w:val="-4"/>
        </w:rPr>
        <w:t>you,</w:t>
      </w:r>
    </w:p>
    <w:p>
      <w:pPr>
        <w:pStyle w:val="BodyText"/>
        <w:spacing w:before="119"/>
        <w:ind w:right="1570"/>
        <w:jc w:val="right"/>
      </w:pPr>
      <w:r>
        <w:rPr/>
        <w:t>Yours</w:t>
      </w:r>
      <w:r>
        <w:rPr>
          <w:spacing w:val="7"/>
        </w:rPr>
        <w:t> </w:t>
      </w:r>
      <w:r>
        <w:rPr>
          <w:spacing w:val="-2"/>
        </w:rPr>
        <w:t>Faithfully</w:t>
      </w:r>
    </w:p>
    <w:p>
      <w:pPr>
        <w:pStyle w:val="BodyText"/>
        <w:spacing w:before="7"/>
        <w:jc w:val="left"/>
        <w:rPr>
          <w:sz w:val="20"/>
        </w:rPr>
      </w:pPr>
    </w:p>
    <w:tbl>
      <w:tblPr>
        <w:tblW w:w="0" w:type="auto"/>
        <w:jc w:val="left"/>
        <w:tblInd w:w="5473"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4943"/>
      </w:tblGrid>
      <w:tr>
        <w:trPr>
          <w:trHeight w:val="300" w:hRule="atLeast"/>
        </w:trPr>
        <w:tc>
          <w:tcPr>
            <w:tcW w:w="4943" w:type="dxa"/>
          </w:tcPr>
          <w:p>
            <w:pPr>
              <w:pStyle w:val="TableParagraph"/>
              <w:tabs>
                <w:tab w:pos="1012" w:val="left" w:leader="none"/>
                <w:tab w:pos="1506" w:val="left" w:leader="none"/>
                <w:tab w:pos="2163" w:val="left" w:leader="none"/>
                <w:tab w:pos="3728" w:val="left" w:leader="none"/>
              </w:tabs>
              <w:spacing w:line="240" w:lineRule="exact" w:before="40"/>
              <w:ind w:left="62" w:right="-15"/>
              <w:rPr>
                <w:sz w:val="24"/>
              </w:rPr>
            </w:pPr>
            <w:r>
              <w:rPr>
                <w:spacing w:val="-4"/>
                <w:sz w:val="24"/>
              </w:rPr>
              <w:t>Name</w:t>
            </w:r>
            <w:r>
              <w:rPr>
                <w:sz w:val="24"/>
              </w:rPr>
              <w:tab/>
            </w:r>
            <w:r>
              <w:rPr>
                <w:spacing w:val="-5"/>
                <w:sz w:val="24"/>
              </w:rPr>
              <w:t>of</w:t>
            </w:r>
            <w:r>
              <w:rPr>
                <w:sz w:val="24"/>
              </w:rPr>
              <w:tab/>
            </w:r>
            <w:r>
              <w:rPr>
                <w:spacing w:val="-5"/>
                <w:sz w:val="24"/>
              </w:rPr>
              <w:t>the</w:t>
            </w:r>
            <w:r>
              <w:rPr>
                <w:sz w:val="24"/>
              </w:rPr>
              <w:tab/>
            </w:r>
            <w:r>
              <w:rPr>
                <w:spacing w:val="-2"/>
                <w:sz w:val="24"/>
              </w:rPr>
              <w:t>Consulting</w:t>
            </w:r>
            <w:r>
              <w:rPr>
                <w:sz w:val="24"/>
              </w:rPr>
              <w:tab/>
            </w:r>
            <w:r>
              <w:rPr>
                <w:spacing w:val="-2"/>
                <w:sz w:val="24"/>
              </w:rPr>
              <w:t>Structural</w:t>
            </w:r>
          </w:p>
        </w:tc>
      </w:tr>
      <w:tr>
        <w:trPr>
          <w:trHeight w:val="299" w:hRule="atLeast"/>
        </w:trPr>
        <w:tc>
          <w:tcPr>
            <w:tcW w:w="4943" w:type="dxa"/>
          </w:tcPr>
          <w:p>
            <w:pPr>
              <w:pStyle w:val="TableParagraph"/>
              <w:spacing w:line="242" w:lineRule="exact" w:before="37"/>
              <w:ind w:left="62"/>
              <w:rPr>
                <w:sz w:val="24"/>
              </w:rPr>
            </w:pPr>
            <w:r>
              <w:rPr>
                <w:sz w:val="24"/>
              </w:rPr>
              <w:t>Registration</w:t>
            </w:r>
            <w:r>
              <w:rPr>
                <w:spacing w:val="-15"/>
                <w:sz w:val="24"/>
              </w:rPr>
              <w:t> </w:t>
            </w:r>
            <w:r>
              <w:rPr>
                <w:spacing w:val="-5"/>
                <w:sz w:val="24"/>
              </w:rPr>
              <w:t>No</w:t>
            </w:r>
          </w:p>
        </w:tc>
      </w:tr>
      <w:tr>
        <w:trPr>
          <w:trHeight w:val="299" w:hRule="atLeast"/>
        </w:trPr>
        <w:tc>
          <w:tcPr>
            <w:tcW w:w="4943" w:type="dxa"/>
          </w:tcPr>
          <w:p>
            <w:pPr>
              <w:pStyle w:val="TableParagraph"/>
              <w:spacing w:line="242" w:lineRule="exact" w:before="37"/>
              <w:ind w:left="62"/>
              <w:rPr>
                <w:sz w:val="24"/>
              </w:rPr>
            </w:pPr>
            <w:r>
              <w:rPr>
                <w:spacing w:val="-2"/>
                <w:sz w:val="24"/>
              </w:rPr>
              <w:t>Address:</w:t>
            </w:r>
          </w:p>
        </w:tc>
      </w:tr>
      <w:tr>
        <w:trPr>
          <w:trHeight w:val="299" w:hRule="atLeast"/>
        </w:trPr>
        <w:tc>
          <w:tcPr>
            <w:tcW w:w="4943" w:type="dxa"/>
          </w:tcPr>
          <w:p>
            <w:pPr>
              <w:pStyle w:val="TableParagraph"/>
              <w:spacing w:line="242" w:lineRule="exact" w:before="37"/>
              <w:ind w:left="62"/>
              <w:rPr>
                <w:sz w:val="24"/>
              </w:rPr>
            </w:pPr>
            <w:r>
              <w:rPr>
                <w:sz w:val="24"/>
              </w:rPr>
              <w:t>Tel.</w:t>
            </w:r>
            <w:r>
              <w:rPr>
                <w:spacing w:val="-17"/>
                <w:sz w:val="24"/>
              </w:rPr>
              <w:t> </w:t>
            </w:r>
            <w:r>
              <w:rPr>
                <w:spacing w:val="-4"/>
                <w:sz w:val="24"/>
              </w:rPr>
              <w:t>No.:</w:t>
            </w:r>
          </w:p>
        </w:tc>
      </w:tr>
      <w:tr>
        <w:trPr>
          <w:trHeight w:val="299" w:hRule="atLeast"/>
        </w:trPr>
        <w:tc>
          <w:tcPr>
            <w:tcW w:w="4943" w:type="dxa"/>
          </w:tcPr>
          <w:p>
            <w:pPr>
              <w:pStyle w:val="TableParagraph"/>
              <w:spacing w:line="242" w:lineRule="exact" w:before="37"/>
              <w:ind w:left="62"/>
              <w:rPr>
                <w:sz w:val="24"/>
              </w:rPr>
            </w:pPr>
            <w:r>
              <w:rPr>
                <w:spacing w:val="-2"/>
                <w:sz w:val="24"/>
              </w:rPr>
              <w:t>Signature:</w:t>
            </w:r>
          </w:p>
        </w:tc>
      </w:tr>
      <w:tr>
        <w:trPr>
          <w:trHeight w:val="301" w:hRule="atLeast"/>
        </w:trPr>
        <w:tc>
          <w:tcPr>
            <w:tcW w:w="4943" w:type="dxa"/>
          </w:tcPr>
          <w:p>
            <w:pPr>
              <w:pStyle w:val="TableParagraph"/>
              <w:spacing w:line="242" w:lineRule="exact" w:before="40"/>
              <w:ind w:left="62"/>
              <w:rPr>
                <w:sz w:val="24"/>
              </w:rPr>
            </w:pPr>
            <w:r>
              <w:rPr>
                <w:spacing w:val="-4"/>
                <w:sz w:val="24"/>
              </w:rPr>
              <w:t>Date:</w:t>
            </w:r>
          </w:p>
        </w:tc>
      </w:tr>
    </w:tbl>
    <w:p>
      <w:pPr>
        <w:pStyle w:val="BodyText"/>
        <w:spacing w:before="2"/>
        <w:ind w:left="2885"/>
        <w:jc w:val="left"/>
      </w:pPr>
      <w:r>
        <w:rPr/>
        <w:t>C.C.to:</w:t>
      </w:r>
      <w:r>
        <w:rPr>
          <w:spacing w:val="50"/>
          <w:w w:val="150"/>
        </w:rPr>
        <w:t> </w:t>
      </w:r>
      <w:r>
        <w:rPr/>
        <w:t>1.</w:t>
      </w:r>
      <w:r>
        <w:rPr>
          <w:spacing w:val="14"/>
        </w:rPr>
        <w:t> </w:t>
      </w:r>
      <w:r>
        <w:rPr>
          <w:spacing w:val="-2"/>
        </w:rPr>
        <w:t>Owner.</w:t>
      </w:r>
    </w:p>
    <w:p>
      <w:pPr>
        <w:pStyle w:val="ListParagraph"/>
        <w:numPr>
          <w:ilvl w:val="0"/>
          <w:numId w:val="379"/>
        </w:numPr>
        <w:tabs>
          <w:tab w:pos="2139" w:val="left" w:leader="none"/>
        </w:tabs>
        <w:spacing w:line="240" w:lineRule="auto" w:before="239" w:after="0"/>
        <w:ind w:left="2139" w:right="0" w:hanging="233"/>
        <w:jc w:val="left"/>
        <w:rPr>
          <w:sz w:val="24"/>
        </w:rPr>
      </w:pPr>
      <w:r>
        <w:rPr>
          <w:sz w:val="24"/>
        </w:rPr>
        <w:t>.</w:t>
      </w:r>
      <w:r>
        <w:rPr>
          <w:spacing w:val="30"/>
          <w:sz w:val="24"/>
        </w:rPr>
        <w:t> </w:t>
      </w:r>
      <w:r>
        <w:rPr>
          <w:sz w:val="24"/>
        </w:rPr>
        <w:t>Architect</w:t>
      </w:r>
      <w:r>
        <w:rPr>
          <w:spacing w:val="25"/>
          <w:sz w:val="24"/>
        </w:rPr>
        <w:t> </w:t>
      </w:r>
      <w:r>
        <w:rPr>
          <w:sz w:val="24"/>
        </w:rPr>
        <w:t>/Licensed</w:t>
      </w:r>
      <w:r>
        <w:rPr>
          <w:spacing w:val="20"/>
          <w:sz w:val="24"/>
        </w:rPr>
        <w:t> </w:t>
      </w:r>
      <w:r>
        <w:rPr>
          <w:spacing w:val="-2"/>
          <w:sz w:val="24"/>
        </w:rPr>
        <w:t>Surveyor</w:t>
      </w:r>
    </w:p>
    <w:p>
      <w:pPr>
        <w:pStyle w:val="BodyText"/>
        <w:spacing w:before="135"/>
        <w:jc w:val="left"/>
        <w:rPr>
          <w:sz w:val="20"/>
        </w:rPr>
      </w:pPr>
    </w:p>
    <w:p>
      <w:pPr>
        <w:spacing w:before="0"/>
        <w:ind w:left="4" w:right="0" w:firstLine="0"/>
        <w:jc w:val="center"/>
        <w:rPr>
          <w:rFonts w:ascii="Times New Roman"/>
          <w:sz w:val="20"/>
        </w:rPr>
      </w:pPr>
      <w:r>
        <w:rPr>
          <w:rFonts w:ascii="Times New Roman"/>
          <w:spacing w:val="-5"/>
          <w:sz w:val="20"/>
        </w:rPr>
        <w:t>448</w:t>
      </w:r>
    </w:p>
    <w:p>
      <w:pPr>
        <w:spacing w:after="0"/>
        <w:jc w:val="center"/>
        <w:rPr>
          <w:rFonts w:ascii="Times New Roman"/>
          <w:sz w:val="20"/>
        </w:rPr>
        <w:sectPr>
          <w:type w:val="continuous"/>
          <w:pgSz w:w="11910" w:h="16850"/>
          <w:pgMar w:header="1022" w:footer="0" w:top="1360" w:bottom="280" w:left="360" w:right="360"/>
        </w:sectPr>
      </w:pPr>
    </w:p>
    <w:p>
      <w:pPr>
        <w:pStyle w:val="Heading4"/>
        <w:spacing w:before="239"/>
      </w:pPr>
      <w:r>
        <w:rPr/>
        <w:t>SUPERVISION</w:t>
      </w:r>
      <w:r>
        <w:rPr>
          <w:spacing w:val="-5"/>
        </w:rPr>
        <w:t> </w:t>
      </w:r>
      <w:r>
        <w:rPr/>
        <w:t>MEMO</w:t>
      </w:r>
      <w:r>
        <w:rPr>
          <w:spacing w:val="-2"/>
        </w:rPr>
        <w:t> </w:t>
      </w:r>
      <w:r>
        <w:rPr/>
        <w:t>OF</w:t>
      </w:r>
      <w:r>
        <w:rPr>
          <w:spacing w:val="-3"/>
        </w:rPr>
        <w:t> </w:t>
      </w:r>
      <w:r>
        <w:rPr/>
        <w:t>LICENSED</w:t>
      </w:r>
      <w:r>
        <w:rPr>
          <w:spacing w:val="-2"/>
        </w:rPr>
        <w:t> PLUMBER</w:t>
      </w:r>
    </w:p>
    <w:p>
      <w:pPr>
        <w:pStyle w:val="BodyText"/>
        <w:spacing w:before="121"/>
        <w:ind w:left="4112"/>
        <w:jc w:val="left"/>
      </w:pPr>
      <w:r>
        <w:rPr/>
        <w:t>(On the Letter Head of Licensed </w:t>
      </w:r>
      <w:r>
        <w:rPr>
          <w:spacing w:val="-2"/>
        </w:rPr>
        <w:t>Plumber)</w:t>
      </w:r>
    </w:p>
    <w:p>
      <w:pPr>
        <w:pStyle w:val="BodyText"/>
        <w:spacing w:before="9"/>
        <w:jc w:val="left"/>
        <w:rPr>
          <w:sz w:val="18"/>
        </w:rPr>
      </w:pPr>
    </w:p>
    <w:p>
      <w:pPr>
        <w:pStyle w:val="BodyText"/>
        <w:spacing w:after="0"/>
        <w:jc w:val="left"/>
        <w:rPr>
          <w:sz w:val="18"/>
        </w:rPr>
        <w:sectPr>
          <w:headerReference w:type="default" r:id="rId90"/>
          <w:footerReference w:type="default" r:id="rId91"/>
          <w:pgSz w:w="11910" w:h="16850"/>
          <w:pgMar w:header="1022" w:footer="870" w:top="2020" w:bottom="1060" w:left="360" w:right="360"/>
          <w:pgNumType w:start="449"/>
        </w:sectPr>
      </w:pPr>
    </w:p>
    <w:p>
      <w:pPr>
        <w:pStyle w:val="BodyText"/>
        <w:jc w:val="left"/>
      </w:pPr>
    </w:p>
    <w:p>
      <w:pPr>
        <w:pStyle w:val="BodyText"/>
        <w:jc w:val="left"/>
      </w:pPr>
    </w:p>
    <w:p>
      <w:pPr>
        <w:pStyle w:val="BodyText"/>
        <w:spacing w:before="258"/>
        <w:jc w:val="left"/>
      </w:pPr>
    </w:p>
    <w:p>
      <w:pPr>
        <w:pStyle w:val="BodyText"/>
        <w:ind w:left="772" w:right="856"/>
        <w:jc w:val="left"/>
      </w:pPr>
      <w:r>
        <w:rPr>
          <w:spacing w:val="-4"/>
        </w:rPr>
        <w:t>To, </w:t>
      </w:r>
      <w:r>
        <w:rPr>
          <w:spacing w:val="-2"/>
        </w:rPr>
        <w:t>ExecutiveEngineer,</w:t>
      </w:r>
    </w:p>
    <w:p>
      <w:pPr>
        <w:pStyle w:val="BodyText"/>
        <w:tabs>
          <w:tab w:pos="3464" w:val="left" w:leader="none"/>
        </w:tabs>
        <w:spacing w:before="2"/>
        <w:ind w:left="772" w:right="38"/>
        <w:jc w:val="left"/>
      </w:pPr>
      <w:r>
        <w:rPr>
          <w:spacing w:val="-2"/>
        </w:rPr>
        <w:t>BuildingProposal</w:t>
      </w:r>
      <w:r>
        <w:rPr>
          <w:u w:val="single"/>
        </w:rPr>
        <w:tab/>
      </w:r>
      <w:r>
        <w:rPr>
          <w:spacing w:val="-4"/>
        </w:rPr>
        <w:t>ward, </w:t>
      </w:r>
      <w:r>
        <w:rPr>
          <w:spacing w:val="-2"/>
        </w:rPr>
        <w:t>M.C.G.M.</w:t>
      </w:r>
    </w:p>
    <w:p>
      <w:pPr>
        <w:pStyle w:val="BodyText"/>
        <w:spacing w:line="273" w:lineRule="auto" w:before="100"/>
        <w:ind w:left="1673" w:right="1577"/>
        <w:jc w:val="left"/>
      </w:pPr>
      <w:r>
        <w:rPr/>
        <w:br w:type="column"/>
      </w:r>
      <w:r>
        <w:rPr/>
        <w:t>Name of Plumber License No.</w:t>
      </w:r>
    </w:p>
    <w:p>
      <w:pPr>
        <w:pStyle w:val="BodyText"/>
        <w:tabs>
          <w:tab w:pos="2530" w:val="left" w:leader="none"/>
        </w:tabs>
        <w:spacing w:before="1"/>
        <w:ind w:left="772"/>
        <w:jc w:val="left"/>
      </w:pPr>
      <w:r>
        <w:rPr>
          <w:spacing w:val="-4"/>
        </w:rPr>
        <w:t>Date</w:t>
      </w:r>
      <w:r>
        <w:rPr>
          <w:u w:val="single"/>
        </w:rPr>
        <w:tab/>
      </w:r>
    </w:p>
    <w:p>
      <w:pPr>
        <w:pStyle w:val="BodyText"/>
        <w:spacing w:after="0"/>
        <w:jc w:val="left"/>
        <w:sectPr>
          <w:type w:val="continuous"/>
          <w:pgSz w:w="11910" w:h="16850"/>
          <w:pgMar w:header="1022" w:footer="870" w:top="1360" w:bottom="280" w:left="360" w:right="360"/>
          <w:cols w:num="2" w:equalWidth="0">
            <w:col w:w="4177" w:space="888"/>
            <w:col w:w="6125"/>
          </w:cols>
        </w:sectPr>
      </w:pPr>
    </w:p>
    <w:p>
      <w:pPr>
        <w:pStyle w:val="BodyText"/>
        <w:spacing w:before="281"/>
        <w:ind w:left="62"/>
        <w:jc w:val="center"/>
      </w:pPr>
      <w:r>
        <w:rPr/>
        <w:t>Subject:</w:t>
      </w:r>
      <w:r>
        <w:rPr>
          <w:spacing w:val="20"/>
        </w:rPr>
        <w:t> </w:t>
      </w:r>
      <w:r>
        <w:rPr/>
        <w:t>Drainage</w:t>
      </w:r>
      <w:r>
        <w:rPr>
          <w:spacing w:val="23"/>
        </w:rPr>
        <w:t> </w:t>
      </w:r>
      <w:r>
        <w:rPr/>
        <w:t>&amp;Sanitation</w:t>
      </w:r>
      <w:r>
        <w:rPr>
          <w:spacing w:val="23"/>
        </w:rPr>
        <w:t> </w:t>
      </w:r>
      <w:r>
        <w:rPr/>
        <w:t>work</w:t>
      </w:r>
      <w:r>
        <w:rPr>
          <w:spacing w:val="22"/>
        </w:rPr>
        <w:t> </w:t>
      </w:r>
      <w:r>
        <w:rPr/>
        <w:t>of</w:t>
      </w:r>
      <w:r>
        <w:rPr>
          <w:spacing w:val="23"/>
        </w:rPr>
        <w:t> </w:t>
      </w:r>
      <w:r>
        <w:rPr/>
        <w:t>proposed</w:t>
      </w:r>
      <w:r>
        <w:rPr>
          <w:spacing w:val="23"/>
        </w:rPr>
        <w:t> </w:t>
      </w:r>
      <w:r>
        <w:rPr>
          <w:spacing w:val="-2"/>
        </w:rPr>
        <w:t>development</w:t>
      </w:r>
    </w:p>
    <w:p>
      <w:pPr>
        <w:pStyle w:val="BodyText"/>
        <w:spacing w:before="7"/>
        <w:jc w:val="left"/>
        <w:rPr>
          <w:sz w:val="20"/>
        </w:rPr>
      </w:pPr>
    </w:p>
    <w:tbl>
      <w:tblPr>
        <w:tblW w:w="0" w:type="auto"/>
        <w:jc w:val="left"/>
        <w:tblInd w:w="2482"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5778"/>
        <w:gridCol w:w="2418"/>
      </w:tblGrid>
      <w:tr>
        <w:trPr>
          <w:trHeight w:val="301" w:hRule="atLeast"/>
        </w:trPr>
        <w:tc>
          <w:tcPr>
            <w:tcW w:w="5778" w:type="dxa"/>
          </w:tcPr>
          <w:p>
            <w:pPr>
              <w:pStyle w:val="TableParagraph"/>
              <w:spacing w:line="244" w:lineRule="exact" w:before="37"/>
              <w:ind w:left="64"/>
              <w:rPr>
                <w:sz w:val="24"/>
              </w:rPr>
            </w:pPr>
            <w:r>
              <w:rPr>
                <w:sz w:val="24"/>
              </w:rPr>
              <w:t>Building</w:t>
            </w:r>
            <w:r>
              <w:rPr>
                <w:spacing w:val="-4"/>
                <w:sz w:val="24"/>
              </w:rPr>
              <w:t> </w:t>
            </w:r>
            <w:r>
              <w:rPr>
                <w:sz w:val="24"/>
              </w:rPr>
              <w:t>proposal</w:t>
            </w:r>
            <w:r>
              <w:rPr>
                <w:spacing w:val="-1"/>
                <w:sz w:val="24"/>
              </w:rPr>
              <w:t> </w:t>
            </w:r>
            <w:r>
              <w:rPr>
                <w:spacing w:val="-5"/>
                <w:sz w:val="24"/>
              </w:rPr>
              <w:t>No</w:t>
            </w:r>
          </w:p>
        </w:tc>
        <w:tc>
          <w:tcPr>
            <w:tcW w:w="2418" w:type="dxa"/>
          </w:tcPr>
          <w:p>
            <w:pPr>
              <w:pStyle w:val="TableParagraph"/>
              <w:rPr>
                <w:rFonts w:ascii="Times New Roman"/>
                <w:sz w:val="22"/>
              </w:rPr>
            </w:pPr>
          </w:p>
        </w:tc>
      </w:tr>
      <w:tr>
        <w:trPr>
          <w:trHeight w:val="302" w:hRule="atLeast"/>
        </w:trPr>
        <w:tc>
          <w:tcPr>
            <w:tcW w:w="5778" w:type="dxa"/>
          </w:tcPr>
          <w:p>
            <w:pPr>
              <w:pStyle w:val="TableParagraph"/>
              <w:spacing w:line="244" w:lineRule="exact" w:before="37"/>
              <w:ind w:left="64"/>
              <w:rPr>
                <w:sz w:val="24"/>
              </w:rPr>
            </w:pPr>
            <w:r>
              <w:rPr>
                <w:sz w:val="24"/>
              </w:rPr>
              <w:t>Full</w:t>
            </w:r>
            <w:r>
              <w:rPr>
                <w:spacing w:val="-7"/>
                <w:sz w:val="24"/>
              </w:rPr>
              <w:t> </w:t>
            </w:r>
            <w:r>
              <w:rPr>
                <w:sz w:val="24"/>
              </w:rPr>
              <w:t>Particular</w:t>
            </w:r>
            <w:r>
              <w:rPr>
                <w:spacing w:val="-4"/>
                <w:sz w:val="24"/>
              </w:rPr>
              <w:t> </w:t>
            </w:r>
            <w:r>
              <w:rPr>
                <w:sz w:val="24"/>
              </w:rPr>
              <w:t>of</w:t>
            </w:r>
            <w:r>
              <w:rPr>
                <w:spacing w:val="-5"/>
                <w:sz w:val="24"/>
              </w:rPr>
              <w:t> </w:t>
            </w:r>
            <w:r>
              <w:rPr>
                <w:sz w:val="24"/>
              </w:rPr>
              <w:t>the</w:t>
            </w:r>
            <w:r>
              <w:rPr>
                <w:spacing w:val="-2"/>
                <w:sz w:val="24"/>
              </w:rPr>
              <w:t> </w:t>
            </w:r>
            <w:r>
              <w:rPr>
                <w:spacing w:val="-4"/>
                <w:sz w:val="24"/>
              </w:rPr>
              <w:t>work</w:t>
            </w:r>
          </w:p>
        </w:tc>
        <w:tc>
          <w:tcPr>
            <w:tcW w:w="2418" w:type="dxa"/>
          </w:tcPr>
          <w:p>
            <w:pPr>
              <w:pStyle w:val="TableParagraph"/>
              <w:rPr>
                <w:rFonts w:ascii="Times New Roman"/>
                <w:sz w:val="22"/>
              </w:rPr>
            </w:pPr>
          </w:p>
        </w:tc>
      </w:tr>
      <w:tr>
        <w:trPr>
          <w:trHeight w:val="301" w:hRule="atLeast"/>
        </w:trPr>
        <w:tc>
          <w:tcPr>
            <w:tcW w:w="5778" w:type="dxa"/>
          </w:tcPr>
          <w:p>
            <w:pPr>
              <w:pStyle w:val="TableParagraph"/>
              <w:spacing w:line="244" w:lineRule="exact" w:before="37"/>
              <w:ind w:left="64"/>
              <w:rPr>
                <w:sz w:val="24"/>
              </w:rPr>
            </w:pPr>
            <w:r>
              <w:rPr>
                <w:sz w:val="24"/>
              </w:rPr>
              <w:t>Building</w:t>
            </w:r>
            <w:r>
              <w:rPr>
                <w:spacing w:val="-2"/>
                <w:sz w:val="24"/>
              </w:rPr>
              <w:t> </w:t>
            </w:r>
            <w:r>
              <w:rPr>
                <w:sz w:val="24"/>
              </w:rPr>
              <w:t>comprising</w:t>
            </w:r>
            <w:r>
              <w:rPr>
                <w:spacing w:val="-1"/>
                <w:sz w:val="24"/>
              </w:rPr>
              <w:t> </w:t>
            </w:r>
            <w:r>
              <w:rPr>
                <w:sz w:val="24"/>
              </w:rPr>
              <w:t>of</w:t>
            </w:r>
            <w:r>
              <w:rPr>
                <w:spacing w:val="-1"/>
                <w:sz w:val="24"/>
              </w:rPr>
              <w:t> </w:t>
            </w:r>
            <w:r>
              <w:rPr>
                <w:sz w:val="24"/>
              </w:rPr>
              <w:t>(no</w:t>
            </w:r>
            <w:r>
              <w:rPr>
                <w:spacing w:val="-2"/>
                <w:sz w:val="24"/>
              </w:rPr>
              <w:t> </w:t>
            </w:r>
            <w:r>
              <w:rPr>
                <w:sz w:val="24"/>
              </w:rPr>
              <w:t>of</w:t>
            </w:r>
            <w:r>
              <w:rPr>
                <w:spacing w:val="-1"/>
                <w:sz w:val="24"/>
              </w:rPr>
              <w:t> </w:t>
            </w:r>
            <w:r>
              <w:rPr>
                <w:sz w:val="24"/>
              </w:rPr>
              <w:t>wings</w:t>
            </w:r>
            <w:r>
              <w:rPr>
                <w:spacing w:val="-1"/>
                <w:sz w:val="24"/>
              </w:rPr>
              <w:t> </w:t>
            </w:r>
            <w:r>
              <w:rPr>
                <w:sz w:val="24"/>
              </w:rPr>
              <w:t>and</w:t>
            </w:r>
            <w:r>
              <w:rPr>
                <w:spacing w:val="-1"/>
                <w:sz w:val="24"/>
              </w:rPr>
              <w:t> </w:t>
            </w:r>
            <w:r>
              <w:rPr>
                <w:spacing w:val="-2"/>
                <w:sz w:val="24"/>
              </w:rPr>
              <w:t>floors)</w:t>
            </w:r>
          </w:p>
        </w:tc>
        <w:tc>
          <w:tcPr>
            <w:tcW w:w="2418" w:type="dxa"/>
          </w:tcPr>
          <w:p>
            <w:pPr>
              <w:pStyle w:val="TableParagraph"/>
              <w:rPr>
                <w:rFonts w:ascii="Times New Roman"/>
                <w:sz w:val="22"/>
              </w:rPr>
            </w:pPr>
          </w:p>
        </w:tc>
      </w:tr>
      <w:tr>
        <w:trPr>
          <w:trHeight w:val="645" w:hRule="atLeast"/>
        </w:trPr>
        <w:tc>
          <w:tcPr>
            <w:tcW w:w="5778" w:type="dxa"/>
          </w:tcPr>
          <w:p>
            <w:pPr>
              <w:pStyle w:val="TableParagraph"/>
              <w:spacing w:before="40"/>
              <w:ind w:left="64"/>
              <w:rPr>
                <w:sz w:val="24"/>
              </w:rPr>
            </w:pPr>
            <w:r>
              <w:rPr>
                <w:sz w:val="24"/>
              </w:rPr>
              <w:t>On</w:t>
            </w:r>
            <w:r>
              <w:rPr>
                <w:spacing w:val="-20"/>
                <w:sz w:val="24"/>
              </w:rPr>
              <w:t> </w:t>
            </w:r>
            <w:r>
              <w:rPr>
                <w:sz w:val="24"/>
              </w:rPr>
              <w:t>plot</w:t>
            </w:r>
            <w:r>
              <w:rPr>
                <w:spacing w:val="-19"/>
                <w:sz w:val="24"/>
              </w:rPr>
              <w:t> </w:t>
            </w:r>
            <w:r>
              <w:rPr>
                <w:sz w:val="24"/>
              </w:rPr>
              <w:t>bearing</w:t>
            </w:r>
            <w:r>
              <w:rPr>
                <w:spacing w:val="-19"/>
                <w:sz w:val="24"/>
              </w:rPr>
              <w:t> </w:t>
            </w:r>
            <w:r>
              <w:rPr>
                <w:sz w:val="24"/>
              </w:rPr>
              <w:t>C.S.No./C.T.S.No./F.P.No./</w:t>
            </w:r>
            <w:r>
              <w:rPr>
                <w:spacing w:val="-19"/>
                <w:sz w:val="24"/>
              </w:rPr>
              <w:t> </w:t>
            </w:r>
            <w:r>
              <w:rPr>
                <w:sz w:val="24"/>
              </w:rPr>
              <w:t>Of Division/village/T.P. Scheme No</w:t>
            </w:r>
          </w:p>
        </w:tc>
        <w:tc>
          <w:tcPr>
            <w:tcW w:w="2418" w:type="dxa"/>
          </w:tcPr>
          <w:p>
            <w:pPr>
              <w:pStyle w:val="TableParagraph"/>
              <w:rPr>
                <w:rFonts w:ascii="Times New Roman"/>
                <w:sz w:val="22"/>
              </w:rPr>
            </w:pPr>
          </w:p>
        </w:tc>
      </w:tr>
      <w:tr>
        <w:trPr>
          <w:trHeight w:val="301" w:hRule="atLeast"/>
        </w:trPr>
        <w:tc>
          <w:tcPr>
            <w:tcW w:w="5778" w:type="dxa"/>
          </w:tcPr>
          <w:p>
            <w:pPr>
              <w:pStyle w:val="TableParagraph"/>
              <w:spacing w:line="244" w:lineRule="exact" w:before="37"/>
              <w:ind w:left="64"/>
              <w:rPr>
                <w:sz w:val="24"/>
              </w:rPr>
            </w:pPr>
            <w:r>
              <w:rPr>
                <w:sz w:val="24"/>
              </w:rPr>
              <w:t>Type</w:t>
            </w:r>
            <w:r>
              <w:rPr>
                <w:spacing w:val="-2"/>
                <w:sz w:val="24"/>
              </w:rPr>
              <w:t> </w:t>
            </w:r>
            <w:r>
              <w:rPr>
                <w:sz w:val="24"/>
              </w:rPr>
              <w:t>of</w:t>
            </w:r>
            <w:r>
              <w:rPr>
                <w:spacing w:val="-1"/>
                <w:sz w:val="24"/>
              </w:rPr>
              <w:t> </w:t>
            </w:r>
            <w:r>
              <w:rPr>
                <w:spacing w:val="-2"/>
                <w:sz w:val="24"/>
              </w:rPr>
              <w:t>development</w:t>
            </w:r>
          </w:p>
        </w:tc>
        <w:tc>
          <w:tcPr>
            <w:tcW w:w="2418" w:type="dxa"/>
          </w:tcPr>
          <w:p>
            <w:pPr>
              <w:pStyle w:val="TableParagraph"/>
              <w:rPr>
                <w:rFonts w:ascii="Times New Roman"/>
                <w:sz w:val="22"/>
              </w:rPr>
            </w:pPr>
          </w:p>
        </w:tc>
      </w:tr>
      <w:tr>
        <w:trPr>
          <w:trHeight w:val="302" w:hRule="atLeast"/>
        </w:trPr>
        <w:tc>
          <w:tcPr>
            <w:tcW w:w="5778" w:type="dxa"/>
          </w:tcPr>
          <w:p>
            <w:pPr>
              <w:pStyle w:val="TableParagraph"/>
              <w:spacing w:line="245" w:lineRule="exact" w:before="37"/>
              <w:ind w:left="64"/>
              <w:rPr>
                <w:sz w:val="24"/>
              </w:rPr>
            </w:pPr>
            <w:r>
              <w:rPr>
                <w:sz w:val="24"/>
              </w:rPr>
              <w:t>Road</w:t>
            </w:r>
            <w:r>
              <w:rPr>
                <w:spacing w:val="-7"/>
                <w:sz w:val="24"/>
              </w:rPr>
              <w:t> </w:t>
            </w:r>
            <w:r>
              <w:rPr>
                <w:spacing w:val="-2"/>
                <w:sz w:val="24"/>
              </w:rPr>
              <w:t>Name:</w:t>
            </w:r>
          </w:p>
        </w:tc>
        <w:tc>
          <w:tcPr>
            <w:tcW w:w="2418" w:type="dxa"/>
          </w:tcPr>
          <w:p>
            <w:pPr>
              <w:pStyle w:val="TableParagraph"/>
              <w:rPr>
                <w:rFonts w:ascii="Times New Roman"/>
                <w:sz w:val="22"/>
              </w:rPr>
            </w:pPr>
          </w:p>
        </w:tc>
      </w:tr>
      <w:tr>
        <w:trPr>
          <w:trHeight w:val="301" w:hRule="atLeast"/>
        </w:trPr>
        <w:tc>
          <w:tcPr>
            <w:tcW w:w="5778" w:type="dxa"/>
          </w:tcPr>
          <w:p>
            <w:pPr>
              <w:pStyle w:val="TableParagraph"/>
              <w:spacing w:line="244" w:lineRule="exact" w:before="37"/>
              <w:ind w:left="64"/>
              <w:rPr>
                <w:sz w:val="24"/>
              </w:rPr>
            </w:pPr>
            <w:r>
              <w:rPr>
                <w:spacing w:val="-4"/>
                <w:sz w:val="24"/>
              </w:rPr>
              <w:t>Ward</w:t>
            </w:r>
          </w:p>
        </w:tc>
        <w:tc>
          <w:tcPr>
            <w:tcW w:w="2418" w:type="dxa"/>
          </w:tcPr>
          <w:p>
            <w:pPr>
              <w:pStyle w:val="TableParagraph"/>
              <w:rPr>
                <w:rFonts w:ascii="Times New Roman"/>
                <w:sz w:val="22"/>
              </w:rPr>
            </w:pPr>
          </w:p>
        </w:tc>
      </w:tr>
      <w:tr>
        <w:trPr>
          <w:trHeight w:val="301" w:hRule="atLeast"/>
        </w:trPr>
        <w:tc>
          <w:tcPr>
            <w:tcW w:w="5778" w:type="dxa"/>
          </w:tcPr>
          <w:p>
            <w:pPr>
              <w:pStyle w:val="TableParagraph"/>
              <w:spacing w:line="244" w:lineRule="exact" w:before="37"/>
              <w:ind w:left="64"/>
              <w:rPr>
                <w:sz w:val="24"/>
              </w:rPr>
            </w:pPr>
            <w:r>
              <w:rPr>
                <w:sz w:val="24"/>
              </w:rPr>
              <w:t>Name</w:t>
            </w:r>
            <w:r>
              <w:rPr>
                <w:spacing w:val="-3"/>
                <w:sz w:val="24"/>
              </w:rPr>
              <w:t> </w:t>
            </w:r>
            <w:r>
              <w:rPr>
                <w:sz w:val="24"/>
              </w:rPr>
              <w:t>of</w:t>
            </w:r>
            <w:r>
              <w:rPr>
                <w:spacing w:val="-3"/>
                <w:sz w:val="24"/>
              </w:rPr>
              <w:t> </w:t>
            </w:r>
            <w:r>
              <w:rPr>
                <w:sz w:val="24"/>
              </w:rPr>
              <w:t>Architect</w:t>
            </w:r>
            <w:r>
              <w:rPr>
                <w:spacing w:val="-3"/>
                <w:sz w:val="24"/>
              </w:rPr>
              <w:t> </w:t>
            </w:r>
            <w:r>
              <w:rPr>
                <w:sz w:val="24"/>
              </w:rPr>
              <w:t>/</w:t>
            </w:r>
            <w:r>
              <w:rPr>
                <w:spacing w:val="-3"/>
                <w:sz w:val="24"/>
              </w:rPr>
              <w:t> </w:t>
            </w:r>
            <w:r>
              <w:rPr>
                <w:sz w:val="24"/>
              </w:rPr>
              <w:t>Licensed</w:t>
            </w:r>
            <w:r>
              <w:rPr>
                <w:spacing w:val="-2"/>
                <w:sz w:val="24"/>
              </w:rPr>
              <w:t> Surveyor</w:t>
            </w:r>
          </w:p>
        </w:tc>
        <w:tc>
          <w:tcPr>
            <w:tcW w:w="2418" w:type="dxa"/>
          </w:tcPr>
          <w:p>
            <w:pPr>
              <w:pStyle w:val="TableParagraph"/>
              <w:rPr>
                <w:rFonts w:ascii="Times New Roman"/>
                <w:sz w:val="22"/>
              </w:rPr>
            </w:pPr>
          </w:p>
        </w:tc>
      </w:tr>
      <w:tr>
        <w:trPr>
          <w:trHeight w:val="302" w:hRule="atLeast"/>
        </w:trPr>
        <w:tc>
          <w:tcPr>
            <w:tcW w:w="5778" w:type="dxa"/>
          </w:tcPr>
          <w:p>
            <w:pPr>
              <w:pStyle w:val="TableParagraph"/>
              <w:spacing w:line="244" w:lineRule="exact" w:before="37"/>
              <w:ind w:left="64"/>
              <w:rPr>
                <w:sz w:val="24"/>
              </w:rPr>
            </w:pPr>
            <w:r>
              <w:rPr>
                <w:sz w:val="24"/>
              </w:rPr>
              <w:t>Name of </w:t>
            </w:r>
            <w:r>
              <w:rPr>
                <w:spacing w:val="-2"/>
                <w:sz w:val="24"/>
              </w:rPr>
              <w:t>Owner</w:t>
            </w:r>
          </w:p>
        </w:tc>
        <w:tc>
          <w:tcPr>
            <w:tcW w:w="2418" w:type="dxa"/>
          </w:tcPr>
          <w:p>
            <w:pPr>
              <w:pStyle w:val="TableParagraph"/>
              <w:rPr>
                <w:rFonts w:ascii="Times New Roman"/>
                <w:sz w:val="22"/>
              </w:rPr>
            </w:pPr>
          </w:p>
        </w:tc>
      </w:tr>
    </w:tbl>
    <w:p>
      <w:pPr>
        <w:pStyle w:val="BodyText"/>
        <w:spacing w:before="4"/>
        <w:ind w:left="772" w:right="768"/>
      </w:pPr>
      <w:r>
        <w:rPr/>
        <w:t>This</w:t>
      </w:r>
      <w:r>
        <w:rPr>
          <w:spacing w:val="19"/>
        </w:rPr>
        <w:t> </w:t>
      </w:r>
      <w:r>
        <w:rPr/>
        <w:t>is</w:t>
      </w:r>
      <w:r>
        <w:rPr>
          <w:spacing w:val="16"/>
        </w:rPr>
        <w:t> </w:t>
      </w:r>
      <w:r>
        <w:rPr/>
        <w:t>in</w:t>
      </w:r>
      <w:r>
        <w:rPr>
          <w:spacing w:val="19"/>
        </w:rPr>
        <w:t> </w:t>
      </w:r>
      <w:r>
        <w:rPr/>
        <w:t>reference</w:t>
      </w:r>
      <w:r>
        <w:rPr>
          <w:spacing w:val="22"/>
        </w:rPr>
        <w:t> </w:t>
      </w:r>
      <w:r>
        <w:rPr/>
        <w:t>to</w:t>
      </w:r>
      <w:r>
        <w:rPr>
          <w:spacing w:val="17"/>
        </w:rPr>
        <w:t> </w:t>
      </w:r>
      <w:r>
        <w:rPr/>
        <w:t>the</w:t>
      </w:r>
      <w:r>
        <w:rPr>
          <w:spacing w:val="17"/>
        </w:rPr>
        <w:t> </w:t>
      </w:r>
      <w:r>
        <w:rPr/>
        <w:t>letter</w:t>
      </w:r>
      <w:r>
        <w:rPr>
          <w:spacing w:val="19"/>
        </w:rPr>
        <w:t> </w:t>
      </w:r>
      <w:r>
        <w:rPr/>
        <w:t>of</w:t>
      </w:r>
      <w:r>
        <w:rPr>
          <w:spacing w:val="17"/>
        </w:rPr>
        <w:t> </w:t>
      </w:r>
      <w:r>
        <w:rPr/>
        <w:t>appointment</w:t>
      </w:r>
      <w:r>
        <w:rPr>
          <w:spacing w:val="17"/>
        </w:rPr>
        <w:t> </w:t>
      </w:r>
      <w:r>
        <w:rPr/>
        <w:t>issued</w:t>
      </w:r>
      <w:r>
        <w:rPr>
          <w:spacing w:val="19"/>
        </w:rPr>
        <w:t> </w:t>
      </w:r>
      <w:r>
        <w:rPr/>
        <w:t>by</w:t>
      </w:r>
      <w:r>
        <w:rPr>
          <w:spacing w:val="17"/>
        </w:rPr>
        <w:t> </w:t>
      </w:r>
      <w:r>
        <w:rPr/>
        <w:t>the</w:t>
      </w:r>
      <w:r>
        <w:rPr>
          <w:spacing w:val="17"/>
        </w:rPr>
        <w:t> </w:t>
      </w:r>
      <w:r>
        <w:rPr/>
        <w:t>Owner/Developer, I</w:t>
      </w:r>
      <w:r>
        <w:rPr>
          <w:spacing w:val="40"/>
        </w:rPr>
        <w:t> </w:t>
      </w:r>
      <w:r>
        <w:rPr/>
        <w:t>hereby</w:t>
      </w:r>
      <w:r>
        <w:rPr>
          <w:spacing w:val="40"/>
        </w:rPr>
        <w:t> </w:t>
      </w:r>
      <w:r>
        <w:rPr/>
        <w:t>confirm having agreed to act as Licensed Plumber for the above </w:t>
      </w:r>
      <w:r>
        <w:rPr>
          <w:spacing w:val="-2"/>
        </w:rPr>
        <w:t>proposal.</w:t>
      </w:r>
    </w:p>
    <w:p>
      <w:pPr>
        <w:pStyle w:val="BodyText"/>
        <w:spacing w:before="60"/>
        <w:ind w:right="281"/>
        <w:jc w:val="center"/>
      </w:pPr>
      <w:r>
        <w:rPr/>
        <w:t>Thanking</w:t>
      </w:r>
      <w:r>
        <w:rPr>
          <w:spacing w:val="30"/>
        </w:rPr>
        <w:t> </w:t>
      </w:r>
      <w:r>
        <w:rPr>
          <w:spacing w:val="-4"/>
        </w:rPr>
        <w:t>you,</w:t>
      </w:r>
    </w:p>
    <w:p>
      <w:pPr>
        <w:pStyle w:val="BodyText"/>
        <w:spacing w:before="241"/>
        <w:ind w:left="6863"/>
        <w:jc w:val="left"/>
      </w:pPr>
      <w:r>
        <w:rPr/>
        <w:t>Yours</w:t>
      </w:r>
      <w:r>
        <w:rPr>
          <w:spacing w:val="7"/>
        </w:rPr>
        <w:t> </w:t>
      </w:r>
      <w:r>
        <w:rPr>
          <w:spacing w:val="-2"/>
        </w:rPr>
        <w:t>faithfully,</w:t>
      </w:r>
    </w:p>
    <w:p>
      <w:pPr>
        <w:pStyle w:val="BodyText"/>
        <w:spacing w:before="5"/>
        <w:jc w:val="left"/>
        <w:rPr>
          <w:sz w:val="20"/>
        </w:rPr>
      </w:pPr>
    </w:p>
    <w:tbl>
      <w:tblPr>
        <w:tblW w:w="0" w:type="auto"/>
        <w:jc w:val="left"/>
        <w:tblInd w:w="6599"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3161"/>
      </w:tblGrid>
      <w:tr>
        <w:trPr>
          <w:trHeight w:val="299" w:hRule="atLeast"/>
        </w:trPr>
        <w:tc>
          <w:tcPr>
            <w:tcW w:w="3161" w:type="dxa"/>
          </w:tcPr>
          <w:p>
            <w:pPr>
              <w:pStyle w:val="TableParagraph"/>
              <w:tabs>
                <w:tab w:pos="1002" w:val="left" w:leader="none"/>
                <w:tab w:pos="1487" w:val="left" w:leader="none"/>
                <w:tab w:pos="2134" w:val="left" w:leader="none"/>
              </w:tabs>
              <w:spacing w:line="240" w:lineRule="exact" w:before="40"/>
              <w:ind w:left="62" w:right="-15"/>
              <w:rPr>
                <w:sz w:val="24"/>
              </w:rPr>
            </w:pPr>
            <w:r>
              <w:rPr>
                <w:spacing w:val="-4"/>
                <w:sz w:val="24"/>
              </w:rPr>
              <w:t>Name</w:t>
            </w:r>
            <w:r>
              <w:rPr>
                <w:sz w:val="24"/>
              </w:rPr>
              <w:tab/>
            </w:r>
            <w:r>
              <w:rPr>
                <w:spacing w:val="-5"/>
                <w:sz w:val="24"/>
              </w:rPr>
              <w:t>of</w:t>
            </w:r>
            <w:r>
              <w:rPr>
                <w:sz w:val="24"/>
              </w:rPr>
              <w:tab/>
            </w:r>
            <w:r>
              <w:rPr>
                <w:spacing w:val="-5"/>
                <w:sz w:val="24"/>
              </w:rPr>
              <w:t>the</w:t>
            </w:r>
            <w:r>
              <w:rPr>
                <w:sz w:val="24"/>
              </w:rPr>
              <w:tab/>
            </w:r>
            <w:r>
              <w:rPr>
                <w:spacing w:val="-2"/>
                <w:sz w:val="24"/>
              </w:rPr>
              <w:t>Licensed</w:t>
            </w:r>
          </w:p>
        </w:tc>
      </w:tr>
      <w:tr>
        <w:trPr>
          <w:trHeight w:val="300" w:hRule="atLeast"/>
        </w:trPr>
        <w:tc>
          <w:tcPr>
            <w:tcW w:w="3161" w:type="dxa"/>
          </w:tcPr>
          <w:p>
            <w:pPr>
              <w:pStyle w:val="TableParagraph"/>
              <w:spacing w:line="242" w:lineRule="exact" w:before="38"/>
              <w:ind w:left="62"/>
              <w:rPr>
                <w:sz w:val="24"/>
              </w:rPr>
            </w:pPr>
            <w:r>
              <w:rPr>
                <w:sz w:val="24"/>
              </w:rPr>
              <w:t>License</w:t>
            </w:r>
            <w:r>
              <w:rPr>
                <w:spacing w:val="-6"/>
                <w:sz w:val="24"/>
              </w:rPr>
              <w:t> </w:t>
            </w:r>
            <w:r>
              <w:rPr>
                <w:spacing w:val="-5"/>
                <w:sz w:val="24"/>
              </w:rPr>
              <w:t>No.</w:t>
            </w:r>
          </w:p>
        </w:tc>
      </w:tr>
      <w:tr>
        <w:trPr>
          <w:trHeight w:val="302" w:hRule="atLeast"/>
        </w:trPr>
        <w:tc>
          <w:tcPr>
            <w:tcW w:w="3161" w:type="dxa"/>
          </w:tcPr>
          <w:p>
            <w:pPr>
              <w:pStyle w:val="TableParagraph"/>
              <w:spacing w:line="242" w:lineRule="exact" w:before="40"/>
              <w:ind w:left="62"/>
              <w:rPr>
                <w:sz w:val="24"/>
              </w:rPr>
            </w:pPr>
            <w:r>
              <w:rPr>
                <w:spacing w:val="-2"/>
                <w:sz w:val="24"/>
              </w:rPr>
              <w:t>Address:</w:t>
            </w:r>
          </w:p>
        </w:tc>
      </w:tr>
      <w:tr>
        <w:trPr>
          <w:trHeight w:val="299" w:hRule="atLeast"/>
        </w:trPr>
        <w:tc>
          <w:tcPr>
            <w:tcW w:w="3161" w:type="dxa"/>
          </w:tcPr>
          <w:p>
            <w:pPr>
              <w:pStyle w:val="TableParagraph"/>
              <w:spacing w:line="242" w:lineRule="exact" w:before="37"/>
              <w:ind w:left="62"/>
              <w:rPr>
                <w:sz w:val="24"/>
              </w:rPr>
            </w:pPr>
            <w:r>
              <w:rPr>
                <w:spacing w:val="-2"/>
                <w:sz w:val="24"/>
              </w:rPr>
              <w:t>Tel.No.:</w:t>
            </w:r>
          </w:p>
        </w:tc>
      </w:tr>
      <w:tr>
        <w:trPr>
          <w:trHeight w:val="299" w:hRule="atLeast"/>
        </w:trPr>
        <w:tc>
          <w:tcPr>
            <w:tcW w:w="3161" w:type="dxa"/>
          </w:tcPr>
          <w:p>
            <w:pPr>
              <w:pStyle w:val="TableParagraph"/>
              <w:spacing w:line="242" w:lineRule="exact" w:before="37"/>
              <w:ind w:left="62"/>
              <w:rPr>
                <w:sz w:val="24"/>
              </w:rPr>
            </w:pPr>
            <w:r>
              <w:rPr>
                <w:spacing w:val="-2"/>
                <w:sz w:val="24"/>
              </w:rPr>
              <w:t>Signature:</w:t>
            </w:r>
          </w:p>
        </w:tc>
      </w:tr>
      <w:tr>
        <w:trPr>
          <w:trHeight w:val="299" w:hRule="atLeast"/>
        </w:trPr>
        <w:tc>
          <w:tcPr>
            <w:tcW w:w="3161" w:type="dxa"/>
          </w:tcPr>
          <w:p>
            <w:pPr>
              <w:pStyle w:val="TableParagraph"/>
              <w:spacing w:line="242" w:lineRule="exact" w:before="37"/>
              <w:ind w:left="62"/>
              <w:rPr>
                <w:sz w:val="24"/>
              </w:rPr>
            </w:pPr>
            <w:r>
              <w:rPr>
                <w:spacing w:val="-4"/>
                <w:sz w:val="24"/>
              </w:rPr>
              <w:t>Date:</w:t>
            </w:r>
          </w:p>
        </w:tc>
      </w:tr>
    </w:tbl>
    <w:p>
      <w:pPr>
        <w:pStyle w:val="BodyText"/>
        <w:spacing w:before="1"/>
        <w:ind w:left="1906"/>
        <w:jc w:val="left"/>
      </w:pPr>
      <w:r>
        <w:rPr/>
        <w:t>Copies</w:t>
      </w:r>
      <w:r>
        <w:rPr>
          <w:spacing w:val="25"/>
        </w:rPr>
        <w:t> </w:t>
      </w:r>
      <w:r>
        <w:rPr/>
        <w:t>submitted</w:t>
      </w:r>
      <w:r>
        <w:rPr>
          <w:spacing w:val="26"/>
        </w:rPr>
        <w:t> </w:t>
      </w:r>
      <w:r>
        <w:rPr>
          <w:spacing w:val="-5"/>
        </w:rPr>
        <w:t>to:</w:t>
      </w:r>
    </w:p>
    <w:p>
      <w:pPr>
        <w:pStyle w:val="ListParagraph"/>
        <w:numPr>
          <w:ilvl w:val="1"/>
          <w:numId w:val="379"/>
        </w:numPr>
        <w:tabs>
          <w:tab w:pos="2393" w:val="left" w:leader="none"/>
        </w:tabs>
        <w:spacing w:line="281" w:lineRule="exact" w:before="242" w:after="0"/>
        <w:ind w:left="2393" w:right="0" w:hanging="487"/>
        <w:jc w:val="left"/>
        <w:rPr>
          <w:sz w:val="24"/>
        </w:rPr>
      </w:pPr>
      <w:r>
        <w:rPr>
          <w:sz w:val="24"/>
        </w:rPr>
        <w:t>Architect/Licensed</w:t>
      </w:r>
      <w:r>
        <w:rPr>
          <w:spacing w:val="56"/>
          <w:sz w:val="24"/>
        </w:rPr>
        <w:t> </w:t>
      </w:r>
      <w:r>
        <w:rPr>
          <w:spacing w:val="-2"/>
          <w:sz w:val="24"/>
        </w:rPr>
        <w:t>Surveyor</w:t>
      </w:r>
    </w:p>
    <w:p>
      <w:pPr>
        <w:pStyle w:val="ListParagraph"/>
        <w:numPr>
          <w:ilvl w:val="1"/>
          <w:numId w:val="379"/>
        </w:numPr>
        <w:tabs>
          <w:tab w:pos="2393" w:val="left" w:leader="none"/>
        </w:tabs>
        <w:spacing w:line="281" w:lineRule="exact" w:before="0" w:after="0"/>
        <w:ind w:left="2393" w:right="0" w:hanging="487"/>
        <w:jc w:val="left"/>
        <w:rPr>
          <w:sz w:val="24"/>
        </w:rPr>
      </w:pPr>
      <w:r>
        <w:rPr>
          <w:sz w:val="24"/>
        </w:rPr>
        <w:t>Structural</w:t>
      </w:r>
      <w:r>
        <w:rPr>
          <w:spacing w:val="30"/>
          <w:sz w:val="24"/>
        </w:rPr>
        <w:t> </w:t>
      </w:r>
      <w:r>
        <w:rPr>
          <w:spacing w:val="-2"/>
          <w:sz w:val="24"/>
        </w:rPr>
        <w:t>Engineer</w:t>
      </w:r>
    </w:p>
    <w:p>
      <w:pPr>
        <w:pStyle w:val="ListParagraph"/>
        <w:numPr>
          <w:ilvl w:val="1"/>
          <w:numId w:val="379"/>
        </w:numPr>
        <w:tabs>
          <w:tab w:pos="2393" w:val="left" w:leader="none"/>
        </w:tabs>
        <w:spacing w:line="281" w:lineRule="exact" w:before="0" w:after="0"/>
        <w:ind w:left="2393" w:right="0" w:hanging="487"/>
        <w:jc w:val="left"/>
        <w:rPr>
          <w:sz w:val="24"/>
        </w:rPr>
      </w:pPr>
      <w:r>
        <w:rPr>
          <w:spacing w:val="-2"/>
          <w:sz w:val="24"/>
        </w:rPr>
        <w:t>Owner/Developer</w:t>
      </w:r>
    </w:p>
    <w:p>
      <w:pPr>
        <w:pStyle w:val="ListParagraph"/>
        <w:spacing w:after="0" w:line="281" w:lineRule="exact"/>
        <w:jc w:val="left"/>
        <w:rPr>
          <w:sz w:val="24"/>
        </w:rPr>
        <w:sectPr>
          <w:type w:val="continuous"/>
          <w:pgSz w:w="11910" w:h="16850"/>
          <w:pgMar w:header="1022" w:footer="870" w:top="1360" w:bottom="280" w:left="360" w:right="360"/>
        </w:sectPr>
      </w:pPr>
    </w:p>
    <w:p>
      <w:pPr>
        <w:pStyle w:val="Heading5"/>
        <w:spacing w:before="239"/>
        <w:jc w:val="center"/>
      </w:pPr>
      <w:r>
        <w:rPr/>
        <w:t>SUPERVISION</w:t>
      </w:r>
      <w:r>
        <w:rPr>
          <w:spacing w:val="-6"/>
        </w:rPr>
        <w:t> </w:t>
      </w:r>
      <w:r>
        <w:rPr/>
        <w:t>MEMO</w:t>
      </w:r>
      <w:r>
        <w:rPr>
          <w:spacing w:val="-3"/>
        </w:rPr>
        <w:t> </w:t>
      </w:r>
      <w:r>
        <w:rPr/>
        <w:t>OF</w:t>
      </w:r>
      <w:r>
        <w:rPr>
          <w:spacing w:val="-3"/>
        </w:rPr>
        <w:t> </w:t>
      </w:r>
      <w:r>
        <w:rPr/>
        <w:t>Site</w:t>
      </w:r>
      <w:r>
        <w:rPr>
          <w:spacing w:val="-3"/>
        </w:rPr>
        <w:t> </w:t>
      </w:r>
      <w:r>
        <w:rPr>
          <w:spacing w:val="-2"/>
        </w:rPr>
        <w:t>Supervisor</w:t>
      </w:r>
    </w:p>
    <w:p>
      <w:pPr>
        <w:pStyle w:val="BodyText"/>
        <w:spacing w:before="61"/>
        <w:jc w:val="center"/>
      </w:pPr>
      <w:r>
        <w:rPr/>
        <w:t>(On</w:t>
      </w:r>
      <w:r>
        <w:rPr>
          <w:spacing w:val="9"/>
        </w:rPr>
        <w:t> </w:t>
      </w:r>
      <w:r>
        <w:rPr/>
        <w:t>the</w:t>
      </w:r>
      <w:r>
        <w:rPr>
          <w:spacing w:val="9"/>
        </w:rPr>
        <w:t> </w:t>
      </w:r>
      <w:r>
        <w:rPr/>
        <w:t>Letter</w:t>
      </w:r>
      <w:r>
        <w:rPr>
          <w:spacing w:val="9"/>
        </w:rPr>
        <w:t> </w:t>
      </w:r>
      <w:r>
        <w:rPr/>
        <w:t>Head</w:t>
      </w:r>
      <w:r>
        <w:rPr>
          <w:spacing w:val="9"/>
        </w:rPr>
        <w:t> </w:t>
      </w:r>
      <w:r>
        <w:rPr/>
        <w:t>of</w:t>
      </w:r>
      <w:r>
        <w:rPr>
          <w:spacing w:val="9"/>
        </w:rPr>
        <w:t> </w:t>
      </w:r>
      <w:r>
        <w:rPr/>
        <w:t>Site</w:t>
      </w:r>
      <w:r>
        <w:rPr>
          <w:spacing w:val="10"/>
        </w:rPr>
        <w:t> </w:t>
      </w:r>
      <w:r>
        <w:rPr>
          <w:spacing w:val="-2"/>
        </w:rPr>
        <w:t>Supervisor)</w:t>
      </w:r>
    </w:p>
    <w:p>
      <w:pPr>
        <w:pStyle w:val="BodyText"/>
        <w:spacing w:line="292" w:lineRule="auto" w:before="236"/>
        <w:ind w:left="6174" w:right="2377" w:hanging="490"/>
        <w:jc w:val="left"/>
      </w:pPr>
      <w:r>
        <w:rPr/>
        <w:t>Name of Site Supervisor License No.</w:t>
      </w:r>
    </w:p>
    <w:p>
      <w:pPr>
        <w:pStyle w:val="BodyText"/>
        <w:ind w:right="711"/>
        <w:jc w:val="center"/>
      </w:pPr>
      <w:r>
        <w:rPr>
          <w:spacing w:val="-4"/>
        </w:rPr>
        <w:t>Date</w:t>
      </w:r>
    </w:p>
    <w:p>
      <w:pPr>
        <w:pStyle w:val="BodyText"/>
        <w:spacing w:before="59"/>
        <w:ind w:left="772"/>
        <w:jc w:val="left"/>
      </w:pPr>
      <w:r>
        <w:rPr>
          <w:spacing w:val="-5"/>
        </w:rPr>
        <w:t>To,</w:t>
      </w:r>
    </w:p>
    <w:p>
      <w:pPr>
        <w:pStyle w:val="BodyText"/>
        <w:spacing w:line="281" w:lineRule="exact" w:before="1"/>
        <w:ind w:left="772"/>
        <w:jc w:val="left"/>
      </w:pPr>
      <w:r>
        <w:rPr/>
        <w:t>Executive</w:t>
      </w:r>
      <w:r>
        <w:rPr>
          <w:spacing w:val="27"/>
        </w:rPr>
        <w:t> </w:t>
      </w:r>
      <w:r>
        <w:rPr/>
        <w:t>Engineer,</w:t>
      </w:r>
      <w:r>
        <w:rPr>
          <w:spacing w:val="30"/>
        </w:rPr>
        <w:t> </w:t>
      </w:r>
      <w:r>
        <w:rPr/>
        <w:t>Building</w:t>
      </w:r>
      <w:r>
        <w:rPr>
          <w:spacing w:val="28"/>
        </w:rPr>
        <w:t> </w:t>
      </w:r>
      <w:r>
        <w:rPr>
          <w:spacing w:val="-2"/>
        </w:rPr>
        <w:t>Proposal</w:t>
      </w:r>
    </w:p>
    <w:p>
      <w:pPr>
        <w:pStyle w:val="BodyText"/>
        <w:tabs>
          <w:tab w:pos="1392" w:val="left" w:leader="none"/>
        </w:tabs>
        <w:spacing w:line="242" w:lineRule="auto"/>
        <w:ind w:left="772" w:right="7888"/>
        <w:jc w:val="left"/>
      </w:pPr>
      <w:r>
        <w:rPr>
          <w:u w:val="single"/>
        </w:rPr>
        <w:tab/>
      </w:r>
      <w:r>
        <w:rPr/>
        <w:t>ward, </w:t>
      </w:r>
      <w:r>
        <w:rPr/>
        <w:t>M.C.G.M. Dear Sir,</w:t>
      </w:r>
    </w:p>
    <w:p>
      <w:pPr>
        <w:pStyle w:val="BodyText"/>
        <w:tabs>
          <w:tab w:pos="4786" w:val="left" w:leader="none"/>
        </w:tabs>
        <w:spacing w:line="277" w:lineRule="exact"/>
        <w:ind w:left="1906"/>
        <w:jc w:val="left"/>
      </w:pPr>
      <w:r>
        <w:rPr>
          <w:spacing w:val="-2"/>
        </w:rPr>
        <w:t>Subject:</w:t>
      </w:r>
      <w:r>
        <w:rPr/>
        <w:tab/>
        <w:t>Proposed</w:t>
      </w:r>
      <w:r>
        <w:rPr>
          <w:spacing w:val="29"/>
        </w:rPr>
        <w:t> </w:t>
      </w:r>
      <w:r>
        <w:rPr/>
        <w:t>development</w:t>
      </w:r>
      <w:r>
        <w:rPr>
          <w:spacing w:val="29"/>
        </w:rPr>
        <w:t> </w:t>
      </w:r>
      <w:r>
        <w:rPr/>
        <w:t>work</w:t>
      </w:r>
      <w:r>
        <w:rPr>
          <w:spacing w:val="30"/>
        </w:rPr>
        <w:t> </w:t>
      </w:r>
      <w:r>
        <w:rPr>
          <w:spacing w:val="-5"/>
        </w:rPr>
        <w:t>of</w:t>
      </w:r>
    </w:p>
    <w:p>
      <w:pPr>
        <w:pStyle w:val="BodyText"/>
        <w:spacing w:before="5"/>
        <w:jc w:val="left"/>
        <w:rPr>
          <w:sz w:val="20"/>
        </w:rPr>
      </w:pPr>
    </w:p>
    <w:tbl>
      <w:tblPr>
        <w:tblW w:w="0" w:type="auto"/>
        <w:jc w:val="left"/>
        <w:tblInd w:w="2201"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5159"/>
        <w:gridCol w:w="2970"/>
      </w:tblGrid>
      <w:tr>
        <w:trPr>
          <w:trHeight w:val="301" w:hRule="atLeast"/>
        </w:trPr>
        <w:tc>
          <w:tcPr>
            <w:tcW w:w="5159" w:type="dxa"/>
          </w:tcPr>
          <w:p>
            <w:pPr>
              <w:pStyle w:val="TableParagraph"/>
              <w:spacing w:line="244" w:lineRule="exact" w:before="37"/>
              <w:ind w:left="62"/>
              <w:rPr>
                <w:sz w:val="24"/>
              </w:rPr>
            </w:pPr>
            <w:r>
              <w:rPr>
                <w:sz w:val="24"/>
              </w:rPr>
              <w:t>Building</w:t>
            </w:r>
            <w:r>
              <w:rPr>
                <w:spacing w:val="-4"/>
                <w:sz w:val="24"/>
              </w:rPr>
              <w:t> </w:t>
            </w:r>
            <w:r>
              <w:rPr>
                <w:sz w:val="24"/>
              </w:rPr>
              <w:t>proposal</w:t>
            </w:r>
            <w:r>
              <w:rPr>
                <w:spacing w:val="-1"/>
                <w:sz w:val="24"/>
              </w:rPr>
              <w:t> </w:t>
            </w:r>
            <w:r>
              <w:rPr>
                <w:spacing w:val="-5"/>
                <w:sz w:val="24"/>
              </w:rPr>
              <w:t>No</w:t>
            </w:r>
          </w:p>
        </w:tc>
        <w:tc>
          <w:tcPr>
            <w:tcW w:w="2970" w:type="dxa"/>
          </w:tcPr>
          <w:p>
            <w:pPr>
              <w:pStyle w:val="TableParagraph"/>
              <w:rPr>
                <w:rFonts w:ascii="Times New Roman"/>
                <w:sz w:val="22"/>
              </w:rPr>
            </w:pPr>
          </w:p>
        </w:tc>
      </w:tr>
      <w:tr>
        <w:trPr>
          <w:trHeight w:val="302" w:hRule="atLeast"/>
        </w:trPr>
        <w:tc>
          <w:tcPr>
            <w:tcW w:w="5159" w:type="dxa"/>
          </w:tcPr>
          <w:p>
            <w:pPr>
              <w:pStyle w:val="TableParagraph"/>
              <w:spacing w:line="244" w:lineRule="exact" w:before="37"/>
              <w:ind w:left="62"/>
              <w:rPr>
                <w:sz w:val="24"/>
              </w:rPr>
            </w:pPr>
            <w:r>
              <w:rPr>
                <w:sz w:val="24"/>
              </w:rPr>
              <w:t>Full</w:t>
            </w:r>
            <w:r>
              <w:rPr>
                <w:spacing w:val="-7"/>
                <w:sz w:val="24"/>
              </w:rPr>
              <w:t> </w:t>
            </w:r>
            <w:r>
              <w:rPr>
                <w:sz w:val="24"/>
              </w:rPr>
              <w:t>Particular</w:t>
            </w:r>
            <w:r>
              <w:rPr>
                <w:spacing w:val="-4"/>
                <w:sz w:val="24"/>
              </w:rPr>
              <w:t> </w:t>
            </w:r>
            <w:r>
              <w:rPr>
                <w:sz w:val="24"/>
              </w:rPr>
              <w:t>of</w:t>
            </w:r>
            <w:r>
              <w:rPr>
                <w:spacing w:val="-5"/>
                <w:sz w:val="24"/>
              </w:rPr>
              <w:t> </w:t>
            </w:r>
            <w:r>
              <w:rPr>
                <w:sz w:val="24"/>
              </w:rPr>
              <w:t>the</w:t>
            </w:r>
            <w:r>
              <w:rPr>
                <w:spacing w:val="-2"/>
                <w:sz w:val="24"/>
              </w:rPr>
              <w:t> </w:t>
            </w:r>
            <w:r>
              <w:rPr>
                <w:spacing w:val="-4"/>
                <w:sz w:val="24"/>
              </w:rPr>
              <w:t>work</w:t>
            </w:r>
          </w:p>
        </w:tc>
        <w:tc>
          <w:tcPr>
            <w:tcW w:w="2970" w:type="dxa"/>
          </w:tcPr>
          <w:p>
            <w:pPr>
              <w:pStyle w:val="TableParagraph"/>
              <w:rPr>
                <w:rFonts w:ascii="Times New Roman"/>
                <w:sz w:val="22"/>
              </w:rPr>
            </w:pPr>
          </w:p>
        </w:tc>
      </w:tr>
      <w:tr>
        <w:trPr>
          <w:trHeight w:val="683" w:hRule="atLeast"/>
        </w:trPr>
        <w:tc>
          <w:tcPr>
            <w:tcW w:w="5159" w:type="dxa"/>
          </w:tcPr>
          <w:p>
            <w:pPr>
              <w:pStyle w:val="TableParagraph"/>
              <w:spacing w:before="40"/>
              <w:ind w:left="62" w:right="71"/>
              <w:rPr>
                <w:sz w:val="24"/>
              </w:rPr>
            </w:pPr>
            <w:r>
              <w:rPr>
                <w:sz w:val="24"/>
              </w:rPr>
              <w:t>On plot bearing </w:t>
            </w:r>
            <w:r>
              <w:rPr>
                <w:spacing w:val="-2"/>
                <w:sz w:val="24"/>
              </w:rPr>
              <w:t>C.S.No./C.T.S.No./F.P.No./</w:t>
            </w:r>
            <w:r>
              <w:rPr>
                <w:spacing w:val="-18"/>
                <w:sz w:val="24"/>
              </w:rPr>
              <w:t> </w:t>
            </w:r>
            <w:r>
              <w:rPr>
                <w:spacing w:val="-2"/>
                <w:sz w:val="24"/>
              </w:rPr>
              <w:t>Of</w:t>
            </w:r>
          </w:p>
        </w:tc>
        <w:tc>
          <w:tcPr>
            <w:tcW w:w="2970" w:type="dxa"/>
          </w:tcPr>
          <w:p>
            <w:pPr>
              <w:pStyle w:val="TableParagraph"/>
              <w:rPr>
                <w:rFonts w:ascii="Times New Roman"/>
                <w:sz w:val="22"/>
              </w:rPr>
            </w:pPr>
          </w:p>
        </w:tc>
      </w:tr>
      <w:tr>
        <w:trPr>
          <w:trHeight w:val="302" w:hRule="atLeast"/>
        </w:trPr>
        <w:tc>
          <w:tcPr>
            <w:tcW w:w="5159" w:type="dxa"/>
          </w:tcPr>
          <w:p>
            <w:pPr>
              <w:pStyle w:val="TableParagraph"/>
              <w:spacing w:line="244" w:lineRule="exact" w:before="37"/>
              <w:ind w:left="62"/>
              <w:rPr>
                <w:sz w:val="24"/>
              </w:rPr>
            </w:pPr>
            <w:r>
              <w:rPr>
                <w:sz w:val="24"/>
              </w:rPr>
              <w:t>Type</w:t>
            </w:r>
            <w:r>
              <w:rPr>
                <w:spacing w:val="-2"/>
                <w:sz w:val="24"/>
              </w:rPr>
              <w:t> </w:t>
            </w:r>
            <w:r>
              <w:rPr>
                <w:sz w:val="24"/>
              </w:rPr>
              <w:t>of</w:t>
            </w:r>
            <w:r>
              <w:rPr>
                <w:spacing w:val="-1"/>
                <w:sz w:val="24"/>
              </w:rPr>
              <w:t> </w:t>
            </w:r>
            <w:r>
              <w:rPr>
                <w:spacing w:val="-2"/>
                <w:sz w:val="24"/>
              </w:rPr>
              <w:t>development</w:t>
            </w:r>
          </w:p>
        </w:tc>
        <w:tc>
          <w:tcPr>
            <w:tcW w:w="2970" w:type="dxa"/>
          </w:tcPr>
          <w:p>
            <w:pPr>
              <w:pStyle w:val="TableParagraph"/>
              <w:rPr>
                <w:rFonts w:ascii="Times New Roman"/>
                <w:sz w:val="22"/>
              </w:rPr>
            </w:pPr>
          </w:p>
        </w:tc>
      </w:tr>
      <w:tr>
        <w:trPr>
          <w:trHeight w:val="301" w:hRule="atLeast"/>
        </w:trPr>
        <w:tc>
          <w:tcPr>
            <w:tcW w:w="5159" w:type="dxa"/>
          </w:tcPr>
          <w:p>
            <w:pPr>
              <w:pStyle w:val="TableParagraph"/>
              <w:spacing w:line="244" w:lineRule="exact" w:before="37"/>
              <w:ind w:left="62"/>
              <w:rPr>
                <w:sz w:val="24"/>
              </w:rPr>
            </w:pPr>
            <w:r>
              <w:rPr>
                <w:sz w:val="24"/>
              </w:rPr>
              <w:t>Road</w:t>
            </w:r>
            <w:r>
              <w:rPr>
                <w:spacing w:val="-7"/>
                <w:sz w:val="24"/>
              </w:rPr>
              <w:t> </w:t>
            </w:r>
            <w:r>
              <w:rPr>
                <w:spacing w:val="-4"/>
                <w:sz w:val="24"/>
              </w:rPr>
              <w:t>Name</w:t>
            </w:r>
          </w:p>
        </w:tc>
        <w:tc>
          <w:tcPr>
            <w:tcW w:w="2970" w:type="dxa"/>
          </w:tcPr>
          <w:p>
            <w:pPr>
              <w:pStyle w:val="TableParagraph"/>
              <w:rPr>
                <w:rFonts w:ascii="Times New Roman"/>
                <w:sz w:val="22"/>
              </w:rPr>
            </w:pPr>
          </w:p>
        </w:tc>
      </w:tr>
      <w:tr>
        <w:trPr>
          <w:trHeight w:val="302" w:hRule="atLeast"/>
        </w:trPr>
        <w:tc>
          <w:tcPr>
            <w:tcW w:w="5159" w:type="dxa"/>
          </w:tcPr>
          <w:p>
            <w:pPr>
              <w:pStyle w:val="TableParagraph"/>
              <w:spacing w:line="244" w:lineRule="exact" w:before="37"/>
              <w:ind w:left="62"/>
              <w:rPr>
                <w:sz w:val="24"/>
              </w:rPr>
            </w:pPr>
            <w:r>
              <w:rPr>
                <w:spacing w:val="-4"/>
                <w:sz w:val="24"/>
              </w:rPr>
              <w:t>Ward</w:t>
            </w:r>
          </w:p>
        </w:tc>
        <w:tc>
          <w:tcPr>
            <w:tcW w:w="2970" w:type="dxa"/>
          </w:tcPr>
          <w:p>
            <w:pPr>
              <w:pStyle w:val="TableParagraph"/>
              <w:rPr>
                <w:rFonts w:ascii="Times New Roman"/>
                <w:sz w:val="22"/>
              </w:rPr>
            </w:pPr>
          </w:p>
        </w:tc>
      </w:tr>
      <w:tr>
        <w:trPr>
          <w:trHeight w:val="302" w:hRule="atLeast"/>
        </w:trPr>
        <w:tc>
          <w:tcPr>
            <w:tcW w:w="5159" w:type="dxa"/>
          </w:tcPr>
          <w:p>
            <w:pPr>
              <w:pStyle w:val="TableParagraph"/>
              <w:spacing w:line="244" w:lineRule="exact" w:before="37"/>
              <w:ind w:left="62"/>
              <w:rPr>
                <w:sz w:val="24"/>
              </w:rPr>
            </w:pPr>
            <w:r>
              <w:rPr>
                <w:sz w:val="24"/>
              </w:rPr>
              <w:t>Name</w:t>
            </w:r>
            <w:r>
              <w:rPr>
                <w:spacing w:val="-5"/>
                <w:sz w:val="24"/>
              </w:rPr>
              <w:t> </w:t>
            </w:r>
            <w:r>
              <w:rPr>
                <w:sz w:val="24"/>
              </w:rPr>
              <w:t>of</w:t>
            </w:r>
            <w:r>
              <w:rPr>
                <w:spacing w:val="-4"/>
                <w:sz w:val="24"/>
              </w:rPr>
              <w:t> </w:t>
            </w:r>
            <w:r>
              <w:rPr>
                <w:sz w:val="24"/>
              </w:rPr>
              <w:t>Architect/</w:t>
            </w:r>
            <w:r>
              <w:rPr>
                <w:spacing w:val="-4"/>
                <w:sz w:val="24"/>
              </w:rPr>
              <w:t> </w:t>
            </w:r>
            <w:r>
              <w:rPr>
                <w:sz w:val="24"/>
              </w:rPr>
              <w:t>Licensed</w:t>
            </w:r>
            <w:r>
              <w:rPr>
                <w:spacing w:val="-4"/>
                <w:sz w:val="24"/>
              </w:rPr>
              <w:t> </w:t>
            </w:r>
            <w:r>
              <w:rPr>
                <w:spacing w:val="-2"/>
                <w:sz w:val="24"/>
              </w:rPr>
              <w:t>Surveyor</w:t>
            </w:r>
          </w:p>
        </w:tc>
        <w:tc>
          <w:tcPr>
            <w:tcW w:w="2970" w:type="dxa"/>
          </w:tcPr>
          <w:p>
            <w:pPr>
              <w:pStyle w:val="TableParagraph"/>
              <w:rPr>
                <w:rFonts w:ascii="Times New Roman"/>
                <w:sz w:val="22"/>
              </w:rPr>
            </w:pPr>
          </w:p>
        </w:tc>
      </w:tr>
      <w:tr>
        <w:trPr>
          <w:trHeight w:val="302" w:hRule="atLeast"/>
        </w:trPr>
        <w:tc>
          <w:tcPr>
            <w:tcW w:w="5159" w:type="dxa"/>
          </w:tcPr>
          <w:p>
            <w:pPr>
              <w:pStyle w:val="TableParagraph"/>
              <w:spacing w:line="244" w:lineRule="exact" w:before="38"/>
              <w:ind w:left="62"/>
              <w:rPr>
                <w:sz w:val="24"/>
              </w:rPr>
            </w:pPr>
            <w:r>
              <w:rPr>
                <w:sz w:val="24"/>
              </w:rPr>
              <w:t>Name of </w:t>
            </w:r>
            <w:r>
              <w:rPr>
                <w:spacing w:val="-2"/>
                <w:sz w:val="24"/>
              </w:rPr>
              <w:t>Owner</w:t>
            </w:r>
          </w:p>
        </w:tc>
        <w:tc>
          <w:tcPr>
            <w:tcW w:w="2970" w:type="dxa"/>
          </w:tcPr>
          <w:p>
            <w:pPr>
              <w:pStyle w:val="TableParagraph"/>
              <w:rPr>
                <w:rFonts w:ascii="Times New Roman"/>
                <w:sz w:val="22"/>
              </w:rPr>
            </w:pPr>
          </w:p>
        </w:tc>
      </w:tr>
    </w:tbl>
    <w:p>
      <w:pPr>
        <w:pStyle w:val="BodyText"/>
        <w:spacing w:before="241"/>
        <w:jc w:val="left"/>
      </w:pPr>
    </w:p>
    <w:p>
      <w:pPr>
        <w:pStyle w:val="BodyText"/>
        <w:ind w:left="772" w:right="768"/>
      </w:pPr>
      <w:r>
        <w:rPr/>
        <w:t>With reference to the letter of my appointment datedaddressed to you, by the Owner, I hereby confirm that I have agreed to act as the Site Supervisor for the above proposal.</w:t>
      </w:r>
    </w:p>
    <w:p>
      <w:pPr>
        <w:pStyle w:val="BodyText"/>
        <w:ind w:left="772" w:right="766"/>
      </w:pPr>
      <w:r>
        <w:rPr/>
        <w:t>I further confirm that the workmanship and material quality and material testing shall be in conformity with the provisions of IS standards and the development work shall be as per approved</w:t>
      </w:r>
      <w:r>
        <w:rPr>
          <w:spacing w:val="40"/>
        </w:rPr>
        <w:t> </w:t>
      </w:r>
      <w:r>
        <w:rPr/>
        <w:t>plans and the structural design etc.</w:t>
      </w:r>
    </w:p>
    <w:p>
      <w:pPr>
        <w:pStyle w:val="BodyText"/>
        <w:spacing w:line="281" w:lineRule="exact"/>
        <w:ind w:left="772"/>
      </w:pPr>
      <w:r>
        <w:rPr/>
        <w:t>Thanking</w:t>
      </w:r>
      <w:r>
        <w:rPr>
          <w:spacing w:val="30"/>
        </w:rPr>
        <w:t> </w:t>
      </w:r>
      <w:r>
        <w:rPr>
          <w:spacing w:val="-4"/>
        </w:rPr>
        <w:t>you,</w:t>
      </w:r>
    </w:p>
    <w:p>
      <w:pPr>
        <w:pStyle w:val="BodyText"/>
        <w:spacing w:before="1"/>
        <w:ind w:left="7062"/>
        <w:jc w:val="left"/>
      </w:pPr>
      <w:r>
        <w:rPr/>
        <w:t>Yours</w:t>
      </w:r>
      <w:r>
        <w:rPr>
          <w:spacing w:val="7"/>
        </w:rPr>
        <w:t> </w:t>
      </w:r>
      <w:r>
        <w:rPr>
          <w:spacing w:val="-2"/>
        </w:rPr>
        <w:t>Faithfully</w:t>
      </w:r>
    </w:p>
    <w:p>
      <w:pPr>
        <w:pStyle w:val="BodyText"/>
        <w:spacing w:before="5"/>
        <w:jc w:val="left"/>
        <w:rPr>
          <w:sz w:val="20"/>
        </w:rPr>
      </w:pPr>
    </w:p>
    <w:tbl>
      <w:tblPr>
        <w:tblW w:w="0" w:type="auto"/>
        <w:jc w:val="left"/>
        <w:tblInd w:w="5511"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3543"/>
        <w:gridCol w:w="1360"/>
      </w:tblGrid>
      <w:tr>
        <w:trPr>
          <w:trHeight w:val="300" w:hRule="atLeast"/>
        </w:trPr>
        <w:tc>
          <w:tcPr>
            <w:tcW w:w="3543" w:type="dxa"/>
          </w:tcPr>
          <w:p>
            <w:pPr>
              <w:pStyle w:val="TableParagraph"/>
              <w:spacing w:line="242" w:lineRule="exact" w:before="38"/>
              <w:ind w:left="62"/>
              <w:rPr>
                <w:sz w:val="24"/>
              </w:rPr>
            </w:pPr>
            <w:r>
              <w:rPr>
                <w:sz w:val="24"/>
              </w:rPr>
              <w:t>Name</w:t>
            </w:r>
            <w:r>
              <w:rPr>
                <w:spacing w:val="-3"/>
                <w:sz w:val="24"/>
              </w:rPr>
              <w:t> </w:t>
            </w:r>
            <w:r>
              <w:rPr>
                <w:sz w:val="24"/>
              </w:rPr>
              <w:t>of</w:t>
            </w:r>
            <w:r>
              <w:rPr>
                <w:spacing w:val="-1"/>
                <w:sz w:val="24"/>
              </w:rPr>
              <w:t> </w:t>
            </w:r>
            <w:r>
              <w:rPr>
                <w:sz w:val="24"/>
              </w:rPr>
              <w:t>the</w:t>
            </w:r>
            <w:r>
              <w:rPr>
                <w:spacing w:val="-1"/>
                <w:sz w:val="24"/>
              </w:rPr>
              <w:t> </w:t>
            </w:r>
            <w:r>
              <w:rPr>
                <w:sz w:val="24"/>
              </w:rPr>
              <w:t>Site </w:t>
            </w:r>
            <w:r>
              <w:rPr>
                <w:spacing w:val="-2"/>
                <w:sz w:val="24"/>
              </w:rPr>
              <w:t>Supervisor</w:t>
            </w:r>
          </w:p>
        </w:tc>
        <w:tc>
          <w:tcPr>
            <w:tcW w:w="1360" w:type="dxa"/>
          </w:tcPr>
          <w:p>
            <w:pPr>
              <w:pStyle w:val="TableParagraph"/>
              <w:rPr>
                <w:rFonts w:ascii="Times New Roman"/>
                <w:sz w:val="22"/>
              </w:rPr>
            </w:pPr>
          </w:p>
        </w:tc>
      </w:tr>
      <w:tr>
        <w:trPr>
          <w:trHeight w:val="301" w:hRule="atLeast"/>
        </w:trPr>
        <w:tc>
          <w:tcPr>
            <w:tcW w:w="3543" w:type="dxa"/>
          </w:tcPr>
          <w:p>
            <w:pPr>
              <w:pStyle w:val="TableParagraph"/>
              <w:spacing w:line="242" w:lineRule="exact" w:before="40"/>
              <w:ind w:left="62"/>
              <w:rPr>
                <w:sz w:val="24"/>
              </w:rPr>
            </w:pPr>
            <w:r>
              <w:rPr>
                <w:sz w:val="24"/>
              </w:rPr>
              <w:t>Registration</w:t>
            </w:r>
            <w:r>
              <w:rPr>
                <w:spacing w:val="-15"/>
                <w:sz w:val="24"/>
              </w:rPr>
              <w:t> </w:t>
            </w:r>
            <w:r>
              <w:rPr>
                <w:spacing w:val="-5"/>
                <w:sz w:val="24"/>
              </w:rPr>
              <w:t>No</w:t>
            </w:r>
          </w:p>
        </w:tc>
        <w:tc>
          <w:tcPr>
            <w:tcW w:w="1360" w:type="dxa"/>
          </w:tcPr>
          <w:p>
            <w:pPr>
              <w:pStyle w:val="TableParagraph"/>
              <w:rPr>
                <w:rFonts w:ascii="Times New Roman"/>
                <w:sz w:val="22"/>
              </w:rPr>
            </w:pPr>
          </w:p>
        </w:tc>
      </w:tr>
      <w:tr>
        <w:trPr>
          <w:trHeight w:val="299" w:hRule="atLeast"/>
        </w:trPr>
        <w:tc>
          <w:tcPr>
            <w:tcW w:w="3543" w:type="dxa"/>
          </w:tcPr>
          <w:p>
            <w:pPr>
              <w:pStyle w:val="TableParagraph"/>
              <w:spacing w:line="242" w:lineRule="exact" w:before="37"/>
              <w:ind w:left="62"/>
              <w:rPr>
                <w:sz w:val="24"/>
              </w:rPr>
            </w:pPr>
            <w:r>
              <w:rPr>
                <w:spacing w:val="-2"/>
                <w:sz w:val="24"/>
              </w:rPr>
              <w:t>Address:</w:t>
            </w:r>
          </w:p>
        </w:tc>
        <w:tc>
          <w:tcPr>
            <w:tcW w:w="1360" w:type="dxa"/>
          </w:tcPr>
          <w:p>
            <w:pPr>
              <w:pStyle w:val="TableParagraph"/>
              <w:rPr>
                <w:rFonts w:ascii="Times New Roman"/>
                <w:sz w:val="22"/>
              </w:rPr>
            </w:pPr>
          </w:p>
        </w:tc>
      </w:tr>
      <w:tr>
        <w:trPr>
          <w:trHeight w:val="299" w:hRule="atLeast"/>
        </w:trPr>
        <w:tc>
          <w:tcPr>
            <w:tcW w:w="3543" w:type="dxa"/>
          </w:tcPr>
          <w:p>
            <w:pPr>
              <w:pStyle w:val="TableParagraph"/>
              <w:spacing w:line="242" w:lineRule="exact" w:before="37"/>
              <w:ind w:left="62"/>
              <w:rPr>
                <w:sz w:val="24"/>
              </w:rPr>
            </w:pPr>
            <w:r>
              <w:rPr>
                <w:spacing w:val="-2"/>
                <w:sz w:val="24"/>
              </w:rPr>
              <w:t>Tel.No.:</w:t>
            </w:r>
          </w:p>
        </w:tc>
        <w:tc>
          <w:tcPr>
            <w:tcW w:w="1360" w:type="dxa"/>
          </w:tcPr>
          <w:p>
            <w:pPr>
              <w:pStyle w:val="TableParagraph"/>
              <w:rPr>
                <w:rFonts w:ascii="Times New Roman"/>
                <w:sz w:val="22"/>
              </w:rPr>
            </w:pPr>
          </w:p>
        </w:tc>
      </w:tr>
      <w:tr>
        <w:trPr>
          <w:trHeight w:val="299" w:hRule="atLeast"/>
        </w:trPr>
        <w:tc>
          <w:tcPr>
            <w:tcW w:w="3543" w:type="dxa"/>
          </w:tcPr>
          <w:p>
            <w:pPr>
              <w:pStyle w:val="TableParagraph"/>
              <w:spacing w:line="242" w:lineRule="exact" w:before="37"/>
              <w:ind w:left="62"/>
              <w:rPr>
                <w:sz w:val="24"/>
              </w:rPr>
            </w:pPr>
            <w:r>
              <w:rPr>
                <w:spacing w:val="-2"/>
                <w:sz w:val="24"/>
              </w:rPr>
              <w:t>Signature:</w:t>
            </w:r>
          </w:p>
        </w:tc>
        <w:tc>
          <w:tcPr>
            <w:tcW w:w="1360" w:type="dxa"/>
          </w:tcPr>
          <w:p>
            <w:pPr>
              <w:pStyle w:val="TableParagraph"/>
              <w:rPr>
                <w:rFonts w:ascii="Times New Roman"/>
                <w:sz w:val="22"/>
              </w:rPr>
            </w:pPr>
          </w:p>
        </w:tc>
      </w:tr>
      <w:tr>
        <w:trPr>
          <w:trHeight w:val="299" w:hRule="atLeast"/>
        </w:trPr>
        <w:tc>
          <w:tcPr>
            <w:tcW w:w="3543" w:type="dxa"/>
          </w:tcPr>
          <w:p>
            <w:pPr>
              <w:pStyle w:val="TableParagraph"/>
              <w:spacing w:line="242" w:lineRule="exact" w:before="37"/>
              <w:ind w:left="62"/>
              <w:rPr>
                <w:sz w:val="24"/>
              </w:rPr>
            </w:pPr>
            <w:r>
              <w:rPr>
                <w:spacing w:val="-4"/>
                <w:sz w:val="24"/>
              </w:rPr>
              <w:t>Date:</w:t>
            </w:r>
          </w:p>
        </w:tc>
        <w:tc>
          <w:tcPr>
            <w:tcW w:w="1360" w:type="dxa"/>
          </w:tcPr>
          <w:p>
            <w:pPr>
              <w:pStyle w:val="TableParagraph"/>
              <w:rPr>
                <w:rFonts w:ascii="Times New Roman"/>
                <w:sz w:val="22"/>
              </w:rPr>
            </w:pPr>
          </w:p>
        </w:tc>
      </w:tr>
    </w:tbl>
    <w:p>
      <w:pPr>
        <w:pStyle w:val="BodyText"/>
        <w:spacing w:before="2"/>
        <w:ind w:left="1906"/>
        <w:jc w:val="left"/>
      </w:pPr>
      <w:r>
        <w:rPr>
          <w:spacing w:val="-2"/>
        </w:rPr>
        <w:t>C.C.to:1.Owner.</w:t>
      </w:r>
    </w:p>
    <w:p>
      <w:pPr>
        <w:pStyle w:val="BodyText"/>
        <w:spacing w:before="62"/>
        <w:ind w:left="1906"/>
        <w:jc w:val="left"/>
      </w:pPr>
      <w:r>
        <w:rPr/>
        <w:t>2.Architect</w:t>
      </w:r>
      <w:r>
        <w:rPr>
          <w:spacing w:val="31"/>
        </w:rPr>
        <w:t> </w:t>
      </w:r>
      <w:r>
        <w:rPr/>
        <w:t>/Licensed</w:t>
      </w:r>
      <w:r>
        <w:rPr>
          <w:spacing w:val="31"/>
        </w:rPr>
        <w:t> </w:t>
      </w:r>
      <w:r>
        <w:rPr>
          <w:spacing w:val="-2"/>
        </w:rPr>
        <w:t>Surveyor</w:t>
      </w:r>
    </w:p>
    <w:p>
      <w:pPr>
        <w:pStyle w:val="BodyText"/>
        <w:spacing w:after="0"/>
        <w:jc w:val="left"/>
        <w:sectPr>
          <w:headerReference w:type="default" r:id="rId92"/>
          <w:footerReference w:type="default" r:id="rId93"/>
          <w:pgSz w:w="11910" w:h="16850"/>
          <w:pgMar w:header="1022" w:footer="875" w:top="2020" w:bottom="1060" w:left="360" w:right="360"/>
        </w:sectPr>
      </w:pPr>
    </w:p>
    <w:p>
      <w:pPr>
        <w:pStyle w:val="Heading4"/>
        <w:spacing w:before="59"/>
        <w:ind w:left="2"/>
      </w:pPr>
      <w:r>
        <w:rPr/>
        <w:t>SUPERVISION</w:t>
      </w:r>
      <w:r>
        <w:rPr>
          <w:spacing w:val="-8"/>
        </w:rPr>
        <w:t> </w:t>
      </w:r>
      <w:r>
        <w:rPr/>
        <w:t>MEMO</w:t>
      </w:r>
      <w:r>
        <w:rPr>
          <w:spacing w:val="-5"/>
        </w:rPr>
        <w:t> </w:t>
      </w:r>
      <w:r>
        <w:rPr/>
        <w:t>OF</w:t>
      </w:r>
      <w:r>
        <w:rPr>
          <w:spacing w:val="-5"/>
        </w:rPr>
        <w:t> </w:t>
      </w:r>
      <w:r>
        <w:rPr/>
        <w:t>OTHER</w:t>
      </w:r>
      <w:r>
        <w:rPr>
          <w:spacing w:val="-6"/>
        </w:rPr>
        <w:t> </w:t>
      </w:r>
      <w:r>
        <w:rPr/>
        <w:t>PROFESSIONAL</w:t>
      </w:r>
      <w:r>
        <w:rPr>
          <w:spacing w:val="-5"/>
        </w:rPr>
        <w:t> </w:t>
      </w:r>
      <w:r>
        <w:rPr/>
        <w:t>ON</w:t>
      </w:r>
      <w:r>
        <w:rPr>
          <w:spacing w:val="-5"/>
        </w:rPr>
        <w:t> </w:t>
      </w:r>
      <w:r>
        <w:rPr>
          <w:spacing w:val="-2"/>
        </w:rPr>
        <w:t>RECORD</w:t>
      </w:r>
    </w:p>
    <w:p>
      <w:pPr>
        <w:pStyle w:val="BodyText"/>
        <w:spacing w:before="6"/>
        <w:jc w:val="left"/>
        <w:rPr>
          <w:b/>
          <w:sz w:val="15"/>
        </w:rPr>
      </w:pPr>
    </w:p>
    <w:p>
      <w:pPr>
        <w:pStyle w:val="BodyText"/>
        <w:spacing w:after="0"/>
        <w:jc w:val="left"/>
        <w:rPr>
          <w:b/>
          <w:sz w:val="15"/>
        </w:rPr>
        <w:sectPr>
          <w:headerReference w:type="default" r:id="rId94"/>
          <w:footerReference w:type="default" r:id="rId95"/>
          <w:pgSz w:w="11910" w:h="16850"/>
          <w:pgMar w:header="1022" w:footer="1070" w:top="2020" w:bottom="1260" w:left="360" w:right="360"/>
        </w:sectPr>
      </w:pPr>
    </w:p>
    <w:p>
      <w:pPr>
        <w:pStyle w:val="BodyText"/>
        <w:jc w:val="left"/>
        <w:rPr>
          <w:b/>
        </w:rPr>
      </w:pPr>
    </w:p>
    <w:p>
      <w:pPr>
        <w:pStyle w:val="BodyText"/>
        <w:spacing w:before="100"/>
        <w:jc w:val="left"/>
        <w:rPr>
          <w:b/>
        </w:rPr>
      </w:pPr>
    </w:p>
    <w:p>
      <w:pPr>
        <w:pStyle w:val="BodyText"/>
        <w:spacing w:line="281" w:lineRule="exact"/>
        <w:ind w:left="772"/>
        <w:jc w:val="left"/>
      </w:pPr>
      <w:r>
        <w:rPr>
          <w:spacing w:val="-5"/>
        </w:rPr>
        <w:t>To,</w:t>
      </w:r>
    </w:p>
    <w:p>
      <w:pPr>
        <w:pStyle w:val="BodyText"/>
        <w:tabs>
          <w:tab w:pos="2181" w:val="left" w:leader="none"/>
        </w:tabs>
        <w:ind w:left="772"/>
        <w:jc w:val="left"/>
      </w:pPr>
      <w:r>
        <w:rPr>
          <w:spacing w:val="-2"/>
        </w:rPr>
        <w:t>Executive</w:t>
      </w:r>
      <w:r>
        <w:rPr/>
        <w:tab/>
      </w:r>
      <w:r>
        <w:rPr>
          <w:spacing w:val="-2"/>
        </w:rPr>
        <w:t>Engineer, </w:t>
      </w:r>
      <w:r>
        <w:rPr/>
        <w:t>Building Proposal</w:t>
      </w:r>
    </w:p>
    <w:p>
      <w:pPr>
        <w:pStyle w:val="BodyText"/>
        <w:tabs>
          <w:tab w:pos="1392" w:val="left" w:leader="none"/>
        </w:tabs>
        <w:ind w:left="772"/>
        <w:jc w:val="left"/>
      </w:pPr>
      <w:r>
        <w:rPr>
          <w:u w:val="single"/>
        </w:rPr>
        <w:tab/>
      </w:r>
      <w:r>
        <w:rPr/>
        <w:t>ward,</w:t>
      </w:r>
      <w:r>
        <w:rPr>
          <w:spacing w:val="12"/>
        </w:rPr>
        <w:t> </w:t>
      </w:r>
      <w:r>
        <w:rPr>
          <w:spacing w:val="-2"/>
        </w:rPr>
        <w:t>M.C.G.M.</w:t>
      </w:r>
    </w:p>
    <w:p>
      <w:pPr>
        <w:pStyle w:val="BodyText"/>
        <w:spacing w:before="100"/>
        <w:jc w:val="left"/>
      </w:pPr>
      <w:r>
        <w:rPr/>
        <w:br w:type="column"/>
      </w:r>
      <w:r>
        <w:rPr/>
        <w:t>(On</w:t>
      </w:r>
      <w:r>
        <w:rPr>
          <w:spacing w:val="9"/>
        </w:rPr>
        <w:t> </w:t>
      </w:r>
      <w:r>
        <w:rPr/>
        <w:t>the</w:t>
      </w:r>
      <w:r>
        <w:rPr>
          <w:spacing w:val="9"/>
        </w:rPr>
        <w:t> </w:t>
      </w:r>
      <w:r>
        <w:rPr/>
        <w:t>Letter</w:t>
      </w:r>
      <w:r>
        <w:rPr>
          <w:spacing w:val="9"/>
        </w:rPr>
        <w:t> </w:t>
      </w:r>
      <w:r>
        <w:rPr/>
        <w:t>Head</w:t>
      </w:r>
      <w:r>
        <w:rPr>
          <w:spacing w:val="9"/>
        </w:rPr>
        <w:t> </w:t>
      </w:r>
      <w:r>
        <w:rPr/>
        <w:t>of</w:t>
      </w:r>
      <w:r>
        <w:rPr>
          <w:spacing w:val="10"/>
        </w:rPr>
        <w:t> </w:t>
      </w:r>
      <w:r>
        <w:rPr>
          <w:spacing w:val="-2"/>
        </w:rPr>
        <w:t>Professional)</w:t>
      </w:r>
    </w:p>
    <w:p>
      <w:pPr>
        <w:pStyle w:val="BodyText"/>
        <w:spacing w:before="1"/>
        <w:ind w:left="3601" w:right="910"/>
        <w:jc w:val="left"/>
      </w:pPr>
      <w:r>
        <w:rPr/>
        <w:t>Name of Professional License No.</w:t>
      </w:r>
    </w:p>
    <w:p>
      <w:pPr>
        <w:pStyle w:val="BodyText"/>
        <w:tabs>
          <w:tab w:pos="6183" w:val="left" w:leader="none"/>
        </w:tabs>
        <w:spacing w:line="280" w:lineRule="exact"/>
        <w:ind w:left="3601"/>
        <w:jc w:val="left"/>
      </w:pPr>
      <w:r>
        <w:rPr>
          <w:spacing w:val="-2"/>
        </w:rPr>
        <w:t>Date:</w:t>
      </w:r>
      <w:r>
        <w:rPr>
          <w:u w:val="single"/>
        </w:rPr>
        <w:tab/>
      </w:r>
    </w:p>
    <w:p>
      <w:pPr>
        <w:pStyle w:val="BodyText"/>
        <w:spacing w:after="0" w:line="280" w:lineRule="exact"/>
        <w:jc w:val="left"/>
        <w:sectPr>
          <w:type w:val="continuous"/>
          <w:pgSz w:w="11910" w:h="16850"/>
          <w:pgMar w:header="1022" w:footer="1070" w:top="1360" w:bottom="280" w:left="360" w:right="360"/>
          <w:cols w:num="2" w:equalWidth="0">
            <w:col w:w="3339" w:space="38"/>
            <w:col w:w="7813"/>
          </w:cols>
        </w:sectPr>
      </w:pPr>
    </w:p>
    <w:p>
      <w:pPr>
        <w:pStyle w:val="BodyText"/>
        <w:spacing w:before="1"/>
        <w:jc w:val="left"/>
      </w:pPr>
    </w:p>
    <w:p>
      <w:pPr>
        <w:pStyle w:val="BodyText"/>
        <w:ind w:left="772"/>
        <w:jc w:val="left"/>
      </w:pPr>
      <w:r>
        <w:rPr/>
        <w:t>Dear</w:t>
      </w:r>
      <w:r>
        <w:rPr>
          <w:spacing w:val="9"/>
        </w:rPr>
        <w:t> </w:t>
      </w:r>
      <w:r>
        <w:rPr>
          <w:spacing w:val="-4"/>
        </w:rPr>
        <w:t>Sir,</w:t>
      </w:r>
    </w:p>
    <w:p>
      <w:pPr>
        <w:pStyle w:val="BodyText"/>
        <w:spacing w:before="1"/>
        <w:jc w:val="left"/>
      </w:pPr>
    </w:p>
    <w:p>
      <w:pPr>
        <w:pStyle w:val="BodyText"/>
        <w:ind w:left="2213"/>
        <w:jc w:val="left"/>
      </w:pPr>
      <w:r>
        <w:rPr/>
        <w:t>Subject:Proposed</w:t>
      </w:r>
      <w:r>
        <w:rPr>
          <w:spacing w:val="39"/>
        </w:rPr>
        <w:t> </w:t>
      </w:r>
      <w:r>
        <w:rPr/>
        <w:t>development</w:t>
      </w:r>
      <w:r>
        <w:rPr>
          <w:spacing w:val="40"/>
        </w:rPr>
        <w:t> </w:t>
      </w:r>
      <w:r>
        <w:rPr/>
        <w:t>work</w:t>
      </w:r>
      <w:r>
        <w:rPr>
          <w:spacing w:val="40"/>
        </w:rPr>
        <w:t> </w:t>
      </w:r>
      <w:r>
        <w:rPr>
          <w:spacing w:val="-5"/>
        </w:rPr>
        <w:t>of</w:t>
      </w:r>
    </w:p>
    <w:p>
      <w:pPr>
        <w:pStyle w:val="BodyText"/>
        <w:spacing w:before="2" w:after="1"/>
        <w:jc w:val="left"/>
        <w:rPr>
          <w:sz w:val="10"/>
        </w:rPr>
      </w:pPr>
    </w:p>
    <w:tbl>
      <w:tblPr>
        <w:tblW w:w="0" w:type="auto"/>
        <w:jc w:val="left"/>
        <w:tblInd w:w="2482"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5214"/>
        <w:gridCol w:w="2982"/>
      </w:tblGrid>
      <w:tr>
        <w:trPr>
          <w:trHeight w:val="321" w:hRule="atLeast"/>
        </w:trPr>
        <w:tc>
          <w:tcPr>
            <w:tcW w:w="5214" w:type="dxa"/>
          </w:tcPr>
          <w:p>
            <w:pPr>
              <w:pStyle w:val="TableParagraph"/>
              <w:spacing w:line="280" w:lineRule="exact" w:before="20"/>
              <w:ind w:left="64"/>
              <w:rPr>
                <w:sz w:val="24"/>
              </w:rPr>
            </w:pPr>
            <w:r>
              <w:rPr>
                <w:sz w:val="24"/>
              </w:rPr>
              <w:t>Building</w:t>
            </w:r>
            <w:r>
              <w:rPr>
                <w:spacing w:val="-4"/>
                <w:sz w:val="24"/>
              </w:rPr>
              <w:t> </w:t>
            </w:r>
            <w:r>
              <w:rPr>
                <w:sz w:val="24"/>
              </w:rPr>
              <w:t>proposal</w:t>
            </w:r>
            <w:r>
              <w:rPr>
                <w:spacing w:val="-1"/>
                <w:sz w:val="24"/>
              </w:rPr>
              <w:t> </w:t>
            </w:r>
            <w:r>
              <w:rPr>
                <w:spacing w:val="-5"/>
                <w:sz w:val="24"/>
              </w:rPr>
              <w:t>No</w:t>
            </w:r>
          </w:p>
        </w:tc>
        <w:tc>
          <w:tcPr>
            <w:tcW w:w="2982" w:type="dxa"/>
          </w:tcPr>
          <w:p>
            <w:pPr>
              <w:pStyle w:val="TableParagraph"/>
              <w:rPr>
                <w:rFonts w:ascii="Times New Roman"/>
                <w:sz w:val="22"/>
              </w:rPr>
            </w:pPr>
          </w:p>
        </w:tc>
      </w:tr>
      <w:tr>
        <w:trPr>
          <w:trHeight w:val="321" w:hRule="atLeast"/>
        </w:trPr>
        <w:tc>
          <w:tcPr>
            <w:tcW w:w="5214" w:type="dxa"/>
          </w:tcPr>
          <w:p>
            <w:pPr>
              <w:pStyle w:val="TableParagraph"/>
              <w:spacing w:line="280" w:lineRule="exact" w:before="20"/>
              <w:ind w:left="64"/>
              <w:rPr>
                <w:sz w:val="24"/>
              </w:rPr>
            </w:pPr>
            <w:r>
              <w:rPr>
                <w:sz w:val="24"/>
              </w:rPr>
              <w:t>Full</w:t>
            </w:r>
            <w:r>
              <w:rPr>
                <w:spacing w:val="-7"/>
                <w:sz w:val="24"/>
              </w:rPr>
              <w:t> </w:t>
            </w:r>
            <w:r>
              <w:rPr>
                <w:sz w:val="24"/>
              </w:rPr>
              <w:t>Particular</w:t>
            </w:r>
            <w:r>
              <w:rPr>
                <w:spacing w:val="-4"/>
                <w:sz w:val="24"/>
              </w:rPr>
              <w:t> </w:t>
            </w:r>
            <w:r>
              <w:rPr>
                <w:sz w:val="24"/>
              </w:rPr>
              <w:t>of</w:t>
            </w:r>
            <w:r>
              <w:rPr>
                <w:spacing w:val="-5"/>
                <w:sz w:val="24"/>
              </w:rPr>
              <w:t> </w:t>
            </w:r>
            <w:r>
              <w:rPr>
                <w:sz w:val="24"/>
              </w:rPr>
              <w:t>the</w:t>
            </w:r>
            <w:r>
              <w:rPr>
                <w:spacing w:val="-2"/>
                <w:sz w:val="24"/>
              </w:rPr>
              <w:t> </w:t>
            </w:r>
            <w:r>
              <w:rPr>
                <w:spacing w:val="-4"/>
                <w:sz w:val="24"/>
              </w:rPr>
              <w:t>work</w:t>
            </w:r>
          </w:p>
        </w:tc>
        <w:tc>
          <w:tcPr>
            <w:tcW w:w="2982" w:type="dxa"/>
          </w:tcPr>
          <w:p>
            <w:pPr>
              <w:pStyle w:val="TableParagraph"/>
              <w:rPr>
                <w:rFonts w:ascii="Times New Roman"/>
                <w:sz w:val="22"/>
              </w:rPr>
            </w:pPr>
          </w:p>
        </w:tc>
      </w:tr>
      <w:tr>
        <w:trPr>
          <w:trHeight w:val="604" w:hRule="atLeast"/>
        </w:trPr>
        <w:tc>
          <w:tcPr>
            <w:tcW w:w="5214" w:type="dxa"/>
          </w:tcPr>
          <w:p>
            <w:pPr>
              <w:pStyle w:val="TableParagraph"/>
              <w:spacing w:before="20"/>
              <w:ind w:left="64"/>
              <w:rPr>
                <w:sz w:val="24"/>
              </w:rPr>
            </w:pPr>
            <w:r>
              <w:rPr>
                <w:sz w:val="24"/>
              </w:rPr>
              <w:t>On</w:t>
            </w:r>
            <w:r>
              <w:rPr>
                <w:spacing w:val="-16"/>
                <w:sz w:val="24"/>
              </w:rPr>
              <w:t> </w:t>
            </w:r>
            <w:r>
              <w:rPr>
                <w:sz w:val="24"/>
              </w:rPr>
              <w:t>plot</w:t>
            </w:r>
            <w:r>
              <w:rPr>
                <w:spacing w:val="-16"/>
                <w:sz w:val="24"/>
              </w:rPr>
              <w:t> </w:t>
            </w:r>
            <w:r>
              <w:rPr>
                <w:sz w:val="24"/>
              </w:rPr>
              <w:t>bearing</w:t>
            </w:r>
            <w:r>
              <w:rPr>
                <w:spacing w:val="-16"/>
                <w:sz w:val="24"/>
              </w:rPr>
              <w:t> </w:t>
            </w:r>
            <w:r>
              <w:rPr>
                <w:sz w:val="24"/>
              </w:rPr>
              <w:t>C.S.</w:t>
            </w:r>
            <w:r>
              <w:rPr>
                <w:spacing w:val="-16"/>
                <w:sz w:val="24"/>
              </w:rPr>
              <w:t> </w:t>
            </w:r>
            <w:r>
              <w:rPr>
                <w:sz w:val="24"/>
              </w:rPr>
              <w:t>No./C.T.S</w:t>
            </w:r>
            <w:r>
              <w:rPr>
                <w:spacing w:val="-16"/>
                <w:sz w:val="24"/>
              </w:rPr>
              <w:t> </w:t>
            </w:r>
            <w:r>
              <w:rPr>
                <w:sz w:val="24"/>
              </w:rPr>
              <w:t>.No./F.P. No./</w:t>
            </w:r>
            <w:r>
              <w:rPr>
                <w:spacing w:val="-14"/>
                <w:sz w:val="24"/>
              </w:rPr>
              <w:t> </w:t>
            </w:r>
            <w:r>
              <w:rPr>
                <w:sz w:val="24"/>
              </w:rPr>
              <w:t>Of</w:t>
            </w:r>
            <w:r>
              <w:rPr>
                <w:spacing w:val="-14"/>
                <w:sz w:val="24"/>
              </w:rPr>
              <w:t> </w:t>
            </w:r>
            <w:r>
              <w:rPr>
                <w:sz w:val="24"/>
              </w:rPr>
              <w:t>Division/village/T.P.</w:t>
            </w:r>
            <w:r>
              <w:rPr>
                <w:spacing w:val="-14"/>
                <w:sz w:val="24"/>
              </w:rPr>
              <w:t> </w:t>
            </w:r>
            <w:r>
              <w:rPr>
                <w:sz w:val="24"/>
              </w:rPr>
              <w:t>Scheme</w:t>
            </w:r>
            <w:r>
              <w:rPr>
                <w:spacing w:val="-14"/>
                <w:sz w:val="24"/>
              </w:rPr>
              <w:t> </w:t>
            </w:r>
            <w:r>
              <w:rPr>
                <w:sz w:val="24"/>
              </w:rPr>
              <w:t>No</w:t>
            </w:r>
          </w:p>
        </w:tc>
        <w:tc>
          <w:tcPr>
            <w:tcW w:w="2982" w:type="dxa"/>
          </w:tcPr>
          <w:p>
            <w:pPr>
              <w:pStyle w:val="TableParagraph"/>
              <w:rPr>
                <w:rFonts w:ascii="Times New Roman"/>
                <w:sz w:val="22"/>
              </w:rPr>
            </w:pPr>
          </w:p>
        </w:tc>
      </w:tr>
      <w:tr>
        <w:trPr>
          <w:trHeight w:val="321" w:hRule="atLeast"/>
        </w:trPr>
        <w:tc>
          <w:tcPr>
            <w:tcW w:w="5214" w:type="dxa"/>
          </w:tcPr>
          <w:p>
            <w:pPr>
              <w:pStyle w:val="TableParagraph"/>
              <w:spacing w:line="280" w:lineRule="exact" w:before="20"/>
              <w:ind w:left="64"/>
              <w:rPr>
                <w:sz w:val="24"/>
              </w:rPr>
            </w:pPr>
            <w:r>
              <w:rPr>
                <w:sz w:val="24"/>
              </w:rPr>
              <w:t>Type</w:t>
            </w:r>
            <w:r>
              <w:rPr>
                <w:spacing w:val="-2"/>
                <w:sz w:val="24"/>
              </w:rPr>
              <w:t> </w:t>
            </w:r>
            <w:r>
              <w:rPr>
                <w:sz w:val="24"/>
              </w:rPr>
              <w:t>of</w:t>
            </w:r>
            <w:r>
              <w:rPr>
                <w:spacing w:val="-1"/>
                <w:sz w:val="24"/>
              </w:rPr>
              <w:t> </w:t>
            </w:r>
            <w:r>
              <w:rPr>
                <w:spacing w:val="-2"/>
                <w:sz w:val="24"/>
              </w:rPr>
              <w:t>development</w:t>
            </w:r>
          </w:p>
        </w:tc>
        <w:tc>
          <w:tcPr>
            <w:tcW w:w="2982" w:type="dxa"/>
          </w:tcPr>
          <w:p>
            <w:pPr>
              <w:pStyle w:val="TableParagraph"/>
              <w:rPr>
                <w:rFonts w:ascii="Times New Roman"/>
                <w:sz w:val="22"/>
              </w:rPr>
            </w:pPr>
          </w:p>
        </w:tc>
      </w:tr>
      <w:tr>
        <w:trPr>
          <w:trHeight w:val="323" w:hRule="atLeast"/>
        </w:trPr>
        <w:tc>
          <w:tcPr>
            <w:tcW w:w="5214" w:type="dxa"/>
          </w:tcPr>
          <w:p>
            <w:pPr>
              <w:pStyle w:val="TableParagraph"/>
              <w:spacing w:before="20"/>
              <w:ind w:left="64"/>
              <w:rPr>
                <w:sz w:val="24"/>
              </w:rPr>
            </w:pPr>
            <w:r>
              <w:rPr>
                <w:sz w:val="24"/>
              </w:rPr>
              <w:t>Road</w:t>
            </w:r>
            <w:r>
              <w:rPr>
                <w:spacing w:val="-7"/>
                <w:sz w:val="24"/>
              </w:rPr>
              <w:t> </w:t>
            </w:r>
            <w:r>
              <w:rPr>
                <w:spacing w:val="-4"/>
                <w:sz w:val="24"/>
              </w:rPr>
              <w:t>Name</w:t>
            </w:r>
          </w:p>
        </w:tc>
        <w:tc>
          <w:tcPr>
            <w:tcW w:w="2982" w:type="dxa"/>
          </w:tcPr>
          <w:p>
            <w:pPr>
              <w:pStyle w:val="TableParagraph"/>
              <w:rPr>
                <w:rFonts w:ascii="Times New Roman"/>
                <w:sz w:val="22"/>
              </w:rPr>
            </w:pPr>
          </w:p>
        </w:tc>
      </w:tr>
      <w:tr>
        <w:trPr>
          <w:trHeight w:val="321" w:hRule="atLeast"/>
        </w:trPr>
        <w:tc>
          <w:tcPr>
            <w:tcW w:w="5214" w:type="dxa"/>
          </w:tcPr>
          <w:p>
            <w:pPr>
              <w:pStyle w:val="TableParagraph"/>
              <w:spacing w:line="280" w:lineRule="exact" w:before="20"/>
              <w:ind w:left="64"/>
              <w:rPr>
                <w:sz w:val="24"/>
              </w:rPr>
            </w:pPr>
            <w:r>
              <w:rPr>
                <w:spacing w:val="-4"/>
                <w:sz w:val="24"/>
              </w:rPr>
              <w:t>Ward</w:t>
            </w:r>
          </w:p>
        </w:tc>
        <w:tc>
          <w:tcPr>
            <w:tcW w:w="2982" w:type="dxa"/>
          </w:tcPr>
          <w:p>
            <w:pPr>
              <w:pStyle w:val="TableParagraph"/>
              <w:rPr>
                <w:rFonts w:ascii="Times New Roman"/>
                <w:sz w:val="22"/>
              </w:rPr>
            </w:pPr>
          </w:p>
        </w:tc>
      </w:tr>
      <w:tr>
        <w:trPr>
          <w:trHeight w:val="321" w:hRule="atLeast"/>
        </w:trPr>
        <w:tc>
          <w:tcPr>
            <w:tcW w:w="5214" w:type="dxa"/>
          </w:tcPr>
          <w:p>
            <w:pPr>
              <w:pStyle w:val="TableParagraph"/>
              <w:spacing w:line="280" w:lineRule="exact" w:before="20"/>
              <w:ind w:left="64"/>
              <w:rPr>
                <w:sz w:val="24"/>
              </w:rPr>
            </w:pPr>
            <w:r>
              <w:rPr>
                <w:sz w:val="24"/>
              </w:rPr>
              <w:t>Name</w:t>
            </w:r>
            <w:r>
              <w:rPr>
                <w:spacing w:val="-4"/>
                <w:sz w:val="24"/>
              </w:rPr>
              <w:t> </w:t>
            </w:r>
            <w:r>
              <w:rPr>
                <w:sz w:val="24"/>
              </w:rPr>
              <w:t>of</w:t>
            </w:r>
            <w:r>
              <w:rPr>
                <w:spacing w:val="-4"/>
                <w:sz w:val="24"/>
              </w:rPr>
              <w:t> </w:t>
            </w:r>
            <w:r>
              <w:rPr>
                <w:sz w:val="24"/>
              </w:rPr>
              <w:t>Architect</w:t>
            </w:r>
            <w:r>
              <w:rPr>
                <w:spacing w:val="-4"/>
                <w:sz w:val="24"/>
              </w:rPr>
              <w:t> </w:t>
            </w:r>
            <w:r>
              <w:rPr>
                <w:sz w:val="24"/>
              </w:rPr>
              <w:t>/Licensed</w:t>
            </w:r>
            <w:r>
              <w:rPr>
                <w:spacing w:val="-3"/>
                <w:sz w:val="24"/>
              </w:rPr>
              <w:t> </w:t>
            </w:r>
            <w:r>
              <w:rPr>
                <w:spacing w:val="-2"/>
                <w:sz w:val="24"/>
              </w:rPr>
              <w:t>Surveyor</w:t>
            </w:r>
          </w:p>
        </w:tc>
        <w:tc>
          <w:tcPr>
            <w:tcW w:w="2982" w:type="dxa"/>
          </w:tcPr>
          <w:p>
            <w:pPr>
              <w:pStyle w:val="TableParagraph"/>
              <w:rPr>
                <w:rFonts w:ascii="Times New Roman"/>
                <w:sz w:val="22"/>
              </w:rPr>
            </w:pPr>
          </w:p>
        </w:tc>
      </w:tr>
      <w:tr>
        <w:trPr>
          <w:trHeight w:val="321" w:hRule="atLeast"/>
        </w:trPr>
        <w:tc>
          <w:tcPr>
            <w:tcW w:w="5214" w:type="dxa"/>
          </w:tcPr>
          <w:p>
            <w:pPr>
              <w:pStyle w:val="TableParagraph"/>
              <w:spacing w:line="280" w:lineRule="exact" w:before="21"/>
              <w:ind w:left="64"/>
              <w:rPr>
                <w:sz w:val="24"/>
              </w:rPr>
            </w:pPr>
            <w:r>
              <w:rPr>
                <w:sz w:val="24"/>
              </w:rPr>
              <w:t>Name of </w:t>
            </w:r>
            <w:r>
              <w:rPr>
                <w:spacing w:val="-2"/>
                <w:sz w:val="24"/>
              </w:rPr>
              <w:t>Owner</w:t>
            </w:r>
          </w:p>
        </w:tc>
        <w:tc>
          <w:tcPr>
            <w:tcW w:w="2982" w:type="dxa"/>
          </w:tcPr>
          <w:p>
            <w:pPr>
              <w:pStyle w:val="TableParagraph"/>
              <w:rPr>
                <w:rFonts w:ascii="Times New Roman"/>
                <w:sz w:val="22"/>
              </w:rPr>
            </w:pPr>
          </w:p>
        </w:tc>
      </w:tr>
    </w:tbl>
    <w:p>
      <w:pPr>
        <w:pStyle w:val="BodyText"/>
        <w:spacing w:before="243"/>
        <w:jc w:val="left"/>
      </w:pPr>
    </w:p>
    <w:p>
      <w:pPr>
        <w:pStyle w:val="BodyText"/>
        <w:ind w:left="772" w:right="768"/>
      </w:pPr>
      <w:r>
        <w:rPr/>
        <w:t>With reference to the letter of my appointment datedaddressed to you, by the Owner, I</w:t>
      </w:r>
      <w:r>
        <w:rPr>
          <w:spacing w:val="28"/>
        </w:rPr>
        <w:t> </w:t>
      </w:r>
      <w:r>
        <w:rPr/>
        <w:t>hereby confirm that I</w:t>
      </w:r>
      <w:r>
        <w:rPr>
          <w:spacing w:val="28"/>
        </w:rPr>
        <w:t> </w:t>
      </w:r>
      <w:r>
        <w:rPr/>
        <w:t>have agreed to act as theforthe above proposal.</w:t>
      </w:r>
    </w:p>
    <w:p>
      <w:pPr>
        <w:pStyle w:val="BodyText"/>
        <w:ind w:left="772" w:right="766"/>
      </w:pPr>
      <w:r>
        <w:rPr/>
        <w:t>I furtherreconfirm that the work will be carried out in conformity with the provisions of IS standards and as per requirements of Regulations, Annexurefor Duties and Responsibilities of Professional on Record and the development work shall be as per approved plans and the</w:t>
      </w:r>
      <w:r>
        <w:rPr>
          <w:spacing w:val="40"/>
        </w:rPr>
        <w:t> </w:t>
      </w:r>
      <w:r>
        <w:rPr/>
        <w:t>structural design etc.</w:t>
      </w:r>
    </w:p>
    <w:p>
      <w:pPr>
        <w:pStyle w:val="BodyText"/>
        <w:spacing w:line="281" w:lineRule="exact"/>
        <w:ind w:left="4719"/>
      </w:pPr>
      <w:r>
        <w:rPr/>
        <w:t>Thanking</w:t>
      </w:r>
      <w:r>
        <w:rPr>
          <w:spacing w:val="30"/>
        </w:rPr>
        <w:t> </w:t>
      </w:r>
      <w:r>
        <w:rPr>
          <w:spacing w:val="-4"/>
        </w:rPr>
        <w:t>you,</w:t>
      </w:r>
    </w:p>
    <w:p>
      <w:pPr>
        <w:pStyle w:val="BodyText"/>
        <w:spacing w:line="281" w:lineRule="exact" w:after="2"/>
        <w:ind w:right="771"/>
        <w:jc w:val="right"/>
      </w:pPr>
      <w:r>
        <w:rPr/>
        <w:t>Yours</w:t>
      </w:r>
      <w:r>
        <w:rPr>
          <w:spacing w:val="7"/>
        </w:rPr>
        <w:t> </w:t>
      </w:r>
      <w:r>
        <w:rPr>
          <w:spacing w:val="-2"/>
        </w:rPr>
        <w:t>Faithfully</w:t>
      </w:r>
    </w:p>
    <w:tbl>
      <w:tblPr>
        <w:tblW w:w="0" w:type="auto"/>
        <w:jc w:val="left"/>
        <w:tblInd w:w="5511"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3543"/>
        <w:gridCol w:w="1360"/>
      </w:tblGrid>
      <w:tr>
        <w:trPr>
          <w:trHeight w:val="313" w:hRule="atLeast"/>
        </w:trPr>
        <w:tc>
          <w:tcPr>
            <w:tcW w:w="3543" w:type="dxa"/>
          </w:tcPr>
          <w:p>
            <w:pPr>
              <w:pStyle w:val="TableParagraph"/>
              <w:spacing w:line="256" w:lineRule="exact" w:before="37"/>
              <w:ind w:left="62"/>
              <w:rPr>
                <w:sz w:val="24"/>
              </w:rPr>
            </w:pPr>
            <w:r>
              <w:rPr>
                <w:sz w:val="24"/>
              </w:rPr>
              <w:t>Name of the </w:t>
            </w:r>
            <w:r>
              <w:rPr>
                <w:spacing w:val="-2"/>
                <w:sz w:val="24"/>
              </w:rPr>
              <w:t>Professional</w:t>
            </w:r>
          </w:p>
        </w:tc>
        <w:tc>
          <w:tcPr>
            <w:tcW w:w="1360" w:type="dxa"/>
          </w:tcPr>
          <w:p>
            <w:pPr>
              <w:pStyle w:val="TableParagraph"/>
              <w:rPr>
                <w:rFonts w:ascii="Times New Roman"/>
                <w:sz w:val="22"/>
              </w:rPr>
            </w:pPr>
          </w:p>
        </w:tc>
      </w:tr>
      <w:tr>
        <w:trPr>
          <w:trHeight w:val="300" w:hRule="atLeast"/>
        </w:trPr>
        <w:tc>
          <w:tcPr>
            <w:tcW w:w="3543" w:type="dxa"/>
          </w:tcPr>
          <w:p>
            <w:pPr>
              <w:pStyle w:val="TableParagraph"/>
              <w:spacing w:line="242" w:lineRule="exact" w:before="38"/>
              <w:ind w:left="62"/>
              <w:rPr>
                <w:sz w:val="24"/>
              </w:rPr>
            </w:pPr>
            <w:r>
              <w:rPr>
                <w:sz w:val="24"/>
              </w:rPr>
              <w:t>Registration</w:t>
            </w:r>
            <w:r>
              <w:rPr>
                <w:spacing w:val="-15"/>
                <w:sz w:val="24"/>
              </w:rPr>
              <w:t> </w:t>
            </w:r>
            <w:r>
              <w:rPr>
                <w:spacing w:val="-5"/>
                <w:sz w:val="24"/>
              </w:rPr>
              <w:t>No</w:t>
            </w:r>
          </w:p>
        </w:tc>
        <w:tc>
          <w:tcPr>
            <w:tcW w:w="1360" w:type="dxa"/>
          </w:tcPr>
          <w:p>
            <w:pPr>
              <w:pStyle w:val="TableParagraph"/>
              <w:rPr>
                <w:rFonts w:ascii="Times New Roman"/>
                <w:sz w:val="22"/>
              </w:rPr>
            </w:pPr>
          </w:p>
        </w:tc>
      </w:tr>
      <w:tr>
        <w:trPr>
          <w:trHeight w:val="302" w:hRule="atLeast"/>
        </w:trPr>
        <w:tc>
          <w:tcPr>
            <w:tcW w:w="3543" w:type="dxa"/>
          </w:tcPr>
          <w:p>
            <w:pPr>
              <w:pStyle w:val="TableParagraph"/>
              <w:spacing w:line="242" w:lineRule="exact" w:before="40"/>
              <w:ind w:left="62"/>
              <w:rPr>
                <w:sz w:val="24"/>
              </w:rPr>
            </w:pPr>
            <w:r>
              <w:rPr>
                <w:spacing w:val="-2"/>
                <w:sz w:val="24"/>
              </w:rPr>
              <w:t>Address:</w:t>
            </w:r>
          </w:p>
        </w:tc>
        <w:tc>
          <w:tcPr>
            <w:tcW w:w="1360" w:type="dxa"/>
          </w:tcPr>
          <w:p>
            <w:pPr>
              <w:pStyle w:val="TableParagraph"/>
              <w:rPr>
                <w:rFonts w:ascii="Times New Roman"/>
                <w:sz w:val="22"/>
              </w:rPr>
            </w:pPr>
          </w:p>
        </w:tc>
      </w:tr>
      <w:tr>
        <w:trPr>
          <w:trHeight w:val="299" w:hRule="atLeast"/>
        </w:trPr>
        <w:tc>
          <w:tcPr>
            <w:tcW w:w="3543" w:type="dxa"/>
          </w:tcPr>
          <w:p>
            <w:pPr>
              <w:pStyle w:val="TableParagraph"/>
              <w:spacing w:line="242" w:lineRule="exact" w:before="37"/>
              <w:ind w:left="62"/>
              <w:rPr>
                <w:sz w:val="24"/>
              </w:rPr>
            </w:pPr>
            <w:r>
              <w:rPr>
                <w:spacing w:val="-2"/>
                <w:sz w:val="24"/>
              </w:rPr>
              <w:t>Tel.No.:</w:t>
            </w:r>
          </w:p>
        </w:tc>
        <w:tc>
          <w:tcPr>
            <w:tcW w:w="1360" w:type="dxa"/>
          </w:tcPr>
          <w:p>
            <w:pPr>
              <w:pStyle w:val="TableParagraph"/>
              <w:rPr>
                <w:rFonts w:ascii="Times New Roman"/>
                <w:sz w:val="22"/>
              </w:rPr>
            </w:pPr>
          </w:p>
        </w:tc>
      </w:tr>
      <w:tr>
        <w:trPr>
          <w:trHeight w:val="299" w:hRule="atLeast"/>
        </w:trPr>
        <w:tc>
          <w:tcPr>
            <w:tcW w:w="3543" w:type="dxa"/>
          </w:tcPr>
          <w:p>
            <w:pPr>
              <w:pStyle w:val="TableParagraph"/>
              <w:spacing w:line="242" w:lineRule="exact" w:before="37"/>
              <w:ind w:left="62"/>
              <w:rPr>
                <w:sz w:val="24"/>
              </w:rPr>
            </w:pPr>
            <w:r>
              <w:rPr>
                <w:spacing w:val="-2"/>
                <w:sz w:val="24"/>
              </w:rPr>
              <w:t>Signature:</w:t>
            </w:r>
          </w:p>
        </w:tc>
        <w:tc>
          <w:tcPr>
            <w:tcW w:w="1360" w:type="dxa"/>
          </w:tcPr>
          <w:p>
            <w:pPr>
              <w:pStyle w:val="TableParagraph"/>
              <w:rPr>
                <w:rFonts w:ascii="Times New Roman"/>
                <w:sz w:val="22"/>
              </w:rPr>
            </w:pPr>
          </w:p>
        </w:tc>
      </w:tr>
      <w:tr>
        <w:trPr>
          <w:trHeight w:val="299" w:hRule="atLeast"/>
        </w:trPr>
        <w:tc>
          <w:tcPr>
            <w:tcW w:w="3543" w:type="dxa"/>
          </w:tcPr>
          <w:p>
            <w:pPr>
              <w:pStyle w:val="TableParagraph"/>
              <w:spacing w:line="242" w:lineRule="exact" w:before="37"/>
              <w:ind w:left="62"/>
              <w:rPr>
                <w:sz w:val="24"/>
              </w:rPr>
            </w:pPr>
            <w:r>
              <w:rPr>
                <w:spacing w:val="-4"/>
                <w:sz w:val="24"/>
              </w:rPr>
              <w:t>Date:</w:t>
            </w:r>
          </w:p>
        </w:tc>
        <w:tc>
          <w:tcPr>
            <w:tcW w:w="1360" w:type="dxa"/>
          </w:tcPr>
          <w:p>
            <w:pPr>
              <w:pStyle w:val="TableParagraph"/>
              <w:rPr>
                <w:rFonts w:ascii="Times New Roman"/>
                <w:sz w:val="22"/>
              </w:rPr>
            </w:pPr>
          </w:p>
        </w:tc>
      </w:tr>
    </w:tbl>
    <w:p>
      <w:pPr>
        <w:pStyle w:val="BodyText"/>
        <w:spacing w:before="40"/>
        <w:ind w:left="1906"/>
        <w:jc w:val="left"/>
      </w:pPr>
      <w:r>
        <w:rPr>
          <w:spacing w:val="-2"/>
        </w:rPr>
        <w:t>C.C.to:</w:t>
      </w:r>
    </w:p>
    <w:p>
      <w:pPr>
        <w:pStyle w:val="ListParagraph"/>
        <w:numPr>
          <w:ilvl w:val="0"/>
          <w:numId w:val="380"/>
        </w:numPr>
        <w:tabs>
          <w:tab w:pos="2135" w:val="left" w:leader="none"/>
        </w:tabs>
        <w:spacing w:line="240" w:lineRule="auto" w:before="42" w:after="0"/>
        <w:ind w:left="2135" w:right="0" w:hanging="229"/>
        <w:jc w:val="left"/>
        <w:rPr>
          <w:sz w:val="24"/>
        </w:rPr>
      </w:pPr>
      <w:r>
        <w:rPr>
          <w:spacing w:val="-2"/>
          <w:sz w:val="24"/>
        </w:rPr>
        <w:t>Owner.</w:t>
      </w:r>
    </w:p>
    <w:p>
      <w:pPr>
        <w:pStyle w:val="ListParagraph"/>
        <w:numPr>
          <w:ilvl w:val="0"/>
          <w:numId w:val="380"/>
        </w:numPr>
        <w:tabs>
          <w:tab w:pos="2135" w:val="left" w:leader="none"/>
        </w:tabs>
        <w:spacing w:line="240" w:lineRule="auto" w:before="40" w:after="0"/>
        <w:ind w:left="2135" w:right="0" w:hanging="229"/>
        <w:jc w:val="left"/>
        <w:rPr>
          <w:sz w:val="24"/>
        </w:rPr>
      </w:pPr>
      <w:r>
        <w:rPr>
          <w:sz w:val="24"/>
        </w:rPr>
        <w:t>Architect/Licensed-</w:t>
      </w:r>
      <w:r>
        <w:rPr>
          <w:spacing w:val="-2"/>
          <w:sz w:val="24"/>
        </w:rPr>
        <w:t>Surveyor</w:t>
      </w:r>
    </w:p>
    <w:p>
      <w:pPr>
        <w:pStyle w:val="ListParagraph"/>
        <w:spacing w:after="0" w:line="240" w:lineRule="auto"/>
        <w:jc w:val="left"/>
        <w:rPr>
          <w:sz w:val="24"/>
        </w:rPr>
        <w:sectPr>
          <w:type w:val="continuous"/>
          <w:pgSz w:w="11910" w:h="16850"/>
          <w:pgMar w:header="1022" w:footer="1070" w:top="1360" w:bottom="280" w:left="360" w:right="360"/>
        </w:sectPr>
      </w:pPr>
    </w:p>
    <w:p>
      <w:pPr>
        <w:pStyle w:val="Heading4"/>
        <w:spacing w:before="278"/>
        <w:ind w:left="1190"/>
      </w:pPr>
      <w:r>
        <w:rPr>
          <w:spacing w:val="-2"/>
        </w:rPr>
        <w:t>ANNEXURE</w:t>
      </w:r>
      <w:r>
        <w:rPr>
          <w:spacing w:val="-14"/>
        </w:rPr>
        <w:t> </w:t>
      </w:r>
      <w:r>
        <w:rPr>
          <w:spacing w:val="-10"/>
        </w:rPr>
        <w:t>9</w:t>
      </w:r>
    </w:p>
    <w:p>
      <w:pPr>
        <w:pStyle w:val="BodyText"/>
        <w:spacing w:line="446" w:lineRule="auto" w:before="239"/>
        <w:ind w:left="4568" w:right="3380"/>
        <w:jc w:val="center"/>
      </w:pPr>
      <w:r>
        <w:rPr/>
        <w:t>[Regulations</w:t>
      </w:r>
      <w:r>
        <w:rPr>
          <w:spacing w:val="-12"/>
        </w:rPr>
        <w:t> </w:t>
      </w:r>
      <w:r>
        <w:rPr/>
        <w:t>10</w:t>
      </w:r>
      <w:r>
        <w:rPr>
          <w:spacing w:val="-12"/>
        </w:rPr>
        <w:t> </w:t>
      </w:r>
      <w:r>
        <w:rPr/>
        <w:t>(3)</w:t>
      </w:r>
      <w:r>
        <w:rPr>
          <w:spacing w:val="-12"/>
        </w:rPr>
        <w:t> </w:t>
      </w:r>
      <w:r>
        <w:rPr/>
        <w:t>(ix)] Form for Supervision</w:t>
      </w:r>
    </w:p>
    <w:p>
      <w:pPr>
        <w:pStyle w:val="BodyText"/>
        <w:spacing w:line="278" w:lineRule="exact"/>
        <w:ind w:left="1906"/>
        <w:jc w:val="left"/>
      </w:pPr>
      <w:r>
        <w:rPr>
          <w:spacing w:val="-5"/>
        </w:rPr>
        <w:t>To</w:t>
      </w:r>
    </w:p>
    <w:p>
      <w:pPr>
        <w:pStyle w:val="BodyText"/>
        <w:spacing w:before="1"/>
        <w:ind w:left="1906" w:right="4257"/>
        <w:jc w:val="left"/>
      </w:pPr>
      <w:r>
        <w:rPr/>
        <w:t>The …………………………………… Municipal</w:t>
      </w:r>
      <w:r>
        <w:rPr>
          <w:spacing w:val="-10"/>
        </w:rPr>
        <w:t> </w:t>
      </w:r>
      <w:r>
        <w:rPr/>
        <w:t>Corporation</w:t>
      </w:r>
      <w:r>
        <w:rPr>
          <w:spacing w:val="-9"/>
        </w:rPr>
        <w:t> </w:t>
      </w:r>
      <w:r>
        <w:rPr/>
        <w:t>of</w:t>
      </w:r>
      <w:r>
        <w:rPr>
          <w:spacing w:val="-9"/>
        </w:rPr>
        <w:t> </w:t>
      </w:r>
      <w:r>
        <w:rPr/>
        <w:t>Greater</w:t>
      </w:r>
      <w:r>
        <w:rPr>
          <w:spacing w:val="-9"/>
        </w:rPr>
        <w:t> </w:t>
      </w:r>
      <w:r>
        <w:rPr/>
        <w:t>Mumbai, </w:t>
      </w:r>
      <w:r>
        <w:rPr>
          <w:spacing w:val="-2"/>
        </w:rPr>
        <w:t>Mumbai.</w:t>
      </w:r>
    </w:p>
    <w:p>
      <w:pPr>
        <w:pStyle w:val="BodyText"/>
        <w:spacing w:line="281" w:lineRule="exact"/>
        <w:ind w:left="1906"/>
        <w:jc w:val="left"/>
      </w:pPr>
      <w:r>
        <w:rPr>
          <w:spacing w:val="-4"/>
        </w:rPr>
        <w:t>Sir,</w:t>
      </w:r>
    </w:p>
    <w:p>
      <w:pPr>
        <w:pStyle w:val="BodyText"/>
        <w:spacing w:before="240"/>
        <w:ind w:left="1906" w:right="718" w:firstLine="384"/>
      </w:pPr>
      <w:r>
        <w:rPr/>
        <w:t>The development/erection/re-erection/demolition or material alteration of the building ………………………….. on Plot No./C.S. No./C.T.S. No. …………………… of Division/village/Town Planning Scheme No. …………………………………. situated at Road/Street………………………………….ward……………………..will </w:t>
      </w:r>
      <w:r>
        <w:rPr/>
        <w:t>be carried</w:t>
      </w:r>
      <w:r>
        <w:rPr>
          <w:spacing w:val="-3"/>
        </w:rPr>
        <w:t> </w:t>
      </w:r>
      <w:r>
        <w:rPr/>
        <w:t>out</w:t>
      </w:r>
      <w:r>
        <w:rPr>
          <w:spacing w:val="-3"/>
        </w:rPr>
        <w:t> </w:t>
      </w:r>
      <w:r>
        <w:rPr/>
        <w:t>under</w:t>
      </w:r>
      <w:r>
        <w:rPr>
          <w:spacing w:val="-6"/>
        </w:rPr>
        <w:t> </w:t>
      </w:r>
      <w:r>
        <w:rPr/>
        <w:t>my</w:t>
      </w:r>
      <w:r>
        <w:rPr>
          <w:spacing w:val="-3"/>
        </w:rPr>
        <w:t> </w:t>
      </w:r>
      <w:r>
        <w:rPr/>
        <w:t>supervision.</w:t>
      </w:r>
      <w:r>
        <w:rPr>
          <w:spacing w:val="40"/>
        </w:rPr>
        <w:t> </w:t>
      </w:r>
      <w:r>
        <w:rPr/>
        <w:t>All</w:t>
      </w:r>
      <w:r>
        <w:rPr>
          <w:spacing w:val="-3"/>
        </w:rPr>
        <w:t> </w:t>
      </w:r>
      <w:r>
        <w:rPr/>
        <w:t>the</w:t>
      </w:r>
      <w:r>
        <w:rPr>
          <w:spacing w:val="-6"/>
        </w:rPr>
        <w:t> </w:t>
      </w:r>
      <w:r>
        <w:rPr/>
        <w:t>materials</w:t>
      </w:r>
      <w:r>
        <w:rPr>
          <w:spacing w:val="-3"/>
        </w:rPr>
        <w:t> </w:t>
      </w:r>
      <w:r>
        <w:rPr/>
        <w:t>(type</w:t>
      </w:r>
      <w:r>
        <w:rPr>
          <w:spacing w:val="-6"/>
        </w:rPr>
        <w:t> </w:t>
      </w:r>
      <w:r>
        <w:rPr/>
        <w:t>and</w:t>
      </w:r>
      <w:r>
        <w:rPr>
          <w:spacing w:val="-3"/>
        </w:rPr>
        <w:t> </w:t>
      </w:r>
      <w:r>
        <w:rPr/>
        <w:t>grade)</w:t>
      </w:r>
      <w:r>
        <w:rPr>
          <w:spacing w:val="-6"/>
        </w:rPr>
        <w:t> </w:t>
      </w:r>
      <w:r>
        <w:rPr/>
        <w:t>and the workmanship of the work will generally tally with the general specifications</w:t>
      </w:r>
      <w:r>
        <w:rPr>
          <w:spacing w:val="-15"/>
        </w:rPr>
        <w:t> </w:t>
      </w:r>
      <w:r>
        <w:rPr/>
        <w:t>submitted</w:t>
      </w:r>
      <w:r>
        <w:rPr>
          <w:spacing w:val="-15"/>
        </w:rPr>
        <w:t> </w:t>
      </w:r>
      <w:r>
        <w:rPr/>
        <w:t>along</w:t>
      </w:r>
      <w:r>
        <w:rPr>
          <w:spacing w:val="-15"/>
        </w:rPr>
        <w:t> </w:t>
      </w:r>
      <w:r>
        <w:rPr/>
        <w:t>with</w:t>
      </w:r>
      <w:r>
        <w:rPr>
          <w:spacing w:val="-15"/>
        </w:rPr>
        <w:t> </w:t>
      </w:r>
      <w:r>
        <w:rPr/>
        <w:t>the</w:t>
      </w:r>
      <w:r>
        <w:rPr>
          <w:spacing w:val="-13"/>
        </w:rPr>
        <w:t> </w:t>
      </w:r>
      <w:r>
        <w:rPr/>
        <w:t>plans</w:t>
      </w:r>
      <w:r>
        <w:rPr>
          <w:spacing w:val="-15"/>
        </w:rPr>
        <w:t> </w:t>
      </w:r>
      <w:r>
        <w:rPr/>
        <w:t>and</w:t>
      </w:r>
      <w:r>
        <w:rPr>
          <w:spacing w:val="-15"/>
        </w:rPr>
        <w:t> </w:t>
      </w:r>
      <w:r>
        <w:rPr/>
        <w:t>the</w:t>
      </w:r>
      <w:r>
        <w:rPr>
          <w:spacing w:val="-15"/>
        </w:rPr>
        <w:t> </w:t>
      </w:r>
      <w:r>
        <w:rPr/>
        <w:t>work</w:t>
      </w:r>
      <w:r>
        <w:rPr>
          <w:spacing w:val="-13"/>
        </w:rPr>
        <w:t> </w:t>
      </w:r>
      <w:r>
        <w:rPr/>
        <w:t>will</w:t>
      </w:r>
      <w:r>
        <w:rPr>
          <w:spacing w:val="-15"/>
        </w:rPr>
        <w:t> </w:t>
      </w:r>
      <w:r>
        <w:rPr/>
        <w:t>be</w:t>
      </w:r>
      <w:r>
        <w:rPr>
          <w:spacing w:val="-15"/>
        </w:rPr>
        <w:t> </w:t>
      </w:r>
      <w:r>
        <w:rPr/>
        <w:t>carried out according to the sanctioned plans.</w:t>
      </w:r>
      <w:r>
        <w:rPr>
          <w:spacing w:val="40"/>
        </w:rPr>
        <w:t> </w:t>
      </w:r>
      <w:r>
        <w:rPr/>
        <w:t>I shall be responsible for the execution of the work in all respects.</w:t>
      </w:r>
    </w:p>
    <w:p>
      <w:pPr>
        <w:pStyle w:val="BodyText"/>
        <w:jc w:val="left"/>
      </w:pPr>
    </w:p>
    <w:p>
      <w:pPr>
        <w:pStyle w:val="BodyText"/>
        <w:spacing w:before="198"/>
        <w:jc w:val="left"/>
      </w:pPr>
    </w:p>
    <w:p>
      <w:pPr>
        <w:pStyle w:val="BodyText"/>
        <w:ind w:left="7974"/>
        <w:jc w:val="left"/>
      </w:pPr>
      <w:r>
        <w:rPr/>
        <w:t>Yours </w:t>
      </w:r>
      <w:r>
        <w:rPr>
          <w:spacing w:val="-2"/>
        </w:rPr>
        <w:t>faithfully,</w:t>
      </w:r>
    </w:p>
    <w:p>
      <w:pPr>
        <w:pStyle w:val="BodyText"/>
        <w:spacing w:line="290" w:lineRule="auto" w:before="242"/>
        <w:ind w:left="5257" w:firstLine="76"/>
        <w:jc w:val="left"/>
      </w:pPr>
      <w:r>
        <w:rPr/>
        <w:t>Signature</w:t>
      </w:r>
      <w:r>
        <w:rPr>
          <w:spacing w:val="-11"/>
        </w:rPr>
        <w:t> </w:t>
      </w:r>
      <w:r>
        <w:rPr/>
        <w:t>of</w:t>
      </w:r>
      <w:r>
        <w:rPr>
          <w:spacing w:val="-11"/>
        </w:rPr>
        <w:t> </w:t>
      </w:r>
      <w:r>
        <w:rPr/>
        <w:t>Licensed/</w:t>
      </w:r>
      <w:r>
        <w:rPr>
          <w:spacing w:val="-11"/>
        </w:rPr>
        <w:t> </w:t>
      </w:r>
      <w:r>
        <w:rPr/>
        <w:t>Surveyor/Engineer/ Structural Engineer/supervisor of </w:t>
      </w:r>
      <w:r>
        <w:rPr>
          <w:spacing w:val="-2"/>
        </w:rPr>
        <w:t>Architect.</w:t>
      </w:r>
    </w:p>
    <w:p>
      <w:pPr>
        <w:pStyle w:val="BodyText"/>
        <w:spacing w:line="281" w:lineRule="exact" w:before="2"/>
        <w:ind w:left="8051"/>
        <w:jc w:val="left"/>
      </w:pPr>
      <w:r>
        <w:rPr>
          <w:spacing w:val="-2"/>
        </w:rPr>
        <w:t>Name:</w:t>
      </w:r>
    </w:p>
    <w:p>
      <w:pPr>
        <w:pStyle w:val="BodyText"/>
        <w:spacing w:after="0" w:line="281" w:lineRule="exact"/>
        <w:jc w:val="left"/>
        <w:sectPr>
          <w:headerReference w:type="default" r:id="rId96"/>
          <w:footerReference w:type="default" r:id="rId97"/>
          <w:pgSz w:w="11910" w:h="16850"/>
          <w:pgMar w:header="1022" w:footer="1070" w:top="1460" w:bottom="1260" w:left="360" w:right="360"/>
        </w:sectPr>
      </w:pPr>
    </w:p>
    <w:p>
      <w:pPr>
        <w:pStyle w:val="BodyText"/>
        <w:tabs>
          <w:tab w:pos="4209" w:val="left" w:leader="dot"/>
        </w:tabs>
        <w:ind w:left="1906"/>
        <w:jc w:val="left"/>
      </w:pPr>
      <w:r>
        <w:rPr>
          <w:spacing w:val="-10"/>
        </w:rPr>
        <w:t>…</w:t>
      </w:r>
      <w:r>
        <w:rPr>
          <w:rFonts w:ascii="Times New Roman" w:hAnsi="Times New Roman"/>
        </w:rPr>
        <w:tab/>
      </w:r>
      <w:r>
        <w:rPr/>
        <w:t>(in</w:t>
      </w:r>
      <w:r>
        <w:rPr>
          <w:spacing w:val="-3"/>
        </w:rPr>
        <w:t> </w:t>
      </w:r>
      <w:r>
        <w:rPr/>
        <w:t>block</w:t>
      </w:r>
      <w:r>
        <w:rPr>
          <w:spacing w:val="-3"/>
        </w:rPr>
        <w:t> </w:t>
      </w:r>
      <w:r>
        <w:rPr>
          <w:spacing w:val="-2"/>
        </w:rPr>
        <w:t>letters)</w:t>
      </w:r>
    </w:p>
    <w:p>
      <w:pPr>
        <w:spacing w:line="240" w:lineRule="auto" w:before="59"/>
        <w:rPr>
          <w:sz w:val="24"/>
        </w:rPr>
      </w:pPr>
      <w:r>
        <w:rPr/>
        <w:br w:type="column"/>
      </w:r>
      <w:r>
        <w:rPr>
          <w:sz w:val="24"/>
        </w:rPr>
      </w:r>
    </w:p>
    <w:p>
      <w:pPr>
        <w:pStyle w:val="BodyText"/>
        <w:spacing w:line="292" w:lineRule="auto"/>
        <w:ind w:left="124" w:right="232"/>
        <w:jc w:val="left"/>
      </w:pPr>
      <w:r>
        <w:rPr/>
        <w:t>License</w:t>
      </w:r>
      <w:r>
        <w:rPr>
          <w:spacing w:val="-18"/>
        </w:rPr>
        <w:t> </w:t>
      </w:r>
      <w:r>
        <w:rPr/>
        <w:t>No:</w:t>
      </w:r>
      <w:r>
        <w:rPr>
          <w:spacing w:val="-18"/>
        </w:rPr>
        <w:t> </w:t>
      </w:r>
      <w:r>
        <w:rPr/>
        <w:t>……………………….. Address: ………………………..</w:t>
      </w:r>
    </w:p>
    <w:p>
      <w:pPr>
        <w:pStyle w:val="BodyText"/>
        <w:spacing w:line="278" w:lineRule="exact"/>
        <w:ind w:left="124"/>
        <w:jc w:val="left"/>
      </w:pPr>
      <w:r>
        <w:rPr/>
        <w:t>Date:</w:t>
      </w:r>
      <w:r>
        <w:rPr>
          <w:spacing w:val="76"/>
        </w:rPr>
        <w:t> </w:t>
      </w:r>
      <w:r>
        <w:rPr>
          <w:spacing w:val="-2"/>
        </w:rPr>
        <w:t>………………………</w:t>
      </w:r>
    </w:p>
    <w:p>
      <w:pPr>
        <w:pStyle w:val="BodyText"/>
        <w:spacing w:after="0" w:line="278" w:lineRule="exact"/>
        <w:jc w:val="left"/>
        <w:sectPr>
          <w:type w:val="continuous"/>
          <w:pgSz w:w="11910" w:h="16850"/>
          <w:pgMar w:header="1022" w:footer="1070" w:top="1360" w:bottom="280" w:left="360" w:right="360"/>
          <w:cols w:num="2" w:equalWidth="0">
            <w:col w:w="6102" w:space="40"/>
            <w:col w:w="5048"/>
          </w:cols>
        </w:sectPr>
      </w:pPr>
    </w:p>
    <w:p>
      <w:pPr>
        <w:pStyle w:val="BodyText"/>
        <w:jc w:val="left"/>
      </w:pPr>
    </w:p>
    <w:p>
      <w:pPr>
        <w:pStyle w:val="BodyText"/>
        <w:spacing w:before="235"/>
        <w:jc w:val="left"/>
      </w:pPr>
    </w:p>
    <w:p>
      <w:pPr>
        <w:pStyle w:val="Heading4"/>
        <w:ind w:left="813" w:right="814" w:firstLine="5"/>
      </w:pPr>
      <w:r>
        <w:rPr>
          <w:spacing w:val="-2"/>
        </w:rPr>
        <w:t>ANNEXURE–10 DETAILSOFTHEQUALIFICATION,DUTIES,RESPONSIBILITIESANDREGISTRAT IONPROCESS</w:t>
      </w:r>
    </w:p>
    <w:p>
      <w:pPr>
        <w:pStyle w:val="BodyText"/>
        <w:spacing w:before="8"/>
        <w:jc w:val="left"/>
        <w:rPr>
          <w:b/>
          <w:sz w:val="20"/>
        </w:rPr>
      </w:pPr>
    </w:p>
    <w:tbl>
      <w:tblPr>
        <w:tblW w:w="0" w:type="auto"/>
        <w:jc w:val="left"/>
        <w:tblInd w:w="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1152"/>
        <w:gridCol w:w="2785"/>
        <w:gridCol w:w="1465"/>
        <w:gridCol w:w="1645"/>
        <w:gridCol w:w="1748"/>
      </w:tblGrid>
      <w:tr>
        <w:trPr>
          <w:trHeight w:val="635" w:hRule="atLeast"/>
        </w:trPr>
        <w:tc>
          <w:tcPr>
            <w:tcW w:w="559" w:type="dxa"/>
            <w:shd w:val="clear" w:color="auto" w:fill="E7E6E6"/>
          </w:tcPr>
          <w:p>
            <w:pPr>
              <w:pStyle w:val="TableParagraph"/>
              <w:spacing w:before="94"/>
              <w:ind w:left="107" w:right="150"/>
              <w:rPr>
                <w:sz w:val="20"/>
              </w:rPr>
            </w:pPr>
            <w:r>
              <w:rPr>
                <w:spacing w:val="-4"/>
                <w:sz w:val="20"/>
              </w:rPr>
              <w:t>Sr. </w:t>
            </w:r>
            <w:r>
              <w:rPr>
                <w:spacing w:val="-5"/>
                <w:sz w:val="20"/>
              </w:rPr>
              <w:t>No</w:t>
            </w:r>
          </w:p>
        </w:tc>
        <w:tc>
          <w:tcPr>
            <w:tcW w:w="1152" w:type="dxa"/>
            <w:shd w:val="clear" w:color="auto" w:fill="E7E6E6"/>
          </w:tcPr>
          <w:p>
            <w:pPr>
              <w:pStyle w:val="TableParagraph"/>
              <w:spacing w:before="94"/>
              <w:ind w:left="107" w:right="161"/>
              <w:rPr>
                <w:sz w:val="20"/>
              </w:rPr>
            </w:pPr>
            <w:r>
              <w:rPr>
                <w:spacing w:val="-2"/>
                <w:sz w:val="20"/>
              </w:rPr>
              <w:t>Professio </w:t>
            </w:r>
            <w:r>
              <w:rPr>
                <w:spacing w:val="-4"/>
                <w:sz w:val="20"/>
              </w:rPr>
              <w:t>nals</w:t>
            </w:r>
          </w:p>
        </w:tc>
        <w:tc>
          <w:tcPr>
            <w:tcW w:w="2785" w:type="dxa"/>
            <w:shd w:val="clear" w:color="auto" w:fill="E7E6E6"/>
          </w:tcPr>
          <w:p>
            <w:pPr>
              <w:pStyle w:val="TableParagraph"/>
              <w:spacing w:before="94"/>
              <w:ind w:left="107"/>
              <w:rPr>
                <w:sz w:val="20"/>
              </w:rPr>
            </w:pPr>
            <w:r>
              <w:rPr>
                <w:spacing w:val="-2"/>
                <w:sz w:val="20"/>
              </w:rPr>
              <w:t>Qualification</w:t>
            </w:r>
          </w:p>
        </w:tc>
        <w:tc>
          <w:tcPr>
            <w:tcW w:w="1465" w:type="dxa"/>
            <w:shd w:val="clear" w:color="auto" w:fill="E7E6E6"/>
          </w:tcPr>
          <w:p>
            <w:pPr>
              <w:pStyle w:val="TableParagraph"/>
              <w:spacing w:before="94"/>
              <w:ind w:left="107"/>
              <w:rPr>
                <w:sz w:val="20"/>
              </w:rPr>
            </w:pPr>
            <w:r>
              <w:rPr>
                <w:spacing w:val="-2"/>
                <w:sz w:val="20"/>
              </w:rPr>
              <w:t>Registration</w:t>
            </w:r>
          </w:p>
        </w:tc>
        <w:tc>
          <w:tcPr>
            <w:tcW w:w="1645" w:type="dxa"/>
            <w:shd w:val="clear" w:color="auto" w:fill="E7E6E6"/>
          </w:tcPr>
          <w:p>
            <w:pPr>
              <w:pStyle w:val="TableParagraph"/>
              <w:spacing w:before="94"/>
              <w:ind w:left="106"/>
              <w:rPr>
                <w:sz w:val="20"/>
              </w:rPr>
            </w:pPr>
            <w:r>
              <w:rPr>
                <w:spacing w:val="-2"/>
                <w:sz w:val="20"/>
              </w:rPr>
              <w:t>Duties</w:t>
            </w:r>
          </w:p>
        </w:tc>
        <w:tc>
          <w:tcPr>
            <w:tcW w:w="1748" w:type="dxa"/>
            <w:shd w:val="clear" w:color="auto" w:fill="E7E6E6"/>
          </w:tcPr>
          <w:p>
            <w:pPr>
              <w:pStyle w:val="TableParagraph"/>
              <w:spacing w:before="94"/>
              <w:ind w:left="106"/>
              <w:rPr>
                <w:sz w:val="20"/>
              </w:rPr>
            </w:pPr>
            <w:r>
              <w:rPr>
                <w:spacing w:val="-2"/>
                <w:sz w:val="20"/>
              </w:rPr>
              <w:t>Responsibilities</w:t>
            </w:r>
          </w:p>
        </w:tc>
      </w:tr>
      <w:tr>
        <w:trPr>
          <w:trHeight w:val="7735" w:hRule="atLeast"/>
        </w:trPr>
        <w:tc>
          <w:tcPr>
            <w:tcW w:w="559" w:type="dxa"/>
          </w:tcPr>
          <w:p>
            <w:pPr>
              <w:pStyle w:val="TableParagraph"/>
              <w:spacing w:before="97"/>
              <w:ind w:left="107"/>
              <w:rPr>
                <w:sz w:val="20"/>
              </w:rPr>
            </w:pPr>
            <w:r>
              <w:rPr>
                <w:spacing w:val="-10"/>
                <w:sz w:val="20"/>
              </w:rPr>
              <w:t>1</w:t>
            </w:r>
          </w:p>
        </w:tc>
        <w:tc>
          <w:tcPr>
            <w:tcW w:w="1152" w:type="dxa"/>
          </w:tcPr>
          <w:p>
            <w:pPr>
              <w:pStyle w:val="TableParagraph"/>
              <w:spacing w:before="97"/>
              <w:ind w:left="55"/>
              <w:rPr>
                <w:sz w:val="20"/>
              </w:rPr>
            </w:pPr>
            <w:r>
              <w:rPr>
                <w:spacing w:val="-2"/>
                <w:sz w:val="20"/>
              </w:rPr>
              <w:t>Architect</w:t>
            </w:r>
          </w:p>
        </w:tc>
        <w:tc>
          <w:tcPr>
            <w:tcW w:w="2785" w:type="dxa"/>
          </w:tcPr>
          <w:p>
            <w:pPr>
              <w:pStyle w:val="TableParagraph"/>
              <w:spacing w:before="97"/>
              <w:ind w:left="107" w:right="165"/>
              <w:rPr>
                <w:sz w:val="20"/>
              </w:rPr>
            </w:pPr>
            <w:r>
              <w:rPr>
                <w:spacing w:val="-2"/>
                <w:sz w:val="20"/>
              </w:rPr>
              <w:t>TheArchitectmusthave </w:t>
            </w:r>
            <w:r>
              <w:rPr>
                <w:sz w:val="20"/>
              </w:rPr>
              <w:t>degree in architecture from recognized college/ university and minimum of</w:t>
            </w:r>
            <w:r>
              <w:rPr>
                <w:spacing w:val="-11"/>
                <w:sz w:val="20"/>
              </w:rPr>
              <w:t> </w:t>
            </w:r>
            <w:r>
              <w:rPr>
                <w:sz w:val="20"/>
              </w:rPr>
              <w:t>two</w:t>
            </w:r>
            <w:r>
              <w:rPr>
                <w:spacing w:val="-13"/>
                <w:sz w:val="20"/>
              </w:rPr>
              <w:t> </w:t>
            </w:r>
            <w:r>
              <w:rPr>
                <w:sz w:val="20"/>
              </w:rPr>
              <w:t>years</w:t>
            </w:r>
            <w:r>
              <w:rPr>
                <w:spacing w:val="-12"/>
                <w:sz w:val="20"/>
              </w:rPr>
              <w:t> </w:t>
            </w:r>
            <w:r>
              <w:rPr>
                <w:sz w:val="20"/>
              </w:rPr>
              <w:t>of</w:t>
            </w:r>
            <w:r>
              <w:rPr>
                <w:spacing w:val="-10"/>
                <w:sz w:val="20"/>
              </w:rPr>
              <w:t> </w:t>
            </w:r>
            <w:r>
              <w:rPr>
                <w:sz w:val="20"/>
              </w:rPr>
              <w:t>experience in a practice of </w:t>
            </w:r>
            <w:r>
              <w:rPr>
                <w:spacing w:val="-2"/>
                <w:sz w:val="20"/>
              </w:rPr>
              <w:t>architecture.</w:t>
            </w:r>
          </w:p>
        </w:tc>
        <w:tc>
          <w:tcPr>
            <w:tcW w:w="1465" w:type="dxa"/>
          </w:tcPr>
          <w:p>
            <w:pPr>
              <w:pStyle w:val="TableParagraph"/>
              <w:spacing w:before="97"/>
              <w:ind w:left="107" w:right="118"/>
              <w:rPr>
                <w:sz w:val="20"/>
              </w:rPr>
            </w:pPr>
            <w:r>
              <w:rPr>
                <w:spacing w:val="-2"/>
                <w:sz w:val="20"/>
              </w:rPr>
              <w:t>Registration withtheCou ncilofArchite cture, India,issued </w:t>
            </w:r>
            <w:r>
              <w:rPr>
                <w:sz w:val="20"/>
              </w:rPr>
              <w:t>as per the pro- visions of the </w:t>
            </w:r>
            <w:r>
              <w:rPr>
                <w:spacing w:val="-2"/>
                <w:sz w:val="20"/>
              </w:rPr>
              <w:t>ArchitectsAc </w:t>
            </w:r>
            <w:r>
              <w:rPr>
                <w:sz w:val="20"/>
              </w:rPr>
              <w:t>t, 1972</w:t>
            </w:r>
          </w:p>
        </w:tc>
        <w:tc>
          <w:tcPr>
            <w:tcW w:w="1645" w:type="dxa"/>
          </w:tcPr>
          <w:p>
            <w:pPr>
              <w:pStyle w:val="TableParagraph"/>
              <w:tabs>
                <w:tab w:pos="896" w:val="left" w:leader="none"/>
                <w:tab w:pos="1218" w:val="left" w:leader="none"/>
              </w:tabs>
              <w:spacing w:before="97"/>
              <w:ind w:left="106" w:right="226"/>
              <w:rPr>
                <w:sz w:val="20"/>
              </w:rPr>
            </w:pPr>
            <w:r>
              <w:rPr>
                <w:sz w:val="20"/>
              </w:rPr>
              <w:t>Todesign</w:t>
            </w:r>
            <w:r>
              <w:rPr>
                <w:spacing w:val="-16"/>
                <w:sz w:val="20"/>
              </w:rPr>
              <w:t> </w:t>
            </w:r>
            <w:r>
              <w:rPr>
                <w:sz w:val="20"/>
              </w:rPr>
              <w:t>and </w:t>
            </w:r>
            <w:r>
              <w:rPr>
                <w:spacing w:val="-2"/>
                <w:sz w:val="20"/>
              </w:rPr>
              <w:t>carry outwork related</w:t>
            </w:r>
            <w:r>
              <w:rPr>
                <w:sz w:val="20"/>
              </w:rPr>
              <w:tab/>
              <w:tab/>
            </w:r>
            <w:r>
              <w:rPr>
                <w:spacing w:val="-6"/>
                <w:sz w:val="20"/>
              </w:rPr>
              <w:t>to </w:t>
            </w:r>
            <w:r>
              <w:rPr>
                <w:spacing w:val="-2"/>
                <w:sz w:val="20"/>
              </w:rPr>
              <w:t>development permission</w:t>
            </w:r>
            <w:r>
              <w:rPr>
                <w:spacing w:val="40"/>
                <w:sz w:val="20"/>
              </w:rPr>
              <w:t> </w:t>
            </w:r>
            <w:r>
              <w:rPr>
                <w:spacing w:val="-6"/>
                <w:sz w:val="20"/>
              </w:rPr>
              <w:t>as</w:t>
            </w:r>
            <w:r>
              <w:rPr>
                <w:sz w:val="20"/>
              </w:rPr>
              <w:tab/>
            </w:r>
            <w:r>
              <w:rPr>
                <w:spacing w:val="-2"/>
                <w:sz w:val="20"/>
              </w:rPr>
              <w:t>given </w:t>
            </w:r>
            <w:r>
              <w:rPr>
                <w:sz w:val="20"/>
              </w:rPr>
              <w:t>below and to </w:t>
            </w:r>
            <w:r>
              <w:rPr>
                <w:spacing w:val="-2"/>
                <w:sz w:val="20"/>
              </w:rPr>
              <w:t>submit</w:t>
            </w:r>
          </w:p>
          <w:p>
            <w:pPr>
              <w:pStyle w:val="TableParagraph"/>
              <w:numPr>
                <w:ilvl w:val="0"/>
                <w:numId w:val="381"/>
              </w:numPr>
              <w:tabs>
                <w:tab w:pos="663" w:val="left" w:leader="none"/>
              </w:tabs>
              <w:spacing w:line="240" w:lineRule="auto" w:before="95" w:after="0"/>
              <w:ind w:left="106" w:right="86" w:firstLine="0"/>
              <w:jc w:val="left"/>
              <w:rPr>
                <w:sz w:val="20"/>
              </w:rPr>
            </w:pPr>
            <w:r>
              <w:rPr>
                <w:spacing w:val="-2"/>
                <w:sz w:val="20"/>
              </w:rPr>
              <w:t>allplans/ documents/ information/ </w:t>
            </w:r>
            <w:r>
              <w:rPr>
                <w:spacing w:val="-4"/>
                <w:sz w:val="20"/>
              </w:rPr>
              <w:t>area </w:t>
            </w:r>
            <w:r>
              <w:rPr>
                <w:spacing w:val="-2"/>
                <w:sz w:val="20"/>
              </w:rPr>
              <w:t>certification </w:t>
            </w:r>
            <w:r>
              <w:rPr>
                <w:sz w:val="20"/>
              </w:rPr>
              <w:t>&amp;other details</w:t>
            </w:r>
          </w:p>
          <w:p>
            <w:pPr>
              <w:pStyle w:val="TableParagraph"/>
              <w:spacing w:before="96"/>
              <w:ind w:left="106"/>
              <w:rPr>
                <w:sz w:val="20"/>
              </w:rPr>
            </w:pPr>
            <w:r>
              <w:rPr>
                <w:spacing w:val="-2"/>
                <w:sz w:val="20"/>
              </w:rPr>
              <w:t>asspecifiedinD CRconnected </w:t>
            </w:r>
            <w:r>
              <w:rPr>
                <w:spacing w:val="-4"/>
                <w:sz w:val="20"/>
              </w:rPr>
              <w:t>with </w:t>
            </w:r>
            <w:r>
              <w:rPr>
                <w:spacing w:val="-2"/>
                <w:sz w:val="20"/>
              </w:rPr>
              <w:t>development permission;</w:t>
            </w:r>
          </w:p>
          <w:p>
            <w:pPr>
              <w:pStyle w:val="TableParagraph"/>
              <w:numPr>
                <w:ilvl w:val="0"/>
                <w:numId w:val="381"/>
              </w:numPr>
              <w:tabs>
                <w:tab w:pos="1018" w:val="left" w:leader="none"/>
              </w:tabs>
              <w:spacing w:line="240" w:lineRule="auto" w:before="97" w:after="0"/>
              <w:ind w:left="1018" w:right="0" w:hanging="912"/>
              <w:jc w:val="left"/>
              <w:rPr>
                <w:sz w:val="20"/>
              </w:rPr>
            </w:pPr>
            <w:r>
              <w:rPr>
                <w:spacing w:val="-4"/>
                <w:sz w:val="20"/>
              </w:rPr>
              <w:t>Work</w:t>
            </w:r>
          </w:p>
          <w:p>
            <w:pPr>
              <w:pStyle w:val="TableParagraph"/>
              <w:tabs>
                <w:tab w:pos="1109" w:val="left" w:leader="none"/>
                <w:tab w:pos="1270" w:val="left" w:leader="none"/>
                <w:tab w:pos="1356" w:val="left" w:leader="none"/>
              </w:tabs>
              <w:ind w:left="106" w:right="99"/>
              <w:rPr>
                <w:sz w:val="20"/>
              </w:rPr>
            </w:pPr>
            <w:r>
              <w:rPr>
                <w:spacing w:val="-2"/>
                <w:sz w:val="20"/>
              </w:rPr>
              <w:t>StartNotice Certificate ofplinth completion. Certificate</w:t>
            </w:r>
            <w:r>
              <w:rPr>
                <w:sz w:val="20"/>
              </w:rPr>
              <w:tab/>
              <w:tab/>
              <w:tab/>
            </w:r>
            <w:r>
              <w:rPr>
                <w:spacing w:val="-6"/>
                <w:sz w:val="20"/>
              </w:rPr>
              <w:t>of </w:t>
            </w:r>
            <w:r>
              <w:rPr>
                <w:spacing w:val="-2"/>
                <w:sz w:val="20"/>
              </w:rPr>
              <w:t>supervision completion certificate</w:t>
            </w:r>
            <w:r>
              <w:rPr>
                <w:sz w:val="20"/>
              </w:rPr>
              <w:tab/>
              <w:tab/>
            </w:r>
            <w:r>
              <w:rPr>
                <w:spacing w:val="-4"/>
                <w:sz w:val="20"/>
              </w:rPr>
              <w:t>for </w:t>
            </w:r>
            <w:r>
              <w:rPr>
                <w:spacing w:val="-2"/>
                <w:sz w:val="20"/>
              </w:rPr>
              <w:t>building</w:t>
            </w:r>
            <w:r>
              <w:rPr>
                <w:sz w:val="20"/>
              </w:rPr>
              <w:tab/>
            </w:r>
            <w:r>
              <w:rPr>
                <w:spacing w:val="-4"/>
                <w:sz w:val="20"/>
              </w:rPr>
              <w:t>with </w:t>
            </w:r>
            <w:r>
              <w:rPr>
                <w:spacing w:val="-2"/>
                <w:sz w:val="20"/>
              </w:rPr>
              <w:t>plans.</w:t>
            </w:r>
          </w:p>
        </w:tc>
        <w:tc>
          <w:tcPr>
            <w:tcW w:w="1748" w:type="dxa"/>
          </w:tcPr>
          <w:p>
            <w:pPr>
              <w:pStyle w:val="TableParagraph"/>
              <w:tabs>
                <w:tab w:pos="524" w:val="left" w:leader="none"/>
              </w:tabs>
              <w:spacing w:before="97"/>
              <w:ind w:left="106" w:right="100"/>
              <w:rPr>
                <w:sz w:val="20"/>
              </w:rPr>
            </w:pPr>
            <w:r>
              <w:rPr>
                <w:spacing w:val="-2"/>
                <w:sz w:val="20"/>
              </w:rPr>
              <w:t>TheArchitect/ Licensed Surveyorshallb </w:t>
            </w:r>
            <w:r>
              <w:rPr>
                <w:spacing w:val="-10"/>
                <w:sz w:val="20"/>
              </w:rPr>
              <w:t>e</w:t>
            </w:r>
            <w:r>
              <w:rPr>
                <w:sz w:val="20"/>
              </w:rPr>
              <w:tab/>
            </w:r>
            <w:r>
              <w:rPr>
                <w:spacing w:val="-2"/>
                <w:sz w:val="20"/>
              </w:rPr>
              <w:t>responsible</w:t>
            </w:r>
          </w:p>
          <w:p>
            <w:pPr>
              <w:pStyle w:val="TableParagraph"/>
              <w:tabs>
                <w:tab w:pos="706" w:val="left" w:leader="none"/>
                <w:tab w:pos="1378" w:val="left" w:leader="none"/>
              </w:tabs>
              <w:ind w:left="106" w:right="97"/>
              <w:rPr>
                <w:sz w:val="20"/>
              </w:rPr>
            </w:pPr>
            <w:r>
              <w:rPr>
                <w:spacing w:val="-4"/>
                <w:sz w:val="20"/>
              </w:rPr>
              <w:t>for</w:t>
            </w:r>
            <w:r>
              <w:rPr>
                <w:sz w:val="20"/>
              </w:rPr>
              <w:tab/>
            </w:r>
            <w:r>
              <w:rPr>
                <w:spacing w:val="-2"/>
                <w:sz w:val="20"/>
              </w:rPr>
              <w:t>designing </w:t>
            </w:r>
            <w:r>
              <w:rPr>
                <w:sz w:val="20"/>
              </w:rPr>
              <w:t>the</w:t>
            </w:r>
            <w:r>
              <w:rPr>
                <w:spacing w:val="29"/>
                <w:sz w:val="20"/>
              </w:rPr>
              <w:t> </w:t>
            </w:r>
            <w:r>
              <w:rPr>
                <w:sz w:val="20"/>
              </w:rPr>
              <w:t>building</w:t>
            </w:r>
            <w:r>
              <w:rPr>
                <w:spacing w:val="29"/>
                <w:sz w:val="20"/>
              </w:rPr>
              <w:t> </w:t>
            </w:r>
            <w:r>
              <w:rPr>
                <w:sz w:val="20"/>
              </w:rPr>
              <w:t>in conformity</w:t>
            </w:r>
            <w:r>
              <w:rPr>
                <w:spacing w:val="-16"/>
                <w:sz w:val="20"/>
              </w:rPr>
              <w:t> </w:t>
            </w:r>
            <w:r>
              <w:rPr>
                <w:sz w:val="20"/>
              </w:rPr>
              <w:t>with </w:t>
            </w:r>
            <w:r>
              <w:rPr>
                <w:spacing w:val="-2"/>
                <w:sz w:val="20"/>
              </w:rPr>
              <w:t>theseRegulatio </w:t>
            </w:r>
            <w:r>
              <w:rPr>
                <w:spacing w:val="-5"/>
                <w:sz w:val="20"/>
              </w:rPr>
              <w:t>ns,</w:t>
            </w:r>
            <w:r>
              <w:rPr>
                <w:sz w:val="20"/>
              </w:rPr>
              <w:tab/>
              <w:tab/>
            </w:r>
            <w:r>
              <w:rPr>
                <w:spacing w:val="-5"/>
                <w:sz w:val="20"/>
              </w:rPr>
              <w:t>for</w:t>
            </w:r>
          </w:p>
          <w:p>
            <w:pPr>
              <w:pStyle w:val="TableParagraph"/>
              <w:tabs>
                <w:tab w:pos="557" w:val="left" w:leader="none"/>
                <w:tab w:pos="775" w:val="left" w:leader="none"/>
                <w:tab w:pos="1188" w:val="left" w:leader="none"/>
              </w:tabs>
              <w:ind w:left="106" w:right="99"/>
              <w:rPr>
                <w:sz w:val="20"/>
              </w:rPr>
            </w:pPr>
            <w:r>
              <w:rPr>
                <w:spacing w:val="-2"/>
                <w:sz w:val="20"/>
              </w:rPr>
              <w:t>authentication </w:t>
            </w:r>
            <w:r>
              <w:rPr>
                <w:spacing w:val="-6"/>
                <w:sz w:val="20"/>
              </w:rPr>
              <w:t>of</w:t>
            </w:r>
            <w:r>
              <w:rPr>
                <w:sz w:val="20"/>
              </w:rPr>
              <w:tab/>
            </w:r>
            <w:r>
              <w:rPr>
                <w:spacing w:val="-2"/>
                <w:sz w:val="20"/>
              </w:rPr>
              <w:t>documents submitted </w:t>
            </w:r>
            <w:r>
              <w:rPr>
                <w:color w:val="000000"/>
                <w:spacing w:val="-2"/>
                <w:sz w:val="20"/>
                <w:shd w:fill="FFCCFF" w:color="auto" w:val="clear"/>
              </w:rPr>
              <w:t>except</w:t>
            </w:r>
            <w:r>
              <w:rPr>
                <w:color w:val="000000"/>
                <w:sz w:val="20"/>
                <w:shd w:fill="FFCCFF" w:color="auto" w:val="clear"/>
              </w:rPr>
              <w:tab/>
              <w:tab/>
            </w:r>
            <w:r>
              <w:rPr>
                <w:color w:val="000000"/>
                <w:spacing w:val="-4"/>
                <w:sz w:val="20"/>
                <w:shd w:fill="FFCCFF" w:color="auto" w:val="clear"/>
              </w:rPr>
              <w:t>legal</w:t>
            </w:r>
            <w:r>
              <w:rPr>
                <w:color w:val="000000"/>
                <w:spacing w:val="-4"/>
                <w:sz w:val="20"/>
              </w:rPr>
              <w:t> </w:t>
            </w:r>
            <w:r>
              <w:rPr>
                <w:color w:val="000000"/>
                <w:spacing w:val="-2"/>
                <w:sz w:val="20"/>
                <w:shd w:fill="FFCCFF" w:color="auto" w:val="clear"/>
              </w:rPr>
              <w:t>document</w:t>
            </w:r>
            <w:r>
              <w:rPr>
                <w:color w:val="000000"/>
                <w:spacing w:val="-2"/>
                <w:sz w:val="20"/>
              </w:rPr>
              <w:t>and </w:t>
            </w:r>
            <w:r>
              <w:rPr>
                <w:color w:val="000000"/>
                <w:spacing w:val="-5"/>
                <w:sz w:val="20"/>
              </w:rPr>
              <w:t>for</w:t>
            </w:r>
            <w:r>
              <w:rPr>
                <w:color w:val="000000"/>
                <w:sz w:val="20"/>
              </w:rPr>
              <w:tab/>
              <w:tab/>
            </w:r>
            <w:r>
              <w:rPr>
                <w:color w:val="000000"/>
                <w:spacing w:val="-2"/>
                <w:sz w:val="20"/>
              </w:rPr>
              <w:t>ensuring</w:t>
            </w:r>
          </w:p>
          <w:p>
            <w:pPr>
              <w:pStyle w:val="TableParagraph"/>
              <w:tabs>
                <w:tab w:pos="1327" w:val="left" w:leader="none"/>
              </w:tabs>
              <w:ind w:left="106"/>
              <w:rPr>
                <w:sz w:val="20"/>
              </w:rPr>
            </w:pPr>
            <w:r>
              <w:rPr>
                <w:spacing w:val="-4"/>
                <w:sz w:val="20"/>
              </w:rPr>
              <w:t>that</w:t>
            </w:r>
            <w:r>
              <w:rPr>
                <w:sz w:val="20"/>
              </w:rPr>
              <w:tab/>
            </w:r>
            <w:r>
              <w:rPr>
                <w:spacing w:val="-5"/>
                <w:sz w:val="20"/>
              </w:rPr>
              <w:t>the</w:t>
            </w:r>
          </w:p>
          <w:p>
            <w:pPr>
              <w:pStyle w:val="TableParagraph"/>
              <w:ind w:left="106" w:right="97"/>
              <w:jc w:val="both"/>
              <w:rPr>
                <w:sz w:val="20"/>
              </w:rPr>
            </w:pPr>
            <w:r>
              <w:rPr>
                <w:sz w:val="20"/>
              </w:rPr>
              <w:t>development </w:t>
            </w:r>
            <w:r>
              <w:rPr>
                <w:sz w:val="20"/>
              </w:rPr>
              <w:t>is carried out as per approved plans, else get amended plans approved and intimating the </w:t>
            </w:r>
            <w:r>
              <w:rPr>
                <w:spacing w:val="-2"/>
                <w:sz w:val="20"/>
              </w:rPr>
              <w:t>Authority.</w:t>
            </w:r>
          </w:p>
        </w:tc>
      </w:tr>
      <w:tr>
        <w:trPr>
          <w:trHeight w:val="3288" w:hRule="atLeast"/>
        </w:trPr>
        <w:tc>
          <w:tcPr>
            <w:tcW w:w="559" w:type="dxa"/>
          </w:tcPr>
          <w:p>
            <w:pPr>
              <w:pStyle w:val="TableParagraph"/>
              <w:spacing w:before="95"/>
              <w:ind w:left="107"/>
              <w:rPr>
                <w:sz w:val="20"/>
              </w:rPr>
            </w:pPr>
            <w:r>
              <w:rPr>
                <w:spacing w:val="-10"/>
                <w:sz w:val="20"/>
              </w:rPr>
              <w:t>2</w:t>
            </w:r>
          </w:p>
        </w:tc>
        <w:tc>
          <w:tcPr>
            <w:tcW w:w="1152" w:type="dxa"/>
          </w:tcPr>
          <w:p>
            <w:pPr>
              <w:pStyle w:val="TableParagraph"/>
              <w:spacing w:before="95"/>
              <w:ind w:left="107" w:right="272" w:hanging="53"/>
              <w:rPr>
                <w:sz w:val="20"/>
              </w:rPr>
            </w:pPr>
            <w:r>
              <w:rPr>
                <w:spacing w:val="-4"/>
                <w:sz w:val="20"/>
              </w:rPr>
              <w:t>Town </w:t>
            </w:r>
            <w:r>
              <w:rPr>
                <w:spacing w:val="-2"/>
                <w:sz w:val="20"/>
              </w:rPr>
              <w:t>Planner</w:t>
            </w:r>
          </w:p>
        </w:tc>
        <w:tc>
          <w:tcPr>
            <w:tcW w:w="2785" w:type="dxa"/>
          </w:tcPr>
          <w:p>
            <w:pPr>
              <w:pStyle w:val="TableParagraph"/>
              <w:spacing w:before="95"/>
              <w:ind w:left="107" w:right="36" w:hanging="53"/>
              <w:rPr>
                <w:sz w:val="20"/>
              </w:rPr>
            </w:pPr>
            <w:r>
              <w:rPr>
                <w:sz w:val="20"/>
              </w:rPr>
              <w:t>The</w:t>
            </w:r>
            <w:r>
              <w:rPr>
                <w:spacing w:val="-4"/>
                <w:sz w:val="20"/>
              </w:rPr>
              <w:t> </w:t>
            </w:r>
            <w:r>
              <w:rPr>
                <w:sz w:val="20"/>
              </w:rPr>
              <w:t>minimum</w:t>
            </w:r>
            <w:r>
              <w:rPr>
                <w:spacing w:val="-4"/>
                <w:sz w:val="20"/>
              </w:rPr>
              <w:t> </w:t>
            </w:r>
            <w:r>
              <w:rPr>
                <w:sz w:val="20"/>
              </w:rPr>
              <w:t>qualification for</w:t>
            </w:r>
            <w:r>
              <w:rPr>
                <w:spacing w:val="-9"/>
                <w:sz w:val="20"/>
              </w:rPr>
              <w:t> </w:t>
            </w:r>
            <w:r>
              <w:rPr>
                <w:sz w:val="20"/>
              </w:rPr>
              <w:t>a</w:t>
            </w:r>
            <w:r>
              <w:rPr>
                <w:spacing w:val="-10"/>
                <w:sz w:val="20"/>
              </w:rPr>
              <w:t> </w:t>
            </w:r>
            <w:r>
              <w:rPr>
                <w:sz w:val="20"/>
              </w:rPr>
              <w:t>town</w:t>
            </w:r>
            <w:r>
              <w:rPr>
                <w:spacing w:val="-9"/>
                <w:sz w:val="20"/>
              </w:rPr>
              <w:t> </w:t>
            </w:r>
            <w:r>
              <w:rPr>
                <w:sz w:val="20"/>
              </w:rPr>
              <w:t>planner</w:t>
            </w:r>
            <w:r>
              <w:rPr>
                <w:spacing w:val="-9"/>
                <w:sz w:val="20"/>
              </w:rPr>
              <w:t> </w:t>
            </w:r>
            <w:r>
              <w:rPr>
                <w:sz w:val="20"/>
              </w:rPr>
              <w:t>shall</w:t>
            </w:r>
            <w:r>
              <w:rPr>
                <w:spacing w:val="-7"/>
                <w:sz w:val="20"/>
              </w:rPr>
              <w:t> </w:t>
            </w:r>
            <w:r>
              <w:rPr>
                <w:sz w:val="20"/>
              </w:rPr>
              <w:t>be the Associate Membership of the Institute of Town Planners or graduate or post graduate degree in town and country </w:t>
            </w:r>
            <w:r>
              <w:rPr>
                <w:spacing w:val="-2"/>
                <w:sz w:val="20"/>
              </w:rPr>
              <w:t>planning.</w:t>
            </w:r>
          </w:p>
        </w:tc>
        <w:tc>
          <w:tcPr>
            <w:tcW w:w="1465" w:type="dxa"/>
          </w:tcPr>
          <w:p>
            <w:pPr>
              <w:pStyle w:val="TableParagraph"/>
              <w:spacing w:before="95"/>
              <w:ind w:left="107" w:right="106" w:hanging="53"/>
              <w:rPr>
                <w:sz w:val="20"/>
              </w:rPr>
            </w:pPr>
            <w:r>
              <w:rPr>
                <w:sz w:val="20"/>
              </w:rPr>
              <w:t>town</w:t>
            </w:r>
            <w:r>
              <w:rPr>
                <w:spacing w:val="-16"/>
                <w:sz w:val="20"/>
              </w:rPr>
              <w:t> </w:t>
            </w:r>
            <w:r>
              <w:rPr>
                <w:sz w:val="20"/>
              </w:rPr>
              <w:t>planner shall be the </w:t>
            </w:r>
            <w:r>
              <w:rPr>
                <w:spacing w:val="-2"/>
                <w:sz w:val="20"/>
              </w:rPr>
              <w:t>Associate Membership </w:t>
            </w:r>
            <w:r>
              <w:rPr>
                <w:sz w:val="20"/>
              </w:rPr>
              <w:t>of the Institute of </w:t>
            </w:r>
            <w:r>
              <w:rPr>
                <w:spacing w:val="-4"/>
                <w:sz w:val="20"/>
              </w:rPr>
              <w:t>Town </w:t>
            </w:r>
            <w:r>
              <w:rPr>
                <w:sz w:val="20"/>
              </w:rPr>
              <w:t>Planners or graduate or </w:t>
            </w:r>
            <w:r>
              <w:rPr>
                <w:spacing w:val="-4"/>
                <w:sz w:val="20"/>
              </w:rPr>
              <w:t>post </w:t>
            </w:r>
            <w:r>
              <w:rPr>
                <w:spacing w:val="-2"/>
                <w:sz w:val="20"/>
              </w:rPr>
              <w:t>graduate </w:t>
            </w:r>
            <w:r>
              <w:rPr>
                <w:sz w:val="20"/>
              </w:rPr>
              <w:t>degree in town and</w:t>
            </w:r>
          </w:p>
        </w:tc>
        <w:tc>
          <w:tcPr>
            <w:tcW w:w="1645" w:type="dxa"/>
          </w:tcPr>
          <w:p>
            <w:pPr>
              <w:pStyle w:val="TableParagraph"/>
              <w:tabs>
                <w:tab w:pos="1306" w:val="left" w:leader="none"/>
              </w:tabs>
              <w:ind w:left="106" w:right="100"/>
              <w:jc w:val="both"/>
              <w:rPr>
                <w:sz w:val="20"/>
              </w:rPr>
            </w:pPr>
            <w:r>
              <w:rPr>
                <w:sz w:val="20"/>
              </w:rPr>
              <w:t>The </w:t>
            </w:r>
            <w:r>
              <w:rPr>
                <w:sz w:val="20"/>
              </w:rPr>
              <w:t>registered town planner </w:t>
            </w:r>
            <w:r>
              <w:rPr>
                <w:spacing w:val="-2"/>
                <w:sz w:val="20"/>
              </w:rPr>
              <w:t>shall</w:t>
            </w:r>
            <w:r>
              <w:rPr>
                <w:sz w:val="20"/>
              </w:rPr>
              <w:tab/>
            </w:r>
            <w:r>
              <w:rPr>
                <w:spacing w:val="-5"/>
                <w:sz w:val="20"/>
              </w:rPr>
              <w:t>be</w:t>
            </w:r>
          </w:p>
          <w:p>
            <w:pPr>
              <w:pStyle w:val="TableParagraph"/>
              <w:tabs>
                <w:tab w:pos="1222" w:val="left" w:leader="none"/>
              </w:tabs>
              <w:ind w:left="106" w:right="98"/>
              <w:jc w:val="both"/>
              <w:rPr>
                <w:sz w:val="20"/>
              </w:rPr>
            </w:pPr>
            <w:r>
              <w:rPr>
                <w:sz w:val="20"/>
              </w:rPr>
              <w:t>competent </w:t>
            </w:r>
            <w:r>
              <w:rPr>
                <w:sz w:val="20"/>
              </w:rPr>
              <w:t>to carryout the work related</w:t>
            </w:r>
            <w:r>
              <w:rPr>
                <w:spacing w:val="40"/>
                <w:sz w:val="20"/>
              </w:rPr>
              <w:t> </w:t>
            </w:r>
            <w:r>
              <w:rPr>
                <w:spacing w:val="-5"/>
                <w:sz w:val="20"/>
              </w:rPr>
              <w:t>to</w:t>
            </w:r>
            <w:r>
              <w:rPr>
                <w:sz w:val="20"/>
              </w:rPr>
              <w:tab/>
            </w:r>
            <w:r>
              <w:rPr>
                <w:spacing w:val="-5"/>
                <w:sz w:val="20"/>
              </w:rPr>
              <w:t>the</w:t>
            </w:r>
          </w:p>
          <w:p>
            <w:pPr>
              <w:pStyle w:val="TableParagraph"/>
              <w:tabs>
                <w:tab w:pos="1313" w:val="left" w:leader="none"/>
              </w:tabs>
              <w:ind w:left="106" w:right="100"/>
              <w:rPr>
                <w:sz w:val="20"/>
              </w:rPr>
            </w:pPr>
            <w:r>
              <w:rPr>
                <w:spacing w:val="-2"/>
                <w:sz w:val="20"/>
              </w:rPr>
              <w:t>development permit</w:t>
            </w:r>
            <w:r>
              <w:rPr>
                <w:sz w:val="20"/>
              </w:rPr>
              <w:tab/>
            </w:r>
            <w:r>
              <w:rPr>
                <w:spacing w:val="-6"/>
                <w:sz w:val="20"/>
              </w:rPr>
              <w:t>as </w:t>
            </w:r>
            <w:r>
              <w:rPr>
                <w:sz w:val="20"/>
              </w:rPr>
              <w:t>given below :</w:t>
            </w:r>
          </w:p>
          <w:p>
            <w:pPr>
              <w:pStyle w:val="TableParagraph"/>
              <w:numPr>
                <w:ilvl w:val="0"/>
                <w:numId w:val="382"/>
              </w:numPr>
              <w:tabs>
                <w:tab w:pos="393" w:val="left" w:leader="none"/>
                <w:tab w:pos="509" w:val="left" w:leader="none"/>
                <w:tab w:pos="1270" w:val="left" w:leader="none"/>
              </w:tabs>
              <w:spacing w:line="240" w:lineRule="auto" w:before="0" w:after="0"/>
              <w:ind w:left="106" w:right="99" w:firstLine="0"/>
              <w:jc w:val="left"/>
              <w:rPr>
                <w:sz w:val="20"/>
              </w:rPr>
            </w:pPr>
            <w:r>
              <w:rPr>
                <w:spacing w:val="-2"/>
                <w:sz w:val="20"/>
              </w:rPr>
              <w:t>Preparation </w:t>
            </w:r>
            <w:r>
              <w:rPr>
                <w:spacing w:val="-5"/>
                <w:sz w:val="20"/>
              </w:rPr>
              <w:t>of</w:t>
            </w:r>
            <w:r>
              <w:rPr>
                <w:sz w:val="20"/>
              </w:rPr>
              <w:tab/>
              <w:tab/>
            </w:r>
            <w:r>
              <w:rPr>
                <w:spacing w:val="-2"/>
                <w:sz w:val="20"/>
              </w:rPr>
              <w:t>plans</w:t>
            </w:r>
            <w:r>
              <w:rPr>
                <w:sz w:val="20"/>
              </w:rPr>
              <w:tab/>
            </w:r>
            <w:r>
              <w:rPr>
                <w:spacing w:val="-5"/>
                <w:sz w:val="20"/>
              </w:rPr>
              <w:t>for</w:t>
            </w:r>
          </w:p>
          <w:p>
            <w:pPr>
              <w:pStyle w:val="TableParagraph"/>
              <w:tabs>
                <w:tab w:pos="1169" w:val="left" w:leader="none"/>
                <w:tab w:pos="1411" w:val="left" w:leader="none"/>
              </w:tabs>
              <w:spacing w:line="230" w:lineRule="atLeast"/>
              <w:ind w:left="106" w:right="99"/>
              <w:rPr>
                <w:sz w:val="20"/>
              </w:rPr>
            </w:pPr>
            <w:r>
              <w:rPr>
                <w:spacing w:val="-4"/>
                <w:sz w:val="20"/>
              </w:rPr>
              <w:t>land</w:t>
            </w:r>
            <w:r>
              <w:rPr>
                <w:sz w:val="20"/>
              </w:rPr>
              <w:tab/>
            </w:r>
            <w:r>
              <w:rPr>
                <w:spacing w:val="-4"/>
                <w:sz w:val="20"/>
              </w:rPr>
              <w:t>sub </w:t>
            </w:r>
            <w:r>
              <w:rPr>
                <w:spacing w:val="-2"/>
                <w:sz w:val="20"/>
              </w:rPr>
              <w:t>division</w:t>
            </w:r>
            <w:r>
              <w:rPr>
                <w:sz w:val="20"/>
              </w:rPr>
              <w:tab/>
              <w:tab/>
            </w:r>
            <w:r>
              <w:rPr>
                <w:spacing w:val="-10"/>
                <w:sz w:val="20"/>
              </w:rPr>
              <w:t>/</w:t>
            </w:r>
          </w:p>
        </w:tc>
        <w:tc>
          <w:tcPr>
            <w:tcW w:w="1748" w:type="dxa"/>
          </w:tcPr>
          <w:p>
            <w:pPr>
              <w:pStyle w:val="TableParagraph"/>
              <w:tabs>
                <w:tab w:pos="557" w:val="left" w:leader="none"/>
                <w:tab w:pos="881" w:val="left" w:leader="none"/>
                <w:tab w:pos="1188" w:val="left" w:leader="none"/>
                <w:tab w:pos="1322" w:val="left" w:leader="none"/>
                <w:tab w:pos="1444" w:val="left" w:leader="none"/>
              </w:tabs>
              <w:ind w:left="106" w:right="99"/>
              <w:rPr>
                <w:sz w:val="20"/>
              </w:rPr>
            </w:pPr>
            <w:r>
              <w:rPr>
                <w:spacing w:val="-4"/>
                <w:sz w:val="20"/>
              </w:rPr>
              <w:t>Town</w:t>
            </w:r>
            <w:r>
              <w:rPr>
                <w:sz w:val="20"/>
              </w:rPr>
              <w:tab/>
            </w:r>
            <w:r>
              <w:rPr>
                <w:spacing w:val="-2"/>
                <w:sz w:val="20"/>
              </w:rPr>
              <w:t>Planner shall </w:t>
            </w:r>
            <w:r>
              <w:rPr>
                <w:sz w:val="20"/>
              </w:rPr>
              <w:t>responsible</w:t>
            </w:r>
            <w:r>
              <w:rPr>
                <w:spacing w:val="40"/>
                <w:sz w:val="20"/>
              </w:rPr>
              <w:t> </w:t>
            </w:r>
            <w:r>
              <w:rPr>
                <w:sz w:val="20"/>
              </w:rPr>
              <w:t>for </w:t>
            </w:r>
            <w:r>
              <w:rPr>
                <w:spacing w:val="-2"/>
                <w:sz w:val="20"/>
              </w:rPr>
              <w:t>designing</w:t>
            </w:r>
            <w:r>
              <w:rPr>
                <w:sz w:val="20"/>
              </w:rPr>
              <w:tab/>
              <w:tab/>
            </w:r>
            <w:r>
              <w:rPr>
                <w:spacing w:val="-4"/>
                <w:sz w:val="20"/>
              </w:rPr>
              <w:t>the </w:t>
            </w:r>
            <w:r>
              <w:rPr>
                <w:spacing w:val="-2"/>
                <w:sz w:val="20"/>
              </w:rPr>
              <w:t>building</w:t>
            </w:r>
            <w:r>
              <w:rPr>
                <w:sz w:val="20"/>
              </w:rPr>
              <w:tab/>
              <w:tab/>
              <w:tab/>
            </w:r>
            <w:r>
              <w:rPr>
                <w:spacing w:val="-6"/>
                <w:sz w:val="20"/>
              </w:rPr>
              <w:t>in </w:t>
            </w:r>
            <w:r>
              <w:rPr>
                <w:sz w:val="20"/>
              </w:rPr>
              <w:t>conformity</w:t>
            </w:r>
            <w:r>
              <w:rPr>
                <w:spacing w:val="-16"/>
                <w:sz w:val="20"/>
              </w:rPr>
              <w:t> </w:t>
            </w:r>
            <w:r>
              <w:rPr>
                <w:sz w:val="20"/>
              </w:rPr>
              <w:t>with </w:t>
            </w:r>
            <w:r>
              <w:rPr>
                <w:spacing w:val="-2"/>
                <w:sz w:val="20"/>
              </w:rPr>
              <w:t>these Regulations,</w:t>
            </w:r>
            <w:r>
              <w:rPr>
                <w:spacing w:val="-14"/>
                <w:sz w:val="20"/>
              </w:rPr>
              <w:t> </w:t>
            </w:r>
            <w:r>
              <w:rPr>
                <w:spacing w:val="-2"/>
                <w:sz w:val="20"/>
              </w:rPr>
              <w:t>for authentication </w:t>
            </w:r>
            <w:r>
              <w:rPr>
                <w:spacing w:val="-6"/>
                <w:sz w:val="20"/>
              </w:rPr>
              <w:t>of</w:t>
            </w:r>
            <w:r>
              <w:rPr>
                <w:sz w:val="20"/>
              </w:rPr>
              <w:tab/>
            </w:r>
            <w:r>
              <w:rPr>
                <w:spacing w:val="-2"/>
                <w:sz w:val="20"/>
              </w:rPr>
              <w:t>documents submitted except</w:t>
            </w:r>
            <w:r>
              <w:rPr>
                <w:sz w:val="20"/>
              </w:rPr>
              <w:tab/>
              <w:tab/>
            </w:r>
            <w:r>
              <w:rPr>
                <w:spacing w:val="-4"/>
                <w:sz w:val="20"/>
              </w:rPr>
              <w:t>legal</w:t>
            </w:r>
          </w:p>
          <w:p>
            <w:pPr>
              <w:pStyle w:val="TableParagraph"/>
              <w:tabs>
                <w:tab w:pos="775" w:val="left" w:leader="none"/>
              </w:tabs>
              <w:spacing w:line="230" w:lineRule="atLeast"/>
              <w:ind w:left="106" w:right="99"/>
              <w:rPr>
                <w:sz w:val="20"/>
              </w:rPr>
            </w:pPr>
            <w:r>
              <w:rPr>
                <w:sz w:val="20"/>
              </w:rPr>
              <w:t>document</w:t>
            </w:r>
            <w:r>
              <w:rPr>
                <w:spacing w:val="80"/>
                <w:sz w:val="20"/>
              </w:rPr>
              <w:t> </w:t>
            </w:r>
            <w:r>
              <w:rPr>
                <w:sz w:val="20"/>
              </w:rPr>
              <w:t>and </w:t>
            </w:r>
            <w:r>
              <w:rPr>
                <w:spacing w:val="-5"/>
                <w:sz w:val="20"/>
              </w:rPr>
              <w:t>for</w:t>
            </w:r>
            <w:r>
              <w:rPr>
                <w:sz w:val="20"/>
              </w:rPr>
              <w:tab/>
            </w:r>
            <w:r>
              <w:rPr>
                <w:spacing w:val="-2"/>
                <w:sz w:val="20"/>
              </w:rPr>
              <w:t>ensuring</w:t>
            </w:r>
          </w:p>
        </w:tc>
      </w:tr>
    </w:tbl>
    <w:p>
      <w:pPr>
        <w:pStyle w:val="TableParagraph"/>
        <w:spacing w:after="0" w:line="230" w:lineRule="atLeast"/>
        <w:rPr>
          <w:sz w:val="20"/>
        </w:rPr>
        <w:sectPr>
          <w:pgSz w:w="11910" w:h="16850"/>
          <w:pgMar w:header="1022" w:footer="1070" w:top="1460" w:bottom="1260" w:left="360" w:right="360"/>
        </w:sectPr>
      </w:pPr>
    </w:p>
    <w:p>
      <w:pPr>
        <w:pStyle w:val="BodyText"/>
        <w:spacing w:before="44"/>
        <w:jc w:val="left"/>
        <w:rPr>
          <w:b/>
          <w:sz w:val="20"/>
        </w:rPr>
      </w:pPr>
    </w:p>
    <w:tbl>
      <w:tblPr>
        <w:tblW w:w="0" w:type="auto"/>
        <w:jc w:val="left"/>
        <w:tblInd w:w="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1152"/>
        <w:gridCol w:w="2785"/>
        <w:gridCol w:w="1465"/>
        <w:gridCol w:w="1645"/>
        <w:gridCol w:w="1748"/>
      </w:tblGrid>
      <w:tr>
        <w:trPr>
          <w:trHeight w:val="638" w:hRule="atLeast"/>
        </w:trPr>
        <w:tc>
          <w:tcPr>
            <w:tcW w:w="559" w:type="dxa"/>
            <w:shd w:val="clear" w:color="auto" w:fill="E7E6E6"/>
          </w:tcPr>
          <w:p>
            <w:pPr>
              <w:pStyle w:val="TableParagraph"/>
              <w:spacing w:before="94"/>
              <w:ind w:left="107" w:right="150"/>
              <w:rPr>
                <w:sz w:val="20"/>
              </w:rPr>
            </w:pPr>
            <w:r>
              <w:rPr>
                <w:spacing w:val="-4"/>
                <w:sz w:val="20"/>
              </w:rPr>
              <w:t>Sr. </w:t>
            </w:r>
            <w:r>
              <w:rPr>
                <w:spacing w:val="-5"/>
                <w:sz w:val="20"/>
              </w:rPr>
              <w:t>No</w:t>
            </w:r>
          </w:p>
        </w:tc>
        <w:tc>
          <w:tcPr>
            <w:tcW w:w="1152" w:type="dxa"/>
            <w:shd w:val="clear" w:color="auto" w:fill="E7E6E6"/>
          </w:tcPr>
          <w:p>
            <w:pPr>
              <w:pStyle w:val="TableParagraph"/>
              <w:spacing w:before="94"/>
              <w:ind w:left="107" w:right="161"/>
              <w:rPr>
                <w:sz w:val="20"/>
              </w:rPr>
            </w:pPr>
            <w:r>
              <w:rPr>
                <w:spacing w:val="-2"/>
                <w:sz w:val="20"/>
              </w:rPr>
              <w:t>Professio </w:t>
            </w:r>
            <w:r>
              <w:rPr>
                <w:spacing w:val="-4"/>
                <w:sz w:val="20"/>
              </w:rPr>
              <w:t>nals</w:t>
            </w:r>
          </w:p>
        </w:tc>
        <w:tc>
          <w:tcPr>
            <w:tcW w:w="2785" w:type="dxa"/>
            <w:shd w:val="clear" w:color="auto" w:fill="E7E6E6"/>
          </w:tcPr>
          <w:p>
            <w:pPr>
              <w:pStyle w:val="TableParagraph"/>
              <w:spacing w:before="94"/>
              <w:ind w:left="107"/>
              <w:rPr>
                <w:sz w:val="20"/>
              </w:rPr>
            </w:pPr>
            <w:r>
              <w:rPr>
                <w:spacing w:val="-2"/>
                <w:sz w:val="20"/>
              </w:rPr>
              <w:t>Qualification</w:t>
            </w:r>
          </w:p>
        </w:tc>
        <w:tc>
          <w:tcPr>
            <w:tcW w:w="1465" w:type="dxa"/>
            <w:shd w:val="clear" w:color="auto" w:fill="E7E6E6"/>
          </w:tcPr>
          <w:p>
            <w:pPr>
              <w:pStyle w:val="TableParagraph"/>
              <w:spacing w:before="94"/>
              <w:ind w:left="107"/>
              <w:rPr>
                <w:sz w:val="20"/>
              </w:rPr>
            </w:pPr>
            <w:r>
              <w:rPr>
                <w:spacing w:val="-2"/>
                <w:sz w:val="20"/>
              </w:rPr>
              <w:t>Registration</w:t>
            </w:r>
          </w:p>
        </w:tc>
        <w:tc>
          <w:tcPr>
            <w:tcW w:w="1645" w:type="dxa"/>
            <w:shd w:val="clear" w:color="auto" w:fill="E7E6E6"/>
          </w:tcPr>
          <w:p>
            <w:pPr>
              <w:pStyle w:val="TableParagraph"/>
              <w:spacing w:before="94"/>
              <w:ind w:left="106"/>
              <w:rPr>
                <w:sz w:val="20"/>
              </w:rPr>
            </w:pPr>
            <w:r>
              <w:rPr>
                <w:spacing w:val="-2"/>
                <w:sz w:val="20"/>
              </w:rPr>
              <w:t>Duties</w:t>
            </w:r>
          </w:p>
        </w:tc>
        <w:tc>
          <w:tcPr>
            <w:tcW w:w="1748" w:type="dxa"/>
            <w:shd w:val="clear" w:color="auto" w:fill="E7E6E6"/>
          </w:tcPr>
          <w:p>
            <w:pPr>
              <w:pStyle w:val="TableParagraph"/>
              <w:spacing w:before="94"/>
              <w:ind w:left="106"/>
              <w:rPr>
                <w:sz w:val="20"/>
              </w:rPr>
            </w:pPr>
            <w:r>
              <w:rPr>
                <w:spacing w:val="-2"/>
                <w:sz w:val="20"/>
              </w:rPr>
              <w:t>Responsibilities</w:t>
            </w:r>
          </w:p>
        </w:tc>
      </w:tr>
      <w:tr>
        <w:trPr>
          <w:trHeight w:val="3521" w:hRule="atLeast"/>
        </w:trPr>
        <w:tc>
          <w:tcPr>
            <w:tcW w:w="559" w:type="dxa"/>
          </w:tcPr>
          <w:p>
            <w:pPr>
              <w:pStyle w:val="TableParagraph"/>
              <w:rPr>
                <w:rFonts w:ascii="Times New Roman"/>
                <w:sz w:val="18"/>
              </w:rPr>
            </w:pPr>
          </w:p>
        </w:tc>
        <w:tc>
          <w:tcPr>
            <w:tcW w:w="1152" w:type="dxa"/>
          </w:tcPr>
          <w:p>
            <w:pPr>
              <w:pStyle w:val="TableParagraph"/>
              <w:rPr>
                <w:rFonts w:ascii="Times New Roman"/>
                <w:sz w:val="18"/>
              </w:rPr>
            </w:pPr>
          </w:p>
        </w:tc>
        <w:tc>
          <w:tcPr>
            <w:tcW w:w="2785" w:type="dxa"/>
          </w:tcPr>
          <w:p>
            <w:pPr>
              <w:pStyle w:val="TableParagraph"/>
              <w:rPr>
                <w:rFonts w:ascii="Times New Roman"/>
                <w:sz w:val="18"/>
              </w:rPr>
            </w:pPr>
          </w:p>
        </w:tc>
        <w:tc>
          <w:tcPr>
            <w:tcW w:w="1465" w:type="dxa"/>
          </w:tcPr>
          <w:p>
            <w:pPr>
              <w:pStyle w:val="TableParagraph"/>
              <w:ind w:left="107" w:right="417"/>
              <w:rPr>
                <w:sz w:val="20"/>
              </w:rPr>
            </w:pPr>
            <w:r>
              <w:rPr>
                <w:spacing w:val="-2"/>
                <w:sz w:val="20"/>
              </w:rPr>
              <w:t>country planning.</w:t>
            </w:r>
          </w:p>
        </w:tc>
        <w:tc>
          <w:tcPr>
            <w:tcW w:w="1645" w:type="dxa"/>
          </w:tcPr>
          <w:p>
            <w:pPr>
              <w:pStyle w:val="TableParagraph"/>
              <w:tabs>
                <w:tab w:pos="1162" w:val="left" w:leader="none"/>
              </w:tabs>
              <w:ind w:left="106" w:right="100"/>
              <w:rPr>
                <w:sz w:val="20"/>
              </w:rPr>
            </w:pPr>
            <w:r>
              <w:rPr>
                <w:spacing w:val="-2"/>
                <w:sz w:val="20"/>
              </w:rPr>
              <w:t>layout</w:t>
            </w:r>
            <w:r>
              <w:rPr>
                <w:sz w:val="20"/>
              </w:rPr>
              <w:tab/>
            </w:r>
            <w:r>
              <w:rPr>
                <w:spacing w:val="-4"/>
                <w:sz w:val="20"/>
              </w:rPr>
              <w:t>and </w:t>
            </w:r>
            <w:r>
              <w:rPr>
                <w:spacing w:val="-2"/>
                <w:sz w:val="20"/>
              </w:rPr>
              <w:t>related information connected</w:t>
            </w:r>
            <w:r>
              <w:rPr>
                <w:spacing w:val="40"/>
                <w:sz w:val="20"/>
              </w:rPr>
              <w:t> </w:t>
            </w:r>
            <w:r>
              <w:rPr>
                <w:spacing w:val="-4"/>
                <w:sz w:val="20"/>
              </w:rPr>
              <w:t>with </w:t>
            </w:r>
            <w:r>
              <w:rPr>
                <w:spacing w:val="-2"/>
                <w:sz w:val="20"/>
              </w:rPr>
              <w:t>development </w:t>
            </w:r>
            <w:r>
              <w:rPr>
                <w:sz w:val="20"/>
              </w:rPr>
              <w:t>permit</w:t>
            </w:r>
            <w:r>
              <w:rPr>
                <w:spacing w:val="40"/>
                <w:sz w:val="20"/>
              </w:rPr>
              <w:t> </w:t>
            </w:r>
            <w:r>
              <w:rPr>
                <w:sz w:val="20"/>
              </w:rPr>
              <w:t>for</w:t>
            </w:r>
            <w:r>
              <w:rPr>
                <w:spacing w:val="40"/>
                <w:sz w:val="20"/>
              </w:rPr>
              <w:t> </w:t>
            </w:r>
            <w:r>
              <w:rPr>
                <w:sz w:val="20"/>
              </w:rPr>
              <w:t>all </w:t>
            </w:r>
            <w:r>
              <w:rPr>
                <w:spacing w:val="-2"/>
                <w:sz w:val="20"/>
              </w:rPr>
              <w:t>areas.</w:t>
            </w:r>
          </w:p>
          <w:p>
            <w:pPr>
              <w:pStyle w:val="TableParagraph"/>
              <w:tabs>
                <w:tab w:pos="1358" w:val="left" w:leader="none"/>
              </w:tabs>
              <w:ind w:left="106" w:right="101"/>
              <w:rPr>
                <w:sz w:val="20"/>
              </w:rPr>
            </w:pPr>
            <w:r>
              <w:rPr>
                <w:sz w:val="20"/>
              </w:rPr>
              <w:t>b)</w:t>
            </w:r>
            <w:r>
              <w:rPr>
                <w:spacing w:val="80"/>
                <w:sz w:val="20"/>
              </w:rPr>
              <w:t> </w:t>
            </w:r>
            <w:r>
              <w:rPr>
                <w:sz w:val="20"/>
              </w:rPr>
              <w:t>Issuing</w:t>
            </w:r>
            <w:r>
              <w:rPr>
                <w:spacing w:val="93"/>
                <w:sz w:val="20"/>
              </w:rPr>
              <w:t> </w:t>
            </w:r>
            <w:r>
              <w:rPr>
                <w:sz w:val="20"/>
              </w:rPr>
              <w:t>o</w:t>
            </w:r>
            <w:r>
              <w:rPr>
                <w:sz w:val="20"/>
              </w:rPr>
              <w:t>f</w:t>
            </w:r>
            <w:r>
              <w:rPr>
                <w:sz w:val="20"/>
              </w:rPr>
              <w:t> </w:t>
            </w:r>
            <w:r>
              <w:rPr>
                <w:spacing w:val="-2"/>
                <w:sz w:val="20"/>
              </w:rPr>
              <w:t>certificate</w:t>
            </w:r>
            <w:r>
              <w:rPr>
                <w:sz w:val="20"/>
              </w:rPr>
              <w:tab/>
            </w:r>
            <w:r>
              <w:rPr>
                <w:spacing w:val="-6"/>
                <w:sz w:val="20"/>
              </w:rPr>
              <w:t>o</w:t>
            </w:r>
            <w:r>
              <w:rPr>
                <w:spacing w:val="-6"/>
                <w:sz w:val="20"/>
              </w:rPr>
              <w:t>f</w:t>
            </w:r>
            <w:r>
              <w:rPr>
                <w:spacing w:val="-6"/>
                <w:sz w:val="20"/>
              </w:rPr>
              <w:t> </w:t>
            </w:r>
            <w:r>
              <w:rPr>
                <w:spacing w:val="-2"/>
                <w:sz w:val="20"/>
              </w:rPr>
              <w:t>supervision</w:t>
            </w:r>
            <w:r>
              <w:rPr>
                <w:spacing w:val="80"/>
                <w:sz w:val="20"/>
              </w:rPr>
              <w:t> </w:t>
            </w:r>
            <w:r>
              <w:rPr>
                <w:spacing w:val="-4"/>
                <w:sz w:val="20"/>
              </w:rPr>
              <w:t>for </w:t>
            </w:r>
            <w:r>
              <w:rPr>
                <w:spacing w:val="-2"/>
                <w:sz w:val="20"/>
              </w:rPr>
              <w:t>development</w:t>
            </w:r>
            <w:r>
              <w:rPr>
                <w:spacing w:val="40"/>
                <w:sz w:val="20"/>
              </w:rPr>
              <w:t> </w:t>
            </w:r>
            <w:r>
              <w:rPr>
                <w:sz w:val="20"/>
              </w:rPr>
              <w:t>of</w:t>
            </w:r>
            <w:r>
              <w:rPr>
                <w:spacing w:val="40"/>
                <w:sz w:val="20"/>
              </w:rPr>
              <w:t> </w:t>
            </w:r>
            <w:r>
              <w:rPr>
                <w:sz w:val="20"/>
              </w:rPr>
              <w:t>land</w:t>
            </w:r>
            <w:r>
              <w:rPr>
                <w:spacing w:val="40"/>
                <w:sz w:val="20"/>
              </w:rPr>
              <w:t> </w:t>
            </w:r>
            <w:r>
              <w:rPr>
                <w:sz w:val="20"/>
              </w:rPr>
              <w:t>of</w:t>
            </w:r>
            <w:r>
              <w:rPr>
                <w:spacing w:val="58"/>
                <w:sz w:val="20"/>
              </w:rPr>
              <w:t> </w:t>
            </w:r>
            <w:r>
              <w:rPr>
                <w:sz w:val="20"/>
              </w:rPr>
              <w:t>all</w:t>
            </w:r>
          </w:p>
          <w:p>
            <w:pPr>
              <w:pStyle w:val="TableParagraph"/>
              <w:spacing w:line="214" w:lineRule="exact"/>
              <w:ind w:left="106"/>
              <w:rPr>
                <w:sz w:val="20"/>
              </w:rPr>
            </w:pPr>
            <w:r>
              <w:rPr>
                <w:spacing w:val="-2"/>
                <w:sz w:val="20"/>
              </w:rPr>
              <w:t>areas.</w:t>
            </w:r>
          </w:p>
        </w:tc>
        <w:tc>
          <w:tcPr>
            <w:tcW w:w="1748" w:type="dxa"/>
          </w:tcPr>
          <w:p>
            <w:pPr>
              <w:pStyle w:val="TableParagraph"/>
              <w:tabs>
                <w:tab w:pos="1327" w:val="left" w:leader="none"/>
              </w:tabs>
              <w:spacing w:line="233" w:lineRule="exact"/>
              <w:ind w:left="106"/>
              <w:jc w:val="both"/>
              <w:rPr>
                <w:sz w:val="20"/>
              </w:rPr>
            </w:pPr>
            <w:r>
              <w:rPr>
                <w:spacing w:val="-4"/>
                <w:sz w:val="20"/>
              </w:rPr>
              <w:t>that</w:t>
            </w:r>
            <w:r>
              <w:rPr>
                <w:sz w:val="20"/>
              </w:rPr>
              <w:tab/>
            </w:r>
            <w:r>
              <w:rPr>
                <w:spacing w:val="-5"/>
                <w:sz w:val="20"/>
              </w:rPr>
              <w:t>the</w:t>
            </w:r>
          </w:p>
          <w:p>
            <w:pPr>
              <w:pStyle w:val="TableParagraph"/>
              <w:ind w:left="106" w:right="97"/>
              <w:jc w:val="both"/>
              <w:rPr>
                <w:sz w:val="20"/>
              </w:rPr>
            </w:pPr>
            <w:r>
              <w:rPr>
                <w:sz w:val="20"/>
              </w:rPr>
              <w:t>development is carried out as per approved plans, else </w:t>
            </w:r>
            <w:r>
              <w:rPr>
                <w:sz w:val="20"/>
              </w:rPr>
              <w:t>get amended plans approved and intimating the </w:t>
            </w:r>
            <w:r>
              <w:rPr>
                <w:spacing w:val="-2"/>
                <w:sz w:val="20"/>
              </w:rPr>
              <w:t>Authority.</w:t>
            </w:r>
          </w:p>
        </w:tc>
      </w:tr>
      <w:tr>
        <w:trPr>
          <w:trHeight w:val="7971" w:hRule="atLeast"/>
        </w:trPr>
        <w:tc>
          <w:tcPr>
            <w:tcW w:w="559" w:type="dxa"/>
          </w:tcPr>
          <w:p>
            <w:pPr>
              <w:pStyle w:val="TableParagraph"/>
              <w:spacing w:before="97"/>
              <w:ind w:left="107"/>
              <w:rPr>
                <w:sz w:val="20"/>
              </w:rPr>
            </w:pPr>
            <w:r>
              <w:rPr>
                <w:spacing w:val="-10"/>
                <w:sz w:val="20"/>
              </w:rPr>
              <w:t>3</w:t>
            </w:r>
          </w:p>
        </w:tc>
        <w:tc>
          <w:tcPr>
            <w:tcW w:w="1152" w:type="dxa"/>
          </w:tcPr>
          <w:p>
            <w:pPr>
              <w:pStyle w:val="TableParagraph"/>
              <w:spacing w:before="97"/>
              <w:ind w:left="107" w:right="158"/>
              <w:rPr>
                <w:sz w:val="20"/>
              </w:rPr>
            </w:pPr>
            <w:r>
              <w:rPr>
                <w:spacing w:val="-2"/>
                <w:sz w:val="20"/>
              </w:rPr>
              <w:t>Licensed Surveyor</w:t>
            </w:r>
          </w:p>
        </w:tc>
        <w:tc>
          <w:tcPr>
            <w:tcW w:w="2785" w:type="dxa"/>
          </w:tcPr>
          <w:p>
            <w:pPr>
              <w:pStyle w:val="TableParagraph"/>
              <w:tabs>
                <w:tab w:pos="2438" w:val="left" w:leader="none"/>
              </w:tabs>
              <w:spacing w:before="97"/>
              <w:ind w:left="107" w:right="140"/>
              <w:jc w:val="both"/>
              <w:rPr>
                <w:sz w:val="20"/>
              </w:rPr>
            </w:pPr>
            <w:r>
              <w:rPr>
                <w:sz w:val="20"/>
              </w:rPr>
              <w:t>The “Licensed Surveyor”” shall have diploma/ </w:t>
            </w:r>
            <w:r>
              <w:rPr>
                <w:spacing w:val="-2"/>
                <w:sz w:val="20"/>
              </w:rPr>
              <w:t>degree</w:t>
            </w:r>
            <w:r>
              <w:rPr>
                <w:sz w:val="20"/>
              </w:rPr>
              <w:tab/>
            </w:r>
            <w:r>
              <w:rPr>
                <w:spacing w:val="-5"/>
                <w:sz w:val="20"/>
              </w:rPr>
              <w:t>in</w:t>
            </w:r>
          </w:p>
          <w:p>
            <w:pPr>
              <w:pStyle w:val="TableParagraph"/>
              <w:tabs>
                <w:tab w:pos="2178" w:val="left" w:leader="none"/>
              </w:tabs>
              <w:ind w:left="107" w:right="143"/>
              <w:jc w:val="both"/>
              <w:rPr>
                <w:sz w:val="20"/>
              </w:rPr>
            </w:pPr>
            <w:r>
              <w:rPr>
                <w:spacing w:val="-2"/>
                <w:sz w:val="20"/>
              </w:rPr>
              <w:t>Civil/Construction Engineering</w:t>
            </w:r>
            <w:r>
              <w:rPr>
                <w:sz w:val="20"/>
              </w:rPr>
              <w:tab/>
            </w:r>
            <w:r>
              <w:rPr>
                <w:spacing w:val="-4"/>
                <w:sz w:val="20"/>
              </w:rPr>
              <w:t>from</w:t>
            </w:r>
          </w:p>
          <w:p>
            <w:pPr>
              <w:pStyle w:val="TableParagraph"/>
              <w:tabs>
                <w:tab w:pos="1856" w:val="left" w:leader="none"/>
              </w:tabs>
              <w:ind w:left="107" w:right="141"/>
              <w:jc w:val="both"/>
              <w:rPr>
                <w:sz w:val="20"/>
              </w:rPr>
            </w:pPr>
            <w:r>
              <w:rPr>
                <w:spacing w:val="-2"/>
                <w:sz w:val="20"/>
              </w:rPr>
              <w:t>recognized</w:t>
            </w:r>
            <w:r>
              <w:rPr>
                <w:sz w:val="20"/>
              </w:rPr>
              <w:tab/>
            </w:r>
            <w:r>
              <w:rPr>
                <w:spacing w:val="-2"/>
                <w:sz w:val="20"/>
              </w:rPr>
              <w:t>college/ </w:t>
            </w:r>
            <w:r>
              <w:rPr>
                <w:sz w:val="20"/>
              </w:rPr>
              <w:t>board/University or Corporate memberships (civil) of the Institution of Engineers (India) and minimum of 2 years of experience</w:t>
            </w:r>
            <w:r>
              <w:rPr>
                <w:spacing w:val="-16"/>
                <w:sz w:val="20"/>
              </w:rPr>
              <w:t> </w:t>
            </w:r>
            <w:r>
              <w:rPr>
                <w:sz w:val="20"/>
              </w:rPr>
              <w:t>in</w:t>
            </w:r>
            <w:r>
              <w:rPr>
                <w:spacing w:val="-16"/>
                <w:sz w:val="20"/>
              </w:rPr>
              <w:t> </w:t>
            </w:r>
            <w:r>
              <w:rPr>
                <w:sz w:val="20"/>
              </w:rPr>
              <w:t>a</w:t>
            </w:r>
            <w:r>
              <w:rPr>
                <w:spacing w:val="-16"/>
                <w:sz w:val="20"/>
              </w:rPr>
              <w:t> </w:t>
            </w:r>
            <w:r>
              <w:rPr>
                <w:sz w:val="20"/>
              </w:rPr>
              <w:t>practice</w:t>
            </w:r>
            <w:r>
              <w:rPr>
                <w:spacing w:val="-16"/>
                <w:sz w:val="20"/>
              </w:rPr>
              <w:t> </w:t>
            </w:r>
            <w:r>
              <w:rPr>
                <w:sz w:val="20"/>
              </w:rPr>
              <w:t>of architectural field.</w:t>
            </w:r>
          </w:p>
        </w:tc>
        <w:tc>
          <w:tcPr>
            <w:tcW w:w="1465" w:type="dxa"/>
          </w:tcPr>
          <w:p>
            <w:pPr>
              <w:pStyle w:val="TableParagraph"/>
              <w:spacing w:before="97"/>
              <w:ind w:left="107" w:right="148"/>
              <w:rPr>
                <w:sz w:val="20"/>
              </w:rPr>
            </w:pPr>
            <w:r>
              <w:rPr>
                <w:spacing w:val="-2"/>
                <w:sz w:val="20"/>
              </w:rPr>
              <w:t>Registration </w:t>
            </w:r>
            <w:r>
              <w:rPr>
                <w:spacing w:val="-4"/>
                <w:sz w:val="20"/>
              </w:rPr>
              <w:t>with </w:t>
            </w:r>
            <w:r>
              <w:rPr>
                <w:spacing w:val="-2"/>
                <w:sz w:val="20"/>
              </w:rPr>
              <w:t>Municipal Corporation </w:t>
            </w:r>
            <w:r>
              <w:rPr>
                <w:sz w:val="20"/>
              </w:rPr>
              <w:t>with the valid</w:t>
            </w:r>
            <w:r>
              <w:rPr>
                <w:spacing w:val="-16"/>
                <w:sz w:val="20"/>
              </w:rPr>
              <w:t> </w:t>
            </w:r>
            <w:r>
              <w:rPr>
                <w:sz w:val="20"/>
              </w:rPr>
              <w:t>license issued as per the </w:t>
            </w:r>
            <w:r>
              <w:rPr>
                <w:spacing w:val="-2"/>
                <w:sz w:val="20"/>
              </w:rPr>
              <w:t>procedure </w:t>
            </w:r>
            <w:r>
              <w:rPr>
                <w:sz w:val="20"/>
              </w:rPr>
              <w:t>adopted by </w:t>
            </w:r>
            <w:r>
              <w:rPr>
                <w:spacing w:val="-4"/>
                <w:sz w:val="20"/>
              </w:rPr>
              <w:t>MCGM</w:t>
            </w:r>
          </w:p>
        </w:tc>
        <w:tc>
          <w:tcPr>
            <w:tcW w:w="1645" w:type="dxa"/>
          </w:tcPr>
          <w:p>
            <w:pPr>
              <w:pStyle w:val="TableParagraph"/>
              <w:tabs>
                <w:tab w:pos="773" w:val="left" w:leader="none"/>
              </w:tabs>
              <w:spacing w:line="234" w:lineRule="exact" w:before="97"/>
              <w:ind w:left="106"/>
              <w:rPr>
                <w:sz w:val="20"/>
              </w:rPr>
            </w:pPr>
            <w:r>
              <w:rPr>
                <w:spacing w:val="-5"/>
                <w:sz w:val="20"/>
              </w:rPr>
              <w:t>To</w:t>
            </w:r>
            <w:r>
              <w:rPr>
                <w:sz w:val="20"/>
              </w:rPr>
              <w:tab/>
            </w:r>
            <w:r>
              <w:rPr>
                <w:spacing w:val="-2"/>
                <w:sz w:val="20"/>
              </w:rPr>
              <w:t>design</w:t>
            </w:r>
          </w:p>
          <w:p>
            <w:pPr>
              <w:pStyle w:val="TableParagraph"/>
              <w:tabs>
                <w:tab w:pos="889" w:val="left" w:leader="none"/>
                <w:tab w:pos="1218" w:val="left" w:leader="none"/>
              </w:tabs>
              <w:ind w:left="106" w:right="225"/>
              <w:rPr>
                <w:sz w:val="20"/>
              </w:rPr>
            </w:pPr>
            <w:r>
              <w:rPr>
                <w:spacing w:val="-4"/>
                <w:sz w:val="20"/>
              </w:rPr>
              <w:t>and</w:t>
            </w:r>
            <w:r>
              <w:rPr>
                <w:sz w:val="20"/>
              </w:rPr>
              <w:tab/>
            </w:r>
            <w:r>
              <w:rPr>
                <w:spacing w:val="-2"/>
                <w:sz w:val="20"/>
              </w:rPr>
              <w:t>carry outwork related</w:t>
            </w:r>
            <w:r>
              <w:rPr>
                <w:sz w:val="20"/>
              </w:rPr>
              <w:tab/>
              <w:tab/>
            </w:r>
            <w:r>
              <w:rPr>
                <w:spacing w:val="-6"/>
                <w:sz w:val="20"/>
              </w:rPr>
              <w:t>to </w:t>
            </w:r>
            <w:r>
              <w:rPr>
                <w:spacing w:val="-2"/>
                <w:sz w:val="20"/>
              </w:rPr>
              <w:t>development permission</w:t>
            </w:r>
            <w:r>
              <w:rPr>
                <w:spacing w:val="40"/>
                <w:sz w:val="20"/>
              </w:rPr>
              <w:t> </w:t>
            </w:r>
            <w:r>
              <w:rPr>
                <w:spacing w:val="-6"/>
                <w:sz w:val="20"/>
              </w:rPr>
              <w:t>as</w:t>
            </w:r>
            <w:r>
              <w:rPr>
                <w:sz w:val="20"/>
              </w:rPr>
              <w:tab/>
            </w:r>
            <w:r>
              <w:rPr>
                <w:spacing w:val="-58"/>
                <w:sz w:val="20"/>
              </w:rPr>
              <w:t> </w:t>
            </w:r>
            <w:r>
              <w:rPr>
                <w:spacing w:val="-2"/>
                <w:sz w:val="20"/>
              </w:rPr>
              <w:t>given </w:t>
            </w:r>
            <w:r>
              <w:rPr>
                <w:sz w:val="20"/>
              </w:rPr>
              <w:t>below and to </w:t>
            </w:r>
            <w:r>
              <w:rPr>
                <w:spacing w:val="-2"/>
                <w:sz w:val="20"/>
              </w:rPr>
              <w:t>submit</w:t>
            </w:r>
          </w:p>
          <w:p>
            <w:pPr>
              <w:pStyle w:val="TableParagraph"/>
              <w:numPr>
                <w:ilvl w:val="0"/>
                <w:numId w:val="383"/>
              </w:numPr>
              <w:tabs>
                <w:tab w:pos="472" w:val="left" w:leader="none"/>
              </w:tabs>
              <w:spacing w:line="240" w:lineRule="auto" w:before="96" w:after="0"/>
              <w:ind w:left="106" w:right="86" w:firstLine="0"/>
              <w:jc w:val="left"/>
              <w:rPr>
                <w:sz w:val="20"/>
              </w:rPr>
            </w:pPr>
            <w:r>
              <w:rPr>
                <w:sz w:val="20"/>
              </w:rPr>
              <w:t>all</w:t>
            </w:r>
            <w:r>
              <w:rPr>
                <w:spacing w:val="80"/>
                <w:sz w:val="20"/>
              </w:rPr>
              <w:t> </w:t>
            </w:r>
            <w:r>
              <w:rPr>
                <w:sz w:val="20"/>
              </w:rPr>
              <w:t>plans/ </w:t>
            </w:r>
            <w:r>
              <w:rPr>
                <w:spacing w:val="-2"/>
                <w:sz w:val="20"/>
              </w:rPr>
              <w:t>documents/ information/ </w:t>
            </w:r>
            <w:r>
              <w:rPr>
                <w:spacing w:val="-4"/>
                <w:sz w:val="20"/>
              </w:rPr>
              <w:t>area </w:t>
            </w:r>
            <w:r>
              <w:rPr>
                <w:spacing w:val="-2"/>
                <w:sz w:val="20"/>
              </w:rPr>
              <w:t>certification </w:t>
            </w:r>
            <w:r>
              <w:rPr>
                <w:sz w:val="20"/>
              </w:rPr>
              <w:t>&amp;other details</w:t>
            </w:r>
          </w:p>
          <w:p>
            <w:pPr>
              <w:pStyle w:val="TableParagraph"/>
              <w:spacing w:before="96"/>
              <w:ind w:left="106"/>
              <w:rPr>
                <w:sz w:val="20"/>
              </w:rPr>
            </w:pPr>
            <w:r>
              <w:rPr>
                <w:sz w:val="20"/>
              </w:rPr>
              <w:t>as specified </w:t>
            </w:r>
            <w:r>
              <w:rPr>
                <w:sz w:val="20"/>
              </w:rPr>
              <w:t>in </w:t>
            </w:r>
            <w:r>
              <w:rPr>
                <w:spacing w:val="-4"/>
                <w:sz w:val="20"/>
              </w:rPr>
              <w:t>DCR</w:t>
            </w:r>
          </w:p>
          <w:p>
            <w:pPr>
              <w:pStyle w:val="TableParagraph"/>
              <w:ind w:left="106" w:right="226"/>
              <w:rPr>
                <w:sz w:val="20"/>
              </w:rPr>
            </w:pPr>
            <w:r>
              <w:rPr>
                <w:spacing w:val="-2"/>
                <w:sz w:val="20"/>
              </w:rPr>
              <w:t>connected </w:t>
            </w:r>
            <w:r>
              <w:rPr>
                <w:spacing w:val="-4"/>
                <w:sz w:val="20"/>
              </w:rPr>
              <w:t>with </w:t>
            </w:r>
            <w:r>
              <w:rPr>
                <w:spacing w:val="-2"/>
                <w:sz w:val="20"/>
              </w:rPr>
              <w:t>development permission;</w:t>
            </w:r>
          </w:p>
          <w:p>
            <w:pPr>
              <w:pStyle w:val="TableParagraph"/>
              <w:numPr>
                <w:ilvl w:val="0"/>
                <w:numId w:val="383"/>
              </w:numPr>
              <w:tabs>
                <w:tab w:pos="345" w:val="left" w:leader="none"/>
              </w:tabs>
              <w:spacing w:line="240" w:lineRule="auto" w:before="96" w:after="0"/>
              <w:ind w:left="106" w:right="235" w:firstLine="0"/>
              <w:jc w:val="left"/>
              <w:rPr>
                <w:sz w:val="20"/>
              </w:rPr>
            </w:pPr>
            <w:r>
              <w:rPr>
                <w:spacing w:val="-4"/>
                <w:sz w:val="20"/>
              </w:rPr>
              <w:t>Work</w:t>
            </w:r>
            <w:r>
              <w:rPr>
                <w:spacing w:val="80"/>
                <w:sz w:val="20"/>
              </w:rPr>
              <w:t> </w:t>
            </w:r>
            <w:r>
              <w:rPr>
                <w:sz w:val="20"/>
              </w:rPr>
              <w:t>Start Notice Certificate of </w:t>
            </w:r>
            <w:r>
              <w:rPr>
                <w:spacing w:val="-2"/>
                <w:sz w:val="20"/>
              </w:rPr>
              <w:t>plinth completion. </w:t>
            </w:r>
            <w:r>
              <w:rPr>
                <w:sz w:val="20"/>
              </w:rPr>
              <w:t>Certificate of </w:t>
            </w:r>
            <w:r>
              <w:rPr>
                <w:spacing w:val="-2"/>
                <w:sz w:val="20"/>
              </w:rPr>
              <w:t>supervision completion </w:t>
            </w:r>
            <w:r>
              <w:rPr>
                <w:sz w:val="20"/>
              </w:rPr>
              <w:t>certificate</w:t>
            </w:r>
            <w:r>
              <w:rPr>
                <w:spacing w:val="-16"/>
                <w:sz w:val="20"/>
              </w:rPr>
              <w:t> </w:t>
            </w:r>
            <w:r>
              <w:rPr>
                <w:sz w:val="20"/>
              </w:rPr>
              <w:t>for building</w:t>
            </w:r>
            <w:r>
              <w:rPr>
                <w:spacing w:val="-16"/>
                <w:sz w:val="20"/>
              </w:rPr>
              <w:t> </w:t>
            </w:r>
            <w:r>
              <w:rPr>
                <w:sz w:val="20"/>
              </w:rPr>
              <w:t>with </w:t>
            </w:r>
            <w:r>
              <w:rPr>
                <w:spacing w:val="-2"/>
                <w:sz w:val="20"/>
              </w:rPr>
              <w:t>plans.</w:t>
            </w:r>
          </w:p>
        </w:tc>
        <w:tc>
          <w:tcPr>
            <w:tcW w:w="1748" w:type="dxa"/>
          </w:tcPr>
          <w:p>
            <w:pPr>
              <w:pStyle w:val="TableParagraph"/>
              <w:spacing w:before="97"/>
              <w:ind w:left="106" w:right="104"/>
              <w:rPr>
                <w:sz w:val="20"/>
              </w:rPr>
            </w:pPr>
            <w:r>
              <w:rPr>
                <w:sz w:val="20"/>
              </w:rPr>
              <w:t>The Architect/ </w:t>
            </w:r>
            <w:r>
              <w:rPr>
                <w:spacing w:val="-2"/>
                <w:sz w:val="20"/>
              </w:rPr>
              <w:t>Licensed </w:t>
            </w:r>
            <w:r>
              <w:rPr>
                <w:sz w:val="20"/>
              </w:rPr>
              <w:t>Surveyor shall be responsible for designing the building in conformity</w:t>
            </w:r>
            <w:r>
              <w:rPr>
                <w:spacing w:val="-16"/>
                <w:sz w:val="20"/>
              </w:rPr>
              <w:t> </w:t>
            </w:r>
            <w:r>
              <w:rPr>
                <w:sz w:val="20"/>
              </w:rPr>
              <w:t>with </w:t>
            </w:r>
            <w:r>
              <w:rPr>
                <w:spacing w:val="-2"/>
                <w:sz w:val="20"/>
              </w:rPr>
              <w:t>these Regulations,</w:t>
            </w:r>
            <w:r>
              <w:rPr>
                <w:spacing w:val="80"/>
                <w:sz w:val="20"/>
              </w:rPr>
              <w:t> </w:t>
            </w:r>
            <w:r>
              <w:rPr>
                <w:spacing w:val="-4"/>
                <w:sz w:val="20"/>
              </w:rPr>
              <w:t>for </w:t>
            </w:r>
            <w:r>
              <w:rPr>
                <w:spacing w:val="-2"/>
                <w:sz w:val="20"/>
              </w:rPr>
              <w:t>authentication </w:t>
            </w:r>
            <w:r>
              <w:rPr>
                <w:sz w:val="20"/>
              </w:rPr>
              <w:t>of documents </w:t>
            </w:r>
            <w:r>
              <w:rPr>
                <w:spacing w:val="-2"/>
                <w:sz w:val="20"/>
              </w:rPr>
              <w:t>submitted </w:t>
            </w:r>
            <w:r>
              <w:rPr>
                <w:sz w:val="20"/>
              </w:rPr>
              <w:t>except legal document and for ensuring that the development is carried out as per approved plans, else get amended</w:t>
            </w:r>
            <w:r>
              <w:rPr>
                <w:spacing w:val="-5"/>
                <w:sz w:val="20"/>
              </w:rPr>
              <w:t> </w:t>
            </w:r>
            <w:r>
              <w:rPr>
                <w:sz w:val="20"/>
              </w:rPr>
              <w:t>plans approved and intimating the </w:t>
            </w:r>
            <w:r>
              <w:rPr>
                <w:spacing w:val="-2"/>
                <w:sz w:val="20"/>
              </w:rPr>
              <w:t>Authority.</w:t>
            </w:r>
          </w:p>
        </w:tc>
      </w:tr>
      <w:tr>
        <w:trPr>
          <w:trHeight w:val="1033" w:hRule="atLeast"/>
        </w:trPr>
        <w:tc>
          <w:tcPr>
            <w:tcW w:w="559" w:type="dxa"/>
          </w:tcPr>
          <w:p>
            <w:pPr>
              <w:pStyle w:val="TableParagraph"/>
              <w:spacing w:before="94"/>
              <w:ind w:left="107"/>
              <w:rPr>
                <w:sz w:val="20"/>
              </w:rPr>
            </w:pPr>
            <w:r>
              <w:rPr>
                <w:spacing w:val="-10"/>
                <w:sz w:val="20"/>
              </w:rPr>
              <w:t>4</w:t>
            </w:r>
          </w:p>
        </w:tc>
        <w:tc>
          <w:tcPr>
            <w:tcW w:w="1152" w:type="dxa"/>
          </w:tcPr>
          <w:p>
            <w:pPr>
              <w:pStyle w:val="TableParagraph"/>
              <w:spacing w:before="94"/>
              <w:ind w:left="107" w:right="133" w:hanging="53"/>
              <w:rPr>
                <w:sz w:val="20"/>
              </w:rPr>
            </w:pPr>
            <w:r>
              <w:rPr>
                <w:spacing w:val="-2"/>
                <w:sz w:val="20"/>
              </w:rPr>
              <w:t>Structura </w:t>
            </w:r>
            <w:r>
              <w:rPr>
                <w:spacing w:val="-10"/>
                <w:sz w:val="20"/>
              </w:rPr>
              <w:t>l </w:t>
            </w:r>
            <w:r>
              <w:rPr>
                <w:spacing w:val="-2"/>
                <w:sz w:val="20"/>
              </w:rPr>
              <w:t>Engineer</w:t>
            </w:r>
          </w:p>
        </w:tc>
        <w:tc>
          <w:tcPr>
            <w:tcW w:w="2785" w:type="dxa"/>
          </w:tcPr>
          <w:p>
            <w:pPr>
              <w:pStyle w:val="TableParagraph"/>
              <w:tabs>
                <w:tab w:pos="1722" w:val="left" w:leader="none"/>
                <w:tab w:pos="1856" w:val="left" w:leader="none"/>
                <w:tab w:pos="2558" w:val="left" w:leader="none"/>
              </w:tabs>
              <w:spacing w:before="94"/>
              <w:ind w:left="107" w:right="96"/>
              <w:rPr>
                <w:sz w:val="20"/>
              </w:rPr>
            </w:pPr>
            <w:r>
              <w:rPr>
                <w:spacing w:val="-4"/>
                <w:sz w:val="20"/>
              </w:rPr>
              <w:t>The</w:t>
            </w:r>
            <w:r>
              <w:rPr>
                <w:sz w:val="20"/>
              </w:rPr>
              <w:tab/>
            </w:r>
            <w:r>
              <w:rPr>
                <w:spacing w:val="-2"/>
                <w:sz w:val="20"/>
              </w:rPr>
              <w:t>minimum qualifications</w:t>
            </w:r>
            <w:r>
              <w:rPr>
                <w:sz w:val="20"/>
              </w:rPr>
              <w:tab/>
              <w:tab/>
            </w:r>
            <w:r>
              <w:rPr>
                <w:spacing w:val="-5"/>
                <w:sz w:val="20"/>
              </w:rPr>
              <w:t>for</w:t>
            </w:r>
            <w:r>
              <w:rPr>
                <w:sz w:val="20"/>
              </w:rPr>
              <w:tab/>
            </w:r>
            <w:r>
              <w:rPr>
                <w:spacing w:val="-10"/>
                <w:sz w:val="20"/>
              </w:rPr>
              <w:t>a</w:t>
            </w:r>
          </w:p>
          <w:p>
            <w:pPr>
              <w:pStyle w:val="TableParagraph"/>
              <w:tabs>
                <w:tab w:pos="599" w:val="left" w:leader="none"/>
                <w:tab w:pos="1784" w:val="left" w:leader="none"/>
                <w:tab w:pos="2242" w:val="left" w:leader="none"/>
              </w:tabs>
              <w:spacing w:line="232" w:lineRule="exact"/>
              <w:ind w:left="107" w:right="96"/>
              <w:rPr>
                <w:sz w:val="20"/>
              </w:rPr>
            </w:pPr>
            <w:r>
              <w:rPr>
                <w:sz w:val="20"/>
              </w:rPr>
              <w:t>Structural</w:t>
            </w:r>
            <w:r>
              <w:rPr>
                <w:spacing w:val="23"/>
                <w:sz w:val="20"/>
              </w:rPr>
              <w:t> </w:t>
            </w:r>
            <w:r>
              <w:rPr>
                <w:sz w:val="20"/>
              </w:rPr>
              <w:t>Engineer</w:t>
            </w:r>
            <w:r>
              <w:rPr>
                <w:spacing w:val="24"/>
                <w:sz w:val="20"/>
              </w:rPr>
              <w:t> </w:t>
            </w:r>
            <w:r>
              <w:rPr>
                <w:sz w:val="20"/>
              </w:rPr>
              <w:t>shall </w:t>
            </w:r>
            <w:r>
              <w:rPr>
                <w:spacing w:val="-5"/>
                <w:sz w:val="20"/>
              </w:rPr>
              <w:t>be</w:t>
            </w:r>
            <w:r>
              <w:rPr>
                <w:sz w:val="20"/>
              </w:rPr>
              <w:tab/>
            </w:r>
            <w:r>
              <w:rPr>
                <w:spacing w:val="-2"/>
                <w:sz w:val="20"/>
              </w:rPr>
              <w:t>Graduate</w:t>
            </w:r>
            <w:r>
              <w:rPr>
                <w:sz w:val="20"/>
              </w:rPr>
              <w:tab/>
            </w:r>
            <w:r>
              <w:rPr>
                <w:spacing w:val="-5"/>
                <w:sz w:val="20"/>
              </w:rPr>
              <w:t>in</w:t>
            </w:r>
            <w:r>
              <w:rPr>
                <w:sz w:val="20"/>
              </w:rPr>
              <w:tab/>
            </w:r>
            <w:r>
              <w:rPr>
                <w:spacing w:val="-4"/>
                <w:sz w:val="20"/>
              </w:rPr>
              <w:t>Civil</w:t>
            </w:r>
          </w:p>
        </w:tc>
        <w:tc>
          <w:tcPr>
            <w:tcW w:w="1465" w:type="dxa"/>
          </w:tcPr>
          <w:p>
            <w:pPr>
              <w:pStyle w:val="TableParagraph"/>
              <w:spacing w:before="94"/>
              <w:ind w:left="107"/>
              <w:rPr>
                <w:sz w:val="20"/>
              </w:rPr>
            </w:pPr>
            <w:r>
              <w:rPr>
                <w:spacing w:val="-4"/>
                <w:sz w:val="20"/>
              </w:rPr>
              <w:t>Registration with</w:t>
            </w:r>
          </w:p>
          <w:p>
            <w:pPr>
              <w:pStyle w:val="TableParagraph"/>
              <w:spacing w:line="232" w:lineRule="exact"/>
              <w:ind w:left="107"/>
              <w:rPr>
                <w:sz w:val="20"/>
              </w:rPr>
            </w:pPr>
            <w:r>
              <w:rPr>
                <w:spacing w:val="-2"/>
                <w:sz w:val="20"/>
              </w:rPr>
              <w:t>Municipal Corporation</w:t>
            </w:r>
          </w:p>
        </w:tc>
        <w:tc>
          <w:tcPr>
            <w:tcW w:w="1645" w:type="dxa"/>
          </w:tcPr>
          <w:p>
            <w:pPr>
              <w:pStyle w:val="TableParagraph"/>
              <w:spacing w:before="94"/>
              <w:ind w:left="106"/>
              <w:rPr>
                <w:sz w:val="20"/>
              </w:rPr>
            </w:pPr>
            <w:r>
              <w:rPr>
                <w:sz w:val="20"/>
              </w:rPr>
              <w:t>To</w:t>
            </w:r>
            <w:r>
              <w:rPr>
                <w:spacing w:val="-8"/>
                <w:sz w:val="20"/>
              </w:rPr>
              <w:t> </w:t>
            </w:r>
            <w:r>
              <w:rPr>
                <w:sz w:val="20"/>
              </w:rPr>
              <w:t>carry</w:t>
            </w:r>
            <w:r>
              <w:rPr>
                <w:spacing w:val="-7"/>
                <w:sz w:val="20"/>
              </w:rPr>
              <w:t> </w:t>
            </w:r>
            <w:r>
              <w:rPr>
                <w:sz w:val="20"/>
              </w:rPr>
              <w:t>out work</w:t>
            </w:r>
            <w:r>
              <w:rPr>
                <w:spacing w:val="-7"/>
                <w:sz w:val="20"/>
              </w:rPr>
              <w:t> </w:t>
            </w:r>
            <w:r>
              <w:rPr>
                <w:spacing w:val="-2"/>
                <w:sz w:val="20"/>
              </w:rPr>
              <w:t>related</w:t>
            </w:r>
          </w:p>
          <w:p>
            <w:pPr>
              <w:pStyle w:val="TableParagraph"/>
              <w:spacing w:line="232" w:lineRule="exact"/>
              <w:ind w:left="106" w:right="226"/>
              <w:rPr>
                <w:sz w:val="20"/>
              </w:rPr>
            </w:pPr>
            <w:r>
              <w:rPr>
                <w:spacing w:val="-6"/>
                <w:sz w:val="20"/>
              </w:rPr>
              <w:t>to </w:t>
            </w:r>
            <w:r>
              <w:rPr>
                <w:spacing w:val="-2"/>
                <w:sz w:val="20"/>
              </w:rPr>
              <w:t>development</w:t>
            </w:r>
          </w:p>
        </w:tc>
        <w:tc>
          <w:tcPr>
            <w:tcW w:w="1748" w:type="dxa"/>
          </w:tcPr>
          <w:p>
            <w:pPr>
              <w:pStyle w:val="TableParagraph"/>
              <w:tabs>
                <w:tab w:pos="1164" w:val="left" w:leader="none"/>
              </w:tabs>
              <w:spacing w:before="94"/>
              <w:ind w:left="106" w:right="101"/>
              <w:rPr>
                <w:sz w:val="20"/>
              </w:rPr>
            </w:pPr>
            <w:r>
              <w:rPr>
                <w:sz w:val="20"/>
              </w:rPr>
              <w:t>The</w:t>
            </w:r>
            <w:r>
              <w:rPr>
                <w:spacing w:val="80"/>
                <w:sz w:val="20"/>
              </w:rPr>
              <w:t> </w:t>
            </w:r>
            <w:r>
              <w:rPr>
                <w:sz w:val="20"/>
              </w:rPr>
              <w:t>structural </w:t>
            </w:r>
            <w:r>
              <w:rPr>
                <w:spacing w:val="-2"/>
                <w:sz w:val="20"/>
              </w:rPr>
              <w:t>engineer</w:t>
            </w:r>
            <w:r>
              <w:rPr>
                <w:sz w:val="20"/>
              </w:rPr>
              <w:tab/>
            </w:r>
            <w:r>
              <w:rPr>
                <w:spacing w:val="-2"/>
                <w:sz w:val="20"/>
              </w:rPr>
              <w:t>shall</w:t>
            </w:r>
          </w:p>
          <w:p>
            <w:pPr>
              <w:pStyle w:val="TableParagraph"/>
              <w:tabs>
                <w:tab w:pos="1327" w:val="left" w:leader="none"/>
              </w:tabs>
              <w:spacing w:line="232" w:lineRule="exact"/>
              <w:ind w:left="106" w:right="96"/>
              <w:rPr>
                <w:sz w:val="20"/>
              </w:rPr>
            </w:pPr>
            <w:r>
              <w:rPr>
                <w:sz w:val="20"/>
              </w:rPr>
              <w:t>be</w:t>
            </w:r>
            <w:r>
              <w:rPr>
                <w:spacing w:val="80"/>
                <w:sz w:val="20"/>
              </w:rPr>
              <w:t> </w:t>
            </w:r>
            <w:r>
              <w:rPr>
                <w:sz w:val="20"/>
              </w:rPr>
              <w:t>responsible </w:t>
            </w:r>
            <w:r>
              <w:rPr>
                <w:spacing w:val="-5"/>
                <w:sz w:val="20"/>
              </w:rPr>
              <w:t>for</w:t>
            </w:r>
            <w:r>
              <w:rPr>
                <w:sz w:val="20"/>
              </w:rPr>
              <w:tab/>
            </w:r>
            <w:r>
              <w:rPr>
                <w:spacing w:val="-5"/>
                <w:sz w:val="20"/>
              </w:rPr>
              <w:t>the</w:t>
            </w:r>
          </w:p>
        </w:tc>
      </w:tr>
    </w:tbl>
    <w:p>
      <w:pPr>
        <w:pStyle w:val="TableParagraph"/>
        <w:spacing w:after="0" w:line="232" w:lineRule="exact"/>
        <w:rPr>
          <w:sz w:val="20"/>
        </w:rPr>
        <w:sectPr>
          <w:pgSz w:w="11910" w:h="16850"/>
          <w:pgMar w:header="1022" w:footer="1070" w:top="1460" w:bottom="1260" w:left="360" w:right="360"/>
        </w:sectPr>
      </w:pPr>
    </w:p>
    <w:p>
      <w:pPr>
        <w:pStyle w:val="BodyText"/>
        <w:spacing w:before="44"/>
        <w:jc w:val="left"/>
        <w:rPr>
          <w:b/>
          <w:sz w:val="20"/>
        </w:rPr>
      </w:pPr>
    </w:p>
    <w:tbl>
      <w:tblPr>
        <w:tblW w:w="0" w:type="auto"/>
        <w:jc w:val="left"/>
        <w:tblInd w:w="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1152"/>
        <w:gridCol w:w="2785"/>
        <w:gridCol w:w="1465"/>
        <w:gridCol w:w="1645"/>
        <w:gridCol w:w="1748"/>
      </w:tblGrid>
      <w:tr>
        <w:trPr>
          <w:trHeight w:val="638" w:hRule="atLeast"/>
        </w:trPr>
        <w:tc>
          <w:tcPr>
            <w:tcW w:w="559" w:type="dxa"/>
            <w:shd w:val="clear" w:color="auto" w:fill="E7E6E6"/>
          </w:tcPr>
          <w:p>
            <w:pPr>
              <w:pStyle w:val="TableParagraph"/>
              <w:spacing w:before="94"/>
              <w:ind w:left="107" w:right="150"/>
              <w:rPr>
                <w:sz w:val="20"/>
              </w:rPr>
            </w:pPr>
            <w:r>
              <w:rPr>
                <w:spacing w:val="-4"/>
                <w:sz w:val="20"/>
              </w:rPr>
              <w:t>Sr. </w:t>
            </w:r>
            <w:r>
              <w:rPr>
                <w:spacing w:val="-5"/>
                <w:sz w:val="20"/>
              </w:rPr>
              <w:t>No</w:t>
            </w:r>
          </w:p>
        </w:tc>
        <w:tc>
          <w:tcPr>
            <w:tcW w:w="1152" w:type="dxa"/>
            <w:shd w:val="clear" w:color="auto" w:fill="E7E6E6"/>
          </w:tcPr>
          <w:p>
            <w:pPr>
              <w:pStyle w:val="TableParagraph"/>
              <w:spacing w:before="94"/>
              <w:ind w:left="107" w:right="161"/>
              <w:rPr>
                <w:sz w:val="20"/>
              </w:rPr>
            </w:pPr>
            <w:r>
              <w:rPr>
                <w:spacing w:val="-2"/>
                <w:sz w:val="20"/>
              </w:rPr>
              <w:t>Professio </w:t>
            </w:r>
            <w:r>
              <w:rPr>
                <w:spacing w:val="-4"/>
                <w:sz w:val="20"/>
              </w:rPr>
              <w:t>nals</w:t>
            </w:r>
          </w:p>
        </w:tc>
        <w:tc>
          <w:tcPr>
            <w:tcW w:w="2785" w:type="dxa"/>
            <w:shd w:val="clear" w:color="auto" w:fill="E7E6E6"/>
          </w:tcPr>
          <w:p>
            <w:pPr>
              <w:pStyle w:val="TableParagraph"/>
              <w:spacing w:before="94"/>
              <w:ind w:left="107"/>
              <w:rPr>
                <w:sz w:val="20"/>
              </w:rPr>
            </w:pPr>
            <w:r>
              <w:rPr>
                <w:spacing w:val="-2"/>
                <w:sz w:val="20"/>
              </w:rPr>
              <w:t>Qualification</w:t>
            </w:r>
          </w:p>
        </w:tc>
        <w:tc>
          <w:tcPr>
            <w:tcW w:w="1465" w:type="dxa"/>
            <w:shd w:val="clear" w:color="auto" w:fill="E7E6E6"/>
          </w:tcPr>
          <w:p>
            <w:pPr>
              <w:pStyle w:val="TableParagraph"/>
              <w:spacing w:before="94"/>
              <w:ind w:left="107"/>
              <w:rPr>
                <w:sz w:val="20"/>
              </w:rPr>
            </w:pPr>
            <w:r>
              <w:rPr>
                <w:spacing w:val="-2"/>
                <w:sz w:val="20"/>
              </w:rPr>
              <w:t>Registration</w:t>
            </w:r>
          </w:p>
        </w:tc>
        <w:tc>
          <w:tcPr>
            <w:tcW w:w="1645" w:type="dxa"/>
            <w:shd w:val="clear" w:color="auto" w:fill="E7E6E6"/>
          </w:tcPr>
          <w:p>
            <w:pPr>
              <w:pStyle w:val="TableParagraph"/>
              <w:spacing w:before="94"/>
              <w:ind w:left="106"/>
              <w:rPr>
                <w:sz w:val="20"/>
              </w:rPr>
            </w:pPr>
            <w:r>
              <w:rPr>
                <w:spacing w:val="-2"/>
                <w:sz w:val="20"/>
              </w:rPr>
              <w:t>Duties</w:t>
            </w:r>
          </w:p>
        </w:tc>
        <w:tc>
          <w:tcPr>
            <w:tcW w:w="1748" w:type="dxa"/>
            <w:shd w:val="clear" w:color="auto" w:fill="E7E6E6"/>
          </w:tcPr>
          <w:p>
            <w:pPr>
              <w:pStyle w:val="TableParagraph"/>
              <w:spacing w:before="94"/>
              <w:ind w:left="106"/>
              <w:rPr>
                <w:sz w:val="20"/>
              </w:rPr>
            </w:pPr>
            <w:r>
              <w:rPr>
                <w:spacing w:val="-2"/>
                <w:sz w:val="20"/>
              </w:rPr>
              <w:t>Responsibilities</w:t>
            </w:r>
          </w:p>
        </w:tc>
      </w:tr>
      <w:tr>
        <w:trPr>
          <w:trHeight w:val="7265" w:hRule="atLeast"/>
        </w:trPr>
        <w:tc>
          <w:tcPr>
            <w:tcW w:w="559" w:type="dxa"/>
          </w:tcPr>
          <w:p>
            <w:pPr>
              <w:pStyle w:val="TableParagraph"/>
              <w:rPr>
                <w:rFonts w:ascii="Times New Roman"/>
                <w:sz w:val="18"/>
              </w:rPr>
            </w:pPr>
          </w:p>
        </w:tc>
        <w:tc>
          <w:tcPr>
            <w:tcW w:w="1152" w:type="dxa"/>
          </w:tcPr>
          <w:p>
            <w:pPr>
              <w:pStyle w:val="TableParagraph"/>
              <w:rPr>
                <w:rFonts w:ascii="Times New Roman"/>
                <w:sz w:val="18"/>
              </w:rPr>
            </w:pPr>
          </w:p>
        </w:tc>
        <w:tc>
          <w:tcPr>
            <w:tcW w:w="2785" w:type="dxa"/>
          </w:tcPr>
          <w:p>
            <w:pPr>
              <w:pStyle w:val="TableParagraph"/>
              <w:ind w:left="107" w:right="96"/>
              <w:jc w:val="both"/>
              <w:rPr>
                <w:sz w:val="20"/>
              </w:rPr>
            </w:pPr>
            <w:r>
              <w:rPr>
                <w:sz w:val="20"/>
              </w:rPr>
              <w:t>Engineering of recognized Indian or foreign university or Associate Membership in </w:t>
            </w:r>
            <w:r>
              <w:rPr>
                <w:sz w:val="20"/>
              </w:rPr>
              <w:t>Civil Engineering Division of Institution of Engineers (India)</w:t>
            </w:r>
            <w:r>
              <w:rPr>
                <w:spacing w:val="-3"/>
                <w:sz w:val="20"/>
              </w:rPr>
              <w:t> </w:t>
            </w:r>
            <w:r>
              <w:rPr>
                <w:sz w:val="20"/>
              </w:rPr>
              <w:t>and</w:t>
            </w:r>
            <w:r>
              <w:rPr>
                <w:spacing w:val="-5"/>
                <w:sz w:val="20"/>
              </w:rPr>
              <w:t> </w:t>
            </w:r>
            <w:r>
              <w:rPr>
                <w:sz w:val="20"/>
              </w:rPr>
              <w:t>with</w:t>
            </w:r>
            <w:r>
              <w:rPr>
                <w:spacing w:val="-3"/>
                <w:sz w:val="20"/>
              </w:rPr>
              <w:t> </w:t>
            </w:r>
            <w:r>
              <w:rPr>
                <w:spacing w:val="-2"/>
                <w:sz w:val="20"/>
              </w:rPr>
              <w:t>minimum</w:t>
            </w:r>
          </w:p>
          <w:p>
            <w:pPr>
              <w:pStyle w:val="TableParagraph"/>
              <w:ind w:left="107" w:right="98"/>
              <w:jc w:val="both"/>
              <w:rPr>
                <w:sz w:val="20"/>
              </w:rPr>
            </w:pPr>
            <w:r>
              <w:rPr>
                <w:sz w:val="20"/>
              </w:rPr>
              <w:t>3 years of experience in Structural Engineering Practice with </w:t>
            </w:r>
            <w:r>
              <w:rPr>
                <w:sz w:val="20"/>
              </w:rPr>
              <w:t>designing and field work.</w:t>
            </w:r>
          </w:p>
          <w:p>
            <w:pPr>
              <w:pStyle w:val="TableParagraph"/>
              <w:tabs>
                <w:tab w:pos="2365" w:val="left" w:leader="none"/>
              </w:tabs>
              <w:spacing w:before="95"/>
              <w:ind w:left="107" w:right="97"/>
              <w:jc w:val="both"/>
              <w:rPr>
                <w:sz w:val="20"/>
              </w:rPr>
            </w:pPr>
            <w:r>
              <w:rPr>
                <w:sz w:val="20"/>
              </w:rPr>
              <w:t>The 3 years of experience shall</w:t>
            </w:r>
            <w:r>
              <w:rPr>
                <w:spacing w:val="-5"/>
                <w:sz w:val="20"/>
              </w:rPr>
              <w:t> </w:t>
            </w:r>
            <w:r>
              <w:rPr>
                <w:sz w:val="20"/>
              </w:rPr>
              <w:t>be</w:t>
            </w:r>
            <w:r>
              <w:rPr>
                <w:spacing w:val="-6"/>
                <w:sz w:val="20"/>
              </w:rPr>
              <w:t> </w:t>
            </w:r>
            <w:r>
              <w:rPr>
                <w:sz w:val="20"/>
              </w:rPr>
              <w:t>relaxed</w:t>
            </w:r>
            <w:r>
              <w:rPr>
                <w:spacing w:val="-7"/>
                <w:sz w:val="20"/>
              </w:rPr>
              <w:t> </w:t>
            </w:r>
            <w:r>
              <w:rPr>
                <w:sz w:val="20"/>
              </w:rPr>
              <w:t>to</w:t>
            </w:r>
            <w:r>
              <w:rPr>
                <w:spacing w:val="-7"/>
                <w:sz w:val="20"/>
              </w:rPr>
              <w:t> </w:t>
            </w:r>
            <w:r>
              <w:rPr>
                <w:sz w:val="20"/>
              </w:rPr>
              <w:t>2</w:t>
            </w:r>
            <w:r>
              <w:rPr>
                <w:spacing w:val="-7"/>
                <w:sz w:val="20"/>
              </w:rPr>
              <w:t> </w:t>
            </w:r>
            <w:r>
              <w:rPr>
                <w:sz w:val="20"/>
              </w:rPr>
              <w:t>years in the case of </w:t>
            </w:r>
            <w:r>
              <w:rPr>
                <w:sz w:val="20"/>
              </w:rPr>
              <w:t>post graduate degree of recognized Indian or foreign university in the branch of Structural Engineering. In case of Doctorate in Structural </w:t>
            </w:r>
            <w:r>
              <w:rPr>
                <w:spacing w:val="-2"/>
                <w:sz w:val="20"/>
              </w:rPr>
              <w:t>Engineering,</w:t>
            </w:r>
            <w:r>
              <w:rPr>
                <w:sz w:val="20"/>
              </w:rPr>
              <w:tab/>
            </w:r>
            <w:r>
              <w:rPr>
                <w:spacing w:val="-4"/>
                <w:sz w:val="20"/>
              </w:rPr>
              <w:t>the </w:t>
            </w:r>
            <w:r>
              <w:rPr>
                <w:sz w:val="20"/>
              </w:rPr>
              <w:t>experience</w:t>
            </w:r>
            <w:r>
              <w:rPr>
                <w:spacing w:val="-16"/>
                <w:sz w:val="20"/>
              </w:rPr>
              <w:t> </w:t>
            </w:r>
            <w:r>
              <w:rPr>
                <w:sz w:val="20"/>
              </w:rPr>
              <w:t>required</w:t>
            </w:r>
            <w:r>
              <w:rPr>
                <w:spacing w:val="-16"/>
                <w:sz w:val="20"/>
              </w:rPr>
              <w:t> </w:t>
            </w:r>
            <w:r>
              <w:rPr>
                <w:sz w:val="20"/>
              </w:rPr>
              <w:t>would be 1 year</w:t>
            </w:r>
          </w:p>
        </w:tc>
        <w:tc>
          <w:tcPr>
            <w:tcW w:w="1465" w:type="dxa"/>
          </w:tcPr>
          <w:p>
            <w:pPr>
              <w:pStyle w:val="TableParagraph"/>
              <w:ind w:left="107" w:right="148"/>
              <w:rPr>
                <w:sz w:val="20"/>
              </w:rPr>
            </w:pPr>
            <w:r>
              <w:rPr>
                <w:sz w:val="20"/>
              </w:rPr>
              <w:t>with the valid</w:t>
            </w:r>
            <w:r>
              <w:rPr>
                <w:spacing w:val="-16"/>
                <w:sz w:val="20"/>
              </w:rPr>
              <w:t> </w:t>
            </w:r>
            <w:r>
              <w:rPr>
                <w:sz w:val="20"/>
              </w:rPr>
              <w:t>license issued as per the </w:t>
            </w:r>
            <w:r>
              <w:rPr>
                <w:spacing w:val="-2"/>
                <w:sz w:val="20"/>
              </w:rPr>
              <w:t>procedure </w:t>
            </w:r>
            <w:r>
              <w:rPr>
                <w:sz w:val="20"/>
              </w:rPr>
              <w:t>adopted by </w:t>
            </w:r>
            <w:r>
              <w:rPr>
                <w:spacing w:val="-4"/>
                <w:sz w:val="20"/>
              </w:rPr>
              <w:t>MCGM</w:t>
            </w:r>
          </w:p>
        </w:tc>
        <w:tc>
          <w:tcPr>
            <w:tcW w:w="1645" w:type="dxa"/>
          </w:tcPr>
          <w:p>
            <w:pPr>
              <w:pStyle w:val="TableParagraph"/>
              <w:ind w:left="106" w:right="141"/>
              <w:rPr>
                <w:sz w:val="20"/>
              </w:rPr>
            </w:pPr>
            <w:r>
              <w:rPr>
                <w:sz w:val="20"/>
              </w:rPr>
              <w:t>permission</w:t>
            </w:r>
            <w:r>
              <w:rPr>
                <w:spacing w:val="-16"/>
                <w:sz w:val="20"/>
              </w:rPr>
              <w:t> </w:t>
            </w:r>
            <w:r>
              <w:rPr>
                <w:sz w:val="20"/>
              </w:rPr>
              <w:t>as given below and</w:t>
            </w:r>
            <w:r>
              <w:rPr>
                <w:spacing w:val="-16"/>
                <w:sz w:val="20"/>
              </w:rPr>
              <w:t> </w:t>
            </w:r>
            <w:r>
              <w:rPr>
                <w:sz w:val="20"/>
              </w:rPr>
              <w:t>to</w:t>
            </w:r>
            <w:r>
              <w:rPr>
                <w:spacing w:val="-16"/>
                <w:sz w:val="20"/>
              </w:rPr>
              <w:t> </w:t>
            </w:r>
            <w:r>
              <w:rPr>
                <w:sz w:val="20"/>
              </w:rPr>
              <w:t>submit </w:t>
            </w:r>
            <w:r>
              <w:rPr>
                <w:spacing w:val="-10"/>
                <w:sz w:val="20"/>
              </w:rPr>
              <w:t>–</w:t>
            </w:r>
          </w:p>
          <w:p>
            <w:pPr>
              <w:pStyle w:val="TableParagraph"/>
              <w:numPr>
                <w:ilvl w:val="0"/>
                <w:numId w:val="384"/>
              </w:numPr>
              <w:tabs>
                <w:tab w:pos="279" w:val="left" w:leader="none"/>
              </w:tabs>
              <w:spacing w:line="240" w:lineRule="auto" w:before="93" w:after="0"/>
              <w:ind w:left="106" w:right="296" w:firstLine="0"/>
              <w:jc w:val="left"/>
              <w:rPr>
                <w:sz w:val="20"/>
              </w:rPr>
            </w:pPr>
            <w:r>
              <w:rPr>
                <w:spacing w:val="-4"/>
                <w:sz w:val="20"/>
              </w:rPr>
              <w:t>All </w:t>
            </w:r>
            <w:r>
              <w:rPr>
                <w:spacing w:val="-2"/>
                <w:sz w:val="20"/>
              </w:rPr>
              <w:t>structural </w:t>
            </w:r>
            <w:r>
              <w:rPr>
                <w:sz w:val="20"/>
              </w:rPr>
              <w:t>plans and </w:t>
            </w:r>
            <w:r>
              <w:rPr>
                <w:spacing w:val="-2"/>
                <w:sz w:val="20"/>
              </w:rPr>
              <w:t>related information connected </w:t>
            </w:r>
            <w:r>
              <w:rPr>
                <w:spacing w:val="-4"/>
                <w:sz w:val="20"/>
              </w:rPr>
              <w:t>with </w:t>
            </w:r>
            <w:r>
              <w:rPr>
                <w:spacing w:val="-2"/>
                <w:sz w:val="20"/>
              </w:rPr>
              <w:t>development permission</w:t>
            </w:r>
          </w:p>
          <w:p>
            <w:pPr>
              <w:pStyle w:val="TableParagraph"/>
              <w:numPr>
                <w:ilvl w:val="0"/>
                <w:numId w:val="384"/>
              </w:numPr>
              <w:tabs>
                <w:tab w:pos="287" w:val="left" w:leader="none"/>
              </w:tabs>
              <w:spacing w:line="240" w:lineRule="auto" w:before="99" w:after="0"/>
              <w:ind w:left="106" w:right="212" w:firstLine="0"/>
              <w:jc w:val="left"/>
              <w:rPr>
                <w:sz w:val="20"/>
              </w:rPr>
            </w:pPr>
            <w:r>
              <w:rPr>
                <w:spacing w:val="-2"/>
                <w:sz w:val="20"/>
              </w:rPr>
              <w:t>structural </w:t>
            </w:r>
            <w:r>
              <w:rPr>
                <w:sz w:val="20"/>
              </w:rPr>
              <w:t>details and calculation</w:t>
            </w:r>
            <w:r>
              <w:rPr>
                <w:spacing w:val="-16"/>
                <w:sz w:val="20"/>
              </w:rPr>
              <w:t> </w:t>
            </w:r>
            <w:r>
              <w:rPr>
                <w:sz w:val="20"/>
              </w:rPr>
              <w:t>of all parts of </w:t>
            </w:r>
            <w:r>
              <w:rPr>
                <w:spacing w:val="-2"/>
                <w:sz w:val="20"/>
              </w:rPr>
              <w:t>buildings</w:t>
            </w:r>
          </w:p>
          <w:p>
            <w:pPr>
              <w:pStyle w:val="TableParagraph"/>
              <w:numPr>
                <w:ilvl w:val="0"/>
                <w:numId w:val="384"/>
              </w:numPr>
              <w:tabs>
                <w:tab w:pos="269" w:val="left" w:leader="none"/>
              </w:tabs>
              <w:spacing w:line="240" w:lineRule="auto" w:before="95" w:after="0"/>
              <w:ind w:left="106" w:right="169" w:firstLine="0"/>
              <w:jc w:val="left"/>
              <w:rPr>
                <w:sz w:val="20"/>
              </w:rPr>
            </w:pPr>
            <w:r>
              <w:rPr>
                <w:sz w:val="20"/>
              </w:rPr>
              <w:t>certificate</w:t>
            </w:r>
            <w:r>
              <w:rPr>
                <w:spacing w:val="-16"/>
                <w:sz w:val="20"/>
              </w:rPr>
              <w:t> </w:t>
            </w:r>
            <w:r>
              <w:rPr>
                <w:sz w:val="20"/>
              </w:rPr>
              <w:t>of </w:t>
            </w:r>
            <w:r>
              <w:rPr>
                <w:spacing w:val="-2"/>
                <w:sz w:val="20"/>
              </w:rPr>
              <w:t>plinth completion</w:t>
            </w:r>
          </w:p>
          <w:p>
            <w:pPr>
              <w:pStyle w:val="TableParagraph"/>
              <w:numPr>
                <w:ilvl w:val="0"/>
                <w:numId w:val="384"/>
              </w:numPr>
              <w:tabs>
                <w:tab w:pos="352" w:val="left" w:leader="none"/>
              </w:tabs>
              <w:spacing w:line="240" w:lineRule="auto" w:before="95" w:after="0"/>
              <w:ind w:left="106" w:right="162" w:firstLine="0"/>
              <w:jc w:val="left"/>
              <w:rPr>
                <w:sz w:val="20"/>
              </w:rPr>
            </w:pPr>
            <w:r>
              <w:rPr>
                <w:spacing w:val="-2"/>
                <w:sz w:val="20"/>
              </w:rPr>
              <w:t>Certificate </w:t>
            </w:r>
            <w:r>
              <w:rPr>
                <w:sz w:val="20"/>
              </w:rPr>
              <w:t>of</w:t>
            </w:r>
            <w:r>
              <w:rPr>
                <w:spacing w:val="-16"/>
                <w:sz w:val="20"/>
              </w:rPr>
              <w:t> </w:t>
            </w:r>
            <w:r>
              <w:rPr>
                <w:sz w:val="20"/>
              </w:rPr>
              <w:t>supervision </w:t>
            </w:r>
            <w:r>
              <w:rPr>
                <w:spacing w:val="-4"/>
                <w:sz w:val="20"/>
              </w:rPr>
              <w:t>and </w:t>
            </w:r>
            <w:r>
              <w:rPr>
                <w:spacing w:val="-2"/>
                <w:sz w:val="20"/>
              </w:rPr>
              <w:t>completion </w:t>
            </w:r>
            <w:r>
              <w:rPr>
                <w:sz w:val="20"/>
              </w:rPr>
              <w:t>certificate for building with </w:t>
            </w:r>
            <w:r>
              <w:rPr>
                <w:spacing w:val="-2"/>
                <w:sz w:val="20"/>
              </w:rPr>
              <w:t>completion plans.</w:t>
            </w:r>
          </w:p>
        </w:tc>
        <w:tc>
          <w:tcPr>
            <w:tcW w:w="1748" w:type="dxa"/>
          </w:tcPr>
          <w:p>
            <w:pPr>
              <w:pStyle w:val="TableParagraph"/>
              <w:tabs>
                <w:tab w:pos="1264" w:val="left" w:leader="none"/>
              </w:tabs>
              <w:ind w:left="106" w:right="100"/>
              <w:rPr>
                <w:sz w:val="20"/>
              </w:rPr>
            </w:pPr>
            <w:r>
              <w:rPr>
                <w:spacing w:val="-2"/>
                <w:sz w:val="20"/>
              </w:rPr>
              <w:t>structural safety</w:t>
            </w:r>
            <w:r>
              <w:rPr>
                <w:sz w:val="20"/>
              </w:rPr>
              <w:tab/>
            </w:r>
            <w:r>
              <w:rPr>
                <w:spacing w:val="-5"/>
                <w:sz w:val="20"/>
              </w:rPr>
              <w:t>and</w:t>
            </w:r>
          </w:p>
          <w:p>
            <w:pPr>
              <w:pStyle w:val="TableParagraph"/>
              <w:tabs>
                <w:tab w:pos="667" w:val="left" w:leader="none"/>
                <w:tab w:pos="1128" w:val="left" w:leader="none"/>
                <w:tab w:pos="1324" w:val="left" w:leader="none"/>
                <w:tab w:pos="1462" w:val="left" w:leader="none"/>
              </w:tabs>
              <w:ind w:left="106" w:right="96"/>
              <w:rPr>
                <w:sz w:val="20"/>
              </w:rPr>
            </w:pPr>
            <w:r>
              <w:rPr>
                <w:spacing w:val="-2"/>
                <w:sz w:val="20"/>
              </w:rPr>
              <w:t>stability</w:t>
            </w:r>
            <w:r>
              <w:rPr>
                <w:sz w:val="20"/>
              </w:rPr>
              <w:tab/>
              <w:tab/>
              <w:tab/>
            </w:r>
            <w:r>
              <w:rPr>
                <w:spacing w:val="-6"/>
                <w:sz w:val="20"/>
              </w:rPr>
              <w:t>of </w:t>
            </w:r>
            <w:r>
              <w:rPr>
                <w:spacing w:val="-2"/>
                <w:sz w:val="20"/>
              </w:rPr>
              <w:t>development </w:t>
            </w:r>
            <w:r>
              <w:rPr>
                <w:sz w:val="20"/>
              </w:rPr>
              <w:t>carried</w:t>
            </w:r>
            <w:r>
              <w:rPr>
                <w:spacing w:val="40"/>
                <w:sz w:val="20"/>
              </w:rPr>
              <w:t> </w:t>
            </w:r>
            <w:r>
              <w:rPr>
                <w:sz w:val="20"/>
              </w:rPr>
              <w:t>out</w:t>
            </w:r>
            <w:r>
              <w:rPr>
                <w:spacing w:val="40"/>
                <w:sz w:val="20"/>
              </w:rPr>
              <w:t> </w:t>
            </w:r>
            <w:r>
              <w:rPr>
                <w:sz w:val="20"/>
              </w:rPr>
              <w:t>on site.</w:t>
            </w:r>
            <w:r>
              <w:rPr>
                <w:spacing w:val="80"/>
                <w:sz w:val="20"/>
              </w:rPr>
              <w:t> </w:t>
            </w:r>
            <w:r>
              <w:rPr>
                <w:sz w:val="20"/>
              </w:rPr>
              <w:t>He</w:t>
            </w:r>
            <w:r>
              <w:rPr>
                <w:spacing w:val="80"/>
                <w:sz w:val="20"/>
              </w:rPr>
              <w:t> </w:t>
            </w:r>
            <w:r>
              <w:rPr>
                <w:sz w:val="20"/>
              </w:rPr>
              <w:t>shall ensure</w:t>
            </w:r>
            <w:r>
              <w:rPr>
                <w:spacing w:val="-7"/>
                <w:sz w:val="20"/>
              </w:rPr>
              <w:t> </w:t>
            </w:r>
            <w:r>
              <w:rPr>
                <w:sz w:val="20"/>
              </w:rPr>
              <w:t>that</w:t>
            </w:r>
            <w:r>
              <w:rPr>
                <w:spacing w:val="-6"/>
                <w:sz w:val="20"/>
              </w:rPr>
              <w:t> </w:t>
            </w:r>
            <w:r>
              <w:rPr>
                <w:sz w:val="20"/>
              </w:rPr>
              <w:t>the development</w:t>
            </w:r>
            <w:r>
              <w:rPr>
                <w:spacing w:val="35"/>
                <w:sz w:val="20"/>
              </w:rPr>
              <w:t> </w:t>
            </w:r>
            <w:r>
              <w:rPr>
                <w:sz w:val="20"/>
              </w:rPr>
              <w:t>is </w:t>
            </w:r>
            <w:r>
              <w:rPr>
                <w:spacing w:val="-6"/>
                <w:sz w:val="20"/>
              </w:rPr>
              <w:t>as</w:t>
            </w:r>
            <w:r>
              <w:rPr>
                <w:sz w:val="20"/>
              </w:rPr>
              <w:tab/>
            </w:r>
            <w:r>
              <w:rPr>
                <w:spacing w:val="-4"/>
                <w:sz w:val="20"/>
              </w:rPr>
              <w:t>per</w:t>
            </w:r>
            <w:r>
              <w:rPr>
                <w:sz w:val="20"/>
              </w:rPr>
              <w:tab/>
              <w:tab/>
            </w:r>
            <w:r>
              <w:rPr>
                <w:spacing w:val="-4"/>
                <w:sz w:val="20"/>
              </w:rPr>
              <w:t>the </w:t>
            </w:r>
            <w:r>
              <w:rPr>
                <w:spacing w:val="-2"/>
                <w:sz w:val="20"/>
              </w:rPr>
              <w:t>structural requirements </w:t>
            </w:r>
            <w:r>
              <w:rPr>
                <w:sz w:val="20"/>
              </w:rPr>
              <w:t>given</w:t>
            </w:r>
            <w:r>
              <w:rPr>
                <w:spacing w:val="80"/>
                <w:sz w:val="20"/>
              </w:rPr>
              <w:t> </w:t>
            </w:r>
            <w:r>
              <w:rPr>
                <w:sz w:val="20"/>
              </w:rPr>
              <w:t>by</w:t>
            </w:r>
            <w:r>
              <w:rPr>
                <w:spacing w:val="80"/>
                <w:sz w:val="20"/>
              </w:rPr>
              <w:t> </w:t>
            </w:r>
            <w:r>
              <w:rPr>
                <w:sz w:val="20"/>
              </w:rPr>
              <w:t>him. </w:t>
            </w:r>
            <w:r>
              <w:rPr>
                <w:spacing w:val="-2"/>
                <w:sz w:val="20"/>
              </w:rPr>
              <w:t>Further,</w:t>
            </w:r>
            <w:r>
              <w:rPr>
                <w:sz w:val="20"/>
              </w:rPr>
              <w:tab/>
              <w:tab/>
            </w:r>
            <w:r>
              <w:rPr>
                <w:spacing w:val="-62"/>
                <w:sz w:val="20"/>
              </w:rPr>
              <w:t> </w:t>
            </w:r>
            <w:r>
              <w:rPr>
                <w:spacing w:val="-4"/>
                <w:sz w:val="20"/>
              </w:rPr>
              <w:t>the </w:t>
            </w:r>
            <w:r>
              <w:rPr>
                <w:spacing w:val="-2"/>
                <w:sz w:val="20"/>
              </w:rPr>
              <w:t>structural design</w:t>
            </w:r>
            <w:r>
              <w:rPr>
                <w:sz w:val="20"/>
              </w:rPr>
              <w:tab/>
            </w:r>
            <w:r>
              <w:rPr>
                <w:spacing w:val="-4"/>
                <w:sz w:val="20"/>
              </w:rPr>
              <w:t>given</w:t>
            </w:r>
          </w:p>
          <w:p>
            <w:pPr>
              <w:pStyle w:val="TableParagraph"/>
              <w:ind w:left="106" w:right="96"/>
              <w:jc w:val="both"/>
              <w:rPr>
                <w:sz w:val="20"/>
              </w:rPr>
            </w:pPr>
            <w:r>
              <w:rPr>
                <w:sz w:val="20"/>
              </w:rPr>
              <w:t>shall match with approved plans. If </w:t>
            </w:r>
            <w:r>
              <w:rPr>
                <w:sz w:val="20"/>
              </w:rPr>
              <w:t>he notices</w:t>
            </w:r>
            <w:r>
              <w:rPr>
                <w:spacing w:val="62"/>
                <w:w w:val="150"/>
                <w:sz w:val="20"/>
              </w:rPr>
              <w:t>   </w:t>
            </w:r>
            <w:r>
              <w:rPr>
                <w:spacing w:val="-5"/>
                <w:sz w:val="20"/>
              </w:rPr>
              <w:t>any</w:t>
            </w:r>
          </w:p>
          <w:p>
            <w:pPr>
              <w:pStyle w:val="TableParagraph"/>
              <w:spacing w:line="234" w:lineRule="exact"/>
              <w:ind w:left="106"/>
              <w:jc w:val="both"/>
              <w:rPr>
                <w:sz w:val="20"/>
              </w:rPr>
            </w:pPr>
            <w:r>
              <w:rPr>
                <w:sz w:val="20"/>
              </w:rPr>
              <w:t>difference</w:t>
            </w:r>
            <w:r>
              <w:rPr>
                <w:spacing w:val="71"/>
                <w:w w:val="150"/>
                <w:sz w:val="20"/>
              </w:rPr>
              <w:t>  </w:t>
            </w:r>
            <w:r>
              <w:rPr>
                <w:spacing w:val="-5"/>
                <w:sz w:val="20"/>
              </w:rPr>
              <w:t>he</w:t>
            </w:r>
          </w:p>
          <w:p>
            <w:pPr>
              <w:pStyle w:val="TableParagraph"/>
              <w:tabs>
                <w:tab w:pos="1409" w:val="left" w:leader="none"/>
              </w:tabs>
              <w:spacing w:line="234" w:lineRule="exact"/>
              <w:ind w:left="106"/>
              <w:jc w:val="both"/>
              <w:rPr>
                <w:sz w:val="20"/>
              </w:rPr>
            </w:pPr>
            <w:r>
              <w:rPr>
                <w:spacing w:val="-2"/>
                <w:sz w:val="20"/>
              </w:rPr>
              <w:t>shall</w:t>
            </w:r>
            <w:r>
              <w:rPr>
                <w:sz w:val="20"/>
              </w:rPr>
              <w:tab/>
            </w:r>
            <w:r>
              <w:rPr>
                <w:spacing w:val="-5"/>
                <w:sz w:val="20"/>
              </w:rPr>
              <w:t>be</w:t>
            </w:r>
          </w:p>
          <w:p>
            <w:pPr>
              <w:pStyle w:val="TableParagraph"/>
              <w:ind w:left="106" w:right="97"/>
              <w:jc w:val="both"/>
              <w:rPr>
                <w:sz w:val="20"/>
              </w:rPr>
            </w:pPr>
            <w:r>
              <w:rPr>
                <w:sz w:val="20"/>
              </w:rPr>
              <w:t>responsible for intimating </w:t>
            </w:r>
            <w:r>
              <w:rPr>
                <w:sz w:val="20"/>
              </w:rPr>
              <w:t>the </w:t>
            </w:r>
            <w:r>
              <w:rPr>
                <w:spacing w:val="-2"/>
                <w:sz w:val="20"/>
              </w:rPr>
              <w:t>Authority.</w:t>
            </w:r>
          </w:p>
        </w:tc>
      </w:tr>
      <w:tr>
        <w:trPr>
          <w:trHeight w:val="5356" w:hRule="atLeast"/>
        </w:trPr>
        <w:tc>
          <w:tcPr>
            <w:tcW w:w="559" w:type="dxa"/>
          </w:tcPr>
          <w:p>
            <w:pPr>
              <w:pStyle w:val="TableParagraph"/>
              <w:spacing w:before="94"/>
              <w:ind w:left="107"/>
              <w:rPr>
                <w:sz w:val="20"/>
              </w:rPr>
            </w:pPr>
            <w:r>
              <w:rPr>
                <w:spacing w:val="-10"/>
                <w:sz w:val="20"/>
              </w:rPr>
              <w:t>5</w:t>
            </w:r>
          </w:p>
        </w:tc>
        <w:tc>
          <w:tcPr>
            <w:tcW w:w="1152" w:type="dxa"/>
          </w:tcPr>
          <w:p>
            <w:pPr>
              <w:pStyle w:val="TableParagraph"/>
              <w:spacing w:before="94"/>
              <w:ind w:left="107" w:right="110"/>
              <w:rPr>
                <w:sz w:val="20"/>
              </w:rPr>
            </w:pPr>
            <w:r>
              <w:rPr>
                <w:spacing w:val="-2"/>
                <w:sz w:val="20"/>
              </w:rPr>
              <w:t>Advocate orSolicito </w:t>
            </w:r>
            <w:r>
              <w:rPr>
                <w:spacing w:val="-10"/>
                <w:sz w:val="20"/>
              </w:rPr>
              <w:t>r </w:t>
            </w:r>
            <w:r>
              <w:rPr>
                <w:spacing w:val="-2"/>
                <w:sz w:val="20"/>
              </w:rPr>
              <w:t>onRecord</w:t>
            </w:r>
          </w:p>
        </w:tc>
        <w:tc>
          <w:tcPr>
            <w:tcW w:w="2785" w:type="dxa"/>
          </w:tcPr>
          <w:p>
            <w:pPr>
              <w:pStyle w:val="TableParagraph"/>
              <w:tabs>
                <w:tab w:pos="1334" w:val="left" w:leader="none"/>
                <w:tab w:pos="2154" w:val="left" w:leader="none"/>
              </w:tabs>
              <w:spacing w:before="94"/>
              <w:ind w:left="107" w:right="190"/>
              <w:rPr>
                <w:sz w:val="20"/>
              </w:rPr>
            </w:pPr>
            <w:r>
              <w:rPr>
                <w:spacing w:val="-2"/>
                <w:sz w:val="20"/>
              </w:rPr>
              <w:t>TheAdvocateorSolicitor onRecord</w:t>
            </w:r>
            <w:r>
              <w:rPr>
                <w:sz w:val="20"/>
              </w:rPr>
              <w:tab/>
            </w:r>
            <w:r>
              <w:rPr>
                <w:spacing w:val="-4"/>
                <w:sz w:val="20"/>
              </w:rPr>
              <w:t>must</w:t>
            </w:r>
            <w:r>
              <w:rPr>
                <w:sz w:val="20"/>
              </w:rPr>
              <w:tab/>
            </w:r>
            <w:r>
              <w:rPr>
                <w:spacing w:val="-4"/>
                <w:sz w:val="20"/>
              </w:rPr>
              <w:t>hold </w:t>
            </w:r>
            <w:r>
              <w:rPr>
                <w:spacing w:val="-2"/>
                <w:sz w:val="20"/>
              </w:rPr>
              <w:t>avalid registrationwiththeBarCo uncilofIndia.</w:t>
            </w:r>
          </w:p>
          <w:p>
            <w:pPr>
              <w:pStyle w:val="TableParagraph"/>
              <w:tabs>
                <w:tab w:pos="1310" w:val="left" w:leader="none"/>
                <w:tab w:pos="2104" w:val="left" w:leader="none"/>
              </w:tabs>
              <w:spacing w:before="96"/>
              <w:ind w:left="107" w:right="96"/>
              <w:rPr>
                <w:sz w:val="20"/>
              </w:rPr>
            </w:pPr>
            <w:r>
              <w:rPr>
                <w:spacing w:val="-2"/>
                <w:sz w:val="20"/>
              </w:rPr>
              <w:t>TheAdvocateorSolicitor onRecord</w:t>
            </w:r>
            <w:r>
              <w:rPr>
                <w:sz w:val="20"/>
              </w:rPr>
              <w:tab/>
            </w:r>
            <w:r>
              <w:rPr>
                <w:spacing w:val="-4"/>
                <w:sz w:val="20"/>
              </w:rPr>
              <w:t>must</w:t>
            </w:r>
            <w:r>
              <w:rPr>
                <w:sz w:val="20"/>
              </w:rPr>
              <w:tab/>
            </w:r>
            <w:r>
              <w:rPr>
                <w:spacing w:val="-2"/>
                <w:sz w:val="20"/>
              </w:rPr>
              <w:t>havea </w:t>
            </w:r>
            <w:r>
              <w:rPr>
                <w:sz w:val="20"/>
              </w:rPr>
              <w:t>minimum</w:t>
            </w:r>
            <w:r>
              <w:rPr>
                <w:spacing w:val="34"/>
                <w:sz w:val="20"/>
              </w:rPr>
              <w:t> </w:t>
            </w:r>
            <w:r>
              <w:rPr>
                <w:sz w:val="20"/>
              </w:rPr>
              <w:t>of</w:t>
            </w:r>
            <w:r>
              <w:rPr>
                <w:spacing w:val="35"/>
                <w:sz w:val="20"/>
              </w:rPr>
              <w:t> </w:t>
            </w:r>
            <w:r>
              <w:rPr>
                <w:sz w:val="20"/>
              </w:rPr>
              <w:t>ten</w:t>
            </w:r>
            <w:r>
              <w:rPr>
                <w:spacing w:val="34"/>
                <w:sz w:val="20"/>
              </w:rPr>
              <w:t> </w:t>
            </w:r>
            <w:r>
              <w:rPr>
                <w:sz w:val="20"/>
              </w:rPr>
              <w:t>years</w:t>
            </w:r>
            <w:r>
              <w:rPr>
                <w:spacing w:val="35"/>
                <w:sz w:val="20"/>
              </w:rPr>
              <w:t> </w:t>
            </w:r>
            <w:r>
              <w:rPr>
                <w:sz w:val="20"/>
              </w:rPr>
              <w:t>of experience</w:t>
            </w:r>
            <w:r>
              <w:rPr>
                <w:spacing w:val="40"/>
                <w:sz w:val="20"/>
              </w:rPr>
              <w:t> </w:t>
            </w:r>
            <w:r>
              <w:rPr>
                <w:sz w:val="20"/>
              </w:rPr>
              <w:t>in</w:t>
            </w:r>
            <w:r>
              <w:rPr>
                <w:spacing w:val="40"/>
                <w:sz w:val="20"/>
              </w:rPr>
              <w:t> </w:t>
            </w:r>
            <w:r>
              <w:rPr>
                <w:sz w:val="20"/>
              </w:rPr>
              <w:t>a</w:t>
            </w:r>
            <w:r>
              <w:rPr>
                <w:spacing w:val="40"/>
                <w:sz w:val="20"/>
              </w:rPr>
              <w:t> </w:t>
            </w:r>
            <w:r>
              <w:rPr>
                <w:sz w:val="20"/>
              </w:rPr>
              <w:t>practice </w:t>
            </w:r>
            <w:r>
              <w:rPr>
                <w:spacing w:val="-2"/>
                <w:sz w:val="20"/>
              </w:rPr>
              <w:t>ofLandrelatedmatters.</w:t>
            </w:r>
          </w:p>
        </w:tc>
        <w:tc>
          <w:tcPr>
            <w:tcW w:w="1465" w:type="dxa"/>
          </w:tcPr>
          <w:p>
            <w:pPr>
              <w:pStyle w:val="TableParagraph"/>
              <w:spacing w:before="94"/>
              <w:ind w:left="107" w:right="100"/>
              <w:rPr>
                <w:sz w:val="20"/>
              </w:rPr>
            </w:pPr>
            <w:r>
              <w:rPr>
                <w:spacing w:val="-2"/>
                <w:sz w:val="20"/>
              </w:rPr>
              <w:t>Registration withtheBarC ouncilofIndi </w:t>
            </w:r>
            <w:r>
              <w:rPr>
                <w:spacing w:val="-6"/>
                <w:sz w:val="20"/>
              </w:rPr>
              <w:t>a.</w:t>
            </w:r>
          </w:p>
        </w:tc>
        <w:tc>
          <w:tcPr>
            <w:tcW w:w="1645" w:type="dxa"/>
          </w:tcPr>
          <w:p>
            <w:pPr>
              <w:pStyle w:val="TableParagraph"/>
              <w:spacing w:before="94"/>
              <w:ind w:left="106" w:right="80"/>
              <w:rPr>
                <w:sz w:val="20"/>
              </w:rPr>
            </w:pPr>
            <w:r>
              <w:rPr>
                <w:spacing w:val="-2"/>
                <w:sz w:val="20"/>
              </w:rPr>
              <w:t>Torender services relatedto development permission</w:t>
            </w:r>
            <w:r>
              <w:rPr>
                <w:sz w:val="20"/>
              </w:rPr>
              <w:t> and</w:t>
            </w:r>
            <w:r>
              <w:rPr>
                <w:spacing w:val="-16"/>
                <w:sz w:val="20"/>
              </w:rPr>
              <w:t> </w:t>
            </w:r>
            <w:r>
              <w:rPr>
                <w:sz w:val="20"/>
              </w:rPr>
              <w:t>to</w:t>
            </w:r>
            <w:r>
              <w:rPr>
                <w:spacing w:val="-16"/>
                <w:sz w:val="20"/>
              </w:rPr>
              <w:t> </w:t>
            </w:r>
            <w:r>
              <w:rPr>
                <w:sz w:val="20"/>
              </w:rPr>
              <w:t>submit-</w:t>
            </w:r>
          </w:p>
          <w:p>
            <w:pPr>
              <w:pStyle w:val="TableParagraph"/>
              <w:numPr>
                <w:ilvl w:val="0"/>
                <w:numId w:val="385"/>
              </w:numPr>
              <w:tabs>
                <w:tab w:pos="279" w:val="left" w:leader="none"/>
                <w:tab w:pos="1339" w:val="left" w:leader="none"/>
              </w:tabs>
              <w:spacing w:line="240" w:lineRule="auto" w:before="96" w:after="0"/>
              <w:ind w:left="106" w:right="50" w:firstLine="0"/>
              <w:jc w:val="left"/>
              <w:rPr>
                <w:sz w:val="20"/>
              </w:rPr>
            </w:pPr>
            <w:r>
              <w:rPr>
                <w:spacing w:val="-2"/>
                <w:sz w:val="20"/>
              </w:rPr>
              <w:t>TitleClearanc eCertificatefor theLandunder development afterexercising theprocedure</w:t>
            </w:r>
            <w:r>
              <w:rPr>
                <w:spacing w:val="40"/>
                <w:sz w:val="20"/>
              </w:rPr>
              <w:t> </w:t>
            </w:r>
            <w:r>
              <w:rPr>
                <w:sz w:val="20"/>
              </w:rPr>
              <w:t>of</w:t>
            </w:r>
            <w:r>
              <w:rPr>
                <w:spacing w:val="40"/>
                <w:sz w:val="20"/>
              </w:rPr>
              <w:t> </w:t>
            </w:r>
            <w:r>
              <w:rPr>
                <w:sz w:val="20"/>
              </w:rPr>
              <w:t>search</w:t>
            </w:r>
            <w:r>
              <w:rPr>
                <w:spacing w:val="40"/>
                <w:sz w:val="20"/>
              </w:rPr>
              <w:t> </w:t>
            </w:r>
            <w:r>
              <w:rPr>
                <w:sz w:val="20"/>
              </w:rPr>
              <w:t>etc. at</w:t>
            </w:r>
            <w:r>
              <w:rPr>
                <w:spacing w:val="40"/>
                <w:sz w:val="20"/>
              </w:rPr>
              <w:t> </w:t>
            </w:r>
            <w:r>
              <w:rPr>
                <w:sz w:val="20"/>
              </w:rPr>
              <w:t>the</w:t>
            </w:r>
            <w:r>
              <w:rPr>
                <w:spacing w:val="40"/>
                <w:sz w:val="20"/>
              </w:rPr>
              <w:t> </w:t>
            </w:r>
            <w:r>
              <w:rPr>
                <w:sz w:val="20"/>
              </w:rPr>
              <w:t>time</w:t>
            </w:r>
            <w:r>
              <w:rPr>
                <w:spacing w:val="40"/>
                <w:sz w:val="20"/>
              </w:rPr>
              <w:t> </w:t>
            </w:r>
            <w:r>
              <w:rPr>
                <w:sz w:val="20"/>
              </w:rPr>
              <w:t>of submission</w:t>
            </w:r>
            <w:r>
              <w:rPr>
                <w:spacing w:val="74"/>
                <w:sz w:val="20"/>
              </w:rPr>
              <w:t> </w:t>
            </w:r>
            <w:r>
              <w:rPr>
                <w:sz w:val="20"/>
              </w:rPr>
              <w:t>of </w:t>
            </w:r>
            <w:r>
              <w:rPr>
                <w:spacing w:val="-2"/>
                <w:sz w:val="20"/>
              </w:rPr>
              <w:t>proposal, ownership foreachCTSNo. </w:t>
            </w:r>
            <w:r>
              <w:rPr>
                <w:sz w:val="20"/>
              </w:rPr>
              <w:t>along</w:t>
            </w:r>
            <w:r>
              <w:rPr>
                <w:spacing w:val="40"/>
                <w:sz w:val="20"/>
              </w:rPr>
              <w:t> </w:t>
            </w:r>
            <w:r>
              <w:rPr>
                <w:sz w:val="20"/>
              </w:rPr>
              <w:t>with</w:t>
            </w:r>
            <w:r>
              <w:rPr>
                <w:spacing w:val="40"/>
                <w:sz w:val="20"/>
              </w:rPr>
              <w:t> </w:t>
            </w:r>
            <w:r>
              <w:rPr>
                <w:sz w:val="20"/>
              </w:rPr>
              <w:t>all </w:t>
            </w:r>
            <w:r>
              <w:rPr>
                <w:spacing w:val="-2"/>
                <w:sz w:val="20"/>
              </w:rPr>
              <w:t>rights</w:t>
            </w:r>
            <w:r>
              <w:rPr>
                <w:sz w:val="20"/>
              </w:rPr>
              <w:tab/>
            </w:r>
            <w:r>
              <w:rPr>
                <w:spacing w:val="-5"/>
                <w:sz w:val="20"/>
              </w:rPr>
              <w:t>on</w:t>
            </w:r>
          </w:p>
          <w:p>
            <w:pPr>
              <w:pStyle w:val="TableParagraph"/>
              <w:spacing w:line="236" w:lineRule="exact"/>
              <w:ind w:left="106"/>
              <w:rPr>
                <w:sz w:val="20"/>
              </w:rPr>
            </w:pPr>
            <w:r>
              <w:rPr>
                <w:spacing w:val="-2"/>
                <w:sz w:val="20"/>
              </w:rPr>
              <w:t>proposed development</w:t>
            </w:r>
            <w:r>
              <w:rPr>
                <w:spacing w:val="-14"/>
                <w:sz w:val="20"/>
              </w:rPr>
              <w:t> </w:t>
            </w:r>
            <w:r>
              <w:rPr>
                <w:spacing w:val="-2"/>
                <w:sz w:val="20"/>
              </w:rPr>
              <w:t>at</w:t>
            </w:r>
          </w:p>
        </w:tc>
        <w:tc>
          <w:tcPr>
            <w:tcW w:w="1748" w:type="dxa"/>
          </w:tcPr>
          <w:p>
            <w:pPr>
              <w:pStyle w:val="TableParagraph"/>
              <w:tabs>
                <w:tab w:pos="746" w:val="left" w:leader="none"/>
                <w:tab w:pos="1183" w:val="left" w:leader="none"/>
              </w:tabs>
              <w:spacing w:before="94"/>
              <w:ind w:left="106" w:right="240"/>
              <w:rPr>
                <w:sz w:val="20"/>
              </w:rPr>
            </w:pPr>
            <w:r>
              <w:rPr>
                <w:spacing w:val="-2"/>
                <w:sz w:val="20"/>
              </w:rPr>
              <w:t>AdvocateorSol </w:t>
            </w:r>
            <w:r>
              <w:rPr>
                <w:sz w:val="20"/>
              </w:rPr>
              <w:t>icitor shall be </w:t>
            </w:r>
            <w:r>
              <w:rPr>
                <w:spacing w:val="-2"/>
                <w:sz w:val="20"/>
              </w:rPr>
              <w:t>responsible</w:t>
            </w:r>
            <w:r>
              <w:rPr>
                <w:spacing w:val="40"/>
                <w:sz w:val="20"/>
              </w:rPr>
              <w:t> </w:t>
            </w:r>
            <w:r>
              <w:rPr>
                <w:spacing w:val="-4"/>
                <w:sz w:val="20"/>
              </w:rPr>
              <w:t>for </w:t>
            </w:r>
            <w:r>
              <w:rPr>
                <w:sz w:val="20"/>
              </w:rPr>
              <w:t>certification</w:t>
            </w:r>
            <w:r>
              <w:rPr>
                <w:spacing w:val="-16"/>
                <w:sz w:val="20"/>
              </w:rPr>
              <w:t> </w:t>
            </w:r>
            <w:r>
              <w:rPr>
                <w:sz w:val="20"/>
              </w:rPr>
              <w:t>of </w:t>
            </w:r>
            <w:r>
              <w:rPr>
                <w:spacing w:val="-2"/>
                <w:sz w:val="20"/>
              </w:rPr>
              <w:t>title</w:t>
            </w:r>
            <w:r>
              <w:rPr>
                <w:sz w:val="20"/>
              </w:rPr>
              <w:tab/>
            </w:r>
            <w:r>
              <w:rPr>
                <w:spacing w:val="-6"/>
                <w:sz w:val="20"/>
              </w:rPr>
              <w:t>of</w:t>
            </w:r>
            <w:r>
              <w:rPr>
                <w:sz w:val="20"/>
              </w:rPr>
              <w:tab/>
            </w:r>
            <w:r>
              <w:rPr>
                <w:spacing w:val="-4"/>
                <w:sz w:val="20"/>
              </w:rPr>
              <w:t>the land</w:t>
            </w:r>
          </w:p>
          <w:p>
            <w:pPr>
              <w:pStyle w:val="TableParagraph"/>
              <w:tabs>
                <w:tab w:pos="1323" w:val="left" w:leader="none"/>
                <w:tab w:pos="1450" w:val="left" w:leader="none"/>
              </w:tabs>
              <w:spacing w:before="97"/>
              <w:ind w:left="106" w:right="99"/>
              <w:rPr>
                <w:sz w:val="20"/>
              </w:rPr>
            </w:pPr>
            <w:r>
              <w:rPr>
                <w:spacing w:val="-2"/>
                <w:sz w:val="20"/>
              </w:rPr>
              <w:t>Certifying</w:t>
            </w:r>
            <w:r>
              <w:rPr>
                <w:sz w:val="20"/>
              </w:rPr>
              <w:tab/>
            </w:r>
            <w:r>
              <w:rPr>
                <w:spacing w:val="-4"/>
                <w:sz w:val="20"/>
              </w:rPr>
              <w:t>the </w:t>
            </w:r>
            <w:r>
              <w:rPr>
                <w:spacing w:val="-2"/>
                <w:sz w:val="20"/>
              </w:rPr>
              <w:t>authentication </w:t>
            </w:r>
            <w:r>
              <w:rPr>
                <w:sz w:val="20"/>
              </w:rPr>
              <w:t>of</w:t>
            </w:r>
            <w:r>
              <w:rPr>
                <w:spacing w:val="23"/>
                <w:sz w:val="20"/>
              </w:rPr>
              <w:t> </w:t>
            </w:r>
            <w:r>
              <w:rPr>
                <w:sz w:val="20"/>
              </w:rPr>
              <w:t>rights</w:t>
            </w:r>
            <w:r>
              <w:rPr>
                <w:spacing w:val="22"/>
                <w:sz w:val="20"/>
              </w:rPr>
              <w:t> </w:t>
            </w:r>
            <w:r>
              <w:rPr>
                <w:sz w:val="20"/>
              </w:rPr>
              <w:t>of</w:t>
            </w:r>
            <w:r>
              <w:rPr>
                <w:spacing w:val="23"/>
                <w:sz w:val="20"/>
              </w:rPr>
              <w:t> </w:t>
            </w:r>
            <w:r>
              <w:rPr>
                <w:sz w:val="20"/>
              </w:rPr>
              <w:t>the </w:t>
            </w:r>
            <w:r>
              <w:rPr>
                <w:spacing w:val="-2"/>
                <w:sz w:val="20"/>
              </w:rPr>
              <w:t>owner/ developer</w:t>
            </w:r>
            <w:r>
              <w:rPr>
                <w:sz w:val="20"/>
              </w:rPr>
              <w:tab/>
              <w:tab/>
            </w:r>
            <w:r>
              <w:rPr>
                <w:spacing w:val="-5"/>
                <w:sz w:val="20"/>
              </w:rPr>
              <w:t>to</w:t>
            </w:r>
          </w:p>
          <w:p>
            <w:pPr>
              <w:pStyle w:val="TableParagraph"/>
              <w:tabs>
                <w:tab w:pos="1207" w:val="left" w:leader="none"/>
                <w:tab w:pos="1313" w:val="left" w:leader="none"/>
              </w:tabs>
              <w:ind w:left="106" w:right="97"/>
              <w:jc w:val="both"/>
              <w:rPr>
                <w:sz w:val="20"/>
              </w:rPr>
            </w:pPr>
            <w:r>
              <w:rPr>
                <w:spacing w:val="-2"/>
                <w:sz w:val="20"/>
              </w:rPr>
              <w:t>carry</w:t>
            </w:r>
            <w:r>
              <w:rPr>
                <w:sz w:val="20"/>
              </w:rPr>
              <w:tab/>
              <w:tab/>
            </w:r>
            <w:r>
              <w:rPr>
                <w:spacing w:val="-4"/>
                <w:sz w:val="20"/>
              </w:rPr>
              <w:t>out </w:t>
            </w:r>
            <w:r>
              <w:rPr>
                <w:sz w:val="20"/>
              </w:rPr>
              <w:t>development</w:t>
            </w:r>
            <w:r>
              <w:rPr>
                <w:spacing w:val="-16"/>
                <w:sz w:val="20"/>
              </w:rPr>
              <w:t> </w:t>
            </w:r>
            <w:r>
              <w:rPr>
                <w:sz w:val="20"/>
              </w:rPr>
              <w:t>on </w:t>
            </w:r>
            <w:r>
              <w:rPr>
                <w:spacing w:val="-5"/>
                <w:sz w:val="20"/>
              </w:rPr>
              <w:t>the</w:t>
            </w:r>
            <w:r>
              <w:rPr>
                <w:sz w:val="20"/>
              </w:rPr>
              <w:tab/>
            </w:r>
            <w:r>
              <w:rPr>
                <w:spacing w:val="-4"/>
                <w:sz w:val="20"/>
              </w:rPr>
              <w:t>land</w:t>
            </w:r>
          </w:p>
          <w:p>
            <w:pPr>
              <w:pStyle w:val="TableParagraph"/>
              <w:spacing w:line="234" w:lineRule="exact"/>
              <w:ind w:left="106"/>
              <w:rPr>
                <w:sz w:val="20"/>
              </w:rPr>
            </w:pPr>
            <w:r>
              <w:rPr>
                <w:spacing w:val="-2"/>
                <w:sz w:val="20"/>
              </w:rPr>
              <w:t>concerned.</w:t>
            </w:r>
          </w:p>
        </w:tc>
      </w:tr>
    </w:tbl>
    <w:p>
      <w:pPr>
        <w:pStyle w:val="TableParagraph"/>
        <w:spacing w:after="0" w:line="234" w:lineRule="exact"/>
        <w:rPr>
          <w:sz w:val="20"/>
        </w:rPr>
        <w:sectPr>
          <w:pgSz w:w="11910" w:h="16850"/>
          <w:pgMar w:header="1022" w:footer="1070" w:top="1460" w:bottom="1260" w:left="360" w:right="360"/>
        </w:sectPr>
      </w:pPr>
    </w:p>
    <w:p>
      <w:pPr>
        <w:pStyle w:val="BodyText"/>
        <w:spacing w:before="44"/>
        <w:jc w:val="left"/>
        <w:rPr>
          <w:b/>
          <w:sz w:val="20"/>
        </w:rPr>
      </w:pPr>
    </w:p>
    <w:tbl>
      <w:tblPr>
        <w:tblW w:w="0" w:type="auto"/>
        <w:jc w:val="left"/>
        <w:tblInd w:w="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1152"/>
        <w:gridCol w:w="2785"/>
        <w:gridCol w:w="1465"/>
        <w:gridCol w:w="1645"/>
        <w:gridCol w:w="1748"/>
      </w:tblGrid>
      <w:tr>
        <w:trPr>
          <w:trHeight w:val="638" w:hRule="atLeast"/>
        </w:trPr>
        <w:tc>
          <w:tcPr>
            <w:tcW w:w="559" w:type="dxa"/>
            <w:shd w:val="clear" w:color="auto" w:fill="E7E6E6"/>
          </w:tcPr>
          <w:p>
            <w:pPr>
              <w:pStyle w:val="TableParagraph"/>
              <w:spacing w:before="94"/>
              <w:ind w:left="107" w:right="150"/>
              <w:rPr>
                <w:sz w:val="20"/>
              </w:rPr>
            </w:pPr>
            <w:r>
              <w:rPr>
                <w:spacing w:val="-4"/>
                <w:sz w:val="20"/>
              </w:rPr>
              <w:t>Sr. </w:t>
            </w:r>
            <w:r>
              <w:rPr>
                <w:spacing w:val="-5"/>
                <w:sz w:val="20"/>
              </w:rPr>
              <w:t>No</w:t>
            </w:r>
          </w:p>
        </w:tc>
        <w:tc>
          <w:tcPr>
            <w:tcW w:w="1152" w:type="dxa"/>
            <w:shd w:val="clear" w:color="auto" w:fill="E7E6E6"/>
          </w:tcPr>
          <w:p>
            <w:pPr>
              <w:pStyle w:val="TableParagraph"/>
              <w:spacing w:before="94"/>
              <w:ind w:left="107" w:right="161"/>
              <w:rPr>
                <w:sz w:val="20"/>
              </w:rPr>
            </w:pPr>
            <w:r>
              <w:rPr>
                <w:spacing w:val="-2"/>
                <w:sz w:val="20"/>
              </w:rPr>
              <w:t>Professio </w:t>
            </w:r>
            <w:r>
              <w:rPr>
                <w:spacing w:val="-4"/>
                <w:sz w:val="20"/>
              </w:rPr>
              <w:t>nals</w:t>
            </w:r>
          </w:p>
        </w:tc>
        <w:tc>
          <w:tcPr>
            <w:tcW w:w="2785" w:type="dxa"/>
            <w:shd w:val="clear" w:color="auto" w:fill="E7E6E6"/>
          </w:tcPr>
          <w:p>
            <w:pPr>
              <w:pStyle w:val="TableParagraph"/>
              <w:spacing w:before="94"/>
              <w:ind w:left="107"/>
              <w:rPr>
                <w:sz w:val="20"/>
              </w:rPr>
            </w:pPr>
            <w:r>
              <w:rPr>
                <w:spacing w:val="-2"/>
                <w:sz w:val="20"/>
              </w:rPr>
              <w:t>Qualification</w:t>
            </w:r>
          </w:p>
        </w:tc>
        <w:tc>
          <w:tcPr>
            <w:tcW w:w="1465" w:type="dxa"/>
            <w:shd w:val="clear" w:color="auto" w:fill="E7E6E6"/>
          </w:tcPr>
          <w:p>
            <w:pPr>
              <w:pStyle w:val="TableParagraph"/>
              <w:spacing w:before="94"/>
              <w:ind w:left="107"/>
              <w:rPr>
                <w:sz w:val="20"/>
              </w:rPr>
            </w:pPr>
            <w:r>
              <w:rPr>
                <w:spacing w:val="-2"/>
                <w:sz w:val="20"/>
              </w:rPr>
              <w:t>Registration</w:t>
            </w:r>
          </w:p>
        </w:tc>
        <w:tc>
          <w:tcPr>
            <w:tcW w:w="1645" w:type="dxa"/>
            <w:shd w:val="clear" w:color="auto" w:fill="E7E6E6"/>
          </w:tcPr>
          <w:p>
            <w:pPr>
              <w:pStyle w:val="TableParagraph"/>
              <w:spacing w:before="94"/>
              <w:ind w:left="106"/>
              <w:rPr>
                <w:sz w:val="20"/>
              </w:rPr>
            </w:pPr>
            <w:r>
              <w:rPr>
                <w:spacing w:val="-2"/>
                <w:sz w:val="20"/>
              </w:rPr>
              <w:t>Duties</w:t>
            </w:r>
          </w:p>
        </w:tc>
        <w:tc>
          <w:tcPr>
            <w:tcW w:w="1748" w:type="dxa"/>
            <w:shd w:val="clear" w:color="auto" w:fill="E7E6E6"/>
          </w:tcPr>
          <w:p>
            <w:pPr>
              <w:pStyle w:val="TableParagraph"/>
              <w:spacing w:before="94"/>
              <w:ind w:left="106"/>
              <w:rPr>
                <w:sz w:val="20"/>
              </w:rPr>
            </w:pPr>
            <w:r>
              <w:rPr>
                <w:spacing w:val="-2"/>
                <w:sz w:val="20"/>
              </w:rPr>
              <w:t>Responsibilities</w:t>
            </w:r>
          </w:p>
        </w:tc>
      </w:tr>
      <w:tr>
        <w:trPr>
          <w:trHeight w:val="2514" w:hRule="atLeast"/>
        </w:trPr>
        <w:tc>
          <w:tcPr>
            <w:tcW w:w="559" w:type="dxa"/>
          </w:tcPr>
          <w:p>
            <w:pPr>
              <w:pStyle w:val="TableParagraph"/>
              <w:rPr>
                <w:rFonts w:ascii="Times New Roman"/>
                <w:sz w:val="18"/>
              </w:rPr>
            </w:pPr>
          </w:p>
        </w:tc>
        <w:tc>
          <w:tcPr>
            <w:tcW w:w="1152" w:type="dxa"/>
          </w:tcPr>
          <w:p>
            <w:pPr>
              <w:pStyle w:val="TableParagraph"/>
              <w:rPr>
                <w:rFonts w:ascii="Times New Roman"/>
                <w:sz w:val="18"/>
              </w:rPr>
            </w:pPr>
          </w:p>
        </w:tc>
        <w:tc>
          <w:tcPr>
            <w:tcW w:w="2785" w:type="dxa"/>
          </w:tcPr>
          <w:p>
            <w:pPr>
              <w:pStyle w:val="TableParagraph"/>
              <w:rPr>
                <w:rFonts w:ascii="Times New Roman"/>
                <w:sz w:val="18"/>
              </w:rPr>
            </w:pPr>
          </w:p>
        </w:tc>
        <w:tc>
          <w:tcPr>
            <w:tcW w:w="1465" w:type="dxa"/>
          </w:tcPr>
          <w:p>
            <w:pPr>
              <w:pStyle w:val="TableParagraph"/>
              <w:rPr>
                <w:rFonts w:ascii="Times New Roman"/>
                <w:sz w:val="18"/>
              </w:rPr>
            </w:pPr>
          </w:p>
        </w:tc>
        <w:tc>
          <w:tcPr>
            <w:tcW w:w="1645" w:type="dxa"/>
          </w:tcPr>
          <w:p>
            <w:pPr>
              <w:pStyle w:val="TableParagraph"/>
              <w:ind w:left="106" w:right="51"/>
              <w:jc w:val="both"/>
              <w:rPr>
                <w:sz w:val="20"/>
              </w:rPr>
            </w:pPr>
            <w:r>
              <w:rPr>
                <w:sz w:val="20"/>
              </w:rPr>
              <w:t>the time </w:t>
            </w:r>
            <w:r>
              <w:rPr>
                <w:sz w:val="20"/>
              </w:rPr>
              <w:t>of Submission of </w:t>
            </w:r>
            <w:r>
              <w:rPr>
                <w:spacing w:val="-2"/>
                <w:sz w:val="20"/>
              </w:rPr>
              <w:t>proposal.</w:t>
            </w:r>
          </w:p>
          <w:p>
            <w:pPr>
              <w:pStyle w:val="TableParagraph"/>
              <w:tabs>
                <w:tab w:pos="531" w:val="left" w:leader="none"/>
              </w:tabs>
              <w:spacing w:before="95"/>
              <w:ind w:left="106" w:right="97"/>
              <w:rPr>
                <w:sz w:val="20"/>
              </w:rPr>
            </w:pPr>
            <w:r>
              <w:rPr>
                <w:spacing w:val="-6"/>
                <w:sz w:val="20"/>
              </w:rPr>
              <w:t>b)</w:t>
            </w:r>
            <w:r>
              <w:rPr>
                <w:sz w:val="20"/>
              </w:rPr>
              <w:tab/>
              <w:t>Details</w:t>
            </w:r>
            <w:r>
              <w:rPr>
                <w:spacing w:val="46"/>
                <w:sz w:val="20"/>
              </w:rPr>
              <w:t> </w:t>
            </w:r>
            <w:r>
              <w:rPr>
                <w:sz w:val="20"/>
              </w:rPr>
              <w:t>o</w:t>
            </w:r>
            <w:r>
              <w:rPr>
                <w:sz w:val="20"/>
              </w:rPr>
              <w:t>f</w:t>
            </w:r>
            <w:r>
              <w:rPr>
                <w:sz w:val="20"/>
              </w:rPr>
              <w:t> </w:t>
            </w:r>
            <w:r>
              <w:rPr>
                <w:spacing w:val="-2"/>
                <w:sz w:val="20"/>
              </w:rPr>
              <w:t>anyearlier courtmattersr </w:t>
            </w:r>
            <w:r>
              <w:rPr>
                <w:sz w:val="20"/>
              </w:rPr>
              <w:t>elated</w:t>
            </w:r>
            <w:r>
              <w:rPr>
                <w:spacing w:val="29"/>
                <w:sz w:val="20"/>
              </w:rPr>
              <w:t> </w:t>
            </w:r>
            <w:r>
              <w:rPr>
                <w:sz w:val="20"/>
              </w:rPr>
              <w:t>to</w:t>
            </w:r>
            <w:r>
              <w:rPr>
                <w:spacing w:val="29"/>
                <w:sz w:val="20"/>
              </w:rPr>
              <w:t> </w:t>
            </w:r>
            <w:r>
              <w:rPr>
                <w:sz w:val="20"/>
              </w:rPr>
              <w:t>land at</w:t>
            </w:r>
            <w:r>
              <w:rPr>
                <w:spacing w:val="30"/>
                <w:sz w:val="20"/>
              </w:rPr>
              <w:t> </w:t>
            </w:r>
            <w:r>
              <w:rPr>
                <w:sz w:val="20"/>
              </w:rPr>
              <w:t>the</w:t>
            </w:r>
            <w:r>
              <w:rPr>
                <w:spacing w:val="30"/>
                <w:sz w:val="20"/>
              </w:rPr>
              <w:t> </w:t>
            </w:r>
            <w:r>
              <w:rPr>
                <w:sz w:val="20"/>
              </w:rPr>
              <w:t>time</w:t>
            </w:r>
            <w:r>
              <w:rPr>
                <w:spacing w:val="30"/>
                <w:sz w:val="20"/>
              </w:rPr>
              <w:t> </w:t>
            </w:r>
            <w:r>
              <w:rPr>
                <w:sz w:val="20"/>
              </w:rPr>
              <w:t>o</w:t>
            </w:r>
            <w:r>
              <w:rPr>
                <w:sz w:val="20"/>
              </w:rPr>
              <w:t>f</w:t>
            </w:r>
            <w:r>
              <w:rPr>
                <w:sz w:val="20"/>
              </w:rPr>
              <w:t> submission</w:t>
            </w:r>
            <w:r>
              <w:rPr>
                <w:spacing w:val="27"/>
                <w:sz w:val="20"/>
              </w:rPr>
              <w:t> </w:t>
            </w:r>
            <w:r>
              <w:rPr>
                <w:sz w:val="20"/>
              </w:rPr>
              <w:t>of </w:t>
            </w:r>
            <w:r>
              <w:rPr>
                <w:spacing w:val="-2"/>
                <w:sz w:val="20"/>
              </w:rPr>
              <w:t>proposal.</w:t>
            </w:r>
          </w:p>
        </w:tc>
        <w:tc>
          <w:tcPr>
            <w:tcW w:w="1748" w:type="dxa"/>
          </w:tcPr>
          <w:p>
            <w:pPr>
              <w:pStyle w:val="TableParagraph"/>
              <w:rPr>
                <w:rFonts w:ascii="Times New Roman"/>
                <w:sz w:val="18"/>
              </w:rPr>
            </w:pPr>
          </w:p>
        </w:tc>
      </w:tr>
      <w:tr>
        <w:trPr>
          <w:trHeight w:val="7213" w:hRule="atLeast"/>
        </w:trPr>
        <w:tc>
          <w:tcPr>
            <w:tcW w:w="559" w:type="dxa"/>
          </w:tcPr>
          <w:p>
            <w:pPr>
              <w:pStyle w:val="TableParagraph"/>
              <w:spacing w:before="95"/>
              <w:ind w:left="107"/>
              <w:rPr>
                <w:sz w:val="20"/>
              </w:rPr>
            </w:pPr>
            <w:r>
              <w:rPr>
                <w:spacing w:val="-10"/>
                <w:sz w:val="20"/>
              </w:rPr>
              <w:t>6</w:t>
            </w:r>
          </w:p>
        </w:tc>
        <w:tc>
          <w:tcPr>
            <w:tcW w:w="1152" w:type="dxa"/>
          </w:tcPr>
          <w:p>
            <w:pPr>
              <w:pStyle w:val="TableParagraph"/>
              <w:spacing w:before="95"/>
              <w:ind w:left="107" w:right="30"/>
              <w:rPr>
                <w:sz w:val="20"/>
              </w:rPr>
            </w:pPr>
            <w:r>
              <w:rPr>
                <w:spacing w:val="-4"/>
                <w:sz w:val="20"/>
              </w:rPr>
              <w:t>Site </w:t>
            </w:r>
            <w:r>
              <w:rPr>
                <w:spacing w:val="-2"/>
                <w:sz w:val="20"/>
              </w:rPr>
              <w:t>Superviso </w:t>
            </w:r>
            <w:r>
              <w:rPr>
                <w:spacing w:val="-10"/>
                <w:sz w:val="20"/>
              </w:rPr>
              <w:t>r</w:t>
            </w:r>
          </w:p>
        </w:tc>
        <w:tc>
          <w:tcPr>
            <w:tcW w:w="2785" w:type="dxa"/>
          </w:tcPr>
          <w:p>
            <w:pPr>
              <w:pStyle w:val="TableParagraph"/>
              <w:tabs>
                <w:tab w:pos="597" w:val="left" w:leader="none"/>
                <w:tab w:pos="1088" w:val="left" w:leader="none"/>
                <w:tab w:pos="1664" w:val="left" w:leader="none"/>
                <w:tab w:pos="2484" w:val="left" w:leader="none"/>
              </w:tabs>
              <w:spacing w:before="95"/>
              <w:ind w:left="107" w:right="168"/>
              <w:rPr>
                <w:sz w:val="20"/>
              </w:rPr>
            </w:pPr>
            <w:r>
              <w:rPr>
                <w:spacing w:val="-2"/>
                <w:sz w:val="20"/>
              </w:rPr>
              <w:t>The“SiteSupervisor”must holdadiplomainCivil/ Construction Engineeringoranyother qualification</w:t>
            </w:r>
            <w:r>
              <w:rPr>
                <w:spacing w:val="-12"/>
                <w:sz w:val="20"/>
              </w:rPr>
              <w:t> </w:t>
            </w:r>
            <w:r>
              <w:rPr>
                <w:spacing w:val="-2"/>
                <w:sz w:val="20"/>
              </w:rPr>
              <w:t>in</w:t>
            </w:r>
            <w:r>
              <w:rPr>
                <w:spacing w:val="-12"/>
                <w:sz w:val="20"/>
              </w:rPr>
              <w:t> </w:t>
            </w:r>
            <w:r>
              <w:rPr>
                <w:spacing w:val="-2"/>
                <w:sz w:val="20"/>
              </w:rPr>
              <w:t>the</w:t>
            </w:r>
            <w:r>
              <w:rPr>
                <w:spacing w:val="-13"/>
                <w:sz w:val="20"/>
              </w:rPr>
              <w:t> </w:t>
            </w:r>
            <w:r>
              <w:rPr>
                <w:spacing w:val="-2"/>
                <w:sz w:val="20"/>
              </w:rPr>
              <w:t>field</w:t>
            </w:r>
            <w:r>
              <w:rPr>
                <w:spacing w:val="-14"/>
                <w:sz w:val="20"/>
              </w:rPr>
              <w:t> </w:t>
            </w:r>
            <w:r>
              <w:rPr>
                <w:spacing w:val="-2"/>
                <w:sz w:val="20"/>
              </w:rPr>
              <w:t>of CivilEngineeringrecogniz </w:t>
            </w:r>
            <w:r>
              <w:rPr>
                <w:spacing w:val="-6"/>
                <w:sz w:val="20"/>
              </w:rPr>
              <w:t>ed</w:t>
            </w:r>
            <w:r>
              <w:rPr>
                <w:sz w:val="20"/>
              </w:rPr>
              <w:tab/>
            </w:r>
            <w:r>
              <w:rPr>
                <w:spacing w:val="-6"/>
                <w:sz w:val="20"/>
              </w:rPr>
              <w:t>by</w:t>
            </w:r>
            <w:r>
              <w:rPr>
                <w:sz w:val="20"/>
              </w:rPr>
              <w:tab/>
            </w:r>
            <w:r>
              <w:rPr>
                <w:spacing w:val="-4"/>
                <w:sz w:val="20"/>
              </w:rPr>
              <w:t>the</w:t>
            </w:r>
            <w:r>
              <w:rPr>
                <w:sz w:val="20"/>
              </w:rPr>
              <w:tab/>
            </w:r>
            <w:r>
              <w:rPr>
                <w:spacing w:val="-4"/>
                <w:sz w:val="20"/>
              </w:rPr>
              <w:t>board</w:t>
            </w:r>
            <w:r>
              <w:rPr>
                <w:sz w:val="20"/>
              </w:rPr>
              <w:tab/>
            </w:r>
            <w:r>
              <w:rPr>
                <w:spacing w:val="-10"/>
                <w:sz w:val="20"/>
              </w:rPr>
              <w:t>/ </w:t>
            </w:r>
            <w:r>
              <w:rPr>
                <w:spacing w:val="-2"/>
                <w:sz w:val="20"/>
              </w:rPr>
              <w:t>universities inMaharashtra</w:t>
            </w:r>
          </w:p>
          <w:p>
            <w:pPr>
              <w:pStyle w:val="TableParagraph"/>
              <w:spacing w:before="97"/>
              <w:ind w:left="107"/>
              <w:rPr>
                <w:sz w:val="20"/>
              </w:rPr>
            </w:pPr>
            <w:r>
              <w:rPr>
                <w:spacing w:val="-2"/>
                <w:sz w:val="20"/>
              </w:rPr>
              <w:t>The“SiteSupervisor”must </w:t>
            </w:r>
            <w:r>
              <w:rPr>
                <w:sz w:val="20"/>
              </w:rPr>
              <w:t>have</w:t>
            </w:r>
            <w:r>
              <w:rPr>
                <w:spacing w:val="40"/>
                <w:sz w:val="20"/>
              </w:rPr>
              <w:t> </w:t>
            </w:r>
            <w:r>
              <w:rPr>
                <w:sz w:val="20"/>
              </w:rPr>
              <w:t>a</w:t>
            </w:r>
            <w:r>
              <w:rPr>
                <w:spacing w:val="40"/>
                <w:sz w:val="20"/>
              </w:rPr>
              <w:t> </w:t>
            </w:r>
            <w:r>
              <w:rPr>
                <w:sz w:val="20"/>
              </w:rPr>
              <w:t>minimum</w:t>
            </w:r>
            <w:r>
              <w:rPr>
                <w:spacing w:val="40"/>
                <w:sz w:val="20"/>
              </w:rPr>
              <w:t> </w:t>
            </w:r>
            <w:r>
              <w:rPr>
                <w:sz w:val="20"/>
              </w:rPr>
              <w:t>of</w:t>
            </w:r>
            <w:r>
              <w:rPr>
                <w:spacing w:val="40"/>
                <w:sz w:val="20"/>
              </w:rPr>
              <w:t> </w:t>
            </w:r>
            <w:r>
              <w:rPr>
                <w:sz w:val="20"/>
              </w:rPr>
              <w:t>two </w:t>
            </w:r>
            <w:r>
              <w:rPr>
                <w:spacing w:val="-2"/>
                <w:sz w:val="20"/>
              </w:rPr>
              <w:t>yearsofexperience </w:t>
            </w:r>
            <w:r>
              <w:rPr>
                <w:sz w:val="20"/>
              </w:rPr>
              <w:t>inSupervision</w:t>
            </w:r>
            <w:r>
              <w:rPr>
                <w:spacing w:val="37"/>
                <w:sz w:val="20"/>
              </w:rPr>
              <w:t> </w:t>
            </w:r>
            <w:r>
              <w:rPr>
                <w:sz w:val="20"/>
              </w:rPr>
              <w:t>of</w:t>
            </w:r>
            <w:r>
              <w:rPr>
                <w:spacing w:val="37"/>
                <w:sz w:val="20"/>
              </w:rPr>
              <w:t> </w:t>
            </w:r>
            <w:r>
              <w:rPr>
                <w:sz w:val="20"/>
              </w:rPr>
              <w:t>building </w:t>
            </w:r>
            <w:r>
              <w:rPr>
                <w:spacing w:val="-2"/>
                <w:sz w:val="20"/>
              </w:rPr>
              <w:t>works.</w:t>
            </w:r>
          </w:p>
          <w:p>
            <w:pPr>
              <w:pStyle w:val="TableParagraph"/>
              <w:spacing w:before="193"/>
              <w:rPr>
                <w:b/>
                <w:sz w:val="20"/>
              </w:rPr>
            </w:pPr>
          </w:p>
          <w:p>
            <w:pPr>
              <w:pStyle w:val="TableParagraph"/>
              <w:ind w:left="107" w:right="96"/>
              <w:jc w:val="both"/>
              <w:rPr>
                <w:sz w:val="20"/>
              </w:rPr>
            </w:pPr>
            <w:r>
              <w:rPr>
                <w:sz w:val="20"/>
              </w:rPr>
              <w:t>Note – Earlier </w:t>
            </w:r>
            <w:r>
              <w:rPr>
                <w:sz w:val="20"/>
              </w:rPr>
              <w:t>registered site supervisor Grade II and Grade III with MCGM may be continued.</w:t>
            </w:r>
          </w:p>
        </w:tc>
        <w:tc>
          <w:tcPr>
            <w:tcW w:w="1465" w:type="dxa"/>
          </w:tcPr>
          <w:p>
            <w:pPr>
              <w:pStyle w:val="TableParagraph"/>
              <w:spacing w:before="95"/>
              <w:ind w:left="107" w:right="123"/>
              <w:rPr>
                <w:sz w:val="20"/>
              </w:rPr>
            </w:pPr>
            <w:r>
              <w:rPr>
                <w:spacing w:val="-2"/>
                <w:sz w:val="20"/>
              </w:rPr>
              <w:t>Registeredwi </w:t>
            </w:r>
            <w:r>
              <w:rPr>
                <w:spacing w:val="-6"/>
                <w:sz w:val="20"/>
              </w:rPr>
              <w:t>th </w:t>
            </w:r>
            <w:r>
              <w:rPr>
                <w:spacing w:val="-2"/>
                <w:sz w:val="20"/>
              </w:rPr>
              <w:t>theMunicipa </w:t>
            </w:r>
            <w:r>
              <w:rPr>
                <w:spacing w:val="-10"/>
                <w:sz w:val="20"/>
              </w:rPr>
              <w:t>l</w:t>
            </w:r>
            <w:r>
              <w:rPr>
                <w:spacing w:val="40"/>
                <w:sz w:val="20"/>
              </w:rPr>
              <w:t> </w:t>
            </w:r>
            <w:r>
              <w:rPr>
                <w:spacing w:val="-2"/>
                <w:sz w:val="20"/>
              </w:rPr>
              <w:t>Corporation </w:t>
            </w:r>
            <w:r>
              <w:rPr>
                <w:sz w:val="20"/>
              </w:rPr>
              <w:t>with the valid</w:t>
            </w:r>
            <w:r>
              <w:rPr>
                <w:spacing w:val="-12"/>
                <w:sz w:val="20"/>
              </w:rPr>
              <w:t> </w:t>
            </w:r>
            <w:r>
              <w:rPr>
                <w:sz w:val="20"/>
              </w:rPr>
              <w:t>license issued as per the </w:t>
            </w:r>
            <w:r>
              <w:rPr>
                <w:spacing w:val="-2"/>
                <w:sz w:val="20"/>
              </w:rPr>
              <w:t>procedure adopted byMCGM.</w:t>
            </w:r>
          </w:p>
        </w:tc>
        <w:tc>
          <w:tcPr>
            <w:tcW w:w="1645" w:type="dxa"/>
          </w:tcPr>
          <w:p>
            <w:pPr>
              <w:pStyle w:val="TableParagraph"/>
              <w:tabs>
                <w:tab w:pos="498" w:val="left" w:leader="none"/>
                <w:tab w:pos="1210" w:val="left" w:leader="none"/>
                <w:tab w:pos="1313" w:val="left" w:leader="none"/>
              </w:tabs>
              <w:spacing w:before="95"/>
              <w:ind w:left="106" w:right="96"/>
              <w:rPr>
                <w:sz w:val="20"/>
              </w:rPr>
            </w:pPr>
            <w:r>
              <w:rPr>
                <w:spacing w:val="-2"/>
                <w:sz w:val="20"/>
              </w:rPr>
              <w:t>Tocarry</w:t>
            </w:r>
            <w:r>
              <w:rPr>
                <w:sz w:val="20"/>
              </w:rPr>
              <w:tab/>
            </w:r>
            <w:r>
              <w:rPr>
                <w:spacing w:val="-4"/>
                <w:sz w:val="20"/>
              </w:rPr>
              <w:t>out work </w:t>
            </w:r>
            <w:r>
              <w:rPr>
                <w:spacing w:val="-2"/>
                <w:sz w:val="20"/>
              </w:rPr>
              <w:t>inaccordance </w:t>
            </w:r>
            <w:r>
              <w:rPr>
                <w:spacing w:val="-4"/>
                <w:sz w:val="20"/>
              </w:rPr>
              <w:t>with</w:t>
            </w:r>
            <w:r>
              <w:rPr>
                <w:sz w:val="20"/>
              </w:rPr>
              <w:tab/>
            </w:r>
            <w:r>
              <w:rPr>
                <w:spacing w:val="-51"/>
                <w:sz w:val="20"/>
              </w:rPr>
              <w:t> </w:t>
            </w:r>
            <w:r>
              <w:rPr>
                <w:spacing w:val="-4"/>
                <w:sz w:val="20"/>
              </w:rPr>
              <w:t>the </w:t>
            </w:r>
            <w:r>
              <w:rPr>
                <w:spacing w:val="-2"/>
                <w:sz w:val="20"/>
              </w:rPr>
              <w:t>development permission </w:t>
            </w:r>
            <w:r>
              <w:rPr>
                <w:sz w:val="20"/>
              </w:rPr>
              <w:t>and</w:t>
            </w:r>
            <w:r>
              <w:rPr>
                <w:spacing w:val="60"/>
                <w:sz w:val="20"/>
              </w:rPr>
              <w:t> </w:t>
            </w:r>
            <w:r>
              <w:rPr>
                <w:sz w:val="20"/>
              </w:rPr>
              <w:t>approved plans</w:t>
            </w:r>
            <w:r>
              <w:rPr>
                <w:spacing w:val="80"/>
                <w:sz w:val="20"/>
              </w:rPr>
              <w:t> </w:t>
            </w:r>
            <w:r>
              <w:rPr>
                <w:sz w:val="20"/>
              </w:rPr>
              <w:t>and</w:t>
            </w:r>
            <w:r>
              <w:rPr>
                <w:spacing w:val="80"/>
                <w:sz w:val="20"/>
              </w:rPr>
              <w:t> </w:t>
            </w:r>
            <w:r>
              <w:rPr>
                <w:sz w:val="20"/>
              </w:rPr>
              <w:t>to </w:t>
            </w:r>
            <w:r>
              <w:rPr>
                <w:spacing w:val="-2"/>
                <w:sz w:val="20"/>
              </w:rPr>
              <w:t>submit- Certificateofsu pervisionof </w:t>
            </w:r>
            <w:r>
              <w:rPr>
                <w:sz w:val="20"/>
              </w:rPr>
              <w:t>buildings</w:t>
            </w:r>
            <w:r>
              <w:rPr>
                <w:spacing w:val="40"/>
                <w:sz w:val="20"/>
              </w:rPr>
              <w:t> </w:t>
            </w:r>
            <w:r>
              <w:rPr>
                <w:sz w:val="20"/>
              </w:rPr>
              <w:t>and </w:t>
            </w:r>
            <w:r>
              <w:rPr>
                <w:spacing w:val="-6"/>
                <w:sz w:val="20"/>
              </w:rPr>
              <w:t>to</w:t>
            </w:r>
            <w:r>
              <w:rPr>
                <w:sz w:val="20"/>
              </w:rPr>
              <w:tab/>
            </w:r>
            <w:r>
              <w:rPr>
                <w:spacing w:val="-2"/>
                <w:sz w:val="20"/>
              </w:rPr>
              <w:t>carry</w:t>
            </w:r>
            <w:r>
              <w:rPr>
                <w:sz w:val="20"/>
              </w:rPr>
              <w:tab/>
            </w:r>
            <w:r>
              <w:rPr>
                <w:spacing w:val="-4"/>
                <w:sz w:val="20"/>
              </w:rPr>
              <w:t>out </w:t>
            </w:r>
            <w:r>
              <w:rPr>
                <w:spacing w:val="-2"/>
                <w:sz w:val="20"/>
              </w:rPr>
              <w:t>material </w:t>
            </w:r>
            <w:r>
              <w:rPr>
                <w:sz w:val="20"/>
              </w:rPr>
              <w:t>testing on site and</w:t>
            </w:r>
            <w:r>
              <w:rPr>
                <w:spacing w:val="80"/>
                <w:sz w:val="20"/>
              </w:rPr>
              <w:t> </w:t>
            </w:r>
            <w:r>
              <w:rPr>
                <w:sz w:val="20"/>
              </w:rPr>
              <w:t>ensuring the</w:t>
            </w:r>
            <w:r>
              <w:rPr>
                <w:spacing w:val="40"/>
                <w:sz w:val="20"/>
              </w:rPr>
              <w:t> </w:t>
            </w:r>
            <w:r>
              <w:rPr>
                <w:sz w:val="20"/>
              </w:rPr>
              <w:t>quality</w:t>
            </w:r>
            <w:r>
              <w:rPr>
                <w:spacing w:val="40"/>
                <w:sz w:val="20"/>
              </w:rPr>
              <w:t> </w:t>
            </w:r>
            <w:r>
              <w:rPr>
                <w:sz w:val="20"/>
              </w:rPr>
              <w:t>of </w:t>
            </w:r>
            <w:r>
              <w:rPr>
                <w:spacing w:val="-4"/>
                <w:sz w:val="20"/>
              </w:rPr>
              <w:t>work</w:t>
            </w:r>
            <w:r>
              <w:rPr>
                <w:sz w:val="20"/>
              </w:rPr>
              <w:tab/>
              <w:tab/>
            </w:r>
            <w:r>
              <w:rPr>
                <w:spacing w:val="-5"/>
                <w:sz w:val="20"/>
              </w:rPr>
              <w:t>as</w:t>
            </w:r>
          </w:p>
          <w:p>
            <w:pPr>
              <w:pStyle w:val="TableParagraph"/>
              <w:spacing w:before="1"/>
              <w:ind w:left="106" w:right="171"/>
              <w:jc w:val="both"/>
              <w:rPr>
                <w:sz w:val="20"/>
              </w:rPr>
            </w:pPr>
            <w:r>
              <w:rPr>
                <w:spacing w:val="-2"/>
                <w:sz w:val="20"/>
              </w:rPr>
              <w:t>perthespecific ations,NBC&amp;r elevantCodeof Practice.</w:t>
            </w:r>
          </w:p>
        </w:tc>
        <w:tc>
          <w:tcPr>
            <w:tcW w:w="1748" w:type="dxa"/>
          </w:tcPr>
          <w:p>
            <w:pPr>
              <w:pStyle w:val="TableParagraph"/>
              <w:tabs>
                <w:tab w:pos="672" w:val="left" w:leader="none"/>
                <w:tab w:pos="830" w:val="left" w:leader="none"/>
                <w:tab w:pos="1265" w:val="left" w:leader="none"/>
                <w:tab w:pos="1409" w:val="left" w:leader="none"/>
              </w:tabs>
              <w:spacing w:before="95"/>
              <w:ind w:left="106" w:right="99"/>
              <w:rPr>
                <w:sz w:val="20"/>
              </w:rPr>
            </w:pPr>
            <w:r>
              <w:rPr>
                <w:spacing w:val="-2"/>
                <w:sz w:val="20"/>
              </w:rPr>
              <w:t>TheSiteSupervi </w:t>
            </w:r>
            <w:r>
              <w:rPr>
                <w:spacing w:val="-4"/>
                <w:sz w:val="20"/>
              </w:rPr>
              <w:t>sor</w:t>
            </w:r>
            <w:r>
              <w:rPr>
                <w:sz w:val="20"/>
              </w:rPr>
              <w:tab/>
            </w:r>
            <w:r>
              <w:rPr>
                <w:spacing w:val="-2"/>
                <w:sz w:val="20"/>
              </w:rPr>
              <w:t>shall</w:t>
            </w:r>
            <w:r>
              <w:rPr>
                <w:sz w:val="20"/>
              </w:rPr>
              <w:tab/>
              <w:tab/>
            </w:r>
            <w:r>
              <w:rPr>
                <w:spacing w:val="-6"/>
                <w:sz w:val="20"/>
              </w:rPr>
              <w:t>be </w:t>
            </w:r>
            <w:r>
              <w:rPr>
                <w:sz w:val="20"/>
              </w:rPr>
              <w:t>responsible</w:t>
            </w:r>
            <w:r>
              <w:rPr>
                <w:spacing w:val="40"/>
                <w:sz w:val="20"/>
              </w:rPr>
              <w:t> </w:t>
            </w:r>
            <w:r>
              <w:rPr>
                <w:sz w:val="20"/>
              </w:rPr>
              <w:t>for </w:t>
            </w:r>
            <w:r>
              <w:rPr>
                <w:spacing w:val="-4"/>
                <w:sz w:val="20"/>
              </w:rPr>
              <w:t>the </w:t>
            </w:r>
            <w:r>
              <w:rPr>
                <w:spacing w:val="-2"/>
                <w:sz w:val="20"/>
              </w:rPr>
              <w:t>workmanship </w:t>
            </w:r>
            <w:r>
              <w:rPr>
                <w:spacing w:val="-4"/>
                <w:sz w:val="20"/>
              </w:rPr>
              <w:t>and</w:t>
            </w:r>
            <w:r>
              <w:rPr>
                <w:sz w:val="20"/>
              </w:rPr>
              <w:tab/>
              <w:tab/>
            </w:r>
            <w:r>
              <w:rPr>
                <w:spacing w:val="-2"/>
                <w:sz w:val="20"/>
              </w:rPr>
              <w:t>material quality</w:t>
            </w:r>
            <w:r>
              <w:rPr>
                <w:sz w:val="20"/>
              </w:rPr>
              <w:tab/>
              <w:tab/>
            </w:r>
            <w:r>
              <w:rPr>
                <w:spacing w:val="-5"/>
                <w:sz w:val="20"/>
              </w:rPr>
              <w:t>and</w:t>
            </w:r>
          </w:p>
          <w:p>
            <w:pPr>
              <w:pStyle w:val="TableParagraph"/>
              <w:tabs>
                <w:tab w:pos="1462" w:val="left" w:leader="none"/>
              </w:tabs>
              <w:ind w:left="106"/>
              <w:rPr>
                <w:sz w:val="20"/>
              </w:rPr>
            </w:pPr>
            <w:r>
              <w:rPr>
                <w:spacing w:val="-2"/>
                <w:sz w:val="20"/>
              </w:rPr>
              <w:t>tests</w:t>
            </w:r>
            <w:r>
              <w:rPr>
                <w:sz w:val="20"/>
              </w:rPr>
              <w:tab/>
            </w:r>
            <w:r>
              <w:rPr>
                <w:spacing w:val="-5"/>
                <w:sz w:val="20"/>
              </w:rPr>
              <w:t>of</w:t>
            </w:r>
          </w:p>
          <w:p>
            <w:pPr>
              <w:pStyle w:val="TableParagraph"/>
              <w:tabs>
                <w:tab w:pos="392" w:val="left" w:leader="none"/>
                <w:tab w:pos="970" w:val="left" w:leader="none"/>
                <w:tab w:pos="1409" w:val="left" w:leader="none"/>
                <w:tab w:pos="1445" w:val="left" w:leader="none"/>
              </w:tabs>
              <w:spacing w:before="1"/>
              <w:ind w:left="106" w:right="98"/>
              <w:rPr>
                <w:sz w:val="20"/>
              </w:rPr>
            </w:pPr>
            <w:r>
              <w:rPr>
                <w:spacing w:val="-2"/>
                <w:sz w:val="20"/>
              </w:rPr>
              <w:t>material required</w:t>
            </w:r>
            <w:r>
              <w:rPr>
                <w:sz w:val="20"/>
              </w:rPr>
              <w:tab/>
              <w:tab/>
              <w:tab/>
            </w:r>
            <w:r>
              <w:rPr>
                <w:spacing w:val="-6"/>
                <w:sz w:val="20"/>
              </w:rPr>
              <w:t>in </w:t>
            </w:r>
            <w:r>
              <w:rPr>
                <w:spacing w:val="-2"/>
                <w:sz w:val="20"/>
              </w:rPr>
              <w:t>development </w:t>
            </w:r>
            <w:r>
              <w:rPr>
                <w:sz w:val="20"/>
              </w:rPr>
              <w:t>carried</w:t>
            </w:r>
            <w:r>
              <w:rPr>
                <w:spacing w:val="40"/>
                <w:sz w:val="20"/>
              </w:rPr>
              <w:t> </w:t>
            </w:r>
            <w:r>
              <w:rPr>
                <w:sz w:val="20"/>
              </w:rPr>
              <w:t>out</w:t>
            </w:r>
            <w:r>
              <w:rPr>
                <w:spacing w:val="40"/>
                <w:sz w:val="20"/>
              </w:rPr>
              <w:t> </w:t>
            </w:r>
            <w:r>
              <w:rPr>
                <w:sz w:val="20"/>
              </w:rPr>
              <w:t>on </w:t>
            </w:r>
            <w:r>
              <w:rPr>
                <w:spacing w:val="-2"/>
                <w:sz w:val="20"/>
              </w:rPr>
              <w:t>site.Thefailureo </w:t>
            </w:r>
            <w:r>
              <w:rPr>
                <w:spacing w:val="-10"/>
                <w:sz w:val="20"/>
              </w:rPr>
              <w:t>f</w:t>
            </w:r>
            <w:r>
              <w:rPr>
                <w:sz w:val="20"/>
              </w:rPr>
              <w:tab/>
            </w:r>
            <w:r>
              <w:rPr>
                <w:spacing w:val="-4"/>
                <w:sz w:val="20"/>
              </w:rPr>
              <w:t>test</w:t>
            </w:r>
            <w:r>
              <w:rPr>
                <w:sz w:val="20"/>
              </w:rPr>
              <w:tab/>
            </w:r>
            <w:r>
              <w:rPr>
                <w:spacing w:val="-2"/>
                <w:sz w:val="20"/>
              </w:rPr>
              <w:t>results shall</w:t>
            </w:r>
            <w:r>
              <w:rPr>
                <w:sz w:val="20"/>
              </w:rPr>
              <w:tab/>
              <w:tab/>
            </w:r>
            <w:r>
              <w:rPr>
                <w:spacing w:val="-5"/>
                <w:sz w:val="20"/>
              </w:rPr>
              <w:t>be</w:t>
            </w:r>
          </w:p>
          <w:p>
            <w:pPr>
              <w:pStyle w:val="TableParagraph"/>
              <w:tabs>
                <w:tab w:pos="667" w:val="left" w:leader="none"/>
                <w:tab w:pos="1264" w:val="left" w:leader="none"/>
                <w:tab w:pos="1324" w:val="left" w:leader="none"/>
              </w:tabs>
              <w:spacing w:before="1"/>
              <w:ind w:left="106" w:right="98"/>
              <w:rPr>
                <w:sz w:val="20"/>
              </w:rPr>
            </w:pPr>
            <w:r>
              <w:rPr>
                <w:spacing w:val="-2"/>
                <w:sz w:val="20"/>
              </w:rPr>
              <w:t>intimatedtoMC GM.Heshallens urethat</w:t>
            </w:r>
            <w:r>
              <w:rPr>
                <w:sz w:val="20"/>
              </w:rPr>
              <w:tab/>
              <w:tab/>
            </w:r>
            <w:r>
              <w:rPr>
                <w:spacing w:val="-64"/>
                <w:sz w:val="20"/>
              </w:rPr>
              <w:t> </w:t>
            </w:r>
            <w:r>
              <w:rPr>
                <w:spacing w:val="-4"/>
                <w:sz w:val="20"/>
              </w:rPr>
              <w:t>the </w:t>
            </w:r>
            <w:r>
              <w:rPr>
                <w:sz w:val="20"/>
              </w:rPr>
              <w:t>development</w:t>
            </w:r>
            <w:r>
              <w:rPr>
                <w:spacing w:val="33"/>
                <w:sz w:val="20"/>
              </w:rPr>
              <w:t> </w:t>
            </w:r>
            <w:r>
              <w:rPr>
                <w:sz w:val="20"/>
              </w:rPr>
              <w:t>is </w:t>
            </w:r>
            <w:r>
              <w:rPr>
                <w:spacing w:val="-6"/>
                <w:sz w:val="20"/>
              </w:rPr>
              <w:t>as</w:t>
            </w:r>
            <w:r>
              <w:rPr>
                <w:sz w:val="20"/>
              </w:rPr>
              <w:tab/>
            </w:r>
            <w:r>
              <w:rPr>
                <w:spacing w:val="-4"/>
                <w:sz w:val="20"/>
              </w:rPr>
              <w:t>per</w:t>
            </w:r>
            <w:r>
              <w:rPr>
                <w:sz w:val="20"/>
              </w:rPr>
              <w:tab/>
              <w:tab/>
            </w:r>
            <w:r>
              <w:rPr>
                <w:spacing w:val="-4"/>
                <w:sz w:val="20"/>
              </w:rPr>
              <w:t>the </w:t>
            </w:r>
            <w:r>
              <w:rPr>
                <w:spacing w:val="-2"/>
                <w:sz w:val="20"/>
              </w:rPr>
              <w:t>structural design</w:t>
            </w:r>
            <w:r>
              <w:rPr>
                <w:sz w:val="20"/>
              </w:rPr>
              <w:tab/>
            </w:r>
            <w:r>
              <w:rPr>
                <w:spacing w:val="-4"/>
                <w:sz w:val="20"/>
              </w:rPr>
              <w:t>and </w:t>
            </w:r>
            <w:r>
              <w:rPr>
                <w:spacing w:val="-2"/>
                <w:sz w:val="20"/>
              </w:rPr>
              <w:t>approved plansand</w:t>
            </w:r>
            <w:r>
              <w:rPr>
                <w:sz w:val="20"/>
              </w:rPr>
              <w:tab/>
            </w:r>
            <w:r>
              <w:rPr>
                <w:spacing w:val="-62"/>
                <w:sz w:val="20"/>
              </w:rPr>
              <w:t> </w:t>
            </w:r>
            <w:r>
              <w:rPr>
                <w:spacing w:val="-2"/>
                <w:sz w:val="20"/>
              </w:rPr>
              <w:t>Ifhe notices</w:t>
            </w:r>
            <w:r>
              <w:rPr>
                <w:sz w:val="20"/>
              </w:rPr>
              <w:tab/>
            </w:r>
            <w:r>
              <w:rPr>
                <w:spacing w:val="-50"/>
                <w:sz w:val="20"/>
              </w:rPr>
              <w:t> </w:t>
            </w:r>
            <w:r>
              <w:rPr>
                <w:spacing w:val="-2"/>
                <w:sz w:val="20"/>
              </w:rPr>
              <w:t>any</w:t>
            </w:r>
          </w:p>
          <w:p>
            <w:pPr>
              <w:pStyle w:val="TableParagraph"/>
              <w:tabs>
                <w:tab w:pos="1399" w:val="left" w:leader="none"/>
              </w:tabs>
              <w:spacing w:line="234" w:lineRule="exact"/>
              <w:ind w:left="106"/>
              <w:rPr>
                <w:sz w:val="20"/>
              </w:rPr>
            </w:pPr>
            <w:r>
              <w:rPr>
                <w:spacing w:val="-2"/>
                <w:sz w:val="20"/>
              </w:rPr>
              <w:t>deviation</w:t>
            </w:r>
            <w:r>
              <w:rPr>
                <w:sz w:val="20"/>
              </w:rPr>
              <w:tab/>
            </w:r>
            <w:r>
              <w:rPr>
                <w:spacing w:val="-5"/>
                <w:sz w:val="20"/>
              </w:rPr>
              <w:t>he</w:t>
            </w:r>
          </w:p>
          <w:p>
            <w:pPr>
              <w:pStyle w:val="TableParagraph"/>
              <w:tabs>
                <w:tab w:pos="1409" w:val="left" w:leader="none"/>
              </w:tabs>
              <w:ind w:left="106"/>
              <w:jc w:val="both"/>
              <w:rPr>
                <w:sz w:val="20"/>
              </w:rPr>
            </w:pPr>
            <w:r>
              <w:rPr>
                <w:spacing w:val="-2"/>
                <w:sz w:val="20"/>
              </w:rPr>
              <w:t>shall</w:t>
            </w:r>
            <w:r>
              <w:rPr>
                <w:sz w:val="20"/>
              </w:rPr>
              <w:tab/>
            </w:r>
            <w:r>
              <w:rPr>
                <w:spacing w:val="-5"/>
                <w:sz w:val="20"/>
              </w:rPr>
              <w:t>be</w:t>
            </w:r>
          </w:p>
          <w:p>
            <w:pPr>
              <w:pStyle w:val="TableParagraph"/>
              <w:spacing w:before="1"/>
              <w:ind w:left="106" w:right="97"/>
              <w:jc w:val="both"/>
              <w:rPr>
                <w:sz w:val="20"/>
              </w:rPr>
            </w:pPr>
            <w:r>
              <w:rPr>
                <w:sz w:val="20"/>
              </w:rPr>
              <w:t>responsible for intimating </w:t>
            </w:r>
            <w:r>
              <w:rPr>
                <w:sz w:val="20"/>
              </w:rPr>
              <w:t>the </w:t>
            </w:r>
            <w:r>
              <w:rPr>
                <w:spacing w:val="-2"/>
                <w:sz w:val="20"/>
              </w:rPr>
              <w:t>Authority.</w:t>
            </w:r>
          </w:p>
        </w:tc>
      </w:tr>
      <w:tr>
        <w:trPr>
          <w:trHeight w:val="2773" w:hRule="atLeast"/>
        </w:trPr>
        <w:tc>
          <w:tcPr>
            <w:tcW w:w="559" w:type="dxa"/>
          </w:tcPr>
          <w:p>
            <w:pPr>
              <w:pStyle w:val="TableParagraph"/>
              <w:spacing w:before="94"/>
              <w:ind w:left="107"/>
              <w:rPr>
                <w:sz w:val="20"/>
              </w:rPr>
            </w:pPr>
            <w:r>
              <w:rPr>
                <w:spacing w:val="-10"/>
                <w:sz w:val="20"/>
              </w:rPr>
              <w:t>7</w:t>
            </w:r>
          </w:p>
        </w:tc>
        <w:tc>
          <w:tcPr>
            <w:tcW w:w="1152" w:type="dxa"/>
          </w:tcPr>
          <w:p>
            <w:pPr>
              <w:pStyle w:val="TableParagraph"/>
              <w:spacing w:before="94"/>
              <w:ind w:left="107" w:right="181"/>
              <w:rPr>
                <w:sz w:val="20"/>
              </w:rPr>
            </w:pPr>
            <w:r>
              <w:rPr>
                <w:spacing w:val="-2"/>
                <w:sz w:val="20"/>
              </w:rPr>
              <w:t>Licensed Plumber</w:t>
            </w:r>
          </w:p>
        </w:tc>
        <w:tc>
          <w:tcPr>
            <w:tcW w:w="2785" w:type="dxa"/>
          </w:tcPr>
          <w:p>
            <w:pPr>
              <w:pStyle w:val="TableParagraph"/>
              <w:tabs>
                <w:tab w:pos="2428" w:val="left" w:leader="none"/>
              </w:tabs>
              <w:spacing w:before="94"/>
              <w:ind w:left="107" w:right="168"/>
              <w:rPr>
                <w:sz w:val="20"/>
              </w:rPr>
            </w:pPr>
            <w:r>
              <w:rPr>
                <w:spacing w:val="-2"/>
                <w:sz w:val="20"/>
              </w:rPr>
              <w:t>The“LicensedPlumber”m ustholdadiploma inCivilEngineeringoranyo </w:t>
            </w:r>
            <w:r>
              <w:rPr>
                <w:sz w:val="20"/>
              </w:rPr>
              <w:t>ther</w:t>
            </w:r>
            <w:r>
              <w:rPr>
                <w:spacing w:val="40"/>
                <w:sz w:val="20"/>
              </w:rPr>
              <w:t> </w:t>
            </w:r>
            <w:r>
              <w:rPr>
                <w:sz w:val="20"/>
              </w:rPr>
              <w:t>qualification</w:t>
            </w:r>
            <w:r>
              <w:rPr>
                <w:spacing w:val="40"/>
                <w:sz w:val="20"/>
              </w:rPr>
              <w:t> </w:t>
            </w:r>
            <w:r>
              <w:rPr>
                <w:sz w:val="20"/>
              </w:rPr>
              <w:t>in</w:t>
            </w:r>
            <w:r>
              <w:rPr>
                <w:spacing w:val="40"/>
                <w:sz w:val="20"/>
              </w:rPr>
              <w:t> </w:t>
            </w:r>
            <w:r>
              <w:rPr>
                <w:sz w:val="20"/>
              </w:rPr>
              <w:t>the </w:t>
            </w:r>
            <w:r>
              <w:rPr>
                <w:spacing w:val="-2"/>
                <w:sz w:val="20"/>
              </w:rPr>
              <w:t>field</w:t>
            </w:r>
            <w:r>
              <w:rPr>
                <w:sz w:val="20"/>
              </w:rPr>
              <w:tab/>
            </w:r>
            <w:r>
              <w:rPr>
                <w:spacing w:val="-5"/>
                <w:sz w:val="20"/>
              </w:rPr>
              <w:t>of</w:t>
            </w:r>
          </w:p>
          <w:p>
            <w:pPr>
              <w:pStyle w:val="TableParagraph"/>
              <w:tabs>
                <w:tab w:pos="597" w:val="left" w:leader="none"/>
                <w:tab w:pos="1088" w:val="left" w:leader="none"/>
                <w:tab w:pos="1664" w:val="left" w:leader="none"/>
                <w:tab w:pos="2098" w:val="left" w:leader="none"/>
                <w:tab w:pos="2484" w:val="left" w:leader="none"/>
              </w:tabs>
              <w:ind w:left="107" w:right="169"/>
              <w:rPr>
                <w:sz w:val="20"/>
              </w:rPr>
            </w:pPr>
            <w:r>
              <w:rPr>
                <w:spacing w:val="-2"/>
                <w:sz w:val="20"/>
              </w:rPr>
              <w:t>CivilEngineeringrecogniz </w:t>
            </w:r>
            <w:r>
              <w:rPr>
                <w:spacing w:val="-6"/>
                <w:sz w:val="20"/>
              </w:rPr>
              <w:t>ed</w:t>
            </w:r>
            <w:r>
              <w:rPr>
                <w:sz w:val="20"/>
              </w:rPr>
              <w:tab/>
            </w:r>
            <w:r>
              <w:rPr>
                <w:spacing w:val="-6"/>
                <w:sz w:val="20"/>
              </w:rPr>
              <w:t>by</w:t>
            </w:r>
            <w:r>
              <w:rPr>
                <w:sz w:val="20"/>
              </w:rPr>
              <w:tab/>
            </w:r>
            <w:r>
              <w:rPr>
                <w:spacing w:val="-4"/>
                <w:sz w:val="20"/>
              </w:rPr>
              <w:t>the</w:t>
            </w:r>
            <w:r>
              <w:rPr>
                <w:sz w:val="20"/>
              </w:rPr>
              <w:tab/>
            </w:r>
            <w:r>
              <w:rPr>
                <w:spacing w:val="-4"/>
                <w:sz w:val="20"/>
              </w:rPr>
              <w:t>board</w:t>
            </w:r>
            <w:r>
              <w:rPr>
                <w:sz w:val="20"/>
              </w:rPr>
              <w:tab/>
            </w:r>
            <w:r>
              <w:rPr>
                <w:spacing w:val="-10"/>
                <w:sz w:val="20"/>
              </w:rPr>
              <w:t>/ </w:t>
            </w:r>
            <w:r>
              <w:rPr>
                <w:spacing w:val="-2"/>
                <w:sz w:val="20"/>
              </w:rPr>
              <w:t>universities inMaharashtra LicensedPlumber</w:t>
            </w:r>
            <w:r>
              <w:rPr>
                <w:sz w:val="20"/>
              </w:rPr>
              <w:tab/>
            </w:r>
            <w:r>
              <w:rPr>
                <w:spacing w:val="-4"/>
                <w:sz w:val="20"/>
              </w:rPr>
              <w:t>must </w:t>
            </w:r>
            <w:r>
              <w:rPr>
                <w:sz w:val="20"/>
              </w:rPr>
              <w:t>have</w:t>
            </w:r>
            <w:r>
              <w:rPr>
                <w:spacing w:val="43"/>
                <w:sz w:val="20"/>
              </w:rPr>
              <w:t> </w:t>
            </w:r>
            <w:r>
              <w:rPr>
                <w:sz w:val="20"/>
              </w:rPr>
              <w:t>a</w:t>
            </w:r>
            <w:r>
              <w:rPr>
                <w:spacing w:val="43"/>
                <w:sz w:val="20"/>
              </w:rPr>
              <w:t> </w:t>
            </w:r>
            <w:r>
              <w:rPr>
                <w:sz w:val="20"/>
              </w:rPr>
              <w:t>minimum</w:t>
            </w:r>
            <w:r>
              <w:rPr>
                <w:spacing w:val="44"/>
                <w:sz w:val="20"/>
              </w:rPr>
              <w:t> </w:t>
            </w:r>
            <w:r>
              <w:rPr>
                <w:sz w:val="20"/>
              </w:rPr>
              <w:t>of</w:t>
            </w:r>
            <w:r>
              <w:rPr>
                <w:spacing w:val="45"/>
                <w:sz w:val="20"/>
              </w:rPr>
              <w:t> </w:t>
            </w:r>
            <w:r>
              <w:rPr>
                <w:spacing w:val="-5"/>
                <w:sz w:val="20"/>
              </w:rPr>
              <w:t>two</w:t>
            </w:r>
          </w:p>
        </w:tc>
        <w:tc>
          <w:tcPr>
            <w:tcW w:w="1465" w:type="dxa"/>
          </w:tcPr>
          <w:p>
            <w:pPr>
              <w:pStyle w:val="TableParagraph"/>
              <w:tabs>
                <w:tab w:pos="1042" w:val="left" w:leader="none"/>
                <w:tab w:pos="1131" w:val="left" w:leader="none"/>
              </w:tabs>
              <w:spacing w:before="94"/>
              <w:ind w:left="107" w:right="98"/>
              <w:rPr>
                <w:sz w:val="20"/>
              </w:rPr>
            </w:pPr>
            <w:r>
              <w:rPr>
                <w:spacing w:val="-2"/>
                <w:sz w:val="20"/>
              </w:rPr>
              <w:t>Registeredwi </w:t>
            </w:r>
            <w:r>
              <w:rPr>
                <w:spacing w:val="-6"/>
                <w:sz w:val="20"/>
              </w:rPr>
              <w:t>th </w:t>
            </w:r>
            <w:r>
              <w:rPr>
                <w:spacing w:val="-2"/>
                <w:sz w:val="20"/>
              </w:rPr>
              <w:t>MunicipalCo rporation </w:t>
            </w:r>
            <w:r>
              <w:rPr>
                <w:spacing w:val="-4"/>
                <w:sz w:val="20"/>
              </w:rPr>
              <w:t>with</w:t>
            </w:r>
            <w:r>
              <w:rPr>
                <w:sz w:val="20"/>
              </w:rPr>
              <w:tab/>
            </w:r>
            <w:r>
              <w:rPr>
                <w:spacing w:val="-4"/>
                <w:sz w:val="20"/>
              </w:rPr>
              <w:t>the </w:t>
            </w:r>
            <w:r>
              <w:rPr>
                <w:sz w:val="20"/>
              </w:rPr>
              <w:t>valid</w:t>
            </w:r>
            <w:r>
              <w:rPr>
                <w:spacing w:val="17"/>
                <w:sz w:val="20"/>
              </w:rPr>
              <w:t> </w:t>
            </w:r>
            <w:r>
              <w:rPr>
                <w:sz w:val="20"/>
              </w:rPr>
              <w:t>license </w:t>
            </w:r>
            <w:r>
              <w:rPr>
                <w:spacing w:val="-2"/>
                <w:sz w:val="20"/>
              </w:rPr>
              <w:t>issued</w:t>
            </w:r>
            <w:r>
              <w:rPr>
                <w:sz w:val="20"/>
              </w:rPr>
              <w:tab/>
              <w:tab/>
            </w:r>
            <w:r>
              <w:rPr>
                <w:spacing w:val="-5"/>
                <w:sz w:val="20"/>
              </w:rPr>
              <w:t>as</w:t>
            </w:r>
          </w:p>
          <w:p>
            <w:pPr>
              <w:pStyle w:val="TableParagraph"/>
              <w:tabs>
                <w:tab w:pos="1040" w:val="left" w:leader="none"/>
                <w:tab w:pos="1122" w:val="left" w:leader="none"/>
              </w:tabs>
              <w:spacing w:before="1"/>
              <w:ind w:left="107" w:right="100"/>
              <w:rPr>
                <w:sz w:val="20"/>
              </w:rPr>
            </w:pPr>
            <w:r>
              <w:rPr>
                <w:spacing w:val="-4"/>
                <w:sz w:val="20"/>
              </w:rPr>
              <w:t>per</w:t>
            </w:r>
            <w:r>
              <w:rPr>
                <w:sz w:val="20"/>
              </w:rPr>
              <w:tab/>
            </w:r>
            <w:r>
              <w:rPr>
                <w:spacing w:val="-4"/>
                <w:sz w:val="20"/>
              </w:rPr>
              <w:t>the </w:t>
            </w:r>
            <w:r>
              <w:rPr>
                <w:spacing w:val="-2"/>
                <w:sz w:val="20"/>
              </w:rPr>
              <w:t>procedure adopted</w:t>
            </w:r>
            <w:r>
              <w:rPr>
                <w:sz w:val="20"/>
              </w:rPr>
              <w:tab/>
              <w:tab/>
            </w:r>
            <w:r>
              <w:rPr>
                <w:spacing w:val="-6"/>
                <w:sz w:val="20"/>
              </w:rPr>
              <w:t>by </w:t>
            </w:r>
            <w:r>
              <w:rPr>
                <w:spacing w:val="-2"/>
                <w:sz w:val="20"/>
              </w:rPr>
              <w:t>MCGM.</w:t>
            </w:r>
          </w:p>
        </w:tc>
        <w:tc>
          <w:tcPr>
            <w:tcW w:w="1645" w:type="dxa"/>
          </w:tcPr>
          <w:p>
            <w:pPr>
              <w:pStyle w:val="TableParagraph"/>
              <w:tabs>
                <w:tab w:pos="793" w:val="left" w:leader="none"/>
                <w:tab w:pos="1138" w:val="left" w:leader="none"/>
              </w:tabs>
              <w:spacing w:before="94"/>
              <w:ind w:left="106" w:right="171"/>
              <w:rPr>
                <w:sz w:val="20"/>
              </w:rPr>
            </w:pPr>
            <w:r>
              <w:rPr>
                <w:spacing w:val="-2"/>
                <w:sz w:val="20"/>
              </w:rPr>
              <w:t>Tocarry</w:t>
            </w:r>
            <w:r>
              <w:rPr>
                <w:sz w:val="20"/>
              </w:rPr>
              <w:tab/>
            </w:r>
            <w:r>
              <w:rPr>
                <w:spacing w:val="-4"/>
                <w:sz w:val="20"/>
              </w:rPr>
              <w:t>out </w:t>
            </w:r>
            <w:r>
              <w:rPr>
                <w:spacing w:val="-2"/>
                <w:sz w:val="20"/>
              </w:rPr>
              <w:t>plumbing </w:t>
            </w:r>
            <w:r>
              <w:rPr>
                <w:spacing w:val="-4"/>
                <w:sz w:val="20"/>
              </w:rPr>
              <w:t>work</w:t>
            </w:r>
            <w:r>
              <w:rPr>
                <w:sz w:val="20"/>
              </w:rPr>
              <w:tab/>
            </w:r>
            <w:r>
              <w:rPr>
                <w:spacing w:val="-2"/>
                <w:sz w:val="20"/>
              </w:rPr>
              <w:t>related </w:t>
            </w:r>
            <w:r>
              <w:rPr>
                <w:spacing w:val="-6"/>
                <w:sz w:val="20"/>
              </w:rPr>
              <w:t>to </w:t>
            </w:r>
            <w:r>
              <w:rPr>
                <w:spacing w:val="-2"/>
                <w:sz w:val="20"/>
              </w:rPr>
              <w:t>development permission </w:t>
            </w:r>
            <w:r>
              <w:rPr>
                <w:sz w:val="20"/>
              </w:rPr>
              <w:t>and</w:t>
            </w:r>
            <w:r>
              <w:rPr>
                <w:spacing w:val="-6"/>
                <w:sz w:val="20"/>
              </w:rPr>
              <w:t> </w:t>
            </w:r>
            <w:r>
              <w:rPr>
                <w:sz w:val="20"/>
              </w:rPr>
              <w:t>approved plans</w:t>
            </w:r>
            <w:r>
              <w:rPr>
                <w:spacing w:val="40"/>
                <w:sz w:val="20"/>
              </w:rPr>
              <w:t> </w:t>
            </w:r>
            <w:r>
              <w:rPr>
                <w:sz w:val="20"/>
              </w:rPr>
              <w:t>and</w:t>
            </w:r>
            <w:r>
              <w:rPr>
                <w:spacing w:val="40"/>
                <w:sz w:val="20"/>
              </w:rPr>
              <w:t> </w:t>
            </w:r>
            <w:r>
              <w:rPr>
                <w:sz w:val="20"/>
              </w:rPr>
              <w:t>to </w:t>
            </w:r>
            <w:r>
              <w:rPr>
                <w:spacing w:val="-2"/>
                <w:sz w:val="20"/>
              </w:rPr>
              <w:t>submit-</w:t>
            </w:r>
          </w:p>
          <w:p>
            <w:pPr>
              <w:pStyle w:val="TableParagraph"/>
              <w:spacing w:line="232" w:lineRule="exact" w:before="83"/>
              <w:ind w:left="106"/>
              <w:rPr>
                <w:sz w:val="20"/>
              </w:rPr>
            </w:pPr>
            <w:r>
              <w:rPr>
                <w:spacing w:val="-6"/>
                <w:sz w:val="20"/>
              </w:rPr>
              <w:t>a) </w:t>
            </w:r>
            <w:r>
              <w:rPr>
                <w:spacing w:val="-2"/>
                <w:sz w:val="20"/>
              </w:rPr>
              <w:t>Certificateofsu</w:t>
            </w:r>
          </w:p>
        </w:tc>
        <w:tc>
          <w:tcPr>
            <w:tcW w:w="1748" w:type="dxa"/>
          </w:tcPr>
          <w:p>
            <w:pPr>
              <w:pStyle w:val="TableParagraph"/>
              <w:tabs>
                <w:tab w:pos="830" w:val="left" w:leader="none"/>
                <w:tab w:pos="1265" w:val="left" w:leader="none"/>
              </w:tabs>
              <w:spacing w:before="94"/>
              <w:ind w:left="106" w:right="99"/>
              <w:rPr>
                <w:sz w:val="20"/>
              </w:rPr>
            </w:pPr>
            <w:r>
              <w:rPr>
                <w:spacing w:val="-2"/>
                <w:sz w:val="20"/>
              </w:rPr>
              <w:t>TheLicensedPlu </w:t>
            </w:r>
            <w:r>
              <w:rPr>
                <w:sz w:val="20"/>
              </w:rPr>
              <w:t>mber</w:t>
            </w:r>
            <w:r>
              <w:rPr>
                <w:spacing w:val="79"/>
                <w:sz w:val="20"/>
              </w:rPr>
              <w:t> </w:t>
            </w:r>
            <w:r>
              <w:rPr>
                <w:sz w:val="20"/>
              </w:rPr>
              <w:t>shall</w:t>
            </w:r>
            <w:r>
              <w:rPr>
                <w:spacing w:val="80"/>
                <w:sz w:val="20"/>
              </w:rPr>
              <w:t> </w:t>
            </w:r>
            <w:r>
              <w:rPr>
                <w:sz w:val="20"/>
              </w:rPr>
              <w:t>be responsible</w:t>
            </w:r>
            <w:r>
              <w:rPr>
                <w:spacing w:val="40"/>
                <w:sz w:val="20"/>
              </w:rPr>
              <w:t> </w:t>
            </w:r>
            <w:r>
              <w:rPr>
                <w:sz w:val="20"/>
              </w:rPr>
              <w:t>for </w:t>
            </w:r>
            <w:r>
              <w:rPr>
                <w:spacing w:val="-4"/>
                <w:sz w:val="20"/>
              </w:rPr>
              <w:t>the </w:t>
            </w:r>
            <w:r>
              <w:rPr>
                <w:spacing w:val="-2"/>
                <w:sz w:val="20"/>
              </w:rPr>
              <w:t>workmanship </w:t>
            </w:r>
            <w:r>
              <w:rPr>
                <w:spacing w:val="-4"/>
                <w:sz w:val="20"/>
              </w:rPr>
              <w:t>and</w:t>
            </w:r>
            <w:r>
              <w:rPr>
                <w:sz w:val="20"/>
              </w:rPr>
              <w:tab/>
            </w:r>
            <w:r>
              <w:rPr>
                <w:spacing w:val="-2"/>
                <w:sz w:val="20"/>
              </w:rPr>
              <w:t>material quality</w:t>
            </w:r>
            <w:r>
              <w:rPr>
                <w:sz w:val="20"/>
              </w:rPr>
              <w:tab/>
              <w:tab/>
            </w:r>
            <w:r>
              <w:rPr>
                <w:spacing w:val="-5"/>
                <w:sz w:val="20"/>
              </w:rPr>
              <w:t>and</w:t>
            </w:r>
          </w:p>
          <w:p>
            <w:pPr>
              <w:pStyle w:val="TableParagraph"/>
              <w:tabs>
                <w:tab w:pos="1462" w:val="left" w:leader="none"/>
              </w:tabs>
              <w:spacing w:before="1"/>
              <w:ind w:left="106"/>
              <w:rPr>
                <w:sz w:val="20"/>
              </w:rPr>
            </w:pPr>
            <w:r>
              <w:rPr>
                <w:spacing w:val="-2"/>
                <w:sz w:val="20"/>
              </w:rPr>
              <w:t>tests</w:t>
            </w:r>
            <w:r>
              <w:rPr>
                <w:sz w:val="20"/>
              </w:rPr>
              <w:tab/>
            </w:r>
            <w:r>
              <w:rPr>
                <w:spacing w:val="-5"/>
                <w:sz w:val="20"/>
              </w:rPr>
              <w:t>of</w:t>
            </w:r>
          </w:p>
          <w:p>
            <w:pPr>
              <w:pStyle w:val="TableParagraph"/>
              <w:tabs>
                <w:tab w:pos="1264" w:val="left" w:leader="none"/>
                <w:tab w:pos="1376" w:val="left" w:leader="none"/>
              </w:tabs>
              <w:ind w:left="106" w:right="99"/>
              <w:rPr>
                <w:sz w:val="20"/>
              </w:rPr>
            </w:pPr>
            <w:r>
              <w:rPr>
                <w:spacing w:val="-2"/>
                <w:sz w:val="20"/>
              </w:rPr>
              <w:t>material required</w:t>
            </w:r>
            <w:r>
              <w:rPr>
                <w:sz w:val="20"/>
              </w:rPr>
              <w:tab/>
              <w:tab/>
            </w:r>
            <w:r>
              <w:rPr>
                <w:spacing w:val="-4"/>
                <w:sz w:val="20"/>
              </w:rPr>
              <w:t>for </w:t>
            </w:r>
            <w:r>
              <w:rPr>
                <w:spacing w:val="-2"/>
                <w:sz w:val="20"/>
              </w:rPr>
              <w:t>plumbing</w:t>
            </w:r>
            <w:r>
              <w:rPr>
                <w:sz w:val="20"/>
              </w:rPr>
              <w:tab/>
            </w:r>
            <w:r>
              <w:rPr>
                <w:spacing w:val="-5"/>
                <w:sz w:val="20"/>
              </w:rPr>
              <w:t>and</w:t>
            </w:r>
          </w:p>
        </w:tc>
      </w:tr>
    </w:tbl>
    <w:p>
      <w:pPr>
        <w:pStyle w:val="TableParagraph"/>
        <w:spacing w:after="0"/>
        <w:rPr>
          <w:sz w:val="20"/>
        </w:rPr>
        <w:sectPr>
          <w:pgSz w:w="11910" w:h="16850"/>
          <w:pgMar w:header="1022" w:footer="1070" w:top="1460" w:bottom="1260" w:left="360" w:right="360"/>
        </w:sectPr>
      </w:pPr>
    </w:p>
    <w:p>
      <w:pPr>
        <w:pStyle w:val="BodyText"/>
        <w:spacing w:before="44"/>
        <w:jc w:val="left"/>
        <w:rPr>
          <w:b/>
          <w:sz w:val="20"/>
        </w:rPr>
      </w:pPr>
    </w:p>
    <w:tbl>
      <w:tblPr>
        <w:tblW w:w="0" w:type="auto"/>
        <w:jc w:val="left"/>
        <w:tblInd w:w="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1152"/>
        <w:gridCol w:w="2785"/>
        <w:gridCol w:w="1465"/>
        <w:gridCol w:w="1645"/>
        <w:gridCol w:w="1748"/>
      </w:tblGrid>
      <w:tr>
        <w:trPr>
          <w:trHeight w:val="638" w:hRule="atLeast"/>
        </w:trPr>
        <w:tc>
          <w:tcPr>
            <w:tcW w:w="559" w:type="dxa"/>
            <w:shd w:val="clear" w:color="auto" w:fill="E7E6E6"/>
          </w:tcPr>
          <w:p>
            <w:pPr>
              <w:pStyle w:val="TableParagraph"/>
              <w:spacing w:before="94"/>
              <w:ind w:left="107" w:right="150"/>
              <w:rPr>
                <w:sz w:val="20"/>
              </w:rPr>
            </w:pPr>
            <w:r>
              <w:rPr>
                <w:spacing w:val="-4"/>
                <w:sz w:val="20"/>
              </w:rPr>
              <w:t>Sr. </w:t>
            </w:r>
            <w:r>
              <w:rPr>
                <w:spacing w:val="-5"/>
                <w:sz w:val="20"/>
              </w:rPr>
              <w:t>No</w:t>
            </w:r>
          </w:p>
        </w:tc>
        <w:tc>
          <w:tcPr>
            <w:tcW w:w="1152" w:type="dxa"/>
            <w:shd w:val="clear" w:color="auto" w:fill="E7E6E6"/>
          </w:tcPr>
          <w:p>
            <w:pPr>
              <w:pStyle w:val="TableParagraph"/>
              <w:spacing w:before="94"/>
              <w:ind w:left="107" w:right="161"/>
              <w:rPr>
                <w:sz w:val="20"/>
              </w:rPr>
            </w:pPr>
            <w:r>
              <w:rPr>
                <w:spacing w:val="-2"/>
                <w:sz w:val="20"/>
              </w:rPr>
              <w:t>Professio </w:t>
            </w:r>
            <w:r>
              <w:rPr>
                <w:spacing w:val="-4"/>
                <w:sz w:val="20"/>
              </w:rPr>
              <w:t>nals</w:t>
            </w:r>
          </w:p>
        </w:tc>
        <w:tc>
          <w:tcPr>
            <w:tcW w:w="2785" w:type="dxa"/>
            <w:shd w:val="clear" w:color="auto" w:fill="E7E6E6"/>
          </w:tcPr>
          <w:p>
            <w:pPr>
              <w:pStyle w:val="TableParagraph"/>
              <w:spacing w:before="94"/>
              <w:ind w:left="107"/>
              <w:rPr>
                <w:sz w:val="20"/>
              </w:rPr>
            </w:pPr>
            <w:r>
              <w:rPr>
                <w:spacing w:val="-2"/>
                <w:sz w:val="20"/>
              </w:rPr>
              <w:t>Qualification</w:t>
            </w:r>
          </w:p>
        </w:tc>
        <w:tc>
          <w:tcPr>
            <w:tcW w:w="1465" w:type="dxa"/>
            <w:shd w:val="clear" w:color="auto" w:fill="E7E6E6"/>
          </w:tcPr>
          <w:p>
            <w:pPr>
              <w:pStyle w:val="TableParagraph"/>
              <w:spacing w:before="94"/>
              <w:ind w:left="107"/>
              <w:rPr>
                <w:sz w:val="20"/>
              </w:rPr>
            </w:pPr>
            <w:r>
              <w:rPr>
                <w:spacing w:val="-2"/>
                <w:sz w:val="20"/>
              </w:rPr>
              <w:t>Registration</w:t>
            </w:r>
          </w:p>
        </w:tc>
        <w:tc>
          <w:tcPr>
            <w:tcW w:w="1645" w:type="dxa"/>
            <w:shd w:val="clear" w:color="auto" w:fill="E7E6E6"/>
          </w:tcPr>
          <w:p>
            <w:pPr>
              <w:pStyle w:val="TableParagraph"/>
              <w:spacing w:before="94"/>
              <w:ind w:left="106"/>
              <w:rPr>
                <w:sz w:val="20"/>
              </w:rPr>
            </w:pPr>
            <w:r>
              <w:rPr>
                <w:spacing w:val="-2"/>
                <w:sz w:val="20"/>
              </w:rPr>
              <w:t>Duties</w:t>
            </w:r>
          </w:p>
        </w:tc>
        <w:tc>
          <w:tcPr>
            <w:tcW w:w="1748" w:type="dxa"/>
            <w:shd w:val="clear" w:color="auto" w:fill="E7E6E6"/>
          </w:tcPr>
          <w:p>
            <w:pPr>
              <w:pStyle w:val="TableParagraph"/>
              <w:spacing w:before="94"/>
              <w:ind w:left="106"/>
              <w:rPr>
                <w:sz w:val="20"/>
              </w:rPr>
            </w:pPr>
            <w:r>
              <w:rPr>
                <w:spacing w:val="-2"/>
                <w:sz w:val="20"/>
              </w:rPr>
              <w:t>Responsibilities</w:t>
            </w:r>
          </w:p>
        </w:tc>
      </w:tr>
      <w:tr>
        <w:trPr>
          <w:trHeight w:val="4766" w:hRule="atLeast"/>
        </w:trPr>
        <w:tc>
          <w:tcPr>
            <w:tcW w:w="559" w:type="dxa"/>
          </w:tcPr>
          <w:p>
            <w:pPr>
              <w:pStyle w:val="TableParagraph"/>
              <w:rPr>
                <w:rFonts w:ascii="Times New Roman"/>
                <w:sz w:val="18"/>
              </w:rPr>
            </w:pPr>
          </w:p>
        </w:tc>
        <w:tc>
          <w:tcPr>
            <w:tcW w:w="1152" w:type="dxa"/>
          </w:tcPr>
          <w:p>
            <w:pPr>
              <w:pStyle w:val="TableParagraph"/>
              <w:rPr>
                <w:rFonts w:ascii="Times New Roman"/>
                <w:sz w:val="18"/>
              </w:rPr>
            </w:pPr>
          </w:p>
        </w:tc>
        <w:tc>
          <w:tcPr>
            <w:tcW w:w="2785" w:type="dxa"/>
          </w:tcPr>
          <w:p>
            <w:pPr>
              <w:pStyle w:val="TableParagraph"/>
              <w:ind w:left="107" w:right="828"/>
              <w:rPr>
                <w:sz w:val="20"/>
              </w:rPr>
            </w:pPr>
            <w:r>
              <w:rPr>
                <w:spacing w:val="-2"/>
                <w:sz w:val="20"/>
              </w:rPr>
              <w:t>yearsofexperience </w:t>
            </w:r>
            <w:r>
              <w:rPr>
                <w:sz w:val="20"/>
              </w:rPr>
              <w:t>inPlumbing</w:t>
            </w:r>
            <w:r>
              <w:rPr>
                <w:spacing w:val="-16"/>
                <w:sz w:val="20"/>
              </w:rPr>
              <w:t> </w:t>
            </w:r>
            <w:r>
              <w:rPr>
                <w:sz w:val="20"/>
              </w:rPr>
              <w:t>works.</w:t>
            </w:r>
          </w:p>
        </w:tc>
        <w:tc>
          <w:tcPr>
            <w:tcW w:w="1465" w:type="dxa"/>
          </w:tcPr>
          <w:p>
            <w:pPr>
              <w:pStyle w:val="TableParagraph"/>
              <w:rPr>
                <w:rFonts w:ascii="Times New Roman"/>
                <w:sz w:val="18"/>
              </w:rPr>
            </w:pPr>
          </w:p>
        </w:tc>
        <w:tc>
          <w:tcPr>
            <w:tcW w:w="1645" w:type="dxa"/>
          </w:tcPr>
          <w:p>
            <w:pPr>
              <w:pStyle w:val="TableParagraph"/>
              <w:tabs>
                <w:tab w:pos="598" w:val="left" w:leader="none"/>
                <w:tab w:pos="879" w:val="left" w:leader="none"/>
                <w:tab w:pos="1186" w:val="left" w:leader="none"/>
                <w:tab w:pos="1356" w:val="left" w:leader="none"/>
              </w:tabs>
              <w:ind w:left="106" w:right="98"/>
              <w:rPr>
                <w:sz w:val="20"/>
              </w:rPr>
            </w:pPr>
            <w:r>
              <w:rPr>
                <w:spacing w:val="-2"/>
                <w:sz w:val="20"/>
              </w:rPr>
              <w:t>pervisionof buildings forPlumbing&amp; water</w:t>
            </w:r>
            <w:r>
              <w:rPr>
                <w:sz w:val="20"/>
              </w:rPr>
              <w:tab/>
            </w:r>
            <w:r>
              <w:rPr>
                <w:spacing w:val="-2"/>
                <w:sz w:val="20"/>
              </w:rPr>
              <w:t>supply </w:t>
            </w:r>
            <w:r>
              <w:rPr>
                <w:sz w:val="20"/>
              </w:rPr>
              <w:t>and</w:t>
            </w:r>
            <w:r>
              <w:rPr>
                <w:spacing w:val="80"/>
                <w:sz w:val="20"/>
              </w:rPr>
              <w:t> </w:t>
            </w:r>
            <w:r>
              <w:rPr>
                <w:sz w:val="20"/>
              </w:rPr>
              <w:t>to</w:t>
            </w:r>
            <w:r>
              <w:rPr>
                <w:spacing w:val="80"/>
                <w:sz w:val="20"/>
              </w:rPr>
              <w:t> </w:t>
            </w:r>
            <w:r>
              <w:rPr>
                <w:sz w:val="20"/>
              </w:rPr>
              <w:t>carry </w:t>
            </w:r>
            <w:r>
              <w:rPr>
                <w:spacing w:val="-2"/>
                <w:sz w:val="20"/>
              </w:rPr>
              <w:t>out</w:t>
            </w:r>
            <w:r>
              <w:rPr>
                <w:spacing w:val="-14"/>
                <w:sz w:val="20"/>
              </w:rPr>
              <w:t> </w:t>
            </w:r>
            <w:r>
              <w:rPr>
                <w:spacing w:val="-2"/>
                <w:sz w:val="20"/>
              </w:rPr>
              <w:t>details</w:t>
            </w:r>
            <w:r>
              <w:rPr>
                <w:spacing w:val="-17"/>
                <w:sz w:val="20"/>
              </w:rPr>
              <w:t> </w:t>
            </w:r>
            <w:r>
              <w:rPr>
                <w:spacing w:val="-2"/>
                <w:sz w:val="20"/>
              </w:rPr>
              <w:t>and </w:t>
            </w:r>
            <w:r>
              <w:rPr>
                <w:sz w:val="20"/>
              </w:rPr>
              <w:t>calculations</w:t>
            </w:r>
            <w:r>
              <w:rPr>
                <w:spacing w:val="-16"/>
                <w:sz w:val="20"/>
              </w:rPr>
              <w:t> </w:t>
            </w:r>
            <w:r>
              <w:rPr>
                <w:sz w:val="20"/>
              </w:rPr>
              <w:t>of </w:t>
            </w:r>
            <w:r>
              <w:rPr>
                <w:spacing w:val="-4"/>
                <w:sz w:val="20"/>
              </w:rPr>
              <w:t>all</w:t>
            </w:r>
            <w:r>
              <w:rPr>
                <w:sz w:val="20"/>
              </w:rPr>
              <w:tab/>
            </w:r>
            <w:r>
              <w:rPr>
                <w:spacing w:val="-2"/>
                <w:sz w:val="20"/>
              </w:rPr>
              <w:t>parts</w:t>
            </w:r>
            <w:r>
              <w:rPr>
                <w:sz w:val="20"/>
              </w:rPr>
              <w:tab/>
              <w:tab/>
            </w:r>
            <w:r>
              <w:rPr>
                <w:spacing w:val="-6"/>
                <w:sz w:val="20"/>
              </w:rPr>
              <w:t>of </w:t>
            </w:r>
            <w:r>
              <w:rPr>
                <w:spacing w:val="-2"/>
                <w:sz w:val="20"/>
              </w:rPr>
              <w:t>buildingw.r.t.P lumbing&amp;bye </w:t>
            </w:r>
            <w:r>
              <w:rPr>
                <w:spacing w:val="-5"/>
                <w:sz w:val="20"/>
              </w:rPr>
              <w:t>law</w:t>
            </w:r>
            <w:r>
              <w:rPr>
                <w:sz w:val="20"/>
              </w:rPr>
              <w:tab/>
              <w:tab/>
              <w:tab/>
            </w:r>
            <w:r>
              <w:rPr>
                <w:spacing w:val="-4"/>
                <w:sz w:val="20"/>
              </w:rPr>
              <w:t>4(c)</w:t>
            </w:r>
          </w:p>
          <w:p>
            <w:pPr>
              <w:pStyle w:val="TableParagraph"/>
              <w:tabs>
                <w:tab w:pos="1347" w:val="left" w:leader="none"/>
              </w:tabs>
              <w:ind w:left="106" w:right="99"/>
              <w:rPr>
                <w:sz w:val="20"/>
              </w:rPr>
            </w:pPr>
            <w:r>
              <w:rPr>
                <w:spacing w:val="-2"/>
                <w:sz w:val="20"/>
              </w:rPr>
              <w:t>according</w:t>
            </w:r>
            <w:r>
              <w:rPr>
                <w:sz w:val="20"/>
              </w:rPr>
              <w:tab/>
            </w:r>
            <w:r>
              <w:rPr>
                <w:spacing w:val="-6"/>
                <w:sz w:val="20"/>
              </w:rPr>
              <w:t>to </w:t>
            </w:r>
            <w:r>
              <w:rPr>
                <w:spacing w:val="-2"/>
                <w:sz w:val="20"/>
              </w:rPr>
              <w:t>approved development permission </w:t>
            </w:r>
            <w:r>
              <w:rPr>
                <w:spacing w:val="-4"/>
                <w:sz w:val="20"/>
              </w:rPr>
              <w:t>and</w:t>
            </w:r>
            <w:r>
              <w:rPr>
                <w:sz w:val="20"/>
              </w:rPr>
              <w:t> </w:t>
            </w:r>
            <w:r>
              <w:rPr>
                <w:spacing w:val="-2"/>
                <w:sz w:val="20"/>
              </w:rPr>
              <w:t>b)Drainage CompletionCe rtificatealongw </w:t>
            </w:r>
            <w:r>
              <w:rPr>
                <w:sz w:val="20"/>
              </w:rPr>
              <w:t>ith plans.</w:t>
            </w:r>
          </w:p>
        </w:tc>
        <w:tc>
          <w:tcPr>
            <w:tcW w:w="1748" w:type="dxa"/>
          </w:tcPr>
          <w:p>
            <w:pPr>
              <w:pStyle w:val="TableParagraph"/>
              <w:tabs>
                <w:tab w:pos="1409" w:val="left" w:leader="none"/>
              </w:tabs>
              <w:ind w:left="106" w:right="100"/>
              <w:rPr>
                <w:sz w:val="20"/>
              </w:rPr>
            </w:pPr>
            <w:r>
              <w:rPr>
                <w:spacing w:val="-2"/>
                <w:sz w:val="20"/>
              </w:rPr>
              <w:t>water supply.Thefailu </w:t>
            </w:r>
            <w:r>
              <w:rPr>
                <w:sz w:val="20"/>
              </w:rPr>
              <w:t>reof</w:t>
            </w:r>
            <w:r>
              <w:rPr>
                <w:spacing w:val="-16"/>
                <w:sz w:val="20"/>
              </w:rPr>
              <w:t> </w:t>
            </w:r>
            <w:r>
              <w:rPr>
                <w:sz w:val="20"/>
              </w:rPr>
              <w:t>test</w:t>
            </w:r>
            <w:r>
              <w:rPr>
                <w:spacing w:val="-16"/>
                <w:sz w:val="20"/>
              </w:rPr>
              <w:t> </w:t>
            </w:r>
            <w:r>
              <w:rPr>
                <w:sz w:val="20"/>
              </w:rPr>
              <w:t>results </w:t>
            </w:r>
            <w:r>
              <w:rPr>
                <w:spacing w:val="-2"/>
                <w:sz w:val="20"/>
              </w:rPr>
              <w:t>shall</w:t>
            </w:r>
            <w:r>
              <w:rPr>
                <w:sz w:val="20"/>
              </w:rPr>
              <w:tab/>
            </w:r>
            <w:r>
              <w:rPr>
                <w:spacing w:val="-5"/>
                <w:sz w:val="20"/>
              </w:rPr>
              <w:t>be</w:t>
            </w:r>
          </w:p>
          <w:p>
            <w:pPr>
              <w:pStyle w:val="TableParagraph"/>
              <w:tabs>
                <w:tab w:pos="741" w:val="left" w:leader="none"/>
                <w:tab w:pos="1265" w:val="left" w:leader="none"/>
                <w:tab w:pos="1325" w:val="left" w:leader="none"/>
                <w:tab w:pos="1399" w:val="left" w:leader="none"/>
              </w:tabs>
              <w:ind w:left="106" w:right="98"/>
              <w:rPr>
                <w:sz w:val="20"/>
              </w:rPr>
            </w:pPr>
            <w:r>
              <w:rPr>
                <w:spacing w:val="-2"/>
                <w:sz w:val="20"/>
              </w:rPr>
              <w:t>intimatedtoMC GM.Heshallens urethat</w:t>
            </w:r>
            <w:r>
              <w:rPr>
                <w:sz w:val="20"/>
              </w:rPr>
              <w:tab/>
              <w:tab/>
            </w:r>
            <w:r>
              <w:rPr>
                <w:spacing w:val="-4"/>
                <w:sz w:val="20"/>
              </w:rPr>
              <w:t>the </w:t>
            </w:r>
            <w:r>
              <w:rPr>
                <w:spacing w:val="-2"/>
                <w:sz w:val="20"/>
              </w:rPr>
              <w:t>plumbing</w:t>
            </w:r>
            <w:r>
              <w:rPr>
                <w:sz w:val="20"/>
              </w:rPr>
              <w:t> </w:t>
            </w:r>
            <w:r>
              <w:rPr>
                <w:spacing w:val="-2"/>
                <w:sz w:val="20"/>
              </w:rPr>
              <w:t>layout</w:t>
            </w:r>
            <w:r>
              <w:rPr>
                <w:spacing w:val="40"/>
                <w:sz w:val="20"/>
              </w:rPr>
              <w:t> </w:t>
            </w:r>
            <w:r>
              <w:rPr>
                <w:sz w:val="20"/>
              </w:rPr>
              <w:t>proposed</w:t>
            </w:r>
            <w:r>
              <w:rPr>
                <w:spacing w:val="40"/>
                <w:sz w:val="20"/>
              </w:rPr>
              <w:t> </w:t>
            </w:r>
            <w:r>
              <w:rPr>
                <w:sz w:val="20"/>
              </w:rPr>
              <w:t>is</w:t>
            </w:r>
            <w:r>
              <w:rPr>
                <w:spacing w:val="40"/>
                <w:sz w:val="20"/>
              </w:rPr>
              <w:t> </w:t>
            </w:r>
            <w:r>
              <w:rPr>
                <w:sz w:val="20"/>
              </w:rPr>
              <w:t>as </w:t>
            </w:r>
            <w:r>
              <w:rPr>
                <w:spacing w:val="-4"/>
                <w:sz w:val="20"/>
              </w:rPr>
              <w:t>per</w:t>
            </w:r>
            <w:r>
              <w:rPr>
                <w:sz w:val="20"/>
              </w:rPr>
              <w:tab/>
            </w:r>
            <w:r>
              <w:rPr>
                <w:spacing w:val="-2"/>
                <w:sz w:val="20"/>
              </w:rPr>
              <w:t>approved plans</w:t>
            </w:r>
            <w:r>
              <w:rPr>
                <w:sz w:val="20"/>
              </w:rPr>
              <w:tab/>
              <w:tab/>
            </w:r>
            <w:r>
              <w:rPr>
                <w:spacing w:val="-4"/>
                <w:sz w:val="20"/>
              </w:rPr>
              <w:t>and </w:t>
            </w:r>
            <w:r>
              <w:rPr>
                <w:sz w:val="20"/>
              </w:rPr>
              <w:t>Ifhenotices</w:t>
            </w:r>
            <w:r>
              <w:rPr>
                <w:spacing w:val="13"/>
                <w:sz w:val="20"/>
              </w:rPr>
              <w:t> </w:t>
            </w:r>
            <w:r>
              <w:rPr>
                <w:sz w:val="20"/>
              </w:rPr>
              <w:t>any </w:t>
            </w:r>
            <w:r>
              <w:rPr>
                <w:spacing w:val="-2"/>
                <w:sz w:val="20"/>
              </w:rPr>
              <w:t>deviation</w:t>
            </w:r>
            <w:r>
              <w:rPr>
                <w:sz w:val="20"/>
              </w:rPr>
              <w:tab/>
              <w:tab/>
              <w:tab/>
            </w:r>
            <w:r>
              <w:rPr>
                <w:spacing w:val="-5"/>
                <w:sz w:val="20"/>
              </w:rPr>
              <w:t>he</w:t>
            </w:r>
          </w:p>
          <w:p>
            <w:pPr>
              <w:pStyle w:val="TableParagraph"/>
              <w:tabs>
                <w:tab w:pos="1409" w:val="left" w:leader="none"/>
              </w:tabs>
              <w:spacing w:line="234" w:lineRule="exact"/>
              <w:ind w:left="106"/>
              <w:jc w:val="both"/>
              <w:rPr>
                <w:sz w:val="20"/>
              </w:rPr>
            </w:pPr>
            <w:r>
              <w:rPr>
                <w:spacing w:val="-2"/>
                <w:sz w:val="20"/>
              </w:rPr>
              <w:t>shall</w:t>
            </w:r>
            <w:r>
              <w:rPr>
                <w:sz w:val="20"/>
              </w:rPr>
              <w:tab/>
            </w:r>
            <w:r>
              <w:rPr>
                <w:spacing w:val="-5"/>
                <w:sz w:val="20"/>
              </w:rPr>
              <w:t>be</w:t>
            </w:r>
          </w:p>
          <w:p>
            <w:pPr>
              <w:pStyle w:val="TableParagraph"/>
              <w:ind w:left="106" w:right="97"/>
              <w:jc w:val="both"/>
              <w:rPr>
                <w:sz w:val="20"/>
              </w:rPr>
            </w:pPr>
            <w:r>
              <w:rPr>
                <w:sz w:val="20"/>
              </w:rPr>
              <w:t>responsible for intimating </w:t>
            </w:r>
            <w:r>
              <w:rPr>
                <w:sz w:val="20"/>
              </w:rPr>
              <w:t>the </w:t>
            </w:r>
            <w:r>
              <w:rPr>
                <w:spacing w:val="-2"/>
                <w:sz w:val="20"/>
              </w:rPr>
              <w:t>Authority.</w:t>
            </w:r>
          </w:p>
        </w:tc>
      </w:tr>
      <w:tr>
        <w:trPr>
          <w:trHeight w:val="7759" w:hRule="atLeast"/>
        </w:trPr>
        <w:tc>
          <w:tcPr>
            <w:tcW w:w="559" w:type="dxa"/>
          </w:tcPr>
          <w:p>
            <w:pPr>
              <w:pStyle w:val="TableParagraph"/>
              <w:spacing w:before="97"/>
              <w:ind w:left="107"/>
              <w:rPr>
                <w:sz w:val="20"/>
              </w:rPr>
            </w:pPr>
            <w:r>
              <w:rPr>
                <w:spacing w:val="-10"/>
                <w:sz w:val="20"/>
              </w:rPr>
              <w:t>8</w:t>
            </w:r>
          </w:p>
        </w:tc>
        <w:tc>
          <w:tcPr>
            <w:tcW w:w="1152" w:type="dxa"/>
          </w:tcPr>
          <w:p>
            <w:pPr>
              <w:pStyle w:val="TableParagraph"/>
              <w:spacing w:before="97"/>
              <w:ind w:left="107" w:right="-29"/>
              <w:rPr>
                <w:sz w:val="20"/>
              </w:rPr>
            </w:pPr>
            <w:r>
              <w:rPr>
                <w:spacing w:val="-2"/>
                <w:sz w:val="20"/>
              </w:rPr>
              <w:t>Consultan </w:t>
            </w:r>
            <w:r>
              <w:rPr>
                <w:sz w:val="20"/>
              </w:rPr>
              <w:t>t for Rain </w:t>
            </w:r>
            <w:r>
              <w:rPr>
                <w:spacing w:val="-2"/>
                <w:sz w:val="20"/>
              </w:rPr>
              <w:t>Water Harvesting</w:t>
            </w:r>
          </w:p>
        </w:tc>
        <w:tc>
          <w:tcPr>
            <w:tcW w:w="2785" w:type="dxa"/>
          </w:tcPr>
          <w:p>
            <w:pPr>
              <w:pStyle w:val="TableParagraph"/>
              <w:tabs>
                <w:tab w:pos="2227" w:val="left" w:leader="none"/>
              </w:tabs>
              <w:spacing w:before="97"/>
              <w:ind w:left="107" w:right="98"/>
              <w:rPr>
                <w:sz w:val="20"/>
              </w:rPr>
            </w:pPr>
            <w:r>
              <w:rPr>
                <w:spacing w:val="-2"/>
                <w:sz w:val="20"/>
              </w:rPr>
              <w:t>TheConsultantfor</w:t>
            </w:r>
            <w:r>
              <w:rPr>
                <w:sz w:val="20"/>
              </w:rPr>
              <w:tab/>
            </w:r>
            <w:r>
              <w:rPr>
                <w:spacing w:val="-4"/>
                <w:sz w:val="20"/>
              </w:rPr>
              <w:t>Rain </w:t>
            </w:r>
            <w:r>
              <w:rPr>
                <w:spacing w:val="-2"/>
                <w:sz w:val="20"/>
              </w:rPr>
              <w:t>WaterHarvesting(RWH)mu stholda Diploma/DegreeinCivilEn gineeringTheConsultantfo </w:t>
            </w:r>
            <w:r>
              <w:rPr>
                <w:spacing w:val="-10"/>
                <w:sz w:val="20"/>
              </w:rPr>
              <w:t>r</w:t>
            </w:r>
            <w:r>
              <w:rPr>
                <w:sz w:val="20"/>
              </w:rPr>
              <w:tab/>
            </w:r>
            <w:r>
              <w:rPr>
                <w:spacing w:val="-62"/>
                <w:sz w:val="20"/>
              </w:rPr>
              <w:t> </w:t>
            </w:r>
            <w:r>
              <w:rPr>
                <w:spacing w:val="-4"/>
                <w:sz w:val="20"/>
              </w:rPr>
              <w:t>Rain</w:t>
            </w:r>
          </w:p>
          <w:p>
            <w:pPr>
              <w:pStyle w:val="TableParagraph"/>
              <w:ind w:left="107"/>
              <w:rPr>
                <w:sz w:val="20"/>
              </w:rPr>
            </w:pPr>
            <w:r>
              <w:rPr>
                <w:spacing w:val="-2"/>
                <w:sz w:val="20"/>
              </w:rPr>
              <w:t>WaterHarvestingonrecord </w:t>
            </w:r>
            <w:r>
              <w:rPr>
                <w:sz w:val="20"/>
              </w:rPr>
              <w:t>must have a minimum of two years of experience in </w:t>
            </w:r>
            <w:r>
              <w:rPr>
                <w:spacing w:val="-2"/>
                <w:sz w:val="20"/>
              </w:rPr>
              <w:t>thefieldpracticeinRWH.</w:t>
            </w:r>
          </w:p>
        </w:tc>
        <w:tc>
          <w:tcPr>
            <w:tcW w:w="1465" w:type="dxa"/>
          </w:tcPr>
          <w:p>
            <w:pPr>
              <w:pStyle w:val="TableParagraph"/>
              <w:rPr>
                <w:rFonts w:ascii="Times New Roman"/>
                <w:sz w:val="18"/>
              </w:rPr>
            </w:pPr>
          </w:p>
        </w:tc>
        <w:tc>
          <w:tcPr>
            <w:tcW w:w="1645" w:type="dxa"/>
          </w:tcPr>
          <w:p>
            <w:pPr>
              <w:pStyle w:val="TableParagraph"/>
              <w:tabs>
                <w:tab w:pos="1054" w:val="left" w:leader="none"/>
              </w:tabs>
              <w:spacing w:before="97"/>
              <w:ind w:left="106" w:right="257"/>
              <w:rPr>
                <w:sz w:val="20"/>
              </w:rPr>
            </w:pPr>
            <w:r>
              <w:rPr>
                <w:spacing w:val="-2"/>
                <w:sz w:val="20"/>
              </w:rPr>
              <w:t>Tocarry</w:t>
            </w:r>
            <w:r>
              <w:rPr>
                <w:sz w:val="20"/>
              </w:rPr>
              <w:tab/>
            </w:r>
            <w:r>
              <w:rPr>
                <w:spacing w:val="-4"/>
                <w:sz w:val="20"/>
              </w:rPr>
              <w:t>out work </w:t>
            </w:r>
            <w:r>
              <w:rPr>
                <w:spacing w:val="-2"/>
                <w:sz w:val="20"/>
              </w:rPr>
              <w:t>relatedto RainWaterH arvestingand </w:t>
            </w:r>
            <w:r>
              <w:rPr>
                <w:sz w:val="20"/>
              </w:rPr>
              <w:t>to submit-</w:t>
            </w:r>
          </w:p>
          <w:p>
            <w:pPr>
              <w:pStyle w:val="TableParagraph"/>
              <w:tabs>
                <w:tab w:pos="656" w:val="left" w:leader="none"/>
              </w:tabs>
              <w:spacing w:before="96"/>
              <w:ind w:left="106" w:right="-15"/>
              <w:rPr>
                <w:sz w:val="20"/>
              </w:rPr>
            </w:pPr>
            <w:r>
              <w:rPr>
                <w:spacing w:val="-2"/>
                <w:sz w:val="20"/>
              </w:rPr>
              <w:t>a)Certificate&amp;al </w:t>
            </w:r>
            <w:r>
              <w:rPr>
                <w:spacing w:val="-10"/>
                <w:sz w:val="20"/>
              </w:rPr>
              <w:t>l</w:t>
            </w:r>
            <w:r>
              <w:rPr>
                <w:spacing w:val="-2"/>
                <w:sz w:val="20"/>
              </w:rPr>
              <w:t> relatedinformat </w:t>
            </w:r>
            <w:r>
              <w:rPr>
                <w:spacing w:val="-4"/>
                <w:sz w:val="20"/>
              </w:rPr>
              <w:t>ion</w:t>
            </w:r>
            <w:r>
              <w:rPr>
                <w:sz w:val="20"/>
              </w:rPr>
              <w:tab/>
            </w:r>
            <w:r>
              <w:rPr>
                <w:spacing w:val="-2"/>
                <w:sz w:val="20"/>
              </w:rPr>
              <w:t>connected </w:t>
            </w:r>
            <w:r>
              <w:rPr>
                <w:spacing w:val="-4"/>
                <w:sz w:val="20"/>
              </w:rPr>
              <w:t>with </w:t>
            </w:r>
            <w:r>
              <w:rPr>
                <w:spacing w:val="-2"/>
                <w:sz w:val="20"/>
              </w:rPr>
              <w:t>development permission forRainWaterH arvesting;</w:t>
            </w:r>
          </w:p>
          <w:p>
            <w:pPr>
              <w:pStyle w:val="TableParagraph"/>
              <w:spacing w:before="95"/>
              <w:ind w:left="106" w:right="141"/>
              <w:rPr>
                <w:sz w:val="20"/>
              </w:rPr>
            </w:pPr>
            <w:r>
              <w:rPr>
                <w:spacing w:val="-6"/>
                <w:sz w:val="20"/>
              </w:rPr>
              <w:t>b) </w:t>
            </w:r>
            <w:r>
              <w:rPr>
                <w:spacing w:val="-2"/>
                <w:sz w:val="20"/>
              </w:rPr>
              <w:t>DetailsforRain Water Harvesting systemwith proposal/ plans.</w:t>
            </w:r>
          </w:p>
          <w:p>
            <w:pPr>
              <w:pStyle w:val="TableParagraph"/>
              <w:spacing w:before="97"/>
              <w:ind w:left="106"/>
              <w:rPr>
                <w:sz w:val="20"/>
              </w:rPr>
            </w:pPr>
            <w:r>
              <w:rPr>
                <w:spacing w:val="-2"/>
                <w:sz w:val="20"/>
              </w:rPr>
              <w:t>c)Completion Certificatewith respect toRainWaterH </w:t>
            </w:r>
            <w:r>
              <w:rPr>
                <w:sz w:val="20"/>
              </w:rPr>
              <w:t>arvesting for</w:t>
            </w:r>
          </w:p>
          <w:p>
            <w:pPr>
              <w:pStyle w:val="TableParagraph"/>
              <w:tabs>
                <w:tab w:pos="850" w:val="left" w:leader="none"/>
                <w:tab w:pos="1135" w:val="left" w:leader="none"/>
              </w:tabs>
              <w:spacing w:before="96"/>
              <w:ind w:left="106" w:right="97"/>
              <w:rPr>
                <w:sz w:val="20"/>
              </w:rPr>
            </w:pPr>
            <w:r>
              <w:rPr>
                <w:spacing w:val="-2"/>
                <w:sz w:val="20"/>
              </w:rPr>
              <w:t>Building stating</w:t>
            </w:r>
            <w:r>
              <w:rPr>
                <w:sz w:val="20"/>
              </w:rPr>
              <w:tab/>
              <w:tab/>
            </w:r>
            <w:r>
              <w:rPr>
                <w:spacing w:val="-4"/>
                <w:sz w:val="20"/>
              </w:rPr>
              <w:t>that </w:t>
            </w:r>
            <w:r>
              <w:rPr>
                <w:spacing w:val="-5"/>
                <w:sz w:val="20"/>
              </w:rPr>
              <w:t>RWH</w:t>
            </w:r>
            <w:r>
              <w:rPr>
                <w:sz w:val="20"/>
              </w:rPr>
              <w:tab/>
            </w:r>
            <w:r>
              <w:rPr>
                <w:spacing w:val="-2"/>
                <w:sz w:val="20"/>
              </w:rPr>
              <w:t>system</w:t>
            </w:r>
          </w:p>
          <w:p>
            <w:pPr>
              <w:pStyle w:val="TableParagraph"/>
              <w:tabs>
                <w:tab w:pos="1069" w:val="left" w:leader="none"/>
              </w:tabs>
              <w:spacing w:line="215" w:lineRule="exact"/>
              <w:ind w:left="106"/>
              <w:rPr>
                <w:sz w:val="20"/>
              </w:rPr>
            </w:pPr>
            <w:r>
              <w:rPr>
                <w:spacing w:val="-5"/>
                <w:sz w:val="20"/>
              </w:rPr>
              <w:t>has</w:t>
            </w:r>
            <w:r>
              <w:rPr>
                <w:sz w:val="20"/>
              </w:rPr>
              <w:tab/>
            </w:r>
            <w:r>
              <w:rPr>
                <w:spacing w:val="-4"/>
                <w:sz w:val="20"/>
              </w:rPr>
              <w:t>been</w:t>
            </w:r>
          </w:p>
        </w:tc>
        <w:tc>
          <w:tcPr>
            <w:tcW w:w="1748" w:type="dxa"/>
          </w:tcPr>
          <w:p>
            <w:pPr>
              <w:pStyle w:val="TableParagraph"/>
              <w:tabs>
                <w:tab w:pos="641" w:val="left" w:leader="none"/>
                <w:tab w:pos="701" w:val="left" w:leader="none"/>
                <w:tab w:pos="737" w:val="left" w:leader="none"/>
                <w:tab w:pos="799" w:val="left" w:leader="none"/>
                <w:tab w:pos="956" w:val="left" w:leader="none"/>
                <w:tab w:pos="1411" w:val="left" w:leader="none"/>
                <w:tab w:pos="1461" w:val="left" w:leader="none"/>
              </w:tabs>
              <w:spacing w:before="97"/>
              <w:ind w:left="106" w:right="98"/>
              <w:rPr>
                <w:sz w:val="20"/>
              </w:rPr>
            </w:pPr>
            <w:r>
              <w:rPr>
                <w:spacing w:val="-2"/>
                <w:sz w:val="20"/>
              </w:rPr>
              <w:t>TheConsultant </w:t>
            </w:r>
            <w:r>
              <w:rPr>
                <w:spacing w:val="-4"/>
                <w:sz w:val="20"/>
              </w:rPr>
              <w:t>sfor </w:t>
            </w:r>
            <w:r>
              <w:rPr>
                <w:spacing w:val="-2"/>
                <w:sz w:val="20"/>
              </w:rPr>
              <w:t>RainWaterHarv </w:t>
            </w:r>
            <w:r>
              <w:rPr>
                <w:sz w:val="20"/>
              </w:rPr>
              <w:t>esting</w:t>
            </w:r>
            <w:r>
              <w:rPr>
                <w:spacing w:val="40"/>
                <w:sz w:val="20"/>
              </w:rPr>
              <w:t> </w:t>
            </w:r>
            <w:r>
              <w:rPr>
                <w:sz w:val="20"/>
              </w:rPr>
              <w:t>shall</w:t>
            </w:r>
            <w:r>
              <w:rPr>
                <w:spacing w:val="40"/>
                <w:sz w:val="20"/>
              </w:rPr>
              <w:t> </w:t>
            </w:r>
            <w:r>
              <w:rPr>
                <w:sz w:val="20"/>
              </w:rPr>
              <w:t>be responsible</w:t>
            </w:r>
            <w:r>
              <w:rPr>
                <w:spacing w:val="40"/>
                <w:sz w:val="20"/>
              </w:rPr>
              <w:t> </w:t>
            </w:r>
            <w:r>
              <w:rPr>
                <w:sz w:val="20"/>
              </w:rPr>
              <w:t>for </w:t>
            </w:r>
            <w:r>
              <w:rPr>
                <w:spacing w:val="-4"/>
                <w:sz w:val="20"/>
              </w:rPr>
              <w:t>the</w:t>
            </w:r>
            <w:r>
              <w:rPr>
                <w:sz w:val="20"/>
              </w:rPr>
              <w:tab/>
              <w:tab/>
            </w:r>
            <w:r>
              <w:rPr>
                <w:spacing w:val="-4"/>
                <w:sz w:val="20"/>
              </w:rPr>
              <w:t>work</w:t>
            </w:r>
            <w:r>
              <w:rPr>
                <w:sz w:val="20"/>
              </w:rPr>
              <w:tab/>
              <w:tab/>
            </w:r>
            <w:r>
              <w:rPr>
                <w:spacing w:val="-6"/>
                <w:sz w:val="20"/>
              </w:rPr>
              <w:t>of </w:t>
            </w:r>
            <w:r>
              <w:rPr>
                <w:spacing w:val="-2"/>
                <w:sz w:val="20"/>
              </w:rPr>
              <w:t>RainWaterHarv esting</w:t>
            </w:r>
            <w:r>
              <w:rPr>
                <w:sz w:val="20"/>
              </w:rPr>
              <w:tab/>
              <w:tab/>
              <w:tab/>
              <w:tab/>
            </w:r>
            <w:r>
              <w:rPr>
                <w:spacing w:val="-2"/>
                <w:sz w:val="20"/>
              </w:rPr>
              <w:t>carried </w:t>
            </w:r>
            <w:r>
              <w:rPr>
                <w:sz w:val="20"/>
              </w:rPr>
              <w:t>out</w:t>
            </w:r>
            <w:r>
              <w:rPr>
                <w:spacing w:val="40"/>
                <w:sz w:val="20"/>
              </w:rPr>
              <w:t> </w:t>
            </w:r>
            <w:r>
              <w:rPr>
                <w:sz w:val="20"/>
              </w:rPr>
              <w:t>on</w:t>
            </w:r>
            <w:r>
              <w:rPr>
                <w:spacing w:val="40"/>
                <w:sz w:val="20"/>
              </w:rPr>
              <w:t> </w:t>
            </w:r>
            <w:r>
              <w:rPr>
                <w:sz w:val="20"/>
              </w:rPr>
              <w:t>site</w:t>
            </w:r>
            <w:r>
              <w:rPr>
                <w:spacing w:val="40"/>
                <w:sz w:val="20"/>
              </w:rPr>
              <w:t> </w:t>
            </w:r>
            <w:r>
              <w:rPr>
                <w:sz w:val="20"/>
              </w:rPr>
              <w:t>as </w:t>
            </w:r>
            <w:r>
              <w:rPr>
                <w:spacing w:val="-4"/>
                <w:sz w:val="20"/>
              </w:rPr>
              <w:t>per</w:t>
            </w:r>
            <w:r>
              <w:rPr>
                <w:sz w:val="20"/>
              </w:rPr>
              <w:tab/>
              <w:tab/>
              <w:tab/>
            </w:r>
            <w:r>
              <w:rPr>
                <w:spacing w:val="-2"/>
                <w:sz w:val="20"/>
              </w:rPr>
              <w:t>approval. Heshallensuret </w:t>
            </w:r>
            <w:r>
              <w:rPr>
                <w:sz w:val="20"/>
              </w:rPr>
              <w:t>hat the work is carried</w:t>
            </w:r>
            <w:r>
              <w:rPr>
                <w:spacing w:val="40"/>
                <w:sz w:val="20"/>
              </w:rPr>
              <w:t> </w:t>
            </w:r>
            <w:r>
              <w:rPr>
                <w:sz w:val="20"/>
              </w:rPr>
              <w:t>out</w:t>
            </w:r>
            <w:r>
              <w:rPr>
                <w:spacing w:val="40"/>
                <w:sz w:val="20"/>
              </w:rPr>
              <w:t> </w:t>
            </w:r>
            <w:r>
              <w:rPr>
                <w:sz w:val="20"/>
              </w:rPr>
              <w:t>as </w:t>
            </w:r>
            <w:r>
              <w:rPr>
                <w:spacing w:val="-4"/>
                <w:sz w:val="20"/>
              </w:rPr>
              <w:t>per</w:t>
            </w:r>
            <w:r>
              <w:rPr>
                <w:sz w:val="20"/>
              </w:rPr>
              <w:tab/>
              <w:tab/>
              <w:tab/>
              <w:tab/>
            </w:r>
            <w:r>
              <w:rPr>
                <w:spacing w:val="-2"/>
                <w:sz w:val="20"/>
              </w:rPr>
              <w:t>approval </w:t>
            </w:r>
            <w:r>
              <w:rPr>
                <w:sz w:val="20"/>
              </w:rPr>
              <w:t>andIf</w:t>
            </w:r>
            <w:r>
              <w:rPr>
                <w:spacing w:val="4"/>
                <w:sz w:val="20"/>
              </w:rPr>
              <w:t> </w:t>
            </w:r>
            <w:r>
              <w:rPr>
                <w:sz w:val="20"/>
              </w:rPr>
              <w:t>henotices </w:t>
            </w:r>
            <w:r>
              <w:rPr>
                <w:spacing w:val="-4"/>
                <w:sz w:val="20"/>
              </w:rPr>
              <w:t>any</w:t>
            </w:r>
            <w:r>
              <w:rPr>
                <w:sz w:val="20"/>
              </w:rPr>
              <w:tab/>
              <w:tab/>
              <w:tab/>
            </w:r>
            <w:r>
              <w:rPr>
                <w:spacing w:val="-53"/>
                <w:sz w:val="20"/>
              </w:rPr>
              <w:t> </w:t>
            </w:r>
            <w:r>
              <w:rPr>
                <w:spacing w:val="-2"/>
                <w:sz w:val="20"/>
              </w:rPr>
              <w:t>deviation </w:t>
            </w:r>
            <w:r>
              <w:rPr>
                <w:spacing w:val="-6"/>
                <w:sz w:val="20"/>
              </w:rPr>
              <w:t>he</w:t>
            </w:r>
            <w:r>
              <w:rPr>
                <w:sz w:val="20"/>
              </w:rPr>
              <w:tab/>
            </w:r>
            <w:r>
              <w:rPr>
                <w:spacing w:val="-2"/>
                <w:sz w:val="20"/>
              </w:rPr>
              <w:t>shall</w:t>
            </w:r>
            <w:r>
              <w:rPr>
                <w:sz w:val="20"/>
              </w:rPr>
              <w:tab/>
            </w:r>
            <w:r>
              <w:rPr>
                <w:spacing w:val="-6"/>
                <w:sz w:val="20"/>
              </w:rPr>
              <w:t>be </w:t>
            </w:r>
            <w:r>
              <w:rPr>
                <w:sz w:val="20"/>
              </w:rPr>
              <w:t>responsible</w:t>
            </w:r>
            <w:r>
              <w:rPr>
                <w:spacing w:val="40"/>
                <w:sz w:val="20"/>
              </w:rPr>
              <w:t> </w:t>
            </w:r>
            <w:r>
              <w:rPr>
                <w:sz w:val="20"/>
              </w:rPr>
              <w:t>for </w:t>
            </w:r>
            <w:r>
              <w:rPr>
                <w:spacing w:val="-2"/>
                <w:sz w:val="20"/>
              </w:rPr>
              <w:t>intimatingthe Authority.</w:t>
            </w:r>
          </w:p>
        </w:tc>
      </w:tr>
    </w:tbl>
    <w:p>
      <w:pPr>
        <w:pStyle w:val="TableParagraph"/>
        <w:spacing w:after="0"/>
        <w:rPr>
          <w:sz w:val="20"/>
        </w:rPr>
        <w:sectPr>
          <w:pgSz w:w="11910" w:h="16850"/>
          <w:pgMar w:header="1022" w:footer="1070" w:top="1460" w:bottom="1260" w:left="360" w:right="360"/>
        </w:sectPr>
      </w:pPr>
    </w:p>
    <w:p>
      <w:pPr>
        <w:pStyle w:val="BodyText"/>
        <w:spacing w:before="44"/>
        <w:jc w:val="left"/>
        <w:rPr>
          <w:b/>
          <w:sz w:val="20"/>
        </w:rPr>
      </w:pPr>
    </w:p>
    <w:tbl>
      <w:tblPr>
        <w:tblW w:w="0" w:type="auto"/>
        <w:jc w:val="left"/>
        <w:tblInd w:w="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1152"/>
        <w:gridCol w:w="2785"/>
        <w:gridCol w:w="1465"/>
        <w:gridCol w:w="1645"/>
        <w:gridCol w:w="1748"/>
      </w:tblGrid>
      <w:tr>
        <w:trPr>
          <w:trHeight w:val="638" w:hRule="atLeast"/>
        </w:trPr>
        <w:tc>
          <w:tcPr>
            <w:tcW w:w="559" w:type="dxa"/>
            <w:shd w:val="clear" w:color="auto" w:fill="E7E6E6"/>
          </w:tcPr>
          <w:p>
            <w:pPr>
              <w:pStyle w:val="TableParagraph"/>
              <w:spacing w:before="94"/>
              <w:ind w:left="107" w:right="150"/>
              <w:rPr>
                <w:sz w:val="20"/>
              </w:rPr>
            </w:pPr>
            <w:r>
              <w:rPr>
                <w:spacing w:val="-4"/>
                <w:sz w:val="20"/>
              </w:rPr>
              <w:t>Sr. </w:t>
            </w:r>
            <w:r>
              <w:rPr>
                <w:spacing w:val="-5"/>
                <w:sz w:val="20"/>
              </w:rPr>
              <w:t>No</w:t>
            </w:r>
          </w:p>
        </w:tc>
        <w:tc>
          <w:tcPr>
            <w:tcW w:w="1152" w:type="dxa"/>
            <w:shd w:val="clear" w:color="auto" w:fill="E7E6E6"/>
          </w:tcPr>
          <w:p>
            <w:pPr>
              <w:pStyle w:val="TableParagraph"/>
              <w:spacing w:before="94"/>
              <w:ind w:left="107" w:right="161"/>
              <w:rPr>
                <w:sz w:val="20"/>
              </w:rPr>
            </w:pPr>
            <w:r>
              <w:rPr>
                <w:spacing w:val="-2"/>
                <w:sz w:val="20"/>
              </w:rPr>
              <w:t>Professio </w:t>
            </w:r>
            <w:r>
              <w:rPr>
                <w:spacing w:val="-4"/>
                <w:sz w:val="20"/>
              </w:rPr>
              <w:t>nals</w:t>
            </w:r>
          </w:p>
        </w:tc>
        <w:tc>
          <w:tcPr>
            <w:tcW w:w="2785" w:type="dxa"/>
            <w:shd w:val="clear" w:color="auto" w:fill="E7E6E6"/>
          </w:tcPr>
          <w:p>
            <w:pPr>
              <w:pStyle w:val="TableParagraph"/>
              <w:spacing w:before="94"/>
              <w:ind w:left="107"/>
              <w:rPr>
                <w:sz w:val="20"/>
              </w:rPr>
            </w:pPr>
            <w:r>
              <w:rPr>
                <w:spacing w:val="-2"/>
                <w:sz w:val="20"/>
              </w:rPr>
              <w:t>Qualification</w:t>
            </w:r>
          </w:p>
        </w:tc>
        <w:tc>
          <w:tcPr>
            <w:tcW w:w="1465" w:type="dxa"/>
            <w:shd w:val="clear" w:color="auto" w:fill="E7E6E6"/>
          </w:tcPr>
          <w:p>
            <w:pPr>
              <w:pStyle w:val="TableParagraph"/>
              <w:spacing w:before="94"/>
              <w:ind w:left="107"/>
              <w:rPr>
                <w:sz w:val="20"/>
              </w:rPr>
            </w:pPr>
            <w:r>
              <w:rPr>
                <w:spacing w:val="-2"/>
                <w:sz w:val="20"/>
              </w:rPr>
              <w:t>Registration</w:t>
            </w:r>
          </w:p>
        </w:tc>
        <w:tc>
          <w:tcPr>
            <w:tcW w:w="1645" w:type="dxa"/>
            <w:shd w:val="clear" w:color="auto" w:fill="E7E6E6"/>
          </w:tcPr>
          <w:p>
            <w:pPr>
              <w:pStyle w:val="TableParagraph"/>
              <w:spacing w:before="94"/>
              <w:ind w:left="106"/>
              <w:rPr>
                <w:sz w:val="20"/>
              </w:rPr>
            </w:pPr>
            <w:r>
              <w:rPr>
                <w:spacing w:val="-2"/>
                <w:sz w:val="20"/>
              </w:rPr>
              <w:t>Duties</w:t>
            </w:r>
          </w:p>
        </w:tc>
        <w:tc>
          <w:tcPr>
            <w:tcW w:w="1748" w:type="dxa"/>
            <w:shd w:val="clear" w:color="auto" w:fill="E7E6E6"/>
          </w:tcPr>
          <w:p>
            <w:pPr>
              <w:pStyle w:val="TableParagraph"/>
              <w:spacing w:before="94"/>
              <w:ind w:left="106"/>
              <w:rPr>
                <w:sz w:val="20"/>
              </w:rPr>
            </w:pPr>
            <w:r>
              <w:rPr>
                <w:spacing w:val="-2"/>
                <w:sz w:val="20"/>
              </w:rPr>
              <w:t>Responsibilities</w:t>
            </w:r>
          </w:p>
        </w:tc>
      </w:tr>
      <w:tr>
        <w:trPr>
          <w:trHeight w:val="541" w:hRule="atLeast"/>
        </w:trPr>
        <w:tc>
          <w:tcPr>
            <w:tcW w:w="559" w:type="dxa"/>
          </w:tcPr>
          <w:p>
            <w:pPr>
              <w:pStyle w:val="TableParagraph"/>
              <w:rPr>
                <w:rFonts w:ascii="Times New Roman"/>
                <w:sz w:val="18"/>
              </w:rPr>
            </w:pPr>
          </w:p>
        </w:tc>
        <w:tc>
          <w:tcPr>
            <w:tcW w:w="1152" w:type="dxa"/>
          </w:tcPr>
          <w:p>
            <w:pPr>
              <w:pStyle w:val="TableParagraph"/>
              <w:rPr>
                <w:rFonts w:ascii="Times New Roman"/>
                <w:sz w:val="18"/>
              </w:rPr>
            </w:pPr>
          </w:p>
        </w:tc>
        <w:tc>
          <w:tcPr>
            <w:tcW w:w="2785" w:type="dxa"/>
          </w:tcPr>
          <w:p>
            <w:pPr>
              <w:pStyle w:val="TableParagraph"/>
              <w:rPr>
                <w:rFonts w:ascii="Times New Roman"/>
                <w:sz w:val="18"/>
              </w:rPr>
            </w:pPr>
          </w:p>
        </w:tc>
        <w:tc>
          <w:tcPr>
            <w:tcW w:w="1465" w:type="dxa"/>
          </w:tcPr>
          <w:p>
            <w:pPr>
              <w:pStyle w:val="TableParagraph"/>
              <w:rPr>
                <w:rFonts w:ascii="Times New Roman"/>
                <w:sz w:val="18"/>
              </w:rPr>
            </w:pPr>
          </w:p>
        </w:tc>
        <w:tc>
          <w:tcPr>
            <w:tcW w:w="1645" w:type="dxa"/>
          </w:tcPr>
          <w:p>
            <w:pPr>
              <w:pStyle w:val="TableParagraph"/>
              <w:tabs>
                <w:tab w:pos="1159" w:val="left" w:leader="none"/>
              </w:tabs>
              <w:ind w:left="106" w:right="100"/>
              <w:rPr>
                <w:sz w:val="20"/>
              </w:rPr>
            </w:pPr>
            <w:r>
              <w:rPr>
                <w:spacing w:val="-2"/>
                <w:sz w:val="20"/>
              </w:rPr>
              <w:t>installed</w:t>
            </w:r>
            <w:r>
              <w:rPr>
                <w:sz w:val="20"/>
              </w:rPr>
              <w:tab/>
            </w:r>
            <w:r>
              <w:rPr>
                <w:spacing w:val="-4"/>
                <w:sz w:val="20"/>
              </w:rPr>
              <w:t>and </w:t>
            </w:r>
            <w:r>
              <w:rPr>
                <w:spacing w:val="-2"/>
                <w:sz w:val="20"/>
              </w:rPr>
              <w:t>tested.</w:t>
            </w:r>
          </w:p>
        </w:tc>
        <w:tc>
          <w:tcPr>
            <w:tcW w:w="1748" w:type="dxa"/>
          </w:tcPr>
          <w:p>
            <w:pPr>
              <w:pStyle w:val="TableParagraph"/>
              <w:rPr>
                <w:rFonts w:ascii="Times New Roman"/>
                <w:sz w:val="18"/>
              </w:rPr>
            </w:pPr>
          </w:p>
        </w:tc>
      </w:tr>
      <w:tr>
        <w:trPr>
          <w:trHeight w:val="6794" w:hRule="atLeast"/>
        </w:trPr>
        <w:tc>
          <w:tcPr>
            <w:tcW w:w="559" w:type="dxa"/>
          </w:tcPr>
          <w:p>
            <w:pPr>
              <w:pStyle w:val="TableParagraph"/>
              <w:spacing w:before="94"/>
              <w:ind w:left="107"/>
              <w:rPr>
                <w:sz w:val="20"/>
              </w:rPr>
            </w:pPr>
            <w:r>
              <w:rPr>
                <w:spacing w:val="-10"/>
                <w:sz w:val="20"/>
              </w:rPr>
              <w:t>9</w:t>
            </w:r>
          </w:p>
        </w:tc>
        <w:tc>
          <w:tcPr>
            <w:tcW w:w="1152" w:type="dxa"/>
          </w:tcPr>
          <w:p>
            <w:pPr>
              <w:pStyle w:val="TableParagraph"/>
              <w:spacing w:before="94"/>
              <w:ind w:left="107" w:right="16"/>
              <w:rPr>
                <w:sz w:val="20"/>
              </w:rPr>
            </w:pPr>
            <w:r>
              <w:rPr>
                <w:spacing w:val="-2"/>
                <w:sz w:val="20"/>
              </w:rPr>
              <w:t>Consultan </w:t>
            </w:r>
            <w:r>
              <w:rPr>
                <w:sz w:val="20"/>
              </w:rPr>
              <w:t>t for Grey </w:t>
            </w:r>
            <w:r>
              <w:rPr>
                <w:spacing w:val="-2"/>
                <w:sz w:val="20"/>
              </w:rPr>
              <w:t>Water Recycle</w:t>
            </w:r>
          </w:p>
        </w:tc>
        <w:tc>
          <w:tcPr>
            <w:tcW w:w="2785" w:type="dxa"/>
          </w:tcPr>
          <w:p>
            <w:pPr>
              <w:pStyle w:val="TableParagraph"/>
              <w:tabs>
                <w:tab w:pos="2102" w:val="left" w:leader="none"/>
              </w:tabs>
              <w:spacing w:before="94"/>
              <w:ind w:left="107" w:right="165"/>
              <w:rPr>
                <w:sz w:val="20"/>
              </w:rPr>
            </w:pPr>
            <w:r>
              <w:rPr>
                <w:spacing w:val="-2"/>
                <w:sz w:val="20"/>
              </w:rPr>
              <w:t>TheConsultantforGrey WaterRecycle</w:t>
            </w:r>
            <w:r>
              <w:rPr>
                <w:sz w:val="20"/>
              </w:rPr>
              <w:tab/>
            </w:r>
            <w:r>
              <w:rPr>
                <w:spacing w:val="-4"/>
                <w:sz w:val="20"/>
              </w:rPr>
              <w:t>must </w:t>
            </w:r>
            <w:r>
              <w:rPr>
                <w:spacing w:val="-2"/>
                <w:sz w:val="20"/>
              </w:rPr>
              <w:t>holdadegreeinEnvironme </w:t>
            </w:r>
            <w:r>
              <w:rPr>
                <w:sz w:val="20"/>
              </w:rPr>
              <w:t>ntal/PublicHealth</w:t>
            </w:r>
            <w:r>
              <w:rPr>
                <w:spacing w:val="80"/>
                <w:sz w:val="20"/>
              </w:rPr>
              <w:t> </w:t>
            </w:r>
            <w:r>
              <w:rPr>
                <w:sz w:val="20"/>
              </w:rPr>
              <w:t>/Civil </w:t>
            </w:r>
            <w:r>
              <w:rPr>
                <w:spacing w:val="-2"/>
                <w:sz w:val="20"/>
              </w:rPr>
              <w:t>Engineering.</w:t>
            </w:r>
          </w:p>
          <w:p>
            <w:pPr>
              <w:pStyle w:val="TableParagraph"/>
              <w:spacing w:before="96"/>
              <w:ind w:left="107" w:right="188"/>
              <w:rPr>
                <w:sz w:val="20"/>
              </w:rPr>
            </w:pPr>
            <w:r>
              <w:rPr>
                <w:spacing w:val="-2"/>
                <w:sz w:val="20"/>
              </w:rPr>
              <w:t>TheConsultantforGrey WaterRecycleonrecord </w:t>
            </w:r>
            <w:r>
              <w:rPr>
                <w:sz w:val="20"/>
              </w:rPr>
              <w:t>must</w:t>
            </w:r>
            <w:r>
              <w:rPr>
                <w:spacing w:val="-6"/>
                <w:sz w:val="20"/>
              </w:rPr>
              <w:t> </w:t>
            </w:r>
            <w:r>
              <w:rPr>
                <w:sz w:val="20"/>
              </w:rPr>
              <w:t>have</w:t>
            </w:r>
            <w:r>
              <w:rPr>
                <w:spacing w:val="-7"/>
                <w:sz w:val="20"/>
              </w:rPr>
              <w:t> </w:t>
            </w:r>
            <w:r>
              <w:rPr>
                <w:sz w:val="20"/>
              </w:rPr>
              <w:t>a</w:t>
            </w:r>
            <w:r>
              <w:rPr>
                <w:spacing w:val="-6"/>
                <w:sz w:val="20"/>
              </w:rPr>
              <w:t> </w:t>
            </w:r>
            <w:r>
              <w:rPr>
                <w:sz w:val="20"/>
              </w:rPr>
              <w:t>minimum</w:t>
            </w:r>
            <w:r>
              <w:rPr>
                <w:spacing w:val="-6"/>
                <w:sz w:val="20"/>
              </w:rPr>
              <w:t> </w:t>
            </w:r>
            <w:r>
              <w:rPr>
                <w:sz w:val="20"/>
              </w:rPr>
              <w:t>of two</w:t>
            </w:r>
            <w:r>
              <w:rPr>
                <w:spacing w:val="-16"/>
                <w:sz w:val="20"/>
              </w:rPr>
              <w:t> </w:t>
            </w:r>
            <w:r>
              <w:rPr>
                <w:sz w:val="20"/>
              </w:rPr>
              <w:t>years</w:t>
            </w:r>
            <w:r>
              <w:rPr>
                <w:spacing w:val="-16"/>
                <w:sz w:val="20"/>
              </w:rPr>
              <w:t> </w:t>
            </w:r>
            <w:r>
              <w:rPr>
                <w:sz w:val="20"/>
              </w:rPr>
              <w:t>of</w:t>
            </w:r>
            <w:r>
              <w:rPr>
                <w:spacing w:val="-16"/>
                <w:sz w:val="20"/>
              </w:rPr>
              <w:t> </w:t>
            </w:r>
            <w:r>
              <w:rPr>
                <w:sz w:val="20"/>
              </w:rPr>
              <w:t>experience</w:t>
            </w:r>
            <w:r>
              <w:rPr>
                <w:spacing w:val="-16"/>
                <w:sz w:val="20"/>
              </w:rPr>
              <w:t> </w:t>
            </w:r>
            <w:r>
              <w:rPr>
                <w:sz w:val="20"/>
              </w:rPr>
              <w:t>in a</w:t>
            </w:r>
            <w:r>
              <w:rPr>
                <w:spacing w:val="40"/>
                <w:sz w:val="20"/>
              </w:rPr>
              <w:t> </w:t>
            </w:r>
            <w:r>
              <w:rPr>
                <w:sz w:val="20"/>
              </w:rPr>
              <w:t>field</w:t>
            </w:r>
            <w:r>
              <w:rPr>
                <w:spacing w:val="40"/>
                <w:sz w:val="20"/>
              </w:rPr>
              <w:t> </w:t>
            </w:r>
            <w:r>
              <w:rPr>
                <w:sz w:val="20"/>
              </w:rPr>
              <w:t>practice</w:t>
            </w:r>
            <w:r>
              <w:rPr>
                <w:spacing w:val="40"/>
                <w:sz w:val="20"/>
              </w:rPr>
              <w:t> </w:t>
            </w:r>
            <w:r>
              <w:rPr>
                <w:sz w:val="20"/>
              </w:rPr>
              <w:t>in</w:t>
            </w:r>
            <w:r>
              <w:rPr>
                <w:spacing w:val="40"/>
                <w:sz w:val="20"/>
              </w:rPr>
              <w:t> </w:t>
            </w:r>
            <w:r>
              <w:rPr>
                <w:sz w:val="20"/>
              </w:rPr>
              <w:t>gray water recycling.</w:t>
            </w:r>
          </w:p>
        </w:tc>
        <w:tc>
          <w:tcPr>
            <w:tcW w:w="1465" w:type="dxa"/>
          </w:tcPr>
          <w:p>
            <w:pPr>
              <w:pStyle w:val="TableParagraph"/>
              <w:rPr>
                <w:rFonts w:ascii="Times New Roman"/>
                <w:sz w:val="18"/>
              </w:rPr>
            </w:pPr>
          </w:p>
        </w:tc>
        <w:tc>
          <w:tcPr>
            <w:tcW w:w="1645" w:type="dxa"/>
          </w:tcPr>
          <w:p>
            <w:pPr>
              <w:pStyle w:val="TableParagraph"/>
              <w:tabs>
                <w:tab w:pos="1229" w:val="left" w:leader="none"/>
              </w:tabs>
              <w:spacing w:before="94"/>
              <w:ind w:left="106" w:right="80"/>
              <w:rPr>
                <w:sz w:val="20"/>
              </w:rPr>
            </w:pPr>
            <w:r>
              <w:rPr>
                <w:spacing w:val="-2"/>
                <w:sz w:val="20"/>
              </w:rPr>
              <w:t>Tocarry</w:t>
            </w:r>
            <w:r>
              <w:rPr>
                <w:sz w:val="20"/>
              </w:rPr>
              <w:tab/>
            </w:r>
            <w:r>
              <w:rPr>
                <w:spacing w:val="-4"/>
                <w:sz w:val="20"/>
              </w:rPr>
              <w:t>out </w:t>
            </w:r>
            <w:r>
              <w:rPr>
                <w:sz w:val="20"/>
              </w:rPr>
              <w:t>work</w:t>
            </w:r>
            <w:r>
              <w:rPr>
                <w:spacing w:val="8"/>
                <w:sz w:val="20"/>
              </w:rPr>
              <w:t> </w:t>
            </w:r>
            <w:r>
              <w:rPr>
                <w:sz w:val="20"/>
              </w:rPr>
              <w:t>relatedto </w:t>
            </w:r>
            <w:r>
              <w:rPr>
                <w:spacing w:val="-2"/>
                <w:sz w:val="20"/>
              </w:rPr>
              <w:t>GreyWaterRec ycleandto submit-</w:t>
            </w:r>
          </w:p>
          <w:p>
            <w:pPr>
              <w:pStyle w:val="TableParagraph"/>
              <w:numPr>
                <w:ilvl w:val="0"/>
                <w:numId w:val="386"/>
              </w:numPr>
              <w:tabs>
                <w:tab w:pos="460" w:val="left" w:leader="none"/>
                <w:tab w:pos="738" w:val="left" w:leader="none"/>
              </w:tabs>
              <w:spacing w:line="240" w:lineRule="auto" w:before="96" w:after="0"/>
              <w:ind w:left="106" w:right="224" w:firstLine="0"/>
              <w:jc w:val="left"/>
              <w:rPr>
                <w:sz w:val="20"/>
              </w:rPr>
            </w:pPr>
            <w:r>
              <w:rPr>
                <w:spacing w:val="-2"/>
                <w:sz w:val="20"/>
              </w:rPr>
              <w:t>certificate </w:t>
            </w:r>
            <w:r>
              <w:rPr>
                <w:spacing w:val="-4"/>
                <w:sz w:val="20"/>
              </w:rPr>
              <w:t>&amp;all</w:t>
            </w:r>
            <w:r>
              <w:rPr>
                <w:sz w:val="20"/>
              </w:rPr>
              <w:tab/>
            </w:r>
            <w:r>
              <w:rPr>
                <w:spacing w:val="-2"/>
                <w:sz w:val="20"/>
              </w:rPr>
              <w:t>related information connected </w:t>
            </w:r>
            <w:r>
              <w:rPr>
                <w:spacing w:val="-4"/>
                <w:sz w:val="20"/>
              </w:rPr>
              <w:t>with </w:t>
            </w:r>
            <w:r>
              <w:rPr>
                <w:spacing w:val="-2"/>
                <w:sz w:val="20"/>
              </w:rPr>
              <w:t>development permissionfo rGrey WaterRecycli </w:t>
            </w:r>
            <w:r>
              <w:rPr>
                <w:spacing w:val="-4"/>
                <w:sz w:val="20"/>
              </w:rPr>
              <w:t>ng;</w:t>
            </w:r>
          </w:p>
          <w:p>
            <w:pPr>
              <w:pStyle w:val="TableParagraph"/>
              <w:numPr>
                <w:ilvl w:val="0"/>
                <w:numId w:val="386"/>
              </w:numPr>
              <w:tabs>
                <w:tab w:pos="517" w:val="left" w:leader="none"/>
                <w:tab w:pos="1334" w:val="left" w:leader="none"/>
              </w:tabs>
              <w:spacing w:line="240" w:lineRule="auto" w:before="96" w:after="0"/>
              <w:ind w:left="106" w:right="178" w:firstLine="0"/>
              <w:jc w:val="left"/>
              <w:rPr>
                <w:sz w:val="20"/>
              </w:rPr>
            </w:pPr>
            <w:r>
              <w:rPr>
                <w:spacing w:val="-2"/>
                <w:sz w:val="20"/>
              </w:rPr>
              <w:t>Detailsfor </w:t>
            </w:r>
            <w:r>
              <w:rPr>
                <w:spacing w:val="-4"/>
                <w:sz w:val="20"/>
              </w:rPr>
              <w:t>Grey </w:t>
            </w:r>
            <w:r>
              <w:rPr>
                <w:spacing w:val="-2"/>
                <w:sz w:val="20"/>
              </w:rPr>
              <w:t>WaterRecycli ngPlantwith proposal</w:t>
            </w:r>
            <w:r>
              <w:rPr>
                <w:sz w:val="20"/>
              </w:rPr>
              <w:tab/>
            </w:r>
            <w:r>
              <w:rPr>
                <w:spacing w:val="-10"/>
                <w:sz w:val="20"/>
              </w:rPr>
              <w:t>/ </w:t>
            </w:r>
            <w:r>
              <w:rPr>
                <w:spacing w:val="-2"/>
                <w:sz w:val="20"/>
              </w:rPr>
              <w:t>plans.</w:t>
            </w:r>
          </w:p>
          <w:p>
            <w:pPr>
              <w:pStyle w:val="TableParagraph"/>
              <w:numPr>
                <w:ilvl w:val="0"/>
                <w:numId w:val="386"/>
              </w:numPr>
              <w:tabs>
                <w:tab w:pos="244" w:val="left" w:leader="none"/>
              </w:tabs>
              <w:spacing w:line="240" w:lineRule="auto" w:before="97" w:after="0"/>
              <w:ind w:left="106" w:right="250" w:firstLine="0"/>
              <w:jc w:val="both"/>
              <w:rPr>
                <w:sz w:val="20"/>
              </w:rPr>
            </w:pPr>
            <w:r>
              <w:rPr>
                <w:spacing w:val="-2"/>
                <w:sz w:val="20"/>
              </w:rPr>
              <w:t>Completion Certificatewi </w:t>
            </w:r>
            <w:r>
              <w:rPr>
                <w:sz w:val="20"/>
              </w:rPr>
              <w:t>th respect </w:t>
            </w:r>
            <w:r>
              <w:rPr>
                <w:sz w:val="20"/>
              </w:rPr>
              <w:t>to </w:t>
            </w:r>
            <w:r>
              <w:rPr>
                <w:spacing w:val="-2"/>
                <w:sz w:val="20"/>
              </w:rPr>
              <w:t>completionpl </w:t>
            </w:r>
            <w:r>
              <w:rPr>
                <w:sz w:val="20"/>
              </w:rPr>
              <w:t>an respectto Grey water</w:t>
            </w:r>
          </w:p>
        </w:tc>
        <w:tc>
          <w:tcPr>
            <w:tcW w:w="1748" w:type="dxa"/>
          </w:tcPr>
          <w:p>
            <w:pPr>
              <w:pStyle w:val="TableParagraph"/>
              <w:tabs>
                <w:tab w:pos="667" w:val="left" w:leader="none"/>
                <w:tab w:pos="713" w:val="left" w:leader="none"/>
                <w:tab w:pos="1320" w:val="left" w:leader="none"/>
                <w:tab w:pos="1433" w:val="left" w:leader="none"/>
                <w:tab w:pos="1485" w:val="left" w:leader="none"/>
              </w:tabs>
              <w:spacing w:before="94"/>
              <w:ind w:left="106" w:right="73"/>
              <w:rPr>
                <w:sz w:val="20"/>
              </w:rPr>
            </w:pPr>
            <w:r>
              <w:rPr>
                <w:spacing w:val="-2"/>
                <w:sz w:val="20"/>
              </w:rPr>
              <w:t>TheConsultants </w:t>
            </w:r>
            <w:r>
              <w:rPr>
                <w:spacing w:val="-4"/>
                <w:sz w:val="20"/>
              </w:rPr>
              <w:t>for </w:t>
            </w:r>
            <w:r>
              <w:rPr>
                <w:spacing w:val="-2"/>
                <w:sz w:val="20"/>
              </w:rPr>
              <w:t>GreyWaterRecy </w:t>
            </w:r>
            <w:r>
              <w:rPr>
                <w:spacing w:val="-4"/>
                <w:sz w:val="20"/>
              </w:rPr>
              <w:t>cle</w:t>
            </w:r>
            <w:r>
              <w:rPr>
                <w:sz w:val="20"/>
              </w:rPr>
              <w:tab/>
            </w:r>
            <w:r>
              <w:rPr>
                <w:spacing w:val="-2"/>
                <w:sz w:val="20"/>
              </w:rPr>
              <w:t>shall</w:t>
            </w:r>
            <w:r>
              <w:rPr>
                <w:sz w:val="20"/>
              </w:rPr>
              <w:tab/>
              <w:tab/>
            </w:r>
            <w:r>
              <w:rPr>
                <w:spacing w:val="-6"/>
                <w:sz w:val="20"/>
              </w:rPr>
              <w:t>be </w:t>
            </w:r>
            <w:r>
              <w:rPr>
                <w:sz w:val="20"/>
              </w:rPr>
              <w:t>responsible</w:t>
            </w:r>
            <w:r>
              <w:rPr>
                <w:spacing w:val="74"/>
                <w:sz w:val="20"/>
              </w:rPr>
              <w:t> </w:t>
            </w:r>
            <w:r>
              <w:rPr>
                <w:sz w:val="20"/>
              </w:rPr>
              <w:t>for </w:t>
            </w:r>
            <w:r>
              <w:rPr>
                <w:spacing w:val="-4"/>
                <w:sz w:val="20"/>
              </w:rPr>
              <w:t>the</w:t>
            </w:r>
            <w:r>
              <w:rPr>
                <w:sz w:val="20"/>
              </w:rPr>
              <w:tab/>
              <w:tab/>
            </w:r>
            <w:r>
              <w:rPr>
                <w:spacing w:val="-4"/>
                <w:sz w:val="20"/>
              </w:rPr>
              <w:t>work</w:t>
            </w:r>
            <w:r>
              <w:rPr>
                <w:sz w:val="20"/>
              </w:rPr>
              <w:tab/>
              <w:tab/>
              <w:tab/>
            </w:r>
            <w:r>
              <w:rPr>
                <w:spacing w:val="-6"/>
                <w:sz w:val="20"/>
              </w:rPr>
              <w:t>of </w:t>
            </w:r>
            <w:r>
              <w:rPr>
                <w:spacing w:val="-2"/>
                <w:sz w:val="20"/>
              </w:rPr>
              <w:t>GreyWaterRecy </w:t>
            </w:r>
            <w:r>
              <w:rPr>
                <w:sz w:val="20"/>
              </w:rPr>
              <w:t>cle</w:t>
            </w:r>
            <w:r>
              <w:rPr>
                <w:spacing w:val="40"/>
                <w:sz w:val="20"/>
              </w:rPr>
              <w:t> </w:t>
            </w:r>
            <w:r>
              <w:rPr>
                <w:sz w:val="20"/>
              </w:rPr>
              <w:t>carried</w:t>
            </w:r>
            <w:r>
              <w:rPr>
                <w:spacing w:val="40"/>
                <w:sz w:val="20"/>
              </w:rPr>
              <w:t> </w:t>
            </w:r>
            <w:r>
              <w:rPr>
                <w:sz w:val="20"/>
              </w:rPr>
              <w:t>out </w:t>
            </w:r>
            <w:r>
              <w:rPr>
                <w:spacing w:val="-5"/>
                <w:sz w:val="20"/>
              </w:rPr>
              <w:t>on</w:t>
            </w:r>
            <w:r>
              <w:rPr>
                <w:sz w:val="20"/>
              </w:rPr>
              <w:tab/>
              <w:tab/>
              <w:tab/>
            </w:r>
            <w:r>
              <w:rPr>
                <w:spacing w:val="-4"/>
                <w:sz w:val="20"/>
              </w:rPr>
              <w:t>site</w:t>
            </w:r>
          </w:p>
          <w:p>
            <w:pPr>
              <w:pStyle w:val="TableParagraph"/>
              <w:ind w:left="106"/>
              <w:rPr>
                <w:sz w:val="20"/>
              </w:rPr>
            </w:pPr>
            <w:r>
              <w:rPr>
                <w:spacing w:val="-2"/>
                <w:sz w:val="20"/>
              </w:rPr>
              <w:t>asperapproval. </w:t>
            </w:r>
            <w:r>
              <w:rPr>
                <w:sz w:val="20"/>
              </w:rPr>
              <w:t>Heshall</w:t>
            </w:r>
            <w:r>
              <w:rPr>
                <w:spacing w:val="40"/>
                <w:sz w:val="20"/>
              </w:rPr>
              <w:t> </w:t>
            </w:r>
            <w:r>
              <w:rPr>
                <w:sz w:val="20"/>
              </w:rPr>
              <w:t>ensure that</w:t>
            </w:r>
            <w:r>
              <w:rPr>
                <w:spacing w:val="-10"/>
                <w:sz w:val="20"/>
              </w:rPr>
              <w:t> </w:t>
            </w:r>
            <w:r>
              <w:rPr>
                <w:sz w:val="20"/>
              </w:rPr>
              <w:t>the</w:t>
            </w:r>
            <w:r>
              <w:rPr>
                <w:spacing w:val="-11"/>
                <w:sz w:val="20"/>
              </w:rPr>
              <w:t> </w:t>
            </w:r>
            <w:r>
              <w:rPr>
                <w:sz w:val="20"/>
              </w:rPr>
              <w:t>work</w:t>
            </w:r>
            <w:r>
              <w:rPr>
                <w:spacing w:val="-12"/>
                <w:sz w:val="20"/>
              </w:rPr>
              <w:t> </w:t>
            </w:r>
            <w:r>
              <w:rPr>
                <w:sz w:val="20"/>
              </w:rPr>
              <w:t>is carried</w:t>
            </w:r>
            <w:r>
              <w:rPr>
                <w:spacing w:val="79"/>
                <w:sz w:val="20"/>
              </w:rPr>
              <w:t> </w:t>
            </w:r>
            <w:r>
              <w:rPr>
                <w:sz w:val="20"/>
              </w:rPr>
              <w:t>out</w:t>
            </w:r>
            <w:r>
              <w:rPr>
                <w:spacing w:val="80"/>
                <w:sz w:val="20"/>
              </w:rPr>
              <w:t> </w:t>
            </w:r>
            <w:r>
              <w:rPr>
                <w:sz w:val="20"/>
              </w:rPr>
              <w:t>as per approval</w:t>
            </w:r>
          </w:p>
          <w:p>
            <w:pPr>
              <w:pStyle w:val="TableParagraph"/>
              <w:tabs>
                <w:tab w:pos="641" w:val="left" w:leader="none"/>
                <w:tab w:pos="749" w:val="left" w:leader="none"/>
                <w:tab w:pos="1411" w:val="left" w:leader="none"/>
              </w:tabs>
              <w:spacing w:before="96"/>
              <w:ind w:left="106" w:right="98"/>
              <w:rPr>
                <w:sz w:val="20"/>
              </w:rPr>
            </w:pPr>
            <w:r>
              <w:rPr>
                <w:sz w:val="20"/>
              </w:rPr>
              <w:t>AndIf</w:t>
            </w:r>
            <w:r>
              <w:rPr>
                <w:spacing w:val="-10"/>
                <w:sz w:val="20"/>
              </w:rPr>
              <w:t> </w:t>
            </w:r>
            <w:r>
              <w:rPr>
                <w:sz w:val="20"/>
              </w:rPr>
              <w:t>henotices </w:t>
            </w:r>
            <w:r>
              <w:rPr>
                <w:spacing w:val="-4"/>
                <w:sz w:val="20"/>
              </w:rPr>
              <w:t>any</w:t>
            </w:r>
            <w:r>
              <w:rPr>
                <w:sz w:val="20"/>
              </w:rPr>
              <w:tab/>
              <w:tab/>
            </w:r>
            <w:r>
              <w:rPr>
                <w:spacing w:val="-2"/>
                <w:sz w:val="20"/>
              </w:rPr>
              <w:t>deviation </w:t>
            </w:r>
            <w:r>
              <w:rPr>
                <w:spacing w:val="-6"/>
                <w:sz w:val="20"/>
              </w:rPr>
              <w:t>he</w:t>
            </w:r>
            <w:r>
              <w:rPr>
                <w:sz w:val="20"/>
              </w:rPr>
              <w:tab/>
            </w:r>
            <w:r>
              <w:rPr>
                <w:spacing w:val="-2"/>
                <w:sz w:val="20"/>
              </w:rPr>
              <w:t>shall</w:t>
            </w:r>
            <w:r>
              <w:rPr>
                <w:sz w:val="20"/>
              </w:rPr>
              <w:tab/>
            </w:r>
            <w:r>
              <w:rPr>
                <w:spacing w:val="-6"/>
                <w:sz w:val="20"/>
              </w:rPr>
              <w:t>be </w:t>
            </w:r>
            <w:r>
              <w:rPr>
                <w:sz w:val="20"/>
              </w:rPr>
              <w:t>responsible</w:t>
            </w:r>
            <w:r>
              <w:rPr>
                <w:spacing w:val="40"/>
                <w:sz w:val="20"/>
              </w:rPr>
              <w:t> </w:t>
            </w:r>
            <w:r>
              <w:rPr>
                <w:sz w:val="20"/>
              </w:rPr>
              <w:t>for </w:t>
            </w:r>
            <w:r>
              <w:rPr>
                <w:spacing w:val="-2"/>
                <w:sz w:val="20"/>
              </w:rPr>
              <w:t>intimatingthe Authority.</w:t>
            </w:r>
          </w:p>
        </w:tc>
      </w:tr>
      <w:tr>
        <w:trPr>
          <w:trHeight w:val="5260" w:hRule="atLeast"/>
        </w:trPr>
        <w:tc>
          <w:tcPr>
            <w:tcW w:w="559" w:type="dxa"/>
          </w:tcPr>
          <w:p>
            <w:pPr>
              <w:pStyle w:val="TableParagraph"/>
              <w:spacing w:before="94"/>
              <w:ind w:left="107"/>
              <w:rPr>
                <w:sz w:val="20"/>
              </w:rPr>
            </w:pPr>
            <w:r>
              <w:rPr>
                <w:spacing w:val="-5"/>
                <w:sz w:val="20"/>
              </w:rPr>
              <w:t>10</w:t>
            </w:r>
          </w:p>
        </w:tc>
        <w:tc>
          <w:tcPr>
            <w:tcW w:w="1152" w:type="dxa"/>
          </w:tcPr>
          <w:p>
            <w:pPr>
              <w:pStyle w:val="TableParagraph"/>
              <w:spacing w:before="94"/>
              <w:ind w:left="107" w:right="16"/>
              <w:rPr>
                <w:sz w:val="20"/>
              </w:rPr>
            </w:pPr>
            <w:r>
              <w:rPr>
                <w:spacing w:val="-2"/>
                <w:sz w:val="20"/>
              </w:rPr>
              <w:t>Consultan </w:t>
            </w:r>
            <w:r>
              <w:rPr>
                <w:sz w:val="20"/>
              </w:rPr>
              <w:t>t for </w:t>
            </w:r>
            <w:r>
              <w:rPr>
                <w:spacing w:val="-2"/>
                <w:sz w:val="20"/>
              </w:rPr>
              <w:t>conservati </w:t>
            </w:r>
            <w:r>
              <w:rPr>
                <w:sz w:val="20"/>
              </w:rPr>
              <w:t>on of </w:t>
            </w:r>
            <w:r>
              <w:rPr>
                <w:spacing w:val="-2"/>
                <w:sz w:val="20"/>
              </w:rPr>
              <w:t>Energy</w:t>
            </w:r>
          </w:p>
        </w:tc>
        <w:tc>
          <w:tcPr>
            <w:tcW w:w="2785" w:type="dxa"/>
          </w:tcPr>
          <w:p>
            <w:pPr>
              <w:pStyle w:val="TableParagraph"/>
              <w:tabs>
                <w:tab w:pos="1730" w:val="left" w:leader="none"/>
              </w:tabs>
              <w:spacing w:before="94"/>
              <w:ind w:left="107" w:right="165"/>
              <w:rPr>
                <w:sz w:val="20"/>
              </w:rPr>
            </w:pPr>
            <w:r>
              <w:rPr>
                <w:spacing w:val="-2"/>
                <w:sz w:val="20"/>
              </w:rPr>
              <w:t>TheConsultantforConserv ationofEnergymusthold anyvaliddegreein Electrical/Mechanical Engineering</w:t>
            </w:r>
            <w:r>
              <w:rPr>
                <w:sz w:val="20"/>
              </w:rPr>
              <w:tab/>
            </w:r>
            <w:r>
              <w:rPr>
                <w:spacing w:val="-2"/>
                <w:sz w:val="20"/>
              </w:rPr>
              <w:t>andmust </w:t>
            </w:r>
            <w:r>
              <w:rPr>
                <w:sz w:val="20"/>
              </w:rPr>
              <w:t>have</w:t>
            </w:r>
            <w:r>
              <w:rPr>
                <w:spacing w:val="40"/>
                <w:sz w:val="20"/>
              </w:rPr>
              <w:t> </w:t>
            </w:r>
            <w:r>
              <w:rPr>
                <w:sz w:val="20"/>
              </w:rPr>
              <w:t>a</w:t>
            </w:r>
            <w:r>
              <w:rPr>
                <w:spacing w:val="40"/>
                <w:sz w:val="20"/>
              </w:rPr>
              <w:t> </w:t>
            </w:r>
            <w:r>
              <w:rPr>
                <w:sz w:val="20"/>
              </w:rPr>
              <w:t>minimum</w:t>
            </w:r>
            <w:r>
              <w:rPr>
                <w:spacing w:val="40"/>
                <w:sz w:val="20"/>
              </w:rPr>
              <w:t> </w:t>
            </w:r>
            <w:r>
              <w:rPr>
                <w:sz w:val="20"/>
              </w:rPr>
              <w:t>of</w:t>
            </w:r>
            <w:r>
              <w:rPr>
                <w:spacing w:val="40"/>
                <w:sz w:val="20"/>
              </w:rPr>
              <w:t> </w:t>
            </w:r>
            <w:r>
              <w:rPr>
                <w:sz w:val="20"/>
              </w:rPr>
              <w:t>two years</w:t>
            </w:r>
            <w:r>
              <w:rPr>
                <w:spacing w:val="40"/>
                <w:sz w:val="20"/>
              </w:rPr>
              <w:t> </w:t>
            </w:r>
            <w:r>
              <w:rPr>
                <w:sz w:val="20"/>
              </w:rPr>
              <w:t>of</w:t>
            </w:r>
            <w:r>
              <w:rPr>
                <w:spacing w:val="40"/>
                <w:sz w:val="20"/>
              </w:rPr>
              <w:t> </w:t>
            </w:r>
            <w:r>
              <w:rPr>
                <w:sz w:val="20"/>
              </w:rPr>
              <w:t>experience</w:t>
            </w:r>
            <w:r>
              <w:rPr>
                <w:spacing w:val="40"/>
                <w:sz w:val="20"/>
              </w:rPr>
              <w:t> </w:t>
            </w:r>
            <w:r>
              <w:rPr>
                <w:sz w:val="20"/>
              </w:rPr>
              <w:t>in</w:t>
            </w:r>
            <w:r>
              <w:rPr>
                <w:spacing w:val="40"/>
                <w:sz w:val="20"/>
              </w:rPr>
              <w:t> </w:t>
            </w:r>
            <w:r>
              <w:rPr>
                <w:sz w:val="20"/>
              </w:rPr>
              <w:t>a field</w:t>
            </w:r>
            <w:r>
              <w:rPr>
                <w:spacing w:val="80"/>
                <w:sz w:val="20"/>
              </w:rPr>
              <w:t> </w:t>
            </w:r>
            <w:r>
              <w:rPr>
                <w:sz w:val="20"/>
              </w:rPr>
              <w:t>practice</w:t>
            </w:r>
            <w:r>
              <w:rPr>
                <w:spacing w:val="80"/>
                <w:sz w:val="20"/>
              </w:rPr>
              <w:t> </w:t>
            </w:r>
            <w:r>
              <w:rPr>
                <w:sz w:val="20"/>
              </w:rPr>
              <w:t>in</w:t>
            </w:r>
            <w:r>
              <w:rPr>
                <w:spacing w:val="80"/>
                <w:sz w:val="20"/>
              </w:rPr>
              <w:t> </w:t>
            </w:r>
            <w:r>
              <w:rPr>
                <w:sz w:val="20"/>
              </w:rPr>
              <w:t>energy </w:t>
            </w:r>
            <w:r>
              <w:rPr>
                <w:spacing w:val="-2"/>
                <w:sz w:val="20"/>
              </w:rPr>
              <w:t>conservation.</w:t>
            </w:r>
          </w:p>
        </w:tc>
        <w:tc>
          <w:tcPr>
            <w:tcW w:w="1465" w:type="dxa"/>
          </w:tcPr>
          <w:p>
            <w:pPr>
              <w:pStyle w:val="TableParagraph"/>
              <w:rPr>
                <w:rFonts w:ascii="Times New Roman"/>
                <w:sz w:val="18"/>
              </w:rPr>
            </w:pPr>
          </w:p>
        </w:tc>
        <w:tc>
          <w:tcPr>
            <w:tcW w:w="1645" w:type="dxa"/>
          </w:tcPr>
          <w:p>
            <w:pPr>
              <w:pStyle w:val="TableParagraph"/>
              <w:numPr>
                <w:ilvl w:val="0"/>
                <w:numId w:val="387"/>
              </w:numPr>
              <w:tabs>
                <w:tab w:pos="295" w:val="left" w:leader="none"/>
              </w:tabs>
              <w:spacing w:line="240" w:lineRule="auto" w:before="94" w:after="0"/>
              <w:ind w:left="90" w:right="255" w:firstLine="0"/>
              <w:jc w:val="left"/>
              <w:rPr>
                <w:sz w:val="20"/>
              </w:rPr>
            </w:pPr>
            <w:r>
              <w:rPr>
                <w:spacing w:val="-2"/>
                <w:sz w:val="20"/>
              </w:rPr>
              <w:t>Tosubmit certificate </w:t>
            </w:r>
            <w:r>
              <w:rPr>
                <w:sz w:val="20"/>
              </w:rPr>
              <w:t>&amp;all related </w:t>
            </w:r>
            <w:r>
              <w:rPr>
                <w:spacing w:val="-2"/>
                <w:sz w:val="20"/>
              </w:rPr>
              <w:t>information connectedwit hConservatio </w:t>
            </w:r>
            <w:r>
              <w:rPr>
                <w:sz w:val="20"/>
              </w:rPr>
              <w:t>n ofEnergy;</w:t>
            </w:r>
          </w:p>
          <w:p>
            <w:pPr>
              <w:pStyle w:val="TableParagraph"/>
              <w:numPr>
                <w:ilvl w:val="0"/>
                <w:numId w:val="387"/>
              </w:numPr>
              <w:tabs>
                <w:tab w:pos="344" w:val="left" w:leader="none"/>
              </w:tabs>
              <w:spacing w:line="240" w:lineRule="auto" w:before="97" w:after="0"/>
              <w:ind w:left="90" w:right="167" w:firstLine="16"/>
              <w:jc w:val="left"/>
              <w:rPr>
                <w:sz w:val="20"/>
              </w:rPr>
            </w:pPr>
            <w:r>
              <w:rPr>
                <w:spacing w:val="-2"/>
                <w:sz w:val="20"/>
              </w:rPr>
              <w:t>Tosubmit detailsfor Conservation ofEnergy Plantwithprop </w:t>
            </w:r>
            <w:r>
              <w:rPr>
                <w:sz w:val="20"/>
              </w:rPr>
              <w:t>osal for </w:t>
            </w:r>
            <w:r>
              <w:rPr>
                <w:spacing w:val="-2"/>
                <w:sz w:val="20"/>
              </w:rPr>
              <w:t>implementin.</w:t>
            </w:r>
          </w:p>
          <w:p>
            <w:pPr>
              <w:pStyle w:val="TableParagraph"/>
              <w:numPr>
                <w:ilvl w:val="0"/>
                <w:numId w:val="387"/>
              </w:numPr>
              <w:tabs>
                <w:tab w:pos="271" w:val="left" w:leader="none"/>
              </w:tabs>
              <w:spacing w:line="240" w:lineRule="auto" w:before="97" w:after="0"/>
              <w:ind w:left="106" w:right="108" w:firstLine="0"/>
              <w:jc w:val="left"/>
              <w:rPr>
                <w:sz w:val="20"/>
              </w:rPr>
            </w:pPr>
            <w:r>
              <w:rPr>
                <w:sz w:val="20"/>
              </w:rPr>
              <w:t> </w:t>
            </w:r>
            <w:r>
              <w:rPr>
                <w:spacing w:val="-2"/>
                <w:sz w:val="20"/>
              </w:rPr>
              <w:t>TosubmitCom pletion Certificatewith completion </w:t>
            </w:r>
            <w:r>
              <w:rPr>
                <w:sz w:val="20"/>
              </w:rPr>
              <w:t>plan with respect to</w:t>
            </w:r>
          </w:p>
        </w:tc>
        <w:tc>
          <w:tcPr>
            <w:tcW w:w="1748" w:type="dxa"/>
          </w:tcPr>
          <w:p>
            <w:pPr>
              <w:pStyle w:val="TableParagraph"/>
              <w:tabs>
                <w:tab w:pos="689" w:val="left" w:leader="none"/>
                <w:tab w:pos="879" w:val="left" w:leader="none"/>
                <w:tab w:pos="1368" w:val="left" w:leader="none"/>
              </w:tabs>
              <w:spacing w:before="94"/>
              <w:ind w:left="22" w:right="202"/>
              <w:rPr>
                <w:sz w:val="20"/>
              </w:rPr>
            </w:pPr>
            <w:r>
              <w:rPr>
                <w:spacing w:val="-2"/>
                <w:sz w:val="20"/>
              </w:rPr>
              <w:t>TheConsultant </w:t>
            </w:r>
            <w:r>
              <w:rPr>
                <w:spacing w:val="-4"/>
                <w:sz w:val="20"/>
              </w:rPr>
              <w:t>sfor </w:t>
            </w:r>
            <w:r>
              <w:rPr>
                <w:spacing w:val="-2"/>
                <w:sz w:val="20"/>
              </w:rPr>
              <w:t>Conservationof </w:t>
            </w:r>
            <w:r>
              <w:rPr>
                <w:sz w:val="20"/>
              </w:rPr>
              <w:t>Energy</w:t>
            </w:r>
            <w:r>
              <w:rPr>
                <w:spacing w:val="-16"/>
                <w:sz w:val="20"/>
              </w:rPr>
              <w:t> </w:t>
            </w:r>
            <w:r>
              <w:rPr>
                <w:sz w:val="20"/>
              </w:rPr>
              <w:t>shall</w:t>
            </w:r>
            <w:r>
              <w:rPr>
                <w:spacing w:val="-16"/>
                <w:sz w:val="20"/>
              </w:rPr>
              <w:t> </w:t>
            </w:r>
            <w:r>
              <w:rPr>
                <w:sz w:val="20"/>
              </w:rPr>
              <w:t>be responsible</w:t>
            </w:r>
            <w:r>
              <w:rPr>
                <w:spacing w:val="29"/>
                <w:sz w:val="20"/>
              </w:rPr>
              <w:t> </w:t>
            </w:r>
            <w:r>
              <w:rPr>
                <w:sz w:val="20"/>
              </w:rPr>
              <w:t>for </w:t>
            </w:r>
            <w:r>
              <w:rPr>
                <w:spacing w:val="-4"/>
                <w:sz w:val="20"/>
              </w:rPr>
              <w:t>the</w:t>
            </w:r>
            <w:r>
              <w:rPr>
                <w:sz w:val="20"/>
              </w:rPr>
              <w:tab/>
              <w:tab/>
            </w:r>
            <w:r>
              <w:rPr>
                <w:spacing w:val="-2"/>
                <w:sz w:val="20"/>
              </w:rPr>
              <w:t>workof Conservation</w:t>
            </w:r>
            <w:r>
              <w:rPr>
                <w:spacing w:val="-16"/>
                <w:sz w:val="20"/>
              </w:rPr>
              <w:t> </w:t>
            </w:r>
            <w:r>
              <w:rPr>
                <w:spacing w:val="-2"/>
                <w:sz w:val="20"/>
              </w:rPr>
              <w:t>of </w:t>
            </w:r>
            <w:r>
              <w:rPr>
                <w:sz w:val="20"/>
              </w:rPr>
              <w:t>Energy</w:t>
            </w:r>
            <w:r>
              <w:rPr>
                <w:spacing w:val="40"/>
                <w:sz w:val="20"/>
              </w:rPr>
              <w:t> </w:t>
            </w:r>
            <w:r>
              <w:rPr>
                <w:sz w:val="20"/>
              </w:rPr>
              <w:t>carried out</w:t>
            </w:r>
            <w:r>
              <w:rPr>
                <w:spacing w:val="40"/>
                <w:sz w:val="20"/>
              </w:rPr>
              <w:t> </w:t>
            </w:r>
            <w:r>
              <w:rPr>
                <w:sz w:val="20"/>
              </w:rPr>
              <w:t>on</w:t>
            </w:r>
            <w:r>
              <w:rPr>
                <w:spacing w:val="40"/>
                <w:sz w:val="20"/>
              </w:rPr>
              <w:t> </w:t>
            </w:r>
            <w:r>
              <w:rPr>
                <w:sz w:val="20"/>
              </w:rPr>
              <w:t>site</w:t>
            </w:r>
            <w:r>
              <w:rPr>
                <w:spacing w:val="40"/>
                <w:sz w:val="20"/>
              </w:rPr>
              <w:t> </w:t>
            </w:r>
            <w:r>
              <w:rPr>
                <w:sz w:val="20"/>
              </w:rPr>
              <w:t>as </w:t>
            </w:r>
            <w:r>
              <w:rPr>
                <w:spacing w:val="-4"/>
                <w:sz w:val="20"/>
              </w:rPr>
              <w:t>per</w:t>
            </w:r>
            <w:r>
              <w:rPr>
                <w:sz w:val="20"/>
              </w:rPr>
              <w:tab/>
            </w:r>
            <w:r>
              <w:rPr>
                <w:spacing w:val="-2"/>
                <w:sz w:val="20"/>
              </w:rPr>
              <w:t>approval </w:t>
            </w:r>
            <w:r>
              <w:rPr>
                <w:sz w:val="20"/>
              </w:rPr>
              <w:t>and</w:t>
            </w:r>
            <w:r>
              <w:rPr>
                <w:spacing w:val="36"/>
                <w:sz w:val="20"/>
              </w:rPr>
              <w:t> </w:t>
            </w:r>
            <w:r>
              <w:rPr>
                <w:sz w:val="20"/>
              </w:rPr>
              <w:t>the</w:t>
            </w:r>
            <w:r>
              <w:rPr>
                <w:spacing w:val="37"/>
                <w:sz w:val="20"/>
              </w:rPr>
              <w:t> </w:t>
            </w:r>
            <w:r>
              <w:rPr>
                <w:sz w:val="20"/>
              </w:rPr>
              <w:t>ECBC codes.</w:t>
            </w:r>
            <w:r>
              <w:rPr>
                <w:spacing w:val="-1"/>
                <w:sz w:val="20"/>
              </w:rPr>
              <w:t> </w:t>
            </w:r>
            <w:r>
              <w:rPr>
                <w:sz w:val="20"/>
              </w:rPr>
              <w:t>He</w:t>
            </w:r>
            <w:r>
              <w:rPr>
                <w:spacing w:val="-2"/>
                <w:sz w:val="20"/>
              </w:rPr>
              <w:t> </w:t>
            </w:r>
            <w:r>
              <w:rPr>
                <w:sz w:val="20"/>
              </w:rPr>
              <w:t>shall ensure</w:t>
            </w:r>
            <w:r>
              <w:rPr>
                <w:spacing w:val="-16"/>
                <w:sz w:val="20"/>
              </w:rPr>
              <w:t> </w:t>
            </w:r>
            <w:r>
              <w:rPr>
                <w:sz w:val="20"/>
              </w:rPr>
              <w:t>that</w:t>
            </w:r>
            <w:r>
              <w:rPr>
                <w:spacing w:val="-16"/>
                <w:sz w:val="20"/>
              </w:rPr>
              <w:t> </w:t>
            </w:r>
            <w:r>
              <w:rPr>
                <w:sz w:val="20"/>
              </w:rPr>
              <w:t>the </w:t>
            </w:r>
            <w:r>
              <w:rPr>
                <w:spacing w:val="-4"/>
                <w:sz w:val="20"/>
              </w:rPr>
              <w:t>work</w:t>
            </w:r>
            <w:r>
              <w:rPr>
                <w:sz w:val="20"/>
              </w:rPr>
              <w:tab/>
              <w:tab/>
              <w:tab/>
            </w:r>
            <w:r>
              <w:rPr>
                <w:spacing w:val="-5"/>
                <w:sz w:val="20"/>
              </w:rPr>
              <w:t>is</w:t>
            </w:r>
          </w:p>
          <w:p>
            <w:pPr>
              <w:pStyle w:val="TableParagraph"/>
              <w:tabs>
                <w:tab w:pos="689" w:val="left" w:leader="none"/>
              </w:tabs>
              <w:spacing w:before="2"/>
              <w:ind w:left="22" w:right="201"/>
              <w:rPr>
                <w:sz w:val="20"/>
              </w:rPr>
            </w:pPr>
            <w:r>
              <w:rPr>
                <w:sz w:val="20"/>
              </w:rPr>
              <w:t>carried</w:t>
            </w:r>
            <w:r>
              <w:rPr>
                <w:spacing w:val="40"/>
                <w:sz w:val="20"/>
              </w:rPr>
              <w:t> </w:t>
            </w:r>
            <w:r>
              <w:rPr>
                <w:sz w:val="20"/>
              </w:rPr>
              <w:t>out</w:t>
            </w:r>
            <w:r>
              <w:rPr>
                <w:spacing w:val="40"/>
                <w:sz w:val="20"/>
              </w:rPr>
              <w:t> </w:t>
            </w:r>
            <w:r>
              <w:rPr>
                <w:sz w:val="20"/>
              </w:rPr>
              <w:t>as </w:t>
            </w:r>
            <w:r>
              <w:rPr>
                <w:spacing w:val="-5"/>
                <w:sz w:val="20"/>
              </w:rPr>
              <w:t>per</w:t>
            </w:r>
            <w:r>
              <w:rPr>
                <w:sz w:val="20"/>
              </w:rPr>
              <w:tab/>
            </w:r>
            <w:r>
              <w:rPr>
                <w:spacing w:val="-2"/>
                <w:sz w:val="20"/>
              </w:rPr>
              <w:t>approval</w:t>
            </w:r>
          </w:p>
          <w:p>
            <w:pPr>
              <w:pStyle w:val="TableParagraph"/>
              <w:tabs>
                <w:tab w:pos="778" w:val="left" w:leader="none"/>
                <w:tab w:pos="1298" w:val="left" w:leader="none"/>
              </w:tabs>
              <w:spacing w:line="233" w:lineRule="exact"/>
              <w:ind w:left="22"/>
              <w:rPr>
                <w:sz w:val="20"/>
              </w:rPr>
            </w:pPr>
            <w:r>
              <w:rPr>
                <w:spacing w:val="-5"/>
                <w:sz w:val="20"/>
              </w:rPr>
              <w:t>and</w:t>
            </w:r>
            <w:r>
              <w:rPr>
                <w:sz w:val="20"/>
              </w:rPr>
              <w:tab/>
            </w:r>
            <w:r>
              <w:rPr>
                <w:spacing w:val="-5"/>
                <w:sz w:val="20"/>
              </w:rPr>
              <w:t>If</w:t>
            </w:r>
            <w:r>
              <w:rPr>
                <w:sz w:val="20"/>
              </w:rPr>
              <w:tab/>
            </w:r>
            <w:r>
              <w:rPr>
                <w:spacing w:val="-5"/>
                <w:sz w:val="20"/>
              </w:rPr>
              <w:t>he</w:t>
            </w:r>
          </w:p>
          <w:p>
            <w:pPr>
              <w:pStyle w:val="TableParagraph"/>
              <w:tabs>
                <w:tab w:pos="1176" w:val="left" w:leader="none"/>
              </w:tabs>
              <w:ind w:left="22"/>
              <w:rPr>
                <w:sz w:val="20"/>
              </w:rPr>
            </w:pPr>
            <w:r>
              <w:rPr>
                <w:spacing w:val="-2"/>
                <w:sz w:val="20"/>
              </w:rPr>
              <w:t>notices</w:t>
            </w:r>
            <w:r>
              <w:rPr>
                <w:sz w:val="20"/>
              </w:rPr>
              <w:tab/>
            </w:r>
            <w:r>
              <w:rPr>
                <w:spacing w:val="-5"/>
                <w:sz w:val="20"/>
              </w:rPr>
              <w:t>any</w:t>
            </w:r>
          </w:p>
          <w:p>
            <w:pPr>
              <w:pStyle w:val="TableParagraph"/>
              <w:tabs>
                <w:tab w:pos="1295" w:val="left" w:leader="none"/>
              </w:tabs>
              <w:spacing w:before="1"/>
              <w:ind w:left="22"/>
              <w:rPr>
                <w:sz w:val="20"/>
              </w:rPr>
            </w:pPr>
            <w:r>
              <w:rPr>
                <w:spacing w:val="-2"/>
                <w:sz w:val="20"/>
              </w:rPr>
              <w:t>deviation</w:t>
            </w:r>
            <w:r>
              <w:rPr>
                <w:sz w:val="20"/>
              </w:rPr>
              <w:tab/>
            </w:r>
            <w:r>
              <w:rPr>
                <w:spacing w:val="-5"/>
                <w:sz w:val="20"/>
              </w:rPr>
              <w:t>he</w:t>
            </w:r>
          </w:p>
          <w:p>
            <w:pPr>
              <w:pStyle w:val="TableParagraph"/>
              <w:tabs>
                <w:tab w:pos="1306" w:val="left" w:leader="none"/>
              </w:tabs>
              <w:ind w:left="22"/>
              <w:rPr>
                <w:sz w:val="20"/>
              </w:rPr>
            </w:pPr>
            <w:r>
              <w:rPr>
                <w:spacing w:val="-2"/>
                <w:sz w:val="20"/>
              </w:rPr>
              <w:t>shall</w:t>
            </w:r>
            <w:r>
              <w:rPr>
                <w:sz w:val="20"/>
              </w:rPr>
              <w:tab/>
            </w:r>
            <w:r>
              <w:rPr>
                <w:spacing w:val="-5"/>
                <w:sz w:val="20"/>
              </w:rPr>
              <w:t>be</w:t>
            </w:r>
          </w:p>
          <w:p>
            <w:pPr>
              <w:pStyle w:val="TableParagraph"/>
              <w:spacing w:line="232" w:lineRule="exact"/>
              <w:ind w:left="22"/>
              <w:rPr>
                <w:sz w:val="20"/>
              </w:rPr>
            </w:pPr>
            <w:r>
              <w:rPr>
                <w:sz w:val="20"/>
              </w:rPr>
              <w:t>responsible</w:t>
            </w:r>
            <w:r>
              <w:rPr>
                <w:spacing w:val="29"/>
                <w:sz w:val="20"/>
              </w:rPr>
              <w:t> </w:t>
            </w:r>
            <w:r>
              <w:rPr>
                <w:sz w:val="20"/>
              </w:rPr>
              <w:t>for intimating</w:t>
            </w:r>
            <w:r>
              <w:rPr>
                <w:spacing w:val="26"/>
                <w:sz w:val="20"/>
              </w:rPr>
              <w:t>  </w:t>
            </w:r>
            <w:r>
              <w:rPr>
                <w:spacing w:val="-5"/>
                <w:sz w:val="20"/>
              </w:rPr>
              <w:t>the</w:t>
            </w:r>
          </w:p>
        </w:tc>
      </w:tr>
    </w:tbl>
    <w:p>
      <w:pPr>
        <w:pStyle w:val="TableParagraph"/>
        <w:spacing w:after="0" w:line="232" w:lineRule="exact"/>
        <w:rPr>
          <w:sz w:val="20"/>
        </w:rPr>
        <w:sectPr>
          <w:pgSz w:w="11910" w:h="16850"/>
          <w:pgMar w:header="1022" w:footer="1070" w:top="1460" w:bottom="1260" w:left="360" w:right="360"/>
        </w:sectPr>
      </w:pPr>
    </w:p>
    <w:p>
      <w:pPr>
        <w:pStyle w:val="BodyText"/>
        <w:spacing w:before="44"/>
        <w:jc w:val="left"/>
        <w:rPr>
          <w:b/>
          <w:sz w:val="20"/>
        </w:rPr>
      </w:pPr>
    </w:p>
    <w:tbl>
      <w:tblPr>
        <w:tblW w:w="0" w:type="auto"/>
        <w:jc w:val="left"/>
        <w:tblInd w:w="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1152"/>
        <w:gridCol w:w="2785"/>
        <w:gridCol w:w="1465"/>
        <w:gridCol w:w="1645"/>
        <w:gridCol w:w="1748"/>
      </w:tblGrid>
      <w:tr>
        <w:trPr>
          <w:trHeight w:val="638" w:hRule="atLeast"/>
        </w:trPr>
        <w:tc>
          <w:tcPr>
            <w:tcW w:w="559" w:type="dxa"/>
            <w:shd w:val="clear" w:color="auto" w:fill="E7E6E6"/>
          </w:tcPr>
          <w:p>
            <w:pPr>
              <w:pStyle w:val="TableParagraph"/>
              <w:spacing w:before="94"/>
              <w:ind w:left="107" w:right="150"/>
              <w:rPr>
                <w:sz w:val="20"/>
              </w:rPr>
            </w:pPr>
            <w:r>
              <w:rPr>
                <w:spacing w:val="-4"/>
                <w:sz w:val="20"/>
              </w:rPr>
              <w:t>Sr. </w:t>
            </w:r>
            <w:r>
              <w:rPr>
                <w:spacing w:val="-5"/>
                <w:sz w:val="20"/>
              </w:rPr>
              <w:t>No</w:t>
            </w:r>
          </w:p>
        </w:tc>
        <w:tc>
          <w:tcPr>
            <w:tcW w:w="1152" w:type="dxa"/>
            <w:shd w:val="clear" w:color="auto" w:fill="E7E6E6"/>
          </w:tcPr>
          <w:p>
            <w:pPr>
              <w:pStyle w:val="TableParagraph"/>
              <w:spacing w:before="94"/>
              <w:ind w:left="107" w:right="161"/>
              <w:rPr>
                <w:sz w:val="20"/>
              </w:rPr>
            </w:pPr>
            <w:r>
              <w:rPr>
                <w:spacing w:val="-2"/>
                <w:sz w:val="20"/>
              </w:rPr>
              <w:t>Professio </w:t>
            </w:r>
            <w:r>
              <w:rPr>
                <w:spacing w:val="-4"/>
                <w:sz w:val="20"/>
              </w:rPr>
              <w:t>nals</w:t>
            </w:r>
          </w:p>
        </w:tc>
        <w:tc>
          <w:tcPr>
            <w:tcW w:w="2785" w:type="dxa"/>
            <w:shd w:val="clear" w:color="auto" w:fill="E7E6E6"/>
          </w:tcPr>
          <w:p>
            <w:pPr>
              <w:pStyle w:val="TableParagraph"/>
              <w:spacing w:before="94"/>
              <w:ind w:left="107"/>
              <w:rPr>
                <w:sz w:val="20"/>
              </w:rPr>
            </w:pPr>
            <w:r>
              <w:rPr>
                <w:spacing w:val="-2"/>
                <w:sz w:val="20"/>
              </w:rPr>
              <w:t>Qualification</w:t>
            </w:r>
          </w:p>
        </w:tc>
        <w:tc>
          <w:tcPr>
            <w:tcW w:w="1465" w:type="dxa"/>
            <w:shd w:val="clear" w:color="auto" w:fill="E7E6E6"/>
          </w:tcPr>
          <w:p>
            <w:pPr>
              <w:pStyle w:val="TableParagraph"/>
              <w:spacing w:before="94"/>
              <w:ind w:left="107"/>
              <w:rPr>
                <w:sz w:val="20"/>
              </w:rPr>
            </w:pPr>
            <w:r>
              <w:rPr>
                <w:spacing w:val="-2"/>
                <w:sz w:val="20"/>
              </w:rPr>
              <w:t>Registration</w:t>
            </w:r>
          </w:p>
        </w:tc>
        <w:tc>
          <w:tcPr>
            <w:tcW w:w="1645" w:type="dxa"/>
            <w:shd w:val="clear" w:color="auto" w:fill="E7E6E6"/>
          </w:tcPr>
          <w:p>
            <w:pPr>
              <w:pStyle w:val="TableParagraph"/>
              <w:spacing w:before="94"/>
              <w:ind w:left="106"/>
              <w:rPr>
                <w:sz w:val="20"/>
              </w:rPr>
            </w:pPr>
            <w:r>
              <w:rPr>
                <w:spacing w:val="-2"/>
                <w:sz w:val="20"/>
              </w:rPr>
              <w:t>Duties</w:t>
            </w:r>
          </w:p>
        </w:tc>
        <w:tc>
          <w:tcPr>
            <w:tcW w:w="1748" w:type="dxa"/>
            <w:shd w:val="clear" w:color="auto" w:fill="E7E6E6"/>
          </w:tcPr>
          <w:p>
            <w:pPr>
              <w:pStyle w:val="TableParagraph"/>
              <w:spacing w:before="94"/>
              <w:ind w:left="106"/>
              <w:rPr>
                <w:sz w:val="20"/>
              </w:rPr>
            </w:pPr>
            <w:r>
              <w:rPr>
                <w:spacing w:val="-2"/>
                <w:sz w:val="20"/>
              </w:rPr>
              <w:t>Responsibilities</w:t>
            </w:r>
          </w:p>
        </w:tc>
      </w:tr>
      <w:tr>
        <w:trPr>
          <w:trHeight w:val="777" w:hRule="atLeast"/>
        </w:trPr>
        <w:tc>
          <w:tcPr>
            <w:tcW w:w="559" w:type="dxa"/>
          </w:tcPr>
          <w:p>
            <w:pPr>
              <w:pStyle w:val="TableParagraph"/>
              <w:rPr>
                <w:rFonts w:ascii="Times New Roman"/>
                <w:sz w:val="18"/>
              </w:rPr>
            </w:pPr>
          </w:p>
        </w:tc>
        <w:tc>
          <w:tcPr>
            <w:tcW w:w="1152" w:type="dxa"/>
          </w:tcPr>
          <w:p>
            <w:pPr>
              <w:pStyle w:val="TableParagraph"/>
              <w:rPr>
                <w:rFonts w:ascii="Times New Roman"/>
                <w:sz w:val="18"/>
              </w:rPr>
            </w:pPr>
          </w:p>
        </w:tc>
        <w:tc>
          <w:tcPr>
            <w:tcW w:w="2785" w:type="dxa"/>
          </w:tcPr>
          <w:p>
            <w:pPr>
              <w:pStyle w:val="TableParagraph"/>
              <w:rPr>
                <w:rFonts w:ascii="Times New Roman"/>
                <w:sz w:val="18"/>
              </w:rPr>
            </w:pPr>
          </w:p>
        </w:tc>
        <w:tc>
          <w:tcPr>
            <w:tcW w:w="1465" w:type="dxa"/>
          </w:tcPr>
          <w:p>
            <w:pPr>
              <w:pStyle w:val="TableParagraph"/>
              <w:rPr>
                <w:rFonts w:ascii="Times New Roman"/>
                <w:sz w:val="18"/>
              </w:rPr>
            </w:pPr>
          </w:p>
        </w:tc>
        <w:tc>
          <w:tcPr>
            <w:tcW w:w="1645" w:type="dxa"/>
          </w:tcPr>
          <w:p>
            <w:pPr>
              <w:pStyle w:val="TableParagraph"/>
              <w:ind w:left="106"/>
              <w:rPr>
                <w:sz w:val="20"/>
              </w:rPr>
            </w:pPr>
            <w:r>
              <w:rPr>
                <w:spacing w:val="-2"/>
                <w:sz w:val="20"/>
              </w:rPr>
              <w:t>Conservationo </w:t>
            </w:r>
            <w:r>
              <w:rPr>
                <w:sz w:val="20"/>
              </w:rPr>
              <w:t>fEnergy for </w:t>
            </w:r>
            <w:r>
              <w:rPr>
                <w:spacing w:val="-2"/>
                <w:sz w:val="20"/>
              </w:rPr>
              <w:t>building</w:t>
            </w:r>
          </w:p>
        </w:tc>
        <w:tc>
          <w:tcPr>
            <w:tcW w:w="1748" w:type="dxa"/>
          </w:tcPr>
          <w:p>
            <w:pPr>
              <w:pStyle w:val="TableParagraph"/>
              <w:spacing w:line="233" w:lineRule="exact"/>
              <w:ind w:left="22"/>
              <w:rPr>
                <w:sz w:val="20"/>
              </w:rPr>
            </w:pPr>
            <w:r>
              <w:rPr>
                <w:spacing w:val="-2"/>
                <w:sz w:val="20"/>
              </w:rPr>
              <w:t>Authority</w:t>
            </w:r>
          </w:p>
        </w:tc>
      </w:tr>
      <w:tr>
        <w:trPr>
          <w:trHeight w:val="9377" w:hRule="atLeast"/>
        </w:trPr>
        <w:tc>
          <w:tcPr>
            <w:tcW w:w="559" w:type="dxa"/>
          </w:tcPr>
          <w:p>
            <w:pPr>
              <w:pStyle w:val="TableParagraph"/>
              <w:spacing w:before="94"/>
              <w:ind w:left="107"/>
              <w:rPr>
                <w:sz w:val="20"/>
              </w:rPr>
            </w:pPr>
            <w:r>
              <w:rPr>
                <w:spacing w:val="-5"/>
                <w:sz w:val="20"/>
              </w:rPr>
              <w:t>11</w:t>
            </w:r>
          </w:p>
        </w:tc>
        <w:tc>
          <w:tcPr>
            <w:tcW w:w="1152" w:type="dxa"/>
          </w:tcPr>
          <w:p>
            <w:pPr>
              <w:pStyle w:val="TableParagraph"/>
              <w:spacing w:before="94"/>
              <w:ind w:left="107" w:right="16"/>
              <w:rPr>
                <w:sz w:val="20"/>
              </w:rPr>
            </w:pPr>
            <w:r>
              <w:rPr>
                <w:spacing w:val="-2"/>
                <w:sz w:val="20"/>
              </w:rPr>
              <w:t>Consultan </w:t>
            </w:r>
            <w:r>
              <w:rPr>
                <w:sz w:val="20"/>
              </w:rPr>
              <w:t>t for Fire </w:t>
            </w:r>
            <w:r>
              <w:rPr>
                <w:spacing w:val="-2"/>
                <w:sz w:val="20"/>
              </w:rPr>
              <w:t>Safety Measures</w:t>
            </w:r>
          </w:p>
        </w:tc>
        <w:tc>
          <w:tcPr>
            <w:tcW w:w="2785" w:type="dxa"/>
          </w:tcPr>
          <w:p>
            <w:pPr>
              <w:pStyle w:val="TableParagraph"/>
              <w:spacing w:before="94"/>
              <w:ind w:left="107" w:right="274"/>
              <w:rPr>
                <w:sz w:val="20"/>
              </w:rPr>
            </w:pPr>
            <w:r>
              <w:rPr>
                <w:spacing w:val="-2"/>
                <w:sz w:val="20"/>
              </w:rPr>
              <w:t>FireProtectionConsultan </w:t>
            </w:r>
            <w:r>
              <w:rPr>
                <w:sz w:val="20"/>
              </w:rPr>
              <w:t>t</w:t>
            </w:r>
            <w:r>
              <w:rPr>
                <w:spacing w:val="80"/>
                <w:sz w:val="20"/>
              </w:rPr>
              <w:t> </w:t>
            </w:r>
            <w:r>
              <w:rPr>
                <w:sz w:val="20"/>
              </w:rPr>
              <w:t>shall</w:t>
            </w:r>
            <w:r>
              <w:rPr>
                <w:spacing w:val="80"/>
                <w:sz w:val="20"/>
              </w:rPr>
              <w:t> </w:t>
            </w:r>
            <w:r>
              <w:rPr>
                <w:sz w:val="20"/>
              </w:rPr>
              <w:t>be</w:t>
            </w:r>
            <w:r>
              <w:rPr>
                <w:spacing w:val="80"/>
                <w:sz w:val="20"/>
              </w:rPr>
              <w:t> </w:t>
            </w:r>
            <w:r>
              <w:rPr>
                <w:sz w:val="20"/>
              </w:rPr>
              <w:t>a</w:t>
            </w:r>
            <w:r>
              <w:rPr>
                <w:spacing w:val="80"/>
                <w:sz w:val="20"/>
              </w:rPr>
              <w:t> </w:t>
            </w:r>
            <w:r>
              <w:rPr>
                <w:sz w:val="20"/>
              </w:rPr>
              <w:t>licensed </w:t>
            </w:r>
            <w:r>
              <w:rPr>
                <w:spacing w:val="-2"/>
                <w:sz w:val="20"/>
              </w:rPr>
              <w:t>agency undertheFirePrevention</w:t>
            </w:r>
          </w:p>
          <w:p>
            <w:pPr>
              <w:pStyle w:val="TableParagraph"/>
              <w:spacing w:before="95"/>
              <w:ind w:left="107"/>
              <w:rPr>
                <w:sz w:val="20"/>
              </w:rPr>
            </w:pPr>
            <w:r>
              <w:rPr>
                <w:spacing w:val="-2"/>
                <w:sz w:val="20"/>
              </w:rPr>
              <w:t>&amp;FireSafetyMeasuresAct, 2006.</w:t>
            </w:r>
          </w:p>
        </w:tc>
        <w:tc>
          <w:tcPr>
            <w:tcW w:w="1465" w:type="dxa"/>
          </w:tcPr>
          <w:p>
            <w:pPr>
              <w:pStyle w:val="TableParagraph"/>
              <w:spacing w:before="94"/>
              <w:ind w:left="107"/>
              <w:rPr>
                <w:sz w:val="20"/>
              </w:rPr>
            </w:pPr>
            <w:r>
              <w:rPr>
                <w:spacing w:val="-2"/>
                <w:sz w:val="20"/>
              </w:rPr>
              <w:t>Mustbe registeredwit hDirector,M aharashtra FireServices</w:t>
            </w:r>
          </w:p>
        </w:tc>
        <w:tc>
          <w:tcPr>
            <w:tcW w:w="1645" w:type="dxa"/>
          </w:tcPr>
          <w:p>
            <w:pPr>
              <w:pStyle w:val="TableParagraph"/>
              <w:tabs>
                <w:tab w:pos="853" w:val="left" w:leader="none"/>
                <w:tab w:pos="1229" w:val="left" w:leader="none"/>
              </w:tabs>
              <w:spacing w:before="94"/>
              <w:ind w:left="106" w:right="80"/>
              <w:rPr>
                <w:sz w:val="20"/>
              </w:rPr>
            </w:pPr>
            <w:r>
              <w:rPr>
                <w:spacing w:val="-2"/>
                <w:sz w:val="20"/>
              </w:rPr>
              <w:t>Tocarry</w:t>
            </w:r>
            <w:r>
              <w:rPr>
                <w:sz w:val="20"/>
              </w:rPr>
              <w:tab/>
              <w:tab/>
            </w:r>
            <w:r>
              <w:rPr>
                <w:spacing w:val="-4"/>
                <w:sz w:val="20"/>
              </w:rPr>
              <w:t>out </w:t>
            </w:r>
            <w:r>
              <w:rPr>
                <w:sz w:val="20"/>
              </w:rPr>
              <w:t>work</w:t>
            </w:r>
            <w:r>
              <w:rPr>
                <w:spacing w:val="8"/>
                <w:sz w:val="20"/>
              </w:rPr>
              <w:t> </w:t>
            </w:r>
            <w:r>
              <w:rPr>
                <w:sz w:val="20"/>
              </w:rPr>
              <w:t>relatedto </w:t>
            </w:r>
            <w:r>
              <w:rPr>
                <w:spacing w:val="-2"/>
                <w:sz w:val="20"/>
              </w:rPr>
              <w:t>development permission </w:t>
            </w:r>
            <w:r>
              <w:rPr>
                <w:spacing w:val="-4"/>
                <w:sz w:val="20"/>
              </w:rPr>
              <w:t>with</w:t>
            </w:r>
            <w:r>
              <w:rPr>
                <w:sz w:val="20"/>
              </w:rPr>
              <w:tab/>
            </w:r>
            <w:r>
              <w:rPr>
                <w:spacing w:val="-2"/>
                <w:sz w:val="20"/>
              </w:rPr>
              <w:t>respect toFireSafetym </w:t>
            </w:r>
            <w:r>
              <w:rPr>
                <w:sz w:val="20"/>
              </w:rPr>
              <w:t>easures</w:t>
            </w:r>
            <w:r>
              <w:rPr>
                <w:spacing w:val="-16"/>
                <w:sz w:val="20"/>
              </w:rPr>
              <w:t> </w:t>
            </w:r>
            <w:r>
              <w:rPr>
                <w:sz w:val="20"/>
              </w:rPr>
              <w:t>and</w:t>
            </w:r>
            <w:r>
              <w:rPr>
                <w:spacing w:val="-16"/>
                <w:sz w:val="20"/>
              </w:rPr>
              <w:t> </w:t>
            </w:r>
            <w:r>
              <w:rPr>
                <w:sz w:val="20"/>
              </w:rPr>
              <w:t>to </w:t>
            </w:r>
            <w:r>
              <w:rPr>
                <w:spacing w:val="-2"/>
                <w:sz w:val="20"/>
              </w:rPr>
              <w:t>submit-</w:t>
            </w:r>
          </w:p>
          <w:p>
            <w:pPr>
              <w:pStyle w:val="TableParagraph"/>
              <w:tabs>
                <w:tab w:pos="798" w:val="left" w:leader="none"/>
                <w:tab w:pos="1272" w:val="left" w:leader="none"/>
              </w:tabs>
              <w:spacing w:before="95"/>
              <w:ind w:left="106" w:right="168"/>
              <w:rPr>
                <w:sz w:val="20"/>
              </w:rPr>
            </w:pPr>
            <w:r>
              <w:rPr>
                <w:spacing w:val="-6"/>
                <w:sz w:val="20"/>
              </w:rPr>
              <w:t>a) </w:t>
            </w:r>
            <w:r>
              <w:rPr>
                <w:spacing w:val="-2"/>
                <w:sz w:val="20"/>
              </w:rPr>
              <w:t>Certificate&amp;al </w:t>
            </w:r>
            <w:r>
              <w:rPr>
                <w:spacing w:val="-10"/>
                <w:sz w:val="20"/>
              </w:rPr>
              <w:t>l</w:t>
            </w:r>
            <w:r>
              <w:rPr>
                <w:sz w:val="20"/>
              </w:rPr>
              <w:tab/>
            </w:r>
            <w:r>
              <w:rPr>
                <w:spacing w:val="-2"/>
                <w:sz w:val="20"/>
              </w:rPr>
              <w:t>related information concerned withdevelopm entpermissio </w:t>
            </w:r>
            <w:r>
              <w:rPr>
                <w:spacing w:val="-10"/>
                <w:sz w:val="20"/>
              </w:rPr>
              <w:t>n</w:t>
            </w:r>
            <w:r>
              <w:rPr>
                <w:sz w:val="20"/>
              </w:rPr>
              <w:tab/>
              <w:tab/>
            </w:r>
            <w:r>
              <w:rPr>
                <w:spacing w:val="-5"/>
                <w:sz w:val="20"/>
              </w:rPr>
              <w:t>in</w:t>
            </w:r>
          </w:p>
          <w:p>
            <w:pPr>
              <w:pStyle w:val="TableParagraph"/>
              <w:spacing w:before="1"/>
              <w:ind w:left="106" w:right="100"/>
              <w:rPr>
                <w:sz w:val="20"/>
              </w:rPr>
            </w:pPr>
            <w:r>
              <w:rPr>
                <w:spacing w:val="-2"/>
                <w:sz w:val="20"/>
              </w:rPr>
              <w:t>accordance </w:t>
            </w:r>
            <w:r>
              <w:rPr>
                <w:spacing w:val="-4"/>
                <w:sz w:val="20"/>
              </w:rPr>
              <w:t>with </w:t>
            </w:r>
            <w:r>
              <w:rPr>
                <w:spacing w:val="-2"/>
                <w:sz w:val="20"/>
              </w:rPr>
              <w:t>requiremento fFireAct2008;</w:t>
            </w:r>
          </w:p>
          <w:p>
            <w:pPr>
              <w:pStyle w:val="TableParagraph"/>
              <w:tabs>
                <w:tab w:pos="622" w:val="left" w:leader="none"/>
                <w:tab w:pos="1318" w:val="left" w:leader="none"/>
                <w:tab w:pos="1407" w:val="left" w:leader="none"/>
              </w:tabs>
              <w:spacing w:before="96"/>
              <w:ind w:left="106" w:right="49"/>
              <w:rPr>
                <w:sz w:val="20"/>
              </w:rPr>
            </w:pPr>
            <w:r>
              <w:rPr>
                <w:spacing w:val="-2"/>
                <w:sz w:val="20"/>
              </w:rPr>
              <w:t>b)</w:t>
            </w:r>
            <w:r>
              <w:rPr>
                <w:spacing w:val="-28"/>
                <w:sz w:val="20"/>
              </w:rPr>
              <w:t> </w:t>
            </w:r>
            <w:r>
              <w:rPr>
                <w:spacing w:val="-2"/>
                <w:sz w:val="20"/>
              </w:rPr>
              <w:t>details</w:t>
            </w:r>
            <w:r>
              <w:rPr>
                <w:spacing w:val="-14"/>
                <w:sz w:val="20"/>
              </w:rPr>
              <w:t> </w:t>
            </w:r>
            <w:r>
              <w:rPr>
                <w:spacing w:val="-2"/>
                <w:sz w:val="20"/>
              </w:rPr>
              <w:t>forfire safety measures</w:t>
            </w:r>
            <w:r>
              <w:rPr>
                <w:sz w:val="20"/>
              </w:rPr>
              <w:tab/>
            </w:r>
            <w:r>
              <w:rPr>
                <w:spacing w:val="-4"/>
                <w:sz w:val="20"/>
              </w:rPr>
              <w:t>fo</w:t>
            </w:r>
            <w:r>
              <w:rPr>
                <w:spacing w:val="-4"/>
                <w:sz w:val="20"/>
              </w:rPr>
              <w:t>r</w:t>
            </w:r>
            <w:r>
              <w:rPr>
                <w:spacing w:val="-4"/>
                <w:sz w:val="20"/>
              </w:rPr>
              <w:t> all</w:t>
            </w:r>
            <w:r>
              <w:rPr>
                <w:sz w:val="20"/>
              </w:rPr>
              <w:tab/>
            </w:r>
            <w:r>
              <w:rPr>
                <w:spacing w:val="-2"/>
                <w:sz w:val="20"/>
              </w:rPr>
              <w:t>parts</w:t>
            </w:r>
            <w:r>
              <w:rPr>
                <w:sz w:val="20"/>
              </w:rPr>
              <w:tab/>
              <w:tab/>
            </w:r>
            <w:r>
              <w:rPr>
                <w:spacing w:val="-6"/>
                <w:sz w:val="20"/>
              </w:rPr>
              <w:t>o</w:t>
            </w:r>
            <w:r>
              <w:rPr>
                <w:spacing w:val="-6"/>
                <w:sz w:val="20"/>
              </w:rPr>
              <w:t>f</w:t>
            </w:r>
            <w:r>
              <w:rPr>
                <w:spacing w:val="-6"/>
                <w:sz w:val="20"/>
              </w:rPr>
              <w:t> </w:t>
            </w:r>
            <w:r>
              <w:rPr>
                <w:spacing w:val="-2"/>
                <w:sz w:val="20"/>
              </w:rPr>
              <w:t>building</w:t>
            </w:r>
          </w:p>
          <w:p>
            <w:pPr>
              <w:pStyle w:val="TableParagraph"/>
              <w:tabs>
                <w:tab w:pos="992" w:val="left" w:leader="none"/>
                <w:tab w:pos="1054" w:val="left" w:leader="none"/>
              </w:tabs>
              <w:spacing w:before="96"/>
              <w:ind w:left="106" w:right="49"/>
              <w:rPr>
                <w:sz w:val="20"/>
              </w:rPr>
            </w:pPr>
            <w:r>
              <w:rPr>
                <w:spacing w:val="-2"/>
                <w:sz w:val="20"/>
              </w:rPr>
              <w:t>CompletionCer tificate</w:t>
            </w:r>
            <w:r>
              <w:rPr>
                <w:sz w:val="20"/>
              </w:rPr>
              <w:tab/>
              <w:tab/>
            </w:r>
            <w:r>
              <w:rPr>
                <w:spacing w:val="-2"/>
                <w:sz w:val="20"/>
              </w:rPr>
              <w:t>along </w:t>
            </w:r>
            <w:r>
              <w:rPr>
                <w:sz w:val="20"/>
              </w:rPr>
              <w:t>with</w:t>
            </w:r>
            <w:r>
              <w:rPr>
                <w:spacing w:val="40"/>
                <w:sz w:val="20"/>
              </w:rPr>
              <w:t> </w:t>
            </w:r>
            <w:r>
              <w:rPr>
                <w:sz w:val="20"/>
              </w:rPr>
              <w:t>plans</w:t>
            </w:r>
            <w:r>
              <w:rPr>
                <w:spacing w:val="40"/>
                <w:sz w:val="20"/>
              </w:rPr>
              <w:t> </w:t>
            </w:r>
            <w:r>
              <w:rPr>
                <w:sz w:val="20"/>
              </w:rPr>
              <w:t>for </w:t>
            </w:r>
            <w:r>
              <w:rPr>
                <w:spacing w:val="-2"/>
                <w:sz w:val="20"/>
              </w:rPr>
              <w:t>building </w:t>
            </w:r>
            <w:r>
              <w:rPr>
                <w:sz w:val="20"/>
              </w:rPr>
              <w:t>stating</w:t>
            </w:r>
            <w:r>
              <w:rPr>
                <w:spacing w:val="40"/>
                <w:sz w:val="20"/>
              </w:rPr>
              <w:t> </w:t>
            </w:r>
            <w:r>
              <w:rPr>
                <w:sz w:val="20"/>
              </w:rPr>
              <w:t>all</w:t>
            </w:r>
            <w:r>
              <w:rPr>
                <w:spacing w:val="40"/>
                <w:sz w:val="20"/>
              </w:rPr>
              <w:t> </w:t>
            </w:r>
            <w:r>
              <w:rPr>
                <w:sz w:val="20"/>
              </w:rPr>
              <w:t>fire </w:t>
            </w:r>
            <w:r>
              <w:rPr>
                <w:spacing w:val="-2"/>
                <w:sz w:val="20"/>
              </w:rPr>
              <w:t>safety measuresasper </w:t>
            </w:r>
            <w:r>
              <w:rPr>
                <w:sz w:val="20"/>
              </w:rPr>
              <w:t>CFO</w:t>
            </w:r>
            <w:r>
              <w:rPr>
                <w:spacing w:val="34"/>
                <w:sz w:val="20"/>
              </w:rPr>
              <w:t> </w:t>
            </w:r>
            <w:r>
              <w:rPr>
                <w:sz w:val="20"/>
              </w:rPr>
              <w:t>NOC</w:t>
            </w:r>
            <w:r>
              <w:rPr>
                <w:spacing w:val="34"/>
                <w:sz w:val="20"/>
              </w:rPr>
              <w:t> </w:t>
            </w:r>
            <w:r>
              <w:rPr>
                <w:sz w:val="20"/>
              </w:rPr>
              <w:t>has been</w:t>
            </w:r>
            <w:r>
              <w:rPr>
                <w:spacing w:val="75"/>
                <w:sz w:val="20"/>
              </w:rPr>
              <w:t> </w:t>
            </w:r>
            <w:r>
              <w:rPr>
                <w:sz w:val="20"/>
              </w:rPr>
              <w:t>installed </w:t>
            </w:r>
            <w:r>
              <w:rPr>
                <w:spacing w:val="-4"/>
                <w:sz w:val="20"/>
              </w:rPr>
              <w:t>and</w:t>
            </w:r>
            <w:r>
              <w:rPr>
                <w:sz w:val="20"/>
              </w:rPr>
              <w:tab/>
            </w:r>
            <w:r>
              <w:rPr>
                <w:spacing w:val="-2"/>
                <w:sz w:val="20"/>
              </w:rPr>
              <w:t>tested </w:t>
            </w:r>
            <w:r>
              <w:rPr>
                <w:spacing w:val="-4"/>
                <w:sz w:val="20"/>
              </w:rPr>
              <w:t>with</w:t>
            </w:r>
            <w:r>
              <w:rPr>
                <w:spacing w:val="-2"/>
                <w:sz w:val="20"/>
              </w:rPr>
              <w:t> completion plans.</w:t>
            </w:r>
          </w:p>
        </w:tc>
        <w:tc>
          <w:tcPr>
            <w:tcW w:w="1748" w:type="dxa"/>
          </w:tcPr>
          <w:p>
            <w:pPr>
              <w:pStyle w:val="TableParagraph"/>
              <w:tabs>
                <w:tab w:pos="1382" w:val="left" w:leader="none"/>
              </w:tabs>
              <w:spacing w:before="94"/>
              <w:ind w:left="106" w:right="37"/>
              <w:rPr>
                <w:sz w:val="20"/>
              </w:rPr>
            </w:pPr>
            <w:r>
              <w:rPr>
                <w:spacing w:val="-2"/>
                <w:sz w:val="20"/>
              </w:rPr>
              <w:t>Theconsultant </w:t>
            </w:r>
            <w:r>
              <w:rPr>
                <w:spacing w:val="-5"/>
                <w:sz w:val="20"/>
              </w:rPr>
              <w:t>for</w:t>
            </w:r>
            <w:r>
              <w:rPr>
                <w:sz w:val="20"/>
              </w:rPr>
              <w:tab/>
            </w:r>
            <w:r>
              <w:rPr>
                <w:spacing w:val="-4"/>
                <w:sz w:val="20"/>
              </w:rPr>
              <w:t>fire</w:t>
            </w:r>
          </w:p>
          <w:p>
            <w:pPr>
              <w:pStyle w:val="TableParagraph"/>
              <w:tabs>
                <w:tab w:pos="643" w:val="left" w:leader="none"/>
                <w:tab w:pos="1322" w:val="left" w:leader="none"/>
              </w:tabs>
              <w:ind w:left="106" w:right="37"/>
              <w:rPr>
                <w:sz w:val="20"/>
              </w:rPr>
            </w:pPr>
            <w:r>
              <w:rPr>
                <w:sz w:val="20"/>
              </w:rPr>
              <w:t>protection</w:t>
            </w:r>
            <w:r>
              <w:rPr>
                <w:spacing w:val="30"/>
                <w:sz w:val="20"/>
              </w:rPr>
              <w:t> </w:t>
            </w:r>
            <w:r>
              <w:rPr>
                <w:sz w:val="20"/>
              </w:rPr>
              <w:t>shall </w:t>
            </w:r>
            <w:r>
              <w:rPr>
                <w:spacing w:val="-2"/>
                <w:sz w:val="20"/>
              </w:rPr>
              <w:t>beresponsiblefo rdesign</w:t>
            </w:r>
            <w:r>
              <w:rPr>
                <w:sz w:val="20"/>
              </w:rPr>
              <w:tab/>
            </w:r>
            <w:r>
              <w:rPr>
                <w:spacing w:val="-4"/>
                <w:sz w:val="20"/>
              </w:rPr>
              <w:t>and </w:t>
            </w:r>
            <w:r>
              <w:rPr>
                <w:spacing w:val="-2"/>
                <w:sz w:val="20"/>
              </w:rPr>
              <w:t>implementation </w:t>
            </w:r>
            <w:r>
              <w:rPr>
                <w:spacing w:val="-6"/>
                <w:sz w:val="20"/>
              </w:rPr>
              <w:t>of</w:t>
            </w:r>
            <w:r>
              <w:rPr>
                <w:sz w:val="20"/>
              </w:rPr>
              <w:tab/>
            </w:r>
            <w:r>
              <w:rPr>
                <w:spacing w:val="-2"/>
                <w:sz w:val="20"/>
              </w:rPr>
              <w:t>firefighting system</w:t>
            </w:r>
            <w:r>
              <w:rPr>
                <w:sz w:val="20"/>
              </w:rPr>
              <w:tab/>
            </w:r>
            <w:r>
              <w:rPr>
                <w:spacing w:val="-64"/>
                <w:sz w:val="20"/>
              </w:rPr>
              <w:t> </w:t>
            </w:r>
            <w:r>
              <w:rPr>
                <w:spacing w:val="-5"/>
                <w:sz w:val="20"/>
              </w:rPr>
              <w:t>and</w:t>
            </w:r>
          </w:p>
          <w:p>
            <w:pPr>
              <w:pStyle w:val="TableParagraph"/>
              <w:tabs>
                <w:tab w:pos="756" w:val="left" w:leader="none"/>
                <w:tab w:pos="1303" w:val="left" w:leader="none"/>
                <w:tab w:pos="1385" w:val="left" w:leader="none"/>
                <w:tab w:pos="1433" w:val="left" w:leader="none"/>
                <w:tab w:pos="1505" w:val="left" w:leader="none"/>
              </w:tabs>
              <w:ind w:left="106" w:right="35"/>
              <w:rPr>
                <w:sz w:val="20"/>
              </w:rPr>
            </w:pPr>
            <w:r>
              <w:rPr>
                <w:spacing w:val="-2"/>
                <w:sz w:val="20"/>
              </w:rPr>
              <w:t>shall</w:t>
            </w:r>
            <w:r>
              <w:rPr>
                <w:sz w:val="20"/>
              </w:rPr>
              <w:tab/>
              <w:tab/>
            </w:r>
            <w:r>
              <w:rPr>
                <w:spacing w:val="-4"/>
                <w:sz w:val="20"/>
              </w:rPr>
              <w:t>also </w:t>
            </w:r>
            <w:r>
              <w:rPr>
                <w:spacing w:val="-2"/>
                <w:sz w:val="20"/>
              </w:rPr>
              <w:t>responsible</w:t>
            </w:r>
            <w:r>
              <w:rPr>
                <w:sz w:val="20"/>
              </w:rPr>
              <w:tab/>
              <w:tab/>
              <w:tab/>
            </w:r>
            <w:r>
              <w:rPr>
                <w:spacing w:val="-4"/>
                <w:sz w:val="20"/>
              </w:rPr>
              <w:t>for its </w:t>
            </w:r>
            <w:r>
              <w:rPr>
                <w:spacing w:val="-2"/>
                <w:sz w:val="20"/>
              </w:rPr>
              <w:t>implementation </w:t>
            </w:r>
            <w:r>
              <w:rPr>
                <w:spacing w:val="-6"/>
                <w:sz w:val="20"/>
              </w:rPr>
              <w:t>on</w:t>
            </w:r>
            <w:r>
              <w:rPr>
                <w:sz w:val="20"/>
              </w:rPr>
              <w:tab/>
            </w:r>
            <w:r>
              <w:rPr>
                <w:spacing w:val="-4"/>
                <w:sz w:val="20"/>
              </w:rPr>
              <w:t>site</w:t>
            </w:r>
            <w:r>
              <w:rPr>
                <w:sz w:val="20"/>
              </w:rPr>
              <w:tab/>
              <w:tab/>
              <w:tab/>
              <w:tab/>
            </w:r>
            <w:r>
              <w:rPr>
                <w:spacing w:val="-6"/>
                <w:sz w:val="20"/>
              </w:rPr>
              <w:t>in </w:t>
            </w:r>
            <w:r>
              <w:rPr>
                <w:spacing w:val="-2"/>
                <w:sz w:val="20"/>
              </w:rPr>
              <w:t>consultation </w:t>
            </w:r>
            <w:r>
              <w:rPr>
                <w:spacing w:val="-4"/>
                <w:sz w:val="20"/>
              </w:rPr>
              <w:t>with</w:t>
            </w:r>
            <w:r>
              <w:rPr>
                <w:sz w:val="20"/>
              </w:rPr>
              <w:tab/>
              <w:tab/>
              <w:tab/>
            </w:r>
            <w:r>
              <w:rPr>
                <w:spacing w:val="-4"/>
                <w:sz w:val="20"/>
              </w:rPr>
              <w:t>fire</w:t>
            </w:r>
          </w:p>
          <w:p>
            <w:pPr>
              <w:pStyle w:val="TableParagraph"/>
              <w:ind w:left="106" w:right="499"/>
              <w:rPr>
                <w:sz w:val="20"/>
              </w:rPr>
            </w:pPr>
            <w:r>
              <w:rPr>
                <w:spacing w:val="-2"/>
                <w:sz w:val="20"/>
              </w:rPr>
              <w:t>department ofMCGM.</w:t>
            </w:r>
          </w:p>
        </w:tc>
      </w:tr>
      <w:tr>
        <w:trPr>
          <w:trHeight w:val="2442" w:hRule="atLeast"/>
        </w:trPr>
        <w:tc>
          <w:tcPr>
            <w:tcW w:w="559" w:type="dxa"/>
          </w:tcPr>
          <w:p>
            <w:pPr>
              <w:pStyle w:val="TableParagraph"/>
              <w:spacing w:before="94"/>
              <w:ind w:left="107"/>
              <w:rPr>
                <w:sz w:val="20"/>
              </w:rPr>
            </w:pPr>
            <w:r>
              <w:rPr>
                <w:spacing w:val="-5"/>
                <w:sz w:val="20"/>
              </w:rPr>
              <w:t>12</w:t>
            </w:r>
          </w:p>
        </w:tc>
        <w:tc>
          <w:tcPr>
            <w:tcW w:w="1152" w:type="dxa"/>
          </w:tcPr>
          <w:p>
            <w:pPr>
              <w:pStyle w:val="TableParagraph"/>
              <w:spacing w:before="94"/>
              <w:ind w:left="107" w:right="-39"/>
              <w:rPr>
                <w:sz w:val="20"/>
              </w:rPr>
            </w:pPr>
            <w:r>
              <w:rPr>
                <w:spacing w:val="-2"/>
                <w:sz w:val="20"/>
              </w:rPr>
              <w:t>Consultan </w:t>
            </w:r>
            <w:r>
              <w:rPr>
                <w:sz w:val="20"/>
              </w:rPr>
              <w:t>t for </w:t>
            </w:r>
            <w:r>
              <w:rPr>
                <w:spacing w:val="-2"/>
                <w:sz w:val="20"/>
              </w:rPr>
              <w:t>Heating/ Ventilation </w:t>
            </w:r>
            <w:r>
              <w:rPr>
                <w:sz w:val="20"/>
              </w:rPr>
              <w:t>and Air </w:t>
            </w:r>
            <w:r>
              <w:rPr>
                <w:spacing w:val="-2"/>
                <w:sz w:val="20"/>
              </w:rPr>
              <w:t>Condition (HVAC)</w:t>
            </w:r>
          </w:p>
        </w:tc>
        <w:tc>
          <w:tcPr>
            <w:tcW w:w="2785" w:type="dxa"/>
          </w:tcPr>
          <w:p>
            <w:pPr>
              <w:pStyle w:val="TableParagraph"/>
              <w:spacing w:before="94"/>
              <w:ind w:left="107" w:right="343"/>
              <w:rPr>
                <w:sz w:val="20"/>
              </w:rPr>
            </w:pPr>
            <w:r>
              <w:rPr>
                <w:spacing w:val="-2"/>
                <w:sz w:val="20"/>
              </w:rPr>
              <w:t>HVACConsultantshallb </w:t>
            </w:r>
            <w:r>
              <w:rPr>
                <w:sz w:val="20"/>
              </w:rPr>
              <w:t>e</w:t>
            </w:r>
            <w:r>
              <w:rPr>
                <w:spacing w:val="24"/>
                <w:sz w:val="20"/>
              </w:rPr>
              <w:t> </w:t>
            </w:r>
            <w:r>
              <w:rPr>
                <w:sz w:val="20"/>
              </w:rPr>
              <w:t>agraduateinElectrical </w:t>
            </w:r>
            <w:r>
              <w:rPr>
                <w:spacing w:val="-2"/>
                <w:sz w:val="20"/>
              </w:rPr>
              <w:t>Engineeringandmust</w:t>
            </w:r>
          </w:p>
          <w:p>
            <w:pPr>
              <w:pStyle w:val="TableParagraph"/>
              <w:spacing w:before="95"/>
              <w:ind w:left="107" w:right="287"/>
              <w:jc w:val="both"/>
              <w:rPr>
                <w:sz w:val="20"/>
              </w:rPr>
            </w:pPr>
            <w:r>
              <w:rPr>
                <w:sz w:val="20"/>
              </w:rPr>
              <w:t>possess minimum two years of experience in installation of HVAC</w:t>
            </w:r>
          </w:p>
        </w:tc>
        <w:tc>
          <w:tcPr>
            <w:tcW w:w="1465" w:type="dxa"/>
          </w:tcPr>
          <w:p>
            <w:pPr>
              <w:pStyle w:val="TableParagraph"/>
              <w:rPr>
                <w:rFonts w:ascii="Times New Roman"/>
                <w:sz w:val="18"/>
              </w:rPr>
            </w:pPr>
          </w:p>
        </w:tc>
        <w:tc>
          <w:tcPr>
            <w:tcW w:w="1645" w:type="dxa"/>
          </w:tcPr>
          <w:p>
            <w:pPr>
              <w:pStyle w:val="TableParagraph"/>
              <w:spacing w:before="94"/>
              <w:ind w:left="106" w:right="-15"/>
              <w:jc w:val="both"/>
              <w:rPr>
                <w:sz w:val="20"/>
              </w:rPr>
            </w:pPr>
            <w:r>
              <w:rPr>
                <w:sz w:val="20"/>
              </w:rPr>
              <w:t>Tocarry out work relatedto </w:t>
            </w:r>
            <w:r>
              <w:rPr>
                <w:spacing w:val="-2"/>
                <w:sz w:val="20"/>
              </w:rPr>
              <w:t>HVACsysteman </w:t>
            </w:r>
            <w:r>
              <w:rPr>
                <w:sz w:val="20"/>
              </w:rPr>
              <w:t>d tosubmit</w:t>
            </w:r>
          </w:p>
          <w:p>
            <w:pPr>
              <w:pStyle w:val="TableParagraph"/>
              <w:spacing w:before="95"/>
              <w:ind w:left="106" w:right="100"/>
              <w:rPr>
                <w:sz w:val="20"/>
              </w:rPr>
            </w:pPr>
            <w:r>
              <w:rPr>
                <w:spacing w:val="-6"/>
                <w:sz w:val="20"/>
              </w:rPr>
              <w:t>a) </w:t>
            </w:r>
            <w:r>
              <w:rPr>
                <w:spacing w:val="-2"/>
                <w:sz w:val="20"/>
              </w:rPr>
              <w:t>Certificate&amp;all related information concerned</w:t>
            </w:r>
          </w:p>
        </w:tc>
        <w:tc>
          <w:tcPr>
            <w:tcW w:w="1748" w:type="dxa"/>
          </w:tcPr>
          <w:p>
            <w:pPr>
              <w:pStyle w:val="TableParagraph"/>
              <w:tabs>
                <w:tab w:pos="1322" w:val="left" w:leader="none"/>
              </w:tabs>
              <w:spacing w:before="94"/>
              <w:ind w:left="106" w:right="40"/>
              <w:rPr>
                <w:sz w:val="20"/>
              </w:rPr>
            </w:pPr>
            <w:r>
              <w:rPr>
                <w:sz w:val="20"/>
              </w:rPr>
              <w:t>The</w:t>
            </w:r>
            <w:r>
              <w:rPr>
                <w:spacing w:val="79"/>
                <w:sz w:val="20"/>
              </w:rPr>
              <w:t> </w:t>
            </w:r>
            <w:r>
              <w:rPr>
                <w:sz w:val="20"/>
              </w:rPr>
              <w:t>consultant </w:t>
            </w:r>
            <w:r>
              <w:rPr>
                <w:spacing w:val="-2"/>
                <w:sz w:val="20"/>
              </w:rPr>
              <w:t>forHVA Canberesponsib </w:t>
            </w:r>
            <w:r>
              <w:rPr>
                <w:sz w:val="20"/>
              </w:rPr>
              <w:t>le</w:t>
            </w:r>
            <w:r>
              <w:rPr>
                <w:spacing w:val="33"/>
                <w:sz w:val="20"/>
              </w:rPr>
              <w:t> </w:t>
            </w:r>
            <w:r>
              <w:rPr>
                <w:sz w:val="20"/>
              </w:rPr>
              <w:t>for</w:t>
            </w:r>
            <w:r>
              <w:rPr>
                <w:spacing w:val="34"/>
                <w:sz w:val="20"/>
              </w:rPr>
              <w:t> </w:t>
            </w:r>
            <w:r>
              <w:rPr>
                <w:sz w:val="20"/>
              </w:rPr>
              <w:t>planning, </w:t>
            </w:r>
            <w:r>
              <w:rPr>
                <w:spacing w:val="-2"/>
                <w:sz w:val="20"/>
              </w:rPr>
              <w:t>designing</w:t>
            </w:r>
            <w:r>
              <w:rPr>
                <w:sz w:val="20"/>
              </w:rPr>
              <w:tab/>
            </w:r>
            <w:r>
              <w:rPr>
                <w:spacing w:val="-4"/>
                <w:sz w:val="20"/>
              </w:rPr>
              <w:t>and </w:t>
            </w:r>
            <w:r>
              <w:rPr>
                <w:spacing w:val="-2"/>
                <w:sz w:val="20"/>
              </w:rPr>
              <w:t>implementation </w:t>
            </w:r>
            <w:r>
              <w:rPr>
                <w:spacing w:val="-6"/>
                <w:sz w:val="20"/>
              </w:rPr>
              <w:t>of </w:t>
            </w:r>
            <w:r>
              <w:rPr>
                <w:spacing w:val="-2"/>
                <w:sz w:val="20"/>
              </w:rPr>
              <w:t>HVACsystemas</w:t>
            </w:r>
          </w:p>
          <w:p>
            <w:pPr>
              <w:pStyle w:val="TableParagraph"/>
              <w:spacing w:line="232" w:lineRule="exact"/>
              <w:ind w:left="106"/>
              <w:rPr>
                <w:sz w:val="20"/>
              </w:rPr>
            </w:pPr>
            <w:r>
              <w:rPr>
                <w:spacing w:val="-4"/>
                <w:sz w:val="20"/>
              </w:rPr>
              <w:t>per </w:t>
            </w:r>
            <w:r>
              <w:rPr>
                <w:spacing w:val="-2"/>
                <w:sz w:val="20"/>
              </w:rPr>
              <w:t>theNBCandrelev</w:t>
            </w:r>
          </w:p>
        </w:tc>
      </w:tr>
    </w:tbl>
    <w:p>
      <w:pPr>
        <w:pStyle w:val="TableParagraph"/>
        <w:spacing w:after="0" w:line="232" w:lineRule="exact"/>
        <w:rPr>
          <w:sz w:val="20"/>
        </w:rPr>
        <w:sectPr>
          <w:pgSz w:w="11910" w:h="16850"/>
          <w:pgMar w:header="1022" w:footer="1070" w:top="1460" w:bottom="1260" w:left="360" w:right="360"/>
        </w:sectPr>
      </w:pPr>
    </w:p>
    <w:p>
      <w:pPr>
        <w:pStyle w:val="BodyText"/>
        <w:spacing w:before="44"/>
        <w:jc w:val="left"/>
        <w:rPr>
          <w:b/>
          <w:sz w:val="20"/>
        </w:rPr>
      </w:pPr>
    </w:p>
    <w:tbl>
      <w:tblPr>
        <w:tblW w:w="0" w:type="auto"/>
        <w:jc w:val="left"/>
        <w:tblInd w:w="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1152"/>
        <w:gridCol w:w="2785"/>
        <w:gridCol w:w="1465"/>
        <w:gridCol w:w="1645"/>
        <w:gridCol w:w="1748"/>
      </w:tblGrid>
      <w:tr>
        <w:trPr>
          <w:trHeight w:val="638" w:hRule="atLeast"/>
        </w:trPr>
        <w:tc>
          <w:tcPr>
            <w:tcW w:w="559" w:type="dxa"/>
            <w:shd w:val="clear" w:color="auto" w:fill="E7E6E6"/>
          </w:tcPr>
          <w:p>
            <w:pPr>
              <w:pStyle w:val="TableParagraph"/>
              <w:spacing w:before="94"/>
              <w:ind w:left="107" w:right="150"/>
              <w:rPr>
                <w:sz w:val="20"/>
              </w:rPr>
            </w:pPr>
            <w:r>
              <w:rPr>
                <w:spacing w:val="-4"/>
                <w:sz w:val="20"/>
              </w:rPr>
              <w:t>Sr. </w:t>
            </w:r>
            <w:r>
              <w:rPr>
                <w:spacing w:val="-5"/>
                <w:sz w:val="20"/>
              </w:rPr>
              <w:t>No</w:t>
            </w:r>
          </w:p>
        </w:tc>
        <w:tc>
          <w:tcPr>
            <w:tcW w:w="1152" w:type="dxa"/>
            <w:shd w:val="clear" w:color="auto" w:fill="E7E6E6"/>
          </w:tcPr>
          <w:p>
            <w:pPr>
              <w:pStyle w:val="TableParagraph"/>
              <w:spacing w:before="94"/>
              <w:ind w:left="107" w:right="161"/>
              <w:rPr>
                <w:sz w:val="20"/>
              </w:rPr>
            </w:pPr>
            <w:r>
              <w:rPr>
                <w:spacing w:val="-2"/>
                <w:sz w:val="20"/>
              </w:rPr>
              <w:t>Professio </w:t>
            </w:r>
            <w:r>
              <w:rPr>
                <w:spacing w:val="-4"/>
                <w:sz w:val="20"/>
              </w:rPr>
              <w:t>nals</w:t>
            </w:r>
          </w:p>
        </w:tc>
        <w:tc>
          <w:tcPr>
            <w:tcW w:w="2785" w:type="dxa"/>
            <w:shd w:val="clear" w:color="auto" w:fill="E7E6E6"/>
          </w:tcPr>
          <w:p>
            <w:pPr>
              <w:pStyle w:val="TableParagraph"/>
              <w:spacing w:before="94"/>
              <w:ind w:left="107"/>
              <w:rPr>
                <w:sz w:val="20"/>
              </w:rPr>
            </w:pPr>
            <w:r>
              <w:rPr>
                <w:spacing w:val="-2"/>
                <w:sz w:val="20"/>
              </w:rPr>
              <w:t>Qualification</w:t>
            </w:r>
          </w:p>
        </w:tc>
        <w:tc>
          <w:tcPr>
            <w:tcW w:w="1465" w:type="dxa"/>
            <w:shd w:val="clear" w:color="auto" w:fill="E7E6E6"/>
          </w:tcPr>
          <w:p>
            <w:pPr>
              <w:pStyle w:val="TableParagraph"/>
              <w:spacing w:before="94"/>
              <w:ind w:left="107"/>
              <w:rPr>
                <w:sz w:val="20"/>
              </w:rPr>
            </w:pPr>
            <w:r>
              <w:rPr>
                <w:spacing w:val="-2"/>
                <w:sz w:val="20"/>
              </w:rPr>
              <w:t>Registration</w:t>
            </w:r>
          </w:p>
        </w:tc>
        <w:tc>
          <w:tcPr>
            <w:tcW w:w="1645" w:type="dxa"/>
            <w:shd w:val="clear" w:color="auto" w:fill="E7E6E6"/>
          </w:tcPr>
          <w:p>
            <w:pPr>
              <w:pStyle w:val="TableParagraph"/>
              <w:spacing w:before="94"/>
              <w:ind w:left="106"/>
              <w:rPr>
                <w:sz w:val="20"/>
              </w:rPr>
            </w:pPr>
            <w:r>
              <w:rPr>
                <w:spacing w:val="-2"/>
                <w:sz w:val="20"/>
              </w:rPr>
              <w:t>Duties</w:t>
            </w:r>
          </w:p>
        </w:tc>
        <w:tc>
          <w:tcPr>
            <w:tcW w:w="1748" w:type="dxa"/>
            <w:shd w:val="clear" w:color="auto" w:fill="E7E6E6"/>
          </w:tcPr>
          <w:p>
            <w:pPr>
              <w:pStyle w:val="TableParagraph"/>
              <w:spacing w:before="94"/>
              <w:ind w:left="106"/>
              <w:rPr>
                <w:sz w:val="20"/>
              </w:rPr>
            </w:pPr>
            <w:r>
              <w:rPr>
                <w:spacing w:val="-2"/>
                <w:sz w:val="20"/>
              </w:rPr>
              <w:t>Responsibilities</w:t>
            </w:r>
          </w:p>
        </w:tc>
      </w:tr>
      <w:tr>
        <w:trPr>
          <w:trHeight w:val="3552" w:hRule="atLeast"/>
        </w:trPr>
        <w:tc>
          <w:tcPr>
            <w:tcW w:w="559" w:type="dxa"/>
          </w:tcPr>
          <w:p>
            <w:pPr>
              <w:pStyle w:val="TableParagraph"/>
              <w:rPr>
                <w:rFonts w:ascii="Times New Roman"/>
                <w:sz w:val="20"/>
              </w:rPr>
            </w:pPr>
          </w:p>
        </w:tc>
        <w:tc>
          <w:tcPr>
            <w:tcW w:w="1152" w:type="dxa"/>
          </w:tcPr>
          <w:p>
            <w:pPr>
              <w:pStyle w:val="TableParagraph"/>
              <w:rPr>
                <w:rFonts w:ascii="Times New Roman"/>
                <w:sz w:val="20"/>
              </w:rPr>
            </w:pPr>
          </w:p>
        </w:tc>
        <w:tc>
          <w:tcPr>
            <w:tcW w:w="2785" w:type="dxa"/>
          </w:tcPr>
          <w:p>
            <w:pPr>
              <w:pStyle w:val="TableParagraph"/>
              <w:rPr>
                <w:rFonts w:ascii="Times New Roman"/>
                <w:sz w:val="20"/>
              </w:rPr>
            </w:pPr>
          </w:p>
        </w:tc>
        <w:tc>
          <w:tcPr>
            <w:tcW w:w="1465" w:type="dxa"/>
          </w:tcPr>
          <w:p>
            <w:pPr>
              <w:pStyle w:val="TableParagraph"/>
              <w:rPr>
                <w:rFonts w:ascii="Times New Roman"/>
                <w:sz w:val="20"/>
              </w:rPr>
            </w:pPr>
          </w:p>
        </w:tc>
        <w:tc>
          <w:tcPr>
            <w:tcW w:w="1645" w:type="dxa"/>
          </w:tcPr>
          <w:p>
            <w:pPr>
              <w:pStyle w:val="TableParagraph"/>
              <w:spacing w:line="233" w:lineRule="exact"/>
              <w:ind w:left="106"/>
              <w:rPr>
                <w:sz w:val="20"/>
              </w:rPr>
            </w:pPr>
            <w:r>
              <w:rPr>
                <w:spacing w:val="-2"/>
                <w:sz w:val="20"/>
              </w:rPr>
              <w:t>withHVAC;</w:t>
            </w:r>
          </w:p>
          <w:p>
            <w:pPr>
              <w:pStyle w:val="TableParagraph"/>
              <w:tabs>
                <w:tab w:pos="920" w:val="left" w:leader="none"/>
              </w:tabs>
              <w:spacing w:before="96"/>
              <w:ind w:left="106" w:right="78"/>
              <w:rPr>
                <w:sz w:val="20"/>
              </w:rPr>
            </w:pPr>
            <w:r>
              <w:rPr>
                <w:spacing w:val="-6"/>
                <w:sz w:val="20"/>
              </w:rPr>
              <w:t>b)</w:t>
            </w:r>
            <w:r>
              <w:rPr>
                <w:sz w:val="20"/>
              </w:rPr>
              <w:tab/>
            </w:r>
            <w:r>
              <w:rPr>
                <w:spacing w:val="-4"/>
                <w:sz w:val="20"/>
              </w:rPr>
              <w:t>detail</w:t>
            </w:r>
            <w:r>
              <w:rPr>
                <w:spacing w:val="-4"/>
                <w:sz w:val="20"/>
              </w:rPr>
              <w:t>s</w:t>
            </w:r>
            <w:r>
              <w:rPr>
                <w:spacing w:val="-4"/>
                <w:sz w:val="20"/>
              </w:rPr>
              <w:t> </w:t>
            </w:r>
            <w:r>
              <w:rPr>
                <w:spacing w:val="-2"/>
                <w:sz w:val="20"/>
              </w:rPr>
              <w:t>forHVACfor implementatio </w:t>
            </w:r>
            <w:r>
              <w:rPr>
                <w:spacing w:val="-6"/>
                <w:sz w:val="20"/>
              </w:rPr>
              <w:t>n.</w:t>
            </w:r>
          </w:p>
          <w:p>
            <w:pPr>
              <w:pStyle w:val="TableParagraph"/>
              <w:tabs>
                <w:tab w:pos="893" w:val="left" w:leader="none"/>
                <w:tab w:pos="1018" w:val="left" w:leader="none"/>
              </w:tabs>
              <w:spacing w:before="95"/>
              <w:ind w:left="106" w:right="80"/>
              <w:rPr>
                <w:sz w:val="20"/>
              </w:rPr>
            </w:pPr>
            <w:r>
              <w:rPr>
                <w:spacing w:val="-2"/>
                <w:sz w:val="20"/>
              </w:rPr>
              <w:t>CompletionCe </w:t>
            </w:r>
            <w:r>
              <w:rPr>
                <w:sz w:val="20"/>
              </w:rPr>
              <w:t>rtificate</w:t>
            </w:r>
            <w:r>
              <w:rPr>
                <w:spacing w:val="68"/>
                <w:sz w:val="20"/>
              </w:rPr>
              <w:t> </w:t>
            </w:r>
            <w:r>
              <w:rPr>
                <w:sz w:val="20"/>
              </w:rPr>
              <w:t>along </w:t>
            </w:r>
            <w:r>
              <w:rPr>
                <w:spacing w:val="-4"/>
                <w:sz w:val="20"/>
              </w:rPr>
              <w:t>with</w:t>
            </w:r>
            <w:r>
              <w:rPr>
                <w:sz w:val="20"/>
              </w:rPr>
              <w:tab/>
              <w:tab/>
            </w:r>
            <w:r>
              <w:rPr>
                <w:spacing w:val="-4"/>
                <w:sz w:val="20"/>
              </w:rPr>
              <w:t>plans with </w:t>
            </w:r>
            <w:r>
              <w:rPr>
                <w:spacing w:val="-2"/>
                <w:sz w:val="20"/>
              </w:rPr>
              <w:t>respecttoHVA </w:t>
            </w:r>
            <w:r>
              <w:rPr>
                <w:sz w:val="20"/>
              </w:rPr>
              <w:t>C</w:t>
            </w:r>
            <w:r>
              <w:rPr>
                <w:spacing w:val="29"/>
                <w:sz w:val="20"/>
              </w:rPr>
              <w:t> </w:t>
            </w:r>
            <w:r>
              <w:rPr>
                <w:sz w:val="20"/>
              </w:rPr>
              <w:t>installation, </w:t>
            </w:r>
            <w:r>
              <w:rPr>
                <w:spacing w:val="-2"/>
                <w:sz w:val="20"/>
              </w:rPr>
              <w:t>their</w:t>
            </w:r>
            <w:r>
              <w:rPr>
                <w:sz w:val="20"/>
              </w:rPr>
              <w:tab/>
            </w:r>
            <w:r>
              <w:rPr>
                <w:spacing w:val="-2"/>
                <w:sz w:val="20"/>
              </w:rPr>
              <w:t>testing</w:t>
            </w:r>
          </w:p>
          <w:p>
            <w:pPr>
              <w:pStyle w:val="TableParagraph"/>
              <w:tabs>
                <w:tab w:pos="912" w:val="left" w:leader="none"/>
              </w:tabs>
              <w:spacing w:before="2"/>
              <w:ind w:left="106" w:right="82"/>
              <w:rPr>
                <w:sz w:val="20"/>
              </w:rPr>
            </w:pPr>
            <w:r>
              <w:rPr>
                <w:spacing w:val="-4"/>
                <w:sz w:val="20"/>
              </w:rPr>
              <w:t>and</w:t>
            </w:r>
            <w:r>
              <w:rPr>
                <w:sz w:val="20"/>
              </w:rPr>
              <w:tab/>
            </w:r>
            <w:r>
              <w:rPr>
                <w:spacing w:val="-2"/>
                <w:sz w:val="20"/>
              </w:rPr>
              <w:t>proper functioning.</w:t>
            </w:r>
          </w:p>
        </w:tc>
        <w:tc>
          <w:tcPr>
            <w:tcW w:w="1748" w:type="dxa"/>
          </w:tcPr>
          <w:p>
            <w:pPr>
              <w:pStyle w:val="TableParagraph"/>
              <w:tabs>
                <w:tab w:pos="756" w:val="left" w:leader="none"/>
                <w:tab w:pos="1519" w:val="left" w:leader="none"/>
              </w:tabs>
              <w:ind w:left="106" w:right="42"/>
              <w:rPr>
                <w:sz w:val="20"/>
              </w:rPr>
            </w:pPr>
            <w:r>
              <w:rPr>
                <w:spacing w:val="-4"/>
                <w:sz w:val="20"/>
              </w:rPr>
              <w:t>ant</w:t>
            </w:r>
            <w:r>
              <w:rPr>
                <w:sz w:val="20"/>
              </w:rPr>
              <w:tab/>
            </w:r>
            <w:r>
              <w:rPr>
                <w:spacing w:val="-4"/>
                <w:sz w:val="20"/>
              </w:rPr>
              <w:t>code</w:t>
            </w:r>
            <w:r>
              <w:rPr>
                <w:sz w:val="20"/>
              </w:rPr>
              <w:tab/>
            </w:r>
            <w:r>
              <w:rPr>
                <w:spacing w:val="-6"/>
                <w:sz w:val="20"/>
              </w:rPr>
              <w:t>of </w:t>
            </w:r>
            <w:r>
              <w:rPr>
                <w:spacing w:val="-2"/>
                <w:sz w:val="20"/>
              </w:rPr>
              <w:t>practices.</w:t>
            </w:r>
          </w:p>
        </w:tc>
      </w:tr>
      <w:tr>
        <w:trPr>
          <w:trHeight w:val="7265" w:hRule="atLeast"/>
        </w:trPr>
        <w:tc>
          <w:tcPr>
            <w:tcW w:w="559" w:type="dxa"/>
          </w:tcPr>
          <w:p>
            <w:pPr>
              <w:pStyle w:val="TableParagraph"/>
              <w:spacing w:before="94"/>
              <w:ind w:left="107"/>
              <w:rPr>
                <w:sz w:val="20"/>
              </w:rPr>
            </w:pPr>
            <w:r>
              <w:rPr>
                <w:spacing w:val="-5"/>
                <w:sz w:val="20"/>
              </w:rPr>
              <w:t>13</w:t>
            </w:r>
          </w:p>
        </w:tc>
        <w:tc>
          <w:tcPr>
            <w:tcW w:w="1152" w:type="dxa"/>
          </w:tcPr>
          <w:p>
            <w:pPr>
              <w:pStyle w:val="TableParagraph"/>
              <w:spacing w:before="94"/>
              <w:ind w:left="107" w:right="-29"/>
              <w:rPr>
                <w:sz w:val="20"/>
              </w:rPr>
            </w:pPr>
            <w:r>
              <w:rPr>
                <w:spacing w:val="-2"/>
                <w:sz w:val="20"/>
              </w:rPr>
              <w:t>Consultan </w:t>
            </w:r>
            <w:r>
              <w:rPr>
                <w:sz w:val="20"/>
              </w:rPr>
              <w:t>t for Solid </w:t>
            </w:r>
            <w:r>
              <w:rPr>
                <w:spacing w:val="-2"/>
                <w:sz w:val="20"/>
              </w:rPr>
              <w:t>Waste Manageme nt(SWM)</w:t>
            </w:r>
          </w:p>
        </w:tc>
        <w:tc>
          <w:tcPr>
            <w:tcW w:w="2785" w:type="dxa"/>
          </w:tcPr>
          <w:p>
            <w:pPr>
              <w:pStyle w:val="TableParagraph"/>
              <w:tabs>
                <w:tab w:pos="505" w:val="left" w:leader="none"/>
                <w:tab w:pos="1096" w:val="left" w:leader="none"/>
                <w:tab w:pos="1379" w:val="left" w:leader="none"/>
                <w:tab w:pos="1476" w:val="left" w:leader="none"/>
                <w:tab w:pos="2256" w:val="left" w:leader="none"/>
              </w:tabs>
              <w:spacing w:before="94"/>
              <w:ind w:left="107" w:right="342"/>
              <w:rPr>
                <w:sz w:val="20"/>
              </w:rPr>
            </w:pPr>
            <w:r>
              <w:rPr>
                <w:spacing w:val="-2"/>
                <w:sz w:val="20"/>
              </w:rPr>
              <w:t>SWMConsultantshallbe </w:t>
            </w:r>
            <w:r>
              <w:rPr>
                <w:spacing w:val="-10"/>
                <w:sz w:val="20"/>
              </w:rPr>
              <w:t>a</w:t>
            </w:r>
            <w:r>
              <w:rPr>
                <w:sz w:val="20"/>
              </w:rPr>
              <w:tab/>
              <w:tab/>
              <w:tab/>
            </w:r>
            <w:r>
              <w:rPr>
                <w:spacing w:val="-2"/>
                <w:sz w:val="20"/>
              </w:rPr>
              <w:t>graduatein Civil/Environmental EngineeringorEnviron- mentalPlanningandmu </w:t>
            </w:r>
            <w:r>
              <w:rPr>
                <w:spacing w:val="-6"/>
                <w:sz w:val="20"/>
              </w:rPr>
              <w:t>st</w:t>
            </w:r>
            <w:r>
              <w:rPr>
                <w:sz w:val="20"/>
              </w:rPr>
              <w:tab/>
            </w:r>
            <w:r>
              <w:rPr>
                <w:spacing w:val="-2"/>
                <w:sz w:val="20"/>
              </w:rPr>
              <w:t>possess</w:t>
            </w:r>
            <w:r>
              <w:rPr>
                <w:sz w:val="20"/>
              </w:rPr>
              <w:tab/>
              <w:tab/>
            </w:r>
            <w:r>
              <w:rPr>
                <w:spacing w:val="-2"/>
                <w:sz w:val="20"/>
              </w:rPr>
              <w:t>minimum </w:t>
            </w:r>
            <w:r>
              <w:rPr>
                <w:spacing w:val="-4"/>
                <w:sz w:val="20"/>
              </w:rPr>
              <w:t>two</w:t>
            </w:r>
            <w:r>
              <w:rPr>
                <w:sz w:val="20"/>
              </w:rPr>
              <w:tab/>
              <w:tab/>
            </w:r>
            <w:r>
              <w:rPr>
                <w:spacing w:val="-4"/>
                <w:sz w:val="20"/>
              </w:rPr>
              <w:t>years</w:t>
            </w:r>
            <w:r>
              <w:rPr>
                <w:sz w:val="20"/>
              </w:rPr>
              <w:tab/>
            </w:r>
            <w:r>
              <w:rPr>
                <w:spacing w:val="-6"/>
                <w:sz w:val="20"/>
              </w:rPr>
              <w:t>of </w:t>
            </w:r>
            <w:r>
              <w:rPr>
                <w:spacing w:val="-2"/>
                <w:sz w:val="20"/>
              </w:rPr>
              <w:t>experienceinfieldofSWM</w:t>
            </w:r>
          </w:p>
          <w:p>
            <w:pPr>
              <w:pStyle w:val="TableParagraph"/>
              <w:spacing w:line="233" w:lineRule="exact"/>
              <w:ind w:left="107"/>
              <w:rPr>
                <w:sz w:val="20"/>
              </w:rPr>
            </w:pPr>
            <w:r>
              <w:rPr>
                <w:spacing w:val="-10"/>
                <w:sz w:val="20"/>
              </w:rPr>
              <w:t>.</w:t>
            </w:r>
          </w:p>
        </w:tc>
        <w:tc>
          <w:tcPr>
            <w:tcW w:w="1465" w:type="dxa"/>
          </w:tcPr>
          <w:p>
            <w:pPr>
              <w:pStyle w:val="TableParagraph"/>
              <w:rPr>
                <w:rFonts w:ascii="Times New Roman"/>
                <w:sz w:val="20"/>
              </w:rPr>
            </w:pPr>
          </w:p>
        </w:tc>
        <w:tc>
          <w:tcPr>
            <w:tcW w:w="1645" w:type="dxa"/>
          </w:tcPr>
          <w:p>
            <w:pPr>
              <w:pStyle w:val="TableParagraph"/>
              <w:spacing w:before="94"/>
              <w:ind w:left="106" w:right="90"/>
              <w:rPr>
                <w:sz w:val="20"/>
              </w:rPr>
            </w:pPr>
            <w:r>
              <w:rPr>
                <w:sz w:val="20"/>
              </w:rPr>
              <w:t>Tocarry out work</w:t>
            </w:r>
            <w:r>
              <w:rPr>
                <w:spacing w:val="-7"/>
                <w:sz w:val="20"/>
              </w:rPr>
              <w:t> </w:t>
            </w:r>
            <w:r>
              <w:rPr>
                <w:sz w:val="20"/>
              </w:rPr>
              <w:t>relatedto </w:t>
            </w:r>
            <w:r>
              <w:rPr>
                <w:spacing w:val="-2"/>
                <w:sz w:val="20"/>
              </w:rPr>
              <w:t>SWMsysteman </w:t>
            </w:r>
            <w:r>
              <w:rPr>
                <w:sz w:val="20"/>
              </w:rPr>
              <w:t>d tosubmit-</w:t>
            </w:r>
          </w:p>
          <w:p>
            <w:pPr>
              <w:pStyle w:val="TableParagraph"/>
              <w:spacing w:before="95"/>
              <w:ind w:left="106" w:right="100"/>
              <w:rPr>
                <w:sz w:val="20"/>
              </w:rPr>
            </w:pPr>
            <w:r>
              <w:rPr>
                <w:spacing w:val="-6"/>
                <w:sz w:val="20"/>
              </w:rPr>
              <w:t>a) </w:t>
            </w:r>
            <w:r>
              <w:rPr>
                <w:spacing w:val="-2"/>
                <w:sz w:val="20"/>
              </w:rPr>
              <w:t>Certificate&amp;all related information concerned withSWM;</w:t>
            </w:r>
          </w:p>
          <w:p>
            <w:pPr>
              <w:pStyle w:val="TableParagraph"/>
              <w:spacing w:before="97"/>
              <w:ind w:left="106" w:right="221"/>
              <w:rPr>
                <w:sz w:val="20"/>
              </w:rPr>
            </w:pPr>
            <w:r>
              <w:rPr>
                <w:sz w:val="20"/>
              </w:rPr>
              <w:t>b) Detailsfor </w:t>
            </w:r>
            <w:r>
              <w:rPr>
                <w:spacing w:val="-2"/>
                <w:sz w:val="20"/>
              </w:rPr>
              <w:t>SWMforimple mentation regarding waste segregation, onsite treatment </w:t>
            </w:r>
            <w:r>
              <w:rPr>
                <w:sz w:val="20"/>
              </w:rPr>
              <w:t>and</w:t>
            </w:r>
            <w:r>
              <w:rPr>
                <w:spacing w:val="-16"/>
                <w:sz w:val="20"/>
              </w:rPr>
              <w:t> </w:t>
            </w:r>
            <w:r>
              <w:rPr>
                <w:sz w:val="20"/>
              </w:rPr>
              <w:t>disposal.</w:t>
            </w:r>
          </w:p>
          <w:p>
            <w:pPr>
              <w:pStyle w:val="TableParagraph"/>
              <w:spacing w:before="95"/>
              <w:ind w:left="106"/>
              <w:rPr>
                <w:sz w:val="20"/>
              </w:rPr>
            </w:pPr>
            <w:r>
              <w:rPr>
                <w:spacing w:val="-6"/>
                <w:sz w:val="20"/>
              </w:rPr>
              <w:t>c) </w:t>
            </w:r>
            <w:r>
              <w:rPr>
                <w:spacing w:val="-2"/>
                <w:sz w:val="20"/>
              </w:rPr>
              <w:t>CompletionCert </w:t>
            </w:r>
            <w:r>
              <w:rPr>
                <w:sz w:val="20"/>
              </w:rPr>
              <w:t>ificate along with</w:t>
            </w:r>
            <w:r>
              <w:rPr>
                <w:spacing w:val="-12"/>
                <w:sz w:val="20"/>
              </w:rPr>
              <w:t> </w:t>
            </w:r>
            <w:r>
              <w:rPr>
                <w:sz w:val="20"/>
              </w:rPr>
              <w:t>plans</w:t>
            </w:r>
            <w:r>
              <w:rPr>
                <w:spacing w:val="-13"/>
                <w:sz w:val="20"/>
              </w:rPr>
              <w:t> </w:t>
            </w:r>
            <w:r>
              <w:rPr>
                <w:sz w:val="20"/>
              </w:rPr>
              <w:t>with respect</w:t>
            </w:r>
            <w:r>
              <w:rPr>
                <w:spacing w:val="-16"/>
                <w:sz w:val="20"/>
              </w:rPr>
              <w:t> </w:t>
            </w:r>
            <w:r>
              <w:rPr>
                <w:sz w:val="20"/>
              </w:rPr>
              <w:t>to</w:t>
            </w:r>
            <w:r>
              <w:rPr>
                <w:spacing w:val="-16"/>
                <w:sz w:val="20"/>
              </w:rPr>
              <w:t> </w:t>
            </w:r>
            <w:r>
              <w:rPr>
                <w:sz w:val="20"/>
              </w:rPr>
              <w:t>SWM </w:t>
            </w:r>
            <w:r>
              <w:rPr>
                <w:spacing w:val="-2"/>
                <w:sz w:val="20"/>
              </w:rPr>
              <w:t>system installation, </w:t>
            </w:r>
            <w:r>
              <w:rPr>
                <w:sz w:val="20"/>
              </w:rPr>
              <w:t>their testing and proper </w:t>
            </w:r>
            <w:r>
              <w:rPr>
                <w:spacing w:val="-2"/>
                <w:sz w:val="20"/>
              </w:rPr>
              <w:t>functioning.</w:t>
            </w:r>
          </w:p>
        </w:tc>
        <w:tc>
          <w:tcPr>
            <w:tcW w:w="1748" w:type="dxa"/>
          </w:tcPr>
          <w:p>
            <w:pPr>
              <w:pStyle w:val="TableParagraph"/>
              <w:tabs>
                <w:tab w:pos="778" w:val="left" w:leader="none"/>
                <w:tab w:pos="1264" w:val="left" w:leader="none"/>
                <w:tab w:pos="1462" w:val="left" w:leader="none"/>
              </w:tabs>
              <w:spacing w:before="94"/>
              <w:ind w:left="106" w:right="99"/>
              <w:rPr>
                <w:sz w:val="20"/>
              </w:rPr>
            </w:pPr>
            <w:r>
              <w:rPr>
                <w:sz w:val="20"/>
              </w:rPr>
              <w:t>The</w:t>
            </w:r>
            <w:r>
              <w:rPr>
                <w:spacing w:val="22"/>
                <w:sz w:val="20"/>
              </w:rPr>
              <w:t> </w:t>
            </w:r>
            <w:r>
              <w:rPr>
                <w:sz w:val="20"/>
              </w:rPr>
              <w:t>consultant </w:t>
            </w:r>
            <w:r>
              <w:rPr>
                <w:spacing w:val="-2"/>
                <w:sz w:val="20"/>
              </w:rPr>
              <w:t>forSWMshallbe </w:t>
            </w:r>
            <w:r>
              <w:rPr>
                <w:sz w:val="20"/>
              </w:rPr>
              <w:t>responsible</w:t>
            </w:r>
            <w:r>
              <w:rPr>
                <w:spacing w:val="40"/>
                <w:sz w:val="20"/>
              </w:rPr>
              <w:t> </w:t>
            </w:r>
            <w:r>
              <w:rPr>
                <w:sz w:val="20"/>
              </w:rPr>
              <w:t>for </w:t>
            </w:r>
            <w:r>
              <w:rPr>
                <w:spacing w:val="-2"/>
                <w:sz w:val="20"/>
              </w:rPr>
              <w:t>planning, designing</w:t>
            </w:r>
            <w:r>
              <w:rPr>
                <w:sz w:val="20"/>
              </w:rPr>
              <w:tab/>
            </w:r>
            <w:r>
              <w:rPr>
                <w:spacing w:val="-4"/>
                <w:sz w:val="20"/>
              </w:rPr>
              <w:t>and </w:t>
            </w:r>
            <w:r>
              <w:rPr>
                <w:spacing w:val="-2"/>
                <w:sz w:val="20"/>
              </w:rPr>
              <w:t>implementation ofSWMsystema </w:t>
            </w:r>
            <w:r>
              <w:rPr>
                <w:spacing w:val="-4"/>
                <w:sz w:val="20"/>
              </w:rPr>
              <w:t>sper </w:t>
            </w:r>
            <w:r>
              <w:rPr>
                <w:spacing w:val="-2"/>
                <w:sz w:val="20"/>
              </w:rPr>
              <w:t>theNBCandrele </w:t>
            </w:r>
            <w:r>
              <w:rPr>
                <w:spacing w:val="-4"/>
                <w:sz w:val="20"/>
              </w:rPr>
              <w:t>vant</w:t>
            </w:r>
            <w:r>
              <w:rPr>
                <w:sz w:val="20"/>
              </w:rPr>
              <w:tab/>
            </w:r>
            <w:r>
              <w:rPr>
                <w:spacing w:val="-4"/>
                <w:sz w:val="20"/>
              </w:rPr>
              <w:t>code</w:t>
            </w:r>
            <w:r>
              <w:rPr>
                <w:sz w:val="20"/>
              </w:rPr>
              <w:tab/>
              <w:tab/>
            </w:r>
            <w:r>
              <w:rPr>
                <w:spacing w:val="-6"/>
                <w:sz w:val="20"/>
              </w:rPr>
              <w:t>of </w:t>
            </w:r>
            <w:r>
              <w:rPr>
                <w:spacing w:val="-2"/>
                <w:sz w:val="20"/>
              </w:rPr>
              <w:t>practices.</w:t>
            </w:r>
          </w:p>
        </w:tc>
      </w:tr>
    </w:tbl>
    <w:p>
      <w:pPr>
        <w:pStyle w:val="Heading5"/>
        <w:spacing w:line="281" w:lineRule="exact" w:before="280"/>
        <w:ind w:left="864"/>
      </w:pPr>
      <w:r>
        <w:rPr/>
        <w:t>Note-:</w:t>
      </w:r>
      <w:r>
        <w:rPr>
          <w:spacing w:val="-3"/>
        </w:rPr>
        <w:t> </w:t>
      </w:r>
      <w:r>
        <w:rPr/>
        <w:t>Latent</w:t>
      </w:r>
      <w:r>
        <w:rPr>
          <w:spacing w:val="-3"/>
        </w:rPr>
        <w:t> </w:t>
      </w:r>
      <w:r>
        <w:rPr/>
        <w:t>Defect</w:t>
      </w:r>
      <w:r>
        <w:rPr>
          <w:spacing w:val="-3"/>
        </w:rPr>
        <w:t> </w:t>
      </w:r>
      <w:r>
        <w:rPr/>
        <w:t>Liability</w:t>
      </w:r>
      <w:r>
        <w:rPr>
          <w:spacing w:val="-2"/>
        </w:rPr>
        <w:t> </w:t>
      </w:r>
      <w:r>
        <w:rPr>
          <w:spacing w:val="-5"/>
        </w:rPr>
        <w:t>:—</w:t>
      </w:r>
    </w:p>
    <w:p>
      <w:pPr>
        <w:pStyle w:val="ListParagraph"/>
        <w:numPr>
          <w:ilvl w:val="0"/>
          <w:numId w:val="388"/>
        </w:numPr>
        <w:tabs>
          <w:tab w:pos="1802" w:val="left" w:leader="none"/>
        </w:tabs>
        <w:spacing w:line="240" w:lineRule="auto" w:before="0" w:after="0"/>
        <w:ind w:left="772" w:right="776" w:firstLine="720"/>
        <w:jc w:val="both"/>
        <w:rPr>
          <w:sz w:val="20"/>
        </w:rPr>
      </w:pPr>
      <w:r>
        <w:rPr>
          <w:sz w:val="20"/>
        </w:rPr>
        <w:t>Any or all of the following shall be held liable for any structural flaws or defects in the building with BUA 750 sq.mt. and above for period of Ten (10) years after the date of grant of occupation</w:t>
      </w:r>
      <w:r>
        <w:rPr>
          <w:spacing w:val="-4"/>
          <w:sz w:val="20"/>
        </w:rPr>
        <w:t> </w:t>
      </w:r>
      <w:r>
        <w:rPr>
          <w:sz w:val="20"/>
        </w:rPr>
        <w:t>cum</w:t>
      </w:r>
      <w:r>
        <w:rPr>
          <w:spacing w:val="-5"/>
          <w:sz w:val="20"/>
        </w:rPr>
        <w:t> </w:t>
      </w:r>
      <w:r>
        <w:rPr>
          <w:sz w:val="20"/>
        </w:rPr>
        <w:t>building</w:t>
      </w:r>
      <w:r>
        <w:rPr>
          <w:spacing w:val="-2"/>
          <w:sz w:val="20"/>
        </w:rPr>
        <w:t> </w:t>
      </w:r>
      <w:r>
        <w:rPr>
          <w:sz w:val="20"/>
        </w:rPr>
        <w:t>completion</w:t>
      </w:r>
      <w:r>
        <w:rPr>
          <w:spacing w:val="-4"/>
          <w:sz w:val="20"/>
        </w:rPr>
        <w:t> </w:t>
      </w:r>
      <w:r>
        <w:rPr>
          <w:sz w:val="20"/>
        </w:rPr>
        <w:t>certificate,</w:t>
      </w:r>
      <w:r>
        <w:rPr>
          <w:spacing w:val="-4"/>
          <w:sz w:val="20"/>
        </w:rPr>
        <w:t> </w:t>
      </w:r>
      <w:r>
        <w:rPr>
          <w:sz w:val="20"/>
        </w:rPr>
        <w:t>except</w:t>
      </w:r>
      <w:r>
        <w:rPr>
          <w:spacing w:val="-4"/>
          <w:sz w:val="20"/>
        </w:rPr>
        <w:t> </w:t>
      </w:r>
      <w:r>
        <w:rPr>
          <w:sz w:val="20"/>
        </w:rPr>
        <w:t>in</w:t>
      </w:r>
      <w:r>
        <w:rPr>
          <w:spacing w:val="-4"/>
          <w:sz w:val="20"/>
        </w:rPr>
        <w:t> </w:t>
      </w:r>
      <w:r>
        <w:rPr>
          <w:sz w:val="20"/>
        </w:rPr>
        <w:t>case</w:t>
      </w:r>
      <w:r>
        <w:rPr>
          <w:spacing w:val="-6"/>
          <w:sz w:val="20"/>
        </w:rPr>
        <w:t> </w:t>
      </w:r>
      <w:r>
        <w:rPr>
          <w:sz w:val="20"/>
        </w:rPr>
        <w:t>of</w:t>
      </w:r>
      <w:r>
        <w:rPr>
          <w:spacing w:val="-4"/>
          <w:sz w:val="20"/>
        </w:rPr>
        <w:t> </w:t>
      </w:r>
      <w:r>
        <w:rPr>
          <w:sz w:val="20"/>
        </w:rPr>
        <w:t>natural</w:t>
      </w:r>
      <w:r>
        <w:rPr>
          <w:spacing w:val="-7"/>
          <w:sz w:val="20"/>
        </w:rPr>
        <w:t> </w:t>
      </w:r>
      <w:r>
        <w:rPr>
          <w:sz w:val="20"/>
        </w:rPr>
        <w:t>calamities,</w:t>
      </w:r>
      <w:r>
        <w:rPr>
          <w:spacing w:val="-4"/>
          <w:sz w:val="20"/>
        </w:rPr>
        <w:t> </w:t>
      </w:r>
      <w:r>
        <w:rPr>
          <w:sz w:val="20"/>
        </w:rPr>
        <w:t>damages,</w:t>
      </w:r>
      <w:r>
        <w:rPr>
          <w:spacing w:val="-4"/>
          <w:sz w:val="20"/>
        </w:rPr>
        <w:t> </w:t>
      </w:r>
      <w:r>
        <w:rPr>
          <w:sz w:val="20"/>
        </w:rPr>
        <w:t>due to war, riots,</w:t>
      </w:r>
    </w:p>
    <w:p>
      <w:pPr>
        <w:pStyle w:val="ListParagraph"/>
        <w:numPr>
          <w:ilvl w:val="1"/>
          <w:numId w:val="388"/>
        </w:numPr>
        <w:tabs>
          <w:tab w:pos="1681" w:val="left" w:leader="none"/>
        </w:tabs>
        <w:spacing w:line="240" w:lineRule="auto" w:before="1" w:after="0"/>
        <w:ind w:left="1681" w:right="0" w:hanging="188"/>
        <w:jc w:val="both"/>
        <w:rPr>
          <w:sz w:val="20"/>
        </w:rPr>
      </w:pPr>
      <w:r>
        <w:rPr>
          <w:spacing w:val="-2"/>
          <w:sz w:val="20"/>
        </w:rPr>
        <w:t>Architect/License</w:t>
      </w:r>
      <w:r>
        <w:rPr>
          <w:spacing w:val="14"/>
          <w:sz w:val="20"/>
        </w:rPr>
        <w:t> </w:t>
      </w:r>
      <w:r>
        <w:rPr>
          <w:spacing w:val="-2"/>
          <w:sz w:val="20"/>
        </w:rPr>
        <w:t>Surveyor</w:t>
      </w:r>
    </w:p>
    <w:p>
      <w:pPr>
        <w:pStyle w:val="ListParagraph"/>
        <w:spacing w:after="0" w:line="240" w:lineRule="auto"/>
        <w:jc w:val="both"/>
        <w:rPr>
          <w:sz w:val="20"/>
        </w:rPr>
        <w:sectPr>
          <w:pgSz w:w="11910" w:h="16850"/>
          <w:pgMar w:header="1022" w:footer="1070" w:top="1460" w:bottom="1260" w:left="360" w:right="360"/>
        </w:sectPr>
      </w:pPr>
    </w:p>
    <w:p>
      <w:pPr>
        <w:pStyle w:val="BodyText"/>
        <w:spacing w:before="42"/>
        <w:jc w:val="left"/>
        <w:rPr>
          <w:sz w:val="20"/>
        </w:rPr>
      </w:pPr>
    </w:p>
    <w:p>
      <w:pPr>
        <w:pStyle w:val="ListParagraph"/>
        <w:numPr>
          <w:ilvl w:val="1"/>
          <w:numId w:val="388"/>
        </w:numPr>
        <w:tabs>
          <w:tab w:pos="1742" w:val="left" w:leader="none"/>
        </w:tabs>
        <w:spacing w:line="240" w:lineRule="auto" w:before="0" w:after="0"/>
        <w:ind w:left="1742" w:right="0" w:hanging="249"/>
        <w:jc w:val="left"/>
        <w:rPr>
          <w:sz w:val="20"/>
        </w:rPr>
      </w:pPr>
      <w:r>
        <w:rPr>
          <w:sz w:val="20"/>
        </w:rPr>
        <w:t>Structural</w:t>
      </w:r>
      <w:r>
        <w:rPr>
          <w:spacing w:val="-12"/>
          <w:sz w:val="20"/>
        </w:rPr>
        <w:t> </w:t>
      </w:r>
      <w:r>
        <w:rPr>
          <w:spacing w:val="-2"/>
          <w:sz w:val="20"/>
        </w:rPr>
        <w:t>Engineer</w:t>
      </w:r>
    </w:p>
    <w:p>
      <w:pPr>
        <w:pStyle w:val="ListParagraph"/>
        <w:numPr>
          <w:ilvl w:val="1"/>
          <w:numId w:val="388"/>
        </w:numPr>
        <w:tabs>
          <w:tab w:pos="1800" w:val="left" w:leader="none"/>
        </w:tabs>
        <w:spacing w:line="240" w:lineRule="auto" w:before="1" w:after="0"/>
        <w:ind w:left="1800" w:right="0" w:hanging="307"/>
        <w:jc w:val="left"/>
        <w:rPr>
          <w:sz w:val="20"/>
        </w:rPr>
      </w:pPr>
      <w:r>
        <w:rPr>
          <w:sz w:val="20"/>
        </w:rPr>
        <w:t>Site</w:t>
      </w:r>
      <w:r>
        <w:rPr>
          <w:spacing w:val="-12"/>
          <w:sz w:val="20"/>
        </w:rPr>
        <w:t> </w:t>
      </w:r>
      <w:r>
        <w:rPr>
          <w:sz w:val="20"/>
        </w:rPr>
        <w:t>Supervision/Site</w:t>
      </w:r>
      <w:r>
        <w:rPr>
          <w:spacing w:val="-11"/>
          <w:sz w:val="20"/>
        </w:rPr>
        <w:t> </w:t>
      </w:r>
      <w:r>
        <w:rPr>
          <w:sz w:val="20"/>
        </w:rPr>
        <w:t>Engineer</w:t>
      </w:r>
      <w:r>
        <w:rPr>
          <w:spacing w:val="-11"/>
          <w:sz w:val="20"/>
        </w:rPr>
        <w:t> </w:t>
      </w:r>
      <w:r>
        <w:rPr>
          <w:spacing w:val="-10"/>
          <w:sz w:val="20"/>
        </w:rPr>
        <w:t>:</w:t>
      </w:r>
    </w:p>
    <w:p>
      <w:pPr>
        <w:pStyle w:val="ListParagraph"/>
        <w:numPr>
          <w:ilvl w:val="1"/>
          <w:numId w:val="388"/>
        </w:numPr>
        <w:tabs>
          <w:tab w:pos="1785" w:val="left" w:leader="none"/>
        </w:tabs>
        <w:spacing w:line="240" w:lineRule="auto" w:before="0" w:after="0"/>
        <w:ind w:left="1785" w:right="0" w:hanging="292"/>
        <w:jc w:val="left"/>
        <w:rPr>
          <w:sz w:val="20"/>
        </w:rPr>
      </w:pPr>
      <w:r>
        <w:rPr>
          <w:sz w:val="20"/>
        </w:rPr>
        <w:t>Construction</w:t>
      </w:r>
      <w:r>
        <w:rPr>
          <w:spacing w:val="-13"/>
          <w:sz w:val="20"/>
        </w:rPr>
        <w:t> </w:t>
      </w:r>
      <w:r>
        <w:rPr>
          <w:sz w:val="20"/>
        </w:rPr>
        <w:t>Company</w:t>
      </w:r>
      <w:r>
        <w:rPr>
          <w:spacing w:val="-14"/>
          <w:sz w:val="20"/>
        </w:rPr>
        <w:t> </w:t>
      </w:r>
      <w:r>
        <w:rPr>
          <w:sz w:val="20"/>
        </w:rPr>
        <w:t>including</w:t>
      </w:r>
      <w:r>
        <w:rPr>
          <w:spacing w:val="-13"/>
          <w:sz w:val="20"/>
        </w:rPr>
        <w:t> </w:t>
      </w:r>
      <w:r>
        <w:rPr>
          <w:sz w:val="20"/>
        </w:rPr>
        <w:t>contractor,</w:t>
      </w:r>
      <w:r>
        <w:rPr>
          <w:spacing w:val="-13"/>
          <w:sz w:val="20"/>
        </w:rPr>
        <w:t> </w:t>
      </w:r>
      <w:r>
        <w:rPr>
          <w:sz w:val="20"/>
        </w:rPr>
        <w:t>sub-</w:t>
      </w:r>
      <w:r>
        <w:rPr>
          <w:spacing w:val="-2"/>
          <w:sz w:val="20"/>
        </w:rPr>
        <w:t>contractor</w:t>
      </w:r>
    </w:p>
    <w:p>
      <w:pPr>
        <w:pStyle w:val="ListParagraph"/>
        <w:numPr>
          <w:ilvl w:val="1"/>
          <w:numId w:val="388"/>
        </w:numPr>
        <w:tabs>
          <w:tab w:pos="1726" w:val="left" w:leader="none"/>
        </w:tabs>
        <w:spacing w:line="234" w:lineRule="exact" w:before="1" w:after="0"/>
        <w:ind w:left="1726" w:right="0" w:hanging="233"/>
        <w:jc w:val="left"/>
        <w:rPr>
          <w:sz w:val="20"/>
        </w:rPr>
      </w:pPr>
      <w:r>
        <w:rPr>
          <w:sz w:val="20"/>
        </w:rPr>
        <w:t>Consultants</w:t>
      </w:r>
      <w:r>
        <w:rPr>
          <w:spacing w:val="-9"/>
          <w:sz w:val="20"/>
        </w:rPr>
        <w:t> </w:t>
      </w:r>
      <w:r>
        <w:rPr>
          <w:sz w:val="20"/>
        </w:rPr>
        <w:t>appointed</w:t>
      </w:r>
      <w:r>
        <w:rPr>
          <w:spacing w:val="-10"/>
          <w:sz w:val="20"/>
        </w:rPr>
        <w:t> </w:t>
      </w:r>
      <w:r>
        <w:rPr>
          <w:sz w:val="20"/>
        </w:rPr>
        <w:t>for</w:t>
      </w:r>
      <w:r>
        <w:rPr>
          <w:spacing w:val="-7"/>
          <w:sz w:val="20"/>
        </w:rPr>
        <w:t> </w:t>
      </w:r>
      <w:r>
        <w:rPr>
          <w:sz w:val="20"/>
        </w:rPr>
        <w:t>various</w:t>
      </w:r>
      <w:r>
        <w:rPr>
          <w:spacing w:val="-9"/>
          <w:sz w:val="20"/>
        </w:rPr>
        <w:t> </w:t>
      </w:r>
      <w:r>
        <w:rPr>
          <w:sz w:val="20"/>
        </w:rPr>
        <w:t>activities</w:t>
      </w:r>
      <w:r>
        <w:rPr>
          <w:spacing w:val="-9"/>
          <w:sz w:val="20"/>
        </w:rPr>
        <w:t> </w:t>
      </w:r>
      <w:r>
        <w:rPr>
          <w:sz w:val="20"/>
        </w:rPr>
        <w:t>involved</w:t>
      </w:r>
      <w:r>
        <w:rPr>
          <w:spacing w:val="-10"/>
          <w:sz w:val="20"/>
        </w:rPr>
        <w:t> </w:t>
      </w:r>
      <w:r>
        <w:rPr>
          <w:sz w:val="20"/>
        </w:rPr>
        <w:t>in</w:t>
      </w:r>
      <w:r>
        <w:rPr>
          <w:spacing w:val="-8"/>
          <w:sz w:val="20"/>
        </w:rPr>
        <w:t> </w:t>
      </w:r>
      <w:r>
        <w:rPr>
          <w:sz w:val="20"/>
        </w:rPr>
        <w:t>the</w:t>
      </w:r>
      <w:r>
        <w:rPr>
          <w:spacing w:val="-8"/>
          <w:sz w:val="20"/>
        </w:rPr>
        <w:t> </w:t>
      </w:r>
      <w:r>
        <w:rPr>
          <w:sz w:val="20"/>
        </w:rPr>
        <w:t>construction</w:t>
      </w:r>
      <w:r>
        <w:rPr>
          <w:spacing w:val="-8"/>
          <w:sz w:val="20"/>
        </w:rPr>
        <w:t> </w:t>
      </w:r>
      <w:r>
        <w:rPr>
          <w:spacing w:val="-2"/>
          <w:sz w:val="20"/>
        </w:rPr>
        <w:t>work.</w:t>
      </w:r>
    </w:p>
    <w:p>
      <w:pPr>
        <w:pStyle w:val="ListParagraph"/>
        <w:numPr>
          <w:ilvl w:val="0"/>
          <w:numId w:val="388"/>
        </w:numPr>
        <w:tabs>
          <w:tab w:pos="1806" w:val="left" w:leader="none"/>
        </w:tabs>
        <w:spacing w:line="240" w:lineRule="auto" w:before="0" w:after="0"/>
        <w:ind w:left="772" w:right="780" w:firstLine="720"/>
        <w:jc w:val="left"/>
        <w:rPr>
          <w:sz w:val="20"/>
        </w:rPr>
      </w:pPr>
      <w:r>
        <w:rPr>
          <w:sz w:val="20"/>
        </w:rPr>
        <w:t>The above mentioned professional and the Construction Company including contractor and sub-contractor may take decennial professional liability insurance to cover such liability.</w:t>
      </w:r>
    </w:p>
    <w:p>
      <w:pPr>
        <w:pStyle w:val="ListParagraph"/>
        <w:spacing w:after="0" w:line="240" w:lineRule="auto"/>
        <w:jc w:val="left"/>
        <w:rPr>
          <w:sz w:val="20"/>
        </w:rPr>
        <w:sectPr>
          <w:pgSz w:w="11910" w:h="16850"/>
          <w:pgMar w:header="1022" w:footer="1070" w:top="1460" w:bottom="1260" w:left="360" w:right="360"/>
        </w:sectPr>
      </w:pPr>
    </w:p>
    <w:p>
      <w:pPr>
        <w:pStyle w:val="Heading5"/>
        <w:spacing w:before="218"/>
        <w:ind w:left="1548" w:right="1448"/>
        <w:jc w:val="center"/>
      </w:pPr>
      <w:r>
        <w:rPr/>
        <w:t>ANNEXURE</w:t>
      </w:r>
      <w:r>
        <w:rPr>
          <w:spacing w:val="-7"/>
        </w:rPr>
        <w:t> </w:t>
      </w:r>
      <w:r>
        <w:rPr/>
        <w:t>11Regulation</w:t>
      </w:r>
      <w:r>
        <w:rPr>
          <w:spacing w:val="-6"/>
        </w:rPr>
        <w:t> </w:t>
      </w:r>
      <w:r>
        <w:rPr/>
        <w:t>(10)</w:t>
      </w:r>
      <w:r>
        <w:rPr>
          <w:spacing w:val="-5"/>
        </w:rPr>
        <w:t> </w:t>
      </w:r>
      <w:r>
        <w:rPr>
          <w:spacing w:val="-2"/>
        </w:rPr>
        <w:t>(5)(i)</w:t>
      </w:r>
    </w:p>
    <w:p>
      <w:pPr>
        <w:pStyle w:val="BodyText"/>
        <w:tabs>
          <w:tab w:pos="1734" w:val="left" w:leader="none"/>
          <w:tab w:pos="2188" w:val="left" w:leader="none"/>
          <w:tab w:pos="3435" w:val="left" w:leader="none"/>
          <w:tab w:pos="3889" w:val="left" w:leader="none"/>
          <w:tab w:pos="5612" w:val="left" w:leader="none"/>
          <w:tab w:pos="7222" w:val="left" w:leader="none"/>
          <w:tab w:pos="8429" w:val="left" w:leader="none"/>
          <w:tab w:pos="9962" w:val="left" w:leader="none"/>
        </w:tabs>
        <w:spacing w:before="239"/>
        <w:ind w:left="873" w:right="775"/>
        <w:jc w:val="left"/>
      </w:pPr>
      <w:r>
        <w:rPr>
          <w:spacing w:val="-4"/>
        </w:rPr>
        <w:t>Form</w:t>
      </w:r>
      <w:r>
        <w:rPr/>
        <w:tab/>
      </w:r>
      <w:r>
        <w:rPr>
          <w:spacing w:val="-6"/>
        </w:rPr>
        <w:t>of</w:t>
      </w:r>
      <w:r>
        <w:rPr/>
        <w:tab/>
      </w:r>
      <w:r>
        <w:rPr>
          <w:spacing w:val="-2"/>
        </w:rPr>
        <w:t>sanction</w:t>
      </w:r>
      <w:r>
        <w:rPr/>
        <w:tab/>
      </w:r>
      <w:r>
        <w:rPr>
          <w:spacing w:val="-6"/>
        </w:rPr>
        <w:t>of</w:t>
      </w:r>
      <w:r>
        <w:rPr/>
        <w:tab/>
      </w:r>
      <w:r>
        <w:rPr>
          <w:spacing w:val="-2"/>
        </w:rPr>
        <w:t>development</w:t>
      </w:r>
      <w:r>
        <w:rPr/>
        <w:tab/>
      </w:r>
      <w:r>
        <w:rPr>
          <w:spacing w:val="-2"/>
        </w:rPr>
        <w:t>permission,</w:t>
      </w:r>
      <w:r>
        <w:rPr/>
        <w:tab/>
      </w:r>
      <w:r>
        <w:rPr>
          <w:spacing w:val="-2"/>
        </w:rPr>
        <w:t>building</w:t>
      </w:r>
      <w:r>
        <w:rPr/>
        <w:tab/>
      </w:r>
      <w:r>
        <w:rPr>
          <w:spacing w:val="-2"/>
        </w:rPr>
        <w:t>permission</w:t>
      </w:r>
      <w:r>
        <w:rPr/>
        <w:tab/>
      </w:r>
      <w:r>
        <w:rPr>
          <w:spacing w:val="-4"/>
        </w:rPr>
        <w:t>and </w:t>
      </w:r>
      <w:r>
        <w:rPr/>
        <w:t>Commencement certificate.</w:t>
      </w:r>
    </w:p>
    <w:p>
      <w:pPr>
        <w:pStyle w:val="BodyText"/>
        <w:spacing w:before="241"/>
        <w:ind w:left="876"/>
        <w:jc w:val="left"/>
      </w:pPr>
      <w:r>
        <w:rPr>
          <w:spacing w:val="-5"/>
        </w:rPr>
        <w:t>To</w:t>
      </w:r>
    </w:p>
    <w:p>
      <w:pPr>
        <w:spacing w:before="39"/>
        <w:ind w:left="1183" w:right="0" w:firstLine="0"/>
        <w:jc w:val="left"/>
        <w:rPr>
          <w:sz w:val="24"/>
        </w:rPr>
      </w:pPr>
      <w:r>
        <w:rPr>
          <w:spacing w:val="-2"/>
          <w:sz w:val="24"/>
        </w:rPr>
        <w:t>…………………………………..</w:t>
      </w:r>
    </w:p>
    <w:p>
      <w:pPr>
        <w:spacing w:before="40"/>
        <w:ind w:left="1183" w:right="0" w:firstLine="0"/>
        <w:jc w:val="left"/>
        <w:rPr>
          <w:sz w:val="24"/>
        </w:rPr>
      </w:pPr>
      <w:r>
        <w:rPr>
          <w:spacing w:val="-2"/>
          <w:sz w:val="24"/>
        </w:rPr>
        <w:t>…………………………………..</w:t>
      </w:r>
    </w:p>
    <w:p>
      <w:pPr>
        <w:spacing w:before="40"/>
        <w:ind w:left="1183" w:right="0" w:firstLine="0"/>
        <w:jc w:val="left"/>
        <w:rPr>
          <w:sz w:val="24"/>
        </w:rPr>
      </w:pPr>
      <w:r>
        <w:rPr>
          <w:spacing w:val="-2"/>
          <w:sz w:val="24"/>
        </w:rPr>
        <w:t>…………………………………..</w:t>
      </w:r>
    </w:p>
    <w:p>
      <w:pPr>
        <w:pStyle w:val="BodyText"/>
        <w:spacing w:before="40"/>
        <w:ind w:left="876"/>
        <w:jc w:val="left"/>
      </w:pPr>
      <w:r>
        <w:rPr>
          <w:spacing w:val="-4"/>
        </w:rPr>
        <w:t>Sir,</w:t>
      </w:r>
    </w:p>
    <w:p>
      <w:pPr>
        <w:pStyle w:val="BodyText"/>
        <w:tabs>
          <w:tab w:pos="8510" w:val="left" w:leader="dot"/>
        </w:tabs>
        <w:spacing w:before="40"/>
        <w:ind w:left="1258"/>
      </w:pPr>
      <w:r>
        <w:rPr/>
        <w:t>With</w:t>
      </w:r>
      <w:r>
        <w:rPr>
          <w:spacing w:val="-20"/>
        </w:rPr>
        <w:t> </w:t>
      </w:r>
      <w:r>
        <w:rPr/>
        <w:t>reference</w:t>
      </w:r>
      <w:r>
        <w:rPr>
          <w:spacing w:val="-17"/>
        </w:rPr>
        <w:t> </w:t>
      </w:r>
      <w:r>
        <w:rPr/>
        <w:t>to</w:t>
      </w:r>
      <w:r>
        <w:rPr>
          <w:spacing w:val="-14"/>
        </w:rPr>
        <w:t> </w:t>
      </w:r>
      <w:r>
        <w:rPr/>
        <w:t>your</w:t>
      </w:r>
      <w:r>
        <w:rPr>
          <w:spacing w:val="-18"/>
        </w:rPr>
        <w:t> </w:t>
      </w:r>
      <w:r>
        <w:rPr/>
        <w:t>application</w:t>
      </w:r>
      <w:r>
        <w:rPr>
          <w:spacing w:val="-17"/>
        </w:rPr>
        <w:t> </w:t>
      </w:r>
      <w:r>
        <w:rPr/>
        <w:t>No.</w:t>
      </w:r>
      <w:r>
        <w:rPr>
          <w:spacing w:val="-14"/>
        </w:rPr>
        <w:t> </w:t>
      </w:r>
      <w:r>
        <w:rPr>
          <w:spacing w:val="-2"/>
        </w:rPr>
        <w:t>…………..dated…</w:t>
      </w:r>
      <w:r>
        <w:rPr>
          <w:rFonts w:ascii="Times New Roman" w:hAnsi="Times New Roman"/>
        </w:rPr>
        <w:tab/>
      </w:r>
      <w:r>
        <w:rPr/>
        <w:t>for</w:t>
      </w:r>
      <w:r>
        <w:rPr>
          <w:spacing w:val="-17"/>
        </w:rPr>
        <w:t> </w:t>
      </w:r>
      <w:r>
        <w:rPr>
          <w:spacing w:val="-2"/>
        </w:rPr>
        <w:t>Development</w:t>
      </w:r>
    </w:p>
    <w:p>
      <w:pPr>
        <w:pStyle w:val="BodyText"/>
        <w:spacing w:before="2"/>
        <w:ind w:left="873" w:right="767"/>
      </w:pPr>
      <w:r>
        <w:rPr/>
        <w:t>Permission and grant of Commencement Certificate under sections 44 and 69 of the</w:t>
      </w:r>
      <w:r>
        <w:rPr>
          <w:spacing w:val="-16"/>
        </w:rPr>
        <w:t> </w:t>
      </w:r>
      <w:r>
        <w:rPr/>
        <w:t>Maharashtra</w:t>
      </w:r>
      <w:r>
        <w:rPr>
          <w:spacing w:val="-16"/>
        </w:rPr>
        <w:t> </w:t>
      </w:r>
      <w:r>
        <w:rPr/>
        <w:t>Regional</w:t>
      </w:r>
      <w:r>
        <w:rPr>
          <w:spacing w:val="-16"/>
        </w:rPr>
        <w:t> </w:t>
      </w:r>
      <w:r>
        <w:rPr/>
        <w:t>and</w:t>
      </w:r>
      <w:r>
        <w:rPr>
          <w:spacing w:val="-16"/>
        </w:rPr>
        <w:t> </w:t>
      </w:r>
      <w:r>
        <w:rPr/>
        <w:t>Town</w:t>
      </w:r>
      <w:r>
        <w:rPr>
          <w:spacing w:val="-16"/>
        </w:rPr>
        <w:t> </w:t>
      </w:r>
      <w:r>
        <w:rPr/>
        <w:t>Planning</w:t>
      </w:r>
      <w:r>
        <w:rPr>
          <w:spacing w:val="-16"/>
        </w:rPr>
        <w:t> </w:t>
      </w:r>
      <w:r>
        <w:rPr/>
        <w:t>Act,</w:t>
      </w:r>
      <w:r>
        <w:rPr>
          <w:spacing w:val="-16"/>
        </w:rPr>
        <w:t> </w:t>
      </w:r>
      <w:r>
        <w:rPr/>
        <w:t>1966,</w:t>
      </w:r>
      <w:r>
        <w:rPr>
          <w:spacing w:val="-16"/>
        </w:rPr>
        <w:t> </w:t>
      </w:r>
      <w:r>
        <w:rPr/>
        <w:t>to</w:t>
      </w:r>
      <w:r>
        <w:rPr>
          <w:spacing w:val="-16"/>
        </w:rPr>
        <w:t> </w:t>
      </w:r>
      <w:r>
        <w:rPr/>
        <w:t>carry</w:t>
      </w:r>
      <w:r>
        <w:rPr>
          <w:spacing w:val="-16"/>
        </w:rPr>
        <w:t> </w:t>
      </w:r>
      <w:r>
        <w:rPr/>
        <w:t>out</w:t>
      </w:r>
      <w:r>
        <w:rPr>
          <w:spacing w:val="-16"/>
        </w:rPr>
        <w:t> </w:t>
      </w:r>
      <w:r>
        <w:rPr/>
        <w:t>development and</w:t>
      </w:r>
      <w:r>
        <w:rPr>
          <w:spacing w:val="-19"/>
        </w:rPr>
        <w:t> </w:t>
      </w:r>
      <w:r>
        <w:rPr/>
        <w:t>building</w:t>
      </w:r>
      <w:r>
        <w:rPr>
          <w:spacing w:val="-19"/>
        </w:rPr>
        <w:t> </w:t>
      </w:r>
      <w:r>
        <w:rPr/>
        <w:t>permission</w:t>
      </w:r>
      <w:r>
        <w:rPr>
          <w:spacing w:val="-18"/>
        </w:rPr>
        <w:t> </w:t>
      </w:r>
      <w:r>
        <w:rPr/>
        <w:t>under</w:t>
      </w:r>
      <w:r>
        <w:rPr>
          <w:spacing w:val="-19"/>
        </w:rPr>
        <w:t> </w:t>
      </w:r>
      <w:r>
        <w:rPr/>
        <w:t>section</w:t>
      </w:r>
      <w:r>
        <w:rPr>
          <w:spacing w:val="-19"/>
        </w:rPr>
        <w:t> </w:t>
      </w:r>
      <w:r>
        <w:rPr/>
        <w:t>346</w:t>
      </w:r>
      <w:r>
        <w:rPr>
          <w:spacing w:val="-19"/>
        </w:rPr>
        <w:t> </w:t>
      </w:r>
      <w:r>
        <w:rPr/>
        <w:t>of</w:t>
      </w:r>
      <w:r>
        <w:rPr>
          <w:spacing w:val="39"/>
        </w:rPr>
        <w:t> </w:t>
      </w:r>
      <w:r>
        <w:rPr/>
        <w:t>the</w:t>
      </w:r>
      <w:r>
        <w:rPr>
          <w:spacing w:val="-17"/>
        </w:rPr>
        <w:t> </w:t>
      </w:r>
      <w:r>
        <w:rPr/>
        <w:t>Mumbai</w:t>
      </w:r>
      <w:r>
        <w:rPr>
          <w:spacing w:val="-19"/>
        </w:rPr>
        <w:t> </w:t>
      </w:r>
      <w:r>
        <w:rPr/>
        <w:t>Municipal</w:t>
      </w:r>
      <w:r>
        <w:rPr>
          <w:spacing w:val="39"/>
        </w:rPr>
        <w:t> </w:t>
      </w:r>
      <w:r>
        <w:rPr/>
        <w:t>Corporation Act 1888,to erect/additions /alterations to building ……………………………….</w:t>
      </w:r>
    </w:p>
    <w:p>
      <w:pPr>
        <w:pStyle w:val="BodyText"/>
        <w:tabs>
          <w:tab w:pos="7016" w:val="left" w:leader="dot"/>
        </w:tabs>
        <w:spacing w:before="239"/>
        <w:ind w:left="873"/>
        <w:jc w:val="left"/>
      </w:pPr>
      <w:r>
        <w:rPr/>
        <w:t>On</w:t>
      </w:r>
      <w:r>
        <w:rPr>
          <w:spacing w:val="-4"/>
        </w:rPr>
        <w:t> </w:t>
      </w:r>
      <w:r>
        <w:rPr/>
        <w:t>plot</w:t>
      </w:r>
      <w:r>
        <w:rPr>
          <w:spacing w:val="-3"/>
        </w:rPr>
        <w:t> </w:t>
      </w:r>
      <w:r>
        <w:rPr/>
        <w:t>No./CS/C.T.S./F</w:t>
      </w:r>
      <w:r>
        <w:rPr>
          <w:spacing w:val="-4"/>
        </w:rPr>
        <w:t> </w:t>
      </w:r>
      <w:r>
        <w:rPr/>
        <w:t>P</w:t>
      </w:r>
      <w:r>
        <w:rPr>
          <w:spacing w:val="-3"/>
        </w:rPr>
        <w:t> </w:t>
      </w:r>
      <w:r>
        <w:rPr>
          <w:spacing w:val="-5"/>
        </w:rPr>
        <w:t>No…</w:t>
      </w:r>
      <w:r>
        <w:rPr>
          <w:rFonts w:ascii="Times New Roman" w:hAnsi="Times New Roman"/>
        </w:rPr>
        <w:tab/>
      </w:r>
      <w:r>
        <w:rPr/>
        <w:t>Div./village/Town</w:t>
      </w:r>
      <w:r>
        <w:rPr>
          <w:spacing w:val="-18"/>
        </w:rPr>
        <w:t> </w:t>
      </w:r>
      <w:r>
        <w:rPr>
          <w:spacing w:val="-2"/>
        </w:rPr>
        <w:t>Planning</w:t>
      </w:r>
    </w:p>
    <w:p>
      <w:pPr>
        <w:pStyle w:val="BodyText"/>
        <w:tabs>
          <w:tab w:pos="5596" w:val="left" w:leader="dot"/>
        </w:tabs>
        <w:spacing w:line="281" w:lineRule="exact" w:before="1"/>
        <w:ind w:left="873"/>
        <w:jc w:val="left"/>
      </w:pPr>
      <w:r>
        <w:rPr/>
        <w:t>Scheme </w:t>
      </w:r>
      <w:r>
        <w:rPr>
          <w:spacing w:val="-5"/>
        </w:rPr>
        <w:t>no…</w:t>
      </w:r>
      <w:r>
        <w:rPr>
          <w:rFonts w:ascii="Times New Roman" w:hAnsi="Times New Roman"/>
        </w:rPr>
        <w:tab/>
      </w:r>
      <w:r>
        <w:rPr/>
        <w:t>situated</w:t>
      </w:r>
      <w:r>
        <w:rPr>
          <w:spacing w:val="-7"/>
        </w:rPr>
        <w:t> </w:t>
      </w:r>
      <w:r>
        <w:rPr>
          <w:spacing w:val="-5"/>
        </w:rPr>
        <w:t>at</w:t>
      </w:r>
    </w:p>
    <w:p>
      <w:pPr>
        <w:pStyle w:val="BodyText"/>
        <w:tabs>
          <w:tab w:pos="7090" w:val="left" w:leader="dot"/>
        </w:tabs>
        <w:spacing w:line="281" w:lineRule="exact"/>
        <w:ind w:left="873"/>
        <w:jc w:val="left"/>
      </w:pPr>
      <w:r>
        <w:rPr>
          <w:spacing w:val="-2"/>
        </w:rPr>
        <w:t>Road/street……………………….ward…</w:t>
      </w:r>
      <w:r>
        <w:rPr>
          <w:rFonts w:ascii="Times New Roman" w:hAnsi="Times New Roman"/>
        </w:rPr>
        <w:tab/>
      </w:r>
      <w:r>
        <w:rPr/>
        <w:t>the </w:t>
      </w:r>
      <w:r>
        <w:rPr>
          <w:spacing w:val="-2"/>
        </w:rPr>
        <w:t>Commencement</w:t>
      </w:r>
    </w:p>
    <w:p>
      <w:pPr>
        <w:pStyle w:val="BodyText"/>
        <w:spacing w:before="2"/>
        <w:ind w:left="873"/>
        <w:jc w:val="left"/>
      </w:pPr>
      <w:r>
        <w:rPr/>
        <w:t>certificate/building</w:t>
      </w:r>
      <w:r>
        <w:rPr>
          <w:spacing w:val="75"/>
        </w:rPr>
        <w:t> </w:t>
      </w:r>
      <w:r>
        <w:rPr/>
        <w:t>permit</w:t>
      </w:r>
      <w:r>
        <w:rPr>
          <w:spacing w:val="-1"/>
        </w:rPr>
        <w:t> </w:t>
      </w:r>
      <w:r>
        <w:rPr/>
        <w:t>is</w:t>
      </w:r>
      <w:r>
        <w:rPr>
          <w:spacing w:val="-1"/>
        </w:rPr>
        <w:t> </w:t>
      </w:r>
      <w:r>
        <w:rPr/>
        <w:t>granted on</w:t>
      </w:r>
      <w:r>
        <w:rPr>
          <w:spacing w:val="-1"/>
        </w:rPr>
        <w:t> </w:t>
      </w:r>
      <w:r>
        <w:rPr/>
        <w:t>the</w:t>
      </w:r>
      <w:r>
        <w:rPr>
          <w:spacing w:val="-1"/>
        </w:rPr>
        <w:t> </w:t>
      </w:r>
      <w:r>
        <w:rPr/>
        <w:t>following conditions</w:t>
      </w:r>
      <w:r>
        <w:rPr>
          <w:spacing w:val="75"/>
        </w:rPr>
        <w:t> </w:t>
      </w:r>
      <w:r>
        <w:rPr>
          <w:spacing w:val="-5"/>
        </w:rPr>
        <w:t>:-</w:t>
      </w:r>
    </w:p>
    <w:p>
      <w:pPr>
        <w:pStyle w:val="ListParagraph"/>
        <w:numPr>
          <w:ilvl w:val="0"/>
          <w:numId w:val="389"/>
        </w:numPr>
        <w:tabs>
          <w:tab w:pos="1224" w:val="left" w:leader="none"/>
          <w:tab w:pos="1256" w:val="left" w:leader="none"/>
        </w:tabs>
        <w:spacing w:line="240" w:lineRule="auto" w:before="239" w:after="0"/>
        <w:ind w:left="1224" w:right="766" w:hanging="351"/>
        <w:jc w:val="both"/>
        <w:rPr>
          <w:sz w:val="24"/>
        </w:rPr>
      </w:pPr>
      <w:r>
        <w:rPr>
          <w:sz w:val="24"/>
        </w:rPr>
        <w:t>The</w:t>
      </w:r>
      <w:r>
        <w:rPr>
          <w:spacing w:val="29"/>
          <w:sz w:val="24"/>
        </w:rPr>
        <w:t> </w:t>
      </w:r>
      <w:r>
        <w:rPr>
          <w:sz w:val="24"/>
        </w:rPr>
        <w:t>land</w:t>
      </w:r>
      <w:r>
        <w:rPr>
          <w:spacing w:val="-1"/>
          <w:sz w:val="24"/>
        </w:rPr>
        <w:t> </w:t>
      </w:r>
      <w:r>
        <w:rPr>
          <w:sz w:val="24"/>
        </w:rPr>
        <w:t>vacated</w:t>
      </w:r>
      <w:r>
        <w:rPr>
          <w:spacing w:val="-1"/>
          <w:sz w:val="24"/>
        </w:rPr>
        <w:t> </w:t>
      </w:r>
      <w:r>
        <w:rPr>
          <w:sz w:val="24"/>
        </w:rPr>
        <w:t>in</w:t>
      </w:r>
      <w:r>
        <w:rPr>
          <w:spacing w:val="-1"/>
          <w:sz w:val="24"/>
        </w:rPr>
        <w:t> </w:t>
      </w:r>
      <w:r>
        <w:rPr>
          <w:sz w:val="24"/>
        </w:rPr>
        <w:t>consequence</w:t>
      </w:r>
      <w:r>
        <w:rPr>
          <w:spacing w:val="-1"/>
          <w:sz w:val="24"/>
        </w:rPr>
        <w:t> </w:t>
      </w:r>
      <w:r>
        <w:rPr>
          <w:sz w:val="24"/>
        </w:rPr>
        <w:t>of</w:t>
      </w:r>
      <w:r>
        <w:rPr>
          <w:spacing w:val="-1"/>
          <w:sz w:val="24"/>
        </w:rPr>
        <w:t> </w:t>
      </w:r>
      <w:r>
        <w:rPr>
          <w:sz w:val="24"/>
        </w:rPr>
        <w:t>the</w:t>
      </w:r>
      <w:r>
        <w:rPr>
          <w:spacing w:val="-1"/>
          <w:sz w:val="24"/>
        </w:rPr>
        <w:t> </w:t>
      </w:r>
      <w:r>
        <w:rPr>
          <w:sz w:val="24"/>
        </w:rPr>
        <w:t>enforcement</w:t>
      </w:r>
      <w:r>
        <w:rPr>
          <w:spacing w:val="-1"/>
          <w:sz w:val="24"/>
        </w:rPr>
        <w:t> </w:t>
      </w:r>
      <w:r>
        <w:rPr>
          <w:sz w:val="24"/>
        </w:rPr>
        <w:t>of</w:t>
      </w:r>
      <w:r>
        <w:rPr>
          <w:spacing w:val="-1"/>
          <w:sz w:val="24"/>
        </w:rPr>
        <w:t> </w:t>
      </w:r>
      <w:r>
        <w:rPr>
          <w:sz w:val="24"/>
        </w:rPr>
        <w:t>the</w:t>
      </w:r>
      <w:r>
        <w:rPr>
          <w:spacing w:val="-1"/>
          <w:sz w:val="24"/>
        </w:rPr>
        <w:t> </w:t>
      </w:r>
      <w:r>
        <w:rPr>
          <w:sz w:val="24"/>
        </w:rPr>
        <w:t>set-back</w:t>
      </w:r>
      <w:r>
        <w:rPr>
          <w:spacing w:val="-1"/>
          <w:sz w:val="24"/>
        </w:rPr>
        <w:t> </w:t>
      </w:r>
      <w:r>
        <w:rPr>
          <w:sz w:val="24"/>
        </w:rPr>
        <w:t>line/road widening line shall form part of the public street.</w:t>
      </w:r>
    </w:p>
    <w:p>
      <w:pPr>
        <w:pStyle w:val="ListParagraph"/>
        <w:numPr>
          <w:ilvl w:val="0"/>
          <w:numId w:val="389"/>
        </w:numPr>
        <w:tabs>
          <w:tab w:pos="1224" w:val="left" w:leader="none"/>
          <w:tab w:pos="1252" w:val="left" w:leader="none"/>
        </w:tabs>
        <w:spacing w:line="240" w:lineRule="auto" w:before="241" w:after="0"/>
        <w:ind w:left="1224" w:right="771" w:hanging="351"/>
        <w:jc w:val="both"/>
        <w:rPr>
          <w:sz w:val="24"/>
        </w:rPr>
      </w:pPr>
      <w:r>
        <w:rPr>
          <w:sz w:val="24"/>
        </w:rPr>
        <w:t>No</w:t>
      </w:r>
      <w:r>
        <w:rPr>
          <w:sz w:val="24"/>
        </w:rPr>
        <w:t> new building or</w:t>
      </w:r>
      <w:r>
        <w:rPr>
          <w:spacing w:val="-2"/>
          <w:sz w:val="24"/>
        </w:rPr>
        <w:t> </w:t>
      </w:r>
      <w:r>
        <w:rPr>
          <w:sz w:val="24"/>
        </w:rPr>
        <w:t>part</w:t>
      </w:r>
      <w:r>
        <w:rPr>
          <w:spacing w:val="-2"/>
          <w:sz w:val="24"/>
        </w:rPr>
        <w:t> </w:t>
      </w:r>
      <w:r>
        <w:rPr>
          <w:sz w:val="24"/>
        </w:rPr>
        <w:t>thereof</w:t>
      </w:r>
      <w:r>
        <w:rPr>
          <w:spacing w:val="-2"/>
          <w:sz w:val="24"/>
        </w:rPr>
        <w:t> </w:t>
      </w:r>
      <w:r>
        <w:rPr>
          <w:sz w:val="24"/>
        </w:rPr>
        <w:t>shall be</w:t>
      </w:r>
      <w:r>
        <w:rPr>
          <w:spacing w:val="-2"/>
          <w:sz w:val="24"/>
        </w:rPr>
        <w:t> </w:t>
      </w:r>
      <w:r>
        <w:rPr>
          <w:sz w:val="24"/>
        </w:rPr>
        <w:t>occupied</w:t>
      </w:r>
      <w:r>
        <w:rPr>
          <w:spacing w:val="-2"/>
          <w:sz w:val="24"/>
        </w:rPr>
        <w:t> </w:t>
      </w:r>
      <w:r>
        <w:rPr>
          <w:sz w:val="24"/>
        </w:rPr>
        <w:t>or</w:t>
      </w:r>
      <w:r>
        <w:rPr>
          <w:spacing w:val="-2"/>
          <w:sz w:val="24"/>
        </w:rPr>
        <w:t> </w:t>
      </w:r>
      <w:r>
        <w:rPr>
          <w:sz w:val="24"/>
        </w:rPr>
        <w:t>allowed</w:t>
      </w:r>
      <w:r>
        <w:rPr>
          <w:spacing w:val="-2"/>
          <w:sz w:val="24"/>
        </w:rPr>
        <w:t> </w:t>
      </w:r>
      <w:r>
        <w:rPr>
          <w:sz w:val="24"/>
        </w:rPr>
        <w:t>to</w:t>
      </w:r>
      <w:r>
        <w:rPr>
          <w:spacing w:val="-2"/>
          <w:sz w:val="24"/>
        </w:rPr>
        <w:t> </w:t>
      </w:r>
      <w:r>
        <w:rPr>
          <w:sz w:val="24"/>
        </w:rPr>
        <w:t>be</w:t>
      </w:r>
      <w:r>
        <w:rPr>
          <w:spacing w:val="-2"/>
          <w:sz w:val="24"/>
        </w:rPr>
        <w:t> </w:t>
      </w:r>
      <w:r>
        <w:rPr>
          <w:sz w:val="24"/>
        </w:rPr>
        <w:t>occupied or used or permitted to be used by any person until occupancy permission has been granted.</w:t>
      </w:r>
    </w:p>
    <w:p>
      <w:pPr>
        <w:pStyle w:val="ListParagraph"/>
        <w:numPr>
          <w:ilvl w:val="0"/>
          <w:numId w:val="389"/>
        </w:numPr>
        <w:tabs>
          <w:tab w:pos="1224" w:val="left" w:leader="none"/>
          <w:tab w:pos="1256" w:val="left" w:leader="none"/>
        </w:tabs>
        <w:spacing w:line="240" w:lineRule="auto" w:before="239" w:after="0"/>
        <w:ind w:left="1224" w:right="772" w:hanging="351"/>
        <w:jc w:val="both"/>
        <w:rPr>
          <w:sz w:val="24"/>
        </w:rPr>
      </w:pPr>
      <w:r>
        <w:rPr>
          <w:sz w:val="24"/>
        </w:rPr>
        <w:t>The</w:t>
      </w:r>
      <w:r>
        <w:rPr>
          <w:sz w:val="24"/>
        </w:rPr>
        <w:t> commencement</w:t>
      </w:r>
      <w:r>
        <w:rPr>
          <w:spacing w:val="-3"/>
          <w:sz w:val="24"/>
        </w:rPr>
        <w:t> </w:t>
      </w:r>
      <w:r>
        <w:rPr>
          <w:sz w:val="24"/>
        </w:rPr>
        <w:t>certificate/development</w:t>
      </w:r>
      <w:r>
        <w:rPr>
          <w:spacing w:val="-3"/>
          <w:sz w:val="24"/>
        </w:rPr>
        <w:t> </w:t>
      </w:r>
      <w:r>
        <w:rPr>
          <w:sz w:val="24"/>
        </w:rPr>
        <w:t>permission</w:t>
      </w:r>
      <w:r>
        <w:rPr>
          <w:spacing w:val="-3"/>
          <w:sz w:val="24"/>
        </w:rPr>
        <w:t> </w:t>
      </w:r>
      <w:r>
        <w:rPr>
          <w:sz w:val="24"/>
        </w:rPr>
        <w:t>shall</w:t>
      </w:r>
      <w:r>
        <w:rPr>
          <w:spacing w:val="-3"/>
          <w:sz w:val="24"/>
        </w:rPr>
        <w:t> </w:t>
      </w:r>
      <w:r>
        <w:rPr>
          <w:sz w:val="24"/>
        </w:rPr>
        <w:t>remain</w:t>
      </w:r>
      <w:r>
        <w:rPr>
          <w:spacing w:val="-3"/>
          <w:sz w:val="24"/>
        </w:rPr>
        <w:t> </w:t>
      </w:r>
      <w:r>
        <w:rPr>
          <w:sz w:val="24"/>
        </w:rPr>
        <w:t>valid</w:t>
      </w:r>
      <w:r>
        <w:rPr>
          <w:spacing w:val="-3"/>
          <w:sz w:val="24"/>
        </w:rPr>
        <w:t> </w:t>
      </w:r>
      <w:r>
        <w:rPr>
          <w:sz w:val="24"/>
        </w:rPr>
        <w:t>for one year commencing from the date of its issue.</w:t>
      </w:r>
    </w:p>
    <w:p>
      <w:pPr>
        <w:pStyle w:val="ListParagraph"/>
        <w:numPr>
          <w:ilvl w:val="0"/>
          <w:numId w:val="389"/>
        </w:numPr>
        <w:tabs>
          <w:tab w:pos="1224" w:val="left" w:leader="none"/>
          <w:tab w:pos="1298" w:val="left" w:leader="none"/>
        </w:tabs>
        <w:spacing w:line="240" w:lineRule="auto" w:before="241" w:after="0"/>
        <w:ind w:left="1224" w:right="774" w:hanging="351"/>
        <w:jc w:val="both"/>
        <w:rPr>
          <w:sz w:val="24"/>
        </w:rPr>
      </w:pPr>
      <w:r>
        <w:rPr>
          <w:sz w:val="24"/>
        </w:rPr>
        <w:tab/>
        <w:t>This permission does not entitle you to develop land which does not vest in </w:t>
      </w:r>
      <w:r>
        <w:rPr>
          <w:spacing w:val="-4"/>
          <w:sz w:val="24"/>
        </w:rPr>
        <w:t>you.</w:t>
      </w:r>
    </w:p>
    <w:p>
      <w:pPr>
        <w:pStyle w:val="BodyText"/>
        <w:spacing w:before="238"/>
        <w:ind w:left="873"/>
        <w:jc w:val="left"/>
      </w:pPr>
      <w:r>
        <w:rPr>
          <w:spacing w:val="-2"/>
        </w:rPr>
        <w:t>5…………………………………………………………………………………….</w:t>
      </w:r>
    </w:p>
    <w:p>
      <w:pPr>
        <w:pStyle w:val="BodyText"/>
        <w:spacing w:before="242"/>
        <w:ind w:left="873"/>
        <w:jc w:val="left"/>
      </w:pPr>
      <w:r>
        <w:rPr>
          <w:spacing w:val="-2"/>
        </w:rPr>
        <w:t>6…………………………………………………………………………………….</w:t>
      </w:r>
    </w:p>
    <w:p>
      <w:pPr>
        <w:pStyle w:val="BodyText"/>
        <w:spacing w:before="188"/>
        <w:jc w:val="left"/>
        <w:rPr>
          <w:sz w:val="20"/>
        </w:rPr>
      </w:pPr>
    </w:p>
    <w:p>
      <w:pPr>
        <w:pStyle w:val="BodyText"/>
        <w:spacing w:after="0"/>
        <w:jc w:val="left"/>
        <w:rPr>
          <w:sz w:val="20"/>
        </w:rPr>
        <w:sectPr>
          <w:headerReference w:type="default" r:id="rId98"/>
          <w:footerReference w:type="default" r:id="rId99"/>
          <w:pgSz w:w="11910" w:h="16850"/>
          <w:pgMar w:header="1082" w:footer="945" w:top="1520" w:bottom="1140" w:left="360" w:right="360"/>
          <w:pgNumType w:start="480"/>
        </w:sectPr>
      </w:pPr>
    </w:p>
    <w:p>
      <w:pPr>
        <w:pStyle w:val="BodyText"/>
        <w:jc w:val="left"/>
      </w:pPr>
    </w:p>
    <w:p>
      <w:pPr>
        <w:pStyle w:val="BodyText"/>
        <w:spacing w:before="139"/>
        <w:jc w:val="left"/>
      </w:pPr>
    </w:p>
    <w:p>
      <w:pPr>
        <w:pStyle w:val="BodyText"/>
        <w:tabs>
          <w:tab w:pos="3065" w:val="left" w:leader="dot"/>
        </w:tabs>
        <w:ind w:left="876"/>
        <w:jc w:val="left"/>
      </w:pPr>
      <w:r>
        <w:rPr>
          <w:spacing w:val="-2"/>
        </w:rPr>
        <w:t>Proposal)(…</w:t>
      </w:r>
      <w:r>
        <w:rPr>
          <w:rFonts w:ascii="Times New Roman" w:hAnsi="Times New Roman"/>
        </w:rPr>
        <w:tab/>
      </w:r>
      <w:r>
        <w:rPr>
          <w:spacing w:val="-2"/>
        </w:rPr>
        <w:t>Ward)</w:t>
      </w:r>
    </w:p>
    <w:p>
      <w:pPr>
        <w:pStyle w:val="BodyText"/>
        <w:spacing w:before="100"/>
        <w:ind w:left="106" w:right="1559"/>
        <w:jc w:val="center"/>
      </w:pPr>
      <w:r>
        <w:rPr/>
        <w:br w:type="column"/>
      </w:r>
      <w:r>
        <w:rPr/>
        <w:t>Yours </w:t>
      </w:r>
      <w:r>
        <w:rPr>
          <w:spacing w:val="-2"/>
        </w:rPr>
        <w:t>faithfully,</w:t>
      </w:r>
    </w:p>
    <w:p>
      <w:pPr>
        <w:pStyle w:val="BodyText"/>
        <w:tabs>
          <w:tab w:pos="1776" w:val="left" w:leader="none"/>
          <w:tab w:pos="3360" w:val="left" w:leader="none"/>
        </w:tabs>
        <w:spacing w:before="40"/>
        <w:ind w:left="106"/>
        <w:jc w:val="center"/>
      </w:pPr>
      <w:r>
        <w:rPr>
          <w:spacing w:val="-2"/>
        </w:rPr>
        <w:t>Executive</w:t>
      </w:r>
      <w:r>
        <w:rPr/>
        <w:tab/>
      </w:r>
      <w:r>
        <w:rPr>
          <w:spacing w:val="-2"/>
        </w:rPr>
        <w:t>Engineer</w:t>
      </w:r>
      <w:r>
        <w:rPr/>
        <w:tab/>
      </w:r>
      <w:r>
        <w:rPr>
          <w:spacing w:val="-2"/>
        </w:rPr>
        <w:t>(Building</w:t>
      </w:r>
    </w:p>
    <w:p>
      <w:pPr>
        <w:pStyle w:val="BodyText"/>
        <w:spacing w:after="0"/>
        <w:jc w:val="center"/>
        <w:sectPr>
          <w:type w:val="continuous"/>
          <w:pgSz w:w="11910" w:h="16850"/>
          <w:pgMar w:header="1082" w:footer="945" w:top="1360" w:bottom="280" w:left="360" w:right="360"/>
          <w:cols w:num="2" w:equalWidth="0">
            <w:col w:w="3802" w:space="1422"/>
            <w:col w:w="5966"/>
          </w:cols>
        </w:sectPr>
      </w:pPr>
    </w:p>
    <w:p>
      <w:pPr>
        <w:pStyle w:val="BodyText"/>
        <w:spacing w:before="26"/>
        <w:jc w:val="left"/>
        <w:rPr>
          <w:sz w:val="20"/>
        </w:rPr>
      </w:pPr>
    </w:p>
    <w:p>
      <w:pPr>
        <w:pStyle w:val="BodyText"/>
        <w:spacing w:after="0"/>
        <w:jc w:val="left"/>
        <w:rPr>
          <w:sz w:val="20"/>
        </w:rPr>
        <w:sectPr>
          <w:type w:val="continuous"/>
          <w:pgSz w:w="11910" w:h="16850"/>
          <w:pgMar w:header="1082" w:footer="945" w:top="1360" w:bottom="280" w:left="360" w:right="360"/>
        </w:sectPr>
      </w:pPr>
    </w:p>
    <w:p>
      <w:pPr>
        <w:pStyle w:val="BodyText"/>
        <w:spacing w:before="99"/>
        <w:jc w:val="left"/>
      </w:pPr>
    </w:p>
    <w:p>
      <w:pPr>
        <w:pStyle w:val="BodyText"/>
        <w:spacing w:before="1"/>
        <w:ind w:left="876"/>
        <w:jc w:val="left"/>
      </w:pPr>
      <w:r>
        <w:rPr/>
        <w:t>Greater </w:t>
      </w:r>
      <w:r>
        <w:rPr>
          <w:spacing w:val="-2"/>
        </w:rPr>
        <w:t>Mumbai.</w:t>
      </w:r>
    </w:p>
    <w:p>
      <w:pPr>
        <w:pStyle w:val="BodyText"/>
        <w:spacing w:before="41"/>
        <w:jc w:val="left"/>
      </w:pPr>
    </w:p>
    <w:p>
      <w:pPr>
        <w:spacing w:before="0"/>
        <w:ind w:left="876" w:right="0" w:firstLine="0"/>
        <w:jc w:val="left"/>
        <w:rPr>
          <w:sz w:val="24"/>
        </w:rPr>
      </w:pPr>
      <w:r>
        <w:rPr>
          <w:spacing w:val="-2"/>
          <w:sz w:val="24"/>
        </w:rPr>
        <w:t>………………………….</w:t>
      </w:r>
    </w:p>
    <w:p>
      <w:pPr>
        <w:pStyle w:val="BodyText"/>
        <w:tabs>
          <w:tab w:pos="3655" w:val="left" w:leader="none"/>
        </w:tabs>
        <w:spacing w:line="513" w:lineRule="auto" w:before="100"/>
        <w:ind w:left="876" w:right="767" w:firstLine="76"/>
        <w:jc w:val="left"/>
      </w:pPr>
      <w:r>
        <w:rPr/>
        <w:br w:type="column"/>
      </w:r>
      <w:r>
        <w:rPr/>
        <w:t>Municipal</w:t>
      </w:r>
      <w:r>
        <w:rPr>
          <w:spacing w:val="40"/>
        </w:rPr>
        <w:t> </w:t>
      </w:r>
      <w:r>
        <w:rPr/>
        <w:t>Corporation</w:t>
      </w:r>
      <w:r>
        <w:rPr>
          <w:spacing w:val="40"/>
        </w:rPr>
        <w:t> </w:t>
      </w:r>
      <w:r>
        <w:rPr/>
        <w:t>of </w:t>
      </w:r>
      <w:r>
        <w:rPr>
          <w:spacing w:val="-2"/>
        </w:rPr>
        <w:t>Office</w:t>
      </w:r>
      <w:r>
        <w:rPr/>
        <w:tab/>
      </w:r>
      <w:r>
        <w:rPr>
          <w:spacing w:val="-5"/>
        </w:rPr>
        <w:t>No.</w:t>
      </w:r>
    </w:p>
    <w:p>
      <w:pPr>
        <w:pStyle w:val="BodyText"/>
        <w:spacing w:after="0" w:line="513" w:lineRule="auto"/>
        <w:jc w:val="left"/>
        <w:sectPr>
          <w:type w:val="continuous"/>
          <w:pgSz w:w="11910" w:h="16850"/>
          <w:pgMar w:header="1082" w:footer="945" w:top="1360" w:bottom="280" w:left="360" w:right="360"/>
          <w:cols w:num="2" w:equalWidth="0">
            <w:col w:w="3394" w:space="2982"/>
            <w:col w:w="4814"/>
          </w:cols>
        </w:sectPr>
      </w:pPr>
    </w:p>
    <w:p>
      <w:pPr>
        <w:pStyle w:val="BodyText"/>
        <w:tabs>
          <w:tab w:pos="9656" w:val="left" w:leader="none"/>
        </w:tabs>
        <w:spacing w:line="281" w:lineRule="exact" w:before="218"/>
        <w:ind w:left="7328"/>
        <w:jc w:val="left"/>
      </w:pPr>
      <w:r>
        <w:rPr>
          <w:spacing w:val="-2"/>
        </w:rPr>
        <w:t>Office</w:t>
      </w:r>
      <w:r>
        <w:rPr/>
        <w:tab/>
      </w:r>
      <w:r>
        <w:rPr>
          <w:spacing w:val="-2"/>
        </w:rPr>
        <w:t>Stamp</w:t>
      </w:r>
    </w:p>
    <w:p>
      <w:pPr>
        <w:spacing w:line="281" w:lineRule="exact" w:before="0"/>
        <w:ind w:left="876" w:right="0" w:firstLine="0"/>
        <w:jc w:val="left"/>
        <w:rPr>
          <w:sz w:val="24"/>
        </w:rPr>
      </w:pPr>
      <w:r>
        <w:rPr>
          <w:spacing w:val="-2"/>
          <w:sz w:val="24"/>
        </w:rPr>
        <w:t>……………………………………..</w:t>
      </w:r>
    </w:p>
    <w:p>
      <w:pPr>
        <w:pStyle w:val="BodyText"/>
        <w:spacing w:before="42"/>
        <w:ind w:left="876"/>
        <w:jc w:val="left"/>
      </w:pPr>
      <w:r>
        <w:rPr/>
        <w:t>Date</w:t>
      </w:r>
      <w:r>
        <w:rPr>
          <w:spacing w:val="76"/>
        </w:rPr>
        <w:t> </w:t>
      </w:r>
      <w:r>
        <w:rPr>
          <w:spacing w:val="-2"/>
        </w:rPr>
        <w:t>……………………………………………….</w:t>
      </w:r>
    </w:p>
    <w:p>
      <w:pPr>
        <w:pStyle w:val="BodyText"/>
        <w:spacing w:before="279"/>
        <w:jc w:val="left"/>
      </w:pPr>
    </w:p>
    <w:p>
      <w:pPr>
        <w:pStyle w:val="Heading4"/>
        <w:ind w:left="1548" w:right="1449"/>
      </w:pPr>
      <w:r>
        <w:rPr/>
        <w:t>ANNEXURE</w:t>
      </w:r>
      <w:r>
        <w:rPr>
          <w:spacing w:val="-8"/>
        </w:rPr>
        <w:t> </w:t>
      </w:r>
      <w:r>
        <w:rPr>
          <w:spacing w:val="-5"/>
        </w:rPr>
        <w:t>12</w:t>
      </w:r>
    </w:p>
    <w:p>
      <w:pPr>
        <w:pStyle w:val="Heading5"/>
        <w:spacing w:before="239"/>
        <w:ind w:left="1548" w:right="1448"/>
        <w:jc w:val="center"/>
      </w:pPr>
      <w:r>
        <w:rPr/>
        <w:t>[Regulation</w:t>
      </w:r>
      <w:r>
        <w:rPr>
          <w:spacing w:val="-5"/>
        </w:rPr>
        <w:t> </w:t>
      </w:r>
      <w:r>
        <w:rPr/>
        <w:t>10(5)</w:t>
      </w:r>
      <w:r>
        <w:rPr>
          <w:spacing w:val="-5"/>
        </w:rPr>
        <w:t> </w:t>
      </w:r>
      <w:r>
        <w:rPr>
          <w:spacing w:val="-4"/>
        </w:rPr>
        <w:t>(i)]</w:t>
      </w:r>
    </w:p>
    <w:p>
      <w:pPr>
        <w:pStyle w:val="BodyText"/>
        <w:tabs>
          <w:tab w:pos="1751" w:val="left" w:leader="none"/>
          <w:tab w:pos="2221" w:val="left" w:leader="none"/>
          <w:tab w:pos="3287" w:val="left" w:leader="none"/>
          <w:tab w:pos="3757" w:val="left" w:leader="none"/>
          <w:tab w:pos="5538" w:val="left" w:leader="none"/>
          <w:tab w:pos="7167" w:val="left" w:leader="none"/>
          <w:tab w:pos="8420" w:val="left" w:leader="none"/>
          <w:tab w:pos="9969" w:val="left" w:leader="none"/>
        </w:tabs>
        <w:spacing w:before="242"/>
        <w:ind w:left="873" w:right="768"/>
        <w:jc w:val="left"/>
      </w:pPr>
      <w:r>
        <w:rPr>
          <w:spacing w:val="-4"/>
        </w:rPr>
        <w:t>Form</w:t>
      </w:r>
      <w:r>
        <w:rPr/>
        <w:tab/>
      </w:r>
      <w:r>
        <w:rPr>
          <w:spacing w:val="-6"/>
        </w:rPr>
        <w:t>of</w:t>
      </w:r>
      <w:r>
        <w:rPr/>
        <w:tab/>
      </w:r>
      <w:r>
        <w:rPr>
          <w:spacing w:val="-2"/>
        </w:rPr>
        <w:t>refusal</w:t>
      </w:r>
      <w:r>
        <w:rPr/>
        <w:tab/>
      </w:r>
      <w:r>
        <w:rPr>
          <w:spacing w:val="-6"/>
        </w:rPr>
        <w:t>of</w:t>
      </w:r>
      <w:r>
        <w:rPr/>
        <w:tab/>
      </w:r>
      <w:r>
        <w:rPr>
          <w:spacing w:val="-2"/>
        </w:rPr>
        <w:t>Development</w:t>
      </w:r>
      <w:r>
        <w:rPr/>
        <w:tab/>
      </w:r>
      <w:r>
        <w:rPr>
          <w:spacing w:val="-2"/>
        </w:rPr>
        <w:t>Permission,</w:t>
      </w:r>
      <w:r>
        <w:rPr/>
        <w:tab/>
      </w:r>
      <w:r>
        <w:rPr>
          <w:spacing w:val="-2"/>
        </w:rPr>
        <w:t>Building</w:t>
      </w:r>
      <w:r>
        <w:rPr/>
        <w:tab/>
      </w:r>
      <w:r>
        <w:rPr>
          <w:spacing w:val="-2"/>
        </w:rPr>
        <w:t>Permission</w:t>
      </w:r>
      <w:r>
        <w:rPr/>
        <w:tab/>
      </w:r>
      <w:r>
        <w:rPr>
          <w:spacing w:val="-4"/>
        </w:rPr>
        <w:t>and </w:t>
      </w:r>
      <w:r>
        <w:rPr/>
        <w:t>Commencement Certificate</w:t>
      </w:r>
    </w:p>
    <w:p>
      <w:pPr>
        <w:pStyle w:val="BodyText"/>
        <w:spacing w:before="238"/>
        <w:ind w:left="873"/>
        <w:jc w:val="left"/>
      </w:pPr>
      <w:r>
        <w:rPr>
          <w:spacing w:val="-5"/>
        </w:rPr>
        <w:t>To</w:t>
      </w:r>
    </w:p>
    <w:p>
      <w:pPr>
        <w:pStyle w:val="BodyText"/>
        <w:spacing w:before="1"/>
        <w:jc w:val="left"/>
        <w:rPr>
          <w:sz w:val="12"/>
        </w:rPr>
      </w:pPr>
    </w:p>
    <w:p>
      <w:pPr>
        <w:pStyle w:val="BodyText"/>
        <w:spacing w:after="0"/>
        <w:jc w:val="left"/>
        <w:rPr>
          <w:sz w:val="12"/>
        </w:rPr>
        <w:sectPr>
          <w:pgSz w:w="11910" w:h="16850"/>
          <w:pgMar w:header="1082" w:footer="945" w:top="1520" w:bottom="1140" w:left="360" w:right="360"/>
        </w:sectPr>
      </w:pPr>
    </w:p>
    <w:p>
      <w:pPr>
        <w:pStyle w:val="BodyText"/>
        <w:jc w:val="left"/>
      </w:pPr>
    </w:p>
    <w:p>
      <w:pPr>
        <w:pStyle w:val="BodyText"/>
        <w:jc w:val="left"/>
      </w:pPr>
    </w:p>
    <w:p>
      <w:pPr>
        <w:pStyle w:val="BodyText"/>
        <w:jc w:val="left"/>
      </w:pPr>
    </w:p>
    <w:p>
      <w:pPr>
        <w:pStyle w:val="BodyText"/>
        <w:jc w:val="left"/>
      </w:pPr>
    </w:p>
    <w:p>
      <w:pPr>
        <w:pStyle w:val="BodyText"/>
        <w:spacing w:before="256"/>
        <w:jc w:val="left"/>
      </w:pPr>
    </w:p>
    <w:p>
      <w:pPr>
        <w:pStyle w:val="BodyText"/>
        <w:jc w:val="right"/>
      </w:pPr>
      <w:r>
        <w:rPr>
          <w:spacing w:val="-4"/>
        </w:rPr>
        <w:t>Sir,</w:t>
      </w:r>
    </w:p>
    <w:p>
      <w:pPr>
        <w:spacing w:before="100"/>
        <w:ind w:left="161" w:right="0" w:firstLine="0"/>
        <w:jc w:val="left"/>
        <w:rPr>
          <w:sz w:val="24"/>
        </w:rPr>
      </w:pPr>
      <w:r>
        <w:rPr/>
        <w:br w:type="column"/>
      </w:r>
      <w:r>
        <w:rPr>
          <w:spacing w:val="-2"/>
          <w:sz w:val="24"/>
        </w:rPr>
        <w:t>…………………………………………….</w:t>
      </w:r>
    </w:p>
    <w:p>
      <w:pPr>
        <w:spacing w:before="239"/>
        <w:ind w:left="161" w:right="0" w:firstLine="0"/>
        <w:jc w:val="left"/>
        <w:rPr>
          <w:sz w:val="24"/>
        </w:rPr>
      </w:pPr>
      <w:r>
        <w:rPr>
          <w:spacing w:val="-2"/>
          <w:sz w:val="24"/>
        </w:rPr>
        <w:t>…………………………………………….</w:t>
      </w:r>
    </w:p>
    <w:p>
      <w:pPr>
        <w:spacing w:before="242"/>
        <w:ind w:left="238" w:right="0" w:firstLine="0"/>
        <w:jc w:val="left"/>
        <w:rPr>
          <w:sz w:val="24"/>
        </w:rPr>
      </w:pPr>
      <w:r>
        <w:rPr>
          <w:spacing w:val="-2"/>
          <w:sz w:val="24"/>
        </w:rPr>
        <w:t>……………………………………………</w:t>
      </w:r>
    </w:p>
    <w:p>
      <w:pPr>
        <w:spacing w:after="0"/>
        <w:jc w:val="left"/>
        <w:rPr>
          <w:sz w:val="24"/>
        </w:rPr>
        <w:sectPr>
          <w:type w:val="continuous"/>
          <w:pgSz w:w="11910" w:h="16850"/>
          <w:pgMar w:header="1082" w:footer="945" w:top="1360" w:bottom="280" w:left="360" w:right="360"/>
          <w:cols w:num="2" w:equalWidth="0">
            <w:col w:w="1287" w:space="40"/>
            <w:col w:w="9863"/>
          </w:cols>
        </w:sectPr>
      </w:pPr>
    </w:p>
    <w:p>
      <w:pPr>
        <w:pStyle w:val="BodyText"/>
        <w:spacing w:before="239"/>
        <w:ind w:left="1258"/>
        <w:jc w:val="left"/>
      </w:pPr>
      <w:r>
        <w:rPr/>
        <w:t>With</w:t>
      </w:r>
      <w:r>
        <w:rPr>
          <w:spacing w:val="-1"/>
        </w:rPr>
        <w:t> </w:t>
      </w:r>
      <w:r>
        <w:rPr/>
        <w:t>reference</w:t>
      </w:r>
      <w:r>
        <w:rPr>
          <w:spacing w:val="-1"/>
        </w:rPr>
        <w:t> </w:t>
      </w:r>
      <w:r>
        <w:rPr/>
        <w:t>to</w:t>
      </w:r>
      <w:r>
        <w:rPr>
          <w:spacing w:val="-1"/>
        </w:rPr>
        <w:t> </w:t>
      </w:r>
      <w:r>
        <w:rPr/>
        <w:t>your</w:t>
      </w:r>
      <w:r>
        <w:rPr>
          <w:spacing w:val="-1"/>
        </w:rPr>
        <w:t> </w:t>
      </w:r>
      <w:r>
        <w:rPr>
          <w:spacing w:val="-2"/>
        </w:rPr>
        <w:t>application</w:t>
      </w:r>
    </w:p>
    <w:p>
      <w:pPr>
        <w:pStyle w:val="BodyText"/>
        <w:tabs>
          <w:tab w:pos="2188" w:val="left" w:leader="none"/>
          <w:tab w:pos="5970" w:val="left" w:leader="none"/>
          <w:tab w:pos="10097" w:val="left" w:leader="none"/>
        </w:tabs>
        <w:spacing w:before="242"/>
        <w:ind w:left="873" w:right="771"/>
      </w:pPr>
      <w:r>
        <w:rPr/>
        <w:t>No……………………………..dated…………………………for the grant of sanction of the development works; the erection of a</w:t>
      </w:r>
      <w:r>
        <w:rPr>
          <w:spacing w:val="-1"/>
        </w:rPr>
        <w:t> </w:t>
      </w:r>
      <w:r>
        <w:rPr/>
        <w:t>building/execution of work for Building </w:t>
      </w:r>
      <w:r>
        <w:rPr>
          <w:spacing w:val="-5"/>
        </w:rPr>
        <w:t>on</w:t>
      </w:r>
      <w:r>
        <w:rPr/>
        <w:tab/>
      </w:r>
      <w:r>
        <w:rPr>
          <w:spacing w:val="-2"/>
        </w:rPr>
        <w:t>………………………..plot</w:t>
      </w:r>
      <w:r>
        <w:rPr/>
        <w:tab/>
      </w:r>
      <w:r>
        <w:rPr>
          <w:spacing w:val="-2"/>
        </w:rPr>
        <w:t>No./C.S.No./C.T.S.No/F.P</w:t>
      </w:r>
      <w:r>
        <w:rPr/>
        <w:tab/>
      </w:r>
      <w:r>
        <w:rPr>
          <w:spacing w:val="-5"/>
        </w:rPr>
        <w:t>No</w:t>
      </w:r>
    </w:p>
    <w:p>
      <w:pPr>
        <w:pStyle w:val="BodyText"/>
        <w:tabs>
          <w:tab w:pos="6301" w:val="left" w:leader="none"/>
          <w:tab w:pos="7207" w:val="left" w:leader="none"/>
          <w:tab w:pos="8980" w:val="left" w:leader="none"/>
          <w:tab w:pos="9497" w:val="left" w:leader="none"/>
        </w:tabs>
        <w:ind w:left="873" w:right="767"/>
      </w:pPr>
      <w:r>
        <w:rPr>
          <w:spacing w:val="-2"/>
        </w:rPr>
        <w:t>.of………………………….Divn./Village/Town</w:t>
      </w:r>
      <w:r>
        <w:rPr/>
        <w:tab/>
        <w:tab/>
      </w:r>
      <w:r>
        <w:rPr>
          <w:spacing w:val="-2"/>
        </w:rPr>
        <w:t>Planning</w:t>
      </w:r>
      <w:r>
        <w:rPr/>
        <w:tab/>
        <w:tab/>
      </w:r>
      <w:r>
        <w:rPr>
          <w:spacing w:val="-2"/>
        </w:rPr>
        <w:t>Scheme No…………………………….Situated</w:t>
      </w:r>
      <w:r>
        <w:rPr/>
        <w:tab/>
      </w:r>
      <w:r>
        <w:rPr>
          <w:spacing w:val="-2"/>
        </w:rPr>
        <w:t>at………….</w:t>
      </w:r>
      <w:r>
        <w:rPr/>
        <w:tab/>
      </w:r>
      <w:r>
        <w:rPr>
          <w:spacing w:val="-2"/>
        </w:rPr>
        <w:t>Road/Street</w:t>
      </w:r>
    </w:p>
    <w:p>
      <w:pPr>
        <w:pStyle w:val="BodyText"/>
        <w:ind w:left="873" w:right="768"/>
      </w:pPr>
      <w:r>
        <w:rPr/>
        <w:t>………………………………..Ward…………………………………, I regret to inform </w:t>
      </w:r>
      <w:r>
        <w:rPr/>
        <w:t>you that the sanction is refused on the following grounds under Section 346 of the Mumbai Municipal Corporation Act, 1888, and under Section 45/69 of the Maharashtra Regional and Town Planning Act, 1966.</w:t>
      </w:r>
    </w:p>
    <w:p>
      <w:pPr>
        <w:pStyle w:val="ListParagraph"/>
        <w:numPr>
          <w:ilvl w:val="0"/>
          <w:numId w:val="390"/>
        </w:numPr>
        <w:tabs>
          <w:tab w:pos="1255" w:val="left" w:leader="none"/>
        </w:tabs>
        <w:spacing w:line="240" w:lineRule="auto" w:before="239" w:after="0"/>
        <w:ind w:left="1255" w:right="0" w:hanging="379"/>
        <w:jc w:val="left"/>
        <w:rPr>
          <w:sz w:val="24"/>
        </w:rPr>
      </w:pPr>
      <w:r>
        <w:rPr>
          <w:spacing w:val="-2"/>
          <w:sz w:val="24"/>
        </w:rPr>
        <w:t>…………………………………….</w:t>
      </w:r>
    </w:p>
    <w:p>
      <w:pPr>
        <w:pStyle w:val="BodyText"/>
        <w:spacing w:before="40"/>
        <w:ind w:left="876"/>
        <w:jc w:val="left"/>
      </w:pPr>
      <w:r>
        <w:rPr/>
        <w:t>2 </w:t>
      </w:r>
      <w:r>
        <w:rPr>
          <w:spacing w:val="-2"/>
        </w:rPr>
        <w:t>…………………………………….</w:t>
      </w:r>
    </w:p>
    <w:p>
      <w:pPr>
        <w:pStyle w:val="ListParagraph"/>
        <w:numPr>
          <w:ilvl w:val="0"/>
          <w:numId w:val="391"/>
        </w:numPr>
        <w:tabs>
          <w:tab w:pos="1255" w:val="left" w:leader="none"/>
        </w:tabs>
        <w:spacing w:line="240" w:lineRule="auto" w:before="41" w:after="0"/>
        <w:ind w:left="1255" w:right="0" w:hanging="379"/>
        <w:jc w:val="left"/>
        <w:rPr>
          <w:sz w:val="24"/>
        </w:rPr>
      </w:pPr>
      <w:r>
        <w:rPr>
          <w:spacing w:val="-2"/>
          <w:sz w:val="24"/>
        </w:rPr>
        <w:t>…………………………………….</w:t>
      </w:r>
    </w:p>
    <w:p>
      <w:pPr>
        <w:pStyle w:val="ListParagraph"/>
        <w:numPr>
          <w:ilvl w:val="0"/>
          <w:numId w:val="391"/>
        </w:numPr>
        <w:tabs>
          <w:tab w:pos="1255" w:val="left" w:leader="none"/>
        </w:tabs>
        <w:spacing w:line="240" w:lineRule="auto" w:before="39" w:after="0"/>
        <w:ind w:left="1255" w:right="0" w:hanging="379"/>
        <w:jc w:val="left"/>
        <w:rPr>
          <w:sz w:val="24"/>
        </w:rPr>
      </w:pPr>
      <w:r>
        <w:rPr>
          <w:spacing w:val="-2"/>
          <w:sz w:val="24"/>
        </w:rPr>
        <w:t>…………………………………….</w:t>
      </w:r>
    </w:p>
    <w:p>
      <w:pPr>
        <w:pStyle w:val="ListParagraph"/>
        <w:numPr>
          <w:ilvl w:val="0"/>
          <w:numId w:val="391"/>
        </w:numPr>
        <w:tabs>
          <w:tab w:pos="1255" w:val="left" w:leader="none"/>
        </w:tabs>
        <w:spacing w:line="240" w:lineRule="auto" w:before="40" w:after="0"/>
        <w:ind w:left="1255" w:right="0" w:hanging="379"/>
        <w:jc w:val="left"/>
        <w:rPr>
          <w:sz w:val="24"/>
        </w:rPr>
      </w:pPr>
      <w:r>
        <w:rPr>
          <w:spacing w:val="-2"/>
          <w:sz w:val="24"/>
        </w:rPr>
        <w:t>…………………………………….</w:t>
      </w:r>
    </w:p>
    <w:p>
      <w:pPr>
        <w:pStyle w:val="ListParagraph"/>
        <w:numPr>
          <w:ilvl w:val="0"/>
          <w:numId w:val="391"/>
        </w:numPr>
        <w:tabs>
          <w:tab w:pos="1255" w:val="left" w:leader="none"/>
        </w:tabs>
        <w:spacing w:line="240" w:lineRule="auto" w:before="40" w:after="0"/>
        <w:ind w:left="1255" w:right="0" w:hanging="379"/>
        <w:jc w:val="left"/>
        <w:rPr>
          <w:sz w:val="24"/>
        </w:rPr>
      </w:pPr>
      <w:r>
        <w:rPr>
          <w:spacing w:val="-2"/>
          <w:sz w:val="24"/>
        </w:rPr>
        <w:t>…………………………………….</w:t>
      </w:r>
    </w:p>
    <w:p>
      <w:pPr>
        <w:pStyle w:val="BodyText"/>
        <w:jc w:val="left"/>
        <w:rPr>
          <w:sz w:val="19"/>
        </w:rPr>
      </w:pPr>
    </w:p>
    <w:p>
      <w:pPr>
        <w:pStyle w:val="BodyText"/>
        <w:spacing w:after="0"/>
        <w:jc w:val="left"/>
        <w:rPr>
          <w:sz w:val="19"/>
        </w:rPr>
        <w:sectPr>
          <w:type w:val="continuous"/>
          <w:pgSz w:w="11910" w:h="16850"/>
          <w:pgMar w:header="1082" w:footer="945" w:top="1360" w:bottom="280" w:left="360" w:right="360"/>
        </w:sectPr>
      </w:pPr>
    </w:p>
    <w:p>
      <w:pPr>
        <w:pStyle w:val="BodyText"/>
        <w:spacing w:before="100"/>
        <w:ind w:left="873"/>
        <w:jc w:val="left"/>
      </w:pPr>
      <w:r>
        <w:rPr/>
        <w:t>Yours </w:t>
      </w:r>
      <w:r>
        <w:rPr>
          <w:spacing w:val="-2"/>
        </w:rPr>
        <w:t>faithfully,</w:t>
      </w:r>
    </w:p>
    <w:p>
      <w:pPr>
        <w:spacing w:line="240" w:lineRule="auto" w:before="0"/>
        <w:rPr>
          <w:sz w:val="24"/>
        </w:rPr>
      </w:pPr>
      <w:r>
        <w:rPr/>
        <w:br w:type="column"/>
      </w:r>
      <w:r>
        <w:rPr>
          <w:sz w:val="24"/>
        </w:rPr>
      </w:r>
    </w:p>
    <w:p>
      <w:pPr>
        <w:pStyle w:val="BodyText"/>
        <w:spacing w:before="57"/>
        <w:jc w:val="left"/>
      </w:pPr>
    </w:p>
    <w:p>
      <w:pPr>
        <w:pStyle w:val="BodyText"/>
        <w:tabs>
          <w:tab w:pos="5975" w:val="left" w:leader="dot"/>
        </w:tabs>
        <w:spacing w:before="1"/>
        <w:ind w:left="70"/>
        <w:jc w:val="left"/>
      </w:pPr>
      <w:r>
        <w:rPr/>
        <w:t>Executive</w:t>
      </w:r>
      <w:r>
        <w:rPr>
          <w:spacing w:val="-1"/>
        </w:rPr>
        <w:t> </w:t>
      </w:r>
      <w:r>
        <w:rPr/>
        <w:t>Engineer, (Building </w:t>
      </w:r>
      <w:r>
        <w:rPr>
          <w:spacing w:val="-2"/>
        </w:rPr>
        <w:t>Proposal)(…</w:t>
      </w:r>
      <w:r>
        <w:rPr>
          <w:rFonts w:ascii="Times New Roman" w:hAnsi="Times New Roman"/>
        </w:rPr>
        <w:tab/>
      </w:r>
      <w:r>
        <w:rPr>
          <w:spacing w:val="-2"/>
        </w:rPr>
        <w:t>Ward)</w:t>
      </w:r>
    </w:p>
    <w:p>
      <w:pPr>
        <w:pStyle w:val="BodyText"/>
        <w:spacing w:line="444" w:lineRule="auto" w:before="241"/>
        <w:ind w:left="2293" w:right="1069"/>
        <w:jc w:val="left"/>
      </w:pPr>
      <w:r>
        <w:rPr/>
        <w:t>Municipal</w:t>
      </w:r>
      <w:r>
        <w:rPr>
          <w:spacing w:val="-9"/>
        </w:rPr>
        <w:t> </w:t>
      </w:r>
      <w:r>
        <w:rPr/>
        <w:t>Corporation</w:t>
      </w:r>
      <w:r>
        <w:rPr>
          <w:spacing w:val="-9"/>
        </w:rPr>
        <w:t> </w:t>
      </w:r>
      <w:r>
        <w:rPr/>
        <w:t>of</w:t>
      </w:r>
      <w:r>
        <w:rPr>
          <w:spacing w:val="-9"/>
        </w:rPr>
        <w:t> </w:t>
      </w:r>
      <w:r>
        <w:rPr/>
        <w:t>Greater</w:t>
      </w:r>
      <w:r>
        <w:rPr>
          <w:spacing w:val="-9"/>
        </w:rPr>
        <w:t> </w:t>
      </w:r>
      <w:r>
        <w:rPr/>
        <w:t>Mumbai. Office No. …………………………</w:t>
      </w:r>
    </w:p>
    <w:p>
      <w:pPr>
        <w:pStyle w:val="BodyText"/>
        <w:spacing w:after="0" w:line="444" w:lineRule="auto"/>
        <w:jc w:val="left"/>
        <w:sectPr>
          <w:type w:val="continuous"/>
          <w:pgSz w:w="11910" w:h="16850"/>
          <w:pgMar w:header="1082" w:footer="945" w:top="1360" w:bottom="280" w:left="360" w:right="360"/>
          <w:cols w:num="2" w:equalWidth="0">
            <w:col w:w="2761" w:space="40"/>
            <w:col w:w="8389"/>
          </w:cols>
        </w:sectPr>
      </w:pPr>
    </w:p>
    <w:p>
      <w:pPr>
        <w:pStyle w:val="BodyText"/>
        <w:spacing w:line="444" w:lineRule="auto" w:before="218"/>
        <w:ind w:left="5093" w:right="1164"/>
        <w:jc w:val="left"/>
      </w:pPr>
      <w:r>
        <w:rPr/>
        <w:t>Office</w:t>
      </w:r>
      <w:r>
        <w:rPr>
          <w:spacing w:val="-12"/>
        </w:rPr>
        <w:t> </w:t>
      </w:r>
      <w:r>
        <w:rPr/>
        <w:t>Stamp</w:t>
      </w:r>
      <w:r>
        <w:rPr>
          <w:spacing w:val="40"/>
        </w:rPr>
        <w:t> </w:t>
      </w:r>
      <w:r>
        <w:rPr/>
        <w:t>…………………………….. Date</w:t>
      </w:r>
      <w:r>
        <w:rPr>
          <w:spacing w:val="40"/>
        </w:rPr>
        <w:t> </w:t>
      </w:r>
      <w:r>
        <w:rPr/>
        <w:t>………………………</w:t>
      </w:r>
    </w:p>
    <w:p>
      <w:pPr>
        <w:pStyle w:val="BodyText"/>
        <w:spacing w:before="240"/>
        <w:jc w:val="left"/>
      </w:pPr>
    </w:p>
    <w:p>
      <w:pPr>
        <w:pStyle w:val="Heading4"/>
        <w:spacing w:before="1"/>
        <w:ind w:left="4731"/>
        <w:jc w:val="left"/>
      </w:pPr>
      <w:r>
        <w:rPr/>
        <w:t>ANNEXURE</w:t>
      </w:r>
      <w:r>
        <w:rPr>
          <w:spacing w:val="-8"/>
        </w:rPr>
        <w:t> </w:t>
      </w:r>
      <w:r>
        <w:rPr>
          <w:spacing w:val="-5"/>
        </w:rPr>
        <w:t>13</w:t>
      </w:r>
    </w:p>
    <w:p>
      <w:pPr>
        <w:pStyle w:val="Heading5"/>
        <w:spacing w:before="241"/>
        <w:ind w:left="2035"/>
      </w:pPr>
      <w:r>
        <w:rPr/>
        <w:t>[Regulations</w:t>
      </w:r>
      <w:r>
        <w:rPr>
          <w:spacing w:val="-2"/>
        </w:rPr>
        <w:t> </w:t>
      </w:r>
      <w:r>
        <w:rPr/>
        <w:t>No.11(2)</w:t>
      </w:r>
      <w:r>
        <w:rPr>
          <w:spacing w:val="-1"/>
        </w:rPr>
        <w:t> </w:t>
      </w:r>
      <w:r>
        <w:rPr/>
        <w:t>and</w:t>
      </w:r>
      <w:r>
        <w:rPr>
          <w:spacing w:val="-2"/>
        </w:rPr>
        <w:t> </w:t>
      </w:r>
      <w:r>
        <w:rPr/>
        <w:t>Section</w:t>
      </w:r>
      <w:r>
        <w:rPr>
          <w:spacing w:val="-1"/>
        </w:rPr>
        <w:t> </w:t>
      </w:r>
      <w:r>
        <w:rPr/>
        <w:t>347(i)(a)</w:t>
      </w:r>
      <w:r>
        <w:rPr>
          <w:spacing w:val="-2"/>
        </w:rPr>
        <w:t> </w:t>
      </w:r>
      <w:r>
        <w:rPr/>
        <w:t>of</w:t>
      </w:r>
      <w:r>
        <w:rPr>
          <w:spacing w:val="-1"/>
        </w:rPr>
        <w:t> </w:t>
      </w:r>
      <w:r>
        <w:rPr/>
        <w:t>the</w:t>
      </w:r>
      <w:r>
        <w:rPr>
          <w:spacing w:val="-1"/>
        </w:rPr>
        <w:t> </w:t>
      </w:r>
      <w:r>
        <w:rPr>
          <w:spacing w:val="-2"/>
        </w:rPr>
        <w:t>Mumbai</w:t>
      </w:r>
    </w:p>
    <w:p>
      <w:pPr>
        <w:pStyle w:val="BodyText"/>
        <w:spacing w:line="444" w:lineRule="auto" w:before="239"/>
        <w:ind w:left="4714" w:right="2377"/>
        <w:jc w:val="left"/>
      </w:pPr>
      <w:r>
        <w:rPr/>
        <w:t>Municipal</w:t>
      </w:r>
      <w:r>
        <w:rPr>
          <w:spacing w:val="-12"/>
        </w:rPr>
        <w:t> </w:t>
      </w:r>
      <w:r>
        <w:rPr/>
        <w:t>Corporation</w:t>
      </w:r>
      <w:r>
        <w:rPr>
          <w:spacing w:val="-12"/>
        </w:rPr>
        <w:t> </w:t>
      </w:r>
      <w:r>
        <w:rPr/>
        <w:t>Act,</w:t>
      </w:r>
      <w:r>
        <w:rPr>
          <w:spacing w:val="-12"/>
        </w:rPr>
        <w:t> </w:t>
      </w:r>
      <w:r>
        <w:rPr/>
        <w:t>1888] Form of Notice for Start of Work</w:t>
      </w:r>
    </w:p>
    <w:p>
      <w:pPr>
        <w:pStyle w:val="BodyText"/>
        <w:spacing w:before="2"/>
        <w:ind w:left="873"/>
        <w:jc w:val="left"/>
      </w:pPr>
      <w:r>
        <w:rPr>
          <w:spacing w:val="-5"/>
        </w:rPr>
        <w:t>To</w:t>
      </w:r>
    </w:p>
    <w:p>
      <w:pPr>
        <w:pStyle w:val="BodyText"/>
        <w:spacing w:before="240"/>
        <w:ind w:left="950"/>
        <w:jc w:val="left"/>
      </w:pPr>
      <w:r>
        <w:rPr/>
        <w:t>The</w:t>
      </w:r>
      <w:r>
        <w:rPr>
          <w:spacing w:val="-2"/>
        </w:rPr>
        <w:t> </w:t>
      </w:r>
      <w:r>
        <w:rPr/>
        <w:t>Executive</w:t>
      </w:r>
      <w:r>
        <w:rPr>
          <w:spacing w:val="-1"/>
        </w:rPr>
        <w:t> </w:t>
      </w:r>
      <w:r>
        <w:rPr>
          <w:spacing w:val="-2"/>
        </w:rPr>
        <w:t>Engineer</w:t>
      </w:r>
    </w:p>
    <w:p>
      <w:pPr>
        <w:pStyle w:val="BodyText"/>
        <w:tabs>
          <w:tab w:pos="4689" w:val="left" w:leader="dot"/>
        </w:tabs>
        <w:spacing w:before="241"/>
        <w:ind w:left="873"/>
        <w:jc w:val="left"/>
      </w:pPr>
      <w:r>
        <w:rPr/>
        <w:t>(Building </w:t>
      </w:r>
      <w:r>
        <w:rPr>
          <w:spacing w:val="-2"/>
        </w:rPr>
        <w:t>Proposal),…</w:t>
      </w:r>
      <w:r>
        <w:rPr>
          <w:rFonts w:ascii="Times New Roman" w:hAnsi="Times New Roman"/>
        </w:rPr>
        <w:tab/>
      </w:r>
      <w:r>
        <w:rPr>
          <w:spacing w:val="-2"/>
        </w:rPr>
        <w:t>Ward,</w:t>
      </w:r>
    </w:p>
    <w:p>
      <w:pPr>
        <w:pStyle w:val="BodyText"/>
        <w:spacing w:line="444" w:lineRule="auto" w:before="239"/>
        <w:ind w:left="873" w:right="4416"/>
        <w:jc w:val="left"/>
      </w:pPr>
      <w:r>
        <w:rPr/>
        <w:t>Municipal</w:t>
      </w:r>
      <w:r>
        <w:rPr>
          <w:spacing w:val="-8"/>
        </w:rPr>
        <w:t> </w:t>
      </w:r>
      <w:r>
        <w:rPr/>
        <w:t>Corporation</w:t>
      </w:r>
      <w:r>
        <w:rPr>
          <w:spacing w:val="-8"/>
        </w:rPr>
        <w:t> </w:t>
      </w:r>
      <w:r>
        <w:rPr/>
        <w:t>of</w:t>
      </w:r>
      <w:r>
        <w:rPr>
          <w:spacing w:val="-8"/>
        </w:rPr>
        <w:t> </w:t>
      </w:r>
      <w:r>
        <w:rPr/>
        <w:t>Greater</w:t>
      </w:r>
      <w:r>
        <w:rPr>
          <w:spacing w:val="-8"/>
        </w:rPr>
        <w:t> </w:t>
      </w:r>
      <w:r>
        <w:rPr/>
        <w:t>Mumbai, </w:t>
      </w:r>
      <w:r>
        <w:rPr>
          <w:spacing w:val="-2"/>
        </w:rPr>
        <w:t>Mumbai.</w:t>
      </w:r>
    </w:p>
    <w:p>
      <w:pPr>
        <w:pStyle w:val="BodyText"/>
        <w:spacing w:before="2"/>
        <w:ind w:left="873"/>
        <w:jc w:val="left"/>
      </w:pPr>
      <w:r>
        <w:rPr>
          <w:spacing w:val="-4"/>
        </w:rPr>
        <w:t>Sir,</w:t>
      </w:r>
    </w:p>
    <w:p>
      <w:pPr>
        <w:pStyle w:val="BodyText"/>
        <w:spacing w:before="239"/>
        <w:ind w:left="873" w:right="768" w:firstLine="384"/>
        <w:jc w:val="left"/>
      </w:pPr>
      <w:r>
        <w:rPr/>
        <w:t>The development work/erection/re-erection/demolition or material alteration in/of</w:t>
      </w:r>
      <w:r>
        <w:rPr>
          <w:spacing w:val="21"/>
        </w:rPr>
        <w:t> </w:t>
      </w:r>
      <w:r>
        <w:rPr/>
        <w:t>Building</w:t>
      </w:r>
      <w:r>
        <w:rPr>
          <w:spacing w:val="22"/>
        </w:rPr>
        <w:t> </w:t>
      </w:r>
      <w:r>
        <w:rPr/>
        <w:t>No.</w:t>
      </w:r>
      <w:r>
        <w:rPr>
          <w:spacing w:val="23"/>
        </w:rPr>
        <w:t> </w:t>
      </w:r>
      <w:r>
        <w:rPr/>
        <w:t>……………………….on/in</w:t>
      </w:r>
      <w:r>
        <w:rPr>
          <w:spacing w:val="22"/>
        </w:rPr>
        <w:t> </w:t>
      </w:r>
      <w:r>
        <w:rPr/>
        <w:t>Plot</w:t>
      </w:r>
      <w:r>
        <w:rPr>
          <w:spacing w:val="21"/>
        </w:rPr>
        <w:t> </w:t>
      </w:r>
      <w:r>
        <w:rPr/>
        <w:t>No./C.S.</w:t>
      </w:r>
      <w:r>
        <w:rPr>
          <w:spacing w:val="24"/>
        </w:rPr>
        <w:t> </w:t>
      </w:r>
      <w:r>
        <w:rPr/>
        <w:t>No./C.T.S.No/F.P</w:t>
      </w:r>
      <w:r>
        <w:rPr>
          <w:spacing w:val="22"/>
        </w:rPr>
        <w:t> </w:t>
      </w:r>
      <w:r>
        <w:rPr>
          <w:spacing w:val="-5"/>
        </w:rPr>
        <w:t>No.</w:t>
      </w:r>
    </w:p>
    <w:p>
      <w:pPr>
        <w:pStyle w:val="BodyText"/>
        <w:tabs>
          <w:tab w:pos="3426" w:val="left" w:leader="dot"/>
        </w:tabs>
        <w:spacing w:before="1"/>
        <w:ind w:left="873"/>
        <w:jc w:val="left"/>
      </w:pPr>
      <w:r>
        <w:rPr>
          <w:spacing w:val="-10"/>
        </w:rPr>
        <w:t>…</w:t>
      </w:r>
      <w:r>
        <w:rPr>
          <w:rFonts w:ascii="Times New Roman" w:hAnsi="Times New Roman"/>
        </w:rPr>
        <w:tab/>
      </w:r>
      <w:r>
        <w:rPr/>
        <w:t>Division/Village/Town</w:t>
      </w:r>
      <w:r>
        <w:rPr>
          <w:spacing w:val="-7"/>
        </w:rPr>
        <w:t> </w:t>
      </w:r>
      <w:r>
        <w:rPr/>
        <w:t>Planning</w:t>
      </w:r>
      <w:r>
        <w:rPr>
          <w:spacing w:val="-6"/>
        </w:rPr>
        <w:t> </w:t>
      </w:r>
      <w:r>
        <w:rPr/>
        <w:t>Scheme</w:t>
      </w:r>
      <w:r>
        <w:rPr>
          <w:spacing w:val="-6"/>
        </w:rPr>
        <w:t> </w:t>
      </w:r>
      <w:r>
        <w:rPr>
          <w:spacing w:val="-5"/>
        </w:rPr>
        <w:t>No.</w:t>
      </w:r>
    </w:p>
    <w:p>
      <w:pPr>
        <w:pStyle w:val="BodyText"/>
        <w:tabs>
          <w:tab w:pos="5088" w:val="left" w:leader="none"/>
          <w:tab w:pos="8981" w:val="left" w:leader="dot"/>
        </w:tabs>
        <w:spacing w:before="239"/>
        <w:ind w:left="873"/>
        <w:jc w:val="left"/>
      </w:pPr>
      <w:r>
        <w:rPr>
          <w:spacing w:val="-2"/>
        </w:rPr>
        <w:t>………………………….situated</w:t>
      </w:r>
      <w:r>
        <w:rPr/>
        <w:tab/>
      </w:r>
      <w:r>
        <w:rPr>
          <w:spacing w:val="-5"/>
        </w:rPr>
        <w:t>at</w:t>
      </w:r>
      <w:r>
        <w:rPr/>
        <w:tab/>
      </w:r>
      <w:r>
        <w:rPr>
          <w:spacing w:val="-2"/>
        </w:rPr>
        <w:t>Street/Road</w:t>
      </w:r>
    </w:p>
    <w:p>
      <w:pPr>
        <w:pStyle w:val="BodyText"/>
        <w:tabs>
          <w:tab w:pos="4828" w:val="left" w:leader="none"/>
          <w:tab w:pos="8879" w:val="left" w:leader="none"/>
          <w:tab w:pos="10122" w:val="left" w:leader="none"/>
        </w:tabs>
        <w:spacing w:line="281" w:lineRule="exact" w:before="1"/>
        <w:ind w:left="873"/>
        <w:jc w:val="left"/>
      </w:pPr>
      <w:r>
        <w:rPr>
          <w:spacing w:val="-2"/>
        </w:rPr>
        <w:t>……………………………Ward</w:t>
      </w:r>
      <w:r>
        <w:rPr/>
        <w:tab/>
      </w:r>
      <w:r>
        <w:rPr>
          <w:spacing w:val="-2"/>
        </w:rPr>
        <w:t>……………………………….will</w:t>
      </w:r>
      <w:r>
        <w:rPr/>
        <w:tab/>
      </w:r>
      <w:r>
        <w:rPr>
          <w:spacing w:val="-2"/>
        </w:rPr>
        <w:t>start</w:t>
      </w:r>
      <w:r>
        <w:rPr/>
        <w:tab/>
      </w:r>
      <w:r>
        <w:rPr>
          <w:spacing w:val="-5"/>
        </w:rPr>
        <w:t>on</w:t>
      </w:r>
    </w:p>
    <w:p>
      <w:pPr>
        <w:pStyle w:val="BodyText"/>
        <w:tabs>
          <w:tab w:pos="6534" w:val="left" w:leader="none"/>
        </w:tabs>
        <w:spacing w:line="281" w:lineRule="exact"/>
        <w:ind w:left="873"/>
        <w:jc w:val="left"/>
      </w:pPr>
      <w:r>
        <w:rPr/>
        <w:t>……………………………in</w:t>
      </w:r>
      <w:r>
        <w:rPr>
          <w:spacing w:val="-6"/>
        </w:rPr>
        <w:t> </w:t>
      </w:r>
      <w:r>
        <w:rPr/>
        <w:t>accordance</w:t>
      </w:r>
      <w:r>
        <w:rPr>
          <w:spacing w:val="-6"/>
        </w:rPr>
        <w:t> </w:t>
      </w:r>
      <w:r>
        <w:rPr>
          <w:spacing w:val="-4"/>
        </w:rPr>
        <w:t>with</w:t>
      </w:r>
      <w:r>
        <w:rPr/>
        <w:tab/>
        <w:t>your</w:t>
      </w:r>
      <w:r>
        <w:rPr>
          <w:spacing w:val="65"/>
          <w:w w:val="150"/>
        </w:rPr>
        <w:t> </w:t>
      </w:r>
      <w:r>
        <w:rPr/>
        <w:t>permission</w:t>
      </w:r>
      <w:r>
        <w:rPr>
          <w:spacing w:val="68"/>
        </w:rPr>
        <w:t> </w:t>
      </w:r>
      <w:r>
        <w:rPr>
          <w:spacing w:val="-5"/>
        </w:rPr>
        <w:t>No.</w:t>
      </w:r>
    </w:p>
    <w:p>
      <w:pPr>
        <w:pStyle w:val="BodyText"/>
        <w:spacing w:line="446" w:lineRule="auto"/>
        <w:ind w:left="873" w:right="2377"/>
        <w:jc w:val="left"/>
      </w:pPr>
      <w:r>
        <w:rPr>
          <w:spacing w:val="-2"/>
        </w:rPr>
        <w:t>……………………………………date……………………………………. </w:t>
      </w:r>
      <w:r>
        <w:rPr/>
        <w:t>Under the supervision of …………………………………….</w:t>
      </w:r>
    </w:p>
    <w:p>
      <w:pPr>
        <w:pStyle w:val="BodyText"/>
        <w:spacing w:line="242" w:lineRule="auto"/>
        <w:ind w:left="873" w:right="838"/>
        <w:jc w:val="left"/>
      </w:pPr>
      <w:r>
        <w:rPr/>
        <w:t>Licensed</w:t>
      </w:r>
      <w:r>
        <w:rPr>
          <w:spacing w:val="40"/>
        </w:rPr>
        <w:t> </w:t>
      </w:r>
      <w:r>
        <w:rPr/>
        <w:t>Surveyor/</w:t>
      </w:r>
      <w:r>
        <w:rPr>
          <w:spacing w:val="40"/>
        </w:rPr>
        <w:t> </w:t>
      </w:r>
      <w:r>
        <w:rPr/>
        <w:t>Engineer</w:t>
      </w:r>
      <w:r>
        <w:rPr>
          <w:spacing w:val="40"/>
        </w:rPr>
        <w:t> </w:t>
      </w:r>
      <w:r>
        <w:rPr/>
        <w:t>/Structural</w:t>
      </w:r>
      <w:r>
        <w:rPr>
          <w:spacing w:val="40"/>
        </w:rPr>
        <w:t> </w:t>
      </w:r>
      <w:r>
        <w:rPr/>
        <w:t>Engineer/</w:t>
      </w:r>
      <w:r>
        <w:rPr>
          <w:spacing w:val="40"/>
        </w:rPr>
        <w:t> </w:t>
      </w:r>
      <w:r>
        <w:rPr/>
        <w:t>Supervisor,</w:t>
      </w:r>
      <w:r>
        <w:rPr>
          <w:spacing w:val="40"/>
        </w:rPr>
        <w:t> </w:t>
      </w:r>
      <w:r>
        <w:rPr/>
        <w:t>or</w:t>
      </w:r>
      <w:r>
        <w:rPr>
          <w:spacing w:val="40"/>
        </w:rPr>
        <w:t> </w:t>
      </w:r>
      <w:r>
        <w:rPr/>
        <w:t>Architect</w:t>
      </w:r>
      <w:r>
        <w:rPr>
          <w:spacing w:val="40"/>
        </w:rPr>
        <w:t> </w:t>
      </w:r>
      <w:r>
        <w:rPr/>
        <w:t>License No</w:t>
      </w:r>
    </w:p>
    <w:p>
      <w:pPr>
        <w:pStyle w:val="BodyText"/>
        <w:tabs>
          <w:tab w:pos="3993" w:val="left" w:leader="dot"/>
        </w:tabs>
        <w:spacing w:before="231"/>
        <w:ind w:left="873"/>
        <w:jc w:val="left"/>
      </w:pPr>
      <w:r>
        <w:rPr>
          <w:spacing w:val="-10"/>
        </w:rPr>
        <w:t>…</w:t>
      </w:r>
      <w:r>
        <w:rPr>
          <w:rFonts w:ascii="Times New Roman" w:hAnsi="Times New Roman"/>
        </w:rPr>
        <w:tab/>
      </w:r>
      <w:r>
        <w:rPr/>
        <w:t>and</w:t>
      </w:r>
      <w:r>
        <w:rPr>
          <w:spacing w:val="-1"/>
        </w:rPr>
        <w:t> </w:t>
      </w:r>
      <w:r>
        <w:rPr/>
        <w:t>in</w:t>
      </w:r>
      <w:r>
        <w:rPr>
          <w:spacing w:val="-1"/>
        </w:rPr>
        <w:t> </w:t>
      </w:r>
      <w:r>
        <w:rPr/>
        <w:t>accordance</w:t>
      </w:r>
      <w:r>
        <w:rPr>
          <w:spacing w:val="-1"/>
        </w:rPr>
        <w:t> </w:t>
      </w:r>
      <w:r>
        <w:rPr/>
        <w:t>with</w:t>
      </w:r>
      <w:r>
        <w:rPr>
          <w:spacing w:val="-1"/>
        </w:rPr>
        <w:t> </w:t>
      </w:r>
      <w:r>
        <w:rPr/>
        <w:t>the</w:t>
      </w:r>
      <w:r>
        <w:rPr>
          <w:spacing w:val="-1"/>
        </w:rPr>
        <w:t> </w:t>
      </w:r>
      <w:r>
        <w:rPr/>
        <w:t>plans</w:t>
      </w:r>
      <w:r>
        <w:rPr>
          <w:spacing w:val="-1"/>
        </w:rPr>
        <w:t> </w:t>
      </w:r>
      <w:r>
        <w:rPr>
          <w:spacing w:val="-2"/>
        </w:rPr>
        <w:t>sanctioned.</w:t>
      </w:r>
    </w:p>
    <w:p>
      <w:pPr>
        <w:pStyle w:val="BodyText"/>
        <w:jc w:val="left"/>
      </w:pPr>
    </w:p>
    <w:p>
      <w:pPr>
        <w:pStyle w:val="BodyText"/>
        <w:spacing w:before="199"/>
        <w:jc w:val="left"/>
      </w:pPr>
    </w:p>
    <w:p>
      <w:pPr>
        <w:pStyle w:val="BodyText"/>
        <w:ind w:right="768"/>
        <w:jc w:val="right"/>
      </w:pPr>
      <w:r>
        <w:rPr/>
        <w:t>Yours </w:t>
      </w:r>
      <w:r>
        <w:rPr>
          <w:spacing w:val="-2"/>
        </w:rPr>
        <w:t>faithfully,</w:t>
      </w:r>
    </w:p>
    <w:p>
      <w:pPr>
        <w:pStyle w:val="BodyText"/>
        <w:spacing w:line="281" w:lineRule="exact" w:before="239"/>
        <w:ind w:left="5813"/>
        <w:jc w:val="left"/>
      </w:pPr>
      <w:r>
        <w:rPr/>
        <w:t>Signature of </w:t>
      </w:r>
      <w:r>
        <w:rPr>
          <w:spacing w:val="-2"/>
        </w:rPr>
        <w:t>Owner</w:t>
      </w:r>
    </w:p>
    <w:p>
      <w:pPr>
        <w:spacing w:before="0"/>
        <w:ind w:left="5813" w:right="0" w:firstLine="0"/>
        <w:jc w:val="left"/>
        <w:rPr>
          <w:sz w:val="24"/>
        </w:rPr>
      </w:pPr>
      <w:r>
        <w:rPr>
          <w:spacing w:val="-2"/>
          <w:sz w:val="24"/>
        </w:rPr>
        <w:t>………………………………</w:t>
      </w:r>
    </w:p>
    <w:p>
      <w:pPr>
        <w:spacing w:after="0"/>
        <w:jc w:val="left"/>
        <w:rPr>
          <w:sz w:val="24"/>
        </w:rPr>
        <w:sectPr>
          <w:pgSz w:w="11910" w:h="16850"/>
          <w:pgMar w:header="1082" w:footer="945" w:top="1520" w:bottom="1140" w:left="360" w:right="360"/>
        </w:sectPr>
      </w:pPr>
    </w:p>
    <w:p>
      <w:pPr>
        <w:pStyle w:val="BodyText"/>
        <w:spacing w:line="281" w:lineRule="exact" w:before="218"/>
        <w:ind w:left="5813"/>
        <w:jc w:val="left"/>
      </w:pPr>
      <w:r>
        <w:rPr/>
        <w:t>Name of the </w:t>
      </w:r>
      <w:r>
        <w:rPr>
          <w:spacing w:val="-2"/>
        </w:rPr>
        <w:t>Owner</w:t>
      </w:r>
    </w:p>
    <w:p>
      <w:pPr>
        <w:spacing w:line="281" w:lineRule="exact" w:before="0"/>
        <w:ind w:left="5813" w:right="0" w:firstLine="0"/>
        <w:jc w:val="left"/>
        <w:rPr>
          <w:sz w:val="24"/>
        </w:rPr>
      </w:pPr>
      <w:r>
        <w:rPr>
          <w:spacing w:val="-2"/>
          <w:sz w:val="24"/>
        </w:rPr>
        <w:t>………………………………</w:t>
      </w:r>
    </w:p>
    <w:p>
      <w:pPr>
        <w:pStyle w:val="BodyText"/>
        <w:spacing w:line="281" w:lineRule="exact" w:before="241"/>
        <w:ind w:left="5813"/>
        <w:jc w:val="left"/>
      </w:pPr>
      <w:r>
        <w:rPr/>
        <w:t>In</w:t>
      </w:r>
      <w:r>
        <w:rPr>
          <w:spacing w:val="-3"/>
        </w:rPr>
        <w:t> </w:t>
      </w:r>
      <w:r>
        <w:rPr/>
        <w:t>Block</w:t>
      </w:r>
      <w:r>
        <w:rPr>
          <w:spacing w:val="-1"/>
        </w:rPr>
        <w:t> </w:t>
      </w:r>
      <w:r>
        <w:rPr>
          <w:spacing w:val="-2"/>
        </w:rPr>
        <w:t>Letters</w:t>
      </w:r>
    </w:p>
    <w:p>
      <w:pPr>
        <w:spacing w:line="281" w:lineRule="exact" w:before="0"/>
        <w:ind w:left="5813" w:right="0" w:firstLine="0"/>
        <w:jc w:val="left"/>
        <w:rPr>
          <w:sz w:val="24"/>
        </w:rPr>
      </w:pPr>
      <w:r>
        <w:rPr>
          <w:spacing w:val="-2"/>
          <w:sz w:val="24"/>
        </w:rPr>
        <w:t>………………………………</w:t>
      </w:r>
    </w:p>
    <w:p>
      <w:pPr>
        <w:pStyle w:val="BodyText"/>
        <w:spacing w:line="281" w:lineRule="exact" w:before="242"/>
        <w:ind w:left="5813"/>
        <w:jc w:val="left"/>
      </w:pPr>
      <w:r>
        <w:rPr/>
        <w:t>Address of </w:t>
      </w:r>
      <w:r>
        <w:rPr>
          <w:spacing w:val="-2"/>
        </w:rPr>
        <w:t>Owner</w:t>
      </w:r>
    </w:p>
    <w:p>
      <w:pPr>
        <w:spacing w:line="281" w:lineRule="exact" w:before="0"/>
        <w:ind w:left="5813" w:right="0" w:firstLine="0"/>
        <w:jc w:val="left"/>
        <w:rPr>
          <w:sz w:val="24"/>
        </w:rPr>
      </w:pPr>
      <w:r>
        <w:rPr>
          <w:spacing w:val="-2"/>
          <w:sz w:val="24"/>
        </w:rPr>
        <w:t>……………………………</w:t>
      </w:r>
    </w:p>
    <w:p>
      <w:pPr>
        <w:pStyle w:val="BodyText"/>
        <w:spacing w:before="239"/>
        <w:ind w:left="5813"/>
        <w:jc w:val="left"/>
      </w:pPr>
      <w:r>
        <w:rPr/>
        <w:t>Date:</w:t>
      </w:r>
      <w:r>
        <w:rPr>
          <w:spacing w:val="76"/>
        </w:rPr>
        <w:t> </w:t>
      </w:r>
      <w:r>
        <w:rPr>
          <w:spacing w:val="-2"/>
        </w:rPr>
        <w:t>…………………………….</w:t>
      </w:r>
    </w:p>
    <w:p>
      <w:pPr>
        <w:pStyle w:val="BodyText"/>
        <w:jc w:val="left"/>
        <w:rPr>
          <w:sz w:val="20"/>
        </w:rPr>
      </w:pPr>
    </w:p>
    <w:p>
      <w:pPr>
        <w:pStyle w:val="BodyText"/>
        <w:spacing w:before="193"/>
        <w:jc w:val="left"/>
        <w:rPr>
          <w:sz w:val="20"/>
        </w:rPr>
      </w:pPr>
    </w:p>
    <w:p>
      <w:pPr>
        <w:pStyle w:val="BodyText"/>
        <w:spacing w:after="0"/>
        <w:jc w:val="left"/>
        <w:rPr>
          <w:sz w:val="20"/>
        </w:rPr>
        <w:sectPr>
          <w:pgSz w:w="11910" w:h="16850"/>
          <w:pgMar w:header="1082" w:footer="945" w:top="1520" w:bottom="1140" w:left="360" w:right="360"/>
        </w:sectPr>
      </w:pPr>
    </w:p>
    <w:p>
      <w:pPr>
        <w:pStyle w:val="BodyText"/>
        <w:jc w:val="left"/>
      </w:pPr>
    </w:p>
    <w:p>
      <w:pPr>
        <w:pStyle w:val="BodyText"/>
        <w:jc w:val="left"/>
      </w:pPr>
    </w:p>
    <w:p>
      <w:pPr>
        <w:pStyle w:val="BodyText"/>
        <w:jc w:val="left"/>
      </w:pPr>
    </w:p>
    <w:p>
      <w:pPr>
        <w:pStyle w:val="BodyText"/>
        <w:jc w:val="left"/>
      </w:pPr>
    </w:p>
    <w:p>
      <w:pPr>
        <w:pStyle w:val="BodyText"/>
        <w:spacing w:before="13"/>
        <w:jc w:val="left"/>
      </w:pPr>
    </w:p>
    <w:p>
      <w:pPr>
        <w:pStyle w:val="BodyText"/>
        <w:spacing w:line="446" w:lineRule="auto"/>
        <w:ind w:left="873" w:right="38"/>
        <w:jc w:val="left"/>
      </w:pPr>
      <w:r>
        <w:rPr>
          <w:spacing w:val="-2"/>
        </w:rPr>
        <w:t>Level </w:t>
      </w:r>
      <w:r>
        <w:rPr>
          <w:spacing w:val="-6"/>
        </w:rPr>
        <w:t>To</w:t>
      </w:r>
    </w:p>
    <w:p>
      <w:pPr>
        <w:pStyle w:val="Heading4"/>
        <w:spacing w:before="100"/>
        <w:ind w:left="1504"/>
        <w:jc w:val="left"/>
      </w:pPr>
      <w:r>
        <w:rPr>
          <w:b w:val="0"/>
        </w:rPr>
        <w:br w:type="column"/>
      </w:r>
      <w:r>
        <w:rPr/>
        <w:t>ANNEXURE</w:t>
      </w:r>
      <w:r>
        <w:rPr>
          <w:spacing w:val="-8"/>
        </w:rPr>
        <w:t> </w:t>
      </w:r>
      <w:r>
        <w:rPr>
          <w:spacing w:val="-5"/>
        </w:rPr>
        <w:t>14</w:t>
      </w:r>
    </w:p>
    <w:p>
      <w:pPr>
        <w:pStyle w:val="Heading5"/>
        <w:spacing w:before="242"/>
        <w:ind w:left="3197"/>
      </w:pPr>
      <w:r>
        <w:rPr/>
        <w:t>[Regulations </w:t>
      </w:r>
      <w:r>
        <w:rPr>
          <w:spacing w:val="-2"/>
        </w:rPr>
        <w:t>No.11(4)]</w:t>
      </w:r>
    </w:p>
    <w:p>
      <w:pPr>
        <w:pStyle w:val="BodyText"/>
        <w:spacing w:before="239"/>
        <w:ind w:left="873"/>
        <w:jc w:val="left"/>
      </w:pPr>
      <w:r>
        <w:rPr/>
        <w:t>Form</w:t>
      </w:r>
      <w:r>
        <w:rPr>
          <w:spacing w:val="-1"/>
        </w:rPr>
        <w:t> </w:t>
      </w:r>
      <w:r>
        <w:rPr/>
        <w:t>of</w:t>
      </w:r>
      <w:r>
        <w:rPr>
          <w:spacing w:val="1"/>
        </w:rPr>
        <w:t> </w:t>
      </w:r>
      <w:r>
        <w:rPr/>
        <w:t>intimation</w:t>
      </w:r>
      <w:r>
        <w:rPr>
          <w:spacing w:val="1"/>
        </w:rPr>
        <w:t> </w:t>
      </w:r>
      <w:r>
        <w:rPr/>
        <w:t>of</w:t>
      </w:r>
      <w:r>
        <w:rPr>
          <w:spacing w:val="1"/>
        </w:rPr>
        <w:t> </w:t>
      </w:r>
      <w:r>
        <w:rPr/>
        <w:t>Completion</w:t>
      </w:r>
      <w:r>
        <w:rPr>
          <w:spacing w:val="1"/>
        </w:rPr>
        <w:t> </w:t>
      </w:r>
      <w:r>
        <w:rPr/>
        <w:t>of</w:t>
      </w:r>
      <w:r>
        <w:rPr>
          <w:spacing w:val="1"/>
        </w:rPr>
        <w:t> </w:t>
      </w:r>
      <w:r>
        <w:rPr/>
        <w:t>Work</w:t>
      </w:r>
      <w:r>
        <w:rPr>
          <w:spacing w:val="1"/>
        </w:rPr>
        <w:t> </w:t>
      </w:r>
      <w:r>
        <w:rPr/>
        <w:t>upto</w:t>
      </w:r>
      <w:r>
        <w:rPr>
          <w:spacing w:val="1"/>
        </w:rPr>
        <w:t> </w:t>
      </w:r>
      <w:r>
        <w:rPr>
          <w:spacing w:val="-2"/>
        </w:rPr>
        <w:t>Plinth</w:t>
      </w:r>
    </w:p>
    <w:p>
      <w:pPr>
        <w:pStyle w:val="BodyText"/>
        <w:spacing w:after="0"/>
        <w:jc w:val="left"/>
        <w:sectPr>
          <w:type w:val="continuous"/>
          <w:pgSz w:w="11910" w:h="16850"/>
          <w:pgMar w:header="1082" w:footer="945" w:top="1360" w:bottom="280" w:left="360" w:right="360"/>
          <w:cols w:num="2" w:equalWidth="0">
            <w:col w:w="1505" w:space="1722"/>
            <w:col w:w="7963"/>
          </w:cols>
        </w:sectPr>
      </w:pPr>
    </w:p>
    <w:p>
      <w:pPr>
        <w:pStyle w:val="BodyText"/>
        <w:ind w:left="1258"/>
        <w:jc w:val="left"/>
      </w:pPr>
      <w:r>
        <w:rPr/>
        <w:t>The</w:t>
      </w:r>
      <w:r>
        <w:rPr>
          <w:spacing w:val="-2"/>
        </w:rPr>
        <w:t> </w:t>
      </w:r>
      <w:r>
        <w:rPr/>
        <w:t>Executive</w:t>
      </w:r>
      <w:r>
        <w:rPr>
          <w:spacing w:val="-1"/>
        </w:rPr>
        <w:t> </w:t>
      </w:r>
      <w:r>
        <w:rPr>
          <w:spacing w:val="-2"/>
        </w:rPr>
        <w:t>Engineer</w:t>
      </w:r>
    </w:p>
    <w:p>
      <w:pPr>
        <w:pStyle w:val="BodyText"/>
        <w:tabs>
          <w:tab w:pos="5554" w:val="left" w:leader="dot"/>
        </w:tabs>
        <w:spacing w:before="239"/>
        <w:ind w:left="1258"/>
        <w:jc w:val="left"/>
      </w:pPr>
      <w:r>
        <w:rPr/>
        <w:t>(Building </w:t>
      </w:r>
      <w:r>
        <w:rPr>
          <w:spacing w:val="-2"/>
        </w:rPr>
        <w:t>Proposal)</w:t>
      </w:r>
      <w:r>
        <w:rPr>
          <w:rFonts w:ascii="Times New Roman"/>
        </w:rPr>
        <w:tab/>
      </w:r>
      <w:r>
        <w:rPr>
          <w:spacing w:val="-2"/>
        </w:rPr>
        <w:t>Ward,</w:t>
      </w:r>
    </w:p>
    <w:p>
      <w:pPr>
        <w:pStyle w:val="BodyText"/>
        <w:spacing w:before="241"/>
        <w:ind w:left="1334"/>
        <w:jc w:val="left"/>
      </w:pPr>
      <w:r>
        <w:rPr/>
        <w:t>Municipal</w:t>
      </w:r>
      <w:r>
        <w:rPr>
          <w:spacing w:val="-3"/>
        </w:rPr>
        <w:t> </w:t>
      </w:r>
      <w:r>
        <w:rPr/>
        <w:t>Corporation</w:t>
      </w:r>
      <w:r>
        <w:rPr>
          <w:spacing w:val="-2"/>
        </w:rPr>
        <w:t> </w:t>
      </w:r>
      <w:r>
        <w:rPr/>
        <w:t>of</w:t>
      </w:r>
      <w:r>
        <w:rPr>
          <w:spacing w:val="-3"/>
        </w:rPr>
        <w:t> </w:t>
      </w:r>
      <w:r>
        <w:rPr/>
        <w:t>Greater</w:t>
      </w:r>
      <w:r>
        <w:rPr>
          <w:spacing w:val="-2"/>
        </w:rPr>
        <w:t> Mumbai.</w:t>
      </w:r>
    </w:p>
    <w:p>
      <w:pPr>
        <w:pStyle w:val="BodyText"/>
        <w:spacing w:before="240"/>
        <w:ind w:left="873"/>
        <w:jc w:val="left"/>
      </w:pPr>
      <w:r>
        <w:rPr>
          <w:spacing w:val="-4"/>
        </w:rPr>
        <w:t>Sir,</w:t>
      </w:r>
    </w:p>
    <w:p>
      <w:pPr>
        <w:pStyle w:val="BodyText"/>
        <w:tabs>
          <w:tab w:pos="2190" w:val="left" w:leader="none"/>
          <w:tab w:pos="5173" w:val="left" w:leader="none"/>
          <w:tab w:pos="5943" w:val="left" w:leader="none"/>
          <w:tab w:pos="7289" w:val="left" w:leader="none"/>
          <w:tab w:pos="8146" w:val="left" w:leader="none"/>
          <w:tab w:pos="10017" w:val="left" w:leader="none"/>
        </w:tabs>
        <w:spacing w:before="241"/>
        <w:ind w:left="873" w:right="775" w:firstLine="384"/>
        <w:jc w:val="right"/>
      </w:pPr>
      <w:r>
        <w:rPr/>
        <w:t>The construction upto plinth/column upto plinth level has been completed in </w:t>
      </w:r>
      <w:r>
        <w:rPr>
          <w:spacing w:val="-2"/>
        </w:rPr>
        <w:t>Building</w:t>
      </w:r>
      <w:r>
        <w:rPr/>
        <w:tab/>
      </w:r>
      <w:r>
        <w:rPr>
          <w:spacing w:val="-2"/>
        </w:rPr>
        <w:t>No…………………on/in</w:t>
      </w:r>
      <w:r>
        <w:rPr/>
        <w:tab/>
      </w:r>
      <w:r>
        <w:rPr>
          <w:spacing w:val="-4"/>
        </w:rPr>
        <w:t>Plot</w:t>
      </w:r>
      <w:r>
        <w:rPr/>
        <w:tab/>
      </w:r>
      <w:r>
        <w:rPr>
          <w:spacing w:val="-2"/>
        </w:rPr>
        <w:t>No./C.S.</w:t>
      </w:r>
      <w:r>
        <w:rPr/>
        <w:tab/>
      </w:r>
      <w:r>
        <w:rPr>
          <w:spacing w:val="-4"/>
        </w:rPr>
        <w:t>No./</w:t>
      </w:r>
      <w:r>
        <w:rPr/>
        <w:tab/>
      </w:r>
      <w:r>
        <w:rPr>
          <w:spacing w:val="-2"/>
        </w:rPr>
        <w:t>C.T.S.No/F.P</w:t>
      </w:r>
      <w:r>
        <w:rPr/>
        <w:tab/>
      </w:r>
      <w:r>
        <w:rPr>
          <w:spacing w:val="-5"/>
        </w:rPr>
        <w:t>No.</w:t>
      </w:r>
    </w:p>
    <w:p>
      <w:pPr>
        <w:pStyle w:val="BodyText"/>
        <w:tabs>
          <w:tab w:pos="3232" w:val="left" w:leader="none"/>
          <w:tab w:pos="6313" w:val="left" w:leader="none"/>
          <w:tab w:pos="7793" w:val="left" w:leader="none"/>
          <w:tab w:pos="9149" w:val="left" w:leader="none"/>
        </w:tabs>
        <w:spacing w:line="280" w:lineRule="exact"/>
        <w:ind w:right="772"/>
        <w:jc w:val="right"/>
      </w:pPr>
      <w:r>
        <w:rPr>
          <w:spacing w:val="-2"/>
        </w:rPr>
        <w:t>……………………………..</w:t>
      </w:r>
      <w:r>
        <w:rPr/>
        <w:tab/>
      </w:r>
      <w:r>
        <w:rPr>
          <w:spacing w:val="-2"/>
        </w:rPr>
        <w:t>Division/Village/Town</w:t>
      </w:r>
      <w:r>
        <w:rPr/>
        <w:tab/>
      </w:r>
      <w:r>
        <w:rPr>
          <w:spacing w:val="-2"/>
        </w:rPr>
        <w:t>Planning</w:t>
      </w:r>
      <w:r>
        <w:rPr/>
        <w:tab/>
      </w:r>
      <w:r>
        <w:rPr>
          <w:spacing w:val="-2"/>
        </w:rPr>
        <w:t>Scheme</w:t>
      </w:r>
      <w:r>
        <w:rPr/>
        <w:tab/>
      </w:r>
      <w:r>
        <w:rPr>
          <w:spacing w:val="-5"/>
        </w:rPr>
        <w:t>No.</w:t>
      </w:r>
    </w:p>
    <w:p>
      <w:pPr>
        <w:pStyle w:val="BodyText"/>
        <w:tabs>
          <w:tab w:pos="2574" w:val="left" w:leader="none"/>
          <w:tab w:pos="3460" w:val="left" w:leader="none"/>
          <w:tab w:pos="4369" w:val="left" w:leader="none"/>
          <w:tab w:pos="6036" w:val="left" w:leader="none"/>
          <w:tab w:pos="6802" w:val="left" w:leader="none"/>
        </w:tabs>
        <w:spacing w:before="2"/>
        <w:ind w:left="873" w:right="772"/>
        <w:jc w:val="left"/>
      </w:pPr>
      <w:r>
        <w:rPr>
          <w:spacing w:val="-2"/>
        </w:rPr>
        <w:t>……………………………. Road/Street…………………………Ward…………………………………………………in accordance</w:t>
      </w:r>
      <w:r>
        <w:rPr/>
        <w:tab/>
      </w:r>
      <w:r>
        <w:rPr>
          <w:spacing w:val="-4"/>
        </w:rPr>
        <w:t>with</w:t>
      </w:r>
      <w:r>
        <w:rPr/>
        <w:tab/>
      </w:r>
      <w:r>
        <w:rPr>
          <w:spacing w:val="-4"/>
        </w:rPr>
        <w:t>your</w:t>
      </w:r>
      <w:r>
        <w:rPr/>
        <w:tab/>
      </w:r>
      <w:r>
        <w:rPr>
          <w:spacing w:val="-2"/>
        </w:rPr>
        <w:t>permission</w:t>
      </w:r>
      <w:r>
        <w:rPr/>
        <w:tab/>
      </w:r>
      <w:r>
        <w:rPr>
          <w:spacing w:val="-5"/>
        </w:rPr>
        <w:t>No.</w:t>
      </w:r>
      <w:r>
        <w:rPr/>
        <w:tab/>
      </w:r>
      <w:r>
        <w:rPr>
          <w:spacing w:val="-2"/>
        </w:rPr>
        <w:t>……………………………….dated</w:t>
      </w:r>
    </w:p>
    <w:p>
      <w:pPr>
        <w:pStyle w:val="BodyText"/>
        <w:ind w:left="873"/>
        <w:jc w:val="left"/>
      </w:pPr>
      <w:r>
        <w:rPr/>
        <w:t>………………………………..under</w:t>
      </w:r>
      <w:r>
        <w:rPr>
          <w:spacing w:val="80"/>
        </w:rPr>
        <w:t> </w:t>
      </w:r>
      <w:r>
        <w:rPr/>
        <w:t>my</w:t>
      </w:r>
      <w:r>
        <w:rPr>
          <w:spacing w:val="80"/>
        </w:rPr>
        <w:t> </w:t>
      </w:r>
      <w:r>
        <w:rPr/>
        <w:t>supervision</w:t>
      </w:r>
      <w:r>
        <w:rPr>
          <w:spacing w:val="80"/>
        </w:rPr>
        <w:t> </w:t>
      </w:r>
      <w:r>
        <w:rPr/>
        <w:t>and</w:t>
      </w:r>
      <w:r>
        <w:rPr>
          <w:spacing w:val="80"/>
        </w:rPr>
        <w:t> </w:t>
      </w:r>
      <w:r>
        <w:rPr/>
        <w:t>in</w:t>
      </w:r>
      <w:r>
        <w:rPr>
          <w:spacing w:val="80"/>
        </w:rPr>
        <w:t> </w:t>
      </w:r>
      <w:r>
        <w:rPr/>
        <w:t>accordance</w:t>
      </w:r>
      <w:r>
        <w:rPr>
          <w:spacing w:val="80"/>
        </w:rPr>
        <w:t> </w:t>
      </w:r>
      <w:r>
        <w:rPr/>
        <w:t>with</w:t>
      </w:r>
      <w:r>
        <w:rPr>
          <w:spacing w:val="80"/>
        </w:rPr>
        <w:t> </w:t>
      </w:r>
      <w:r>
        <w:rPr/>
        <w:t>the sanctioned plan.</w:t>
      </w:r>
    </w:p>
    <w:p>
      <w:pPr>
        <w:pStyle w:val="BodyText"/>
        <w:spacing w:before="240"/>
        <w:ind w:left="873" w:right="768" w:firstLine="384"/>
        <w:jc w:val="left"/>
      </w:pPr>
      <w:r>
        <w:rPr/>
        <w:t>Please</w:t>
      </w:r>
      <w:r>
        <w:rPr>
          <w:spacing w:val="-10"/>
        </w:rPr>
        <w:t> </w:t>
      </w:r>
      <w:r>
        <w:rPr/>
        <w:t>check</w:t>
      </w:r>
      <w:r>
        <w:rPr>
          <w:spacing w:val="-10"/>
        </w:rPr>
        <w:t> </w:t>
      </w:r>
      <w:r>
        <w:rPr/>
        <w:t>the</w:t>
      </w:r>
      <w:r>
        <w:rPr>
          <w:spacing w:val="-10"/>
        </w:rPr>
        <w:t> </w:t>
      </w:r>
      <w:r>
        <w:rPr/>
        <w:t>completed</w:t>
      </w:r>
      <w:r>
        <w:rPr>
          <w:spacing w:val="-10"/>
        </w:rPr>
        <w:t> </w:t>
      </w:r>
      <w:r>
        <w:rPr/>
        <w:t>work</w:t>
      </w:r>
      <w:r>
        <w:rPr>
          <w:spacing w:val="-10"/>
        </w:rPr>
        <w:t> </w:t>
      </w:r>
      <w:r>
        <w:rPr/>
        <w:t>and</w:t>
      </w:r>
      <w:r>
        <w:rPr>
          <w:spacing w:val="-10"/>
        </w:rPr>
        <w:t> </w:t>
      </w:r>
      <w:r>
        <w:rPr/>
        <w:t>permit</w:t>
      </w:r>
      <w:r>
        <w:rPr>
          <w:spacing w:val="-10"/>
        </w:rPr>
        <w:t> </w:t>
      </w:r>
      <w:r>
        <w:rPr/>
        <w:t>me</w:t>
      </w:r>
      <w:r>
        <w:rPr>
          <w:spacing w:val="-10"/>
        </w:rPr>
        <w:t> </w:t>
      </w:r>
      <w:r>
        <w:rPr/>
        <w:t>to</w:t>
      </w:r>
      <w:r>
        <w:rPr>
          <w:spacing w:val="-10"/>
        </w:rPr>
        <w:t> </w:t>
      </w:r>
      <w:r>
        <w:rPr/>
        <w:t>proceed</w:t>
      </w:r>
      <w:r>
        <w:rPr>
          <w:spacing w:val="-10"/>
        </w:rPr>
        <w:t> </w:t>
      </w:r>
      <w:r>
        <w:rPr/>
        <w:t>with</w:t>
      </w:r>
      <w:r>
        <w:rPr>
          <w:spacing w:val="-10"/>
        </w:rPr>
        <w:t> </w:t>
      </w:r>
      <w:r>
        <w:rPr/>
        <w:t>the</w:t>
      </w:r>
      <w:r>
        <w:rPr>
          <w:spacing w:val="-10"/>
        </w:rPr>
        <w:t> </w:t>
      </w:r>
      <w:r>
        <w:rPr/>
        <w:t>rest</w:t>
      </w:r>
      <w:r>
        <w:rPr>
          <w:spacing w:val="-10"/>
        </w:rPr>
        <w:t> </w:t>
      </w:r>
      <w:r>
        <w:rPr/>
        <w:t>of</w:t>
      </w:r>
      <w:r>
        <w:rPr>
          <w:spacing w:val="-10"/>
        </w:rPr>
        <w:t> </w:t>
      </w:r>
      <w:r>
        <w:rPr/>
        <w:t>the </w:t>
      </w:r>
      <w:r>
        <w:rPr>
          <w:spacing w:val="-2"/>
        </w:rPr>
        <w:t>work.</w:t>
      </w:r>
    </w:p>
    <w:p>
      <w:pPr>
        <w:pStyle w:val="BodyText"/>
        <w:jc w:val="left"/>
      </w:pPr>
    </w:p>
    <w:p>
      <w:pPr>
        <w:pStyle w:val="BodyText"/>
        <w:spacing w:before="198"/>
        <w:jc w:val="left"/>
      </w:pPr>
    </w:p>
    <w:p>
      <w:pPr>
        <w:pStyle w:val="BodyText"/>
        <w:spacing w:line="444" w:lineRule="auto"/>
        <w:ind w:left="5093" w:firstLine="3435"/>
        <w:jc w:val="left"/>
      </w:pPr>
      <w:r>
        <w:rPr/>
        <w:t>Yours</w:t>
      </w:r>
      <w:r>
        <w:rPr>
          <w:spacing w:val="-20"/>
        </w:rPr>
        <w:t> </w:t>
      </w:r>
      <w:r>
        <w:rPr/>
        <w:t>faithfully, Signature of Licensed Surveyor/</w:t>
      </w:r>
    </w:p>
    <w:p>
      <w:pPr>
        <w:pStyle w:val="BodyText"/>
        <w:spacing w:after="0" w:line="444" w:lineRule="auto"/>
        <w:jc w:val="left"/>
        <w:sectPr>
          <w:type w:val="continuous"/>
          <w:pgSz w:w="11910" w:h="16850"/>
          <w:pgMar w:header="1082" w:footer="945" w:top="1360" w:bottom="280" w:left="360" w:right="360"/>
        </w:sectPr>
      </w:pPr>
    </w:p>
    <w:p>
      <w:pPr>
        <w:pStyle w:val="BodyText"/>
        <w:spacing w:before="218"/>
        <w:ind w:left="5093"/>
        <w:jc w:val="left"/>
      </w:pPr>
      <w:r>
        <w:rPr/>
        <w:t>Engineer/Structural</w:t>
      </w:r>
      <w:r>
        <w:rPr>
          <w:spacing w:val="-16"/>
        </w:rPr>
        <w:t> </w:t>
      </w:r>
      <w:r>
        <w:rPr/>
        <w:t>Engineer/Supervisor</w:t>
      </w:r>
      <w:r>
        <w:rPr>
          <w:spacing w:val="-16"/>
        </w:rPr>
        <w:t> </w:t>
      </w:r>
      <w:r>
        <w:rPr/>
        <w:t>or </w:t>
      </w:r>
      <w:r>
        <w:rPr>
          <w:spacing w:val="-2"/>
        </w:rPr>
        <w:t>Architect</w:t>
      </w:r>
    </w:p>
    <w:p>
      <w:pPr>
        <w:pStyle w:val="BodyText"/>
        <w:tabs>
          <w:tab w:pos="7921" w:val="left" w:leader="dot"/>
        </w:tabs>
        <w:spacing w:before="240"/>
        <w:ind w:left="5093"/>
        <w:jc w:val="left"/>
      </w:pPr>
      <w:r>
        <w:rPr>
          <w:spacing w:val="-2"/>
        </w:rPr>
        <w:t>Name…</w:t>
      </w:r>
      <w:r>
        <w:rPr>
          <w:rFonts w:ascii="Times New Roman" w:hAnsi="Times New Roman"/>
        </w:rPr>
        <w:tab/>
      </w:r>
      <w:r>
        <w:rPr/>
        <w:t>(in</w:t>
      </w:r>
      <w:r>
        <w:rPr>
          <w:spacing w:val="-3"/>
        </w:rPr>
        <w:t> </w:t>
      </w:r>
      <w:r>
        <w:rPr/>
        <w:t>block</w:t>
      </w:r>
      <w:r>
        <w:rPr>
          <w:spacing w:val="-3"/>
        </w:rPr>
        <w:t> </w:t>
      </w:r>
      <w:r>
        <w:rPr>
          <w:spacing w:val="-2"/>
        </w:rPr>
        <w:t>letters)</w:t>
      </w:r>
    </w:p>
    <w:p>
      <w:pPr>
        <w:pStyle w:val="BodyText"/>
        <w:spacing w:before="240"/>
        <w:ind w:left="5093"/>
        <w:jc w:val="left"/>
      </w:pPr>
      <w:r>
        <w:rPr>
          <w:spacing w:val="-2"/>
        </w:rPr>
        <w:t>Address………………………………………………</w:t>
      </w:r>
    </w:p>
    <w:p>
      <w:pPr>
        <w:spacing w:before="1"/>
        <w:ind w:left="5093" w:right="0" w:firstLine="0"/>
        <w:jc w:val="left"/>
        <w:rPr>
          <w:sz w:val="24"/>
        </w:rPr>
      </w:pPr>
      <w:r>
        <w:rPr>
          <w:spacing w:val="-10"/>
          <w:sz w:val="24"/>
        </w:rPr>
        <w:t>.</w:t>
      </w:r>
    </w:p>
    <w:p>
      <w:pPr>
        <w:pStyle w:val="BodyText"/>
        <w:spacing w:before="239"/>
        <w:ind w:left="5093"/>
        <w:jc w:val="left"/>
      </w:pPr>
      <w:r>
        <w:rPr/>
        <w:t>Date : </w:t>
      </w:r>
      <w:r>
        <w:rPr>
          <w:spacing w:val="-2"/>
        </w:rPr>
        <w:t>…………………………………</w:t>
      </w:r>
    </w:p>
    <w:p>
      <w:pPr>
        <w:pStyle w:val="BodyText"/>
        <w:jc w:val="left"/>
        <w:rPr>
          <w:sz w:val="20"/>
        </w:rPr>
      </w:pPr>
    </w:p>
    <w:p>
      <w:pPr>
        <w:pStyle w:val="BodyText"/>
        <w:spacing w:before="194"/>
        <w:jc w:val="left"/>
        <w:rPr>
          <w:sz w:val="20"/>
        </w:rPr>
      </w:pPr>
    </w:p>
    <w:p>
      <w:pPr>
        <w:pStyle w:val="BodyText"/>
        <w:spacing w:after="0"/>
        <w:jc w:val="left"/>
        <w:rPr>
          <w:sz w:val="20"/>
        </w:rPr>
        <w:sectPr>
          <w:pgSz w:w="11910" w:h="16850"/>
          <w:pgMar w:header="1082" w:footer="945" w:top="1520" w:bottom="1140" w:left="360" w:right="360"/>
        </w:sectPr>
      </w:pPr>
    </w:p>
    <w:p>
      <w:pPr>
        <w:pStyle w:val="BodyText"/>
        <w:jc w:val="left"/>
      </w:pPr>
    </w:p>
    <w:p>
      <w:pPr>
        <w:pStyle w:val="BodyText"/>
        <w:jc w:val="left"/>
      </w:pPr>
    </w:p>
    <w:p>
      <w:pPr>
        <w:pStyle w:val="BodyText"/>
        <w:jc w:val="left"/>
      </w:pPr>
    </w:p>
    <w:p>
      <w:pPr>
        <w:pStyle w:val="BodyText"/>
        <w:jc w:val="left"/>
      </w:pPr>
    </w:p>
    <w:p>
      <w:pPr>
        <w:pStyle w:val="BodyText"/>
        <w:spacing w:before="15"/>
        <w:jc w:val="left"/>
      </w:pPr>
    </w:p>
    <w:p>
      <w:pPr>
        <w:pStyle w:val="BodyText"/>
        <w:spacing w:line="444" w:lineRule="auto" w:before="1"/>
        <w:ind w:left="873" w:right="38"/>
        <w:jc w:val="left"/>
      </w:pPr>
      <w:r>
        <w:rPr/>
        <w:t>Plinth</w:t>
      </w:r>
      <w:r>
        <w:rPr>
          <w:spacing w:val="-20"/>
        </w:rPr>
        <w:t> </w:t>
      </w:r>
      <w:r>
        <w:rPr/>
        <w:t>Level </w:t>
      </w:r>
      <w:r>
        <w:rPr>
          <w:spacing w:val="-6"/>
        </w:rPr>
        <w:t>To</w:t>
      </w:r>
    </w:p>
    <w:p>
      <w:pPr>
        <w:pStyle w:val="Heading4"/>
        <w:spacing w:before="99"/>
        <w:ind w:right="2279"/>
      </w:pPr>
      <w:r>
        <w:rPr>
          <w:b w:val="0"/>
        </w:rPr>
        <w:br w:type="column"/>
      </w:r>
      <w:r>
        <w:rPr/>
        <w:t>ANNEXURE</w:t>
      </w:r>
      <w:r>
        <w:rPr>
          <w:spacing w:val="-8"/>
        </w:rPr>
        <w:t> </w:t>
      </w:r>
      <w:r>
        <w:rPr>
          <w:spacing w:val="-5"/>
        </w:rPr>
        <w:t>15</w:t>
      </w:r>
    </w:p>
    <w:p>
      <w:pPr>
        <w:pStyle w:val="Heading5"/>
        <w:spacing w:before="240"/>
        <w:ind w:left="1" w:right="2279"/>
        <w:jc w:val="center"/>
      </w:pPr>
      <w:r>
        <w:rPr/>
        <w:t>[Regulations </w:t>
      </w:r>
      <w:r>
        <w:rPr>
          <w:spacing w:val="-2"/>
        </w:rPr>
        <w:t>No.11(4)]</w:t>
      </w:r>
    </w:p>
    <w:p>
      <w:pPr>
        <w:pStyle w:val="BodyText"/>
        <w:spacing w:before="241"/>
        <w:ind w:left="873"/>
        <w:jc w:val="left"/>
      </w:pPr>
      <w:r>
        <w:rPr/>
        <w:t>Form</w:t>
      </w:r>
      <w:r>
        <w:rPr>
          <w:spacing w:val="63"/>
        </w:rPr>
        <w:t> </w:t>
      </w:r>
      <w:r>
        <w:rPr/>
        <w:t>of</w:t>
      </w:r>
      <w:r>
        <w:rPr>
          <w:spacing w:val="63"/>
        </w:rPr>
        <w:t> </w:t>
      </w:r>
      <w:r>
        <w:rPr/>
        <w:t>Approval/Disapproval</w:t>
      </w:r>
      <w:r>
        <w:rPr>
          <w:spacing w:val="63"/>
        </w:rPr>
        <w:t> </w:t>
      </w:r>
      <w:r>
        <w:rPr/>
        <w:t>of</w:t>
      </w:r>
      <w:r>
        <w:rPr>
          <w:spacing w:val="63"/>
        </w:rPr>
        <w:t> </w:t>
      </w:r>
      <w:r>
        <w:rPr/>
        <w:t>Development</w:t>
      </w:r>
      <w:r>
        <w:rPr>
          <w:spacing w:val="63"/>
        </w:rPr>
        <w:t> </w:t>
      </w:r>
      <w:r>
        <w:rPr/>
        <w:t>Work</w:t>
      </w:r>
      <w:r>
        <w:rPr>
          <w:spacing w:val="64"/>
        </w:rPr>
        <w:t> </w:t>
      </w:r>
      <w:r>
        <w:rPr>
          <w:spacing w:val="-4"/>
        </w:rPr>
        <w:t>upto</w:t>
      </w:r>
    </w:p>
    <w:p>
      <w:pPr>
        <w:pStyle w:val="BodyText"/>
        <w:spacing w:after="0"/>
        <w:jc w:val="left"/>
        <w:sectPr>
          <w:type w:val="continuous"/>
          <w:pgSz w:w="11910" w:h="16850"/>
          <w:pgMar w:header="1082" w:footer="945" w:top="1360" w:bottom="280" w:left="360" w:right="360"/>
          <w:cols w:num="2" w:equalWidth="0">
            <w:col w:w="2282" w:space="99"/>
            <w:col w:w="8809"/>
          </w:cols>
        </w:sectPr>
      </w:pPr>
    </w:p>
    <w:p>
      <w:pPr>
        <w:spacing w:before="1"/>
        <w:ind w:left="1104" w:right="0" w:firstLine="0"/>
        <w:jc w:val="left"/>
        <w:rPr>
          <w:sz w:val="24"/>
        </w:rPr>
      </w:pPr>
      <w:r>
        <w:rPr>
          <w:spacing w:val="-2"/>
          <w:sz w:val="24"/>
        </w:rPr>
        <w:t>…………………………………………..</w:t>
      </w:r>
    </w:p>
    <w:p>
      <w:pPr>
        <w:spacing w:before="239"/>
        <w:ind w:left="1104" w:right="0" w:firstLine="0"/>
        <w:jc w:val="left"/>
        <w:rPr>
          <w:sz w:val="24"/>
        </w:rPr>
      </w:pPr>
      <w:r>
        <w:rPr>
          <w:spacing w:val="-2"/>
          <w:sz w:val="24"/>
        </w:rPr>
        <w:t>…………………………………………..</w:t>
      </w:r>
    </w:p>
    <w:p>
      <w:pPr>
        <w:pStyle w:val="BodyText"/>
        <w:spacing w:before="240"/>
        <w:ind w:left="873"/>
        <w:jc w:val="left"/>
      </w:pPr>
      <w:r>
        <w:rPr>
          <w:spacing w:val="-4"/>
        </w:rPr>
        <w:t>Sir,</w:t>
      </w:r>
    </w:p>
    <w:p>
      <w:pPr>
        <w:pStyle w:val="BodyText"/>
        <w:tabs>
          <w:tab w:pos="2472" w:val="left" w:leader="none"/>
          <w:tab w:pos="3487" w:val="left" w:leader="none"/>
          <w:tab w:pos="4192" w:val="left" w:leader="none"/>
          <w:tab w:pos="5205" w:val="left" w:leader="none"/>
          <w:tab w:pos="6896" w:val="left" w:leader="none"/>
          <w:tab w:pos="9759" w:val="left" w:leader="dot"/>
        </w:tabs>
        <w:spacing w:line="281" w:lineRule="exact" w:before="241"/>
        <w:ind w:left="1258"/>
        <w:jc w:val="left"/>
      </w:pPr>
      <w:r>
        <w:rPr>
          <w:spacing w:val="-2"/>
        </w:rPr>
        <w:t>Please</w:t>
      </w:r>
      <w:r>
        <w:rPr/>
        <w:tab/>
      </w:r>
      <w:r>
        <w:rPr>
          <w:spacing w:val="-2"/>
        </w:rPr>
        <w:t>refer</w:t>
      </w:r>
      <w:r>
        <w:rPr/>
        <w:tab/>
      </w:r>
      <w:r>
        <w:rPr>
          <w:spacing w:val="-5"/>
        </w:rPr>
        <w:t>to</w:t>
      </w:r>
      <w:r>
        <w:rPr/>
        <w:tab/>
      </w:r>
      <w:r>
        <w:rPr>
          <w:spacing w:val="-4"/>
        </w:rPr>
        <w:t>your</w:t>
      </w:r>
      <w:r>
        <w:rPr/>
        <w:tab/>
      </w:r>
      <w:r>
        <w:rPr>
          <w:spacing w:val="-2"/>
        </w:rPr>
        <w:t>intimation</w:t>
      </w:r>
      <w:r>
        <w:rPr/>
        <w:tab/>
      </w:r>
      <w:r>
        <w:rPr>
          <w:spacing w:val="-5"/>
        </w:rPr>
        <w:t>No.</w:t>
      </w:r>
      <w:r>
        <w:rPr>
          <w:rFonts w:ascii="Times New Roman"/>
        </w:rPr>
        <w:tab/>
      </w:r>
      <w:r>
        <w:rPr>
          <w:spacing w:val="-2"/>
        </w:rPr>
        <w:t>dated</w:t>
      </w:r>
    </w:p>
    <w:p>
      <w:pPr>
        <w:pStyle w:val="BodyText"/>
        <w:tabs>
          <w:tab w:pos="9239" w:val="left" w:leader="dot"/>
        </w:tabs>
        <w:ind w:left="873" w:right="769"/>
        <w:jc w:val="left"/>
      </w:pPr>
      <w:r>
        <w:rPr/>
        <w:t>……………………………..regarding</w:t>
      </w:r>
      <w:r>
        <w:rPr>
          <w:spacing w:val="80"/>
        </w:rPr>
        <w:t> </w:t>
      </w:r>
      <w:r>
        <w:rPr/>
        <w:t>the</w:t>
      </w:r>
      <w:r>
        <w:rPr>
          <w:spacing w:val="80"/>
        </w:rPr>
        <w:t> </w:t>
      </w:r>
      <w:r>
        <w:rPr/>
        <w:t>completion</w:t>
      </w:r>
      <w:r>
        <w:rPr>
          <w:spacing w:val="80"/>
        </w:rPr>
        <w:t> </w:t>
      </w:r>
      <w:r>
        <w:rPr/>
        <w:t>of</w:t>
      </w:r>
      <w:r>
        <w:rPr>
          <w:spacing w:val="80"/>
        </w:rPr>
        <w:t> </w:t>
      </w:r>
      <w:r>
        <w:rPr/>
        <w:t>construction</w:t>
      </w:r>
      <w:r>
        <w:rPr>
          <w:spacing w:val="80"/>
        </w:rPr>
        <w:t> </w:t>
      </w:r>
      <w:r>
        <w:rPr/>
        <w:t>work</w:t>
      </w:r>
      <w:r>
        <w:rPr>
          <w:spacing w:val="80"/>
        </w:rPr>
        <w:t> </w:t>
      </w:r>
      <w:r>
        <w:rPr/>
        <w:t>up</w:t>
      </w:r>
      <w:r>
        <w:rPr>
          <w:spacing w:val="80"/>
        </w:rPr>
        <w:t> </w:t>
      </w:r>
      <w:r>
        <w:rPr/>
        <w:t>to plinth/columns</w:t>
      </w:r>
      <w:r>
        <w:rPr>
          <w:spacing w:val="-17"/>
        </w:rPr>
        <w:t> </w:t>
      </w:r>
      <w:r>
        <w:rPr/>
        <w:t>up</w:t>
      </w:r>
      <w:r>
        <w:rPr>
          <w:spacing w:val="-17"/>
        </w:rPr>
        <w:t> </w:t>
      </w:r>
      <w:r>
        <w:rPr/>
        <w:t>to</w:t>
      </w:r>
      <w:r>
        <w:rPr>
          <w:spacing w:val="-17"/>
        </w:rPr>
        <w:t> </w:t>
      </w:r>
      <w:r>
        <w:rPr/>
        <w:t>plinth</w:t>
      </w:r>
      <w:r>
        <w:rPr>
          <w:spacing w:val="-17"/>
        </w:rPr>
        <w:t> </w:t>
      </w:r>
      <w:r>
        <w:rPr/>
        <w:t>level</w:t>
      </w:r>
      <w:r>
        <w:rPr>
          <w:spacing w:val="-17"/>
        </w:rPr>
        <w:t> </w:t>
      </w:r>
      <w:r>
        <w:rPr/>
        <w:t>in</w:t>
      </w:r>
      <w:r>
        <w:rPr>
          <w:spacing w:val="-17"/>
        </w:rPr>
        <w:t> </w:t>
      </w:r>
      <w:r>
        <w:rPr/>
        <w:t>Building</w:t>
      </w:r>
      <w:r>
        <w:rPr>
          <w:spacing w:val="-16"/>
        </w:rPr>
        <w:t> </w:t>
      </w:r>
      <w:r>
        <w:rPr>
          <w:spacing w:val="-5"/>
        </w:rPr>
        <w:t>No…</w:t>
      </w:r>
      <w:r>
        <w:rPr>
          <w:rFonts w:ascii="Times New Roman" w:hAnsi="Times New Roman"/>
        </w:rPr>
        <w:tab/>
      </w:r>
      <w:r>
        <w:rPr/>
        <w:t>on/in</w:t>
      </w:r>
      <w:r>
        <w:rPr>
          <w:spacing w:val="-19"/>
        </w:rPr>
        <w:t> </w:t>
      </w:r>
      <w:r>
        <w:rPr>
          <w:spacing w:val="-4"/>
        </w:rPr>
        <w:t>Plot</w:t>
      </w:r>
    </w:p>
    <w:p>
      <w:pPr>
        <w:pStyle w:val="BodyText"/>
        <w:tabs>
          <w:tab w:pos="2109" w:val="left" w:leader="none"/>
          <w:tab w:pos="3646" w:val="left" w:leader="none"/>
          <w:tab w:pos="4772" w:val="left" w:leader="none"/>
          <w:tab w:pos="7766" w:val="left" w:leader="dot"/>
        </w:tabs>
        <w:spacing w:line="281" w:lineRule="exact"/>
        <w:ind w:left="873"/>
        <w:jc w:val="left"/>
      </w:pPr>
      <w:r>
        <w:rPr>
          <w:spacing w:val="-2"/>
        </w:rPr>
        <w:t>No/C.S.</w:t>
      </w:r>
      <w:r>
        <w:rPr/>
        <w:tab/>
      </w:r>
      <w:r>
        <w:rPr>
          <w:spacing w:val="-2"/>
        </w:rPr>
        <w:t>No./C.T.S.</w:t>
      </w:r>
      <w:r>
        <w:rPr/>
        <w:tab/>
      </w:r>
      <w:r>
        <w:rPr>
          <w:spacing w:val="-2"/>
        </w:rPr>
        <w:t>No/F.P</w:t>
      </w:r>
      <w:r>
        <w:rPr/>
        <w:tab/>
      </w:r>
      <w:r>
        <w:rPr>
          <w:spacing w:val="-5"/>
        </w:rPr>
        <w:t>No.</w:t>
      </w:r>
      <w:r>
        <w:rPr>
          <w:rFonts w:ascii="Times New Roman"/>
        </w:rPr>
        <w:tab/>
      </w:r>
      <w:r>
        <w:rPr>
          <w:spacing w:val="-2"/>
        </w:rPr>
        <w:t>Division/Village/Town</w:t>
      </w:r>
    </w:p>
    <w:p>
      <w:pPr>
        <w:pStyle w:val="BodyText"/>
        <w:tabs>
          <w:tab w:pos="2714" w:val="left" w:leader="none"/>
          <w:tab w:pos="4434" w:val="left" w:leader="none"/>
          <w:tab w:pos="5629" w:val="left" w:leader="none"/>
          <w:tab w:pos="10181" w:val="left" w:leader="none"/>
        </w:tabs>
        <w:spacing w:line="281" w:lineRule="exact"/>
        <w:ind w:left="873"/>
        <w:jc w:val="left"/>
      </w:pPr>
      <w:r>
        <w:rPr>
          <w:spacing w:val="-2"/>
        </w:rPr>
        <w:t>Planning</w:t>
      </w:r>
      <w:r>
        <w:rPr/>
        <w:tab/>
      </w:r>
      <w:r>
        <w:rPr>
          <w:spacing w:val="-2"/>
        </w:rPr>
        <w:t>Scheme</w:t>
      </w:r>
      <w:r>
        <w:rPr/>
        <w:tab/>
      </w:r>
      <w:r>
        <w:rPr>
          <w:spacing w:val="-5"/>
        </w:rPr>
        <w:t>No.</w:t>
      </w:r>
      <w:r>
        <w:rPr/>
        <w:tab/>
      </w:r>
      <w:r>
        <w:rPr>
          <w:spacing w:val="-2"/>
        </w:rPr>
        <w:t>……………………………..situated</w:t>
      </w:r>
      <w:r>
        <w:rPr/>
        <w:tab/>
      </w:r>
      <w:r>
        <w:rPr>
          <w:spacing w:val="-5"/>
        </w:rPr>
        <w:t>at</w:t>
      </w:r>
    </w:p>
    <w:p>
      <w:pPr>
        <w:pStyle w:val="BodyText"/>
        <w:tabs>
          <w:tab w:pos="9790" w:val="left" w:leader="dot"/>
        </w:tabs>
        <w:spacing w:line="281" w:lineRule="exact" w:before="2"/>
        <w:ind w:left="873"/>
        <w:jc w:val="left"/>
      </w:pPr>
      <w:r>
        <w:rPr>
          <w:spacing w:val="-2"/>
        </w:rPr>
        <w:t>………………………..Road/Street</w:t>
      </w:r>
      <w:r>
        <w:rPr>
          <w:rFonts w:ascii="Times New Roman" w:hAnsi="Times New Roman"/>
        </w:rPr>
        <w:tab/>
      </w:r>
      <w:r>
        <w:rPr>
          <w:spacing w:val="-4"/>
        </w:rPr>
        <w:t>Ward</w:t>
      </w:r>
    </w:p>
    <w:p>
      <w:pPr>
        <w:pStyle w:val="BodyText"/>
        <w:tabs>
          <w:tab w:pos="4713" w:val="left" w:leader="dot"/>
        </w:tabs>
        <w:spacing w:line="281" w:lineRule="exact"/>
        <w:ind w:left="873"/>
        <w:jc w:val="left"/>
      </w:pPr>
      <w:r>
        <w:rPr>
          <w:spacing w:val="-10"/>
        </w:rPr>
        <w:t>…</w:t>
      </w:r>
      <w:r>
        <w:rPr>
          <w:rFonts w:ascii="Times New Roman" w:hAnsi="Times New Roman"/>
        </w:rPr>
        <w:tab/>
      </w:r>
      <w:r>
        <w:rPr/>
        <w:t>You</w:t>
      </w:r>
      <w:r>
        <w:rPr>
          <w:spacing w:val="-2"/>
        </w:rPr>
        <w:t> </w:t>
      </w:r>
      <w:r>
        <w:rPr/>
        <w:t>may/may</w:t>
      </w:r>
      <w:r>
        <w:rPr>
          <w:spacing w:val="-2"/>
        </w:rPr>
        <w:t> </w:t>
      </w:r>
      <w:r>
        <w:rPr/>
        <w:t>not</w:t>
      </w:r>
      <w:r>
        <w:rPr>
          <w:spacing w:val="-1"/>
        </w:rPr>
        <w:t> </w:t>
      </w:r>
      <w:r>
        <w:rPr/>
        <w:t>proceed</w:t>
      </w:r>
      <w:r>
        <w:rPr>
          <w:spacing w:val="-2"/>
        </w:rPr>
        <w:t> </w:t>
      </w:r>
      <w:r>
        <w:rPr/>
        <w:t>with</w:t>
      </w:r>
      <w:r>
        <w:rPr>
          <w:spacing w:val="-1"/>
        </w:rPr>
        <w:t> </w:t>
      </w:r>
      <w:r>
        <w:rPr/>
        <w:t>the</w:t>
      </w:r>
      <w:r>
        <w:rPr>
          <w:spacing w:val="-2"/>
        </w:rPr>
        <w:t> </w:t>
      </w:r>
      <w:r>
        <w:rPr/>
        <w:t>further</w:t>
      </w:r>
      <w:r>
        <w:rPr>
          <w:spacing w:val="-1"/>
        </w:rPr>
        <w:t> </w:t>
      </w:r>
      <w:r>
        <w:rPr>
          <w:spacing w:val="-4"/>
        </w:rPr>
        <w:t>work</w:t>
      </w:r>
    </w:p>
    <w:p>
      <w:pPr>
        <w:pStyle w:val="BodyText"/>
        <w:spacing w:before="1"/>
        <w:ind w:left="873"/>
        <w:jc w:val="left"/>
      </w:pPr>
      <w:r>
        <w:rPr/>
        <w:t>as</w:t>
      </w:r>
      <w:r>
        <w:rPr>
          <w:spacing w:val="40"/>
        </w:rPr>
        <w:t> </w:t>
      </w:r>
      <w:r>
        <w:rPr/>
        <w:t>per</w:t>
      </w:r>
      <w:r>
        <w:rPr>
          <w:spacing w:val="40"/>
        </w:rPr>
        <w:t> </w:t>
      </w:r>
      <w:r>
        <w:rPr/>
        <w:t>sanctioned</w:t>
      </w:r>
      <w:r>
        <w:rPr>
          <w:spacing w:val="40"/>
        </w:rPr>
        <w:t> </w:t>
      </w:r>
      <w:r>
        <w:rPr/>
        <w:t>plans/as</w:t>
      </w:r>
      <w:r>
        <w:rPr>
          <w:spacing w:val="40"/>
        </w:rPr>
        <w:t> </w:t>
      </w:r>
      <w:r>
        <w:rPr/>
        <w:t>the</w:t>
      </w:r>
      <w:r>
        <w:rPr>
          <w:spacing w:val="40"/>
        </w:rPr>
        <w:t> </w:t>
      </w:r>
      <w:r>
        <w:rPr/>
        <w:t>construction</w:t>
      </w:r>
      <w:r>
        <w:rPr>
          <w:spacing w:val="40"/>
        </w:rPr>
        <w:t> </w:t>
      </w:r>
      <w:r>
        <w:rPr/>
        <w:t>up</w:t>
      </w:r>
      <w:r>
        <w:rPr>
          <w:spacing w:val="40"/>
        </w:rPr>
        <w:t> </w:t>
      </w:r>
      <w:r>
        <w:rPr/>
        <w:t>to</w:t>
      </w:r>
      <w:r>
        <w:rPr>
          <w:spacing w:val="40"/>
        </w:rPr>
        <w:t> </w:t>
      </w:r>
      <w:r>
        <w:rPr/>
        <w:t>plinth</w:t>
      </w:r>
      <w:r>
        <w:rPr>
          <w:spacing w:val="40"/>
        </w:rPr>
        <w:t> </w:t>
      </w:r>
      <w:r>
        <w:rPr/>
        <w:t>level</w:t>
      </w:r>
      <w:r>
        <w:rPr>
          <w:spacing w:val="40"/>
        </w:rPr>
        <w:t> </w:t>
      </w:r>
      <w:r>
        <w:rPr/>
        <w:t>does/does</w:t>
      </w:r>
      <w:r>
        <w:rPr>
          <w:spacing w:val="40"/>
        </w:rPr>
        <w:t> </w:t>
      </w:r>
      <w:r>
        <w:rPr/>
        <w:t>not conform to the sanctioned plans.</w:t>
      </w:r>
    </w:p>
    <w:p>
      <w:pPr>
        <w:pStyle w:val="BodyText"/>
        <w:jc w:val="left"/>
      </w:pPr>
    </w:p>
    <w:p>
      <w:pPr>
        <w:pStyle w:val="BodyText"/>
        <w:spacing w:before="199"/>
        <w:jc w:val="left"/>
      </w:pPr>
    </w:p>
    <w:p>
      <w:pPr>
        <w:pStyle w:val="BodyText"/>
        <w:ind w:right="768"/>
        <w:jc w:val="right"/>
      </w:pPr>
      <w:r>
        <w:rPr/>
        <w:t>Yours </w:t>
      </w:r>
      <w:r>
        <w:rPr>
          <w:spacing w:val="-2"/>
        </w:rPr>
        <w:t>faithfully,</w:t>
      </w:r>
    </w:p>
    <w:p>
      <w:pPr>
        <w:pStyle w:val="BodyText"/>
        <w:tabs>
          <w:tab w:pos="6543" w:val="left" w:leader="dot"/>
        </w:tabs>
        <w:spacing w:before="239"/>
        <w:ind w:left="950"/>
        <w:jc w:val="left"/>
      </w:pPr>
      <w:r>
        <w:rPr/>
        <w:t>Executive Engineer (Building Proposal </w:t>
      </w:r>
      <w:r>
        <w:rPr>
          <w:spacing w:val="-5"/>
        </w:rPr>
        <w:t>(…</w:t>
      </w:r>
      <w:r>
        <w:rPr>
          <w:rFonts w:ascii="Times New Roman" w:hAnsi="Times New Roman"/>
        </w:rPr>
        <w:tab/>
      </w:r>
      <w:r>
        <w:rPr>
          <w:spacing w:val="-2"/>
        </w:rPr>
        <w:t>Ward)</w:t>
      </w:r>
    </w:p>
    <w:p>
      <w:pPr>
        <w:pStyle w:val="BodyText"/>
        <w:spacing w:before="239"/>
        <w:ind w:left="5813" w:right="838"/>
        <w:jc w:val="left"/>
      </w:pPr>
      <w:r>
        <w:rPr/>
        <w:t>Municipal</w:t>
      </w:r>
      <w:r>
        <w:rPr>
          <w:spacing w:val="-11"/>
        </w:rPr>
        <w:t> </w:t>
      </w:r>
      <w:r>
        <w:rPr/>
        <w:t>Corporation</w:t>
      </w:r>
      <w:r>
        <w:rPr>
          <w:spacing w:val="-11"/>
        </w:rPr>
        <w:t> </w:t>
      </w:r>
      <w:r>
        <w:rPr/>
        <w:t>of</w:t>
      </w:r>
      <w:r>
        <w:rPr>
          <w:spacing w:val="-11"/>
        </w:rPr>
        <w:t> </w:t>
      </w:r>
      <w:r>
        <w:rPr/>
        <w:t>Greater </w:t>
      </w:r>
      <w:r>
        <w:rPr>
          <w:spacing w:val="-2"/>
        </w:rPr>
        <w:t>Mumbai.</w:t>
      </w:r>
    </w:p>
    <w:p>
      <w:pPr>
        <w:pStyle w:val="BodyText"/>
        <w:spacing w:line="446" w:lineRule="auto" w:before="241"/>
        <w:ind w:left="5813" w:right="1094"/>
        <w:jc w:val="left"/>
      </w:pPr>
      <w:r>
        <w:rPr/>
        <w:t>Office No. ………………………….. Office</w:t>
      </w:r>
      <w:r>
        <w:rPr>
          <w:spacing w:val="-4"/>
        </w:rPr>
        <w:t> </w:t>
      </w:r>
      <w:r>
        <w:rPr/>
        <w:t>Stamp</w:t>
      </w:r>
      <w:r>
        <w:rPr>
          <w:spacing w:val="-2"/>
        </w:rPr>
        <w:t> </w:t>
      </w:r>
      <w:r>
        <w:rPr>
          <w:spacing w:val="-2"/>
        </w:rPr>
        <w:t>……………………….</w:t>
      </w:r>
    </w:p>
    <w:p>
      <w:pPr>
        <w:pStyle w:val="BodyText"/>
        <w:spacing w:after="0" w:line="446" w:lineRule="auto"/>
        <w:jc w:val="left"/>
        <w:sectPr>
          <w:type w:val="continuous"/>
          <w:pgSz w:w="11910" w:h="16850"/>
          <w:pgMar w:header="1082" w:footer="945" w:top="1360" w:bottom="280" w:left="360" w:right="360"/>
        </w:sectPr>
      </w:pPr>
    </w:p>
    <w:p>
      <w:pPr>
        <w:pStyle w:val="BodyText"/>
        <w:spacing w:before="218"/>
        <w:ind w:left="5813"/>
        <w:jc w:val="left"/>
      </w:pPr>
      <w:r>
        <w:rPr/>
        <w:t>Date : </w:t>
      </w:r>
      <w:r>
        <w:rPr>
          <w:spacing w:val="-2"/>
        </w:rPr>
        <w:t>……………………………….</w:t>
      </w:r>
    </w:p>
    <w:p>
      <w:pPr>
        <w:pStyle w:val="BodyText"/>
        <w:jc w:val="left"/>
      </w:pPr>
    </w:p>
    <w:p>
      <w:pPr>
        <w:pStyle w:val="BodyText"/>
        <w:spacing w:before="199"/>
        <w:jc w:val="left"/>
      </w:pPr>
    </w:p>
    <w:p>
      <w:pPr>
        <w:pStyle w:val="Heading4"/>
        <w:ind w:left="1548" w:right="1449"/>
      </w:pPr>
      <w:r>
        <w:rPr/>
        <w:t>ANNEXURE</w:t>
      </w:r>
      <w:r>
        <w:rPr>
          <w:spacing w:val="-8"/>
        </w:rPr>
        <w:t> </w:t>
      </w:r>
      <w:r>
        <w:rPr>
          <w:spacing w:val="-5"/>
        </w:rPr>
        <w:t>16</w:t>
      </w:r>
    </w:p>
    <w:p>
      <w:pPr>
        <w:pStyle w:val="Heading5"/>
        <w:spacing w:before="239"/>
        <w:ind w:left="1548" w:right="1448"/>
        <w:jc w:val="center"/>
      </w:pPr>
      <w:r>
        <w:rPr/>
        <w:t>(Regulations</w:t>
      </w:r>
      <w:r>
        <w:rPr>
          <w:spacing w:val="-3"/>
        </w:rPr>
        <w:t> </w:t>
      </w:r>
      <w:r>
        <w:rPr/>
        <w:t>No.11(6)&amp;</w:t>
      </w:r>
      <w:r>
        <w:rPr>
          <w:spacing w:val="-3"/>
        </w:rPr>
        <w:t> </w:t>
      </w:r>
      <w:r>
        <w:rPr>
          <w:spacing w:val="-4"/>
        </w:rPr>
        <w:t>(7))</w:t>
      </w:r>
    </w:p>
    <w:p>
      <w:pPr>
        <w:pStyle w:val="BodyText"/>
        <w:spacing w:before="241"/>
        <w:ind w:left="4868"/>
        <w:jc w:val="left"/>
      </w:pPr>
      <w:r>
        <w:rPr/>
        <w:t>Form</w:t>
      </w:r>
      <w:r>
        <w:rPr>
          <w:spacing w:val="-3"/>
        </w:rPr>
        <w:t> </w:t>
      </w:r>
      <w:r>
        <w:rPr/>
        <w:t>for</w:t>
      </w:r>
      <w:r>
        <w:rPr>
          <w:spacing w:val="-2"/>
        </w:rPr>
        <w:t> </w:t>
      </w:r>
      <w:r>
        <w:rPr/>
        <w:t>Development</w:t>
      </w:r>
      <w:r>
        <w:rPr>
          <w:spacing w:val="-2"/>
        </w:rPr>
        <w:t> </w:t>
      </w:r>
      <w:r>
        <w:rPr/>
        <w:t>completion</w:t>
      </w:r>
      <w:r>
        <w:rPr>
          <w:spacing w:val="-2"/>
        </w:rPr>
        <w:t> certificate</w:t>
      </w:r>
    </w:p>
    <w:p>
      <w:pPr>
        <w:pStyle w:val="BodyText"/>
        <w:spacing w:before="239"/>
        <w:ind w:left="876"/>
        <w:jc w:val="left"/>
      </w:pPr>
      <w:r>
        <w:rPr>
          <w:spacing w:val="-5"/>
        </w:rPr>
        <w:t>To</w:t>
      </w:r>
    </w:p>
    <w:p>
      <w:pPr>
        <w:pStyle w:val="BodyText"/>
        <w:spacing w:before="40"/>
        <w:ind w:left="1183"/>
        <w:jc w:val="left"/>
      </w:pPr>
      <w:r>
        <w:rPr/>
        <w:t>The</w:t>
      </w:r>
      <w:r>
        <w:rPr>
          <w:spacing w:val="-4"/>
        </w:rPr>
        <w:t> </w:t>
      </w:r>
      <w:r>
        <w:rPr/>
        <w:t>executive</w:t>
      </w:r>
      <w:r>
        <w:rPr>
          <w:spacing w:val="-1"/>
        </w:rPr>
        <w:t> </w:t>
      </w:r>
      <w:r>
        <w:rPr>
          <w:spacing w:val="-2"/>
        </w:rPr>
        <w:t>Engineer</w:t>
      </w:r>
    </w:p>
    <w:p>
      <w:pPr>
        <w:pStyle w:val="BodyText"/>
        <w:tabs>
          <w:tab w:pos="5720" w:val="left" w:leader="dot"/>
        </w:tabs>
        <w:spacing w:before="41"/>
        <w:ind w:left="1183"/>
        <w:jc w:val="left"/>
      </w:pPr>
      <w:r>
        <w:rPr/>
        <w:t>(Building </w:t>
      </w:r>
      <w:r>
        <w:rPr>
          <w:spacing w:val="-2"/>
        </w:rPr>
        <w:t>Proposal),…</w:t>
      </w:r>
      <w:r>
        <w:rPr>
          <w:rFonts w:ascii="Times New Roman" w:hAnsi="Times New Roman"/>
        </w:rPr>
        <w:tab/>
      </w:r>
      <w:r>
        <w:rPr>
          <w:spacing w:val="-2"/>
        </w:rPr>
        <w:t>Ward,</w:t>
      </w:r>
    </w:p>
    <w:p>
      <w:pPr>
        <w:pStyle w:val="BodyText"/>
        <w:spacing w:line="273" w:lineRule="auto" w:before="40"/>
        <w:ind w:left="873" w:right="4645" w:firstLine="310"/>
        <w:jc w:val="left"/>
      </w:pPr>
      <w:r>
        <w:rPr/>
        <w:t>Municipal</w:t>
      </w:r>
      <w:r>
        <w:rPr>
          <w:spacing w:val="-9"/>
        </w:rPr>
        <w:t> </w:t>
      </w:r>
      <w:r>
        <w:rPr/>
        <w:t>Corporation</w:t>
      </w:r>
      <w:r>
        <w:rPr>
          <w:spacing w:val="-9"/>
        </w:rPr>
        <w:t> </w:t>
      </w:r>
      <w:r>
        <w:rPr/>
        <w:t>of</w:t>
      </w:r>
      <w:r>
        <w:rPr>
          <w:spacing w:val="-9"/>
        </w:rPr>
        <w:t> </w:t>
      </w:r>
      <w:r>
        <w:rPr/>
        <w:t>Greater</w:t>
      </w:r>
      <w:r>
        <w:rPr>
          <w:spacing w:val="-9"/>
        </w:rPr>
        <w:t> </w:t>
      </w:r>
      <w:r>
        <w:rPr/>
        <w:t>Mumbai, </w:t>
      </w:r>
      <w:r>
        <w:rPr>
          <w:spacing w:val="-4"/>
        </w:rPr>
        <w:t>Sir,</w:t>
      </w:r>
    </w:p>
    <w:p>
      <w:pPr>
        <w:pStyle w:val="BodyText"/>
        <w:spacing w:before="202"/>
        <w:ind w:left="873"/>
        <w:jc w:val="left"/>
      </w:pPr>
      <w:r>
        <w:rPr/>
        <w:t>I</w:t>
      </w:r>
      <w:r>
        <w:rPr>
          <w:spacing w:val="80"/>
        </w:rPr>
        <w:t> </w:t>
      </w:r>
      <w:r>
        <w:rPr/>
        <w:t>certify</w:t>
      </w:r>
      <w:r>
        <w:rPr>
          <w:spacing w:val="80"/>
        </w:rPr>
        <w:t> </w:t>
      </w:r>
      <w:r>
        <w:rPr/>
        <w:t>that</w:t>
      </w:r>
      <w:r>
        <w:rPr>
          <w:spacing w:val="80"/>
        </w:rPr>
        <w:t> </w:t>
      </w:r>
      <w:r>
        <w:rPr/>
        <w:t>the</w:t>
      </w:r>
      <w:r>
        <w:rPr>
          <w:spacing w:val="80"/>
        </w:rPr>
        <w:t> </w:t>
      </w:r>
      <w:r>
        <w:rPr/>
        <w:t>erection/re-erection</w:t>
      </w:r>
      <w:r>
        <w:rPr>
          <w:spacing w:val="80"/>
        </w:rPr>
        <w:t> </w:t>
      </w:r>
      <w:r>
        <w:rPr/>
        <w:t>or</w:t>
      </w:r>
      <w:r>
        <w:rPr>
          <w:spacing w:val="80"/>
        </w:rPr>
        <w:t> </w:t>
      </w:r>
      <w:r>
        <w:rPr/>
        <w:t>part/full</w:t>
      </w:r>
      <w:r>
        <w:rPr>
          <w:spacing w:val="80"/>
        </w:rPr>
        <w:t> </w:t>
      </w:r>
      <w:r>
        <w:rPr/>
        <w:t>development</w:t>
      </w:r>
      <w:r>
        <w:rPr>
          <w:spacing w:val="80"/>
        </w:rPr>
        <w:t> </w:t>
      </w:r>
      <w:r>
        <w:rPr/>
        <w:t>work</w:t>
      </w:r>
      <w:r>
        <w:rPr>
          <w:spacing w:val="80"/>
        </w:rPr>
        <w:t> </w:t>
      </w:r>
      <w:r>
        <w:rPr/>
        <w:t>in/on building/part</w:t>
      </w:r>
      <w:r>
        <w:rPr>
          <w:spacing w:val="5"/>
        </w:rPr>
        <w:t> </w:t>
      </w:r>
      <w:r>
        <w:rPr/>
        <w:t>building</w:t>
      </w:r>
      <w:r>
        <w:rPr>
          <w:spacing w:val="6"/>
        </w:rPr>
        <w:t> </w:t>
      </w:r>
      <w:r>
        <w:rPr/>
        <w:t>No.</w:t>
      </w:r>
      <w:r>
        <w:rPr>
          <w:spacing w:val="50"/>
          <w:w w:val="150"/>
        </w:rPr>
        <w:t> </w:t>
      </w:r>
      <w:r>
        <w:rPr/>
        <w:t>…………….on/in</w:t>
      </w:r>
      <w:r>
        <w:rPr>
          <w:spacing w:val="6"/>
        </w:rPr>
        <w:t> </w:t>
      </w:r>
      <w:r>
        <w:rPr/>
        <w:t>Plot</w:t>
      </w:r>
      <w:r>
        <w:rPr>
          <w:spacing w:val="5"/>
        </w:rPr>
        <w:t> </w:t>
      </w:r>
      <w:r>
        <w:rPr/>
        <w:t>No.,</w:t>
      </w:r>
      <w:r>
        <w:rPr>
          <w:spacing w:val="6"/>
        </w:rPr>
        <w:t> </w:t>
      </w:r>
      <w:r>
        <w:rPr/>
        <w:t>C.S.No./C,T,S,</w:t>
      </w:r>
      <w:r>
        <w:rPr>
          <w:spacing w:val="6"/>
        </w:rPr>
        <w:t> </w:t>
      </w:r>
      <w:r>
        <w:rPr/>
        <w:t>No/F.P</w:t>
      </w:r>
      <w:r>
        <w:rPr>
          <w:spacing w:val="6"/>
        </w:rPr>
        <w:t> </w:t>
      </w:r>
      <w:r>
        <w:rPr>
          <w:spacing w:val="-5"/>
        </w:rPr>
        <w:t>No.</w:t>
      </w:r>
    </w:p>
    <w:p>
      <w:pPr>
        <w:spacing w:line="280" w:lineRule="exact" w:before="0"/>
        <w:ind w:left="873" w:right="0" w:firstLine="0"/>
        <w:jc w:val="left"/>
        <w:rPr>
          <w:sz w:val="24"/>
        </w:rPr>
      </w:pPr>
      <w:r>
        <w:rPr>
          <w:spacing w:val="-2"/>
          <w:sz w:val="24"/>
        </w:rPr>
        <w:t>……………</w:t>
      </w:r>
    </w:p>
    <w:p>
      <w:pPr>
        <w:pStyle w:val="BodyText"/>
        <w:spacing w:line="444" w:lineRule="auto" w:before="242"/>
        <w:ind w:left="873"/>
        <w:jc w:val="left"/>
      </w:pPr>
      <w:r>
        <w:rPr/>
        <w:t>Division/Village/Town</w:t>
      </w:r>
      <w:r>
        <w:rPr>
          <w:spacing w:val="-20"/>
        </w:rPr>
        <w:t> </w:t>
      </w:r>
      <w:r>
        <w:rPr/>
        <w:t>Planning</w:t>
      </w:r>
      <w:r>
        <w:rPr>
          <w:spacing w:val="-19"/>
        </w:rPr>
        <w:t> </w:t>
      </w:r>
      <w:r>
        <w:rPr/>
        <w:t>Scheme</w:t>
      </w:r>
      <w:r>
        <w:rPr>
          <w:spacing w:val="-19"/>
        </w:rPr>
        <w:t> </w:t>
      </w:r>
      <w:r>
        <w:rPr/>
        <w:t>No.</w:t>
      </w:r>
      <w:r>
        <w:rPr>
          <w:spacing w:val="-19"/>
        </w:rPr>
        <w:t> </w:t>
      </w:r>
      <w:r>
        <w:rPr/>
        <w:t>………………….</w:t>
      </w:r>
      <w:r>
        <w:rPr>
          <w:spacing w:val="-19"/>
        </w:rPr>
        <w:t> </w:t>
      </w:r>
      <w:r>
        <w:rPr/>
        <w:t>Situated</w:t>
      </w:r>
      <w:r>
        <w:rPr>
          <w:spacing w:val="-19"/>
        </w:rPr>
        <w:t> </w:t>
      </w:r>
      <w:r>
        <w:rPr/>
        <w:t>at…………… </w:t>
      </w:r>
      <w:r>
        <w:rPr>
          <w:spacing w:val="-2"/>
        </w:rPr>
        <w:t>Road/Street………………………………………….Ward……………………………….</w:t>
      </w:r>
    </w:p>
    <w:p>
      <w:pPr>
        <w:pStyle w:val="BodyText"/>
        <w:tabs>
          <w:tab w:pos="3806" w:val="left" w:leader="dot"/>
          <w:tab w:pos="4633" w:val="left" w:leader="none"/>
          <w:tab w:pos="5417" w:val="left" w:leader="none"/>
          <w:tab w:pos="6274" w:val="left" w:leader="none"/>
          <w:tab w:pos="7227" w:val="left" w:leader="none"/>
          <w:tab w:pos="8155" w:val="left" w:leader="none"/>
          <w:tab w:pos="9218" w:val="left" w:leader="none"/>
        </w:tabs>
        <w:ind w:left="873" w:right="770"/>
        <w:jc w:val="left"/>
      </w:pPr>
      <w:r>
        <w:rPr/>
        <w:t>has</w:t>
      </w:r>
      <w:r>
        <w:rPr>
          <w:spacing w:val="80"/>
          <w:w w:val="150"/>
        </w:rPr>
        <w:t>  </w:t>
      </w:r>
      <w:r>
        <w:rPr/>
        <w:t>been</w:t>
      </w:r>
      <w:r>
        <w:rPr>
          <w:spacing w:val="80"/>
          <w:w w:val="150"/>
        </w:rPr>
        <w:t>  </w:t>
      </w:r>
      <w:r>
        <w:rPr/>
        <w:t>supervised</w:t>
        <w:tab/>
      </w:r>
      <w:r>
        <w:rPr>
          <w:spacing w:val="-6"/>
        </w:rPr>
        <w:t>by</w:t>
      </w:r>
      <w:r>
        <w:rPr/>
        <w:tab/>
      </w:r>
      <w:r>
        <w:rPr>
          <w:spacing w:val="-6"/>
        </w:rPr>
        <w:t>me</w:t>
      </w:r>
      <w:r>
        <w:rPr/>
        <w:tab/>
      </w:r>
      <w:r>
        <w:rPr>
          <w:spacing w:val="-4"/>
        </w:rPr>
        <w:t>and</w:t>
      </w:r>
      <w:r>
        <w:rPr/>
        <w:tab/>
      </w:r>
      <w:r>
        <w:rPr>
          <w:spacing w:val="-4"/>
        </w:rPr>
        <w:t>has</w:t>
      </w:r>
      <w:r>
        <w:rPr/>
        <w:tab/>
      </w:r>
      <w:r>
        <w:rPr>
          <w:spacing w:val="-4"/>
        </w:rPr>
        <w:t>been</w:t>
      </w:r>
      <w:r>
        <w:rPr/>
        <w:tab/>
      </w:r>
      <w:r>
        <w:rPr>
          <w:spacing w:val="-2"/>
        </w:rPr>
        <w:t>completed </w:t>
      </w:r>
      <w:r>
        <w:rPr>
          <w:spacing w:val="-4"/>
        </w:rPr>
        <w:t>on…</w:t>
      </w:r>
      <w:r>
        <w:rPr>
          <w:rFonts w:ascii="Times New Roman" w:hAnsi="Times New Roman"/>
        </w:rPr>
        <w:tab/>
      </w:r>
      <w:r>
        <w:rPr>
          <w:spacing w:val="-2"/>
        </w:rPr>
        <w:t>according</w:t>
      </w:r>
    </w:p>
    <w:p>
      <w:pPr>
        <w:pStyle w:val="BodyText"/>
        <w:spacing w:before="240"/>
        <w:ind w:left="873"/>
        <w:jc w:val="left"/>
      </w:pPr>
      <w:r>
        <w:rPr/>
        <w:t>to</w:t>
      </w:r>
      <w:r>
        <w:rPr>
          <w:spacing w:val="-5"/>
        </w:rPr>
        <w:t> </w:t>
      </w:r>
      <w:r>
        <w:rPr/>
        <w:t>the</w:t>
      </w:r>
      <w:r>
        <w:rPr>
          <w:spacing w:val="-4"/>
        </w:rPr>
        <w:t> </w:t>
      </w:r>
      <w:r>
        <w:rPr/>
        <w:t>plans</w:t>
      </w:r>
      <w:r>
        <w:rPr>
          <w:spacing w:val="-5"/>
        </w:rPr>
        <w:t> </w:t>
      </w:r>
      <w:r>
        <w:rPr/>
        <w:t>sanctioned</w:t>
      </w:r>
      <w:r>
        <w:rPr>
          <w:spacing w:val="-4"/>
        </w:rPr>
        <w:t> </w:t>
      </w:r>
      <w:r>
        <w:rPr/>
        <w:t>(office</w:t>
      </w:r>
      <w:r>
        <w:rPr>
          <w:spacing w:val="-5"/>
        </w:rPr>
        <w:t> </w:t>
      </w:r>
      <w:r>
        <w:rPr/>
        <w:t>communication</w:t>
      </w:r>
      <w:r>
        <w:rPr>
          <w:spacing w:val="-4"/>
        </w:rPr>
        <w:t> </w:t>
      </w:r>
      <w:r>
        <w:rPr/>
        <w:t>No.</w:t>
      </w:r>
      <w:r>
        <w:rPr>
          <w:spacing w:val="-4"/>
        </w:rPr>
        <w:t> </w:t>
      </w:r>
      <w:r>
        <w:rPr>
          <w:spacing w:val="-2"/>
        </w:rPr>
        <w:t>………………………………………</w:t>
      </w:r>
    </w:p>
    <w:p>
      <w:pPr>
        <w:pStyle w:val="BodyText"/>
        <w:spacing w:before="241"/>
        <w:ind w:left="873" w:right="764"/>
      </w:pPr>
      <w:r>
        <w:rPr/>
        <w:t>dated……………………………). The work has been completed to my best satisfaction the workmanship and all the materials (type and grade) have been used</w:t>
      </w:r>
      <w:r>
        <w:rPr>
          <w:spacing w:val="-16"/>
        </w:rPr>
        <w:t> </w:t>
      </w:r>
      <w:r>
        <w:rPr/>
        <w:t>strictly</w:t>
      </w:r>
      <w:r>
        <w:rPr>
          <w:spacing w:val="-16"/>
        </w:rPr>
        <w:t> </w:t>
      </w:r>
      <w:r>
        <w:rPr/>
        <w:t>in</w:t>
      </w:r>
      <w:r>
        <w:rPr>
          <w:spacing w:val="-16"/>
        </w:rPr>
        <w:t> </w:t>
      </w:r>
      <w:r>
        <w:rPr/>
        <w:t>accordance</w:t>
      </w:r>
      <w:r>
        <w:rPr>
          <w:spacing w:val="-16"/>
        </w:rPr>
        <w:t> </w:t>
      </w:r>
      <w:r>
        <w:rPr/>
        <w:t>with</w:t>
      </w:r>
      <w:r>
        <w:rPr>
          <w:spacing w:val="-16"/>
        </w:rPr>
        <w:t> </w:t>
      </w:r>
      <w:r>
        <w:rPr/>
        <w:t>general</w:t>
      </w:r>
      <w:r>
        <w:rPr>
          <w:spacing w:val="-16"/>
        </w:rPr>
        <w:t> </w:t>
      </w:r>
      <w:r>
        <w:rPr/>
        <w:t>and</w:t>
      </w:r>
      <w:r>
        <w:rPr>
          <w:spacing w:val="-16"/>
        </w:rPr>
        <w:t> </w:t>
      </w:r>
      <w:r>
        <w:rPr/>
        <w:t>detailed</w:t>
      </w:r>
      <w:r>
        <w:rPr>
          <w:spacing w:val="-16"/>
        </w:rPr>
        <w:t> </w:t>
      </w:r>
      <w:r>
        <w:rPr/>
        <w:t>specifications.</w:t>
      </w:r>
      <w:r>
        <w:rPr>
          <w:spacing w:val="40"/>
        </w:rPr>
        <w:t> </w:t>
      </w:r>
      <w:r>
        <w:rPr/>
        <w:t>No</w:t>
      </w:r>
      <w:r>
        <w:rPr>
          <w:spacing w:val="-16"/>
        </w:rPr>
        <w:t> </w:t>
      </w:r>
      <w:r>
        <w:rPr/>
        <w:t>provisions of</w:t>
      </w:r>
      <w:r>
        <w:rPr>
          <w:spacing w:val="-15"/>
        </w:rPr>
        <w:t> </w:t>
      </w:r>
      <w:r>
        <w:rPr/>
        <w:t>the</w:t>
      </w:r>
      <w:r>
        <w:rPr>
          <w:spacing w:val="-15"/>
        </w:rPr>
        <w:t> </w:t>
      </w:r>
      <w:r>
        <w:rPr/>
        <w:t>Act</w:t>
      </w:r>
      <w:r>
        <w:rPr>
          <w:spacing w:val="-15"/>
        </w:rPr>
        <w:t> </w:t>
      </w:r>
      <w:r>
        <w:rPr/>
        <w:t>or</w:t>
      </w:r>
      <w:r>
        <w:rPr>
          <w:spacing w:val="-15"/>
        </w:rPr>
        <w:t> </w:t>
      </w:r>
      <w:r>
        <w:rPr/>
        <w:t>Development</w:t>
      </w:r>
      <w:r>
        <w:rPr>
          <w:spacing w:val="-15"/>
        </w:rPr>
        <w:t> </w:t>
      </w:r>
      <w:r>
        <w:rPr/>
        <w:t>Control</w:t>
      </w:r>
      <w:r>
        <w:rPr>
          <w:spacing w:val="-15"/>
        </w:rPr>
        <w:t> </w:t>
      </w:r>
      <w:r>
        <w:rPr/>
        <w:t>Regulations</w:t>
      </w:r>
      <w:r>
        <w:rPr>
          <w:spacing w:val="-15"/>
        </w:rPr>
        <w:t> </w:t>
      </w:r>
      <w:r>
        <w:rPr/>
        <w:t>or</w:t>
      </w:r>
      <w:r>
        <w:rPr>
          <w:spacing w:val="-15"/>
        </w:rPr>
        <w:t> </w:t>
      </w:r>
      <w:r>
        <w:rPr/>
        <w:t>no</w:t>
      </w:r>
      <w:r>
        <w:rPr>
          <w:spacing w:val="-15"/>
        </w:rPr>
        <w:t> </w:t>
      </w:r>
      <w:r>
        <w:rPr/>
        <w:t>requisitions</w:t>
      </w:r>
      <w:r>
        <w:rPr>
          <w:spacing w:val="-15"/>
        </w:rPr>
        <w:t> </w:t>
      </w:r>
      <w:r>
        <w:rPr/>
        <w:t>made,</w:t>
      </w:r>
      <w:r>
        <w:rPr>
          <w:spacing w:val="-15"/>
        </w:rPr>
        <w:t> </w:t>
      </w:r>
      <w:r>
        <w:rPr/>
        <w:t>conditions prescribed or orders issued thereunder have been transgressed in the course of the work.</w:t>
      </w:r>
      <w:r>
        <w:rPr>
          <w:spacing w:val="40"/>
        </w:rPr>
        <w:t> </w:t>
      </w:r>
      <w:r>
        <w:rPr/>
        <w:t>I am enclosing three copies of the completion plans, one of which is cloth</w:t>
      </w:r>
      <w:r>
        <w:rPr>
          <w:spacing w:val="-10"/>
        </w:rPr>
        <w:t> </w:t>
      </w:r>
      <w:r>
        <w:rPr/>
        <w:t>mounted.</w:t>
      </w:r>
      <w:r>
        <w:rPr>
          <w:spacing w:val="40"/>
        </w:rPr>
        <w:t> </w:t>
      </w:r>
      <w:r>
        <w:rPr/>
        <w:t>The</w:t>
      </w:r>
      <w:r>
        <w:rPr>
          <w:spacing w:val="-10"/>
        </w:rPr>
        <w:t> </w:t>
      </w:r>
      <w:r>
        <w:rPr/>
        <w:t>building</w:t>
      </w:r>
      <w:r>
        <w:rPr>
          <w:spacing w:val="-10"/>
        </w:rPr>
        <w:t> </w:t>
      </w:r>
      <w:r>
        <w:rPr/>
        <w:t>is</w:t>
      </w:r>
      <w:r>
        <w:rPr>
          <w:spacing w:val="-10"/>
        </w:rPr>
        <w:t> </w:t>
      </w:r>
      <w:r>
        <w:rPr/>
        <w:t>fit</w:t>
      </w:r>
      <w:r>
        <w:rPr>
          <w:spacing w:val="-10"/>
        </w:rPr>
        <w:t> </w:t>
      </w:r>
      <w:r>
        <w:rPr/>
        <w:t>for</w:t>
      </w:r>
      <w:r>
        <w:rPr>
          <w:spacing w:val="-10"/>
        </w:rPr>
        <w:t> </w:t>
      </w:r>
      <w:r>
        <w:rPr/>
        <w:t>occupancy</w:t>
      </w:r>
      <w:r>
        <w:rPr>
          <w:spacing w:val="-9"/>
        </w:rPr>
        <w:t> </w:t>
      </w:r>
      <w:r>
        <w:rPr/>
        <w:t>for</w:t>
      </w:r>
      <w:r>
        <w:rPr>
          <w:spacing w:val="-10"/>
        </w:rPr>
        <w:t> </w:t>
      </w:r>
      <w:r>
        <w:rPr/>
        <w:t>which</w:t>
      </w:r>
      <w:r>
        <w:rPr>
          <w:spacing w:val="-10"/>
        </w:rPr>
        <w:t> </w:t>
      </w:r>
      <w:r>
        <w:rPr/>
        <w:t>it</w:t>
      </w:r>
      <w:r>
        <w:rPr>
          <w:spacing w:val="-12"/>
        </w:rPr>
        <w:t> </w:t>
      </w:r>
      <w:r>
        <w:rPr/>
        <w:t>has</w:t>
      </w:r>
      <w:r>
        <w:rPr>
          <w:spacing w:val="-10"/>
        </w:rPr>
        <w:t> </w:t>
      </w:r>
      <w:r>
        <w:rPr/>
        <w:t>been</w:t>
      </w:r>
      <w:r>
        <w:rPr>
          <w:spacing w:val="-10"/>
        </w:rPr>
        <w:t> </w:t>
      </w:r>
      <w:r>
        <w:rPr/>
        <w:t>erected/re- erected or altered, constructed and enlarged.</w:t>
      </w:r>
    </w:p>
    <w:p>
      <w:pPr>
        <w:pStyle w:val="BodyText"/>
        <w:spacing w:before="241"/>
        <w:ind w:left="873" w:right="838" w:firstLine="614"/>
        <w:jc w:val="left"/>
      </w:pPr>
      <w:r>
        <w:rPr/>
        <w:t>I have to request you to arrange for the inspection and give permission for the occupation of the building.</w:t>
      </w:r>
    </w:p>
    <w:p>
      <w:pPr>
        <w:pStyle w:val="BodyText"/>
        <w:spacing w:line="446" w:lineRule="auto" w:before="238"/>
        <w:ind w:left="873" w:right="3646" w:firstLine="3941"/>
        <w:jc w:val="left"/>
      </w:pPr>
      <w:r>
        <w:rPr/>
        <w:t>Yours faithfully, Signature</w:t>
      </w:r>
      <w:r>
        <w:rPr>
          <w:spacing w:val="-11"/>
        </w:rPr>
        <w:t> </w:t>
      </w:r>
      <w:r>
        <w:rPr/>
        <w:t>of</w:t>
      </w:r>
      <w:r>
        <w:rPr>
          <w:spacing w:val="-11"/>
        </w:rPr>
        <w:t> </w:t>
      </w:r>
      <w:r>
        <w:rPr/>
        <w:t>Licensed</w:t>
      </w:r>
      <w:r>
        <w:rPr>
          <w:spacing w:val="-11"/>
        </w:rPr>
        <w:t> </w:t>
      </w:r>
      <w:r>
        <w:rPr/>
        <w:t>surveyor/Engineer/Architect/</w:t>
      </w:r>
    </w:p>
    <w:p>
      <w:pPr>
        <w:pStyle w:val="BodyText"/>
        <w:spacing w:line="242" w:lineRule="auto"/>
        <w:ind w:left="6534" w:right="838"/>
        <w:jc w:val="left"/>
      </w:pPr>
      <w:r>
        <w:rPr/>
        <w:t>Structural</w:t>
      </w:r>
      <w:r>
        <w:rPr>
          <w:spacing w:val="-20"/>
        </w:rPr>
        <w:t> </w:t>
      </w:r>
      <w:r>
        <w:rPr/>
        <w:t>Engineer/Site Supervisor/ Architect.</w:t>
      </w:r>
    </w:p>
    <w:p>
      <w:pPr>
        <w:pStyle w:val="BodyText"/>
        <w:spacing w:after="0" w:line="242" w:lineRule="auto"/>
        <w:jc w:val="left"/>
        <w:sectPr>
          <w:pgSz w:w="11910" w:h="16850"/>
          <w:pgMar w:header="1082" w:footer="945" w:top="1520" w:bottom="1140" w:left="360" w:right="360"/>
        </w:sectPr>
      </w:pPr>
    </w:p>
    <w:p>
      <w:pPr>
        <w:pStyle w:val="BodyText"/>
        <w:tabs>
          <w:tab w:pos="8631" w:val="left" w:leader="dot"/>
        </w:tabs>
        <w:spacing w:line="281" w:lineRule="exact" w:before="218"/>
        <w:ind w:left="6534"/>
        <w:jc w:val="left"/>
      </w:pPr>
      <w:r>
        <w:rPr>
          <w:spacing w:val="-4"/>
        </w:rPr>
        <w:t>Name</w:t>
      </w:r>
      <w:r>
        <w:rPr>
          <w:rFonts w:ascii="Times New Roman"/>
        </w:rPr>
        <w:tab/>
      </w:r>
      <w:r>
        <w:rPr/>
        <w:t>(In</w:t>
      </w:r>
      <w:r>
        <w:rPr>
          <w:spacing w:val="-3"/>
        </w:rPr>
        <w:t> </w:t>
      </w:r>
      <w:r>
        <w:rPr>
          <w:spacing w:val="-2"/>
        </w:rPr>
        <w:t>Block</w:t>
      </w:r>
    </w:p>
    <w:p>
      <w:pPr>
        <w:pStyle w:val="BodyText"/>
        <w:spacing w:line="281" w:lineRule="exact"/>
        <w:ind w:left="6534"/>
        <w:jc w:val="left"/>
      </w:pPr>
      <w:r>
        <w:rPr>
          <w:spacing w:val="-2"/>
        </w:rPr>
        <w:t>letters)</w:t>
      </w:r>
    </w:p>
    <w:p>
      <w:pPr>
        <w:pStyle w:val="BodyText"/>
        <w:spacing w:before="241"/>
        <w:ind w:left="6534" w:right="768"/>
        <w:jc w:val="left"/>
      </w:pPr>
      <w:r>
        <w:rPr/>
        <w:t>Address</w:t>
      </w:r>
      <w:r>
        <w:rPr>
          <w:spacing w:val="-20"/>
        </w:rPr>
        <w:t> </w:t>
      </w:r>
      <w:r>
        <w:rPr/>
        <w:t>…………………………….. </w:t>
      </w:r>
      <w:r>
        <w:rPr>
          <w:spacing w:val="-2"/>
        </w:rPr>
        <w:t>License No………………………………</w:t>
      </w:r>
    </w:p>
    <w:p>
      <w:pPr>
        <w:pStyle w:val="BodyText"/>
        <w:spacing w:before="240"/>
        <w:ind w:left="6534"/>
        <w:jc w:val="left"/>
      </w:pPr>
      <w:r>
        <w:rPr/>
        <w:t>Date : </w:t>
      </w:r>
      <w:r>
        <w:rPr>
          <w:spacing w:val="-2"/>
        </w:rPr>
        <w:t>………………………………</w:t>
      </w:r>
    </w:p>
    <w:p>
      <w:pPr>
        <w:pStyle w:val="BodyText"/>
        <w:jc w:val="left"/>
      </w:pPr>
    </w:p>
    <w:p>
      <w:pPr>
        <w:pStyle w:val="BodyText"/>
        <w:spacing w:before="199"/>
        <w:jc w:val="left"/>
      </w:pPr>
    </w:p>
    <w:p>
      <w:pPr>
        <w:pStyle w:val="Heading4"/>
        <w:ind w:left="1548" w:right="1449"/>
      </w:pPr>
      <w:r>
        <w:rPr/>
        <w:t>ANNEXURE</w:t>
      </w:r>
      <w:r>
        <w:rPr>
          <w:spacing w:val="-8"/>
        </w:rPr>
        <w:t> </w:t>
      </w:r>
      <w:r>
        <w:rPr>
          <w:spacing w:val="-5"/>
        </w:rPr>
        <w:t>17</w:t>
      </w:r>
    </w:p>
    <w:p>
      <w:pPr>
        <w:pStyle w:val="Heading5"/>
        <w:spacing w:before="240"/>
        <w:ind w:left="1548" w:right="1448"/>
        <w:jc w:val="center"/>
      </w:pPr>
      <w:r>
        <w:rPr/>
        <w:t>(Regulations No. </w:t>
      </w:r>
      <w:r>
        <w:rPr>
          <w:spacing w:val="-2"/>
        </w:rPr>
        <w:t>11(6))</w:t>
      </w:r>
    </w:p>
    <w:p>
      <w:pPr>
        <w:pStyle w:val="BodyText"/>
        <w:tabs>
          <w:tab w:pos="2635" w:val="left" w:leader="none"/>
          <w:tab w:pos="4204" w:val="left" w:leader="none"/>
          <w:tab w:pos="4703" w:val="left" w:leader="none"/>
          <w:tab w:pos="5121" w:val="left" w:leader="none"/>
          <w:tab w:pos="6157" w:val="left" w:leader="none"/>
          <w:tab w:pos="7071" w:val="left" w:leader="none"/>
          <w:tab w:pos="7488" w:val="left" w:leader="none"/>
          <w:tab w:pos="8069" w:val="left" w:leader="none"/>
          <w:tab w:pos="9245" w:val="left" w:leader="none"/>
        </w:tabs>
        <w:spacing w:before="241"/>
        <w:ind w:left="873" w:right="767" w:firstLine="1075"/>
        <w:jc w:val="left"/>
      </w:pPr>
      <w:r>
        <w:rPr>
          <w:spacing w:val="-4"/>
        </w:rPr>
        <w:t>(See</w:t>
      </w:r>
      <w:r>
        <w:rPr/>
        <w:tab/>
      </w:r>
      <w:r>
        <w:rPr>
          <w:spacing w:val="-2"/>
        </w:rPr>
        <w:t>sub-section</w:t>
      </w:r>
      <w:r>
        <w:rPr/>
        <w:tab/>
      </w:r>
      <w:r>
        <w:rPr>
          <w:spacing w:val="-4"/>
        </w:rPr>
        <w:t>(3)</w:t>
      </w:r>
      <w:r>
        <w:rPr/>
        <w:tab/>
      </w:r>
      <w:r>
        <w:rPr>
          <w:spacing w:val="-6"/>
        </w:rPr>
        <w:t>of</w:t>
      </w:r>
      <w:r>
        <w:rPr/>
        <w:tab/>
      </w:r>
      <w:r>
        <w:rPr>
          <w:spacing w:val="-2"/>
        </w:rPr>
        <w:t>section</w:t>
      </w:r>
      <w:r>
        <w:rPr/>
        <w:tab/>
      </w:r>
      <w:r>
        <w:rPr>
          <w:spacing w:val="-2"/>
        </w:rPr>
        <w:t>259-A</w:t>
      </w:r>
      <w:r>
        <w:rPr/>
        <w:tab/>
      </w:r>
      <w:r>
        <w:rPr>
          <w:spacing w:val="-6"/>
        </w:rPr>
        <w:t>of</w:t>
      </w:r>
      <w:r>
        <w:rPr/>
        <w:tab/>
      </w:r>
      <w:r>
        <w:rPr>
          <w:spacing w:val="-4"/>
        </w:rPr>
        <w:t>the</w:t>
      </w:r>
      <w:r>
        <w:rPr/>
        <w:tab/>
      </w:r>
      <w:r>
        <w:rPr>
          <w:spacing w:val="-2"/>
        </w:rPr>
        <w:t>Mumbai</w:t>
      </w:r>
      <w:r>
        <w:rPr/>
        <w:tab/>
      </w:r>
      <w:r>
        <w:rPr>
          <w:spacing w:val="-2"/>
        </w:rPr>
        <w:t>Municipal </w:t>
      </w:r>
      <w:r>
        <w:rPr/>
        <w:t>Corporation Act, 1888)</w:t>
      </w:r>
    </w:p>
    <w:p>
      <w:pPr>
        <w:pStyle w:val="BodyText"/>
        <w:spacing w:line="446" w:lineRule="auto" w:before="234"/>
        <w:ind w:left="873" w:right="6269" w:firstLine="77"/>
        <w:jc w:val="left"/>
      </w:pPr>
      <w:r>
        <w:rPr/>
        <w:t>Drainage</w:t>
      </w:r>
      <w:r>
        <w:rPr>
          <w:spacing w:val="-17"/>
        </w:rPr>
        <w:t> </w:t>
      </w:r>
      <w:r>
        <w:rPr/>
        <w:t>Completion</w:t>
      </w:r>
      <w:r>
        <w:rPr>
          <w:spacing w:val="-17"/>
        </w:rPr>
        <w:t> </w:t>
      </w:r>
      <w:r>
        <w:rPr/>
        <w:t>Certificate </w:t>
      </w:r>
      <w:r>
        <w:rPr>
          <w:spacing w:val="-6"/>
        </w:rPr>
        <w:t>To</w:t>
      </w:r>
    </w:p>
    <w:p>
      <w:pPr>
        <w:pStyle w:val="BodyText"/>
        <w:ind w:left="1181"/>
        <w:jc w:val="left"/>
      </w:pPr>
      <w:r>
        <w:rPr/>
        <w:t>Assistant </w:t>
      </w:r>
      <w:r>
        <w:rPr>
          <w:spacing w:val="-2"/>
        </w:rPr>
        <w:t>Engineer……………………….</w:t>
      </w:r>
    </w:p>
    <w:p>
      <w:pPr>
        <w:spacing w:before="239"/>
        <w:ind w:left="3562" w:right="0" w:firstLine="0"/>
        <w:jc w:val="left"/>
        <w:rPr>
          <w:sz w:val="24"/>
        </w:rPr>
      </w:pPr>
      <w:r>
        <w:rPr>
          <w:spacing w:val="-2"/>
          <w:sz w:val="24"/>
        </w:rPr>
        <w:t>……………………….</w:t>
      </w:r>
    </w:p>
    <w:p>
      <w:pPr>
        <w:pStyle w:val="BodyText"/>
        <w:spacing w:before="242"/>
        <w:ind w:left="873"/>
        <w:jc w:val="left"/>
      </w:pPr>
      <w:r>
        <w:rPr>
          <w:spacing w:val="-4"/>
        </w:rPr>
        <w:t>Sir,</w:t>
      </w:r>
    </w:p>
    <w:p>
      <w:pPr>
        <w:pStyle w:val="BodyText"/>
        <w:spacing w:before="239"/>
        <w:ind w:left="873"/>
        <w:jc w:val="left"/>
      </w:pPr>
      <w:r>
        <w:rPr/>
        <w:t>The</w:t>
      </w:r>
      <w:r>
        <w:rPr>
          <w:spacing w:val="-4"/>
        </w:rPr>
        <w:t> </w:t>
      </w:r>
      <w:r>
        <w:rPr/>
        <w:t>following</w:t>
      </w:r>
      <w:r>
        <w:rPr>
          <w:spacing w:val="-2"/>
        </w:rPr>
        <w:t> </w:t>
      </w:r>
      <w:r>
        <w:rPr/>
        <w:t>work </w:t>
      </w:r>
      <w:r>
        <w:rPr>
          <w:spacing w:val="-4"/>
        </w:rPr>
        <w:t>…………</w:t>
      </w:r>
    </w:p>
    <w:p>
      <w:pPr>
        <w:pStyle w:val="BodyText"/>
        <w:spacing w:before="242"/>
        <w:ind w:left="873" w:right="768"/>
      </w:pPr>
      <w:r>
        <w:rPr/>
        <w:t>……………………………….(insert full particulars of the work) has been completed to</w:t>
      </w:r>
      <w:r>
        <w:rPr>
          <w:spacing w:val="-16"/>
        </w:rPr>
        <w:t> </w:t>
      </w:r>
      <w:r>
        <w:rPr/>
        <w:t>my</w:t>
      </w:r>
      <w:r>
        <w:rPr>
          <w:spacing w:val="-16"/>
        </w:rPr>
        <w:t> </w:t>
      </w:r>
      <w:r>
        <w:rPr/>
        <w:t>satisfaction;</w:t>
      </w:r>
      <w:r>
        <w:rPr>
          <w:spacing w:val="-16"/>
        </w:rPr>
        <w:t> </w:t>
      </w:r>
      <w:r>
        <w:rPr/>
        <w:t>the</w:t>
      </w:r>
      <w:r>
        <w:rPr>
          <w:spacing w:val="-16"/>
        </w:rPr>
        <w:t> </w:t>
      </w:r>
      <w:r>
        <w:rPr/>
        <w:t>workmanship</w:t>
      </w:r>
      <w:r>
        <w:rPr>
          <w:spacing w:val="-16"/>
        </w:rPr>
        <w:t> </w:t>
      </w:r>
      <w:r>
        <w:rPr/>
        <w:t>and</w:t>
      </w:r>
      <w:r>
        <w:rPr>
          <w:spacing w:val="-16"/>
        </w:rPr>
        <w:t> </w:t>
      </w:r>
      <w:r>
        <w:rPr/>
        <w:t>the</w:t>
      </w:r>
      <w:r>
        <w:rPr>
          <w:spacing w:val="-16"/>
        </w:rPr>
        <w:t> </w:t>
      </w:r>
      <w:r>
        <w:rPr/>
        <w:t>whole</w:t>
      </w:r>
      <w:r>
        <w:rPr>
          <w:spacing w:val="-16"/>
        </w:rPr>
        <w:t> </w:t>
      </w:r>
      <w:r>
        <w:rPr/>
        <w:t>of</w:t>
      </w:r>
      <w:r>
        <w:rPr>
          <w:spacing w:val="-16"/>
        </w:rPr>
        <w:t> </w:t>
      </w:r>
      <w:r>
        <w:rPr/>
        <w:t>the</w:t>
      </w:r>
      <w:r>
        <w:rPr>
          <w:spacing w:val="-15"/>
        </w:rPr>
        <w:t> </w:t>
      </w:r>
      <w:r>
        <w:rPr/>
        <w:t>materials</w:t>
      </w:r>
      <w:r>
        <w:rPr>
          <w:spacing w:val="-16"/>
        </w:rPr>
        <w:t> </w:t>
      </w:r>
      <w:r>
        <w:rPr/>
        <w:t>used</w:t>
      </w:r>
      <w:r>
        <w:rPr>
          <w:spacing w:val="-16"/>
        </w:rPr>
        <w:t> </w:t>
      </w:r>
      <w:r>
        <w:rPr/>
        <w:t>are</w:t>
      </w:r>
      <w:r>
        <w:rPr>
          <w:spacing w:val="-16"/>
        </w:rPr>
        <w:t> </w:t>
      </w:r>
      <w:r>
        <w:rPr/>
        <w:t>good; and no provision of the Act or the Development control Regulations or building Bye-laws and no requisition made, condition prescribed or order issued there under, has been transgressed in the course of the work,</w:t>
      </w:r>
    </w:p>
    <w:p>
      <w:pPr>
        <w:pStyle w:val="BodyText"/>
        <w:jc w:val="left"/>
        <w:rPr>
          <w:sz w:val="20"/>
        </w:rPr>
      </w:pPr>
    </w:p>
    <w:p>
      <w:pPr>
        <w:pStyle w:val="BodyText"/>
        <w:spacing w:before="192"/>
        <w:jc w:val="left"/>
        <w:rPr>
          <w:sz w:val="20"/>
        </w:rPr>
      </w:pPr>
    </w:p>
    <w:p>
      <w:pPr>
        <w:pStyle w:val="BodyText"/>
        <w:spacing w:after="0"/>
        <w:jc w:val="left"/>
        <w:rPr>
          <w:sz w:val="20"/>
        </w:rPr>
        <w:sectPr>
          <w:pgSz w:w="11910" w:h="16850"/>
          <w:pgMar w:header="1082" w:footer="945" w:top="1520" w:bottom="1140" w:left="360" w:right="360"/>
        </w:sectPr>
      </w:pPr>
    </w:p>
    <w:p>
      <w:pPr>
        <w:pStyle w:val="BodyText"/>
        <w:jc w:val="left"/>
      </w:pPr>
    </w:p>
    <w:p>
      <w:pPr>
        <w:pStyle w:val="BodyText"/>
        <w:spacing w:before="57"/>
        <w:jc w:val="left"/>
      </w:pPr>
    </w:p>
    <w:p>
      <w:pPr>
        <w:pStyle w:val="BodyText"/>
        <w:ind w:left="873"/>
        <w:jc w:val="left"/>
      </w:pPr>
      <w:r>
        <w:rPr/>
        <w:t>Signature</w:t>
      </w:r>
      <w:r>
        <w:rPr>
          <w:spacing w:val="-3"/>
        </w:rPr>
        <w:t> </w:t>
      </w:r>
      <w:r>
        <w:rPr/>
        <w:t>of</w:t>
      </w:r>
      <w:r>
        <w:rPr>
          <w:spacing w:val="-2"/>
        </w:rPr>
        <w:t> </w:t>
      </w:r>
      <w:r>
        <w:rPr/>
        <w:t>Licensed</w:t>
      </w:r>
      <w:r>
        <w:rPr>
          <w:spacing w:val="-2"/>
        </w:rPr>
        <w:t> </w:t>
      </w:r>
      <w:r>
        <w:rPr>
          <w:spacing w:val="-2"/>
        </w:rPr>
        <w:t>Plumber……………</w:t>
      </w:r>
    </w:p>
    <w:p>
      <w:pPr>
        <w:pStyle w:val="BodyText"/>
        <w:spacing w:before="100"/>
        <w:ind w:left="2770"/>
        <w:jc w:val="left"/>
      </w:pPr>
      <w:r>
        <w:rPr/>
        <w:br w:type="column"/>
      </w:r>
      <w:r>
        <w:rPr/>
        <w:t>Yours </w:t>
      </w:r>
      <w:r>
        <w:rPr>
          <w:spacing w:val="-2"/>
        </w:rPr>
        <w:t>faithfully,</w:t>
      </w:r>
    </w:p>
    <w:p>
      <w:pPr>
        <w:pStyle w:val="BodyText"/>
        <w:jc w:val="left"/>
      </w:pPr>
    </w:p>
    <w:p>
      <w:pPr>
        <w:pStyle w:val="BodyText"/>
        <w:spacing w:before="198"/>
        <w:jc w:val="left"/>
      </w:pPr>
    </w:p>
    <w:p>
      <w:pPr>
        <w:pStyle w:val="BodyText"/>
        <w:tabs>
          <w:tab w:pos="1974" w:val="left" w:leader="none"/>
          <w:tab w:pos="2759" w:val="left" w:leader="none"/>
          <w:tab w:pos="3898" w:val="left" w:leader="none"/>
        </w:tabs>
        <w:spacing w:line="281" w:lineRule="exact" w:before="1"/>
        <w:ind w:left="825"/>
        <w:jc w:val="left"/>
      </w:pPr>
      <w:r>
        <w:rPr>
          <w:spacing w:val="-4"/>
        </w:rPr>
        <w:t>Name</w:t>
      </w:r>
      <w:r>
        <w:rPr/>
        <w:tab/>
      </w:r>
      <w:r>
        <w:rPr>
          <w:spacing w:val="-5"/>
        </w:rPr>
        <w:t>(in</w:t>
      </w:r>
      <w:r>
        <w:rPr/>
        <w:tab/>
      </w:r>
      <w:r>
        <w:rPr>
          <w:spacing w:val="-2"/>
        </w:rPr>
        <w:t>Block</w:t>
      </w:r>
      <w:r>
        <w:rPr/>
        <w:tab/>
      </w:r>
      <w:r>
        <w:rPr>
          <w:spacing w:val="-2"/>
        </w:rPr>
        <w:t>letters)</w:t>
      </w:r>
    </w:p>
    <w:p>
      <w:pPr>
        <w:spacing w:line="281" w:lineRule="exact" w:before="0"/>
        <w:ind w:left="825" w:right="0" w:firstLine="0"/>
        <w:jc w:val="left"/>
        <w:rPr>
          <w:sz w:val="24"/>
        </w:rPr>
      </w:pPr>
      <w:r>
        <w:rPr>
          <w:spacing w:val="-2"/>
          <w:sz w:val="24"/>
        </w:rPr>
        <w:t>………………….</w:t>
      </w:r>
    </w:p>
    <w:p>
      <w:pPr>
        <w:pStyle w:val="BodyText"/>
        <w:spacing w:before="239"/>
        <w:ind w:left="825"/>
        <w:jc w:val="left"/>
      </w:pPr>
      <w:r>
        <w:rPr>
          <w:spacing w:val="-2"/>
        </w:rPr>
        <w:t>Address</w:t>
      </w:r>
    </w:p>
    <w:p>
      <w:pPr>
        <w:pStyle w:val="BodyText"/>
        <w:spacing w:line="444" w:lineRule="auto" w:before="1"/>
        <w:ind w:left="825" w:right="1074"/>
        <w:jc w:val="left"/>
      </w:pPr>
      <w:r>
        <w:rPr>
          <w:spacing w:val="-2"/>
        </w:rPr>
        <w:t>…………………………………. </w:t>
      </w:r>
      <w:r>
        <w:rPr/>
        <w:t>Licence</w:t>
      </w:r>
      <w:r>
        <w:rPr>
          <w:spacing w:val="-18"/>
        </w:rPr>
        <w:t> </w:t>
      </w:r>
      <w:r>
        <w:rPr/>
        <w:t>No.</w:t>
      </w:r>
      <w:r>
        <w:rPr>
          <w:spacing w:val="-18"/>
        </w:rPr>
        <w:t> </w:t>
      </w:r>
      <w:r>
        <w:rPr/>
        <w:t>………………………</w:t>
      </w:r>
    </w:p>
    <w:p>
      <w:pPr>
        <w:pStyle w:val="BodyText"/>
        <w:spacing w:after="0" w:line="444" w:lineRule="auto"/>
        <w:jc w:val="left"/>
        <w:sectPr>
          <w:type w:val="continuous"/>
          <w:pgSz w:w="11910" w:h="16850"/>
          <w:pgMar w:header="1082" w:footer="945" w:top="1360" w:bottom="280" w:left="360" w:right="360"/>
          <w:cols w:num="2" w:equalWidth="0">
            <w:col w:w="5669" w:space="40"/>
            <w:col w:w="5481"/>
          </w:cols>
        </w:sectPr>
      </w:pPr>
    </w:p>
    <w:p>
      <w:pPr>
        <w:pStyle w:val="BodyText"/>
        <w:spacing w:before="218"/>
        <w:ind w:left="6534"/>
        <w:jc w:val="left"/>
      </w:pPr>
      <w:r>
        <w:rPr/>
        <w:t>Date : </w:t>
      </w:r>
      <w:r>
        <w:rPr>
          <w:spacing w:val="-5"/>
        </w:rPr>
        <w:t>………</w:t>
      </w:r>
    </w:p>
    <w:p>
      <w:pPr>
        <w:pStyle w:val="BodyText"/>
        <w:jc w:val="left"/>
      </w:pPr>
    </w:p>
    <w:p>
      <w:pPr>
        <w:pStyle w:val="BodyText"/>
        <w:jc w:val="left"/>
      </w:pPr>
    </w:p>
    <w:p>
      <w:pPr>
        <w:pStyle w:val="BodyText"/>
        <w:jc w:val="left"/>
      </w:pPr>
    </w:p>
    <w:p>
      <w:pPr>
        <w:pStyle w:val="BodyText"/>
        <w:spacing w:before="156"/>
        <w:jc w:val="left"/>
      </w:pPr>
    </w:p>
    <w:p>
      <w:pPr>
        <w:pStyle w:val="Heading4"/>
        <w:ind w:left="1548" w:right="1449"/>
      </w:pPr>
      <w:r>
        <w:rPr/>
        <w:t>ANNEXURE</w:t>
      </w:r>
      <w:r>
        <w:rPr>
          <w:spacing w:val="-8"/>
        </w:rPr>
        <w:t> </w:t>
      </w:r>
      <w:r>
        <w:rPr>
          <w:spacing w:val="-5"/>
        </w:rPr>
        <w:t>18</w:t>
      </w:r>
    </w:p>
    <w:p>
      <w:pPr>
        <w:pStyle w:val="Heading5"/>
        <w:spacing w:before="242"/>
        <w:ind w:left="1548" w:right="1448"/>
        <w:jc w:val="center"/>
      </w:pPr>
      <w:r>
        <w:rPr/>
        <w:t>(Regulations No. </w:t>
      </w:r>
      <w:r>
        <w:rPr>
          <w:spacing w:val="-2"/>
        </w:rPr>
        <w:t>11(6))</w:t>
      </w:r>
    </w:p>
    <w:p>
      <w:pPr>
        <w:pStyle w:val="BodyText"/>
        <w:spacing w:before="239"/>
        <w:ind w:left="873" w:right="768"/>
        <w:jc w:val="left"/>
      </w:pPr>
      <w:r>
        <w:rPr/>
        <w:t>(See</w:t>
      </w:r>
      <w:r>
        <w:rPr>
          <w:spacing w:val="35"/>
        </w:rPr>
        <w:t> </w:t>
      </w:r>
      <w:r>
        <w:rPr/>
        <w:t>sub-section</w:t>
      </w:r>
      <w:r>
        <w:rPr>
          <w:spacing w:val="35"/>
        </w:rPr>
        <w:t> </w:t>
      </w:r>
      <w:r>
        <w:rPr/>
        <w:t>(I)</w:t>
      </w:r>
      <w:r>
        <w:rPr>
          <w:spacing w:val="32"/>
        </w:rPr>
        <w:t> </w:t>
      </w:r>
      <w:r>
        <w:rPr/>
        <w:t>of</w:t>
      </w:r>
      <w:r>
        <w:rPr>
          <w:spacing w:val="35"/>
        </w:rPr>
        <w:t> </w:t>
      </w:r>
      <w:r>
        <w:rPr/>
        <w:t>section</w:t>
      </w:r>
      <w:r>
        <w:rPr>
          <w:spacing w:val="35"/>
        </w:rPr>
        <w:t> </w:t>
      </w:r>
      <w:r>
        <w:rPr/>
        <w:t>353-A</w:t>
      </w:r>
      <w:r>
        <w:rPr>
          <w:spacing w:val="35"/>
        </w:rPr>
        <w:t> </w:t>
      </w:r>
      <w:r>
        <w:rPr/>
        <w:t>of the</w:t>
      </w:r>
      <w:r>
        <w:rPr>
          <w:spacing w:val="35"/>
        </w:rPr>
        <w:t> </w:t>
      </w:r>
      <w:r>
        <w:rPr/>
        <w:t>MumbaiMunicipal</w:t>
      </w:r>
      <w:r>
        <w:rPr>
          <w:spacing w:val="35"/>
        </w:rPr>
        <w:t> </w:t>
      </w:r>
      <w:r>
        <w:rPr/>
        <w:t>Corporation</w:t>
      </w:r>
      <w:r>
        <w:rPr>
          <w:spacing w:val="35"/>
        </w:rPr>
        <w:t> </w:t>
      </w:r>
      <w:r>
        <w:rPr/>
        <w:t>Act, </w:t>
      </w:r>
      <w:r>
        <w:rPr>
          <w:spacing w:val="-2"/>
        </w:rPr>
        <w:t>1888)</w:t>
      </w:r>
    </w:p>
    <w:p>
      <w:pPr>
        <w:pStyle w:val="BodyText"/>
        <w:spacing w:before="241"/>
        <w:ind w:left="5789"/>
        <w:jc w:val="left"/>
      </w:pPr>
      <w:r>
        <w:rPr/>
        <w:t>Building</w:t>
      </w:r>
      <w:r>
        <w:rPr>
          <w:spacing w:val="-5"/>
        </w:rPr>
        <w:t> </w:t>
      </w:r>
      <w:r>
        <w:rPr/>
        <w:t>completion</w:t>
      </w:r>
      <w:r>
        <w:rPr>
          <w:spacing w:val="-4"/>
        </w:rPr>
        <w:t> </w:t>
      </w:r>
      <w:r>
        <w:rPr>
          <w:spacing w:val="-2"/>
        </w:rPr>
        <w:t>Certificate</w:t>
      </w:r>
    </w:p>
    <w:p>
      <w:pPr>
        <w:pStyle w:val="BodyText"/>
        <w:spacing w:before="239"/>
        <w:ind w:left="873"/>
        <w:jc w:val="left"/>
      </w:pPr>
      <w:r>
        <w:rPr>
          <w:spacing w:val="-5"/>
        </w:rPr>
        <w:t>To</w:t>
      </w:r>
    </w:p>
    <w:p>
      <w:pPr>
        <w:pStyle w:val="BodyText"/>
        <w:spacing w:before="241"/>
        <w:ind w:left="1181"/>
        <w:jc w:val="left"/>
      </w:pPr>
      <w:r>
        <w:rPr/>
        <w:t>Executive </w:t>
      </w:r>
      <w:r>
        <w:rPr>
          <w:spacing w:val="-2"/>
        </w:rPr>
        <w:t>Engineer……………………………..</w:t>
      </w:r>
    </w:p>
    <w:p>
      <w:pPr>
        <w:pStyle w:val="BodyText"/>
        <w:spacing w:before="239"/>
        <w:ind w:left="873"/>
        <w:jc w:val="left"/>
      </w:pPr>
      <w:r>
        <w:rPr>
          <w:spacing w:val="-4"/>
        </w:rPr>
        <w:t>Sir,</w:t>
      </w:r>
    </w:p>
    <w:p>
      <w:pPr>
        <w:pStyle w:val="BodyText"/>
        <w:spacing w:before="240"/>
        <w:ind w:left="873" w:right="768"/>
      </w:pPr>
      <w:r>
        <w:rPr/>
        <w:t>The following building work (insert full particulars of the work) has been supervised</w:t>
      </w:r>
      <w:r>
        <w:rPr>
          <w:spacing w:val="-1"/>
        </w:rPr>
        <w:t> </w:t>
      </w:r>
      <w:r>
        <w:rPr/>
        <w:t>by</w:t>
      </w:r>
      <w:r>
        <w:rPr>
          <w:spacing w:val="-1"/>
        </w:rPr>
        <w:t> </w:t>
      </w:r>
      <w:r>
        <w:rPr/>
        <w:t>me</w:t>
      </w:r>
      <w:r>
        <w:rPr>
          <w:spacing w:val="-1"/>
        </w:rPr>
        <w:t> </w:t>
      </w:r>
      <w:r>
        <w:rPr/>
        <w:t>and</w:t>
      </w:r>
      <w:r>
        <w:rPr>
          <w:spacing w:val="-1"/>
        </w:rPr>
        <w:t> </w:t>
      </w:r>
      <w:r>
        <w:rPr/>
        <w:t>has</w:t>
      </w:r>
      <w:r>
        <w:rPr>
          <w:spacing w:val="-1"/>
        </w:rPr>
        <w:t> </w:t>
      </w:r>
      <w:r>
        <w:rPr/>
        <w:t>been</w:t>
      </w:r>
      <w:r>
        <w:rPr>
          <w:spacing w:val="-1"/>
        </w:rPr>
        <w:t> </w:t>
      </w:r>
      <w:r>
        <w:rPr/>
        <w:t>completed</w:t>
      </w:r>
      <w:r>
        <w:rPr>
          <w:spacing w:val="-1"/>
        </w:rPr>
        <w:t> </w:t>
      </w:r>
      <w:r>
        <w:rPr/>
        <w:t>to</w:t>
      </w:r>
      <w:r>
        <w:rPr>
          <w:spacing w:val="-1"/>
        </w:rPr>
        <w:t> </w:t>
      </w:r>
      <w:r>
        <w:rPr/>
        <w:t>my</w:t>
      </w:r>
      <w:r>
        <w:rPr>
          <w:spacing w:val="-1"/>
        </w:rPr>
        <w:t> </w:t>
      </w:r>
      <w:r>
        <w:rPr/>
        <w:t>satisfaction;</w:t>
      </w:r>
      <w:r>
        <w:rPr>
          <w:spacing w:val="-4"/>
        </w:rPr>
        <w:t> </w:t>
      </w:r>
      <w:r>
        <w:rPr/>
        <w:t>the</w:t>
      </w:r>
      <w:r>
        <w:rPr>
          <w:spacing w:val="-1"/>
        </w:rPr>
        <w:t> </w:t>
      </w:r>
      <w:r>
        <w:rPr/>
        <w:t>workmanship’s and the whole of the materials used are good; and no provision of the Act or the Regulations, Bye-laws and no requisitions made, condition prescribed or order issued there under, has been transgressed in the course of the work.</w:t>
      </w:r>
    </w:p>
    <w:p>
      <w:pPr>
        <w:pStyle w:val="BodyText"/>
        <w:jc w:val="left"/>
      </w:pPr>
    </w:p>
    <w:p>
      <w:pPr>
        <w:pStyle w:val="BodyText"/>
        <w:spacing w:before="200"/>
        <w:jc w:val="left"/>
      </w:pPr>
    </w:p>
    <w:p>
      <w:pPr>
        <w:pStyle w:val="BodyText"/>
        <w:ind w:right="1357"/>
        <w:jc w:val="right"/>
      </w:pPr>
      <w:r>
        <w:rPr/>
        <w:t>Yours </w:t>
      </w:r>
      <w:r>
        <w:rPr>
          <w:spacing w:val="-2"/>
        </w:rPr>
        <w:t>faithfully,</w:t>
      </w:r>
    </w:p>
    <w:p>
      <w:pPr>
        <w:pStyle w:val="BodyText"/>
        <w:jc w:val="left"/>
        <w:rPr>
          <w:sz w:val="20"/>
        </w:rPr>
      </w:pPr>
    </w:p>
    <w:p>
      <w:pPr>
        <w:pStyle w:val="BodyText"/>
        <w:spacing w:before="190"/>
        <w:jc w:val="left"/>
        <w:rPr>
          <w:sz w:val="20"/>
        </w:rPr>
      </w:pPr>
    </w:p>
    <w:p>
      <w:pPr>
        <w:pStyle w:val="BodyText"/>
        <w:spacing w:after="0"/>
        <w:jc w:val="left"/>
        <w:rPr>
          <w:sz w:val="20"/>
        </w:rPr>
        <w:sectPr>
          <w:pgSz w:w="11910" w:h="16850"/>
          <w:pgMar w:header="1082" w:footer="945" w:top="1520" w:bottom="1140" w:left="360" w:right="360"/>
        </w:sectPr>
      </w:pPr>
    </w:p>
    <w:p>
      <w:pPr>
        <w:pStyle w:val="BodyText"/>
        <w:spacing w:before="102"/>
        <w:jc w:val="left"/>
      </w:pPr>
    </w:p>
    <w:p>
      <w:pPr>
        <w:pStyle w:val="BodyText"/>
        <w:ind w:left="873"/>
        <w:jc w:val="left"/>
      </w:pPr>
      <w:r>
        <w:rPr>
          <w:spacing w:val="-2"/>
        </w:rPr>
        <w:t>Surveyor/</w:t>
      </w:r>
    </w:p>
    <w:p>
      <w:pPr>
        <w:pStyle w:val="BodyText"/>
        <w:jc w:val="left"/>
      </w:pPr>
    </w:p>
    <w:p>
      <w:pPr>
        <w:pStyle w:val="BodyText"/>
        <w:jc w:val="left"/>
      </w:pPr>
    </w:p>
    <w:p>
      <w:pPr>
        <w:pStyle w:val="BodyText"/>
        <w:spacing w:before="198"/>
        <w:jc w:val="left"/>
      </w:pPr>
    </w:p>
    <w:p>
      <w:pPr>
        <w:pStyle w:val="BodyText"/>
        <w:ind w:left="873"/>
        <w:jc w:val="left"/>
      </w:pPr>
      <w:r>
        <w:rPr>
          <w:spacing w:val="-2"/>
        </w:rPr>
        <w:t>Architect,</w:t>
      </w:r>
    </w:p>
    <w:p>
      <w:pPr>
        <w:pStyle w:val="BodyText"/>
        <w:tabs>
          <w:tab w:pos="4658" w:val="left" w:leader="none"/>
        </w:tabs>
        <w:spacing w:before="239"/>
        <w:ind w:left="873"/>
        <w:jc w:val="left"/>
      </w:pPr>
      <w:r>
        <w:rPr/>
        <w:t>Name</w:t>
      </w:r>
      <w:r>
        <w:rPr>
          <w:spacing w:val="-4"/>
        </w:rPr>
        <w:t> </w:t>
      </w:r>
      <w:r>
        <w:rPr/>
        <w:t>(in</w:t>
      </w:r>
      <w:r>
        <w:rPr>
          <w:spacing w:val="-2"/>
        </w:rPr>
        <w:t> </w:t>
      </w:r>
      <w:r>
        <w:rPr/>
        <w:t>block</w:t>
      </w:r>
      <w:r>
        <w:rPr>
          <w:spacing w:val="-2"/>
        </w:rPr>
        <w:t> letters)</w:t>
      </w:r>
      <w:r>
        <w:rPr>
          <w:u w:val="single"/>
        </w:rPr>
        <w:tab/>
      </w:r>
    </w:p>
    <w:p>
      <w:pPr>
        <w:pStyle w:val="BodyText"/>
        <w:spacing w:before="241"/>
        <w:jc w:val="left"/>
      </w:pPr>
    </w:p>
    <w:p>
      <w:pPr>
        <w:spacing w:before="0"/>
        <w:ind w:left="873" w:right="0" w:firstLine="0"/>
        <w:jc w:val="left"/>
        <w:rPr>
          <w:sz w:val="24"/>
        </w:rPr>
      </w:pPr>
      <w:r>
        <w:rPr>
          <w:spacing w:val="-2"/>
          <w:sz w:val="24"/>
        </w:rPr>
        <w:t>………………………………………..</w:t>
      </w:r>
    </w:p>
    <w:p>
      <w:pPr>
        <w:pStyle w:val="BodyText"/>
        <w:tabs>
          <w:tab w:pos="2565" w:val="left" w:leader="none"/>
          <w:tab w:pos="3325" w:val="left" w:leader="none"/>
        </w:tabs>
        <w:spacing w:before="100"/>
        <w:ind w:left="873"/>
        <w:jc w:val="left"/>
      </w:pPr>
      <w:r>
        <w:rPr/>
        <w:br w:type="column"/>
      </w:r>
      <w:r>
        <w:rPr>
          <w:spacing w:val="-2"/>
        </w:rPr>
        <w:t>Signature</w:t>
      </w:r>
      <w:r>
        <w:rPr/>
        <w:tab/>
      </w:r>
      <w:r>
        <w:rPr>
          <w:spacing w:val="-5"/>
        </w:rPr>
        <w:t>of</w:t>
      </w:r>
      <w:r>
        <w:rPr/>
        <w:tab/>
      </w:r>
      <w:r>
        <w:rPr>
          <w:spacing w:val="-2"/>
        </w:rPr>
        <w:t>Licensed</w:t>
      </w:r>
    </w:p>
    <w:p>
      <w:pPr>
        <w:pStyle w:val="BodyText"/>
        <w:spacing w:before="241"/>
        <w:jc w:val="left"/>
      </w:pPr>
    </w:p>
    <w:p>
      <w:pPr>
        <w:pStyle w:val="BodyText"/>
        <w:spacing w:line="446" w:lineRule="auto"/>
        <w:ind w:left="873"/>
        <w:jc w:val="left"/>
      </w:pPr>
      <w:r>
        <w:rPr>
          <w:spacing w:val="-2"/>
        </w:rPr>
        <w:t>Engineer/Structural </w:t>
      </w:r>
      <w:r>
        <w:rPr/>
        <w:t>Engineers/Supervisor</w:t>
      </w:r>
      <w:r>
        <w:rPr>
          <w:spacing w:val="-20"/>
        </w:rPr>
        <w:t> </w:t>
      </w:r>
      <w:r>
        <w:rPr/>
        <w:t>or</w:t>
      </w:r>
    </w:p>
    <w:p>
      <w:pPr>
        <w:pStyle w:val="BodyText"/>
        <w:jc w:val="left"/>
      </w:pPr>
    </w:p>
    <w:p>
      <w:pPr>
        <w:pStyle w:val="BodyText"/>
        <w:spacing w:before="237"/>
        <w:jc w:val="left"/>
      </w:pPr>
    </w:p>
    <w:p>
      <w:pPr>
        <w:pStyle w:val="BodyText"/>
        <w:ind w:left="873"/>
        <w:jc w:val="left"/>
      </w:pPr>
      <w:r>
        <w:rPr>
          <w:spacing w:val="-2"/>
        </w:rPr>
        <w:t>Address</w:t>
      </w:r>
    </w:p>
    <w:p>
      <w:pPr>
        <w:pStyle w:val="BodyText"/>
        <w:spacing w:after="0"/>
        <w:jc w:val="left"/>
        <w:sectPr>
          <w:type w:val="continuous"/>
          <w:pgSz w:w="11910" w:h="16850"/>
          <w:pgMar w:header="1082" w:footer="945" w:top="1360" w:bottom="280" w:left="360" w:right="360"/>
          <w:cols w:num="2" w:equalWidth="0">
            <w:col w:w="4699" w:space="1369"/>
            <w:col w:w="5122"/>
          </w:cols>
        </w:sectPr>
      </w:pPr>
    </w:p>
    <w:p>
      <w:pPr>
        <w:pStyle w:val="BodyText"/>
        <w:tabs>
          <w:tab w:pos="6355" w:val="left" w:leader="none"/>
        </w:tabs>
        <w:spacing w:before="239"/>
        <w:ind w:left="873"/>
        <w:jc w:val="left"/>
      </w:pPr>
      <w:r>
        <w:rPr/>
        <w:t>Date : </w:t>
      </w:r>
      <w:r>
        <w:rPr>
          <w:spacing w:val="-2"/>
        </w:rPr>
        <w:t>…………………………..</w:t>
      </w:r>
      <w:r>
        <w:rPr/>
        <w:tab/>
        <w:t>License No. </w:t>
      </w:r>
      <w:r>
        <w:rPr>
          <w:spacing w:val="-2"/>
        </w:rPr>
        <w:t>…………………………..</w:t>
      </w:r>
    </w:p>
    <w:p>
      <w:pPr>
        <w:pStyle w:val="BodyText"/>
        <w:spacing w:after="0"/>
        <w:jc w:val="left"/>
        <w:sectPr>
          <w:type w:val="continuous"/>
          <w:pgSz w:w="11910" w:h="16850"/>
          <w:pgMar w:header="1082" w:footer="945" w:top="1360" w:bottom="280" w:left="360" w:right="360"/>
        </w:sectPr>
      </w:pPr>
    </w:p>
    <w:p>
      <w:pPr>
        <w:pStyle w:val="Heading4"/>
        <w:spacing w:before="218"/>
        <w:ind w:left="1548" w:right="1449"/>
      </w:pPr>
      <w:r>
        <w:rPr/>
        <w:t>ANNEXURE</w:t>
      </w:r>
      <w:r>
        <w:rPr>
          <w:spacing w:val="-8"/>
        </w:rPr>
        <w:t> </w:t>
      </w:r>
      <w:r>
        <w:rPr>
          <w:spacing w:val="-5"/>
        </w:rPr>
        <w:t>19</w:t>
      </w:r>
    </w:p>
    <w:p>
      <w:pPr>
        <w:pStyle w:val="Heading5"/>
        <w:spacing w:before="239"/>
        <w:ind w:left="1548" w:right="1448"/>
        <w:jc w:val="center"/>
      </w:pPr>
      <w:r>
        <w:rPr/>
        <w:t>(Regulations</w:t>
      </w:r>
      <w:r>
        <w:rPr>
          <w:spacing w:val="-2"/>
        </w:rPr>
        <w:t> </w:t>
      </w:r>
      <w:r>
        <w:rPr/>
        <w:t>11(6)</w:t>
      </w:r>
      <w:r>
        <w:rPr>
          <w:spacing w:val="-1"/>
        </w:rPr>
        <w:t> </w:t>
      </w:r>
      <w:r>
        <w:rPr/>
        <w:t>and11</w:t>
      </w:r>
      <w:r>
        <w:rPr>
          <w:spacing w:val="-1"/>
        </w:rPr>
        <w:t> </w:t>
      </w:r>
      <w:r>
        <w:rPr>
          <w:spacing w:val="-5"/>
        </w:rPr>
        <w:t>(7)</w:t>
      </w:r>
    </w:p>
    <w:p>
      <w:pPr>
        <w:pStyle w:val="BodyText"/>
        <w:spacing w:line="444" w:lineRule="auto" w:before="241"/>
        <w:ind w:left="1885" w:right="1783"/>
        <w:jc w:val="center"/>
      </w:pPr>
      <w:r>
        <w:rPr/>
        <w:t>Form</w:t>
      </w:r>
      <w:r>
        <w:rPr>
          <w:spacing w:val="-6"/>
        </w:rPr>
        <w:t> </w:t>
      </w:r>
      <w:r>
        <w:rPr/>
        <w:t>of</w:t>
      </w:r>
      <w:r>
        <w:rPr>
          <w:spacing w:val="-6"/>
        </w:rPr>
        <w:t> </w:t>
      </w:r>
      <w:r>
        <w:rPr/>
        <w:t>Acceptance</w:t>
      </w:r>
      <w:r>
        <w:rPr>
          <w:spacing w:val="-6"/>
        </w:rPr>
        <w:t> </w:t>
      </w:r>
      <w:r>
        <w:rPr/>
        <w:t>of</w:t>
      </w:r>
      <w:r>
        <w:rPr>
          <w:spacing w:val="-6"/>
        </w:rPr>
        <w:t> </w:t>
      </w:r>
      <w:r>
        <w:rPr/>
        <w:t>Drainage</w:t>
      </w:r>
      <w:r>
        <w:rPr>
          <w:spacing w:val="-6"/>
        </w:rPr>
        <w:t> </w:t>
      </w:r>
      <w:r>
        <w:rPr/>
        <w:t>Completion</w:t>
      </w:r>
      <w:r>
        <w:rPr>
          <w:spacing w:val="-6"/>
        </w:rPr>
        <w:t> </w:t>
      </w:r>
      <w:r>
        <w:rPr/>
        <w:t>Certificate Municipal Corporation of Greater Mumbai</w:t>
      </w:r>
    </w:p>
    <w:p>
      <w:pPr>
        <w:pStyle w:val="BodyText"/>
        <w:tabs>
          <w:tab w:pos="2409" w:val="left" w:leader="dot"/>
        </w:tabs>
        <w:spacing w:before="2"/>
        <w:ind w:left="100"/>
        <w:jc w:val="center"/>
      </w:pPr>
      <w:r>
        <w:rPr>
          <w:spacing w:val="-5"/>
        </w:rPr>
        <w:t>No…</w:t>
      </w:r>
      <w:r>
        <w:rPr>
          <w:rFonts w:ascii="Times New Roman" w:hAnsi="Times New Roman"/>
        </w:rPr>
        <w:tab/>
      </w:r>
      <w:r>
        <w:rPr>
          <w:spacing w:val="-5"/>
        </w:rPr>
        <w:t>of</w:t>
      </w:r>
    </w:p>
    <w:p>
      <w:pPr>
        <w:pStyle w:val="BodyText"/>
        <w:spacing w:before="239"/>
        <w:ind w:left="876"/>
        <w:jc w:val="left"/>
      </w:pPr>
      <w:r>
        <w:rPr>
          <w:spacing w:val="-5"/>
        </w:rPr>
        <w:t>To,</w:t>
      </w:r>
    </w:p>
    <w:p>
      <w:pPr>
        <w:spacing w:before="40"/>
        <w:ind w:left="1183" w:right="0" w:firstLine="0"/>
        <w:jc w:val="left"/>
        <w:rPr>
          <w:sz w:val="24"/>
        </w:rPr>
      </w:pPr>
      <w:r>
        <w:rPr>
          <w:spacing w:val="-2"/>
          <w:sz w:val="24"/>
        </w:rPr>
        <w:t>………………….</w:t>
      </w:r>
    </w:p>
    <w:p>
      <w:pPr>
        <w:pStyle w:val="BodyText"/>
        <w:spacing w:before="80"/>
        <w:jc w:val="left"/>
      </w:pPr>
    </w:p>
    <w:p>
      <w:pPr>
        <w:pStyle w:val="BodyText"/>
        <w:ind w:left="1260"/>
        <w:jc w:val="left"/>
      </w:pPr>
      <w:r>
        <w:rPr/>
        <w:t>Subject</w:t>
      </w:r>
      <w:r>
        <w:rPr>
          <w:spacing w:val="76"/>
        </w:rPr>
        <w:t> </w:t>
      </w:r>
      <w:r>
        <w:rPr>
          <w:spacing w:val="-10"/>
        </w:rPr>
        <w:t>:</w:t>
      </w:r>
    </w:p>
    <w:p>
      <w:pPr>
        <w:pStyle w:val="BodyText"/>
        <w:spacing w:line="444" w:lineRule="auto" w:before="242"/>
        <w:ind w:left="873" w:right="8283" w:firstLine="386"/>
        <w:jc w:val="left"/>
      </w:pPr>
      <w:r>
        <w:rPr/>
        <w:t>Reference</w:t>
      </w:r>
      <w:r>
        <w:rPr>
          <w:spacing w:val="-20"/>
        </w:rPr>
        <w:t> </w:t>
      </w:r>
      <w:r>
        <w:rPr/>
        <w:t>: </w:t>
      </w:r>
      <w:r>
        <w:rPr>
          <w:spacing w:val="-4"/>
        </w:rPr>
        <w:t>Sir,</w:t>
      </w:r>
    </w:p>
    <w:p>
      <w:pPr>
        <w:pStyle w:val="BodyText"/>
        <w:ind w:left="873" w:right="838" w:firstLine="384"/>
        <w:jc w:val="left"/>
      </w:pPr>
      <w:r>
        <w:rPr/>
        <w:t>The</w:t>
      </w:r>
      <w:r>
        <w:rPr>
          <w:spacing w:val="40"/>
        </w:rPr>
        <w:t> </w:t>
      </w:r>
      <w:r>
        <w:rPr/>
        <w:t>Completion</w:t>
      </w:r>
      <w:r>
        <w:rPr>
          <w:spacing w:val="40"/>
        </w:rPr>
        <w:t> </w:t>
      </w:r>
      <w:r>
        <w:rPr/>
        <w:t>certificate</w:t>
      </w:r>
      <w:r>
        <w:rPr>
          <w:spacing w:val="40"/>
        </w:rPr>
        <w:t> </w:t>
      </w:r>
      <w:r>
        <w:rPr/>
        <w:t>submitted</w:t>
      </w:r>
      <w:r>
        <w:rPr>
          <w:spacing w:val="40"/>
        </w:rPr>
        <w:t> </w:t>
      </w:r>
      <w:r>
        <w:rPr/>
        <w:t>by</w:t>
      </w:r>
      <w:r>
        <w:rPr>
          <w:spacing w:val="40"/>
        </w:rPr>
        <w:t> </w:t>
      </w:r>
      <w:r>
        <w:rPr/>
        <w:t>you</w:t>
      </w:r>
      <w:r>
        <w:rPr>
          <w:spacing w:val="40"/>
        </w:rPr>
        <w:t> </w:t>
      </w:r>
      <w:r>
        <w:rPr/>
        <w:t>on</w:t>
      </w:r>
      <w:r>
        <w:rPr>
          <w:spacing w:val="40"/>
        </w:rPr>
        <w:t> </w:t>
      </w:r>
      <w:r>
        <w:rPr/>
        <w:t>………………………..for</w:t>
      </w:r>
      <w:r>
        <w:rPr>
          <w:spacing w:val="40"/>
        </w:rPr>
        <w:t> </w:t>
      </w:r>
      <w:r>
        <w:rPr/>
        <w:t>the above work is hereby accepted</w:t>
      </w:r>
    </w:p>
    <w:p>
      <w:pPr>
        <w:pStyle w:val="BodyText"/>
        <w:spacing w:before="11"/>
        <w:jc w:val="left"/>
        <w:rPr>
          <w:sz w:val="11"/>
        </w:rPr>
      </w:pPr>
    </w:p>
    <w:p>
      <w:pPr>
        <w:pStyle w:val="BodyText"/>
        <w:spacing w:after="0"/>
        <w:jc w:val="left"/>
        <w:rPr>
          <w:sz w:val="11"/>
        </w:rPr>
        <w:sectPr>
          <w:pgSz w:w="11910" w:h="16850"/>
          <w:pgMar w:header="1082" w:footer="945" w:top="1520" w:bottom="1140" w:left="360" w:right="360"/>
        </w:sectPr>
      </w:pPr>
    </w:p>
    <w:p>
      <w:pPr>
        <w:pStyle w:val="BodyText"/>
        <w:jc w:val="left"/>
      </w:pPr>
    </w:p>
    <w:p>
      <w:pPr>
        <w:pStyle w:val="BodyText"/>
        <w:jc w:val="left"/>
      </w:pPr>
    </w:p>
    <w:p>
      <w:pPr>
        <w:pStyle w:val="BodyText"/>
        <w:spacing w:before="59"/>
        <w:jc w:val="left"/>
      </w:pPr>
    </w:p>
    <w:p>
      <w:pPr>
        <w:pStyle w:val="BodyText"/>
        <w:spacing w:line="684" w:lineRule="auto"/>
        <w:ind w:left="873"/>
        <w:jc w:val="left"/>
      </w:pPr>
      <w:r>
        <w:rPr>
          <w:spacing w:val="-2"/>
        </w:rPr>
        <w:t>Engineer…….Dn. </w:t>
      </w:r>
      <w:r>
        <w:rPr/>
        <w:t>Greater Mumbai</w:t>
      </w:r>
    </w:p>
    <w:p>
      <w:pPr>
        <w:pStyle w:val="BodyText"/>
        <w:spacing w:line="446" w:lineRule="auto"/>
        <w:ind w:left="873" w:right="824"/>
        <w:jc w:val="left"/>
      </w:pPr>
      <w:r>
        <w:rPr>
          <w:spacing w:val="-2"/>
        </w:rPr>
        <w:t>…………….. </w:t>
      </w:r>
      <w:r>
        <w:rPr/>
        <w:t>Date :</w:t>
      </w:r>
    </w:p>
    <w:p>
      <w:pPr>
        <w:pStyle w:val="BodyText"/>
        <w:spacing w:line="278" w:lineRule="exact"/>
        <w:ind w:left="873"/>
        <w:jc w:val="left"/>
      </w:pPr>
      <w:r>
        <w:rPr/>
        <w:t>Office</w:t>
      </w:r>
      <w:r>
        <w:rPr>
          <w:spacing w:val="-4"/>
        </w:rPr>
        <w:t> </w:t>
      </w:r>
      <w:r>
        <w:rPr/>
        <w:t>Stamp</w:t>
      </w:r>
      <w:r>
        <w:rPr>
          <w:spacing w:val="-2"/>
        </w:rPr>
        <w:t> </w:t>
      </w:r>
      <w:r>
        <w:rPr>
          <w:spacing w:val="-10"/>
        </w:rPr>
        <w:t>:</w:t>
      </w:r>
    </w:p>
    <w:p>
      <w:pPr>
        <w:pStyle w:val="BodyText"/>
        <w:jc w:val="left"/>
      </w:pPr>
    </w:p>
    <w:p>
      <w:pPr>
        <w:pStyle w:val="BodyText"/>
        <w:jc w:val="left"/>
      </w:pPr>
    </w:p>
    <w:p>
      <w:pPr>
        <w:pStyle w:val="BodyText"/>
        <w:ind w:left="876"/>
        <w:jc w:val="left"/>
      </w:pPr>
      <w:r>
        <w:rPr/>
        <w:t>Copy</w:t>
      </w:r>
      <w:r>
        <w:rPr>
          <w:spacing w:val="-4"/>
        </w:rPr>
        <w:t> </w:t>
      </w:r>
      <w:r>
        <w:rPr/>
        <w:t>forwarded</w:t>
      </w:r>
      <w:r>
        <w:rPr>
          <w:spacing w:val="-4"/>
        </w:rPr>
        <w:t> </w:t>
      </w:r>
      <w:r>
        <w:rPr>
          <w:spacing w:val="-5"/>
        </w:rPr>
        <w:t>to</w:t>
      </w:r>
    </w:p>
    <w:p>
      <w:pPr>
        <w:pStyle w:val="BodyText"/>
        <w:spacing w:before="100"/>
        <w:ind w:left="3923"/>
        <w:jc w:val="center"/>
      </w:pPr>
      <w:r>
        <w:rPr/>
        <w:br w:type="column"/>
      </w:r>
      <w:r>
        <w:rPr/>
        <w:t>Yours </w:t>
      </w:r>
      <w:r>
        <w:rPr>
          <w:spacing w:val="-2"/>
        </w:rPr>
        <w:t>faithfully)</w:t>
      </w:r>
    </w:p>
    <w:p>
      <w:pPr>
        <w:pStyle w:val="BodyText"/>
        <w:tabs>
          <w:tab w:pos="5230" w:val="left" w:leader="none"/>
          <w:tab w:pos="5532" w:val="left" w:leader="none"/>
          <w:tab w:pos="7091" w:val="left" w:leader="none"/>
        </w:tabs>
        <w:spacing w:line="684" w:lineRule="auto" w:before="239"/>
        <w:ind w:left="3597" w:right="766" w:hanging="231"/>
        <w:jc w:val="left"/>
      </w:pPr>
      <w:r>
        <w:rPr>
          <w:spacing w:val="-2"/>
        </w:rPr>
        <w:t>Executive</w:t>
      </w:r>
      <w:r>
        <w:rPr/>
        <w:tab/>
        <w:tab/>
      </w:r>
      <w:r>
        <w:rPr>
          <w:spacing w:val="-2"/>
        </w:rPr>
        <w:t>Engineer/Asst. Municipal</w:t>
      </w:r>
      <w:r>
        <w:rPr/>
        <w:tab/>
      </w:r>
      <w:r>
        <w:rPr>
          <w:spacing w:val="-2"/>
        </w:rPr>
        <w:t>Corporation</w:t>
      </w:r>
      <w:r>
        <w:rPr/>
        <w:tab/>
      </w:r>
      <w:r>
        <w:rPr>
          <w:spacing w:val="-5"/>
        </w:rPr>
        <w:t>of</w:t>
      </w:r>
    </w:p>
    <w:p>
      <w:pPr>
        <w:pStyle w:val="BodyText"/>
        <w:spacing w:before="2"/>
        <w:ind w:left="3923" w:right="80"/>
        <w:jc w:val="center"/>
      </w:pPr>
      <w:r>
        <w:rPr>
          <w:spacing w:val="-4"/>
        </w:rPr>
        <w:t>Zone</w:t>
      </w:r>
    </w:p>
    <w:p>
      <w:pPr>
        <w:pStyle w:val="BodyText"/>
        <w:jc w:val="left"/>
      </w:pPr>
    </w:p>
    <w:p>
      <w:pPr>
        <w:pStyle w:val="BodyText"/>
        <w:jc w:val="left"/>
      </w:pPr>
    </w:p>
    <w:p>
      <w:pPr>
        <w:pStyle w:val="BodyText"/>
        <w:jc w:val="left"/>
      </w:pPr>
    </w:p>
    <w:p>
      <w:pPr>
        <w:pStyle w:val="BodyText"/>
        <w:jc w:val="left"/>
      </w:pPr>
    </w:p>
    <w:p>
      <w:pPr>
        <w:pStyle w:val="BodyText"/>
        <w:spacing w:before="158"/>
        <w:jc w:val="left"/>
      </w:pPr>
    </w:p>
    <w:p>
      <w:pPr>
        <w:pStyle w:val="BodyText"/>
        <w:tabs>
          <w:tab w:pos="3979" w:val="left" w:leader="dot"/>
        </w:tabs>
        <w:spacing w:before="1"/>
        <w:ind w:left="873"/>
        <w:jc w:val="left"/>
      </w:pPr>
      <w:r>
        <w:rPr>
          <w:spacing w:val="-5"/>
        </w:rPr>
        <w:t>No.</w:t>
      </w:r>
      <w:r>
        <w:rPr>
          <w:rFonts w:ascii="Times New Roman"/>
        </w:rPr>
        <w:tab/>
      </w:r>
      <w:r>
        <w:rPr>
          <w:spacing w:val="-5"/>
        </w:rPr>
        <w:t>of</w:t>
      </w:r>
    </w:p>
    <w:p>
      <w:pPr>
        <w:pStyle w:val="BodyText"/>
        <w:spacing w:after="0"/>
        <w:jc w:val="left"/>
        <w:sectPr>
          <w:type w:val="continuous"/>
          <w:pgSz w:w="11910" w:h="16850"/>
          <w:pgMar w:header="1082" w:footer="945" w:top="1360" w:bottom="280" w:left="360" w:right="360"/>
          <w:cols w:num="2" w:equalWidth="0">
            <w:col w:w="3057" w:space="57"/>
            <w:col w:w="8076"/>
          </w:cols>
        </w:sectPr>
      </w:pPr>
    </w:p>
    <w:p>
      <w:pPr>
        <w:pStyle w:val="BodyText"/>
        <w:tabs>
          <w:tab w:pos="4476" w:val="left" w:leader="dot"/>
        </w:tabs>
        <w:spacing w:before="95"/>
        <w:ind w:left="876"/>
        <w:jc w:val="left"/>
      </w:pPr>
      <w:r>
        <w:rPr>
          <w:spacing w:val="-10"/>
        </w:rPr>
        <w:t>…</w:t>
      </w:r>
      <w:r>
        <w:rPr>
          <w:rFonts w:ascii="Times New Roman" w:hAnsi="Times New Roman"/>
        </w:rPr>
        <w:tab/>
      </w:r>
      <w:r>
        <w:rPr>
          <w:spacing w:val="-5"/>
        </w:rPr>
        <w:t>Dn.</w:t>
      </w:r>
    </w:p>
    <w:p>
      <w:pPr>
        <w:pStyle w:val="BodyText"/>
        <w:spacing w:line="321" w:lineRule="auto" w:before="95"/>
        <w:ind w:left="873" w:right="7443" w:firstLine="2"/>
        <w:jc w:val="left"/>
      </w:pPr>
      <w:r>
        <w:rPr/>
        <w:t>The</w:t>
      </w:r>
      <w:r>
        <w:rPr>
          <w:spacing w:val="-17"/>
        </w:rPr>
        <w:t> </w:t>
      </w:r>
      <w:r>
        <w:rPr/>
        <w:t>Assistant</w:t>
      </w:r>
      <w:r>
        <w:rPr>
          <w:spacing w:val="-17"/>
        </w:rPr>
        <w:t> </w:t>
      </w:r>
      <w:r>
        <w:rPr/>
        <w:t>Engineer/ Executive Engineer, Development Plan/ Chief Engineer, </w:t>
      </w:r>
      <w:r>
        <w:rPr>
          <w:spacing w:val="-2"/>
        </w:rPr>
        <w:t>Vigilance,</w:t>
      </w:r>
    </w:p>
    <w:p>
      <w:pPr>
        <w:pStyle w:val="BodyText"/>
        <w:tabs>
          <w:tab w:pos="7987" w:val="left" w:leader="dot"/>
        </w:tabs>
        <w:spacing w:before="145"/>
        <w:ind w:left="873"/>
        <w:jc w:val="left"/>
      </w:pPr>
      <w:r>
        <w:rPr>
          <w:spacing w:val="-10"/>
        </w:rPr>
        <w:t>…</w:t>
      </w:r>
      <w:r>
        <w:rPr>
          <w:rFonts w:ascii="Times New Roman" w:hAnsi="Times New Roman"/>
        </w:rPr>
        <w:tab/>
      </w:r>
      <w:r>
        <w:rPr/>
        <w:t>For</w:t>
      </w:r>
      <w:r>
        <w:rPr>
          <w:spacing w:val="-2"/>
        </w:rPr>
        <w:t> information</w:t>
      </w:r>
    </w:p>
    <w:p>
      <w:pPr>
        <w:pStyle w:val="BodyText"/>
        <w:spacing w:after="0"/>
        <w:jc w:val="left"/>
        <w:sectPr>
          <w:type w:val="continuous"/>
          <w:pgSz w:w="11910" w:h="16850"/>
          <w:pgMar w:header="1082" w:footer="945" w:top="1360" w:bottom="280" w:left="360" w:right="360"/>
        </w:sectPr>
      </w:pPr>
    </w:p>
    <w:p>
      <w:pPr>
        <w:pStyle w:val="BodyText"/>
        <w:spacing w:line="281" w:lineRule="exact" w:before="218"/>
        <w:ind w:left="8401"/>
        <w:jc w:val="left"/>
      </w:pPr>
      <w:r>
        <w:rPr>
          <w:spacing w:val="-2"/>
        </w:rPr>
        <w:t>Executive</w:t>
      </w:r>
    </w:p>
    <w:p>
      <w:pPr>
        <w:pStyle w:val="BodyText"/>
        <w:spacing w:line="281" w:lineRule="exact"/>
        <w:ind w:left="873"/>
        <w:jc w:val="left"/>
      </w:pPr>
      <w:r>
        <w:rPr/>
        <w:t>Engineer </w:t>
      </w:r>
      <w:r>
        <w:rPr>
          <w:spacing w:val="-2"/>
        </w:rPr>
        <w:t>Zone……………………….</w:t>
      </w:r>
    </w:p>
    <w:p>
      <w:pPr>
        <w:pStyle w:val="BodyText"/>
        <w:jc w:val="left"/>
      </w:pPr>
    </w:p>
    <w:p>
      <w:pPr>
        <w:pStyle w:val="BodyText"/>
        <w:spacing w:before="199"/>
        <w:jc w:val="left"/>
      </w:pPr>
    </w:p>
    <w:p>
      <w:pPr>
        <w:pStyle w:val="Heading4"/>
        <w:ind w:left="1548" w:right="1449"/>
      </w:pPr>
      <w:r>
        <w:rPr/>
        <w:t>ANNEXURE</w:t>
      </w:r>
      <w:r>
        <w:rPr>
          <w:spacing w:val="-8"/>
        </w:rPr>
        <w:t> </w:t>
      </w:r>
      <w:r>
        <w:rPr>
          <w:spacing w:val="-5"/>
        </w:rPr>
        <w:t>20</w:t>
      </w:r>
    </w:p>
    <w:p>
      <w:pPr>
        <w:pStyle w:val="Heading5"/>
        <w:spacing w:before="241"/>
        <w:ind w:left="1548" w:right="1448"/>
        <w:jc w:val="center"/>
      </w:pPr>
      <w:r>
        <w:rPr/>
        <w:t>(Regulation</w:t>
      </w:r>
      <w:r>
        <w:rPr>
          <w:spacing w:val="-10"/>
        </w:rPr>
        <w:t> </w:t>
      </w:r>
      <w:r>
        <w:rPr>
          <w:spacing w:val="-2"/>
        </w:rPr>
        <w:t>11(7))</w:t>
      </w:r>
    </w:p>
    <w:p>
      <w:pPr>
        <w:pStyle w:val="BodyText"/>
        <w:spacing w:before="239"/>
        <w:ind w:left="1548" w:right="1448"/>
        <w:jc w:val="center"/>
      </w:pPr>
      <w:r>
        <w:rPr/>
        <w:t>Form for Occupancy </w:t>
      </w:r>
      <w:r>
        <w:rPr>
          <w:spacing w:val="-2"/>
        </w:rPr>
        <w:t>certificate</w:t>
      </w:r>
    </w:p>
    <w:p>
      <w:pPr>
        <w:pStyle w:val="BodyText"/>
        <w:spacing w:before="239"/>
        <w:ind w:left="876"/>
        <w:jc w:val="left"/>
      </w:pPr>
      <w:r>
        <w:rPr>
          <w:spacing w:val="-5"/>
        </w:rPr>
        <w:t>To</w:t>
      </w:r>
    </w:p>
    <w:p>
      <w:pPr>
        <w:spacing w:before="41"/>
        <w:ind w:left="1183" w:right="0" w:firstLine="0"/>
        <w:jc w:val="left"/>
        <w:rPr>
          <w:sz w:val="24"/>
        </w:rPr>
      </w:pPr>
      <w:r>
        <w:rPr>
          <w:spacing w:val="-2"/>
          <w:sz w:val="24"/>
        </w:rPr>
        <w:t>……………………………</w:t>
      </w:r>
    </w:p>
    <w:p>
      <w:pPr>
        <w:spacing w:before="40"/>
        <w:ind w:left="1183" w:right="0" w:firstLine="0"/>
        <w:jc w:val="left"/>
        <w:rPr>
          <w:sz w:val="24"/>
        </w:rPr>
      </w:pPr>
      <w:r>
        <w:rPr>
          <w:spacing w:val="-2"/>
          <w:sz w:val="24"/>
        </w:rPr>
        <w:t>……………………………</w:t>
      </w:r>
    </w:p>
    <w:p>
      <w:pPr>
        <w:spacing w:before="42"/>
        <w:ind w:left="1183" w:right="0" w:firstLine="0"/>
        <w:jc w:val="left"/>
        <w:rPr>
          <w:sz w:val="24"/>
        </w:rPr>
      </w:pPr>
      <w:r>
        <w:rPr>
          <w:spacing w:val="-2"/>
          <w:sz w:val="24"/>
        </w:rPr>
        <w:t>……………………………</w:t>
      </w:r>
    </w:p>
    <w:p>
      <w:pPr>
        <w:pStyle w:val="BodyText"/>
        <w:spacing w:before="40"/>
        <w:ind w:left="873"/>
        <w:jc w:val="left"/>
      </w:pPr>
      <w:r>
        <w:rPr>
          <w:spacing w:val="-4"/>
        </w:rPr>
        <w:t>Sir,</w:t>
      </w:r>
    </w:p>
    <w:p>
      <w:pPr>
        <w:pStyle w:val="BodyText"/>
        <w:tabs>
          <w:tab w:pos="1569" w:val="left" w:leader="none"/>
          <w:tab w:pos="2808" w:val="left" w:leader="none"/>
          <w:tab w:pos="2848" w:val="left" w:leader="none"/>
          <w:tab w:pos="4113" w:val="left" w:leader="none"/>
          <w:tab w:pos="4595" w:val="left" w:leader="none"/>
          <w:tab w:pos="4842" w:val="left" w:leader="none"/>
          <w:tab w:pos="7925" w:val="left" w:leader="none"/>
          <w:tab w:pos="8431" w:val="left" w:leader="none"/>
          <w:tab w:pos="9235" w:val="left" w:leader="none"/>
          <w:tab w:pos="9825" w:val="left" w:leader="none"/>
          <w:tab w:pos="10022" w:val="left" w:leader="none"/>
        </w:tabs>
        <w:spacing w:before="239"/>
        <w:ind w:left="873" w:right="772"/>
        <w:jc w:val="left"/>
      </w:pPr>
      <w:r>
        <w:rPr>
          <w:spacing w:val="-4"/>
        </w:rPr>
        <w:t>The</w:t>
      </w:r>
      <w:r>
        <w:rPr/>
        <w:tab/>
      </w:r>
      <w:r>
        <w:rPr>
          <w:spacing w:val="-2"/>
        </w:rPr>
        <w:t>part/full</w:t>
      </w:r>
      <w:r>
        <w:rPr/>
        <w:tab/>
        <w:tab/>
      </w:r>
      <w:r>
        <w:rPr>
          <w:spacing w:val="-2"/>
        </w:rPr>
        <w:t>development</w:t>
      </w:r>
      <w:r>
        <w:rPr/>
        <w:tab/>
      </w:r>
      <w:r>
        <w:rPr>
          <w:spacing w:val="-2"/>
        </w:rPr>
        <w:t>work/erection/re-erection</w:t>
      </w:r>
      <w:r>
        <w:rPr/>
        <w:tab/>
      </w:r>
      <w:r>
        <w:rPr>
          <w:spacing w:val="-6"/>
        </w:rPr>
        <w:t>or</w:t>
      </w:r>
      <w:r>
        <w:rPr/>
        <w:tab/>
      </w:r>
      <w:r>
        <w:rPr>
          <w:spacing w:val="-2"/>
        </w:rPr>
        <w:t>alteration</w:t>
      </w:r>
      <w:r>
        <w:rPr/>
        <w:tab/>
      </w:r>
      <w:r>
        <w:rPr>
          <w:spacing w:val="-2"/>
        </w:rPr>
        <w:t>in/of building/part</w:t>
      </w:r>
      <w:r>
        <w:rPr/>
        <w:tab/>
      </w:r>
      <w:r>
        <w:rPr>
          <w:spacing w:val="-2"/>
        </w:rPr>
        <w:t>building</w:t>
      </w:r>
      <w:r>
        <w:rPr/>
        <w:tab/>
      </w:r>
      <w:r>
        <w:rPr>
          <w:spacing w:val="-5"/>
        </w:rPr>
        <w:t>No.</w:t>
      </w:r>
      <w:r>
        <w:rPr/>
        <w:tab/>
        <w:tab/>
      </w:r>
      <w:r>
        <w:rPr>
          <w:spacing w:val="-2"/>
        </w:rPr>
        <w:t>….........................................on/in</w:t>
      </w:r>
      <w:r>
        <w:rPr/>
        <w:tab/>
      </w:r>
      <w:r>
        <w:rPr>
          <w:spacing w:val="-4"/>
        </w:rPr>
        <w:t>Plot</w:t>
      </w:r>
      <w:r>
        <w:rPr/>
        <w:tab/>
        <w:tab/>
      </w:r>
      <w:r>
        <w:rPr>
          <w:spacing w:val="-5"/>
        </w:rPr>
        <w:t>No.</w:t>
      </w:r>
    </w:p>
    <w:p>
      <w:pPr>
        <w:spacing w:before="1"/>
        <w:ind w:left="873" w:right="0" w:firstLine="0"/>
        <w:jc w:val="left"/>
        <w:rPr>
          <w:sz w:val="24"/>
        </w:rPr>
      </w:pPr>
      <w:r>
        <w:rPr>
          <w:spacing w:val="-2"/>
          <w:sz w:val="24"/>
        </w:rPr>
        <w:t>……………………………….</w:t>
      </w:r>
    </w:p>
    <w:p>
      <w:pPr>
        <w:pStyle w:val="BodyText"/>
        <w:tabs>
          <w:tab w:pos="9088" w:val="left" w:leader="dot"/>
        </w:tabs>
        <w:spacing w:before="239"/>
        <w:ind w:left="873"/>
        <w:jc w:val="left"/>
      </w:pPr>
      <w:r>
        <w:rPr/>
        <w:t>Block</w:t>
      </w:r>
      <w:r>
        <w:rPr>
          <w:spacing w:val="-11"/>
        </w:rPr>
        <w:t> </w:t>
      </w:r>
      <w:r>
        <w:rPr/>
        <w:t>No.</w:t>
      </w:r>
      <w:r>
        <w:rPr>
          <w:spacing w:val="-9"/>
        </w:rPr>
        <w:t> </w:t>
      </w:r>
      <w:r>
        <w:rPr/>
        <w:t>………………………………………situated</w:t>
      </w:r>
      <w:r>
        <w:rPr>
          <w:spacing w:val="-8"/>
        </w:rPr>
        <w:t> </w:t>
      </w:r>
      <w:r>
        <w:rPr>
          <w:spacing w:val="-5"/>
        </w:rPr>
        <w:t>at</w:t>
      </w:r>
      <w:r>
        <w:rPr>
          <w:rFonts w:ascii="Times New Roman" w:hAnsi="Times New Roman"/>
        </w:rPr>
        <w:tab/>
      </w:r>
      <w:r>
        <w:rPr>
          <w:spacing w:val="-2"/>
        </w:rPr>
        <w:t>Road/</w:t>
      </w:r>
    </w:p>
    <w:p>
      <w:pPr>
        <w:pStyle w:val="BodyText"/>
        <w:tabs>
          <w:tab w:pos="1552" w:val="left" w:leader="none"/>
          <w:tab w:pos="4484" w:val="left" w:leader="none"/>
          <w:tab w:pos="5813" w:val="left" w:leader="none"/>
          <w:tab w:pos="6986" w:val="left" w:leader="none"/>
          <w:tab w:pos="9422" w:val="left" w:leader="dot"/>
        </w:tabs>
        <w:spacing w:before="239"/>
        <w:ind w:left="873" w:right="770"/>
        <w:jc w:val="left"/>
      </w:pPr>
      <w:r>
        <w:rPr/>
        <w:t>Street ………………………………………………………….C.S No/C.T.S. No/F.P no. S. </w:t>
      </w:r>
      <w:r>
        <w:rPr>
          <w:spacing w:val="-5"/>
        </w:rPr>
        <w:t>No.</w:t>
      </w:r>
      <w:r>
        <w:rPr/>
        <w:tab/>
      </w:r>
      <w:r>
        <w:rPr>
          <w:spacing w:val="-2"/>
        </w:rPr>
        <w:t>Division/Village/Town</w:t>
      </w:r>
      <w:r>
        <w:rPr/>
        <w:tab/>
      </w:r>
      <w:r>
        <w:rPr>
          <w:spacing w:val="-2"/>
        </w:rPr>
        <w:t>Planning</w:t>
      </w:r>
      <w:r>
        <w:rPr/>
        <w:tab/>
      </w:r>
      <w:r>
        <w:rPr>
          <w:spacing w:val="-2"/>
        </w:rPr>
        <w:t>scheme</w:t>
      </w:r>
      <w:r>
        <w:rPr/>
        <w:tab/>
      </w:r>
      <w:r>
        <w:rPr>
          <w:spacing w:val="-5"/>
        </w:rPr>
        <w:t>No.</w:t>
      </w:r>
      <w:r>
        <w:rPr>
          <w:rFonts w:ascii="Times New Roman" w:hAnsi="Times New Roman"/>
        </w:rPr>
        <w:tab/>
      </w:r>
      <w:r>
        <w:rPr>
          <w:spacing w:val="-2"/>
        </w:rPr>
        <w:t>Situated</w:t>
      </w:r>
    </w:p>
    <w:p>
      <w:pPr>
        <w:pStyle w:val="BodyText"/>
        <w:spacing w:before="1"/>
        <w:ind w:left="873"/>
        <w:jc w:val="left"/>
      </w:pPr>
      <w:r>
        <w:rPr>
          <w:spacing w:val="-2"/>
        </w:rPr>
        <w:t>at……………</w:t>
      </w:r>
    </w:p>
    <w:p>
      <w:pPr>
        <w:pStyle w:val="BodyText"/>
        <w:spacing w:before="241"/>
        <w:ind w:left="873"/>
        <w:jc w:val="left"/>
      </w:pPr>
      <w:r>
        <w:rPr>
          <w:spacing w:val="-2"/>
        </w:rPr>
        <w:t>Road/Street………………………………………….Ward……………………………….</w:t>
      </w:r>
    </w:p>
    <w:p>
      <w:pPr>
        <w:pStyle w:val="BodyText"/>
        <w:spacing w:before="239"/>
        <w:ind w:left="873"/>
        <w:jc w:val="left"/>
      </w:pPr>
      <w:r>
        <w:rPr/>
        <w:t>……………………………….</w:t>
      </w:r>
      <w:r>
        <w:rPr>
          <w:spacing w:val="-3"/>
        </w:rPr>
        <w:t> </w:t>
      </w:r>
      <w:r>
        <w:rPr/>
        <w:t>completed</w:t>
      </w:r>
      <w:r>
        <w:rPr>
          <w:spacing w:val="-3"/>
        </w:rPr>
        <w:t> </w:t>
      </w:r>
      <w:r>
        <w:rPr/>
        <w:t>under</w:t>
      </w:r>
      <w:r>
        <w:rPr>
          <w:spacing w:val="-3"/>
        </w:rPr>
        <w:t> </w:t>
      </w:r>
      <w:r>
        <w:rPr/>
        <w:t>the</w:t>
      </w:r>
      <w:r>
        <w:rPr>
          <w:spacing w:val="-3"/>
        </w:rPr>
        <w:t> </w:t>
      </w:r>
      <w:r>
        <w:rPr/>
        <w:t>supervision</w:t>
      </w:r>
      <w:r>
        <w:rPr>
          <w:spacing w:val="-3"/>
        </w:rPr>
        <w:t> </w:t>
      </w:r>
      <w:r>
        <w:rPr/>
        <w:t>of</w:t>
      </w:r>
      <w:r>
        <w:rPr>
          <w:spacing w:val="-2"/>
        </w:rPr>
        <w:t> …………………</w:t>
      </w:r>
    </w:p>
    <w:p>
      <w:pPr>
        <w:pStyle w:val="BodyText"/>
        <w:spacing w:before="239"/>
        <w:ind w:left="873"/>
        <w:jc w:val="left"/>
      </w:pPr>
      <w:r>
        <w:rPr/>
        <w:t>Licensed surveyor/Engineer/Structural Engineer/Supervisor, Architect/License </w:t>
      </w:r>
      <w:r>
        <w:rPr>
          <w:spacing w:val="-2"/>
        </w:rPr>
        <w:t>No……...</w:t>
      </w:r>
    </w:p>
    <w:p>
      <w:pPr>
        <w:pStyle w:val="BodyText"/>
        <w:tabs>
          <w:tab w:pos="2946" w:val="left" w:leader="dot"/>
        </w:tabs>
        <w:spacing w:before="241"/>
        <w:ind w:left="873"/>
        <w:jc w:val="left"/>
      </w:pPr>
      <w:r>
        <w:rPr>
          <w:spacing w:val="-10"/>
        </w:rPr>
        <w:t>…</w:t>
      </w:r>
      <w:r>
        <w:rPr>
          <w:rFonts w:ascii="Times New Roman" w:hAnsi="Times New Roman"/>
        </w:rPr>
        <w:tab/>
      </w:r>
      <w:r>
        <w:rPr/>
        <w:t>may</w:t>
      </w:r>
      <w:r>
        <w:rPr>
          <w:spacing w:val="-4"/>
        </w:rPr>
        <w:t> </w:t>
      </w:r>
      <w:r>
        <w:rPr/>
        <w:t>be</w:t>
      </w:r>
      <w:r>
        <w:rPr>
          <w:spacing w:val="-1"/>
        </w:rPr>
        <w:t> </w:t>
      </w:r>
      <w:r>
        <w:rPr/>
        <w:t>occupied</w:t>
      </w:r>
      <w:r>
        <w:rPr>
          <w:spacing w:val="-1"/>
        </w:rPr>
        <w:t> </w:t>
      </w:r>
      <w:r>
        <w:rPr/>
        <w:t>on</w:t>
      </w:r>
      <w:r>
        <w:rPr>
          <w:spacing w:val="-1"/>
        </w:rPr>
        <w:t> </w:t>
      </w:r>
      <w:r>
        <w:rPr/>
        <w:t>the</w:t>
      </w:r>
      <w:r>
        <w:rPr>
          <w:spacing w:val="-1"/>
        </w:rPr>
        <w:t> </w:t>
      </w:r>
      <w:r>
        <w:rPr/>
        <w:t>following</w:t>
      </w:r>
      <w:r>
        <w:rPr>
          <w:spacing w:val="-1"/>
        </w:rPr>
        <w:t> </w:t>
      </w:r>
      <w:r>
        <w:rPr>
          <w:spacing w:val="-2"/>
        </w:rPr>
        <w:t>conditions:-</w:t>
      </w:r>
    </w:p>
    <w:p>
      <w:pPr>
        <w:pStyle w:val="BodyText"/>
        <w:spacing w:before="241"/>
        <w:ind w:left="876"/>
        <w:jc w:val="left"/>
      </w:pPr>
      <w:r>
        <w:rPr>
          <w:spacing w:val="-5"/>
        </w:rPr>
        <w:t>1)</w:t>
      </w:r>
    </w:p>
    <w:p>
      <w:pPr>
        <w:pStyle w:val="BodyText"/>
        <w:spacing w:before="41"/>
        <w:ind w:left="876"/>
        <w:jc w:val="left"/>
      </w:pPr>
      <w:r>
        <w:rPr>
          <w:spacing w:val="-5"/>
        </w:rPr>
        <w:t>2)</w:t>
      </w:r>
    </w:p>
    <w:p>
      <w:pPr>
        <w:pStyle w:val="BodyText"/>
        <w:spacing w:before="40"/>
        <w:ind w:left="876"/>
        <w:jc w:val="left"/>
      </w:pPr>
      <w:r>
        <w:rPr>
          <w:spacing w:val="-5"/>
        </w:rPr>
        <w:t>3)</w:t>
      </w:r>
    </w:p>
    <w:p>
      <w:pPr>
        <w:pStyle w:val="BodyText"/>
        <w:spacing w:before="40"/>
        <w:ind w:left="876"/>
        <w:jc w:val="left"/>
      </w:pPr>
      <w:r>
        <w:rPr>
          <w:spacing w:val="-2"/>
        </w:rPr>
        <w:t>4)…………………………</w:t>
      </w:r>
    </w:p>
    <w:p>
      <w:pPr>
        <w:spacing w:before="40"/>
        <w:ind w:left="876" w:right="0" w:firstLine="0"/>
        <w:jc w:val="left"/>
        <w:rPr>
          <w:sz w:val="24"/>
        </w:rPr>
      </w:pPr>
      <w:r>
        <w:rPr>
          <w:spacing w:val="-2"/>
          <w:sz w:val="24"/>
        </w:rPr>
        <w:t>…………………………</w:t>
      </w:r>
    </w:p>
    <w:p>
      <w:pPr>
        <w:pStyle w:val="BodyText"/>
        <w:spacing w:before="26"/>
        <w:jc w:val="left"/>
        <w:rPr>
          <w:sz w:val="20"/>
        </w:rPr>
      </w:pPr>
    </w:p>
    <w:p>
      <w:pPr>
        <w:pStyle w:val="BodyText"/>
        <w:spacing w:after="0"/>
        <w:jc w:val="left"/>
        <w:rPr>
          <w:sz w:val="20"/>
        </w:rPr>
        <w:sectPr>
          <w:pgSz w:w="11910" w:h="16850"/>
          <w:pgMar w:header="1082" w:footer="945" w:top="1520" w:bottom="1140" w:left="360" w:right="360"/>
        </w:sectPr>
      </w:pPr>
    </w:p>
    <w:p>
      <w:pPr>
        <w:pStyle w:val="BodyText"/>
        <w:spacing w:line="513" w:lineRule="auto" w:before="100"/>
        <w:ind w:left="876"/>
        <w:jc w:val="left"/>
      </w:pPr>
      <w:r>
        <w:rPr/>
        <w:t>A</w:t>
      </w:r>
      <w:r>
        <w:rPr>
          <w:spacing w:val="-5"/>
        </w:rPr>
        <w:t> </w:t>
      </w:r>
      <w:r>
        <w:rPr/>
        <w:t>set</w:t>
      </w:r>
      <w:r>
        <w:rPr>
          <w:spacing w:val="-5"/>
        </w:rPr>
        <w:t> </w:t>
      </w:r>
      <w:r>
        <w:rPr/>
        <w:t>of</w:t>
      </w:r>
      <w:r>
        <w:rPr>
          <w:spacing w:val="-5"/>
        </w:rPr>
        <w:t> </w:t>
      </w:r>
      <w:r>
        <w:rPr/>
        <w:t>certified</w:t>
      </w:r>
      <w:r>
        <w:rPr>
          <w:spacing w:val="-5"/>
        </w:rPr>
        <w:t> </w:t>
      </w:r>
      <w:r>
        <w:rPr/>
        <w:t>completion</w:t>
      </w:r>
      <w:r>
        <w:rPr>
          <w:spacing w:val="-5"/>
        </w:rPr>
        <w:t> </w:t>
      </w:r>
      <w:r>
        <w:rPr/>
        <w:t>plans</w:t>
      </w:r>
      <w:r>
        <w:rPr>
          <w:spacing w:val="-5"/>
        </w:rPr>
        <w:t> </w:t>
      </w:r>
      <w:r>
        <w:rPr/>
        <w:t>is</w:t>
      </w:r>
      <w:r>
        <w:rPr>
          <w:spacing w:val="-5"/>
        </w:rPr>
        <w:t> </w:t>
      </w:r>
      <w:r>
        <w:rPr/>
        <w:t>returned</w:t>
      </w:r>
      <w:r>
        <w:rPr>
          <w:spacing w:val="-5"/>
        </w:rPr>
        <w:t> </w:t>
      </w:r>
      <w:r>
        <w:rPr/>
        <w:t>herewith. </w:t>
      </w:r>
      <w:r>
        <w:rPr>
          <w:spacing w:val="-2"/>
        </w:rPr>
        <w:t>faithfully,</w:t>
      </w:r>
    </w:p>
    <w:p>
      <w:pPr>
        <w:pStyle w:val="BodyText"/>
        <w:tabs>
          <w:tab w:pos="6591" w:val="left" w:leader="dot"/>
        </w:tabs>
        <w:spacing w:before="40"/>
        <w:ind w:left="926"/>
        <w:jc w:val="left"/>
      </w:pPr>
      <w:r>
        <w:rPr/>
        <w:t>Executive</w:t>
      </w:r>
      <w:r>
        <w:rPr>
          <w:spacing w:val="-1"/>
        </w:rPr>
        <w:t> </w:t>
      </w:r>
      <w:r>
        <w:rPr/>
        <w:t>Engineer(Building Proposal)</w:t>
      </w:r>
      <w:r>
        <w:rPr>
          <w:spacing w:val="76"/>
        </w:rPr>
        <w:t> </w:t>
      </w:r>
      <w:r>
        <w:rPr>
          <w:spacing w:val="-5"/>
        </w:rPr>
        <w:t>(…</w:t>
      </w:r>
      <w:r>
        <w:rPr>
          <w:rFonts w:ascii="Times New Roman" w:hAnsi="Times New Roman"/>
        </w:rPr>
        <w:tab/>
      </w:r>
      <w:r>
        <w:rPr>
          <w:spacing w:val="-2"/>
        </w:rPr>
        <w:t>Ward)</w:t>
      </w:r>
    </w:p>
    <w:p>
      <w:pPr>
        <w:spacing w:line="240" w:lineRule="auto" w:before="140"/>
        <w:rPr>
          <w:sz w:val="24"/>
        </w:rPr>
      </w:pPr>
      <w:r>
        <w:rPr/>
        <w:br w:type="column"/>
      </w:r>
      <w:r>
        <w:rPr>
          <w:sz w:val="24"/>
        </w:rPr>
      </w:r>
    </w:p>
    <w:p>
      <w:pPr>
        <w:pStyle w:val="BodyText"/>
        <w:ind w:left="876"/>
        <w:jc w:val="left"/>
      </w:pPr>
      <w:r>
        <w:rPr>
          <w:spacing w:val="-2"/>
        </w:rPr>
        <w:t>Yours</w:t>
      </w:r>
    </w:p>
    <w:p>
      <w:pPr>
        <w:pStyle w:val="BodyText"/>
        <w:spacing w:after="0"/>
        <w:jc w:val="left"/>
        <w:sectPr>
          <w:type w:val="continuous"/>
          <w:pgSz w:w="11910" w:h="16850"/>
          <w:pgMar w:header="1082" w:footer="945" w:top="1360" w:bottom="280" w:left="360" w:right="360"/>
          <w:cols w:num="2" w:equalWidth="0">
            <w:col w:w="7434" w:space="248"/>
            <w:col w:w="3508"/>
          </w:cols>
        </w:sectPr>
      </w:pPr>
    </w:p>
    <w:p>
      <w:pPr>
        <w:pStyle w:val="BodyText"/>
        <w:spacing w:line="273" w:lineRule="auto" w:before="218"/>
        <w:ind w:left="5813" w:right="838"/>
        <w:jc w:val="left"/>
      </w:pPr>
      <w:r>
        <w:rPr/>
        <w:t>Municipal</w:t>
      </w:r>
      <w:r>
        <w:rPr>
          <w:spacing w:val="-9"/>
        </w:rPr>
        <w:t> </w:t>
      </w:r>
      <w:r>
        <w:rPr/>
        <w:t>Corporation</w:t>
      </w:r>
      <w:r>
        <w:rPr>
          <w:spacing w:val="-9"/>
        </w:rPr>
        <w:t> </w:t>
      </w:r>
      <w:r>
        <w:rPr/>
        <w:t>of</w:t>
      </w:r>
      <w:r>
        <w:rPr>
          <w:spacing w:val="-9"/>
        </w:rPr>
        <w:t> </w:t>
      </w:r>
      <w:r>
        <w:rPr/>
        <w:t>Gr.</w:t>
      </w:r>
      <w:r>
        <w:rPr>
          <w:spacing w:val="-9"/>
        </w:rPr>
        <w:t> </w:t>
      </w:r>
      <w:r>
        <w:rPr/>
        <w:t>Mumbai. Office No. ………………………………..</w:t>
      </w:r>
    </w:p>
    <w:p>
      <w:pPr>
        <w:pStyle w:val="BodyText"/>
        <w:spacing w:line="273" w:lineRule="auto" w:before="1"/>
        <w:ind w:left="5813" w:right="838"/>
        <w:jc w:val="left"/>
      </w:pPr>
      <w:r>
        <w:rPr/>
        <w:t>Office</w:t>
      </w:r>
      <w:r>
        <w:rPr>
          <w:spacing w:val="-20"/>
        </w:rPr>
        <w:t> </w:t>
      </w:r>
      <w:r>
        <w:rPr/>
        <w:t>Stamp……………………………... Date ……………………………………</w:t>
      </w:r>
    </w:p>
    <w:p>
      <w:pPr>
        <w:pStyle w:val="BodyText"/>
        <w:jc w:val="left"/>
      </w:pPr>
    </w:p>
    <w:p>
      <w:pPr>
        <w:pStyle w:val="BodyText"/>
        <w:jc w:val="left"/>
      </w:pPr>
    </w:p>
    <w:p>
      <w:pPr>
        <w:pStyle w:val="BodyText"/>
        <w:spacing w:before="199"/>
        <w:jc w:val="left"/>
      </w:pPr>
    </w:p>
    <w:p>
      <w:pPr>
        <w:pStyle w:val="Heading5"/>
        <w:spacing w:before="1"/>
        <w:ind w:left="1548" w:right="1448"/>
        <w:jc w:val="center"/>
      </w:pPr>
      <w:r>
        <w:rPr/>
        <w:t>ANNEXURE</w:t>
      </w:r>
      <w:r>
        <w:rPr>
          <w:spacing w:val="-10"/>
        </w:rPr>
        <w:t> </w:t>
      </w:r>
      <w:r>
        <w:rPr/>
        <w:t>21(Regulation</w:t>
      </w:r>
      <w:r>
        <w:rPr>
          <w:spacing w:val="-9"/>
        </w:rPr>
        <w:t> </w:t>
      </w:r>
      <w:r>
        <w:rPr>
          <w:spacing w:val="-2"/>
        </w:rPr>
        <w:t>11(8)</w:t>
      </w:r>
    </w:p>
    <w:p>
      <w:pPr>
        <w:pStyle w:val="BodyText"/>
        <w:spacing w:before="239"/>
        <w:ind w:left="1548" w:right="1450"/>
        <w:jc w:val="center"/>
      </w:pPr>
      <w:r>
        <w:rPr/>
        <w:t>Form</w:t>
      </w:r>
      <w:r>
        <w:rPr>
          <w:spacing w:val="-1"/>
        </w:rPr>
        <w:t> </w:t>
      </w:r>
      <w:r>
        <w:rPr/>
        <w:t>of Indemnity for Part Occupancy </w:t>
      </w:r>
      <w:r>
        <w:rPr>
          <w:spacing w:val="-2"/>
        </w:rPr>
        <w:t>Certificate</w:t>
      </w:r>
    </w:p>
    <w:p>
      <w:pPr>
        <w:pStyle w:val="BodyText"/>
        <w:spacing w:before="242"/>
        <w:ind w:left="873"/>
        <w:jc w:val="left"/>
      </w:pPr>
      <w:r>
        <w:rPr>
          <w:spacing w:val="-5"/>
        </w:rPr>
        <w:t>To</w:t>
      </w:r>
    </w:p>
    <w:p>
      <w:pPr>
        <w:pStyle w:val="BodyText"/>
        <w:spacing w:line="444" w:lineRule="auto" w:before="239"/>
        <w:ind w:left="873" w:right="5366"/>
        <w:jc w:val="left"/>
      </w:pPr>
      <w:r>
        <w:rPr>
          <w:spacing w:val="-2"/>
        </w:rPr>
        <w:t>………………………………………..</w:t>
      </w:r>
      <w:r>
        <w:rPr>
          <w:spacing w:val="40"/>
        </w:rPr>
        <w:t> </w:t>
      </w:r>
      <w:r>
        <w:rPr/>
        <w:t>Municipal</w:t>
      </w:r>
      <w:r>
        <w:rPr>
          <w:spacing w:val="-9"/>
        </w:rPr>
        <w:t> </w:t>
      </w:r>
      <w:r>
        <w:rPr/>
        <w:t>Corporation</w:t>
      </w:r>
      <w:r>
        <w:rPr>
          <w:spacing w:val="-9"/>
        </w:rPr>
        <w:t> </w:t>
      </w:r>
      <w:r>
        <w:rPr/>
        <w:t>of</w:t>
      </w:r>
      <w:r>
        <w:rPr>
          <w:spacing w:val="-9"/>
        </w:rPr>
        <w:t> </w:t>
      </w:r>
      <w:r>
        <w:rPr/>
        <w:t>Greater</w:t>
      </w:r>
      <w:r>
        <w:rPr>
          <w:spacing w:val="-9"/>
        </w:rPr>
        <w:t> </w:t>
      </w:r>
      <w:r>
        <w:rPr/>
        <w:t>Mumbai </w:t>
      </w:r>
      <w:r>
        <w:rPr>
          <w:spacing w:val="-2"/>
        </w:rPr>
        <w:t>Mumbai.</w:t>
      </w:r>
    </w:p>
    <w:p>
      <w:pPr>
        <w:pStyle w:val="BodyText"/>
        <w:spacing w:before="1"/>
        <w:ind w:left="873"/>
        <w:jc w:val="left"/>
      </w:pPr>
      <w:r>
        <w:rPr>
          <w:spacing w:val="-2"/>
        </w:rPr>
        <w:t>Subject:</w:t>
      </w:r>
    </w:p>
    <w:p>
      <w:pPr>
        <w:pStyle w:val="BodyText"/>
        <w:spacing w:before="242"/>
        <w:ind w:left="873"/>
        <w:jc w:val="left"/>
      </w:pPr>
      <w:r>
        <w:rPr>
          <w:spacing w:val="-4"/>
        </w:rPr>
        <w:t>Sir,</w:t>
      </w:r>
    </w:p>
    <w:p>
      <w:pPr>
        <w:pStyle w:val="BodyText"/>
        <w:spacing w:before="239"/>
        <w:ind w:left="873" w:right="768" w:firstLine="384"/>
      </w:pPr>
      <w:r>
        <w:rPr/>
        <w:t>While</w:t>
      </w:r>
      <w:r>
        <w:rPr>
          <w:spacing w:val="-13"/>
        </w:rPr>
        <w:t> </w:t>
      </w:r>
      <w:r>
        <w:rPr/>
        <w:t>thanking</w:t>
      </w:r>
      <w:r>
        <w:rPr>
          <w:spacing w:val="-13"/>
        </w:rPr>
        <w:t> </w:t>
      </w:r>
      <w:r>
        <w:rPr/>
        <w:t>you</w:t>
      </w:r>
      <w:r>
        <w:rPr>
          <w:spacing w:val="-13"/>
        </w:rPr>
        <w:t> </w:t>
      </w:r>
      <w:r>
        <w:rPr/>
        <w:t>for</w:t>
      </w:r>
      <w:r>
        <w:rPr>
          <w:spacing w:val="-13"/>
        </w:rPr>
        <w:t> </w:t>
      </w:r>
      <w:r>
        <w:rPr/>
        <w:t>letting</w:t>
      </w:r>
      <w:r>
        <w:rPr>
          <w:spacing w:val="-13"/>
        </w:rPr>
        <w:t> </w:t>
      </w:r>
      <w:r>
        <w:rPr/>
        <w:t>me</w:t>
      </w:r>
      <w:r>
        <w:rPr>
          <w:spacing w:val="-15"/>
        </w:rPr>
        <w:t> </w:t>
      </w:r>
      <w:r>
        <w:rPr/>
        <w:t>occupy</w:t>
      </w:r>
      <w:r>
        <w:rPr>
          <w:spacing w:val="-13"/>
        </w:rPr>
        <w:t> </w:t>
      </w:r>
      <w:r>
        <w:rPr/>
        <w:t>a</w:t>
      </w:r>
      <w:r>
        <w:rPr>
          <w:spacing w:val="-13"/>
        </w:rPr>
        <w:t> </w:t>
      </w:r>
      <w:r>
        <w:rPr/>
        <w:t>portion</w:t>
      </w:r>
      <w:r>
        <w:rPr>
          <w:spacing w:val="-13"/>
        </w:rPr>
        <w:t> </w:t>
      </w:r>
      <w:r>
        <w:rPr/>
        <w:t>of</w:t>
      </w:r>
      <w:r>
        <w:rPr>
          <w:spacing w:val="-13"/>
        </w:rPr>
        <w:t> </w:t>
      </w:r>
      <w:r>
        <w:rPr/>
        <w:t>the</w:t>
      </w:r>
      <w:r>
        <w:rPr>
          <w:spacing w:val="-18"/>
        </w:rPr>
        <w:t> </w:t>
      </w:r>
      <w:r>
        <w:rPr/>
        <w:t>above</w:t>
      </w:r>
      <w:r>
        <w:rPr>
          <w:spacing w:val="-13"/>
        </w:rPr>
        <w:t> </w:t>
      </w:r>
      <w:r>
        <w:rPr/>
        <w:t>building</w:t>
      </w:r>
      <w:r>
        <w:rPr>
          <w:spacing w:val="-13"/>
        </w:rPr>
        <w:t> </w:t>
      </w:r>
      <w:r>
        <w:rPr/>
        <w:t>before acceptance of the Completion Certificate of the whole building for the plans approved</w:t>
      </w:r>
      <w:r>
        <w:rPr>
          <w:spacing w:val="-13"/>
        </w:rPr>
        <w:t> </w:t>
      </w:r>
      <w:r>
        <w:rPr/>
        <w:t>in</w:t>
      </w:r>
      <w:r>
        <w:rPr>
          <w:spacing w:val="-13"/>
        </w:rPr>
        <w:t> </w:t>
      </w:r>
      <w:r>
        <w:rPr/>
        <w:t>communication</w:t>
      </w:r>
      <w:r>
        <w:rPr>
          <w:spacing w:val="-13"/>
        </w:rPr>
        <w:t> </w:t>
      </w:r>
      <w:r>
        <w:rPr/>
        <w:t>No.</w:t>
      </w:r>
      <w:r>
        <w:rPr>
          <w:spacing w:val="-13"/>
        </w:rPr>
        <w:t> </w:t>
      </w:r>
      <w:r>
        <w:rPr/>
        <w:t>……………………………………</w:t>
      </w:r>
      <w:r>
        <w:rPr>
          <w:spacing w:val="-13"/>
        </w:rPr>
        <w:t> </w:t>
      </w:r>
      <w:r>
        <w:rPr/>
        <w:t>dated</w:t>
      </w:r>
      <w:r>
        <w:rPr>
          <w:spacing w:val="-13"/>
        </w:rPr>
        <w:t> </w:t>
      </w:r>
      <w:r>
        <w:rPr/>
        <w:t>……………….. I, *indemnify the Municipal Corporation of Greater Mumbai against any risk, damage and danger which may occur to occupants and users of the said portion of the building and also undertake to take necessary security measures for their safety.</w:t>
      </w:r>
      <w:r>
        <w:rPr>
          <w:spacing w:val="40"/>
        </w:rPr>
        <w:t> </w:t>
      </w:r>
      <w:r>
        <w:rPr/>
        <w:t>This</w:t>
      </w:r>
      <w:r>
        <w:rPr>
          <w:spacing w:val="-8"/>
        </w:rPr>
        <w:t> </w:t>
      </w:r>
      <w:r>
        <w:rPr/>
        <w:t>undertaking</w:t>
      </w:r>
      <w:r>
        <w:rPr>
          <w:spacing w:val="-8"/>
        </w:rPr>
        <w:t> </w:t>
      </w:r>
      <w:r>
        <w:rPr/>
        <w:t>will</w:t>
      </w:r>
      <w:r>
        <w:rPr>
          <w:spacing w:val="-8"/>
        </w:rPr>
        <w:t> </w:t>
      </w:r>
      <w:r>
        <w:rPr/>
        <w:t>be</w:t>
      </w:r>
      <w:r>
        <w:rPr>
          <w:spacing w:val="-8"/>
        </w:rPr>
        <w:t> </w:t>
      </w:r>
      <w:r>
        <w:rPr/>
        <w:t>binding</w:t>
      </w:r>
      <w:r>
        <w:rPr>
          <w:spacing w:val="-6"/>
        </w:rPr>
        <w:t> </w:t>
      </w:r>
      <w:r>
        <w:rPr/>
        <w:t>on</w:t>
      </w:r>
      <w:r>
        <w:rPr>
          <w:spacing w:val="-8"/>
        </w:rPr>
        <w:t> </w:t>
      </w:r>
      <w:r>
        <w:rPr/>
        <w:t>me/us,</w:t>
      </w:r>
      <w:r>
        <w:rPr>
          <w:spacing w:val="-8"/>
        </w:rPr>
        <w:t> </w:t>
      </w:r>
      <w:r>
        <w:rPr/>
        <w:t>our</w:t>
      </w:r>
      <w:r>
        <w:rPr>
          <w:spacing w:val="-7"/>
        </w:rPr>
        <w:t> </w:t>
      </w:r>
      <w:r>
        <w:rPr/>
        <w:t>heirs,</w:t>
      </w:r>
      <w:r>
        <w:rPr>
          <w:spacing w:val="-6"/>
        </w:rPr>
        <w:t> </w:t>
      </w:r>
      <w:r>
        <w:rPr/>
        <w:t>administrators</w:t>
      </w:r>
      <w:r>
        <w:rPr>
          <w:spacing w:val="-8"/>
        </w:rPr>
        <w:t> </w:t>
      </w:r>
      <w:r>
        <w:rPr/>
        <w:t>and our assignees.</w:t>
      </w:r>
    </w:p>
    <w:p>
      <w:pPr>
        <w:pStyle w:val="BodyText"/>
        <w:spacing w:before="11"/>
        <w:jc w:val="left"/>
        <w:rPr>
          <w:sz w:val="11"/>
        </w:rPr>
      </w:pPr>
    </w:p>
    <w:p>
      <w:pPr>
        <w:pStyle w:val="BodyText"/>
        <w:spacing w:after="0"/>
        <w:jc w:val="left"/>
        <w:rPr>
          <w:sz w:val="11"/>
        </w:rPr>
        <w:sectPr>
          <w:pgSz w:w="11910" w:h="16850"/>
          <w:pgMar w:header="1082" w:footer="945" w:top="1520" w:bottom="1140" w:left="360" w:right="360"/>
        </w:sectPr>
      </w:pPr>
    </w:p>
    <w:p>
      <w:pPr>
        <w:pStyle w:val="BodyText"/>
        <w:jc w:val="left"/>
      </w:pPr>
    </w:p>
    <w:p>
      <w:pPr>
        <w:pStyle w:val="BodyText"/>
        <w:jc w:val="left"/>
      </w:pPr>
    </w:p>
    <w:p>
      <w:pPr>
        <w:pStyle w:val="BodyText"/>
        <w:spacing w:before="59"/>
        <w:jc w:val="left"/>
      </w:pPr>
    </w:p>
    <w:p>
      <w:pPr>
        <w:spacing w:before="0"/>
        <w:ind w:left="873" w:right="0" w:firstLine="0"/>
        <w:jc w:val="left"/>
        <w:rPr>
          <w:sz w:val="24"/>
        </w:rPr>
      </w:pPr>
      <w:r>
        <w:rPr>
          <w:spacing w:val="-2"/>
          <w:sz w:val="24"/>
        </w:rPr>
        <w:t>…………………………</w:t>
      </w:r>
    </w:p>
    <w:p>
      <w:pPr>
        <w:pStyle w:val="BodyText"/>
        <w:spacing w:before="241"/>
        <w:jc w:val="left"/>
      </w:pPr>
    </w:p>
    <w:p>
      <w:pPr>
        <w:spacing w:before="0"/>
        <w:ind w:left="873" w:right="0" w:firstLine="0"/>
        <w:jc w:val="left"/>
        <w:rPr>
          <w:sz w:val="24"/>
        </w:rPr>
      </w:pPr>
      <w:r>
        <w:rPr>
          <w:spacing w:val="-2"/>
          <w:sz w:val="24"/>
        </w:rPr>
        <w:t>………………………….</w:t>
      </w:r>
    </w:p>
    <w:p>
      <w:pPr>
        <w:pStyle w:val="BodyText"/>
        <w:jc w:val="left"/>
      </w:pPr>
    </w:p>
    <w:p>
      <w:pPr>
        <w:pStyle w:val="BodyText"/>
        <w:spacing w:before="196"/>
        <w:jc w:val="left"/>
      </w:pPr>
    </w:p>
    <w:p>
      <w:pPr>
        <w:pStyle w:val="BodyText"/>
        <w:ind w:left="873"/>
        <w:jc w:val="left"/>
      </w:pPr>
      <w:r>
        <w:rPr>
          <w:spacing w:val="-2"/>
        </w:rPr>
        <w:t>Witness</w:t>
      </w:r>
    </w:p>
    <w:p>
      <w:pPr>
        <w:pStyle w:val="BodyText"/>
        <w:spacing w:before="100"/>
        <w:ind w:left="3331"/>
        <w:jc w:val="left"/>
      </w:pPr>
      <w:r>
        <w:rPr/>
        <w:br w:type="column"/>
      </w:r>
      <w:r>
        <w:rPr/>
        <w:t>Yours </w:t>
      </w:r>
      <w:r>
        <w:rPr>
          <w:spacing w:val="-2"/>
        </w:rPr>
        <w:t>faithfully,</w:t>
      </w:r>
    </w:p>
    <w:p>
      <w:pPr>
        <w:pStyle w:val="BodyText"/>
        <w:tabs>
          <w:tab w:pos="3191" w:val="left" w:leader="none"/>
          <w:tab w:pos="4501" w:val="left" w:leader="none"/>
        </w:tabs>
        <w:spacing w:line="684" w:lineRule="auto" w:before="241"/>
        <w:ind w:left="873" w:right="767" w:firstLine="76"/>
      </w:pPr>
      <w:r>
        <w:rPr>
          <w:spacing w:val="-2"/>
        </w:rPr>
        <w:t>Signature</w:t>
      </w:r>
      <w:r>
        <w:rPr/>
        <w:tab/>
      </w:r>
      <w:r>
        <w:rPr>
          <w:spacing w:val="-6"/>
        </w:rPr>
        <w:t>of</w:t>
      </w:r>
      <w:r>
        <w:rPr/>
        <w:tab/>
      </w:r>
      <w:r>
        <w:rPr>
          <w:spacing w:val="-2"/>
        </w:rPr>
        <w:t>Owner </w:t>
      </w:r>
      <w:r>
        <w:rPr/>
        <w:t>Name</w:t>
      </w:r>
      <w:r>
        <w:rPr>
          <w:spacing w:val="80"/>
          <w:w w:val="150"/>
        </w:rPr>
        <w:t>    </w:t>
      </w:r>
      <w:r>
        <w:rPr/>
        <w:t>of</w:t>
      </w:r>
      <w:r>
        <w:rPr>
          <w:spacing w:val="80"/>
          <w:w w:val="150"/>
        </w:rPr>
        <w:t>    </w:t>
      </w:r>
      <w:r>
        <w:rPr/>
        <w:t>the</w:t>
      </w:r>
      <w:r>
        <w:rPr>
          <w:spacing w:val="80"/>
          <w:w w:val="150"/>
        </w:rPr>
        <w:t>    </w:t>
      </w:r>
      <w:r>
        <w:rPr/>
        <w:t>Owner (in block letters)</w:t>
      </w:r>
    </w:p>
    <w:p>
      <w:pPr>
        <w:pStyle w:val="BodyText"/>
        <w:spacing w:after="0" w:line="684" w:lineRule="auto"/>
        <w:sectPr>
          <w:type w:val="continuous"/>
          <w:pgSz w:w="11910" w:h="16850"/>
          <w:pgMar w:header="1082" w:footer="945" w:top="1360" w:bottom="280" w:left="360" w:right="360"/>
          <w:cols w:num="2" w:equalWidth="0">
            <w:col w:w="3391" w:space="1756"/>
            <w:col w:w="6043"/>
          </w:cols>
        </w:sectPr>
      </w:pPr>
    </w:p>
    <w:p>
      <w:pPr>
        <w:pStyle w:val="BodyText"/>
        <w:spacing w:line="444" w:lineRule="auto" w:before="242"/>
        <w:ind w:left="873" w:right="1094" w:firstLine="307"/>
        <w:jc w:val="left"/>
      </w:pPr>
      <w:r>
        <w:rPr/>
        <w:t>(Signature</w:t>
      </w:r>
      <w:r>
        <w:rPr>
          <w:spacing w:val="-6"/>
        </w:rPr>
        <w:t> </w:t>
      </w:r>
      <w:r>
        <w:rPr/>
        <w:t>and</w:t>
      </w:r>
      <w:r>
        <w:rPr>
          <w:spacing w:val="-6"/>
        </w:rPr>
        <w:t> </w:t>
      </w:r>
      <w:r>
        <w:rPr/>
        <w:t>name</w:t>
      </w:r>
      <w:r>
        <w:rPr>
          <w:spacing w:val="-6"/>
        </w:rPr>
        <w:t> </w:t>
      </w:r>
      <w:r>
        <w:rPr/>
        <w:t>in</w:t>
      </w:r>
      <w:r>
        <w:rPr>
          <w:spacing w:val="-6"/>
        </w:rPr>
        <w:t> </w:t>
      </w:r>
      <w:r>
        <w:rPr/>
        <w:t>block</w:t>
      </w:r>
      <w:r>
        <w:rPr>
          <w:spacing w:val="-6"/>
        </w:rPr>
        <w:t> </w:t>
      </w:r>
      <w:r>
        <w:rPr/>
        <w:t>letters)</w:t>
      </w:r>
      <w:r>
        <w:rPr>
          <w:spacing w:val="-6"/>
        </w:rPr>
        <w:t> </w:t>
      </w:r>
      <w:r>
        <w:rPr/>
        <w:t>……………………………………… Address : ………………………………………………………………………</w:t>
      </w:r>
    </w:p>
    <w:p>
      <w:pPr>
        <w:pStyle w:val="BodyText"/>
        <w:spacing w:after="0" w:line="444" w:lineRule="auto"/>
        <w:jc w:val="left"/>
        <w:sectPr>
          <w:type w:val="continuous"/>
          <w:pgSz w:w="11910" w:h="16850"/>
          <w:pgMar w:header="1082" w:footer="945" w:top="1360" w:bottom="280" w:left="360" w:right="360"/>
        </w:sectPr>
      </w:pPr>
    </w:p>
    <w:p>
      <w:pPr>
        <w:spacing w:before="218"/>
        <w:ind w:left="873" w:right="0" w:firstLine="0"/>
        <w:jc w:val="left"/>
        <w:rPr>
          <w:sz w:val="24"/>
        </w:rPr>
      </w:pPr>
      <w:r>
        <w:rPr>
          <w:spacing w:val="-2"/>
          <w:sz w:val="24"/>
        </w:rPr>
        <w:t>………………………………………………………………..</w:t>
      </w:r>
    </w:p>
    <w:p>
      <w:pPr>
        <w:pStyle w:val="BodyText"/>
        <w:tabs>
          <w:tab w:pos="1958" w:val="left" w:leader="none"/>
        </w:tabs>
        <w:spacing w:before="239"/>
        <w:ind w:left="873"/>
        <w:jc w:val="left"/>
      </w:pPr>
      <w:r>
        <w:rPr/>
        <w:t>Date </w:t>
      </w:r>
      <w:r>
        <w:rPr>
          <w:spacing w:val="-10"/>
        </w:rPr>
        <w:t>:</w:t>
      </w:r>
      <w:r>
        <w:rPr/>
        <w:tab/>
      </w:r>
      <w:r>
        <w:rPr>
          <w:spacing w:val="-2"/>
        </w:rPr>
        <w:t>……………………………………………………………………….</w:t>
      </w:r>
    </w:p>
    <w:p>
      <w:pPr>
        <w:pStyle w:val="BodyText"/>
        <w:spacing w:before="241"/>
        <w:ind w:left="873"/>
        <w:jc w:val="left"/>
      </w:pPr>
      <w:r>
        <w:rPr/>
        <w:t>*of</w:t>
      </w:r>
      <w:r>
        <w:rPr>
          <w:spacing w:val="-2"/>
        </w:rPr>
        <w:t> </w:t>
      </w:r>
      <w:r>
        <w:rPr/>
        <w:t>such</w:t>
      </w:r>
      <w:r>
        <w:rPr>
          <w:spacing w:val="-1"/>
        </w:rPr>
        <w:t> </w:t>
      </w:r>
      <w:r>
        <w:rPr/>
        <w:t>value</w:t>
      </w:r>
      <w:r>
        <w:rPr>
          <w:spacing w:val="-1"/>
        </w:rPr>
        <w:t> </w:t>
      </w:r>
      <w:r>
        <w:rPr/>
        <w:t>as</w:t>
      </w:r>
      <w:r>
        <w:rPr>
          <w:spacing w:val="-2"/>
        </w:rPr>
        <w:t> </w:t>
      </w:r>
      <w:r>
        <w:rPr/>
        <w:t>decided</w:t>
      </w:r>
      <w:r>
        <w:rPr>
          <w:spacing w:val="-1"/>
        </w:rPr>
        <w:t> </w:t>
      </w:r>
      <w:r>
        <w:rPr/>
        <w:t>by</w:t>
      </w:r>
      <w:r>
        <w:rPr>
          <w:spacing w:val="-1"/>
        </w:rPr>
        <w:t> </w:t>
      </w:r>
      <w:r>
        <w:rPr/>
        <w:t>the</w:t>
      </w:r>
      <w:r>
        <w:rPr>
          <w:spacing w:val="-1"/>
        </w:rPr>
        <w:t> </w:t>
      </w:r>
      <w:r>
        <w:rPr>
          <w:spacing w:val="-2"/>
        </w:rPr>
        <w:t>Commissioner.</w:t>
      </w:r>
    </w:p>
    <w:p>
      <w:pPr>
        <w:pStyle w:val="BodyText"/>
        <w:jc w:val="left"/>
      </w:pPr>
    </w:p>
    <w:p>
      <w:pPr>
        <w:pStyle w:val="BodyText"/>
        <w:jc w:val="left"/>
      </w:pPr>
    </w:p>
    <w:p>
      <w:pPr>
        <w:pStyle w:val="BodyText"/>
        <w:jc w:val="left"/>
      </w:pPr>
    </w:p>
    <w:p>
      <w:pPr>
        <w:pStyle w:val="BodyText"/>
        <w:spacing w:before="157"/>
        <w:jc w:val="left"/>
      </w:pPr>
    </w:p>
    <w:p>
      <w:pPr>
        <w:pStyle w:val="Heading4"/>
        <w:ind w:left="1548" w:right="1449"/>
      </w:pPr>
      <w:r>
        <w:rPr/>
        <w:t>ANNEXURE</w:t>
      </w:r>
      <w:r>
        <w:rPr>
          <w:spacing w:val="-8"/>
        </w:rPr>
        <w:t> </w:t>
      </w:r>
      <w:r>
        <w:rPr>
          <w:spacing w:val="-5"/>
        </w:rPr>
        <w:t>22</w:t>
      </w:r>
    </w:p>
    <w:p>
      <w:pPr>
        <w:pStyle w:val="Heading5"/>
        <w:spacing w:before="239"/>
        <w:ind w:left="1548" w:right="1448"/>
        <w:jc w:val="center"/>
      </w:pPr>
      <w:r>
        <w:rPr/>
        <w:t>(Regulations </w:t>
      </w:r>
      <w:r>
        <w:rPr>
          <w:spacing w:val="-2"/>
        </w:rPr>
        <w:t>11(6)</w:t>
      </w:r>
    </w:p>
    <w:p>
      <w:pPr>
        <w:pStyle w:val="BodyText"/>
        <w:spacing w:before="242"/>
        <w:ind w:left="2452" w:right="2351"/>
        <w:jc w:val="center"/>
      </w:pPr>
      <w:r>
        <w:rPr/>
        <w:t>Form</w:t>
      </w:r>
      <w:r>
        <w:rPr>
          <w:spacing w:val="-7"/>
        </w:rPr>
        <w:t> </w:t>
      </w:r>
      <w:r>
        <w:rPr/>
        <w:t>of</w:t>
      </w:r>
      <w:r>
        <w:rPr>
          <w:spacing w:val="-7"/>
        </w:rPr>
        <w:t> </w:t>
      </w:r>
      <w:r>
        <w:rPr/>
        <w:t>Acceptance</w:t>
      </w:r>
      <w:r>
        <w:rPr>
          <w:spacing w:val="-7"/>
        </w:rPr>
        <w:t> </w:t>
      </w:r>
      <w:r>
        <w:rPr/>
        <w:t>of</w:t>
      </w:r>
      <w:r>
        <w:rPr>
          <w:spacing w:val="-7"/>
        </w:rPr>
        <w:t> </w:t>
      </w:r>
      <w:r>
        <w:rPr/>
        <w:t>Completion</w:t>
      </w:r>
      <w:r>
        <w:rPr>
          <w:spacing w:val="-7"/>
        </w:rPr>
        <w:t> </w:t>
      </w:r>
      <w:r>
        <w:rPr/>
        <w:t>Certificate Municipal Corporation of Greater Mumbai</w:t>
      </w:r>
    </w:p>
    <w:p>
      <w:pPr>
        <w:pStyle w:val="BodyText"/>
        <w:tabs>
          <w:tab w:pos="3182" w:val="left" w:leader="dot"/>
        </w:tabs>
        <w:ind w:left="873"/>
        <w:jc w:val="left"/>
      </w:pPr>
      <w:r>
        <w:rPr>
          <w:spacing w:val="-5"/>
        </w:rPr>
        <w:t>No…</w:t>
      </w:r>
      <w:r>
        <w:rPr>
          <w:rFonts w:ascii="Times New Roman" w:hAnsi="Times New Roman"/>
        </w:rPr>
        <w:tab/>
      </w:r>
      <w:r>
        <w:rPr>
          <w:spacing w:val="-5"/>
        </w:rPr>
        <w:t>of</w:t>
      </w:r>
    </w:p>
    <w:p>
      <w:pPr>
        <w:pStyle w:val="BodyText"/>
        <w:spacing w:before="239"/>
        <w:ind w:left="876"/>
        <w:jc w:val="left"/>
      </w:pPr>
      <w:r>
        <w:rPr>
          <w:spacing w:val="-5"/>
        </w:rPr>
        <w:t>To</w:t>
      </w:r>
    </w:p>
    <w:p>
      <w:pPr>
        <w:spacing w:before="40"/>
        <w:ind w:left="1183" w:right="0" w:firstLine="0"/>
        <w:jc w:val="left"/>
        <w:rPr>
          <w:sz w:val="24"/>
        </w:rPr>
      </w:pPr>
      <w:r>
        <w:rPr>
          <w:spacing w:val="-2"/>
          <w:sz w:val="24"/>
        </w:rPr>
        <w:t>………………….</w:t>
      </w:r>
    </w:p>
    <w:p>
      <w:pPr>
        <w:pStyle w:val="BodyText"/>
        <w:spacing w:before="40"/>
        <w:ind w:left="876"/>
        <w:jc w:val="left"/>
      </w:pPr>
      <w:r>
        <w:rPr>
          <w:spacing w:val="-2"/>
        </w:rPr>
        <w:t>Subject:</w:t>
      </w:r>
    </w:p>
    <w:p>
      <w:pPr>
        <w:pStyle w:val="BodyText"/>
        <w:spacing w:before="40"/>
        <w:ind w:left="873"/>
        <w:jc w:val="left"/>
      </w:pPr>
      <w:r>
        <w:rPr>
          <w:spacing w:val="-2"/>
        </w:rPr>
        <w:t>Reference:</w:t>
      </w:r>
    </w:p>
    <w:p>
      <w:pPr>
        <w:pStyle w:val="BodyText"/>
        <w:spacing w:before="239"/>
        <w:ind w:left="873"/>
        <w:jc w:val="left"/>
      </w:pPr>
      <w:r>
        <w:rPr>
          <w:spacing w:val="-4"/>
        </w:rPr>
        <w:t>Sir,</w:t>
      </w:r>
    </w:p>
    <w:p>
      <w:pPr>
        <w:pStyle w:val="BodyText"/>
        <w:spacing w:before="242"/>
        <w:ind w:left="873" w:right="838" w:firstLine="384"/>
        <w:jc w:val="left"/>
      </w:pPr>
      <w:r>
        <w:rPr/>
        <w:t>The</w:t>
      </w:r>
      <w:r>
        <w:rPr>
          <w:spacing w:val="40"/>
        </w:rPr>
        <w:t> </w:t>
      </w:r>
      <w:r>
        <w:rPr/>
        <w:t>Completion</w:t>
      </w:r>
      <w:r>
        <w:rPr>
          <w:spacing w:val="40"/>
        </w:rPr>
        <w:t> </w:t>
      </w:r>
      <w:r>
        <w:rPr/>
        <w:t>certificate</w:t>
      </w:r>
      <w:r>
        <w:rPr>
          <w:spacing w:val="40"/>
        </w:rPr>
        <w:t> </w:t>
      </w:r>
      <w:r>
        <w:rPr/>
        <w:t>submitted</w:t>
      </w:r>
      <w:r>
        <w:rPr>
          <w:spacing w:val="40"/>
        </w:rPr>
        <w:t> </w:t>
      </w:r>
      <w:r>
        <w:rPr/>
        <w:t>by</w:t>
      </w:r>
      <w:r>
        <w:rPr>
          <w:spacing w:val="40"/>
        </w:rPr>
        <w:t> </w:t>
      </w:r>
      <w:r>
        <w:rPr/>
        <w:t>you</w:t>
      </w:r>
      <w:r>
        <w:rPr>
          <w:spacing w:val="40"/>
        </w:rPr>
        <w:t> </w:t>
      </w:r>
      <w:r>
        <w:rPr/>
        <w:t>on</w:t>
      </w:r>
      <w:r>
        <w:rPr>
          <w:spacing w:val="40"/>
        </w:rPr>
        <w:t> </w:t>
      </w:r>
      <w:r>
        <w:rPr/>
        <w:t>………………………..for</w:t>
      </w:r>
      <w:r>
        <w:rPr>
          <w:spacing w:val="40"/>
        </w:rPr>
        <w:t> </w:t>
      </w:r>
      <w:r>
        <w:rPr/>
        <w:t>the above work is hereby accepted and the premises may be occupied.</w:t>
      </w:r>
    </w:p>
    <w:p>
      <w:pPr>
        <w:pStyle w:val="BodyText"/>
        <w:spacing w:before="241"/>
        <w:ind w:right="1126"/>
        <w:jc w:val="right"/>
      </w:pPr>
      <w:r>
        <w:rPr/>
        <w:t>Yours </w:t>
      </w:r>
      <w:r>
        <w:rPr>
          <w:spacing w:val="-2"/>
        </w:rPr>
        <w:t>faithfully,</w:t>
      </w:r>
    </w:p>
    <w:p>
      <w:pPr>
        <w:pStyle w:val="BodyText"/>
        <w:tabs>
          <w:tab w:pos="8645" w:val="left" w:leader="none"/>
        </w:tabs>
        <w:spacing w:line="281" w:lineRule="exact" w:before="239"/>
        <w:ind w:left="6481"/>
        <w:jc w:val="left"/>
      </w:pPr>
      <w:r>
        <w:rPr>
          <w:spacing w:val="-2"/>
        </w:rPr>
        <w:t>Executive</w:t>
      </w:r>
      <w:r>
        <w:rPr/>
        <w:tab/>
      </w:r>
      <w:r>
        <w:rPr>
          <w:spacing w:val="-2"/>
        </w:rPr>
        <w:t>Engineer/Asst.</w:t>
      </w:r>
    </w:p>
    <w:p>
      <w:pPr>
        <w:pStyle w:val="BodyText"/>
        <w:spacing w:after="0" w:line="281" w:lineRule="exact"/>
        <w:jc w:val="left"/>
        <w:sectPr>
          <w:pgSz w:w="11910" w:h="16850"/>
          <w:pgMar w:header="1082" w:footer="945" w:top="1520" w:bottom="1140" w:left="360" w:right="360"/>
        </w:sectPr>
      </w:pPr>
    </w:p>
    <w:p>
      <w:pPr>
        <w:pStyle w:val="BodyText"/>
        <w:ind w:left="873"/>
        <w:jc w:val="left"/>
      </w:pPr>
      <w:r>
        <w:rPr>
          <w:spacing w:val="-2"/>
        </w:rPr>
        <w:t>Engineer…….Dn.</w:t>
      </w:r>
    </w:p>
    <w:p>
      <w:pPr>
        <w:pStyle w:val="BodyText"/>
        <w:spacing w:before="240"/>
        <w:jc w:val="left"/>
      </w:pPr>
    </w:p>
    <w:p>
      <w:pPr>
        <w:pStyle w:val="BodyText"/>
        <w:ind w:left="873"/>
        <w:jc w:val="left"/>
      </w:pPr>
      <w:r>
        <w:rPr/>
        <w:t>Greater </w:t>
      </w:r>
      <w:r>
        <w:rPr>
          <w:spacing w:val="-2"/>
        </w:rPr>
        <w:t>Mumbai</w:t>
      </w:r>
    </w:p>
    <w:p>
      <w:pPr>
        <w:pStyle w:val="BodyText"/>
        <w:spacing w:line="520" w:lineRule="atLeast" w:before="3"/>
        <w:ind w:left="876" w:hanging="3"/>
        <w:jc w:val="left"/>
      </w:pPr>
      <w:r>
        <w:rPr/>
        <w:t>Zone</w:t>
      </w:r>
      <w:r>
        <w:rPr>
          <w:spacing w:val="-20"/>
        </w:rPr>
        <w:t> </w:t>
      </w:r>
      <w:r>
        <w:rPr/>
        <w:t>…………….. Date :</w:t>
      </w:r>
    </w:p>
    <w:p>
      <w:pPr>
        <w:pStyle w:val="BodyText"/>
        <w:spacing w:before="42"/>
        <w:ind w:left="876"/>
        <w:jc w:val="left"/>
      </w:pPr>
      <w:r>
        <w:rPr/>
        <w:t>Office </w:t>
      </w:r>
      <w:r>
        <w:rPr>
          <w:spacing w:val="-2"/>
        </w:rPr>
        <w:t>Stamp:</w:t>
      </w:r>
    </w:p>
    <w:p>
      <w:pPr>
        <w:pStyle w:val="BodyText"/>
        <w:spacing w:before="79"/>
        <w:jc w:val="left"/>
      </w:pPr>
    </w:p>
    <w:p>
      <w:pPr>
        <w:pStyle w:val="BodyText"/>
        <w:ind w:left="1104"/>
        <w:jc w:val="left"/>
      </w:pPr>
      <w:r>
        <w:rPr/>
        <w:t>Copy</w:t>
      </w:r>
      <w:r>
        <w:rPr>
          <w:spacing w:val="-4"/>
        </w:rPr>
        <w:t> </w:t>
      </w:r>
      <w:r>
        <w:rPr/>
        <w:t>forwarded</w:t>
      </w:r>
      <w:r>
        <w:rPr>
          <w:spacing w:val="-4"/>
        </w:rPr>
        <w:t> </w:t>
      </w:r>
      <w:r>
        <w:rPr>
          <w:spacing w:val="-5"/>
        </w:rPr>
        <w:t>to</w:t>
      </w:r>
    </w:p>
    <w:p>
      <w:pPr>
        <w:spacing w:line="240" w:lineRule="auto" w:before="241"/>
        <w:rPr>
          <w:sz w:val="24"/>
        </w:rPr>
      </w:pPr>
      <w:r>
        <w:rPr/>
        <w:br w:type="column"/>
      </w:r>
      <w:r>
        <w:rPr>
          <w:sz w:val="24"/>
        </w:rPr>
      </w:r>
    </w:p>
    <w:p>
      <w:pPr>
        <w:pStyle w:val="BodyText"/>
        <w:tabs>
          <w:tab w:pos="5058" w:val="left" w:leader="none"/>
          <w:tab w:pos="6920" w:val="left" w:leader="none"/>
        </w:tabs>
        <w:ind w:left="3426"/>
        <w:jc w:val="left"/>
      </w:pPr>
      <w:r>
        <w:rPr>
          <w:spacing w:val="-2"/>
        </w:rPr>
        <w:t>Municipal</w:t>
      </w:r>
      <w:r>
        <w:rPr/>
        <w:tab/>
      </w:r>
      <w:r>
        <w:rPr>
          <w:spacing w:val="-2"/>
        </w:rPr>
        <w:t>Corporation</w:t>
      </w:r>
      <w:r>
        <w:rPr/>
        <w:tab/>
      </w:r>
      <w:r>
        <w:rPr>
          <w:spacing w:val="-5"/>
        </w:rPr>
        <w:t>of</w:t>
      </w:r>
    </w:p>
    <w:p>
      <w:pPr>
        <w:pStyle w:val="BodyText"/>
        <w:jc w:val="left"/>
      </w:pPr>
    </w:p>
    <w:p>
      <w:pPr>
        <w:pStyle w:val="BodyText"/>
        <w:jc w:val="left"/>
      </w:pPr>
    </w:p>
    <w:p>
      <w:pPr>
        <w:pStyle w:val="BodyText"/>
        <w:jc w:val="left"/>
      </w:pPr>
    </w:p>
    <w:p>
      <w:pPr>
        <w:pStyle w:val="BodyText"/>
        <w:jc w:val="left"/>
      </w:pPr>
    </w:p>
    <w:p>
      <w:pPr>
        <w:pStyle w:val="BodyText"/>
        <w:spacing w:before="278"/>
        <w:jc w:val="left"/>
      </w:pPr>
    </w:p>
    <w:p>
      <w:pPr>
        <w:pStyle w:val="BodyText"/>
        <w:tabs>
          <w:tab w:pos="3808" w:val="left" w:leader="dot"/>
        </w:tabs>
        <w:ind w:left="702"/>
        <w:jc w:val="left"/>
      </w:pPr>
      <w:r>
        <w:rPr>
          <w:spacing w:val="-5"/>
        </w:rPr>
        <w:t>No.</w:t>
      </w:r>
      <w:r>
        <w:rPr>
          <w:rFonts w:ascii="Times New Roman"/>
        </w:rPr>
        <w:tab/>
      </w:r>
      <w:r>
        <w:rPr>
          <w:spacing w:val="-5"/>
        </w:rPr>
        <w:t>of</w:t>
      </w:r>
    </w:p>
    <w:p>
      <w:pPr>
        <w:pStyle w:val="BodyText"/>
        <w:spacing w:after="0"/>
        <w:jc w:val="left"/>
        <w:sectPr>
          <w:type w:val="continuous"/>
          <w:pgSz w:w="11910" w:h="16850"/>
          <w:pgMar w:header="1082" w:footer="945" w:top="1360" w:bottom="280" w:left="360" w:right="360"/>
          <w:cols w:num="2" w:equalWidth="0">
            <w:col w:w="3245" w:space="40"/>
            <w:col w:w="7905"/>
          </w:cols>
        </w:sectPr>
      </w:pPr>
    </w:p>
    <w:p>
      <w:pPr>
        <w:pStyle w:val="BodyText"/>
        <w:tabs>
          <w:tab w:pos="4476" w:val="left" w:leader="dot"/>
        </w:tabs>
        <w:spacing w:before="239"/>
        <w:ind w:left="876"/>
        <w:jc w:val="left"/>
      </w:pPr>
      <w:r>
        <w:rPr>
          <w:spacing w:val="-10"/>
        </w:rPr>
        <w:t>…</w:t>
      </w:r>
      <w:r>
        <w:rPr>
          <w:rFonts w:ascii="Times New Roman" w:hAnsi="Times New Roman"/>
        </w:rPr>
        <w:tab/>
      </w:r>
      <w:r>
        <w:rPr>
          <w:spacing w:val="-5"/>
        </w:rPr>
        <w:t>Dn.</w:t>
      </w:r>
    </w:p>
    <w:p>
      <w:pPr>
        <w:pStyle w:val="BodyText"/>
        <w:spacing w:line="273" w:lineRule="auto" w:before="40"/>
        <w:ind w:left="876" w:right="7442"/>
        <w:jc w:val="left"/>
      </w:pPr>
      <w:r>
        <w:rPr/>
        <w:t>The</w:t>
      </w:r>
      <w:r>
        <w:rPr>
          <w:spacing w:val="-17"/>
        </w:rPr>
        <w:t> </w:t>
      </w:r>
      <w:r>
        <w:rPr/>
        <w:t>Assistant</w:t>
      </w:r>
      <w:r>
        <w:rPr>
          <w:spacing w:val="-17"/>
        </w:rPr>
        <w:t> </w:t>
      </w:r>
      <w:r>
        <w:rPr/>
        <w:t>Engineer/ Executive Engineer, Development Plan/ Chief Engineer,</w:t>
      </w:r>
    </w:p>
    <w:p>
      <w:pPr>
        <w:pStyle w:val="BodyText"/>
        <w:spacing w:after="0" w:line="273" w:lineRule="auto"/>
        <w:jc w:val="left"/>
        <w:sectPr>
          <w:type w:val="continuous"/>
          <w:pgSz w:w="11910" w:h="16850"/>
          <w:pgMar w:header="1082" w:footer="945" w:top="1360" w:bottom="280" w:left="360" w:right="360"/>
        </w:sectPr>
      </w:pPr>
    </w:p>
    <w:p>
      <w:pPr>
        <w:pStyle w:val="BodyText"/>
        <w:spacing w:before="218"/>
        <w:ind w:left="876"/>
        <w:jc w:val="left"/>
      </w:pPr>
      <w:r>
        <w:rPr>
          <w:spacing w:val="-2"/>
        </w:rPr>
        <w:t>Vigilance,</w:t>
      </w:r>
    </w:p>
    <w:p>
      <w:pPr>
        <w:pStyle w:val="BodyText"/>
        <w:tabs>
          <w:tab w:pos="7987" w:val="left" w:leader="dot"/>
        </w:tabs>
        <w:spacing w:before="40"/>
        <w:ind w:left="873"/>
        <w:jc w:val="left"/>
      </w:pPr>
      <w:r>
        <w:rPr>
          <w:spacing w:val="-10"/>
        </w:rPr>
        <w:t>…</w:t>
      </w:r>
      <w:r>
        <w:rPr>
          <w:rFonts w:ascii="Times New Roman" w:hAnsi="Times New Roman"/>
        </w:rPr>
        <w:tab/>
      </w:r>
      <w:r>
        <w:rPr/>
        <w:t>For</w:t>
      </w:r>
      <w:r>
        <w:rPr>
          <w:spacing w:val="-2"/>
        </w:rPr>
        <w:t> information</w:t>
      </w:r>
    </w:p>
    <w:p>
      <w:pPr>
        <w:pStyle w:val="BodyText"/>
        <w:spacing w:before="241"/>
        <w:ind w:left="926"/>
        <w:jc w:val="left"/>
      </w:pPr>
      <w:r>
        <w:rPr/>
        <w:t>Executive Engineer </w:t>
      </w:r>
      <w:r>
        <w:rPr>
          <w:spacing w:val="-2"/>
        </w:rPr>
        <w:t>Zone………………………..</w:t>
      </w: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61"/>
        <w:jc w:val="left"/>
        <w:rPr>
          <w:sz w:val="20"/>
        </w:rPr>
      </w:pPr>
    </w:p>
    <w:p>
      <w:pPr>
        <w:pStyle w:val="BodyText"/>
        <w:spacing w:after="0"/>
        <w:jc w:val="left"/>
        <w:rPr>
          <w:sz w:val="20"/>
        </w:rPr>
        <w:sectPr>
          <w:pgSz w:w="11910" w:h="16850"/>
          <w:pgMar w:header="1082" w:footer="945" w:top="1520" w:bottom="1140" w:left="360" w:right="360"/>
        </w:sectPr>
      </w:pPr>
    </w:p>
    <w:p>
      <w:pPr>
        <w:pStyle w:val="BodyText"/>
        <w:jc w:val="left"/>
      </w:pPr>
    </w:p>
    <w:p>
      <w:pPr>
        <w:pStyle w:val="BodyText"/>
        <w:jc w:val="left"/>
      </w:pPr>
    </w:p>
    <w:p>
      <w:pPr>
        <w:pStyle w:val="BodyText"/>
        <w:spacing w:before="119"/>
        <w:jc w:val="left"/>
      </w:pPr>
    </w:p>
    <w:p>
      <w:pPr>
        <w:pStyle w:val="BodyText"/>
        <w:ind w:left="772"/>
        <w:jc w:val="left"/>
      </w:pPr>
      <w:r>
        <w:rPr/>
        <w:drawing>
          <wp:anchor distT="0" distB="0" distL="0" distR="0" allowOverlap="1" layoutInCell="1" locked="0" behindDoc="0" simplePos="0" relativeHeight="15763456">
            <wp:simplePos x="0" y="0"/>
            <wp:positionH relativeFrom="page">
              <wp:posOffset>719455</wp:posOffset>
            </wp:positionH>
            <wp:positionV relativeFrom="paragraph">
              <wp:posOffset>241585</wp:posOffset>
            </wp:positionV>
            <wp:extent cx="2995599" cy="3736393"/>
            <wp:effectExtent l="0" t="0" r="0" b="0"/>
            <wp:wrapNone/>
            <wp:docPr id="699" name="Image 699" descr="C:\Users\Windows\AppData\Local\Microsoft\Windows\INetCache\Content.Word\Doorway2.png"/>
            <wp:cNvGraphicFramePr>
              <a:graphicFrameLocks/>
            </wp:cNvGraphicFramePr>
            <a:graphic>
              <a:graphicData uri="http://schemas.openxmlformats.org/drawingml/2006/picture">
                <pic:pic>
                  <pic:nvPicPr>
                    <pic:cNvPr id="699" name="Image 699" descr="C:\Users\Windows\AppData\Local\Microsoft\Windows\INetCache\Content.Word\Doorway2.png"/>
                    <pic:cNvPicPr/>
                  </pic:nvPicPr>
                  <pic:blipFill>
                    <a:blip r:embed="rId100" cstate="print"/>
                    <a:stretch>
                      <a:fillRect/>
                    </a:stretch>
                  </pic:blipFill>
                  <pic:spPr>
                    <a:xfrm>
                      <a:off x="0" y="0"/>
                      <a:ext cx="2995599" cy="3736393"/>
                    </a:xfrm>
                    <a:prstGeom prst="rect">
                      <a:avLst/>
                    </a:prstGeom>
                  </pic:spPr>
                </pic:pic>
              </a:graphicData>
            </a:graphic>
          </wp:anchor>
        </w:drawing>
      </w:r>
      <w:r>
        <w:rPr/>
        <w:t>Sketch</w:t>
      </w:r>
      <w:r>
        <w:rPr>
          <w:spacing w:val="-3"/>
        </w:rPr>
        <w:t> </w:t>
      </w:r>
      <w:r>
        <w:rPr/>
        <w:t>No</w:t>
      </w:r>
      <w:r>
        <w:rPr>
          <w:spacing w:val="-3"/>
        </w:rPr>
        <w:t> </w:t>
      </w:r>
      <w:r>
        <w:rPr>
          <w:spacing w:val="-10"/>
        </w:rPr>
        <w:t>1</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45"/>
        <w:jc w:val="left"/>
      </w:pPr>
    </w:p>
    <w:p>
      <w:pPr>
        <w:pStyle w:val="BodyText"/>
        <w:ind w:left="772"/>
        <w:jc w:val="left"/>
      </w:pPr>
      <w:r>
        <w:rPr/>
        <w:t>Sketch</w:t>
      </w:r>
      <w:r>
        <w:rPr>
          <w:spacing w:val="-4"/>
        </w:rPr>
        <w:t> No.2</w:t>
      </w:r>
    </w:p>
    <w:p>
      <w:pPr>
        <w:pStyle w:val="Heading4"/>
        <w:spacing w:before="100"/>
        <w:ind w:right="3856"/>
      </w:pPr>
      <w:r>
        <w:rPr>
          <w:b w:val="0"/>
        </w:rPr>
        <w:br w:type="column"/>
      </w:r>
      <w:r>
        <w:rPr/>
        <w:t>ANNEXURE</w:t>
      </w:r>
      <w:r>
        <w:rPr>
          <w:spacing w:val="-8"/>
        </w:rPr>
        <w:t> </w:t>
      </w:r>
      <w:r>
        <w:rPr>
          <w:spacing w:val="-5"/>
        </w:rPr>
        <w:t>23</w:t>
      </w:r>
    </w:p>
    <w:p>
      <w:pPr>
        <w:pStyle w:val="Heading5"/>
        <w:spacing w:before="239"/>
        <w:ind w:right="3856"/>
        <w:jc w:val="center"/>
      </w:pPr>
      <w:r>
        <w:rPr>
          <w:spacing w:val="-2"/>
        </w:rPr>
        <w:t>Sketches</w:t>
      </w:r>
    </w:p>
    <w:p>
      <w:pPr>
        <w:pStyle w:val="Heading5"/>
        <w:spacing w:after="0"/>
        <w:jc w:val="center"/>
        <w:sectPr>
          <w:type w:val="continuous"/>
          <w:pgSz w:w="11910" w:h="16850"/>
          <w:pgMar w:header="1082" w:footer="945" w:top="1360" w:bottom="280" w:left="360" w:right="360"/>
          <w:cols w:num="2" w:equalWidth="0">
            <w:col w:w="2234" w:space="1724"/>
            <w:col w:w="7232"/>
          </w:cols>
        </w:sectPr>
      </w:pPr>
    </w:p>
    <w:p>
      <w:pPr>
        <w:pStyle w:val="BodyText"/>
        <w:spacing w:before="3"/>
        <w:jc w:val="left"/>
        <w:rPr>
          <w:b/>
          <w:sz w:val="20"/>
        </w:rPr>
      </w:pPr>
    </w:p>
    <w:p>
      <w:pPr>
        <w:pStyle w:val="BodyText"/>
        <w:ind w:left="773"/>
        <w:jc w:val="left"/>
        <w:rPr>
          <w:sz w:val="20"/>
        </w:rPr>
      </w:pPr>
      <w:r>
        <w:rPr>
          <w:sz w:val="20"/>
        </w:rPr>
        <w:drawing>
          <wp:inline distT="0" distB="0" distL="0" distR="0">
            <wp:extent cx="3178494" cy="3190589"/>
            <wp:effectExtent l="0" t="0" r="0" b="0"/>
            <wp:docPr id="700" name="Image 700" descr="C:\Users\Windows\AppData\Local\Microsoft\Windows\INetCache\Content.Word\Doorway.png"/>
            <wp:cNvGraphicFramePr>
              <a:graphicFrameLocks/>
            </wp:cNvGraphicFramePr>
            <a:graphic>
              <a:graphicData uri="http://schemas.openxmlformats.org/drawingml/2006/picture">
                <pic:pic>
                  <pic:nvPicPr>
                    <pic:cNvPr id="700" name="Image 700" descr="C:\Users\Windows\AppData\Local\Microsoft\Windows\INetCache\Content.Word\Doorway.png"/>
                    <pic:cNvPicPr/>
                  </pic:nvPicPr>
                  <pic:blipFill>
                    <a:blip r:embed="rId101" cstate="print"/>
                    <a:stretch>
                      <a:fillRect/>
                    </a:stretch>
                  </pic:blipFill>
                  <pic:spPr>
                    <a:xfrm>
                      <a:off x="0" y="0"/>
                      <a:ext cx="3178494" cy="3190589"/>
                    </a:xfrm>
                    <a:prstGeom prst="rect">
                      <a:avLst/>
                    </a:prstGeom>
                  </pic:spPr>
                </pic:pic>
              </a:graphicData>
            </a:graphic>
          </wp:inline>
        </w:drawing>
      </w:r>
      <w:r>
        <w:rPr>
          <w:sz w:val="20"/>
        </w:rPr>
      </w:r>
    </w:p>
    <w:p>
      <w:pPr>
        <w:pStyle w:val="BodyText"/>
        <w:spacing w:before="16"/>
        <w:jc w:val="left"/>
        <w:rPr>
          <w:b/>
        </w:rPr>
      </w:pPr>
    </w:p>
    <w:p>
      <w:pPr>
        <w:pStyle w:val="BodyText"/>
        <w:ind w:left="772"/>
        <w:jc w:val="left"/>
      </w:pPr>
      <w:r>
        <w:rPr/>
        <w:t>Sketch</w:t>
      </w:r>
      <w:r>
        <w:rPr>
          <w:spacing w:val="-3"/>
        </w:rPr>
        <w:t> </w:t>
      </w:r>
      <w:r>
        <w:rPr/>
        <w:t>No.</w:t>
      </w:r>
      <w:r>
        <w:rPr>
          <w:spacing w:val="-2"/>
        </w:rPr>
        <w:t> </w:t>
      </w:r>
      <w:r>
        <w:rPr>
          <w:spacing w:val="-10"/>
        </w:rPr>
        <w:t>3</w:t>
      </w:r>
    </w:p>
    <w:p>
      <w:pPr>
        <w:pStyle w:val="BodyText"/>
        <w:spacing w:before="91"/>
        <w:jc w:val="left"/>
        <w:rPr>
          <w:sz w:val="20"/>
        </w:rPr>
      </w:pPr>
      <w:r>
        <w:rPr>
          <w:sz w:val="20"/>
        </w:rPr>
        <w:drawing>
          <wp:anchor distT="0" distB="0" distL="0" distR="0" allowOverlap="1" layoutInCell="1" locked="0" behindDoc="1" simplePos="0" relativeHeight="487623168">
            <wp:simplePos x="0" y="0"/>
            <wp:positionH relativeFrom="page">
              <wp:posOffset>719455</wp:posOffset>
            </wp:positionH>
            <wp:positionV relativeFrom="paragraph">
              <wp:posOffset>222465</wp:posOffset>
            </wp:positionV>
            <wp:extent cx="5225589" cy="2314575"/>
            <wp:effectExtent l="0" t="0" r="0" b="0"/>
            <wp:wrapTopAndBottom/>
            <wp:docPr id="701" name="Image 701" descr="C:\Users\Windows\AppData\Local\Microsoft\Windows\INetCache\Content.Word\headroom.png"/>
            <wp:cNvGraphicFramePr>
              <a:graphicFrameLocks/>
            </wp:cNvGraphicFramePr>
            <a:graphic>
              <a:graphicData uri="http://schemas.openxmlformats.org/drawingml/2006/picture">
                <pic:pic>
                  <pic:nvPicPr>
                    <pic:cNvPr id="701" name="Image 701" descr="C:\Users\Windows\AppData\Local\Microsoft\Windows\INetCache\Content.Word\headroom.png"/>
                    <pic:cNvPicPr/>
                  </pic:nvPicPr>
                  <pic:blipFill>
                    <a:blip r:embed="rId102" cstate="print"/>
                    <a:stretch>
                      <a:fillRect/>
                    </a:stretch>
                  </pic:blipFill>
                  <pic:spPr>
                    <a:xfrm>
                      <a:off x="0" y="0"/>
                      <a:ext cx="5225589" cy="2314575"/>
                    </a:xfrm>
                    <a:prstGeom prst="rect">
                      <a:avLst/>
                    </a:prstGeom>
                  </pic:spPr>
                </pic:pic>
              </a:graphicData>
            </a:graphic>
          </wp:anchor>
        </w:drawing>
      </w:r>
    </w:p>
    <w:p>
      <w:pPr>
        <w:pStyle w:val="BodyText"/>
        <w:jc w:val="left"/>
      </w:pPr>
    </w:p>
    <w:p>
      <w:pPr>
        <w:pStyle w:val="BodyText"/>
        <w:jc w:val="left"/>
      </w:pPr>
    </w:p>
    <w:p>
      <w:pPr>
        <w:pStyle w:val="BodyText"/>
        <w:spacing w:before="63"/>
        <w:jc w:val="left"/>
      </w:pPr>
    </w:p>
    <w:p>
      <w:pPr>
        <w:pStyle w:val="BodyText"/>
        <w:ind w:left="772"/>
        <w:jc w:val="left"/>
      </w:pPr>
      <w:r>
        <w:rPr/>
        <w:t>Sketch</w:t>
      </w:r>
      <w:r>
        <w:rPr>
          <w:spacing w:val="-3"/>
        </w:rPr>
        <w:t> </w:t>
      </w:r>
      <w:r>
        <w:rPr/>
        <w:t>No.</w:t>
      </w:r>
      <w:r>
        <w:rPr>
          <w:spacing w:val="-2"/>
        </w:rPr>
        <w:t> </w:t>
      </w:r>
      <w:r>
        <w:rPr>
          <w:spacing w:val="-10"/>
        </w:rPr>
        <w:t>4</w:t>
      </w:r>
    </w:p>
    <w:p>
      <w:pPr>
        <w:pStyle w:val="BodyText"/>
        <w:spacing w:after="0"/>
        <w:jc w:val="left"/>
        <w:sectPr>
          <w:pgSz w:w="11910" w:h="16850"/>
          <w:pgMar w:header="1082" w:footer="945" w:top="1520" w:bottom="1140" w:left="360" w:right="360"/>
        </w:sectPr>
      </w:pPr>
    </w:p>
    <w:p>
      <w:pPr>
        <w:pStyle w:val="BodyText"/>
        <w:spacing w:before="9" w:after="1"/>
        <w:jc w:val="left"/>
        <w:rPr>
          <w:sz w:val="20"/>
        </w:rPr>
      </w:pPr>
    </w:p>
    <w:p>
      <w:pPr>
        <w:pStyle w:val="BodyText"/>
        <w:ind w:left="773"/>
        <w:jc w:val="left"/>
        <w:rPr>
          <w:sz w:val="20"/>
        </w:rPr>
      </w:pPr>
      <w:r>
        <w:rPr>
          <w:sz w:val="20"/>
        </w:rPr>
        <w:drawing>
          <wp:inline distT="0" distB="0" distL="0" distR="0">
            <wp:extent cx="3447589" cy="3419951"/>
            <wp:effectExtent l="0" t="0" r="0" b="0"/>
            <wp:docPr id="702" name="Image 702" descr="C:\Users\Windows\AppData\Local\Microsoft\Windows\INetCache\Content.Word\GRAB BAR.PNG"/>
            <wp:cNvGraphicFramePr>
              <a:graphicFrameLocks/>
            </wp:cNvGraphicFramePr>
            <a:graphic>
              <a:graphicData uri="http://schemas.openxmlformats.org/drawingml/2006/picture">
                <pic:pic>
                  <pic:nvPicPr>
                    <pic:cNvPr id="702" name="Image 702" descr="C:\Users\Windows\AppData\Local\Microsoft\Windows\INetCache\Content.Word\GRAB BAR.PNG"/>
                    <pic:cNvPicPr/>
                  </pic:nvPicPr>
                  <pic:blipFill>
                    <a:blip r:embed="rId103" cstate="print"/>
                    <a:stretch>
                      <a:fillRect/>
                    </a:stretch>
                  </pic:blipFill>
                  <pic:spPr>
                    <a:xfrm>
                      <a:off x="0" y="0"/>
                      <a:ext cx="3447589" cy="3419951"/>
                    </a:xfrm>
                    <a:prstGeom prst="rect">
                      <a:avLst/>
                    </a:prstGeom>
                  </pic:spPr>
                </pic:pic>
              </a:graphicData>
            </a:graphic>
          </wp:inline>
        </w:drawing>
      </w:r>
      <w:r>
        <w:rPr>
          <w:sz w:val="20"/>
        </w:rPr>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75"/>
        <w:jc w:val="left"/>
      </w:pPr>
    </w:p>
    <w:p>
      <w:pPr>
        <w:pStyle w:val="BodyText"/>
        <w:ind w:left="849"/>
        <w:jc w:val="left"/>
      </w:pPr>
      <w:r>
        <w:rPr/>
        <w:t>Sketch</w:t>
      </w:r>
      <w:r>
        <w:rPr>
          <w:spacing w:val="-3"/>
        </w:rPr>
        <w:t> </w:t>
      </w:r>
      <w:r>
        <w:rPr/>
        <w:t>No</w:t>
      </w:r>
      <w:r>
        <w:rPr>
          <w:spacing w:val="-3"/>
        </w:rPr>
        <w:t> </w:t>
      </w:r>
      <w:r>
        <w:rPr>
          <w:spacing w:val="-10"/>
        </w:rPr>
        <w:t>5</w:t>
      </w:r>
    </w:p>
    <w:p>
      <w:pPr>
        <w:pStyle w:val="BodyText"/>
        <w:spacing w:before="14"/>
        <w:jc w:val="left"/>
        <w:rPr>
          <w:sz w:val="20"/>
        </w:rPr>
      </w:pPr>
      <w:r>
        <w:rPr>
          <w:sz w:val="20"/>
        </w:rPr>
        <w:drawing>
          <wp:anchor distT="0" distB="0" distL="0" distR="0" allowOverlap="1" layoutInCell="1" locked="0" behindDoc="1" simplePos="0" relativeHeight="487623680">
            <wp:simplePos x="0" y="0"/>
            <wp:positionH relativeFrom="page">
              <wp:posOffset>719455</wp:posOffset>
            </wp:positionH>
            <wp:positionV relativeFrom="paragraph">
              <wp:posOffset>173643</wp:posOffset>
            </wp:positionV>
            <wp:extent cx="3921580" cy="2838354"/>
            <wp:effectExtent l="0" t="0" r="0" b="0"/>
            <wp:wrapTopAndBottom/>
            <wp:docPr id="703" name="Image 703" descr="C:\Users\Windows\AppData\Local\Microsoft\Windows\INetCache\Content.Word\protruding object.png"/>
            <wp:cNvGraphicFramePr>
              <a:graphicFrameLocks/>
            </wp:cNvGraphicFramePr>
            <a:graphic>
              <a:graphicData uri="http://schemas.openxmlformats.org/drawingml/2006/picture">
                <pic:pic>
                  <pic:nvPicPr>
                    <pic:cNvPr id="703" name="Image 703" descr="C:\Users\Windows\AppData\Local\Microsoft\Windows\INetCache\Content.Word\protruding object.png"/>
                    <pic:cNvPicPr/>
                  </pic:nvPicPr>
                  <pic:blipFill>
                    <a:blip r:embed="rId104" cstate="print"/>
                    <a:stretch>
                      <a:fillRect/>
                    </a:stretch>
                  </pic:blipFill>
                  <pic:spPr>
                    <a:xfrm>
                      <a:off x="0" y="0"/>
                      <a:ext cx="3921580" cy="2838354"/>
                    </a:xfrm>
                    <a:prstGeom prst="rect">
                      <a:avLst/>
                    </a:prstGeom>
                  </pic:spPr>
                </pic:pic>
              </a:graphicData>
            </a:graphic>
          </wp:anchor>
        </w:drawing>
      </w:r>
    </w:p>
    <w:p>
      <w:pPr>
        <w:pStyle w:val="BodyText"/>
        <w:spacing w:after="0"/>
        <w:jc w:val="left"/>
        <w:rPr>
          <w:sz w:val="20"/>
        </w:rPr>
        <w:sectPr>
          <w:pgSz w:w="11910" w:h="16850"/>
          <w:pgMar w:header="1082" w:footer="945" w:top="1520" w:bottom="1140" w:left="360" w:right="360"/>
        </w:sectPr>
      </w:pPr>
    </w:p>
    <w:p>
      <w:pPr>
        <w:pStyle w:val="BodyText"/>
        <w:spacing w:before="218"/>
        <w:ind w:left="772"/>
        <w:jc w:val="left"/>
      </w:pPr>
      <w:r>
        <w:rPr/>
        <w:t>Sketch</w:t>
      </w:r>
      <w:r>
        <w:rPr>
          <w:spacing w:val="-3"/>
        </w:rPr>
        <w:t> </w:t>
      </w:r>
      <w:r>
        <w:rPr/>
        <w:t>No.</w:t>
      </w:r>
      <w:r>
        <w:rPr>
          <w:spacing w:val="-2"/>
        </w:rPr>
        <w:t> </w:t>
      </w:r>
      <w:r>
        <w:rPr>
          <w:spacing w:val="-10"/>
        </w:rPr>
        <w:t>6</w:t>
      </w:r>
    </w:p>
    <w:p>
      <w:pPr>
        <w:pStyle w:val="BodyText"/>
        <w:jc w:val="left"/>
        <w:rPr>
          <w:sz w:val="19"/>
        </w:rPr>
      </w:pPr>
      <w:r>
        <w:rPr>
          <w:sz w:val="19"/>
        </w:rPr>
        <w:drawing>
          <wp:anchor distT="0" distB="0" distL="0" distR="0" allowOverlap="1" layoutInCell="1" locked="0" behindDoc="1" simplePos="0" relativeHeight="487624192">
            <wp:simplePos x="0" y="0"/>
            <wp:positionH relativeFrom="page">
              <wp:posOffset>731893</wp:posOffset>
            </wp:positionH>
            <wp:positionV relativeFrom="paragraph">
              <wp:posOffset>157050</wp:posOffset>
            </wp:positionV>
            <wp:extent cx="4411653" cy="2531363"/>
            <wp:effectExtent l="0" t="0" r="0" b="0"/>
            <wp:wrapTopAndBottom/>
            <wp:docPr id="704" name="Image 704" descr="C:\Users\Windows\AppData\Local\Microsoft\Windows\INetCache\Content.Word\protruding obstructions 2.png"/>
            <wp:cNvGraphicFramePr>
              <a:graphicFrameLocks/>
            </wp:cNvGraphicFramePr>
            <a:graphic>
              <a:graphicData uri="http://schemas.openxmlformats.org/drawingml/2006/picture">
                <pic:pic>
                  <pic:nvPicPr>
                    <pic:cNvPr id="704" name="Image 704" descr="C:\Users\Windows\AppData\Local\Microsoft\Windows\INetCache\Content.Word\protruding obstructions 2.png"/>
                    <pic:cNvPicPr/>
                  </pic:nvPicPr>
                  <pic:blipFill>
                    <a:blip r:embed="rId105" cstate="print"/>
                    <a:stretch>
                      <a:fillRect/>
                    </a:stretch>
                  </pic:blipFill>
                  <pic:spPr>
                    <a:xfrm>
                      <a:off x="0" y="0"/>
                      <a:ext cx="4411653" cy="2531363"/>
                    </a:xfrm>
                    <a:prstGeom prst="rect">
                      <a:avLst/>
                    </a:prstGeom>
                  </pic:spPr>
                </pic:pic>
              </a:graphicData>
            </a:graphic>
          </wp:anchor>
        </w:drawing>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279"/>
        <w:jc w:val="left"/>
      </w:pPr>
    </w:p>
    <w:p>
      <w:pPr>
        <w:pStyle w:val="BodyText"/>
        <w:spacing w:before="1"/>
        <w:ind w:left="772"/>
        <w:jc w:val="left"/>
      </w:pPr>
      <w:r>
        <w:rPr/>
        <w:t>Fig 7-</w:t>
      </w:r>
      <w:r>
        <w:rPr>
          <w:spacing w:val="1"/>
        </w:rPr>
        <w:t> </w:t>
      </w:r>
      <w:r>
        <w:rPr/>
        <w:t>Illustrative</w:t>
      </w:r>
      <w:r>
        <w:rPr>
          <w:spacing w:val="1"/>
        </w:rPr>
        <w:t> </w:t>
      </w:r>
      <w:r>
        <w:rPr>
          <w:spacing w:val="-2"/>
        </w:rPr>
        <w:t>example:</w:t>
      </w:r>
    </w:p>
    <w:p>
      <w:pPr>
        <w:pStyle w:val="BodyText"/>
        <w:spacing w:before="136"/>
        <w:jc w:val="left"/>
        <w:rPr>
          <w:sz w:val="20"/>
        </w:rPr>
      </w:pPr>
      <w:r>
        <w:rPr>
          <w:sz w:val="20"/>
        </w:rPr>
        <w:drawing>
          <wp:anchor distT="0" distB="0" distL="0" distR="0" allowOverlap="1" layoutInCell="1" locked="0" behindDoc="1" simplePos="0" relativeHeight="487624704">
            <wp:simplePos x="0" y="0"/>
            <wp:positionH relativeFrom="page">
              <wp:posOffset>892156</wp:posOffset>
            </wp:positionH>
            <wp:positionV relativeFrom="paragraph">
              <wp:posOffset>250676</wp:posOffset>
            </wp:positionV>
            <wp:extent cx="3161005" cy="3104578"/>
            <wp:effectExtent l="0" t="0" r="0" b="0"/>
            <wp:wrapTopAndBottom/>
            <wp:docPr id="705" name="Image 705" descr="C:\Users\Windows\Desktop\TRANSITION RAMP.png"/>
            <wp:cNvGraphicFramePr>
              <a:graphicFrameLocks/>
            </wp:cNvGraphicFramePr>
            <a:graphic>
              <a:graphicData uri="http://schemas.openxmlformats.org/drawingml/2006/picture">
                <pic:pic>
                  <pic:nvPicPr>
                    <pic:cNvPr id="705" name="Image 705" descr="C:\Users\Windows\Desktop\TRANSITION RAMP.png"/>
                    <pic:cNvPicPr/>
                  </pic:nvPicPr>
                  <pic:blipFill>
                    <a:blip r:embed="rId106" cstate="print"/>
                    <a:stretch>
                      <a:fillRect/>
                    </a:stretch>
                  </pic:blipFill>
                  <pic:spPr>
                    <a:xfrm>
                      <a:off x="0" y="0"/>
                      <a:ext cx="3161005" cy="3104578"/>
                    </a:xfrm>
                    <a:prstGeom prst="rect">
                      <a:avLst/>
                    </a:prstGeom>
                  </pic:spPr>
                </pic:pic>
              </a:graphicData>
            </a:graphic>
          </wp:anchor>
        </w:drawing>
      </w:r>
    </w:p>
    <w:p>
      <w:pPr>
        <w:pStyle w:val="BodyText"/>
        <w:spacing w:after="0"/>
        <w:jc w:val="left"/>
        <w:rPr>
          <w:sz w:val="20"/>
        </w:rPr>
        <w:sectPr>
          <w:pgSz w:w="11910" w:h="16850"/>
          <w:pgMar w:header="1082" w:footer="945" w:top="1520" w:bottom="1140" w:left="360" w:right="360"/>
        </w:sectPr>
      </w:pPr>
    </w:p>
    <w:p>
      <w:pPr>
        <w:pStyle w:val="BodyText"/>
        <w:spacing w:before="7"/>
        <w:jc w:val="left"/>
        <w:rPr>
          <w:sz w:val="18"/>
        </w:rPr>
      </w:pPr>
    </w:p>
    <w:p>
      <w:pPr>
        <w:pStyle w:val="BodyText"/>
        <w:ind w:left="773"/>
        <w:jc w:val="left"/>
        <w:rPr>
          <w:sz w:val="20"/>
        </w:rPr>
      </w:pPr>
      <w:r>
        <w:rPr>
          <w:sz w:val="20"/>
        </w:rPr>
        <w:drawing>
          <wp:inline distT="0" distB="0" distL="0" distR="0">
            <wp:extent cx="3452563" cy="4287393"/>
            <wp:effectExtent l="0" t="0" r="0" b="0"/>
            <wp:docPr id="706" name="Image 706" descr="C:\Users\Windows\Desktop\U TURN RAMP.png"/>
            <wp:cNvGraphicFramePr>
              <a:graphicFrameLocks/>
            </wp:cNvGraphicFramePr>
            <a:graphic>
              <a:graphicData uri="http://schemas.openxmlformats.org/drawingml/2006/picture">
                <pic:pic>
                  <pic:nvPicPr>
                    <pic:cNvPr id="706" name="Image 706" descr="C:\Users\Windows\Desktop\U TURN RAMP.png"/>
                    <pic:cNvPicPr/>
                  </pic:nvPicPr>
                  <pic:blipFill>
                    <a:blip r:embed="rId107" cstate="print"/>
                    <a:stretch>
                      <a:fillRect/>
                    </a:stretch>
                  </pic:blipFill>
                  <pic:spPr>
                    <a:xfrm>
                      <a:off x="0" y="0"/>
                      <a:ext cx="3452563" cy="4287393"/>
                    </a:xfrm>
                    <a:prstGeom prst="rect">
                      <a:avLst/>
                    </a:prstGeom>
                  </pic:spPr>
                </pic:pic>
              </a:graphicData>
            </a:graphic>
          </wp:inline>
        </w:drawing>
      </w:r>
      <w:r>
        <w:rPr>
          <w:sz w:val="20"/>
        </w:rPr>
      </w:r>
    </w:p>
    <w:p>
      <w:pPr>
        <w:pStyle w:val="BodyText"/>
        <w:spacing w:before="179"/>
        <w:ind w:left="849"/>
        <w:jc w:val="left"/>
      </w:pPr>
      <w:r>
        <w:rPr/>
        <w:t>Note</w:t>
      </w:r>
      <w:r>
        <w:rPr>
          <w:spacing w:val="-1"/>
        </w:rPr>
        <w:t> </w:t>
      </w:r>
      <w:r>
        <w:rPr/>
        <w:t>–</w:t>
      </w:r>
      <w:r>
        <w:rPr>
          <w:spacing w:val="-1"/>
        </w:rPr>
        <w:t> </w:t>
      </w:r>
      <w:r>
        <w:rPr/>
        <w:t>Sketches not to </w:t>
      </w:r>
      <w:r>
        <w:rPr>
          <w:spacing w:val="-2"/>
        </w:rPr>
        <w:t>scale</w:t>
      </w:r>
    </w:p>
    <w:p>
      <w:pPr>
        <w:pStyle w:val="BodyText"/>
        <w:jc w:val="left"/>
        <w:rPr>
          <w:sz w:val="11"/>
        </w:rPr>
      </w:pPr>
      <w:r>
        <w:rPr>
          <w:sz w:val="11"/>
        </w:rPr>
        <mc:AlternateContent>
          <mc:Choice Requires="wps">
            <w:drawing>
              <wp:anchor distT="0" distB="0" distL="0" distR="0" allowOverlap="1" layoutInCell="1" locked="0" behindDoc="1" simplePos="0" relativeHeight="487625216">
                <wp:simplePos x="0" y="0"/>
                <wp:positionH relativeFrom="page">
                  <wp:posOffset>744219</wp:posOffset>
                </wp:positionH>
                <wp:positionV relativeFrom="paragraph">
                  <wp:posOffset>97333</wp:posOffset>
                </wp:positionV>
                <wp:extent cx="6198870" cy="1270"/>
                <wp:effectExtent l="0" t="0" r="0" b="0"/>
                <wp:wrapTopAndBottom/>
                <wp:docPr id="707" name="Graphic 707"/>
                <wp:cNvGraphicFramePr>
                  <a:graphicFrameLocks/>
                </wp:cNvGraphicFramePr>
                <a:graphic>
                  <a:graphicData uri="http://schemas.microsoft.com/office/word/2010/wordprocessingShape">
                    <wps:wsp>
                      <wps:cNvPr id="707" name="Graphic 707"/>
                      <wps:cNvSpPr/>
                      <wps:spPr>
                        <a:xfrm>
                          <a:off x="0" y="0"/>
                          <a:ext cx="6198870" cy="1270"/>
                        </a:xfrm>
                        <a:custGeom>
                          <a:avLst/>
                          <a:gdLst/>
                          <a:ahLst/>
                          <a:cxnLst/>
                          <a:rect l="l" t="t" r="r" b="b"/>
                          <a:pathLst>
                            <a:path w="6198870" h="0">
                              <a:moveTo>
                                <a:pt x="0" y="0"/>
                              </a:moveTo>
                              <a:lnTo>
                                <a:pt x="61988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99998pt;margin-top:7.664063pt;width:488.1pt;height:.1pt;mso-position-horizontal-relative:page;mso-position-vertical-relative:paragraph;z-index:-15691264;mso-wrap-distance-left:0;mso-wrap-distance-right:0" id="docshape595" coordorigin="1172,153" coordsize="9762,0" path="m1172,153l10934,153e" filled="false" stroked="true" strokeweight=".75pt" strokecolor="#000000">
                <v:path arrowok="t"/>
                <v:stroke dashstyle="solid"/>
                <w10:wrap type="topAndBottom"/>
              </v:shape>
            </w:pict>
          </mc:Fallback>
        </mc:AlternateContent>
      </w:r>
    </w:p>
    <w:p>
      <w:pPr>
        <w:spacing w:before="76"/>
        <w:ind w:left="772" w:right="0" w:firstLine="0"/>
        <w:jc w:val="left"/>
        <w:rPr>
          <w:b/>
          <w:i/>
          <w:sz w:val="24"/>
        </w:rPr>
      </w:pPr>
      <w:r>
        <w:rPr>
          <w:b/>
          <w:i/>
          <w:sz w:val="24"/>
        </w:rPr>
        <w:t>Annexure</w:t>
      </w:r>
      <w:r>
        <w:rPr>
          <w:b/>
          <w:i/>
          <w:spacing w:val="-7"/>
          <w:sz w:val="24"/>
        </w:rPr>
        <w:t> </w:t>
      </w:r>
      <w:r>
        <w:rPr>
          <w:b/>
          <w:i/>
          <w:spacing w:val="-5"/>
          <w:sz w:val="24"/>
        </w:rPr>
        <w:t>24</w:t>
      </w:r>
    </w:p>
    <w:p>
      <w:pPr>
        <w:spacing w:before="2"/>
        <w:ind w:left="772" w:right="0" w:firstLine="0"/>
        <w:jc w:val="left"/>
        <w:rPr>
          <w:b/>
          <w:sz w:val="24"/>
        </w:rPr>
      </w:pPr>
      <w:r>
        <w:rPr>
          <w:b/>
          <w:sz w:val="24"/>
        </w:rPr>
        <w:t>Appropriate</w:t>
      </w:r>
      <w:r>
        <w:rPr>
          <w:b/>
          <w:spacing w:val="-10"/>
          <w:sz w:val="24"/>
        </w:rPr>
        <w:t> </w:t>
      </w:r>
      <w:r>
        <w:rPr>
          <w:b/>
          <w:spacing w:val="-2"/>
          <w:sz w:val="24"/>
        </w:rPr>
        <w:t>Authority</w:t>
      </w:r>
    </w:p>
    <w:p>
      <w:pPr>
        <w:pStyle w:val="BodyText"/>
        <w:spacing w:before="48"/>
        <w:jc w:val="left"/>
        <w:rPr>
          <w:b/>
          <w:sz w:val="2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2"/>
        <w:gridCol w:w="1589"/>
        <w:gridCol w:w="1227"/>
        <w:gridCol w:w="2948"/>
        <w:gridCol w:w="3128"/>
      </w:tblGrid>
      <w:tr>
        <w:trPr>
          <w:trHeight w:val="474" w:hRule="atLeast"/>
        </w:trPr>
        <w:tc>
          <w:tcPr>
            <w:tcW w:w="742" w:type="dxa"/>
            <w:vMerge w:val="restart"/>
            <w:shd w:val="clear" w:color="auto" w:fill="EDEBE0"/>
          </w:tcPr>
          <w:p>
            <w:pPr>
              <w:pStyle w:val="TableParagraph"/>
              <w:spacing w:before="95"/>
              <w:ind w:left="213" w:right="185" w:hanging="15"/>
              <w:rPr>
                <w:sz w:val="24"/>
              </w:rPr>
            </w:pPr>
            <w:r>
              <w:rPr>
                <w:spacing w:val="-4"/>
                <w:sz w:val="24"/>
              </w:rPr>
              <w:t>Sr. </w:t>
            </w:r>
            <w:r>
              <w:rPr>
                <w:spacing w:val="-5"/>
                <w:sz w:val="24"/>
              </w:rPr>
              <w:t>No</w:t>
            </w:r>
          </w:p>
        </w:tc>
        <w:tc>
          <w:tcPr>
            <w:tcW w:w="1589" w:type="dxa"/>
            <w:vMerge w:val="restart"/>
            <w:shd w:val="clear" w:color="auto" w:fill="EDEBE0"/>
          </w:tcPr>
          <w:p>
            <w:pPr>
              <w:pStyle w:val="TableParagraph"/>
              <w:spacing w:before="95"/>
              <w:ind w:left="117"/>
              <w:jc w:val="center"/>
              <w:rPr>
                <w:sz w:val="24"/>
              </w:rPr>
            </w:pPr>
            <w:r>
              <w:rPr>
                <w:spacing w:val="-2"/>
                <w:sz w:val="24"/>
              </w:rPr>
              <w:t>Reservation </w:t>
            </w:r>
            <w:r>
              <w:rPr>
                <w:spacing w:val="-4"/>
                <w:sz w:val="24"/>
              </w:rPr>
              <w:t>main </w:t>
            </w:r>
            <w:r>
              <w:rPr>
                <w:spacing w:val="-2"/>
                <w:sz w:val="24"/>
              </w:rPr>
              <w:t>Category</w:t>
            </w:r>
          </w:p>
        </w:tc>
        <w:tc>
          <w:tcPr>
            <w:tcW w:w="4175" w:type="dxa"/>
            <w:gridSpan w:val="2"/>
            <w:shd w:val="clear" w:color="auto" w:fill="EDEBE0"/>
          </w:tcPr>
          <w:p>
            <w:pPr>
              <w:pStyle w:val="TableParagraph"/>
              <w:spacing w:before="95"/>
              <w:ind w:left="571"/>
              <w:rPr>
                <w:sz w:val="24"/>
              </w:rPr>
            </w:pPr>
            <w:r>
              <w:rPr>
                <w:sz w:val="24"/>
              </w:rPr>
              <w:t>Reservation</w:t>
            </w:r>
            <w:r>
              <w:rPr>
                <w:spacing w:val="-6"/>
                <w:sz w:val="24"/>
              </w:rPr>
              <w:t> </w:t>
            </w:r>
            <w:r>
              <w:rPr>
                <w:sz w:val="24"/>
              </w:rPr>
              <w:t>Sub</w:t>
            </w:r>
            <w:r>
              <w:rPr>
                <w:spacing w:val="-6"/>
                <w:sz w:val="24"/>
              </w:rPr>
              <w:t> </w:t>
            </w:r>
            <w:r>
              <w:rPr>
                <w:spacing w:val="-2"/>
                <w:sz w:val="24"/>
              </w:rPr>
              <w:t>Category</w:t>
            </w:r>
          </w:p>
        </w:tc>
        <w:tc>
          <w:tcPr>
            <w:tcW w:w="3128" w:type="dxa"/>
            <w:vMerge w:val="restart"/>
            <w:shd w:val="clear" w:color="auto" w:fill="EDEBE0"/>
          </w:tcPr>
          <w:p>
            <w:pPr>
              <w:pStyle w:val="TableParagraph"/>
              <w:spacing w:before="95"/>
              <w:ind w:left="277"/>
              <w:rPr>
                <w:sz w:val="24"/>
              </w:rPr>
            </w:pPr>
            <w:r>
              <w:rPr>
                <w:sz w:val="24"/>
              </w:rPr>
              <w:t>Appropriate </w:t>
            </w:r>
            <w:r>
              <w:rPr>
                <w:spacing w:val="-2"/>
                <w:sz w:val="24"/>
              </w:rPr>
              <w:t>Authority</w:t>
            </w:r>
          </w:p>
        </w:tc>
      </w:tr>
      <w:tr>
        <w:trPr>
          <w:trHeight w:val="664" w:hRule="atLeast"/>
        </w:trPr>
        <w:tc>
          <w:tcPr>
            <w:tcW w:w="742" w:type="dxa"/>
            <w:vMerge/>
            <w:tcBorders>
              <w:top w:val="nil"/>
            </w:tcBorders>
            <w:shd w:val="clear" w:color="auto" w:fill="EDEBE0"/>
          </w:tcPr>
          <w:p>
            <w:pPr>
              <w:rPr>
                <w:sz w:val="2"/>
                <w:szCs w:val="2"/>
              </w:rPr>
            </w:pPr>
          </w:p>
        </w:tc>
        <w:tc>
          <w:tcPr>
            <w:tcW w:w="1589" w:type="dxa"/>
            <w:vMerge/>
            <w:tcBorders>
              <w:top w:val="nil"/>
            </w:tcBorders>
            <w:shd w:val="clear" w:color="auto" w:fill="EDEBE0"/>
          </w:tcPr>
          <w:p>
            <w:pPr>
              <w:rPr>
                <w:sz w:val="2"/>
                <w:szCs w:val="2"/>
              </w:rPr>
            </w:pPr>
          </w:p>
        </w:tc>
        <w:tc>
          <w:tcPr>
            <w:tcW w:w="1227" w:type="dxa"/>
            <w:shd w:val="clear" w:color="auto" w:fill="EDEBE0"/>
          </w:tcPr>
          <w:p>
            <w:pPr>
              <w:pStyle w:val="TableParagraph"/>
              <w:spacing w:before="95"/>
              <w:ind w:left="116" w:right="109"/>
              <w:jc w:val="center"/>
              <w:rPr>
                <w:sz w:val="24"/>
              </w:rPr>
            </w:pPr>
            <w:r>
              <w:rPr>
                <w:spacing w:val="-4"/>
                <w:sz w:val="24"/>
              </w:rPr>
              <w:t>Code</w:t>
            </w:r>
          </w:p>
        </w:tc>
        <w:tc>
          <w:tcPr>
            <w:tcW w:w="2948" w:type="dxa"/>
            <w:shd w:val="clear" w:color="auto" w:fill="EDEBE0"/>
          </w:tcPr>
          <w:p>
            <w:pPr>
              <w:pStyle w:val="TableParagraph"/>
              <w:spacing w:before="95"/>
              <w:ind w:left="94" w:right="86"/>
              <w:jc w:val="center"/>
              <w:rPr>
                <w:sz w:val="24"/>
              </w:rPr>
            </w:pPr>
            <w:r>
              <w:rPr>
                <w:spacing w:val="-4"/>
                <w:sz w:val="24"/>
              </w:rPr>
              <w:t>Name</w:t>
            </w:r>
          </w:p>
        </w:tc>
        <w:tc>
          <w:tcPr>
            <w:tcW w:w="3128" w:type="dxa"/>
            <w:vMerge/>
            <w:tcBorders>
              <w:top w:val="nil"/>
            </w:tcBorders>
            <w:shd w:val="clear" w:color="auto" w:fill="EDEBE0"/>
          </w:tcPr>
          <w:p>
            <w:pPr>
              <w:rPr>
                <w:sz w:val="2"/>
                <w:szCs w:val="2"/>
              </w:rPr>
            </w:pPr>
          </w:p>
        </w:tc>
      </w:tr>
      <w:tr>
        <w:trPr>
          <w:trHeight w:val="703" w:hRule="atLeast"/>
        </w:trPr>
        <w:tc>
          <w:tcPr>
            <w:tcW w:w="742" w:type="dxa"/>
          </w:tcPr>
          <w:p>
            <w:pPr>
              <w:pStyle w:val="TableParagraph"/>
              <w:spacing w:before="210"/>
              <w:ind w:left="7"/>
              <w:jc w:val="center"/>
              <w:rPr>
                <w:sz w:val="24"/>
              </w:rPr>
            </w:pPr>
            <w:r>
              <w:rPr>
                <w:spacing w:val="-10"/>
                <w:sz w:val="24"/>
              </w:rPr>
              <w:t>1</w:t>
            </w:r>
          </w:p>
        </w:tc>
        <w:tc>
          <w:tcPr>
            <w:tcW w:w="1589" w:type="dxa"/>
            <w:vMerge w:val="restart"/>
            <w:textDirection w:val="btLr"/>
          </w:tcPr>
          <w:p>
            <w:pPr>
              <w:pStyle w:val="TableParagraph"/>
              <w:rPr>
                <w:b/>
                <w:sz w:val="24"/>
              </w:rPr>
            </w:pPr>
          </w:p>
          <w:p>
            <w:pPr>
              <w:pStyle w:val="TableParagraph"/>
              <w:spacing w:before="88"/>
              <w:rPr>
                <w:b/>
                <w:sz w:val="24"/>
              </w:rPr>
            </w:pPr>
          </w:p>
          <w:p>
            <w:pPr>
              <w:pStyle w:val="TableParagraph"/>
              <w:ind w:right="3"/>
              <w:jc w:val="center"/>
              <w:rPr>
                <w:sz w:val="24"/>
              </w:rPr>
            </w:pPr>
            <w:r>
              <w:rPr>
                <w:spacing w:val="-2"/>
                <w:sz w:val="24"/>
              </w:rPr>
              <w:t>Education</w:t>
            </w:r>
          </w:p>
        </w:tc>
        <w:tc>
          <w:tcPr>
            <w:tcW w:w="1227" w:type="dxa"/>
          </w:tcPr>
          <w:p>
            <w:pPr>
              <w:pStyle w:val="TableParagraph"/>
              <w:spacing w:before="210"/>
              <w:ind w:left="116" w:right="110"/>
              <w:jc w:val="center"/>
              <w:rPr>
                <w:sz w:val="24"/>
              </w:rPr>
            </w:pPr>
            <w:r>
              <w:rPr>
                <w:spacing w:val="-2"/>
                <w:sz w:val="24"/>
              </w:rPr>
              <w:t>RE1.1</w:t>
            </w:r>
          </w:p>
        </w:tc>
        <w:tc>
          <w:tcPr>
            <w:tcW w:w="2948" w:type="dxa"/>
          </w:tcPr>
          <w:p>
            <w:pPr>
              <w:pStyle w:val="TableParagraph"/>
              <w:spacing w:before="210"/>
              <w:ind w:left="47"/>
              <w:jc w:val="center"/>
              <w:rPr>
                <w:sz w:val="24"/>
              </w:rPr>
            </w:pPr>
            <w:r>
              <w:rPr>
                <w:sz w:val="24"/>
              </w:rPr>
              <w:t>Municipal </w:t>
            </w:r>
            <w:r>
              <w:rPr>
                <w:spacing w:val="-2"/>
                <w:sz w:val="24"/>
              </w:rPr>
              <w:t>School</w:t>
            </w:r>
          </w:p>
        </w:tc>
        <w:tc>
          <w:tcPr>
            <w:tcW w:w="3128" w:type="dxa"/>
          </w:tcPr>
          <w:p>
            <w:pPr>
              <w:pStyle w:val="TableParagraph"/>
              <w:spacing w:before="210"/>
              <w:ind w:left="49"/>
              <w:jc w:val="center"/>
              <w:rPr>
                <w:sz w:val="24"/>
              </w:rPr>
            </w:pPr>
            <w:r>
              <w:rPr>
                <w:spacing w:val="-4"/>
                <w:sz w:val="24"/>
              </w:rPr>
              <w:t>MCGM</w:t>
            </w:r>
          </w:p>
        </w:tc>
      </w:tr>
      <w:tr>
        <w:trPr>
          <w:trHeight w:val="1036" w:hRule="atLeast"/>
        </w:trPr>
        <w:tc>
          <w:tcPr>
            <w:tcW w:w="742" w:type="dxa"/>
          </w:tcPr>
          <w:p>
            <w:pPr>
              <w:pStyle w:val="TableParagraph"/>
              <w:spacing w:before="94"/>
              <w:rPr>
                <w:b/>
                <w:sz w:val="24"/>
              </w:rPr>
            </w:pPr>
          </w:p>
          <w:p>
            <w:pPr>
              <w:pStyle w:val="TableParagraph"/>
              <w:ind w:left="7"/>
              <w:jc w:val="center"/>
              <w:rPr>
                <w:sz w:val="24"/>
              </w:rPr>
            </w:pPr>
            <w:r>
              <w:rPr>
                <w:spacing w:val="-10"/>
                <w:sz w:val="24"/>
              </w:rPr>
              <w:t>2</w:t>
            </w:r>
          </w:p>
        </w:tc>
        <w:tc>
          <w:tcPr>
            <w:tcW w:w="1589" w:type="dxa"/>
            <w:vMerge/>
            <w:tcBorders>
              <w:top w:val="nil"/>
            </w:tcBorders>
            <w:textDirection w:val="btLr"/>
          </w:tcPr>
          <w:p>
            <w:pPr>
              <w:rPr>
                <w:sz w:val="2"/>
                <w:szCs w:val="2"/>
              </w:rPr>
            </w:pPr>
          </w:p>
        </w:tc>
        <w:tc>
          <w:tcPr>
            <w:tcW w:w="1227" w:type="dxa"/>
          </w:tcPr>
          <w:p>
            <w:pPr>
              <w:pStyle w:val="TableParagraph"/>
              <w:spacing w:before="94"/>
              <w:rPr>
                <w:b/>
                <w:sz w:val="24"/>
              </w:rPr>
            </w:pPr>
          </w:p>
          <w:p>
            <w:pPr>
              <w:pStyle w:val="TableParagraph"/>
              <w:ind w:left="116" w:right="110"/>
              <w:jc w:val="center"/>
              <w:rPr>
                <w:sz w:val="24"/>
              </w:rPr>
            </w:pPr>
            <w:r>
              <w:rPr>
                <w:spacing w:val="-2"/>
                <w:sz w:val="24"/>
              </w:rPr>
              <w:t>RE1.2</w:t>
            </w:r>
          </w:p>
        </w:tc>
        <w:tc>
          <w:tcPr>
            <w:tcW w:w="2948" w:type="dxa"/>
          </w:tcPr>
          <w:p>
            <w:pPr>
              <w:pStyle w:val="TableParagraph"/>
              <w:spacing w:before="234"/>
              <w:ind w:left="1101" w:right="106" w:hanging="1025"/>
              <w:rPr>
                <w:sz w:val="24"/>
              </w:rPr>
            </w:pPr>
            <w:r>
              <w:rPr>
                <w:sz w:val="24"/>
              </w:rPr>
              <w:t>Primary</w:t>
            </w:r>
            <w:r>
              <w:rPr>
                <w:spacing w:val="-19"/>
                <w:sz w:val="24"/>
              </w:rPr>
              <w:t> </w:t>
            </w:r>
            <w:r>
              <w:rPr>
                <w:sz w:val="24"/>
              </w:rPr>
              <w:t>and</w:t>
            </w:r>
            <w:r>
              <w:rPr>
                <w:spacing w:val="-19"/>
                <w:sz w:val="24"/>
              </w:rPr>
              <w:t> </w:t>
            </w:r>
            <w:r>
              <w:rPr>
                <w:sz w:val="24"/>
              </w:rPr>
              <w:t>Secondary </w:t>
            </w:r>
            <w:r>
              <w:rPr>
                <w:spacing w:val="-2"/>
                <w:sz w:val="24"/>
              </w:rPr>
              <w:t>School</w:t>
            </w:r>
          </w:p>
        </w:tc>
        <w:tc>
          <w:tcPr>
            <w:tcW w:w="3128" w:type="dxa"/>
          </w:tcPr>
          <w:p>
            <w:pPr>
              <w:pStyle w:val="TableParagraph"/>
              <w:spacing w:before="95"/>
              <w:ind w:left="426" w:right="376" w:hanging="86"/>
              <w:jc w:val="center"/>
              <w:rPr>
                <w:sz w:val="24"/>
              </w:rPr>
            </w:pPr>
            <w:r>
              <w:rPr>
                <w:sz w:val="24"/>
              </w:rPr>
              <w:t>MCGM / School Education</w:t>
            </w:r>
            <w:r>
              <w:rPr>
                <w:spacing w:val="-19"/>
                <w:sz w:val="24"/>
              </w:rPr>
              <w:t> </w:t>
            </w:r>
            <w:r>
              <w:rPr>
                <w:sz w:val="24"/>
              </w:rPr>
              <w:t>&amp;</w:t>
            </w:r>
            <w:r>
              <w:rPr>
                <w:spacing w:val="-19"/>
                <w:sz w:val="24"/>
              </w:rPr>
              <w:t> </w:t>
            </w:r>
            <w:r>
              <w:rPr>
                <w:sz w:val="24"/>
              </w:rPr>
              <w:t>Sports Department, GOM</w:t>
            </w:r>
          </w:p>
        </w:tc>
      </w:tr>
      <w:tr>
        <w:trPr>
          <w:trHeight w:val="1036" w:hRule="atLeast"/>
        </w:trPr>
        <w:tc>
          <w:tcPr>
            <w:tcW w:w="742" w:type="dxa"/>
          </w:tcPr>
          <w:p>
            <w:pPr>
              <w:pStyle w:val="TableParagraph"/>
              <w:spacing w:before="94"/>
              <w:rPr>
                <w:b/>
                <w:sz w:val="24"/>
              </w:rPr>
            </w:pPr>
          </w:p>
          <w:p>
            <w:pPr>
              <w:pStyle w:val="TableParagraph"/>
              <w:ind w:left="7"/>
              <w:jc w:val="center"/>
              <w:rPr>
                <w:sz w:val="24"/>
              </w:rPr>
            </w:pPr>
            <w:r>
              <w:rPr>
                <w:spacing w:val="-10"/>
                <w:sz w:val="24"/>
              </w:rPr>
              <w:t>3</w:t>
            </w:r>
          </w:p>
        </w:tc>
        <w:tc>
          <w:tcPr>
            <w:tcW w:w="1589" w:type="dxa"/>
            <w:vMerge/>
            <w:tcBorders>
              <w:top w:val="nil"/>
            </w:tcBorders>
            <w:textDirection w:val="btLr"/>
          </w:tcPr>
          <w:p>
            <w:pPr>
              <w:rPr>
                <w:sz w:val="2"/>
                <w:szCs w:val="2"/>
              </w:rPr>
            </w:pPr>
          </w:p>
        </w:tc>
        <w:tc>
          <w:tcPr>
            <w:tcW w:w="1227" w:type="dxa"/>
          </w:tcPr>
          <w:p>
            <w:pPr>
              <w:pStyle w:val="TableParagraph"/>
              <w:spacing w:before="94"/>
              <w:rPr>
                <w:b/>
                <w:sz w:val="24"/>
              </w:rPr>
            </w:pPr>
          </w:p>
          <w:p>
            <w:pPr>
              <w:pStyle w:val="TableParagraph"/>
              <w:ind w:left="116" w:right="110"/>
              <w:jc w:val="center"/>
              <w:rPr>
                <w:sz w:val="24"/>
              </w:rPr>
            </w:pPr>
            <w:r>
              <w:rPr>
                <w:spacing w:val="-2"/>
                <w:sz w:val="24"/>
              </w:rPr>
              <w:t>RE1.3</w:t>
            </w:r>
          </w:p>
        </w:tc>
        <w:tc>
          <w:tcPr>
            <w:tcW w:w="2948" w:type="dxa"/>
          </w:tcPr>
          <w:p>
            <w:pPr>
              <w:pStyle w:val="TableParagraph"/>
              <w:spacing w:before="94"/>
              <w:rPr>
                <w:b/>
                <w:sz w:val="24"/>
              </w:rPr>
            </w:pPr>
          </w:p>
          <w:p>
            <w:pPr>
              <w:pStyle w:val="TableParagraph"/>
              <w:ind w:left="47"/>
              <w:jc w:val="center"/>
              <w:rPr>
                <w:sz w:val="24"/>
              </w:rPr>
            </w:pPr>
            <w:r>
              <w:rPr>
                <w:sz w:val="24"/>
              </w:rPr>
              <w:t>Special </w:t>
            </w:r>
            <w:r>
              <w:rPr>
                <w:spacing w:val="-2"/>
                <w:sz w:val="24"/>
              </w:rPr>
              <w:t>School</w:t>
            </w:r>
          </w:p>
        </w:tc>
        <w:tc>
          <w:tcPr>
            <w:tcW w:w="3128" w:type="dxa"/>
          </w:tcPr>
          <w:p>
            <w:pPr>
              <w:pStyle w:val="TableParagraph"/>
              <w:spacing w:before="95"/>
              <w:ind w:left="136" w:right="130" w:hanging="41"/>
              <w:jc w:val="center"/>
              <w:rPr>
                <w:sz w:val="24"/>
              </w:rPr>
            </w:pPr>
            <w:r>
              <w:rPr>
                <w:sz w:val="24"/>
              </w:rPr>
              <w:t>Social Justice &amp; Special Assistance Department, </w:t>
            </w:r>
            <w:r>
              <w:rPr>
                <w:spacing w:val="-4"/>
                <w:sz w:val="24"/>
              </w:rPr>
              <w:t>GOM</w:t>
            </w:r>
          </w:p>
        </w:tc>
      </w:tr>
      <w:tr>
        <w:trPr>
          <w:trHeight w:val="1038" w:hRule="atLeast"/>
        </w:trPr>
        <w:tc>
          <w:tcPr>
            <w:tcW w:w="742" w:type="dxa"/>
          </w:tcPr>
          <w:p>
            <w:pPr>
              <w:pStyle w:val="TableParagraph"/>
              <w:spacing w:before="96"/>
              <w:rPr>
                <w:b/>
                <w:sz w:val="24"/>
              </w:rPr>
            </w:pPr>
          </w:p>
          <w:p>
            <w:pPr>
              <w:pStyle w:val="TableParagraph"/>
              <w:ind w:left="7"/>
              <w:jc w:val="center"/>
              <w:rPr>
                <w:sz w:val="24"/>
              </w:rPr>
            </w:pPr>
            <w:r>
              <w:rPr>
                <w:spacing w:val="-10"/>
                <w:sz w:val="24"/>
              </w:rPr>
              <w:t>4</w:t>
            </w:r>
          </w:p>
        </w:tc>
        <w:tc>
          <w:tcPr>
            <w:tcW w:w="1589" w:type="dxa"/>
            <w:vMerge/>
            <w:tcBorders>
              <w:top w:val="nil"/>
            </w:tcBorders>
            <w:textDirection w:val="btLr"/>
          </w:tcPr>
          <w:p>
            <w:pPr>
              <w:rPr>
                <w:sz w:val="2"/>
                <w:szCs w:val="2"/>
              </w:rPr>
            </w:pPr>
          </w:p>
        </w:tc>
        <w:tc>
          <w:tcPr>
            <w:tcW w:w="1227" w:type="dxa"/>
          </w:tcPr>
          <w:p>
            <w:pPr>
              <w:pStyle w:val="TableParagraph"/>
              <w:spacing w:before="96"/>
              <w:rPr>
                <w:b/>
                <w:sz w:val="24"/>
              </w:rPr>
            </w:pPr>
          </w:p>
          <w:p>
            <w:pPr>
              <w:pStyle w:val="TableParagraph"/>
              <w:ind w:left="116" w:right="110"/>
              <w:jc w:val="center"/>
              <w:rPr>
                <w:sz w:val="24"/>
              </w:rPr>
            </w:pPr>
            <w:r>
              <w:rPr>
                <w:spacing w:val="-2"/>
                <w:sz w:val="24"/>
              </w:rPr>
              <w:t>RE2.1</w:t>
            </w:r>
          </w:p>
        </w:tc>
        <w:tc>
          <w:tcPr>
            <w:tcW w:w="2948" w:type="dxa"/>
          </w:tcPr>
          <w:p>
            <w:pPr>
              <w:pStyle w:val="TableParagraph"/>
              <w:spacing w:before="96"/>
              <w:rPr>
                <w:b/>
                <w:sz w:val="24"/>
              </w:rPr>
            </w:pPr>
          </w:p>
          <w:p>
            <w:pPr>
              <w:pStyle w:val="TableParagraph"/>
              <w:ind w:left="94" w:right="86"/>
              <w:jc w:val="center"/>
              <w:rPr>
                <w:sz w:val="24"/>
              </w:rPr>
            </w:pPr>
            <w:r>
              <w:rPr>
                <w:sz w:val="24"/>
              </w:rPr>
              <w:t>Higher </w:t>
            </w:r>
            <w:r>
              <w:rPr>
                <w:spacing w:val="-2"/>
                <w:sz w:val="24"/>
              </w:rPr>
              <w:t>Education</w:t>
            </w:r>
          </w:p>
        </w:tc>
        <w:tc>
          <w:tcPr>
            <w:tcW w:w="3128" w:type="dxa"/>
          </w:tcPr>
          <w:p>
            <w:pPr>
              <w:pStyle w:val="TableParagraph"/>
              <w:spacing w:before="95"/>
              <w:ind w:left="203" w:right="152" w:hanging="3"/>
              <w:jc w:val="center"/>
              <w:rPr>
                <w:sz w:val="24"/>
              </w:rPr>
            </w:pPr>
            <w:r>
              <w:rPr>
                <w:sz w:val="24"/>
              </w:rPr>
              <w:t>Higher &amp; Technical Education</w:t>
            </w:r>
            <w:r>
              <w:rPr>
                <w:spacing w:val="-20"/>
                <w:sz w:val="24"/>
              </w:rPr>
              <w:t> </w:t>
            </w:r>
            <w:r>
              <w:rPr>
                <w:sz w:val="24"/>
              </w:rPr>
              <w:t>Department, </w:t>
            </w:r>
            <w:r>
              <w:rPr>
                <w:spacing w:val="-4"/>
                <w:sz w:val="24"/>
              </w:rPr>
              <w:t>GOM</w:t>
            </w:r>
          </w:p>
        </w:tc>
      </w:tr>
    </w:tbl>
    <w:p>
      <w:pPr>
        <w:pStyle w:val="TableParagraph"/>
        <w:spacing w:after="0"/>
        <w:jc w:val="center"/>
        <w:rPr>
          <w:sz w:val="24"/>
        </w:rPr>
        <w:sectPr>
          <w:pgSz w:w="11910" w:h="16850"/>
          <w:pgMar w:header="1082" w:footer="945" w:top="1520" w:bottom="1140" w:left="360" w:right="360"/>
        </w:sectPr>
      </w:pPr>
    </w:p>
    <w:p>
      <w:pPr>
        <w:pStyle w:val="BodyText"/>
        <w:spacing w:before="7"/>
        <w:jc w:val="left"/>
        <w:rPr>
          <w:b/>
          <w:sz w:val="18"/>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2"/>
        <w:gridCol w:w="1589"/>
        <w:gridCol w:w="1227"/>
        <w:gridCol w:w="2948"/>
        <w:gridCol w:w="3128"/>
      </w:tblGrid>
      <w:tr>
        <w:trPr>
          <w:trHeight w:val="474" w:hRule="atLeast"/>
        </w:trPr>
        <w:tc>
          <w:tcPr>
            <w:tcW w:w="742" w:type="dxa"/>
            <w:vMerge w:val="restart"/>
            <w:shd w:val="clear" w:color="auto" w:fill="EDEBE0"/>
          </w:tcPr>
          <w:p>
            <w:pPr>
              <w:pStyle w:val="TableParagraph"/>
              <w:spacing w:before="95"/>
              <w:ind w:left="213" w:right="185" w:hanging="15"/>
              <w:rPr>
                <w:sz w:val="24"/>
              </w:rPr>
            </w:pPr>
            <w:r>
              <w:rPr>
                <w:spacing w:val="-4"/>
                <w:sz w:val="24"/>
              </w:rPr>
              <w:t>Sr. </w:t>
            </w:r>
            <w:r>
              <w:rPr>
                <w:spacing w:val="-5"/>
                <w:sz w:val="24"/>
              </w:rPr>
              <w:t>No</w:t>
            </w:r>
          </w:p>
        </w:tc>
        <w:tc>
          <w:tcPr>
            <w:tcW w:w="1589" w:type="dxa"/>
            <w:vMerge w:val="restart"/>
            <w:tcBorders>
              <w:bottom w:val="nil"/>
            </w:tcBorders>
            <w:shd w:val="clear" w:color="auto" w:fill="EDEBE0"/>
          </w:tcPr>
          <w:p>
            <w:pPr>
              <w:pStyle w:val="TableParagraph"/>
              <w:spacing w:before="95"/>
              <w:ind w:left="117"/>
              <w:jc w:val="center"/>
              <w:rPr>
                <w:sz w:val="24"/>
              </w:rPr>
            </w:pPr>
            <w:r>
              <w:rPr>
                <w:spacing w:val="-2"/>
                <w:sz w:val="24"/>
              </w:rPr>
              <w:t>Reservation </w:t>
            </w:r>
            <w:r>
              <w:rPr>
                <w:spacing w:val="-4"/>
                <w:sz w:val="24"/>
              </w:rPr>
              <w:t>main </w:t>
            </w:r>
            <w:r>
              <w:rPr>
                <w:spacing w:val="-2"/>
                <w:sz w:val="24"/>
              </w:rPr>
              <w:t>Category</w:t>
            </w:r>
          </w:p>
        </w:tc>
        <w:tc>
          <w:tcPr>
            <w:tcW w:w="4175" w:type="dxa"/>
            <w:gridSpan w:val="2"/>
            <w:shd w:val="clear" w:color="auto" w:fill="EDEBE0"/>
          </w:tcPr>
          <w:p>
            <w:pPr>
              <w:pStyle w:val="TableParagraph"/>
              <w:spacing w:before="95"/>
              <w:ind w:left="571"/>
              <w:rPr>
                <w:sz w:val="24"/>
              </w:rPr>
            </w:pPr>
            <w:r>
              <w:rPr>
                <w:sz w:val="24"/>
              </w:rPr>
              <w:t>Reservation</w:t>
            </w:r>
            <w:r>
              <w:rPr>
                <w:spacing w:val="-6"/>
                <w:sz w:val="24"/>
              </w:rPr>
              <w:t> </w:t>
            </w:r>
            <w:r>
              <w:rPr>
                <w:sz w:val="24"/>
              </w:rPr>
              <w:t>Sub</w:t>
            </w:r>
            <w:r>
              <w:rPr>
                <w:spacing w:val="-6"/>
                <w:sz w:val="24"/>
              </w:rPr>
              <w:t> </w:t>
            </w:r>
            <w:r>
              <w:rPr>
                <w:spacing w:val="-2"/>
                <w:sz w:val="24"/>
              </w:rPr>
              <w:t>Category</w:t>
            </w:r>
          </w:p>
        </w:tc>
        <w:tc>
          <w:tcPr>
            <w:tcW w:w="3128" w:type="dxa"/>
            <w:vMerge w:val="restart"/>
            <w:shd w:val="clear" w:color="auto" w:fill="EDEBE0"/>
          </w:tcPr>
          <w:p>
            <w:pPr>
              <w:pStyle w:val="TableParagraph"/>
              <w:spacing w:before="95"/>
              <w:ind w:left="277"/>
              <w:rPr>
                <w:sz w:val="24"/>
              </w:rPr>
            </w:pPr>
            <w:r>
              <w:rPr>
                <w:sz w:val="24"/>
              </w:rPr>
              <w:t>Appropriate </w:t>
            </w:r>
            <w:r>
              <w:rPr>
                <w:spacing w:val="-2"/>
                <w:sz w:val="24"/>
              </w:rPr>
              <w:t>Authority</w:t>
            </w:r>
          </w:p>
        </w:tc>
      </w:tr>
      <w:tr>
        <w:trPr>
          <w:trHeight w:val="664" w:hRule="atLeast"/>
        </w:trPr>
        <w:tc>
          <w:tcPr>
            <w:tcW w:w="742" w:type="dxa"/>
            <w:vMerge/>
            <w:tcBorders>
              <w:top w:val="nil"/>
            </w:tcBorders>
            <w:shd w:val="clear" w:color="auto" w:fill="EDEBE0"/>
          </w:tcPr>
          <w:p>
            <w:pPr>
              <w:rPr>
                <w:sz w:val="2"/>
                <w:szCs w:val="2"/>
              </w:rPr>
            </w:pPr>
          </w:p>
        </w:tc>
        <w:tc>
          <w:tcPr>
            <w:tcW w:w="1589" w:type="dxa"/>
            <w:vMerge/>
            <w:tcBorders>
              <w:top w:val="nil"/>
              <w:bottom w:val="nil"/>
            </w:tcBorders>
            <w:shd w:val="clear" w:color="auto" w:fill="EDEBE0"/>
          </w:tcPr>
          <w:p>
            <w:pPr>
              <w:rPr>
                <w:sz w:val="2"/>
                <w:szCs w:val="2"/>
              </w:rPr>
            </w:pPr>
          </w:p>
        </w:tc>
        <w:tc>
          <w:tcPr>
            <w:tcW w:w="1227" w:type="dxa"/>
            <w:shd w:val="clear" w:color="auto" w:fill="EDEBE0"/>
          </w:tcPr>
          <w:p>
            <w:pPr>
              <w:pStyle w:val="TableParagraph"/>
              <w:spacing w:before="95"/>
              <w:ind w:left="116" w:right="109"/>
              <w:jc w:val="center"/>
              <w:rPr>
                <w:sz w:val="24"/>
              </w:rPr>
            </w:pPr>
            <w:r>
              <w:rPr>
                <w:spacing w:val="-4"/>
                <w:sz w:val="24"/>
              </w:rPr>
              <w:t>Code</w:t>
            </w:r>
          </w:p>
        </w:tc>
        <w:tc>
          <w:tcPr>
            <w:tcW w:w="2948" w:type="dxa"/>
            <w:shd w:val="clear" w:color="auto" w:fill="EDEBE0"/>
          </w:tcPr>
          <w:p>
            <w:pPr>
              <w:pStyle w:val="TableParagraph"/>
              <w:spacing w:before="95"/>
              <w:ind w:left="94" w:right="86"/>
              <w:jc w:val="center"/>
              <w:rPr>
                <w:sz w:val="24"/>
              </w:rPr>
            </w:pPr>
            <w:r>
              <w:rPr>
                <w:spacing w:val="-4"/>
                <w:sz w:val="24"/>
              </w:rPr>
              <w:t>Name</w:t>
            </w:r>
          </w:p>
        </w:tc>
        <w:tc>
          <w:tcPr>
            <w:tcW w:w="3128" w:type="dxa"/>
            <w:vMerge/>
            <w:tcBorders>
              <w:top w:val="nil"/>
            </w:tcBorders>
            <w:shd w:val="clear" w:color="auto" w:fill="EDEBE0"/>
          </w:tcPr>
          <w:p>
            <w:pPr>
              <w:rPr>
                <w:sz w:val="2"/>
                <w:szCs w:val="2"/>
              </w:rPr>
            </w:pPr>
          </w:p>
        </w:tc>
      </w:tr>
      <w:tr>
        <w:trPr>
          <w:trHeight w:val="2261" w:hRule="atLeast"/>
        </w:trPr>
        <w:tc>
          <w:tcPr>
            <w:tcW w:w="742" w:type="dxa"/>
          </w:tcPr>
          <w:p>
            <w:pPr>
              <w:pStyle w:val="TableParagraph"/>
              <w:rPr>
                <w:b/>
                <w:sz w:val="24"/>
              </w:rPr>
            </w:pPr>
          </w:p>
          <w:p>
            <w:pPr>
              <w:pStyle w:val="TableParagraph"/>
              <w:rPr>
                <w:b/>
                <w:sz w:val="24"/>
              </w:rPr>
            </w:pPr>
          </w:p>
          <w:p>
            <w:pPr>
              <w:pStyle w:val="TableParagraph"/>
              <w:spacing w:before="142"/>
              <w:rPr>
                <w:b/>
                <w:sz w:val="24"/>
              </w:rPr>
            </w:pPr>
          </w:p>
          <w:p>
            <w:pPr>
              <w:pStyle w:val="TableParagraph"/>
              <w:ind w:left="7"/>
              <w:jc w:val="center"/>
              <w:rPr>
                <w:sz w:val="24"/>
              </w:rPr>
            </w:pPr>
            <w:r>
              <w:rPr>
                <w:spacing w:val="-10"/>
                <w:sz w:val="24"/>
              </w:rPr>
              <w:t>5</w:t>
            </w:r>
          </w:p>
        </w:tc>
        <w:tc>
          <w:tcPr>
            <w:tcW w:w="1589" w:type="dxa"/>
            <w:vMerge w:val="restart"/>
            <w:tcBorders>
              <w:top w:val="nil"/>
            </w:tcBorders>
          </w:tcPr>
          <w:p>
            <w:pPr>
              <w:pStyle w:val="TableParagraph"/>
              <w:rPr>
                <w:rFonts w:ascii="Times New Roman"/>
                <w:sz w:val="22"/>
              </w:rPr>
            </w:pPr>
          </w:p>
        </w:tc>
        <w:tc>
          <w:tcPr>
            <w:tcW w:w="1227" w:type="dxa"/>
          </w:tcPr>
          <w:p>
            <w:pPr>
              <w:pStyle w:val="TableParagraph"/>
              <w:rPr>
                <w:b/>
                <w:sz w:val="24"/>
              </w:rPr>
            </w:pPr>
          </w:p>
          <w:p>
            <w:pPr>
              <w:pStyle w:val="TableParagraph"/>
              <w:rPr>
                <w:b/>
                <w:sz w:val="24"/>
              </w:rPr>
            </w:pPr>
          </w:p>
          <w:p>
            <w:pPr>
              <w:pStyle w:val="TableParagraph"/>
              <w:spacing w:before="142"/>
              <w:rPr>
                <w:b/>
                <w:sz w:val="24"/>
              </w:rPr>
            </w:pPr>
          </w:p>
          <w:p>
            <w:pPr>
              <w:pStyle w:val="TableParagraph"/>
              <w:ind w:left="116" w:right="110"/>
              <w:jc w:val="center"/>
              <w:rPr>
                <w:sz w:val="24"/>
              </w:rPr>
            </w:pPr>
            <w:r>
              <w:rPr>
                <w:spacing w:val="-2"/>
                <w:sz w:val="24"/>
              </w:rPr>
              <w:t>RE3.1</w:t>
            </w:r>
          </w:p>
        </w:tc>
        <w:tc>
          <w:tcPr>
            <w:tcW w:w="2948" w:type="dxa"/>
          </w:tcPr>
          <w:p>
            <w:pPr>
              <w:pStyle w:val="TableParagraph"/>
              <w:rPr>
                <w:b/>
                <w:sz w:val="24"/>
              </w:rPr>
            </w:pPr>
          </w:p>
          <w:p>
            <w:pPr>
              <w:pStyle w:val="TableParagraph"/>
              <w:rPr>
                <w:b/>
                <w:sz w:val="24"/>
              </w:rPr>
            </w:pPr>
          </w:p>
          <w:p>
            <w:pPr>
              <w:pStyle w:val="TableParagraph"/>
              <w:spacing w:before="142"/>
              <w:rPr>
                <w:b/>
                <w:sz w:val="24"/>
              </w:rPr>
            </w:pPr>
          </w:p>
          <w:p>
            <w:pPr>
              <w:pStyle w:val="TableParagraph"/>
              <w:ind w:left="94" w:right="86"/>
              <w:jc w:val="center"/>
              <w:rPr>
                <w:sz w:val="24"/>
              </w:rPr>
            </w:pPr>
            <w:r>
              <w:rPr>
                <w:sz w:val="24"/>
              </w:rPr>
              <w:t>Other </w:t>
            </w:r>
            <w:r>
              <w:rPr>
                <w:spacing w:val="-2"/>
                <w:sz w:val="24"/>
              </w:rPr>
              <w:t>Education</w:t>
            </w:r>
          </w:p>
        </w:tc>
        <w:tc>
          <w:tcPr>
            <w:tcW w:w="3128" w:type="dxa"/>
          </w:tcPr>
          <w:p>
            <w:pPr>
              <w:pStyle w:val="TableParagraph"/>
              <w:spacing w:before="95"/>
              <w:ind w:left="203" w:right="152" w:hanging="84"/>
              <w:jc w:val="center"/>
              <w:rPr>
                <w:sz w:val="24"/>
              </w:rPr>
            </w:pPr>
            <w:r>
              <w:rPr>
                <w:sz w:val="24"/>
              </w:rPr>
              <w:t>Higher &amp; Technical Education</w:t>
            </w:r>
            <w:r>
              <w:rPr>
                <w:spacing w:val="-20"/>
                <w:sz w:val="24"/>
              </w:rPr>
              <w:t> </w:t>
            </w:r>
            <w:r>
              <w:rPr>
                <w:sz w:val="24"/>
              </w:rPr>
              <w:t>Department, </w:t>
            </w:r>
            <w:r>
              <w:rPr>
                <w:spacing w:val="-4"/>
                <w:sz w:val="24"/>
              </w:rPr>
              <w:t>GOM</w:t>
            </w:r>
          </w:p>
          <w:p>
            <w:pPr>
              <w:pStyle w:val="TableParagraph"/>
              <w:spacing w:before="95"/>
              <w:ind w:left="467" w:right="416" w:hanging="12"/>
              <w:jc w:val="both"/>
              <w:rPr>
                <w:sz w:val="24"/>
              </w:rPr>
            </w:pPr>
            <w:r>
              <w:rPr>
                <w:sz w:val="24"/>
              </w:rPr>
              <w:t>(In case of Medical College - Medical Education &amp; Drug Department, </w:t>
            </w:r>
            <w:r>
              <w:rPr>
                <w:spacing w:val="-4"/>
                <w:sz w:val="24"/>
              </w:rPr>
              <w:t>GOM)</w:t>
            </w:r>
          </w:p>
        </w:tc>
      </w:tr>
      <w:tr>
        <w:trPr>
          <w:trHeight w:val="1036" w:hRule="atLeast"/>
        </w:trPr>
        <w:tc>
          <w:tcPr>
            <w:tcW w:w="742" w:type="dxa"/>
          </w:tcPr>
          <w:p>
            <w:pPr>
              <w:pStyle w:val="TableParagraph"/>
              <w:spacing w:before="94"/>
              <w:rPr>
                <w:b/>
                <w:sz w:val="24"/>
              </w:rPr>
            </w:pPr>
          </w:p>
          <w:p>
            <w:pPr>
              <w:pStyle w:val="TableParagraph"/>
              <w:ind w:left="7"/>
              <w:jc w:val="center"/>
              <w:rPr>
                <w:sz w:val="24"/>
              </w:rPr>
            </w:pPr>
            <w:r>
              <w:rPr>
                <w:spacing w:val="-10"/>
                <w:sz w:val="24"/>
              </w:rPr>
              <w:t>6</w:t>
            </w:r>
          </w:p>
        </w:tc>
        <w:tc>
          <w:tcPr>
            <w:tcW w:w="1589" w:type="dxa"/>
            <w:vMerge/>
            <w:tcBorders>
              <w:top w:val="nil"/>
            </w:tcBorders>
          </w:tcPr>
          <w:p>
            <w:pPr>
              <w:rPr>
                <w:sz w:val="2"/>
                <w:szCs w:val="2"/>
              </w:rPr>
            </w:pPr>
          </w:p>
        </w:tc>
        <w:tc>
          <w:tcPr>
            <w:tcW w:w="1227" w:type="dxa"/>
          </w:tcPr>
          <w:p>
            <w:pPr>
              <w:pStyle w:val="TableParagraph"/>
              <w:spacing w:before="94"/>
              <w:rPr>
                <w:b/>
                <w:sz w:val="24"/>
              </w:rPr>
            </w:pPr>
          </w:p>
          <w:p>
            <w:pPr>
              <w:pStyle w:val="TableParagraph"/>
              <w:ind w:left="116" w:right="110"/>
              <w:jc w:val="center"/>
              <w:rPr>
                <w:sz w:val="24"/>
              </w:rPr>
            </w:pPr>
            <w:r>
              <w:rPr>
                <w:sz w:val="24"/>
              </w:rPr>
              <w:t>RE</w:t>
            </w:r>
            <w:r>
              <w:rPr>
                <w:spacing w:val="-1"/>
                <w:sz w:val="24"/>
              </w:rPr>
              <w:t> </w:t>
            </w:r>
            <w:r>
              <w:rPr>
                <w:spacing w:val="-5"/>
                <w:sz w:val="24"/>
              </w:rPr>
              <w:t>4.1</w:t>
            </w:r>
          </w:p>
        </w:tc>
        <w:tc>
          <w:tcPr>
            <w:tcW w:w="2948" w:type="dxa"/>
          </w:tcPr>
          <w:p>
            <w:pPr>
              <w:pStyle w:val="TableParagraph"/>
              <w:spacing w:before="236"/>
              <w:ind w:left="993" w:right="106" w:hanging="428"/>
              <w:rPr>
                <w:sz w:val="24"/>
              </w:rPr>
            </w:pPr>
            <w:r>
              <w:rPr>
                <w:sz w:val="24"/>
              </w:rPr>
              <w:t>Urban</w:t>
            </w:r>
            <w:r>
              <w:rPr>
                <w:spacing w:val="-20"/>
                <w:sz w:val="24"/>
              </w:rPr>
              <w:t> </w:t>
            </w:r>
            <w:r>
              <w:rPr>
                <w:sz w:val="24"/>
              </w:rPr>
              <w:t>Planning </w:t>
            </w:r>
            <w:r>
              <w:rPr>
                <w:spacing w:val="-2"/>
                <w:sz w:val="24"/>
              </w:rPr>
              <w:t>Institute</w:t>
            </w:r>
          </w:p>
        </w:tc>
        <w:tc>
          <w:tcPr>
            <w:tcW w:w="3128" w:type="dxa"/>
          </w:tcPr>
          <w:p>
            <w:pPr>
              <w:pStyle w:val="TableParagraph"/>
              <w:spacing w:before="95"/>
              <w:ind w:left="203" w:right="152" w:hanging="84"/>
              <w:jc w:val="center"/>
              <w:rPr>
                <w:sz w:val="24"/>
              </w:rPr>
            </w:pPr>
            <w:r>
              <w:rPr>
                <w:sz w:val="24"/>
              </w:rPr>
              <w:t>Higher &amp; Technical Education</w:t>
            </w:r>
            <w:r>
              <w:rPr>
                <w:spacing w:val="-20"/>
                <w:sz w:val="24"/>
              </w:rPr>
              <w:t> </w:t>
            </w:r>
            <w:r>
              <w:rPr>
                <w:sz w:val="24"/>
              </w:rPr>
              <w:t>Department, </w:t>
            </w:r>
            <w:r>
              <w:rPr>
                <w:spacing w:val="-4"/>
                <w:sz w:val="24"/>
              </w:rPr>
              <w:t>GOM</w:t>
            </w:r>
          </w:p>
        </w:tc>
      </w:tr>
      <w:tr>
        <w:trPr>
          <w:trHeight w:val="1036" w:hRule="atLeast"/>
        </w:trPr>
        <w:tc>
          <w:tcPr>
            <w:tcW w:w="742" w:type="dxa"/>
          </w:tcPr>
          <w:p>
            <w:pPr>
              <w:pStyle w:val="TableParagraph"/>
              <w:spacing w:before="96"/>
              <w:rPr>
                <w:b/>
                <w:sz w:val="24"/>
              </w:rPr>
            </w:pPr>
          </w:p>
          <w:p>
            <w:pPr>
              <w:pStyle w:val="TableParagraph"/>
              <w:ind w:left="7"/>
              <w:jc w:val="center"/>
              <w:rPr>
                <w:sz w:val="24"/>
              </w:rPr>
            </w:pPr>
            <w:r>
              <w:rPr>
                <w:spacing w:val="-10"/>
                <w:sz w:val="24"/>
              </w:rPr>
              <w:t>7</w:t>
            </w:r>
          </w:p>
        </w:tc>
        <w:tc>
          <w:tcPr>
            <w:tcW w:w="1589" w:type="dxa"/>
            <w:vMerge/>
            <w:tcBorders>
              <w:top w:val="nil"/>
            </w:tcBorders>
          </w:tcPr>
          <w:p>
            <w:pPr>
              <w:rPr>
                <w:sz w:val="2"/>
                <w:szCs w:val="2"/>
              </w:rPr>
            </w:pPr>
          </w:p>
        </w:tc>
        <w:tc>
          <w:tcPr>
            <w:tcW w:w="1227" w:type="dxa"/>
          </w:tcPr>
          <w:p>
            <w:pPr>
              <w:pStyle w:val="TableParagraph"/>
              <w:spacing w:before="96"/>
              <w:rPr>
                <w:b/>
                <w:sz w:val="24"/>
              </w:rPr>
            </w:pPr>
          </w:p>
          <w:p>
            <w:pPr>
              <w:pStyle w:val="TableParagraph"/>
              <w:ind w:left="116" w:right="110"/>
              <w:jc w:val="center"/>
              <w:rPr>
                <w:sz w:val="24"/>
              </w:rPr>
            </w:pPr>
            <w:r>
              <w:rPr>
                <w:sz w:val="24"/>
              </w:rPr>
              <w:t>RE</w:t>
            </w:r>
            <w:r>
              <w:rPr>
                <w:spacing w:val="-1"/>
                <w:sz w:val="24"/>
              </w:rPr>
              <w:t> </w:t>
            </w:r>
            <w:r>
              <w:rPr>
                <w:spacing w:val="-5"/>
                <w:sz w:val="24"/>
              </w:rPr>
              <w:t>4.2</w:t>
            </w:r>
          </w:p>
        </w:tc>
        <w:tc>
          <w:tcPr>
            <w:tcW w:w="2948" w:type="dxa"/>
          </w:tcPr>
          <w:p>
            <w:pPr>
              <w:pStyle w:val="TableParagraph"/>
              <w:spacing w:before="96"/>
              <w:rPr>
                <w:b/>
                <w:sz w:val="24"/>
              </w:rPr>
            </w:pPr>
          </w:p>
          <w:p>
            <w:pPr>
              <w:pStyle w:val="TableParagraph"/>
              <w:ind w:left="49"/>
              <w:jc w:val="center"/>
              <w:rPr>
                <w:sz w:val="24"/>
              </w:rPr>
            </w:pPr>
            <w:r>
              <w:rPr>
                <w:sz w:val="24"/>
              </w:rPr>
              <w:t>Medical </w:t>
            </w:r>
            <w:r>
              <w:rPr>
                <w:spacing w:val="-2"/>
                <w:sz w:val="24"/>
              </w:rPr>
              <w:t>Institute</w:t>
            </w:r>
          </w:p>
        </w:tc>
        <w:tc>
          <w:tcPr>
            <w:tcW w:w="3128" w:type="dxa"/>
          </w:tcPr>
          <w:p>
            <w:pPr>
              <w:pStyle w:val="TableParagraph"/>
              <w:spacing w:before="95"/>
              <w:ind w:left="421" w:right="532" w:firstLine="108"/>
              <w:rPr>
                <w:sz w:val="24"/>
              </w:rPr>
            </w:pPr>
            <w:r>
              <w:rPr>
                <w:spacing w:val="-2"/>
                <w:sz w:val="24"/>
              </w:rPr>
              <w:t>MCGM/Medical </w:t>
            </w:r>
            <w:r>
              <w:rPr>
                <w:sz w:val="24"/>
              </w:rPr>
              <w:t>Education</w:t>
            </w:r>
            <w:r>
              <w:rPr>
                <w:spacing w:val="-9"/>
                <w:sz w:val="24"/>
              </w:rPr>
              <w:t> </w:t>
            </w:r>
            <w:r>
              <w:rPr>
                <w:sz w:val="24"/>
              </w:rPr>
              <w:t>&amp;</w:t>
            </w:r>
            <w:r>
              <w:rPr>
                <w:spacing w:val="-9"/>
                <w:sz w:val="24"/>
              </w:rPr>
              <w:t> </w:t>
            </w:r>
            <w:r>
              <w:rPr>
                <w:sz w:val="24"/>
              </w:rPr>
              <w:t>Drug Department, </w:t>
            </w:r>
            <w:r>
              <w:rPr>
                <w:spacing w:val="-5"/>
                <w:sz w:val="24"/>
              </w:rPr>
              <w:t>GOM</w:t>
            </w:r>
          </w:p>
        </w:tc>
      </w:tr>
      <w:tr>
        <w:trPr>
          <w:trHeight w:val="1038" w:hRule="atLeast"/>
        </w:trPr>
        <w:tc>
          <w:tcPr>
            <w:tcW w:w="742" w:type="dxa"/>
          </w:tcPr>
          <w:p>
            <w:pPr>
              <w:pStyle w:val="TableParagraph"/>
              <w:spacing w:before="96"/>
              <w:rPr>
                <w:b/>
                <w:sz w:val="24"/>
              </w:rPr>
            </w:pPr>
          </w:p>
          <w:p>
            <w:pPr>
              <w:pStyle w:val="TableParagraph"/>
              <w:ind w:left="7"/>
              <w:jc w:val="center"/>
              <w:rPr>
                <w:sz w:val="24"/>
              </w:rPr>
            </w:pPr>
            <w:r>
              <w:rPr>
                <w:spacing w:val="-10"/>
                <w:sz w:val="24"/>
              </w:rPr>
              <w:t>8</w:t>
            </w:r>
          </w:p>
        </w:tc>
        <w:tc>
          <w:tcPr>
            <w:tcW w:w="1589" w:type="dxa"/>
            <w:vMerge/>
            <w:tcBorders>
              <w:top w:val="nil"/>
            </w:tcBorders>
          </w:tcPr>
          <w:p>
            <w:pPr>
              <w:rPr>
                <w:sz w:val="2"/>
                <w:szCs w:val="2"/>
              </w:rPr>
            </w:pPr>
          </w:p>
        </w:tc>
        <w:tc>
          <w:tcPr>
            <w:tcW w:w="1227" w:type="dxa"/>
          </w:tcPr>
          <w:p>
            <w:pPr>
              <w:pStyle w:val="TableParagraph"/>
              <w:spacing w:before="96"/>
              <w:rPr>
                <w:b/>
                <w:sz w:val="24"/>
              </w:rPr>
            </w:pPr>
          </w:p>
          <w:p>
            <w:pPr>
              <w:pStyle w:val="TableParagraph"/>
              <w:ind w:left="116" w:right="110"/>
              <w:jc w:val="center"/>
              <w:rPr>
                <w:sz w:val="24"/>
              </w:rPr>
            </w:pPr>
            <w:r>
              <w:rPr>
                <w:sz w:val="24"/>
              </w:rPr>
              <w:t>RE</w:t>
            </w:r>
            <w:r>
              <w:rPr>
                <w:spacing w:val="-1"/>
                <w:sz w:val="24"/>
              </w:rPr>
              <w:t> </w:t>
            </w:r>
            <w:r>
              <w:rPr>
                <w:spacing w:val="-5"/>
                <w:sz w:val="24"/>
              </w:rPr>
              <w:t>4.3</w:t>
            </w:r>
          </w:p>
        </w:tc>
        <w:tc>
          <w:tcPr>
            <w:tcW w:w="2948" w:type="dxa"/>
          </w:tcPr>
          <w:p>
            <w:pPr>
              <w:pStyle w:val="TableParagraph"/>
              <w:spacing w:before="96"/>
              <w:rPr>
                <w:b/>
                <w:sz w:val="24"/>
              </w:rPr>
            </w:pPr>
          </w:p>
          <w:p>
            <w:pPr>
              <w:pStyle w:val="TableParagraph"/>
              <w:ind w:left="49"/>
              <w:jc w:val="center"/>
              <w:rPr>
                <w:sz w:val="24"/>
              </w:rPr>
            </w:pPr>
            <w:r>
              <w:rPr>
                <w:sz w:val="24"/>
              </w:rPr>
              <w:t>Financial </w:t>
            </w:r>
            <w:r>
              <w:rPr>
                <w:spacing w:val="-2"/>
                <w:sz w:val="24"/>
              </w:rPr>
              <w:t>Institute</w:t>
            </w:r>
          </w:p>
        </w:tc>
        <w:tc>
          <w:tcPr>
            <w:tcW w:w="3128" w:type="dxa"/>
          </w:tcPr>
          <w:p>
            <w:pPr>
              <w:pStyle w:val="TableParagraph"/>
              <w:spacing w:before="97"/>
              <w:ind w:left="203" w:right="152" w:hanging="84"/>
              <w:jc w:val="center"/>
              <w:rPr>
                <w:sz w:val="24"/>
              </w:rPr>
            </w:pPr>
            <w:r>
              <w:rPr>
                <w:sz w:val="24"/>
              </w:rPr>
              <w:t>Higher &amp; Technical Education</w:t>
            </w:r>
            <w:r>
              <w:rPr>
                <w:spacing w:val="-20"/>
                <w:sz w:val="24"/>
              </w:rPr>
              <w:t> </w:t>
            </w:r>
            <w:r>
              <w:rPr>
                <w:sz w:val="24"/>
              </w:rPr>
              <w:t>Department, </w:t>
            </w:r>
            <w:r>
              <w:rPr>
                <w:spacing w:val="-4"/>
                <w:sz w:val="24"/>
              </w:rPr>
              <w:t>GOM</w:t>
            </w:r>
          </w:p>
        </w:tc>
      </w:tr>
      <w:tr>
        <w:trPr>
          <w:trHeight w:val="1036" w:hRule="atLeast"/>
        </w:trPr>
        <w:tc>
          <w:tcPr>
            <w:tcW w:w="742" w:type="dxa"/>
          </w:tcPr>
          <w:p>
            <w:pPr>
              <w:pStyle w:val="TableParagraph"/>
              <w:spacing w:before="94"/>
              <w:rPr>
                <w:b/>
                <w:sz w:val="24"/>
              </w:rPr>
            </w:pPr>
          </w:p>
          <w:p>
            <w:pPr>
              <w:pStyle w:val="TableParagraph"/>
              <w:ind w:left="7"/>
              <w:jc w:val="center"/>
              <w:rPr>
                <w:sz w:val="24"/>
              </w:rPr>
            </w:pPr>
            <w:r>
              <w:rPr>
                <w:spacing w:val="-10"/>
                <w:sz w:val="24"/>
              </w:rPr>
              <w:t>9</w:t>
            </w:r>
          </w:p>
        </w:tc>
        <w:tc>
          <w:tcPr>
            <w:tcW w:w="1589" w:type="dxa"/>
            <w:vMerge/>
            <w:tcBorders>
              <w:top w:val="nil"/>
            </w:tcBorders>
          </w:tcPr>
          <w:p>
            <w:pPr>
              <w:rPr>
                <w:sz w:val="2"/>
                <w:szCs w:val="2"/>
              </w:rPr>
            </w:pPr>
          </w:p>
        </w:tc>
        <w:tc>
          <w:tcPr>
            <w:tcW w:w="1227" w:type="dxa"/>
          </w:tcPr>
          <w:p>
            <w:pPr>
              <w:pStyle w:val="TableParagraph"/>
              <w:spacing w:before="94"/>
              <w:rPr>
                <w:b/>
                <w:sz w:val="24"/>
              </w:rPr>
            </w:pPr>
          </w:p>
          <w:p>
            <w:pPr>
              <w:pStyle w:val="TableParagraph"/>
              <w:ind w:left="116" w:right="110"/>
              <w:jc w:val="center"/>
              <w:rPr>
                <w:sz w:val="24"/>
              </w:rPr>
            </w:pPr>
            <w:r>
              <w:rPr>
                <w:sz w:val="24"/>
              </w:rPr>
              <w:t>RE</w:t>
            </w:r>
            <w:r>
              <w:rPr>
                <w:spacing w:val="-1"/>
                <w:sz w:val="24"/>
              </w:rPr>
              <w:t> </w:t>
            </w:r>
            <w:r>
              <w:rPr>
                <w:spacing w:val="-5"/>
                <w:sz w:val="24"/>
              </w:rPr>
              <w:t>4.4</w:t>
            </w:r>
          </w:p>
        </w:tc>
        <w:tc>
          <w:tcPr>
            <w:tcW w:w="2948" w:type="dxa"/>
          </w:tcPr>
          <w:p>
            <w:pPr>
              <w:pStyle w:val="TableParagraph"/>
              <w:spacing w:before="94"/>
              <w:rPr>
                <w:b/>
                <w:sz w:val="24"/>
              </w:rPr>
            </w:pPr>
          </w:p>
          <w:p>
            <w:pPr>
              <w:pStyle w:val="TableParagraph"/>
              <w:ind w:left="94" w:right="84"/>
              <w:jc w:val="center"/>
              <w:rPr>
                <w:sz w:val="24"/>
              </w:rPr>
            </w:pPr>
            <w:r>
              <w:rPr>
                <w:sz w:val="24"/>
              </w:rPr>
              <w:t>Other </w:t>
            </w:r>
            <w:r>
              <w:rPr>
                <w:spacing w:val="-2"/>
                <w:sz w:val="24"/>
              </w:rPr>
              <w:t>Institutes</w:t>
            </w:r>
          </w:p>
        </w:tc>
        <w:tc>
          <w:tcPr>
            <w:tcW w:w="3128" w:type="dxa"/>
          </w:tcPr>
          <w:p>
            <w:pPr>
              <w:pStyle w:val="TableParagraph"/>
              <w:spacing w:before="95"/>
              <w:ind w:left="181" w:right="174" w:firstLine="2"/>
              <w:jc w:val="center"/>
              <w:rPr>
                <w:sz w:val="24"/>
              </w:rPr>
            </w:pPr>
            <w:r>
              <w:rPr>
                <w:sz w:val="24"/>
              </w:rPr>
              <w:t>Higher &amp; Technical Education</w:t>
            </w:r>
            <w:r>
              <w:rPr>
                <w:spacing w:val="-20"/>
                <w:sz w:val="24"/>
              </w:rPr>
              <w:t> </w:t>
            </w:r>
            <w:r>
              <w:rPr>
                <w:sz w:val="24"/>
              </w:rPr>
              <w:t>Department, </w:t>
            </w:r>
            <w:r>
              <w:rPr>
                <w:spacing w:val="-4"/>
                <w:sz w:val="24"/>
              </w:rPr>
              <w:t>GOM</w:t>
            </w:r>
          </w:p>
        </w:tc>
      </w:tr>
      <w:tr>
        <w:trPr>
          <w:trHeight w:val="563" w:hRule="atLeast"/>
        </w:trPr>
        <w:tc>
          <w:tcPr>
            <w:tcW w:w="742" w:type="dxa"/>
          </w:tcPr>
          <w:p>
            <w:pPr>
              <w:pStyle w:val="TableParagraph"/>
              <w:spacing w:before="140"/>
              <w:ind w:left="7"/>
              <w:jc w:val="center"/>
              <w:rPr>
                <w:sz w:val="24"/>
              </w:rPr>
            </w:pPr>
            <w:r>
              <w:rPr>
                <w:spacing w:val="-5"/>
                <w:sz w:val="24"/>
              </w:rPr>
              <w:t>10</w:t>
            </w:r>
          </w:p>
        </w:tc>
        <w:tc>
          <w:tcPr>
            <w:tcW w:w="1589" w:type="dxa"/>
            <w:vMerge w:val="restart"/>
            <w:textDirection w:val="btLr"/>
          </w:tcPr>
          <w:p>
            <w:pPr>
              <w:pStyle w:val="TableParagraph"/>
              <w:spacing w:before="130"/>
              <w:rPr>
                <w:b/>
                <w:sz w:val="24"/>
              </w:rPr>
            </w:pPr>
          </w:p>
          <w:p>
            <w:pPr>
              <w:pStyle w:val="TableParagraph"/>
              <w:ind w:right="3"/>
              <w:jc w:val="center"/>
              <w:rPr>
                <w:sz w:val="24"/>
              </w:rPr>
            </w:pPr>
            <w:r>
              <w:rPr>
                <w:spacing w:val="-2"/>
                <w:sz w:val="24"/>
              </w:rPr>
              <w:t>Health</w:t>
            </w:r>
          </w:p>
        </w:tc>
        <w:tc>
          <w:tcPr>
            <w:tcW w:w="1227" w:type="dxa"/>
          </w:tcPr>
          <w:p>
            <w:pPr>
              <w:pStyle w:val="TableParagraph"/>
              <w:spacing w:line="281" w:lineRule="exact"/>
              <w:ind w:left="116" w:right="110"/>
              <w:jc w:val="center"/>
              <w:rPr>
                <w:sz w:val="24"/>
              </w:rPr>
            </w:pPr>
            <w:r>
              <w:rPr>
                <w:spacing w:val="-2"/>
                <w:sz w:val="24"/>
              </w:rPr>
              <w:t>RH1.1</w:t>
            </w:r>
          </w:p>
        </w:tc>
        <w:tc>
          <w:tcPr>
            <w:tcW w:w="2948" w:type="dxa"/>
          </w:tcPr>
          <w:p>
            <w:pPr>
              <w:pStyle w:val="TableParagraph"/>
              <w:spacing w:line="281" w:lineRule="exact"/>
              <w:ind w:left="94" w:right="86"/>
              <w:jc w:val="center"/>
              <w:rPr>
                <w:sz w:val="24"/>
              </w:rPr>
            </w:pPr>
            <w:r>
              <w:rPr>
                <w:sz w:val="24"/>
              </w:rPr>
              <w:t>Municipal </w:t>
            </w:r>
            <w:r>
              <w:rPr>
                <w:spacing w:val="-2"/>
                <w:sz w:val="24"/>
              </w:rPr>
              <w:t>Dispensary/</w:t>
            </w:r>
          </w:p>
          <w:p>
            <w:pPr>
              <w:pStyle w:val="TableParagraph"/>
              <w:spacing w:line="261" w:lineRule="exact" w:before="1"/>
              <w:ind w:left="94" w:right="86"/>
              <w:jc w:val="center"/>
              <w:rPr>
                <w:sz w:val="24"/>
              </w:rPr>
            </w:pPr>
            <w:r>
              <w:rPr>
                <w:sz w:val="24"/>
              </w:rPr>
              <w:t>Health</w:t>
            </w:r>
            <w:r>
              <w:rPr>
                <w:spacing w:val="-5"/>
                <w:sz w:val="24"/>
              </w:rPr>
              <w:t> </w:t>
            </w:r>
            <w:r>
              <w:rPr>
                <w:spacing w:val="-4"/>
                <w:sz w:val="24"/>
              </w:rPr>
              <w:t>Post</w:t>
            </w:r>
          </w:p>
        </w:tc>
        <w:tc>
          <w:tcPr>
            <w:tcW w:w="3128" w:type="dxa"/>
          </w:tcPr>
          <w:p>
            <w:pPr>
              <w:pStyle w:val="TableParagraph"/>
              <w:spacing w:before="140"/>
              <w:ind w:left="83" w:right="78"/>
              <w:jc w:val="center"/>
              <w:rPr>
                <w:sz w:val="24"/>
              </w:rPr>
            </w:pPr>
            <w:r>
              <w:rPr>
                <w:spacing w:val="-4"/>
                <w:sz w:val="24"/>
              </w:rPr>
              <w:t>MCGM</w:t>
            </w:r>
          </w:p>
        </w:tc>
      </w:tr>
      <w:tr>
        <w:trPr>
          <w:trHeight w:val="1600" w:hRule="atLeast"/>
        </w:trPr>
        <w:tc>
          <w:tcPr>
            <w:tcW w:w="742" w:type="dxa"/>
          </w:tcPr>
          <w:p>
            <w:pPr>
              <w:pStyle w:val="TableParagraph"/>
              <w:rPr>
                <w:b/>
                <w:sz w:val="24"/>
              </w:rPr>
            </w:pPr>
          </w:p>
          <w:p>
            <w:pPr>
              <w:pStyle w:val="TableParagraph"/>
              <w:spacing w:before="95"/>
              <w:rPr>
                <w:b/>
                <w:sz w:val="24"/>
              </w:rPr>
            </w:pPr>
          </w:p>
          <w:p>
            <w:pPr>
              <w:pStyle w:val="TableParagraph"/>
              <w:ind w:left="7"/>
              <w:jc w:val="center"/>
              <w:rPr>
                <w:sz w:val="24"/>
              </w:rPr>
            </w:pPr>
            <w:r>
              <w:rPr>
                <w:spacing w:val="-5"/>
                <w:sz w:val="24"/>
              </w:rPr>
              <w:t>11</w:t>
            </w:r>
          </w:p>
        </w:tc>
        <w:tc>
          <w:tcPr>
            <w:tcW w:w="1589" w:type="dxa"/>
            <w:vMerge/>
            <w:tcBorders>
              <w:top w:val="nil"/>
            </w:tcBorders>
            <w:textDirection w:val="btLr"/>
          </w:tcPr>
          <w:p>
            <w:pPr>
              <w:rPr>
                <w:sz w:val="2"/>
                <w:szCs w:val="2"/>
              </w:rPr>
            </w:pPr>
          </w:p>
        </w:tc>
        <w:tc>
          <w:tcPr>
            <w:tcW w:w="1227" w:type="dxa"/>
          </w:tcPr>
          <w:p>
            <w:pPr>
              <w:pStyle w:val="TableParagraph"/>
              <w:spacing w:before="235"/>
              <w:rPr>
                <w:b/>
                <w:sz w:val="24"/>
              </w:rPr>
            </w:pPr>
          </w:p>
          <w:p>
            <w:pPr>
              <w:pStyle w:val="TableParagraph"/>
              <w:ind w:left="116" w:right="110"/>
              <w:jc w:val="center"/>
              <w:rPr>
                <w:sz w:val="24"/>
              </w:rPr>
            </w:pPr>
            <w:r>
              <w:rPr>
                <w:spacing w:val="-2"/>
                <w:sz w:val="24"/>
              </w:rPr>
              <w:t>RH1.2</w:t>
            </w:r>
          </w:p>
        </w:tc>
        <w:tc>
          <w:tcPr>
            <w:tcW w:w="2948" w:type="dxa"/>
          </w:tcPr>
          <w:p>
            <w:pPr>
              <w:pStyle w:val="TableParagraph"/>
              <w:rPr>
                <w:b/>
                <w:sz w:val="24"/>
              </w:rPr>
            </w:pPr>
          </w:p>
          <w:p>
            <w:pPr>
              <w:pStyle w:val="TableParagraph"/>
              <w:spacing w:before="95"/>
              <w:rPr>
                <w:b/>
                <w:sz w:val="24"/>
              </w:rPr>
            </w:pPr>
          </w:p>
          <w:p>
            <w:pPr>
              <w:pStyle w:val="TableParagraph"/>
              <w:ind w:left="94" w:right="86"/>
              <w:jc w:val="center"/>
              <w:rPr>
                <w:sz w:val="24"/>
              </w:rPr>
            </w:pPr>
            <w:r>
              <w:rPr>
                <w:spacing w:val="-2"/>
                <w:sz w:val="24"/>
              </w:rPr>
              <w:t>Hospital</w:t>
            </w:r>
          </w:p>
        </w:tc>
        <w:tc>
          <w:tcPr>
            <w:tcW w:w="3128" w:type="dxa"/>
          </w:tcPr>
          <w:p>
            <w:pPr>
              <w:pStyle w:val="TableParagraph"/>
              <w:spacing w:before="95"/>
              <w:ind w:left="83" w:right="75"/>
              <w:jc w:val="center"/>
              <w:rPr>
                <w:sz w:val="24"/>
              </w:rPr>
            </w:pPr>
            <w:r>
              <w:rPr>
                <w:sz w:val="24"/>
              </w:rPr>
              <w:t>MCGM/ Medical Education &amp; Drug Department,</w:t>
            </w:r>
            <w:r>
              <w:rPr>
                <w:spacing w:val="-19"/>
                <w:sz w:val="24"/>
              </w:rPr>
              <w:t> </w:t>
            </w:r>
            <w:r>
              <w:rPr>
                <w:sz w:val="24"/>
              </w:rPr>
              <w:t>GOM</w:t>
            </w:r>
            <w:r>
              <w:rPr>
                <w:spacing w:val="-19"/>
                <w:sz w:val="24"/>
              </w:rPr>
              <w:t> </w:t>
            </w:r>
            <w:r>
              <w:rPr>
                <w:sz w:val="24"/>
              </w:rPr>
              <w:t>/ Public Health Department, GOM</w:t>
            </w:r>
          </w:p>
        </w:tc>
      </w:tr>
      <w:tr>
        <w:trPr>
          <w:trHeight w:val="564" w:hRule="atLeast"/>
        </w:trPr>
        <w:tc>
          <w:tcPr>
            <w:tcW w:w="742" w:type="dxa"/>
          </w:tcPr>
          <w:p>
            <w:pPr>
              <w:pStyle w:val="TableParagraph"/>
              <w:spacing w:before="141"/>
              <w:ind w:left="7"/>
              <w:jc w:val="center"/>
              <w:rPr>
                <w:sz w:val="24"/>
              </w:rPr>
            </w:pPr>
            <w:r>
              <w:rPr>
                <w:spacing w:val="-5"/>
                <w:sz w:val="24"/>
              </w:rPr>
              <w:t>12</w:t>
            </w:r>
          </w:p>
        </w:tc>
        <w:tc>
          <w:tcPr>
            <w:tcW w:w="1589" w:type="dxa"/>
            <w:vMerge/>
            <w:tcBorders>
              <w:top w:val="nil"/>
            </w:tcBorders>
            <w:textDirection w:val="btLr"/>
          </w:tcPr>
          <w:p>
            <w:pPr>
              <w:rPr>
                <w:sz w:val="2"/>
                <w:szCs w:val="2"/>
              </w:rPr>
            </w:pPr>
          </w:p>
        </w:tc>
        <w:tc>
          <w:tcPr>
            <w:tcW w:w="1227" w:type="dxa"/>
          </w:tcPr>
          <w:p>
            <w:pPr>
              <w:pStyle w:val="TableParagraph"/>
              <w:spacing w:line="281" w:lineRule="exact"/>
              <w:ind w:left="116" w:right="110"/>
              <w:jc w:val="center"/>
              <w:rPr>
                <w:sz w:val="24"/>
              </w:rPr>
            </w:pPr>
            <w:r>
              <w:rPr>
                <w:spacing w:val="-2"/>
                <w:sz w:val="24"/>
              </w:rPr>
              <w:t>RH1.3</w:t>
            </w:r>
          </w:p>
        </w:tc>
        <w:tc>
          <w:tcPr>
            <w:tcW w:w="2948" w:type="dxa"/>
          </w:tcPr>
          <w:p>
            <w:pPr>
              <w:pStyle w:val="TableParagraph"/>
              <w:spacing w:line="281" w:lineRule="exact"/>
              <w:ind w:left="94" w:right="86"/>
              <w:jc w:val="center"/>
              <w:rPr>
                <w:sz w:val="24"/>
              </w:rPr>
            </w:pPr>
            <w:r>
              <w:rPr>
                <w:sz w:val="24"/>
              </w:rPr>
              <w:t>Municipal </w:t>
            </w:r>
            <w:r>
              <w:rPr>
                <w:spacing w:val="-2"/>
                <w:sz w:val="24"/>
              </w:rPr>
              <w:t>Maternity</w:t>
            </w:r>
          </w:p>
          <w:p>
            <w:pPr>
              <w:pStyle w:val="TableParagraph"/>
              <w:spacing w:line="261" w:lineRule="exact" w:before="1"/>
              <w:ind w:left="94" w:right="86"/>
              <w:jc w:val="center"/>
              <w:rPr>
                <w:sz w:val="24"/>
              </w:rPr>
            </w:pPr>
            <w:r>
              <w:rPr>
                <w:spacing w:val="-4"/>
                <w:sz w:val="24"/>
              </w:rPr>
              <w:t>Home</w:t>
            </w:r>
          </w:p>
        </w:tc>
        <w:tc>
          <w:tcPr>
            <w:tcW w:w="3128" w:type="dxa"/>
          </w:tcPr>
          <w:p>
            <w:pPr>
              <w:pStyle w:val="TableParagraph"/>
              <w:spacing w:before="141"/>
              <w:ind w:left="83" w:right="78"/>
              <w:jc w:val="center"/>
              <w:rPr>
                <w:sz w:val="24"/>
              </w:rPr>
            </w:pPr>
            <w:r>
              <w:rPr>
                <w:spacing w:val="-4"/>
                <w:sz w:val="24"/>
              </w:rPr>
              <w:t>MCGM</w:t>
            </w:r>
          </w:p>
        </w:tc>
      </w:tr>
      <w:tr>
        <w:trPr>
          <w:trHeight w:val="1036" w:hRule="atLeast"/>
        </w:trPr>
        <w:tc>
          <w:tcPr>
            <w:tcW w:w="742" w:type="dxa"/>
          </w:tcPr>
          <w:p>
            <w:pPr>
              <w:pStyle w:val="TableParagraph"/>
              <w:spacing w:before="94"/>
              <w:rPr>
                <w:b/>
                <w:sz w:val="24"/>
              </w:rPr>
            </w:pPr>
          </w:p>
          <w:p>
            <w:pPr>
              <w:pStyle w:val="TableParagraph"/>
              <w:ind w:left="7"/>
              <w:jc w:val="center"/>
              <w:rPr>
                <w:sz w:val="24"/>
              </w:rPr>
            </w:pPr>
            <w:r>
              <w:rPr>
                <w:spacing w:val="-5"/>
                <w:sz w:val="24"/>
              </w:rPr>
              <w:t>13</w:t>
            </w:r>
          </w:p>
        </w:tc>
        <w:tc>
          <w:tcPr>
            <w:tcW w:w="1589" w:type="dxa"/>
            <w:vMerge/>
            <w:tcBorders>
              <w:top w:val="nil"/>
            </w:tcBorders>
            <w:textDirection w:val="btLr"/>
          </w:tcPr>
          <w:p>
            <w:pPr>
              <w:rPr>
                <w:sz w:val="2"/>
                <w:szCs w:val="2"/>
              </w:rPr>
            </w:pPr>
          </w:p>
        </w:tc>
        <w:tc>
          <w:tcPr>
            <w:tcW w:w="1227" w:type="dxa"/>
          </w:tcPr>
          <w:p>
            <w:pPr>
              <w:pStyle w:val="TableParagraph"/>
              <w:spacing w:before="94"/>
              <w:rPr>
                <w:b/>
                <w:sz w:val="24"/>
              </w:rPr>
            </w:pPr>
          </w:p>
          <w:p>
            <w:pPr>
              <w:pStyle w:val="TableParagraph"/>
              <w:ind w:left="116" w:right="110"/>
              <w:jc w:val="center"/>
              <w:rPr>
                <w:sz w:val="24"/>
              </w:rPr>
            </w:pPr>
            <w:r>
              <w:rPr>
                <w:spacing w:val="-2"/>
                <w:sz w:val="24"/>
              </w:rPr>
              <w:t>RH3.1</w:t>
            </w:r>
          </w:p>
        </w:tc>
        <w:tc>
          <w:tcPr>
            <w:tcW w:w="2948" w:type="dxa"/>
          </w:tcPr>
          <w:p>
            <w:pPr>
              <w:pStyle w:val="TableParagraph"/>
              <w:spacing w:before="94"/>
              <w:rPr>
                <w:b/>
                <w:sz w:val="24"/>
              </w:rPr>
            </w:pPr>
          </w:p>
          <w:p>
            <w:pPr>
              <w:pStyle w:val="TableParagraph"/>
              <w:ind w:left="94"/>
              <w:jc w:val="center"/>
              <w:rPr>
                <w:sz w:val="24"/>
              </w:rPr>
            </w:pPr>
            <w:r>
              <w:rPr>
                <w:sz w:val="24"/>
              </w:rPr>
              <w:t>Rehabilitation</w:t>
            </w:r>
            <w:r>
              <w:rPr>
                <w:spacing w:val="-13"/>
                <w:sz w:val="24"/>
              </w:rPr>
              <w:t> </w:t>
            </w:r>
            <w:r>
              <w:rPr>
                <w:spacing w:val="-2"/>
                <w:sz w:val="24"/>
              </w:rPr>
              <w:t>Centre</w:t>
            </w:r>
          </w:p>
        </w:tc>
        <w:tc>
          <w:tcPr>
            <w:tcW w:w="3128" w:type="dxa"/>
          </w:tcPr>
          <w:p>
            <w:pPr>
              <w:pStyle w:val="TableParagraph"/>
              <w:spacing w:before="95"/>
              <w:ind w:left="217" w:right="210" w:hanging="1"/>
              <w:jc w:val="center"/>
              <w:rPr>
                <w:sz w:val="24"/>
              </w:rPr>
            </w:pPr>
            <w:r>
              <w:rPr>
                <w:sz w:val="24"/>
              </w:rPr>
              <w:t>MCGM/</w:t>
            </w:r>
            <w:r>
              <w:rPr>
                <w:spacing w:val="-2"/>
                <w:sz w:val="24"/>
              </w:rPr>
              <w:t> </w:t>
            </w:r>
            <w:r>
              <w:rPr>
                <w:sz w:val="24"/>
              </w:rPr>
              <w:t>Social</w:t>
            </w:r>
            <w:r>
              <w:rPr>
                <w:spacing w:val="-2"/>
                <w:sz w:val="24"/>
              </w:rPr>
              <w:t> </w:t>
            </w:r>
            <w:r>
              <w:rPr>
                <w:sz w:val="24"/>
              </w:rPr>
              <w:t>Justice and</w:t>
            </w:r>
            <w:r>
              <w:rPr>
                <w:spacing w:val="-19"/>
                <w:sz w:val="24"/>
              </w:rPr>
              <w:t> </w:t>
            </w:r>
            <w:r>
              <w:rPr>
                <w:sz w:val="24"/>
              </w:rPr>
              <w:t>Special</w:t>
            </w:r>
            <w:r>
              <w:rPr>
                <w:spacing w:val="-19"/>
                <w:sz w:val="24"/>
              </w:rPr>
              <w:t> </w:t>
            </w:r>
            <w:r>
              <w:rPr>
                <w:sz w:val="24"/>
              </w:rPr>
              <w:t>Assistance Department, GOM</w:t>
            </w:r>
          </w:p>
        </w:tc>
      </w:tr>
      <w:tr>
        <w:trPr>
          <w:trHeight w:val="1038" w:hRule="atLeast"/>
        </w:trPr>
        <w:tc>
          <w:tcPr>
            <w:tcW w:w="742" w:type="dxa"/>
          </w:tcPr>
          <w:p>
            <w:pPr>
              <w:pStyle w:val="TableParagraph"/>
              <w:spacing w:before="96"/>
              <w:rPr>
                <w:b/>
                <w:sz w:val="24"/>
              </w:rPr>
            </w:pPr>
          </w:p>
          <w:p>
            <w:pPr>
              <w:pStyle w:val="TableParagraph"/>
              <w:ind w:left="7"/>
              <w:jc w:val="center"/>
              <w:rPr>
                <w:sz w:val="24"/>
              </w:rPr>
            </w:pPr>
            <w:r>
              <w:rPr>
                <w:spacing w:val="-5"/>
                <w:sz w:val="24"/>
              </w:rPr>
              <w:t>14</w:t>
            </w:r>
          </w:p>
        </w:tc>
        <w:tc>
          <w:tcPr>
            <w:tcW w:w="1589" w:type="dxa"/>
            <w:vMerge/>
            <w:tcBorders>
              <w:top w:val="nil"/>
            </w:tcBorders>
            <w:textDirection w:val="btLr"/>
          </w:tcPr>
          <w:p>
            <w:pPr>
              <w:rPr>
                <w:sz w:val="2"/>
                <w:szCs w:val="2"/>
              </w:rPr>
            </w:pPr>
          </w:p>
        </w:tc>
        <w:tc>
          <w:tcPr>
            <w:tcW w:w="1227" w:type="dxa"/>
          </w:tcPr>
          <w:p>
            <w:pPr>
              <w:pStyle w:val="TableParagraph"/>
              <w:spacing w:before="236"/>
              <w:ind w:left="116" w:right="110"/>
              <w:jc w:val="center"/>
              <w:rPr>
                <w:sz w:val="24"/>
              </w:rPr>
            </w:pPr>
            <w:r>
              <w:rPr>
                <w:spacing w:val="-2"/>
                <w:sz w:val="24"/>
              </w:rPr>
              <w:t>RH3.4</w:t>
            </w:r>
          </w:p>
        </w:tc>
        <w:tc>
          <w:tcPr>
            <w:tcW w:w="2948" w:type="dxa"/>
          </w:tcPr>
          <w:p>
            <w:pPr>
              <w:pStyle w:val="TableParagraph"/>
              <w:spacing w:before="96"/>
              <w:rPr>
                <w:b/>
                <w:sz w:val="24"/>
              </w:rPr>
            </w:pPr>
          </w:p>
          <w:p>
            <w:pPr>
              <w:pStyle w:val="TableParagraph"/>
              <w:ind w:left="114"/>
              <w:jc w:val="center"/>
              <w:rPr>
                <w:sz w:val="24"/>
              </w:rPr>
            </w:pPr>
            <w:r>
              <w:rPr>
                <w:sz w:val="24"/>
              </w:rPr>
              <w:t>Veterinary </w:t>
            </w:r>
            <w:r>
              <w:rPr>
                <w:spacing w:val="-2"/>
                <w:sz w:val="24"/>
              </w:rPr>
              <w:t>Hospital</w:t>
            </w:r>
          </w:p>
        </w:tc>
        <w:tc>
          <w:tcPr>
            <w:tcW w:w="3128" w:type="dxa"/>
          </w:tcPr>
          <w:p>
            <w:pPr>
              <w:pStyle w:val="TableParagraph"/>
              <w:spacing w:before="95"/>
              <w:ind w:left="84" w:right="75"/>
              <w:jc w:val="center"/>
              <w:rPr>
                <w:sz w:val="24"/>
              </w:rPr>
            </w:pPr>
            <w:r>
              <w:rPr>
                <w:sz w:val="24"/>
              </w:rPr>
              <w:t>MCGM</w:t>
            </w:r>
            <w:r>
              <w:rPr>
                <w:spacing w:val="-18"/>
                <w:sz w:val="24"/>
              </w:rPr>
              <w:t> </w:t>
            </w:r>
            <w:r>
              <w:rPr>
                <w:sz w:val="24"/>
              </w:rPr>
              <w:t>/</w:t>
            </w:r>
            <w:r>
              <w:rPr>
                <w:spacing w:val="-18"/>
                <w:sz w:val="24"/>
              </w:rPr>
              <w:t> </w:t>
            </w:r>
            <w:r>
              <w:rPr>
                <w:sz w:val="24"/>
              </w:rPr>
              <w:t>Agriculture, Animal Husbandry Department, GOM</w:t>
            </w:r>
          </w:p>
        </w:tc>
      </w:tr>
      <w:tr>
        <w:trPr>
          <w:trHeight w:val="472" w:hRule="atLeast"/>
        </w:trPr>
        <w:tc>
          <w:tcPr>
            <w:tcW w:w="742" w:type="dxa"/>
          </w:tcPr>
          <w:p>
            <w:pPr>
              <w:pStyle w:val="TableParagraph"/>
              <w:spacing w:before="95"/>
              <w:ind w:left="7"/>
              <w:jc w:val="center"/>
              <w:rPr>
                <w:sz w:val="24"/>
              </w:rPr>
            </w:pPr>
            <w:r>
              <w:rPr>
                <w:spacing w:val="-5"/>
                <w:sz w:val="24"/>
              </w:rPr>
              <w:t>15</w:t>
            </w:r>
          </w:p>
        </w:tc>
        <w:tc>
          <w:tcPr>
            <w:tcW w:w="1589" w:type="dxa"/>
          </w:tcPr>
          <w:p>
            <w:pPr>
              <w:pStyle w:val="TableParagraph"/>
              <w:rPr>
                <w:rFonts w:ascii="Times New Roman"/>
                <w:sz w:val="22"/>
              </w:rPr>
            </w:pPr>
          </w:p>
        </w:tc>
        <w:tc>
          <w:tcPr>
            <w:tcW w:w="1227" w:type="dxa"/>
          </w:tcPr>
          <w:p>
            <w:pPr>
              <w:pStyle w:val="TableParagraph"/>
              <w:spacing w:before="95"/>
              <w:ind w:left="116" w:right="110"/>
              <w:jc w:val="center"/>
              <w:rPr>
                <w:sz w:val="24"/>
              </w:rPr>
            </w:pPr>
            <w:r>
              <w:rPr>
                <w:spacing w:val="-2"/>
                <w:sz w:val="24"/>
              </w:rPr>
              <w:t>RMS1.1</w:t>
            </w:r>
          </w:p>
        </w:tc>
        <w:tc>
          <w:tcPr>
            <w:tcW w:w="2948" w:type="dxa"/>
          </w:tcPr>
          <w:p>
            <w:pPr>
              <w:pStyle w:val="TableParagraph"/>
              <w:spacing w:before="95"/>
              <w:ind w:left="94" w:right="86"/>
              <w:jc w:val="center"/>
              <w:rPr>
                <w:sz w:val="24"/>
              </w:rPr>
            </w:pPr>
            <w:r>
              <w:rPr>
                <w:sz w:val="24"/>
              </w:rPr>
              <w:t>Road</w:t>
            </w:r>
            <w:r>
              <w:rPr>
                <w:spacing w:val="-3"/>
                <w:sz w:val="24"/>
              </w:rPr>
              <w:t> </w:t>
            </w:r>
            <w:r>
              <w:rPr>
                <w:spacing w:val="-2"/>
                <w:sz w:val="24"/>
              </w:rPr>
              <w:t>Depot</w:t>
            </w:r>
          </w:p>
        </w:tc>
        <w:tc>
          <w:tcPr>
            <w:tcW w:w="3128" w:type="dxa"/>
          </w:tcPr>
          <w:p>
            <w:pPr>
              <w:pStyle w:val="TableParagraph"/>
              <w:spacing w:before="95"/>
              <w:ind w:left="83" w:right="78"/>
              <w:jc w:val="center"/>
              <w:rPr>
                <w:sz w:val="24"/>
              </w:rPr>
            </w:pPr>
            <w:r>
              <w:rPr>
                <w:spacing w:val="-4"/>
                <w:sz w:val="24"/>
              </w:rPr>
              <w:t>MCGM</w:t>
            </w:r>
          </w:p>
        </w:tc>
      </w:tr>
    </w:tbl>
    <w:p>
      <w:pPr>
        <w:pStyle w:val="TableParagraph"/>
        <w:spacing w:after="0"/>
        <w:jc w:val="center"/>
        <w:rPr>
          <w:sz w:val="24"/>
        </w:rPr>
        <w:sectPr>
          <w:pgSz w:w="11910" w:h="16850"/>
          <w:pgMar w:header="1082" w:footer="945" w:top="1520" w:bottom="1140" w:left="360" w:right="360"/>
        </w:sectPr>
      </w:pPr>
    </w:p>
    <w:p>
      <w:pPr>
        <w:pStyle w:val="BodyText"/>
        <w:spacing w:before="7"/>
        <w:jc w:val="left"/>
        <w:rPr>
          <w:b/>
          <w:sz w:val="18"/>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2"/>
        <w:gridCol w:w="1589"/>
        <w:gridCol w:w="1227"/>
        <w:gridCol w:w="2948"/>
        <w:gridCol w:w="3128"/>
      </w:tblGrid>
      <w:tr>
        <w:trPr>
          <w:trHeight w:val="474" w:hRule="atLeast"/>
        </w:trPr>
        <w:tc>
          <w:tcPr>
            <w:tcW w:w="742" w:type="dxa"/>
            <w:vMerge w:val="restart"/>
            <w:shd w:val="clear" w:color="auto" w:fill="EDEBE0"/>
          </w:tcPr>
          <w:p>
            <w:pPr>
              <w:pStyle w:val="TableParagraph"/>
              <w:spacing w:before="95"/>
              <w:ind w:left="213" w:right="185" w:hanging="15"/>
              <w:rPr>
                <w:sz w:val="24"/>
              </w:rPr>
            </w:pPr>
            <w:r>
              <w:rPr>
                <w:spacing w:val="-4"/>
                <w:sz w:val="24"/>
              </w:rPr>
              <w:t>Sr. </w:t>
            </w:r>
            <w:r>
              <w:rPr>
                <w:spacing w:val="-5"/>
                <w:sz w:val="24"/>
              </w:rPr>
              <w:t>No</w:t>
            </w:r>
          </w:p>
        </w:tc>
        <w:tc>
          <w:tcPr>
            <w:tcW w:w="1589" w:type="dxa"/>
            <w:vMerge w:val="restart"/>
            <w:tcBorders>
              <w:bottom w:val="nil"/>
            </w:tcBorders>
            <w:shd w:val="clear" w:color="auto" w:fill="EDEBE0"/>
          </w:tcPr>
          <w:p>
            <w:pPr>
              <w:pStyle w:val="TableParagraph"/>
              <w:spacing w:before="95"/>
              <w:ind w:left="117"/>
              <w:jc w:val="center"/>
              <w:rPr>
                <w:sz w:val="24"/>
              </w:rPr>
            </w:pPr>
            <w:r>
              <w:rPr>
                <w:spacing w:val="-2"/>
                <w:sz w:val="24"/>
              </w:rPr>
              <w:t>Reservation </w:t>
            </w:r>
            <w:r>
              <w:rPr>
                <w:spacing w:val="-4"/>
                <w:sz w:val="24"/>
              </w:rPr>
              <w:t>main </w:t>
            </w:r>
            <w:r>
              <w:rPr>
                <w:spacing w:val="-2"/>
                <w:sz w:val="24"/>
              </w:rPr>
              <w:t>Category</w:t>
            </w:r>
          </w:p>
        </w:tc>
        <w:tc>
          <w:tcPr>
            <w:tcW w:w="4175" w:type="dxa"/>
            <w:gridSpan w:val="2"/>
            <w:shd w:val="clear" w:color="auto" w:fill="EDEBE0"/>
          </w:tcPr>
          <w:p>
            <w:pPr>
              <w:pStyle w:val="TableParagraph"/>
              <w:spacing w:before="95"/>
              <w:ind w:left="571"/>
              <w:rPr>
                <w:sz w:val="24"/>
              </w:rPr>
            </w:pPr>
            <w:r>
              <w:rPr>
                <w:sz w:val="24"/>
              </w:rPr>
              <w:t>Reservation</w:t>
            </w:r>
            <w:r>
              <w:rPr>
                <w:spacing w:val="-6"/>
                <w:sz w:val="24"/>
              </w:rPr>
              <w:t> </w:t>
            </w:r>
            <w:r>
              <w:rPr>
                <w:sz w:val="24"/>
              </w:rPr>
              <w:t>Sub</w:t>
            </w:r>
            <w:r>
              <w:rPr>
                <w:spacing w:val="-6"/>
                <w:sz w:val="24"/>
              </w:rPr>
              <w:t> </w:t>
            </w:r>
            <w:r>
              <w:rPr>
                <w:spacing w:val="-2"/>
                <w:sz w:val="24"/>
              </w:rPr>
              <w:t>Category</w:t>
            </w:r>
          </w:p>
        </w:tc>
        <w:tc>
          <w:tcPr>
            <w:tcW w:w="3128" w:type="dxa"/>
            <w:vMerge w:val="restart"/>
            <w:shd w:val="clear" w:color="auto" w:fill="EDEBE0"/>
          </w:tcPr>
          <w:p>
            <w:pPr>
              <w:pStyle w:val="TableParagraph"/>
              <w:spacing w:before="95"/>
              <w:ind w:left="277"/>
              <w:rPr>
                <w:sz w:val="24"/>
              </w:rPr>
            </w:pPr>
            <w:r>
              <w:rPr>
                <w:sz w:val="24"/>
              </w:rPr>
              <w:t>Appropriate </w:t>
            </w:r>
            <w:r>
              <w:rPr>
                <w:spacing w:val="-2"/>
                <w:sz w:val="24"/>
              </w:rPr>
              <w:t>Authority</w:t>
            </w:r>
          </w:p>
        </w:tc>
      </w:tr>
      <w:tr>
        <w:trPr>
          <w:trHeight w:val="664" w:hRule="atLeast"/>
        </w:trPr>
        <w:tc>
          <w:tcPr>
            <w:tcW w:w="742" w:type="dxa"/>
            <w:vMerge/>
            <w:tcBorders>
              <w:top w:val="nil"/>
            </w:tcBorders>
            <w:shd w:val="clear" w:color="auto" w:fill="EDEBE0"/>
          </w:tcPr>
          <w:p>
            <w:pPr>
              <w:rPr>
                <w:sz w:val="2"/>
                <w:szCs w:val="2"/>
              </w:rPr>
            </w:pPr>
          </w:p>
        </w:tc>
        <w:tc>
          <w:tcPr>
            <w:tcW w:w="1589" w:type="dxa"/>
            <w:vMerge/>
            <w:tcBorders>
              <w:top w:val="nil"/>
              <w:bottom w:val="nil"/>
            </w:tcBorders>
            <w:shd w:val="clear" w:color="auto" w:fill="EDEBE0"/>
          </w:tcPr>
          <w:p>
            <w:pPr>
              <w:rPr>
                <w:sz w:val="2"/>
                <w:szCs w:val="2"/>
              </w:rPr>
            </w:pPr>
          </w:p>
        </w:tc>
        <w:tc>
          <w:tcPr>
            <w:tcW w:w="1227" w:type="dxa"/>
            <w:shd w:val="clear" w:color="auto" w:fill="EDEBE0"/>
          </w:tcPr>
          <w:p>
            <w:pPr>
              <w:pStyle w:val="TableParagraph"/>
              <w:spacing w:before="95"/>
              <w:ind w:left="319"/>
              <w:rPr>
                <w:sz w:val="24"/>
              </w:rPr>
            </w:pPr>
            <w:r>
              <w:rPr>
                <w:spacing w:val="-4"/>
                <w:sz w:val="24"/>
              </w:rPr>
              <w:t>Code</w:t>
            </w:r>
          </w:p>
        </w:tc>
        <w:tc>
          <w:tcPr>
            <w:tcW w:w="2948" w:type="dxa"/>
            <w:shd w:val="clear" w:color="auto" w:fill="EDEBE0"/>
          </w:tcPr>
          <w:p>
            <w:pPr>
              <w:pStyle w:val="TableParagraph"/>
              <w:spacing w:before="95"/>
              <w:ind w:left="94" w:right="86"/>
              <w:jc w:val="center"/>
              <w:rPr>
                <w:sz w:val="24"/>
              </w:rPr>
            </w:pPr>
            <w:r>
              <w:rPr>
                <w:spacing w:val="-4"/>
                <w:sz w:val="24"/>
              </w:rPr>
              <w:t>Name</w:t>
            </w:r>
          </w:p>
        </w:tc>
        <w:tc>
          <w:tcPr>
            <w:tcW w:w="3128" w:type="dxa"/>
            <w:vMerge/>
            <w:tcBorders>
              <w:top w:val="nil"/>
            </w:tcBorders>
            <w:shd w:val="clear" w:color="auto" w:fill="EDEBE0"/>
          </w:tcPr>
          <w:p>
            <w:pPr>
              <w:rPr>
                <w:sz w:val="2"/>
                <w:szCs w:val="2"/>
              </w:rPr>
            </w:pPr>
          </w:p>
        </w:tc>
      </w:tr>
      <w:tr>
        <w:trPr>
          <w:trHeight w:val="472" w:hRule="atLeast"/>
        </w:trPr>
        <w:tc>
          <w:tcPr>
            <w:tcW w:w="742" w:type="dxa"/>
          </w:tcPr>
          <w:p>
            <w:pPr>
              <w:pStyle w:val="TableParagraph"/>
              <w:spacing w:before="95"/>
              <w:ind w:left="7"/>
              <w:jc w:val="center"/>
              <w:rPr>
                <w:sz w:val="24"/>
              </w:rPr>
            </w:pPr>
            <w:r>
              <w:rPr>
                <w:spacing w:val="-5"/>
                <w:sz w:val="24"/>
              </w:rPr>
              <w:t>16</w:t>
            </w:r>
          </w:p>
        </w:tc>
        <w:tc>
          <w:tcPr>
            <w:tcW w:w="1589" w:type="dxa"/>
            <w:vMerge w:val="restart"/>
            <w:tcBorders>
              <w:top w:val="nil"/>
            </w:tcBorders>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8"/>
              <w:rPr>
                <w:b/>
                <w:sz w:val="24"/>
              </w:rPr>
            </w:pPr>
          </w:p>
          <w:p>
            <w:pPr>
              <w:pStyle w:val="TableParagraph"/>
              <w:ind w:left="314" w:hanging="106"/>
              <w:rPr>
                <w:sz w:val="24"/>
              </w:rPr>
            </w:pPr>
            <w:r>
              <w:rPr>
                <w:spacing w:val="-2"/>
                <w:sz w:val="24"/>
              </w:rPr>
              <w:t>Municipal Services</w:t>
            </w:r>
          </w:p>
        </w:tc>
        <w:tc>
          <w:tcPr>
            <w:tcW w:w="1227" w:type="dxa"/>
          </w:tcPr>
          <w:p>
            <w:pPr>
              <w:pStyle w:val="TableParagraph"/>
              <w:spacing w:before="95"/>
              <w:ind w:left="148"/>
              <w:rPr>
                <w:sz w:val="24"/>
              </w:rPr>
            </w:pPr>
            <w:r>
              <w:rPr>
                <w:spacing w:val="-2"/>
                <w:sz w:val="24"/>
              </w:rPr>
              <w:t>RMS1.2</w:t>
            </w:r>
          </w:p>
        </w:tc>
        <w:tc>
          <w:tcPr>
            <w:tcW w:w="2948" w:type="dxa"/>
          </w:tcPr>
          <w:p>
            <w:pPr>
              <w:pStyle w:val="TableParagraph"/>
              <w:spacing w:before="95"/>
              <w:ind w:left="381"/>
              <w:rPr>
                <w:sz w:val="24"/>
              </w:rPr>
            </w:pPr>
            <w:r>
              <w:rPr>
                <w:sz w:val="24"/>
              </w:rPr>
              <w:t>Municipal </w:t>
            </w:r>
            <w:r>
              <w:rPr>
                <w:spacing w:val="-2"/>
                <w:sz w:val="24"/>
              </w:rPr>
              <w:t>Chowky</w:t>
            </w:r>
          </w:p>
        </w:tc>
        <w:tc>
          <w:tcPr>
            <w:tcW w:w="3128" w:type="dxa"/>
          </w:tcPr>
          <w:p>
            <w:pPr>
              <w:pStyle w:val="TableParagraph"/>
              <w:spacing w:before="95"/>
              <w:ind w:left="83" w:right="78"/>
              <w:jc w:val="center"/>
              <w:rPr>
                <w:sz w:val="24"/>
              </w:rPr>
            </w:pPr>
            <w:r>
              <w:rPr>
                <w:spacing w:val="-4"/>
                <w:sz w:val="24"/>
              </w:rPr>
              <w:t>MCGM</w:t>
            </w:r>
          </w:p>
        </w:tc>
      </w:tr>
      <w:tr>
        <w:trPr>
          <w:trHeight w:val="474" w:hRule="atLeast"/>
        </w:trPr>
        <w:tc>
          <w:tcPr>
            <w:tcW w:w="742" w:type="dxa"/>
          </w:tcPr>
          <w:p>
            <w:pPr>
              <w:pStyle w:val="TableParagraph"/>
              <w:spacing w:before="97"/>
              <w:ind w:left="7"/>
              <w:jc w:val="center"/>
              <w:rPr>
                <w:sz w:val="24"/>
              </w:rPr>
            </w:pPr>
            <w:r>
              <w:rPr>
                <w:spacing w:val="-5"/>
                <w:sz w:val="24"/>
              </w:rPr>
              <w:t>17</w:t>
            </w:r>
          </w:p>
        </w:tc>
        <w:tc>
          <w:tcPr>
            <w:tcW w:w="1589" w:type="dxa"/>
            <w:vMerge/>
            <w:tcBorders>
              <w:top w:val="nil"/>
            </w:tcBorders>
          </w:tcPr>
          <w:p>
            <w:pPr>
              <w:rPr>
                <w:sz w:val="2"/>
                <w:szCs w:val="2"/>
              </w:rPr>
            </w:pPr>
          </w:p>
        </w:tc>
        <w:tc>
          <w:tcPr>
            <w:tcW w:w="1227" w:type="dxa"/>
          </w:tcPr>
          <w:p>
            <w:pPr>
              <w:pStyle w:val="TableParagraph"/>
              <w:spacing w:before="97"/>
              <w:ind w:left="148"/>
              <w:rPr>
                <w:sz w:val="24"/>
              </w:rPr>
            </w:pPr>
            <w:r>
              <w:rPr>
                <w:spacing w:val="-2"/>
                <w:sz w:val="24"/>
              </w:rPr>
              <w:t>RMS1.3</w:t>
            </w:r>
          </w:p>
        </w:tc>
        <w:tc>
          <w:tcPr>
            <w:tcW w:w="2948" w:type="dxa"/>
          </w:tcPr>
          <w:p>
            <w:pPr>
              <w:pStyle w:val="TableParagraph"/>
              <w:spacing w:before="97"/>
              <w:ind w:left="326"/>
              <w:rPr>
                <w:sz w:val="24"/>
              </w:rPr>
            </w:pPr>
            <w:r>
              <w:rPr>
                <w:sz w:val="24"/>
              </w:rPr>
              <w:t>Municipal </w:t>
            </w:r>
            <w:r>
              <w:rPr>
                <w:spacing w:val="-2"/>
                <w:sz w:val="24"/>
              </w:rPr>
              <w:t>Facilities</w:t>
            </w:r>
          </w:p>
        </w:tc>
        <w:tc>
          <w:tcPr>
            <w:tcW w:w="3128" w:type="dxa"/>
          </w:tcPr>
          <w:p>
            <w:pPr>
              <w:pStyle w:val="TableParagraph"/>
              <w:spacing w:before="97"/>
              <w:ind w:left="83" w:right="78"/>
              <w:jc w:val="center"/>
              <w:rPr>
                <w:sz w:val="24"/>
              </w:rPr>
            </w:pPr>
            <w:r>
              <w:rPr>
                <w:spacing w:val="-4"/>
                <w:sz w:val="24"/>
              </w:rPr>
              <w:t>MCGM</w:t>
            </w:r>
          </w:p>
        </w:tc>
      </w:tr>
      <w:tr>
        <w:trPr>
          <w:trHeight w:val="474" w:hRule="atLeast"/>
        </w:trPr>
        <w:tc>
          <w:tcPr>
            <w:tcW w:w="742" w:type="dxa"/>
          </w:tcPr>
          <w:p>
            <w:pPr>
              <w:pStyle w:val="TableParagraph"/>
              <w:spacing w:before="95"/>
              <w:ind w:left="7"/>
              <w:jc w:val="center"/>
              <w:rPr>
                <w:sz w:val="24"/>
              </w:rPr>
            </w:pPr>
            <w:r>
              <w:rPr>
                <w:spacing w:val="-5"/>
                <w:sz w:val="24"/>
              </w:rPr>
              <w:t>18</w:t>
            </w:r>
          </w:p>
        </w:tc>
        <w:tc>
          <w:tcPr>
            <w:tcW w:w="1589" w:type="dxa"/>
            <w:vMerge/>
            <w:tcBorders>
              <w:top w:val="nil"/>
            </w:tcBorders>
          </w:tcPr>
          <w:p>
            <w:pPr>
              <w:rPr>
                <w:sz w:val="2"/>
                <w:szCs w:val="2"/>
              </w:rPr>
            </w:pPr>
          </w:p>
        </w:tc>
        <w:tc>
          <w:tcPr>
            <w:tcW w:w="1227" w:type="dxa"/>
          </w:tcPr>
          <w:p>
            <w:pPr>
              <w:pStyle w:val="TableParagraph"/>
              <w:spacing w:before="95"/>
              <w:ind w:left="148"/>
              <w:rPr>
                <w:sz w:val="24"/>
              </w:rPr>
            </w:pPr>
            <w:r>
              <w:rPr>
                <w:spacing w:val="-2"/>
                <w:sz w:val="24"/>
              </w:rPr>
              <w:t>RMS2.1</w:t>
            </w:r>
          </w:p>
        </w:tc>
        <w:tc>
          <w:tcPr>
            <w:tcW w:w="2948" w:type="dxa"/>
          </w:tcPr>
          <w:p>
            <w:pPr>
              <w:pStyle w:val="TableParagraph"/>
              <w:spacing w:before="95"/>
              <w:ind w:left="441"/>
              <w:rPr>
                <w:sz w:val="24"/>
              </w:rPr>
            </w:pPr>
            <w:r>
              <w:rPr>
                <w:sz w:val="24"/>
              </w:rPr>
              <w:t>Transport</w:t>
            </w:r>
            <w:r>
              <w:rPr>
                <w:spacing w:val="-3"/>
                <w:sz w:val="24"/>
              </w:rPr>
              <w:t> </w:t>
            </w:r>
            <w:r>
              <w:rPr>
                <w:spacing w:val="-2"/>
                <w:sz w:val="24"/>
              </w:rPr>
              <w:t>Garage</w:t>
            </w:r>
          </w:p>
        </w:tc>
        <w:tc>
          <w:tcPr>
            <w:tcW w:w="3128" w:type="dxa"/>
          </w:tcPr>
          <w:p>
            <w:pPr>
              <w:pStyle w:val="TableParagraph"/>
              <w:spacing w:before="95"/>
              <w:ind w:left="83" w:right="78"/>
              <w:jc w:val="center"/>
              <w:rPr>
                <w:sz w:val="24"/>
              </w:rPr>
            </w:pPr>
            <w:r>
              <w:rPr>
                <w:spacing w:val="-4"/>
                <w:sz w:val="24"/>
              </w:rPr>
              <w:t>MCGM</w:t>
            </w:r>
          </w:p>
        </w:tc>
      </w:tr>
      <w:tr>
        <w:trPr>
          <w:trHeight w:val="845" w:hRule="atLeast"/>
        </w:trPr>
        <w:tc>
          <w:tcPr>
            <w:tcW w:w="742" w:type="dxa"/>
          </w:tcPr>
          <w:p>
            <w:pPr>
              <w:pStyle w:val="TableParagraph"/>
              <w:spacing w:before="280"/>
              <w:ind w:left="7"/>
              <w:jc w:val="center"/>
              <w:rPr>
                <w:sz w:val="24"/>
              </w:rPr>
            </w:pPr>
            <w:r>
              <w:rPr>
                <w:spacing w:val="-5"/>
                <w:sz w:val="24"/>
              </w:rPr>
              <w:t>19</w:t>
            </w:r>
          </w:p>
        </w:tc>
        <w:tc>
          <w:tcPr>
            <w:tcW w:w="1589" w:type="dxa"/>
            <w:vMerge/>
            <w:tcBorders>
              <w:top w:val="nil"/>
            </w:tcBorders>
          </w:tcPr>
          <w:p>
            <w:pPr>
              <w:rPr>
                <w:sz w:val="2"/>
                <w:szCs w:val="2"/>
              </w:rPr>
            </w:pPr>
          </w:p>
        </w:tc>
        <w:tc>
          <w:tcPr>
            <w:tcW w:w="1227" w:type="dxa"/>
          </w:tcPr>
          <w:p>
            <w:pPr>
              <w:pStyle w:val="TableParagraph"/>
              <w:spacing w:before="139"/>
              <w:rPr>
                <w:b/>
                <w:sz w:val="24"/>
              </w:rPr>
            </w:pPr>
          </w:p>
          <w:p>
            <w:pPr>
              <w:pStyle w:val="TableParagraph"/>
              <w:ind w:left="107"/>
              <w:rPr>
                <w:sz w:val="24"/>
              </w:rPr>
            </w:pPr>
            <w:r>
              <w:rPr>
                <w:spacing w:val="-2"/>
                <w:sz w:val="24"/>
              </w:rPr>
              <w:t>RMS3.1</w:t>
            </w:r>
          </w:p>
        </w:tc>
        <w:tc>
          <w:tcPr>
            <w:tcW w:w="2948" w:type="dxa"/>
          </w:tcPr>
          <w:p>
            <w:pPr>
              <w:pStyle w:val="TableParagraph"/>
              <w:ind w:left="155" w:right="145" w:hanging="1"/>
              <w:jc w:val="center"/>
              <w:rPr>
                <w:sz w:val="24"/>
              </w:rPr>
            </w:pPr>
            <w:r>
              <w:rPr>
                <w:sz w:val="24"/>
              </w:rPr>
              <w:t>Solid Waste Management</w:t>
            </w:r>
            <w:r>
              <w:rPr>
                <w:spacing w:val="-20"/>
                <w:sz w:val="24"/>
              </w:rPr>
              <w:t> </w:t>
            </w:r>
            <w:r>
              <w:rPr>
                <w:sz w:val="24"/>
              </w:rPr>
              <w:t>Facilities</w:t>
            </w:r>
          </w:p>
          <w:p>
            <w:pPr>
              <w:pStyle w:val="TableParagraph"/>
              <w:spacing w:line="262" w:lineRule="exact"/>
              <w:ind w:left="94" w:right="86"/>
              <w:jc w:val="center"/>
              <w:rPr>
                <w:sz w:val="24"/>
              </w:rPr>
            </w:pPr>
            <w:r>
              <w:rPr>
                <w:sz w:val="24"/>
              </w:rPr>
              <w:t>and</w:t>
            </w:r>
            <w:r>
              <w:rPr>
                <w:spacing w:val="-6"/>
                <w:sz w:val="24"/>
              </w:rPr>
              <w:t> </w:t>
            </w:r>
            <w:r>
              <w:rPr>
                <w:sz w:val="24"/>
              </w:rPr>
              <w:t>Allied</w:t>
            </w:r>
            <w:r>
              <w:rPr>
                <w:spacing w:val="-3"/>
                <w:sz w:val="24"/>
              </w:rPr>
              <w:t> </w:t>
            </w:r>
            <w:r>
              <w:rPr>
                <w:spacing w:val="-2"/>
                <w:sz w:val="24"/>
              </w:rPr>
              <w:t>Activity</w:t>
            </w:r>
          </w:p>
        </w:tc>
        <w:tc>
          <w:tcPr>
            <w:tcW w:w="3128" w:type="dxa"/>
          </w:tcPr>
          <w:p>
            <w:pPr>
              <w:pStyle w:val="TableParagraph"/>
              <w:spacing w:before="280"/>
              <w:ind w:left="83" w:right="78"/>
              <w:jc w:val="center"/>
              <w:rPr>
                <w:sz w:val="24"/>
              </w:rPr>
            </w:pPr>
            <w:r>
              <w:rPr>
                <w:spacing w:val="-4"/>
                <w:sz w:val="24"/>
              </w:rPr>
              <w:t>MCGM</w:t>
            </w:r>
          </w:p>
        </w:tc>
      </w:tr>
      <w:tr>
        <w:trPr>
          <w:trHeight w:val="472" w:hRule="atLeast"/>
        </w:trPr>
        <w:tc>
          <w:tcPr>
            <w:tcW w:w="742" w:type="dxa"/>
          </w:tcPr>
          <w:p>
            <w:pPr>
              <w:pStyle w:val="TableParagraph"/>
              <w:spacing w:before="95"/>
              <w:ind w:left="7"/>
              <w:jc w:val="center"/>
              <w:rPr>
                <w:sz w:val="24"/>
              </w:rPr>
            </w:pPr>
            <w:r>
              <w:rPr>
                <w:spacing w:val="-5"/>
                <w:sz w:val="24"/>
              </w:rPr>
              <w:t>20</w:t>
            </w:r>
          </w:p>
        </w:tc>
        <w:tc>
          <w:tcPr>
            <w:tcW w:w="1589" w:type="dxa"/>
            <w:vMerge/>
            <w:tcBorders>
              <w:top w:val="nil"/>
            </w:tcBorders>
          </w:tcPr>
          <w:p>
            <w:pPr>
              <w:rPr>
                <w:sz w:val="2"/>
                <w:szCs w:val="2"/>
              </w:rPr>
            </w:pPr>
          </w:p>
        </w:tc>
        <w:tc>
          <w:tcPr>
            <w:tcW w:w="1227" w:type="dxa"/>
          </w:tcPr>
          <w:p>
            <w:pPr>
              <w:pStyle w:val="TableParagraph"/>
              <w:spacing w:before="95"/>
              <w:ind w:left="148"/>
              <w:rPr>
                <w:sz w:val="24"/>
              </w:rPr>
            </w:pPr>
            <w:r>
              <w:rPr>
                <w:spacing w:val="-2"/>
                <w:sz w:val="24"/>
              </w:rPr>
              <w:t>RMS3.2</w:t>
            </w:r>
          </w:p>
        </w:tc>
        <w:tc>
          <w:tcPr>
            <w:tcW w:w="2948" w:type="dxa"/>
          </w:tcPr>
          <w:p>
            <w:pPr>
              <w:pStyle w:val="TableParagraph"/>
              <w:spacing w:before="95"/>
              <w:ind w:left="693"/>
              <w:rPr>
                <w:sz w:val="24"/>
              </w:rPr>
            </w:pPr>
            <w:r>
              <w:rPr>
                <w:sz w:val="24"/>
              </w:rPr>
              <w:t>Land</w:t>
            </w:r>
            <w:r>
              <w:rPr>
                <w:spacing w:val="-2"/>
                <w:sz w:val="24"/>
              </w:rPr>
              <w:t> </w:t>
            </w:r>
            <w:r>
              <w:rPr>
                <w:sz w:val="24"/>
              </w:rPr>
              <w:t>Fill</w:t>
            </w:r>
            <w:r>
              <w:rPr>
                <w:spacing w:val="-1"/>
                <w:sz w:val="24"/>
              </w:rPr>
              <w:t> </w:t>
            </w:r>
            <w:r>
              <w:rPr>
                <w:spacing w:val="-4"/>
                <w:sz w:val="24"/>
              </w:rPr>
              <w:t>Site</w:t>
            </w:r>
          </w:p>
        </w:tc>
        <w:tc>
          <w:tcPr>
            <w:tcW w:w="3128" w:type="dxa"/>
          </w:tcPr>
          <w:p>
            <w:pPr>
              <w:pStyle w:val="TableParagraph"/>
              <w:spacing w:before="95"/>
              <w:ind w:left="83" w:right="78"/>
              <w:jc w:val="center"/>
              <w:rPr>
                <w:sz w:val="24"/>
              </w:rPr>
            </w:pPr>
            <w:r>
              <w:rPr>
                <w:spacing w:val="-4"/>
                <w:sz w:val="24"/>
              </w:rPr>
              <w:t>MCGM</w:t>
            </w:r>
          </w:p>
        </w:tc>
      </w:tr>
      <w:tr>
        <w:trPr>
          <w:trHeight w:val="474" w:hRule="atLeast"/>
        </w:trPr>
        <w:tc>
          <w:tcPr>
            <w:tcW w:w="742" w:type="dxa"/>
          </w:tcPr>
          <w:p>
            <w:pPr>
              <w:pStyle w:val="TableParagraph"/>
              <w:spacing w:before="97"/>
              <w:ind w:left="7"/>
              <w:jc w:val="center"/>
              <w:rPr>
                <w:sz w:val="24"/>
              </w:rPr>
            </w:pPr>
            <w:r>
              <w:rPr>
                <w:spacing w:val="-5"/>
                <w:sz w:val="24"/>
              </w:rPr>
              <w:t>21</w:t>
            </w:r>
          </w:p>
        </w:tc>
        <w:tc>
          <w:tcPr>
            <w:tcW w:w="1589" w:type="dxa"/>
            <w:vMerge/>
            <w:tcBorders>
              <w:top w:val="nil"/>
            </w:tcBorders>
          </w:tcPr>
          <w:p>
            <w:pPr>
              <w:rPr>
                <w:sz w:val="2"/>
                <w:szCs w:val="2"/>
              </w:rPr>
            </w:pPr>
          </w:p>
        </w:tc>
        <w:tc>
          <w:tcPr>
            <w:tcW w:w="1227" w:type="dxa"/>
          </w:tcPr>
          <w:p>
            <w:pPr>
              <w:pStyle w:val="TableParagraph"/>
              <w:spacing w:before="97"/>
              <w:ind w:left="148"/>
              <w:rPr>
                <w:sz w:val="24"/>
              </w:rPr>
            </w:pPr>
            <w:r>
              <w:rPr>
                <w:spacing w:val="-2"/>
                <w:sz w:val="24"/>
              </w:rPr>
              <w:t>RMS3.3</w:t>
            </w:r>
          </w:p>
        </w:tc>
        <w:tc>
          <w:tcPr>
            <w:tcW w:w="2948" w:type="dxa"/>
          </w:tcPr>
          <w:p>
            <w:pPr>
              <w:pStyle w:val="TableParagraph"/>
              <w:spacing w:before="97"/>
              <w:ind w:left="822"/>
              <w:rPr>
                <w:sz w:val="24"/>
              </w:rPr>
            </w:pPr>
            <w:r>
              <w:rPr>
                <w:sz w:val="24"/>
              </w:rPr>
              <w:t>Scrap</w:t>
            </w:r>
            <w:r>
              <w:rPr>
                <w:spacing w:val="-4"/>
                <w:sz w:val="24"/>
              </w:rPr>
              <w:t> Yard</w:t>
            </w:r>
          </w:p>
        </w:tc>
        <w:tc>
          <w:tcPr>
            <w:tcW w:w="3128" w:type="dxa"/>
          </w:tcPr>
          <w:p>
            <w:pPr>
              <w:pStyle w:val="TableParagraph"/>
              <w:spacing w:before="97"/>
              <w:ind w:left="83" w:right="78"/>
              <w:jc w:val="center"/>
              <w:rPr>
                <w:sz w:val="24"/>
              </w:rPr>
            </w:pPr>
            <w:r>
              <w:rPr>
                <w:spacing w:val="-4"/>
                <w:sz w:val="24"/>
              </w:rPr>
              <w:t>MCGM</w:t>
            </w:r>
          </w:p>
        </w:tc>
      </w:tr>
      <w:tr>
        <w:trPr>
          <w:trHeight w:val="755" w:hRule="atLeast"/>
        </w:trPr>
        <w:tc>
          <w:tcPr>
            <w:tcW w:w="742" w:type="dxa"/>
          </w:tcPr>
          <w:p>
            <w:pPr>
              <w:pStyle w:val="TableParagraph"/>
              <w:spacing w:before="236"/>
              <w:ind w:left="7"/>
              <w:jc w:val="center"/>
              <w:rPr>
                <w:sz w:val="24"/>
              </w:rPr>
            </w:pPr>
            <w:r>
              <w:rPr>
                <w:spacing w:val="-5"/>
                <w:sz w:val="24"/>
              </w:rPr>
              <w:t>22</w:t>
            </w:r>
          </w:p>
        </w:tc>
        <w:tc>
          <w:tcPr>
            <w:tcW w:w="1589" w:type="dxa"/>
            <w:vMerge/>
            <w:tcBorders>
              <w:top w:val="nil"/>
            </w:tcBorders>
          </w:tcPr>
          <w:p>
            <w:pPr>
              <w:rPr>
                <w:sz w:val="2"/>
                <w:szCs w:val="2"/>
              </w:rPr>
            </w:pPr>
          </w:p>
        </w:tc>
        <w:tc>
          <w:tcPr>
            <w:tcW w:w="1227" w:type="dxa"/>
          </w:tcPr>
          <w:p>
            <w:pPr>
              <w:pStyle w:val="TableParagraph"/>
              <w:spacing w:before="192"/>
              <w:rPr>
                <w:b/>
                <w:sz w:val="24"/>
              </w:rPr>
            </w:pPr>
          </w:p>
          <w:p>
            <w:pPr>
              <w:pStyle w:val="TableParagraph"/>
              <w:spacing w:line="261" w:lineRule="exact"/>
              <w:ind w:left="148"/>
              <w:rPr>
                <w:sz w:val="24"/>
              </w:rPr>
            </w:pPr>
            <w:r>
              <w:rPr>
                <w:spacing w:val="-2"/>
                <w:sz w:val="24"/>
              </w:rPr>
              <w:t>RMS4.1</w:t>
            </w:r>
          </w:p>
        </w:tc>
        <w:tc>
          <w:tcPr>
            <w:tcW w:w="2948" w:type="dxa"/>
          </w:tcPr>
          <w:p>
            <w:pPr>
              <w:pStyle w:val="TableParagraph"/>
              <w:spacing w:before="95"/>
              <w:ind w:left="573" w:hanging="176"/>
              <w:rPr>
                <w:sz w:val="24"/>
              </w:rPr>
            </w:pPr>
            <w:r>
              <w:rPr>
                <w:sz w:val="24"/>
              </w:rPr>
              <w:t>Sewage</w:t>
            </w:r>
            <w:r>
              <w:rPr>
                <w:spacing w:val="-20"/>
                <w:sz w:val="24"/>
              </w:rPr>
              <w:t> </w:t>
            </w:r>
            <w:r>
              <w:rPr>
                <w:sz w:val="24"/>
              </w:rPr>
              <w:t>Treatment </w:t>
            </w:r>
            <w:r>
              <w:rPr>
                <w:spacing w:val="-2"/>
                <w:sz w:val="24"/>
              </w:rPr>
              <w:t>Plant/Facilities</w:t>
            </w:r>
          </w:p>
        </w:tc>
        <w:tc>
          <w:tcPr>
            <w:tcW w:w="3128" w:type="dxa"/>
          </w:tcPr>
          <w:p>
            <w:pPr>
              <w:pStyle w:val="TableParagraph"/>
              <w:spacing w:before="236"/>
              <w:ind w:left="83" w:right="78"/>
              <w:jc w:val="center"/>
              <w:rPr>
                <w:sz w:val="24"/>
              </w:rPr>
            </w:pPr>
            <w:r>
              <w:rPr>
                <w:spacing w:val="-4"/>
                <w:sz w:val="24"/>
              </w:rPr>
              <w:t>MCGM</w:t>
            </w:r>
          </w:p>
        </w:tc>
      </w:tr>
      <w:tr>
        <w:trPr>
          <w:trHeight w:val="563" w:hRule="atLeast"/>
        </w:trPr>
        <w:tc>
          <w:tcPr>
            <w:tcW w:w="742" w:type="dxa"/>
          </w:tcPr>
          <w:p>
            <w:pPr>
              <w:pStyle w:val="TableParagraph"/>
              <w:spacing w:before="140"/>
              <w:ind w:left="7"/>
              <w:jc w:val="center"/>
              <w:rPr>
                <w:sz w:val="24"/>
              </w:rPr>
            </w:pPr>
            <w:r>
              <w:rPr>
                <w:spacing w:val="-5"/>
                <w:sz w:val="24"/>
              </w:rPr>
              <w:t>23</w:t>
            </w:r>
          </w:p>
        </w:tc>
        <w:tc>
          <w:tcPr>
            <w:tcW w:w="1589" w:type="dxa"/>
            <w:vMerge/>
            <w:tcBorders>
              <w:top w:val="nil"/>
            </w:tcBorders>
          </w:tcPr>
          <w:p>
            <w:pPr>
              <w:rPr>
                <w:sz w:val="2"/>
                <w:szCs w:val="2"/>
              </w:rPr>
            </w:pPr>
          </w:p>
        </w:tc>
        <w:tc>
          <w:tcPr>
            <w:tcW w:w="1227" w:type="dxa"/>
          </w:tcPr>
          <w:p>
            <w:pPr>
              <w:pStyle w:val="TableParagraph"/>
              <w:spacing w:before="140"/>
              <w:ind w:left="148"/>
              <w:rPr>
                <w:sz w:val="24"/>
              </w:rPr>
            </w:pPr>
            <w:r>
              <w:rPr>
                <w:spacing w:val="-2"/>
                <w:sz w:val="24"/>
              </w:rPr>
              <w:t>RMS4.3</w:t>
            </w:r>
          </w:p>
        </w:tc>
        <w:tc>
          <w:tcPr>
            <w:tcW w:w="2948" w:type="dxa"/>
          </w:tcPr>
          <w:p>
            <w:pPr>
              <w:pStyle w:val="TableParagraph"/>
              <w:spacing w:line="280" w:lineRule="exact"/>
              <w:ind w:left="1050" w:right="106" w:hanging="572"/>
              <w:rPr>
                <w:sz w:val="24"/>
              </w:rPr>
            </w:pPr>
            <w:r>
              <w:rPr>
                <w:sz w:val="24"/>
              </w:rPr>
              <w:t>Sewage</w:t>
            </w:r>
            <w:r>
              <w:rPr>
                <w:spacing w:val="-20"/>
                <w:sz w:val="24"/>
              </w:rPr>
              <w:t> </w:t>
            </w:r>
            <w:r>
              <w:rPr>
                <w:sz w:val="24"/>
              </w:rPr>
              <w:t>Pumping </w:t>
            </w:r>
            <w:r>
              <w:rPr>
                <w:spacing w:val="-2"/>
                <w:sz w:val="24"/>
              </w:rPr>
              <w:t>Station</w:t>
            </w:r>
          </w:p>
        </w:tc>
        <w:tc>
          <w:tcPr>
            <w:tcW w:w="3128" w:type="dxa"/>
          </w:tcPr>
          <w:p>
            <w:pPr>
              <w:pStyle w:val="TableParagraph"/>
              <w:spacing w:before="140"/>
              <w:ind w:left="83" w:right="78"/>
              <w:jc w:val="center"/>
              <w:rPr>
                <w:sz w:val="24"/>
              </w:rPr>
            </w:pPr>
            <w:r>
              <w:rPr>
                <w:spacing w:val="-4"/>
                <w:sz w:val="24"/>
              </w:rPr>
              <w:t>MCGM</w:t>
            </w:r>
          </w:p>
        </w:tc>
      </w:tr>
      <w:tr>
        <w:trPr>
          <w:trHeight w:val="472" w:hRule="atLeast"/>
        </w:trPr>
        <w:tc>
          <w:tcPr>
            <w:tcW w:w="742" w:type="dxa"/>
          </w:tcPr>
          <w:p>
            <w:pPr>
              <w:pStyle w:val="TableParagraph"/>
              <w:spacing w:before="95"/>
              <w:ind w:left="7"/>
              <w:jc w:val="center"/>
              <w:rPr>
                <w:sz w:val="24"/>
              </w:rPr>
            </w:pPr>
            <w:r>
              <w:rPr>
                <w:spacing w:val="-5"/>
                <w:sz w:val="24"/>
              </w:rPr>
              <w:t>24</w:t>
            </w:r>
          </w:p>
        </w:tc>
        <w:tc>
          <w:tcPr>
            <w:tcW w:w="1589" w:type="dxa"/>
            <w:vMerge/>
            <w:tcBorders>
              <w:top w:val="nil"/>
            </w:tcBorders>
          </w:tcPr>
          <w:p>
            <w:pPr>
              <w:rPr>
                <w:sz w:val="2"/>
                <w:szCs w:val="2"/>
              </w:rPr>
            </w:pPr>
          </w:p>
        </w:tc>
        <w:tc>
          <w:tcPr>
            <w:tcW w:w="1227" w:type="dxa"/>
          </w:tcPr>
          <w:p>
            <w:pPr>
              <w:pStyle w:val="TableParagraph"/>
              <w:spacing w:before="95"/>
              <w:ind w:left="148"/>
              <w:rPr>
                <w:sz w:val="24"/>
              </w:rPr>
            </w:pPr>
            <w:r>
              <w:rPr>
                <w:spacing w:val="-2"/>
                <w:sz w:val="24"/>
              </w:rPr>
              <w:t>RMS5.1</w:t>
            </w:r>
          </w:p>
        </w:tc>
        <w:tc>
          <w:tcPr>
            <w:tcW w:w="2948" w:type="dxa"/>
          </w:tcPr>
          <w:p>
            <w:pPr>
              <w:pStyle w:val="TableParagraph"/>
              <w:spacing w:before="95"/>
              <w:ind w:left="928"/>
              <w:rPr>
                <w:sz w:val="24"/>
              </w:rPr>
            </w:pPr>
            <w:r>
              <w:rPr>
                <w:spacing w:val="-2"/>
                <w:sz w:val="24"/>
              </w:rPr>
              <w:t>Reservoir</w:t>
            </w:r>
          </w:p>
        </w:tc>
        <w:tc>
          <w:tcPr>
            <w:tcW w:w="3128" w:type="dxa"/>
          </w:tcPr>
          <w:p>
            <w:pPr>
              <w:pStyle w:val="TableParagraph"/>
              <w:spacing w:before="95"/>
              <w:ind w:left="83" w:right="78"/>
              <w:jc w:val="center"/>
              <w:rPr>
                <w:sz w:val="24"/>
              </w:rPr>
            </w:pPr>
            <w:r>
              <w:rPr>
                <w:spacing w:val="-4"/>
                <w:sz w:val="24"/>
              </w:rPr>
              <w:t>MCGM</w:t>
            </w:r>
          </w:p>
        </w:tc>
      </w:tr>
      <w:tr>
        <w:trPr>
          <w:trHeight w:val="564" w:hRule="atLeast"/>
        </w:trPr>
        <w:tc>
          <w:tcPr>
            <w:tcW w:w="742" w:type="dxa"/>
          </w:tcPr>
          <w:p>
            <w:pPr>
              <w:pStyle w:val="TableParagraph"/>
              <w:spacing w:before="140"/>
              <w:ind w:left="7"/>
              <w:jc w:val="center"/>
              <w:rPr>
                <w:sz w:val="24"/>
              </w:rPr>
            </w:pPr>
            <w:r>
              <w:rPr>
                <w:spacing w:val="-5"/>
                <w:sz w:val="24"/>
              </w:rPr>
              <w:t>25</w:t>
            </w:r>
          </w:p>
        </w:tc>
        <w:tc>
          <w:tcPr>
            <w:tcW w:w="1589" w:type="dxa"/>
            <w:vMerge/>
            <w:tcBorders>
              <w:top w:val="nil"/>
            </w:tcBorders>
          </w:tcPr>
          <w:p>
            <w:pPr>
              <w:rPr>
                <w:sz w:val="2"/>
                <w:szCs w:val="2"/>
              </w:rPr>
            </w:pPr>
          </w:p>
        </w:tc>
        <w:tc>
          <w:tcPr>
            <w:tcW w:w="1227" w:type="dxa"/>
          </w:tcPr>
          <w:p>
            <w:pPr>
              <w:pStyle w:val="TableParagraph"/>
              <w:spacing w:before="140"/>
              <w:ind w:left="148"/>
              <w:rPr>
                <w:sz w:val="24"/>
              </w:rPr>
            </w:pPr>
            <w:r>
              <w:rPr>
                <w:spacing w:val="-2"/>
                <w:sz w:val="24"/>
              </w:rPr>
              <w:t>RMS5.2</w:t>
            </w:r>
          </w:p>
        </w:tc>
        <w:tc>
          <w:tcPr>
            <w:tcW w:w="2948" w:type="dxa"/>
          </w:tcPr>
          <w:p>
            <w:pPr>
              <w:pStyle w:val="TableParagraph"/>
              <w:spacing w:line="282" w:lineRule="exact"/>
              <w:ind w:left="988" w:right="106" w:hanging="423"/>
              <w:rPr>
                <w:sz w:val="24"/>
              </w:rPr>
            </w:pPr>
            <w:r>
              <w:rPr>
                <w:sz w:val="24"/>
              </w:rPr>
              <w:t>Water</w:t>
            </w:r>
            <w:r>
              <w:rPr>
                <w:spacing w:val="-20"/>
                <w:sz w:val="24"/>
              </w:rPr>
              <w:t> </w:t>
            </w:r>
            <w:r>
              <w:rPr>
                <w:sz w:val="24"/>
              </w:rPr>
              <w:t>Pumping </w:t>
            </w:r>
            <w:r>
              <w:rPr>
                <w:spacing w:val="-2"/>
                <w:sz w:val="24"/>
              </w:rPr>
              <w:t>Stations</w:t>
            </w:r>
          </w:p>
        </w:tc>
        <w:tc>
          <w:tcPr>
            <w:tcW w:w="3128" w:type="dxa"/>
          </w:tcPr>
          <w:p>
            <w:pPr>
              <w:pStyle w:val="TableParagraph"/>
              <w:spacing w:before="140"/>
              <w:ind w:left="83" w:right="78"/>
              <w:jc w:val="center"/>
              <w:rPr>
                <w:sz w:val="24"/>
              </w:rPr>
            </w:pPr>
            <w:r>
              <w:rPr>
                <w:spacing w:val="-4"/>
                <w:sz w:val="24"/>
              </w:rPr>
              <w:t>MCGM</w:t>
            </w:r>
          </w:p>
        </w:tc>
      </w:tr>
      <w:tr>
        <w:trPr>
          <w:trHeight w:val="755" w:hRule="atLeast"/>
        </w:trPr>
        <w:tc>
          <w:tcPr>
            <w:tcW w:w="742" w:type="dxa"/>
          </w:tcPr>
          <w:p>
            <w:pPr>
              <w:pStyle w:val="TableParagraph"/>
              <w:spacing w:before="236"/>
              <w:ind w:left="7"/>
              <w:jc w:val="center"/>
              <w:rPr>
                <w:sz w:val="24"/>
              </w:rPr>
            </w:pPr>
            <w:r>
              <w:rPr>
                <w:spacing w:val="-5"/>
                <w:sz w:val="24"/>
              </w:rPr>
              <w:t>26</w:t>
            </w:r>
          </w:p>
        </w:tc>
        <w:tc>
          <w:tcPr>
            <w:tcW w:w="1589" w:type="dxa"/>
            <w:vMerge/>
            <w:tcBorders>
              <w:top w:val="nil"/>
            </w:tcBorders>
          </w:tcPr>
          <w:p>
            <w:pPr>
              <w:rPr>
                <w:sz w:val="2"/>
                <w:szCs w:val="2"/>
              </w:rPr>
            </w:pPr>
          </w:p>
        </w:tc>
        <w:tc>
          <w:tcPr>
            <w:tcW w:w="1227" w:type="dxa"/>
          </w:tcPr>
          <w:p>
            <w:pPr>
              <w:pStyle w:val="TableParagraph"/>
              <w:spacing w:before="192"/>
              <w:rPr>
                <w:b/>
                <w:sz w:val="24"/>
              </w:rPr>
            </w:pPr>
          </w:p>
          <w:p>
            <w:pPr>
              <w:pStyle w:val="TableParagraph"/>
              <w:spacing w:line="261" w:lineRule="exact"/>
              <w:ind w:left="148"/>
              <w:rPr>
                <w:sz w:val="24"/>
              </w:rPr>
            </w:pPr>
            <w:r>
              <w:rPr>
                <w:spacing w:val="-2"/>
                <w:sz w:val="24"/>
              </w:rPr>
              <w:t>RMS5.3</w:t>
            </w:r>
          </w:p>
        </w:tc>
        <w:tc>
          <w:tcPr>
            <w:tcW w:w="2948" w:type="dxa"/>
          </w:tcPr>
          <w:p>
            <w:pPr>
              <w:pStyle w:val="TableParagraph"/>
              <w:spacing w:before="236"/>
              <w:ind w:left="141"/>
              <w:rPr>
                <w:sz w:val="24"/>
              </w:rPr>
            </w:pPr>
            <w:r>
              <w:rPr>
                <w:sz w:val="24"/>
              </w:rPr>
              <w:t>Water</w:t>
            </w:r>
            <w:r>
              <w:rPr>
                <w:spacing w:val="-4"/>
                <w:sz w:val="24"/>
              </w:rPr>
              <w:t> </w:t>
            </w:r>
            <w:r>
              <w:rPr>
                <w:sz w:val="24"/>
              </w:rPr>
              <w:t>Treatment</w:t>
            </w:r>
            <w:r>
              <w:rPr>
                <w:spacing w:val="-1"/>
                <w:sz w:val="24"/>
              </w:rPr>
              <w:t> </w:t>
            </w:r>
            <w:r>
              <w:rPr>
                <w:spacing w:val="-2"/>
                <w:sz w:val="24"/>
              </w:rPr>
              <w:t>Plant</w:t>
            </w:r>
          </w:p>
        </w:tc>
        <w:tc>
          <w:tcPr>
            <w:tcW w:w="3128" w:type="dxa"/>
          </w:tcPr>
          <w:p>
            <w:pPr>
              <w:pStyle w:val="TableParagraph"/>
              <w:spacing w:before="236"/>
              <w:ind w:left="83" w:right="78"/>
              <w:jc w:val="center"/>
              <w:rPr>
                <w:sz w:val="24"/>
              </w:rPr>
            </w:pPr>
            <w:r>
              <w:rPr>
                <w:spacing w:val="-4"/>
                <w:sz w:val="24"/>
              </w:rPr>
              <w:t>MCGM</w:t>
            </w:r>
          </w:p>
        </w:tc>
      </w:tr>
      <w:tr>
        <w:trPr>
          <w:trHeight w:val="563" w:hRule="atLeast"/>
        </w:trPr>
        <w:tc>
          <w:tcPr>
            <w:tcW w:w="742" w:type="dxa"/>
          </w:tcPr>
          <w:p>
            <w:pPr>
              <w:pStyle w:val="TableParagraph"/>
              <w:spacing w:before="140"/>
              <w:ind w:left="7"/>
              <w:jc w:val="center"/>
              <w:rPr>
                <w:sz w:val="24"/>
              </w:rPr>
            </w:pPr>
            <w:r>
              <w:rPr>
                <w:spacing w:val="-5"/>
                <w:sz w:val="24"/>
              </w:rPr>
              <w:t>27</w:t>
            </w:r>
          </w:p>
        </w:tc>
        <w:tc>
          <w:tcPr>
            <w:tcW w:w="1589" w:type="dxa"/>
            <w:vMerge/>
            <w:tcBorders>
              <w:top w:val="nil"/>
            </w:tcBorders>
          </w:tcPr>
          <w:p>
            <w:pPr>
              <w:rPr>
                <w:sz w:val="2"/>
                <w:szCs w:val="2"/>
              </w:rPr>
            </w:pPr>
          </w:p>
        </w:tc>
        <w:tc>
          <w:tcPr>
            <w:tcW w:w="1227" w:type="dxa"/>
          </w:tcPr>
          <w:p>
            <w:pPr>
              <w:pStyle w:val="TableParagraph"/>
              <w:spacing w:before="140"/>
              <w:ind w:left="148"/>
              <w:rPr>
                <w:sz w:val="24"/>
              </w:rPr>
            </w:pPr>
            <w:r>
              <w:rPr>
                <w:spacing w:val="-2"/>
                <w:sz w:val="24"/>
              </w:rPr>
              <w:t>RMS5.5</w:t>
            </w:r>
          </w:p>
        </w:tc>
        <w:tc>
          <w:tcPr>
            <w:tcW w:w="2948" w:type="dxa"/>
          </w:tcPr>
          <w:p>
            <w:pPr>
              <w:pStyle w:val="TableParagraph"/>
              <w:spacing w:line="281" w:lineRule="exact"/>
              <w:ind w:left="94" w:right="86"/>
              <w:jc w:val="center"/>
              <w:rPr>
                <w:sz w:val="24"/>
              </w:rPr>
            </w:pPr>
            <w:r>
              <w:rPr>
                <w:sz w:val="24"/>
              </w:rPr>
              <w:t>Hydraulic </w:t>
            </w:r>
            <w:r>
              <w:rPr>
                <w:spacing w:val="-2"/>
                <w:sz w:val="24"/>
              </w:rPr>
              <w:t>Engineering</w:t>
            </w:r>
          </w:p>
          <w:p>
            <w:pPr>
              <w:pStyle w:val="TableParagraph"/>
              <w:spacing w:line="261" w:lineRule="exact" w:before="1"/>
              <w:ind w:left="94" w:right="86"/>
              <w:jc w:val="center"/>
              <w:rPr>
                <w:sz w:val="24"/>
              </w:rPr>
            </w:pPr>
            <w:r>
              <w:rPr>
                <w:spacing w:val="-2"/>
                <w:sz w:val="24"/>
              </w:rPr>
              <w:t>Store/Office</w:t>
            </w:r>
          </w:p>
        </w:tc>
        <w:tc>
          <w:tcPr>
            <w:tcW w:w="3128" w:type="dxa"/>
          </w:tcPr>
          <w:p>
            <w:pPr>
              <w:pStyle w:val="TableParagraph"/>
              <w:spacing w:before="140"/>
              <w:ind w:left="83" w:right="78"/>
              <w:jc w:val="center"/>
              <w:rPr>
                <w:sz w:val="24"/>
              </w:rPr>
            </w:pPr>
            <w:r>
              <w:rPr>
                <w:spacing w:val="-4"/>
                <w:sz w:val="24"/>
              </w:rPr>
              <w:t>MCGM</w:t>
            </w:r>
          </w:p>
        </w:tc>
      </w:tr>
      <w:tr>
        <w:trPr>
          <w:trHeight w:val="563" w:hRule="atLeast"/>
        </w:trPr>
        <w:tc>
          <w:tcPr>
            <w:tcW w:w="742" w:type="dxa"/>
          </w:tcPr>
          <w:p>
            <w:pPr>
              <w:pStyle w:val="TableParagraph"/>
              <w:spacing w:before="140"/>
              <w:ind w:left="7"/>
              <w:jc w:val="center"/>
              <w:rPr>
                <w:sz w:val="24"/>
              </w:rPr>
            </w:pPr>
            <w:r>
              <w:rPr>
                <w:spacing w:val="-5"/>
                <w:sz w:val="24"/>
              </w:rPr>
              <w:t>28</w:t>
            </w:r>
          </w:p>
        </w:tc>
        <w:tc>
          <w:tcPr>
            <w:tcW w:w="1589" w:type="dxa"/>
            <w:vMerge/>
            <w:tcBorders>
              <w:top w:val="nil"/>
            </w:tcBorders>
          </w:tcPr>
          <w:p>
            <w:pPr>
              <w:rPr>
                <w:sz w:val="2"/>
                <w:szCs w:val="2"/>
              </w:rPr>
            </w:pPr>
          </w:p>
        </w:tc>
        <w:tc>
          <w:tcPr>
            <w:tcW w:w="1227" w:type="dxa"/>
          </w:tcPr>
          <w:p>
            <w:pPr>
              <w:pStyle w:val="TableParagraph"/>
              <w:spacing w:before="140"/>
              <w:ind w:left="148"/>
              <w:rPr>
                <w:sz w:val="24"/>
              </w:rPr>
            </w:pPr>
            <w:r>
              <w:rPr>
                <w:spacing w:val="-2"/>
                <w:sz w:val="24"/>
              </w:rPr>
              <w:t>RMS6.1</w:t>
            </w:r>
          </w:p>
        </w:tc>
        <w:tc>
          <w:tcPr>
            <w:tcW w:w="2948" w:type="dxa"/>
          </w:tcPr>
          <w:p>
            <w:pPr>
              <w:pStyle w:val="TableParagraph"/>
              <w:spacing w:line="281" w:lineRule="exact"/>
              <w:ind w:left="94" w:right="86"/>
              <w:jc w:val="center"/>
              <w:rPr>
                <w:sz w:val="24"/>
              </w:rPr>
            </w:pPr>
            <w:r>
              <w:rPr>
                <w:sz w:val="24"/>
              </w:rPr>
              <w:t>Storm Water </w:t>
            </w:r>
            <w:r>
              <w:rPr>
                <w:spacing w:val="-2"/>
                <w:sz w:val="24"/>
              </w:rPr>
              <w:t>Pumping</w:t>
            </w:r>
          </w:p>
          <w:p>
            <w:pPr>
              <w:pStyle w:val="TableParagraph"/>
              <w:spacing w:line="261" w:lineRule="exact" w:before="1"/>
              <w:ind w:left="94" w:right="86"/>
              <w:jc w:val="center"/>
              <w:rPr>
                <w:sz w:val="24"/>
              </w:rPr>
            </w:pPr>
            <w:r>
              <w:rPr>
                <w:spacing w:val="-2"/>
                <w:sz w:val="24"/>
              </w:rPr>
              <w:t>Station</w:t>
            </w:r>
          </w:p>
        </w:tc>
        <w:tc>
          <w:tcPr>
            <w:tcW w:w="3128" w:type="dxa"/>
          </w:tcPr>
          <w:p>
            <w:pPr>
              <w:pStyle w:val="TableParagraph"/>
              <w:spacing w:before="140"/>
              <w:ind w:left="83" w:right="78"/>
              <w:jc w:val="center"/>
              <w:rPr>
                <w:sz w:val="24"/>
              </w:rPr>
            </w:pPr>
            <w:r>
              <w:rPr>
                <w:spacing w:val="-4"/>
                <w:sz w:val="24"/>
              </w:rPr>
              <w:t>MCGM</w:t>
            </w:r>
          </w:p>
        </w:tc>
      </w:tr>
      <w:tr>
        <w:trPr>
          <w:trHeight w:val="563" w:hRule="atLeast"/>
        </w:trPr>
        <w:tc>
          <w:tcPr>
            <w:tcW w:w="742" w:type="dxa"/>
          </w:tcPr>
          <w:p>
            <w:pPr>
              <w:pStyle w:val="TableParagraph"/>
              <w:spacing w:before="140"/>
              <w:ind w:left="7"/>
              <w:jc w:val="center"/>
              <w:rPr>
                <w:sz w:val="24"/>
              </w:rPr>
            </w:pPr>
            <w:r>
              <w:rPr>
                <w:spacing w:val="-5"/>
                <w:sz w:val="24"/>
              </w:rPr>
              <w:t>29</w:t>
            </w:r>
          </w:p>
        </w:tc>
        <w:tc>
          <w:tcPr>
            <w:tcW w:w="1589" w:type="dxa"/>
            <w:vMerge w:val="restart"/>
          </w:tcPr>
          <w:p>
            <w:pPr>
              <w:pStyle w:val="TableParagraph"/>
              <w:rPr>
                <w:b/>
                <w:sz w:val="24"/>
              </w:rPr>
            </w:pPr>
          </w:p>
          <w:p>
            <w:pPr>
              <w:pStyle w:val="TableParagraph"/>
              <w:spacing w:before="57"/>
              <w:rPr>
                <w:b/>
                <w:sz w:val="24"/>
              </w:rPr>
            </w:pPr>
          </w:p>
          <w:p>
            <w:pPr>
              <w:pStyle w:val="TableParagraph"/>
              <w:spacing w:line="324" w:lineRule="auto"/>
              <w:ind w:left="107" w:right="674"/>
              <w:rPr>
                <w:sz w:val="24"/>
              </w:rPr>
            </w:pPr>
            <w:r>
              <w:rPr>
                <w:spacing w:val="-2"/>
                <w:sz w:val="24"/>
              </w:rPr>
              <w:t>Public Offices</w:t>
            </w:r>
          </w:p>
        </w:tc>
        <w:tc>
          <w:tcPr>
            <w:tcW w:w="1227" w:type="dxa"/>
          </w:tcPr>
          <w:p>
            <w:pPr>
              <w:pStyle w:val="TableParagraph"/>
              <w:rPr>
                <w:b/>
                <w:sz w:val="24"/>
              </w:rPr>
            </w:pPr>
          </w:p>
          <w:p>
            <w:pPr>
              <w:pStyle w:val="TableParagraph"/>
              <w:spacing w:line="261" w:lineRule="exact"/>
              <w:ind w:left="107"/>
              <w:rPr>
                <w:sz w:val="24"/>
              </w:rPr>
            </w:pPr>
            <w:r>
              <w:rPr>
                <w:spacing w:val="-2"/>
                <w:sz w:val="24"/>
              </w:rPr>
              <w:t>RO1.3</w:t>
            </w:r>
          </w:p>
        </w:tc>
        <w:tc>
          <w:tcPr>
            <w:tcW w:w="2948" w:type="dxa"/>
          </w:tcPr>
          <w:p>
            <w:pPr>
              <w:pStyle w:val="TableParagraph"/>
              <w:spacing w:before="140"/>
              <w:ind w:left="107"/>
              <w:rPr>
                <w:sz w:val="24"/>
              </w:rPr>
            </w:pPr>
            <w:r>
              <w:rPr>
                <w:sz w:val="24"/>
              </w:rPr>
              <w:t>Municipal </w:t>
            </w:r>
            <w:r>
              <w:rPr>
                <w:spacing w:val="-2"/>
                <w:sz w:val="24"/>
              </w:rPr>
              <w:t>Office</w:t>
            </w:r>
          </w:p>
        </w:tc>
        <w:tc>
          <w:tcPr>
            <w:tcW w:w="3128" w:type="dxa"/>
          </w:tcPr>
          <w:p>
            <w:pPr>
              <w:pStyle w:val="TableParagraph"/>
              <w:spacing w:before="140"/>
              <w:ind w:left="83" w:right="78"/>
              <w:jc w:val="center"/>
              <w:rPr>
                <w:sz w:val="24"/>
              </w:rPr>
            </w:pPr>
            <w:r>
              <w:rPr>
                <w:spacing w:val="-4"/>
                <w:sz w:val="24"/>
              </w:rPr>
              <w:t>MCGM</w:t>
            </w:r>
          </w:p>
        </w:tc>
      </w:tr>
      <w:tr>
        <w:trPr>
          <w:trHeight w:val="756" w:hRule="atLeast"/>
        </w:trPr>
        <w:tc>
          <w:tcPr>
            <w:tcW w:w="742" w:type="dxa"/>
          </w:tcPr>
          <w:p>
            <w:pPr>
              <w:pStyle w:val="TableParagraph"/>
              <w:spacing w:before="236"/>
              <w:ind w:left="7"/>
              <w:jc w:val="center"/>
              <w:rPr>
                <w:sz w:val="24"/>
              </w:rPr>
            </w:pPr>
            <w:r>
              <w:rPr>
                <w:spacing w:val="-5"/>
                <w:sz w:val="24"/>
              </w:rPr>
              <w:t>30</w:t>
            </w:r>
          </w:p>
        </w:tc>
        <w:tc>
          <w:tcPr>
            <w:tcW w:w="1589" w:type="dxa"/>
            <w:vMerge/>
            <w:tcBorders>
              <w:top w:val="nil"/>
            </w:tcBorders>
          </w:tcPr>
          <w:p>
            <w:pPr>
              <w:rPr>
                <w:sz w:val="2"/>
                <w:szCs w:val="2"/>
              </w:rPr>
            </w:pPr>
          </w:p>
        </w:tc>
        <w:tc>
          <w:tcPr>
            <w:tcW w:w="1227" w:type="dxa"/>
          </w:tcPr>
          <w:p>
            <w:pPr>
              <w:pStyle w:val="TableParagraph"/>
              <w:spacing w:before="95"/>
              <w:ind w:left="241"/>
              <w:rPr>
                <w:sz w:val="24"/>
              </w:rPr>
            </w:pPr>
            <w:r>
              <w:rPr>
                <w:spacing w:val="-2"/>
                <w:sz w:val="24"/>
              </w:rPr>
              <w:t>RO2.1</w:t>
            </w:r>
          </w:p>
        </w:tc>
        <w:tc>
          <w:tcPr>
            <w:tcW w:w="2948" w:type="dxa"/>
          </w:tcPr>
          <w:p>
            <w:pPr>
              <w:pStyle w:val="TableParagraph"/>
              <w:spacing w:before="236"/>
              <w:ind w:left="381"/>
              <w:rPr>
                <w:sz w:val="24"/>
              </w:rPr>
            </w:pPr>
            <w:r>
              <w:rPr>
                <w:sz w:val="24"/>
              </w:rPr>
              <w:t>Government </w:t>
            </w:r>
            <w:r>
              <w:rPr>
                <w:spacing w:val="-2"/>
                <w:sz w:val="24"/>
              </w:rPr>
              <w:t>Office</w:t>
            </w:r>
          </w:p>
        </w:tc>
        <w:tc>
          <w:tcPr>
            <w:tcW w:w="3128" w:type="dxa"/>
          </w:tcPr>
          <w:p>
            <w:pPr>
              <w:pStyle w:val="TableParagraph"/>
              <w:spacing w:before="95"/>
              <w:ind w:left="260" w:right="24" w:hanging="68"/>
              <w:rPr>
                <w:sz w:val="24"/>
              </w:rPr>
            </w:pPr>
            <w:r>
              <w:rPr>
                <w:sz w:val="24"/>
              </w:rPr>
              <w:t>Concerned</w:t>
            </w:r>
            <w:r>
              <w:rPr>
                <w:spacing w:val="-20"/>
                <w:sz w:val="24"/>
              </w:rPr>
              <w:t> </w:t>
            </w:r>
            <w:r>
              <w:rPr>
                <w:sz w:val="24"/>
              </w:rPr>
              <w:t>Department of State/Central Govt.</w:t>
            </w:r>
          </w:p>
        </w:tc>
      </w:tr>
      <w:tr>
        <w:trPr>
          <w:trHeight w:val="563" w:hRule="atLeast"/>
        </w:trPr>
        <w:tc>
          <w:tcPr>
            <w:tcW w:w="742" w:type="dxa"/>
          </w:tcPr>
          <w:p>
            <w:pPr>
              <w:pStyle w:val="TableParagraph"/>
              <w:spacing w:before="140"/>
              <w:ind w:left="7"/>
              <w:jc w:val="center"/>
              <w:rPr>
                <w:sz w:val="24"/>
              </w:rPr>
            </w:pPr>
            <w:r>
              <w:rPr>
                <w:spacing w:val="-5"/>
                <w:sz w:val="24"/>
              </w:rPr>
              <w:t>31</w:t>
            </w:r>
          </w:p>
        </w:tc>
        <w:tc>
          <w:tcPr>
            <w:tcW w:w="1589" w:type="dxa"/>
            <w:vMerge/>
            <w:tcBorders>
              <w:top w:val="nil"/>
            </w:tcBorders>
          </w:tcPr>
          <w:p>
            <w:pPr>
              <w:rPr>
                <w:sz w:val="2"/>
                <w:szCs w:val="2"/>
              </w:rPr>
            </w:pPr>
          </w:p>
        </w:tc>
        <w:tc>
          <w:tcPr>
            <w:tcW w:w="1227" w:type="dxa"/>
          </w:tcPr>
          <w:p>
            <w:pPr>
              <w:pStyle w:val="TableParagraph"/>
              <w:spacing w:before="140"/>
              <w:ind w:left="241"/>
              <w:rPr>
                <w:sz w:val="24"/>
              </w:rPr>
            </w:pPr>
            <w:r>
              <w:rPr>
                <w:spacing w:val="-2"/>
                <w:sz w:val="24"/>
              </w:rPr>
              <w:t>RO3.1</w:t>
            </w:r>
          </w:p>
        </w:tc>
        <w:tc>
          <w:tcPr>
            <w:tcW w:w="2948" w:type="dxa"/>
          </w:tcPr>
          <w:p>
            <w:pPr>
              <w:pStyle w:val="TableParagraph"/>
              <w:spacing w:line="281" w:lineRule="exact"/>
              <w:ind w:left="94" w:right="86"/>
              <w:jc w:val="center"/>
              <w:rPr>
                <w:sz w:val="24"/>
              </w:rPr>
            </w:pPr>
            <w:r>
              <w:rPr>
                <w:sz w:val="24"/>
              </w:rPr>
              <w:t>Disaster </w:t>
            </w:r>
            <w:r>
              <w:rPr>
                <w:spacing w:val="-2"/>
                <w:sz w:val="24"/>
              </w:rPr>
              <w:t>Management</w:t>
            </w:r>
          </w:p>
          <w:p>
            <w:pPr>
              <w:pStyle w:val="TableParagraph"/>
              <w:spacing w:line="261" w:lineRule="exact" w:before="1"/>
              <w:ind w:left="94" w:right="86"/>
              <w:jc w:val="center"/>
              <w:rPr>
                <w:sz w:val="24"/>
              </w:rPr>
            </w:pPr>
            <w:r>
              <w:rPr>
                <w:spacing w:val="-2"/>
                <w:sz w:val="24"/>
              </w:rPr>
              <w:t>Facility</w:t>
            </w:r>
          </w:p>
        </w:tc>
        <w:tc>
          <w:tcPr>
            <w:tcW w:w="3128" w:type="dxa"/>
          </w:tcPr>
          <w:p>
            <w:pPr>
              <w:pStyle w:val="TableParagraph"/>
              <w:spacing w:before="140"/>
              <w:ind w:left="83" w:right="78"/>
              <w:jc w:val="center"/>
              <w:rPr>
                <w:sz w:val="24"/>
              </w:rPr>
            </w:pPr>
            <w:r>
              <w:rPr>
                <w:spacing w:val="-4"/>
                <w:sz w:val="24"/>
              </w:rPr>
              <w:t>MCGM</w:t>
            </w:r>
          </w:p>
        </w:tc>
      </w:tr>
      <w:tr>
        <w:trPr>
          <w:trHeight w:val="472" w:hRule="atLeast"/>
        </w:trPr>
        <w:tc>
          <w:tcPr>
            <w:tcW w:w="742" w:type="dxa"/>
          </w:tcPr>
          <w:p>
            <w:pPr>
              <w:pStyle w:val="TableParagraph"/>
              <w:spacing w:before="95"/>
              <w:ind w:left="7"/>
              <w:jc w:val="center"/>
              <w:rPr>
                <w:sz w:val="24"/>
              </w:rPr>
            </w:pPr>
            <w:r>
              <w:rPr>
                <w:spacing w:val="-5"/>
                <w:sz w:val="24"/>
              </w:rPr>
              <w:t>32</w:t>
            </w:r>
          </w:p>
        </w:tc>
        <w:tc>
          <w:tcPr>
            <w:tcW w:w="1589" w:type="dxa"/>
            <w:vMerge w:val="restart"/>
          </w:tcPr>
          <w:p>
            <w:pPr>
              <w:pStyle w:val="TableParagraph"/>
              <w:rPr>
                <w:b/>
                <w:sz w:val="24"/>
              </w:rPr>
            </w:pPr>
          </w:p>
          <w:p>
            <w:pPr>
              <w:pStyle w:val="TableParagraph"/>
              <w:rPr>
                <w:b/>
                <w:sz w:val="24"/>
              </w:rPr>
            </w:pPr>
          </w:p>
          <w:p>
            <w:pPr>
              <w:pStyle w:val="TableParagraph"/>
              <w:rPr>
                <w:b/>
                <w:sz w:val="24"/>
              </w:rPr>
            </w:pPr>
          </w:p>
          <w:p>
            <w:pPr>
              <w:pStyle w:val="TableParagraph"/>
              <w:spacing w:before="266"/>
              <w:rPr>
                <w:b/>
                <w:sz w:val="24"/>
              </w:rPr>
            </w:pPr>
          </w:p>
          <w:p>
            <w:pPr>
              <w:pStyle w:val="TableParagraph"/>
              <w:ind w:left="383" w:right="372" w:firstLine="45"/>
              <w:jc w:val="both"/>
              <w:rPr>
                <w:sz w:val="24"/>
              </w:rPr>
            </w:pPr>
            <w:r>
              <w:rPr>
                <w:spacing w:val="-2"/>
                <w:sz w:val="24"/>
              </w:rPr>
              <w:t>Public </w:t>
            </w:r>
            <w:r>
              <w:rPr>
                <w:spacing w:val="-4"/>
                <w:sz w:val="24"/>
              </w:rPr>
              <w:t>Open </w:t>
            </w:r>
            <w:r>
              <w:rPr>
                <w:spacing w:val="-2"/>
                <w:sz w:val="24"/>
              </w:rPr>
              <w:t>Spaces</w:t>
            </w:r>
          </w:p>
        </w:tc>
        <w:tc>
          <w:tcPr>
            <w:tcW w:w="1227" w:type="dxa"/>
          </w:tcPr>
          <w:p>
            <w:pPr>
              <w:pStyle w:val="TableParagraph"/>
              <w:spacing w:before="95"/>
              <w:ind w:left="162"/>
              <w:rPr>
                <w:sz w:val="24"/>
              </w:rPr>
            </w:pPr>
            <w:r>
              <w:rPr>
                <w:spacing w:val="-2"/>
                <w:sz w:val="24"/>
              </w:rPr>
              <w:t>ROS1.2</w:t>
            </w:r>
          </w:p>
        </w:tc>
        <w:tc>
          <w:tcPr>
            <w:tcW w:w="2948" w:type="dxa"/>
          </w:tcPr>
          <w:p>
            <w:pPr>
              <w:pStyle w:val="TableParagraph"/>
              <w:spacing w:before="95"/>
              <w:ind w:left="755"/>
              <w:rPr>
                <w:sz w:val="24"/>
              </w:rPr>
            </w:pPr>
            <w:r>
              <w:rPr>
                <w:spacing w:val="-2"/>
                <w:sz w:val="24"/>
              </w:rPr>
              <w:t>Promenades</w:t>
            </w:r>
          </w:p>
        </w:tc>
        <w:tc>
          <w:tcPr>
            <w:tcW w:w="3128" w:type="dxa"/>
          </w:tcPr>
          <w:p>
            <w:pPr>
              <w:pStyle w:val="TableParagraph"/>
              <w:spacing w:before="95"/>
              <w:ind w:left="83" w:right="78"/>
              <w:jc w:val="center"/>
              <w:rPr>
                <w:sz w:val="24"/>
              </w:rPr>
            </w:pPr>
            <w:r>
              <w:rPr>
                <w:spacing w:val="-4"/>
                <w:sz w:val="24"/>
              </w:rPr>
              <w:t>MCGM</w:t>
            </w:r>
          </w:p>
        </w:tc>
      </w:tr>
      <w:tr>
        <w:trPr>
          <w:trHeight w:val="474" w:hRule="atLeast"/>
        </w:trPr>
        <w:tc>
          <w:tcPr>
            <w:tcW w:w="742" w:type="dxa"/>
          </w:tcPr>
          <w:p>
            <w:pPr>
              <w:pStyle w:val="TableParagraph"/>
              <w:spacing w:before="97"/>
              <w:ind w:left="7"/>
              <w:jc w:val="center"/>
              <w:rPr>
                <w:sz w:val="24"/>
              </w:rPr>
            </w:pPr>
            <w:r>
              <w:rPr>
                <w:spacing w:val="-5"/>
                <w:sz w:val="24"/>
              </w:rPr>
              <w:t>33</w:t>
            </w:r>
          </w:p>
        </w:tc>
        <w:tc>
          <w:tcPr>
            <w:tcW w:w="1589" w:type="dxa"/>
            <w:vMerge/>
            <w:tcBorders>
              <w:top w:val="nil"/>
            </w:tcBorders>
          </w:tcPr>
          <w:p>
            <w:pPr>
              <w:rPr>
                <w:sz w:val="2"/>
                <w:szCs w:val="2"/>
              </w:rPr>
            </w:pPr>
          </w:p>
        </w:tc>
        <w:tc>
          <w:tcPr>
            <w:tcW w:w="1227" w:type="dxa"/>
          </w:tcPr>
          <w:p>
            <w:pPr>
              <w:pStyle w:val="TableParagraph"/>
              <w:spacing w:before="97"/>
              <w:ind w:left="162"/>
              <w:rPr>
                <w:sz w:val="24"/>
              </w:rPr>
            </w:pPr>
            <w:r>
              <w:rPr>
                <w:spacing w:val="-2"/>
                <w:sz w:val="24"/>
              </w:rPr>
              <w:t>ROS1.4</w:t>
            </w:r>
          </w:p>
        </w:tc>
        <w:tc>
          <w:tcPr>
            <w:tcW w:w="2948" w:type="dxa"/>
          </w:tcPr>
          <w:p>
            <w:pPr>
              <w:pStyle w:val="TableParagraph"/>
              <w:spacing w:before="97"/>
              <w:ind w:left="738"/>
              <w:rPr>
                <w:sz w:val="24"/>
              </w:rPr>
            </w:pPr>
            <w:r>
              <w:rPr>
                <w:sz w:val="24"/>
              </w:rPr>
              <w:t>Play </w:t>
            </w:r>
            <w:r>
              <w:rPr>
                <w:spacing w:val="-2"/>
                <w:sz w:val="24"/>
              </w:rPr>
              <w:t>Ground</w:t>
            </w:r>
          </w:p>
        </w:tc>
        <w:tc>
          <w:tcPr>
            <w:tcW w:w="3128" w:type="dxa"/>
          </w:tcPr>
          <w:p>
            <w:pPr>
              <w:pStyle w:val="TableParagraph"/>
              <w:spacing w:before="97"/>
              <w:ind w:left="83" w:right="78"/>
              <w:jc w:val="center"/>
              <w:rPr>
                <w:sz w:val="24"/>
              </w:rPr>
            </w:pPr>
            <w:r>
              <w:rPr>
                <w:spacing w:val="-4"/>
                <w:sz w:val="24"/>
              </w:rPr>
              <w:t>MCGM</w:t>
            </w:r>
          </w:p>
        </w:tc>
      </w:tr>
      <w:tr>
        <w:trPr>
          <w:trHeight w:val="474" w:hRule="atLeast"/>
        </w:trPr>
        <w:tc>
          <w:tcPr>
            <w:tcW w:w="742" w:type="dxa"/>
          </w:tcPr>
          <w:p>
            <w:pPr>
              <w:pStyle w:val="TableParagraph"/>
              <w:spacing w:before="95"/>
              <w:ind w:left="7"/>
              <w:jc w:val="center"/>
              <w:rPr>
                <w:sz w:val="24"/>
              </w:rPr>
            </w:pPr>
            <w:r>
              <w:rPr>
                <w:spacing w:val="-5"/>
                <w:sz w:val="24"/>
              </w:rPr>
              <w:t>34</w:t>
            </w:r>
          </w:p>
        </w:tc>
        <w:tc>
          <w:tcPr>
            <w:tcW w:w="1589" w:type="dxa"/>
            <w:vMerge/>
            <w:tcBorders>
              <w:top w:val="nil"/>
            </w:tcBorders>
          </w:tcPr>
          <w:p>
            <w:pPr>
              <w:rPr>
                <w:sz w:val="2"/>
                <w:szCs w:val="2"/>
              </w:rPr>
            </w:pPr>
          </w:p>
        </w:tc>
        <w:tc>
          <w:tcPr>
            <w:tcW w:w="1227" w:type="dxa"/>
          </w:tcPr>
          <w:p>
            <w:pPr>
              <w:pStyle w:val="TableParagraph"/>
              <w:spacing w:before="95"/>
              <w:ind w:left="124"/>
              <w:rPr>
                <w:sz w:val="24"/>
              </w:rPr>
            </w:pPr>
            <w:r>
              <w:rPr>
                <w:sz w:val="24"/>
              </w:rPr>
              <w:t>ROS</w:t>
            </w:r>
            <w:r>
              <w:rPr>
                <w:spacing w:val="-2"/>
                <w:sz w:val="24"/>
              </w:rPr>
              <w:t> </w:t>
            </w:r>
            <w:r>
              <w:rPr>
                <w:spacing w:val="-5"/>
                <w:sz w:val="24"/>
              </w:rPr>
              <w:t>1.5</w:t>
            </w:r>
          </w:p>
        </w:tc>
        <w:tc>
          <w:tcPr>
            <w:tcW w:w="2948" w:type="dxa"/>
          </w:tcPr>
          <w:p>
            <w:pPr>
              <w:pStyle w:val="TableParagraph"/>
              <w:spacing w:before="95"/>
              <w:ind w:left="657"/>
              <w:rPr>
                <w:sz w:val="24"/>
              </w:rPr>
            </w:pPr>
            <w:r>
              <w:rPr>
                <w:sz w:val="24"/>
              </w:rPr>
              <w:t>Garden/</w:t>
            </w:r>
            <w:r>
              <w:rPr>
                <w:spacing w:val="-6"/>
                <w:sz w:val="24"/>
              </w:rPr>
              <w:t> </w:t>
            </w:r>
            <w:r>
              <w:rPr>
                <w:spacing w:val="-4"/>
                <w:sz w:val="24"/>
              </w:rPr>
              <w:t>Park</w:t>
            </w:r>
          </w:p>
        </w:tc>
        <w:tc>
          <w:tcPr>
            <w:tcW w:w="3128" w:type="dxa"/>
          </w:tcPr>
          <w:p>
            <w:pPr>
              <w:pStyle w:val="TableParagraph"/>
              <w:spacing w:before="95"/>
              <w:ind w:left="83" w:right="78"/>
              <w:jc w:val="center"/>
              <w:rPr>
                <w:sz w:val="24"/>
              </w:rPr>
            </w:pPr>
            <w:r>
              <w:rPr>
                <w:spacing w:val="-4"/>
                <w:sz w:val="24"/>
              </w:rPr>
              <w:t>MCGM</w:t>
            </w:r>
          </w:p>
        </w:tc>
      </w:tr>
      <w:tr>
        <w:trPr>
          <w:trHeight w:val="561" w:hRule="atLeast"/>
        </w:trPr>
        <w:tc>
          <w:tcPr>
            <w:tcW w:w="742" w:type="dxa"/>
          </w:tcPr>
          <w:p>
            <w:pPr>
              <w:pStyle w:val="TableParagraph"/>
              <w:spacing w:before="138"/>
              <w:ind w:left="7"/>
              <w:jc w:val="center"/>
              <w:rPr>
                <w:sz w:val="24"/>
              </w:rPr>
            </w:pPr>
            <w:r>
              <w:rPr>
                <w:spacing w:val="-5"/>
                <w:sz w:val="24"/>
              </w:rPr>
              <w:t>35</w:t>
            </w:r>
          </w:p>
        </w:tc>
        <w:tc>
          <w:tcPr>
            <w:tcW w:w="1589" w:type="dxa"/>
            <w:vMerge/>
            <w:tcBorders>
              <w:top w:val="nil"/>
            </w:tcBorders>
          </w:tcPr>
          <w:p>
            <w:pPr>
              <w:rPr>
                <w:sz w:val="2"/>
                <w:szCs w:val="2"/>
              </w:rPr>
            </w:pPr>
          </w:p>
        </w:tc>
        <w:tc>
          <w:tcPr>
            <w:tcW w:w="1227" w:type="dxa"/>
          </w:tcPr>
          <w:p>
            <w:pPr>
              <w:pStyle w:val="TableParagraph"/>
              <w:spacing w:before="138"/>
              <w:ind w:left="162"/>
              <w:rPr>
                <w:sz w:val="24"/>
              </w:rPr>
            </w:pPr>
            <w:r>
              <w:rPr>
                <w:spacing w:val="-2"/>
                <w:sz w:val="24"/>
              </w:rPr>
              <w:t>ROS2.1</w:t>
            </w:r>
          </w:p>
        </w:tc>
        <w:tc>
          <w:tcPr>
            <w:tcW w:w="2948" w:type="dxa"/>
          </w:tcPr>
          <w:p>
            <w:pPr>
              <w:pStyle w:val="TableParagraph"/>
              <w:spacing w:line="280" w:lineRule="exact"/>
              <w:ind w:left="827" w:right="815" w:firstLine="261"/>
              <w:rPr>
                <w:sz w:val="24"/>
              </w:rPr>
            </w:pPr>
            <w:r>
              <w:rPr>
                <w:spacing w:val="-2"/>
                <w:sz w:val="24"/>
              </w:rPr>
              <w:t>Club/ Gymkhana</w:t>
            </w:r>
          </w:p>
        </w:tc>
        <w:tc>
          <w:tcPr>
            <w:tcW w:w="3128" w:type="dxa"/>
          </w:tcPr>
          <w:p>
            <w:pPr>
              <w:pStyle w:val="TableParagraph"/>
              <w:spacing w:before="138"/>
              <w:ind w:left="83" w:right="78"/>
              <w:jc w:val="center"/>
              <w:rPr>
                <w:sz w:val="24"/>
              </w:rPr>
            </w:pPr>
            <w:r>
              <w:rPr>
                <w:spacing w:val="-4"/>
                <w:sz w:val="24"/>
              </w:rPr>
              <w:t>MCGM</w:t>
            </w:r>
          </w:p>
        </w:tc>
      </w:tr>
      <w:tr>
        <w:trPr>
          <w:trHeight w:val="474" w:hRule="atLeast"/>
        </w:trPr>
        <w:tc>
          <w:tcPr>
            <w:tcW w:w="742" w:type="dxa"/>
          </w:tcPr>
          <w:p>
            <w:pPr>
              <w:pStyle w:val="TableParagraph"/>
              <w:spacing w:before="97"/>
              <w:ind w:left="7"/>
              <w:jc w:val="center"/>
              <w:rPr>
                <w:sz w:val="24"/>
              </w:rPr>
            </w:pPr>
            <w:r>
              <w:rPr>
                <w:spacing w:val="-5"/>
                <w:sz w:val="24"/>
              </w:rPr>
              <w:t>36</w:t>
            </w:r>
          </w:p>
        </w:tc>
        <w:tc>
          <w:tcPr>
            <w:tcW w:w="1589" w:type="dxa"/>
            <w:vMerge/>
            <w:tcBorders>
              <w:top w:val="nil"/>
            </w:tcBorders>
          </w:tcPr>
          <w:p>
            <w:pPr>
              <w:rPr>
                <w:sz w:val="2"/>
                <w:szCs w:val="2"/>
              </w:rPr>
            </w:pPr>
          </w:p>
        </w:tc>
        <w:tc>
          <w:tcPr>
            <w:tcW w:w="1227" w:type="dxa"/>
          </w:tcPr>
          <w:p>
            <w:pPr>
              <w:pStyle w:val="TableParagraph"/>
              <w:spacing w:before="97"/>
              <w:ind w:left="162"/>
              <w:rPr>
                <w:sz w:val="24"/>
              </w:rPr>
            </w:pPr>
            <w:r>
              <w:rPr>
                <w:spacing w:val="-2"/>
                <w:sz w:val="24"/>
              </w:rPr>
              <w:t>ROS2.3</w:t>
            </w:r>
          </w:p>
        </w:tc>
        <w:tc>
          <w:tcPr>
            <w:tcW w:w="2948" w:type="dxa"/>
          </w:tcPr>
          <w:p>
            <w:pPr>
              <w:pStyle w:val="TableParagraph"/>
              <w:spacing w:before="97"/>
              <w:ind w:right="51"/>
              <w:jc w:val="center"/>
              <w:rPr>
                <w:sz w:val="24"/>
              </w:rPr>
            </w:pPr>
            <w:r>
              <w:rPr>
                <w:spacing w:val="-5"/>
                <w:sz w:val="24"/>
              </w:rPr>
              <w:t>Zoo</w:t>
            </w:r>
          </w:p>
        </w:tc>
        <w:tc>
          <w:tcPr>
            <w:tcW w:w="3128" w:type="dxa"/>
          </w:tcPr>
          <w:p>
            <w:pPr>
              <w:pStyle w:val="TableParagraph"/>
              <w:spacing w:before="97"/>
              <w:ind w:left="83" w:right="78"/>
              <w:jc w:val="center"/>
              <w:rPr>
                <w:sz w:val="24"/>
              </w:rPr>
            </w:pPr>
            <w:r>
              <w:rPr>
                <w:spacing w:val="-4"/>
                <w:sz w:val="24"/>
              </w:rPr>
              <w:t>MCGM</w:t>
            </w:r>
          </w:p>
        </w:tc>
      </w:tr>
    </w:tbl>
    <w:p>
      <w:pPr>
        <w:pStyle w:val="TableParagraph"/>
        <w:spacing w:after="0"/>
        <w:jc w:val="center"/>
        <w:rPr>
          <w:sz w:val="24"/>
        </w:rPr>
        <w:sectPr>
          <w:pgSz w:w="11910" w:h="16850"/>
          <w:pgMar w:header="1082" w:footer="945" w:top="1520" w:bottom="1140" w:left="360" w:right="360"/>
        </w:sectPr>
      </w:pPr>
    </w:p>
    <w:p>
      <w:pPr>
        <w:pStyle w:val="BodyText"/>
        <w:spacing w:before="7"/>
        <w:jc w:val="left"/>
        <w:rPr>
          <w:b/>
          <w:sz w:val="18"/>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2"/>
        <w:gridCol w:w="1589"/>
        <w:gridCol w:w="1227"/>
        <w:gridCol w:w="2948"/>
        <w:gridCol w:w="3128"/>
      </w:tblGrid>
      <w:tr>
        <w:trPr>
          <w:trHeight w:val="474" w:hRule="atLeast"/>
        </w:trPr>
        <w:tc>
          <w:tcPr>
            <w:tcW w:w="742" w:type="dxa"/>
            <w:vMerge w:val="restart"/>
            <w:shd w:val="clear" w:color="auto" w:fill="EDEBE0"/>
          </w:tcPr>
          <w:p>
            <w:pPr>
              <w:pStyle w:val="TableParagraph"/>
              <w:spacing w:before="95"/>
              <w:ind w:left="213" w:right="185" w:hanging="15"/>
              <w:rPr>
                <w:sz w:val="24"/>
              </w:rPr>
            </w:pPr>
            <w:r>
              <w:rPr>
                <w:spacing w:val="-4"/>
                <w:sz w:val="24"/>
              </w:rPr>
              <w:t>Sr. </w:t>
            </w:r>
            <w:r>
              <w:rPr>
                <w:spacing w:val="-5"/>
                <w:sz w:val="24"/>
              </w:rPr>
              <w:t>No</w:t>
            </w:r>
          </w:p>
        </w:tc>
        <w:tc>
          <w:tcPr>
            <w:tcW w:w="1589" w:type="dxa"/>
            <w:vMerge w:val="restart"/>
            <w:tcBorders>
              <w:bottom w:val="nil"/>
            </w:tcBorders>
            <w:shd w:val="clear" w:color="auto" w:fill="EDEBE0"/>
          </w:tcPr>
          <w:p>
            <w:pPr>
              <w:pStyle w:val="TableParagraph"/>
              <w:spacing w:before="95"/>
              <w:ind w:left="117"/>
              <w:jc w:val="center"/>
              <w:rPr>
                <w:sz w:val="24"/>
              </w:rPr>
            </w:pPr>
            <w:r>
              <w:rPr>
                <w:spacing w:val="-2"/>
                <w:sz w:val="24"/>
              </w:rPr>
              <w:t>Reservation </w:t>
            </w:r>
            <w:r>
              <w:rPr>
                <w:spacing w:val="-4"/>
                <w:sz w:val="24"/>
              </w:rPr>
              <w:t>main </w:t>
            </w:r>
            <w:r>
              <w:rPr>
                <w:spacing w:val="-2"/>
                <w:sz w:val="24"/>
              </w:rPr>
              <w:t>Category</w:t>
            </w:r>
          </w:p>
        </w:tc>
        <w:tc>
          <w:tcPr>
            <w:tcW w:w="4175" w:type="dxa"/>
            <w:gridSpan w:val="2"/>
            <w:shd w:val="clear" w:color="auto" w:fill="EDEBE0"/>
          </w:tcPr>
          <w:p>
            <w:pPr>
              <w:pStyle w:val="TableParagraph"/>
              <w:spacing w:before="95"/>
              <w:ind w:left="571"/>
              <w:rPr>
                <w:sz w:val="24"/>
              </w:rPr>
            </w:pPr>
            <w:r>
              <w:rPr>
                <w:sz w:val="24"/>
              </w:rPr>
              <w:t>Reservation</w:t>
            </w:r>
            <w:r>
              <w:rPr>
                <w:spacing w:val="-6"/>
                <w:sz w:val="24"/>
              </w:rPr>
              <w:t> </w:t>
            </w:r>
            <w:r>
              <w:rPr>
                <w:sz w:val="24"/>
              </w:rPr>
              <w:t>Sub</w:t>
            </w:r>
            <w:r>
              <w:rPr>
                <w:spacing w:val="-6"/>
                <w:sz w:val="24"/>
              </w:rPr>
              <w:t> </w:t>
            </w:r>
            <w:r>
              <w:rPr>
                <w:spacing w:val="-2"/>
                <w:sz w:val="24"/>
              </w:rPr>
              <w:t>Category</w:t>
            </w:r>
          </w:p>
        </w:tc>
        <w:tc>
          <w:tcPr>
            <w:tcW w:w="3128" w:type="dxa"/>
            <w:vMerge w:val="restart"/>
            <w:shd w:val="clear" w:color="auto" w:fill="EDEBE0"/>
          </w:tcPr>
          <w:p>
            <w:pPr>
              <w:pStyle w:val="TableParagraph"/>
              <w:spacing w:before="95"/>
              <w:ind w:left="277"/>
              <w:rPr>
                <w:sz w:val="24"/>
              </w:rPr>
            </w:pPr>
            <w:r>
              <w:rPr>
                <w:sz w:val="24"/>
              </w:rPr>
              <w:t>Appropriate </w:t>
            </w:r>
            <w:r>
              <w:rPr>
                <w:spacing w:val="-2"/>
                <w:sz w:val="24"/>
              </w:rPr>
              <w:t>Authority</w:t>
            </w:r>
          </w:p>
        </w:tc>
      </w:tr>
      <w:tr>
        <w:trPr>
          <w:trHeight w:val="664" w:hRule="atLeast"/>
        </w:trPr>
        <w:tc>
          <w:tcPr>
            <w:tcW w:w="742" w:type="dxa"/>
            <w:vMerge/>
            <w:tcBorders>
              <w:top w:val="nil"/>
            </w:tcBorders>
            <w:shd w:val="clear" w:color="auto" w:fill="EDEBE0"/>
          </w:tcPr>
          <w:p>
            <w:pPr>
              <w:rPr>
                <w:sz w:val="2"/>
                <w:szCs w:val="2"/>
              </w:rPr>
            </w:pPr>
          </w:p>
        </w:tc>
        <w:tc>
          <w:tcPr>
            <w:tcW w:w="1589" w:type="dxa"/>
            <w:vMerge/>
            <w:tcBorders>
              <w:top w:val="nil"/>
              <w:bottom w:val="nil"/>
            </w:tcBorders>
            <w:shd w:val="clear" w:color="auto" w:fill="EDEBE0"/>
          </w:tcPr>
          <w:p>
            <w:pPr>
              <w:rPr>
                <w:sz w:val="2"/>
                <w:szCs w:val="2"/>
              </w:rPr>
            </w:pPr>
          </w:p>
        </w:tc>
        <w:tc>
          <w:tcPr>
            <w:tcW w:w="1227" w:type="dxa"/>
            <w:shd w:val="clear" w:color="auto" w:fill="EDEBE0"/>
          </w:tcPr>
          <w:p>
            <w:pPr>
              <w:pStyle w:val="TableParagraph"/>
              <w:spacing w:before="95"/>
              <w:ind w:left="319"/>
              <w:rPr>
                <w:sz w:val="24"/>
              </w:rPr>
            </w:pPr>
            <w:r>
              <w:rPr>
                <w:spacing w:val="-4"/>
                <w:sz w:val="24"/>
              </w:rPr>
              <w:t>Code</w:t>
            </w:r>
          </w:p>
        </w:tc>
        <w:tc>
          <w:tcPr>
            <w:tcW w:w="2948" w:type="dxa"/>
            <w:shd w:val="clear" w:color="auto" w:fill="EDEBE0"/>
          </w:tcPr>
          <w:p>
            <w:pPr>
              <w:pStyle w:val="TableParagraph"/>
              <w:spacing w:before="95"/>
              <w:ind w:left="94" w:right="86"/>
              <w:jc w:val="center"/>
              <w:rPr>
                <w:sz w:val="24"/>
              </w:rPr>
            </w:pPr>
            <w:r>
              <w:rPr>
                <w:spacing w:val="-4"/>
                <w:sz w:val="24"/>
              </w:rPr>
              <w:t>Name</w:t>
            </w:r>
          </w:p>
        </w:tc>
        <w:tc>
          <w:tcPr>
            <w:tcW w:w="3128" w:type="dxa"/>
            <w:vMerge/>
            <w:tcBorders>
              <w:top w:val="nil"/>
            </w:tcBorders>
            <w:shd w:val="clear" w:color="auto" w:fill="EDEBE0"/>
          </w:tcPr>
          <w:p>
            <w:pPr>
              <w:rPr>
                <w:sz w:val="2"/>
                <w:szCs w:val="2"/>
              </w:rPr>
            </w:pPr>
          </w:p>
        </w:tc>
      </w:tr>
      <w:tr>
        <w:trPr>
          <w:trHeight w:val="755" w:hRule="atLeast"/>
        </w:trPr>
        <w:tc>
          <w:tcPr>
            <w:tcW w:w="742" w:type="dxa"/>
          </w:tcPr>
          <w:p>
            <w:pPr>
              <w:pStyle w:val="TableParagraph"/>
              <w:spacing w:before="236"/>
              <w:ind w:right="211"/>
              <w:jc w:val="right"/>
              <w:rPr>
                <w:sz w:val="24"/>
              </w:rPr>
            </w:pPr>
            <w:r>
              <w:rPr>
                <w:spacing w:val="-5"/>
                <w:sz w:val="24"/>
              </w:rPr>
              <w:t>37</w:t>
            </w:r>
          </w:p>
        </w:tc>
        <w:tc>
          <w:tcPr>
            <w:tcW w:w="1589" w:type="dxa"/>
            <w:vMerge w:val="restart"/>
            <w:tcBorders>
              <w:top w:val="nil"/>
            </w:tcBorders>
          </w:tcPr>
          <w:p>
            <w:pPr>
              <w:pStyle w:val="TableParagraph"/>
              <w:rPr>
                <w:rFonts w:ascii="Times New Roman"/>
                <w:sz w:val="22"/>
              </w:rPr>
            </w:pPr>
          </w:p>
        </w:tc>
        <w:tc>
          <w:tcPr>
            <w:tcW w:w="1227" w:type="dxa"/>
          </w:tcPr>
          <w:p>
            <w:pPr>
              <w:pStyle w:val="TableParagraph"/>
              <w:spacing w:before="95"/>
              <w:ind w:left="160"/>
              <w:rPr>
                <w:sz w:val="24"/>
              </w:rPr>
            </w:pPr>
            <w:r>
              <w:rPr>
                <w:spacing w:val="-2"/>
                <w:sz w:val="24"/>
              </w:rPr>
              <w:t>ROS2.4</w:t>
            </w:r>
          </w:p>
        </w:tc>
        <w:tc>
          <w:tcPr>
            <w:tcW w:w="2948" w:type="dxa"/>
          </w:tcPr>
          <w:p>
            <w:pPr>
              <w:pStyle w:val="TableParagraph"/>
              <w:spacing w:before="95"/>
              <w:ind w:left="933" w:right="106" w:hanging="497"/>
              <w:rPr>
                <w:sz w:val="24"/>
              </w:rPr>
            </w:pPr>
            <w:r>
              <w:rPr>
                <w:sz w:val="24"/>
              </w:rPr>
              <w:t>Municipal</w:t>
            </w:r>
            <w:r>
              <w:rPr>
                <w:spacing w:val="-20"/>
                <w:sz w:val="24"/>
              </w:rPr>
              <w:t> </w:t>
            </w:r>
            <w:r>
              <w:rPr>
                <w:sz w:val="24"/>
              </w:rPr>
              <w:t>Sports </w:t>
            </w:r>
            <w:r>
              <w:rPr>
                <w:spacing w:val="-2"/>
                <w:sz w:val="24"/>
              </w:rPr>
              <w:t>Complex</w:t>
            </w:r>
          </w:p>
        </w:tc>
        <w:tc>
          <w:tcPr>
            <w:tcW w:w="3128" w:type="dxa"/>
          </w:tcPr>
          <w:p>
            <w:pPr>
              <w:pStyle w:val="TableParagraph"/>
              <w:spacing w:before="236"/>
              <w:ind w:left="83" w:right="78"/>
              <w:jc w:val="center"/>
              <w:rPr>
                <w:sz w:val="24"/>
              </w:rPr>
            </w:pPr>
            <w:r>
              <w:rPr>
                <w:spacing w:val="-4"/>
                <w:sz w:val="24"/>
              </w:rPr>
              <w:t>MCGM</w:t>
            </w:r>
          </w:p>
        </w:tc>
      </w:tr>
      <w:tr>
        <w:trPr>
          <w:trHeight w:val="1036" w:hRule="atLeast"/>
        </w:trPr>
        <w:tc>
          <w:tcPr>
            <w:tcW w:w="742" w:type="dxa"/>
          </w:tcPr>
          <w:p>
            <w:pPr>
              <w:pStyle w:val="TableParagraph"/>
              <w:spacing w:before="94"/>
              <w:rPr>
                <w:b/>
                <w:sz w:val="24"/>
              </w:rPr>
            </w:pPr>
          </w:p>
          <w:p>
            <w:pPr>
              <w:pStyle w:val="TableParagraph"/>
              <w:ind w:right="211"/>
              <w:jc w:val="right"/>
              <w:rPr>
                <w:sz w:val="24"/>
              </w:rPr>
            </w:pPr>
            <w:r>
              <w:rPr>
                <w:spacing w:val="-5"/>
                <w:sz w:val="24"/>
              </w:rPr>
              <w:t>38</w:t>
            </w:r>
          </w:p>
        </w:tc>
        <w:tc>
          <w:tcPr>
            <w:tcW w:w="1589" w:type="dxa"/>
            <w:vMerge/>
            <w:tcBorders>
              <w:top w:val="nil"/>
            </w:tcBorders>
          </w:tcPr>
          <w:p>
            <w:pPr>
              <w:rPr>
                <w:sz w:val="2"/>
                <w:szCs w:val="2"/>
              </w:rPr>
            </w:pPr>
          </w:p>
        </w:tc>
        <w:tc>
          <w:tcPr>
            <w:tcW w:w="1227" w:type="dxa"/>
          </w:tcPr>
          <w:p>
            <w:pPr>
              <w:pStyle w:val="TableParagraph"/>
              <w:spacing w:before="94"/>
              <w:rPr>
                <w:b/>
                <w:sz w:val="24"/>
              </w:rPr>
            </w:pPr>
          </w:p>
          <w:p>
            <w:pPr>
              <w:pStyle w:val="TableParagraph"/>
              <w:ind w:left="162"/>
              <w:rPr>
                <w:sz w:val="24"/>
              </w:rPr>
            </w:pPr>
            <w:r>
              <w:rPr>
                <w:spacing w:val="-2"/>
                <w:sz w:val="24"/>
              </w:rPr>
              <w:t>ROS2.5</w:t>
            </w:r>
          </w:p>
        </w:tc>
        <w:tc>
          <w:tcPr>
            <w:tcW w:w="2948" w:type="dxa"/>
          </w:tcPr>
          <w:p>
            <w:pPr>
              <w:pStyle w:val="TableParagraph"/>
              <w:spacing w:before="236"/>
              <w:ind w:left="942" w:right="106" w:hanging="502"/>
              <w:rPr>
                <w:sz w:val="24"/>
              </w:rPr>
            </w:pPr>
            <w:r>
              <w:rPr>
                <w:sz w:val="24"/>
              </w:rPr>
              <w:t>Sports</w:t>
            </w:r>
            <w:r>
              <w:rPr>
                <w:spacing w:val="-20"/>
                <w:sz w:val="24"/>
              </w:rPr>
              <w:t> </w:t>
            </w:r>
            <w:r>
              <w:rPr>
                <w:sz w:val="24"/>
              </w:rPr>
              <w:t>Complex/ </w:t>
            </w:r>
            <w:r>
              <w:rPr>
                <w:spacing w:val="-2"/>
                <w:sz w:val="24"/>
              </w:rPr>
              <w:t>Stadium</w:t>
            </w:r>
          </w:p>
        </w:tc>
        <w:tc>
          <w:tcPr>
            <w:tcW w:w="3128" w:type="dxa"/>
          </w:tcPr>
          <w:p>
            <w:pPr>
              <w:pStyle w:val="TableParagraph"/>
              <w:spacing w:before="95"/>
              <w:ind w:left="83" w:right="76"/>
              <w:jc w:val="center"/>
              <w:rPr>
                <w:sz w:val="24"/>
              </w:rPr>
            </w:pPr>
            <w:r>
              <w:rPr>
                <w:sz w:val="24"/>
              </w:rPr>
              <w:t>MCGM / School Education</w:t>
            </w:r>
            <w:r>
              <w:rPr>
                <w:spacing w:val="-19"/>
                <w:sz w:val="24"/>
              </w:rPr>
              <w:t> </w:t>
            </w:r>
            <w:r>
              <w:rPr>
                <w:sz w:val="24"/>
              </w:rPr>
              <w:t>&amp;</w:t>
            </w:r>
            <w:r>
              <w:rPr>
                <w:spacing w:val="-19"/>
                <w:sz w:val="24"/>
              </w:rPr>
              <w:t> </w:t>
            </w:r>
            <w:r>
              <w:rPr>
                <w:sz w:val="24"/>
              </w:rPr>
              <w:t>Sports Department GOM</w:t>
            </w:r>
          </w:p>
        </w:tc>
      </w:tr>
      <w:tr>
        <w:trPr>
          <w:trHeight w:val="485" w:hRule="atLeast"/>
        </w:trPr>
        <w:tc>
          <w:tcPr>
            <w:tcW w:w="742" w:type="dxa"/>
          </w:tcPr>
          <w:p>
            <w:pPr>
              <w:pStyle w:val="TableParagraph"/>
              <w:spacing w:before="103"/>
              <w:ind w:left="107"/>
              <w:rPr>
                <w:sz w:val="24"/>
              </w:rPr>
            </w:pPr>
            <w:r>
              <w:rPr>
                <w:spacing w:val="-5"/>
                <w:sz w:val="24"/>
              </w:rPr>
              <w:t>39</w:t>
            </w:r>
          </w:p>
        </w:tc>
        <w:tc>
          <w:tcPr>
            <w:tcW w:w="1589" w:type="dxa"/>
            <w:vMerge/>
            <w:tcBorders>
              <w:top w:val="nil"/>
            </w:tcBorders>
          </w:tcPr>
          <w:p>
            <w:pPr>
              <w:rPr>
                <w:sz w:val="2"/>
                <w:szCs w:val="2"/>
              </w:rPr>
            </w:pPr>
          </w:p>
        </w:tc>
        <w:tc>
          <w:tcPr>
            <w:tcW w:w="1227" w:type="dxa"/>
          </w:tcPr>
          <w:p>
            <w:pPr>
              <w:pStyle w:val="TableParagraph"/>
              <w:spacing w:before="103"/>
              <w:ind w:left="107"/>
              <w:rPr>
                <w:sz w:val="24"/>
              </w:rPr>
            </w:pPr>
            <w:r>
              <w:rPr>
                <w:spacing w:val="-2"/>
                <w:sz w:val="24"/>
              </w:rPr>
              <w:t>ROS2.8</w:t>
            </w:r>
          </w:p>
        </w:tc>
        <w:tc>
          <w:tcPr>
            <w:tcW w:w="2948" w:type="dxa"/>
          </w:tcPr>
          <w:p>
            <w:pPr>
              <w:pStyle w:val="TableParagraph"/>
              <w:spacing w:before="103"/>
              <w:ind w:left="107"/>
              <w:rPr>
                <w:sz w:val="24"/>
              </w:rPr>
            </w:pPr>
            <w:r>
              <w:rPr>
                <w:sz w:val="24"/>
              </w:rPr>
              <w:t>Botanical </w:t>
            </w:r>
            <w:r>
              <w:rPr>
                <w:spacing w:val="-2"/>
                <w:sz w:val="24"/>
              </w:rPr>
              <w:t>Garden</w:t>
            </w:r>
          </w:p>
        </w:tc>
        <w:tc>
          <w:tcPr>
            <w:tcW w:w="3128" w:type="dxa"/>
          </w:tcPr>
          <w:p>
            <w:pPr>
              <w:pStyle w:val="TableParagraph"/>
              <w:spacing w:before="103"/>
              <w:ind w:left="83" w:right="78"/>
              <w:jc w:val="center"/>
              <w:rPr>
                <w:sz w:val="24"/>
              </w:rPr>
            </w:pPr>
            <w:r>
              <w:rPr>
                <w:spacing w:val="-4"/>
                <w:sz w:val="24"/>
              </w:rPr>
              <w:t>MCGM</w:t>
            </w:r>
          </w:p>
        </w:tc>
      </w:tr>
      <w:tr>
        <w:trPr>
          <w:trHeight w:val="755" w:hRule="atLeast"/>
        </w:trPr>
        <w:tc>
          <w:tcPr>
            <w:tcW w:w="742" w:type="dxa"/>
          </w:tcPr>
          <w:p>
            <w:pPr>
              <w:pStyle w:val="TableParagraph"/>
              <w:spacing w:before="236"/>
              <w:ind w:right="211"/>
              <w:jc w:val="right"/>
              <w:rPr>
                <w:sz w:val="24"/>
              </w:rPr>
            </w:pPr>
            <w:r>
              <w:rPr>
                <w:spacing w:val="-5"/>
                <w:sz w:val="24"/>
              </w:rPr>
              <w:t>40</w:t>
            </w:r>
          </w:p>
        </w:tc>
        <w:tc>
          <w:tcPr>
            <w:tcW w:w="1589" w:type="dxa"/>
            <w:vMerge w:val="restart"/>
          </w:tcPr>
          <w:p>
            <w:pPr>
              <w:pStyle w:val="TableParagraph"/>
              <w:spacing w:before="55"/>
              <w:rPr>
                <w:b/>
                <w:sz w:val="24"/>
              </w:rPr>
            </w:pPr>
          </w:p>
          <w:p>
            <w:pPr>
              <w:pStyle w:val="TableParagraph"/>
              <w:ind w:left="359" w:right="316" w:hanging="29"/>
              <w:rPr>
                <w:sz w:val="24"/>
              </w:rPr>
            </w:pPr>
            <w:r>
              <w:rPr>
                <w:spacing w:val="-2"/>
                <w:sz w:val="24"/>
              </w:rPr>
              <w:t>Primary Activity</w:t>
            </w:r>
          </w:p>
        </w:tc>
        <w:tc>
          <w:tcPr>
            <w:tcW w:w="1227" w:type="dxa"/>
          </w:tcPr>
          <w:p>
            <w:pPr>
              <w:pStyle w:val="TableParagraph"/>
              <w:spacing w:before="236"/>
              <w:ind w:left="263"/>
              <w:rPr>
                <w:sz w:val="24"/>
              </w:rPr>
            </w:pPr>
            <w:r>
              <w:rPr>
                <w:spacing w:val="-2"/>
                <w:sz w:val="24"/>
              </w:rPr>
              <w:t>RP1.1</w:t>
            </w:r>
          </w:p>
        </w:tc>
        <w:tc>
          <w:tcPr>
            <w:tcW w:w="2948" w:type="dxa"/>
          </w:tcPr>
          <w:p>
            <w:pPr>
              <w:pStyle w:val="TableParagraph"/>
              <w:spacing w:before="236"/>
              <w:ind w:left="23"/>
              <w:rPr>
                <w:sz w:val="24"/>
              </w:rPr>
            </w:pPr>
            <w:r>
              <w:rPr>
                <w:sz w:val="24"/>
              </w:rPr>
              <w:t>Fish</w:t>
            </w:r>
            <w:r>
              <w:rPr>
                <w:spacing w:val="-3"/>
                <w:sz w:val="24"/>
              </w:rPr>
              <w:t> </w:t>
            </w:r>
            <w:r>
              <w:rPr>
                <w:sz w:val="24"/>
              </w:rPr>
              <w:t>&amp;</w:t>
            </w:r>
            <w:r>
              <w:rPr>
                <w:spacing w:val="-1"/>
                <w:sz w:val="24"/>
              </w:rPr>
              <w:t> </w:t>
            </w:r>
            <w:r>
              <w:rPr>
                <w:sz w:val="24"/>
              </w:rPr>
              <w:t>Net</w:t>
            </w:r>
            <w:r>
              <w:rPr>
                <w:spacing w:val="-1"/>
                <w:sz w:val="24"/>
              </w:rPr>
              <w:t> </w:t>
            </w:r>
            <w:r>
              <w:rPr>
                <w:sz w:val="24"/>
              </w:rPr>
              <w:t>Drying </w:t>
            </w:r>
            <w:r>
              <w:rPr>
                <w:spacing w:val="-2"/>
                <w:sz w:val="24"/>
              </w:rPr>
              <w:t>yards</w:t>
            </w:r>
          </w:p>
        </w:tc>
        <w:tc>
          <w:tcPr>
            <w:tcW w:w="3128" w:type="dxa"/>
          </w:tcPr>
          <w:p>
            <w:pPr>
              <w:pStyle w:val="TableParagraph"/>
              <w:spacing w:before="97"/>
              <w:ind w:left="1259" w:hanging="1007"/>
              <w:rPr>
                <w:sz w:val="24"/>
              </w:rPr>
            </w:pPr>
            <w:r>
              <w:rPr>
                <w:sz w:val="24"/>
              </w:rPr>
              <w:t>Fisheries</w:t>
            </w:r>
            <w:r>
              <w:rPr>
                <w:spacing w:val="-20"/>
                <w:sz w:val="24"/>
              </w:rPr>
              <w:t> </w:t>
            </w:r>
            <w:r>
              <w:rPr>
                <w:sz w:val="24"/>
              </w:rPr>
              <w:t>Department, </w:t>
            </w:r>
            <w:r>
              <w:rPr>
                <w:spacing w:val="-4"/>
                <w:sz w:val="24"/>
              </w:rPr>
              <w:t>GOM</w:t>
            </w:r>
          </w:p>
        </w:tc>
      </w:tr>
      <w:tr>
        <w:trPr>
          <w:trHeight w:val="474" w:hRule="atLeast"/>
        </w:trPr>
        <w:tc>
          <w:tcPr>
            <w:tcW w:w="742" w:type="dxa"/>
          </w:tcPr>
          <w:p>
            <w:pPr>
              <w:pStyle w:val="TableParagraph"/>
              <w:spacing w:before="95"/>
              <w:ind w:right="211"/>
              <w:jc w:val="right"/>
              <w:rPr>
                <w:sz w:val="24"/>
              </w:rPr>
            </w:pPr>
            <w:r>
              <w:rPr>
                <w:spacing w:val="-5"/>
                <w:sz w:val="24"/>
              </w:rPr>
              <w:t>41</w:t>
            </w:r>
          </w:p>
        </w:tc>
        <w:tc>
          <w:tcPr>
            <w:tcW w:w="1589" w:type="dxa"/>
            <w:vMerge/>
            <w:tcBorders>
              <w:top w:val="nil"/>
            </w:tcBorders>
          </w:tcPr>
          <w:p>
            <w:pPr>
              <w:rPr>
                <w:sz w:val="2"/>
                <w:szCs w:val="2"/>
              </w:rPr>
            </w:pPr>
          </w:p>
        </w:tc>
        <w:tc>
          <w:tcPr>
            <w:tcW w:w="1227" w:type="dxa"/>
          </w:tcPr>
          <w:p>
            <w:pPr>
              <w:pStyle w:val="TableParagraph"/>
              <w:spacing w:before="95"/>
              <w:ind w:left="220"/>
              <w:rPr>
                <w:sz w:val="24"/>
              </w:rPr>
            </w:pPr>
            <w:r>
              <w:rPr>
                <w:spacing w:val="-2"/>
                <w:sz w:val="24"/>
              </w:rPr>
              <w:t>RP2.1</w:t>
            </w:r>
          </w:p>
        </w:tc>
        <w:tc>
          <w:tcPr>
            <w:tcW w:w="2948" w:type="dxa"/>
          </w:tcPr>
          <w:p>
            <w:pPr>
              <w:pStyle w:val="TableParagraph"/>
              <w:spacing w:before="95"/>
              <w:ind w:left="791"/>
              <w:rPr>
                <w:sz w:val="24"/>
              </w:rPr>
            </w:pPr>
            <w:r>
              <w:rPr>
                <w:sz w:val="24"/>
              </w:rPr>
              <w:t>Dhobi </w:t>
            </w:r>
            <w:r>
              <w:rPr>
                <w:spacing w:val="-4"/>
                <w:sz w:val="24"/>
              </w:rPr>
              <w:t>Ghat</w:t>
            </w:r>
          </w:p>
        </w:tc>
        <w:tc>
          <w:tcPr>
            <w:tcW w:w="3128" w:type="dxa"/>
          </w:tcPr>
          <w:p>
            <w:pPr>
              <w:pStyle w:val="TableParagraph"/>
              <w:spacing w:before="95"/>
              <w:ind w:left="83" w:right="78"/>
              <w:jc w:val="center"/>
              <w:rPr>
                <w:sz w:val="24"/>
              </w:rPr>
            </w:pPr>
            <w:r>
              <w:rPr>
                <w:spacing w:val="-4"/>
                <w:sz w:val="24"/>
              </w:rPr>
              <w:t>MCGM</w:t>
            </w:r>
          </w:p>
        </w:tc>
      </w:tr>
      <w:tr>
        <w:trPr>
          <w:trHeight w:val="472" w:hRule="atLeast"/>
        </w:trPr>
        <w:tc>
          <w:tcPr>
            <w:tcW w:w="742" w:type="dxa"/>
          </w:tcPr>
          <w:p>
            <w:pPr>
              <w:pStyle w:val="TableParagraph"/>
              <w:spacing w:before="95"/>
              <w:ind w:right="211"/>
              <w:jc w:val="right"/>
              <w:rPr>
                <w:sz w:val="24"/>
              </w:rPr>
            </w:pPr>
            <w:r>
              <w:rPr>
                <w:spacing w:val="-5"/>
                <w:sz w:val="24"/>
              </w:rPr>
              <w:t>42</w:t>
            </w:r>
          </w:p>
        </w:tc>
        <w:tc>
          <w:tcPr>
            <w:tcW w:w="1589"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07"/>
              <w:rPr>
                <w:b/>
                <w:sz w:val="24"/>
              </w:rPr>
            </w:pPr>
          </w:p>
          <w:p>
            <w:pPr>
              <w:pStyle w:val="TableParagraph"/>
              <w:ind w:left="206" w:right="195"/>
              <w:jc w:val="center"/>
              <w:rPr>
                <w:sz w:val="24"/>
              </w:rPr>
            </w:pPr>
            <w:r>
              <w:rPr>
                <w:spacing w:val="-2"/>
                <w:sz w:val="24"/>
              </w:rPr>
              <w:t>Public </w:t>
            </w:r>
            <w:r>
              <w:rPr>
                <w:sz w:val="24"/>
              </w:rPr>
              <w:t>Utilities</w:t>
            </w:r>
            <w:r>
              <w:rPr>
                <w:spacing w:val="-20"/>
                <w:sz w:val="24"/>
              </w:rPr>
              <w:t> </w:t>
            </w:r>
            <w:r>
              <w:rPr>
                <w:sz w:val="24"/>
              </w:rPr>
              <w:t>&amp; </w:t>
            </w:r>
            <w:r>
              <w:rPr>
                <w:spacing w:val="-2"/>
                <w:sz w:val="24"/>
              </w:rPr>
              <w:t>Facilities.</w:t>
            </w:r>
          </w:p>
        </w:tc>
        <w:tc>
          <w:tcPr>
            <w:tcW w:w="1227" w:type="dxa"/>
          </w:tcPr>
          <w:p>
            <w:pPr>
              <w:pStyle w:val="TableParagraph"/>
              <w:spacing w:before="95"/>
              <w:ind w:left="131"/>
              <w:rPr>
                <w:sz w:val="24"/>
              </w:rPr>
            </w:pPr>
            <w:r>
              <w:rPr>
                <w:sz w:val="24"/>
              </w:rPr>
              <w:t>RPU </w:t>
            </w:r>
            <w:r>
              <w:rPr>
                <w:spacing w:val="-5"/>
                <w:sz w:val="24"/>
              </w:rPr>
              <w:t>1.1</w:t>
            </w:r>
          </w:p>
        </w:tc>
        <w:tc>
          <w:tcPr>
            <w:tcW w:w="2948" w:type="dxa"/>
          </w:tcPr>
          <w:p>
            <w:pPr>
              <w:pStyle w:val="TableParagraph"/>
              <w:spacing w:before="95"/>
              <w:ind w:left="784"/>
              <w:rPr>
                <w:sz w:val="24"/>
              </w:rPr>
            </w:pPr>
            <w:r>
              <w:rPr>
                <w:sz w:val="24"/>
              </w:rPr>
              <w:t>Fire </w:t>
            </w:r>
            <w:r>
              <w:rPr>
                <w:spacing w:val="-2"/>
                <w:sz w:val="24"/>
              </w:rPr>
              <w:t>Station</w:t>
            </w:r>
          </w:p>
        </w:tc>
        <w:tc>
          <w:tcPr>
            <w:tcW w:w="3128" w:type="dxa"/>
          </w:tcPr>
          <w:p>
            <w:pPr>
              <w:pStyle w:val="TableParagraph"/>
              <w:spacing w:before="95"/>
              <w:ind w:left="83" w:right="78"/>
              <w:jc w:val="center"/>
              <w:rPr>
                <w:sz w:val="24"/>
              </w:rPr>
            </w:pPr>
            <w:r>
              <w:rPr>
                <w:spacing w:val="-4"/>
                <w:sz w:val="24"/>
              </w:rPr>
              <w:t>MCGM</w:t>
            </w:r>
          </w:p>
        </w:tc>
      </w:tr>
      <w:tr>
        <w:trPr>
          <w:trHeight w:val="1319" w:hRule="atLeast"/>
        </w:trPr>
        <w:tc>
          <w:tcPr>
            <w:tcW w:w="742" w:type="dxa"/>
          </w:tcPr>
          <w:p>
            <w:pPr>
              <w:pStyle w:val="TableParagraph"/>
              <w:spacing w:before="238"/>
              <w:rPr>
                <w:b/>
                <w:sz w:val="24"/>
              </w:rPr>
            </w:pPr>
          </w:p>
          <w:p>
            <w:pPr>
              <w:pStyle w:val="TableParagraph"/>
              <w:ind w:right="211"/>
              <w:jc w:val="right"/>
              <w:rPr>
                <w:sz w:val="24"/>
              </w:rPr>
            </w:pPr>
            <w:r>
              <w:rPr>
                <w:spacing w:val="-5"/>
                <w:sz w:val="24"/>
              </w:rPr>
              <w:t>43</w:t>
            </w:r>
          </w:p>
        </w:tc>
        <w:tc>
          <w:tcPr>
            <w:tcW w:w="1589" w:type="dxa"/>
            <w:vMerge/>
            <w:tcBorders>
              <w:top w:val="nil"/>
            </w:tcBorders>
          </w:tcPr>
          <w:p>
            <w:pPr>
              <w:rPr>
                <w:sz w:val="2"/>
                <w:szCs w:val="2"/>
              </w:rPr>
            </w:pPr>
          </w:p>
        </w:tc>
        <w:tc>
          <w:tcPr>
            <w:tcW w:w="1227" w:type="dxa"/>
          </w:tcPr>
          <w:p>
            <w:pPr>
              <w:pStyle w:val="TableParagraph"/>
              <w:spacing w:before="238"/>
              <w:rPr>
                <w:b/>
                <w:sz w:val="24"/>
              </w:rPr>
            </w:pPr>
          </w:p>
          <w:p>
            <w:pPr>
              <w:pStyle w:val="TableParagraph"/>
              <w:ind w:left="170"/>
              <w:rPr>
                <w:sz w:val="24"/>
              </w:rPr>
            </w:pPr>
            <w:r>
              <w:rPr>
                <w:spacing w:val="-2"/>
                <w:sz w:val="24"/>
              </w:rPr>
              <w:t>RPU2.1</w:t>
            </w:r>
          </w:p>
        </w:tc>
        <w:tc>
          <w:tcPr>
            <w:tcW w:w="2948" w:type="dxa"/>
          </w:tcPr>
          <w:p>
            <w:pPr>
              <w:pStyle w:val="TableParagraph"/>
              <w:spacing w:before="238"/>
              <w:rPr>
                <w:b/>
                <w:sz w:val="24"/>
              </w:rPr>
            </w:pPr>
          </w:p>
          <w:p>
            <w:pPr>
              <w:pStyle w:val="TableParagraph"/>
              <w:ind w:left="755"/>
              <w:rPr>
                <w:sz w:val="24"/>
              </w:rPr>
            </w:pPr>
            <w:r>
              <w:rPr>
                <w:sz w:val="24"/>
              </w:rPr>
              <w:t>Fuel </w:t>
            </w:r>
            <w:r>
              <w:rPr>
                <w:spacing w:val="-2"/>
                <w:sz w:val="24"/>
              </w:rPr>
              <w:t>Station</w:t>
            </w:r>
          </w:p>
        </w:tc>
        <w:tc>
          <w:tcPr>
            <w:tcW w:w="3128" w:type="dxa"/>
          </w:tcPr>
          <w:p>
            <w:pPr>
              <w:pStyle w:val="TableParagraph"/>
              <w:spacing w:before="97"/>
              <w:ind w:left="83" w:right="77"/>
              <w:jc w:val="center"/>
              <w:rPr>
                <w:sz w:val="24"/>
              </w:rPr>
            </w:pPr>
            <w:r>
              <w:rPr>
                <w:sz w:val="24"/>
              </w:rPr>
              <w:t>Ministry of Petroleum, GOI /Fuel Supply Companiesrecognized</w:t>
            </w:r>
            <w:r>
              <w:rPr>
                <w:spacing w:val="-20"/>
                <w:sz w:val="24"/>
              </w:rPr>
              <w:t> </w:t>
            </w:r>
            <w:r>
              <w:rPr>
                <w:sz w:val="24"/>
              </w:rPr>
              <w:t>by Ministry of petroleum</w:t>
            </w:r>
          </w:p>
        </w:tc>
      </w:tr>
      <w:tr>
        <w:trPr>
          <w:trHeight w:val="1132" w:hRule="atLeast"/>
        </w:trPr>
        <w:tc>
          <w:tcPr>
            <w:tcW w:w="742" w:type="dxa"/>
          </w:tcPr>
          <w:p>
            <w:pPr>
              <w:pStyle w:val="TableParagraph"/>
              <w:spacing w:before="145"/>
              <w:rPr>
                <w:b/>
                <w:sz w:val="24"/>
              </w:rPr>
            </w:pPr>
          </w:p>
          <w:p>
            <w:pPr>
              <w:pStyle w:val="TableParagraph"/>
              <w:ind w:right="211"/>
              <w:jc w:val="right"/>
              <w:rPr>
                <w:sz w:val="24"/>
              </w:rPr>
            </w:pPr>
            <w:r>
              <w:rPr>
                <w:spacing w:val="-5"/>
                <w:sz w:val="24"/>
              </w:rPr>
              <w:t>44</w:t>
            </w:r>
          </w:p>
        </w:tc>
        <w:tc>
          <w:tcPr>
            <w:tcW w:w="1589" w:type="dxa"/>
            <w:vMerge/>
            <w:tcBorders>
              <w:top w:val="nil"/>
            </w:tcBorders>
          </w:tcPr>
          <w:p>
            <w:pPr>
              <w:rPr>
                <w:sz w:val="2"/>
                <w:szCs w:val="2"/>
              </w:rPr>
            </w:pPr>
          </w:p>
        </w:tc>
        <w:tc>
          <w:tcPr>
            <w:tcW w:w="1227" w:type="dxa"/>
          </w:tcPr>
          <w:p>
            <w:pPr>
              <w:pStyle w:val="TableParagraph"/>
              <w:spacing w:before="145"/>
              <w:rPr>
                <w:b/>
                <w:sz w:val="24"/>
              </w:rPr>
            </w:pPr>
          </w:p>
          <w:p>
            <w:pPr>
              <w:pStyle w:val="TableParagraph"/>
              <w:ind w:left="107"/>
              <w:rPr>
                <w:sz w:val="24"/>
              </w:rPr>
            </w:pPr>
            <w:r>
              <w:rPr>
                <w:sz w:val="24"/>
              </w:rPr>
              <w:t>RPU </w:t>
            </w:r>
            <w:r>
              <w:rPr>
                <w:spacing w:val="-5"/>
                <w:sz w:val="24"/>
              </w:rPr>
              <w:t>3.1</w:t>
            </w:r>
          </w:p>
        </w:tc>
        <w:tc>
          <w:tcPr>
            <w:tcW w:w="2948" w:type="dxa"/>
          </w:tcPr>
          <w:p>
            <w:pPr>
              <w:pStyle w:val="TableParagraph"/>
              <w:spacing w:before="145"/>
              <w:rPr>
                <w:b/>
                <w:sz w:val="24"/>
              </w:rPr>
            </w:pPr>
          </w:p>
          <w:p>
            <w:pPr>
              <w:pStyle w:val="TableParagraph"/>
              <w:ind w:left="107"/>
              <w:rPr>
                <w:sz w:val="24"/>
              </w:rPr>
            </w:pPr>
            <w:r>
              <w:rPr>
                <w:sz w:val="24"/>
              </w:rPr>
              <w:t>Police </w:t>
            </w:r>
            <w:r>
              <w:rPr>
                <w:spacing w:val="-2"/>
                <w:sz w:val="24"/>
              </w:rPr>
              <w:t>Station</w:t>
            </w:r>
          </w:p>
        </w:tc>
        <w:tc>
          <w:tcPr>
            <w:tcW w:w="3128" w:type="dxa"/>
          </w:tcPr>
          <w:p>
            <w:pPr>
              <w:pStyle w:val="TableParagraph"/>
              <w:spacing w:before="95"/>
              <w:ind w:left="1259" w:hanging="815"/>
              <w:rPr>
                <w:sz w:val="24"/>
              </w:rPr>
            </w:pPr>
            <w:r>
              <w:rPr>
                <w:sz w:val="24"/>
              </w:rPr>
              <w:t>Home</w:t>
            </w:r>
            <w:r>
              <w:rPr>
                <w:spacing w:val="-20"/>
                <w:sz w:val="24"/>
              </w:rPr>
              <w:t> </w:t>
            </w:r>
            <w:r>
              <w:rPr>
                <w:sz w:val="24"/>
              </w:rPr>
              <w:t>Department, </w:t>
            </w:r>
            <w:r>
              <w:rPr>
                <w:spacing w:val="-4"/>
                <w:sz w:val="24"/>
              </w:rPr>
              <w:t>GOM</w:t>
            </w:r>
          </w:p>
        </w:tc>
      </w:tr>
      <w:tr>
        <w:trPr>
          <w:trHeight w:val="755" w:hRule="atLeast"/>
        </w:trPr>
        <w:tc>
          <w:tcPr>
            <w:tcW w:w="742" w:type="dxa"/>
          </w:tcPr>
          <w:p>
            <w:pPr>
              <w:pStyle w:val="TableParagraph"/>
              <w:spacing w:before="236"/>
              <w:ind w:right="211"/>
              <w:jc w:val="right"/>
              <w:rPr>
                <w:sz w:val="24"/>
              </w:rPr>
            </w:pPr>
            <w:r>
              <w:rPr>
                <w:spacing w:val="-5"/>
                <w:sz w:val="24"/>
              </w:rPr>
              <w:t>45</w:t>
            </w:r>
          </w:p>
        </w:tc>
        <w:tc>
          <w:tcPr>
            <w:tcW w:w="1589" w:type="dxa"/>
            <w:vMerge/>
            <w:tcBorders>
              <w:top w:val="nil"/>
            </w:tcBorders>
          </w:tcPr>
          <w:p>
            <w:pPr>
              <w:rPr>
                <w:sz w:val="2"/>
                <w:szCs w:val="2"/>
              </w:rPr>
            </w:pPr>
          </w:p>
        </w:tc>
        <w:tc>
          <w:tcPr>
            <w:tcW w:w="1227" w:type="dxa"/>
          </w:tcPr>
          <w:p>
            <w:pPr>
              <w:pStyle w:val="TableParagraph"/>
              <w:spacing w:before="236"/>
              <w:ind w:left="131"/>
              <w:rPr>
                <w:sz w:val="24"/>
              </w:rPr>
            </w:pPr>
            <w:r>
              <w:rPr>
                <w:sz w:val="24"/>
              </w:rPr>
              <w:t>RPU </w:t>
            </w:r>
            <w:r>
              <w:rPr>
                <w:spacing w:val="-5"/>
                <w:sz w:val="24"/>
              </w:rPr>
              <w:t>3.2</w:t>
            </w:r>
          </w:p>
        </w:tc>
        <w:tc>
          <w:tcPr>
            <w:tcW w:w="2948" w:type="dxa"/>
          </w:tcPr>
          <w:p>
            <w:pPr>
              <w:pStyle w:val="TableParagraph"/>
              <w:spacing w:before="236"/>
              <w:ind w:left="628"/>
              <w:rPr>
                <w:sz w:val="24"/>
              </w:rPr>
            </w:pPr>
            <w:r>
              <w:rPr>
                <w:sz w:val="24"/>
              </w:rPr>
              <w:t>Police </w:t>
            </w:r>
            <w:r>
              <w:rPr>
                <w:spacing w:val="-2"/>
                <w:sz w:val="24"/>
              </w:rPr>
              <w:t>Chowky</w:t>
            </w:r>
          </w:p>
        </w:tc>
        <w:tc>
          <w:tcPr>
            <w:tcW w:w="3128" w:type="dxa"/>
          </w:tcPr>
          <w:p>
            <w:pPr>
              <w:pStyle w:val="TableParagraph"/>
              <w:spacing w:before="97"/>
              <w:ind w:left="1259" w:hanging="815"/>
              <w:rPr>
                <w:sz w:val="24"/>
              </w:rPr>
            </w:pPr>
            <w:r>
              <w:rPr>
                <w:sz w:val="24"/>
              </w:rPr>
              <w:t>Home</w:t>
            </w:r>
            <w:r>
              <w:rPr>
                <w:spacing w:val="-20"/>
                <w:sz w:val="24"/>
              </w:rPr>
              <w:t> </w:t>
            </w:r>
            <w:r>
              <w:rPr>
                <w:sz w:val="24"/>
              </w:rPr>
              <w:t>Department, </w:t>
            </w:r>
            <w:r>
              <w:rPr>
                <w:spacing w:val="-4"/>
                <w:sz w:val="24"/>
              </w:rPr>
              <w:t>GOM</w:t>
            </w:r>
          </w:p>
        </w:tc>
      </w:tr>
      <w:tr>
        <w:trPr>
          <w:trHeight w:val="755" w:hRule="atLeast"/>
        </w:trPr>
        <w:tc>
          <w:tcPr>
            <w:tcW w:w="742" w:type="dxa"/>
          </w:tcPr>
          <w:p>
            <w:pPr>
              <w:pStyle w:val="TableParagraph"/>
              <w:spacing w:before="236"/>
              <w:ind w:right="211"/>
              <w:jc w:val="right"/>
              <w:rPr>
                <w:sz w:val="24"/>
              </w:rPr>
            </w:pPr>
            <w:r>
              <w:rPr>
                <w:spacing w:val="-5"/>
                <w:sz w:val="24"/>
              </w:rPr>
              <w:t>46</w:t>
            </w:r>
          </w:p>
        </w:tc>
        <w:tc>
          <w:tcPr>
            <w:tcW w:w="1589" w:type="dxa"/>
            <w:vMerge/>
            <w:tcBorders>
              <w:top w:val="nil"/>
            </w:tcBorders>
          </w:tcPr>
          <w:p>
            <w:pPr>
              <w:rPr>
                <w:sz w:val="2"/>
                <w:szCs w:val="2"/>
              </w:rPr>
            </w:pPr>
          </w:p>
        </w:tc>
        <w:tc>
          <w:tcPr>
            <w:tcW w:w="1227" w:type="dxa"/>
          </w:tcPr>
          <w:p>
            <w:pPr>
              <w:pStyle w:val="TableParagraph"/>
              <w:spacing w:before="236"/>
              <w:ind w:left="170"/>
              <w:rPr>
                <w:sz w:val="24"/>
              </w:rPr>
            </w:pPr>
            <w:r>
              <w:rPr>
                <w:spacing w:val="-2"/>
                <w:sz w:val="24"/>
              </w:rPr>
              <w:t>RPU3.3</w:t>
            </w:r>
          </w:p>
        </w:tc>
        <w:tc>
          <w:tcPr>
            <w:tcW w:w="2948" w:type="dxa"/>
          </w:tcPr>
          <w:p>
            <w:pPr>
              <w:pStyle w:val="TableParagraph"/>
              <w:spacing w:before="236"/>
              <w:ind w:left="297"/>
              <w:rPr>
                <w:sz w:val="24"/>
              </w:rPr>
            </w:pPr>
            <w:r>
              <w:rPr>
                <w:sz w:val="24"/>
              </w:rPr>
              <w:t>Correction</w:t>
            </w:r>
            <w:r>
              <w:rPr>
                <w:spacing w:val="-9"/>
                <w:sz w:val="24"/>
              </w:rPr>
              <w:t> </w:t>
            </w:r>
            <w:r>
              <w:rPr>
                <w:spacing w:val="-2"/>
                <w:sz w:val="24"/>
              </w:rPr>
              <w:t>Facilities</w:t>
            </w:r>
          </w:p>
        </w:tc>
        <w:tc>
          <w:tcPr>
            <w:tcW w:w="3128" w:type="dxa"/>
          </w:tcPr>
          <w:p>
            <w:pPr>
              <w:pStyle w:val="TableParagraph"/>
              <w:spacing w:before="97"/>
              <w:ind w:left="1259" w:hanging="815"/>
              <w:rPr>
                <w:sz w:val="24"/>
              </w:rPr>
            </w:pPr>
            <w:r>
              <w:rPr>
                <w:sz w:val="24"/>
              </w:rPr>
              <w:t>Home</w:t>
            </w:r>
            <w:r>
              <w:rPr>
                <w:spacing w:val="-20"/>
                <w:sz w:val="24"/>
              </w:rPr>
              <w:t> </w:t>
            </w:r>
            <w:r>
              <w:rPr>
                <w:sz w:val="24"/>
              </w:rPr>
              <w:t>Department, </w:t>
            </w:r>
            <w:r>
              <w:rPr>
                <w:spacing w:val="-4"/>
                <w:sz w:val="24"/>
              </w:rPr>
              <w:t>GOM</w:t>
            </w:r>
          </w:p>
        </w:tc>
      </w:tr>
      <w:tr>
        <w:trPr>
          <w:trHeight w:val="755" w:hRule="atLeast"/>
        </w:trPr>
        <w:tc>
          <w:tcPr>
            <w:tcW w:w="742" w:type="dxa"/>
          </w:tcPr>
          <w:p>
            <w:pPr>
              <w:pStyle w:val="TableParagraph"/>
              <w:spacing w:before="236"/>
              <w:ind w:right="211"/>
              <w:jc w:val="right"/>
              <w:rPr>
                <w:sz w:val="24"/>
              </w:rPr>
            </w:pPr>
            <w:r>
              <w:rPr>
                <w:spacing w:val="-5"/>
                <w:sz w:val="24"/>
              </w:rPr>
              <w:t>47</w:t>
            </w:r>
          </w:p>
        </w:tc>
        <w:tc>
          <w:tcPr>
            <w:tcW w:w="1589" w:type="dxa"/>
            <w:vMerge/>
            <w:tcBorders>
              <w:top w:val="nil"/>
            </w:tcBorders>
          </w:tcPr>
          <w:p>
            <w:pPr>
              <w:rPr>
                <w:sz w:val="2"/>
                <w:szCs w:val="2"/>
              </w:rPr>
            </w:pPr>
          </w:p>
        </w:tc>
        <w:tc>
          <w:tcPr>
            <w:tcW w:w="1227" w:type="dxa"/>
          </w:tcPr>
          <w:p>
            <w:pPr>
              <w:pStyle w:val="TableParagraph"/>
              <w:spacing w:before="236"/>
              <w:ind w:left="170"/>
              <w:rPr>
                <w:sz w:val="24"/>
              </w:rPr>
            </w:pPr>
            <w:r>
              <w:rPr>
                <w:spacing w:val="-2"/>
                <w:sz w:val="24"/>
              </w:rPr>
              <w:t>RPU3.4</w:t>
            </w:r>
          </w:p>
        </w:tc>
        <w:tc>
          <w:tcPr>
            <w:tcW w:w="2948" w:type="dxa"/>
          </w:tcPr>
          <w:p>
            <w:pPr>
              <w:pStyle w:val="TableParagraph"/>
              <w:spacing w:before="236"/>
              <w:ind w:left="573"/>
              <w:rPr>
                <w:sz w:val="24"/>
              </w:rPr>
            </w:pPr>
            <w:r>
              <w:rPr>
                <w:sz w:val="24"/>
              </w:rPr>
              <w:t>Police </w:t>
            </w:r>
            <w:r>
              <w:rPr>
                <w:spacing w:val="-2"/>
                <w:sz w:val="24"/>
              </w:rPr>
              <w:t>Facilities</w:t>
            </w:r>
          </w:p>
        </w:tc>
        <w:tc>
          <w:tcPr>
            <w:tcW w:w="3128" w:type="dxa"/>
          </w:tcPr>
          <w:p>
            <w:pPr>
              <w:pStyle w:val="TableParagraph"/>
              <w:spacing w:before="95"/>
              <w:ind w:left="1259" w:hanging="815"/>
              <w:rPr>
                <w:sz w:val="24"/>
              </w:rPr>
            </w:pPr>
            <w:r>
              <w:rPr>
                <w:sz w:val="24"/>
              </w:rPr>
              <w:t>Home</w:t>
            </w:r>
            <w:r>
              <w:rPr>
                <w:spacing w:val="-20"/>
                <w:sz w:val="24"/>
              </w:rPr>
              <w:t> </w:t>
            </w:r>
            <w:r>
              <w:rPr>
                <w:sz w:val="24"/>
              </w:rPr>
              <w:t>Department, </w:t>
            </w:r>
            <w:r>
              <w:rPr>
                <w:spacing w:val="-4"/>
                <w:sz w:val="24"/>
              </w:rPr>
              <w:t>GOM</w:t>
            </w:r>
          </w:p>
        </w:tc>
      </w:tr>
      <w:tr>
        <w:trPr>
          <w:trHeight w:val="756" w:hRule="atLeast"/>
        </w:trPr>
        <w:tc>
          <w:tcPr>
            <w:tcW w:w="742" w:type="dxa"/>
          </w:tcPr>
          <w:p>
            <w:pPr>
              <w:pStyle w:val="TableParagraph"/>
              <w:spacing w:before="237"/>
              <w:ind w:right="211"/>
              <w:jc w:val="right"/>
              <w:rPr>
                <w:sz w:val="24"/>
              </w:rPr>
            </w:pPr>
            <w:r>
              <w:rPr>
                <w:spacing w:val="-5"/>
                <w:sz w:val="24"/>
              </w:rPr>
              <w:t>48</w:t>
            </w:r>
          </w:p>
        </w:tc>
        <w:tc>
          <w:tcPr>
            <w:tcW w:w="1589" w:type="dxa"/>
            <w:vMerge/>
            <w:tcBorders>
              <w:top w:val="nil"/>
            </w:tcBorders>
          </w:tcPr>
          <w:p>
            <w:pPr>
              <w:rPr>
                <w:sz w:val="2"/>
                <w:szCs w:val="2"/>
              </w:rPr>
            </w:pPr>
          </w:p>
        </w:tc>
        <w:tc>
          <w:tcPr>
            <w:tcW w:w="1227" w:type="dxa"/>
          </w:tcPr>
          <w:p>
            <w:pPr>
              <w:pStyle w:val="TableParagraph"/>
              <w:spacing w:before="237"/>
              <w:ind w:left="131"/>
              <w:rPr>
                <w:sz w:val="24"/>
              </w:rPr>
            </w:pPr>
            <w:r>
              <w:rPr>
                <w:sz w:val="24"/>
              </w:rPr>
              <w:t>RPU </w:t>
            </w:r>
            <w:r>
              <w:rPr>
                <w:spacing w:val="-5"/>
                <w:sz w:val="24"/>
              </w:rPr>
              <w:t>3.5</w:t>
            </w:r>
          </w:p>
        </w:tc>
        <w:tc>
          <w:tcPr>
            <w:tcW w:w="2948" w:type="dxa"/>
          </w:tcPr>
          <w:p>
            <w:pPr>
              <w:pStyle w:val="TableParagraph"/>
              <w:spacing w:before="237"/>
              <w:ind w:left="94" w:right="86"/>
              <w:jc w:val="center"/>
              <w:rPr>
                <w:sz w:val="24"/>
              </w:rPr>
            </w:pPr>
            <w:r>
              <w:rPr>
                <w:spacing w:val="-2"/>
                <w:sz w:val="24"/>
              </w:rPr>
              <w:t>Courts</w:t>
            </w:r>
          </w:p>
        </w:tc>
        <w:tc>
          <w:tcPr>
            <w:tcW w:w="3128" w:type="dxa"/>
          </w:tcPr>
          <w:p>
            <w:pPr>
              <w:pStyle w:val="TableParagraph"/>
              <w:spacing w:before="95"/>
              <w:ind w:left="481" w:right="472" w:firstLine="122"/>
              <w:rPr>
                <w:sz w:val="24"/>
              </w:rPr>
            </w:pPr>
            <w:r>
              <w:rPr>
                <w:sz w:val="24"/>
              </w:rPr>
              <w:t>Law &amp; Judiciary Department, </w:t>
            </w:r>
            <w:r>
              <w:rPr>
                <w:spacing w:val="-5"/>
                <w:sz w:val="24"/>
              </w:rPr>
              <w:t>GOM</w:t>
            </w:r>
          </w:p>
        </w:tc>
      </w:tr>
      <w:tr>
        <w:trPr>
          <w:trHeight w:val="755" w:hRule="atLeast"/>
        </w:trPr>
        <w:tc>
          <w:tcPr>
            <w:tcW w:w="742" w:type="dxa"/>
          </w:tcPr>
          <w:p>
            <w:pPr>
              <w:pStyle w:val="TableParagraph"/>
              <w:spacing w:before="236"/>
              <w:ind w:right="211"/>
              <w:jc w:val="right"/>
              <w:rPr>
                <w:sz w:val="24"/>
              </w:rPr>
            </w:pPr>
            <w:r>
              <w:rPr>
                <w:spacing w:val="-5"/>
                <w:sz w:val="24"/>
              </w:rPr>
              <w:t>49</w:t>
            </w:r>
          </w:p>
        </w:tc>
        <w:tc>
          <w:tcPr>
            <w:tcW w:w="1589" w:type="dxa"/>
            <w:vMerge/>
            <w:tcBorders>
              <w:top w:val="nil"/>
            </w:tcBorders>
          </w:tcPr>
          <w:p>
            <w:pPr>
              <w:rPr>
                <w:sz w:val="2"/>
                <w:szCs w:val="2"/>
              </w:rPr>
            </w:pPr>
          </w:p>
        </w:tc>
        <w:tc>
          <w:tcPr>
            <w:tcW w:w="1227" w:type="dxa"/>
          </w:tcPr>
          <w:p>
            <w:pPr>
              <w:pStyle w:val="TableParagraph"/>
              <w:spacing w:before="236"/>
              <w:ind w:left="170"/>
              <w:rPr>
                <w:sz w:val="24"/>
              </w:rPr>
            </w:pPr>
            <w:r>
              <w:rPr>
                <w:spacing w:val="-2"/>
                <w:sz w:val="24"/>
              </w:rPr>
              <w:t>RPU4.1</w:t>
            </w:r>
          </w:p>
        </w:tc>
        <w:tc>
          <w:tcPr>
            <w:tcW w:w="2948" w:type="dxa"/>
          </w:tcPr>
          <w:p>
            <w:pPr>
              <w:pStyle w:val="TableParagraph"/>
              <w:spacing w:before="95"/>
              <w:ind w:left="1139" w:right="106" w:hanging="725"/>
              <w:rPr>
                <w:sz w:val="24"/>
              </w:rPr>
            </w:pPr>
            <w:r>
              <w:rPr>
                <w:sz w:val="24"/>
              </w:rPr>
              <w:t>Post</w:t>
            </w:r>
            <w:r>
              <w:rPr>
                <w:spacing w:val="-20"/>
                <w:sz w:val="24"/>
              </w:rPr>
              <w:t> </w:t>
            </w:r>
            <w:r>
              <w:rPr>
                <w:sz w:val="24"/>
              </w:rPr>
              <w:t>&amp;Telegraphic </w:t>
            </w:r>
            <w:r>
              <w:rPr>
                <w:spacing w:val="-2"/>
                <w:sz w:val="24"/>
              </w:rPr>
              <w:t>Office</w:t>
            </w:r>
          </w:p>
        </w:tc>
        <w:tc>
          <w:tcPr>
            <w:tcW w:w="3128" w:type="dxa"/>
          </w:tcPr>
          <w:p>
            <w:pPr>
              <w:pStyle w:val="TableParagraph"/>
              <w:spacing w:before="95"/>
              <w:ind w:left="407" w:firstLine="158"/>
              <w:rPr>
                <w:sz w:val="24"/>
              </w:rPr>
            </w:pPr>
            <w:r>
              <w:rPr>
                <w:sz w:val="24"/>
              </w:rPr>
              <w:t>Post &amp; Telegraph Department</w:t>
            </w:r>
            <w:r>
              <w:rPr>
                <w:spacing w:val="-18"/>
                <w:sz w:val="24"/>
              </w:rPr>
              <w:t> </w:t>
            </w:r>
            <w:r>
              <w:rPr>
                <w:sz w:val="24"/>
              </w:rPr>
              <w:t>of</w:t>
            </w:r>
            <w:r>
              <w:rPr>
                <w:spacing w:val="-18"/>
                <w:sz w:val="24"/>
              </w:rPr>
              <w:t> </w:t>
            </w:r>
            <w:r>
              <w:rPr>
                <w:sz w:val="24"/>
              </w:rPr>
              <w:t>GOI.</w:t>
            </w:r>
          </w:p>
        </w:tc>
      </w:tr>
      <w:tr>
        <w:trPr>
          <w:trHeight w:val="1223" w:hRule="atLeast"/>
        </w:trPr>
        <w:tc>
          <w:tcPr>
            <w:tcW w:w="742" w:type="dxa"/>
          </w:tcPr>
          <w:p>
            <w:pPr>
              <w:pStyle w:val="TableParagraph"/>
              <w:spacing w:before="187"/>
              <w:rPr>
                <w:b/>
                <w:sz w:val="24"/>
              </w:rPr>
            </w:pPr>
          </w:p>
          <w:p>
            <w:pPr>
              <w:pStyle w:val="TableParagraph"/>
              <w:ind w:right="211"/>
              <w:jc w:val="right"/>
              <w:rPr>
                <w:sz w:val="24"/>
              </w:rPr>
            </w:pPr>
            <w:r>
              <w:rPr>
                <w:spacing w:val="-5"/>
                <w:sz w:val="24"/>
              </w:rPr>
              <w:t>50</w:t>
            </w:r>
          </w:p>
        </w:tc>
        <w:tc>
          <w:tcPr>
            <w:tcW w:w="1589" w:type="dxa"/>
            <w:vMerge/>
            <w:tcBorders>
              <w:top w:val="nil"/>
            </w:tcBorders>
          </w:tcPr>
          <w:p>
            <w:pPr>
              <w:rPr>
                <w:sz w:val="2"/>
                <w:szCs w:val="2"/>
              </w:rPr>
            </w:pPr>
          </w:p>
        </w:tc>
        <w:tc>
          <w:tcPr>
            <w:tcW w:w="1227" w:type="dxa"/>
          </w:tcPr>
          <w:p>
            <w:pPr>
              <w:pStyle w:val="TableParagraph"/>
              <w:spacing w:before="187"/>
              <w:rPr>
                <w:b/>
                <w:sz w:val="24"/>
              </w:rPr>
            </w:pPr>
          </w:p>
          <w:p>
            <w:pPr>
              <w:pStyle w:val="TableParagraph"/>
              <w:ind w:left="170"/>
              <w:rPr>
                <w:sz w:val="24"/>
              </w:rPr>
            </w:pPr>
            <w:r>
              <w:rPr>
                <w:spacing w:val="-2"/>
                <w:sz w:val="24"/>
              </w:rPr>
              <w:t>RPU5.2</w:t>
            </w:r>
          </w:p>
        </w:tc>
        <w:tc>
          <w:tcPr>
            <w:tcW w:w="2948" w:type="dxa"/>
          </w:tcPr>
          <w:p>
            <w:pPr>
              <w:pStyle w:val="TableParagraph"/>
              <w:spacing w:before="188"/>
              <w:ind w:left="137" w:right="128"/>
              <w:jc w:val="center"/>
              <w:rPr>
                <w:sz w:val="24"/>
              </w:rPr>
            </w:pPr>
            <w:r>
              <w:rPr>
                <w:spacing w:val="-2"/>
                <w:sz w:val="24"/>
              </w:rPr>
              <w:t>Electricity Transmission </w:t>
            </w:r>
            <w:r>
              <w:rPr>
                <w:sz w:val="24"/>
              </w:rPr>
              <w:t>&amp;Distribution</w:t>
            </w:r>
            <w:r>
              <w:rPr>
                <w:spacing w:val="-20"/>
                <w:sz w:val="24"/>
              </w:rPr>
              <w:t> </w:t>
            </w:r>
            <w:r>
              <w:rPr>
                <w:sz w:val="24"/>
              </w:rPr>
              <w:t>Facility</w:t>
            </w:r>
          </w:p>
        </w:tc>
        <w:tc>
          <w:tcPr>
            <w:tcW w:w="3128" w:type="dxa"/>
          </w:tcPr>
          <w:p>
            <w:pPr>
              <w:pStyle w:val="TableParagraph"/>
              <w:spacing w:before="95"/>
              <w:ind w:left="83" w:right="75"/>
              <w:jc w:val="center"/>
              <w:rPr>
                <w:sz w:val="24"/>
              </w:rPr>
            </w:pPr>
            <w:r>
              <w:rPr>
                <w:sz w:val="24"/>
              </w:rPr>
              <w:t>Energy Department, GOM/ Authorized</w:t>
            </w:r>
          </w:p>
          <w:p>
            <w:pPr>
              <w:pStyle w:val="TableParagraph"/>
              <w:spacing w:line="280" w:lineRule="exact"/>
              <w:ind w:left="83" w:right="75"/>
              <w:jc w:val="center"/>
              <w:rPr>
                <w:sz w:val="24"/>
              </w:rPr>
            </w:pPr>
            <w:r>
              <w:rPr>
                <w:sz w:val="24"/>
              </w:rPr>
              <w:t>Electric</w:t>
            </w:r>
            <w:r>
              <w:rPr>
                <w:spacing w:val="-19"/>
                <w:sz w:val="24"/>
              </w:rPr>
              <w:t> </w:t>
            </w:r>
            <w:r>
              <w:rPr>
                <w:sz w:val="24"/>
              </w:rPr>
              <w:t>Supply</w:t>
            </w:r>
            <w:r>
              <w:rPr>
                <w:spacing w:val="-19"/>
                <w:sz w:val="24"/>
              </w:rPr>
              <w:t> </w:t>
            </w:r>
            <w:r>
              <w:rPr>
                <w:sz w:val="24"/>
              </w:rPr>
              <w:t>Provider like MSEB / BEST/</w:t>
            </w:r>
          </w:p>
        </w:tc>
      </w:tr>
    </w:tbl>
    <w:p>
      <w:pPr>
        <w:pStyle w:val="TableParagraph"/>
        <w:spacing w:after="0" w:line="280" w:lineRule="exact"/>
        <w:jc w:val="center"/>
        <w:rPr>
          <w:sz w:val="24"/>
        </w:rPr>
        <w:sectPr>
          <w:pgSz w:w="11910" w:h="16850"/>
          <w:pgMar w:header="1082" w:footer="945" w:top="1520" w:bottom="1140" w:left="360" w:right="360"/>
        </w:sectPr>
      </w:pPr>
    </w:p>
    <w:p>
      <w:pPr>
        <w:pStyle w:val="BodyText"/>
        <w:spacing w:before="7"/>
        <w:jc w:val="left"/>
        <w:rPr>
          <w:b/>
          <w:sz w:val="18"/>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2"/>
        <w:gridCol w:w="1589"/>
        <w:gridCol w:w="1227"/>
        <w:gridCol w:w="2948"/>
        <w:gridCol w:w="3128"/>
      </w:tblGrid>
      <w:tr>
        <w:trPr>
          <w:trHeight w:val="474" w:hRule="atLeast"/>
        </w:trPr>
        <w:tc>
          <w:tcPr>
            <w:tcW w:w="742" w:type="dxa"/>
            <w:vMerge w:val="restart"/>
            <w:shd w:val="clear" w:color="auto" w:fill="EDEBE0"/>
          </w:tcPr>
          <w:p>
            <w:pPr>
              <w:pStyle w:val="TableParagraph"/>
              <w:spacing w:before="95"/>
              <w:ind w:left="213" w:right="185" w:hanging="15"/>
              <w:rPr>
                <w:sz w:val="24"/>
              </w:rPr>
            </w:pPr>
            <w:r>
              <w:rPr>
                <w:spacing w:val="-4"/>
                <w:sz w:val="24"/>
              </w:rPr>
              <w:t>Sr. </w:t>
            </w:r>
            <w:r>
              <w:rPr>
                <w:spacing w:val="-5"/>
                <w:sz w:val="24"/>
              </w:rPr>
              <w:t>No</w:t>
            </w:r>
          </w:p>
        </w:tc>
        <w:tc>
          <w:tcPr>
            <w:tcW w:w="1589" w:type="dxa"/>
            <w:vMerge w:val="restart"/>
            <w:tcBorders>
              <w:bottom w:val="nil"/>
            </w:tcBorders>
            <w:shd w:val="clear" w:color="auto" w:fill="EDEBE0"/>
          </w:tcPr>
          <w:p>
            <w:pPr>
              <w:pStyle w:val="TableParagraph"/>
              <w:spacing w:before="95"/>
              <w:ind w:left="117"/>
              <w:jc w:val="center"/>
              <w:rPr>
                <w:sz w:val="24"/>
              </w:rPr>
            </w:pPr>
            <w:r>
              <w:rPr>
                <w:spacing w:val="-2"/>
                <w:sz w:val="24"/>
              </w:rPr>
              <w:t>Reservation </w:t>
            </w:r>
            <w:r>
              <w:rPr>
                <w:spacing w:val="-4"/>
                <w:sz w:val="24"/>
              </w:rPr>
              <w:t>main </w:t>
            </w:r>
            <w:r>
              <w:rPr>
                <w:spacing w:val="-2"/>
                <w:sz w:val="24"/>
              </w:rPr>
              <w:t>Category</w:t>
            </w:r>
          </w:p>
        </w:tc>
        <w:tc>
          <w:tcPr>
            <w:tcW w:w="4175" w:type="dxa"/>
            <w:gridSpan w:val="2"/>
            <w:shd w:val="clear" w:color="auto" w:fill="EDEBE0"/>
          </w:tcPr>
          <w:p>
            <w:pPr>
              <w:pStyle w:val="TableParagraph"/>
              <w:spacing w:before="95"/>
              <w:ind w:left="571"/>
              <w:rPr>
                <w:sz w:val="24"/>
              </w:rPr>
            </w:pPr>
            <w:r>
              <w:rPr>
                <w:sz w:val="24"/>
              </w:rPr>
              <w:t>Reservation</w:t>
            </w:r>
            <w:r>
              <w:rPr>
                <w:spacing w:val="-6"/>
                <w:sz w:val="24"/>
              </w:rPr>
              <w:t> </w:t>
            </w:r>
            <w:r>
              <w:rPr>
                <w:sz w:val="24"/>
              </w:rPr>
              <w:t>Sub</w:t>
            </w:r>
            <w:r>
              <w:rPr>
                <w:spacing w:val="-6"/>
                <w:sz w:val="24"/>
              </w:rPr>
              <w:t> </w:t>
            </w:r>
            <w:r>
              <w:rPr>
                <w:spacing w:val="-2"/>
                <w:sz w:val="24"/>
              </w:rPr>
              <w:t>Category</w:t>
            </w:r>
          </w:p>
        </w:tc>
        <w:tc>
          <w:tcPr>
            <w:tcW w:w="3128" w:type="dxa"/>
            <w:vMerge w:val="restart"/>
            <w:shd w:val="clear" w:color="auto" w:fill="EDEBE0"/>
          </w:tcPr>
          <w:p>
            <w:pPr>
              <w:pStyle w:val="TableParagraph"/>
              <w:spacing w:before="95"/>
              <w:ind w:left="277"/>
              <w:rPr>
                <w:sz w:val="24"/>
              </w:rPr>
            </w:pPr>
            <w:r>
              <w:rPr>
                <w:sz w:val="24"/>
              </w:rPr>
              <w:t>Appropriate </w:t>
            </w:r>
            <w:r>
              <w:rPr>
                <w:spacing w:val="-2"/>
                <w:sz w:val="24"/>
              </w:rPr>
              <w:t>Authority</w:t>
            </w:r>
          </w:p>
        </w:tc>
      </w:tr>
      <w:tr>
        <w:trPr>
          <w:trHeight w:val="664" w:hRule="atLeast"/>
        </w:trPr>
        <w:tc>
          <w:tcPr>
            <w:tcW w:w="742" w:type="dxa"/>
            <w:vMerge/>
            <w:tcBorders>
              <w:top w:val="nil"/>
            </w:tcBorders>
            <w:shd w:val="clear" w:color="auto" w:fill="EDEBE0"/>
          </w:tcPr>
          <w:p>
            <w:pPr>
              <w:rPr>
                <w:sz w:val="2"/>
                <w:szCs w:val="2"/>
              </w:rPr>
            </w:pPr>
          </w:p>
        </w:tc>
        <w:tc>
          <w:tcPr>
            <w:tcW w:w="1589" w:type="dxa"/>
            <w:vMerge/>
            <w:tcBorders>
              <w:top w:val="nil"/>
              <w:bottom w:val="nil"/>
            </w:tcBorders>
            <w:shd w:val="clear" w:color="auto" w:fill="EDEBE0"/>
          </w:tcPr>
          <w:p>
            <w:pPr>
              <w:rPr>
                <w:sz w:val="2"/>
                <w:szCs w:val="2"/>
              </w:rPr>
            </w:pPr>
          </w:p>
        </w:tc>
        <w:tc>
          <w:tcPr>
            <w:tcW w:w="1227" w:type="dxa"/>
            <w:shd w:val="clear" w:color="auto" w:fill="EDEBE0"/>
          </w:tcPr>
          <w:p>
            <w:pPr>
              <w:pStyle w:val="TableParagraph"/>
              <w:spacing w:before="95"/>
              <w:ind w:left="116" w:right="109"/>
              <w:jc w:val="center"/>
              <w:rPr>
                <w:sz w:val="24"/>
              </w:rPr>
            </w:pPr>
            <w:r>
              <w:rPr>
                <w:spacing w:val="-4"/>
                <w:sz w:val="24"/>
              </w:rPr>
              <w:t>Code</w:t>
            </w:r>
          </w:p>
        </w:tc>
        <w:tc>
          <w:tcPr>
            <w:tcW w:w="2948" w:type="dxa"/>
            <w:shd w:val="clear" w:color="auto" w:fill="EDEBE0"/>
          </w:tcPr>
          <w:p>
            <w:pPr>
              <w:pStyle w:val="TableParagraph"/>
              <w:spacing w:before="95"/>
              <w:ind w:left="94" w:right="86"/>
              <w:jc w:val="center"/>
              <w:rPr>
                <w:sz w:val="24"/>
              </w:rPr>
            </w:pPr>
            <w:r>
              <w:rPr>
                <w:spacing w:val="-4"/>
                <w:sz w:val="24"/>
              </w:rPr>
              <w:t>Name</w:t>
            </w:r>
          </w:p>
        </w:tc>
        <w:tc>
          <w:tcPr>
            <w:tcW w:w="3128" w:type="dxa"/>
            <w:vMerge/>
            <w:tcBorders>
              <w:top w:val="nil"/>
            </w:tcBorders>
            <w:shd w:val="clear" w:color="auto" w:fill="EDEBE0"/>
          </w:tcPr>
          <w:p>
            <w:pPr>
              <w:rPr>
                <w:sz w:val="2"/>
                <w:szCs w:val="2"/>
              </w:rPr>
            </w:pPr>
          </w:p>
        </w:tc>
      </w:tr>
      <w:tr>
        <w:trPr>
          <w:trHeight w:val="659" w:hRule="atLeast"/>
        </w:trPr>
        <w:tc>
          <w:tcPr>
            <w:tcW w:w="742" w:type="dxa"/>
          </w:tcPr>
          <w:p>
            <w:pPr>
              <w:pStyle w:val="TableParagraph"/>
              <w:rPr>
                <w:rFonts w:ascii="Times New Roman"/>
                <w:sz w:val="22"/>
              </w:rPr>
            </w:pPr>
          </w:p>
        </w:tc>
        <w:tc>
          <w:tcPr>
            <w:tcW w:w="1589" w:type="dxa"/>
            <w:vMerge w:val="restart"/>
            <w:tcBorders>
              <w:top w:val="nil"/>
            </w:tcBorders>
          </w:tcPr>
          <w:p>
            <w:pPr>
              <w:pStyle w:val="TableParagraph"/>
              <w:rPr>
                <w:rFonts w:ascii="Times New Roman"/>
                <w:sz w:val="22"/>
              </w:rPr>
            </w:pPr>
          </w:p>
        </w:tc>
        <w:tc>
          <w:tcPr>
            <w:tcW w:w="1227" w:type="dxa"/>
          </w:tcPr>
          <w:p>
            <w:pPr>
              <w:pStyle w:val="TableParagraph"/>
              <w:rPr>
                <w:rFonts w:ascii="Times New Roman"/>
                <w:sz w:val="22"/>
              </w:rPr>
            </w:pPr>
          </w:p>
        </w:tc>
        <w:tc>
          <w:tcPr>
            <w:tcW w:w="2948" w:type="dxa"/>
          </w:tcPr>
          <w:p>
            <w:pPr>
              <w:pStyle w:val="TableParagraph"/>
              <w:rPr>
                <w:rFonts w:ascii="Times New Roman"/>
                <w:sz w:val="22"/>
              </w:rPr>
            </w:pPr>
          </w:p>
        </w:tc>
        <w:tc>
          <w:tcPr>
            <w:tcW w:w="3128" w:type="dxa"/>
          </w:tcPr>
          <w:p>
            <w:pPr>
              <w:pStyle w:val="TableParagraph"/>
              <w:ind w:left="1353" w:hanging="1143"/>
              <w:rPr>
                <w:sz w:val="24"/>
              </w:rPr>
            </w:pPr>
            <w:r>
              <w:rPr>
                <w:sz w:val="24"/>
              </w:rPr>
              <w:t>Reliance</w:t>
            </w:r>
            <w:r>
              <w:rPr>
                <w:spacing w:val="-13"/>
                <w:sz w:val="24"/>
              </w:rPr>
              <w:t> </w:t>
            </w:r>
            <w:r>
              <w:rPr>
                <w:sz w:val="24"/>
              </w:rPr>
              <w:t>Energy</w:t>
            </w:r>
            <w:r>
              <w:rPr>
                <w:spacing w:val="-13"/>
                <w:sz w:val="24"/>
              </w:rPr>
              <w:t> </w:t>
            </w:r>
            <w:r>
              <w:rPr>
                <w:sz w:val="24"/>
              </w:rPr>
              <w:t>/</w:t>
            </w:r>
            <w:r>
              <w:rPr>
                <w:spacing w:val="-13"/>
                <w:sz w:val="24"/>
              </w:rPr>
              <w:t> </w:t>
            </w:r>
            <w:r>
              <w:rPr>
                <w:sz w:val="24"/>
              </w:rPr>
              <w:t>Tata </w:t>
            </w:r>
            <w:r>
              <w:rPr>
                <w:spacing w:val="-4"/>
                <w:sz w:val="24"/>
              </w:rPr>
              <w:t>etc.</w:t>
            </w:r>
          </w:p>
        </w:tc>
      </w:tr>
      <w:tr>
        <w:trPr>
          <w:trHeight w:val="563" w:hRule="atLeast"/>
        </w:trPr>
        <w:tc>
          <w:tcPr>
            <w:tcW w:w="742" w:type="dxa"/>
          </w:tcPr>
          <w:p>
            <w:pPr>
              <w:pStyle w:val="TableParagraph"/>
              <w:spacing w:before="140"/>
              <w:ind w:left="7"/>
              <w:jc w:val="center"/>
              <w:rPr>
                <w:sz w:val="24"/>
              </w:rPr>
            </w:pPr>
            <w:r>
              <w:rPr>
                <w:spacing w:val="-5"/>
                <w:sz w:val="24"/>
              </w:rPr>
              <w:t>51</w:t>
            </w:r>
          </w:p>
        </w:tc>
        <w:tc>
          <w:tcPr>
            <w:tcW w:w="1589" w:type="dxa"/>
            <w:vMerge/>
            <w:tcBorders>
              <w:top w:val="nil"/>
            </w:tcBorders>
          </w:tcPr>
          <w:p>
            <w:pPr>
              <w:rPr>
                <w:sz w:val="2"/>
                <w:szCs w:val="2"/>
              </w:rPr>
            </w:pPr>
          </w:p>
        </w:tc>
        <w:tc>
          <w:tcPr>
            <w:tcW w:w="1227" w:type="dxa"/>
          </w:tcPr>
          <w:p>
            <w:pPr>
              <w:pStyle w:val="TableParagraph"/>
              <w:spacing w:before="140"/>
              <w:ind w:left="116" w:right="110"/>
              <w:jc w:val="center"/>
              <w:rPr>
                <w:sz w:val="24"/>
              </w:rPr>
            </w:pPr>
            <w:r>
              <w:rPr>
                <w:sz w:val="24"/>
              </w:rPr>
              <w:t>RPU </w:t>
            </w:r>
            <w:r>
              <w:rPr>
                <w:spacing w:val="-5"/>
                <w:sz w:val="24"/>
              </w:rPr>
              <w:t>6.1</w:t>
            </w:r>
          </w:p>
        </w:tc>
        <w:tc>
          <w:tcPr>
            <w:tcW w:w="2948" w:type="dxa"/>
          </w:tcPr>
          <w:p>
            <w:pPr>
              <w:pStyle w:val="TableParagraph"/>
              <w:spacing w:line="280" w:lineRule="exact"/>
              <w:ind w:left="1101" w:right="106" w:hanging="665"/>
              <w:rPr>
                <w:sz w:val="24"/>
              </w:rPr>
            </w:pPr>
            <w:r>
              <w:rPr>
                <w:sz w:val="24"/>
              </w:rPr>
              <w:t>Service</w:t>
            </w:r>
            <w:r>
              <w:rPr>
                <w:spacing w:val="-20"/>
                <w:sz w:val="24"/>
              </w:rPr>
              <w:t> </w:t>
            </w:r>
            <w:r>
              <w:rPr>
                <w:sz w:val="24"/>
              </w:rPr>
              <w:t>Industrial </w:t>
            </w:r>
            <w:r>
              <w:rPr>
                <w:spacing w:val="-2"/>
                <w:sz w:val="24"/>
              </w:rPr>
              <w:t>Estate</w:t>
            </w:r>
          </w:p>
        </w:tc>
        <w:tc>
          <w:tcPr>
            <w:tcW w:w="3128" w:type="dxa"/>
          </w:tcPr>
          <w:p>
            <w:pPr>
              <w:pStyle w:val="TableParagraph"/>
              <w:spacing w:before="140"/>
              <w:ind w:left="1156"/>
              <w:rPr>
                <w:sz w:val="24"/>
              </w:rPr>
            </w:pPr>
            <w:r>
              <w:rPr>
                <w:spacing w:val="-4"/>
                <w:sz w:val="24"/>
              </w:rPr>
              <w:t>MCGM</w:t>
            </w:r>
          </w:p>
        </w:tc>
      </w:tr>
      <w:tr>
        <w:trPr>
          <w:trHeight w:val="789" w:hRule="atLeast"/>
        </w:trPr>
        <w:tc>
          <w:tcPr>
            <w:tcW w:w="742" w:type="dxa"/>
          </w:tcPr>
          <w:p>
            <w:pPr>
              <w:pStyle w:val="TableParagraph"/>
              <w:spacing w:before="253"/>
              <w:ind w:left="7"/>
              <w:jc w:val="center"/>
              <w:rPr>
                <w:sz w:val="24"/>
              </w:rPr>
            </w:pPr>
            <w:r>
              <w:rPr>
                <w:spacing w:val="-5"/>
                <w:sz w:val="24"/>
              </w:rPr>
              <w:t>52</w:t>
            </w:r>
          </w:p>
        </w:tc>
        <w:tc>
          <w:tcPr>
            <w:tcW w:w="1589"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85"/>
              <w:rPr>
                <w:b/>
                <w:sz w:val="24"/>
              </w:rPr>
            </w:pPr>
          </w:p>
          <w:p>
            <w:pPr>
              <w:pStyle w:val="TableParagraph"/>
              <w:ind w:left="306"/>
              <w:rPr>
                <w:sz w:val="24"/>
              </w:rPr>
            </w:pPr>
            <w:r>
              <w:rPr>
                <w:spacing w:val="-2"/>
                <w:sz w:val="24"/>
              </w:rPr>
              <w:t>Housing</w:t>
            </w:r>
          </w:p>
        </w:tc>
        <w:tc>
          <w:tcPr>
            <w:tcW w:w="1227" w:type="dxa"/>
          </w:tcPr>
          <w:p>
            <w:pPr>
              <w:pStyle w:val="TableParagraph"/>
              <w:spacing w:before="253"/>
              <w:ind w:right="11"/>
              <w:jc w:val="center"/>
              <w:rPr>
                <w:sz w:val="24"/>
              </w:rPr>
            </w:pPr>
            <w:r>
              <w:rPr>
                <w:spacing w:val="-2"/>
                <w:sz w:val="24"/>
              </w:rPr>
              <w:t>RR1.1</w:t>
            </w:r>
          </w:p>
        </w:tc>
        <w:tc>
          <w:tcPr>
            <w:tcW w:w="2948" w:type="dxa"/>
          </w:tcPr>
          <w:p>
            <w:pPr>
              <w:pStyle w:val="TableParagraph"/>
              <w:spacing w:before="112"/>
              <w:ind w:left="940" w:right="106" w:hanging="372"/>
              <w:rPr>
                <w:sz w:val="24"/>
              </w:rPr>
            </w:pPr>
            <w:r>
              <w:rPr>
                <w:sz w:val="24"/>
              </w:rPr>
              <w:t>Municipal</w:t>
            </w:r>
            <w:r>
              <w:rPr>
                <w:spacing w:val="-20"/>
                <w:sz w:val="24"/>
              </w:rPr>
              <w:t> </w:t>
            </w:r>
            <w:r>
              <w:rPr>
                <w:sz w:val="24"/>
              </w:rPr>
              <w:t>Staff </w:t>
            </w:r>
            <w:r>
              <w:rPr>
                <w:spacing w:val="-2"/>
                <w:sz w:val="24"/>
              </w:rPr>
              <w:t>Quarters</w:t>
            </w:r>
          </w:p>
        </w:tc>
        <w:tc>
          <w:tcPr>
            <w:tcW w:w="3128" w:type="dxa"/>
          </w:tcPr>
          <w:p>
            <w:pPr>
              <w:pStyle w:val="TableParagraph"/>
              <w:spacing w:before="253"/>
              <w:ind w:left="1156"/>
              <w:rPr>
                <w:sz w:val="24"/>
              </w:rPr>
            </w:pPr>
            <w:r>
              <w:rPr>
                <w:spacing w:val="-4"/>
                <w:sz w:val="24"/>
              </w:rPr>
              <w:t>MCGM</w:t>
            </w:r>
          </w:p>
        </w:tc>
      </w:tr>
      <w:tr>
        <w:trPr>
          <w:trHeight w:val="852" w:hRule="atLeast"/>
        </w:trPr>
        <w:tc>
          <w:tcPr>
            <w:tcW w:w="742" w:type="dxa"/>
          </w:tcPr>
          <w:p>
            <w:pPr>
              <w:pStyle w:val="TableParagraph"/>
              <w:spacing w:before="3"/>
              <w:rPr>
                <w:b/>
                <w:sz w:val="24"/>
              </w:rPr>
            </w:pPr>
          </w:p>
          <w:p>
            <w:pPr>
              <w:pStyle w:val="TableParagraph"/>
              <w:ind w:left="7"/>
              <w:jc w:val="center"/>
              <w:rPr>
                <w:sz w:val="24"/>
              </w:rPr>
            </w:pPr>
            <w:r>
              <w:rPr>
                <w:spacing w:val="-5"/>
                <w:sz w:val="24"/>
              </w:rPr>
              <w:t>53</w:t>
            </w:r>
          </w:p>
        </w:tc>
        <w:tc>
          <w:tcPr>
            <w:tcW w:w="1589" w:type="dxa"/>
            <w:vMerge/>
            <w:tcBorders>
              <w:top w:val="nil"/>
            </w:tcBorders>
          </w:tcPr>
          <w:p>
            <w:pPr>
              <w:rPr>
                <w:sz w:val="2"/>
                <w:szCs w:val="2"/>
              </w:rPr>
            </w:pPr>
          </w:p>
        </w:tc>
        <w:tc>
          <w:tcPr>
            <w:tcW w:w="1227" w:type="dxa"/>
          </w:tcPr>
          <w:p>
            <w:pPr>
              <w:pStyle w:val="TableParagraph"/>
              <w:spacing w:before="98"/>
              <w:ind w:left="116" w:right="110"/>
              <w:jc w:val="center"/>
              <w:rPr>
                <w:sz w:val="24"/>
              </w:rPr>
            </w:pPr>
            <w:r>
              <w:rPr>
                <w:spacing w:val="-2"/>
                <w:sz w:val="24"/>
              </w:rPr>
              <w:t>RR1.2</w:t>
            </w:r>
          </w:p>
        </w:tc>
        <w:tc>
          <w:tcPr>
            <w:tcW w:w="2948" w:type="dxa"/>
          </w:tcPr>
          <w:p>
            <w:pPr>
              <w:pStyle w:val="TableParagraph"/>
              <w:spacing w:before="3"/>
              <w:rPr>
                <w:b/>
                <w:sz w:val="24"/>
              </w:rPr>
            </w:pPr>
          </w:p>
          <w:p>
            <w:pPr>
              <w:pStyle w:val="TableParagraph"/>
              <w:ind w:right="75"/>
              <w:jc w:val="center"/>
              <w:rPr>
                <w:sz w:val="24"/>
              </w:rPr>
            </w:pPr>
            <w:r>
              <w:rPr>
                <w:sz w:val="24"/>
              </w:rPr>
              <w:t>Police Staff </w:t>
            </w:r>
            <w:r>
              <w:rPr>
                <w:spacing w:val="-2"/>
                <w:sz w:val="24"/>
              </w:rPr>
              <w:t>Quarters</w:t>
            </w:r>
          </w:p>
        </w:tc>
        <w:tc>
          <w:tcPr>
            <w:tcW w:w="3128" w:type="dxa"/>
          </w:tcPr>
          <w:p>
            <w:pPr>
              <w:pStyle w:val="TableParagraph"/>
              <w:spacing w:before="146"/>
              <w:ind w:left="1259" w:hanging="815"/>
              <w:rPr>
                <w:sz w:val="24"/>
              </w:rPr>
            </w:pPr>
            <w:r>
              <w:rPr>
                <w:sz w:val="24"/>
              </w:rPr>
              <w:t>Home</w:t>
            </w:r>
            <w:r>
              <w:rPr>
                <w:spacing w:val="-20"/>
                <w:sz w:val="24"/>
              </w:rPr>
              <w:t> </w:t>
            </w:r>
            <w:r>
              <w:rPr>
                <w:sz w:val="24"/>
              </w:rPr>
              <w:t>Department, </w:t>
            </w:r>
            <w:r>
              <w:rPr>
                <w:spacing w:val="-4"/>
                <w:sz w:val="24"/>
              </w:rPr>
              <w:t>GOM</w:t>
            </w:r>
          </w:p>
        </w:tc>
      </w:tr>
      <w:tr>
        <w:trPr>
          <w:trHeight w:val="851" w:hRule="atLeast"/>
        </w:trPr>
        <w:tc>
          <w:tcPr>
            <w:tcW w:w="742" w:type="dxa"/>
          </w:tcPr>
          <w:p>
            <w:pPr>
              <w:pStyle w:val="TableParagraph"/>
              <w:spacing w:before="3"/>
              <w:rPr>
                <w:b/>
                <w:sz w:val="24"/>
              </w:rPr>
            </w:pPr>
          </w:p>
          <w:p>
            <w:pPr>
              <w:pStyle w:val="TableParagraph"/>
              <w:ind w:left="7"/>
              <w:jc w:val="center"/>
              <w:rPr>
                <w:sz w:val="24"/>
              </w:rPr>
            </w:pPr>
            <w:r>
              <w:rPr>
                <w:spacing w:val="-5"/>
                <w:sz w:val="24"/>
              </w:rPr>
              <w:t>54</w:t>
            </w:r>
          </w:p>
        </w:tc>
        <w:tc>
          <w:tcPr>
            <w:tcW w:w="1589" w:type="dxa"/>
            <w:vMerge/>
            <w:tcBorders>
              <w:top w:val="nil"/>
            </w:tcBorders>
          </w:tcPr>
          <w:p>
            <w:pPr>
              <w:rPr>
                <w:sz w:val="2"/>
                <w:szCs w:val="2"/>
              </w:rPr>
            </w:pPr>
          </w:p>
        </w:tc>
        <w:tc>
          <w:tcPr>
            <w:tcW w:w="1227" w:type="dxa"/>
          </w:tcPr>
          <w:p>
            <w:pPr>
              <w:pStyle w:val="TableParagraph"/>
              <w:spacing w:before="97"/>
              <w:ind w:left="116" w:right="110"/>
              <w:jc w:val="center"/>
              <w:rPr>
                <w:sz w:val="24"/>
              </w:rPr>
            </w:pPr>
            <w:r>
              <w:rPr>
                <w:spacing w:val="-2"/>
                <w:sz w:val="24"/>
              </w:rPr>
              <w:t>RR1.3</w:t>
            </w:r>
          </w:p>
        </w:tc>
        <w:tc>
          <w:tcPr>
            <w:tcW w:w="2948" w:type="dxa"/>
          </w:tcPr>
          <w:p>
            <w:pPr>
              <w:pStyle w:val="TableParagraph"/>
              <w:spacing w:before="145"/>
              <w:ind w:left="957" w:right="106" w:hanging="548"/>
              <w:rPr>
                <w:sz w:val="24"/>
              </w:rPr>
            </w:pPr>
            <w:r>
              <w:rPr>
                <w:sz w:val="24"/>
              </w:rPr>
              <w:t>Government</w:t>
            </w:r>
            <w:r>
              <w:rPr>
                <w:spacing w:val="-20"/>
                <w:sz w:val="24"/>
              </w:rPr>
              <w:t> </w:t>
            </w:r>
            <w:r>
              <w:rPr>
                <w:sz w:val="24"/>
              </w:rPr>
              <w:t>Staff </w:t>
            </w:r>
            <w:r>
              <w:rPr>
                <w:spacing w:val="-2"/>
                <w:sz w:val="24"/>
              </w:rPr>
              <w:t>Quarters</w:t>
            </w:r>
          </w:p>
        </w:tc>
        <w:tc>
          <w:tcPr>
            <w:tcW w:w="3128" w:type="dxa"/>
          </w:tcPr>
          <w:p>
            <w:pPr>
              <w:pStyle w:val="TableParagraph"/>
              <w:spacing w:before="145"/>
              <w:ind w:left="299" w:right="17" w:hanging="106"/>
              <w:rPr>
                <w:sz w:val="24"/>
              </w:rPr>
            </w:pPr>
            <w:r>
              <w:rPr>
                <w:sz w:val="24"/>
              </w:rPr>
              <w:t>Concerned</w:t>
            </w:r>
            <w:r>
              <w:rPr>
                <w:spacing w:val="-20"/>
                <w:sz w:val="24"/>
              </w:rPr>
              <w:t> </w:t>
            </w:r>
            <w:r>
              <w:rPr>
                <w:sz w:val="24"/>
              </w:rPr>
              <w:t>Department of State/Central Govt</w:t>
            </w:r>
          </w:p>
        </w:tc>
      </w:tr>
      <w:tr>
        <w:trPr>
          <w:trHeight w:val="851" w:hRule="atLeast"/>
        </w:trPr>
        <w:tc>
          <w:tcPr>
            <w:tcW w:w="742" w:type="dxa"/>
          </w:tcPr>
          <w:p>
            <w:pPr>
              <w:pStyle w:val="TableParagraph"/>
              <w:spacing w:before="97"/>
              <w:ind w:left="7"/>
              <w:jc w:val="center"/>
              <w:rPr>
                <w:sz w:val="24"/>
              </w:rPr>
            </w:pPr>
            <w:r>
              <w:rPr>
                <w:spacing w:val="-5"/>
                <w:sz w:val="24"/>
              </w:rPr>
              <w:t>55</w:t>
            </w:r>
          </w:p>
        </w:tc>
        <w:tc>
          <w:tcPr>
            <w:tcW w:w="1589" w:type="dxa"/>
            <w:vMerge/>
            <w:tcBorders>
              <w:top w:val="nil"/>
            </w:tcBorders>
          </w:tcPr>
          <w:p>
            <w:pPr>
              <w:rPr>
                <w:sz w:val="2"/>
                <w:szCs w:val="2"/>
              </w:rPr>
            </w:pPr>
          </w:p>
        </w:tc>
        <w:tc>
          <w:tcPr>
            <w:tcW w:w="1227" w:type="dxa"/>
          </w:tcPr>
          <w:p>
            <w:pPr>
              <w:pStyle w:val="TableParagraph"/>
              <w:spacing w:before="3"/>
              <w:rPr>
                <w:b/>
                <w:sz w:val="24"/>
              </w:rPr>
            </w:pPr>
          </w:p>
          <w:p>
            <w:pPr>
              <w:pStyle w:val="TableParagraph"/>
              <w:ind w:left="116" w:right="110"/>
              <w:jc w:val="center"/>
              <w:rPr>
                <w:sz w:val="24"/>
              </w:rPr>
            </w:pPr>
            <w:r>
              <w:rPr>
                <w:sz w:val="24"/>
              </w:rPr>
              <w:t>RR</w:t>
            </w:r>
            <w:r>
              <w:rPr>
                <w:spacing w:val="-1"/>
                <w:sz w:val="24"/>
              </w:rPr>
              <w:t> </w:t>
            </w:r>
            <w:r>
              <w:rPr>
                <w:spacing w:val="-5"/>
                <w:sz w:val="24"/>
              </w:rPr>
              <w:t>1.5</w:t>
            </w:r>
          </w:p>
        </w:tc>
        <w:tc>
          <w:tcPr>
            <w:tcW w:w="2948" w:type="dxa"/>
          </w:tcPr>
          <w:p>
            <w:pPr>
              <w:pStyle w:val="TableParagraph"/>
              <w:spacing w:before="3"/>
              <w:rPr>
                <w:b/>
                <w:sz w:val="24"/>
              </w:rPr>
            </w:pPr>
          </w:p>
          <w:p>
            <w:pPr>
              <w:pStyle w:val="TableParagraph"/>
              <w:ind w:left="94" w:right="86"/>
              <w:jc w:val="center"/>
              <w:rPr>
                <w:sz w:val="24"/>
              </w:rPr>
            </w:pPr>
            <w:r>
              <w:rPr>
                <w:sz w:val="24"/>
              </w:rPr>
              <w:t>Municipal </w:t>
            </w:r>
            <w:r>
              <w:rPr>
                <w:spacing w:val="-2"/>
                <w:sz w:val="24"/>
              </w:rPr>
              <w:t>Housing</w:t>
            </w:r>
          </w:p>
        </w:tc>
        <w:tc>
          <w:tcPr>
            <w:tcW w:w="3128" w:type="dxa"/>
          </w:tcPr>
          <w:p>
            <w:pPr>
              <w:pStyle w:val="TableParagraph"/>
              <w:spacing w:before="3"/>
              <w:rPr>
                <w:b/>
                <w:sz w:val="24"/>
              </w:rPr>
            </w:pPr>
          </w:p>
          <w:p>
            <w:pPr>
              <w:pStyle w:val="TableParagraph"/>
              <w:ind w:left="1156"/>
              <w:rPr>
                <w:sz w:val="24"/>
              </w:rPr>
            </w:pPr>
            <w:r>
              <w:rPr>
                <w:spacing w:val="-4"/>
                <w:sz w:val="24"/>
              </w:rPr>
              <w:t>MCGM</w:t>
            </w:r>
          </w:p>
        </w:tc>
      </w:tr>
      <w:tr>
        <w:trPr>
          <w:trHeight w:val="791" w:hRule="atLeast"/>
        </w:trPr>
        <w:tc>
          <w:tcPr>
            <w:tcW w:w="742" w:type="dxa"/>
          </w:tcPr>
          <w:p>
            <w:pPr>
              <w:pStyle w:val="TableParagraph"/>
              <w:spacing w:before="256"/>
              <w:ind w:left="7"/>
              <w:jc w:val="center"/>
              <w:rPr>
                <w:sz w:val="24"/>
              </w:rPr>
            </w:pPr>
            <w:r>
              <w:rPr>
                <w:spacing w:val="-5"/>
                <w:sz w:val="24"/>
              </w:rPr>
              <w:t>56</w:t>
            </w:r>
          </w:p>
        </w:tc>
        <w:tc>
          <w:tcPr>
            <w:tcW w:w="1589" w:type="dxa"/>
            <w:vMerge/>
            <w:tcBorders>
              <w:top w:val="nil"/>
            </w:tcBorders>
          </w:tcPr>
          <w:p>
            <w:pPr>
              <w:rPr>
                <w:sz w:val="2"/>
                <w:szCs w:val="2"/>
              </w:rPr>
            </w:pPr>
          </w:p>
        </w:tc>
        <w:tc>
          <w:tcPr>
            <w:tcW w:w="1227" w:type="dxa"/>
          </w:tcPr>
          <w:p>
            <w:pPr>
              <w:pStyle w:val="TableParagraph"/>
              <w:spacing w:before="256"/>
              <w:ind w:left="116" w:right="110"/>
              <w:jc w:val="center"/>
              <w:rPr>
                <w:sz w:val="24"/>
              </w:rPr>
            </w:pPr>
            <w:r>
              <w:rPr>
                <w:spacing w:val="-2"/>
                <w:sz w:val="24"/>
              </w:rPr>
              <w:t>RR1.6</w:t>
            </w:r>
          </w:p>
        </w:tc>
        <w:tc>
          <w:tcPr>
            <w:tcW w:w="2948" w:type="dxa"/>
          </w:tcPr>
          <w:p>
            <w:pPr>
              <w:pStyle w:val="TableParagraph"/>
              <w:spacing w:before="256"/>
              <w:ind w:left="94" w:right="86"/>
              <w:jc w:val="center"/>
              <w:rPr>
                <w:sz w:val="24"/>
              </w:rPr>
            </w:pPr>
            <w:r>
              <w:rPr>
                <w:sz w:val="24"/>
              </w:rPr>
              <w:t>Police </w:t>
            </w:r>
            <w:r>
              <w:rPr>
                <w:spacing w:val="-2"/>
                <w:sz w:val="24"/>
              </w:rPr>
              <w:t>Housing</w:t>
            </w:r>
          </w:p>
        </w:tc>
        <w:tc>
          <w:tcPr>
            <w:tcW w:w="3128" w:type="dxa"/>
          </w:tcPr>
          <w:p>
            <w:pPr>
              <w:pStyle w:val="TableParagraph"/>
              <w:spacing w:before="114"/>
              <w:ind w:left="1221" w:hanging="776"/>
              <w:rPr>
                <w:sz w:val="24"/>
              </w:rPr>
            </w:pPr>
            <w:r>
              <w:rPr>
                <w:sz w:val="24"/>
              </w:rPr>
              <w:t>Home</w:t>
            </w:r>
            <w:r>
              <w:rPr>
                <w:spacing w:val="-20"/>
                <w:sz w:val="24"/>
              </w:rPr>
              <w:t> </w:t>
            </w:r>
            <w:r>
              <w:rPr>
                <w:sz w:val="24"/>
              </w:rPr>
              <w:t>Department, </w:t>
            </w:r>
            <w:r>
              <w:rPr>
                <w:spacing w:val="-4"/>
                <w:sz w:val="24"/>
              </w:rPr>
              <w:t>GOM.</w:t>
            </w:r>
          </w:p>
        </w:tc>
      </w:tr>
      <w:tr>
        <w:trPr>
          <w:trHeight w:val="813" w:hRule="atLeast"/>
        </w:trPr>
        <w:tc>
          <w:tcPr>
            <w:tcW w:w="742" w:type="dxa"/>
          </w:tcPr>
          <w:p>
            <w:pPr>
              <w:pStyle w:val="TableParagraph"/>
              <w:spacing w:before="266"/>
              <w:ind w:left="7"/>
              <w:jc w:val="center"/>
              <w:rPr>
                <w:sz w:val="24"/>
              </w:rPr>
            </w:pPr>
            <w:r>
              <w:rPr>
                <w:spacing w:val="-5"/>
                <w:sz w:val="24"/>
              </w:rPr>
              <w:t>57</w:t>
            </w:r>
          </w:p>
        </w:tc>
        <w:tc>
          <w:tcPr>
            <w:tcW w:w="1589" w:type="dxa"/>
            <w:vMerge/>
            <w:tcBorders>
              <w:top w:val="nil"/>
            </w:tcBorders>
          </w:tcPr>
          <w:p>
            <w:pPr>
              <w:rPr>
                <w:sz w:val="2"/>
                <w:szCs w:val="2"/>
              </w:rPr>
            </w:pPr>
          </w:p>
        </w:tc>
        <w:tc>
          <w:tcPr>
            <w:tcW w:w="1227" w:type="dxa"/>
          </w:tcPr>
          <w:p>
            <w:pPr>
              <w:pStyle w:val="TableParagraph"/>
              <w:spacing w:before="266"/>
              <w:ind w:left="116"/>
              <w:jc w:val="center"/>
              <w:rPr>
                <w:sz w:val="24"/>
              </w:rPr>
            </w:pPr>
            <w:r>
              <w:rPr>
                <w:spacing w:val="-2"/>
                <w:sz w:val="24"/>
              </w:rPr>
              <w:t>RR1.7</w:t>
            </w:r>
          </w:p>
        </w:tc>
        <w:tc>
          <w:tcPr>
            <w:tcW w:w="2948" w:type="dxa"/>
          </w:tcPr>
          <w:p>
            <w:pPr>
              <w:pStyle w:val="TableParagraph"/>
              <w:spacing w:before="266"/>
              <w:ind w:left="94" w:right="91"/>
              <w:jc w:val="center"/>
              <w:rPr>
                <w:sz w:val="24"/>
              </w:rPr>
            </w:pPr>
            <w:r>
              <w:rPr>
                <w:sz w:val="24"/>
              </w:rPr>
              <w:t>Government </w:t>
            </w:r>
            <w:r>
              <w:rPr>
                <w:spacing w:val="-2"/>
                <w:sz w:val="24"/>
              </w:rPr>
              <w:t>Housing</w:t>
            </w:r>
          </w:p>
        </w:tc>
        <w:tc>
          <w:tcPr>
            <w:tcW w:w="3128" w:type="dxa"/>
          </w:tcPr>
          <w:p>
            <w:pPr>
              <w:pStyle w:val="TableParagraph"/>
              <w:spacing w:before="124"/>
              <w:ind w:left="299" w:right="17" w:hanging="106"/>
              <w:rPr>
                <w:sz w:val="24"/>
              </w:rPr>
            </w:pPr>
            <w:r>
              <w:rPr>
                <w:sz w:val="24"/>
              </w:rPr>
              <w:t>Concerned</w:t>
            </w:r>
            <w:r>
              <w:rPr>
                <w:spacing w:val="-20"/>
                <w:sz w:val="24"/>
              </w:rPr>
              <w:t> </w:t>
            </w:r>
            <w:r>
              <w:rPr>
                <w:sz w:val="24"/>
              </w:rPr>
              <w:t>Department of State/Central Govt</w:t>
            </w:r>
          </w:p>
        </w:tc>
      </w:tr>
      <w:tr>
        <w:trPr>
          <w:trHeight w:val="815" w:hRule="atLeast"/>
        </w:trPr>
        <w:tc>
          <w:tcPr>
            <w:tcW w:w="742" w:type="dxa"/>
          </w:tcPr>
          <w:p>
            <w:pPr>
              <w:pStyle w:val="TableParagraph"/>
              <w:spacing w:before="265"/>
              <w:ind w:left="7"/>
              <w:jc w:val="center"/>
              <w:rPr>
                <w:sz w:val="24"/>
              </w:rPr>
            </w:pPr>
            <w:r>
              <w:rPr>
                <w:spacing w:val="-5"/>
                <w:sz w:val="24"/>
              </w:rPr>
              <w:t>58</w:t>
            </w:r>
          </w:p>
        </w:tc>
        <w:tc>
          <w:tcPr>
            <w:tcW w:w="1589" w:type="dxa"/>
            <w:vMerge/>
            <w:tcBorders>
              <w:top w:val="nil"/>
            </w:tcBorders>
          </w:tcPr>
          <w:p>
            <w:pPr>
              <w:rPr>
                <w:sz w:val="2"/>
                <w:szCs w:val="2"/>
              </w:rPr>
            </w:pPr>
          </w:p>
        </w:tc>
        <w:tc>
          <w:tcPr>
            <w:tcW w:w="1227" w:type="dxa"/>
          </w:tcPr>
          <w:p>
            <w:pPr>
              <w:pStyle w:val="TableParagraph"/>
              <w:spacing w:before="265"/>
              <w:ind w:left="1"/>
              <w:jc w:val="center"/>
              <w:rPr>
                <w:sz w:val="24"/>
              </w:rPr>
            </w:pPr>
            <w:r>
              <w:rPr>
                <w:spacing w:val="-2"/>
                <w:sz w:val="24"/>
              </w:rPr>
              <w:t>RR2.1</w:t>
            </w:r>
          </w:p>
        </w:tc>
        <w:tc>
          <w:tcPr>
            <w:tcW w:w="2948" w:type="dxa"/>
          </w:tcPr>
          <w:p>
            <w:pPr>
              <w:pStyle w:val="TableParagraph"/>
              <w:spacing w:before="126"/>
              <w:ind w:left="762" w:right="106" w:hanging="195"/>
              <w:rPr>
                <w:sz w:val="24"/>
              </w:rPr>
            </w:pPr>
            <w:r>
              <w:rPr>
                <w:sz w:val="24"/>
              </w:rPr>
              <w:t>Rehabilitation</w:t>
            </w:r>
            <w:r>
              <w:rPr>
                <w:spacing w:val="-20"/>
                <w:sz w:val="24"/>
              </w:rPr>
              <w:t> </w:t>
            </w:r>
            <w:r>
              <w:rPr>
                <w:sz w:val="24"/>
              </w:rPr>
              <w:t>&amp; </w:t>
            </w:r>
            <w:r>
              <w:rPr>
                <w:spacing w:val="-2"/>
                <w:sz w:val="24"/>
              </w:rPr>
              <w:t>Resettlement</w:t>
            </w:r>
          </w:p>
        </w:tc>
        <w:tc>
          <w:tcPr>
            <w:tcW w:w="3128" w:type="dxa"/>
          </w:tcPr>
          <w:p>
            <w:pPr>
              <w:pStyle w:val="TableParagraph"/>
              <w:spacing w:before="265"/>
              <w:ind w:left="1156"/>
              <w:rPr>
                <w:sz w:val="24"/>
              </w:rPr>
            </w:pPr>
            <w:r>
              <w:rPr>
                <w:spacing w:val="-4"/>
                <w:sz w:val="24"/>
              </w:rPr>
              <w:t>MCGM</w:t>
            </w:r>
          </w:p>
        </w:tc>
      </w:tr>
      <w:tr>
        <w:trPr>
          <w:trHeight w:val="472" w:hRule="atLeast"/>
        </w:trPr>
        <w:tc>
          <w:tcPr>
            <w:tcW w:w="742" w:type="dxa"/>
          </w:tcPr>
          <w:p>
            <w:pPr>
              <w:pStyle w:val="TableParagraph"/>
              <w:spacing w:before="95"/>
              <w:ind w:left="7"/>
              <w:jc w:val="center"/>
              <w:rPr>
                <w:sz w:val="24"/>
              </w:rPr>
            </w:pPr>
            <w:r>
              <w:rPr>
                <w:spacing w:val="-5"/>
                <w:sz w:val="24"/>
              </w:rPr>
              <w:t>59</w:t>
            </w:r>
          </w:p>
        </w:tc>
        <w:tc>
          <w:tcPr>
            <w:tcW w:w="1589" w:type="dxa"/>
            <w:vMerge/>
            <w:tcBorders>
              <w:top w:val="nil"/>
            </w:tcBorders>
          </w:tcPr>
          <w:p>
            <w:pPr>
              <w:rPr>
                <w:sz w:val="2"/>
                <w:szCs w:val="2"/>
              </w:rPr>
            </w:pPr>
          </w:p>
        </w:tc>
        <w:tc>
          <w:tcPr>
            <w:tcW w:w="1227" w:type="dxa"/>
          </w:tcPr>
          <w:p>
            <w:pPr>
              <w:pStyle w:val="TableParagraph"/>
              <w:spacing w:before="95"/>
              <w:ind w:left="116" w:right="110"/>
              <w:jc w:val="center"/>
              <w:rPr>
                <w:sz w:val="24"/>
              </w:rPr>
            </w:pPr>
            <w:r>
              <w:rPr>
                <w:spacing w:val="-2"/>
                <w:sz w:val="24"/>
              </w:rPr>
              <w:t>RR2.2</w:t>
            </w:r>
          </w:p>
        </w:tc>
        <w:tc>
          <w:tcPr>
            <w:tcW w:w="2948" w:type="dxa"/>
          </w:tcPr>
          <w:p>
            <w:pPr>
              <w:pStyle w:val="TableParagraph"/>
              <w:spacing w:before="95"/>
              <w:ind w:left="94" w:right="86"/>
              <w:jc w:val="center"/>
              <w:rPr>
                <w:sz w:val="24"/>
              </w:rPr>
            </w:pPr>
            <w:r>
              <w:rPr>
                <w:sz w:val="24"/>
              </w:rPr>
              <w:t>Social </w:t>
            </w:r>
            <w:r>
              <w:rPr>
                <w:spacing w:val="-2"/>
                <w:sz w:val="24"/>
              </w:rPr>
              <w:t>Housing</w:t>
            </w:r>
          </w:p>
        </w:tc>
        <w:tc>
          <w:tcPr>
            <w:tcW w:w="3128" w:type="dxa"/>
          </w:tcPr>
          <w:p>
            <w:pPr>
              <w:pStyle w:val="TableParagraph"/>
              <w:spacing w:before="95"/>
              <w:ind w:left="1156"/>
              <w:rPr>
                <w:sz w:val="24"/>
              </w:rPr>
            </w:pPr>
            <w:r>
              <w:rPr>
                <w:spacing w:val="-4"/>
                <w:sz w:val="24"/>
              </w:rPr>
              <w:t>MCGM</w:t>
            </w:r>
          </w:p>
        </w:tc>
      </w:tr>
      <w:tr>
        <w:trPr>
          <w:trHeight w:val="693" w:hRule="atLeast"/>
        </w:trPr>
        <w:tc>
          <w:tcPr>
            <w:tcW w:w="742" w:type="dxa"/>
          </w:tcPr>
          <w:p>
            <w:pPr>
              <w:pStyle w:val="TableParagraph"/>
              <w:spacing w:before="205"/>
              <w:ind w:left="7"/>
              <w:jc w:val="center"/>
              <w:rPr>
                <w:sz w:val="24"/>
              </w:rPr>
            </w:pPr>
            <w:r>
              <w:rPr>
                <w:spacing w:val="-5"/>
                <w:sz w:val="24"/>
              </w:rPr>
              <w:t>60</w:t>
            </w:r>
          </w:p>
        </w:tc>
        <w:tc>
          <w:tcPr>
            <w:tcW w:w="1589" w:type="dxa"/>
            <w:vMerge/>
            <w:tcBorders>
              <w:top w:val="nil"/>
            </w:tcBorders>
          </w:tcPr>
          <w:p>
            <w:pPr>
              <w:rPr>
                <w:sz w:val="2"/>
                <w:szCs w:val="2"/>
              </w:rPr>
            </w:pPr>
          </w:p>
        </w:tc>
        <w:tc>
          <w:tcPr>
            <w:tcW w:w="1227" w:type="dxa"/>
          </w:tcPr>
          <w:p>
            <w:pPr>
              <w:pStyle w:val="TableParagraph"/>
              <w:spacing w:before="205"/>
              <w:ind w:right="6"/>
              <w:jc w:val="center"/>
              <w:rPr>
                <w:sz w:val="24"/>
              </w:rPr>
            </w:pPr>
            <w:r>
              <w:rPr>
                <w:spacing w:val="-2"/>
                <w:sz w:val="24"/>
              </w:rPr>
              <w:t>RR3.1</w:t>
            </w:r>
          </w:p>
        </w:tc>
        <w:tc>
          <w:tcPr>
            <w:tcW w:w="2948" w:type="dxa"/>
          </w:tcPr>
          <w:p>
            <w:pPr>
              <w:pStyle w:val="TableParagraph"/>
              <w:spacing w:before="205"/>
              <w:ind w:right="75"/>
              <w:jc w:val="center"/>
              <w:rPr>
                <w:sz w:val="24"/>
              </w:rPr>
            </w:pPr>
            <w:r>
              <w:rPr>
                <w:sz w:val="24"/>
              </w:rPr>
              <w:t>Koli </w:t>
            </w:r>
            <w:r>
              <w:rPr>
                <w:spacing w:val="-2"/>
                <w:sz w:val="24"/>
              </w:rPr>
              <w:t>Housing</w:t>
            </w:r>
          </w:p>
        </w:tc>
        <w:tc>
          <w:tcPr>
            <w:tcW w:w="3128" w:type="dxa"/>
          </w:tcPr>
          <w:p>
            <w:pPr>
              <w:pStyle w:val="TableParagraph"/>
              <w:spacing w:before="205"/>
              <w:ind w:left="1156"/>
              <w:rPr>
                <w:sz w:val="24"/>
              </w:rPr>
            </w:pPr>
            <w:r>
              <w:rPr>
                <w:spacing w:val="-4"/>
                <w:sz w:val="24"/>
              </w:rPr>
              <w:t>MCGM</w:t>
            </w:r>
          </w:p>
        </w:tc>
      </w:tr>
      <w:tr>
        <w:trPr>
          <w:trHeight w:val="756" w:hRule="atLeast"/>
        </w:trPr>
        <w:tc>
          <w:tcPr>
            <w:tcW w:w="742" w:type="dxa"/>
          </w:tcPr>
          <w:p>
            <w:pPr>
              <w:pStyle w:val="TableParagraph"/>
              <w:spacing w:before="236"/>
              <w:ind w:left="7"/>
              <w:jc w:val="center"/>
              <w:rPr>
                <w:sz w:val="24"/>
              </w:rPr>
            </w:pPr>
            <w:r>
              <w:rPr>
                <w:spacing w:val="-5"/>
                <w:sz w:val="24"/>
              </w:rPr>
              <w:t>61</w:t>
            </w:r>
          </w:p>
        </w:tc>
        <w:tc>
          <w:tcPr>
            <w:tcW w:w="1589" w:type="dxa"/>
            <w:vMerge w:val="restart"/>
          </w:tcPr>
          <w:p>
            <w:pPr>
              <w:pStyle w:val="TableParagraph"/>
              <w:rPr>
                <w:rFonts w:ascii="Times New Roman"/>
                <w:sz w:val="22"/>
              </w:rPr>
            </w:pPr>
          </w:p>
        </w:tc>
        <w:tc>
          <w:tcPr>
            <w:tcW w:w="1227" w:type="dxa"/>
          </w:tcPr>
          <w:p>
            <w:pPr>
              <w:pStyle w:val="TableParagraph"/>
              <w:spacing w:before="236"/>
              <w:ind w:right="6"/>
              <w:jc w:val="center"/>
              <w:rPr>
                <w:sz w:val="24"/>
              </w:rPr>
            </w:pPr>
            <w:r>
              <w:rPr>
                <w:spacing w:val="-2"/>
                <w:sz w:val="24"/>
              </w:rPr>
              <w:t>RSA1.1</w:t>
            </w:r>
          </w:p>
        </w:tc>
        <w:tc>
          <w:tcPr>
            <w:tcW w:w="2948" w:type="dxa"/>
          </w:tcPr>
          <w:p>
            <w:pPr>
              <w:pStyle w:val="TableParagraph"/>
              <w:spacing w:before="95"/>
              <w:ind w:left="669" w:right="106" w:hanging="572"/>
              <w:rPr>
                <w:sz w:val="24"/>
              </w:rPr>
            </w:pPr>
            <w:r>
              <w:rPr>
                <w:sz w:val="24"/>
              </w:rPr>
              <w:t>Municipal</w:t>
            </w:r>
            <w:r>
              <w:rPr>
                <w:spacing w:val="-18"/>
                <w:sz w:val="24"/>
              </w:rPr>
              <w:t> </w:t>
            </w:r>
            <w:r>
              <w:rPr>
                <w:sz w:val="24"/>
              </w:rPr>
              <w:t>Market</w:t>
            </w:r>
            <w:r>
              <w:rPr>
                <w:spacing w:val="-18"/>
                <w:sz w:val="24"/>
              </w:rPr>
              <w:t> </w:t>
            </w:r>
            <w:r>
              <w:rPr>
                <w:sz w:val="24"/>
              </w:rPr>
              <w:t>with Vending Zone</w:t>
            </w:r>
          </w:p>
        </w:tc>
        <w:tc>
          <w:tcPr>
            <w:tcW w:w="3128" w:type="dxa"/>
          </w:tcPr>
          <w:p>
            <w:pPr>
              <w:pStyle w:val="TableParagraph"/>
              <w:spacing w:before="236"/>
              <w:ind w:left="1115"/>
              <w:rPr>
                <w:sz w:val="24"/>
              </w:rPr>
            </w:pPr>
            <w:r>
              <w:rPr>
                <w:spacing w:val="-4"/>
                <w:sz w:val="24"/>
              </w:rPr>
              <w:t>MCGM</w:t>
            </w:r>
          </w:p>
        </w:tc>
      </w:tr>
      <w:tr>
        <w:trPr>
          <w:trHeight w:val="798" w:hRule="atLeast"/>
        </w:trPr>
        <w:tc>
          <w:tcPr>
            <w:tcW w:w="742" w:type="dxa"/>
          </w:tcPr>
          <w:p>
            <w:pPr>
              <w:pStyle w:val="TableParagraph"/>
              <w:spacing w:before="258"/>
              <w:ind w:left="7"/>
              <w:jc w:val="center"/>
              <w:rPr>
                <w:sz w:val="24"/>
              </w:rPr>
            </w:pPr>
            <w:r>
              <w:rPr>
                <w:spacing w:val="-5"/>
                <w:sz w:val="24"/>
              </w:rPr>
              <w:t>62</w:t>
            </w:r>
          </w:p>
        </w:tc>
        <w:tc>
          <w:tcPr>
            <w:tcW w:w="1589" w:type="dxa"/>
            <w:vMerge/>
            <w:tcBorders>
              <w:top w:val="nil"/>
            </w:tcBorders>
          </w:tcPr>
          <w:p>
            <w:pPr>
              <w:rPr>
                <w:sz w:val="2"/>
                <w:szCs w:val="2"/>
              </w:rPr>
            </w:pPr>
          </w:p>
        </w:tc>
        <w:tc>
          <w:tcPr>
            <w:tcW w:w="1227" w:type="dxa"/>
          </w:tcPr>
          <w:p>
            <w:pPr>
              <w:pStyle w:val="TableParagraph"/>
              <w:spacing w:before="258"/>
              <w:ind w:left="116" w:right="110"/>
              <w:jc w:val="center"/>
              <w:rPr>
                <w:sz w:val="24"/>
              </w:rPr>
            </w:pPr>
            <w:r>
              <w:rPr>
                <w:spacing w:val="-2"/>
                <w:sz w:val="24"/>
              </w:rPr>
              <w:t>RSA1.2</w:t>
            </w:r>
          </w:p>
        </w:tc>
        <w:tc>
          <w:tcPr>
            <w:tcW w:w="2948" w:type="dxa"/>
          </w:tcPr>
          <w:p>
            <w:pPr>
              <w:pStyle w:val="TableParagraph"/>
              <w:spacing w:before="116"/>
              <w:ind w:left="669" w:right="106" w:hanging="279"/>
              <w:rPr>
                <w:sz w:val="24"/>
              </w:rPr>
            </w:pPr>
            <w:r>
              <w:rPr>
                <w:sz w:val="24"/>
              </w:rPr>
              <w:t>Retail</w:t>
            </w:r>
            <w:r>
              <w:rPr>
                <w:spacing w:val="-19"/>
                <w:sz w:val="24"/>
              </w:rPr>
              <w:t> </w:t>
            </w:r>
            <w:r>
              <w:rPr>
                <w:sz w:val="24"/>
              </w:rPr>
              <w:t>Market</w:t>
            </w:r>
            <w:r>
              <w:rPr>
                <w:spacing w:val="-19"/>
                <w:sz w:val="24"/>
              </w:rPr>
              <w:t> </w:t>
            </w:r>
            <w:r>
              <w:rPr>
                <w:sz w:val="24"/>
              </w:rPr>
              <w:t>with Vending Zone</w:t>
            </w:r>
          </w:p>
        </w:tc>
        <w:tc>
          <w:tcPr>
            <w:tcW w:w="3128" w:type="dxa"/>
          </w:tcPr>
          <w:p>
            <w:pPr>
              <w:pStyle w:val="TableParagraph"/>
              <w:spacing w:before="258"/>
              <w:ind w:left="1156"/>
              <w:rPr>
                <w:sz w:val="24"/>
              </w:rPr>
            </w:pPr>
            <w:r>
              <w:rPr>
                <w:spacing w:val="-4"/>
                <w:sz w:val="24"/>
              </w:rPr>
              <w:t>MCGM</w:t>
            </w:r>
          </w:p>
        </w:tc>
      </w:tr>
      <w:tr>
        <w:trPr>
          <w:trHeight w:val="755" w:hRule="atLeast"/>
        </w:trPr>
        <w:tc>
          <w:tcPr>
            <w:tcW w:w="742" w:type="dxa"/>
          </w:tcPr>
          <w:p>
            <w:pPr>
              <w:pStyle w:val="TableParagraph"/>
              <w:spacing w:before="236"/>
              <w:ind w:left="7"/>
              <w:jc w:val="center"/>
              <w:rPr>
                <w:sz w:val="24"/>
              </w:rPr>
            </w:pPr>
            <w:r>
              <w:rPr>
                <w:spacing w:val="-5"/>
                <w:sz w:val="24"/>
              </w:rPr>
              <w:t>63</w:t>
            </w:r>
          </w:p>
        </w:tc>
        <w:tc>
          <w:tcPr>
            <w:tcW w:w="1589" w:type="dxa"/>
            <w:vMerge/>
            <w:tcBorders>
              <w:top w:val="nil"/>
            </w:tcBorders>
          </w:tcPr>
          <w:p>
            <w:pPr>
              <w:rPr>
                <w:sz w:val="2"/>
                <w:szCs w:val="2"/>
              </w:rPr>
            </w:pPr>
          </w:p>
        </w:tc>
        <w:tc>
          <w:tcPr>
            <w:tcW w:w="1227" w:type="dxa"/>
          </w:tcPr>
          <w:p>
            <w:pPr>
              <w:pStyle w:val="TableParagraph"/>
              <w:spacing w:before="236"/>
              <w:ind w:left="116" w:right="110"/>
              <w:jc w:val="center"/>
              <w:rPr>
                <w:sz w:val="24"/>
              </w:rPr>
            </w:pPr>
            <w:r>
              <w:rPr>
                <w:spacing w:val="-2"/>
                <w:sz w:val="24"/>
              </w:rPr>
              <w:t>RSA2.1</w:t>
            </w:r>
          </w:p>
        </w:tc>
        <w:tc>
          <w:tcPr>
            <w:tcW w:w="2948" w:type="dxa"/>
          </w:tcPr>
          <w:p>
            <w:pPr>
              <w:pStyle w:val="TableParagraph"/>
              <w:spacing w:before="95"/>
              <w:ind w:left="354" w:right="106" w:firstLine="285"/>
              <w:rPr>
                <w:sz w:val="24"/>
              </w:rPr>
            </w:pPr>
            <w:r>
              <w:rPr>
                <w:spacing w:val="-2"/>
                <w:sz w:val="24"/>
              </w:rPr>
              <w:t>Multi-Purpose </w:t>
            </w:r>
            <w:r>
              <w:rPr>
                <w:sz w:val="24"/>
              </w:rPr>
              <w:t>Community</w:t>
            </w:r>
            <w:r>
              <w:rPr>
                <w:spacing w:val="-20"/>
                <w:sz w:val="24"/>
              </w:rPr>
              <w:t> </w:t>
            </w:r>
            <w:r>
              <w:rPr>
                <w:sz w:val="24"/>
              </w:rPr>
              <w:t>Centre</w:t>
            </w:r>
          </w:p>
        </w:tc>
        <w:tc>
          <w:tcPr>
            <w:tcW w:w="3128" w:type="dxa"/>
          </w:tcPr>
          <w:p>
            <w:pPr>
              <w:pStyle w:val="TableParagraph"/>
              <w:spacing w:before="236"/>
              <w:ind w:left="1117"/>
              <w:rPr>
                <w:sz w:val="24"/>
              </w:rPr>
            </w:pPr>
            <w:r>
              <w:rPr>
                <w:spacing w:val="-2"/>
                <w:sz w:val="24"/>
              </w:rPr>
              <w:t>MCGM.</w:t>
            </w:r>
          </w:p>
        </w:tc>
      </w:tr>
      <w:tr>
        <w:trPr>
          <w:trHeight w:val="1223" w:hRule="atLeast"/>
        </w:trPr>
        <w:tc>
          <w:tcPr>
            <w:tcW w:w="742" w:type="dxa"/>
          </w:tcPr>
          <w:p>
            <w:pPr>
              <w:pStyle w:val="TableParagraph"/>
              <w:spacing w:before="187"/>
              <w:rPr>
                <w:b/>
                <w:sz w:val="24"/>
              </w:rPr>
            </w:pPr>
          </w:p>
          <w:p>
            <w:pPr>
              <w:pStyle w:val="TableParagraph"/>
              <w:ind w:left="7"/>
              <w:jc w:val="center"/>
              <w:rPr>
                <w:sz w:val="24"/>
              </w:rPr>
            </w:pPr>
            <w:r>
              <w:rPr>
                <w:spacing w:val="-5"/>
                <w:sz w:val="24"/>
              </w:rPr>
              <w:t>64</w:t>
            </w:r>
          </w:p>
        </w:tc>
        <w:tc>
          <w:tcPr>
            <w:tcW w:w="1589" w:type="dxa"/>
            <w:vMerge/>
            <w:tcBorders>
              <w:top w:val="nil"/>
            </w:tcBorders>
          </w:tcPr>
          <w:p>
            <w:pPr>
              <w:rPr>
                <w:sz w:val="2"/>
                <w:szCs w:val="2"/>
              </w:rPr>
            </w:pPr>
          </w:p>
        </w:tc>
        <w:tc>
          <w:tcPr>
            <w:tcW w:w="1227" w:type="dxa"/>
          </w:tcPr>
          <w:p>
            <w:pPr>
              <w:pStyle w:val="TableParagraph"/>
              <w:rPr>
                <w:b/>
                <w:sz w:val="24"/>
              </w:rPr>
            </w:pPr>
          </w:p>
          <w:p>
            <w:pPr>
              <w:pStyle w:val="TableParagraph"/>
              <w:spacing w:before="47"/>
              <w:rPr>
                <w:b/>
                <w:sz w:val="24"/>
              </w:rPr>
            </w:pPr>
          </w:p>
          <w:p>
            <w:pPr>
              <w:pStyle w:val="TableParagraph"/>
              <w:ind w:left="116" w:right="110"/>
              <w:jc w:val="center"/>
              <w:rPr>
                <w:sz w:val="24"/>
              </w:rPr>
            </w:pPr>
            <w:r>
              <w:rPr>
                <w:spacing w:val="-2"/>
                <w:sz w:val="24"/>
              </w:rPr>
              <w:t>RSA2.7</w:t>
            </w:r>
          </w:p>
        </w:tc>
        <w:tc>
          <w:tcPr>
            <w:tcW w:w="2948" w:type="dxa"/>
          </w:tcPr>
          <w:p>
            <w:pPr>
              <w:pStyle w:val="TableParagraph"/>
              <w:rPr>
                <w:b/>
                <w:sz w:val="24"/>
              </w:rPr>
            </w:pPr>
          </w:p>
          <w:p>
            <w:pPr>
              <w:pStyle w:val="TableParagraph"/>
              <w:spacing w:before="47"/>
              <w:rPr>
                <w:b/>
                <w:sz w:val="24"/>
              </w:rPr>
            </w:pPr>
          </w:p>
          <w:p>
            <w:pPr>
              <w:pStyle w:val="TableParagraph"/>
              <w:ind w:left="94" w:right="86"/>
              <w:jc w:val="center"/>
              <w:rPr>
                <w:sz w:val="24"/>
              </w:rPr>
            </w:pPr>
            <w:r>
              <w:rPr>
                <w:sz w:val="24"/>
              </w:rPr>
              <w:t>Students </w:t>
            </w:r>
            <w:r>
              <w:rPr>
                <w:spacing w:val="-2"/>
                <w:sz w:val="24"/>
              </w:rPr>
              <w:t>Hostel</w:t>
            </w:r>
          </w:p>
        </w:tc>
        <w:tc>
          <w:tcPr>
            <w:tcW w:w="3128" w:type="dxa"/>
          </w:tcPr>
          <w:p>
            <w:pPr>
              <w:pStyle w:val="TableParagraph"/>
              <w:spacing w:before="95"/>
              <w:ind w:left="83" w:right="75"/>
              <w:jc w:val="center"/>
              <w:rPr>
                <w:sz w:val="24"/>
              </w:rPr>
            </w:pPr>
            <w:r>
              <w:rPr>
                <w:sz w:val="24"/>
              </w:rPr>
              <w:t>MCGM</w:t>
            </w:r>
            <w:r>
              <w:rPr>
                <w:spacing w:val="-13"/>
                <w:sz w:val="24"/>
              </w:rPr>
              <w:t> </w:t>
            </w:r>
            <w:r>
              <w:rPr>
                <w:sz w:val="24"/>
              </w:rPr>
              <w:t>/</w:t>
            </w:r>
            <w:r>
              <w:rPr>
                <w:spacing w:val="-13"/>
                <w:sz w:val="24"/>
              </w:rPr>
              <w:t> </w:t>
            </w:r>
            <w:r>
              <w:rPr>
                <w:sz w:val="24"/>
              </w:rPr>
              <w:t>Social</w:t>
            </w:r>
            <w:r>
              <w:rPr>
                <w:spacing w:val="-13"/>
                <w:sz w:val="24"/>
              </w:rPr>
              <w:t> </w:t>
            </w:r>
            <w:r>
              <w:rPr>
                <w:sz w:val="24"/>
              </w:rPr>
              <w:t>Justice and</w:t>
            </w:r>
            <w:r>
              <w:rPr>
                <w:spacing w:val="-1"/>
                <w:sz w:val="24"/>
              </w:rPr>
              <w:t> </w:t>
            </w:r>
            <w:r>
              <w:rPr>
                <w:sz w:val="24"/>
              </w:rPr>
              <w:t>Special</w:t>
            </w:r>
            <w:r>
              <w:rPr>
                <w:spacing w:val="-1"/>
                <w:sz w:val="24"/>
              </w:rPr>
              <w:t> </w:t>
            </w:r>
            <w:r>
              <w:rPr>
                <w:spacing w:val="-2"/>
                <w:sz w:val="24"/>
              </w:rPr>
              <w:t>Assistance</w:t>
            </w:r>
          </w:p>
          <w:p>
            <w:pPr>
              <w:pStyle w:val="TableParagraph"/>
              <w:spacing w:line="280" w:lineRule="exact"/>
              <w:ind w:left="263" w:right="256" w:firstLine="1"/>
              <w:jc w:val="center"/>
              <w:rPr>
                <w:sz w:val="24"/>
              </w:rPr>
            </w:pPr>
            <w:r>
              <w:rPr>
                <w:spacing w:val="-2"/>
                <w:sz w:val="24"/>
              </w:rPr>
              <w:t>Department, </w:t>
            </w:r>
            <w:r>
              <w:rPr>
                <w:sz w:val="24"/>
              </w:rPr>
              <w:t>GOM/Women</w:t>
            </w:r>
            <w:r>
              <w:rPr>
                <w:spacing w:val="-19"/>
                <w:sz w:val="24"/>
              </w:rPr>
              <w:t> </w:t>
            </w:r>
            <w:r>
              <w:rPr>
                <w:sz w:val="24"/>
              </w:rPr>
              <w:t>&amp;</w:t>
            </w:r>
            <w:r>
              <w:rPr>
                <w:spacing w:val="-19"/>
                <w:sz w:val="24"/>
              </w:rPr>
              <w:t> </w:t>
            </w:r>
            <w:r>
              <w:rPr>
                <w:sz w:val="24"/>
              </w:rPr>
              <w:t>Child</w:t>
            </w:r>
          </w:p>
        </w:tc>
      </w:tr>
    </w:tbl>
    <w:p>
      <w:pPr>
        <w:pStyle w:val="TableParagraph"/>
        <w:spacing w:after="0" w:line="280" w:lineRule="exact"/>
        <w:jc w:val="center"/>
        <w:rPr>
          <w:sz w:val="24"/>
        </w:rPr>
        <w:sectPr>
          <w:pgSz w:w="11910" w:h="16850"/>
          <w:pgMar w:header="1082" w:footer="945" w:top="1520" w:bottom="1140" w:left="360" w:right="360"/>
        </w:sectPr>
      </w:pPr>
    </w:p>
    <w:p>
      <w:pPr>
        <w:pStyle w:val="BodyText"/>
        <w:spacing w:before="7"/>
        <w:jc w:val="left"/>
        <w:rPr>
          <w:b/>
          <w:sz w:val="18"/>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2"/>
        <w:gridCol w:w="1589"/>
        <w:gridCol w:w="1227"/>
        <w:gridCol w:w="2948"/>
        <w:gridCol w:w="3128"/>
      </w:tblGrid>
      <w:tr>
        <w:trPr>
          <w:trHeight w:val="474" w:hRule="atLeast"/>
        </w:trPr>
        <w:tc>
          <w:tcPr>
            <w:tcW w:w="742" w:type="dxa"/>
            <w:vMerge w:val="restart"/>
            <w:shd w:val="clear" w:color="auto" w:fill="EDEBE0"/>
          </w:tcPr>
          <w:p>
            <w:pPr>
              <w:pStyle w:val="TableParagraph"/>
              <w:spacing w:before="95"/>
              <w:ind w:left="213" w:right="185" w:hanging="15"/>
              <w:rPr>
                <w:sz w:val="24"/>
              </w:rPr>
            </w:pPr>
            <w:r>
              <w:rPr>
                <w:spacing w:val="-4"/>
                <w:sz w:val="24"/>
              </w:rPr>
              <w:t>Sr. </w:t>
            </w:r>
            <w:r>
              <w:rPr>
                <w:spacing w:val="-5"/>
                <w:sz w:val="24"/>
              </w:rPr>
              <w:t>No</w:t>
            </w:r>
          </w:p>
        </w:tc>
        <w:tc>
          <w:tcPr>
            <w:tcW w:w="1589" w:type="dxa"/>
            <w:vMerge w:val="restart"/>
            <w:tcBorders>
              <w:bottom w:val="nil"/>
            </w:tcBorders>
            <w:shd w:val="clear" w:color="auto" w:fill="EDEBE0"/>
          </w:tcPr>
          <w:p>
            <w:pPr>
              <w:pStyle w:val="TableParagraph"/>
              <w:spacing w:before="95"/>
              <w:ind w:left="117"/>
              <w:jc w:val="center"/>
              <w:rPr>
                <w:sz w:val="24"/>
              </w:rPr>
            </w:pPr>
            <w:r>
              <w:rPr>
                <w:spacing w:val="-2"/>
                <w:sz w:val="24"/>
              </w:rPr>
              <w:t>Reservation </w:t>
            </w:r>
            <w:r>
              <w:rPr>
                <w:spacing w:val="-4"/>
                <w:sz w:val="24"/>
              </w:rPr>
              <w:t>main </w:t>
            </w:r>
            <w:r>
              <w:rPr>
                <w:spacing w:val="-2"/>
                <w:sz w:val="24"/>
              </w:rPr>
              <w:t>Category</w:t>
            </w:r>
          </w:p>
        </w:tc>
        <w:tc>
          <w:tcPr>
            <w:tcW w:w="4175" w:type="dxa"/>
            <w:gridSpan w:val="2"/>
            <w:shd w:val="clear" w:color="auto" w:fill="EDEBE0"/>
          </w:tcPr>
          <w:p>
            <w:pPr>
              <w:pStyle w:val="TableParagraph"/>
              <w:spacing w:before="95"/>
              <w:ind w:left="571"/>
              <w:rPr>
                <w:sz w:val="24"/>
              </w:rPr>
            </w:pPr>
            <w:r>
              <w:rPr>
                <w:sz w:val="24"/>
              </w:rPr>
              <w:t>Reservation</w:t>
            </w:r>
            <w:r>
              <w:rPr>
                <w:spacing w:val="-6"/>
                <w:sz w:val="24"/>
              </w:rPr>
              <w:t> </w:t>
            </w:r>
            <w:r>
              <w:rPr>
                <w:sz w:val="24"/>
              </w:rPr>
              <w:t>Sub</w:t>
            </w:r>
            <w:r>
              <w:rPr>
                <w:spacing w:val="-6"/>
                <w:sz w:val="24"/>
              </w:rPr>
              <w:t> </w:t>
            </w:r>
            <w:r>
              <w:rPr>
                <w:spacing w:val="-2"/>
                <w:sz w:val="24"/>
              </w:rPr>
              <w:t>Category</w:t>
            </w:r>
          </w:p>
        </w:tc>
        <w:tc>
          <w:tcPr>
            <w:tcW w:w="3128" w:type="dxa"/>
            <w:vMerge w:val="restart"/>
            <w:shd w:val="clear" w:color="auto" w:fill="EDEBE0"/>
          </w:tcPr>
          <w:p>
            <w:pPr>
              <w:pStyle w:val="TableParagraph"/>
              <w:spacing w:before="95"/>
              <w:ind w:left="277"/>
              <w:rPr>
                <w:sz w:val="24"/>
              </w:rPr>
            </w:pPr>
            <w:r>
              <w:rPr>
                <w:sz w:val="24"/>
              </w:rPr>
              <w:t>Appropriate </w:t>
            </w:r>
            <w:r>
              <w:rPr>
                <w:spacing w:val="-2"/>
                <w:sz w:val="24"/>
              </w:rPr>
              <w:t>Authority</w:t>
            </w:r>
          </w:p>
        </w:tc>
      </w:tr>
      <w:tr>
        <w:trPr>
          <w:trHeight w:val="664" w:hRule="atLeast"/>
        </w:trPr>
        <w:tc>
          <w:tcPr>
            <w:tcW w:w="742" w:type="dxa"/>
            <w:vMerge/>
            <w:tcBorders>
              <w:top w:val="nil"/>
            </w:tcBorders>
            <w:shd w:val="clear" w:color="auto" w:fill="EDEBE0"/>
          </w:tcPr>
          <w:p>
            <w:pPr>
              <w:rPr>
                <w:sz w:val="2"/>
                <w:szCs w:val="2"/>
              </w:rPr>
            </w:pPr>
          </w:p>
        </w:tc>
        <w:tc>
          <w:tcPr>
            <w:tcW w:w="1589" w:type="dxa"/>
            <w:vMerge/>
            <w:tcBorders>
              <w:top w:val="nil"/>
              <w:bottom w:val="nil"/>
            </w:tcBorders>
            <w:shd w:val="clear" w:color="auto" w:fill="EDEBE0"/>
          </w:tcPr>
          <w:p>
            <w:pPr>
              <w:rPr>
                <w:sz w:val="2"/>
                <w:szCs w:val="2"/>
              </w:rPr>
            </w:pPr>
          </w:p>
        </w:tc>
        <w:tc>
          <w:tcPr>
            <w:tcW w:w="1227" w:type="dxa"/>
            <w:shd w:val="clear" w:color="auto" w:fill="EDEBE0"/>
          </w:tcPr>
          <w:p>
            <w:pPr>
              <w:pStyle w:val="TableParagraph"/>
              <w:spacing w:before="95"/>
              <w:ind w:left="319"/>
              <w:rPr>
                <w:sz w:val="24"/>
              </w:rPr>
            </w:pPr>
            <w:r>
              <w:rPr>
                <w:spacing w:val="-4"/>
                <w:sz w:val="24"/>
              </w:rPr>
              <w:t>Code</w:t>
            </w:r>
          </w:p>
        </w:tc>
        <w:tc>
          <w:tcPr>
            <w:tcW w:w="2948" w:type="dxa"/>
            <w:shd w:val="clear" w:color="auto" w:fill="EDEBE0"/>
          </w:tcPr>
          <w:p>
            <w:pPr>
              <w:pStyle w:val="TableParagraph"/>
              <w:spacing w:before="95"/>
              <w:ind w:left="94" w:right="86"/>
              <w:jc w:val="center"/>
              <w:rPr>
                <w:sz w:val="24"/>
              </w:rPr>
            </w:pPr>
            <w:r>
              <w:rPr>
                <w:spacing w:val="-4"/>
                <w:sz w:val="24"/>
              </w:rPr>
              <w:t>Name</w:t>
            </w:r>
          </w:p>
        </w:tc>
        <w:tc>
          <w:tcPr>
            <w:tcW w:w="3128" w:type="dxa"/>
            <w:vMerge/>
            <w:tcBorders>
              <w:top w:val="nil"/>
            </w:tcBorders>
            <w:shd w:val="clear" w:color="auto" w:fill="EDEBE0"/>
          </w:tcPr>
          <w:p>
            <w:pPr>
              <w:rPr>
                <w:sz w:val="2"/>
                <w:szCs w:val="2"/>
              </w:rPr>
            </w:pPr>
          </w:p>
        </w:tc>
      </w:tr>
      <w:tr>
        <w:trPr>
          <w:trHeight w:val="659" w:hRule="atLeast"/>
        </w:trPr>
        <w:tc>
          <w:tcPr>
            <w:tcW w:w="742" w:type="dxa"/>
          </w:tcPr>
          <w:p>
            <w:pPr>
              <w:pStyle w:val="TableParagraph"/>
              <w:rPr>
                <w:rFonts w:ascii="Times New Roman"/>
                <w:sz w:val="22"/>
              </w:rPr>
            </w:pPr>
          </w:p>
        </w:tc>
        <w:tc>
          <w:tcPr>
            <w:tcW w:w="1589" w:type="dxa"/>
            <w:vMerge w:val="restart"/>
            <w:tcBorders>
              <w:top w:val="nil"/>
            </w:tcBorders>
          </w:tcPr>
          <w:p>
            <w:pPr>
              <w:pStyle w:val="TableParagraph"/>
              <w:spacing w:before="94"/>
              <w:rPr>
                <w:b/>
                <w:sz w:val="24"/>
              </w:rPr>
            </w:pPr>
          </w:p>
          <w:p>
            <w:pPr>
              <w:pStyle w:val="TableParagraph"/>
              <w:ind w:left="215" w:firstLine="228"/>
              <w:rPr>
                <w:sz w:val="24"/>
              </w:rPr>
            </w:pPr>
            <w:r>
              <w:rPr>
                <w:spacing w:val="-2"/>
                <w:sz w:val="24"/>
              </w:rPr>
              <w:t>Social Amenities</w:t>
            </w:r>
          </w:p>
        </w:tc>
        <w:tc>
          <w:tcPr>
            <w:tcW w:w="1227" w:type="dxa"/>
          </w:tcPr>
          <w:p>
            <w:pPr>
              <w:pStyle w:val="TableParagraph"/>
              <w:rPr>
                <w:rFonts w:ascii="Times New Roman"/>
                <w:sz w:val="22"/>
              </w:rPr>
            </w:pPr>
          </w:p>
        </w:tc>
        <w:tc>
          <w:tcPr>
            <w:tcW w:w="2948" w:type="dxa"/>
          </w:tcPr>
          <w:p>
            <w:pPr>
              <w:pStyle w:val="TableParagraph"/>
              <w:rPr>
                <w:rFonts w:ascii="Times New Roman"/>
                <w:sz w:val="22"/>
              </w:rPr>
            </w:pPr>
          </w:p>
        </w:tc>
        <w:tc>
          <w:tcPr>
            <w:tcW w:w="3128" w:type="dxa"/>
          </w:tcPr>
          <w:p>
            <w:pPr>
              <w:pStyle w:val="TableParagraph"/>
              <w:ind w:left="1259" w:hanging="913"/>
              <w:rPr>
                <w:sz w:val="24"/>
              </w:rPr>
            </w:pPr>
            <w:r>
              <w:rPr>
                <w:sz w:val="24"/>
              </w:rPr>
              <w:t>Welfare</w:t>
            </w:r>
            <w:r>
              <w:rPr>
                <w:spacing w:val="-20"/>
                <w:sz w:val="24"/>
              </w:rPr>
              <w:t> </w:t>
            </w:r>
            <w:r>
              <w:rPr>
                <w:sz w:val="24"/>
              </w:rPr>
              <w:t>Department, </w:t>
            </w:r>
            <w:r>
              <w:rPr>
                <w:spacing w:val="-4"/>
                <w:sz w:val="24"/>
              </w:rPr>
              <w:t>GOM</w:t>
            </w:r>
          </w:p>
        </w:tc>
      </w:tr>
      <w:tr>
        <w:trPr>
          <w:trHeight w:val="561" w:hRule="atLeast"/>
        </w:trPr>
        <w:tc>
          <w:tcPr>
            <w:tcW w:w="742" w:type="dxa"/>
          </w:tcPr>
          <w:p>
            <w:pPr>
              <w:pStyle w:val="TableParagraph"/>
              <w:spacing w:before="138"/>
              <w:ind w:left="7"/>
              <w:jc w:val="center"/>
              <w:rPr>
                <w:sz w:val="24"/>
              </w:rPr>
            </w:pPr>
            <w:r>
              <w:rPr>
                <w:spacing w:val="-5"/>
                <w:sz w:val="24"/>
              </w:rPr>
              <w:t>65</w:t>
            </w:r>
          </w:p>
        </w:tc>
        <w:tc>
          <w:tcPr>
            <w:tcW w:w="1589" w:type="dxa"/>
            <w:vMerge/>
            <w:tcBorders>
              <w:top w:val="nil"/>
            </w:tcBorders>
          </w:tcPr>
          <w:p>
            <w:pPr>
              <w:rPr>
                <w:sz w:val="2"/>
                <w:szCs w:val="2"/>
              </w:rPr>
            </w:pPr>
          </w:p>
        </w:tc>
        <w:tc>
          <w:tcPr>
            <w:tcW w:w="1227" w:type="dxa"/>
          </w:tcPr>
          <w:p>
            <w:pPr>
              <w:pStyle w:val="TableParagraph"/>
              <w:spacing w:before="138"/>
              <w:ind w:left="177"/>
              <w:rPr>
                <w:sz w:val="24"/>
              </w:rPr>
            </w:pPr>
            <w:r>
              <w:rPr>
                <w:spacing w:val="-2"/>
                <w:sz w:val="24"/>
              </w:rPr>
              <w:t>RSA2.9</w:t>
            </w:r>
          </w:p>
        </w:tc>
        <w:tc>
          <w:tcPr>
            <w:tcW w:w="2948" w:type="dxa"/>
          </w:tcPr>
          <w:p>
            <w:pPr>
              <w:pStyle w:val="TableParagraph"/>
              <w:spacing w:before="138"/>
              <w:ind w:left="94" w:right="86"/>
              <w:jc w:val="center"/>
              <w:rPr>
                <w:sz w:val="24"/>
              </w:rPr>
            </w:pPr>
            <w:r>
              <w:rPr>
                <w:sz w:val="24"/>
              </w:rPr>
              <w:t>Homeless </w:t>
            </w:r>
            <w:r>
              <w:rPr>
                <w:spacing w:val="-2"/>
                <w:sz w:val="24"/>
              </w:rPr>
              <w:t>Shelter</w:t>
            </w:r>
          </w:p>
        </w:tc>
        <w:tc>
          <w:tcPr>
            <w:tcW w:w="3128" w:type="dxa"/>
          </w:tcPr>
          <w:p>
            <w:pPr>
              <w:pStyle w:val="TableParagraph"/>
              <w:spacing w:before="138"/>
              <w:ind w:right="1148"/>
              <w:jc w:val="right"/>
              <w:rPr>
                <w:sz w:val="24"/>
              </w:rPr>
            </w:pPr>
            <w:r>
              <w:rPr>
                <w:spacing w:val="-4"/>
                <w:sz w:val="24"/>
              </w:rPr>
              <w:t>MCGM</w:t>
            </w:r>
          </w:p>
        </w:tc>
      </w:tr>
      <w:tr>
        <w:trPr>
          <w:trHeight w:val="755" w:hRule="atLeast"/>
        </w:trPr>
        <w:tc>
          <w:tcPr>
            <w:tcW w:w="742" w:type="dxa"/>
          </w:tcPr>
          <w:p>
            <w:pPr>
              <w:pStyle w:val="TableParagraph"/>
              <w:spacing w:before="236"/>
              <w:ind w:left="7"/>
              <w:jc w:val="center"/>
              <w:rPr>
                <w:sz w:val="24"/>
              </w:rPr>
            </w:pPr>
            <w:r>
              <w:rPr>
                <w:spacing w:val="-5"/>
                <w:sz w:val="24"/>
              </w:rPr>
              <w:t>66</w:t>
            </w:r>
          </w:p>
        </w:tc>
        <w:tc>
          <w:tcPr>
            <w:tcW w:w="1589" w:type="dxa"/>
            <w:vMerge/>
            <w:tcBorders>
              <w:top w:val="nil"/>
            </w:tcBorders>
          </w:tcPr>
          <w:p>
            <w:pPr>
              <w:rPr>
                <w:sz w:val="2"/>
                <w:szCs w:val="2"/>
              </w:rPr>
            </w:pPr>
          </w:p>
        </w:tc>
        <w:tc>
          <w:tcPr>
            <w:tcW w:w="1227" w:type="dxa"/>
          </w:tcPr>
          <w:p>
            <w:pPr>
              <w:pStyle w:val="TableParagraph"/>
              <w:spacing w:before="96"/>
              <w:rPr>
                <w:b/>
                <w:sz w:val="24"/>
              </w:rPr>
            </w:pPr>
          </w:p>
          <w:p>
            <w:pPr>
              <w:pStyle w:val="TableParagraph"/>
              <w:ind w:left="177"/>
              <w:rPr>
                <w:sz w:val="24"/>
              </w:rPr>
            </w:pPr>
            <w:r>
              <w:rPr>
                <w:spacing w:val="-2"/>
                <w:sz w:val="24"/>
              </w:rPr>
              <w:t>RSA3.3</w:t>
            </w:r>
          </w:p>
        </w:tc>
        <w:tc>
          <w:tcPr>
            <w:tcW w:w="2948" w:type="dxa"/>
          </w:tcPr>
          <w:p>
            <w:pPr>
              <w:pStyle w:val="TableParagraph"/>
              <w:spacing w:before="95"/>
              <w:ind w:left="141" w:firstLine="410"/>
              <w:rPr>
                <w:sz w:val="24"/>
              </w:rPr>
            </w:pPr>
            <w:r>
              <w:rPr>
                <w:spacing w:val="-2"/>
                <w:sz w:val="24"/>
              </w:rPr>
              <w:t>CulturalCentre/ DramaTheatre/Theater</w:t>
            </w:r>
          </w:p>
        </w:tc>
        <w:tc>
          <w:tcPr>
            <w:tcW w:w="3128" w:type="dxa"/>
          </w:tcPr>
          <w:p>
            <w:pPr>
              <w:pStyle w:val="TableParagraph"/>
              <w:spacing w:before="95"/>
              <w:ind w:left="136" w:firstLine="381"/>
              <w:rPr>
                <w:sz w:val="24"/>
              </w:rPr>
            </w:pPr>
            <w:r>
              <w:rPr>
                <w:sz w:val="24"/>
              </w:rPr>
              <w:t>MCGM /Tourism &amp;Cultural</w:t>
            </w:r>
            <w:r>
              <w:rPr>
                <w:spacing w:val="-19"/>
                <w:sz w:val="24"/>
              </w:rPr>
              <w:t> </w:t>
            </w:r>
            <w:r>
              <w:rPr>
                <w:sz w:val="24"/>
              </w:rPr>
              <w:t>Affairs,</w:t>
            </w:r>
            <w:r>
              <w:rPr>
                <w:spacing w:val="-19"/>
                <w:sz w:val="24"/>
              </w:rPr>
              <w:t> </w:t>
            </w:r>
            <w:r>
              <w:rPr>
                <w:sz w:val="24"/>
              </w:rPr>
              <w:t>GOM</w:t>
            </w:r>
          </w:p>
        </w:tc>
      </w:tr>
      <w:tr>
        <w:trPr>
          <w:trHeight w:val="756" w:hRule="atLeast"/>
        </w:trPr>
        <w:tc>
          <w:tcPr>
            <w:tcW w:w="742" w:type="dxa"/>
          </w:tcPr>
          <w:p>
            <w:pPr>
              <w:pStyle w:val="TableParagraph"/>
              <w:spacing w:before="237"/>
              <w:ind w:left="7"/>
              <w:jc w:val="center"/>
              <w:rPr>
                <w:sz w:val="24"/>
              </w:rPr>
            </w:pPr>
            <w:r>
              <w:rPr>
                <w:spacing w:val="-5"/>
                <w:sz w:val="24"/>
              </w:rPr>
              <w:t>67</w:t>
            </w:r>
          </w:p>
        </w:tc>
        <w:tc>
          <w:tcPr>
            <w:tcW w:w="1589" w:type="dxa"/>
            <w:vMerge/>
            <w:tcBorders>
              <w:top w:val="nil"/>
            </w:tcBorders>
          </w:tcPr>
          <w:p>
            <w:pPr>
              <w:rPr>
                <w:sz w:val="2"/>
                <w:szCs w:val="2"/>
              </w:rPr>
            </w:pPr>
          </w:p>
        </w:tc>
        <w:tc>
          <w:tcPr>
            <w:tcW w:w="1227" w:type="dxa"/>
          </w:tcPr>
          <w:p>
            <w:pPr>
              <w:pStyle w:val="TableParagraph"/>
              <w:spacing w:before="237"/>
              <w:ind w:left="177"/>
              <w:rPr>
                <w:sz w:val="24"/>
              </w:rPr>
            </w:pPr>
            <w:r>
              <w:rPr>
                <w:spacing w:val="-2"/>
                <w:sz w:val="24"/>
              </w:rPr>
              <w:t>RSA3.5</w:t>
            </w:r>
          </w:p>
        </w:tc>
        <w:tc>
          <w:tcPr>
            <w:tcW w:w="2948" w:type="dxa"/>
          </w:tcPr>
          <w:p>
            <w:pPr>
              <w:pStyle w:val="TableParagraph"/>
              <w:spacing w:before="237"/>
              <w:ind w:left="94" w:right="86"/>
              <w:jc w:val="center"/>
              <w:rPr>
                <w:sz w:val="24"/>
              </w:rPr>
            </w:pPr>
            <w:r>
              <w:rPr>
                <w:spacing w:val="-2"/>
                <w:sz w:val="24"/>
              </w:rPr>
              <w:t>Museum</w:t>
            </w:r>
          </w:p>
        </w:tc>
        <w:tc>
          <w:tcPr>
            <w:tcW w:w="3128" w:type="dxa"/>
          </w:tcPr>
          <w:p>
            <w:pPr>
              <w:pStyle w:val="TableParagraph"/>
              <w:spacing w:before="95"/>
              <w:ind w:left="176" w:firstLine="384"/>
              <w:rPr>
                <w:sz w:val="24"/>
              </w:rPr>
            </w:pPr>
            <w:r>
              <w:rPr>
                <w:sz w:val="24"/>
              </w:rPr>
              <w:t>MCGM /Tourism &amp;Cultural</w:t>
            </w:r>
            <w:r>
              <w:rPr>
                <w:spacing w:val="-19"/>
                <w:sz w:val="24"/>
              </w:rPr>
              <w:t> </w:t>
            </w:r>
            <w:r>
              <w:rPr>
                <w:sz w:val="24"/>
              </w:rPr>
              <w:t>Affairs,</w:t>
            </w:r>
            <w:r>
              <w:rPr>
                <w:spacing w:val="-19"/>
                <w:sz w:val="24"/>
              </w:rPr>
              <w:t> </w:t>
            </w:r>
            <w:r>
              <w:rPr>
                <w:sz w:val="24"/>
              </w:rPr>
              <w:t>GOM</w:t>
            </w:r>
          </w:p>
        </w:tc>
      </w:tr>
      <w:tr>
        <w:trPr>
          <w:trHeight w:val="755" w:hRule="atLeast"/>
        </w:trPr>
        <w:tc>
          <w:tcPr>
            <w:tcW w:w="742" w:type="dxa"/>
          </w:tcPr>
          <w:p>
            <w:pPr>
              <w:pStyle w:val="TableParagraph"/>
              <w:spacing w:before="236"/>
              <w:ind w:left="7"/>
              <w:jc w:val="center"/>
              <w:rPr>
                <w:sz w:val="24"/>
              </w:rPr>
            </w:pPr>
            <w:r>
              <w:rPr>
                <w:spacing w:val="-5"/>
                <w:sz w:val="24"/>
              </w:rPr>
              <w:t>68</w:t>
            </w:r>
          </w:p>
        </w:tc>
        <w:tc>
          <w:tcPr>
            <w:tcW w:w="1589" w:type="dxa"/>
            <w:vMerge/>
            <w:tcBorders>
              <w:top w:val="nil"/>
            </w:tcBorders>
          </w:tcPr>
          <w:p>
            <w:pPr>
              <w:rPr>
                <w:sz w:val="2"/>
                <w:szCs w:val="2"/>
              </w:rPr>
            </w:pPr>
          </w:p>
        </w:tc>
        <w:tc>
          <w:tcPr>
            <w:tcW w:w="1227" w:type="dxa"/>
          </w:tcPr>
          <w:p>
            <w:pPr>
              <w:pStyle w:val="TableParagraph"/>
              <w:spacing w:before="236"/>
              <w:ind w:left="177"/>
              <w:rPr>
                <w:sz w:val="24"/>
              </w:rPr>
            </w:pPr>
            <w:r>
              <w:rPr>
                <w:spacing w:val="-2"/>
                <w:sz w:val="24"/>
              </w:rPr>
              <w:t>RSA3.6</w:t>
            </w:r>
          </w:p>
        </w:tc>
        <w:tc>
          <w:tcPr>
            <w:tcW w:w="2948" w:type="dxa"/>
          </w:tcPr>
          <w:p>
            <w:pPr>
              <w:pStyle w:val="TableParagraph"/>
              <w:spacing w:before="236"/>
              <w:ind w:left="94" w:right="86"/>
              <w:jc w:val="center"/>
              <w:rPr>
                <w:sz w:val="24"/>
              </w:rPr>
            </w:pPr>
            <w:r>
              <w:rPr>
                <w:sz w:val="24"/>
              </w:rPr>
              <w:t>Art </w:t>
            </w:r>
            <w:r>
              <w:rPr>
                <w:spacing w:val="-2"/>
                <w:sz w:val="24"/>
              </w:rPr>
              <w:t>Gallery</w:t>
            </w:r>
          </w:p>
        </w:tc>
        <w:tc>
          <w:tcPr>
            <w:tcW w:w="3128" w:type="dxa"/>
          </w:tcPr>
          <w:p>
            <w:pPr>
              <w:pStyle w:val="TableParagraph"/>
              <w:spacing w:before="95"/>
              <w:ind w:left="176" w:firstLine="384"/>
              <w:rPr>
                <w:sz w:val="24"/>
              </w:rPr>
            </w:pPr>
            <w:r>
              <w:rPr>
                <w:sz w:val="24"/>
              </w:rPr>
              <w:t>MCGM /Tourism &amp;Cultural</w:t>
            </w:r>
            <w:r>
              <w:rPr>
                <w:spacing w:val="-19"/>
                <w:sz w:val="24"/>
              </w:rPr>
              <w:t> </w:t>
            </w:r>
            <w:r>
              <w:rPr>
                <w:sz w:val="24"/>
              </w:rPr>
              <w:t>Affairs,</w:t>
            </w:r>
            <w:r>
              <w:rPr>
                <w:spacing w:val="-19"/>
                <w:sz w:val="24"/>
              </w:rPr>
              <w:t> </w:t>
            </w:r>
            <w:r>
              <w:rPr>
                <w:sz w:val="24"/>
              </w:rPr>
              <w:t>GOM</w:t>
            </w:r>
          </w:p>
        </w:tc>
      </w:tr>
      <w:tr>
        <w:trPr>
          <w:trHeight w:val="474" w:hRule="atLeast"/>
        </w:trPr>
        <w:tc>
          <w:tcPr>
            <w:tcW w:w="742" w:type="dxa"/>
          </w:tcPr>
          <w:p>
            <w:pPr>
              <w:pStyle w:val="TableParagraph"/>
              <w:spacing w:before="95"/>
              <w:ind w:left="7"/>
              <w:jc w:val="center"/>
              <w:rPr>
                <w:sz w:val="24"/>
              </w:rPr>
            </w:pPr>
            <w:r>
              <w:rPr>
                <w:spacing w:val="-5"/>
                <w:sz w:val="24"/>
              </w:rPr>
              <w:t>69</w:t>
            </w:r>
          </w:p>
        </w:tc>
        <w:tc>
          <w:tcPr>
            <w:tcW w:w="1589" w:type="dxa"/>
            <w:vMerge/>
            <w:tcBorders>
              <w:top w:val="nil"/>
            </w:tcBorders>
          </w:tcPr>
          <w:p>
            <w:pPr>
              <w:rPr>
                <w:sz w:val="2"/>
                <w:szCs w:val="2"/>
              </w:rPr>
            </w:pPr>
          </w:p>
        </w:tc>
        <w:tc>
          <w:tcPr>
            <w:tcW w:w="1227" w:type="dxa"/>
          </w:tcPr>
          <w:p>
            <w:pPr>
              <w:pStyle w:val="TableParagraph"/>
              <w:spacing w:before="95"/>
              <w:ind w:left="177"/>
              <w:rPr>
                <w:sz w:val="24"/>
              </w:rPr>
            </w:pPr>
            <w:r>
              <w:rPr>
                <w:spacing w:val="-2"/>
                <w:sz w:val="24"/>
              </w:rPr>
              <w:t>RSA3.7</w:t>
            </w:r>
          </w:p>
        </w:tc>
        <w:tc>
          <w:tcPr>
            <w:tcW w:w="2948" w:type="dxa"/>
          </w:tcPr>
          <w:p>
            <w:pPr>
              <w:pStyle w:val="TableParagraph"/>
              <w:spacing w:before="95"/>
              <w:ind w:left="94" w:right="86"/>
              <w:jc w:val="center"/>
              <w:rPr>
                <w:sz w:val="24"/>
              </w:rPr>
            </w:pPr>
            <w:r>
              <w:rPr>
                <w:sz w:val="24"/>
              </w:rPr>
              <w:t>Leisure </w:t>
            </w:r>
            <w:r>
              <w:rPr>
                <w:spacing w:val="-4"/>
                <w:sz w:val="24"/>
              </w:rPr>
              <w:t>Park</w:t>
            </w:r>
          </w:p>
        </w:tc>
        <w:tc>
          <w:tcPr>
            <w:tcW w:w="3128" w:type="dxa"/>
          </w:tcPr>
          <w:p>
            <w:pPr>
              <w:pStyle w:val="TableParagraph"/>
              <w:spacing w:before="95"/>
              <w:ind w:right="1189"/>
              <w:jc w:val="right"/>
              <w:rPr>
                <w:sz w:val="24"/>
              </w:rPr>
            </w:pPr>
            <w:r>
              <w:rPr>
                <w:spacing w:val="-4"/>
                <w:sz w:val="24"/>
              </w:rPr>
              <w:t>MCGM</w:t>
            </w:r>
          </w:p>
        </w:tc>
      </w:tr>
      <w:tr>
        <w:trPr>
          <w:trHeight w:val="472" w:hRule="atLeast"/>
        </w:trPr>
        <w:tc>
          <w:tcPr>
            <w:tcW w:w="742" w:type="dxa"/>
          </w:tcPr>
          <w:p>
            <w:pPr>
              <w:pStyle w:val="TableParagraph"/>
              <w:spacing w:before="95"/>
              <w:ind w:left="7"/>
              <w:jc w:val="center"/>
              <w:rPr>
                <w:sz w:val="24"/>
              </w:rPr>
            </w:pPr>
            <w:r>
              <w:rPr>
                <w:spacing w:val="-5"/>
                <w:sz w:val="24"/>
              </w:rPr>
              <w:t>70</w:t>
            </w:r>
          </w:p>
        </w:tc>
        <w:tc>
          <w:tcPr>
            <w:tcW w:w="1589" w:type="dxa"/>
            <w:vMerge/>
            <w:tcBorders>
              <w:top w:val="nil"/>
            </w:tcBorders>
          </w:tcPr>
          <w:p>
            <w:pPr>
              <w:rPr>
                <w:sz w:val="2"/>
                <w:szCs w:val="2"/>
              </w:rPr>
            </w:pPr>
          </w:p>
        </w:tc>
        <w:tc>
          <w:tcPr>
            <w:tcW w:w="1227" w:type="dxa"/>
          </w:tcPr>
          <w:p>
            <w:pPr>
              <w:pStyle w:val="TableParagraph"/>
              <w:spacing w:before="95"/>
              <w:ind w:left="177"/>
              <w:rPr>
                <w:sz w:val="24"/>
              </w:rPr>
            </w:pPr>
            <w:r>
              <w:rPr>
                <w:spacing w:val="-2"/>
                <w:sz w:val="24"/>
              </w:rPr>
              <w:t>RSA4.8</w:t>
            </w:r>
          </w:p>
        </w:tc>
        <w:tc>
          <w:tcPr>
            <w:tcW w:w="2948" w:type="dxa"/>
          </w:tcPr>
          <w:p>
            <w:pPr>
              <w:pStyle w:val="TableParagraph"/>
              <w:spacing w:before="95"/>
              <w:ind w:left="137"/>
              <w:jc w:val="center"/>
              <w:rPr>
                <w:sz w:val="24"/>
              </w:rPr>
            </w:pPr>
            <w:r>
              <w:rPr>
                <w:spacing w:val="-2"/>
                <w:sz w:val="24"/>
              </w:rPr>
              <w:t>Cemetery</w:t>
            </w:r>
          </w:p>
        </w:tc>
        <w:tc>
          <w:tcPr>
            <w:tcW w:w="3128" w:type="dxa"/>
          </w:tcPr>
          <w:p>
            <w:pPr>
              <w:pStyle w:val="TableParagraph"/>
              <w:spacing w:before="95"/>
              <w:ind w:right="1189"/>
              <w:jc w:val="right"/>
              <w:rPr>
                <w:sz w:val="24"/>
              </w:rPr>
            </w:pPr>
            <w:r>
              <w:rPr>
                <w:spacing w:val="-4"/>
                <w:sz w:val="24"/>
              </w:rPr>
              <w:t>MCGM</w:t>
            </w:r>
          </w:p>
        </w:tc>
      </w:tr>
      <w:tr>
        <w:trPr>
          <w:trHeight w:val="474" w:hRule="atLeast"/>
        </w:trPr>
        <w:tc>
          <w:tcPr>
            <w:tcW w:w="742" w:type="dxa"/>
          </w:tcPr>
          <w:p>
            <w:pPr>
              <w:pStyle w:val="TableParagraph"/>
              <w:spacing w:before="95"/>
              <w:ind w:left="7"/>
              <w:jc w:val="center"/>
              <w:rPr>
                <w:sz w:val="24"/>
              </w:rPr>
            </w:pPr>
            <w:r>
              <w:rPr>
                <w:spacing w:val="-5"/>
                <w:sz w:val="24"/>
              </w:rPr>
              <w:t>71</w:t>
            </w:r>
          </w:p>
        </w:tc>
        <w:tc>
          <w:tcPr>
            <w:tcW w:w="1589" w:type="dxa"/>
            <w:vMerge/>
            <w:tcBorders>
              <w:top w:val="nil"/>
            </w:tcBorders>
          </w:tcPr>
          <w:p>
            <w:pPr>
              <w:rPr>
                <w:sz w:val="2"/>
                <w:szCs w:val="2"/>
              </w:rPr>
            </w:pPr>
          </w:p>
        </w:tc>
        <w:tc>
          <w:tcPr>
            <w:tcW w:w="1227" w:type="dxa"/>
          </w:tcPr>
          <w:p>
            <w:pPr>
              <w:pStyle w:val="TableParagraph"/>
              <w:spacing w:before="95"/>
              <w:ind w:left="177"/>
              <w:rPr>
                <w:sz w:val="24"/>
              </w:rPr>
            </w:pPr>
            <w:r>
              <w:rPr>
                <w:spacing w:val="-2"/>
                <w:sz w:val="24"/>
              </w:rPr>
              <w:t>RSA4.9</w:t>
            </w:r>
          </w:p>
        </w:tc>
        <w:tc>
          <w:tcPr>
            <w:tcW w:w="2948" w:type="dxa"/>
          </w:tcPr>
          <w:p>
            <w:pPr>
              <w:pStyle w:val="TableParagraph"/>
              <w:spacing w:before="95"/>
              <w:ind w:left="137"/>
              <w:jc w:val="center"/>
              <w:rPr>
                <w:sz w:val="24"/>
              </w:rPr>
            </w:pPr>
            <w:r>
              <w:rPr>
                <w:sz w:val="24"/>
              </w:rPr>
              <w:t>Old</w:t>
            </w:r>
            <w:r>
              <w:rPr>
                <w:spacing w:val="-3"/>
                <w:sz w:val="24"/>
              </w:rPr>
              <w:t> </w:t>
            </w:r>
            <w:r>
              <w:rPr>
                <w:sz w:val="24"/>
              </w:rPr>
              <w:t>Age</w:t>
            </w:r>
            <w:r>
              <w:rPr>
                <w:spacing w:val="-1"/>
                <w:sz w:val="24"/>
              </w:rPr>
              <w:t> </w:t>
            </w:r>
            <w:r>
              <w:rPr>
                <w:spacing w:val="-4"/>
                <w:sz w:val="24"/>
              </w:rPr>
              <w:t>Home</w:t>
            </w:r>
          </w:p>
        </w:tc>
        <w:tc>
          <w:tcPr>
            <w:tcW w:w="3128" w:type="dxa"/>
          </w:tcPr>
          <w:p>
            <w:pPr>
              <w:pStyle w:val="TableParagraph"/>
              <w:spacing w:before="95"/>
              <w:ind w:right="1189"/>
              <w:jc w:val="right"/>
              <w:rPr>
                <w:sz w:val="24"/>
              </w:rPr>
            </w:pPr>
            <w:r>
              <w:rPr>
                <w:spacing w:val="-4"/>
                <w:sz w:val="24"/>
              </w:rPr>
              <w:t>MCGM</w:t>
            </w:r>
          </w:p>
        </w:tc>
      </w:tr>
      <w:tr>
        <w:trPr>
          <w:trHeight w:val="756" w:hRule="atLeast"/>
        </w:trPr>
        <w:tc>
          <w:tcPr>
            <w:tcW w:w="742" w:type="dxa"/>
          </w:tcPr>
          <w:p>
            <w:pPr>
              <w:pStyle w:val="TableParagraph"/>
              <w:spacing w:before="234"/>
              <w:ind w:left="7"/>
              <w:jc w:val="center"/>
              <w:rPr>
                <w:sz w:val="24"/>
              </w:rPr>
            </w:pPr>
            <w:r>
              <w:rPr>
                <w:spacing w:val="-5"/>
                <w:sz w:val="24"/>
              </w:rPr>
              <w:t>72</w:t>
            </w:r>
          </w:p>
        </w:tc>
        <w:tc>
          <w:tcPr>
            <w:tcW w:w="1589" w:type="dxa"/>
            <w:vMerge/>
            <w:tcBorders>
              <w:top w:val="nil"/>
            </w:tcBorders>
          </w:tcPr>
          <w:p>
            <w:pPr>
              <w:rPr>
                <w:sz w:val="2"/>
                <w:szCs w:val="2"/>
              </w:rPr>
            </w:pPr>
          </w:p>
        </w:tc>
        <w:tc>
          <w:tcPr>
            <w:tcW w:w="1227" w:type="dxa"/>
          </w:tcPr>
          <w:p>
            <w:pPr>
              <w:pStyle w:val="TableParagraph"/>
              <w:spacing w:before="234"/>
              <w:ind w:left="177"/>
              <w:rPr>
                <w:sz w:val="24"/>
              </w:rPr>
            </w:pPr>
            <w:r>
              <w:rPr>
                <w:spacing w:val="-2"/>
                <w:sz w:val="24"/>
              </w:rPr>
              <w:t>RSA5.2</w:t>
            </w:r>
          </w:p>
        </w:tc>
        <w:tc>
          <w:tcPr>
            <w:tcW w:w="2948" w:type="dxa"/>
          </w:tcPr>
          <w:p>
            <w:pPr>
              <w:pStyle w:val="TableParagraph"/>
              <w:spacing w:before="95"/>
              <w:ind w:left="398" w:hanging="202"/>
              <w:rPr>
                <w:sz w:val="24"/>
              </w:rPr>
            </w:pPr>
            <w:r>
              <w:rPr>
                <w:sz w:val="24"/>
              </w:rPr>
              <w:t>Multi-Purpose</w:t>
            </w:r>
            <w:r>
              <w:rPr>
                <w:spacing w:val="-20"/>
                <w:sz w:val="24"/>
              </w:rPr>
              <w:t> </w:t>
            </w:r>
            <w:r>
              <w:rPr>
                <w:sz w:val="24"/>
              </w:rPr>
              <w:t>housing for working Women</w:t>
            </w:r>
          </w:p>
        </w:tc>
        <w:tc>
          <w:tcPr>
            <w:tcW w:w="3128" w:type="dxa"/>
          </w:tcPr>
          <w:p>
            <w:pPr>
              <w:pStyle w:val="TableParagraph"/>
              <w:spacing w:before="95"/>
              <w:ind w:left="440" w:hanging="320"/>
              <w:rPr>
                <w:sz w:val="24"/>
              </w:rPr>
            </w:pPr>
            <w:r>
              <w:rPr>
                <w:sz w:val="24"/>
              </w:rPr>
              <w:t>Women</w:t>
            </w:r>
            <w:r>
              <w:rPr>
                <w:spacing w:val="-13"/>
                <w:sz w:val="24"/>
              </w:rPr>
              <w:t> </w:t>
            </w:r>
            <w:r>
              <w:rPr>
                <w:sz w:val="24"/>
              </w:rPr>
              <w:t>&amp;</w:t>
            </w:r>
            <w:r>
              <w:rPr>
                <w:spacing w:val="-13"/>
                <w:sz w:val="24"/>
              </w:rPr>
              <w:t> </w:t>
            </w:r>
            <w:r>
              <w:rPr>
                <w:sz w:val="24"/>
              </w:rPr>
              <w:t>Child</w:t>
            </w:r>
            <w:r>
              <w:rPr>
                <w:spacing w:val="-13"/>
                <w:sz w:val="24"/>
              </w:rPr>
              <w:t> </w:t>
            </w:r>
            <w:r>
              <w:rPr>
                <w:sz w:val="24"/>
              </w:rPr>
              <w:t>Welfare Department, GOM</w:t>
            </w:r>
          </w:p>
        </w:tc>
      </w:tr>
      <w:tr>
        <w:trPr>
          <w:trHeight w:val="472" w:hRule="atLeast"/>
        </w:trPr>
        <w:tc>
          <w:tcPr>
            <w:tcW w:w="742" w:type="dxa"/>
          </w:tcPr>
          <w:p>
            <w:pPr>
              <w:pStyle w:val="TableParagraph"/>
              <w:spacing w:before="95"/>
              <w:ind w:left="7"/>
              <w:jc w:val="center"/>
              <w:rPr>
                <w:sz w:val="24"/>
              </w:rPr>
            </w:pPr>
            <w:r>
              <w:rPr>
                <w:spacing w:val="-5"/>
                <w:sz w:val="24"/>
              </w:rPr>
              <w:t>73</w:t>
            </w:r>
          </w:p>
        </w:tc>
        <w:tc>
          <w:tcPr>
            <w:tcW w:w="1589" w:type="dxa"/>
            <w:vMerge/>
            <w:tcBorders>
              <w:top w:val="nil"/>
            </w:tcBorders>
          </w:tcPr>
          <w:p>
            <w:pPr>
              <w:rPr>
                <w:sz w:val="2"/>
                <w:szCs w:val="2"/>
              </w:rPr>
            </w:pPr>
          </w:p>
        </w:tc>
        <w:tc>
          <w:tcPr>
            <w:tcW w:w="1227" w:type="dxa"/>
          </w:tcPr>
          <w:p>
            <w:pPr>
              <w:pStyle w:val="TableParagraph"/>
              <w:spacing w:before="95"/>
              <w:ind w:left="177"/>
              <w:rPr>
                <w:sz w:val="24"/>
              </w:rPr>
            </w:pPr>
            <w:r>
              <w:rPr>
                <w:spacing w:val="-2"/>
                <w:sz w:val="24"/>
              </w:rPr>
              <w:t>RSA6.1</w:t>
            </w:r>
          </w:p>
        </w:tc>
        <w:tc>
          <w:tcPr>
            <w:tcW w:w="2948" w:type="dxa"/>
          </w:tcPr>
          <w:p>
            <w:pPr>
              <w:pStyle w:val="TableParagraph"/>
              <w:spacing w:before="95"/>
              <w:ind w:left="137"/>
              <w:jc w:val="center"/>
              <w:rPr>
                <w:sz w:val="24"/>
              </w:rPr>
            </w:pPr>
            <w:r>
              <w:rPr>
                <w:sz w:val="24"/>
              </w:rPr>
              <w:t>Care </w:t>
            </w:r>
            <w:r>
              <w:rPr>
                <w:spacing w:val="-2"/>
                <w:sz w:val="24"/>
              </w:rPr>
              <w:t>Centre</w:t>
            </w:r>
          </w:p>
        </w:tc>
        <w:tc>
          <w:tcPr>
            <w:tcW w:w="3128" w:type="dxa"/>
          </w:tcPr>
          <w:p>
            <w:pPr>
              <w:pStyle w:val="TableParagraph"/>
              <w:spacing w:before="95"/>
              <w:ind w:right="1148"/>
              <w:jc w:val="right"/>
              <w:rPr>
                <w:sz w:val="24"/>
              </w:rPr>
            </w:pPr>
            <w:r>
              <w:rPr>
                <w:spacing w:val="-4"/>
                <w:sz w:val="24"/>
              </w:rPr>
              <w:t>MCGM</w:t>
            </w:r>
          </w:p>
        </w:tc>
      </w:tr>
      <w:tr>
        <w:trPr>
          <w:trHeight w:val="1036" w:hRule="atLeast"/>
        </w:trPr>
        <w:tc>
          <w:tcPr>
            <w:tcW w:w="742" w:type="dxa"/>
          </w:tcPr>
          <w:p>
            <w:pPr>
              <w:pStyle w:val="TableParagraph"/>
              <w:spacing w:before="96"/>
              <w:rPr>
                <w:b/>
                <w:sz w:val="24"/>
              </w:rPr>
            </w:pPr>
          </w:p>
          <w:p>
            <w:pPr>
              <w:pStyle w:val="TableParagraph"/>
              <w:ind w:left="7"/>
              <w:jc w:val="center"/>
              <w:rPr>
                <w:sz w:val="24"/>
              </w:rPr>
            </w:pPr>
            <w:r>
              <w:rPr>
                <w:spacing w:val="-5"/>
                <w:sz w:val="24"/>
              </w:rPr>
              <w:t>74</w:t>
            </w:r>
          </w:p>
        </w:tc>
        <w:tc>
          <w:tcPr>
            <w:tcW w:w="1589" w:type="dxa"/>
            <w:vMerge/>
            <w:tcBorders>
              <w:top w:val="nil"/>
            </w:tcBorders>
          </w:tcPr>
          <w:p>
            <w:pPr>
              <w:rPr>
                <w:sz w:val="2"/>
                <w:szCs w:val="2"/>
              </w:rPr>
            </w:pPr>
          </w:p>
        </w:tc>
        <w:tc>
          <w:tcPr>
            <w:tcW w:w="1227" w:type="dxa"/>
          </w:tcPr>
          <w:p>
            <w:pPr>
              <w:pStyle w:val="TableParagraph"/>
              <w:spacing w:before="96"/>
              <w:rPr>
                <w:b/>
                <w:sz w:val="24"/>
              </w:rPr>
            </w:pPr>
          </w:p>
          <w:p>
            <w:pPr>
              <w:pStyle w:val="TableParagraph"/>
              <w:ind w:left="177"/>
              <w:rPr>
                <w:sz w:val="24"/>
              </w:rPr>
            </w:pPr>
            <w:r>
              <w:rPr>
                <w:spacing w:val="-2"/>
                <w:sz w:val="24"/>
              </w:rPr>
              <w:t>RSA6.2</w:t>
            </w:r>
          </w:p>
        </w:tc>
        <w:tc>
          <w:tcPr>
            <w:tcW w:w="2948" w:type="dxa"/>
          </w:tcPr>
          <w:p>
            <w:pPr>
              <w:pStyle w:val="TableParagraph"/>
              <w:spacing w:before="236"/>
              <w:ind w:left="395" w:hanging="255"/>
              <w:rPr>
                <w:sz w:val="24"/>
              </w:rPr>
            </w:pPr>
            <w:r>
              <w:rPr>
                <w:sz w:val="24"/>
              </w:rPr>
              <w:t>Adhar</w:t>
            </w:r>
            <w:r>
              <w:rPr>
                <w:spacing w:val="-13"/>
                <w:sz w:val="24"/>
              </w:rPr>
              <w:t> </w:t>
            </w:r>
            <w:r>
              <w:rPr>
                <w:sz w:val="24"/>
              </w:rPr>
              <w:t>Kendra</w:t>
            </w:r>
            <w:r>
              <w:rPr>
                <w:spacing w:val="-13"/>
                <w:sz w:val="24"/>
              </w:rPr>
              <w:t> </w:t>
            </w:r>
            <w:r>
              <w:rPr>
                <w:sz w:val="24"/>
              </w:rPr>
              <w:t>with</w:t>
            </w:r>
            <w:r>
              <w:rPr>
                <w:spacing w:val="-13"/>
                <w:sz w:val="24"/>
              </w:rPr>
              <w:t> </w:t>
            </w:r>
            <w:r>
              <w:rPr>
                <w:sz w:val="24"/>
              </w:rPr>
              <w:t>skill development centre</w:t>
            </w:r>
          </w:p>
        </w:tc>
        <w:tc>
          <w:tcPr>
            <w:tcW w:w="3128" w:type="dxa"/>
          </w:tcPr>
          <w:p>
            <w:pPr>
              <w:pStyle w:val="TableParagraph"/>
              <w:spacing w:before="95"/>
              <w:ind w:left="440" w:right="514" w:hanging="1"/>
              <w:jc w:val="center"/>
              <w:rPr>
                <w:sz w:val="24"/>
              </w:rPr>
            </w:pPr>
            <w:r>
              <w:rPr>
                <w:sz w:val="24"/>
              </w:rPr>
              <w:t>MCGM / Skill </w:t>
            </w:r>
            <w:r>
              <w:rPr>
                <w:spacing w:val="-2"/>
                <w:sz w:val="24"/>
              </w:rPr>
              <w:t>Development </w:t>
            </w:r>
            <w:r>
              <w:rPr>
                <w:sz w:val="24"/>
              </w:rPr>
              <w:t>Department,</w:t>
            </w:r>
            <w:r>
              <w:rPr>
                <w:spacing w:val="-20"/>
                <w:sz w:val="24"/>
              </w:rPr>
              <w:t> </w:t>
            </w:r>
            <w:r>
              <w:rPr>
                <w:sz w:val="24"/>
              </w:rPr>
              <w:t>GOM</w:t>
            </w:r>
          </w:p>
        </w:tc>
      </w:tr>
      <w:tr>
        <w:trPr>
          <w:trHeight w:val="474" w:hRule="atLeast"/>
        </w:trPr>
        <w:tc>
          <w:tcPr>
            <w:tcW w:w="742" w:type="dxa"/>
          </w:tcPr>
          <w:p>
            <w:pPr>
              <w:pStyle w:val="TableParagraph"/>
              <w:spacing w:before="97"/>
              <w:ind w:left="7"/>
              <w:jc w:val="center"/>
              <w:rPr>
                <w:sz w:val="24"/>
              </w:rPr>
            </w:pPr>
            <w:r>
              <w:rPr>
                <w:spacing w:val="-5"/>
                <w:sz w:val="24"/>
              </w:rPr>
              <w:t>75</w:t>
            </w:r>
          </w:p>
        </w:tc>
        <w:tc>
          <w:tcPr>
            <w:tcW w:w="1589" w:type="dxa"/>
            <w:vMerge/>
            <w:tcBorders>
              <w:top w:val="nil"/>
            </w:tcBorders>
          </w:tcPr>
          <w:p>
            <w:pPr>
              <w:rPr>
                <w:sz w:val="2"/>
                <w:szCs w:val="2"/>
              </w:rPr>
            </w:pPr>
          </w:p>
        </w:tc>
        <w:tc>
          <w:tcPr>
            <w:tcW w:w="1227" w:type="dxa"/>
          </w:tcPr>
          <w:p>
            <w:pPr>
              <w:pStyle w:val="TableParagraph"/>
              <w:spacing w:before="97"/>
              <w:ind w:left="177"/>
              <w:rPr>
                <w:sz w:val="24"/>
              </w:rPr>
            </w:pPr>
            <w:r>
              <w:rPr>
                <w:spacing w:val="-2"/>
                <w:sz w:val="24"/>
              </w:rPr>
              <w:t>RSA6.3</w:t>
            </w:r>
          </w:p>
        </w:tc>
        <w:tc>
          <w:tcPr>
            <w:tcW w:w="2948" w:type="dxa"/>
          </w:tcPr>
          <w:p>
            <w:pPr>
              <w:pStyle w:val="TableParagraph"/>
              <w:spacing w:before="97"/>
              <w:ind w:left="137"/>
              <w:jc w:val="center"/>
              <w:rPr>
                <w:sz w:val="24"/>
              </w:rPr>
            </w:pPr>
            <w:r>
              <w:rPr>
                <w:sz w:val="24"/>
              </w:rPr>
              <w:t>Public </w:t>
            </w:r>
            <w:r>
              <w:rPr>
                <w:spacing w:val="-2"/>
                <w:sz w:val="24"/>
              </w:rPr>
              <w:t>Convenience</w:t>
            </w:r>
          </w:p>
        </w:tc>
        <w:tc>
          <w:tcPr>
            <w:tcW w:w="3128" w:type="dxa"/>
          </w:tcPr>
          <w:p>
            <w:pPr>
              <w:pStyle w:val="TableParagraph"/>
              <w:spacing w:before="97"/>
              <w:ind w:right="1189"/>
              <w:jc w:val="right"/>
              <w:rPr>
                <w:sz w:val="24"/>
              </w:rPr>
            </w:pPr>
            <w:r>
              <w:rPr>
                <w:spacing w:val="-4"/>
                <w:sz w:val="24"/>
              </w:rPr>
              <w:t>MCGM</w:t>
            </w:r>
          </w:p>
        </w:tc>
      </w:tr>
      <w:tr>
        <w:trPr>
          <w:trHeight w:val="755" w:hRule="atLeast"/>
        </w:trPr>
        <w:tc>
          <w:tcPr>
            <w:tcW w:w="742" w:type="dxa"/>
          </w:tcPr>
          <w:p>
            <w:pPr>
              <w:pStyle w:val="TableParagraph"/>
              <w:spacing w:before="236"/>
              <w:ind w:left="7"/>
              <w:jc w:val="center"/>
              <w:rPr>
                <w:sz w:val="24"/>
              </w:rPr>
            </w:pPr>
            <w:r>
              <w:rPr>
                <w:spacing w:val="-5"/>
                <w:sz w:val="24"/>
              </w:rPr>
              <w:t>76</w:t>
            </w:r>
          </w:p>
        </w:tc>
        <w:tc>
          <w:tcPr>
            <w:tcW w:w="1589" w:type="dxa"/>
            <w:vMerge/>
            <w:tcBorders>
              <w:top w:val="nil"/>
            </w:tcBorders>
          </w:tcPr>
          <w:p>
            <w:pPr>
              <w:rPr>
                <w:sz w:val="2"/>
                <w:szCs w:val="2"/>
              </w:rPr>
            </w:pPr>
          </w:p>
        </w:tc>
        <w:tc>
          <w:tcPr>
            <w:tcW w:w="1227" w:type="dxa"/>
          </w:tcPr>
          <w:p>
            <w:pPr>
              <w:pStyle w:val="TableParagraph"/>
              <w:spacing w:before="236"/>
              <w:ind w:left="138"/>
              <w:rPr>
                <w:sz w:val="24"/>
              </w:rPr>
            </w:pPr>
            <w:r>
              <w:rPr>
                <w:sz w:val="24"/>
              </w:rPr>
              <w:t>RSA</w:t>
            </w:r>
            <w:r>
              <w:rPr>
                <w:spacing w:val="-2"/>
                <w:sz w:val="24"/>
              </w:rPr>
              <w:t> </w:t>
            </w:r>
            <w:r>
              <w:rPr>
                <w:spacing w:val="-5"/>
                <w:sz w:val="24"/>
              </w:rPr>
              <w:t>7.1</w:t>
            </w:r>
          </w:p>
        </w:tc>
        <w:tc>
          <w:tcPr>
            <w:tcW w:w="2948" w:type="dxa"/>
          </w:tcPr>
          <w:p>
            <w:pPr>
              <w:pStyle w:val="TableParagraph"/>
              <w:spacing w:before="236"/>
              <w:ind w:left="137"/>
              <w:jc w:val="center"/>
              <w:rPr>
                <w:sz w:val="24"/>
              </w:rPr>
            </w:pPr>
            <w:r>
              <w:rPr>
                <w:sz w:val="24"/>
              </w:rPr>
              <w:t>Film</w:t>
            </w:r>
            <w:r>
              <w:rPr>
                <w:spacing w:val="-3"/>
                <w:sz w:val="24"/>
              </w:rPr>
              <w:t> </w:t>
            </w:r>
            <w:r>
              <w:rPr>
                <w:sz w:val="24"/>
              </w:rPr>
              <w:t>Studio/</w:t>
            </w:r>
            <w:r>
              <w:rPr>
                <w:spacing w:val="-3"/>
                <w:sz w:val="24"/>
              </w:rPr>
              <w:t> </w:t>
            </w:r>
            <w:r>
              <w:rPr>
                <w:sz w:val="24"/>
              </w:rPr>
              <w:t>TV</w:t>
            </w:r>
            <w:r>
              <w:rPr>
                <w:spacing w:val="-3"/>
                <w:sz w:val="24"/>
              </w:rPr>
              <w:t> </w:t>
            </w:r>
            <w:r>
              <w:rPr>
                <w:spacing w:val="-2"/>
                <w:sz w:val="24"/>
              </w:rPr>
              <w:t>Studio</w:t>
            </w:r>
          </w:p>
        </w:tc>
        <w:tc>
          <w:tcPr>
            <w:tcW w:w="3128" w:type="dxa"/>
          </w:tcPr>
          <w:p>
            <w:pPr>
              <w:pStyle w:val="TableParagraph"/>
              <w:spacing w:before="95"/>
              <w:ind w:left="440" w:hanging="401"/>
              <w:rPr>
                <w:sz w:val="24"/>
              </w:rPr>
            </w:pPr>
            <w:r>
              <w:rPr>
                <w:sz w:val="24"/>
              </w:rPr>
              <w:t>Tourism</w:t>
            </w:r>
            <w:r>
              <w:rPr>
                <w:spacing w:val="-13"/>
                <w:sz w:val="24"/>
              </w:rPr>
              <w:t> </w:t>
            </w:r>
            <w:r>
              <w:rPr>
                <w:sz w:val="24"/>
              </w:rPr>
              <w:t>&amp;</w:t>
            </w:r>
            <w:r>
              <w:rPr>
                <w:spacing w:val="-13"/>
                <w:sz w:val="24"/>
              </w:rPr>
              <w:t> </w:t>
            </w:r>
            <w:r>
              <w:rPr>
                <w:sz w:val="24"/>
              </w:rPr>
              <w:t>cultural</w:t>
            </w:r>
            <w:r>
              <w:rPr>
                <w:spacing w:val="-12"/>
                <w:sz w:val="24"/>
              </w:rPr>
              <w:t> </w:t>
            </w:r>
            <w:r>
              <w:rPr>
                <w:sz w:val="24"/>
              </w:rPr>
              <w:t>Affair Department, GOM</w:t>
            </w:r>
          </w:p>
        </w:tc>
      </w:tr>
      <w:tr>
        <w:trPr>
          <w:trHeight w:val="1037" w:hRule="atLeast"/>
        </w:trPr>
        <w:tc>
          <w:tcPr>
            <w:tcW w:w="742" w:type="dxa"/>
          </w:tcPr>
          <w:p>
            <w:pPr>
              <w:pStyle w:val="TableParagraph"/>
              <w:spacing w:before="94"/>
              <w:rPr>
                <w:b/>
                <w:sz w:val="24"/>
              </w:rPr>
            </w:pPr>
          </w:p>
          <w:p>
            <w:pPr>
              <w:pStyle w:val="TableParagraph"/>
              <w:ind w:left="7"/>
              <w:jc w:val="center"/>
              <w:rPr>
                <w:sz w:val="24"/>
              </w:rPr>
            </w:pPr>
            <w:r>
              <w:rPr>
                <w:spacing w:val="-5"/>
                <w:sz w:val="24"/>
              </w:rPr>
              <w:t>77</w:t>
            </w:r>
          </w:p>
        </w:tc>
        <w:tc>
          <w:tcPr>
            <w:tcW w:w="1589" w:type="dxa"/>
            <w:vMerge/>
            <w:tcBorders>
              <w:top w:val="nil"/>
            </w:tcBorders>
          </w:tcPr>
          <w:p>
            <w:pPr>
              <w:rPr>
                <w:sz w:val="2"/>
                <w:szCs w:val="2"/>
              </w:rPr>
            </w:pPr>
          </w:p>
        </w:tc>
        <w:tc>
          <w:tcPr>
            <w:tcW w:w="1227" w:type="dxa"/>
          </w:tcPr>
          <w:p>
            <w:pPr>
              <w:pStyle w:val="TableParagraph"/>
              <w:spacing w:before="189"/>
              <w:ind w:left="95"/>
              <w:rPr>
                <w:sz w:val="24"/>
              </w:rPr>
            </w:pPr>
            <w:r>
              <w:rPr>
                <w:sz w:val="24"/>
              </w:rPr>
              <w:t>RSA</w:t>
            </w:r>
            <w:r>
              <w:rPr>
                <w:spacing w:val="-2"/>
                <w:sz w:val="24"/>
              </w:rPr>
              <w:t> </w:t>
            </w:r>
            <w:r>
              <w:rPr>
                <w:spacing w:val="-5"/>
                <w:sz w:val="24"/>
              </w:rPr>
              <w:t>8.1</w:t>
            </w:r>
          </w:p>
        </w:tc>
        <w:tc>
          <w:tcPr>
            <w:tcW w:w="2948" w:type="dxa"/>
          </w:tcPr>
          <w:p>
            <w:pPr>
              <w:pStyle w:val="TableParagraph"/>
              <w:spacing w:before="189"/>
              <w:ind w:left="103" w:right="76"/>
              <w:jc w:val="center"/>
              <w:rPr>
                <w:sz w:val="24"/>
              </w:rPr>
            </w:pPr>
            <w:r>
              <w:rPr>
                <w:sz w:val="24"/>
              </w:rPr>
              <w:t>Animal </w:t>
            </w:r>
            <w:r>
              <w:rPr>
                <w:spacing w:val="-2"/>
                <w:sz w:val="24"/>
              </w:rPr>
              <w:t>shelter</w:t>
            </w:r>
          </w:p>
        </w:tc>
        <w:tc>
          <w:tcPr>
            <w:tcW w:w="3128" w:type="dxa"/>
          </w:tcPr>
          <w:p>
            <w:pPr>
              <w:pStyle w:val="TableParagraph"/>
              <w:spacing w:before="95"/>
              <w:ind w:left="88" w:right="163"/>
              <w:jc w:val="center"/>
              <w:rPr>
                <w:sz w:val="24"/>
              </w:rPr>
            </w:pPr>
            <w:r>
              <w:rPr>
                <w:sz w:val="24"/>
              </w:rPr>
              <w:t>Agriculture, Animal Husbandry</w:t>
            </w:r>
            <w:r>
              <w:rPr>
                <w:spacing w:val="-20"/>
                <w:sz w:val="24"/>
              </w:rPr>
              <w:t> </w:t>
            </w:r>
            <w:r>
              <w:rPr>
                <w:sz w:val="24"/>
              </w:rPr>
              <w:t>Department, </w:t>
            </w:r>
            <w:r>
              <w:rPr>
                <w:spacing w:val="-4"/>
                <w:sz w:val="24"/>
              </w:rPr>
              <w:t>GOM</w:t>
            </w:r>
          </w:p>
        </w:tc>
      </w:tr>
      <w:tr>
        <w:trPr>
          <w:trHeight w:val="755" w:hRule="atLeast"/>
        </w:trPr>
        <w:tc>
          <w:tcPr>
            <w:tcW w:w="742" w:type="dxa"/>
          </w:tcPr>
          <w:p>
            <w:pPr>
              <w:pStyle w:val="TableParagraph"/>
              <w:spacing w:before="236"/>
              <w:ind w:left="7"/>
              <w:jc w:val="center"/>
              <w:rPr>
                <w:sz w:val="24"/>
              </w:rPr>
            </w:pPr>
            <w:r>
              <w:rPr>
                <w:spacing w:val="-5"/>
                <w:sz w:val="24"/>
              </w:rPr>
              <w:t>78</w:t>
            </w:r>
          </w:p>
        </w:tc>
        <w:tc>
          <w:tcPr>
            <w:tcW w:w="1589" w:type="dxa"/>
            <w:vMerge w:val="restart"/>
          </w:tcPr>
          <w:p>
            <w:pPr>
              <w:pStyle w:val="TableParagraph"/>
              <w:rPr>
                <w:rFonts w:ascii="Times New Roman"/>
                <w:sz w:val="22"/>
              </w:rPr>
            </w:pPr>
          </w:p>
        </w:tc>
        <w:tc>
          <w:tcPr>
            <w:tcW w:w="1227" w:type="dxa"/>
          </w:tcPr>
          <w:p>
            <w:pPr>
              <w:pStyle w:val="TableParagraph"/>
              <w:spacing w:before="236"/>
              <w:ind w:left="263"/>
              <w:rPr>
                <w:sz w:val="24"/>
              </w:rPr>
            </w:pPr>
            <w:r>
              <w:rPr>
                <w:spacing w:val="-2"/>
                <w:sz w:val="24"/>
              </w:rPr>
              <w:t>RT1.1</w:t>
            </w:r>
          </w:p>
        </w:tc>
        <w:tc>
          <w:tcPr>
            <w:tcW w:w="2948" w:type="dxa"/>
          </w:tcPr>
          <w:p>
            <w:pPr>
              <w:pStyle w:val="TableParagraph"/>
              <w:spacing w:before="236"/>
              <w:ind w:left="94" w:right="89"/>
              <w:jc w:val="center"/>
              <w:rPr>
                <w:sz w:val="24"/>
              </w:rPr>
            </w:pPr>
            <w:r>
              <w:rPr>
                <w:sz w:val="24"/>
              </w:rPr>
              <w:t>Truck</w:t>
            </w:r>
            <w:r>
              <w:rPr>
                <w:spacing w:val="-6"/>
                <w:sz w:val="24"/>
              </w:rPr>
              <w:t> </w:t>
            </w:r>
            <w:r>
              <w:rPr>
                <w:spacing w:val="-2"/>
                <w:sz w:val="24"/>
              </w:rPr>
              <w:t>Terminus</w:t>
            </w:r>
          </w:p>
        </w:tc>
        <w:tc>
          <w:tcPr>
            <w:tcW w:w="3128" w:type="dxa"/>
          </w:tcPr>
          <w:p>
            <w:pPr>
              <w:pStyle w:val="TableParagraph"/>
              <w:spacing w:before="95"/>
              <w:ind w:left="520" w:right="433" w:firstLine="24"/>
              <w:rPr>
                <w:sz w:val="24"/>
              </w:rPr>
            </w:pPr>
            <w:r>
              <w:rPr>
                <w:spacing w:val="-2"/>
                <w:sz w:val="24"/>
              </w:rPr>
              <w:t>MCGM/Transport </w:t>
            </w:r>
            <w:r>
              <w:rPr>
                <w:sz w:val="24"/>
              </w:rPr>
              <w:t>Department, </w:t>
            </w:r>
            <w:r>
              <w:rPr>
                <w:spacing w:val="-5"/>
                <w:sz w:val="24"/>
              </w:rPr>
              <w:t>GOM</w:t>
            </w:r>
          </w:p>
        </w:tc>
      </w:tr>
      <w:tr>
        <w:trPr>
          <w:trHeight w:val="755" w:hRule="atLeast"/>
        </w:trPr>
        <w:tc>
          <w:tcPr>
            <w:tcW w:w="742" w:type="dxa"/>
          </w:tcPr>
          <w:p>
            <w:pPr>
              <w:pStyle w:val="TableParagraph"/>
              <w:spacing w:before="236"/>
              <w:ind w:left="7"/>
              <w:jc w:val="center"/>
              <w:rPr>
                <w:sz w:val="24"/>
              </w:rPr>
            </w:pPr>
            <w:r>
              <w:rPr>
                <w:spacing w:val="-5"/>
                <w:sz w:val="24"/>
              </w:rPr>
              <w:t>79</w:t>
            </w:r>
          </w:p>
        </w:tc>
        <w:tc>
          <w:tcPr>
            <w:tcW w:w="1589" w:type="dxa"/>
            <w:vMerge/>
            <w:tcBorders>
              <w:top w:val="nil"/>
            </w:tcBorders>
          </w:tcPr>
          <w:p>
            <w:pPr>
              <w:rPr>
                <w:sz w:val="2"/>
                <w:szCs w:val="2"/>
              </w:rPr>
            </w:pPr>
          </w:p>
        </w:tc>
        <w:tc>
          <w:tcPr>
            <w:tcW w:w="1227" w:type="dxa"/>
          </w:tcPr>
          <w:p>
            <w:pPr>
              <w:pStyle w:val="TableParagraph"/>
              <w:spacing w:before="236"/>
              <w:ind w:left="263"/>
              <w:rPr>
                <w:sz w:val="24"/>
              </w:rPr>
            </w:pPr>
            <w:r>
              <w:rPr>
                <w:spacing w:val="-2"/>
                <w:sz w:val="24"/>
              </w:rPr>
              <w:t>RT1.2</w:t>
            </w:r>
          </w:p>
        </w:tc>
        <w:tc>
          <w:tcPr>
            <w:tcW w:w="2948" w:type="dxa"/>
          </w:tcPr>
          <w:p>
            <w:pPr>
              <w:pStyle w:val="TableParagraph"/>
              <w:spacing w:before="236"/>
              <w:ind w:left="94" w:right="86"/>
              <w:jc w:val="center"/>
              <w:rPr>
                <w:sz w:val="24"/>
              </w:rPr>
            </w:pPr>
            <w:r>
              <w:rPr>
                <w:sz w:val="24"/>
              </w:rPr>
              <w:t>StateTransport</w:t>
            </w:r>
            <w:r>
              <w:rPr>
                <w:spacing w:val="-8"/>
                <w:sz w:val="24"/>
              </w:rPr>
              <w:t> </w:t>
            </w:r>
            <w:r>
              <w:rPr>
                <w:spacing w:val="-4"/>
                <w:sz w:val="24"/>
              </w:rPr>
              <w:t>Depot</w:t>
            </w:r>
          </w:p>
        </w:tc>
        <w:tc>
          <w:tcPr>
            <w:tcW w:w="3128" w:type="dxa"/>
          </w:tcPr>
          <w:p>
            <w:pPr>
              <w:pStyle w:val="TableParagraph"/>
              <w:spacing w:before="95"/>
              <w:ind w:left="181"/>
              <w:rPr>
                <w:sz w:val="24"/>
              </w:rPr>
            </w:pPr>
            <w:r>
              <w:rPr>
                <w:sz w:val="24"/>
              </w:rPr>
              <w:t>Transport</w:t>
            </w:r>
            <w:r>
              <w:rPr>
                <w:spacing w:val="-20"/>
                <w:sz w:val="24"/>
              </w:rPr>
              <w:t> </w:t>
            </w:r>
            <w:r>
              <w:rPr>
                <w:sz w:val="24"/>
              </w:rPr>
              <w:t>Department </w:t>
            </w:r>
            <w:r>
              <w:rPr>
                <w:spacing w:val="-4"/>
                <w:sz w:val="24"/>
              </w:rPr>
              <w:t>GOM</w:t>
            </w:r>
          </w:p>
        </w:tc>
      </w:tr>
      <w:tr>
        <w:trPr>
          <w:trHeight w:val="755" w:hRule="atLeast"/>
        </w:trPr>
        <w:tc>
          <w:tcPr>
            <w:tcW w:w="742" w:type="dxa"/>
          </w:tcPr>
          <w:p>
            <w:pPr>
              <w:pStyle w:val="TableParagraph"/>
              <w:spacing w:before="236"/>
              <w:ind w:left="7"/>
              <w:jc w:val="center"/>
              <w:rPr>
                <w:sz w:val="24"/>
              </w:rPr>
            </w:pPr>
            <w:r>
              <w:rPr>
                <w:spacing w:val="-5"/>
                <w:sz w:val="24"/>
              </w:rPr>
              <w:t>80</w:t>
            </w:r>
          </w:p>
        </w:tc>
        <w:tc>
          <w:tcPr>
            <w:tcW w:w="1589" w:type="dxa"/>
            <w:vMerge/>
            <w:tcBorders>
              <w:top w:val="nil"/>
            </w:tcBorders>
          </w:tcPr>
          <w:p>
            <w:pPr>
              <w:rPr>
                <w:sz w:val="2"/>
                <w:szCs w:val="2"/>
              </w:rPr>
            </w:pPr>
          </w:p>
        </w:tc>
        <w:tc>
          <w:tcPr>
            <w:tcW w:w="1227" w:type="dxa"/>
          </w:tcPr>
          <w:p>
            <w:pPr>
              <w:pStyle w:val="TableParagraph"/>
              <w:spacing w:before="236"/>
              <w:ind w:left="263"/>
              <w:rPr>
                <w:sz w:val="24"/>
              </w:rPr>
            </w:pPr>
            <w:r>
              <w:rPr>
                <w:spacing w:val="-2"/>
                <w:sz w:val="24"/>
              </w:rPr>
              <w:t>RT1.4</w:t>
            </w:r>
          </w:p>
        </w:tc>
        <w:tc>
          <w:tcPr>
            <w:tcW w:w="2948" w:type="dxa"/>
          </w:tcPr>
          <w:p>
            <w:pPr>
              <w:pStyle w:val="TableParagraph"/>
              <w:spacing w:line="281" w:lineRule="exact"/>
              <w:ind w:left="909"/>
              <w:rPr>
                <w:sz w:val="24"/>
              </w:rPr>
            </w:pPr>
            <w:r>
              <w:rPr>
                <w:sz w:val="24"/>
              </w:rPr>
              <w:t>BEST</w:t>
            </w:r>
            <w:r>
              <w:rPr>
                <w:spacing w:val="-8"/>
                <w:sz w:val="24"/>
              </w:rPr>
              <w:t> </w:t>
            </w:r>
            <w:r>
              <w:rPr>
                <w:spacing w:val="-5"/>
                <w:sz w:val="24"/>
              </w:rPr>
              <w:t>Bus</w:t>
            </w:r>
          </w:p>
          <w:p>
            <w:pPr>
              <w:pStyle w:val="TableParagraph"/>
              <w:spacing w:before="97"/>
              <w:ind w:left="985"/>
              <w:rPr>
                <w:sz w:val="24"/>
              </w:rPr>
            </w:pPr>
            <w:r>
              <w:rPr>
                <w:spacing w:val="-2"/>
                <w:sz w:val="24"/>
              </w:rPr>
              <w:t>Facilities</w:t>
            </w:r>
          </w:p>
        </w:tc>
        <w:tc>
          <w:tcPr>
            <w:tcW w:w="3128" w:type="dxa"/>
          </w:tcPr>
          <w:p>
            <w:pPr>
              <w:pStyle w:val="TableParagraph"/>
              <w:spacing w:before="236"/>
              <w:ind w:right="1186"/>
              <w:jc w:val="right"/>
              <w:rPr>
                <w:sz w:val="24"/>
              </w:rPr>
            </w:pPr>
            <w:r>
              <w:rPr>
                <w:spacing w:val="-4"/>
                <w:sz w:val="24"/>
              </w:rPr>
              <w:t>BEST</w:t>
            </w:r>
          </w:p>
        </w:tc>
      </w:tr>
    </w:tbl>
    <w:p>
      <w:pPr>
        <w:pStyle w:val="TableParagraph"/>
        <w:spacing w:after="0"/>
        <w:jc w:val="right"/>
        <w:rPr>
          <w:sz w:val="24"/>
        </w:rPr>
        <w:sectPr>
          <w:pgSz w:w="11910" w:h="16850"/>
          <w:pgMar w:header="1082" w:footer="945" w:top="1520" w:bottom="1140" w:left="360" w:right="360"/>
        </w:sectPr>
      </w:pPr>
    </w:p>
    <w:p>
      <w:pPr>
        <w:pStyle w:val="BodyText"/>
        <w:spacing w:before="7"/>
        <w:jc w:val="left"/>
        <w:rPr>
          <w:b/>
          <w:sz w:val="18"/>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2"/>
        <w:gridCol w:w="1589"/>
        <w:gridCol w:w="1227"/>
        <w:gridCol w:w="2948"/>
        <w:gridCol w:w="3128"/>
      </w:tblGrid>
      <w:tr>
        <w:trPr>
          <w:trHeight w:val="474" w:hRule="atLeast"/>
        </w:trPr>
        <w:tc>
          <w:tcPr>
            <w:tcW w:w="742" w:type="dxa"/>
            <w:vMerge w:val="restart"/>
            <w:shd w:val="clear" w:color="auto" w:fill="EDEBE0"/>
          </w:tcPr>
          <w:p>
            <w:pPr>
              <w:pStyle w:val="TableParagraph"/>
              <w:spacing w:before="95"/>
              <w:ind w:left="213" w:right="185" w:hanging="15"/>
              <w:rPr>
                <w:sz w:val="24"/>
              </w:rPr>
            </w:pPr>
            <w:r>
              <w:rPr>
                <w:spacing w:val="-4"/>
                <w:sz w:val="24"/>
              </w:rPr>
              <w:t>Sr. </w:t>
            </w:r>
            <w:r>
              <w:rPr>
                <w:spacing w:val="-5"/>
                <w:sz w:val="24"/>
              </w:rPr>
              <w:t>No</w:t>
            </w:r>
          </w:p>
        </w:tc>
        <w:tc>
          <w:tcPr>
            <w:tcW w:w="1589" w:type="dxa"/>
            <w:vMerge w:val="restart"/>
            <w:tcBorders>
              <w:bottom w:val="nil"/>
            </w:tcBorders>
            <w:shd w:val="clear" w:color="auto" w:fill="EDEBE0"/>
          </w:tcPr>
          <w:p>
            <w:pPr>
              <w:pStyle w:val="TableParagraph"/>
              <w:spacing w:before="95"/>
              <w:ind w:left="117"/>
              <w:jc w:val="center"/>
              <w:rPr>
                <w:sz w:val="24"/>
              </w:rPr>
            </w:pPr>
            <w:r>
              <w:rPr>
                <w:spacing w:val="-2"/>
                <w:sz w:val="24"/>
              </w:rPr>
              <w:t>Reservation </w:t>
            </w:r>
            <w:r>
              <w:rPr>
                <w:spacing w:val="-4"/>
                <w:sz w:val="24"/>
              </w:rPr>
              <w:t>main </w:t>
            </w:r>
            <w:r>
              <w:rPr>
                <w:spacing w:val="-2"/>
                <w:sz w:val="24"/>
              </w:rPr>
              <w:t>Category</w:t>
            </w:r>
          </w:p>
        </w:tc>
        <w:tc>
          <w:tcPr>
            <w:tcW w:w="4175" w:type="dxa"/>
            <w:gridSpan w:val="2"/>
            <w:shd w:val="clear" w:color="auto" w:fill="EDEBE0"/>
          </w:tcPr>
          <w:p>
            <w:pPr>
              <w:pStyle w:val="TableParagraph"/>
              <w:spacing w:before="95"/>
              <w:ind w:left="571"/>
              <w:rPr>
                <w:sz w:val="24"/>
              </w:rPr>
            </w:pPr>
            <w:r>
              <w:rPr>
                <w:sz w:val="24"/>
              </w:rPr>
              <w:t>Reservation</w:t>
            </w:r>
            <w:r>
              <w:rPr>
                <w:spacing w:val="-6"/>
                <w:sz w:val="24"/>
              </w:rPr>
              <w:t> </w:t>
            </w:r>
            <w:r>
              <w:rPr>
                <w:sz w:val="24"/>
              </w:rPr>
              <w:t>Sub</w:t>
            </w:r>
            <w:r>
              <w:rPr>
                <w:spacing w:val="-6"/>
                <w:sz w:val="24"/>
              </w:rPr>
              <w:t> </w:t>
            </w:r>
            <w:r>
              <w:rPr>
                <w:spacing w:val="-2"/>
                <w:sz w:val="24"/>
              </w:rPr>
              <w:t>Category</w:t>
            </w:r>
          </w:p>
        </w:tc>
        <w:tc>
          <w:tcPr>
            <w:tcW w:w="3128" w:type="dxa"/>
            <w:vMerge w:val="restart"/>
            <w:shd w:val="clear" w:color="auto" w:fill="EDEBE0"/>
          </w:tcPr>
          <w:p>
            <w:pPr>
              <w:pStyle w:val="TableParagraph"/>
              <w:spacing w:before="95"/>
              <w:ind w:left="277"/>
              <w:rPr>
                <w:sz w:val="24"/>
              </w:rPr>
            </w:pPr>
            <w:r>
              <w:rPr>
                <w:sz w:val="24"/>
              </w:rPr>
              <w:t>Appropriate </w:t>
            </w:r>
            <w:r>
              <w:rPr>
                <w:spacing w:val="-2"/>
                <w:sz w:val="24"/>
              </w:rPr>
              <w:t>Authority</w:t>
            </w:r>
          </w:p>
        </w:tc>
      </w:tr>
      <w:tr>
        <w:trPr>
          <w:trHeight w:val="664" w:hRule="atLeast"/>
        </w:trPr>
        <w:tc>
          <w:tcPr>
            <w:tcW w:w="742" w:type="dxa"/>
            <w:vMerge/>
            <w:tcBorders>
              <w:top w:val="nil"/>
            </w:tcBorders>
            <w:shd w:val="clear" w:color="auto" w:fill="EDEBE0"/>
          </w:tcPr>
          <w:p>
            <w:pPr>
              <w:rPr>
                <w:sz w:val="2"/>
                <w:szCs w:val="2"/>
              </w:rPr>
            </w:pPr>
          </w:p>
        </w:tc>
        <w:tc>
          <w:tcPr>
            <w:tcW w:w="1589" w:type="dxa"/>
            <w:vMerge/>
            <w:tcBorders>
              <w:top w:val="nil"/>
              <w:bottom w:val="nil"/>
            </w:tcBorders>
            <w:shd w:val="clear" w:color="auto" w:fill="EDEBE0"/>
          </w:tcPr>
          <w:p>
            <w:pPr>
              <w:rPr>
                <w:sz w:val="2"/>
                <w:szCs w:val="2"/>
              </w:rPr>
            </w:pPr>
          </w:p>
        </w:tc>
        <w:tc>
          <w:tcPr>
            <w:tcW w:w="1227" w:type="dxa"/>
            <w:shd w:val="clear" w:color="auto" w:fill="EDEBE0"/>
          </w:tcPr>
          <w:p>
            <w:pPr>
              <w:pStyle w:val="TableParagraph"/>
              <w:spacing w:before="95"/>
              <w:ind w:left="116" w:right="109"/>
              <w:jc w:val="center"/>
              <w:rPr>
                <w:sz w:val="24"/>
              </w:rPr>
            </w:pPr>
            <w:r>
              <w:rPr>
                <w:spacing w:val="-4"/>
                <w:sz w:val="24"/>
              </w:rPr>
              <w:t>Code</w:t>
            </w:r>
          </w:p>
        </w:tc>
        <w:tc>
          <w:tcPr>
            <w:tcW w:w="2948" w:type="dxa"/>
            <w:shd w:val="clear" w:color="auto" w:fill="EDEBE0"/>
          </w:tcPr>
          <w:p>
            <w:pPr>
              <w:pStyle w:val="TableParagraph"/>
              <w:spacing w:before="95"/>
              <w:ind w:left="94" w:right="86"/>
              <w:jc w:val="center"/>
              <w:rPr>
                <w:sz w:val="24"/>
              </w:rPr>
            </w:pPr>
            <w:r>
              <w:rPr>
                <w:spacing w:val="-4"/>
                <w:sz w:val="24"/>
              </w:rPr>
              <w:t>Name</w:t>
            </w:r>
          </w:p>
        </w:tc>
        <w:tc>
          <w:tcPr>
            <w:tcW w:w="3128" w:type="dxa"/>
            <w:vMerge/>
            <w:tcBorders>
              <w:top w:val="nil"/>
            </w:tcBorders>
            <w:shd w:val="clear" w:color="auto" w:fill="EDEBE0"/>
          </w:tcPr>
          <w:p>
            <w:pPr>
              <w:rPr>
                <w:sz w:val="2"/>
                <w:szCs w:val="2"/>
              </w:rPr>
            </w:pPr>
          </w:p>
        </w:tc>
      </w:tr>
      <w:tr>
        <w:trPr>
          <w:trHeight w:val="472" w:hRule="atLeast"/>
        </w:trPr>
        <w:tc>
          <w:tcPr>
            <w:tcW w:w="742" w:type="dxa"/>
          </w:tcPr>
          <w:p>
            <w:pPr>
              <w:pStyle w:val="TableParagraph"/>
              <w:spacing w:before="95"/>
              <w:ind w:left="7"/>
              <w:jc w:val="center"/>
              <w:rPr>
                <w:sz w:val="24"/>
              </w:rPr>
            </w:pPr>
            <w:r>
              <w:rPr>
                <w:spacing w:val="-5"/>
                <w:sz w:val="24"/>
              </w:rPr>
              <w:t>81</w:t>
            </w:r>
          </w:p>
        </w:tc>
        <w:tc>
          <w:tcPr>
            <w:tcW w:w="1589" w:type="dxa"/>
            <w:vMerge w:val="restart"/>
            <w:tcBorders>
              <w:top w:val="nil"/>
            </w:tcBorders>
          </w:tcPr>
          <w:p>
            <w:pPr>
              <w:pStyle w:val="TableParagraph"/>
              <w:rPr>
                <w:b/>
                <w:sz w:val="24"/>
              </w:rPr>
            </w:pPr>
          </w:p>
          <w:p>
            <w:pPr>
              <w:pStyle w:val="TableParagraph"/>
              <w:rPr>
                <w:b/>
                <w:sz w:val="24"/>
              </w:rPr>
            </w:pPr>
          </w:p>
          <w:p>
            <w:pPr>
              <w:pStyle w:val="TableParagraph"/>
              <w:rPr>
                <w:b/>
                <w:sz w:val="24"/>
              </w:rPr>
            </w:pPr>
          </w:p>
          <w:p>
            <w:pPr>
              <w:pStyle w:val="TableParagraph"/>
              <w:spacing w:before="5"/>
              <w:rPr>
                <w:b/>
                <w:sz w:val="24"/>
              </w:rPr>
            </w:pPr>
          </w:p>
          <w:p>
            <w:pPr>
              <w:pStyle w:val="TableParagraph"/>
              <w:ind w:left="275"/>
              <w:rPr>
                <w:sz w:val="24"/>
              </w:rPr>
            </w:pPr>
            <w:r>
              <w:rPr>
                <w:spacing w:val="-2"/>
                <w:sz w:val="24"/>
              </w:rPr>
              <w:t>Transport</w:t>
            </w:r>
          </w:p>
        </w:tc>
        <w:tc>
          <w:tcPr>
            <w:tcW w:w="1227" w:type="dxa"/>
          </w:tcPr>
          <w:p>
            <w:pPr>
              <w:pStyle w:val="TableParagraph"/>
              <w:spacing w:before="95"/>
              <w:ind w:left="3"/>
              <w:jc w:val="center"/>
              <w:rPr>
                <w:sz w:val="24"/>
              </w:rPr>
            </w:pPr>
            <w:r>
              <w:rPr>
                <w:spacing w:val="-2"/>
                <w:sz w:val="24"/>
              </w:rPr>
              <w:t>RT1.6</w:t>
            </w:r>
          </w:p>
        </w:tc>
        <w:tc>
          <w:tcPr>
            <w:tcW w:w="2948" w:type="dxa"/>
          </w:tcPr>
          <w:p>
            <w:pPr>
              <w:pStyle w:val="TableParagraph"/>
              <w:spacing w:before="95"/>
              <w:ind w:left="80"/>
              <w:jc w:val="center"/>
              <w:rPr>
                <w:sz w:val="24"/>
              </w:rPr>
            </w:pPr>
            <w:r>
              <w:rPr>
                <w:sz w:val="24"/>
              </w:rPr>
              <w:t>Parking </w:t>
            </w:r>
            <w:r>
              <w:rPr>
                <w:spacing w:val="-5"/>
                <w:sz w:val="24"/>
              </w:rPr>
              <w:t>Lot</w:t>
            </w:r>
          </w:p>
        </w:tc>
        <w:tc>
          <w:tcPr>
            <w:tcW w:w="3128" w:type="dxa"/>
          </w:tcPr>
          <w:p>
            <w:pPr>
              <w:pStyle w:val="TableParagraph"/>
              <w:spacing w:before="95"/>
              <w:ind w:left="83"/>
              <w:jc w:val="center"/>
              <w:rPr>
                <w:sz w:val="24"/>
              </w:rPr>
            </w:pPr>
            <w:r>
              <w:rPr>
                <w:spacing w:val="-4"/>
                <w:sz w:val="24"/>
              </w:rPr>
              <w:t>MCGM</w:t>
            </w:r>
          </w:p>
        </w:tc>
      </w:tr>
      <w:tr>
        <w:trPr>
          <w:trHeight w:val="755" w:hRule="atLeast"/>
        </w:trPr>
        <w:tc>
          <w:tcPr>
            <w:tcW w:w="742" w:type="dxa"/>
          </w:tcPr>
          <w:p>
            <w:pPr>
              <w:pStyle w:val="TableParagraph"/>
              <w:spacing w:before="236"/>
              <w:ind w:left="7"/>
              <w:jc w:val="center"/>
              <w:rPr>
                <w:sz w:val="24"/>
              </w:rPr>
            </w:pPr>
            <w:r>
              <w:rPr>
                <w:spacing w:val="-5"/>
                <w:sz w:val="24"/>
              </w:rPr>
              <w:t>82</w:t>
            </w:r>
          </w:p>
        </w:tc>
        <w:tc>
          <w:tcPr>
            <w:tcW w:w="1589" w:type="dxa"/>
            <w:vMerge/>
            <w:tcBorders>
              <w:top w:val="nil"/>
            </w:tcBorders>
          </w:tcPr>
          <w:p>
            <w:pPr>
              <w:rPr>
                <w:sz w:val="2"/>
                <w:szCs w:val="2"/>
              </w:rPr>
            </w:pPr>
          </w:p>
        </w:tc>
        <w:tc>
          <w:tcPr>
            <w:tcW w:w="1227" w:type="dxa"/>
          </w:tcPr>
          <w:p>
            <w:pPr>
              <w:pStyle w:val="TableParagraph"/>
              <w:spacing w:before="236"/>
              <w:ind w:left="3"/>
              <w:jc w:val="center"/>
              <w:rPr>
                <w:sz w:val="24"/>
              </w:rPr>
            </w:pPr>
            <w:r>
              <w:rPr>
                <w:spacing w:val="-2"/>
                <w:sz w:val="24"/>
              </w:rPr>
              <w:t>RT2.1</w:t>
            </w:r>
          </w:p>
        </w:tc>
        <w:tc>
          <w:tcPr>
            <w:tcW w:w="2948" w:type="dxa"/>
          </w:tcPr>
          <w:p>
            <w:pPr>
              <w:pStyle w:val="TableParagraph"/>
              <w:spacing w:before="97"/>
              <w:ind w:left="959" w:right="106" w:hanging="440"/>
              <w:rPr>
                <w:sz w:val="24"/>
              </w:rPr>
            </w:pPr>
            <w:r>
              <w:rPr>
                <w:sz w:val="24"/>
              </w:rPr>
              <w:t>Water</w:t>
            </w:r>
            <w:r>
              <w:rPr>
                <w:spacing w:val="-20"/>
                <w:sz w:val="24"/>
              </w:rPr>
              <w:t> </w:t>
            </w:r>
            <w:r>
              <w:rPr>
                <w:sz w:val="24"/>
              </w:rPr>
              <w:t>Transport </w:t>
            </w:r>
            <w:r>
              <w:rPr>
                <w:spacing w:val="-2"/>
                <w:sz w:val="24"/>
              </w:rPr>
              <w:t>Terminal</w:t>
            </w:r>
          </w:p>
        </w:tc>
        <w:tc>
          <w:tcPr>
            <w:tcW w:w="3128" w:type="dxa"/>
          </w:tcPr>
          <w:p>
            <w:pPr>
              <w:pStyle w:val="TableParagraph"/>
              <w:spacing w:before="97"/>
              <w:ind w:left="481" w:hanging="36"/>
              <w:rPr>
                <w:sz w:val="24"/>
              </w:rPr>
            </w:pPr>
            <w:r>
              <w:rPr>
                <w:sz w:val="24"/>
              </w:rPr>
              <w:t>Port</w:t>
            </w:r>
            <w:r>
              <w:rPr>
                <w:spacing w:val="-20"/>
                <w:sz w:val="24"/>
              </w:rPr>
              <w:t> </w:t>
            </w:r>
            <w:r>
              <w:rPr>
                <w:sz w:val="24"/>
              </w:rPr>
              <w:t>and</w:t>
            </w:r>
            <w:r>
              <w:rPr>
                <w:spacing w:val="-19"/>
                <w:sz w:val="24"/>
              </w:rPr>
              <w:t> </w:t>
            </w:r>
            <w:r>
              <w:rPr>
                <w:sz w:val="24"/>
              </w:rPr>
              <w:t>Transport Department, </w:t>
            </w:r>
            <w:r>
              <w:rPr>
                <w:spacing w:val="-5"/>
                <w:sz w:val="24"/>
              </w:rPr>
              <w:t>GOM</w:t>
            </w:r>
          </w:p>
        </w:tc>
      </w:tr>
      <w:tr>
        <w:trPr>
          <w:trHeight w:val="851" w:hRule="atLeast"/>
        </w:trPr>
        <w:tc>
          <w:tcPr>
            <w:tcW w:w="742" w:type="dxa"/>
          </w:tcPr>
          <w:p>
            <w:pPr>
              <w:pStyle w:val="TableParagraph"/>
              <w:spacing w:before="97"/>
              <w:ind w:left="7"/>
              <w:jc w:val="center"/>
              <w:rPr>
                <w:sz w:val="24"/>
              </w:rPr>
            </w:pPr>
            <w:r>
              <w:rPr>
                <w:spacing w:val="-5"/>
                <w:sz w:val="24"/>
              </w:rPr>
              <w:t>83</w:t>
            </w:r>
          </w:p>
        </w:tc>
        <w:tc>
          <w:tcPr>
            <w:tcW w:w="1589" w:type="dxa"/>
            <w:vMerge/>
            <w:tcBorders>
              <w:top w:val="nil"/>
            </w:tcBorders>
          </w:tcPr>
          <w:p>
            <w:pPr>
              <w:rPr>
                <w:sz w:val="2"/>
                <w:szCs w:val="2"/>
              </w:rPr>
            </w:pPr>
          </w:p>
        </w:tc>
        <w:tc>
          <w:tcPr>
            <w:tcW w:w="1227" w:type="dxa"/>
          </w:tcPr>
          <w:p>
            <w:pPr>
              <w:pStyle w:val="TableParagraph"/>
              <w:spacing w:before="192"/>
              <w:rPr>
                <w:b/>
                <w:sz w:val="24"/>
              </w:rPr>
            </w:pPr>
          </w:p>
          <w:p>
            <w:pPr>
              <w:pStyle w:val="TableParagraph"/>
              <w:ind w:left="3"/>
              <w:jc w:val="center"/>
              <w:rPr>
                <w:sz w:val="24"/>
              </w:rPr>
            </w:pPr>
            <w:r>
              <w:rPr>
                <w:spacing w:val="-2"/>
                <w:sz w:val="24"/>
              </w:rPr>
              <w:t>RT2.2</w:t>
            </w:r>
          </w:p>
        </w:tc>
        <w:tc>
          <w:tcPr>
            <w:tcW w:w="2948" w:type="dxa"/>
          </w:tcPr>
          <w:p>
            <w:pPr>
              <w:pStyle w:val="TableParagraph"/>
              <w:spacing w:before="3"/>
              <w:rPr>
                <w:b/>
                <w:sz w:val="24"/>
              </w:rPr>
            </w:pPr>
          </w:p>
          <w:p>
            <w:pPr>
              <w:pStyle w:val="TableParagraph"/>
              <w:ind w:left="94" w:right="86"/>
              <w:jc w:val="center"/>
              <w:rPr>
                <w:sz w:val="24"/>
              </w:rPr>
            </w:pPr>
            <w:r>
              <w:rPr>
                <w:spacing w:val="-2"/>
                <w:sz w:val="24"/>
              </w:rPr>
              <w:t>Jetty</w:t>
            </w:r>
          </w:p>
        </w:tc>
        <w:tc>
          <w:tcPr>
            <w:tcW w:w="3128" w:type="dxa"/>
          </w:tcPr>
          <w:p>
            <w:pPr>
              <w:pStyle w:val="TableParagraph"/>
              <w:spacing w:before="145"/>
              <w:ind w:left="481" w:hanging="36"/>
              <w:rPr>
                <w:sz w:val="24"/>
              </w:rPr>
            </w:pPr>
            <w:r>
              <w:rPr>
                <w:sz w:val="24"/>
              </w:rPr>
              <w:t>Port</w:t>
            </w:r>
            <w:r>
              <w:rPr>
                <w:spacing w:val="-20"/>
                <w:sz w:val="24"/>
              </w:rPr>
              <w:t> </w:t>
            </w:r>
            <w:r>
              <w:rPr>
                <w:sz w:val="24"/>
              </w:rPr>
              <w:t>and</w:t>
            </w:r>
            <w:r>
              <w:rPr>
                <w:spacing w:val="-19"/>
                <w:sz w:val="24"/>
              </w:rPr>
              <w:t> </w:t>
            </w:r>
            <w:r>
              <w:rPr>
                <w:sz w:val="24"/>
              </w:rPr>
              <w:t>Transport Department, </w:t>
            </w:r>
            <w:r>
              <w:rPr>
                <w:spacing w:val="-5"/>
                <w:sz w:val="24"/>
              </w:rPr>
              <w:t>GOM</w:t>
            </w:r>
          </w:p>
        </w:tc>
      </w:tr>
      <w:tr>
        <w:trPr>
          <w:trHeight w:val="756" w:hRule="atLeast"/>
        </w:trPr>
        <w:tc>
          <w:tcPr>
            <w:tcW w:w="742" w:type="dxa"/>
          </w:tcPr>
          <w:p>
            <w:pPr>
              <w:pStyle w:val="TableParagraph"/>
              <w:spacing w:before="237"/>
              <w:ind w:left="7"/>
              <w:jc w:val="center"/>
              <w:rPr>
                <w:sz w:val="24"/>
              </w:rPr>
            </w:pPr>
            <w:r>
              <w:rPr>
                <w:spacing w:val="-5"/>
                <w:sz w:val="24"/>
              </w:rPr>
              <w:t>84</w:t>
            </w:r>
          </w:p>
        </w:tc>
        <w:tc>
          <w:tcPr>
            <w:tcW w:w="1589" w:type="dxa"/>
            <w:vMerge/>
            <w:tcBorders>
              <w:top w:val="nil"/>
            </w:tcBorders>
          </w:tcPr>
          <w:p>
            <w:pPr>
              <w:rPr>
                <w:sz w:val="2"/>
                <w:szCs w:val="2"/>
              </w:rPr>
            </w:pPr>
          </w:p>
        </w:tc>
        <w:tc>
          <w:tcPr>
            <w:tcW w:w="1227" w:type="dxa"/>
          </w:tcPr>
          <w:p>
            <w:pPr>
              <w:pStyle w:val="TableParagraph"/>
              <w:spacing w:before="237"/>
              <w:ind w:left="3"/>
              <w:jc w:val="center"/>
              <w:rPr>
                <w:sz w:val="24"/>
              </w:rPr>
            </w:pPr>
            <w:r>
              <w:rPr>
                <w:spacing w:val="-2"/>
                <w:sz w:val="24"/>
              </w:rPr>
              <w:t>RT3.1</w:t>
            </w:r>
          </w:p>
        </w:tc>
        <w:tc>
          <w:tcPr>
            <w:tcW w:w="2948" w:type="dxa"/>
          </w:tcPr>
          <w:p>
            <w:pPr>
              <w:pStyle w:val="TableParagraph"/>
              <w:tabs>
                <w:tab w:pos="2378" w:val="left" w:leader="none"/>
              </w:tabs>
              <w:spacing w:before="95"/>
              <w:ind w:left="1194" w:right="135" w:hanging="1049"/>
              <w:rPr>
                <w:sz w:val="24"/>
              </w:rPr>
            </w:pPr>
            <w:r>
              <w:rPr>
                <w:sz w:val="24"/>
              </w:rPr>
              <w:t>Metro/Mono Rail</w:t>
              <w:tab/>
            </w:r>
            <w:r>
              <w:rPr>
                <w:spacing w:val="-4"/>
                <w:sz w:val="24"/>
              </w:rPr>
              <w:t>Car shed</w:t>
            </w:r>
          </w:p>
        </w:tc>
        <w:tc>
          <w:tcPr>
            <w:tcW w:w="3128" w:type="dxa"/>
          </w:tcPr>
          <w:p>
            <w:pPr>
              <w:pStyle w:val="TableParagraph"/>
              <w:spacing w:before="95"/>
              <w:ind w:left="481" w:hanging="89"/>
              <w:rPr>
                <w:sz w:val="24"/>
              </w:rPr>
            </w:pPr>
            <w:r>
              <w:rPr>
                <w:sz w:val="24"/>
              </w:rPr>
              <w:t>Urban</w:t>
            </w:r>
            <w:r>
              <w:rPr>
                <w:spacing w:val="-20"/>
                <w:sz w:val="24"/>
              </w:rPr>
              <w:t> </w:t>
            </w:r>
            <w:r>
              <w:rPr>
                <w:sz w:val="24"/>
              </w:rPr>
              <w:t>Development Department, GOM</w:t>
            </w:r>
          </w:p>
        </w:tc>
      </w:tr>
      <w:tr>
        <w:trPr>
          <w:trHeight w:val="474" w:hRule="atLeast"/>
        </w:trPr>
        <w:tc>
          <w:tcPr>
            <w:tcW w:w="742" w:type="dxa"/>
          </w:tcPr>
          <w:p>
            <w:pPr>
              <w:pStyle w:val="TableParagraph"/>
              <w:spacing w:before="95"/>
              <w:ind w:left="7"/>
              <w:jc w:val="center"/>
              <w:rPr>
                <w:sz w:val="24"/>
              </w:rPr>
            </w:pPr>
            <w:r>
              <w:rPr>
                <w:spacing w:val="-5"/>
                <w:sz w:val="24"/>
              </w:rPr>
              <w:t>85</w:t>
            </w:r>
          </w:p>
        </w:tc>
        <w:tc>
          <w:tcPr>
            <w:tcW w:w="1589" w:type="dxa"/>
          </w:tcPr>
          <w:p>
            <w:pPr>
              <w:pStyle w:val="TableParagraph"/>
              <w:rPr>
                <w:rFonts w:ascii="Times New Roman"/>
                <w:sz w:val="22"/>
              </w:rPr>
            </w:pPr>
          </w:p>
        </w:tc>
        <w:tc>
          <w:tcPr>
            <w:tcW w:w="1227" w:type="dxa"/>
          </w:tcPr>
          <w:p>
            <w:pPr>
              <w:pStyle w:val="TableParagraph"/>
              <w:spacing w:before="95"/>
              <w:ind w:left="116" w:right="37"/>
              <w:jc w:val="center"/>
              <w:rPr>
                <w:sz w:val="24"/>
              </w:rPr>
            </w:pPr>
            <w:r>
              <w:rPr>
                <w:spacing w:val="-5"/>
                <w:sz w:val="24"/>
              </w:rPr>
              <w:t>RAM</w:t>
            </w:r>
          </w:p>
        </w:tc>
        <w:tc>
          <w:tcPr>
            <w:tcW w:w="2948" w:type="dxa"/>
          </w:tcPr>
          <w:p>
            <w:pPr>
              <w:pStyle w:val="TableParagraph"/>
              <w:spacing w:before="95"/>
              <w:ind w:right="76"/>
              <w:jc w:val="center"/>
              <w:rPr>
                <w:sz w:val="24"/>
              </w:rPr>
            </w:pPr>
            <w:r>
              <w:rPr>
                <w:sz w:val="24"/>
              </w:rPr>
              <w:t>Reservation</w:t>
            </w:r>
            <w:r>
              <w:rPr>
                <w:spacing w:val="-10"/>
                <w:sz w:val="24"/>
              </w:rPr>
              <w:t> </w:t>
            </w:r>
            <w:r>
              <w:rPr>
                <w:spacing w:val="-2"/>
                <w:sz w:val="24"/>
              </w:rPr>
              <w:t>Amenity</w:t>
            </w:r>
          </w:p>
        </w:tc>
        <w:tc>
          <w:tcPr>
            <w:tcW w:w="3128" w:type="dxa"/>
          </w:tcPr>
          <w:p>
            <w:pPr>
              <w:pStyle w:val="TableParagraph"/>
              <w:spacing w:before="95"/>
              <w:ind w:right="74"/>
              <w:jc w:val="center"/>
              <w:rPr>
                <w:sz w:val="24"/>
              </w:rPr>
            </w:pPr>
            <w:r>
              <w:rPr>
                <w:spacing w:val="-4"/>
                <w:sz w:val="24"/>
              </w:rPr>
              <w:t>MCGM</w:t>
            </w:r>
          </w:p>
        </w:tc>
      </w:tr>
      <w:tr>
        <w:trPr>
          <w:trHeight w:val="563" w:hRule="atLeast"/>
        </w:trPr>
        <w:tc>
          <w:tcPr>
            <w:tcW w:w="742" w:type="dxa"/>
          </w:tcPr>
          <w:p>
            <w:pPr>
              <w:pStyle w:val="TableParagraph"/>
              <w:spacing w:line="281" w:lineRule="exact"/>
              <w:ind w:left="7"/>
              <w:jc w:val="center"/>
              <w:rPr>
                <w:sz w:val="24"/>
              </w:rPr>
            </w:pPr>
            <w:r>
              <w:rPr>
                <w:spacing w:val="-5"/>
                <w:sz w:val="24"/>
              </w:rPr>
              <w:t>86</w:t>
            </w:r>
          </w:p>
        </w:tc>
        <w:tc>
          <w:tcPr>
            <w:tcW w:w="1589" w:type="dxa"/>
          </w:tcPr>
          <w:p>
            <w:pPr>
              <w:pStyle w:val="TableParagraph"/>
              <w:spacing w:line="280" w:lineRule="exact"/>
              <w:ind w:left="191" w:firstLine="211"/>
              <w:rPr>
                <w:sz w:val="24"/>
              </w:rPr>
            </w:pPr>
            <w:r>
              <w:rPr>
                <w:spacing w:val="-2"/>
                <w:sz w:val="24"/>
              </w:rPr>
              <w:t>Higher Education</w:t>
            </w:r>
          </w:p>
        </w:tc>
        <w:tc>
          <w:tcPr>
            <w:tcW w:w="1227" w:type="dxa"/>
          </w:tcPr>
          <w:p>
            <w:pPr>
              <w:pStyle w:val="TableParagraph"/>
              <w:spacing w:line="281" w:lineRule="exact"/>
              <w:ind w:left="116" w:right="110"/>
              <w:jc w:val="center"/>
              <w:rPr>
                <w:sz w:val="24"/>
              </w:rPr>
            </w:pPr>
            <w:r>
              <w:rPr>
                <w:sz w:val="24"/>
              </w:rPr>
              <w:t>RE</w:t>
            </w:r>
            <w:r>
              <w:rPr>
                <w:spacing w:val="-1"/>
                <w:sz w:val="24"/>
              </w:rPr>
              <w:t> </w:t>
            </w:r>
            <w:r>
              <w:rPr>
                <w:spacing w:val="-5"/>
                <w:sz w:val="24"/>
              </w:rPr>
              <w:t>2.1</w:t>
            </w:r>
          </w:p>
        </w:tc>
        <w:tc>
          <w:tcPr>
            <w:tcW w:w="2948" w:type="dxa"/>
          </w:tcPr>
          <w:p>
            <w:pPr>
              <w:pStyle w:val="TableParagraph"/>
              <w:spacing w:line="280" w:lineRule="exact"/>
              <w:ind w:left="878" w:hanging="171"/>
              <w:rPr>
                <w:sz w:val="24"/>
              </w:rPr>
            </w:pPr>
            <w:r>
              <w:rPr>
                <w:sz w:val="24"/>
              </w:rPr>
              <w:t>National</w:t>
            </w:r>
            <w:r>
              <w:rPr>
                <w:spacing w:val="-20"/>
                <w:sz w:val="24"/>
              </w:rPr>
              <w:t> </w:t>
            </w:r>
            <w:r>
              <w:rPr>
                <w:sz w:val="24"/>
              </w:rPr>
              <w:t>Law </w:t>
            </w:r>
            <w:r>
              <w:rPr>
                <w:spacing w:val="-2"/>
                <w:sz w:val="24"/>
              </w:rPr>
              <w:t>University</w:t>
            </w:r>
          </w:p>
        </w:tc>
        <w:tc>
          <w:tcPr>
            <w:tcW w:w="3128" w:type="dxa"/>
          </w:tcPr>
          <w:p>
            <w:pPr>
              <w:pStyle w:val="TableParagraph"/>
              <w:spacing w:line="280" w:lineRule="exact"/>
              <w:ind w:left="164" w:right="24" w:firstLine="55"/>
              <w:rPr>
                <w:sz w:val="24"/>
              </w:rPr>
            </w:pPr>
            <w:r>
              <w:rPr>
                <w:sz w:val="24"/>
              </w:rPr>
              <w:t>concerned Department of</w:t>
            </w:r>
            <w:r>
              <w:rPr>
                <w:spacing w:val="-13"/>
                <w:sz w:val="24"/>
              </w:rPr>
              <w:t> </w:t>
            </w:r>
            <w:r>
              <w:rPr>
                <w:sz w:val="24"/>
              </w:rPr>
              <w:t>Govt.</w:t>
            </w:r>
            <w:r>
              <w:rPr>
                <w:spacing w:val="-13"/>
                <w:sz w:val="24"/>
              </w:rPr>
              <w:t> </w:t>
            </w:r>
            <w:r>
              <w:rPr>
                <w:sz w:val="24"/>
              </w:rPr>
              <w:t>of</w:t>
            </w:r>
            <w:r>
              <w:rPr>
                <w:spacing w:val="-13"/>
                <w:sz w:val="24"/>
              </w:rPr>
              <w:t> </w:t>
            </w:r>
            <w:r>
              <w:rPr>
                <w:sz w:val="24"/>
              </w:rPr>
              <w:t>Maharashtra</w:t>
            </w:r>
          </w:p>
        </w:tc>
      </w:tr>
    </w:tbl>
    <w:p>
      <w:pPr>
        <w:pStyle w:val="TableParagraph"/>
        <w:spacing w:after="0" w:line="280" w:lineRule="exact"/>
        <w:rPr>
          <w:sz w:val="24"/>
        </w:rPr>
        <w:sectPr>
          <w:pgSz w:w="11910" w:h="16850"/>
          <w:pgMar w:header="1082" w:footer="945" w:top="1520" w:bottom="1140" w:left="360" w:right="360"/>
        </w:sectPr>
      </w:pPr>
    </w:p>
    <w:p>
      <w:pPr>
        <w:pStyle w:val="Heading4"/>
        <w:spacing w:before="218"/>
        <w:ind w:left="810"/>
      </w:pPr>
      <w:r>
        <w:rPr/>
        <w:t>ANNEXURE</w:t>
      </w:r>
      <w:r>
        <w:rPr>
          <w:spacing w:val="-8"/>
        </w:rPr>
        <w:t> </w:t>
      </w:r>
      <w:r>
        <w:rPr>
          <w:spacing w:val="-5"/>
        </w:rPr>
        <w:t>25</w:t>
      </w:r>
    </w:p>
    <w:p>
      <w:pPr>
        <w:spacing w:before="239"/>
        <w:ind w:left="2213" w:right="0" w:firstLine="0"/>
        <w:jc w:val="left"/>
        <w:rPr>
          <w:b/>
          <w:sz w:val="23"/>
        </w:rPr>
      </w:pPr>
      <w:r>
        <w:rPr>
          <w:b/>
          <w:sz w:val="23"/>
        </w:rPr>
        <w:t>Abbreviation</w:t>
      </w:r>
      <w:r>
        <w:rPr>
          <w:b/>
          <w:spacing w:val="-8"/>
          <w:sz w:val="23"/>
        </w:rPr>
        <w:t> </w:t>
      </w:r>
      <w:r>
        <w:rPr>
          <w:b/>
          <w:sz w:val="23"/>
        </w:rPr>
        <w:t>of</w:t>
      </w:r>
      <w:r>
        <w:rPr>
          <w:b/>
          <w:spacing w:val="-8"/>
          <w:sz w:val="23"/>
        </w:rPr>
        <w:t> </w:t>
      </w:r>
      <w:r>
        <w:rPr>
          <w:b/>
          <w:sz w:val="23"/>
        </w:rPr>
        <w:t>criteria</w:t>
      </w:r>
      <w:r>
        <w:rPr>
          <w:b/>
          <w:spacing w:val="-7"/>
          <w:sz w:val="23"/>
        </w:rPr>
        <w:t> </w:t>
      </w:r>
      <w:r>
        <w:rPr>
          <w:b/>
          <w:sz w:val="23"/>
        </w:rPr>
        <w:t>(classification)</w:t>
      </w:r>
      <w:r>
        <w:rPr>
          <w:b/>
          <w:spacing w:val="-3"/>
          <w:sz w:val="23"/>
        </w:rPr>
        <w:t> </w:t>
      </w:r>
      <w:r>
        <w:rPr>
          <w:b/>
          <w:sz w:val="23"/>
        </w:rPr>
        <w:t>for</w:t>
      </w:r>
      <w:r>
        <w:rPr>
          <w:b/>
          <w:spacing w:val="-5"/>
          <w:sz w:val="23"/>
        </w:rPr>
        <w:t> </w:t>
      </w:r>
      <w:r>
        <w:rPr>
          <w:b/>
          <w:sz w:val="23"/>
        </w:rPr>
        <w:t>heritage</w:t>
      </w:r>
      <w:r>
        <w:rPr>
          <w:b/>
          <w:spacing w:val="-6"/>
          <w:sz w:val="23"/>
        </w:rPr>
        <w:t> </w:t>
      </w:r>
      <w:r>
        <w:rPr>
          <w:b/>
          <w:spacing w:val="-2"/>
          <w:sz w:val="23"/>
        </w:rPr>
        <w:t>listing</w:t>
      </w:r>
    </w:p>
    <w:p>
      <w:pPr>
        <w:pStyle w:val="ListParagraph"/>
        <w:numPr>
          <w:ilvl w:val="0"/>
          <w:numId w:val="392"/>
        </w:numPr>
        <w:tabs>
          <w:tab w:pos="1550" w:val="left" w:leader="none"/>
          <w:tab w:pos="10271" w:val="left" w:leader="none"/>
        </w:tabs>
        <w:spacing w:line="360" w:lineRule="auto" w:before="135" w:after="0"/>
        <w:ind w:left="1224" w:right="767" w:firstLine="0"/>
        <w:jc w:val="left"/>
        <w:rPr>
          <w:sz w:val="23"/>
        </w:rPr>
      </w:pPr>
      <w:r>
        <w:rPr>
          <w:sz w:val="23"/>
        </w:rPr>
        <w:t>Value for architectural historical or cultural reasons</w:t>
        <w:tab/>
      </w:r>
      <w:r>
        <w:rPr>
          <w:spacing w:val="-6"/>
          <w:sz w:val="23"/>
        </w:rPr>
        <w:t>.. </w:t>
      </w:r>
      <w:r>
        <w:rPr>
          <w:spacing w:val="-10"/>
          <w:sz w:val="23"/>
        </w:rPr>
        <w:t>A</w:t>
      </w:r>
    </w:p>
    <w:p>
      <w:pPr>
        <w:spacing w:before="2"/>
        <w:ind w:left="1373" w:right="0" w:firstLine="0"/>
        <w:jc w:val="left"/>
        <w:rPr>
          <w:sz w:val="23"/>
        </w:rPr>
      </w:pPr>
      <w:r>
        <w:rPr>
          <w:sz w:val="23"/>
        </w:rPr>
        <w:t>--</w:t>
      </w:r>
      <w:r>
        <w:rPr>
          <w:spacing w:val="-5"/>
          <w:sz w:val="23"/>
        </w:rPr>
        <w:t> </w:t>
      </w:r>
      <w:r>
        <w:rPr>
          <w:sz w:val="23"/>
        </w:rPr>
        <w:t>architectural</w:t>
      </w:r>
      <w:r>
        <w:rPr>
          <w:spacing w:val="-3"/>
          <w:sz w:val="23"/>
        </w:rPr>
        <w:t> </w:t>
      </w:r>
      <w:r>
        <w:rPr>
          <w:sz w:val="23"/>
        </w:rPr>
        <w:t>..</w:t>
      </w:r>
      <w:r>
        <w:rPr>
          <w:spacing w:val="-2"/>
          <w:sz w:val="23"/>
        </w:rPr>
        <w:t> A(arc)</w:t>
      </w:r>
    </w:p>
    <w:p>
      <w:pPr>
        <w:tabs>
          <w:tab w:pos="7422" w:val="left" w:leader="none"/>
        </w:tabs>
        <w:spacing w:before="133"/>
        <w:ind w:left="0" w:right="456" w:firstLine="0"/>
        <w:jc w:val="center"/>
        <w:rPr>
          <w:sz w:val="23"/>
        </w:rPr>
      </w:pPr>
      <w:r>
        <w:rPr>
          <w:sz w:val="23"/>
        </w:rPr>
        <w:t>--</w:t>
      </w:r>
      <w:r>
        <w:rPr>
          <w:spacing w:val="72"/>
          <w:sz w:val="23"/>
        </w:rPr>
        <w:t> </w:t>
      </w:r>
      <w:r>
        <w:rPr>
          <w:spacing w:val="-2"/>
          <w:sz w:val="23"/>
        </w:rPr>
        <w:t>historical</w:t>
      </w:r>
      <w:r>
        <w:rPr>
          <w:sz w:val="23"/>
        </w:rPr>
        <w:tab/>
        <w:t>..</w:t>
      </w:r>
      <w:r>
        <w:rPr>
          <w:spacing w:val="-1"/>
          <w:sz w:val="23"/>
        </w:rPr>
        <w:t> </w:t>
      </w:r>
      <w:r>
        <w:rPr>
          <w:spacing w:val="-2"/>
          <w:sz w:val="23"/>
        </w:rPr>
        <w:t>A(his)</w:t>
      </w:r>
    </w:p>
    <w:p>
      <w:pPr>
        <w:tabs>
          <w:tab w:pos="8646" w:val="left" w:leader="none"/>
        </w:tabs>
        <w:spacing w:before="136"/>
        <w:ind w:left="1373" w:right="0" w:firstLine="0"/>
        <w:jc w:val="left"/>
        <w:rPr>
          <w:sz w:val="23"/>
        </w:rPr>
      </w:pPr>
      <w:r>
        <w:rPr>
          <w:sz w:val="23"/>
        </w:rPr>
        <w:t>--</w:t>
      </w:r>
      <w:r>
        <w:rPr>
          <w:spacing w:val="-2"/>
          <w:sz w:val="23"/>
        </w:rPr>
        <w:t> cultural</w:t>
      </w:r>
      <w:r>
        <w:rPr>
          <w:sz w:val="23"/>
        </w:rPr>
        <w:tab/>
        <w:t>..</w:t>
      </w:r>
      <w:r>
        <w:rPr>
          <w:spacing w:val="-1"/>
          <w:sz w:val="23"/>
        </w:rPr>
        <w:t> </w:t>
      </w:r>
      <w:r>
        <w:rPr>
          <w:spacing w:val="-2"/>
          <w:sz w:val="23"/>
        </w:rPr>
        <w:t>A(cul)</w:t>
      </w:r>
    </w:p>
    <w:p>
      <w:pPr>
        <w:pStyle w:val="ListParagraph"/>
        <w:numPr>
          <w:ilvl w:val="0"/>
          <w:numId w:val="392"/>
        </w:numPr>
        <w:tabs>
          <w:tab w:pos="1579" w:val="left" w:leader="none"/>
          <w:tab w:pos="10209" w:val="left" w:leader="none"/>
        </w:tabs>
        <w:spacing w:line="360" w:lineRule="auto" w:before="135" w:after="0"/>
        <w:ind w:left="1224" w:right="826" w:firstLine="0"/>
        <w:jc w:val="left"/>
        <w:rPr>
          <w:sz w:val="23"/>
        </w:rPr>
      </w:pPr>
      <w:r>
        <w:rPr>
          <w:sz w:val="23"/>
        </w:rPr>
        <w:t>The date and / or design and / or unique use of the building or artefact</w:t>
        <w:tab/>
      </w:r>
      <w:r>
        <w:rPr>
          <w:spacing w:val="-6"/>
          <w:sz w:val="23"/>
        </w:rPr>
        <w:t>.. </w:t>
      </w:r>
      <w:r>
        <w:rPr>
          <w:spacing w:val="-10"/>
          <w:sz w:val="23"/>
        </w:rPr>
        <w:t>B</w:t>
      </w:r>
    </w:p>
    <w:p>
      <w:pPr>
        <w:tabs>
          <w:tab w:pos="8646" w:val="left" w:leader="none"/>
        </w:tabs>
        <w:spacing w:line="269" w:lineRule="exact" w:before="0"/>
        <w:ind w:left="1373" w:right="0" w:firstLine="0"/>
        <w:jc w:val="left"/>
        <w:rPr>
          <w:sz w:val="23"/>
        </w:rPr>
      </w:pPr>
      <w:r>
        <w:rPr>
          <w:sz w:val="23"/>
        </w:rPr>
        <w:t>--</w:t>
      </w:r>
      <w:r>
        <w:rPr>
          <w:spacing w:val="-4"/>
          <w:sz w:val="23"/>
        </w:rPr>
        <w:t> </w:t>
      </w:r>
      <w:r>
        <w:rPr>
          <w:spacing w:val="-2"/>
          <w:sz w:val="23"/>
        </w:rPr>
        <w:t>period</w:t>
      </w:r>
      <w:r>
        <w:rPr>
          <w:sz w:val="23"/>
        </w:rPr>
        <w:tab/>
        <w:t>..</w:t>
      </w:r>
      <w:r>
        <w:rPr>
          <w:spacing w:val="-1"/>
          <w:sz w:val="23"/>
        </w:rPr>
        <w:t> </w:t>
      </w:r>
      <w:r>
        <w:rPr>
          <w:spacing w:val="-2"/>
          <w:sz w:val="23"/>
        </w:rPr>
        <w:t>B(per)</w:t>
      </w:r>
    </w:p>
    <w:p>
      <w:pPr>
        <w:tabs>
          <w:tab w:pos="8646" w:val="left" w:leader="none"/>
        </w:tabs>
        <w:spacing w:before="136"/>
        <w:ind w:left="1373" w:right="0" w:firstLine="0"/>
        <w:jc w:val="left"/>
        <w:rPr>
          <w:sz w:val="23"/>
        </w:rPr>
      </w:pPr>
      <w:r>
        <w:rPr>
          <w:sz w:val="23"/>
        </w:rPr>
        <w:t>--</w:t>
      </w:r>
      <w:r>
        <w:rPr>
          <w:spacing w:val="-4"/>
          <w:sz w:val="23"/>
        </w:rPr>
        <w:t> </w:t>
      </w:r>
      <w:r>
        <w:rPr>
          <w:spacing w:val="-2"/>
          <w:sz w:val="23"/>
        </w:rPr>
        <w:t>design</w:t>
      </w:r>
      <w:r>
        <w:rPr>
          <w:sz w:val="23"/>
        </w:rPr>
        <w:tab/>
      </w:r>
      <w:r>
        <w:rPr>
          <w:spacing w:val="-2"/>
          <w:sz w:val="23"/>
        </w:rPr>
        <w:t>..B(des)</w:t>
      </w:r>
    </w:p>
    <w:p>
      <w:pPr>
        <w:tabs>
          <w:tab w:pos="7273" w:val="left" w:leader="none"/>
        </w:tabs>
        <w:spacing w:before="135"/>
        <w:ind w:left="0" w:right="394" w:firstLine="0"/>
        <w:jc w:val="center"/>
        <w:rPr>
          <w:sz w:val="23"/>
        </w:rPr>
      </w:pPr>
      <w:r>
        <w:rPr>
          <w:sz w:val="23"/>
        </w:rPr>
        <w:t>--</w:t>
      </w:r>
      <w:r>
        <w:rPr>
          <w:spacing w:val="-2"/>
          <w:sz w:val="23"/>
        </w:rPr>
        <w:t> </w:t>
      </w:r>
      <w:r>
        <w:rPr>
          <w:spacing w:val="-5"/>
          <w:sz w:val="23"/>
        </w:rPr>
        <w:t>use</w:t>
      </w:r>
      <w:r>
        <w:rPr>
          <w:sz w:val="23"/>
        </w:rPr>
        <w:tab/>
      </w:r>
      <w:r>
        <w:rPr>
          <w:spacing w:val="-2"/>
          <w:sz w:val="23"/>
        </w:rPr>
        <w:t>..B(uu)</w:t>
      </w:r>
    </w:p>
    <w:p>
      <w:pPr>
        <w:pStyle w:val="ListParagraph"/>
        <w:numPr>
          <w:ilvl w:val="0"/>
          <w:numId w:val="392"/>
        </w:numPr>
        <w:tabs>
          <w:tab w:pos="1556" w:val="left" w:leader="none"/>
          <w:tab w:pos="8646" w:val="left" w:leader="none"/>
        </w:tabs>
        <w:spacing w:line="240" w:lineRule="auto" w:before="136" w:after="0"/>
        <w:ind w:left="1556" w:right="0" w:hanging="332"/>
        <w:jc w:val="left"/>
        <w:rPr>
          <w:sz w:val="23"/>
        </w:rPr>
      </w:pPr>
      <w:r>
        <w:rPr>
          <w:sz w:val="23"/>
        </w:rPr>
        <w:t>Relevance</w:t>
      </w:r>
      <w:r>
        <w:rPr>
          <w:spacing w:val="-4"/>
          <w:sz w:val="23"/>
        </w:rPr>
        <w:t> </w:t>
      </w:r>
      <w:r>
        <w:rPr>
          <w:sz w:val="23"/>
        </w:rPr>
        <w:t>to</w:t>
      </w:r>
      <w:r>
        <w:rPr>
          <w:spacing w:val="-2"/>
          <w:sz w:val="23"/>
        </w:rPr>
        <w:t> </w:t>
      </w:r>
      <w:r>
        <w:rPr>
          <w:sz w:val="23"/>
        </w:rPr>
        <w:t>social</w:t>
      </w:r>
      <w:r>
        <w:rPr>
          <w:spacing w:val="-6"/>
          <w:sz w:val="23"/>
        </w:rPr>
        <w:t> </w:t>
      </w:r>
      <w:r>
        <w:rPr>
          <w:sz w:val="23"/>
        </w:rPr>
        <w:t>or</w:t>
      </w:r>
      <w:r>
        <w:rPr>
          <w:spacing w:val="-6"/>
          <w:sz w:val="23"/>
        </w:rPr>
        <w:t> </w:t>
      </w:r>
      <w:r>
        <w:rPr>
          <w:sz w:val="23"/>
        </w:rPr>
        <w:t>economic</w:t>
      </w:r>
      <w:r>
        <w:rPr>
          <w:spacing w:val="-2"/>
          <w:sz w:val="23"/>
        </w:rPr>
        <w:t> history</w:t>
      </w:r>
      <w:r>
        <w:rPr>
          <w:sz w:val="23"/>
        </w:rPr>
        <w:tab/>
      </w:r>
      <w:r>
        <w:rPr>
          <w:spacing w:val="-2"/>
          <w:sz w:val="23"/>
        </w:rPr>
        <w:t>..C(seh)</w:t>
      </w:r>
    </w:p>
    <w:p>
      <w:pPr>
        <w:pStyle w:val="ListParagraph"/>
        <w:numPr>
          <w:ilvl w:val="0"/>
          <w:numId w:val="392"/>
        </w:numPr>
        <w:tabs>
          <w:tab w:pos="1579" w:val="left" w:leader="none"/>
          <w:tab w:pos="8646" w:val="left" w:leader="none"/>
        </w:tabs>
        <w:spacing w:line="240" w:lineRule="auto" w:before="133" w:after="0"/>
        <w:ind w:left="1579" w:right="0" w:hanging="355"/>
        <w:jc w:val="left"/>
        <w:rPr>
          <w:sz w:val="23"/>
        </w:rPr>
      </w:pPr>
      <w:r>
        <w:rPr>
          <w:sz w:val="23"/>
        </w:rPr>
        <w:t>Association</w:t>
      </w:r>
      <w:r>
        <w:rPr>
          <w:spacing w:val="-4"/>
          <w:sz w:val="23"/>
        </w:rPr>
        <w:t> </w:t>
      </w:r>
      <w:r>
        <w:rPr>
          <w:sz w:val="23"/>
        </w:rPr>
        <w:t>with</w:t>
      </w:r>
      <w:r>
        <w:rPr>
          <w:spacing w:val="-4"/>
          <w:sz w:val="23"/>
        </w:rPr>
        <w:t> </w:t>
      </w:r>
      <w:r>
        <w:rPr>
          <w:sz w:val="23"/>
        </w:rPr>
        <w:t>well-known</w:t>
      </w:r>
      <w:r>
        <w:rPr>
          <w:spacing w:val="-6"/>
          <w:sz w:val="23"/>
        </w:rPr>
        <w:t> </w:t>
      </w:r>
      <w:r>
        <w:rPr>
          <w:sz w:val="23"/>
        </w:rPr>
        <w:t>persons</w:t>
      </w:r>
      <w:r>
        <w:rPr>
          <w:spacing w:val="-5"/>
          <w:sz w:val="23"/>
        </w:rPr>
        <w:t> </w:t>
      </w:r>
      <w:r>
        <w:rPr>
          <w:sz w:val="23"/>
        </w:rPr>
        <w:t>or</w:t>
      </w:r>
      <w:r>
        <w:rPr>
          <w:spacing w:val="-5"/>
          <w:sz w:val="23"/>
        </w:rPr>
        <w:t> </w:t>
      </w:r>
      <w:r>
        <w:rPr>
          <w:spacing w:val="-2"/>
          <w:sz w:val="23"/>
        </w:rPr>
        <w:t>events</w:t>
      </w:r>
      <w:r>
        <w:rPr>
          <w:sz w:val="23"/>
        </w:rPr>
        <w:tab/>
      </w:r>
      <w:r>
        <w:rPr>
          <w:spacing w:val="-2"/>
          <w:sz w:val="23"/>
        </w:rPr>
        <w:t>..D(bio)</w:t>
      </w:r>
    </w:p>
    <w:p>
      <w:pPr>
        <w:pStyle w:val="ListParagraph"/>
        <w:numPr>
          <w:ilvl w:val="0"/>
          <w:numId w:val="392"/>
        </w:numPr>
        <w:tabs>
          <w:tab w:pos="1556" w:val="left" w:leader="none"/>
        </w:tabs>
        <w:spacing w:line="360" w:lineRule="auto" w:before="136" w:after="0"/>
        <w:ind w:left="1224" w:right="1307" w:firstLine="0"/>
        <w:jc w:val="left"/>
        <w:rPr>
          <w:sz w:val="23"/>
        </w:rPr>
      </w:pPr>
      <w:r>
        <w:rPr>
          <w:sz w:val="23"/>
        </w:rPr>
        <w:t>A</w:t>
      </w:r>
      <w:r>
        <w:rPr>
          <w:spacing w:val="-4"/>
          <w:sz w:val="23"/>
        </w:rPr>
        <w:t> </w:t>
      </w:r>
      <w:r>
        <w:rPr>
          <w:sz w:val="23"/>
        </w:rPr>
        <w:t>building</w:t>
      </w:r>
      <w:r>
        <w:rPr>
          <w:spacing w:val="-4"/>
          <w:sz w:val="23"/>
        </w:rPr>
        <w:t> </w:t>
      </w:r>
      <w:r>
        <w:rPr>
          <w:sz w:val="23"/>
        </w:rPr>
        <w:t>or</w:t>
      </w:r>
      <w:r>
        <w:rPr>
          <w:spacing w:val="-2"/>
          <w:sz w:val="23"/>
        </w:rPr>
        <w:t> </w:t>
      </w:r>
      <w:r>
        <w:rPr>
          <w:sz w:val="23"/>
        </w:rPr>
        <w:t>groups</w:t>
      </w:r>
      <w:r>
        <w:rPr>
          <w:spacing w:val="-2"/>
          <w:sz w:val="23"/>
        </w:rPr>
        <w:t> </w:t>
      </w:r>
      <w:r>
        <w:rPr>
          <w:sz w:val="23"/>
        </w:rPr>
        <w:t>of</w:t>
      </w:r>
      <w:r>
        <w:rPr>
          <w:spacing w:val="-3"/>
          <w:sz w:val="23"/>
        </w:rPr>
        <w:t> </w:t>
      </w:r>
      <w:r>
        <w:rPr>
          <w:sz w:val="23"/>
        </w:rPr>
        <w:t>buildings</w:t>
      </w:r>
      <w:r>
        <w:rPr>
          <w:spacing w:val="-4"/>
          <w:sz w:val="23"/>
        </w:rPr>
        <w:t> </w:t>
      </w:r>
      <w:r>
        <w:rPr>
          <w:sz w:val="23"/>
        </w:rPr>
        <w:t>and</w:t>
      </w:r>
      <w:r>
        <w:rPr>
          <w:spacing w:val="-3"/>
          <w:sz w:val="23"/>
        </w:rPr>
        <w:t> </w:t>
      </w:r>
      <w:r>
        <w:rPr>
          <w:sz w:val="23"/>
        </w:rPr>
        <w:t>/</w:t>
      </w:r>
      <w:r>
        <w:rPr>
          <w:spacing w:val="-3"/>
          <w:sz w:val="23"/>
        </w:rPr>
        <w:t> </w:t>
      </w:r>
      <w:r>
        <w:rPr>
          <w:sz w:val="23"/>
        </w:rPr>
        <w:t>or</w:t>
      </w:r>
      <w:r>
        <w:rPr>
          <w:spacing w:val="-2"/>
          <w:sz w:val="23"/>
        </w:rPr>
        <w:t> </w:t>
      </w:r>
      <w:r>
        <w:rPr>
          <w:sz w:val="23"/>
        </w:rPr>
        <w:t>areas</w:t>
      </w:r>
      <w:r>
        <w:rPr>
          <w:spacing w:val="-5"/>
          <w:sz w:val="23"/>
        </w:rPr>
        <w:t> </w:t>
      </w:r>
      <w:r>
        <w:rPr>
          <w:sz w:val="23"/>
        </w:rPr>
        <w:t>of</w:t>
      </w:r>
      <w:r>
        <w:rPr>
          <w:spacing w:val="-4"/>
          <w:sz w:val="23"/>
        </w:rPr>
        <w:t> </w:t>
      </w:r>
      <w:r>
        <w:rPr>
          <w:sz w:val="23"/>
        </w:rPr>
        <w:t>a</w:t>
      </w:r>
      <w:r>
        <w:rPr>
          <w:spacing w:val="-3"/>
          <w:sz w:val="23"/>
        </w:rPr>
        <w:t> </w:t>
      </w:r>
      <w:r>
        <w:rPr>
          <w:sz w:val="23"/>
        </w:rPr>
        <w:t>distinct</w:t>
      </w:r>
      <w:r>
        <w:rPr>
          <w:spacing w:val="-4"/>
          <w:sz w:val="23"/>
        </w:rPr>
        <w:t> </w:t>
      </w:r>
      <w:r>
        <w:rPr>
          <w:sz w:val="23"/>
        </w:rPr>
        <w:t>architectural design and / or style historic period or way of life having sociological</w:t>
      </w:r>
    </w:p>
    <w:p>
      <w:pPr>
        <w:tabs>
          <w:tab w:pos="8795" w:val="left" w:leader="none"/>
        </w:tabs>
        <w:spacing w:before="2"/>
        <w:ind w:left="1224" w:right="0" w:firstLine="0"/>
        <w:jc w:val="left"/>
        <w:rPr>
          <w:sz w:val="23"/>
        </w:rPr>
      </w:pPr>
      <w:r>
        <w:rPr>
          <w:sz w:val="23"/>
        </w:rPr>
        <w:t>interest</w:t>
      </w:r>
      <w:r>
        <w:rPr>
          <w:spacing w:val="-4"/>
          <w:sz w:val="23"/>
        </w:rPr>
        <w:t> </w:t>
      </w:r>
      <w:r>
        <w:rPr>
          <w:sz w:val="23"/>
        </w:rPr>
        <w:t>and</w:t>
      </w:r>
      <w:r>
        <w:rPr>
          <w:spacing w:val="-2"/>
          <w:sz w:val="23"/>
        </w:rPr>
        <w:t> </w:t>
      </w:r>
      <w:r>
        <w:rPr>
          <w:sz w:val="23"/>
        </w:rPr>
        <w:t>/</w:t>
      </w:r>
      <w:r>
        <w:rPr>
          <w:spacing w:val="-4"/>
          <w:sz w:val="23"/>
        </w:rPr>
        <w:t> </w:t>
      </w:r>
      <w:r>
        <w:rPr>
          <w:sz w:val="23"/>
        </w:rPr>
        <w:t>or</w:t>
      </w:r>
      <w:r>
        <w:rPr>
          <w:spacing w:val="-3"/>
          <w:sz w:val="23"/>
        </w:rPr>
        <w:t> </w:t>
      </w:r>
      <w:r>
        <w:rPr>
          <w:sz w:val="23"/>
        </w:rPr>
        <w:t>community</w:t>
      </w:r>
      <w:r>
        <w:rPr>
          <w:spacing w:val="-2"/>
          <w:sz w:val="23"/>
        </w:rPr>
        <w:t> value.</w:t>
      </w:r>
      <w:r>
        <w:rPr>
          <w:sz w:val="23"/>
        </w:rPr>
        <w:tab/>
      </w:r>
      <w:r>
        <w:rPr>
          <w:spacing w:val="-10"/>
          <w:sz w:val="23"/>
        </w:rPr>
        <w:t>E</w:t>
      </w:r>
    </w:p>
    <w:p>
      <w:pPr>
        <w:spacing w:before="133"/>
        <w:ind w:left="1373" w:right="0" w:firstLine="0"/>
        <w:jc w:val="left"/>
        <w:rPr>
          <w:sz w:val="23"/>
        </w:rPr>
      </w:pPr>
      <w:r>
        <w:rPr>
          <w:sz w:val="23"/>
        </w:rPr>
        <w:t>--</w:t>
      </w:r>
      <w:r>
        <w:rPr>
          <w:spacing w:val="-4"/>
          <w:sz w:val="23"/>
        </w:rPr>
        <w:t> </w:t>
      </w:r>
      <w:r>
        <w:rPr>
          <w:spacing w:val="-2"/>
          <w:sz w:val="23"/>
        </w:rPr>
        <w:t>style</w:t>
      </w:r>
    </w:p>
    <w:p>
      <w:pPr>
        <w:spacing w:before="135"/>
        <w:ind w:left="1373" w:right="0" w:firstLine="0"/>
        <w:jc w:val="left"/>
        <w:rPr>
          <w:sz w:val="23"/>
        </w:rPr>
      </w:pPr>
      <w:r>
        <w:rPr>
          <w:sz w:val="23"/>
        </w:rPr>
        <w:t>--</w:t>
      </w:r>
      <w:r>
        <w:rPr>
          <w:spacing w:val="-2"/>
          <w:sz w:val="23"/>
        </w:rPr>
        <w:t> historical</w:t>
      </w:r>
    </w:p>
    <w:p>
      <w:pPr>
        <w:pStyle w:val="ListParagraph"/>
        <w:numPr>
          <w:ilvl w:val="0"/>
          <w:numId w:val="392"/>
        </w:numPr>
        <w:tabs>
          <w:tab w:pos="1538" w:val="left" w:leader="none"/>
          <w:tab w:pos="8869" w:val="left" w:leader="none"/>
        </w:tabs>
        <w:spacing w:line="357" w:lineRule="auto" w:before="136" w:after="0"/>
        <w:ind w:left="1224" w:right="771" w:firstLine="0"/>
        <w:jc w:val="left"/>
        <w:rPr>
          <w:sz w:val="23"/>
        </w:rPr>
      </w:pPr>
      <w:r>
        <w:rPr>
          <w:sz w:val="23"/>
        </w:rPr>
        <w:t>The</w:t>
      </w:r>
      <w:r>
        <w:rPr>
          <w:spacing w:val="29"/>
          <w:sz w:val="23"/>
        </w:rPr>
        <w:t> </w:t>
      </w:r>
      <w:r>
        <w:rPr>
          <w:sz w:val="23"/>
        </w:rPr>
        <w:t>unique</w:t>
      </w:r>
      <w:r>
        <w:rPr>
          <w:spacing w:val="29"/>
          <w:sz w:val="23"/>
        </w:rPr>
        <w:t> </w:t>
      </w:r>
      <w:r>
        <w:rPr>
          <w:sz w:val="23"/>
        </w:rPr>
        <w:t>value</w:t>
      </w:r>
      <w:r>
        <w:rPr>
          <w:spacing w:val="27"/>
          <w:sz w:val="23"/>
        </w:rPr>
        <w:t> </w:t>
      </w:r>
      <w:r>
        <w:rPr>
          <w:sz w:val="23"/>
        </w:rPr>
        <w:t>of</w:t>
      </w:r>
      <w:r>
        <w:rPr>
          <w:spacing w:val="28"/>
          <w:sz w:val="23"/>
        </w:rPr>
        <w:t> </w:t>
      </w:r>
      <w:r>
        <w:rPr>
          <w:sz w:val="23"/>
        </w:rPr>
        <w:t>a</w:t>
      </w:r>
      <w:r>
        <w:rPr>
          <w:spacing w:val="27"/>
          <w:sz w:val="23"/>
        </w:rPr>
        <w:t> </w:t>
      </w:r>
      <w:r>
        <w:rPr>
          <w:sz w:val="23"/>
        </w:rPr>
        <w:t>building</w:t>
      </w:r>
      <w:r>
        <w:rPr>
          <w:spacing w:val="27"/>
          <w:sz w:val="23"/>
        </w:rPr>
        <w:t> </w:t>
      </w:r>
      <w:r>
        <w:rPr>
          <w:sz w:val="23"/>
        </w:rPr>
        <w:t>or</w:t>
      </w:r>
      <w:r>
        <w:rPr>
          <w:spacing w:val="27"/>
          <w:sz w:val="23"/>
        </w:rPr>
        <w:t> </w:t>
      </w:r>
      <w:r>
        <w:rPr>
          <w:sz w:val="23"/>
        </w:rPr>
        <w:t>architectural</w:t>
      </w:r>
      <w:r>
        <w:rPr>
          <w:spacing w:val="27"/>
          <w:sz w:val="23"/>
        </w:rPr>
        <w:t> </w:t>
      </w:r>
      <w:r>
        <w:rPr>
          <w:sz w:val="23"/>
        </w:rPr>
        <w:t>features</w:t>
      </w:r>
      <w:r>
        <w:rPr>
          <w:spacing w:val="25"/>
          <w:sz w:val="23"/>
        </w:rPr>
        <w:t> </w:t>
      </w:r>
      <w:r>
        <w:rPr>
          <w:sz w:val="23"/>
        </w:rPr>
        <w:t>or</w:t>
      </w:r>
      <w:r>
        <w:rPr>
          <w:spacing w:val="27"/>
          <w:sz w:val="23"/>
        </w:rPr>
        <w:t> </w:t>
      </w:r>
      <w:r>
        <w:rPr>
          <w:sz w:val="23"/>
        </w:rPr>
        <w:t>artefact</w:t>
      </w:r>
      <w:r>
        <w:rPr>
          <w:spacing w:val="26"/>
          <w:sz w:val="23"/>
        </w:rPr>
        <w:t> </w:t>
      </w:r>
      <w:r>
        <w:rPr>
          <w:sz w:val="23"/>
        </w:rPr>
        <w:t>and</w:t>
      </w:r>
      <w:r>
        <w:rPr>
          <w:spacing w:val="28"/>
          <w:sz w:val="23"/>
        </w:rPr>
        <w:t> </w:t>
      </w:r>
      <w:r>
        <w:rPr>
          <w:sz w:val="23"/>
        </w:rPr>
        <w:t>/</w:t>
      </w:r>
      <w:r>
        <w:rPr>
          <w:spacing w:val="25"/>
          <w:sz w:val="23"/>
        </w:rPr>
        <w:t> </w:t>
      </w:r>
      <w:r>
        <w:rPr>
          <w:sz w:val="23"/>
        </w:rPr>
        <w:t>or </w:t>
      </w:r>
      <w:r>
        <w:rPr>
          <w:spacing w:val="-4"/>
          <w:sz w:val="23"/>
        </w:rPr>
        <w:t>being</w:t>
      </w:r>
      <w:r>
        <w:rPr>
          <w:sz w:val="23"/>
        </w:rPr>
        <w:tab/>
      </w:r>
      <w:r>
        <w:rPr>
          <w:spacing w:val="-10"/>
          <w:sz w:val="23"/>
        </w:rPr>
        <w:t>F</w:t>
      </w:r>
    </w:p>
    <w:p>
      <w:pPr>
        <w:spacing w:before="4"/>
        <w:ind w:left="1224" w:right="0" w:firstLine="0"/>
        <w:jc w:val="left"/>
        <w:rPr>
          <w:sz w:val="23"/>
        </w:rPr>
      </w:pPr>
      <w:r>
        <w:rPr>
          <w:sz w:val="23"/>
        </w:rPr>
        <w:t>part</w:t>
      </w:r>
      <w:r>
        <w:rPr>
          <w:spacing w:val="-4"/>
          <w:sz w:val="23"/>
        </w:rPr>
        <w:t> </w:t>
      </w:r>
      <w:r>
        <w:rPr>
          <w:sz w:val="23"/>
        </w:rPr>
        <w:t>of</w:t>
      </w:r>
      <w:r>
        <w:rPr>
          <w:spacing w:val="-4"/>
          <w:sz w:val="23"/>
        </w:rPr>
        <w:t> </w:t>
      </w:r>
      <w:r>
        <w:rPr>
          <w:sz w:val="23"/>
        </w:rPr>
        <w:t>a</w:t>
      </w:r>
      <w:r>
        <w:rPr>
          <w:spacing w:val="-3"/>
          <w:sz w:val="23"/>
        </w:rPr>
        <w:t> </w:t>
      </w:r>
      <w:r>
        <w:rPr>
          <w:sz w:val="23"/>
        </w:rPr>
        <w:t>chain</w:t>
      </w:r>
      <w:r>
        <w:rPr>
          <w:spacing w:val="-2"/>
          <w:sz w:val="23"/>
        </w:rPr>
        <w:t> </w:t>
      </w:r>
      <w:r>
        <w:rPr>
          <w:sz w:val="23"/>
        </w:rPr>
        <w:t>of</w:t>
      </w:r>
      <w:r>
        <w:rPr>
          <w:spacing w:val="-3"/>
          <w:sz w:val="23"/>
        </w:rPr>
        <w:t> </w:t>
      </w:r>
      <w:r>
        <w:rPr>
          <w:sz w:val="23"/>
        </w:rPr>
        <w:t>architectural</w:t>
      </w:r>
      <w:r>
        <w:rPr>
          <w:spacing w:val="-3"/>
          <w:sz w:val="23"/>
        </w:rPr>
        <w:t> </w:t>
      </w:r>
      <w:r>
        <w:rPr>
          <w:sz w:val="23"/>
        </w:rPr>
        <w:t>development</w:t>
      </w:r>
      <w:r>
        <w:rPr>
          <w:spacing w:val="-4"/>
          <w:sz w:val="23"/>
        </w:rPr>
        <w:t> </w:t>
      </w:r>
      <w:r>
        <w:rPr>
          <w:sz w:val="23"/>
        </w:rPr>
        <w:t>that</w:t>
      </w:r>
      <w:r>
        <w:rPr>
          <w:spacing w:val="-3"/>
          <w:sz w:val="23"/>
        </w:rPr>
        <w:t> </w:t>
      </w:r>
      <w:r>
        <w:rPr>
          <w:sz w:val="23"/>
        </w:rPr>
        <w:t>would</w:t>
      </w:r>
      <w:r>
        <w:rPr>
          <w:spacing w:val="-1"/>
          <w:sz w:val="23"/>
        </w:rPr>
        <w:t> </w:t>
      </w:r>
      <w:r>
        <w:rPr>
          <w:sz w:val="23"/>
        </w:rPr>
        <w:t>be</w:t>
      </w:r>
      <w:r>
        <w:rPr>
          <w:spacing w:val="-4"/>
          <w:sz w:val="23"/>
        </w:rPr>
        <w:t> </w:t>
      </w:r>
      <w:r>
        <w:rPr>
          <w:sz w:val="23"/>
        </w:rPr>
        <w:t>broken</w:t>
      </w:r>
      <w:r>
        <w:rPr>
          <w:spacing w:val="-5"/>
          <w:sz w:val="23"/>
        </w:rPr>
        <w:t> </w:t>
      </w:r>
      <w:r>
        <w:rPr>
          <w:sz w:val="23"/>
        </w:rPr>
        <w:t>if</w:t>
      </w:r>
      <w:r>
        <w:rPr>
          <w:spacing w:val="-1"/>
          <w:sz w:val="23"/>
        </w:rPr>
        <w:t> </w:t>
      </w:r>
      <w:r>
        <w:rPr>
          <w:sz w:val="23"/>
        </w:rPr>
        <w:t>it</w:t>
      </w:r>
      <w:r>
        <w:rPr>
          <w:spacing w:val="-5"/>
          <w:sz w:val="23"/>
        </w:rPr>
        <w:t> </w:t>
      </w:r>
      <w:r>
        <w:rPr>
          <w:sz w:val="23"/>
        </w:rPr>
        <w:t>were </w:t>
      </w:r>
      <w:r>
        <w:rPr>
          <w:spacing w:val="-2"/>
          <w:sz w:val="23"/>
        </w:rPr>
        <w:t>lost.</w:t>
      </w:r>
    </w:p>
    <w:p>
      <w:pPr>
        <w:pStyle w:val="ListParagraph"/>
        <w:numPr>
          <w:ilvl w:val="0"/>
          <w:numId w:val="392"/>
        </w:numPr>
        <w:tabs>
          <w:tab w:pos="1559" w:val="left" w:leader="none"/>
          <w:tab w:pos="8646" w:val="left" w:leader="none"/>
        </w:tabs>
        <w:spacing w:line="240" w:lineRule="auto" w:before="136" w:after="0"/>
        <w:ind w:left="1559" w:right="0" w:hanging="335"/>
        <w:jc w:val="left"/>
        <w:rPr>
          <w:sz w:val="23"/>
        </w:rPr>
      </w:pPr>
      <w:r>
        <w:rPr>
          <w:sz w:val="23"/>
        </w:rPr>
        <w:t>Its</w:t>
      </w:r>
      <w:r>
        <w:rPr>
          <w:spacing w:val="-5"/>
          <w:sz w:val="23"/>
        </w:rPr>
        <w:t> </w:t>
      </w:r>
      <w:r>
        <w:rPr>
          <w:sz w:val="23"/>
        </w:rPr>
        <w:t>value</w:t>
      </w:r>
      <w:r>
        <w:rPr>
          <w:spacing w:val="-1"/>
          <w:sz w:val="23"/>
        </w:rPr>
        <w:t> </w:t>
      </w:r>
      <w:r>
        <w:rPr>
          <w:sz w:val="23"/>
        </w:rPr>
        <w:t>as</w:t>
      </w:r>
      <w:r>
        <w:rPr>
          <w:spacing w:val="-4"/>
          <w:sz w:val="23"/>
        </w:rPr>
        <w:t> </w:t>
      </w:r>
      <w:r>
        <w:rPr>
          <w:sz w:val="23"/>
        </w:rPr>
        <w:t>a</w:t>
      </w:r>
      <w:r>
        <w:rPr>
          <w:spacing w:val="-2"/>
          <w:sz w:val="23"/>
        </w:rPr>
        <w:t> </w:t>
      </w:r>
      <w:r>
        <w:rPr>
          <w:sz w:val="23"/>
        </w:rPr>
        <w:t>part</w:t>
      </w:r>
      <w:r>
        <w:rPr>
          <w:spacing w:val="-6"/>
          <w:sz w:val="23"/>
        </w:rPr>
        <w:t> </w:t>
      </w:r>
      <w:r>
        <w:rPr>
          <w:sz w:val="23"/>
        </w:rPr>
        <w:t>of a</w:t>
      </w:r>
      <w:r>
        <w:rPr>
          <w:spacing w:val="-2"/>
          <w:sz w:val="23"/>
        </w:rPr>
        <w:t> </w:t>
      </w:r>
      <w:r>
        <w:rPr>
          <w:sz w:val="23"/>
        </w:rPr>
        <w:t>group of </w:t>
      </w:r>
      <w:r>
        <w:rPr>
          <w:spacing w:val="-2"/>
          <w:sz w:val="23"/>
        </w:rPr>
        <w:t>buildings</w:t>
      </w:r>
      <w:r>
        <w:rPr>
          <w:sz w:val="23"/>
        </w:rPr>
        <w:tab/>
      </w:r>
      <w:r>
        <w:rPr>
          <w:spacing w:val="-2"/>
          <w:sz w:val="23"/>
        </w:rPr>
        <w:t>..G(grp)</w:t>
      </w:r>
    </w:p>
    <w:p>
      <w:pPr>
        <w:pStyle w:val="ListParagraph"/>
        <w:numPr>
          <w:ilvl w:val="0"/>
          <w:numId w:val="392"/>
        </w:numPr>
        <w:tabs>
          <w:tab w:pos="1587" w:val="left" w:leader="none"/>
          <w:tab w:pos="8646" w:val="left" w:leader="none"/>
        </w:tabs>
        <w:spacing w:line="240" w:lineRule="auto" w:before="135" w:after="0"/>
        <w:ind w:left="1587" w:right="0" w:hanging="363"/>
        <w:jc w:val="left"/>
        <w:rPr>
          <w:sz w:val="23"/>
        </w:rPr>
      </w:pPr>
      <w:r>
        <w:rPr>
          <w:sz w:val="23"/>
        </w:rPr>
        <w:t>Representing</w:t>
      </w:r>
      <w:r>
        <w:rPr>
          <w:spacing w:val="-7"/>
          <w:sz w:val="23"/>
        </w:rPr>
        <w:t> </w:t>
      </w:r>
      <w:r>
        <w:rPr>
          <w:sz w:val="23"/>
        </w:rPr>
        <w:t>forms</w:t>
      </w:r>
      <w:r>
        <w:rPr>
          <w:spacing w:val="-4"/>
          <w:sz w:val="23"/>
        </w:rPr>
        <w:t> </w:t>
      </w:r>
      <w:r>
        <w:rPr>
          <w:sz w:val="23"/>
        </w:rPr>
        <w:t>of</w:t>
      </w:r>
      <w:r>
        <w:rPr>
          <w:spacing w:val="-5"/>
          <w:sz w:val="23"/>
        </w:rPr>
        <w:t> </w:t>
      </w:r>
      <w:r>
        <w:rPr>
          <w:sz w:val="23"/>
        </w:rPr>
        <w:t>technological</w:t>
      </w:r>
      <w:r>
        <w:rPr>
          <w:spacing w:val="-5"/>
          <w:sz w:val="23"/>
        </w:rPr>
        <w:t> </w:t>
      </w:r>
      <w:r>
        <w:rPr>
          <w:spacing w:val="-2"/>
          <w:sz w:val="23"/>
        </w:rPr>
        <w:t>development</w:t>
      </w:r>
      <w:r>
        <w:rPr>
          <w:sz w:val="23"/>
        </w:rPr>
        <w:tab/>
      </w:r>
      <w:r>
        <w:rPr>
          <w:spacing w:val="-2"/>
          <w:sz w:val="23"/>
        </w:rPr>
        <w:t>..H(tec)</w:t>
      </w:r>
    </w:p>
    <w:p>
      <w:pPr>
        <w:pStyle w:val="ListParagraph"/>
        <w:numPr>
          <w:ilvl w:val="0"/>
          <w:numId w:val="392"/>
        </w:numPr>
        <w:tabs>
          <w:tab w:pos="1579" w:val="left" w:leader="none"/>
        </w:tabs>
        <w:spacing w:line="360" w:lineRule="auto" w:before="134" w:after="0"/>
        <w:ind w:left="1224" w:right="826" w:firstLine="0"/>
        <w:jc w:val="left"/>
        <w:rPr>
          <w:sz w:val="23"/>
        </w:rPr>
      </w:pPr>
      <w:r>
        <w:rPr>
          <w:sz w:val="23"/>
        </w:rPr>
        <w:t>Vistas of natural / scenic beauty or interest, including water-front areas, Distinctive</w:t>
      </w:r>
      <w:r>
        <w:rPr>
          <w:spacing w:val="-1"/>
          <w:sz w:val="23"/>
        </w:rPr>
        <w:t> </w:t>
      </w:r>
      <w:r>
        <w:rPr>
          <w:sz w:val="23"/>
        </w:rPr>
        <w:t>and</w:t>
      </w:r>
      <w:r>
        <w:rPr>
          <w:spacing w:val="-4"/>
          <w:sz w:val="23"/>
        </w:rPr>
        <w:t> </w:t>
      </w:r>
      <w:r>
        <w:rPr>
          <w:sz w:val="23"/>
        </w:rPr>
        <w:t>/</w:t>
      </w:r>
      <w:r>
        <w:rPr>
          <w:spacing w:val="-3"/>
          <w:sz w:val="23"/>
        </w:rPr>
        <w:t> </w:t>
      </w:r>
      <w:r>
        <w:rPr>
          <w:sz w:val="23"/>
        </w:rPr>
        <w:t>or</w:t>
      </w:r>
      <w:r>
        <w:rPr>
          <w:spacing w:val="-6"/>
          <w:sz w:val="23"/>
        </w:rPr>
        <w:t> </w:t>
      </w:r>
      <w:r>
        <w:rPr>
          <w:sz w:val="23"/>
        </w:rPr>
        <w:t>planned</w:t>
      </w:r>
      <w:r>
        <w:rPr>
          <w:spacing w:val="-2"/>
          <w:sz w:val="23"/>
        </w:rPr>
        <w:t> </w:t>
      </w:r>
      <w:r>
        <w:rPr>
          <w:sz w:val="23"/>
        </w:rPr>
        <w:t>lines</w:t>
      </w:r>
      <w:r>
        <w:rPr>
          <w:spacing w:val="-3"/>
          <w:sz w:val="23"/>
        </w:rPr>
        <w:t> </w:t>
      </w:r>
      <w:r>
        <w:rPr>
          <w:sz w:val="23"/>
        </w:rPr>
        <w:t>of</w:t>
      </w:r>
      <w:r>
        <w:rPr>
          <w:spacing w:val="-2"/>
          <w:sz w:val="23"/>
        </w:rPr>
        <w:t> </w:t>
      </w:r>
      <w:r>
        <w:rPr>
          <w:sz w:val="23"/>
        </w:rPr>
        <w:t>sight,</w:t>
      </w:r>
      <w:r>
        <w:rPr>
          <w:spacing w:val="-4"/>
          <w:sz w:val="23"/>
        </w:rPr>
        <w:t> </w:t>
      </w:r>
      <w:r>
        <w:rPr>
          <w:sz w:val="23"/>
        </w:rPr>
        <w:t>street</w:t>
      </w:r>
      <w:r>
        <w:rPr>
          <w:spacing w:val="-4"/>
          <w:sz w:val="23"/>
        </w:rPr>
        <w:t> </w:t>
      </w:r>
      <w:r>
        <w:rPr>
          <w:sz w:val="23"/>
        </w:rPr>
        <w:t>line,</w:t>
      </w:r>
      <w:r>
        <w:rPr>
          <w:spacing w:val="-3"/>
          <w:sz w:val="23"/>
        </w:rPr>
        <w:t> </w:t>
      </w:r>
      <w:r>
        <w:rPr>
          <w:sz w:val="23"/>
        </w:rPr>
        <w:t>skyline</w:t>
      </w:r>
      <w:r>
        <w:rPr>
          <w:spacing w:val="-3"/>
          <w:sz w:val="23"/>
        </w:rPr>
        <w:t> </w:t>
      </w:r>
      <w:r>
        <w:rPr>
          <w:sz w:val="23"/>
        </w:rPr>
        <w:t>or</w:t>
      </w:r>
      <w:r>
        <w:rPr>
          <w:spacing w:val="-5"/>
          <w:sz w:val="23"/>
        </w:rPr>
        <w:t> </w:t>
      </w:r>
      <w:r>
        <w:rPr>
          <w:sz w:val="23"/>
        </w:rPr>
        <w:t>topographical. .. </w:t>
      </w:r>
      <w:r>
        <w:rPr>
          <w:spacing w:val="-2"/>
          <w:sz w:val="23"/>
        </w:rPr>
        <w:t>I(sce)</w:t>
      </w:r>
    </w:p>
    <w:p>
      <w:pPr>
        <w:pStyle w:val="ListParagraph"/>
        <w:numPr>
          <w:ilvl w:val="0"/>
          <w:numId w:val="392"/>
        </w:numPr>
        <w:tabs>
          <w:tab w:pos="1505" w:val="left" w:leader="none"/>
        </w:tabs>
        <w:spacing w:line="357" w:lineRule="auto" w:before="2" w:after="0"/>
        <w:ind w:left="1224" w:right="959" w:firstLine="0"/>
        <w:jc w:val="left"/>
        <w:rPr>
          <w:sz w:val="23"/>
        </w:rPr>
      </w:pPr>
      <w:r>
        <w:rPr>
          <w:sz w:val="23"/>
        </w:rPr>
        <w:t>Open</w:t>
      </w:r>
      <w:r>
        <w:rPr>
          <w:spacing w:val="-4"/>
          <w:sz w:val="23"/>
        </w:rPr>
        <w:t> </w:t>
      </w:r>
      <w:r>
        <w:rPr>
          <w:sz w:val="23"/>
        </w:rPr>
        <w:t>spaces</w:t>
      </w:r>
      <w:r>
        <w:rPr>
          <w:spacing w:val="-3"/>
          <w:sz w:val="23"/>
        </w:rPr>
        <w:t> </w:t>
      </w:r>
      <w:r>
        <w:rPr>
          <w:sz w:val="23"/>
        </w:rPr>
        <w:t>sometimes</w:t>
      </w:r>
      <w:r>
        <w:rPr>
          <w:spacing w:val="-3"/>
          <w:sz w:val="23"/>
        </w:rPr>
        <w:t> </w:t>
      </w:r>
      <w:r>
        <w:rPr>
          <w:sz w:val="23"/>
        </w:rPr>
        <w:t>integrally</w:t>
      </w:r>
      <w:r>
        <w:rPr>
          <w:spacing w:val="-4"/>
          <w:sz w:val="23"/>
        </w:rPr>
        <w:t> </w:t>
      </w:r>
      <w:r>
        <w:rPr>
          <w:sz w:val="23"/>
        </w:rPr>
        <w:t>planned</w:t>
      </w:r>
      <w:r>
        <w:rPr>
          <w:spacing w:val="-3"/>
          <w:sz w:val="23"/>
        </w:rPr>
        <w:t> </w:t>
      </w:r>
      <w:r>
        <w:rPr>
          <w:sz w:val="23"/>
        </w:rPr>
        <w:t>with</w:t>
      </w:r>
      <w:r>
        <w:rPr>
          <w:spacing w:val="-5"/>
          <w:sz w:val="23"/>
        </w:rPr>
        <w:t> </w:t>
      </w:r>
      <w:r>
        <w:rPr>
          <w:sz w:val="23"/>
        </w:rPr>
        <w:t>their</w:t>
      </w:r>
      <w:r>
        <w:rPr>
          <w:spacing w:val="-5"/>
          <w:sz w:val="23"/>
        </w:rPr>
        <w:t> </w:t>
      </w:r>
      <w:r>
        <w:rPr>
          <w:sz w:val="23"/>
        </w:rPr>
        <w:t>associated</w:t>
      </w:r>
      <w:r>
        <w:rPr>
          <w:spacing w:val="-3"/>
          <w:sz w:val="23"/>
        </w:rPr>
        <w:t> </w:t>
      </w:r>
      <w:r>
        <w:rPr>
          <w:sz w:val="23"/>
        </w:rPr>
        <w:t>areas</w:t>
      </w:r>
      <w:r>
        <w:rPr>
          <w:spacing w:val="-3"/>
          <w:sz w:val="23"/>
        </w:rPr>
        <w:t> </w:t>
      </w:r>
      <w:r>
        <w:rPr>
          <w:sz w:val="23"/>
        </w:rPr>
        <w:t>having a distinctive way of life and for which are and have the potential to be areas</w:t>
      </w:r>
    </w:p>
    <w:p>
      <w:pPr>
        <w:tabs>
          <w:tab w:pos="8721" w:val="left" w:leader="none"/>
        </w:tabs>
        <w:spacing w:before="4"/>
        <w:ind w:left="1133" w:right="0" w:firstLine="0"/>
        <w:jc w:val="left"/>
        <w:rPr>
          <w:sz w:val="23"/>
        </w:rPr>
      </w:pPr>
      <w:r>
        <w:rPr>
          <w:sz w:val="23"/>
        </w:rPr>
        <w:t>of</w:t>
      </w:r>
      <w:r>
        <w:rPr>
          <w:spacing w:val="1"/>
          <w:sz w:val="23"/>
        </w:rPr>
        <w:t> </w:t>
      </w:r>
      <w:r>
        <w:rPr>
          <w:spacing w:val="-2"/>
          <w:sz w:val="23"/>
        </w:rPr>
        <w:t>recreation.</w:t>
      </w:r>
      <w:r>
        <w:rPr>
          <w:sz w:val="23"/>
        </w:rPr>
        <w:tab/>
      </w:r>
      <w:r>
        <w:rPr>
          <w:spacing w:val="-10"/>
          <w:sz w:val="23"/>
        </w:rPr>
        <w:t>J</w:t>
      </w:r>
    </w:p>
    <w:p>
      <w:pPr>
        <w:spacing w:after="0"/>
        <w:jc w:val="left"/>
        <w:rPr>
          <w:sz w:val="23"/>
        </w:rPr>
        <w:sectPr>
          <w:pgSz w:w="11910" w:h="16850"/>
          <w:pgMar w:header="1082" w:footer="945" w:top="1520" w:bottom="1140" w:left="360" w:right="360"/>
        </w:sectPr>
      </w:pPr>
    </w:p>
    <w:p>
      <w:pPr>
        <w:pStyle w:val="BodyText"/>
        <w:spacing w:before="6"/>
        <w:jc w:val="left"/>
        <w:rPr>
          <w:sz w:val="15"/>
        </w:rPr>
      </w:pPr>
    </w:p>
    <w:tbl>
      <w:tblPr>
        <w:tblW w:w="0" w:type="auto"/>
        <w:jc w:val="left"/>
        <w:tblInd w:w="1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2007"/>
        <w:gridCol w:w="5281"/>
      </w:tblGrid>
      <w:tr>
        <w:trPr>
          <w:trHeight w:val="568" w:hRule="atLeast"/>
        </w:trPr>
        <w:tc>
          <w:tcPr>
            <w:tcW w:w="8188" w:type="dxa"/>
            <w:gridSpan w:val="3"/>
            <w:shd w:val="clear" w:color="auto" w:fill="E7E6E6"/>
          </w:tcPr>
          <w:p>
            <w:pPr>
              <w:pStyle w:val="TableParagraph"/>
              <w:spacing w:before="97"/>
              <w:ind w:left="3"/>
              <w:jc w:val="center"/>
              <w:rPr>
                <w:b/>
                <w:sz w:val="32"/>
              </w:rPr>
            </w:pPr>
            <w:r>
              <w:rPr>
                <w:b/>
                <w:spacing w:val="-2"/>
                <w:sz w:val="32"/>
              </w:rPr>
              <w:t>ABBREVIATIONS</w:t>
            </w:r>
          </w:p>
        </w:tc>
      </w:tr>
      <w:tr>
        <w:trPr>
          <w:trHeight w:val="709" w:hRule="atLeast"/>
        </w:trPr>
        <w:tc>
          <w:tcPr>
            <w:tcW w:w="900" w:type="dxa"/>
            <w:shd w:val="clear" w:color="auto" w:fill="E7E6E6"/>
          </w:tcPr>
          <w:p>
            <w:pPr>
              <w:pStyle w:val="TableParagraph"/>
              <w:spacing w:before="94"/>
              <w:ind w:left="280" w:right="261" w:firstLine="9"/>
              <w:rPr>
                <w:b/>
                <w:sz w:val="22"/>
              </w:rPr>
            </w:pPr>
            <w:r>
              <w:rPr>
                <w:b/>
                <w:spacing w:val="-6"/>
                <w:sz w:val="22"/>
              </w:rPr>
              <w:t>SR </w:t>
            </w:r>
            <w:r>
              <w:rPr>
                <w:b/>
                <w:spacing w:val="-5"/>
                <w:sz w:val="22"/>
              </w:rPr>
              <w:t>NO</w:t>
            </w:r>
          </w:p>
        </w:tc>
        <w:tc>
          <w:tcPr>
            <w:tcW w:w="2007" w:type="dxa"/>
            <w:shd w:val="clear" w:color="auto" w:fill="E7E6E6"/>
          </w:tcPr>
          <w:p>
            <w:pPr>
              <w:pStyle w:val="TableParagraph"/>
              <w:spacing w:before="224"/>
              <w:ind w:left="12" w:right="2"/>
              <w:jc w:val="center"/>
              <w:rPr>
                <w:b/>
                <w:sz w:val="22"/>
              </w:rPr>
            </w:pPr>
            <w:r>
              <w:rPr>
                <w:b/>
                <w:spacing w:val="-2"/>
                <w:sz w:val="22"/>
              </w:rPr>
              <w:t>ABBREVIATION</w:t>
            </w:r>
          </w:p>
        </w:tc>
        <w:tc>
          <w:tcPr>
            <w:tcW w:w="5281" w:type="dxa"/>
            <w:shd w:val="clear" w:color="auto" w:fill="E7E6E6"/>
          </w:tcPr>
          <w:p>
            <w:pPr>
              <w:pStyle w:val="TableParagraph"/>
              <w:spacing w:before="224"/>
              <w:ind w:left="14" w:right="3"/>
              <w:jc w:val="center"/>
              <w:rPr>
                <w:b/>
                <w:sz w:val="22"/>
              </w:rPr>
            </w:pPr>
            <w:r>
              <w:rPr>
                <w:b/>
                <w:spacing w:val="-2"/>
                <w:sz w:val="22"/>
              </w:rPr>
              <w:t>DESCRIPTION</w:t>
            </w:r>
          </w:p>
        </w:tc>
      </w:tr>
      <w:tr>
        <w:trPr>
          <w:trHeight w:val="448" w:hRule="atLeast"/>
        </w:trPr>
        <w:tc>
          <w:tcPr>
            <w:tcW w:w="900" w:type="dxa"/>
          </w:tcPr>
          <w:p>
            <w:pPr>
              <w:pStyle w:val="TableParagraph"/>
              <w:spacing w:before="94"/>
              <w:ind w:left="10" w:right="1"/>
              <w:jc w:val="center"/>
              <w:rPr>
                <w:sz w:val="22"/>
              </w:rPr>
            </w:pPr>
            <w:r>
              <w:rPr>
                <w:spacing w:val="-10"/>
                <w:sz w:val="22"/>
              </w:rPr>
              <w:t>1</w:t>
            </w:r>
          </w:p>
        </w:tc>
        <w:tc>
          <w:tcPr>
            <w:tcW w:w="2007" w:type="dxa"/>
          </w:tcPr>
          <w:p>
            <w:pPr>
              <w:pStyle w:val="TableParagraph"/>
              <w:spacing w:before="94"/>
              <w:ind w:left="12" w:right="6"/>
              <w:jc w:val="center"/>
              <w:rPr>
                <w:sz w:val="22"/>
              </w:rPr>
            </w:pPr>
            <w:r>
              <w:rPr>
                <w:spacing w:val="-5"/>
                <w:sz w:val="22"/>
              </w:rPr>
              <w:t>AH</w:t>
            </w:r>
          </w:p>
        </w:tc>
        <w:tc>
          <w:tcPr>
            <w:tcW w:w="5281" w:type="dxa"/>
          </w:tcPr>
          <w:p>
            <w:pPr>
              <w:pStyle w:val="TableParagraph"/>
              <w:spacing w:before="94"/>
              <w:ind w:left="14" w:right="2"/>
              <w:jc w:val="center"/>
              <w:rPr>
                <w:sz w:val="22"/>
              </w:rPr>
            </w:pPr>
            <w:r>
              <w:rPr>
                <w:sz w:val="22"/>
              </w:rPr>
              <w:t>Affordable/Social</w:t>
            </w:r>
            <w:r>
              <w:rPr>
                <w:spacing w:val="-15"/>
                <w:sz w:val="22"/>
              </w:rPr>
              <w:t> </w:t>
            </w:r>
            <w:r>
              <w:rPr>
                <w:spacing w:val="-2"/>
                <w:sz w:val="22"/>
              </w:rPr>
              <w:t>Housing</w:t>
            </w:r>
          </w:p>
        </w:tc>
      </w:tr>
      <w:tr>
        <w:trPr>
          <w:trHeight w:val="450" w:hRule="atLeast"/>
        </w:trPr>
        <w:tc>
          <w:tcPr>
            <w:tcW w:w="900" w:type="dxa"/>
          </w:tcPr>
          <w:p>
            <w:pPr>
              <w:pStyle w:val="TableParagraph"/>
              <w:spacing w:before="94"/>
              <w:ind w:left="10" w:right="1"/>
              <w:jc w:val="center"/>
              <w:rPr>
                <w:sz w:val="22"/>
              </w:rPr>
            </w:pPr>
            <w:r>
              <w:rPr>
                <w:spacing w:val="-10"/>
                <w:sz w:val="22"/>
              </w:rPr>
              <w:t>2</w:t>
            </w:r>
          </w:p>
        </w:tc>
        <w:tc>
          <w:tcPr>
            <w:tcW w:w="2007" w:type="dxa"/>
          </w:tcPr>
          <w:p>
            <w:pPr>
              <w:pStyle w:val="TableParagraph"/>
              <w:spacing w:before="94"/>
              <w:ind w:left="12" w:right="3"/>
              <w:jc w:val="center"/>
              <w:rPr>
                <w:sz w:val="22"/>
              </w:rPr>
            </w:pPr>
            <w:r>
              <w:rPr>
                <w:spacing w:val="-5"/>
                <w:sz w:val="22"/>
              </w:rPr>
              <w:t>AS</w:t>
            </w:r>
          </w:p>
        </w:tc>
        <w:tc>
          <w:tcPr>
            <w:tcW w:w="5281" w:type="dxa"/>
          </w:tcPr>
          <w:p>
            <w:pPr>
              <w:pStyle w:val="TableParagraph"/>
              <w:spacing w:before="94"/>
              <w:ind w:left="14" w:right="4"/>
              <w:jc w:val="center"/>
              <w:rPr>
                <w:sz w:val="22"/>
              </w:rPr>
            </w:pPr>
            <w:r>
              <w:rPr>
                <w:sz w:val="22"/>
              </w:rPr>
              <w:t>Amenity</w:t>
            </w:r>
            <w:r>
              <w:rPr>
                <w:spacing w:val="65"/>
                <w:sz w:val="22"/>
              </w:rPr>
              <w:t> </w:t>
            </w:r>
            <w:r>
              <w:rPr>
                <w:spacing w:val="-2"/>
                <w:sz w:val="22"/>
              </w:rPr>
              <w:t>Space</w:t>
            </w:r>
          </w:p>
        </w:tc>
      </w:tr>
      <w:tr>
        <w:trPr>
          <w:trHeight w:val="450" w:hRule="atLeast"/>
        </w:trPr>
        <w:tc>
          <w:tcPr>
            <w:tcW w:w="900" w:type="dxa"/>
          </w:tcPr>
          <w:p>
            <w:pPr>
              <w:pStyle w:val="TableParagraph"/>
              <w:spacing w:before="94"/>
              <w:ind w:left="10" w:right="1"/>
              <w:jc w:val="center"/>
              <w:rPr>
                <w:sz w:val="22"/>
              </w:rPr>
            </w:pPr>
            <w:r>
              <w:rPr>
                <w:spacing w:val="-10"/>
                <w:sz w:val="22"/>
              </w:rPr>
              <w:t>3</w:t>
            </w:r>
          </w:p>
        </w:tc>
        <w:tc>
          <w:tcPr>
            <w:tcW w:w="2007" w:type="dxa"/>
          </w:tcPr>
          <w:p>
            <w:pPr>
              <w:pStyle w:val="TableParagraph"/>
              <w:spacing w:before="94"/>
              <w:ind w:left="12"/>
              <w:jc w:val="center"/>
              <w:rPr>
                <w:sz w:val="22"/>
              </w:rPr>
            </w:pPr>
            <w:r>
              <w:rPr>
                <w:spacing w:val="-5"/>
                <w:sz w:val="22"/>
              </w:rPr>
              <w:t>AR</w:t>
            </w:r>
          </w:p>
        </w:tc>
        <w:tc>
          <w:tcPr>
            <w:tcW w:w="5281" w:type="dxa"/>
          </w:tcPr>
          <w:p>
            <w:pPr>
              <w:pStyle w:val="TableParagraph"/>
              <w:spacing w:before="94"/>
              <w:ind w:left="14" w:right="3"/>
              <w:jc w:val="center"/>
              <w:rPr>
                <w:sz w:val="22"/>
              </w:rPr>
            </w:pPr>
            <w:r>
              <w:rPr>
                <w:sz w:val="22"/>
              </w:rPr>
              <w:t>Accommodation</w:t>
            </w:r>
            <w:r>
              <w:rPr>
                <w:spacing w:val="-14"/>
                <w:sz w:val="22"/>
              </w:rPr>
              <w:t> </w:t>
            </w:r>
            <w:r>
              <w:rPr>
                <w:spacing w:val="-2"/>
                <w:sz w:val="22"/>
              </w:rPr>
              <w:t>Reservation</w:t>
            </w:r>
          </w:p>
        </w:tc>
      </w:tr>
      <w:tr>
        <w:trPr>
          <w:trHeight w:val="707" w:hRule="atLeast"/>
        </w:trPr>
        <w:tc>
          <w:tcPr>
            <w:tcW w:w="900" w:type="dxa"/>
          </w:tcPr>
          <w:p>
            <w:pPr>
              <w:pStyle w:val="TableParagraph"/>
              <w:spacing w:before="94"/>
              <w:ind w:left="10" w:right="1"/>
              <w:jc w:val="center"/>
              <w:rPr>
                <w:sz w:val="22"/>
              </w:rPr>
            </w:pPr>
            <w:r>
              <w:rPr>
                <w:spacing w:val="-10"/>
                <w:sz w:val="22"/>
              </w:rPr>
              <w:t>4</w:t>
            </w:r>
          </w:p>
        </w:tc>
        <w:tc>
          <w:tcPr>
            <w:tcW w:w="2007" w:type="dxa"/>
          </w:tcPr>
          <w:p>
            <w:pPr>
              <w:pStyle w:val="TableParagraph"/>
              <w:spacing w:before="94"/>
              <w:ind w:left="12" w:right="3"/>
              <w:jc w:val="center"/>
              <w:rPr>
                <w:sz w:val="22"/>
              </w:rPr>
            </w:pPr>
            <w:r>
              <w:rPr>
                <w:spacing w:val="-5"/>
                <w:sz w:val="22"/>
              </w:rPr>
              <w:t>ASR</w:t>
            </w:r>
          </w:p>
        </w:tc>
        <w:tc>
          <w:tcPr>
            <w:tcW w:w="5281" w:type="dxa"/>
          </w:tcPr>
          <w:p>
            <w:pPr>
              <w:pStyle w:val="TableParagraph"/>
              <w:spacing w:before="94"/>
              <w:ind w:left="1166" w:hanging="831"/>
              <w:rPr>
                <w:sz w:val="22"/>
              </w:rPr>
            </w:pPr>
            <w:r>
              <w:rPr>
                <w:sz w:val="22"/>
              </w:rPr>
              <w:t>Annual</w:t>
            </w:r>
            <w:r>
              <w:rPr>
                <w:spacing w:val="-5"/>
                <w:sz w:val="22"/>
              </w:rPr>
              <w:t> </w:t>
            </w:r>
            <w:r>
              <w:rPr>
                <w:sz w:val="22"/>
              </w:rPr>
              <w:t>Schedule</w:t>
            </w:r>
            <w:r>
              <w:rPr>
                <w:spacing w:val="-3"/>
                <w:sz w:val="22"/>
              </w:rPr>
              <w:t> </w:t>
            </w:r>
            <w:r>
              <w:rPr>
                <w:sz w:val="22"/>
              </w:rPr>
              <w:t>of</w:t>
            </w:r>
            <w:r>
              <w:rPr>
                <w:spacing w:val="-6"/>
                <w:sz w:val="22"/>
              </w:rPr>
              <w:t> </w:t>
            </w:r>
            <w:r>
              <w:rPr>
                <w:sz w:val="22"/>
              </w:rPr>
              <w:t>Rates</w:t>
            </w:r>
            <w:r>
              <w:rPr>
                <w:spacing w:val="-4"/>
                <w:sz w:val="22"/>
              </w:rPr>
              <w:t> </w:t>
            </w:r>
            <w:r>
              <w:rPr>
                <w:sz w:val="22"/>
              </w:rPr>
              <w:t>for</w:t>
            </w:r>
            <w:r>
              <w:rPr>
                <w:spacing w:val="-6"/>
                <w:sz w:val="22"/>
              </w:rPr>
              <w:t> </w:t>
            </w:r>
            <w:r>
              <w:rPr>
                <w:sz w:val="22"/>
              </w:rPr>
              <w:t>FSI</w:t>
            </w:r>
            <w:r>
              <w:rPr>
                <w:spacing w:val="-6"/>
                <w:sz w:val="22"/>
              </w:rPr>
              <w:t> </w:t>
            </w:r>
            <w:r>
              <w:rPr>
                <w:sz w:val="22"/>
              </w:rPr>
              <w:t>1</w:t>
            </w:r>
            <w:r>
              <w:rPr>
                <w:spacing w:val="-5"/>
                <w:sz w:val="22"/>
              </w:rPr>
              <w:t> </w:t>
            </w:r>
            <w:r>
              <w:rPr>
                <w:sz w:val="22"/>
              </w:rPr>
              <w:t>(Stamp Duty Ready Reckoner Rate)</w:t>
            </w:r>
          </w:p>
        </w:tc>
      </w:tr>
      <w:tr>
        <w:trPr>
          <w:trHeight w:val="451" w:hRule="atLeast"/>
        </w:trPr>
        <w:tc>
          <w:tcPr>
            <w:tcW w:w="900" w:type="dxa"/>
          </w:tcPr>
          <w:p>
            <w:pPr>
              <w:pStyle w:val="TableParagraph"/>
              <w:spacing w:before="95"/>
              <w:ind w:left="10" w:right="1"/>
              <w:jc w:val="center"/>
              <w:rPr>
                <w:sz w:val="22"/>
              </w:rPr>
            </w:pPr>
            <w:r>
              <w:rPr>
                <w:spacing w:val="-10"/>
                <w:sz w:val="22"/>
              </w:rPr>
              <w:t>5</w:t>
            </w:r>
          </w:p>
        </w:tc>
        <w:tc>
          <w:tcPr>
            <w:tcW w:w="2007" w:type="dxa"/>
          </w:tcPr>
          <w:p>
            <w:pPr>
              <w:pStyle w:val="TableParagraph"/>
              <w:spacing w:before="95"/>
              <w:ind w:left="12" w:right="1"/>
              <w:jc w:val="center"/>
              <w:rPr>
                <w:sz w:val="22"/>
              </w:rPr>
            </w:pPr>
            <w:r>
              <w:rPr>
                <w:spacing w:val="-4"/>
                <w:sz w:val="22"/>
              </w:rPr>
              <w:t>BARC</w:t>
            </w:r>
          </w:p>
        </w:tc>
        <w:tc>
          <w:tcPr>
            <w:tcW w:w="5281" w:type="dxa"/>
          </w:tcPr>
          <w:p>
            <w:pPr>
              <w:pStyle w:val="TableParagraph"/>
              <w:spacing w:before="95"/>
              <w:ind w:left="14" w:right="5"/>
              <w:jc w:val="center"/>
              <w:rPr>
                <w:sz w:val="22"/>
              </w:rPr>
            </w:pPr>
            <w:r>
              <w:rPr>
                <w:sz w:val="22"/>
              </w:rPr>
              <w:t>Bhabha</w:t>
            </w:r>
            <w:r>
              <w:rPr>
                <w:spacing w:val="-9"/>
                <w:sz w:val="22"/>
              </w:rPr>
              <w:t> </w:t>
            </w:r>
            <w:r>
              <w:rPr>
                <w:sz w:val="22"/>
              </w:rPr>
              <w:t>Atomic</w:t>
            </w:r>
            <w:r>
              <w:rPr>
                <w:spacing w:val="-7"/>
                <w:sz w:val="22"/>
              </w:rPr>
              <w:t> </w:t>
            </w:r>
            <w:r>
              <w:rPr>
                <w:sz w:val="22"/>
              </w:rPr>
              <w:t>Research</w:t>
            </w:r>
            <w:r>
              <w:rPr>
                <w:spacing w:val="-6"/>
                <w:sz w:val="22"/>
              </w:rPr>
              <w:t> </w:t>
            </w:r>
            <w:r>
              <w:rPr>
                <w:spacing w:val="-2"/>
                <w:sz w:val="22"/>
              </w:rPr>
              <w:t>Centre</w:t>
            </w:r>
          </w:p>
        </w:tc>
      </w:tr>
      <w:tr>
        <w:trPr>
          <w:trHeight w:val="707" w:hRule="atLeast"/>
        </w:trPr>
        <w:tc>
          <w:tcPr>
            <w:tcW w:w="900" w:type="dxa"/>
          </w:tcPr>
          <w:p>
            <w:pPr>
              <w:pStyle w:val="TableParagraph"/>
              <w:spacing w:before="94"/>
              <w:ind w:left="10" w:right="1"/>
              <w:jc w:val="center"/>
              <w:rPr>
                <w:sz w:val="22"/>
              </w:rPr>
            </w:pPr>
            <w:r>
              <w:rPr>
                <w:spacing w:val="-10"/>
                <w:sz w:val="22"/>
              </w:rPr>
              <w:t>6</w:t>
            </w:r>
          </w:p>
        </w:tc>
        <w:tc>
          <w:tcPr>
            <w:tcW w:w="2007" w:type="dxa"/>
          </w:tcPr>
          <w:p>
            <w:pPr>
              <w:pStyle w:val="TableParagraph"/>
              <w:spacing w:before="94"/>
              <w:ind w:left="12" w:right="4"/>
              <w:jc w:val="center"/>
              <w:rPr>
                <w:sz w:val="22"/>
              </w:rPr>
            </w:pPr>
            <w:r>
              <w:rPr>
                <w:spacing w:val="-4"/>
                <w:sz w:val="22"/>
              </w:rPr>
              <w:t>BEST</w:t>
            </w:r>
          </w:p>
        </w:tc>
        <w:tc>
          <w:tcPr>
            <w:tcW w:w="5281" w:type="dxa"/>
          </w:tcPr>
          <w:p>
            <w:pPr>
              <w:pStyle w:val="TableParagraph"/>
              <w:spacing w:before="94"/>
              <w:ind w:left="1970" w:hanging="1808"/>
              <w:rPr>
                <w:sz w:val="22"/>
              </w:rPr>
            </w:pPr>
            <w:r>
              <w:rPr>
                <w:sz w:val="22"/>
              </w:rPr>
              <w:t>Brihanmumbai</w:t>
            </w:r>
            <w:r>
              <w:rPr>
                <w:spacing w:val="-11"/>
                <w:sz w:val="22"/>
              </w:rPr>
              <w:t> </w:t>
            </w:r>
            <w:r>
              <w:rPr>
                <w:sz w:val="22"/>
              </w:rPr>
              <w:t>Electric</w:t>
            </w:r>
            <w:r>
              <w:rPr>
                <w:spacing w:val="-11"/>
                <w:sz w:val="22"/>
              </w:rPr>
              <w:t> </w:t>
            </w:r>
            <w:r>
              <w:rPr>
                <w:sz w:val="22"/>
              </w:rPr>
              <w:t>Supply</w:t>
            </w:r>
            <w:r>
              <w:rPr>
                <w:spacing w:val="-11"/>
                <w:sz w:val="22"/>
              </w:rPr>
              <w:t> </w:t>
            </w:r>
            <w:r>
              <w:rPr>
                <w:sz w:val="22"/>
              </w:rPr>
              <w:t>and</w:t>
            </w:r>
            <w:r>
              <w:rPr>
                <w:spacing w:val="-11"/>
                <w:sz w:val="22"/>
              </w:rPr>
              <w:t> </w:t>
            </w:r>
            <w:r>
              <w:rPr>
                <w:sz w:val="22"/>
              </w:rPr>
              <w:t>Transport </w:t>
            </w:r>
            <w:r>
              <w:rPr>
                <w:spacing w:val="-2"/>
                <w:sz w:val="22"/>
              </w:rPr>
              <w:t>Undertaking</w:t>
            </w:r>
          </w:p>
        </w:tc>
      </w:tr>
      <w:tr>
        <w:trPr>
          <w:trHeight w:val="710" w:hRule="atLeast"/>
        </w:trPr>
        <w:tc>
          <w:tcPr>
            <w:tcW w:w="900" w:type="dxa"/>
          </w:tcPr>
          <w:p>
            <w:pPr>
              <w:pStyle w:val="TableParagraph"/>
              <w:spacing w:before="97"/>
              <w:ind w:left="10" w:right="1"/>
              <w:jc w:val="center"/>
              <w:rPr>
                <w:sz w:val="22"/>
              </w:rPr>
            </w:pPr>
            <w:r>
              <w:rPr>
                <w:spacing w:val="-10"/>
                <w:sz w:val="22"/>
              </w:rPr>
              <w:t>7</w:t>
            </w:r>
          </w:p>
        </w:tc>
        <w:tc>
          <w:tcPr>
            <w:tcW w:w="2007" w:type="dxa"/>
          </w:tcPr>
          <w:p>
            <w:pPr>
              <w:pStyle w:val="TableParagraph"/>
              <w:spacing w:before="97"/>
              <w:ind w:left="12" w:right="3"/>
              <w:jc w:val="center"/>
              <w:rPr>
                <w:sz w:val="22"/>
              </w:rPr>
            </w:pPr>
            <w:r>
              <w:rPr>
                <w:spacing w:val="-4"/>
                <w:sz w:val="22"/>
              </w:rPr>
              <w:t>BIFR</w:t>
            </w:r>
          </w:p>
        </w:tc>
        <w:tc>
          <w:tcPr>
            <w:tcW w:w="5281" w:type="dxa"/>
          </w:tcPr>
          <w:p>
            <w:pPr>
              <w:pStyle w:val="TableParagraph"/>
              <w:spacing w:before="97"/>
              <w:ind w:left="110" w:firstLine="350"/>
              <w:rPr>
                <w:sz w:val="22"/>
              </w:rPr>
            </w:pPr>
            <w:r>
              <w:rPr>
                <w:sz w:val="22"/>
              </w:rPr>
              <w:t>Board</w:t>
            </w:r>
            <w:r>
              <w:rPr>
                <w:spacing w:val="-9"/>
                <w:sz w:val="22"/>
              </w:rPr>
              <w:t> </w:t>
            </w:r>
            <w:r>
              <w:rPr>
                <w:sz w:val="22"/>
              </w:rPr>
              <w:t>for</w:t>
            </w:r>
            <w:r>
              <w:rPr>
                <w:spacing w:val="-10"/>
                <w:sz w:val="22"/>
              </w:rPr>
              <w:t> </w:t>
            </w:r>
            <w:r>
              <w:rPr>
                <w:sz w:val="22"/>
              </w:rPr>
              <w:t>Industrial</w:t>
            </w:r>
            <w:r>
              <w:rPr>
                <w:spacing w:val="-9"/>
                <w:sz w:val="22"/>
              </w:rPr>
              <w:t> </w:t>
            </w:r>
            <w:r>
              <w:rPr>
                <w:sz w:val="22"/>
              </w:rPr>
              <w:t>and</w:t>
            </w:r>
            <w:r>
              <w:rPr>
                <w:spacing w:val="-9"/>
                <w:sz w:val="22"/>
              </w:rPr>
              <w:t> </w:t>
            </w:r>
            <w:r>
              <w:rPr>
                <w:sz w:val="22"/>
              </w:rPr>
              <w:t>Financial </w:t>
            </w:r>
            <w:r>
              <w:rPr>
                <w:spacing w:val="-2"/>
                <w:sz w:val="22"/>
              </w:rPr>
              <w:t>Reconstruction</w:t>
            </w:r>
          </w:p>
        </w:tc>
      </w:tr>
      <w:tr>
        <w:trPr>
          <w:trHeight w:val="448" w:hRule="atLeast"/>
        </w:trPr>
        <w:tc>
          <w:tcPr>
            <w:tcW w:w="900" w:type="dxa"/>
          </w:tcPr>
          <w:p>
            <w:pPr>
              <w:pStyle w:val="TableParagraph"/>
              <w:spacing w:before="94"/>
              <w:ind w:left="10" w:right="1"/>
              <w:jc w:val="center"/>
              <w:rPr>
                <w:sz w:val="22"/>
              </w:rPr>
            </w:pPr>
            <w:r>
              <w:rPr>
                <w:spacing w:val="-10"/>
                <w:sz w:val="22"/>
              </w:rPr>
              <w:t>8</w:t>
            </w:r>
          </w:p>
        </w:tc>
        <w:tc>
          <w:tcPr>
            <w:tcW w:w="2007" w:type="dxa"/>
          </w:tcPr>
          <w:p>
            <w:pPr>
              <w:pStyle w:val="TableParagraph"/>
              <w:spacing w:before="94"/>
              <w:ind w:left="12" w:right="2"/>
              <w:jc w:val="center"/>
              <w:rPr>
                <w:sz w:val="22"/>
              </w:rPr>
            </w:pPr>
            <w:r>
              <w:rPr>
                <w:spacing w:val="-5"/>
                <w:sz w:val="22"/>
              </w:rPr>
              <w:t>BDD</w:t>
            </w:r>
          </w:p>
        </w:tc>
        <w:tc>
          <w:tcPr>
            <w:tcW w:w="5281" w:type="dxa"/>
          </w:tcPr>
          <w:p>
            <w:pPr>
              <w:pStyle w:val="TableParagraph"/>
              <w:spacing w:before="94"/>
              <w:ind w:left="14" w:right="6"/>
              <w:jc w:val="center"/>
              <w:rPr>
                <w:sz w:val="22"/>
              </w:rPr>
            </w:pPr>
            <w:r>
              <w:rPr>
                <w:sz w:val="22"/>
              </w:rPr>
              <w:t>Bombay</w:t>
            </w:r>
            <w:r>
              <w:rPr>
                <w:spacing w:val="-9"/>
                <w:sz w:val="22"/>
              </w:rPr>
              <w:t> </w:t>
            </w:r>
            <w:r>
              <w:rPr>
                <w:sz w:val="22"/>
              </w:rPr>
              <w:t>Development</w:t>
            </w:r>
            <w:r>
              <w:rPr>
                <w:spacing w:val="-8"/>
                <w:sz w:val="22"/>
              </w:rPr>
              <w:t> </w:t>
            </w:r>
            <w:r>
              <w:rPr>
                <w:spacing w:val="-2"/>
                <w:sz w:val="22"/>
              </w:rPr>
              <w:t>Division</w:t>
            </w:r>
          </w:p>
        </w:tc>
      </w:tr>
      <w:tr>
        <w:trPr>
          <w:trHeight w:val="450" w:hRule="atLeast"/>
        </w:trPr>
        <w:tc>
          <w:tcPr>
            <w:tcW w:w="900" w:type="dxa"/>
          </w:tcPr>
          <w:p>
            <w:pPr>
              <w:pStyle w:val="TableParagraph"/>
              <w:spacing w:before="97"/>
              <w:ind w:left="10" w:right="1"/>
              <w:jc w:val="center"/>
              <w:rPr>
                <w:sz w:val="22"/>
              </w:rPr>
            </w:pPr>
            <w:r>
              <w:rPr>
                <w:spacing w:val="-10"/>
                <w:sz w:val="22"/>
              </w:rPr>
              <w:t>9</w:t>
            </w:r>
          </w:p>
        </w:tc>
        <w:tc>
          <w:tcPr>
            <w:tcW w:w="2007" w:type="dxa"/>
          </w:tcPr>
          <w:p>
            <w:pPr>
              <w:pStyle w:val="TableParagraph"/>
              <w:spacing w:before="97"/>
              <w:ind w:left="12" w:right="3"/>
              <w:jc w:val="center"/>
              <w:rPr>
                <w:sz w:val="22"/>
              </w:rPr>
            </w:pPr>
            <w:r>
              <w:rPr>
                <w:spacing w:val="-5"/>
                <w:sz w:val="22"/>
              </w:rPr>
              <w:t>BUA</w:t>
            </w:r>
          </w:p>
        </w:tc>
        <w:tc>
          <w:tcPr>
            <w:tcW w:w="5281" w:type="dxa"/>
          </w:tcPr>
          <w:p>
            <w:pPr>
              <w:pStyle w:val="TableParagraph"/>
              <w:spacing w:before="97"/>
              <w:ind w:left="14" w:right="2"/>
              <w:jc w:val="center"/>
              <w:rPr>
                <w:sz w:val="22"/>
              </w:rPr>
            </w:pPr>
            <w:r>
              <w:rPr>
                <w:sz w:val="22"/>
              </w:rPr>
              <w:t>Built</w:t>
            </w:r>
            <w:r>
              <w:rPr>
                <w:spacing w:val="-3"/>
                <w:sz w:val="22"/>
              </w:rPr>
              <w:t> </w:t>
            </w:r>
            <w:r>
              <w:rPr>
                <w:sz w:val="22"/>
              </w:rPr>
              <w:t>Up</w:t>
            </w:r>
            <w:r>
              <w:rPr>
                <w:spacing w:val="-4"/>
                <w:sz w:val="22"/>
              </w:rPr>
              <w:t> Area</w:t>
            </w:r>
          </w:p>
        </w:tc>
      </w:tr>
      <w:tr>
        <w:trPr>
          <w:trHeight w:val="450" w:hRule="atLeast"/>
        </w:trPr>
        <w:tc>
          <w:tcPr>
            <w:tcW w:w="900" w:type="dxa"/>
          </w:tcPr>
          <w:p>
            <w:pPr>
              <w:pStyle w:val="TableParagraph"/>
              <w:spacing w:before="94"/>
              <w:ind w:left="311"/>
              <w:rPr>
                <w:sz w:val="22"/>
              </w:rPr>
            </w:pPr>
            <w:r>
              <w:rPr>
                <w:spacing w:val="-5"/>
                <w:sz w:val="22"/>
              </w:rPr>
              <w:t>10</w:t>
            </w:r>
          </w:p>
        </w:tc>
        <w:tc>
          <w:tcPr>
            <w:tcW w:w="2007" w:type="dxa"/>
          </w:tcPr>
          <w:p>
            <w:pPr>
              <w:pStyle w:val="TableParagraph"/>
              <w:spacing w:before="94"/>
              <w:ind w:left="12" w:right="4"/>
              <w:jc w:val="center"/>
              <w:rPr>
                <w:sz w:val="22"/>
              </w:rPr>
            </w:pPr>
            <w:r>
              <w:rPr>
                <w:spacing w:val="-5"/>
                <w:sz w:val="22"/>
              </w:rPr>
              <w:t>CC</w:t>
            </w:r>
          </w:p>
        </w:tc>
        <w:tc>
          <w:tcPr>
            <w:tcW w:w="5281" w:type="dxa"/>
          </w:tcPr>
          <w:p>
            <w:pPr>
              <w:pStyle w:val="TableParagraph"/>
              <w:spacing w:before="94"/>
              <w:ind w:left="14" w:right="8"/>
              <w:jc w:val="center"/>
              <w:rPr>
                <w:sz w:val="22"/>
              </w:rPr>
            </w:pPr>
            <w:r>
              <w:rPr>
                <w:sz w:val="22"/>
              </w:rPr>
              <w:t>Commencement</w:t>
            </w:r>
            <w:r>
              <w:rPr>
                <w:spacing w:val="-13"/>
                <w:sz w:val="22"/>
              </w:rPr>
              <w:t> </w:t>
            </w:r>
            <w:r>
              <w:rPr>
                <w:spacing w:val="-2"/>
                <w:sz w:val="22"/>
              </w:rPr>
              <w:t>Certificate</w:t>
            </w:r>
          </w:p>
        </w:tc>
      </w:tr>
      <w:tr>
        <w:trPr>
          <w:trHeight w:val="450" w:hRule="atLeast"/>
        </w:trPr>
        <w:tc>
          <w:tcPr>
            <w:tcW w:w="900" w:type="dxa"/>
          </w:tcPr>
          <w:p>
            <w:pPr>
              <w:pStyle w:val="TableParagraph"/>
              <w:spacing w:before="94"/>
              <w:ind w:left="311"/>
              <w:rPr>
                <w:sz w:val="22"/>
              </w:rPr>
            </w:pPr>
            <w:r>
              <w:rPr>
                <w:spacing w:val="-5"/>
                <w:sz w:val="22"/>
              </w:rPr>
              <w:t>11</w:t>
            </w:r>
          </w:p>
        </w:tc>
        <w:tc>
          <w:tcPr>
            <w:tcW w:w="2007" w:type="dxa"/>
          </w:tcPr>
          <w:p>
            <w:pPr>
              <w:pStyle w:val="TableParagraph"/>
              <w:spacing w:before="94"/>
              <w:ind w:left="12" w:right="5"/>
              <w:jc w:val="center"/>
              <w:rPr>
                <w:sz w:val="22"/>
              </w:rPr>
            </w:pPr>
            <w:r>
              <w:rPr>
                <w:spacing w:val="-5"/>
                <w:sz w:val="22"/>
              </w:rPr>
              <w:t>CBD</w:t>
            </w:r>
          </w:p>
        </w:tc>
        <w:tc>
          <w:tcPr>
            <w:tcW w:w="5281" w:type="dxa"/>
          </w:tcPr>
          <w:p>
            <w:pPr>
              <w:pStyle w:val="TableParagraph"/>
              <w:spacing w:before="94"/>
              <w:ind w:left="14" w:right="4"/>
              <w:jc w:val="center"/>
              <w:rPr>
                <w:sz w:val="22"/>
              </w:rPr>
            </w:pPr>
            <w:r>
              <w:rPr>
                <w:sz w:val="22"/>
              </w:rPr>
              <w:t>Central</w:t>
            </w:r>
            <w:r>
              <w:rPr>
                <w:spacing w:val="-7"/>
                <w:sz w:val="22"/>
              </w:rPr>
              <w:t> </w:t>
            </w:r>
            <w:r>
              <w:rPr>
                <w:sz w:val="22"/>
              </w:rPr>
              <w:t>Business</w:t>
            </w:r>
            <w:r>
              <w:rPr>
                <w:spacing w:val="-6"/>
                <w:sz w:val="22"/>
              </w:rPr>
              <w:t> </w:t>
            </w:r>
            <w:r>
              <w:rPr>
                <w:spacing w:val="-2"/>
                <w:sz w:val="22"/>
              </w:rPr>
              <w:t>District</w:t>
            </w:r>
          </w:p>
        </w:tc>
      </w:tr>
      <w:tr>
        <w:trPr>
          <w:trHeight w:val="451" w:hRule="atLeast"/>
        </w:trPr>
        <w:tc>
          <w:tcPr>
            <w:tcW w:w="900" w:type="dxa"/>
          </w:tcPr>
          <w:p>
            <w:pPr>
              <w:pStyle w:val="TableParagraph"/>
              <w:spacing w:before="95"/>
              <w:ind w:left="311"/>
              <w:rPr>
                <w:sz w:val="22"/>
              </w:rPr>
            </w:pPr>
            <w:r>
              <w:rPr>
                <w:spacing w:val="-5"/>
                <w:sz w:val="22"/>
              </w:rPr>
              <w:t>12</w:t>
            </w:r>
          </w:p>
        </w:tc>
        <w:tc>
          <w:tcPr>
            <w:tcW w:w="2007" w:type="dxa"/>
          </w:tcPr>
          <w:p>
            <w:pPr>
              <w:pStyle w:val="TableParagraph"/>
              <w:spacing w:before="95"/>
              <w:ind w:left="12" w:right="2"/>
              <w:jc w:val="center"/>
              <w:rPr>
                <w:sz w:val="22"/>
              </w:rPr>
            </w:pPr>
            <w:r>
              <w:rPr>
                <w:spacing w:val="-5"/>
                <w:sz w:val="22"/>
              </w:rPr>
              <w:t>CDS</w:t>
            </w:r>
          </w:p>
        </w:tc>
        <w:tc>
          <w:tcPr>
            <w:tcW w:w="5281" w:type="dxa"/>
          </w:tcPr>
          <w:p>
            <w:pPr>
              <w:pStyle w:val="TableParagraph"/>
              <w:spacing w:before="95"/>
              <w:ind w:left="14" w:right="6"/>
              <w:jc w:val="center"/>
              <w:rPr>
                <w:sz w:val="22"/>
              </w:rPr>
            </w:pPr>
            <w:r>
              <w:rPr>
                <w:sz w:val="22"/>
              </w:rPr>
              <w:t>Cluster</w:t>
            </w:r>
            <w:r>
              <w:rPr>
                <w:spacing w:val="-7"/>
                <w:sz w:val="22"/>
              </w:rPr>
              <w:t> </w:t>
            </w:r>
            <w:r>
              <w:rPr>
                <w:sz w:val="22"/>
              </w:rPr>
              <w:t>Development</w:t>
            </w:r>
            <w:r>
              <w:rPr>
                <w:spacing w:val="-7"/>
                <w:sz w:val="22"/>
              </w:rPr>
              <w:t> </w:t>
            </w:r>
            <w:r>
              <w:rPr>
                <w:spacing w:val="-2"/>
                <w:sz w:val="22"/>
              </w:rPr>
              <w:t>Scheme</w:t>
            </w:r>
          </w:p>
        </w:tc>
      </w:tr>
      <w:tr>
        <w:trPr>
          <w:trHeight w:val="448" w:hRule="atLeast"/>
        </w:trPr>
        <w:tc>
          <w:tcPr>
            <w:tcW w:w="900" w:type="dxa"/>
          </w:tcPr>
          <w:p>
            <w:pPr>
              <w:pStyle w:val="TableParagraph"/>
              <w:spacing w:before="94"/>
              <w:ind w:left="311"/>
              <w:rPr>
                <w:sz w:val="22"/>
              </w:rPr>
            </w:pPr>
            <w:r>
              <w:rPr>
                <w:spacing w:val="-5"/>
                <w:sz w:val="22"/>
              </w:rPr>
              <w:t>13</w:t>
            </w:r>
          </w:p>
        </w:tc>
        <w:tc>
          <w:tcPr>
            <w:tcW w:w="2007" w:type="dxa"/>
          </w:tcPr>
          <w:p>
            <w:pPr>
              <w:pStyle w:val="TableParagraph"/>
              <w:spacing w:before="94"/>
              <w:ind w:left="12" w:right="1"/>
              <w:jc w:val="center"/>
              <w:rPr>
                <w:sz w:val="22"/>
              </w:rPr>
            </w:pPr>
            <w:r>
              <w:rPr>
                <w:spacing w:val="-5"/>
                <w:sz w:val="22"/>
              </w:rPr>
              <w:t>CDP</w:t>
            </w:r>
          </w:p>
        </w:tc>
        <w:tc>
          <w:tcPr>
            <w:tcW w:w="5281" w:type="dxa"/>
          </w:tcPr>
          <w:p>
            <w:pPr>
              <w:pStyle w:val="TableParagraph"/>
              <w:spacing w:before="94"/>
              <w:ind w:left="14" w:right="6"/>
              <w:jc w:val="center"/>
              <w:rPr>
                <w:sz w:val="22"/>
              </w:rPr>
            </w:pPr>
            <w:r>
              <w:rPr>
                <w:sz w:val="22"/>
              </w:rPr>
              <w:t>Cluster</w:t>
            </w:r>
            <w:r>
              <w:rPr>
                <w:spacing w:val="-7"/>
                <w:sz w:val="22"/>
              </w:rPr>
              <w:t> </w:t>
            </w:r>
            <w:r>
              <w:rPr>
                <w:sz w:val="22"/>
              </w:rPr>
              <w:t>Development</w:t>
            </w:r>
            <w:r>
              <w:rPr>
                <w:spacing w:val="-7"/>
                <w:sz w:val="22"/>
              </w:rPr>
              <w:t> </w:t>
            </w:r>
            <w:r>
              <w:rPr>
                <w:spacing w:val="-4"/>
                <w:sz w:val="22"/>
              </w:rPr>
              <w:t>Plan</w:t>
            </w:r>
          </w:p>
        </w:tc>
      </w:tr>
      <w:tr>
        <w:trPr>
          <w:trHeight w:val="450" w:hRule="atLeast"/>
        </w:trPr>
        <w:tc>
          <w:tcPr>
            <w:tcW w:w="900" w:type="dxa"/>
          </w:tcPr>
          <w:p>
            <w:pPr>
              <w:pStyle w:val="TableParagraph"/>
              <w:spacing w:before="97"/>
              <w:ind w:left="311"/>
              <w:rPr>
                <w:sz w:val="22"/>
              </w:rPr>
            </w:pPr>
            <w:r>
              <w:rPr>
                <w:spacing w:val="-5"/>
                <w:sz w:val="22"/>
              </w:rPr>
              <w:t>14</w:t>
            </w:r>
          </w:p>
        </w:tc>
        <w:tc>
          <w:tcPr>
            <w:tcW w:w="2007" w:type="dxa"/>
          </w:tcPr>
          <w:p>
            <w:pPr>
              <w:pStyle w:val="TableParagraph"/>
              <w:spacing w:before="97"/>
              <w:ind w:left="12" w:right="5"/>
              <w:jc w:val="center"/>
              <w:rPr>
                <w:sz w:val="22"/>
              </w:rPr>
            </w:pPr>
            <w:r>
              <w:rPr>
                <w:spacing w:val="-5"/>
                <w:sz w:val="22"/>
              </w:rPr>
              <w:t>CD</w:t>
            </w:r>
          </w:p>
        </w:tc>
        <w:tc>
          <w:tcPr>
            <w:tcW w:w="5281" w:type="dxa"/>
          </w:tcPr>
          <w:p>
            <w:pPr>
              <w:pStyle w:val="TableParagraph"/>
              <w:spacing w:before="97"/>
              <w:ind w:left="14" w:right="3"/>
              <w:jc w:val="center"/>
              <w:rPr>
                <w:sz w:val="22"/>
              </w:rPr>
            </w:pPr>
            <w:r>
              <w:rPr>
                <w:sz w:val="22"/>
              </w:rPr>
              <w:t>Cluster</w:t>
            </w:r>
            <w:r>
              <w:rPr>
                <w:spacing w:val="-4"/>
                <w:sz w:val="22"/>
              </w:rPr>
              <w:t> </w:t>
            </w:r>
            <w:r>
              <w:rPr>
                <w:spacing w:val="-2"/>
                <w:sz w:val="22"/>
              </w:rPr>
              <w:t>Development</w:t>
            </w:r>
          </w:p>
        </w:tc>
      </w:tr>
      <w:tr>
        <w:trPr>
          <w:trHeight w:val="450" w:hRule="atLeast"/>
        </w:trPr>
        <w:tc>
          <w:tcPr>
            <w:tcW w:w="900" w:type="dxa"/>
          </w:tcPr>
          <w:p>
            <w:pPr>
              <w:pStyle w:val="TableParagraph"/>
              <w:spacing w:before="94"/>
              <w:ind w:left="311"/>
              <w:rPr>
                <w:sz w:val="22"/>
              </w:rPr>
            </w:pPr>
            <w:r>
              <w:rPr>
                <w:spacing w:val="-5"/>
                <w:sz w:val="22"/>
              </w:rPr>
              <w:t>15</w:t>
            </w:r>
          </w:p>
        </w:tc>
        <w:tc>
          <w:tcPr>
            <w:tcW w:w="2007" w:type="dxa"/>
          </w:tcPr>
          <w:p>
            <w:pPr>
              <w:pStyle w:val="TableParagraph"/>
              <w:spacing w:before="94"/>
              <w:ind w:left="12" w:right="5"/>
              <w:jc w:val="center"/>
              <w:rPr>
                <w:sz w:val="22"/>
              </w:rPr>
            </w:pPr>
            <w:r>
              <w:rPr>
                <w:spacing w:val="-5"/>
                <w:sz w:val="22"/>
              </w:rPr>
              <w:t>CEO</w:t>
            </w:r>
          </w:p>
        </w:tc>
        <w:tc>
          <w:tcPr>
            <w:tcW w:w="5281" w:type="dxa"/>
          </w:tcPr>
          <w:p>
            <w:pPr>
              <w:pStyle w:val="TableParagraph"/>
              <w:spacing w:before="94"/>
              <w:ind w:left="14" w:right="1"/>
              <w:jc w:val="center"/>
              <w:rPr>
                <w:sz w:val="22"/>
              </w:rPr>
            </w:pPr>
            <w:r>
              <w:rPr>
                <w:sz w:val="22"/>
              </w:rPr>
              <w:t>Chief</w:t>
            </w:r>
            <w:r>
              <w:rPr>
                <w:spacing w:val="-6"/>
                <w:sz w:val="22"/>
              </w:rPr>
              <w:t> </w:t>
            </w:r>
            <w:r>
              <w:rPr>
                <w:sz w:val="22"/>
              </w:rPr>
              <w:t>Executive</w:t>
            </w:r>
            <w:r>
              <w:rPr>
                <w:spacing w:val="-5"/>
                <w:sz w:val="22"/>
              </w:rPr>
              <w:t> </w:t>
            </w:r>
            <w:r>
              <w:rPr>
                <w:spacing w:val="-2"/>
                <w:sz w:val="22"/>
              </w:rPr>
              <w:t>Officer</w:t>
            </w:r>
          </w:p>
        </w:tc>
      </w:tr>
      <w:tr>
        <w:trPr>
          <w:trHeight w:val="450" w:hRule="atLeast"/>
        </w:trPr>
        <w:tc>
          <w:tcPr>
            <w:tcW w:w="900" w:type="dxa"/>
          </w:tcPr>
          <w:p>
            <w:pPr>
              <w:pStyle w:val="TableParagraph"/>
              <w:spacing w:before="94"/>
              <w:ind w:left="311"/>
              <w:rPr>
                <w:sz w:val="22"/>
              </w:rPr>
            </w:pPr>
            <w:r>
              <w:rPr>
                <w:spacing w:val="-5"/>
                <w:sz w:val="22"/>
              </w:rPr>
              <w:t>16</w:t>
            </w:r>
          </w:p>
        </w:tc>
        <w:tc>
          <w:tcPr>
            <w:tcW w:w="2007" w:type="dxa"/>
          </w:tcPr>
          <w:p>
            <w:pPr>
              <w:pStyle w:val="TableParagraph"/>
              <w:spacing w:before="94"/>
              <w:ind w:left="12" w:right="2"/>
              <w:jc w:val="center"/>
              <w:rPr>
                <w:sz w:val="22"/>
              </w:rPr>
            </w:pPr>
            <w:r>
              <w:rPr>
                <w:spacing w:val="-5"/>
                <w:sz w:val="22"/>
              </w:rPr>
              <w:t>CFO</w:t>
            </w:r>
          </w:p>
        </w:tc>
        <w:tc>
          <w:tcPr>
            <w:tcW w:w="5281" w:type="dxa"/>
          </w:tcPr>
          <w:p>
            <w:pPr>
              <w:pStyle w:val="TableParagraph"/>
              <w:spacing w:before="94"/>
              <w:ind w:left="14" w:right="4"/>
              <w:jc w:val="center"/>
              <w:rPr>
                <w:sz w:val="22"/>
              </w:rPr>
            </w:pPr>
            <w:r>
              <w:rPr>
                <w:sz w:val="22"/>
              </w:rPr>
              <w:t>Chief</w:t>
            </w:r>
            <w:r>
              <w:rPr>
                <w:spacing w:val="-5"/>
                <w:sz w:val="22"/>
              </w:rPr>
              <w:t> </w:t>
            </w:r>
            <w:r>
              <w:rPr>
                <w:sz w:val="22"/>
              </w:rPr>
              <w:t>Fire</w:t>
            </w:r>
            <w:r>
              <w:rPr>
                <w:spacing w:val="-2"/>
                <w:sz w:val="22"/>
              </w:rPr>
              <w:t> </w:t>
            </w:r>
            <w:r>
              <w:rPr>
                <w:sz w:val="22"/>
              </w:rPr>
              <w:t>Officer</w:t>
            </w:r>
            <w:r>
              <w:rPr>
                <w:spacing w:val="-7"/>
                <w:sz w:val="22"/>
              </w:rPr>
              <w:t> </w:t>
            </w:r>
            <w:r>
              <w:rPr>
                <w:sz w:val="22"/>
              </w:rPr>
              <w:t>of</w:t>
            </w:r>
            <w:r>
              <w:rPr>
                <w:spacing w:val="-4"/>
                <w:sz w:val="22"/>
              </w:rPr>
              <w:t> MCGM</w:t>
            </w:r>
          </w:p>
        </w:tc>
      </w:tr>
      <w:tr>
        <w:trPr>
          <w:trHeight w:val="448" w:hRule="atLeast"/>
        </w:trPr>
        <w:tc>
          <w:tcPr>
            <w:tcW w:w="900" w:type="dxa"/>
          </w:tcPr>
          <w:p>
            <w:pPr>
              <w:pStyle w:val="TableParagraph"/>
              <w:spacing w:before="94"/>
              <w:ind w:left="311"/>
              <w:rPr>
                <w:sz w:val="22"/>
              </w:rPr>
            </w:pPr>
            <w:r>
              <w:rPr>
                <w:spacing w:val="-5"/>
                <w:sz w:val="22"/>
              </w:rPr>
              <w:t>17</w:t>
            </w:r>
          </w:p>
        </w:tc>
        <w:tc>
          <w:tcPr>
            <w:tcW w:w="2007" w:type="dxa"/>
          </w:tcPr>
          <w:p>
            <w:pPr>
              <w:pStyle w:val="TableParagraph"/>
              <w:spacing w:before="94"/>
              <w:ind w:left="12" w:right="2"/>
              <w:jc w:val="center"/>
              <w:rPr>
                <w:sz w:val="22"/>
              </w:rPr>
            </w:pPr>
            <w:r>
              <w:rPr>
                <w:spacing w:val="-5"/>
                <w:sz w:val="22"/>
              </w:rPr>
              <w:t>CRS</w:t>
            </w:r>
          </w:p>
        </w:tc>
        <w:tc>
          <w:tcPr>
            <w:tcW w:w="5281" w:type="dxa"/>
          </w:tcPr>
          <w:p>
            <w:pPr>
              <w:pStyle w:val="TableParagraph"/>
              <w:spacing w:before="94"/>
              <w:ind w:left="14" w:right="7"/>
              <w:jc w:val="center"/>
              <w:rPr>
                <w:sz w:val="22"/>
              </w:rPr>
            </w:pPr>
            <w:r>
              <w:rPr>
                <w:sz w:val="22"/>
              </w:rPr>
              <w:t>Cluster</w:t>
            </w:r>
            <w:r>
              <w:rPr>
                <w:spacing w:val="-4"/>
                <w:sz w:val="22"/>
              </w:rPr>
              <w:t> </w:t>
            </w:r>
            <w:r>
              <w:rPr>
                <w:sz w:val="22"/>
              </w:rPr>
              <w:t>Renewal</w:t>
            </w:r>
            <w:r>
              <w:rPr>
                <w:spacing w:val="-4"/>
                <w:sz w:val="22"/>
              </w:rPr>
              <w:t> </w:t>
            </w:r>
            <w:r>
              <w:rPr>
                <w:spacing w:val="-2"/>
                <w:sz w:val="22"/>
              </w:rPr>
              <w:t>scheme</w:t>
            </w:r>
          </w:p>
        </w:tc>
      </w:tr>
      <w:tr>
        <w:trPr>
          <w:trHeight w:val="450" w:hRule="atLeast"/>
        </w:trPr>
        <w:tc>
          <w:tcPr>
            <w:tcW w:w="900" w:type="dxa"/>
          </w:tcPr>
          <w:p>
            <w:pPr>
              <w:pStyle w:val="TableParagraph"/>
              <w:spacing w:before="97"/>
              <w:ind w:left="311"/>
              <w:rPr>
                <w:sz w:val="22"/>
              </w:rPr>
            </w:pPr>
            <w:r>
              <w:rPr>
                <w:spacing w:val="-5"/>
                <w:sz w:val="22"/>
              </w:rPr>
              <w:t>18</w:t>
            </w:r>
          </w:p>
        </w:tc>
        <w:tc>
          <w:tcPr>
            <w:tcW w:w="2007" w:type="dxa"/>
          </w:tcPr>
          <w:p>
            <w:pPr>
              <w:pStyle w:val="TableParagraph"/>
              <w:spacing w:before="97"/>
              <w:ind w:left="12" w:right="6"/>
              <w:jc w:val="center"/>
              <w:rPr>
                <w:sz w:val="22"/>
              </w:rPr>
            </w:pPr>
            <w:r>
              <w:rPr>
                <w:spacing w:val="-5"/>
                <w:sz w:val="22"/>
              </w:rPr>
              <w:t>CRZ</w:t>
            </w:r>
          </w:p>
        </w:tc>
        <w:tc>
          <w:tcPr>
            <w:tcW w:w="5281" w:type="dxa"/>
          </w:tcPr>
          <w:p>
            <w:pPr>
              <w:pStyle w:val="TableParagraph"/>
              <w:spacing w:before="97"/>
              <w:ind w:left="14" w:right="9"/>
              <w:jc w:val="center"/>
              <w:rPr>
                <w:sz w:val="22"/>
              </w:rPr>
            </w:pPr>
            <w:r>
              <w:rPr>
                <w:sz w:val="22"/>
              </w:rPr>
              <w:t>Costal</w:t>
            </w:r>
            <w:r>
              <w:rPr>
                <w:spacing w:val="-9"/>
                <w:sz w:val="22"/>
              </w:rPr>
              <w:t> </w:t>
            </w:r>
            <w:r>
              <w:rPr>
                <w:sz w:val="22"/>
              </w:rPr>
              <w:t>Regulation</w:t>
            </w:r>
            <w:r>
              <w:rPr>
                <w:spacing w:val="-8"/>
                <w:sz w:val="22"/>
              </w:rPr>
              <w:t> </w:t>
            </w:r>
            <w:r>
              <w:rPr>
                <w:spacing w:val="-4"/>
                <w:sz w:val="22"/>
              </w:rPr>
              <w:t>Zone</w:t>
            </w:r>
          </w:p>
        </w:tc>
      </w:tr>
      <w:tr>
        <w:trPr>
          <w:trHeight w:val="451" w:hRule="atLeast"/>
        </w:trPr>
        <w:tc>
          <w:tcPr>
            <w:tcW w:w="900" w:type="dxa"/>
          </w:tcPr>
          <w:p>
            <w:pPr>
              <w:pStyle w:val="TableParagraph"/>
              <w:spacing w:before="94"/>
              <w:ind w:left="311"/>
              <w:rPr>
                <w:sz w:val="22"/>
              </w:rPr>
            </w:pPr>
            <w:r>
              <w:rPr>
                <w:spacing w:val="-5"/>
                <w:sz w:val="22"/>
              </w:rPr>
              <w:t>19</w:t>
            </w:r>
          </w:p>
        </w:tc>
        <w:tc>
          <w:tcPr>
            <w:tcW w:w="2007" w:type="dxa"/>
          </w:tcPr>
          <w:p>
            <w:pPr>
              <w:pStyle w:val="TableParagraph"/>
              <w:spacing w:before="94"/>
              <w:ind w:left="12"/>
              <w:jc w:val="center"/>
              <w:rPr>
                <w:sz w:val="22"/>
              </w:rPr>
            </w:pPr>
            <w:r>
              <w:rPr>
                <w:sz w:val="22"/>
              </w:rPr>
              <w:t>CS</w:t>
            </w:r>
            <w:r>
              <w:rPr>
                <w:spacing w:val="-1"/>
                <w:sz w:val="22"/>
              </w:rPr>
              <w:t> </w:t>
            </w:r>
            <w:r>
              <w:rPr>
                <w:spacing w:val="-5"/>
                <w:sz w:val="22"/>
              </w:rPr>
              <w:t>No.</w:t>
            </w:r>
          </w:p>
        </w:tc>
        <w:tc>
          <w:tcPr>
            <w:tcW w:w="5281" w:type="dxa"/>
          </w:tcPr>
          <w:p>
            <w:pPr>
              <w:pStyle w:val="TableParagraph"/>
              <w:spacing w:before="94"/>
              <w:ind w:left="14" w:right="2"/>
              <w:jc w:val="center"/>
              <w:rPr>
                <w:sz w:val="22"/>
              </w:rPr>
            </w:pPr>
            <w:r>
              <w:rPr>
                <w:sz w:val="22"/>
              </w:rPr>
              <w:t>Cadastral</w:t>
            </w:r>
            <w:r>
              <w:rPr>
                <w:spacing w:val="-7"/>
                <w:sz w:val="22"/>
              </w:rPr>
              <w:t> </w:t>
            </w:r>
            <w:r>
              <w:rPr>
                <w:sz w:val="22"/>
              </w:rPr>
              <w:t>Survey</w:t>
            </w:r>
            <w:r>
              <w:rPr>
                <w:spacing w:val="-5"/>
                <w:sz w:val="22"/>
              </w:rPr>
              <w:t> </w:t>
            </w:r>
            <w:r>
              <w:rPr>
                <w:spacing w:val="-2"/>
                <w:sz w:val="22"/>
              </w:rPr>
              <w:t>Number</w:t>
            </w:r>
          </w:p>
        </w:tc>
      </w:tr>
      <w:tr>
        <w:trPr>
          <w:trHeight w:val="450" w:hRule="atLeast"/>
        </w:trPr>
        <w:tc>
          <w:tcPr>
            <w:tcW w:w="900" w:type="dxa"/>
          </w:tcPr>
          <w:p>
            <w:pPr>
              <w:pStyle w:val="TableParagraph"/>
              <w:spacing w:before="94"/>
              <w:ind w:left="311"/>
              <w:rPr>
                <w:sz w:val="22"/>
              </w:rPr>
            </w:pPr>
            <w:r>
              <w:rPr>
                <w:spacing w:val="-5"/>
                <w:sz w:val="22"/>
              </w:rPr>
              <w:t>20</w:t>
            </w:r>
          </w:p>
        </w:tc>
        <w:tc>
          <w:tcPr>
            <w:tcW w:w="2007" w:type="dxa"/>
          </w:tcPr>
          <w:p>
            <w:pPr>
              <w:pStyle w:val="TableParagraph"/>
              <w:spacing w:before="94"/>
              <w:ind w:left="12" w:right="5"/>
              <w:jc w:val="center"/>
              <w:rPr>
                <w:sz w:val="22"/>
              </w:rPr>
            </w:pPr>
            <w:r>
              <w:rPr>
                <w:spacing w:val="-5"/>
                <w:sz w:val="22"/>
              </w:rPr>
              <w:t>CSS</w:t>
            </w:r>
          </w:p>
        </w:tc>
        <w:tc>
          <w:tcPr>
            <w:tcW w:w="5281" w:type="dxa"/>
          </w:tcPr>
          <w:p>
            <w:pPr>
              <w:pStyle w:val="TableParagraph"/>
              <w:spacing w:before="94"/>
              <w:ind w:left="14" w:right="3"/>
              <w:jc w:val="center"/>
              <w:rPr>
                <w:sz w:val="22"/>
              </w:rPr>
            </w:pPr>
            <w:r>
              <w:rPr>
                <w:sz w:val="22"/>
              </w:rPr>
              <w:t>Consumer</w:t>
            </w:r>
            <w:r>
              <w:rPr>
                <w:spacing w:val="-7"/>
                <w:sz w:val="22"/>
              </w:rPr>
              <w:t> </w:t>
            </w:r>
            <w:r>
              <w:rPr>
                <w:spacing w:val="-2"/>
                <w:sz w:val="22"/>
              </w:rPr>
              <w:t>Substation</w:t>
            </w:r>
          </w:p>
        </w:tc>
      </w:tr>
      <w:tr>
        <w:trPr>
          <w:trHeight w:val="448" w:hRule="atLeast"/>
        </w:trPr>
        <w:tc>
          <w:tcPr>
            <w:tcW w:w="900" w:type="dxa"/>
          </w:tcPr>
          <w:p>
            <w:pPr>
              <w:pStyle w:val="TableParagraph"/>
              <w:spacing w:before="94"/>
              <w:ind w:left="311"/>
              <w:rPr>
                <w:sz w:val="22"/>
              </w:rPr>
            </w:pPr>
            <w:r>
              <w:rPr>
                <w:spacing w:val="-5"/>
                <w:sz w:val="22"/>
              </w:rPr>
              <w:t>21</w:t>
            </w:r>
          </w:p>
        </w:tc>
        <w:tc>
          <w:tcPr>
            <w:tcW w:w="2007" w:type="dxa"/>
          </w:tcPr>
          <w:p>
            <w:pPr>
              <w:pStyle w:val="TableParagraph"/>
              <w:spacing w:before="94"/>
              <w:ind w:left="12" w:right="6"/>
              <w:jc w:val="center"/>
              <w:rPr>
                <w:sz w:val="22"/>
              </w:rPr>
            </w:pPr>
            <w:r>
              <w:rPr>
                <w:sz w:val="22"/>
              </w:rPr>
              <w:t>CTS</w:t>
            </w:r>
            <w:r>
              <w:rPr>
                <w:spacing w:val="-5"/>
                <w:sz w:val="22"/>
              </w:rPr>
              <w:t> No.</w:t>
            </w:r>
          </w:p>
        </w:tc>
        <w:tc>
          <w:tcPr>
            <w:tcW w:w="5281" w:type="dxa"/>
          </w:tcPr>
          <w:p>
            <w:pPr>
              <w:pStyle w:val="TableParagraph"/>
              <w:spacing w:before="94"/>
              <w:ind w:left="14" w:right="2"/>
              <w:jc w:val="center"/>
              <w:rPr>
                <w:sz w:val="22"/>
              </w:rPr>
            </w:pPr>
            <w:r>
              <w:rPr>
                <w:sz w:val="22"/>
              </w:rPr>
              <w:t>Cadastral</w:t>
            </w:r>
            <w:r>
              <w:rPr>
                <w:spacing w:val="-8"/>
                <w:sz w:val="22"/>
              </w:rPr>
              <w:t> </w:t>
            </w:r>
            <w:r>
              <w:rPr>
                <w:sz w:val="22"/>
              </w:rPr>
              <w:t>Traverse</w:t>
            </w:r>
            <w:r>
              <w:rPr>
                <w:spacing w:val="-7"/>
                <w:sz w:val="22"/>
              </w:rPr>
              <w:t> </w:t>
            </w:r>
            <w:r>
              <w:rPr>
                <w:sz w:val="22"/>
              </w:rPr>
              <w:t>Survey</w:t>
            </w:r>
            <w:r>
              <w:rPr>
                <w:spacing w:val="-7"/>
                <w:sz w:val="22"/>
              </w:rPr>
              <w:t> </w:t>
            </w:r>
            <w:r>
              <w:rPr>
                <w:spacing w:val="-2"/>
                <w:sz w:val="22"/>
              </w:rPr>
              <w:t>Number</w:t>
            </w:r>
          </w:p>
        </w:tc>
      </w:tr>
      <w:tr>
        <w:trPr>
          <w:trHeight w:val="450" w:hRule="atLeast"/>
        </w:trPr>
        <w:tc>
          <w:tcPr>
            <w:tcW w:w="900" w:type="dxa"/>
          </w:tcPr>
          <w:p>
            <w:pPr>
              <w:pStyle w:val="TableParagraph"/>
              <w:spacing w:before="97"/>
              <w:ind w:left="311"/>
              <w:rPr>
                <w:sz w:val="22"/>
              </w:rPr>
            </w:pPr>
            <w:r>
              <w:rPr>
                <w:spacing w:val="-5"/>
                <w:sz w:val="22"/>
              </w:rPr>
              <w:t>22</w:t>
            </w:r>
          </w:p>
        </w:tc>
        <w:tc>
          <w:tcPr>
            <w:tcW w:w="2007" w:type="dxa"/>
          </w:tcPr>
          <w:p>
            <w:pPr>
              <w:pStyle w:val="TableParagraph"/>
              <w:spacing w:before="97"/>
              <w:ind w:left="12" w:right="7"/>
              <w:jc w:val="center"/>
              <w:rPr>
                <w:sz w:val="22"/>
              </w:rPr>
            </w:pPr>
            <w:r>
              <w:rPr>
                <w:spacing w:val="-4"/>
                <w:sz w:val="22"/>
              </w:rPr>
              <w:t>CTSO</w:t>
            </w:r>
          </w:p>
        </w:tc>
        <w:tc>
          <w:tcPr>
            <w:tcW w:w="5281" w:type="dxa"/>
          </w:tcPr>
          <w:p>
            <w:pPr>
              <w:pStyle w:val="TableParagraph"/>
              <w:spacing w:before="97"/>
              <w:ind w:left="14" w:right="1"/>
              <w:jc w:val="center"/>
              <w:rPr>
                <w:sz w:val="22"/>
              </w:rPr>
            </w:pPr>
            <w:r>
              <w:rPr>
                <w:sz w:val="22"/>
              </w:rPr>
              <w:t>City</w:t>
            </w:r>
            <w:r>
              <w:rPr>
                <w:spacing w:val="-5"/>
                <w:sz w:val="22"/>
              </w:rPr>
              <w:t> </w:t>
            </w:r>
            <w:r>
              <w:rPr>
                <w:sz w:val="22"/>
              </w:rPr>
              <w:t>Survey</w:t>
            </w:r>
            <w:r>
              <w:rPr>
                <w:spacing w:val="-2"/>
                <w:sz w:val="22"/>
              </w:rPr>
              <w:t> Officer</w:t>
            </w:r>
          </w:p>
        </w:tc>
      </w:tr>
      <w:tr>
        <w:trPr>
          <w:trHeight w:val="450" w:hRule="atLeast"/>
        </w:trPr>
        <w:tc>
          <w:tcPr>
            <w:tcW w:w="900" w:type="dxa"/>
          </w:tcPr>
          <w:p>
            <w:pPr>
              <w:pStyle w:val="TableParagraph"/>
              <w:spacing w:before="94"/>
              <w:ind w:left="311"/>
              <w:rPr>
                <w:sz w:val="22"/>
              </w:rPr>
            </w:pPr>
            <w:r>
              <w:rPr>
                <w:spacing w:val="-5"/>
                <w:sz w:val="22"/>
              </w:rPr>
              <w:t>23</w:t>
            </w:r>
          </w:p>
        </w:tc>
        <w:tc>
          <w:tcPr>
            <w:tcW w:w="2007" w:type="dxa"/>
          </w:tcPr>
          <w:p>
            <w:pPr>
              <w:pStyle w:val="TableParagraph"/>
              <w:spacing w:before="94"/>
              <w:ind w:left="12" w:right="3"/>
              <w:jc w:val="center"/>
              <w:rPr>
                <w:sz w:val="22"/>
              </w:rPr>
            </w:pPr>
            <w:r>
              <w:rPr>
                <w:spacing w:val="-5"/>
                <w:sz w:val="22"/>
              </w:rPr>
              <w:t>DCR</w:t>
            </w:r>
          </w:p>
        </w:tc>
        <w:tc>
          <w:tcPr>
            <w:tcW w:w="5281" w:type="dxa"/>
          </w:tcPr>
          <w:p>
            <w:pPr>
              <w:pStyle w:val="TableParagraph"/>
              <w:spacing w:before="94"/>
              <w:ind w:left="14" w:right="4"/>
              <w:jc w:val="center"/>
              <w:rPr>
                <w:sz w:val="22"/>
              </w:rPr>
            </w:pPr>
            <w:r>
              <w:rPr>
                <w:sz w:val="22"/>
              </w:rPr>
              <w:t>Development</w:t>
            </w:r>
            <w:r>
              <w:rPr>
                <w:spacing w:val="-10"/>
                <w:sz w:val="22"/>
              </w:rPr>
              <w:t> </w:t>
            </w:r>
            <w:r>
              <w:rPr>
                <w:sz w:val="22"/>
              </w:rPr>
              <w:t>Control</w:t>
            </w:r>
            <w:r>
              <w:rPr>
                <w:spacing w:val="-10"/>
                <w:sz w:val="22"/>
              </w:rPr>
              <w:t> </w:t>
            </w:r>
            <w:r>
              <w:rPr>
                <w:spacing w:val="-2"/>
                <w:sz w:val="22"/>
              </w:rPr>
              <w:t>Regulation</w:t>
            </w:r>
          </w:p>
        </w:tc>
      </w:tr>
      <w:tr>
        <w:trPr>
          <w:trHeight w:val="450" w:hRule="atLeast"/>
        </w:trPr>
        <w:tc>
          <w:tcPr>
            <w:tcW w:w="900" w:type="dxa"/>
          </w:tcPr>
          <w:p>
            <w:pPr>
              <w:pStyle w:val="TableParagraph"/>
              <w:spacing w:before="94"/>
              <w:ind w:left="450"/>
              <w:rPr>
                <w:sz w:val="22"/>
              </w:rPr>
            </w:pPr>
            <w:r>
              <w:rPr>
                <w:spacing w:val="-5"/>
                <w:sz w:val="22"/>
              </w:rPr>
              <w:t>24</w:t>
            </w:r>
          </w:p>
        </w:tc>
        <w:tc>
          <w:tcPr>
            <w:tcW w:w="2007" w:type="dxa"/>
          </w:tcPr>
          <w:p>
            <w:pPr>
              <w:pStyle w:val="TableParagraph"/>
              <w:spacing w:before="94"/>
              <w:ind w:left="12" w:right="1"/>
              <w:jc w:val="center"/>
              <w:rPr>
                <w:sz w:val="22"/>
              </w:rPr>
            </w:pPr>
            <w:r>
              <w:rPr>
                <w:spacing w:val="-4"/>
                <w:sz w:val="22"/>
              </w:rPr>
              <w:t>DCPR</w:t>
            </w:r>
          </w:p>
        </w:tc>
        <w:tc>
          <w:tcPr>
            <w:tcW w:w="5281" w:type="dxa"/>
          </w:tcPr>
          <w:p>
            <w:pPr>
              <w:pStyle w:val="TableParagraph"/>
              <w:spacing w:before="94"/>
              <w:ind w:left="14" w:right="3"/>
              <w:jc w:val="center"/>
              <w:rPr>
                <w:sz w:val="22"/>
              </w:rPr>
            </w:pPr>
            <w:r>
              <w:rPr>
                <w:sz w:val="22"/>
              </w:rPr>
              <w:t>Development</w:t>
            </w:r>
            <w:r>
              <w:rPr>
                <w:spacing w:val="-10"/>
                <w:sz w:val="22"/>
              </w:rPr>
              <w:t> </w:t>
            </w:r>
            <w:r>
              <w:rPr>
                <w:sz w:val="22"/>
              </w:rPr>
              <w:t>Control</w:t>
            </w:r>
            <w:r>
              <w:rPr>
                <w:spacing w:val="-9"/>
                <w:sz w:val="22"/>
              </w:rPr>
              <w:t> </w:t>
            </w:r>
            <w:r>
              <w:rPr>
                <w:sz w:val="22"/>
              </w:rPr>
              <w:t>Promotion</w:t>
            </w:r>
            <w:r>
              <w:rPr>
                <w:spacing w:val="-9"/>
                <w:sz w:val="22"/>
              </w:rPr>
              <w:t> </w:t>
            </w:r>
            <w:r>
              <w:rPr>
                <w:spacing w:val="-2"/>
                <w:sz w:val="22"/>
              </w:rPr>
              <w:t>Regulation</w:t>
            </w:r>
          </w:p>
        </w:tc>
      </w:tr>
    </w:tbl>
    <w:p>
      <w:pPr>
        <w:pStyle w:val="TableParagraph"/>
        <w:spacing w:after="0"/>
        <w:jc w:val="center"/>
        <w:rPr>
          <w:sz w:val="22"/>
        </w:rPr>
        <w:sectPr>
          <w:headerReference w:type="default" r:id="rId108"/>
          <w:footerReference w:type="default" r:id="rId109"/>
          <w:pgSz w:w="11910" w:h="16840"/>
          <w:pgMar w:header="1132" w:footer="1321" w:top="1560" w:bottom="1520" w:left="360" w:right="360"/>
          <w:pgNumType w:start="505"/>
        </w:sectPr>
      </w:pPr>
    </w:p>
    <w:p>
      <w:pPr>
        <w:pStyle w:val="BodyText"/>
        <w:spacing w:before="6"/>
        <w:jc w:val="left"/>
        <w:rPr>
          <w:sz w:val="15"/>
        </w:rPr>
      </w:pPr>
    </w:p>
    <w:tbl>
      <w:tblPr>
        <w:tblW w:w="0" w:type="auto"/>
        <w:jc w:val="left"/>
        <w:tblInd w:w="1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2007"/>
        <w:gridCol w:w="5281"/>
      </w:tblGrid>
      <w:tr>
        <w:trPr>
          <w:trHeight w:val="568" w:hRule="atLeast"/>
        </w:trPr>
        <w:tc>
          <w:tcPr>
            <w:tcW w:w="8188" w:type="dxa"/>
            <w:gridSpan w:val="3"/>
            <w:shd w:val="clear" w:color="auto" w:fill="E7E6E6"/>
          </w:tcPr>
          <w:p>
            <w:pPr>
              <w:pStyle w:val="TableParagraph"/>
              <w:spacing w:before="97"/>
              <w:ind w:left="3"/>
              <w:jc w:val="center"/>
              <w:rPr>
                <w:b/>
                <w:sz w:val="32"/>
              </w:rPr>
            </w:pPr>
            <w:r>
              <w:rPr>
                <w:b/>
                <w:spacing w:val="-2"/>
                <w:sz w:val="32"/>
              </w:rPr>
              <w:t>ABBREVIATIONS</w:t>
            </w:r>
          </w:p>
        </w:tc>
      </w:tr>
      <w:tr>
        <w:trPr>
          <w:trHeight w:val="709" w:hRule="atLeast"/>
        </w:trPr>
        <w:tc>
          <w:tcPr>
            <w:tcW w:w="900" w:type="dxa"/>
            <w:shd w:val="clear" w:color="auto" w:fill="E7E6E6"/>
          </w:tcPr>
          <w:p>
            <w:pPr>
              <w:pStyle w:val="TableParagraph"/>
              <w:spacing w:before="94"/>
              <w:ind w:left="280" w:right="261" w:firstLine="9"/>
              <w:rPr>
                <w:b/>
                <w:sz w:val="22"/>
              </w:rPr>
            </w:pPr>
            <w:r>
              <w:rPr>
                <w:b/>
                <w:spacing w:val="-6"/>
                <w:sz w:val="22"/>
              </w:rPr>
              <w:t>SR </w:t>
            </w:r>
            <w:r>
              <w:rPr>
                <w:b/>
                <w:spacing w:val="-5"/>
                <w:sz w:val="22"/>
              </w:rPr>
              <w:t>NO</w:t>
            </w:r>
          </w:p>
        </w:tc>
        <w:tc>
          <w:tcPr>
            <w:tcW w:w="2007" w:type="dxa"/>
            <w:shd w:val="clear" w:color="auto" w:fill="E7E6E6"/>
          </w:tcPr>
          <w:p>
            <w:pPr>
              <w:pStyle w:val="TableParagraph"/>
              <w:spacing w:before="224"/>
              <w:ind w:left="12" w:right="2"/>
              <w:jc w:val="center"/>
              <w:rPr>
                <w:b/>
                <w:sz w:val="22"/>
              </w:rPr>
            </w:pPr>
            <w:r>
              <w:rPr>
                <w:b/>
                <w:spacing w:val="-2"/>
                <w:sz w:val="22"/>
              </w:rPr>
              <w:t>ABBREVIATION</w:t>
            </w:r>
          </w:p>
        </w:tc>
        <w:tc>
          <w:tcPr>
            <w:tcW w:w="5281" w:type="dxa"/>
            <w:shd w:val="clear" w:color="auto" w:fill="E7E6E6"/>
          </w:tcPr>
          <w:p>
            <w:pPr>
              <w:pStyle w:val="TableParagraph"/>
              <w:spacing w:before="224"/>
              <w:ind w:left="14" w:right="3"/>
              <w:jc w:val="center"/>
              <w:rPr>
                <w:b/>
                <w:sz w:val="22"/>
              </w:rPr>
            </w:pPr>
            <w:r>
              <w:rPr>
                <w:b/>
                <w:spacing w:val="-2"/>
                <w:sz w:val="22"/>
              </w:rPr>
              <w:t>DESCRIPTION</w:t>
            </w:r>
          </w:p>
        </w:tc>
      </w:tr>
      <w:tr>
        <w:trPr>
          <w:trHeight w:val="707" w:hRule="atLeast"/>
        </w:trPr>
        <w:tc>
          <w:tcPr>
            <w:tcW w:w="900" w:type="dxa"/>
          </w:tcPr>
          <w:p>
            <w:pPr>
              <w:pStyle w:val="TableParagraph"/>
              <w:spacing w:before="94"/>
              <w:ind w:left="10" w:right="3"/>
              <w:jc w:val="center"/>
              <w:rPr>
                <w:sz w:val="22"/>
              </w:rPr>
            </w:pPr>
            <w:r>
              <w:rPr>
                <w:spacing w:val="-5"/>
                <w:sz w:val="22"/>
              </w:rPr>
              <w:t>25</w:t>
            </w:r>
          </w:p>
        </w:tc>
        <w:tc>
          <w:tcPr>
            <w:tcW w:w="2007" w:type="dxa"/>
          </w:tcPr>
          <w:p>
            <w:pPr>
              <w:pStyle w:val="TableParagraph"/>
              <w:spacing w:before="94"/>
              <w:ind w:left="12" w:right="3"/>
              <w:jc w:val="center"/>
              <w:rPr>
                <w:sz w:val="22"/>
              </w:rPr>
            </w:pPr>
            <w:r>
              <w:rPr>
                <w:sz w:val="22"/>
              </w:rPr>
              <w:t>-</w:t>
            </w:r>
            <w:r>
              <w:rPr>
                <w:spacing w:val="-2"/>
                <w:sz w:val="22"/>
              </w:rPr>
              <w:t> </w:t>
            </w:r>
            <w:r>
              <w:rPr>
                <w:sz w:val="22"/>
              </w:rPr>
              <w:t>DCPR</w:t>
            </w:r>
            <w:r>
              <w:rPr>
                <w:spacing w:val="-2"/>
                <w:sz w:val="22"/>
              </w:rPr>
              <w:t> </w:t>
            </w:r>
            <w:r>
              <w:rPr>
                <w:spacing w:val="-4"/>
                <w:sz w:val="22"/>
              </w:rPr>
              <w:t>2034</w:t>
            </w:r>
          </w:p>
        </w:tc>
        <w:tc>
          <w:tcPr>
            <w:tcW w:w="5281" w:type="dxa"/>
          </w:tcPr>
          <w:p>
            <w:pPr>
              <w:pStyle w:val="TableParagraph"/>
              <w:spacing w:before="94"/>
              <w:ind w:left="2368" w:hanging="2106"/>
              <w:rPr>
                <w:sz w:val="22"/>
              </w:rPr>
            </w:pPr>
            <w:r>
              <w:rPr>
                <w:sz w:val="22"/>
              </w:rPr>
              <w:t>Development</w:t>
            </w:r>
            <w:r>
              <w:rPr>
                <w:spacing w:val="-12"/>
                <w:sz w:val="22"/>
              </w:rPr>
              <w:t> </w:t>
            </w:r>
            <w:r>
              <w:rPr>
                <w:sz w:val="22"/>
              </w:rPr>
              <w:t>Control</w:t>
            </w:r>
            <w:r>
              <w:rPr>
                <w:spacing w:val="-12"/>
                <w:sz w:val="22"/>
              </w:rPr>
              <w:t> </w:t>
            </w:r>
            <w:r>
              <w:rPr>
                <w:sz w:val="22"/>
              </w:rPr>
              <w:t>Promotion</w:t>
            </w:r>
            <w:r>
              <w:rPr>
                <w:spacing w:val="-11"/>
                <w:sz w:val="22"/>
              </w:rPr>
              <w:t> </w:t>
            </w:r>
            <w:r>
              <w:rPr>
                <w:sz w:val="22"/>
              </w:rPr>
              <w:t>Regulation- </w:t>
            </w:r>
            <w:r>
              <w:rPr>
                <w:spacing w:val="-4"/>
                <w:sz w:val="22"/>
              </w:rPr>
              <w:t>2034</w:t>
            </w:r>
          </w:p>
        </w:tc>
      </w:tr>
      <w:tr>
        <w:trPr>
          <w:trHeight w:val="450" w:hRule="atLeast"/>
        </w:trPr>
        <w:tc>
          <w:tcPr>
            <w:tcW w:w="900" w:type="dxa"/>
          </w:tcPr>
          <w:p>
            <w:pPr>
              <w:pStyle w:val="TableParagraph"/>
              <w:spacing w:before="94"/>
              <w:ind w:left="10" w:right="3"/>
              <w:jc w:val="center"/>
              <w:rPr>
                <w:sz w:val="22"/>
              </w:rPr>
            </w:pPr>
            <w:r>
              <w:rPr>
                <w:spacing w:val="-5"/>
                <w:sz w:val="22"/>
              </w:rPr>
              <w:t>26</w:t>
            </w:r>
          </w:p>
        </w:tc>
        <w:tc>
          <w:tcPr>
            <w:tcW w:w="2007" w:type="dxa"/>
          </w:tcPr>
          <w:p>
            <w:pPr>
              <w:pStyle w:val="TableParagraph"/>
              <w:spacing w:before="94"/>
              <w:ind w:left="12" w:right="5"/>
              <w:jc w:val="center"/>
              <w:rPr>
                <w:sz w:val="22"/>
              </w:rPr>
            </w:pPr>
            <w:r>
              <w:rPr>
                <w:spacing w:val="-5"/>
                <w:sz w:val="22"/>
              </w:rPr>
              <w:t>DNA</w:t>
            </w:r>
          </w:p>
        </w:tc>
        <w:tc>
          <w:tcPr>
            <w:tcW w:w="5281" w:type="dxa"/>
          </w:tcPr>
          <w:p>
            <w:pPr>
              <w:pStyle w:val="TableParagraph"/>
              <w:spacing w:before="94"/>
              <w:ind w:left="14" w:right="5"/>
              <w:jc w:val="center"/>
              <w:rPr>
                <w:sz w:val="22"/>
              </w:rPr>
            </w:pPr>
            <w:r>
              <w:rPr>
                <w:sz w:val="22"/>
              </w:rPr>
              <w:t>Dharavi</w:t>
            </w:r>
            <w:r>
              <w:rPr>
                <w:spacing w:val="-9"/>
                <w:sz w:val="22"/>
              </w:rPr>
              <w:t> </w:t>
            </w:r>
            <w:r>
              <w:rPr>
                <w:sz w:val="22"/>
              </w:rPr>
              <w:t>Notified</w:t>
            </w:r>
            <w:r>
              <w:rPr>
                <w:spacing w:val="-9"/>
                <w:sz w:val="22"/>
              </w:rPr>
              <w:t> </w:t>
            </w:r>
            <w:r>
              <w:rPr>
                <w:spacing w:val="-4"/>
                <w:sz w:val="22"/>
              </w:rPr>
              <w:t>Area</w:t>
            </w:r>
          </w:p>
        </w:tc>
      </w:tr>
      <w:tr>
        <w:trPr>
          <w:trHeight w:val="448" w:hRule="atLeast"/>
        </w:trPr>
        <w:tc>
          <w:tcPr>
            <w:tcW w:w="900" w:type="dxa"/>
          </w:tcPr>
          <w:p>
            <w:pPr>
              <w:pStyle w:val="TableParagraph"/>
              <w:spacing w:before="94"/>
              <w:ind w:left="10" w:right="3"/>
              <w:jc w:val="center"/>
              <w:rPr>
                <w:sz w:val="22"/>
              </w:rPr>
            </w:pPr>
            <w:r>
              <w:rPr>
                <w:spacing w:val="-5"/>
                <w:sz w:val="22"/>
              </w:rPr>
              <w:t>27</w:t>
            </w:r>
          </w:p>
        </w:tc>
        <w:tc>
          <w:tcPr>
            <w:tcW w:w="2007" w:type="dxa"/>
          </w:tcPr>
          <w:p>
            <w:pPr>
              <w:pStyle w:val="TableParagraph"/>
              <w:spacing w:before="94"/>
              <w:ind w:left="12"/>
              <w:jc w:val="center"/>
              <w:rPr>
                <w:sz w:val="22"/>
              </w:rPr>
            </w:pPr>
            <w:r>
              <w:rPr>
                <w:spacing w:val="-5"/>
                <w:sz w:val="22"/>
              </w:rPr>
              <w:t>DP</w:t>
            </w:r>
          </w:p>
        </w:tc>
        <w:tc>
          <w:tcPr>
            <w:tcW w:w="5281" w:type="dxa"/>
          </w:tcPr>
          <w:p>
            <w:pPr>
              <w:pStyle w:val="TableParagraph"/>
              <w:spacing w:before="94"/>
              <w:ind w:left="14" w:right="2"/>
              <w:jc w:val="center"/>
              <w:rPr>
                <w:sz w:val="22"/>
              </w:rPr>
            </w:pPr>
            <w:r>
              <w:rPr>
                <w:sz w:val="22"/>
              </w:rPr>
              <w:t>Development</w:t>
            </w:r>
            <w:r>
              <w:rPr>
                <w:spacing w:val="-12"/>
                <w:sz w:val="22"/>
              </w:rPr>
              <w:t> </w:t>
            </w:r>
            <w:r>
              <w:rPr>
                <w:spacing w:val="-4"/>
                <w:sz w:val="22"/>
              </w:rPr>
              <w:t>Plan</w:t>
            </w:r>
          </w:p>
        </w:tc>
      </w:tr>
      <w:tr>
        <w:trPr>
          <w:trHeight w:val="450" w:hRule="atLeast"/>
        </w:trPr>
        <w:tc>
          <w:tcPr>
            <w:tcW w:w="900" w:type="dxa"/>
          </w:tcPr>
          <w:p>
            <w:pPr>
              <w:pStyle w:val="TableParagraph"/>
              <w:spacing w:before="97"/>
              <w:ind w:left="10" w:right="3"/>
              <w:jc w:val="center"/>
              <w:rPr>
                <w:sz w:val="22"/>
              </w:rPr>
            </w:pPr>
            <w:r>
              <w:rPr>
                <w:spacing w:val="-5"/>
                <w:sz w:val="22"/>
              </w:rPr>
              <w:t>28</w:t>
            </w:r>
          </w:p>
        </w:tc>
        <w:tc>
          <w:tcPr>
            <w:tcW w:w="2007" w:type="dxa"/>
          </w:tcPr>
          <w:p>
            <w:pPr>
              <w:pStyle w:val="TableParagraph"/>
              <w:spacing w:before="97"/>
              <w:ind w:left="12" w:right="1"/>
              <w:jc w:val="center"/>
              <w:rPr>
                <w:sz w:val="22"/>
              </w:rPr>
            </w:pPr>
            <w:r>
              <w:rPr>
                <w:spacing w:val="-2"/>
                <w:sz w:val="22"/>
              </w:rPr>
              <w:t>DP-</w:t>
            </w:r>
            <w:r>
              <w:rPr>
                <w:spacing w:val="-4"/>
                <w:sz w:val="22"/>
              </w:rPr>
              <w:t>2034</w:t>
            </w:r>
          </w:p>
        </w:tc>
        <w:tc>
          <w:tcPr>
            <w:tcW w:w="5281" w:type="dxa"/>
          </w:tcPr>
          <w:p>
            <w:pPr>
              <w:pStyle w:val="TableParagraph"/>
              <w:spacing w:before="97"/>
              <w:ind w:left="14" w:right="6"/>
              <w:jc w:val="center"/>
              <w:rPr>
                <w:sz w:val="22"/>
              </w:rPr>
            </w:pPr>
            <w:r>
              <w:rPr>
                <w:sz w:val="22"/>
              </w:rPr>
              <w:t>Development</w:t>
            </w:r>
            <w:r>
              <w:rPr>
                <w:spacing w:val="-7"/>
                <w:sz w:val="22"/>
              </w:rPr>
              <w:t> </w:t>
            </w:r>
            <w:r>
              <w:rPr>
                <w:sz w:val="22"/>
              </w:rPr>
              <w:t>Plan</w:t>
            </w:r>
            <w:r>
              <w:rPr>
                <w:spacing w:val="-2"/>
                <w:sz w:val="22"/>
              </w:rPr>
              <w:t> </w:t>
            </w:r>
            <w:r>
              <w:rPr>
                <w:sz w:val="22"/>
              </w:rPr>
              <w:t>-</w:t>
            </w:r>
            <w:r>
              <w:rPr>
                <w:spacing w:val="-4"/>
                <w:sz w:val="22"/>
              </w:rPr>
              <w:t> 2034</w:t>
            </w:r>
          </w:p>
        </w:tc>
      </w:tr>
      <w:tr>
        <w:trPr>
          <w:trHeight w:val="451" w:hRule="atLeast"/>
        </w:trPr>
        <w:tc>
          <w:tcPr>
            <w:tcW w:w="900" w:type="dxa"/>
          </w:tcPr>
          <w:p>
            <w:pPr>
              <w:pStyle w:val="TableParagraph"/>
              <w:spacing w:before="95"/>
              <w:ind w:left="10" w:right="3"/>
              <w:jc w:val="center"/>
              <w:rPr>
                <w:sz w:val="22"/>
              </w:rPr>
            </w:pPr>
            <w:r>
              <w:rPr>
                <w:spacing w:val="-5"/>
                <w:sz w:val="22"/>
              </w:rPr>
              <w:t>29</w:t>
            </w:r>
          </w:p>
        </w:tc>
        <w:tc>
          <w:tcPr>
            <w:tcW w:w="2007" w:type="dxa"/>
          </w:tcPr>
          <w:p>
            <w:pPr>
              <w:pStyle w:val="TableParagraph"/>
              <w:spacing w:before="95"/>
              <w:ind w:left="12" w:right="2"/>
              <w:jc w:val="center"/>
              <w:rPr>
                <w:sz w:val="22"/>
              </w:rPr>
            </w:pPr>
            <w:r>
              <w:rPr>
                <w:spacing w:val="-5"/>
                <w:sz w:val="22"/>
              </w:rPr>
              <w:t>DR</w:t>
            </w:r>
          </w:p>
        </w:tc>
        <w:tc>
          <w:tcPr>
            <w:tcW w:w="5281" w:type="dxa"/>
          </w:tcPr>
          <w:p>
            <w:pPr>
              <w:pStyle w:val="TableParagraph"/>
              <w:spacing w:before="95"/>
              <w:ind w:left="14" w:right="2"/>
              <w:jc w:val="center"/>
              <w:rPr>
                <w:sz w:val="22"/>
              </w:rPr>
            </w:pPr>
            <w:r>
              <w:rPr>
                <w:sz w:val="22"/>
              </w:rPr>
              <w:t>Development</w:t>
            </w:r>
            <w:r>
              <w:rPr>
                <w:spacing w:val="-10"/>
                <w:sz w:val="22"/>
              </w:rPr>
              <w:t> </w:t>
            </w:r>
            <w:r>
              <w:rPr>
                <w:spacing w:val="-2"/>
                <w:sz w:val="22"/>
              </w:rPr>
              <w:t>Rights</w:t>
            </w:r>
          </w:p>
        </w:tc>
      </w:tr>
      <w:tr>
        <w:trPr>
          <w:trHeight w:val="450" w:hRule="atLeast"/>
        </w:trPr>
        <w:tc>
          <w:tcPr>
            <w:tcW w:w="900" w:type="dxa"/>
          </w:tcPr>
          <w:p>
            <w:pPr>
              <w:pStyle w:val="TableParagraph"/>
              <w:spacing w:before="94"/>
              <w:ind w:left="10" w:right="3"/>
              <w:jc w:val="center"/>
              <w:rPr>
                <w:sz w:val="22"/>
              </w:rPr>
            </w:pPr>
            <w:r>
              <w:rPr>
                <w:spacing w:val="-5"/>
                <w:sz w:val="22"/>
              </w:rPr>
              <w:t>30</w:t>
            </w:r>
          </w:p>
        </w:tc>
        <w:tc>
          <w:tcPr>
            <w:tcW w:w="2007" w:type="dxa"/>
          </w:tcPr>
          <w:p>
            <w:pPr>
              <w:pStyle w:val="TableParagraph"/>
              <w:spacing w:before="94"/>
              <w:ind w:left="12" w:right="3"/>
              <w:jc w:val="center"/>
              <w:rPr>
                <w:sz w:val="22"/>
              </w:rPr>
            </w:pPr>
            <w:r>
              <w:rPr>
                <w:spacing w:val="-5"/>
                <w:sz w:val="22"/>
              </w:rPr>
              <w:t>DRC</w:t>
            </w:r>
          </w:p>
        </w:tc>
        <w:tc>
          <w:tcPr>
            <w:tcW w:w="5281" w:type="dxa"/>
          </w:tcPr>
          <w:p>
            <w:pPr>
              <w:pStyle w:val="TableParagraph"/>
              <w:spacing w:before="94"/>
              <w:ind w:left="14" w:right="6"/>
              <w:jc w:val="center"/>
              <w:rPr>
                <w:sz w:val="22"/>
              </w:rPr>
            </w:pPr>
            <w:r>
              <w:rPr>
                <w:sz w:val="22"/>
              </w:rPr>
              <w:t>Development</w:t>
            </w:r>
            <w:r>
              <w:rPr>
                <w:spacing w:val="-7"/>
                <w:sz w:val="22"/>
              </w:rPr>
              <w:t> </w:t>
            </w:r>
            <w:r>
              <w:rPr>
                <w:sz w:val="22"/>
              </w:rPr>
              <w:t>Rights</w:t>
            </w:r>
            <w:r>
              <w:rPr>
                <w:spacing w:val="-5"/>
                <w:sz w:val="22"/>
              </w:rPr>
              <w:t> </w:t>
            </w:r>
            <w:r>
              <w:rPr>
                <w:spacing w:val="-2"/>
                <w:sz w:val="22"/>
              </w:rPr>
              <w:t>Certificate</w:t>
            </w:r>
          </w:p>
        </w:tc>
      </w:tr>
      <w:tr>
        <w:trPr>
          <w:trHeight w:val="450" w:hRule="atLeast"/>
        </w:trPr>
        <w:tc>
          <w:tcPr>
            <w:tcW w:w="900" w:type="dxa"/>
          </w:tcPr>
          <w:p>
            <w:pPr>
              <w:pStyle w:val="TableParagraph"/>
              <w:spacing w:before="94"/>
              <w:ind w:left="10" w:right="3"/>
              <w:jc w:val="center"/>
              <w:rPr>
                <w:sz w:val="22"/>
              </w:rPr>
            </w:pPr>
            <w:r>
              <w:rPr>
                <w:spacing w:val="-5"/>
                <w:sz w:val="22"/>
              </w:rPr>
              <w:t>31</w:t>
            </w:r>
          </w:p>
        </w:tc>
        <w:tc>
          <w:tcPr>
            <w:tcW w:w="2007" w:type="dxa"/>
          </w:tcPr>
          <w:p>
            <w:pPr>
              <w:pStyle w:val="TableParagraph"/>
              <w:spacing w:before="94"/>
              <w:ind w:left="12" w:right="1"/>
              <w:jc w:val="center"/>
              <w:rPr>
                <w:sz w:val="22"/>
              </w:rPr>
            </w:pPr>
            <w:r>
              <w:rPr>
                <w:spacing w:val="-5"/>
                <w:sz w:val="22"/>
              </w:rPr>
              <w:t>DRP</w:t>
            </w:r>
          </w:p>
        </w:tc>
        <w:tc>
          <w:tcPr>
            <w:tcW w:w="5281" w:type="dxa"/>
          </w:tcPr>
          <w:p>
            <w:pPr>
              <w:pStyle w:val="TableParagraph"/>
              <w:spacing w:before="94"/>
              <w:ind w:left="14" w:right="2"/>
              <w:jc w:val="center"/>
              <w:rPr>
                <w:sz w:val="22"/>
              </w:rPr>
            </w:pPr>
            <w:r>
              <w:rPr>
                <w:sz w:val="22"/>
              </w:rPr>
              <w:t>Dharavi</w:t>
            </w:r>
            <w:r>
              <w:rPr>
                <w:spacing w:val="-8"/>
                <w:sz w:val="22"/>
              </w:rPr>
              <w:t> </w:t>
            </w:r>
            <w:r>
              <w:rPr>
                <w:sz w:val="22"/>
              </w:rPr>
              <w:t>Redevelopment</w:t>
            </w:r>
            <w:r>
              <w:rPr>
                <w:spacing w:val="-9"/>
                <w:sz w:val="22"/>
              </w:rPr>
              <w:t> </w:t>
            </w:r>
            <w:r>
              <w:rPr>
                <w:spacing w:val="-2"/>
                <w:sz w:val="22"/>
              </w:rPr>
              <w:t>Project</w:t>
            </w:r>
          </w:p>
        </w:tc>
      </w:tr>
      <w:tr>
        <w:trPr>
          <w:trHeight w:val="707" w:hRule="atLeast"/>
        </w:trPr>
        <w:tc>
          <w:tcPr>
            <w:tcW w:w="900" w:type="dxa"/>
          </w:tcPr>
          <w:p>
            <w:pPr>
              <w:pStyle w:val="TableParagraph"/>
              <w:spacing w:before="94"/>
              <w:ind w:left="10" w:right="3"/>
              <w:jc w:val="center"/>
              <w:rPr>
                <w:sz w:val="22"/>
              </w:rPr>
            </w:pPr>
            <w:r>
              <w:rPr>
                <w:spacing w:val="-5"/>
                <w:sz w:val="22"/>
              </w:rPr>
              <w:t>32</w:t>
            </w:r>
          </w:p>
        </w:tc>
        <w:tc>
          <w:tcPr>
            <w:tcW w:w="2007" w:type="dxa"/>
          </w:tcPr>
          <w:p>
            <w:pPr>
              <w:pStyle w:val="TableParagraph"/>
              <w:spacing w:before="94"/>
              <w:ind w:left="12" w:right="3"/>
              <w:jc w:val="center"/>
              <w:rPr>
                <w:sz w:val="22"/>
              </w:rPr>
            </w:pPr>
            <w:r>
              <w:rPr>
                <w:spacing w:val="-2"/>
                <w:sz w:val="22"/>
              </w:rPr>
              <w:t>DRP(SRA)</w:t>
            </w:r>
          </w:p>
        </w:tc>
        <w:tc>
          <w:tcPr>
            <w:tcW w:w="5281" w:type="dxa"/>
          </w:tcPr>
          <w:p>
            <w:pPr>
              <w:pStyle w:val="TableParagraph"/>
              <w:spacing w:before="94"/>
              <w:ind w:left="1310" w:hanging="701"/>
              <w:rPr>
                <w:sz w:val="22"/>
              </w:rPr>
            </w:pPr>
            <w:r>
              <w:rPr>
                <w:sz w:val="22"/>
              </w:rPr>
              <w:t>Dharavi</w:t>
            </w:r>
            <w:r>
              <w:rPr>
                <w:spacing w:val="-12"/>
                <w:sz w:val="22"/>
              </w:rPr>
              <w:t> </w:t>
            </w:r>
            <w:r>
              <w:rPr>
                <w:sz w:val="22"/>
              </w:rPr>
              <w:t>Redevelopment</w:t>
            </w:r>
            <w:r>
              <w:rPr>
                <w:spacing w:val="-13"/>
                <w:sz w:val="22"/>
              </w:rPr>
              <w:t> </w:t>
            </w:r>
            <w:r>
              <w:rPr>
                <w:sz w:val="22"/>
              </w:rPr>
              <w:t>Project</w:t>
            </w:r>
            <w:r>
              <w:rPr>
                <w:spacing w:val="-11"/>
                <w:sz w:val="22"/>
              </w:rPr>
              <w:t> </w:t>
            </w:r>
            <w:r>
              <w:rPr>
                <w:sz w:val="22"/>
              </w:rPr>
              <w:t>(Slum Rehabilitation Authority)</w:t>
            </w:r>
          </w:p>
        </w:tc>
      </w:tr>
      <w:tr>
        <w:trPr>
          <w:trHeight w:val="450" w:hRule="atLeast"/>
        </w:trPr>
        <w:tc>
          <w:tcPr>
            <w:tcW w:w="900" w:type="dxa"/>
          </w:tcPr>
          <w:p>
            <w:pPr>
              <w:pStyle w:val="TableParagraph"/>
              <w:spacing w:before="94"/>
              <w:ind w:left="10" w:right="3"/>
              <w:jc w:val="center"/>
              <w:rPr>
                <w:sz w:val="22"/>
              </w:rPr>
            </w:pPr>
            <w:r>
              <w:rPr>
                <w:spacing w:val="-5"/>
                <w:sz w:val="22"/>
              </w:rPr>
              <w:t>33</w:t>
            </w:r>
          </w:p>
        </w:tc>
        <w:tc>
          <w:tcPr>
            <w:tcW w:w="2007" w:type="dxa"/>
          </w:tcPr>
          <w:p>
            <w:pPr>
              <w:pStyle w:val="TableParagraph"/>
              <w:spacing w:before="94"/>
              <w:ind w:left="12" w:right="2"/>
              <w:jc w:val="center"/>
              <w:rPr>
                <w:sz w:val="22"/>
              </w:rPr>
            </w:pPr>
            <w:r>
              <w:rPr>
                <w:spacing w:val="-5"/>
                <w:sz w:val="22"/>
              </w:rPr>
              <w:t>DSS</w:t>
            </w:r>
          </w:p>
        </w:tc>
        <w:tc>
          <w:tcPr>
            <w:tcW w:w="5281" w:type="dxa"/>
          </w:tcPr>
          <w:p>
            <w:pPr>
              <w:pStyle w:val="TableParagraph"/>
              <w:spacing w:before="94"/>
              <w:ind w:left="14" w:right="8"/>
              <w:jc w:val="center"/>
              <w:rPr>
                <w:sz w:val="22"/>
              </w:rPr>
            </w:pPr>
            <w:r>
              <w:rPr>
                <w:sz w:val="22"/>
              </w:rPr>
              <w:t>Distribution</w:t>
            </w:r>
            <w:r>
              <w:rPr>
                <w:spacing w:val="-11"/>
                <w:sz w:val="22"/>
              </w:rPr>
              <w:t> </w:t>
            </w:r>
            <w:r>
              <w:rPr>
                <w:spacing w:val="-2"/>
                <w:sz w:val="22"/>
              </w:rPr>
              <w:t>Substation</w:t>
            </w:r>
          </w:p>
        </w:tc>
      </w:tr>
      <w:tr>
        <w:trPr>
          <w:trHeight w:val="448" w:hRule="atLeast"/>
        </w:trPr>
        <w:tc>
          <w:tcPr>
            <w:tcW w:w="900" w:type="dxa"/>
          </w:tcPr>
          <w:p>
            <w:pPr>
              <w:pStyle w:val="TableParagraph"/>
              <w:spacing w:before="94"/>
              <w:ind w:left="10" w:right="3"/>
              <w:jc w:val="center"/>
              <w:rPr>
                <w:sz w:val="22"/>
              </w:rPr>
            </w:pPr>
            <w:r>
              <w:rPr>
                <w:spacing w:val="-5"/>
                <w:sz w:val="22"/>
              </w:rPr>
              <w:t>34</w:t>
            </w:r>
          </w:p>
        </w:tc>
        <w:tc>
          <w:tcPr>
            <w:tcW w:w="2007" w:type="dxa"/>
          </w:tcPr>
          <w:p>
            <w:pPr>
              <w:pStyle w:val="TableParagraph"/>
              <w:spacing w:before="94"/>
              <w:ind w:left="12" w:right="4"/>
              <w:jc w:val="center"/>
              <w:rPr>
                <w:sz w:val="22"/>
              </w:rPr>
            </w:pPr>
            <w:r>
              <w:rPr>
                <w:spacing w:val="-5"/>
                <w:sz w:val="22"/>
              </w:rPr>
              <w:t>EC</w:t>
            </w:r>
          </w:p>
        </w:tc>
        <w:tc>
          <w:tcPr>
            <w:tcW w:w="5281" w:type="dxa"/>
          </w:tcPr>
          <w:p>
            <w:pPr>
              <w:pStyle w:val="TableParagraph"/>
              <w:spacing w:before="94"/>
              <w:ind w:left="14" w:right="7"/>
              <w:jc w:val="center"/>
              <w:rPr>
                <w:sz w:val="22"/>
              </w:rPr>
            </w:pPr>
            <w:r>
              <w:rPr>
                <w:sz w:val="22"/>
              </w:rPr>
              <w:t>Empowered</w:t>
            </w:r>
            <w:r>
              <w:rPr>
                <w:spacing w:val="-9"/>
                <w:sz w:val="22"/>
              </w:rPr>
              <w:t> </w:t>
            </w:r>
            <w:r>
              <w:rPr>
                <w:spacing w:val="-2"/>
                <w:sz w:val="22"/>
              </w:rPr>
              <w:t>Committee</w:t>
            </w:r>
          </w:p>
        </w:tc>
      </w:tr>
      <w:tr>
        <w:trPr>
          <w:trHeight w:val="450" w:hRule="atLeast"/>
        </w:trPr>
        <w:tc>
          <w:tcPr>
            <w:tcW w:w="900" w:type="dxa"/>
          </w:tcPr>
          <w:p>
            <w:pPr>
              <w:pStyle w:val="TableParagraph"/>
              <w:spacing w:before="97"/>
              <w:ind w:left="10" w:right="3"/>
              <w:jc w:val="center"/>
              <w:rPr>
                <w:sz w:val="22"/>
              </w:rPr>
            </w:pPr>
            <w:r>
              <w:rPr>
                <w:spacing w:val="-5"/>
                <w:sz w:val="22"/>
              </w:rPr>
              <w:t>35</w:t>
            </w:r>
          </w:p>
        </w:tc>
        <w:tc>
          <w:tcPr>
            <w:tcW w:w="2007" w:type="dxa"/>
          </w:tcPr>
          <w:p>
            <w:pPr>
              <w:pStyle w:val="TableParagraph"/>
              <w:spacing w:before="97"/>
              <w:ind w:left="12" w:right="5"/>
              <w:jc w:val="center"/>
              <w:rPr>
                <w:sz w:val="22"/>
              </w:rPr>
            </w:pPr>
            <w:r>
              <w:rPr>
                <w:spacing w:val="-5"/>
                <w:sz w:val="22"/>
              </w:rPr>
              <w:t>EIA</w:t>
            </w:r>
          </w:p>
        </w:tc>
        <w:tc>
          <w:tcPr>
            <w:tcW w:w="5281" w:type="dxa"/>
          </w:tcPr>
          <w:p>
            <w:pPr>
              <w:pStyle w:val="TableParagraph"/>
              <w:spacing w:before="97"/>
              <w:ind w:left="14" w:right="4"/>
              <w:jc w:val="center"/>
              <w:rPr>
                <w:sz w:val="22"/>
              </w:rPr>
            </w:pPr>
            <w:r>
              <w:rPr>
                <w:sz w:val="22"/>
              </w:rPr>
              <w:t>Environment</w:t>
            </w:r>
            <w:r>
              <w:rPr>
                <w:spacing w:val="-7"/>
                <w:sz w:val="22"/>
              </w:rPr>
              <w:t> </w:t>
            </w:r>
            <w:r>
              <w:rPr>
                <w:sz w:val="22"/>
              </w:rPr>
              <w:t>Impact</w:t>
            </w:r>
            <w:r>
              <w:rPr>
                <w:spacing w:val="-6"/>
                <w:sz w:val="22"/>
              </w:rPr>
              <w:t> </w:t>
            </w:r>
            <w:r>
              <w:rPr>
                <w:spacing w:val="-2"/>
                <w:sz w:val="22"/>
              </w:rPr>
              <w:t>Assessment</w:t>
            </w:r>
          </w:p>
        </w:tc>
      </w:tr>
      <w:tr>
        <w:trPr>
          <w:trHeight w:val="451" w:hRule="atLeast"/>
        </w:trPr>
        <w:tc>
          <w:tcPr>
            <w:tcW w:w="900" w:type="dxa"/>
          </w:tcPr>
          <w:p>
            <w:pPr>
              <w:pStyle w:val="TableParagraph"/>
              <w:spacing w:before="95"/>
              <w:ind w:left="10" w:right="3"/>
              <w:jc w:val="center"/>
              <w:rPr>
                <w:sz w:val="22"/>
              </w:rPr>
            </w:pPr>
            <w:r>
              <w:rPr>
                <w:spacing w:val="-5"/>
                <w:sz w:val="22"/>
              </w:rPr>
              <w:t>36</w:t>
            </w:r>
          </w:p>
        </w:tc>
        <w:tc>
          <w:tcPr>
            <w:tcW w:w="2007" w:type="dxa"/>
          </w:tcPr>
          <w:p>
            <w:pPr>
              <w:pStyle w:val="TableParagraph"/>
              <w:spacing w:before="95"/>
              <w:ind w:left="12" w:right="2"/>
              <w:jc w:val="center"/>
              <w:rPr>
                <w:sz w:val="22"/>
              </w:rPr>
            </w:pPr>
            <w:r>
              <w:rPr>
                <w:spacing w:val="-2"/>
                <w:sz w:val="22"/>
              </w:rPr>
              <w:t>EHVRS</w:t>
            </w:r>
          </w:p>
        </w:tc>
        <w:tc>
          <w:tcPr>
            <w:tcW w:w="5281" w:type="dxa"/>
          </w:tcPr>
          <w:p>
            <w:pPr>
              <w:pStyle w:val="TableParagraph"/>
              <w:spacing w:before="95"/>
              <w:ind w:left="14" w:right="7"/>
              <w:jc w:val="center"/>
              <w:rPr>
                <w:sz w:val="22"/>
              </w:rPr>
            </w:pPr>
            <w:r>
              <w:rPr>
                <w:sz w:val="22"/>
              </w:rPr>
              <w:t>Extra</w:t>
            </w:r>
            <w:r>
              <w:rPr>
                <w:spacing w:val="-7"/>
                <w:sz w:val="22"/>
              </w:rPr>
              <w:t> </w:t>
            </w:r>
            <w:r>
              <w:rPr>
                <w:sz w:val="22"/>
              </w:rPr>
              <w:t>High</w:t>
            </w:r>
            <w:r>
              <w:rPr>
                <w:spacing w:val="-6"/>
                <w:sz w:val="22"/>
              </w:rPr>
              <w:t> </w:t>
            </w:r>
            <w:r>
              <w:rPr>
                <w:sz w:val="22"/>
              </w:rPr>
              <w:t>Voltage</w:t>
            </w:r>
            <w:r>
              <w:rPr>
                <w:spacing w:val="-5"/>
                <w:sz w:val="22"/>
              </w:rPr>
              <w:t> </w:t>
            </w:r>
            <w:r>
              <w:rPr>
                <w:sz w:val="22"/>
              </w:rPr>
              <w:t>Receiving</w:t>
            </w:r>
            <w:r>
              <w:rPr>
                <w:spacing w:val="-5"/>
                <w:sz w:val="22"/>
              </w:rPr>
              <w:t> </w:t>
            </w:r>
            <w:r>
              <w:rPr>
                <w:spacing w:val="-2"/>
                <w:sz w:val="22"/>
              </w:rPr>
              <w:t>Station</w:t>
            </w:r>
          </w:p>
        </w:tc>
      </w:tr>
      <w:tr>
        <w:trPr>
          <w:trHeight w:val="450" w:hRule="atLeast"/>
        </w:trPr>
        <w:tc>
          <w:tcPr>
            <w:tcW w:w="900" w:type="dxa"/>
          </w:tcPr>
          <w:p>
            <w:pPr>
              <w:pStyle w:val="TableParagraph"/>
              <w:spacing w:before="94"/>
              <w:ind w:left="10" w:right="3"/>
              <w:jc w:val="center"/>
              <w:rPr>
                <w:sz w:val="22"/>
              </w:rPr>
            </w:pPr>
            <w:r>
              <w:rPr>
                <w:spacing w:val="-5"/>
                <w:sz w:val="22"/>
              </w:rPr>
              <w:t>37</w:t>
            </w:r>
          </w:p>
        </w:tc>
        <w:tc>
          <w:tcPr>
            <w:tcW w:w="2007" w:type="dxa"/>
          </w:tcPr>
          <w:p>
            <w:pPr>
              <w:pStyle w:val="TableParagraph"/>
              <w:spacing w:before="94"/>
              <w:ind w:left="12" w:right="7"/>
              <w:jc w:val="center"/>
              <w:rPr>
                <w:sz w:val="22"/>
              </w:rPr>
            </w:pPr>
            <w:r>
              <w:rPr>
                <w:spacing w:val="-5"/>
                <w:sz w:val="22"/>
              </w:rPr>
              <w:t>EWS</w:t>
            </w:r>
          </w:p>
        </w:tc>
        <w:tc>
          <w:tcPr>
            <w:tcW w:w="5281" w:type="dxa"/>
          </w:tcPr>
          <w:p>
            <w:pPr>
              <w:pStyle w:val="TableParagraph"/>
              <w:spacing w:before="94"/>
              <w:ind w:left="14" w:right="4"/>
              <w:jc w:val="center"/>
              <w:rPr>
                <w:sz w:val="22"/>
              </w:rPr>
            </w:pPr>
            <w:r>
              <w:rPr>
                <w:sz w:val="22"/>
              </w:rPr>
              <w:t>Economically</w:t>
            </w:r>
            <w:r>
              <w:rPr>
                <w:spacing w:val="-9"/>
                <w:sz w:val="22"/>
              </w:rPr>
              <w:t> </w:t>
            </w:r>
            <w:r>
              <w:rPr>
                <w:sz w:val="22"/>
              </w:rPr>
              <w:t>Weaker</w:t>
            </w:r>
            <w:r>
              <w:rPr>
                <w:spacing w:val="-11"/>
                <w:sz w:val="22"/>
              </w:rPr>
              <w:t> </w:t>
            </w:r>
            <w:r>
              <w:rPr>
                <w:spacing w:val="-2"/>
                <w:sz w:val="22"/>
              </w:rPr>
              <w:t>section</w:t>
            </w:r>
          </w:p>
        </w:tc>
      </w:tr>
      <w:tr>
        <w:trPr>
          <w:trHeight w:val="450" w:hRule="atLeast"/>
        </w:trPr>
        <w:tc>
          <w:tcPr>
            <w:tcW w:w="900" w:type="dxa"/>
          </w:tcPr>
          <w:p>
            <w:pPr>
              <w:pStyle w:val="TableParagraph"/>
              <w:spacing w:before="94"/>
              <w:ind w:left="10" w:right="3"/>
              <w:jc w:val="center"/>
              <w:rPr>
                <w:sz w:val="22"/>
              </w:rPr>
            </w:pPr>
            <w:r>
              <w:rPr>
                <w:spacing w:val="-5"/>
                <w:sz w:val="22"/>
              </w:rPr>
              <w:t>38</w:t>
            </w:r>
          </w:p>
        </w:tc>
        <w:tc>
          <w:tcPr>
            <w:tcW w:w="2007" w:type="dxa"/>
          </w:tcPr>
          <w:p>
            <w:pPr>
              <w:pStyle w:val="TableParagraph"/>
              <w:spacing w:before="94"/>
              <w:ind w:left="12" w:right="2"/>
              <w:jc w:val="center"/>
              <w:rPr>
                <w:sz w:val="22"/>
              </w:rPr>
            </w:pPr>
            <w:r>
              <w:rPr>
                <w:sz w:val="22"/>
              </w:rPr>
              <w:t>FP</w:t>
            </w:r>
            <w:r>
              <w:rPr>
                <w:spacing w:val="-2"/>
                <w:sz w:val="22"/>
              </w:rPr>
              <w:t> </w:t>
            </w:r>
            <w:r>
              <w:rPr>
                <w:spacing w:val="-5"/>
                <w:sz w:val="22"/>
              </w:rPr>
              <w:t>No</w:t>
            </w:r>
          </w:p>
        </w:tc>
        <w:tc>
          <w:tcPr>
            <w:tcW w:w="5281" w:type="dxa"/>
          </w:tcPr>
          <w:p>
            <w:pPr>
              <w:pStyle w:val="TableParagraph"/>
              <w:spacing w:before="94"/>
              <w:ind w:left="14" w:right="1"/>
              <w:jc w:val="center"/>
              <w:rPr>
                <w:sz w:val="22"/>
              </w:rPr>
            </w:pPr>
            <w:r>
              <w:rPr>
                <w:sz w:val="22"/>
              </w:rPr>
              <w:t>Final</w:t>
            </w:r>
            <w:r>
              <w:rPr>
                <w:spacing w:val="-4"/>
                <w:sz w:val="22"/>
              </w:rPr>
              <w:t> </w:t>
            </w:r>
            <w:r>
              <w:rPr>
                <w:sz w:val="22"/>
              </w:rPr>
              <w:t>Plot</w:t>
            </w:r>
            <w:r>
              <w:rPr>
                <w:spacing w:val="-3"/>
                <w:sz w:val="22"/>
              </w:rPr>
              <w:t> </w:t>
            </w:r>
            <w:r>
              <w:rPr>
                <w:spacing w:val="-5"/>
                <w:sz w:val="22"/>
              </w:rPr>
              <w:t>No.</w:t>
            </w:r>
          </w:p>
        </w:tc>
      </w:tr>
      <w:tr>
        <w:trPr>
          <w:trHeight w:val="448" w:hRule="atLeast"/>
        </w:trPr>
        <w:tc>
          <w:tcPr>
            <w:tcW w:w="900" w:type="dxa"/>
          </w:tcPr>
          <w:p>
            <w:pPr>
              <w:pStyle w:val="TableParagraph"/>
              <w:spacing w:before="94"/>
              <w:ind w:left="10" w:right="3"/>
              <w:jc w:val="center"/>
              <w:rPr>
                <w:sz w:val="22"/>
              </w:rPr>
            </w:pPr>
            <w:r>
              <w:rPr>
                <w:spacing w:val="-5"/>
                <w:sz w:val="22"/>
              </w:rPr>
              <w:t>39</w:t>
            </w:r>
          </w:p>
        </w:tc>
        <w:tc>
          <w:tcPr>
            <w:tcW w:w="2007" w:type="dxa"/>
          </w:tcPr>
          <w:p>
            <w:pPr>
              <w:pStyle w:val="TableParagraph"/>
              <w:spacing w:before="94"/>
              <w:ind w:left="12" w:right="1"/>
              <w:jc w:val="center"/>
              <w:rPr>
                <w:sz w:val="22"/>
              </w:rPr>
            </w:pPr>
            <w:r>
              <w:rPr>
                <w:spacing w:val="-5"/>
                <w:sz w:val="22"/>
              </w:rPr>
              <w:t>FSI</w:t>
            </w:r>
          </w:p>
        </w:tc>
        <w:tc>
          <w:tcPr>
            <w:tcW w:w="5281" w:type="dxa"/>
          </w:tcPr>
          <w:p>
            <w:pPr>
              <w:pStyle w:val="TableParagraph"/>
              <w:spacing w:before="94"/>
              <w:ind w:left="14" w:right="3"/>
              <w:jc w:val="center"/>
              <w:rPr>
                <w:sz w:val="22"/>
              </w:rPr>
            </w:pPr>
            <w:r>
              <w:rPr>
                <w:sz w:val="22"/>
              </w:rPr>
              <w:t>Floor</w:t>
            </w:r>
            <w:r>
              <w:rPr>
                <w:spacing w:val="-7"/>
                <w:sz w:val="22"/>
              </w:rPr>
              <w:t> </w:t>
            </w:r>
            <w:r>
              <w:rPr>
                <w:sz w:val="22"/>
              </w:rPr>
              <w:t>Space</w:t>
            </w:r>
            <w:r>
              <w:rPr>
                <w:spacing w:val="-1"/>
                <w:sz w:val="22"/>
              </w:rPr>
              <w:t> </w:t>
            </w:r>
            <w:r>
              <w:rPr>
                <w:spacing w:val="-4"/>
                <w:sz w:val="22"/>
              </w:rPr>
              <w:t>Index</w:t>
            </w:r>
          </w:p>
        </w:tc>
      </w:tr>
      <w:tr>
        <w:trPr>
          <w:trHeight w:val="450" w:hRule="atLeast"/>
        </w:trPr>
        <w:tc>
          <w:tcPr>
            <w:tcW w:w="900" w:type="dxa"/>
          </w:tcPr>
          <w:p>
            <w:pPr>
              <w:pStyle w:val="TableParagraph"/>
              <w:spacing w:before="94"/>
              <w:ind w:left="10" w:right="3"/>
              <w:jc w:val="center"/>
              <w:rPr>
                <w:sz w:val="22"/>
              </w:rPr>
            </w:pPr>
            <w:r>
              <w:rPr>
                <w:spacing w:val="-5"/>
                <w:sz w:val="22"/>
              </w:rPr>
              <w:t>40</w:t>
            </w:r>
          </w:p>
        </w:tc>
        <w:tc>
          <w:tcPr>
            <w:tcW w:w="2007" w:type="dxa"/>
          </w:tcPr>
          <w:p>
            <w:pPr>
              <w:pStyle w:val="TableParagraph"/>
              <w:spacing w:before="94"/>
              <w:ind w:left="12"/>
              <w:jc w:val="center"/>
              <w:rPr>
                <w:sz w:val="22"/>
              </w:rPr>
            </w:pPr>
            <w:r>
              <w:rPr>
                <w:spacing w:val="-5"/>
                <w:sz w:val="22"/>
              </w:rPr>
              <w:t>GoI</w:t>
            </w:r>
          </w:p>
        </w:tc>
        <w:tc>
          <w:tcPr>
            <w:tcW w:w="5281" w:type="dxa"/>
          </w:tcPr>
          <w:p>
            <w:pPr>
              <w:pStyle w:val="TableParagraph"/>
              <w:spacing w:before="94"/>
              <w:ind w:left="14" w:right="4"/>
              <w:jc w:val="center"/>
              <w:rPr>
                <w:sz w:val="22"/>
              </w:rPr>
            </w:pPr>
            <w:r>
              <w:rPr>
                <w:sz w:val="22"/>
              </w:rPr>
              <w:t>Government</w:t>
            </w:r>
            <w:r>
              <w:rPr>
                <w:spacing w:val="-8"/>
                <w:sz w:val="22"/>
              </w:rPr>
              <w:t> </w:t>
            </w:r>
            <w:r>
              <w:rPr>
                <w:sz w:val="22"/>
              </w:rPr>
              <w:t>of</w:t>
            </w:r>
            <w:r>
              <w:rPr>
                <w:spacing w:val="-6"/>
                <w:sz w:val="22"/>
              </w:rPr>
              <w:t> </w:t>
            </w:r>
            <w:r>
              <w:rPr>
                <w:spacing w:val="-4"/>
                <w:sz w:val="22"/>
              </w:rPr>
              <w:t>India</w:t>
            </w:r>
          </w:p>
        </w:tc>
      </w:tr>
      <w:tr>
        <w:trPr>
          <w:trHeight w:val="450" w:hRule="atLeast"/>
        </w:trPr>
        <w:tc>
          <w:tcPr>
            <w:tcW w:w="900" w:type="dxa"/>
          </w:tcPr>
          <w:p>
            <w:pPr>
              <w:pStyle w:val="TableParagraph"/>
              <w:spacing w:before="94"/>
              <w:ind w:left="10" w:right="3"/>
              <w:jc w:val="center"/>
              <w:rPr>
                <w:sz w:val="22"/>
              </w:rPr>
            </w:pPr>
            <w:r>
              <w:rPr>
                <w:spacing w:val="-5"/>
                <w:sz w:val="22"/>
              </w:rPr>
              <w:t>41</w:t>
            </w:r>
          </w:p>
        </w:tc>
        <w:tc>
          <w:tcPr>
            <w:tcW w:w="2007" w:type="dxa"/>
          </w:tcPr>
          <w:p>
            <w:pPr>
              <w:pStyle w:val="TableParagraph"/>
              <w:spacing w:before="94"/>
              <w:ind w:left="12" w:right="5"/>
              <w:jc w:val="center"/>
              <w:rPr>
                <w:sz w:val="22"/>
              </w:rPr>
            </w:pPr>
            <w:r>
              <w:rPr>
                <w:spacing w:val="-5"/>
                <w:sz w:val="22"/>
              </w:rPr>
              <w:t>GoM</w:t>
            </w:r>
          </w:p>
        </w:tc>
        <w:tc>
          <w:tcPr>
            <w:tcW w:w="5281" w:type="dxa"/>
          </w:tcPr>
          <w:p>
            <w:pPr>
              <w:pStyle w:val="TableParagraph"/>
              <w:spacing w:before="94"/>
              <w:ind w:left="14" w:right="5"/>
              <w:jc w:val="center"/>
              <w:rPr>
                <w:sz w:val="22"/>
              </w:rPr>
            </w:pPr>
            <w:r>
              <w:rPr>
                <w:sz w:val="22"/>
              </w:rPr>
              <w:t>Government</w:t>
            </w:r>
            <w:r>
              <w:rPr>
                <w:spacing w:val="-6"/>
                <w:sz w:val="22"/>
              </w:rPr>
              <w:t> </w:t>
            </w:r>
            <w:r>
              <w:rPr>
                <w:sz w:val="22"/>
              </w:rPr>
              <w:t>of</w:t>
            </w:r>
            <w:r>
              <w:rPr>
                <w:spacing w:val="-6"/>
                <w:sz w:val="22"/>
              </w:rPr>
              <w:t> </w:t>
            </w:r>
            <w:r>
              <w:rPr>
                <w:spacing w:val="-2"/>
                <w:sz w:val="22"/>
              </w:rPr>
              <w:t>Maharashtra</w:t>
            </w:r>
          </w:p>
        </w:tc>
      </w:tr>
      <w:tr>
        <w:trPr>
          <w:trHeight w:val="450" w:hRule="atLeast"/>
        </w:trPr>
        <w:tc>
          <w:tcPr>
            <w:tcW w:w="900" w:type="dxa"/>
          </w:tcPr>
          <w:p>
            <w:pPr>
              <w:pStyle w:val="TableParagraph"/>
              <w:spacing w:before="94"/>
              <w:ind w:left="10" w:right="3"/>
              <w:jc w:val="center"/>
              <w:rPr>
                <w:sz w:val="22"/>
              </w:rPr>
            </w:pPr>
            <w:r>
              <w:rPr>
                <w:spacing w:val="-5"/>
                <w:sz w:val="22"/>
              </w:rPr>
              <w:t>42</w:t>
            </w:r>
          </w:p>
        </w:tc>
        <w:tc>
          <w:tcPr>
            <w:tcW w:w="2007" w:type="dxa"/>
          </w:tcPr>
          <w:p>
            <w:pPr>
              <w:pStyle w:val="TableParagraph"/>
              <w:spacing w:before="94"/>
              <w:ind w:left="12" w:right="4"/>
              <w:jc w:val="center"/>
              <w:rPr>
                <w:sz w:val="22"/>
              </w:rPr>
            </w:pPr>
            <w:r>
              <w:rPr>
                <w:spacing w:val="-4"/>
                <w:sz w:val="22"/>
              </w:rPr>
              <w:t>Govt</w:t>
            </w:r>
          </w:p>
        </w:tc>
        <w:tc>
          <w:tcPr>
            <w:tcW w:w="5281" w:type="dxa"/>
          </w:tcPr>
          <w:p>
            <w:pPr>
              <w:pStyle w:val="TableParagraph"/>
              <w:spacing w:before="94"/>
              <w:ind w:left="14" w:right="4"/>
              <w:jc w:val="center"/>
              <w:rPr>
                <w:sz w:val="22"/>
              </w:rPr>
            </w:pPr>
            <w:r>
              <w:rPr>
                <w:spacing w:val="-2"/>
                <w:sz w:val="22"/>
              </w:rPr>
              <w:t>Government</w:t>
            </w:r>
          </w:p>
        </w:tc>
      </w:tr>
      <w:tr>
        <w:trPr>
          <w:trHeight w:val="448" w:hRule="atLeast"/>
        </w:trPr>
        <w:tc>
          <w:tcPr>
            <w:tcW w:w="900" w:type="dxa"/>
          </w:tcPr>
          <w:p>
            <w:pPr>
              <w:pStyle w:val="TableParagraph"/>
              <w:spacing w:before="94"/>
              <w:ind w:left="10" w:right="3"/>
              <w:jc w:val="center"/>
              <w:rPr>
                <w:sz w:val="22"/>
              </w:rPr>
            </w:pPr>
            <w:r>
              <w:rPr>
                <w:spacing w:val="-5"/>
                <w:sz w:val="22"/>
              </w:rPr>
              <w:t>43</w:t>
            </w:r>
          </w:p>
        </w:tc>
        <w:tc>
          <w:tcPr>
            <w:tcW w:w="2007" w:type="dxa"/>
          </w:tcPr>
          <w:p>
            <w:pPr>
              <w:pStyle w:val="TableParagraph"/>
              <w:spacing w:before="94"/>
              <w:ind w:left="12" w:right="1"/>
              <w:jc w:val="center"/>
              <w:rPr>
                <w:sz w:val="22"/>
              </w:rPr>
            </w:pPr>
            <w:r>
              <w:rPr>
                <w:spacing w:val="-5"/>
                <w:sz w:val="22"/>
              </w:rPr>
              <w:t>GZ</w:t>
            </w:r>
          </w:p>
        </w:tc>
        <w:tc>
          <w:tcPr>
            <w:tcW w:w="5281" w:type="dxa"/>
          </w:tcPr>
          <w:p>
            <w:pPr>
              <w:pStyle w:val="TableParagraph"/>
              <w:spacing w:before="94"/>
              <w:ind w:left="14" w:right="4"/>
              <w:jc w:val="center"/>
              <w:rPr>
                <w:sz w:val="22"/>
              </w:rPr>
            </w:pPr>
            <w:r>
              <w:rPr>
                <w:sz w:val="22"/>
              </w:rPr>
              <w:t>Green</w:t>
            </w:r>
            <w:r>
              <w:rPr>
                <w:spacing w:val="-3"/>
                <w:sz w:val="22"/>
              </w:rPr>
              <w:t> </w:t>
            </w:r>
            <w:r>
              <w:rPr>
                <w:spacing w:val="-4"/>
                <w:sz w:val="22"/>
              </w:rPr>
              <w:t>Zone</w:t>
            </w:r>
          </w:p>
        </w:tc>
      </w:tr>
      <w:tr>
        <w:trPr>
          <w:trHeight w:val="451" w:hRule="atLeast"/>
        </w:trPr>
        <w:tc>
          <w:tcPr>
            <w:tcW w:w="900" w:type="dxa"/>
          </w:tcPr>
          <w:p>
            <w:pPr>
              <w:pStyle w:val="TableParagraph"/>
              <w:spacing w:before="97"/>
              <w:ind w:left="10" w:right="3"/>
              <w:jc w:val="center"/>
              <w:rPr>
                <w:sz w:val="22"/>
              </w:rPr>
            </w:pPr>
            <w:r>
              <w:rPr>
                <w:spacing w:val="-5"/>
                <w:sz w:val="22"/>
              </w:rPr>
              <w:t>44</w:t>
            </w:r>
          </w:p>
        </w:tc>
        <w:tc>
          <w:tcPr>
            <w:tcW w:w="2007" w:type="dxa"/>
          </w:tcPr>
          <w:p>
            <w:pPr>
              <w:pStyle w:val="TableParagraph"/>
              <w:spacing w:before="97"/>
              <w:ind w:left="12" w:right="3"/>
              <w:jc w:val="center"/>
              <w:rPr>
                <w:sz w:val="22"/>
              </w:rPr>
            </w:pPr>
            <w:r>
              <w:rPr>
                <w:spacing w:val="-5"/>
                <w:sz w:val="22"/>
              </w:rPr>
              <w:t>HIG</w:t>
            </w:r>
          </w:p>
        </w:tc>
        <w:tc>
          <w:tcPr>
            <w:tcW w:w="5281" w:type="dxa"/>
          </w:tcPr>
          <w:p>
            <w:pPr>
              <w:pStyle w:val="TableParagraph"/>
              <w:spacing w:before="97"/>
              <w:ind w:left="14" w:right="6"/>
              <w:jc w:val="center"/>
              <w:rPr>
                <w:sz w:val="22"/>
              </w:rPr>
            </w:pPr>
            <w:r>
              <w:rPr>
                <w:sz w:val="22"/>
              </w:rPr>
              <w:t>Higher</w:t>
            </w:r>
            <w:r>
              <w:rPr>
                <w:spacing w:val="-7"/>
                <w:sz w:val="22"/>
              </w:rPr>
              <w:t> </w:t>
            </w:r>
            <w:r>
              <w:rPr>
                <w:sz w:val="22"/>
              </w:rPr>
              <w:t>Income</w:t>
            </w:r>
            <w:r>
              <w:rPr>
                <w:spacing w:val="-5"/>
                <w:sz w:val="22"/>
              </w:rPr>
              <w:t> </w:t>
            </w:r>
            <w:r>
              <w:rPr>
                <w:spacing w:val="-2"/>
                <w:sz w:val="22"/>
              </w:rPr>
              <w:t>Group</w:t>
            </w:r>
          </w:p>
        </w:tc>
      </w:tr>
      <w:tr>
        <w:trPr>
          <w:trHeight w:val="450" w:hRule="atLeast"/>
        </w:trPr>
        <w:tc>
          <w:tcPr>
            <w:tcW w:w="900" w:type="dxa"/>
          </w:tcPr>
          <w:p>
            <w:pPr>
              <w:pStyle w:val="TableParagraph"/>
              <w:spacing w:before="94"/>
              <w:ind w:left="10" w:right="3"/>
              <w:jc w:val="center"/>
              <w:rPr>
                <w:sz w:val="22"/>
              </w:rPr>
            </w:pPr>
            <w:r>
              <w:rPr>
                <w:spacing w:val="-5"/>
                <w:sz w:val="22"/>
              </w:rPr>
              <w:t>45</w:t>
            </w:r>
          </w:p>
        </w:tc>
        <w:tc>
          <w:tcPr>
            <w:tcW w:w="2007" w:type="dxa"/>
          </w:tcPr>
          <w:p>
            <w:pPr>
              <w:pStyle w:val="TableParagraph"/>
              <w:spacing w:before="94"/>
              <w:ind w:left="12" w:right="1"/>
              <w:jc w:val="center"/>
              <w:rPr>
                <w:sz w:val="22"/>
              </w:rPr>
            </w:pPr>
            <w:r>
              <w:rPr>
                <w:spacing w:val="-5"/>
                <w:sz w:val="22"/>
              </w:rPr>
              <w:t>HPC</w:t>
            </w:r>
          </w:p>
        </w:tc>
        <w:tc>
          <w:tcPr>
            <w:tcW w:w="5281" w:type="dxa"/>
          </w:tcPr>
          <w:p>
            <w:pPr>
              <w:pStyle w:val="TableParagraph"/>
              <w:spacing w:before="94"/>
              <w:ind w:left="14" w:right="4"/>
              <w:jc w:val="center"/>
              <w:rPr>
                <w:sz w:val="22"/>
              </w:rPr>
            </w:pPr>
            <w:r>
              <w:rPr>
                <w:sz w:val="22"/>
              </w:rPr>
              <w:t>High</w:t>
            </w:r>
            <w:r>
              <w:rPr>
                <w:spacing w:val="-4"/>
                <w:sz w:val="22"/>
              </w:rPr>
              <w:t> </w:t>
            </w:r>
            <w:r>
              <w:rPr>
                <w:sz w:val="22"/>
              </w:rPr>
              <w:t>Power</w:t>
            </w:r>
            <w:r>
              <w:rPr>
                <w:spacing w:val="-4"/>
                <w:sz w:val="22"/>
              </w:rPr>
              <w:t> </w:t>
            </w:r>
            <w:r>
              <w:rPr>
                <w:spacing w:val="-2"/>
                <w:sz w:val="22"/>
              </w:rPr>
              <w:t>Committee</w:t>
            </w:r>
          </w:p>
        </w:tc>
      </w:tr>
      <w:tr>
        <w:trPr>
          <w:trHeight w:val="450" w:hRule="atLeast"/>
        </w:trPr>
        <w:tc>
          <w:tcPr>
            <w:tcW w:w="900" w:type="dxa"/>
          </w:tcPr>
          <w:p>
            <w:pPr>
              <w:pStyle w:val="TableParagraph"/>
              <w:spacing w:before="94"/>
              <w:ind w:left="10" w:right="3"/>
              <w:jc w:val="center"/>
              <w:rPr>
                <w:sz w:val="22"/>
              </w:rPr>
            </w:pPr>
            <w:r>
              <w:rPr>
                <w:spacing w:val="-5"/>
                <w:sz w:val="22"/>
              </w:rPr>
              <w:t>46</w:t>
            </w:r>
          </w:p>
        </w:tc>
        <w:tc>
          <w:tcPr>
            <w:tcW w:w="2007" w:type="dxa"/>
          </w:tcPr>
          <w:p>
            <w:pPr>
              <w:pStyle w:val="TableParagraph"/>
              <w:spacing w:before="94"/>
              <w:ind w:left="12"/>
              <w:jc w:val="center"/>
              <w:rPr>
                <w:sz w:val="22"/>
              </w:rPr>
            </w:pPr>
            <w:r>
              <w:rPr>
                <w:spacing w:val="-5"/>
                <w:sz w:val="22"/>
              </w:rPr>
              <w:t>HT</w:t>
            </w:r>
          </w:p>
        </w:tc>
        <w:tc>
          <w:tcPr>
            <w:tcW w:w="5281" w:type="dxa"/>
          </w:tcPr>
          <w:p>
            <w:pPr>
              <w:pStyle w:val="TableParagraph"/>
              <w:spacing w:before="94"/>
              <w:ind w:left="14" w:right="5"/>
              <w:jc w:val="center"/>
              <w:rPr>
                <w:sz w:val="22"/>
              </w:rPr>
            </w:pPr>
            <w:r>
              <w:rPr>
                <w:sz w:val="22"/>
              </w:rPr>
              <w:t>High</w:t>
            </w:r>
            <w:r>
              <w:rPr>
                <w:spacing w:val="-5"/>
                <w:sz w:val="22"/>
              </w:rPr>
              <w:t> </w:t>
            </w:r>
            <w:r>
              <w:rPr>
                <w:spacing w:val="-2"/>
                <w:sz w:val="22"/>
              </w:rPr>
              <w:t>Tension</w:t>
            </w:r>
          </w:p>
        </w:tc>
      </w:tr>
      <w:tr>
        <w:trPr>
          <w:trHeight w:val="448" w:hRule="atLeast"/>
        </w:trPr>
        <w:tc>
          <w:tcPr>
            <w:tcW w:w="900" w:type="dxa"/>
          </w:tcPr>
          <w:p>
            <w:pPr>
              <w:pStyle w:val="TableParagraph"/>
              <w:spacing w:before="94"/>
              <w:ind w:left="10" w:right="3"/>
              <w:jc w:val="center"/>
              <w:rPr>
                <w:sz w:val="22"/>
              </w:rPr>
            </w:pPr>
            <w:r>
              <w:rPr>
                <w:spacing w:val="-5"/>
                <w:sz w:val="22"/>
              </w:rPr>
              <w:t>47</w:t>
            </w:r>
          </w:p>
        </w:tc>
        <w:tc>
          <w:tcPr>
            <w:tcW w:w="2007" w:type="dxa"/>
          </w:tcPr>
          <w:p>
            <w:pPr>
              <w:pStyle w:val="TableParagraph"/>
              <w:spacing w:before="94"/>
              <w:ind w:left="12" w:right="2"/>
              <w:jc w:val="center"/>
              <w:rPr>
                <w:sz w:val="22"/>
              </w:rPr>
            </w:pPr>
            <w:r>
              <w:rPr>
                <w:spacing w:val="-5"/>
                <w:sz w:val="22"/>
              </w:rPr>
              <w:t>IOD</w:t>
            </w:r>
          </w:p>
        </w:tc>
        <w:tc>
          <w:tcPr>
            <w:tcW w:w="5281" w:type="dxa"/>
          </w:tcPr>
          <w:p>
            <w:pPr>
              <w:pStyle w:val="TableParagraph"/>
              <w:spacing w:before="94"/>
              <w:ind w:left="14" w:right="6"/>
              <w:jc w:val="center"/>
              <w:rPr>
                <w:sz w:val="22"/>
              </w:rPr>
            </w:pPr>
            <w:r>
              <w:rPr>
                <w:sz w:val="22"/>
              </w:rPr>
              <w:t>Intimation</w:t>
            </w:r>
            <w:r>
              <w:rPr>
                <w:spacing w:val="-6"/>
                <w:sz w:val="22"/>
              </w:rPr>
              <w:t> </w:t>
            </w:r>
            <w:r>
              <w:rPr>
                <w:sz w:val="22"/>
              </w:rPr>
              <w:t>of</w:t>
            </w:r>
            <w:r>
              <w:rPr>
                <w:spacing w:val="-5"/>
                <w:sz w:val="22"/>
              </w:rPr>
              <w:t> </w:t>
            </w:r>
            <w:r>
              <w:rPr>
                <w:spacing w:val="-2"/>
                <w:sz w:val="22"/>
              </w:rPr>
              <w:t>Disapproval</w:t>
            </w:r>
          </w:p>
        </w:tc>
      </w:tr>
      <w:tr>
        <w:trPr>
          <w:trHeight w:val="450" w:hRule="atLeast"/>
        </w:trPr>
        <w:tc>
          <w:tcPr>
            <w:tcW w:w="900" w:type="dxa"/>
          </w:tcPr>
          <w:p>
            <w:pPr>
              <w:pStyle w:val="TableParagraph"/>
              <w:spacing w:before="97"/>
              <w:ind w:left="10" w:right="3"/>
              <w:jc w:val="center"/>
              <w:rPr>
                <w:sz w:val="22"/>
              </w:rPr>
            </w:pPr>
            <w:r>
              <w:rPr>
                <w:spacing w:val="-5"/>
                <w:sz w:val="22"/>
              </w:rPr>
              <w:t>48</w:t>
            </w:r>
          </w:p>
        </w:tc>
        <w:tc>
          <w:tcPr>
            <w:tcW w:w="2007" w:type="dxa"/>
          </w:tcPr>
          <w:p>
            <w:pPr>
              <w:pStyle w:val="TableParagraph"/>
              <w:spacing w:before="97"/>
              <w:ind w:left="12" w:right="3"/>
              <w:jc w:val="center"/>
              <w:rPr>
                <w:sz w:val="22"/>
              </w:rPr>
            </w:pPr>
            <w:r>
              <w:rPr>
                <w:spacing w:val="-5"/>
                <w:sz w:val="22"/>
              </w:rPr>
              <w:t>IH</w:t>
            </w:r>
          </w:p>
        </w:tc>
        <w:tc>
          <w:tcPr>
            <w:tcW w:w="5281" w:type="dxa"/>
          </w:tcPr>
          <w:p>
            <w:pPr>
              <w:pStyle w:val="TableParagraph"/>
              <w:spacing w:before="97"/>
              <w:ind w:left="14" w:right="3"/>
              <w:jc w:val="center"/>
              <w:rPr>
                <w:sz w:val="22"/>
              </w:rPr>
            </w:pPr>
            <w:r>
              <w:rPr>
                <w:sz w:val="22"/>
              </w:rPr>
              <w:t>Inclusive</w:t>
            </w:r>
            <w:r>
              <w:rPr>
                <w:spacing w:val="-8"/>
                <w:sz w:val="22"/>
              </w:rPr>
              <w:t> </w:t>
            </w:r>
            <w:r>
              <w:rPr>
                <w:spacing w:val="-2"/>
                <w:sz w:val="22"/>
              </w:rPr>
              <w:t>Housing</w:t>
            </w:r>
          </w:p>
        </w:tc>
      </w:tr>
    </w:tbl>
    <w:p>
      <w:pPr>
        <w:pStyle w:val="TableParagraph"/>
        <w:spacing w:after="0"/>
        <w:jc w:val="center"/>
        <w:rPr>
          <w:sz w:val="22"/>
        </w:rPr>
        <w:sectPr>
          <w:pgSz w:w="11910" w:h="16840"/>
          <w:pgMar w:header="1132" w:footer="1321" w:top="1560" w:bottom="1520" w:left="360" w:right="360"/>
        </w:sectPr>
      </w:pPr>
    </w:p>
    <w:p>
      <w:pPr>
        <w:pStyle w:val="BodyText"/>
        <w:spacing w:before="6"/>
        <w:jc w:val="left"/>
        <w:rPr>
          <w:sz w:val="15"/>
        </w:rPr>
      </w:pPr>
    </w:p>
    <w:tbl>
      <w:tblPr>
        <w:tblW w:w="0" w:type="auto"/>
        <w:jc w:val="left"/>
        <w:tblInd w:w="1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2007"/>
        <w:gridCol w:w="5281"/>
      </w:tblGrid>
      <w:tr>
        <w:trPr>
          <w:trHeight w:val="568" w:hRule="atLeast"/>
        </w:trPr>
        <w:tc>
          <w:tcPr>
            <w:tcW w:w="8188" w:type="dxa"/>
            <w:gridSpan w:val="3"/>
            <w:shd w:val="clear" w:color="auto" w:fill="E7E6E6"/>
          </w:tcPr>
          <w:p>
            <w:pPr>
              <w:pStyle w:val="TableParagraph"/>
              <w:spacing w:before="97"/>
              <w:ind w:left="3"/>
              <w:jc w:val="center"/>
              <w:rPr>
                <w:b/>
                <w:sz w:val="32"/>
              </w:rPr>
            </w:pPr>
            <w:r>
              <w:rPr>
                <w:b/>
                <w:spacing w:val="-2"/>
                <w:sz w:val="32"/>
              </w:rPr>
              <w:t>ABBREVIATIONS</w:t>
            </w:r>
          </w:p>
        </w:tc>
      </w:tr>
      <w:tr>
        <w:trPr>
          <w:trHeight w:val="709" w:hRule="atLeast"/>
        </w:trPr>
        <w:tc>
          <w:tcPr>
            <w:tcW w:w="900" w:type="dxa"/>
            <w:shd w:val="clear" w:color="auto" w:fill="E7E6E6"/>
          </w:tcPr>
          <w:p>
            <w:pPr>
              <w:pStyle w:val="TableParagraph"/>
              <w:spacing w:before="94"/>
              <w:ind w:left="280" w:right="261" w:firstLine="9"/>
              <w:rPr>
                <w:b/>
                <w:sz w:val="22"/>
              </w:rPr>
            </w:pPr>
            <w:r>
              <w:rPr>
                <w:b/>
                <w:spacing w:val="-6"/>
                <w:sz w:val="22"/>
              </w:rPr>
              <w:t>SR </w:t>
            </w:r>
            <w:r>
              <w:rPr>
                <w:b/>
                <w:spacing w:val="-5"/>
                <w:sz w:val="22"/>
              </w:rPr>
              <w:t>NO</w:t>
            </w:r>
          </w:p>
        </w:tc>
        <w:tc>
          <w:tcPr>
            <w:tcW w:w="2007" w:type="dxa"/>
            <w:shd w:val="clear" w:color="auto" w:fill="E7E6E6"/>
          </w:tcPr>
          <w:p>
            <w:pPr>
              <w:pStyle w:val="TableParagraph"/>
              <w:spacing w:before="224"/>
              <w:ind w:left="12" w:right="2"/>
              <w:jc w:val="center"/>
              <w:rPr>
                <w:b/>
                <w:sz w:val="22"/>
              </w:rPr>
            </w:pPr>
            <w:r>
              <w:rPr>
                <w:b/>
                <w:spacing w:val="-2"/>
                <w:sz w:val="22"/>
              </w:rPr>
              <w:t>ABBREVIATION</w:t>
            </w:r>
          </w:p>
        </w:tc>
        <w:tc>
          <w:tcPr>
            <w:tcW w:w="5281" w:type="dxa"/>
            <w:shd w:val="clear" w:color="auto" w:fill="E7E6E6"/>
          </w:tcPr>
          <w:p>
            <w:pPr>
              <w:pStyle w:val="TableParagraph"/>
              <w:spacing w:before="224"/>
              <w:ind w:left="14" w:right="3"/>
              <w:jc w:val="center"/>
              <w:rPr>
                <w:b/>
                <w:sz w:val="22"/>
              </w:rPr>
            </w:pPr>
            <w:r>
              <w:rPr>
                <w:b/>
                <w:spacing w:val="-2"/>
                <w:sz w:val="22"/>
              </w:rPr>
              <w:t>DESCRIPTION</w:t>
            </w:r>
          </w:p>
        </w:tc>
      </w:tr>
      <w:tr>
        <w:trPr>
          <w:trHeight w:val="448" w:hRule="atLeast"/>
        </w:trPr>
        <w:tc>
          <w:tcPr>
            <w:tcW w:w="900" w:type="dxa"/>
          </w:tcPr>
          <w:p>
            <w:pPr>
              <w:pStyle w:val="TableParagraph"/>
              <w:spacing w:before="94"/>
              <w:ind w:left="10" w:right="3"/>
              <w:jc w:val="center"/>
              <w:rPr>
                <w:sz w:val="22"/>
              </w:rPr>
            </w:pPr>
            <w:r>
              <w:rPr>
                <w:spacing w:val="-5"/>
                <w:sz w:val="22"/>
              </w:rPr>
              <w:t>49</w:t>
            </w:r>
          </w:p>
        </w:tc>
        <w:tc>
          <w:tcPr>
            <w:tcW w:w="2007" w:type="dxa"/>
          </w:tcPr>
          <w:p>
            <w:pPr>
              <w:pStyle w:val="TableParagraph"/>
              <w:spacing w:before="94"/>
              <w:ind w:left="12" w:right="5"/>
              <w:jc w:val="center"/>
              <w:rPr>
                <w:sz w:val="22"/>
              </w:rPr>
            </w:pPr>
            <w:r>
              <w:rPr>
                <w:spacing w:val="-5"/>
                <w:sz w:val="22"/>
              </w:rPr>
              <w:t>IOA</w:t>
            </w:r>
          </w:p>
        </w:tc>
        <w:tc>
          <w:tcPr>
            <w:tcW w:w="5281" w:type="dxa"/>
          </w:tcPr>
          <w:p>
            <w:pPr>
              <w:pStyle w:val="TableParagraph"/>
              <w:spacing w:before="94"/>
              <w:ind w:left="14" w:right="3"/>
              <w:jc w:val="center"/>
              <w:rPr>
                <w:sz w:val="22"/>
              </w:rPr>
            </w:pPr>
            <w:r>
              <w:rPr>
                <w:sz w:val="22"/>
              </w:rPr>
              <w:t>Intimation</w:t>
            </w:r>
            <w:r>
              <w:rPr>
                <w:spacing w:val="-6"/>
                <w:sz w:val="22"/>
              </w:rPr>
              <w:t> </w:t>
            </w:r>
            <w:r>
              <w:rPr>
                <w:sz w:val="22"/>
              </w:rPr>
              <w:t>of</w:t>
            </w:r>
            <w:r>
              <w:rPr>
                <w:spacing w:val="-5"/>
                <w:sz w:val="22"/>
              </w:rPr>
              <w:t> </w:t>
            </w:r>
            <w:r>
              <w:rPr>
                <w:spacing w:val="-2"/>
                <w:sz w:val="22"/>
              </w:rPr>
              <w:t>Approval</w:t>
            </w:r>
          </w:p>
        </w:tc>
      </w:tr>
      <w:tr>
        <w:trPr>
          <w:trHeight w:val="710" w:hRule="atLeast"/>
        </w:trPr>
        <w:tc>
          <w:tcPr>
            <w:tcW w:w="900" w:type="dxa"/>
          </w:tcPr>
          <w:p>
            <w:pPr>
              <w:pStyle w:val="TableParagraph"/>
              <w:spacing w:before="94"/>
              <w:ind w:left="10" w:right="3"/>
              <w:jc w:val="center"/>
              <w:rPr>
                <w:sz w:val="22"/>
              </w:rPr>
            </w:pPr>
            <w:r>
              <w:rPr>
                <w:spacing w:val="-5"/>
                <w:sz w:val="22"/>
              </w:rPr>
              <w:t>50</w:t>
            </w:r>
          </w:p>
        </w:tc>
        <w:tc>
          <w:tcPr>
            <w:tcW w:w="2007" w:type="dxa"/>
          </w:tcPr>
          <w:p>
            <w:pPr>
              <w:pStyle w:val="TableParagraph"/>
              <w:spacing w:before="94"/>
              <w:ind w:left="12" w:right="6"/>
              <w:jc w:val="center"/>
              <w:rPr>
                <w:sz w:val="22"/>
              </w:rPr>
            </w:pPr>
            <w:r>
              <w:rPr>
                <w:spacing w:val="-2"/>
                <w:sz w:val="22"/>
              </w:rPr>
              <w:t>IT/ITES</w:t>
            </w:r>
          </w:p>
        </w:tc>
        <w:tc>
          <w:tcPr>
            <w:tcW w:w="5281" w:type="dxa"/>
          </w:tcPr>
          <w:p>
            <w:pPr>
              <w:pStyle w:val="TableParagraph"/>
              <w:spacing w:before="94"/>
              <w:ind w:left="1084" w:hanging="413"/>
              <w:rPr>
                <w:sz w:val="22"/>
              </w:rPr>
            </w:pPr>
            <w:r>
              <w:rPr>
                <w:sz w:val="22"/>
              </w:rPr>
              <w:t>Information</w:t>
            </w:r>
            <w:r>
              <w:rPr>
                <w:spacing w:val="-18"/>
                <w:sz w:val="22"/>
              </w:rPr>
              <w:t> </w:t>
            </w:r>
            <w:r>
              <w:rPr>
                <w:sz w:val="22"/>
              </w:rPr>
              <w:t>Technology/Information Technology Enabled Services</w:t>
            </w:r>
          </w:p>
        </w:tc>
      </w:tr>
      <w:tr>
        <w:trPr>
          <w:trHeight w:val="448" w:hRule="atLeast"/>
        </w:trPr>
        <w:tc>
          <w:tcPr>
            <w:tcW w:w="900" w:type="dxa"/>
          </w:tcPr>
          <w:p>
            <w:pPr>
              <w:pStyle w:val="TableParagraph"/>
              <w:spacing w:before="94"/>
              <w:ind w:left="10" w:right="3"/>
              <w:jc w:val="center"/>
              <w:rPr>
                <w:sz w:val="22"/>
              </w:rPr>
            </w:pPr>
            <w:r>
              <w:rPr>
                <w:spacing w:val="-5"/>
                <w:sz w:val="22"/>
              </w:rPr>
              <w:t>51</w:t>
            </w:r>
          </w:p>
        </w:tc>
        <w:tc>
          <w:tcPr>
            <w:tcW w:w="2007" w:type="dxa"/>
          </w:tcPr>
          <w:p>
            <w:pPr>
              <w:pStyle w:val="TableParagraph"/>
              <w:spacing w:before="94"/>
              <w:ind w:left="12" w:right="5"/>
              <w:jc w:val="center"/>
              <w:rPr>
                <w:sz w:val="22"/>
              </w:rPr>
            </w:pPr>
            <w:r>
              <w:rPr>
                <w:spacing w:val="-5"/>
                <w:sz w:val="22"/>
              </w:rPr>
              <w:t>LOS</w:t>
            </w:r>
          </w:p>
        </w:tc>
        <w:tc>
          <w:tcPr>
            <w:tcW w:w="5281" w:type="dxa"/>
          </w:tcPr>
          <w:p>
            <w:pPr>
              <w:pStyle w:val="TableParagraph"/>
              <w:spacing w:before="94"/>
              <w:ind w:left="14" w:right="9"/>
              <w:jc w:val="center"/>
              <w:rPr>
                <w:sz w:val="22"/>
              </w:rPr>
            </w:pPr>
            <w:r>
              <w:rPr>
                <w:sz w:val="22"/>
              </w:rPr>
              <w:t>Layout</w:t>
            </w:r>
            <w:r>
              <w:rPr>
                <w:spacing w:val="-11"/>
                <w:sz w:val="22"/>
              </w:rPr>
              <w:t> </w:t>
            </w:r>
            <w:r>
              <w:rPr>
                <w:sz w:val="22"/>
              </w:rPr>
              <w:t>Recreational</w:t>
            </w:r>
            <w:r>
              <w:rPr>
                <w:spacing w:val="-10"/>
                <w:sz w:val="22"/>
              </w:rPr>
              <w:t> </w:t>
            </w:r>
            <w:r>
              <w:rPr>
                <w:sz w:val="22"/>
              </w:rPr>
              <w:t>Ground/Open</w:t>
            </w:r>
            <w:r>
              <w:rPr>
                <w:spacing w:val="-9"/>
                <w:sz w:val="22"/>
              </w:rPr>
              <w:t> </w:t>
            </w:r>
            <w:r>
              <w:rPr>
                <w:spacing w:val="-4"/>
                <w:sz w:val="22"/>
              </w:rPr>
              <w:t>Space</w:t>
            </w:r>
          </w:p>
        </w:tc>
      </w:tr>
      <w:tr>
        <w:trPr>
          <w:trHeight w:val="450" w:hRule="atLeast"/>
        </w:trPr>
        <w:tc>
          <w:tcPr>
            <w:tcW w:w="900" w:type="dxa"/>
          </w:tcPr>
          <w:p>
            <w:pPr>
              <w:pStyle w:val="TableParagraph"/>
              <w:spacing w:before="97"/>
              <w:ind w:left="10" w:right="3"/>
              <w:jc w:val="center"/>
              <w:rPr>
                <w:sz w:val="22"/>
              </w:rPr>
            </w:pPr>
            <w:r>
              <w:rPr>
                <w:spacing w:val="-5"/>
                <w:sz w:val="22"/>
              </w:rPr>
              <w:t>52</w:t>
            </w:r>
          </w:p>
        </w:tc>
        <w:tc>
          <w:tcPr>
            <w:tcW w:w="2007" w:type="dxa"/>
          </w:tcPr>
          <w:p>
            <w:pPr>
              <w:pStyle w:val="TableParagraph"/>
              <w:spacing w:before="97"/>
              <w:ind w:left="12" w:right="5"/>
              <w:jc w:val="center"/>
              <w:rPr>
                <w:sz w:val="22"/>
              </w:rPr>
            </w:pPr>
            <w:r>
              <w:rPr>
                <w:spacing w:val="-5"/>
                <w:sz w:val="22"/>
              </w:rPr>
              <w:t>LIG</w:t>
            </w:r>
          </w:p>
        </w:tc>
        <w:tc>
          <w:tcPr>
            <w:tcW w:w="5281" w:type="dxa"/>
          </w:tcPr>
          <w:p>
            <w:pPr>
              <w:pStyle w:val="TableParagraph"/>
              <w:spacing w:before="97"/>
              <w:ind w:left="14" w:right="3"/>
              <w:jc w:val="center"/>
              <w:rPr>
                <w:sz w:val="22"/>
              </w:rPr>
            </w:pPr>
            <w:r>
              <w:rPr>
                <w:sz w:val="22"/>
              </w:rPr>
              <w:t>Lower</w:t>
            </w:r>
            <w:r>
              <w:rPr>
                <w:spacing w:val="-6"/>
                <w:sz w:val="22"/>
              </w:rPr>
              <w:t> </w:t>
            </w:r>
            <w:r>
              <w:rPr>
                <w:sz w:val="22"/>
              </w:rPr>
              <w:t>Income</w:t>
            </w:r>
            <w:r>
              <w:rPr>
                <w:spacing w:val="-5"/>
                <w:sz w:val="22"/>
              </w:rPr>
              <w:t> </w:t>
            </w:r>
            <w:r>
              <w:rPr>
                <w:spacing w:val="-2"/>
                <w:sz w:val="22"/>
              </w:rPr>
              <w:t>Group</w:t>
            </w:r>
          </w:p>
        </w:tc>
      </w:tr>
      <w:tr>
        <w:trPr>
          <w:trHeight w:val="451" w:hRule="atLeast"/>
        </w:trPr>
        <w:tc>
          <w:tcPr>
            <w:tcW w:w="900" w:type="dxa"/>
          </w:tcPr>
          <w:p>
            <w:pPr>
              <w:pStyle w:val="TableParagraph"/>
              <w:spacing w:before="95"/>
              <w:ind w:left="10" w:right="3"/>
              <w:jc w:val="center"/>
              <w:rPr>
                <w:sz w:val="22"/>
              </w:rPr>
            </w:pPr>
            <w:r>
              <w:rPr>
                <w:spacing w:val="-5"/>
                <w:sz w:val="22"/>
              </w:rPr>
              <w:t>53</w:t>
            </w:r>
          </w:p>
        </w:tc>
        <w:tc>
          <w:tcPr>
            <w:tcW w:w="2007" w:type="dxa"/>
          </w:tcPr>
          <w:p>
            <w:pPr>
              <w:pStyle w:val="TableParagraph"/>
              <w:spacing w:before="95"/>
              <w:ind w:left="12" w:right="3"/>
              <w:jc w:val="center"/>
              <w:rPr>
                <w:sz w:val="22"/>
              </w:rPr>
            </w:pPr>
            <w:r>
              <w:rPr>
                <w:spacing w:val="-5"/>
                <w:sz w:val="22"/>
              </w:rPr>
              <w:t>LOI</w:t>
            </w:r>
          </w:p>
        </w:tc>
        <w:tc>
          <w:tcPr>
            <w:tcW w:w="5281" w:type="dxa"/>
          </w:tcPr>
          <w:p>
            <w:pPr>
              <w:pStyle w:val="TableParagraph"/>
              <w:spacing w:before="95"/>
              <w:ind w:left="14" w:right="1"/>
              <w:jc w:val="center"/>
              <w:rPr>
                <w:sz w:val="22"/>
              </w:rPr>
            </w:pPr>
            <w:r>
              <w:rPr>
                <w:sz w:val="22"/>
              </w:rPr>
              <w:t>Letter</w:t>
            </w:r>
            <w:r>
              <w:rPr>
                <w:spacing w:val="-6"/>
                <w:sz w:val="22"/>
              </w:rPr>
              <w:t> </w:t>
            </w:r>
            <w:r>
              <w:rPr>
                <w:sz w:val="22"/>
              </w:rPr>
              <w:t>of</w:t>
            </w:r>
            <w:r>
              <w:rPr>
                <w:spacing w:val="-3"/>
                <w:sz w:val="22"/>
              </w:rPr>
              <w:t> </w:t>
            </w:r>
            <w:r>
              <w:rPr>
                <w:spacing w:val="-2"/>
                <w:sz w:val="22"/>
              </w:rPr>
              <w:t>Intent</w:t>
            </w:r>
          </w:p>
        </w:tc>
      </w:tr>
      <w:tr>
        <w:trPr>
          <w:trHeight w:val="450" w:hRule="atLeast"/>
        </w:trPr>
        <w:tc>
          <w:tcPr>
            <w:tcW w:w="900" w:type="dxa"/>
          </w:tcPr>
          <w:p>
            <w:pPr>
              <w:pStyle w:val="TableParagraph"/>
              <w:spacing w:before="94"/>
              <w:ind w:left="10" w:right="3"/>
              <w:jc w:val="center"/>
              <w:rPr>
                <w:sz w:val="22"/>
              </w:rPr>
            </w:pPr>
            <w:r>
              <w:rPr>
                <w:spacing w:val="-5"/>
                <w:sz w:val="22"/>
              </w:rPr>
              <w:t>54</w:t>
            </w:r>
          </w:p>
        </w:tc>
        <w:tc>
          <w:tcPr>
            <w:tcW w:w="2007" w:type="dxa"/>
          </w:tcPr>
          <w:p>
            <w:pPr>
              <w:pStyle w:val="TableParagraph"/>
              <w:spacing w:before="94"/>
              <w:ind w:left="12" w:right="4"/>
              <w:jc w:val="center"/>
              <w:rPr>
                <w:sz w:val="22"/>
              </w:rPr>
            </w:pPr>
            <w:r>
              <w:rPr>
                <w:spacing w:val="-5"/>
                <w:sz w:val="22"/>
              </w:rPr>
              <w:t>LRT</w:t>
            </w:r>
          </w:p>
        </w:tc>
        <w:tc>
          <w:tcPr>
            <w:tcW w:w="5281" w:type="dxa"/>
          </w:tcPr>
          <w:p>
            <w:pPr>
              <w:pStyle w:val="TableParagraph"/>
              <w:spacing w:before="94"/>
              <w:ind w:left="14" w:right="2"/>
              <w:jc w:val="center"/>
              <w:rPr>
                <w:sz w:val="22"/>
              </w:rPr>
            </w:pPr>
            <w:r>
              <w:rPr>
                <w:sz w:val="22"/>
              </w:rPr>
              <w:t>Light</w:t>
            </w:r>
            <w:r>
              <w:rPr>
                <w:spacing w:val="-3"/>
                <w:sz w:val="22"/>
              </w:rPr>
              <w:t> </w:t>
            </w:r>
            <w:r>
              <w:rPr>
                <w:sz w:val="22"/>
              </w:rPr>
              <w:t>Rail</w:t>
            </w:r>
            <w:r>
              <w:rPr>
                <w:spacing w:val="-3"/>
                <w:sz w:val="22"/>
              </w:rPr>
              <w:t> </w:t>
            </w:r>
            <w:r>
              <w:rPr>
                <w:spacing w:val="-2"/>
                <w:sz w:val="22"/>
              </w:rPr>
              <w:t>Transit</w:t>
            </w:r>
          </w:p>
        </w:tc>
      </w:tr>
      <w:tr>
        <w:trPr>
          <w:trHeight w:val="450" w:hRule="atLeast"/>
        </w:trPr>
        <w:tc>
          <w:tcPr>
            <w:tcW w:w="900" w:type="dxa"/>
          </w:tcPr>
          <w:p>
            <w:pPr>
              <w:pStyle w:val="TableParagraph"/>
              <w:spacing w:before="94"/>
              <w:ind w:left="10" w:right="3"/>
              <w:jc w:val="center"/>
              <w:rPr>
                <w:sz w:val="22"/>
              </w:rPr>
            </w:pPr>
            <w:r>
              <w:rPr>
                <w:spacing w:val="-5"/>
                <w:sz w:val="22"/>
              </w:rPr>
              <w:t>55</w:t>
            </w:r>
          </w:p>
        </w:tc>
        <w:tc>
          <w:tcPr>
            <w:tcW w:w="2007" w:type="dxa"/>
          </w:tcPr>
          <w:p>
            <w:pPr>
              <w:pStyle w:val="TableParagraph"/>
              <w:spacing w:before="94"/>
              <w:ind w:left="12" w:right="4"/>
              <w:jc w:val="center"/>
              <w:rPr>
                <w:sz w:val="22"/>
              </w:rPr>
            </w:pPr>
            <w:r>
              <w:rPr>
                <w:spacing w:val="-4"/>
                <w:sz w:val="22"/>
              </w:rPr>
              <w:t>MbPT</w:t>
            </w:r>
          </w:p>
        </w:tc>
        <w:tc>
          <w:tcPr>
            <w:tcW w:w="5281" w:type="dxa"/>
          </w:tcPr>
          <w:p>
            <w:pPr>
              <w:pStyle w:val="TableParagraph"/>
              <w:spacing w:before="94"/>
              <w:ind w:left="14" w:right="4"/>
              <w:jc w:val="center"/>
              <w:rPr>
                <w:sz w:val="22"/>
              </w:rPr>
            </w:pPr>
            <w:r>
              <w:rPr>
                <w:sz w:val="22"/>
              </w:rPr>
              <w:t>Mumbai</w:t>
            </w:r>
            <w:r>
              <w:rPr>
                <w:spacing w:val="-6"/>
                <w:sz w:val="22"/>
              </w:rPr>
              <w:t> </w:t>
            </w:r>
            <w:r>
              <w:rPr>
                <w:sz w:val="22"/>
              </w:rPr>
              <w:t>Port</w:t>
            </w:r>
            <w:r>
              <w:rPr>
                <w:spacing w:val="-6"/>
                <w:sz w:val="22"/>
              </w:rPr>
              <w:t> </w:t>
            </w:r>
            <w:r>
              <w:rPr>
                <w:spacing w:val="-4"/>
                <w:sz w:val="22"/>
              </w:rPr>
              <w:t>Trust</w:t>
            </w:r>
          </w:p>
        </w:tc>
      </w:tr>
      <w:tr>
        <w:trPr>
          <w:trHeight w:val="707" w:hRule="atLeast"/>
        </w:trPr>
        <w:tc>
          <w:tcPr>
            <w:tcW w:w="900" w:type="dxa"/>
          </w:tcPr>
          <w:p>
            <w:pPr>
              <w:pStyle w:val="TableParagraph"/>
              <w:spacing w:before="94"/>
              <w:ind w:left="10" w:right="3"/>
              <w:jc w:val="center"/>
              <w:rPr>
                <w:sz w:val="22"/>
              </w:rPr>
            </w:pPr>
            <w:r>
              <w:rPr>
                <w:spacing w:val="-5"/>
                <w:sz w:val="22"/>
              </w:rPr>
              <w:t>56</w:t>
            </w:r>
          </w:p>
        </w:tc>
        <w:tc>
          <w:tcPr>
            <w:tcW w:w="2007" w:type="dxa"/>
          </w:tcPr>
          <w:p>
            <w:pPr>
              <w:pStyle w:val="TableParagraph"/>
              <w:spacing w:before="94"/>
              <w:ind w:left="12" w:right="1"/>
              <w:jc w:val="center"/>
              <w:rPr>
                <w:sz w:val="22"/>
              </w:rPr>
            </w:pPr>
            <w:r>
              <w:rPr>
                <w:spacing w:val="-2"/>
                <w:sz w:val="22"/>
              </w:rPr>
              <w:t>MBRRB</w:t>
            </w:r>
          </w:p>
        </w:tc>
        <w:tc>
          <w:tcPr>
            <w:tcW w:w="5281" w:type="dxa"/>
          </w:tcPr>
          <w:p>
            <w:pPr>
              <w:pStyle w:val="TableParagraph"/>
              <w:spacing w:before="94"/>
              <w:ind w:left="2316" w:hanging="1971"/>
              <w:rPr>
                <w:sz w:val="22"/>
              </w:rPr>
            </w:pPr>
            <w:r>
              <w:rPr>
                <w:sz w:val="22"/>
              </w:rPr>
              <w:t>Mumbai</w:t>
            </w:r>
            <w:r>
              <w:rPr>
                <w:spacing w:val="-10"/>
                <w:sz w:val="22"/>
              </w:rPr>
              <w:t> </w:t>
            </w:r>
            <w:r>
              <w:rPr>
                <w:sz w:val="22"/>
              </w:rPr>
              <w:t>Building</w:t>
            </w:r>
            <w:r>
              <w:rPr>
                <w:spacing w:val="-10"/>
                <w:sz w:val="22"/>
              </w:rPr>
              <w:t> </w:t>
            </w:r>
            <w:r>
              <w:rPr>
                <w:sz w:val="22"/>
              </w:rPr>
              <w:t>Repair</w:t>
            </w:r>
            <w:r>
              <w:rPr>
                <w:spacing w:val="-11"/>
                <w:sz w:val="22"/>
              </w:rPr>
              <w:t> </w:t>
            </w:r>
            <w:r>
              <w:rPr>
                <w:sz w:val="22"/>
              </w:rPr>
              <w:t>&amp;</w:t>
            </w:r>
            <w:r>
              <w:rPr>
                <w:spacing w:val="-10"/>
                <w:sz w:val="22"/>
              </w:rPr>
              <w:t> </w:t>
            </w:r>
            <w:r>
              <w:rPr>
                <w:sz w:val="22"/>
              </w:rPr>
              <w:t>Reconstruction </w:t>
            </w:r>
            <w:r>
              <w:rPr>
                <w:spacing w:val="-2"/>
                <w:sz w:val="22"/>
              </w:rPr>
              <w:t>Board</w:t>
            </w:r>
          </w:p>
        </w:tc>
      </w:tr>
      <w:tr>
        <w:trPr>
          <w:trHeight w:val="450" w:hRule="atLeast"/>
        </w:trPr>
        <w:tc>
          <w:tcPr>
            <w:tcW w:w="900" w:type="dxa"/>
          </w:tcPr>
          <w:p>
            <w:pPr>
              <w:pStyle w:val="TableParagraph"/>
              <w:spacing w:before="94"/>
              <w:ind w:left="10" w:right="3"/>
              <w:jc w:val="center"/>
              <w:rPr>
                <w:sz w:val="22"/>
              </w:rPr>
            </w:pPr>
            <w:r>
              <w:rPr>
                <w:spacing w:val="-5"/>
                <w:sz w:val="22"/>
              </w:rPr>
              <w:t>57</w:t>
            </w:r>
          </w:p>
        </w:tc>
        <w:tc>
          <w:tcPr>
            <w:tcW w:w="2007" w:type="dxa"/>
          </w:tcPr>
          <w:p>
            <w:pPr>
              <w:pStyle w:val="TableParagraph"/>
              <w:spacing w:before="94"/>
              <w:ind w:left="12" w:right="3"/>
              <w:jc w:val="center"/>
              <w:rPr>
                <w:sz w:val="22"/>
              </w:rPr>
            </w:pPr>
            <w:r>
              <w:rPr>
                <w:spacing w:val="-4"/>
                <w:sz w:val="22"/>
              </w:rPr>
              <w:t>MCGM</w:t>
            </w:r>
          </w:p>
        </w:tc>
        <w:tc>
          <w:tcPr>
            <w:tcW w:w="5281" w:type="dxa"/>
          </w:tcPr>
          <w:p>
            <w:pPr>
              <w:pStyle w:val="TableParagraph"/>
              <w:spacing w:before="94"/>
              <w:ind w:left="14" w:right="5"/>
              <w:jc w:val="center"/>
              <w:rPr>
                <w:sz w:val="22"/>
              </w:rPr>
            </w:pPr>
            <w:r>
              <w:rPr>
                <w:sz w:val="22"/>
              </w:rPr>
              <w:t>Municipal</w:t>
            </w:r>
            <w:r>
              <w:rPr>
                <w:spacing w:val="-6"/>
                <w:sz w:val="22"/>
              </w:rPr>
              <w:t> </w:t>
            </w:r>
            <w:r>
              <w:rPr>
                <w:sz w:val="22"/>
              </w:rPr>
              <w:t>Corporation</w:t>
            </w:r>
            <w:r>
              <w:rPr>
                <w:spacing w:val="-8"/>
                <w:sz w:val="22"/>
              </w:rPr>
              <w:t> </w:t>
            </w:r>
            <w:r>
              <w:rPr>
                <w:sz w:val="22"/>
              </w:rPr>
              <w:t>of</w:t>
            </w:r>
            <w:r>
              <w:rPr>
                <w:spacing w:val="-6"/>
                <w:sz w:val="22"/>
              </w:rPr>
              <w:t> </w:t>
            </w:r>
            <w:r>
              <w:rPr>
                <w:sz w:val="22"/>
              </w:rPr>
              <w:t>Greater</w:t>
            </w:r>
            <w:r>
              <w:rPr>
                <w:spacing w:val="-9"/>
                <w:sz w:val="22"/>
              </w:rPr>
              <w:t> </w:t>
            </w:r>
            <w:r>
              <w:rPr>
                <w:spacing w:val="-2"/>
                <w:sz w:val="22"/>
              </w:rPr>
              <w:t>Mumbai</w:t>
            </w:r>
          </w:p>
        </w:tc>
      </w:tr>
      <w:tr>
        <w:trPr>
          <w:trHeight w:val="707" w:hRule="atLeast"/>
        </w:trPr>
        <w:tc>
          <w:tcPr>
            <w:tcW w:w="900" w:type="dxa"/>
          </w:tcPr>
          <w:p>
            <w:pPr>
              <w:pStyle w:val="TableParagraph"/>
              <w:spacing w:before="94"/>
              <w:ind w:left="10" w:right="3"/>
              <w:jc w:val="center"/>
              <w:rPr>
                <w:sz w:val="22"/>
              </w:rPr>
            </w:pPr>
            <w:r>
              <w:rPr>
                <w:spacing w:val="-5"/>
                <w:sz w:val="22"/>
              </w:rPr>
              <w:t>58</w:t>
            </w:r>
          </w:p>
        </w:tc>
        <w:tc>
          <w:tcPr>
            <w:tcW w:w="2007" w:type="dxa"/>
          </w:tcPr>
          <w:p>
            <w:pPr>
              <w:pStyle w:val="TableParagraph"/>
              <w:spacing w:before="94"/>
              <w:ind w:left="12" w:right="3"/>
              <w:jc w:val="center"/>
              <w:rPr>
                <w:sz w:val="22"/>
              </w:rPr>
            </w:pPr>
            <w:r>
              <w:rPr>
                <w:spacing w:val="-2"/>
                <w:sz w:val="22"/>
              </w:rPr>
              <w:t>MCZMA</w:t>
            </w:r>
          </w:p>
        </w:tc>
        <w:tc>
          <w:tcPr>
            <w:tcW w:w="5281" w:type="dxa"/>
          </w:tcPr>
          <w:p>
            <w:pPr>
              <w:pStyle w:val="TableParagraph"/>
              <w:spacing w:before="94"/>
              <w:ind w:left="2131" w:hanging="1652"/>
              <w:rPr>
                <w:sz w:val="22"/>
              </w:rPr>
            </w:pPr>
            <w:r>
              <w:rPr>
                <w:sz w:val="22"/>
              </w:rPr>
              <w:t>Maharashtra</w:t>
            </w:r>
            <w:r>
              <w:rPr>
                <w:spacing w:val="-13"/>
                <w:sz w:val="22"/>
              </w:rPr>
              <w:t> </w:t>
            </w:r>
            <w:r>
              <w:rPr>
                <w:sz w:val="22"/>
              </w:rPr>
              <w:t>Coastal</w:t>
            </w:r>
            <w:r>
              <w:rPr>
                <w:spacing w:val="-14"/>
                <w:sz w:val="22"/>
              </w:rPr>
              <w:t> </w:t>
            </w:r>
            <w:r>
              <w:rPr>
                <w:sz w:val="22"/>
              </w:rPr>
              <w:t>Zone</w:t>
            </w:r>
            <w:r>
              <w:rPr>
                <w:spacing w:val="-12"/>
                <w:sz w:val="22"/>
              </w:rPr>
              <w:t> </w:t>
            </w:r>
            <w:r>
              <w:rPr>
                <w:sz w:val="22"/>
              </w:rPr>
              <w:t>Management </w:t>
            </w:r>
            <w:r>
              <w:rPr>
                <w:spacing w:val="-2"/>
                <w:sz w:val="22"/>
              </w:rPr>
              <w:t>Authority</w:t>
            </w:r>
          </w:p>
        </w:tc>
      </w:tr>
      <w:tr>
        <w:trPr>
          <w:trHeight w:val="450" w:hRule="atLeast"/>
        </w:trPr>
        <w:tc>
          <w:tcPr>
            <w:tcW w:w="900" w:type="dxa"/>
          </w:tcPr>
          <w:p>
            <w:pPr>
              <w:pStyle w:val="TableParagraph"/>
              <w:spacing w:before="94"/>
              <w:ind w:left="10" w:right="3"/>
              <w:jc w:val="center"/>
              <w:rPr>
                <w:sz w:val="22"/>
              </w:rPr>
            </w:pPr>
            <w:r>
              <w:rPr>
                <w:spacing w:val="-5"/>
                <w:sz w:val="22"/>
              </w:rPr>
              <w:t>59</w:t>
            </w:r>
          </w:p>
        </w:tc>
        <w:tc>
          <w:tcPr>
            <w:tcW w:w="2007" w:type="dxa"/>
          </w:tcPr>
          <w:p>
            <w:pPr>
              <w:pStyle w:val="TableParagraph"/>
              <w:spacing w:before="94"/>
              <w:ind w:left="12" w:right="3"/>
              <w:jc w:val="center"/>
              <w:rPr>
                <w:sz w:val="22"/>
              </w:rPr>
            </w:pPr>
            <w:r>
              <w:rPr>
                <w:sz w:val="22"/>
              </w:rPr>
              <w:t>MHAD</w:t>
            </w:r>
            <w:r>
              <w:rPr>
                <w:spacing w:val="-5"/>
                <w:sz w:val="22"/>
              </w:rPr>
              <w:t> Act</w:t>
            </w:r>
          </w:p>
        </w:tc>
        <w:tc>
          <w:tcPr>
            <w:tcW w:w="5281" w:type="dxa"/>
          </w:tcPr>
          <w:p>
            <w:pPr>
              <w:pStyle w:val="TableParagraph"/>
              <w:spacing w:before="94"/>
              <w:ind w:left="14" w:right="5"/>
              <w:jc w:val="center"/>
              <w:rPr>
                <w:sz w:val="22"/>
              </w:rPr>
            </w:pPr>
            <w:r>
              <w:rPr>
                <w:sz w:val="22"/>
              </w:rPr>
              <w:t>Maharashtra</w:t>
            </w:r>
            <w:r>
              <w:rPr>
                <w:spacing w:val="-7"/>
                <w:sz w:val="22"/>
              </w:rPr>
              <w:t> </w:t>
            </w:r>
            <w:r>
              <w:rPr>
                <w:sz w:val="22"/>
              </w:rPr>
              <w:t>Housing</w:t>
            </w:r>
            <w:r>
              <w:rPr>
                <w:spacing w:val="-8"/>
                <w:sz w:val="22"/>
              </w:rPr>
              <w:t> </w:t>
            </w:r>
            <w:r>
              <w:rPr>
                <w:sz w:val="22"/>
              </w:rPr>
              <w:t>&amp;</w:t>
            </w:r>
            <w:r>
              <w:rPr>
                <w:spacing w:val="-3"/>
                <w:sz w:val="22"/>
              </w:rPr>
              <w:t> </w:t>
            </w:r>
            <w:r>
              <w:rPr>
                <w:sz w:val="22"/>
              </w:rPr>
              <w:t>Area</w:t>
            </w:r>
            <w:r>
              <w:rPr>
                <w:spacing w:val="-7"/>
                <w:sz w:val="22"/>
              </w:rPr>
              <w:t> </w:t>
            </w:r>
            <w:r>
              <w:rPr>
                <w:sz w:val="22"/>
              </w:rPr>
              <w:t>Development</w:t>
            </w:r>
            <w:r>
              <w:rPr>
                <w:spacing w:val="-7"/>
                <w:sz w:val="22"/>
              </w:rPr>
              <w:t> </w:t>
            </w:r>
            <w:r>
              <w:rPr>
                <w:spacing w:val="-5"/>
                <w:sz w:val="22"/>
              </w:rPr>
              <w:t>Act</w:t>
            </w:r>
          </w:p>
        </w:tc>
      </w:tr>
      <w:tr>
        <w:trPr>
          <w:trHeight w:val="707" w:hRule="atLeast"/>
        </w:trPr>
        <w:tc>
          <w:tcPr>
            <w:tcW w:w="900" w:type="dxa"/>
          </w:tcPr>
          <w:p>
            <w:pPr>
              <w:pStyle w:val="TableParagraph"/>
              <w:spacing w:before="95"/>
              <w:ind w:left="10" w:right="3"/>
              <w:jc w:val="center"/>
              <w:rPr>
                <w:sz w:val="22"/>
              </w:rPr>
            </w:pPr>
            <w:r>
              <w:rPr>
                <w:spacing w:val="-5"/>
                <w:sz w:val="22"/>
              </w:rPr>
              <w:t>60</w:t>
            </w:r>
          </w:p>
        </w:tc>
        <w:tc>
          <w:tcPr>
            <w:tcW w:w="2007" w:type="dxa"/>
          </w:tcPr>
          <w:p>
            <w:pPr>
              <w:pStyle w:val="TableParagraph"/>
              <w:spacing w:before="95"/>
              <w:ind w:left="12" w:right="3"/>
              <w:jc w:val="center"/>
              <w:rPr>
                <w:sz w:val="22"/>
              </w:rPr>
            </w:pPr>
            <w:r>
              <w:rPr>
                <w:spacing w:val="-2"/>
                <w:sz w:val="22"/>
              </w:rPr>
              <w:t>MHADA</w:t>
            </w:r>
          </w:p>
        </w:tc>
        <w:tc>
          <w:tcPr>
            <w:tcW w:w="5281" w:type="dxa"/>
          </w:tcPr>
          <w:p>
            <w:pPr>
              <w:pStyle w:val="TableParagraph"/>
              <w:spacing w:before="95"/>
              <w:ind w:left="2131" w:hanging="1842"/>
              <w:rPr>
                <w:sz w:val="22"/>
              </w:rPr>
            </w:pPr>
            <w:r>
              <w:rPr>
                <w:sz w:val="22"/>
              </w:rPr>
              <w:t>Maharashtra</w:t>
            </w:r>
            <w:r>
              <w:rPr>
                <w:spacing w:val="-8"/>
                <w:sz w:val="22"/>
              </w:rPr>
              <w:t> </w:t>
            </w:r>
            <w:r>
              <w:rPr>
                <w:sz w:val="22"/>
              </w:rPr>
              <w:t>Housing</w:t>
            </w:r>
            <w:r>
              <w:rPr>
                <w:spacing w:val="40"/>
                <w:sz w:val="22"/>
              </w:rPr>
              <w:t> </w:t>
            </w:r>
            <w:r>
              <w:rPr>
                <w:sz w:val="22"/>
              </w:rPr>
              <w:t>&amp;</w:t>
            </w:r>
            <w:r>
              <w:rPr>
                <w:spacing w:val="-7"/>
                <w:sz w:val="22"/>
              </w:rPr>
              <w:t> </w:t>
            </w:r>
            <w:r>
              <w:rPr>
                <w:sz w:val="22"/>
              </w:rPr>
              <w:t>Area</w:t>
            </w:r>
            <w:r>
              <w:rPr>
                <w:spacing w:val="-8"/>
                <w:sz w:val="22"/>
              </w:rPr>
              <w:t> </w:t>
            </w:r>
            <w:r>
              <w:rPr>
                <w:sz w:val="22"/>
              </w:rPr>
              <w:t>Development </w:t>
            </w:r>
            <w:r>
              <w:rPr>
                <w:spacing w:val="-2"/>
                <w:sz w:val="22"/>
              </w:rPr>
              <w:t>Authority</w:t>
            </w:r>
          </w:p>
        </w:tc>
      </w:tr>
      <w:tr>
        <w:trPr>
          <w:trHeight w:val="450" w:hRule="atLeast"/>
        </w:trPr>
        <w:tc>
          <w:tcPr>
            <w:tcW w:w="900" w:type="dxa"/>
          </w:tcPr>
          <w:p>
            <w:pPr>
              <w:pStyle w:val="TableParagraph"/>
              <w:spacing w:before="94"/>
              <w:ind w:left="10" w:right="3"/>
              <w:jc w:val="center"/>
              <w:rPr>
                <w:sz w:val="22"/>
              </w:rPr>
            </w:pPr>
            <w:r>
              <w:rPr>
                <w:spacing w:val="-5"/>
                <w:sz w:val="22"/>
              </w:rPr>
              <w:t>61</w:t>
            </w:r>
          </w:p>
        </w:tc>
        <w:tc>
          <w:tcPr>
            <w:tcW w:w="2007" w:type="dxa"/>
          </w:tcPr>
          <w:p>
            <w:pPr>
              <w:pStyle w:val="TableParagraph"/>
              <w:spacing w:before="94"/>
              <w:ind w:left="12" w:right="4"/>
              <w:jc w:val="center"/>
              <w:rPr>
                <w:sz w:val="22"/>
              </w:rPr>
            </w:pPr>
            <w:r>
              <w:rPr>
                <w:spacing w:val="-4"/>
                <w:sz w:val="22"/>
              </w:rPr>
              <w:t>MHCC</w:t>
            </w:r>
          </w:p>
        </w:tc>
        <w:tc>
          <w:tcPr>
            <w:tcW w:w="5281" w:type="dxa"/>
          </w:tcPr>
          <w:p>
            <w:pPr>
              <w:pStyle w:val="TableParagraph"/>
              <w:spacing w:before="94"/>
              <w:ind w:left="14" w:right="5"/>
              <w:jc w:val="center"/>
              <w:rPr>
                <w:sz w:val="22"/>
              </w:rPr>
            </w:pPr>
            <w:r>
              <w:rPr>
                <w:sz w:val="22"/>
              </w:rPr>
              <w:t>Mumbai</w:t>
            </w:r>
            <w:r>
              <w:rPr>
                <w:spacing w:val="-9"/>
                <w:sz w:val="22"/>
              </w:rPr>
              <w:t> </w:t>
            </w:r>
            <w:r>
              <w:rPr>
                <w:sz w:val="22"/>
              </w:rPr>
              <w:t>Heritage</w:t>
            </w:r>
            <w:r>
              <w:rPr>
                <w:spacing w:val="-8"/>
                <w:sz w:val="22"/>
              </w:rPr>
              <w:t> </w:t>
            </w:r>
            <w:r>
              <w:rPr>
                <w:sz w:val="22"/>
              </w:rPr>
              <w:t>Conservation</w:t>
            </w:r>
            <w:r>
              <w:rPr>
                <w:spacing w:val="-8"/>
                <w:sz w:val="22"/>
              </w:rPr>
              <w:t> </w:t>
            </w:r>
            <w:r>
              <w:rPr>
                <w:spacing w:val="-2"/>
                <w:sz w:val="22"/>
              </w:rPr>
              <w:t>Committee</w:t>
            </w:r>
          </w:p>
        </w:tc>
      </w:tr>
      <w:tr>
        <w:trPr>
          <w:trHeight w:val="707" w:hRule="atLeast"/>
        </w:trPr>
        <w:tc>
          <w:tcPr>
            <w:tcW w:w="900" w:type="dxa"/>
          </w:tcPr>
          <w:p>
            <w:pPr>
              <w:pStyle w:val="TableParagraph"/>
              <w:spacing w:before="94"/>
              <w:ind w:left="10" w:right="3"/>
              <w:jc w:val="center"/>
              <w:rPr>
                <w:sz w:val="22"/>
              </w:rPr>
            </w:pPr>
            <w:r>
              <w:rPr>
                <w:spacing w:val="-5"/>
                <w:sz w:val="22"/>
              </w:rPr>
              <w:t>62</w:t>
            </w:r>
          </w:p>
        </w:tc>
        <w:tc>
          <w:tcPr>
            <w:tcW w:w="2007" w:type="dxa"/>
          </w:tcPr>
          <w:p>
            <w:pPr>
              <w:pStyle w:val="TableParagraph"/>
              <w:spacing w:before="94"/>
              <w:ind w:left="12" w:right="4"/>
              <w:jc w:val="center"/>
              <w:rPr>
                <w:sz w:val="22"/>
              </w:rPr>
            </w:pPr>
            <w:r>
              <w:rPr>
                <w:spacing w:val="-4"/>
                <w:sz w:val="22"/>
              </w:rPr>
              <w:t>MIDC</w:t>
            </w:r>
          </w:p>
        </w:tc>
        <w:tc>
          <w:tcPr>
            <w:tcW w:w="5281" w:type="dxa"/>
          </w:tcPr>
          <w:p>
            <w:pPr>
              <w:pStyle w:val="TableParagraph"/>
              <w:spacing w:before="94"/>
              <w:ind w:left="1999" w:hanging="1390"/>
              <w:rPr>
                <w:sz w:val="22"/>
              </w:rPr>
            </w:pPr>
            <w:r>
              <w:rPr>
                <w:sz w:val="22"/>
              </w:rPr>
              <w:t>Maharashtra</w:t>
            </w:r>
            <w:r>
              <w:rPr>
                <w:spacing w:val="40"/>
                <w:sz w:val="22"/>
              </w:rPr>
              <w:t> </w:t>
            </w:r>
            <w:r>
              <w:rPr>
                <w:sz w:val="22"/>
              </w:rPr>
              <w:t>Industrial</w:t>
            </w:r>
            <w:r>
              <w:rPr>
                <w:spacing w:val="-13"/>
                <w:sz w:val="22"/>
              </w:rPr>
              <w:t> </w:t>
            </w:r>
            <w:r>
              <w:rPr>
                <w:sz w:val="22"/>
              </w:rPr>
              <w:t>Development </w:t>
            </w:r>
            <w:r>
              <w:rPr>
                <w:spacing w:val="-2"/>
                <w:sz w:val="22"/>
              </w:rPr>
              <w:t>Corporation</w:t>
            </w:r>
          </w:p>
        </w:tc>
      </w:tr>
      <w:tr>
        <w:trPr>
          <w:trHeight w:val="450" w:hRule="atLeast"/>
        </w:trPr>
        <w:tc>
          <w:tcPr>
            <w:tcW w:w="900" w:type="dxa"/>
          </w:tcPr>
          <w:p>
            <w:pPr>
              <w:pStyle w:val="TableParagraph"/>
              <w:spacing w:before="94"/>
              <w:ind w:left="10" w:right="3"/>
              <w:jc w:val="center"/>
              <w:rPr>
                <w:sz w:val="22"/>
              </w:rPr>
            </w:pPr>
            <w:r>
              <w:rPr>
                <w:spacing w:val="-5"/>
                <w:sz w:val="22"/>
              </w:rPr>
              <w:t>63</w:t>
            </w:r>
          </w:p>
        </w:tc>
        <w:tc>
          <w:tcPr>
            <w:tcW w:w="2007" w:type="dxa"/>
          </w:tcPr>
          <w:p>
            <w:pPr>
              <w:pStyle w:val="TableParagraph"/>
              <w:spacing w:before="94"/>
              <w:ind w:left="12" w:right="5"/>
              <w:jc w:val="center"/>
              <w:rPr>
                <w:sz w:val="22"/>
              </w:rPr>
            </w:pPr>
            <w:r>
              <w:rPr>
                <w:spacing w:val="-5"/>
                <w:sz w:val="22"/>
              </w:rPr>
              <w:t>MIG</w:t>
            </w:r>
          </w:p>
        </w:tc>
        <w:tc>
          <w:tcPr>
            <w:tcW w:w="5281" w:type="dxa"/>
          </w:tcPr>
          <w:p>
            <w:pPr>
              <w:pStyle w:val="TableParagraph"/>
              <w:spacing w:before="94"/>
              <w:ind w:left="14" w:right="5"/>
              <w:jc w:val="center"/>
              <w:rPr>
                <w:sz w:val="22"/>
              </w:rPr>
            </w:pPr>
            <w:r>
              <w:rPr>
                <w:sz w:val="22"/>
              </w:rPr>
              <w:t>Middle</w:t>
            </w:r>
            <w:r>
              <w:rPr>
                <w:spacing w:val="-8"/>
                <w:sz w:val="22"/>
              </w:rPr>
              <w:t> </w:t>
            </w:r>
            <w:r>
              <w:rPr>
                <w:sz w:val="22"/>
              </w:rPr>
              <w:t>Income</w:t>
            </w:r>
            <w:r>
              <w:rPr>
                <w:spacing w:val="-7"/>
                <w:sz w:val="22"/>
              </w:rPr>
              <w:t> </w:t>
            </w:r>
            <w:r>
              <w:rPr>
                <w:spacing w:val="-2"/>
                <w:sz w:val="22"/>
              </w:rPr>
              <w:t>Group</w:t>
            </w:r>
          </w:p>
        </w:tc>
      </w:tr>
      <w:tr>
        <w:trPr>
          <w:trHeight w:val="450" w:hRule="atLeast"/>
        </w:trPr>
        <w:tc>
          <w:tcPr>
            <w:tcW w:w="900" w:type="dxa"/>
          </w:tcPr>
          <w:p>
            <w:pPr>
              <w:pStyle w:val="TableParagraph"/>
              <w:spacing w:before="94"/>
              <w:ind w:left="10" w:right="3"/>
              <w:jc w:val="center"/>
              <w:rPr>
                <w:sz w:val="22"/>
              </w:rPr>
            </w:pPr>
            <w:r>
              <w:rPr>
                <w:spacing w:val="-5"/>
                <w:sz w:val="22"/>
              </w:rPr>
              <w:t>64</w:t>
            </w:r>
          </w:p>
        </w:tc>
        <w:tc>
          <w:tcPr>
            <w:tcW w:w="2007" w:type="dxa"/>
          </w:tcPr>
          <w:p>
            <w:pPr>
              <w:pStyle w:val="TableParagraph"/>
              <w:spacing w:before="94"/>
              <w:ind w:left="12" w:right="4"/>
              <w:jc w:val="center"/>
              <w:rPr>
                <w:sz w:val="22"/>
              </w:rPr>
            </w:pPr>
            <w:r>
              <w:rPr>
                <w:sz w:val="22"/>
              </w:rPr>
              <w:t>MMC</w:t>
            </w:r>
            <w:r>
              <w:rPr>
                <w:spacing w:val="-4"/>
                <w:sz w:val="22"/>
              </w:rPr>
              <w:t> </w:t>
            </w:r>
            <w:r>
              <w:rPr>
                <w:sz w:val="22"/>
              </w:rPr>
              <w:t>Act.</w:t>
            </w:r>
            <w:r>
              <w:rPr>
                <w:spacing w:val="-3"/>
                <w:sz w:val="22"/>
              </w:rPr>
              <w:t> </w:t>
            </w:r>
            <w:r>
              <w:rPr>
                <w:spacing w:val="-4"/>
                <w:sz w:val="22"/>
              </w:rPr>
              <w:t>1888</w:t>
            </w:r>
          </w:p>
        </w:tc>
        <w:tc>
          <w:tcPr>
            <w:tcW w:w="5281" w:type="dxa"/>
          </w:tcPr>
          <w:p>
            <w:pPr>
              <w:pStyle w:val="TableParagraph"/>
              <w:spacing w:before="94"/>
              <w:ind w:left="14" w:right="4"/>
              <w:jc w:val="center"/>
              <w:rPr>
                <w:sz w:val="22"/>
              </w:rPr>
            </w:pPr>
            <w:r>
              <w:rPr>
                <w:sz w:val="22"/>
              </w:rPr>
              <w:t>Mumbai</w:t>
            </w:r>
            <w:r>
              <w:rPr>
                <w:spacing w:val="-8"/>
                <w:sz w:val="22"/>
              </w:rPr>
              <w:t> </w:t>
            </w:r>
            <w:r>
              <w:rPr>
                <w:sz w:val="22"/>
              </w:rPr>
              <w:t>Municipal</w:t>
            </w:r>
            <w:r>
              <w:rPr>
                <w:spacing w:val="-7"/>
                <w:sz w:val="22"/>
              </w:rPr>
              <w:t> </w:t>
            </w:r>
            <w:r>
              <w:rPr>
                <w:sz w:val="22"/>
              </w:rPr>
              <w:t>Corporation</w:t>
            </w:r>
            <w:r>
              <w:rPr>
                <w:spacing w:val="-8"/>
                <w:sz w:val="22"/>
              </w:rPr>
              <w:t> </w:t>
            </w:r>
            <w:r>
              <w:rPr>
                <w:sz w:val="22"/>
              </w:rPr>
              <w:t>Act.</w:t>
            </w:r>
            <w:r>
              <w:rPr>
                <w:spacing w:val="-8"/>
                <w:sz w:val="22"/>
              </w:rPr>
              <w:t> </w:t>
            </w:r>
            <w:r>
              <w:rPr>
                <w:spacing w:val="-4"/>
                <w:sz w:val="22"/>
              </w:rPr>
              <w:t>1888</w:t>
            </w:r>
          </w:p>
        </w:tc>
      </w:tr>
      <w:tr>
        <w:trPr>
          <w:trHeight w:val="707" w:hRule="atLeast"/>
        </w:trPr>
        <w:tc>
          <w:tcPr>
            <w:tcW w:w="900" w:type="dxa"/>
          </w:tcPr>
          <w:p>
            <w:pPr>
              <w:pStyle w:val="TableParagraph"/>
              <w:spacing w:before="94"/>
              <w:ind w:left="10" w:right="3"/>
              <w:jc w:val="center"/>
              <w:rPr>
                <w:sz w:val="22"/>
              </w:rPr>
            </w:pPr>
            <w:r>
              <w:rPr>
                <w:spacing w:val="-5"/>
                <w:sz w:val="22"/>
              </w:rPr>
              <w:t>65</w:t>
            </w:r>
          </w:p>
        </w:tc>
        <w:tc>
          <w:tcPr>
            <w:tcW w:w="2007" w:type="dxa"/>
          </w:tcPr>
          <w:p>
            <w:pPr>
              <w:pStyle w:val="TableParagraph"/>
              <w:spacing w:before="94"/>
              <w:ind w:left="12" w:right="3"/>
              <w:jc w:val="center"/>
              <w:rPr>
                <w:sz w:val="22"/>
              </w:rPr>
            </w:pPr>
            <w:r>
              <w:rPr>
                <w:spacing w:val="-2"/>
                <w:sz w:val="22"/>
              </w:rPr>
              <w:t>MMRDA</w:t>
            </w:r>
          </w:p>
        </w:tc>
        <w:tc>
          <w:tcPr>
            <w:tcW w:w="5281" w:type="dxa"/>
          </w:tcPr>
          <w:p>
            <w:pPr>
              <w:pStyle w:val="TableParagraph"/>
              <w:spacing w:before="94"/>
              <w:ind w:left="2131" w:hanging="1885"/>
              <w:rPr>
                <w:sz w:val="22"/>
              </w:rPr>
            </w:pPr>
            <w:r>
              <w:rPr>
                <w:sz w:val="22"/>
              </w:rPr>
              <w:t>Mumbai</w:t>
            </w:r>
            <w:r>
              <w:rPr>
                <w:spacing w:val="-13"/>
                <w:sz w:val="22"/>
              </w:rPr>
              <w:t> </w:t>
            </w:r>
            <w:r>
              <w:rPr>
                <w:sz w:val="22"/>
              </w:rPr>
              <w:t>Metropolitan</w:t>
            </w:r>
            <w:r>
              <w:rPr>
                <w:spacing w:val="-14"/>
                <w:sz w:val="22"/>
              </w:rPr>
              <w:t> </w:t>
            </w:r>
            <w:r>
              <w:rPr>
                <w:sz w:val="22"/>
              </w:rPr>
              <w:t>Regional</w:t>
            </w:r>
            <w:r>
              <w:rPr>
                <w:spacing w:val="-13"/>
                <w:sz w:val="22"/>
              </w:rPr>
              <w:t> </w:t>
            </w:r>
            <w:r>
              <w:rPr>
                <w:sz w:val="22"/>
              </w:rPr>
              <w:t>Development </w:t>
            </w:r>
            <w:r>
              <w:rPr>
                <w:spacing w:val="-2"/>
                <w:sz w:val="22"/>
              </w:rPr>
              <w:t>Authority</w:t>
            </w:r>
          </w:p>
        </w:tc>
      </w:tr>
      <w:tr>
        <w:trPr>
          <w:trHeight w:val="451" w:hRule="atLeast"/>
        </w:trPr>
        <w:tc>
          <w:tcPr>
            <w:tcW w:w="900" w:type="dxa"/>
          </w:tcPr>
          <w:p>
            <w:pPr>
              <w:pStyle w:val="TableParagraph"/>
              <w:spacing w:before="95"/>
              <w:ind w:left="10" w:right="3"/>
              <w:jc w:val="center"/>
              <w:rPr>
                <w:sz w:val="22"/>
              </w:rPr>
            </w:pPr>
            <w:r>
              <w:rPr>
                <w:spacing w:val="-5"/>
                <w:sz w:val="22"/>
              </w:rPr>
              <w:t>66</w:t>
            </w:r>
          </w:p>
        </w:tc>
        <w:tc>
          <w:tcPr>
            <w:tcW w:w="2007" w:type="dxa"/>
          </w:tcPr>
          <w:p>
            <w:pPr>
              <w:pStyle w:val="TableParagraph"/>
              <w:spacing w:before="95"/>
              <w:ind w:left="12" w:right="2"/>
              <w:jc w:val="center"/>
              <w:rPr>
                <w:sz w:val="22"/>
              </w:rPr>
            </w:pPr>
            <w:r>
              <w:rPr>
                <w:spacing w:val="-4"/>
                <w:sz w:val="22"/>
              </w:rPr>
              <w:t>MoEF</w:t>
            </w:r>
          </w:p>
        </w:tc>
        <w:tc>
          <w:tcPr>
            <w:tcW w:w="5281" w:type="dxa"/>
          </w:tcPr>
          <w:p>
            <w:pPr>
              <w:pStyle w:val="TableParagraph"/>
              <w:spacing w:before="95"/>
              <w:ind w:left="14" w:right="4"/>
              <w:jc w:val="center"/>
              <w:rPr>
                <w:sz w:val="22"/>
              </w:rPr>
            </w:pPr>
            <w:r>
              <w:rPr>
                <w:sz w:val="22"/>
              </w:rPr>
              <w:t>Ministry</w:t>
            </w:r>
            <w:r>
              <w:rPr>
                <w:spacing w:val="-5"/>
                <w:sz w:val="22"/>
              </w:rPr>
              <w:t> </w:t>
            </w:r>
            <w:r>
              <w:rPr>
                <w:sz w:val="22"/>
              </w:rPr>
              <w:t>of</w:t>
            </w:r>
            <w:r>
              <w:rPr>
                <w:spacing w:val="-5"/>
                <w:sz w:val="22"/>
              </w:rPr>
              <w:t> </w:t>
            </w:r>
            <w:r>
              <w:rPr>
                <w:sz w:val="22"/>
              </w:rPr>
              <w:t>Environment</w:t>
            </w:r>
            <w:r>
              <w:rPr>
                <w:spacing w:val="61"/>
                <w:sz w:val="22"/>
              </w:rPr>
              <w:t> </w:t>
            </w:r>
            <w:r>
              <w:rPr>
                <w:sz w:val="22"/>
              </w:rPr>
              <w:t>and</w:t>
            </w:r>
            <w:r>
              <w:rPr>
                <w:spacing w:val="-4"/>
                <w:sz w:val="22"/>
              </w:rPr>
              <w:t> </w:t>
            </w:r>
            <w:r>
              <w:rPr>
                <w:spacing w:val="-2"/>
                <w:sz w:val="22"/>
              </w:rPr>
              <w:t>Forest</w:t>
            </w:r>
          </w:p>
        </w:tc>
      </w:tr>
      <w:tr>
        <w:trPr>
          <w:trHeight w:val="450" w:hRule="atLeast"/>
        </w:trPr>
        <w:tc>
          <w:tcPr>
            <w:tcW w:w="900" w:type="dxa"/>
          </w:tcPr>
          <w:p>
            <w:pPr>
              <w:pStyle w:val="TableParagraph"/>
              <w:spacing w:before="94"/>
              <w:ind w:left="10" w:right="3"/>
              <w:jc w:val="center"/>
              <w:rPr>
                <w:sz w:val="22"/>
              </w:rPr>
            </w:pPr>
            <w:r>
              <w:rPr>
                <w:spacing w:val="-5"/>
                <w:sz w:val="22"/>
              </w:rPr>
              <w:t>67</w:t>
            </w:r>
          </w:p>
        </w:tc>
        <w:tc>
          <w:tcPr>
            <w:tcW w:w="2007" w:type="dxa"/>
          </w:tcPr>
          <w:p>
            <w:pPr>
              <w:pStyle w:val="TableParagraph"/>
              <w:spacing w:before="94"/>
              <w:ind w:left="12" w:right="3"/>
              <w:jc w:val="center"/>
              <w:rPr>
                <w:sz w:val="22"/>
              </w:rPr>
            </w:pPr>
            <w:r>
              <w:rPr>
                <w:spacing w:val="-4"/>
                <w:sz w:val="22"/>
              </w:rPr>
              <w:t>MPCB</w:t>
            </w:r>
          </w:p>
        </w:tc>
        <w:tc>
          <w:tcPr>
            <w:tcW w:w="5281" w:type="dxa"/>
          </w:tcPr>
          <w:p>
            <w:pPr>
              <w:pStyle w:val="TableParagraph"/>
              <w:spacing w:before="94"/>
              <w:ind w:left="14" w:right="9"/>
              <w:jc w:val="center"/>
              <w:rPr>
                <w:sz w:val="22"/>
              </w:rPr>
            </w:pPr>
            <w:r>
              <w:rPr>
                <w:sz w:val="22"/>
              </w:rPr>
              <w:t>Maharashtra</w:t>
            </w:r>
            <w:r>
              <w:rPr>
                <w:spacing w:val="-10"/>
                <w:sz w:val="22"/>
              </w:rPr>
              <w:t> </w:t>
            </w:r>
            <w:r>
              <w:rPr>
                <w:sz w:val="22"/>
              </w:rPr>
              <w:t>Pollution</w:t>
            </w:r>
            <w:r>
              <w:rPr>
                <w:spacing w:val="-11"/>
                <w:sz w:val="22"/>
              </w:rPr>
              <w:t> </w:t>
            </w:r>
            <w:r>
              <w:rPr>
                <w:sz w:val="22"/>
              </w:rPr>
              <w:t>Control</w:t>
            </w:r>
            <w:r>
              <w:rPr>
                <w:spacing w:val="-8"/>
                <w:sz w:val="22"/>
              </w:rPr>
              <w:t> </w:t>
            </w:r>
            <w:r>
              <w:rPr>
                <w:spacing w:val="-4"/>
                <w:sz w:val="22"/>
              </w:rPr>
              <w:t>Board</w:t>
            </w:r>
          </w:p>
        </w:tc>
      </w:tr>
      <w:tr>
        <w:trPr>
          <w:trHeight w:val="707" w:hRule="atLeast"/>
        </w:trPr>
        <w:tc>
          <w:tcPr>
            <w:tcW w:w="900" w:type="dxa"/>
          </w:tcPr>
          <w:p>
            <w:pPr>
              <w:pStyle w:val="TableParagraph"/>
              <w:spacing w:before="94"/>
              <w:ind w:left="10" w:right="3"/>
              <w:jc w:val="center"/>
              <w:rPr>
                <w:sz w:val="22"/>
              </w:rPr>
            </w:pPr>
            <w:r>
              <w:rPr>
                <w:spacing w:val="-5"/>
                <w:sz w:val="22"/>
              </w:rPr>
              <w:t>68</w:t>
            </w:r>
          </w:p>
        </w:tc>
        <w:tc>
          <w:tcPr>
            <w:tcW w:w="2007" w:type="dxa"/>
          </w:tcPr>
          <w:p>
            <w:pPr>
              <w:pStyle w:val="TableParagraph"/>
              <w:spacing w:before="94"/>
              <w:ind w:left="12" w:right="2"/>
              <w:jc w:val="center"/>
              <w:rPr>
                <w:sz w:val="22"/>
              </w:rPr>
            </w:pPr>
            <w:r>
              <w:rPr>
                <w:sz w:val="22"/>
              </w:rPr>
              <w:t>MR</w:t>
            </w:r>
            <w:r>
              <w:rPr>
                <w:spacing w:val="-3"/>
                <w:sz w:val="22"/>
              </w:rPr>
              <w:t> </w:t>
            </w:r>
            <w:r>
              <w:rPr>
                <w:sz w:val="22"/>
              </w:rPr>
              <w:t>&amp;</w:t>
            </w:r>
            <w:r>
              <w:rPr>
                <w:spacing w:val="-2"/>
                <w:sz w:val="22"/>
              </w:rPr>
              <w:t> </w:t>
            </w:r>
            <w:r>
              <w:rPr>
                <w:sz w:val="22"/>
              </w:rPr>
              <w:t>TP</w:t>
            </w:r>
            <w:r>
              <w:rPr>
                <w:spacing w:val="-2"/>
                <w:sz w:val="22"/>
              </w:rPr>
              <w:t> </w:t>
            </w:r>
            <w:r>
              <w:rPr>
                <w:spacing w:val="-4"/>
                <w:sz w:val="22"/>
              </w:rPr>
              <w:t>Act.</w:t>
            </w:r>
          </w:p>
          <w:p>
            <w:pPr>
              <w:pStyle w:val="TableParagraph"/>
              <w:spacing w:before="1"/>
              <w:ind w:left="12" w:right="4"/>
              <w:jc w:val="center"/>
              <w:rPr>
                <w:sz w:val="22"/>
              </w:rPr>
            </w:pPr>
            <w:r>
              <w:rPr>
                <w:spacing w:val="-4"/>
                <w:sz w:val="22"/>
              </w:rPr>
              <w:t>1966</w:t>
            </w:r>
          </w:p>
        </w:tc>
        <w:tc>
          <w:tcPr>
            <w:tcW w:w="5281" w:type="dxa"/>
          </w:tcPr>
          <w:p>
            <w:pPr>
              <w:pStyle w:val="TableParagraph"/>
              <w:spacing w:before="94"/>
              <w:ind w:left="14" w:right="7"/>
              <w:jc w:val="center"/>
              <w:rPr>
                <w:sz w:val="22"/>
              </w:rPr>
            </w:pPr>
            <w:r>
              <w:rPr>
                <w:sz w:val="22"/>
              </w:rPr>
              <w:t>Maharashtra</w:t>
            </w:r>
            <w:r>
              <w:rPr>
                <w:spacing w:val="-8"/>
                <w:sz w:val="22"/>
              </w:rPr>
              <w:t> </w:t>
            </w:r>
            <w:r>
              <w:rPr>
                <w:sz w:val="22"/>
              </w:rPr>
              <w:t>Regional</w:t>
            </w:r>
            <w:r>
              <w:rPr>
                <w:spacing w:val="-8"/>
                <w:sz w:val="22"/>
              </w:rPr>
              <w:t> </w:t>
            </w:r>
            <w:r>
              <w:rPr>
                <w:sz w:val="22"/>
              </w:rPr>
              <w:t>and</w:t>
            </w:r>
            <w:r>
              <w:rPr>
                <w:spacing w:val="-7"/>
                <w:sz w:val="22"/>
              </w:rPr>
              <w:t> </w:t>
            </w:r>
            <w:r>
              <w:rPr>
                <w:sz w:val="22"/>
              </w:rPr>
              <w:t>Town</w:t>
            </w:r>
            <w:r>
              <w:rPr>
                <w:spacing w:val="-5"/>
                <w:sz w:val="22"/>
              </w:rPr>
              <w:t> </w:t>
            </w:r>
            <w:r>
              <w:rPr>
                <w:sz w:val="22"/>
              </w:rPr>
              <w:t>Planning</w:t>
            </w:r>
            <w:r>
              <w:rPr>
                <w:spacing w:val="-6"/>
                <w:sz w:val="22"/>
              </w:rPr>
              <w:t> </w:t>
            </w:r>
            <w:r>
              <w:rPr>
                <w:spacing w:val="-5"/>
                <w:sz w:val="22"/>
              </w:rPr>
              <w:t>Act</w:t>
            </w:r>
          </w:p>
          <w:p>
            <w:pPr>
              <w:pStyle w:val="TableParagraph"/>
              <w:spacing w:before="1"/>
              <w:ind w:left="14" w:right="3"/>
              <w:jc w:val="center"/>
              <w:rPr>
                <w:sz w:val="22"/>
              </w:rPr>
            </w:pPr>
            <w:r>
              <w:rPr>
                <w:sz w:val="22"/>
              </w:rPr>
              <w:t>-</w:t>
            </w:r>
            <w:r>
              <w:rPr>
                <w:spacing w:val="-4"/>
                <w:sz w:val="22"/>
              </w:rPr>
              <w:t>1966</w:t>
            </w:r>
          </w:p>
        </w:tc>
      </w:tr>
      <w:tr>
        <w:trPr>
          <w:trHeight w:val="450" w:hRule="atLeast"/>
        </w:trPr>
        <w:tc>
          <w:tcPr>
            <w:tcW w:w="900" w:type="dxa"/>
          </w:tcPr>
          <w:p>
            <w:pPr>
              <w:pStyle w:val="TableParagraph"/>
              <w:spacing w:before="94"/>
              <w:ind w:left="10" w:right="3"/>
              <w:jc w:val="center"/>
              <w:rPr>
                <w:sz w:val="22"/>
              </w:rPr>
            </w:pPr>
            <w:r>
              <w:rPr>
                <w:spacing w:val="-5"/>
                <w:sz w:val="22"/>
              </w:rPr>
              <w:t>69</w:t>
            </w:r>
          </w:p>
        </w:tc>
        <w:tc>
          <w:tcPr>
            <w:tcW w:w="2007" w:type="dxa"/>
          </w:tcPr>
          <w:p>
            <w:pPr>
              <w:pStyle w:val="TableParagraph"/>
              <w:spacing w:before="94"/>
              <w:ind w:left="12" w:right="4"/>
              <w:jc w:val="center"/>
              <w:rPr>
                <w:sz w:val="22"/>
              </w:rPr>
            </w:pPr>
            <w:r>
              <w:rPr>
                <w:spacing w:val="-5"/>
                <w:sz w:val="22"/>
              </w:rPr>
              <w:t>MRA</w:t>
            </w:r>
          </w:p>
        </w:tc>
        <w:tc>
          <w:tcPr>
            <w:tcW w:w="5281" w:type="dxa"/>
          </w:tcPr>
          <w:p>
            <w:pPr>
              <w:pStyle w:val="TableParagraph"/>
              <w:spacing w:before="94"/>
              <w:ind w:left="14" w:right="7"/>
              <w:jc w:val="center"/>
              <w:rPr>
                <w:sz w:val="22"/>
              </w:rPr>
            </w:pPr>
            <w:r>
              <w:rPr>
                <w:sz w:val="22"/>
              </w:rPr>
              <w:t>Metro</w:t>
            </w:r>
            <w:r>
              <w:rPr>
                <w:spacing w:val="-4"/>
                <w:sz w:val="22"/>
              </w:rPr>
              <w:t> </w:t>
            </w:r>
            <w:r>
              <w:rPr>
                <w:sz w:val="22"/>
              </w:rPr>
              <w:t>Rail</w:t>
            </w:r>
            <w:r>
              <w:rPr>
                <w:spacing w:val="-4"/>
                <w:sz w:val="22"/>
              </w:rPr>
              <w:t> </w:t>
            </w:r>
            <w:r>
              <w:rPr>
                <w:spacing w:val="-2"/>
                <w:sz w:val="22"/>
              </w:rPr>
              <w:t>Administration</w:t>
            </w:r>
          </w:p>
        </w:tc>
      </w:tr>
      <w:tr>
        <w:trPr>
          <w:trHeight w:val="450" w:hRule="atLeast"/>
        </w:trPr>
        <w:tc>
          <w:tcPr>
            <w:tcW w:w="900" w:type="dxa"/>
          </w:tcPr>
          <w:p>
            <w:pPr>
              <w:pStyle w:val="TableParagraph"/>
              <w:spacing w:before="94"/>
              <w:ind w:left="10" w:right="3"/>
              <w:jc w:val="center"/>
              <w:rPr>
                <w:sz w:val="22"/>
              </w:rPr>
            </w:pPr>
            <w:r>
              <w:rPr>
                <w:spacing w:val="-5"/>
                <w:sz w:val="22"/>
              </w:rPr>
              <w:t>70</w:t>
            </w:r>
          </w:p>
        </w:tc>
        <w:tc>
          <w:tcPr>
            <w:tcW w:w="2007" w:type="dxa"/>
          </w:tcPr>
          <w:p>
            <w:pPr>
              <w:pStyle w:val="TableParagraph"/>
              <w:spacing w:before="94"/>
              <w:ind w:left="12" w:right="6"/>
              <w:jc w:val="center"/>
              <w:rPr>
                <w:sz w:val="22"/>
              </w:rPr>
            </w:pPr>
            <w:r>
              <w:rPr>
                <w:spacing w:val="-5"/>
                <w:sz w:val="22"/>
              </w:rPr>
              <w:t>MTC</w:t>
            </w:r>
          </w:p>
        </w:tc>
        <w:tc>
          <w:tcPr>
            <w:tcW w:w="5281" w:type="dxa"/>
          </w:tcPr>
          <w:p>
            <w:pPr>
              <w:pStyle w:val="TableParagraph"/>
              <w:spacing w:before="94"/>
              <w:ind w:left="14" w:right="4"/>
              <w:jc w:val="center"/>
              <w:rPr>
                <w:sz w:val="22"/>
              </w:rPr>
            </w:pPr>
            <w:r>
              <w:rPr>
                <w:sz w:val="22"/>
              </w:rPr>
              <w:t>Multiplex</w:t>
            </w:r>
            <w:r>
              <w:rPr>
                <w:spacing w:val="-8"/>
                <w:sz w:val="22"/>
              </w:rPr>
              <w:t> </w:t>
            </w:r>
            <w:r>
              <w:rPr>
                <w:sz w:val="22"/>
              </w:rPr>
              <w:t>Theatre</w:t>
            </w:r>
            <w:r>
              <w:rPr>
                <w:spacing w:val="-7"/>
                <w:sz w:val="22"/>
              </w:rPr>
              <w:t> </w:t>
            </w:r>
            <w:r>
              <w:rPr>
                <w:spacing w:val="-2"/>
                <w:sz w:val="22"/>
              </w:rPr>
              <w:t>Complex</w:t>
            </w:r>
          </w:p>
        </w:tc>
      </w:tr>
    </w:tbl>
    <w:p>
      <w:pPr>
        <w:pStyle w:val="TableParagraph"/>
        <w:spacing w:after="0"/>
        <w:jc w:val="center"/>
        <w:rPr>
          <w:sz w:val="22"/>
        </w:rPr>
        <w:sectPr>
          <w:pgSz w:w="11910" w:h="16840"/>
          <w:pgMar w:header="1132" w:footer="1321" w:top="1560" w:bottom="1520" w:left="360" w:right="360"/>
        </w:sectPr>
      </w:pPr>
    </w:p>
    <w:p>
      <w:pPr>
        <w:pStyle w:val="BodyText"/>
        <w:spacing w:before="6"/>
        <w:jc w:val="left"/>
        <w:rPr>
          <w:sz w:val="15"/>
        </w:rPr>
      </w:pPr>
    </w:p>
    <w:tbl>
      <w:tblPr>
        <w:tblW w:w="0" w:type="auto"/>
        <w:jc w:val="left"/>
        <w:tblInd w:w="1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2007"/>
        <w:gridCol w:w="5281"/>
      </w:tblGrid>
      <w:tr>
        <w:trPr>
          <w:trHeight w:val="568" w:hRule="atLeast"/>
        </w:trPr>
        <w:tc>
          <w:tcPr>
            <w:tcW w:w="8188" w:type="dxa"/>
            <w:gridSpan w:val="3"/>
            <w:shd w:val="clear" w:color="auto" w:fill="E7E6E6"/>
          </w:tcPr>
          <w:p>
            <w:pPr>
              <w:pStyle w:val="TableParagraph"/>
              <w:spacing w:before="97"/>
              <w:ind w:left="3"/>
              <w:jc w:val="center"/>
              <w:rPr>
                <w:b/>
                <w:sz w:val="32"/>
              </w:rPr>
            </w:pPr>
            <w:r>
              <w:rPr>
                <w:b/>
                <w:spacing w:val="-2"/>
                <w:sz w:val="32"/>
              </w:rPr>
              <w:t>ABBREVIATIONS</w:t>
            </w:r>
          </w:p>
        </w:tc>
      </w:tr>
      <w:tr>
        <w:trPr>
          <w:trHeight w:val="709" w:hRule="atLeast"/>
        </w:trPr>
        <w:tc>
          <w:tcPr>
            <w:tcW w:w="900" w:type="dxa"/>
            <w:shd w:val="clear" w:color="auto" w:fill="E7E6E6"/>
          </w:tcPr>
          <w:p>
            <w:pPr>
              <w:pStyle w:val="TableParagraph"/>
              <w:spacing w:before="94"/>
              <w:ind w:left="280" w:right="261" w:firstLine="9"/>
              <w:rPr>
                <w:b/>
                <w:sz w:val="22"/>
              </w:rPr>
            </w:pPr>
            <w:r>
              <w:rPr>
                <w:b/>
                <w:spacing w:val="-6"/>
                <w:sz w:val="22"/>
              </w:rPr>
              <w:t>SR </w:t>
            </w:r>
            <w:r>
              <w:rPr>
                <w:b/>
                <w:spacing w:val="-5"/>
                <w:sz w:val="22"/>
              </w:rPr>
              <w:t>NO</w:t>
            </w:r>
          </w:p>
        </w:tc>
        <w:tc>
          <w:tcPr>
            <w:tcW w:w="2007" w:type="dxa"/>
            <w:shd w:val="clear" w:color="auto" w:fill="E7E6E6"/>
          </w:tcPr>
          <w:p>
            <w:pPr>
              <w:pStyle w:val="TableParagraph"/>
              <w:spacing w:before="224"/>
              <w:ind w:left="12" w:right="2"/>
              <w:jc w:val="center"/>
              <w:rPr>
                <w:b/>
                <w:sz w:val="22"/>
              </w:rPr>
            </w:pPr>
            <w:r>
              <w:rPr>
                <w:b/>
                <w:spacing w:val="-2"/>
                <w:sz w:val="22"/>
              </w:rPr>
              <w:t>ABBREVIATION</w:t>
            </w:r>
          </w:p>
        </w:tc>
        <w:tc>
          <w:tcPr>
            <w:tcW w:w="5281" w:type="dxa"/>
            <w:shd w:val="clear" w:color="auto" w:fill="E7E6E6"/>
          </w:tcPr>
          <w:p>
            <w:pPr>
              <w:pStyle w:val="TableParagraph"/>
              <w:spacing w:before="224"/>
              <w:ind w:left="14" w:right="3"/>
              <w:jc w:val="center"/>
              <w:rPr>
                <w:b/>
                <w:sz w:val="22"/>
              </w:rPr>
            </w:pPr>
            <w:r>
              <w:rPr>
                <w:b/>
                <w:spacing w:val="-2"/>
                <w:sz w:val="22"/>
              </w:rPr>
              <w:t>DESCRIPTION</w:t>
            </w:r>
          </w:p>
        </w:tc>
      </w:tr>
      <w:tr>
        <w:trPr>
          <w:trHeight w:val="707" w:hRule="atLeast"/>
        </w:trPr>
        <w:tc>
          <w:tcPr>
            <w:tcW w:w="900" w:type="dxa"/>
          </w:tcPr>
          <w:p>
            <w:pPr>
              <w:pStyle w:val="TableParagraph"/>
              <w:spacing w:before="94"/>
              <w:ind w:left="10" w:right="3"/>
              <w:jc w:val="center"/>
              <w:rPr>
                <w:sz w:val="22"/>
              </w:rPr>
            </w:pPr>
            <w:r>
              <w:rPr>
                <w:spacing w:val="-5"/>
                <w:sz w:val="22"/>
              </w:rPr>
              <w:t>71</w:t>
            </w:r>
          </w:p>
        </w:tc>
        <w:tc>
          <w:tcPr>
            <w:tcW w:w="2007" w:type="dxa"/>
          </w:tcPr>
          <w:p>
            <w:pPr>
              <w:pStyle w:val="TableParagraph"/>
              <w:spacing w:before="94"/>
              <w:ind w:left="12" w:right="2"/>
              <w:jc w:val="center"/>
              <w:rPr>
                <w:sz w:val="22"/>
              </w:rPr>
            </w:pPr>
            <w:r>
              <w:rPr>
                <w:spacing w:val="-4"/>
                <w:sz w:val="22"/>
              </w:rPr>
              <w:t>MTDC</w:t>
            </w:r>
          </w:p>
        </w:tc>
        <w:tc>
          <w:tcPr>
            <w:tcW w:w="5281" w:type="dxa"/>
          </w:tcPr>
          <w:p>
            <w:pPr>
              <w:pStyle w:val="TableParagraph"/>
              <w:spacing w:before="94"/>
              <w:ind w:left="1999" w:hanging="1273"/>
              <w:rPr>
                <w:sz w:val="22"/>
              </w:rPr>
            </w:pPr>
            <w:r>
              <w:rPr>
                <w:sz w:val="22"/>
              </w:rPr>
              <w:t>Maharashtra</w:t>
            </w:r>
            <w:r>
              <w:rPr>
                <w:spacing w:val="-18"/>
                <w:sz w:val="22"/>
              </w:rPr>
              <w:t> </w:t>
            </w:r>
            <w:r>
              <w:rPr>
                <w:sz w:val="22"/>
              </w:rPr>
              <w:t>Tourism</w:t>
            </w:r>
            <w:r>
              <w:rPr>
                <w:spacing w:val="-18"/>
                <w:sz w:val="22"/>
              </w:rPr>
              <w:t> </w:t>
            </w:r>
            <w:r>
              <w:rPr>
                <w:sz w:val="22"/>
              </w:rPr>
              <w:t>Development </w:t>
            </w:r>
            <w:r>
              <w:rPr>
                <w:spacing w:val="-2"/>
                <w:sz w:val="22"/>
              </w:rPr>
              <w:t>Corporation</w:t>
            </w:r>
          </w:p>
        </w:tc>
      </w:tr>
      <w:tr>
        <w:trPr>
          <w:trHeight w:val="450" w:hRule="atLeast"/>
        </w:trPr>
        <w:tc>
          <w:tcPr>
            <w:tcW w:w="900" w:type="dxa"/>
          </w:tcPr>
          <w:p>
            <w:pPr>
              <w:pStyle w:val="TableParagraph"/>
              <w:spacing w:before="94"/>
              <w:ind w:left="10" w:right="3"/>
              <w:jc w:val="center"/>
              <w:rPr>
                <w:sz w:val="22"/>
              </w:rPr>
            </w:pPr>
            <w:r>
              <w:rPr>
                <w:spacing w:val="-5"/>
                <w:sz w:val="22"/>
              </w:rPr>
              <w:t>72</w:t>
            </w:r>
          </w:p>
        </w:tc>
        <w:tc>
          <w:tcPr>
            <w:tcW w:w="2007" w:type="dxa"/>
          </w:tcPr>
          <w:p>
            <w:pPr>
              <w:pStyle w:val="TableParagraph"/>
              <w:spacing w:before="94"/>
              <w:ind w:left="12" w:right="1"/>
              <w:jc w:val="center"/>
              <w:rPr>
                <w:sz w:val="22"/>
              </w:rPr>
            </w:pPr>
            <w:r>
              <w:rPr>
                <w:spacing w:val="-4"/>
                <w:sz w:val="22"/>
              </w:rPr>
              <w:t>MUIP</w:t>
            </w:r>
          </w:p>
        </w:tc>
        <w:tc>
          <w:tcPr>
            <w:tcW w:w="5281" w:type="dxa"/>
          </w:tcPr>
          <w:p>
            <w:pPr>
              <w:pStyle w:val="TableParagraph"/>
              <w:spacing w:before="94"/>
              <w:ind w:left="14" w:right="4"/>
              <w:jc w:val="center"/>
              <w:rPr>
                <w:sz w:val="22"/>
              </w:rPr>
            </w:pPr>
            <w:r>
              <w:rPr>
                <w:sz w:val="22"/>
              </w:rPr>
              <w:t>Mumbai</w:t>
            </w:r>
            <w:r>
              <w:rPr>
                <w:spacing w:val="-10"/>
                <w:sz w:val="22"/>
              </w:rPr>
              <w:t> </w:t>
            </w:r>
            <w:r>
              <w:rPr>
                <w:sz w:val="22"/>
              </w:rPr>
              <w:t>Urban</w:t>
            </w:r>
            <w:r>
              <w:rPr>
                <w:spacing w:val="-10"/>
                <w:sz w:val="22"/>
              </w:rPr>
              <w:t> </w:t>
            </w:r>
            <w:r>
              <w:rPr>
                <w:sz w:val="22"/>
              </w:rPr>
              <w:t>Infrastructure</w:t>
            </w:r>
            <w:r>
              <w:rPr>
                <w:spacing w:val="-7"/>
                <w:sz w:val="22"/>
              </w:rPr>
              <w:t> </w:t>
            </w:r>
            <w:r>
              <w:rPr>
                <w:spacing w:val="-2"/>
                <w:sz w:val="22"/>
              </w:rPr>
              <w:t>Project</w:t>
            </w:r>
          </w:p>
        </w:tc>
      </w:tr>
      <w:tr>
        <w:trPr>
          <w:trHeight w:val="448" w:hRule="atLeast"/>
        </w:trPr>
        <w:tc>
          <w:tcPr>
            <w:tcW w:w="900" w:type="dxa"/>
          </w:tcPr>
          <w:p>
            <w:pPr>
              <w:pStyle w:val="TableParagraph"/>
              <w:spacing w:before="94"/>
              <w:ind w:left="10" w:right="3"/>
              <w:jc w:val="center"/>
              <w:rPr>
                <w:sz w:val="22"/>
              </w:rPr>
            </w:pPr>
            <w:r>
              <w:rPr>
                <w:spacing w:val="-5"/>
                <w:sz w:val="22"/>
              </w:rPr>
              <w:t>73</w:t>
            </w:r>
          </w:p>
        </w:tc>
        <w:tc>
          <w:tcPr>
            <w:tcW w:w="2007" w:type="dxa"/>
          </w:tcPr>
          <w:p>
            <w:pPr>
              <w:pStyle w:val="TableParagraph"/>
              <w:spacing w:before="94"/>
              <w:ind w:left="12" w:right="4"/>
              <w:jc w:val="center"/>
              <w:rPr>
                <w:sz w:val="22"/>
              </w:rPr>
            </w:pPr>
            <w:r>
              <w:rPr>
                <w:spacing w:val="-4"/>
                <w:sz w:val="22"/>
              </w:rPr>
              <w:t>MUTP</w:t>
            </w:r>
          </w:p>
        </w:tc>
        <w:tc>
          <w:tcPr>
            <w:tcW w:w="5281" w:type="dxa"/>
          </w:tcPr>
          <w:p>
            <w:pPr>
              <w:pStyle w:val="TableParagraph"/>
              <w:spacing w:before="94"/>
              <w:ind w:left="14" w:right="6"/>
              <w:jc w:val="center"/>
              <w:rPr>
                <w:sz w:val="22"/>
              </w:rPr>
            </w:pPr>
            <w:r>
              <w:rPr>
                <w:sz w:val="22"/>
              </w:rPr>
              <w:t>Mumbai</w:t>
            </w:r>
            <w:r>
              <w:rPr>
                <w:spacing w:val="-9"/>
                <w:sz w:val="22"/>
              </w:rPr>
              <w:t> </w:t>
            </w:r>
            <w:r>
              <w:rPr>
                <w:sz w:val="22"/>
              </w:rPr>
              <w:t>Urban</w:t>
            </w:r>
            <w:r>
              <w:rPr>
                <w:spacing w:val="-9"/>
                <w:sz w:val="22"/>
              </w:rPr>
              <w:t> </w:t>
            </w:r>
            <w:r>
              <w:rPr>
                <w:sz w:val="22"/>
              </w:rPr>
              <w:t>Transportation</w:t>
            </w:r>
            <w:r>
              <w:rPr>
                <w:spacing w:val="-9"/>
                <w:sz w:val="22"/>
              </w:rPr>
              <w:t> </w:t>
            </w:r>
            <w:r>
              <w:rPr>
                <w:spacing w:val="-2"/>
                <w:sz w:val="22"/>
              </w:rPr>
              <w:t>Project</w:t>
            </w:r>
          </w:p>
        </w:tc>
      </w:tr>
      <w:tr>
        <w:trPr>
          <w:trHeight w:val="450" w:hRule="atLeast"/>
        </w:trPr>
        <w:tc>
          <w:tcPr>
            <w:tcW w:w="900" w:type="dxa"/>
          </w:tcPr>
          <w:p>
            <w:pPr>
              <w:pStyle w:val="TableParagraph"/>
              <w:spacing w:before="97"/>
              <w:ind w:left="10" w:right="3"/>
              <w:jc w:val="center"/>
              <w:rPr>
                <w:sz w:val="22"/>
              </w:rPr>
            </w:pPr>
            <w:r>
              <w:rPr>
                <w:spacing w:val="-5"/>
                <w:sz w:val="22"/>
              </w:rPr>
              <w:t>74</w:t>
            </w:r>
          </w:p>
        </w:tc>
        <w:tc>
          <w:tcPr>
            <w:tcW w:w="2007" w:type="dxa"/>
          </w:tcPr>
          <w:p>
            <w:pPr>
              <w:pStyle w:val="TableParagraph"/>
              <w:spacing w:before="97"/>
              <w:ind w:left="12" w:right="3"/>
              <w:jc w:val="center"/>
              <w:rPr>
                <w:sz w:val="22"/>
              </w:rPr>
            </w:pPr>
            <w:r>
              <w:rPr>
                <w:spacing w:val="-5"/>
                <w:sz w:val="22"/>
              </w:rPr>
              <w:t>NA</w:t>
            </w:r>
          </w:p>
        </w:tc>
        <w:tc>
          <w:tcPr>
            <w:tcW w:w="5281" w:type="dxa"/>
          </w:tcPr>
          <w:p>
            <w:pPr>
              <w:pStyle w:val="TableParagraph"/>
              <w:spacing w:before="97"/>
              <w:ind w:left="14" w:right="3"/>
              <w:jc w:val="center"/>
              <w:rPr>
                <w:sz w:val="22"/>
              </w:rPr>
            </w:pPr>
            <w:r>
              <w:rPr>
                <w:sz w:val="22"/>
              </w:rPr>
              <w:t>Natural</w:t>
            </w:r>
            <w:r>
              <w:rPr>
                <w:spacing w:val="-8"/>
                <w:sz w:val="22"/>
              </w:rPr>
              <w:t> </w:t>
            </w:r>
            <w:r>
              <w:rPr>
                <w:spacing w:val="-4"/>
                <w:sz w:val="22"/>
              </w:rPr>
              <w:t>Area</w:t>
            </w:r>
          </w:p>
        </w:tc>
      </w:tr>
      <w:tr>
        <w:trPr>
          <w:trHeight w:val="451" w:hRule="atLeast"/>
        </w:trPr>
        <w:tc>
          <w:tcPr>
            <w:tcW w:w="900" w:type="dxa"/>
          </w:tcPr>
          <w:p>
            <w:pPr>
              <w:pStyle w:val="TableParagraph"/>
              <w:spacing w:before="95"/>
              <w:ind w:left="10" w:right="3"/>
              <w:jc w:val="center"/>
              <w:rPr>
                <w:sz w:val="22"/>
              </w:rPr>
            </w:pPr>
            <w:r>
              <w:rPr>
                <w:spacing w:val="-5"/>
                <w:sz w:val="22"/>
              </w:rPr>
              <w:t>75</w:t>
            </w:r>
          </w:p>
        </w:tc>
        <w:tc>
          <w:tcPr>
            <w:tcW w:w="2007" w:type="dxa"/>
          </w:tcPr>
          <w:p>
            <w:pPr>
              <w:pStyle w:val="TableParagraph"/>
              <w:spacing w:before="95"/>
              <w:ind w:left="12" w:right="4"/>
              <w:jc w:val="center"/>
              <w:rPr>
                <w:sz w:val="22"/>
              </w:rPr>
            </w:pPr>
            <w:r>
              <w:rPr>
                <w:spacing w:val="-5"/>
                <w:sz w:val="22"/>
              </w:rPr>
              <w:t>NBC</w:t>
            </w:r>
          </w:p>
        </w:tc>
        <w:tc>
          <w:tcPr>
            <w:tcW w:w="5281" w:type="dxa"/>
          </w:tcPr>
          <w:p>
            <w:pPr>
              <w:pStyle w:val="TableParagraph"/>
              <w:spacing w:before="95"/>
              <w:ind w:left="14" w:right="9"/>
              <w:jc w:val="center"/>
              <w:rPr>
                <w:sz w:val="22"/>
              </w:rPr>
            </w:pPr>
            <w:r>
              <w:rPr>
                <w:sz w:val="22"/>
              </w:rPr>
              <w:t>National</w:t>
            </w:r>
            <w:r>
              <w:rPr>
                <w:spacing w:val="-8"/>
                <w:sz w:val="22"/>
              </w:rPr>
              <w:t> </w:t>
            </w:r>
            <w:r>
              <w:rPr>
                <w:sz w:val="22"/>
              </w:rPr>
              <w:t>Building</w:t>
            </w:r>
            <w:r>
              <w:rPr>
                <w:spacing w:val="-7"/>
                <w:sz w:val="22"/>
              </w:rPr>
              <w:t> </w:t>
            </w:r>
            <w:r>
              <w:rPr>
                <w:spacing w:val="-4"/>
                <w:sz w:val="22"/>
              </w:rPr>
              <w:t>Code</w:t>
            </w:r>
          </w:p>
        </w:tc>
      </w:tr>
      <w:tr>
        <w:trPr>
          <w:trHeight w:val="450" w:hRule="atLeast"/>
        </w:trPr>
        <w:tc>
          <w:tcPr>
            <w:tcW w:w="900" w:type="dxa"/>
          </w:tcPr>
          <w:p>
            <w:pPr>
              <w:pStyle w:val="TableParagraph"/>
              <w:rPr>
                <w:rFonts w:ascii="Times New Roman"/>
                <w:sz w:val="20"/>
              </w:rPr>
            </w:pPr>
          </w:p>
        </w:tc>
        <w:tc>
          <w:tcPr>
            <w:tcW w:w="2007" w:type="dxa"/>
          </w:tcPr>
          <w:p>
            <w:pPr>
              <w:pStyle w:val="TableParagraph"/>
              <w:rPr>
                <w:rFonts w:ascii="Times New Roman"/>
                <w:sz w:val="20"/>
              </w:rPr>
            </w:pPr>
          </w:p>
        </w:tc>
        <w:tc>
          <w:tcPr>
            <w:tcW w:w="5281" w:type="dxa"/>
          </w:tcPr>
          <w:p>
            <w:pPr>
              <w:pStyle w:val="TableParagraph"/>
              <w:rPr>
                <w:rFonts w:ascii="Times New Roman"/>
                <w:sz w:val="20"/>
              </w:rPr>
            </w:pPr>
          </w:p>
        </w:tc>
      </w:tr>
      <w:tr>
        <w:trPr>
          <w:trHeight w:val="450" w:hRule="atLeast"/>
        </w:trPr>
        <w:tc>
          <w:tcPr>
            <w:tcW w:w="900" w:type="dxa"/>
          </w:tcPr>
          <w:p>
            <w:pPr>
              <w:pStyle w:val="TableParagraph"/>
              <w:spacing w:before="94"/>
              <w:ind w:left="10" w:right="3"/>
              <w:jc w:val="center"/>
              <w:rPr>
                <w:sz w:val="22"/>
              </w:rPr>
            </w:pPr>
            <w:r>
              <w:rPr>
                <w:spacing w:val="-5"/>
                <w:sz w:val="22"/>
              </w:rPr>
              <w:t>76</w:t>
            </w:r>
          </w:p>
        </w:tc>
        <w:tc>
          <w:tcPr>
            <w:tcW w:w="2007" w:type="dxa"/>
          </w:tcPr>
          <w:p>
            <w:pPr>
              <w:pStyle w:val="TableParagraph"/>
              <w:spacing w:before="94"/>
              <w:ind w:left="12" w:right="2"/>
              <w:jc w:val="center"/>
              <w:rPr>
                <w:sz w:val="22"/>
              </w:rPr>
            </w:pPr>
            <w:r>
              <w:rPr>
                <w:spacing w:val="-5"/>
                <w:sz w:val="22"/>
              </w:rPr>
              <w:t>NGO</w:t>
            </w:r>
          </w:p>
        </w:tc>
        <w:tc>
          <w:tcPr>
            <w:tcW w:w="5281" w:type="dxa"/>
          </w:tcPr>
          <w:p>
            <w:pPr>
              <w:pStyle w:val="TableParagraph"/>
              <w:spacing w:before="94"/>
              <w:ind w:left="14" w:right="4"/>
              <w:jc w:val="center"/>
              <w:rPr>
                <w:sz w:val="22"/>
              </w:rPr>
            </w:pPr>
            <w:r>
              <w:rPr>
                <w:sz w:val="22"/>
              </w:rPr>
              <w:t>Non-Government</w:t>
            </w:r>
            <w:r>
              <w:rPr>
                <w:spacing w:val="-14"/>
                <w:sz w:val="22"/>
              </w:rPr>
              <w:t> </w:t>
            </w:r>
            <w:r>
              <w:rPr>
                <w:spacing w:val="-2"/>
                <w:sz w:val="22"/>
              </w:rPr>
              <w:t>Organisation</w:t>
            </w:r>
          </w:p>
        </w:tc>
      </w:tr>
      <w:tr>
        <w:trPr>
          <w:trHeight w:val="448" w:hRule="atLeast"/>
        </w:trPr>
        <w:tc>
          <w:tcPr>
            <w:tcW w:w="900" w:type="dxa"/>
          </w:tcPr>
          <w:p>
            <w:pPr>
              <w:pStyle w:val="TableParagraph"/>
              <w:spacing w:before="94"/>
              <w:ind w:left="10" w:right="3"/>
              <w:jc w:val="center"/>
              <w:rPr>
                <w:sz w:val="22"/>
              </w:rPr>
            </w:pPr>
            <w:r>
              <w:rPr>
                <w:spacing w:val="-5"/>
                <w:sz w:val="22"/>
              </w:rPr>
              <w:t>77</w:t>
            </w:r>
          </w:p>
        </w:tc>
        <w:tc>
          <w:tcPr>
            <w:tcW w:w="2007" w:type="dxa"/>
          </w:tcPr>
          <w:p>
            <w:pPr>
              <w:pStyle w:val="TableParagraph"/>
              <w:spacing w:before="94"/>
              <w:ind w:left="12" w:right="4"/>
              <w:jc w:val="center"/>
              <w:rPr>
                <w:sz w:val="22"/>
              </w:rPr>
            </w:pPr>
            <w:r>
              <w:rPr>
                <w:spacing w:val="-5"/>
                <w:sz w:val="22"/>
              </w:rPr>
              <w:t>NOC</w:t>
            </w:r>
          </w:p>
        </w:tc>
        <w:tc>
          <w:tcPr>
            <w:tcW w:w="5281" w:type="dxa"/>
          </w:tcPr>
          <w:p>
            <w:pPr>
              <w:pStyle w:val="TableParagraph"/>
              <w:spacing w:before="94"/>
              <w:ind w:left="14" w:right="9"/>
              <w:jc w:val="center"/>
              <w:rPr>
                <w:sz w:val="22"/>
              </w:rPr>
            </w:pPr>
            <w:r>
              <w:rPr>
                <w:sz w:val="22"/>
              </w:rPr>
              <w:t>No</w:t>
            </w:r>
            <w:r>
              <w:rPr>
                <w:spacing w:val="-5"/>
                <w:sz w:val="22"/>
              </w:rPr>
              <w:t> </w:t>
            </w:r>
            <w:r>
              <w:rPr>
                <w:sz w:val="22"/>
              </w:rPr>
              <w:t>Objection</w:t>
            </w:r>
            <w:r>
              <w:rPr>
                <w:spacing w:val="-5"/>
                <w:sz w:val="22"/>
              </w:rPr>
              <w:t> </w:t>
            </w:r>
            <w:r>
              <w:rPr>
                <w:spacing w:val="-2"/>
                <w:sz w:val="22"/>
              </w:rPr>
              <w:t>Certificate</w:t>
            </w:r>
          </w:p>
        </w:tc>
      </w:tr>
      <w:tr>
        <w:trPr>
          <w:trHeight w:val="450" w:hRule="atLeast"/>
        </w:trPr>
        <w:tc>
          <w:tcPr>
            <w:tcW w:w="900" w:type="dxa"/>
          </w:tcPr>
          <w:p>
            <w:pPr>
              <w:pStyle w:val="TableParagraph"/>
              <w:spacing w:before="94"/>
              <w:ind w:left="10" w:right="3"/>
              <w:jc w:val="center"/>
              <w:rPr>
                <w:sz w:val="22"/>
              </w:rPr>
            </w:pPr>
            <w:r>
              <w:rPr>
                <w:spacing w:val="-5"/>
                <w:sz w:val="22"/>
              </w:rPr>
              <w:t>78</w:t>
            </w:r>
          </w:p>
        </w:tc>
        <w:tc>
          <w:tcPr>
            <w:tcW w:w="2007" w:type="dxa"/>
          </w:tcPr>
          <w:p>
            <w:pPr>
              <w:pStyle w:val="TableParagraph"/>
              <w:spacing w:before="94"/>
              <w:ind w:left="12" w:right="4"/>
              <w:jc w:val="center"/>
              <w:rPr>
                <w:sz w:val="22"/>
              </w:rPr>
            </w:pPr>
            <w:r>
              <w:rPr>
                <w:spacing w:val="-5"/>
                <w:sz w:val="22"/>
              </w:rPr>
              <w:t>OC</w:t>
            </w:r>
          </w:p>
        </w:tc>
        <w:tc>
          <w:tcPr>
            <w:tcW w:w="5281" w:type="dxa"/>
          </w:tcPr>
          <w:p>
            <w:pPr>
              <w:pStyle w:val="TableParagraph"/>
              <w:spacing w:before="94"/>
              <w:ind w:left="14" w:right="6"/>
              <w:jc w:val="center"/>
              <w:rPr>
                <w:sz w:val="22"/>
              </w:rPr>
            </w:pPr>
            <w:r>
              <w:rPr>
                <w:sz w:val="22"/>
              </w:rPr>
              <w:t>Occupation</w:t>
            </w:r>
            <w:r>
              <w:rPr>
                <w:spacing w:val="-10"/>
                <w:sz w:val="22"/>
              </w:rPr>
              <w:t> </w:t>
            </w:r>
            <w:r>
              <w:rPr>
                <w:spacing w:val="-2"/>
                <w:sz w:val="22"/>
              </w:rPr>
              <w:t>Certificate</w:t>
            </w:r>
          </w:p>
        </w:tc>
      </w:tr>
      <w:tr>
        <w:trPr>
          <w:trHeight w:val="450" w:hRule="atLeast"/>
        </w:trPr>
        <w:tc>
          <w:tcPr>
            <w:tcW w:w="900" w:type="dxa"/>
          </w:tcPr>
          <w:p>
            <w:pPr>
              <w:pStyle w:val="TableParagraph"/>
              <w:spacing w:before="94"/>
              <w:ind w:left="10" w:right="3"/>
              <w:jc w:val="center"/>
              <w:rPr>
                <w:sz w:val="22"/>
              </w:rPr>
            </w:pPr>
            <w:r>
              <w:rPr>
                <w:spacing w:val="-5"/>
                <w:sz w:val="22"/>
              </w:rPr>
              <w:t>79</w:t>
            </w:r>
          </w:p>
        </w:tc>
        <w:tc>
          <w:tcPr>
            <w:tcW w:w="2007" w:type="dxa"/>
          </w:tcPr>
          <w:p>
            <w:pPr>
              <w:pStyle w:val="TableParagraph"/>
              <w:spacing w:before="94"/>
              <w:ind w:left="12" w:right="4"/>
              <w:jc w:val="center"/>
              <w:rPr>
                <w:sz w:val="22"/>
              </w:rPr>
            </w:pPr>
            <w:r>
              <w:rPr>
                <w:spacing w:val="-5"/>
                <w:sz w:val="22"/>
              </w:rPr>
              <w:t>POZ</w:t>
            </w:r>
          </w:p>
        </w:tc>
        <w:tc>
          <w:tcPr>
            <w:tcW w:w="5281" w:type="dxa"/>
          </w:tcPr>
          <w:p>
            <w:pPr>
              <w:pStyle w:val="TableParagraph"/>
              <w:spacing w:before="94"/>
              <w:ind w:left="14" w:right="6"/>
              <w:jc w:val="center"/>
              <w:rPr>
                <w:sz w:val="22"/>
              </w:rPr>
            </w:pPr>
            <w:r>
              <w:rPr>
                <w:sz w:val="22"/>
              </w:rPr>
              <w:t>Port’s</w:t>
            </w:r>
            <w:r>
              <w:rPr>
                <w:spacing w:val="-8"/>
                <w:sz w:val="22"/>
              </w:rPr>
              <w:t> </w:t>
            </w:r>
            <w:r>
              <w:rPr>
                <w:sz w:val="22"/>
              </w:rPr>
              <w:t>Operational</w:t>
            </w:r>
            <w:r>
              <w:rPr>
                <w:spacing w:val="-7"/>
                <w:sz w:val="22"/>
              </w:rPr>
              <w:t> </w:t>
            </w:r>
            <w:r>
              <w:rPr>
                <w:spacing w:val="-4"/>
                <w:sz w:val="22"/>
              </w:rPr>
              <w:t>Zone</w:t>
            </w:r>
          </w:p>
        </w:tc>
      </w:tr>
      <w:tr>
        <w:trPr>
          <w:trHeight w:val="450" w:hRule="atLeast"/>
        </w:trPr>
        <w:tc>
          <w:tcPr>
            <w:tcW w:w="900" w:type="dxa"/>
          </w:tcPr>
          <w:p>
            <w:pPr>
              <w:pStyle w:val="TableParagraph"/>
              <w:spacing w:before="94"/>
              <w:ind w:left="10" w:right="3"/>
              <w:jc w:val="center"/>
              <w:rPr>
                <w:sz w:val="22"/>
              </w:rPr>
            </w:pPr>
            <w:r>
              <w:rPr>
                <w:spacing w:val="-5"/>
                <w:sz w:val="22"/>
              </w:rPr>
              <w:t>80</w:t>
            </w:r>
          </w:p>
        </w:tc>
        <w:tc>
          <w:tcPr>
            <w:tcW w:w="2007" w:type="dxa"/>
          </w:tcPr>
          <w:p>
            <w:pPr>
              <w:pStyle w:val="TableParagraph"/>
              <w:spacing w:before="94"/>
              <w:ind w:left="12" w:right="2"/>
              <w:jc w:val="center"/>
              <w:rPr>
                <w:sz w:val="22"/>
              </w:rPr>
            </w:pPr>
            <w:r>
              <w:rPr>
                <w:spacing w:val="-2"/>
                <w:sz w:val="22"/>
              </w:rPr>
              <w:t>PWFDZ</w:t>
            </w:r>
          </w:p>
        </w:tc>
        <w:tc>
          <w:tcPr>
            <w:tcW w:w="5281" w:type="dxa"/>
          </w:tcPr>
          <w:p>
            <w:pPr>
              <w:pStyle w:val="TableParagraph"/>
              <w:spacing w:before="94"/>
              <w:ind w:left="14" w:right="8"/>
              <w:jc w:val="center"/>
              <w:rPr>
                <w:sz w:val="22"/>
              </w:rPr>
            </w:pPr>
            <w:r>
              <w:rPr>
                <w:sz w:val="22"/>
              </w:rPr>
              <w:t>Port’s</w:t>
            </w:r>
            <w:r>
              <w:rPr>
                <w:spacing w:val="-5"/>
                <w:sz w:val="22"/>
              </w:rPr>
              <w:t> </w:t>
            </w:r>
            <w:r>
              <w:rPr>
                <w:sz w:val="22"/>
              </w:rPr>
              <w:t>Water</w:t>
            </w:r>
            <w:r>
              <w:rPr>
                <w:spacing w:val="-5"/>
                <w:sz w:val="22"/>
              </w:rPr>
              <w:t> </w:t>
            </w:r>
            <w:r>
              <w:rPr>
                <w:sz w:val="22"/>
              </w:rPr>
              <w:t>Front</w:t>
            </w:r>
            <w:r>
              <w:rPr>
                <w:spacing w:val="-6"/>
                <w:sz w:val="22"/>
              </w:rPr>
              <w:t> </w:t>
            </w:r>
            <w:r>
              <w:rPr>
                <w:sz w:val="22"/>
              </w:rPr>
              <w:t>Development</w:t>
            </w:r>
            <w:r>
              <w:rPr>
                <w:spacing w:val="-4"/>
                <w:sz w:val="22"/>
              </w:rPr>
              <w:t> Zone</w:t>
            </w:r>
          </w:p>
        </w:tc>
      </w:tr>
      <w:tr>
        <w:trPr>
          <w:trHeight w:val="448" w:hRule="atLeast"/>
        </w:trPr>
        <w:tc>
          <w:tcPr>
            <w:tcW w:w="900" w:type="dxa"/>
          </w:tcPr>
          <w:p>
            <w:pPr>
              <w:pStyle w:val="TableParagraph"/>
              <w:spacing w:before="94"/>
              <w:ind w:left="10" w:right="3"/>
              <w:jc w:val="center"/>
              <w:rPr>
                <w:sz w:val="22"/>
              </w:rPr>
            </w:pPr>
            <w:r>
              <w:rPr>
                <w:spacing w:val="-5"/>
                <w:sz w:val="22"/>
              </w:rPr>
              <w:t>81</w:t>
            </w:r>
          </w:p>
        </w:tc>
        <w:tc>
          <w:tcPr>
            <w:tcW w:w="2007" w:type="dxa"/>
          </w:tcPr>
          <w:p>
            <w:pPr>
              <w:pStyle w:val="TableParagraph"/>
              <w:spacing w:before="94"/>
              <w:ind w:left="12" w:right="1"/>
              <w:jc w:val="center"/>
              <w:rPr>
                <w:sz w:val="22"/>
              </w:rPr>
            </w:pPr>
            <w:r>
              <w:rPr>
                <w:spacing w:val="-5"/>
                <w:sz w:val="22"/>
              </w:rPr>
              <w:t>PAP</w:t>
            </w:r>
          </w:p>
        </w:tc>
        <w:tc>
          <w:tcPr>
            <w:tcW w:w="5281" w:type="dxa"/>
          </w:tcPr>
          <w:p>
            <w:pPr>
              <w:pStyle w:val="TableParagraph"/>
              <w:spacing w:before="94"/>
              <w:ind w:left="14" w:right="5"/>
              <w:jc w:val="center"/>
              <w:rPr>
                <w:sz w:val="22"/>
              </w:rPr>
            </w:pPr>
            <w:r>
              <w:rPr>
                <w:sz w:val="22"/>
              </w:rPr>
              <w:t>Project</w:t>
            </w:r>
            <w:r>
              <w:rPr>
                <w:spacing w:val="-7"/>
                <w:sz w:val="22"/>
              </w:rPr>
              <w:t> </w:t>
            </w:r>
            <w:r>
              <w:rPr>
                <w:sz w:val="22"/>
              </w:rPr>
              <w:t>Affected</w:t>
            </w:r>
            <w:r>
              <w:rPr>
                <w:spacing w:val="-6"/>
                <w:sz w:val="22"/>
              </w:rPr>
              <w:t> </w:t>
            </w:r>
            <w:r>
              <w:rPr>
                <w:spacing w:val="-2"/>
                <w:sz w:val="22"/>
              </w:rPr>
              <w:t>Person</w:t>
            </w:r>
          </w:p>
        </w:tc>
      </w:tr>
      <w:tr>
        <w:trPr>
          <w:trHeight w:val="451" w:hRule="atLeast"/>
        </w:trPr>
        <w:tc>
          <w:tcPr>
            <w:tcW w:w="900" w:type="dxa"/>
          </w:tcPr>
          <w:p>
            <w:pPr>
              <w:pStyle w:val="TableParagraph"/>
              <w:spacing w:before="97"/>
              <w:ind w:left="10" w:right="3"/>
              <w:jc w:val="center"/>
              <w:rPr>
                <w:sz w:val="22"/>
              </w:rPr>
            </w:pPr>
            <w:r>
              <w:rPr>
                <w:spacing w:val="-5"/>
                <w:sz w:val="22"/>
              </w:rPr>
              <w:t>82</w:t>
            </w:r>
          </w:p>
        </w:tc>
        <w:tc>
          <w:tcPr>
            <w:tcW w:w="2007" w:type="dxa"/>
          </w:tcPr>
          <w:p>
            <w:pPr>
              <w:pStyle w:val="TableParagraph"/>
              <w:spacing w:before="97"/>
              <w:ind w:left="12" w:right="4"/>
              <w:jc w:val="center"/>
              <w:rPr>
                <w:sz w:val="22"/>
              </w:rPr>
            </w:pPr>
            <w:r>
              <w:rPr>
                <w:spacing w:val="-5"/>
                <w:sz w:val="22"/>
              </w:rPr>
              <w:t>POS</w:t>
            </w:r>
          </w:p>
        </w:tc>
        <w:tc>
          <w:tcPr>
            <w:tcW w:w="5281" w:type="dxa"/>
          </w:tcPr>
          <w:p>
            <w:pPr>
              <w:pStyle w:val="TableParagraph"/>
              <w:spacing w:before="97"/>
              <w:ind w:left="14" w:right="7"/>
              <w:jc w:val="center"/>
              <w:rPr>
                <w:sz w:val="22"/>
              </w:rPr>
            </w:pPr>
            <w:r>
              <w:rPr>
                <w:sz w:val="22"/>
              </w:rPr>
              <w:t>Public</w:t>
            </w:r>
            <w:r>
              <w:rPr>
                <w:spacing w:val="-9"/>
                <w:sz w:val="22"/>
              </w:rPr>
              <w:t> </w:t>
            </w:r>
            <w:r>
              <w:rPr>
                <w:sz w:val="22"/>
              </w:rPr>
              <w:t>Open</w:t>
            </w:r>
            <w:r>
              <w:rPr>
                <w:spacing w:val="-3"/>
                <w:sz w:val="22"/>
              </w:rPr>
              <w:t> </w:t>
            </w:r>
            <w:r>
              <w:rPr>
                <w:spacing w:val="-4"/>
                <w:sz w:val="22"/>
              </w:rPr>
              <w:t>Space</w:t>
            </w:r>
          </w:p>
        </w:tc>
      </w:tr>
      <w:tr>
        <w:trPr>
          <w:trHeight w:val="450" w:hRule="atLeast"/>
        </w:trPr>
        <w:tc>
          <w:tcPr>
            <w:tcW w:w="900" w:type="dxa"/>
          </w:tcPr>
          <w:p>
            <w:pPr>
              <w:pStyle w:val="TableParagraph"/>
              <w:spacing w:before="94"/>
              <w:ind w:left="10" w:right="3"/>
              <w:jc w:val="center"/>
              <w:rPr>
                <w:sz w:val="22"/>
              </w:rPr>
            </w:pPr>
            <w:r>
              <w:rPr>
                <w:spacing w:val="-5"/>
                <w:sz w:val="22"/>
              </w:rPr>
              <w:t>83</w:t>
            </w:r>
          </w:p>
        </w:tc>
        <w:tc>
          <w:tcPr>
            <w:tcW w:w="2007" w:type="dxa"/>
          </w:tcPr>
          <w:p>
            <w:pPr>
              <w:pStyle w:val="TableParagraph"/>
              <w:spacing w:before="94"/>
              <w:ind w:left="12" w:right="6"/>
              <w:jc w:val="center"/>
              <w:rPr>
                <w:sz w:val="22"/>
              </w:rPr>
            </w:pPr>
            <w:r>
              <w:rPr>
                <w:spacing w:val="-5"/>
                <w:sz w:val="22"/>
              </w:rPr>
              <w:t>PPL</w:t>
            </w:r>
          </w:p>
        </w:tc>
        <w:tc>
          <w:tcPr>
            <w:tcW w:w="5281" w:type="dxa"/>
          </w:tcPr>
          <w:p>
            <w:pPr>
              <w:pStyle w:val="TableParagraph"/>
              <w:spacing w:before="94"/>
              <w:ind w:left="14" w:right="1"/>
              <w:jc w:val="center"/>
              <w:rPr>
                <w:sz w:val="22"/>
              </w:rPr>
            </w:pPr>
            <w:r>
              <w:rPr>
                <w:sz w:val="22"/>
              </w:rPr>
              <w:t>Public</w:t>
            </w:r>
            <w:r>
              <w:rPr>
                <w:spacing w:val="-5"/>
                <w:sz w:val="22"/>
              </w:rPr>
              <w:t> </w:t>
            </w:r>
            <w:r>
              <w:rPr>
                <w:sz w:val="22"/>
              </w:rPr>
              <w:t>Parking</w:t>
            </w:r>
            <w:r>
              <w:rPr>
                <w:spacing w:val="-5"/>
                <w:sz w:val="22"/>
              </w:rPr>
              <w:t> Lot</w:t>
            </w:r>
          </w:p>
        </w:tc>
      </w:tr>
      <w:tr>
        <w:trPr>
          <w:trHeight w:val="450" w:hRule="atLeast"/>
        </w:trPr>
        <w:tc>
          <w:tcPr>
            <w:tcW w:w="900" w:type="dxa"/>
          </w:tcPr>
          <w:p>
            <w:pPr>
              <w:pStyle w:val="TableParagraph"/>
              <w:spacing w:before="94"/>
              <w:ind w:left="10" w:right="3"/>
              <w:jc w:val="center"/>
              <w:rPr>
                <w:sz w:val="22"/>
              </w:rPr>
            </w:pPr>
            <w:r>
              <w:rPr>
                <w:spacing w:val="-5"/>
                <w:sz w:val="22"/>
              </w:rPr>
              <w:t>84</w:t>
            </w:r>
          </w:p>
        </w:tc>
        <w:tc>
          <w:tcPr>
            <w:tcW w:w="2007" w:type="dxa"/>
          </w:tcPr>
          <w:p>
            <w:pPr>
              <w:pStyle w:val="TableParagraph"/>
              <w:spacing w:before="94"/>
              <w:ind w:left="12" w:right="4"/>
              <w:jc w:val="center"/>
              <w:rPr>
                <w:sz w:val="22"/>
              </w:rPr>
            </w:pPr>
            <w:r>
              <w:rPr>
                <w:spacing w:val="-5"/>
                <w:sz w:val="22"/>
              </w:rPr>
              <w:t>PSC</w:t>
            </w:r>
          </w:p>
        </w:tc>
        <w:tc>
          <w:tcPr>
            <w:tcW w:w="5281" w:type="dxa"/>
          </w:tcPr>
          <w:p>
            <w:pPr>
              <w:pStyle w:val="TableParagraph"/>
              <w:spacing w:before="94"/>
              <w:ind w:left="14" w:right="9"/>
              <w:jc w:val="center"/>
              <w:rPr>
                <w:sz w:val="22"/>
              </w:rPr>
            </w:pPr>
            <w:r>
              <w:rPr>
                <w:sz w:val="22"/>
              </w:rPr>
              <w:t>Public</w:t>
            </w:r>
            <w:r>
              <w:rPr>
                <w:spacing w:val="-7"/>
                <w:sz w:val="22"/>
              </w:rPr>
              <w:t> </w:t>
            </w:r>
            <w:r>
              <w:rPr>
                <w:sz w:val="22"/>
              </w:rPr>
              <w:t>Sanitary</w:t>
            </w:r>
            <w:r>
              <w:rPr>
                <w:spacing w:val="-6"/>
                <w:sz w:val="22"/>
              </w:rPr>
              <w:t> </w:t>
            </w:r>
            <w:r>
              <w:rPr>
                <w:spacing w:val="-2"/>
                <w:sz w:val="22"/>
              </w:rPr>
              <w:t>Convenience</w:t>
            </w:r>
          </w:p>
        </w:tc>
      </w:tr>
      <w:tr>
        <w:trPr>
          <w:trHeight w:val="448" w:hRule="atLeast"/>
        </w:trPr>
        <w:tc>
          <w:tcPr>
            <w:tcW w:w="900" w:type="dxa"/>
          </w:tcPr>
          <w:p>
            <w:pPr>
              <w:pStyle w:val="TableParagraph"/>
              <w:spacing w:before="94"/>
              <w:ind w:left="10" w:right="3"/>
              <w:jc w:val="center"/>
              <w:rPr>
                <w:sz w:val="22"/>
              </w:rPr>
            </w:pPr>
            <w:r>
              <w:rPr>
                <w:spacing w:val="-5"/>
                <w:sz w:val="22"/>
              </w:rPr>
              <w:t>85</w:t>
            </w:r>
          </w:p>
        </w:tc>
        <w:tc>
          <w:tcPr>
            <w:tcW w:w="2007" w:type="dxa"/>
          </w:tcPr>
          <w:p>
            <w:pPr>
              <w:pStyle w:val="TableParagraph"/>
              <w:spacing w:before="94"/>
              <w:ind w:left="12" w:right="5"/>
              <w:jc w:val="center"/>
              <w:rPr>
                <w:sz w:val="22"/>
              </w:rPr>
            </w:pPr>
            <w:r>
              <w:rPr>
                <w:spacing w:val="-5"/>
                <w:sz w:val="22"/>
              </w:rPr>
              <w:t>PSU</w:t>
            </w:r>
          </w:p>
        </w:tc>
        <w:tc>
          <w:tcPr>
            <w:tcW w:w="5281" w:type="dxa"/>
          </w:tcPr>
          <w:p>
            <w:pPr>
              <w:pStyle w:val="TableParagraph"/>
              <w:spacing w:before="94"/>
              <w:ind w:left="14" w:right="3"/>
              <w:jc w:val="center"/>
              <w:rPr>
                <w:sz w:val="22"/>
              </w:rPr>
            </w:pPr>
            <w:r>
              <w:rPr>
                <w:sz w:val="22"/>
              </w:rPr>
              <w:t>Public</w:t>
            </w:r>
            <w:r>
              <w:rPr>
                <w:spacing w:val="-6"/>
                <w:sz w:val="22"/>
              </w:rPr>
              <w:t> </w:t>
            </w:r>
            <w:r>
              <w:rPr>
                <w:sz w:val="22"/>
              </w:rPr>
              <w:t>Sector</w:t>
            </w:r>
            <w:r>
              <w:rPr>
                <w:spacing w:val="-5"/>
                <w:sz w:val="22"/>
              </w:rPr>
              <w:t> </w:t>
            </w:r>
            <w:r>
              <w:rPr>
                <w:spacing w:val="-2"/>
                <w:sz w:val="22"/>
              </w:rPr>
              <w:t>Undertaking</w:t>
            </w:r>
          </w:p>
        </w:tc>
      </w:tr>
      <w:tr>
        <w:trPr>
          <w:trHeight w:val="450" w:hRule="atLeast"/>
        </w:trPr>
        <w:tc>
          <w:tcPr>
            <w:tcW w:w="900" w:type="dxa"/>
          </w:tcPr>
          <w:p>
            <w:pPr>
              <w:pStyle w:val="TableParagraph"/>
              <w:spacing w:before="97"/>
              <w:ind w:left="10" w:right="3"/>
              <w:jc w:val="center"/>
              <w:rPr>
                <w:sz w:val="22"/>
              </w:rPr>
            </w:pPr>
            <w:r>
              <w:rPr>
                <w:spacing w:val="-5"/>
                <w:sz w:val="22"/>
              </w:rPr>
              <w:t>86</w:t>
            </w:r>
          </w:p>
        </w:tc>
        <w:tc>
          <w:tcPr>
            <w:tcW w:w="2007" w:type="dxa"/>
          </w:tcPr>
          <w:p>
            <w:pPr>
              <w:pStyle w:val="TableParagraph"/>
              <w:spacing w:before="97"/>
              <w:ind w:left="12" w:right="6"/>
              <w:jc w:val="center"/>
              <w:rPr>
                <w:sz w:val="22"/>
              </w:rPr>
            </w:pPr>
            <w:r>
              <w:rPr>
                <w:spacing w:val="-5"/>
                <w:sz w:val="22"/>
              </w:rPr>
              <w:t>PTC</w:t>
            </w:r>
          </w:p>
        </w:tc>
        <w:tc>
          <w:tcPr>
            <w:tcW w:w="5281" w:type="dxa"/>
          </w:tcPr>
          <w:p>
            <w:pPr>
              <w:pStyle w:val="TableParagraph"/>
              <w:spacing w:before="97"/>
              <w:ind w:left="14" w:right="4"/>
              <w:jc w:val="center"/>
              <w:rPr>
                <w:sz w:val="22"/>
              </w:rPr>
            </w:pPr>
            <w:r>
              <w:rPr>
                <w:sz w:val="22"/>
              </w:rPr>
              <w:t>Permanent</w:t>
            </w:r>
            <w:r>
              <w:rPr>
                <w:spacing w:val="-7"/>
                <w:sz w:val="22"/>
              </w:rPr>
              <w:t> </w:t>
            </w:r>
            <w:r>
              <w:rPr>
                <w:sz w:val="22"/>
              </w:rPr>
              <w:t>Transit</w:t>
            </w:r>
            <w:r>
              <w:rPr>
                <w:spacing w:val="-6"/>
                <w:sz w:val="22"/>
              </w:rPr>
              <w:t> </w:t>
            </w:r>
            <w:r>
              <w:rPr>
                <w:spacing w:val="-4"/>
                <w:sz w:val="22"/>
              </w:rPr>
              <w:t>Camp</w:t>
            </w:r>
          </w:p>
        </w:tc>
      </w:tr>
      <w:tr>
        <w:trPr>
          <w:trHeight w:val="450" w:hRule="atLeast"/>
        </w:trPr>
        <w:tc>
          <w:tcPr>
            <w:tcW w:w="900" w:type="dxa"/>
          </w:tcPr>
          <w:p>
            <w:pPr>
              <w:pStyle w:val="TableParagraph"/>
              <w:spacing w:before="94"/>
              <w:ind w:left="10" w:right="3"/>
              <w:jc w:val="center"/>
              <w:rPr>
                <w:sz w:val="22"/>
              </w:rPr>
            </w:pPr>
            <w:r>
              <w:rPr>
                <w:spacing w:val="-5"/>
                <w:sz w:val="22"/>
              </w:rPr>
              <w:t>87</w:t>
            </w:r>
          </w:p>
        </w:tc>
        <w:tc>
          <w:tcPr>
            <w:tcW w:w="2007" w:type="dxa"/>
          </w:tcPr>
          <w:p>
            <w:pPr>
              <w:pStyle w:val="TableParagraph"/>
              <w:spacing w:before="94"/>
              <w:ind w:left="12" w:right="1"/>
              <w:jc w:val="center"/>
              <w:rPr>
                <w:sz w:val="22"/>
              </w:rPr>
            </w:pPr>
            <w:r>
              <w:rPr>
                <w:sz w:val="22"/>
              </w:rPr>
              <w:t>RDDP</w:t>
            </w:r>
            <w:r>
              <w:rPr>
                <w:spacing w:val="-2"/>
                <w:sz w:val="22"/>
              </w:rPr>
              <w:t> </w:t>
            </w:r>
            <w:r>
              <w:rPr>
                <w:spacing w:val="-4"/>
                <w:sz w:val="22"/>
              </w:rPr>
              <w:t>2034</w:t>
            </w:r>
          </w:p>
        </w:tc>
        <w:tc>
          <w:tcPr>
            <w:tcW w:w="5281" w:type="dxa"/>
          </w:tcPr>
          <w:p>
            <w:pPr>
              <w:pStyle w:val="TableParagraph"/>
              <w:spacing w:before="94"/>
              <w:ind w:left="14" w:right="5"/>
              <w:jc w:val="center"/>
              <w:rPr>
                <w:sz w:val="22"/>
              </w:rPr>
            </w:pPr>
            <w:r>
              <w:rPr>
                <w:sz w:val="22"/>
              </w:rPr>
              <w:t>Revised</w:t>
            </w:r>
            <w:r>
              <w:rPr>
                <w:spacing w:val="-6"/>
                <w:sz w:val="22"/>
              </w:rPr>
              <w:t> </w:t>
            </w:r>
            <w:r>
              <w:rPr>
                <w:sz w:val="22"/>
              </w:rPr>
              <w:t>Draft</w:t>
            </w:r>
            <w:r>
              <w:rPr>
                <w:spacing w:val="-5"/>
                <w:sz w:val="22"/>
              </w:rPr>
              <w:t> </w:t>
            </w:r>
            <w:r>
              <w:rPr>
                <w:sz w:val="22"/>
              </w:rPr>
              <w:t>Development</w:t>
            </w:r>
            <w:r>
              <w:rPr>
                <w:spacing w:val="-6"/>
                <w:sz w:val="22"/>
              </w:rPr>
              <w:t> </w:t>
            </w:r>
            <w:r>
              <w:rPr>
                <w:sz w:val="22"/>
              </w:rPr>
              <w:t>Plan</w:t>
            </w:r>
            <w:r>
              <w:rPr>
                <w:spacing w:val="-5"/>
                <w:sz w:val="22"/>
              </w:rPr>
              <w:t> </w:t>
            </w:r>
            <w:r>
              <w:rPr>
                <w:spacing w:val="-4"/>
                <w:sz w:val="22"/>
              </w:rPr>
              <w:t>2034</w:t>
            </w:r>
          </w:p>
        </w:tc>
      </w:tr>
      <w:tr>
        <w:trPr>
          <w:trHeight w:val="450" w:hRule="atLeast"/>
        </w:trPr>
        <w:tc>
          <w:tcPr>
            <w:tcW w:w="900" w:type="dxa"/>
          </w:tcPr>
          <w:p>
            <w:pPr>
              <w:pStyle w:val="TableParagraph"/>
              <w:rPr>
                <w:rFonts w:ascii="Times New Roman"/>
                <w:sz w:val="20"/>
              </w:rPr>
            </w:pPr>
          </w:p>
        </w:tc>
        <w:tc>
          <w:tcPr>
            <w:tcW w:w="2007" w:type="dxa"/>
          </w:tcPr>
          <w:p>
            <w:pPr>
              <w:pStyle w:val="TableParagraph"/>
              <w:rPr>
                <w:rFonts w:ascii="Times New Roman"/>
                <w:sz w:val="20"/>
              </w:rPr>
            </w:pPr>
          </w:p>
        </w:tc>
        <w:tc>
          <w:tcPr>
            <w:tcW w:w="5281" w:type="dxa"/>
          </w:tcPr>
          <w:p>
            <w:pPr>
              <w:pStyle w:val="TableParagraph"/>
              <w:rPr>
                <w:rFonts w:ascii="Times New Roman"/>
                <w:sz w:val="20"/>
              </w:rPr>
            </w:pPr>
          </w:p>
        </w:tc>
      </w:tr>
      <w:tr>
        <w:trPr>
          <w:trHeight w:val="451" w:hRule="atLeast"/>
        </w:trPr>
        <w:tc>
          <w:tcPr>
            <w:tcW w:w="900" w:type="dxa"/>
          </w:tcPr>
          <w:p>
            <w:pPr>
              <w:pStyle w:val="TableParagraph"/>
              <w:spacing w:before="94"/>
              <w:ind w:left="10" w:right="3"/>
              <w:jc w:val="center"/>
              <w:rPr>
                <w:sz w:val="22"/>
              </w:rPr>
            </w:pPr>
            <w:r>
              <w:rPr>
                <w:spacing w:val="-5"/>
                <w:sz w:val="22"/>
              </w:rPr>
              <w:t>88</w:t>
            </w:r>
          </w:p>
        </w:tc>
        <w:tc>
          <w:tcPr>
            <w:tcW w:w="2007" w:type="dxa"/>
          </w:tcPr>
          <w:p>
            <w:pPr>
              <w:pStyle w:val="TableParagraph"/>
              <w:spacing w:before="94"/>
              <w:ind w:left="12" w:right="4"/>
              <w:jc w:val="center"/>
              <w:rPr>
                <w:sz w:val="22"/>
              </w:rPr>
            </w:pPr>
            <w:r>
              <w:rPr>
                <w:spacing w:val="-5"/>
                <w:sz w:val="22"/>
              </w:rPr>
              <w:t>RRC</w:t>
            </w:r>
          </w:p>
        </w:tc>
        <w:tc>
          <w:tcPr>
            <w:tcW w:w="5281" w:type="dxa"/>
          </w:tcPr>
          <w:p>
            <w:pPr>
              <w:pStyle w:val="TableParagraph"/>
              <w:spacing w:before="94"/>
              <w:ind w:left="14" w:right="5"/>
              <w:jc w:val="center"/>
              <w:rPr>
                <w:sz w:val="22"/>
              </w:rPr>
            </w:pPr>
            <w:r>
              <w:rPr>
                <w:sz w:val="22"/>
              </w:rPr>
              <w:t>Renewal</w:t>
            </w:r>
            <w:r>
              <w:rPr>
                <w:spacing w:val="-5"/>
                <w:sz w:val="22"/>
              </w:rPr>
              <w:t> </w:t>
            </w:r>
            <w:r>
              <w:rPr>
                <w:sz w:val="22"/>
              </w:rPr>
              <w:t>Rehab</w:t>
            </w:r>
            <w:r>
              <w:rPr>
                <w:spacing w:val="-5"/>
                <w:sz w:val="22"/>
              </w:rPr>
              <w:t> </w:t>
            </w:r>
            <w:r>
              <w:rPr>
                <w:spacing w:val="-2"/>
                <w:sz w:val="22"/>
              </w:rPr>
              <w:t>Component</w:t>
            </w:r>
          </w:p>
        </w:tc>
      </w:tr>
      <w:tr>
        <w:trPr>
          <w:trHeight w:val="448" w:hRule="atLeast"/>
        </w:trPr>
        <w:tc>
          <w:tcPr>
            <w:tcW w:w="900" w:type="dxa"/>
          </w:tcPr>
          <w:p>
            <w:pPr>
              <w:pStyle w:val="TableParagraph"/>
              <w:spacing w:before="94"/>
              <w:ind w:left="10" w:right="3"/>
              <w:jc w:val="center"/>
              <w:rPr>
                <w:sz w:val="22"/>
              </w:rPr>
            </w:pPr>
            <w:r>
              <w:rPr>
                <w:spacing w:val="-5"/>
                <w:sz w:val="22"/>
              </w:rPr>
              <w:t>89</w:t>
            </w:r>
          </w:p>
        </w:tc>
        <w:tc>
          <w:tcPr>
            <w:tcW w:w="2007" w:type="dxa"/>
          </w:tcPr>
          <w:p>
            <w:pPr>
              <w:pStyle w:val="TableParagraph"/>
              <w:spacing w:before="94"/>
              <w:ind w:left="12" w:right="1"/>
              <w:jc w:val="center"/>
              <w:rPr>
                <w:sz w:val="22"/>
              </w:rPr>
            </w:pPr>
            <w:r>
              <w:rPr>
                <w:spacing w:val="-5"/>
                <w:sz w:val="22"/>
              </w:rPr>
              <w:t>RSC</w:t>
            </w:r>
          </w:p>
        </w:tc>
        <w:tc>
          <w:tcPr>
            <w:tcW w:w="5281" w:type="dxa"/>
          </w:tcPr>
          <w:p>
            <w:pPr>
              <w:pStyle w:val="TableParagraph"/>
              <w:spacing w:before="94"/>
              <w:ind w:left="14" w:right="3"/>
              <w:jc w:val="center"/>
              <w:rPr>
                <w:sz w:val="22"/>
              </w:rPr>
            </w:pPr>
            <w:r>
              <w:rPr>
                <w:sz w:val="22"/>
              </w:rPr>
              <w:t>Renewal</w:t>
            </w:r>
            <w:r>
              <w:rPr>
                <w:spacing w:val="-6"/>
                <w:sz w:val="22"/>
              </w:rPr>
              <w:t> </w:t>
            </w:r>
            <w:r>
              <w:rPr>
                <w:sz w:val="22"/>
              </w:rPr>
              <w:t>Sale</w:t>
            </w:r>
            <w:r>
              <w:rPr>
                <w:spacing w:val="-5"/>
                <w:sz w:val="22"/>
              </w:rPr>
              <w:t> </w:t>
            </w:r>
            <w:r>
              <w:rPr>
                <w:spacing w:val="-2"/>
                <w:sz w:val="22"/>
              </w:rPr>
              <w:t>Component</w:t>
            </w:r>
          </w:p>
        </w:tc>
      </w:tr>
      <w:tr>
        <w:trPr>
          <w:trHeight w:val="450" w:hRule="atLeast"/>
        </w:trPr>
        <w:tc>
          <w:tcPr>
            <w:tcW w:w="900" w:type="dxa"/>
          </w:tcPr>
          <w:p>
            <w:pPr>
              <w:pStyle w:val="TableParagraph"/>
              <w:spacing w:before="94"/>
              <w:ind w:left="10" w:right="3"/>
              <w:jc w:val="center"/>
              <w:rPr>
                <w:sz w:val="22"/>
              </w:rPr>
            </w:pPr>
            <w:r>
              <w:rPr>
                <w:spacing w:val="-5"/>
                <w:sz w:val="22"/>
              </w:rPr>
              <w:t>90</w:t>
            </w:r>
          </w:p>
        </w:tc>
        <w:tc>
          <w:tcPr>
            <w:tcW w:w="2007" w:type="dxa"/>
          </w:tcPr>
          <w:p>
            <w:pPr>
              <w:pStyle w:val="TableParagraph"/>
              <w:spacing w:before="94"/>
              <w:ind w:left="12" w:right="4"/>
              <w:jc w:val="center"/>
              <w:rPr>
                <w:sz w:val="22"/>
              </w:rPr>
            </w:pPr>
            <w:r>
              <w:rPr>
                <w:spacing w:val="-5"/>
                <w:sz w:val="22"/>
              </w:rPr>
              <w:t>RSS</w:t>
            </w:r>
          </w:p>
        </w:tc>
        <w:tc>
          <w:tcPr>
            <w:tcW w:w="5281" w:type="dxa"/>
          </w:tcPr>
          <w:p>
            <w:pPr>
              <w:pStyle w:val="TableParagraph"/>
              <w:spacing w:before="94"/>
              <w:ind w:left="14" w:right="2"/>
              <w:jc w:val="center"/>
              <w:rPr>
                <w:sz w:val="22"/>
              </w:rPr>
            </w:pPr>
            <w:r>
              <w:rPr>
                <w:sz w:val="22"/>
              </w:rPr>
              <w:t>Receiving</w:t>
            </w:r>
            <w:r>
              <w:rPr>
                <w:spacing w:val="-5"/>
                <w:sz w:val="22"/>
              </w:rPr>
              <w:t> </w:t>
            </w:r>
            <w:r>
              <w:rPr>
                <w:spacing w:val="-2"/>
                <w:sz w:val="22"/>
              </w:rPr>
              <w:t>Substation</w:t>
            </w:r>
          </w:p>
        </w:tc>
      </w:tr>
      <w:tr>
        <w:trPr>
          <w:trHeight w:val="450" w:hRule="atLeast"/>
        </w:trPr>
        <w:tc>
          <w:tcPr>
            <w:tcW w:w="900" w:type="dxa"/>
          </w:tcPr>
          <w:p>
            <w:pPr>
              <w:pStyle w:val="TableParagraph"/>
              <w:spacing w:before="94"/>
              <w:ind w:left="10" w:right="3"/>
              <w:jc w:val="center"/>
              <w:rPr>
                <w:sz w:val="22"/>
              </w:rPr>
            </w:pPr>
            <w:r>
              <w:rPr>
                <w:spacing w:val="-5"/>
                <w:sz w:val="22"/>
              </w:rPr>
              <w:t>91</w:t>
            </w:r>
          </w:p>
        </w:tc>
        <w:tc>
          <w:tcPr>
            <w:tcW w:w="2007" w:type="dxa"/>
          </w:tcPr>
          <w:p>
            <w:pPr>
              <w:pStyle w:val="TableParagraph"/>
              <w:spacing w:before="94"/>
              <w:ind w:left="12" w:right="4"/>
              <w:jc w:val="center"/>
              <w:rPr>
                <w:sz w:val="22"/>
              </w:rPr>
            </w:pPr>
            <w:r>
              <w:rPr>
                <w:spacing w:val="-5"/>
                <w:sz w:val="22"/>
              </w:rPr>
              <w:t>SDZ</w:t>
            </w:r>
          </w:p>
        </w:tc>
        <w:tc>
          <w:tcPr>
            <w:tcW w:w="5281" w:type="dxa"/>
          </w:tcPr>
          <w:p>
            <w:pPr>
              <w:pStyle w:val="TableParagraph"/>
              <w:spacing w:before="94"/>
              <w:ind w:left="14" w:right="6"/>
              <w:jc w:val="center"/>
              <w:rPr>
                <w:sz w:val="22"/>
              </w:rPr>
            </w:pPr>
            <w:r>
              <w:rPr>
                <w:sz w:val="22"/>
              </w:rPr>
              <w:t>Special</w:t>
            </w:r>
            <w:r>
              <w:rPr>
                <w:spacing w:val="-9"/>
                <w:sz w:val="22"/>
              </w:rPr>
              <w:t> </w:t>
            </w:r>
            <w:r>
              <w:rPr>
                <w:sz w:val="22"/>
              </w:rPr>
              <w:t>Development</w:t>
            </w:r>
            <w:r>
              <w:rPr>
                <w:spacing w:val="-7"/>
                <w:sz w:val="22"/>
              </w:rPr>
              <w:t> </w:t>
            </w:r>
            <w:r>
              <w:rPr>
                <w:spacing w:val="-4"/>
                <w:sz w:val="22"/>
              </w:rPr>
              <w:t>Zone</w:t>
            </w:r>
          </w:p>
        </w:tc>
      </w:tr>
      <w:tr>
        <w:trPr>
          <w:trHeight w:val="450" w:hRule="atLeast"/>
        </w:trPr>
        <w:tc>
          <w:tcPr>
            <w:tcW w:w="900" w:type="dxa"/>
          </w:tcPr>
          <w:p>
            <w:pPr>
              <w:pStyle w:val="TableParagraph"/>
              <w:rPr>
                <w:rFonts w:ascii="Times New Roman"/>
                <w:sz w:val="20"/>
              </w:rPr>
            </w:pPr>
          </w:p>
        </w:tc>
        <w:tc>
          <w:tcPr>
            <w:tcW w:w="2007" w:type="dxa"/>
          </w:tcPr>
          <w:p>
            <w:pPr>
              <w:pStyle w:val="TableParagraph"/>
              <w:rPr>
                <w:rFonts w:ascii="Times New Roman"/>
                <w:sz w:val="20"/>
              </w:rPr>
            </w:pPr>
          </w:p>
        </w:tc>
        <w:tc>
          <w:tcPr>
            <w:tcW w:w="5281" w:type="dxa"/>
          </w:tcPr>
          <w:p>
            <w:pPr>
              <w:pStyle w:val="TableParagraph"/>
              <w:rPr>
                <w:rFonts w:ascii="Times New Roman"/>
                <w:sz w:val="20"/>
              </w:rPr>
            </w:pPr>
          </w:p>
        </w:tc>
      </w:tr>
      <w:tr>
        <w:trPr>
          <w:trHeight w:val="450" w:hRule="atLeast"/>
        </w:trPr>
        <w:tc>
          <w:tcPr>
            <w:tcW w:w="900" w:type="dxa"/>
          </w:tcPr>
          <w:p>
            <w:pPr>
              <w:pStyle w:val="TableParagraph"/>
              <w:rPr>
                <w:rFonts w:ascii="Times New Roman"/>
                <w:sz w:val="20"/>
              </w:rPr>
            </w:pPr>
          </w:p>
        </w:tc>
        <w:tc>
          <w:tcPr>
            <w:tcW w:w="2007" w:type="dxa"/>
          </w:tcPr>
          <w:p>
            <w:pPr>
              <w:pStyle w:val="TableParagraph"/>
              <w:rPr>
                <w:rFonts w:ascii="Times New Roman"/>
                <w:sz w:val="20"/>
              </w:rPr>
            </w:pPr>
          </w:p>
        </w:tc>
        <w:tc>
          <w:tcPr>
            <w:tcW w:w="5281" w:type="dxa"/>
          </w:tcPr>
          <w:p>
            <w:pPr>
              <w:pStyle w:val="TableParagraph"/>
              <w:rPr>
                <w:rFonts w:ascii="Times New Roman"/>
                <w:sz w:val="20"/>
              </w:rPr>
            </w:pPr>
          </w:p>
        </w:tc>
      </w:tr>
    </w:tbl>
    <w:p>
      <w:pPr>
        <w:pStyle w:val="TableParagraph"/>
        <w:spacing w:after="0"/>
        <w:rPr>
          <w:rFonts w:ascii="Times New Roman"/>
          <w:sz w:val="20"/>
        </w:rPr>
        <w:sectPr>
          <w:pgSz w:w="11910" w:h="16840"/>
          <w:pgMar w:header="1132" w:footer="1321" w:top="1560" w:bottom="1520" w:left="360" w:right="360"/>
        </w:sectPr>
      </w:pPr>
    </w:p>
    <w:p>
      <w:pPr>
        <w:pStyle w:val="BodyText"/>
        <w:spacing w:before="6"/>
        <w:jc w:val="left"/>
        <w:rPr>
          <w:sz w:val="15"/>
        </w:rPr>
      </w:pPr>
    </w:p>
    <w:tbl>
      <w:tblPr>
        <w:tblW w:w="0" w:type="auto"/>
        <w:jc w:val="left"/>
        <w:tblInd w:w="1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2007"/>
        <w:gridCol w:w="5281"/>
      </w:tblGrid>
      <w:tr>
        <w:trPr>
          <w:trHeight w:val="568" w:hRule="atLeast"/>
        </w:trPr>
        <w:tc>
          <w:tcPr>
            <w:tcW w:w="8188" w:type="dxa"/>
            <w:gridSpan w:val="3"/>
            <w:shd w:val="clear" w:color="auto" w:fill="E7E6E6"/>
          </w:tcPr>
          <w:p>
            <w:pPr>
              <w:pStyle w:val="TableParagraph"/>
              <w:spacing w:before="97"/>
              <w:ind w:left="3"/>
              <w:jc w:val="center"/>
              <w:rPr>
                <w:b/>
                <w:sz w:val="32"/>
              </w:rPr>
            </w:pPr>
            <w:r>
              <w:rPr>
                <w:b/>
                <w:spacing w:val="-2"/>
                <w:sz w:val="32"/>
              </w:rPr>
              <w:t>ABBREVIATIONS</w:t>
            </w:r>
          </w:p>
        </w:tc>
      </w:tr>
      <w:tr>
        <w:trPr>
          <w:trHeight w:val="709" w:hRule="atLeast"/>
        </w:trPr>
        <w:tc>
          <w:tcPr>
            <w:tcW w:w="900" w:type="dxa"/>
            <w:shd w:val="clear" w:color="auto" w:fill="E7E6E6"/>
          </w:tcPr>
          <w:p>
            <w:pPr>
              <w:pStyle w:val="TableParagraph"/>
              <w:spacing w:before="94"/>
              <w:ind w:left="280" w:right="261" w:firstLine="9"/>
              <w:rPr>
                <w:b/>
                <w:sz w:val="22"/>
              </w:rPr>
            </w:pPr>
            <w:r>
              <w:rPr>
                <w:b/>
                <w:spacing w:val="-6"/>
                <w:sz w:val="22"/>
              </w:rPr>
              <w:t>SR </w:t>
            </w:r>
            <w:r>
              <w:rPr>
                <w:b/>
                <w:spacing w:val="-5"/>
                <w:sz w:val="22"/>
              </w:rPr>
              <w:t>NO</w:t>
            </w:r>
          </w:p>
        </w:tc>
        <w:tc>
          <w:tcPr>
            <w:tcW w:w="2007" w:type="dxa"/>
            <w:shd w:val="clear" w:color="auto" w:fill="E7E6E6"/>
          </w:tcPr>
          <w:p>
            <w:pPr>
              <w:pStyle w:val="TableParagraph"/>
              <w:spacing w:before="224"/>
              <w:ind w:left="12" w:right="2"/>
              <w:jc w:val="center"/>
              <w:rPr>
                <w:b/>
                <w:sz w:val="22"/>
              </w:rPr>
            </w:pPr>
            <w:r>
              <w:rPr>
                <w:b/>
                <w:spacing w:val="-2"/>
                <w:sz w:val="22"/>
              </w:rPr>
              <w:t>ABBREVIATION</w:t>
            </w:r>
          </w:p>
        </w:tc>
        <w:tc>
          <w:tcPr>
            <w:tcW w:w="5281" w:type="dxa"/>
            <w:shd w:val="clear" w:color="auto" w:fill="E7E6E6"/>
          </w:tcPr>
          <w:p>
            <w:pPr>
              <w:pStyle w:val="TableParagraph"/>
              <w:spacing w:before="224"/>
              <w:ind w:left="14" w:right="3"/>
              <w:jc w:val="center"/>
              <w:rPr>
                <w:b/>
                <w:sz w:val="22"/>
              </w:rPr>
            </w:pPr>
            <w:r>
              <w:rPr>
                <w:b/>
                <w:spacing w:val="-2"/>
                <w:sz w:val="22"/>
              </w:rPr>
              <w:t>DESCRIPTION</w:t>
            </w:r>
          </w:p>
        </w:tc>
      </w:tr>
      <w:tr>
        <w:trPr>
          <w:trHeight w:val="448" w:hRule="atLeast"/>
        </w:trPr>
        <w:tc>
          <w:tcPr>
            <w:tcW w:w="900" w:type="dxa"/>
          </w:tcPr>
          <w:p>
            <w:pPr>
              <w:pStyle w:val="TableParagraph"/>
              <w:spacing w:before="94"/>
              <w:ind w:left="10" w:right="3"/>
              <w:jc w:val="center"/>
              <w:rPr>
                <w:sz w:val="22"/>
              </w:rPr>
            </w:pPr>
            <w:r>
              <w:rPr>
                <w:spacing w:val="-5"/>
                <w:sz w:val="22"/>
              </w:rPr>
              <w:t>94</w:t>
            </w:r>
          </w:p>
        </w:tc>
        <w:tc>
          <w:tcPr>
            <w:tcW w:w="2007" w:type="dxa"/>
          </w:tcPr>
          <w:p>
            <w:pPr>
              <w:pStyle w:val="TableParagraph"/>
              <w:spacing w:before="94"/>
              <w:ind w:left="12" w:right="3"/>
              <w:jc w:val="center"/>
              <w:rPr>
                <w:sz w:val="22"/>
              </w:rPr>
            </w:pPr>
            <w:r>
              <w:rPr>
                <w:spacing w:val="-5"/>
                <w:sz w:val="22"/>
              </w:rPr>
              <w:t>SLR</w:t>
            </w:r>
          </w:p>
        </w:tc>
        <w:tc>
          <w:tcPr>
            <w:tcW w:w="5281" w:type="dxa"/>
          </w:tcPr>
          <w:p>
            <w:pPr>
              <w:pStyle w:val="TableParagraph"/>
              <w:spacing w:before="94"/>
              <w:ind w:left="14" w:right="3"/>
              <w:jc w:val="center"/>
              <w:rPr>
                <w:sz w:val="22"/>
              </w:rPr>
            </w:pPr>
            <w:r>
              <w:rPr>
                <w:sz w:val="22"/>
              </w:rPr>
              <w:t>Superintendent</w:t>
            </w:r>
            <w:r>
              <w:rPr>
                <w:spacing w:val="-9"/>
                <w:sz w:val="22"/>
              </w:rPr>
              <w:t> </w:t>
            </w:r>
            <w:r>
              <w:rPr>
                <w:sz w:val="22"/>
              </w:rPr>
              <w:t>of</w:t>
            </w:r>
            <w:r>
              <w:rPr>
                <w:spacing w:val="-7"/>
                <w:sz w:val="22"/>
              </w:rPr>
              <w:t> </w:t>
            </w:r>
            <w:r>
              <w:rPr>
                <w:sz w:val="22"/>
              </w:rPr>
              <w:t>Land</w:t>
            </w:r>
            <w:r>
              <w:rPr>
                <w:spacing w:val="-6"/>
                <w:sz w:val="22"/>
              </w:rPr>
              <w:t> </w:t>
            </w:r>
            <w:r>
              <w:rPr>
                <w:spacing w:val="-2"/>
                <w:sz w:val="22"/>
              </w:rPr>
              <w:t>Record</w:t>
            </w:r>
          </w:p>
        </w:tc>
      </w:tr>
      <w:tr>
        <w:trPr>
          <w:trHeight w:val="710" w:hRule="atLeast"/>
        </w:trPr>
        <w:tc>
          <w:tcPr>
            <w:tcW w:w="900" w:type="dxa"/>
          </w:tcPr>
          <w:p>
            <w:pPr>
              <w:pStyle w:val="TableParagraph"/>
              <w:spacing w:before="94"/>
              <w:ind w:left="10" w:right="3"/>
              <w:jc w:val="center"/>
              <w:rPr>
                <w:sz w:val="22"/>
              </w:rPr>
            </w:pPr>
            <w:r>
              <w:rPr>
                <w:spacing w:val="-5"/>
                <w:sz w:val="22"/>
              </w:rPr>
              <w:t>95</w:t>
            </w:r>
          </w:p>
        </w:tc>
        <w:tc>
          <w:tcPr>
            <w:tcW w:w="2007" w:type="dxa"/>
          </w:tcPr>
          <w:p>
            <w:pPr>
              <w:pStyle w:val="TableParagraph"/>
              <w:spacing w:before="94"/>
              <w:ind w:left="12" w:right="5"/>
              <w:jc w:val="center"/>
              <w:rPr>
                <w:sz w:val="22"/>
              </w:rPr>
            </w:pPr>
            <w:r>
              <w:rPr>
                <w:sz w:val="22"/>
              </w:rPr>
              <w:t>Slum</w:t>
            </w:r>
            <w:r>
              <w:rPr>
                <w:spacing w:val="-4"/>
                <w:sz w:val="22"/>
              </w:rPr>
              <w:t> </w:t>
            </w:r>
            <w:r>
              <w:rPr>
                <w:spacing w:val="-5"/>
                <w:sz w:val="22"/>
              </w:rPr>
              <w:t>Act</w:t>
            </w:r>
          </w:p>
        </w:tc>
        <w:tc>
          <w:tcPr>
            <w:tcW w:w="5281" w:type="dxa"/>
          </w:tcPr>
          <w:p>
            <w:pPr>
              <w:pStyle w:val="TableParagraph"/>
              <w:spacing w:before="94"/>
              <w:ind w:left="501" w:firstLine="43"/>
              <w:rPr>
                <w:sz w:val="22"/>
              </w:rPr>
            </w:pPr>
            <w:r>
              <w:rPr>
                <w:sz w:val="22"/>
              </w:rPr>
              <w:t>Maharashtra Slum Areas(Improvement Clearance</w:t>
            </w:r>
            <w:r>
              <w:rPr>
                <w:spacing w:val="-18"/>
                <w:sz w:val="22"/>
              </w:rPr>
              <w:t> </w:t>
            </w:r>
            <w:r>
              <w:rPr>
                <w:sz w:val="22"/>
              </w:rPr>
              <w:t>and</w:t>
            </w:r>
            <w:r>
              <w:rPr>
                <w:spacing w:val="-18"/>
                <w:sz w:val="22"/>
              </w:rPr>
              <w:t> </w:t>
            </w:r>
            <w:r>
              <w:rPr>
                <w:sz w:val="22"/>
              </w:rPr>
              <w:t>Redevelopment)Act,1971</w:t>
            </w:r>
          </w:p>
        </w:tc>
      </w:tr>
      <w:tr>
        <w:trPr>
          <w:trHeight w:val="448" w:hRule="atLeast"/>
        </w:trPr>
        <w:tc>
          <w:tcPr>
            <w:tcW w:w="900" w:type="dxa"/>
          </w:tcPr>
          <w:p>
            <w:pPr>
              <w:pStyle w:val="TableParagraph"/>
              <w:spacing w:before="94"/>
              <w:ind w:left="10" w:right="3"/>
              <w:jc w:val="center"/>
              <w:rPr>
                <w:sz w:val="22"/>
              </w:rPr>
            </w:pPr>
            <w:r>
              <w:rPr>
                <w:spacing w:val="-5"/>
                <w:sz w:val="22"/>
              </w:rPr>
              <w:t>96</w:t>
            </w:r>
          </w:p>
        </w:tc>
        <w:tc>
          <w:tcPr>
            <w:tcW w:w="2007" w:type="dxa"/>
          </w:tcPr>
          <w:p>
            <w:pPr>
              <w:pStyle w:val="TableParagraph"/>
              <w:spacing w:before="94"/>
              <w:ind w:left="12" w:right="2"/>
              <w:jc w:val="center"/>
              <w:rPr>
                <w:sz w:val="22"/>
              </w:rPr>
            </w:pPr>
            <w:r>
              <w:rPr>
                <w:spacing w:val="-5"/>
                <w:sz w:val="22"/>
              </w:rPr>
              <w:t>SPA</w:t>
            </w:r>
          </w:p>
        </w:tc>
        <w:tc>
          <w:tcPr>
            <w:tcW w:w="5281" w:type="dxa"/>
          </w:tcPr>
          <w:p>
            <w:pPr>
              <w:pStyle w:val="TableParagraph"/>
              <w:spacing w:before="94"/>
              <w:ind w:left="14" w:right="5"/>
              <w:jc w:val="center"/>
              <w:rPr>
                <w:sz w:val="22"/>
              </w:rPr>
            </w:pPr>
            <w:r>
              <w:rPr>
                <w:sz w:val="22"/>
              </w:rPr>
              <w:t>Special</w:t>
            </w:r>
            <w:r>
              <w:rPr>
                <w:spacing w:val="-7"/>
                <w:sz w:val="22"/>
              </w:rPr>
              <w:t> </w:t>
            </w:r>
            <w:r>
              <w:rPr>
                <w:sz w:val="22"/>
              </w:rPr>
              <w:t>Planning</w:t>
            </w:r>
            <w:r>
              <w:rPr>
                <w:spacing w:val="-7"/>
                <w:sz w:val="22"/>
              </w:rPr>
              <w:t> </w:t>
            </w:r>
            <w:r>
              <w:rPr>
                <w:spacing w:val="-2"/>
                <w:sz w:val="22"/>
              </w:rPr>
              <w:t>Authority</w:t>
            </w:r>
          </w:p>
        </w:tc>
      </w:tr>
      <w:tr>
        <w:trPr>
          <w:trHeight w:val="450" w:hRule="atLeast"/>
        </w:trPr>
        <w:tc>
          <w:tcPr>
            <w:tcW w:w="900" w:type="dxa"/>
          </w:tcPr>
          <w:p>
            <w:pPr>
              <w:pStyle w:val="TableParagraph"/>
              <w:spacing w:before="97"/>
              <w:ind w:left="10" w:right="3"/>
              <w:jc w:val="center"/>
              <w:rPr>
                <w:sz w:val="22"/>
              </w:rPr>
            </w:pPr>
            <w:r>
              <w:rPr>
                <w:spacing w:val="-5"/>
                <w:sz w:val="22"/>
              </w:rPr>
              <w:t>97</w:t>
            </w:r>
          </w:p>
        </w:tc>
        <w:tc>
          <w:tcPr>
            <w:tcW w:w="2007" w:type="dxa"/>
          </w:tcPr>
          <w:p>
            <w:pPr>
              <w:pStyle w:val="TableParagraph"/>
              <w:spacing w:before="97"/>
              <w:ind w:left="12" w:right="4"/>
              <w:jc w:val="center"/>
              <w:rPr>
                <w:sz w:val="22"/>
              </w:rPr>
            </w:pPr>
            <w:r>
              <w:rPr>
                <w:spacing w:val="-5"/>
                <w:sz w:val="22"/>
              </w:rPr>
              <w:t>SRA</w:t>
            </w:r>
          </w:p>
        </w:tc>
        <w:tc>
          <w:tcPr>
            <w:tcW w:w="5281" w:type="dxa"/>
          </w:tcPr>
          <w:p>
            <w:pPr>
              <w:pStyle w:val="TableParagraph"/>
              <w:spacing w:before="97"/>
              <w:ind w:left="14" w:right="4"/>
              <w:jc w:val="center"/>
              <w:rPr>
                <w:sz w:val="22"/>
              </w:rPr>
            </w:pPr>
            <w:r>
              <w:rPr>
                <w:sz w:val="22"/>
              </w:rPr>
              <w:t>Slum</w:t>
            </w:r>
            <w:r>
              <w:rPr>
                <w:spacing w:val="-8"/>
                <w:sz w:val="22"/>
              </w:rPr>
              <w:t> </w:t>
            </w:r>
            <w:r>
              <w:rPr>
                <w:sz w:val="22"/>
              </w:rPr>
              <w:t>Rehabilitation</w:t>
            </w:r>
            <w:r>
              <w:rPr>
                <w:spacing w:val="-7"/>
                <w:sz w:val="22"/>
              </w:rPr>
              <w:t> </w:t>
            </w:r>
            <w:r>
              <w:rPr>
                <w:spacing w:val="-2"/>
                <w:sz w:val="22"/>
              </w:rPr>
              <w:t>Authority</w:t>
            </w:r>
          </w:p>
        </w:tc>
      </w:tr>
      <w:tr>
        <w:trPr>
          <w:trHeight w:val="451" w:hRule="atLeast"/>
        </w:trPr>
        <w:tc>
          <w:tcPr>
            <w:tcW w:w="900" w:type="dxa"/>
          </w:tcPr>
          <w:p>
            <w:pPr>
              <w:pStyle w:val="TableParagraph"/>
              <w:spacing w:before="95"/>
              <w:ind w:left="10" w:right="3"/>
              <w:jc w:val="center"/>
              <w:rPr>
                <w:sz w:val="22"/>
              </w:rPr>
            </w:pPr>
            <w:r>
              <w:rPr>
                <w:spacing w:val="-5"/>
                <w:sz w:val="22"/>
              </w:rPr>
              <w:t>98</w:t>
            </w:r>
          </w:p>
        </w:tc>
        <w:tc>
          <w:tcPr>
            <w:tcW w:w="2007" w:type="dxa"/>
          </w:tcPr>
          <w:p>
            <w:pPr>
              <w:pStyle w:val="TableParagraph"/>
              <w:spacing w:before="95"/>
              <w:ind w:left="12" w:right="2"/>
              <w:jc w:val="center"/>
              <w:rPr>
                <w:sz w:val="22"/>
              </w:rPr>
            </w:pPr>
            <w:r>
              <w:rPr>
                <w:spacing w:val="-5"/>
                <w:sz w:val="22"/>
              </w:rPr>
              <w:t>SRD</w:t>
            </w:r>
          </w:p>
        </w:tc>
        <w:tc>
          <w:tcPr>
            <w:tcW w:w="5281" w:type="dxa"/>
          </w:tcPr>
          <w:p>
            <w:pPr>
              <w:pStyle w:val="TableParagraph"/>
              <w:spacing w:before="95"/>
              <w:ind w:left="14" w:right="5"/>
              <w:jc w:val="center"/>
              <w:rPr>
                <w:sz w:val="22"/>
              </w:rPr>
            </w:pPr>
            <w:r>
              <w:rPr>
                <w:sz w:val="22"/>
              </w:rPr>
              <w:t>Slum</w:t>
            </w:r>
            <w:r>
              <w:rPr>
                <w:spacing w:val="-4"/>
                <w:sz w:val="22"/>
              </w:rPr>
              <w:t> </w:t>
            </w:r>
            <w:r>
              <w:rPr>
                <w:spacing w:val="-2"/>
                <w:sz w:val="22"/>
              </w:rPr>
              <w:t>Redevelopment</w:t>
            </w:r>
          </w:p>
        </w:tc>
      </w:tr>
      <w:tr>
        <w:trPr>
          <w:trHeight w:val="450" w:hRule="atLeast"/>
        </w:trPr>
        <w:tc>
          <w:tcPr>
            <w:tcW w:w="900" w:type="dxa"/>
          </w:tcPr>
          <w:p>
            <w:pPr>
              <w:pStyle w:val="TableParagraph"/>
              <w:spacing w:before="94"/>
              <w:ind w:left="10" w:right="3"/>
              <w:jc w:val="center"/>
              <w:rPr>
                <w:sz w:val="22"/>
              </w:rPr>
            </w:pPr>
            <w:r>
              <w:rPr>
                <w:spacing w:val="-5"/>
                <w:sz w:val="22"/>
              </w:rPr>
              <w:t>99</w:t>
            </w:r>
          </w:p>
        </w:tc>
        <w:tc>
          <w:tcPr>
            <w:tcW w:w="2007" w:type="dxa"/>
          </w:tcPr>
          <w:p>
            <w:pPr>
              <w:pStyle w:val="TableParagraph"/>
              <w:spacing w:before="94"/>
              <w:ind w:left="12" w:right="3"/>
              <w:jc w:val="center"/>
              <w:rPr>
                <w:sz w:val="22"/>
              </w:rPr>
            </w:pPr>
            <w:r>
              <w:rPr>
                <w:spacing w:val="-2"/>
                <w:sz w:val="22"/>
              </w:rPr>
              <w:t>SRDP-</w:t>
            </w:r>
            <w:r>
              <w:rPr>
                <w:spacing w:val="-4"/>
                <w:sz w:val="22"/>
              </w:rPr>
              <w:t>1991</w:t>
            </w:r>
          </w:p>
        </w:tc>
        <w:tc>
          <w:tcPr>
            <w:tcW w:w="5281" w:type="dxa"/>
          </w:tcPr>
          <w:p>
            <w:pPr>
              <w:pStyle w:val="TableParagraph"/>
              <w:spacing w:before="94"/>
              <w:ind w:left="14"/>
              <w:jc w:val="center"/>
              <w:rPr>
                <w:sz w:val="22"/>
              </w:rPr>
            </w:pPr>
            <w:r>
              <w:rPr>
                <w:sz w:val="22"/>
              </w:rPr>
              <w:t>Sanctioned</w:t>
            </w:r>
            <w:r>
              <w:rPr>
                <w:spacing w:val="-8"/>
                <w:sz w:val="22"/>
              </w:rPr>
              <w:t> </w:t>
            </w:r>
            <w:r>
              <w:rPr>
                <w:sz w:val="22"/>
              </w:rPr>
              <w:t>Revised</w:t>
            </w:r>
            <w:r>
              <w:rPr>
                <w:spacing w:val="-8"/>
                <w:sz w:val="22"/>
              </w:rPr>
              <w:t> </w:t>
            </w:r>
            <w:r>
              <w:rPr>
                <w:sz w:val="22"/>
              </w:rPr>
              <w:t>Development</w:t>
            </w:r>
            <w:r>
              <w:rPr>
                <w:spacing w:val="-8"/>
                <w:sz w:val="22"/>
              </w:rPr>
              <w:t> </w:t>
            </w:r>
            <w:r>
              <w:rPr>
                <w:sz w:val="22"/>
              </w:rPr>
              <w:t>Plan-</w:t>
            </w:r>
            <w:r>
              <w:rPr>
                <w:spacing w:val="-4"/>
                <w:sz w:val="22"/>
              </w:rPr>
              <w:t>1991</w:t>
            </w:r>
          </w:p>
        </w:tc>
      </w:tr>
      <w:tr>
        <w:trPr>
          <w:trHeight w:val="450" w:hRule="atLeast"/>
        </w:trPr>
        <w:tc>
          <w:tcPr>
            <w:tcW w:w="900" w:type="dxa"/>
          </w:tcPr>
          <w:p>
            <w:pPr>
              <w:pStyle w:val="TableParagraph"/>
              <w:spacing w:before="94"/>
              <w:ind w:left="10" w:right="1"/>
              <w:jc w:val="center"/>
              <w:rPr>
                <w:sz w:val="22"/>
              </w:rPr>
            </w:pPr>
            <w:r>
              <w:rPr>
                <w:spacing w:val="-5"/>
                <w:sz w:val="22"/>
              </w:rPr>
              <w:t>100</w:t>
            </w:r>
          </w:p>
        </w:tc>
        <w:tc>
          <w:tcPr>
            <w:tcW w:w="2007" w:type="dxa"/>
          </w:tcPr>
          <w:p>
            <w:pPr>
              <w:pStyle w:val="TableParagraph"/>
              <w:spacing w:before="94"/>
              <w:ind w:left="12" w:right="4"/>
              <w:jc w:val="center"/>
              <w:rPr>
                <w:sz w:val="22"/>
              </w:rPr>
            </w:pPr>
            <w:r>
              <w:rPr>
                <w:spacing w:val="-5"/>
                <w:sz w:val="22"/>
              </w:rPr>
              <w:t>SRS</w:t>
            </w:r>
          </w:p>
        </w:tc>
        <w:tc>
          <w:tcPr>
            <w:tcW w:w="5281" w:type="dxa"/>
          </w:tcPr>
          <w:p>
            <w:pPr>
              <w:pStyle w:val="TableParagraph"/>
              <w:spacing w:before="94"/>
              <w:ind w:left="14" w:right="5"/>
              <w:jc w:val="center"/>
              <w:rPr>
                <w:sz w:val="22"/>
              </w:rPr>
            </w:pPr>
            <w:r>
              <w:rPr>
                <w:sz w:val="22"/>
              </w:rPr>
              <w:t>Slum</w:t>
            </w:r>
            <w:r>
              <w:rPr>
                <w:spacing w:val="-7"/>
                <w:sz w:val="22"/>
              </w:rPr>
              <w:t> </w:t>
            </w:r>
            <w:r>
              <w:rPr>
                <w:sz w:val="22"/>
              </w:rPr>
              <w:t>Rehabilitation</w:t>
            </w:r>
            <w:r>
              <w:rPr>
                <w:spacing w:val="-6"/>
                <w:sz w:val="22"/>
              </w:rPr>
              <w:t> </w:t>
            </w:r>
            <w:r>
              <w:rPr>
                <w:spacing w:val="-2"/>
                <w:sz w:val="22"/>
              </w:rPr>
              <w:t>Scheme</w:t>
            </w:r>
          </w:p>
        </w:tc>
      </w:tr>
      <w:tr>
        <w:trPr>
          <w:trHeight w:val="448" w:hRule="atLeast"/>
        </w:trPr>
        <w:tc>
          <w:tcPr>
            <w:tcW w:w="900" w:type="dxa"/>
          </w:tcPr>
          <w:p>
            <w:pPr>
              <w:pStyle w:val="TableParagraph"/>
              <w:spacing w:before="94"/>
              <w:ind w:left="10" w:right="1"/>
              <w:jc w:val="center"/>
              <w:rPr>
                <w:sz w:val="22"/>
              </w:rPr>
            </w:pPr>
            <w:r>
              <w:rPr>
                <w:spacing w:val="-5"/>
                <w:sz w:val="22"/>
              </w:rPr>
              <w:t>101</w:t>
            </w:r>
          </w:p>
        </w:tc>
        <w:tc>
          <w:tcPr>
            <w:tcW w:w="2007" w:type="dxa"/>
          </w:tcPr>
          <w:p>
            <w:pPr>
              <w:pStyle w:val="TableParagraph"/>
              <w:spacing w:before="94"/>
              <w:ind w:left="12" w:right="4"/>
              <w:jc w:val="center"/>
              <w:rPr>
                <w:sz w:val="22"/>
              </w:rPr>
            </w:pPr>
            <w:r>
              <w:rPr>
                <w:spacing w:val="-5"/>
                <w:sz w:val="22"/>
              </w:rPr>
              <w:t>STP</w:t>
            </w:r>
          </w:p>
        </w:tc>
        <w:tc>
          <w:tcPr>
            <w:tcW w:w="5281" w:type="dxa"/>
          </w:tcPr>
          <w:p>
            <w:pPr>
              <w:pStyle w:val="TableParagraph"/>
              <w:spacing w:before="94"/>
              <w:ind w:left="14" w:right="7"/>
              <w:jc w:val="center"/>
              <w:rPr>
                <w:sz w:val="22"/>
              </w:rPr>
            </w:pPr>
            <w:r>
              <w:rPr>
                <w:sz w:val="22"/>
              </w:rPr>
              <w:t>Sewerage</w:t>
            </w:r>
            <w:r>
              <w:rPr>
                <w:spacing w:val="-8"/>
                <w:sz w:val="22"/>
              </w:rPr>
              <w:t> </w:t>
            </w:r>
            <w:r>
              <w:rPr>
                <w:sz w:val="22"/>
              </w:rPr>
              <w:t>Treatment</w:t>
            </w:r>
            <w:r>
              <w:rPr>
                <w:spacing w:val="-8"/>
                <w:sz w:val="22"/>
              </w:rPr>
              <w:t> </w:t>
            </w:r>
            <w:r>
              <w:rPr>
                <w:spacing w:val="-4"/>
                <w:sz w:val="22"/>
              </w:rPr>
              <w:t>Plant</w:t>
            </w:r>
          </w:p>
        </w:tc>
      </w:tr>
      <w:tr>
        <w:trPr>
          <w:trHeight w:val="450" w:hRule="atLeast"/>
        </w:trPr>
        <w:tc>
          <w:tcPr>
            <w:tcW w:w="900" w:type="dxa"/>
          </w:tcPr>
          <w:p>
            <w:pPr>
              <w:pStyle w:val="TableParagraph"/>
              <w:spacing w:before="94"/>
              <w:ind w:left="10" w:right="1"/>
              <w:jc w:val="center"/>
              <w:rPr>
                <w:sz w:val="22"/>
              </w:rPr>
            </w:pPr>
            <w:r>
              <w:rPr>
                <w:spacing w:val="-5"/>
                <w:sz w:val="22"/>
              </w:rPr>
              <w:t>102</w:t>
            </w:r>
          </w:p>
        </w:tc>
        <w:tc>
          <w:tcPr>
            <w:tcW w:w="2007" w:type="dxa"/>
          </w:tcPr>
          <w:p>
            <w:pPr>
              <w:pStyle w:val="TableParagraph"/>
              <w:spacing w:before="94"/>
              <w:ind w:left="12" w:right="7"/>
              <w:jc w:val="center"/>
              <w:rPr>
                <w:sz w:val="22"/>
              </w:rPr>
            </w:pPr>
            <w:r>
              <w:rPr>
                <w:spacing w:val="-5"/>
                <w:sz w:val="22"/>
              </w:rPr>
              <w:t>TDA</w:t>
            </w:r>
          </w:p>
        </w:tc>
        <w:tc>
          <w:tcPr>
            <w:tcW w:w="5281" w:type="dxa"/>
          </w:tcPr>
          <w:p>
            <w:pPr>
              <w:pStyle w:val="TableParagraph"/>
              <w:spacing w:before="94"/>
              <w:ind w:left="14" w:right="7"/>
              <w:jc w:val="center"/>
              <w:rPr>
                <w:sz w:val="22"/>
              </w:rPr>
            </w:pPr>
            <w:r>
              <w:rPr>
                <w:sz w:val="22"/>
              </w:rPr>
              <w:t>Tourism</w:t>
            </w:r>
            <w:r>
              <w:rPr>
                <w:spacing w:val="-9"/>
                <w:sz w:val="22"/>
              </w:rPr>
              <w:t> </w:t>
            </w:r>
            <w:r>
              <w:rPr>
                <w:sz w:val="22"/>
              </w:rPr>
              <w:t>Development</w:t>
            </w:r>
            <w:r>
              <w:rPr>
                <w:spacing w:val="-9"/>
                <w:sz w:val="22"/>
              </w:rPr>
              <w:t> </w:t>
            </w:r>
            <w:r>
              <w:rPr>
                <w:spacing w:val="-4"/>
                <w:sz w:val="22"/>
              </w:rPr>
              <w:t>Area</w:t>
            </w:r>
          </w:p>
        </w:tc>
      </w:tr>
      <w:tr>
        <w:trPr>
          <w:trHeight w:val="450" w:hRule="atLeast"/>
        </w:trPr>
        <w:tc>
          <w:tcPr>
            <w:tcW w:w="900" w:type="dxa"/>
          </w:tcPr>
          <w:p>
            <w:pPr>
              <w:pStyle w:val="TableParagraph"/>
              <w:spacing w:before="94"/>
              <w:ind w:left="10" w:right="1"/>
              <w:jc w:val="center"/>
              <w:rPr>
                <w:sz w:val="22"/>
              </w:rPr>
            </w:pPr>
            <w:r>
              <w:rPr>
                <w:spacing w:val="-5"/>
                <w:sz w:val="22"/>
              </w:rPr>
              <w:t>103</w:t>
            </w:r>
          </w:p>
        </w:tc>
        <w:tc>
          <w:tcPr>
            <w:tcW w:w="2007" w:type="dxa"/>
          </w:tcPr>
          <w:p>
            <w:pPr>
              <w:pStyle w:val="TableParagraph"/>
              <w:spacing w:before="94"/>
              <w:ind w:left="12" w:right="3"/>
              <w:jc w:val="center"/>
              <w:rPr>
                <w:sz w:val="22"/>
              </w:rPr>
            </w:pPr>
            <w:r>
              <w:rPr>
                <w:spacing w:val="-5"/>
                <w:sz w:val="22"/>
              </w:rPr>
              <w:t>TDR</w:t>
            </w:r>
          </w:p>
        </w:tc>
        <w:tc>
          <w:tcPr>
            <w:tcW w:w="5281" w:type="dxa"/>
          </w:tcPr>
          <w:p>
            <w:pPr>
              <w:pStyle w:val="TableParagraph"/>
              <w:spacing w:before="94"/>
              <w:ind w:left="14" w:right="3"/>
              <w:jc w:val="center"/>
              <w:rPr>
                <w:sz w:val="22"/>
              </w:rPr>
            </w:pPr>
            <w:r>
              <w:rPr>
                <w:sz w:val="22"/>
              </w:rPr>
              <w:t>Transferable</w:t>
            </w:r>
            <w:r>
              <w:rPr>
                <w:spacing w:val="-10"/>
                <w:sz w:val="22"/>
              </w:rPr>
              <w:t> </w:t>
            </w:r>
            <w:r>
              <w:rPr>
                <w:sz w:val="22"/>
              </w:rPr>
              <w:t>Development</w:t>
            </w:r>
            <w:r>
              <w:rPr>
                <w:spacing w:val="-11"/>
                <w:sz w:val="22"/>
              </w:rPr>
              <w:t> </w:t>
            </w:r>
            <w:r>
              <w:rPr>
                <w:spacing w:val="-2"/>
                <w:sz w:val="22"/>
              </w:rPr>
              <w:t>Rights</w:t>
            </w:r>
          </w:p>
        </w:tc>
      </w:tr>
      <w:tr>
        <w:trPr>
          <w:trHeight w:val="450" w:hRule="atLeast"/>
        </w:trPr>
        <w:tc>
          <w:tcPr>
            <w:tcW w:w="900" w:type="dxa"/>
          </w:tcPr>
          <w:p>
            <w:pPr>
              <w:pStyle w:val="TableParagraph"/>
              <w:spacing w:before="94"/>
              <w:ind w:left="10" w:right="1"/>
              <w:jc w:val="center"/>
              <w:rPr>
                <w:sz w:val="22"/>
              </w:rPr>
            </w:pPr>
            <w:r>
              <w:rPr>
                <w:spacing w:val="-5"/>
                <w:sz w:val="22"/>
              </w:rPr>
              <w:t>104</w:t>
            </w:r>
          </w:p>
        </w:tc>
        <w:tc>
          <w:tcPr>
            <w:tcW w:w="2007" w:type="dxa"/>
          </w:tcPr>
          <w:p>
            <w:pPr>
              <w:pStyle w:val="TableParagraph"/>
              <w:spacing w:before="94"/>
              <w:ind w:left="12" w:right="7"/>
              <w:jc w:val="center"/>
              <w:rPr>
                <w:sz w:val="22"/>
              </w:rPr>
            </w:pPr>
            <w:r>
              <w:rPr>
                <w:spacing w:val="-5"/>
                <w:sz w:val="22"/>
              </w:rPr>
              <w:t>TDZ</w:t>
            </w:r>
          </w:p>
        </w:tc>
        <w:tc>
          <w:tcPr>
            <w:tcW w:w="5281" w:type="dxa"/>
          </w:tcPr>
          <w:p>
            <w:pPr>
              <w:pStyle w:val="TableParagraph"/>
              <w:spacing w:before="94"/>
              <w:ind w:left="14" w:right="5"/>
              <w:jc w:val="center"/>
              <w:rPr>
                <w:sz w:val="22"/>
              </w:rPr>
            </w:pPr>
            <w:r>
              <w:rPr>
                <w:sz w:val="22"/>
              </w:rPr>
              <w:t>Tourism</w:t>
            </w:r>
            <w:r>
              <w:rPr>
                <w:spacing w:val="-9"/>
                <w:sz w:val="22"/>
              </w:rPr>
              <w:t> </w:t>
            </w:r>
            <w:r>
              <w:rPr>
                <w:sz w:val="22"/>
              </w:rPr>
              <w:t>Development</w:t>
            </w:r>
            <w:r>
              <w:rPr>
                <w:spacing w:val="-9"/>
                <w:sz w:val="22"/>
              </w:rPr>
              <w:t> </w:t>
            </w:r>
            <w:r>
              <w:rPr>
                <w:spacing w:val="-4"/>
                <w:sz w:val="22"/>
              </w:rPr>
              <w:t>Zone</w:t>
            </w:r>
          </w:p>
        </w:tc>
      </w:tr>
      <w:tr>
        <w:trPr>
          <w:trHeight w:val="448" w:hRule="atLeast"/>
        </w:trPr>
        <w:tc>
          <w:tcPr>
            <w:tcW w:w="900" w:type="dxa"/>
          </w:tcPr>
          <w:p>
            <w:pPr>
              <w:pStyle w:val="TableParagraph"/>
              <w:spacing w:before="94"/>
              <w:ind w:left="10" w:right="1"/>
              <w:jc w:val="center"/>
              <w:rPr>
                <w:sz w:val="22"/>
              </w:rPr>
            </w:pPr>
            <w:r>
              <w:rPr>
                <w:spacing w:val="-5"/>
                <w:sz w:val="22"/>
              </w:rPr>
              <w:t>105</w:t>
            </w:r>
          </w:p>
        </w:tc>
        <w:tc>
          <w:tcPr>
            <w:tcW w:w="2007" w:type="dxa"/>
          </w:tcPr>
          <w:p>
            <w:pPr>
              <w:pStyle w:val="TableParagraph"/>
              <w:spacing w:before="94"/>
              <w:ind w:left="12" w:right="2"/>
              <w:jc w:val="center"/>
              <w:rPr>
                <w:sz w:val="22"/>
              </w:rPr>
            </w:pPr>
            <w:r>
              <w:rPr>
                <w:sz w:val="22"/>
              </w:rPr>
              <w:t>TPS/TP</w:t>
            </w:r>
            <w:r>
              <w:rPr>
                <w:spacing w:val="-10"/>
                <w:sz w:val="22"/>
              </w:rPr>
              <w:t> </w:t>
            </w:r>
            <w:r>
              <w:rPr>
                <w:spacing w:val="-2"/>
                <w:sz w:val="22"/>
              </w:rPr>
              <w:t>Scheme</w:t>
            </w:r>
          </w:p>
        </w:tc>
        <w:tc>
          <w:tcPr>
            <w:tcW w:w="5281" w:type="dxa"/>
          </w:tcPr>
          <w:p>
            <w:pPr>
              <w:pStyle w:val="TableParagraph"/>
              <w:spacing w:before="94"/>
              <w:ind w:left="14" w:right="6"/>
              <w:jc w:val="center"/>
              <w:rPr>
                <w:sz w:val="22"/>
              </w:rPr>
            </w:pPr>
            <w:r>
              <w:rPr>
                <w:sz w:val="22"/>
              </w:rPr>
              <w:t>Town</w:t>
            </w:r>
            <w:r>
              <w:rPr>
                <w:spacing w:val="-5"/>
                <w:sz w:val="22"/>
              </w:rPr>
              <w:t> </w:t>
            </w:r>
            <w:r>
              <w:rPr>
                <w:sz w:val="22"/>
              </w:rPr>
              <w:t>Planning</w:t>
            </w:r>
            <w:r>
              <w:rPr>
                <w:spacing w:val="-7"/>
                <w:sz w:val="22"/>
              </w:rPr>
              <w:t> </w:t>
            </w:r>
            <w:r>
              <w:rPr>
                <w:spacing w:val="-2"/>
                <w:sz w:val="22"/>
              </w:rPr>
              <w:t>Scheme</w:t>
            </w:r>
          </w:p>
        </w:tc>
      </w:tr>
      <w:tr>
        <w:trPr>
          <w:trHeight w:val="451" w:hRule="atLeast"/>
        </w:trPr>
        <w:tc>
          <w:tcPr>
            <w:tcW w:w="900" w:type="dxa"/>
          </w:tcPr>
          <w:p>
            <w:pPr>
              <w:pStyle w:val="TableParagraph"/>
              <w:spacing w:before="97"/>
              <w:ind w:left="10" w:right="1"/>
              <w:jc w:val="center"/>
              <w:rPr>
                <w:sz w:val="22"/>
              </w:rPr>
            </w:pPr>
            <w:r>
              <w:rPr>
                <w:spacing w:val="-5"/>
                <w:sz w:val="22"/>
              </w:rPr>
              <w:t>106</w:t>
            </w:r>
          </w:p>
        </w:tc>
        <w:tc>
          <w:tcPr>
            <w:tcW w:w="2007" w:type="dxa"/>
          </w:tcPr>
          <w:p>
            <w:pPr>
              <w:pStyle w:val="TableParagraph"/>
              <w:spacing w:before="97"/>
              <w:ind w:left="12" w:right="3"/>
              <w:jc w:val="center"/>
              <w:rPr>
                <w:sz w:val="22"/>
              </w:rPr>
            </w:pPr>
            <w:r>
              <w:rPr>
                <w:spacing w:val="-5"/>
                <w:sz w:val="22"/>
              </w:rPr>
              <w:t>URC</w:t>
            </w:r>
          </w:p>
        </w:tc>
        <w:tc>
          <w:tcPr>
            <w:tcW w:w="5281" w:type="dxa"/>
          </w:tcPr>
          <w:p>
            <w:pPr>
              <w:pStyle w:val="TableParagraph"/>
              <w:spacing w:before="97"/>
              <w:ind w:left="14" w:right="4"/>
              <w:jc w:val="center"/>
              <w:rPr>
                <w:sz w:val="22"/>
              </w:rPr>
            </w:pPr>
            <w:r>
              <w:rPr>
                <w:sz w:val="22"/>
              </w:rPr>
              <w:t>Urban</w:t>
            </w:r>
            <w:r>
              <w:rPr>
                <w:spacing w:val="-5"/>
                <w:sz w:val="22"/>
              </w:rPr>
              <w:t> </w:t>
            </w:r>
            <w:r>
              <w:rPr>
                <w:sz w:val="22"/>
              </w:rPr>
              <w:t>Renewal</w:t>
            </w:r>
            <w:r>
              <w:rPr>
                <w:spacing w:val="-5"/>
                <w:sz w:val="22"/>
              </w:rPr>
              <w:t> </w:t>
            </w:r>
            <w:r>
              <w:rPr>
                <w:spacing w:val="-2"/>
                <w:sz w:val="22"/>
              </w:rPr>
              <w:t>Cluster</w:t>
            </w:r>
          </w:p>
        </w:tc>
      </w:tr>
      <w:tr>
        <w:trPr>
          <w:trHeight w:val="450" w:hRule="atLeast"/>
        </w:trPr>
        <w:tc>
          <w:tcPr>
            <w:tcW w:w="900" w:type="dxa"/>
          </w:tcPr>
          <w:p>
            <w:pPr>
              <w:pStyle w:val="TableParagraph"/>
              <w:spacing w:before="94"/>
              <w:ind w:left="10" w:right="1"/>
              <w:jc w:val="center"/>
              <w:rPr>
                <w:sz w:val="22"/>
              </w:rPr>
            </w:pPr>
            <w:r>
              <w:rPr>
                <w:spacing w:val="-5"/>
                <w:sz w:val="22"/>
              </w:rPr>
              <w:t>107</w:t>
            </w:r>
          </w:p>
        </w:tc>
        <w:tc>
          <w:tcPr>
            <w:tcW w:w="2007" w:type="dxa"/>
          </w:tcPr>
          <w:p>
            <w:pPr>
              <w:pStyle w:val="TableParagraph"/>
              <w:spacing w:before="94"/>
              <w:ind w:left="12" w:right="1"/>
              <w:jc w:val="center"/>
              <w:rPr>
                <w:sz w:val="22"/>
              </w:rPr>
            </w:pPr>
            <w:r>
              <w:rPr>
                <w:spacing w:val="-5"/>
                <w:sz w:val="22"/>
              </w:rPr>
              <w:t>URP</w:t>
            </w:r>
          </w:p>
        </w:tc>
        <w:tc>
          <w:tcPr>
            <w:tcW w:w="5281" w:type="dxa"/>
          </w:tcPr>
          <w:p>
            <w:pPr>
              <w:pStyle w:val="TableParagraph"/>
              <w:spacing w:before="94"/>
              <w:ind w:left="14" w:right="2"/>
              <w:jc w:val="center"/>
              <w:rPr>
                <w:sz w:val="22"/>
              </w:rPr>
            </w:pPr>
            <w:r>
              <w:rPr>
                <w:sz w:val="22"/>
              </w:rPr>
              <w:t>Urban</w:t>
            </w:r>
            <w:r>
              <w:rPr>
                <w:spacing w:val="-7"/>
                <w:sz w:val="22"/>
              </w:rPr>
              <w:t> </w:t>
            </w:r>
            <w:r>
              <w:rPr>
                <w:sz w:val="22"/>
              </w:rPr>
              <w:t>Renewal</w:t>
            </w:r>
            <w:r>
              <w:rPr>
                <w:spacing w:val="-5"/>
                <w:sz w:val="22"/>
              </w:rPr>
              <w:t> </w:t>
            </w:r>
            <w:r>
              <w:rPr>
                <w:spacing w:val="-4"/>
                <w:sz w:val="22"/>
              </w:rPr>
              <w:t>Plan</w:t>
            </w:r>
          </w:p>
        </w:tc>
      </w:tr>
      <w:tr>
        <w:trPr>
          <w:trHeight w:val="450" w:hRule="atLeast"/>
        </w:trPr>
        <w:tc>
          <w:tcPr>
            <w:tcW w:w="900" w:type="dxa"/>
          </w:tcPr>
          <w:p>
            <w:pPr>
              <w:pStyle w:val="TableParagraph"/>
              <w:spacing w:before="94"/>
              <w:ind w:left="10" w:right="1"/>
              <w:jc w:val="center"/>
              <w:rPr>
                <w:sz w:val="22"/>
              </w:rPr>
            </w:pPr>
            <w:r>
              <w:rPr>
                <w:spacing w:val="-5"/>
                <w:sz w:val="22"/>
              </w:rPr>
              <w:t>108</w:t>
            </w:r>
          </w:p>
        </w:tc>
        <w:tc>
          <w:tcPr>
            <w:tcW w:w="2007" w:type="dxa"/>
          </w:tcPr>
          <w:p>
            <w:pPr>
              <w:pStyle w:val="TableParagraph"/>
              <w:spacing w:before="94"/>
              <w:ind w:left="12" w:right="2"/>
              <w:jc w:val="center"/>
              <w:rPr>
                <w:sz w:val="22"/>
              </w:rPr>
            </w:pPr>
            <w:r>
              <w:rPr>
                <w:spacing w:val="-5"/>
                <w:sz w:val="22"/>
              </w:rPr>
              <w:t>URS</w:t>
            </w:r>
          </w:p>
        </w:tc>
        <w:tc>
          <w:tcPr>
            <w:tcW w:w="5281" w:type="dxa"/>
          </w:tcPr>
          <w:p>
            <w:pPr>
              <w:pStyle w:val="TableParagraph"/>
              <w:spacing w:before="94"/>
              <w:ind w:left="14" w:right="8"/>
              <w:jc w:val="center"/>
              <w:rPr>
                <w:sz w:val="22"/>
              </w:rPr>
            </w:pPr>
            <w:r>
              <w:rPr>
                <w:sz w:val="22"/>
              </w:rPr>
              <w:t>Urban</w:t>
            </w:r>
            <w:r>
              <w:rPr>
                <w:spacing w:val="-5"/>
                <w:sz w:val="22"/>
              </w:rPr>
              <w:t> </w:t>
            </w:r>
            <w:r>
              <w:rPr>
                <w:sz w:val="22"/>
              </w:rPr>
              <w:t>Renewal</w:t>
            </w:r>
            <w:r>
              <w:rPr>
                <w:spacing w:val="-5"/>
                <w:sz w:val="22"/>
              </w:rPr>
              <w:t> </w:t>
            </w:r>
            <w:r>
              <w:rPr>
                <w:spacing w:val="-2"/>
                <w:sz w:val="22"/>
              </w:rPr>
              <w:t>Scheme</w:t>
            </w:r>
          </w:p>
        </w:tc>
      </w:tr>
      <w:tr>
        <w:trPr>
          <w:trHeight w:val="448" w:hRule="atLeast"/>
        </w:trPr>
        <w:tc>
          <w:tcPr>
            <w:tcW w:w="900" w:type="dxa"/>
          </w:tcPr>
          <w:p>
            <w:pPr>
              <w:pStyle w:val="TableParagraph"/>
              <w:spacing w:before="94"/>
              <w:ind w:left="10" w:right="1"/>
              <w:jc w:val="center"/>
              <w:rPr>
                <w:sz w:val="22"/>
              </w:rPr>
            </w:pPr>
            <w:r>
              <w:rPr>
                <w:spacing w:val="-5"/>
                <w:sz w:val="22"/>
              </w:rPr>
              <w:t>109</w:t>
            </w:r>
          </w:p>
        </w:tc>
        <w:tc>
          <w:tcPr>
            <w:tcW w:w="2007" w:type="dxa"/>
          </w:tcPr>
          <w:p>
            <w:pPr>
              <w:pStyle w:val="TableParagraph"/>
              <w:spacing w:before="94"/>
              <w:ind w:left="12" w:right="5"/>
              <w:jc w:val="center"/>
              <w:rPr>
                <w:sz w:val="22"/>
              </w:rPr>
            </w:pPr>
            <w:r>
              <w:rPr>
                <w:spacing w:val="-5"/>
                <w:sz w:val="22"/>
              </w:rPr>
              <w:t>VPR</w:t>
            </w:r>
          </w:p>
        </w:tc>
        <w:tc>
          <w:tcPr>
            <w:tcW w:w="5281" w:type="dxa"/>
          </w:tcPr>
          <w:p>
            <w:pPr>
              <w:pStyle w:val="TableParagraph"/>
              <w:spacing w:before="94"/>
              <w:ind w:left="14" w:right="2"/>
              <w:jc w:val="center"/>
              <w:rPr>
                <w:sz w:val="22"/>
              </w:rPr>
            </w:pPr>
            <w:r>
              <w:rPr>
                <w:sz w:val="22"/>
              </w:rPr>
              <w:t>Volume</w:t>
            </w:r>
            <w:r>
              <w:rPr>
                <w:spacing w:val="-3"/>
                <w:sz w:val="22"/>
              </w:rPr>
              <w:t> </w:t>
            </w:r>
            <w:r>
              <w:rPr>
                <w:sz w:val="22"/>
              </w:rPr>
              <w:t>to</w:t>
            </w:r>
            <w:r>
              <w:rPr>
                <w:spacing w:val="-4"/>
                <w:sz w:val="22"/>
              </w:rPr>
              <w:t> </w:t>
            </w:r>
            <w:r>
              <w:rPr>
                <w:sz w:val="22"/>
              </w:rPr>
              <w:t>Plot</w:t>
            </w:r>
            <w:r>
              <w:rPr>
                <w:spacing w:val="-3"/>
                <w:sz w:val="22"/>
              </w:rPr>
              <w:t> </w:t>
            </w:r>
            <w:r>
              <w:rPr>
                <w:spacing w:val="-2"/>
                <w:sz w:val="22"/>
              </w:rPr>
              <w:t>Ratio</w:t>
            </w:r>
          </w:p>
        </w:tc>
      </w:tr>
      <w:tr>
        <w:trPr>
          <w:trHeight w:val="450" w:hRule="atLeast"/>
        </w:trPr>
        <w:tc>
          <w:tcPr>
            <w:tcW w:w="900" w:type="dxa"/>
          </w:tcPr>
          <w:p>
            <w:pPr>
              <w:pStyle w:val="TableParagraph"/>
              <w:spacing w:before="97"/>
              <w:ind w:left="10" w:right="1"/>
              <w:jc w:val="center"/>
              <w:rPr>
                <w:sz w:val="22"/>
              </w:rPr>
            </w:pPr>
            <w:r>
              <w:rPr>
                <w:spacing w:val="-5"/>
                <w:sz w:val="22"/>
              </w:rPr>
              <w:t>110</w:t>
            </w:r>
          </w:p>
        </w:tc>
        <w:tc>
          <w:tcPr>
            <w:tcW w:w="2007" w:type="dxa"/>
          </w:tcPr>
          <w:p>
            <w:pPr>
              <w:pStyle w:val="TableParagraph"/>
              <w:spacing w:before="97"/>
              <w:ind w:left="12" w:right="3"/>
              <w:jc w:val="center"/>
              <w:rPr>
                <w:sz w:val="22"/>
              </w:rPr>
            </w:pPr>
            <w:r>
              <w:rPr>
                <w:spacing w:val="-5"/>
                <w:sz w:val="22"/>
              </w:rPr>
              <w:t>WC</w:t>
            </w:r>
          </w:p>
        </w:tc>
        <w:tc>
          <w:tcPr>
            <w:tcW w:w="5281" w:type="dxa"/>
          </w:tcPr>
          <w:p>
            <w:pPr>
              <w:pStyle w:val="TableParagraph"/>
              <w:spacing w:before="97"/>
              <w:ind w:left="14" w:right="4"/>
              <w:jc w:val="center"/>
              <w:rPr>
                <w:sz w:val="22"/>
              </w:rPr>
            </w:pPr>
            <w:r>
              <w:rPr>
                <w:sz w:val="22"/>
              </w:rPr>
              <w:t>Water</w:t>
            </w:r>
            <w:r>
              <w:rPr>
                <w:spacing w:val="-4"/>
                <w:sz w:val="22"/>
              </w:rPr>
              <w:t> </w:t>
            </w:r>
            <w:r>
              <w:rPr>
                <w:spacing w:val="-2"/>
                <w:sz w:val="22"/>
              </w:rPr>
              <w:t>Closet</w:t>
            </w:r>
          </w:p>
        </w:tc>
      </w:tr>
    </w:tbl>
    <w:sectPr>
      <w:pgSz w:w="11910" w:h="16840"/>
      <w:pgMar w:header="1132" w:footer="1321" w:top="1560" w:bottom="152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Bookman Old Style">
    <w:altName w:val="Bookman Old Style"/>
    <w:charset w:val="1"/>
    <w:family w:val="roman"/>
    <w:pitch w:val="variable"/>
  </w:font>
  <w:font w:name="Calibri">
    <w:altName w:val="Calibri"/>
    <w:charset w:val="1"/>
    <w:family w:val="swiss"/>
    <w:pitch w:val="variable"/>
  </w:font>
  <w:font w:name="MS Mincho">
    <w:altName w:val="MS Mincho"/>
    <w:charset w:val="1"/>
    <w:family w:val="modern"/>
    <w:pitch w:val="default"/>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40544">
              <wp:simplePos x="0" y="0"/>
              <wp:positionH relativeFrom="page">
                <wp:posOffset>706881</wp:posOffset>
              </wp:positionH>
              <wp:positionV relativeFrom="page">
                <wp:posOffset>9689338</wp:posOffset>
              </wp:positionV>
              <wp:extent cx="6134100" cy="214629"/>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6134100" cy="214629"/>
                        <a:chExt cx="6134100" cy="214629"/>
                      </a:xfrm>
                    </wpg:grpSpPr>
                    <pic:pic>
                      <pic:nvPicPr>
                        <pic:cNvPr id="21" name="Image 21"/>
                        <pic:cNvPicPr/>
                      </pic:nvPicPr>
                      <pic:blipFill>
                        <a:blip r:embed="rId1" cstate="print"/>
                        <a:stretch>
                          <a:fillRect/>
                        </a:stretch>
                      </pic:blipFill>
                      <pic:spPr>
                        <a:xfrm>
                          <a:off x="256" y="103886"/>
                          <a:ext cx="2708142" cy="108203"/>
                        </a:xfrm>
                        <a:prstGeom prst="rect">
                          <a:avLst/>
                        </a:prstGeom>
                      </pic:spPr>
                    </pic:pic>
                    <pic:pic>
                      <pic:nvPicPr>
                        <pic:cNvPr id="22" name="Image 22"/>
                        <pic:cNvPicPr/>
                      </pic:nvPicPr>
                      <pic:blipFill>
                        <a:blip r:embed="rId2" cstate="print"/>
                        <a:stretch>
                          <a:fillRect/>
                        </a:stretch>
                      </pic:blipFill>
                      <pic:spPr>
                        <a:xfrm>
                          <a:off x="6350" y="6350"/>
                          <a:ext cx="2514600" cy="197485"/>
                        </a:xfrm>
                        <a:prstGeom prst="rect">
                          <a:avLst/>
                        </a:prstGeom>
                      </pic:spPr>
                    </pic:pic>
                    <wps:wsp>
                      <wps:cNvPr id="23" name="Graphic 23"/>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24" name="Graphic 24"/>
                      <wps:cNvSpPr/>
                      <wps:spPr>
                        <a:xfrm>
                          <a:off x="7492" y="209422"/>
                          <a:ext cx="6126480" cy="1270"/>
                        </a:xfrm>
                        <a:custGeom>
                          <a:avLst/>
                          <a:gdLst/>
                          <a:ahLst/>
                          <a:cxnLst/>
                          <a:rect l="l" t="t" r="r" b="b"/>
                          <a:pathLst>
                            <a:path w="6126480" h="0">
                              <a:moveTo>
                                <a:pt x="0" y="0"/>
                              </a:moveTo>
                              <a:lnTo>
                                <a:pt x="612648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6pt;margin-top:762.940002pt;width:483pt;height:16.9pt;mso-position-horizontal-relative:page;mso-position-vertical-relative:page;z-index:-31975936" id="docshapegroup19" coordorigin="1113,15259" coordsize="9660,338">
              <v:shape style="position:absolute;left:1113;top:15422;width:4265;height:171" type="#_x0000_t75" id="docshape20" stroked="false">
                <v:imagedata r:id="rId1" o:title=""/>
              </v:shape>
              <v:shape style="position:absolute;left:1123;top:15268;width:3960;height:311" type="#_x0000_t75" id="docshape21" stroked="false">
                <v:imagedata r:id="rId2" o:title=""/>
              </v:shape>
              <v:rect style="position:absolute;left:1123;top:15268;width:3960;height:311" id="docshape22" filled="false" stroked="true" strokeweight="1pt" strokecolor="#666666">
                <v:stroke dashstyle="solid"/>
              </v:rect>
              <v:line style="position:absolute" from="1125,15589" to="10773,1558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41056">
              <wp:simplePos x="0" y="0"/>
              <wp:positionH relativeFrom="page">
                <wp:posOffset>5073777</wp:posOffset>
              </wp:positionH>
              <wp:positionV relativeFrom="page">
                <wp:posOffset>9657528</wp:posOffset>
              </wp:positionV>
              <wp:extent cx="1778635" cy="23558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778635" cy="235585"/>
                      </a:xfrm>
                      <a:prstGeom prst="rect">
                        <a:avLst/>
                      </a:prstGeom>
                    </wps:spPr>
                    <wps:txbx>
                      <w:txbxContent>
                        <w:p>
                          <w:pPr>
                            <w:spacing w:line="261" w:lineRule="auto" w:before="14"/>
                            <w:ind w:left="20" w:right="18" w:firstLine="833"/>
                            <w:jc w:val="left"/>
                            <w:rPr>
                              <w:rFonts w:ascii="Arial"/>
                              <w:b/>
                              <w:i/>
                              <w:sz w:val="14"/>
                            </w:rPr>
                          </w:pPr>
                          <w:r>
                            <w:rPr>
                              <w:rFonts w:ascii="Arial"/>
                              <w:b/>
                              <w:i/>
                              <w:sz w:val="14"/>
                            </w:rPr>
                            <w:t>Draft</w:t>
                          </w:r>
                          <w:r>
                            <w:rPr>
                              <w:rFonts w:ascii="Arial"/>
                              <w:b/>
                              <w:i/>
                              <w:spacing w:val="-10"/>
                              <w:sz w:val="14"/>
                            </w:rPr>
                            <w:t> </w:t>
                          </w: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7"/>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99.51001pt;margin-top:760.435303pt;width:140.050pt;height:18.55pt;mso-position-horizontal-relative:page;mso-position-vertical-relative:page;z-index:-31975424" type="#_x0000_t202" id="docshape23" filled="false" stroked="false">
              <v:textbox inset="0,0,0,0">
                <w:txbxContent>
                  <w:p>
                    <w:pPr>
                      <w:spacing w:line="261" w:lineRule="auto" w:before="14"/>
                      <w:ind w:left="20" w:right="18" w:firstLine="833"/>
                      <w:jc w:val="left"/>
                      <w:rPr>
                        <w:rFonts w:ascii="Arial"/>
                        <w:b/>
                        <w:i/>
                        <w:sz w:val="14"/>
                      </w:rPr>
                    </w:pPr>
                    <w:r>
                      <w:rPr>
                        <w:rFonts w:ascii="Arial"/>
                        <w:b/>
                        <w:i/>
                        <w:sz w:val="14"/>
                      </w:rPr>
                      <w:t>Draft</w:t>
                    </w:r>
                    <w:r>
                      <w:rPr>
                        <w:rFonts w:ascii="Arial"/>
                        <w:b/>
                        <w:i/>
                        <w:spacing w:val="-10"/>
                        <w:sz w:val="14"/>
                      </w:rPr>
                      <w:t> </w:t>
                    </w: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7"/>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41568">
              <wp:simplePos x="0" y="0"/>
              <wp:positionH relativeFrom="page">
                <wp:posOffset>799896</wp:posOffset>
              </wp:positionH>
              <wp:positionV relativeFrom="page">
                <wp:posOffset>9738300</wp:posOffset>
              </wp:positionV>
              <wp:extent cx="2287905" cy="12446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287905" cy="124460"/>
                      </a:xfrm>
                      <a:prstGeom prst="rect">
                        <a:avLst/>
                      </a:prstGeom>
                    </wps:spPr>
                    <wps:txbx>
                      <w:txbxContent>
                        <w:p>
                          <w:pPr>
                            <w:spacing w:before="14"/>
                            <w:ind w:left="20" w:right="0" w:firstLine="0"/>
                            <w:jc w:val="left"/>
                            <w:rPr>
                              <w:rFonts w:ascii="Arial"/>
                              <w:b/>
                              <w:sz w:val="14"/>
                            </w:rPr>
                          </w:pPr>
                          <w:r>
                            <w:rPr>
                              <w:rFonts w:ascii="Arial"/>
                              <w:b/>
                              <w:sz w:val="14"/>
                            </w:rPr>
                            <w:t>Development</w:t>
                          </w:r>
                          <w:r>
                            <w:rPr>
                              <w:rFonts w:ascii="Arial"/>
                              <w:b/>
                              <w:spacing w:val="-10"/>
                              <w:sz w:val="14"/>
                            </w:rPr>
                            <w:t> </w:t>
                          </w:r>
                          <w:r>
                            <w:rPr>
                              <w:rFonts w:ascii="Arial"/>
                              <w:b/>
                              <w:sz w:val="14"/>
                            </w:rPr>
                            <w:t>Control</w:t>
                          </w:r>
                          <w:r>
                            <w:rPr>
                              <w:rFonts w:ascii="Arial"/>
                              <w:b/>
                              <w:spacing w:val="-9"/>
                              <w:sz w:val="14"/>
                            </w:rPr>
                            <w:t> </w:t>
                          </w:r>
                          <w:r>
                            <w:rPr>
                              <w:rFonts w:ascii="Arial"/>
                              <w:b/>
                              <w:color w:val="FF0000"/>
                              <w:sz w:val="14"/>
                            </w:rPr>
                            <w:t>and</w:t>
                          </w:r>
                          <w:r>
                            <w:rPr>
                              <w:rFonts w:ascii="Arial"/>
                              <w:b/>
                              <w:color w:val="FF0000"/>
                              <w:spacing w:val="-9"/>
                              <w:sz w:val="14"/>
                            </w:rPr>
                            <w:t> </w:t>
                          </w:r>
                          <w:r>
                            <w:rPr>
                              <w:rFonts w:ascii="Arial"/>
                              <w:b/>
                              <w:color w:val="FF0000"/>
                              <w:sz w:val="14"/>
                            </w:rPr>
                            <w:t>Promotion</w:t>
                          </w:r>
                          <w:r>
                            <w:rPr>
                              <w:rFonts w:ascii="Arial"/>
                              <w:b/>
                              <w:color w:val="FF0000"/>
                              <w:spacing w:val="-8"/>
                              <w:sz w:val="14"/>
                            </w:rPr>
                            <w:t> </w:t>
                          </w:r>
                          <w:r>
                            <w:rPr>
                              <w:rFonts w:ascii="Arial"/>
                              <w:b/>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2.984001pt;margin-top:766.795288pt;width:180.15pt;height:9.8pt;mso-position-horizontal-relative:page;mso-position-vertical-relative:page;z-index:-31974912" type="#_x0000_t202" id="docshape24" filled="false" stroked="false">
              <v:textbox inset="0,0,0,0">
                <w:txbxContent>
                  <w:p>
                    <w:pPr>
                      <w:spacing w:before="14"/>
                      <w:ind w:left="20" w:right="0" w:firstLine="0"/>
                      <w:jc w:val="left"/>
                      <w:rPr>
                        <w:rFonts w:ascii="Arial"/>
                        <w:b/>
                        <w:sz w:val="14"/>
                      </w:rPr>
                    </w:pPr>
                    <w:r>
                      <w:rPr>
                        <w:rFonts w:ascii="Arial"/>
                        <w:b/>
                        <w:sz w:val="14"/>
                      </w:rPr>
                      <w:t>Development</w:t>
                    </w:r>
                    <w:r>
                      <w:rPr>
                        <w:rFonts w:ascii="Arial"/>
                        <w:b/>
                        <w:spacing w:val="-10"/>
                        <w:sz w:val="14"/>
                      </w:rPr>
                      <w:t> </w:t>
                    </w:r>
                    <w:r>
                      <w:rPr>
                        <w:rFonts w:ascii="Arial"/>
                        <w:b/>
                        <w:sz w:val="14"/>
                      </w:rPr>
                      <w:t>Control</w:t>
                    </w:r>
                    <w:r>
                      <w:rPr>
                        <w:rFonts w:ascii="Arial"/>
                        <w:b/>
                        <w:spacing w:val="-9"/>
                        <w:sz w:val="14"/>
                      </w:rPr>
                      <w:t> </w:t>
                    </w:r>
                    <w:r>
                      <w:rPr>
                        <w:rFonts w:ascii="Arial"/>
                        <w:b/>
                        <w:color w:val="FF0000"/>
                        <w:sz w:val="14"/>
                      </w:rPr>
                      <w:t>and</w:t>
                    </w:r>
                    <w:r>
                      <w:rPr>
                        <w:rFonts w:ascii="Arial"/>
                        <w:b/>
                        <w:color w:val="FF0000"/>
                        <w:spacing w:val="-9"/>
                        <w:sz w:val="14"/>
                      </w:rPr>
                      <w:t> </w:t>
                    </w:r>
                    <w:r>
                      <w:rPr>
                        <w:rFonts w:ascii="Arial"/>
                        <w:b/>
                        <w:color w:val="FF0000"/>
                        <w:sz w:val="14"/>
                      </w:rPr>
                      <w:t>Promotion</w:t>
                    </w:r>
                    <w:r>
                      <w:rPr>
                        <w:rFonts w:ascii="Arial"/>
                        <w:b/>
                        <w:color w:val="FF0000"/>
                        <w:spacing w:val="-8"/>
                        <w:sz w:val="14"/>
                      </w:rPr>
                      <w:t> </w:t>
                    </w:r>
                    <w:r>
                      <w:rPr>
                        <w:rFonts w:ascii="Arial"/>
                        <w:b/>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42080">
              <wp:simplePos x="0" y="0"/>
              <wp:positionH relativeFrom="page">
                <wp:posOffset>3674490</wp:posOffset>
              </wp:positionH>
              <wp:positionV relativeFrom="page">
                <wp:posOffset>10013391</wp:posOffset>
              </wp:positionV>
              <wp:extent cx="210185" cy="1657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10185" cy="165735"/>
                      </a:xfrm>
                      <a:prstGeom prst="rect">
                        <a:avLst/>
                      </a:prstGeom>
                    </wps:spPr>
                    <wps:txbx>
                      <w:txbxContent>
                        <w:p>
                          <w:pPr>
                            <w:spacing w:line="245" w:lineRule="exact" w:before="0"/>
                            <w:ind w:left="2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wps:txbx>
                    <wps:bodyPr wrap="square" lIns="0" tIns="0" rIns="0" bIns="0" rtlCol="0">
                      <a:noAutofit/>
                    </wps:bodyPr>
                  </wps:wsp>
                </a:graphicData>
              </a:graphic>
            </wp:anchor>
          </w:drawing>
        </mc:Choice>
        <mc:Fallback>
          <w:pict>
            <v:shape style="position:absolute;margin-left:289.329987pt;margin-top:788.455994pt;width:16.55pt;height:13.05pt;mso-position-horizontal-relative:page;mso-position-vertical-relative:page;z-index:-31974400" type="#_x0000_t202" id="docshape25" filled="false" stroked="false">
              <v:textbox inset="0,0,0,0">
                <w:txbxContent>
                  <w:p>
                    <w:pPr>
                      <w:spacing w:line="245" w:lineRule="exact" w:before="0"/>
                      <w:ind w:left="2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44128">
              <wp:simplePos x="0" y="0"/>
              <wp:positionH relativeFrom="page">
                <wp:posOffset>712977</wp:posOffset>
              </wp:positionH>
              <wp:positionV relativeFrom="page">
                <wp:posOffset>9652761</wp:posOffset>
              </wp:positionV>
              <wp:extent cx="6051550" cy="21844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6051550" cy="218440"/>
                        <a:chExt cx="6051550" cy="218440"/>
                      </a:xfrm>
                    </wpg:grpSpPr>
                    <pic:pic>
                      <pic:nvPicPr>
                        <pic:cNvPr id="38" name="Image 38"/>
                        <pic:cNvPicPr/>
                      </pic:nvPicPr>
                      <pic:blipFill>
                        <a:blip r:embed="rId1" cstate="print"/>
                        <a:stretch>
                          <a:fillRect/>
                        </a:stretch>
                      </pic:blipFill>
                      <pic:spPr>
                        <a:xfrm>
                          <a:off x="256" y="103886"/>
                          <a:ext cx="2708142" cy="108203"/>
                        </a:xfrm>
                        <a:prstGeom prst="rect">
                          <a:avLst/>
                        </a:prstGeom>
                      </pic:spPr>
                    </pic:pic>
                    <pic:pic>
                      <pic:nvPicPr>
                        <pic:cNvPr id="39" name="Image 39"/>
                        <pic:cNvPicPr/>
                      </pic:nvPicPr>
                      <pic:blipFill>
                        <a:blip r:embed="rId2" cstate="print"/>
                        <a:stretch>
                          <a:fillRect/>
                        </a:stretch>
                      </pic:blipFill>
                      <pic:spPr>
                        <a:xfrm>
                          <a:off x="6350" y="6350"/>
                          <a:ext cx="2514600" cy="197484"/>
                        </a:xfrm>
                        <a:prstGeom prst="rect">
                          <a:avLst/>
                        </a:prstGeom>
                      </pic:spPr>
                    </pic:pic>
                    <wps:wsp>
                      <wps:cNvPr id="40" name="Graphic 40"/>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41" name="Graphic 41"/>
                      <wps:cNvSpPr/>
                      <wps:spPr>
                        <a:xfrm>
                          <a:off x="7112" y="213271"/>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0.059998pt;width:476.5pt;height:17.2pt;mso-position-horizontal-relative:page;mso-position-vertical-relative:page;z-index:-31972352" id="docshapegroup34" coordorigin="1123,15201" coordsize="9530,344">
              <v:shape style="position:absolute;left:1123;top:15364;width:4265;height:171" type="#_x0000_t75" id="docshape35" stroked="false">
                <v:imagedata r:id="rId1" o:title=""/>
              </v:shape>
              <v:shape style="position:absolute;left:1132;top:15211;width:3960;height:311" type="#_x0000_t75" id="docshape36" stroked="false">
                <v:imagedata r:id="rId2" o:title=""/>
              </v:shape>
              <v:rect style="position:absolute;left:1132;top:15211;width:3960;height:311" id="docshape37" filled="false" stroked="true" strokeweight="1pt" strokecolor="#666666">
                <v:stroke dashstyle="solid"/>
              </v:rect>
              <v:line style="position:absolute" from="1134,15537" to="10652,15537"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44640">
              <wp:simplePos x="0" y="0"/>
              <wp:positionH relativeFrom="page">
                <wp:posOffset>4898516</wp:posOffset>
              </wp:positionH>
              <wp:positionV relativeFrom="page">
                <wp:posOffset>9625524</wp:posOffset>
              </wp:positionV>
              <wp:extent cx="1776730" cy="243204"/>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776730" cy="243204"/>
                      </a:xfrm>
                      <a:prstGeom prst="rect">
                        <a:avLst/>
                      </a:prstGeom>
                    </wps:spPr>
                    <wps:txbx>
                      <w:txbxContent>
                        <w:p>
                          <w:pPr>
                            <w:spacing w:line="278" w:lineRule="auto" w:before="9"/>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57.915283pt;width:139.9pt;height:19.150pt;mso-position-horizontal-relative:page;mso-position-vertical-relative:page;z-index:-31971840" type="#_x0000_t202" id="docshape38" filled="false" stroked="false">
              <v:textbox inset="0,0,0,0">
                <w:txbxContent>
                  <w:p>
                    <w:pPr>
                      <w:spacing w:line="278" w:lineRule="auto" w:before="9"/>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45152">
              <wp:simplePos x="0" y="0"/>
              <wp:positionH relativeFrom="page">
                <wp:posOffset>805992</wp:posOffset>
              </wp:positionH>
              <wp:positionV relativeFrom="page">
                <wp:posOffset>9700200</wp:posOffset>
              </wp:positionV>
              <wp:extent cx="2237740" cy="12446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63.795288pt;width:176.2pt;height:9.8pt;mso-position-horizontal-relative:page;mso-position-vertical-relative:page;z-index:-31971328" type="#_x0000_t202" id="docshape39"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45664">
              <wp:simplePos x="0" y="0"/>
              <wp:positionH relativeFrom="page">
                <wp:posOffset>3695827</wp:posOffset>
              </wp:positionH>
              <wp:positionV relativeFrom="page">
                <wp:posOffset>9985958</wp:posOffset>
              </wp:positionV>
              <wp:extent cx="168910" cy="16573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1.010010pt;margin-top:786.295959pt;width:13.3pt;height:13.05pt;mso-position-horizontal-relative:page;mso-position-vertical-relative:page;z-index:-31970816" type="#_x0000_t202" id="docshape40"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47712">
              <wp:simplePos x="0" y="0"/>
              <wp:positionH relativeFrom="page">
                <wp:posOffset>3678046</wp:posOffset>
              </wp:positionH>
              <wp:positionV relativeFrom="page">
                <wp:posOffset>9934200</wp:posOffset>
              </wp:positionV>
              <wp:extent cx="217170" cy="16573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17170"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23</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9.609985pt;margin-top:782.22052pt;width:17.1pt;height:13.05pt;mso-position-horizontal-relative:page;mso-position-vertical-relative:page;z-index:-31968768" type="#_x0000_t202" id="docshape49"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23</w:t>
                    </w:r>
                    <w:r>
                      <w:rPr>
                        <w:rFonts w:ascii="Times New Roman"/>
                        <w:spacing w:val="-5"/>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49760">
              <wp:simplePos x="0" y="0"/>
              <wp:positionH relativeFrom="page">
                <wp:posOffset>908050</wp:posOffset>
              </wp:positionH>
              <wp:positionV relativeFrom="page">
                <wp:posOffset>9899650</wp:posOffset>
              </wp:positionV>
              <wp:extent cx="5835650" cy="21209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5835650" cy="212090"/>
                        <a:chExt cx="5835650" cy="212090"/>
                      </a:xfrm>
                    </wpg:grpSpPr>
                    <pic:pic>
                      <pic:nvPicPr>
                        <pic:cNvPr id="80" name="Image 80"/>
                        <pic:cNvPicPr/>
                      </pic:nvPicPr>
                      <pic:blipFill>
                        <a:blip r:embed="rId1" cstate="print"/>
                        <a:stretch>
                          <a:fillRect/>
                        </a:stretch>
                      </pic:blipFill>
                      <pic:spPr>
                        <a:xfrm>
                          <a:off x="256" y="103886"/>
                          <a:ext cx="2708142" cy="108203"/>
                        </a:xfrm>
                        <a:prstGeom prst="rect">
                          <a:avLst/>
                        </a:prstGeom>
                      </pic:spPr>
                    </pic:pic>
                    <pic:pic>
                      <pic:nvPicPr>
                        <pic:cNvPr id="81" name="Image 81"/>
                        <pic:cNvPicPr/>
                      </pic:nvPicPr>
                      <pic:blipFill>
                        <a:blip r:embed="rId2" cstate="print"/>
                        <a:stretch>
                          <a:fillRect/>
                        </a:stretch>
                      </pic:blipFill>
                      <pic:spPr>
                        <a:xfrm>
                          <a:off x="6350" y="6350"/>
                          <a:ext cx="2514600" cy="197485"/>
                        </a:xfrm>
                        <a:prstGeom prst="rect">
                          <a:avLst/>
                        </a:prstGeom>
                      </pic:spPr>
                    </pic:pic>
                    <wps:wsp>
                      <wps:cNvPr id="82" name="Graphic 82"/>
                      <wps:cNvSpPr/>
                      <wps:spPr>
                        <a:xfrm>
                          <a:off x="6350" y="635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wps:wsp>
                      <wps:cNvPr id="83" name="Graphic 83"/>
                      <wps:cNvSpPr/>
                      <wps:spPr>
                        <a:xfrm>
                          <a:off x="6350" y="206222"/>
                          <a:ext cx="5829300" cy="1270"/>
                        </a:xfrm>
                        <a:custGeom>
                          <a:avLst/>
                          <a:gdLst/>
                          <a:ahLst/>
                          <a:cxnLst/>
                          <a:rect l="l" t="t" r="r" b="b"/>
                          <a:pathLst>
                            <a:path w="5829300" h="0">
                              <a:moveTo>
                                <a:pt x="0" y="0"/>
                              </a:moveTo>
                              <a:lnTo>
                                <a:pt x="58293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5pt;margin-top:779.5pt;width:459.5pt;height:16.7pt;mso-position-horizontal-relative:page;mso-position-vertical-relative:page;z-index:-31966720" id="docshapegroup64" coordorigin="1430,15590" coordsize="9190,334">
              <v:shape style="position:absolute;left:1430;top:15753;width:4265;height:171" type="#_x0000_t75" id="docshape65" stroked="false">
                <v:imagedata r:id="rId1" o:title=""/>
              </v:shape>
              <v:shape style="position:absolute;left:1440;top:15600;width:3960;height:311" type="#_x0000_t75" id="docshape66" stroked="false">
                <v:imagedata r:id="rId2" o:title=""/>
              </v:shape>
              <v:rect style="position:absolute;left:1440;top:15600;width:3960;height:311" id="docshape67" filled="false" stroked="true" strokeweight="1pt" strokecolor="#666666">
                <v:stroke dashstyle="solid"/>
              </v:rect>
              <v:line style="position:absolute" from="1440,15915" to="10620,15915"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50272">
              <wp:simplePos x="0" y="0"/>
              <wp:positionH relativeFrom="page">
                <wp:posOffset>4880228</wp:posOffset>
              </wp:positionH>
              <wp:positionV relativeFrom="page">
                <wp:posOffset>9866316</wp:posOffset>
              </wp:positionV>
              <wp:extent cx="1776730" cy="24193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4.269989pt;margin-top:776.875305pt;width:139.9pt;height:19.05pt;mso-position-horizontal-relative:page;mso-position-vertical-relative:page;z-index:-31966208" type="#_x0000_t202" id="docshape68"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50784">
              <wp:simplePos x="0" y="0"/>
              <wp:positionH relativeFrom="page">
                <wp:posOffset>999540</wp:posOffset>
              </wp:positionH>
              <wp:positionV relativeFrom="page">
                <wp:posOffset>9948612</wp:posOffset>
              </wp:positionV>
              <wp:extent cx="2237740" cy="12446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78.704002pt;margin-top:783.355286pt;width:176.2pt;height:9.8pt;mso-position-horizontal-relative:page;mso-position-vertical-relative:page;z-index:-31965696" type="#_x0000_t202" id="docshape69"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51296">
              <wp:simplePos x="0" y="0"/>
              <wp:positionH relativeFrom="page">
                <wp:posOffset>3678046</wp:posOffset>
              </wp:positionH>
              <wp:positionV relativeFrom="page">
                <wp:posOffset>10155484</wp:posOffset>
              </wp:positionV>
              <wp:extent cx="217170" cy="16573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17170"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41</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9.609985pt;margin-top:799.64447pt;width:17.1pt;height:13.05pt;mso-position-horizontal-relative:page;mso-position-vertical-relative:page;z-index:-31965184" type="#_x0000_t202" id="docshape70"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41</w:t>
                    </w:r>
                    <w:r>
                      <w:rPr>
                        <w:rFonts w:ascii="Times New Roman"/>
                        <w:spacing w:val="-5"/>
                        <w:sz w:val="2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53344">
              <wp:simplePos x="0" y="0"/>
              <wp:positionH relativeFrom="page">
                <wp:posOffset>908050</wp:posOffset>
              </wp:positionH>
              <wp:positionV relativeFrom="page">
                <wp:posOffset>9899650</wp:posOffset>
              </wp:positionV>
              <wp:extent cx="5835650" cy="21209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5835650" cy="212090"/>
                        <a:chExt cx="5835650" cy="212090"/>
                      </a:xfrm>
                    </wpg:grpSpPr>
                    <pic:pic>
                      <pic:nvPicPr>
                        <pic:cNvPr id="95" name="Image 95"/>
                        <pic:cNvPicPr/>
                      </pic:nvPicPr>
                      <pic:blipFill>
                        <a:blip r:embed="rId1" cstate="print"/>
                        <a:stretch>
                          <a:fillRect/>
                        </a:stretch>
                      </pic:blipFill>
                      <pic:spPr>
                        <a:xfrm>
                          <a:off x="256" y="103886"/>
                          <a:ext cx="2708142" cy="108203"/>
                        </a:xfrm>
                        <a:prstGeom prst="rect">
                          <a:avLst/>
                        </a:prstGeom>
                      </pic:spPr>
                    </pic:pic>
                    <pic:pic>
                      <pic:nvPicPr>
                        <pic:cNvPr id="96" name="Image 96"/>
                        <pic:cNvPicPr/>
                      </pic:nvPicPr>
                      <pic:blipFill>
                        <a:blip r:embed="rId2" cstate="print"/>
                        <a:stretch>
                          <a:fillRect/>
                        </a:stretch>
                      </pic:blipFill>
                      <pic:spPr>
                        <a:xfrm>
                          <a:off x="6350" y="6350"/>
                          <a:ext cx="2514600" cy="197485"/>
                        </a:xfrm>
                        <a:prstGeom prst="rect">
                          <a:avLst/>
                        </a:prstGeom>
                      </pic:spPr>
                    </pic:pic>
                    <wps:wsp>
                      <wps:cNvPr id="97" name="Graphic 97"/>
                      <wps:cNvSpPr/>
                      <wps:spPr>
                        <a:xfrm>
                          <a:off x="6350" y="635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wps:wsp>
                      <wps:cNvPr id="98" name="Graphic 98"/>
                      <wps:cNvSpPr/>
                      <wps:spPr>
                        <a:xfrm>
                          <a:off x="6350" y="206222"/>
                          <a:ext cx="5829300" cy="1270"/>
                        </a:xfrm>
                        <a:custGeom>
                          <a:avLst/>
                          <a:gdLst/>
                          <a:ahLst/>
                          <a:cxnLst/>
                          <a:rect l="l" t="t" r="r" b="b"/>
                          <a:pathLst>
                            <a:path w="5829300" h="0">
                              <a:moveTo>
                                <a:pt x="0" y="0"/>
                              </a:moveTo>
                              <a:lnTo>
                                <a:pt x="58293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5pt;margin-top:779.5pt;width:459.5pt;height:16.7pt;mso-position-horizontal-relative:page;mso-position-vertical-relative:page;z-index:-31963136" id="docshapegroup77" coordorigin="1430,15590" coordsize="9190,334">
              <v:shape style="position:absolute;left:1430;top:15753;width:4265;height:171" type="#_x0000_t75" id="docshape78" stroked="false">
                <v:imagedata r:id="rId1" o:title=""/>
              </v:shape>
              <v:shape style="position:absolute;left:1440;top:15600;width:3960;height:311" type="#_x0000_t75" id="docshape79" stroked="false">
                <v:imagedata r:id="rId2" o:title=""/>
              </v:shape>
              <v:rect style="position:absolute;left:1440;top:15600;width:3960;height:311" id="docshape80" filled="false" stroked="true" strokeweight="1pt" strokecolor="#666666">
                <v:stroke dashstyle="solid"/>
              </v:rect>
              <v:line style="position:absolute" from="1440,15915" to="10620,15915"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53856">
              <wp:simplePos x="0" y="0"/>
              <wp:positionH relativeFrom="page">
                <wp:posOffset>4880228</wp:posOffset>
              </wp:positionH>
              <wp:positionV relativeFrom="page">
                <wp:posOffset>9866316</wp:posOffset>
              </wp:positionV>
              <wp:extent cx="1776730" cy="24193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4.269989pt;margin-top:776.875305pt;width:139.9pt;height:19.05pt;mso-position-horizontal-relative:page;mso-position-vertical-relative:page;z-index:-31962624" type="#_x0000_t202" id="docshape81"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54368">
              <wp:simplePos x="0" y="0"/>
              <wp:positionH relativeFrom="page">
                <wp:posOffset>999540</wp:posOffset>
              </wp:positionH>
              <wp:positionV relativeFrom="page">
                <wp:posOffset>9948612</wp:posOffset>
              </wp:positionV>
              <wp:extent cx="2237740" cy="12446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78.704002pt;margin-top:783.355286pt;width:176.2pt;height:9.8pt;mso-position-horizontal-relative:page;mso-position-vertical-relative:page;z-index:-31962112" type="#_x0000_t202" id="docshape82"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54880">
              <wp:simplePos x="0" y="0"/>
              <wp:positionH relativeFrom="page">
                <wp:posOffset>3678046</wp:posOffset>
              </wp:positionH>
              <wp:positionV relativeFrom="page">
                <wp:posOffset>10155484</wp:posOffset>
              </wp:positionV>
              <wp:extent cx="217170" cy="16573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17170"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43</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9.609985pt;margin-top:799.64447pt;width:17.1pt;height:13.05pt;mso-position-horizontal-relative:page;mso-position-vertical-relative:page;z-index:-31961600" type="#_x0000_t202" id="docshape83"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43</w:t>
                    </w:r>
                    <w:r>
                      <w:rPr>
                        <w:rFonts w:ascii="Times New Roman"/>
                        <w:spacing w:val="-5"/>
                        <w:sz w:val="2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56928">
              <wp:simplePos x="0" y="0"/>
              <wp:positionH relativeFrom="page">
                <wp:posOffset>908050</wp:posOffset>
              </wp:positionH>
              <wp:positionV relativeFrom="page">
                <wp:posOffset>9899650</wp:posOffset>
              </wp:positionV>
              <wp:extent cx="5835650" cy="212090"/>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5835650" cy="212090"/>
                        <a:chExt cx="5835650" cy="212090"/>
                      </a:xfrm>
                    </wpg:grpSpPr>
                    <pic:pic>
                      <pic:nvPicPr>
                        <pic:cNvPr id="110" name="Image 110"/>
                        <pic:cNvPicPr/>
                      </pic:nvPicPr>
                      <pic:blipFill>
                        <a:blip r:embed="rId1" cstate="print"/>
                        <a:stretch>
                          <a:fillRect/>
                        </a:stretch>
                      </pic:blipFill>
                      <pic:spPr>
                        <a:xfrm>
                          <a:off x="256" y="103886"/>
                          <a:ext cx="2708142" cy="108203"/>
                        </a:xfrm>
                        <a:prstGeom prst="rect">
                          <a:avLst/>
                        </a:prstGeom>
                      </pic:spPr>
                    </pic:pic>
                    <pic:pic>
                      <pic:nvPicPr>
                        <pic:cNvPr id="111" name="Image 111"/>
                        <pic:cNvPicPr/>
                      </pic:nvPicPr>
                      <pic:blipFill>
                        <a:blip r:embed="rId2" cstate="print"/>
                        <a:stretch>
                          <a:fillRect/>
                        </a:stretch>
                      </pic:blipFill>
                      <pic:spPr>
                        <a:xfrm>
                          <a:off x="6350" y="6350"/>
                          <a:ext cx="2514600" cy="197485"/>
                        </a:xfrm>
                        <a:prstGeom prst="rect">
                          <a:avLst/>
                        </a:prstGeom>
                      </pic:spPr>
                    </pic:pic>
                    <wps:wsp>
                      <wps:cNvPr id="112" name="Graphic 112"/>
                      <wps:cNvSpPr/>
                      <wps:spPr>
                        <a:xfrm>
                          <a:off x="6350" y="635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wps:wsp>
                      <wps:cNvPr id="113" name="Graphic 113"/>
                      <wps:cNvSpPr/>
                      <wps:spPr>
                        <a:xfrm>
                          <a:off x="6350" y="206222"/>
                          <a:ext cx="5829300" cy="1270"/>
                        </a:xfrm>
                        <a:custGeom>
                          <a:avLst/>
                          <a:gdLst/>
                          <a:ahLst/>
                          <a:cxnLst/>
                          <a:rect l="l" t="t" r="r" b="b"/>
                          <a:pathLst>
                            <a:path w="5829300" h="0">
                              <a:moveTo>
                                <a:pt x="0" y="0"/>
                              </a:moveTo>
                              <a:lnTo>
                                <a:pt x="58293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5pt;margin-top:779.5pt;width:459.5pt;height:16.7pt;mso-position-horizontal-relative:page;mso-position-vertical-relative:page;z-index:-31959552" id="docshapegroup90" coordorigin="1430,15590" coordsize="9190,334">
              <v:shape style="position:absolute;left:1430;top:15753;width:4265;height:171" type="#_x0000_t75" id="docshape91" stroked="false">
                <v:imagedata r:id="rId1" o:title=""/>
              </v:shape>
              <v:shape style="position:absolute;left:1440;top:15600;width:3960;height:311" type="#_x0000_t75" id="docshape92" stroked="false">
                <v:imagedata r:id="rId2" o:title=""/>
              </v:shape>
              <v:rect style="position:absolute;left:1440;top:15600;width:3960;height:311" id="docshape93" filled="false" stroked="true" strokeweight="1pt" strokecolor="#666666">
                <v:stroke dashstyle="solid"/>
              </v:rect>
              <v:line style="position:absolute" from="1440,15915" to="10620,15915"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57440">
              <wp:simplePos x="0" y="0"/>
              <wp:positionH relativeFrom="page">
                <wp:posOffset>4880228</wp:posOffset>
              </wp:positionH>
              <wp:positionV relativeFrom="page">
                <wp:posOffset>9866316</wp:posOffset>
              </wp:positionV>
              <wp:extent cx="1776730" cy="24193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4.269989pt;margin-top:776.875305pt;width:139.9pt;height:19.05pt;mso-position-horizontal-relative:page;mso-position-vertical-relative:page;z-index:-31959040" type="#_x0000_t202" id="docshape94"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57952">
              <wp:simplePos x="0" y="0"/>
              <wp:positionH relativeFrom="page">
                <wp:posOffset>999540</wp:posOffset>
              </wp:positionH>
              <wp:positionV relativeFrom="page">
                <wp:posOffset>9948612</wp:posOffset>
              </wp:positionV>
              <wp:extent cx="2237740" cy="12446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78.704002pt;margin-top:783.355286pt;width:176.2pt;height:9.8pt;mso-position-horizontal-relative:page;mso-position-vertical-relative:page;z-index:-31958528" type="#_x0000_t202" id="docshape95"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58464">
              <wp:simplePos x="0" y="0"/>
              <wp:positionH relativeFrom="page">
                <wp:posOffset>3678046</wp:posOffset>
              </wp:positionH>
              <wp:positionV relativeFrom="page">
                <wp:posOffset>10155484</wp:posOffset>
              </wp:positionV>
              <wp:extent cx="217170" cy="16573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217170"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49</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9.609985pt;margin-top:799.64447pt;width:17.1pt;height:13.05pt;mso-position-horizontal-relative:page;mso-position-vertical-relative:page;z-index:-31958016" type="#_x0000_t202" id="docshape96"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49</w:t>
                    </w:r>
                    <w:r>
                      <w:rPr>
                        <w:rFonts w:ascii="Times New Roman"/>
                        <w:spacing w:val="-5"/>
                        <w:sz w:val="2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60512">
              <wp:simplePos x="0" y="0"/>
              <wp:positionH relativeFrom="page">
                <wp:posOffset>908050</wp:posOffset>
              </wp:positionH>
              <wp:positionV relativeFrom="page">
                <wp:posOffset>9899650</wp:posOffset>
              </wp:positionV>
              <wp:extent cx="5835650" cy="21209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5835650" cy="212090"/>
                        <a:chExt cx="5835650" cy="212090"/>
                      </a:xfrm>
                    </wpg:grpSpPr>
                    <pic:pic>
                      <pic:nvPicPr>
                        <pic:cNvPr id="126" name="Image 126"/>
                        <pic:cNvPicPr/>
                      </pic:nvPicPr>
                      <pic:blipFill>
                        <a:blip r:embed="rId1" cstate="print"/>
                        <a:stretch>
                          <a:fillRect/>
                        </a:stretch>
                      </pic:blipFill>
                      <pic:spPr>
                        <a:xfrm>
                          <a:off x="256" y="103886"/>
                          <a:ext cx="2708142" cy="108203"/>
                        </a:xfrm>
                        <a:prstGeom prst="rect">
                          <a:avLst/>
                        </a:prstGeom>
                      </pic:spPr>
                    </pic:pic>
                    <pic:pic>
                      <pic:nvPicPr>
                        <pic:cNvPr id="127" name="Image 127"/>
                        <pic:cNvPicPr/>
                      </pic:nvPicPr>
                      <pic:blipFill>
                        <a:blip r:embed="rId2" cstate="print"/>
                        <a:stretch>
                          <a:fillRect/>
                        </a:stretch>
                      </pic:blipFill>
                      <pic:spPr>
                        <a:xfrm>
                          <a:off x="6350" y="6350"/>
                          <a:ext cx="2514600" cy="197485"/>
                        </a:xfrm>
                        <a:prstGeom prst="rect">
                          <a:avLst/>
                        </a:prstGeom>
                      </pic:spPr>
                    </pic:pic>
                    <wps:wsp>
                      <wps:cNvPr id="128" name="Graphic 128"/>
                      <wps:cNvSpPr/>
                      <wps:spPr>
                        <a:xfrm>
                          <a:off x="6350" y="635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wps:wsp>
                      <wps:cNvPr id="129" name="Graphic 129"/>
                      <wps:cNvSpPr/>
                      <wps:spPr>
                        <a:xfrm>
                          <a:off x="6350" y="206222"/>
                          <a:ext cx="5829300" cy="1270"/>
                        </a:xfrm>
                        <a:custGeom>
                          <a:avLst/>
                          <a:gdLst/>
                          <a:ahLst/>
                          <a:cxnLst/>
                          <a:rect l="l" t="t" r="r" b="b"/>
                          <a:pathLst>
                            <a:path w="5829300" h="0">
                              <a:moveTo>
                                <a:pt x="0" y="0"/>
                              </a:moveTo>
                              <a:lnTo>
                                <a:pt x="58293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5pt;margin-top:779.5pt;width:459.5pt;height:16.7pt;mso-position-horizontal-relative:page;mso-position-vertical-relative:page;z-index:-31955968" id="docshapegroup104" coordorigin="1430,15590" coordsize="9190,334">
              <v:shape style="position:absolute;left:1430;top:15753;width:4265;height:171" type="#_x0000_t75" id="docshape105" stroked="false">
                <v:imagedata r:id="rId1" o:title=""/>
              </v:shape>
              <v:shape style="position:absolute;left:1440;top:15600;width:3960;height:311" type="#_x0000_t75" id="docshape106" stroked="false">
                <v:imagedata r:id="rId2" o:title=""/>
              </v:shape>
              <v:rect style="position:absolute;left:1440;top:15600;width:3960;height:311" id="docshape107" filled="false" stroked="true" strokeweight="1pt" strokecolor="#666666">
                <v:stroke dashstyle="solid"/>
              </v:rect>
              <v:line style="position:absolute" from="1440,15915" to="10620,15915"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61024">
              <wp:simplePos x="0" y="0"/>
              <wp:positionH relativeFrom="page">
                <wp:posOffset>4880228</wp:posOffset>
              </wp:positionH>
              <wp:positionV relativeFrom="page">
                <wp:posOffset>9866316</wp:posOffset>
              </wp:positionV>
              <wp:extent cx="1776730" cy="24193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4.269989pt;margin-top:776.875305pt;width:139.9pt;height:19.05pt;mso-position-horizontal-relative:page;mso-position-vertical-relative:page;z-index:-31955456" type="#_x0000_t202" id="docshape108"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61536">
              <wp:simplePos x="0" y="0"/>
              <wp:positionH relativeFrom="page">
                <wp:posOffset>999540</wp:posOffset>
              </wp:positionH>
              <wp:positionV relativeFrom="page">
                <wp:posOffset>9948612</wp:posOffset>
              </wp:positionV>
              <wp:extent cx="2237740" cy="12446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78.704002pt;margin-top:783.355286pt;width:176.2pt;height:9.8pt;mso-position-horizontal-relative:page;mso-position-vertical-relative:page;z-index:-31954944" type="#_x0000_t202" id="docshape109"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62048">
              <wp:simplePos x="0" y="0"/>
              <wp:positionH relativeFrom="page">
                <wp:posOffset>3678046</wp:posOffset>
              </wp:positionH>
              <wp:positionV relativeFrom="page">
                <wp:posOffset>10155484</wp:posOffset>
              </wp:positionV>
              <wp:extent cx="217170" cy="16573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17170"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54</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9.609985pt;margin-top:799.64447pt;width:17.1pt;height:13.05pt;mso-position-horizontal-relative:page;mso-position-vertical-relative:page;z-index:-31954432" type="#_x0000_t202" id="docshape110"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54</w:t>
                    </w:r>
                    <w:r>
                      <w:rPr>
                        <w:rFonts w:ascii="Times New Roman"/>
                        <w:spacing w:val="-5"/>
                        <w:sz w:val="2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64096">
              <wp:simplePos x="0" y="0"/>
              <wp:positionH relativeFrom="page">
                <wp:posOffset>712977</wp:posOffset>
              </wp:positionH>
              <wp:positionV relativeFrom="page">
                <wp:posOffset>9756393</wp:posOffset>
              </wp:positionV>
              <wp:extent cx="6051550" cy="21717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6051550" cy="217170"/>
                        <a:chExt cx="6051550" cy="217170"/>
                      </a:xfrm>
                    </wpg:grpSpPr>
                    <pic:pic>
                      <pic:nvPicPr>
                        <pic:cNvPr id="143" name="Image 143"/>
                        <pic:cNvPicPr/>
                      </pic:nvPicPr>
                      <pic:blipFill>
                        <a:blip r:embed="rId1" cstate="print"/>
                        <a:stretch>
                          <a:fillRect/>
                        </a:stretch>
                      </pic:blipFill>
                      <pic:spPr>
                        <a:xfrm>
                          <a:off x="256" y="103886"/>
                          <a:ext cx="2708142" cy="108203"/>
                        </a:xfrm>
                        <a:prstGeom prst="rect">
                          <a:avLst/>
                        </a:prstGeom>
                      </pic:spPr>
                    </pic:pic>
                    <pic:pic>
                      <pic:nvPicPr>
                        <pic:cNvPr id="144" name="Image 144"/>
                        <pic:cNvPicPr/>
                      </pic:nvPicPr>
                      <pic:blipFill>
                        <a:blip r:embed="rId2" cstate="print"/>
                        <a:stretch>
                          <a:fillRect/>
                        </a:stretch>
                      </pic:blipFill>
                      <pic:spPr>
                        <a:xfrm>
                          <a:off x="6350" y="6350"/>
                          <a:ext cx="2514600" cy="197485"/>
                        </a:xfrm>
                        <a:prstGeom prst="rect">
                          <a:avLst/>
                        </a:prstGeom>
                      </pic:spPr>
                    </pic:pic>
                    <wps:wsp>
                      <wps:cNvPr id="145" name="Graphic 145"/>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146" name="Graphic 146"/>
                      <wps:cNvSpPr/>
                      <wps:spPr>
                        <a:xfrm>
                          <a:off x="7112" y="212407"/>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8.219971pt;width:476.5pt;height:17.1pt;mso-position-horizontal-relative:page;mso-position-vertical-relative:page;z-index:-31952384" id="docshapegroup119" coordorigin="1123,15364" coordsize="9530,342">
              <v:shape style="position:absolute;left:1123;top:15528;width:4265;height:171" type="#_x0000_t75" id="docshape120" stroked="false">
                <v:imagedata r:id="rId1" o:title=""/>
              </v:shape>
              <v:shape style="position:absolute;left:1132;top:15374;width:3960;height:311" type="#_x0000_t75" id="docshape121" stroked="false">
                <v:imagedata r:id="rId2" o:title=""/>
              </v:shape>
              <v:rect style="position:absolute;left:1132;top:15374;width:3960;height:311" id="docshape122" filled="false" stroked="true" strokeweight="1pt" strokecolor="#666666">
                <v:stroke dashstyle="solid"/>
              </v:rect>
              <v:line style="position:absolute" from="1134,15699" to="10652,1569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64608">
              <wp:simplePos x="0" y="0"/>
              <wp:positionH relativeFrom="page">
                <wp:posOffset>4898516</wp:posOffset>
              </wp:positionH>
              <wp:positionV relativeFrom="page">
                <wp:posOffset>9726107</wp:posOffset>
              </wp:positionV>
              <wp:extent cx="1776730" cy="24193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951872" type="#_x0000_t202" id="docshape123"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65120">
              <wp:simplePos x="0" y="0"/>
              <wp:positionH relativeFrom="page">
                <wp:posOffset>805992</wp:posOffset>
              </wp:positionH>
              <wp:positionV relativeFrom="page">
                <wp:posOffset>9803831</wp:posOffset>
              </wp:positionV>
              <wp:extent cx="2237740" cy="12446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955261pt;width:176.2pt;height:9.8pt;mso-position-horizontal-relative:page;mso-position-vertical-relative:page;z-index:-31951360" type="#_x0000_t202" id="docshape124"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65632">
              <wp:simplePos x="0" y="0"/>
              <wp:positionH relativeFrom="page">
                <wp:posOffset>3660775</wp:posOffset>
              </wp:positionH>
              <wp:positionV relativeFrom="page">
                <wp:posOffset>10079227</wp:posOffset>
              </wp:positionV>
              <wp:extent cx="238125" cy="16573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3812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8.25pt;margin-top:793.639954pt;width:18.75pt;height:13.05pt;mso-position-horizontal-relative:page;mso-position-vertical-relative:page;z-index:-31950848" type="#_x0000_t202" id="docshape125"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67680">
              <wp:simplePos x="0" y="0"/>
              <wp:positionH relativeFrom="page">
                <wp:posOffset>712977</wp:posOffset>
              </wp:positionH>
              <wp:positionV relativeFrom="page">
                <wp:posOffset>9756393</wp:posOffset>
              </wp:positionV>
              <wp:extent cx="6051550" cy="21717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6051550" cy="217170"/>
                        <a:chExt cx="6051550" cy="217170"/>
                      </a:xfrm>
                    </wpg:grpSpPr>
                    <pic:pic>
                      <pic:nvPicPr>
                        <pic:cNvPr id="158" name="Image 158"/>
                        <pic:cNvPicPr/>
                      </pic:nvPicPr>
                      <pic:blipFill>
                        <a:blip r:embed="rId1" cstate="print"/>
                        <a:stretch>
                          <a:fillRect/>
                        </a:stretch>
                      </pic:blipFill>
                      <pic:spPr>
                        <a:xfrm>
                          <a:off x="256" y="103886"/>
                          <a:ext cx="2708142" cy="108203"/>
                        </a:xfrm>
                        <a:prstGeom prst="rect">
                          <a:avLst/>
                        </a:prstGeom>
                      </pic:spPr>
                    </pic:pic>
                    <pic:pic>
                      <pic:nvPicPr>
                        <pic:cNvPr id="159" name="Image 159"/>
                        <pic:cNvPicPr/>
                      </pic:nvPicPr>
                      <pic:blipFill>
                        <a:blip r:embed="rId2" cstate="print"/>
                        <a:stretch>
                          <a:fillRect/>
                        </a:stretch>
                      </pic:blipFill>
                      <pic:spPr>
                        <a:xfrm>
                          <a:off x="6350" y="6350"/>
                          <a:ext cx="2514600" cy="197485"/>
                        </a:xfrm>
                        <a:prstGeom prst="rect">
                          <a:avLst/>
                        </a:prstGeom>
                      </pic:spPr>
                    </pic:pic>
                    <wps:wsp>
                      <wps:cNvPr id="160" name="Graphic 160"/>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161" name="Graphic 161"/>
                      <wps:cNvSpPr/>
                      <wps:spPr>
                        <a:xfrm>
                          <a:off x="7112" y="212407"/>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8.219971pt;width:476.5pt;height:17.1pt;mso-position-horizontal-relative:page;mso-position-vertical-relative:page;z-index:-31948800" id="docshapegroup132" coordorigin="1123,15364" coordsize="9530,342">
              <v:shape style="position:absolute;left:1123;top:15528;width:4265;height:171" type="#_x0000_t75" id="docshape133" stroked="false">
                <v:imagedata r:id="rId1" o:title=""/>
              </v:shape>
              <v:shape style="position:absolute;left:1132;top:15374;width:3960;height:311" type="#_x0000_t75" id="docshape134" stroked="false">
                <v:imagedata r:id="rId2" o:title=""/>
              </v:shape>
              <v:rect style="position:absolute;left:1132;top:15374;width:3960;height:311" id="docshape135" filled="false" stroked="true" strokeweight="1pt" strokecolor="#666666">
                <v:stroke dashstyle="solid"/>
              </v:rect>
              <v:line style="position:absolute" from="1134,15699" to="10652,1569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68192">
              <wp:simplePos x="0" y="0"/>
              <wp:positionH relativeFrom="page">
                <wp:posOffset>805992</wp:posOffset>
              </wp:positionH>
              <wp:positionV relativeFrom="page">
                <wp:posOffset>9803831</wp:posOffset>
              </wp:positionV>
              <wp:extent cx="2237740" cy="12446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955261pt;width:176.2pt;height:9.8pt;mso-position-horizontal-relative:page;mso-position-vertical-relative:page;z-index:-31948288" type="#_x0000_t202" id="docshape136"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68704">
              <wp:simplePos x="0" y="0"/>
              <wp:positionH relativeFrom="page">
                <wp:posOffset>4898516</wp:posOffset>
              </wp:positionH>
              <wp:positionV relativeFrom="page">
                <wp:posOffset>9843455</wp:posOffset>
              </wp:positionV>
              <wp:extent cx="1775460" cy="12446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775460" cy="124460"/>
                      </a:xfrm>
                      <a:prstGeom prst="rect">
                        <a:avLst/>
                      </a:prstGeom>
                    </wps:spPr>
                    <wps:txbx>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75.075256pt;width:139.8pt;height:9.8pt;mso-position-horizontal-relative:page;mso-position-vertical-relative:page;z-index:-31947776" type="#_x0000_t202" id="docshape137" filled="false" stroked="false">
              <v:textbox inset="0,0,0,0">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69216">
              <wp:simplePos x="0" y="0"/>
              <wp:positionH relativeFrom="page">
                <wp:posOffset>3635375</wp:posOffset>
              </wp:positionH>
              <wp:positionV relativeFrom="page">
                <wp:posOffset>10079227</wp:posOffset>
              </wp:positionV>
              <wp:extent cx="301625" cy="16573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0162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108</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25pt;margin-top:793.639954pt;width:23.75pt;height:13.05pt;mso-position-horizontal-relative:page;mso-position-vertical-relative:page;z-index:-31947264" type="#_x0000_t202" id="docshape138"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108</w:t>
                    </w:r>
                    <w:r>
                      <w:rPr>
                        <w:rFonts w:ascii="Calibri"/>
                        <w:spacing w:val="-5"/>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71264">
              <wp:simplePos x="0" y="0"/>
              <wp:positionH relativeFrom="page">
                <wp:posOffset>712977</wp:posOffset>
              </wp:positionH>
              <wp:positionV relativeFrom="page">
                <wp:posOffset>9756393</wp:posOffset>
              </wp:positionV>
              <wp:extent cx="6051550" cy="21717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6051550" cy="217170"/>
                        <a:chExt cx="6051550" cy="217170"/>
                      </a:xfrm>
                    </wpg:grpSpPr>
                    <pic:pic>
                      <pic:nvPicPr>
                        <pic:cNvPr id="175" name="Image 175"/>
                        <pic:cNvPicPr/>
                      </pic:nvPicPr>
                      <pic:blipFill>
                        <a:blip r:embed="rId1" cstate="print"/>
                        <a:stretch>
                          <a:fillRect/>
                        </a:stretch>
                      </pic:blipFill>
                      <pic:spPr>
                        <a:xfrm>
                          <a:off x="256" y="103886"/>
                          <a:ext cx="2708142" cy="108203"/>
                        </a:xfrm>
                        <a:prstGeom prst="rect">
                          <a:avLst/>
                        </a:prstGeom>
                      </pic:spPr>
                    </pic:pic>
                    <pic:pic>
                      <pic:nvPicPr>
                        <pic:cNvPr id="176" name="Image 176"/>
                        <pic:cNvPicPr/>
                      </pic:nvPicPr>
                      <pic:blipFill>
                        <a:blip r:embed="rId2" cstate="print"/>
                        <a:stretch>
                          <a:fillRect/>
                        </a:stretch>
                      </pic:blipFill>
                      <pic:spPr>
                        <a:xfrm>
                          <a:off x="6350" y="6350"/>
                          <a:ext cx="2514600" cy="197485"/>
                        </a:xfrm>
                        <a:prstGeom prst="rect">
                          <a:avLst/>
                        </a:prstGeom>
                      </pic:spPr>
                    </pic:pic>
                    <wps:wsp>
                      <wps:cNvPr id="177" name="Graphic 177"/>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178" name="Graphic 178"/>
                      <wps:cNvSpPr/>
                      <wps:spPr>
                        <a:xfrm>
                          <a:off x="7112" y="212407"/>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8.219971pt;width:476.5pt;height:17.1pt;mso-position-horizontal-relative:page;mso-position-vertical-relative:page;z-index:-31945216" id="docshapegroup147" coordorigin="1123,15364" coordsize="9530,342">
              <v:shape style="position:absolute;left:1123;top:15528;width:4265;height:171" type="#_x0000_t75" id="docshape148" stroked="false">
                <v:imagedata r:id="rId1" o:title=""/>
              </v:shape>
              <v:shape style="position:absolute;left:1132;top:15374;width:3960;height:311" type="#_x0000_t75" id="docshape149" stroked="false">
                <v:imagedata r:id="rId2" o:title=""/>
              </v:shape>
              <v:rect style="position:absolute;left:1132;top:15374;width:3960;height:311" id="docshape150" filled="false" stroked="true" strokeweight="1pt" strokecolor="#666666">
                <v:stroke dashstyle="solid"/>
              </v:rect>
              <v:line style="position:absolute" from="1134,15699" to="10652,1569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71776">
              <wp:simplePos x="0" y="0"/>
              <wp:positionH relativeFrom="page">
                <wp:posOffset>4898516</wp:posOffset>
              </wp:positionH>
              <wp:positionV relativeFrom="page">
                <wp:posOffset>9726107</wp:posOffset>
              </wp:positionV>
              <wp:extent cx="1776730" cy="24193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944704" type="#_x0000_t202" id="docshape151"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72288">
              <wp:simplePos x="0" y="0"/>
              <wp:positionH relativeFrom="page">
                <wp:posOffset>805992</wp:posOffset>
              </wp:positionH>
              <wp:positionV relativeFrom="page">
                <wp:posOffset>9803831</wp:posOffset>
              </wp:positionV>
              <wp:extent cx="2237740" cy="12446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955261pt;width:176.2pt;height:9.8pt;mso-position-horizontal-relative:page;mso-position-vertical-relative:page;z-index:-31944192" type="#_x0000_t202" id="docshape152"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72800">
              <wp:simplePos x="0" y="0"/>
              <wp:positionH relativeFrom="page">
                <wp:posOffset>3635375</wp:posOffset>
              </wp:positionH>
              <wp:positionV relativeFrom="page">
                <wp:posOffset>10079227</wp:posOffset>
              </wp:positionV>
              <wp:extent cx="301625" cy="16573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30162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25pt;margin-top:793.639954pt;width:23.75pt;height:13.05pt;mso-position-horizontal-relative:page;mso-position-vertical-relative:page;z-index:-31943680" type="#_x0000_t202" id="docshape153"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110</w:t>
                    </w:r>
                    <w:r>
                      <w:rPr>
                        <w:rFonts w:ascii="Calibri"/>
                        <w:spacing w:val="-5"/>
                        <w:sz w:val="22"/>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74848">
              <wp:simplePos x="0" y="0"/>
              <wp:positionH relativeFrom="page">
                <wp:posOffset>712977</wp:posOffset>
              </wp:positionH>
              <wp:positionV relativeFrom="page">
                <wp:posOffset>9728961</wp:posOffset>
              </wp:positionV>
              <wp:extent cx="6051550" cy="24130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6051550" cy="241300"/>
                        <a:chExt cx="6051550" cy="241300"/>
                      </a:xfrm>
                    </wpg:grpSpPr>
                    <pic:pic>
                      <pic:nvPicPr>
                        <pic:cNvPr id="190" name="Image 190"/>
                        <pic:cNvPicPr/>
                      </pic:nvPicPr>
                      <pic:blipFill>
                        <a:blip r:embed="rId1" cstate="print"/>
                        <a:stretch>
                          <a:fillRect/>
                        </a:stretch>
                      </pic:blipFill>
                      <pic:spPr>
                        <a:xfrm>
                          <a:off x="253" y="116078"/>
                          <a:ext cx="2729484" cy="118872"/>
                        </a:xfrm>
                        <a:prstGeom prst="rect">
                          <a:avLst/>
                        </a:prstGeom>
                      </pic:spPr>
                    </pic:pic>
                    <pic:pic>
                      <pic:nvPicPr>
                        <pic:cNvPr id="191" name="Image 191"/>
                        <pic:cNvPicPr/>
                      </pic:nvPicPr>
                      <pic:blipFill>
                        <a:blip r:embed="rId2" cstate="print"/>
                        <a:stretch>
                          <a:fillRect/>
                        </a:stretch>
                      </pic:blipFill>
                      <pic:spPr>
                        <a:xfrm>
                          <a:off x="6350" y="6350"/>
                          <a:ext cx="2514600" cy="220979"/>
                        </a:xfrm>
                        <a:prstGeom prst="rect">
                          <a:avLst/>
                        </a:prstGeom>
                      </pic:spPr>
                    </pic:pic>
                    <wps:wsp>
                      <wps:cNvPr id="192" name="Graphic 192"/>
                      <wps:cNvSpPr/>
                      <wps:spPr>
                        <a:xfrm>
                          <a:off x="6350" y="6350"/>
                          <a:ext cx="2514600" cy="220979"/>
                        </a:xfrm>
                        <a:custGeom>
                          <a:avLst/>
                          <a:gdLst/>
                          <a:ahLst/>
                          <a:cxnLst/>
                          <a:rect l="l" t="t" r="r" b="b"/>
                          <a:pathLst>
                            <a:path w="2514600" h="220979">
                              <a:moveTo>
                                <a:pt x="0" y="220980"/>
                              </a:moveTo>
                              <a:lnTo>
                                <a:pt x="2514600" y="220980"/>
                              </a:lnTo>
                              <a:lnTo>
                                <a:pt x="2514600" y="0"/>
                              </a:lnTo>
                              <a:lnTo>
                                <a:pt x="0" y="0"/>
                              </a:lnTo>
                              <a:lnTo>
                                <a:pt x="0" y="220980"/>
                              </a:lnTo>
                              <a:close/>
                            </a:path>
                          </a:pathLst>
                        </a:custGeom>
                        <a:ln w="12700">
                          <a:solidFill>
                            <a:srgbClr val="666666"/>
                          </a:solidFill>
                          <a:prstDash val="solid"/>
                        </a:ln>
                      </wps:spPr>
                      <wps:bodyPr wrap="square" lIns="0" tIns="0" rIns="0" bIns="0" rtlCol="0">
                        <a:prstTxWarp prst="textNoShape">
                          <a:avLst/>
                        </a:prstTxWarp>
                        <a:noAutofit/>
                      </wps:bodyPr>
                    </wps:wsp>
                    <wps:wsp>
                      <wps:cNvPr id="193" name="Graphic 193"/>
                      <wps:cNvSpPr/>
                      <wps:spPr>
                        <a:xfrm>
                          <a:off x="7112" y="236308"/>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6.059998pt;width:476.5pt;height:19pt;mso-position-horizontal-relative:page;mso-position-vertical-relative:page;z-index:-31941632" id="docshapegroup160" coordorigin="1123,15321" coordsize="9530,380">
              <v:shape style="position:absolute;left:1123;top:15504;width:4299;height:188" type="#_x0000_t75" id="docshape161" stroked="false">
                <v:imagedata r:id="rId1" o:title=""/>
              </v:shape>
              <v:shape style="position:absolute;left:1132;top:15331;width:3960;height:348" type="#_x0000_t75" id="docshape162" stroked="false">
                <v:imagedata r:id="rId2" o:title=""/>
              </v:shape>
              <v:rect style="position:absolute;left:1132;top:15331;width:3960;height:348" id="docshape163" filled="false" stroked="true" strokeweight="1pt" strokecolor="#666666">
                <v:stroke dashstyle="solid"/>
              </v:rect>
              <v:line style="position:absolute" from="1134,15693" to="10652,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75360">
              <wp:simplePos x="0" y="0"/>
              <wp:positionH relativeFrom="page">
                <wp:posOffset>4898516</wp:posOffset>
              </wp:positionH>
              <wp:positionV relativeFrom="page">
                <wp:posOffset>9726107</wp:posOffset>
              </wp:positionV>
              <wp:extent cx="1777364" cy="24193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1777364" cy="241935"/>
                      </a:xfrm>
                      <a:prstGeom prst="rect">
                        <a:avLst/>
                      </a:prstGeom>
                    </wps:spPr>
                    <wps:txbx>
                      <w:txbxContent>
                        <w:p>
                          <w:pPr>
                            <w:spacing w:line="276" w:lineRule="auto" w:before="10"/>
                            <w:ind w:left="20" w:right="18"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50pt;height:19.05pt;mso-position-horizontal-relative:page;mso-position-vertical-relative:page;z-index:-31941120" type="#_x0000_t202" id="docshape164" filled="false" stroked="false">
              <v:textbox inset="0,0,0,0">
                <w:txbxContent>
                  <w:p>
                    <w:pPr>
                      <w:spacing w:line="276" w:lineRule="auto" w:before="10"/>
                      <w:ind w:left="20" w:right="18"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75872">
              <wp:simplePos x="0" y="0"/>
              <wp:positionH relativeFrom="page">
                <wp:posOffset>805992</wp:posOffset>
              </wp:positionH>
              <wp:positionV relativeFrom="page">
                <wp:posOffset>9776400</wp:posOffset>
              </wp:positionV>
              <wp:extent cx="2237740" cy="12446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69.795288pt;width:176.2pt;height:9.8pt;mso-position-horizontal-relative:page;mso-position-vertical-relative:page;z-index:-31940608" type="#_x0000_t202" id="docshape165"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76384">
              <wp:simplePos x="0" y="0"/>
              <wp:positionH relativeFrom="page">
                <wp:posOffset>3635375</wp:posOffset>
              </wp:positionH>
              <wp:positionV relativeFrom="page">
                <wp:posOffset>10079227</wp:posOffset>
              </wp:positionV>
              <wp:extent cx="301625" cy="16573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30162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113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25pt;margin-top:793.639954pt;width:23.75pt;height:13.05pt;mso-position-horizontal-relative:page;mso-position-vertical-relative:page;z-index:-31940096" type="#_x0000_t202" id="docshape166"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113</w:t>
                    </w:r>
                    <w:r>
                      <w:rPr>
                        <w:rFonts w:ascii="Calibri"/>
                        <w:spacing w:val="-5"/>
                        <w:sz w:val="22"/>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78432">
              <wp:simplePos x="0" y="0"/>
              <wp:positionH relativeFrom="page">
                <wp:posOffset>1074166</wp:posOffset>
              </wp:positionH>
              <wp:positionV relativeFrom="page">
                <wp:posOffset>9756393</wp:posOffset>
              </wp:positionV>
              <wp:extent cx="6050280" cy="213995"/>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6050280" cy="213995"/>
                        <a:chExt cx="6050280" cy="213995"/>
                      </a:xfrm>
                    </wpg:grpSpPr>
                    <pic:pic>
                      <pic:nvPicPr>
                        <pic:cNvPr id="206" name="Image 206"/>
                        <pic:cNvPicPr/>
                      </pic:nvPicPr>
                      <pic:blipFill>
                        <a:blip r:embed="rId1" cstate="print"/>
                        <a:stretch>
                          <a:fillRect/>
                        </a:stretch>
                      </pic:blipFill>
                      <pic:spPr>
                        <a:xfrm>
                          <a:off x="256" y="103886"/>
                          <a:ext cx="2708142" cy="108203"/>
                        </a:xfrm>
                        <a:prstGeom prst="rect">
                          <a:avLst/>
                        </a:prstGeom>
                      </pic:spPr>
                    </pic:pic>
                    <pic:pic>
                      <pic:nvPicPr>
                        <pic:cNvPr id="207" name="Image 207"/>
                        <pic:cNvPicPr/>
                      </pic:nvPicPr>
                      <pic:blipFill>
                        <a:blip r:embed="rId2" cstate="print"/>
                        <a:stretch>
                          <a:fillRect/>
                        </a:stretch>
                      </pic:blipFill>
                      <pic:spPr>
                        <a:xfrm>
                          <a:off x="6350" y="6350"/>
                          <a:ext cx="2514600" cy="197485"/>
                        </a:xfrm>
                        <a:prstGeom prst="rect">
                          <a:avLst/>
                        </a:prstGeom>
                      </pic:spPr>
                    </pic:pic>
                    <wps:wsp>
                      <wps:cNvPr id="208" name="Graphic 208"/>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209" name="Graphic 209"/>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38048" id="docshapegroup174" coordorigin="1692,15364" coordsize="9528,337">
              <v:shape style="position:absolute;left:1692;top:15528;width:4265;height:171" type="#_x0000_t75" id="docshape175" stroked="false">
                <v:imagedata r:id="rId1" o:title=""/>
              </v:shape>
              <v:shape style="position:absolute;left:1701;top:15374;width:3960;height:311" type="#_x0000_t75" id="docshape176" stroked="false">
                <v:imagedata r:id="rId2" o:title=""/>
              </v:shape>
              <v:rect style="position:absolute;left:1701;top:15374;width:3960;height:311" id="docshape177"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78944">
              <wp:simplePos x="0" y="0"/>
              <wp:positionH relativeFrom="page">
                <wp:posOffset>5259704</wp:posOffset>
              </wp:positionH>
              <wp:positionV relativeFrom="page">
                <wp:posOffset>9726107</wp:posOffset>
              </wp:positionV>
              <wp:extent cx="1776730" cy="24193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65.835266pt;width:139.9pt;height:19.05pt;mso-position-horizontal-relative:page;mso-position-vertical-relative:page;z-index:-31937536" type="#_x0000_t202" id="docshape178"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79456">
              <wp:simplePos x="0" y="0"/>
              <wp:positionH relativeFrom="page">
                <wp:posOffset>1165656</wp:posOffset>
              </wp:positionH>
              <wp:positionV relativeFrom="page">
                <wp:posOffset>9803831</wp:posOffset>
              </wp:positionV>
              <wp:extent cx="2237740" cy="12446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37024" type="#_x0000_t202" id="docshape179"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79968">
              <wp:simplePos x="0" y="0"/>
              <wp:positionH relativeFrom="page">
                <wp:posOffset>3827398</wp:posOffset>
              </wp:positionH>
              <wp:positionV relativeFrom="page">
                <wp:posOffset>10079284</wp:posOffset>
              </wp:positionV>
              <wp:extent cx="281305" cy="16573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139</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36512" type="#_x0000_t202" id="docshape180"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139</w:t>
                    </w:r>
                    <w:r>
                      <w:rPr>
                        <w:rFonts w:ascii="Times New Roman"/>
                        <w:spacing w:val="-5"/>
                        <w:sz w:val="20"/>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82016">
              <wp:simplePos x="0" y="0"/>
              <wp:positionH relativeFrom="page">
                <wp:posOffset>1074166</wp:posOffset>
              </wp:positionH>
              <wp:positionV relativeFrom="page">
                <wp:posOffset>9756393</wp:posOffset>
              </wp:positionV>
              <wp:extent cx="6050280" cy="213995"/>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6050280" cy="213995"/>
                        <a:chExt cx="6050280" cy="213995"/>
                      </a:xfrm>
                    </wpg:grpSpPr>
                    <pic:pic>
                      <pic:nvPicPr>
                        <pic:cNvPr id="223" name="Image 223"/>
                        <pic:cNvPicPr/>
                      </pic:nvPicPr>
                      <pic:blipFill>
                        <a:blip r:embed="rId1" cstate="print"/>
                        <a:stretch>
                          <a:fillRect/>
                        </a:stretch>
                      </pic:blipFill>
                      <pic:spPr>
                        <a:xfrm>
                          <a:off x="256" y="103886"/>
                          <a:ext cx="2708142" cy="108203"/>
                        </a:xfrm>
                        <a:prstGeom prst="rect">
                          <a:avLst/>
                        </a:prstGeom>
                      </pic:spPr>
                    </pic:pic>
                    <pic:pic>
                      <pic:nvPicPr>
                        <pic:cNvPr id="224" name="Image 224"/>
                        <pic:cNvPicPr/>
                      </pic:nvPicPr>
                      <pic:blipFill>
                        <a:blip r:embed="rId2" cstate="print"/>
                        <a:stretch>
                          <a:fillRect/>
                        </a:stretch>
                      </pic:blipFill>
                      <pic:spPr>
                        <a:xfrm>
                          <a:off x="6350" y="6350"/>
                          <a:ext cx="2514600" cy="197485"/>
                        </a:xfrm>
                        <a:prstGeom prst="rect">
                          <a:avLst/>
                        </a:prstGeom>
                      </pic:spPr>
                    </pic:pic>
                    <wps:wsp>
                      <wps:cNvPr id="225" name="Graphic 225"/>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226" name="Graphic 226"/>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34464" id="docshapegroup189" coordorigin="1692,15364" coordsize="9528,337">
              <v:shape style="position:absolute;left:1692;top:15528;width:4265;height:171" type="#_x0000_t75" id="docshape190" stroked="false">
                <v:imagedata r:id="rId1" o:title=""/>
              </v:shape>
              <v:shape style="position:absolute;left:1701;top:15374;width:3960;height:311" type="#_x0000_t75" id="docshape191" stroked="false">
                <v:imagedata r:id="rId2" o:title=""/>
              </v:shape>
              <v:rect style="position:absolute;left:1701;top:15374;width:3960;height:311" id="docshape192"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82528">
              <wp:simplePos x="0" y="0"/>
              <wp:positionH relativeFrom="page">
                <wp:posOffset>5259704</wp:posOffset>
              </wp:positionH>
              <wp:positionV relativeFrom="page">
                <wp:posOffset>9726107</wp:posOffset>
              </wp:positionV>
              <wp:extent cx="1776730" cy="24193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65.835266pt;width:139.9pt;height:19.05pt;mso-position-horizontal-relative:page;mso-position-vertical-relative:page;z-index:-31933952" type="#_x0000_t202" id="docshape193"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83040">
              <wp:simplePos x="0" y="0"/>
              <wp:positionH relativeFrom="page">
                <wp:posOffset>1165656</wp:posOffset>
              </wp:positionH>
              <wp:positionV relativeFrom="page">
                <wp:posOffset>9803831</wp:posOffset>
              </wp:positionV>
              <wp:extent cx="2237740" cy="12446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33440" type="#_x0000_t202" id="docshape194"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83552">
              <wp:simplePos x="0" y="0"/>
              <wp:positionH relativeFrom="page">
                <wp:posOffset>3827398</wp:posOffset>
              </wp:positionH>
              <wp:positionV relativeFrom="page">
                <wp:posOffset>10079284</wp:posOffset>
              </wp:positionV>
              <wp:extent cx="281305" cy="16573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152</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32928" type="#_x0000_t202" id="docshape195"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152</w:t>
                    </w:r>
                    <w:r>
                      <w:rPr>
                        <w:rFonts w:ascii="Times New Roman"/>
                        <w:spacing w:val="-5"/>
                        <w:sz w:val="20"/>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85600">
              <wp:simplePos x="0" y="0"/>
              <wp:positionH relativeFrom="page">
                <wp:posOffset>1074166</wp:posOffset>
              </wp:positionH>
              <wp:positionV relativeFrom="page">
                <wp:posOffset>9756393</wp:posOffset>
              </wp:positionV>
              <wp:extent cx="6050280" cy="213995"/>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6050280" cy="213995"/>
                        <a:chExt cx="6050280" cy="213995"/>
                      </a:xfrm>
                    </wpg:grpSpPr>
                    <pic:pic>
                      <pic:nvPicPr>
                        <pic:cNvPr id="238" name="Image 238"/>
                        <pic:cNvPicPr/>
                      </pic:nvPicPr>
                      <pic:blipFill>
                        <a:blip r:embed="rId1" cstate="print"/>
                        <a:stretch>
                          <a:fillRect/>
                        </a:stretch>
                      </pic:blipFill>
                      <pic:spPr>
                        <a:xfrm>
                          <a:off x="256" y="103886"/>
                          <a:ext cx="2708142" cy="108203"/>
                        </a:xfrm>
                        <a:prstGeom prst="rect">
                          <a:avLst/>
                        </a:prstGeom>
                      </pic:spPr>
                    </pic:pic>
                    <pic:pic>
                      <pic:nvPicPr>
                        <pic:cNvPr id="239" name="Image 239"/>
                        <pic:cNvPicPr/>
                      </pic:nvPicPr>
                      <pic:blipFill>
                        <a:blip r:embed="rId2" cstate="print"/>
                        <a:stretch>
                          <a:fillRect/>
                        </a:stretch>
                      </pic:blipFill>
                      <pic:spPr>
                        <a:xfrm>
                          <a:off x="6350" y="6350"/>
                          <a:ext cx="2514600" cy="197485"/>
                        </a:xfrm>
                        <a:prstGeom prst="rect">
                          <a:avLst/>
                        </a:prstGeom>
                      </pic:spPr>
                    </pic:pic>
                    <wps:wsp>
                      <wps:cNvPr id="240" name="Graphic 240"/>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241" name="Graphic 241"/>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30880" id="docshapegroup202" coordorigin="1692,15364" coordsize="9528,337">
              <v:shape style="position:absolute;left:1692;top:15528;width:4265;height:171" type="#_x0000_t75" id="docshape203" stroked="false">
                <v:imagedata r:id="rId1" o:title=""/>
              </v:shape>
              <v:shape style="position:absolute;left:1701;top:15374;width:3960;height:311" type="#_x0000_t75" id="docshape204" stroked="false">
                <v:imagedata r:id="rId2" o:title=""/>
              </v:shape>
              <v:rect style="position:absolute;left:1701;top:15374;width:3960;height:311" id="docshape205"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86112">
              <wp:simplePos x="0" y="0"/>
              <wp:positionH relativeFrom="page">
                <wp:posOffset>1165656</wp:posOffset>
              </wp:positionH>
              <wp:positionV relativeFrom="page">
                <wp:posOffset>9803831</wp:posOffset>
              </wp:positionV>
              <wp:extent cx="2237740" cy="12446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30368" type="#_x0000_t202" id="docshape206"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86624">
              <wp:simplePos x="0" y="0"/>
              <wp:positionH relativeFrom="page">
                <wp:posOffset>5259704</wp:posOffset>
              </wp:positionH>
              <wp:positionV relativeFrom="page">
                <wp:posOffset>9843455</wp:posOffset>
              </wp:positionV>
              <wp:extent cx="1775460" cy="12446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1775460" cy="124460"/>
                      </a:xfrm>
                      <a:prstGeom prst="rect">
                        <a:avLst/>
                      </a:prstGeom>
                    </wps:spPr>
                    <wps:txbx>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75.075256pt;width:139.8pt;height:9.8pt;mso-position-horizontal-relative:page;mso-position-vertical-relative:page;z-index:-31929856" type="#_x0000_t202" id="docshape207" filled="false" stroked="false">
              <v:textbox inset="0,0,0,0">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87136">
              <wp:simplePos x="0" y="0"/>
              <wp:positionH relativeFrom="page">
                <wp:posOffset>3827398</wp:posOffset>
              </wp:positionH>
              <wp:positionV relativeFrom="page">
                <wp:posOffset>10079284</wp:posOffset>
              </wp:positionV>
              <wp:extent cx="281305" cy="16573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156</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29344" type="#_x0000_t202" id="docshape208"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156</w:t>
                    </w:r>
                    <w:r>
                      <w:rPr>
                        <w:rFonts w:ascii="Times New Roman"/>
                        <w:spacing w:val="-5"/>
                        <w:sz w:val="20"/>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89184">
              <wp:simplePos x="0" y="0"/>
              <wp:positionH relativeFrom="page">
                <wp:posOffset>1074166</wp:posOffset>
              </wp:positionH>
              <wp:positionV relativeFrom="page">
                <wp:posOffset>9756393</wp:posOffset>
              </wp:positionV>
              <wp:extent cx="6050280" cy="213995"/>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6050280" cy="213995"/>
                        <a:chExt cx="6050280" cy="213995"/>
                      </a:xfrm>
                    </wpg:grpSpPr>
                    <pic:pic>
                      <pic:nvPicPr>
                        <pic:cNvPr id="254" name="Image 254"/>
                        <pic:cNvPicPr/>
                      </pic:nvPicPr>
                      <pic:blipFill>
                        <a:blip r:embed="rId1" cstate="print"/>
                        <a:stretch>
                          <a:fillRect/>
                        </a:stretch>
                      </pic:blipFill>
                      <pic:spPr>
                        <a:xfrm>
                          <a:off x="256" y="103886"/>
                          <a:ext cx="2708142" cy="108203"/>
                        </a:xfrm>
                        <a:prstGeom prst="rect">
                          <a:avLst/>
                        </a:prstGeom>
                      </pic:spPr>
                    </pic:pic>
                    <pic:pic>
                      <pic:nvPicPr>
                        <pic:cNvPr id="255" name="Image 255"/>
                        <pic:cNvPicPr/>
                      </pic:nvPicPr>
                      <pic:blipFill>
                        <a:blip r:embed="rId2" cstate="print"/>
                        <a:stretch>
                          <a:fillRect/>
                        </a:stretch>
                      </pic:blipFill>
                      <pic:spPr>
                        <a:xfrm>
                          <a:off x="6350" y="6350"/>
                          <a:ext cx="2514600" cy="197485"/>
                        </a:xfrm>
                        <a:prstGeom prst="rect">
                          <a:avLst/>
                        </a:prstGeom>
                      </pic:spPr>
                    </pic:pic>
                    <wps:wsp>
                      <wps:cNvPr id="256" name="Graphic 256"/>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257" name="Graphic 257"/>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27296" id="docshapegroup216" coordorigin="1692,15364" coordsize="9528,337">
              <v:shape style="position:absolute;left:1692;top:15528;width:4265;height:171" type="#_x0000_t75" id="docshape217" stroked="false">
                <v:imagedata r:id="rId1" o:title=""/>
              </v:shape>
              <v:shape style="position:absolute;left:1701;top:15374;width:3960;height:311" type="#_x0000_t75" id="docshape218" stroked="false">
                <v:imagedata r:id="rId2" o:title=""/>
              </v:shape>
              <v:rect style="position:absolute;left:1701;top:15374;width:3960;height:311" id="docshape219"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89696">
              <wp:simplePos x="0" y="0"/>
              <wp:positionH relativeFrom="page">
                <wp:posOffset>5259704</wp:posOffset>
              </wp:positionH>
              <wp:positionV relativeFrom="page">
                <wp:posOffset>9726107</wp:posOffset>
              </wp:positionV>
              <wp:extent cx="1776730" cy="241935"/>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65.835266pt;width:139.9pt;height:19.05pt;mso-position-horizontal-relative:page;mso-position-vertical-relative:page;z-index:-31926784" type="#_x0000_t202" id="docshape220"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90208">
              <wp:simplePos x="0" y="0"/>
              <wp:positionH relativeFrom="page">
                <wp:posOffset>1165656</wp:posOffset>
              </wp:positionH>
              <wp:positionV relativeFrom="page">
                <wp:posOffset>9803831</wp:posOffset>
              </wp:positionV>
              <wp:extent cx="2237740" cy="12446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26272" type="#_x0000_t202" id="docshape221"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90720">
              <wp:simplePos x="0" y="0"/>
              <wp:positionH relativeFrom="page">
                <wp:posOffset>3827398</wp:posOffset>
              </wp:positionH>
              <wp:positionV relativeFrom="page">
                <wp:posOffset>10079284</wp:posOffset>
              </wp:positionV>
              <wp:extent cx="281305" cy="16573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157</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25760" type="#_x0000_t202" id="docshape222"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157</w:t>
                    </w:r>
                    <w:r>
                      <w:rPr>
                        <w:rFonts w:ascii="Times New Roman"/>
                        <w:spacing w:val="-5"/>
                        <w:sz w:val="20"/>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92768">
              <wp:simplePos x="0" y="0"/>
              <wp:positionH relativeFrom="page">
                <wp:posOffset>1074166</wp:posOffset>
              </wp:positionH>
              <wp:positionV relativeFrom="page">
                <wp:posOffset>9756393</wp:posOffset>
              </wp:positionV>
              <wp:extent cx="6050280" cy="213995"/>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6050280" cy="213995"/>
                        <a:chExt cx="6050280" cy="213995"/>
                      </a:xfrm>
                    </wpg:grpSpPr>
                    <pic:pic>
                      <pic:nvPicPr>
                        <pic:cNvPr id="269" name="Image 269"/>
                        <pic:cNvPicPr/>
                      </pic:nvPicPr>
                      <pic:blipFill>
                        <a:blip r:embed="rId1" cstate="print"/>
                        <a:stretch>
                          <a:fillRect/>
                        </a:stretch>
                      </pic:blipFill>
                      <pic:spPr>
                        <a:xfrm>
                          <a:off x="256" y="103886"/>
                          <a:ext cx="2708142" cy="108203"/>
                        </a:xfrm>
                        <a:prstGeom prst="rect">
                          <a:avLst/>
                        </a:prstGeom>
                      </pic:spPr>
                    </pic:pic>
                    <pic:pic>
                      <pic:nvPicPr>
                        <pic:cNvPr id="270" name="Image 270"/>
                        <pic:cNvPicPr/>
                      </pic:nvPicPr>
                      <pic:blipFill>
                        <a:blip r:embed="rId2" cstate="print"/>
                        <a:stretch>
                          <a:fillRect/>
                        </a:stretch>
                      </pic:blipFill>
                      <pic:spPr>
                        <a:xfrm>
                          <a:off x="6350" y="6350"/>
                          <a:ext cx="2514600" cy="197485"/>
                        </a:xfrm>
                        <a:prstGeom prst="rect">
                          <a:avLst/>
                        </a:prstGeom>
                      </pic:spPr>
                    </pic:pic>
                    <wps:wsp>
                      <wps:cNvPr id="271" name="Graphic 271"/>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272" name="Graphic 272"/>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23712" id="docshapegroup229" coordorigin="1692,15364" coordsize="9528,337">
              <v:shape style="position:absolute;left:1692;top:15528;width:4265;height:171" type="#_x0000_t75" id="docshape230" stroked="false">
                <v:imagedata r:id="rId1" o:title=""/>
              </v:shape>
              <v:shape style="position:absolute;left:1701;top:15374;width:3960;height:311" type="#_x0000_t75" id="docshape231" stroked="false">
                <v:imagedata r:id="rId2" o:title=""/>
              </v:shape>
              <v:rect style="position:absolute;left:1701;top:15374;width:3960;height:311" id="docshape232"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93280">
              <wp:simplePos x="0" y="0"/>
              <wp:positionH relativeFrom="page">
                <wp:posOffset>1165656</wp:posOffset>
              </wp:positionH>
              <wp:positionV relativeFrom="page">
                <wp:posOffset>9803831</wp:posOffset>
              </wp:positionV>
              <wp:extent cx="2237740" cy="12446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23200" type="#_x0000_t202" id="docshape233"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93792">
              <wp:simplePos x="0" y="0"/>
              <wp:positionH relativeFrom="page">
                <wp:posOffset>5259704</wp:posOffset>
              </wp:positionH>
              <wp:positionV relativeFrom="page">
                <wp:posOffset>9843455</wp:posOffset>
              </wp:positionV>
              <wp:extent cx="1775460" cy="12446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775460" cy="124460"/>
                      </a:xfrm>
                      <a:prstGeom prst="rect">
                        <a:avLst/>
                      </a:prstGeom>
                    </wps:spPr>
                    <wps:txbx>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75.075256pt;width:139.8pt;height:9.8pt;mso-position-horizontal-relative:page;mso-position-vertical-relative:page;z-index:-31922688" type="#_x0000_t202" id="docshape234" filled="false" stroked="false">
              <v:textbox inset="0,0,0,0">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94304">
              <wp:simplePos x="0" y="0"/>
              <wp:positionH relativeFrom="page">
                <wp:posOffset>3827398</wp:posOffset>
              </wp:positionH>
              <wp:positionV relativeFrom="page">
                <wp:posOffset>10079284</wp:posOffset>
              </wp:positionV>
              <wp:extent cx="281305" cy="165735"/>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162</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22176" type="#_x0000_t202" id="docshape235"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162</w:t>
                    </w:r>
                    <w:r>
                      <w:rPr>
                        <w:rFonts w:ascii="Times New Roman"/>
                        <w:spacing w:val="-5"/>
                        <w:sz w:val="20"/>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96352">
              <wp:simplePos x="0" y="0"/>
              <wp:positionH relativeFrom="page">
                <wp:posOffset>1074166</wp:posOffset>
              </wp:positionH>
              <wp:positionV relativeFrom="page">
                <wp:posOffset>9756393</wp:posOffset>
              </wp:positionV>
              <wp:extent cx="6050280" cy="213995"/>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6050280" cy="213995"/>
                        <a:chExt cx="6050280" cy="213995"/>
                      </a:xfrm>
                    </wpg:grpSpPr>
                    <pic:pic>
                      <pic:nvPicPr>
                        <pic:cNvPr id="285" name="Image 285"/>
                        <pic:cNvPicPr/>
                      </pic:nvPicPr>
                      <pic:blipFill>
                        <a:blip r:embed="rId1" cstate="print"/>
                        <a:stretch>
                          <a:fillRect/>
                        </a:stretch>
                      </pic:blipFill>
                      <pic:spPr>
                        <a:xfrm>
                          <a:off x="256" y="103886"/>
                          <a:ext cx="2708142" cy="108203"/>
                        </a:xfrm>
                        <a:prstGeom prst="rect">
                          <a:avLst/>
                        </a:prstGeom>
                      </pic:spPr>
                    </pic:pic>
                    <pic:pic>
                      <pic:nvPicPr>
                        <pic:cNvPr id="286" name="Image 286"/>
                        <pic:cNvPicPr/>
                      </pic:nvPicPr>
                      <pic:blipFill>
                        <a:blip r:embed="rId2" cstate="print"/>
                        <a:stretch>
                          <a:fillRect/>
                        </a:stretch>
                      </pic:blipFill>
                      <pic:spPr>
                        <a:xfrm>
                          <a:off x="6350" y="6350"/>
                          <a:ext cx="2514600" cy="197485"/>
                        </a:xfrm>
                        <a:prstGeom prst="rect">
                          <a:avLst/>
                        </a:prstGeom>
                      </pic:spPr>
                    </pic:pic>
                    <wps:wsp>
                      <wps:cNvPr id="287" name="Graphic 287"/>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288" name="Graphic 288"/>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20128" id="docshapegroup243" coordorigin="1692,15364" coordsize="9528,337">
              <v:shape style="position:absolute;left:1692;top:15528;width:4265;height:171" type="#_x0000_t75" id="docshape244" stroked="false">
                <v:imagedata r:id="rId1" o:title=""/>
              </v:shape>
              <v:shape style="position:absolute;left:1701;top:15374;width:3960;height:311" type="#_x0000_t75" id="docshape245" stroked="false">
                <v:imagedata r:id="rId2" o:title=""/>
              </v:shape>
              <v:rect style="position:absolute;left:1701;top:15374;width:3960;height:311" id="docshape246"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96864">
              <wp:simplePos x="0" y="0"/>
              <wp:positionH relativeFrom="page">
                <wp:posOffset>5259704</wp:posOffset>
              </wp:positionH>
              <wp:positionV relativeFrom="page">
                <wp:posOffset>9726107</wp:posOffset>
              </wp:positionV>
              <wp:extent cx="1776730" cy="241935"/>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65.835266pt;width:139.9pt;height:19.05pt;mso-position-horizontal-relative:page;mso-position-vertical-relative:page;z-index:-31919616" type="#_x0000_t202" id="docshape247"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97376">
              <wp:simplePos x="0" y="0"/>
              <wp:positionH relativeFrom="page">
                <wp:posOffset>1165656</wp:posOffset>
              </wp:positionH>
              <wp:positionV relativeFrom="page">
                <wp:posOffset>9803831</wp:posOffset>
              </wp:positionV>
              <wp:extent cx="2237740" cy="12446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19104" type="#_x0000_t202" id="docshape248"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97888">
              <wp:simplePos x="0" y="0"/>
              <wp:positionH relativeFrom="page">
                <wp:posOffset>3827398</wp:posOffset>
              </wp:positionH>
              <wp:positionV relativeFrom="page">
                <wp:posOffset>10079284</wp:posOffset>
              </wp:positionV>
              <wp:extent cx="281305" cy="16573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163</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18592" type="#_x0000_t202" id="docshape249"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163</w:t>
                    </w:r>
                    <w:r>
                      <w:rPr>
                        <w:rFonts w:ascii="Times New Roman"/>
                        <w:spacing w:val="-5"/>
                        <w:sz w:val="20"/>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99936">
              <wp:simplePos x="0" y="0"/>
              <wp:positionH relativeFrom="page">
                <wp:posOffset>1074166</wp:posOffset>
              </wp:positionH>
              <wp:positionV relativeFrom="page">
                <wp:posOffset>9756393</wp:posOffset>
              </wp:positionV>
              <wp:extent cx="6050280" cy="213995"/>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6050280" cy="213995"/>
                        <a:chExt cx="6050280" cy="213995"/>
                      </a:xfrm>
                    </wpg:grpSpPr>
                    <pic:pic>
                      <pic:nvPicPr>
                        <pic:cNvPr id="300" name="Image 300"/>
                        <pic:cNvPicPr/>
                      </pic:nvPicPr>
                      <pic:blipFill>
                        <a:blip r:embed="rId1" cstate="print"/>
                        <a:stretch>
                          <a:fillRect/>
                        </a:stretch>
                      </pic:blipFill>
                      <pic:spPr>
                        <a:xfrm>
                          <a:off x="256" y="103886"/>
                          <a:ext cx="2708142" cy="108203"/>
                        </a:xfrm>
                        <a:prstGeom prst="rect">
                          <a:avLst/>
                        </a:prstGeom>
                      </pic:spPr>
                    </pic:pic>
                    <pic:pic>
                      <pic:nvPicPr>
                        <pic:cNvPr id="301" name="Image 301"/>
                        <pic:cNvPicPr/>
                      </pic:nvPicPr>
                      <pic:blipFill>
                        <a:blip r:embed="rId2" cstate="print"/>
                        <a:stretch>
                          <a:fillRect/>
                        </a:stretch>
                      </pic:blipFill>
                      <pic:spPr>
                        <a:xfrm>
                          <a:off x="6350" y="6350"/>
                          <a:ext cx="2514600" cy="197485"/>
                        </a:xfrm>
                        <a:prstGeom prst="rect">
                          <a:avLst/>
                        </a:prstGeom>
                      </pic:spPr>
                    </pic:pic>
                    <wps:wsp>
                      <wps:cNvPr id="302" name="Graphic 302"/>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303" name="Graphic 303"/>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16544" id="docshapegroup256" coordorigin="1692,15364" coordsize="9528,337">
              <v:shape style="position:absolute;left:1692;top:15528;width:4265;height:171" type="#_x0000_t75" id="docshape257" stroked="false">
                <v:imagedata r:id="rId1" o:title=""/>
              </v:shape>
              <v:shape style="position:absolute;left:1701;top:15374;width:3960;height:311" type="#_x0000_t75" id="docshape258" stroked="false">
                <v:imagedata r:id="rId2" o:title=""/>
              </v:shape>
              <v:rect style="position:absolute;left:1701;top:15374;width:3960;height:311" id="docshape259"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00448">
              <wp:simplePos x="0" y="0"/>
              <wp:positionH relativeFrom="page">
                <wp:posOffset>5259704</wp:posOffset>
              </wp:positionH>
              <wp:positionV relativeFrom="page">
                <wp:posOffset>9726107</wp:posOffset>
              </wp:positionV>
              <wp:extent cx="1776730" cy="24193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65.835266pt;width:139.9pt;height:19.05pt;mso-position-horizontal-relative:page;mso-position-vertical-relative:page;z-index:-31916032" type="#_x0000_t202" id="docshape260"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00960">
              <wp:simplePos x="0" y="0"/>
              <wp:positionH relativeFrom="page">
                <wp:posOffset>1165656</wp:posOffset>
              </wp:positionH>
              <wp:positionV relativeFrom="page">
                <wp:posOffset>9803831</wp:posOffset>
              </wp:positionV>
              <wp:extent cx="2237740" cy="12446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15520" type="#_x0000_t202" id="docshape261"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01472">
              <wp:simplePos x="0" y="0"/>
              <wp:positionH relativeFrom="page">
                <wp:posOffset>3827398</wp:posOffset>
              </wp:positionH>
              <wp:positionV relativeFrom="page">
                <wp:posOffset>10079284</wp:posOffset>
              </wp:positionV>
              <wp:extent cx="281305" cy="165735"/>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197</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15008" type="#_x0000_t202" id="docshape262"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197</w:t>
                    </w:r>
                    <w:r>
                      <w:rPr>
                        <w:rFonts w:ascii="Times New Roman"/>
                        <w:spacing w:val="-5"/>
                        <w:sz w:val="20"/>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03520">
              <wp:simplePos x="0" y="0"/>
              <wp:positionH relativeFrom="page">
                <wp:posOffset>1074166</wp:posOffset>
              </wp:positionH>
              <wp:positionV relativeFrom="page">
                <wp:posOffset>9756393</wp:posOffset>
              </wp:positionV>
              <wp:extent cx="6050280" cy="213995"/>
              <wp:effectExtent l="0" t="0" r="0" b="0"/>
              <wp:wrapNone/>
              <wp:docPr id="314" name="Group 314"/>
              <wp:cNvGraphicFramePr>
                <a:graphicFrameLocks/>
              </wp:cNvGraphicFramePr>
              <a:graphic>
                <a:graphicData uri="http://schemas.microsoft.com/office/word/2010/wordprocessingGroup">
                  <wpg:wgp>
                    <wpg:cNvPr id="314" name="Group 314"/>
                    <wpg:cNvGrpSpPr/>
                    <wpg:grpSpPr>
                      <a:xfrm>
                        <a:off x="0" y="0"/>
                        <a:ext cx="6050280" cy="213995"/>
                        <a:chExt cx="6050280" cy="213995"/>
                      </a:xfrm>
                    </wpg:grpSpPr>
                    <pic:pic>
                      <pic:nvPicPr>
                        <pic:cNvPr id="315" name="Image 315"/>
                        <pic:cNvPicPr/>
                      </pic:nvPicPr>
                      <pic:blipFill>
                        <a:blip r:embed="rId1" cstate="print"/>
                        <a:stretch>
                          <a:fillRect/>
                        </a:stretch>
                      </pic:blipFill>
                      <pic:spPr>
                        <a:xfrm>
                          <a:off x="256" y="103886"/>
                          <a:ext cx="2708142" cy="108203"/>
                        </a:xfrm>
                        <a:prstGeom prst="rect">
                          <a:avLst/>
                        </a:prstGeom>
                      </pic:spPr>
                    </pic:pic>
                    <pic:pic>
                      <pic:nvPicPr>
                        <pic:cNvPr id="316" name="Image 316"/>
                        <pic:cNvPicPr/>
                      </pic:nvPicPr>
                      <pic:blipFill>
                        <a:blip r:embed="rId2" cstate="print"/>
                        <a:stretch>
                          <a:fillRect/>
                        </a:stretch>
                      </pic:blipFill>
                      <pic:spPr>
                        <a:xfrm>
                          <a:off x="6350" y="6350"/>
                          <a:ext cx="2514600" cy="197485"/>
                        </a:xfrm>
                        <a:prstGeom prst="rect">
                          <a:avLst/>
                        </a:prstGeom>
                      </pic:spPr>
                    </pic:pic>
                    <wps:wsp>
                      <wps:cNvPr id="317" name="Graphic 317"/>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318" name="Graphic 318"/>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12960" id="docshapegroup269" coordorigin="1692,15364" coordsize="9528,337">
              <v:shape style="position:absolute;left:1692;top:15528;width:4265;height:171" type="#_x0000_t75" id="docshape270" stroked="false">
                <v:imagedata r:id="rId1" o:title=""/>
              </v:shape>
              <v:shape style="position:absolute;left:1701;top:15374;width:3960;height:311" type="#_x0000_t75" id="docshape271" stroked="false">
                <v:imagedata r:id="rId2" o:title=""/>
              </v:shape>
              <v:rect style="position:absolute;left:1701;top:15374;width:3960;height:311" id="docshape272"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04032">
              <wp:simplePos x="0" y="0"/>
              <wp:positionH relativeFrom="page">
                <wp:posOffset>5259704</wp:posOffset>
              </wp:positionH>
              <wp:positionV relativeFrom="page">
                <wp:posOffset>9726107</wp:posOffset>
              </wp:positionV>
              <wp:extent cx="1776730" cy="241935"/>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65.835266pt;width:139.9pt;height:19.05pt;mso-position-horizontal-relative:page;mso-position-vertical-relative:page;z-index:-31912448" type="#_x0000_t202" id="docshape273"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04544">
              <wp:simplePos x="0" y="0"/>
              <wp:positionH relativeFrom="page">
                <wp:posOffset>1165656</wp:posOffset>
              </wp:positionH>
              <wp:positionV relativeFrom="page">
                <wp:posOffset>9803831</wp:posOffset>
              </wp:positionV>
              <wp:extent cx="2237740" cy="12446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11936" type="#_x0000_t202" id="docshape274"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05056">
              <wp:simplePos x="0" y="0"/>
              <wp:positionH relativeFrom="page">
                <wp:posOffset>3827398</wp:posOffset>
              </wp:positionH>
              <wp:positionV relativeFrom="page">
                <wp:posOffset>10079284</wp:posOffset>
              </wp:positionV>
              <wp:extent cx="281305" cy="165735"/>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226</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11424" type="#_x0000_t202" id="docshape275"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226</w:t>
                    </w:r>
                    <w:r>
                      <w:rPr>
                        <w:rFonts w:ascii="Times New Roman"/>
                        <w:spacing w:val="-5"/>
                        <w:sz w:val="20"/>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07104">
              <wp:simplePos x="0" y="0"/>
              <wp:positionH relativeFrom="page">
                <wp:posOffset>1074166</wp:posOffset>
              </wp:positionH>
              <wp:positionV relativeFrom="page">
                <wp:posOffset>9756393</wp:posOffset>
              </wp:positionV>
              <wp:extent cx="6050280" cy="213995"/>
              <wp:effectExtent l="0" t="0" r="0" b="0"/>
              <wp:wrapNone/>
              <wp:docPr id="329" name="Group 329"/>
              <wp:cNvGraphicFramePr>
                <a:graphicFrameLocks/>
              </wp:cNvGraphicFramePr>
              <a:graphic>
                <a:graphicData uri="http://schemas.microsoft.com/office/word/2010/wordprocessingGroup">
                  <wpg:wgp>
                    <wpg:cNvPr id="329" name="Group 329"/>
                    <wpg:cNvGrpSpPr/>
                    <wpg:grpSpPr>
                      <a:xfrm>
                        <a:off x="0" y="0"/>
                        <a:ext cx="6050280" cy="213995"/>
                        <a:chExt cx="6050280" cy="213995"/>
                      </a:xfrm>
                    </wpg:grpSpPr>
                    <pic:pic>
                      <pic:nvPicPr>
                        <pic:cNvPr id="330" name="Image 330"/>
                        <pic:cNvPicPr/>
                      </pic:nvPicPr>
                      <pic:blipFill>
                        <a:blip r:embed="rId1" cstate="print"/>
                        <a:stretch>
                          <a:fillRect/>
                        </a:stretch>
                      </pic:blipFill>
                      <pic:spPr>
                        <a:xfrm>
                          <a:off x="256" y="103886"/>
                          <a:ext cx="2708142" cy="108203"/>
                        </a:xfrm>
                        <a:prstGeom prst="rect">
                          <a:avLst/>
                        </a:prstGeom>
                      </pic:spPr>
                    </pic:pic>
                    <pic:pic>
                      <pic:nvPicPr>
                        <pic:cNvPr id="331" name="Image 331"/>
                        <pic:cNvPicPr/>
                      </pic:nvPicPr>
                      <pic:blipFill>
                        <a:blip r:embed="rId2" cstate="print"/>
                        <a:stretch>
                          <a:fillRect/>
                        </a:stretch>
                      </pic:blipFill>
                      <pic:spPr>
                        <a:xfrm>
                          <a:off x="6350" y="6350"/>
                          <a:ext cx="2514600" cy="197485"/>
                        </a:xfrm>
                        <a:prstGeom prst="rect">
                          <a:avLst/>
                        </a:prstGeom>
                      </pic:spPr>
                    </pic:pic>
                    <wps:wsp>
                      <wps:cNvPr id="332" name="Graphic 332"/>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333" name="Graphic 333"/>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09376" id="docshapegroup282" coordorigin="1692,15364" coordsize="9528,337">
              <v:shape style="position:absolute;left:1692;top:15528;width:4265;height:171" type="#_x0000_t75" id="docshape283" stroked="false">
                <v:imagedata r:id="rId1" o:title=""/>
              </v:shape>
              <v:shape style="position:absolute;left:1701;top:15374;width:3960;height:311" type="#_x0000_t75" id="docshape284" stroked="false">
                <v:imagedata r:id="rId2" o:title=""/>
              </v:shape>
              <v:rect style="position:absolute;left:1701;top:15374;width:3960;height:311" id="docshape285"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07616">
              <wp:simplePos x="0" y="0"/>
              <wp:positionH relativeFrom="page">
                <wp:posOffset>1165656</wp:posOffset>
              </wp:positionH>
              <wp:positionV relativeFrom="page">
                <wp:posOffset>9803831</wp:posOffset>
              </wp:positionV>
              <wp:extent cx="2237740" cy="12446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08864" type="#_x0000_t202" id="docshape286"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08128">
              <wp:simplePos x="0" y="0"/>
              <wp:positionH relativeFrom="page">
                <wp:posOffset>5259704</wp:posOffset>
              </wp:positionH>
              <wp:positionV relativeFrom="page">
                <wp:posOffset>9843455</wp:posOffset>
              </wp:positionV>
              <wp:extent cx="1775460" cy="12446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1775460" cy="124460"/>
                      </a:xfrm>
                      <a:prstGeom prst="rect">
                        <a:avLst/>
                      </a:prstGeom>
                    </wps:spPr>
                    <wps:txbx>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75.075256pt;width:139.8pt;height:9.8pt;mso-position-horizontal-relative:page;mso-position-vertical-relative:page;z-index:-31908352" type="#_x0000_t202" id="docshape287" filled="false" stroked="false">
              <v:textbox inset="0,0,0,0">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08640">
              <wp:simplePos x="0" y="0"/>
              <wp:positionH relativeFrom="page">
                <wp:posOffset>3827398</wp:posOffset>
              </wp:positionH>
              <wp:positionV relativeFrom="page">
                <wp:posOffset>10079284</wp:posOffset>
              </wp:positionV>
              <wp:extent cx="281305" cy="165735"/>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237</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07840" type="#_x0000_t202" id="docshape288"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237</w:t>
                    </w:r>
                    <w:r>
                      <w:rPr>
                        <w:rFonts w:ascii="Times New Roman"/>
                        <w:spacing w:val="-5"/>
                        <w:sz w:val="20"/>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10688">
              <wp:simplePos x="0" y="0"/>
              <wp:positionH relativeFrom="page">
                <wp:posOffset>1074166</wp:posOffset>
              </wp:positionH>
              <wp:positionV relativeFrom="page">
                <wp:posOffset>9756393</wp:posOffset>
              </wp:positionV>
              <wp:extent cx="6050280" cy="213995"/>
              <wp:effectExtent l="0" t="0" r="0" b="0"/>
              <wp:wrapNone/>
              <wp:docPr id="345" name="Group 345"/>
              <wp:cNvGraphicFramePr>
                <a:graphicFrameLocks/>
              </wp:cNvGraphicFramePr>
              <a:graphic>
                <a:graphicData uri="http://schemas.microsoft.com/office/word/2010/wordprocessingGroup">
                  <wpg:wgp>
                    <wpg:cNvPr id="345" name="Group 345"/>
                    <wpg:cNvGrpSpPr/>
                    <wpg:grpSpPr>
                      <a:xfrm>
                        <a:off x="0" y="0"/>
                        <a:ext cx="6050280" cy="213995"/>
                        <a:chExt cx="6050280" cy="213995"/>
                      </a:xfrm>
                    </wpg:grpSpPr>
                    <pic:pic>
                      <pic:nvPicPr>
                        <pic:cNvPr id="346" name="Image 346"/>
                        <pic:cNvPicPr/>
                      </pic:nvPicPr>
                      <pic:blipFill>
                        <a:blip r:embed="rId1" cstate="print"/>
                        <a:stretch>
                          <a:fillRect/>
                        </a:stretch>
                      </pic:blipFill>
                      <pic:spPr>
                        <a:xfrm>
                          <a:off x="256" y="103886"/>
                          <a:ext cx="2708142" cy="108203"/>
                        </a:xfrm>
                        <a:prstGeom prst="rect">
                          <a:avLst/>
                        </a:prstGeom>
                      </pic:spPr>
                    </pic:pic>
                    <pic:pic>
                      <pic:nvPicPr>
                        <pic:cNvPr id="347" name="Image 347"/>
                        <pic:cNvPicPr/>
                      </pic:nvPicPr>
                      <pic:blipFill>
                        <a:blip r:embed="rId2" cstate="print"/>
                        <a:stretch>
                          <a:fillRect/>
                        </a:stretch>
                      </pic:blipFill>
                      <pic:spPr>
                        <a:xfrm>
                          <a:off x="6350" y="6350"/>
                          <a:ext cx="2514600" cy="197485"/>
                        </a:xfrm>
                        <a:prstGeom prst="rect">
                          <a:avLst/>
                        </a:prstGeom>
                      </pic:spPr>
                    </pic:pic>
                    <wps:wsp>
                      <wps:cNvPr id="348" name="Graphic 348"/>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349" name="Graphic 349"/>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05792" id="docshapegroup296" coordorigin="1692,15364" coordsize="9528,337">
              <v:shape style="position:absolute;left:1692;top:15528;width:4265;height:171" type="#_x0000_t75" id="docshape297" stroked="false">
                <v:imagedata r:id="rId1" o:title=""/>
              </v:shape>
              <v:shape style="position:absolute;left:1701;top:15374;width:3960;height:311" type="#_x0000_t75" id="docshape298" stroked="false">
                <v:imagedata r:id="rId2" o:title=""/>
              </v:shape>
              <v:rect style="position:absolute;left:1701;top:15374;width:3960;height:311" id="docshape299"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11200">
              <wp:simplePos x="0" y="0"/>
              <wp:positionH relativeFrom="page">
                <wp:posOffset>5259704</wp:posOffset>
              </wp:positionH>
              <wp:positionV relativeFrom="page">
                <wp:posOffset>9726107</wp:posOffset>
              </wp:positionV>
              <wp:extent cx="1776730" cy="24193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65.835266pt;width:139.9pt;height:19.05pt;mso-position-horizontal-relative:page;mso-position-vertical-relative:page;z-index:-31905280" type="#_x0000_t202" id="docshape300"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11712">
              <wp:simplePos x="0" y="0"/>
              <wp:positionH relativeFrom="page">
                <wp:posOffset>1165656</wp:posOffset>
              </wp:positionH>
              <wp:positionV relativeFrom="page">
                <wp:posOffset>9803831</wp:posOffset>
              </wp:positionV>
              <wp:extent cx="2237740" cy="12446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04768" type="#_x0000_t202" id="docshape301"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12224">
              <wp:simplePos x="0" y="0"/>
              <wp:positionH relativeFrom="page">
                <wp:posOffset>3827398</wp:posOffset>
              </wp:positionH>
              <wp:positionV relativeFrom="page">
                <wp:posOffset>10079284</wp:posOffset>
              </wp:positionV>
              <wp:extent cx="281305" cy="165735"/>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238</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04256" type="#_x0000_t202" id="docshape302"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238</w:t>
                    </w:r>
                    <w:r>
                      <w:rPr>
                        <w:rFonts w:ascii="Times New Roman"/>
                        <w:spacing w:val="-5"/>
                        <w:sz w:val="20"/>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14272">
              <wp:simplePos x="0" y="0"/>
              <wp:positionH relativeFrom="page">
                <wp:posOffset>1074166</wp:posOffset>
              </wp:positionH>
              <wp:positionV relativeFrom="page">
                <wp:posOffset>9756393</wp:posOffset>
              </wp:positionV>
              <wp:extent cx="6050280" cy="213995"/>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6050280" cy="213995"/>
                        <a:chExt cx="6050280" cy="213995"/>
                      </a:xfrm>
                    </wpg:grpSpPr>
                    <pic:pic>
                      <pic:nvPicPr>
                        <pic:cNvPr id="361" name="Image 361"/>
                        <pic:cNvPicPr/>
                      </pic:nvPicPr>
                      <pic:blipFill>
                        <a:blip r:embed="rId1" cstate="print"/>
                        <a:stretch>
                          <a:fillRect/>
                        </a:stretch>
                      </pic:blipFill>
                      <pic:spPr>
                        <a:xfrm>
                          <a:off x="256" y="103886"/>
                          <a:ext cx="2708142" cy="108203"/>
                        </a:xfrm>
                        <a:prstGeom prst="rect">
                          <a:avLst/>
                        </a:prstGeom>
                      </pic:spPr>
                    </pic:pic>
                    <pic:pic>
                      <pic:nvPicPr>
                        <pic:cNvPr id="362" name="Image 362"/>
                        <pic:cNvPicPr/>
                      </pic:nvPicPr>
                      <pic:blipFill>
                        <a:blip r:embed="rId2" cstate="print"/>
                        <a:stretch>
                          <a:fillRect/>
                        </a:stretch>
                      </pic:blipFill>
                      <pic:spPr>
                        <a:xfrm>
                          <a:off x="6350" y="6350"/>
                          <a:ext cx="2514600" cy="197485"/>
                        </a:xfrm>
                        <a:prstGeom prst="rect">
                          <a:avLst/>
                        </a:prstGeom>
                      </pic:spPr>
                    </pic:pic>
                    <wps:wsp>
                      <wps:cNvPr id="363" name="Graphic 363"/>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364" name="Graphic 364"/>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02208" id="docshapegroup309" coordorigin="1692,15364" coordsize="9528,337">
              <v:shape style="position:absolute;left:1692;top:15528;width:4265;height:171" type="#_x0000_t75" id="docshape310" stroked="false">
                <v:imagedata r:id="rId1" o:title=""/>
              </v:shape>
              <v:shape style="position:absolute;left:1701;top:15374;width:3960;height:311" type="#_x0000_t75" id="docshape311" stroked="false">
                <v:imagedata r:id="rId2" o:title=""/>
              </v:shape>
              <v:rect style="position:absolute;left:1701;top:15374;width:3960;height:311" id="docshape312"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14784">
              <wp:simplePos x="0" y="0"/>
              <wp:positionH relativeFrom="page">
                <wp:posOffset>5259704</wp:posOffset>
              </wp:positionH>
              <wp:positionV relativeFrom="page">
                <wp:posOffset>9726107</wp:posOffset>
              </wp:positionV>
              <wp:extent cx="1776730" cy="241935"/>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65.835266pt;width:139.9pt;height:19.05pt;mso-position-horizontal-relative:page;mso-position-vertical-relative:page;z-index:-31901696" type="#_x0000_t202" id="docshape313"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15296">
              <wp:simplePos x="0" y="0"/>
              <wp:positionH relativeFrom="page">
                <wp:posOffset>1165656</wp:posOffset>
              </wp:positionH>
              <wp:positionV relativeFrom="page">
                <wp:posOffset>9803831</wp:posOffset>
              </wp:positionV>
              <wp:extent cx="2237740" cy="12446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01184" type="#_x0000_t202" id="docshape314"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15808">
              <wp:simplePos x="0" y="0"/>
              <wp:positionH relativeFrom="page">
                <wp:posOffset>3827398</wp:posOffset>
              </wp:positionH>
              <wp:positionV relativeFrom="page">
                <wp:posOffset>10079284</wp:posOffset>
              </wp:positionV>
              <wp:extent cx="281305" cy="165735"/>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254</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00672" type="#_x0000_t202" id="docshape315"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254</w:t>
                    </w:r>
                    <w:r>
                      <w:rPr>
                        <w:rFonts w:ascii="Times New Roman"/>
                        <w:spacing w:val="-5"/>
                        <w:sz w:val="20"/>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17856">
              <wp:simplePos x="0" y="0"/>
              <wp:positionH relativeFrom="page">
                <wp:posOffset>712977</wp:posOffset>
              </wp:positionH>
              <wp:positionV relativeFrom="page">
                <wp:posOffset>9823450</wp:posOffset>
              </wp:positionV>
              <wp:extent cx="6051550" cy="215265"/>
              <wp:effectExtent l="0" t="0" r="0" b="0"/>
              <wp:wrapNone/>
              <wp:docPr id="375" name="Group 375"/>
              <wp:cNvGraphicFramePr>
                <a:graphicFrameLocks/>
              </wp:cNvGraphicFramePr>
              <a:graphic>
                <a:graphicData uri="http://schemas.microsoft.com/office/word/2010/wordprocessingGroup">
                  <wpg:wgp>
                    <wpg:cNvPr id="375" name="Group 375"/>
                    <wpg:cNvGrpSpPr/>
                    <wpg:grpSpPr>
                      <a:xfrm>
                        <a:off x="0" y="0"/>
                        <a:ext cx="6051550" cy="215265"/>
                        <a:chExt cx="6051550" cy="215265"/>
                      </a:xfrm>
                    </wpg:grpSpPr>
                    <pic:pic>
                      <pic:nvPicPr>
                        <pic:cNvPr id="376" name="Image 376"/>
                        <pic:cNvPicPr/>
                      </pic:nvPicPr>
                      <pic:blipFill>
                        <a:blip r:embed="rId1" cstate="print"/>
                        <a:stretch>
                          <a:fillRect/>
                        </a:stretch>
                      </pic:blipFill>
                      <pic:spPr>
                        <a:xfrm>
                          <a:off x="256" y="103886"/>
                          <a:ext cx="2708142" cy="108203"/>
                        </a:xfrm>
                        <a:prstGeom prst="rect">
                          <a:avLst/>
                        </a:prstGeom>
                      </pic:spPr>
                    </pic:pic>
                    <pic:pic>
                      <pic:nvPicPr>
                        <pic:cNvPr id="377" name="Image 377"/>
                        <pic:cNvPicPr/>
                      </pic:nvPicPr>
                      <pic:blipFill>
                        <a:blip r:embed="rId2" cstate="print"/>
                        <a:stretch>
                          <a:fillRect/>
                        </a:stretch>
                      </pic:blipFill>
                      <pic:spPr>
                        <a:xfrm>
                          <a:off x="6350" y="6350"/>
                          <a:ext cx="2514600" cy="197485"/>
                        </a:xfrm>
                        <a:prstGeom prst="rect">
                          <a:avLst/>
                        </a:prstGeom>
                      </pic:spPr>
                    </pic:pic>
                    <wps:wsp>
                      <wps:cNvPr id="378" name="Graphic 378"/>
                      <wps:cNvSpPr/>
                      <wps:spPr>
                        <a:xfrm>
                          <a:off x="6350" y="635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wps:wsp>
                      <wps:cNvPr id="379" name="Graphic 379"/>
                      <wps:cNvSpPr/>
                      <wps:spPr>
                        <a:xfrm>
                          <a:off x="7112" y="210235"/>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73.5pt;width:476.5pt;height:16.95pt;mso-position-horizontal-relative:page;mso-position-vertical-relative:page;z-index:-31898624" id="docshapegroup322" coordorigin="1123,15470" coordsize="9530,339">
              <v:shape style="position:absolute;left:1123;top:15633;width:4265;height:171" type="#_x0000_t75" id="docshape323" stroked="false">
                <v:imagedata r:id="rId1" o:title=""/>
              </v:shape>
              <v:shape style="position:absolute;left:1132;top:15480;width:3960;height:311" type="#_x0000_t75" id="docshape324" stroked="false">
                <v:imagedata r:id="rId2" o:title=""/>
              </v:shape>
              <v:rect style="position:absolute;left:1132;top:15480;width:3960;height:311" id="docshape325" filled="false" stroked="true" strokeweight="1pt" strokecolor="#666666">
                <v:stroke dashstyle="solid"/>
              </v:rect>
              <v:line style="position:absolute" from="1134,15801" to="10652,15801"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18368">
              <wp:simplePos x="0" y="0"/>
              <wp:positionH relativeFrom="page">
                <wp:posOffset>4898516</wp:posOffset>
              </wp:positionH>
              <wp:positionV relativeFrom="page">
                <wp:posOffset>9793164</wp:posOffset>
              </wp:positionV>
              <wp:extent cx="1776730" cy="243204"/>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1776730" cy="243204"/>
                      </a:xfrm>
                      <a:prstGeom prst="rect">
                        <a:avLst/>
                      </a:prstGeom>
                    </wps:spPr>
                    <wps:txbx>
                      <w:txbxContent>
                        <w:p>
                          <w:pPr>
                            <w:spacing w:line="278" w:lineRule="auto" w:before="9"/>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71.115295pt;width:139.9pt;height:19.150pt;mso-position-horizontal-relative:page;mso-position-vertical-relative:page;z-index:-31898112" type="#_x0000_t202" id="docshape326" filled="false" stroked="false">
              <v:textbox inset="0,0,0,0">
                <w:txbxContent>
                  <w:p>
                    <w:pPr>
                      <w:spacing w:line="278" w:lineRule="auto" w:before="9"/>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18880">
              <wp:simplePos x="0" y="0"/>
              <wp:positionH relativeFrom="page">
                <wp:posOffset>805992</wp:posOffset>
              </wp:positionH>
              <wp:positionV relativeFrom="page">
                <wp:posOffset>9872412</wp:posOffset>
              </wp:positionV>
              <wp:extent cx="2237740" cy="124460"/>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7.355286pt;width:176.2pt;height:9.8pt;mso-position-horizontal-relative:page;mso-position-vertical-relative:page;z-index:-31897600" type="#_x0000_t202" id="docshape327"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19392">
              <wp:simplePos x="0" y="0"/>
              <wp:positionH relativeFrom="page">
                <wp:posOffset>3646042</wp:posOffset>
              </wp:positionH>
              <wp:positionV relativeFrom="page">
                <wp:posOffset>10062521</wp:posOffset>
              </wp:positionV>
              <wp:extent cx="281305" cy="165735"/>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269</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089996pt;margin-top:792.324524pt;width:22.15pt;height:13.05pt;mso-position-horizontal-relative:page;mso-position-vertical-relative:page;z-index:-31897088" type="#_x0000_t202" id="docshape328"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269</w:t>
                    </w:r>
                    <w:r>
                      <w:rPr>
                        <w:rFonts w:ascii="Times New Roman"/>
                        <w:spacing w:val="-5"/>
                        <w:sz w:val="20"/>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21440">
              <wp:simplePos x="0" y="0"/>
              <wp:positionH relativeFrom="page">
                <wp:posOffset>712977</wp:posOffset>
              </wp:positionH>
              <wp:positionV relativeFrom="page">
                <wp:posOffset>9751821</wp:posOffset>
              </wp:positionV>
              <wp:extent cx="6051550" cy="218440"/>
              <wp:effectExtent l="0" t="0" r="0" b="0"/>
              <wp:wrapNone/>
              <wp:docPr id="399" name="Group 399"/>
              <wp:cNvGraphicFramePr>
                <a:graphicFrameLocks/>
              </wp:cNvGraphicFramePr>
              <a:graphic>
                <a:graphicData uri="http://schemas.microsoft.com/office/word/2010/wordprocessingGroup">
                  <wpg:wgp>
                    <wpg:cNvPr id="399" name="Group 399"/>
                    <wpg:cNvGrpSpPr/>
                    <wpg:grpSpPr>
                      <a:xfrm>
                        <a:off x="0" y="0"/>
                        <a:ext cx="6051550" cy="218440"/>
                        <a:chExt cx="6051550" cy="218440"/>
                      </a:xfrm>
                    </wpg:grpSpPr>
                    <pic:pic>
                      <pic:nvPicPr>
                        <pic:cNvPr id="400" name="Image 400"/>
                        <pic:cNvPicPr/>
                      </pic:nvPicPr>
                      <pic:blipFill>
                        <a:blip r:embed="rId1" cstate="print"/>
                        <a:stretch>
                          <a:fillRect/>
                        </a:stretch>
                      </pic:blipFill>
                      <pic:spPr>
                        <a:xfrm>
                          <a:off x="256" y="103886"/>
                          <a:ext cx="2708142" cy="108203"/>
                        </a:xfrm>
                        <a:prstGeom prst="rect">
                          <a:avLst/>
                        </a:prstGeom>
                      </pic:spPr>
                    </pic:pic>
                    <pic:pic>
                      <pic:nvPicPr>
                        <pic:cNvPr id="401" name="Image 401"/>
                        <pic:cNvPicPr/>
                      </pic:nvPicPr>
                      <pic:blipFill>
                        <a:blip r:embed="rId2" cstate="print"/>
                        <a:stretch>
                          <a:fillRect/>
                        </a:stretch>
                      </pic:blipFill>
                      <pic:spPr>
                        <a:xfrm>
                          <a:off x="6350" y="6350"/>
                          <a:ext cx="2514600" cy="197485"/>
                        </a:xfrm>
                        <a:prstGeom prst="rect">
                          <a:avLst/>
                        </a:prstGeom>
                      </pic:spPr>
                    </pic:pic>
                    <wps:wsp>
                      <wps:cNvPr id="402" name="Graphic 402"/>
                      <wps:cNvSpPr/>
                      <wps:spPr>
                        <a:xfrm>
                          <a:off x="6350" y="635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wps:wsp>
                      <wps:cNvPr id="403" name="Graphic 403"/>
                      <wps:cNvSpPr/>
                      <wps:spPr>
                        <a:xfrm>
                          <a:off x="7112" y="213258"/>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7.859985pt;width:476.5pt;height:17.2pt;mso-position-horizontal-relative:page;mso-position-vertical-relative:page;z-index:-31895040" id="docshapegroup344" coordorigin="1123,15357" coordsize="9530,344">
              <v:shape style="position:absolute;left:1123;top:15520;width:4265;height:171" type="#_x0000_t75" id="docshape345" stroked="false">
                <v:imagedata r:id="rId1" o:title=""/>
              </v:shape>
              <v:shape style="position:absolute;left:1132;top:15367;width:3960;height:311" type="#_x0000_t75" id="docshape346" stroked="false">
                <v:imagedata r:id="rId2" o:title=""/>
              </v:shape>
              <v:rect style="position:absolute;left:1132;top:15367;width:3960;height:311" id="docshape347" filled="false" stroked="true" strokeweight="1pt" strokecolor="#666666">
                <v:stroke dashstyle="solid"/>
              </v:rect>
              <v:line style="position:absolute" from="1134,15693" to="10652,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21952">
              <wp:simplePos x="0" y="0"/>
              <wp:positionH relativeFrom="page">
                <wp:posOffset>4898516</wp:posOffset>
              </wp:positionH>
              <wp:positionV relativeFrom="page">
                <wp:posOffset>9726107</wp:posOffset>
              </wp:positionV>
              <wp:extent cx="1776730" cy="241935"/>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894528" type="#_x0000_t202" id="docshape348"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22464">
              <wp:simplePos x="0" y="0"/>
              <wp:positionH relativeFrom="page">
                <wp:posOffset>805992</wp:posOffset>
              </wp:positionH>
              <wp:positionV relativeFrom="page">
                <wp:posOffset>9799260</wp:posOffset>
              </wp:positionV>
              <wp:extent cx="2237740" cy="124460"/>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595276pt;width:176.2pt;height:9.8pt;mso-position-horizontal-relative:page;mso-position-vertical-relative:page;z-index:-31894016" type="#_x0000_t202" id="docshape349"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22976">
              <wp:simplePos x="0" y="0"/>
              <wp:positionH relativeFrom="page">
                <wp:posOffset>3646042</wp:posOffset>
              </wp:positionH>
              <wp:positionV relativeFrom="page">
                <wp:posOffset>10079284</wp:posOffset>
              </wp:positionV>
              <wp:extent cx="281305" cy="165735"/>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311</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089996pt;margin-top:793.64447pt;width:22.15pt;height:13.05pt;mso-position-horizontal-relative:page;mso-position-vertical-relative:page;z-index:-31893504" type="#_x0000_t202" id="docshape350"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311</w:t>
                    </w:r>
                    <w:r>
                      <w:rPr>
                        <w:rFonts w:ascii="Times New Roman"/>
                        <w:spacing w:val="-5"/>
                        <w:sz w:val="20"/>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25024">
              <wp:simplePos x="0" y="0"/>
              <wp:positionH relativeFrom="page">
                <wp:posOffset>712977</wp:posOffset>
              </wp:positionH>
              <wp:positionV relativeFrom="page">
                <wp:posOffset>9751821</wp:posOffset>
              </wp:positionV>
              <wp:extent cx="6051550" cy="218440"/>
              <wp:effectExtent l="0" t="0" r="0" b="0"/>
              <wp:wrapNone/>
              <wp:docPr id="419" name="Group 419"/>
              <wp:cNvGraphicFramePr>
                <a:graphicFrameLocks/>
              </wp:cNvGraphicFramePr>
              <a:graphic>
                <a:graphicData uri="http://schemas.microsoft.com/office/word/2010/wordprocessingGroup">
                  <wpg:wgp>
                    <wpg:cNvPr id="419" name="Group 419"/>
                    <wpg:cNvGrpSpPr/>
                    <wpg:grpSpPr>
                      <a:xfrm>
                        <a:off x="0" y="0"/>
                        <a:ext cx="6051550" cy="218440"/>
                        <a:chExt cx="6051550" cy="218440"/>
                      </a:xfrm>
                    </wpg:grpSpPr>
                    <pic:pic>
                      <pic:nvPicPr>
                        <pic:cNvPr id="420" name="Image 420"/>
                        <pic:cNvPicPr/>
                      </pic:nvPicPr>
                      <pic:blipFill>
                        <a:blip r:embed="rId1" cstate="print"/>
                        <a:stretch>
                          <a:fillRect/>
                        </a:stretch>
                      </pic:blipFill>
                      <pic:spPr>
                        <a:xfrm>
                          <a:off x="256" y="103886"/>
                          <a:ext cx="2708142" cy="108203"/>
                        </a:xfrm>
                        <a:prstGeom prst="rect">
                          <a:avLst/>
                        </a:prstGeom>
                      </pic:spPr>
                    </pic:pic>
                    <pic:pic>
                      <pic:nvPicPr>
                        <pic:cNvPr id="421" name="Image 421"/>
                        <pic:cNvPicPr/>
                      </pic:nvPicPr>
                      <pic:blipFill>
                        <a:blip r:embed="rId2" cstate="print"/>
                        <a:stretch>
                          <a:fillRect/>
                        </a:stretch>
                      </pic:blipFill>
                      <pic:spPr>
                        <a:xfrm>
                          <a:off x="6350" y="6350"/>
                          <a:ext cx="2514600" cy="197485"/>
                        </a:xfrm>
                        <a:prstGeom prst="rect">
                          <a:avLst/>
                        </a:prstGeom>
                      </pic:spPr>
                    </pic:pic>
                    <wps:wsp>
                      <wps:cNvPr id="422" name="Graphic 422"/>
                      <wps:cNvSpPr/>
                      <wps:spPr>
                        <a:xfrm>
                          <a:off x="6350" y="635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wps:wsp>
                      <wps:cNvPr id="423" name="Graphic 423"/>
                      <wps:cNvSpPr/>
                      <wps:spPr>
                        <a:xfrm>
                          <a:off x="7112" y="213258"/>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7.859985pt;width:476.5pt;height:17.2pt;mso-position-horizontal-relative:page;mso-position-vertical-relative:page;z-index:-31891456" id="docshapegroup360" coordorigin="1123,15357" coordsize="9530,344">
              <v:shape style="position:absolute;left:1123;top:15520;width:4265;height:171" type="#_x0000_t75" id="docshape361" stroked="false">
                <v:imagedata r:id="rId1" o:title=""/>
              </v:shape>
              <v:shape style="position:absolute;left:1132;top:15367;width:3960;height:311" type="#_x0000_t75" id="docshape362" stroked="false">
                <v:imagedata r:id="rId2" o:title=""/>
              </v:shape>
              <v:rect style="position:absolute;left:1132;top:15367;width:3960;height:311" id="docshape363" filled="false" stroked="true" strokeweight="1pt" strokecolor="#666666">
                <v:stroke dashstyle="solid"/>
              </v:rect>
              <v:line style="position:absolute" from="1134,15693" to="10652,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25536">
              <wp:simplePos x="0" y="0"/>
              <wp:positionH relativeFrom="page">
                <wp:posOffset>4898516</wp:posOffset>
              </wp:positionH>
              <wp:positionV relativeFrom="page">
                <wp:posOffset>9726107</wp:posOffset>
              </wp:positionV>
              <wp:extent cx="1776730" cy="241935"/>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890944" type="#_x0000_t202" id="docshape364"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26048">
              <wp:simplePos x="0" y="0"/>
              <wp:positionH relativeFrom="page">
                <wp:posOffset>805992</wp:posOffset>
              </wp:positionH>
              <wp:positionV relativeFrom="page">
                <wp:posOffset>9799260</wp:posOffset>
              </wp:positionV>
              <wp:extent cx="2237740" cy="124460"/>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595276pt;width:176.2pt;height:9.8pt;mso-position-horizontal-relative:page;mso-position-vertical-relative:page;z-index:-31890432" type="#_x0000_t202" id="docshape365"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26560">
              <wp:simplePos x="0" y="0"/>
              <wp:positionH relativeFrom="page">
                <wp:posOffset>3646042</wp:posOffset>
              </wp:positionH>
              <wp:positionV relativeFrom="page">
                <wp:posOffset>10079284</wp:posOffset>
              </wp:positionV>
              <wp:extent cx="281305" cy="165735"/>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323</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089996pt;margin-top:793.64447pt;width:22.15pt;height:13.05pt;mso-position-horizontal-relative:page;mso-position-vertical-relative:page;z-index:-31889920" type="#_x0000_t202" id="docshape366"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323</w:t>
                    </w:r>
                    <w:r>
                      <w:rPr>
                        <w:rFonts w:ascii="Times New Roman"/>
                        <w:spacing w:val="-5"/>
                        <w:sz w:val="20"/>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28608">
              <wp:simplePos x="0" y="0"/>
              <wp:positionH relativeFrom="page">
                <wp:posOffset>712977</wp:posOffset>
              </wp:positionH>
              <wp:positionV relativeFrom="page">
                <wp:posOffset>9751821</wp:posOffset>
              </wp:positionV>
              <wp:extent cx="6051550" cy="218440"/>
              <wp:effectExtent l="0" t="0" r="0" b="0"/>
              <wp:wrapNone/>
              <wp:docPr id="434" name="Group 434"/>
              <wp:cNvGraphicFramePr>
                <a:graphicFrameLocks/>
              </wp:cNvGraphicFramePr>
              <a:graphic>
                <a:graphicData uri="http://schemas.microsoft.com/office/word/2010/wordprocessingGroup">
                  <wpg:wgp>
                    <wpg:cNvPr id="434" name="Group 434"/>
                    <wpg:cNvGrpSpPr/>
                    <wpg:grpSpPr>
                      <a:xfrm>
                        <a:off x="0" y="0"/>
                        <a:ext cx="6051550" cy="218440"/>
                        <a:chExt cx="6051550" cy="218440"/>
                      </a:xfrm>
                    </wpg:grpSpPr>
                    <pic:pic>
                      <pic:nvPicPr>
                        <pic:cNvPr id="435" name="Image 435"/>
                        <pic:cNvPicPr/>
                      </pic:nvPicPr>
                      <pic:blipFill>
                        <a:blip r:embed="rId1" cstate="print"/>
                        <a:stretch>
                          <a:fillRect/>
                        </a:stretch>
                      </pic:blipFill>
                      <pic:spPr>
                        <a:xfrm>
                          <a:off x="256" y="103886"/>
                          <a:ext cx="2708142" cy="108203"/>
                        </a:xfrm>
                        <a:prstGeom prst="rect">
                          <a:avLst/>
                        </a:prstGeom>
                      </pic:spPr>
                    </pic:pic>
                    <pic:pic>
                      <pic:nvPicPr>
                        <pic:cNvPr id="436" name="Image 436"/>
                        <pic:cNvPicPr/>
                      </pic:nvPicPr>
                      <pic:blipFill>
                        <a:blip r:embed="rId2" cstate="print"/>
                        <a:stretch>
                          <a:fillRect/>
                        </a:stretch>
                      </pic:blipFill>
                      <pic:spPr>
                        <a:xfrm>
                          <a:off x="6350" y="6350"/>
                          <a:ext cx="2514600" cy="197485"/>
                        </a:xfrm>
                        <a:prstGeom prst="rect">
                          <a:avLst/>
                        </a:prstGeom>
                      </pic:spPr>
                    </pic:pic>
                    <wps:wsp>
                      <wps:cNvPr id="437" name="Graphic 437"/>
                      <wps:cNvSpPr/>
                      <wps:spPr>
                        <a:xfrm>
                          <a:off x="6350" y="635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wps:wsp>
                      <wps:cNvPr id="438" name="Graphic 438"/>
                      <wps:cNvSpPr/>
                      <wps:spPr>
                        <a:xfrm>
                          <a:off x="7112" y="213258"/>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7.859985pt;width:476.5pt;height:17.2pt;mso-position-horizontal-relative:page;mso-position-vertical-relative:page;z-index:-31887872" id="docshapegroup373" coordorigin="1123,15357" coordsize="9530,344">
              <v:shape style="position:absolute;left:1123;top:15520;width:4265;height:171" type="#_x0000_t75" id="docshape374" stroked="false">
                <v:imagedata r:id="rId1" o:title=""/>
              </v:shape>
              <v:shape style="position:absolute;left:1132;top:15367;width:3960;height:311" type="#_x0000_t75" id="docshape375" stroked="false">
                <v:imagedata r:id="rId2" o:title=""/>
              </v:shape>
              <v:rect style="position:absolute;left:1132;top:15367;width:3960;height:311" id="docshape376" filled="false" stroked="true" strokeweight="1pt" strokecolor="#666666">
                <v:stroke dashstyle="solid"/>
              </v:rect>
              <v:line style="position:absolute" from="1134,15693" to="10652,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29120">
              <wp:simplePos x="0" y="0"/>
              <wp:positionH relativeFrom="page">
                <wp:posOffset>4898516</wp:posOffset>
              </wp:positionH>
              <wp:positionV relativeFrom="page">
                <wp:posOffset>9726107</wp:posOffset>
              </wp:positionV>
              <wp:extent cx="1776730" cy="241935"/>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887360" type="#_x0000_t202" id="docshape377"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29632">
              <wp:simplePos x="0" y="0"/>
              <wp:positionH relativeFrom="page">
                <wp:posOffset>805992</wp:posOffset>
              </wp:positionH>
              <wp:positionV relativeFrom="page">
                <wp:posOffset>9799260</wp:posOffset>
              </wp:positionV>
              <wp:extent cx="2237740" cy="124460"/>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595276pt;width:176.2pt;height:9.8pt;mso-position-horizontal-relative:page;mso-position-vertical-relative:page;z-index:-31886848" type="#_x0000_t202" id="docshape378"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30144">
              <wp:simplePos x="0" y="0"/>
              <wp:positionH relativeFrom="page">
                <wp:posOffset>3646042</wp:posOffset>
              </wp:positionH>
              <wp:positionV relativeFrom="page">
                <wp:posOffset>10079284</wp:posOffset>
              </wp:positionV>
              <wp:extent cx="281305" cy="165735"/>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326</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089996pt;margin-top:793.64447pt;width:22.15pt;height:13.05pt;mso-position-horizontal-relative:page;mso-position-vertical-relative:page;z-index:-31886336" type="#_x0000_t202" id="docshape379"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326</w:t>
                    </w:r>
                    <w:r>
                      <w:rPr>
                        <w:rFonts w:ascii="Times New Roman"/>
                        <w:spacing w:val="-5"/>
                        <w:sz w:val="20"/>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32192">
              <wp:simplePos x="0" y="0"/>
              <wp:positionH relativeFrom="page">
                <wp:posOffset>712977</wp:posOffset>
              </wp:positionH>
              <wp:positionV relativeFrom="page">
                <wp:posOffset>9751821</wp:posOffset>
              </wp:positionV>
              <wp:extent cx="6051550" cy="218440"/>
              <wp:effectExtent l="0" t="0" r="0" b="0"/>
              <wp:wrapNone/>
              <wp:docPr id="452" name="Group 452"/>
              <wp:cNvGraphicFramePr>
                <a:graphicFrameLocks/>
              </wp:cNvGraphicFramePr>
              <a:graphic>
                <a:graphicData uri="http://schemas.microsoft.com/office/word/2010/wordprocessingGroup">
                  <wpg:wgp>
                    <wpg:cNvPr id="452" name="Group 452"/>
                    <wpg:cNvGrpSpPr/>
                    <wpg:grpSpPr>
                      <a:xfrm>
                        <a:off x="0" y="0"/>
                        <a:ext cx="6051550" cy="218440"/>
                        <a:chExt cx="6051550" cy="218440"/>
                      </a:xfrm>
                    </wpg:grpSpPr>
                    <pic:pic>
                      <pic:nvPicPr>
                        <pic:cNvPr id="453" name="Image 453"/>
                        <pic:cNvPicPr/>
                      </pic:nvPicPr>
                      <pic:blipFill>
                        <a:blip r:embed="rId1" cstate="print"/>
                        <a:stretch>
                          <a:fillRect/>
                        </a:stretch>
                      </pic:blipFill>
                      <pic:spPr>
                        <a:xfrm>
                          <a:off x="256" y="103886"/>
                          <a:ext cx="2708142" cy="108203"/>
                        </a:xfrm>
                        <a:prstGeom prst="rect">
                          <a:avLst/>
                        </a:prstGeom>
                      </pic:spPr>
                    </pic:pic>
                    <pic:pic>
                      <pic:nvPicPr>
                        <pic:cNvPr id="454" name="Image 454"/>
                        <pic:cNvPicPr/>
                      </pic:nvPicPr>
                      <pic:blipFill>
                        <a:blip r:embed="rId2" cstate="print"/>
                        <a:stretch>
                          <a:fillRect/>
                        </a:stretch>
                      </pic:blipFill>
                      <pic:spPr>
                        <a:xfrm>
                          <a:off x="6350" y="6350"/>
                          <a:ext cx="2514600" cy="197485"/>
                        </a:xfrm>
                        <a:prstGeom prst="rect">
                          <a:avLst/>
                        </a:prstGeom>
                      </pic:spPr>
                    </pic:pic>
                    <wps:wsp>
                      <wps:cNvPr id="455" name="Graphic 455"/>
                      <wps:cNvSpPr/>
                      <wps:spPr>
                        <a:xfrm>
                          <a:off x="6350" y="635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wps:wsp>
                      <wps:cNvPr id="456" name="Graphic 456"/>
                      <wps:cNvSpPr/>
                      <wps:spPr>
                        <a:xfrm>
                          <a:off x="7112" y="213258"/>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7.859985pt;width:476.5pt;height:17.2pt;mso-position-horizontal-relative:page;mso-position-vertical-relative:page;z-index:-31884288" id="docshapegroup389" coordorigin="1123,15357" coordsize="9530,344">
              <v:shape style="position:absolute;left:1123;top:15520;width:4265;height:171" type="#_x0000_t75" id="docshape390" stroked="false">
                <v:imagedata r:id="rId1" o:title=""/>
              </v:shape>
              <v:shape style="position:absolute;left:1132;top:15367;width:3960;height:311" type="#_x0000_t75" id="docshape391" stroked="false">
                <v:imagedata r:id="rId2" o:title=""/>
              </v:shape>
              <v:rect style="position:absolute;left:1132;top:15367;width:3960;height:311" id="docshape392" filled="false" stroked="true" strokeweight="1pt" strokecolor="#666666">
                <v:stroke dashstyle="solid"/>
              </v:rect>
              <v:line style="position:absolute" from="1134,15693" to="10652,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32704">
              <wp:simplePos x="0" y="0"/>
              <wp:positionH relativeFrom="page">
                <wp:posOffset>805992</wp:posOffset>
              </wp:positionH>
              <wp:positionV relativeFrom="page">
                <wp:posOffset>9799260</wp:posOffset>
              </wp:positionV>
              <wp:extent cx="2237740" cy="124460"/>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595276pt;width:176.2pt;height:9.8pt;mso-position-horizontal-relative:page;mso-position-vertical-relative:page;z-index:-31883776" type="#_x0000_t202" id="docshape393"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33216">
              <wp:simplePos x="0" y="0"/>
              <wp:positionH relativeFrom="page">
                <wp:posOffset>4898516</wp:posOffset>
              </wp:positionH>
              <wp:positionV relativeFrom="page">
                <wp:posOffset>9843455</wp:posOffset>
              </wp:positionV>
              <wp:extent cx="1775460" cy="124460"/>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a:off x="0" y="0"/>
                        <a:ext cx="1775460" cy="124460"/>
                      </a:xfrm>
                      <a:prstGeom prst="rect">
                        <a:avLst/>
                      </a:prstGeom>
                    </wps:spPr>
                    <wps:txbx>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75.075256pt;width:139.8pt;height:9.8pt;mso-position-horizontal-relative:page;mso-position-vertical-relative:page;z-index:-31883264" type="#_x0000_t202" id="docshape394" filled="false" stroked="false">
              <v:textbox inset="0,0,0,0">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33728">
              <wp:simplePos x="0" y="0"/>
              <wp:positionH relativeFrom="page">
                <wp:posOffset>3646042</wp:posOffset>
              </wp:positionH>
              <wp:positionV relativeFrom="page">
                <wp:posOffset>10079284</wp:posOffset>
              </wp:positionV>
              <wp:extent cx="281305" cy="165735"/>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356</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089996pt;margin-top:793.64447pt;width:22.15pt;height:13.05pt;mso-position-horizontal-relative:page;mso-position-vertical-relative:page;z-index:-31882752" type="#_x0000_t202" id="docshape395"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356</w:t>
                    </w:r>
                    <w:r>
                      <w:rPr>
                        <w:rFonts w:ascii="Times New Roman"/>
                        <w:spacing w:val="-5"/>
                        <w:sz w:val="20"/>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35776">
              <wp:simplePos x="0" y="0"/>
              <wp:positionH relativeFrom="page">
                <wp:posOffset>712977</wp:posOffset>
              </wp:positionH>
              <wp:positionV relativeFrom="page">
                <wp:posOffset>9751821</wp:posOffset>
              </wp:positionV>
              <wp:extent cx="6051550" cy="218440"/>
              <wp:effectExtent l="0" t="0" r="0" b="0"/>
              <wp:wrapNone/>
              <wp:docPr id="471" name="Group 471"/>
              <wp:cNvGraphicFramePr>
                <a:graphicFrameLocks/>
              </wp:cNvGraphicFramePr>
              <a:graphic>
                <a:graphicData uri="http://schemas.microsoft.com/office/word/2010/wordprocessingGroup">
                  <wpg:wgp>
                    <wpg:cNvPr id="471" name="Group 471"/>
                    <wpg:cNvGrpSpPr/>
                    <wpg:grpSpPr>
                      <a:xfrm>
                        <a:off x="0" y="0"/>
                        <a:ext cx="6051550" cy="218440"/>
                        <a:chExt cx="6051550" cy="218440"/>
                      </a:xfrm>
                    </wpg:grpSpPr>
                    <pic:pic>
                      <pic:nvPicPr>
                        <pic:cNvPr id="472" name="Image 472"/>
                        <pic:cNvPicPr/>
                      </pic:nvPicPr>
                      <pic:blipFill>
                        <a:blip r:embed="rId1" cstate="print"/>
                        <a:stretch>
                          <a:fillRect/>
                        </a:stretch>
                      </pic:blipFill>
                      <pic:spPr>
                        <a:xfrm>
                          <a:off x="256" y="103886"/>
                          <a:ext cx="2708142" cy="108203"/>
                        </a:xfrm>
                        <a:prstGeom prst="rect">
                          <a:avLst/>
                        </a:prstGeom>
                      </pic:spPr>
                    </pic:pic>
                    <pic:pic>
                      <pic:nvPicPr>
                        <pic:cNvPr id="473" name="Image 473"/>
                        <pic:cNvPicPr/>
                      </pic:nvPicPr>
                      <pic:blipFill>
                        <a:blip r:embed="rId2" cstate="print"/>
                        <a:stretch>
                          <a:fillRect/>
                        </a:stretch>
                      </pic:blipFill>
                      <pic:spPr>
                        <a:xfrm>
                          <a:off x="6350" y="6350"/>
                          <a:ext cx="2514600" cy="197485"/>
                        </a:xfrm>
                        <a:prstGeom prst="rect">
                          <a:avLst/>
                        </a:prstGeom>
                      </pic:spPr>
                    </pic:pic>
                    <wps:wsp>
                      <wps:cNvPr id="474" name="Graphic 474"/>
                      <wps:cNvSpPr/>
                      <wps:spPr>
                        <a:xfrm>
                          <a:off x="6350" y="635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wps:wsp>
                      <wps:cNvPr id="475" name="Graphic 475"/>
                      <wps:cNvSpPr/>
                      <wps:spPr>
                        <a:xfrm>
                          <a:off x="7112" y="213258"/>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7.859985pt;width:476.5pt;height:17.2pt;mso-position-horizontal-relative:page;mso-position-vertical-relative:page;z-index:-31880704" id="docshapegroup406" coordorigin="1123,15357" coordsize="9530,344">
              <v:shape style="position:absolute;left:1123;top:15520;width:4265;height:171" type="#_x0000_t75" id="docshape407" stroked="false">
                <v:imagedata r:id="rId1" o:title=""/>
              </v:shape>
              <v:shape style="position:absolute;left:1132;top:15367;width:3960;height:311" type="#_x0000_t75" id="docshape408" stroked="false">
                <v:imagedata r:id="rId2" o:title=""/>
              </v:shape>
              <v:rect style="position:absolute;left:1132;top:15367;width:3960;height:311" id="docshape409" filled="false" stroked="true" strokeweight="1pt" strokecolor="#666666">
                <v:stroke dashstyle="solid"/>
              </v:rect>
              <v:line style="position:absolute" from="1134,15693" to="10652,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36288">
              <wp:simplePos x="0" y="0"/>
              <wp:positionH relativeFrom="page">
                <wp:posOffset>4898516</wp:posOffset>
              </wp:positionH>
              <wp:positionV relativeFrom="page">
                <wp:posOffset>9726107</wp:posOffset>
              </wp:positionV>
              <wp:extent cx="1776730" cy="241935"/>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880192" type="#_x0000_t202" id="docshape410"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36800">
              <wp:simplePos x="0" y="0"/>
              <wp:positionH relativeFrom="page">
                <wp:posOffset>805992</wp:posOffset>
              </wp:positionH>
              <wp:positionV relativeFrom="page">
                <wp:posOffset>9799260</wp:posOffset>
              </wp:positionV>
              <wp:extent cx="2237740" cy="124460"/>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595276pt;width:176.2pt;height:9.8pt;mso-position-horizontal-relative:page;mso-position-vertical-relative:page;z-index:-31879680" type="#_x0000_t202" id="docshape411"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37312">
              <wp:simplePos x="0" y="0"/>
              <wp:positionH relativeFrom="page">
                <wp:posOffset>3646042</wp:posOffset>
              </wp:positionH>
              <wp:positionV relativeFrom="page">
                <wp:posOffset>10079284</wp:posOffset>
              </wp:positionV>
              <wp:extent cx="281305" cy="165735"/>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360</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089996pt;margin-top:793.64447pt;width:22.15pt;height:13.05pt;mso-position-horizontal-relative:page;mso-position-vertical-relative:page;z-index:-31879168" type="#_x0000_t202" id="docshape412"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360</w:t>
                    </w:r>
                    <w:r>
                      <w:rPr>
                        <w:rFonts w:ascii="Times New Roman"/>
                        <w:spacing w:val="-5"/>
                        <w:sz w:val="20"/>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39360">
              <wp:simplePos x="0" y="0"/>
              <wp:positionH relativeFrom="page">
                <wp:posOffset>712977</wp:posOffset>
              </wp:positionH>
              <wp:positionV relativeFrom="page">
                <wp:posOffset>9756393</wp:posOffset>
              </wp:positionV>
              <wp:extent cx="6051550" cy="212090"/>
              <wp:effectExtent l="0" t="0" r="0" b="0"/>
              <wp:wrapNone/>
              <wp:docPr id="489" name="Group 489"/>
              <wp:cNvGraphicFramePr>
                <a:graphicFrameLocks/>
              </wp:cNvGraphicFramePr>
              <a:graphic>
                <a:graphicData uri="http://schemas.microsoft.com/office/word/2010/wordprocessingGroup">
                  <wpg:wgp>
                    <wpg:cNvPr id="489" name="Group 489"/>
                    <wpg:cNvGrpSpPr/>
                    <wpg:grpSpPr>
                      <a:xfrm>
                        <a:off x="0" y="0"/>
                        <a:ext cx="6051550" cy="212090"/>
                        <a:chExt cx="6051550" cy="212090"/>
                      </a:xfrm>
                    </wpg:grpSpPr>
                    <pic:pic>
                      <pic:nvPicPr>
                        <pic:cNvPr id="490" name="Image 490"/>
                        <pic:cNvPicPr/>
                      </pic:nvPicPr>
                      <pic:blipFill>
                        <a:blip r:embed="rId1" cstate="print"/>
                        <a:stretch>
                          <a:fillRect/>
                        </a:stretch>
                      </pic:blipFill>
                      <pic:spPr>
                        <a:xfrm>
                          <a:off x="256" y="103886"/>
                          <a:ext cx="2708142" cy="108203"/>
                        </a:xfrm>
                        <a:prstGeom prst="rect">
                          <a:avLst/>
                        </a:prstGeom>
                      </pic:spPr>
                    </pic:pic>
                    <pic:pic>
                      <pic:nvPicPr>
                        <pic:cNvPr id="491" name="Image 491"/>
                        <pic:cNvPicPr/>
                      </pic:nvPicPr>
                      <pic:blipFill>
                        <a:blip r:embed="rId2" cstate="print"/>
                        <a:stretch>
                          <a:fillRect/>
                        </a:stretch>
                      </pic:blipFill>
                      <pic:spPr>
                        <a:xfrm>
                          <a:off x="6350" y="6350"/>
                          <a:ext cx="2514600" cy="197485"/>
                        </a:xfrm>
                        <a:prstGeom prst="rect">
                          <a:avLst/>
                        </a:prstGeom>
                      </pic:spPr>
                    </pic:pic>
                    <wps:wsp>
                      <wps:cNvPr id="492" name="Graphic 492"/>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493" name="Graphic 493"/>
                      <wps:cNvSpPr/>
                      <wps:spPr>
                        <a:xfrm>
                          <a:off x="7112" y="205511"/>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8.219971pt;width:476.5pt;height:16.7pt;mso-position-horizontal-relative:page;mso-position-vertical-relative:page;z-index:-31877120" id="docshapegroup421" coordorigin="1123,15364" coordsize="9530,334">
              <v:shape style="position:absolute;left:1123;top:15528;width:4265;height:171" type="#_x0000_t75" id="docshape422" stroked="false">
                <v:imagedata r:id="rId1" o:title=""/>
              </v:shape>
              <v:shape style="position:absolute;left:1132;top:15374;width:3960;height:311" type="#_x0000_t75" id="docshape423" stroked="false">
                <v:imagedata r:id="rId2" o:title=""/>
              </v:shape>
              <v:rect style="position:absolute;left:1132;top:15374;width:3960;height:311" id="docshape424" filled="false" stroked="true" strokeweight="1pt" strokecolor="#666666">
                <v:stroke dashstyle="solid"/>
              </v:rect>
              <v:line style="position:absolute" from="1134,15688" to="10652,15688"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39872">
              <wp:simplePos x="0" y="0"/>
              <wp:positionH relativeFrom="page">
                <wp:posOffset>4898516</wp:posOffset>
              </wp:positionH>
              <wp:positionV relativeFrom="page">
                <wp:posOffset>9726107</wp:posOffset>
              </wp:positionV>
              <wp:extent cx="1776730" cy="241935"/>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876608" type="#_x0000_t202" id="docshape425"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40384">
              <wp:simplePos x="0" y="0"/>
              <wp:positionH relativeFrom="page">
                <wp:posOffset>805992</wp:posOffset>
              </wp:positionH>
              <wp:positionV relativeFrom="page">
                <wp:posOffset>9803831</wp:posOffset>
              </wp:positionV>
              <wp:extent cx="2237740" cy="124460"/>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955261pt;width:176.2pt;height:9.8pt;mso-position-horizontal-relative:page;mso-position-vertical-relative:page;z-index:-31876096" type="#_x0000_t202" id="docshape426"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40896">
              <wp:simplePos x="0" y="0"/>
              <wp:positionH relativeFrom="page">
                <wp:posOffset>3646042</wp:posOffset>
              </wp:positionH>
              <wp:positionV relativeFrom="page">
                <wp:posOffset>10079284</wp:posOffset>
              </wp:positionV>
              <wp:extent cx="281305" cy="165735"/>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363</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089996pt;margin-top:793.64447pt;width:22.15pt;height:13.05pt;mso-position-horizontal-relative:page;mso-position-vertical-relative:page;z-index:-31875584" type="#_x0000_t202" id="docshape427"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363</w:t>
                    </w:r>
                    <w:r>
                      <w:rPr>
                        <w:rFonts w:ascii="Times New Roman"/>
                        <w:spacing w:val="-5"/>
                        <w:sz w:val="20"/>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42944">
              <wp:simplePos x="0" y="0"/>
              <wp:positionH relativeFrom="page">
                <wp:posOffset>712977</wp:posOffset>
              </wp:positionH>
              <wp:positionV relativeFrom="page">
                <wp:posOffset>9756393</wp:posOffset>
              </wp:positionV>
              <wp:extent cx="6051550" cy="212090"/>
              <wp:effectExtent l="0" t="0" r="0" b="0"/>
              <wp:wrapNone/>
              <wp:docPr id="509" name="Group 509"/>
              <wp:cNvGraphicFramePr>
                <a:graphicFrameLocks/>
              </wp:cNvGraphicFramePr>
              <a:graphic>
                <a:graphicData uri="http://schemas.microsoft.com/office/word/2010/wordprocessingGroup">
                  <wpg:wgp>
                    <wpg:cNvPr id="509" name="Group 509"/>
                    <wpg:cNvGrpSpPr/>
                    <wpg:grpSpPr>
                      <a:xfrm>
                        <a:off x="0" y="0"/>
                        <a:ext cx="6051550" cy="212090"/>
                        <a:chExt cx="6051550" cy="212090"/>
                      </a:xfrm>
                    </wpg:grpSpPr>
                    <pic:pic>
                      <pic:nvPicPr>
                        <pic:cNvPr id="510" name="Image 510"/>
                        <pic:cNvPicPr/>
                      </pic:nvPicPr>
                      <pic:blipFill>
                        <a:blip r:embed="rId1" cstate="print"/>
                        <a:stretch>
                          <a:fillRect/>
                        </a:stretch>
                      </pic:blipFill>
                      <pic:spPr>
                        <a:xfrm>
                          <a:off x="256" y="103886"/>
                          <a:ext cx="2708142" cy="108203"/>
                        </a:xfrm>
                        <a:prstGeom prst="rect">
                          <a:avLst/>
                        </a:prstGeom>
                      </pic:spPr>
                    </pic:pic>
                    <pic:pic>
                      <pic:nvPicPr>
                        <pic:cNvPr id="511" name="Image 511"/>
                        <pic:cNvPicPr/>
                      </pic:nvPicPr>
                      <pic:blipFill>
                        <a:blip r:embed="rId2" cstate="print"/>
                        <a:stretch>
                          <a:fillRect/>
                        </a:stretch>
                      </pic:blipFill>
                      <pic:spPr>
                        <a:xfrm>
                          <a:off x="6350" y="6350"/>
                          <a:ext cx="2514600" cy="197485"/>
                        </a:xfrm>
                        <a:prstGeom prst="rect">
                          <a:avLst/>
                        </a:prstGeom>
                      </pic:spPr>
                    </pic:pic>
                    <wps:wsp>
                      <wps:cNvPr id="512" name="Graphic 512"/>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513" name="Graphic 513"/>
                      <wps:cNvSpPr/>
                      <wps:spPr>
                        <a:xfrm>
                          <a:off x="7112" y="205511"/>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8.219971pt;width:476.5pt;height:16.7pt;mso-position-horizontal-relative:page;mso-position-vertical-relative:page;z-index:-31873536" id="docshapegroup438" coordorigin="1123,15364" coordsize="9530,334">
              <v:shape style="position:absolute;left:1123;top:15528;width:4265;height:171" type="#_x0000_t75" id="docshape439" stroked="false">
                <v:imagedata r:id="rId1" o:title=""/>
              </v:shape>
              <v:shape style="position:absolute;left:1132;top:15374;width:3960;height:311" type="#_x0000_t75" id="docshape440" stroked="false">
                <v:imagedata r:id="rId2" o:title=""/>
              </v:shape>
              <v:rect style="position:absolute;left:1132;top:15374;width:3960;height:311" id="docshape441" filled="false" stroked="true" strokeweight="1pt" strokecolor="#666666">
                <v:stroke dashstyle="solid"/>
              </v:rect>
              <v:line style="position:absolute" from="1134,15688" to="10652,15688"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43456">
              <wp:simplePos x="0" y="0"/>
              <wp:positionH relativeFrom="page">
                <wp:posOffset>4898516</wp:posOffset>
              </wp:positionH>
              <wp:positionV relativeFrom="page">
                <wp:posOffset>9726107</wp:posOffset>
              </wp:positionV>
              <wp:extent cx="1776730" cy="241935"/>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873024" type="#_x0000_t202" id="docshape442"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43968">
              <wp:simplePos x="0" y="0"/>
              <wp:positionH relativeFrom="page">
                <wp:posOffset>805992</wp:posOffset>
              </wp:positionH>
              <wp:positionV relativeFrom="page">
                <wp:posOffset>9803831</wp:posOffset>
              </wp:positionV>
              <wp:extent cx="2237740" cy="124460"/>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955261pt;width:176.2pt;height:9.8pt;mso-position-horizontal-relative:page;mso-position-vertical-relative:page;z-index:-31872512" type="#_x0000_t202" id="docshape443"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44480">
              <wp:simplePos x="0" y="0"/>
              <wp:positionH relativeFrom="page">
                <wp:posOffset>3646042</wp:posOffset>
              </wp:positionH>
              <wp:positionV relativeFrom="page">
                <wp:posOffset>10079284</wp:posOffset>
              </wp:positionV>
              <wp:extent cx="281305" cy="165735"/>
              <wp:effectExtent l="0" t="0" r="0" b="0"/>
              <wp:wrapNone/>
              <wp:docPr id="516" name="Textbox 516"/>
              <wp:cNvGraphicFramePr>
                <a:graphicFrameLocks/>
              </wp:cNvGraphicFramePr>
              <a:graphic>
                <a:graphicData uri="http://schemas.microsoft.com/office/word/2010/wordprocessingShape">
                  <wps:wsp>
                    <wps:cNvPr id="516" name="Textbox 516"/>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373</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089996pt;margin-top:793.64447pt;width:22.15pt;height:13.05pt;mso-position-horizontal-relative:page;mso-position-vertical-relative:page;z-index:-31872000" type="#_x0000_t202" id="docshape444"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373</w:t>
                    </w:r>
                    <w:r>
                      <w:rPr>
                        <w:rFonts w:ascii="Times New Roman"/>
                        <w:spacing w:val="-5"/>
                        <w:sz w:val="20"/>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46528">
              <wp:simplePos x="0" y="0"/>
              <wp:positionH relativeFrom="page">
                <wp:posOffset>712977</wp:posOffset>
              </wp:positionH>
              <wp:positionV relativeFrom="page">
                <wp:posOffset>9805161</wp:posOffset>
              </wp:positionV>
              <wp:extent cx="6051550" cy="212090"/>
              <wp:effectExtent l="0" t="0" r="0" b="0"/>
              <wp:wrapNone/>
              <wp:docPr id="524" name="Group 524"/>
              <wp:cNvGraphicFramePr>
                <a:graphicFrameLocks/>
              </wp:cNvGraphicFramePr>
              <a:graphic>
                <a:graphicData uri="http://schemas.microsoft.com/office/word/2010/wordprocessingGroup">
                  <wpg:wgp>
                    <wpg:cNvPr id="524" name="Group 524"/>
                    <wpg:cNvGrpSpPr/>
                    <wpg:grpSpPr>
                      <a:xfrm>
                        <a:off x="0" y="0"/>
                        <a:ext cx="6051550" cy="212090"/>
                        <a:chExt cx="6051550" cy="212090"/>
                      </a:xfrm>
                    </wpg:grpSpPr>
                    <pic:pic>
                      <pic:nvPicPr>
                        <pic:cNvPr id="525" name="Image 525"/>
                        <pic:cNvPicPr/>
                      </pic:nvPicPr>
                      <pic:blipFill>
                        <a:blip r:embed="rId1" cstate="print"/>
                        <a:stretch>
                          <a:fillRect/>
                        </a:stretch>
                      </pic:blipFill>
                      <pic:spPr>
                        <a:xfrm>
                          <a:off x="256" y="103886"/>
                          <a:ext cx="2708142" cy="108203"/>
                        </a:xfrm>
                        <a:prstGeom prst="rect">
                          <a:avLst/>
                        </a:prstGeom>
                      </pic:spPr>
                    </pic:pic>
                    <pic:pic>
                      <pic:nvPicPr>
                        <pic:cNvPr id="526" name="Image 526"/>
                        <pic:cNvPicPr/>
                      </pic:nvPicPr>
                      <pic:blipFill>
                        <a:blip r:embed="rId2" cstate="print"/>
                        <a:stretch>
                          <a:fillRect/>
                        </a:stretch>
                      </pic:blipFill>
                      <pic:spPr>
                        <a:xfrm>
                          <a:off x="6350" y="6350"/>
                          <a:ext cx="2514600" cy="197484"/>
                        </a:xfrm>
                        <a:prstGeom prst="rect">
                          <a:avLst/>
                        </a:prstGeom>
                      </pic:spPr>
                    </pic:pic>
                    <wps:wsp>
                      <wps:cNvPr id="527" name="Graphic 527"/>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528" name="Graphic 528"/>
                      <wps:cNvSpPr/>
                      <wps:spPr>
                        <a:xfrm>
                          <a:off x="7112" y="205638"/>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72.059998pt;width:476.5pt;height:16.7pt;mso-position-horizontal-relative:page;mso-position-vertical-relative:page;z-index:-31869952" id="docshapegroup451" coordorigin="1123,15441" coordsize="9530,334">
              <v:shape style="position:absolute;left:1123;top:15604;width:4265;height:171" type="#_x0000_t75" id="docshape452" stroked="false">
                <v:imagedata r:id="rId1" o:title=""/>
              </v:shape>
              <v:shape style="position:absolute;left:1132;top:15451;width:3960;height:311" type="#_x0000_t75" id="docshape453" stroked="false">
                <v:imagedata r:id="rId2" o:title=""/>
              </v:shape>
              <v:rect style="position:absolute;left:1132;top:15451;width:3960;height:311" id="docshape454" filled="false" stroked="true" strokeweight="1pt" strokecolor="#666666">
                <v:stroke dashstyle="solid"/>
              </v:rect>
              <v:line style="position:absolute" from="1134,15765" to="10652,15765"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47040">
              <wp:simplePos x="0" y="0"/>
              <wp:positionH relativeFrom="page">
                <wp:posOffset>4898516</wp:posOffset>
              </wp:positionH>
              <wp:positionV relativeFrom="page">
                <wp:posOffset>9774876</wp:posOffset>
              </wp:positionV>
              <wp:extent cx="1776730" cy="241935"/>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9.675293pt;width:139.9pt;height:19.05pt;mso-position-horizontal-relative:page;mso-position-vertical-relative:page;z-index:-31869440" type="#_x0000_t202" id="docshape455"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47552">
              <wp:simplePos x="0" y="0"/>
              <wp:positionH relativeFrom="page">
                <wp:posOffset>805992</wp:posOffset>
              </wp:positionH>
              <wp:positionV relativeFrom="page">
                <wp:posOffset>9852600</wp:posOffset>
              </wp:positionV>
              <wp:extent cx="2237740" cy="124460"/>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5.795288pt;width:176.2pt;height:9.8pt;mso-position-horizontal-relative:page;mso-position-vertical-relative:page;z-index:-31868928" type="#_x0000_t202" id="docshape456"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48064">
              <wp:simplePos x="0" y="0"/>
              <wp:positionH relativeFrom="page">
                <wp:posOffset>3646042</wp:posOffset>
              </wp:positionH>
              <wp:positionV relativeFrom="page">
                <wp:posOffset>10079284</wp:posOffset>
              </wp:positionV>
              <wp:extent cx="281305" cy="165735"/>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375</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089996pt;margin-top:793.64447pt;width:22.15pt;height:13.05pt;mso-position-horizontal-relative:page;mso-position-vertical-relative:page;z-index:-31868416" type="#_x0000_t202" id="docshape457"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375</w:t>
                    </w:r>
                    <w:r>
                      <w:rPr>
                        <w:rFonts w:ascii="Times New Roman"/>
                        <w:spacing w:val="-5"/>
                        <w:sz w:val="20"/>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50112">
              <wp:simplePos x="0" y="0"/>
              <wp:positionH relativeFrom="page">
                <wp:posOffset>712977</wp:posOffset>
              </wp:positionH>
              <wp:positionV relativeFrom="page">
                <wp:posOffset>9756393</wp:posOffset>
              </wp:positionV>
              <wp:extent cx="6051550" cy="212090"/>
              <wp:effectExtent l="0" t="0" r="0" b="0"/>
              <wp:wrapNone/>
              <wp:docPr id="539" name="Group 539"/>
              <wp:cNvGraphicFramePr>
                <a:graphicFrameLocks/>
              </wp:cNvGraphicFramePr>
              <a:graphic>
                <a:graphicData uri="http://schemas.microsoft.com/office/word/2010/wordprocessingGroup">
                  <wpg:wgp>
                    <wpg:cNvPr id="539" name="Group 539"/>
                    <wpg:cNvGrpSpPr/>
                    <wpg:grpSpPr>
                      <a:xfrm>
                        <a:off x="0" y="0"/>
                        <a:ext cx="6051550" cy="212090"/>
                        <a:chExt cx="6051550" cy="212090"/>
                      </a:xfrm>
                    </wpg:grpSpPr>
                    <pic:pic>
                      <pic:nvPicPr>
                        <pic:cNvPr id="540" name="Image 540"/>
                        <pic:cNvPicPr/>
                      </pic:nvPicPr>
                      <pic:blipFill>
                        <a:blip r:embed="rId1" cstate="print"/>
                        <a:stretch>
                          <a:fillRect/>
                        </a:stretch>
                      </pic:blipFill>
                      <pic:spPr>
                        <a:xfrm>
                          <a:off x="256" y="103886"/>
                          <a:ext cx="2708142" cy="108203"/>
                        </a:xfrm>
                        <a:prstGeom prst="rect">
                          <a:avLst/>
                        </a:prstGeom>
                      </pic:spPr>
                    </pic:pic>
                    <pic:pic>
                      <pic:nvPicPr>
                        <pic:cNvPr id="541" name="Image 541"/>
                        <pic:cNvPicPr/>
                      </pic:nvPicPr>
                      <pic:blipFill>
                        <a:blip r:embed="rId2" cstate="print"/>
                        <a:stretch>
                          <a:fillRect/>
                        </a:stretch>
                      </pic:blipFill>
                      <pic:spPr>
                        <a:xfrm>
                          <a:off x="6350" y="6350"/>
                          <a:ext cx="2514600" cy="197485"/>
                        </a:xfrm>
                        <a:prstGeom prst="rect">
                          <a:avLst/>
                        </a:prstGeom>
                      </pic:spPr>
                    </pic:pic>
                    <wps:wsp>
                      <wps:cNvPr id="542" name="Graphic 542"/>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543" name="Graphic 543"/>
                      <wps:cNvSpPr/>
                      <wps:spPr>
                        <a:xfrm>
                          <a:off x="7112" y="205422"/>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8.219971pt;width:476.5pt;height:16.7pt;mso-position-horizontal-relative:page;mso-position-vertical-relative:page;z-index:-31866368" id="docshapegroup464" coordorigin="1123,15364" coordsize="9530,334">
              <v:shape style="position:absolute;left:1123;top:15528;width:4265;height:171" type="#_x0000_t75" id="docshape465" stroked="false">
                <v:imagedata r:id="rId1" o:title=""/>
              </v:shape>
              <v:shape style="position:absolute;left:1132;top:15374;width:3960;height:311" type="#_x0000_t75" id="docshape466" stroked="false">
                <v:imagedata r:id="rId2" o:title=""/>
              </v:shape>
              <v:rect style="position:absolute;left:1132;top:15374;width:3960;height:311" id="docshape467" filled="false" stroked="true" strokeweight="1pt" strokecolor="#666666">
                <v:stroke dashstyle="solid"/>
              </v:rect>
              <v:line style="position:absolute" from="1134,15688" to="10652,15688"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50624">
              <wp:simplePos x="0" y="0"/>
              <wp:positionH relativeFrom="page">
                <wp:posOffset>4898516</wp:posOffset>
              </wp:positionH>
              <wp:positionV relativeFrom="page">
                <wp:posOffset>9726107</wp:posOffset>
              </wp:positionV>
              <wp:extent cx="1776730" cy="241935"/>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865856" type="#_x0000_t202" id="docshape468"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51136">
              <wp:simplePos x="0" y="0"/>
              <wp:positionH relativeFrom="page">
                <wp:posOffset>805992</wp:posOffset>
              </wp:positionH>
              <wp:positionV relativeFrom="page">
                <wp:posOffset>9803831</wp:posOffset>
              </wp:positionV>
              <wp:extent cx="2237740" cy="12446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955261pt;width:176.2pt;height:9.8pt;mso-position-horizontal-relative:page;mso-position-vertical-relative:page;z-index:-31865344" type="#_x0000_t202" id="docshape469"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51648">
              <wp:simplePos x="0" y="0"/>
              <wp:positionH relativeFrom="page">
                <wp:posOffset>3635375</wp:posOffset>
              </wp:positionH>
              <wp:positionV relativeFrom="page">
                <wp:posOffset>10079227</wp:posOffset>
              </wp:positionV>
              <wp:extent cx="301625" cy="165735"/>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a:off x="0" y="0"/>
                        <a:ext cx="30162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387</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25pt;margin-top:793.639954pt;width:23.75pt;height:13.05pt;mso-position-horizontal-relative:page;mso-position-vertical-relative:page;z-index:-31864832" type="#_x0000_t202" id="docshape470"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387</w:t>
                    </w:r>
                    <w:r>
                      <w:rPr>
                        <w:rFonts w:ascii="Calibri"/>
                        <w:spacing w:val="-5"/>
                        <w:sz w:val="22"/>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53696">
              <wp:simplePos x="0" y="0"/>
              <wp:positionH relativeFrom="page">
                <wp:posOffset>712977</wp:posOffset>
              </wp:positionH>
              <wp:positionV relativeFrom="page">
                <wp:posOffset>9754869</wp:posOffset>
              </wp:positionV>
              <wp:extent cx="6051550" cy="212090"/>
              <wp:effectExtent l="0" t="0" r="0" b="0"/>
              <wp:wrapNone/>
              <wp:docPr id="554" name="Group 554"/>
              <wp:cNvGraphicFramePr>
                <a:graphicFrameLocks/>
              </wp:cNvGraphicFramePr>
              <a:graphic>
                <a:graphicData uri="http://schemas.microsoft.com/office/word/2010/wordprocessingGroup">
                  <wpg:wgp>
                    <wpg:cNvPr id="554" name="Group 554"/>
                    <wpg:cNvGrpSpPr/>
                    <wpg:grpSpPr>
                      <a:xfrm>
                        <a:off x="0" y="0"/>
                        <a:ext cx="6051550" cy="212090"/>
                        <a:chExt cx="6051550" cy="212090"/>
                      </a:xfrm>
                    </wpg:grpSpPr>
                    <pic:pic>
                      <pic:nvPicPr>
                        <pic:cNvPr id="555" name="Image 555"/>
                        <pic:cNvPicPr/>
                      </pic:nvPicPr>
                      <pic:blipFill>
                        <a:blip r:embed="rId1" cstate="print"/>
                        <a:stretch>
                          <a:fillRect/>
                        </a:stretch>
                      </pic:blipFill>
                      <pic:spPr>
                        <a:xfrm>
                          <a:off x="256" y="103886"/>
                          <a:ext cx="2708142" cy="108204"/>
                        </a:xfrm>
                        <a:prstGeom prst="rect">
                          <a:avLst/>
                        </a:prstGeom>
                      </pic:spPr>
                    </pic:pic>
                    <pic:pic>
                      <pic:nvPicPr>
                        <pic:cNvPr id="556" name="Image 556"/>
                        <pic:cNvPicPr/>
                      </pic:nvPicPr>
                      <pic:blipFill>
                        <a:blip r:embed="rId2" cstate="print"/>
                        <a:stretch>
                          <a:fillRect/>
                        </a:stretch>
                      </pic:blipFill>
                      <pic:spPr>
                        <a:xfrm>
                          <a:off x="6350" y="6350"/>
                          <a:ext cx="2514600" cy="197485"/>
                        </a:xfrm>
                        <a:prstGeom prst="rect">
                          <a:avLst/>
                        </a:prstGeom>
                      </pic:spPr>
                    </pic:pic>
                    <wps:wsp>
                      <wps:cNvPr id="557" name="Graphic 557"/>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558" name="Graphic 558"/>
                      <wps:cNvSpPr/>
                      <wps:spPr>
                        <a:xfrm>
                          <a:off x="7112" y="20694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8.099976pt;width:476.5pt;height:16.7pt;mso-position-horizontal-relative:page;mso-position-vertical-relative:page;z-index:-31862784" id="docshapegroup477" coordorigin="1123,15362" coordsize="9530,334">
              <v:shape style="position:absolute;left:1123;top:15525;width:4265;height:171" type="#_x0000_t75" id="docshape478" stroked="false">
                <v:imagedata r:id="rId1" o:title=""/>
              </v:shape>
              <v:shape style="position:absolute;left:1132;top:15372;width:3960;height:311" type="#_x0000_t75" id="docshape479" stroked="false">
                <v:imagedata r:id="rId2" o:title=""/>
              </v:shape>
              <v:rect style="position:absolute;left:1132;top:15372;width:3960;height:311" id="docshape480" filled="false" stroked="true" strokeweight="1pt" strokecolor="#666666">
                <v:stroke dashstyle="solid"/>
              </v:rect>
              <v:line style="position:absolute" from="1134,15688" to="10652,15688"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54208">
              <wp:simplePos x="0" y="0"/>
              <wp:positionH relativeFrom="page">
                <wp:posOffset>4898516</wp:posOffset>
              </wp:positionH>
              <wp:positionV relativeFrom="page">
                <wp:posOffset>9726107</wp:posOffset>
              </wp:positionV>
              <wp:extent cx="1776730" cy="241935"/>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862272" type="#_x0000_t202" id="docshape481"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54720">
              <wp:simplePos x="0" y="0"/>
              <wp:positionH relativeFrom="page">
                <wp:posOffset>805992</wp:posOffset>
              </wp:positionH>
              <wp:positionV relativeFrom="page">
                <wp:posOffset>9803831</wp:posOffset>
              </wp:positionV>
              <wp:extent cx="2237740" cy="124460"/>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955261pt;width:176.2pt;height:9.8pt;mso-position-horizontal-relative:page;mso-position-vertical-relative:page;z-index:-31861760" type="#_x0000_t202" id="docshape482"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55232">
              <wp:simplePos x="0" y="0"/>
              <wp:positionH relativeFrom="page">
                <wp:posOffset>3635375</wp:posOffset>
              </wp:positionH>
              <wp:positionV relativeFrom="page">
                <wp:posOffset>10079227</wp:posOffset>
              </wp:positionV>
              <wp:extent cx="301625" cy="165735"/>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30162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393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25pt;margin-top:793.639954pt;width:23.75pt;height:13.05pt;mso-position-horizontal-relative:page;mso-position-vertical-relative:page;z-index:-31861248" type="#_x0000_t202" id="docshape483"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393</w:t>
                    </w:r>
                    <w:r>
                      <w:rPr>
                        <w:rFonts w:ascii="Calibri"/>
                        <w:spacing w:val="-5"/>
                        <w:sz w:val="22"/>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57280">
              <wp:simplePos x="0" y="0"/>
              <wp:positionH relativeFrom="page">
                <wp:posOffset>712977</wp:posOffset>
              </wp:positionH>
              <wp:positionV relativeFrom="page">
                <wp:posOffset>9754869</wp:posOffset>
              </wp:positionV>
              <wp:extent cx="6051550" cy="212090"/>
              <wp:effectExtent l="0" t="0" r="0" b="0"/>
              <wp:wrapNone/>
              <wp:docPr id="569" name="Group 569"/>
              <wp:cNvGraphicFramePr>
                <a:graphicFrameLocks/>
              </wp:cNvGraphicFramePr>
              <a:graphic>
                <a:graphicData uri="http://schemas.microsoft.com/office/word/2010/wordprocessingGroup">
                  <wpg:wgp>
                    <wpg:cNvPr id="569" name="Group 569"/>
                    <wpg:cNvGrpSpPr/>
                    <wpg:grpSpPr>
                      <a:xfrm>
                        <a:off x="0" y="0"/>
                        <a:ext cx="6051550" cy="212090"/>
                        <a:chExt cx="6051550" cy="212090"/>
                      </a:xfrm>
                    </wpg:grpSpPr>
                    <pic:pic>
                      <pic:nvPicPr>
                        <pic:cNvPr id="570" name="Image 570"/>
                        <pic:cNvPicPr/>
                      </pic:nvPicPr>
                      <pic:blipFill>
                        <a:blip r:embed="rId1" cstate="print"/>
                        <a:stretch>
                          <a:fillRect/>
                        </a:stretch>
                      </pic:blipFill>
                      <pic:spPr>
                        <a:xfrm>
                          <a:off x="256" y="103886"/>
                          <a:ext cx="2708142" cy="108204"/>
                        </a:xfrm>
                        <a:prstGeom prst="rect">
                          <a:avLst/>
                        </a:prstGeom>
                      </pic:spPr>
                    </pic:pic>
                    <pic:pic>
                      <pic:nvPicPr>
                        <pic:cNvPr id="571" name="Image 571"/>
                        <pic:cNvPicPr/>
                      </pic:nvPicPr>
                      <pic:blipFill>
                        <a:blip r:embed="rId2" cstate="print"/>
                        <a:stretch>
                          <a:fillRect/>
                        </a:stretch>
                      </pic:blipFill>
                      <pic:spPr>
                        <a:xfrm>
                          <a:off x="6350" y="6350"/>
                          <a:ext cx="2514600" cy="197485"/>
                        </a:xfrm>
                        <a:prstGeom prst="rect">
                          <a:avLst/>
                        </a:prstGeom>
                      </pic:spPr>
                    </pic:pic>
                    <wps:wsp>
                      <wps:cNvPr id="572" name="Graphic 572"/>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573" name="Graphic 573"/>
                      <wps:cNvSpPr/>
                      <wps:spPr>
                        <a:xfrm>
                          <a:off x="7112" y="20694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8.099976pt;width:476.5pt;height:16.7pt;mso-position-horizontal-relative:page;mso-position-vertical-relative:page;z-index:-31859200" id="docshapegroup490" coordorigin="1123,15362" coordsize="9530,334">
              <v:shape style="position:absolute;left:1123;top:15525;width:4265;height:171" type="#_x0000_t75" id="docshape491" stroked="false">
                <v:imagedata r:id="rId1" o:title=""/>
              </v:shape>
              <v:shape style="position:absolute;left:1132;top:15372;width:3960;height:311" type="#_x0000_t75" id="docshape492" stroked="false">
                <v:imagedata r:id="rId2" o:title=""/>
              </v:shape>
              <v:rect style="position:absolute;left:1132;top:15372;width:3960;height:311" id="docshape493" filled="false" stroked="true" strokeweight="1pt" strokecolor="#666666">
                <v:stroke dashstyle="solid"/>
              </v:rect>
              <v:line style="position:absolute" from="1134,15688" to="10652,15688"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57792">
              <wp:simplePos x="0" y="0"/>
              <wp:positionH relativeFrom="page">
                <wp:posOffset>805992</wp:posOffset>
              </wp:positionH>
              <wp:positionV relativeFrom="page">
                <wp:posOffset>9803831</wp:posOffset>
              </wp:positionV>
              <wp:extent cx="2237740" cy="124460"/>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955261pt;width:176.2pt;height:9.8pt;mso-position-horizontal-relative:page;mso-position-vertical-relative:page;z-index:-31858688" type="#_x0000_t202" id="docshape494"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58304">
              <wp:simplePos x="0" y="0"/>
              <wp:positionH relativeFrom="page">
                <wp:posOffset>4898516</wp:posOffset>
              </wp:positionH>
              <wp:positionV relativeFrom="page">
                <wp:posOffset>9843455</wp:posOffset>
              </wp:positionV>
              <wp:extent cx="1775460" cy="124460"/>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1775460" cy="124460"/>
                      </a:xfrm>
                      <a:prstGeom prst="rect">
                        <a:avLst/>
                      </a:prstGeom>
                    </wps:spPr>
                    <wps:txbx>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75.075256pt;width:139.8pt;height:9.8pt;mso-position-horizontal-relative:page;mso-position-vertical-relative:page;z-index:-31858176" type="#_x0000_t202" id="docshape495" filled="false" stroked="false">
              <v:textbox inset="0,0,0,0">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58816">
              <wp:simplePos x="0" y="0"/>
              <wp:positionH relativeFrom="page">
                <wp:posOffset>3635375</wp:posOffset>
              </wp:positionH>
              <wp:positionV relativeFrom="page">
                <wp:posOffset>10079227</wp:posOffset>
              </wp:positionV>
              <wp:extent cx="301625" cy="165735"/>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30162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394</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25pt;margin-top:793.639954pt;width:23.75pt;height:13.05pt;mso-position-horizontal-relative:page;mso-position-vertical-relative:page;z-index:-31857664" type="#_x0000_t202" id="docshape496"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394</w:t>
                    </w:r>
                    <w:r>
                      <w:rPr>
                        <w:rFonts w:ascii="Calibri"/>
                        <w:spacing w:val="-5"/>
                        <w:sz w:val="22"/>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60864">
              <wp:simplePos x="0" y="0"/>
              <wp:positionH relativeFrom="page">
                <wp:posOffset>712977</wp:posOffset>
              </wp:positionH>
              <wp:positionV relativeFrom="page">
                <wp:posOffset>9754869</wp:posOffset>
              </wp:positionV>
              <wp:extent cx="6051550" cy="212090"/>
              <wp:effectExtent l="0" t="0" r="0" b="0"/>
              <wp:wrapNone/>
              <wp:docPr id="585" name="Group 585"/>
              <wp:cNvGraphicFramePr>
                <a:graphicFrameLocks/>
              </wp:cNvGraphicFramePr>
              <a:graphic>
                <a:graphicData uri="http://schemas.microsoft.com/office/word/2010/wordprocessingGroup">
                  <wpg:wgp>
                    <wpg:cNvPr id="585" name="Group 585"/>
                    <wpg:cNvGrpSpPr/>
                    <wpg:grpSpPr>
                      <a:xfrm>
                        <a:off x="0" y="0"/>
                        <a:ext cx="6051550" cy="212090"/>
                        <a:chExt cx="6051550" cy="212090"/>
                      </a:xfrm>
                    </wpg:grpSpPr>
                    <pic:pic>
                      <pic:nvPicPr>
                        <pic:cNvPr id="586" name="Image 586"/>
                        <pic:cNvPicPr/>
                      </pic:nvPicPr>
                      <pic:blipFill>
                        <a:blip r:embed="rId1" cstate="print"/>
                        <a:stretch>
                          <a:fillRect/>
                        </a:stretch>
                      </pic:blipFill>
                      <pic:spPr>
                        <a:xfrm>
                          <a:off x="256" y="103886"/>
                          <a:ext cx="2708142" cy="108204"/>
                        </a:xfrm>
                        <a:prstGeom prst="rect">
                          <a:avLst/>
                        </a:prstGeom>
                      </pic:spPr>
                    </pic:pic>
                    <pic:pic>
                      <pic:nvPicPr>
                        <pic:cNvPr id="587" name="Image 587"/>
                        <pic:cNvPicPr/>
                      </pic:nvPicPr>
                      <pic:blipFill>
                        <a:blip r:embed="rId2" cstate="print"/>
                        <a:stretch>
                          <a:fillRect/>
                        </a:stretch>
                      </pic:blipFill>
                      <pic:spPr>
                        <a:xfrm>
                          <a:off x="6350" y="6350"/>
                          <a:ext cx="2514600" cy="197485"/>
                        </a:xfrm>
                        <a:prstGeom prst="rect">
                          <a:avLst/>
                        </a:prstGeom>
                      </pic:spPr>
                    </pic:pic>
                    <wps:wsp>
                      <wps:cNvPr id="588" name="Graphic 588"/>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589" name="Graphic 589"/>
                      <wps:cNvSpPr/>
                      <wps:spPr>
                        <a:xfrm>
                          <a:off x="7112" y="20694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8.099976pt;width:476.5pt;height:16.7pt;mso-position-horizontal-relative:page;mso-position-vertical-relative:page;z-index:-31855616" id="docshapegroup504" coordorigin="1123,15362" coordsize="9530,334">
              <v:shape style="position:absolute;left:1123;top:15525;width:4265;height:171" type="#_x0000_t75" id="docshape505" stroked="false">
                <v:imagedata r:id="rId1" o:title=""/>
              </v:shape>
              <v:shape style="position:absolute;left:1132;top:15372;width:3960;height:311" type="#_x0000_t75" id="docshape506" stroked="false">
                <v:imagedata r:id="rId2" o:title=""/>
              </v:shape>
              <v:rect style="position:absolute;left:1132;top:15372;width:3960;height:311" id="docshape507" filled="false" stroked="true" strokeweight="1pt" strokecolor="#666666">
                <v:stroke dashstyle="solid"/>
              </v:rect>
              <v:line style="position:absolute" from="1134,15688" to="10652,15688"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61376">
              <wp:simplePos x="0" y="0"/>
              <wp:positionH relativeFrom="page">
                <wp:posOffset>4898516</wp:posOffset>
              </wp:positionH>
              <wp:positionV relativeFrom="page">
                <wp:posOffset>9726107</wp:posOffset>
              </wp:positionV>
              <wp:extent cx="1776730" cy="241935"/>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855104" type="#_x0000_t202" id="docshape508"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61888">
              <wp:simplePos x="0" y="0"/>
              <wp:positionH relativeFrom="page">
                <wp:posOffset>805992</wp:posOffset>
              </wp:positionH>
              <wp:positionV relativeFrom="page">
                <wp:posOffset>9803831</wp:posOffset>
              </wp:positionV>
              <wp:extent cx="2237740" cy="124460"/>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955261pt;width:176.2pt;height:9.8pt;mso-position-horizontal-relative:page;mso-position-vertical-relative:page;z-index:-31854592" type="#_x0000_t202" id="docshape509"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62400">
              <wp:simplePos x="0" y="0"/>
              <wp:positionH relativeFrom="page">
                <wp:posOffset>3635375</wp:posOffset>
              </wp:positionH>
              <wp:positionV relativeFrom="page">
                <wp:posOffset>10079227</wp:posOffset>
              </wp:positionV>
              <wp:extent cx="301625" cy="165735"/>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a:off x="0" y="0"/>
                        <a:ext cx="30162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395</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25pt;margin-top:793.639954pt;width:23.75pt;height:13.05pt;mso-position-horizontal-relative:page;mso-position-vertical-relative:page;z-index:-31854080" type="#_x0000_t202" id="docshape510"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395</w:t>
                    </w:r>
                    <w:r>
                      <w:rPr>
                        <w:rFonts w:ascii="Calibri"/>
                        <w:spacing w:val="-5"/>
                        <w:sz w:val="22"/>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64448">
              <wp:simplePos x="0" y="0"/>
              <wp:positionH relativeFrom="page">
                <wp:posOffset>717550</wp:posOffset>
              </wp:positionH>
              <wp:positionV relativeFrom="page">
                <wp:posOffset>9689338</wp:posOffset>
              </wp:positionV>
              <wp:extent cx="6050280" cy="212090"/>
              <wp:effectExtent l="0" t="0" r="0" b="0"/>
              <wp:wrapNone/>
              <wp:docPr id="601" name="Group 601"/>
              <wp:cNvGraphicFramePr>
                <a:graphicFrameLocks/>
              </wp:cNvGraphicFramePr>
              <a:graphic>
                <a:graphicData uri="http://schemas.microsoft.com/office/word/2010/wordprocessingGroup">
                  <wpg:wgp>
                    <wpg:cNvPr id="601" name="Group 601"/>
                    <wpg:cNvGrpSpPr/>
                    <wpg:grpSpPr>
                      <a:xfrm>
                        <a:off x="0" y="0"/>
                        <a:ext cx="6050280" cy="212090"/>
                        <a:chExt cx="6050280" cy="212090"/>
                      </a:xfrm>
                    </wpg:grpSpPr>
                    <pic:pic>
                      <pic:nvPicPr>
                        <pic:cNvPr id="602" name="Image 602"/>
                        <pic:cNvPicPr/>
                      </pic:nvPicPr>
                      <pic:blipFill>
                        <a:blip r:embed="rId1" cstate="print"/>
                        <a:stretch>
                          <a:fillRect/>
                        </a:stretch>
                      </pic:blipFill>
                      <pic:spPr>
                        <a:xfrm>
                          <a:off x="256" y="103886"/>
                          <a:ext cx="2708142" cy="108204"/>
                        </a:xfrm>
                        <a:prstGeom prst="rect">
                          <a:avLst/>
                        </a:prstGeom>
                      </pic:spPr>
                    </pic:pic>
                    <pic:pic>
                      <pic:nvPicPr>
                        <pic:cNvPr id="603" name="Image 603"/>
                        <pic:cNvPicPr/>
                      </pic:nvPicPr>
                      <pic:blipFill>
                        <a:blip r:embed="rId2" cstate="print"/>
                        <a:stretch>
                          <a:fillRect/>
                        </a:stretch>
                      </pic:blipFill>
                      <pic:spPr>
                        <a:xfrm>
                          <a:off x="6350" y="6350"/>
                          <a:ext cx="2514600" cy="197484"/>
                        </a:xfrm>
                        <a:prstGeom prst="rect">
                          <a:avLst/>
                        </a:prstGeom>
                      </pic:spPr>
                    </pic:pic>
                    <wps:wsp>
                      <wps:cNvPr id="604" name="Graphic 604"/>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605" name="Graphic 605"/>
                      <wps:cNvSpPr/>
                      <wps:spPr>
                        <a:xfrm>
                          <a:off x="6350" y="207175"/>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5pt;margin-top:762.940002pt;width:476.4pt;height:16.7pt;mso-position-horizontal-relative:page;mso-position-vertical-relative:page;z-index:-31852032" id="docshapegroup518" coordorigin="1130,15259" coordsize="9528,334">
              <v:shape style="position:absolute;left:1130;top:15422;width:4265;height:171" type="#_x0000_t75" id="docshape519" stroked="false">
                <v:imagedata r:id="rId1" o:title=""/>
              </v:shape>
              <v:shape style="position:absolute;left:1140;top:15268;width:3960;height:311" type="#_x0000_t75" id="docshape520" stroked="false">
                <v:imagedata r:id="rId2" o:title=""/>
              </v:shape>
              <v:rect style="position:absolute;left:1140;top:15268;width:3960;height:311" id="docshape521" filled="false" stroked="true" strokeweight="1pt" strokecolor="#666666">
                <v:stroke dashstyle="solid"/>
              </v:rect>
              <v:line style="position:absolute" from="1140,15585" to="10658,15585"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64960">
              <wp:simplePos x="0" y="0"/>
              <wp:positionH relativeFrom="page">
                <wp:posOffset>4903089</wp:posOffset>
              </wp:positionH>
              <wp:positionV relativeFrom="page">
                <wp:posOffset>9673073</wp:posOffset>
              </wp:positionV>
              <wp:extent cx="1776730" cy="226695"/>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a:off x="0" y="0"/>
                        <a:ext cx="1776730" cy="226695"/>
                      </a:xfrm>
                      <a:prstGeom prst="rect">
                        <a:avLst/>
                      </a:prstGeom>
                    </wps:spPr>
                    <wps:txbx>
                      <w:txbxContent>
                        <w:p>
                          <w:pPr>
                            <w:spacing w:before="14"/>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6.070007pt;margin-top:761.659302pt;width:139.9pt;height:17.850pt;mso-position-horizontal-relative:page;mso-position-vertical-relative:page;z-index:-31851520" type="#_x0000_t202" id="docshape522" filled="false" stroked="false">
              <v:textbox inset="0,0,0,0">
                <w:txbxContent>
                  <w:p>
                    <w:pPr>
                      <w:spacing w:before="14"/>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65472">
              <wp:simplePos x="0" y="0"/>
              <wp:positionH relativeFrom="page">
                <wp:posOffset>809040</wp:posOffset>
              </wp:positionH>
              <wp:positionV relativeFrom="page">
                <wp:posOffset>9738604</wp:posOffset>
              </wp:positionV>
              <wp:extent cx="2237740" cy="124460"/>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1"/>
                              <w:sz w:val="14"/>
                            </w:rPr>
                            <w:t> </w:t>
                          </w:r>
                          <w:r>
                            <w:rPr>
                              <w:rFonts w:ascii="Arial"/>
                              <w:b/>
                              <w:spacing w:val="-2"/>
                              <w:sz w:val="14"/>
                            </w:rPr>
                            <w:t>Control</w:t>
                          </w:r>
                          <w:r>
                            <w:rPr>
                              <w:rFonts w:ascii="Arial"/>
                              <w:b/>
                              <w:color w:val="FF0000"/>
                              <w:spacing w:val="-2"/>
                              <w:sz w:val="14"/>
                            </w:rPr>
                            <w:t>andPromotion</w:t>
                          </w:r>
                          <w:r>
                            <w:rPr>
                              <w:rFonts w:ascii="Arial"/>
                              <w:b/>
                              <w:color w:val="FF0000"/>
                              <w:spacing w:val="21"/>
                              <w:sz w:val="14"/>
                            </w:rPr>
                            <w:t> </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703999pt;margin-top:766.819275pt;width:176.2pt;height:9.8pt;mso-position-horizontal-relative:page;mso-position-vertical-relative:page;z-index:-31851008" type="#_x0000_t202" id="docshape523"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1"/>
                        <w:sz w:val="14"/>
                      </w:rPr>
                      <w:t> </w:t>
                    </w:r>
                    <w:r>
                      <w:rPr>
                        <w:rFonts w:ascii="Arial"/>
                        <w:b/>
                        <w:spacing w:val="-2"/>
                        <w:sz w:val="14"/>
                      </w:rPr>
                      <w:t>Control</w:t>
                    </w:r>
                    <w:r>
                      <w:rPr>
                        <w:rFonts w:ascii="Arial"/>
                        <w:b/>
                        <w:color w:val="FF0000"/>
                        <w:spacing w:val="-2"/>
                        <w:sz w:val="14"/>
                      </w:rPr>
                      <w:t>andPromotion</w:t>
                    </w:r>
                    <w:r>
                      <w:rPr>
                        <w:rFonts w:ascii="Arial"/>
                        <w:b/>
                        <w:color w:val="FF0000"/>
                        <w:spacing w:val="21"/>
                        <w:sz w:val="14"/>
                      </w:rPr>
                      <w:t> </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65984">
              <wp:simplePos x="0" y="0"/>
              <wp:positionH relativeFrom="page">
                <wp:posOffset>3647566</wp:posOffset>
              </wp:positionH>
              <wp:positionV relativeFrom="page">
                <wp:posOffset>9980224</wp:posOffset>
              </wp:positionV>
              <wp:extent cx="281305" cy="165735"/>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403</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209991pt;margin-top:785.844482pt;width:22.15pt;height:13.05pt;mso-position-horizontal-relative:page;mso-position-vertical-relative:page;z-index:-31850496" type="#_x0000_t202" id="docshape524"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403</w:t>
                    </w:r>
                    <w:r>
                      <w:rPr>
                        <w:rFonts w:ascii="Times New Roman"/>
                        <w:spacing w:val="-5"/>
                        <w:sz w:val="20"/>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68544">
              <wp:simplePos x="0" y="0"/>
              <wp:positionH relativeFrom="page">
                <wp:posOffset>3647566</wp:posOffset>
              </wp:positionH>
              <wp:positionV relativeFrom="page">
                <wp:posOffset>10001560</wp:posOffset>
              </wp:positionV>
              <wp:extent cx="281305" cy="165735"/>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445</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209991pt;margin-top:787.524475pt;width:22.15pt;height:13.05pt;mso-position-horizontal-relative:page;mso-position-vertical-relative:page;z-index:-31847936" type="#_x0000_t202" id="docshape541"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445</w:t>
                    </w:r>
                    <w:r>
                      <w:rPr>
                        <w:rFonts w:ascii="Times New Roman"/>
                        <w:spacing w:val="-5"/>
                        <w:sz w:val="20"/>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70592">
              <wp:simplePos x="0" y="0"/>
              <wp:positionH relativeFrom="page">
                <wp:posOffset>3647566</wp:posOffset>
              </wp:positionH>
              <wp:positionV relativeFrom="page">
                <wp:posOffset>10001560</wp:posOffset>
              </wp:positionV>
              <wp:extent cx="281305" cy="165735"/>
              <wp:effectExtent l="0" t="0" r="0" b="0"/>
              <wp:wrapNone/>
              <wp:docPr id="646" name="Textbox 646"/>
              <wp:cNvGraphicFramePr>
                <a:graphicFrameLocks/>
              </wp:cNvGraphicFramePr>
              <a:graphic>
                <a:graphicData uri="http://schemas.microsoft.com/office/word/2010/wordprocessingShape">
                  <wps:wsp>
                    <wps:cNvPr id="646" name="Textbox 646"/>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446</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209991pt;margin-top:787.524475pt;width:22.15pt;height:13.05pt;mso-position-horizontal-relative:page;mso-position-vertical-relative:page;z-index:-31845888" type="#_x0000_t202" id="docshape548"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446</w:t>
                    </w:r>
                    <w:r>
                      <w:rPr>
                        <w:rFonts w:ascii="Times New Roman"/>
                        <w:spacing w:val="-5"/>
                        <w:sz w:val="20"/>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74688">
              <wp:simplePos x="0" y="0"/>
              <wp:positionH relativeFrom="page">
                <wp:posOffset>3647566</wp:posOffset>
              </wp:positionH>
              <wp:positionV relativeFrom="page">
                <wp:posOffset>10001560</wp:posOffset>
              </wp:positionV>
              <wp:extent cx="281305" cy="165735"/>
              <wp:effectExtent l="0" t="0" r="0" b="0"/>
              <wp:wrapNone/>
              <wp:docPr id="664" name="Textbox 664"/>
              <wp:cNvGraphicFramePr>
                <a:graphicFrameLocks/>
              </wp:cNvGraphicFramePr>
              <a:graphic>
                <a:graphicData uri="http://schemas.microsoft.com/office/word/2010/wordprocessingShape">
                  <wps:wsp>
                    <wps:cNvPr id="664" name="Textbox 664"/>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449</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209991pt;margin-top:787.524475pt;width:22.15pt;height:13.05pt;mso-position-horizontal-relative:page;mso-position-vertical-relative:page;z-index:-31841792" type="#_x0000_t202" id="docshape564"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449</w:t>
                    </w:r>
                    <w:r>
                      <w:rPr>
                        <w:rFonts w:ascii="Times New Roman"/>
                        <w:spacing w:val="-5"/>
                        <w:sz w:val="20"/>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77248">
              <wp:simplePos x="0" y="0"/>
              <wp:positionH relativeFrom="page">
                <wp:posOffset>3647566</wp:posOffset>
              </wp:positionH>
              <wp:positionV relativeFrom="page">
                <wp:posOffset>9998512</wp:posOffset>
              </wp:positionV>
              <wp:extent cx="281305" cy="165735"/>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450</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209991pt;margin-top:787.284485pt;width:22.15pt;height:13.05pt;mso-position-horizontal-relative:page;mso-position-vertical-relative:page;z-index:-31839232" type="#_x0000_t202" id="docshape572"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450</w:t>
                    </w:r>
                    <w:r>
                      <w:rPr>
                        <w:rFonts w:ascii="Times New Roman"/>
                        <w:spacing w:val="-5"/>
                        <w:sz w:val="20"/>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79808">
              <wp:simplePos x="0" y="0"/>
              <wp:positionH relativeFrom="page">
                <wp:posOffset>3647566</wp:posOffset>
              </wp:positionH>
              <wp:positionV relativeFrom="page">
                <wp:posOffset>9875069</wp:posOffset>
              </wp:positionV>
              <wp:extent cx="281305" cy="165735"/>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451</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209991pt;margin-top:777.564514pt;width:22.15pt;height:13.05pt;mso-position-horizontal-relative:page;mso-position-vertical-relative:page;z-index:-31836672" type="#_x0000_t202" id="docshape580"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451</w:t>
                    </w:r>
                    <w:r>
                      <w:rPr>
                        <w:rFonts w:ascii="Times New Roman"/>
                        <w:spacing w:val="-5"/>
                        <w:sz w:val="20"/>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81856">
              <wp:simplePos x="0" y="0"/>
              <wp:positionH relativeFrom="page">
                <wp:posOffset>3647566</wp:posOffset>
              </wp:positionH>
              <wp:positionV relativeFrom="page">
                <wp:posOffset>9875069</wp:posOffset>
              </wp:positionV>
              <wp:extent cx="281305" cy="165735"/>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452</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209991pt;margin-top:777.564514pt;width:22.15pt;height:13.05pt;mso-position-horizontal-relative:page;mso-position-vertical-relative:page;z-index:-31834624" type="#_x0000_t202" id="docshape587"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452</w:t>
                    </w:r>
                    <w:r>
                      <w:rPr>
                        <w:rFonts w:ascii="Times New Roman"/>
                        <w:spacing w:val="-5"/>
                        <w:sz w:val="20"/>
                      </w:rPr>
                      <w:fldChar w:fldCharType="end"/>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83904">
              <wp:simplePos x="0" y="0"/>
              <wp:positionH relativeFrom="page">
                <wp:posOffset>3647566</wp:posOffset>
              </wp:positionH>
              <wp:positionV relativeFrom="page">
                <wp:posOffset>9954317</wp:posOffset>
              </wp:positionV>
              <wp:extent cx="281305" cy="165735"/>
              <wp:effectExtent l="0" t="0" r="0" b="0"/>
              <wp:wrapNone/>
              <wp:docPr id="698" name="Textbox 698"/>
              <wp:cNvGraphicFramePr>
                <a:graphicFrameLocks/>
              </wp:cNvGraphicFramePr>
              <a:graphic>
                <a:graphicData uri="http://schemas.microsoft.com/office/word/2010/wordprocessingShape">
                  <wps:wsp>
                    <wps:cNvPr id="698" name="Textbox 698"/>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480</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209991pt;margin-top:783.804504pt;width:22.15pt;height:13.05pt;mso-position-horizontal-relative:page;mso-position-vertical-relative:page;z-index:-31832576" type="#_x0000_t202" id="docshape594"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480</w:t>
                    </w:r>
                    <w:r>
                      <w:rPr>
                        <w:rFonts w:ascii="Times New Roman"/>
                        <w:spacing w:val="-5"/>
                        <w:sz w:val="20"/>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85952">
              <wp:simplePos x="0" y="0"/>
              <wp:positionH relativeFrom="page">
                <wp:posOffset>712977</wp:posOffset>
              </wp:positionH>
              <wp:positionV relativeFrom="page">
                <wp:posOffset>9675621</wp:posOffset>
              </wp:positionV>
              <wp:extent cx="6055995" cy="217804"/>
              <wp:effectExtent l="0" t="0" r="0" b="0"/>
              <wp:wrapNone/>
              <wp:docPr id="715" name="Group 715"/>
              <wp:cNvGraphicFramePr>
                <a:graphicFrameLocks/>
              </wp:cNvGraphicFramePr>
              <a:graphic>
                <a:graphicData uri="http://schemas.microsoft.com/office/word/2010/wordprocessingGroup">
                  <wpg:wgp>
                    <wpg:cNvPr id="715" name="Group 715"/>
                    <wpg:cNvGrpSpPr/>
                    <wpg:grpSpPr>
                      <a:xfrm>
                        <a:off x="0" y="0"/>
                        <a:ext cx="6055995" cy="217804"/>
                        <a:chExt cx="6055995" cy="217804"/>
                      </a:xfrm>
                    </wpg:grpSpPr>
                    <pic:pic>
                      <pic:nvPicPr>
                        <pic:cNvPr id="716" name="Image 716"/>
                        <pic:cNvPicPr/>
                      </pic:nvPicPr>
                      <pic:blipFill>
                        <a:blip r:embed="rId1" cstate="print"/>
                        <a:stretch>
                          <a:fillRect/>
                        </a:stretch>
                      </pic:blipFill>
                      <pic:spPr>
                        <a:xfrm>
                          <a:off x="253" y="105410"/>
                          <a:ext cx="2715768" cy="109727"/>
                        </a:xfrm>
                        <a:prstGeom prst="rect">
                          <a:avLst/>
                        </a:prstGeom>
                      </pic:spPr>
                    </pic:pic>
                    <pic:pic>
                      <pic:nvPicPr>
                        <pic:cNvPr id="717" name="Image 717"/>
                        <pic:cNvPicPr/>
                      </pic:nvPicPr>
                      <pic:blipFill>
                        <a:blip r:embed="rId2" cstate="print"/>
                        <a:stretch>
                          <a:fillRect/>
                        </a:stretch>
                      </pic:blipFill>
                      <pic:spPr>
                        <a:xfrm>
                          <a:off x="6350" y="6350"/>
                          <a:ext cx="2514600" cy="201295"/>
                        </a:xfrm>
                        <a:prstGeom prst="rect">
                          <a:avLst/>
                        </a:prstGeom>
                      </pic:spPr>
                    </pic:pic>
                    <wps:wsp>
                      <wps:cNvPr id="718" name="Graphic 718"/>
                      <wps:cNvSpPr/>
                      <wps:spPr>
                        <a:xfrm>
                          <a:off x="6350" y="6350"/>
                          <a:ext cx="2514600" cy="201295"/>
                        </a:xfrm>
                        <a:custGeom>
                          <a:avLst/>
                          <a:gdLst/>
                          <a:ahLst/>
                          <a:cxnLst/>
                          <a:rect l="l" t="t" r="r" b="b"/>
                          <a:pathLst>
                            <a:path w="2514600" h="201295">
                              <a:moveTo>
                                <a:pt x="0" y="201294"/>
                              </a:moveTo>
                              <a:lnTo>
                                <a:pt x="2514600" y="201294"/>
                              </a:lnTo>
                              <a:lnTo>
                                <a:pt x="2514600" y="0"/>
                              </a:lnTo>
                              <a:lnTo>
                                <a:pt x="0" y="0"/>
                              </a:lnTo>
                              <a:lnTo>
                                <a:pt x="0" y="201294"/>
                              </a:lnTo>
                              <a:close/>
                            </a:path>
                          </a:pathLst>
                        </a:custGeom>
                        <a:ln w="12699">
                          <a:solidFill>
                            <a:srgbClr val="666666"/>
                          </a:solidFill>
                          <a:prstDash val="solid"/>
                        </a:ln>
                      </wps:spPr>
                      <wps:bodyPr wrap="square" lIns="0" tIns="0" rIns="0" bIns="0" rtlCol="0">
                        <a:prstTxWarp prst="textNoShape">
                          <a:avLst/>
                        </a:prstTxWarp>
                        <a:noAutofit/>
                      </wps:bodyPr>
                    </wps:wsp>
                    <wps:wsp>
                      <wps:cNvPr id="719" name="Graphic 719"/>
                      <wps:cNvSpPr/>
                      <wps:spPr>
                        <a:xfrm>
                          <a:off x="7112" y="212178"/>
                          <a:ext cx="6043930" cy="1270"/>
                        </a:xfrm>
                        <a:custGeom>
                          <a:avLst/>
                          <a:gdLst/>
                          <a:ahLst/>
                          <a:cxnLst/>
                          <a:rect l="l" t="t" r="r" b="b"/>
                          <a:pathLst>
                            <a:path w="6043930" h="635">
                              <a:moveTo>
                                <a:pt x="0" y="0"/>
                              </a:moveTo>
                              <a:lnTo>
                                <a:pt x="6043930"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1.859985pt;width:476.85pt;height:17.150pt;mso-position-horizontal-relative:page;mso-position-vertical-relative:page;z-index:-31830528" id="docshapegroup602" coordorigin="1123,15237" coordsize="9537,343">
              <v:shape style="position:absolute;left:1123;top:15403;width:4277;height:173" type="#_x0000_t75" id="docshape603" stroked="false">
                <v:imagedata r:id="rId1" o:title=""/>
              </v:shape>
              <v:shape style="position:absolute;left:1132;top:15247;width:3960;height:317" type="#_x0000_t75" id="docshape604" stroked="false">
                <v:imagedata r:id="rId2" o:title=""/>
              </v:shape>
              <v:rect style="position:absolute;left:1132;top:15247;width:3960;height:317" id="docshape605" filled="false" stroked="true" strokeweight="1.0pt" strokecolor="#666666">
                <v:stroke dashstyle="solid"/>
              </v:rect>
              <v:line style="position:absolute" from="1134,15571" to="10652,15572"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86464">
              <wp:simplePos x="0" y="0"/>
              <wp:positionH relativeFrom="page">
                <wp:posOffset>4898516</wp:posOffset>
              </wp:positionH>
              <wp:positionV relativeFrom="page">
                <wp:posOffset>9645336</wp:posOffset>
              </wp:positionV>
              <wp:extent cx="1776095" cy="237490"/>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1776095" cy="237490"/>
                      </a:xfrm>
                      <a:prstGeom prst="rect">
                        <a:avLst/>
                      </a:prstGeom>
                    </wps:spPr>
                    <wps:txbx>
                      <w:txbxContent>
                        <w:p>
                          <w:pPr>
                            <w:spacing w:line="264" w:lineRule="auto" w:before="14"/>
                            <w:ind w:left="20" w:right="18" w:firstLine="830"/>
                            <w:jc w:val="left"/>
                            <w:rPr>
                              <w:rFonts w:ascii="Arial"/>
                              <w:b/>
                              <w:i/>
                              <w:sz w:val="14"/>
                            </w:rPr>
                          </w:pPr>
                          <w:r>
                            <w:rPr>
                              <w:rFonts w:ascii="Arial"/>
                              <w:b/>
                              <w:i/>
                              <w:sz w:val="14"/>
                            </w:rPr>
                            <w:t>Draft</w:t>
                          </w:r>
                          <w:r>
                            <w:rPr>
                              <w:rFonts w:ascii="Arial"/>
                              <w:b/>
                              <w:i/>
                              <w:spacing w:val="-10"/>
                              <w:sz w:val="14"/>
                            </w:rPr>
                            <w:t> </w:t>
                          </w: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59.475281pt;width:139.85pt;height:18.7pt;mso-position-horizontal-relative:page;mso-position-vertical-relative:page;z-index:-31830016" type="#_x0000_t202" id="docshape606" filled="false" stroked="false">
              <v:textbox inset="0,0,0,0">
                <w:txbxContent>
                  <w:p>
                    <w:pPr>
                      <w:spacing w:line="264" w:lineRule="auto" w:before="14"/>
                      <w:ind w:left="20" w:right="18" w:firstLine="830"/>
                      <w:jc w:val="left"/>
                      <w:rPr>
                        <w:rFonts w:ascii="Arial"/>
                        <w:b/>
                        <w:i/>
                        <w:sz w:val="14"/>
                      </w:rPr>
                    </w:pPr>
                    <w:r>
                      <w:rPr>
                        <w:rFonts w:ascii="Arial"/>
                        <w:b/>
                        <w:i/>
                        <w:sz w:val="14"/>
                      </w:rPr>
                      <w:t>Draft</w:t>
                    </w:r>
                    <w:r>
                      <w:rPr>
                        <w:rFonts w:ascii="Arial"/>
                        <w:b/>
                        <w:i/>
                        <w:spacing w:val="-10"/>
                        <w:sz w:val="14"/>
                      </w:rPr>
                      <w:t> </w:t>
                    </w: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86976">
              <wp:simplePos x="0" y="0"/>
              <wp:positionH relativeFrom="page">
                <wp:posOffset>805992</wp:posOffset>
              </wp:positionH>
              <wp:positionV relativeFrom="page">
                <wp:posOffset>9721536</wp:posOffset>
              </wp:positionV>
              <wp:extent cx="2287905" cy="124460"/>
              <wp:effectExtent l="0" t="0" r="0" b="0"/>
              <wp:wrapNone/>
              <wp:docPr id="721" name="Textbox 721"/>
              <wp:cNvGraphicFramePr>
                <a:graphicFrameLocks/>
              </wp:cNvGraphicFramePr>
              <a:graphic>
                <a:graphicData uri="http://schemas.microsoft.com/office/word/2010/wordprocessingShape">
                  <wps:wsp>
                    <wps:cNvPr id="721" name="Textbox 721"/>
                    <wps:cNvSpPr txBox="1"/>
                    <wps:spPr>
                      <a:xfrm>
                        <a:off x="0" y="0"/>
                        <a:ext cx="2287905" cy="124460"/>
                      </a:xfrm>
                      <a:prstGeom prst="rect">
                        <a:avLst/>
                      </a:prstGeom>
                    </wps:spPr>
                    <wps:txbx>
                      <w:txbxContent>
                        <w:p>
                          <w:pPr>
                            <w:spacing w:before="14"/>
                            <w:ind w:left="20" w:right="0" w:firstLine="0"/>
                            <w:jc w:val="left"/>
                            <w:rPr>
                              <w:rFonts w:ascii="Arial"/>
                              <w:b/>
                              <w:sz w:val="14"/>
                            </w:rPr>
                          </w:pPr>
                          <w:r>
                            <w:rPr>
                              <w:rFonts w:ascii="Arial"/>
                              <w:b/>
                              <w:sz w:val="14"/>
                            </w:rPr>
                            <w:t>Development</w:t>
                          </w:r>
                          <w:r>
                            <w:rPr>
                              <w:rFonts w:ascii="Arial"/>
                              <w:b/>
                              <w:spacing w:val="-10"/>
                              <w:sz w:val="14"/>
                            </w:rPr>
                            <w:t> </w:t>
                          </w:r>
                          <w:r>
                            <w:rPr>
                              <w:rFonts w:ascii="Arial"/>
                              <w:b/>
                              <w:sz w:val="14"/>
                            </w:rPr>
                            <w:t>Control</w:t>
                          </w:r>
                          <w:r>
                            <w:rPr>
                              <w:rFonts w:ascii="Arial"/>
                              <w:b/>
                              <w:spacing w:val="-9"/>
                              <w:sz w:val="14"/>
                            </w:rPr>
                            <w:t> </w:t>
                          </w:r>
                          <w:r>
                            <w:rPr>
                              <w:rFonts w:ascii="Arial"/>
                              <w:b/>
                              <w:color w:val="FF0000"/>
                              <w:sz w:val="14"/>
                            </w:rPr>
                            <w:t>and</w:t>
                          </w:r>
                          <w:r>
                            <w:rPr>
                              <w:rFonts w:ascii="Arial"/>
                              <w:b/>
                              <w:color w:val="FF0000"/>
                              <w:spacing w:val="-9"/>
                              <w:sz w:val="14"/>
                            </w:rPr>
                            <w:t> </w:t>
                          </w:r>
                          <w:r>
                            <w:rPr>
                              <w:rFonts w:ascii="Arial"/>
                              <w:b/>
                              <w:color w:val="FF0000"/>
                              <w:sz w:val="14"/>
                            </w:rPr>
                            <w:t>Promotion</w:t>
                          </w:r>
                          <w:r>
                            <w:rPr>
                              <w:rFonts w:ascii="Arial"/>
                              <w:b/>
                              <w:color w:val="FF0000"/>
                              <w:spacing w:val="-8"/>
                              <w:sz w:val="14"/>
                            </w:rPr>
                            <w:t> </w:t>
                          </w:r>
                          <w:r>
                            <w:rPr>
                              <w:rFonts w:ascii="Arial"/>
                              <w:b/>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65.475281pt;width:180.15pt;height:9.8pt;mso-position-horizontal-relative:page;mso-position-vertical-relative:page;z-index:-31829504" type="#_x0000_t202" id="docshape607" filled="false" stroked="false">
              <v:textbox inset="0,0,0,0">
                <w:txbxContent>
                  <w:p>
                    <w:pPr>
                      <w:spacing w:before="14"/>
                      <w:ind w:left="20" w:right="0" w:firstLine="0"/>
                      <w:jc w:val="left"/>
                      <w:rPr>
                        <w:rFonts w:ascii="Arial"/>
                        <w:b/>
                        <w:sz w:val="14"/>
                      </w:rPr>
                    </w:pPr>
                    <w:r>
                      <w:rPr>
                        <w:rFonts w:ascii="Arial"/>
                        <w:b/>
                        <w:sz w:val="14"/>
                      </w:rPr>
                      <w:t>Development</w:t>
                    </w:r>
                    <w:r>
                      <w:rPr>
                        <w:rFonts w:ascii="Arial"/>
                        <w:b/>
                        <w:spacing w:val="-10"/>
                        <w:sz w:val="14"/>
                      </w:rPr>
                      <w:t> </w:t>
                    </w:r>
                    <w:r>
                      <w:rPr>
                        <w:rFonts w:ascii="Arial"/>
                        <w:b/>
                        <w:sz w:val="14"/>
                      </w:rPr>
                      <w:t>Control</w:t>
                    </w:r>
                    <w:r>
                      <w:rPr>
                        <w:rFonts w:ascii="Arial"/>
                        <w:b/>
                        <w:spacing w:val="-9"/>
                        <w:sz w:val="14"/>
                      </w:rPr>
                      <w:t> </w:t>
                    </w:r>
                    <w:r>
                      <w:rPr>
                        <w:rFonts w:ascii="Arial"/>
                        <w:b/>
                        <w:color w:val="FF0000"/>
                        <w:sz w:val="14"/>
                      </w:rPr>
                      <w:t>and</w:t>
                    </w:r>
                    <w:r>
                      <w:rPr>
                        <w:rFonts w:ascii="Arial"/>
                        <w:b/>
                        <w:color w:val="FF0000"/>
                        <w:spacing w:val="-9"/>
                        <w:sz w:val="14"/>
                      </w:rPr>
                      <w:t> </w:t>
                    </w:r>
                    <w:r>
                      <w:rPr>
                        <w:rFonts w:ascii="Arial"/>
                        <w:b/>
                        <w:color w:val="FF0000"/>
                        <w:sz w:val="14"/>
                      </w:rPr>
                      <w:t>Promotion</w:t>
                    </w:r>
                    <w:r>
                      <w:rPr>
                        <w:rFonts w:ascii="Arial"/>
                        <w:b/>
                        <w:color w:val="FF0000"/>
                        <w:spacing w:val="-8"/>
                        <w:sz w:val="14"/>
                      </w:rPr>
                      <w:t> </w:t>
                    </w:r>
                    <w:r>
                      <w:rPr>
                        <w:rFonts w:ascii="Arial"/>
                        <w:b/>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87488">
              <wp:simplePos x="0" y="0"/>
              <wp:positionH relativeFrom="page">
                <wp:posOffset>3586098</wp:posOffset>
              </wp:positionH>
              <wp:positionV relativeFrom="page">
                <wp:posOffset>9908234</wp:posOffset>
              </wp:positionV>
              <wp:extent cx="388620" cy="165735"/>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a:off x="0" y="0"/>
                        <a:ext cx="388620" cy="165735"/>
                      </a:xfrm>
                      <a:prstGeom prst="rect">
                        <a:avLst/>
                      </a:prstGeom>
                    </wps:spPr>
                    <wps:txbx>
                      <w:txbxContent>
                        <w:p>
                          <w:pPr>
                            <w:spacing w:line="245" w:lineRule="exact" w:before="0"/>
                            <w:ind w:left="20" w:right="0" w:firstLine="0"/>
                            <w:jc w:val="left"/>
                            <w:rPr>
                              <w:rFonts w:ascii="Calibri"/>
                              <w:sz w:val="22"/>
                            </w:rPr>
                          </w:pPr>
                          <w:r>
                            <w:rPr>
                              <w:rFonts w:ascii="Calibri"/>
                              <w:sz w:val="22"/>
                            </w:rPr>
                            <w:t>- </w:t>
                          </w:r>
                          <w:r>
                            <w:rPr>
                              <w:rFonts w:ascii="Calibri"/>
                              <w:sz w:val="22"/>
                            </w:rPr>
                            <w:fldChar w:fldCharType="begin"/>
                          </w:r>
                          <w:r>
                            <w:rPr>
                              <w:rFonts w:ascii="Calibri"/>
                              <w:sz w:val="22"/>
                            </w:rPr>
                            <w:instrText> PAGE </w:instrText>
                          </w:r>
                          <w:r>
                            <w:rPr>
                              <w:rFonts w:ascii="Calibri"/>
                              <w:sz w:val="22"/>
                            </w:rPr>
                            <w:fldChar w:fldCharType="separate"/>
                          </w:r>
                          <w:r>
                            <w:rPr>
                              <w:rFonts w:ascii="Calibri"/>
                              <w:sz w:val="22"/>
                            </w:rPr>
                            <w:t>505</w:t>
                          </w:r>
                          <w:r>
                            <w:rPr>
                              <w:rFonts w:ascii="Calibri"/>
                              <w:sz w:val="22"/>
                            </w:rPr>
                            <w:fldChar w:fldCharType="end"/>
                          </w:r>
                          <w:r>
                            <w:rPr>
                              <w:rFonts w:ascii="Calibri"/>
                              <w:spacing w:val="1"/>
                              <w:sz w:val="22"/>
                            </w:rPr>
                            <w:t> </w:t>
                          </w:r>
                          <w:r>
                            <w:rPr>
                              <w:rFonts w:ascii="Calibri"/>
                              <w:spacing w:val="-10"/>
                              <w:sz w:val="22"/>
                            </w:rPr>
                            <w:t>-</w:t>
                          </w:r>
                        </w:p>
                      </w:txbxContent>
                    </wps:txbx>
                    <wps:bodyPr wrap="square" lIns="0" tIns="0" rIns="0" bIns="0" rtlCol="0">
                      <a:noAutofit/>
                    </wps:bodyPr>
                  </wps:wsp>
                </a:graphicData>
              </a:graphic>
            </wp:anchor>
          </w:drawing>
        </mc:Choice>
        <mc:Fallback>
          <w:pict>
            <v:shape style="position:absolute;margin-left:282.369995pt;margin-top:780.175964pt;width:30.6pt;height:13.05pt;mso-position-horizontal-relative:page;mso-position-vertical-relative:page;z-index:-31828992" type="#_x0000_t202" id="docshape608" filled="false" stroked="false">
              <v:textbox inset="0,0,0,0">
                <w:txbxContent>
                  <w:p>
                    <w:pPr>
                      <w:spacing w:line="245" w:lineRule="exact" w:before="0"/>
                      <w:ind w:left="20" w:right="0" w:firstLine="0"/>
                      <w:jc w:val="left"/>
                      <w:rPr>
                        <w:rFonts w:ascii="Calibri"/>
                        <w:sz w:val="22"/>
                      </w:rPr>
                    </w:pPr>
                    <w:r>
                      <w:rPr>
                        <w:rFonts w:ascii="Calibri"/>
                        <w:sz w:val="22"/>
                      </w:rPr>
                      <w:t>- </w:t>
                    </w:r>
                    <w:r>
                      <w:rPr>
                        <w:rFonts w:ascii="Calibri"/>
                        <w:sz w:val="22"/>
                      </w:rPr>
                      <w:fldChar w:fldCharType="begin"/>
                    </w:r>
                    <w:r>
                      <w:rPr>
                        <w:rFonts w:ascii="Calibri"/>
                        <w:sz w:val="22"/>
                      </w:rPr>
                      <w:instrText> PAGE </w:instrText>
                    </w:r>
                    <w:r>
                      <w:rPr>
                        <w:rFonts w:ascii="Calibri"/>
                        <w:sz w:val="22"/>
                      </w:rPr>
                      <w:fldChar w:fldCharType="separate"/>
                    </w:r>
                    <w:r>
                      <w:rPr>
                        <w:rFonts w:ascii="Calibri"/>
                        <w:sz w:val="22"/>
                      </w:rPr>
                      <w:t>505</w:t>
                    </w:r>
                    <w:r>
                      <w:rPr>
                        <w:rFonts w:ascii="Calibri"/>
                        <w:sz w:val="22"/>
                      </w:rPr>
                      <w:fldChar w:fldCharType="end"/>
                    </w:r>
                    <w:r>
                      <w:rPr>
                        <w:rFonts w:ascii="Calibri"/>
                        <w:spacing w:val="1"/>
                        <w:sz w:val="22"/>
                      </w:rPr>
                      <w:t> </w:t>
                    </w:r>
                    <w:r>
                      <w:rPr>
                        <w:rFonts w:ascii="Calibri"/>
                        <w:spacing w:val="-10"/>
                        <w:sz w:val="22"/>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39008">
              <wp:simplePos x="0" y="0"/>
              <wp:positionH relativeFrom="page">
                <wp:posOffset>652462</wp:posOffset>
              </wp:positionH>
              <wp:positionV relativeFrom="page">
                <wp:posOffset>665733</wp:posOffset>
              </wp:positionV>
              <wp:extent cx="6076315" cy="28702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6076315" cy="287020"/>
                        <a:chExt cx="6076315" cy="287020"/>
                      </a:xfrm>
                    </wpg:grpSpPr>
                    <pic:pic>
                      <pic:nvPicPr>
                        <pic:cNvPr id="14" name="Image 14"/>
                        <pic:cNvPicPr/>
                      </pic:nvPicPr>
                      <pic:blipFill>
                        <a:blip r:embed="rId1" cstate="print"/>
                        <a:stretch>
                          <a:fillRect/>
                        </a:stretch>
                      </pic:blipFill>
                      <pic:spPr>
                        <a:xfrm>
                          <a:off x="4923853" y="137413"/>
                          <a:ext cx="1152144" cy="143255"/>
                        </a:xfrm>
                        <a:prstGeom prst="rect">
                          <a:avLst/>
                        </a:prstGeom>
                      </pic:spPr>
                    </pic:pic>
                    <pic:pic>
                      <pic:nvPicPr>
                        <pic:cNvPr id="15" name="Image 15"/>
                        <pic:cNvPicPr/>
                      </pic:nvPicPr>
                      <pic:blipFill>
                        <a:blip r:embed="rId2" cstate="print"/>
                        <a:stretch>
                          <a:fillRect/>
                        </a:stretch>
                      </pic:blipFill>
                      <pic:spPr>
                        <a:xfrm>
                          <a:off x="5170741" y="6350"/>
                          <a:ext cx="899159" cy="266065"/>
                        </a:xfrm>
                        <a:prstGeom prst="rect">
                          <a:avLst/>
                        </a:prstGeom>
                      </pic:spPr>
                    </pic:pic>
                    <wps:wsp>
                      <wps:cNvPr id="16" name="Graphic 16"/>
                      <wps:cNvSpPr/>
                      <wps:spPr>
                        <a:xfrm>
                          <a:off x="5170741" y="6350"/>
                          <a:ext cx="899160" cy="266065"/>
                        </a:xfrm>
                        <a:custGeom>
                          <a:avLst/>
                          <a:gdLst/>
                          <a:ahLst/>
                          <a:cxnLst/>
                          <a:rect l="l" t="t" r="r" b="b"/>
                          <a:pathLst>
                            <a:path w="899160" h="266065">
                              <a:moveTo>
                                <a:pt x="0" y="266065"/>
                              </a:moveTo>
                              <a:lnTo>
                                <a:pt x="899159" y="266065"/>
                              </a:lnTo>
                              <a:lnTo>
                                <a:pt x="899159"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17" name="Graphic 17"/>
                      <wps:cNvSpPr/>
                      <wps:spPr>
                        <a:xfrm>
                          <a:off x="4762" y="281050"/>
                          <a:ext cx="6065520" cy="1270"/>
                        </a:xfrm>
                        <a:custGeom>
                          <a:avLst/>
                          <a:gdLst/>
                          <a:ahLst/>
                          <a:cxnLst/>
                          <a:rect l="l" t="t" r="r" b="b"/>
                          <a:pathLst>
                            <a:path w="6065520" h="635">
                              <a:moveTo>
                                <a:pt x="0" y="0"/>
                              </a:moveTo>
                              <a:lnTo>
                                <a:pt x="6065520"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375pt;margin-top:52.419983pt;width:478.45pt;height:22.6pt;mso-position-horizontal-relative:page;mso-position-vertical-relative:page;z-index:-31977472" id="docshapegroup13" coordorigin="1028,1048" coordsize="9569,452">
              <v:shape style="position:absolute;left:8781;top:1264;width:1815;height:226" type="#_x0000_t75" id="docshape14" stroked="false">
                <v:imagedata r:id="rId1" o:title=""/>
              </v:shape>
              <v:shape style="position:absolute;left:9170;top:1058;width:1416;height:419" type="#_x0000_t75" id="docshape15" stroked="false">
                <v:imagedata r:id="rId2" o:title=""/>
              </v:shape>
              <v:rect style="position:absolute;left:9170;top:1058;width:1416;height:419" id="docshape16" filled="false" stroked="true" strokeweight="1pt" strokecolor="#666666">
                <v:stroke dashstyle="solid"/>
              </v:rect>
              <v:line style="position:absolute" from="1035,1491" to="10587,1492"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39520">
              <wp:simplePos x="0" y="0"/>
              <wp:positionH relativeFrom="page">
                <wp:posOffset>5918453</wp:posOffset>
              </wp:positionH>
              <wp:positionV relativeFrom="page">
                <wp:posOffset>712513</wp:posOffset>
              </wp:positionV>
              <wp:extent cx="708660" cy="16700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66.019989pt;margin-top:56.103458pt;width:55.8pt;height:13.15pt;mso-position-horizontal-relative:page;mso-position-vertical-relative:page;z-index:-31976960" type="#_x0000_t202" id="docshape17"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40032">
              <wp:simplePos x="0" y="0"/>
              <wp:positionH relativeFrom="page">
                <wp:posOffset>718819</wp:posOffset>
              </wp:positionH>
              <wp:positionV relativeFrom="page">
                <wp:posOffset>776789</wp:posOffset>
              </wp:positionV>
              <wp:extent cx="433705" cy="1657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33705" cy="165735"/>
                      </a:xfrm>
                      <a:prstGeom prst="rect">
                        <a:avLst/>
                      </a:prstGeom>
                    </wps:spPr>
                    <wps:txbx>
                      <w:txbxContent>
                        <w:p>
                          <w:pPr>
                            <w:spacing w:before="10"/>
                            <w:ind w:left="20" w:right="0" w:firstLine="0"/>
                            <w:jc w:val="left"/>
                            <w:rPr>
                              <w:rFonts w:ascii="Times New Roman"/>
                              <w:b/>
                              <w:sz w:val="20"/>
                            </w:rPr>
                          </w:pPr>
                          <w:r>
                            <w:rPr>
                              <w:rFonts w:ascii="Times New Roman"/>
                              <w:b/>
                              <w:spacing w:val="-2"/>
                              <w:sz w:val="20"/>
                            </w:rPr>
                            <w:t>INDEX</w:t>
                          </w:r>
                        </w:p>
                      </w:txbxContent>
                    </wps:txbx>
                    <wps:bodyPr wrap="square" lIns="0" tIns="0" rIns="0" bIns="0" rtlCol="0">
                      <a:noAutofit/>
                    </wps:bodyPr>
                  </wps:wsp>
                </a:graphicData>
              </a:graphic>
            </wp:anchor>
          </w:drawing>
        </mc:Choice>
        <mc:Fallback>
          <w:pict>
            <v:shape style="position:absolute;margin-left:56.599998pt;margin-top:61.164494pt;width:34.15pt;height:13.05pt;mso-position-horizontal-relative:page;mso-position-vertical-relative:page;z-index:-31976448" type="#_x0000_t202" id="docshape18" filled="false" stroked="false">
              <v:textbox inset="0,0,0,0">
                <w:txbxContent>
                  <w:p>
                    <w:pPr>
                      <w:spacing w:before="10"/>
                      <w:ind w:left="20" w:right="0" w:firstLine="0"/>
                      <w:jc w:val="left"/>
                      <w:rPr>
                        <w:rFonts w:ascii="Times New Roman"/>
                        <w:b/>
                        <w:sz w:val="20"/>
                      </w:rPr>
                    </w:pPr>
                    <w:r>
                      <w:rPr>
                        <w:rFonts w:ascii="Times New Roman"/>
                        <w:b/>
                        <w:spacing w:val="-2"/>
                        <w:sz w:val="20"/>
                      </w:rPr>
                      <w:t>INDEX</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42592">
              <wp:simplePos x="0" y="0"/>
              <wp:positionH relativeFrom="page">
                <wp:posOffset>716597</wp:posOffset>
              </wp:positionH>
              <wp:positionV relativeFrom="page">
                <wp:posOffset>671829</wp:posOffset>
              </wp:positionV>
              <wp:extent cx="6076315" cy="28194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6076315" cy="281940"/>
                        <a:chExt cx="6076315" cy="281940"/>
                      </a:xfrm>
                    </wpg:grpSpPr>
                    <pic:pic>
                      <pic:nvPicPr>
                        <pic:cNvPr id="31" name="Image 31"/>
                        <pic:cNvPicPr/>
                      </pic:nvPicPr>
                      <pic:blipFill>
                        <a:blip r:embed="rId1" cstate="print"/>
                        <a:stretch>
                          <a:fillRect/>
                        </a:stretch>
                      </pic:blipFill>
                      <pic:spPr>
                        <a:xfrm>
                          <a:off x="4923726" y="137413"/>
                          <a:ext cx="1152144" cy="143255"/>
                        </a:xfrm>
                        <a:prstGeom prst="rect">
                          <a:avLst/>
                        </a:prstGeom>
                      </pic:spPr>
                    </pic:pic>
                    <pic:pic>
                      <pic:nvPicPr>
                        <pic:cNvPr id="32" name="Image 32"/>
                        <pic:cNvPicPr/>
                      </pic:nvPicPr>
                      <pic:blipFill>
                        <a:blip r:embed="rId2" cstate="print"/>
                        <a:stretch>
                          <a:fillRect/>
                        </a:stretch>
                      </pic:blipFill>
                      <pic:spPr>
                        <a:xfrm>
                          <a:off x="5170614" y="6350"/>
                          <a:ext cx="899160" cy="266065"/>
                        </a:xfrm>
                        <a:prstGeom prst="rect">
                          <a:avLst/>
                        </a:prstGeom>
                      </pic:spPr>
                    </pic:pic>
                    <wps:wsp>
                      <wps:cNvPr id="33" name="Graphic 33"/>
                      <wps:cNvSpPr/>
                      <wps:spPr>
                        <a:xfrm>
                          <a:off x="5170614"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34" name="Graphic 34"/>
                      <wps:cNvSpPr/>
                      <wps:spPr>
                        <a:xfrm>
                          <a:off x="4762" y="276225"/>
                          <a:ext cx="6066155" cy="1270"/>
                        </a:xfrm>
                        <a:custGeom>
                          <a:avLst/>
                          <a:gdLst/>
                          <a:ahLst/>
                          <a:cxnLst/>
                          <a:rect l="l" t="t" r="r" b="b"/>
                          <a:pathLst>
                            <a:path w="6066155" h="635">
                              <a:moveTo>
                                <a:pt x="0" y="0"/>
                              </a:moveTo>
                              <a:lnTo>
                                <a:pt x="606615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424999pt;margin-top:52.899982pt;width:478.45pt;height:22.2pt;mso-position-horizontal-relative:page;mso-position-vertical-relative:page;z-index:-31973888" id="docshapegroup28" coordorigin="1128,1058" coordsize="9569,444">
              <v:shape style="position:absolute;left:8882;top:1274;width:1815;height:226" type="#_x0000_t75" id="docshape29" stroked="false">
                <v:imagedata r:id="rId1" o:title=""/>
              </v:shape>
              <v:shape style="position:absolute;left:9271;top:1068;width:1416;height:419" type="#_x0000_t75" id="docshape30" stroked="false">
                <v:imagedata r:id="rId2" o:title=""/>
              </v:shape>
              <v:rect style="position:absolute;left:9271;top:1068;width:1416;height:419" id="docshape31" filled="false" stroked="true" strokeweight="1.0pt" strokecolor="#666666">
                <v:stroke dashstyle="solid"/>
              </v:rect>
              <v:line style="position:absolute" from="1136,1493" to="10689,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43104">
              <wp:simplePos x="0" y="0"/>
              <wp:positionH relativeFrom="page">
                <wp:posOffset>5983985</wp:posOffset>
              </wp:positionH>
              <wp:positionV relativeFrom="page">
                <wp:posOffset>720133</wp:posOffset>
              </wp:positionV>
              <wp:extent cx="708660" cy="16700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1.179993pt;margin-top:56.703461pt;width:55.8pt;height:13.15pt;mso-position-horizontal-relative:page;mso-position-vertical-relative:page;z-index:-31973376" type="#_x0000_t202" id="docshape32"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43616">
              <wp:simplePos x="0" y="0"/>
              <wp:positionH relativeFrom="page">
                <wp:posOffset>729487</wp:posOffset>
              </wp:positionH>
              <wp:positionV relativeFrom="page">
                <wp:posOffset>808354</wp:posOffset>
              </wp:positionV>
              <wp:extent cx="1362075" cy="1524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362075" cy="152400"/>
                      </a:xfrm>
                      <a:prstGeom prst="rect">
                        <a:avLst/>
                      </a:prstGeom>
                    </wps:spPr>
                    <wps:txbx>
                      <w:txbxContent>
                        <w:p>
                          <w:pPr>
                            <w:spacing w:line="223" w:lineRule="exact" w:before="0"/>
                            <w:ind w:left="20" w:right="0" w:firstLine="0"/>
                            <w:jc w:val="left"/>
                            <w:rPr>
                              <w:rFonts w:ascii="Calibri"/>
                              <w:b/>
                              <w:sz w:val="20"/>
                            </w:rPr>
                          </w:pPr>
                          <w:r>
                            <w:rPr>
                              <w:rFonts w:ascii="Calibri"/>
                              <w:b/>
                              <w:sz w:val="20"/>
                            </w:rPr>
                            <w:t>PART-I</w:t>
                          </w:r>
                          <w:r>
                            <w:rPr>
                              <w:rFonts w:ascii="Calibri"/>
                              <w:b/>
                              <w:spacing w:val="-7"/>
                              <w:sz w:val="20"/>
                            </w:rPr>
                            <w:t> </w:t>
                          </w:r>
                          <w:r>
                            <w:rPr>
                              <w:rFonts w:ascii="Calibri"/>
                              <w:b/>
                              <w:spacing w:val="-2"/>
                              <w:sz w:val="20"/>
                            </w:rPr>
                            <w:t>ADMINISTRATION</w:t>
                          </w:r>
                        </w:p>
                      </w:txbxContent>
                    </wps:txbx>
                    <wps:bodyPr wrap="square" lIns="0" tIns="0" rIns="0" bIns="0" rtlCol="0">
                      <a:noAutofit/>
                    </wps:bodyPr>
                  </wps:wsp>
                </a:graphicData>
              </a:graphic>
            </wp:anchor>
          </w:drawing>
        </mc:Choice>
        <mc:Fallback>
          <w:pict>
            <v:shape style="position:absolute;margin-left:57.439999pt;margin-top:63.649982pt;width:107.25pt;height:12pt;mso-position-horizontal-relative:page;mso-position-vertical-relative:page;z-index:-31972864" type="#_x0000_t202" id="docshape33" filled="false" stroked="false">
              <v:textbox inset="0,0,0,0">
                <w:txbxContent>
                  <w:p>
                    <w:pPr>
                      <w:spacing w:line="223" w:lineRule="exact" w:before="0"/>
                      <w:ind w:left="20" w:right="0" w:firstLine="0"/>
                      <w:jc w:val="left"/>
                      <w:rPr>
                        <w:rFonts w:ascii="Calibri"/>
                        <w:b/>
                        <w:sz w:val="20"/>
                      </w:rPr>
                    </w:pPr>
                    <w:r>
                      <w:rPr>
                        <w:rFonts w:ascii="Calibri"/>
                        <w:b/>
                        <w:sz w:val="20"/>
                      </w:rPr>
                      <w:t>PART-I</w:t>
                    </w:r>
                    <w:r>
                      <w:rPr>
                        <w:rFonts w:ascii="Calibri"/>
                        <w:b/>
                        <w:spacing w:val="-7"/>
                        <w:sz w:val="20"/>
                      </w:rPr>
                      <w:t> </w:t>
                    </w:r>
                    <w:r>
                      <w:rPr>
                        <w:rFonts w:ascii="Calibri"/>
                        <w:b/>
                        <w:spacing w:val="-2"/>
                        <w:sz w:val="20"/>
                      </w:rPr>
                      <w:t>ADMINISTRATION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46176">
              <wp:simplePos x="0" y="0"/>
              <wp:positionH relativeFrom="page">
                <wp:posOffset>734377</wp:posOffset>
              </wp:positionH>
              <wp:positionV relativeFrom="page">
                <wp:posOffset>658113</wp:posOffset>
              </wp:positionV>
              <wp:extent cx="6076950" cy="28067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076950" cy="280670"/>
                        <a:chExt cx="6076950" cy="280670"/>
                      </a:xfrm>
                    </wpg:grpSpPr>
                    <pic:pic>
                      <pic:nvPicPr>
                        <pic:cNvPr id="49" name="Image 49"/>
                        <pic:cNvPicPr/>
                      </pic:nvPicPr>
                      <pic:blipFill>
                        <a:blip r:embed="rId1" cstate="print"/>
                        <a:stretch>
                          <a:fillRect/>
                        </a:stretch>
                      </pic:blipFill>
                      <pic:spPr>
                        <a:xfrm>
                          <a:off x="4924234" y="137413"/>
                          <a:ext cx="1152143" cy="143255"/>
                        </a:xfrm>
                        <a:prstGeom prst="rect">
                          <a:avLst/>
                        </a:prstGeom>
                      </pic:spPr>
                    </pic:pic>
                    <pic:pic>
                      <pic:nvPicPr>
                        <pic:cNvPr id="50" name="Image 50"/>
                        <pic:cNvPicPr/>
                      </pic:nvPicPr>
                      <pic:blipFill>
                        <a:blip r:embed="rId2" cstate="print"/>
                        <a:stretch>
                          <a:fillRect/>
                        </a:stretch>
                      </pic:blipFill>
                      <pic:spPr>
                        <a:xfrm>
                          <a:off x="5171122" y="6350"/>
                          <a:ext cx="899159" cy="266065"/>
                        </a:xfrm>
                        <a:prstGeom prst="rect">
                          <a:avLst/>
                        </a:prstGeom>
                      </pic:spPr>
                    </pic:pic>
                    <wps:wsp>
                      <wps:cNvPr id="51" name="Graphic 51"/>
                      <wps:cNvSpPr/>
                      <wps:spPr>
                        <a:xfrm>
                          <a:off x="5171122" y="6350"/>
                          <a:ext cx="899160" cy="266065"/>
                        </a:xfrm>
                        <a:custGeom>
                          <a:avLst/>
                          <a:gdLst/>
                          <a:ahLst/>
                          <a:cxnLst/>
                          <a:rect l="l" t="t" r="r" b="b"/>
                          <a:pathLst>
                            <a:path w="899160" h="266065">
                              <a:moveTo>
                                <a:pt x="0" y="266065"/>
                              </a:moveTo>
                              <a:lnTo>
                                <a:pt x="899159" y="266065"/>
                              </a:lnTo>
                              <a:lnTo>
                                <a:pt x="899159"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52" name="Graphic 52"/>
                      <wps:cNvSpPr/>
                      <wps:spPr>
                        <a:xfrm>
                          <a:off x="4762" y="271525"/>
                          <a:ext cx="6066155" cy="1270"/>
                        </a:xfrm>
                        <a:custGeom>
                          <a:avLst/>
                          <a:gdLst/>
                          <a:ahLst/>
                          <a:cxnLst/>
                          <a:rect l="l" t="t" r="r" b="b"/>
                          <a:pathLst>
                            <a:path w="6066155" h="635">
                              <a:moveTo>
                                <a:pt x="0" y="0"/>
                              </a:moveTo>
                              <a:lnTo>
                                <a:pt x="6066155" y="635"/>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825001pt;margin-top:51.819984pt;width:478.5pt;height:22.1pt;mso-position-horizontal-relative:page;mso-position-vertical-relative:page;z-index:-31970304" id="docshapegroup43" coordorigin="1157,1036" coordsize="9570,442">
              <v:shape style="position:absolute;left:8911;top:1252;width:1815;height:226" type="#_x0000_t75" id="docshape44" stroked="false">
                <v:imagedata r:id="rId1" o:title=""/>
              </v:shape>
              <v:shape style="position:absolute;left:9300;top:1046;width:1416;height:419" type="#_x0000_t75" id="docshape45" stroked="false">
                <v:imagedata r:id="rId2" o:title=""/>
              </v:shape>
              <v:rect style="position:absolute;left:9300;top:1046;width:1416;height:419" id="docshape46" filled="false" stroked="true" strokeweight="1pt" strokecolor="#666666">
                <v:stroke dashstyle="solid"/>
              </v:rect>
              <v:line style="position:absolute" from="1164,1464" to="10717,1465"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46688">
              <wp:simplePos x="0" y="0"/>
              <wp:positionH relativeFrom="page">
                <wp:posOffset>6002273</wp:posOffset>
              </wp:positionH>
              <wp:positionV relativeFrom="page">
                <wp:posOffset>706417</wp:posOffset>
              </wp:positionV>
              <wp:extent cx="708660" cy="16700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2.619995pt;margin-top:55.623459pt;width:55.8pt;height:13.15pt;mso-position-horizontal-relative:page;mso-position-vertical-relative:page;z-index:-31969792" type="#_x0000_t202" id="docshape47"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47200">
              <wp:simplePos x="0" y="0"/>
              <wp:positionH relativeFrom="page">
                <wp:posOffset>798372</wp:posOffset>
              </wp:positionH>
              <wp:positionV relativeFrom="page">
                <wp:posOffset>769169</wp:posOffset>
              </wp:positionV>
              <wp:extent cx="2393950" cy="16573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393950" cy="165735"/>
                      </a:xfrm>
                      <a:prstGeom prst="rect">
                        <a:avLst/>
                      </a:prstGeom>
                    </wps:spPr>
                    <wps:txbx>
                      <w:txbxContent>
                        <w:p>
                          <w:pPr>
                            <w:spacing w:before="10"/>
                            <w:ind w:left="20" w:right="0" w:firstLine="0"/>
                            <w:jc w:val="left"/>
                            <w:rPr>
                              <w:rFonts w:ascii="Times New Roman"/>
                              <w:b/>
                              <w:sz w:val="20"/>
                            </w:rPr>
                          </w:pPr>
                          <w:r>
                            <w:rPr>
                              <w:rFonts w:ascii="Times New Roman"/>
                              <w:b/>
                              <w:sz w:val="20"/>
                            </w:rPr>
                            <w:t>PART</w:t>
                          </w:r>
                          <w:r>
                            <w:rPr>
                              <w:rFonts w:ascii="Times New Roman"/>
                              <w:b/>
                              <w:spacing w:val="-7"/>
                              <w:sz w:val="20"/>
                            </w:rPr>
                            <w:t> </w:t>
                          </w:r>
                          <w:r>
                            <w:rPr>
                              <w:rFonts w:ascii="Times New Roman"/>
                              <w:b/>
                              <w:sz w:val="20"/>
                            </w:rPr>
                            <w:t>II</w:t>
                          </w:r>
                          <w:r>
                            <w:rPr>
                              <w:rFonts w:ascii="Times New Roman"/>
                              <w:b/>
                              <w:spacing w:val="39"/>
                              <w:sz w:val="20"/>
                            </w:rPr>
                            <w:t> </w:t>
                          </w:r>
                          <w:r>
                            <w:rPr>
                              <w:rFonts w:ascii="Times New Roman"/>
                              <w:b/>
                              <w:sz w:val="20"/>
                            </w:rPr>
                            <w:t>DEVELOPMENT</w:t>
                          </w:r>
                          <w:r>
                            <w:rPr>
                              <w:rFonts w:ascii="Times New Roman"/>
                              <w:b/>
                              <w:spacing w:val="-4"/>
                              <w:sz w:val="20"/>
                            </w:rPr>
                            <w:t> </w:t>
                          </w:r>
                          <w:r>
                            <w:rPr>
                              <w:rFonts w:ascii="Times New Roman"/>
                              <w:b/>
                              <w:spacing w:val="-2"/>
                              <w:sz w:val="20"/>
                            </w:rPr>
                            <w:t>PERMISSION</w:t>
                          </w:r>
                        </w:p>
                      </w:txbxContent>
                    </wps:txbx>
                    <wps:bodyPr wrap="square" lIns="0" tIns="0" rIns="0" bIns="0" rtlCol="0">
                      <a:noAutofit/>
                    </wps:bodyPr>
                  </wps:wsp>
                </a:graphicData>
              </a:graphic>
            </wp:anchor>
          </w:drawing>
        </mc:Choice>
        <mc:Fallback>
          <w:pict>
            <v:shape style="position:absolute;margin-left:62.863998pt;margin-top:60.564495pt;width:188.5pt;height:13.05pt;mso-position-horizontal-relative:page;mso-position-vertical-relative:page;z-index:-31969280" type="#_x0000_t202" id="docshape48" filled="false" stroked="false">
              <v:textbox inset="0,0,0,0">
                <w:txbxContent>
                  <w:p>
                    <w:pPr>
                      <w:spacing w:before="10"/>
                      <w:ind w:left="20" w:right="0" w:firstLine="0"/>
                      <w:jc w:val="left"/>
                      <w:rPr>
                        <w:rFonts w:ascii="Times New Roman"/>
                        <w:b/>
                        <w:sz w:val="20"/>
                      </w:rPr>
                    </w:pPr>
                    <w:r>
                      <w:rPr>
                        <w:rFonts w:ascii="Times New Roman"/>
                        <w:b/>
                        <w:sz w:val="20"/>
                      </w:rPr>
                      <w:t>PART</w:t>
                    </w:r>
                    <w:r>
                      <w:rPr>
                        <w:rFonts w:ascii="Times New Roman"/>
                        <w:b/>
                        <w:spacing w:val="-7"/>
                        <w:sz w:val="20"/>
                      </w:rPr>
                      <w:t> </w:t>
                    </w:r>
                    <w:r>
                      <w:rPr>
                        <w:rFonts w:ascii="Times New Roman"/>
                        <w:b/>
                        <w:sz w:val="20"/>
                      </w:rPr>
                      <w:t>II</w:t>
                    </w:r>
                    <w:r>
                      <w:rPr>
                        <w:rFonts w:ascii="Times New Roman"/>
                        <w:b/>
                        <w:spacing w:val="39"/>
                        <w:sz w:val="20"/>
                      </w:rPr>
                      <w:t> </w:t>
                    </w:r>
                    <w:r>
                      <w:rPr>
                        <w:rFonts w:ascii="Times New Roman"/>
                        <w:b/>
                        <w:sz w:val="20"/>
                      </w:rPr>
                      <w:t>DEVELOPMENT</w:t>
                    </w:r>
                    <w:r>
                      <w:rPr>
                        <w:rFonts w:ascii="Times New Roman"/>
                        <w:b/>
                        <w:spacing w:val="-4"/>
                        <w:sz w:val="20"/>
                      </w:rPr>
                      <w:t> </w:t>
                    </w:r>
                    <w:r>
                      <w:rPr>
                        <w:rFonts w:ascii="Times New Roman"/>
                        <w:b/>
                        <w:spacing w:val="-2"/>
                        <w:sz w:val="20"/>
                      </w:rPr>
                      <w:t>PERMISSION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48224">
              <wp:simplePos x="0" y="0"/>
              <wp:positionH relativeFrom="page">
                <wp:posOffset>813752</wp:posOffset>
              </wp:positionH>
              <wp:positionV relativeFrom="page">
                <wp:posOffset>473709</wp:posOffset>
              </wp:positionV>
              <wp:extent cx="5805170" cy="28067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5805170" cy="280670"/>
                        <a:chExt cx="5805170" cy="280670"/>
                      </a:xfrm>
                    </wpg:grpSpPr>
                    <pic:pic>
                      <pic:nvPicPr>
                        <pic:cNvPr id="73" name="Image 73"/>
                        <pic:cNvPicPr/>
                      </pic:nvPicPr>
                      <pic:blipFill>
                        <a:blip r:embed="rId1" cstate="print"/>
                        <a:stretch>
                          <a:fillRect/>
                        </a:stretch>
                      </pic:blipFill>
                      <pic:spPr>
                        <a:xfrm>
                          <a:off x="4655889" y="137413"/>
                          <a:ext cx="1149083" cy="143255"/>
                        </a:xfrm>
                        <a:prstGeom prst="rect">
                          <a:avLst/>
                        </a:prstGeom>
                      </pic:spPr>
                    </pic:pic>
                    <pic:pic>
                      <pic:nvPicPr>
                        <pic:cNvPr id="74" name="Image 74"/>
                        <pic:cNvPicPr/>
                      </pic:nvPicPr>
                      <pic:blipFill>
                        <a:blip r:embed="rId2" cstate="print"/>
                        <a:stretch>
                          <a:fillRect/>
                        </a:stretch>
                      </pic:blipFill>
                      <pic:spPr>
                        <a:xfrm>
                          <a:off x="4902771" y="6350"/>
                          <a:ext cx="895984" cy="266065"/>
                        </a:xfrm>
                        <a:prstGeom prst="rect">
                          <a:avLst/>
                        </a:prstGeom>
                      </pic:spPr>
                    </pic:pic>
                    <wps:wsp>
                      <wps:cNvPr id="75" name="Graphic 75"/>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76" name="Graphic 76"/>
                      <wps:cNvSpPr/>
                      <wps:spPr>
                        <a:xfrm>
                          <a:off x="4762" y="27241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37.299984pt;width:457.1pt;height:22.1pt;mso-position-horizontal-relative:page;mso-position-vertical-relative:page;z-index:-31968256" id="docshapegroup58" coordorigin="1281,746" coordsize="9142,442">
              <v:shape style="position:absolute;left:8613;top:962;width:1810;height:226" type="#_x0000_t75" id="docshape59" stroked="false">
                <v:imagedata r:id="rId1" o:title=""/>
              </v:shape>
              <v:shape style="position:absolute;left:9002;top:756;width:1411;height:419" type="#_x0000_t75" id="docshape60" stroked="false">
                <v:imagedata r:id="rId2" o:title=""/>
              </v:shape>
              <v:rect style="position:absolute;left:9002;top:756;width:1411;height:419" id="docshape61" filled="false" stroked="true" strokeweight="1pt" strokecolor="#666666">
                <v:stroke dashstyle="solid"/>
              </v:rect>
              <v:line style="position:absolute" from="1289,1175" to="10414,1176"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48736">
              <wp:simplePos x="0" y="0"/>
              <wp:positionH relativeFrom="page">
                <wp:posOffset>5810250</wp:posOffset>
              </wp:positionH>
              <wp:positionV relativeFrom="page">
                <wp:posOffset>523537</wp:posOffset>
              </wp:positionV>
              <wp:extent cx="708660" cy="16700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41.223461pt;width:55.8pt;height:13.15pt;mso-position-horizontal-relative:page;mso-position-vertical-relative:page;z-index:-31967744" type="#_x0000_t202" id="docshape62"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49248">
              <wp:simplePos x="0" y="0"/>
              <wp:positionH relativeFrom="page">
                <wp:posOffset>879144</wp:posOffset>
              </wp:positionH>
              <wp:positionV relativeFrom="page">
                <wp:posOffset>586289</wp:posOffset>
              </wp:positionV>
              <wp:extent cx="3435350" cy="16573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3435350" cy="165735"/>
                      </a:xfrm>
                      <a:prstGeom prst="rect">
                        <a:avLst/>
                      </a:prstGeom>
                    </wps:spPr>
                    <wps:txbx>
                      <w:txbxContent>
                        <w:p>
                          <w:pPr>
                            <w:spacing w:before="10"/>
                            <w:ind w:left="20" w:right="0" w:firstLine="0"/>
                            <w:jc w:val="left"/>
                            <w:rPr>
                              <w:rFonts w:ascii="Times New Roman"/>
                              <w:b/>
                              <w:sz w:val="20"/>
                            </w:rPr>
                          </w:pPr>
                          <w:r>
                            <w:rPr>
                              <w:rFonts w:ascii="Times New Roman"/>
                              <w:b/>
                              <w:sz w:val="20"/>
                            </w:rPr>
                            <w:t>PART</w:t>
                          </w:r>
                          <w:r>
                            <w:rPr>
                              <w:rFonts w:ascii="Times New Roman"/>
                              <w:b/>
                              <w:spacing w:val="-5"/>
                              <w:sz w:val="20"/>
                            </w:rPr>
                            <w:t> </w:t>
                          </w:r>
                          <w:r>
                            <w:rPr>
                              <w:rFonts w:ascii="Times New Roman"/>
                              <w:b/>
                              <w:sz w:val="20"/>
                            </w:rPr>
                            <w:t>III</w:t>
                          </w:r>
                          <w:r>
                            <w:rPr>
                              <w:rFonts w:ascii="Times New Roman"/>
                              <w:b/>
                              <w:spacing w:val="-5"/>
                              <w:sz w:val="20"/>
                            </w:rPr>
                            <w:t> </w:t>
                          </w:r>
                          <w:r>
                            <w:rPr>
                              <w:rFonts w:ascii="Times New Roman"/>
                              <w:b/>
                              <w:sz w:val="20"/>
                            </w:rPr>
                            <w:t>LAND</w:t>
                          </w:r>
                          <w:r>
                            <w:rPr>
                              <w:rFonts w:ascii="Times New Roman"/>
                              <w:b/>
                              <w:spacing w:val="-4"/>
                              <w:sz w:val="20"/>
                            </w:rPr>
                            <w:t> </w:t>
                          </w:r>
                          <w:r>
                            <w:rPr>
                              <w:rFonts w:ascii="Times New Roman"/>
                              <w:b/>
                              <w:sz w:val="20"/>
                            </w:rPr>
                            <w:t>USES</w:t>
                          </w:r>
                          <w:r>
                            <w:rPr>
                              <w:rFonts w:ascii="Times New Roman"/>
                              <w:b/>
                              <w:spacing w:val="-5"/>
                              <w:sz w:val="20"/>
                            </w:rPr>
                            <w:t> </w:t>
                          </w:r>
                          <w:r>
                            <w:rPr>
                              <w:rFonts w:ascii="Times New Roman"/>
                              <w:b/>
                              <w:sz w:val="20"/>
                            </w:rPr>
                            <w:t>AND</w:t>
                          </w:r>
                          <w:r>
                            <w:rPr>
                              <w:rFonts w:ascii="Times New Roman"/>
                              <w:b/>
                              <w:spacing w:val="-3"/>
                              <w:sz w:val="20"/>
                            </w:rPr>
                            <w:t> </w:t>
                          </w:r>
                          <w:r>
                            <w:rPr>
                              <w:rFonts w:ascii="Times New Roman"/>
                              <w:b/>
                              <w:sz w:val="20"/>
                            </w:rPr>
                            <w:t>MANNER</w:t>
                          </w:r>
                          <w:r>
                            <w:rPr>
                              <w:rFonts w:ascii="Times New Roman"/>
                              <w:b/>
                              <w:spacing w:val="-5"/>
                              <w:sz w:val="20"/>
                            </w:rPr>
                            <w:t> </w:t>
                          </w:r>
                          <w:r>
                            <w:rPr>
                              <w:rFonts w:ascii="Times New Roman"/>
                              <w:b/>
                              <w:sz w:val="20"/>
                            </w:rPr>
                            <w:t>OF</w:t>
                          </w:r>
                          <w:r>
                            <w:rPr>
                              <w:rFonts w:ascii="Times New Roman"/>
                              <w:b/>
                              <w:spacing w:val="-4"/>
                              <w:sz w:val="20"/>
                            </w:rPr>
                            <w:t> </w:t>
                          </w:r>
                          <w:r>
                            <w:rPr>
                              <w:rFonts w:ascii="Times New Roman"/>
                              <w:b/>
                              <w:spacing w:val="-2"/>
                              <w:sz w:val="20"/>
                            </w:rPr>
                            <w:t>DEVELOPMENT</w:t>
                          </w:r>
                        </w:p>
                      </w:txbxContent>
                    </wps:txbx>
                    <wps:bodyPr wrap="square" lIns="0" tIns="0" rIns="0" bIns="0" rtlCol="0">
                      <a:noAutofit/>
                    </wps:bodyPr>
                  </wps:wsp>
                </a:graphicData>
              </a:graphic>
            </wp:anchor>
          </w:drawing>
        </mc:Choice>
        <mc:Fallback>
          <w:pict>
            <v:shape style="position:absolute;margin-left:69.223999pt;margin-top:46.164494pt;width:270.5pt;height:13.05pt;mso-position-horizontal-relative:page;mso-position-vertical-relative:page;z-index:-31967232" type="#_x0000_t202" id="docshape63" filled="false" stroked="false">
              <v:textbox inset="0,0,0,0">
                <w:txbxContent>
                  <w:p>
                    <w:pPr>
                      <w:spacing w:before="10"/>
                      <w:ind w:left="20" w:right="0" w:firstLine="0"/>
                      <w:jc w:val="left"/>
                      <w:rPr>
                        <w:rFonts w:ascii="Times New Roman"/>
                        <w:b/>
                        <w:sz w:val="20"/>
                      </w:rPr>
                    </w:pPr>
                    <w:r>
                      <w:rPr>
                        <w:rFonts w:ascii="Times New Roman"/>
                        <w:b/>
                        <w:sz w:val="20"/>
                      </w:rPr>
                      <w:t>PART</w:t>
                    </w:r>
                    <w:r>
                      <w:rPr>
                        <w:rFonts w:ascii="Times New Roman"/>
                        <w:b/>
                        <w:spacing w:val="-5"/>
                        <w:sz w:val="20"/>
                      </w:rPr>
                      <w:t> </w:t>
                    </w:r>
                    <w:r>
                      <w:rPr>
                        <w:rFonts w:ascii="Times New Roman"/>
                        <w:b/>
                        <w:sz w:val="20"/>
                      </w:rPr>
                      <w:t>III</w:t>
                    </w:r>
                    <w:r>
                      <w:rPr>
                        <w:rFonts w:ascii="Times New Roman"/>
                        <w:b/>
                        <w:spacing w:val="-5"/>
                        <w:sz w:val="20"/>
                      </w:rPr>
                      <w:t> </w:t>
                    </w:r>
                    <w:r>
                      <w:rPr>
                        <w:rFonts w:ascii="Times New Roman"/>
                        <w:b/>
                        <w:sz w:val="20"/>
                      </w:rPr>
                      <w:t>LAND</w:t>
                    </w:r>
                    <w:r>
                      <w:rPr>
                        <w:rFonts w:ascii="Times New Roman"/>
                        <w:b/>
                        <w:spacing w:val="-4"/>
                        <w:sz w:val="20"/>
                      </w:rPr>
                      <w:t> </w:t>
                    </w:r>
                    <w:r>
                      <w:rPr>
                        <w:rFonts w:ascii="Times New Roman"/>
                        <w:b/>
                        <w:sz w:val="20"/>
                      </w:rPr>
                      <w:t>USES</w:t>
                    </w:r>
                    <w:r>
                      <w:rPr>
                        <w:rFonts w:ascii="Times New Roman"/>
                        <w:b/>
                        <w:spacing w:val="-5"/>
                        <w:sz w:val="20"/>
                      </w:rPr>
                      <w:t> </w:t>
                    </w:r>
                    <w:r>
                      <w:rPr>
                        <w:rFonts w:ascii="Times New Roman"/>
                        <w:b/>
                        <w:sz w:val="20"/>
                      </w:rPr>
                      <w:t>AND</w:t>
                    </w:r>
                    <w:r>
                      <w:rPr>
                        <w:rFonts w:ascii="Times New Roman"/>
                        <w:b/>
                        <w:spacing w:val="-3"/>
                        <w:sz w:val="20"/>
                      </w:rPr>
                      <w:t> </w:t>
                    </w:r>
                    <w:r>
                      <w:rPr>
                        <w:rFonts w:ascii="Times New Roman"/>
                        <w:b/>
                        <w:sz w:val="20"/>
                      </w:rPr>
                      <w:t>MANNER</w:t>
                    </w:r>
                    <w:r>
                      <w:rPr>
                        <w:rFonts w:ascii="Times New Roman"/>
                        <w:b/>
                        <w:spacing w:val="-5"/>
                        <w:sz w:val="20"/>
                      </w:rPr>
                      <w:t> </w:t>
                    </w:r>
                    <w:r>
                      <w:rPr>
                        <w:rFonts w:ascii="Times New Roman"/>
                        <w:b/>
                        <w:sz w:val="20"/>
                      </w:rPr>
                      <w:t>OF</w:t>
                    </w:r>
                    <w:r>
                      <w:rPr>
                        <w:rFonts w:ascii="Times New Roman"/>
                        <w:b/>
                        <w:spacing w:val="-4"/>
                        <w:sz w:val="20"/>
                      </w:rPr>
                      <w:t> </w:t>
                    </w:r>
                    <w:r>
                      <w:rPr>
                        <w:rFonts w:ascii="Times New Roman"/>
                        <w:b/>
                        <w:spacing w:val="-2"/>
                        <w:sz w:val="20"/>
                      </w:rPr>
                      <w:t>DEVELOPMENT</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51808">
              <wp:simplePos x="0" y="0"/>
              <wp:positionH relativeFrom="page">
                <wp:posOffset>813752</wp:posOffset>
              </wp:positionH>
              <wp:positionV relativeFrom="page">
                <wp:posOffset>473709</wp:posOffset>
              </wp:positionV>
              <wp:extent cx="5805170" cy="28067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5805170" cy="280670"/>
                        <a:chExt cx="5805170" cy="280670"/>
                      </a:xfrm>
                    </wpg:grpSpPr>
                    <pic:pic>
                      <pic:nvPicPr>
                        <pic:cNvPr id="88" name="Image 88"/>
                        <pic:cNvPicPr/>
                      </pic:nvPicPr>
                      <pic:blipFill>
                        <a:blip r:embed="rId1" cstate="print"/>
                        <a:stretch>
                          <a:fillRect/>
                        </a:stretch>
                      </pic:blipFill>
                      <pic:spPr>
                        <a:xfrm>
                          <a:off x="4655889" y="137413"/>
                          <a:ext cx="1149083" cy="143255"/>
                        </a:xfrm>
                        <a:prstGeom prst="rect">
                          <a:avLst/>
                        </a:prstGeom>
                      </pic:spPr>
                    </pic:pic>
                    <pic:pic>
                      <pic:nvPicPr>
                        <pic:cNvPr id="89" name="Image 89"/>
                        <pic:cNvPicPr/>
                      </pic:nvPicPr>
                      <pic:blipFill>
                        <a:blip r:embed="rId2" cstate="print"/>
                        <a:stretch>
                          <a:fillRect/>
                        </a:stretch>
                      </pic:blipFill>
                      <pic:spPr>
                        <a:xfrm>
                          <a:off x="4902771" y="6350"/>
                          <a:ext cx="895984" cy="266065"/>
                        </a:xfrm>
                        <a:prstGeom prst="rect">
                          <a:avLst/>
                        </a:prstGeom>
                      </pic:spPr>
                    </pic:pic>
                    <wps:wsp>
                      <wps:cNvPr id="90" name="Graphic 90"/>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91" name="Graphic 91"/>
                      <wps:cNvSpPr/>
                      <wps:spPr>
                        <a:xfrm>
                          <a:off x="4762" y="27241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37.299984pt;width:457.1pt;height:22.1pt;mso-position-horizontal-relative:page;mso-position-vertical-relative:page;z-index:-31964672" id="docshapegroup71" coordorigin="1281,746" coordsize="9142,442">
              <v:shape style="position:absolute;left:8613;top:962;width:1810;height:226" type="#_x0000_t75" id="docshape72" stroked="false">
                <v:imagedata r:id="rId1" o:title=""/>
              </v:shape>
              <v:shape style="position:absolute;left:9002;top:756;width:1411;height:419" type="#_x0000_t75" id="docshape73" stroked="false">
                <v:imagedata r:id="rId2" o:title=""/>
              </v:shape>
              <v:rect style="position:absolute;left:9002;top:756;width:1411;height:419" id="docshape74" filled="false" stroked="true" strokeweight="1pt" strokecolor="#666666">
                <v:stroke dashstyle="solid"/>
              </v:rect>
              <v:line style="position:absolute" from="1289,1175" to="10414,1176"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52320">
              <wp:simplePos x="0" y="0"/>
              <wp:positionH relativeFrom="page">
                <wp:posOffset>5810250</wp:posOffset>
              </wp:positionH>
              <wp:positionV relativeFrom="page">
                <wp:posOffset>523537</wp:posOffset>
              </wp:positionV>
              <wp:extent cx="708660" cy="16700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41.223461pt;width:55.8pt;height:13.15pt;mso-position-horizontal-relative:page;mso-position-vertical-relative:page;z-index:-31964160" type="#_x0000_t202" id="docshape75"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52832">
              <wp:simplePos x="0" y="0"/>
              <wp:positionH relativeFrom="page">
                <wp:posOffset>879144</wp:posOffset>
              </wp:positionH>
              <wp:positionV relativeFrom="page">
                <wp:posOffset>586289</wp:posOffset>
              </wp:positionV>
              <wp:extent cx="3435350" cy="16573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3435350" cy="165735"/>
                      </a:xfrm>
                      <a:prstGeom prst="rect">
                        <a:avLst/>
                      </a:prstGeom>
                    </wps:spPr>
                    <wps:txbx>
                      <w:txbxContent>
                        <w:p>
                          <w:pPr>
                            <w:spacing w:before="10"/>
                            <w:ind w:left="20" w:right="0" w:firstLine="0"/>
                            <w:jc w:val="left"/>
                            <w:rPr>
                              <w:rFonts w:ascii="Times New Roman"/>
                              <w:b/>
                              <w:sz w:val="20"/>
                            </w:rPr>
                          </w:pPr>
                          <w:r>
                            <w:rPr>
                              <w:rFonts w:ascii="Times New Roman"/>
                              <w:b/>
                              <w:sz w:val="20"/>
                            </w:rPr>
                            <w:t>PART</w:t>
                          </w:r>
                          <w:r>
                            <w:rPr>
                              <w:rFonts w:ascii="Times New Roman"/>
                              <w:b/>
                              <w:spacing w:val="-5"/>
                              <w:sz w:val="20"/>
                            </w:rPr>
                            <w:t> </w:t>
                          </w:r>
                          <w:r>
                            <w:rPr>
                              <w:rFonts w:ascii="Times New Roman"/>
                              <w:b/>
                              <w:sz w:val="20"/>
                            </w:rPr>
                            <w:t>III</w:t>
                          </w:r>
                          <w:r>
                            <w:rPr>
                              <w:rFonts w:ascii="Times New Roman"/>
                              <w:b/>
                              <w:spacing w:val="-5"/>
                              <w:sz w:val="20"/>
                            </w:rPr>
                            <w:t> </w:t>
                          </w:r>
                          <w:r>
                            <w:rPr>
                              <w:rFonts w:ascii="Times New Roman"/>
                              <w:b/>
                              <w:sz w:val="20"/>
                            </w:rPr>
                            <w:t>LAND</w:t>
                          </w:r>
                          <w:r>
                            <w:rPr>
                              <w:rFonts w:ascii="Times New Roman"/>
                              <w:b/>
                              <w:spacing w:val="-4"/>
                              <w:sz w:val="20"/>
                            </w:rPr>
                            <w:t> </w:t>
                          </w:r>
                          <w:r>
                            <w:rPr>
                              <w:rFonts w:ascii="Times New Roman"/>
                              <w:b/>
                              <w:sz w:val="20"/>
                            </w:rPr>
                            <w:t>USES</w:t>
                          </w:r>
                          <w:r>
                            <w:rPr>
                              <w:rFonts w:ascii="Times New Roman"/>
                              <w:b/>
                              <w:spacing w:val="-5"/>
                              <w:sz w:val="20"/>
                            </w:rPr>
                            <w:t> </w:t>
                          </w:r>
                          <w:r>
                            <w:rPr>
                              <w:rFonts w:ascii="Times New Roman"/>
                              <w:b/>
                              <w:sz w:val="20"/>
                            </w:rPr>
                            <w:t>AND</w:t>
                          </w:r>
                          <w:r>
                            <w:rPr>
                              <w:rFonts w:ascii="Times New Roman"/>
                              <w:b/>
                              <w:spacing w:val="-3"/>
                              <w:sz w:val="20"/>
                            </w:rPr>
                            <w:t> </w:t>
                          </w:r>
                          <w:r>
                            <w:rPr>
                              <w:rFonts w:ascii="Times New Roman"/>
                              <w:b/>
                              <w:sz w:val="20"/>
                            </w:rPr>
                            <w:t>MANNER</w:t>
                          </w:r>
                          <w:r>
                            <w:rPr>
                              <w:rFonts w:ascii="Times New Roman"/>
                              <w:b/>
                              <w:spacing w:val="-5"/>
                              <w:sz w:val="20"/>
                            </w:rPr>
                            <w:t> </w:t>
                          </w:r>
                          <w:r>
                            <w:rPr>
                              <w:rFonts w:ascii="Times New Roman"/>
                              <w:b/>
                              <w:sz w:val="20"/>
                            </w:rPr>
                            <w:t>OF</w:t>
                          </w:r>
                          <w:r>
                            <w:rPr>
                              <w:rFonts w:ascii="Times New Roman"/>
                              <w:b/>
                              <w:spacing w:val="-4"/>
                              <w:sz w:val="20"/>
                            </w:rPr>
                            <w:t> </w:t>
                          </w:r>
                          <w:r>
                            <w:rPr>
                              <w:rFonts w:ascii="Times New Roman"/>
                              <w:b/>
                              <w:spacing w:val="-2"/>
                              <w:sz w:val="20"/>
                            </w:rPr>
                            <w:t>DEVELOPMENT</w:t>
                          </w:r>
                        </w:p>
                      </w:txbxContent>
                    </wps:txbx>
                    <wps:bodyPr wrap="square" lIns="0" tIns="0" rIns="0" bIns="0" rtlCol="0">
                      <a:noAutofit/>
                    </wps:bodyPr>
                  </wps:wsp>
                </a:graphicData>
              </a:graphic>
            </wp:anchor>
          </w:drawing>
        </mc:Choice>
        <mc:Fallback>
          <w:pict>
            <v:shape style="position:absolute;margin-left:69.223999pt;margin-top:46.164494pt;width:270.5pt;height:13.05pt;mso-position-horizontal-relative:page;mso-position-vertical-relative:page;z-index:-31963648" type="#_x0000_t202" id="docshape76" filled="false" stroked="false">
              <v:textbox inset="0,0,0,0">
                <w:txbxContent>
                  <w:p>
                    <w:pPr>
                      <w:spacing w:before="10"/>
                      <w:ind w:left="20" w:right="0" w:firstLine="0"/>
                      <w:jc w:val="left"/>
                      <w:rPr>
                        <w:rFonts w:ascii="Times New Roman"/>
                        <w:b/>
                        <w:sz w:val="20"/>
                      </w:rPr>
                    </w:pPr>
                    <w:r>
                      <w:rPr>
                        <w:rFonts w:ascii="Times New Roman"/>
                        <w:b/>
                        <w:sz w:val="20"/>
                      </w:rPr>
                      <w:t>PART</w:t>
                    </w:r>
                    <w:r>
                      <w:rPr>
                        <w:rFonts w:ascii="Times New Roman"/>
                        <w:b/>
                        <w:spacing w:val="-5"/>
                        <w:sz w:val="20"/>
                      </w:rPr>
                      <w:t> </w:t>
                    </w:r>
                    <w:r>
                      <w:rPr>
                        <w:rFonts w:ascii="Times New Roman"/>
                        <w:b/>
                        <w:sz w:val="20"/>
                      </w:rPr>
                      <w:t>III</w:t>
                    </w:r>
                    <w:r>
                      <w:rPr>
                        <w:rFonts w:ascii="Times New Roman"/>
                        <w:b/>
                        <w:spacing w:val="-5"/>
                        <w:sz w:val="20"/>
                      </w:rPr>
                      <w:t> </w:t>
                    </w:r>
                    <w:r>
                      <w:rPr>
                        <w:rFonts w:ascii="Times New Roman"/>
                        <w:b/>
                        <w:sz w:val="20"/>
                      </w:rPr>
                      <w:t>LAND</w:t>
                    </w:r>
                    <w:r>
                      <w:rPr>
                        <w:rFonts w:ascii="Times New Roman"/>
                        <w:b/>
                        <w:spacing w:val="-4"/>
                        <w:sz w:val="20"/>
                      </w:rPr>
                      <w:t> </w:t>
                    </w:r>
                    <w:r>
                      <w:rPr>
                        <w:rFonts w:ascii="Times New Roman"/>
                        <w:b/>
                        <w:sz w:val="20"/>
                      </w:rPr>
                      <w:t>USES</w:t>
                    </w:r>
                    <w:r>
                      <w:rPr>
                        <w:rFonts w:ascii="Times New Roman"/>
                        <w:b/>
                        <w:spacing w:val="-5"/>
                        <w:sz w:val="20"/>
                      </w:rPr>
                      <w:t> </w:t>
                    </w:r>
                    <w:r>
                      <w:rPr>
                        <w:rFonts w:ascii="Times New Roman"/>
                        <w:b/>
                        <w:sz w:val="20"/>
                      </w:rPr>
                      <w:t>AND</w:t>
                    </w:r>
                    <w:r>
                      <w:rPr>
                        <w:rFonts w:ascii="Times New Roman"/>
                        <w:b/>
                        <w:spacing w:val="-3"/>
                        <w:sz w:val="20"/>
                      </w:rPr>
                      <w:t> </w:t>
                    </w:r>
                    <w:r>
                      <w:rPr>
                        <w:rFonts w:ascii="Times New Roman"/>
                        <w:b/>
                        <w:sz w:val="20"/>
                      </w:rPr>
                      <w:t>MANNER</w:t>
                    </w:r>
                    <w:r>
                      <w:rPr>
                        <w:rFonts w:ascii="Times New Roman"/>
                        <w:b/>
                        <w:spacing w:val="-5"/>
                        <w:sz w:val="20"/>
                      </w:rPr>
                      <w:t> </w:t>
                    </w:r>
                    <w:r>
                      <w:rPr>
                        <w:rFonts w:ascii="Times New Roman"/>
                        <w:b/>
                        <w:sz w:val="20"/>
                      </w:rPr>
                      <w:t>OF</w:t>
                    </w:r>
                    <w:r>
                      <w:rPr>
                        <w:rFonts w:ascii="Times New Roman"/>
                        <w:b/>
                        <w:spacing w:val="-4"/>
                        <w:sz w:val="20"/>
                      </w:rPr>
                      <w:t> </w:t>
                    </w:r>
                    <w:r>
                      <w:rPr>
                        <w:rFonts w:ascii="Times New Roman"/>
                        <w:b/>
                        <w:spacing w:val="-2"/>
                        <w:sz w:val="20"/>
                      </w:rPr>
                      <w:t>DEVELOPMENT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55392">
              <wp:simplePos x="0" y="0"/>
              <wp:positionH relativeFrom="page">
                <wp:posOffset>813752</wp:posOffset>
              </wp:positionH>
              <wp:positionV relativeFrom="page">
                <wp:posOffset>473709</wp:posOffset>
              </wp:positionV>
              <wp:extent cx="5805170" cy="280670"/>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5805170" cy="280670"/>
                        <a:chExt cx="5805170" cy="280670"/>
                      </a:xfrm>
                    </wpg:grpSpPr>
                    <pic:pic>
                      <pic:nvPicPr>
                        <pic:cNvPr id="103" name="Image 103"/>
                        <pic:cNvPicPr/>
                      </pic:nvPicPr>
                      <pic:blipFill>
                        <a:blip r:embed="rId1" cstate="print"/>
                        <a:stretch>
                          <a:fillRect/>
                        </a:stretch>
                      </pic:blipFill>
                      <pic:spPr>
                        <a:xfrm>
                          <a:off x="4655889" y="137413"/>
                          <a:ext cx="1149083" cy="143255"/>
                        </a:xfrm>
                        <a:prstGeom prst="rect">
                          <a:avLst/>
                        </a:prstGeom>
                      </pic:spPr>
                    </pic:pic>
                    <pic:pic>
                      <pic:nvPicPr>
                        <pic:cNvPr id="104" name="Image 104"/>
                        <pic:cNvPicPr/>
                      </pic:nvPicPr>
                      <pic:blipFill>
                        <a:blip r:embed="rId2" cstate="print"/>
                        <a:stretch>
                          <a:fillRect/>
                        </a:stretch>
                      </pic:blipFill>
                      <pic:spPr>
                        <a:xfrm>
                          <a:off x="4902771" y="6350"/>
                          <a:ext cx="895984" cy="266065"/>
                        </a:xfrm>
                        <a:prstGeom prst="rect">
                          <a:avLst/>
                        </a:prstGeom>
                      </pic:spPr>
                    </pic:pic>
                    <wps:wsp>
                      <wps:cNvPr id="105" name="Graphic 105"/>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106" name="Graphic 106"/>
                      <wps:cNvSpPr/>
                      <wps:spPr>
                        <a:xfrm>
                          <a:off x="4762" y="27241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37.299984pt;width:457.1pt;height:22.1pt;mso-position-horizontal-relative:page;mso-position-vertical-relative:page;z-index:-31961088" id="docshapegroup84" coordorigin="1281,746" coordsize="9142,442">
              <v:shape style="position:absolute;left:8613;top:962;width:1810;height:226" type="#_x0000_t75" id="docshape85" stroked="false">
                <v:imagedata r:id="rId1" o:title=""/>
              </v:shape>
              <v:shape style="position:absolute;left:9002;top:756;width:1411;height:419" type="#_x0000_t75" id="docshape86" stroked="false">
                <v:imagedata r:id="rId2" o:title=""/>
              </v:shape>
              <v:rect style="position:absolute;left:9002;top:756;width:1411;height:419" id="docshape87" filled="false" stroked="true" strokeweight="1pt" strokecolor="#666666">
                <v:stroke dashstyle="solid"/>
              </v:rect>
              <v:line style="position:absolute" from="1289,1175" to="10414,1176"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55904">
              <wp:simplePos x="0" y="0"/>
              <wp:positionH relativeFrom="page">
                <wp:posOffset>5810250</wp:posOffset>
              </wp:positionH>
              <wp:positionV relativeFrom="page">
                <wp:posOffset>523537</wp:posOffset>
              </wp:positionV>
              <wp:extent cx="708660" cy="16700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41.223461pt;width:55.8pt;height:13.15pt;mso-position-horizontal-relative:page;mso-position-vertical-relative:page;z-index:-31960576" type="#_x0000_t202" id="docshape88"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56416">
              <wp:simplePos x="0" y="0"/>
              <wp:positionH relativeFrom="page">
                <wp:posOffset>879144</wp:posOffset>
              </wp:positionH>
              <wp:positionV relativeFrom="page">
                <wp:posOffset>586289</wp:posOffset>
              </wp:positionV>
              <wp:extent cx="3435350" cy="16573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3435350" cy="165735"/>
                      </a:xfrm>
                      <a:prstGeom prst="rect">
                        <a:avLst/>
                      </a:prstGeom>
                    </wps:spPr>
                    <wps:txbx>
                      <w:txbxContent>
                        <w:p>
                          <w:pPr>
                            <w:spacing w:before="10"/>
                            <w:ind w:left="20" w:right="0" w:firstLine="0"/>
                            <w:jc w:val="left"/>
                            <w:rPr>
                              <w:rFonts w:ascii="Times New Roman"/>
                              <w:b/>
                              <w:sz w:val="20"/>
                            </w:rPr>
                          </w:pPr>
                          <w:r>
                            <w:rPr>
                              <w:rFonts w:ascii="Times New Roman"/>
                              <w:b/>
                              <w:sz w:val="20"/>
                            </w:rPr>
                            <w:t>PART</w:t>
                          </w:r>
                          <w:r>
                            <w:rPr>
                              <w:rFonts w:ascii="Times New Roman"/>
                              <w:b/>
                              <w:spacing w:val="-5"/>
                              <w:sz w:val="20"/>
                            </w:rPr>
                            <w:t> </w:t>
                          </w:r>
                          <w:r>
                            <w:rPr>
                              <w:rFonts w:ascii="Times New Roman"/>
                              <w:b/>
                              <w:sz w:val="20"/>
                            </w:rPr>
                            <w:t>III</w:t>
                          </w:r>
                          <w:r>
                            <w:rPr>
                              <w:rFonts w:ascii="Times New Roman"/>
                              <w:b/>
                              <w:spacing w:val="-5"/>
                              <w:sz w:val="20"/>
                            </w:rPr>
                            <w:t> </w:t>
                          </w:r>
                          <w:r>
                            <w:rPr>
                              <w:rFonts w:ascii="Times New Roman"/>
                              <w:b/>
                              <w:sz w:val="20"/>
                            </w:rPr>
                            <w:t>LAND</w:t>
                          </w:r>
                          <w:r>
                            <w:rPr>
                              <w:rFonts w:ascii="Times New Roman"/>
                              <w:b/>
                              <w:spacing w:val="-4"/>
                              <w:sz w:val="20"/>
                            </w:rPr>
                            <w:t> </w:t>
                          </w:r>
                          <w:r>
                            <w:rPr>
                              <w:rFonts w:ascii="Times New Roman"/>
                              <w:b/>
                              <w:sz w:val="20"/>
                            </w:rPr>
                            <w:t>USES</w:t>
                          </w:r>
                          <w:r>
                            <w:rPr>
                              <w:rFonts w:ascii="Times New Roman"/>
                              <w:b/>
                              <w:spacing w:val="-5"/>
                              <w:sz w:val="20"/>
                            </w:rPr>
                            <w:t> </w:t>
                          </w:r>
                          <w:r>
                            <w:rPr>
                              <w:rFonts w:ascii="Times New Roman"/>
                              <w:b/>
                              <w:sz w:val="20"/>
                            </w:rPr>
                            <w:t>AND</w:t>
                          </w:r>
                          <w:r>
                            <w:rPr>
                              <w:rFonts w:ascii="Times New Roman"/>
                              <w:b/>
                              <w:spacing w:val="-3"/>
                              <w:sz w:val="20"/>
                            </w:rPr>
                            <w:t> </w:t>
                          </w:r>
                          <w:r>
                            <w:rPr>
                              <w:rFonts w:ascii="Times New Roman"/>
                              <w:b/>
                              <w:sz w:val="20"/>
                            </w:rPr>
                            <w:t>MANNER</w:t>
                          </w:r>
                          <w:r>
                            <w:rPr>
                              <w:rFonts w:ascii="Times New Roman"/>
                              <w:b/>
                              <w:spacing w:val="-5"/>
                              <w:sz w:val="20"/>
                            </w:rPr>
                            <w:t> </w:t>
                          </w:r>
                          <w:r>
                            <w:rPr>
                              <w:rFonts w:ascii="Times New Roman"/>
                              <w:b/>
                              <w:sz w:val="20"/>
                            </w:rPr>
                            <w:t>OF</w:t>
                          </w:r>
                          <w:r>
                            <w:rPr>
                              <w:rFonts w:ascii="Times New Roman"/>
                              <w:b/>
                              <w:spacing w:val="-4"/>
                              <w:sz w:val="20"/>
                            </w:rPr>
                            <w:t> </w:t>
                          </w:r>
                          <w:r>
                            <w:rPr>
                              <w:rFonts w:ascii="Times New Roman"/>
                              <w:b/>
                              <w:spacing w:val="-2"/>
                              <w:sz w:val="20"/>
                            </w:rPr>
                            <w:t>DEVELOPMENT</w:t>
                          </w:r>
                        </w:p>
                      </w:txbxContent>
                    </wps:txbx>
                    <wps:bodyPr wrap="square" lIns="0" tIns="0" rIns="0" bIns="0" rtlCol="0">
                      <a:noAutofit/>
                    </wps:bodyPr>
                  </wps:wsp>
                </a:graphicData>
              </a:graphic>
            </wp:anchor>
          </w:drawing>
        </mc:Choice>
        <mc:Fallback>
          <w:pict>
            <v:shape style="position:absolute;margin-left:69.223999pt;margin-top:46.164494pt;width:270.5pt;height:13.05pt;mso-position-horizontal-relative:page;mso-position-vertical-relative:page;z-index:-31960064" type="#_x0000_t202" id="docshape89" filled="false" stroked="false">
              <v:textbox inset="0,0,0,0">
                <w:txbxContent>
                  <w:p>
                    <w:pPr>
                      <w:spacing w:before="10"/>
                      <w:ind w:left="20" w:right="0" w:firstLine="0"/>
                      <w:jc w:val="left"/>
                      <w:rPr>
                        <w:rFonts w:ascii="Times New Roman"/>
                        <w:b/>
                        <w:sz w:val="20"/>
                      </w:rPr>
                    </w:pPr>
                    <w:r>
                      <w:rPr>
                        <w:rFonts w:ascii="Times New Roman"/>
                        <w:b/>
                        <w:sz w:val="20"/>
                      </w:rPr>
                      <w:t>PART</w:t>
                    </w:r>
                    <w:r>
                      <w:rPr>
                        <w:rFonts w:ascii="Times New Roman"/>
                        <w:b/>
                        <w:spacing w:val="-5"/>
                        <w:sz w:val="20"/>
                      </w:rPr>
                      <w:t> </w:t>
                    </w:r>
                    <w:r>
                      <w:rPr>
                        <w:rFonts w:ascii="Times New Roman"/>
                        <w:b/>
                        <w:sz w:val="20"/>
                      </w:rPr>
                      <w:t>III</w:t>
                    </w:r>
                    <w:r>
                      <w:rPr>
                        <w:rFonts w:ascii="Times New Roman"/>
                        <w:b/>
                        <w:spacing w:val="-5"/>
                        <w:sz w:val="20"/>
                      </w:rPr>
                      <w:t> </w:t>
                    </w:r>
                    <w:r>
                      <w:rPr>
                        <w:rFonts w:ascii="Times New Roman"/>
                        <w:b/>
                        <w:sz w:val="20"/>
                      </w:rPr>
                      <w:t>LAND</w:t>
                    </w:r>
                    <w:r>
                      <w:rPr>
                        <w:rFonts w:ascii="Times New Roman"/>
                        <w:b/>
                        <w:spacing w:val="-4"/>
                        <w:sz w:val="20"/>
                      </w:rPr>
                      <w:t> </w:t>
                    </w:r>
                    <w:r>
                      <w:rPr>
                        <w:rFonts w:ascii="Times New Roman"/>
                        <w:b/>
                        <w:sz w:val="20"/>
                      </w:rPr>
                      <w:t>USES</w:t>
                    </w:r>
                    <w:r>
                      <w:rPr>
                        <w:rFonts w:ascii="Times New Roman"/>
                        <w:b/>
                        <w:spacing w:val="-5"/>
                        <w:sz w:val="20"/>
                      </w:rPr>
                      <w:t> </w:t>
                    </w:r>
                    <w:r>
                      <w:rPr>
                        <w:rFonts w:ascii="Times New Roman"/>
                        <w:b/>
                        <w:sz w:val="20"/>
                      </w:rPr>
                      <w:t>AND</w:t>
                    </w:r>
                    <w:r>
                      <w:rPr>
                        <w:rFonts w:ascii="Times New Roman"/>
                        <w:b/>
                        <w:spacing w:val="-3"/>
                        <w:sz w:val="20"/>
                      </w:rPr>
                      <w:t> </w:t>
                    </w:r>
                    <w:r>
                      <w:rPr>
                        <w:rFonts w:ascii="Times New Roman"/>
                        <w:b/>
                        <w:sz w:val="20"/>
                      </w:rPr>
                      <w:t>MANNER</w:t>
                    </w:r>
                    <w:r>
                      <w:rPr>
                        <w:rFonts w:ascii="Times New Roman"/>
                        <w:b/>
                        <w:spacing w:val="-5"/>
                        <w:sz w:val="20"/>
                      </w:rPr>
                      <w:t> </w:t>
                    </w:r>
                    <w:r>
                      <w:rPr>
                        <w:rFonts w:ascii="Times New Roman"/>
                        <w:b/>
                        <w:sz w:val="20"/>
                      </w:rPr>
                      <w:t>OF</w:t>
                    </w:r>
                    <w:r>
                      <w:rPr>
                        <w:rFonts w:ascii="Times New Roman"/>
                        <w:b/>
                        <w:spacing w:val="-4"/>
                        <w:sz w:val="20"/>
                      </w:rPr>
                      <w:t> </w:t>
                    </w:r>
                    <w:r>
                      <w:rPr>
                        <w:rFonts w:ascii="Times New Roman"/>
                        <w:b/>
                        <w:spacing w:val="-2"/>
                        <w:sz w:val="20"/>
                      </w:rPr>
                      <w:t>DEVELOPMENT</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58976">
              <wp:simplePos x="0" y="0"/>
              <wp:positionH relativeFrom="page">
                <wp:posOffset>813752</wp:posOffset>
              </wp:positionH>
              <wp:positionV relativeFrom="page">
                <wp:posOffset>473709</wp:posOffset>
              </wp:positionV>
              <wp:extent cx="5805170" cy="28067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5805170" cy="280670"/>
                        <a:chExt cx="5805170" cy="280670"/>
                      </a:xfrm>
                    </wpg:grpSpPr>
                    <pic:pic>
                      <pic:nvPicPr>
                        <pic:cNvPr id="119" name="Image 119"/>
                        <pic:cNvPicPr/>
                      </pic:nvPicPr>
                      <pic:blipFill>
                        <a:blip r:embed="rId1" cstate="print"/>
                        <a:stretch>
                          <a:fillRect/>
                        </a:stretch>
                      </pic:blipFill>
                      <pic:spPr>
                        <a:xfrm>
                          <a:off x="4655889" y="137413"/>
                          <a:ext cx="1149083" cy="143255"/>
                        </a:xfrm>
                        <a:prstGeom prst="rect">
                          <a:avLst/>
                        </a:prstGeom>
                      </pic:spPr>
                    </pic:pic>
                    <pic:pic>
                      <pic:nvPicPr>
                        <pic:cNvPr id="120" name="Image 120"/>
                        <pic:cNvPicPr/>
                      </pic:nvPicPr>
                      <pic:blipFill>
                        <a:blip r:embed="rId2" cstate="print"/>
                        <a:stretch>
                          <a:fillRect/>
                        </a:stretch>
                      </pic:blipFill>
                      <pic:spPr>
                        <a:xfrm>
                          <a:off x="4902771" y="6350"/>
                          <a:ext cx="895984" cy="266065"/>
                        </a:xfrm>
                        <a:prstGeom prst="rect">
                          <a:avLst/>
                        </a:prstGeom>
                      </pic:spPr>
                    </pic:pic>
                    <wps:wsp>
                      <wps:cNvPr id="121" name="Graphic 121"/>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122" name="Graphic 122"/>
                      <wps:cNvSpPr/>
                      <wps:spPr>
                        <a:xfrm>
                          <a:off x="4762" y="27241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37.299984pt;width:457.1pt;height:22.1pt;mso-position-horizontal-relative:page;mso-position-vertical-relative:page;z-index:-31957504" id="docshapegroup98" coordorigin="1281,746" coordsize="9142,442">
              <v:shape style="position:absolute;left:8613;top:962;width:1810;height:226" type="#_x0000_t75" id="docshape99" stroked="false">
                <v:imagedata r:id="rId1" o:title=""/>
              </v:shape>
              <v:shape style="position:absolute;left:9002;top:756;width:1411;height:419" type="#_x0000_t75" id="docshape100" stroked="false">
                <v:imagedata r:id="rId2" o:title=""/>
              </v:shape>
              <v:rect style="position:absolute;left:9002;top:756;width:1411;height:419" id="docshape101" filled="false" stroked="true" strokeweight="1pt" strokecolor="#666666">
                <v:stroke dashstyle="solid"/>
              </v:rect>
              <v:line style="position:absolute" from="1289,1175" to="10414,1176"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59488">
              <wp:simplePos x="0" y="0"/>
              <wp:positionH relativeFrom="page">
                <wp:posOffset>5810250</wp:posOffset>
              </wp:positionH>
              <wp:positionV relativeFrom="page">
                <wp:posOffset>523537</wp:posOffset>
              </wp:positionV>
              <wp:extent cx="708660" cy="16700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41.223461pt;width:55.8pt;height:13.15pt;mso-position-horizontal-relative:page;mso-position-vertical-relative:page;z-index:-31956992" type="#_x0000_t202" id="docshape102"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60000">
              <wp:simplePos x="0" y="0"/>
              <wp:positionH relativeFrom="page">
                <wp:posOffset>879144</wp:posOffset>
              </wp:positionH>
              <wp:positionV relativeFrom="page">
                <wp:posOffset>586289</wp:posOffset>
              </wp:positionV>
              <wp:extent cx="3435350" cy="16573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3435350" cy="165735"/>
                      </a:xfrm>
                      <a:prstGeom prst="rect">
                        <a:avLst/>
                      </a:prstGeom>
                    </wps:spPr>
                    <wps:txbx>
                      <w:txbxContent>
                        <w:p>
                          <w:pPr>
                            <w:spacing w:before="10"/>
                            <w:ind w:left="20" w:right="0" w:firstLine="0"/>
                            <w:jc w:val="left"/>
                            <w:rPr>
                              <w:rFonts w:ascii="Times New Roman"/>
                              <w:b/>
                              <w:sz w:val="20"/>
                            </w:rPr>
                          </w:pPr>
                          <w:r>
                            <w:rPr>
                              <w:rFonts w:ascii="Times New Roman"/>
                              <w:b/>
                              <w:sz w:val="20"/>
                            </w:rPr>
                            <w:t>PART</w:t>
                          </w:r>
                          <w:r>
                            <w:rPr>
                              <w:rFonts w:ascii="Times New Roman"/>
                              <w:b/>
                              <w:spacing w:val="-5"/>
                              <w:sz w:val="20"/>
                            </w:rPr>
                            <w:t> </w:t>
                          </w:r>
                          <w:r>
                            <w:rPr>
                              <w:rFonts w:ascii="Times New Roman"/>
                              <w:b/>
                              <w:sz w:val="20"/>
                            </w:rPr>
                            <w:t>III</w:t>
                          </w:r>
                          <w:r>
                            <w:rPr>
                              <w:rFonts w:ascii="Times New Roman"/>
                              <w:b/>
                              <w:spacing w:val="-5"/>
                              <w:sz w:val="20"/>
                            </w:rPr>
                            <w:t> </w:t>
                          </w:r>
                          <w:r>
                            <w:rPr>
                              <w:rFonts w:ascii="Times New Roman"/>
                              <w:b/>
                              <w:sz w:val="20"/>
                            </w:rPr>
                            <w:t>LAND</w:t>
                          </w:r>
                          <w:r>
                            <w:rPr>
                              <w:rFonts w:ascii="Times New Roman"/>
                              <w:b/>
                              <w:spacing w:val="-4"/>
                              <w:sz w:val="20"/>
                            </w:rPr>
                            <w:t> </w:t>
                          </w:r>
                          <w:r>
                            <w:rPr>
                              <w:rFonts w:ascii="Times New Roman"/>
                              <w:b/>
                              <w:sz w:val="20"/>
                            </w:rPr>
                            <w:t>USES</w:t>
                          </w:r>
                          <w:r>
                            <w:rPr>
                              <w:rFonts w:ascii="Times New Roman"/>
                              <w:b/>
                              <w:spacing w:val="-5"/>
                              <w:sz w:val="20"/>
                            </w:rPr>
                            <w:t> </w:t>
                          </w:r>
                          <w:r>
                            <w:rPr>
                              <w:rFonts w:ascii="Times New Roman"/>
                              <w:b/>
                              <w:sz w:val="20"/>
                            </w:rPr>
                            <w:t>AND</w:t>
                          </w:r>
                          <w:r>
                            <w:rPr>
                              <w:rFonts w:ascii="Times New Roman"/>
                              <w:b/>
                              <w:spacing w:val="-3"/>
                              <w:sz w:val="20"/>
                            </w:rPr>
                            <w:t> </w:t>
                          </w:r>
                          <w:r>
                            <w:rPr>
                              <w:rFonts w:ascii="Times New Roman"/>
                              <w:b/>
                              <w:sz w:val="20"/>
                            </w:rPr>
                            <w:t>MANNER</w:t>
                          </w:r>
                          <w:r>
                            <w:rPr>
                              <w:rFonts w:ascii="Times New Roman"/>
                              <w:b/>
                              <w:spacing w:val="-5"/>
                              <w:sz w:val="20"/>
                            </w:rPr>
                            <w:t> </w:t>
                          </w:r>
                          <w:r>
                            <w:rPr>
                              <w:rFonts w:ascii="Times New Roman"/>
                              <w:b/>
                              <w:sz w:val="20"/>
                            </w:rPr>
                            <w:t>OF</w:t>
                          </w:r>
                          <w:r>
                            <w:rPr>
                              <w:rFonts w:ascii="Times New Roman"/>
                              <w:b/>
                              <w:spacing w:val="-4"/>
                              <w:sz w:val="20"/>
                            </w:rPr>
                            <w:t> </w:t>
                          </w:r>
                          <w:r>
                            <w:rPr>
                              <w:rFonts w:ascii="Times New Roman"/>
                              <w:b/>
                              <w:spacing w:val="-2"/>
                              <w:sz w:val="20"/>
                            </w:rPr>
                            <w:t>DEVELOPMENT</w:t>
                          </w:r>
                        </w:p>
                      </w:txbxContent>
                    </wps:txbx>
                    <wps:bodyPr wrap="square" lIns="0" tIns="0" rIns="0" bIns="0" rtlCol="0">
                      <a:noAutofit/>
                    </wps:bodyPr>
                  </wps:wsp>
                </a:graphicData>
              </a:graphic>
            </wp:anchor>
          </w:drawing>
        </mc:Choice>
        <mc:Fallback>
          <w:pict>
            <v:shape style="position:absolute;margin-left:69.223999pt;margin-top:46.164494pt;width:270.5pt;height:13.05pt;mso-position-horizontal-relative:page;mso-position-vertical-relative:page;z-index:-31956480" type="#_x0000_t202" id="docshape103" filled="false" stroked="false">
              <v:textbox inset="0,0,0,0">
                <w:txbxContent>
                  <w:p>
                    <w:pPr>
                      <w:spacing w:before="10"/>
                      <w:ind w:left="20" w:right="0" w:firstLine="0"/>
                      <w:jc w:val="left"/>
                      <w:rPr>
                        <w:rFonts w:ascii="Times New Roman"/>
                        <w:b/>
                        <w:sz w:val="20"/>
                      </w:rPr>
                    </w:pPr>
                    <w:r>
                      <w:rPr>
                        <w:rFonts w:ascii="Times New Roman"/>
                        <w:b/>
                        <w:sz w:val="20"/>
                      </w:rPr>
                      <w:t>PART</w:t>
                    </w:r>
                    <w:r>
                      <w:rPr>
                        <w:rFonts w:ascii="Times New Roman"/>
                        <w:b/>
                        <w:spacing w:val="-5"/>
                        <w:sz w:val="20"/>
                      </w:rPr>
                      <w:t> </w:t>
                    </w:r>
                    <w:r>
                      <w:rPr>
                        <w:rFonts w:ascii="Times New Roman"/>
                        <w:b/>
                        <w:sz w:val="20"/>
                      </w:rPr>
                      <w:t>III</w:t>
                    </w:r>
                    <w:r>
                      <w:rPr>
                        <w:rFonts w:ascii="Times New Roman"/>
                        <w:b/>
                        <w:spacing w:val="-5"/>
                        <w:sz w:val="20"/>
                      </w:rPr>
                      <w:t> </w:t>
                    </w:r>
                    <w:r>
                      <w:rPr>
                        <w:rFonts w:ascii="Times New Roman"/>
                        <w:b/>
                        <w:sz w:val="20"/>
                      </w:rPr>
                      <w:t>LAND</w:t>
                    </w:r>
                    <w:r>
                      <w:rPr>
                        <w:rFonts w:ascii="Times New Roman"/>
                        <w:b/>
                        <w:spacing w:val="-4"/>
                        <w:sz w:val="20"/>
                      </w:rPr>
                      <w:t> </w:t>
                    </w:r>
                    <w:r>
                      <w:rPr>
                        <w:rFonts w:ascii="Times New Roman"/>
                        <w:b/>
                        <w:sz w:val="20"/>
                      </w:rPr>
                      <w:t>USES</w:t>
                    </w:r>
                    <w:r>
                      <w:rPr>
                        <w:rFonts w:ascii="Times New Roman"/>
                        <w:b/>
                        <w:spacing w:val="-5"/>
                        <w:sz w:val="20"/>
                      </w:rPr>
                      <w:t> </w:t>
                    </w:r>
                    <w:r>
                      <w:rPr>
                        <w:rFonts w:ascii="Times New Roman"/>
                        <w:b/>
                        <w:sz w:val="20"/>
                      </w:rPr>
                      <w:t>AND</w:t>
                    </w:r>
                    <w:r>
                      <w:rPr>
                        <w:rFonts w:ascii="Times New Roman"/>
                        <w:b/>
                        <w:spacing w:val="-3"/>
                        <w:sz w:val="20"/>
                      </w:rPr>
                      <w:t> </w:t>
                    </w:r>
                    <w:r>
                      <w:rPr>
                        <w:rFonts w:ascii="Times New Roman"/>
                        <w:b/>
                        <w:sz w:val="20"/>
                      </w:rPr>
                      <w:t>MANNER</w:t>
                    </w:r>
                    <w:r>
                      <w:rPr>
                        <w:rFonts w:ascii="Times New Roman"/>
                        <w:b/>
                        <w:spacing w:val="-5"/>
                        <w:sz w:val="20"/>
                      </w:rPr>
                      <w:t> </w:t>
                    </w:r>
                    <w:r>
                      <w:rPr>
                        <w:rFonts w:ascii="Times New Roman"/>
                        <w:b/>
                        <w:sz w:val="20"/>
                      </w:rPr>
                      <w:t>OF</w:t>
                    </w:r>
                    <w:r>
                      <w:rPr>
                        <w:rFonts w:ascii="Times New Roman"/>
                        <w:b/>
                        <w:spacing w:val="-4"/>
                        <w:sz w:val="20"/>
                      </w:rPr>
                      <w:t> </w:t>
                    </w:r>
                    <w:r>
                      <w:rPr>
                        <w:rFonts w:ascii="Times New Roman"/>
                        <w:b/>
                        <w:spacing w:val="-2"/>
                        <w:sz w:val="20"/>
                      </w:rPr>
                      <w:t>DEVELOPMENT</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62560">
              <wp:simplePos x="0" y="0"/>
              <wp:positionH relativeFrom="page">
                <wp:posOffset>813752</wp:posOffset>
              </wp:positionH>
              <wp:positionV relativeFrom="page">
                <wp:posOffset>671829</wp:posOffset>
              </wp:positionV>
              <wp:extent cx="5805170" cy="28194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5805170" cy="281940"/>
                        <a:chExt cx="5805170" cy="281940"/>
                      </a:xfrm>
                    </wpg:grpSpPr>
                    <pic:pic>
                      <pic:nvPicPr>
                        <pic:cNvPr id="136" name="Image 136"/>
                        <pic:cNvPicPr/>
                      </pic:nvPicPr>
                      <pic:blipFill>
                        <a:blip r:embed="rId1" cstate="print"/>
                        <a:stretch>
                          <a:fillRect/>
                        </a:stretch>
                      </pic:blipFill>
                      <pic:spPr>
                        <a:xfrm>
                          <a:off x="4655889" y="137413"/>
                          <a:ext cx="1149083" cy="143255"/>
                        </a:xfrm>
                        <a:prstGeom prst="rect">
                          <a:avLst/>
                        </a:prstGeom>
                      </pic:spPr>
                    </pic:pic>
                    <pic:pic>
                      <pic:nvPicPr>
                        <pic:cNvPr id="137" name="Image 137"/>
                        <pic:cNvPicPr/>
                      </pic:nvPicPr>
                      <pic:blipFill>
                        <a:blip r:embed="rId2" cstate="print"/>
                        <a:stretch>
                          <a:fillRect/>
                        </a:stretch>
                      </pic:blipFill>
                      <pic:spPr>
                        <a:xfrm>
                          <a:off x="4902771" y="6350"/>
                          <a:ext cx="895984" cy="266065"/>
                        </a:xfrm>
                        <a:prstGeom prst="rect">
                          <a:avLst/>
                        </a:prstGeom>
                      </pic:spPr>
                    </pic:pic>
                    <wps:wsp>
                      <wps:cNvPr id="138" name="Graphic 138"/>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139" name="Graphic 139"/>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953920" id="docshapegroup113" coordorigin="1281,1058" coordsize="9142,444">
              <v:shape style="position:absolute;left:8613;top:1274;width:1810;height:226" type="#_x0000_t75" id="docshape114" stroked="false">
                <v:imagedata r:id="rId1" o:title=""/>
              </v:shape>
              <v:shape style="position:absolute;left:9002;top:1068;width:1411;height:419" type="#_x0000_t75" id="docshape115" stroked="false">
                <v:imagedata r:id="rId2" o:title=""/>
              </v:shape>
              <v:rect style="position:absolute;left:9002;top:1068;width:1411;height:419" id="docshape116"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63072">
              <wp:simplePos x="0" y="0"/>
              <wp:positionH relativeFrom="page">
                <wp:posOffset>5810250</wp:posOffset>
              </wp:positionH>
              <wp:positionV relativeFrom="page">
                <wp:posOffset>720133</wp:posOffset>
              </wp:positionV>
              <wp:extent cx="708660" cy="16700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953408" type="#_x0000_t202" id="docshape117"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63584">
              <wp:simplePos x="0" y="0"/>
              <wp:positionH relativeFrom="page">
                <wp:posOffset>879144</wp:posOffset>
              </wp:positionH>
              <wp:positionV relativeFrom="page">
                <wp:posOffset>808354</wp:posOffset>
              </wp:positionV>
              <wp:extent cx="2500630" cy="15240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500630" cy="152400"/>
                      </a:xfrm>
                      <a:prstGeom prst="rect">
                        <a:avLst/>
                      </a:prstGeom>
                    </wps:spPr>
                    <wps:txbx>
                      <w:txbxContent>
                        <w:p>
                          <w:pPr>
                            <w:spacing w:line="223" w:lineRule="exact" w:before="0"/>
                            <w:ind w:left="20" w:right="0" w:firstLine="0"/>
                            <w:jc w:val="left"/>
                            <w:rPr>
                              <w:rFonts w:ascii="Calibri"/>
                              <w:b/>
                              <w:sz w:val="20"/>
                            </w:rPr>
                          </w:pPr>
                          <w:r>
                            <w:rPr>
                              <w:rFonts w:ascii="Calibri"/>
                              <w:b/>
                              <w:sz w:val="20"/>
                            </w:rPr>
                            <w:t>PART</w:t>
                          </w:r>
                          <w:r>
                            <w:rPr>
                              <w:rFonts w:ascii="Calibri"/>
                              <w:b/>
                              <w:spacing w:val="-5"/>
                              <w:sz w:val="20"/>
                            </w:rPr>
                            <w:t> </w:t>
                          </w:r>
                          <w:r>
                            <w:rPr>
                              <w:rFonts w:ascii="Calibri"/>
                              <w:b/>
                              <w:sz w:val="20"/>
                            </w:rPr>
                            <w:t>-</w:t>
                          </w:r>
                          <w:r>
                            <w:rPr>
                              <w:rFonts w:ascii="Calibri"/>
                              <w:b/>
                              <w:spacing w:val="-5"/>
                              <w:sz w:val="20"/>
                            </w:rPr>
                            <w:t> </w:t>
                          </w:r>
                          <w:r>
                            <w:rPr>
                              <w:rFonts w:ascii="Calibri"/>
                              <w:b/>
                              <w:sz w:val="20"/>
                            </w:rPr>
                            <w:t>IV</w:t>
                          </w:r>
                          <w:r>
                            <w:rPr>
                              <w:rFonts w:ascii="Calibri"/>
                              <w:b/>
                              <w:spacing w:val="37"/>
                              <w:sz w:val="20"/>
                            </w:rPr>
                            <w:t> </w:t>
                          </w:r>
                          <w:r>
                            <w:rPr>
                              <w:rFonts w:ascii="Calibri"/>
                              <w:b/>
                              <w:sz w:val="20"/>
                            </w:rPr>
                            <w:t>REQUIREMENT</w:t>
                          </w:r>
                          <w:r>
                            <w:rPr>
                              <w:rFonts w:ascii="Calibri"/>
                              <w:b/>
                              <w:spacing w:val="-5"/>
                              <w:sz w:val="20"/>
                            </w:rPr>
                            <w:t> </w:t>
                          </w:r>
                          <w:r>
                            <w:rPr>
                              <w:rFonts w:ascii="Calibri"/>
                              <w:b/>
                              <w:sz w:val="20"/>
                            </w:rPr>
                            <w:t>OF</w:t>
                          </w:r>
                          <w:r>
                            <w:rPr>
                              <w:rFonts w:ascii="Calibri"/>
                              <w:b/>
                              <w:spacing w:val="-3"/>
                              <w:sz w:val="20"/>
                            </w:rPr>
                            <w:t> </w:t>
                          </w:r>
                          <w:r>
                            <w:rPr>
                              <w:rFonts w:ascii="Calibri"/>
                              <w:b/>
                              <w:sz w:val="20"/>
                            </w:rPr>
                            <w:t>SITE</w:t>
                          </w:r>
                          <w:r>
                            <w:rPr>
                              <w:rFonts w:ascii="Calibri"/>
                              <w:b/>
                              <w:spacing w:val="-6"/>
                              <w:sz w:val="20"/>
                            </w:rPr>
                            <w:t> </w:t>
                          </w:r>
                          <w:r>
                            <w:rPr>
                              <w:rFonts w:ascii="Calibri"/>
                              <w:b/>
                              <w:sz w:val="20"/>
                            </w:rPr>
                            <w:t>AND</w:t>
                          </w:r>
                          <w:r>
                            <w:rPr>
                              <w:rFonts w:ascii="Calibri"/>
                              <w:b/>
                              <w:spacing w:val="-5"/>
                              <w:sz w:val="20"/>
                            </w:rPr>
                            <w:t> </w:t>
                          </w:r>
                          <w:r>
                            <w:rPr>
                              <w:rFonts w:ascii="Calibri"/>
                              <w:b/>
                              <w:spacing w:val="-2"/>
                              <w:sz w:val="20"/>
                            </w:rPr>
                            <w:t>LAYOUT</w:t>
                          </w:r>
                        </w:p>
                      </w:txbxContent>
                    </wps:txbx>
                    <wps:bodyPr wrap="square" lIns="0" tIns="0" rIns="0" bIns="0" rtlCol="0">
                      <a:noAutofit/>
                    </wps:bodyPr>
                  </wps:wsp>
                </a:graphicData>
              </a:graphic>
            </wp:anchor>
          </w:drawing>
        </mc:Choice>
        <mc:Fallback>
          <w:pict>
            <v:shape style="position:absolute;margin-left:69.223999pt;margin-top:63.649982pt;width:196.9pt;height:12pt;mso-position-horizontal-relative:page;mso-position-vertical-relative:page;z-index:-31952896" type="#_x0000_t202" id="docshape118" filled="false" stroked="false">
              <v:textbox inset="0,0,0,0">
                <w:txbxContent>
                  <w:p>
                    <w:pPr>
                      <w:spacing w:line="223" w:lineRule="exact" w:before="0"/>
                      <w:ind w:left="20" w:right="0" w:firstLine="0"/>
                      <w:jc w:val="left"/>
                      <w:rPr>
                        <w:rFonts w:ascii="Calibri"/>
                        <w:b/>
                        <w:sz w:val="20"/>
                      </w:rPr>
                    </w:pPr>
                    <w:r>
                      <w:rPr>
                        <w:rFonts w:ascii="Calibri"/>
                        <w:b/>
                        <w:sz w:val="20"/>
                      </w:rPr>
                      <w:t>PART</w:t>
                    </w:r>
                    <w:r>
                      <w:rPr>
                        <w:rFonts w:ascii="Calibri"/>
                        <w:b/>
                        <w:spacing w:val="-5"/>
                        <w:sz w:val="20"/>
                      </w:rPr>
                      <w:t> </w:t>
                    </w:r>
                    <w:r>
                      <w:rPr>
                        <w:rFonts w:ascii="Calibri"/>
                        <w:b/>
                        <w:sz w:val="20"/>
                      </w:rPr>
                      <w:t>-</w:t>
                    </w:r>
                    <w:r>
                      <w:rPr>
                        <w:rFonts w:ascii="Calibri"/>
                        <w:b/>
                        <w:spacing w:val="-5"/>
                        <w:sz w:val="20"/>
                      </w:rPr>
                      <w:t> </w:t>
                    </w:r>
                    <w:r>
                      <w:rPr>
                        <w:rFonts w:ascii="Calibri"/>
                        <w:b/>
                        <w:sz w:val="20"/>
                      </w:rPr>
                      <w:t>IV</w:t>
                    </w:r>
                    <w:r>
                      <w:rPr>
                        <w:rFonts w:ascii="Calibri"/>
                        <w:b/>
                        <w:spacing w:val="37"/>
                        <w:sz w:val="20"/>
                      </w:rPr>
                      <w:t> </w:t>
                    </w:r>
                    <w:r>
                      <w:rPr>
                        <w:rFonts w:ascii="Calibri"/>
                        <w:b/>
                        <w:sz w:val="20"/>
                      </w:rPr>
                      <w:t>REQUIREMENT</w:t>
                    </w:r>
                    <w:r>
                      <w:rPr>
                        <w:rFonts w:ascii="Calibri"/>
                        <w:b/>
                        <w:spacing w:val="-5"/>
                        <w:sz w:val="20"/>
                      </w:rPr>
                      <w:t> </w:t>
                    </w:r>
                    <w:r>
                      <w:rPr>
                        <w:rFonts w:ascii="Calibri"/>
                        <w:b/>
                        <w:sz w:val="20"/>
                      </w:rPr>
                      <w:t>OF</w:t>
                    </w:r>
                    <w:r>
                      <w:rPr>
                        <w:rFonts w:ascii="Calibri"/>
                        <w:b/>
                        <w:spacing w:val="-3"/>
                        <w:sz w:val="20"/>
                      </w:rPr>
                      <w:t> </w:t>
                    </w:r>
                    <w:r>
                      <w:rPr>
                        <w:rFonts w:ascii="Calibri"/>
                        <w:b/>
                        <w:sz w:val="20"/>
                      </w:rPr>
                      <w:t>SITE</w:t>
                    </w:r>
                    <w:r>
                      <w:rPr>
                        <w:rFonts w:ascii="Calibri"/>
                        <w:b/>
                        <w:spacing w:val="-6"/>
                        <w:sz w:val="20"/>
                      </w:rPr>
                      <w:t> </w:t>
                    </w:r>
                    <w:r>
                      <w:rPr>
                        <w:rFonts w:ascii="Calibri"/>
                        <w:b/>
                        <w:sz w:val="20"/>
                      </w:rPr>
                      <w:t>AND</w:t>
                    </w:r>
                    <w:r>
                      <w:rPr>
                        <w:rFonts w:ascii="Calibri"/>
                        <w:b/>
                        <w:spacing w:val="-5"/>
                        <w:sz w:val="20"/>
                      </w:rPr>
                      <w:t> </w:t>
                    </w:r>
                    <w:r>
                      <w:rPr>
                        <w:rFonts w:ascii="Calibri"/>
                        <w:b/>
                        <w:spacing w:val="-2"/>
                        <w:sz w:val="20"/>
                      </w:rPr>
                      <w:t>LAYOUT</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66144">
              <wp:simplePos x="0" y="0"/>
              <wp:positionH relativeFrom="page">
                <wp:posOffset>813752</wp:posOffset>
              </wp:positionH>
              <wp:positionV relativeFrom="page">
                <wp:posOffset>671829</wp:posOffset>
              </wp:positionV>
              <wp:extent cx="5805170" cy="28194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5805170" cy="281940"/>
                        <a:chExt cx="5805170" cy="281940"/>
                      </a:xfrm>
                    </wpg:grpSpPr>
                    <pic:pic>
                      <pic:nvPicPr>
                        <pic:cNvPr id="151" name="Image 151"/>
                        <pic:cNvPicPr/>
                      </pic:nvPicPr>
                      <pic:blipFill>
                        <a:blip r:embed="rId1" cstate="print"/>
                        <a:stretch>
                          <a:fillRect/>
                        </a:stretch>
                      </pic:blipFill>
                      <pic:spPr>
                        <a:xfrm>
                          <a:off x="4655889" y="137413"/>
                          <a:ext cx="1149083" cy="143255"/>
                        </a:xfrm>
                        <a:prstGeom prst="rect">
                          <a:avLst/>
                        </a:prstGeom>
                      </pic:spPr>
                    </pic:pic>
                    <pic:pic>
                      <pic:nvPicPr>
                        <pic:cNvPr id="152" name="Image 152"/>
                        <pic:cNvPicPr/>
                      </pic:nvPicPr>
                      <pic:blipFill>
                        <a:blip r:embed="rId2" cstate="print"/>
                        <a:stretch>
                          <a:fillRect/>
                        </a:stretch>
                      </pic:blipFill>
                      <pic:spPr>
                        <a:xfrm>
                          <a:off x="4902771" y="6350"/>
                          <a:ext cx="895984" cy="266065"/>
                        </a:xfrm>
                        <a:prstGeom prst="rect">
                          <a:avLst/>
                        </a:prstGeom>
                      </pic:spPr>
                    </pic:pic>
                    <wps:wsp>
                      <wps:cNvPr id="153" name="Graphic 153"/>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154" name="Graphic 154"/>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950336" id="docshapegroup126" coordorigin="1281,1058" coordsize="9142,444">
              <v:shape style="position:absolute;left:8613;top:1274;width:1810;height:226" type="#_x0000_t75" id="docshape127" stroked="false">
                <v:imagedata r:id="rId1" o:title=""/>
              </v:shape>
              <v:shape style="position:absolute;left:9002;top:1068;width:1411;height:419" type="#_x0000_t75" id="docshape128" stroked="false">
                <v:imagedata r:id="rId2" o:title=""/>
              </v:shape>
              <v:rect style="position:absolute;left:9002;top:1068;width:1411;height:419" id="docshape129"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66656">
              <wp:simplePos x="0" y="0"/>
              <wp:positionH relativeFrom="page">
                <wp:posOffset>5810250</wp:posOffset>
              </wp:positionH>
              <wp:positionV relativeFrom="page">
                <wp:posOffset>720133</wp:posOffset>
              </wp:positionV>
              <wp:extent cx="708660" cy="16700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949824" type="#_x0000_t202" id="docshape130"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67168">
              <wp:simplePos x="0" y="0"/>
              <wp:positionH relativeFrom="page">
                <wp:posOffset>879144</wp:posOffset>
              </wp:positionH>
              <wp:positionV relativeFrom="page">
                <wp:posOffset>808354</wp:posOffset>
              </wp:positionV>
              <wp:extent cx="2500630" cy="15240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2500630" cy="152400"/>
                      </a:xfrm>
                      <a:prstGeom prst="rect">
                        <a:avLst/>
                      </a:prstGeom>
                    </wps:spPr>
                    <wps:txbx>
                      <w:txbxContent>
                        <w:p>
                          <w:pPr>
                            <w:spacing w:line="223" w:lineRule="exact" w:before="0"/>
                            <w:ind w:left="20" w:right="0" w:firstLine="0"/>
                            <w:jc w:val="left"/>
                            <w:rPr>
                              <w:rFonts w:ascii="Calibri"/>
                              <w:b/>
                              <w:sz w:val="20"/>
                            </w:rPr>
                          </w:pPr>
                          <w:r>
                            <w:rPr>
                              <w:rFonts w:ascii="Calibri"/>
                              <w:b/>
                              <w:sz w:val="20"/>
                            </w:rPr>
                            <w:t>PART</w:t>
                          </w:r>
                          <w:r>
                            <w:rPr>
                              <w:rFonts w:ascii="Calibri"/>
                              <w:b/>
                              <w:spacing w:val="-5"/>
                              <w:sz w:val="20"/>
                            </w:rPr>
                            <w:t> </w:t>
                          </w:r>
                          <w:r>
                            <w:rPr>
                              <w:rFonts w:ascii="Calibri"/>
                              <w:b/>
                              <w:sz w:val="20"/>
                            </w:rPr>
                            <w:t>-</w:t>
                          </w:r>
                          <w:r>
                            <w:rPr>
                              <w:rFonts w:ascii="Calibri"/>
                              <w:b/>
                              <w:spacing w:val="-5"/>
                              <w:sz w:val="20"/>
                            </w:rPr>
                            <w:t> </w:t>
                          </w:r>
                          <w:r>
                            <w:rPr>
                              <w:rFonts w:ascii="Calibri"/>
                              <w:b/>
                              <w:sz w:val="20"/>
                            </w:rPr>
                            <w:t>IV</w:t>
                          </w:r>
                          <w:r>
                            <w:rPr>
                              <w:rFonts w:ascii="Calibri"/>
                              <w:b/>
                              <w:spacing w:val="37"/>
                              <w:sz w:val="20"/>
                            </w:rPr>
                            <w:t> </w:t>
                          </w:r>
                          <w:r>
                            <w:rPr>
                              <w:rFonts w:ascii="Calibri"/>
                              <w:b/>
                              <w:sz w:val="20"/>
                            </w:rPr>
                            <w:t>REQUIREMENT</w:t>
                          </w:r>
                          <w:r>
                            <w:rPr>
                              <w:rFonts w:ascii="Calibri"/>
                              <w:b/>
                              <w:spacing w:val="-5"/>
                              <w:sz w:val="20"/>
                            </w:rPr>
                            <w:t> </w:t>
                          </w:r>
                          <w:r>
                            <w:rPr>
                              <w:rFonts w:ascii="Calibri"/>
                              <w:b/>
                              <w:sz w:val="20"/>
                            </w:rPr>
                            <w:t>OF</w:t>
                          </w:r>
                          <w:r>
                            <w:rPr>
                              <w:rFonts w:ascii="Calibri"/>
                              <w:b/>
                              <w:spacing w:val="-3"/>
                              <w:sz w:val="20"/>
                            </w:rPr>
                            <w:t> </w:t>
                          </w:r>
                          <w:r>
                            <w:rPr>
                              <w:rFonts w:ascii="Calibri"/>
                              <w:b/>
                              <w:sz w:val="20"/>
                            </w:rPr>
                            <w:t>SITE</w:t>
                          </w:r>
                          <w:r>
                            <w:rPr>
                              <w:rFonts w:ascii="Calibri"/>
                              <w:b/>
                              <w:spacing w:val="-6"/>
                              <w:sz w:val="20"/>
                            </w:rPr>
                            <w:t> </w:t>
                          </w:r>
                          <w:r>
                            <w:rPr>
                              <w:rFonts w:ascii="Calibri"/>
                              <w:b/>
                              <w:sz w:val="20"/>
                            </w:rPr>
                            <w:t>AND</w:t>
                          </w:r>
                          <w:r>
                            <w:rPr>
                              <w:rFonts w:ascii="Calibri"/>
                              <w:b/>
                              <w:spacing w:val="-5"/>
                              <w:sz w:val="20"/>
                            </w:rPr>
                            <w:t> </w:t>
                          </w:r>
                          <w:r>
                            <w:rPr>
                              <w:rFonts w:ascii="Calibri"/>
                              <w:b/>
                              <w:spacing w:val="-2"/>
                              <w:sz w:val="20"/>
                            </w:rPr>
                            <w:t>LAYOUT</w:t>
                          </w:r>
                        </w:p>
                      </w:txbxContent>
                    </wps:txbx>
                    <wps:bodyPr wrap="square" lIns="0" tIns="0" rIns="0" bIns="0" rtlCol="0">
                      <a:noAutofit/>
                    </wps:bodyPr>
                  </wps:wsp>
                </a:graphicData>
              </a:graphic>
            </wp:anchor>
          </w:drawing>
        </mc:Choice>
        <mc:Fallback>
          <w:pict>
            <v:shape style="position:absolute;margin-left:69.223999pt;margin-top:63.649982pt;width:196.9pt;height:12pt;mso-position-horizontal-relative:page;mso-position-vertical-relative:page;z-index:-31949312" type="#_x0000_t202" id="docshape131" filled="false" stroked="false">
              <v:textbox inset="0,0,0,0">
                <w:txbxContent>
                  <w:p>
                    <w:pPr>
                      <w:spacing w:line="223" w:lineRule="exact" w:before="0"/>
                      <w:ind w:left="20" w:right="0" w:firstLine="0"/>
                      <w:jc w:val="left"/>
                      <w:rPr>
                        <w:rFonts w:ascii="Calibri"/>
                        <w:b/>
                        <w:sz w:val="20"/>
                      </w:rPr>
                    </w:pPr>
                    <w:r>
                      <w:rPr>
                        <w:rFonts w:ascii="Calibri"/>
                        <w:b/>
                        <w:sz w:val="20"/>
                      </w:rPr>
                      <w:t>PART</w:t>
                    </w:r>
                    <w:r>
                      <w:rPr>
                        <w:rFonts w:ascii="Calibri"/>
                        <w:b/>
                        <w:spacing w:val="-5"/>
                        <w:sz w:val="20"/>
                      </w:rPr>
                      <w:t> </w:t>
                    </w:r>
                    <w:r>
                      <w:rPr>
                        <w:rFonts w:ascii="Calibri"/>
                        <w:b/>
                        <w:sz w:val="20"/>
                      </w:rPr>
                      <w:t>-</w:t>
                    </w:r>
                    <w:r>
                      <w:rPr>
                        <w:rFonts w:ascii="Calibri"/>
                        <w:b/>
                        <w:spacing w:val="-5"/>
                        <w:sz w:val="20"/>
                      </w:rPr>
                      <w:t> </w:t>
                    </w:r>
                    <w:r>
                      <w:rPr>
                        <w:rFonts w:ascii="Calibri"/>
                        <w:b/>
                        <w:sz w:val="20"/>
                      </w:rPr>
                      <w:t>IV</w:t>
                    </w:r>
                    <w:r>
                      <w:rPr>
                        <w:rFonts w:ascii="Calibri"/>
                        <w:b/>
                        <w:spacing w:val="37"/>
                        <w:sz w:val="20"/>
                      </w:rPr>
                      <w:t> </w:t>
                    </w:r>
                    <w:r>
                      <w:rPr>
                        <w:rFonts w:ascii="Calibri"/>
                        <w:b/>
                        <w:sz w:val="20"/>
                      </w:rPr>
                      <w:t>REQUIREMENT</w:t>
                    </w:r>
                    <w:r>
                      <w:rPr>
                        <w:rFonts w:ascii="Calibri"/>
                        <w:b/>
                        <w:spacing w:val="-5"/>
                        <w:sz w:val="20"/>
                      </w:rPr>
                      <w:t> </w:t>
                    </w:r>
                    <w:r>
                      <w:rPr>
                        <w:rFonts w:ascii="Calibri"/>
                        <w:b/>
                        <w:sz w:val="20"/>
                      </w:rPr>
                      <w:t>OF</w:t>
                    </w:r>
                    <w:r>
                      <w:rPr>
                        <w:rFonts w:ascii="Calibri"/>
                        <w:b/>
                        <w:spacing w:val="-3"/>
                        <w:sz w:val="20"/>
                      </w:rPr>
                      <w:t> </w:t>
                    </w:r>
                    <w:r>
                      <w:rPr>
                        <w:rFonts w:ascii="Calibri"/>
                        <w:b/>
                        <w:sz w:val="20"/>
                      </w:rPr>
                      <w:t>SITE</w:t>
                    </w:r>
                    <w:r>
                      <w:rPr>
                        <w:rFonts w:ascii="Calibri"/>
                        <w:b/>
                        <w:spacing w:val="-6"/>
                        <w:sz w:val="20"/>
                      </w:rPr>
                      <w:t> </w:t>
                    </w:r>
                    <w:r>
                      <w:rPr>
                        <w:rFonts w:ascii="Calibri"/>
                        <w:b/>
                        <w:sz w:val="20"/>
                      </w:rPr>
                      <w:t>AND</w:t>
                    </w:r>
                    <w:r>
                      <w:rPr>
                        <w:rFonts w:ascii="Calibri"/>
                        <w:b/>
                        <w:spacing w:val="-5"/>
                        <w:sz w:val="20"/>
                      </w:rPr>
                      <w:t> </w:t>
                    </w:r>
                    <w:r>
                      <w:rPr>
                        <w:rFonts w:ascii="Calibri"/>
                        <w:b/>
                        <w:spacing w:val="-2"/>
                        <w:sz w:val="20"/>
                      </w:rPr>
                      <w:t>LAYOUT</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69728">
              <wp:simplePos x="0" y="0"/>
              <wp:positionH relativeFrom="page">
                <wp:posOffset>813752</wp:posOffset>
              </wp:positionH>
              <wp:positionV relativeFrom="page">
                <wp:posOffset>671829</wp:posOffset>
              </wp:positionV>
              <wp:extent cx="5805170" cy="281940"/>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5805170" cy="281940"/>
                        <a:chExt cx="5805170" cy="281940"/>
                      </a:xfrm>
                    </wpg:grpSpPr>
                    <pic:pic>
                      <pic:nvPicPr>
                        <pic:cNvPr id="168" name="Image 168"/>
                        <pic:cNvPicPr/>
                      </pic:nvPicPr>
                      <pic:blipFill>
                        <a:blip r:embed="rId1" cstate="print"/>
                        <a:stretch>
                          <a:fillRect/>
                        </a:stretch>
                      </pic:blipFill>
                      <pic:spPr>
                        <a:xfrm>
                          <a:off x="4655889" y="137413"/>
                          <a:ext cx="1149083" cy="143255"/>
                        </a:xfrm>
                        <a:prstGeom prst="rect">
                          <a:avLst/>
                        </a:prstGeom>
                      </pic:spPr>
                    </pic:pic>
                    <pic:pic>
                      <pic:nvPicPr>
                        <pic:cNvPr id="169" name="Image 169"/>
                        <pic:cNvPicPr/>
                      </pic:nvPicPr>
                      <pic:blipFill>
                        <a:blip r:embed="rId2" cstate="print"/>
                        <a:stretch>
                          <a:fillRect/>
                        </a:stretch>
                      </pic:blipFill>
                      <pic:spPr>
                        <a:xfrm>
                          <a:off x="4902771" y="6350"/>
                          <a:ext cx="895984" cy="266065"/>
                        </a:xfrm>
                        <a:prstGeom prst="rect">
                          <a:avLst/>
                        </a:prstGeom>
                      </pic:spPr>
                    </pic:pic>
                    <wps:wsp>
                      <wps:cNvPr id="170" name="Graphic 170"/>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171" name="Graphic 171"/>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946752" id="docshapegroup141" coordorigin="1281,1058" coordsize="9142,444">
              <v:shape style="position:absolute;left:8613;top:1274;width:1810;height:226" type="#_x0000_t75" id="docshape142" stroked="false">
                <v:imagedata r:id="rId1" o:title=""/>
              </v:shape>
              <v:shape style="position:absolute;left:9002;top:1068;width:1411;height:419" type="#_x0000_t75" id="docshape143" stroked="false">
                <v:imagedata r:id="rId2" o:title=""/>
              </v:shape>
              <v:rect style="position:absolute;left:9002;top:1068;width:1411;height:419" id="docshape144"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70240">
              <wp:simplePos x="0" y="0"/>
              <wp:positionH relativeFrom="page">
                <wp:posOffset>5810250</wp:posOffset>
              </wp:positionH>
              <wp:positionV relativeFrom="page">
                <wp:posOffset>720133</wp:posOffset>
              </wp:positionV>
              <wp:extent cx="708660" cy="16700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946240" type="#_x0000_t202" id="docshape145"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70752">
              <wp:simplePos x="0" y="0"/>
              <wp:positionH relativeFrom="page">
                <wp:posOffset>879144</wp:posOffset>
              </wp:positionH>
              <wp:positionV relativeFrom="page">
                <wp:posOffset>808354</wp:posOffset>
              </wp:positionV>
              <wp:extent cx="2500630" cy="15240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2500630" cy="152400"/>
                      </a:xfrm>
                      <a:prstGeom prst="rect">
                        <a:avLst/>
                      </a:prstGeom>
                    </wps:spPr>
                    <wps:txbx>
                      <w:txbxContent>
                        <w:p>
                          <w:pPr>
                            <w:spacing w:line="223" w:lineRule="exact" w:before="0"/>
                            <w:ind w:left="20" w:right="0" w:firstLine="0"/>
                            <w:jc w:val="left"/>
                            <w:rPr>
                              <w:rFonts w:ascii="Calibri"/>
                              <w:b/>
                              <w:sz w:val="20"/>
                            </w:rPr>
                          </w:pPr>
                          <w:r>
                            <w:rPr>
                              <w:rFonts w:ascii="Calibri"/>
                              <w:b/>
                              <w:sz w:val="20"/>
                            </w:rPr>
                            <w:t>PART</w:t>
                          </w:r>
                          <w:r>
                            <w:rPr>
                              <w:rFonts w:ascii="Calibri"/>
                              <w:b/>
                              <w:spacing w:val="-5"/>
                              <w:sz w:val="20"/>
                            </w:rPr>
                            <w:t> </w:t>
                          </w:r>
                          <w:r>
                            <w:rPr>
                              <w:rFonts w:ascii="Calibri"/>
                              <w:b/>
                              <w:sz w:val="20"/>
                            </w:rPr>
                            <w:t>-</w:t>
                          </w:r>
                          <w:r>
                            <w:rPr>
                              <w:rFonts w:ascii="Calibri"/>
                              <w:b/>
                              <w:spacing w:val="-5"/>
                              <w:sz w:val="20"/>
                            </w:rPr>
                            <w:t> </w:t>
                          </w:r>
                          <w:r>
                            <w:rPr>
                              <w:rFonts w:ascii="Calibri"/>
                              <w:b/>
                              <w:sz w:val="20"/>
                            </w:rPr>
                            <w:t>IV</w:t>
                          </w:r>
                          <w:r>
                            <w:rPr>
                              <w:rFonts w:ascii="Calibri"/>
                              <w:b/>
                              <w:spacing w:val="37"/>
                              <w:sz w:val="20"/>
                            </w:rPr>
                            <w:t> </w:t>
                          </w:r>
                          <w:r>
                            <w:rPr>
                              <w:rFonts w:ascii="Calibri"/>
                              <w:b/>
                              <w:sz w:val="20"/>
                            </w:rPr>
                            <w:t>REQUIREMENT</w:t>
                          </w:r>
                          <w:r>
                            <w:rPr>
                              <w:rFonts w:ascii="Calibri"/>
                              <w:b/>
                              <w:spacing w:val="-5"/>
                              <w:sz w:val="20"/>
                            </w:rPr>
                            <w:t> </w:t>
                          </w:r>
                          <w:r>
                            <w:rPr>
                              <w:rFonts w:ascii="Calibri"/>
                              <w:b/>
                              <w:sz w:val="20"/>
                            </w:rPr>
                            <w:t>OF</w:t>
                          </w:r>
                          <w:r>
                            <w:rPr>
                              <w:rFonts w:ascii="Calibri"/>
                              <w:b/>
                              <w:spacing w:val="-3"/>
                              <w:sz w:val="20"/>
                            </w:rPr>
                            <w:t> </w:t>
                          </w:r>
                          <w:r>
                            <w:rPr>
                              <w:rFonts w:ascii="Calibri"/>
                              <w:b/>
                              <w:sz w:val="20"/>
                            </w:rPr>
                            <w:t>SITE</w:t>
                          </w:r>
                          <w:r>
                            <w:rPr>
                              <w:rFonts w:ascii="Calibri"/>
                              <w:b/>
                              <w:spacing w:val="-6"/>
                              <w:sz w:val="20"/>
                            </w:rPr>
                            <w:t> </w:t>
                          </w:r>
                          <w:r>
                            <w:rPr>
                              <w:rFonts w:ascii="Calibri"/>
                              <w:b/>
                              <w:sz w:val="20"/>
                            </w:rPr>
                            <w:t>AND</w:t>
                          </w:r>
                          <w:r>
                            <w:rPr>
                              <w:rFonts w:ascii="Calibri"/>
                              <w:b/>
                              <w:spacing w:val="-5"/>
                              <w:sz w:val="20"/>
                            </w:rPr>
                            <w:t> </w:t>
                          </w:r>
                          <w:r>
                            <w:rPr>
                              <w:rFonts w:ascii="Calibri"/>
                              <w:b/>
                              <w:spacing w:val="-2"/>
                              <w:sz w:val="20"/>
                            </w:rPr>
                            <w:t>LAYOUT</w:t>
                          </w:r>
                        </w:p>
                      </w:txbxContent>
                    </wps:txbx>
                    <wps:bodyPr wrap="square" lIns="0" tIns="0" rIns="0" bIns="0" rtlCol="0">
                      <a:noAutofit/>
                    </wps:bodyPr>
                  </wps:wsp>
                </a:graphicData>
              </a:graphic>
            </wp:anchor>
          </w:drawing>
        </mc:Choice>
        <mc:Fallback>
          <w:pict>
            <v:shape style="position:absolute;margin-left:69.223999pt;margin-top:63.649982pt;width:196.9pt;height:12pt;mso-position-horizontal-relative:page;mso-position-vertical-relative:page;z-index:-31945728" type="#_x0000_t202" id="docshape146" filled="false" stroked="false">
              <v:textbox inset="0,0,0,0">
                <w:txbxContent>
                  <w:p>
                    <w:pPr>
                      <w:spacing w:line="223" w:lineRule="exact" w:before="0"/>
                      <w:ind w:left="20" w:right="0" w:firstLine="0"/>
                      <w:jc w:val="left"/>
                      <w:rPr>
                        <w:rFonts w:ascii="Calibri"/>
                        <w:b/>
                        <w:sz w:val="20"/>
                      </w:rPr>
                    </w:pPr>
                    <w:r>
                      <w:rPr>
                        <w:rFonts w:ascii="Calibri"/>
                        <w:b/>
                        <w:sz w:val="20"/>
                      </w:rPr>
                      <w:t>PART</w:t>
                    </w:r>
                    <w:r>
                      <w:rPr>
                        <w:rFonts w:ascii="Calibri"/>
                        <w:b/>
                        <w:spacing w:val="-5"/>
                        <w:sz w:val="20"/>
                      </w:rPr>
                      <w:t> </w:t>
                    </w:r>
                    <w:r>
                      <w:rPr>
                        <w:rFonts w:ascii="Calibri"/>
                        <w:b/>
                        <w:sz w:val="20"/>
                      </w:rPr>
                      <w:t>-</w:t>
                    </w:r>
                    <w:r>
                      <w:rPr>
                        <w:rFonts w:ascii="Calibri"/>
                        <w:b/>
                        <w:spacing w:val="-5"/>
                        <w:sz w:val="20"/>
                      </w:rPr>
                      <w:t> </w:t>
                    </w:r>
                    <w:r>
                      <w:rPr>
                        <w:rFonts w:ascii="Calibri"/>
                        <w:b/>
                        <w:sz w:val="20"/>
                      </w:rPr>
                      <w:t>IV</w:t>
                    </w:r>
                    <w:r>
                      <w:rPr>
                        <w:rFonts w:ascii="Calibri"/>
                        <w:b/>
                        <w:spacing w:val="37"/>
                        <w:sz w:val="20"/>
                      </w:rPr>
                      <w:t> </w:t>
                    </w:r>
                    <w:r>
                      <w:rPr>
                        <w:rFonts w:ascii="Calibri"/>
                        <w:b/>
                        <w:sz w:val="20"/>
                      </w:rPr>
                      <w:t>REQUIREMENT</w:t>
                    </w:r>
                    <w:r>
                      <w:rPr>
                        <w:rFonts w:ascii="Calibri"/>
                        <w:b/>
                        <w:spacing w:val="-5"/>
                        <w:sz w:val="20"/>
                      </w:rPr>
                      <w:t> </w:t>
                    </w:r>
                    <w:r>
                      <w:rPr>
                        <w:rFonts w:ascii="Calibri"/>
                        <w:b/>
                        <w:sz w:val="20"/>
                      </w:rPr>
                      <w:t>OF</w:t>
                    </w:r>
                    <w:r>
                      <w:rPr>
                        <w:rFonts w:ascii="Calibri"/>
                        <w:b/>
                        <w:spacing w:val="-3"/>
                        <w:sz w:val="20"/>
                      </w:rPr>
                      <w:t> </w:t>
                    </w:r>
                    <w:r>
                      <w:rPr>
                        <w:rFonts w:ascii="Calibri"/>
                        <w:b/>
                        <w:sz w:val="20"/>
                      </w:rPr>
                      <w:t>SITE</w:t>
                    </w:r>
                    <w:r>
                      <w:rPr>
                        <w:rFonts w:ascii="Calibri"/>
                        <w:b/>
                        <w:spacing w:val="-6"/>
                        <w:sz w:val="20"/>
                      </w:rPr>
                      <w:t> </w:t>
                    </w:r>
                    <w:r>
                      <w:rPr>
                        <w:rFonts w:ascii="Calibri"/>
                        <w:b/>
                        <w:sz w:val="20"/>
                      </w:rPr>
                      <w:t>AND</w:t>
                    </w:r>
                    <w:r>
                      <w:rPr>
                        <w:rFonts w:ascii="Calibri"/>
                        <w:b/>
                        <w:spacing w:val="-5"/>
                        <w:sz w:val="20"/>
                      </w:rPr>
                      <w:t> </w:t>
                    </w:r>
                    <w:r>
                      <w:rPr>
                        <w:rFonts w:ascii="Calibri"/>
                        <w:b/>
                        <w:spacing w:val="-2"/>
                        <w:sz w:val="20"/>
                      </w:rPr>
                      <w:t>LAYOUT</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73312">
              <wp:simplePos x="0" y="0"/>
              <wp:positionH relativeFrom="page">
                <wp:posOffset>813752</wp:posOffset>
              </wp:positionH>
              <wp:positionV relativeFrom="page">
                <wp:posOffset>676401</wp:posOffset>
              </wp:positionV>
              <wp:extent cx="5805170" cy="280670"/>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5805170" cy="280670"/>
                        <a:chExt cx="5805170" cy="280670"/>
                      </a:xfrm>
                    </wpg:grpSpPr>
                    <pic:pic>
                      <pic:nvPicPr>
                        <pic:cNvPr id="183" name="Image 183"/>
                        <pic:cNvPicPr/>
                      </pic:nvPicPr>
                      <pic:blipFill>
                        <a:blip r:embed="rId1" cstate="print"/>
                        <a:stretch>
                          <a:fillRect/>
                        </a:stretch>
                      </pic:blipFill>
                      <pic:spPr>
                        <a:xfrm>
                          <a:off x="4655889" y="137413"/>
                          <a:ext cx="1149083" cy="143255"/>
                        </a:xfrm>
                        <a:prstGeom prst="rect">
                          <a:avLst/>
                        </a:prstGeom>
                      </pic:spPr>
                    </pic:pic>
                    <pic:pic>
                      <pic:nvPicPr>
                        <pic:cNvPr id="184" name="Image 184"/>
                        <pic:cNvPicPr/>
                      </pic:nvPicPr>
                      <pic:blipFill>
                        <a:blip r:embed="rId2" cstate="print"/>
                        <a:stretch>
                          <a:fillRect/>
                        </a:stretch>
                      </pic:blipFill>
                      <pic:spPr>
                        <a:xfrm>
                          <a:off x="4902771" y="6350"/>
                          <a:ext cx="895984" cy="266065"/>
                        </a:xfrm>
                        <a:prstGeom prst="rect">
                          <a:avLst/>
                        </a:prstGeom>
                      </pic:spPr>
                    </pic:pic>
                    <wps:wsp>
                      <wps:cNvPr id="185" name="Graphic 185"/>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186" name="Graphic 186"/>
                      <wps:cNvSpPr/>
                      <wps:spPr>
                        <a:xfrm>
                          <a:off x="4762" y="271652"/>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3.259983pt;width:457.1pt;height:22.1pt;mso-position-horizontal-relative:page;mso-position-vertical-relative:page;z-index:-31943168" id="docshapegroup154" coordorigin="1281,1065" coordsize="9142,442">
              <v:shape style="position:absolute;left:8613;top:1281;width:1810;height:226" type="#_x0000_t75" id="docshape155" stroked="false">
                <v:imagedata r:id="rId1" o:title=""/>
              </v:shape>
              <v:shape style="position:absolute;left:9002;top:1075;width:1411;height:419" type="#_x0000_t75" id="docshape156" stroked="false">
                <v:imagedata r:id="rId2" o:title=""/>
              </v:shape>
              <v:rect style="position:absolute;left:9002;top:1075;width:1411;height:419" id="docshape157"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73824">
              <wp:simplePos x="0" y="0"/>
              <wp:positionH relativeFrom="page">
                <wp:posOffset>5810250</wp:posOffset>
              </wp:positionH>
              <wp:positionV relativeFrom="page">
                <wp:posOffset>724705</wp:posOffset>
              </wp:positionV>
              <wp:extent cx="708660" cy="167005"/>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7.063461pt;width:55.8pt;height:13.15pt;mso-position-horizontal-relative:page;mso-position-vertical-relative:page;z-index:-31942656" type="#_x0000_t202" id="docshape158"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74336">
              <wp:simplePos x="0" y="0"/>
              <wp:positionH relativeFrom="page">
                <wp:posOffset>879144</wp:posOffset>
              </wp:positionH>
              <wp:positionV relativeFrom="page">
                <wp:posOffset>808354</wp:posOffset>
              </wp:positionV>
              <wp:extent cx="1608455" cy="15240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608455" cy="152400"/>
                      </a:xfrm>
                      <a:prstGeom prst="rect">
                        <a:avLst/>
                      </a:prstGeom>
                    </wps:spPr>
                    <wps:txbx>
                      <w:txbxContent>
                        <w:p>
                          <w:pPr>
                            <w:spacing w:line="223" w:lineRule="exact" w:before="0"/>
                            <w:ind w:left="20" w:right="0" w:firstLine="0"/>
                            <w:jc w:val="left"/>
                            <w:rPr>
                              <w:rFonts w:ascii="Calibri"/>
                              <w:b/>
                              <w:sz w:val="20"/>
                            </w:rPr>
                          </w:pPr>
                          <w:r>
                            <w:rPr>
                              <w:rFonts w:ascii="Calibri"/>
                              <w:b/>
                              <w:sz w:val="20"/>
                            </w:rPr>
                            <w:t>PART</w:t>
                          </w:r>
                          <w:r>
                            <w:rPr>
                              <w:rFonts w:ascii="Calibri"/>
                              <w:b/>
                              <w:spacing w:val="-4"/>
                              <w:sz w:val="20"/>
                            </w:rPr>
                            <w:t> </w:t>
                          </w:r>
                          <w:r>
                            <w:rPr>
                              <w:rFonts w:ascii="Calibri"/>
                              <w:b/>
                              <w:sz w:val="20"/>
                            </w:rPr>
                            <w:t>-</w:t>
                          </w:r>
                          <w:r>
                            <w:rPr>
                              <w:rFonts w:ascii="Calibri"/>
                              <w:b/>
                              <w:spacing w:val="-3"/>
                              <w:sz w:val="20"/>
                            </w:rPr>
                            <w:t> </w:t>
                          </w:r>
                          <w:r>
                            <w:rPr>
                              <w:rFonts w:ascii="Calibri"/>
                              <w:b/>
                              <w:sz w:val="20"/>
                            </w:rPr>
                            <w:t>V</w:t>
                          </w:r>
                          <w:r>
                            <w:rPr>
                              <w:rFonts w:ascii="Calibri"/>
                              <w:b/>
                              <w:spacing w:val="39"/>
                              <w:sz w:val="20"/>
                            </w:rPr>
                            <w:t> </w:t>
                          </w:r>
                          <w:r>
                            <w:rPr>
                              <w:rFonts w:ascii="Calibri"/>
                              <w:b/>
                              <w:sz w:val="20"/>
                            </w:rPr>
                            <w:t>FLOOR</w:t>
                          </w:r>
                          <w:r>
                            <w:rPr>
                              <w:rFonts w:ascii="Calibri"/>
                              <w:b/>
                              <w:spacing w:val="-1"/>
                              <w:sz w:val="20"/>
                            </w:rPr>
                            <w:t> </w:t>
                          </w:r>
                          <w:r>
                            <w:rPr>
                              <w:rFonts w:ascii="Calibri"/>
                              <w:b/>
                              <w:sz w:val="20"/>
                            </w:rPr>
                            <w:t>SPACE</w:t>
                          </w:r>
                          <w:r>
                            <w:rPr>
                              <w:rFonts w:ascii="Calibri"/>
                              <w:b/>
                              <w:spacing w:val="-5"/>
                              <w:sz w:val="20"/>
                            </w:rPr>
                            <w:t> </w:t>
                          </w:r>
                          <w:r>
                            <w:rPr>
                              <w:rFonts w:ascii="Calibri"/>
                              <w:b/>
                              <w:spacing w:val="-4"/>
                              <w:sz w:val="20"/>
                            </w:rPr>
                            <w:t>INDEX</w:t>
                          </w:r>
                        </w:p>
                      </w:txbxContent>
                    </wps:txbx>
                    <wps:bodyPr wrap="square" lIns="0" tIns="0" rIns="0" bIns="0" rtlCol="0">
                      <a:noAutofit/>
                    </wps:bodyPr>
                  </wps:wsp>
                </a:graphicData>
              </a:graphic>
            </wp:anchor>
          </w:drawing>
        </mc:Choice>
        <mc:Fallback>
          <w:pict>
            <v:shape style="position:absolute;margin-left:69.223999pt;margin-top:63.649982pt;width:126.65pt;height:12pt;mso-position-horizontal-relative:page;mso-position-vertical-relative:page;z-index:-31942144" type="#_x0000_t202" id="docshape159" filled="false" stroked="false">
              <v:textbox inset="0,0,0,0">
                <w:txbxContent>
                  <w:p>
                    <w:pPr>
                      <w:spacing w:line="223" w:lineRule="exact" w:before="0"/>
                      <w:ind w:left="20" w:right="0" w:firstLine="0"/>
                      <w:jc w:val="left"/>
                      <w:rPr>
                        <w:rFonts w:ascii="Calibri"/>
                        <w:b/>
                        <w:sz w:val="20"/>
                      </w:rPr>
                    </w:pPr>
                    <w:r>
                      <w:rPr>
                        <w:rFonts w:ascii="Calibri"/>
                        <w:b/>
                        <w:sz w:val="20"/>
                      </w:rPr>
                      <w:t>PART</w:t>
                    </w:r>
                    <w:r>
                      <w:rPr>
                        <w:rFonts w:ascii="Calibri"/>
                        <w:b/>
                        <w:spacing w:val="-4"/>
                        <w:sz w:val="20"/>
                      </w:rPr>
                      <w:t> </w:t>
                    </w:r>
                    <w:r>
                      <w:rPr>
                        <w:rFonts w:ascii="Calibri"/>
                        <w:b/>
                        <w:sz w:val="20"/>
                      </w:rPr>
                      <w:t>-</w:t>
                    </w:r>
                    <w:r>
                      <w:rPr>
                        <w:rFonts w:ascii="Calibri"/>
                        <w:b/>
                        <w:spacing w:val="-3"/>
                        <w:sz w:val="20"/>
                      </w:rPr>
                      <w:t> </w:t>
                    </w:r>
                    <w:r>
                      <w:rPr>
                        <w:rFonts w:ascii="Calibri"/>
                        <w:b/>
                        <w:sz w:val="20"/>
                      </w:rPr>
                      <w:t>V</w:t>
                    </w:r>
                    <w:r>
                      <w:rPr>
                        <w:rFonts w:ascii="Calibri"/>
                        <w:b/>
                        <w:spacing w:val="39"/>
                        <w:sz w:val="20"/>
                      </w:rPr>
                      <w:t> </w:t>
                    </w:r>
                    <w:r>
                      <w:rPr>
                        <w:rFonts w:ascii="Calibri"/>
                        <w:b/>
                        <w:sz w:val="20"/>
                      </w:rPr>
                      <w:t>FLOOR</w:t>
                    </w:r>
                    <w:r>
                      <w:rPr>
                        <w:rFonts w:ascii="Calibri"/>
                        <w:b/>
                        <w:spacing w:val="-1"/>
                        <w:sz w:val="20"/>
                      </w:rPr>
                      <w:t> </w:t>
                    </w:r>
                    <w:r>
                      <w:rPr>
                        <w:rFonts w:ascii="Calibri"/>
                        <w:b/>
                        <w:sz w:val="20"/>
                      </w:rPr>
                      <w:t>SPACE</w:t>
                    </w:r>
                    <w:r>
                      <w:rPr>
                        <w:rFonts w:ascii="Calibri"/>
                        <w:b/>
                        <w:spacing w:val="-5"/>
                        <w:sz w:val="20"/>
                      </w:rPr>
                      <w:t> </w:t>
                    </w:r>
                    <w:r>
                      <w:rPr>
                        <w:rFonts w:ascii="Calibri"/>
                        <w:b/>
                        <w:spacing w:val="-4"/>
                        <w:sz w:val="20"/>
                      </w:rPr>
                      <w:t>INDEX</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76896">
              <wp:simplePos x="0" y="0"/>
              <wp:positionH relativeFrom="page">
                <wp:posOffset>1173797</wp:posOffset>
              </wp:positionH>
              <wp:positionV relativeFrom="page">
                <wp:posOffset>676401</wp:posOffset>
              </wp:positionV>
              <wp:extent cx="5806440" cy="28067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5806440" cy="280670"/>
                        <a:chExt cx="5806440" cy="280670"/>
                      </a:xfrm>
                    </wpg:grpSpPr>
                    <pic:pic>
                      <pic:nvPicPr>
                        <pic:cNvPr id="199" name="Image 199"/>
                        <pic:cNvPicPr/>
                      </pic:nvPicPr>
                      <pic:blipFill>
                        <a:blip r:embed="rId1" cstate="print"/>
                        <a:stretch>
                          <a:fillRect/>
                        </a:stretch>
                      </pic:blipFill>
                      <pic:spPr>
                        <a:xfrm>
                          <a:off x="4657032" y="137413"/>
                          <a:ext cx="1149083" cy="143255"/>
                        </a:xfrm>
                        <a:prstGeom prst="rect">
                          <a:avLst/>
                        </a:prstGeom>
                      </pic:spPr>
                    </pic:pic>
                    <pic:pic>
                      <pic:nvPicPr>
                        <pic:cNvPr id="200" name="Image 200"/>
                        <pic:cNvPicPr/>
                      </pic:nvPicPr>
                      <pic:blipFill>
                        <a:blip r:embed="rId2" cstate="print"/>
                        <a:stretch>
                          <a:fillRect/>
                        </a:stretch>
                      </pic:blipFill>
                      <pic:spPr>
                        <a:xfrm>
                          <a:off x="4903914" y="6350"/>
                          <a:ext cx="895985" cy="266065"/>
                        </a:xfrm>
                        <a:prstGeom prst="rect">
                          <a:avLst/>
                        </a:prstGeom>
                      </pic:spPr>
                    </pic:pic>
                    <wps:wsp>
                      <wps:cNvPr id="201" name="Graphic 201"/>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202" name="Graphic 202"/>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39584" id="docshapegroup168" coordorigin="1849,1065" coordsize="9144,442">
              <v:shape style="position:absolute;left:9182;top:1281;width:1810;height:226" type="#_x0000_t75" id="docshape169" stroked="false">
                <v:imagedata r:id="rId1" o:title=""/>
              </v:shape>
              <v:shape style="position:absolute;left:9571;top:1075;width:1411;height:419" type="#_x0000_t75" id="docshape170" stroked="false">
                <v:imagedata r:id="rId2" o:title=""/>
              </v:shape>
              <v:rect style="position:absolute;left:9571;top:1075;width:1411;height:419" id="docshape171"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77408">
              <wp:simplePos x="0" y="0"/>
              <wp:positionH relativeFrom="page">
                <wp:posOffset>6171438</wp:posOffset>
              </wp:positionH>
              <wp:positionV relativeFrom="page">
                <wp:posOffset>724705</wp:posOffset>
              </wp:positionV>
              <wp:extent cx="708660" cy="167005"/>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39072" type="#_x0000_t202" id="docshape172"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77920">
              <wp:simplePos x="0" y="0"/>
              <wp:positionH relativeFrom="page">
                <wp:posOffset>1238808</wp:posOffset>
              </wp:positionH>
              <wp:positionV relativeFrom="page">
                <wp:posOffset>808354</wp:posOffset>
              </wp:positionV>
              <wp:extent cx="2332990" cy="15240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38560" type="#_x0000_t202" id="docshape173"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80480">
              <wp:simplePos x="0" y="0"/>
              <wp:positionH relativeFrom="page">
                <wp:posOffset>1173797</wp:posOffset>
              </wp:positionH>
              <wp:positionV relativeFrom="page">
                <wp:posOffset>676401</wp:posOffset>
              </wp:positionV>
              <wp:extent cx="5806440" cy="280670"/>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5806440" cy="280670"/>
                        <a:chExt cx="5806440" cy="280670"/>
                      </a:xfrm>
                    </wpg:grpSpPr>
                    <pic:pic>
                      <pic:nvPicPr>
                        <pic:cNvPr id="216" name="Image 216"/>
                        <pic:cNvPicPr/>
                      </pic:nvPicPr>
                      <pic:blipFill>
                        <a:blip r:embed="rId1" cstate="print"/>
                        <a:stretch>
                          <a:fillRect/>
                        </a:stretch>
                      </pic:blipFill>
                      <pic:spPr>
                        <a:xfrm>
                          <a:off x="4657032" y="137413"/>
                          <a:ext cx="1149083" cy="143255"/>
                        </a:xfrm>
                        <a:prstGeom prst="rect">
                          <a:avLst/>
                        </a:prstGeom>
                      </pic:spPr>
                    </pic:pic>
                    <pic:pic>
                      <pic:nvPicPr>
                        <pic:cNvPr id="217" name="Image 217"/>
                        <pic:cNvPicPr/>
                      </pic:nvPicPr>
                      <pic:blipFill>
                        <a:blip r:embed="rId2" cstate="print"/>
                        <a:stretch>
                          <a:fillRect/>
                        </a:stretch>
                      </pic:blipFill>
                      <pic:spPr>
                        <a:xfrm>
                          <a:off x="4903914" y="6350"/>
                          <a:ext cx="895985" cy="266065"/>
                        </a:xfrm>
                        <a:prstGeom prst="rect">
                          <a:avLst/>
                        </a:prstGeom>
                      </pic:spPr>
                    </pic:pic>
                    <wps:wsp>
                      <wps:cNvPr id="218" name="Graphic 218"/>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219" name="Graphic 219"/>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36000" id="docshapegroup183" coordorigin="1849,1065" coordsize="9144,442">
              <v:shape style="position:absolute;left:9182;top:1281;width:1810;height:226" type="#_x0000_t75" id="docshape184" stroked="false">
                <v:imagedata r:id="rId1" o:title=""/>
              </v:shape>
              <v:shape style="position:absolute;left:9571;top:1075;width:1411;height:419" type="#_x0000_t75" id="docshape185" stroked="false">
                <v:imagedata r:id="rId2" o:title=""/>
              </v:shape>
              <v:rect style="position:absolute;left:9571;top:1075;width:1411;height:419" id="docshape186"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80992">
              <wp:simplePos x="0" y="0"/>
              <wp:positionH relativeFrom="page">
                <wp:posOffset>6171438</wp:posOffset>
              </wp:positionH>
              <wp:positionV relativeFrom="page">
                <wp:posOffset>724705</wp:posOffset>
              </wp:positionV>
              <wp:extent cx="708660" cy="16700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35488" type="#_x0000_t202" id="docshape187"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81504">
              <wp:simplePos x="0" y="0"/>
              <wp:positionH relativeFrom="page">
                <wp:posOffset>1238808</wp:posOffset>
              </wp:positionH>
              <wp:positionV relativeFrom="page">
                <wp:posOffset>808354</wp:posOffset>
              </wp:positionV>
              <wp:extent cx="2332990" cy="15240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34976" type="#_x0000_t202" id="docshape188"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84064">
              <wp:simplePos x="0" y="0"/>
              <wp:positionH relativeFrom="page">
                <wp:posOffset>1173797</wp:posOffset>
              </wp:positionH>
              <wp:positionV relativeFrom="page">
                <wp:posOffset>676401</wp:posOffset>
              </wp:positionV>
              <wp:extent cx="5806440" cy="280670"/>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5806440" cy="280670"/>
                        <a:chExt cx="5806440" cy="280670"/>
                      </a:xfrm>
                    </wpg:grpSpPr>
                    <pic:pic>
                      <pic:nvPicPr>
                        <pic:cNvPr id="231" name="Image 231"/>
                        <pic:cNvPicPr/>
                      </pic:nvPicPr>
                      <pic:blipFill>
                        <a:blip r:embed="rId1" cstate="print"/>
                        <a:stretch>
                          <a:fillRect/>
                        </a:stretch>
                      </pic:blipFill>
                      <pic:spPr>
                        <a:xfrm>
                          <a:off x="4657032" y="137413"/>
                          <a:ext cx="1149083" cy="143255"/>
                        </a:xfrm>
                        <a:prstGeom prst="rect">
                          <a:avLst/>
                        </a:prstGeom>
                      </pic:spPr>
                    </pic:pic>
                    <pic:pic>
                      <pic:nvPicPr>
                        <pic:cNvPr id="232" name="Image 232"/>
                        <pic:cNvPicPr/>
                      </pic:nvPicPr>
                      <pic:blipFill>
                        <a:blip r:embed="rId2" cstate="print"/>
                        <a:stretch>
                          <a:fillRect/>
                        </a:stretch>
                      </pic:blipFill>
                      <pic:spPr>
                        <a:xfrm>
                          <a:off x="4903914" y="6350"/>
                          <a:ext cx="895985" cy="266065"/>
                        </a:xfrm>
                        <a:prstGeom prst="rect">
                          <a:avLst/>
                        </a:prstGeom>
                      </pic:spPr>
                    </pic:pic>
                    <wps:wsp>
                      <wps:cNvPr id="233" name="Graphic 233"/>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234" name="Graphic 234"/>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32416" id="docshapegroup196" coordorigin="1849,1065" coordsize="9144,442">
              <v:shape style="position:absolute;left:9182;top:1281;width:1810;height:226" type="#_x0000_t75" id="docshape197" stroked="false">
                <v:imagedata r:id="rId1" o:title=""/>
              </v:shape>
              <v:shape style="position:absolute;left:9571;top:1075;width:1411;height:419" type="#_x0000_t75" id="docshape198" stroked="false">
                <v:imagedata r:id="rId2" o:title=""/>
              </v:shape>
              <v:rect style="position:absolute;left:9571;top:1075;width:1411;height:419" id="docshape199"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84576">
              <wp:simplePos x="0" y="0"/>
              <wp:positionH relativeFrom="page">
                <wp:posOffset>6171438</wp:posOffset>
              </wp:positionH>
              <wp:positionV relativeFrom="page">
                <wp:posOffset>724705</wp:posOffset>
              </wp:positionV>
              <wp:extent cx="708660" cy="16700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31904" type="#_x0000_t202" id="docshape200"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85088">
              <wp:simplePos x="0" y="0"/>
              <wp:positionH relativeFrom="page">
                <wp:posOffset>1238808</wp:posOffset>
              </wp:positionH>
              <wp:positionV relativeFrom="page">
                <wp:posOffset>808354</wp:posOffset>
              </wp:positionV>
              <wp:extent cx="2332990" cy="15240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31392" type="#_x0000_t202" id="docshape201"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87648">
              <wp:simplePos x="0" y="0"/>
              <wp:positionH relativeFrom="page">
                <wp:posOffset>1173797</wp:posOffset>
              </wp:positionH>
              <wp:positionV relativeFrom="page">
                <wp:posOffset>676401</wp:posOffset>
              </wp:positionV>
              <wp:extent cx="5806440" cy="28067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5806440" cy="280670"/>
                        <a:chExt cx="5806440" cy="280670"/>
                      </a:xfrm>
                    </wpg:grpSpPr>
                    <pic:pic>
                      <pic:nvPicPr>
                        <pic:cNvPr id="247" name="Image 247"/>
                        <pic:cNvPicPr/>
                      </pic:nvPicPr>
                      <pic:blipFill>
                        <a:blip r:embed="rId1" cstate="print"/>
                        <a:stretch>
                          <a:fillRect/>
                        </a:stretch>
                      </pic:blipFill>
                      <pic:spPr>
                        <a:xfrm>
                          <a:off x="4657032" y="137413"/>
                          <a:ext cx="1149083" cy="143255"/>
                        </a:xfrm>
                        <a:prstGeom prst="rect">
                          <a:avLst/>
                        </a:prstGeom>
                      </pic:spPr>
                    </pic:pic>
                    <pic:pic>
                      <pic:nvPicPr>
                        <pic:cNvPr id="248" name="Image 248"/>
                        <pic:cNvPicPr/>
                      </pic:nvPicPr>
                      <pic:blipFill>
                        <a:blip r:embed="rId2" cstate="print"/>
                        <a:stretch>
                          <a:fillRect/>
                        </a:stretch>
                      </pic:blipFill>
                      <pic:spPr>
                        <a:xfrm>
                          <a:off x="4903914" y="6350"/>
                          <a:ext cx="895985" cy="266065"/>
                        </a:xfrm>
                        <a:prstGeom prst="rect">
                          <a:avLst/>
                        </a:prstGeom>
                      </pic:spPr>
                    </pic:pic>
                    <wps:wsp>
                      <wps:cNvPr id="249" name="Graphic 249"/>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250" name="Graphic 250"/>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28832" id="docshapegroup210" coordorigin="1849,1065" coordsize="9144,442">
              <v:shape style="position:absolute;left:9182;top:1281;width:1810;height:226" type="#_x0000_t75" id="docshape211" stroked="false">
                <v:imagedata r:id="rId1" o:title=""/>
              </v:shape>
              <v:shape style="position:absolute;left:9571;top:1075;width:1411;height:419" type="#_x0000_t75" id="docshape212" stroked="false">
                <v:imagedata r:id="rId2" o:title=""/>
              </v:shape>
              <v:rect style="position:absolute;left:9571;top:1075;width:1411;height:419" id="docshape213"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88160">
              <wp:simplePos x="0" y="0"/>
              <wp:positionH relativeFrom="page">
                <wp:posOffset>6171438</wp:posOffset>
              </wp:positionH>
              <wp:positionV relativeFrom="page">
                <wp:posOffset>724705</wp:posOffset>
              </wp:positionV>
              <wp:extent cx="708660" cy="167005"/>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28320" type="#_x0000_t202" id="docshape214"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88672">
              <wp:simplePos x="0" y="0"/>
              <wp:positionH relativeFrom="page">
                <wp:posOffset>1238808</wp:posOffset>
              </wp:positionH>
              <wp:positionV relativeFrom="page">
                <wp:posOffset>808354</wp:posOffset>
              </wp:positionV>
              <wp:extent cx="2332990" cy="15240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27808" type="#_x0000_t202" id="docshape215"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91232">
              <wp:simplePos x="0" y="0"/>
              <wp:positionH relativeFrom="page">
                <wp:posOffset>1173797</wp:posOffset>
              </wp:positionH>
              <wp:positionV relativeFrom="page">
                <wp:posOffset>676401</wp:posOffset>
              </wp:positionV>
              <wp:extent cx="5806440" cy="28067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5806440" cy="280670"/>
                        <a:chExt cx="5806440" cy="280670"/>
                      </a:xfrm>
                    </wpg:grpSpPr>
                    <pic:pic>
                      <pic:nvPicPr>
                        <pic:cNvPr id="262" name="Image 262"/>
                        <pic:cNvPicPr/>
                      </pic:nvPicPr>
                      <pic:blipFill>
                        <a:blip r:embed="rId1" cstate="print"/>
                        <a:stretch>
                          <a:fillRect/>
                        </a:stretch>
                      </pic:blipFill>
                      <pic:spPr>
                        <a:xfrm>
                          <a:off x="4657032" y="137413"/>
                          <a:ext cx="1149083" cy="143255"/>
                        </a:xfrm>
                        <a:prstGeom prst="rect">
                          <a:avLst/>
                        </a:prstGeom>
                      </pic:spPr>
                    </pic:pic>
                    <pic:pic>
                      <pic:nvPicPr>
                        <pic:cNvPr id="263" name="Image 263"/>
                        <pic:cNvPicPr/>
                      </pic:nvPicPr>
                      <pic:blipFill>
                        <a:blip r:embed="rId2" cstate="print"/>
                        <a:stretch>
                          <a:fillRect/>
                        </a:stretch>
                      </pic:blipFill>
                      <pic:spPr>
                        <a:xfrm>
                          <a:off x="4903914" y="6350"/>
                          <a:ext cx="895985" cy="266065"/>
                        </a:xfrm>
                        <a:prstGeom prst="rect">
                          <a:avLst/>
                        </a:prstGeom>
                      </pic:spPr>
                    </pic:pic>
                    <wps:wsp>
                      <wps:cNvPr id="264" name="Graphic 264"/>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265" name="Graphic 265"/>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25248" id="docshapegroup223" coordorigin="1849,1065" coordsize="9144,442">
              <v:shape style="position:absolute;left:9182;top:1281;width:1810;height:226" type="#_x0000_t75" id="docshape224" stroked="false">
                <v:imagedata r:id="rId1" o:title=""/>
              </v:shape>
              <v:shape style="position:absolute;left:9571;top:1075;width:1411;height:419" type="#_x0000_t75" id="docshape225" stroked="false">
                <v:imagedata r:id="rId2" o:title=""/>
              </v:shape>
              <v:rect style="position:absolute;left:9571;top:1075;width:1411;height:419" id="docshape226"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91744">
              <wp:simplePos x="0" y="0"/>
              <wp:positionH relativeFrom="page">
                <wp:posOffset>6171438</wp:posOffset>
              </wp:positionH>
              <wp:positionV relativeFrom="page">
                <wp:posOffset>724705</wp:posOffset>
              </wp:positionV>
              <wp:extent cx="708660" cy="167005"/>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24736" type="#_x0000_t202" id="docshape227"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92256">
              <wp:simplePos x="0" y="0"/>
              <wp:positionH relativeFrom="page">
                <wp:posOffset>1238808</wp:posOffset>
              </wp:positionH>
              <wp:positionV relativeFrom="page">
                <wp:posOffset>808354</wp:posOffset>
              </wp:positionV>
              <wp:extent cx="2332990" cy="15240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24224" type="#_x0000_t202" id="docshape228"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94816">
              <wp:simplePos x="0" y="0"/>
              <wp:positionH relativeFrom="page">
                <wp:posOffset>1173797</wp:posOffset>
              </wp:positionH>
              <wp:positionV relativeFrom="page">
                <wp:posOffset>676401</wp:posOffset>
              </wp:positionV>
              <wp:extent cx="5806440" cy="280670"/>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5806440" cy="280670"/>
                        <a:chExt cx="5806440" cy="280670"/>
                      </a:xfrm>
                    </wpg:grpSpPr>
                    <pic:pic>
                      <pic:nvPicPr>
                        <pic:cNvPr id="278" name="Image 278"/>
                        <pic:cNvPicPr/>
                      </pic:nvPicPr>
                      <pic:blipFill>
                        <a:blip r:embed="rId1" cstate="print"/>
                        <a:stretch>
                          <a:fillRect/>
                        </a:stretch>
                      </pic:blipFill>
                      <pic:spPr>
                        <a:xfrm>
                          <a:off x="4657032" y="137413"/>
                          <a:ext cx="1149083" cy="143255"/>
                        </a:xfrm>
                        <a:prstGeom prst="rect">
                          <a:avLst/>
                        </a:prstGeom>
                      </pic:spPr>
                    </pic:pic>
                    <pic:pic>
                      <pic:nvPicPr>
                        <pic:cNvPr id="279" name="Image 279"/>
                        <pic:cNvPicPr/>
                      </pic:nvPicPr>
                      <pic:blipFill>
                        <a:blip r:embed="rId2" cstate="print"/>
                        <a:stretch>
                          <a:fillRect/>
                        </a:stretch>
                      </pic:blipFill>
                      <pic:spPr>
                        <a:xfrm>
                          <a:off x="4903914" y="6350"/>
                          <a:ext cx="895985" cy="266065"/>
                        </a:xfrm>
                        <a:prstGeom prst="rect">
                          <a:avLst/>
                        </a:prstGeom>
                      </pic:spPr>
                    </pic:pic>
                    <wps:wsp>
                      <wps:cNvPr id="280" name="Graphic 280"/>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281" name="Graphic 281"/>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21664" id="docshapegroup237" coordorigin="1849,1065" coordsize="9144,442">
              <v:shape style="position:absolute;left:9182;top:1281;width:1810;height:226" type="#_x0000_t75" id="docshape238" stroked="false">
                <v:imagedata r:id="rId1" o:title=""/>
              </v:shape>
              <v:shape style="position:absolute;left:9571;top:1075;width:1411;height:419" type="#_x0000_t75" id="docshape239" stroked="false">
                <v:imagedata r:id="rId2" o:title=""/>
              </v:shape>
              <v:rect style="position:absolute;left:9571;top:1075;width:1411;height:419" id="docshape240"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95328">
              <wp:simplePos x="0" y="0"/>
              <wp:positionH relativeFrom="page">
                <wp:posOffset>6171438</wp:posOffset>
              </wp:positionH>
              <wp:positionV relativeFrom="page">
                <wp:posOffset>724705</wp:posOffset>
              </wp:positionV>
              <wp:extent cx="708660" cy="167005"/>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21152" type="#_x0000_t202" id="docshape241"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95840">
              <wp:simplePos x="0" y="0"/>
              <wp:positionH relativeFrom="page">
                <wp:posOffset>1238808</wp:posOffset>
              </wp:positionH>
              <wp:positionV relativeFrom="page">
                <wp:posOffset>808354</wp:posOffset>
              </wp:positionV>
              <wp:extent cx="2332990" cy="15240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20640" type="#_x0000_t202" id="docshape242"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98400">
              <wp:simplePos x="0" y="0"/>
              <wp:positionH relativeFrom="page">
                <wp:posOffset>1173797</wp:posOffset>
              </wp:positionH>
              <wp:positionV relativeFrom="page">
                <wp:posOffset>676401</wp:posOffset>
              </wp:positionV>
              <wp:extent cx="5806440" cy="280670"/>
              <wp:effectExtent l="0" t="0" r="0" b="0"/>
              <wp:wrapNone/>
              <wp:docPr id="292" name="Group 292"/>
              <wp:cNvGraphicFramePr>
                <a:graphicFrameLocks/>
              </wp:cNvGraphicFramePr>
              <a:graphic>
                <a:graphicData uri="http://schemas.microsoft.com/office/word/2010/wordprocessingGroup">
                  <wpg:wgp>
                    <wpg:cNvPr id="292" name="Group 292"/>
                    <wpg:cNvGrpSpPr/>
                    <wpg:grpSpPr>
                      <a:xfrm>
                        <a:off x="0" y="0"/>
                        <a:ext cx="5806440" cy="280670"/>
                        <a:chExt cx="5806440" cy="280670"/>
                      </a:xfrm>
                    </wpg:grpSpPr>
                    <pic:pic>
                      <pic:nvPicPr>
                        <pic:cNvPr id="293" name="Image 293"/>
                        <pic:cNvPicPr/>
                      </pic:nvPicPr>
                      <pic:blipFill>
                        <a:blip r:embed="rId1" cstate="print"/>
                        <a:stretch>
                          <a:fillRect/>
                        </a:stretch>
                      </pic:blipFill>
                      <pic:spPr>
                        <a:xfrm>
                          <a:off x="4657032" y="137413"/>
                          <a:ext cx="1149083" cy="143255"/>
                        </a:xfrm>
                        <a:prstGeom prst="rect">
                          <a:avLst/>
                        </a:prstGeom>
                      </pic:spPr>
                    </pic:pic>
                    <pic:pic>
                      <pic:nvPicPr>
                        <pic:cNvPr id="294" name="Image 294"/>
                        <pic:cNvPicPr/>
                      </pic:nvPicPr>
                      <pic:blipFill>
                        <a:blip r:embed="rId2" cstate="print"/>
                        <a:stretch>
                          <a:fillRect/>
                        </a:stretch>
                      </pic:blipFill>
                      <pic:spPr>
                        <a:xfrm>
                          <a:off x="4903914" y="6350"/>
                          <a:ext cx="895985" cy="266065"/>
                        </a:xfrm>
                        <a:prstGeom prst="rect">
                          <a:avLst/>
                        </a:prstGeom>
                      </pic:spPr>
                    </pic:pic>
                    <wps:wsp>
                      <wps:cNvPr id="295" name="Graphic 295"/>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296" name="Graphic 296"/>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18080" id="docshapegroup250" coordorigin="1849,1065" coordsize="9144,442">
              <v:shape style="position:absolute;left:9182;top:1281;width:1810;height:226" type="#_x0000_t75" id="docshape251" stroked="false">
                <v:imagedata r:id="rId1" o:title=""/>
              </v:shape>
              <v:shape style="position:absolute;left:9571;top:1075;width:1411;height:419" type="#_x0000_t75" id="docshape252" stroked="false">
                <v:imagedata r:id="rId2" o:title=""/>
              </v:shape>
              <v:rect style="position:absolute;left:9571;top:1075;width:1411;height:419" id="docshape253"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98912">
              <wp:simplePos x="0" y="0"/>
              <wp:positionH relativeFrom="page">
                <wp:posOffset>6171438</wp:posOffset>
              </wp:positionH>
              <wp:positionV relativeFrom="page">
                <wp:posOffset>724705</wp:posOffset>
              </wp:positionV>
              <wp:extent cx="708660" cy="16700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17568" type="#_x0000_t202" id="docshape254"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99424">
              <wp:simplePos x="0" y="0"/>
              <wp:positionH relativeFrom="page">
                <wp:posOffset>1238808</wp:posOffset>
              </wp:positionH>
              <wp:positionV relativeFrom="page">
                <wp:posOffset>808354</wp:posOffset>
              </wp:positionV>
              <wp:extent cx="2332990" cy="15240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17056" type="#_x0000_t202" id="docshape255"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01984">
              <wp:simplePos x="0" y="0"/>
              <wp:positionH relativeFrom="page">
                <wp:posOffset>1173797</wp:posOffset>
              </wp:positionH>
              <wp:positionV relativeFrom="page">
                <wp:posOffset>676401</wp:posOffset>
              </wp:positionV>
              <wp:extent cx="5806440" cy="280670"/>
              <wp:effectExtent l="0" t="0" r="0" b="0"/>
              <wp:wrapNone/>
              <wp:docPr id="307" name="Group 307"/>
              <wp:cNvGraphicFramePr>
                <a:graphicFrameLocks/>
              </wp:cNvGraphicFramePr>
              <a:graphic>
                <a:graphicData uri="http://schemas.microsoft.com/office/word/2010/wordprocessingGroup">
                  <wpg:wgp>
                    <wpg:cNvPr id="307" name="Group 307"/>
                    <wpg:cNvGrpSpPr/>
                    <wpg:grpSpPr>
                      <a:xfrm>
                        <a:off x="0" y="0"/>
                        <a:ext cx="5806440" cy="280670"/>
                        <a:chExt cx="5806440" cy="280670"/>
                      </a:xfrm>
                    </wpg:grpSpPr>
                    <pic:pic>
                      <pic:nvPicPr>
                        <pic:cNvPr id="308" name="Image 308"/>
                        <pic:cNvPicPr/>
                      </pic:nvPicPr>
                      <pic:blipFill>
                        <a:blip r:embed="rId1" cstate="print"/>
                        <a:stretch>
                          <a:fillRect/>
                        </a:stretch>
                      </pic:blipFill>
                      <pic:spPr>
                        <a:xfrm>
                          <a:off x="4657032" y="137413"/>
                          <a:ext cx="1149083" cy="143255"/>
                        </a:xfrm>
                        <a:prstGeom prst="rect">
                          <a:avLst/>
                        </a:prstGeom>
                      </pic:spPr>
                    </pic:pic>
                    <pic:pic>
                      <pic:nvPicPr>
                        <pic:cNvPr id="309" name="Image 309"/>
                        <pic:cNvPicPr/>
                      </pic:nvPicPr>
                      <pic:blipFill>
                        <a:blip r:embed="rId2" cstate="print"/>
                        <a:stretch>
                          <a:fillRect/>
                        </a:stretch>
                      </pic:blipFill>
                      <pic:spPr>
                        <a:xfrm>
                          <a:off x="4903914" y="6350"/>
                          <a:ext cx="895985" cy="266065"/>
                        </a:xfrm>
                        <a:prstGeom prst="rect">
                          <a:avLst/>
                        </a:prstGeom>
                      </pic:spPr>
                    </pic:pic>
                    <wps:wsp>
                      <wps:cNvPr id="310" name="Graphic 310"/>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311" name="Graphic 311"/>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14496" id="docshapegroup263" coordorigin="1849,1065" coordsize="9144,442">
              <v:shape style="position:absolute;left:9182;top:1281;width:1810;height:226" type="#_x0000_t75" id="docshape264" stroked="false">
                <v:imagedata r:id="rId1" o:title=""/>
              </v:shape>
              <v:shape style="position:absolute;left:9571;top:1075;width:1411;height:419" type="#_x0000_t75" id="docshape265" stroked="false">
                <v:imagedata r:id="rId2" o:title=""/>
              </v:shape>
              <v:rect style="position:absolute;left:9571;top:1075;width:1411;height:419" id="docshape266"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02496">
              <wp:simplePos x="0" y="0"/>
              <wp:positionH relativeFrom="page">
                <wp:posOffset>6171438</wp:posOffset>
              </wp:positionH>
              <wp:positionV relativeFrom="page">
                <wp:posOffset>724705</wp:posOffset>
              </wp:positionV>
              <wp:extent cx="708660" cy="167005"/>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13984" type="#_x0000_t202" id="docshape267"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03008">
              <wp:simplePos x="0" y="0"/>
              <wp:positionH relativeFrom="page">
                <wp:posOffset>1238808</wp:posOffset>
              </wp:positionH>
              <wp:positionV relativeFrom="page">
                <wp:posOffset>808354</wp:posOffset>
              </wp:positionV>
              <wp:extent cx="2332990" cy="15240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13472" type="#_x0000_t202" id="docshape268"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05568">
              <wp:simplePos x="0" y="0"/>
              <wp:positionH relativeFrom="page">
                <wp:posOffset>1173797</wp:posOffset>
              </wp:positionH>
              <wp:positionV relativeFrom="page">
                <wp:posOffset>676401</wp:posOffset>
              </wp:positionV>
              <wp:extent cx="5806440" cy="280670"/>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5806440" cy="280670"/>
                        <a:chExt cx="5806440" cy="280670"/>
                      </a:xfrm>
                    </wpg:grpSpPr>
                    <pic:pic>
                      <pic:nvPicPr>
                        <pic:cNvPr id="323" name="Image 323"/>
                        <pic:cNvPicPr/>
                      </pic:nvPicPr>
                      <pic:blipFill>
                        <a:blip r:embed="rId1" cstate="print"/>
                        <a:stretch>
                          <a:fillRect/>
                        </a:stretch>
                      </pic:blipFill>
                      <pic:spPr>
                        <a:xfrm>
                          <a:off x="4657032" y="137413"/>
                          <a:ext cx="1149083" cy="143255"/>
                        </a:xfrm>
                        <a:prstGeom prst="rect">
                          <a:avLst/>
                        </a:prstGeom>
                      </pic:spPr>
                    </pic:pic>
                    <pic:pic>
                      <pic:nvPicPr>
                        <pic:cNvPr id="324" name="Image 324"/>
                        <pic:cNvPicPr/>
                      </pic:nvPicPr>
                      <pic:blipFill>
                        <a:blip r:embed="rId2" cstate="print"/>
                        <a:stretch>
                          <a:fillRect/>
                        </a:stretch>
                      </pic:blipFill>
                      <pic:spPr>
                        <a:xfrm>
                          <a:off x="4903914" y="6350"/>
                          <a:ext cx="895985" cy="266065"/>
                        </a:xfrm>
                        <a:prstGeom prst="rect">
                          <a:avLst/>
                        </a:prstGeom>
                      </pic:spPr>
                    </pic:pic>
                    <wps:wsp>
                      <wps:cNvPr id="325" name="Graphic 325"/>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326" name="Graphic 326"/>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10912" id="docshapegroup276" coordorigin="1849,1065" coordsize="9144,442">
              <v:shape style="position:absolute;left:9182;top:1281;width:1810;height:226" type="#_x0000_t75" id="docshape277" stroked="false">
                <v:imagedata r:id="rId1" o:title=""/>
              </v:shape>
              <v:shape style="position:absolute;left:9571;top:1075;width:1411;height:419" type="#_x0000_t75" id="docshape278" stroked="false">
                <v:imagedata r:id="rId2" o:title=""/>
              </v:shape>
              <v:rect style="position:absolute;left:9571;top:1075;width:1411;height:419" id="docshape279"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06080">
              <wp:simplePos x="0" y="0"/>
              <wp:positionH relativeFrom="page">
                <wp:posOffset>6171438</wp:posOffset>
              </wp:positionH>
              <wp:positionV relativeFrom="page">
                <wp:posOffset>724705</wp:posOffset>
              </wp:positionV>
              <wp:extent cx="708660" cy="167005"/>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10400" type="#_x0000_t202" id="docshape280"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06592">
              <wp:simplePos x="0" y="0"/>
              <wp:positionH relativeFrom="page">
                <wp:posOffset>1238808</wp:posOffset>
              </wp:positionH>
              <wp:positionV relativeFrom="page">
                <wp:posOffset>808354</wp:posOffset>
              </wp:positionV>
              <wp:extent cx="2332990" cy="15240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09888" type="#_x0000_t202" id="docshape281"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09152">
              <wp:simplePos x="0" y="0"/>
              <wp:positionH relativeFrom="page">
                <wp:posOffset>1173797</wp:posOffset>
              </wp:positionH>
              <wp:positionV relativeFrom="page">
                <wp:posOffset>676401</wp:posOffset>
              </wp:positionV>
              <wp:extent cx="5806440" cy="280670"/>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5806440" cy="280670"/>
                        <a:chExt cx="5806440" cy="280670"/>
                      </a:xfrm>
                    </wpg:grpSpPr>
                    <pic:pic>
                      <pic:nvPicPr>
                        <pic:cNvPr id="339" name="Image 339"/>
                        <pic:cNvPicPr/>
                      </pic:nvPicPr>
                      <pic:blipFill>
                        <a:blip r:embed="rId1" cstate="print"/>
                        <a:stretch>
                          <a:fillRect/>
                        </a:stretch>
                      </pic:blipFill>
                      <pic:spPr>
                        <a:xfrm>
                          <a:off x="4657032" y="137413"/>
                          <a:ext cx="1149083" cy="143255"/>
                        </a:xfrm>
                        <a:prstGeom prst="rect">
                          <a:avLst/>
                        </a:prstGeom>
                      </pic:spPr>
                    </pic:pic>
                    <pic:pic>
                      <pic:nvPicPr>
                        <pic:cNvPr id="340" name="Image 340"/>
                        <pic:cNvPicPr/>
                      </pic:nvPicPr>
                      <pic:blipFill>
                        <a:blip r:embed="rId2" cstate="print"/>
                        <a:stretch>
                          <a:fillRect/>
                        </a:stretch>
                      </pic:blipFill>
                      <pic:spPr>
                        <a:xfrm>
                          <a:off x="4903914" y="6350"/>
                          <a:ext cx="895985" cy="266065"/>
                        </a:xfrm>
                        <a:prstGeom prst="rect">
                          <a:avLst/>
                        </a:prstGeom>
                      </pic:spPr>
                    </pic:pic>
                    <wps:wsp>
                      <wps:cNvPr id="341" name="Graphic 341"/>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342" name="Graphic 342"/>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07328" id="docshapegroup290" coordorigin="1849,1065" coordsize="9144,442">
              <v:shape style="position:absolute;left:9182;top:1281;width:1810;height:226" type="#_x0000_t75" id="docshape291" stroked="false">
                <v:imagedata r:id="rId1" o:title=""/>
              </v:shape>
              <v:shape style="position:absolute;left:9571;top:1075;width:1411;height:419" type="#_x0000_t75" id="docshape292" stroked="false">
                <v:imagedata r:id="rId2" o:title=""/>
              </v:shape>
              <v:rect style="position:absolute;left:9571;top:1075;width:1411;height:419" id="docshape293"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09664">
              <wp:simplePos x="0" y="0"/>
              <wp:positionH relativeFrom="page">
                <wp:posOffset>6171438</wp:posOffset>
              </wp:positionH>
              <wp:positionV relativeFrom="page">
                <wp:posOffset>724705</wp:posOffset>
              </wp:positionV>
              <wp:extent cx="708660" cy="167005"/>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06816" type="#_x0000_t202" id="docshape294"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10176">
              <wp:simplePos x="0" y="0"/>
              <wp:positionH relativeFrom="page">
                <wp:posOffset>1238808</wp:posOffset>
              </wp:positionH>
              <wp:positionV relativeFrom="page">
                <wp:posOffset>808354</wp:posOffset>
              </wp:positionV>
              <wp:extent cx="2332990" cy="15240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06304" type="#_x0000_t202" id="docshape295"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12736">
              <wp:simplePos x="0" y="0"/>
              <wp:positionH relativeFrom="page">
                <wp:posOffset>1173797</wp:posOffset>
              </wp:positionH>
              <wp:positionV relativeFrom="page">
                <wp:posOffset>676401</wp:posOffset>
              </wp:positionV>
              <wp:extent cx="5806440" cy="280670"/>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5806440" cy="280670"/>
                        <a:chExt cx="5806440" cy="280670"/>
                      </a:xfrm>
                    </wpg:grpSpPr>
                    <pic:pic>
                      <pic:nvPicPr>
                        <pic:cNvPr id="354" name="Image 354"/>
                        <pic:cNvPicPr/>
                      </pic:nvPicPr>
                      <pic:blipFill>
                        <a:blip r:embed="rId1" cstate="print"/>
                        <a:stretch>
                          <a:fillRect/>
                        </a:stretch>
                      </pic:blipFill>
                      <pic:spPr>
                        <a:xfrm>
                          <a:off x="4657032" y="137413"/>
                          <a:ext cx="1149083" cy="143255"/>
                        </a:xfrm>
                        <a:prstGeom prst="rect">
                          <a:avLst/>
                        </a:prstGeom>
                      </pic:spPr>
                    </pic:pic>
                    <pic:pic>
                      <pic:nvPicPr>
                        <pic:cNvPr id="355" name="Image 355"/>
                        <pic:cNvPicPr/>
                      </pic:nvPicPr>
                      <pic:blipFill>
                        <a:blip r:embed="rId2" cstate="print"/>
                        <a:stretch>
                          <a:fillRect/>
                        </a:stretch>
                      </pic:blipFill>
                      <pic:spPr>
                        <a:xfrm>
                          <a:off x="4903914" y="6350"/>
                          <a:ext cx="895985" cy="266065"/>
                        </a:xfrm>
                        <a:prstGeom prst="rect">
                          <a:avLst/>
                        </a:prstGeom>
                      </pic:spPr>
                    </pic:pic>
                    <wps:wsp>
                      <wps:cNvPr id="356" name="Graphic 356"/>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357" name="Graphic 357"/>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03744" id="docshapegroup303" coordorigin="1849,1065" coordsize="9144,442">
              <v:shape style="position:absolute;left:9182;top:1281;width:1810;height:226" type="#_x0000_t75" id="docshape304" stroked="false">
                <v:imagedata r:id="rId1" o:title=""/>
              </v:shape>
              <v:shape style="position:absolute;left:9571;top:1075;width:1411;height:419" type="#_x0000_t75" id="docshape305" stroked="false">
                <v:imagedata r:id="rId2" o:title=""/>
              </v:shape>
              <v:rect style="position:absolute;left:9571;top:1075;width:1411;height:419" id="docshape306"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13248">
              <wp:simplePos x="0" y="0"/>
              <wp:positionH relativeFrom="page">
                <wp:posOffset>6171438</wp:posOffset>
              </wp:positionH>
              <wp:positionV relativeFrom="page">
                <wp:posOffset>724705</wp:posOffset>
              </wp:positionV>
              <wp:extent cx="708660" cy="167005"/>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03232" type="#_x0000_t202" id="docshape307"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13760">
              <wp:simplePos x="0" y="0"/>
              <wp:positionH relativeFrom="page">
                <wp:posOffset>1238808</wp:posOffset>
              </wp:positionH>
              <wp:positionV relativeFrom="page">
                <wp:posOffset>808354</wp:posOffset>
              </wp:positionV>
              <wp:extent cx="2332990" cy="152400"/>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02720" type="#_x0000_t202" id="docshape308"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16320">
              <wp:simplePos x="0" y="0"/>
              <wp:positionH relativeFrom="page">
                <wp:posOffset>813752</wp:posOffset>
              </wp:positionH>
              <wp:positionV relativeFrom="page">
                <wp:posOffset>671829</wp:posOffset>
              </wp:positionV>
              <wp:extent cx="5805170" cy="281940"/>
              <wp:effectExtent l="0" t="0" r="0" b="0"/>
              <wp:wrapNone/>
              <wp:docPr id="368" name="Group 368"/>
              <wp:cNvGraphicFramePr>
                <a:graphicFrameLocks/>
              </wp:cNvGraphicFramePr>
              <a:graphic>
                <a:graphicData uri="http://schemas.microsoft.com/office/word/2010/wordprocessingGroup">
                  <wpg:wgp>
                    <wpg:cNvPr id="368" name="Group 368"/>
                    <wpg:cNvGrpSpPr/>
                    <wpg:grpSpPr>
                      <a:xfrm>
                        <a:off x="0" y="0"/>
                        <a:ext cx="5805170" cy="281940"/>
                        <a:chExt cx="5805170" cy="281940"/>
                      </a:xfrm>
                    </wpg:grpSpPr>
                    <pic:pic>
                      <pic:nvPicPr>
                        <pic:cNvPr id="369" name="Image 369"/>
                        <pic:cNvPicPr/>
                      </pic:nvPicPr>
                      <pic:blipFill>
                        <a:blip r:embed="rId1" cstate="print"/>
                        <a:stretch>
                          <a:fillRect/>
                        </a:stretch>
                      </pic:blipFill>
                      <pic:spPr>
                        <a:xfrm>
                          <a:off x="4655889" y="137413"/>
                          <a:ext cx="1149083" cy="143255"/>
                        </a:xfrm>
                        <a:prstGeom prst="rect">
                          <a:avLst/>
                        </a:prstGeom>
                      </pic:spPr>
                    </pic:pic>
                    <pic:pic>
                      <pic:nvPicPr>
                        <pic:cNvPr id="370" name="Image 370"/>
                        <pic:cNvPicPr/>
                      </pic:nvPicPr>
                      <pic:blipFill>
                        <a:blip r:embed="rId2" cstate="print"/>
                        <a:stretch>
                          <a:fillRect/>
                        </a:stretch>
                      </pic:blipFill>
                      <pic:spPr>
                        <a:xfrm>
                          <a:off x="4902771" y="6350"/>
                          <a:ext cx="895984" cy="266065"/>
                        </a:xfrm>
                        <a:prstGeom prst="rect">
                          <a:avLst/>
                        </a:prstGeom>
                      </pic:spPr>
                    </pic:pic>
                    <wps:wsp>
                      <wps:cNvPr id="371" name="Graphic 371"/>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372" name="Graphic 372"/>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900160" id="docshapegroup316" coordorigin="1281,1058" coordsize="9142,444">
              <v:shape style="position:absolute;left:8613;top:1274;width:1810;height:226" type="#_x0000_t75" id="docshape317" stroked="false">
                <v:imagedata r:id="rId1" o:title=""/>
              </v:shape>
              <v:shape style="position:absolute;left:9002;top:1068;width:1411;height:419" type="#_x0000_t75" id="docshape318" stroked="false">
                <v:imagedata r:id="rId2" o:title=""/>
              </v:shape>
              <v:rect style="position:absolute;left:9002;top:1068;width:1411;height:419" id="docshape319"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16832">
              <wp:simplePos x="0" y="0"/>
              <wp:positionH relativeFrom="page">
                <wp:posOffset>5810250</wp:posOffset>
              </wp:positionH>
              <wp:positionV relativeFrom="page">
                <wp:posOffset>720133</wp:posOffset>
              </wp:positionV>
              <wp:extent cx="708660" cy="167005"/>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899648" type="#_x0000_t202" id="docshape320"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17344">
              <wp:simplePos x="0" y="0"/>
              <wp:positionH relativeFrom="page">
                <wp:posOffset>879144</wp:posOffset>
              </wp:positionH>
              <wp:positionV relativeFrom="page">
                <wp:posOffset>808354</wp:posOffset>
              </wp:positionV>
              <wp:extent cx="3209925" cy="15240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3209925"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4"/>
                              <w:sz w:val="20"/>
                            </w:rPr>
                            <w:t> </w:t>
                          </w:r>
                          <w:r>
                            <w:rPr>
                              <w:rFonts w:ascii="Calibri" w:hAnsi="Calibri"/>
                              <w:b/>
                              <w:sz w:val="20"/>
                            </w:rPr>
                            <w:t>VII</w:t>
                          </w:r>
                          <w:r>
                            <w:rPr>
                              <w:rFonts w:ascii="Calibri" w:hAnsi="Calibri"/>
                              <w:b/>
                              <w:spacing w:val="-5"/>
                              <w:sz w:val="20"/>
                            </w:rPr>
                            <w:t> </w:t>
                          </w:r>
                          <w:r>
                            <w:rPr>
                              <w:rFonts w:ascii="Calibri" w:hAnsi="Calibri"/>
                              <w:b/>
                              <w:sz w:val="20"/>
                            </w:rPr>
                            <w:t>LAND</w:t>
                          </w:r>
                          <w:r>
                            <w:rPr>
                              <w:rFonts w:ascii="Calibri" w:hAnsi="Calibri"/>
                              <w:b/>
                              <w:spacing w:val="-6"/>
                              <w:sz w:val="20"/>
                            </w:rPr>
                            <w:t> </w:t>
                          </w:r>
                          <w:r>
                            <w:rPr>
                              <w:rFonts w:ascii="Calibri" w:hAnsi="Calibri"/>
                              <w:b/>
                              <w:sz w:val="20"/>
                            </w:rPr>
                            <w:t>USE</w:t>
                          </w:r>
                          <w:r>
                            <w:rPr>
                              <w:rFonts w:ascii="Calibri" w:hAnsi="Calibri"/>
                              <w:b/>
                              <w:spacing w:val="-6"/>
                              <w:sz w:val="20"/>
                            </w:rPr>
                            <w:t> </w:t>
                          </w:r>
                          <w:r>
                            <w:rPr>
                              <w:rFonts w:ascii="Calibri" w:hAnsi="Calibri"/>
                              <w:b/>
                              <w:sz w:val="20"/>
                            </w:rPr>
                            <w:t>CLASSIFICATION</w:t>
                          </w:r>
                          <w:r>
                            <w:rPr>
                              <w:rFonts w:ascii="Calibri" w:hAnsi="Calibri"/>
                              <w:b/>
                              <w:spacing w:val="-5"/>
                              <w:sz w:val="20"/>
                            </w:rPr>
                            <w:t> </w:t>
                          </w:r>
                          <w:r>
                            <w:rPr>
                              <w:rFonts w:ascii="Calibri" w:hAnsi="Calibri"/>
                              <w:b/>
                              <w:sz w:val="20"/>
                            </w:rPr>
                            <w:t>AND</w:t>
                          </w:r>
                          <w:r>
                            <w:rPr>
                              <w:rFonts w:ascii="Calibri" w:hAnsi="Calibri"/>
                              <w:b/>
                              <w:spacing w:val="-4"/>
                              <w:sz w:val="20"/>
                            </w:rPr>
                            <w:t> </w:t>
                          </w:r>
                          <w:r>
                            <w:rPr>
                              <w:rFonts w:ascii="Calibri" w:hAnsi="Calibri"/>
                              <w:b/>
                              <w:sz w:val="20"/>
                            </w:rPr>
                            <w:t>USES</w:t>
                          </w:r>
                          <w:r>
                            <w:rPr>
                              <w:rFonts w:ascii="Calibri" w:hAnsi="Calibri"/>
                              <w:b/>
                              <w:spacing w:val="-5"/>
                              <w:sz w:val="20"/>
                            </w:rPr>
                            <w:t> </w:t>
                          </w:r>
                          <w:r>
                            <w:rPr>
                              <w:rFonts w:ascii="Calibri" w:hAnsi="Calibri"/>
                              <w:b/>
                              <w:spacing w:val="-2"/>
                              <w:sz w:val="20"/>
                            </w:rPr>
                            <w:t>PERMITTED</w:t>
                          </w:r>
                        </w:p>
                      </w:txbxContent>
                    </wps:txbx>
                    <wps:bodyPr wrap="square" lIns="0" tIns="0" rIns="0" bIns="0" rtlCol="0">
                      <a:noAutofit/>
                    </wps:bodyPr>
                  </wps:wsp>
                </a:graphicData>
              </a:graphic>
            </wp:anchor>
          </w:drawing>
        </mc:Choice>
        <mc:Fallback>
          <w:pict>
            <v:shape style="position:absolute;margin-left:69.223999pt;margin-top:63.649982pt;width:252.75pt;height:12pt;mso-position-horizontal-relative:page;mso-position-vertical-relative:page;z-index:-31899136" type="#_x0000_t202" id="docshape321"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4"/>
                        <w:sz w:val="20"/>
                      </w:rPr>
                      <w:t> </w:t>
                    </w:r>
                    <w:r>
                      <w:rPr>
                        <w:rFonts w:ascii="Calibri" w:hAnsi="Calibri"/>
                        <w:b/>
                        <w:sz w:val="20"/>
                      </w:rPr>
                      <w:t>VII</w:t>
                    </w:r>
                    <w:r>
                      <w:rPr>
                        <w:rFonts w:ascii="Calibri" w:hAnsi="Calibri"/>
                        <w:b/>
                        <w:spacing w:val="-5"/>
                        <w:sz w:val="20"/>
                      </w:rPr>
                      <w:t> </w:t>
                    </w:r>
                    <w:r>
                      <w:rPr>
                        <w:rFonts w:ascii="Calibri" w:hAnsi="Calibri"/>
                        <w:b/>
                        <w:sz w:val="20"/>
                      </w:rPr>
                      <w:t>LAND</w:t>
                    </w:r>
                    <w:r>
                      <w:rPr>
                        <w:rFonts w:ascii="Calibri" w:hAnsi="Calibri"/>
                        <w:b/>
                        <w:spacing w:val="-6"/>
                        <w:sz w:val="20"/>
                      </w:rPr>
                      <w:t> </w:t>
                    </w:r>
                    <w:r>
                      <w:rPr>
                        <w:rFonts w:ascii="Calibri" w:hAnsi="Calibri"/>
                        <w:b/>
                        <w:sz w:val="20"/>
                      </w:rPr>
                      <w:t>USE</w:t>
                    </w:r>
                    <w:r>
                      <w:rPr>
                        <w:rFonts w:ascii="Calibri" w:hAnsi="Calibri"/>
                        <w:b/>
                        <w:spacing w:val="-6"/>
                        <w:sz w:val="20"/>
                      </w:rPr>
                      <w:t> </w:t>
                    </w:r>
                    <w:r>
                      <w:rPr>
                        <w:rFonts w:ascii="Calibri" w:hAnsi="Calibri"/>
                        <w:b/>
                        <w:sz w:val="20"/>
                      </w:rPr>
                      <w:t>CLASSIFICATION</w:t>
                    </w:r>
                    <w:r>
                      <w:rPr>
                        <w:rFonts w:ascii="Calibri" w:hAnsi="Calibri"/>
                        <w:b/>
                        <w:spacing w:val="-5"/>
                        <w:sz w:val="20"/>
                      </w:rPr>
                      <w:t> </w:t>
                    </w:r>
                    <w:r>
                      <w:rPr>
                        <w:rFonts w:ascii="Calibri" w:hAnsi="Calibri"/>
                        <w:b/>
                        <w:sz w:val="20"/>
                      </w:rPr>
                      <w:t>AND</w:t>
                    </w:r>
                    <w:r>
                      <w:rPr>
                        <w:rFonts w:ascii="Calibri" w:hAnsi="Calibri"/>
                        <w:b/>
                        <w:spacing w:val="-4"/>
                        <w:sz w:val="20"/>
                      </w:rPr>
                      <w:t> </w:t>
                    </w:r>
                    <w:r>
                      <w:rPr>
                        <w:rFonts w:ascii="Calibri" w:hAnsi="Calibri"/>
                        <w:b/>
                        <w:sz w:val="20"/>
                      </w:rPr>
                      <w:t>USES</w:t>
                    </w:r>
                    <w:r>
                      <w:rPr>
                        <w:rFonts w:ascii="Calibri" w:hAnsi="Calibri"/>
                        <w:b/>
                        <w:spacing w:val="-5"/>
                        <w:sz w:val="20"/>
                      </w:rPr>
                      <w:t> </w:t>
                    </w:r>
                    <w:r>
                      <w:rPr>
                        <w:rFonts w:ascii="Calibri" w:hAnsi="Calibri"/>
                        <w:b/>
                        <w:spacing w:val="-2"/>
                        <w:sz w:val="20"/>
                      </w:rPr>
                      <w:t>PERMITTED</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19904">
              <wp:simplePos x="0" y="0"/>
              <wp:positionH relativeFrom="page">
                <wp:posOffset>813752</wp:posOffset>
              </wp:positionH>
              <wp:positionV relativeFrom="page">
                <wp:posOffset>671829</wp:posOffset>
              </wp:positionV>
              <wp:extent cx="5805170" cy="281940"/>
              <wp:effectExtent l="0" t="0" r="0" b="0"/>
              <wp:wrapNone/>
              <wp:docPr id="392" name="Group 392"/>
              <wp:cNvGraphicFramePr>
                <a:graphicFrameLocks/>
              </wp:cNvGraphicFramePr>
              <a:graphic>
                <a:graphicData uri="http://schemas.microsoft.com/office/word/2010/wordprocessingGroup">
                  <wpg:wgp>
                    <wpg:cNvPr id="392" name="Group 392"/>
                    <wpg:cNvGrpSpPr/>
                    <wpg:grpSpPr>
                      <a:xfrm>
                        <a:off x="0" y="0"/>
                        <a:ext cx="5805170" cy="281940"/>
                        <a:chExt cx="5805170" cy="281940"/>
                      </a:xfrm>
                    </wpg:grpSpPr>
                    <pic:pic>
                      <pic:nvPicPr>
                        <pic:cNvPr id="393" name="Image 393"/>
                        <pic:cNvPicPr/>
                      </pic:nvPicPr>
                      <pic:blipFill>
                        <a:blip r:embed="rId1" cstate="print"/>
                        <a:stretch>
                          <a:fillRect/>
                        </a:stretch>
                      </pic:blipFill>
                      <pic:spPr>
                        <a:xfrm>
                          <a:off x="4655889" y="137413"/>
                          <a:ext cx="1149083" cy="143255"/>
                        </a:xfrm>
                        <a:prstGeom prst="rect">
                          <a:avLst/>
                        </a:prstGeom>
                      </pic:spPr>
                    </pic:pic>
                    <pic:pic>
                      <pic:nvPicPr>
                        <pic:cNvPr id="394" name="Image 394"/>
                        <pic:cNvPicPr/>
                      </pic:nvPicPr>
                      <pic:blipFill>
                        <a:blip r:embed="rId2" cstate="print"/>
                        <a:stretch>
                          <a:fillRect/>
                        </a:stretch>
                      </pic:blipFill>
                      <pic:spPr>
                        <a:xfrm>
                          <a:off x="4902771" y="6350"/>
                          <a:ext cx="895984" cy="266065"/>
                        </a:xfrm>
                        <a:prstGeom prst="rect">
                          <a:avLst/>
                        </a:prstGeom>
                      </pic:spPr>
                    </pic:pic>
                    <wps:wsp>
                      <wps:cNvPr id="395" name="Graphic 395"/>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396" name="Graphic 396"/>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896576" id="docshapegroup338" coordorigin="1281,1058" coordsize="9142,444">
              <v:shape style="position:absolute;left:8613;top:1274;width:1810;height:226" type="#_x0000_t75" id="docshape339" stroked="false">
                <v:imagedata r:id="rId1" o:title=""/>
              </v:shape>
              <v:shape style="position:absolute;left:9002;top:1068;width:1411;height:419" type="#_x0000_t75" id="docshape340" stroked="false">
                <v:imagedata r:id="rId2" o:title=""/>
              </v:shape>
              <v:rect style="position:absolute;left:9002;top:1068;width:1411;height:419" id="docshape341"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20416">
              <wp:simplePos x="0" y="0"/>
              <wp:positionH relativeFrom="page">
                <wp:posOffset>5810250</wp:posOffset>
              </wp:positionH>
              <wp:positionV relativeFrom="page">
                <wp:posOffset>720133</wp:posOffset>
              </wp:positionV>
              <wp:extent cx="708660" cy="167005"/>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896064" type="#_x0000_t202" id="docshape342"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20928">
              <wp:simplePos x="0" y="0"/>
              <wp:positionH relativeFrom="page">
                <wp:posOffset>879144</wp:posOffset>
              </wp:positionH>
              <wp:positionV relativeFrom="page">
                <wp:posOffset>808354</wp:posOffset>
              </wp:positionV>
              <wp:extent cx="2431415" cy="15240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2431415" cy="152400"/>
                      </a:xfrm>
                      <a:prstGeom prst="rect">
                        <a:avLst/>
                      </a:prstGeom>
                    </wps:spPr>
                    <wps:txbx>
                      <w:txbxContent>
                        <w:p>
                          <w:pPr>
                            <w:spacing w:line="223" w:lineRule="exact" w:before="0"/>
                            <w:ind w:left="20" w:right="0" w:firstLine="0"/>
                            <w:jc w:val="left"/>
                            <w:rPr>
                              <w:rFonts w:ascii="Calibri"/>
                              <w:b/>
                              <w:sz w:val="20"/>
                            </w:rPr>
                          </w:pPr>
                          <w:r>
                            <w:rPr>
                              <w:rFonts w:ascii="Calibri"/>
                              <w:b/>
                              <w:sz w:val="20"/>
                            </w:rPr>
                            <w:t>PART</w:t>
                          </w:r>
                          <w:r>
                            <w:rPr>
                              <w:rFonts w:ascii="Calibri"/>
                              <w:b/>
                              <w:spacing w:val="-7"/>
                              <w:sz w:val="20"/>
                            </w:rPr>
                            <w:t> </w:t>
                          </w:r>
                          <w:r>
                            <w:rPr>
                              <w:rFonts w:ascii="Calibri"/>
                              <w:b/>
                              <w:sz w:val="20"/>
                            </w:rPr>
                            <w:t>-</w:t>
                          </w:r>
                          <w:r>
                            <w:rPr>
                              <w:rFonts w:ascii="Calibri"/>
                              <w:b/>
                              <w:spacing w:val="-6"/>
                              <w:sz w:val="20"/>
                            </w:rPr>
                            <w:t> </w:t>
                          </w:r>
                          <w:r>
                            <w:rPr>
                              <w:rFonts w:ascii="Calibri"/>
                              <w:b/>
                              <w:sz w:val="20"/>
                            </w:rPr>
                            <w:t>VIIIGENERAL</w:t>
                          </w:r>
                          <w:r>
                            <w:rPr>
                              <w:rFonts w:ascii="Calibri"/>
                              <w:b/>
                              <w:spacing w:val="-8"/>
                              <w:sz w:val="20"/>
                            </w:rPr>
                            <w:t> </w:t>
                          </w:r>
                          <w:r>
                            <w:rPr>
                              <w:rFonts w:ascii="Calibri"/>
                              <w:b/>
                              <w:sz w:val="20"/>
                            </w:rPr>
                            <w:t>BUILDING</w:t>
                          </w:r>
                          <w:r>
                            <w:rPr>
                              <w:rFonts w:ascii="Calibri"/>
                              <w:b/>
                              <w:spacing w:val="-7"/>
                              <w:sz w:val="20"/>
                            </w:rPr>
                            <w:t> </w:t>
                          </w:r>
                          <w:r>
                            <w:rPr>
                              <w:rFonts w:ascii="Calibri"/>
                              <w:b/>
                              <w:spacing w:val="-2"/>
                              <w:sz w:val="20"/>
                            </w:rPr>
                            <w:t>REQUIRMENTS</w:t>
                          </w:r>
                        </w:p>
                      </w:txbxContent>
                    </wps:txbx>
                    <wps:bodyPr wrap="square" lIns="0" tIns="0" rIns="0" bIns="0" rtlCol="0">
                      <a:noAutofit/>
                    </wps:bodyPr>
                  </wps:wsp>
                </a:graphicData>
              </a:graphic>
            </wp:anchor>
          </w:drawing>
        </mc:Choice>
        <mc:Fallback>
          <w:pict>
            <v:shape style="position:absolute;margin-left:69.223999pt;margin-top:63.649982pt;width:191.45pt;height:12pt;mso-position-horizontal-relative:page;mso-position-vertical-relative:page;z-index:-31895552" type="#_x0000_t202" id="docshape343" filled="false" stroked="false">
              <v:textbox inset="0,0,0,0">
                <w:txbxContent>
                  <w:p>
                    <w:pPr>
                      <w:spacing w:line="223" w:lineRule="exact" w:before="0"/>
                      <w:ind w:left="20" w:right="0" w:firstLine="0"/>
                      <w:jc w:val="left"/>
                      <w:rPr>
                        <w:rFonts w:ascii="Calibri"/>
                        <w:b/>
                        <w:sz w:val="20"/>
                      </w:rPr>
                    </w:pPr>
                    <w:r>
                      <w:rPr>
                        <w:rFonts w:ascii="Calibri"/>
                        <w:b/>
                        <w:sz w:val="20"/>
                      </w:rPr>
                      <w:t>PART</w:t>
                    </w:r>
                    <w:r>
                      <w:rPr>
                        <w:rFonts w:ascii="Calibri"/>
                        <w:b/>
                        <w:spacing w:val="-7"/>
                        <w:sz w:val="20"/>
                      </w:rPr>
                      <w:t> </w:t>
                    </w:r>
                    <w:r>
                      <w:rPr>
                        <w:rFonts w:ascii="Calibri"/>
                        <w:b/>
                        <w:sz w:val="20"/>
                      </w:rPr>
                      <w:t>-</w:t>
                    </w:r>
                    <w:r>
                      <w:rPr>
                        <w:rFonts w:ascii="Calibri"/>
                        <w:b/>
                        <w:spacing w:val="-6"/>
                        <w:sz w:val="20"/>
                      </w:rPr>
                      <w:t> </w:t>
                    </w:r>
                    <w:r>
                      <w:rPr>
                        <w:rFonts w:ascii="Calibri"/>
                        <w:b/>
                        <w:sz w:val="20"/>
                      </w:rPr>
                      <w:t>VIIIGENERAL</w:t>
                    </w:r>
                    <w:r>
                      <w:rPr>
                        <w:rFonts w:ascii="Calibri"/>
                        <w:b/>
                        <w:spacing w:val="-8"/>
                        <w:sz w:val="20"/>
                      </w:rPr>
                      <w:t> </w:t>
                    </w:r>
                    <w:r>
                      <w:rPr>
                        <w:rFonts w:ascii="Calibri"/>
                        <w:b/>
                        <w:sz w:val="20"/>
                      </w:rPr>
                      <w:t>BUILDING</w:t>
                    </w:r>
                    <w:r>
                      <w:rPr>
                        <w:rFonts w:ascii="Calibri"/>
                        <w:b/>
                        <w:spacing w:val="-7"/>
                        <w:sz w:val="20"/>
                      </w:rPr>
                      <w:t> </w:t>
                    </w:r>
                    <w:r>
                      <w:rPr>
                        <w:rFonts w:ascii="Calibri"/>
                        <w:b/>
                        <w:spacing w:val="-2"/>
                        <w:sz w:val="20"/>
                      </w:rPr>
                      <w:t>REQUIRMENTS</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23488">
              <wp:simplePos x="0" y="0"/>
              <wp:positionH relativeFrom="page">
                <wp:posOffset>813752</wp:posOffset>
              </wp:positionH>
              <wp:positionV relativeFrom="page">
                <wp:posOffset>671829</wp:posOffset>
              </wp:positionV>
              <wp:extent cx="5805170" cy="281940"/>
              <wp:effectExtent l="0" t="0" r="0" b="0"/>
              <wp:wrapNone/>
              <wp:docPr id="412" name="Group 412"/>
              <wp:cNvGraphicFramePr>
                <a:graphicFrameLocks/>
              </wp:cNvGraphicFramePr>
              <a:graphic>
                <a:graphicData uri="http://schemas.microsoft.com/office/word/2010/wordprocessingGroup">
                  <wpg:wgp>
                    <wpg:cNvPr id="412" name="Group 412"/>
                    <wpg:cNvGrpSpPr/>
                    <wpg:grpSpPr>
                      <a:xfrm>
                        <a:off x="0" y="0"/>
                        <a:ext cx="5805170" cy="281940"/>
                        <a:chExt cx="5805170" cy="281940"/>
                      </a:xfrm>
                    </wpg:grpSpPr>
                    <pic:pic>
                      <pic:nvPicPr>
                        <pic:cNvPr id="413" name="Image 413"/>
                        <pic:cNvPicPr/>
                      </pic:nvPicPr>
                      <pic:blipFill>
                        <a:blip r:embed="rId1" cstate="print"/>
                        <a:stretch>
                          <a:fillRect/>
                        </a:stretch>
                      </pic:blipFill>
                      <pic:spPr>
                        <a:xfrm>
                          <a:off x="4655889" y="137413"/>
                          <a:ext cx="1149083" cy="143255"/>
                        </a:xfrm>
                        <a:prstGeom prst="rect">
                          <a:avLst/>
                        </a:prstGeom>
                      </pic:spPr>
                    </pic:pic>
                    <pic:pic>
                      <pic:nvPicPr>
                        <pic:cNvPr id="414" name="Image 414"/>
                        <pic:cNvPicPr/>
                      </pic:nvPicPr>
                      <pic:blipFill>
                        <a:blip r:embed="rId2" cstate="print"/>
                        <a:stretch>
                          <a:fillRect/>
                        </a:stretch>
                      </pic:blipFill>
                      <pic:spPr>
                        <a:xfrm>
                          <a:off x="4902771" y="6350"/>
                          <a:ext cx="895984" cy="266065"/>
                        </a:xfrm>
                        <a:prstGeom prst="rect">
                          <a:avLst/>
                        </a:prstGeom>
                      </pic:spPr>
                    </pic:pic>
                    <wps:wsp>
                      <wps:cNvPr id="415" name="Graphic 415"/>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416" name="Graphic 416"/>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892992" id="docshapegroup354" coordorigin="1281,1058" coordsize="9142,444">
              <v:shape style="position:absolute;left:8613;top:1274;width:1810;height:226" type="#_x0000_t75" id="docshape355" stroked="false">
                <v:imagedata r:id="rId1" o:title=""/>
              </v:shape>
              <v:shape style="position:absolute;left:9002;top:1068;width:1411;height:419" type="#_x0000_t75" id="docshape356" stroked="false">
                <v:imagedata r:id="rId2" o:title=""/>
              </v:shape>
              <v:rect style="position:absolute;left:9002;top:1068;width:1411;height:419" id="docshape357"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24000">
              <wp:simplePos x="0" y="0"/>
              <wp:positionH relativeFrom="page">
                <wp:posOffset>5810250</wp:posOffset>
              </wp:positionH>
              <wp:positionV relativeFrom="page">
                <wp:posOffset>720133</wp:posOffset>
              </wp:positionV>
              <wp:extent cx="708660" cy="167005"/>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892480" type="#_x0000_t202" id="docshape358"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24512">
              <wp:simplePos x="0" y="0"/>
              <wp:positionH relativeFrom="page">
                <wp:posOffset>879144</wp:posOffset>
              </wp:positionH>
              <wp:positionV relativeFrom="page">
                <wp:posOffset>808354</wp:posOffset>
              </wp:positionV>
              <wp:extent cx="2431415" cy="15240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2431415" cy="152400"/>
                      </a:xfrm>
                      <a:prstGeom prst="rect">
                        <a:avLst/>
                      </a:prstGeom>
                    </wps:spPr>
                    <wps:txbx>
                      <w:txbxContent>
                        <w:p>
                          <w:pPr>
                            <w:spacing w:line="223" w:lineRule="exact" w:before="0"/>
                            <w:ind w:left="20" w:right="0" w:firstLine="0"/>
                            <w:jc w:val="left"/>
                            <w:rPr>
                              <w:rFonts w:ascii="Calibri"/>
                              <w:b/>
                              <w:sz w:val="20"/>
                            </w:rPr>
                          </w:pPr>
                          <w:r>
                            <w:rPr>
                              <w:rFonts w:ascii="Calibri"/>
                              <w:b/>
                              <w:sz w:val="20"/>
                            </w:rPr>
                            <w:t>PART</w:t>
                          </w:r>
                          <w:r>
                            <w:rPr>
                              <w:rFonts w:ascii="Calibri"/>
                              <w:b/>
                              <w:spacing w:val="-7"/>
                              <w:sz w:val="20"/>
                            </w:rPr>
                            <w:t> </w:t>
                          </w:r>
                          <w:r>
                            <w:rPr>
                              <w:rFonts w:ascii="Calibri"/>
                              <w:b/>
                              <w:sz w:val="20"/>
                            </w:rPr>
                            <w:t>-</w:t>
                          </w:r>
                          <w:r>
                            <w:rPr>
                              <w:rFonts w:ascii="Calibri"/>
                              <w:b/>
                              <w:spacing w:val="-6"/>
                              <w:sz w:val="20"/>
                            </w:rPr>
                            <w:t> </w:t>
                          </w:r>
                          <w:r>
                            <w:rPr>
                              <w:rFonts w:ascii="Calibri"/>
                              <w:b/>
                              <w:sz w:val="20"/>
                            </w:rPr>
                            <w:t>VIIIGENERAL</w:t>
                          </w:r>
                          <w:r>
                            <w:rPr>
                              <w:rFonts w:ascii="Calibri"/>
                              <w:b/>
                              <w:spacing w:val="-8"/>
                              <w:sz w:val="20"/>
                            </w:rPr>
                            <w:t> </w:t>
                          </w:r>
                          <w:r>
                            <w:rPr>
                              <w:rFonts w:ascii="Calibri"/>
                              <w:b/>
                              <w:sz w:val="20"/>
                            </w:rPr>
                            <w:t>BUILDING</w:t>
                          </w:r>
                          <w:r>
                            <w:rPr>
                              <w:rFonts w:ascii="Calibri"/>
                              <w:b/>
                              <w:spacing w:val="-7"/>
                              <w:sz w:val="20"/>
                            </w:rPr>
                            <w:t> </w:t>
                          </w:r>
                          <w:r>
                            <w:rPr>
                              <w:rFonts w:ascii="Calibri"/>
                              <w:b/>
                              <w:spacing w:val="-2"/>
                              <w:sz w:val="20"/>
                            </w:rPr>
                            <w:t>REQUIRMENTS</w:t>
                          </w:r>
                        </w:p>
                      </w:txbxContent>
                    </wps:txbx>
                    <wps:bodyPr wrap="square" lIns="0" tIns="0" rIns="0" bIns="0" rtlCol="0">
                      <a:noAutofit/>
                    </wps:bodyPr>
                  </wps:wsp>
                </a:graphicData>
              </a:graphic>
            </wp:anchor>
          </w:drawing>
        </mc:Choice>
        <mc:Fallback>
          <w:pict>
            <v:shape style="position:absolute;margin-left:69.223999pt;margin-top:63.649982pt;width:191.45pt;height:12pt;mso-position-horizontal-relative:page;mso-position-vertical-relative:page;z-index:-31891968" type="#_x0000_t202" id="docshape359" filled="false" stroked="false">
              <v:textbox inset="0,0,0,0">
                <w:txbxContent>
                  <w:p>
                    <w:pPr>
                      <w:spacing w:line="223" w:lineRule="exact" w:before="0"/>
                      <w:ind w:left="20" w:right="0" w:firstLine="0"/>
                      <w:jc w:val="left"/>
                      <w:rPr>
                        <w:rFonts w:ascii="Calibri"/>
                        <w:b/>
                        <w:sz w:val="20"/>
                      </w:rPr>
                    </w:pPr>
                    <w:r>
                      <w:rPr>
                        <w:rFonts w:ascii="Calibri"/>
                        <w:b/>
                        <w:sz w:val="20"/>
                      </w:rPr>
                      <w:t>PART</w:t>
                    </w:r>
                    <w:r>
                      <w:rPr>
                        <w:rFonts w:ascii="Calibri"/>
                        <w:b/>
                        <w:spacing w:val="-7"/>
                        <w:sz w:val="20"/>
                      </w:rPr>
                      <w:t> </w:t>
                    </w:r>
                    <w:r>
                      <w:rPr>
                        <w:rFonts w:ascii="Calibri"/>
                        <w:b/>
                        <w:sz w:val="20"/>
                      </w:rPr>
                      <w:t>-</w:t>
                    </w:r>
                    <w:r>
                      <w:rPr>
                        <w:rFonts w:ascii="Calibri"/>
                        <w:b/>
                        <w:spacing w:val="-6"/>
                        <w:sz w:val="20"/>
                      </w:rPr>
                      <w:t> </w:t>
                    </w:r>
                    <w:r>
                      <w:rPr>
                        <w:rFonts w:ascii="Calibri"/>
                        <w:b/>
                        <w:sz w:val="20"/>
                      </w:rPr>
                      <w:t>VIIIGENERAL</w:t>
                    </w:r>
                    <w:r>
                      <w:rPr>
                        <w:rFonts w:ascii="Calibri"/>
                        <w:b/>
                        <w:spacing w:val="-8"/>
                        <w:sz w:val="20"/>
                      </w:rPr>
                      <w:t> </w:t>
                    </w:r>
                    <w:r>
                      <w:rPr>
                        <w:rFonts w:ascii="Calibri"/>
                        <w:b/>
                        <w:sz w:val="20"/>
                      </w:rPr>
                      <w:t>BUILDING</w:t>
                    </w:r>
                    <w:r>
                      <w:rPr>
                        <w:rFonts w:ascii="Calibri"/>
                        <w:b/>
                        <w:spacing w:val="-7"/>
                        <w:sz w:val="20"/>
                      </w:rPr>
                      <w:t> </w:t>
                    </w:r>
                    <w:r>
                      <w:rPr>
                        <w:rFonts w:ascii="Calibri"/>
                        <w:b/>
                        <w:spacing w:val="-2"/>
                        <w:sz w:val="20"/>
                      </w:rPr>
                      <w:t>REQUIRMENTS</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27072">
              <wp:simplePos x="0" y="0"/>
              <wp:positionH relativeFrom="page">
                <wp:posOffset>813752</wp:posOffset>
              </wp:positionH>
              <wp:positionV relativeFrom="page">
                <wp:posOffset>671829</wp:posOffset>
              </wp:positionV>
              <wp:extent cx="5805170" cy="281940"/>
              <wp:effectExtent l="0" t="0" r="0" b="0"/>
              <wp:wrapNone/>
              <wp:docPr id="427" name="Group 427"/>
              <wp:cNvGraphicFramePr>
                <a:graphicFrameLocks/>
              </wp:cNvGraphicFramePr>
              <a:graphic>
                <a:graphicData uri="http://schemas.microsoft.com/office/word/2010/wordprocessingGroup">
                  <wpg:wgp>
                    <wpg:cNvPr id="427" name="Group 427"/>
                    <wpg:cNvGrpSpPr/>
                    <wpg:grpSpPr>
                      <a:xfrm>
                        <a:off x="0" y="0"/>
                        <a:ext cx="5805170" cy="281940"/>
                        <a:chExt cx="5805170" cy="281940"/>
                      </a:xfrm>
                    </wpg:grpSpPr>
                    <pic:pic>
                      <pic:nvPicPr>
                        <pic:cNvPr id="428" name="Image 428"/>
                        <pic:cNvPicPr/>
                      </pic:nvPicPr>
                      <pic:blipFill>
                        <a:blip r:embed="rId1" cstate="print"/>
                        <a:stretch>
                          <a:fillRect/>
                        </a:stretch>
                      </pic:blipFill>
                      <pic:spPr>
                        <a:xfrm>
                          <a:off x="4655889" y="137413"/>
                          <a:ext cx="1149083" cy="143255"/>
                        </a:xfrm>
                        <a:prstGeom prst="rect">
                          <a:avLst/>
                        </a:prstGeom>
                      </pic:spPr>
                    </pic:pic>
                    <pic:pic>
                      <pic:nvPicPr>
                        <pic:cNvPr id="429" name="Image 429"/>
                        <pic:cNvPicPr/>
                      </pic:nvPicPr>
                      <pic:blipFill>
                        <a:blip r:embed="rId2" cstate="print"/>
                        <a:stretch>
                          <a:fillRect/>
                        </a:stretch>
                      </pic:blipFill>
                      <pic:spPr>
                        <a:xfrm>
                          <a:off x="4902771" y="6350"/>
                          <a:ext cx="895984" cy="266065"/>
                        </a:xfrm>
                        <a:prstGeom prst="rect">
                          <a:avLst/>
                        </a:prstGeom>
                      </pic:spPr>
                    </pic:pic>
                    <wps:wsp>
                      <wps:cNvPr id="430" name="Graphic 430"/>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431" name="Graphic 431"/>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889408" id="docshapegroup367" coordorigin="1281,1058" coordsize="9142,444">
              <v:shape style="position:absolute;left:8613;top:1274;width:1810;height:226" type="#_x0000_t75" id="docshape368" stroked="false">
                <v:imagedata r:id="rId1" o:title=""/>
              </v:shape>
              <v:shape style="position:absolute;left:9002;top:1068;width:1411;height:419" type="#_x0000_t75" id="docshape369" stroked="false">
                <v:imagedata r:id="rId2" o:title=""/>
              </v:shape>
              <v:rect style="position:absolute;left:9002;top:1068;width:1411;height:419" id="docshape370"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27584">
              <wp:simplePos x="0" y="0"/>
              <wp:positionH relativeFrom="page">
                <wp:posOffset>5810250</wp:posOffset>
              </wp:positionH>
              <wp:positionV relativeFrom="page">
                <wp:posOffset>720133</wp:posOffset>
              </wp:positionV>
              <wp:extent cx="708660" cy="167005"/>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888896" type="#_x0000_t202" id="docshape371"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28096">
              <wp:simplePos x="0" y="0"/>
              <wp:positionH relativeFrom="page">
                <wp:posOffset>879144</wp:posOffset>
              </wp:positionH>
              <wp:positionV relativeFrom="page">
                <wp:posOffset>808354</wp:posOffset>
              </wp:positionV>
              <wp:extent cx="2431415" cy="15240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2431415" cy="152400"/>
                      </a:xfrm>
                      <a:prstGeom prst="rect">
                        <a:avLst/>
                      </a:prstGeom>
                    </wps:spPr>
                    <wps:txbx>
                      <w:txbxContent>
                        <w:p>
                          <w:pPr>
                            <w:spacing w:line="223" w:lineRule="exact" w:before="0"/>
                            <w:ind w:left="20" w:right="0" w:firstLine="0"/>
                            <w:jc w:val="left"/>
                            <w:rPr>
                              <w:rFonts w:ascii="Calibri"/>
                              <w:b/>
                              <w:sz w:val="20"/>
                            </w:rPr>
                          </w:pPr>
                          <w:r>
                            <w:rPr>
                              <w:rFonts w:ascii="Calibri"/>
                              <w:b/>
                              <w:sz w:val="20"/>
                            </w:rPr>
                            <w:t>PART</w:t>
                          </w:r>
                          <w:r>
                            <w:rPr>
                              <w:rFonts w:ascii="Calibri"/>
                              <w:b/>
                              <w:spacing w:val="-7"/>
                              <w:sz w:val="20"/>
                            </w:rPr>
                            <w:t> </w:t>
                          </w:r>
                          <w:r>
                            <w:rPr>
                              <w:rFonts w:ascii="Calibri"/>
                              <w:b/>
                              <w:sz w:val="20"/>
                            </w:rPr>
                            <w:t>-</w:t>
                          </w:r>
                          <w:r>
                            <w:rPr>
                              <w:rFonts w:ascii="Calibri"/>
                              <w:b/>
                              <w:spacing w:val="-6"/>
                              <w:sz w:val="20"/>
                            </w:rPr>
                            <w:t> </w:t>
                          </w:r>
                          <w:r>
                            <w:rPr>
                              <w:rFonts w:ascii="Calibri"/>
                              <w:b/>
                              <w:sz w:val="20"/>
                            </w:rPr>
                            <w:t>VIIIGENERAL</w:t>
                          </w:r>
                          <w:r>
                            <w:rPr>
                              <w:rFonts w:ascii="Calibri"/>
                              <w:b/>
                              <w:spacing w:val="-8"/>
                              <w:sz w:val="20"/>
                            </w:rPr>
                            <w:t> </w:t>
                          </w:r>
                          <w:r>
                            <w:rPr>
                              <w:rFonts w:ascii="Calibri"/>
                              <w:b/>
                              <w:sz w:val="20"/>
                            </w:rPr>
                            <w:t>BUILDING</w:t>
                          </w:r>
                          <w:r>
                            <w:rPr>
                              <w:rFonts w:ascii="Calibri"/>
                              <w:b/>
                              <w:spacing w:val="-7"/>
                              <w:sz w:val="20"/>
                            </w:rPr>
                            <w:t> </w:t>
                          </w:r>
                          <w:r>
                            <w:rPr>
                              <w:rFonts w:ascii="Calibri"/>
                              <w:b/>
                              <w:spacing w:val="-2"/>
                              <w:sz w:val="20"/>
                            </w:rPr>
                            <w:t>REQUIRMENTS</w:t>
                          </w:r>
                        </w:p>
                      </w:txbxContent>
                    </wps:txbx>
                    <wps:bodyPr wrap="square" lIns="0" tIns="0" rIns="0" bIns="0" rtlCol="0">
                      <a:noAutofit/>
                    </wps:bodyPr>
                  </wps:wsp>
                </a:graphicData>
              </a:graphic>
            </wp:anchor>
          </w:drawing>
        </mc:Choice>
        <mc:Fallback>
          <w:pict>
            <v:shape style="position:absolute;margin-left:69.223999pt;margin-top:63.649982pt;width:191.45pt;height:12pt;mso-position-horizontal-relative:page;mso-position-vertical-relative:page;z-index:-31888384" type="#_x0000_t202" id="docshape372" filled="false" stroked="false">
              <v:textbox inset="0,0,0,0">
                <w:txbxContent>
                  <w:p>
                    <w:pPr>
                      <w:spacing w:line="223" w:lineRule="exact" w:before="0"/>
                      <w:ind w:left="20" w:right="0" w:firstLine="0"/>
                      <w:jc w:val="left"/>
                      <w:rPr>
                        <w:rFonts w:ascii="Calibri"/>
                        <w:b/>
                        <w:sz w:val="20"/>
                      </w:rPr>
                    </w:pPr>
                    <w:r>
                      <w:rPr>
                        <w:rFonts w:ascii="Calibri"/>
                        <w:b/>
                        <w:sz w:val="20"/>
                      </w:rPr>
                      <w:t>PART</w:t>
                    </w:r>
                    <w:r>
                      <w:rPr>
                        <w:rFonts w:ascii="Calibri"/>
                        <w:b/>
                        <w:spacing w:val="-7"/>
                        <w:sz w:val="20"/>
                      </w:rPr>
                      <w:t> </w:t>
                    </w:r>
                    <w:r>
                      <w:rPr>
                        <w:rFonts w:ascii="Calibri"/>
                        <w:b/>
                        <w:sz w:val="20"/>
                      </w:rPr>
                      <w:t>-</w:t>
                    </w:r>
                    <w:r>
                      <w:rPr>
                        <w:rFonts w:ascii="Calibri"/>
                        <w:b/>
                        <w:spacing w:val="-6"/>
                        <w:sz w:val="20"/>
                      </w:rPr>
                      <w:t> </w:t>
                    </w:r>
                    <w:r>
                      <w:rPr>
                        <w:rFonts w:ascii="Calibri"/>
                        <w:b/>
                        <w:sz w:val="20"/>
                      </w:rPr>
                      <w:t>VIIIGENERAL</w:t>
                    </w:r>
                    <w:r>
                      <w:rPr>
                        <w:rFonts w:ascii="Calibri"/>
                        <w:b/>
                        <w:spacing w:val="-8"/>
                        <w:sz w:val="20"/>
                      </w:rPr>
                      <w:t> </w:t>
                    </w:r>
                    <w:r>
                      <w:rPr>
                        <w:rFonts w:ascii="Calibri"/>
                        <w:b/>
                        <w:sz w:val="20"/>
                      </w:rPr>
                      <w:t>BUILDING</w:t>
                    </w:r>
                    <w:r>
                      <w:rPr>
                        <w:rFonts w:ascii="Calibri"/>
                        <w:b/>
                        <w:spacing w:val="-7"/>
                        <w:sz w:val="20"/>
                      </w:rPr>
                      <w:t> </w:t>
                    </w:r>
                    <w:r>
                      <w:rPr>
                        <w:rFonts w:ascii="Calibri"/>
                        <w:b/>
                        <w:spacing w:val="-2"/>
                        <w:sz w:val="20"/>
                      </w:rPr>
                      <w:t>REQUIRMENTS</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30656">
              <wp:simplePos x="0" y="0"/>
              <wp:positionH relativeFrom="page">
                <wp:posOffset>813752</wp:posOffset>
              </wp:positionH>
              <wp:positionV relativeFrom="page">
                <wp:posOffset>671829</wp:posOffset>
              </wp:positionV>
              <wp:extent cx="5805170" cy="281940"/>
              <wp:effectExtent l="0" t="0" r="0" b="0"/>
              <wp:wrapNone/>
              <wp:docPr id="445" name="Group 445"/>
              <wp:cNvGraphicFramePr>
                <a:graphicFrameLocks/>
              </wp:cNvGraphicFramePr>
              <a:graphic>
                <a:graphicData uri="http://schemas.microsoft.com/office/word/2010/wordprocessingGroup">
                  <wpg:wgp>
                    <wpg:cNvPr id="445" name="Group 445"/>
                    <wpg:cNvGrpSpPr/>
                    <wpg:grpSpPr>
                      <a:xfrm>
                        <a:off x="0" y="0"/>
                        <a:ext cx="5805170" cy="281940"/>
                        <a:chExt cx="5805170" cy="281940"/>
                      </a:xfrm>
                    </wpg:grpSpPr>
                    <pic:pic>
                      <pic:nvPicPr>
                        <pic:cNvPr id="446" name="Image 446"/>
                        <pic:cNvPicPr/>
                      </pic:nvPicPr>
                      <pic:blipFill>
                        <a:blip r:embed="rId1" cstate="print"/>
                        <a:stretch>
                          <a:fillRect/>
                        </a:stretch>
                      </pic:blipFill>
                      <pic:spPr>
                        <a:xfrm>
                          <a:off x="4655889" y="137413"/>
                          <a:ext cx="1149083" cy="143255"/>
                        </a:xfrm>
                        <a:prstGeom prst="rect">
                          <a:avLst/>
                        </a:prstGeom>
                      </pic:spPr>
                    </pic:pic>
                    <pic:pic>
                      <pic:nvPicPr>
                        <pic:cNvPr id="447" name="Image 447"/>
                        <pic:cNvPicPr/>
                      </pic:nvPicPr>
                      <pic:blipFill>
                        <a:blip r:embed="rId2" cstate="print"/>
                        <a:stretch>
                          <a:fillRect/>
                        </a:stretch>
                      </pic:blipFill>
                      <pic:spPr>
                        <a:xfrm>
                          <a:off x="4902771" y="6350"/>
                          <a:ext cx="895984" cy="266065"/>
                        </a:xfrm>
                        <a:prstGeom prst="rect">
                          <a:avLst/>
                        </a:prstGeom>
                      </pic:spPr>
                    </pic:pic>
                    <wps:wsp>
                      <wps:cNvPr id="448" name="Graphic 448"/>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449" name="Graphic 449"/>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885824" id="docshapegroup383" coordorigin="1281,1058" coordsize="9142,444">
              <v:shape style="position:absolute;left:8613;top:1274;width:1810;height:226" type="#_x0000_t75" id="docshape384" stroked="false">
                <v:imagedata r:id="rId1" o:title=""/>
              </v:shape>
              <v:shape style="position:absolute;left:9002;top:1068;width:1411;height:419" type="#_x0000_t75" id="docshape385" stroked="false">
                <v:imagedata r:id="rId2" o:title=""/>
              </v:shape>
              <v:rect style="position:absolute;left:9002;top:1068;width:1411;height:419" id="docshape386"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31168">
              <wp:simplePos x="0" y="0"/>
              <wp:positionH relativeFrom="page">
                <wp:posOffset>5810250</wp:posOffset>
              </wp:positionH>
              <wp:positionV relativeFrom="page">
                <wp:posOffset>720133</wp:posOffset>
              </wp:positionV>
              <wp:extent cx="708660" cy="167005"/>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885312" type="#_x0000_t202" id="docshape387"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31680">
              <wp:simplePos x="0" y="0"/>
              <wp:positionH relativeFrom="page">
                <wp:posOffset>879144</wp:posOffset>
              </wp:positionH>
              <wp:positionV relativeFrom="page">
                <wp:posOffset>808354</wp:posOffset>
              </wp:positionV>
              <wp:extent cx="2431415" cy="152400"/>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2431415" cy="152400"/>
                      </a:xfrm>
                      <a:prstGeom prst="rect">
                        <a:avLst/>
                      </a:prstGeom>
                    </wps:spPr>
                    <wps:txbx>
                      <w:txbxContent>
                        <w:p>
                          <w:pPr>
                            <w:spacing w:line="223" w:lineRule="exact" w:before="0"/>
                            <w:ind w:left="20" w:right="0" w:firstLine="0"/>
                            <w:jc w:val="left"/>
                            <w:rPr>
                              <w:rFonts w:ascii="Calibri"/>
                              <w:b/>
                              <w:sz w:val="20"/>
                            </w:rPr>
                          </w:pPr>
                          <w:r>
                            <w:rPr>
                              <w:rFonts w:ascii="Calibri"/>
                              <w:b/>
                              <w:sz w:val="20"/>
                            </w:rPr>
                            <w:t>PART</w:t>
                          </w:r>
                          <w:r>
                            <w:rPr>
                              <w:rFonts w:ascii="Calibri"/>
                              <w:b/>
                              <w:spacing w:val="-7"/>
                              <w:sz w:val="20"/>
                            </w:rPr>
                            <w:t> </w:t>
                          </w:r>
                          <w:r>
                            <w:rPr>
                              <w:rFonts w:ascii="Calibri"/>
                              <w:b/>
                              <w:sz w:val="20"/>
                            </w:rPr>
                            <w:t>-</w:t>
                          </w:r>
                          <w:r>
                            <w:rPr>
                              <w:rFonts w:ascii="Calibri"/>
                              <w:b/>
                              <w:spacing w:val="-6"/>
                              <w:sz w:val="20"/>
                            </w:rPr>
                            <w:t> </w:t>
                          </w:r>
                          <w:r>
                            <w:rPr>
                              <w:rFonts w:ascii="Calibri"/>
                              <w:b/>
                              <w:sz w:val="20"/>
                            </w:rPr>
                            <w:t>VIIIGENERAL</w:t>
                          </w:r>
                          <w:r>
                            <w:rPr>
                              <w:rFonts w:ascii="Calibri"/>
                              <w:b/>
                              <w:spacing w:val="-8"/>
                              <w:sz w:val="20"/>
                            </w:rPr>
                            <w:t> </w:t>
                          </w:r>
                          <w:r>
                            <w:rPr>
                              <w:rFonts w:ascii="Calibri"/>
                              <w:b/>
                              <w:sz w:val="20"/>
                            </w:rPr>
                            <w:t>BUILDING</w:t>
                          </w:r>
                          <w:r>
                            <w:rPr>
                              <w:rFonts w:ascii="Calibri"/>
                              <w:b/>
                              <w:spacing w:val="-7"/>
                              <w:sz w:val="20"/>
                            </w:rPr>
                            <w:t> </w:t>
                          </w:r>
                          <w:r>
                            <w:rPr>
                              <w:rFonts w:ascii="Calibri"/>
                              <w:b/>
                              <w:spacing w:val="-2"/>
                              <w:sz w:val="20"/>
                            </w:rPr>
                            <w:t>REQUIRMENTS</w:t>
                          </w:r>
                        </w:p>
                      </w:txbxContent>
                    </wps:txbx>
                    <wps:bodyPr wrap="square" lIns="0" tIns="0" rIns="0" bIns="0" rtlCol="0">
                      <a:noAutofit/>
                    </wps:bodyPr>
                  </wps:wsp>
                </a:graphicData>
              </a:graphic>
            </wp:anchor>
          </w:drawing>
        </mc:Choice>
        <mc:Fallback>
          <w:pict>
            <v:shape style="position:absolute;margin-left:69.223999pt;margin-top:63.649982pt;width:191.45pt;height:12pt;mso-position-horizontal-relative:page;mso-position-vertical-relative:page;z-index:-31884800" type="#_x0000_t202" id="docshape388" filled="false" stroked="false">
              <v:textbox inset="0,0,0,0">
                <w:txbxContent>
                  <w:p>
                    <w:pPr>
                      <w:spacing w:line="223" w:lineRule="exact" w:before="0"/>
                      <w:ind w:left="20" w:right="0" w:firstLine="0"/>
                      <w:jc w:val="left"/>
                      <w:rPr>
                        <w:rFonts w:ascii="Calibri"/>
                        <w:b/>
                        <w:sz w:val="20"/>
                      </w:rPr>
                    </w:pPr>
                    <w:r>
                      <w:rPr>
                        <w:rFonts w:ascii="Calibri"/>
                        <w:b/>
                        <w:sz w:val="20"/>
                      </w:rPr>
                      <w:t>PART</w:t>
                    </w:r>
                    <w:r>
                      <w:rPr>
                        <w:rFonts w:ascii="Calibri"/>
                        <w:b/>
                        <w:spacing w:val="-7"/>
                        <w:sz w:val="20"/>
                      </w:rPr>
                      <w:t> </w:t>
                    </w:r>
                    <w:r>
                      <w:rPr>
                        <w:rFonts w:ascii="Calibri"/>
                        <w:b/>
                        <w:sz w:val="20"/>
                      </w:rPr>
                      <w:t>-</w:t>
                    </w:r>
                    <w:r>
                      <w:rPr>
                        <w:rFonts w:ascii="Calibri"/>
                        <w:b/>
                        <w:spacing w:val="-6"/>
                        <w:sz w:val="20"/>
                      </w:rPr>
                      <w:t> </w:t>
                    </w:r>
                    <w:r>
                      <w:rPr>
                        <w:rFonts w:ascii="Calibri"/>
                        <w:b/>
                        <w:sz w:val="20"/>
                      </w:rPr>
                      <w:t>VIIIGENERAL</w:t>
                    </w:r>
                    <w:r>
                      <w:rPr>
                        <w:rFonts w:ascii="Calibri"/>
                        <w:b/>
                        <w:spacing w:val="-8"/>
                        <w:sz w:val="20"/>
                      </w:rPr>
                      <w:t> </w:t>
                    </w:r>
                    <w:r>
                      <w:rPr>
                        <w:rFonts w:ascii="Calibri"/>
                        <w:b/>
                        <w:sz w:val="20"/>
                      </w:rPr>
                      <w:t>BUILDING</w:t>
                    </w:r>
                    <w:r>
                      <w:rPr>
                        <w:rFonts w:ascii="Calibri"/>
                        <w:b/>
                        <w:spacing w:val="-7"/>
                        <w:sz w:val="20"/>
                      </w:rPr>
                      <w:t> </w:t>
                    </w:r>
                    <w:r>
                      <w:rPr>
                        <w:rFonts w:ascii="Calibri"/>
                        <w:b/>
                        <w:spacing w:val="-2"/>
                        <w:sz w:val="20"/>
                      </w:rPr>
                      <w:t>REQUIRMENTS</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34240">
              <wp:simplePos x="0" y="0"/>
              <wp:positionH relativeFrom="page">
                <wp:posOffset>813752</wp:posOffset>
              </wp:positionH>
              <wp:positionV relativeFrom="page">
                <wp:posOffset>671829</wp:posOffset>
              </wp:positionV>
              <wp:extent cx="5805170" cy="281940"/>
              <wp:effectExtent l="0" t="0" r="0" b="0"/>
              <wp:wrapNone/>
              <wp:docPr id="464" name="Group 464"/>
              <wp:cNvGraphicFramePr>
                <a:graphicFrameLocks/>
              </wp:cNvGraphicFramePr>
              <a:graphic>
                <a:graphicData uri="http://schemas.microsoft.com/office/word/2010/wordprocessingGroup">
                  <wpg:wgp>
                    <wpg:cNvPr id="464" name="Group 464"/>
                    <wpg:cNvGrpSpPr/>
                    <wpg:grpSpPr>
                      <a:xfrm>
                        <a:off x="0" y="0"/>
                        <a:ext cx="5805170" cy="281940"/>
                        <a:chExt cx="5805170" cy="281940"/>
                      </a:xfrm>
                    </wpg:grpSpPr>
                    <pic:pic>
                      <pic:nvPicPr>
                        <pic:cNvPr id="465" name="Image 465"/>
                        <pic:cNvPicPr/>
                      </pic:nvPicPr>
                      <pic:blipFill>
                        <a:blip r:embed="rId1" cstate="print"/>
                        <a:stretch>
                          <a:fillRect/>
                        </a:stretch>
                      </pic:blipFill>
                      <pic:spPr>
                        <a:xfrm>
                          <a:off x="4655889" y="137413"/>
                          <a:ext cx="1149083" cy="143255"/>
                        </a:xfrm>
                        <a:prstGeom prst="rect">
                          <a:avLst/>
                        </a:prstGeom>
                      </pic:spPr>
                    </pic:pic>
                    <pic:pic>
                      <pic:nvPicPr>
                        <pic:cNvPr id="466" name="Image 466"/>
                        <pic:cNvPicPr/>
                      </pic:nvPicPr>
                      <pic:blipFill>
                        <a:blip r:embed="rId2" cstate="print"/>
                        <a:stretch>
                          <a:fillRect/>
                        </a:stretch>
                      </pic:blipFill>
                      <pic:spPr>
                        <a:xfrm>
                          <a:off x="4902771" y="6350"/>
                          <a:ext cx="895984" cy="266065"/>
                        </a:xfrm>
                        <a:prstGeom prst="rect">
                          <a:avLst/>
                        </a:prstGeom>
                      </pic:spPr>
                    </pic:pic>
                    <wps:wsp>
                      <wps:cNvPr id="467" name="Graphic 467"/>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468" name="Graphic 468"/>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882240" id="docshapegroup400" coordorigin="1281,1058" coordsize="9142,444">
              <v:shape style="position:absolute;left:8613;top:1274;width:1810;height:226" type="#_x0000_t75" id="docshape401" stroked="false">
                <v:imagedata r:id="rId1" o:title=""/>
              </v:shape>
              <v:shape style="position:absolute;left:9002;top:1068;width:1411;height:419" type="#_x0000_t75" id="docshape402" stroked="false">
                <v:imagedata r:id="rId2" o:title=""/>
              </v:shape>
              <v:rect style="position:absolute;left:9002;top:1068;width:1411;height:419" id="docshape403"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34752">
              <wp:simplePos x="0" y="0"/>
              <wp:positionH relativeFrom="page">
                <wp:posOffset>5810250</wp:posOffset>
              </wp:positionH>
              <wp:positionV relativeFrom="page">
                <wp:posOffset>720133</wp:posOffset>
              </wp:positionV>
              <wp:extent cx="708660" cy="167005"/>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881728" type="#_x0000_t202" id="docshape404"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35264">
              <wp:simplePos x="0" y="0"/>
              <wp:positionH relativeFrom="page">
                <wp:posOffset>879144</wp:posOffset>
              </wp:positionH>
              <wp:positionV relativeFrom="page">
                <wp:posOffset>808354</wp:posOffset>
              </wp:positionV>
              <wp:extent cx="2431415" cy="152400"/>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2431415" cy="152400"/>
                      </a:xfrm>
                      <a:prstGeom prst="rect">
                        <a:avLst/>
                      </a:prstGeom>
                    </wps:spPr>
                    <wps:txbx>
                      <w:txbxContent>
                        <w:p>
                          <w:pPr>
                            <w:spacing w:line="223" w:lineRule="exact" w:before="0"/>
                            <w:ind w:left="20" w:right="0" w:firstLine="0"/>
                            <w:jc w:val="left"/>
                            <w:rPr>
                              <w:rFonts w:ascii="Calibri"/>
                              <w:b/>
                              <w:sz w:val="20"/>
                            </w:rPr>
                          </w:pPr>
                          <w:r>
                            <w:rPr>
                              <w:rFonts w:ascii="Calibri"/>
                              <w:b/>
                              <w:sz w:val="20"/>
                            </w:rPr>
                            <w:t>PART</w:t>
                          </w:r>
                          <w:r>
                            <w:rPr>
                              <w:rFonts w:ascii="Calibri"/>
                              <w:b/>
                              <w:spacing w:val="-7"/>
                              <w:sz w:val="20"/>
                            </w:rPr>
                            <w:t> </w:t>
                          </w:r>
                          <w:r>
                            <w:rPr>
                              <w:rFonts w:ascii="Calibri"/>
                              <w:b/>
                              <w:sz w:val="20"/>
                            </w:rPr>
                            <w:t>-</w:t>
                          </w:r>
                          <w:r>
                            <w:rPr>
                              <w:rFonts w:ascii="Calibri"/>
                              <w:b/>
                              <w:spacing w:val="-6"/>
                              <w:sz w:val="20"/>
                            </w:rPr>
                            <w:t> </w:t>
                          </w:r>
                          <w:r>
                            <w:rPr>
                              <w:rFonts w:ascii="Calibri"/>
                              <w:b/>
                              <w:sz w:val="20"/>
                            </w:rPr>
                            <w:t>VIIIGENERAL</w:t>
                          </w:r>
                          <w:r>
                            <w:rPr>
                              <w:rFonts w:ascii="Calibri"/>
                              <w:b/>
                              <w:spacing w:val="-8"/>
                              <w:sz w:val="20"/>
                            </w:rPr>
                            <w:t> </w:t>
                          </w:r>
                          <w:r>
                            <w:rPr>
                              <w:rFonts w:ascii="Calibri"/>
                              <w:b/>
                              <w:sz w:val="20"/>
                            </w:rPr>
                            <w:t>BUILDING</w:t>
                          </w:r>
                          <w:r>
                            <w:rPr>
                              <w:rFonts w:ascii="Calibri"/>
                              <w:b/>
                              <w:spacing w:val="-7"/>
                              <w:sz w:val="20"/>
                            </w:rPr>
                            <w:t> </w:t>
                          </w:r>
                          <w:r>
                            <w:rPr>
                              <w:rFonts w:ascii="Calibri"/>
                              <w:b/>
                              <w:spacing w:val="-2"/>
                              <w:sz w:val="20"/>
                            </w:rPr>
                            <w:t>REQUIRMENTS</w:t>
                          </w:r>
                        </w:p>
                      </w:txbxContent>
                    </wps:txbx>
                    <wps:bodyPr wrap="square" lIns="0" tIns="0" rIns="0" bIns="0" rtlCol="0">
                      <a:noAutofit/>
                    </wps:bodyPr>
                  </wps:wsp>
                </a:graphicData>
              </a:graphic>
            </wp:anchor>
          </w:drawing>
        </mc:Choice>
        <mc:Fallback>
          <w:pict>
            <v:shape style="position:absolute;margin-left:69.223999pt;margin-top:63.649982pt;width:191.45pt;height:12pt;mso-position-horizontal-relative:page;mso-position-vertical-relative:page;z-index:-31881216" type="#_x0000_t202" id="docshape405" filled="false" stroked="false">
              <v:textbox inset="0,0,0,0">
                <w:txbxContent>
                  <w:p>
                    <w:pPr>
                      <w:spacing w:line="223" w:lineRule="exact" w:before="0"/>
                      <w:ind w:left="20" w:right="0" w:firstLine="0"/>
                      <w:jc w:val="left"/>
                      <w:rPr>
                        <w:rFonts w:ascii="Calibri"/>
                        <w:b/>
                        <w:sz w:val="20"/>
                      </w:rPr>
                    </w:pPr>
                    <w:r>
                      <w:rPr>
                        <w:rFonts w:ascii="Calibri"/>
                        <w:b/>
                        <w:sz w:val="20"/>
                      </w:rPr>
                      <w:t>PART</w:t>
                    </w:r>
                    <w:r>
                      <w:rPr>
                        <w:rFonts w:ascii="Calibri"/>
                        <w:b/>
                        <w:spacing w:val="-7"/>
                        <w:sz w:val="20"/>
                      </w:rPr>
                      <w:t> </w:t>
                    </w:r>
                    <w:r>
                      <w:rPr>
                        <w:rFonts w:ascii="Calibri"/>
                        <w:b/>
                        <w:sz w:val="20"/>
                      </w:rPr>
                      <w:t>-</w:t>
                    </w:r>
                    <w:r>
                      <w:rPr>
                        <w:rFonts w:ascii="Calibri"/>
                        <w:b/>
                        <w:spacing w:val="-6"/>
                        <w:sz w:val="20"/>
                      </w:rPr>
                      <w:t> </w:t>
                    </w:r>
                    <w:r>
                      <w:rPr>
                        <w:rFonts w:ascii="Calibri"/>
                        <w:b/>
                        <w:sz w:val="20"/>
                      </w:rPr>
                      <w:t>VIIIGENERAL</w:t>
                    </w:r>
                    <w:r>
                      <w:rPr>
                        <w:rFonts w:ascii="Calibri"/>
                        <w:b/>
                        <w:spacing w:val="-8"/>
                        <w:sz w:val="20"/>
                      </w:rPr>
                      <w:t> </w:t>
                    </w:r>
                    <w:r>
                      <w:rPr>
                        <w:rFonts w:ascii="Calibri"/>
                        <w:b/>
                        <w:sz w:val="20"/>
                      </w:rPr>
                      <w:t>BUILDING</w:t>
                    </w:r>
                    <w:r>
                      <w:rPr>
                        <w:rFonts w:ascii="Calibri"/>
                        <w:b/>
                        <w:spacing w:val="-7"/>
                        <w:sz w:val="20"/>
                      </w:rPr>
                      <w:t> </w:t>
                    </w:r>
                    <w:r>
                      <w:rPr>
                        <w:rFonts w:ascii="Calibri"/>
                        <w:b/>
                        <w:spacing w:val="-2"/>
                        <w:sz w:val="20"/>
                      </w:rPr>
                      <w:t>REQUIRMENTS</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37824">
              <wp:simplePos x="0" y="0"/>
              <wp:positionH relativeFrom="page">
                <wp:posOffset>813752</wp:posOffset>
              </wp:positionH>
              <wp:positionV relativeFrom="page">
                <wp:posOffset>676401</wp:posOffset>
              </wp:positionV>
              <wp:extent cx="5805170" cy="280670"/>
              <wp:effectExtent l="0" t="0" r="0" b="0"/>
              <wp:wrapNone/>
              <wp:docPr id="482" name="Group 482"/>
              <wp:cNvGraphicFramePr>
                <a:graphicFrameLocks/>
              </wp:cNvGraphicFramePr>
              <a:graphic>
                <a:graphicData uri="http://schemas.microsoft.com/office/word/2010/wordprocessingGroup">
                  <wpg:wgp>
                    <wpg:cNvPr id="482" name="Group 482"/>
                    <wpg:cNvGrpSpPr/>
                    <wpg:grpSpPr>
                      <a:xfrm>
                        <a:off x="0" y="0"/>
                        <a:ext cx="5805170" cy="280670"/>
                        <a:chExt cx="5805170" cy="280670"/>
                      </a:xfrm>
                    </wpg:grpSpPr>
                    <pic:pic>
                      <pic:nvPicPr>
                        <pic:cNvPr id="483" name="Image 483"/>
                        <pic:cNvPicPr/>
                      </pic:nvPicPr>
                      <pic:blipFill>
                        <a:blip r:embed="rId1" cstate="print"/>
                        <a:stretch>
                          <a:fillRect/>
                        </a:stretch>
                      </pic:blipFill>
                      <pic:spPr>
                        <a:xfrm>
                          <a:off x="4655889" y="137413"/>
                          <a:ext cx="1149083" cy="143255"/>
                        </a:xfrm>
                        <a:prstGeom prst="rect">
                          <a:avLst/>
                        </a:prstGeom>
                      </pic:spPr>
                    </pic:pic>
                    <pic:pic>
                      <pic:nvPicPr>
                        <pic:cNvPr id="484" name="Image 484"/>
                        <pic:cNvPicPr/>
                      </pic:nvPicPr>
                      <pic:blipFill>
                        <a:blip r:embed="rId2" cstate="print"/>
                        <a:stretch>
                          <a:fillRect/>
                        </a:stretch>
                      </pic:blipFill>
                      <pic:spPr>
                        <a:xfrm>
                          <a:off x="4902771" y="6350"/>
                          <a:ext cx="895984" cy="266065"/>
                        </a:xfrm>
                        <a:prstGeom prst="rect">
                          <a:avLst/>
                        </a:prstGeom>
                      </pic:spPr>
                    </pic:pic>
                    <wps:wsp>
                      <wps:cNvPr id="485" name="Graphic 485"/>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486" name="Graphic 486"/>
                      <wps:cNvSpPr/>
                      <wps:spPr>
                        <a:xfrm>
                          <a:off x="4762" y="271652"/>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3.259983pt;width:457.1pt;height:22.1pt;mso-position-horizontal-relative:page;mso-position-vertical-relative:page;z-index:-31878656" id="docshapegroup415" coordorigin="1281,1065" coordsize="9142,442">
              <v:shape style="position:absolute;left:8613;top:1281;width:1810;height:226" type="#_x0000_t75" id="docshape416" stroked="false">
                <v:imagedata r:id="rId1" o:title=""/>
              </v:shape>
              <v:shape style="position:absolute;left:9002;top:1075;width:1411;height:419" type="#_x0000_t75" id="docshape417" stroked="false">
                <v:imagedata r:id="rId2" o:title=""/>
              </v:shape>
              <v:rect style="position:absolute;left:9002;top:1075;width:1411;height:419" id="docshape418"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38336">
              <wp:simplePos x="0" y="0"/>
              <wp:positionH relativeFrom="page">
                <wp:posOffset>5810250</wp:posOffset>
              </wp:positionH>
              <wp:positionV relativeFrom="page">
                <wp:posOffset>724705</wp:posOffset>
              </wp:positionV>
              <wp:extent cx="708660" cy="167005"/>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7.063461pt;width:55.8pt;height:13.15pt;mso-position-horizontal-relative:page;mso-position-vertical-relative:page;z-index:-31878144" type="#_x0000_t202" id="docshape419"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38848">
              <wp:simplePos x="0" y="0"/>
              <wp:positionH relativeFrom="page">
                <wp:posOffset>879144</wp:posOffset>
              </wp:positionH>
              <wp:positionV relativeFrom="page">
                <wp:posOffset>808354</wp:posOffset>
              </wp:positionV>
              <wp:extent cx="2235200" cy="152400"/>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223520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4"/>
                              <w:sz w:val="20"/>
                            </w:rPr>
                            <w:t> </w:t>
                          </w:r>
                          <w:r>
                            <w:rPr>
                              <w:rFonts w:ascii="Calibri" w:hAnsi="Calibri"/>
                              <w:b/>
                              <w:sz w:val="20"/>
                            </w:rPr>
                            <w:t>IX</w:t>
                          </w:r>
                          <w:r>
                            <w:rPr>
                              <w:rFonts w:ascii="Calibri" w:hAnsi="Calibri"/>
                              <w:b/>
                              <w:spacing w:val="-2"/>
                              <w:sz w:val="20"/>
                            </w:rPr>
                            <w:t> </w:t>
                          </w:r>
                          <w:r>
                            <w:rPr>
                              <w:rFonts w:ascii="Calibri" w:hAnsi="Calibri"/>
                              <w:b/>
                              <w:sz w:val="20"/>
                            </w:rPr>
                            <w:t>URBAN</w:t>
                          </w:r>
                          <w:r>
                            <w:rPr>
                              <w:rFonts w:ascii="Calibri" w:hAnsi="Calibri"/>
                              <w:b/>
                              <w:spacing w:val="-4"/>
                              <w:sz w:val="20"/>
                            </w:rPr>
                            <w:t> </w:t>
                          </w:r>
                          <w:r>
                            <w:rPr>
                              <w:rFonts w:ascii="Calibri" w:hAnsi="Calibri"/>
                              <w:b/>
                              <w:sz w:val="20"/>
                            </w:rPr>
                            <w:t>SAFETY</w:t>
                          </w:r>
                          <w:r>
                            <w:rPr>
                              <w:rFonts w:ascii="Calibri" w:hAnsi="Calibri"/>
                              <w:b/>
                              <w:spacing w:val="-5"/>
                              <w:sz w:val="20"/>
                            </w:rPr>
                            <w:t> </w:t>
                          </w:r>
                          <w:r>
                            <w:rPr>
                              <w:rFonts w:ascii="Calibri" w:hAnsi="Calibri"/>
                              <w:b/>
                              <w:spacing w:val="-2"/>
                              <w:sz w:val="20"/>
                            </w:rPr>
                            <w:t>REQUIREMENTS</w:t>
                          </w:r>
                        </w:p>
                      </w:txbxContent>
                    </wps:txbx>
                    <wps:bodyPr wrap="square" lIns="0" tIns="0" rIns="0" bIns="0" rtlCol="0">
                      <a:noAutofit/>
                    </wps:bodyPr>
                  </wps:wsp>
                </a:graphicData>
              </a:graphic>
            </wp:anchor>
          </w:drawing>
        </mc:Choice>
        <mc:Fallback>
          <w:pict>
            <v:shape style="position:absolute;margin-left:69.223999pt;margin-top:63.649982pt;width:176pt;height:12pt;mso-position-horizontal-relative:page;mso-position-vertical-relative:page;z-index:-31877632" type="#_x0000_t202" id="docshape420"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4"/>
                        <w:sz w:val="20"/>
                      </w:rPr>
                      <w:t> </w:t>
                    </w:r>
                    <w:r>
                      <w:rPr>
                        <w:rFonts w:ascii="Calibri" w:hAnsi="Calibri"/>
                        <w:b/>
                        <w:sz w:val="20"/>
                      </w:rPr>
                      <w:t>IX</w:t>
                    </w:r>
                    <w:r>
                      <w:rPr>
                        <w:rFonts w:ascii="Calibri" w:hAnsi="Calibri"/>
                        <w:b/>
                        <w:spacing w:val="-2"/>
                        <w:sz w:val="20"/>
                      </w:rPr>
                      <w:t> </w:t>
                    </w:r>
                    <w:r>
                      <w:rPr>
                        <w:rFonts w:ascii="Calibri" w:hAnsi="Calibri"/>
                        <w:b/>
                        <w:sz w:val="20"/>
                      </w:rPr>
                      <w:t>URBAN</w:t>
                    </w:r>
                    <w:r>
                      <w:rPr>
                        <w:rFonts w:ascii="Calibri" w:hAnsi="Calibri"/>
                        <w:b/>
                        <w:spacing w:val="-4"/>
                        <w:sz w:val="20"/>
                      </w:rPr>
                      <w:t> </w:t>
                    </w:r>
                    <w:r>
                      <w:rPr>
                        <w:rFonts w:ascii="Calibri" w:hAnsi="Calibri"/>
                        <w:b/>
                        <w:sz w:val="20"/>
                      </w:rPr>
                      <w:t>SAFETY</w:t>
                    </w:r>
                    <w:r>
                      <w:rPr>
                        <w:rFonts w:ascii="Calibri" w:hAnsi="Calibri"/>
                        <w:b/>
                        <w:spacing w:val="-5"/>
                        <w:sz w:val="20"/>
                      </w:rPr>
                      <w:t> </w:t>
                    </w:r>
                    <w:r>
                      <w:rPr>
                        <w:rFonts w:ascii="Calibri" w:hAnsi="Calibri"/>
                        <w:b/>
                        <w:spacing w:val="-2"/>
                        <w:sz w:val="20"/>
                      </w:rPr>
                      <w:t>REQUIREMENTS</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41408">
              <wp:simplePos x="0" y="0"/>
              <wp:positionH relativeFrom="page">
                <wp:posOffset>813752</wp:posOffset>
              </wp:positionH>
              <wp:positionV relativeFrom="page">
                <wp:posOffset>676401</wp:posOffset>
              </wp:positionV>
              <wp:extent cx="5805170" cy="280670"/>
              <wp:effectExtent l="0" t="0" r="0" b="0"/>
              <wp:wrapNone/>
              <wp:docPr id="502" name="Group 502"/>
              <wp:cNvGraphicFramePr>
                <a:graphicFrameLocks/>
              </wp:cNvGraphicFramePr>
              <a:graphic>
                <a:graphicData uri="http://schemas.microsoft.com/office/word/2010/wordprocessingGroup">
                  <wpg:wgp>
                    <wpg:cNvPr id="502" name="Group 502"/>
                    <wpg:cNvGrpSpPr/>
                    <wpg:grpSpPr>
                      <a:xfrm>
                        <a:off x="0" y="0"/>
                        <a:ext cx="5805170" cy="280670"/>
                        <a:chExt cx="5805170" cy="280670"/>
                      </a:xfrm>
                    </wpg:grpSpPr>
                    <pic:pic>
                      <pic:nvPicPr>
                        <pic:cNvPr id="503" name="Image 503"/>
                        <pic:cNvPicPr/>
                      </pic:nvPicPr>
                      <pic:blipFill>
                        <a:blip r:embed="rId1" cstate="print"/>
                        <a:stretch>
                          <a:fillRect/>
                        </a:stretch>
                      </pic:blipFill>
                      <pic:spPr>
                        <a:xfrm>
                          <a:off x="4655889" y="137413"/>
                          <a:ext cx="1149083" cy="143255"/>
                        </a:xfrm>
                        <a:prstGeom prst="rect">
                          <a:avLst/>
                        </a:prstGeom>
                      </pic:spPr>
                    </pic:pic>
                    <pic:pic>
                      <pic:nvPicPr>
                        <pic:cNvPr id="504" name="Image 504"/>
                        <pic:cNvPicPr/>
                      </pic:nvPicPr>
                      <pic:blipFill>
                        <a:blip r:embed="rId2" cstate="print"/>
                        <a:stretch>
                          <a:fillRect/>
                        </a:stretch>
                      </pic:blipFill>
                      <pic:spPr>
                        <a:xfrm>
                          <a:off x="4902771" y="6350"/>
                          <a:ext cx="895984" cy="266065"/>
                        </a:xfrm>
                        <a:prstGeom prst="rect">
                          <a:avLst/>
                        </a:prstGeom>
                      </pic:spPr>
                    </pic:pic>
                    <wps:wsp>
                      <wps:cNvPr id="505" name="Graphic 505"/>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506" name="Graphic 506"/>
                      <wps:cNvSpPr/>
                      <wps:spPr>
                        <a:xfrm>
                          <a:off x="4762" y="271652"/>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3.259983pt;width:457.1pt;height:22.1pt;mso-position-horizontal-relative:page;mso-position-vertical-relative:page;z-index:-31875072" id="docshapegroup432" coordorigin="1281,1065" coordsize="9142,442">
              <v:shape style="position:absolute;left:8613;top:1281;width:1810;height:226" type="#_x0000_t75" id="docshape433" stroked="false">
                <v:imagedata r:id="rId1" o:title=""/>
              </v:shape>
              <v:shape style="position:absolute;left:9002;top:1075;width:1411;height:419" type="#_x0000_t75" id="docshape434" stroked="false">
                <v:imagedata r:id="rId2" o:title=""/>
              </v:shape>
              <v:rect style="position:absolute;left:9002;top:1075;width:1411;height:419" id="docshape435"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41920">
              <wp:simplePos x="0" y="0"/>
              <wp:positionH relativeFrom="page">
                <wp:posOffset>5810250</wp:posOffset>
              </wp:positionH>
              <wp:positionV relativeFrom="page">
                <wp:posOffset>724705</wp:posOffset>
              </wp:positionV>
              <wp:extent cx="708660" cy="167005"/>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7.063461pt;width:55.8pt;height:13.15pt;mso-position-horizontal-relative:page;mso-position-vertical-relative:page;z-index:-31874560" type="#_x0000_t202" id="docshape436"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42432">
              <wp:simplePos x="0" y="0"/>
              <wp:positionH relativeFrom="page">
                <wp:posOffset>879144</wp:posOffset>
              </wp:positionH>
              <wp:positionV relativeFrom="page">
                <wp:posOffset>808354</wp:posOffset>
              </wp:positionV>
              <wp:extent cx="2235200" cy="152400"/>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223520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4"/>
                              <w:sz w:val="20"/>
                            </w:rPr>
                            <w:t> </w:t>
                          </w:r>
                          <w:r>
                            <w:rPr>
                              <w:rFonts w:ascii="Calibri" w:hAnsi="Calibri"/>
                              <w:b/>
                              <w:sz w:val="20"/>
                            </w:rPr>
                            <w:t>IX</w:t>
                          </w:r>
                          <w:r>
                            <w:rPr>
                              <w:rFonts w:ascii="Calibri" w:hAnsi="Calibri"/>
                              <w:b/>
                              <w:spacing w:val="-2"/>
                              <w:sz w:val="20"/>
                            </w:rPr>
                            <w:t> </w:t>
                          </w:r>
                          <w:r>
                            <w:rPr>
                              <w:rFonts w:ascii="Calibri" w:hAnsi="Calibri"/>
                              <w:b/>
                              <w:sz w:val="20"/>
                            </w:rPr>
                            <w:t>URBAN</w:t>
                          </w:r>
                          <w:r>
                            <w:rPr>
                              <w:rFonts w:ascii="Calibri" w:hAnsi="Calibri"/>
                              <w:b/>
                              <w:spacing w:val="-4"/>
                              <w:sz w:val="20"/>
                            </w:rPr>
                            <w:t> </w:t>
                          </w:r>
                          <w:r>
                            <w:rPr>
                              <w:rFonts w:ascii="Calibri" w:hAnsi="Calibri"/>
                              <w:b/>
                              <w:sz w:val="20"/>
                            </w:rPr>
                            <w:t>SAFETY</w:t>
                          </w:r>
                          <w:r>
                            <w:rPr>
                              <w:rFonts w:ascii="Calibri" w:hAnsi="Calibri"/>
                              <w:b/>
                              <w:spacing w:val="-5"/>
                              <w:sz w:val="20"/>
                            </w:rPr>
                            <w:t> </w:t>
                          </w:r>
                          <w:r>
                            <w:rPr>
                              <w:rFonts w:ascii="Calibri" w:hAnsi="Calibri"/>
                              <w:b/>
                              <w:spacing w:val="-2"/>
                              <w:sz w:val="20"/>
                            </w:rPr>
                            <w:t>REQUIREMENTS</w:t>
                          </w:r>
                        </w:p>
                      </w:txbxContent>
                    </wps:txbx>
                    <wps:bodyPr wrap="square" lIns="0" tIns="0" rIns="0" bIns="0" rtlCol="0">
                      <a:noAutofit/>
                    </wps:bodyPr>
                  </wps:wsp>
                </a:graphicData>
              </a:graphic>
            </wp:anchor>
          </w:drawing>
        </mc:Choice>
        <mc:Fallback>
          <w:pict>
            <v:shape style="position:absolute;margin-left:69.223999pt;margin-top:63.649982pt;width:176pt;height:12pt;mso-position-horizontal-relative:page;mso-position-vertical-relative:page;z-index:-31874048" type="#_x0000_t202" id="docshape437"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4"/>
                        <w:sz w:val="20"/>
                      </w:rPr>
                      <w:t> </w:t>
                    </w:r>
                    <w:r>
                      <w:rPr>
                        <w:rFonts w:ascii="Calibri" w:hAnsi="Calibri"/>
                        <w:b/>
                        <w:sz w:val="20"/>
                      </w:rPr>
                      <w:t>IX</w:t>
                    </w:r>
                    <w:r>
                      <w:rPr>
                        <w:rFonts w:ascii="Calibri" w:hAnsi="Calibri"/>
                        <w:b/>
                        <w:spacing w:val="-2"/>
                        <w:sz w:val="20"/>
                      </w:rPr>
                      <w:t> </w:t>
                    </w:r>
                    <w:r>
                      <w:rPr>
                        <w:rFonts w:ascii="Calibri" w:hAnsi="Calibri"/>
                        <w:b/>
                        <w:sz w:val="20"/>
                      </w:rPr>
                      <w:t>URBAN</w:t>
                    </w:r>
                    <w:r>
                      <w:rPr>
                        <w:rFonts w:ascii="Calibri" w:hAnsi="Calibri"/>
                        <w:b/>
                        <w:spacing w:val="-4"/>
                        <w:sz w:val="20"/>
                      </w:rPr>
                      <w:t> </w:t>
                    </w:r>
                    <w:r>
                      <w:rPr>
                        <w:rFonts w:ascii="Calibri" w:hAnsi="Calibri"/>
                        <w:b/>
                        <w:sz w:val="20"/>
                      </w:rPr>
                      <w:t>SAFETY</w:t>
                    </w:r>
                    <w:r>
                      <w:rPr>
                        <w:rFonts w:ascii="Calibri" w:hAnsi="Calibri"/>
                        <w:b/>
                        <w:spacing w:val="-5"/>
                        <w:sz w:val="20"/>
                      </w:rPr>
                      <w:t> </w:t>
                    </w:r>
                    <w:r>
                      <w:rPr>
                        <w:rFonts w:ascii="Calibri" w:hAnsi="Calibri"/>
                        <w:b/>
                        <w:spacing w:val="-2"/>
                        <w:sz w:val="20"/>
                      </w:rPr>
                      <w:t>REQUIREMENTS</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44992">
              <wp:simplePos x="0" y="0"/>
              <wp:positionH relativeFrom="page">
                <wp:posOffset>813752</wp:posOffset>
              </wp:positionH>
              <wp:positionV relativeFrom="page">
                <wp:posOffset>671829</wp:posOffset>
              </wp:positionV>
              <wp:extent cx="5805170" cy="281940"/>
              <wp:effectExtent l="0" t="0" r="0" b="0"/>
              <wp:wrapNone/>
              <wp:docPr id="517" name="Group 517"/>
              <wp:cNvGraphicFramePr>
                <a:graphicFrameLocks/>
              </wp:cNvGraphicFramePr>
              <a:graphic>
                <a:graphicData uri="http://schemas.microsoft.com/office/word/2010/wordprocessingGroup">
                  <wpg:wgp>
                    <wpg:cNvPr id="517" name="Group 517"/>
                    <wpg:cNvGrpSpPr/>
                    <wpg:grpSpPr>
                      <a:xfrm>
                        <a:off x="0" y="0"/>
                        <a:ext cx="5805170" cy="281940"/>
                        <a:chExt cx="5805170" cy="281940"/>
                      </a:xfrm>
                    </wpg:grpSpPr>
                    <pic:pic>
                      <pic:nvPicPr>
                        <pic:cNvPr id="518" name="Image 518"/>
                        <pic:cNvPicPr/>
                      </pic:nvPicPr>
                      <pic:blipFill>
                        <a:blip r:embed="rId1" cstate="print"/>
                        <a:stretch>
                          <a:fillRect/>
                        </a:stretch>
                      </pic:blipFill>
                      <pic:spPr>
                        <a:xfrm>
                          <a:off x="4655889" y="137413"/>
                          <a:ext cx="1149083" cy="143255"/>
                        </a:xfrm>
                        <a:prstGeom prst="rect">
                          <a:avLst/>
                        </a:prstGeom>
                      </pic:spPr>
                    </pic:pic>
                    <pic:pic>
                      <pic:nvPicPr>
                        <pic:cNvPr id="519" name="Image 519"/>
                        <pic:cNvPicPr/>
                      </pic:nvPicPr>
                      <pic:blipFill>
                        <a:blip r:embed="rId2" cstate="print"/>
                        <a:stretch>
                          <a:fillRect/>
                        </a:stretch>
                      </pic:blipFill>
                      <pic:spPr>
                        <a:xfrm>
                          <a:off x="4902771" y="6350"/>
                          <a:ext cx="895984" cy="266065"/>
                        </a:xfrm>
                        <a:prstGeom prst="rect">
                          <a:avLst/>
                        </a:prstGeom>
                      </pic:spPr>
                    </pic:pic>
                    <wps:wsp>
                      <wps:cNvPr id="520" name="Graphic 520"/>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521" name="Graphic 521"/>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871488" id="docshapegroup445" coordorigin="1281,1058" coordsize="9142,444">
              <v:shape style="position:absolute;left:8613;top:1274;width:1810;height:226" type="#_x0000_t75" id="docshape446" stroked="false">
                <v:imagedata r:id="rId1" o:title=""/>
              </v:shape>
              <v:shape style="position:absolute;left:9002;top:1068;width:1411;height:419" type="#_x0000_t75" id="docshape447" stroked="false">
                <v:imagedata r:id="rId2" o:title=""/>
              </v:shape>
              <v:rect style="position:absolute;left:9002;top:1068;width:1411;height:419" id="docshape448"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45504">
              <wp:simplePos x="0" y="0"/>
              <wp:positionH relativeFrom="page">
                <wp:posOffset>5810250</wp:posOffset>
              </wp:positionH>
              <wp:positionV relativeFrom="page">
                <wp:posOffset>720133</wp:posOffset>
              </wp:positionV>
              <wp:extent cx="708660" cy="167005"/>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870976" type="#_x0000_t202" id="docshape449"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46016">
              <wp:simplePos x="0" y="0"/>
              <wp:positionH relativeFrom="page">
                <wp:posOffset>879144</wp:posOffset>
              </wp:positionH>
              <wp:positionV relativeFrom="page">
                <wp:posOffset>808354</wp:posOffset>
              </wp:positionV>
              <wp:extent cx="1630680" cy="152400"/>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163068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4"/>
                              <w:sz w:val="20"/>
                            </w:rPr>
                            <w:t> </w:t>
                          </w:r>
                          <w:r>
                            <w:rPr>
                              <w:rFonts w:ascii="Calibri" w:hAnsi="Calibri"/>
                              <w:b/>
                              <w:sz w:val="20"/>
                            </w:rPr>
                            <w:t>–</w:t>
                          </w:r>
                          <w:r>
                            <w:rPr>
                              <w:rFonts w:ascii="Calibri" w:hAnsi="Calibri"/>
                              <w:b/>
                              <w:spacing w:val="-5"/>
                              <w:sz w:val="20"/>
                            </w:rPr>
                            <w:t> </w:t>
                          </w:r>
                          <w:r>
                            <w:rPr>
                              <w:rFonts w:ascii="Calibri" w:hAnsi="Calibri"/>
                              <w:b/>
                              <w:sz w:val="20"/>
                            </w:rPr>
                            <w:t>X</w:t>
                          </w:r>
                          <w:r>
                            <w:rPr>
                              <w:rFonts w:ascii="Calibri" w:hAnsi="Calibri"/>
                              <w:b/>
                              <w:spacing w:val="-3"/>
                              <w:sz w:val="20"/>
                            </w:rPr>
                            <w:t> </w:t>
                          </w:r>
                          <w:r>
                            <w:rPr>
                              <w:rFonts w:ascii="Calibri" w:hAnsi="Calibri"/>
                              <w:b/>
                              <w:sz w:val="20"/>
                            </w:rPr>
                            <w:t>SPECIAL</w:t>
                          </w:r>
                          <w:r>
                            <w:rPr>
                              <w:rFonts w:ascii="Calibri" w:hAnsi="Calibri"/>
                              <w:b/>
                              <w:spacing w:val="-2"/>
                              <w:sz w:val="20"/>
                            </w:rPr>
                            <w:t> PROVISIONS</w:t>
                          </w:r>
                        </w:p>
                      </w:txbxContent>
                    </wps:txbx>
                    <wps:bodyPr wrap="square" lIns="0" tIns="0" rIns="0" bIns="0" rtlCol="0">
                      <a:noAutofit/>
                    </wps:bodyPr>
                  </wps:wsp>
                </a:graphicData>
              </a:graphic>
            </wp:anchor>
          </w:drawing>
        </mc:Choice>
        <mc:Fallback>
          <w:pict>
            <v:shape style="position:absolute;margin-left:69.223999pt;margin-top:63.649982pt;width:128.4pt;height:12pt;mso-position-horizontal-relative:page;mso-position-vertical-relative:page;z-index:-31870464" type="#_x0000_t202" id="docshape450"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4"/>
                        <w:sz w:val="20"/>
                      </w:rPr>
                      <w:t> </w:t>
                    </w:r>
                    <w:r>
                      <w:rPr>
                        <w:rFonts w:ascii="Calibri" w:hAnsi="Calibri"/>
                        <w:b/>
                        <w:sz w:val="20"/>
                      </w:rPr>
                      <w:t>–</w:t>
                    </w:r>
                    <w:r>
                      <w:rPr>
                        <w:rFonts w:ascii="Calibri" w:hAnsi="Calibri"/>
                        <w:b/>
                        <w:spacing w:val="-5"/>
                        <w:sz w:val="20"/>
                      </w:rPr>
                      <w:t> </w:t>
                    </w:r>
                    <w:r>
                      <w:rPr>
                        <w:rFonts w:ascii="Calibri" w:hAnsi="Calibri"/>
                        <w:b/>
                        <w:sz w:val="20"/>
                      </w:rPr>
                      <w:t>X</w:t>
                    </w:r>
                    <w:r>
                      <w:rPr>
                        <w:rFonts w:ascii="Calibri" w:hAnsi="Calibri"/>
                        <w:b/>
                        <w:spacing w:val="-3"/>
                        <w:sz w:val="20"/>
                      </w:rPr>
                      <w:t> </w:t>
                    </w:r>
                    <w:r>
                      <w:rPr>
                        <w:rFonts w:ascii="Calibri" w:hAnsi="Calibri"/>
                        <w:b/>
                        <w:sz w:val="20"/>
                      </w:rPr>
                      <w:t>SPECIAL</w:t>
                    </w:r>
                    <w:r>
                      <w:rPr>
                        <w:rFonts w:ascii="Calibri" w:hAnsi="Calibri"/>
                        <w:b/>
                        <w:spacing w:val="-2"/>
                        <w:sz w:val="20"/>
                      </w:rPr>
                      <w:t> PROVISIONS</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48576">
              <wp:simplePos x="0" y="0"/>
              <wp:positionH relativeFrom="page">
                <wp:posOffset>813752</wp:posOffset>
              </wp:positionH>
              <wp:positionV relativeFrom="page">
                <wp:posOffset>676401</wp:posOffset>
              </wp:positionV>
              <wp:extent cx="5805170" cy="280670"/>
              <wp:effectExtent l="0" t="0" r="0" b="0"/>
              <wp:wrapNone/>
              <wp:docPr id="532" name="Group 532"/>
              <wp:cNvGraphicFramePr>
                <a:graphicFrameLocks/>
              </wp:cNvGraphicFramePr>
              <a:graphic>
                <a:graphicData uri="http://schemas.microsoft.com/office/word/2010/wordprocessingGroup">
                  <wpg:wgp>
                    <wpg:cNvPr id="532" name="Group 532"/>
                    <wpg:cNvGrpSpPr/>
                    <wpg:grpSpPr>
                      <a:xfrm>
                        <a:off x="0" y="0"/>
                        <a:ext cx="5805170" cy="280670"/>
                        <a:chExt cx="5805170" cy="280670"/>
                      </a:xfrm>
                    </wpg:grpSpPr>
                    <pic:pic>
                      <pic:nvPicPr>
                        <pic:cNvPr id="533" name="Image 533"/>
                        <pic:cNvPicPr/>
                      </pic:nvPicPr>
                      <pic:blipFill>
                        <a:blip r:embed="rId1" cstate="print"/>
                        <a:stretch>
                          <a:fillRect/>
                        </a:stretch>
                      </pic:blipFill>
                      <pic:spPr>
                        <a:xfrm>
                          <a:off x="4655889" y="137413"/>
                          <a:ext cx="1149083" cy="143255"/>
                        </a:xfrm>
                        <a:prstGeom prst="rect">
                          <a:avLst/>
                        </a:prstGeom>
                      </pic:spPr>
                    </pic:pic>
                    <pic:pic>
                      <pic:nvPicPr>
                        <pic:cNvPr id="534" name="Image 534"/>
                        <pic:cNvPicPr/>
                      </pic:nvPicPr>
                      <pic:blipFill>
                        <a:blip r:embed="rId2" cstate="print"/>
                        <a:stretch>
                          <a:fillRect/>
                        </a:stretch>
                      </pic:blipFill>
                      <pic:spPr>
                        <a:xfrm>
                          <a:off x="4902771" y="6350"/>
                          <a:ext cx="895984" cy="266065"/>
                        </a:xfrm>
                        <a:prstGeom prst="rect">
                          <a:avLst/>
                        </a:prstGeom>
                      </pic:spPr>
                    </pic:pic>
                    <wps:wsp>
                      <wps:cNvPr id="535" name="Graphic 535"/>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536" name="Graphic 536"/>
                      <wps:cNvSpPr/>
                      <wps:spPr>
                        <a:xfrm>
                          <a:off x="4762" y="271652"/>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3.259983pt;width:457.1pt;height:22.1pt;mso-position-horizontal-relative:page;mso-position-vertical-relative:page;z-index:-31867904" id="docshapegroup458" coordorigin="1281,1065" coordsize="9142,442">
              <v:shape style="position:absolute;left:8613;top:1281;width:1810;height:226" type="#_x0000_t75" id="docshape459" stroked="false">
                <v:imagedata r:id="rId1" o:title=""/>
              </v:shape>
              <v:shape style="position:absolute;left:9002;top:1075;width:1411;height:419" type="#_x0000_t75" id="docshape460" stroked="false">
                <v:imagedata r:id="rId2" o:title=""/>
              </v:shape>
              <v:rect style="position:absolute;left:9002;top:1075;width:1411;height:419" id="docshape461"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49088">
              <wp:simplePos x="0" y="0"/>
              <wp:positionH relativeFrom="page">
                <wp:posOffset>5810250</wp:posOffset>
              </wp:positionH>
              <wp:positionV relativeFrom="page">
                <wp:posOffset>724705</wp:posOffset>
              </wp:positionV>
              <wp:extent cx="708660" cy="167005"/>
              <wp:effectExtent l="0" t="0" r="0" b="0"/>
              <wp:wrapNone/>
              <wp:docPr id="537" name="Textbox 537"/>
              <wp:cNvGraphicFramePr>
                <a:graphicFrameLocks/>
              </wp:cNvGraphicFramePr>
              <a:graphic>
                <a:graphicData uri="http://schemas.microsoft.com/office/word/2010/wordprocessingShape">
                  <wps:wsp>
                    <wps:cNvPr id="537" name="Textbox 53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7.063461pt;width:55.8pt;height:13.15pt;mso-position-horizontal-relative:page;mso-position-vertical-relative:page;z-index:-31867392" type="#_x0000_t202" id="docshape462"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49600">
              <wp:simplePos x="0" y="0"/>
              <wp:positionH relativeFrom="page">
                <wp:posOffset>879144</wp:posOffset>
              </wp:positionH>
              <wp:positionV relativeFrom="page">
                <wp:posOffset>808354</wp:posOffset>
              </wp:positionV>
              <wp:extent cx="2163445" cy="152400"/>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a:off x="0" y="0"/>
                        <a:ext cx="2163445"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XI</w:t>
                          </w:r>
                          <w:r>
                            <w:rPr>
                              <w:rFonts w:ascii="Calibri" w:hAnsi="Calibri"/>
                              <w:b/>
                              <w:spacing w:val="-4"/>
                              <w:sz w:val="20"/>
                            </w:rPr>
                            <w:t> </w:t>
                          </w:r>
                          <w:r>
                            <w:rPr>
                              <w:rFonts w:ascii="Calibri" w:hAnsi="Calibri"/>
                              <w:b/>
                              <w:sz w:val="20"/>
                            </w:rPr>
                            <w:t>MISCELLANEOUS</w:t>
                          </w:r>
                          <w:r>
                            <w:rPr>
                              <w:rFonts w:ascii="Calibri" w:hAnsi="Calibri"/>
                              <w:b/>
                              <w:spacing w:val="36"/>
                              <w:sz w:val="20"/>
                            </w:rPr>
                            <w:t> </w:t>
                          </w:r>
                          <w:r>
                            <w:rPr>
                              <w:rFonts w:ascii="Calibri" w:hAnsi="Calibri"/>
                              <w:b/>
                              <w:spacing w:val="-2"/>
                              <w:sz w:val="20"/>
                            </w:rPr>
                            <w:t>PROVISIONS</w:t>
                          </w:r>
                        </w:p>
                      </w:txbxContent>
                    </wps:txbx>
                    <wps:bodyPr wrap="square" lIns="0" tIns="0" rIns="0" bIns="0" rtlCol="0">
                      <a:noAutofit/>
                    </wps:bodyPr>
                  </wps:wsp>
                </a:graphicData>
              </a:graphic>
            </wp:anchor>
          </w:drawing>
        </mc:Choice>
        <mc:Fallback>
          <w:pict>
            <v:shape style="position:absolute;margin-left:69.223999pt;margin-top:63.649982pt;width:170.35pt;height:12pt;mso-position-horizontal-relative:page;mso-position-vertical-relative:page;z-index:-31866880" type="#_x0000_t202" id="docshape463"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XI</w:t>
                    </w:r>
                    <w:r>
                      <w:rPr>
                        <w:rFonts w:ascii="Calibri" w:hAnsi="Calibri"/>
                        <w:b/>
                        <w:spacing w:val="-4"/>
                        <w:sz w:val="20"/>
                      </w:rPr>
                      <w:t> </w:t>
                    </w:r>
                    <w:r>
                      <w:rPr>
                        <w:rFonts w:ascii="Calibri" w:hAnsi="Calibri"/>
                        <w:b/>
                        <w:sz w:val="20"/>
                      </w:rPr>
                      <w:t>MISCELLANEOUS</w:t>
                    </w:r>
                    <w:r>
                      <w:rPr>
                        <w:rFonts w:ascii="Calibri" w:hAnsi="Calibri"/>
                        <w:b/>
                        <w:spacing w:val="36"/>
                        <w:sz w:val="20"/>
                      </w:rPr>
                      <w:t> </w:t>
                    </w:r>
                    <w:r>
                      <w:rPr>
                        <w:rFonts w:ascii="Calibri" w:hAnsi="Calibri"/>
                        <w:b/>
                        <w:spacing w:val="-2"/>
                        <w:sz w:val="20"/>
                      </w:rPr>
                      <w:t>PROVISIONS</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52160">
              <wp:simplePos x="0" y="0"/>
              <wp:positionH relativeFrom="page">
                <wp:posOffset>813752</wp:posOffset>
              </wp:positionH>
              <wp:positionV relativeFrom="page">
                <wp:posOffset>671829</wp:posOffset>
              </wp:positionV>
              <wp:extent cx="5805170" cy="281940"/>
              <wp:effectExtent l="0" t="0" r="0" b="0"/>
              <wp:wrapNone/>
              <wp:docPr id="547" name="Group 547"/>
              <wp:cNvGraphicFramePr>
                <a:graphicFrameLocks/>
              </wp:cNvGraphicFramePr>
              <a:graphic>
                <a:graphicData uri="http://schemas.microsoft.com/office/word/2010/wordprocessingGroup">
                  <wpg:wgp>
                    <wpg:cNvPr id="547" name="Group 547"/>
                    <wpg:cNvGrpSpPr/>
                    <wpg:grpSpPr>
                      <a:xfrm>
                        <a:off x="0" y="0"/>
                        <a:ext cx="5805170" cy="281940"/>
                        <a:chExt cx="5805170" cy="281940"/>
                      </a:xfrm>
                    </wpg:grpSpPr>
                    <pic:pic>
                      <pic:nvPicPr>
                        <pic:cNvPr id="548" name="Image 548"/>
                        <pic:cNvPicPr/>
                      </pic:nvPicPr>
                      <pic:blipFill>
                        <a:blip r:embed="rId1" cstate="print"/>
                        <a:stretch>
                          <a:fillRect/>
                        </a:stretch>
                      </pic:blipFill>
                      <pic:spPr>
                        <a:xfrm>
                          <a:off x="4655889" y="137413"/>
                          <a:ext cx="1149083" cy="143255"/>
                        </a:xfrm>
                        <a:prstGeom prst="rect">
                          <a:avLst/>
                        </a:prstGeom>
                      </pic:spPr>
                    </pic:pic>
                    <pic:pic>
                      <pic:nvPicPr>
                        <pic:cNvPr id="549" name="Image 549"/>
                        <pic:cNvPicPr/>
                      </pic:nvPicPr>
                      <pic:blipFill>
                        <a:blip r:embed="rId2" cstate="print"/>
                        <a:stretch>
                          <a:fillRect/>
                        </a:stretch>
                      </pic:blipFill>
                      <pic:spPr>
                        <a:xfrm>
                          <a:off x="4902771" y="6350"/>
                          <a:ext cx="895984" cy="266065"/>
                        </a:xfrm>
                        <a:prstGeom prst="rect">
                          <a:avLst/>
                        </a:prstGeom>
                      </pic:spPr>
                    </pic:pic>
                    <wps:wsp>
                      <wps:cNvPr id="550" name="Graphic 550"/>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551" name="Graphic 551"/>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864320" id="docshapegroup471" coordorigin="1281,1058" coordsize="9142,444">
              <v:shape style="position:absolute;left:8613;top:1274;width:1810;height:226" type="#_x0000_t75" id="docshape472" stroked="false">
                <v:imagedata r:id="rId1" o:title=""/>
              </v:shape>
              <v:shape style="position:absolute;left:9002;top:1068;width:1411;height:419" type="#_x0000_t75" id="docshape473" stroked="false">
                <v:imagedata r:id="rId2" o:title=""/>
              </v:shape>
              <v:rect style="position:absolute;left:9002;top:1068;width:1411;height:419" id="docshape474"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52672">
              <wp:simplePos x="0" y="0"/>
              <wp:positionH relativeFrom="page">
                <wp:posOffset>5810250</wp:posOffset>
              </wp:positionH>
              <wp:positionV relativeFrom="page">
                <wp:posOffset>720133</wp:posOffset>
              </wp:positionV>
              <wp:extent cx="708660" cy="167005"/>
              <wp:effectExtent l="0" t="0" r="0" b="0"/>
              <wp:wrapNone/>
              <wp:docPr id="552" name="Textbox 552"/>
              <wp:cNvGraphicFramePr>
                <a:graphicFrameLocks/>
              </wp:cNvGraphicFramePr>
              <a:graphic>
                <a:graphicData uri="http://schemas.microsoft.com/office/word/2010/wordprocessingShape">
                  <wps:wsp>
                    <wps:cNvPr id="552" name="Textbox 552"/>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863808" type="#_x0000_t202" id="docshape475"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53184">
              <wp:simplePos x="0" y="0"/>
              <wp:positionH relativeFrom="page">
                <wp:posOffset>879144</wp:posOffset>
              </wp:positionH>
              <wp:positionV relativeFrom="page">
                <wp:posOffset>808354</wp:posOffset>
              </wp:positionV>
              <wp:extent cx="2423160" cy="152400"/>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a:off x="0" y="0"/>
                        <a:ext cx="242316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6"/>
                              <w:sz w:val="20"/>
                            </w:rPr>
                            <w:t> </w:t>
                          </w:r>
                          <w:r>
                            <w:rPr>
                              <w:rFonts w:ascii="Calibri" w:hAnsi="Calibri"/>
                              <w:b/>
                              <w:sz w:val="20"/>
                            </w:rPr>
                            <w:t>–</w:t>
                          </w:r>
                          <w:r>
                            <w:rPr>
                              <w:rFonts w:ascii="Calibri" w:hAnsi="Calibri"/>
                              <w:b/>
                              <w:spacing w:val="-7"/>
                              <w:sz w:val="20"/>
                            </w:rPr>
                            <w:t> </w:t>
                          </w:r>
                          <w:r>
                            <w:rPr>
                              <w:rFonts w:ascii="Calibri" w:hAnsi="Calibri"/>
                              <w:b/>
                              <w:sz w:val="20"/>
                            </w:rPr>
                            <w:t>XII</w:t>
                          </w:r>
                          <w:r>
                            <w:rPr>
                              <w:rFonts w:ascii="Calibri" w:hAnsi="Calibri"/>
                              <w:b/>
                              <w:spacing w:val="-6"/>
                              <w:sz w:val="20"/>
                            </w:rPr>
                            <w:t> </w:t>
                          </w:r>
                          <w:r>
                            <w:rPr>
                              <w:rFonts w:ascii="Calibri" w:hAnsi="Calibri"/>
                              <w:b/>
                              <w:sz w:val="20"/>
                            </w:rPr>
                            <w:t>ENVIRONMENTAL</w:t>
                          </w:r>
                          <w:r>
                            <w:rPr>
                              <w:rFonts w:ascii="Calibri" w:hAnsi="Calibri"/>
                              <w:b/>
                              <w:spacing w:val="-4"/>
                              <w:sz w:val="20"/>
                            </w:rPr>
                            <w:t> </w:t>
                          </w:r>
                          <w:r>
                            <w:rPr>
                              <w:rFonts w:ascii="Calibri" w:hAnsi="Calibri"/>
                              <w:b/>
                              <w:spacing w:val="-2"/>
                              <w:sz w:val="20"/>
                            </w:rPr>
                            <w:t>SUSTAINABILITY</w:t>
                          </w:r>
                        </w:p>
                      </w:txbxContent>
                    </wps:txbx>
                    <wps:bodyPr wrap="square" lIns="0" tIns="0" rIns="0" bIns="0" rtlCol="0">
                      <a:noAutofit/>
                    </wps:bodyPr>
                  </wps:wsp>
                </a:graphicData>
              </a:graphic>
            </wp:anchor>
          </w:drawing>
        </mc:Choice>
        <mc:Fallback>
          <w:pict>
            <v:shape style="position:absolute;margin-left:69.223999pt;margin-top:63.649982pt;width:190.8pt;height:12pt;mso-position-horizontal-relative:page;mso-position-vertical-relative:page;z-index:-31863296" type="#_x0000_t202" id="docshape476"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6"/>
                        <w:sz w:val="20"/>
                      </w:rPr>
                      <w:t> </w:t>
                    </w:r>
                    <w:r>
                      <w:rPr>
                        <w:rFonts w:ascii="Calibri" w:hAnsi="Calibri"/>
                        <w:b/>
                        <w:sz w:val="20"/>
                      </w:rPr>
                      <w:t>–</w:t>
                    </w:r>
                    <w:r>
                      <w:rPr>
                        <w:rFonts w:ascii="Calibri" w:hAnsi="Calibri"/>
                        <w:b/>
                        <w:spacing w:val="-7"/>
                        <w:sz w:val="20"/>
                      </w:rPr>
                      <w:t> </w:t>
                    </w:r>
                    <w:r>
                      <w:rPr>
                        <w:rFonts w:ascii="Calibri" w:hAnsi="Calibri"/>
                        <w:b/>
                        <w:sz w:val="20"/>
                      </w:rPr>
                      <w:t>XII</w:t>
                    </w:r>
                    <w:r>
                      <w:rPr>
                        <w:rFonts w:ascii="Calibri" w:hAnsi="Calibri"/>
                        <w:b/>
                        <w:spacing w:val="-6"/>
                        <w:sz w:val="20"/>
                      </w:rPr>
                      <w:t> </w:t>
                    </w:r>
                    <w:r>
                      <w:rPr>
                        <w:rFonts w:ascii="Calibri" w:hAnsi="Calibri"/>
                        <w:b/>
                        <w:sz w:val="20"/>
                      </w:rPr>
                      <w:t>ENVIRONMENTAL</w:t>
                    </w:r>
                    <w:r>
                      <w:rPr>
                        <w:rFonts w:ascii="Calibri" w:hAnsi="Calibri"/>
                        <w:b/>
                        <w:spacing w:val="-4"/>
                        <w:sz w:val="20"/>
                      </w:rPr>
                      <w:t> </w:t>
                    </w:r>
                    <w:r>
                      <w:rPr>
                        <w:rFonts w:ascii="Calibri" w:hAnsi="Calibri"/>
                        <w:b/>
                        <w:spacing w:val="-2"/>
                        <w:sz w:val="20"/>
                      </w:rPr>
                      <w:t>SUSTAINABILITY</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55744">
              <wp:simplePos x="0" y="0"/>
              <wp:positionH relativeFrom="page">
                <wp:posOffset>813752</wp:posOffset>
              </wp:positionH>
              <wp:positionV relativeFrom="page">
                <wp:posOffset>671829</wp:posOffset>
              </wp:positionV>
              <wp:extent cx="5805170" cy="281940"/>
              <wp:effectExtent l="0" t="0" r="0" b="0"/>
              <wp:wrapNone/>
              <wp:docPr id="562" name="Group 562"/>
              <wp:cNvGraphicFramePr>
                <a:graphicFrameLocks/>
              </wp:cNvGraphicFramePr>
              <a:graphic>
                <a:graphicData uri="http://schemas.microsoft.com/office/word/2010/wordprocessingGroup">
                  <wpg:wgp>
                    <wpg:cNvPr id="562" name="Group 562"/>
                    <wpg:cNvGrpSpPr/>
                    <wpg:grpSpPr>
                      <a:xfrm>
                        <a:off x="0" y="0"/>
                        <a:ext cx="5805170" cy="281940"/>
                        <a:chExt cx="5805170" cy="281940"/>
                      </a:xfrm>
                    </wpg:grpSpPr>
                    <pic:pic>
                      <pic:nvPicPr>
                        <pic:cNvPr id="563" name="Image 563"/>
                        <pic:cNvPicPr/>
                      </pic:nvPicPr>
                      <pic:blipFill>
                        <a:blip r:embed="rId1" cstate="print"/>
                        <a:stretch>
                          <a:fillRect/>
                        </a:stretch>
                      </pic:blipFill>
                      <pic:spPr>
                        <a:xfrm>
                          <a:off x="4655889" y="137413"/>
                          <a:ext cx="1149083" cy="143255"/>
                        </a:xfrm>
                        <a:prstGeom prst="rect">
                          <a:avLst/>
                        </a:prstGeom>
                      </pic:spPr>
                    </pic:pic>
                    <pic:pic>
                      <pic:nvPicPr>
                        <pic:cNvPr id="564" name="Image 564"/>
                        <pic:cNvPicPr/>
                      </pic:nvPicPr>
                      <pic:blipFill>
                        <a:blip r:embed="rId2" cstate="print"/>
                        <a:stretch>
                          <a:fillRect/>
                        </a:stretch>
                      </pic:blipFill>
                      <pic:spPr>
                        <a:xfrm>
                          <a:off x="4902771" y="6350"/>
                          <a:ext cx="895984" cy="266065"/>
                        </a:xfrm>
                        <a:prstGeom prst="rect">
                          <a:avLst/>
                        </a:prstGeom>
                      </pic:spPr>
                    </pic:pic>
                    <wps:wsp>
                      <wps:cNvPr id="565" name="Graphic 565"/>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566" name="Graphic 566"/>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860736" id="docshapegroup484" coordorigin="1281,1058" coordsize="9142,444">
              <v:shape style="position:absolute;left:8613;top:1274;width:1810;height:226" type="#_x0000_t75" id="docshape485" stroked="false">
                <v:imagedata r:id="rId1" o:title=""/>
              </v:shape>
              <v:shape style="position:absolute;left:9002;top:1068;width:1411;height:419" type="#_x0000_t75" id="docshape486" stroked="false">
                <v:imagedata r:id="rId2" o:title=""/>
              </v:shape>
              <v:rect style="position:absolute;left:9002;top:1068;width:1411;height:419" id="docshape487"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56256">
              <wp:simplePos x="0" y="0"/>
              <wp:positionH relativeFrom="page">
                <wp:posOffset>5810250</wp:posOffset>
              </wp:positionH>
              <wp:positionV relativeFrom="page">
                <wp:posOffset>720133</wp:posOffset>
              </wp:positionV>
              <wp:extent cx="708660" cy="167005"/>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860224" type="#_x0000_t202" id="docshape488"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56768">
              <wp:simplePos x="0" y="0"/>
              <wp:positionH relativeFrom="page">
                <wp:posOffset>879144</wp:posOffset>
              </wp:positionH>
              <wp:positionV relativeFrom="page">
                <wp:posOffset>808354</wp:posOffset>
              </wp:positionV>
              <wp:extent cx="2423160" cy="15240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242316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6"/>
                              <w:sz w:val="20"/>
                            </w:rPr>
                            <w:t> </w:t>
                          </w:r>
                          <w:r>
                            <w:rPr>
                              <w:rFonts w:ascii="Calibri" w:hAnsi="Calibri"/>
                              <w:b/>
                              <w:sz w:val="20"/>
                            </w:rPr>
                            <w:t>–</w:t>
                          </w:r>
                          <w:r>
                            <w:rPr>
                              <w:rFonts w:ascii="Calibri" w:hAnsi="Calibri"/>
                              <w:b/>
                              <w:spacing w:val="-7"/>
                              <w:sz w:val="20"/>
                            </w:rPr>
                            <w:t> </w:t>
                          </w:r>
                          <w:r>
                            <w:rPr>
                              <w:rFonts w:ascii="Calibri" w:hAnsi="Calibri"/>
                              <w:b/>
                              <w:sz w:val="20"/>
                            </w:rPr>
                            <w:t>XII</w:t>
                          </w:r>
                          <w:r>
                            <w:rPr>
                              <w:rFonts w:ascii="Calibri" w:hAnsi="Calibri"/>
                              <w:b/>
                              <w:spacing w:val="-6"/>
                              <w:sz w:val="20"/>
                            </w:rPr>
                            <w:t> </w:t>
                          </w:r>
                          <w:r>
                            <w:rPr>
                              <w:rFonts w:ascii="Calibri" w:hAnsi="Calibri"/>
                              <w:b/>
                              <w:sz w:val="20"/>
                            </w:rPr>
                            <w:t>ENVIRONMENTAL</w:t>
                          </w:r>
                          <w:r>
                            <w:rPr>
                              <w:rFonts w:ascii="Calibri" w:hAnsi="Calibri"/>
                              <w:b/>
                              <w:spacing w:val="-4"/>
                              <w:sz w:val="20"/>
                            </w:rPr>
                            <w:t> </w:t>
                          </w:r>
                          <w:r>
                            <w:rPr>
                              <w:rFonts w:ascii="Calibri" w:hAnsi="Calibri"/>
                              <w:b/>
                              <w:spacing w:val="-2"/>
                              <w:sz w:val="20"/>
                            </w:rPr>
                            <w:t>SUSTAINABILITY</w:t>
                          </w:r>
                        </w:p>
                      </w:txbxContent>
                    </wps:txbx>
                    <wps:bodyPr wrap="square" lIns="0" tIns="0" rIns="0" bIns="0" rtlCol="0">
                      <a:noAutofit/>
                    </wps:bodyPr>
                  </wps:wsp>
                </a:graphicData>
              </a:graphic>
            </wp:anchor>
          </w:drawing>
        </mc:Choice>
        <mc:Fallback>
          <w:pict>
            <v:shape style="position:absolute;margin-left:69.223999pt;margin-top:63.649982pt;width:190.8pt;height:12pt;mso-position-horizontal-relative:page;mso-position-vertical-relative:page;z-index:-31859712" type="#_x0000_t202" id="docshape489"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6"/>
                        <w:sz w:val="20"/>
                      </w:rPr>
                      <w:t> </w:t>
                    </w:r>
                    <w:r>
                      <w:rPr>
                        <w:rFonts w:ascii="Calibri" w:hAnsi="Calibri"/>
                        <w:b/>
                        <w:sz w:val="20"/>
                      </w:rPr>
                      <w:t>–</w:t>
                    </w:r>
                    <w:r>
                      <w:rPr>
                        <w:rFonts w:ascii="Calibri" w:hAnsi="Calibri"/>
                        <w:b/>
                        <w:spacing w:val="-7"/>
                        <w:sz w:val="20"/>
                      </w:rPr>
                      <w:t> </w:t>
                    </w:r>
                    <w:r>
                      <w:rPr>
                        <w:rFonts w:ascii="Calibri" w:hAnsi="Calibri"/>
                        <w:b/>
                        <w:sz w:val="20"/>
                      </w:rPr>
                      <w:t>XII</w:t>
                    </w:r>
                    <w:r>
                      <w:rPr>
                        <w:rFonts w:ascii="Calibri" w:hAnsi="Calibri"/>
                        <w:b/>
                        <w:spacing w:val="-6"/>
                        <w:sz w:val="20"/>
                      </w:rPr>
                      <w:t> </w:t>
                    </w:r>
                    <w:r>
                      <w:rPr>
                        <w:rFonts w:ascii="Calibri" w:hAnsi="Calibri"/>
                        <w:b/>
                        <w:sz w:val="20"/>
                      </w:rPr>
                      <w:t>ENVIRONMENTAL</w:t>
                    </w:r>
                    <w:r>
                      <w:rPr>
                        <w:rFonts w:ascii="Calibri" w:hAnsi="Calibri"/>
                        <w:b/>
                        <w:spacing w:val="-4"/>
                        <w:sz w:val="20"/>
                      </w:rPr>
                      <w:t> </w:t>
                    </w:r>
                    <w:r>
                      <w:rPr>
                        <w:rFonts w:ascii="Calibri" w:hAnsi="Calibri"/>
                        <w:b/>
                        <w:spacing w:val="-2"/>
                        <w:sz w:val="20"/>
                      </w:rPr>
                      <w:t>SUSTAINABILITY</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59328">
              <wp:simplePos x="0" y="0"/>
              <wp:positionH relativeFrom="page">
                <wp:posOffset>813752</wp:posOffset>
              </wp:positionH>
              <wp:positionV relativeFrom="page">
                <wp:posOffset>671829</wp:posOffset>
              </wp:positionV>
              <wp:extent cx="5805170" cy="281940"/>
              <wp:effectExtent l="0" t="0" r="0" b="0"/>
              <wp:wrapNone/>
              <wp:docPr id="578" name="Group 578"/>
              <wp:cNvGraphicFramePr>
                <a:graphicFrameLocks/>
              </wp:cNvGraphicFramePr>
              <a:graphic>
                <a:graphicData uri="http://schemas.microsoft.com/office/word/2010/wordprocessingGroup">
                  <wpg:wgp>
                    <wpg:cNvPr id="578" name="Group 578"/>
                    <wpg:cNvGrpSpPr/>
                    <wpg:grpSpPr>
                      <a:xfrm>
                        <a:off x="0" y="0"/>
                        <a:ext cx="5805170" cy="281940"/>
                        <a:chExt cx="5805170" cy="281940"/>
                      </a:xfrm>
                    </wpg:grpSpPr>
                    <pic:pic>
                      <pic:nvPicPr>
                        <pic:cNvPr id="579" name="Image 579"/>
                        <pic:cNvPicPr/>
                      </pic:nvPicPr>
                      <pic:blipFill>
                        <a:blip r:embed="rId1" cstate="print"/>
                        <a:stretch>
                          <a:fillRect/>
                        </a:stretch>
                      </pic:blipFill>
                      <pic:spPr>
                        <a:xfrm>
                          <a:off x="4655889" y="137413"/>
                          <a:ext cx="1149083" cy="143255"/>
                        </a:xfrm>
                        <a:prstGeom prst="rect">
                          <a:avLst/>
                        </a:prstGeom>
                      </pic:spPr>
                    </pic:pic>
                    <pic:pic>
                      <pic:nvPicPr>
                        <pic:cNvPr id="580" name="Image 580"/>
                        <pic:cNvPicPr/>
                      </pic:nvPicPr>
                      <pic:blipFill>
                        <a:blip r:embed="rId2" cstate="print"/>
                        <a:stretch>
                          <a:fillRect/>
                        </a:stretch>
                      </pic:blipFill>
                      <pic:spPr>
                        <a:xfrm>
                          <a:off x="4902771" y="6350"/>
                          <a:ext cx="895984" cy="266065"/>
                        </a:xfrm>
                        <a:prstGeom prst="rect">
                          <a:avLst/>
                        </a:prstGeom>
                      </pic:spPr>
                    </pic:pic>
                    <wps:wsp>
                      <wps:cNvPr id="581" name="Graphic 581"/>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582" name="Graphic 582"/>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857152" id="docshapegroup498" coordorigin="1281,1058" coordsize="9142,444">
              <v:shape style="position:absolute;left:8613;top:1274;width:1810;height:226" type="#_x0000_t75" id="docshape499" stroked="false">
                <v:imagedata r:id="rId1" o:title=""/>
              </v:shape>
              <v:shape style="position:absolute;left:9002;top:1068;width:1411;height:419" type="#_x0000_t75" id="docshape500" stroked="false">
                <v:imagedata r:id="rId2" o:title=""/>
              </v:shape>
              <v:rect style="position:absolute;left:9002;top:1068;width:1411;height:419" id="docshape501"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59840">
              <wp:simplePos x="0" y="0"/>
              <wp:positionH relativeFrom="page">
                <wp:posOffset>5810250</wp:posOffset>
              </wp:positionH>
              <wp:positionV relativeFrom="page">
                <wp:posOffset>720133</wp:posOffset>
              </wp:positionV>
              <wp:extent cx="708660" cy="167005"/>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856640" type="#_x0000_t202" id="docshape502"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60352">
              <wp:simplePos x="0" y="0"/>
              <wp:positionH relativeFrom="page">
                <wp:posOffset>879144</wp:posOffset>
              </wp:positionH>
              <wp:positionV relativeFrom="page">
                <wp:posOffset>808354</wp:posOffset>
              </wp:positionV>
              <wp:extent cx="2423160" cy="152400"/>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242316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6"/>
                              <w:sz w:val="20"/>
                            </w:rPr>
                            <w:t> </w:t>
                          </w:r>
                          <w:r>
                            <w:rPr>
                              <w:rFonts w:ascii="Calibri" w:hAnsi="Calibri"/>
                              <w:b/>
                              <w:sz w:val="20"/>
                            </w:rPr>
                            <w:t>–</w:t>
                          </w:r>
                          <w:r>
                            <w:rPr>
                              <w:rFonts w:ascii="Calibri" w:hAnsi="Calibri"/>
                              <w:b/>
                              <w:spacing w:val="-7"/>
                              <w:sz w:val="20"/>
                            </w:rPr>
                            <w:t> </w:t>
                          </w:r>
                          <w:r>
                            <w:rPr>
                              <w:rFonts w:ascii="Calibri" w:hAnsi="Calibri"/>
                              <w:b/>
                              <w:sz w:val="20"/>
                            </w:rPr>
                            <w:t>XII</w:t>
                          </w:r>
                          <w:r>
                            <w:rPr>
                              <w:rFonts w:ascii="Calibri" w:hAnsi="Calibri"/>
                              <w:b/>
                              <w:spacing w:val="-6"/>
                              <w:sz w:val="20"/>
                            </w:rPr>
                            <w:t> </w:t>
                          </w:r>
                          <w:r>
                            <w:rPr>
                              <w:rFonts w:ascii="Calibri" w:hAnsi="Calibri"/>
                              <w:b/>
                              <w:sz w:val="20"/>
                            </w:rPr>
                            <w:t>ENVIRONMENTAL</w:t>
                          </w:r>
                          <w:r>
                            <w:rPr>
                              <w:rFonts w:ascii="Calibri" w:hAnsi="Calibri"/>
                              <w:b/>
                              <w:spacing w:val="-4"/>
                              <w:sz w:val="20"/>
                            </w:rPr>
                            <w:t> </w:t>
                          </w:r>
                          <w:r>
                            <w:rPr>
                              <w:rFonts w:ascii="Calibri" w:hAnsi="Calibri"/>
                              <w:b/>
                              <w:spacing w:val="-2"/>
                              <w:sz w:val="20"/>
                            </w:rPr>
                            <w:t>SUSTAINABILITY</w:t>
                          </w:r>
                        </w:p>
                      </w:txbxContent>
                    </wps:txbx>
                    <wps:bodyPr wrap="square" lIns="0" tIns="0" rIns="0" bIns="0" rtlCol="0">
                      <a:noAutofit/>
                    </wps:bodyPr>
                  </wps:wsp>
                </a:graphicData>
              </a:graphic>
            </wp:anchor>
          </w:drawing>
        </mc:Choice>
        <mc:Fallback>
          <w:pict>
            <v:shape style="position:absolute;margin-left:69.223999pt;margin-top:63.649982pt;width:190.8pt;height:12pt;mso-position-horizontal-relative:page;mso-position-vertical-relative:page;z-index:-31856128" type="#_x0000_t202" id="docshape503"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6"/>
                        <w:sz w:val="20"/>
                      </w:rPr>
                      <w:t> </w:t>
                    </w:r>
                    <w:r>
                      <w:rPr>
                        <w:rFonts w:ascii="Calibri" w:hAnsi="Calibri"/>
                        <w:b/>
                        <w:sz w:val="20"/>
                      </w:rPr>
                      <w:t>–</w:t>
                    </w:r>
                    <w:r>
                      <w:rPr>
                        <w:rFonts w:ascii="Calibri" w:hAnsi="Calibri"/>
                        <w:b/>
                        <w:spacing w:val="-7"/>
                        <w:sz w:val="20"/>
                      </w:rPr>
                      <w:t> </w:t>
                    </w:r>
                    <w:r>
                      <w:rPr>
                        <w:rFonts w:ascii="Calibri" w:hAnsi="Calibri"/>
                        <w:b/>
                        <w:sz w:val="20"/>
                      </w:rPr>
                      <w:t>XII</w:t>
                    </w:r>
                    <w:r>
                      <w:rPr>
                        <w:rFonts w:ascii="Calibri" w:hAnsi="Calibri"/>
                        <w:b/>
                        <w:spacing w:val="-6"/>
                        <w:sz w:val="20"/>
                      </w:rPr>
                      <w:t> </w:t>
                    </w:r>
                    <w:r>
                      <w:rPr>
                        <w:rFonts w:ascii="Calibri" w:hAnsi="Calibri"/>
                        <w:b/>
                        <w:sz w:val="20"/>
                      </w:rPr>
                      <w:t>ENVIRONMENTAL</w:t>
                    </w:r>
                    <w:r>
                      <w:rPr>
                        <w:rFonts w:ascii="Calibri" w:hAnsi="Calibri"/>
                        <w:b/>
                        <w:spacing w:val="-4"/>
                        <w:sz w:val="20"/>
                      </w:rPr>
                      <w:t> </w:t>
                    </w:r>
                    <w:r>
                      <w:rPr>
                        <w:rFonts w:ascii="Calibri" w:hAnsi="Calibri"/>
                        <w:b/>
                        <w:spacing w:val="-2"/>
                        <w:sz w:val="20"/>
                      </w:rPr>
                      <w:t>SUSTAINABILITY</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62912">
              <wp:simplePos x="0" y="0"/>
              <wp:positionH relativeFrom="page">
                <wp:posOffset>709612</wp:posOffset>
              </wp:positionH>
              <wp:positionV relativeFrom="page">
                <wp:posOffset>650493</wp:posOffset>
              </wp:positionV>
              <wp:extent cx="6077585" cy="283210"/>
              <wp:effectExtent l="0" t="0" r="0" b="0"/>
              <wp:wrapNone/>
              <wp:docPr id="594" name="Group 594"/>
              <wp:cNvGraphicFramePr>
                <a:graphicFrameLocks/>
              </wp:cNvGraphicFramePr>
              <a:graphic>
                <a:graphicData uri="http://schemas.microsoft.com/office/word/2010/wordprocessingGroup">
                  <wpg:wgp>
                    <wpg:cNvPr id="594" name="Group 594"/>
                    <wpg:cNvGrpSpPr/>
                    <wpg:grpSpPr>
                      <a:xfrm>
                        <a:off x="0" y="0"/>
                        <a:ext cx="6077585" cy="283210"/>
                        <a:chExt cx="6077585" cy="283210"/>
                      </a:xfrm>
                    </wpg:grpSpPr>
                    <pic:pic>
                      <pic:nvPicPr>
                        <pic:cNvPr id="595" name="Image 595"/>
                        <pic:cNvPicPr/>
                      </pic:nvPicPr>
                      <pic:blipFill>
                        <a:blip r:embed="rId1" cstate="print"/>
                        <a:stretch>
                          <a:fillRect/>
                        </a:stretch>
                      </pic:blipFill>
                      <pic:spPr>
                        <a:xfrm>
                          <a:off x="4924615" y="137413"/>
                          <a:ext cx="1152144" cy="143255"/>
                        </a:xfrm>
                        <a:prstGeom prst="rect">
                          <a:avLst/>
                        </a:prstGeom>
                      </pic:spPr>
                    </pic:pic>
                    <pic:pic>
                      <pic:nvPicPr>
                        <pic:cNvPr id="596" name="Image 596"/>
                        <pic:cNvPicPr/>
                      </pic:nvPicPr>
                      <pic:blipFill>
                        <a:blip r:embed="rId2" cstate="print"/>
                        <a:stretch>
                          <a:fillRect/>
                        </a:stretch>
                      </pic:blipFill>
                      <pic:spPr>
                        <a:xfrm>
                          <a:off x="5171503" y="6350"/>
                          <a:ext cx="899160" cy="266065"/>
                        </a:xfrm>
                        <a:prstGeom prst="rect">
                          <a:avLst/>
                        </a:prstGeom>
                      </pic:spPr>
                    </pic:pic>
                    <wps:wsp>
                      <wps:cNvPr id="597" name="Graphic 597"/>
                      <wps:cNvSpPr/>
                      <wps:spPr>
                        <a:xfrm>
                          <a:off x="5171503"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598" name="Graphic 598"/>
                      <wps:cNvSpPr/>
                      <wps:spPr>
                        <a:xfrm>
                          <a:off x="4762" y="277240"/>
                          <a:ext cx="6066155" cy="1270"/>
                        </a:xfrm>
                        <a:custGeom>
                          <a:avLst/>
                          <a:gdLst/>
                          <a:ahLst/>
                          <a:cxnLst/>
                          <a:rect l="l" t="t" r="r" b="b"/>
                          <a:pathLst>
                            <a:path w="6066155" h="635">
                              <a:moveTo>
                                <a:pt x="0" y="0"/>
                              </a:moveTo>
                              <a:lnTo>
                                <a:pt x="606615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875pt;margin-top:51.219978pt;width:478.55pt;height:22.3pt;mso-position-horizontal-relative:page;mso-position-vertical-relative:page;z-index:-31853568" id="docshapegroup512" coordorigin="1118,1024" coordsize="9571,446">
              <v:shape style="position:absolute;left:8872;top:1240;width:1815;height:226" type="#_x0000_t75" id="docshape513" stroked="false">
                <v:imagedata r:id="rId1" o:title=""/>
              </v:shape>
              <v:shape style="position:absolute;left:9261;top:1034;width:1416;height:419" type="#_x0000_t75" id="docshape514" stroked="false">
                <v:imagedata r:id="rId2" o:title=""/>
              </v:shape>
              <v:rect style="position:absolute;left:9261;top:1034;width:1416;height:419" id="docshape515" filled="false" stroked="true" strokeweight="1.0pt" strokecolor="#666666">
                <v:stroke dashstyle="solid"/>
              </v:rect>
              <v:line style="position:absolute" from="1125,1461" to="10678,1462"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63424">
              <wp:simplePos x="0" y="0"/>
              <wp:positionH relativeFrom="page">
                <wp:posOffset>5976365</wp:posOffset>
              </wp:positionH>
              <wp:positionV relativeFrom="page">
                <wp:posOffset>701845</wp:posOffset>
              </wp:positionV>
              <wp:extent cx="708660" cy="167005"/>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0.579987pt;margin-top:55.263454pt;width:55.8pt;height:13.15pt;mso-position-horizontal-relative:page;mso-position-vertical-relative:page;z-index:-31853056" type="#_x0000_t202" id="docshape516"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63936">
              <wp:simplePos x="0" y="0"/>
              <wp:positionH relativeFrom="page">
                <wp:posOffset>773683</wp:posOffset>
              </wp:positionH>
              <wp:positionV relativeFrom="page">
                <wp:posOffset>787457</wp:posOffset>
              </wp:positionV>
              <wp:extent cx="1964055" cy="165735"/>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a:off x="0" y="0"/>
                        <a:ext cx="1964055" cy="165735"/>
                      </a:xfrm>
                      <a:prstGeom prst="rect">
                        <a:avLst/>
                      </a:prstGeom>
                    </wps:spPr>
                    <wps:txbx>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wps:txbx>
                    <wps:bodyPr wrap="square" lIns="0" tIns="0" rIns="0" bIns="0" rtlCol="0">
                      <a:noAutofit/>
                    </wps:bodyPr>
                  </wps:wsp>
                </a:graphicData>
              </a:graphic>
            </wp:anchor>
          </w:drawing>
        </mc:Choice>
        <mc:Fallback>
          <w:pict>
            <v:shape style="position:absolute;margin-left:60.919998pt;margin-top:62.00449pt;width:154.65pt;height:13.05pt;mso-position-horizontal-relative:page;mso-position-vertical-relative:page;z-index:-31852544" type="#_x0000_t202" id="docshape517" filled="false" stroked="false">
              <v:textbox inset="0,0,0,0">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66496">
              <wp:simplePos x="0" y="0"/>
              <wp:positionH relativeFrom="page">
                <wp:posOffset>706437</wp:posOffset>
              </wp:positionH>
              <wp:positionV relativeFrom="page">
                <wp:posOffset>648969</wp:posOffset>
              </wp:positionV>
              <wp:extent cx="6077585" cy="282575"/>
              <wp:effectExtent l="0" t="0" r="0" b="0"/>
              <wp:wrapNone/>
              <wp:docPr id="630" name="Group 630"/>
              <wp:cNvGraphicFramePr>
                <a:graphicFrameLocks/>
              </wp:cNvGraphicFramePr>
              <a:graphic>
                <a:graphicData uri="http://schemas.microsoft.com/office/word/2010/wordprocessingGroup">
                  <wpg:wgp>
                    <wpg:cNvPr id="630" name="Group 630"/>
                    <wpg:cNvGrpSpPr/>
                    <wpg:grpSpPr>
                      <a:xfrm>
                        <a:off x="0" y="0"/>
                        <a:ext cx="6077585" cy="282575"/>
                        <a:chExt cx="6077585" cy="282575"/>
                      </a:xfrm>
                    </wpg:grpSpPr>
                    <pic:pic>
                      <pic:nvPicPr>
                        <pic:cNvPr id="631" name="Image 631"/>
                        <pic:cNvPicPr/>
                      </pic:nvPicPr>
                      <pic:blipFill>
                        <a:blip r:embed="rId1" cstate="print"/>
                        <a:stretch>
                          <a:fillRect/>
                        </a:stretch>
                      </pic:blipFill>
                      <pic:spPr>
                        <a:xfrm>
                          <a:off x="4924742" y="137413"/>
                          <a:ext cx="1152143" cy="143255"/>
                        </a:xfrm>
                        <a:prstGeom prst="rect">
                          <a:avLst/>
                        </a:prstGeom>
                      </pic:spPr>
                    </pic:pic>
                    <pic:pic>
                      <pic:nvPicPr>
                        <pic:cNvPr id="632" name="Image 632"/>
                        <pic:cNvPicPr/>
                      </pic:nvPicPr>
                      <pic:blipFill>
                        <a:blip r:embed="rId2" cstate="print"/>
                        <a:stretch>
                          <a:fillRect/>
                        </a:stretch>
                      </pic:blipFill>
                      <pic:spPr>
                        <a:xfrm>
                          <a:off x="5171630" y="6350"/>
                          <a:ext cx="899160" cy="266065"/>
                        </a:xfrm>
                        <a:prstGeom prst="rect">
                          <a:avLst/>
                        </a:prstGeom>
                      </pic:spPr>
                    </pic:pic>
                    <wps:wsp>
                      <wps:cNvPr id="633" name="Graphic 633"/>
                      <wps:cNvSpPr/>
                      <wps:spPr>
                        <a:xfrm>
                          <a:off x="5171630"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634" name="Graphic 634"/>
                      <wps:cNvSpPr/>
                      <wps:spPr>
                        <a:xfrm>
                          <a:off x="4762" y="276859"/>
                          <a:ext cx="6066155" cy="1270"/>
                        </a:xfrm>
                        <a:custGeom>
                          <a:avLst/>
                          <a:gdLst/>
                          <a:ahLst/>
                          <a:cxnLst/>
                          <a:rect l="l" t="t" r="r" b="b"/>
                          <a:pathLst>
                            <a:path w="6066155" h="635">
                              <a:moveTo>
                                <a:pt x="0" y="0"/>
                              </a:moveTo>
                              <a:lnTo>
                                <a:pt x="606615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25pt;margin-top:51.099979pt;width:478.55pt;height:22.25pt;mso-position-horizontal-relative:page;mso-position-vertical-relative:page;z-index:-31849984" id="docshapegroup534" coordorigin="1113,1022" coordsize="9571,445">
              <v:shape style="position:absolute;left:8868;top:1238;width:1815;height:226" type="#_x0000_t75" id="docshape535" stroked="false">
                <v:imagedata r:id="rId1" o:title=""/>
              </v:shape>
              <v:shape style="position:absolute;left:9256;top:1032;width:1416;height:419" type="#_x0000_t75" id="docshape536" stroked="false">
                <v:imagedata r:id="rId2" o:title=""/>
              </v:shape>
              <v:rect style="position:absolute;left:9256;top:1032;width:1416;height:419" id="docshape537" filled="false" stroked="true" strokeweight="1.0pt" strokecolor="#666666">
                <v:stroke dashstyle="solid"/>
              </v:rect>
              <v:line style="position:absolute" from="1120,1458" to="10673,145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67008">
              <wp:simplePos x="0" y="0"/>
              <wp:positionH relativeFrom="page">
                <wp:posOffset>5973317</wp:posOffset>
              </wp:positionH>
              <wp:positionV relativeFrom="page">
                <wp:posOffset>701845</wp:posOffset>
              </wp:positionV>
              <wp:extent cx="708660" cy="167005"/>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0.339996pt;margin-top:55.263454pt;width:55.8pt;height:13.15pt;mso-position-horizontal-relative:page;mso-position-vertical-relative:page;z-index:-31849472" type="#_x0000_t202" id="docshape538"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67520">
              <wp:simplePos x="0" y="0"/>
              <wp:positionH relativeFrom="page">
                <wp:posOffset>770636</wp:posOffset>
              </wp:positionH>
              <wp:positionV relativeFrom="page">
                <wp:posOffset>785933</wp:posOffset>
              </wp:positionV>
              <wp:extent cx="1964055" cy="165735"/>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a:off x="0" y="0"/>
                        <a:ext cx="1964055" cy="165735"/>
                      </a:xfrm>
                      <a:prstGeom prst="rect">
                        <a:avLst/>
                      </a:prstGeom>
                    </wps:spPr>
                    <wps:txbx>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wps:txbx>
                    <wps:bodyPr wrap="square" lIns="0" tIns="0" rIns="0" bIns="0" rtlCol="0">
                      <a:noAutofit/>
                    </wps:bodyPr>
                  </wps:wsp>
                </a:graphicData>
              </a:graphic>
            </wp:anchor>
          </w:drawing>
        </mc:Choice>
        <mc:Fallback>
          <w:pict>
            <v:shape style="position:absolute;margin-left:60.68pt;margin-top:61.884491pt;width:154.65pt;height:13.05pt;mso-position-horizontal-relative:page;mso-position-vertical-relative:page;z-index:-31848960" type="#_x0000_t202" id="docshape539" filled="false" stroked="false">
              <v:textbox inset="0,0,0,0">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68032">
              <wp:simplePos x="0" y="0"/>
              <wp:positionH relativeFrom="page">
                <wp:posOffset>3247770</wp:posOffset>
              </wp:positionH>
              <wp:positionV relativeFrom="page">
                <wp:posOffset>1102832</wp:posOffset>
              </wp:positionV>
              <wp:extent cx="1068070" cy="204470"/>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a:off x="0" y="0"/>
                        <a:ext cx="1068070" cy="204470"/>
                      </a:xfrm>
                      <a:prstGeom prst="rect">
                        <a:avLst/>
                      </a:prstGeom>
                    </wps:spPr>
                    <wps:txbx>
                      <w:txbxContent>
                        <w:p>
                          <w:pPr>
                            <w:spacing w:before="19"/>
                            <w:ind w:left="20" w:right="0" w:firstLine="0"/>
                            <w:jc w:val="left"/>
                            <w:rPr>
                              <w:b/>
                              <w:sz w:val="24"/>
                            </w:rPr>
                          </w:pPr>
                          <w:r>
                            <w:rPr>
                              <w:b/>
                              <w:spacing w:val="-2"/>
                              <w:sz w:val="24"/>
                            </w:rPr>
                            <w:t>ANNEXURE</w:t>
                          </w:r>
                          <w:r>
                            <w:rPr>
                              <w:b/>
                              <w:spacing w:val="-14"/>
                              <w:sz w:val="24"/>
                            </w:rPr>
                            <w:t> </w:t>
                          </w:r>
                          <w:r>
                            <w:rPr>
                              <w:b/>
                              <w:spacing w:val="-10"/>
                              <w:sz w:val="24"/>
                            </w:rPr>
                            <w:t>3</w:t>
                          </w:r>
                        </w:p>
                      </w:txbxContent>
                    </wps:txbx>
                    <wps:bodyPr wrap="square" lIns="0" tIns="0" rIns="0" bIns="0" rtlCol="0">
                      <a:noAutofit/>
                    </wps:bodyPr>
                  </wps:wsp>
                </a:graphicData>
              </a:graphic>
            </wp:anchor>
          </w:drawing>
        </mc:Choice>
        <mc:Fallback>
          <w:pict>
            <v:shape style="position:absolute;margin-left:255.729996pt;margin-top:86.837242pt;width:84.1pt;height:16.1pt;mso-position-horizontal-relative:page;mso-position-vertical-relative:page;z-index:-31848448" type="#_x0000_t202" id="docshape540" filled="false" stroked="false">
              <v:textbox inset="0,0,0,0">
                <w:txbxContent>
                  <w:p>
                    <w:pPr>
                      <w:spacing w:before="19"/>
                      <w:ind w:left="20" w:right="0" w:firstLine="0"/>
                      <w:jc w:val="left"/>
                      <w:rPr>
                        <w:b/>
                        <w:sz w:val="24"/>
                      </w:rPr>
                    </w:pPr>
                    <w:r>
                      <w:rPr>
                        <w:b/>
                        <w:spacing w:val="-2"/>
                        <w:sz w:val="24"/>
                      </w:rPr>
                      <w:t>ANNEXURE</w:t>
                    </w:r>
                    <w:r>
                      <w:rPr>
                        <w:b/>
                        <w:spacing w:val="-14"/>
                        <w:sz w:val="24"/>
                      </w:rPr>
                      <w:t> </w:t>
                    </w:r>
                    <w:r>
                      <w:rPr>
                        <w:b/>
                        <w:spacing w:val="-10"/>
                        <w:sz w:val="24"/>
                      </w:rPr>
                      <w:t>3</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69056">
              <wp:simplePos x="0" y="0"/>
              <wp:positionH relativeFrom="page">
                <wp:posOffset>706437</wp:posOffset>
              </wp:positionH>
              <wp:positionV relativeFrom="page">
                <wp:posOffset>648969</wp:posOffset>
              </wp:positionV>
              <wp:extent cx="6077585" cy="282575"/>
              <wp:effectExtent l="0" t="0" r="0" b="0"/>
              <wp:wrapNone/>
              <wp:docPr id="639" name="Group 639"/>
              <wp:cNvGraphicFramePr>
                <a:graphicFrameLocks/>
              </wp:cNvGraphicFramePr>
              <a:graphic>
                <a:graphicData uri="http://schemas.microsoft.com/office/word/2010/wordprocessingGroup">
                  <wpg:wgp>
                    <wpg:cNvPr id="639" name="Group 639"/>
                    <wpg:cNvGrpSpPr/>
                    <wpg:grpSpPr>
                      <a:xfrm>
                        <a:off x="0" y="0"/>
                        <a:ext cx="6077585" cy="282575"/>
                        <a:chExt cx="6077585" cy="282575"/>
                      </a:xfrm>
                    </wpg:grpSpPr>
                    <pic:pic>
                      <pic:nvPicPr>
                        <pic:cNvPr id="640" name="Image 640"/>
                        <pic:cNvPicPr/>
                      </pic:nvPicPr>
                      <pic:blipFill>
                        <a:blip r:embed="rId1" cstate="print"/>
                        <a:stretch>
                          <a:fillRect/>
                        </a:stretch>
                      </pic:blipFill>
                      <pic:spPr>
                        <a:xfrm>
                          <a:off x="4924742" y="137413"/>
                          <a:ext cx="1152143" cy="143255"/>
                        </a:xfrm>
                        <a:prstGeom prst="rect">
                          <a:avLst/>
                        </a:prstGeom>
                      </pic:spPr>
                    </pic:pic>
                    <pic:pic>
                      <pic:nvPicPr>
                        <pic:cNvPr id="641" name="Image 641"/>
                        <pic:cNvPicPr/>
                      </pic:nvPicPr>
                      <pic:blipFill>
                        <a:blip r:embed="rId2" cstate="print"/>
                        <a:stretch>
                          <a:fillRect/>
                        </a:stretch>
                      </pic:blipFill>
                      <pic:spPr>
                        <a:xfrm>
                          <a:off x="5171630" y="6350"/>
                          <a:ext cx="899160" cy="266065"/>
                        </a:xfrm>
                        <a:prstGeom prst="rect">
                          <a:avLst/>
                        </a:prstGeom>
                      </pic:spPr>
                    </pic:pic>
                    <wps:wsp>
                      <wps:cNvPr id="642" name="Graphic 642"/>
                      <wps:cNvSpPr/>
                      <wps:spPr>
                        <a:xfrm>
                          <a:off x="5171630"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643" name="Graphic 643"/>
                      <wps:cNvSpPr/>
                      <wps:spPr>
                        <a:xfrm>
                          <a:off x="4762" y="276859"/>
                          <a:ext cx="6066155" cy="1270"/>
                        </a:xfrm>
                        <a:custGeom>
                          <a:avLst/>
                          <a:gdLst/>
                          <a:ahLst/>
                          <a:cxnLst/>
                          <a:rect l="l" t="t" r="r" b="b"/>
                          <a:pathLst>
                            <a:path w="6066155" h="635">
                              <a:moveTo>
                                <a:pt x="0" y="0"/>
                              </a:moveTo>
                              <a:lnTo>
                                <a:pt x="606615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25pt;margin-top:51.099979pt;width:478.55pt;height:22.25pt;mso-position-horizontal-relative:page;mso-position-vertical-relative:page;z-index:-31847424" id="docshapegroup542" coordorigin="1113,1022" coordsize="9571,445">
              <v:shape style="position:absolute;left:8868;top:1238;width:1815;height:226" type="#_x0000_t75" id="docshape543" stroked="false">
                <v:imagedata r:id="rId1" o:title=""/>
              </v:shape>
              <v:shape style="position:absolute;left:9256;top:1032;width:1416;height:419" type="#_x0000_t75" id="docshape544" stroked="false">
                <v:imagedata r:id="rId2" o:title=""/>
              </v:shape>
              <v:rect style="position:absolute;left:9256;top:1032;width:1416;height:419" id="docshape545" filled="false" stroked="true" strokeweight="1.0pt" strokecolor="#666666">
                <v:stroke dashstyle="solid"/>
              </v:rect>
              <v:line style="position:absolute" from="1120,1458" to="10673,145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69568">
              <wp:simplePos x="0" y="0"/>
              <wp:positionH relativeFrom="page">
                <wp:posOffset>5973317</wp:posOffset>
              </wp:positionH>
              <wp:positionV relativeFrom="page">
                <wp:posOffset>701845</wp:posOffset>
              </wp:positionV>
              <wp:extent cx="708660" cy="167005"/>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0.339996pt;margin-top:55.263454pt;width:55.8pt;height:13.15pt;mso-position-horizontal-relative:page;mso-position-vertical-relative:page;z-index:-31846912" type="#_x0000_t202" id="docshape546"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70080">
              <wp:simplePos x="0" y="0"/>
              <wp:positionH relativeFrom="page">
                <wp:posOffset>770636</wp:posOffset>
              </wp:positionH>
              <wp:positionV relativeFrom="page">
                <wp:posOffset>785933</wp:posOffset>
              </wp:positionV>
              <wp:extent cx="1964055" cy="165735"/>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1964055" cy="165735"/>
                      </a:xfrm>
                      <a:prstGeom prst="rect">
                        <a:avLst/>
                      </a:prstGeom>
                    </wps:spPr>
                    <wps:txbx>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wps:txbx>
                    <wps:bodyPr wrap="square" lIns="0" tIns="0" rIns="0" bIns="0" rtlCol="0">
                      <a:noAutofit/>
                    </wps:bodyPr>
                  </wps:wsp>
                </a:graphicData>
              </a:graphic>
            </wp:anchor>
          </w:drawing>
        </mc:Choice>
        <mc:Fallback>
          <w:pict>
            <v:shape style="position:absolute;margin-left:60.68pt;margin-top:61.884491pt;width:154.65pt;height:13.05pt;mso-position-horizontal-relative:page;mso-position-vertical-relative:page;z-index:-31846400" type="#_x0000_t202" id="docshape547" filled="false" stroked="false">
              <v:textbox inset="0,0,0,0">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71104">
              <wp:simplePos x="0" y="0"/>
              <wp:positionH relativeFrom="page">
                <wp:posOffset>706437</wp:posOffset>
              </wp:positionH>
              <wp:positionV relativeFrom="page">
                <wp:posOffset>648969</wp:posOffset>
              </wp:positionV>
              <wp:extent cx="6077585" cy="282575"/>
              <wp:effectExtent l="0" t="0" r="0" b="0"/>
              <wp:wrapNone/>
              <wp:docPr id="649" name="Group 649"/>
              <wp:cNvGraphicFramePr>
                <a:graphicFrameLocks/>
              </wp:cNvGraphicFramePr>
              <a:graphic>
                <a:graphicData uri="http://schemas.microsoft.com/office/word/2010/wordprocessingGroup">
                  <wpg:wgp>
                    <wpg:cNvPr id="649" name="Group 649"/>
                    <wpg:cNvGrpSpPr/>
                    <wpg:grpSpPr>
                      <a:xfrm>
                        <a:off x="0" y="0"/>
                        <a:ext cx="6077585" cy="282575"/>
                        <a:chExt cx="6077585" cy="282575"/>
                      </a:xfrm>
                    </wpg:grpSpPr>
                    <pic:pic>
                      <pic:nvPicPr>
                        <pic:cNvPr id="650" name="Image 650"/>
                        <pic:cNvPicPr/>
                      </pic:nvPicPr>
                      <pic:blipFill>
                        <a:blip r:embed="rId1" cstate="print"/>
                        <a:stretch>
                          <a:fillRect/>
                        </a:stretch>
                      </pic:blipFill>
                      <pic:spPr>
                        <a:xfrm>
                          <a:off x="4924742" y="137413"/>
                          <a:ext cx="1152143" cy="143255"/>
                        </a:xfrm>
                        <a:prstGeom prst="rect">
                          <a:avLst/>
                        </a:prstGeom>
                      </pic:spPr>
                    </pic:pic>
                    <pic:pic>
                      <pic:nvPicPr>
                        <pic:cNvPr id="651" name="Image 651"/>
                        <pic:cNvPicPr/>
                      </pic:nvPicPr>
                      <pic:blipFill>
                        <a:blip r:embed="rId2" cstate="print"/>
                        <a:stretch>
                          <a:fillRect/>
                        </a:stretch>
                      </pic:blipFill>
                      <pic:spPr>
                        <a:xfrm>
                          <a:off x="5171630" y="6350"/>
                          <a:ext cx="899160" cy="266065"/>
                        </a:xfrm>
                        <a:prstGeom prst="rect">
                          <a:avLst/>
                        </a:prstGeom>
                      </pic:spPr>
                    </pic:pic>
                    <wps:wsp>
                      <wps:cNvPr id="652" name="Graphic 652"/>
                      <wps:cNvSpPr/>
                      <wps:spPr>
                        <a:xfrm>
                          <a:off x="5171630"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653" name="Graphic 653"/>
                      <wps:cNvSpPr/>
                      <wps:spPr>
                        <a:xfrm>
                          <a:off x="4762" y="276859"/>
                          <a:ext cx="6066155" cy="1270"/>
                        </a:xfrm>
                        <a:custGeom>
                          <a:avLst/>
                          <a:gdLst/>
                          <a:ahLst/>
                          <a:cxnLst/>
                          <a:rect l="l" t="t" r="r" b="b"/>
                          <a:pathLst>
                            <a:path w="6066155" h="635">
                              <a:moveTo>
                                <a:pt x="0" y="0"/>
                              </a:moveTo>
                              <a:lnTo>
                                <a:pt x="606615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25pt;margin-top:51.099979pt;width:478.55pt;height:22.25pt;mso-position-horizontal-relative:page;mso-position-vertical-relative:page;z-index:-31845376" id="docshapegroup551" coordorigin="1113,1022" coordsize="9571,445">
              <v:shape style="position:absolute;left:8868;top:1238;width:1815;height:226" type="#_x0000_t75" id="docshape552" stroked="false">
                <v:imagedata r:id="rId1" o:title=""/>
              </v:shape>
              <v:shape style="position:absolute;left:9256;top:1032;width:1416;height:419" type="#_x0000_t75" id="docshape553" stroked="false">
                <v:imagedata r:id="rId2" o:title=""/>
              </v:shape>
              <v:rect style="position:absolute;left:9256;top:1032;width:1416;height:419" id="docshape554" filled="false" stroked="true" strokeweight="1.0pt" strokecolor="#666666">
                <v:stroke dashstyle="solid"/>
              </v:rect>
              <v:line style="position:absolute" from="1120,1458" to="10673,145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71616">
              <wp:simplePos x="0" y="0"/>
              <wp:positionH relativeFrom="page">
                <wp:posOffset>5973317</wp:posOffset>
              </wp:positionH>
              <wp:positionV relativeFrom="page">
                <wp:posOffset>701845</wp:posOffset>
              </wp:positionV>
              <wp:extent cx="708660" cy="167005"/>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0.339996pt;margin-top:55.263454pt;width:55.8pt;height:13.15pt;mso-position-horizontal-relative:page;mso-position-vertical-relative:page;z-index:-31844864" type="#_x0000_t202" id="docshape555"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72128">
              <wp:simplePos x="0" y="0"/>
              <wp:positionH relativeFrom="page">
                <wp:posOffset>770636</wp:posOffset>
              </wp:positionH>
              <wp:positionV relativeFrom="page">
                <wp:posOffset>785933</wp:posOffset>
              </wp:positionV>
              <wp:extent cx="1964055" cy="165735"/>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1964055" cy="165735"/>
                      </a:xfrm>
                      <a:prstGeom prst="rect">
                        <a:avLst/>
                      </a:prstGeom>
                    </wps:spPr>
                    <wps:txbx>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wps:txbx>
                    <wps:bodyPr wrap="square" lIns="0" tIns="0" rIns="0" bIns="0" rtlCol="0">
                      <a:noAutofit/>
                    </wps:bodyPr>
                  </wps:wsp>
                </a:graphicData>
              </a:graphic>
            </wp:anchor>
          </w:drawing>
        </mc:Choice>
        <mc:Fallback>
          <w:pict>
            <v:shape style="position:absolute;margin-left:60.68pt;margin-top:61.884491pt;width:154.65pt;height:13.05pt;mso-position-horizontal-relative:page;mso-position-vertical-relative:page;z-index:-31844352" type="#_x0000_t202" id="docshape556" filled="false" stroked="false">
              <v:textbox inset="0,0,0,0">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72640">
              <wp:simplePos x="0" y="0"/>
              <wp:positionH relativeFrom="page">
                <wp:posOffset>706437</wp:posOffset>
              </wp:positionH>
              <wp:positionV relativeFrom="page">
                <wp:posOffset>648969</wp:posOffset>
              </wp:positionV>
              <wp:extent cx="6077585" cy="282575"/>
              <wp:effectExtent l="0" t="0" r="0" b="0"/>
              <wp:wrapNone/>
              <wp:docPr id="656" name="Group 656"/>
              <wp:cNvGraphicFramePr>
                <a:graphicFrameLocks/>
              </wp:cNvGraphicFramePr>
              <a:graphic>
                <a:graphicData uri="http://schemas.microsoft.com/office/word/2010/wordprocessingGroup">
                  <wpg:wgp>
                    <wpg:cNvPr id="656" name="Group 656"/>
                    <wpg:cNvGrpSpPr/>
                    <wpg:grpSpPr>
                      <a:xfrm>
                        <a:off x="0" y="0"/>
                        <a:ext cx="6077585" cy="282575"/>
                        <a:chExt cx="6077585" cy="282575"/>
                      </a:xfrm>
                    </wpg:grpSpPr>
                    <pic:pic>
                      <pic:nvPicPr>
                        <pic:cNvPr id="657" name="Image 657"/>
                        <pic:cNvPicPr/>
                      </pic:nvPicPr>
                      <pic:blipFill>
                        <a:blip r:embed="rId1" cstate="print"/>
                        <a:stretch>
                          <a:fillRect/>
                        </a:stretch>
                      </pic:blipFill>
                      <pic:spPr>
                        <a:xfrm>
                          <a:off x="4924742" y="137413"/>
                          <a:ext cx="1152143" cy="143255"/>
                        </a:xfrm>
                        <a:prstGeom prst="rect">
                          <a:avLst/>
                        </a:prstGeom>
                      </pic:spPr>
                    </pic:pic>
                    <pic:pic>
                      <pic:nvPicPr>
                        <pic:cNvPr id="658" name="Image 658"/>
                        <pic:cNvPicPr/>
                      </pic:nvPicPr>
                      <pic:blipFill>
                        <a:blip r:embed="rId2" cstate="print"/>
                        <a:stretch>
                          <a:fillRect/>
                        </a:stretch>
                      </pic:blipFill>
                      <pic:spPr>
                        <a:xfrm>
                          <a:off x="5171630" y="6350"/>
                          <a:ext cx="899160" cy="266065"/>
                        </a:xfrm>
                        <a:prstGeom prst="rect">
                          <a:avLst/>
                        </a:prstGeom>
                      </pic:spPr>
                    </pic:pic>
                    <wps:wsp>
                      <wps:cNvPr id="659" name="Graphic 659"/>
                      <wps:cNvSpPr/>
                      <wps:spPr>
                        <a:xfrm>
                          <a:off x="5171630"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660" name="Graphic 660"/>
                      <wps:cNvSpPr/>
                      <wps:spPr>
                        <a:xfrm>
                          <a:off x="4762" y="276859"/>
                          <a:ext cx="6066155" cy="1270"/>
                        </a:xfrm>
                        <a:custGeom>
                          <a:avLst/>
                          <a:gdLst/>
                          <a:ahLst/>
                          <a:cxnLst/>
                          <a:rect l="l" t="t" r="r" b="b"/>
                          <a:pathLst>
                            <a:path w="6066155" h="635">
                              <a:moveTo>
                                <a:pt x="0" y="0"/>
                              </a:moveTo>
                              <a:lnTo>
                                <a:pt x="606615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25pt;margin-top:51.099979pt;width:478.55pt;height:22.25pt;mso-position-horizontal-relative:page;mso-position-vertical-relative:page;z-index:-31843840" id="docshapegroup557" coordorigin="1113,1022" coordsize="9571,445">
              <v:shape style="position:absolute;left:8868;top:1238;width:1815;height:226" type="#_x0000_t75" id="docshape558" stroked="false">
                <v:imagedata r:id="rId1" o:title=""/>
              </v:shape>
              <v:shape style="position:absolute;left:9256;top:1032;width:1416;height:419" type="#_x0000_t75" id="docshape559" stroked="false">
                <v:imagedata r:id="rId2" o:title=""/>
              </v:shape>
              <v:rect style="position:absolute;left:9256;top:1032;width:1416;height:419" id="docshape560" filled="false" stroked="true" strokeweight="1.0pt" strokecolor="#666666">
                <v:stroke dashstyle="solid"/>
              </v:rect>
              <v:line style="position:absolute" from="1120,1458" to="10673,145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73152">
              <wp:simplePos x="0" y="0"/>
              <wp:positionH relativeFrom="page">
                <wp:posOffset>5973317</wp:posOffset>
              </wp:positionH>
              <wp:positionV relativeFrom="page">
                <wp:posOffset>701845</wp:posOffset>
              </wp:positionV>
              <wp:extent cx="708660" cy="167005"/>
              <wp:effectExtent l="0" t="0" r="0" b="0"/>
              <wp:wrapNone/>
              <wp:docPr id="661" name="Textbox 661"/>
              <wp:cNvGraphicFramePr>
                <a:graphicFrameLocks/>
              </wp:cNvGraphicFramePr>
              <a:graphic>
                <a:graphicData uri="http://schemas.microsoft.com/office/word/2010/wordprocessingShape">
                  <wps:wsp>
                    <wps:cNvPr id="661" name="Textbox 661"/>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0.339996pt;margin-top:55.263454pt;width:55.8pt;height:13.15pt;mso-position-horizontal-relative:page;mso-position-vertical-relative:page;z-index:-31843328" type="#_x0000_t202" id="docshape561"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73664">
              <wp:simplePos x="0" y="0"/>
              <wp:positionH relativeFrom="page">
                <wp:posOffset>770636</wp:posOffset>
              </wp:positionH>
              <wp:positionV relativeFrom="page">
                <wp:posOffset>785933</wp:posOffset>
              </wp:positionV>
              <wp:extent cx="1964055" cy="165735"/>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a:off x="0" y="0"/>
                        <a:ext cx="1964055" cy="165735"/>
                      </a:xfrm>
                      <a:prstGeom prst="rect">
                        <a:avLst/>
                      </a:prstGeom>
                    </wps:spPr>
                    <wps:txbx>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wps:txbx>
                    <wps:bodyPr wrap="square" lIns="0" tIns="0" rIns="0" bIns="0" rtlCol="0">
                      <a:noAutofit/>
                    </wps:bodyPr>
                  </wps:wsp>
                </a:graphicData>
              </a:graphic>
            </wp:anchor>
          </w:drawing>
        </mc:Choice>
        <mc:Fallback>
          <w:pict>
            <v:shape style="position:absolute;margin-left:60.68pt;margin-top:61.884491pt;width:154.65pt;height:13.05pt;mso-position-horizontal-relative:page;mso-position-vertical-relative:page;z-index:-31842816" type="#_x0000_t202" id="docshape562" filled="false" stroked="false">
              <v:textbox inset="0,0,0,0">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74176">
              <wp:simplePos x="0" y="0"/>
              <wp:positionH relativeFrom="page">
                <wp:posOffset>3240151</wp:posOffset>
              </wp:positionH>
              <wp:positionV relativeFrom="page">
                <wp:posOffset>1102832</wp:posOffset>
              </wp:positionV>
              <wp:extent cx="1082040" cy="204470"/>
              <wp:effectExtent l="0" t="0" r="0" b="0"/>
              <wp:wrapNone/>
              <wp:docPr id="663" name="Textbox 663"/>
              <wp:cNvGraphicFramePr>
                <a:graphicFrameLocks/>
              </wp:cNvGraphicFramePr>
              <a:graphic>
                <a:graphicData uri="http://schemas.microsoft.com/office/word/2010/wordprocessingShape">
                  <wps:wsp>
                    <wps:cNvPr id="663" name="Textbox 663"/>
                    <wps:cNvSpPr txBox="1"/>
                    <wps:spPr>
                      <a:xfrm>
                        <a:off x="0" y="0"/>
                        <a:ext cx="1082040" cy="204470"/>
                      </a:xfrm>
                      <a:prstGeom prst="rect">
                        <a:avLst/>
                      </a:prstGeom>
                    </wps:spPr>
                    <wps:txbx>
                      <w:txbxContent>
                        <w:p>
                          <w:pPr>
                            <w:spacing w:before="19"/>
                            <w:ind w:left="20" w:right="0" w:firstLine="0"/>
                            <w:jc w:val="left"/>
                            <w:rPr>
                              <w:b/>
                              <w:sz w:val="24"/>
                            </w:rPr>
                          </w:pPr>
                          <w:r>
                            <w:rPr>
                              <w:b/>
                              <w:sz w:val="24"/>
                            </w:rPr>
                            <w:t>ANNEXURE</w:t>
                          </w:r>
                          <w:r>
                            <w:rPr>
                              <w:b/>
                              <w:spacing w:val="-8"/>
                              <w:sz w:val="24"/>
                            </w:rPr>
                            <w:t> </w:t>
                          </w:r>
                          <w:r>
                            <w:rPr>
                              <w:b/>
                              <w:spacing w:val="-10"/>
                              <w:sz w:val="24"/>
                            </w:rPr>
                            <w:t>6</w:t>
                          </w:r>
                        </w:p>
                      </w:txbxContent>
                    </wps:txbx>
                    <wps:bodyPr wrap="square" lIns="0" tIns="0" rIns="0" bIns="0" rtlCol="0">
                      <a:noAutofit/>
                    </wps:bodyPr>
                  </wps:wsp>
                </a:graphicData>
              </a:graphic>
            </wp:anchor>
          </w:drawing>
        </mc:Choice>
        <mc:Fallback>
          <w:pict>
            <v:shape style="position:absolute;margin-left:255.130005pt;margin-top:86.837242pt;width:85.2pt;height:16.1pt;mso-position-horizontal-relative:page;mso-position-vertical-relative:page;z-index:-31842304" type="#_x0000_t202" id="docshape563" filled="false" stroked="false">
              <v:textbox inset="0,0,0,0">
                <w:txbxContent>
                  <w:p>
                    <w:pPr>
                      <w:spacing w:before="19"/>
                      <w:ind w:left="20" w:right="0" w:firstLine="0"/>
                      <w:jc w:val="left"/>
                      <w:rPr>
                        <w:b/>
                        <w:sz w:val="24"/>
                      </w:rPr>
                    </w:pPr>
                    <w:r>
                      <w:rPr>
                        <w:b/>
                        <w:sz w:val="24"/>
                      </w:rPr>
                      <w:t>ANNEXURE</w:t>
                    </w:r>
                    <w:r>
                      <w:rPr>
                        <w:b/>
                        <w:spacing w:val="-8"/>
                        <w:sz w:val="24"/>
                      </w:rPr>
                      <w:t> </w:t>
                    </w:r>
                    <w:r>
                      <w:rPr>
                        <w:b/>
                        <w:spacing w:val="-10"/>
                        <w:sz w:val="24"/>
                      </w:rPr>
                      <w:t>6</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75200">
              <wp:simplePos x="0" y="0"/>
              <wp:positionH relativeFrom="page">
                <wp:posOffset>706437</wp:posOffset>
              </wp:positionH>
              <wp:positionV relativeFrom="page">
                <wp:posOffset>648969</wp:posOffset>
              </wp:positionV>
              <wp:extent cx="6077585" cy="282575"/>
              <wp:effectExtent l="0" t="0" r="0" b="0"/>
              <wp:wrapNone/>
              <wp:docPr id="665" name="Group 665"/>
              <wp:cNvGraphicFramePr>
                <a:graphicFrameLocks/>
              </wp:cNvGraphicFramePr>
              <a:graphic>
                <a:graphicData uri="http://schemas.microsoft.com/office/word/2010/wordprocessingGroup">
                  <wpg:wgp>
                    <wpg:cNvPr id="665" name="Group 665"/>
                    <wpg:cNvGrpSpPr/>
                    <wpg:grpSpPr>
                      <a:xfrm>
                        <a:off x="0" y="0"/>
                        <a:ext cx="6077585" cy="282575"/>
                        <a:chExt cx="6077585" cy="282575"/>
                      </a:xfrm>
                    </wpg:grpSpPr>
                    <pic:pic>
                      <pic:nvPicPr>
                        <pic:cNvPr id="666" name="Image 666"/>
                        <pic:cNvPicPr/>
                      </pic:nvPicPr>
                      <pic:blipFill>
                        <a:blip r:embed="rId1" cstate="print"/>
                        <a:stretch>
                          <a:fillRect/>
                        </a:stretch>
                      </pic:blipFill>
                      <pic:spPr>
                        <a:xfrm>
                          <a:off x="4924742" y="137413"/>
                          <a:ext cx="1152143" cy="143255"/>
                        </a:xfrm>
                        <a:prstGeom prst="rect">
                          <a:avLst/>
                        </a:prstGeom>
                      </pic:spPr>
                    </pic:pic>
                    <pic:pic>
                      <pic:nvPicPr>
                        <pic:cNvPr id="667" name="Image 667"/>
                        <pic:cNvPicPr/>
                      </pic:nvPicPr>
                      <pic:blipFill>
                        <a:blip r:embed="rId2" cstate="print"/>
                        <a:stretch>
                          <a:fillRect/>
                        </a:stretch>
                      </pic:blipFill>
                      <pic:spPr>
                        <a:xfrm>
                          <a:off x="5171630" y="6350"/>
                          <a:ext cx="899160" cy="266065"/>
                        </a:xfrm>
                        <a:prstGeom prst="rect">
                          <a:avLst/>
                        </a:prstGeom>
                      </pic:spPr>
                    </pic:pic>
                    <wps:wsp>
                      <wps:cNvPr id="668" name="Graphic 668"/>
                      <wps:cNvSpPr/>
                      <wps:spPr>
                        <a:xfrm>
                          <a:off x="5171630"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669" name="Graphic 669"/>
                      <wps:cNvSpPr/>
                      <wps:spPr>
                        <a:xfrm>
                          <a:off x="4762" y="276859"/>
                          <a:ext cx="6066155" cy="1270"/>
                        </a:xfrm>
                        <a:custGeom>
                          <a:avLst/>
                          <a:gdLst/>
                          <a:ahLst/>
                          <a:cxnLst/>
                          <a:rect l="l" t="t" r="r" b="b"/>
                          <a:pathLst>
                            <a:path w="6066155" h="635">
                              <a:moveTo>
                                <a:pt x="0" y="0"/>
                              </a:moveTo>
                              <a:lnTo>
                                <a:pt x="606615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25pt;margin-top:51.099979pt;width:478.55pt;height:22.25pt;mso-position-horizontal-relative:page;mso-position-vertical-relative:page;z-index:-31841280" id="docshapegroup565" coordorigin="1113,1022" coordsize="9571,445">
              <v:shape style="position:absolute;left:8868;top:1238;width:1815;height:226" type="#_x0000_t75" id="docshape566" stroked="false">
                <v:imagedata r:id="rId1" o:title=""/>
              </v:shape>
              <v:shape style="position:absolute;left:9256;top:1032;width:1416;height:419" type="#_x0000_t75" id="docshape567" stroked="false">
                <v:imagedata r:id="rId2" o:title=""/>
              </v:shape>
              <v:rect style="position:absolute;left:9256;top:1032;width:1416;height:419" id="docshape568" filled="false" stroked="true" strokeweight="1.0pt" strokecolor="#666666">
                <v:stroke dashstyle="solid"/>
              </v:rect>
              <v:line style="position:absolute" from="1120,1458" to="10673,145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75712">
              <wp:simplePos x="0" y="0"/>
              <wp:positionH relativeFrom="page">
                <wp:posOffset>5973317</wp:posOffset>
              </wp:positionH>
              <wp:positionV relativeFrom="page">
                <wp:posOffset>701845</wp:posOffset>
              </wp:positionV>
              <wp:extent cx="708660" cy="167005"/>
              <wp:effectExtent l="0" t="0" r="0" b="0"/>
              <wp:wrapNone/>
              <wp:docPr id="670" name="Textbox 670"/>
              <wp:cNvGraphicFramePr>
                <a:graphicFrameLocks/>
              </wp:cNvGraphicFramePr>
              <a:graphic>
                <a:graphicData uri="http://schemas.microsoft.com/office/word/2010/wordprocessingShape">
                  <wps:wsp>
                    <wps:cNvPr id="670" name="Textbox 670"/>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0.339996pt;margin-top:55.263454pt;width:55.8pt;height:13.15pt;mso-position-horizontal-relative:page;mso-position-vertical-relative:page;z-index:-31840768" type="#_x0000_t202" id="docshape569"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76224">
              <wp:simplePos x="0" y="0"/>
              <wp:positionH relativeFrom="page">
                <wp:posOffset>770636</wp:posOffset>
              </wp:positionH>
              <wp:positionV relativeFrom="page">
                <wp:posOffset>785933</wp:posOffset>
              </wp:positionV>
              <wp:extent cx="1964055" cy="165735"/>
              <wp:effectExtent l="0" t="0" r="0" b="0"/>
              <wp:wrapNone/>
              <wp:docPr id="671" name="Textbox 671"/>
              <wp:cNvGraphicFramePr>
                <a:graphicFrameLocks/>
              </wp:cNvGraphicFramePr>
              <a:graphic>
                <a:graphicData uri="http://schemas.microsoft.com/office/word/2010/wordprocessingShape">
                  <wps:wsp>
                    <wps:cNvPr id="671" name="Textbox 671"/>
                    <wps:cNvSpPr txBox="1"/>
                    <wps:spPr>
                      <a:xfrm>
                        <a:off x="0" y="0"/>
                        <a:ext cx="1964055" cy="165735"/>
                      </a:xfrm>
                      <a:prstGeom prst="rect">
                        <a:avLst/>
                      </a:prstGeom>
                    </wps:spPr>
                    <wps:txbx>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wps:txbx>
                    <wps:bodyPr wrap="square" lIns="0" tIns="0" rIns="0" bIns="0" rtlCol="0">
                      <a:noAutofit/>
                    </wps:bodyPr>
                  </wps:wsp>
                </a:graphicData>
              </a:graphic>
            </wp:anchor>
          </w:drawing>
        </mc:Choice>
        <mc:Fallback>
          <w:pict>
            <v:shape style="position:absolute;margin-left:60.68pt;margin-top:61.884491pt;width:154.65pt;height:13.05pt;mso-position-horizontal-relative:page;mso-position-vertical-relative:page;z-index:-31840256" type="#_x0000_t202" id="docshape570" filled="false" stroked="false">
              <v:textbox inset="0,0,0,0">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76736">
              <wp:simplePos x="0" y="0"/>
              <wp:positionH relativeFrom="page">
                <wp:posOffset>3240151</wp:posOffset>
              </wp:positionH>
              <wp:positionV relativeFrom="page">
                <wp:posOffset>1102832</wp:posOffset>
              </wp:positionV>
              <wp:extent cx="1082040" cy="204470"/>
              <wp:effectExtent l="0" t="0" r="0" b="0"/>
              <wp:wrapNone/>
              <wp:docPr id="672" name="Textbox 672"/>
              <wp:cNvGraphicFramePr>
                <a:graphicFrameLocks/>
              </wp:cNvGraphicFramePr>
              <a:graphic>
                <a:graphicData uri="http://schemas.microsoft.com/office/word/2010/wordprocessingShape">
                  <wps:wsp>
                    <wps:cNvPr id="672" name="Textbox 672"/>
                    <wps:cNvSpPr txBox="1"/>
                    <wps:spPr>
                      <a:xfrm>
                        <a:off x="0" y="0"/>
                        <a:ext cx="1082040" cy="204470"/>
                      </a:xfrm>
                      <a:prstGeom prst="rect">
                        <a:avLst/>
                      </a:prstGeom>
                    </wps:spPr>
                    <wps:txbx>
                      <w:txbxContent>
                        <w:p>
                          <w:pPr>
                            <w:spacing w:before="19"/>
                            <w:ind w:left="20" w:right="0" w:firstLine="0"/>
                            <w:jc w:val="left"/>
                            <w:rPr>
                              <w:b/>
                              <w:sz w:val="24"/>
                            </w:rPr>
                          </w:pPr>
                          <w:r>
                            <w:rPr>
                              <w:b/>
                              <w:sz w:val="24"/>
                            </w:rPr>
                            <w:t>ANNEXURE</w:t>
                          </w:r>
                          <w:r>
                            <w:rPr>
                              <w:b/>
                              <w:spacing w:val="-8"/>
                              <w:sz w:val="24"/>
                            </w:rPr>
                            <w:t> </w:t>
                          </w:r>
                          <w:r>
                            <w:rPr>
                              <w:b/>
                              <w:spacing w:val="-10"/>
                              <w:sz w:val="24"/>
                            </w:rPr>
                            <w:t>7</w:t>
                          </w:r>
                        </w:p>
                      </w:txbxContent>
                    </wps:txbx>
                    <wps:bodyPr wrap="square" lIns="0" tIns="0" rIns="0" bIns="0" rtlCol="0">
                      <a:noAutofit/>
                    </wps:bodyPr>
                  </wps:wsp>
                </a:graphicData>
              </a:graphic>
            </wp:anchor>
          </w:drawing>
        </mc:Choice>
        <mc:Fallback>
          <w:pict>
            <v:shape style="position:absolute;margin-left:255.130005pt;margin-top:86.837242pt;width:85.2pt;height:16.1pt;mso-position-horizontal-relative:page;mso-position-vertical-relative:page;z-index:-31839744" type="#_x0000_t202" id="docshape571" filled="false" stroked="false">
              <v:textbox inset="0,0,0,0">
                <w:txbxContent>
                  <w:p>
                    <w:pPr>
                      <w:spacing w:before="19"/>
                      <w:ind w:left="20" w:right="0" w:firstLine="0"/>
                      <w:jc w:val="left"/>
                      <w:rPr>
                        <w:b/>
                        <w:sz w:val="24"/>
                      </w:rPr>
                    </w:pPr>
                    <w:r>
                      <w:rPr>
                        <w:b/>
                        <w:sz w:val="24"/>
                      </w:rPr>
                      <w:t>ANNEXURE</w:t>
                    </w:r>
                    <w:r>
                      <w:rPr>
                        <w:b/>
                        <w:spacing w:val="-8"/>
                        <w:sz w:val="24"/>
                      </w:rPr>
                      <w:t> </w:t>
                    </w:r>
                    <w:r>
                      <w:rPr>
                        <w:b/>
                        <w:spacing w:val="-10"/>
                        <w:sz w:val="24"/>
                      </w:rPr>
                      <w:t>7</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77760">
              <wp:simplePos x="0" y="0"/>
              <wp:positionH relativeFrom="page">
                <wp:posOffset>706437</wp:posOffset>
              </wp:positionH>
              <wp:positionV relativeFrom="page">
                <wp:posOffset>648969</wp:posOffset>
              </wp:positionV>
              <wp:extent cx="6077585" cy="282575"/>
              <wp:effectExtent l="0" t="0" r="0" b="0"/>
              <wp:wrapNone/>
              <wp:docPr id="674" name="Group 674"/>
              <wp:cNvGraphicFramePr>
                <a:graphicFrameLocks/>
              </wp:cNvGraphicFramePr>
              <a:graphic>
                <a:graphicData uri="http://schemas.microsoft.com/office/word/2010/wordprocessingGroup">
                  <wpg:wgp>
                    <wpg:cNvPr id="674" name="Group 674"/>
                    <wpg:cNvGrpSpPr/>
                    <wpg:grpSpPr>
                      <a:xfrm>
                        <a:off x="0" y="0"/>
                        <a:ext cx="6077585" cy="282575"/>
                        <a:chExt cx="6077585" cy="282575"/>
                      </a:xfrm>
                    </wpg:grpSpPr>
                    <pic:pic>
                      <pic:nvPicPr>
                        <pic:cNvPr id="675" name="Image 675"/>
                        <pic:cNvPicPr/>
                      </pic:nvPicPr>
                      <pic:blipFill>
                        <a:blip r:embed="rId1" cstate="print"/>
                        <a:stretch>
                          <a:fillRect/>
                        </a:stretch>
                      </pic:blipFill>
                      <pic:spPr>
                        <a:xfrm>
                          <a:off x="4924742" y="137413"/>
                          <a:ext cx="1152143" cy="143255"/>
                        </a:xfrm>
                        <a:prstGeom prst="rect">
                          <a:avLst/>
                        </a:prstGeom>
                      </pic:spPr>
                    </pic:pic>
                    <pic:pic>
                      <pic:nvPicPr>
                        <pic:cNvPr id="676" name="Image 676"/>
                        <pic:cNvPicPr/>
                      </pic:nvPicPr>
                      <pic:blipFill>
                        <a:blip r:embed="rId2" cstate="print"/>
                        <a:stretch>
                          <a:fillRect/>
                        </a:stretch>
                      </pic:blipFill>
                      <pic:spPr>
                        <a:xfrm>
                          <a:off x="5171630" y="6350"/>
                          <a:ext cx="899160" cy="266065"/>
                        </a:xfrm>
                        <a:prstGeom prst="rect">
                          <a:avLst/>
                        </a:prstGeom>
                      </pic:spPr>
                    </pic:pic>
                    <wps:wsp>
                      <wps:cNvPr id="677" name="Graphic 677"/>
                      <wps:cNvSpPr/>
                      <wps:spPr>
                        <a:xfrm>
                          <a:off x="5171630"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678" name="Graphic 678"/>
                      <wps:cNvSpPr/>
                      <wps:spPr>
                        <a:xfrm>
                          <a:off x="4762" y="276859"/>
                          <a:ext cx="6066155" cy="1270"/>
                        </a:xfrm>
                        <a:custGeom>
                          <a:avLst/>
                          <a:gdLst/>
                          <a:ahLst/>
                          <a:cxnLst/>
                          <a:rect l="l" t="t" r="r" b="b"/>
                          <a:pathLst>
                            <a:path w="6066155" h="635">
                              <a:moveTo>
                                <a:pt x="0" y="0"/>
                              </a:moveTo>
                              <a:lnTo>
                                <a:pt x="606615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25pt;margin-top:51.099979pt;width:478.55pt;height:22.25pt;mso-position-horizontal-relative:page;mso-position-vertical-relative:page;z-index:-31838720" id="docshapegroup573" coordorigin="1113,1022" coordsize="9571,445">
              <v:shape style="position:absolute;left:8868;top:1238;width:1815;height:226" type="#_x0000_t75" id="docshape574" stroked="false">
                <v:imagedata r:id="rId1" o:title=""/>
              </v:shape>
              <v:shape style="position:absolute;left:9256;top:1032;width:1416;height:419" type="#_x0000_t75" id="docshape575" stroked="false">
                <v:imagedata r:id="rId2" o:title=""/>
              </v:shape>
              <v:rect style="position:absolute;left:9256;top:1032;width:1416;height:419" id="docshape576" filled="false" stroked="true" strokeweight="1.0pt" strokecolor="#666666">
                <v:stroke dashstyle="solid"/>
              </v:rect>
              <v:line style="position:absolute" from="1120,1458" to="10673,145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78272">
              <wp:simplePos x="0" y="0"/>
              <wp:positionH relativeFrom="page">
                <wp:posOffset>5973317</wp:posOffset>
              </wp:positionH>
              <wp:positionV relativeFrom="page">
                <wp:posOffset>701845</wp:posOffset>
              </wp:positionV>
              <wp:extent cx="708660" cy="167005"/>
              <wp:effectExtent l="0" t="0" r="0" b="0"/>
              <wp:wrapNone/>
              <wp:docPr id="679" name="Textbox 679"/>
              <wp:cNvGraphicFramePr>
                <a:graphicFrameLocks/>
              </wp:cNvGraphicFramePr>
              <a:graphic>
                <a:graphicData uri="http://schemas.microsoft.com/office/word/2010/wordprocessingShape">
                  <wps:wsp>
                    <wps:cNvPr id="679" name="Textbox 679"/>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0.339996pt;margin-top:55.263454pt;width:55.8pt;height:13.15pt;mso-position-horizontal-relative:page;mso-position-vertical-relative:page;z-index:-31838208" type="#_x0000_t202" id="docshape577"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78784">
              <wp:simplePos x="0" y="0"/>
              <wp:positionH relativeFrom="page">
                <wp:posOffset>770636</wp:posOffset>
              </wp:positionH>
              <wp:positionV relativeFrom="page">
                <wp:posOffset>785933</wp:posOffset>
              </wp:positionV>
              <wp:extent cx="1964055" cy="165735"/>
              <wp:effectExtent l="0" t="0" r="0" b="0"/>
              <wp:wrapNone/>
              <wp:docPr id="680" name="Textbox 680"/>
              <wp:cNvGraphicFramePr>
                <a:graphicFrameLocks/>
              </wp:cNvGraphicFramePr>
              <a:graphic>
                <a:graphicData uri="http://schemas.microsoft.com/office/word/2010/wordprocessingShape">
                  <wps:wsp>
                    <wps:cNvPr id="680" name="Textbox 680"/>
                    <wps:cNvSpPr txBox="1"/>
                    <wps:spPr>
                      <a:xfrm>
                        <a:off x="0" y="0"/>
                        <a:ext cx="1964055" cy="165735"/>
                      </a:xfrm>
                      <a:prstGeom prst="rect">
                        <a:avLst/>
                      </a:prstGeom>
                    </wps:spPr>
                    <wps:txbx>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wps:txbx>
                    <wps:bodyPr wrap="square" lIns="0" tIns="0" rIns="0" bIns="0" rtlCol="0">
                      <a:noAutofit/>
                    </wps:bodyPr>
                  </wps:wsp>
                </a:graphicData>
              </a:graphic>
            </wp:anchor>
          </w:drawing>
        </mc:Choice>
        <mc:Fallback>
          <w:pict>
            <v:shape style="position:absolute;margin-left:60.68pt;margin-top:61.884491pt;width:154.65pt;height:13.05pt;mso-position-horizontal-relative:page;mso-position-vertical-relative:page;z-index:-31837696" type="#_x0000_t202" id="docshape578" filled="false" stroked="false">
              <v:textbox inset="0,0,0,0">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79296">
              <wp:simplePos x="0" y="0"/>
              <wp:positionH relativeFrom="page">
                <wp:posOffset>3240151</wp:posOffset>
              </wp:positionH>
              <wp:positionV relativeFrom="page">
                <wp:posOffset>1102832</wp:posOffset>
              </wp:positionV>
              <wp:extent cx="1082040" cy="204470"/>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a:off x="0" y="0"/>
                        <a:ext cx="1082040" cy="204470"/>
                      </a:xfrm>
                      <a:prstGeom prst="rect">
                        <a:avLst/>
                      </a:prstGeom>
                    </wps:spPr>
                    <wps:txbx>
                      <w:txbxContent>
                        <w:p>
                          <w:pPr>
                            <w:spacing w:before="19"/>
                            <w:ind w:left="20" w:right="0" w:firstLine="0"/>
                            <w:jc w:val="left"/>
                            <w:rPr>
                              <w:b/>
                              <w:sz w:val="24"/>
                            </w:rPr>
                          </w:pPr>
                          <w:r>
                            <w:rPr>
                              <w:b/>
                              <w:sz w:val="24"/>
                            </w:rPr>
                            <w:t>ANNEXURE</w:t>
                          </w:r>
                          <w:r>
                            <w:rPr>
                              <w:b/>
                              <w:spacing w:val="-9"/>
                              <w:sz w:val="24"/>
                            </w:rPr>
                            <w:t> </w:t>
                          </w:r>
                          <w:r>
                            <w:rPr>
                              <w:b/>
                              <w:spacing w:val="-10"/>
                              <w:sz w:val="24"/>
                            </w:rPr>
                            <w:t>8</w:t>
                          </w:r>
                        </w:p>
                      </w:txbxContent>
                    </wps:txbx>
                    <wps:bodyPr wrap="square" lIns="0" tIns="0" rIns="0" bIns="0" rtlCol="0">
                      <a:noAutofit/>
                    </wps:bodyPr>
                  </wps:wsp>
                </a:graphicData>
              </a:graphic>
            </wp:anchor>
          </w:drawing>
        </mc:Choice>
        <mc:Fallback>
          <w:pict>
            <v:shape style="position:absolute;margin-left:255.130005pt;margin-top:86.837242pt;width:85.2pt;height:16.1pt;mso-position-horizontal-relative:page;mso-position-vertical-relative:page;z-index:-31837184" type="#_x0000_t202" id="docshape579" filled="false" stroked="false">
              <v:textbox inset="0,0,0,0">
                <w:txbxContent>
                  <w:p>
                    <w:pPr>
                      <w:spacing w:before="19"/>
                      <w:ind w:left="20" w:right="0" w:firstLine="0"/>
                      <w:jc w:val="left"/>
                      <w:rPr>
                        <w:b/>
                        <w:sz w:val="24"/>
                      </w:rPr>
                    </w:pPr>
                    <w:r>
                      <w:rPr>
                        <w:b/>
                        <w:sz w:val="24"/>
                      </w:rPr>
                      <w:t>ANNEXURE</w:t>
                    </w:r>
                    <w:r>
                      <w:rPr>
                        <w:b/>
                        <w:spacing w:val="-9"/>
                        <w:sz w:val="24"/>
                      </w:rPr>
                      <w:t> </w:t>
                    </w:r>
                    <w:r>
                      <w:rPr>
                        <w:b/>
                        <w:spacing w:val="-10"/>
                        <w:sz w:val="24"/>
                      </w:rPr>
                      <w:t>8</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80320">
              <wp:simplePos x="0" y="0"/>
              <wp:positionH relativeFrom="page">
                <wp:posOffset>706437</wp:posOffset>
              </wp:positionH>
              <wp:positionV relativeFrom="page">
                <wp:posOffset>648969</wp:posOffset>
              </wp:positionV>
              <wp:extent cx="6077585" cy="282575"/>
              <wp:effectExtent l="0" t="0" r="0" b="0"/>
              <wp:wrapNone/>
              <wp:docPr id="683" name="Group 683"/>
              <wp:cNvGraphicFramePr>
                <a:graphicFrameLocks/>
              </wp:cNvGraphicFramePr>
              <a:graphic>
                <a:graphicData uri="http://schemas.microsoft.com/office/word/2010/wordprocessingGroup">
                  <wpg:wgp>
                    <wpg:cNvPr id="683" name="Group 683"/>
                    <wpg:cNvGrpSpPr/>
                    <wpg:grpSpPr>
                      <a:xfrm>
                        <a:off x="0" y="0"/>
                        <a:ext cx="6077585" cy="282575"/>
                        <a:chExt cx="6077585" cy="282575"/>
                      </a:xfrm>
                    </wpg:grpSpPr>
                    <pic:pic>
                      <pic:nvPicPr>
                        <pic:cNvPr id="684" name="Image 684"/>
                        <pic:cNvPicPr/>
                      </pic:nvPicPr>
                      <pic:blipFill>
                        <a:blip r:embed="rId1" cstate="print"/>
                        <a:stretch>
                          <a:fillRect/>
                        </a:stretch>
                      </pic:blipFill>
                      <pic:spPr>
                        <a:xfrm>
                          <a:off x="4924742" y="137413"/>
                          <a:ext cx="1152143" cy="143255"/>
                        </a:xfrm>
                        <a:prstGeom prst="rect">
                          <a:avLst/>
                        </a:prstGeom>
                      </pic:spPr>
                    </pic:pic>
                    <pic:pic>
                      <pic:nvPicPr>
                        <pic:cNvPr id="685" name="Image 685"/>
                        <pic:cNvPicPr/>
                      </pic:nvPicPr>
                      <pic:blipFill>
                        <a:blip r:embed="rId2" cstate="print"/>
                        <a:stretch>
                          <a:fillRect/>
                        </a:stretch>
                      </pic:blipFill>
                      <pic:spPr>
                        <a:xfrm>
                          <a:off x="5171630" y="6350"/>
                          <a:ext cx="899160" cy="266065"/>
                        </a:xfrm>
                        <a:prstGeom prst="rect">
                          <a:avLst/>
                        </a:prstGeom>
                      </pic:spPr>
                    </pic:pic>
                    <wps:wsp>
                      <wps:cNvPr id="686" name="Graphic 686"/>
                      <wps:cNvSpPr/>
                      <wps:spPr>
                        <a:xfrm>
                          <a:off x="5171630"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687" name="Graphic 687"/>
                      <wps:cNvSpPr/>
                      <wps:spPr>
                        <a:xfrm>
                          <a:off x="4762" y="276859"/>
                          <a:ext cx="6066155" cy="1270"/>
                        </a:xfrm>
                        <a:custGeom>
                          <a:avLst/>
                          <a:gdLst/>
                          <a:ahLst/>
                          <a:cxnLst/>
                          <a:rect l="l" t="t" r="r" b="b"/>
                          <a:pathLst>
                            <a:path w="6066155" h="635">
                              <a:moveTo>
                                <a:pt x="0" y="0"/>
                              </a:moveTo>
                              <a:lnTo>
                                <a:pt x="606615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25pt;margin-top:51.099979pt;width:478.55pt;height:22.25pt;mso-position-horizontal-relative:page;mso-position-vertical-relative:page;z-index:-31836160" id="docshapegroup581" coordorigin="1113,1022" coordsize="9571,445">
              <v:shape style="position:absolute;left:8868;top:1238;width:1815;height:226" type="#_x0000_t75" id="docshape582" stroked="false">
                <v:imagedata r:id="rId1" o:title=""/>
              </v:shape>
              <v:shape style="position:absolute;left:9256;top:1032;width:1416;height:419" type="#_x0000_t75" id="docshape583" stroked="false">
                <v:imagedata r:id="rId2" o:title=""/>
              </v:shape>
              <v:rect style="position:absolute;left:9256;top:1032;width:1416;height:419" id="docshape584" filled="false" stroked="true" strokeweight="1.0pt" strokecolor="#666666">
                <v:stroke dashstyle="solid"/>
              </v:rect>
              <v:line style="position:absolute" from="1120,1458" to="10673,145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80832">
              <wp:simplePos x="0" y="0"/>
              <wp:positionH relativeFrom="page">
                <wp:posOffset>5973317</wp:posOffset>
              </wp:positionH>
              <wp:positionV relativeFrom="page">
                <wp:posOffset>701845</wp:posOffset>
              </wp:positionV>
              <wp:extent cx="708660" cy="167005"/>
              <wp:effectExtent l="0" t="0" r="0" b="0"/>
              <wp:wrapNone/>
              <wp:docPr id="688" name="Textbox 688"/>
              <wp:cNvGraphicFramePr>
                <a:graphicFrameLocks/>
              </wp:cNvGraphicFramePr>
              <a:graphic>
                <a:graphicData uri="http://schemas.microsoft.com/office/word/2010/wordprocessingShape">
                  <wps:wsp>
                    <wps:cNvPr id="688" name="Textbox 688"/>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0.339996pt;margin-top:55.263454pt;width:55.8pt;height:13.15pt;mso-position-horizontal-relative:page;mso-position-vertical-relative:page;z-index:-31835648" type="#_x0000_t202" id="docshape585"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81344">
              <wp:simplePos x="0" y="0"/>
              <wp:positionH relativeFrom="page">
                <wp:posOffset>770636</wp:posOffset>
              </wp:positionH>
              <wp:positionV relativeFrom="page">
                <wp:posOffset>785933</wp:posOffset>
              </wp:positionV>
              <wp:extent cx="1964055" cy="165735"/>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a:off x="0" y="0"/>
                        <a:ext cx="1964055" cy="165735"/>
                      </a:xfrm>
                      <a:prstGeom prst="rect">
                        <a:avLst/>
                      </a:prstGeom>
                    </wps:spPr>
                    <wps:txbx>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wps:txbx>
                    <wps:bodyPr wrap="square" lIns="0" tIns="0" rIns="0" bIns="0" rtlCol="0">
                      <a:noAutofit/>
                    </wps:bodyPr>
                  </wps:wsp>
                </a:graphicData>
              </a:graphic>
            </wp:anchor>
          </w:drawing>
        </mc:Choice>
        <mc:Fallback>
          <w:pict>
            <v:shape style="position:absolute;margin-left:60.68pt;margin-top:61.884491pt;width:154.65pt;height:13.05pt;mso-position-horizontal-relative:page;mso-position-vertical-relative:page;z-index:-31835136" type="#_x0000_t202" id="docshape586" filled="false" stroked="false">
              <v:textbox inset="0,0,0,0">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82368">
              <wp:simplePos x="0" y="0"/>
              <wp:positionH relativeFrom="page">
                <wp:posOffset>706437</wp:posOffset>
              </wp:positionH>
              <wp:positionV relativeFrom="page">
                <wp:posOffset>687069</wp:posOffset>
              </wp:positionV>
              <wp:extent cx="6077585" cy="283210"/>
              <wp:effectExtent l="0" t="0" r="0" b="0"/>
              <wp:wrapNone/>
              <wp:docPr id="691" name="Group 691"/>
              <wp:cNvGraphicFramePr>
                <a:graphicFrameLocks/>
              </wp:cNvGraphicFramePr>
              <a:graphic>
                <a:graphicData uri="http://schemas.microsoft.com/office/word/2010/wordprocessingGroup">
                  <wpg:wgp>
                    <wpg:cNvPr id="691" name="Group 691"/>
                    <wpg:cNvGrpSpPr/>
                    <wpg:grpSpPr>
                      <a:xfrm>
                        <a:off x="0" y="0"/>
                        <a:ext cx="6077585" cy="283210"/>
                        <a:chExt cx="6077585" cy="283210"/>
                      </a:xfrm>
                    </wpg:grpSpPr>
                    <pic:pic>
                      <pic:nvPicPr>
                        <pic:cNvPr id="692" name="Image 692"/>
                        <pic:cNvPicPr/>
                      </pic:nvPicPr>
                      <pic:blipFill>
                        <a:blip r:embed="rId1" cstate="print"/>
                        <a:stretch>
                          <a:fillRect/>
                        </a:stretch>
                      </pic:blipFill>
                      <pic:spPr>
                        <a:xfrm>
                          <a:off x="4924742" y="137413"/>
                          <a:ext cx="1152143" cy="143255"/>
                        </a:xfrm>
                        <a:prstGeom prst="rect">
                          <a:avLst/>
                        </a:prstGeom>
                      </pic:spPr>
                    </pic:pic>
                    <pic:pic>
                      <pic:nvPicPr>
                        <pic:cNvPr id="693" name="Image 693"/>
                        <pic:cNvPicPr/>
                      </pic:nvPicPr>
                      <pic:blipFill>
                        <a:blip r:embed="rId2" cstate="print"/>
                        <a:stretch>
                          <a:fillRect/>
                        </a:stretch>
                      </pic:blipFill>
                      <pic:spPr>
                        <a:xfrm>
                          <a:off x="5171630" y="6350"/>
                          <a:ext cx="899160" cy="266065"/>
                        </a:xfrm>
                        <a:prstGeom prst="rect">
                          <a:avLst/>
                        </a:prstGeom>
                      </pic:spPr>
                    </pic:pic>
                    <wps:wsp>
                      <wps:cNvPr id="694" name="Graphic 694"/>
                      <wps:cNvSpPr/>
                      <wps:spPr>
                        <a:xfrm>
                          <a:off x="5171630"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695" name="Graphic 695"/>
                      <wps:cNvSpPr/>
                      <wps:spPr>
                        <a:xfrm>
                          <a:off x="4762" y="277495"/>
                          <a:ext cx="6066155" cy="1270"/>
                        </a:xfrm>
                        <a:custGeom>
                          <a:avLst/>
                          <a:gdLst/>
                          <a:ahLst/>
                          <a:cxnLst/>
                          <a:rect l="l" t="t" r="r" b="b"/>
                          <a:pathLst>
                            <a:path w="6066155" h="635">
                              <a:moveTo>
                                <a:pt x="0" y="0"/>
                              </a:moveTo>
                              <a:lnTo>
                                <a:pt x="6066155" y="635"/>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25pt;margin-top:54.099979pt;width:478.55pt;height:22.3pt;mso-position-horizontal-relative:page;mso-position-vertical-relative:page;z-index:-31834112" id="docshapegroup588" coordorigin="1113,1082" coordsize="9571,446">
              <v:shape style="position:absolute;left:8868;top:1298;width:1815;height:226" type="#_x0000_t75" id="docshape589" stroked="false">
                <v:imagedata r:id="rId1" o:title=""/>
              </v:shape>
              <v:shape style="position:absolute;left:9256;top:1092;width:1416;height:419" type="#_x0000_t75" id="docshape590" stroked="false">
                <v:imagedata r:id="rId2" o:title=""/>
              </v:shape>
              <v:rect style="position:absolute;left:9256;top:1092;width:1416;height:419" id="docshape591" filled="false" stroked="true" strokeweight="1.0pt" strokecolor="#666666">
                <v:stroke dashstyle="solid"/>
              </v:rect>
              <v:line style="position:absolute" from="1120,1519" to="10673,1520"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82880">
              <wp:simplePos x="0" y="0"/>
              <wp:positionH relativeFrom="page">
                <wp:posOffset>5973317</wp:posOffset>
              </wp:positionH>
              <wp:positionV relativeFrom="page">
                <wp:posOffset>741469</wp:posOffset>
              </wp:positionV>
              <wp:extent cx="708660" cy="167005"/>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0.339996pt;margin-top:58.383453pt;width:55.8pt;height:13.15pt;mso-position-horizontal-relative:page;mso-position-vertical-relative:page;z-index:-31833600" type="#_x0000_t202" id="docshape592"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83392">
              <wp:simplePos x="0" y="0"/>
              <wp:positionH relativeFrom="page">
                <wp:posOffset>770636</wp:posOffset>
              </wp:positionH>
              <wp:positionV relativeFrom="page">
                <wp:posOffset>824033</wp:posOffset>
              </wp:positionV>
              <wp:extent cx="1964055" cy="165735"/>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a:off x="0" y="0"/>
                        <a:ext cx="1964055" cy="165735"/>
                      </a:xfrm>
                      <a:prstGeom prst="rect">
                        <a:avLst/>
                      </a:prstGeom>
                    </wps:spPr>
                    <wps:txbx>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wps:txbx>
                    <wps:bodyPr wrap="square" lIns="0" tIns="0" rIns="0" bIns="0" rtlCol="0">
                      <a:noAutofit/>
                    </wps:bodyPr>
                  </wps:wsp>
                </a:graphicData>
              </a:graphic>
            </wp:anchor>
          </w:drawing>
        </mc:Choice>
        <mc:Fallback>
          <w:pict>
            <v:shape style="position:absolute;margin-left:60.68pt;margin-top:64.884491pt;width:154.65pt;height:13.05pt;mso-position-horizontal-relative:page;mso-position-vertical-relative:page;z-index:-31833088" type="#_x0000_t202" id="docshape593" filled="false" stroked="false">
              <v:textbox inset="0,0,0,0">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84416">
              <wp:simplePos x="0" y="0"/>
              <wp:positionH relativeFrom="page">
                <wp:posOffset>689927</wp:posOffset>
              </wp:positionH>
              <wp:positionV relativeFrom="page">
                <wp:posOffset>719073</wp:posOffset>
              </wp:positionV>
              <wp:extent cx="6075680" cy="280670"/>
              <wp:effectExtent l="0" t="0" r="0" b="0"/>
              <wp:wrapNone/>
              <wp:docPr id="708" name="Group 708"/>
              <wp:cNvGraphicFramePr>
                <a:graphicFrameLocks/>
              </wp:cNvGraphicFramePr>
              <a:graphic>
                <a:graphicData uri="http://schemas.microsoft.com/office/word/2010/wordprocessingGroup">
                  <wpg:wgp>
                    <wpg:cNvPr id="708" name="Group 708"/>
                    <wpg:cNvGrpSpPr/>
                    <wpg:grpSpPr>
                      <a:xfrm>
                        <a:off x="0" y="0"/>
                        <a:ext cx="6075680" cy="280670"/>
                        <a:chExt cx="6075680" cy="280670"/>
                      </a:xfrm>
                    </wpg:grpSpPr>
                    <pic:pic>
                      <pic:nvPicPr>
                        <pic:cNvPr id="709" name="Image 709"/>
                        <pic:cNvPicPr/>
                      </pic:nvPicPr>
                      <pic:blipFill>
                        <a:blip r:embed="rId1" cstate="print"/>
                        <a:stretch>
                          <a:fillRect/>
                        </a:stretch>
                      </pic:blipFill>
                      <pic:spPr>
                        <a:xfrm>
                          <a:off x="4918392" y="137413"/>
                          <a:ext cx="1152144" cy="143255"/>
                        </a:xfrm>
                        <a:prstGeom prst="rect">
                          <a:avLst/>
                        </a:prstGeom>
                      </pic:spPr>
                    </pic:pic>
                    <pic:pic>
                      <pic:nvPicPr>
                        <pic:cNvPr id="710" name="Image 710"/>
                        <pic:cNvPicPr/>
                      </pic:nvPicPr>
                      <pic:blipFill>
                        <a:blip r:embed="rId2" cstate="print"/>
                        <a:stretch>
                          <a:fillRect/>
                        </a:stretch>
                      </pic:blipFill>
                      <pic:spPr>
                        <a:xfrm>
                          <a:off x="5165280" y="6350"/>
                          <a:ext cx="899160" cy="266065"/>
                        </a:xfrm>
                        <a:prstGeom prst="rect">
                          <a:avLst/>
                        </a:prstGeom>
                      </pic:spPr>
                    </pic:pic>
                    <wps:wsp>
                      <wps:cNvPr id="711" name="Graphic 711"/>
                      <wps:cNvSpPr/>
                      <wps:spPr>
                        <a:xfrm>
                          <a:off x="5165280"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712" name="Graphic 712"/>
                      <wps:cNvSpPr/>
                      <wps:spPr>
                        <a:xfrm>
                          <a:off x="4762" y="272161"/>
                          <a:ext cx="6066155" cy="1270"/>
                        </a:xfrm>
                        <a:custGeom>
                          <a:avLst/>
                          <a:gdLst/>
                          <a:ahLst/>
                          <a:cxnLst/>
                          <a:rect l="l" t="t" r="r" b="b"/>
                          <a:pathLst>
                            <a:path w="6066155" h="635">
                              <a:moveTo>
                                <a:pt x="0" y="0"/>
                              </a:moveTo>
                              <a:lnTo>
                                <a:pt x="606615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325001pt;margin-top:56.619984pt;width:478.4pt;height:22.1pt;mso-position-horizontal-relative:page;mso-position-vertical-relative:page;z-index:-31832064" id="docshapegroup596" coordorigin="1087,1132" coordsize="9568,442">
              <v:shape style="position:absolute;left:8832;top:1348;width:1815;height:226" type="#_x0000_t75" id="docshape597" stroked="false">
                <v:imagedata r:id="rId1" o:title=""/>
              </v:shape>
              <v:shape style="position:absolute;left:9220;top:1142;width:1416;height:419" type="#_x0000_t75" id="docshape598" stroked="false">
                <v:imagedata r:id="rId2" o:title=""/>
              </v:shape>
              <v:rect style="position:absolute;left:9220;top:1142;width:1416;height:419" id="docshape599" filled="false" stroked="true" strokeweight="1.0pt" strokecolor="#666666">
                <v:stroke dashstyle="solid"/>
              </v:rect>
              <v:line style="position:absolute" from="1094,1561" to="10647,1562"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84928">
              <wp:simplePos x="0" y="0"/>
              <wp:positionH relativeFrom="page">
                <wp:posOffset>5951982</wp:posOffset>
              </wp:positionH>
              <wp:positionV relativeFrom="page">
                <wp:posOffset>765853</wp:posOffset>
              </wp:positionV>
              <wp:extent cx="708660" cy="167005"/>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68.660004pt;margin-top:60.303459pt;width:55.8pt;height:13.15pt;mso-position-horizontal-relative:page;mso-position-vertical-relative:page;z-index:-31831552" type="#_x0000_t202" id="docshape600"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85440">
              <wp:simplePos x="0" y="0"/>
              <wp:positionH relativeFrom="page">
                <wp:posOffset>753872</wp:posOffset>
              </wp:positionH>
              <wp:positionV relativeFrom="page">
                <wp:posOffset>830129</wp:posOffset>
              </wp:positionV>
              <wp:extent cx="1089660" cy="165735"/>
              <wp:effectExtent l="0" t="0" r="0" b="0"/>
              <wp:wrapNone/>
              <wp:docPr id="714" name="Textbox 714"/>
              <wp:cNvGraphicFramePr>
                <a:graphicFrameLocks/>
              </wp:cNvGraphicFramePr>
              <a:graphic>
                <a:graphicData uri="http://schemas.microsoft.com/office/word/2010/wordprocessingShape">
                  <wps:wsp>
                    <wps:cNvPr id="714" name="Textbox 714"/>
                    <wps:cNvSpPr txBox="1"/>
                    <wps:spPr>
                      <a:xfrm>
                        <a:off x="0" y="0"/>
                        <a:ext cx="1089660" cy="165735"/>
                      </a:xfrm>
                      <a:prstGeom prst="rect">
                        <a:avLst/>
                      </a:prstGeom>
                    </wps:spPr>
                    <wps:txbx>
                      <w:txbxContent>
                        <w:p>
                          <w:pPr>
                            <w:spacing w:before="10"/>
                            <w:ind w:left="20" w:right="0" w:firstLine="0"/>
                            <w:jc w:val="left"/>
                            <w:rPr>
                              <w:rFonts w:ascii="Times New Roman"/>
                              <w:b/>
                              <w:sz w:val="20"/>
                            </w:rPr>
                          </w:pPr>
                          <w:r>
                            <w:rPr>
                              <w:rFonts w:ascii="Times New Roman"/>
                              <w:b/>
                              <w:spacing w:val="-2"/>
                              <w:sz w:val="20"/>
                            </w:rPr>
                            <w:t>ABBREVIATIONS</w:t>
                          </w:r>
                        </w:p>
                      </w:txbxContent>
                    </wps:txbx>
                    <wps:bodyPr wrap="square" lIns="0" tIns="0" rIns="0" bIns="0" rtlCol="0">
                      <a:noAutofit/>
                    </wps:bodyPr>
                  </wps:wsp>
                </a:graphicData>
              </a:graphic>
            </wp:anchor>
          </w:drawing>
        </mc:Choice>
        <mc:Fallback>
          <w:pict>
            <v:shape style="position:absolute;margin-left:59.360001pt;margin-top:65.364494pt;width:85.8pt;height:13.05pt;mso-position-horizontal-relative:page;mso-position-vertical-relative:page;z-index:-31831040" type="#_x0000_t202" id="docshape601" filled="false" stroked="false">
              <v:textbox inset="0,0,0,0">
                <w:txbxContent>
                  <w:p>
                    <w:pPr>
                      <w:spacing w:before="10"/>
                      <w:ind w:left="20" w:right="0" w:firstLine="0"/>
                      <w:jc w:val="left"/>
                      <w:rPr>
                        <w:rFonts w:ascii="Times New Roman"/>
                        <w:b/>
                        <w:sz w:val="20"/>
                      </w:rPr>
                    </w:pPr>
                    <w:r>
                      <w:rPr>
                        <w:rFonts w:ascii="Times New Roman"/>
                        <w:b/>
                        <w:spacing w:val="-2"/>
                        <w:sz w:val="20"/>
                      </w:rPr>
                      <w:t>ABBREVIATIONS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87">
    <w:multiLevelType w:val="hybridMultilevel"/>
    <w:lvl w:ilvl="0">
      <w:start w:val="1"/>
      <w:numFmt w:val="lowerLetter"/>
      <w:lvlText w:val="(%1)"/>
      <w:lvlJc w:val="left"/>
      <w:pPr>
        <w:ind w:left="772" w:hanging="312"/>
        <w:jc w:val="left"/>
      </w:pPr>
      <w:rPr>
        <w:rFonts w:hint="default" w:ascii="Bookman Old Style" w:hAnsi="Bookman Old Style" w:eastAsia="Bookman Old Style" w:cs="Bookman Old Style"/>
        <w:b w:val="0"/>
        <w:bCs w:val="0"/>
        <w:i w:val="0"/>
        <w:iCs w:val="0"/>
        <w:spacing w:val="0"/>
        <w:w w:val="99"/>
        <w:sz w:val="20"/>
        <w:szCs w:val="20"/>
        <w:lang w:val="en-US" w:eastAsia="en-US" w:bidi="ar-SA"/>
      </w:rPr>
    </w:lvl>
    <w:lvl w:ilvl="1">
      <w:start w:val="1"/>
      <w:numFmt w:val="lowerRoman"/>
      <w:lvlText w:val="%2."/>
      <w:lvlJc w:val="left"/>
      <w:pPr>
        <w:ind w:left="1682" w:hanging="190"/>
        <w:jc w:val="left"/>
      </w:pPr>
      <w:rPr>
        <w:rFonts w:hint="default" w:ascii="Bookman Old Style" w:hAnsi="Bookman Old Style" w:eastAsia="Bookman Old Style" w:cs="Bookman Old Style"/>
        <w:b w:val="0"/>
        <w:bCs w:val="0"/>
        <w:i w:val="0"/>
        <w:iCs w:val="0"/>
        <w:spacing w:val="0"/>
        <w:w w:val="99"/>
        <w:sz w:val="20"/>
        <w:szCs w:val="20"/>
        <w:lang w:val="en-US" w:eastAsia="en-US" w:bidi="ar-SA"/>
      </w:rPr>
    </w:lvl>
    <w:lvl w:ilvl="2">
      <w:start w:val="0"/>
      <w:numFmt w:val="bullet"/>
      <w:lvlText w:val="•"/>
      <w:lvlJc w:val="left"/>
      <w:pPr>
        <w:ind w:left="2736" w:hanging="190"/>
      </w:pPr>
      <w:rPr>
        <w:rFonts w:hint="default"/>
        <w:lang w:val="en-US" w:eastAsia="en-US" w:bidi="ar-SA"/>
      </w:rPr>
    </w:lvl>
    <w:lvl w:ilvl="3">
      <w:start w:val="0"/>
      <w:numFmt w:val="bullet"/>
      <w:lvlText w:val="•"/>
      <w:lvlJc w:val="left"/>
      <w:pPr>
        <w:ind w:left="3792" w:hanging="190"/>
      </w:pPr>
      <w:rPr>
        <w:rFonts w:hint="default"/>
        <w:lang w:val="en-US" w:eastAsia="en-US" w:bidi="ar-SA"/>
      </w:rPr>
    </w:lvl>
    <w:lvl w:ilvl="4">
      <w:start w:val="0"/>
      <w:numFmt w:val="bullet"/>
      <w:lvlText w:val="•"/>
      <w:lvlJc w:val="left"/>
      <w:pPr>
        <w:ind w:left="4848" w:hanging="190"/>
      </w:pPr>
      <w:rPr>
        <w:rFonts w:hint="default"/>
        <w:lang w:val="en-US" w:eastAsia="en-US" w:bidi="ar-SA"/>
      </w:rPr>
    </w:lvl>
    <w:lvl w:ilvl="5">
      <w:start w:val="0"/>
      <w:numFmt w:val="bullet"/>
      <w:lvlText w:val="•"/>
      <w:lvlJc w:val="left"/>
      <w:pPr>
        <w:ind w:left="5905" w:hanging="190"/>
      </w:pPr>
      <w:rPr>
        <w:rFonts w:hint="default"/>
        <w:lang w:val="en-US" w:eastAsia="en-US" w:bidi="ar-SA"/>
      </w:rPr>
    </w:lvl>
    <w:lvl w:ilvl="6">
      <w:start w:val="0"/>
      <w:numFmt w:val="bullet"/>
      <w:lvlText w:val="•"/>
      <w:lvlJc w:val="left"/>
      <w:pPr>
        <w:ind w:left="6961" w:hanging="190"/>
      </w:pPr>
      <w:rPr>
        <w:rFonts w:hint="default"/>
        <w:lang w:val="en-US" w:eastAsia="en-US" w:bidi="ar-SA"/>
      </w:rPr>
    </w:lvl>
    <w:lvl w:ilvl="7">
      <w:start w:val="0"/>
      <w:numFmt w:val="bullet"/>
      <w:lvlText w:val="•"/>
      <w:lvlJc w:val="left"/>
      <w:pPr>
        <w:ind w:left="8017" w:hanging="190"/>
      </w:pPr>
      <w:rPr>
        <w:rFonts w:hint="default"/>
        <w:lang w:val="en-US" w:eastAsia="en-US" w:bidi="ar-SA"/>
      </w:rPr>
    </w:lvl>
    <w:lvl w:ilvl="8">
      <w:start w:val="0"/>
      <w:numFmt w:val="bullet"/>
      <w:lvlText w:val="•"/>
      <w:lvlJc w:val="left"/>
      <w:pPr>
        <w:ind w:left="9073" w:hanging="190"/>
      </w:pPr>
      <w:rPr>
        <w:rFonts w:hint="default"/>
        <w:lang w:val="en-US" w:eastAsia="en-US" w:bidi="ar-SA"/>
      </w:rPr>
    </w:lvl>
  </w:abstractNum>
  <w:abstractNum w:abstractNumId="372">
    <w:multiLevelType w:val="hybridMultilevel"/>
    <w:lvl w:ilvl="0">
      <w:start w:val="1"/>
      <w:numFmt w:val="lowerLetter"/>
      <w:lvlText w:val="(%1)"/>
      <w:lvlJc w:val="left"/>
      <w:pPr>
        <w:ind w:left="2282" w:hanging="36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170" w:hanging="361"/>
      </w:pPr>
      <w:rPr>
        <w:rFonts w:hint="default"/>
        <w:lang w:val="en-US" w:eastAsia="en-US" w:bidi="ar-SA"/>
      </w:rPr>
    </w:lvl>
    <w:lvl w:ilvl="2">
      <w:start w:val="0"/>
      <w:numFmt w:val="bullet"/>
      <w:lvlText w:val="•"/>
      <w:lvlJc w:val="left"/>
      <w:pPr>
        <w:ind w:left="4061" w:hanging="361"/>
      </w:pPr>
      <w:rPr>
        <w:rFonts w:hint="default"/>
        <w:lang w:val="en-US" w:eastAsia="en-US" w:bidi="ar-SA"/>
      </w:rPr>
    </w:lvl>
    <w:lvl w:ilvl="3">
      <w:start w:val="0"/>
      <w:numFmt w:val="bullet"/>
      <w:lvlText w:val="•"/>
      <w:lvlJc w:val="left"/>
      <w:pPr>
        <w:ind w:left="4951" w:hanging="361"/>
      </w:pPr>
      <w:rPr>
        <w:rFonts w:hint="default"/>
        <w:lang w:val="en-US" w:eastAsia="en-US" w:bidi="ar-SA"/>
      </w:rPr>
    </w:lvl>
    <w:lvl w:ilvl="4">
      <w:start w:val="0"/>
      <w:numFmt w:val="bullet"/>
      <w:lvlText w:val="•"/>
      <w:lvlJc w:val="left"/>
      <w:pPr>
        <w:ind w:left="5842" w:hanging="361"/>
      </w:pPr>
      <w:rPr>
        <w:rFonts w:hint="default"/>
        <w:lang w:val="en-US" w:eastAsia="en-US" w:bidi="ar-SA"/>
      </w:rPr>
    </w:lvl>
    <w:lvl w:ilvl="5">
      <w:start w:val="0"/>
      <w:numFmt w:val="bullet"/>
      <w:lvlText w:val="•"/>
      <w:lvlJc w:val="left"/>
      <w:pPr>
        <w:ind w:left="6733" w:hanging="361"/>
      </w:pPr>
      <w:rPr>
        <w:rFonts w:hint="default"/>
        <w:lang w:val="en-US" w:eastAsia="en-US" w:bidi="ar-SA"/>
      </w:rPr>
    </w:lvl>
    <w:lvl w:ilvl="6">
      <w:start w:val="0"/>
      <w:numFmt w:val="bullet"/>
      <w:lvlText w:val="•"/>
      <w:lvlJc w:val="left"/>
      <w:pPr>
        <w:ind w:left="7623" w:hanging="361"/>
      </w:pPr>
      <w:rPr>
        <w:rFonts w:hint="default"/>
        <w:lang w:val="en-US" w:eastAsia="en-US" w:bidi="ar-SA"/>
      </w:rPr>
    </w:lvl>
    <w:lvl w:ilvl="7">
      <w:start w:val="0"/>
      <w:numFmt w:val="bullet"/>
      <w:lvlText w:val="•"/>
      <w:lvlJc w:val="left"/>
      <w:pPr>
        <w:ind w:left="8514" w:hanging="361"/>
      </w:pPr>
      <w:rPr>
        <w:rFonts w:hint="default"/>
        <w:lang w:val="en-US" w:eastAsia="en-US" w:bidi="ar-SA"/>
      </w:rPr>
    </w:lvl>
    <w:lvl w:ilvl="8">
      <w:start w:val="0"/>
      <w:numFmt w:val="bullet"/>
      <w:lvlText w:val="•"/>
      <w:lvlJc w:val="left"/>
      <w:pPr>
        <w:ind w:left="9405" w:hanging="361"/>
      </w:pPr>
      <w:rPr>
        <w:rFonts w:hint="default"/>
        <w:lang w:val="en-US" w:eastAsia="en-US" w:bidi="ar-SA"/>
      </w:rPr>
    </w:lvl>
  </w:abstractNum>
  <w:abstractNum w:abstractNumId="371">
    <w:multiLevelType w:val="hybridMultilevel"/>
    <w:lvl w:ilvl="0">
      <w:start w:val="1"/>
      <w:numFmt w:val="lowerLetter"/>
      <w:lvlText w:val="(%1)"/>
      <w:lvlJc w:val="left"/>
      <w:pPr>
        <w:ind w:left="2294" w:hanging="43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188" w:hanging="437"/>
      </w:pPr>
      <w:rPr>
        <w:rFonts w:hint="default"/>
        <w:lang w:val="en-US" w:eastAsia="en-US" w:bidi="ar-SA"/>
      </w:rPr>
    </w:lvl>
    <w:lvl w:ilvl="2">
      <w:start w:val="0"/>
      <w:numFmt w:val="bullet"/>
      <w:lvlText w:val="•"/>
      <w:lvlJc w:val="left"/>
      <w:pPr>
        <w:ind w:left="4077" w:hanging="437"/>
      </w:pPr>
      <w:rPr>
        <w:rFonts w:hint="default"/>
        <w:lang w:val="en-US" w:eastAsia="en-US" w:bidi="ar-SA"/>
      </w:rPr>
    </w:lvl>
    <w:lvl w:ilvl="3">
      <w:start w:val="0"/>
      <w:numFmt w:val="bullet"/>
      <w:lvlText w:val="•"/>
      <w:lvlJc w:val="left"/>
      <w:pPr>
        <w:ind w:left="4965" w:hanging="437"/>
      </w:pPr>
      <w:rPr>
        <w:rFonts w:hint="default"/>
        <w:lang w:val="en-US" w:eastAsia="en-US" w:bidi="ar-SA"/>
      </w:rPr>
    </w:lvl>
    <w:lvl w:ilvl="4">
      <w:start w:val="0"/>
      <w:numFmt w:val="bullet"/>
      <w:lvlText w:val="•"/>
      <w:lvlJc w:val="left"/>
      <w:pPr>
        <w:ind w:left="5854" w:hanging="437"/>
      </w:pPr>
      <w:rPr>
        <w:rFonts w:hint="default"/>
        <w:lang w:val="en-US" w:eastAsia="en-US" w:bidi="ar-SA"/>
      </w:rPr>
    </w:lvl>
    <w:lvl w:ilvl="5">
      <w:start w:val="0"/>
      <w:numFmt w:val="bullet"/>
      <w:lvlText w:val="•"/>
      <w:lvlJc w:val="left"/>
      <w:pPr>
        <w:ind w:left="6743" w:hanging="437"/>
      </w:pPr>
      <w:rPr>
        <w:rFonts w:hint="default"/>
        <w:lang w:val="en-US" w:eastAsia="en-US" w:bidi="ar-SA"/>
      </w:rPr>
    </w:lvl>
    <w:lvl w:ilvl="6">
      <w:start w:val="0"/>
      <w:numFmt w:val="bullet"/>
      <w:lvlText w:val="•"/>
      <w:lvlJc w:val="left"/>
      <w:pPr>
        <w:ind w:left="7631" w:hanging="437"/>
      </w:pPr>
      <w:rPr>
        <w:rFonts w:hint="default"/>
        <w:lang w:val="en-US" w:eastAsia="en-US" w:bidi="ar-SA"/>
      </w:rPr>
    </w:lvl>
    <w:lvl w:ilvl="7">
      <w:start w:val="0"/>
      <w:numFmt w:val="bullet"/>
      <w:lvlText w:val="•"/>
      <w:lvlJc w:val="left"/>
      <w:pPr>
        <w:ind w:left="8520" w:hanging="437"/>
      </w:pPr>
      <w:rPr>
        <w:rFonts w:hint="default"/>
        <w:lang w:val="en-US" w:eastAsia="en-US" w:bidi="ar-SA"/>
      </w:rPr>
    </w:lvl>
    <w:lvl w:ilvl="8">
      <w:start w:val="0"/>
      <w:numFmt w:val="bullet"/>
      <w:lvlText w:val="•"/>
      <w:lvlJc w:val="left"/>
      <w:pPr>
        <w:ind w:left="9409" w:hanging="437"/>
      </w:pPr>
      <w:rPr>
        <w:rFonts w:hint="default"/>
        <w:lang w:val="en-US" w:eastAsia="en-US" w:bidi="ar-SA"/>
      </w:rPr>
    </w:lvl>
  </w:abstractNum>
  <w:abstractNum w:abstractNumId="356">
    <w:multiLevelType w:val="hybridMultilevel"/>
    <w:lvl w:ilvl="0">
      <w:start w:val="1"/>
      <w:numFmt w:val="lowerLetter"/>
      <w:lvlText w:val="%1)"/>
      <w:lvlJc w:val="left"/>
      <w:pPr>
        <w:ind w:left="1382" w:hanging="365"/>
        <w:jc w:val="left"/>
      </w:pPr>
      <w:rPr>
        <w:rFonts w:hint="default" w:ascii="Bookman Old Style" w:hAnsi="Bookman Old Style" w:eastAsia="Bookman Old Style" w:cs="Bookman Old Style"/>
        <w:b w:val="0"/>
        <w:bCs w:val="0"/>
        <w:i w:val="0"/>
        <w:iCs w:val="0"/>
        <w:spacing w:val="0"/>
        <w:w w:val="94"/>
        <w:sz w:val="24"/>
        <w:szCs w:val="24"/>
        <w:lang w:val="en-US" w:eastAsia="en-US" w:bidi="ar-SA"/>
      </w:rPr>
    </w:lvl>
    <w:lvl w:ilvl="1">
      <w:start w:val="0"/>
      <w:numFmt w:val="bullet"/>
      <w:lvlText w:val="•"/>
      <w:lvlJc w:val="left"/>
      <w:pPr>
        <w:ind w:left="2360" w:hanging="365"/>
      </w:pPr>
      <w:rPr>
        <w:rFonts w:hint="default"/>
        <w:lang w:val="en-US" w:eastAsia="en-US" w:bidi="ar-SA"/>
      </w:rPr>
    </w:lvl>
    <w:lvl w:ilvl="2">
      <w:start w:val="0"/>
      <w:numFmt w:val="bullet"/>
      <w:lvlText w:val="•"/>
      <w:lvlJc w:val="left"/>
      <w:pPr>
        <w:ind w:left="3341" w:hanging="365"/>
      </w:pPr>
      <w:rPr>
        <w:rFonts w:hint="default"/>
        <w:lang w:val="en-US" w:eastAsia="en-US" w:bidi="ar-SA"/>
      </w:rPr>
    </w:lvl>
    <w:lvl w:ilvl="3">
      <w:start w:val="0"/>
      <w:numFmt w:val="bullet"/>
      <w:lvlText w:val="•"/>
      <w:lvlJc w:val="left"/>
      <w:pPr>
        <w:ind w:left="4321" w:hanging="365"/>
      </w:pPr>
      <w:rPr>
        <w:rFonts w:hint="default"/>
        <w:lang w:val="en-US" w:eastAsia="en-US" w:bidi="ar-SA"/>
      </w:rPr>
    </w:lvl>
    <w:lvl w:ilvl="4">
      <w:start w:val="0"/>
      <w:numFmt w:val="bullet"/>
      <w:lvlText w:val="•"/>
      <w:lvlJc w:val="left"/>
      <w:pPr>
        <w:ind w:left="5302" w:hanging="365"/>
      </w:pPr>
      <w:rPr>
        <w:rFonts w:hint="default"/>
        <w:lang w:val="en-US" w:eastAsia="en-US" w:bidi="ar-SA"/>
      </w:rPr>
    </w:lvl>
    <w:lvl w:ilvl="5">
      <w:start w:val="0"/>
      <w:numFmt w:val="bullet"/>
      <w:lvlText w:val="•"/>
      <w:lvlJc w:val="left"/>
      <w:pPr>
        <w:ind w:left="6283" w:hanging="365"/>
      </w:pPr>
      <w:rPr>
        <w:rFonts w:hint="default"/>
        <w:lang w:val="en-US" w:eastAsia="en-US" w:bidi="ar-SA"/>
      </w:rPr>
    </w:lvl>
    <w:lvl w:ilvl="6">
      <w:start w:val="0"/>
      <w:numFmt w:val="bullet"/>
      <w:lvlText w:val="•"/>
      <w:lvlJc w:val="left"/>
      <w:pPr>
        <w:ind w:left="7263" w:hanging="365"/>
      </w:pPr>
      <w:rPr>
        <w:rFonts w:hint="default"/>
        <w:lang w:val="en-US" w:eastAsia="en-US" w:bidi="ar-SA"/>
      </w:rPr>
    </w:lvl>
    <w:lvl w:ilvl="7">
      <w:start w:val="0"/>
      <w:numFmt w:val="bullet"/>
      <w:lvlText w:val="•"/>
      <w:lvlJc w:val="left"/>
      <w:pPr>
        <w:ind w:left="8244" w:hanging="365"/>
      </w:pPr>
      <w:rPr>
        <w:rFonts w:hint="default"/>
        <w:lang w:val="en-US" w:eastAsia="en-US" w:bidi="ar-SA"/>
      </w:rPr>
    </w:lvl>
    <w:lvl w:ilvl="8">
      <w:start w:val="0"/>
      <w:numFmt w:val="bullet"/>
      <w:lvlText w:val="•"/>
      <w:lvlJc w:val="left"/>
      <w:pPr>
        <w:ind w:left="9225" w:hanging="365"/>
      </w:pPr>
      <w:rPr>
        <w:rFonts w:hint="default"/>
        <w:lang w:val="en-US" w:eastAsia="en-US" w:bidi="ar-SA"/>
      </w:rPr>
    </w:lvl>
  </w:abstractNum>
  <w:abstractNum w:abstractNumId="325">
    <w:multiLevelType w:val="hybridMultilevel"/>
    <w:lvl w:ilvl="0">
      <w:start w:val="1"/>
      <w:numFmt w:val="lowerLetter"/>
      <w:lvlText w:val="%1)"/>
      <w:lvlJc w:val="left"/>
      <w:pPr>
        <w:ind w:left="1397" w:hanging="274"/>
        <w:jc w:val="right"/>
      </w:pPr>
      <w:rPr>
        <w:rFonts w:hint="default"/>
        <w:spacing w:val="-1"/>
        <w:w w:val="100"/>
        <w:lang w:val="en-US" w:eastAsia="en-US" w:bidi="ar-SA"/>
      </w:rPr>
    </w:lvl>
    <w:lvl w:ilvl="1">
      <w:start w:val="0"/>
      <w:numFmt w:val="bullet"/>
      <w:lvlText w:val="•"/>
      <w:lvlJc w:val="left"/>
      <w:pPr>
        <w:ind w:left="2378" w:hanging="274"/>
      </w:pPr>
      <w:rPr>
        <w:rFonts w:hint="default"/>
        <w:lang w:val="en-US" w:eastAsia="en-US" w:bidi="ar-SA"/>
      </w:rPr>
    </w:lvl>
    <w:lvl w:ilvl="2">
      <w:start w:val="0"/>
      <w:numFmt w:val="bullet"/>
      <w:lvlText w:val="•"/>
      <w:lvlJc w:val="left"/>
      <w:pPr>
        <w:ind w:left="3357" w:hanging="274"/>
      </w:pPr>
      <w:rPr>
        <w:rFonts w:hint="default"/>
        <w:lang w:val="en-US" w:eastAsia="en-US" w:bidi="ar-SA"/>
      </w:rPr>
    </w:lvl>
    <w:lvl w:ilvl="3">
      <w:start w:val="0"/>
      <w:numFmt w:val="bullet"/>
      <w:lvlText w:val="•"/>
      <w:lvlJc w:val="left"/>
      <w:pPr>
        <w:ind w:left="4335" w:hanging="274"/>
      </w:pPr>
      <w:rPr>
        <w:rFonts w:hint="default"/>
        <w:lang w:val="en-US" w:eastAsia="en-US" w:bidi="ar-SA"/>
      </w:rPr>
    </w:lvl>
    <w:lvl w:ilvl="4">
      <w:start w:val="0"/>
      <w:numFmt w:val="bullet"/>
      <w:lvlText w:val="•"/>
      <w:lvlJc w:val="left"/>
      <w:pPr>
        <w:ind w:left="5314" w:hanging="274"/>
      </w:pPr>
      <w:rPr>
        <w:rFonts w:hint="default"/>
        <w:lang w:val="en-US" w:eastAsia="en-US" w:bidi="ar-SA"/>
      </w:rPr>
    </w:lvl>
    <w:lvl w:ilvl="5">
      <w:start w:val="0"/>
      <w:numFmt w:val="bullet"/>
      <w:lvlText w:val="•"/>
      <w:lvlJc w:val="left"/>
      <w:pPr>
        <w:ind w:left="6293" w:hanging="274"/>
      </w:pPr>
      <w:rPr>
        <w:rFonts w:hint="default"/>
        <w:lang w:val="en-US" w:eastAsia="en-US" w:bidi="ar-SA"/>
      </w:rPr>
    </w:lvl>
    <w:lvl w:ilvl="6">
      <w:start w:val="0"/>
      <w:numFmt w:val="bullet"/>
      <w:lvlText w:val="•"/>
      <w:lvlJc w:val="left"/>
      <w:pPr>
        <w:ind w:left="7271" w:hanging="274"/>
      </w:pPr>
      <w:rPr>
        <w:rFonts w:hint="default"/>
        <w:lang w:val="en-US" w:eastAsia="en-US" w:bidi="ar-SA"/>
      </w:rPr>
    </w:lvl>
    <w:lvl w:ilvl="7">
      <w:start w:val="0"/>
      <w:numFmt w:val="bullet"/>
      <w:lvlText w:val="•"/>
      <w:lvlJc w:val="left"/>
      <w:pPr>
        <w:ind w:left="8250" w:hanging="274"/>
      </w:pPr>
      <w:rPr>
        <w:rFonts w:hint="default"/>
        <w:lang w:val="en-US" w:eastAsia="en-US" w:bidi="ar-SA"/>
      </w:rPr>
    </w:lvl>
    <w:lvl w:ilvl="8">
      <w:start w:val="0"/>
      <w:numFmt w:val="bullet"/>
      <w:lvlText w:val="•"/>
      <w:lvlJc w:val="left"/>
      <w:pPr>
        <w:ind w:left="9229" w:hanging="274"/>
      </w:pPr>
      <w:rPr>
        <w:rFonts w:hint="default"/>
        <w:lang w:val="en-US" w:eastAsia="en-US" w:bidi="ar-SA"/>
      </w:rPr>
    </w:lvl>
  </w:abstractNum>
  <w:abstractNum w:abstractNumId="179">
    <w:multiLevelType w:val="hybridMultilevel"/>
    <w:lvl w:ilvl="0">
      <w:start w:val="1"/>
      <w:numFmt w:val="lowerLetter"/>
      <w:lvlText w:val="(%1)"/>
      <w:lvlJc w:val="left"/>
      <w:pPr>
        <w:ind w:left="2062" w:hanging="377"/>
        <w:jc w:val="left"/>
      </w:pPr>
      <w:rPr>
        <w:rFonts w:hint="default" w:ascii="Bookman Old Style" w:hAnsi="Bookman Old Style" w:eastAsia="Bookman Old Style" w:cs="Bookman Old Style"/>
        <w:b w:val="0"/>
        <w:bCs w:val="0"/>
        <w:i w:val="0"/>
        <w:iCs w:val="0"/>
        <w:spacing w:val="0"/>
        <w:w w:val="96"/>
        <w:sz w:val="24"/>
        <w:szCs w:val="24"/>
        <w:lang w:val="en-US" w:eastAsia="en-US" w:bidi="ar-SA"/>
      </w:rPr>
    </w:lvl>
    <w:lvl w:ilvl="1">
      <w:start w:val="0"/>
      <w:numFmt w:val="bullet"/>
      <w:lvlText w:val="•"/>
      <w:lvlJc w:val="left"/>
      <w:pPr>
        <w:ind w:left="2972" w:hanging="377"/>
      </w:pPr>
      <w:rPr>
        <w:rFonts w:hint="default"/>
        <w:lang w:val="en-US" w:eastAsia="en-US" w:bidi="ar-SA"/>
      </w:rPr>
    </w:lvl>
    <w:lvl w:ilvl="2">
      <w:start w:val="0"/>
      <w:numFmt w:val="bullet"/>
      <w:lvlText w:val="•"/>
      <w:lvlJc w:val="left"/>
      <w:pPr>
        <w:ind w:left="3885" w:hanging="377"/>
      </w:pPr>
      <w:rPr>
        <w:rFonts w:hint="default"/>
        <w:lang w:val="en-US" w:eastAsia="en-US" w:bidi="ar-SA"/>
      </w:rPr>
    </w:lvl>
    <w:lvl w:ilvl="3">
      <w:start w:val="0"/>
      <w:numFmt w:val="bullet"/>
      <w:lvlText w:val="•"/>
      <w:lvlJc w:val="left"/>
      <w:pPr>
        <w:ind w:left="4797" w:hanging="377"/>
      </w:pPr>
      <w:rPr>
        <w:rFonts w:hint="default"/>
        <w:lang w:val="en-US" w:eastAsia="en-US" w:bidi="ar-SA"/>
      </w:rPr>
    </w:lvl>
    <w:lvl w:ilvl="4">
      <w:start w:val="0"/>
      <w:numFmt w:val="bullet"/>
      <w:lvlText w:val="•"/>
      <w:lvlJc w:val="left"/>
      <w:pPr>
        <w:ind w:left="5710" w:hanging="377"/>
      </w:pPr>
      <w:rPr>
        <w:rFonts w:hint="default"/>
        <w:lang w:val="en-US" w:eastAsia="en-US" w:bidi="ar-SA"/>
      </w:rPr>
    </w:lvl>
    <w:lvl w:ilvl="5">
      <w:start w:val="0"/>
      <w:numFmt w:val="bullet"/>
      <w:lvlText w:val="•"/>
      <w:lvlJc w:val="left"/>
      <w:pPr>
        <w:ind w:left="6623" w:hanging="377"/>
      </w:pPr>
      <w:rPr>
        <w:rFonts w:hint="default"/>
        <w:lang w:val="en-US" w:eastAsia="en-US" w:bidi="ar-SA"/>
      </w:rPr>
    </w:lvl>
    <w:lvl w:ilvl="6">
      <w:start w:val="0"/>
      <w:numFmt w:val="bullet"/>
      <w:lvlText w:val="•"/>
      <w:lvlJc w:val="left"/>
      <w:pPr>
        <w:ind w:left="7535" w:hanging="377"/>
      </w:pPr>
      <w:rPr>
        <w:rFonts w:hint="default"/>
        <w:lang w:val="en-US" w:eastAsia="en-US" w:bidi="ar-SA"/>
      </w:rPr>
    </w:lvl>
    <w:lvl w:ilvl="7">
      <w:start w:val="0"/>
      <w:numFmt w:val="bullet"/>
      <w:lvlText w:val="•"/>
      <w:lvlJc w:val="left"/>
      <w:pPr>
        <w:ind w:left="8448" w:hanging="377"/>
      </w:pPr>
      <w:rPr>
        <w:rFonts w:hint="default"/>
        <w:lang w:val="en-US" w:eastAsia="en-US" w:bidi="ar-SA"/>
      </w:rPr>
    </w:lvl>
    <w:lvl w:ilvl="8">
      <w:start w:val="0"/>
      <w:numFmt w:val="bullet"/>
      <w:lvlText w:val="•"/>
      <w:lvlJc w:val="left"/>
      <w:pPr>
        <w:ind w:left="9361" w:hanging="377"/>
      </w:pPr>
      <w:rPr>
        <w:rFonts w:hint="default"/>
        <w:lang w:val="en-US" w:eastAsia="en-US" w:bidi="ar-SA"/>
      </w:rPr>
    </w:lvl>
  </w:abstractNum>
  <w:abstractNum w:abstractNumId="145">
    <w:multiLevelType w:val="hybridMultilevel"/>
    <w:lvl w:ilvl="0">
      <w:start w:val="1"/>
      <w:numFmt w:val="lowerLetter"/>
      <w:lvlText w:val="%1)"/>
      <w:lvlJc w:val="left"/>
      <w:pPr>
        <w:ind w:left="2410" w:hanging="231"/>
        <w:jc w:val="left"/>
      </w:pPr>
      <w:rPr>
        <w:rFonts w:hint="default" w:ascii="Bookman Old Style" w:hAnsi="Bookman Old Style" w:eastAsia="Bookman Old Style" w:cs="Bookman Old Style"/>
        <w:b w:val="0"/>
        <w:bCs w:val="0"/>
        <w:i w:val="0"/>
        <w:iCs w:val="0"/>
        <w:spacing w:val="9"/>
        <w:w w:val="98"/>
        <w:sz w:val="22"/>
        <w:szCs w:val="22"/>
        <w:lang w:val="en-US" w:eastAsia="en-US" w:bidi="ar-SA"/>
      </w:rPr>
    </w:lvl>
    <w:lvl w:ilvl="1">
      <w:start w:val="0"/>
      <w:numFmt w:val="bullet"/>
      <w:lvlText w:val="•"/>
      <w:lvlJc w:val="left"/>
      <w:pPr>
        <w:ind w:left="3296" w:hanging="231"/>
      </w:pPr>
      <w:rPr>
        <w:rFonts w:hint="default"/>
        <w:lang w:val="en-US" w:eastAsia="en-US" w:bidi="ar-SA"/>
      </w:rPr>
    </w:lvl>
    <w:lvl w:ilvl="2">
      <w:start w:val="0"/>
      <w:numFmt w:val="bullet"/>
      <w:lvlText w:val="•"/>
      <w:lvlJc w:val="left"/>
      <w:pPr>
        <w:ind w:left="4173" w:hanging="231"/>
      </w:pPr>
      <w:rPr>
        <w:rFonts w:hint="default"/>
        <w:lang w:val="en-US" w:eastAsia="en-US" w:bidi="ar-SA"/>
      </w:rPr>
    </w:lvl>
    <w:lvl w:ilvl="3">
      <w:start w:val="0"/>
      <w:numFmt w:val="bullet"/>
      <w:lvlText w:val="•"/>
      <w:lvlJc w:val="left"/>
      <w:pPr>
        <w:ind w:left="5049" w:hanging="231"/>
      </w:pPr>
      <w:rPr>
        <w:rFonts w:hint="default"/>
        <w:lang w:val="en-US" w:eastAsia="en-US" w:bidi="ar-SA"/>
      </w:rPr>
    </w:lvl>
    <w:lvl w:ilvl="4">
      <w:start w:val="0"/>
      <w:numFmt w:val="bullet"/>
      <w:lvlText w:val="•"/>
      <w:lvlJc w:val="left"/>
      <w:pPr>
        <w:ind w:left="5926" w:hanging="231"/>
      </w:pPr>
      <w:rPr>
        <w:rFonts w:hint="default"/>
        <w:lang w:val="en-US" w:eastAsia="en-US" w:bidi="ar-SA"/>
      </w:rPr>
    </w:lvl>
    <w:lvl w:ilvl="5">
      <w:start w:val="0"/>
      <w:numFmt w:val="bullet"/>
      <w:lvlText w:val="•"/>
      <w:lvlJc w:val="left"/>
      <w:pPr>
        <w:ind w:left="6803" w:hanging="231"/>
      </w:pPr>
      <w:rPr>
        <w:rFonts w:hint="default"/>
        <w:lang w:val="en-US" w:eastAsia="en-US" w:bidi="ar-SA"/>
      </w:rPr>
    </w:lvl>
    <w:lvl w:ilvl="6">
      <w:start w:val="0"/>
      <w:numFmt w:val="bullet"/>
      <w:lvlText w:val="•"/>
      <w:lvlJc w:val="left"/>
      <w:pPr>
        <w:ind w:left="7679" w:hanging="231"/>
      </w:pPr>
      <w:rPr>
        <w:rFonts w:hint="default"/>
        <w:lang w:val="en-US" w:eastAsia="en-US" w:bidi="ar-SA"/>
      </w:rPr>
    </w:lvl>
    <w:lvl w:ilvl="7">
      <w:start w:val="0"/>
      <w:numFmt w:val="bullet"/>
      <w:lvlText w:val="•"/>
      <w:lvlJc w:val="left"/>
      <w:pPr>
        <w:ind w:left="8556" w:hanging="231"/>
      </w:pPr>
      <w:rPr>
        <w:rFonts w:hint="default"/>
        <w:lang w:val="en-US" w:eastAsia="en-US" w:bidi="ar-SA"/>
      </w:rPr>
    </w:lvl>
    <w:lvl w:ilvl="8">
      <w:start w:val="0"/>
      <w:numFmt w:val="bullet"/>
      <w:lvlText w:val="•"/>
      <w:lvlJc w:val="left"/>
      <w:pPr>
        <w:ind w:left="9433" w:hanging="231"/>
      </w:pPr>
      <w:rPr>
        <w:rFonts w:hint="default"/>
        <w:lang w:val="en-US" w:eastAsia="en-US" w:bidi="ar-SA"/>
      </w:rPr>
    </w:lvl>
  </w:abstractNum>
  <w:abstractNum w:abstractNumId="133">
    <w:multiLevelType w:val="hybridMultilevel"/>
    <w:lvl w:ilvl="0">
      <w:start w:val="1"/>
      <w:numFmt w:val="lowerRoman"/>
      <w:lvlText w:val="%1."/>
      <w:lvlJc w:val="left"/>
      <w:pPr>
        <w:ind w:left="2474" w:hanging="150"/>
        <w:jc w:val="right"/>
      </w:pPr>
      <w:rPr>
        <w:rFonts w:hint="default" w:ascii="Bookman Old Style" w:hAnsi="Bookman Old Style" w:eastAsia="Bookman Old Style" w:cs="Bookman Old Style"/>
        <w:b w:val="0"/>
        <w:bCs w:val="0"/>
        <w:i w:val="0"/>
        <w:iCs w:val="0"/>
        <w:spacing w:val="0"/>
        <w:w w:val="94"/>
        <w:sz w:val="22"/>
        <w:szCs w:val="22"/>
        <w:lang w:val="en-US" w:eastAsia="en-US" w:bidi="ar-SA"/>
      </w:rPr>
    </w:lvl>
    <w:lvl w:ilvl="1">
      <w:start w:val="0"/>
      <w:numFmt w:val="bullet"/>
      <w:lvlText w:val="•"/>
      <w:lvlJc w:val="left"/>
      <w:pPr>
        <w:ind w:left="3350" w:hanging="150"/>
      </w:pPr>
      <w:rPr>
        <w:rFonts w:hint="default"/>
        <w:lang w:val="en-US" w:eastAsia="en-US" w:bidi="ar-SA"/>
      </w:rPr>
    </w:lvl>
    <w:lvl w:ilvl="2">
      <w:start w:val="0"/>
      <w:numFmt w:val="bullet"/>
      <w:lvlText w:val="•"/>
      <w:lvlJc w:val="left"/>
      <w:pPr>
        <w:ind w:left="4221" w:hanging="150"/>
      </w:pPr>
      <w:rPr>
        <w:rFonts w:hint="default"/>
        <w:lang w:val="en-US" w:eastAsia="en-US" w:bidi="ar-SA"/>
      </w:rPr>
    </w:lvl>
    <w:lvl w:ilvl="3">
      <w:start w:val="0"/>
      <w:numFmt w:val="bullet"/>
      <w:lvlText w:val="•"/>
      <w:lvlJc w:val="left"/>
      <w:pPr>
        <w:ind w:left="5091" w:hanging="150"/>
      </w:pPr>
      <w:rPr>
        <w:rFonts w:hint="default"/>
        <w:lang w:val="en-US" w:eastAsia="en-US" w:bidi="ar-SA"/>
      </w:rPr>
    </w:lvl>
    <w:lvl w:ilvl="4">
      <w:start w:val="0"/>
      <w:numFmt w:val="bullet"/>
      <w:lvlText w:val="•"/>
      <w:lvlJc w:val="left"/>
      <w:pPr>
        <w:ind w:left="5962" w:hanging="150"/>
      </w:pPr>
      <w:rPr>
        <w:rFonts w:hint="default"/>
        <w:lang w:val="en-US" w:eastAsia="en-US" w:bidi="ar-SA"/>
      </w:rPr>
    </w:lvl>
    <w:lvl w:ilvl="5">
      <w:start w:val="0"/>
      <w:numFmt w:val="bullet"/>
      <w:lvlText w:val="•"/>
      <w:lvlJc w:val="left"/>
      <w:pPr>
        <w:ind w:left="6833" w:hanging="150"/>
      </w:pPr>
      <w:rPr>
        <w:rFonts w:hint="default"/>
        <w:lang w:val="en-US" w:eastAsia="en-US" w:bidi="ar-SA"/>
      </w:rPr>
    </w:lvl>
    <w:lvl w:ilvl="6">
      <w:start w:val="0"/>
      <w:numFmt w:val="bullet"/>
      <w:lvlText w:val="•"/>
      <w:lvlJc w:val="left"/>
      <w:pPr>
        <w:ind w:left="7703" w:hanging="150"/>
      </w:pPr>
      <w:rPr>
        <w:rFonts w:hint="default"/>
        <w:lang w:val="en-US" w:eastAsia="en-US" w:bidi="ar-SA"/>
      </w:rPr>
    </w:lvl>
    <w:lvl w:ilvl="7">
      <w:start w:val="0"/>
      <w:numFmt w:val="bullet"/>
      <w:lvlText w:val="•"/>
      <w:lvlJc w:val="left"/>
      <w:pPr>
        <w:ind w:left="8574" w:hanging="150"/>
      </w:pPr>
      <w:rPr>
        <w:rFonts w:hint="default"/>
        <w:lang w:val="en-US" w:eastAsia="en-US" w:bidi="ar-SA"/>
      </w:rPr>
    </w:lvl>
    <w:lvl w:ilvl="8">
      <w:start w:val="0"/>
      <w:numFmt w:val="bullet"/>
      <w:lvlText w:val="•"/>
      <w:lvlJc w:val="left"/>
      <w:pPr>
        <w:ind w:left="9445" w:hanging="150"/>
      </w:pPr>
      <w:rPr>
        <w:rFonts w:hint="default"/>
        <w:lang w:val="en-US" w:eastAsia="en-US" w:bidi="ar-SA"/>
      </w:rPr>
    </w:lvl>
  </w:abstractNum>
  <w:abstractNum w:abstractNumId="90">
    <w:multiLevelType w:val="hybridMultilevel"/>
    <w:lvl w:ilvl="0">
      <w:start w:val="1"/>
      <w:numFmt w:val="decimal"/>
      <w:lvlText w:val="%1."/>
      <w:lvlJc w:val="left"/>
      <w:pPr>
        <w:ind w:left="1800" w:hanging="36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1788" w:hanging="24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842" w:hanging="248"/>
      </w:pPr>
      <w:rPr>
        <w:rFonts w:hint="default"/>
        <w:lang w:val="en-US" w:eastAsia="en-US" w:bidi="ar-SA"/>
      </w:rPr>
    </w:lvl>
    <w:lvl w:ilvl="3">
      <w:start w:val="0"/>
      <w:numFmt w:val="bullet"/>
      <w:lvlText w:val="•"/>
      <w:lvlJc w:val="left"/>
      <w:pPr>
        <w:ind w:left="3885" w:hanging="248"/>
      </w:pPr>
      <w:rPr>
        <w:rFonts w:hint="default"/>
        <w:lang w:val="en-US" w:eastAsia="en-US" w:bidi="ar-SA"/>
      </w:rPr>
    </w:lvl>
    <w:lvl w:ilvl="4">
      <w:start w:val="0"/>
      <w:numFmt w:val="bullet"/>
      <w:lvlText w:val="•"/>
      <w:lvlJc w:val="left"/>
      <w:pPr>
        <w:ind w:left="4928" w:hanging="248"/>
      </w:pPr>
      <w:rPr>
        <w:rFonts w:hint="default"/>
        <w:lang w:val="en-US" w:eastAsia="en-US" w:bidi="ar-SA"/>
      </w:rPr>
    </w:lvl>
    <w:lvl w:ilvl="5">
      <w:start w:val="0"/>
      <w:numFmt w:val="bullet"/>
      <w:lvlText w:val="•"/>
      <w:lvlJc w:val="left"/>
      <w:pPr>
        <w:ind w:left="5971" w:hanging="248"/>
      </w:pPr>
      <w:rPr>
        <w:rFonts w:hint="default"/>
        <w:lang w:val="en-US" w:eastAsia="en-US" w:bidi="ar-SA"/>
      </w:rPr>
    </w:lvl>
    <w:lvl w:ilvl="6">
      <w:start w:val="0"/>
      <w:numFmt w:val="bullet"/>
      <w:lvlText w:val="•"/>
      <w:lvlJc w:val="left"/>
      <w:pPr>
        <w:ind w:left="7014" w:hanging="248"/>
      </w:pPr>
      <w:rPr>
        <w:rFonts w:hint="default"/>
        <w:lang w:val="en-US" w:eastAsia="en-US" w:bidi="ar-SA"/>
      </w:rPr>
    </w:lvl>
    <w:lvl w:ilvl="7">
      <w:start w:val="0"/>
      <w:numFmt w:val="bullet"/>
      <w:lvlText w:val="•"/>
      <w:lvlJc w:val="left"/>
      <w:pPr>
        <w:ind w:left="8057" w:hanging="248"/>
      </w:pPr>
      <w:rPr>
        <w:rFonts w:hint="default"/>
        <w:lang w:val="en-US" w:eastAsia="en-US" w:bidi="ar-SA"/>
      </w:rPr>
    </w:lvl>
    <w:lvl w:ilvl="8">
      <w:start w:val="0"/>
      <w:numFmt w:val="bullet"/>
      <w:lvlText w:val="•"/>
      <w:lvlJc w:val="left"/>
      <w:pPr>
        <w:ind w:left="9100" w:hanging="248"/>
      </w:pPr>
      <w:rPr>
        <w:rFonts w:hint="default"/>
        <w:lang w:val="en-US" w:eastAsia="en-US" w:bidi="ar-SA"/>
      </w:rPr>
    </w:lvl>
  </w:abstractNum>
  <w:abstractNum w:abstractNumId="84">
    <w:multiLevelType w:val="hybridMultilevel"/>
    <w:lvl w:ilvl="0">
      <w:start w:val="1"/>
      <w:numFmt w:val="lowerLetter"/>
      <w:lvlText w:val="%1)"/>
      <w:lvlJc w:val="left"/>
      <w:pPr>
        <w:ind w:left="358" w:hanging="25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53" w:hanging="252"/>
      </w:pPr>
      <w:rPr>
        <w:rFonts w:hint="default"/>
        <w:lang w:val="en-US" w:eastAsia="en-US" w:bidi="ar-SA"/>
      </w:rPr>
    </w:lvl>
    <w:lvl w:ilvl="2">
      <w:start w:val="0"/>
      <w:numFmt w:val="bullet"/>
      <w:lvlText w:val="•"/>
      <w:lvlJc w:val="left"/>
      <w:pPr>
        <w:ind w:left="547" w:hanging="252"/>
      </w:pPr>
      <w:rPr>
        <w:rFonts w:hint="default"/>
        <w:lang w:val="en-US" w:eastAsia="en-US" w:bidi="ar-SA"/>
      </w:rPr>
    </w:lvl>
    <w:lvl w:ilvl="3">
      <w:start w:val="0"/>
      <w:numFmt w:val="bullet"/>
      <w:lvlText w:val="•"/>
      <w:lvlJc w:val="left"/>
      <w:pPr>
        <w:ind w:left="640" w:hanging="252"/>
      </w:pPr>
      <w:rPr>
        <w:rFonts w:hint="default"/>
        <w:lang w:val="en-US" w:eastAsia="en-US" w:bidi="ar-SA"/>
      </w:rPr>
    </w:lvl>
    <w:lvl w:ilvl="4">
      <w:start w:val="0"/>
      <w:numFmt w:val="bullet"/>
      <w:lvlText w:val="•"/>
      <w:lvlJc w:val="left"/>
      <w:pPr>
        <w:ind w:left="734" w:hanging="252"/>
      </w:pPr>
      <w:rPr>
        <w:rFonts w:hint="default"/>
        <w:lang w:val="en-US" w:eastAsia="en-US" w:bidi="ar-SA"/>
      </w:rPr>
    </w:lvl>
    <w:lvl w:ilvl="5">
      <w:start w:val="0"/>
      <w:numFmt w:val="bullet"/>
      <w:lvlText w:val="•"/>
      <w:lvlJc w:val="left"/>
      <w:pPr>
        <w:ind w:left="828" w:hanging="252"/>
      </w:pPr>
      <w:rPr>
        <w:rFonts w:hint="default"/>
        <w:lang w:val="en-US" w:eastAsia="en-US" w:bidi="ar-SA"/>
      </w:rPr>
    </w:lvl>
    <w:lvl w:ilvl="6">
      <w:start w:val="0"/>
      <w:numFmt w:val="bullet"/>
      <w:lvlText w:val="•"/>
      <w:lvlJc w:val="left"/>
      <w:pPr>
        <w:ind w:left="921" w:hanging="252"/>
      </w:pPr>
      <w:rPr>
        <w:rFonts w:hint="default"/>
        <w:lang w:val="en-US" w:eastAsia="en-US" w:bidi="ar-SA"/>
      </w:rPr>
    </w:lvl>
    <w:lvl w:ilvl="7">
      <w:start w:val="0"/>
      <w:numFmt w:val="bullet"/>
      <w:lvlText w:val="•"/>
      <w:lvlJc w:val="left"/>
      <w:pPr>
        <w:ind w:left="1015" w:hanging="252"/>
      </w:pPr>
      <w:rPr>
        <w:rFonts w:hint="default"/>
        <w:lang w:val="en-US" w:eastAsia="en-US" w:bidi="ar-SA"/>
      </w:rPr>
    </w:lvl>
    <w:lvl w:ilvl="8">
      <w:start w:val="0"/>
      <w:numFmt w:val="bullet"/>
      <w:lvlText w:val="•"/>
      <w:lvlJc w:val="left"/>
      <w:pPr>
        <w:ind w:left="1108" w:hanging="252"/>
      </w:pPr>
      <w:rPr>
        <w:rFonts w:hint="default"/>
        <w:lang w:val="en-US" w:eastAsia="en-US" w:bidi="ar-SA"/>
      </w:rPr>
    </w:lvl>
  </w:abstractNum>
  <w:abstractNum w:abstractNumId="83">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82">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81">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80">
    <w:multiLevelType w:val="hybridMultilevel"/>
    <w:lvl w:ilvl="0">
      <w:start w:val="1"/>
      <w:numFmt w:val="lowerLetter"/>
      <w:lvlText w:val="%1)"/>
      <w:lvlJc w:val="left"/>
      <w:pPr>
        <w:ind w:left="379" w:hanging="274"/>
        <w:jc w:val="left"/>
      </w:pPr>
      <w:rPr>
        <w:rFonts w:hint="default" w:ascii="Bookman Old Style" w:hAnsi="Bookman Old Style" w:eastAsia="Bookman Old Style" w:cs="Bookman Old Style"/>
        <w:b w:val="0"/>
        <w:bCs w:val="0"/>
        <w:i w:val="0"/>
        <w:iCs w:val="0"/>
        <w:spacing w:val="-5"/>
        <w:w w:val="100"/>
        <w:sz w:val="24"/>
        <w:szCs w:val="24"/>
        <w:lang w:val="en-US" w:eastAsia="en-US" w:bidi="ar-SA"/>
      </w:rPr>
    </w:lvl>
    <w:lvl w:ilvl="1">
      <w:start w:val="0"/>
      <w:numFmt w:val="bullet"/>
      <w:lvlText w:val="•"/>
      <w:lvlJc w:val="left"/>
      <w:pPr>
        <w:ind w:left="471" w:hanging="274"/>
      </w:pPr>
      <w:rPr>
        <w:rFonts w:hint="default"/>
        <w:lang w:val="en-US" w:eastAsia="en-US" w:bidi="ar-SA"/>
      </w:rPr>
    </w:lvl>
    <w:lvl w:ilvl="2">
      <w:start w:val="0"/>
      <w:numFmt w:val="bullet"/>
      <w:lvlText w:val="•"/>
      <w:lvlJc w:val="left"/>
      <w:pPr>
        <w:ind w:left="563" w:hanging="274"/>
      </w:pPr>
      <w:rPr>
        <w:rFonts w:hint="default"/>
        <w:lang w:val="en-US" w:eastAsia="en-US" w:bidi="ar-SA"/>
      </w:rPr>
    </w:lvl>
    <w:lvl w:ilvl="3">
      <w:start w:val="0"/>
      <w:numFmt w:val="bullet"/>
      <w:lvlText w:val="•"/>
      <w:lvlJc w:val="left"/>
      <w:pPr>
        <w:ind w:left="654" w:hanging="274"/>
      </w:pPr>
      <w:rPr>
        <w:rFonts w:hint="default"/>
        <w:lang w:val="en-US" w:eastAsia="en-US" w:bidi="ar-SA"/>
      </w:rPr>
    </w:lvl>
    <w:lvl w:ilvl="4">
      <w:start w:val="0"/>
      <w:numFmt w:val="bullet"/>
      <w:lvlText w:val="•"/>
      <w:lvlJc w:val="left"/>
      <w:pPr>
        <w:ind w:left="746" w:hanging="274"/>
      </w:pPr>
      <w:rPr>
        <w:rFonts w:hint="default"/>
        <w:lang w:val="en-US" w:eastAsia="en-US" w:bidi="ar-SA"/>
      </w:rPr>
    </w:lvl>
    <w:lvl w:ilvl="5">
      <w:start w:val="0"/>
      <w:numFmt w:val="bullet"/>
      <w:lvlText w:val="•"/>
      <w:lvlJc w:val="left"/>
      <w:pPr>
        <w:ind w:left="838" w:hanging="274"/>
      </w:pPr>
      <w:rPr>
        <w:rFonts w:hint="default"/>
        <w:lang w:val="en-US" w:eastAsia="en-US" w:bidi="ar-SA"/>
      </w:rPr>
    </w:lvl>
    <w:lvl w:ilvl="6">
      <w:start w:val="0"/>
      <w:numFmt w:val="bullet"/>
      <w:lvlText w:val="•"/>
      <w:lvlJc w:val="left"/>
      <w:pPr>
        <w:ind w:left="929" w:hanging="274"/>
      </w:pPr>
      <w:rPr>
        <w:rFonts w:hint="default"/>
        <w:lang w:val="en-US" w:eastAsia="en-US" w:bidi="ar-SA"/>
      </w:rPr>
    </w:lvl>
    <w:lvl w:ilvl="7">
      <w:start w:val="0"/>
      <w:numFmt w:val="bullet"/>
      <w:lvlText w:val="•"/>
      <w:lvlJc w:val="left"/>
      <w:pPr>
        <w:ind w:left="1021" w:hanging="274"/>
      </w:pPr>
      <w:rPr>
        <w:rFonts w:hint="default"/>
        <w:lang w:val="en-US" w:eastAsia="en-US" w:bidi="ar-SA"/>
      </w:rPr>
    </w:lvl>
    <w:lvl w:ilvl="8">
      <w:start w:val="0"/>
      <w:numFmt w:val="bullet"/>
      <w:lvlText w:val="•"/>
      <w:lvlJc w:val="left"/>
      <w:pPr>
        <w:ind w:left="1112" w:hanging="274"/>
      </w:pPr>
      <w:rPr>
        <w:rFonts w:hint="default"/>
        <w:lang w:val="en-US" w:eastAsia="en-US" w:bidi="ar-SA"/>
      </w:rPr>
    </w:lvl>
  </w:abstractNum>
  <w:abstractNum w:abstractNumId="79">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78">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77">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76">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75">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74">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73">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72">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70">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69">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68">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67">
    <w:multiLevelType w:val="hybridMultilevel"/>
    <w:lvl w:ilvl="0">
      <w:start w:val="1"/>
      <w:numFmt w:val="lowerLetter"/>
      <w:lvlText w:val="%1)"/>
      <w:lvlJc w:val="left"/>
      <w:pPr>
        <w:ind w:left="180"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1" w:hanging="289"/>
      </w:pPr>
      <w:rPr>
        <w:rFonts w:hint="default"/>
        <w:lang w:val="en-US" w:eastAsia="en-US" w:bidi="ar-SA"/>
      </w:rPr>
    </w:lvl>
    <w:lvl w:ilvl="2">
      <w:start w:val="0"/>
      <w:numFmt w:val="bullet"/>
      <w:lvlText w:val="•"/>
      <w:lvlJc w:val="left"/>
      <w:pPr>
        <w:ind w:left="403" w:hanging="289"/>
      </w:pPr>
      <w:rPr>
        <w:rFonts w:hint="default"/>
        <w:lang w:val="en-US" w:eastAsia="en-US" w:bidi="ar-SA"/>
      </w:rPr>
    </w:lvl>
    <w:lvl w:ilvl="3">
      <w:start w:val="0"/>
      <w:numFmt w:val="bullet"/>
      <w:lvlText w:val="•"/>
      <w:lvlJc w:val="left"/>
      <w:pPr>
        <w:ind w:left="514" w:hanging="289"/>
      </w:pPr>
      <w:rPr>
        <w:rFonts w:hint="default"/>
        <w:lang w:val="en-US" w:eastAsia="en-US" w:bidi="ar-SA"/>
      </w:rPr>
    </w:lvl>
    <w:lvl w:ilvl="4">
      <w:start w:val="0"/>
      <w:numFmt w:val="bullet"/>
      <w:lvlText w:val="•"/>
      <w:lvlJc w:val="left"/>
      <w:pPr>
        <w:ind w:left="626" w:hanging="289"/>
      </w:pPr>
      <w:rPr>
        <w:rFonts w:hint="default"/>
        <w:lang w:val="en-US" w:eastAsia="en-US" w:bidi="ar-SA"/>
      </w:rPr>
    </w:lvl>
    <w:lvl w:ilvl="5">
      <w:start w:val="0"/>
      <w:numFmt w:val="bullet"/>
      <w:lvlText w:val="•"/>
      <w:lvlJc w:val="left"/>
      <w:pPr>
        <w:ind w:left="738" w:hanging="289"/>
      </w:pPr>
      <w:rPr>
        <w:rFonts w:hint="default"/>
        <w:lang w:val="en-US" w:eastAsia="en-US" w:bidi="ar-SA"/>
      </w:rPr>
    </w:lvl>
    <w:lvl w:ilvl="6">
      <w:start w:val="0"/>
      <w:numFmt w:val="bullet"/>
      <w:lvlText w:val="•"/>
      <w:lvlJc w:val="left"/>
      <w:pPr>
        <w:ind w:left="849" w:hanging="289"/>
      </w:pPr>
      <w:rPr>
        <w:rFonts w:hint="default"/>
        <w:lang w:val="en-US" w:eastAsia="en-US" w:bidi="ar-SA"/>
      </w:rPr>
    </w:lvl>
    <w:lvl w:ilvl="7">
      <w:start w:val="0"/>
      <w:numFmt w:val="bullet"/>
      <w:lvlText w:val="•"/>
      <w:lvlJc w:val="left"/>
      <w:pPr>
        <w:ind w:left="961" w:hanging="289"/>
      </w:pPr>
      <w:rPr>
        <w:rFonts w:hint="default"/>
        <w:lang w:val="en-US" w:eastAsia="en-US" w:bidi="ar-SA"/>
      </w:rPr>
    </w:lvl>
    <w:lvl w:ilvl="8">
      <w:start w:val="0"/>
      <w:numFmt w:val="bullet"/>
      <w:lvlText w:val="•"/>
      <w:lvlJc w:val="left"/>
      <w:pPr>
        <w:ind w:left="1072" w:hanging="289"/>
      </w:pPr>
      <w:rPr>
        <w:rFonts w:hint="default"/>
        <w:lang w:val="en-US" w:eastAsia="en-US" w:bidi="ar-SA"/>
      </w:rPr>
    </w:lvl>
  </w:abstractNum>
  <w:abstractNum w:abstractNumId="65">
    <w:multiLevelType w:val="hybridMultilevel"/>
    <w:lvl w:ilvl="0">
      <w:start w:val="1"/>
      <w:numFmt w:val="lowerLetter"/>
      <w:lvlText w:val="%1)"/>
      <w:lvlJc w:val="left"/>
      <w:pPr>
        <w:ind w:left="468"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543" w:hanging="289"/>
      </w:pPr>
      <w:rPr>
        <w:rFonts w:hint="default"/>
        <w:lang w:val="en-US" w:eastAsia="en-US" w:bidi="ar-SA"/>
      </w:rPr>
    </w:lvl>
    <w:lvl w:ilvl="2">
      <w:start w:val="0"/>
      <w:numFmt w:val="bullet"/>
      <w:lvlText w:val="•"/>
      <w:lvlJc w:val="left"/>
      <w:pPr>
        <w:ind w:left="627" w:hanging="289"/>
      </w:pPr>
      <w:rPr>
        <w:rFonts w:hint="default"/>
        <w:lang w:val="en-US" w:eastAsia="en-US" w:bidi="ar-SA"/>
      </w:rPr>
    </w:lvl>
    <w:lvl w:ilvl="3">
      <w:start w:val="0"/>
      <w:numFmt w:val="bullet"/>
      <w:lvlText w:val="•"/>
      <w:lvlJc w:val="left"/>
      <w:pPr>
        <w:ind w:left="710" w:hanging="289"/>
      </w:pPr>
      <w:rPr>
        <w:rFonts w:hint="default"/>
        <w:lang w:val="en-US" w:eastAsia="en-US" w:bidi="ar-SA"/>
      </w:rPr>
    </w:lvl>
    <w:lvl w:ilvl="4">
      <w:start w:val="0"/>
      <w:numFmt w:val="bullet"/>
      <w:lvlText w:val="•"/>
      <w:lvlJc w:val="left"/>
      <w:pPr>
        <w:ind w:left="794" w:hanging="289"/>
      </w:pPr>
      <w:rPr>
        <w:rFonts w:hint="default"/>
        <w:lang w:val="en-US" w:eastAsia="en-US" w:bidi="ar-SA"/>
      </w:rPr>
    </w:lvl>
    <w:lvl w:ilvl="5">
      <w:start w:val="0"/>
      <w:numFmt w:val="bullet"/>
      <w:lvlText w:val="•"/>
      <w:lvlJc w:val="left"/>
      <w:pPr>
        <w:ind w:left="878" w:hanging="289"/>
      </w:pPr>
      <w:rPr>
        <w:rFonts w:hint="default"/>
        <w:lang w:val="en-US" w:eastAsia="en-US" w:bidi="ar-SA"/>
      </w:rPr>
    </w:lvl>
    <w:lvl w:ilvl="6">
      <w:start w:val="0"/>
      <w:numFmt w:val="bullet"/>
      <w:lvlText w:val="•"/>
      <w:lvlJc w:val="left"/>
      <w:pPr>
        <w:ind w:left="961" w:hanging="289"/>
      </w:pPr>
      <w:rPr>
        <w:rFonts w:hint="default"/>
        <w:lang w:val="en-US" w:eastAsia="en-US" w:bidi="ar-SA"/>
      </w:rPr>
    </w:lvl>
    <w:lvl w:ilvl="7">
      <w:start w:val="0"/>
      <w:numFmt w:val="bullet"/>
      <w:lvlText w:val="•"/>
      <w:lvlJc w:val="left"/>
      <w:pPr>
        <w:ind w:left="1045" w:hanging="289"/>
      </w:pPr>
      <w:rPr>
        <w:rFonts w:hint="default"/>
        <w:lang w:val="en-US" w:eastAsia="en-US" w:bidi="ar-SA"/>
      </w:rPr>
    </w:lvl>
    <w:lvl w:ilvl="8">
      <w:start w:val="0"/>
      <w:numFmt w:val="bullet"/>
      <w:lvlText w:val="•"/>
      <w:lvlJc w:val="left"/>
      <w:pPr>
        <w:ind w:left="1128" w:hanging="289"/>
      </w:pPr>
      <w:rPr>
        <w:rFonts w:hint="default"/>
        <w:lang w:val="en-US" w:eastAsia="en-US" w:bidi="ar-SA"/>
      </w:rPr>
    </w:lvl>
  </w:abstractNum>
  <w:abstractNum w:abstractNumId="64">
    <w:multiLevelType w:val="hybridMultilevel"/>
    <w:lvl w:ilvl="0">
      <w:start w:val="1"/>
      <w:numFmt w:val="lowerLetter"/>
      <w:lvlText w:val="%1)"/>
      <w:lvlJc w:val="left"/>
      <w:pPr>
        <w:ind w:left="180"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1" w:hanging="289"/>
      </w:pPr>
      <w:rPr>
        <w:rFonts w:hint="default"/>
        <w:lang w:val="en-US" w:eastAsia="en-US" w:bidi="ar-SA"/>
      </w:rPr>
    </w:lvl>
    <w:lvl w:ilvl="2">
      <w:start w:val="0"/>
      <w:numFmt w:val="bullet"/>
      <w:lvlText w:val="•"/>
      <w:lvlJc w:val="left"/>
      <w:pPr>
        <w:ind w:left="403" w:hanging="289"/>
      </w:pPr>
      <w:rPr>
        <w:rFonts w:hint="default"/>
        <w:lang w:val="en-US" w:eastAsia="en-US" w:bidi="ar-SA"/>
      </w:rPr>
    </w:lvl>
    <w:lvl w:ilvl="3">
      <w:start w:val="0"/>
      <w:numFmt w:val="bullet"/>
      <w:lvlText w:val="•"/>
      <w:lvlJc w:val="left"/>
      <w:pPr>
        <w:ind w:left="514" w:hanging="289"/>
      </w:pPr>
      <w:rPr>
        <w:rFonts w:hint="default"/>
        <w:lang w:val="en-US" w:eastAsia="en-US" w:bidi="ar-SA"/>
      </w:rPr>
    </w:lvl>
    <w:lvl w:ilvl="4">
      <w:start w:val="0"/>
      <w:numFmt w:val="bullet"/>
      <w:lvlText w:val="•"/>
      <w:lvlJc w:val="left"/>
      <w:pPr>
        <w:ind w:left="626" w:hanging="289"/>
      </w:pPr>
      <w:rPr>
        <w:rFonts w:hint="default"/>
        <w:lang w:val="en-US" w:eastAsia="en-US" w:bidi="ar-SA"/>
      </w:rPr>
    </w:lvl>
    <w:lvl w:ilvl="5">
      <w:start w:val="0"/>
      <w:numFmt w:val="bullet"/>
      <w:lvlText w:val="•"/>
      <w:lvlJc w:val="left"/>
      <w:pPr>
        <w:ind w:left="738" w:hanging="289"/>
      </w:pPr>
      <w:rPr>
        <w:rFonts w:hint="default"/>
        <w:lang w:val="en-US" w:eastAsia="en-US" w:bidi="ar-SA"/>
      </w:rPr>
    </w:lvl>
    <w:lvl w:ilvl="6">
      <w:start w:val="0"/>
      <w:numFmt w:val="bullet"/>
      <w:lvlText w:val="•"/>
      <w:lvlJc w:val="left"/>
      <w:pPr>
        <w:ind w:left="849" w:hanging="289"/>
      </w:pPr>
      <w:rPr>
        <w:rFonts w:hint="default"/>
        <w:lang w:val="en-US" w:eastAsia="en-US" w:bidi="ar-SA"/>
      </w:rPr>
    </w:lvl>
    <w:lvl w:ilvl="7">
      <w:start w:val="0"/>
      <w:numFmt w:val="bullet"/>
      <w:lvlText w:val="•"/>
      <w:lvlJc w:val="left"/>
      <w:pPr>
        <w:ind w:left="961" w:hanging="289"/>
      </w:pPr>
      <w:rPr>
        <w:rFonts w:hint="default"/>
        <w:lang w:val="en-US" w:eastAsia="en-US" w:bidi="ar-SA"/>
      </w:rPr>
    </w:lvl>
    <w:lvl w:ilvl="8">
      <w:start w:val="0"/>
      <w:numFmt w:val="bullet"/>
      <w:lvlText w:val="•"/>
      <w:lvlJc w:val="left"/>
      <w:pPr>
        <w:ind w:left="1072" w:hanging="289"/>
      </w:pPr>
      <w:rPr>
        <w:rFonts w:hint="default"/>
        <w:lang w:val="en-US" w:eastAsia="en-US" w:bidi="ar-SA"/>
      </w:rPr>
    </w:lvl>
  </w:abstractNum>
  <w:abstractNum w:abstractNumId="63">
    <w:multiLevelType w:val="hybridMultilevel"/>
    <w:lvl w:ilvl="0">
      <w:start w:val="1"/>
      <w:numFmt w:val="lowerLetter"/>
      <w:lvlText w:val="%1)"/>
      <w:lvlJc w:val="left"/>
      <w:pPr>
        <w:ind w:left="468"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543" w:hanging="289"/>
      </w:pPr>
      <w:rPr>
        <w:rFonts w:hint="default"/>
        <w:lang w:val="en-US" w:eastAsia="en-US" w:bidi="ar-SA"/>
      </w:rPr>
    </w:lvl>
    <w:lvl w:ilvl="2">
      <w:start w:val="0"/>
      <w:numFmt w:val="bullet"/>
      <w:lvlText w:val="•"/>
      <w:lvlJc w:val="left"/>
      <w:pPr>
        <w:ind w:left="627" w:hanging="289"/>
      </w:pPr>
      <w:rPr>
        <w:rFonts w:hint="default"/>
        <w:lang w:val="en-US" w:eastAsia="en-US" w:bidi="ar-SA"/>
      </w:rPr>
    </w:lvl>
    <w:lvl w:ilvl="3">
      <w:start w:val="0"/>
      <w:numFmt w:val="bullet"/>
      <w:lvlText w:val="•"/>
      <w:lvlJc w:val="left"/>
      <w:pPr>
        <w:ind w:left="710" w:hanging="289"/>
      </w:pPr>
      <w:rPr>
        <w:rFonts w:hint="default"/>
        <w:lang w:val="en-US" w:eastAsia="en-US" w:bidi="ar-SA"/>
      </w:rPr>
    </w:lvl>
    <w:lvl w:ilvl="4">
      <w:start w:val="0"/>
      <w:numFmt w:val="bullet"/>
      <w:lvlText w:val="•"/>
      <w:lvlJc w:val="left"/>
      <w:pPr>
        <w:ind w:left="794" w:hanging="289"/>
      </w:pPr>
      <w:rPr>
        <w:rFonts w:hint="default"/>
        <w:lang w:val="en-US" w:eastAsia="en-US" w:bidi="ar-SA"/>
      </w:rPr>
    </w:lvl>
    <w:lvl w:ilvl="5">
      <w:start w:val="0"/>
      <w:numFmt w:val="bullet"/>
      <w:lvlText w:val="•"/>
      <w:lvlJc w:val="left"/>
      <w:pPr>
        <w:ind w:left="878" w:hanging="289"/>
      </w:pPr>
      <w:rPr>
        <w:rFonts w:hint="default"/>
        <w:lang w:val="en-US" w:eastAsia="en-US" w:bidi="ar-SA"/>
      </w:rPr>
    </w:lvl>
    <w:lvl w:ilvl="6">
      <w:start w:val="0"/>
      <w:numFmt w:val="bullet"/>
      <w:lvlText w:val="•"/>
      <w:lvlJc w:val="left"/>
      <w:pPr>
        <w:ind w:left="961" w:hanging="289"/>
      </w:pPr>
      <w:rPr>
        <w:rFonts w:hint="default"/>
        <w:lang w:val="en-US" w:eastAsia="en-US" w:bidi="ar-SA"/>
      </w:rPr>
    </w:lvl>
    <w:lvl w:ilvl="7">
      <w:start w:val="0"/>
      <w:numFmt w:val="bullet"/>
      <w:lvlText w:val="•"/>
      <w:lvlJc w:val="left"/>
      <w:pPr>
        <w:ind w:left="1045" w:hanging="289"/>
      </w:pPr>
      <w:rPr>
        <w:rFonts w:hint="default"/>
        <w:lang w:val="en-US" w:eastAsia="en-US" w:bidi="ar-SA"/>
      </w:rPr>
    </w:lvl>
    <w:lvl w:ilvl="8">
      <w:start w:val="0"/>
      <w:numFmt w:val="bullet"/>
      <w:lvlText w:val="•"/>
      <w:lvlJc w:val="left"/>
      <w:pPr>
        <w:ind w:left="1128" w:hanging="289"/>
      </w:pPr>
      <w:rPr>
        <w:rFonts w:hint="default"/>
        <w:lang w:val="en-US" w:eastAsia="en-US" w:bidi="ar-SA"/>
      </w:rPr>
    </w:lvl>
  </w:abstractNum>
  <w:abstractNum w:abstractNumId="62">
    <w:multiLevelType w:val="hybridMultilevel"/>
    <w:lvl w:ilvl="0">
      <w:start w:val="1"/>
      <w:numFmt w:val="lowerLetter"/>
      <w:lvlText w:val="%1)"/>
      <w:lvlJc w:val="left"/>
      <w:pPr>
        <w:ind w:left="180"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1" w:hanging="289"/>
      </w:pPr>
      <w:rPr>
        <w:rFonts w:hint="default"/>
        <w:lang w:val="en-US" w:eastAsia="en-US" w:bidi="ar-SA"/>
      </w:rPr>
    </w:lvl>
    <w:lvl w:ilvl="2">
      <w:start w:val="0"/>
      <w:numFmt w:val="bullet"/>
      <w:lvlText w:val="•"/>
      <w:lvlJc w:val="left"/>
      <w:pPr>
        <w:ind w:left="403" w:hanging="289"/>
      </w:pPr>
      <w:rPr>
        <w:rFonts w:hint="default"/>
        <w:lang w:val="en-US" w:eastAsia="en-US" w:bidi="ar-SA"/>
      </w:rPr>
    </w:lvl>
    <w:lvl w:ilvl="3">
      <w:start w:val="0"/>
      <w:numFmt w:val="bullet"/>
      <w:lvlText w:val="•"/>
      <w:lvlJc w:val="left"/>
      <w:pPr>
        <w:ind w:left="514" w:hanging="289"/>
      </w:pPr>
      <w:rPr>
        <w:rFonts w:hint="default"/>
        <w:lang w:val="en-US" w:eastAsia="en-US" w:bidi="ar-SA"/>
      </w:rPr>
    </w:lvl>
    <w:lvl w:ilvl="4">
      <w:start w:val="0"/>
      <w:numFmt w:val="bullet"/>
      <w:lvlText w:val="•"/>
      <w:lvlJc w:val="left"/>
      <w:pPr>
        <w:ind w:left="626" w:hanging="289"/>
      </w:pPr>
      <w:rPr>
        <w:rFonts w:hint="default"/>
        <w:lang w:val="en-US" w:eastAsia="en-US" w:bidi="ar-SA"/>
      </w:rPr>
    </w:lvl>
    <w:lvl w:ilvl="5">
      <w:start w:val="0"/>
      <w:numFmt w:val="bullet"/>
      <w:lvlText w:val="•"/>
      <w:lvlJc w:val="left"/>
      <w:pPr>
        <w:ind w:left="738" w:hanging="289"/>
      </w:pPr>
      <w:rPr>
        <w:rFonts w:hint="default"/>
        <w:lang w:val="en-US" w:eastAsia="en-US" w:bidi="ar-SA"/>
      </w:rPr>
    </w:lvl>
    <w:lvl w:ilvl="6">
      <w:start w:val="0"/>
      <w:numFmt w:val="bullet"/>
      <w:lvlText w:val="•"/>
      <w:lvlJc w:val="left"/>
      <w:pPr>
        <w:ind w:left="849" w:hanging="289"/>
      </w:pPr>
      <w:rPr>
        <w:rFonts w:hint="default"/>
        <w:lang w:val="en-US" w:eastAsia="en-US" w:bidi="ar-SA"/>
      </w:rPr>
    </w:lvl>
    <w:lvl w:ilvl="7">
      <w:start w:val="0"/>
      <w:numFmt w:val="bullet"/>
      <w:lvlText w:val="•"/>
      <w:lvlJc w:val="left"/>
      <w:pPr>
        <w:ind w:left="961" w:hanging="289"/>
      </w:pPr>
      <w:rPr>
        <w:rFonts w:hint="default"/>
        <w:lang w:val="en-US" w:eastAsia="en-US" w:bidi="ar-SA"/>
      </w:rPr>
    </w:lvl>
    <w:lvl w:ilvl="8">
      <w:start w:val="0"/>
      <w:numFmt w:val="bullet"/>
      <w:lvlText w:val="•"/>
      <w:lvlJc w:val="left"/>
      <w:pPr>
        <w:ind w:left="1072" w:hanging="289"/>
      </w:pPr>
      <w:rPr>
        <w:rFonts w:hint="default"/>
        <w:lang w:val="en-US" w:eastAsia="en-US" w:bidi="ar-SA"/>
      </w:rPr>
    </w:lvl>
  </w:abstractNum>
  <w:abstractNum w:abstractNumId="61">
    <w:multiLevelType w:val="hybridMultilevel"/>
    <w:lvl w:ilvl="0">
      <w:start w:val="1"/>
      <w:numFmt w:val="lowerLetter"/>
      <w:lvlText w:val="%1)"/>
      <w:lvlJc w:val="left"/>
      <w:pPr>
        <w:ind w:left="180"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1" w:hanging="289"/>
      </w:pPr>
      <w:rPr>
        <w:rFonts w:hint="default"/>
        <w:lang w:val="en-US" w:eastAsia="en-US" w:bidi="ar-SA"/>
      </w:rPr>
    </w:lvl>
    <w:lvl w:ilvl="2">
      <w:start w:val="0"/>
      <w:numFmt w:val="bullet"/>
      <w:lvlText w:val="•"/>
      <w:lvlJc w:val="left"/>
      <w:pPr>
        <w:ind w:left="403" w:hanging="289"/>
      </w:pPr>
      <w:rPr>
        <w:rFonts w:hint="default"/>
        <w:lang w:val="en-US" w:eastAsia="en-US" w:bidi="ar-SA"/>
      </w:rPr>
    </w:lvl>
    <w:lvl w:ilvl="3">
      <w:start w:val="0"/>
      <w:numFmt w:val="bullet"/>
      <w:lvlText w:val="•"/>
      <w:lvlJc w:val="left"/>
      <w:pPr>
        <w:ind w:left="514" w:hanging="289"/>
      </w:pPr>
      <w:rPr>
        <w:rFonts w:hint="default"/>
        <w:lang w:val="en-US" w:eastAsia="en-US" w:bidi="ar-SA"/>
      </w:rPr>
    </w:lvl>
    <w:lvl w:ilvl="4">
      <w:start w:val="0"/>
      <w:numFmt w:val="bullet"/>
      <w:lvlText w:val="•"/>
      <w:lvlJc w:val="left"/>
      <w:pPr>
        <w:ind w:left="626" w:hanging="289"/>
      </w:pPr>
      <w:rPr>
        <w:rFonts w:hint="default"/>
        <w:lang w:val="en-US" w:eastAsia="en-US" w:bidi="ar-SA"/>
      </w:rPr>
    </w:lvl>
    <w:lvl w:ilvl="5">
      <w:start w:val="0"/>
      <w:numFmt w:val="bullet"/>
      <w:lvlText w:val="•"/>
      <w:lvlJc w:val="left"/>
      <w:pPr>
        <w:ind w:left="738" w:hanging="289"/>
      </w:pPr>
      <w:rPr>
        <w:rFonts w:hint="default"/>
        <w:lang w:val="en-US" w:eastAsia="en-US" w:bidi="ar-SA"/>
      </w:rPr>
    </w:lvl>
    <w:lvl w:ilvl="6">
      <w:start w:val="0"/>
      <w:numFmt w:val="bullet"/>
      <w:lvlText w:val="•"/>
      <w:lvlJc w:val="left"/>
      <w:pPr>
        <w:ind w:left="849" w:hanging="289"/>
      </w:pPr>
      <w:rPr>
        <w:rFonts w:hint="default"/>
        <w:lang w:val="en-US" w:eastAsia="en-US" w:bidi="ar-SA"/>
      </w:rPr>
    </w:lvl>
    <w:lvl w:ilvl="7">
      <w:start w:val="0"/>
      <w:numFmt w:val="bullet"/>
      <w:lvlText w:val="•"/>
      <w:lvlJc w:val="left"/>
      <w:pPr>
        <w:ind w:left="961" w:hanging="289"/>
      </w:pPr>
      <w:rPr>
        <w:rFonts w:hint="default"/>
        <w:lang w:val="en-US" w:eastAsia="en-US" w:bidi="ar-SA"/>
      </w:rPr>
    </w:lvl>
    <w:lvl w:ilvl="8">
      <w:start w:val="0"/>
      <w:numFmt w:val="bullet"/>
      <w:lvlText w:val="•"/>
      <w:lvlJc w:val="left"/>
      <w:pPr>
        <w:ind w:left="1072" w:hanging="289"/>
      </w:pPr>
      <w:rPr>
        <w:rFonts w:hint="default"/>
        <w:lang w:val="en-US" w:eastAsia="en-US" w:bidi="ar-SA"/>
      </w:rPr>
    </w:lvl>
  </w:abstractNum>
  <w:abstractNum w:abstractNumId="60">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59">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58">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57">
    <w:multiLevelType w:val="hybridMultilevel"/>
    <w:lvl w:ilvl="0">
      <w:start w:val="1"/>
      <w:numFmt w:val="lowerLetter"/>
      <w:lvlText w:val="%1)"/>
      <w:lvlJc w:val="left"/>
      <w:pPr>
        <w:ind w:left="394"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55">
    <w:multiLevelType w:val="hybridMultilevel"/>
    <w:lvl w:ilvl="0">
      <w:start w:val="1"/>
      <w:numFmt w:val="lowerLetter"/>
      <w:lvlText w:val="%1)"/>
      <w:lvlJc w:val="left"/>
      <w:pPr>
        <w:ind w:left="394"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54">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53">
    <w:multiLevelType w:val="hybridMultilevel"/>
    <w:lvl w:ilvl="0">
      <w:start w:val="1"/>
      <w:numFmt w:val="lowerLetter"/>
      <w:lvlText w:val="%1)"/>
      <w:lvlJc w:val="left"/>
      <w:pPr>
        <w:ind w:left="394"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52">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51">
    <w:multiLevelType w:val="hybridMultilevel"/>
    <w:lvl w:ilvl="0">
      <w:start w:val="1"/>
      <w:numFmt w:val="lowerLetter"/>
      <w:lvlText w:val="%1)"/>
      <w:lvlJc w:val="left"/>
      <w:pPr>
        <w:ind w:left="394"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50">
    <w:multiLevelType w:val="hybridMultilevel"/>
    <w:lvl w:ilvl="0">
      <w:start w:val="1"/>
      <w:numFmt w:val="lowerLetter"/>
      <w:lvlText w:val="%1)"/>
      <w:lvlJc w:val="left"/>
      <w:pPr>
        <w:ind w:left="394"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49">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48">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47">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46">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45">
    <w:multiLevelType w:val="hybridMultilevel"/>
    <w:lvl w:ilvl="0">
      <w:start w:val="1"/>
      <w:numFmt w:val="lowerLetter"/>
      <w:lvlText w:val="%1)"/>
      <w:lvlJc w:val="left"/>
      <w:pPr>
        <w:ind w:left="394"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44">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43">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42">
    <w:multiLevelType w:val="hybridMultilevel"/>
    <w:lvl w:ilvl="0">
      <w:start w:val="1"/>
      <w:numFmt w:val="lowerLetter"/>
      <w:lvlText w:val="%1)"/>
      <w:lvlJc w:val="left"/>
      <w:pPr>
        <w:ind w:left="379" w:hanging="274"/>
        <w:jc w:val="left"/>
      </w:pPr>
      <w:rPr>
        <w:rFonts w:hint="default" w:ascii="Bookman Old Style" w:hAnsi="Bookman Old Style" w:eastAsia="Bookman Old Style" w:cs="Bookman Old Style"/>
        <w:b w:val="0"/>
        <w:bCs w:val="0"/>
        <w:i w:val="0"/>
        <w:iCs w:val="0"/>
        <w:spacing w:val="-5"/>
        <w:w w:val="94"/>
        <w:sz w:val="24"/>
        <w:szCs w:val="24"/>
        <w:lang w:val="en-US" w:eastAsia="en-US" w:bidi="ar-SA"/>
      </w:rPr>
    </w:lvl>
    <w:lvl w:ilvl="1">
      <w:start w:val="0"/>
      <w:numFmt w:val="bullet"/>
      <w:lvlText w:val="•"/>
      <w:lvlJc w:val="left"/>
      <w:pPr>
        <w:ind w:left="471" w:hanging="274"/>
      </w:pPr>
      <w:rPr>
        <w:rFonts w:hint="default"/>
        <w:lang w:val="en-US" w:eastAsia="en-US" w:bidi="ar-SA"/>
      </w:rPr>
    </w:lvl>
    <w:lvl w:ilvl="2">
      <w:start w:val="0"/>
      <w:numFmt w:val="bullet"/>
      <w:lvlText w:val="•"/>
      <w:lvlJc w:val="left"/>
      <w:pPr>
        <w:ind w:left="563" w:hanging="274"/>
      </w:pPr>
      <w:rPr>
        <w:rFonts w:hint="default"/>
        <w:lang w:val="en-US" w:eastAsia="en-US" w:bidi="ar-SA"/>
      </w:rPr>
    </w:lvl>
    <w:lvl w:ilvl="3">
      <w:start w:val="0"/>
      <w:numFmt w:val="bullet"/>
      <w:lvlText w:val="•"/>
      <w:lvlJc w:val="left"/>
      <w:pPr>
        <w:ind w:left="654" w:hanging="274"/>
      </w:pPr>
      <w:rPr>
        <w:rFonts w:hint="default"/>
        <w:lang w:val="en-US" w:eastAsia="en-US" w:bidi="ar-SA"/>
      </w:rPr>
    </w:lvl>
    <w:lvl w:ilvl="4">
      <w:start w:val="0"/>
      <w:numFmt w:val="bullet"/>
      <w:lvlText w:val="•"/>
      <w:lvlJc w:val="left"/>
      <w:pPr>
        <w:ind w:left="746" w:hanging="274"/>
      </w:pPr>
      <w:rPr>
        <w:rFonts w:hint="default"/>
        <w:lang w:val="en-US" w:eastAsia="en-US" w:bidi="ar-SA"/>
      </w:rPr>
    </w:lvl>
    <w:lvl w:ilvl="5">
      <w:start w:val="0"/>
      <w:numFmt w:val="bullet"/>
      <w:lvlText w:val="•"/>
      <w:lvlJc w:val="left"/>
      <w:pPr>
        <w:ind w:left="838" w:hanging="274"/>
      </w:pPr>
      <w:rPr>
        <w:rFonts w:hint="default"/>
        <w:lang w:val="en-US" w:eastAsia="en-US" w:bidi="ar-SA"/>
      </w:rPr>
    </w:lvl>
    <w:lvl w:ilvl="6">
      <w:start w:val="0"/>
      <w:numFmt w:val="bullet"/>
      <w:lvlText w:val="•"/>
      <w:lvlJc w:val="left"/>
      <w:pPr>
        <w:ind w:left="929" w:hanging="274"/>
      </w:pPr>
      <w:rPr>
        <w:rFonts w:hint="default"/>
        <w:lang w:val="en-US" w:eastAsia="en-US" w:bidi="ar-SA"/>
      </w:rPr>
    </w:lvl>
    <w:lvl w:ilvl="7">
      <w:start w:val="0"/>
      <w:numFmt w:val="bullet"/>
      <w:lvlText w:val="•"/>
      <w:lvlJc w:val="left"/>
      <w:pPr>
        <w:ind w:left="1021" w:hanging="274"/>
      </w:pPr>
      <w:rPr>
        <w:rFonts w:hint="default"/>
        <w:lang w:val="en-US" w:eastAsia="en-US" w:bidi="ar-SA"/>
      </w:rPr>
    </w:lvl>
    <w:lvl w:ilvl="8">
      <w:start w:val="0"/>
      <w:numFmt w:val="bullet"/>
      <w:lvlText w:val="•"/>
      <w:lvlJc w:val="left"/>
      <w:pPr>
        <w:ind w:left="1112" w:hanging="274"/>
      </w:pPr>
      <w:rPr>
        <w:rFonts w:hint="default"/>
        <w:lang w:val="en-US" w:eastAsia="en-US" w:bidi="ar-SA"/>
      </w:rPr>
    </w:lvl>
  </w:abstractNum>
  <w:abstractNum w:abstractNumId="40">
    <w:multiLevelType w:val="hybridMultilevel"/>
    <w:lvl w:ilvl="0">
      <w:start w:val="1"/>
      <w:numFmt w:val="lowerLetter"/>
      <w:lvlText w:val="%1)"/>
      <w:lvlJc w:val="left"/>
      <w:pPr>
        <w:ind w:left="277" w:hanging="213"/>
        <w:jc w:val="left"/>
      </w:pPr>
      <w:rPr>
        <w:rFonts w:hint="default" w:ascii="Bookman Old Style" w:hAnsi="Bookman Old Style" w:eastAsia="Bookman Old Style" w:cs="Bookman Old Style"/>
        <w:b w:val="0"/>
        <w:bCs w:val="0"/>
        <w:i w:val="0"/>
        <w:iCs w:val="0"/>
        <w:spacing w:val="-1"/>
        <w:w w:val="98"/>
        <w:sz w:val="22"/>
        <w:szCs w:val="22"/>
        <w:lang w:val="en-US" w:eastAsia="en-US" w:bidi="ar-SA"/>
      </w:rPr>
    </w:lvl>
    <w:lvl w:ilvl="1">
      <w:start w:val="0"/>
      <w:numFmt w:val="bullet"/>
      <w:lvlText w:val="•"/>
      <w:lvlJc w:val="left"/>
      <w:pPr>
        <w:ind w:left="381" w:hanging="213"/>
      </w:pPr>
      <w:rPr>
        <w:rFonts w:hint="default"/>
        <w:lang w:val="en-US" w:eastAsia="en-US" w:bidi="ar-SA"/>
      </w:rPr>
    </w:lvl>
    <w:lvl w:ilvl="2">
      <w:start w:val="0"/>
      <w:numFmt w:val="bullet"/>
      <w:lvlText w:val="•"/>
      <w:lvlJc w:val="left"/>
      <w:pPr>
        <w:ind w:left="483" w:hanging="213"/>
      </w:pPr>
      <w:rPr>
        <w:rFonts w:hint="default"/>
        <w:lang w:val="en-US" w:eastAsia="en-US" w:bidi="ar-SA"/>
      </w:rPr>
    </w:lvl>
    <w:lvl w:ilvl="3">
      <w:start w:val="0"/>
      <w:numFmt w:val="bullet"/>
      <w:lvlText w:val="•"/>
      <w:lvlJc w:val="left"/>
      <w:pPr>
        <w:ind w:left="584" w:hanging="213"/>
      </w:pPr>
      <w:rPr>
        <w:rFonts w:hint="default"/>
        <w:lang w:val="en-US" w:eastAsia="en-US" w:bidi="ar-SA"/>
      </w:rPr>
    </w:lvl>
    <w:lvl w:ilvl="4">
      <w:start w:val="0"/>
      <w:numFmt w:val="bullet"/>
      <w:lvlText w:val="•"/>
      <w:lvlJc w:val="left"/>
      <w:pPr>
        <w:ind w:left="686" w:hanging="213"/>
      </w:pPr>
      <w:rPr>
        <w:rFonts w:hint="default"/>
        <w:lang w:val="en-US" w:eastAsia="en-US" w:bidi="ar-SA"/>
      </w:rPr>
    </w:lvl>
    <w:lvl w:ilvl="5">
      <w:start w:val="0"/>
      <w:numFmt w:val="bullet"/>
      <w:lvlText w:val="•"/>
      <w:lvlJc w:val="left"/>
      <w:pPr>
        <w:ind w:left="788" w:hanging="213"/>
      </w:pPr>
      <w:rPr>
        <w:rFonts w:hint="default"/>
        <w:lang w:val="en-US" w:eastAsia="en-US" w:bidi="ar-SA"/>
      </w:rPr>
    </w:lvl>
    <w:lvl w:ilvl="6">
      <w:start w:val="0"/>
      <w:numFmt w:val="bullet"/>
      <w:lvlText w:val="•"/>
      <w:lvlJc w:val="left"/>
      <w:pPr>
        <w:ind w:left="889" w:hanging="213"/>
      </w:pPr>
      <w:rPr>
        <w:rFonts w:hint="default"/>
        <w:lang w:val="en-US" w:eastAsia="en-US" w:bidi="ar-SA"/>
      </w:rPr>
    </w:lvl>
    <w:lvl w:ilvl="7">
      <w:start w:val="0"/>
      <w:numFmt w:val="bullet"/>
      <w:lvlText w:val="•"/>
      <w:lvlJc w:val="left"/>
      <w:pPr>
        <w:ind w:left="991" w:hanging="213"/>
      </w:pPr>
      <w:rPr>
        <w:rFonts w:hint="default"/>
        <w:lang w:val="en-US" w:eastAsia="en-US" w:bidi="ar-SA"/>
      </w:rPr>
    </w:lvl>
    <w:lvl w:ilvl="8">
      <w:start w:val="0"/>
      <w:numFmt w:val="bullet"/>
      <w:lvlText w:val="•"/>
      <w:lvlJc w:val="left"/>
      <w:pPr>
        <w:ind w:left="1092" w:hanging="213"/>
      </w:pPr>
      <w:rPr>
        <w:rFonts w:hint="default"/>
        <w:lang w:val="en-US" w:eastAsia="en-US" w:bidi="ar-SA"/>
      </w:rPr>
    </w:lvl>
  </w:abstractNum>
  <w:abstractNum w:abstractNumId="39">
    <w:multiLevelType w:val="hybridMultilevel"/>
    <w:lvl w:ilvl="0">
      <w:start w:val="1"/>
      <w:numFmt w:val="lowerLetter"/>
      <w:lvlText w:val="%1)"/>
      <w:lvlJc w:val="left"/>
      <w:pPr>
        <w:ind w:left="466" w:hanging="212"/>
        <w:jc w:val="left"/>
      </w:pPr>
      <w:rPr>
        <w:rFonts w:hint="default" w:ascii="Arial" w:hAnsi="Arial" w:eastAsia="Arial" w:cs="Arial"/>
        <w:b w:val="0"/>
        <w:bCs w:val="0"/>
        <w:i w:val="0"/>
        <w:iCs w:val="0"/>
        <w:color w:val="221F1F"/>
        <w:spacing w:val="0"/>
        <w:w w:val="99"/>
        <w:sz w:val="18"/>
        <w:szCs w:val="18"/>
        <w:lang w:val="en-US" w:eastAsia="en-US" w:bidi="ar-SA"/>
      </w:rPr>
    </w:lvl>
    <w:lvl w:ilvl="1">
      <w:start w:val="0"/>
      <w:numFmt w:val="bullet"/>
      <w:lvlText w:val="•"/>
      <w:lvlJc w:val="left"/>
      <w:pPr>
        <w:ind w:left="543" w:hanging="212"/>
      </w:pPr>
      <w:rPr>
        <w:rFonts w:hint="default"/>
        <w:lang w:val="en-US" w:eastAsia="en-US" w:bidi="ar-SA"/>
      </w:rPr>
    </w:lvl>
    <w:lvl w:ilvl="2">
      <w:start w:val="0"/>
      <w:numFmt w:val="bullet"/>
      <w:lvlText w:val="•"/>
      <w:lvlJc w:val="left"/>
      <w:pPr>
        <w:ind w:left="627" w:hanging="212"/>
      </w:pPr>
      <w:rPr>
        <w:rFonts w:hint="default"/>
        <w:lang w:val="en-US" w:eastAsia="en-US" w:bidi="ar-SA"/>
      </w:rPr>
    </w:lvl>
    <w:lvl w:ilvl="3">
      <w:start w:val="0"/>
      <w:numFmt w:val="bullet"/>
      <w:lvlText w:val="•"/>
      <w:lvlJc w:val="left"/>
      <w:pPr>
        <w:ind w:left="710" w:hanging="212"/>
      </w:pPr>
      <w:rPr>
        <w:rFonts w:hint="default"/>
        <w:lang w:val="en-US" w:eastAsia="en-US" w:bidi="ar-SA"/>
      </w:rPr>
    </w:lvl>
    <w:lvl w:ilvl="4">
      <w:start w:val="0"/>
      <w:numFmt w:val="bullet"/>
      <w:lvlText w:val="•"/>
      <w:lvlJc w:val="left"/>
      <w:pPr>
        <w:ind w:left="794" w:hanging="212"/>
      </w:pPr>
      <w:rPr>
        <w:rFonts w:hint="default"/>
        <w:lang w:val="en-US" w:eastAsia="en-US" w:bidi="ar-SA"/>
      </w:rPr>
    </w:lvl>
    <w:lvl w:ilvl="5">
      <w:start w:val="0"/>
      <w:numFmt w:val="bullet"/>
      <w:lvlText w:val="•"/>
      <w:lvlJc w:val="left"/>
      <w:pPr>
        <w:ind w:left="878" w:hanging="212"/>
      </w:pPr>
      <w:rPr>
        <w:rFonts w:hint="default"/>
        <w:lang w:val="en-US" w:eastAsia="en-US" w:bidi="ar-SA"/>
      </w:rPr>
    </w:lvl>
    <w:lvl w:ilvl="6">
      <w:start w:val="0"/>
      <w:numFmt w:val="bullet"/>
      <w:lvlText w:val="•"/>
      <w:lvlJc w:val="left"/>
      <w:pPr>
        <w:ind w:left="961" w:hanging="212"/>
      </w:pPr>
      <w:rPr>
        <w:rFonts w:hint="default"/>
        <w:lang w:val="en-US" w:eastAsia="en-US" w:bidi="ar-SA"/>
      </w:rPr>
    </w:lvl>
    <w:lvl w:ilvl="7">
      <w:start w:val="0"/>
      <w:numFmt w:val="bullet"/>
      <w:lvlText w:val="•"/>
      <w:lvlJc w:val="left"/>
      <w:pPr>
        <w:ind w:left="1045" w:hanging="212"/>
      </w:pPr>
      <w:rPr>
        <w:rFonts w:hint="default"/>
        <w:lang w:val="en-US" w:eastAsia="en-US" w:bidi="ar-SA"/>
      </w:rPr>
    </w:lvl>
    <w:lvl w:ilvl="8">
      <w:start w:val="0"/>
      <w:numFmt w:val="bullet"/>
      <w:lvlText w:val="•"/>
      <w:lvlJc w:val="left"/>
      <w:pPr>
        <w:ind w:left="1128" w:hanging="212"/>
      </w:pPr>
      <w:rPr>
        <w:rFonts w:hint="default"/>
        <w:lang w:val="en-US" w:eastAsia="en-US" w:bidi="ar-SA"/>
      </w:rPr>
    </w:lvl>
  </w:abstractNum>
  <w:abstractNum w:abstractNumId="38">
    <w:multiLevelType w:val="hybridMultilevel"/>
    <w:lvl w:ilvl="0">
      <w:start w:val="1"/>
      <w:numFmt w:val="lowerLetter"/>
      <w:lvlText w:val="%1)"/>
      <w:lvlJc w:val="left"/>
      <w:pPr>
        <w:ind w:left="466" w:hanging="212"/>
        <w:jc w:val="left"/>
      </w:pPr>
      <w:rPr>
        <w:rFonts w:hint="default" w:ascii="Arial" w:hAnsi="Arial" w:eastAsia="Arial" w:cs="Arial"/>
        <w:b w:val="0"/>
        <w:bCs w:val="0"/>
        <w:i w:val="0"/>
        <w:iCs w:val="0"/>
        <w:color w:val="221F1F"/>
        <w:spacing w:val="0"/>
        <w:w w:val="99"/>
        <w:sz w:val="18"/>
        <w:szCs w:val="18"/>
        <w:lang w:val="en-US" w:eastAsia="en-US" w:bidi="ar-SA"/>
      </w:rPr>
    </w:lvl>
    <w:lvl w:ilvl="1">
      <w:start w:val="0"/>
      <w:numFmt w:val="bullet"/>
      <w:lvlText w:val="•"/>
      <w:lvlJc w:val="left"/>
      <w:pPr>
        <w:ind w:left="543" w:hanging="212"/>
      </w:pPr>
      <w:rPr>
        <w:rFonts w:hint="default"/>
        <w:lang w:val="en-US" w:eastAsia="en-US" w:bidi="ar-SA"/>
      </w:rPr>
    </w:lvl>
    <w:lvl w:ilvl="2">
      <w:start w:val="0"/>
      <w:numFmt w:val="bullet"/>
      <w:lvlText w:val="•"/>
      <w:lvlJc w:val="left"/>
      <w:pPr>
        <w:ind w:left="627" w:hanging="212"/>
      </w:pPr>
      <w:rPr>
        <w:rFonts w:hint="default"/>
        <w:lang w:val="en-US" w:eastAsia="en-US" w:bidi="ar-SA"/>
      </w:rPr>
    </w:lvl>
    <w:lvl w:ilvl="3">
      <w:start w:val="0"/>
      <w:numFmt w:val="bullet"/>
      <w:lvlText w:val="•"/>
      <w:lvlJc w:val="left"/>
      <w:pPr>
        <w:ind w:left="710" w:hanging="212"/>
      </w:pPr>
      <w:rPr>
        <w:rFonts w:hint="default"/>
        <w:lang w:val="en-US" w:eastAsia="en-US" w:bidi="ar-SA"/>
      </w:rPr>
    </w:lvl>
    <w:lvl w:ilvl="4">
      <w:start w:val="0"/>
      <w:numFmt w:val="bullet"/>
      <w:lvlText w:val="•"/>
      <w:lvlJc w:val="left"/>
      <w:pPr>
        <w:ind w:left="794" w:hanging="212"/>
      </w:pPr>
      <w:rPr>
        <w:rFonts w:hint="default"/>
        <w:lang w:val="en-US" w:eastAsia="en-US" w:bidi="ar-SA"/>
      </w:rPr>
    </w:lvl>
    <w:lvl w:ilvl="5">
      <w:start w:val="0"/>
      <w:numFmt w:val="bullet"/>
      <w:lvlText w:val="•"/>
      <w:lvlJc w:val="left"/>
      <w:pPr>
        <w:ind w:left="878" w:hanging="212"/>
      </w:pPr>
      <w:rPr>
        <w:rFonts w:hint="default"/>
        <w:lang w:val="en-US" w:eastAsia="en-US" w:bidi="ar-SA"/>
      </w:rPr>
    </w:lvl>
    <w:lvl w:ilvl="6">
      <w:start w:val="0"/>
      <w:numFmt w:val="bullet"/>
      <w:lvlText w:val="•"/>
      <w:lvlJc w:val="left"/>
      <w:pPr>
        <w:ind w:left="961" w:hanging="212"/>
      </w:pPr>
      <w:rPr>
        <w:rFonts w:hint="default"/>
        <w:lang w:val="en-US" w:eastAsia="en-US" w:bidi="ar-SA"/>
      </w:rPr>
    </w:lvl>
    <w:lvl w:ilvl="7">
      <w:start w:val="0"/>
      <w:numFmt w:val="bullet"/>
      <w:lvlText w:val="•"/>
      <w:lvlJc w:val="left"/>
      <w:pPr>
        <w:ind w:left="1045" w:hanging="212"/>
      </w:pPr>
      <w:rPr>
        <w:rFonts w:hint="default"/>
        <w:lang w:val="en-US" w:eastAsia="en-US" w:bidi="ar-SA"/>
      </w:rPr>
    </w:lvl>
    <w:lvl w:ilvl="8">
      <w:start w:val="0"/>
      <w:numFmt w:val="bullet"/>
      <w:lvlText w:val="•"/>
      <w:lvlJc w:val="left"/>
      <w:pPr>
        <w:ind w:left="1128" w:hanging="212"/>
      </w:pPr>
      <w:rPr>
        <w:rFonts w:hint="default"/>
        <w:lang w:val="en-US" w:eastAsia="en-US" w:bidi="ar-SA"/>
      </w:rPr>
    </w:lvl>
  </w:abstractNum>
  <w:abstractNum w:abstractNumId="37">
    <w:multiLevelType w:val="hybridMultilevel"/>
    <w:lvl w:ilvl="0">
      <w:start w:val="1"/>
      <w:numFmt w:val="lowerLetter"/>
      <w:lvlText w:val="%1)"/>
      <w:lvlJc w:val="left"/>
      <w:pPr>
        <w:ind w:left="466" w:hanging="212"/>
        <w:jc w:val="left"/>
      </w:pPr>
      <w:rPr>
        <w:rFonts w:hint="default" w:ascii="Arial" w:hAnsi="Arial" w:eastAsia="Arial" w:cs="Arial"/>
        <w:b w:val="0"/>
        <w:bCs w:val="0"/>
        <w:i w:val="0"/>
        <w:iCs w:val="0"/>
        <w:color w:val="221F1F"/>
        <w:spacing w:val="0"/>
        <w:w w:val="99"/>
        <w:sz w:val="18"/>
        <w:szCs w:val="18"/>
        <w:lang w:val="en-US" w:eastAsia="en-US" w:bidi="ar-SA"/>
      </w:rPr>
    </w:lvl>
    <w:lvl w:ilvl="1">
      <w:start w:val="0"/>
      <w:numFmt w:val="bullet"/>
      <w:lvlText w:val="•"/>
      <w:lvlJc w:val="left"/>
      <w:pPr>
        <w:ind w:left="543" w:hanging="212"/>
      </w:pPr>
      <w:rPr>
        <w:rFonts w:hint="default"/>
        <w:lang w:val="en-US" w:eastAsia="en-US" w:bidi="ar-SA"/>
      </w:rPr>
    </w:lvl>
    <w:lvl w:ilvl="2">
      <w:start w:val="0"/>
      <w:numFmt w:val="bullet"/>
      <w:lvlText w:val="•"/>
      <w:lvlJc w:val="left"/>
      <w:pPr>
        <w:ind w:left="627" w:hanging="212"/>
      </w:pPr>
      <w:rPr>
        <w:rFonts w:hint="default"/>
        <w:lang w:val="en-US" w:eastAsia="en-US" w:bidi="ar-SA"/>
      </w:rPr>
    </w:lvl>
    <w:lvl w:ilvl="3">
      <w:start w:val="0"/>
      <w:numFmt w:val="bullet"/>
      <w:lvlText w:val="•"/>
      <w:lvlJc w:val="left"/>
      <w:pPr>
        <w:ind w:left="710" w:hanging="212"/>
      </w:pPr>
      <w:rPr>
        <w:rFonts w:hint="default"/>
        <w:lang w:val="en-US" w:eastAsia="en-US" w:bidi="ar-SA"/>
      </w:rPr>
    </w:lvl>
    <w:lvl w:ilvl="4">
      <w:start w:val="0"/>
      <w:numFmt w:val="bullet"/>
      <w:lvlText w:val="•"/>
      <w:lvlJc w:val="left"/>
      <w:pPr>
        <w:ind w:left="794" w:hanging="212"/>
      </w:pPr>
      <w:rPr>
        <w:rFonts w:hint="default"/>
        <w:lang w:val="en-US" w:eastAsia="en-US" w:bidi="ar-SA"/>
      </w:rPr>
    </w:lvl>
    <w:lvl w:ilvl="5">
      <w:start w:val="0"/>
      <w:numFmt w:val="bullet"/>
      <w:lvlText w:val="•"/>
      <w:lvlJc w:val="left"/>
      <w:pPr>
        <w:ind w:left="878" w:hanging="212"/>
      </w:pPr>
      <w:rPr>
        <w:rFonts w:hint="default"/>
        <w:lang w:val="en-US" w:eastAsia="en-US" w:bidi="ar-SA"/>
      </w:rPr>
    </w:lvl>
    <w:lvl w:ilvl="6">
      <w:start w:val="0"/>
      <w:numFmt w:val="bullet"/>
      <w:lvlText w:val="•"/>
      <w:lvlJc w:val="left"/>
      <w:pPr>
        <w:ind w:left="961" w:hanging="212"/>
      </w:pPr>
      <w:rPr>
        <w:rFonts w:hint="default"/>
        <w:lang w:val="en-US" w:eastAsia="en-US" w:bidi="ar-SA"/>
      </w:rPr>
    </w:lvl>
    <w:lvl w:ilvl="7">
      <w:start w:val="0"/>
      <w:numFmt w:val="bullet"/>
      <w:lvlText w:val="•"/>
      <w:lvlJc w:val="left"/>
      <w:pPr>
        <w:ind w:left="1045" w:hanging="212"/>
      </w:pPr>
      <w:rPr>
        <w:rFonts w:hint="default"/>
        <w:lang w:val="en-US" w:eastAsia="en-US" w:bidi="ar-SA"/>
      </w:rPr>
    </w:lvl>
    <w:lvl w:ilvl="8">
      <w:start w:val="0"/>
      <w:numFmt w:val="bullet"/>
      <w:lvlText w:val="•"/>
      <w:lvlJc w:val="left"/>
      <w:pPr>
        <w:ind w:left="1128" w:hanging="212"/>
      </w:pPr>
      <w:rPr>
        <w:rFonts w:hint="default"/>
        <w:lang w:val="en-US" w:eastAsia="en-US" w:bidi="ar-SA"/>
      </w:rPr>
    </w:lvl>
  </w:abstractNum>
  <w:abstractNum w:abstractNumId="35">
    <w:multiLevelType w:val="hybridMultilevel"/>
    <w:lvl w:ilvl="0">
      <w:start w:val="1"/>
      <w:numFmt w:val="lowerLetter"/>
      <w:lvlText w:val="%1)"/>
      <w:lvlJc w:val="left"/>
      <w:pPr>
        <w:ind w:left="466" w:hanging="212"/>
        <w:jc w:val="left"/>
      </w:pPr>
      <w:rPr>
        <w:rFonts w:hint="default" w:ascii="Arial" w:hAnsi="Arial" w:eastAsia="Arial" w:cs="Arial"/>
        <w:b w:val="0"/>
        <w:bCs w:val="0"/>
        <w:i w:val="0"/>
        <w:iCs w:val="0"/>
        <w:color w:val="221F1F"/>
        <w:spacing w:val="0"/>
        <w:w w:val="99"/>
        <w:sz w:val="18"/>
        <w:szCs w:val="18"/>
        <w:lang w:val="en-US" w:eastAsia="en-US" w:bidi="ar-SA"/>
      </w:rPr>
    </w:lvl>
    <w:lvl w:ilvl="1">
      <w:start w:val="0"/>
      <w:numFmt w:val="bullet"/>
      <w:lvlText w:val="•"/>
      <w:lvlJc w:val="left"/>
      <w:pPr>
        <w:ind w:left="543" w:hanging="212"/>
      </w:pPr>
      <w:rPr>
        <w:rFonts w:hint="default"/>
        <w:lang w:val="en-US" w:eastAsia="en-US" w:bidi="ar-SA"/>
      </w:rPr>
    </w:lvl>
    <w:lvl w:ilvl="2">
      <w:start w:val="0"/>
      <w:numFmt w:val="bullet"/>
      <w:lvlText w:val="•"/>
      <w:lvlJc w:val="left"/>
      <w:pPr>
        <w:ind w:left="627" w:hanging="212"/>
      </w:pPr>
      <w:rPr>
        <w:rFonts w:hint="default"/>
        <w:lang w:val="en-US" w:eastAsia="en-US" w:bidi="ar-SA"/>
      </w:rPr>
    </w:lvl>
    <w:lvl w:ilvl="3">
      <w:start w:val="0"/>
      <w:numFmt w:val="bullet"/>
      <w:lvlText w:val="•"/>
      <w:lvlJc w:val="left"/>
      <w:pPr>
        <w:ind w:left="710" w:hanging="212"/>
      </w:pPr>
      <w:rPr>
        <w:rFonts w:hint="default"/>
        <w:lang w:val="en-US" w:eastAsia="en-US" w:bidi="ar-SA"/>
      </w:rPr>
    </w:lvl>
    <w:lvl w:ilvl="4">
      <w:start w:val="0"/>
      <w:numFmt w:val="bullet"/>
      <w:lvlText w:val="•"/>
      <w:lvlJc w:val="left"/>
      <w:pPr>
        <w:ind w:left="794" w:hanging="212"/>
      </w:pPr>
      <w:rPr>
        <w:rFonts w:hint="default"/>
        <w:lang w:val="en-US" w:eastAsia="en-US" w:bidi="ar-SA"/>
      </w:rPr>
    </w:lvl>
    <w:lvl w:ilvl="5">
      <w:start w:val="0"/>
      <w:numFmt w:val="bullet"/>
      <w:lvlText w:val="•"/>
      <w:lvlJc w:val="left"/>
      <w:pPr>
        <w:ind w:left="878" w:hanging="212"/>
      </w:pPr>
      <w:rPr>
        <w:rFonts w:hint="default"/>
        <w:lang w:val="en-US" w:eastAsia="en-US" w:bidi="ar-SA"/>
      </w:rPr>
    </w:lvl>
    <w:lvl w:ilvl="6">
      <w:start w:val="0"/>
      <w:numFmt w:val="bullet"/>
      <w:lvlText w:val="•"/>
      <w:lvlJc w:val="left"/>
      <w:pPr>
        <w:ind w:left="961" w:hanging="212"/>
      </w:pPr>
      <w:rPr>
        <w:rFonts w:hint="default"/>
        <w:lang w:val="en-US" w:eastAsia="en-US" w:bidi="ar-SA"/>
      </w:rPr>
    </w:lvl>
    <w:lvl w:ilvl="7">
      <w:start w:val="0"/>
      <w:numFmt w:val="bullet"/>
      <w:lvlText w:val="•"/>
      <w:lvlJc w:val="left"/>
      <w:pPr>
        <w:ind w:left="1045" w:hanging="212"/>
      </w:pPr>
      <w:rPr>
        <w:rFonts w:hint="default"/>
        <w:lang w:val="en-US" w:eastAsia="en-US" w:bidi="ar-SA"/>
      </w:rPr>
    </w:lvl>
    <w:lvl w:ilvl="8">
      <w:start w:val="0"/>
      <w:numFmt w:val="bullet"/>
      <w:lvlText w:val="•"/>
      <w:lvlJc w:val="left"/>
      <w:pPr>
        <w:ind w:left="1128" w:hanging="212"/>
      </w:pPr>
      <w:rPr>
        <w:rFonts w:hint="default"/>
        <w:lang w:val="en-US" w:eastAsia="en-US" w:bidi="ar-SA"/>
      </w:rPr>
    </w:lvl>
  </w:abstractNum>
  <w:abstractNum w:abstractNumId="34">
    <w:multiLevelType w:val="hybridMultilevel"/>
    <w:lvl w:ilvl="0">
      <w:start w:val="1"/>
      <w:numFmt w:val="lowerLetter"/>
      <w:lvlText w:val="%1)"/>
      <w:lvlJc w:val="left"/>
      <w:pPr>
        <w:ind w:left="394" w:hanging="28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8"/>
      </w:pPr>
      <w:rPr>
        <w:rFonts w:hint="default"/>
        <w:lang w:val="en-US" w:eastAsia="en-US" w:bidi="ar-SA"/>
      </w:rPr>
    </w:lvl>
    <w:lvl w:ilvl="2">
      <w:start w:val="0"/>
      <w:numFmt w:val="bullet"/>
      <w:lvlText w:val="•"/>
      <w:lvlJc w:val="left"/>
      <w:pPr>
        <w:ind w:left="579" w:hanging="288"/>
      </w:pPr>
      <w:rPr>
        <w:rFonts w:hint="default"/>
        <w:lang w:val="en-US" w:eastAsia="en-US" w:bidi="ar-SA"/>
      </w:rPr>
    </w:lvl>
    <w:lvl w:ilvl="3">
      <w:start w:val="0"/>
      <w:numFmt w:val="bullet"/>
      <w:lvlText w:val="•"/>
      <w:lvlJc w:val="left"/>
      <w:pPr>
        <w:ind w:left="668" w:hanging="288"/>
      </w:pPr>
      <w:rPr>
        <w:rFonts w:hint="default"/>
        <w:lang w:val="en-US" w:eastAsia="en-US" w:bidi="ar-SA"/>
      </w:rPr>
    </w:lvl>
    <w:lvl w:ilvl="4">
      <w:start w:val="0"/>
      <w:numFmt w:val="bullet"/>
      <w:lvlText w:val="•"/>
      <w:lvlJc w:val="left"/>
      <w:pPr>
        <w:ind w:left="758" w:hanging="288"/>
      </w:pPr>
      <w:rPr>
        <w:rFonts w:hint="default"/>
        <w:lang w:val="en-US" w:eastAsia="en-US" w:bidi="ar-SA"/>
      </w:rPr>
    </w:lvl>
    <w:lvl w:ilvl="5">
      <w:start w:val="0"/>
      <w:numFmt w:val="bullet"/>
      <w:lvlText w:val="•"/>
      <w:lvlJc w:val="left"/>
      <w:pPr>
        <w:ind w:left="848" w:hanging="288"/>
      </w:pPr>
      <w:rPr>
        <w:rFonts w:hint="default"/>
        <w:lang w:val="en-US" w:eastAsia="en-US" w:bidi="ar-SA"/>
      </w:rPr>
    </w:lvl>
    <w:lvl w:ilvl="6">
      <w:start w:val="0"/>
      <w:numFmt w:val="bullet"/>
      <w:lvlText w:val="•"/>
      <w:lvlJc w:val="left"/>
      <w:pPr>
        <w:ind w:left="937" w:hanging="288"/>
      </w:pPr>
      <w:rPr>
        <w:rFonts w:hint="default"/>
        <w:lang w:val="en-US" w:eastAsia="en-US" w:bidi="ar-SA"/>
      </w:rPr>
    </w:lvl>
    <w:lvl w:ilvl="7">
      <w:start w:val="0"/>
      <w:numFmt w:val="bullet"/>
      <w:lvlText w:val="•"/>
      <w:lvlJc w:val="left"/>
      <w:pPr>
        <w:ind w:left="1027" w:hanging="288"/>
      </w:pPr>
      <w:rPr>
        <w:rFonts w:hint="default"/>
        <w:lang w:val="en-US" w:eastAsia="en-US" w:bidi="ar-SA"/>
      </w:rPr>
    </w:lvl>
    <w:lvl w:ilvl="8">
      <w:start w:val="0"/>
      <w:numFmt w:val="bullet"/>
      <w:lvlText w:val="•"/>
      <w:lvlJc w:val="left"/>
      <w:pPr>
        <w:ind w:left="1116" w:hanging="288"/>
      </w:pPr>
      <w:rPr>
        <w:rFonts w:hint="default"/>
        <w:lang w:val="en-US" w:eastAsia="en-US" w:bidi="ar-SA"/>
      </w:rPr>
    </w:lvl>
  </w:abstractNum>
  <w:abstractNum w:abstractNumId="32">
    <w:multiLevelType w:val="hybridMultilevel"/>
    <w:lvl w:ilvl="0">
      <w:start w:val="1"/>
      <w:numFmt w:val="decimal"/>
      <w:lvlText w:val="%1)"/>
      <w:lvlJc w:val="left"/>
      <w:pPr>
        <w:ind w:left="1800" w:hanging="29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1507" w:hanging="281"/>
        <w:jc w:val="left"/>
      </w:pPr>
      <w:rPr>
        <w:rFonts w:hint="default" w:ascii="Arial" w:hAnsi="Arial" w:eastAsia="Arial" w:cs="Arial"/>
        <w:b w:val="0"/>
        <w:bCs w:val="0"/>
        <w:i w:val="0"/>
        <w:iCs w:val="0"/>
        <w:color w:val="221F1F"/>
        <w:spacing w:val="0"/>
        <w:w w:val="100"/>
        <w:sz w:val="22"/>
        <w:szCs w:val="22"/>
        <w:lang w:val="en-US" w:eastAsia="en-US" w:bidi="ar-SA"/>
      </w:rPr>
    </w:lvl>
    <w:lvl w:ilvl="2">
      <w:start w:val="0"/>
      <w:numFmt w:val="bullet"/>
      <w:lvlText w:val="•"/>
      <w:lvlJc w:val="left"/>
      <w:pPr>
        <w:ind w:left="2842" w:hanging="281"/>
      </w:pPr>
      <w:rPr>
        <w:rFonts w:hint="default"/>
        <w:lang w:val="en-US" w:eastAsia="en-US" w:bidi="ar-SA"/>
      </w:rPr>
    </w:lvl>
    <w:lvl w:ilvl="3">
      <w:start w:val="0"/>
      <w:numFmt w:val="bullet"/>
      <w:lvlText w:val="•"/>
      <w:lvlJc w:val="left"/>
      <w:pPr>
        <w:ind w:left="3885" w:hanging="281"/>
      </w:pPr>
      <w:rPr>
        <w:rFonts w:hint="default"/>
        <w:lang w:val="en-US" w:eastAsia="en-US" w:bidi="ar-SA"/>
      </w:rPr>
    </w:lvl>
    <w:lvl w:ilvl="4">
      <w:start w:val="0"/>
      <w:numFmt w:val="bullet"/>
      <w:lvlText w:val="•"/>
      <w:lvlJc w:val="left"/>
      <w:pPr>
        <w:ind w:left="4928" w:hanging="281"/>
      </w:pPr>
      <w:rPr>
        <w:rFonts w:hint="default"/>
        <w:lang w:val="en-US" w:eastAsia="en-US" w:bidi="ar-SA"/>
      </w:rPr>
    </w:lvl>
    <w:lvl w:ilvl="5">
      <w:start w:val="0"/>
      <w:numFmt w:val="bullet"/>
      <w:lvlText w:val="•"/>
      <w:lvlJc w:val="left"/>
      <w:pPr>
        <w:ind w:left="5971" w:hanging="281"/>
      </w:pPr>
      <w:rPr>
        <w:rFonts w:hint="default"/>
        <w:lang w:val="en-US" w:eastAsia="en-US" w:bidi="ar-SA"/>
      </w:rPr>
    </w:lvl>
    <w:lvl w:ilvl="6">
      <w:start w:val="0"/>
      <w:numFmt w:val="bullet"/>
      <w:lvlText w:val="•"/>
      <w:lvlJc w:val="left"/>
      <w:pPr>
        <w:ind w:left="7014" w:hanging="281"/>
      </w:pPr>
      <w:rPr>
        <w:rFonts w:hint="default"/>
        <w:lang w:val="en-US" w:eastAsia="en-US" w:bidi="ar-SA"/>
      </w:rPr>
    </w:lvl>
    <w:lvl w:ilvl="7">
      <w:start w:val="0"/>
      <w:numFmt w:val="bullet"/>
      <w:lvlText w:val="•"/>
      <w:lvlJc w:val="left"/>
      <w:pPr>
        <w:ind w:left="8057" w:hanging="281"/>
      </w:pPr>
      <w:rPr>
        <w:rFonts w:hint="default"/>
        <w:lang w:val="en-US" w:eastAsia="en-US" w:bidi="ar-SA"/>
      </w:rPr>
    </w:lvl>
    <w:lvl w:ilvl="8">
      <w:start w:val="0"/>
      <w:numFmt w:val="bullet"/>
      <w:lvlText w:val="•"/>
      <w:lvlJc w:val="left"/>
      <w:pPr>
        <w:ind w:left="9100" w:hanging="281"/>
      </w:pPr>
      <w:rPr>
        <w:rFonts w:hint="default"/>
        <w:lang w:val="en-US" w:eastAsia="en-US" w:bidi="ar-SA"/>
      </w:rPr>
    </w:lvl>
  </w:abstractNum>
  <w:abstractNum w:abstractNumId="24">
    <w:multiLevelType w:val="hybridMultilevel"/>
    <w:lvl w:ilvl="0">
      <w:start w:val="1"/>
      <w:numFmt w:val="upperLetter"/>
      <w:lvlText w:val="(%1)"/>
      <w:lvlJc w:val="left"/>
      <w:pPr>
        <w:ind w:left="1800" w:hanging="360"/>
        <w:jc w:val="right"/>
      </w:pPr>
      <w:rPr>
        <w:rFonts w:hint="default"/>
        <w:spacing w:val="9"/>
        <w:w w:val="95"/>
        <w:lang w:val="en-US" w:eastAsia="en-US" w:bidi="ar-SA"/>
      </w:rPr>
    </w:lvl>
    <w:lvl w:ilvl="1">
      <w:start w:val="1"/>
      <w:numFmt w:val="lowerRoman"/>
      <w:lvlText w:val="(%2)"/>
      <w:lvlJc w:val="left"/>
      <w:pPr>
        <w:ind w:left="1788" w:hanging="42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Letter"/>
      <w:lvlText w:val="%3)"/>
      <w:lvlJc w:val="left"/>
      <w:pPr>
        <w:ind w:left="1711"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2973" w:hanging="360"/>
      </w:pPr>
      <w:rPr>
        <w:rFonts w:hint="default"/>
        <w:lang w:val="en-US" w:eastAsia="en-US" w:bidi="ar-SA"/>
      </w:rPr>
    </w:lvl>
    <w:lvl w:ilvl="4">
      <w:start w:val="0"/>
      <w:numFmt w:val="bullet"/>
      <w:lvlText w:val="•"/>
      <w:lvlJc w:val="left"/>
      <w:pPr>
        <w:ind w:left="4146" w:hanging="360"/>
      </w:pPr>
      <w:rPr>
        <w:rFonts w:hint="default"/>
        <w:lang w:val="en-US" w:eastAsia="en-US" w:bidi="ar-SA"/>
      </w:rPr>
    </w:lvl>
    <w:lvl w:ilvl="5">
      <w:start w:val="0"/>
      <w:numFmt w:val="bullet"/>
      <w:lvlText w:val="•"/>
      <w:lvlJc w:val="left"/>
      <w:pPr>
        <w:ind w:left="5319" w:hanging="360"/>
      </w:pPr>
      <w:rPr>
        <w:rFonts w:hint="default"/>
        <w:lang w:val="en-US" w:eastAsia="en-US" w:bidi="ar-SA"/>
      </w:rPr>
    </w:lvl>
    <w:lvl w:ilvl="6">
      <w:start w:val="0"/>
      <w:numFmt w:val="bullet"/>
      <w:lvlText w:val="•"/>
      <w:lvlJc w:val="left"/>
      <w:pPr>
        <w:ind w:left="6493" w:hanging="360"/>
      </w:pPr>
      <w:rPr>
        <w:rFonts w:hint="default"/>
        <w:lang w:val="en-US" w:eastAsia="en-US" w:bidi="ar-SA"/>
      </w:rPr>
    </w:lvl>
    <w:lvl w:ilvl="7">
      <w:start w:val="0"/>
      <w:numFmt w:val="bullet"/>
      <w:lvlText w:val="•"/>
      <w:lvlJc w:val="left"/>
      <w:pPr>
        <w:ind w:left="7666" w:hanging="360"/>
      </w:pPr>
      <w:rPr>
        <w:rFonts w:hint="default"/>
        <w:lang w:val="en-US" w:eastAsia="en-US" w:bidi="ar-SA"/>
      </w:rPr>
    </w:lvl>
    <w:lvl w:ilvl="8">
      <w:start w:val="0"/>
      <w:numFmt w:val="bullet"/>
      <w:lvlText w:val="•"/>
      <w:lvlJc w:val="left"/>
      <w:pPr>
        <w:ind w:left="8839" w:hanging="360"/>
      </w:pPr>
      <w:rPr>
        <w:rFonts w:hint="default"/>
        <w:lang w:val="en-US" w:eastAsia="en-US" w:bidi="ar-SA"/>
      </w:rPr>
    </w:lvl>
  </w:abstractNum>
  <w:abstractNum w:abstractNumId="4">
    <w:multiLevelType w:val="hybridMultilevel"/>
    <w:lvl w:ilvl="0">
      <w:start w:val="1"/>
      <w:numFmt w:val="upperRoman"/>
      <w:lvlText w:val="(%1)"/>
      <w:lvlJc w:val="left"/>
      <w:pPr>
        <w:ind w:left="1853" w:hanging="35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92" w:hanging="351"/>
      </w:pPr>
      <w:rPr>
        <w:rFonts w:hint="default"/>
        <w:lang w:val="en-US" w:eastAsia="en-US" w:bidi="ar-SA"/>
      </w:rPr>
    </w:lvl>
    <w:lvl w:ilvl="2">
      <w:start w:val="0"/>
      <w:numFmt w:val="bullet"/>
      <w:lvlText w:val="•"/>
      <w:lvlJc w:val="left"/>
      <w:pPr>
        <w:ind w:left="3725" w:hanging="351"/>
      </w:pPr>
      <w:rPr>
        <w:rFonts w:hint="default"/>
        <w:lang w:val="en-US" w:eastAsia="en-US" w:bidi="ar-SA"/>
      </w:rPr>
    </w:lvl>
    <w:lvl w:ilvl="3">
      <w:start w:val="0"/>
      <w:numFmt w:val="bullet"/>
      <w:lvlText w:val="•"/>
      <w:lvlJc w:val="left"/>
      <w:pPr>
        <w:ind w:left="4657" w:hanging="351"/>
      </w:pPr>
      <w:rPr>
        <w:rFonts w:hint="default"/>
        <w:lang w:val="en-US" w:eastAsia="en-US" w:bidi="ar-SA"/>
      </w:rPr>
    </w:lvl>
    <w:lvl w:ilvl="4">
      <w:start w:val="0"/>
      <w:numFmt w:val="bullet"/>
      <w:lvlText w:val="•"/>
      <w:lvlJc w:val="left"/>
      <w:pPr>
        <w:ind w:left="5590" w:hanging="351"/>
      </w:pPr>
      <w:rPr>
        <w:rFonts w:hint="default"/>
        <w:lang w:val="en-US" w:eastAsia="en-US" w:bidi="ar-SA"/>
      </w:rPr>
    </w:lvl>
    <w:lvl w:ilvl="5">
      <w:start w:val="0"/>
      <w:numFmt w:val="bullet"/>
      <w:lvlText w:val="•"/>
      <w:lvlJc w:val="left"/>
      <w:pPr>
        <w:ind w:left="6523" w:hanging="351"/>
      </w:pPr>
      <w:rPr>
        <w:rFonts w:hint="default"/>
        <w:lang w:val="en-US" w:eastAsia="en-US" w:bidi="ar-SA"/>
      </w:rPr>
    </w:lvl>
    <w:lvl w:ilvl="6">
      <w:start w:val="0"/>
      <w:numFmt w:val="bullet"/>
      <w:lvlText w:val="•"/>
      <w:lvlJc w:val="left"/>
      <w:pPr>
        <w:ind w:left="7455" w:hanging="351"/>
      </w:pPr>
      <w:rPr>
        <w:rFonts w:hint="default"/>
        <w:lang w:val="en-US" w:eastAsia="en-US" w:bidi="ar-SA"/>
      </w:rPr>
    </w:lvl>
    <w:lvl w:ilvl="7">
      <w:start w:val="0"/>
      <w:numFmt w:val="bullet"/>
      <w:lvlText w:val="•"/>
      <w:lvlJc w:val="left"/>
      <w:pPr>
        <w:ind w:left="8388" w:hanging="351"/>
      </w:pPr>
      <w:rPr>
        <w:rFonts w:hint="default"/>
        <w:lang w:val="en-US" w:eastAsia="en-US" w:bidi="ar-SA"/>
      </w:rPr>
    </w:lvl>
    <w:lvl w:ilvl="8">
      <w:start w:val="0"/>
      <w:numFmt w:val="bullet"/>
      <w:lvlText w:val="•"/>
      <w:lvlJc w:val="left"/>
      <w:pPr>
        <w:ind w:left="9321" w:hanging="351"/>
      </w:pPr>
      <w:rPr>
        <w:rFonts w:hint="default"/>
        <w:lang w:val="en-US" w:eastAsia="en-US" w:bidi="ar-SA"/>
      </w:rPr>
    </w:lvl>
  </w:abstractNum>
  <w:abstractNum w:abstractNumId="391">
    <w:multiLevelType w:val="hybridMultilevel"/>
    <w:lvl w:ilvl="0">
      <w:start w:val="1"/>
      <w:numFmt w:val="lowerLetter"/>
      <w:lvlText w:val="(%1)"/>
      <w:lvlJc w:val="left"/>
      <w:pPr>
        <w:ind w:left="1224" w:hanging="329"/>
        <w:jc w:val="left"/>
      </w:pPr>
      <w:rPr>
        <w:rFonts w:hint="default" w:ascii="Bookman Old Style" w:hAnsi="Bookman Old Style" w:eastAsia="Bookman Old Style" w:cs="Bookman Old Style"/>
        <w:b w:val="0"/>
        <w:bCs w:val="0"/>
        <w:i w:val="0"/>
        <w:iCs w:val="0"/>
        <w:spacing w:val="-1"/>
        <w:w w:val="100"/>
        <w:sz w:val="23"/>
        <w:szCs w:val="23"/>
        <w:lang w:val="en-US" w:eastAsia="en-US" w:bidi="ar-SA"/>
      </w:rPr>
    </w:lvl>
    <w:lvl w:ilvl="1">
      <w:start w:val="0"/>
      <w:numFmt w:val="bullet"/>
      <w:lvlText w:val="•"/>
      <w:lvlJc w:val="left"/>
      <w:pPr>
        <w:ind w:left="2216" w:hanging="329"/>
      </w:pPr>
      <w:rPr>
        <w:rFonts w:hint="default"/>
        <w:lang w:val="en-US" w:eastAsia="en-US" w:bidi="ar-SA"/>
      </w:rPr>
    </w:lvl>
    <w:lvl w:ilvl="2">
      <w:start w:val="0"/>
      <w:numFmt w:val="bullet"/>
      <w:lvlText w:val="•"/>
      <w:lvlJc w:val="left"/>
      <w:pPr>
        <w:ind w:left="3213" w:hanging="329"/>
      </w:pPr>
      <w:rPr>
        <w:rFonts w:hint="default"/>
        <w:lang w:val="en-US" w:eastAsia="en-US" w:bidi="ar-SA"/>
      </w:rPr>
    </w:lvl>
    <w:lvl w:ilvl="3">
      <w:start w:val="0"/>
      <w:numFmt w:val="bullet"/>
      <w:lvlText w:val="•"/>
      <w:lvlJc w:val="left"/>
      <w:pPr>
        <w:ind w:left="4209" w:hanging="329"/>
      </w:pPr>
      <w:rPr>
        <w:rFonts w:hint="default"/>
        <w:lang w:val="en-US" w:eastAsia="en-US" w:bidi="ar-SA"/>
      </w:rPr>
    </w:lvl>
    <w:lvl w:ilvl="4">
      <w:start w:val="0"/>
      <w:numFmt w:val="bullet"/>
      <w:lvlText w:val="•"/>
      <w:lvlJc w:val="left"/>
      <w:pPr>
        <w:ind w:left="5206" w:hanging="329"/>
      </w:pPr>
      <w:rPr>
        <w:rFonts w:hint="default"/>
        <w:lang w:val="en-US" w:eastAsia="en-US" w:bidi="ar-SA"/>
      </w:rPr>
    </w:lvl>
    <w:lvl w:ilvl="5">
      <w:start w:val="0"/>
      <w:numFmt w:val="bullet"/>
      <w:lvlText w:val="•"/>
      <w:lvlJc w:val="left"/>
      <w:pPr>
        <w:ind w:left="6203" w:hanging="329"/>
      </w:pPr>
      <w:rPr>
        <w:rFonts w:hint="default"/>
        <w:lang w:val="en-US" w:eastAsia="en-US" w:bidi="ar-SA"/>
      </w:rPr>
    </w:lvl>
    <w:lvl w:ilvl="6">
      <w:start w:val="0"/>
      <w:numFmt w:val="bullet"/>
      <w:lvlText w:val="•"/>
      <w:lvlJc w:val="left"/>
      <w:pPr>
        <w:ind w:left="7199" w:hanging="329"/>
      </w:pPr>
      <w:rPr>
        <w:rFonts w:hint="default"/>
        <w:lang w:val="en-US" w:eastAsia="en-US" w:bidi="ar-SA"/>
      </w:rPr>
    </w:lvl>
    <w:lvl w:ilvl="7">
      <w:start w:val="0"/>
      <w:numFmt w:val="bullet"/>
      <w:lvlText w:val="•"/>
      <w:lvlJc w:val="left"/>
      <w:pPr>
        <w:ind w:left="8196" w:hanging="329"/>
      </w:pPr>
      <w:rPr>
        <w:rFonts w:hint="default"/>
        <w:lang w:val="en-US" w:eastAsia="en-US" w:bidi="ar-SA"/>
      </w:rPr>
    </w:lvl>
    <w:lvl w:ilvl="8">
      <w:start w:val="0"/>
      <w:numFmt w:val="bullet"/>
      <w:lvlText w:val="•"/>
      <w:lvlJc w:val="left"/>
      <w:pPr>
        <w:ind w:left="9193" w:hanging="329"/>
      </w:pPr>
      <w:rPr>
        <w:rFonts w:hint="default"/>
        <w:lang w:val="en-US" w:eastAsia="en-US" w:bidi="ar-SA"/>
      </w:rPr>
    </w:lvl>
  </w:abstractNum>
  <w:abstractNum w:abstractNumId="390">
    <w:multiLevelType w:val="hybridMultilevel"/>
    <w:lvl w:ilvl="0">
      <w:start w:val="3"/>
      <w:numFmt w:val="decimal"/>
      <w:lvlText w:val="%1."/>
      <w:lvlJc w:val="left"/>
      <w:pPr>
        <w:ind w:left="1255" w:hanging="38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252" w:hanging="380"/>
      </w:pPr>
      <w:rPr>
        <w:rFonts w:hint="default"/>
        <w:lang w:val="en-US" w:eastAsia="en-US" w:bidi="ar-SA"/>
      </w:rPr>
    </w:lvl>
    <w:lvl w:ilvl="2">
      <w:start w:val="0"/>
      <w:numFmt w:val="bullet"/>
      <w:lvlText w:val="•"/>
      <w:lvlJc w:val="left"/>
      <w:pPr>
        <w:ind w:left="3245" w:hanging="380"/>
      </w:pPr>
      <w:rPr>
        <w:rFonts w:hint="default"/>
        <w:lang w:val="en-US" w:eastAsia="en-US" w:bidi="ar-SA"/>
      </w:rPr>
    </w:lvl>
    <w:lvl w:ilvl="3">
      <w:start w:val="0"/>
      <w:numFmt w:val="bullet"/>
      <w:lvlText w:val="•"/>
      <w:lvlJc w:val="left"/>
      <w:pPr>
        <w:ind w:left="4237" w:hanging="380"/>
      </w:pPr>
      <w:rPr>
        <w:rFonts w:hint="default"/>
        <w:lang w:val="en-US" w:eastAsia="en-US" w:bidi="ar-SA"/>
      </w:rPr>
    </w:lvl>
    <w:lvl w:ilvl="4">
      <w:start w:val="0"/>
      <w:numFmt w:val="bullet"/>
      <w:lvlText w:val="•"/>
      <w:lvlJc w:val="left"/>
      <w:pPr>
        <w:ind w:left="5230" w:hanging="380"/>
      </w:pPr>
      <w:rPr>
        <w:rFonts w:hint="default"/>
        <w:lang w:val="en-US" w:eastAsia="en-US" w:bidi="ar-SA"/>
      </w:rPr>
    </w:lvl>
    <w:lvl w:ilvl="5">
      <w:start w:val="0"/>
      <w:numFmt w:val="bullet"/>
      <w:lvlText w:val="•"/>
      <w:lvlJc w:val="left"/>
      <w:pPr>
        <w:ind w:left="6223" w:hanging="380"/>
      </w:pPr>
      <w:rPr>
        <w:rFonts w:hint="default"/>
        <w:lang w:val="en-US" w:eastAsia="en-US" w:bidi="ar-SA"/>
      </w:rPr>
    </w:lvl>
    <w:lvl w:ilvl="6">
      <w:start w:val="0"/>
      <w:numFmt w:val="bullet"/>
      <w:lvlText w:val="•"/>
      <w:lvlJc w:val="left"/>
      <w:pPr>
        <w:ind w:left="7215" w:hanging="380"/>
      </w:pPr>
      <w:rPr>
        <w:rFonts w:hint="default"/>
        <w:lang w:val="en-US" w:eastAsia="en-US" w:bidi="ar-SA"/>
      </w:rPr>
    </w:lvl>
    <w:lvl w:ilvl="7">
      <w:start w:val="0"/>
      <w:numFmt w:val="bullet"/>
      <w:lvlText w:val="•"/>
      <w:lvlJc w:val="left"/>
      <w:pPr>
        <w:ind w:left="8208" w:hanging="380"/>
      </w:pPr>
      <w:rPr>
        <w:rFonts w:hint="default"/>
        <w:lang w:val="en-US" w:eastAsia="en-US" w:bidi="ar-SA"/>
      </w:rPr>
    </w:lvl>
    <w:lvl w:ilvl="8">
      <w:start w:val="0"/>
      <w:numFmt w:val="bullet"/>
      <w:lvlText w:val="•"/>
      <w:lvlJc w:val="left"/>
      <w:pPr>
        <w:ind w:left="9201" w:hanging="380"/>
      </w:pPr>
      <w:rPr>
        <w:rFonts w:hint="default"/>
        <w:lang w:val="en-US" w:eastAsia="en-US" w:bidi="ar-SA"/>
      </w:rPr>
    </w:lvl>
  </w:abstractNum>
  <w:abstractNum w:abstractNumId="389">
    <w:multiLevelType w:val="hybridMultilevel"/>
    <w:lvl w:ilvl="0">
      <w:start w:val="1"/>
      <w:numFmt w:val="decimal"/>
      <w:lvlText w:val="%1."/>
      <w:lvlJc w:val="left"/>
      <w:pPr>
        <w:ind w:left="1255" w:hanging="38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252" w:hanging="380"/>
      </w:pPr>
      <w:rPr>
        <w:rFonts w:hint="default"/>
        <w:lang w:val="en-US" w:eastAsia="en-US" w:bidi="ar-SA"/>
      </w:rPr>
    </w:lvl>
    <w:lvl w:ilvl="2">
      <w:start w:val="0"/>
      <w:numFmt w:val="bullet"/>
      <w:lvlText w:val="•"/>
      <w:lvlJc w:val="left"/>
      <w:pPr>
        <w:ind w:left="3245" w:hanging="380"/>
      </w:pPr>
      <w:rPr>
        <w:rFonts w:hint="default"/>
        <w:lang w:val="en-US" w:eastAsia="en-US" w:bidi="ar-SA"/>
      </w:rPr>
    </w:lvl>
    <w:lvl w:ilvl="3">
      <w:start w:val="0"/>
      <w:numFmt w:val="bullet"/>
      <w:lvlText w:val="•"/>
      <w:lvlJc w:val="left"/>
      <w:pPr>
        <w:ind w:left="4237" w:hanging="380"/>
      </w:pPr>
      <w:rPr>
        <w:rFonts w:hint="default"/>
        <w:lang w:val="en-US" w:eastAsia="en-US" w:bidi="ar-SA"/>
      </w:rPr>
    </w:lvl>
    <w:lvl w:ilvl="4">
      <w:start w:val="0"/>
      <w:numFmt w:val="bullet"/>
      <w:lvlText w:val="•"/>
      <w:lvlJc w:val="left"/>
      <w:pPr>
        <w:ind w:left="5230" w:hanging="380"/>
      </w:pPr>
      <w:rPr>
        <w:rFonts w:hint="default"/>
        <w:lang w:val="en-US" w:eastAsia="en-US" w:bidi="ar-SA"/>
      </w:rPr>
    </w:lvl>
    <w:lvl w:ilvl="5">
      <w:start w:val="0"/>
      <w:numFmt w:val="bullet"/>
      <w:lvlText w:val="•"/>
      <w:lvlJc w:val="left"/>
      <w:pPr>
        <w:ind w:left="6223" w:hanging="380"/>
      </w:pPr>
      <w:rPr>
        <w:rFonts w:hint="default"/>
        <w:lang w:val="en-US" w:eastAsia="en-US" w:bidi="ar-SA"/>
      </w:rPr>
    </w:lvl>
    <w:lvl w:ilvl="6">
      <w:start w:val="0"/>
      <w:numFmt w:val="bullet"/>
      <w:lvlText w:val="•"/>
      <w:lvlJc w:val="left"/>
      <w:pPr>
        <w:ind w:left="7215" w:hanging="380"/>
      </w:pPr>
      <w:rPr>
        <w:rFonts w:hint="default"/>
        <w:lang w:val="en-US" w:eastAsia="en-US" w:bidi="ar-SA"/>
      </w:rPr>
    </w:lvl>
    <w:lvl w:ilvl="7">
      <w:start w:val="0"/>
      <w:numFmt w:val="bullet"/>
      <w:lvlText w:val="•"/>
      <w:lvlJc w:val="left"/>
      <w:pPr>
        <w:ind w:left="8208" w:hanging="380"/>
      </w:pPr>
      <w:rPr>
        <w:rFonts w:hint="default"/>
        <w:lang w:val="en-US" w:eastAsia="en-US" w:bidi="ar-SA"/>
      </w:rPr>
    </w:lvl>
    <w:lvl w:ilvl="8">
      <w:start w:val="0"/>
      <w:numFmt w:val="bullet"/>
      <w:lvlText w:val="•"/>
      <w:lvlJc w:val="left"/>
      <w:pPr>
        <w:ind w:left="9201" w:hanging="380"/>
      </w:pPr>
      <w:rPr>
        <w:rFonts w:hint="default"/>
        <w:lang w:val="en-US" w:eastAsia="en-US" w:bidi="ar-SA"/>
      </w:rPr>
    </w:lvl>
  </w:abstractNum>
  <w:abstractNum w:abstractNumId="388">
    <w:multiLevelType w:val="hybridMultilevel"/>
    <w:lvl w:ilvl="0">
      <w:start w:val="1"/>
      <w:numFmt w:val="decimal"/>
      <w:lvlText w:val="%1."/>
      <w:lvlJc w:val="left"/>
      <w:pPr>
        <w:ind w:left="1224" w:hanging="38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216" w:hanging="384"/>
      </w:pPr>
      <w:rPr>
        <w:rFonts w:hint="default"/>
        <w:lang w:val="en-US" w:eastAsia="en-US" w:bidi="ar-SA"/>
      </w:rPr>
    </w:lvl>
    <w:lvl w:ilvl="2">
      <w:start w:val="0"/>
      <w:numFmt w:val="bullet"/>
      <w:lvlText w:val="•"/>
      <w:lvlJc w:val="left"/>
      <w:pPr>
        <w:ind w:left="3213" w:hanging="384"/>
      </w:pPr>
      <w:rPr>
        <w:rFonts w:hint="default"/>
        <w:lang w:val="en-US" w:eastAsia="en-US" w:bidi="ar-SA"/>
      </w:rPr>
    </w:lvl>
    <w:lvl w:ilvl="3">
      <w:start w:val="0"/>
      <w:numFmt w:val="bullet"/>
      <w:lvlText w:val="•"/>
      <w:lvlJc w:val="left"/>
      <w:pPr>
        <w:ind w:left="4209" w:hanging="384"/>
      </w:pPr>
      <w:rPr>
        <w:rFonts w:hint="default"/>
        <w:lang w:val="en-US" w:eastAsia="en-US" w:bidi="ar-SA"/>
      </w:rPr>
    </w:lvl>
    <w:lvl w:ilvl="4">
      <w:start w:val="0"/>
      <w:numFmt w:val="bullet"/>
      <w:lvlText w:val="•"/>
      <w:lvlJc w:val="left"/>
      <w:pPr>
        <w:ind w:left="5206" w:hanging="384"/>
      </w:pPr>
      <w:rPr>
        <w:rFonts w:hint="default"/>
        <w:lang w:val="en-US" w:eastAsia="en-US" w:bidi="ar-SA"/>
      </w:rPr>
    </w:lvl>
    <w:lvl w:ilvl="5">
      <w:start w:val="0"/>
      <w:numFmt w:val="bullet"/>
      <w:lvlText w:val="•"/>
      <w:lvlJc w:val="left"/>
      <w:pPr>
        <w:ind w:left="6203" w:hanging="384"/>
      </w:pPr>
      <w:rPr>
        <w:rFonts w:hint="default"/>
        <w:lang w:val="en-US" w:eastAsia="en-US" w:bidi="ar-SA"/>
      </w:rPr>
    </w:lvl>
    <w:lvl w:ilvl="6">
      <w:start w:val="0"/>
      <w:numFmt w:val="bullet"/>
      <w:lvlText w:val="•"/>
      <w:lvlJc w:val="left"/>
      <w:pPr>
        <w:ind w:left="7199" w:hanging="384"/>
      </w:pPr>
      <w:rPr>
        <w:rFonts w:hint="default"/>
        <w:lang w:val="en-US" w:eastAsia="en-US" w:bidi="ar-SA"/>
      </w:rPr>
    </w:lvl>
    <w:lvl w:ilvl="7">
      <w:start w:val="0"/>
      <w:numFmt w:val="bullet"/>
      <w:lvlText w:val="•"/>
      <w:lvlJc w:val="left"/>
      <w:pPr>
        <w:ind w:left="8196" w:hanging="384"/>
      </w:pPr>
      <w:rPr>
        <w:rFonts w:hint="default"/>
        <w:lang w:val="en-US" w:eastAsia="en-US" w:bidi="ar-SA"/>
      </w:rPr>
    </w:lvl>
    <w:lvl w:ilvl="8">
      <w:start w:val="0"/>
      <w:numFmt w:val="bullet"/>
      <w:lvlText w:val="•"/>
      <w:lvlJc w:val="left"/>
      <w:pPr>
        <w:ind w:left="9193" w:hanging="384"/>
      </w:pPr>
      <w:rPr>
        <w:rFonts w:hint="default"/>
        <w:lang w:val="en-US" w:eastAsia="en-US" w:bidi="ar-SA"/>
      </w:rPr>
    </w:lvl>
  </w:abstractNum>
  <w:abstractNum w:abstractNumId="386">
    <w:multiLevelType w:val="hybridMultilevel"/>
    <w:lvl w:ilvl="0">
      <w:start w:val="1"/>
      <w:numFmt w:val="lowerLetter"/>
      <w:lvlText w:val="%1."/>
      <w:lvlJc w:val="left"/>
      <w:pPr>
        <w:ind w:left="90" w:hanging="207"/>
        <w:jc w:val="left"/>
      </w:pPr>
      <w:rPr>
        <w:rFonts w:hint="default" w:ascii="Bookman Old Style" w:hAnsi="Bookman Old Style" w:eastAsia="Bookman Old Style" w:cs="Bookman Old Style"/>
        <w:b w:val="0"/>
        <w:bCs w:val="0"/>
        <w:i w:val="0"/>
        <w:iCs w:val="0"/>
        <w:spacing w:val="-13"/>
        <w:w w:val="99"/>
        <w:sz w:val="20"/>
        <w:szCs w:val="20"/>
        <w:lang w:val="en-US" w:eastAsia="en-US" w:bidi="ar-SA"/>
      </w:rPr>
    </w:lvl>
    <w:lvl w:ilvl="1">
      <w:start w:val="0"/>
      <w:numFmt w:val="bullet"/>
      <w:lvlText w:val="•"/>
      <w:lvlJc w:val="left"/>
      <w:pPr>
        <w:ind w:left="253" w:hanging="207"/>
      </w:pPr>
      <w:rPr>
        <w:rFonts w:hint="default"/>
        <w:lang w:val="en-US" w:eastAsia="en-US" w:bidi="ar-SA"/>
      </w:rPr>
    </w:lvl>
    <w:lvl w:ilvl="2">
      <w:start w:val="0"/>
      <w:numFmt w:val="bullet"/>
      <w:lvlText w:val="•"/>
      <w:lvlJc w:val="left"/>
      <w:pPr>
        <w:ind w:left="407" w:hanging="207"/>
      </w:pPr>
      <w:rPr>
        <w:rFonts w:hint="default"/>
        <w:lang w:val="en-US" w:eastAsia="en-US" w:bidi="ar-SA"/>
      </w:rPr>
    </w:lvl>
    <w:lvl w:ilvl="3">
      <w:start w:val="0"/>
      <w:numFmt w:val="bullet"/>
      <w:lvlText w:val="•"/>
      <w:lvlJc w:val="left"/>
      <w:pPr>
        <w:ind w:left="560" w:hanging="207"/>
      </w:pPr>
      <w:rPr>
        <w:rFonts w:hint="default"/>
        <w:lang w:val="en-US" w:eastAsia="en-US" w:bidi="ar-SA"/>
      </w:rPr>
    </w:lvl>
    <w:lvl w:ilvl="4">
      <w:start w:val="0"/>
      <w:numFmt w:val="bullet"/>
      <w:lvlText w:val="•"/>
      <w:lvlJc w:val="left"/>
      <w:pPr>
        <w:ind w:left="714" w:hanging="207"/>
      </w:pPr>
      <w:rPr>
        <w:rFonts w:hint="default"/>
        <w:lang w:val="en-US" w:eastAsia="en-US" w:bidi="ar-SA"/>
      </w:rPr>
    </w:lvl>
    <w:lvl w:ilvl="5">
      <w:start w:val="0"/>
      <w:numFmt w:val="bullet"/>
      <w:lvlText w:val="•"/>
      <w:lvlJc w:val="left"/>
      <w:pPr>
        <w:ind w:left="867" w:hanging="207"/>
      </w:pPr>
      <w:rPr>
        <w:rFonts w:hint="default"/>
        <w:lang w:val="en-US" w:eastAsia="en-US" w:bidi="ar-SA"/>
      </w:rPr>
    </w:lvl>
    <w:lvl w:ilvl="6">
      <w:start w:val="0"/>
      <w:numFmt w:val="bullet"/>
      <w:lvlText w:val="•"/>
      <w:lvlJc w:val="left"/>
      <w:pPr>
        <w:ind w:left="1021" w:hanging="207"/>
      </w:pPr>
      <w:rPr>
        <w:rFonts w:hint="default"/>
        <w:lang w:val="en-US" w:eastAsia="en-US" w:bidi="ar-SA"/>
      </w:rPr>
    </w:lvl>
    <w:lvl w:ilvl="7">
      <w:start w:val="0"/>
      <w:numFmt w:val="bullet"/>
      <w:lvlText w:val="•"/>
      <w:lvlJc w:val="left"/>
      <w:pPr>
        <w:ind w:left="1174" w:hanging="207"/>
      </w:pPr>
      <w:rPr>
        <w:rFonts w:hint="default"/>
        <w:lang w:val="en-US" w:eastAsia="en-US" w:bidi="ar-SA"/>
      </w:rPr>
    </w:lvl>
    <w:lvl w:ilvl="8">
      <w:start w:val="0"/>
      <w:numFmt w:val="bullet"/>
      <w:lvlText w:val="•"/>
      <w:lvlJc w:val="left"/>
      <w:pPr>
        <w:ind w:left="1328" w:hanging="207"/>
      </w:pPr>
      <w:rPr>
        <w:rFonts w:hint="default"/>
        <w:lang w:val="en-US" w:eastAsia="en-US" w:bidi="ar-SA"/>
      </w:rPr>
    </w:lvl>
  </w:abstractNum>
  <w:abstractNum w:abstractNumId="385">
    <w:multiLevelType w:val="hybridMultilevel"/>
    <w:lvl w:ilvl="0">
      <w:start w:val="1"/>
      <w:numFmt w:val="lowerLetter"/>
      <w:lvlText w:val="%1)"/>
      <w:lvlJc w:val="left"/>
      <w:pPr>
        <w:ind w:left="106" w:hanging="356"/>
        <w:jc w:val="left"/>
      </w:pPr>
      <w:rPr>
        <w:rFonts w:hint="default" w:ascii="Bookman Old Style" w:hAnsi="Bookman Old Style" w:eastAsia="Bookman Old Style" w:cs="Bookman Old Style"/>
        <w:b w:val="0"/>
        <w:bCs w:val="0"/>
        <w:i w:val="0"/>
        <w:iCs w:val="0"/>
        <w:spacing w:val="-13"/>
        <w:w w:val="87"/>
        <w:sz w:val="20"/>
        <w:szCs w:val="20"/>
        <w:lang w:val="en-US" w:eastAsia="en-US" w:bidi="ar-SA"/>
      </w:rPr>
    </w:lvl>
    <w:lvl w:ilvl="1">
      <w:start w:val="0"/>
      <w:numFmt w:val="bullet"/>
      <w:lvlText w:val="•"/>
      <w:lvlJc w:val="left"/>
      <w:pPr>
        <w:ind w:left="253" w:hanging="356"/>
      </w:pPr>
      <w:rPr>
        <w:rFonts w:hint="default"/>
        <w:lang w:val="en-US" w:eastAsia="en-US" w:bidi="ar-SA"/>
      </w:rPr>
    </w:lvl>
    <w:lvl w:ilvl="2">
      <w:start w:val="0"/>
      <w:numFmt w:val="bullet"/>
      <w:lvlText w:val="•"/>
      <w:lvlJc w:val="left"/>
      <w:pPr>
        <w:ind w:left="407" w:hanging="356"/>
      </w:pPr>
      <w:rPr>
        <w:rFonts w:hint="default"/>
        <w:lang w:val="en-US" w:eastAsia="en-US" w:bidi="ar-SA"/>
      </w:rPr>
    </w:lvl>
    <w:lvl w:ilvl="3">
      <w:start w:val="0"/>
      <w:numFmt w:val="bullet"/>
      <w:lvlText w:val="•"/>
      <w:lvlJc w:val="left"/>
      <w:pPr>
        <w:ind w:left="560" w:hanging="356"/>
      </w:pPr>
      <w:rPr>
        <w:rFonts w:hint="default"/>
        <w:lang w:val="en-US" w:eastAsia="en-US" w:bidi="ar-SA"/>
      </w:rPr>
    </w:lvl>
    <w:lvl w:ilvl="4">
      <w:start w:val="0"/>
      <w:numFmt w:val="bullet"/>
      <w:lvlText w:val="•"/>
      <w:lvlJc w:val="left"/>
      <w:pPr>
        <w:ind w:left="714" w:hanging="356"/>
      </w:pPr>
      <w:rPr>
        <w:rFonts w:hint="default"/>
        <w:lang w:val="en-US" w:eastAsia="en-US" w:bidi="ar-SA"/>
      </w:rPr>
    </w:lvl>
    <w:lvl w:ilvl="5">
      <w:start w:val="0"/>
      <w:numFmt w:val="bullet"/>
      <w:lvlText w:val="•"/>
      <w:lvlJc w:val="left"/>
      <w:pPr>
        <w:ind w:left="867" w:hanging="356"/>
      </w:pPr>
      <w:rPr>
        <w:rFonts w:hint="default"/>
        <w:lang w:val="en-US" w:eastAsia="en-US" w:bidi="ar-SA"/>
      </w:rPr>
    </w:lvl>
    <w:lvl w:ilvl="6">
      <w:start w:val="0"/>
      <w:numFmt w:val="bullet"/>
      <w:lvlText w:val="•"/>
      <w:lvlJc w:val="left"/>
      <w:pPr>
        <w:ind w:left="1021" w:hanging="356"/>
      </w:pPr>
      <w:rPr>
        <w:rFonts w:hint="default"/>
        <w:lang w:val="en-US" w:eastAsia="en-US" w:bidi="ar-SA"/>
      </w:rPr>
    </w:lvl>
    <w:lvl w:ilvl="7">
      <w:start w:val="0"/>
      <w:numFmt w:val="bullet"/>
      <w:lvlText w:val="•"/>
      <w:lvlJc w:val="left"/>
      <w:pPr>
        <w:ind w:left="1174" w:hanging="356"/>
      </w:pPr>
      <w:rPr>
        <w:rFonts w:hint="default"/>
        <w:lang w:val="en-US" w:eastAsia="en-US" w:bidi="ar-SA"/>
      </w:rPr>
    </w:lvl>
    <w:lvl w:ilvl="8">
      <w:start w:val="0"/>
      <w:numFmt w:val="bullet"/>
      <w:lvlText w:val="•"/>
      <w:lvlJc w:val="left"/>
      <w:pPr>
        <w:ind w:left="1328" w:hanging="356"/>
      </w:pPr>
      <w:rPr>
        <w:rFonts w:hint="default"/>
        <w:lang w:val="en-US" w:eastAsia="en-US" w:bidi="ar-SA"/>
      </w:rPr>
    </w:lvl>
  </w:abstractNum>
  <w:abstractNum w:abstractNumId="384">
    <w:multiLevelType w:val="hybridMultilevel"/>
    <w:lvl w:ilvl="0">
      <w:start w:val="1"/>
      <w:numFmt w:val="lowerLetter"/>
      <w:lvlText w:val="%1)"/>
      <w:lvlJc w:val="left"/>
      <w:pPr>
        <w:ind w:left="106" w:hanging="177"/>
        <w:jc w:val="left"/>
      </w:pPr>
      <w:rPr>
        <w:rFonts w:hint="default" w:ascii="Bookman Old Style" w:hAnsi="Bookman Old Style" w:eastAsia="Bookman Old Style" w:cs="Bookman Old Style"/>
        <w:b w:val="0"/>
        <w:bCs w:val="0"/>
        <w:i w:val="0"/>
        <w:iCs w:val="0"/>
        <w:spacing w:val="-1"/>
        <w:w w:val="97"/>
        <w:sz w:val="18"/>
        <w:szCs w:val="18"/>
        <w:lang w:val="en-US" w:eastAsia="en-US" w:bidi="ar-SA"/>
      </w:rPr>
    </w:lvl>
    <w:lvl w:ilvl="1">
      <w:start w:val="0"/>
      <w:numFmt w:val="bullet"/>
      <w:lvlText w:val="•"/>
      <w:lvlJc w:val="left"/>
      <w:pPr>
        <w:ind w:left="253" w:hanging="177"/>
      </w:pPr>
      <w:rPr>
        <w:rFonts w:hint="default"/>
        <w:lang w:val="en-US" w:eastAsia="en-US" w:bidi="ar-SA"/>
      </w:rPr>
    </w:lvl>
    <w:lvl w:ilvl="2">
      <w:start w:val="0"/>
      <w:numFmt w:val="bullet"/>
      <w:lvlText w:val="•"/>
      <w:lvlJc w:val="left"/>
      <w:pPr>
        <w:ind w:left="407" w:hanging="177"/>
      </w:pPr>
      <w:rPr>
        <w:rFonts w:hint="default"/>
        <w:lang w:val="en-US" w:eastAsia="en-US" w:bidi="ar-SA"/>
      </w:rPr>
    </w:lvl>
    <w:lvl w:ilvl="3">
      <w:start w:val="0"/>
      <w:numFmt w:val="bullet"/>
      <w:lvlText w:val="•"/>
      <w:lvlJc w:val="left"/>
      <w:pPr>
        <w:ind w:left="560" w:hanging="177"/>
      </w:pPr>
      <w:rPr>
        <w:rFonts w:hint="default"/>
        <w:lang w:val="en-US" w:eastAsia="en-US" w:bidi="ar-SA"/>
      </w:rPr>
    </w:lvl>
    <w:lvl w:ilvl="4">
      <w:start w:val="0"/>
      <w:numFmt w:val="bullet"/>
      <w:lvlText w:val="•"/>
      <w:lvlJc w:val="left"/>
      <w:pPr>
        <w:ind w:left="714" w:hanging="177"/>
      </w:pPr>
      <w:rPr>
        <w:rFonts w:hint="default"/>
        <w:lang w:val="en-US" w:eastAsia="en-US" w:bidi="ar-SA"/>
      </w:rPr>
    </w:lvl>
    <w:lvl w:ilvl="5">
      <w:start w:val="0"/>
      <w:numFmt w:val="bullet"/>
      <w:lvlText w:val="•"/>
      <w:lvlJc w:val="left"/>
      <w:pPr>
        <w:ind w:left="867" w:hanging="177"/>
      </w:pPr>
      <w:rPr>
        <w:rFonts w:hint="default"/>
        <w:lang w:val="en-US" w:eastAsia="en-US" w:bidi="ar-SA"/>
      </w:rPr>
    </w:lvl>
    <w:lvl w:ilvl="6">
      <w:start w:val="0"/>
      <w:numFmt w:val="bullet"/>
      <w:lvlText w:val="•"/>
      <w:lvlJc w:val="left"/>
      <w:pPr>
        <w:ind w:left="1021" w:hanging="177"/>
      </w:pPr>
      <w:rPr>
        <w:rFonts w:hint="default"/>
        <w:lang w:val="en-US" w:eastAsia="en-US" w:bidi="ar-SA"/>
      </w:rPr>
    </w:lvl>
    <w:lvl w:ilvl="7">
      <w:start w:val="0"/>
      <w:numFmt w:val="bullet"/>
      <w:lvlText w:val="•"/>
      <w:lvlJc w:val="left"/>
      <w:pPr>
        <w:ind w:left="1174" w:hanging="177"/>
      </w:pPr>
      <w:rPr>
        <w:rFonts w:hint="default"/>
        <w:lang w:val="en-US" w:eastAsia="en-US" w:bidi="ar-SA"/>
      </w:rPr>
    </w:lvl>
    <w:lvl w:ilvl="8">
      <w:start w:val="0"/>
      <w:numFmt w:val="bullet"/>
      <w:lvlText w:val="•"/>
      <w:lvlJc w:val="left"/>
      <w:pPr>
        <w:ind w:left="1328" w:hanging="177"/>
      </w:pPr>
      <w:rPr>
        <w:rFonts w:hint="default"/>
        <w:lang w:val="en-US" w:eastAsia="en-US" w:bidi="ar-SA"/>
      </w:rPr>
    </w:lvl>
  </w:abstractNum>
  <w:abstractNum w:abstractNumId="383">
    <w:multiLevelType w:val="hybridMultilevel"/>
    <w:lvl w:ilvl="0">
      <w:start w:val="1"/>
      <w:numFmt w:val="lowerLetter"/>
      <w:lvlText w:val="%1)"/>
      <w:lvlJc w:val="left"/>
      <w:pPr>
        <w:ind w:left="106" w:hanging="177"/>
        <w:jc w:val="left"/>
      </w:pPr>
      <w:rPr>
        <w:rFonts w:hint="default" w:ascii="Bookman Old Style" w:hAnsi="Bookman Old Style" w:eastAsia="Bookman Old Style" w:cs="Bookman Old Style"/>
        <w:b w:val="0"/>
        <w:bCs w:val="0"/>
        <w:i w:val="0"/>
        <w:iCs w:val="0"/>
        <w:spacing w:val="-1"/>
        <w:w w:val="97"/>
        <w:sz w:val="18"/>
        <w:szCs w:val="18"/>
        <w:lang w:val="en-US" w:eastAsia="en-US" w:bidi="ar-SA"/>
      </w:rPr>
    </w:lvl>
    <w:lvl w:ilvl="1">
      <w:start w:val="0"/>
      <w:numFmt w:val="bullet"/>
      <w:lvlText w:val="•"/>
      <w:lvlJc w:val="left"/>
      <w:pPr>
        <w:ind w:left="253" w:hanging="177"/>
      </w:pPr>
      <w:rPr>
        <w:rFonts w:hint="default"/>
        <w:lang w:val="en-US" w:eastAsia="en-US" w:bidi="ar-SA"/>
      </w:rPr>
    </w:lvl>
    <w:lvl w:ilvl="2">
      <w:start w:val="0"/>
      <w:numFmt w:val="bullet"/>
      <w:lvlText w:val="•"/>
      <w:lvlJc w:val="left"/>
      <w:pPr>
        <w:ind w:left="407" w:hanging="177"/>
      </w:pPr>
      <w:rPr>
        <w:rFonts w:hint="default"/>
        <w:lang w:val="en-US" w:eastAsia="en-US" w:bidi="ar-SA"/>
      </w:rPr>
    </w:lvl>
    <w:lvl w:ilvl="3">
      <w:start w:val="0"/>
      <w:numFmt w:val="bullet"/>
      <w:lvlText w:val="•"/>
      <w:lvlJc w:val="left"/>
      <w:pPr>
        <w:ind w:left="560" w:hanging="177"/>
      </w:pPr>
      <w:rPr>
        <w:rFonts w:hint="default"/>
        <w:lang w:val="en-US" w:eastAsia="en-US" w:bidi="ar-SA"/>
      </w:rPr>
    </w:lvl>
    <w:lvl w:ilvl="4">
      <w:start w:val="0"/>
      <w:numFmt w:val="bullet"/>
      <w:lvlText w:val="•"/>
      <w:lvlJc w:val="left"/>
      <w:pPr>
        <w:ind w:left="714" w:hanging="177"/>
      </w:pPr>
      <w:rPr>
        <w:rFonts w:hint="default"/>
        <w:lang w:val="en-US" w:eastAsia="en-US" w:bidi="ar-SA"/>
      </w:rPr>
    </w:lvl>
    <w:lvl w:ilvl="5">
      <w:start w:val="0"/>
      <w:numFmt w:val="bullet"/>
      <w:lvlText w:val="•"/>
      <w:lvlJc w:val="left"/>
      <w:pPr>
        <w:ind w:left="867" w:hanging="177"/>
      </w:pPr>
      <w:rPr>
        <w:rFonts w:hint="default"/>
        <w:lang w:val="en-US" w:eastAsia="en-US" w:bidi="ar-SA"/>
      </w:rPr>
    </w:lvl>
    <w:lvl w:ilvl="6">
      <w:start w:val="0"/>
      <w:numFmt w:val="bullet"/>
      <w:lvlText w:val="•"/>
      <w:lvlJc w:val="left"/>
      <w:pPr>
        <w:ind w:left="1021" w:hanging="177"/>
      </w:pPr>
      <w:rPr>
        <w:rFonts w:hint="default"/>
        <w:lang w:val="en-US" w:eastAsia="en-US" w:bidi="ar-SA"/>
      </w:rPr>
    </w:lvl>
    <w:lvl w:ilvl="7">
      <w:start w:val="0"/>
      <w:numFmt w:val="bullet"/>
      <w:lvlText w:val="•"/>
      <w:lvlJc w:val="left"/>
      <w:pPr>
        <w:ind w:left="1174" w:hanging="177"/>
      </w:pPr>
      <w:rPr>
        <w:rFonts w:hint="default"/>
        <w:lang w:val="en-US" w:eastAsia="en-US" w:bidi="ar-SA"/>
      </w:rPr>
    </w:lvl>
    <w:lvl w:ilvl="8">
      <w:start w:val="0"/>
      <w:numFmt w:val="bullet"/>
      <w:lvlText w:val="•"/>
      <w:lvlJc w:val="left"/>
      <w:pPr>
        <w:ind w:left="1328" w:hanging="177"/>
      </w:pPr>
      <w:rPr>
        <w:rFonts w:hint="default"/>
        <w:lang w:val="en-US" w:eastAsia="en-US" w:bidi="ar-SA"/>
      </w:rPr>
    </w:lvl>
  </w:abstractNum>
  <w:abstractNum w:abstractNumId="382">
    <w:multiLevelType w:val="hybridMultilevel"/>
    <w:lvl w:ilvl="0">
      <w:start w:val="1"/>
      <w:numFmt w:val="lowerLetter"/>
      <w:lvlText w:val="%1)"/>
      <w:lvlJc w:val="left"/>
      <w:pPr>
        <w:ind w:left="106" w:hanging="368"/>
        <w:jc w:val="left"/>
      </w:pPr>
      <w:rPr>
        <w:rFonts w:hint="default" w:ascii="Bookman Old Style" w:hAnsi="Bookman Old Style" w:eastAsia="Bookman Old Style" w:cs="Bookman Old Style"/>
        <w:b w:val="0"/>
        <w:bCs w:val="0"/>
        <w:i w:val="0"/>
        <w:iCs w:val="0"/>
        <w:spacing w:val="-1"/>
        <w:w w:val="99"/>
        <w:sz w:val="20"/>
        <w:szCs w:val="20"/>
        <w:lang w:val="en-US" w:eastAsia="en-US" w:bidi="ar-SA"/>
      </w:rPr>
    </w:lvl>
    <w:lvl w:ilvl="1">
      <w:start w:val="0"/>
      <w:numFmt w:val="bullet"/>
      <w:lvlText w:val="•"/>
      <w:lvlJc w:val="left"/>
      <w:pPr>
        <w:ind w:left="253" w:hanging="368"/>
      </w:pPr>
      <w:rPr>
        <w:rFonts w:hint="default"/>
        <w:lang w:val="en-US" w:eastAsia="en-US" w:bidi="ar-SA"/>
      </w:rPr>
    </w:lvl>
    <w:lvl w:ilvl="2">
      <w:start w:val="0"/>
      <w:numFmt w:val="bullet"/>
      <w:lvlText w:val="•"/>
      <w:lvlJc w:val="left"/>
      <w:pPr>
        <w:ind w:left="407" w:hanging="368"/>
      </w:pPr>
      <w:rPr>
        <w:rFonts w:hint="default"/>
        <w:lang w:val="en-US" w:eastAsia="en-US" w:bidi="ar-SA"/>
      </w:rPr>
    </w:lvl>
    <w:lvl w:ilvl="3">
      <w:start w:val="0"/>
      <w:numFmt w:val="bullet"/>
      <w:lvlText w:val="•"/>
      <w:lvlJc w:val="left"/>
      <w:pPr>
        <w:ind w:left="560" w:hanging="368"/>
      </w:pPr>
      <w:rPr>
        <w:rFonts w:hint="default"/>
        <w:lang w:val="en-US" w:eastAsia="en-US" w:bidi="ar-SA"/>
      </w:rPr>
    </w:lvl>
    <w:lvl w:ilvl="4">
      <w:start w:val="0"/>
      <w:numFmt w:val="bullet"/>
      <w:lvlText w:val="•"/>
      <w:lvlJc w:val="left"/>
      <w:pPr>
        <w:ind w:left="714" w:hanging="368"/>
      </w:pPr>
      <w:rPr>
        <w:rFonts w:hint="default"/>
        <w:lang w:val="en-US" w:eastAsia="en-US" w:bidi="ar-SA"/>
      </w:rPr>
    </w:lvl>
    <w:lvl w:ilvl="5">
      <w:start w:val="0"/>
      <w:numFmt w:val="bullet"/>
      <w:lvlText w:val="•"/>
      <w:lvlJc w:val="left"/>
      <w:pPr>
        <w:ind w:left="867" w:hanging="368"/>
      </w:pPr>
      <w:rPr>
        <w:rFonts w:hint="default"/>
        <w:lang w:val="en-US" w:eastAsia="en-US" w:bidi="ar-SA"/>
      </w:rPr>
    </w:lvl>
    <w:lvl w:ilvl="6">
      <w:start w:val="0"/>
      <w:numFmt w:val="bullet"/>
      <w:lvlText w:val="•"/>
      <w:lvlJc w:val="left"/>
      <w:pPr>
        <w:ind w:left="1021" w:hanging="368"/>
      </w:pPr>
      <w:rPr>
        <w:rFonts w:hint="default"/>
        <w:lang w:val="en-US" w:eastAsia="en-US" w:bidi="ar-SA"/>
      </w:rPr>
    </w:lvl>
    <w:lvl w:ilvl="7">
      <w:start w:val="0"/>
      <w:numFmt w:val="bullet"/>
      <w:lvlText w:val="•"/>
      <w:lvlJc w:val="left"/>
      <w:pPr>
        <w:ind w:left="1174" w:hanging="368"/>
      </w:pPr>
      <w:rPr>
        <w:rFonts w:hint="default"/>
        <w:lang w:val="en-US" w:eastAsia="en-US" w:bidi="ar-SA"/>
      </w:rPr>
    </w:lvl>
    <w:lvl w:ilvl="8">
      <w:start w:val="0"/>
      <w:numFmt w:val="bullet"/>
      <w:lvlText w:val="•"/>
      <w:lvlJc w:val="left"/>
      <w:pPr>
        <w:ind w:left="1328" w:hanging="368"/>
      </w:pPr>
      <w:rPr>
        <w:rFonts w:hint="default"/>
        <w:lang w:val="en-US" w:eastAsia="en-US" w:bidi="ar-SA"/>
      </w:rPr>
    </w:lvl>
  </w:abstractNum>
  <w:abstractNum w:abstractNumId="381">
    <w:multiLevelType w:val="hybridMultilevel"/>
    <w:lvl w:ilvl="0">
      <w:start w:val="1"/>
      <w:numFmt w:val="lowerLetter"/>
      <w:lvlText w:val="%1)"/>
      <w:lvlJc w:val="left"/>
      <w:pPr>
        <w:ind w:left="106" w:hanging="288"/>
        <w:jc w:val="left"/>
      </w:pPr>
      <w:rPr>
        <w:rFonts w:hint="default" w:ascii="Bookman Old Style" w:hAnsi="Bookman Old Style" w:eastAsia="Bookman Old Style" w:cs="Bookman Old Style"/>
        <w:b w:val="0"/>
        <w:bCs w:val="0"/>
        <w:i w:val="0"/>
        <w:iCs w:val="0"/>
        <w:spacing w:val="0"/>
        <w:w w:val="99"/>
        <w:sz w:val="20"/>
        <w:szCs w:val="20"/>
        <w:lang w:val="en-US" w:eastAsia="en-US" w:bidi="ar-SA"/>
      </w:rPr>
    </w:lvl>
    <w:lvl w:ilvl="1">
      <w:start w:val="0"/>
      <w:numFmt w:val="bullet"/>
      <w:lvlText w:val="•"/>
      <w:lvlJc w:val="left"/>
      <w:pPr>
        <w:ind w:left="253" w:hanging="288"/>
      </w:pPr>
      <w:rPr>
        <w:rFonts w:hint="default"/>
        <w:lang w:val="en-US" w:eastAsia="en-US" w:bidi="ar-SA"/>
      </w:rPr>
    </w:lvl>
    <w:lvl w:ilvl="2">
      <w:start w:val="0"/>
      <w:numFmt w:val="bullet"/>
      <w:lvlText w:val="•"/>
      <w:lvlJc w:val="left"/>
      <w:pPr>
        <w:ind w:left="407" w:hanging="288"/>
      </w:pPr>
      <w:rPr>
        <w:rFonts w:hint="default"/>
        <w:lang w:val="en-US" w:eastAsia="en-US" w:bidi="ar-SA"/>
      </w:rPr>
    </w:lvl>
    <w:lvl w:ilvl="3">
      <w:start w:val="0"/>
      <w:numFmt w:val="bullet"/>
      <w:lvlText w:val="•"/>
      <w:lvlJc w:val="left"/>
      <w:pPr>
        <w:ind w:left="560" w:hanging="288"/>
      </w:pPr>
      <w:rPr>
        <w:rFonts w:hint="default"/>
        <w:lang w:val="en-US" w:eastAsia="en-US" w:bidi="ar-SA"/>
      </w:rPr>
    </w:lvl>
    <w:lvl w:ilvl="4">
      <w:start w:val="0"/>
      <w:numFmt w:val="bullet"/>
      <w:lvlText w:val="•"/>
      <w:lvlJc w:val="left"/>
      <w:pPr>
        <w:ind w:left="714" w:hanging="288"/>
      </w:pPr>
      <w:rPr>
        <w:rFonts w:hint="default"/>
        <w:lang w:val="en-US" w:eastAsia="en-US" w:bidi="ar-SA"/>
      </w:rPr>
    </w:lvl>
    <w:lvl w:ilvl="5">
      <w:start w:val="0"/>
      <w:numFmt w:val="bullet"/>
      <w:lvlText w:val="•"/>
      <w:lvlJc w:val="left"/>
      <w:pPr>
        <w:ind w:left="867" w:hanging="288"/>
      </w:pPr>
      <w:rPr>
        <w:rFonts w:hint="default"/>
        <w:lang w:val="en-US" w:eastAsia="en-US" w:bidi="ar-SA"/>
      </w:rPr>
    </w:lvl>
    <w:lvl w:ilvl="6">
      <w:start w:val="0"/>
      <w:numFmt w:val="bullet"/>
      <w:lvlText w:val="•"/>
      <w:lvlJc w:val="left"/>
      <w:pPr>
        <w:ind w:left="1021" w:hanging="288"/>
      </w:pPr>
      <w:rPr>
        <w:rFonts w:hint="default"/>
        <w:lang w:val="en-US" w:eastAsia="en-US" w:bidi="ar-SA"/>
      </w:rPr>
    </w:lvl>
    <w:lvl w:ilvl="7">
      <w:start w:val="0"/>
      <w:numFmt w:val="bullet"/>
      <w:lvlText w:val="•"/>
      <w:lvlJc w:val="left"/>
      <w:pPr>
        <w:ind w:left="1174" w:hanging="288"/>
      </w:pPr>
      <w:rPr>
        <w:rFonts w:hint="default"/>
        <w:lang w:val="en-US" w:eastAsia="en-US" w:bidi="ar-SA"/>
      </w:rPr>
    </w:lvl>
    <w:lvl w:ilvl="8">
      <w:start w:val="0"/>
      <w:numFmt w:val="bullet"/>
      <w:lvlText w:val="•"/>
      <w:lvlJc w:val="left"/>
      <w:pPr>
        <w:ind w:left="1328" w:hanging="288"/>
      </w:pPr>
      <w:rPr>
        <w:rFonts w:hint="default"/>
        <w:lang w:val="en-US" w:eastAsia="en-US" w:bidi="ar-SA"/>
      </w:rPr>
    </w:lvl>
  </w:abstractNum>
  <w:abstractNum w:abstractNumId="380">
    <w:multiLevelType w:val="hybridMultilevel"/>
    <w:lvl w:ilvl="0">
      <w:start w:val="1"/>
      <w:numFmt w:val="lowerLetter"/>
      <w:lvlText w:val="%1)"/>
      <w:lvlJc w:val="left"/>
      <w:pPr>
        <w:ind w:left="106" w:hanging="557"/>
        <w:jc w:val="left"/>
      </w:pPr>
      <w:rPr>
        <w:rFonts w:hint="default" w:ascii="Bookman Old Style" w:hAnsi="Bookman Old Style" w:eastAsia="Bookman Old Style" w:cs="Bookman Old Style"/>
        <w:b w:val="0"/>
        <w:bCs w:val="0"/>
        <w:i w:val="0"/>
        <w:iCs w:val="0"/>
        <w:spacing w:val="-1"/>
        <w:w w:val="99"/>
        <w:sz w:val="20"/>
        <w:szCs w:val="20"/>
        <w:lang w:val="en-US" w:eastAsia="en-US" w:bidi="ar-SA"/>
      </w:rPr>
    </w:lvl>
    <w:lvl w:ilvl="1">
      <w:start w:val="0"/>
      <w:numFmt w:val="bullet"/>
      <w:lvlText w:val="•"/>
      <w:lvlJc w:val="left"/>
      <w:pPr>
        <w:ind w:left="253" w:hanging="557"/>
      </w:pPr>
      <w:rPr>
        <w:rFonts w:hint="default"/>
        <w:lang w:val="en-US" w:eastAsia="en-US" w:bidi="ar-SA"/>
      </w:rPr>
    </w:lvl>
    <w:lvl w:ilvl="2">
      <w:start w:val="0"/>
      <w:numFmt w:val="bullet"/>
      <w:lvlText w:val="•"/>
      <w:lvlJc w:val="left"/>
      <w:pPr>
        <w:ind w:left="407" w:hanging="557"/>
      </w:pPr>
      <w:rPr>
        <w:rFonts w:hint="default"/>
        <w:lang w:val="en-US" w:eastAsia="en-US" w:bidi="ar-SA"/>
      </w:rPr>
    </w:lvl>
    <w:lvl w:ilvl="3">
      <w:start w:val="0"/>
      <w:numFmt w:val="bullet"/>
      <w:lvlText w:val="•"/>
      <w:lvlJc w:val="left"/>
      <w:pPr>
        <w:ind w:left="560" w:hanging="557"/>
      </w:pPr>
      <w:rPr>
        <w:rFonts w:hint="default"/>
        <w:lang w:val="en-US" w:eastAsia="en-US" w:bidi="ar-SA"/>
      </w:rPr>
    </w:lvl>
    <w:lvl w:ilvl="4">
      <w:start w:val="0"/>
      <w:numFmt w:val="bullet"/>
      <w:lvlText w:val="•"/>
      <w:lvlJc w:val="left"/>
      <w:pPr>
        <w:ind w:left="714" w:hanging="557"/>
      </w:pPr>
      <w:rPr>
        <w:rFonts w:hint="default"/>
        <w:lang w:val="en-US" w:eastAsia="en-US" w:bidi="ar-SA"/>
      </w:rPr>
    </w:lvl>
    <w:lvl w:ilvl="5">
      <w:start w:val="0"/>
      <w:numFmt w:val="bullet"/>
      <w:lvlText w:val="•"/>
      <w:lvlJc w:val="left"/>
      <w:pPr>
        <w:ind w:left="867" w:hanging="557"/>
      </w:pPr>
      <w:rPr>
        <w:rFonts w:hint="default"/>
        <w:lang w:val="en-US" w:eastAsia="en-US" w:bidi="ar-SA"/>
      </w:rPr>
    </w:lvl>
    <w:lvl w:ilvl="6">
      <w:start w:val="0"/>
      <w:numFmt w:val="bullet"/>
      <w:lvlText w:val="•"/>
      <w:lvlJc w:val="left"/>
      <w:pPr>
        <w:ind w:left="1021" w:hanging="557"/>
      </w:pPr>
      <w:rPr>
        <w:rFonts w:hint="default"/>
        <w:lang w:val="en-US" w:eastAsia="en-US" w:bidi="ar-SA"/>
      </w:rPr>
    </w:lvl>
    <w:lvl w:ilvl="7">
      <w:start w:val="0"/>
      <w:numFmt w:val="bullet"/>
      <w:lvlText w:val="•"/>
      <w:lvlJc w:val="left"/>
      <w:pPr>
        <w:ind w:left="1174" w:hanging="557"/>
      </w:pPr>
      <w:rPr>
        <w:rFonts w:hint="default"/>
        <w:lang w:val="en-US" w:eastAsia="en-US" w:bidi="ar-SA"/>
      </w:rPr>
    </w:lvl>
    <w:lvl w:ilvl="8">
      <w:start w:val="0"/>
      <w:numFmt w:val="bullet"/>
      <w:lvlText w:val="•"/>
      <w:lvlJc w:val="left"/>
      <w:pPr>
        <w:ind w:left="1328" w:hanging="557"/>
      </w:pPr>
      <w:rPr>
        <w:rFonts w:hint="default"/>
        <w:lang w:val="en-US" w:eastAsia="en-US" w:bidi="ar-SA"/>
      </w:rPr>
    </w:lvl>
  </w:abstractNum>
  <w:abstractNum w:abstractNumId="379">
    <w:multiLevelType w:val="hybridMultilevel"/>
    <w:lvl w:ilvl="0">
      <w:start w:val="1"/>
      <w:numFmt w:val="decimal"/>
      <w:lvlText w:val="%1."/>
      <w:lvlJc w:val="left"/>
      <w:pPr>
        <w:ind w:left="2137" w:hanging="232"/>
        <w:jc w:val="left"/>
      </w:pPr>
      <w:rPr>
        <w:rFonts w:hint="default" w:ascii="Bookman Old Style" w:hAnsi="Bookman Old Style" w:eastAsia="Bookman Old Style" w:cs="Bookman Old Style"/>
        <w:b w:val="0"/>
        <w:bCs w:val="0"/>
        <w:i w:val="0"/>
        <w:iCs w:val="0"/>
        <w:spacing w:val="0"/>
        <w:w w:val="100"/>
        <w:sz w:val="22"/>
        <w:szCs w:val="22"/>
        <w:lang w:val="en-US" w:eastAsia="en-US" w:bidi="ar-SA"/>
      </w:rPr>
    </w:lvl>
    <w:lvl w:ilvl="1">
      <w:start w:val="0"/>
      <w:numFmt w:val="bullet"/>
      <w:lvlText w:val="•"/>
      <w:lvlJc w:val="left"/>
      <w:pPr>
        <w:ind w:left="3044" w:hanging="232"/>
      </w:pPr>
      <w:rPr>
        <w:rFonts w:hint="default"/>
        <w:lang w:val="en-US" w:eastAsia="en-US" w:bidi="ar-SA"/>
      </w:rPr>
    </w:lvl>
    <w:lvl w:ilvl="2">
      <w:start w:val="0"/>
      <w:numFmt w:val="bullet"/>
      <w:lvlText w:val="•"/>
      <w:lvlJc w:val="left"/>
      <w:pPr>
        <w:ind w:left="3949" w:hanging="232"/>
      </w:pPr>
      <w:rPr>
        <w:rFonts w:hint="default"/>
        <w:lang w:val="en-US" w:eastAsia="en-US" w:bidi="ar-SA"/>
      </w:rPr>
    </w:lvl>
    <w:lvl w:ilvl="3">
      <w:start w:val="0"/>
      <w:numFmt w:val="bullet"/>
      <w:lvlText w:val="•"/>
      <w:lvlJc w:val="left"/>
      <w:pPr>
        <w:ind w:left="4853" w:hanging="232"/>
      </w:pPr>
      <w:rPr>
        <w:rFonts w:hint="default"/>
        <w:lang w:val="en-US" w:eastAsia="en-US" w:bidi="ar-SA"/>
      </w:rPr>
    </w:lvl>
    <w:lvl w:ilvl="4">
      <w:start w:val="0"/>
      <w:numFmt w:val="bullet"/>
      <w:lvlText w:val="•"/>
      <w:lvlJc w:val="left"/>
      <w:pPr>
        <w:ind w:left="5758" w:hanging="232"/>
      </w:pPr>
      <w:rPr>
        <w:rFonts w:hint="default"/>
        <w:lang w:val="en-US" w:eastAsia="en-US" w:bidi="ar-SA"/>
      </w:rPr>
    </w:lvl>
    <w:lvl w:ilvl="5">
      <w:start w:val="0"/>
      <w:numFmt w:val="bullet"/>
      <w:lvlText w:val="•"/>
      <w:lvlJc w:val="left"/>
      <w:pPr>
        <w:ind w:left="6663" w:hanging="232"/>
      </w:pPr>
      <w:rPr>
        <w:rFonts w:hint="default"/>
        <w:lang w:val="en-US" w:eastAsia="en-US" w:bidi="ar-SA"/>
      </w:rPr>
    </w:lvl>
    <w:lvl w:ilvl="6">
      <w:start w:val="0"/>
      <w:numFmt w:val="bullet"/>
      <w:lvlText w:val="•"/>
      <w:lvlJc w:val="left"/>
      <w:pPr>
        <w:ind w:left="7567" w:hanging="232"/>
      </w:pPr>
      <w:rPr>
        <w:rFonts w:hint="default"/>
        <w:lang w:val="en-US" w:eastAsia="en-US" w:bidi="ar-SA"/>
      </w:rPr>
    </w:lvl>
    <w:lvl w:ilvl="7">
      <w:start w:val="0"/>
      <w:numFmt w:val="bullet"/>
      <w:lvlText w:val="•"/>
      <w:lvlJc w:val="left"/>
      <w:pPr>
        <w:ind w:left="8472" w:hanging="232"/>
      </w:pPr>
      <w:rPr>
        <w:rFonts w:hint="default"/>
        <w:lang w:val="en-US" w:eastAsia="en-US" w:bidi="ar-SA"/>
      </w:rPr>
    </w:lvl>
    <w:lvl w:ilvl="8">
      <w:start w:val="0"/>
      <w:numFmt w:val="bullet"/>
      <w:lvlText w:val="•"/>
      <w:lvlJc w:val="left"/>
      <w:pPr>
        <w:ind w:left="9377" w:hanging="232"/>
      </w:pPr>
      <w:rPr>
        <w:rFonts w:hint="default"/>
        <w:lang w:val="en-US" w:eastAsia="en-US" w:bidi="ar-SA"/>
      </w:rPr>
    </w:lvl>
  </w:abstractNum>
  <w:abstractNum w:abstractNumId="378">
    <w:multiLevelType w:val="hybridMultilevel"/>
    <w:lvl w:ilvl="0">
      <w:start w:val="2"/>
      <w:numFmt w:val="decimal"/>
      <w:lvlText w:val="%1."/>
      <w:lvlJc w:val="left"/>
      <w:pPr>
        <w:ind w:left="2141" w:hanging="236"/>
        <w:jc w:val="left"/>
      </w:pPr>
      <w:rPr>
        <w:rFonts w:hint="default" w:ascii="Bookman Old Style" w:hAnsi="Bookman Old Style" w:eastAsia="Bookman Old Style" w:cs="Bookman Old Style"/>
        <w:b w:val="0"/>
        <w:bCs w:val="0"/>
        <w:i w:val="0"/>
        <w:iCs w:val="0"/>
        <w:spacing w:val="4"/>
        <w:w w:val="99"/>
        <w:sz w:val="22"/>
        <w:szCs w:val="22"/>
        <w:lang w:val="en-US" w:eastAsia="en-US" w:bidi="ar-SA"/>
      </w:rPr>
    </w:lvl>
    <w:lvl w:ilvl="1">
      <w:start w:val="1"/>
      <w:numFmt w:val="lowerRoman"/>
      <w:lvlText w:val="%2)"/>
      <w:lvlJc w:val="left"/>
      <w:pPr>
        <w:ind w:left="2393" w:hanging="488"/>
        <w:jc w:val="left"/>
      </w:pPr>
      <w:rPr>
        <w:rFonts w:hint="default" w:ascii="Arial" w:hAnsi="Arial" w:eastAsia="Arial" w:cs="Arial"/>
        <w:b w:val="0"/>
        <w:bCs w:val="0"/>
        <w:i w:val="0"/>
        <w:iCs w:val="0"/>
        <w:color w:val="221F1F"/>
        <w:spacing w:val="0"/>
        <w:w w:val="100"/>
        <w:sz w:val="22"/>
        <w:szCs w:val="22"/>
        <w:lang w:val="en-US" w:eastAsia="en-US" w:bidi="ar-SA"/>
      </w:rPr>
    </w:lvl>
    <w:lvl w:ilvl="2">
      <w:start w:val="0"/>
      <w:numFmt w:val="bullet"/>
      <w:lvlText w:val="•"/>
      <w:lvlJc w:val="left"/>
      <w:pPr>
        <w:ind w:left="3376" w:hanging="488"/>
      </w:pPr>
      <w:rPr>
        <w:rFonts w:hint="default"/>
        <w:lang w:val="en-US" w:eastAsia="en-US" w:bidi="ar-SA"/>
      </w:rPr>
    </w:lvl>
    <w:lvl w:ilvl="3">
      <w:start w:val="0"/>
      <w:numFmt w:val="bullet"/>
      <w:lvlText w:val="•"/>
      <w:lvlJc w:val="left"/>
      <w:pPr>
        <w:ind w:left="4352" w:hanging="488"/>
      </w:pPr>
      <w:rPr>
        <w:rFonts w:hint="default"/>
        <w:lang w:val="en-US" w:eastAsia="en-US" w:bidi="ar-SA"/>
      </w:rPr>
    </w:lvl>
    <w:lvl w:ilvl="4">
      <w:start w:val="0"/>
      <w:numFmt w:val="bullet"/>
      <w:lvlText w:val="•"/>
      <w:lvlJc w:val="left"/>
      <w:pPr>
        <w:ind w:left="5328" w:hanging="488"/>
      </w:pPr>
      <w:rPr>
        <w:rFonts w:hint="default"/>
        <w:lang w:val="en-US" w:eastAsia="en-US" w:bidi="ar-SA"/>
      </w:rPr>
    </w:lvl>
    <w:lvl w:ilvl="5">
      <w:start w:val="0"/>
      <w:numFmt w:val="bullet"/>
      <w:lvlText w:val="•"/>
      <w:lvlJc w:val="left"/>
      <w:pPr>
        <w:ind w:left="6305" w:hanging="488"/>
      </w:pPr>
      <w:rPr>
        <w:rFonts w:hint="default"/>
        <w:lang w:val="en-US" w:eastAsia="en-US" w:bidi="ar-SA"/>
      </w:rPr>
    </w:lvl>
    <w:lvl w:ilvl="6">
      <w:start w:val="0"/>
      <w:numFmt w:val="bullet"/>
      <w:lvlText w:val="•"/>
      <w:lvlJc w:val="left"/>
      <w:pPr>
        <w:ind w:left="7281" w:hanging="488"/>
      </w:pPr>
      <w:rPr>
        <w:rFonts w:hint="default"/>
        <w:lang w:val="en-US" w:eastAsia="en-US" w:bidi="ar-SA"/>
      </w:rPr>
    </w:lvl>
    <w:lvl w:ilvl="7">
      <w:start w:val="0"/>
      <w:numFmt w:val="bullet"/>
      <w:lvlText w:val="•"/>
      <w:lvlJc w:val="left"/>
      <w:pPr>
        <w:ind w:left="8257" w:hanging="488"/>
      </w:pPr>
      <w:rPr>
        <w:rFonts w:hint="default"/>
        <w:lang w:val="en-US" w:eastAsia="en-US" w:bidi="ar-SA"/>
      </w:rPr>
    </w:lvl>
    <w:lvl w:ilvl="8">
      <w:start w:val="0"/>
      <w:numFmt w:val="bullet"/>
      <w:lvlText w:val="•"/>
      <w:lvlJc w:val="left"/>
      <w:pPr>
        <w:ind w:left="9233" w:hanging="488"/>
      </w:pPr>
      <w:rPr>
        <w:rFonts w:hint="default"/>
        <w:lang w:val="en-US" w:eastAsia="en-US" w:bidi="ar-SA"/>
      </w:rPr>
    </w:lvl>
  </w:abstractNum>
  <w:abstractNum w:abstractNumId="377">
    <w:multiLevelType w:val="hybridMultilevel"/>
    <w:lvl w:ilvl="0">
      <w:start w:val="1"/>
      <w:numFmt w:val="lowerRoman"/>
      <w:lvlText w:val="(%1)"/>
      <w:lvlJc w:val="left"/>
      <w:pPr>
        <w:ind w:left="2227" w:hanging="37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116" w:hanging="370"/>
      </w:pPr>
      <w:rPr>
        <w:rFonts w:hint="default"/>
        <w:lang w:val="en-US" w:eastAsia="en-US" w:bidi="ar-SA"/>
      </w:rPr>
    </w:lvl>
    <w:lvl w:ilvl="2">
      <w:start w:val="0"/>
      <w:numFmt w:val="bullet"/>
      <w:lvlText w:val="•"/>
      <w:lvlJc w:val="left"/>
      <w:pPr>
        <w:ind w:left="4013" w:hanging="370"/>
      </w:pPr>
      <w:rPr>
        <w:rFonts w:hint="default"/>
        <w:lang w:val="en-US" w:eastAsia="en-US" w:bidi="ar-SA"/>
      </w:rPr>
    </w:lvl>
    <w:lvl w:ilvl="3">
      <w:start w:val="0"/>
      <w:numFmt w:val="bullet"/>
      <w:lvlText w:val="•"/>
      <w:lvlJc w:val="left"/>
      <w:pPr>
        <w:ind w:left="4909" w:hanging="370"/>
      </w:pPr>
      <w:rPr>
        <w:rFonts w:hint="default"/>
        <w:lang w:val="en-US" w:eastAsia="en-US" w:bidi="ar-SA"/>
      </w:rPr>
    </w:lvl>
    <w:lvl w:ilvl="4">
      <w:start w:val="0"/>
      <w:numFmt w:val="bullet"/>
      <w:lvlText w:val="•"/>
      <w:lvlJc w:val="left"/>
      <w:pPr>
        <w:ind w:left="5806" w:hanging="370"/>
      </w:pPr>
      <w:rPr>
        <w:rFonts w:hint="default"/>
        <w:lang w:val="en-US" w:eastAsia="en-US" w:bidi="ar-SA"/>
      </w:rPr>
    </w:lvl>
    <w:lvl w:ilvl="5">
      <w:start w:val="0"/>
      <w:numFmt w:val="bullet"/>
      <w:lvlText w:val="•"/>
      <w:lvlJc w:val="left"/>
      <w:pPr>
        <w:ind w:left="6703" w:hanging="370"/>
      </w:pPr>
      <w:rPr>
        <w:rFonts w:hint="default"/>
        <w:lang w:val="en-US" w:eastAsia="en-US" w:bidi="ar-SA"/>
      </w:rPr>
    </w:lvl>
    <w:lvl w:ilvl="6">
      <w:start w:val="0"/>
      <w:numFmt w:val="bullet"/>
      <w:lvlText w:val="•"/>
      <w:lvlJc w:val="left"/>
      <w:pPr>
        <w:ind w:left="7599" w:hanging="370"/>
      </w:pPr>
      <w:rPr>
        <w:rFonts w:hint="default"/>
        <w:lang w:val="en-US" w:eastAsia="en-US" w:bidi="ar-SA"/>
      </w:rPr>
    </w:lvl>
    <w:lvl w:ilvl="7">
      <w:start w:val="0"/>
      <w:numFmt w:val="bullet"/>
      <w:lvlText w:val="•"/>
      <w:lvlJc w:val="left"/>
      <w:pPr>
        <w:ind w:left="8496" w:hanging="370"/>
      </w:pPr>
      <w:rPr>
        <w:rFonts w:hint="default"/>
        <w:lang w:val="en-US" w:eastAsia="en-US" w:bidi="ar-SA"/>
      </w:rPr>
    </w:lvl>
    <w:lvl w:ilvl="8">
      <w:start w:val="0"/>
      <w:numFmt w:val="bullet"/>
      <w:lvlText w:val="•"/>
      <w:lvlJc w:val="left"/>
      <w:pPr>
        <w:ind w:left="9393" w:hanging="370"/>
      </w:pPr>
      <w:rPr>
        <w:rFonts w:hint="default"/>
        <w:lang w:val="en-US" w:eastAsia="en-US" w:bidi="ar-SA"/>
      </w:rPr>
    </w:lvl>
  </w:abstractNum>
  <w:abstractNum w:abstractNumId="376">
    <w:multiLevelType w:val="hybridMultilevel"/>
    <w:lvl w:ilvl="0">
      <w:start w:val="1"/>
      <w:numFmt w:val="lowerRoman"/>
      <w:lvlText w:val="(%1)"/>
      <w:lvlJc w:val="left"/>
      <w:pPr>
        <w:ind w:left="2218" w:hanging="217"/>
        <w:jc w:val="left"/>
      </w:pPr>
      <w:rPr>
        <w:rFonts w:hint="default" w:ascii="Bookman Old Style" w:hAnsi="Bookman Old Style" w:eastAsia="Bookman Old Style" w:cs="Bookman Old Style"/>
        <w:b w:val="0"/>
        <w:bCs w:val="0"/>
        <w:i w:val="0"/>
        <w:iCs w:val="0"/>
        <w:spacing w:val="0"/>
        <w:w w:val="98"/>
        <w:sz w:val="22"/>
        <w:szCs w:val="22"/>
        <w:lang w:val="en-US" w:eastAsia="en-US" w:bidi="ar-SA"/>
      </w:rPr>
    </w:lvl>
    <w:lvl w:ilvl="1">
      <w:start w:val="0"/>
      <w:numFmt w:val="bullet"/>
      <w:lvlText w:val="•"/>
      <w:lvlJc w:val="left"/>
      <w:pPr>
        <w:ind w:left="3116" w:hanging="217"/>
      </w:pPr>
      <w:rPr>
        <w:rFonts w:hint="default"/>
        <w:lang w:val="en-US" w:eastAsia="en-US" w:bidi="ar-SA"/>
      </w:rPr>
    </w:lvl>
    <w:lvl w:ilvl="2">
      <w:start w:val="0"/>
      <w:numFmt w:val="bullet"/>
      <w:lvlText w:val="•"/>
      <w:lvlJc w:val="left"/>
      <w:pPr>
        <w:ind w:left="4013" w:hanging="217"/>
      </w:pPr>
      <w:rPr>
        <w:rFonts w:hint="default"/>
        <w:lang w:val="en-US" w:eastAsia="en-US" w:bidi="ar-SA"/>
      </w:rPr>
    </w:lvl>
    <w:lvl w:ilvl="3">
      <w:start w:val="0"/>
      <w:numFmt w:val="bullet"/>
      <w:lvlText w:val="•"/>
      <w:lvlJc w:val="left"/>
      <w:pPr>
        <w:ind w:left="4909" w:hanging="217"/>
      </w:pPr>
      <w:rPr>
        <w:rFonts w:hint="default"/>
        <w:lang w:val="en-US" w:eastAsia="en-US" w:bidi="ar-SA"/>
      </w:rPr>
    </w:lvl>
    <w:lvl w:ilvl="4">
      <w:start w:val="0"/>
      <w:numFmt w:val="bullet"/>
      <w:lvlText w:val="•"/>
      <w:lvlJc w:val="left"/>
      <w:pPr>
        <w:ind w:left="5806" w:hanging="217"/>
      </w:pPr>
      <w:rPr>
        <w:rFonts w:hint="default"/>
        <w:lang w:val="en-US" w:eastAsia="en-US" w:bidi="ar-SA"/>
      </w:rPr>
    </w:lvl>
    <w:lvl w:ilvl="5">
      <w:start w:val="0"/>
      <w:numFmt w:val="bullet"/>
      <w:lvlText w:val="•"/>
      <w:lvlJc w:val="left"/>
      <w:pPr>
        <w:ind w:left="6703" w:hanging="217"/>
      </w:pPr>
      <w:rPr>
        <w:rFonts w:hint="default"/>
        <w:lang w:val="en-US" w:eastAsia="en-US" w:bidi="ar-SA"/>
      </w:rPr>
    </w:lvl>
    <w:lvl w:ilvl="6">
      <w:start w:val="0"/>
      <w:numFmt w:val="bullet"/>
      <w:lvlText w:val="•"/>
      <w:lvlJc w:val="left"/>
      <w:pPr>
        <w:ind w:left="7599" w:hanging="217"/>
      </w:pPr>
      <w:rPr>
        <w:rFonts w:hint="default"/>
        <w:lang w:val="en-US" w:eastAsia="en-US" w:bidi="ar-SA"/>
      </w:rPr>
    </w:lvl>
    <w:lvl w:ilvl="7">
      <w:start w:val="0"/>
      <w:numFmt w:val="bullet"/>
      <w:lvlText w:val="•"/>
      <w:lvlJc w:val="left"/>
      <w:pPr>
        <w:ind w:left="8496" w:hanging="217"/>
      </w:pPr>
      <w:rPr>
        <w:rFonts w:hint="default"/>
        <w:lang w:val="en-US" w:eastAsia="en-US" w:bidi="ar-SA"/>
      </w:rPr>
    </w:lvl>
    <w:lvl w:ilvl="8">
      <w:start w:val="0"/>
      <w:numFmt w:val="bullet"/>
      <w:lvlText w:val="•"/>
      <w:lvlJc w:val="left"/>
      <w:pPr>
        <w:ind w:left="9393" w:hanging="217"/>
      </w:pPr>
      <w:rPr>
        <w:rFonts w:hint="default"/>
        <w:lang w:val="en-US" w:eastAsia="en-US" w:bidi="ar-SA"/>
      </w:rPr>
    </w:lvl>
  </w:abstractNum>
  <w:abstractNum w:abstractNumId="375">
    <w:multiLevelType w:val="hybridMultilevel"/>
    <w:lvl w:ilvl="0">
      <w:start w:val="1"/>
      <w:numFmt w:val="lowerRoman"/>
      <w:lvlText w:val="(%1)"/>
      <w:lvlJc w:val="left"/>
      <w:pPr>
        <w:ind w:left="959" w:hanging="60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1832" w:hanging="600"/>
      </w:pPr>
      <w:rPr>
        <w:rFonts w:hint="default"/>
        <w:lang w:val="en-US" w:eastAsia="en-US" w:bidi="ar-SA"/>
      </w:rPr>
    </w:lvl>
    <w:lvl w:ilvl="2">
      <w:start w:val="0"/>
      <w:numFmt w:val="bullet"/>
      <w:lvlText w:val="•"/>
      <w:lvlJc w:val="left"/>
      <w:pPr>
        <w:ind w:left="2705" w:hanging="600"/>
      </w:pPr>
      <w:rPr>
        <w:rFonts w:hint="default"/>
        <w:lang w:val="en-US" w:eastAsia="en-US" w:bidi="ar-SA"/>
      </w:rPr>
    </w:lvl>
    <w:lvl w:ilvl="3">
      <w:start w:val="0"/>
      <w:numFmt w:val="bullet"/>
      <w:lvlText w:val="•"/>
      <w:lvlJc w:val="left"/>
      <w:pPr>
        <w:ind w:left="3578" w:hanging="600"/>
      </w:pPr>
      <w:rPr>
        <w:rFonts w:hint="default"/>
        <w:lang w:val="en-US" w:eastAsia="en-US" w:bidi="ar-SA"/>
      </w:rPr>
    </w:lvl>
    <w:lvl w:ilvl="4">
      <w:start w:val="0"/>
      <w:numFmt w:val="bullet"/>
      <w:lvlText w:val="•"/>
      <w:lvlJc w:val="left"/>
      <w:pPr>
        <w:ind w:left="4451" w:hanging="600"/>
      </w:pPr>
      <w:rPr>
        <w:rFonts w:hint="default"/>
        <w:lang w:val="en-US" w:eastAsia="en-US" w:bidi="ar-SA"/>
      </w:rPr>
    </w:lvl>
    <w:lvl w:ilvl="5">
      <w:start w:val="0"/>
      <w:numFmt w:val="bullet"/>
      <w:lvlText w:val="•"/>
      <w:lvlJc w:val="left"/>
      <w:pPr>
        <w:ind w:left="5324" w:hanging="600"/>
      </w:pPr>
      <w:rPr>
        <w:rFonts w:hint="default"/>
        <w:lang w:val="en-US" w:eastAsia="en-US" w:bidi="ar-SA"/>
      </w:rPr>
    </w:lvl>
    <w:lvl w:ilvl="6">
      <w:start w:val="0"/>
      <w:numFmt w:val="bullet"/>
      <w:lvlText w:val="•"/>
      <w:lvlJc w:val="left"/>
      <w:pPr>
        <w:ind w:left="6197" w:hanging="600"/>
      </w:pPr>
      <w:rPr>
        <w:rFonts w:hint="default"/>
        <w:lang w:val="en-US" w:eastAsia="en-US" w:bidi="ar-SA"/>
      </w:rPr>
    </w:lvl>
    <w:lvl w:ilvl="7">
      <w:start w:val="0"/>
      <w:numFmt w:val="bullet"/>
      <w:lvlText w:val="•"/>
      <w:lvlJc w:val="left"/>
      <w:pPr>
        <w:ind w:left="7069" w:hanging="600"/>
      </w:pPr>
      <w:rPr>
        <w:rFonts w:hint="default"/>
        <w:lang w:val="en-US" w:eastAsia="en-US" w:bidi="ar-SA"/>
      </w:rPr>
    </w:lvl>
    <w:lvl w:ilvl="8">
      <w:start w:val="0"/>
      <w:numFmt w:val="bullet"/>
      <w:lvlText w:val="•"/>
      <w:lvlJc w:val="left"/>
      <w:pPr>
        <w:ind w:left="7942" w:hanging="600"/>
      </w:pPr>
      <w:rPr>
        <w:rFonts w:hint="default"/>
        <w:lang w:val="en-US" w:eastAsia="en-US" w:bidi="ar-SA"/>
      </w:rPr>
    </w:lvl>
  </w:abstractNum>
  <w:abstractNum w:abstractNumId="374">
    <w:multiLevelType w:val="hybridMultilevel"/>
    <w:lvl w:ilvl="0">
      <w:start w:val="1"/>
      <w:numFmt w:val="lowerRoman"/>
      <w:lvlText w:val="(%1)"/>
      <w:lvlJc w:val="left"/>
      <w:pPr>
        <w:ind w:left="2458" w:hanging="60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332" w:hanging="600"/>
      </w:pPr>
      <w:rPr>
        <w:rFonts w:hint="default"/>
        <w:lang w:val="en-US" w:eastAsia="en-US" w:bidi="ar-SA"/>
      </w:rPr>
    </w:lvl>
    <w:lvl w:ilvl="2">
      <w:start w:val="0"/>
      <w:numFmt w:val="bullet"/>
      <w:lvlText w:val="•"/>
      <w:lvlJc w:val="left"/>
      <w:pPr>
        <w:ind w:left="4205" w:hanging="600"/>
      </w:pPr>
      <w:rPr>
        <w:rFonts w:hint="default"/>
        <w:lang w:val="en-US" w:eastAsia="en-US" w:bidi="ar-SA"/>
      </w:rPr>
    </w:lvl>
    <w:lvl w:ilvl="3">
      <w:start w:val="0"/>
      <w:numFmt w:val="bullet"/>
      <w:lvlText w:val="•"/>
      <w:lvlJc w:val="left"/>
      <w:pPr>
        <w:ind w:left="5077" w:hanging="600"/>
      </w:pPr>
      <w:rPr>
        <w:rFonts w:hint="default"/>
        <w:lang w:val="en-US" w:eastAsia="en-US" w:bidi="ar-SA"/>
      </w:rPr>
    </w:lvl>
    <w:lvl w:ilvl="4">
      <w:start w:val="0"/>
      <w:numFmt w:val="bullet"/>
      <w:lvlText w:val="•"/>
      <w:lvlJc w:val="left"/>
      <w:pPr>
        <w:ind w:left="5950" w:hanging="600"/>
      </w:pPr>
      <w:rPr>
        <w:rFonts w:hint="default"/>
        <w:lang w:val="en-US" w:eastAsia="en-US" w:bidi="ar-SA"/>
      </w:rPr>
    </w:lvl>
    <w:lvl w:ilvl="5">
      <w:start w:val="0"/>
      <w:numFmt w:val="bullet"/>
      <w:lvlText w:val="•"/>
      <w:lvlJc w:val="left"/>
      <w:pPr>
        <w:ind w:left="6823" w:hanging="600"/>
      </w:pPr>
      <w:rPr>
        <w:rFonts w:hint="default"/>
        <w:lang w:val="en-US" w:eastAsia="en-US" w:bidi="ar-SA"/>
      </w:rPr>
    </w:lvl>
    <w:lvl w:ilvl="6">
      <w:start w:val="0"/>
      <w:numFmt w:val="bullet"/>
      <w:lvlText w:val="•"/>
      <w:lvlJc w:val="left"/>
      <w:pPr>
        <w:ind w:left="7695" w:hanging="600"/>
      </w:pPr>
      <w:rPr>
        <w:rFonts w:hint="default"/>
        <w:lang w:val="en-US" w:eastAsia="en-US" w:bidi="ar-SA"/>
      </w:rPr>
    </w:lvl>
    <w:lvl w:ilvl="7">
      <w:start w:val="0"/>
      <w:numFmt w:val="bullet"/>
      <w:lvlText w:val="•"/>
      <w:lvlJc w:val="left"/>
      <w:pPr>
        <w:ind w:left="8568" w:hanging="600"/>
      </w:pPr>
      <w:rPr>
        <w:rFonts w:hint="default"/>
        <w:lang w:val="en-US" w:eastAsia="en-US" w:bidi="ar-SA"/>
      </w:rPr>
    </w:lvl>
    <w:lvl w:ilvl="8">
      <w:start w:val="0"/>
      <w:numFmt w:val="bullet"/>
      <w:lvlText w:val="•"/>
      <w:lvlJc w:val="left"/>
      <w:pPr>
        <w:ind w:left="9441" w:hanging="600"/>
      </w:pPr>
      <w:rPr>
        <w:rFonts w:hint="default"/>
        <w:lang w:val="en-US" w:eastAsia="en-US" w:bidi="ar-SA"/>
      </w:rPr>
    </w:lvl>
  </w:abstractNum>
  <w:abstractNum w:abstractNumId="373">
    <w:multiLevelType w:val="hybridMultilevel"/>
    <w:lvl w:ilvl="0">
      <w:start w:val="2"/>
      <w:numFmt w:val="upperRoman"/>
      <w:lvlText w:val="(%1)"/>
      <w:lvlJc w:val="left"/>
      <w:pPr>
        <w:ind w:left="1547" w:hanging="69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upperLetter"/>
      <w:lvlText w:val="(%2)"/>
      <w:lvlJc w:val="left"/>
      <w:pPr>
        <w:ind w:left="1858" w:hanging="360"/>
        <w:jc w:val="right"/>
      </w:pPr>
      <w:rPr>
        <w:rFonts w:hint="default" w:ascii="Bookman Old Style" w:hAnsi="Bookman Old Style" w:eastAsia="Bookman Old Style" w:cs="Bookman Old Style"/>
        <w:b w:val="0"/>
        <w:bCs w:val="0"/>
        <w:i w:val="0"/>
        <w:iCs w:val="0"/>
        <w:spacing w:val="0"/>
        <w:w w:val="93"/>
        <w:sz w:val="24"/>
        <w:szCs w:val="24"/>
        <w:lang w:val="en-US" w:eastAsia="en-US" w:bidi="ar-SA"/>
      </w:rPr>
    </w:lvl>
    <w:lvl w:ilvl="2">
      <w:start w:val="1"/>
      <w:numFmt w:val="lowerLetter"/>
      <w:lvlText w:val="%3)"/>
      <w:lvlJc w:val="left"/>
      <w:pPr>
        <w:ind w:left="2218"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3340" w:hanging="360"/>
      </w:pPr>
      <w:rPr>
        <w:rFonts w:hint="default"/>
        <w:lang w:val="en-US" w:eastAsia="en-US" w:bidi="ar-SA"/>
      </w:rPr>
    </w:lvl>
    <w:lvl w:ilvl="4">
      <w:start w:val="0"/>
      <w:numFmt w:val="bullet"/>
      <w:lvlText w:val="•"/>
      <w:lvlJc w:val="left"/>
      <w:pPr>
        <w:ind w:left="4461" w:hanging="360"/>
      </w:pPr>
      <w:rPr>
        <w:rFonts w:hint="default"/>
        <w:lang w:val="en-US" w:eastAsia="en-US" w:bidi="ar-SA"/>
      </w:rPr>
    </w:lvl>
    <w:lvl w:ilvl="5">
      <w:start w:val="0"/>
      <w:numFmt w:val="bullet"/>
      <w:lvlText w:val="•"/>
      <w:lvlJc w:val="left"/>
      <w:pPr>
        <w:ind w:left="5582" w:hanging="360"/>
      </w:pPr>
      <w:rPr>
        <w:rFonts w:hint="default"/>
        <w:lang w:val="en-US" w:eastAsia="en-US" w:bidi="ar-SA"/>
      </w:rPr>
    </w:lvl>
    <w:lvl w:ilvl="6">
      <w:start w:val="0"/>
      <w:numFmt w:val="bullet"/>
      <w:lvlText w:val="•"/>
      <w:lvlJc w:val="left"/>
      <w:pPr>
        <w:ind w:left="6703" w:hanging="360"/>
      </w:pPr>
      <w:rPr>
        <w:rFonts w:hint="default"/>
        <w:lang w:val="en-US" w:eastAsia="en-US" w:bidi="ar-SA"/>
      </w:rPr>
    </w:lvl>
    <w:lvl w:ilvl="7">
      <w:start w:val="0"/>
      <w:numFmt w:val="bullet"/>
      <w:lvlText w:val="•"/>
      <w:lvlJc w:val="left"/>
      <w:pPr>
        <w:ind w:left="7824" w:hanging="360"/>
      </w:pPr>
      <w:rPr>
        <w:rFonts w:hint="default"/>
        <w:lang w:val="en-US" w:eastAsia="en-US" w:bidi="ar-SA"/>
      </w:rPr>
    </w:lvl>
    <w:lvl w:ilvl="8">
      <w:start w:val="0"/>
      <w:numFmt w:val="bullet"/>
      <w:lvlText w:val="•"/>
      <w:lvlJc w:val="left"/>
      <w:pPr>
        <w:ind w:left="8944" w:hanging="360"/>
      </w:pPr>
      <w:rPr>
        <w:rFonts w:hint="default"/>
        <w:lang w:val="en-US" w:eastAsia="en-US" w:bidi="ar-SA"/>
      </w:rPr>
    </w:lvl>
  </w:abstractNum>
  <w:abstractNum w:abstractNumId="370">
    <w:multiLevelType w:val="hybridMultilevel"/>
    <w:lvl w:ilvl="0">
      <w:start w:val="1"/>
      <w:numFmt w:val="decimal"/>
      <w:lvlText w:val="%1."/>
      <w:lvlJc w:val="left"/>
      <w:pPr>
        <w:ind w:left="1574" w:hanging="437"/>
        <w:jc w:val="left"/>
      </w:pPr>
      <w:rPr>
        <w:rFonts w:hint="default"/>
        <w:spacing w:val="0"/>
        <w:w w:val="100"/>
        <w:lang w:val="en-US" w:eastAsia="en-US" w:bidi="ar-SA"/>
      </w:rPr>
    </w:lvl>
    <w:lvl w:ilvl="1">
      <w:start w:val="1"/>
      <w:numFmt w:val="lowerLetter"/>
      <w:lvlText w:val="%2)"/>
      <w:lvlJc w:val="left"/>
      <w:pPr>
        <w:ind w:left="2146"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2"/>
      <w:numFmt w:val="lowerRoman"/>
      <w:lvlText w:val="%3)"/>
      <w:lvlJc w:val="left"/>
      <w:pPr>
        <w:ind w:left="2218" w:hanging="30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2520" w:hanging="307"/>
      </w:pPr>
      <w:rPr>
        <w:rFonts w:hint="default"/>
        <w:lang w:val="en-US" w:eastAsia="en-US" w:bidi="ar-SA"/>
      </w:rPr>
    </w:lvl>
    <w:lvl w:ilvl="4">
      <w:start w:val="0"/>
      <w:numFmt w:val="bullet"/>
      <w:lvlText w:val="•"/>
      <w:lvlJc w:val="left"/>
      <w:pPr>
        <w:ind w:left="3758" w:hanging="307"/>
      </w:pPr>
      <w:rPr>
        <w:rFonts w:hint="default"/>
        <w:lang w:val="en-US" w:eastAsia="en-US" w:bidi="ar-SA"/>
      </w:rPr>
    </w:lvl>
    <w:lvl w:ilvl="5">
      <w:start w:val="0"/>
      <w:numFmt w:val="bullet"/>
      <w:lvlText w:val="•"/>
      <w:lvlJc w:val="left"/>
      <w:pPr>
        <w:ind w:left="4996" w:hanging="307"/>
      </w:pPr>
      <w:rPr>
        <w:rFonts w:hint="default"/>
        <w:lang w:val="en-US" w:eastAsia="en-US" w:bidi="ar-SA"/>
      </w:rPr>
    </w:lvl>
    <w:lvl w:ilvl="6">
      <w:start w:val="0"/>
      <w:numFmt w:val="bullet"/>
      <w:lvlText w:val="•"/>
      <w:lvlJc w:val="left"/>
      <w:pPr>
        <w:ind w:left="6234" w:hanging="307"/>
      </w:pPr>
      <w:rPr>
        <w:rFonts w:hint="default"/>
        <w:lang w:val="en-US" w:eastAsia="en-US" w:bidi="ar-SA"/>
      </w:rPr>
    </w:lvl>
    <w:lvl w:ilvl="7">
      <w:start w:val="0"/>
      <w:numFmt w:val="bullet"/>
      <w:lvlText w:val="•"/>
      <w:lvlJc w:val="left"/>
      <w:pPr>
        <w:ind w:left="7472" w:hanging="307"/>
      </w:pPr>
      <w:rPr>
        <w:rFonts w:hint="default"/>
        <w:lang w:val="en-US" w:eastAsia="en-US" w:bidi="ar-SA"/>
      </w:rPr>
    </w:lvl>
    <w:lvl w:ilvl="8">
      <w:start w:val="0"/>
      <w:numFmt w:val="bullet"/>
      <w:lvlText w:val="•"/>
      <w:lvlJc w:val="left"/>
      <w:pPr>
        <w:ind w:left="8710" w:hanging="307"/>
      </w:pPr>
      <w:rPr>
        <w:rFonts w:hint="default"/>
        <w:lang w:val="en-US" w:eastAsia="en-US" w:bidi="ar-SA"/>
      </w:rPr>
    </w:lvl>
  </w:abstractNum>
  <w:abstractNum w:abstractNumId="369">
    <w:multiLevelType w:val="hybridMultilevel"/>
    <w:lvl w:ilvl="0">
      <w:start w:val="32"/>
      <w:numFmt w:val="decimal"/>
      <w:lvlText w:val="%1)"/>
      <w:lvlJc w:val="left"/>
      <w:pPr>
        <w:ind w:left="1224" w:hanging="44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216" w:hanging="447"/>
      </w:pPr>
      <w:rPr>
        <w:rFonts w:hint="default"/>
        <w:lang w:val="en-US" w:eastAsia="en-US" w:bidi="ar-SA"/>
      </w:rPr>
    </w:lvl>
    <w:lvl w:ilvl="2">
      <w:start w:val="0"/>
      <w:numFmt w:val="bullet"/>
      <w:lvlText w:val="•"/>
      <w:lvlJc w:val="left"/>
      <w:pPr>
        <w:ind w:left="3213" w:hanging="447"/>
      </w:pPr>
      <w:rPr>
        <w:rFonts w:hint="default"/>
        <w:lang w:val="en-US" w:eastAsia="en-US" w:bidi="ar-SA"/>
      </w:rPr>
    </w:lvl>
    <w:lvl w:ilvl="3">
      <w:start w:val="0"/>
      <w:numFmt w:val="bullet"/>
      <w:lvlText w:val="•"/>
      <w:lvlJc w:val="left"/>
      <w:pPr>
        <w:ind w:left="4209" w:hanging="447"/>
      </w:pPr>
      <w:rPr>
        <w:rFonts w:hint="default"/>
        <w:lang w:val="en-US" w:eastAsia="en-US" w:bidi="ar-SA"/>
      </w:rPr>
    </w:lvl>
    <w:lvl w:ilvl="4">
      <w:start w:val="0"/>
      <w:numFmt w:val="bullet"/>
      <w:lvlText w:val="•"/>
      <w:lvlJc w:val="left"/>
      <w:pPr>
        <w:ind w:left="5206" w:hanging="447"/>
      </w:pPr>
      <w:rPr>
        <w:rFonts w:hint="default"/>
        <w:lang w:val="en-US" w:eastAsia="en-US" w:bidi="ar-SA"/>
      </w:rPr>
    </w:lvl>
    <w:lvl w:ilvl="5">
      <w:start w:val="0"/>
      <w:numFmt w:val="bullet"/>
      <w:lvlText w:val="•"/>
      <w:lvlJc w:val="left"/>
      <w:pPr>
        <w:ind w:left="6203" w:hanging="447"/>
      </w:pPr>
      <w:rPr>
        <w:rFonts w:hint="default"/>
        <w:lang w:val="en-US" w:eastAsia="en-US" w:bidi="ar-SA"/>
      </w:rPr>
    </w:lvl>
    <w:lvl w:ilvl="6">
      <w:start w:val="0"/>
      <w:numFmt w:val="bullet"/>
      <w:lvlText w:val="•"/>
      <w:lvlJc w:val="left"/>
      <w:pPr>
        <w:ind w:left="7199" w:hanging="447"/>
      </w:pPr>
      <w:rPr>
        <w:rFonts w:hint="default"/>
        <w:lang w:val="en-US" w:eastAsia="en-US" w:bidi="ar-SA"/>
      </w:rPr>
    </w:lvl>
    <w:lvl w:ilvl="7">
      <w:start w:val="0"/>
      <w:numFmt w:val="bullet"/>
      <w:lvlText w:val="•"/>
      <w:lvlJc w:val="left"/>
      <w:pPr>
        <w:ind w:left="8196" w:hanging="447"/>
      </w:pPr>
      <w:rPr>
        <w:rFonts w:hint="default"/>
        <w:lang w:val="en-US" w:eastAsia="en-US" w:bidi="ar-SA"/>
      </w:rPr>
    </w:lvl>
    <w:lvl w:ilvl="8">
      <w:start w:val="0"/>
      <w:numFmt w:val="bullet"/>
      <w:lvlText w:val="•"/>
      <w:lvlJc w:val="left"/>
      <w:pPr>
        <w:ind w:left="9193" w:hanging="447"/>
      </w:pPr>
      <w:rPr>
        <w:rFonts w:hint="default"/>
        <w:lang w:val="en-US" w:eastAsia="en-US" w:bidi="ar-SA"/>
      </w:rPr>
    </w:lvl>
  </w:abstractNum>
  <w:abstractNum w:abstractNumId="368">
    <w:multiLevelType w:val="hybridMultilevel"/>
    <w:lvl w:ilvl="0">
      <w:start w:val="3"/>
      <w:numFmt w:val="lowerLetter"/>
      <w:lvlText w:val="(%1)"/>
      <w:lvlJc w:val="left"/>
      <w:pPr>
        <w:ind w:left="1138"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144" w:hanging="360"/>
      </w:pPr>
      <w:rPr>
        <w:rFonts w:hint="default"/>
        <w:lang w:val="en-US" w:eastAsia="en-US" w:bidi="ar-SA"/>
      </w:rPr>
    </w:lvl>
    <w:lvl w:ilvl="2">
      <w:start w:val="0"/>
      <w:numFmt w:val="bullet"/>
      <w:lvlText w:val="•"/>
      <w:lvlJc w:val="left"/>
      <w:pPr>
        <w:ind w:left="3149" w:hanging="360"/>
      </w:pPr>
      <w:rPr>
        <w:rFonts w:hint="default"/>
        <w:lang w:val="en-US" w:eastAsia="en-US" w:bidi="ar-SA"/>
      </w:rPr>
    </w:lvl>
    <w:lvl w:ilvl="3">
      <w:start w:val="0"/>
      <w:numFmt w:val="bullet"/>
      <w:lvlText w:val="•"/>
      <w:lvlJc w:val="left"/>
      <w:pPr>
        <w:ind w:left="4153" w:hanging="360"/>
      </w:pPr>
      <w:rPr>
        <w:rFonts w:hint="default"/>
        <w:lang w:val="en-US" w:eastAsia="en-US" w:bidi="ar-SA"/>
      </w:rPr>
    </w:lvl>
    <w:lvl w:ilvl="4">
      <w:start w:val="0"/>
      <w:numFmt w:val="bullet"/>
      <w:lvlText w:val="•"/>
      <w:lvlJc w:val="left"/>
      <w:pPr>
        <w:ind w:left="5158" w:hanging="360"/>
      </w:pPr>
      <w:rPr>
        <w:rFonts w:hint="default"/>
        <w:lang w:val="en-US" w:eastAsia="en-US" w:bidi="ar-SA"/>
      </w:rPr>
    </w:lvl>
    <w:lvl w:ilvl="5">
      <w:start w:val="0"/>
      <w:numFmt w:val="bullet"/>
      <w:lvlText w:val="•"/>
      <w:lvlJc w:val="left"/>
      <w:pPr>
        <w:ind w:left="6163" w:hanging="360"/>
      </w:pPr>
      <w:rPr>
        <w:rFonts w:hint="default"/>
        <w:lang w:val="en-US" w:eastAsia="en-US" w:bidi="ar-SA"/>
      </w:rPr>
    </w:lvl>
    <w:lvl w:ilvl="6">
      <w:start w:val="0"/>
      <w:numFmt w:val="bullet"/>
      <w:lvlText w:val="•"/>
      <w:lvlJc w:val="left"/>
      <w:pPr>
        <w:ind w:left="7167" w:hanging="360"/>
      </w:pPr>
      <w:rPr>
        <w:rFonts w:hint="default"/>
        <w:lang w:val="en-US" w:eastAsia="en-US" w:bidi="ar-SA"/>
      </w:rPr>
    </w:lvl>
    <w:lvl w:ilvl="7">
      <w:start w:val="0"/>
      <w:numFmt w:val="bullet"/>
      <w:lvlText w:val="•"/>
      <w:lvlJc w:val="left"/>
      <w:pPr>
        <w:ind w:left="8172" w:hanging="360"/>
      </w:pPr>
      <w:rPr>
        <w:rFonts w:hint="default"/>
        <w:lang w:val="en-US" w:eastAsia="en-US" w:bidi="ar-SA"/>
      </w:rPr>
    </w:lvl>
    <w:lvl w:ilvl="8">
      <w:start w:val="0"/>
      <w:numFmt w:val="bullet"/>
      <w:lvlText w:val="•"/>
      <w:lvlJc w:val="left"/>
      <w:pPr>
        <w:ind w:left="9177" w:hanging="360"/>
      </w:pPr>
      <w:rPr>
        <w:rFonts w:hint="default"/>
        <w:lang w:val="en-US" w:eastAsia="en-US" w:bidi="ar-SA"/>
      </w:rPr>
    </w:lvl>
  </w:abstractNum>
  <w:abstractNum w:abstractNumId="367">
    <w:multiLevelType w:val="hybridMultilevel"/>
    <w:lvl w:ilvl="0">
      <w:start w:val="2"/>
      <w:numFmt w:val="lowerRoman"/>
      <w:lvlText w:val="(%1)"/>
      <w:lvlJc w:val="left"/>
      <w:pPr>
        <w:ind w:left="6539" w:hanging="5041"/>
        <w:jc w:val="left"/>
      </w:pPr>
      <w:rPr>
        <w:rFonts w:hint="default" w:ascii="Bookman Old Style" w:hAnsi="Bookman Old Style" w:eastAsia="Bookman Old Style" w:cs="Bookman Old Style"/>
        <w:b w:val="0"/>
        <w:bCs w:val="0"/>
        <w:i w:val="0"/>
        <w:iCs w:val="0"/>
        <w:spacing w:val="0"/>
        <w:w w:val="94"/>
        <w:sz w:val="24"/>
        <w:szCs w:val="24"/>
        <w:lang w:val="en-US" w:eastAsia="en-US" w:bidi="ar-SA"/>
      </w:rPr>
    </w:lvl>
    <w:lvl w:ilvl="1">
      <w:start w:val="0"/>
      <w:numFmt w:val="bullet"/>
      <w:lvlText w:val="•"/>
      <w:lvlJc w:val="left"/>
      <w:pPr>
        <w:ind w:left="7004" w:hanging="5041"/>
      </w:pPr>
      <w:rPr>
        <w:rFonts w:hint="default"/>
        <w:lang w:val="en-US" w:eastAsia="en-US" w:bidi="ar-SA"/>
      </w:rPr>
    </w:lvl>
    <w:lvl w:ilvl="2">
      <w:start w:val="0"/>
      <w:numFmt w:val="bullet"/>
      <w:lvlText w:val="•"/>
      <w:lvlJc w:val="left"/>
      <w:pPr>
        <w:ind w:left="7469" w:hanging="5041"/>
      </w:pPr>
      <w:rPr>
        <w:rFonts w:hint="default"/>
        <w:lang w:val="en-US" w:eastAsia="en-US" w:bidi="ar-SA"/>
      </w:rPr>
    </w:lvl>
    <w:lvl w:ilvl="3">
      <w:start w:val="0"/>
      <w:numFmt w:val="bullet"/>
      <w:lvlText w:val="•"/>
      <w:lvlJc w:val="left"/>
      <w:pPr>
        <w:ind w:left="7933" w:hanging="5041"/>
      </w:pPr>
      <w:rPr>
        <w:rFonts w:hint="default"/>
        <w:lang w:val="en-US" w:eastAsia="en-US" w:bidi="ar-SA"/>
      </w:rPr>
    </w:lvl>
    <w:lvl w:ilvl="4">
      <w:start w:val="0"/>
      <w:numFmt w:val="bullet"/>
      <w:lvlText w:val="•"/>
      <w:lvlJc w:val="left"/>
      <w:pPr>
        <w:ind w:left="8398" w:hanging="5041"/>
      </w:pPr>
      <w:rPr>
        <w:rFonts w:hint="default"/>
        <w:lang w:val="en-US" w:eastAsia="en-US" w:bidi="ar-SA"/>
      </w:rPr>
    </w:lvl>
    <w:lvl w:ilvl="5">
      <w:start w:val="0"/>
      <w:numFmt w:val="bullet"/>
      <w:lvlText w:val="•"/>
      <w:lvlJc w:val="left"/>
      <w:pPr>
        <w:ind w:left="8863" w:hanging="5041"/>
      </w:pPr>
      <w:rPr>
        <w:rFonts w:hint="default"/>
        <w:lang w:val="en-US" w:eastAsia="en-US" w:bidi="ar-SA"/>
      </w:rPr>
    </w:lvl>
    <w:lvl w:ilvl="6">
      <w:start w:val="0"/>
      <w:numFmt w:val="bullet"/>
      <w:lvlText w:val="•"/>
      <w:lvlJc w:val="left"/>
      <w:pPr>
        <w:ind w:left="9327" w:hanging="5041"/>
      </w:pPr>
      <w:rPr>
        <w:rFonts w:hint="default"/>
        <w:lang w:val="en-US" w:eastAsia="en-US" w:bidi="ar-SA"/>
      </w:rPr>
    </w:lvl>
    <w:lvl w:ilvl="7">
      <w:start w:val="0"/>
      <w:numFmt w:val="bullet"/>
      <w:lvlText w:val="•"/>
      <w:lvlJc w:val="left"/>
      <w:pPr>
        <w:ind w:left="9792" w:hanging="5041"/>
      </w:pPr>
      <w:rPr>
        <w:rFonts w:hint="default"/>
        <w:lang w:val="en-US" w:eastAsia="en-US" w:bidi="ar-SA"/>
      </w:rPr>
    </w:lvl>
    <w:lvl w:ilvl="8">
      <w:start w:val="0"/>
      <w:numFmt w:val="bullet"/>
      <w:lvlText w:val="•"/>
      <w:lvlJc w:val="left"/>
      <w:pPr>
        <w:ind w:left="10257" w:hanging="5041"/>
      </w:pPr>
      <w:rPr>
        <w:rFonts w:hint="default"/>
        <w:lang w:val="en-US" w:eastAsia="en-US" w:bidi="ar-SA"/>
      </w:rPr>
    </w:lvl>
  </w:abstractNum>
  <w:abstractNum w:abstractNumId="366">
    <w:multiLevelType w:val="hybridMultilevel"/>
    <w:lvl w:ilvl="0">
      <w:start w:val="2"/>
      <w:numFmt w:val="lowerLetter"/>
      <w:lvlText w:val="(%1)"/>
      <w:lvlJc w:val="left"/>
      <w:pPr>
        <w:ind w:left="1498"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2"/>
      <w:numFmt w:val="lowerRoman"/>
      <w:lvlText w:val="(%2)"/>
      <w:lvlJc w:val="left"/>
      <w:pPr>
        <w:ind w:left="1862" w:hanging="365"/>
        <w:jc w:val="left"/>
      </w:pPr>
      <w:rPr>
        <w:rFonts w:hint="default" w:ascii="Bookman Old Style" w:hAnsi="Bookman Old Style" w:eastAsia="Bookman Old Style" w:cs="Bookman Old Style"/>
        <w:b w:val="0"/>
        <w:bCs w:val="0"/>
        <w:i w:val="0"/>
        <w:iCs w:val="0"/>
        <w:spacing w:val="0"/>
        <w:w w:val="91"/>
        <w:sz w:val="24"/>
        <w:szCs w:val="24"/>
        <w:lang w:val="en-US" w:eastAsia="en-US" w:bidi="ar-SA"/>
      </w:rPr>
    </w:lvl>
    <w:lvl w:ilvl="2">
      <w:start w:val="0"/>
      <w:numFmt w:val="bullet"/>
      <w:lvlText w:val="•"/>
      <w:lvlJc w:val="left"/>
      <w:pPr>
        <w:ind w:left="1860" w:hanging="365"/>
      </w:pPr>
      <w:rPr>
        <w:rFonts w:hint="default"/>
        <w:lang w:val="en-US" w:eastAsia="en-US" w:bidi="ar-SA"/>
      </w:rPr>
    </w:lvl>
    <w:lvl w:ilvl="3">
      <w:start w:val="0"/>
      <w:numFmt w:val="bullet"/>
      <w:lvlText w:val="•"/>
      <w:lvlJc w:val="left"/>
      <w:pPr>
        <w:ind w:left="3025" w:hanging="365"/>
      </w:pPr>
      <w:rPr>
        <w:rFonts w:hint="default"/>
        <w:lang w:val="en-US" w:eastAsia="en-US" w:bidi="ar-SA"/>
      </w:rPr>
    </w:lvl>
    <w:lvl w:ilvl="4">
      <w:start w:val="0"/>
      <w:numFmt w:val="bullet"/>
      <w:lvlText w:val="•"/>
      <w:lvlJc w:val="left"/>
      <w:pPr>
        <w:ind w:left="4191" w:hanging="365"/>
      </w:pPr>
      <w:rPr>
        <w:rFonts w:hint="default"/>
        <w:lang w:val="en-US" w:eastAsia="en-US" w:bidi="ar-SA"/>
      </w:rPr>
    </w:lvl>
    <w:lvl w:ilvl="5">
      <w:start w:val="0"/>
      <w:numFmt w:val="bullet"/>
      <w:lvlText w:val="•"/>
      <w:lvlJc w:val="left"/>
      <w:pPr>
        <w:ind w:left="5357" w:hanging="365"/>
      </w:pPr>
      <w:rPr>
        <w:rFonts w:hint="default"/>
        <w:lang w:val="en-US" w:eastAsia="en-US" w:bidi="ar-SA"/>
      </w:rPr>
    </w:lvl>
    <w:lvl w:ilvl="6">
      <w:start w:val="0"/>
      <w:numFmt w:val="bullet"/>
      <w:lvlText w:val="•"/>
      <w:lvlJc w:val="left"/>
      <w:pPr>
        <w:ind w:left="6523" w:hanging="365"/>
      </w:pPr>
      <w:rPr>
        <w:rFonts w:hint="default"/>
        <w:lang w:val="en-US" w:eastAsia="en-US" w:bidi="ar-SA"/>
      </w:rPr>
    </w:lvl>
    <w:lvl w:ilvl="7">
      <w:start w:val="0"/>
      <w:numFmt w:val="bullet"/>
      <w:lvlText w:val="•"/>
      <w:lvlJc w:val="left"/>
      <w:pPr>
        <w:ind w:left="7689" w:hanging="365"/>
      </w:pPr>
      <w:rPr>
        <w:rFonts w:hint="default"/>
        <w:lang w:val="en-US" w:eastAsia="en-US" w:bidi="ar-SA"/>
      </w:rPr>
    </w:lvl>
    <w:lvl w:ilvl="8">
      <w:start w:val="0"/>
      <w:numFmt w:val="bullet"/>
      <w:lvlText w:val="•"/>
      <w:lvlJc w:val="left"/>
      <w:pPr>
        <w:ind w:left="8854" w:hanging="365"/>
      </w:pPr>
      <w:rPr>
        <w:rFonts w:hint="default"/>
        <w:lang w:val="en-US" w:eastAsia="en-US" w:bidi="ar-SA"/>
      </w:rPr>
    </w:lvl>
  </w:abstractNum>
  <w:abstractNum w:abstractNumId="365">
    <w:multiLevelType w:val="hybridMultilevel"/>
    <w:lvl w:ilvl="0">
      <w:start w:val="2"/>
      <w:numFmt w:val="lowerRoman"/>
      <w:lvlText w:val="(%1)"/>
      <w:lvlJc w:val="left"/>
      <w:pPr>
        <w:ind w:left="1862" w:hanging="36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92" w:hanging="365"/>
      </w:pPr>
      <w:rPr>
        <w:rFonts w:hint="default"/>
        <w:lang w:val="en-US" w:eastAsia="en-US" w:bidi="ar-SA"/>
      </w:rPr>
    </w:lvl>
    <w:lvl w:ilvl="2">
      <w:start w:val="0"/>
      <w:numFmt w:val="bullet"/>
      <w:lvlText w:val="•"/>
      <w:lvlJc w:val="left"/>
      <w:pPr>
        <w:ind w:left="3725" w:hanging="365"/>
      </w:pPr>
      <w:rPr>
        <w:rFonts w:hint="default"/>
        <w:lang w:val="en-US" w:eastAsia="en-US" w:bidi="ar-SA"/>
      </w:rPr>
    </w:lvl>
    <w:lvl w:ilvl="3">
      <w:start w:val="0"/>
      <w:numFmt w:val="bullet"/>
      <w:lvlText w:val="•"/>
      <w:lvlJc w:val="left"/>
      <w:pPr>
        <w:ind w:left="4657" w:hanging="365"/>
      </w:pPr>
      <w:rPr>
        <w:rFonts w:hint="default"/>
        <w:lang w:val="en-US" w:eastAsia="en-US" w:bidi="ar-SA"/>
      </w:rPr>
    </w:lvl>
    <w:lvl w:ilvl="4">
      <w:start w:val="0"/>
      <w:numFmt w:val="bullet"/>
      <w:lvlText w:val="•"/>
      <w:lvlJc w:val="left"/>
      <w:pPr>
        <w:ind w:left="5590" w:hanging="365"/>
      </w:pPr>
      <w:rPr>
        <w:rFonts w:hint="default"/>
        <w:lang w:val="en-US" w:eastAsia="en-US" w:bidi="ar-SA"/>
      </w:rPr>
    </w:lvl>
    <w:lvl w:ilvl="5">
      <w:start w:val="0"/>
      <w:numFmt w:val="bullet"/>
      <w:lvlText w:val="•"/>
      <w:lvlJc w:val="left"/>
      <w:pPr>
        <w:ind w:left="6523" w:hanging="365"/>
      </w:pPr>
      <w:rPr>
        <w:rFonts w:hint="default"/>
        <w:lang w:val="en-US" w:eastAsia="en-US" w:bidi="ar-SA"/>
      </w:rPr>
    </w:lvl>
    <w:lvl w:ilvl="6">
      <w:start w:val="0"/>
      <w:numFmt w:val="bullet"/>
      <w:lvlText w:val="•"/>
      <w:lvlJc w:val="left"/>
      <w:pPr>
        <w:ind w:left="7455" w:hanging="365"/>
      </w:pPr>
      <w:rPr>
        <w:rFonts w:hint="default"/>
        <w:lang w:val="en-US" w:eastAsia="en-US" w:bidi="ar-SA"/>
      </w:rPr>
    </w:lvl>
    <w:lvl w:ilvl="7">
      <w:start w:val="0"/>
      <w:numFmt w:val="bullet"/>
      <w:lvlText w:val="•"/>
      <w:lvlJc w:val="left"/>
      <w:pPr>
        <w:ind w:left="8388" w:hanging="365"/>
      </w:pPr>
      <w:rPr>
        <w:rFonts w:hint="default"/>
        <w:lang w:val="en-US" w:eastAsia="en-US" w:bidi="ar-SA"/>
      </w:rPr>
    </w:lvl>
    <w:lvl w:ilvl="8">
      <w:start w:val="0"/>
      <w:numFmt w:val="bullet"/>
      <w:lvlText w:val="•"/>
      <w:lvlJc w:val="left"/>
      <w:pPr>
        <w:ind w:left="9321" w:hanging="365"/>
      </w:pPr>
      <w:rPr>
        <w:rFonts w:hint="default"/>
        <w:lang w:val="en-US" w:eastAsia="en-US" w:bidi="ar-SA"/>
      </w:rPr>
    </w:lvl>
  </w:abstractNum>
  <w:abstractNum w:abstractNumId="364">
    <w:multiLevelType w:val="hybridMultilevel"/>
    <w:lvl w:ilvl="0">
      <w:start w:val="18"/>
      <w:numFmt w:val="decimal"/>
      <w:lvlText w:val="%1)"/>
      <w:lvlJc w:val="left"/>
      <w:pPr>
        <w:ind w:left="1498" w:hanging="493"/>
        <w:jc w:val="left"/>
      </w:pPr>
      <w:rPr>
        <w:rFonts w:hint="default" w:ascii="Bookman Old Style" w:hAnsi="Bookman Old Style" w:eastAsia="Bookman Old Style" w:cs="Bookman Old Style"/>
        <w:b w:val="0"/>
        <w:bCs w:val="0"/>
        <w:i w:val="0"/>
        <w:iCs w:val="0"/>
        <w:spacing w:val="-1"/>
        <w:w w:val="95"/>
        <w:sz w:val="24"/>
        <w:szCs w:val="24"/>
        <w:lang w:val="en-US" w:eastAsia="en-US" w:bidi="ar-SA"/>
      </w:rPr>
    </w:lvl>
    <w:lvl w:ilvl="1">
      <w:start w:val="2"/>
      <w:numFmt w:val="lowerLetter"/>
      <w:lvlText w:val="(%2)"/>
      <w:lvlJc w:val="left"/>
      <w:pPr>
        <w:ind w:left="1138" w:hanging="43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576" w:hanging="430"/>
      </w:pPr>
      <w:rPr>
        <w:rFonts w:hint="default"/>
        <w:lang w:val="en-US" w:eastAsia="en-US" w:bidi="ar-SA"/>
      </w:rPr>
    </w:lvl>
    <w:lvl w:ilvl="3">
      <w:start w:val="0"/>
      <w:numFmt w:val="bullet"/>
      <w:lvlText w:val="•"/>
      <w:lvlJc w:val="left"/>
      <w:pPr>
        <w:ind w:left="3652" w:hanging="430"/>
      </w:pPr>
      <w:rPr>
        <w:rFonts w:hint="default"/>
        <w:lang w:val="en-US" w:eastAsia="en-US" w:bidi="ar-SA"/>
      </w:rPr>
    </w:lvl>
    <w:lvl w:ilvl="4">
      <w:start w:val="0"/>
      <w:numFmt w:val="bullet"/>
      <w:lvlText w:val="•"/>
      <w:lvlJc w:val="left"/>
      <w:pPr>
        <w:ind w:left="4728" w:hanging="430"/>
      </w:pPr>
      <w:rPr>
        <w:rFonts w:hint="default"/>
        <w:lang w:val="en-US" w:eastAsia="en-US" w:bidi="ar-SA"/>
      </w:rPr>
    </w:lvl>
    <w:lvl w:ilvl="5">
      <w:start w:val="0"/>
      <w:numFmt w:val="bullet"/>
      <w:lvlText w:val="•"/>
      <w:lvlJc w:val="left"/>
      <w:pPr>
        <w:ind w:left="5805" w:hanging="430"/>
      </w:pPr>
      <w:rPr>
        <w:rFonts w:hint="default"/>
        <w:lang w:val="en-US" w:eastAsia="en-US" w:bidi="ar-SA"/>
      </w:rPr>
    </w:lvl>
    <w:lvl w:ilvl="6">
      <w:start w:val="0"/>
      <w:numFmt w:val="bullet"/>
      <w:lvlText w:val="•"/>
      <w:lvlJc w:val="left"/>
      <w:pPr>
        <w:ind w:left="6881" w:hanging="430"/>
      </w:pPr>
      <w:rPr>
        <w:rFonts w:hint="default"/>
        <w:lang w:val="en-US" w:eastAsia="en-US" w:bidi="ar-SA"/>
      </w:rPr>
    </w:lvl>
    <w:lvl w:ilvl="7">
      <w:start w:val="0"/>
      <w:numFmt w:val="bullet"/>
      <w:lvlText w:val="•"/>
      <w:lvlJc w:val="left"/>
      <w:pPr>
        <w:ind w:left="7957" w:hanging="430"/>
      </w:pPr>
      <w:rPr>
        <w:rFonts w:hint="default"/>
        <w:lang w:val="en-US" w:eastAsia="en-US" w:bidi="ar-SA"/>
      </w:rPr>
    </w:lvl>
    <w:lvl w:ilvl="8">
      <w:start w:val="0"/>
      <w:numFmt w:val="bullet"/>
      <w:lvlText w:val="•"/>
      <w:lvlJc w:val="left"/>
      <w:pPr>
        <w:ind w:left="9033" w:hanging="430"/>
      </w:pPr>
      <w:rPr>
        <w:rFonts w:hint="default"/>
        <w:lang w:val="en-US" w:eastAsia="en-US" w:bidi="ar-SA"/>
      </w:rPr>
    </w:lvl>
  </w:abstractNum>
  <w:abstractNum w:abstractNumId="363">
    <w:multiLevelType w:val="hybridMultilevel"/>
    <w:lvl w:ilvl="0">
      <w:start w:val="17"/>
      <w:numFmt w:val="decimal"/>
      <w:lvlText w:val="(%1)"/>
      <w:lvlJc w:val="left"/>
      <w:pPr>
        <w:ind w:left="777" w:hanging="54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498" w:hanging="360"/>
        <w:jc w:val="left"/>
      </w:pPr>
      <w:rPr>
        <w:rFonts w:hint="default" w:ascii="Bookman Old Style" w:hAnsi="Bookman Old Style" w:eastAsia="Bookman Old Style" w:cs="Bookman Old Style"/>
        <w:b w:val="0"/>
        <w:bCs w:val="0"/>
        <w:i w:val="0"/>
        <w:iCs w:val="0"/>
        <w:spacing w:val="-1"/>
        <w:w w:val="100"/>
        <w:sz w:val="22"/>
        <w:szCs w:val="22"/>
        <w:lang w:val="en-US" w:eastAsia="en-US" w:bidi="ar-SA"/>
      </w:rPr>
    </w:lvl>
    <w:lvl w:ilvl="2">
      <w:start w:val="0"/>
      <w:numFmt w:val="bullet"/>
      <w:lvlText w:val="•"/>
      <w:lvlJc w:val="left"/>
      <w:pPr>
        <w:ind w:left="2576" w:hanging="360"/>
      </w:pPr>
      <w:rPr>
        <w:rFonts w:hint="default"/>
        <w:lang w:val="en-US" w:eastAsia="en-US" w:bidi="ar-SA"/>
      </w:rPr>
    </w:lvl>
    <w:lvl w:ilvl="3">
      <w:start w:val="0"/>
      <w:numFmt w:val="bullet"/>
      <w:lvlText w:val="•"/>
      <w:lvlJc w:val="left"/>
      <w:pPr>
        <w:ind w:left="3652" w:hanging="360"/>
      </w:pPr>
      <w:rPr>
        <w:rFonts w:hint="default"/>
        <w:lang w:val="en-US" w:eastAsia="en-US" w:bidi="ar-SA"/>
      </w:rPr>
    </w:lvl>
    <w:lvl w:ilvl="4">
      <w:start w:val="0"/>
      <w:numFmt w:val="bullet"/>
      <w:lvlText w:val="•"/>
      <w:lvlJc w:val="left"/>
      <w:pPr>
        <w:ind w:left="4728" w:hanging="360"/>
      </w:pPr>
      <w:rPr>
        <w:rFonts w:hint="default"/>
        <w:lang w:val="en-US" w:eastAsia="en-US" w:bidi="ar-SA"/>
      </w:rPr>
    </w:lvl>
    <w:lvl w:ilvl="5">
      <w:start w:val="0"/>
      <w:numFmt w:val="bullet"/>
      <w:lvlText w:val="•"/>
      <w:lvlJc w:val="left"/>
      <w:pPr>
        <w:ind w:left="5805" w:hanging="360"/>
      </w:pPr>
      <w:rPr>
        <w:rFonts w:hint="default"/>
        <w:lang w:val="en-US" w:eastAsia="en-US" w:bidi="ar-SA"/>
      </w:rPr>
    </w:lvl>
    <w:lvl w:ilvl="6">
      <w:start w:val="0"/>
      <w:numFmt w:val="bullet"/>
      <w:lvlText w:val="•"/>
      <w:lvlJc w:val="left"/>
      <w:pPr>
        <w:ind w:left="6881" w:hanging="360"/>
      </w:pPr>
      <w:rPr>
        <w:rFonts w:hint="default"/>
        <w:lang w:val="en-US" w:eastAsia="en-US" w:bidi="ar-SA"/>
      </w:rPr>
    </w:lvl>
    <w:lvl w:ilvl="7">
      <w:start w:val="0"/>
      <w:numFmt w:val="bullet"/>
      <w:lvlText w:val="•"/>
      <w:lvlJc w:val="left"/>
      <w:pPr>
        <w:ind w:left="7957" w:hanging="360"/>
      </w:pPr>
      <w:rPr>
        <w:rFonts w:hint="default"/>
        <w:lang w:val="en-US" w:eastAsia="en-US" w:bidi="ar-SA"/>
      </w:rPr>
    </w:lvl>
    <w:lvl w:ilvl="8">
      <w:start w:val="0"/>
      <w:numFmt w:val="bullet"/>
      <w:lvlText w:val="•"/>
      <w:lvlJc w:val="left"/>
      <w:pPr>
        <w:ind w:left="9033" w:hanging="360"/>
      </w:pPr>
      <w:rPr>
        <w:rFonts w:hint="default"/>
        <w:lang w:val="en-US" w:eastAsia="en-US" w:bidi="ar-SA"/>
      </w:rPr>
    </w:lvl>
  </w:abstractNum>
  <w:abstractNum w:abstractNumId="362">
    <w:multiLevelType w:val="hybridMultilevel"/>
    <w:lvl w:ilvl="0">
      <w:start w:val="2"/>
      <w:numFmt w:val="lowerLetter"/>
      <w:lvlText w:val="(%1)"/>
      <w:lvlJc w:val="left"/>
      <w:pPr>
        <w:ind w:left="777" w:hanging="370"/>
        <w:jc w:val="left"/>
      </w:pPr>
      <w:rPr>
        <w:rFonts w:hint="default" w:ascii="Bookman Old Style" w:hAnsi="Bookman Old Style" w:eastAsia="Bookman Old Style" w:cs="Bookman Old Style"/>
        <w:b w:val="0"/>
        <w:bCs w:val="0"/>
        <w:i w:val="0"/>
        <w:iCs w:val="0"/>
        <w:spacing w:val="0"/>
        <w:w w:val="92"/>
        <w:sz w:val="24"/>
        <w:szCs w:val="24"/>
        <w:lang w:val="en-US" w:eastAsia="en-US" w:bidi="ar-SA"/>
      </w:rPr>
    </w:lvl>
    <w:lvl w:ilvl="1">
      <w:start w:val="0"/>
      <w:numFmt w:val="bullet"/>
      <w:lvlText w:val="•"/>
      <w:lvlJc w:val="left"/>
      <w:pPr>
        <w:ind w:left="1820" w:hanging="370"/>
      </w:pPr>
      <w:rPr>
        <w:rFonts w:hint="default"/>
        <w:lang w:val="en-US" w:eastAsia="en-US" w:bidi="ar-SA"/>
      </w:rPr>
    </w:lvl>
    <w:lvl w:ilvl="2">
      <w:start w:val="0"/>
      <w:numFmt w:val="bullet"/>
      <w:lvlText w:val="•"/>
      <w:lvlJc w:val="left"/>
      <w:pPr>
        <w:ind w:left="2861" w:hanging="370"/>
      </w:pPr>
      <w:rPr>
        <w:rFonts w:hint="default"/>
        <w:lang w:val="en-US" w:eastAsia="en-US" w:bidi="ar-SA"/>
      </w:rPr>
    </w:lvl>
    <w:lvl w:ilvl="3">
      <w:start w:val="0"/>
      <w:numFmt w:val="bullet"/>
      <w:lvlText w:val="•"/>
      <w:lvlJc w:val="left"/>
      <w:pPr>
        <w:ind w:left="3901" w:hanging="370"/>
      </w:pPr>
      <w:rPr>
        <w:rFonts w:hint="default"/>
        <w:lang w:val="en-US" w:eastAsia="en-US" w:bidi="ar-SA"/>
      </w:rPr>
    </w:lvl>
    <w:lvl w:ilvl="4">
      <w:start w:val="0"/>
      <w:numFmt w:val="bullet"/>
      <w:lvlText w:val="•"/>
      <w:lvlJc w:val="left"/>
      <w:pPr>
        <w:ind w:left="4942" w:hanging="370"/>
      </w:pPr>
      <w:rPr>
        <w:rFonts w:hint="default"/>
        <w:lang w:val="en-US" w:eastAsia="en-US" w:bidi="ar-SA"/>
      </w:rPr>
    </w:lvl>
    <w:lvl w:ilvl="5">
      <w:start w:val="0"/>
      <w:numFmt w:val="bullet"/>
      <w:lvlText w:val="•"/>
      <w:lvlJc w:val="left"/>
      <w:pPr>
        <w:ind w:left="5983" w:hanging="370"/>
      </w:pPr>
      <w:rPr>
        <w:rFonts w:hint="default"/>
        <w:lang w:val="en-US" w:eastAsia="en-US" w:bidi="ar-SA"/>
      </w:rPr>
    </w:lvl>
    <w:lvl w:ilvl="6">
      <w:start w:val="0"/>
      <w:numFmt w:val="bullet"/>
      <w:lvlText w:val="•"/>
      <w:lvlJc w:val="left"/>
      <w:pPr>
        <w:ind w:left="7023" w:hanging="370"/>
      </w:pPr>
      <w:rPr>
        <w:rFonts w:hint="default"/>
        <w:lang w:val="en-US" w:eastAsia="en-US" w:bidi="ar-SA"/>
      </w:rPr>
    </w:lvl>
    <w:lvl w:ilvl="7">
      <w:start w:val="0"/>
      <w:numFmt w:val="bullet"/>
      <w:lvlText w:val="•"/>
      <w:lvlJc w:val="left"/>
      <w:pPr>
        <w:ind w:left="8064" w:hanging="370"/>
      </w:pPr>
      <w:rPr>
        <w:rFonts w:hint="default"/>
        <w:lang w:val="en-US" w:eastAsia="en-US" w:bidi="ar-SA"/>
      </w:rPr>
    </w:lvl>
    <w:lvl w:ilvl="8">
      <w:start w:val="0"/>
      <w:numFmt w:val="bullet"/>
      <w:lvlText w:val="•"/>
      <w:lvlJc w:val="left"/>
      <w:pPr>
        <w:ind w:left="9105" w:hanging="370"/>
      </w:pPr>
      <w:rPr>
        <w:rFonts w:hint="default"/>
        <w:lang w:val="en-US" w:eastAsia="en-US" w:bidi="ar-SA"/>
      </w:rPr>
    </w:lvl>
  </w:abstractNum>
  <w:abstractNum w:abstractNumId="361">
    <w:multiLevelType w:val="hybridMultilevel"/>
    <w:lvl w:ilvl="0">
      <w:start w:val="1"/>
      <w:numFmt w:val="lowerRoman"/>
      <w:lvlText w:val="(%1)"/>
      <w:lvlJc w:val="left"/>
      <w:pPr>
        <w:ind w:left="1790" w:hanging="29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38" w:hanging="293"/>
      </w:pPr>
      <w:rPr>
        <w:rFonts w:hint="default"/>
        <w:lang w:val="en-US" w:eastAsia="en-US" w:bidi="ar-SA"/>
      </w:rPr>
    </w:lvl>
    <w:lvl w:ilvl="2">
      <w:start w:val="0"/>
      <w:numFmt w:val="bullet"/>
      <w:lvlText w:val="•"/>
      <w:lvlJc w:val="left"/>
      <w:pPr>
        <w:ind w:left="3677" w:hanging="293"/>
      </w:pPr>
      <w:rPr>
        <w:rFonts w:hint="default"/>
        <w:lang w:val="en-US" w:eastAsia="en-US" w:bidi="ar-SA"/>
      </w:rPr>
    </w:lvl>
    <w:lvl w:ilvl="3">
      <w:start w:val="0"/>
      <w:numFmt w:val="bullet"/>
      <w:lvlText w:val="•"/>
      <w:lvlJc w:val="left"/>
      <w:pPr>
        <w:ind w:left="4615" w:hanging="293"/>
      </w:pPr>
      <w:rPr>
        <w:rFonts w:hint="default"/>
        <w:lang w:val="en-US" w:eastAsia="en-US" w:bidi="ar-SA"/>
      </w:rPr>
    </w:lvl>
    <w:lvl w:ilvl="4">
      <w:start w:val="0"/>
      <w:numFmt w:val="bullet"/>
      <w:lvlText w:val="•"/>
      <w:lvlJc w:val="left"/>
      <w:pPr>
        <w:ind w:left="5554" w:hanging="293"/>
      </w:pPr>
      <w:rPr>
        <w:rFonts w:hint="default"/>
        <w:lang w:val="en-US" w:eastAsia="en-US" w:bidi="ar-SA"/>
      </w:rPr>
    </w:lvl>
    <w:lvl w:ilvl="5">
      <w:start w:val="0"/>
      <w:numFmt w:val="bullet"/>
      <w:lvlText w:val="•"/>
      <w:lvlJc w:val="left"/>
      <w:pPr>
        <w:ind w:left="6493" w:hanging="293"/>
      </w:pPr>
      <w:rPr>
        <w:rFonts w:hint="default"/>
        <w:lang w:val="en-US" w:eastAsia="en-US" w:bidi="ar-SA"/>
      </w:rPr>
    </w:lvl>
    <w:lvl w:ilvl="6">
      <w:start w:val="0"/>
      <w:numFmt w:val="bullet"/>
      <w:lvlText w:val="•"/>
      <w:lvlJc w:val="left"/>
      <w:pPr>
        <w:ind w:left="7431" w:hanging="293"/>
      </w:pPr>
      <w:rPr>
        <w:rFonts w:hint="default"/>
        <w:lang w:val="en-US" w:eastAsia="en-US" w:bidi="ar-SA"/>
      </w:rPr>
    </w:lvl>
    <w:lvl w:ilvl="7">
      <w:start w:val="0"/>
      <w:numFmt w:val="bullet"/>
      <w:lvlText w:val="•"/>
      <w:lvlJc w:val="left"/>
      <w:pPr>
        <w:ind w:left="8370" w:hanging="293"/>
      </w:pPr>
      <w:rPr>
        <w:rFonts w:hint="default"/>
        <w:lang w:val="en-US" w:eastAsia="en-US" w:bidi="ar-SA"/>
      </w:rPr>
    </w:lvl>
    <w:lvl w:ilvl="8">
      <w:start w:val="0"/>
      <w:numFmt w:val="bullet"/>
      <w:lvlText w:val="•"/>
      <w:lvlJc w:val="left"/>
      <w:pPr>
        <w:ind w:left="9309" w:hanging="293"/>
      </w:pPr>
      <w:rPr>
        <w:rFonts w:hint="default"/>
        <w:lang w:val="en-US" w:eastAsia="en-US" w:bidi="ar-SA"/>
      </w:rPr>
    </w:lvl>
  </w:abstractNum>
  <w:abstractNum w:abstractNumId="360">
    <w:multiLevelType w:val="hybridMultilevel"/>
    <w:lvl w:ilvl="0">
      <w:start w:val="2"/>
      <w:numFmt w:val="lowerLetter"/>
      <w:lvlText w:val="(%1)"/>
      <w:lvlJc w:val="left"/>
      <w:pPr>
        <w:ind w:left="1138" w:hanging="294"/>
        <w:jc w:val="left"/>
      </w:pPr>
      <w:rPr>
        <w:rFonts w:hint="default" w:ascii="Bookman Old Style" w:hAnsi="Bookman Old Style" w:eastAsia="Bookman Old Style" w:cs="Bookman Old Style"/>
        <w:b w:val="0"/>
        <w:bCs w:val="0"/>
        <w:i w:val="0"/>
        <w:iCs w:val="0"/>
        <w:spacing w:val="0"/>
        <w:w w:val="100"/>
        <w:sz w:val="22"/>
        <w:szCs w:val="22"/>
        <w:lang w:val="en-US" w:eastAsia="en-US" w:bidi="ar-SA"/>
      </w:rPr>
    </w:lvl>
    <w:lvl w:ilvl="1">
      <w:start w:val="0"/>
      <w:numFmt w:val="bullet"/>
      <w:lvlText w:val="•"/>
      <w:lvlJc w:val="left"/>
      <w:pPr>
        <w:ind w:left="2144" w:hanging="294"/>
      </w:pPr>
      <w:rPr>
        <w:rFonts w:hint="default"/>
        <w:lang w:val="en-US" w:eastAsia="en-US" w:bidi="ar-SA"/>
      </w:rPr>
    </w:lvl>
    <w:lvl w:ilvl="2">
      <w:start w:val="0"/>
      <w:numFmt w:val="bullet"/>
      <w:lvlText w:val="•"/>
      <w:lvlJc w:val="left"/>
      <w:pPr>
        <w:ind w:left="3149" w:hanging="294"/>
      </w:pPr>
      <w:rPr>
        <w:rFonts w:hint="default"/>
        <w:lang w:val="en-US" w:eastAsia="en-US" w:bidi="ar-SA"/>
      </w:rPr>
    </w:lvl>
    <w:lvl w:ilvl="3">
      <w:start w:val="0"/>
      <w:numFmt w:val="bullet"/>
      <w:lvlText w:val="•"/>
      <w:lvlJc w:val="left"/>
      <w:pPr>
        <w:ind w:left="4153" w:hanging="294"/>
      </w:pPr>
      <w:rPr>
        <w:rFonts w:hint="default"/>
        <w:lang w:val="en-US" w:eastAsia="en-US" w:bidi="ar-SA"/>
      </w:rPr>
    </w:lvl>
    <w:lvl w:ilvl="4">
      <w:start w:val="0"/>
      <w:numFmt w:val="bullet"/>
      <w:lvlText w:val="•"/>
      <w:lvlJc w:val="left"/>
      <w:pPr>
        <w:ind w:left="5158" w:hanging="294"/>
      </w:pPr>
      <w:rPr>
        <w:rFonts w:hint="default"/>
        <w:lang w:val="en-US" w:eastAsia="en-US" w:bidi="ar-SA"/>
      </w:rPr>
    </w:lvl>
    <w:lvl w:ilvl="5">
      <w:start w:val="0"/>
      <w:numFmt w:val="bullet"/>
      <w:lvlText w:val="•"/>
      <w:lvlJc w:val="left"/>
      <w:pPr>
        <w:ind w:left="6163" w:hanging="294"/>
      </w:pPr>
      <w:rPr>
        <w:rFonts w:hint="default"/>
        <w:lang w:val="en-US" w:eastAsia="en-US" w:bidi="ar-SA"/>
      </w:rPr>
    </w:lvl>
    <w:lvl w:ilvl="6">
      <w:start w:val="0"/>
      <w:numFmt w:val="bullet"/>
      <w:lvlText w:val="•"/>
      <w:lvlJc w:val="left"/>
      <w:pPr>
        <w:ind w:left="7167" w:hanging="294"/>
      </w:pPr>
      <w:rPr>
        <w:rFonts w:hint="default"/>
        <w:lang w:val="en-US" w:eastAsia="en-US" w:bidi="ar-SA"/>
      </w:rPr>
    </w:lvl>
    <w:lvl w:ilvl="7">
      <w:start w:val="0"/>
      <w:numFmt w:val="bullet"/>
      <w:lvlText w:val="•"/>
      <w:lvlJc w:val="left"/>
      <w:pPr>
        <w:ind w:left="8172" w:hanging="294"/>
      </w:pPr>
      <w:rPr>
        <w:rFonts w:hint="default"/>
        <w:lang w:val="en-US" w:eastAsia="en-US" w:bidi="ar-SA"/>
      </w:rPr>
    </w:lvl>
    <w:lvl w:ilvl="8">
      <w:start w:val="0"/>
      <w:numFmt w:val="bullet"/>
      <w:lvlText w:val="•"/>
      <w:lvlJc w:val="left"/>
      <w:pPr>
        <w:ind w:left="9177" w:hanging="294"/>
      </w:pPr>
      <w:rPr>
        <w:rFonts w:hint="default"/>
        <w:lang w:val="en-US" w:eastAsia="en-US" w:bidi="ar-SA"/>
      </w:rPr>
    </w:lvl>
  </w:abstractNum>
  <w:abstractNum w:abstractNumId="359">
    <w:multiLevelType w:val="hybridMultilevel"/>
    <w:lvl w:ilvl="0">
      <w:start w:val="1"/>
      <w:numFmt w:val="lowerRoman"/>
      <w:lvlText w:val="(%1)"/>
      <w:lvlJc w:val="left"/>
      <w:pPr>
        <w:ind w:left="1714" w:hanging="217"/>
        <w:jc w:val="left"/>
      </w:pPr>
      <w:rPr>
        <w:rFonts w:hint="default" w:ascii="Bookman Old Style" w:hAnsi="Bookman Old Style" w:eastAsia="Bookman Old Style" w:cs="Bookman Old Style"/>
        <w:b w:val="0"/>
        <w:bCs w:val="0"/>
        <w:i w:val="0"/>
        <w:iCs w:val="0"/>
        <w:spacing w:val="0"/>
        <w:w w:val="98"/>
        <w:sz w:val="22"/>
        <w:szCs w:val="22"/>
        <w:lang w:val="en-US" w:eastAsia="en-US" w:bidi="ar-SA"/>
      </w:rPr>
    </w:lvl>
    <w:lvl w:ilvl="1">
      <w:start w:val="0"/>
      <w:numFmt w:val="bullet"/>
      <w:lvlText w:val="•"/>
      <w:lvlJc w:val="left"/>
      <w:pPr>
        <w:ind w:left="2666" w:hanging="217"/>
      </w:pPr>
      <w:rPr>
        <w:rFonts w:hint="default"/>
        <w:lang w:val="en-US" w:eastAsia="en-US" w:bidi="ar-SA"/>
      </w:rPr>
    </w:lvl>
    <w:lvl w:ilvl="2">
      <w:start w:val="0"/>
      <w:numFmt w:val="bullet"/>
      <w:lvlText w:val="•"/>
      <w:lvlJc w:val="left"/>
      <w:pPr>
        <w:ind w:left="3613" w:hanging="217"/>
      </w:pPr>
      <w:rPr>
        <w:rFonts w:hint="default"/>
        <w:lang w:val="en-US" w:eastAsia="en-US" w:bidi="ar-SA"/>
      </w:rPr>
    </w:lvl>
    <w:lvl w:ilvl="3">
      <w:start w:val="0"/>
      <w:numFmt w:val="bullet"/>
      <w:lvlText w:val="•"/>
      <w:lvlJc w:val="left"/>
      <w:pPr>
        <w:ind w:left="4559" w:hanging="217"/>
      </w:pPr>
      <w:rPr>
        <w:rFonts w:hint="default"/>
        <w:lang w:val="en-US" w:eastAsia="en-US" w:bidi="ar-SA"/>
      </w:rPr>
    </w:lvl>
    <w:lvl w:ilvl="4">
      <w:start w:val="0"/>
      <w:numFmt w:val="bullet"/>
      <w:lvlText w:val="•"/>
      <w:lvlJc w:val="left"/>
      <w:pPr>
        <w:ind w:left="5506" w:hanging="217"/>
      </w:pPr>
      <w:rPr>
        <w:rFonts w:hint="default"/>
        <w:lang w:val="en-US" w:eastAsia="en-US" w:bidi="ar-SA"/>
      </w:rPr>
    </w:lvl>
    <w:lvl w:ilvl="5">
      <w:start w:val="0"/>
      <w:numFmt w:val="bullet"/>
      <w:lvlText w:val="•"/>
      <w:lvlJc w:val="left"/>
      <w:pPr>
        <w:ind w:left="6453" w:hanging="217"/>
      </w:pPr>
      <w:rPr>
        <w:rFonts w:hint="default"/>
        <w:lang w:val="en-US" w:eastAsia="en-US" w:bidi="ar-SA"/>
      </w:rPr>
    </w:lvl>
    <w:lvl w:ilvl="6">
      <w:start w:val="0"/>
      <w:numFmt w:val="bullet"/>
      <w:lvlText w:val="•"/>
      <w:lvlJc w:val="left"/>
      <w:pPr>
        <w:ind w:left="7399" w:hanging="217"/>
      </w:pPr>
      <w:rPr>
        <w:rFonts w:hint="default"/>
        <w:lang w:val="en-US" w:eastAsia="en-US" w:bidi="ar-SA"/>
      </w:rPr>
    </w:lvl>
    <w:lvl w:ilvl="7">
      <w:start w:val="0"/>
      <w:numFmt w:val="bullet"/>
      <w:lvlText w:val="•"/>
      <w:lvlJc w:val="left"/>
      <w:pPr>
        <w:ind w:left="8346" w:hanging="217"/>
      </w:pPr>
      <w:rPr>
        <w:rFonts w:hint="default"/>
        <w:lang w:val="en-US" w:eastAsia="en-US" w:bidi="ar-SA"/>
      </w:rPr>
    </w:lvl>
    <w:lvl w:ilvl="8">
      <w:start w:val="0"/>
      <w:numFmt w:val="bullet"/>
      <w:lvlText w:val="•"/>
      <w:lvlJc w:val="left"/>
      <w:pPr>
        <w:ind w:left="9293" w:hanging="217"/>
      </w:pPr>
      <w:rPr>
        <w:rFonts w:hint="default"/>
        <w:lang w:val="en-US" w:eastAsia="en-US" w:bidi="ar-SA"/>
      </w:rPr>
    </w:lvl>
  </w:abstractNum>
  <w:abstractNum w:abstractNumId="358">
    <w:multiLevelType w:val="hybridMultilevel"/>
    <w:lvl w:ilvl="0">
      <w:start w:val="2"/>
      <w:numFmt w:val="lowerLetter"/>
      <w:lvlText w:val="(%1)"/>
      <w:lvlJc w:val="left"/>
      <w:pPr>
        <w:ind w:left="1311" w:hanging="294"/>
        <w:jc w:val="left"/>
      </w:pPr>
      <w:rPr>
        <w:rFonts w:hint="default" w:ascii="Bookman Old Style" w:hAnsi="Bookman Old Style" w:eastAsia="Bookman Old Style" w:cs="Bookman Old Style"/>
        <w:b w:val="0"/>
        <w:bCs w:val="0"/>
        <w:i w:val="0"/>
        <w:iCs w:val="0"/>
        <w:spacing w:val="0"/>
        <w:w w:val="100"/>
        <w:sz w:val="22"/>
        <w:szCs w:val="22"/>
        <w:lang w:val="en-US" w:eastAsia="en-US" w:bidi="ar-SA"/>
      </w:rPr>
    </w:lvl>
    <w:lvl w:ilvl="1">
      <w:start w:val="1"/>
      <w:numFmt w:val="lowerRoman"/>
      <w:lvlText w:val="(%2)"/>
      <w:lvlJc w:val="left"/>
      <w:pPr>
        <w:ind w:left="777" w:hanging="370"/>
        <w:jc w:val="left"/>
      </w:pPr>
      <w:rPr>
        <w:rFonts w:hint="default" w:ascii="Bookman Old Style" w:hAnsi="Bookman Old Style" w:eastAsia="Bookman Old Style" w:cs="Bookman Old Style"/>
        <w:b w:val="0"/>
        <w:bCs w:val="0"/>
        <w:i w:val="0"/>
        <w:iCs w:val="0"/>
        <w:spacing w:val="0"/>
        <w:w w:val="93"/>
        <w:sz w:val="24"/>
        <w:szCs w:val="24"/>
        <w:lang w:val="en-US" w:eastAsia="en-US" w:bidi="ar-SA"/>
      </w:rPr>
    </w:lvl>
    <w:lvl w:ilvl="2">
      <w:start w:val="0"/>
      <w:numFmt w:val="bullet"/>
      <w:lvlText w:val="•"/>
      <w:lvlJc w:val="left"/>
      <w:pPr>
        <w:ind w:left="2416" w:hanging="370"/>
      </w:pPr>
      <w:rPr>
        <w:rFonts w:hint="default"/>
        <w:lang w:val="en-US" w:eastAsia="en-US" w:bidi="ar-SA"/>
      </w:rPr>
    </w:lvl>
    <w:lvl w:ilvl="3">
      <w:start w:val="0"/>
      <w:numFmt w:val="bullet"/>
      <w:lvlText w:val="•"/>
      <w:lvlJc w:val="left"/>
      <w:pPr>
        <w:ind w:left="3512" w:hanging="370"/>
      </w:pPr>
      <w:rPr>
        <w:rFonts w:hint="default"/>
        <w:lang w:val="en-US" w:eastAsia="en-US" w:bidi="ar-SA"/>
      </w:rPr>
    </w:lvl>
    <w:lvl w:ilvl="4">
      <w:start w:val="0"/>
      <w:numFmt w:val="bullet"/>
      <w:lvlText w:val="•"/>
      <w:lvlJc w:val="left"/>
      <w:pPr>
        <w:ind w:left="4608" w:hanging="370"/>
      </w:pPr>
      <w:rPr>
        <w:rFonts w:hint="default"/>
        <w:lang w:val="en-US" w:eastAsia="en-US" w:bidi="ar-SA"/>
      </w:rPr>
    </w:lvl>
    <w:lvl w:ilvl="5">
      <w:start w:val="0"/>
      <w:numFmt w:val="bullet"/>
      <w:lvlText w:val="•"/>
      <w:lvlJc w:val="left"/>
      <w:pPr>
        <w:ind w:left="5705" w:hanging="370"/>
      </w:pPr>
      <w:rPr>
        <w:rFonts w:hint="default"/>
        <w:lang w:val="en-US" w:eastAsia="en-US" w:bidi="ar-SA"/>
      </w:rPr>
    </w:lvl>
    <w:lvl w:ilvl="6">
      <w:start w:val="0"/>
      <w:numFmt w:val="bullet"/>
      <w:lvlText w:val="•"/>
      <w:lvlJc w:val="left"/>
      <w:pPr>
        <w:ind w:left="6801" w:hanging="370"/>
      </w:pPr>
      <w:rPr>
        <w:rFonts w:hint="default"/>
        <w:lang w:val="en-US" w:eastAsia="en-US" w:bidi="ar-SA"/>
      </w:rPr>
    </w:lvl>
    <w:lvl w:ilvl="7">
      <w:start w:val="0"/>
      <w:numFmt w:val="bullet"/>
      <w:lvlText w:val="•"/>
      <w:lvlJc w:val="left"/>
      <w:pPr>
        <w:ind w:left="7897" w:hanging="370"/>
      </w:pPr>
      <w:rPr>
        <w:rFonts w:hint="default"/>
        <w:lang w:val="en-US" w:eastAsia="en-US" w:bidi="ar-SA"/>
      </w:rPr>
    </w:lvl>
    <w:lvl w:ilvl="8">
      <w:start w:val="0"/>
      <w:numFmt w:val="bullet"/>
      <w:lvlText w:val="•"/>
      <w:lvlJc w:val="left"/>
      <w:pPr>
        <w:ind w:left="8993" w:hanging="370"/>
      </w:pPr>
      <w:rPr>
        <w:rFonts w:hint="default"/>
        <w:lang w:val="en-US" w:eastAsia="en-US" w:bidi="ar-SA"/>
      </w:rPr>
    </w:lvl>
  </w:abstractNum>
  <w:abstractNum w:abstractNumId="357">
    <w:multiLevelType w:val="hybridMultilevel"/>
    <w:lvl w:ilvl="0">
      <w:start w:val="1"/>
      <w:numFmt w:val="lowerRoman"/>
      <w:lvlText w:val="(%1)"/>
      <w:lvlJc w:val="left"/>
      <w:pPr>
        <w:ind w:left="1550" w:hanging="29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522" w:hanging="293"/>
      </w:pPr>
      <w:rPr>
        <w:rFonts w:hint="default"/>
        <w:lang w:val="en-US" w:eastAsia="en-US" w:bidi="ar-SA"/>
      </w:rPr>
    </w:lvl>
    <w:lvl w:ilvl="2">
      <w:start w:val="0"/>
      <w:numFmt w:val="bullet"/>
      <w:lvlText w:val="•"/>
      <w:lvlJc w:val="left"/>
      <w:pPr>
        <w:ind w:left="3485" w:hanging="293"/>
      </w:pPr>
      <w:rPr>
        <w:rFonts w:hint="default"/>
        <w:lang w:val="en-US" w:eastAsia="en-US" w:bidi="ar-SA"/>
      </w:rPr>
    </w:lvl>
    <w:lvl w:ilvl="3">
      <w:start w:val="0"/>
      <w:numFmt w:val="bullet"/>
      <w:lvlText w:val="•"/>
      <w:lvlJc w:val="left"/>
      <w:pPr>
        <w:ind w:left="4447" w:hanging="293"/>
      </w:pPr>
      <w:rPr>
        <w:rFonts w:hint="default"/>
        <w:lang w:val="en-US" w:eastAsia="en-US" w:bidi="ar-SA"/>
      </w:rPr>
    </w:lvl>
    <w:lvl w:ilvl="4">
      <w:start w:val="0"/>
      <w:numFmt w:val="bullet"/>
      <w:lvlText w:val="•"/>
      <w:lvlJc w:val="left"/>
      <w:pPr>
        <w:ind w:left="5410" w:hanging="293"/>
      </w:pPr>
      <w:rPr>
        <w:rFonts w:hint="default"/>
        <w:lang w:val="en-US" w:eastAsia="en-US" w:bidi="ar-SA"/>
      </w:rPr>
    </w:lvl>
    <w:lvl w:ilvl="5">
      <w:start w:val="0"/>
      <w:numFmt w:val="bullet"/>
      <w:lvlText w:val="•"/>
      <w:lvlJc w:val="left"/>
      <w:pPr>
        <w:ind w:left="6373" w:hanging="293"/>
      </w:pPr>
      <w:rPr>
        <w:rFonts w:hint="default"/>
        <w:lang w:val="en-US" w:eastAsia="en-US" w:bidi="ar-SA"/>
      </w:rPr>
    </w:lvl>
    <w:lvl w:ilvl="6">
      <w:start w:val="0"/>
      <w:numFmt w:val="bullet"/>
      <w:lvlText w:val="•"/>
      <w:lvlJc w:val="left"/>
      <w:pPr>
        <w:ind w:left="7335" w:hanging="293"/>
      </w:pPr>
      <w:rPr>
        <w:rFonts w:hint="default"/>
        <w:lang w:val="en-US" w:eastAsia="en-US" w:bidi="ar-SA"/>
      </w:rPr>
    </w:lvl>
    <w:lvl w:ilvl="7">
      <w:start w:val="0"/>
      <w:numFmt w:val="bullet"/>
      <w:lvlText w:val="•"/>
      <w:lvlJc w:val="left"/>
      <w:pPr>
        <w:ind w:left="8298" w:hanging="293"/>
      </w:pPr>
      <w:rPr>
        <w:rFonts w:hint="default"/>
        <w:lang w:val="en-US" w:eastAsia="en-US" w:bidi="ar-SA"/>
      </w:rPr>
    </w:lvl>
    <w:lvl w:ilvl="8">
      <w:start w:val="0"/>
      <w:numFmt w:val="bullet"/>
      <w:lvlText w:val="•"/>
      <w:lvlJc w:val="left"/>
      <w:pPr>
        <w:ind w:left="9261" w:hanging="293"/>
      </w:pPr>
      <w:rPr>
        <w:rFonts w:hint="default"/>
        <w:lang w:val="en-US" w:eastAsia="en-US" w:bidi="ar-SA"/>
      </w:rPr>
    </w:lvl>
  </w:abstractNum>
  <w:abstractNum w:abstractNumId="355">
    <w:multiLevelType w:val="hybridMultilevel"/>
    <w:lvl w:ilvl="0">
      <w:start w:val="2"/>
      <w:numFmt w:val="lowerLetter"/>
      <w:lvlText w:val="(%1)"/>
      <w:lvlJc w:val="left"/>
      <w:pPr>
        <w:ind w:left="1498" w:hanging="72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1867" w:hanging="37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896" w:hanging="370"/>
      </w:pPr>
      <w:rPr>
        <w:rFonts w:hint="default"/>
        <w:lang w:val="en-US" w:eastAsia="en-US" w:bidi="ar-SA"/>
      </w:rPr>
    </w:lvl>
    <w:lvl w:ilvl="3">
      <w:start w:val="0"/>
      <w:numFmt w:val="bullet"/>
      <w:lvlText w:val="•"/>
      <w:lvlJc w:val="left"/>
      <w:pPr>
        <w:ind w:left="3932" w:hanging="370"/>
      </w:pPr>
      <w:rPr>
        <w:rFonts w:hint="default"/>
        <w:lang w:val="en-US" w:eastAsia="en-US" w:bidi="ar-SA"/>
      </w:rPr>
    </w:lvl>
    <w:lvl w:ilvl="4">
      <w:start w:val="0"/>
      <w:numFmt w:val="bullet"/>
      <w:lvlText w:val="•"/>
      <w:lvlJc w:val="left"/>
      <w:pPr>
        <w:ind w:left="4968" w:hanging="370"/>
      </w:pPr>
      <w:rPr>
        <w:rFonts w:hint="default"/>
        <w:lang w:val="en-US" w:eastAsia="en-US" w:bidi="ar-SA"/>
      </w:rPr>
    </w:lvl>
    <w:lvl w:ilvl="5">
      <w:start w:val="0"/>
      <w:numFmt w:val="bullet"/>
      <w:lvlText w:val="•"/>
      <w:lvlJc w:val="left"/>
      <w:pPr>
        <w:ind w:left="6005" w:hanging="370"/>
      </w:pPr>
      <w:rPr>
        <w:rFonts w:hint="default"/>
        <w:lang w:val="en-US" w:eastAsia="en-US" w:bidi="ar-SA"/>
      </w:rPr>
    </w:lvl>
    <w:lvl w:ilvl="6">
      <w:start w:val="0"/>
      <w:numFmt w:val="bullet"/>
      <w:lvlText w:val="•"/>
      <w:lvlJc w:val="left"/>
      <w:pPr>
        <w:ind w:left="7041" w:hanging="370"/>
      </w:pPr>
      <w:rPr>
        <w:rFonts w:hint="default"/>
        <w:lang w:val="en-US" w:eastAsia="en-US" w:bidi="ar-SA"/>
      </w:rPr>
    </w:lvl>
    <w:lvl w:ilvl="7">
      <w:start w:val="0"/>
      <w:numFmt w:val="bullet"/>
      <w:lvlText w:val="•"/>
      <w:lvlJc w:val="left"/>
      <w:pPr>
        <w:ind w:left="8077" w:hanging="370"/>
      </w:pPr>
      <w:rPr>
        <w:rFonts w:hint="default"/>
        <w:lang w:val="en-US" w:eastAsia="en-US" w:bidi="ar-SA"/>
      </w:rPr>
    </w:lvl>
    <w:lvl w:ilvl="8">
      <w:start w:val="0"/>
      <w:numFmt w:val="bullet"/>
      <w:lvlText w:val="•"/>
      <w:lvlJc w:val="left"/>
      <w:pPr>
        <w:ind w:left="9113" w:hanging="370"/>
      </w:pPr>
      <w:rPr>
        <w:rFonts w:hint="default"/>
        <w:lang w:val="en-US" w:eastAsia="en-US" w:bidi="ar-SA"/>
      </w:rPr>
    </w:lvl>
  </w:abstractNum>
  <w:abstractNum w:abstractNumId="354">
    <w:multiLevelType w:val="hybridMultilevel"/>
    <w:lvl w:ilvl="0">
      <w:start w:val="2"/>
      <w:numFmt w:val="lowerLetter"/>
      <w:lvlText w:val="(%1)"/>
      <w:lvlJc w:val="left"/>
      <w:pPr>
        <w:ind w:left="1498" w:hanging="72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721"/>
      </w:pPr>
      <w:rPr>
        <w:rFonts w:hint="default"/>
        <w:lang w:val="en-US" w:eastAsia="en-US" w:bidi="ar-SA"/>
      </w:rPr>
    </w:lvl>
    <w:lvl w:ilvl="2">
      <w:start w:val="0"/>
      <w:numFmt w:val="bullet"/>
      <w:lvlText w:val="•"/>
      <w:lvlJc w:val="left"/>
      <w:pPr>
        <w:ind w:left="3437" w:hanging="721"/>
      </w:pPr>
      <w:rPr>
        <w:rFonts w:hint="default"/>
        <w:lang w:val="en-US" w:eastAsia="en-US" w:bidi="ar-SA"/>
      </w:rPr>
    </w:lvl>
    <w:lvl w:ilvl="3">
      <w:start w:val="0"/>
      <w:numFmt w:val="bullet"/>
      <w:lvlText w:val="•"/>
      <w:lvlJc w:val="left"/>
      <w:pPr>
        <w:ind w:left="4405" w:hanging="721"/>
      </w:pPr>
      <w:rPr>
        <w:rFonts w:hint="default"/>
        <w:lang w:val="en-US" w:eastAsia="en-US" w:bidi="ar-SA"/>
      </w:rPr>
    </w:lvl>
    <w:lvl w:ilvl="4">
      <w:start w:val="0"/>
      <w:numFmt w:val="bullet"/>
      <w:lvlText w:val="•"/>
      <w:lvlJc w:val="left"/>
      <w:pPr>
        <w:ind w:left="5374" w:hanging="721"/>
      </w:pPr>
      <w:rPr>
        <w:rFonts w:hint="default"/>
        <w:lang w:val="en-US" w:eastAsia="en-US" w:bidi="ar-SA"/>
      </w:rPr>
    </w:lvl>
    <w:lvl w:ilvl="5">
      <w:start w:val="0"/>
      <w:numFmt w:val="bullet"/>
      <w:lvlText w:val="•"/>
      <w:lvlJc w:val="left"/>
      <w:pPr>
        <w:ind w:left="6343" w:hanging="721"/>
      </w:pPr>
      <w:rPr>
        <w:rFonts w:hint="default"/>
        <w:lang w:val="en-US" w:eastAsia="en-US" w:bidi="ar-SA"/>
      </w:rPr>
    </w:lvl>
    <w:lvl w:ilvl="6">
      <w:start w:val="0"/>
      <w:numFmt w:val="bullet"/>
      <w:lvlText w:val="•"/>
      <w:lvlJc w:val="left"/>
      <w:pPr>
        <w:ind w:left="7311" w:hanging="721"/>
      </w:pPr>
      <w:rPr>
        <w:rFonts w:hint="default"/>
        <w:lang w:val="en-US" w:eastAsia="en-US" w:bidi="ar-SA"/>
      </w:rPr>
    </w:lvl>
    <w:lvl w:ilvl="7">
      <w:start w:val="0"/>
      <w:numFmt w:val="bullet"/>
      <w:lvlText w:val="•"/>
      <w:lvlJc w:val="left"/>
      <w:pPr>
        <w:ind w:left="8280" w:hanging="721"/>
      </w:pPr>
      <w:rPr>
        <w:rFonts w:hint="default"/>
        <w:lang w:val="en-US" w:eastAsia="en-US" w:bidi="ar-SA"/>
      </w:rPr>
    </w:lvl>
    <w:lvl w:ilvl="8">
      <w:start w:val="0"/>
      <w:numFmt w:val="bullet"/>
      <w:lvlText w:val="•"/>
      <w:lvlJc w:val="left"/>
      <w:pPr>
        <w:ind w:left="9249" w:hanging="721"/>
      </w:pPr>
      <w:rPr>
        <w:rFonts w:hint="default"/>
        <w:lang w:val="en-US" w:eastAsia="en-US" w:bidi="ar-SA"/>
      </w:rPr>
    </w:lvl>
  </w:abstractNum>
  <w:abstractNum w:abstractNumId="353">
    <w:multiLevelType w:val="hybridMultilevel"/>
    <w:lvl w:ilvl="0">
      <w:start w:val="3"/>
      <w:numFmt w:val="lowerLetter"/>
      <w:lvlText w:val="(%1)"/>
      <w:lvlJc w:val="left"/>
      <w:pPr>
        <w:ind w:left="1287" w:hanging="270"/>
        <w:jc w:val="right"/>
      </w:pPr>
      <w:rPr>
        <w:rFonts w:hint="default" w:ascii="Bookman Old Style" w:hAnsi="Bookman Old Style" w:eastAsia="Bookman Old Style" w:cs="Bookman Old Style"/>
        <w:b w:val="0"/>
        <w:bCs w:val="0"/>
        <w:i w:val="0"/>
        <w:iCs w:val="0"/>
        <w:spacing w:val="0"/>
        <w:w w:val="100"/>
        <w:sz w:val="22"/>
        <w:szCs w:val="22"/>
        <w:lang w:val="en-US" w:eastAsia="en-US" w:bidi="ar-SA"/>
      </w:rPr>
    </w:lvl>
    <w:lvl w:ilvl="1">
      <w:start w:val="0"/>
      <w:numFmt w:val="bullet"/>
      <w:lvlText w:val="•"/>
      <w:lvlJc w:val="left"/>
      <w:pPr>
        <w:ind w:left="2270" w:hanging="270"/>
      </w:pPr>
      <w:rPr>
        <w:rFonts w:hint="default"/>
        <w:lang w:val="en-US" w:eastAsia="en-US" w:bidi="ar-SA"/>
      </w:rPr>
    </w:lvl>
    <w:lvl w:ilvl="2">
      <w:start w:val="0"/>
      <w:numFmt w:val="bullet"/>
      <w:lvlText w:val="•"/>
      <w:lvlJc w:val="left"/>
      <w:pPr>
        <w:ind w:left="3261" w:hanging="270"/>
      </w:pPr>
      <w:rPr>
        <w:rFonts w:hint="default"/>
        <w:lang w:val="en-US" w:eastAsia="en-US" w:bidi="ar-SA"/>
      </w:rPr>
    </w:lvl>
    <w:lvl w:ilvl="3">
      <w:start w:val="0"/>
      <w:numFmt w:val="bullet"/>
      <w:lvlText w:val="•"/>
      <w:lvlJc w:val="left"/>
      <w:pPr>
        <w:ind w:left="4251" w:hanging="270"/>
      </w:pPr>
      <w:rPr>
        <w:rFonts w:hint="default"/>
        <w:lang w:val="en-US" w:eastAsia="en-US" w:bidi="ar-SA"/>
      </w:rPr>
    </w:lvl>
    <w:lvl w:ilvl="4">
      <w:start w:val="0"/>
      <w:numFmt w:val="bullet"/>
      <w:lvlText w:val="•"/>
      <w:lvlJc w:val="left"/>
      <w:pPr>
        <w:ind w:left="5242" w:hanging="270"/>
      </w:pPr>
      <w:rPr>
        <w:rFonts w:hint="default"/>
        <w:lang w:val="en-US" w:eastAsia="en-US" w:bidi="ar-SA"/>
      </w:rPr>
    </w:lvl>
    <w:lvl w:ilvl="5">
      <w:start w:val="0"/>
      <w:numFmt w:val="bullet"/>
      <w:lvlText w:val="•"/>
      <w:lvlJc w:val="left"/>
      <w:pPr>
        <w:ind w:left="6233" w:hanging="270"/>
      </w:pPr>
      <w:rPr>
        <w:rFonts w:hint="default"/>
        <w:lang w:val="en-US" w:eastAsia="en-US" w:bidi="ar-SA"/>
      </w:rPr>
    </w:lvl>
    <w:lvl w:ilvl="6">
      <w:start w:val="0"/>
      <w:numFmt w:val="bullet"/>
      <w:lvlText w:val="•"/>
      <w:lvlJc w:val="left"/>
      <w:pPr>
        <w:ind w:left="7223" w:hanging="270"/>
      </w:pPr>
      <w:rPr>
        <w:rFonts w:hint="default"/>
        <w:lang w:val="en-US" w:eastAsia="en-US" w:bidi="ar-SA"/>
      </w:rPr>
    </w:lvl>
    <w:lvl w:ilvl="7">
      <w:start w:val="0"/>
      <w:numFmt w:val="bullet"/>
      <w:lvlText w:val="•"/>
      <w:lvlJc w:val="left"/>
      <w:pPr>
        <w:ind w:left="8214" w:hanging="270"/>
      </w:pPr>
      <w:rPr>
        <w:rFonts w:hint="default"/>
        <w:lang w:val="en-US" w:eastAsia="en-US" w:bidi="ar-SA"/>
      </w:rPr>
    </w:lvl>
    <w:lvl w:ilvl="8">
      <w:start w:val="0"/>
      <w:numFmt w:val="bullet"/>
      <w:lvlText w:val="•"/>
      <w:lvlJc w:val="left"/>
      <w:pPr>
        <w:ind w:left="9205" w:hanging="270"/>
      </w:pPr>
      <w:rPr>
        <w:rFonts w:hint="default"/>
        <w:lang w:val="en-US" w:eastAsia="en-US" w:bidi="ar-SA"/>
      </w:rPr>
    </w:lvl>
  </w:abstractNum>
  <w:abstractNum w:abstractNumId="352">
    <w:multiLevelType w:val="hybridMultilevel"/>
    <w:lvl w:ilvl="0">
      <w:start w:val="1"/>
      <w:numFmt w:val="decimal"/>
      <w:lvlText w:val="%1)"/>
      <w:lvlJc w:val="left"/>
      <w:pPr>
        <w:ind w:left="1930" w:hanging="299"/>
        <w:jc w:val="left"/>
      </w:pPr>
      <w:rPr>
        <w:rFonts w:hint="default" w:ascii="Bookman Old Style" w:hAnsi="Bookman Old Style" w:eastAsia="Bookman Old Style" w:cs="Bookman Old Style"/>
        <w:b w:val="0"/>
        <w:bCs w:val="0"/>
        <w:i w:val="0"/>
        <w:iCs w:val="0"/>
        <w:spacing w:val="0"/>
        <w:w w:val="90"/>
        <w:sz w:val="24"/>
        <w:szCs w:val="24"/>
        <w:lang w:val="en-US" w:eastAsia="en-US" w:bidi="ar-SA"/>
      </w:rPr>
    </w:lvl>
    <w:lvl w:ilvl="1">
      <w:start w:val="0"/>
      <w:numFmt w:val="bullet"/>
      <w:lvlText w:val="•"/>
      <w:lvlJc w:val="left"/>
      <w:pPr>
        <w:ind w:left="2864" w:hanging="299"/>
      </w:pPr>
      <w:rPr>
        <w:rFonts w:hint="default"/>
        <w:lang w:val="en-US" w:eastAsia="en-US" w:bidi="ar-SA"/>
      </w:rPr>
    </w:lvl>
    <w:lvl w:ilvl="2">
      <w:start w:val="0"/>
      <w:numFmt w:val="bullet"/>
      <w:lvlText w:val="•"/>
      <w:lvlJc w:val="left"/>
      <w:pPr>
        <w:ind w:left="3789" w:hanging="299"/>
      </w:pPr>
      <w:rPr>
        <w:rFonts w:hint="default"/>
        <w:lang w:val="en-US" w:eastAsia="en-US" w:bidi="ar-SA"/>
      </w:rPr>
    </w:lvl>
    <w:lvl w:ilvl="3">
      <w:start w:val="0"/>
      <w:numFmt w:val="bullet"/>
      <w:lvlText w:val="•"/>
      <w:lvlJc w:val="left"/>
      <w:pPr>
        <w:ind w:left="4713" w:hanging="299"/>
      </w:pPr>
      <w:rPr>
        <w:rFonts w:hint="default"/>
        <w:lang w:val="en-US" w:eastAsia="en-US" w:bidi="ar-SA"/>
      </w:rPr>
    </w:lvl>
    <w:lvl w:ilvl="4">
      <w:start w:val="0"/>
      <w:numFmt w:val="bullet"/>
      <w:lvlText w:val="•"/>
      <w:lvlJc w:val="left"/>
      <w:pPr>
        <w:ind w:left="5638" w:hanging="299"/>
      </w:pPr>
      <w:rPr>
        <w:rFonts w:hint="default"/>
        <w:lang w:val="en-US" w:eastAsia="en-US" w:bidi="ar-SA"/>
      </w:rPr>
    </w:lvl>
    <w:lvl w:ilvl="5">
      <w:start w:val="0"/>
      <w:numFmt w:val="bullet"/>
      <w:lvlText w:val="•"/>
      <w:lvlJc w:val="left"/>
      <w:pPr>
        <w:ind w:left="6563" w:hanging="299"/>
      </w:pPr>
      <w:rPr>
        <w:rFonts w:hint="default"/>
        <w:lang w:val="en-US" w:eastAsia="en-US" w:bidi="ar-SA"/>
      </w:rPr>
    </w:lvl>
    <w:lvl w:ilvl="6">
      <w:start w:val="0"/>
      <w:numFmt w:val="bullet"/>
      <w:lvlText w:val="•"/>
      <w:lvlJc w:val="left"/>
      <w:pPr>
        <w:ind w:left="7487" w:hanging="299"/>
      </w:pPr>
      <w:rPr>
        <w:rFonts w:hint="default"/>
        <w:lang w:val="en-US" w:eastAsia="en-US" w:bidi="ar-SA"/>
      </w:rPr>
    </w:lvl>
    <w:lvl w:ilvl="7">
      <w:start w:val="0"/>
      <w:numFmt w:val="bullet"/>
      <w:lvlText w:val="•"/>
      <w:lvlJc w:val="left"/>
      <w:pPr>
        <w:ind w:left="8412" w:hanging="299"/>
      </w:pPr>
      <w:rPr>
        <w:rFonts w:hint="default"/>
        <w:lang w:val="en-US" w:eastAsia="en-US" w:bidi="ar-SA"/>
      </w:rPr>
    </w:lvl>
    <w:lvl w:ilvl="8">
      <w:start w:val="0"/>
      <w:numFmt w:val="bullet"/>
      <w:lvlText w:val="•"/>
      <w:lvlJc w:val="left"/>
      <w:pPr>
        <w:ind w:left="9337" w:hanging="299"/>
      </w:pPr>
      <w:rPr>
        <w:rFonts w:hint="default"/>
        <w:lang w:val="en-US" w:eastAsia="en-US" w:bidi="ar-SA"/>
      </w:rPr>
    </w:lvl>
  </w:abstractNum>
  <w:abstractNum w:abstractNumId="351">
    <w:multiLevelType w:val="hybridMultilevel"/>
    <w:lvl w:ilvl="0">
      <w:start w:val="1"/>
      <w:numFmt w:val="decimal"/>
      <w:lvlText w:val="%1."/>
      <w:lvlJc w:val="left"/>
      <w:pPr>
        <w:ind w:left="1618"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1738" w:hanging="24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789" w:hanging="240"/>
      </w:pPr>
      <w:rPr>
        <w:rFonts w:hint="default"/>
        <w:lang w:val="en-US" w:eastAsia="en-US" w:bidi="ar-SA"/>
      </w:rPr>
    </w:lvl>
    <w:lvl w:ilvl="3">
      <w:start w:val="0"/>
      <w:numFmt w:val="bullet"/>
      <w:lvlText w:val="•"/>
      <w:lvlJc w:val="left"/>
      <w:pPr>
        <w:ind w:left="3839" w:hanging="240"/>
      </w:pPr>
      <w:rPr>
        <w:rFonts w:hint="default"/>
        <w:lang w:val="en-US" w:eastAsia="en-US" w:bidi="ar-SA"/>
      </w:rPr>
    </w:lvl>
    <w:lvl w:ilvl="4">
      <w:start w:val="0"/>
      <w:numFmt w:val="bullet"/>
      <w:lvlText w:val="•"/>
      <w:lvlJc w:val="left"/>
      <w:pPr>
        <w:ind w:left="4888" w:hanging="240"/>
      </w:pPr>
      <w:rPr>
        <w:rFonts w:hint="default"/>
        <w:lang w:val="en-US" w:eastAsia="en-US" w:bidi="ar-SA"/>
      </w:rPr>
    </w:lvl>
    <w:lvl w:ilvl="5">
      <w:start w:val="0"/>
      <w:numFmt w:val="bullet"/>
      <w:lvlText w:val="•"/>
      <w:lvlJc w:val="left"/>
      <w:pPr>
        <w:ind w:left="5938" w:hanging="240"/>
      </w:pPr>
      <w:rPr>
        <w:rFonts w:hint="default"/>
        <w:lang w:val="en-US" w:eastAsia="en-US" w:bidi="ar-SA"/>
      </w:rPr>
    </w:lvl>
    <w:lvl w:ilvl="6">
      <w:start w:val="0"/>
      <w:numFmt w:val="bullet"/>
      <w:lvlText w:val="•"/>
      <w:lvlJc w:val="left"/>
      <w:pPr>
        <w:ind w:left="6988" w:hanging="240"/>
      </w:pPr>
      <w:rPr>
        <w:rFonts w:hint="default"/>
        <w:lang w:val="en-US" w:eastAsia="en-US" w:bidi="ar-SA"/>
      </w:rPr>
    </w:lvl>
    <w:lvl w:ilvl="7">
      <w:start w:val="0"/>
      <w:numFmt w:val="bullet"/>
      <w:lvlText w:val="•"/>
      <w:lvlJc w:val="left"/>
      <w:pPr>
        <w:ind w:left="8037" w:hanging="240"/>
      </w:pPr>
      <w:rPr>
        <w:rFonts w:hint="default"/>
        <w:lang w:val="en-US" w:eastAsia="en-US" w:bidi="ar-SA"/>
      </w:rPr>
    </w:lvl>
    <w:lvl w:ilvl="8">
      <w:start w:val="0"/>
      <w:numFmt w:val="bullet"/>
      <w:lvlText w:val="•"/>
      <w:lvlJc w:val="left"/>
      <w:pPr>
        <w:ind w:left="9087" w:hanging="240"/>
      </w:pPr>
      <w:rPr>
        <w:rFonts w:hint="default"/>
        <w:lang w:val="en-US" w:eastAsia="en-US" w:bidi="ar-SA"/>
      </w:rPr>
    </w:lvl>
  </w:abstractNum>
  <w:abstractNum w:abstractNumId="350">
    <w:multiLevelType w:val="hybridMultilevel"/>
    <w:lvl w:ilvl="0">
      <w:start w:val="1"/>
      <w:numFmt w:val="decimal"/>
      <w:lvlText w:val="(%1)"/>
      <w:lvlJc w:val="left"/>
      <w:pPr>
        <w:ind w:left="1978" w:hanging="365"/>
        <w:jc w:val="left"/>
      </w:pPr>
      <w:rPr>
        <w:rFonts w:hint="default" w:ascii="Bookman Old Style" w:hAnsi="Bookman Old Style" w:eastAsia="Bookman Old Style" w:cs="Bookman Old Style"/>
        <w:b w:val="0"/>
        <w:bCs w:val="0"/>
        <w:i w:val="0"/>
        <w:iCs w:val="0"/>
        <w:spacing w:val="0"/>
        <w:w w:val="93"/>
        <w:sz w:val="24"/>
        <w:szCs w:val="24"/>
        <w:lang w:val="en-US" w:eastAsia="en-US" w:bidi="ar-SA"/>
      </w:rPr>
    </w:lvl>
    <w:lvl w:ilvl="1">
      <w:start w:val="0"/>
      <w:numFmt w:val="bullet"/>
      <w:lvlText w:val="•"/>
      <w:lvlJc w:val="left"/>
      <w:pPr>
        <w:ind w:left="2900" w:hanging="365"/>
      </w:pPr>
      <w:rPr>
        <w:rFonts w:hint="default"/>
        <w:lang w:val="en-US" w:eastAsia="en-US" w:bidi="ar-SA"/>
      </w:rPr>
    </w:lvl>
    <w:lvl w:ilvl="2">
      <w:start w:val="0"/>
      <w:numFmt w:val="bullet"/>
      <w:lvlText w:val="•"/>
      <w:lvlJc w:val="left"/>
      <w:pPr>
        <w:ind w:left="3821" w:hanging="365"/>
      </w:pPr>
      <w:rPr>
        <w:rFonts w:hint="default"/>
        <w:lang w:val="en-US" w:eastAsia="en-US" w:bidi="ar-SA"/>
      </w:rPr>
    </w:lvl>
    <w:lvl w:ilvl="3">
      <w:start w:val="0"/>
      <w:numFmt w:val="bullet"/>
      <w:lvlText w:val="•"/>
      <w:lvlJc w:val="left"/>
      <w:pPr>
        <w:ind w:left="4741" w:hanging="365"/>
      </w:pPr>
      <w:rPr>
        <w:rFonts w:hint="default"/>
        <w:lang w:val="en-US" w:eastAsia="en-US" w:bidi="ar-SA"/>
      </w:rPr>
    </w:lvl>
    <w:lvl w:ilvl="4">
      <w:start w:val="0"/>
      <w:numFmt w:val="bullet"/>
      <w:lvlText w:val="•"/>
      <w:lvlJc w:val="left"/>
      <w:pPr>
        <w:ind w:left="5662" w:hanging="365"/>
      </w:pPr>
      <w:rPr>
        <w:rFonts w:hint="default"/>
        <w:lang w:val="en-US" w:eastAsia="en-US" w:bidi="ar-SA"/>
      </w:rPr>
    </w:lvl>
    <w:lvl w:ilvl="5">
      <w:start w:val="0"/>
      <w:numFmt w:val="bullet"/>
      <w:lvlText w:val="•"/>
      <w:lvlJc w:val="left"/>
      <w:pPr>
        <w:ind w:left="6583" w:hanging="365"/>
      </w:pPr>
      <w:rPr>
        <w:rFonts w:hint="default"/>
        <w:lang w:val="en-US" w:eastAsia="en-US" w:bidi="ar-SA"/>
      </w:rPr>
    </w:lvl>
    <w:lvl w:ilvl="6">
      <w:start w:val="0"/>
      <w:numFmt w:val="bullet"/>
      <w:lvlText w:val="•"/>
      <w:lvlJc w:val="left"/>
      <w:pPr>
        <w:ind w:left="7503" w:hanging="365"/>
      </w:pPr>
      <w:rPr>
        <w:rFonts w:hint="default"/>
        <w:lang w:val="en-US" w:eastAsia="en-US" w:bidi="ar-SA"/>
      </w:rPr>
    </w:lvl>
    <w:lvl w:ilvl="7">
      <w:start w:val="0"/>
      <w:numFmt w:val="bullet"/>
      <w:lvlText w:val="•"/>
      <w:lvlJc w:val="left"/>
      <w:pPr>
        <w:ind w:left="8424" w:hanging="365"/>
      </w:pPr>
      <w:rPr>
        <w:rFonts w:hint="default"/>
        <w:lang w:val="en-US" w:eastAsia="en-US" w:bidi="ar-SA"/>
      </w:rPr>
    </w:lvl>
    <w:lvl w:ilvl="8">
      <w:start w:val="0"/>
      <w:numFmt w:val="bullet"/>
      <w:lvlText w:val="•"/>
      <w:lvlJc w:val="left"/>
      <w:pPr>
        <w:ind w:left="9345" w:hanging="365"/>
      </w:pPr>
      <w:rPr>
        <w:rFonts w:hint="default"/>
        <w:lang w:val="en-US" w:eastAsia="en-US" w:bidi="ar-SA"/>
      </w:rPr>
    </w:lvl>
  </w:abstractNum>
  <w:abstractNum w:abstractNumId="349">
    <w:multiLevelType w:val="hybridMultilevel"/>
    <w:lvl w:ilvl="0">
      <w:start w:val="1"/>
      <w:numFmt w:val="decimal"/>
      <w:lvlText w:val="(%1)"/>
      <w:lvlJc w:val="left"/>
      <w:pPr>
        <w:ind w:left="1498" w:hanging="360"/>
        <w:jc w:val="right"/>
      </w:pPr>
      <w:rPr>
        <w:rFonts w:hint="default"/>
        <w:spacing w:val="0"/>
        <w:w w:val="94"/>
        <w:lang w:val="en-US" w:eastAsia="en-US" w:bidi="ar-SA"/>
      </w:rPr>
    </w:lvl>
    <w:lvl w:ilvl="1">
      <w:start w:val="1"/>
      <w:numFmt w:val="lowerRoman"/>
      <w:lvlText w:val="(%2)"/>
      <w:lvlJc w:val="left"/>
      <w:pPr>
        <w:ind w:left="1978" w:hanging="480"/>
        <w:jc w:val="left"/>
      </w:pPr>
      <w:rPr>
        <w:rFonts w:hint="default" w:ascii="Bookman Old Style" w:hAnsi="Bookman Old Style" w:eastAsia="Bookman Old Style" w:cs="Bookman Old Style"/>
        <w:b w:val="0"/>
        <w:bCs w:val="0"/>
        <w:i w:val="0"/>
        <w:iCs w:val="0"/>
        <w:spacing w:val="0"/>
        <w:w w:val="94"/>
        <w:sz w:val="24"/>
        <w:szCs w:val="24"/>
        <w:lang w:val="en-US" w:eastAsia="en-US" w:bidi="ar-SA"/>
      </w:rPr>
    </w:lvl>
    <w:lvl w:ilvl="2">
      <w:start w:val="1"/>
      <w:numFmt w:val="lowerLetter"/>
      <w:lvlText w:val="%3)"/>
      <w:lvlJc w:val="left"/>
      <w:pPr>
        <w:ind w:left="2338"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3445" w:hanging="360"/>
      </w:pPr>
      <w:rPr>
        <w:rFonts w:hint="default"/>
        <w:lang w:val="en-US" w:eastAsia="en-US" w:bidi="ar-SA"/>
      </w:rPr>
    </w:lvl>
    <w:lvl w:ilvl="4">
      <w:start w:val="0"/>
      <w:numFmt w:val="bullet"/>
      <w:lvlText w:val="•"/>
      <w:lvlJc w:val="left"/>
      <w:pPr>
        <w:ind w:left="4551" w:hanging="360"/>
      </w:pPr>
      <w:rPr>
        <w:rFonts w:hint="default"/>
        <w:lang w:val="en-US" w:eastAsia="en-US" w:bidi="ar-SA"/>
      </w:rPr>
    </w:lvl>
    <w:lvl w:ilvl="5">
      <w:start w:val="0"/>
      <w:numFmt w:val="bullet"/>
      <w:lvlText w:val="•"/>
      <w:lvlJc w:val="left"/>
      <w:pPr>
        <w:ind w:left="5657" w:hanging="360"/>
      </w:pPr>
      <w:rPr>
        <w:rFonts w:hint="default"/>
        <w:lang w:val="en-US" w:eastAsia="en-US" w:bidi="ar-SA"/>
      </w:rPr>
    </w:lvl>
    <w:lvl w:ilvl="6">
      <w:start w:val="0"/>
      <w:numFmt w:val="bullet"/>
      <w:lvlText w:val="•"/>
      <w:lvlJc w:val="left"/>
      <w:pPr>
        <w:ind w:left="6763" w:hanging="360"/>
      </w:pPr>
      <w:rPr>
        <w:rFonts w:hint="default"/>
        <w:lang w:val="en-US" w:eastAsia="en-US" w:bidi="ar-SA"/>
      </w:rPr>
    </w:lvl>
    <w:lvl w:ilvl="7">
      <w:start w:val="0"/>
      <w:numFmt w:val="bullet"/>
      <w:lvlText w:val="•"/>
      <w:lvlJc w:val="left"/>
      <w:pPr>
        <w:ind w:left="7869" w:hanging="360"/>
      </w:pPr>
      <w:rPr>
        <w:rFonts w:hint="default"/>
        <w:lang w:val="en-US" w:eastAsia="en-US" w:bidi="ar-SA"/>
      </w:rPr>
    </w:lvl>
    <w:lvl w:ilvl="8">
      <w:start w:val="0"/>
      <w:numFmt w:val="bullet"/>
      <w:lvlText w:val="•"/>
      <w:lvlJc w:val="left"/>
      <w:pPr>
        <w:ind w:left="8974" w:hanging="360"/>
      </w:pPr>
      <w:rPr>
        <w:rFonts w:hint="default"/>
        <w:lang w:val="en-US" w:eastAsia="en-US" w:bidi="ar-SA"/>
      </w:rPr>
    </w:lvl>
  </w:abstractNum>
  <w:abstractNum w:abstractNumId="348">
    <w:multiLevelType w:val="hybridMultilevel"/>
    <w:lvl w:ilvl="0">
      <w:start w:val="0"/>
      <w:numFmt w:val="bullet"/>
      <w:lvlText w:val=""/>
      <w:lvlJc w:val="left"/>
      <w:pPr>
        <w:ind w:left="149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68" w:hanging="360"/>
      </w:pPr>
      <w:rPr>
        <w:rFonts w:hint="default"/>
        <w:lang w:val="en-US" w:eastAsia="en-US" w:bidi="ar-SA"/>
      </w:rPr>
    </w:lvl>
    <w:lvl w:ilvl="2">
      <w:start w:val="0"/>
      <w:numFmt w:val="bullet"/>
      <w:lvlText w:val="•"/>
      <w:lvlJc w:val="left"/>
      <w:pPr>
        <w:ind w:left="3437" w:hanging="360"/>
      </w:pPr>
      <w:rPr>
        <w:rFonts w:hint="default"/>
        <w:lang w:val="en-US" w:eastAsia="en-US" w:bidi="ar-SA"/>
      </w:rPr>
    </w:lvl>
    <w:lvl w:ilvl="3">
      <w:start w:val="0"/>
      <w:numFmt w:val="bullet"/>
      <w:lvlText w:val="•"/>
      <w:lvlJc w:val="left"/>
      <w:pPr>
        <w:ind w:left="4405" w:hanging="360"/>
      </w:pPr>
      <w:rPr>
        <w:rFonts w:hint="default"/>
        <w:lang w:val="en-US" w:eastAsia="en-US" w:bidi="ar-SA"/>
      </w:rPr>
    </w:lvl>
    <w:lvl w:ilvl="4">
      <w:start w:val="0"/>
      <w:numFmt w:val="bullet"/>
      <w:lvlText w:val="•"/>
      <w:lvlJc w:val="left"/>
      <w:pPr>
        <w:ind w:left="5374" w:hanging="360"/>
      </w:pPr>
      <w:rPr>
        <w:rFonts w:hint="default"/>
        <w:lang w:val="en-US" w:eastAsia="en-US" w:bidi="ar-SA"/>
      </w:rPr>
    </w:lvl>
    <w:lvl w:ilvl="5">
      <w:start w:val="0"/>
      <w:numFmt w:val="bullet"/>
      <w:lvlText w:val="•"/>
      <w:lvlJc w:val="left"/>
      <w:pPr>
        <w:ind w:left="6343" w:hanging="360"/>
      </w:pPr>
      <w:rPr>
        <w:rFonts w:hint="default"/>
        <w:lang w:val="en-US" w:eastAsia="en-US" w:bidi="ar-SA"/>
      </w:rPr>
    </w:lvl>
    <w:lvl w:ilvl="6">
      <w:start w:val="0"/>
      <w:numFmt w:val="bullet"/>
      <w:lvlText w:val="•"/>
      <w:lvlJc w:val="left"/>
      <w:pPr>
        <w:ind w:left="7311"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249" w:hanging="360"/>
      </w:pPr>
      <w:rPr>
        <w:rFonts w:hint="default"/>
        <w:lang w:val="en-US" w:eastAsia="en-US" w:bidi="ar-SA"/>
      </w:rPr>
    </w:lvl>
  </w:abstractNum>
  <w:abstractNum w:abstractNumId="347">
    <w:multiLevelType w:val="hybridMultilevel"/>
    <w:lvl w:ilvl="0">
      <w:start w:val="2"/>
      <w:numFmt w:val="decimal"/>
      <w:lvlText w:val="%1."/>
      <w:lvlJc w:val="left"/>
      <w:pPr>
        <w:ind w:left="777" w:hanging="38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2)"/>
      <w:lvlJc w:val="left"/>
      <w:pPr>
        <w:ind w:left="1738" w:hanging="48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789" w:hanging="480"/>
      </w:pPr>
      <w:rPr>
        <w:rFonts w:hint="default"/>
        <w:lang w:val="en-US" w:eastAsia="en-US" w:bidi="ar-SA"/>
      </w:rPr>
    </w:lvl>
    <w:lvl w:ilvl="3">
      <w:start w:val="0"/>
      <w:numFmt w:val="bullet"/>
      <w:lvlText w:val="•"/>
      <w:lvlJc w:val="left"/>
      <w:pPr>
        <w:ind w:left="3839" w:hanging="480"/>
      </w:pPr>
      <w:rPr>
        <w:rFonts w:hint="default"/>
        <w:lang w:val="en-US" w:eastAsia="en-US" w:bidi="ar-SA"/>
      </w:rPr>
    </w:lvl>
    <w:lvl w:ilvl="4">
      <w:start w:val="0"/>
      <w:numFmt w:val="bullet"/>
      <w:lvlText w:val="•"/>
      <w:lvlJc w:val="left"/>
      <w:pPr>
        <w:ind w:left="4888" w:hanging="480"/>
      </w:pPr>
      <w:rPr>
        <w:rFonts w:hint="default"/>
        <w:lang w:val="en-US" w:eastAsia="en-US" w:bidi="ar-SA"/>
      </w:rPr>
    </w:lvl>
    <w:lvl w:ilvl="5">
      <w:start w:val="0"/>
      <w:numFmt w:val="bullet"/>
      <w:lvlText w:val="•"/>
      <w:lvlJc w:val="left"/>
      <w:pPr>
        <w:ind w:left="5938" w:hanging="480"/>
      </w:pPr>
      <w:rPr>
        <w:rFonts w:hint="default"/>
        <w:lang w:val="en-US" w:eastAsia="en-US" w:bidi="ar-SA"/>
      </w:rPr>
    </w:lvl>
    <w:lvl w:ilvl="6">
      <w:start w:val="0"/>
      <w:numFmt w:val="bullet"/>
      <w:lvlText w:val="•"/>
      <w:lvlJc w:val="left"/>
      <w:pPr>
        <w:ind w:left="6988" w:hanging="480"/>
      </w:pPr>
      <w:rPr>
        <w:rFonts w:hint="default"/>
        <w:lang w:val="en-US" w:eastAsia="en-US" w:bidi="ar-SA"/>
      </w:rPr>
    </w:lvl>
    <w:lvl w:ilvl="7">
      <w:start w:val="0"/>
      <w:numFmt w:val="bullet"/>
      <w:lvlText w:val="•"/>
      <w:lvlJc w:val="left"/>
      <w:pPr>
        <w:ind w:left="8037" w:hanging="480"/>
      </w:pPr>
      <w:rPr>
        <w:rFonts w:hint="default"/>
        <w:lang w:val="en-US" w:eastAsia="en-US" w:bidi="ar-SA"/>
      </w:rPr>
    </w:lvl>
    <w:lvl w:ilvl="8">
      <w:start w:val="0"/>
      <w:numFmt w:val="bullet"/>
      <w:lvlText w:val="•"/>
      <w:lvlJc w:val="left"/>
      <w:pPr>
        <w:ind w:left="9087" w:hanging="480"/>
      </w:pPr>
      <w:rPr>
        <w:rFonts w:hint="default"/>
        <w:lang w:val="en-US" w:eastAsia="en-US" w:bidi="ar-SA"/>
      </w:rPr>
    </w:lvl>
  </w:abstractNum>
  <w:abstractNum w:abstractNumId="346">
    <w:multiLevelType w:val="hybridMultilevel"/>
    <w:lvl w:ilvl="0">
      <w:start w:val="15"/>
      <w:numFmt w:val="decimal"/>
      <w:lvlText w:val="%1."/>
      <w:lvlJc w:val="left"/>
      <w:pPr>
        <w:ind w:left="1217" w:hanging="440"/>
        <w:jc w:val="left"/>
      </w:pPr>
      <w:rPr>
        <w:rFonts w:hint="default"/>
        <w:spacing w:val="9"/>
        <w:w w:val="95"/>
        <w:lang w:val="en-US" w:eastAsia="en-US" w:bidi="ar-SA"/>
      </w:rPr>
    </w:lvl>
    <w:lvl w:ilvl="1">
      <w:start w:val="1"/>
      <w:numFmt w:val="lowerRoman"/>
      <w:lvlText w:val="%2)"/>
      <w:lvlJc w:val="left"/>
      <w:pPr>
        <w:ind w:left="1471" w:hanging="245"/>
        <w:jc w:val="left"/>
      </w:pPr>
      <w:rPr>
        <w:rFonts w:hint="default" w:ascii="Bookman Old Style" w:hAnsi="Bookman Old Style" w:eastAsia="Bookman Old Style" w:cs="Bookman Old Style"/>
        <w:b/>
        <w:bCs/>
        <w:i w:val="0"/>
        <w:iCs w:val="0"/>
        <w:spacing w:val="0"/>
        <w:w w:val="93"/>
        <w:sz w:val="24"/>
        <w:szCs w:val="24"/>
        <w:lang w:val="en-US" w:eastAsia="en-US" w:bidi="ar-SA"/>
      </w:rPr>
    </w:lvl>
    <w:lvl w:ilvl="2">
      <w:start w:val="1"/>
      <w:numFmt w:val="lowerLetter"/>
      <w:lvlText w:val="%3)"/>
      <w:lvlJc w:val="left"/>
      <w:pPr>
        <w:ind w:left="1766" w:hanging="291"/>
        <w:jc w:val="left"/>
      </w:pPr>
      <w:rPr>
        <w:rFonts w:hint="default" w:ascii="Bookman Old Style" w:hAnsi="Bookman Old Style" w:eastAsia="Bookman Old Style" w:cs="Bookman Old Style"/>
        <w:b w:val="0"/>
        <w:bCs w:val="0"/>
        <w:i w:val="0"/>
        <w:iCs w:val="0"/>
        <w:spacing w:val="0"/>
        <w:w w:val="89"/>
        <w:sz w:val="24"/>
        <w:szCs w:val="24"/>
        <w:lang w:val="en-US" w:eastAsia="en-US" w:bidi="ar-SA"/>
      </w:rPr>
    </w:lvl>
    <w:lvl w:ilvl="3">
      <w:start w:val="0"/>
      <w:numFmt w:val="bullet"/>
      <w:lvlText w:val="•"/>
      <w:lvlJc w:val="left"/>
      <w:pPr>
        <w:ind w:left="2220" w:hanging="291"/>
      </w:pPr>
      <w:rPr>
        <w:rFonts w:hint="default"/>
        <w:lang w:val="en-US" w:eastAsia="en-US" w:bidi="ar-SA"/>
      </w:rPr>
    </w:lvl>
    <w:lvl w:ilvl="4">
      <w:start w:val="0"/>
      <w:numFmt w:val="bullet"/>
      <w:lvlText w:val="•"/>
      <w:lvlJc w:val="left"/>
      <w:pPr>
        <w:ind w:left="3500" w:hanging="291"/>
      </w:pPr>
      <w:rPr>
        <w:rFonts w:hint="default"/>
        <w:lang w:val="en-US" w:eastAsia="en-US" w:bidi="ar-SA"/>
      </w:rPr>
    </w:lvl>
    <w:lvl w:ilvl="5">
      <w:start w:val="0"/>
      <w:numFmt w:val="bullet"/>
      <w:lvlText w:val="•"/>
      <w:lvlJc w:val="left"/>
      <w:pPr>
        <w:ind w:left="4781" w:hanging="291"/>
      </w:pPr>
      <w:rPr>
        <w:rFonts w:hint="default"/>
        <w:lang w:val="en-US" w:eastAsia="en-US" w:bidi="ar-SA"/>
      </w:rPr>
    </w:lvl>
    <w:lvl w:ilvl="6">
      <w:start w:val="0"/>
      <w:numFmt w:val="bullet"/>
      <w:lvlText w:val="•"/>
      <w:lvlJc w:val="left"/>
      <w:pPr>
        <w:ind w:left="6062" w:hanging="291"/>
      </w:pPr>
      <w:rPr>
        <w:rFonts w:hint="default"/>
        <w:lang w:val="en-US" w:eastAsia="en-US" w:bidi="ar-SA"/>
      </w:rPr>
    </w:lvl>
    <w:lvl w:ilvl="7">
      <w:start w:val="0"/>
      <w:numFmt w:val="bullet"/>
      <w:lvlText w:val="•"/>
      <w:lvlJc w:val="left"/>
      <w:pPr>
        <w:ind w:left="7343" w:hanging="291"/>
      </w:pPr>
      <w:rPr>
        <w:rFonts w:hint="default"/>
        <w:lang w:val="en-US" w:eastAsia="en-US" w:bidi="ar-SA"/>
      </w:rPr>
    </w:lvl>
    <w:lvl w:ilvl="8">
      <w:start w:val="0"/>
      <w:numFmt w:val="bullet"/>
      <w:lvlText w:val="•"/>
      <w:lvlJc w:val="left"/>
      <w:pPr>
        <w:ind w:left="8624" w:hanging="291"/>
      </w:pPr>
      <w:rPr>
        <w:rFonts w:hint="default"/>
        <w:lang w:val="en-US" w:eastAsia="en-US" w:bidi="ar-SA"/>
      </w:rPr>
    </w:lvl>
  </w:abstractNum>
  <w:abstractNum w:abstractNumId="345">
    <w:multiLevelType w:val="hybridMultilevel"/>
    <w:lvl w:ilvl="0">
      <w:start w:val="1"/>
      <w:numFmt w:val="lowerLetter"/>
      <w:lvlText w:val="(%1)"/>
      <w:lvlJc w:val="left"/>
      <w:pPr>
        <w:ind w:left="2038" w:hanging="50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54" w:hanging="504"/>
      </w:pPr>
      <w:rPr>
        <w:rFonts w:hint="default"/>
        <w:lang w:val="en-US" w:eastAsia="en-US" w:bidi="ar-SA"/>
      </w:rPr>
    </w:lvl>
    <w:lvl w:ilvl="2">
      <w:start w:val="0"/>
      <w:numFmt w:val="bullet"/>
      <w:lvlText w:val="•"/>
      <w:lvlJc w:val="left"/>
      <w:pPr>
        <w:ind w:left="3869" w:hanging="504"/>
      </w:pPr>
      <w:rPr>
        <w:rFonts w:hint="default"/>
        <w:lang w:val="en-US" w:eastAsia="en-US" w:bidi="ar-SA"/>
      </w:rPr>
    </w:lvl>
    <w:lvl w:ilvl="3">
      <w:start w:val="0"/>
      <w:numFmt w:val="bullet"/>
      <w:lvlText w:val="•"/>
      <w:lvlJc w:val="left"/>
      <w:pPr>
        <w:ind w:left="4783" w:hanging="504"/>
      </w:pPr>
      <w:rPr>
        <w:rFonts w:hint="default"/>
        <w:lang w:val="en-US" w:eastAsia="en-US" w:bidi="ar-SA"/>
      </w:rPr>
    </w:lvl>
    <w:lvl w:ilvl="4">
      <w:start w:val="0"/>
      <w:numFmt w:val="bullet"/>
      <w:lvlText w:val="•"/>
      <w:lvlJc w:val="left"/>
      <w:pPr>
        <w:ind w:left="5698" w:hanging="504"/>
      </w:pPr>
      <w:rPr>
        <w:rFonts w:hint="default"/>
        <w:lang w:val="en-US" w:eastAsia="en-US" w:bidi="ar-SA"/>
      </w:rPr>
    </w:lvl>
    <w:lvl w:ilvl="5">
      <w:start w:val="0"/>
      <w:numFmt w:val="bullet"/>
      <w:lvlText w:val="•"/>
      <w:lvlJc w:val="left"/>
      <w:pPr>
        <w:ind w:left="6613" w:hanging="504"/>
      </w:pPr>
      <w:rPr>
        <w:rFonts w:hint="default"/>
        <w:lang w:val="en-US" w:eastAsia="en-US" w:bidi="ar-SA"/>
      </w:rPr>
    </w:lvl>
    <w:lvl w:ilvl="6">
      <w:start w:val="0"/>
      <w:numFmt w:val="bullet"/>
      <w:lvlText w:val="•"/>
      <w:lvlJc w:val="left"/>
      <w:pPr>
        <w:ind w:left="7527" w:hanging="504"/>
      </w:pPr>
      <w:rPr>
        <w:rFonts w:hint="default"/>
        <w:lang w:val="en-US" w:eastAsia="en-US" w:bidi="ar-SA"/>
      </w:rPr>
    </w:lvl>
    <w:lvl w:ilvl="7">
      <w:start w:val="0"/>
      <w:numFmt w:val="bullet"/>
      <w:lvlText w:val="•"/>
      <w:lvlJc w:val="left"/>
      <w:pPr>
        <w:ind w:left="8442" w:hanging="504"/>
      </w:pPr>
      <w:rPr>
        <w:rFonts w:hint="default"/>
        <w:lang w:val="en-US" w:eastAsia="en-US" w:bidi="ar-SA"/>
      </w:rPr>
    </w:lvl>
    <w:lvl w:ilvl="8">
      <w:start w:val="0"/>
      <w:numFmt w:val="bullet"/>
      <w:lvlText w:val="•"/>
      <w:lvlJc w:val="left"/>
      <w:pPr>
        <w:ind w:left="9357" w:hanging="504"/>
      </w:pPr>
      <w:rPr>
        <w:rFonts w:hint="default"/>
        <w:lang w:val="en-US" w:eastAsia="en-US" w:bidi="ar-SA"/>
      </w:rPr>
    </w:lvl>
  </w:abstractNum>
  <w:abstractNum w:abstractNumId="344">
    <w:multiLevelType w:val="hybridMultilevel"/>
    <w:lvl w:ilvl="0">
      <w:start w:val="1"/>
      <w:numFmt w:val="lowerRoman"/>
      <w:lvlText w:val="(%1)"/>
      <w:lvlJc w:val="left"/>
      <w:pPr>
        <w:ind w:left="2026" w:hanging="341"/>
        <w:jc w:val="right"/>
      </w:pPr>
      <w:rPr>
        <w:rFonts w:hint="default"/>
        <w:spacing w:val="0"/>
        <w:w w:val="100"/>
        <w:lang w:val="en-US" w:eastAsia="en-US" w:bidi="ar-SA"/>
      </w:rPr>
    </w:lvl>
    <w:lvl w:ilvl="1">
      <w:start w:val="0"/>
      <w:numFmt w:val="bullet"/>
      <w:lvlText w:val="•"/>
      <w:lvlJc w:val="left"/>
      <w:pPr>
        <w:ind w:left="2936" w:hanging="341"/>
      </w:pPr>
      <w:rPr>
        <w:rFonts w:hint="default"/>
        <w:lang w:val="en-US" w:eastAsia="en-US" w:bidi="ar-SA"/>
      </w:rPr>
    </w:lvl>
    <w:lvl w:ilvl="2">
      <w:start w:val="0"/>
      <w:numFmt w:val="bullet"/>
      <w:lvlText w:val="•"/>
      <w:lvlJc w:val="left"/>
      <w:pPr>
        <w:ind w:left="3853" w:hanging="341"/>
      </w:pPr>
      <w:rPr>
        <w:rFonts w:hint="default"/>
        <w:lang w:val="en-US" w:eastAsia="en-US" w:bidi="ar-SA"/>
      </w:rPr>
    </w:lvl>
    <w:lvl w:ilvl="3">
      <w:start w:val="0"/>
      <w:numFmt w:val="bullet"/>
      <w:lvlText w:val="•"/>
      <w:lvlJc w:val="left"/>
      <w:pPr>
        <w:ind w:left="4769" w:hanging="341"/>
      </w:pPr>
      <w:rPr>
        <w:rFonts w:hint="default"/>
        <w:lang w:val="en-US" w:eastAsia="en-US" w:bidi="ar-SA"/>
      </w:rPr>
    </w:lvl>
    <w:lvl w:ilvl="4">
      <w:start w:val="0"/>
      <w:numFmt w:val="bullet"/>
      <w:lvlText w:val="•"/>
      <w:lvlJc w:val="left"/>
      <w:pPr>
        <w:ind w:left="5686" w:hanging="341"/>
      </w:pPr>
      <w:rPr>
        <w:rFonts w:hint="default"/>
        <w:lang w:val="en-US" w:eastAsia="en-US" w:bidi="ar-SA"/>
      </w:rPr>
    </w:lvl>
    <w:lvl w:ilvl="5">
      <w:start w:val="0"/>
      <w:numFmt w:val="bullet"/>
      <w:lvlText w:val="•"/>
      <w:lvlJc w:val="left"/>
      <w:pPr>
        <w:ind w:left="6603" w:hanging="341"/>
      </w:pPr>
      <w:rPr>
        <w:rFonts w:hint="default"/>
        <w:lang w:val="en-US" w:eastAsia="en-US" w:bidi="ar-SA"/>
      </w:rPr>
    </w:lvl>
    <w:lvl w:ilvl="6">
      <w:start w:val="0"/>
      <w:numFmt w:val="bullet"/>
      <w:lvlText w:val="•"/>
      <w:lvlJc w:val="left"/>
      <w:pPr>
        <w:ind w:left="7519" w:hanging="341"/>
      </w:pPr>
      <w:rPr>
        <w:rFonts w:hint="default"/>
        <w:lang w:val="en-US" w:eastAsia="en-US" w:bidi="ar-SA"/>
      </w:rPr>
    </w:lvl>
    <w:lvl w:ilvl="7">
      <w:start w:val="0"/>
      <w:numFmt w:val="bullet"/>
      <w:lvlText w:val="•"/>
      <w:lvlJc w:val="left"/>
      <w:pPr>
        <w:ind w:left="8436" w:hanging="341"/>
      </w:pPr>
      <w:rPr>
        <w:rFonts w:hint="default"/>
        <w:lang w:val="en-US" w:eastAsia="en-US" w:bidi="ar-SA"/>
      </w:rPr>
    </w:lvl>
    <w:lvl w:ilvl="8">
      <w:start w:val="0"/>
      <w:numFmt w:val="bullet"/>
      <w:lvlText w:val="•"/>
      <w:lvlJc w:val="left"/>
      <w:pPr>
        <w:ind w:left="9353" w:hanging="341"/>
      </w:pPr>
      <w:rPr>
        <w:rFonts w:hint="default"/>
        <w:lang w:val="en-US" w:eastAsia="en-US" w:bidi="ar-SA"/>
      </w:rPr>
    </w:lvl>
  </w:abstractNum>
  <w:abstractNum w:abstractNumId="343">
    <w:multiLevelType w:val="hybridMultilevel"/>
    <w:lvl w:ilvl="0">
      <w:start w:val="1"/>
      <w:numFmt w:val="decimal"/>
      <w:lvlText w:val="%1."/>
      <w:lvlJc w:val="left"/>
      <w:pPr>
        <w:ind w:left="555" w:hanging="44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1475" w:hanging="449"/>
      </w:pPr>
      <w:rPr>
        <w:rFonts w:hint="default"/>
        <w:lang w:val="en-US" w:eastAsia="en-US" w:bidi="ar-SA"/>
      </w:rPr>
    </w:lvl>
    <w:lvl w:ilvl="2">
      <w:start w:val="0"/>
      <w:numFmt w:val="bullet"/>
      <w:lvlText w:val="•"/>
      <w:lvlJc w:val="left"/>
      <w:pPr>
        <w:ind w:left="2391" w:hanging="449"/>
      </w:pPr>
      <w:rPr>
        <w:rFonts w:hint="default"/>
        <w:lang w:val="en-US" w:eastAsia="en-US" w:bidi="ar-SA"/>
      </w:rPr>
    </w:lvl>
    <w:lvl w:ilvl="3">
      <w:start w:val="0"/>
      <w:numFmt w:val="bullet"/>
      <w:lvlText w:val="•"/>
      <w:lvlJc w:val="left"/>
      <w:pPr>
        <w:ind w:left="3306" w:hanging="449"/>
      </w:pPr>
      <w:rPr>
        <w:rFonts w:hint="default"/>
        <w:lang w:val="en-US" w:eastAsia="en-US" w:bidi="ar-SA"/>
      </w:rPr>
    </w:lvl>
    <w:lvl w:ilvl="4">
      <w:start w:val="0"/>
      <w:numFmt w:val="bullet"/>
      <w:lvlText w:val="•"/>
      <w:lvlJc w:val="left"/>
      <w:pPr>
        <w:ind w:left="4222" w:hanging="449"/>
      </w:pPr>
      <w:rPr>
        <w:rFonts w:hint="default"/>
        <w:lang w:val="en-US" w:eastAsia="en-US" w:bidi="ar-SA"/>
      </w:rPr>
    </w:lvl>
    <w:lvl w:ilvl="5">
      <w:start w:val="0"/>
      <w:numFmt w:val="bullet"/>
      <w:lvlText w:val="•"/>
      <w:lvlJc w:val="left"/>
      <w:pPr>
        <w:ind w:left="5137" w:hanging="449"/>
      </w:pPr>
      <w:rPr>
        <w:rFonts w:hint="default"/>
        <w:lang w:val="en-US" w:eastAsia="en-US" w:bidi="ar-SA"/>
      </w:rPr>
    </w:lvl>
    <w:lvl w:ilvl="6">
      <w:start w:val="0"/>
      <w:numFmt w:val="bullet"/>
      <w:lvlText w:val="•"/>
      <w:lvlJc w:val="left"/>
      <w:pPr>
        <w:ind w:left="6053" w:hanging="449"/>
      </w:pPr>
      <w:rPr>
        <w:rFonts w:hint="default"/>
        <w:lang w:val="en-US" w:eastAsia="en-US" w:bidi="ar-SA"/>
      </w:rPr>
    </w:lvl>
    <w:lvl w:ilvl="7">
      <w:start w:val="0"/>
      <w:numFmt w:val="bullet"/>
      <w:lvlText w:val="•"/>
      <w:lvlJc w:val="left"/>
      <w:pPr>
        <w:ind w:left="6969" w:hanging="449"/>
      </w:pPr>
      <w:rPr>
        <w:rFonts w:hint="default"/>
        <w:lang w:val="en-US" w:eastAsia="en-US" w:bidi="ar-SA"/>
      </w:rPr>
    </w:lvl>
    <w:lvl w:ilvl="8">
      <w:start w:val="0"/>
      <w:numFmt w:val="bullet"/>
      <w:lvlText w:val="•"/>
      <w:lvlJc w:val="left"/>
      <w:pPr>
        <w:ind w:left="7884" w:hanging="449"/>
      </w:pPr>
      <w:rPr>
        <w:rFonts w:hint="default"/>
        <w:lang w:val="en-US" w:eastAsia="en-US" w:bidi="ar-SA"/>
      </w:rPr>
    </w:lvl>
  </w:abstractNum>
  <w:abstractNum w:abstractNumId="342">
    <w:multiLevelType w:val="hybridMultilevel"/>
    <w:lvl w:ilvl="0">
      <w:start w:val="2"/>
      <w:numFmt w:val="decimal"/>
      <w:lvlText w:val="%1)"/>
      <w:lvlJc w:val="left"/>
      <w:pPr>
        <w:ind w:left="1072" w:hanging="29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090" w:hanging="296"/>
      </w:pPr>
      <w:rPr>
        <w:rFonts w:hint="default"/>
        <w:lang w:val="en-US" w:eastAsia="en-US" w:bidi="ar-SA"/>
      </w:rPr>
    </w:lvl>
    <w:lvl w:ilvl="2">
      <w:start w:val="0"/>
      <w:numFmt w:val="bullet"/>
      <w:lvlText w:val="•"/>
      <w:lvlJc w:val="left"/>
      <w:pPr>
        <w:ind w:left="3101" w:hanging="296"/>
      </w:pPr>
      <w:rPr>
        <w:rFonts w:hint="default"/>
        <w:lang w:val="en-US" w:eastAsia="en-US" w:bidi="ar-SA"/>
      </w:rPr>
    </w:lvl>
    <w:lvl w:ilvl="3">
      <w:start w:val="0"/>
      <w:numFmt w:val="bullet"/>
      <w:lvlText w:val="•"/>
      <w:lvlJc w:val="left"/>
      <w:pPr>
        <w:ind w:left="4111" w:hanging="296"/>
      </w:pPr>
      <w:rPr>
        <w:rFonts w:hint="default"/>
        <w:lang w:val="en-US" w:eastAsia="en-US" w:bidi="ar-SA"/>
      </w:rPr>
    </w:lvl>
    <w:lvl w:ilvl="4">
      <w:start w:val="0"/>
      <w:numFmt w:val="bullet"/>
      <w:lvlText w:val="•"/>
      <w:lvlJc w:val="left"/>
      <w:pPr>
        <w:ind w:left="5122" w:hanging="296"/>
      </w:pPr>
      <w:rPr>
        <w:rFonts w:hint="default"/>
        <w:lang w:val="en-US" w:eastAsia="en-US" w:bidi="ar-SA"/>
      </w:rPr>
    </w:lvl>
    <w:lvl w:ilvl="5">
      <w:start w:val="0"/>
      <w:numFmt w:val="bullet"/>
      <w:lvlText w:val="•"/>
      <w:lvlJc w:val="left"/>
      <w:pPr>
        <w:ind w:left="6133" w:hanging="296"/>
      </w:pPr>
      <w:rPr>
        <w:rFonts w:hint="default"/>
        <w:lang w:val="en-US" w:eastAsia="en-US" w:bidi="ar-SA"/>
      </w:rPr>
    </w:lvl>
    <w:lvl w:ilvl="6">
      <w:start w:val="0"/>
      <w:numFmt w:val="bullet"/>
      <w:lvlText w:val="•"/>
      <w:lvlJc w:val="left"/>
      <w:pPr>
        <w:ind w:left="7143" w:hanging="296"/>
      </w:pPr>
      <w:rPr>
        <w:rFonts w:hint="default"/>
        <w:lang w:val="en-US" w:eastAsia="en-US" w:bidi="ar-SA"/>
      </w:rPr>
    </w:lvl>
    <w:lvl w:ilvl="7">
      <w:start w:val="0"/>
      <w:numFmt w:val="bullet"/>
      <w:lvlText w:val="•"/>
      <w:lvlJc w:val="left"/>
      <w:pPr>
        <w:ind w:left="8154" w:hanging="296"/>
      </w:pPr>
      <w:rPr>
        <w:rFonts w:hint="default"/>
        <w:lang w:val="en-US" w:eastAsia="en-US" w:bidi="ar-SA"/>
      </w:rPr>
    </w:lvl>
    <w:lvl w:ilvl="8">
      <w:start w:val="0"/>
      <w:numFmt w:val="bullet"/>
      <w:lvlText w:val="•"/>
      <w:lvlJc w:val="left"/>
      <w:pPr>
        <w:ind w:left="9165" w:hanging="296"/>
      </w:pPr>
      <w:rPr>
        <w:rFonts w:hint="default"/>
        <w:lang w:val="en-US" w:eastAsia="en-US" w:bidi="ar-SA"/>
      </w:rPr>
    </w:lvl>
  </w:abstractNum>
  <w:abstractNum w:abstractNumId="341">
    <w:multiLevelType w:val="hybridMultilevel"/>
    <w:lvl w:ilvl="0">
      <w:start w:val="1"/>
      <w:numFmt w:val="lowerLetter"/>
      <w:lvlText w:val="(%1)"/>
      <w:lvlJc w:val="left"/>
      <w:pPr>
        <w:ind w:left="465" w:hanging="331"/>
        <w:jc w:val="right"/>
      </w:pPr>
      <w:rPr>
        <w:rFonts w:hint="default" w:ascii="Bookman Old Style" w:hAnsi="Bookman Old Style" w:eastAsia="Bookman Old Style" w:cs="Bookman Old Style"/>
        <w:b w:val="0"/>
        <w:bCs w:val="0"/>
        <w:i w:val="0"/>
        <w:iCs w:val="0"/>
        <w:spacing w:val="-1"/>
        <w:w w:val="100"/>
        <w:sz w:val="22"/>
        <w:szCs w:val="22"/>
        <w:lang w:val="en-US" w:eastAsia="en-US" w:bidi="ar-SA"/>
      </w:rPr>
    </w:lvl>
    <w:lvl w:ilvl="1">
      <w:start w:val="0"/>
      <w:numFmt w:val="bullet"/>
      <w:lvlText w:val="•"/>
      <w:lvlJc w:val="left"/>
      <w:pPr>
        <w:ind w:left="592" w:hanging="331"/>
      </w:pPr>
      <w:rPr>
        <w:rFonts w:hint="default"/>
        <w:lang w:val="en-US" w:eastAsia="en-US" w:bidi="ar-SA"/>
      </w:rPr>
    </w:lvl>
    <w:lvl w:ilvl="2">
      <w:start w:val="0"/>
      <w:numFmt w:val="bullet"/>
      <w:lvlText w:val="•"/>
      <w:lvlJc w:val="left"/>
      <w:pPr>
        <w:ind w:left="725" w:hanging="331"/>
      </w:pPr>
      <w:rPr>
        <w:rFonts w:hint="default"/>
        <w:lang w:val="en-US" w:eastAsia="en-US" w:bidi="ar-SA"/>
      </w:rPr>
    </w:lvl>
    <w:lvl w:ilvl="3">
      <w:start w:val="0"/>
      <w:numFmt w:val="bullet"/>
      <w:lvlText w:val="•"/>
      <w:lvlJc w:val="left"/>
      <w:pPr>
        <w:ind w:left="857" w:hanging="331"/>
      </w:pPr>
      <w:rPr>
        <w:rFonts w:hint="default"/>
        <w:lang w:val="en-US" w:eastAsia="en-US" w:bidi="ar-SA"/>
      </w:rPr>
    </w:lvl>
    <w:lvl w:ilvl="4">
      <w:start w:val="0"/>
      <w:numFmt w:val="bullet"/>
      <w:lvlText w:val="•"/>
      <w:lvlJc w:val="left"/>
      <w:pPr>
        <w:ind w:left="990" w:hanging="331"/>
      </w:pPr>
      <w:rPr>
        <w:rFonts w:hint="default"/>
        <w:lang w:val="en-US" w:eastAsia="en-US" w:bidi="ar-SA"/>
      </w:rPr>
    </w:lvl>
    <w:lvl w:ilvl="5">
      <w:start w:val="0"/>
      <w:numFmt w:val="bullet"/>
      <w:lvlText w:val="•"/>
      <w:lvlJc w:val="left"/>
      <w:pPr>
        <w:ind w:left="1122" w:hanging="331"/>
      </w:pPr>
      <w:rPr>
        <w:rFonts w:hint="default"/>
        <w:lang w:val="en-US" w:eastAsia="en-US" w:bidi="ar-SA"/>
      </w:rPr>
    </w:lvl>
    <w:lvl w:ilvl="6">
      <w:start w:val="0"/>
      <w:numFmt w:val="bullet"/>
      <w:lvlText w:val="•"/>
      <w:lvlJc w:val="left"/>
      <w:pPr>
        <w:ind w:left="1255" w:hanging="331"/>
      </w:pPr>
      <w:rPr>
        <w:rFonts w:hint="default"/>
        <w:lang w:val="en-US" w:eastAsia="en-US" w:bidi="ar-SA"/>
      </w:rPr>
    </w:lvl>
    <w:lvl w:ilvl="7">
      <w:start w:val="0"/>
      <w:numFmt w:val="bullet"/>
      <w:lvlText w:val="•"/>
      <w:lvlJc w:val="left"/>
      <w:pPr>
        <w:ind w:left="1387" w:hanging="331"/>
      </w:pPr>
      <w:rPr>
        <w:rFonts w:hint="default"/>
        <w:lang w:val="en-US" w:eastAsia="en-US" w:bidi="ar-SA"/>
      </w:rPr>
    </w:lvl>
    <w:lvl w:ilvl="8">
      <w:start w:val="0"/>
      <w:numFmt w:val="bullet"/>
      <w:lvlText w:val="•"/>
      <w:lvlJc w:val="left"/>
      <w:pPr>
        <w:ind w:left="1520" w:hanging="331"/>
      </w:pPr>
      <w:rPr>
        <w:rFonts w:hint="default"/>
        <w:lang w:val="en-US" w:eastAsia="en-US" w:bidi="ar-SA"/>
      </w:rPr>
    </w:lvl>
  </w:abstractNum>
  <w:abstractNum w:abstractNumId="340">
    <w:multiLevelType w:val="hybridMultilevel"/>
    <w:lvl w:ilvl="0">
      <w:start w:val="1"/>
      <w:numFmt w:val="lowerLetter"/>
      <w:lvlText w:val="(%1)"/>
      <w:lvlJc w:val="left"/>
      <w:pPr>
        <w:ind w:left="2026" w:hanging="45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36" w:hanging="454"/>
      </w:pPr>
      <w:rPr>
        <w:rFonts w:hint="default"/>
        <w:lang w:val="en-US" w:eastAsia="en-US" w:bidi="ar-SA"/>
      </w:rPr>
    </w:lvl>
    <w:lvl w:ilvl="2">
      <w:start w:val="0"/>
      <w:numFmt w:val="bullet"/>
      <w:lvlText w:val="•"/>
      <w:lvlJc w:val="left"/>
      <w:pPr>
        <w:ind w:left="3853" w:hanging="454"/>
      </w:pPr>
      <w:rPr>
        <w:rFonts w:hint="default"/>
        <w:lang w:val="en-US" w:eastAsia="en-US" w:bidi="ar-SA"/>
      </w:rPr>
    </w:lvl>
    <w:lvl w:ilvl="3">
      <w:start w:val="0"/>
      <w:numFmt w:val="bullet"/>
      <w:lvlText w:val="•"/>
      <w:lvlJc w:val="left"/>
      <w:pPr>
        <w:ind w:left="4769" w:hanging="454"/>
      </w:pPr>
      <w:rPr>
        <w:rFonts w:hint="default"/>
        <w:lang w:val="en-US" w:eastAsia="en-US" w:bidi="ar-SA"/>
      </w:rPr>
    </w:lvl>
    <w:lvl w:ilvl="4">
      <w:start w:val="0"/>
      <w:numFmt w:val="bullet"/>
      <w:lvlText w:val="•"/>
      <w:lvlJc w:val="left"/>
      <w:pPr>
        <w:ind w:left="5686" w:hanging="454"/>
      </w:pPr>
      <w:rPr>
        <w:rFonts w:hint="default"/>
        <w:lang w:val="en-US" w:eastAsia="en-US" w:bidi="ar-SA"/>
      </w:rPr>
    </w:lvl>
    <w:lvl w:ilvl="5">
      <w:start w:val="0"/>
      <w:numFmt w:val="bullet"/>
      <w:lvlText w:val="•"/>
      <w:lvlJc w:val="left"/>
      <w:pPr>
        <w:ind w:left="6603" w:hanging="454"/>
      </w:pPr>
      <w:rPr>
        <w:rFonts w:hint="default"/>
        <w:lang w:val="en-US" w:eastAsia="en-US" w:bidi="ar-SA"/>
      </w:rPr>
    </w:lvl>
    <w:lvl w:ilvl="6">
      <w:start w:val="0"/>
      <w:numFmt w:val="bullet"/>
      <w:lvlText w:val="•"/>
      <w:lvlJc w:val="left"/>
      <w:pPr>
        <w:ind w:left="7519" w:hanging="454"/>
      </w:pPr>
      <w:rPr>
        <w:rFonts w:hint="default"/>
        <w:lang w:val="en-US" w:eastAsia="en-US" w:bidi="ar-SA"/>
      </w:rPr>
    </w:lvl>
    <w:lvl w:ilvl="7">
      <w:start w:val="0"/>
      <w:numFmt w:val="bullet"/>
      <w:lvlText w:val="•"/>
      <w:lvlJc w:val="left"/>
      <w:pPr>
        <w:ind w:left="8436" w:hanging="454"/>
      </w:pPr>
      <w:rPr>
        <w:rFonts w:hint="default"/>
        <w:lang w:val="en-US" w:eastAsia="en-US" w:bidi="ar-SA"/>
      </w:rPr>
    </w:lvl>
    <w:lvl w:ilvl="8">
      <w:start w:val="0"/>
      <w:numFmt w:val="bullet"/>
      <w:lvlText w:val="•"/>
      <w:lvlJc w:val="left"/>
      <w:pPr>
        <w:ind w:left="9353" w:hanging="454"/>
      </w:pPr>
      <w:rPr>
        <w:rFonts w:hint="default"/>
        <w:lang w:val="en-US" w:eastAsia="en-US" w:bidi="ar-SA"/>
      </w:rPr>
    </w:lvl>
  </w:abstractNum>
  <w:abstractNum w:abstractNumId="339">
    <w:multiLevelType w:val="hybridMultilevel"/>
    <w:lvl w:ilvl="0">
      <w:start w:val="1"/>
      <w:numFmt w:val="lowerLetter"/>
      <w:lvlText w:val="(%1)"/>
      <w:lvlJc w:val="left"/>
      <w:pPr>
        <w:ind w:left="2026" w:hanging="42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2309" w:hanging="31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287" w:hanging="319"/>
      </w:pPr>
      <w:rPr>
        <w:rFonts w:hint="default"/>
        <w:lang w:val="en-US" w:eastAsia="en-US" w:bidi="ar-SA"/>
      </w:rPr>
    </w:lvl>
    <w:lvl w:ilvl="3">
      <w:start w:val="0"/>
      <w:numFmt w:val="bullet"/>
      <w:lvlText w:val="•"/>
      <w:lvlJc w:val="left"/>
      <w:pPr>
        <w:ind w:left="4274" w:hanging="319"/>
      </w:pPr>
      <w:rPr>
        <w:rFonts w:hint="default"/>
        <w:lang w:val="en-US" w:eastAsia="en-US" w:bidi="ar-SA"/>
      </w:rPr>
    </w:lvl>
    <w:lvl w:ilvl="4">
      <w:start w:val="0"/>
      <w:numFmt w:val="bullet"/>
      <w:lvlText w:val="•"/>
      <w:lvlJc w:val="left"/>
      <w:pPr>
        <w:ind w:left="5262" w:hanging="319"/>
      </w:pPr>
      <w:rPr>
        <w:rFonts w:hint="default"/>
        <w:lang w:val="en-US" w:eastAsia="en-US" w:bidi="ar-SA"/>
      </w:rPr>
    </w:lvl>
    <w:lvl w:ilvl="5">
      <w:start w:val="0"/>
      <w:numFmt w:val="bullet"/>
      <w:lvlText w:val="•"/>
      <w:lvlJc w:val="left"/>
      <w:pPr>
        <w:ind w:left="6249" w:hanging="319"/>
      </w:pPr>
      <w:rPr>
        <w:rFonts w:hint="default"/>
        <w:lang w:val="en-US" w:eastAsia="en-US" w:bidi="ar-SA"/>
      </w:rPr>
    </w:lvl>
    <w:lvl w:ilvl="6">
      <w:start w:val="0"/>
      <w:numFmt w:val="bullet"/>
      <w:lvlText w:val="•"/>
      <w:lvlJc w:val="left"/>
      <w:pPr>
        <w:ind w:left="7236" w:hanging="319"/>
      </w:pPr>
      <w:rPr>
        <w:rFonts w:hint="default"/>
        <w:lang w:val="en-US" w:eastAsia="en-US" w:bidi="ar-SA"/>
      </w:rPr>
    </w:lvl>
    <w:lvl w:ilvl="7">
      <w:start w:val="0"/>
      <w:numFmt w:val="bullet"/>
      <w:lvlText w:val="•"/>
      <w:lvlJc w:val="left"/>
      <w:pPr>
        <w:ind w:left="8224" w:hanging="319"/>
      </w:pPr>
      <w:rPr>
        <w:rFonts w:hint="default"/>
        <w:lang w:val="en-US" w:eastAsia="en-US" w:bidi="ar-SA"/>
      </w:rPr>
    </w:lvl>
    <w:lvl w:ilvl="8">
      <w:start w:val="0"/>
      <w:numFmt w:val="bullet"/>
      <w:lvlText w:val="•"/>
      <w:lvlJc w:val="left"/>
      <w:pPr>
        <w:ind w:left="9211" w:hanging="319"/>
      </w:pPr>
      <w:rPr>
        <w:rFonts w:hint="default"/>
        <w:lang w:val="en-US" w:eastAsia="en-US" w:bidi="ar-SA"/>
      </w:rPr>
    </w:lvl>
  </w:abstractNum>
  <w:abstractNum w:abstractNumId="338">
    <w:multiLevelType w:val="hybridMultilevel"/>
    <w:lvl w:ilvl="0">
      <w:start w:val="1"/>
      <w:numFmt w:val="lowerLetter"/>
      <w:lvlText w:val="(%1)"/>
      <w:lvlJc w:val="left"/>
      <w:pPr>
        <w:ind w:left="2026" w:hanging="40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36" w:hanging="408"/>
      </w:pPr>
      <w:rPr>
        <w:rFonts w:hint="default"/>
        <w:lang w:val="en-US" w:eastAsia="en-US" w:bidi="ar-SA"/>
      </w:rPr>
    </w:lvl>
    <w:lvl w:ilvl="2">
      <w:start w:val="0"/>
      <w:numFmt w:val="bullet"/>
      <w:lvlText w:val="•"/>
      <w:lvlJc w:val="left"/>
      <w:pPr>
        <w:ind w:left="3853" w:hanging="408"/>
      </w:pPr>
      <w:rPr>
        <w:rFonts w:hint="default"/>
        <w:lang w:val="en-US" w:eastAsia="en-US" w:bidi="ar-SA"/>
      </w:rPr>
    </w:lvl>
    <w:lvl w:ilvl="3">
      <w:start w:val="0"/>
      <w:numFmt w:val="bullet"/>
      <w:lvlText w:val="•"/>
      <w:lvlJc w:val="left"/>
      <w:pPr>
        <w:ind w:left="4769" w:hanging="408"/>
      </w:pPr>
      <w:rPr>
        <w:rFonts w:hint="default"/>
        <w:lang w:val="en-US" w:eastAsia="en-US" w:bidi="ar-SA"/>
      </w:rPr>
    </w:lvl>
    <w:lvl w:ilvl="4">
      <w:start w:val="0"/>
      <w:numFmt w:val="bullet"/>
      <w:lvlText w:val="•"/>
      <w:lvlJc w:val="left"/>
      <w:pPr>
        <w:ind w:left="5686" w:hanging="408"/>
      </w:pPr>
      <w:rPr>
        <w:rFonts w:hint="default"/>
        <w:lang w:val="en-US" w:eastAsia="en-US" w:bidi="ar-SA"/>
      </w:rPr>
    </w:lvl>
    <w:lvl w:ilvl="5">
      <w:start w:val="0"/>
      <w:numFmt w:val="bullet"/>
      <w:lvlText w:val="•"/>
      <w:lvlJc w:val="left"/>
      <w:pPr>
        <w:ind w:left="6603" w:hanging="408"/>
      </w:pPr>
      <w:rPr>
        <w:rFonts w:hint="default"/>
        <w:lang w:val="en-US" w:eastAsia="en-US" w:bidi="ar-SA"/>
      </w:rPr>
    </w:lvl>
    <w:lvl w:ilvl="6">
      <w:start w:val="0"/>
      <w:numFmt w:val="bullet"/>
      <w:lvlText w:val="•"/>
      <w:lvlJc w:val="left"/>
      <w:pPr>
        <w:ind w:left="7519" w:hanging="408"/>
      </w:pPr>
      <w:rPr>
        <w:rFonts w:hint="default"/>
        <w:lang w:val="en-US" w:eastAsia="en-US" w:bidi="ar-SA"/>
      </w:rPr>
    </w:lvl>
    <w:lvl w:ilvl="7">
      <w:start w:val="0"/>
      <w:numFmt w:val="bullet"/>
      <w:lvlText w:val="•"/>
      <w:lvlJc w:val="left"/>
      <w:pPr>
        <w:ind w:left="8436" w:hanging="408"/>
      </w:pPr>
      <w:rPr>
        <w:rFonts w:hint="default"/>
        <w:lang w:val="en-US" w:eastAsia="en-US" w:bidi="ar-SA"/>
      </w:rPr>
    </w:lvl>
    <w:lvl w:ilvl="8">
      <w:start w:val="0"/>
      <w:numFmt w:val="bullet"/>
      <w:lvlText w:val="•"/>
      <w:lvlJc w:val="left"/>
      <w:pPr>
        <w:ind w:left="9353" w:hanging="408"/>
      </w:pPr>
      <w:rPr>
        <w:rFonts w:hint="default"/>
        <w:lang w:val="en-US" w:eastAsia="en-US" w:bidi="ar-SA"/>
      </w:rPr>
    </w:lvl>
  </w:abstractNum>
  <w:abstractNum w:abstractNumId="337">
    <w:multiLevelType w:val="hybridMultilevel"/>
    <w:lvl w:ilvl="0">
      <w:start w:val="1"/>
      <w:numFmt w:val="lowerLetter"/>
      <w:lvlText w:val="(%1)"/>
      <w:lvlJc w:val="left"/>
      <w:pPr>
        <w:ind w:left="2026" w:hanging="454"/>
        <w:jc w:val="left"/>
      </w:pPr>
      <w:rPr>
        <w:rFonts w:hint="default" w:ascii="Bookman Old Style" w:hAnsi="Bookman Old Style" w:eastAsia="Bookman Old Style" w:cs="Bookman Old Style"/>
        <w:b/>
        <w:bCs/>
        <w:i w:val="0"/>
        <w:iCs w:val="0"/>
        <w:spacing w:val="0"/>
        <w:w w:val="100"/>
        <w:sz w:val="24"/>
        <w:szCs w:val="24"/>
        <w:lang w:val="en-US" w:eastAsia="en-US" w:bidi="ar-SA"/>
      </w:rPr>
    </w:lvl>
    <w:lvl w:ilvl="1">
      <w:start w:val="0"/>
      <w:numFmt w:val="bullet"/>
      <w:lvlText w:val="•"/>
      <w:lvlJc w:val="left"/>
      <w:pPr>
        <w:ind w:left="2936" w:hanging="454"/>
      </w:pPr>
      <w:rPr>
        <w:rFonts w:hint="default"/>
        <w:lang w:val="en-US" w:eastAsia="en-US" w:bidi="ar-SA"/>
      </w:rPr>
    </w:lvl>
    <w:lvl w:ilvl="2">
      <w:start w:val="0"/>
      <w:numFmt w:val="bullet"/>
      <w:lvlText w:val="•"/>
      <w:lvlJc w:val="left"/>
      <w:pPr>
        <w:ind w:left="3853" w:hanging="454"/>
      </w:pPr>
      <w:rPr>
        <w:rFonts w:hint="default"/>
        <w:lang w:val="en-US" w:eastAsia="en-US" w:bidi="ar-SA"/>
      </w:rPr>
    </w:lvl>
    <w:lvl w:ilvl="3">
      <w:start w:val="0"/>
      <w:numFmt w:val="bullet"/>
      <w:lvlText w:val="•"/>
      <w:lvlJc w:val="left"/>
      <w:pPr>
        <w:ind w:left="4769" w:hanging="454"/>
      </w:pPr>
      <w:rPr>
        <w:rFonts w:hint="default"/>
        <w:lang w:val="en-US" w:eastAsia="en-US" w:bidi="ar-SA"/>
      </w:rPr>
    </w:lvl>
    <w:lvl w:ilvl="4">
      <w:start w:val="0"/>
      <w:numFmt w:val="bullet"/>
      <w:lvlText w:val="•"/>
      <w:lvlJc w:val="left"/>
      <w:pPr>
        <w:ind w:left="5686" w:hanging="454"/>
      </w:pPr>
      <w:rPr>
        <w:rFonts w:hint="default"/>
        <w:lang w:val="en-US" w:eastAsia="en-US" w:bidi="ar-SA"/>
      </w:rPr>
    </w:lvl>
    <w:lvl w:ilvl="5">
      <w:start w:val="0"/>
      <w:numFmt w:val="bullet"/>
      <w:lvlText w:val="•"/>
      <w:lvlJc w:val="left"/>
      <w:pPr>
        <w:ind w:left="6603" w:hanging="454"/>
      </w:pPr>
      <w:rPr>
        <w:rFonts w:hint="default"/>
        <w:lang w:val="en-US" w:eastAsia="en-US" w:bidi="ar-SA"/>
      </w:rPr>
    </w:lvl>
    <w:lvl w:ilvl="6">
      <w:start w:val="0"/>
      <w:numFmt w:val="bullet"/>
      <w:lvlText w:val="•"/>
      <w:lvlJc w:val="left"/>
      <w:pPr>
        <w:ind w:left="7519" w:hanging="454"/>
      </w:pPr>
      <w:rPr>
        <w:rFonts w:hint="default"/>
        <w:lang w:val="en-US" w:eastAsia="en-US" w:bidi="ar-SA"/>
      </w:rPr>
    </w:lvl>
    <w:lvl w:ilvl="7">
      <w:start w:val="0"/>
      <w:numFmt w:val="bullet"/>
      <w:lvlText w:val="•"/>
      <w:lvlJc w:val="left"/>
      <w:pPr>
        <w:ind w:left="8436" w:hanging="454"/>
      </w:pPr>
      <w:rPr>
        <w:rFonts w:hint="default"/>
        <w:lang w:val="en-US" w:eastAsia="en-US" w:bidi="ar-SA"/>
      </w:rPr>
    </w:lvl>
    <w:lvl w:ilvl="8">
      <w:start w:val="0"/>
      <w:numFmt w:val="bullet"/>
      <w:lvlText w:val="•"/>
      <w:lvlJc w:val="left"/>
      <w:pPr>
        <w:ind w:left="9353" w:hanging="454"/>
      </w:pPr>
      <w:rPr>
        <w:rFonts w:hint="default"/>
        <w:lang w:val="en-US" w:eastAsia="en-US" w:bidi="ar-SA"/>
      </w:rPr>
    </w:lvl>
  </w:abstractNum>
  <w:abstractNum w:abstractNumId="336">
    <w:multiLevelType w:val="hybridMultilevel"/>
    <w:lvl w:ilvl="0">
      <w:start w:val="1"/>
      <w:numFmt w:val="lowerLetter"/>
      <w:lvlText w:val="(%1)"/>
      <w:lvlJc w:val="left"/>
      <w:pPr>
        <w:ind w:left="2026" w:hanging="314"/>
        <w:jc w:val="left"/>
      </w:pPr>
      <w:rPr>
        <w:rFonts w:hint="default" w:ascii="Bookman Old Style" w:hAnsi="Bookman Old Style" w:eastAsia="Bookman Old Style" w:cs="Bookman Old Style"/>
        <w:b w:val="0"/>
        <w:bCs w:val="0"/>
        <w:i w:val="0"/>
        <w:iCs w:val="0"/>
        <w:spacing w:val="9"/>
        <w:w w:val="100"/>
        <w:sz w:val="22"/>
        <w:szCs w:val="22"/>
        <w:lang w:val="en-US" w:eastAsia="en-US" w:bidi="ar-SA"/>
      </w:rPr>
    </w:lvl>
    <w:lvl w:ilvl="1">
      <w:start w:val="0"/>
      <w:numFmt w:val="bullet"/>
      <w:lvlText w:val="•"/>
      <w:lvlJc w:val="left"/>
      <w:pPr>
        <w:ind w:left="2936" w:hanging="314"/>
      </w:pPr>
      <w:rPr>
        <w:rFonts w:hint="default"/>
        <w:lang w:val="en-US" w:eastAsia="en-US" w:bidi="ar-SA"/>
      </w:rPr>
    </w:lvl>
    <w:lvl w:ilvl="2">
      <w:start w:val="0"/>
      <w:numFmt w:val="bullet"/>
      <w:lvlText w:val="•"/>
      <w:lvlJc w:val="left"/>
      <w:pPr>
        <w:ind w:left="3853" w:hanging="314"/>
      </w:pPr>
      <w:rPr>
        <w:rFonts w:hint="default"/>
        <w:lang w:val="en-US" w:eastAsia="en-US" w:bidi="ar-SA"/>
      </w:rPr>
    </w:lvl>
    <w:lvl w:ilvl="3">
      <w:start w:val="0"/>
      <w:numFmt w:val="bullet"/>
      <w:lvlText w:val="•"/>
      <w:lvlJc w:val="left"/>
      <w:pPr>
        <w:ind w:left="4769" w:hanging="314"/>
      </w:pPr>
      <w:rPr>
        <w:rFonts w:hint="default"/>
        <w:lang w:val="en-US" w:eastAsia="en-US" w:bidi="ar-SA"/>
      </w:rPr>
    </w:lvl>
    <w:lvl w:ilvl="4">
      <w:start w:val="0"/>
      <w:numFmt w:val="bullet"/>
      <w:lvlText w:val="•"/>
      <w:lvlJc w:val="left"/>
      <w:pPr>
        <w:ind w:left="5686" w:hanging="314"/>
      </w:pPr>
      <w:rPr>
        <w:rFonts w:hint="default"/>
        <w:lang w:val="en-US" w:eastAsia="en-US" w:bidi="ar-SA"/>
      </w:rPr>
    </w:lvl>
    <w:lvl w:ilvl="5">
      <w:start w:val="0"/>
      <w:numFmt w:val="bullet"/>
      <w:lvlText w:val="•"/>
      <w:lvlJc w:val="left"/>
      <w:pPr>
        <w:ind w:left="6603" w:hanging="314"/>
      </w:pPr>
      <w:rPr>
        <w:rFonts w:hint="default"/>
        <w:lang w:val="en-US" w:eastAsia="en-US" w:bidi="ar-SA"/>
      </w:rPr>
    </w:lvl>
    <w:lvl w:ilvl="6">
      <w:start w:val="0"/>
      <w:numFmt w:val="bullet"/>
      <w:lvlText w:val="•"/>
      <w:lvlJc w:val="left"/>
      <w:pPr>
        <w:ind w:left="7519" w:hanging="314"/>
      </w:pPr>
      <w:rPr>
        <w:rFonts w:hint="default"/>
        <w:lang w:val="en-US" w:eastAsia="en-US" w:bidi="ar-SA"/>
      </w:rPr>
    </w:lvl>
    <w:lvl w:ilvl="7">
      <w:start w:val="0"/>
      <w:numFmt w:val="bullet"/>
      <w:lvlText w:val="•"/>
      <w:lvlJc w:val="left"/>
      <w:pPr>
        <w:ind w:left="8436" w:hanging="314"/>
      </w:pPr>
      <w:rPr>
        <w:rFonts w:hint="default"/>
        <w:lang w:val="en-US" w:eastAsia="en-US" w:bidi="ar-SA"/>
      </w:rPr>
    </w:lvl>
    <w:lvl w:ilvl="8">
      <w:start w:val="0"/>
      <w:numFmt w:val="bullet"/>
      <w:lvlText w:val="•"/>
      <w:lvlJc w:val="left"/>
      <w:pPr>
        <w:ind w:left="9353" w:hanging="314"/>
      </w:pPr>
      <w:rPr>
        <w:rFonts w:hint="default"/>
        <w:lang w:val="en-US" w:eastAsia="en-US" w:bidi="ar-SA"/>
      </w:rPr>
    </w:lvl>
  </w:abstractNum>
  <w:abstractNum w:abstractNumId="335">
    <w:multiLevelType w:val="hybridMultilevel"/>
    <w:lvl w:ilvl="0">
      <w:start w:val="1"/>
      <w:numFmt w:val="lowerLetter"/>
      <w:lvlText w:val="(%1)"/>
      <w:lvlJc w:val="left"/>
      <w:pPr>
        <w:ind w:left="1572" w:hanging="45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540" w:hanging="454"/>
      </w:pPr>
      <w:rPr>
        <w:rFonts w:hint="default"/>
        <w:lang w:val="en-US" w:eastAsia="en-US" w:bidi="ar-SA"/>
      </w:rPr>
    </w:lvl>
    <w:lvl w:ilvl="2">
      <w:start w:val="0"/>
      <w:numFmt w:val="bullet"/>
      <w:lvlText w:val="•"/>
      <w:lvlJc w:val="left"/>
      <w:pPr>
        <w:ind w:left="3501" w:hanging="454"/>
      </w:pPr>
      <w:rPr>
        <w:rFonts w:hint="default"/>
        <w:lang w:val="en-US" w:eastAsia="en-US" w:bidi="ar-SA"/>
      </w:rPr>
    </w:lvl>
    <w:lvl w:ilvl="3">
      <w:start w:val="0"/>
      <w:numFmt w:val="bullet"/>
      <w:lvlText w:val="•"/>
      <w:lvlJc w:val="left"/>
      <w:pPr>
        <w:ind w:left="4461" w:hanging="454"/>
      </w:pPr>
      <w:rPr>
        <w:rFonts w:hint="default"/>
        <w:lang w:val="en-US" w:eastAsia="en-US" w:bidi="ar-SA"/>
      </w:rPr>
    </w:lvl>
    <w:lvl w:ilvl="4">
      <w:start w:val="0"/>
      <w:numFmt w:val="bullet"/>
      <w:lvlText w:val="•"/>
      <w:lvlJc w:val="left"/>
      <w:pPr>
        <w:ind w:left="5422" w:hanging="454"/>
      </w:pPr>
      <w:rPr>
        <w:rFonts w:hint="default"/>
        <w:lang w:val="en-US" w:eastAsia="en-US" w:bidi="ar-SA"/>
      </w:rPr>
    </w:lvl>
    <w:lvl w:ilvl="5">
      <w:start w:val="0"/>
      <w:numFmt w:val="bullet"/>
      <w:lvlText w:val="•"/>
      <w:lvlJc w:val="left"/>
      <w:pPr>
        <w:ind w:left="6383" w:hanging="454"/>
      </w:pPr>
      <w:rPr>
        <w:rFonts w:hint="default"/>
        <w:lang w:val="en-US" w:eastAsia="en-US" w:bidi="ar-SA"/>
      </w:rPr>
    </w:lvl>
    <w:lvl w:ilvl="6">
      <w:start w:val="0"/>
      <w:numFmt w:val="bullet"/>
      <w:lvlText w:val="•"/>
      <w:lvlJc w:val="left"/>
      <w:pPr>
        <w:ind w:left="7343" w:hanging="454"/>
      </w:pPr>
      <w:rPr>
        <w:rFonts w:hint="default"/>
        <w:lang w:val="en-US" w:eastAsia="en-US" w:bidi="ar-SA"/>
      </w:rPr>
    </w:lvl>
    <w:lvl w:ilvl="7">
      <w:start w:val="0"/>
      <w:numFmt w:val="bullet"/>
      <w:lvlText w:val="•"/>
      <w:lvlJc w:val="left"/>
      <w:pPr>
        <w:ind w:left="8304" w:hanging="454"/>
      </w:pPr>
      <w:rPr>
        <w:rFonts w:hint="default"/>
        <w:lang w:val="en-US" w:eastAsia="en-US" w:bidi="ar-SA"/>
      </w:rPr>
    </w:lvl>
    <w:lvl w:ilvl="8">
      <w:start w:val="0"/>
      <w:numFmt w:val="bullet"/>
      <w:lvlText w:val="•"/>
      <w:lvlJc w:val="left"/>
      <w:pPr>
        <w:ind w:left="9265" w:hanging="454"/>
      </w:pPr>
      <w:rPr>
        <w:rFonts w:hint="default"/>
        <w:lang w:val="en-US" w:eastAsia="en-US" w:bidi="ar-SA"/>
      </w:rPr>
    </w:lvl>
  </w:abstractNum>
  <w:abstractNum w:abstractNumId="334">
    <w:multiLevelType w:val="hybridMultilevel"/>
    <w:lvl w:ilvl="0">
      <w:start w:val="1"/>
      <w:numFmt w:val="decimal"/>
      <w:lvlText w:val="%1."/>
      <w:lvlJc w:val="left"/>
      <w:pPr>
        <w:ind w:left="1118" w:hanging="342"/>
        <w:jc w:val="left"/>
      </w:pPr>
      <w:rPr>
        <w:rFonts w:hint="default"/>
        <w:spacing w:val="0"/>
        <w:w w:val="100"/>
        <w:lang w:val="en-US" w:eastAsia="en-US" w:bidi="ar-SA"/>
      </w:rPr>
    </w:lvl>
    <w:lvl w:ilvl="1">
      <w:start w:val="1"/>
      <w:numFmt w:val="decimal"/>
      <w:lvlText w:val="(%2)"/>
      <w:lvlJc w:val="left"/>
      <w:pPr>
        <w:ind w:left="1572" w:hanging="412"/>
        <w:jc w:val="left"/>
      </w:pPr>
      <w:rPr>
        <w:rFonts w:hint="default"/>
        <w:spacing w:val="0"/>
        <w:w w:val="100"/>
        <w:lang w:val="en-US" w:eastAsia="en-US" w:bidi="ar-SA"/>
      </w:rPr>
    </w:lvl>
    <w:lvl w:ilvl="2">
      <w:start w:val="1"/>
      <w:numFmt w:val="lowerRoman"/>
      <w:lvlText w:val="(%3)"/>
      <w:lvlJc w:val="left"/>
      <w:pPr>
        <w:ind w:left="1678" w:hanging="41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1"/>
      <w:numFmt w:val="lowerLetter"/>
      <w:lvlText w:val="(%4)"/>
      <w:lvlJc w:val="left"/>
      <w:pPr>
        <w:ind w:left="2347" w:hanging="42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4">
      <w:start w:val="0"/>
      <w:numFmt w:val="bullet"/>
      <w:lvlText w:val="•"/>
      <w:lvlJc w:val="left"/>
      <w:pPr>
        <w:ind w:left="1680" w:hanging="425"/>
      </w:pPr>
      <w:rPr>
        <w:rFonts w:hint="default"/>
        <w:lang w:val="en-US" w:eastAsia="en-US" w:bidi="ar-SA"/>
      </w:rPr>
    </w:lvl>
    <w:lvl w:ilvl="5">
      <w:start w:val="0"/>
      <w:numFmt w:val="bullet"/>
      <w:lvlText w:val="•"/>
      <w:lvlJc w:val="left"/>
      <w:pPr>
        <w:ind w:left="2020" w:hanging="425"/>
      </w:pPr>
      <w:rPr>
        <w:rFonts w:hint="default"/>
        <w:lang w:val="en-US" w:eastAsia="en-US" w:bidi="ar-SA"/>
      </w:rPr>
    </w:lvl>
    <w:lvl w:ilvl="6">
      <w:start w:val="0"/>
      <w:numFmt w:val="bullet"/>
      <w:lvlText w:val="•"/>
      <w:lvlJc w:val="left"/>
      <w:pPr>
        <w:ind w:left="2340" w:hanging="425"/>
      </w:pPr>
      <w:rPr>
        <w:rFonts w:hint="default"/>
        <w:lang w:val="en-US" w:eastAsia="en-US" w:bidi="ar-SA"/>
      </w:rPr>
    </w:lvl>
    <w:lvl w:ilvl="7">
      <w:start w:val="0"/>
      <w:numFmt w:val="bullet"/>
      <w:lvlText w:val="•"/>
      <w:lvlJc w:val="left"/>
      <w:pPr>
        <w:ind w:left="4551" w:hanging="425"/>
      </w:pPr>
      <w:rPr>
        <w:rFonts w:hint="default"/>
        <w:lang w:val="en-US" w:eastAsia="en-US" w:bidi="ar-SA"/>
      </w:rPr>
    </w:lvl>
    <w:lvl w:ilvl="8">
      <w:start w:val="0"/>
      <w:numFmt w:val="bullet"/>
      <w:lvlText w:val="•"/>
      <w:lvlJc w:val="left"/>
      <w:pPr>
        <w:ind w:left="6763" w:hanging="425"/>
      </w:pPr>
      <w:rPr>
        <w:rFonts w:hint="default"/>
        <w:lang w:val="en-US" w:eastAsia="en-US" w:bidi="ar-SA"/>
      </w:rPr>
    </w:lvl>
  </w:abstractNum>
  <w:abstractNum w:abstractNumId="333">
    <w:multiLevelType w:val="hybridMultilevel"/>
    <w:lvl w:ilvl="0">
      <w:start w:val="1"/>
      <w:numFmt w:val="lowerRoman"/>
      <w:lvlText w:val="%1)"/>
      <w:lvlJc w:val="left"/>
      <w:pPr>
        <w:ind w:left="1493" w:hanging="22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493" w:hanging="285"/>
        <w:jc w:val="left"/>
      </w:pPr>
      <w:rPr>
        <w:rFonts w:hint="default" w:ascii="Bookman Old Style" w:hAnsi="Bookman Old Style" w:eastAsia="Bookman Old Style" w:cs="Bookman Old Style"/>
        <w:b w:val="0"/>
        <w:bCs w:val="0"/>
        <w:i w:val="0"/>
        <w:iCs w:val="0"/>
        <w:spacing w:val="-1"/>
        <w:w w:val="100"/>
        <w:sz w:val="22"/>
        <w:szCs w:val="22"/>
        <w:lang w:val="en-US" w:eastAsia="en-US" w:bidi="ar-SA"/>
      </w:rPr>
    </w:lvl>
    <w:lvl w:ilvl="2">
      <w:start w:val="0"/>
      <w:numFmt w:val="bullet"/>
      <w:lvlText w:val="•"/>
      <w:lvlJc w:val="left"/>
      <w:pPr>
        <w:ind w:left="3437" w:hanging="285"/>
      </w:pPr>
      <w:rPr>
        <w:rFonts w:hint="default"/>
        <w:lang w:val="en-US" w:eastAsia="en-US" w:bidi="ar-SA"/>
      </w:rPr>
    </w:lvl>
    <w:lvl w:ilvl="3">
      <w:start w:val="0"/>
      <w:numFmt w:val="bullet"/>
      <w:lvlText w:val="•"/>
      <w:lvlJc w:val="left"/>
      <w:pPr>
        <w:ind w:left="4405" w:hanging="285"/>
      </w:pPr>
      <w:rPr>
        <w:rFonts w:hint="default"/>
        <w:lang w:val="en-US" w:eastAsia="en-US" w:bidi="ar-SA"/>
      </w:rPr>
    </w:lvl>
    <w:lvl w:ilvl="4">
      <w:start w:val="0"/>
      <w:numFmt w:val="bullet"/>
      <w:lvlText w:val="•"/>
      <w:lvlJc w:val="left"/>
      <w:pPr>
        <w:ind w:left="5374" w:hanging="285"/>
      </w:pPr>
      <w:rPr>
        <w:rFonts w:hint="default"/>
        <w:lang w:val="en-US" w:eastAsia="en-US" w:bidi="ar-SA"/>
      </w:rPr>
    </w:lvl>
    <w:lvl w:ilvl="5">
      <w:start w:val="0"/>
      <w:numFmt w:val="bullet"/>
      <w:lvlText w:val="•"/>
      <w:lvlJc w:val="left"/>
      <w:pPr>
        <w:ind w:left="6343" w:hanging="285"/>
      </w:pPr>
      <w:rPr>
        <w:rFonts w:hint="default"/>
        <w:lang w:val="en-US" w:eastAsia="en-US" w:bidi="ar-SA"/>
      </w:rPr>
    </w:lvl>
    <w:lvl w:ilvl="6">
      <w:start w:val="0"/>
      <w:numFmt w:val="bullet"/>
      <w:lvlText w:val="•"/>
      <w:lvlJc w:val="left"/>
      <w:pPr>
        <w:ind w:left="7311" w:hanging="285"/>
      </w:pPr>
      <w:rPr>
        <w:rFonts w:hint="default"/>
        <w:lang w:val="en-US" w:eastAsia="en-US" w:bidi="ar-SA"/>
      </w:rPr>
    </w:lvl>
    <w:lvl w:ilvl="7">
      <w:start w:val="0"/>
      <w:numFmt w:val="bullet"/>
      <w:lvlText w:val="•"/>
      <w:lvlJc w:val="left"/>
      <w:pPr>
        <w:ind w:left="8280" w:hanging="285"/>
      </w:pPr>
      <w:rPr>
        <w:rFonts w:hint="default"/>
        <w:lang w:val="en-US" w:eastAsia="en-US" w:bidi="ar-SA"/>
      </w:rPr>
    </w:lvl>
    <w:lvl w:ilvl="8">
      <w:start w:val="0"/>
      <w:numFmt w:val="bullet"/>
      <w:lvlText w:val="•"/>
      <w:lvlJc w:val="left"/>
      <w:pPr>
        <w:ind w:left="9249" w:hanging="285"/>
      </w:pPr>
      <w:rPr>
        <w:rFonts w:hint="default"/>
        <w:lang w:val="en-US" w:eastAsia="en-US" w:bidi="ar-SA"/>
      </w:rPr>
    </w:lvl>
  </w:abstractNum>
  <w:abstractNum w:abstractNumId="332">
    <w:multiLevelType w:val="hybridMultilevel"/>
    <w:lvl w:ilvl="0">
      <w:start w:val="1"/>
      <w:numFmt w:val="lowerLetter"/>
      <w:lvlText w:val="%1)"/>
      <w:lvlJc w:val="left"/>
      <w:pPr>
        <w:ind w:left="1833" w:hanging="35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74" w:hanging="353"/>
      </w:pPr>
      <w:rPr>
        <w:rFonts w:hint="default"/>
        <w:lang w:val="en-US" w:eastAsia="en-US" w:bidi="ar-SA"/>
      </w:rPr>
    </w:lvl>
    <w:lvl w:ilvl="2">
      <w:start w:val="0"/>
      <w:numFmt w:val="bullet"/>
      <w:lvlText w:val="•"/>
      <w:lvlJc w:val="left"/>
      <w:pPr>
        <w:ind w:left="3709" w:hanging="353"/>
      </w:pPr>
      <w:rPr>
        <w:rFonts w:hint="default"/>
        <w:lang w:val="en-US" w:eastAsia="en-US" w:bidi="ar-SA"/>
      </w:rPr>
    </w:lvl>
    <w:lvl w:ilvl="3">
      <w:start w:val="0"/>
      <w:numFmt w:val="bullet"/>
      <w:lvlText w:val="•"/>
      <w:lvlJc w:val="left"/>
      <w:pPr>
        <w:ind w:left="4643" w:hanging="353"/>
      </w:pPr>
      <w:rPr>
        <w:rFonts w:hint="default"/>
        <w:lang w:val="en-US" w:eastAsia="en-US" w:bidi="ar-SA"/>
      </w:rPr>
    </w:lvl>
    <w:lvl w:ilvl="4">
      <w:start w:val="0"/>
      <w:numFmt w:val="bullet"/>
      <w:lvlText w:val="•"/>
      <w:lvlJc w:val="left"/>
      <w:pPr>
        <w:ind w:left="5578" w:hanging="353"/>
      </w:pPr>
      <w:rPr>
        <w:rFonts w:hint="default"/>
        <w:lang w:val="en-US" w:eastAsia="en-US" w:bidi="ar-SA"/>
      </w:rPr>
    </w:lvl>
    <w:lvl w:ilvl="5">
      <w:start w:val="0"/>
      <w:numFmt w:val="bullet"/>
      <w:lvlText w:val="•"/>
      <w:lvlJc w:val="left"/>
      <w:pPr>
        <w:ind w:left="6513" w:hanging="353"/>
      </w:pPr>
      <w:rPr>
        <w:rFonts w:hint="default"/>
        <w:lang w:val="en-US" w:eastAsia="en-US" w:bidi="ar-SA"/>
      </w:rPr>
    </w:lvl>
    <w:lvl w:ilvl="6">
      <w:start w:val="0"/>
      <w:numFmt w:val="bullet"/>
      <w:lvlText w:val="•"/>
      <w:lvlJc w:val="left"/>
      <w:pPr>
        <w:ind w:left="7447" w:hanging="353"/>
      </w:pPr>
      <w:rPr>
        <w:rFonts w:hint="default"/>
        <w:lang w:val="en-US" w:eastAsia="en-US" w:bidi="ar-SA"/>
      </w:rPr>
    </w:lvl>
    <w:lvl w:ilvl="7">
      <w:start w:val="0"/>
      <w:numFmt w:val="bullet"/>
      <w:lvlText w:val="•"/>
      <w:lvlJc w:val="left"/>
      <w:pPr>
        <w:ind w:left="8382" w:hanging="353"/>
      </w:pPr>
      <w:rPr>
        <w:rFonts w:hint="default"/>
        <w:lang w:val="en-US" w:eastAsia="en-US" w:bidi="ar-SA"/>
      </w:rPr>
    </w:lvl>
    <w:lvl w:ilvl="8">
      <w:start w:val="0"/>
      <w:numFmt w:val="bullet"/>
      <w:lvlText w:val="•"/>
      <w:lvlJc w:val="left"/>
      <w:pPr>
        <w:ind w:left="9317" w:hanging="353"/>
      </w:pPr>
      <w:rPr>
        <w:rFonts w:hint="default"/>
        <w:lang w:val="en-US" w:eastAsia="en-US" w:bidi="ar-SA"/>
      </w:rPr>
    </w:lvl>
  </w:abstractNum>
  <w:abstractNum w:abstractNumId="331">
    <w:multiLevelType w:val="hybridMultilevel"/>
    <w:lvl w:ilvl="0">
      <w:start w:val="1"/>
      <w:numFmt w:val="lowerRoman"/>
      <w:lvlText w:val="%1)"/>
      <w:lvlJc w:val="left"/>
      <w:pPr>
        <w:ind w:left="1493" w:hanging="23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238"/>
      </w:pPr>
      <w:rPr>
        <w:rFonts w:hint="default"/>
        <w:lang w:val="en-US" w:eastAsia="en-US" w:bidi="ar-SA"/>
      </w:rPr>
    </w:lvl>
    <w:lvl w:ilvl="2">
      <w:start w:val="0"/>
      <w:numFmt w:val="bullet"/>
      <w:lvlText w:val="•"/>
      <w:lvlJc w:val="left"/>
      <w:pPr>
        <w:ind w:left="3437" w:hanging="238"/>
      </w:pPr>
      <w:rPr>
        <w:rFonts w:hint="default"/>
        <w:lang w:val="en-US" w:eastAsia="en-US" w:bidi="ar-SA"/>
      </w:rPr>
    </w:lvl>
    <w:lvl w:ilvl="3">
      <w:start w:val="0"/>
      <w:numFmt w:val="bullet"/>
      <w:lvlText w:val="•"/>
      <w:lvlJc w:val="left"/>
      <w:pPr>
        <w:ind w:left="4405" w:hanging="238"/>
      </w:pPr>
      <w:rPr>
        <w:rFonts w:hint="default"/>
        <w:lang w:val="en-US" w:eastAsia="en-US" w:bidi="ar-SA"/>
      </w:rPr>
    </w:lvl>
    <w:lvl w:ilvl="4">
      <w:start w:val="0"/>
      <w:numFmt w:val="bullet"/>
      <w:lvlText w:val="•"/>
      <w:lvlJc w:val="left"/>
      <w:pPr>
        <w:ind w:left="5374" w:hanging="238"/>
      </w:pPr>
      <w:rPr>
        <w:rFonts w:hint="default"/>
        <w:lang w:val="en-US" w:eastAsia="en-US" w:bidi="ar-SA"/>
      </w:rPr>
    </w:lvl>
    <w:lvl w:ilvl="5">
      <w:start w:val="0"/>
      <w:numFmt w:val="bullet"/>
      <w:lvlText w:val="•"/>
      <w:lvlJc w:val="left"/>
      <w:pPr>
        <w:ind w:left="6343" w:hanging="238"/>
      </w:pPr>
      <w:rPr>
        <w:rFonts w:hint="default"/>
        <w:lang w:val="en-US" w:eastAsia="en-US" w:bidi="ar-SA"/>
      </w:rPr>
    </w:lvl>
    <w:lvl w:ilvl="6">
      <w:start w:val="0"/>
      <w:numFmt w:val="bullet"/>
      <w:lvlText w:val="•"/>
      <w:lvlJc w:val="left"/>
      <w:pPr>
        <w:ind w:left="7311" w:hanging="238"/>
      </w:pPr>
      <w:rPr>
        <w:rFonts w:hint="default"/>
        <w:lang w:val="en-US" w:eastAsia="en-US" w:bidi="ar-SA"/>
      </w:rPr>
    </w:lvl>
    <w:lvl w:ilvl="7">
      <w:start w:val="0"/>
      <w:numFmt w:val="bullet"/>
      <w:lvlText w:val="•"/>
      <w:lvlJc w:val="left"/>
      <w:pPr>
        <w:ind w:left="8280" w:hanging="238"/>
      </w:pPr>
      <w:rPr>
        <w:rFonts w:hint="default"/>
        <w:lang w:val="en-US" w:eastAsia="en-US" w:bidi="ar-SA"/>
      </w:rPr>
    </w:lvl>
    <w:lvl w:ilvl="8">
      <w:start w:val="0"/>
      <w:numFmt w:val="bullet"/>
      <w:lvlText w:val="•"/>
      <w:lvlJc w:val="left"/>
      <w:pPr>
        <w:ind w:left="9249" w:hanging="238"/>
      </w:pPr>
      <w:rPr>
        <w:rFonts w:hint="default"/>
        <w:lang w:val="en-US" w:eastAsia="en-US" w:bidi="ar-SA"/>
      </w:rPr>
    </w:lvl>
  </w:abstractNum>
  <w:abstractNum w:abstractNumId="330">
    <w:multiLevelType w:val="hybridMultilevel"/>
    <w:lvl w:ilvl="0">
      <w:start w:val="1"/>
      <w:numFmt w:val="lowerRoman"/>
      <w:lvlText w:val="%1)"/>
      <w:lvlJc w:val="left"/>
      <w:pPr>
        <w:ind w:left="1673" w:hanging="22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2213" w:hanging="36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216" w:hanging="361"/>
      </w:pPr>
      <w:rPr>
        <w:rFonts w:hint="default"/>
        <w:lang w:val="en-US" w:eastAsia="en-US" w:bidi="ar-SA"/>
      </w:rPr>
    </w:lvl>
    <w:lvl w:ilvl="3">
      <w:start w:val="0"/>
      <w:numFmt w:val="bullet"/>
      <w:lvlText w:val="•"/>
      <w:lvlJc w:val="left"/>
      <w:pPr>
        <w:ind w:left="4212" w:hanging="361"/>
      </w:pPr>
      <w:rPr>
        <w:rFonts w:hint="default"/>
        <w:lang w:val="en-US" w:eastAsia="en-US" w:bidi="ar-SA"/>
      </w:rPr>
    </w:lvl>
    <w:lvl w:ilvl="4">
      <w:start w:val="0"/>
      <w:numFmt w:val="bullet"/>
      <w:lvlText w:val="•"/>
      <w:lvlJc w:val="left"/>
      <w:pPr>
        <w:ind w:left="5208" w:hanging="361"/>
      </w:pPr>
      <w:rPr>
        <w:rFonts w:hint="default"/>
        <w:lang w:val="en-US" w:eastAsia="en-US" w:bidi="ar-SA"/>
      </w:rPr>
    </w:lvl>
    <w:lvl w:ilvl="5">
      <w:start w:val="0"/>
      <w:numFmt w:val="bullet"/>
      <w:lvlText w:val="•"/>
      <w:lvlJc w:val="left"/>
      <w:pPr>
        <w:ind w:left="6205" w:hanging="361"/>
      </w:pPr>
      <w:rPr>
        <w:rFonts w:hint="default"/>
        <w:lang w:val="en-US" w:eastAsia="en-US" w:bidi="ar-SA"/>
      </w:rPr>
    </w:lvl>
    <w:lvl w:ilvl="6">
      <w:start w:val="0"/>
      <w:numFmt w:val="bullet"/>
      <w:lvlText w:val="•"/>
      <w:lvlJc w:val="left"/>
      <w:pPr>
        <w:ind w:left="7201" w:hanging="361"/>
      </w:pPr>
      <w:rPr>
        <w:rFonts w:hint="default"/>
        <w:lang w:val="en-US" w:eastAsia="en-US" w:bidi="ar-SA"/>
      </w:rPr>
    </w:lvl>
    <w:lvl w:ilvl="7">
      <w:start w:val="0"/>
      <w:numFmt w:val="bullet"/>
      <w:lvlText w:val="•"/>
      <w:lvlJc w:val="left"/>
      <w:pPr>
        <w:ind w:left="8197" w:hanging="361"/>
      </w:pPr>
      <w:rPr>
        <w:rFonts w:hint="default"/>
        <w:lang w:val="en-US" w:eastAsia="en-US" w:bidi="ar-SA"/>
      </w:rPr>
    </w:lvl>
    <w:lvl w:ilvl="8">
      <w:start w:val="0"/>
      <w:numFmt w:val="bullet"/>
      <w:lvlText w:val="•"/>
      <w:lvlJc w:val="left"/>
      <w:pPr>
        <w:ind w:left="9193" w:hanging="361"/>
      </w:pPr>
      <w:rPr>
        <w:rFonts w:hint="default"/>
        <w:lang w:val="en-US" w:eastAsia="en-US" w:bidi="ar-SA"/>
      </w:rPr>
    </w:lvl>
  </w:abstractNum>
  <w:abstractNum w:abstractNumId="329">
    <w:multiLevelType w:val="hybridMultilevel"/>
    <w:lvl w:ilvl="0">
      <w:start w:val="1"/>
      <w:numFmt w:val="decimal"/>
      <w:lvlText w:val="%1."/>
      <w:lvlJc w:val="left"/>
      <w:pPr>
        <w:ind w:left="1853" w:hanging="36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2)"/>
      <w:lvlJc w:val="left"/>
      <w:pPr>
        <w:ind w:left="2213"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2"/>
      <w:numFmt w:val="decimal"/>
      <w:lvlText w:val="%3."/>
      <w:lvlJc w:val="left"/>
      <w:pPr>
        <w:ind w:left="3293" w:hanging="360"/>
        <w:jc w:val="left"/>
      </w:pPr>
      <w:rPr>
        <w:rFonts w:hint="default" w:ascii="Bookman Old Style" w:hAnsi="Bookman Old Style" w:eastAsia="Bookman Old Style" w:cs="Bookman Old Style"/>
        <w:b w:val="0"/>
        <w:bCs w:val="0"/>
        <w:i w:val="0"/>
        <w:iCs w:val="0"/>
        <w:spacing w:val="-1"/>
        <w:w w:val="100"/>
        <w:sz w:val="24"/>
        <w:szCs w:val="24"/>
        <w:lang w:val="en-US" w:eastAsia="en-US" w:bidi="ar-SA"/>
      </w:rPr>
    </w:lvl>
    <w:lvl w:ilvl="3">
      <w:start w:val="0"/>
      <w:numFmt w:val="bullet"/>
      <w:lvlText w:val="•"/>
      <w:lvlJc w:val="left"/>
      <w:pPr>
        <w:ind w:left="4285" w:hanging="360"/>
      </w:pPr>
      <w:rPr>
        <w:rFonts w:hint="default"/>
        <w:lang w:val="en-US" w:eastAsia="en-US" w:bidi="ar-SA"/>
      </w:rPr>
    </w:lvl>
    <w:lvl w:ilvl="4">
      <w:start w:val="0"/>
      <w:numFmt w:val="bullet"/>
      <w:lvlText w:val="•"/>
      <w:lvlJc w:val="left"/>
      <w:pPr>
        <w:ind w:left="5271" w:hanging="360"/>
      </w:pPr>
      <w:rPr>
        <w:rFonts w:hint="default"/>
        <w:lang w:val="en-US" w:eastAsia="en-US" w:bidi="ar-SA"/>
      </w:rPr>
    </w:lvl>
    <w:lvl w:ilvl="5">
      <w:start w:val="0"/>
      <w:numFmt w:val="bullet"/>
      <w:lvlText w:val="•"/>
      <w:lvlJc w:val="left"/>
      <w:pPr>
        <w:ind w:left="6257" w:hanging="360"/>
      </w:pPr>
      <w:rPr>
        <w:rFonts w:hint="default"/>
        <w:lang w:val="en-US" w:eastAsia="en-US" w:bidi="ar-SA"/>
      </w:rPr>
    </w:lvl>
    <w:lvl w:ilvl="6">
      <w:start w:val="0"/>
      <w:numFmt w:val="bullet"/>
      <w:lvlText w:val="•"/>
      <w:lvlJc w:val="left"/>
      <w:pPr>
        <w:ind w:left="7243" w:hanging="360"/>
      </w:pPr>
      <w:rPr>
        <w:rFonts w:hint="default"/>
        <w:lang w:val="en-US" w:eastAsia="en-US" w:bidi="ar-SA"/>
      </w:rPr>
    </w:lvl>
    <w:lvl w:ilvl="7">
      <w:start w:val="0"/>
      <w:numFmt w:val="bullet"/>
      <w:lvlText w:val="•"/>
      <w:lvlJc w:val="left"/>
      <w:pPr>
        <w:ind w:left="8229" w:hanging="360"/>
      </w:pPr>
      <w:rPr>
        <w:rFonts w:hint="default"/>
        <w:lang w:val="en-US" w:eastAsia="en-US" w:bidi="ar-SA"/>
      </w:rPr>
    </w:lvl>
    <w:lvl w:ilvl="8">
      <w:start w:val="0"/>
      <w:numFmt w:val="bullet"/>
      <w:lvlText w:val="•"/>
      <w:lvlJc w:val="left"/>
      <w:pPr>
        <w:ind w:left="9214" w:hanging="360"/>
      </w:pPr>
      <w:rPr>
        <w:rFonts w:hint="default"/>
        <w:lang w:val="en-US" w:eastAsia="en-US" w:bidi="ar-SA"/>
      </w:rPr>
    </w:lvl>
  </w:abstractNum>
  <w:abstractNum w:abstractNumId="328">
    <w:multiLevelType w:val="hybridMultilevel"/>
    <w:lvl w:ilvl="0">
      <w:start w:val="1"/>
      <w:numFmt w:val="decimal"/>
      <w:lvlText w:val="%1."/>
      <w:lvlJc w:val="left"/>
      <w:pPr>
        <w:ind w:left="1853" w:hanging="360"/>
        <w:jc w:val="left"/>
      </w:pPr>
      <w:rPr>
        <w:rFonts w:hint="default"/>
        <w:spacing w:val="0"/>
        <w:w w:val="100"/>
        <w:lang w:val="en-US" w:eastAsia="en-US" w:bidi="ar-SA"/>
      </w:rPr>
    </w:lvl>
    <w:lvl w:ilvl="1">
      <w:start w:val="1"/>
      <w:numFmt w:val="lowerRoman"/>
      <w:lvlText w:val="(%2)"/>
      <w:lvlJc w:val="left"/>
      <w:pPr>
        <w:ind w:left="1853" w:hanging="396"/>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Letter"/>
      <w:lvlText w:val="%3)"/>
      <w:lvlJc w:val="left"/>
      <w:pPr>
        <w:ind w:left="1853" w:hanging="26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4657" w:hanging="269"/>
      </w:pPr>
      <w:rPr>
        <w:rFonts w:hint="default"/>
        <w:lang w:val="en-US" w:eastAsia="en-US" w:bidi="ar-SA"/>
      </w:rPr>
    </w:lvl>
    <w:lvl w:ilvl="4">
      <w:start w:val="0"/>
      <w:numFmt w:val="bullet"/>
      <w:lvlText w:val="•"/>
      <w:lvlJc w:val="left"/>
      <w:pPr>
        <w:ind w:left="5590" w:hanging="269"/>
      </w:pPr>
      <w:rPr>
        <w:rFonts w:hint="default"/>
        <w:lang w:val="en-US" w:eastAsia="en-US" w:bidi="ar-SA"/>
      </w:rPr>
    </w:lvl>
    <w:lvl w:ilvl="5">
      <w:start w:val="0"/>
      <w:numFmt w:val="bullet"/>
      <w:lvlText w:val="•"/>
      <w:lvlJc w:val="left"/>
      <w:pPr>
        <w:ind w:left="6523" w:hanging="269"/>
      </w:pPr>
      <w:rPr>
        <w:rFonts w:hint="default"/>
        <w:lang w:val="en-US" w:eastAsia="en-US" w:bidi="ar-SA"/>
      </w:rPr>
    </w:lvl>
    <w:lvl w:ilvl="6">
      <w:start w:val="0"/>
      <w:numFmt w:val="bullet"/>
      <w:lvlText w:val="•"/>
      <w:lvlJc w:val="left"/>
      <w:pPr>
        <w:ind w:left="7455" w:hanging="269"/>
      </w:pPr>
      <w:rPr>
        <w:rFonts w:hint="default"/>
        <w:lang w:val="en-US" w:eastAsia="en-US" w:bidi="ar-SA"/>
      </w:rPr>
    </w:lvl>
    <w:lvl w:ilvl="7">
      <w:start w:val="0"/>
      <w:numFmt w:val="bullet"/>
      <w:lvlText w:val="•"/>
      <w:lvlJc w:val="left"/>
      <w:pPr>
        <w:ind w:left="8388" w:hanging="269"/>
      </w:pPr>
      <w:rPr>
        <w:rFonts w:hint="default"/>
        <w:lang w:val="en-US" w:eastAsia="en-US" w:bidi="ar-SA"/>
      </w:rPr>
    </w:lvl>
    <w:lvl w:ilvl="8">
      <w:start w:val="0"/>
      <w:numFmt w:val="bullet"/>
      <w:lvlText w:val="•"/>
      <w:lvlJc w:val="left"/>
      <w:pPr>
        <w:ind w:left="9321" w:hanging="269"/>
      </w:pPr>
      <w:rPr>
        <w:rFonts w:hint="default"/>
        <w:lang w:val="en-US" w:eastAsia="en-US" w:bidi="ar-SA"/>
      </w:rPr>
    </w:lvl>
  </w:abstractNum>
  <w:abstractNum w:abstractNumId="327">
    <w:multiLevelType w:val="hybridMultilevel"/>
    <w:lvl w:ilvl="0">
      <w:start w:val="1"/>
      <w:numFmt w:val="lowerRoman"/>
      <w:lvlText w:val="%1)"/>
      <w:lvlJc w:val="left"/>
      <w:pPr>
        <w:ind w:left="1493" w:hanging="231"/>
        <w:jc w:val="left"/>
      </w:pPr>
      <w:rPr>
        <w:rFonts w:hint="default" w:ascii="Bookman Old Style" w:hAnsi="Bookman Old Style" w:eastAsia="Bookman Old Style" w:cs="Bookman Old Style"/>
        <w:b w:val="0"/>
        <w:bCs w:val="0"/>
        <w:i w:val="0"/>
        <w:iCs w:val="0"/>
        <w:spacing w:val="0"/>
        <w:w w:val="90"/>
        <w:sz w:val="24"/>
        <w:szCs w:val="24"/>
        <w:lang w:val="en-US" w:eastAsia="en-US" w:bidi="ar-SA"/>
      </w:rPr>
    </w:lvl>
    <w:lvl w:ilvl="1">
      <w:start w:val="0"/>
      <w:numFmt w:val="bullet"/>
      <w:lvlText w:val="•"/>
      <w:lvlJc w:val="left"/>
      <w:pPr>
        <w:ind w:left="2468" w:hanging="231"/>
      </w:pPr>
      <w:rPr>
        <w:rFonts w:hint="default"/>
        <w:lang w:val="en-US" w:eastAsia="en-US" w:bidi="ar-SA"/>
      </w:rPr>
    </w:lvl>
    <w:lvl w:ilvl="2">
      <w:start w:val="0"/>
      <w:numFmt w:val="bullet"/>
      <w:lvlText w:val="•"/>
      <w:lvlJc w:val="left"/>
      <w:pPr>
        <w:ind w:left="3437" w:hanging="231"/>
      </w:pPr>
      <w:rPr>
        <w:rFonts w:hint="default"/>
        <w:lang w:val="en-US" w:eastAsia="en-US" w:bidi="ar-SA"/>
      </w:rPr>
    </w:lvl>
    <w:lvl w:ilvl="3">
      <w:start w:val="0"/>
      <w:numFmt w:val="bullet"/>
      <w:lvlText w:val="•"/>
      <w:lvlJc w:val="left"/>
      <w:pPr>
        <w:ind w:left="4405" w:hanging="231"/>
      </w:pPr>
      <w:rPr>
        <w:rFonts w:hint="default"/>
        <w:lang w:val="en-US" w:eastAsia="en-US" w:bidi="ar-SA"/>
      </w:rPr>
    </w:lvl>
    <w:lvl w:ilvl="4">
      <w:start w:val="0"/>
      <w:numFmt w:val="bullet"/>
      <w:lvlText w:val="•"/>
      <w:lvlJc w:val="left"/>
      <w:pPr>
        <w:ind w:left="5374" w:hanging="231"/>
      </w:pPr>
      <w:rPr>
        <w:rFonts w:hint="default"/>
        <w:lang w:val="en-US" w:eastAsia="en-US" w:bidi="ar-SA"/>
      </w:rPr>
    </w:lvl>
    <w:lvl w:ilvl="5">
      <w:start w:val="0"/>
      <w:numFmt w:val="bullet"/>
      <w:lvlText w:val="•"/>
      <w:lvlJc w:val="left"/>
      <w:pPr>
        <w:ind w:left="6343" w:hanging="231"/>
      </w:pPr>
      <w:rPr>
        <w:rFonts w:hint="default"/>
        <w:lang w:val="en-US" w:eastAsia="en-US" w:bidi="ar-SA"/>
      </w:rPr>
    </w:lvl>
    <w:lvl w:ilvl="6">
      <w:start w:val="0"/>
      <w:numFmt w:val="bullet"/>
      <w:lvlText w:val="•"/>
      <w:lvlJc w:val="left"/>
      <w:pPr>
        <w:ind w:left="7311" w:hanging="231"/>
      </w:pPr>
      <w:rPr>
        <w:rFonts w:hint="default"/>
        <w:lang w:val="en-US" w:eastAsia="en-US" w:bidi="ar-SA"/>
      </w:rPr>
    </w:lvl>
    <w:lvl w:ilvl="7">
      <w:start w:val="0"/>
      <w:numFmt w:val="bullet"/>
      <w:lvlText w:val="•"/>
      <w:lvlJc w:val="left"/>
      <w:pPr>
        <w:ind w:left="8280" w:hanging="231"/>
      </w:pPr>
      <w:rPr>
        <w:rFonts w:hint="default"/>
        <w:lang w:val="en-US" w:eastAsia="en-US" w:bidi="ar-SA"/>
      </w:rPr>
    </w:lvl>
    <w:lvl w:ilvl="8">
      <w:start w:val="0"/>
      <w:numFmt w:val="bullet"/>
      <w:lvlText w:val="•"/>
      <w:lvlJc w:val="left"/>
      <w:pPr>
        <w:ind w:left="9249" w:hanging="231"/>
      </w:pPr>
      <w:rPr>
        <w:rFonts w:hint="default"/>
        <w:lang w:val="en-US" w:eastAsia="en-US" w:bidi="ar-SA"/>
      </w:rPr>
    </w:lvl>
  </w:abstractNum>
  <w:abstractNum w:abstractNumId="326">
    <w:multiLevelType w:val="hybridMultilevel"/>
    <w:lvl w:ilvl="0">
      <w:start w:val="1"/>
      <w:numFmt w:val="lowerLetter"/>
      <w:lvlText w:val="%1)"/>
      <w:lvlJc w:val="left"/>
      <w:pPr>
        <w:ind w:left="376" w:hanging="264"/>
        <w:jc w:val="left"/>
      </w:pPr>
      <w:rPr>
        <w:rFonts w:hint="default" w:ascii="Bookman Old Style" w:hAnsi="Bookman Old Style" w:eastAsia="Bookman Old Style" w:cs="Bookman Old Style"/>
        <w:b w:val="0"/>
        <w:bCs w:val="0"/>
        <w:i w:val="0"/>
        <w:iCs w:val="0"/>
        <w:spacing w:val="-1"/>
        <w:w w:val="100"/>
        <w:sz w:val="22"/>
        <w:szCs w:val="22"/>
        <w:lang w:val="en-US" w:eastAsia="en-US" w:bidi="ar-SA"/>
      </w:rPr>
    </w:lvl>
    <w:lvl w:ilvl="1">
      <w:start w:val="0"/>
      <w:numFmt w:val="bullet"/>
      <w:lvlText w:val="•"/>
      <w:lvlJc w:val="left"/>
      <w:pPr>
        <w:ind w:left="1247" w:hanging="264"/>
      </w:pPr>
      <w:rPr>
        <w:rFonts w:hint="default"/>
        <w:lang w:val="en-US" w:eastAsia="en-US" w:bidi="ar-SA"/>
      </w:rPr>
    </w:lvl>
    <w:lvl w:ilvl="2">
      <w:start w:val="0"/>
      <w:numFmt w:val="bullet"/>
      <w:lvlText w:val="•"/>
      <w:lvlJc w:val="left"/>
      <w:pPr>
        <w:ind w:left="2114" w:hanging="264"/>
      </w:pPr>
      <w:rPr>
        <w:rFonts w:hint="default"/>
        <w:lang w:val="en-US" w:eastAsia="en-US" w:bidi="ar-SA"/>
      </w:rPr>
    </w:lvl>
    <w:lvl w:ilvl="3">
      <w:start w:val="0"/>
      <w:numFmt w:val="bullet"/>
      <w:lvlText w:val="•"/>
      <w:lvlJc w:val="left"/>
      <w:pPr>
        <w:ind w:left="2981" w:hanging="264"/>
      </w:pPr>
      <w:rPr>
        <w:rFonts w:hint="default"/>
        <w:lang w:val="en-US" w:eastAsia="en-US" w:bidi="ar-SA"/>
      </w:rPr>
    </w:lvl>
    <w:lvl w:ilvl="4">
      <w:start w:val="0"/>
      <w:numFmt w:val="bullet"/>
      <w:lvlText w:val="•"/>
      <w:lvlJc w:val="left"/>
      <w:pPr>
        <w:ind w:left="3848" w:hanging="264"/>
      </w:pPr>
      <w:rPr>
        <w:rFonts w:hint="default"/>
        <w:lang w:val="en-US" w:eastAsia="en-US" w:bidi="ar-SA"/>
      </w:rPr>
    </w:lvl>
    <w:lvl w:ilvl="5">
      <w:start w:val="0"/>
      <w:numFmt w:val="bullet"/>
      <w:lvlText w:val="•"/>
      <w:lvlJc w:val="left"/>
      <w:pPr>
        <w:ind w:left="4715" w:hanging="264"/>
      </w:pPr>
      <w:rPr>
        <w:rFonts w:hint="default"/>
        <w:lang w:val="en-US" w:eastAsia="en-US" w:bidi="ar-SA"/>
      </w:rPr>
    </w:lvl>
    <w:lvl w:ilvl="6">
      <w:start w:val="0"/>
      <w:numFmt w:val="bullet"/>
      <w:lvlText w:val="•"/>
      <w:lvlJc w:val="left"/>
      <w:pPr>
        <w:ind w:left="5582" w:hanging="264"/>
      </w:pPr>
      <w:rPr>
        <w:rFonts w:hint="default"/>
        <w:lang w:val="en-US" w:eastAsia="en-US" w:bidi="ar-SA"/>
      </w:rPr>
    </w:lvl>
    <w:lvl w:ilvl="7">
      <w:start w:val="0"/>
      <w:numFmt w:val="bullet"/>
      <w:lvlText w:val="•"/>
      <w:lvlJc w:val="left"/>
      <w:pPr>
        <w:ind w:left="6449" w:hanging="264"/>
      </w:pPr>
      <w:rPr>
        <w:rFonts w:hint="default"/>
        <w:lang w:val="en-US" w:eastAsia="en-US" w:bidi="ar-SA"/>
      </w:rPr>
    </w:lvl>
    <w:lvl w:ilvl="8">
      <w:start w:val="0"/>
      <w:numFmt w:val="bullet"/>
      <w:lvlText w:val="•"/>
      <w:lvlJc w:val="left"/>
      <w:pPr>
        <w:ind w:left="7316" w:hanging="264"/>
      </w:pPr>
      <w:rPr>
        <w:rFonts w:hint="default"/>
        <w:lang w:val="en-US" w:eastAsia="en-US" w:bidi="ar-SA"/>
      </w:rPr>
    </w:lvl>
  </w:abstractNum>
  <w:abstractNum w:abstractNumId="324">
    <w:multiLevelType w:val="hybridMultilevel"/>
    <w:lvl w:ilvl="0">
      <w:start w:val="1"/>
      <w:numFmt w:val="lowerRoman"/>
      <w:lvlText w:val="(%1)"/>
      <w:lvlJc w:val="left"/>
      <w:pPr>
        <w:ind w:left="1493" w:hanging="720"/>
        <w:jc w:val="left"/>
      </w:pPr>
      <w:rPr>
        <w:rFonts w:hint="default" w:ascii="Bookman Old Style" w:hAnsi="Bookman Old Style" w:eastAsia="Bookman Old Style" w:cs="Bookman Old Style"/>
        <w:b w:val="0"/>
        <w:bCs w:val="0"/>
        <w:i w:val="0"/>
        <w:iCs w:val="0"/>
        <w:spacing w:val="0"/>
        <w:w w:val="100"/>
        <w:sz w:val="22"/>
        <w:szCs w:val="22"/>
        <w:lang w:val="en-US" w:eastAsia="en-US" w:bidi="ar-SA"/>
      </w:rPr>
    </w:lvl>
    <w:lvl w:ilvl="1">
      <w:start w:val="0"/>
      <w:numFmt w:val="bullet"/>
      <w:lvlText w:val="•"/>
      <w:lvlJc w:val="left"/>
      <w:pPr>
        <w:ind w:left="2468" w:hanging="720"/>
      </w:pPr>
      <w:rPr>
        <w:rFonts w:hint="default"/>
        <w:lang w:val="en-US" w:eastAsia="en-US" w:bidi="ar-SA"/>
      </w:rPr>
    </w:lvl>
    <w:lvl w:ilvl="2">
      <w:start w:val="0"/>
      <w:numFmt w:val="bullet"/>
      <w:lvlText w:val="•"/>
      <w:lvlJc w:val="left"/>
      <w:pPr>
        <w:ind w:left="3437" w:hanging="720"/>
      </w:pPr>
      <w:rPr>
        <w:rFonts w:hint="default"/>
        <w:lang w:val="en-US" w:eastAsia="en-US" w:bidi="ar-SA"/>
      </w:rPr>
    </w:lvl>
    <w:lvl w:ilvl="3">
      <w:start w:val="0"/>
      <w:numFmt w:val="bullet"/>
      <w:lvlText w:val="•"/>
      <w:lvlJc w:val="left"/>
      <w:pPr>
        <w:ind w:left="4405" w:hanging="720"/>
      </w:pPr>
      <w:rPr>
        <w:rFonts w:hint="default"/>
        <w:lang w:val="en-US" w:eastAsia="en-US" w:bidi="ar-SA"/>
      </w:rPr>
    </w:lvl>
    <w:lvl w:ilvl="4">
      <w:start w:val="0"/>
      <w:numFmt w:val="bullet"/>
      <w:lvlText w:val="•"/>
      <w:lvlJc w:val="left"/>
      <w:pPr>
        <w:ind w:left="5374" w:hanging="720"/>
      </w:pPr>
      <w:rPr>
        <w:rFonts w:hint="default"/>
        <w:lang w:val="en-US" w:eastAsia="en-US" w:bidi="ar-SA"/>
      </w:rPr>
    </w:lvl>
    <w:lvl w:ilvl="5">
      <w:start w:val="0"/>
      <w:numFmt w:val="bullet"/>
      <w:lvlText w:val="•"/>
      <w:lvlJc w:val="left"/>
      <w:pPr>
        <w:ind w:left="6343" w:hanging="720"/>
      </w:pPr>
      <w:rPr>
        <w:rFonts w:hint="default"/>
        <w:lang w:val="en-US" w:eastAsia="en-US" w:bidi="ar-SA"/>
      </w:rPr>
    </w:lvl>
    <w:lvl w:ilvl="6">
      <w:start w:val="0"/>
      <w:numFmt w:val="bullet"/>
      <w:lvlText w:val="•"/>
      <w:lvlJc w:val="left"/>
      <w:pPr>
        <w:ind w:left="7311" w:hanging="720"/>
      </w:pPr>
      <w:rPr>
        <w:rFonts w:hint="default"/>
        <w:lang w:val="en-US" w:eastAsia="en-US" w:bidi="ar-SA"/>
      </w:rPr>
    </w:lvl>
    <w:lvl w:ilvl="7">
      <w:start w:val="0"/>
      <w:numFmt w:val="bullet"/>
      <w:lvlText w:val="•"/>
      <w:lvlJc w:val="left"/>
      <w:pPr>
        <w:ind w:left="8280" w:hanging="720"/>
      </w:pPr>
      <w:rPr>
        <w:rFonts w:hint="default"/>
        <w:lang w:val="en-US" w:eastAsia="en-US" w:bidi="ar-SA"/>
      </w:rPr>
    </w:lvl>
    <w:lvl w:ilvl="8">
      <w:start w:val="0"/>
      <w:numFmt w:val="bullet"/>
      <w:lvlText w:val="•"/>
      <w:lvlJc w:val="left"/>
      <w:pPr>
        <w:ind w:left="9249" w:hanging="720"/>
      </w:pPr>
      <w:rPr>
        <w:rFonts w:hint="default"/>
        <w:lang w:val="en-US" w:eastAsia="en-US" w:bidi="ar-SA"/>
      </w:rPr>
    </w:lvl>
  </w:abstractNum>
  <w:abstractNum w:abstractNumId="323">
    <w:multiLevelType w:val="hybridMultilevel"/>
    <w:lvl w:ilvl="0">
      <w:start w:val="1"/>
      <w:numFmt w:val="lowerLetter"/>
      <w:lvlText w:val="%1)"/>
      <w:lvlJc w:val="left"/>
      <w:pPr>
        <w:ind w:left="29" w:hanging="199"/>
        <w:jc w:val="left"/>
      </w:pPr>
      <w:rPr>
        <w:rFonts w:hint="default" w:ascii="Bookman Old Style" w:hAnsi="Bookman Old Style" w:eastAsia="Bookman Old Style" w:cs="Bookman Old Style"/>
        <w:b/>
        <w:bCs/>
        <w:i w:val="0"/>
        <w:iCs w:val="0"/>
        <w:spacing w:val="-2"/>
        <w:w w:val="99"/>
        <w:sz w:val="20"/>
        <w:szCs w:val="20"/>
        <w:lang w:val="en-US" w:eastAsia="en-US" w:bidi="ar-SA"/>
      </w:rPr>
    </w:lvl>
    <w:lvl w:ilvl="1">
      <w:start w:val="0"/>
      <w:numFmt w:val="bullet"/>
      <w:lvlText w:val="•"/>
      <w:lvlJc w:val="left"/>
      <w:pPr>
        <w:ind w:left="315" w:hanging="199"/>
      </w:pPr>
      <w:rPr>
        <w:rFonts w:hint="default"/>
        <w:lang w:val="en-US" w:eastAsia="en-US" w:bidi="ar-SA"/>
      </w:rPr>
    </w:lvl>
    <w:lvl w:ilvl="2">
      <w:start w:val="0"/>
      <w:numFmt w:val="bullet"/>
      <w:lvlText w:val="•"/>
      <w:lvlJc w:val="left"/>
      <w:pPr>
        <w:ind w:left="611" w:hanging="199"/>
      </w:pPr>
      <w:rPr>
        <w:rFonts w:hint="default"/>
        <w:lang w:val="en-US" w:eastAsia="en-US" w:bidi="ar-SA"/>
      </w:rPr>
    </w:lvl>
    <w:lvl w:ilvl="3">
      <w:start w:val="0"/>
      <w:numFmt w:val="bullet"/>
      <w:lvlText w:val="•"/>
      <w:lvlJc w:val="left"/>
      <w:pPr>
        <w:ind w:left="907" w:hanging="199"/>
      </w:pPr>
      <w:rPr>
        <w:rFonts w:hint="default"/>
        <w:lang w:val="en-US" w:eastAsia="en-US" w:bidi="ar-SA"/>
      </w:rPr>
    </w:lvl>
    <w:lvl w:ilvl="4">
      <w:start w:val="0"/>
      <w:numFmt w:val="bullet"/>
      <w:lvlText w:val="•"/>
      <w:lvlJc w:val="left"/>
      <w:pPr>
        <w:ind w:left="1203" w:hanging="199"/>
      </w:pPr>
      <w:rPr>
        <w:rFonts w:hint="default"/>
        <w:lang w:val="en-US" w:eastAsia="en-US" w:bidi="ar-SA"/>
      </w:rPr>
    </w:lvl>
    <w:lvl w:ilvl="5">
      <w:start w:val="0"/>
      <w:numFmt w:val="bullet"/>
      <w:lvlText w:val="•"/>
      <w:lvlJc w:val="left"/>
      <w:pPr>
        <w:ind w:left="1499" w:hanging="199"/>
      </w:pPr>
      <w:rPr>
        <w:rFonts w:hint="default"/>
        <w:lang w:val="en-US" w:eastAsia="en-US" w:bidi="ar-SA"/>
      </w:rPr>
    </w:lvl>
    <w:lvl w:ilvl="6">
      <w:start w:val="0"/>
      <w:numFmt w:val="bullet"/>
      <w:lvlText w:val="•"/>
      <w:lvlJc w:val="left"/>
      <w:pPr>
        <w:ind w:left="1795" w:hanging="199"/>
      </w:pPr>
      <w:rPr>
        <w:rFonts w:hint="default"/>
        <w:lang w:val="en-US" w:eastAsia="en-US" w:bidi="ar-SA"/>
      </w:rPr>
    </w:lvl>
    <w:lvl w:ilvl="7">
      <w:start w:val="0"/>
      <w:numFmt w:val="bullet"/>
      <w:lvlText w:val="•"/>
      <w:lvlJc w:val="left"/>
      <w:pPr>
        <w:ind w:left="2091" w:hanging="199"/>
      </w:pPr>
      <w:rPr>
        <w:rFonts w:hint="default"/>
        <w:lang w:val="en-US" w:eastAsia="en-US" w:bidi="ar-SA"/>
      </w:rPr>
    </w:lvl>
    <w:lvl w:ilvl="8">
      <w:start w:val="0"/>
      <w:numFmt w:val="bullet"/>
      <w:lvlText w:val="•"/>
      <w:lvlJc w:val="left"/>
      <w:pPr>
        <w:ind w:left="2387" w:hanging="199"/>
      </w:pPr>
      <w:rPr>
        <w:rFonts w:hint="default"/>
        <w:lang w:val="en-US" w:eastAsia="en-US" w:bidi="ar-SA"/>
      </w:rPr>
    </w:lvl>
  </w:abstractNum>
  <w:abstractNum w:abstractNumId="322">
    <w:multiLevelType w:val="hybridMultilevel"/>
    <w:lvl w:ilvl="0">
      <w:start w:val="2"/>
      <w:numFmt w:val="lowerRoman"/>
      <w:lvlText w:val="%1)"/>
      <w:lvlJc w:val="left"/>
      <w:pPr>
        <w:ind w:left="29" w:hanging="502"/>
        <w:jc w:val="right"/>
      </w:pPr>
      <w:rPr>
        <w:rFonts w:hint="default"/>
        <w:spacing w:val="-1"/>
        <w:w w:val="100"/>
        <w:lang w:val="en-US" w:eastAsia="en-US" w:bidi="ar-SA"/>
      </w:rPr>
    </w:lvl>
    <w:lvl w:ilvl="1">
      <w:start w:val="0"/>
      <w:numFmt w:val="bullet"/>
      <w:lvlText w:val="•"/>
      <w:lvlJc w:val="left"/>
      <w:pPr>
        <w:ind w:left="315" w:hanging="502"/>
      </w:pPr>
      <w:rPr>
        <w:rFonts w:hint="default"/>
        <w:lang w:val="en-US" w:eastAsia="en-US" w:bidi="ar-SA"/>
      </w:rPr>
    </w:lvl>
    <w:lvl w:ilvl="2">
      <w:start w:val="0"/>
      <w:numFmt w:val="bullet"/>
      <w:lvlText w:val="•"/>
      <w:lvlJc w:val="left"/>
      <w:pPr>
        <w:ind w:left="611" w:hanging="502"/>
      </w:pPr>
      <w:rPr>
        <w:rFonts w:hint="default"/>
        <w:lang w:val="en-US" w:eastAsia="en-US" w:bidi="ar-SA"/>
      </w:rPr>
    </w:lvl>
    <w:lvl w:ilvl="3">
      <w:start w:val="0"/>
      <w:numFmt w:val="bullet"/>
      <w:lvlText w:val="•"/>
      <w:lvlJc w:val="left"/>
      <w:pPr>
        <w:ind w:left="907" w:hanging="502"/>
      </w:pPr>
      <w:rPr>
        <w:rFonts w:hint="default"/>
        <w:lang w:val="en-US" w:eastAsia="en-US" w:bidi="ar-SA"/>
      </w:rPr>
    </w:lvl>
    <w:lvl w:ilvl="4">
      <w:start w:val="0"/>
      <w:numFmt w:val="bullet"/>
      <w:lvlText w:val="•"/>
      <w:lvlJc w:val="left"/>
      <w:pPr>
        <w:ind w:left="1203" w:hanging="502"/>
      </w:pPr>
      <w:rPr>
        <w:rFonts w:hint="default"/>
        <w:lang w:val="en-US" w:eastAsia="en-US" w:bidi="ar-SA"/>
      </w:rPr>
    </w:lvl>
    <w:lvl w:ilvl="5">
      <w:start w:val="0"/>
      <w:numFmt w:val="bullet"/>
      <w:lvlText w:val="•"/>
      <w:lvlJc w:val="left"/>
      <w:pPr>
        <w:ind w:left="1499" w:hanging="502"/>
      </w:pPr>
      <w:rPr>
        <w:rFonts w:hint="default"/>
        <w:lang w:val="en-US" w:eastAsia="en-US" w:bidi="ar-SA"/>
      </w:rPr>
    </w:lvl>
    <w:lvl w:ilvl="6">
      <w:start w:val="0"/>
      <w:numFmt w:val="bullet"/>
      <w:lvlText w:val="•"/>
      <w:lvlJc w:val="left"/>
      <w:pPr>
        <w:ind w:left="1795" w:hanging="502"/>
      </w:pPr>
      <w:rPr>
        <w:rFonts w:hint="default"/>
        <w:lang w:val="en-US" w:eastAsia="en-US" w:bidi="ar-SA"/>
      </w:rPr>
    </w:lvl>
    <w:lvl w:ilvl="7">
      <w:start w:val="0"/>
      <w:numFmt w:val="bullet"/>
      <w:lvlText w:val="•"/>
      <w:lvlJc w:val="left"/>
      <w:pPr>
        <w:ind w:left="2091" w:hanging="502"/>
      </w:pPr>
      <w:rPr>
        <w:rFonts w:hint="default"/>
        <w:lang w:val="en-US" w:eastAsia="en-US" w:bidi="ar-SA"/>
      </w:rPr>
    </w:lvl>
    <w:lvl w:ilvl="8">
      <w:start w:val="0"/>
      <w:numFmt w:val="bullet"/>
      <w:lvlText w:val="•"/>
      <w:lvlJc w:val="left"/>
      <w:pPr>
        <w:ind w:left="2387" w:hanging="502"/>
      </w:pPr>
      <w:rPr>
        <w:rFonts w:hint="default"/>
        <w:lang w:val="en-US" w:eastAsia="en-US" w:bidi="ar-SA"/>
      </w:rPr>
    </w:lvl>
  </w:abstractNum>
  <w:abstractNum w:abstractNumId="321">
    <w:multiLevelType w:val="hybridMultilevel"/>
    <w:lvl w:ilvl="0">
      <w:start w:val="1"/>
      <w:numFmt w:val="lowerRoman"/>
      <w:lvlText w:val="%1)"/>
      <w:lvlJc w:val="left"/>
      <w:pPr>
        <w:ind w:left="107" w:hanging="145"/>
        <w:jc w:val="left"/>
      </w:pPr>
      <w:rPr>
        <w:rFonts w:hint="default"/>
        <w:spacing w:val="0"/>
        <w:w w:val="86"/>
        <w:lang w:val="en-US" w:eastAsia="en-US" w:bidi="ar-SA"/>
      </w:rPr>
    </w:lvl>
    <w:lvl w:ilvl="1">
      <w:start w:val="0"/>
      <w:numFmt w:val="bullet"/>
      <w:lvlText w:val="•"/>
      <w:lvlJc w:val="left"/>
      <w:pPr>
        <w:ind w:left="377" w:hanging="145"/>
      </w:pPr>
      <w:rPr>
        <w:rFonts w:hint="default"/>
        <w:lang w:val="en-US" w:eastAsia="en-US" w:bidi="ar-SA"/>
      </w:rPr>
    </w:lvl>
    <w:lvl w:ilvl="2">
      <w:start w:val="0"/>
      <w:numFmt w:val="bullet"/>
      <w:lvlText w:val="•"/>
      <w:lvlJc w:val="left"/>
      <w:pPr>
        <w:ind w:left="654" w:hanging="145"/>
      </w:pPr>
      <w:rPr>
        <w:rFonts w:hint="default"/>
        <w:lang w:val="en-US" w:eastAsia="en-US" w:bidi="ar-SA"/>
      </w:rPr>
    </w:lvl>
    <w:lvl w:ilvl="3">
      <w:start w:val="0"/>
      <w:numFmt w:val="bullet"/>
      <w:lvlText w:val="•"/>
      <w:lvlJc w:val="left"/>
      <w:pPr>
        <w:ind w:left="931" w:hanging="145"/>
      </w:pPr>
      <w:rPr>
        <w:rFonts w:hint="default"/>
        <w:lang w:val="en-US" w:eastAsia="en-US" w:bidi="ar-SA"/>
      </w:rPr>
    </w:lvl>
    <w:lvl w:ilvl="4">
      <w:start w:val="0"/>
      <w:numFmt w:val="bullet"/>
      <w:lvlText w:val="•"/>
      <w:lvlJc w:val="left"/>
      <w:pPr>
        <w:ind w:left="1208" w:hanging="145"/>
      </w:pPr>
      <w:rPr>
        <w:rFonts w:hint="default"/>
        <w:lang w:val="en-US" w:eastAsia="en-US" w:bidi="ar-SA"/>
      </w:rPr>
    </w:lvl>
    <w:lvl w:ilvl="5">
      <w:start w:val="0"/>
      <w:numFmt w:val="bullet"/>
      <w:lvlText w:val="•"/>
      <w:lvlJc w:val="left"/>
      <w:pPr>
        <w:ind w:left="1485" w:hanging="145"/>
      </w:pPr>
      <w:rPr>
        <w:rFonts w:hint="default"/>
        <w:lang w:val="en-US" w:eastAsia="en-US" w:bidi="ar-SA"/>
      </w:rPr>
    </w:lvl>
    <w:lvl w:ilvl="6">
      <w:start w:val="0"/>
      <w:numFmt w:val="bullet"/>
      <w:lvlText w:val="•"/>
      <w:lvlJc w:val="left"/>
      <w:pPr>
        <w:ind w:left="1762" w:hanging="145"/>
      </w:pPr>
      <w:rPr>
        <w:rFonts w:hint="default"/>
        <w:lang w:val="en-US" w:eastAsia="en-US" w:bidi="ar-SA"/>
      </w:rPr>
    </w:lvl>
    <w:lvl w:ilvl="7">
      <w:start w:val="0"/>
      <w:numFmt w:val="bullet"/>
      <w:lvlText w:val="•"/>
      <w:lvlJc w:val="left"/>
      <w:pPr>
        <w:ind w:left="2039" w:hanging="145"/>
      </w:pPr>
      <w:rPr>
        <w:rFonts w:hint="default"/>
        <w:lang w:val="en-US" w:eastAsia="en-US" w:bidi="ar-SA"/>
      </w:rPr>
    </w:lvl>
    <w:lvl w:ilvl="8">
      <w:start w:val="0"/>
      <w:numFmt w:val="bullet"/>
      <w:lvlText w:val="•"/>
      <w:lvlJc w:val="left"/>
      <w:pPr>
        <w:ind w:left="2316" w:hanging="145"/>
      </w:pPr>
      <w:rPr>
        <w:rFonts w:hint="default"/>
        <w:lang w:val="en-US" w:eastAsia="en-US" w:bidi="ar-SA"/>
      </w:rPr>
    </w:lvl>
  </w:abstractNum>
  <w:abstractNum w:abstractNumId="320">
    <w:multiLevelType w:val="hybridMultilevel"/>
    <w:lvl w:ilvl="0">
      <w:start w:val="1"/>
      <w:numFmt w:val="lowerRoman"/>
      <w:lvlText w:val="%1."/>
      <w:lvlJc w:val="left"/>
      <w:pPr>
        <w:ind w:left="1481" w:hanging="737"/>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50" w:hanging="737"/>
      </w:pPr>
      <w:rPr>
        <w:rFonts w:hint="default"/>
        <w:lang w:val="en-US" w:eastAsia="en-US" w:bidi="ar-SA"/>
      </w:rPr>
    </w:lvl>
    <w:lvl w:ilvl="2">
      <w:start w:val="0"/>
      <w:numFmt w:val="bullet"/>
      <w:lvlText w:val="•"/>
      <w:lvlJc w:val="left"/>
      <w:pPr>
        <w:ind w:left="3421" w:hanging="737"/>
      </w:pPr>
      <w:rPr>
        <w:rFonts w:hint="default"/>
        <w:lang w:val="en-US" w:eastAsia="en-US" w:bidi="ar-SA"/>
      </w:rPr>
    </w:lvl>
    <w:lvl w:ilvl="3">
      <w:start w:val="0"/>
      <w:numFmt w:val="bullet"/>
      <w:lvlText w:val="•"/>
      <w:lvlJc w:val="left"/>
      <w:pPr>
        <w:ind w:left="4391" w:hanging="737"/>
      </w:pPr>
      <w:rPr>
        <w:rFonts w:hint="default"/>
        <w:lang w:val="en-US" w:eastAsia="en-US" w:bidi="ar-SA"/>
      </w:rPr>
    </w:lvl>
    <w:lvl w:ilvl="4">
      <w:start w:val="0"/>
      <w:numFmt w:val="bullet"/>
      <w:lvlText w:val="•"/>
      <w:lvlJc w:val="left"/>
      <w:pPr>
        <w:ind w:left="5362" w:hanging="737"/>
      </w:pPr>
      <w:rPr>
        <w:rFonts w:hint="default"/>
        <w:lang w:val="en-US" w:eastAsia="en-US" w:bidi="ar-SA"/>
      </w:rPr>
    </w:lvl>
    <w:lvl w:ilvl="5">
      <w:start w:val="0"/>
      <w:numFmt w:val="bullet"/>
      <w:lvlText w:val="•"/>
      <w:lvlJc w:val="left"/>
      <w:pPr>
        <w:ind w:left="6333" w:hanging="737"/>
      </w:pPr>
      <w:rPr>
        <w:rFonts w:hint="default"/>
        <w:lang w:val="en-US" w:eastAsia="en-US" w:bidi="ar-SA"/>
      </w:rPr>
    </w:lvl>
    <w:lvl w:ilvl="6">
      <w:start w:val="0"/>
      <w:numFmt w:val="bullet"/>
      <w:lvlText w:val="•"/>
      <w:lvlJc w:val="left"/>
      <w:pPr>
        <w:ind w:left="7303" w:hanging="737"/>
      </w:pPr>
      <w:rPr>
        <w:rFonts w:hint="default"/>
        <w:lang w:val="en-US" w:eastAsia="en-US" w:bidi="ar-SA"/>
      </w:rPr>
    </w:lvl>
    <w:lvl w:ilvl="7">
      <w:start w:val="0"/>
      <w:numFmt w:val="bullet"/>
      <w:lvlText w:val="•"/>
      <w:lvlJc w:val="left"/>
      <w:pPr>
        <w:ind w:left="8274" w:hanging="737"/>
      </w:pPr>
      <w:rPr>
        <w:rFonts w:hint="default"/>
        <w:lang w:val="en-US" w:eastAsia="en-US" w:bidi="ar-SA"/>
      </w:rPr>
    </w:lvl>
    <w:lvl w:ilvl="8">
      <w:start w:val="0"/>
      <w:numFmt w:val="bullet"/>
      <w:lvlText w:val="•"/>
      <w:lvlJc w:val="left"/>
      <w:pPr>
        <w:ind w:left="9245" w:hanging="737"/>
      </w:pPr>
      <w:rPr>
        <w:rFonts w:hint="default"/>
        <w:lang w:val="en-US" w:eastAsia="en-US" w:bidi="ar-SA"/>
      </w:rPr>
    </w:lvl>
  </w:abstractNum>
  <w:abstractNum w:abstractNumId="319">
    <w:multiLevelType w:val="hybridMultilevel"/>
    <w:lvl w:ilvl="0">
      <w:start w:val="1"/>
      <w:numFmt w:val="decimal"/>
      <w:lvlText w:val="%1."/>
      <w:lvlJc w:val="left"/>
      <w:pPr>
        <w:ind w:left="1814" w:hanging="322"/>
        <w:jc w:val="left"/>
      </w:pPr>
      <w:rPr>
        <w:rFonts w:hint="default" w:ascii="Bookman Old Style" w:hAnsi="Bookman Old Style" w:eastAsia="Bookman Old Style" w:cs="Bookman Old Style"/>
        <w:b/>
        <w:bCs/>
        <w:i w:val="0"/>
        <w:iCs w:val="0"/>
        <w:spacing w:val="0"/>
        <w:w w:val="100"/>
        <w:sz w:val="24"/>
        <w:szCs w:val="24"/>
        <w:lang w:val="en-US" w:eastAsia="en-US" w:bidi="ar-SA"/>
      </w:rPr>
    </w:lvl>
    <w:lvl w:ilvl="1">
      <w:start w:val="1"/>
      <w:numFmt w:val="lowerRoman"/>
      <w:lvlText w:val="(%2)"/>
      <w:lvlJc w:val="left"/>
      <w:pPr>
        <w:ind w:left="1625" w:hanging="588"/>
        <w:jc w:val="left"/>
      </w:pPr>
      <w:rPr>
        <w:rFonts w:hint="default"/>
        <w:spacing w:val="0"/>
        <w:w w:val="92"/>
        <w:lang w:val="en-US" w:eastAsia="en-US" w:bidi="ar-SA"/>
      </w:rPr>
    </w:lvl>
    <w:lvl w:ilvl="2">
      <w:start w:val="0"/>
      <w:numFmt w:val="bullet"/>
      <w:lvlText w:val="•"/>
      <w:lvlJc w:val="left"/>
      <w:pPr>
        <w:ind w:left="1820" w:hanging="588"/>
      </w:pPr>
      <w:rPr>
        <w:rFonts w:hint="default"/>
        <w:lang w:val="en-US" w:eastAsia="en-US" w:bidi="ar-SA"/>
      </w:rPr>
    </w:lvl>
    <w:lvl w:ilvl="3">
      <w:start w:val="0"/>
      <w:numFmt w:val="bullet"/>
      <w:lvlText w:val="•"/>
      <w:lvlJc w:val="left"/>
      <w:pPr>
        <w:ind w:left="2990" w:hanging="588"/>
      </w:pPr>
      <w:rPr>
        <w:rFonts w:hint="default"/>
        <w:lang w:val="en-US" w:eastAsia="en-US" w:bidi="ar-SA"/>
      </w:rPr>
    </w:lvl>
    <w:lvl w:ilvl="4">
      <w:start w:val="0"/>
      <w:numFmt w:val="bullet"/>
      <w:lvlText w:val="•"/>
      <w:lvlJc w:val="left"/>
      <w:pPr>
        <w:ind w:left="4161" w:hanging="588"/>
      </w:pPr>
      <w:rPr>
        <w:rFonts w:hint="default"/>
        <w:lang w:val="en-US" w:eastAsia="en-US" w:bidi="ar-SA"/>
      </w:rPr>
    </w:lvl>
    <w:lvl w:ilvl="5">
      <w:start w:val="0"/>
      <w:numFmt w:val="bullet"/>
      <w:lvlText w:val="•"/>
      <w:lvlJc w:val="left"/>
      <w:pPr>
        <w:ind w:left="5332" w:hanging="588"/>
      </w:pPr>
      <w:rPr>
        <w:rFonts w:hint="default"/>
        <w:lang w:val="en-US" w:eastAsia="en-US" w:bidi="ar-SA"/>
      </w:rPr>
    </w:lvl>
    <w:lvl w:ilvl="6">
      <w:start w:val="0"/>
      <w:numFmt w:val="bullet"/>
      <w:lvlText w:val="•"/>
      <w:lvlJc w:val="left"/>
      <w:pPr>
        <w:ind w:left="6503" w:hanging="588"/>
      </w:pPr>
      <w:rPr>
        <w:rFonts w:hint="default"/>
        <w:lang w:val="en-US" w:eastAsia="en-US" w:bidi="ar-SA"/>
      </w:rPr>
    </w:lvl>
    <w:lvl w:ilvl="7">
      <w:start w:val="0"/>
      <w:numFmt w:val="bullet"/>
      <w:lvlText w:val="•"/>
      <w:lvlJc w:val="left"/>
      <w:pPr>
        <w:ind w:left="7674" w:hanging="588"/>
      </w:pPr>
      <w:rPr>
        <w:rFonts w:hint="default"/>
        <w:lang w:val="en-US" w:eastAsia="en-US" w:bidi="ar-SA"/>
      </w:rPr>
    </w:lvl>
    <w:lvl w:ilvl="8">
      <w:start w:val="0"/>
      <w:numFmt w:val="bullet"/>
      <w:lvlText w:val="•"/>
      <w:lvlJc w:val="left"/>
      <w:pPr>
        <w:ind w:left="8844" w:hanging="588"/>
      </w:pPr>
      <w:rPr>
        <w:rFonts w:hint="default"/>
        <w:lang w:val="en-US" w:eastAsia="en-US" w:bidi="ar-SA"/>
      </w:rPr>
    </w:lvl>
  </w:abstractNum>
  <w:abstractNum w:abstractNumId="318">
    <w:multiLevelType w:val="hybridMultilevel"/>
    <w:lvl w:ilvl="0">
      <w:start w:val="1"/>
      <w:numFmt w:val="decimal"/>
      <w:lvlText w:val="(%1)"/>
      <w:lvlJc w:val="left"/>
      <w:pPr>
        <w:ind w:left="1853" w:hanging="322"/>
        <w:jc w:val="right"/>
      </w:pPr>
      <w:rPr>
        <w:rFonts w:hint="default" w:ascii="Bookman Old Style" w:hAnsi="Bookman Old Style" w:eastAsia="Bookman Old Style" w:cs="Bookman Old Style"/>
        <w:b w:val="0"/>
        <w:bCs w:val="0"/>
        <w:i w:val="0"/>
        <w:iCs w:val="0"/>
        <w:spacing w:val="9"/>
        <w:w w:val="91"/>
        <w:sz w:val="22"/>
        <w:szCs w:val="22"/>
        <w:lang w:val="en-US" w:eastAsia="en-US" w:bidi="ar-SA"/>
      </w:rPr>
    </w:lvl>
    <w:lvl w:ilvl="1">
      <w:start w:val="0"/>
      <w:numFmt w:val="bullet"/>
      <w:lvlText w:val="•"/>
      <w:lvlJc w:val="left"/>
      <w:pPr>
        <w:ind w:left="2792" w:hanging="322"/>
      </w:pPr>
      <w:rPr>
        <w:rFonts w:hint="default"/>
        <w:lang w:val="en-US" w:eastAsia="en-US" w:bidi="ar-SA"/>
      </w:rPr>
    </w:lvl>
    <w:lvl w:ilvl="2">
      <w:start w:val="0"/>
      <w:numFmt w:val="bullet"/>
      <w:lvlText w:val="•"/>
      <w:lvlJc w:val="left"/>
      <w:pPr>
        <w:ind w:left="3725" w:hanging="322"/>
      </w:pPr>
      <w:rPr>
        <w:rFonts w:hint="default"/>
        <w:lang w:val="en-US" w:eastAsia="en-US" w:bidi="ar-SA"/>
      </w:rPr>
    </w:lvl>
    <w:lvl w:ilvl="3">
      <w:start w:val="0"/>
      <w:numFmt w:val="bullet"/>
      <w:lvlText w:val="•"/>
      <w:lvlJc w:val="left"/>
      <w:pPr>
        <w:ind w:left="4657" w:hanging="322"/>
      </w:pPr>
      <w:rPr>
        <w:rFonts w:hint="default"/>
        <w:lang w:val="en-US" w:eastAsia="en-US" w:bidi="ar-SA"/>
      </w:rPr>
    </w:lvl>
    <w:lvl w:ilvl="4">
      <w:start w:val="0"/>
      <w:numFmt w:val="bullet"/>
      <w:lvlText w:val="•"/>
      <w:lvlJc w:val="left"/>
      <w:pPr>
        <w:ind w:left="5590" w:hanging="322"/>
      </w:pPr>
      <w:rPr>
        <w:rFonts w:hint="default"/>
        <w:lang w:val="en-US" w:eastAsia="en-US" w:bidi="ar-SA"/>
      </w:rPr>
    </w:lvl>
    <w:lvl w:ilvl="5">
      <w:start w:val="0"/>
      <w:numFmt w:val="bullet"/>
      <w:lvlText w:val="•"/>
      <w:lvlJc w:val="left"/>
      <w:pPr>
        <w:ind w:left="6523" w:hanging="322"/>
      </w:pPr>
      <w:rPr>
        <w:rFonts w:hint="default"/>
        <w:lang w:val="en-US" w:eastAsia="en-US" w:bidi="ar-SA"/>
      </w:rPr>
    </w:lvl>
    <w:lvl w:ilvl="6">
      <w:start w:val="0"/>
      <w:numFmt w:val="bullet"/>
      <w:lvlText w:val="•"/>
      <w:lvlJc w:val="left"/>
      <w:pPr>
        <w:ind w:left="7455" w:hanging="322"/>
      </w:pPr>
      <w:rPr>
        <w:rFonts w:hint="default"/>
        <w:lang w:val="en-US" w:eastAsia="en-US" w:bidi="ar-SA"/>
      </w:rPr>
    </w:lvl>
    <w:lvl w:ilvl="7">
      <w:start w:val="0"/>
      <w:numFmt w:val="bullet"/>
      <w:lvlText w:val="•"/>
      <w:lvlJc w:val="left"/>
      <w:pPr>
        <w:ind w:left="8388" w:hanging="322"/>
      </w:pPr>
      <w:rPr>
        <w:rFonts w:hint="default"/>
        <w:lang w:val="en-US" w:eastAsia="en-US" w:bidi="ar-SA"/>
      </w:rPr>
    </w:lvl>
    <w:lvl w:ilvl="8">
      <w:start w:val="0"/>
      <w:numFmt w:val="bullet"/>
      <w:lvlText w:val="•"/>
      <w:lvlJc w:val="left"/>
      <w:pPr>
        <w:ind w:left="9321" w:hanging="322"/>
      </w:pPr>
      <w:rPr>
        <w:rFonts w:hint="default"/>
        <w:lang w:val="en-US" w:eastAsia="en-US" w:bidi="ar-SA"/>
      </w:rPr>
    </w:lvl>
  </w:abstractNum>
  <w:abstractNum w:abstractNumId="317">
    <w:multiLevelType w:val="hybridMultilevel"/>
    <w:lvl w:ilvl="0">
      <w:start w:val="1"/>
      <w:numFmt w:val="lowerRoman"/>
      <w:lvlText w:val="%1."/>
      <w:lvlJc w:val="left"/>
      <w:pPr>
        <w:ind w:left="1853" w:hanging="348"/>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92" w:hanging="348"/>
      </w:pPr>
      <w:rPr>
        <w:rFonts w:hint="default"/>
        <w:lang w:val="en-US" w:eastAsia="en-US" w:bidi="ar-SA"/>
      </w:rPr>
    </w:lvl>
    <w:lvl w:ilvl="2">
      <w:start w:val="0"/>
      <w:numFmt w:val="bullet"/>
      <w:lvlText w:val="•"/>
      <w:lvlJc w:val="left"/>
      <w:pPr>
        <w:ind w:left="3725" w:hanging="348"/>
      </w:pPr>
      <w:rPr>
        <w:rFonts w:hint="default"/>
        <w:lang w:val="en-US" w:eastAsia="en-US" w:bidi="ar-SA"/>
      </w:rPr>
    </w:lvl>
    <w:lvl w:ilvl="3">
      <w:start w:val="0"/>
      <w:numFmt w:val="bullet"/>
      <w:lvlText w:val="•"/>
      <w:lvlJc w:val="left"/>
      <w:pPr>
        <w:ind w:left="4657" w:hanging="348"/>
      </w:pPr>
      <w:rPr>
        <w:rFonts w:hint="default"/>
        <w:lang w:val="en-US" w:eastAsia="en-US" w:bidi="ar-SA"/>
      </w:rPr>
    </w:lvl>
    <w:lvl w:ilvl="4">
      <w:start w:val="0"/>
      <w:numFmt w:val="bullet"/>
      <w:lvlText w:val="•"/>
      <w:lvlJc w:val="left"/>
      <w:pPr>
        <w:ind w:left="5590" w:hanging="348"/>
      </w:pPr>
      <w:rPr>
        <w:rFonts w:hint="default"/>
        <w:lang w:val="en-US" w:eastAsia="en-US" w:bidi="ar-SA"/>
      </w:rPr>
    </w:lvl>
    <w:lvl w:ilvl="5">
      <w:start w:val="0"/>
      <w:numFmt w:val="bullet"/>
      <w:lvlText w:val="•"/>
      <w:lvlJc w:val="left"/>
      <w:pPr>
        <w:ind w:left="6523" w:hanging="348"/>
      </w:pPr>
      <w:rPr>
        <w:rFonts w:hint="default"/>
        <w:lang w:val="en-US" w:eastAsia="en-US" w:bidi="ar-SA"/>
      </w:rPr>
    </w:lvl>
    <w:lvl w:ilvl="6">
      <w:start w:val="0"/>
      <w:numFmt w:val="bullet"/>
      <w:lvlText w:val="•"/>
      <w:lvlJc w:val="left"/>
      <w:pPr>
        <w:ind w:left="7455" w:hanging="348"/>
      </w:pPr>
      <w:rPr>
        <w:rFonts w:hint="default"/>
        <w:lang w:val="en-US" w:eastAsia="en-US" w:bidi="ar-SA"/>
      </w:rPr>
    </w:lvl>
    <w:lvl w:ilvl="7">
      <w:start w:val="0"/>
      <w:numFmt w:val="bullet"/>
      <w:lvlText w:val="•"/>
      <w:lvlJc w:val="left"/>
      <w:pPr>
        <w:ind w:left="8388" w:hanging="348"/>
      </w:pPr>
      <w:rPr>
        <w:rFonts w:hint="default"/>
        <w:lang w:val="en-US" w:eastAsia="en-US" w:bidi="ar-SA"/>
      </w:rPr>
    </w:lvl>
    <w:lvl w:ilvl="8">
      <w:start w:val="0"/>
      <w:numFmt w:val="bullet"/>
      <w:lvlText w:val="•"/>
      <w:lvlJc w:val="left"/>
      <w:pPr>
        <w:ind w:left="9321" w:hanging="348"/>
      </w:pPr>
      <w:rPr>
        <w:rFonts w:hint="default"/>
        <w:lang w:val="en-US" w:eastAsia="en-US" w:bidi="ar-SA"/>
      </w:rPr>
    </w:lvl>
  </w:abstractNum>
  <w:abstractNum w:abstractNumId="316">
    <w:multiLevelType w:val="hybridMultilevel"/>
    <w:lvl w:ilvl="0">
      <w:start w:val="1"/>
      <w:numFmt w:val="lowerLetter"/>
      <w:lvlText w:val="%1."/>
      <w:lvlJc w:val="left"/>
      <w:pPr>
        <w:ind w:left="1853" w:hanging="36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2792" w:hanging="360"/>
      </w:pPr>
      <w:rPr>
        <w:rFonts w:hint="default"/>
        <w:lang w:val="en-US" w:eastAsia="en-US" w:bidi="ar-SA"/>
      </w:rPr>
    </w:lvl>
    <w:lvl w:ilvl="2">
      <w:start w:val="0"/>
      <w:numFmt w:val="bullet"/>
      <w:lvlText w:val="•"/>
      <w:lvlJc w:val="left"/>
      <w:pPr>
        <w:ind w:left="3725" w:hanging="360"/>
      </w:pPr>
      <w:rPr>
        <w:rFonts w:hint="default"/>
        <w:lang w:val="en-US" w:eastAsia="en-US" w:bidi="ar-SA"/>
      </w:rPr>
    </w:lvl>
    <w:lvl w:ilvl="3">
      <w:start w:val="0"/>
      <w:numFmt w:val="bullet"/>
      <w:lvlText w:val="•"/>
      <w:lvlJc w:val="left"/>
      <w:pPr>
        <w:ind w:left="4657" w:hanging="360"/>
      </w:pPr>
      <w:rPr>
        <w:rFonts w:hint="default"/>
        <w:lang w:val="en-US" w:eastAsia="en-US" w:bidi="ar-SA"/>
      </w:rPr>
    </w:lvl>
    <w:lvl w:ilvl="4">
      <w:start w:val="0"/>
      <w:numFmt w:val="bullet"/>
      <w:lvlText w:val="•"/>
      <w:lvlJc w:val="left"/>
      <w:pPr>
        <w:ind w:left="5590" w:hanging="360"/>
      </w:pPr>
      <w:rPr>
        <w:rFonts w:hint="default"/>
        <w:lang w:val="en-US" w:eastAsia="en-US" w:bidi="ar-SA"/>
      </w:rPr>
    </w:lvl>
    <w:lvl w:ilvl="5">
      <w:start w:val="0"/>
      <w:numFmt w:val="bullet"/>
      <w:lvlText w:val="•"/>
      <w:lvlJc w:val="left"/>
      <w:pPr>
        <w:ind w:left="6523" w:hanging="360"/>
      </w:pPr>
      <w:rPr>
        <w:rFonts w:hint="default"/>
        <w:lang w:val="en-US" w:eastAsia="en-US" w:bidi="ar-SA"/>
      </w:rPr>
    </w:lvl>
    <w:lvl w:ilvl="6">
      <w:start w:val="0"/>
      <w:numFmt w:val="bullet"/>
      <w:lvlText w:val="•"/>
      <w:lvlJc w:val="left"/>
      <w:pPr>
        <w:ind w:left="7455"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321" w:hanging="360"/>
      </w:pPr>
      <w:rPr>
        <w:rFonts w:hint="default"/>
        <w:lang w:val="en-US" w:eastAsia="en-US" w:bidi="ar-SA"/>
      </w:rPr>
    </w:lvl>
  </w:abstractNum>
  <w:abstractNum w:abstractNumId="315">
    <w:multiLevelType w:val="hybridMultilevel"/>
    <w:lvl w:ilvl="0">
      <w:start w:val="1"/>
      <w:numFmt w:val="upperLetter"/>
      <w:lvlText w:val="(%1)"/>
      <w:lvlJc w:val="left"/>
      <w:pPr>
        <w:ind w:left="1493" w:hanging="432"/>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2"/>
      <w:numFmt w:val="lowerRoman"/>
      <w:lvlText w:val="(%2)"/>
      <w:lvlJc w:val="left"/>
      <w:pPr>
        <w:ind w:left="1782" w:hanging="289"/>
        <w:jc w:val="left"/>
      </w:pPr>
      <w:rPr>
        <w:rFonts w:hint="default" w:ascii="Bookman Old Style" w:hAnsi="Bookman Old Style" w:eastAsia="Bookman Old Style" w:cs="Bookman Old Style"/>
        <w:b w:val="0"/>
        <w:bCs w:val="0"/>
        <w:i w:val="0"/>
        <w:iCs w:val="0"/>
        <w:spacing w:val="-1"/>
        <w:w w:val="100"/>
        <w:sz w:val="22"/>
        <w:szCs w:val="22"/>
        <w:lang w:val="en-US" w:eastAsia="en-US" w:bidi="ar-SA"/>
      </w:rPr>
    </w:lvl>
    <w:lvl w:ilvl="2">
      <w:start w:val="0"/>
      <w:numFmt w:val="bullet"/>
      <w:lvlText w:val="•"/>
      <w:lvlJc w:val="left"/>
      <w:pPr>
        <w:ind w:left="2825" w:hanging="289"/>
      </w:pPr>
      <w:rPr>
        <w:rFonts w:hint="default"/>
        <w:lang w:val="en-US" w:eastAsia="en-US" w:bidi="ar-SA"/>
      </w:rPr>
    </w:lvl>
    <w:lvl w:ilvl="3">
      <w:start w:val="0"/>
      <w:numFmt w:val="bullet"/>
      <w:lvlText w:val="•"/>
      <w:lvlJc w:val="left"/>
      <w:pPr>
        <w:ind w:left="3870" w:hanging="289"/>
      </w:pPr>
      <w:rPr>
        <w:rFonts w:hint="default"/>
        <w:lang w:val="en-US" w:eastAsia="en-US" w:bidi="ar-SA"/>
      </w:rPr>
    </w:lvl>
    <w:lvl w:ilvl="4">
      <w:start w:val="0"/>
      <w:numFmt w:val="bullet"/>
      <w:lvlText w:val="•"/>
      <w:lvlJc w:val="left"/>
      <w:pPr>
        <w:ind w:left="4915" w:hanging="289"/>
      </w:pPr>
      <w:rPr>
        <w:rFonts w:hint="default"/>
        <w:lang w:val="en-US" w:eastAsia="en-US" w:bidi="ar-SA"/>
      </w:rPr>
    </w:lvl>
    <w:lvl w:ilvl="5">
      <w:start w:val="0"/>
      <w:numFmt w:val="bullet"/>
      <w:lvlText w:val="•"/>
      <w:lvlJc w:val="left"/>
      <w:pPr>
        <w:ind w:left="5960" w:hanging="289"/>
      </w:pPr>
      <w:rPr>
        <w:rFonts w:hint="default"/>
        <w:lang w:val="en-US" w:eastAsia="en-US" w:bidi="ar-SA"/>
      </w:rPr>
    </w:lvl>
    <w:lvl w:ilvl="6">
      <w:start w:val="0"/>
      <w:numFmt w:val="bullet"/>
      <w:lvlText w:val="•"/>
      <w:lvlJc w:val="left"/>
      <w:pPr>
        <w:ind w:left="7005" w:hanging="289"/>
      </w:pPr>
      <w:rPr>
        <w:rFonts w:hint="default"/>
        <w:lang w:val="en-US" w:eastAsia="en-US" w:bidi="ar-SA"/>
      </w:rPr>
    </w:lvl>
    <w:lvl w:ilvl="7">
      <w:start w:val="0"/>
      <w:numFmt w:val="bullet"/>
      <w:lvlText w:val="•"/>
      <w:lvlJc w:val="left"/>
      <w:pPr>
        <w:ind w:left="8050" w:hanging="289"/>
      </w:pPr>
      <w:rPr>
        <w:rFonts w:hint="default"/>
        <w:lang w:val="en-US" w:eastAsia="en-US" w:bidi="ar-SA"/>
      </w:rPr>
    </w:lvl>
    <w:lvl w:ilvl="8">
      <w:start w:val="0"/>
      <w:numFmt w:val="bullet"/>
      <w:lvlText w:val="•"/>
      <w:lvlJc w:val="left"/>
      <w:pPr>
        <w:ind w:left="9096" w:hanging="289"/>
      </w:pPr>
      <w:rPr>
        <w:rFonts w:hint="default"/>
        <w:lang w:val="en-US" w:eastAsia="en-US" w:bidi="ar-SA"/>
      </w:rPr>
    </w:lvl>
  </w:abstractNum>
  <w:abstractNum w:abstractNumId="314">
    <w:multiLevelType w:val="hybridMultilevel"/>
    <w:lvl w:ilvl="0">
      <w:start w:val="1"/>
      <w:numFmt w:val="lowerRoman"/>
      <w:lvlText w:val="(%1)"/>
      <w:lvlJc w:val="left"/>
      <w:pPr>
        <w:ind w:left="2033" w:hanging="37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54" w:hanging="376"/>
      </w:pPr>
      <w:rPr>
        <w:rFonts w:hint="default"/>
        <w:lang w:val="en-US" w:eastAsia="en-US" w:bidi="ar-SA"/>
      </w:rPr>
    </w:lvl>
    <w:lvl w:ilvl="2">
      <w:start w:val="0"/>
      <w:numFmt w:val="bullet"/>
      <w:lvlText w:val="•"/>
      <w:lvlJc w:val="left"/>
      <w:pPr>
        <w:ind w:left="3869" w:hanging="376"/>
      </w:pPr>
      <w:rPr>
        <w:rFonts w:hint="default"/>
        <w:lang w:val="en-US" w:eastAsia="en-US" w:bidi="ar-SA"/>
      </w:rPr>
    </w:lvl>
    <w:lvl w:ilvl="3">
      <w:start w:val="0"/>
      <w:numFmt w:val="bullet"/>
      <w:lvlText w:val="•"/>
      <w:lvlJc w:val="left"/>
      <w:pPr>
        <w:ind w:left="4783" w:hanging="376"/>
      </w:pPr>
      <w:rPr>
        <w:rFonts w:hint="default"/>
        <w:lang w:val="en-US" w:eastAsia="en-US" w:bidi="ar-SA"/>
      </w:rPr>
    </w:lvl>
    <w:lvl w:ilvl="4">
      <w:start w:val="0"/>
      <w:numFmt w:val="bullet"/>
      <w:lvlText w:val="•"/>
      <w:lvlJc w:val="left"/>
      <w:pPr>
        <w:ind w:left="5698" w:hanging="376"/>
      </w:pPr>
      <w:rPr>
        <w:rFonts w:hint="default"/>
        <w:lang w:val="en-US" w:eastAsia="en-US" w:bidi="ar-SA"/>
      </w:rPr>
    </w:lvl>
    <w:lvl w:ilvl="5">
      <w:start w:val="0"/>
      <w:numFmt w:val="bullet"/>
      <w:lvlText w:val="•"/>
      <w:lvlJc w:val="left"/>
      <w:pPr>
        <w:ind w:left="6613" w:hanging="376"/>
      </w:pPr>
      <w:rPr>
        <w:rFonts w:hint="default"/>
        <w:lang w:val="en-US" w:eastAsia="en-US" w:bidi="ar-SA"/>
      </w:rPr>
    </w:lvl>
    <w:lvl w:ilvl="6">
      <w:start w:val="0"/>
      <w:numFmt w:val="bullet"/>
      <w:lvlText w:val="•"/>
      <w:lvlJc w:val="left"/>
      <w:pPr>
        <w:ind w:left="7527" w:hanging="376"/>
      </w:pPr>
      <w:rPr>
        <w:rFonts w:hint="default"/>
        <w:lang w:val="en-US" w:eastAsia="en-US" w:bidi="ar-SA"/>
      </w:rPr>
    </w:lvl>
    <w:lvl w:ilvl="7">
      <w:start w:val="0"/>
      <w:numFmt w:val="bullet"/>
      <w:lvlText w:val="•"/>
      <w:lvlJc w:val="left"/>
      <w:pPr>
        <w:ind w:left="8442" w:hanging="376"/>
      </w:pPr>
      <w:rPr>
        <w:rFonts w:hint="default"/>
        <w:lang w:val="en-US" w:eastAsia="en-US" w:bidi="ar-SA"/>
      </w:rPr>
    </w:lvl>
    <w:lvl w:ilvl="8">
      <w:start w:val="0"/>
      <w:numFmt w:val="bullet"/>
      <w:lvlText w:val="•"/>
      <w:lvlJc w:val="left"/>
      <w:pPr>
        <w:ind w:left="9357" w:hanging="376"/>
      </w:pPr>
      <w:rPr>
        <w:rFonts w:hint="default"/>
        <w:lang w:val="en-US" w:eastAsia="en-US" w:bidi="ar-SA"/>
      </w:rPr>
    </w:lvl>
  </w:abstractNum>
  <w:abstractNum w:abstractNumId="313">
    <w:multiLevelType w:val="hybridMultilevel"/>
    <w:lvl w:ilvl="0">
      <w:start w:val="1"/>
      <w:numFmt w:val="lowerRoman"/>
      <w:lvlText w:val="(%1)"/>
      <w:lvlJc w:val="left"/>
      <w:pPr>
        <w:ind w:left="1853"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853" w:hanging="394"/>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725" w:hanging="394"/>
      </w:pPr>
      <w:rPr>
        <w:rFonts w:hint="default"/>
        <w:lang w:val="en-US" w:eastAsia="en-US" w:bidi="ar-SA"/>
      </w:rPr>
    </w:lvl>
    <w:lvl w:ilvl="3">
      <w:start w:val="0"/>
      <w:numFmt w:val="bullet"/>
      <w:lvlText w:val="•"/>
      <w:lvlJc w:val="left"/>
      <w:pPr>
        <w:ind w:left="4657" w:hanging="394"/>
      </w:pPr>
      <w:rPr>
        <w:rFonts w:hint="default"/>
        <w:lang w:val="en-US" w:eastAsia="en-US" w:bidi="ar-SA"/>
      </w:rPr>
    </w:lvl>
    <w:lvl w:ilvl="4">
      <w:start w:val="0"/>
      <w:numFmt w:val="bullet"/>
      <w:lvlText w:val="•"/>
      <w:lvlJc w:val="left"/>
      <w:pPr>
        <w:ind w:left="5590" w:hanging="394"/>
      </w:pPr>
      <w:rPr>
        <w:rFonts w:hint="default"/>
        <w:lang w:val="en-US" w:eastAsia="en-US" w:bidi="ar-SA"/>
      </w:rPr>
    </w:lvl>
    <w:lvl w:ilvl="5">
      <w:start w:val="0"/>
      <w:numFmt w:val="bullet"/>
      <w:lvlText w:val="•"/>
      <w:lvlJc w:val="left"/>
      <w:pPr>
        <w:ind w:left="6523" w:hanging="394"/>
      </w:pPr>
      <w:rPr>
        <w:rFonts w:hint="default"/>
        <w:lang w:val="en-US" w:eastAsia="en-US" w:bidi="ar-SA"/>
      </w:rPr>
    </w:lvl>
    <w:lvl w:ilvl="6">
      <w:start w:val="0"/>
      <w:numFmt w:val="bullet"/>
      <w:lvlText w:val="•"/>
      <w:lvlJc w:val="left"/>
      <w:pPr>
        <w:ind w:left="7455" w:hanging="394"/>
      </w:pPr>
      <w:rPr>
        <w:rFonts w:hint="default"/>
        <w:lang w:val="en-US" w:eastAsia="en-US" w:bidi="ar-SA"/>
      </w:rPr>
    </w:lvl>
    <w:lvl w:ilvl="7">
      <w:start w:val="0"/>
      <w:numFmt w:val="bullet"/>
      <w:lvlText w:val="•"/>
      <w:lvlJc w:val="left"/>
      <w:pPr>
        <w:ind w:left="8388" w:hanging="394"/>
      </w:pPr>
      <w:rPr>
        <w:rFonts w:hint="default"/>
        <w:lang w:val="en-US" w:eastAsia="en-US" w:bidi="ar-SA"/>
      </w:rPr>
    </w:lvl>
    <w:lvl w:ilvl="8">
      <w:start w:val="0"/>
      <w:numFmt w:val="bullet"/>
      <w:lvlText w:val="•"/>
      <w:lvlJc w:val="left"/>
      <w:pPr>
        <w:ind w:left="9321" w:hanging="394"/>
      </w:pPr>
      <w:rPr>
        <w:rFonts w:hint="default"/>
        <w:lang w:val="en-US" w:eastAsia="en-US" w:bidi="ar-SA"/>
      </w:rPr>
    </w:lvl>
  </w:abstractNum>
  <w:abstractNum w:abstractNumId="312">
    <w:multiLevelType w:val="hybridMultilevel"/>
    <w:lvl w:ilvl="0">
      <w:start w:val="1"/>
      <w:numFmt w:val="lowerLetter"/>
      <w:lvlText w:val="%1)"/>
      <w:lvlJc w:val="left"/>
      <w:pPr>
        <w:ind w:left="1853"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92" w:hanging="360"/>
      </w:pPr>
      <w:rPr>
        <w:rFonts w:hint="default"/>
        <w:lang w:val="en-US" w:eastAsia="en-US" w:bidi="ar-SA"/>
      </w:rPr>
    </w:lvl>
    <w:lvl w:ilvl="2">
      <w:start w:val="0"/>
      <w:numFmt w:val="bullet"/>
      <w:lvlText w:val="•"/>
      <w:lvlJc w:val="left"/>
      <w:pPr>
        <w:ind w:left="3725" w:hanging="360"/>
      </w:pPr>
      <w:rPr>
        <w:rFonts w:hint="default"/>
        <w:lang w:val="en-US" w:eastAsia="en-US" w:bidi="ar-SA"/>
      </w:rPr>
    </w:lvl>
    <w:lvl w:ilvl="3">
      <w:start w:val="0"/>
      <w:numFmt w:val="bullet"/>
      <w:lvlText w:val="•"/>
      <w:lvlJc w:val="left"/>
      <w:pPr>
        <w:ind w:left="4657" w:hanging="360"/>
      </w:pPr>
      <w:rPr>
        <w:rFonts w:hint="default"/>
        <w:lang w:val="en-US" w:eastAsia="en-US" w:bidi="ar-SA"/>
      </w:rPr>
    </w:lvl>
    <w:lvl w:ilvl="4">
      <w:start w:val="0"/>
      <w:numFmt w:val="bullet"/>
      <w:lvlText w:val="•"/>
      <w:lvlJc w:val="left"/>
      <w:pPr>
        <w:ind w:left="5590" w:hanging="360"/>
      </w:pPr>
      <w:rPr>
        <w:rFonts w:hint="default"/>
        <w:lang w:val="en-US" w:eastAsia="en-US" w:bidi="ar-SA"/>
      </w:rPr>
    </w:lvl>
    <w:lvl w:ilvl="5">
      <w:start w:val="0"/>
      <w:numFmt w:val="bullet"/>
      <w:lvlText w:val="•"/>
      <w:lvlJc w:val="left"/>
      <w:pPr>
        <w:ind w:left="6523" w:hanging="360"/>
      </w:pPr>
      <w:rPr>
        <w:rFonts w:hint="default"/>
        <w:lang w:val="en-US" w:eastAsia="en-US" w:bidi="ar-SA"/>
      </w:rPr>
    </w:lvl>
    <w:lvl w:ilvl="6">
      <w:start w:val="0"/>
      <w:numFmt w:val="bullet"/>
      <w:lvlText w:val="•"/>
      <w:lvlJc w:val="left"/>
      <w:pPr>
        <w:ind w:left="7455"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321" w:hanging="360"/>
      </w:pPr>
      <w:rPr>
        <w:rFonts w:hint="default"/>
        <w:lang w:val="en-US" w:eastAsia="en-US" w:bidi="ar-SA"/>
      </w:rPr>
    </w:lvl>
  </w:abstractNum>
  <w:abstractNum w:abstractNumId="311">
    <w:multiLevelType w:val="hybridMultilevel"/>
    <w:lvl w:ilvl="0">
      <w:start w:val="1"/>
      <w:numFmt w:val="lowerLetter"/>
      <w:lvlText w:val="(%1)"/>
      <w:lvlJc w:val="left"/>
      <w:pPr>
        <w:ind w:left="1853" w:hanging="387"/>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92" w:hanging="387"/>
      </w:pPr>
      <w:rPr>
        <w:rFonts w:hint="default"/>
        <w:lang w:val="en-US" w:eastAsia="en-US" w:bidi="ar-SA"/>
      </w:rPr>
    </w:lvl>
    <w:lvl w:ilvl="2">
      <w:start w:val="0"/>
      <w:numFmt w:val="bullet"/>
      <w:lvlText w:val="•"/>
      <w:lvlJc w:val="left"/>
      <w:pPr>
        <w:ind w:left="3725" w:hanging="387"/>
      </w:pPr>
      <w:rPr>
        <w:rFonts w:hint="default"/>
        <w:lang w:val="en-US" w:eastAsia="en-US" w:bidi="ar-SA"/>
      </w:rPr>
    </w:lvl>
    <w:lvl w:ilvl="3">
      <w:start w:val="0"/>
      <w:numFmt w:val="bullet"/>
      <w:lvlText w:val="•"/>
      <w:lvlJc w:val="left"/>
      <w:pPr>
        <w:ind w:left="4657" w:hanging="387"/>
      </w:pPr>
      <w:rPr>
        <w:rFonts w:hint="default"/>
        <w:lang w:val="en-US" w:eastAsia="en-US" w:bidi="ar-SA"/>
      </w:rPr>
    </w:lvl>
    <w:lvl w:ilvl="4">
      <w:start w:val="0"/>
      <w:numFmt w:val="bullet"/>
      <w:lvlText w:val="•"/>
      <w:lvlJc w:val="left"/>
      <w:pPr>
        <w:ind w:left="5590" w:hanging="387"/>
      </w:pPr>
      <w:rPr>
        <w:rFonts w:hint="default"/>
        <w:lang w:val="en-US" w:eastAsia="en-US" w:bidi="ar-SA"/>
      </w:rPr>
    </w:lvl>
    <w:lvl w:ilvl="5">
      <w:start w:val="0"/>
      <w:numFmt w:val="bullet"/>
      <w:lvlText w:val="•"/>
      <w:lvlJc w:val="left"/>
      <w:pPr>
        <w:ind w:left="6523" w:hanging="387"/>
      </w:pPr>
      <w:rPr>
        <w:rFonts w:hint="default"/>
        <w:lang w:val="en-US" w:eastAsia="en-US" w:bidi="ar-SA"/>
      </w:rPr>
    </w:lvl>
    <w:lvl w:ilvl="6">
      <w:start w:val="0"/>
      <w:numFmt w:val="bullet"/>
      <w:lvlText w:val="•"/>
      <w:lvlJc w:val="left"/>
      <w:pPr>
        <w:ind w:left="7455" w:hanging="387"/>
      </w:pPr>
      <w:rPr>
        <w:rFonts w:hint="default"/>
        <w:lang w:val="en-US" w:eastAsia="en-US" w:bidi="ar-SA"/>
      </w:rPr>
    </w:lvl>
    <w:lvl w:ilvl="7">
      <w:start w:val="0"/>
      <w:numFmt w:val="bullet"/>
      <w:lvlText w:val="•"/>
      <w:lvlJc w:val="left"/>
      <w:pPr>
        <w:ind w:left="8388" w:hanging="387"/>
      </w:pPr>
      <w:rPr>
        <w:rFonts w:hint="default"/>
        <w:lang w:val="en-US" w:eastAsia="en-US" w:bidi="ar-SA"/>
      </w:rPr>
    </w:lvl>
    <w:lvl w:ilvl="8">
      <w:start w:val="0"/>
      <w:numFmt w:val="bullet"/>
      <w:lvlText w:val="•"/>
      <w:lvlJc w:val="left"/>
      <w:pPr>
        <w:ind w:left="9321" w:hanging="387"/>
      </w:pPr>
      <w:rPr>
        <w:rFonts w:hint="default"/>
        <w:lang w:val="en-US" w:eastAsia="en-US" w:bidi="ar-SA"/>
      </w:rPr>
    </w:lvl>
  </w:abstractNum>
  <w:abstractNum w:abstractNumId="310">
    <w:multiLevelType w:val="hybridMultilevel"/>
    <w:lvl w:ilvl="0">
      <w:start w:val="1"/>
      <w:numFmt w:val="upperLetter"/>
      <w:lvlText w:val="(%1)"/>
      <w:lvlJc w:val="left"/>
      <w:pPr>
        <w:ind w:left="1853"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853" w:hanging="29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725" w:hanging="293"/>
      </w:pPr>
      <w:rPr>
        <w:rFonts w:hint="default"/>
        <w:lang w:val="en-US" w:eastAsia="en-US" w:bidi="ar-SA"/>
      </w:rPr>
    </w:lvl>
    <w:lvl w:ilvl="3">
      <w:start w:val="0"/>
      <w:numFmt w:val="bullet"/>
      <w:lvlText w:val="•"/>
      <w:lvlJc w:val="left"/>
      <w:pPr>
        <w:ind w:left="4657" w:hanging="293"/>
      </w:pPr>
      <w:rPr>
        <w:rFonts w:hint="default"/>
        <w:lang w:val="en-US" w:eastAsia="en-US" w:bidi="ar-SA"/>
      </w:rPr>
    </w:lvl>
    <w:lvl w:ilvl="4">
      <w:start w:val="0"/>
      <w:numFmt w:val="bullet"/>
      <w:lvlText w:val="•"/>
      <w:lvlJc w:val="left"/>
      <w:pPr>
        <w:ind w:left="5590" w:hanging="293"/>
      </w:pPr>
      <w:rPr>
        <w:rFonts w:hint="default"/>
        <w:lang w:val="en-US" w:eastAsia="en-US" w:bidi="ar-SA"/>
      </w:rPr>
    </w:lvl>
    <w:lvl w:ilvl="5">
      <w:start w:val="0"/>
      <w:numFmt w:val="bullet"/>
      <w:lvlText w:val="•"/>
      <w:lvlJc w:val="left"/>
      <w:pPr>
        <w:ind w:left="6523" w:hanging="293"/>
      </w:pPr>
      <w:rPr>
        <w:rFonts w:hint="default"/>
        <w:lang w:val="en-US" w:eastAsia="en-US" w:bidi="ar-SA"/>
      </w:rPr>
    </w:lvl>
    <w:lvl w:ilvl="6">
      <w:start w:val="0"/>
      <w:numFmt w:val="bullet"/>
      <w:lvlText w:val="•"/>
      <w:lvlJc w:val="left"/>
      <w:pPr>
        <w:ind w:left="7455" w:hanging="293"/>
      </w:pPr>
      <w:rPr>
        <w:rFonts w:hint="default"/>
        <w:lang w:val="en-US" w:eastAsia="en-US" w:bidi="ar-SA"/>
      </w:rPr>
    </w:lvl>
    <w:lvl w:ilvl="7">
      <w:start w:val="0"/>
      <w:numFmt w:val="bullet"/>
      <w:lvlText w:val="•"/>
      <w:lvlJc w:val="left"/>
      <w:pPr>
        <w:ind w:left="8388" w:hanging="293"/>
      </w:pPr>
      <w:rPr>
        <w:rFonts w:hint="default"/>
        <w:lang w:val="en-US" w:eastAsia="en-US" w:bidi="ar-SA"/>
      </w:rPr>
    </w:lvl>
    <w:lvl w:ilvl="8">
      <w:start w:val="0"/>
      <w:numFmt w:val="bullet"/>
      <w:lvlText w:val="•"/>
      <w:lvlJc w:val="left"/>
      <w:pPr>
        <w:ind w:left="9321" w:hanging="293"/>
      </w:pPr>
      <w:rPr>
        <w:rFonts w:hint="default"/>
        <w:lang w:val="en-US" w:eastAsia="en-US" w:bidi="ar-SA"/>
      </w:rPr>
    </w:lvl>
  </w:abstractNum>
  <w:abstractNum w:abstractNumId="309">
    <w:multiLevelType w:val="hybridMultilevel"/>
    <w:lvl w:ilvl="0">
      <w:start w:val="2"/>
      <w:numFmt w:val="lowerLetter"/>
      <w:lvlText w:val="(%1)"/>
      <w:lvlJc w:val="left"/>
      <w:pPr>
        <w:ind w:left="1493" w:hanging="42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427"/>
      </w:pPr>
      <w:rPr>
        <w:rFonts w:hint="default"/>
        <w:lang w:val="en-US" w:eastAsia="en-US" w:bidi="ar-SA"/>
      </w:rPr>
    </w:lvl>
    <w:lvl w:ilvl="2">
      <w:start w:val="0"/>
      <w:numFmt w:val="bullet"/>
      <w:lvlText w:val="•"/>
      <w:lvlJc w:val="left"/>
      <w:pPr>
        <w:ind w:left="3437" w:hanging="427"/>
      </w:pPr>
      <w:rPr>
        <w:rFonts w:hint="default"/>
        <w:lang w:val="en-US" w:eastAsia="en-US" w:bidi="ar-SA"/>
      </w:rPr>
    </w:lvl>
    <w:lvl w:ilvl="3">
      <w:start w:val="0"/>
      <w:numFmt w:val="bullet"/>
      <w:lvlText w:val="•"/>
      <w:lvlJc w:val="left"/>
      <w:pPr>
        <w:ind w:left="4405" w:hanging="427"/>
      </w:pPr>
      <w:rPr>
        <w:rFonts w:hint="default"/>
        <w:lang w:val="en-US" w:eastAsia="en-US" w:bidi="ar-SA"/>
      </w:rPr>
    </w:lvl>
    <w:lvl w:ilvl="4">
      <w:start w:val="0"/>
      <w:numFmt w:val="bullet"/>
      <w:lvlText w:val="•"/>
      <w:lvlJc w:val="left"/>
      <w:pPr>
        <w:ind w:left="5374" w:hanging="427"/>
      </w:pPr>
      <w:rPr>
        <w:rFonts w:hint="default"/>
        <w:lang w:val="en-US" w:eastAsia="en-US" w:bidi="ar-SA"/>
      </w:rPr>
    </w:lvl>
    <w:lvl w:ilvl="5">
      <w:start w:val="0"/>
      <w:numFmt w:val="bullet"/>
      <w:lvlText w:val="•"/>
      <w:lvlJc w:val="left"/>
      <w:pPr>
        <w:ind w:left="6343" w:hanging="427"/>
      </w:pPr>
      <w:rPr>
        <w:rFonts w:hint="default"/>
        <w:lang w:val="en-US" w:eastAsia="en-US" w:bidi="ar-SA"/>
      </w:rPr>
    </w:lvl>
    <w:lvl w:ilvl="6">
      <w:start w:val="0"/>
      <w:numFmt w:val="bullet"/>
      <w:lvlText w:val="•"/>
      <w:lvlJc w:val="left"/>
      <w:pPr>
        <w:ind w:left="7311" w:hanging="427"/>
      </w:pPr>
      <w:rPr>
        <w:rFonts w:hint="default"/>
        <w:lang w:val="en-US" w:eastAsia="en-US" w:bidi="ar-SA"/>
      </w:rPr>
    </w:lvl>
    <w:lvl w:ilvl="7">
      <w:start w:val="0"/>
      <w:numFmt w:val="bullet"/>
      <w:lvlText w:val="•"/>
      <w:lvlJc w:val="left"/>
      <w:pPr>
        <w:ind w:left="8280" w:hanging="427"/>
      </w:pPr>
      <w:rPr>
        <w:rFonts w:hint="default"/>
        <w:lang w:val="en-US" w:eastAsia="en-US" w:bidi="ar-SA"/>
      </w:rPr>
    </w:lvl>
    <w:lvl w:ilvl="8">
      <w:start w:val="0"/>
      <w:numFmt w:val="bullet"/>
      <w:lvlText w:val="•"/>
      <w:lvlJc w:val="left"/>
      <w:pPr>
        <w:ind w:left="9249" w:hanging="427"/>
      </w:pPr>
      <w:rPr>
        <w:rFonts w:hint="default"/>
        <w:lang w:val="en-US" w:eastAsia="en-US" w:bidi="ar-SA"/>
      </w:rPr>
    </w:lvl>
  </w:abstractNum>
  <w:abstractNum w:abstractNumId="308">
    <w:multiLevelType w:val="hybridMultilevel"/>
    <w:lvl w:ilvl="0">
      <w:start w:val="5"/>
      <w:numFmt w:val="upperLetter"/>
      <w:lvlText w:val="(%1)"/>
      <w:lvlJc w:val="left"/>
      <w:pPr>
        <w:ind w:left="1493" w:hanging="653"/>
        <w:jc w:val="left"/>
      </w:pPr>
      <w:rPr>
        <w:rFonts w:hint="default" w:ascii="Bookman Old Style" w:hAnsi="Bookman Old Style" w:eastAsia="Bookman Old Style" w:cs="Bookman Old Style"/>
        <w:b/>
        <w:bCs/>
        <w:i w:val="0"/>
        <w:iCs w:val="0"/>
        <w:spacing w:val="0"/>
        <w:w w:val="100"/>
        <w:sz w:val="24"/>
        <w:szCs w:val="24"/>
        <w:lang w:val="en-US" w:eastAsia="en-US" w:bidi="ar-SA"/>
      </w:rPr>
    </w:lvl>
    <w:lvl w:ilvl="1">
      <w:start w:val="0"/>
      <w:numFmt w:val="bullet"/>
      <w:lvlText w:val="•"/>
      <w:lvlJc w:val="left"/>
      <w:pPr>
        <w:ind w:left="2468" w:hanging="653"/>
      </w:pPr>
      <w:rPr>
        <w:rFonts w:hint="default"/>
        <w:lang w:val="en-US" w:eastAsia="en-US" w:bidi="ar-SA"/>
      </w:rPr>
    </w:lvl>
    <w:lvl w:ilvl="2">
      <w:start w:val="0"/>
      <w:numFmt w:val="bullet"/>
      <w:lvlText w:val="•"/>
      <w:lvlJc w:val="left"/>
      <w:pPr>
        <w:ind w:left="3437" w:hanging="653"/>
      </w:pPr>
      <w:rPr>
        <w:rFonts w:hint="default"/>
        <w:lang w:val="en-US" w:eastAsia="en-US" w:bidi="ar-SA"/>
      </w:rPr>
    </w:lvl>
    <w:lvl w:ilvl="3">
      <w:start w:val="0"/>
      <w:numFmt w:val="bullet"/>
      <w:lvlText w:val="•"/>
      <w:lvlJc w:val="left"/>
      <w:pPr>
        <w:ind w:left="4405" w:hanging="653"/>
      </w:pPr>
      <w:rPr>
        <w:rFonts w:hint="default"/>
        <w:lang w:val="en-US" w:eastAsia="en-US" w:bidi="ar-SA"/>
      </w:rPr>
    </w:lvl>
    <w:lvl w:ilvl="4">
      <w:start w:val="0"/>
      <w:numFmt w:val="bullet"/>
      <w:lvlText w:val="•"/>
      <w:lvlJc w:val="left"/>
      <w:pPr>
        <w:ind w:left="5374" w:hanging="653"/>
      </w:pPr>
      <w:rPr>
        <w:rFonts w:hint="default"/>
        <w:lang w:val="en-US" w:eastAsia="en-US" w:bidi="ar-SA"/>
      </w:rPr>
    </w:lvl>
    <w:lvl w:ilvl="5">
      <w:start w:val="0"/>
      <w:numFmt w:val="bullet"/>
      <w:lvlText w:val="•"/>
      <w:lvlJc w:val="left"/>
      <w:pPr>
        <w:ind w:left="6343" w:hanging="653"/>
      </w:pPr>
      <w:rPr>
        <w:rFonts w:hint="default"/>
        <w:lang w:val="en-US" w:eastAsia="en-US" w:bidi="ar-SA"/>
      </w:rPr>
    </w:lvl>
    <w:lvl w:ilvl="6">
      <w:start w:val="0"/>
      <w:numFmt w:val="bullet"/>
      <w:lvlText w:val="•"/>
      <w:lvlJc w:val="left"/>
      <w:pPr>
        <w:ind w:left="7311" w:hanging="653"/>
      </w:pPr>
      <w:rPr>
        <w:rFonts w:hint="default"/>
        <w:lang w:val="en-US" w:eastAsia="en-US" w:bidi="ar-SA"/>
      </w:rPr>
    </w:lvl>
    <w:lvl w:ilvl="7">
      <w:start w:val="0"/>
      <w:numFmt w:val="bullet"/>
      <w:lvlText w:val="•"/>
      <w:lvlJc w:val="left"/>
      <w:pPr>
        <w:ind w:left="8280" w:hanging="653"/>
      </w:pPr>
      <w:rPr>
        <w:rFonts w:hint="default"/>
        <w:lang w:val="en-US" w:eastAsia="en-US" w:bidi="ar-SA"/>
      </w:rPr>
    </w:lvl>
    <w:lvl w:ilvl="8">
      <w:start w:val="0"/>
      <w:numFmt w:val="bullet"/>
      <w:lvlText w:val="•"/>
      <w:lvlJc w:val="left"/>
      <w:pPr>
        <w:ind w:left="9249" w:hanging="653"/>
      </w:pPr>
      <w:rPr>
        <w:rFonts w:hint="default"/>
        <w:lang w:val="en-US" w:eastAsia="en-US" w:bidi="ar-SA"/>
      </w:rPr>
    </w:lvl>
  </w:abstractNum>
  <w:abstractNum w:abstractNumId="307">
    <w:multiLevelType w:val="hybridMultilevel"/>
    <w:lvl w:ilvl="0">
      <w:start w:val="1"/>
      <w:numFmt w:val="upperRoman"/>
      <w:lvlText w:val="(%1)"/>
      <w:lvlJc w:val="left"/>
      <w:pPr>
        <w:ind w:left="1493" w:hanging="257"/>
        <w:jc w:val="left"/>
      </w:pPr>
      <w:rPr>
        <w:rFonts w:hint="default" w:ascii="Bookman Old Style" w:hAnsi="Bookman Old Style" w:eastAsia="Bookman Old Style" w:cs="Bookman Old Style"/>
        <w:b w:val="0"/>
        <w:bCs w:val="0"/>
        <w:i w:val="0"/>
        <w:iCs w:val="0"/>
        <w:spacing w:val="9"/>
        <w:w w:val="100"/>
        <w:sz w:val="22"/>
        <w:szCs w:val="22"/>
        <w:lang w:val="en-US" w:eastAsia="en-US" w:bidi="ar-SA"/>
      </w:rPr>
    </w:lvl>
    <w:lvl w:ilvl="1">
      <w:start w:val="1"/>
      <w:numFmt w:val="lowerLetter"/>
      <w:lvlText w:val="%2)"/>
      <w:lvlJc w:val="left"/>
      <w:pPr>
        <w:ind w:left="1493" w:hanging="411"/>
        <w:jc w:val="left"/>
      </w:pPr>
      <w:rPr>
        <w:rFonts w:hint="default" w:ascii="Bookman Old Style" w:hAnsi="Bookman Old Style" w:eastAsia="Bookman Old Style" w:cs="Bookman Old Style"/>
        <w:b w:val="0"/>
        <w:bCs w:val="0"/>
        <w:i w:val="0"/>
        <w:iCs w:val="0"/>
        <w:spacing w:val="0"/>
        <w:w w:val="99"/>
        <w:sz w:val="24"/>
        <w:szCs w:val="24"/>
        <w:lang w:val="en-US" w:eastAsia="en-US" w:bidi="ar-SA"/>
      </w:rPr>
    </w:lvl>
    <w:lvl w:ilvl="2">
      <w:start w:val="0"/>
      <w:numFmt w:val="bullet"/>
      <w:lvlText w:val="•"/>
      <w:lvlJc w:val="left"/>
      <w:pPr>
        <w:ind w:left="3437" w:hanging="411"/>
      </w:pPr>
      <w:rPr>
        <w:rFonts w:hint="default"/>
        <w:lang w:val="en-US" w:eastAsia="en-US" w:bidi="ar-SA"/>
      </w:rPr>
    </w:lvl>
    <w:lvl w:ilvl="3">
      <w:start w:val="0"/>
      <w:numFmt w:val="bullet"/>
      <w:lvlText w:val="•"/>
      <w:lvlJc w:val="left"/>
      <w:pPr>
        <w:ind w:left="4405" w:hanging="411"/>
      </w:pPr>
      <w:rPr>
        <w:rFonts w:hint="default"/>
        <w:lang w:val="en-US" w:eastAsia="en-US" w:bidi="ar-SA"/>
      </w:rPr>
    </w:lvl>
    <w:lvl w:ilvl="4">
      <w:start w:val="0"/>
      <w:numFmt w:val="bullet"/>
      <w:lvlText w:val="•"/>
      <w:lvlJc w:val="left"/>
      <w:pPr>
        <w:ind w:left="5374" w:hanging="411"/>
      </w:pPr>
      <w:rPr>
        <w:rFonts w:hint="default"/>
        <w:lang w:val="en-US" w:eastAsia="en-US" w:bidi="ar-SA"/>
      </w:rPr>
    </w:lvl>
    <w:lvl w:ilvl="5">
      <w:start w:val="0"/>
      <w:numFmt w:val="bullet"/>
      <w:lvlText w:val="•"/>
      <w:lvlJc w:val="left"/>
      <w:pPr>
        <w:ind w:left="6343" w:hanging="411"/>
      </w:pPr>
      <w:rPr>
        <w:rFonts w:hint="default"/>
        <w:lang w:val="en-US" w:eastAsia="en-US" w:bidi="ar-SA"/>
      </w:rPr>
    </w:lvl>
    <w:lvl w:ilvl="6">
      <w:start w:val="0"/>
      <w:numFmt w:val="bullet"/>
      <w:lvlText w:val="•"/>
      <w:lvlJc w:val="left"/>
      <w:pPr>
        <w:ind w:left="7311" w:hanging="411"/>
      </w:pPr>
      <w:rPr>
        <w:rFonts w:hint="default"/>
        <w:lang w:val="en-US" w:eastAsia="en-US" w:bidi="ar-SA"/>
      </w:rPr>
    </w:lvl>
    <w:lvl w:ilvl="7">
      <w:start w:val="0"/>
      <w:numFmt w:val="bullet"/>
      <w:lvlText w:val="•"/>
      <w:lvlJc w:val="left"/>
      <w:pPr>
        <w:ind w:left="8280" w:hanging="411"/>
      </w:pPr>
      <w:rPr>
        <w:rFonts w:hint="default"/>
        <w:lang w:val="en-US" w:eastAsia="en-US" w:bidi="ar-SA"/>
      </w:rPr>
    </w:lvl>
    <w:lvl w:ilvl="8">
      <w:start w:val="0"/>
      <w:numFmt w:val="bullet"/>
      <w:lvlText w:val="•"/>
      <w:lvlJc w:val="left"/>
      <w:pPr>
        <w:ind w:left="9249" w:hanging="411"/>
      </w:pPr>
      <w:rPr>
        <w:rFonts w:hint="default"/>
        <w:lang w:val="en-US" w:eastAsia="en-US" w:bidi="ar-SA"/>
      </w:rPr>
    </w:lvl>
  </w:abstractNum>
  <w:abstractNum w:abstractNumId="306">
    <w:multiLevelType w:val="hybridMultilevel"/>
    <w:lvl w:ilvl="0">
      <w:start w:val="1"/>
      <w:numFmt w:val="upperLetter"/>
      <w:lvlText w:val="(%1)"/>
      <w:lvlJc w:val="left"/>
      <w:pPr>
        <w:ind w:left="1939" w:hanging="447"/>
        <w:jc w:val="left"/>
      </w:pPr>
      <w:rPr>
        <w:rFonts w:hint="default" w:ascii="Bookman Old Style" w:hAnsi="Bookman Old Style" w:eastAsia="Bookman Old Style" w:cs="Bookman Old Style"/>
        <w:b/>
        <w:bCs/>
        <w:i w:val="0"/>
        <w:iCs w:val="0"/>
        <w:spacing w:val="0"/>
        <w:w w:val="100"/>
        <w:sz w:val="24"/>
        <w:szCs w:val="24"/>
        <w:lang w:val="en-US" w:eastAsia="en-US" w:bidi="ar-SA"/>
      </w:rPr>
    </w:lvl>
    <w:lvl w:ilvl="1">
      <w:start w:val="1"/>
      <w:numFmt w:val="lowerRoman"/>
      <w:lvlText w:val="(%2)"/>
      <w:lvlJc w:val="left"/>
      <w:pPr>
        <w:ind w:left="1824" w:hanging="33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967" w:hanging="332"/>
      </w:pPr>
      <w:rPr>
        <w:rFonts w:hint="default"/>
        <w:lang w:val="en-US" w:eastAsia="en-US" w:bidi="ar-SA"/>
      </w:rPr>
    </w:lvl>
    <w:lvl w:ilvl="3">
      <w:start w:val="0"/>
      <w:numFmt w:val="bullet"/>
      <w:lvlText w:val="•"/>
      <w:lvlJc w:val="left"/>
      <w:pPr>
        <w:ind w:left="3994" w:hanging="332"/>
      </w:pPr>
      <w:rPr>
        <w:rFonts w:hint="default"/>
        <w:lang w:val="en-US" w:eastAsia="en-US" w:bidi="ar-SA"/>
      </w:rPr>
    </w:lvl>
    <w:lvl w:ilvl="4">
      <w:start w:val="0"/>
      <w:numFmt w:val="bullet"/>
      <w:lvlText w:val="•"/>
      <w:lvlJc w:val="left"/>
      <w:pPr>
        <w:ind w:left="5022" w:hanging="332"/>
      </w:pPr>
      <w:rPr>
        <w:rFonts w:hint="default"/>
        <w:lang w:val="en-US" w:eastAsia="en-US" w:bidi="ar-SA"/>
      </w:rPr>
    </w:lvl>
    <w:lvl w:ilvl="5">
      <w:start w:val="0"/>
      <w:numFmt w:val="bullet"/>
      <w:lvlText w:val="•"/>
      <w:lvlJc w:val="left"/>
      <w:pPr>
        <w:ind w:left="6049" w:hanging="332"/>
      </w:pPr>
      <w:rPr>
        <w:rFonts w:hint="default"/>
        <w:lang w:val="en-US" w:eastAsia="en-US" w:bidi="ar-SA"/>
      </w:rPr>
    </w:lvl>
    <w:lvl w:ilvl="6">
      <w:start w:val="0"/>
      <w:numFmt w:val="bullet"/>
      <w:lvlText w:val="•"/>
      <w:lvlJc w:val="left"/>
      <w:pPr>
        <w:ind w:left="7076" w:hanging="332"/>
      </w:pPr>
      <w:rPr>
        <w:rFonts w:hint="default"/>
        <w:lang w:val="en-US" w:eastAsia="en-US" w:bidi="ar-SA"/>
      </w:rPr>
    </w:lvl>
    <w:lvl w:ilvl="7">
      <w:start w:val="0"/>
      <w:numFmt w:val="bullet"/>
      <w:lvlText w:val="•"/>
      <w:lvlJc w:val="left"/>
      <w:pPr>
        <w:ind w:left="8104" w:hanging="332"/>
      </w:pPr>
      <w:rPr>
        <w:rFonts w:hint="default"/>
        <w:lang w:val="en-US" w:eastAsia="en-US" w:bidi="ar-SA"/>
      </w:rPr>
    </w:lvl>
    <w:lvl w:ilvl="8">
      <w:start w:val="0"/>
      <w:numFmt w:val="bullet"/>
      <w:lvlText w:val="•"/>
      <w:lvlJc w:val="left"/>
      <w:pPr>
        <w:ind w:left="9131" w:hanging="332"/>
      </w:pPr>
      <w:rPr>
        <w:rFonts w:hint="default"/>
        <w:lang w:val="en-US" w:eastAsia="en-US" w:bidi="ar-SA"/>
      </w:rPr>
    </w:lvl>
  </w:abstractNum>
  <w:abstractNum w:abstractNumId="305">
    <w:multiLevelType w:val="hybridMultilevel"/>
    <w:lvl w:ilvl="0">
      <w:start w:val="1"/>
      <w:numFmt w:val="lowerRoman"/>
      <w:lvlText w:val="(%1)"/>
      <w:lvlJc w:val="left"/>
      <w:pPr>
        <w:ind w:left="1493" w:hanging="245"/>
        <w:jc w:val="left"/>
      </w:pPr>
      <w:rPr>
        <w:rFonts w:hint="default" w:ascii="Bookman Old Style" w:hAnsi="Bookman Old Style" w:eastAsia="Bookman Old Style" w:cs="Bookman Old Style"/>
        <w:b w:val="0"/>
        <w:bCs w:val="0"/>
        <w:i w:val="0"/>
        <w:iCs w:val="0"/>
        <w:spacing w:val="9"/>
        <w:w w:val="98"/>
        <w:sz w:val="22"/>
        <w:szCs w:val="22"/>
        <w:lang w:val="en-US" w:eastAsia="en-US" w:bidi="ar-SA"/>
      </w:rPr>
    </w:lvl>
    <w:lvl w:ilvl="1">
      <w:start w:val="1"/>
      <w:numFmt w:val="lowerLetter"/>
      <w:lvlText w:val="(%2)"/>
      <w:lvlJc w:val="left"/>
      <w:pPr>
        <w:ind w:left="1493" w:hanging="40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Roman"/>
      <w:lvlText w:val="(%3)"/>
      <w:lvlJc w:val="left"/>
      <w:pPr>
        <w:ind w:left="1493" w:hanging="35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4405" w:hanging="350"/>
      </w:pPr>
      <w:rPr>
        <w:rFonts w:hint="default"/>
        <w:lang w:val="en-US" w:eastAsia="en-US" w:bidi="ar-SA"/>
      </w:rPr>
    </w:lvl>
    <w:lvl w:ilvl="4">
      <w:start w:val="0"/>
      <w:numFmt w:val="bullet"/>
      <w:lvlText w:val="•"/>
      <w:lvlJc w:val="left"/>
      <w:pPr>
        <w:ind w:left="5374" w:hanging="350"/>
      </w:pPr>
      <w:rPr>
        <w:rFonts w:hint="default"/>
        <w:lang w:val="en-US" w:eastAsia="en-US" w:bidi="ar-SA"/>
      </w:rPr>
    </w:lvl>
    <w:lvl w:ilvl="5">
      <w:start w:val="0"/>
      <w:numFmt w:val="bullet"/>
      <w:lvlText w:val="•"/>
      <w:lvlJc w:val="left"/>
      <w:pPr>
        <w:ind w:left="6343" w:hanging="350"/>
      </w:pPr>
      <w:rPr>
        <w:rFonts w:hint="default"/>
        <w:lang w:val="en-US" w:eastAsia="en-US" w:bidi="ar-SA"/>
      </w:rPr>
    </w:lvl>
    <w:lvl w:ilvl="6">
      <w:start w:val="0"/>
      <w:numFmt w:val="bullet"/>
      <w:lvlText w:val="•"/>
      <w:lvlJc w:val="left"/>
      <w:pPr>
        <w:ind w:left="7311" w:hanging="350"/>
      </w:pPr>
      <w:rPr>
        <w:rFonts w:hint="default"/>
        <w:lang w:val="en-US" w:eastAsia="en-US" w:bidi="ar-SA"/>
      </w:rPr>
    </w:lvl>
    <w:lvl w:ilvl="7">
      <w:start w:val="0"/>
      <w:numFmt w:val="bullet"/>
      <w:lvlText w:val="•"/>
      <w:lvlJc w:val="left"/>
      <w:pPr>
        <w:ind w:left="8280" w:hanging="350"/>
      </w:pPr>
      <w:rPr>
        <w:rFonts w:hint="default"/>
        <w:lang w:val="en-US" w:eastAsia="en-US" w:bidi="ar-SA"/>
      </w:rPr>
    </w:lvl>
    <w:lvl w:ilvl="8">
      <w:start w:val="0"/>
      <w:numFmt w:val="bullet"/>
      <w:lvlText w:val="•"/>
      <w:lvlJc w:val="left"/>
      <w:pPr>
        <w:ind w:left="9249" w:hanging="350"/>
      </w:pPr>
      <w:rPr>
        <w:rFonts w:hint="default"/>
        <w:lang w:val="en-US" w:eastAsia="en-US" w:bidi="ar-SA"/>
      </w:rPr>
    </w:lvl>
  </w:abstractNum>
  <w:abstractNum w:abstractNumId="304">
    <w:multiLevelType w:val="hybridMultilevel"/>
    <w:lvl w:ilvl="0">
      <w:start w:val="1"/>
      <w:numFmt w:val="lowerLetter"/>
      <w:lvlText w:val="%1)"/>
      <w:lvlJc w:val="left"/>
      <w:pPr>
        <w:ind w:left="104" w:hanging="40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619" w:hanging="401"/>
      </w:pPr>
      <w:rPr>
        <w:rFonts w:hint="default"/>
        <w:lang w:val="en-US" w:eastAsia="en-US" w:bidi="ar-SA"/>
      </w:rPr>
    </w:lvl>
    <w:lvl w:ilvl="2">
      <w:start w:val="0"/>
      <w:numFmt w:val="bullet"/>
      <w:lvlText w:val="•"/>
      <w:lvlJc w:val="left"/>
      <w:pPr>
        <w:ind w:left="1139" w:hanging="401"/>
      </w:pPr>
      <w:rPr>
        <w:rFonts w:hint="default"/>
        <w:lang w:val="en-US" w:eastAsia="en-US" w:bidi="ar-SA"/>
      </w:rPr>
    </w:lvl>
    <w:lvl w:ilvl="3">
      <w:start w:val="0"/>
      <w:numFmt w:val="bullet"/>
      <w:lvlText w:val="•"/>
      <w:lvlJc w:val="left"/>
      <w:pPr>
        <w:ind w:left="1658" w:hanging="401"/>
      </w:pPr>
      <w:rPr>
        <w:rFonts w:hint="default"/>
        <w:lang w:val="en-US" w:eastAsia="en-US" w:bidi="ar-SA"/>
      </w:rPr>
    </w:lvl>
    <w:lvl w:ilvl="4">
      <w:start w:val="0"/>
      <w:numFmt w:val="bullet"/>
      <w:lvlText w:val="•"/>
      <w:lvlJc w:val="left"/>
      <w:pPr>
        <w:ind w:left="2178" w:hanging="401"/>
      </w:pPr>
      <w:rPr>
        <w:rFonts w:hint="default"/>
        <w:lang w:val="en-US" w:eastAsia="en-US" w:bidi="ar-SA"/>
      </w:rPr>
    </w:lvl>
    <w:lvl w:ilvl="5">
      <w:start w:val="0"/>
      <w:numFmt w:val="bullet"/>
      <w:lvlText w:val="•"/>
      <w:lvlJc w:val="left"/>
      <w:pPr>
        <w:ind w:left="2697" w:hanging="401"/>
      </w:pPr>
      <w:rPr>
        <w:rFonts w:hint="default"/>
        <w:lang w:val="en-US" w:eastAsia="en-US" w:bidi="ar-SA"/>
      </w:rPr>
    </w:lvl>
    <w:lvl w:ilvl="6">
      <w:start w:val="0"/>
      <w:numFmt w:val="bullet"/>
      <w:lvlText w:val="•"/>
      <w:lvlJc w:val="left"/>
      <w:pPr>
        <w:ind w:left="3217" w:hanging="401"/>
      </w:pPr>
      <w:rPr>
        <w:rFonts w:hint="default"/>
        <w:lang w:val="en-US" w:eastAsia="en-US" w:bidi="ar-SA"/>
      </w:rPr>
    </w:lvl>
    <w:lvl w:ilvl="7">
      <w:start w:val="0"/>
      <w:numFmt w:val="bullet"/>
      <w:lvlText w:val="•"/>
      <w:lvlJc w:val="left"/>
      <w:pPr>
        <w:ind w:left="3736" w:hanging="401"/>
      </w:pPr>
      <w:rPr>
        <w:rFonts w:hint="default"/>
        <w:lang w:val="en-US" w:eastAsia="en-US" w:bidi="ar-SA"/>
      </w:rPr>
    </w:lvl>
    <w:lvl w:ilvl="8">
      <w:start w:val="0"/>
      <w:numFmt w:val="bullet"/>
      <w:lvlText w:val="•"/>
      <w:lvlJc w:val="left"/>
      <w:pPr>
        <w:ind w:left="4256" w:hanging="401"/>
      </w:pPr>
      <w:rPr>
        <w:rFonts w:hint="default"/>
        <w:lang w:val="en-US" w:eastAsia="en-US" w:bidi="ar-SA"/>
      </w:rPr>
    </w:lvl>
  </w:abstractNum>
  <w:abstractNum w:abstractNumId="303">
    <w:multiLevelType w:val="hybridMultilevel"/>
    <w:lvl w:ilvl="0">
      <w:start w:val="1"/>
      <w:numFmt w:val="lowerLetter"/>
      <w:lvlText w:val="%1)"/>
      <w:lvlJc w:val="left"/>
      <w:pPr>
        <w:ind w:left="104" w:hanging="47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upperLetter"/>
      <w:lvlText w:val="(%2)"/>
      <w:lvlJc w:val="left"/>
      <w:pPr>
        <w:ind w:left="104" w:hanging="336"/>
        <w:jc w:val="left"/>
      </w:pPr>
      <w:rPr>
        <w:rFonts w:hint="default" w:ascii="Bookman Old Style" w:hAnsi="Bookman Old Style" w:eastAsia="Bookman Old Style" w:cs="Bookman Old Style"/>
        <w:b w:val="0"/>
        <w:bCs w:val="0"/>
        <w:i w:val="0"/>
        <w:iCs w:val="0"/>
        <w:spacing w:val="9"/>
        <w:w w:val="100"/>
        <w:sz w:val="22"/>
        <w:szCs w:val="22"/>
        <w:lang w:val="en-US" w:eastAsia="en-US" w:bidi="ar-SA"/>
      </w:rPr>
    </w:lvl>
    <w:lvl w:ilvl="2">
      <w:start w:val="1"/>
      <w:numFmt w:val="lowerLetter"/>
      <w:lvlText w:val="%3)"/>
      <w:lvlJc w:val="left"/>
      <w:pPr>
        <w:ind w:left="104" w:hanging="47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1658" w:hanging="470"/>
      </w:pPr>
      <w:rPr>
        <w:rFonts w:hint="default"/>
        <w:lang w:val="en-US" w:eastAsia="en-US" w:bidi="ar-SA"/>
      </w:rPr>
    </w:lvl>
    <w:lvl w:ilvl="4">
      <w:start w:val="0"/>
      <w:numFmt w:val="bullet"/>
      <w:lvlText w:val="•"/>
      <w:lvlJc w:val="left"/>
      <w:pPr>
        <w:ind w:left="2178" w:hanging="470"/>
      </w:pPr>
      <w:rPr>
        <w:rFonts w:hint="default"/>
        <w:lang w:val="en-US" w:eastAsia="en-US" w:bidi="ar-SA"/>
      </w:rPr>
    </w:lvl>
    <w:lvl w:ilvl="5">
      <w:start w:val="0"/>
      <w:numFmt w:val="bullet"/>
      <w:lvlText w:val="•"/>
      <w:lvlJc w:val="left"/>
      <w:pPr>
        <w:ind w:left="2697" w:hanging="470"/>
      </w:pPr>
      <w:rPr>
        <w:rFonts w:hint="default"/>
        <w:lang w:val="en-US" w:eastAsia="en-US" w:bidi="ar-SA"/>
      </w:rPr>
    </w:lvl>
    <w:lvl w:ilvl="6">
      <w:start w:val="0"/>
      <w:numFmt w:val="bullet"/>
      <w:lvlText w:val="•"/>
      <w:lvlJc w:val="left"/>
      <w:pPr>
        <w:ind w:left="3217" w:hanging="470"/>
      </w:pPr>
      <w:rPr>
        <w:rFonts w:hint="default"/>
        <w:lang w:val="en-US" w:eastAsia="en-US" w:bidi="ar-SA"/>
      </w:rPr>
    </w:lvl>
    <w:lvl w:ilvl="7">
      <w:start w:val="0"/>
      <w:numFmt w:val="bullet"/>
      <w:lvlText w:val="•"/>
      <w:lvlJc w:val="left"/>
      <w:pPr>
        <w:ind w:left="3736" w:hanging="470"/>
      </w:pPr>
      <w:rPr>
        <w:rFonts w:hint="default"/>
        <w:lang w:val="en-US" w:eastAsia="en-US" w:bidi="ar-SA"/>
      </w:rPr>
    </w:lvl>
    <w:lvl w:ilvl="8">
      <w:start w:val="0"/>
      <w:numFmt w:val="bullet"/>
      <w:lvlText w:val="•"/>
      <w:lvlJc w:val="left"/>
      <w:pPr>
        <w:ind w:left="4256" w:hanging="470"/>
      </w:pPr>
      <w:rPr>
        <w:rFonts w:hint="default"/>
        <w:lang w:val="en-US" w:eastAsia="en-US" w:bidi="ar-SA"/>
      </w:rPr>
    </w:lvl>
  </w:abstractNum>
  <w:abstractNum w:abstractNumId="302">
    <w:multiLevelType w:val="hybridMultilevel"/>
    <w:lvl w:ilvl="0">
      <w:start w:val="1"/>
      <w:numFmt w:val="lowerRoman"/>
      <w:lvlText w:val="(%1)"/>
      <w:lvlJc w:val="left"/>
      <w:pPr>
        <w:ind w:left="1313" w:hanging="324"/>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884" w:hanging="57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914" w:hanging="572"/>
      </w:pPr>
      <w:rPr>
        <w:rFonts w:hint="default"/>
        <w:lang w:val="en-US" w:eastAsia="en-US" w:bidi="ar-SA"/>
      </w:rPr>
    </w:lvl>
    <w:lvl w:ilvl="3">
      <w:start w:val="0"/>
      <w:numFmt w:val="bullet"/>
      <w:lvlText w:val="•"/>
      <w:lvlJc w:val="left"/>
      <w:pPr>
        <w:ind w:left="3948" w:hanging="572"/>
      </w:pPr>
      <w:rPr>
        <w:rFonts w:hint="default"/>
        <w:lang w:val="en-US" w:eastAsia="en-US" w:bidi="ar-SA"/>
      </w:rPr>
    </w:lvl>
    <w:lvl w:ilvl="4">
      <w:start w:val="0"/>
      <w:numFmt w:val="bullet"/>
      <w:lvlText w:val="•"/>
      <w:lvlJc w:val="left"/>
      <w:pPr>
        <w:ind w:left="4982" w:hanging="572"/>
      </w:pPr>
      <w:rPr>
        <w:rFonts w:hint="default"/>
        <w:lang w:val="en-US" w:eastAsia="en-US" w:bidi="ar-SA"/>
      </w:rPr>
    </w:lvl>
    <w:lvl w:ilvl="5">
      <w:start w:val="0"/>
      <w:numFmt w:val="bullet"/>
      <w:lvlText w:val="•"/>
      <w:lvlJc w:val="left"/>
      <w:pPr>
        <w:ind w:left="6016" w:hanging="572"/>
      </w:pPr>
      <w:rPr>
        <w:rFonts w:hint="default"/>
        <w:lang w:val="en-US" w:eastAsia="en-US" w:bidi="ar-SA"/>
      </w:rPr>
    </w:lvl>
    <w:lvl w:ilvl="6">
      <w:start w:val="0"/>
      <w:numFmt w:val="bullet"/>
      <w:lvlText w:val="•"/>
      <w:lvlJc w:val="left"/>
      <w:pPr>
        <w:ind w:left="7050" w:hanging="572"/>
      </w:pPr>
      <w:rPr>
        <w:rFonts w:hint="default"/>
        <w:lang w:val="en-US" w:eastAsia="en-US" w:bidi="ar-SA"/>
      </w:rPr>
    </w:lvl>
    <w:lvl w:ilvl="7">
      <w:start w:val="0"/>
      <w:numFmt w:val="bullet"/>
      <w:lvlText w:val="•"/>
      <w:lvlJc w:val="left"/>
      <w:pPr>
        <w:ind w:left="8084" w:hanging="572"/>
      </w:pPr>
      <w:rPr>
        <w:rFonts w:hint="default"/>
        <w:lang w:val="en-US" w:eastAsia="en-US" w:bidi="ar-SA"/>
      </w:rPr>
    </w:lvl>
    <w:lvl w:ilvl="8">
      <w:start w:val="0"/>
      <w:numFmt w:val="bullet"/>
      <w:lvlText w:val="•"/>
      <w:lvlJc w:val="left"/>
      <w:pPr>
        <w:ind w:left="9118" w:hanging="572"/>
      </w:pPr>
      <w:rPr>
        <w:rFonts w:hint="default"/>
        <w:lang w:val="en-US" w:eastAsia="en-US" w:bidi="ar-SA"/>
      </w:rPr>
    </w:lvl>
  </w:abstractNum>
  <w:abstractNum w:abstractNumId="301">
    <w:multiLevelType w:val="hybridMultilevel"/>
    <w:lvl w:ilvl="0">
      <w:start w:val="2"/>
      <w:numFmt w:val="lowerRoman"/>
      <w:lvlText w:val="(%1)"/>
      <w:lvlJc w:val="left"/>
      <w:pPr>
        <w:ind w:left="1313" w:hanging="41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412"/>
      </w:pPr>
      <w:rPr>
        <w:rFonts w:hint="default"/>
        <w:lang w:val="en-US" w:eastAsia="en-US" w:bidi="ar-SA"/>
      </w:rPr>
    </w:lvl>
    <w:lvl w:ilvl="2">
      <w:start w:val="0"/>
      <w:numFmt w:val="bullet"/>
      <w:lvlText w:val="•"/>
      <w:lvlJc w:val="left"/>
      <w:pPr>
        <w:ind w:left="3293" w:hanging="412"/>
      </w:pPr>
      <w:rPr>
        <w:rFonts w:hint="default"/>
        <w:lang w:val="en-US" w:eastAsia="en-US" w:bidi="ar-SA"/>
      </w:rPr>
    </w:lvl>
    <w:lvl w:ilvl="3">
      <w:start w:val="0"/>
      <w:numFmt w:val="bullet"/>
      <w:lvlText w:val="•"/>
      <w:lvlJc w:val="left"/>
      <w:pPr>
        <w:ind w:left="4279" w:hanging="412"/>
      </w:pPr>
      <w:rPr>
        <w:rFonts w:hint="default"/>
        <w:lang w:val="en-US" w:eastAsia="en-US" w:bidi="ar-SA"/>
      </w:rPr>
    </w:lvl>
    <w:lvl w:ilvl="4">
      <w:start w:val="0"/>
      <w:numFmt w:val="bullet"/>
      <w:lvlText w:val="•"/>
      <w:lvlJc w:val="left"/>
      <w:pPr>
        <w:ind w:left="5266" w:hanging="412"/>
      </w:pPr>
      <w:rPr>
        <w:rFonts w:hint="default"/>
        <w:lang w:val="en-US" w:eastAsia="en-US" w:bidi="ar-SA"/>
      </w:rPr>
    </w:lvl>
    <w:lvl w:ilvl="5">
      <w:start w:val="0"/>
      <w:numFmt w:val="bullet"/>
      <w:lvlText w:val="•"/>
      <w:lvlJc w:val="left"/>
      <w:pPr>
        <w:ind w:left="6253" w:hanging="412"/>
      </w:pPr>
      <w:rPr>
        <w:rFonts w:hint="default"/>
        <w:lang w:val="en-US" w:eastAsia="en-US" w:bidi="ar-SA"/>
      </w:rPr>
    </w:lvl>
    <w:lvl w:ilvl="6">
      <w:start w:val="0"/>
      <w:numFmt w:val="bullet"/>
      <w:lvlText w:val="•"/>
      <w:lvlJc w:val="left"/>
      <w:pPr>
        <w:ind w:left="7239" w:hanging="412"/>
      </w:pPr>
      <w:rPr>
        <w:rFonts w:hint="default"/>
        <w:lang w:val="en-US" w:eastAsia="en-US" w:bidi="ar-SA"/>
      </w:rPr>
    </w:lvl>
    <w:lvl w:ilvl="7">
      <w:start w:val="0"/>
      <w:numFmt w:val="bullet"/>
      <w:lvlText w:val="•"/>
      <w:lvlJc w:val="left"/>
      <w:pPr>
        <w:ind w:left="8226" w:hanging="412"/>
      </w:pPr>
      <w:rPr>
        <w:rFonts w:hint="default"/>
        <w:lang w:val="en-US" w:eastAsia="en-US" w:bidi="ar-SA"/>
      </w:rPr>
    </w:lvl>
    <w:lvl w:ilvl="8">
      <w:start w:val="0"/>
      <w:numFmt w:val="bullet"/>
      <w:lvlText w:val="•"/>
      <w:lvlJc w:val="left"/>
      <w:pPr>
        <w:ind w:left="9213" w:hanging="412"/>
      </w:pPr>
      <w:rPr>
        <w:rFonts w:hint="default"/>
        <w:lang w:val="en-US" w:eastAsia="en-US" w:bidi="ar-SA"/>
      </w:rPr>
    </w:lvl>
  </w:abstractNum>
  <w:abstractNum w:abstractNumId="300">
    <w:multiLevelType w:val="hybridMultilevel"/>
    <w:lvl w:ilvl="0">
      <w:start w:val="2"/>
      <w:numFmt w:val="lowerRoman"/>
      <w:lvlText w:val="(%1)"/>
      <w:lvlJc w:val="left"/>
      <w:pPr>
        <w:ind w:left="1713" w:hanging="40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666" w:hanging="400"/>
      </w:pPr>
      <w:rPr>
        <w:rFonts w:hint="default"/>
        <w:lang w:val="en-US" w:eastAsia="en-US" w:bidi="ar-SA"/>
      </w:rPr>
    </w:lvl>
    <w:lvl w:ilvl="2">
      <w:start w:val="0"/>
      <w:numFmt w:val="bullet"/>
      <w:lvlText w:val="•"/>
      <w:lvlJc w:val="left"/>
      <w:pPr>
        <w:ind w:left="3613" w:hanging="400"/>
      </w:pPr>
      <w:rPr>
        <w:rFonts w:hint="default"/>
        <w:lang w:val="en-US" w:eastAsia="en-US" w:bidi="ar-SA"/>
      </w:rPr>
    </w:lvl>
    <w:lvl w:ilvl="3">
      <w:start w:val="0"/>
      <w:numFmt w:val="bullet"/>
      <w:lvlText w:val="•"/>
      <w:lvlJc w:val="left"/>
      <w:pPr>
        <w:ind w:left="4559" w:hanging="400"/>
      </w:pPr>
      <w:rPr>
        <w:rFonts w:hint="default"/>
        <w:lang w:val="en-US" w:eastAsia="en-US" w:bidi="ar-SA"/>
      </w:rPr>
    </w:lvl>
    <w:lvl w:ilvl="4">
      <w:start w:val="0"/>
      <w:numFmt w:val="bullet"/>
      <w:lvlText w:val="•"/>
      <w:lvlJc w:val="left"/>
      <w:pPr>
        <w:ind w:left="5506" w:hanging="400"/>
      </w:pPr>
      <w:rPr>
        <w:rFonts w:hint="default"/>
        <w:lang w:val="en-US" w:eastAsia="en-US" w:bidi="ar-SA"/>
      </w:rPr>
    </w:lvl>
    <w:lvl w:ilvl="5">
      <w:start w:val="0"/>
      <w:numFmt w:val="bullet"/>
      <w:lvlText w:val="•"/>
      <w:lvlJc w:val="left"/>
      <w:pPr>
        <w:ind w:left="6453" w:hanging="400"/>
      </w:pPr>
      <w:rPr>
        <w:rFonts w:hint="default"/>
        <w:lang w:val="en-US" w:eastAsia="en-US" w:bidi="ar-SA"/>
      </w:rPr>
    </w:lvl>
    <w:lvl w:ilvl="6">
      <w:start w:val="0"/>
      <w:numFmt w:val="bullet"/>
      <w:lvlText w:val="•"/>
      <w:lvlJc w:val="left"/>
      <w:pPr>
        <w:ind w:left="7399" w:hanging="400"/>
      </w:pPr>
      <w:rPr>
        <w:rFonts w:hint="default"/>
        <w:lang w:val="en-US" w:eastAsia="en-US" w:bidi="ar-SA"/>
      </w:rPr>
    </w:lvl>
    <w:lvl w:ilvl="7">
      <w:start w:val="0"/>
      <w:numFmt w:val="bullet"/>
      <w:lvlText w:val="•"/>
      <w:lvlJc w:val="left"/>
      <w:pPr>
        <w:ind w:left="8346" w:hanging="400"/>
      </w:pPr>
      <w:rPr>
        <w:rFonts w:hint="default"/>
        <w:lang w:val="en-US" w:eastAsia="en-US" w:bidi="ar-SA"/>
      </w:rPr>
    </w:lvl>
    <w:lvl w:ilvl="8">
      <w:start w:val="0"/>
      <w:numFmt w:val="bullet"/>
      <w:lvlText w:val="•"/>
      <w:lvlJc w:val="left"/>
      <w:pPr>
        <w:ind w:left="9293" w:hanging="400"/>
      </w:pPr>
      <w:rPr>
        <w:rFonts w:hint="default"/>
        <w:lang w:val="en-US" w:eastAsia="en-US" w:bidi="ar-SA"/>
      </w:rPr>
    </w:lvl>
  </w:abstractNum>
  <w:abstractNum w:abstractNumId="299">
    <w:multiLevelType w:val="hybridMultilevel"/>
    <w:lvl w:ilvl="0">
      <w:start w:val="1"/>
      <w:numFmt w:val="lowerRoman"/>
      <w:lvlText w:val="(%1)"/>
      <w:lvlJc w:val="left"/>
      <w:pPr>
        <w:ind w:left="1817" w:hanging="418"/>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313" w:hanging="45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860" w:hanging="451"/>
      </w:pPr>
      <w:rPr>
        <w:rFonts w:hint="default"/>
        <w:lang w:val="en-US" w:eastAsia="en-US" w:bidi="ar-SA"/>
      </w:rPr>
    </w:lvl>
    <w:lvl w:ilvl="3">
      <w:start w:val="0"/>
      <w:numFmt w:val="bullet"/>
      <w:lvlText w:val="•"/>
      <w:lvlJc w:val="left"/>
      <w:pPr>
        <w:ind w:left="3901" w:hanging="451"/>
      </w:pPr>
      <w:rPr>
        <w:rFonts w:hint="default"/>
        <w:lang w:val="en-US" w:eastAsia="en-US" w:bidi="ar-SA"/>
      </w:rPr>
    </w:lvl>
    <w:lvl w:ilvl="4">
      <w:start w:val="0"/>
      <w:numFmt w:val="bullet"/>
      <w:lvlText w:val="•"/>
      <w:lvlJc w:val="left"/>
      <w:pPr>
        <w:ind w:left="4942" w:hanging="451"/>
      </w:pPr>
      <w:rPr>
        <w:rFonts w:hint="default"/>
        <w:lang w:val="en-US" w:eastAsia="en-US" w:bidi="ar-SA"/>
      </w:rPr>
    </w:lvl>
    <w:lvl w:ilvl="5">
      <w:start w:val="0"/>
      <w:numFmt w:val="bullet"/>
      <w:lvlText w:val="•"/>
      <w:lvlJc w:val="left"/>
      <w:pPr>
        <w:ind w:left="5982" w:hanging="451"/>
      </w:pPr>
      <w:rPr>
        <w:rFonts w:hint="default"/>
        <w:lang w:val="en-US" w:eastAsia="en-US" w:bidi="ar-SA"/>
      </w:rPr>
    </w:lvl>
    <w:lvl w:ilvl="6">
      <w:start w:val="0"/>
      <w:numFmt w:val="bullet"/>
      <w:lvlText w:val="•"/>
      <w:lvlJc w:val="left"/>
      <w:pPr>
        <w:ind w:left="7023" w:hanging="451"/>
      </w:pPr>
      <w:rPr>
        <w:rFonts w:hint="default"/>
        <w:lang w:val="en-US" w:eastAsia="en-US" w:bidi="ar-SA"/>
      </w:rPr>
    </w:lvl>
    <w:lvl w:ilvl="7">
      <w:start w:val="0"/>
      <w:numFmt w:val="bullet"/>
      <w:lvlText w:val="•"/>
      <w:lvlJc w:val="left"/>
      <w:pPr>
        <w:ind w:left="8064" w:hanging="451"/>
      </w:pPr>
      <w:rPr>
        <w:rFonts w:hint="default"/>
        <w:lang w:val="en-US" w:eastAsia="en-US" w:bidi="ar-SA"/>
      </w:rPr>
    </w:lvl>
    <w:lvl w:ilvl="8">
      <w:start w:val="0"/>
      <w:numFmt w:val="bullet"/>
      <w:lvlText w:val="•"/>
      <w:lvlJc w:val="left"/>
      <w:pPr>
        <w:ind w:left="9104" w:hanging="451"/>
      </w:pPr>
      <w:rPr>
        <w:rFonts w:hint="default"/>
        <w:lang w:val="en-US" w:eastAsia="en-US" w:bidi="ar-SA"/>
      </w:rPr>
    </w:lvl>
  </w:abstractNum>
  <w:abstractNum w:abstractNumId="298">
    <w:multiLevelType w:val="hybridMultilevel"/>
    <w:lvl w:ilvl="0">
      <w:start w:val="8"/>
      <w:numFmt w:val="decimal"/>
      <w:lvlText w:val="(%1)"/>
      <w:lvlJc w:val="left"/>
      <w:pPr>
        <w:ind w:left="1721" w:hanging="409"/>
        <w:jc w:val="left"/>
      </w:pPr>
      <w:rPr>
        <w:rFonts w:hint="default" w:ascii="Bookman Old Style" w:hAnsi="Bookman Old Style" w:eastAsia="Bookman Old Style" w:cs="Bookman Old Style"/>
        <w:b/>
        <w:bCs/>
        <w:i/>
        <w:iCs/>
        <w:spacing w:val="0"/>
        <w:w w:val="100"/>
        <w:sz w:val="24"/>
        <w:szCs w:val="24"/>
        <w:lang w:val="en-US" w:eastAsia="en-US" w:bidi="ar-SA"/>
      </w:rPr>
    </w:lvl>
    <w:lvl w:ilvl="1">
      <w:start w:val="1"/>
      <w:numFmt w:val="lowerLetter"/>
      <w:lvlText w:val="(%2)"/>
      <w:lvlJc w:val="left"/>
      <w:pPr>
        <w:ind w:left="1313" w:hanging="39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771" w:hanging="396"/>
      </w:pPr>
      <w:rPr>
        <w:rFonts w:hint="default"/>
        <w:lang w:val="en-US" w:eastAsia="en-US" w:bidi="ar-SA"/>
      </w:rPr>
    </w:lvl>
    <w:lvl w:ilvl="3">
      <w:start w:val="0"/>
      <w:numFmt w:val="bullet"/>
      <w:lvlText w:val="•"/>
      <w:lvlJc w:val="left"/>
      <w:pPr>
        <w:ind w:left="3823" w:hanging="396"/>
      </w:pPr>
      <w:rPr>
        <w:rFonts w:hint="default"/>
        <w:lang w:val="en-US" w:eastAsia="en-US" w:bidi="ar-SA"/>
      </w:rPr>
    </w:lvl>
    <w:lvl w:ilvl="4">
      <w:start w:val="0"/>
      <w:numFmt w:val="bullet"/>
      <w:lvlText w:val="•"/>
      <w:lvlJc w:val="left"/>
      <w:pPr>
        <w:ind w:left="4875" w:hanging="396"/>
      </w:pPr>
      <w:rPr>
        <w:rFonts w:hint="default"/>
        <w:lang w:val="en-US" w:eastAsia="en-US" w:bidi="ar-SA"/>
      </w:rPr>
    </w:lvl>
    <w:lvl w:ilvl="5">
      <w:start w:val="0"/>
      <w:numFmt w:val="bullet"/>
      <w:lvlText w:val="•"/>
      <w:lvlJc w:val="left"/>
      <w:pPr>
        <w:ind w:left="5927" w:hanging="396"/>
      </w:pPr>
      <w:rPr>
        <w:rFonts w:hint="default"/>
        <w:lang w:val="en-US" w:eastAsia="en-US" w:bidi="ar-SA"/>
      </w:rPr>
    </w:lvl>
    <w:lvl w:ilvl="6">
      <w:start w:val="0"/>
      <w:numFmt w:val="bullet"/>
      <w:lvlText w:val="•"/>
      <w:lvlJc w:val="left"/>
      <w:pPr>
        <w:ind w:left="6979" w:hanging="396"/>
      </w:pPr>
      <w:rPr>
        <w:rFonts w:hint="default"/>
        <w:lang w:val="en-US" w:eastAsia="en-US" w:bidi="ar-SA"/>
      </w:rPr>
    </w:lvl>
    <w:lvl w:ilvl="7">
      <w:start w:val="0"/>
      <w:numFmt w:val="bullet"/>
      <w:lvlText w:val="•"/>
      <w:lvlJc w:val="left"/>
      <w:pPr>
        <w:ind w:left="8030" w:hanging="396"/>
      </w:pPr>
      <w:rPr>
        <w:rFonts w:hint="default"/>
        <w:lang w:val="en-US" w:eastAsia="en-US" w:bidi="ar-SA"/>
      </w:rPr>
    </w:lvl>
    <w:lvl w:ilvl="8">
      <w:start w:val="0"/>
      <w:numFmt w:val="bullet"/>
      <w:lvlText w:val="•"/>
      <w:lvlJc w:val="left"/>
      <w:pPr>
        <w:ind w:left="9082" w:hanging="396"/>
      </w:pPr>
      <w:rPr>
        <w:rFonts w:hint="default"/>
        <w:lang w:val="en-US" w:eastAsia="en-US" w:bidi="ar-SA"/>
      </w:rPr>
    </w:lvl>
  </w:abstractNum>
  <w:abstractNum w:abstractNumId="297">
    <w:multiLevelType w:val="hybridMultilevel"/>
    <w:lvl w:ilvl="0">
      <w:start w:val="1"/>
      <w:numFmt w:val="lowerRoman"/>
      <w:lvlText w:val="(%1)"/>
      <w:lvlJc w:val="left"/>
      <w:pPr>
        <w:ind w:left="110" w:hanging="338"/>
        <w:jc w:val="left"/>
      </w:pPr>
      <w:rPr>
        <w:rFonts w:hint="default" w:ascii="Bookman Old Style" w:hAnsi="Bookman Old Style" w:eastAsia="Bookman Old Style" w:cs="Bookman Old Style"/>
        <w:b w:val="0"/>
        <w:bCs w:val="0"/>
        <w:i w:val="0"/>
        <w:iCs w:val="0"/>
        <w:spacing w:val="-2"/>
        <w:w w:val="100"/>
        <w:sz w:val="22"/>
        <w:szCs w:val="22"/>
        <w:lang w:val="en-US" w:eastAsia="en-US" w:bidi="ar-SA"/>
      </w:rPr>
    </w:lvl>
    <w:lvl w:ilvl="1">
      <w:start w:val="0"/>
      <w:numFmt w:val="bullet"/>
      <w:lvlText w:val="•"/>
      <w:lvlJc w:val="left"/>
      <w:pPr>
        <w:ind w:left="290" w:hanging="338"/>
      </w:pPr>
      <w:rPr>
        <w:rFonts w:hint="default"/>
        <w:lang w:val="en-US" w:eastAsia="en-US" w:bidi="ar-SA"/>
      </w:rPr>
    </w:lvl>
    <w:lvl w:ilvl="2">
      <w:start w:val="0"/>
      <w:numFmt w:val="bullet"/>
      <w:lvlText w:val="•"/>
      <w:lvlJc w:val="left"/>
      <w:pPr>
        <w:ind w:left="461" w:hanging="338"/>
      </w:pPr>
      <w:rPr>
        <w:rFonts w:hint="default"/>
        <w:lang w:val="en-US" w:eastAsia="en-US" w:bidi="ar-SA"/>
      </w:rPr>
    </w:lvl>
    <w:lvl w:ilvl="3">
      <w:start w:val="0"/>
      <w:numFmt w:val="bullet"/>
      <w:lvlText w:val="•"/>
      <w:lvlJc w:val="left"/>
      <w:pPr>
        <w:ind w:left="632" w:hanging="338"/>
      </w:pPr>
      <w:rPr>
        <w:rFonts w:hint="default"/>
        <w:lang w:val="en-US" w:eastAsia="en-US" w:bidi="ar-SA"/>
      </w:rPr>
    </w:lvl>
    <w:lvl w:ilvl="4">
      <w:start w:val="0"/>
      <w:numFmt w:val="bullet"/>
      <w:lvlText w:val="•"/>
      <w:lvlJc w:val="left"/>
      <w:pPr>
        <w:ind w:left="803" w:hanging="338"/>
      </w:pPr>
      <w:rPr>
        <w:rFonts w:hint="default"/>
        <w:lang w:val="en-US" w:eastAsia="en-US" w:bidi="ar-SA"/>
      </w:rPr>
    </w:lvl>
    <w:lvl w:ilvl="5">
      <w:start w:val="0"/>
      <w:numFmt w:val="bullet"/>
      <w:lvlText w:val="•"/>
      <w:lvlJc w:val="left"/>
      <w:pPr>
        <w:ind w:left="974" w:hanging="338"/>
      </w:pPr>
      <w:rPr>
        <w:rFonts w:hint="default"/>
        <w:lang w:val="en-US" w:eastAsia="en-US" w:bidi="ar-SA"/>
      </w:rPr>
    </w:lvl>
    <w:lvl w:ilvl="6">
      <w:start w:val="0"/>
      <w:numFmt w:val="bullet"/>
      <w:lvlText w:val="•"/>
      <w:lvlJc w:val="left"/>
      <w:pPr>
        <w:ind w:left="1144" w:hanging="338"/>
      </w:pPr>
      <w:rPr>
        <w:rFonts w:hint="default"/>
        <w:lang w:val="en-US" w:eastAsia="en-US" w:bidi="ar-SA"/>
      </w:rPr>
    </w:lvl>
    <w:lvl w:ilvl="7">
      <w:start w:val="0"/>
      <w:numFmt w:val="bullet"/>
      <w:lvlText w:val="•"/>
      <w:lvlJc w:val="left"/>
      <w:pPr>
        <w:ind w:left="1315" w:hanging="338"/>
      </w:pPr>
      <w:rPr>
        <w:rFonts w:hint="default"/>
        <w:lang w:val="en-US" w:eastAsia="en-US" w:bidi="ar-SA"/>
      </w:rPr>
    </w:lvl>
    <w:lvl w:ilvl="8">
      <w:start w:val="0"/>
      <w:numFmt w:val="bullet"/>
      <w:lvlText w:val="•"/>
      <w:lvlJc w:val="left"/>
      <w:pPr>
        <w:ind w:left="1486" w:hanging="338"/>
      </w:pPr>
      <w:rPr>
        <w:rFonts w:hint="default"/>
        <w:lang w:val="en-US" w:eastAsia="en-US" w:bidi="ar-SA"/>
      </w:rPr>
    </w:lvl>
  </w:abstractNum>
  <w:abstractNum w:abstractNumId="296">
    <w:multiLevelType w:val="hybridMultilevel"/>
    <w:lvl w:ilvl="0">
      <w:start w:val="1"/>
      <w:numFmt w:val="decimal"/>
      <w:lvlText w:val="%1."/>
      <w:lvlJc w:val="left"/>
      <w:pPr>
        <w:ind w:left="2213" w:hanging="90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116" w:hanging="900"/>
      </w:pPr>
      <w:rPr>
        <w:rFonts w:hint="default"/>
        <w:lang w:val="en-US" w:eastAsia="en-US" w:bidi="ar-SA"/>
      </w:rPr>
    </w:lvl>
    <w:lvl w:ilvl="2">
      <w:start w:val="0"/>
      <w:numFmt w:val="bullet"/>
      <w:lvlText w:val="•"/>
      <w:lvlJc w:val="left"/>
      <w:pPr>
        <w:ind w:left="4013" w:hanging="900"/>
      </w:pPr>
      <w:rPr>
        <w:rFonts w:hint="default"/>
        <w:lang w:val="en-US" w:eastAsia="en-US" w:bidi="ar-SA"/>
      </w:rPr>
    </w:lvl>
    <w:lvl w:ilvl="3">
      <w:start w:val="0"/>
      <w:numFmt w:val="bullet"/>
      <w:lvlText w:val="•"/>
      <w:lvlJc w:val="left"/>
      <w:pPr>
        <w:ind w:left="4909" w:hanging="900"/>
      </w:pPr>
      <w:rPr>
        <w:rFonts w:hint="default"/>
        <w:lang w:val="en-US" w:eastAsia="en-US" w:bidi="ar-SA"/>
      </w:rPr>
    </w:lvl>
    <w:lvl w:ilvl="4">
      <w:start w:val="0"/>
      <w:numFmt w:val="bullet"/>
      <w:lvlText w:val="•"/>
      <w:lvlJc w:val="left"/>
      <w:pPr>
        <w:ind w:left="5806" w:hanging="900"/>
      </w:pPr>
      <w:rPr>
        <w:rFonts w:hint="default"/>
        <w:lang w:val="en-US" w:eastAsia="en-US" w:bidi="ar-SA"/>
      </w:rPr>
    </w:lvl>
    <w:lvl w:ilvl="5">
      <w:start w:val="0"/>
      <w:numFmt w:val="bullet"/>
      <w:lvlText w:val="•"/>
      <w:lvlJc w:val="left"/>
      <w:pPr>
        <w:ind w:left="6703" w:hanging="900"/>
      </w:pPr>
      <w:rPr>
        <w:rFonts w:hint="default"/>
        <w:lang w:val="en-US" w:eastAsia="en-US" w:bidi="ar-SA"/>
      </w:rPr>
    </w:lvl>
    <w:lvl w:ilvl="6">
      <w:start w:val="0"/>
      <w:numFmt w:val="bullet"/>
      <w:lvlText w:val="•"/>
      <w:lvlJc w:val="left"/>
      <w:pPr>
        <w:ind w:left="7599" w:hanging="900"/>
      </w:pPr>
      <w:rPr>
        <w:rFonts w:hint="default"/>
        <w:lang w:val="en-US" w:eastAsia="en-US" w:bidi="ar-SA"/>
      </w:rPr>
    </w:lvl>
    <w:lvl w:ilvl="7">
      <w:start w:val="0"/>
      <w:numFmt w:val="bullet"/>
      <w:lvlText w:val="•"/>
      <w:lvlJc w:val="left"/>
      <w:pPr>
        <w:ind w:left="8496" w:hanging="900"/>
      </w:pPr>
      <w:rPr>
        <w:rFonts w:hint="default"/>
        <w:lang w:val="en-US" w:eastAsia="en-US" w:bidi="ar-SA"/>
      </w:rPr>
    </w:lvl>
    <w:lvl w:ilvl="8">
      <w:start w:val="0"/>
      <w:numFmt w:val="bullet"/>
      <w:lvlText w:val="•"/>
      <w:lvlJc w:val="left"/>
      <w:pPr>
        <w:ind w:left="9393" w:hanging="900"/>
      </w:pPr>
      <w:rPr>
        <w:rFonts w:hint="default"/>
        <w:lang w:val="en-US" w:eastAsia="en-US" w:bidi="ar-SA"/>
      </w:rPr>
    </w:lvl>
  </w:abstractNum>
  <w:abstractNum w:abstractNumId="295">
    <w:multiLevelType w:val="hybridMultilevel"/>
    <w:lvl w:ilvl="0">
      <w:start w:val="1"/>
      <w:numFmt w:val="lowerRoman"/>
      <w:lvlText w:val="(%1)"/>
      <w:lvlJc w:val="left"/>
      <w:pPr>
        <w:ind w:left="106" w:hanging="29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49" w:hanging="293"/>
      </w:pPr>
      <w:rPr>
        <w:rFonts w:hint="default"/>
        <w:lang w:val="en-US" w:eastAsia="en-US" w:bidi="ar-SA"/>
      </w:rPr>
    </w:lvl>
    <w:lvl w:ilvl="2">
      <w:start w:val="0"/>
      <w:numFmt w:val="bullet"/>
      <w:lvlText w:val="•"/>
      <w:lvlJc w:val="left"/>
      <w:pPr>
        <w:ind w:left="799" w:hanging="293"/>
      </w:pPr>
      <w:rPr>
        <w:rFonts w:hint="default"/>
        <w:lang w:val="en-US" w:eastAsia="en-US" w:bidi="ar-SA"/>
      </w:rPr>
    </w:lvl>
    <w:lvl w:ilvl="3">
      <w:start w:val="0"/>
      <w:numFmt w:val="bullet"/>
      <w:lvlText w:val="•"/>
      <w:lvlJc w:val="left"/>
      <w:pPr>
        <w:ind w:left="1149" w:hanging="293"/>
      </w:pPr>
      <w:rPr>
        <w:rFonts w:hint="default"/>
        <w:lang w:val="en-US" w:eastAsia="en-US" w:bidi="ar-SA"/>
      </w:rPr>
    </w:lvl>
    <w:lvl w:ilvl="4">
      <w:start w:val="0"/>
      <w:numFmt w:val="bullet"/>
      <w:lvlText w:val="•"/>
      <w:lvlJc w:val="left"/>
      <w:pPr>
        <w:ind w:left="1498" w:hanging="293"/>
      </w:pPr>
      <w:rPr>
        <w:rFonts w:hint="default"/>
        <w:lang w:val="en-US" w:eastAsia="en-US" w:bidi="ar-SA"/>
      </w:rPr>
    </w:lvl>
    <w:lvl w:ilvl="5">
      <w:start w:val="0"/>
      <w:numFmt w:val="bullet"/>
      <w:lvlText w:val="•"/>
      <w:lvlJc w:val="left"/>
      <w:pPr>
        <w:ind w:left="1848" w:hanging="293"/>
      </w:pPr>
      <w:rPr>
        <w:rFonts w:hint="default"/>
        <w:lang w:val="en-US" w:eastAsia="en-US" w:bidi="ar-SA"/>
      </w:rPr>
    </w:lvl>
    <w:lvl w:ilvl="6">
      <w:start w:val="0"/>
      <w:numFmt w:val="bullet"/>
      <w:lvlText w:val="•"/>
      <w:lvlJc w:val="left"/>
      <w:pPr>
        <w:ind w:left="2198" w:hanging="293"/>
      </w:pPr>
      <w:rPr>
        <w:rFonts w:hint="default"/>
        <w:lang w:val="en-US" w:eastAsia="en-US" w:bidi="ar-SA"/>
      </w:rPr>
    </w:lvl>
    <w:lvl w:ilvl="7">
      <w:start w:val="0"/>
      <w:numFmt w:val="bullet"/>
      <w:lvlText w:val="•"/>
      <w:lvlJc w:val="left"/>
      <w:pPr>
        <w:ind w:left="2547" w:hanging="293"/>
      </w:pPr>
      <w:rPr>
        <w:rFonts w:hint="default"/>
        <w:lang w:val="en-US" w:eastAsia="en-US" w:bidi="ar-SA"/>
      </w:rPr>
    </w:lvl>
    <w:lvl w:ilvl="8">
      <w:start w:val="0"/>
      <w:numFmt w:val="bullet"/>
      <w:lvlText w:val="•"/>
      <w:lvlJc w:val="left"/>
      <w:pPr>
        <w:ind w:left="2897" w:hanging="293"/>
      </w:pPr>
      <w:rPr>
        <w:rFonts w:hint="default"/>
        <w:lang w:val="en-US" w:eastAsia="en-US" w:bidi="ar-SA"/>
      </w:rPr>
    </w:lvl>
  </w:abstractNum>
  <w:abstractNum w:abstractNumId="294">
    <w:multiLevelType w:val="hybridMultilevel"/>
    <w:lvl w:ilvl="0">
      <w:start w:val="1"/>
      <w:numFmt w:val="lowerRoman"/>
      <w:lvlText w:val="(%1)"/>
      <w:lvlJc w:val="left"/>
      <w:pPr>
        <w:ind w:left="106" w:hanging="29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49" w:hanging="293"/>
      </w:pPr>
      <w:rPr>
        <w:rFonts w:hint="default"/>
        <w:lang w:val="en-US" w:eastAsia="en-US" w:bidi="ar-SA"/>
      </w:rPr>
    </w:lvl>
    <w:lvl w:ilvl="2">
      <w:start w:val="0"/>
      <w:numFmt w:val="bullet"/>
      <w:lvlText w:val="•"/>
      <w:lvlJc w:val="left"/>
      <w:pPr>
        <w:ind w:left="799" w:hanging="293"/>
      </w:pPr>
      <w:rPr>
        <w:rFonts w:hint="default"/>
        <w:lang w:val="en-US" w:eastAsia="en-US" w:bidi="ar-SA"/>
      </w:rPr>
    </w:lvl>
    <w:lvl w:ilvl="3">
      <w:start w:val="0"/>
      <w:numFmt w:val="bullet"/>
      <w:lvlText w:val="•"/>
      <w:lvlJc w:val="left"/>
      <w:pPr>
        <w:ind w:left="1149" w:hanging="293"/>
      </w:pPr>
      <w:rPr>
        <w:rFonts w:hint="default"/>
        <w:lang w:val="en-US" w:eastAsia="en-US" w:bidi="ar-SA"/>
      </w:rPr>
    </w:lvl>
    <w:lvl w:ilvl="4">
      <w:start w:val="0"/>
      <w:numFmt w:val="bullet"/>
      <w:lvlText w:val="•"/>
      <w:lvlJc w:val="left"/>
      <w:pPr>
        <w:ind w:left="1498" w:hanging="293"/>
      </w:pPr>
      <w:rPr>
        <w:rFonts w:hint="default"/>
        <w:lang w:val="en-US" w:eastAsia="en-US" w:bidi="ar-SA"/>
      </w:rPr>
    </w:lvl>
    <w:lvl w:ilvl="5">
      <w:start w:val="0"/>
      <w:numFmt w:val="bullet"/>
      <w:lvlText w:val="•"/>
      <w:lvlJc w:val="left"/>
      <w:pPr>
        <w:ind w:left="1848" w:hanging="293"/>
      </w:pPr>
      <w:rPr>
        <w:rFonts w:hint="default"/>
        <w:lang w:val="en-US" w:eastAsia="en-US" w:bidi="ar-SA"/>
      </w:rPr>
    </w:lvl>
    <w:lvl w:ilvl="6">
      <w:start w:val="0"/>
      <w:numFmt w:val="bullet"/>
      <w:lvlText w:val="•"/>
      <w:lvlJc w:val="left"/>
      <w:pPr>
        <w:ind w:left="2198" w:hanging="293"/>
      </w:pPr>
      <w:rPr>
        <w:rFonts w:hint="default"/>
        <w:lang w:val="en-US" w:eastAsia="en-US" w:bidi="ar-SA"/>
      </w:rPr>
    </w:lvl>
    <w:lvl w:ilvl="7">
      <w:start w:val="0"/>
      <w:numFmt w:val="bullet"/>
      <w:lvlText w:val="•"/>
      <w:lvlJc w:val="left"/>
      <w:pPr>
        <w:ind w:left="2547" w:hanging="293"/>
      </w:pPr>
      <w:rPr>
        <w:rFonts w:hint="default"/>
        <w:lang w:val="en-US" w:eastAsia="en-US" w:bidi="ar-SA"/>
      </w:rPr>
    </w:lvl>
    <w:lvl w:ilvl="8">
      <w:start w:val="0"/>
      <w:numFmt w:val="bullet"/>
      <w:lvlText w:val="•"/>
      <w:lvlJc w:val="left"/>
      <w:pPr>
        <w:ind w:left="2897" w:hanging="293"/>
      </w:pPr>
      <w:rPr>
        <w:rFonts w:hint="default"/>
        <w:lang w:val="en-US" w:eastAsia="en-US" w:bidi="ar-SA"/>
      </w:rPr>
    </w:lvl>
  </w:abstractNum>
  <w:abstractNum w:abstractNumId="293">
    <w:multiLevelType w:val="hybridMultilevel"/>
    <w:lvl w:ilvl="0">
      <w:start w:val="1"/>
      <w:numFmt w:val="lowerRoman"/>
      <w:lvlText w:val="(%1)"/>
      <w:lvlJc w:val="left"/>
      <w:pPr>
        <w:ind w:left="106" w:hanging="29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49" w:hanging="293"/>
      </w:pPr>
      <w:rPr>
        <w:rFonts w:hint="default"/>
        <w:lang w:val="en-US" w:eastAsia="en-US" w:bidi="ar-SA"/>
      </w:rPr>
    </w:lvl>
    <w:lvl w:ilvl="2">
      <w:start w:val="0"/>
      <w:numFmt w:val="bullet"/>
      <w:lvlText w:val="•"/>
      <w:lvlJc w:val="left"/>
      <w:pPr>
        <w:ind w:left="799" w:hanging="293"/>
      </w:pPr>
      <w:rPr>
        <w:rFonts w:hint="default"/>
        <w:lang w:val="en-US" w:eastAsia="en-US" w:bidi="ar-SA"/>
      </w:rPr>
    </w:lvl>
    <w:lvl w:ilvl="3">
      <w:start w:val="0"/>
      <w:numFmt w:val="bullet"/>
      <w:lvlText w:val="•"/>
      <w:lvlJc w:val="left"/>
      <w:pPr>
        <w:ind w:left="1149" w:hanging="293"/>
      </w:pPr>
      <w:rPr>
        <w:rFonts w:hint="default"/>
        <w:lang w:val="en-US" w:eastAsia="en-US" w:bidi="ar-SA"/>
      </w:rPr>
    </w:lvl>
    <w:lvl w:ilvl="4">
      <w:start w:val="0"/>
      <w:numFmt w:val="bullet"/>
      <w:lvlText w:val="•"/>
      <w:lvlJc w:val="left"/>
      <w:pPr>
        <w:ind w:left="1498" w:hanging="293"/>
      </w:pPr>
      <w:rPr>
        <w:rFonts w:hint="default"/>
        <w:lang w:val="en-US" w:eastAsia="en-US" w:bidi="ar-SA"/>
      </w:rPr>
    </w:lvl>
    <w:lvl w:ilvl="5">
      <w:start w:val="0"/>
      <w:numFmt w:val="bullet"/>
      <w:lvlText w:val="•"/>
      <w:lvlJc w:val="left"/>
      <w:pPr>
        <w:ind w:left="1848" w:hanging="293"/>
      </w:pPr>
      <w:rPr>
        <w:rFonts w:hint="default"/>
        <w:lang w:val="en-US" w:eastAsia="en-US" w:bidi="ar-SA"/>
      </w:rPr>
    </w:lvl>
    <w:lvl w:ilvl="6">
      <w:start w:val="0"/>
      <w:numFmt w:val="bullet"/>
      <w:lvlText w:val="•"/>
      <w:lvlJc w:val="left"/>
      <w:pPr>
        <w:ind w:left="2198" w:hanging="293"/>
      </w:pPr>
      <w:rPr>
        <w:rFonts w:hint="default"/>
        <w:lang w:val="en-US" w:eastAsia="en-US" w:bidi="ar-SA"/>
      </w:rPr>
    </w:lvl>
    <w:lvl w:ilvl="7">
      <w:start w:val="0"/>
      <w:numFmt w:val="bullet"/>
      <w:lvlText w:val="•"/>
      <w:lvlJc w:val="left"/>
      <w:pPr>
        <w:ind w:left="2547" w:hanging="293"/>
      </w:pPr>
      <w:rPr>
        <w:rFonts w:hint="default"/>
        <w:lang w:val="en-US" w:eastAsia="en-US" w:bidi="ar-SA"/>
      </w:rPr>
    </w:lvl>
    <w:lvl w:ilvl="8">
      <w:start w:val="0"/>
      <w:numFmt w:val="bullet"/>
      <w:lvlText w:val="•"/>
      <w:lvlJc w:val="left"/>
      <w:pPr>
        <w:ind w:left="2897" w:hanging="293"/>
      </w:pPr>
      <w:rPr>
        <w:rFonts w:hint="default"/>
        <w:lang w:val="en-US" w:eastAsia="en-US" w:bidi="ar-SA"/>
      </w:rPr>
    </w:lvl>
  </w:abstractNum>
  <w:abstractNum w:abstractNumId="292">
    <w:multiLevelType w:val="hybridMultilevel"/>
    <w:lvl w:ilvl="0">
      <w:start w:val="7"/>
      <w:numFmt w:val="decimal"/>
      <w:lvlText w:val="(%1)."/>
      <w:lvlJc w:val="left"/>
      <w:pPr>
        <w:ind w:left="1797" w:hanging="485"/>
        <w:jc w:val="left"/>
      </w:pPr>
      <w:rPr>
        <w:rFonts w:hint="default" w:ascii="Bookman Old Style" w:hAnsi="Bookman Old Style" w:eastAsia="Bookman Old Style" w:cs="Bookman Old Style"/>
        <w:b/>
        <w:bCs/>
        <w:i/>
        <w:iCs/>
        <w:spacing w:val="0"/>
        <w:w w:val="100"/>
        <w:sz w:val="24"/>
        <w:szCs w:val="24"/>
        <w:lang w:val="en-US" w:eastAsia="en-US" w:bidi="ar-SA"/>
      </w:rPr>
    </w:lvl>
    <w:lvl w:ilvl="1">
      <w:start w:val="1"/>
      <w:numFmt w:val="lowerLetter"/>
      <w:lvlText w:val="(%2)"/>
      <w:lvlJc w:val="left"/>
      <w:pPr>
        <w:ind w:left="1313" w:hanging="39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842" w:hanging="396"/>
      </w:pPr>
      <w:rPr>
        <w:rFonts w:hint="default"/>
        <w:lang w:val="en-US" w:eastAsia="en-US" w:bidi="ar-SA"/>
      </w:rPr>
    </w:lvl>
    <w:lvl w:ilvl="3">
      <w:start w:val="0"/>
      <w:numFmt w:val="bullet"/>
      <w:lvlText w:val="•"/>
      <w:lvlJc w:val="left"/>
      <w:pPr>
        <w:ind w:left="3885" w:hanging="396"/>
      </w:pPr>
      <w:rPr>
        <w:rFonts w:hint="default"/>
        <w:lang w:val="en-US" w:eastAsia="en-US" w:bidi="ar-SA"/>
      </w:rPr>
    </w:lvl>
    <w:lvl w:ilvl="4">
      <w:start w:val="0"/>
      <w:numFmt w:val="bullet"/>
      <w:lvlText w:val="•"/>
      <w:lvlJc w:val="left"/>
      <w:pPr>
        <w:ind w:left="4928" w:hanging="396"/>
      </w:pPr>
      <w:rPr>
        <w:rFonts w:hint="default"/>
        <w:lang w:val="en-US" w:eastAsia="en-US" w:bidi="ar-SA"/>
      </w:rPr>
    </w:lvl>
    <w:lvl w:ilvl="5">
      <w:start w:val="0"/>
      <w:numFmt w:val="bullet"/>
      <w:lvlText w:val="•"/>
      <w:lvlJc w:val="left"/>
      <w:pPr>
        <w:ind w:left="5971" w:hanging="396"/>
      </w:pPr>
      <w:rPr>
        <w:rFonts w:hint="default"/>
        <w:lang w:val="en-US" w:eastAsia="en-US" w:bidi="ar-SA"/>
      </w:rPr>
    </w:lvl>
    <w:lvl w:ilvl="6">
      <w:start w:val="0"/>
      <w:numFmt w:val="bullet"/>
      <w:lvlText w:val="•"/>
      <w:lvlJc w:val="left"/>
      <w:pPr>
        <w:ind w:left="7014" w:hanging="396"/>
      </w:pPr>
      <w:rPr>
        <w:rFonts w:hint="default"/>
        <w:lang w:val="en-US" w:eastAsia="en-US" w:bidi="ar-SA"/>
      </w:rPr>
    </w:lvl>
    <w:lvl w:ilvl="7">
      <w:start w:val="0"/>
      <w:numFmt w:val="bullet"/>
      <w:lvlText w:val="•"/>
      <w:lvlJc w:val="left"/>
      <w:pPr>
        <w:ind w:left="8057" w:hanging="396"/>
      </w:pPr>
      <w:rPr>
        <w:rFonts w:hint="default"/>
        <w:lang w:val="en-US" w:eastAsia="en-US" w:bidi="ar-SA"/>
      </w:rPr>
    </w:lvl>
    <w:lvl w:ilvl="8">
      <w:start w:val="0"/>
      <w:numFmt w:val="bullet"/>
      <w:lvlText w:val="•"/>
      <w:lvlJc w:val="left"/>
      <w:pPr>
        <w:ind w:left="9100" w:hanging="396"/>
      </w:pPr>
      <w:rPr>
        <w:rFonts w:hint="default"/>
        <w:lang w:val="en-US" w:eastAsia="en-US" w:bidi="ar-SA"/>
      </w:rPr>
    </w:lvl>
  </w:abstractNum>
  <w:abstractNum w:abstractNumId="291">
    <w:multiLevelType w:val="hybridMultilevel"/>
    <w:lvl w:ilvl="0">
      <w:start w:val="1"/>
      <w:numFmt w:val="lowerRoman"/>
      <w:lvlText w:val="(%1)"/>
      <w:lvlJc w:val="left"/>
      <w:pPr>
        <w:ind w:left="111" w:hanging="200"/>
        <w:jc w:val="left"/>
      </w:pPr>
      <w:rPr>
        <w:rFonts w:hint="default" w:ascii="Bookman Old Style" w:hAnsi="Bookman Old Style" w:eastAsia="Bookman Old Style" w:cs="Bookman Old Style"/>
        <w:b w:val="0"/>
        <w:bCs w:val="0"/>
        <w:i w:val="0"/>
        <w:iCs w:val="0"/>
        <w:spacing w:val="-2"/>
        <w:w w:val="100"/>
        <w:sz w:val="20"/>
        <w:szCs w:val="20"/>
        <w:lang w:val="en-US" w:eastAsia="en-US" w:bidi="ar-SA"/>
      </w:rPr>
    </w:lvl>
    <w:lvl w:ilvl="1">
      <w:start w:val="0"/>
      <w:numFmt w:val="bullet"/>
      <w:lvlText w:val="•"/>
      <w:lvlJc w:val="left"/>
      <w:pPr>
        <w:ind w:left="386" w:hanging="200"/>
      </w:pPr>
      <w:rPr>
        <w:rFonts w:hint="default"/>
        <w:lang w:val="en-US" w:eastAsia="en-US" w:bidi="ar-SA"/>
      </w:rPr>
    </w:lvl>
    <w:lvl w:ilvl="2">
      <w:start w:val="0"/>
      <w:numFmt w:val="bullet"/>
      <w:lvlText w:val="•"/>
      <w:lvlJc w:val="left"/>
      <w:pPr>
        <w:ind w:left="653" w:hanging="200"/>
      </w:pPr>
      <w:rPr>
        <w:rFonts w:hint="default"/>
        <w:lang w:val="en-US" w:eastAsia="en-US" w:bidi="ar-SA"/>
      </w:rPr>
    </w:lvl>
    <w:lvl w:ilvl="3">
      <w:start w:val="0"/>
      <w:numFmt w:val="bullet"/>
      <w:lvlText w:val="•"/>
      <w:lvlJc w:val="left"/>
      <w:pPr>
        <w:ind w:left="919" w:hanging="200"/>
      </w:pPr>
      <w:rPr>
        <w:rFonts w:hint="default"/>
        <w:lang w:val="en-US" w:eastAsia="en-US" w:bidi="ar-SA"/>
      </w:rPr>
    </w:lvl>
    <w:lvl w:ilvl="4">
      <w:start w:val="0"/>
      <w:numFmt w:val="bullet"/>
      <w:lvlText w:val="•"/>
      <w:lvlJc w:val="left"/>
      <w:pPr>
        <w:ind w:left="1186" w:hanging="200"/>
      </w:pPr>
      <w:rPr>
        <w:rFonts w:hint="default"/>
        <w:lang w:val="en-US" w:eastAsia="en-US" w:bidi="ar-SA"/>
      </w:rPr>
    </w:lvl>
    <w:lvl w:ilvl="5">
      <w:start w:val="0"/>
      <w:numFmt w:val="bullet"/>
      <w:lvlText w:val="•"/>
      <w:lvlJc w:val="left"/>
      <w:pPr>
        <w:ind w:left="1453" w:hanging="200"/>
      </w:pPr>
      <w:rPr>
        <w:rFonts w:hint="default"/>
        <w:lang w:val="en-US" w:eastAsia="en-US" w:bidi="ar-SA"/>
      </w:rPr>
    </w:lvl>
    <w:lvl w:ilvl="6">
      <w:start w:val="0"/>
      <w:numFmt w:val="bullet"/>
      <w:lvlText w:val="•"/>
      <w:lvlJc w:val="left"/>
      <w:pPr>
        <w:ind w:left="1719" w:hanging="200"/>
      </w:pPr>
      <w:rPr>
        <w:rFonts w:hint="default"/>
        <w:lang w:val="en-US" w:eastAsia="en-US" w:bidi="ar-SA"/>
      </w:rPr>
    </w:lvl>
    <w:lvl w:ilvl="7">
      <w:start w:val="0"/>
      <w:numFmt w:val="bullet"/>
      <w:lvlText w:val="•"/>
      <w:lvlJc w:val="left"/>
      <w:pPr>
        <w:ind w:left="1986" w:hanging="200"/>
      </w:pPr>
      <w:rPr>
        <w:rFonts w:hint="default"/>
        <w:lang w:val="en-US" w:eastAsia="en-US" w:bidi="ar-SA"/>
      </w:rPr>
    </w:lvl>
    <w:lvl w:ilvl="8">
      <w:start w:val="0"/>
      <w:numFmt w:val="bullet"/>
      <w:lvlText w:val="•"/>
      <w:lvlJc w:val="left"/>
      <w:pPr>
        <w:ind w:left="2252" w:hanging="200"/>
      </w:pPr>
      <w:rPr>
        <w:rFonts w:hint="default"/>
        <w:lang w:val="en-US" w:eastAsia="en-US" w:bidi="ar-SA"/>
      </w:rPr>
    </w:lvl>
  </w:abstractNum>
  <w:abstractNum w:abstractNumId="290">
    <w:multiLevelType w:val="hybridMultilevel"/>
    <w:lvl w:ilvl="0">
      <w:start w:val="1"/>
      <w:numFmt w:val="lowerRoman"/>
      <w:lvlText w:val="%1)"/>
      <w:lvlJc w:val="left"/>
      <w:pPr>
        <w:ind w:left="328" w:hanging="221"/>
        <w:jc w:val="left"/>
      </w:pPr>
      <w:rPr>
        <w:rFonts w:hint="default" w:ascii="Bookman Old Style" w:hAnsi="Bookman Old Style" w:eastAsia="Bookman Old Style" w:cs="Bookman Old Style"/>
        <w:b w:val="0"/>
        <w:bCs w:val="0"/>
        <w:i w:val="0"/>
        <w:iCs w:val="0"/>
        <w:spacing w:val="0"/>
        <w:w w:val="90"/>
        <w:sz w:val="24"/>
        <w:szCs w:val="24"/>
        <w:lang w:val="en-US" w:eastAsia="en-US" w:bidi="ar-SA"/>
      </w:rPr>
    </w:lvl>
    <w:lvl w:ilvl="1">
      <w:start w:val="0"/>
      <w:numFmt w:val="bullet"/>
      <w:lvlText w:val="•"/>
      <w:lvlJc w:val="left"/>
      <w:pPr>
        <w:ind w:left="700" w:hanging="221"/>
      </w:pPr>
      <w:rPr>
        <w:rFonts w:hint="default"/>
        <w:lang w:val="en-US" w:eastAsia="en-US" w:bidi="ar-SA"/>
      </w:rPr>
    </w:lvl>
    <w:lvl w:ilvl="2">
      <w:start w:val="0"/>
      <w:numFmt w:val="bullet"/>
      <w:lvlText w:val="•"/>
      <w:lvlJc w:val="left"/>
      <w:pPr>
        <w:ind w:left="1081" w:hanging="221"/>
      </w:pPr>
      <w:rPr>
        <w:rFonts w:hint="default"/>
        <w:lang w:val="en-US" w:eastAsia="en-US" w:bidi="ar-SA"/>
      </w:rPr>
    </w:lvl>
    <w:lvl w:ilvl="3">
      <w:start w:val="0"/>
      <w:numFmt w:val="bullet"/>
      <w:lvlText w:val="•"/>
      <w:lvlJc w:val="left"/>
      <w:pPr>
        <w:ind w:left="1461" w:hanging="221"/>
      </w:pPr>
      <w:rPr>
        <w:rFonts w:hint="default"/>
        <w:lang w:val="en-US" w:eastAsia="en-US" w:bidi="ar-SA"/>
      </w:rPr>
    </w:lvl>
    <w:lvl w:ilvl="4">
      <w:start w:val="0"/>
      <w:numFmt w:val="bullet"/>
      <w:lvlText w:val="•"/>
      <w:lvlJc w:val="left"/>
      <w:pPr>
        <w:ind w:left="1842" w:hanging="221"/>
      </w:pPr>
      <w:rPr>
        <w:rFonts w:hint="default"/>
        <w:lang w:val="en-US" w:eastAsia="en-US" w:bidi="ar-SA"/>
      </w:rPr>
    </w:lvl>
    <w:lvl w:ilvl="5">
      <w:start w:val="0"/>
      <w:numFmt w:val="bullet"/>
      <w:lvlText w:val="•"/>
      <w:lvlJc w:val="left"/>
      <w:pPr>
        <w:ind w:left="2223" w:hanging="221"/>
      </w:pPr>
      <w:rPr>
        <w:rFonts w:hint="default"/>
        <w:lang w:val="en-US" w:eastAsia="en-US" w:bidi="ar-SA"/>
      </w:rPr>
    </w:lvl>
    <w:lvl w:ilvl="6">
      <w:start w:val="0"/>
      <w:numFmt w:val="bullet"/>
      <w:lvlText w:val="•"/>
      <w:lvlJc w:val="left"/>
      <w:pPr>
        <w:ind w:left="2603" w:hanging="221"/>
      </w:pPr>
      <w:rPr>
        <w:rFonts w:hint="default"/>
        <w:lang w:val="en-US" w:eastAsia="en-US" w:bidi="ar-SA"/>
      </w:rPr>
    </w:lvl>
    <w:lvl w:ilvl="7">
      <w:start w:val="0"/>
      <w:numFmt w:val="bullet"/>
      <w:lvlText w:val="•"/>
      <w:lvlJc w:val="left"/>
      <w:pPr>
        <w:ind w:left="2984" w:hanging="221"/>
      </w:pPr>
      <w:rPr>
        <w:rFonts w:hint="default"/>
        <w:lang w:val="en-US" w:eastAsia="en-US" w:bidi="ar-SA"/>
      </w:rPr>
    </w:lvl>
    <w:lvl w:ilvl="8">
      <w:start w:val="0"/>
      <w:numFmt w:val="bullet"/>
      <w:lvlText w:val="•"/>
      <w:lvlJc w:val="left"/>
      <w:pPr>
        <w:ind w:left="3364" w:hanging="221"/>
      </w:pPr>
      <w:rPr>
        <w:rFonts w:hint="default"/>
        <w:lang w:val="en-US" w:eastAsia="en-US" w:bidi="ar-SA"/>
      </w:rPr>
    </w:lvl>
  </w:abstractNum>
  <w:abstractNum w:abstractNumId="289">
    <w:multiLevelType w:val="hybridMultilevel"/>
    <w:lvl w:ilvl="0">
      <w:start w:val="1"/>
      <w:numFmt w:val="upperLetter"/>
      <w:lvlText w:val="%1."/>
      <w:lvlJc w:val="left"/>
      <w:pPr>
        <w:ind w:left="2114" w:hanging="360"/>
        <w:jc w:val="right"/>
      </w:pPr>
      <w:rPr>
        <w:rFonts w:hint="default" w:ascii="Bookman Old Style" w:hAnsi="Bookman Old Style" w:eastAsia="Bookman Old Style" w:cs="Bookman Old Style"/>
        <w:b/>
        <w:bCs/>
        <w:i w:val="0"/>
        <w:iCs w:val="0"/>
        <w:spacing w:val="0"/>
        <w:w w:val="100"/>
        <w:sz w:val="24"/>
        <w:szCs w:val="24"/>
        <w:lang w:val="en-US" w:eastAsia="en-US" w:bidi="ar-SA"/>
      </w:rPr>
    </w:lvl>
    <w:lvl w:ilvl="1">
      <w:start w:val="1"/>
      <w:numFmt w:val="lowerRoman"/>
      <w:lvlText w:val="(%2)"/>
      <w:lvlJc w:val="left"/>
      <w:pPr>
        <w:ind w:left="1313" w:hanging="35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127" w:hanging="352"/>
      </w:pPr>
      <w:rPr>
        <w:rFonts w:hint="default"/>
        <w:lang w:val="en-US" w:eastAsia="en-US" w:bidi="ar-SA"/>
      </w:rPr>
    </w:lvl>
    <w:lvl w:ilvl="3">
      <w:start w:val="0"/>
      <w:numFmt w:val="bullet"/>
      <w:lvlText w:val="•"/>
      <w:lvlJc w:val="left"/>
      <w:pPr>
        <w:ind w:left="4134" w:hanging="352"/>
      </w:pPr>
      <w:rPr>
        <w:rFonts w:hint="default"/>
        <w:lang w:val="en-US" w:eastAsia="en-US" w:bidi="ar-SA"/>
      </w:rPr>
    </w:lvl>
    <w:lvl w:ilvl="4">
      <w:start w:val="0"/>
      <w:numFmt w:val="bullet"/>
      <w:lvlText w:val="•"/>
      <w:lvlJc w:val="left"/>
      <w:pPr>
        <w:ind w:left="5142" w:hanging="352"/>
      </w:pPr>
      <w:rPr>
        <w:rFonts w:hint="default"/>
        <w:lang w:val="en-US" w:eastAsia="en-US" w:bidi="ar-SA"/>
      </w:rPr>
    </w:lvl>
    <w:lvl w:ilvl="5">
      <w:start w:val="0"/>
      <w:numFmt w:val="bullet"/>
      <w:lvlText w:val="•"/>
      <w:lvlJc w:val="left"/>
      <w:pPr>
        <w:ind w:left="6149" w:hanging="352"/>
      </w:pPr>
      <w:rPr>
        <w:rFonts w:hint="default"/>
        <w:lang w:val="en-US" w:eastAsia="en-US" w:bidi="ar-SA"/>
      </w:rPr>
    </w:lvl>
    <w:lvl w:ilvl="6">
      <w:start w:val="0"/>
      <w:numFmt w:val="bullet"/>
      <w:lvlText w:val="•"/>
      <w:lvlJc w:val="left"/>
      <w:pPr>
        <w:ind w:left="7156" w:hanging="352"/>
      </w:pPr>
      <w:rPr>
        <w:rFonts w:hint="default"/>
        <w:lang w:val="en-US" w:eastAsia="en-US" w:bidi="ar-SA"/>
      </w:rPr>
    </w:lvl>
    <w:lvl w:ilvl="7">
      <w:start w:val="0"/>
      <w:numFmt w:val="bullet"/>
      <w:lvlText w:val="•"/>
      <w:lvlJc w:val="left"/>
      <w:pPr>
        <w:ind w:left="8164" w:hanging="352"/>
      </w:pPr>
      <w:rPr>
        <w:rFonts w:hint="default"/>
        <w:lang w:val="en-US" w:eastAsia="en-US" w:bidi="ar-SA"/>
      </w:rPr>
    </w:lvl>
    <w:lvl w:ilvl="8">
      <w:start w:val="0"/>
      <w:numFmt w:val="bullet"/>
      <w:lvlText w:val="•"/>
      <w:lvlJc w:val="left"/>
      <w:pPr>
        <w:ind w:left="9171" w:hanging="352"/>
      </w:pPr>
      <w:rPr>
        <w:rFonts w:hint="default"/>
        <w:lang w:val="en-US" w:eastAsia="en-US" w:bidi="ar-SA"/>
      </w:rPr>
    </w:lvl>
  </w:abstractNum>
  <w:abstractNum w:abstractNumId="288">
    <w:multiLevelType w:val="hybridMultilevel"/>
    <w:lvl w:ilvl="0">
      <w:start w:val="2"/>
      <w:numFmt w:val="lowerRoman"/>
      <w:lvlText w:val="%1)"/>
      <w:lvlJc w:val="left"/>
      <w:pPr>
        <w:ind w:left="1673" w:hanging="3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2."/>
      <w:lvlJc w:val="left"/>
      <w:pPr>
        <w:ind w:left="1673"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581" w:hanging="360"/>
      </w:pPr>
      <w:rPr>
        <w:rFonts w:hint="default"/>
        <w:lang w:val="en-US" w:eastAsia="en-US" w:bidi="ar-SA"/>
      </w:rPr>
    </w:lvl>
    <w:lvl w:ilvl="3">
      <w:start w:val="0"/>
      <w:numFmt w:val="bullet"/>
      <w:lvlText w:val="•"/>
      <w:lvlJc w:val="left"/>
      <w:pPr>
        <w:ind w:left="4531" w:hanging="360"/>
      </w:pPr>
      <w:rPr>
        <w:rFonts w:hint="default"/>
        <w:lang w:val="en-US" w:eastAsia="en-US" w:bidi="ar-SA"/>
      </w:rPr>
    </w:lvl>
    <w:lvl w:ilvl="4">
      <w:start w:val="0"/>
      <w:numFmt w:val="bullet"/>
      <w:lvlText w:val="•"/>
      <w:lvlJc w:val="left"/>
      <w:pPr>
        <w:ind w:left="5482" w:hanging="360"/>
      </w:pPr>
      <w:rPr>
        <w:rFonts w:hint="default"/>
        <w:lang w:val="en-US" w:eastAsia="en-US" w:bidi="ar-SA"/>
      </w:rPr>
    </w:lvl>
    <w:lvl w:ilvl="5">
      <w:start w:val="0"/>
      <w:numFmt w:val="bullet"/>
      <w:lvlText w:val="•"/>
      <w:lvlJc w:val="left"/>
      <w:pPr>
        <w:ind w:left="6433" w:hanging="360"/>
      </w:pPr>
      <w:rPr>
        <w:rFonts w:hint="default"/>
        <w:lang w:val="en-US" w:eastAsia="en-US" w:bidi="ar-SA"/>
      </w:rPr>
    </w:lvl>
    <w:lvl w:ilvl="6">
      <w:start w:val="0"/>
      <w:numFmt w:val="bullet"/>
      <w:lvlText w:val="•"/>
      <w:lvlJc w:val="left"/>
      <w:pPr>
        <w:ind w:left="7383" w:hanging="360"/>
      </w:pPr>
      <w:rPr>
        <w:rFonts w:hint="default"/>
        <w:lang w:val="en-US" w:eastAsia="en-US" w:bidi="ar-SA"/>
      </w:rPr>
    </w:lvl>
    <w:lvl w:ilvl="7">
      <w:start w:val="0"/>
      <w:numFmt w:val="bullet"/>
      <w:lvlText w:val="•"/>
      <w:lvlJc w:val="left"/>
      <w:pPr>
        <w:ind w:left="8334" w:hanging="360"/>
      </w:pPr>
      <w:rPr>
        <w:rFonts w:hint="default"/>
        <w:lang w:val="en-US" w:eastAsia="en-US" w:bidi="ar-SA"/>
      </w:rPr>
    </w:lvl>
    <w:lvl w:ilvl="8">
      <w:start w:val="0"/>
      <w:numFmt w:val="bullet"/>
      <w:lvlText w:val="•"/>
      <w:lvlJc w:val="left"/>
      <w:pPr>
        <w:ind w:left="9285" w:hanging="360"/>
      </w:pPr>
      <w:rPr>
        <w:rFonts w:hint="default"/>
        <w:lang w:val="en-US" w:eastAsia="en-US" w:bidi="ar-SA"/>
      </w:rPr>
    </w:lvl>
  </w:abstractNum>
  <w:abstractNum w:abstractNumId="287">
    <w:multiLevelType w:val="hybridMultilevel"/>
    <w:lvl w:ilvl="0">
      <w:start w:val="1"/>
      <w:numFmt w:val="lowerRoman"/>
      <w:lvlText w:val="(%1)"/>
      <w:lvlJc w:val="left"/>
      <w:pPr>
        <w:ind w:left="1723" w:hanging="231"/>
        <w:jc w:val="right"/>
      </w:pPr>
      <w:rPr>
        <w:rFonts w:hint="default" w:ascii="Bookman Old Style" w:hAnsi="Bookman Old Style" w:eastAsia="Bookman Old Style" w:cs="Bookman Old Style"/>
        <w:b w:val="0"/>
        <w:bCs w:val="0"/>
        <w:i/>
        <w:iCs/>
        <w:spacing w:val="4"/>
        <w:w w:val="100"/>
        <w:sz w:val="22"/>
        <w:szCs w:val="22"/>
        <w:lang w:val="en-US" w:eastAsia="en-US" w:bidi="ar-SA"/>
      </w:rPr>
    </w:lvl>
    <w:lvl w:ilvl="1">
      <w:start w:val="1"/>
      <w:numFmt w:val="lowerLetter"/>
      <w:lvlText w:val="(%2)"/>
      <w:lvlJc w:val="left"/>
      <w:pPr>
        <w:ind w:left="1493" w:hanging="315"/>
        <w:jc w:val="right"/>
      </w:pPr>
      <w:rPr>
        <w:rFonts w:hint="default" w:ascii="Bookman Old Style" w:hAnsi="Bookman Old Style" w:eastAsia="Bookman Old Style" w:cs="Bookman Old Style"/>
        <w:b w:val="0"/>
        <w:bCs w:val="0"/>
        <w:i w:val="0"/>
        <w:iCs w:val="0"/>
        <w:spacing w:val="9"/>
        <w:w w:val="100"/>
        <w:sz w:val="22"/>
        <w:szCs w:val="22"/>
        <w:lang w:val="en-US" w:eastAsia="en-US" w:bidi="ar-SA"/>
      </w:rPr>
    </w:lvl>
    <w:lvl w:ilvl="2">
      <w:start w:val="0"/>
      <w:numFmt w:val="bullet"/>
      <w:lvlText w:val="•"/>
      <w:lvlJc w:val="left"/>
      <w:pPr>
        <w:ind w:left="1720" w:hanging="315"/>
      </w:pPr>
      <w:rPr>
        <w:rFonts w:hint="default"/>
        <w:lang w:val="en-US" w:eastAsia="en-US" w:bidi="ar-SA"/>
      </w:rPr>
    </w:lvl>
    <w:lvl w:ilvl="3">
      <w:start w:val="0"/>
      <w:numFmt w:val="bullet"/>
      <w:lvlText w:val="•"/>
      <w:lvlJc w:val="left"/>
      <w:pPr>
        <w:ind w:left="2903" w:hanging="315"/>
      </w:pPr>
      <w:rPr>
        <w:rFonts w:hint="default"/>
        <w:lang w:val="en-US" w:eastAsia="en-US" w:bidi="ar-SA"/>
      </w:rPr>
    </w:lvl>
    <w:lvl w:ilvl="4">
      <w:start w:val="0"/>
      <w:numFmt w:val="bullet"/>
      <w:lvlText w:val="•"/>
      <w:lvlJc w:val="left"/>
      <w:pPr>
        <w:ind w:left="4086" w:hanging="315"/>
      </w:pPr>
      <w:rPr>
        <w:rFonts w:hint="default"/>
        <w:lang w:val="en-US" w:eastAsia="en-US" w:bidi="ar-SA"/>
      </w:rPr>
    </w:lvl>
    <w:lvl w:ilvl="5">
      <w:start w:val="0"/>
      <w:numFmt w:val="bullet"/>
      <w:lvlText w:val="•"/>
      <w:lvlJc w:val="left"/>
      <w:pPr>
        <w:ind w:left="5269" w:hanging="315"/>
      </w:pPr>
      <w:rPr>
        <w:rFonts w:hint="default"/>
        <w:lang w:val="en-US" w:eastAsia="en-US" w:bidi="ar-SA"/>
      </w:rPr>
    </w:lvl>
    <w:lvl w:ilvl="6">
      <w:start w:val="0"/>
      <w:numFmt w:val="bullet"/>
      <w:lvlText w:val="•"/>
      <w:lvlJc w:val="left"/>
      <w:pPr>
        <w:ind w:left="6453" w:hanging="315"/>
      </w:pPr>
      <w:rPr>
        <w:rFonts w:hint="default"/>
        <w:lang w:val="en-US" w:eastAsia="en-US" w:bidi="ar-SA"/>
      </w:rPr>
    </w:lvl>
    <w:lvl w:ilvl="7">
      <w:start w:val="0"/>
      <w:numFmt w:val="bullet"/>
      <w:lvlText w:val="•"/>
      <w:lvlJc w:val="left"/>
      <w:pPr>
        <w:ind w:left="7636" w:hanging="315"/>
      </w:pPr>
      <w:rPr>
        <w:rFonts w:hint="default"/>
        <w:lang w:val="en-US" w:eastAsia="en-US" w:bidi="ar-SA"/>
      </w:rPr>
    </w:lvl>
    <w:lvl w:ilvl="8">
      <w:start w:val="0"/>
      <w:numFmt w:val="bullet"/>
      <w:lvlText w:val="•"/>
      <w:lvlJc w:val="left"/>
      <w:pPr>
        <w:ind w:left="8819" w:hanging="315"/>
      </w:pPr>
      <w:rPr>
        <w:rFonts w:hint="default"/>
        <w:lang w:val="en-US" w:eastAsia="en-US" w:bidi="ar-SA"/>
      </w:rPr>
    </w:lvl>
  </w:abstractNum>
  <w:abstractNum w:abstractNumId="286">
    <w:multiLevelType w:val="hybridMultilevel"/>
    <w:lvl w:ilvl="0">
      <w:start w:val="2"/>
      <w:numFmt w:val="lowerLetter"/>
      <w:lvlText w:val="(%1)"/>
      <w:lvlJc w:val="left"/>
      <w:pPr>
        <w:ind w:left="1493" w:hanging="308"/>
        <w:jc w:val="left"/>
      </w:pPr>
      <w:rPr>
        <w:rFonts w:hint="default"/>
        <w:spacing w:val="9"/>
        <w:w w:val="92"/>
        <w:lang w:val="en-US" w:eastAsia="en-US" w:bidi="ar-SA"/>
      </w:rPr>
    </w:lvl>
    <w:lvl w:ilvl="1">
      <w:start w:val="0"/>
      <w:numFmt w:val="bullet"/>
      <w:lvlText w:val="•"/>
      <w:lvlJc w:val="left"/>
      <w:pPr>
        <w:ind w:left="2468" w:hanging="308"/>
      </w:pPr>
      <w:rPr>
        <w:rFonts w:hint="default"/>
        <w:lang w:val="en-US" w:eastAsia="en-US" w:bidi="ar-SA"/>
      </w:rPr>
    </w:lvl>
    <w:lvl w:ilvl="2">
      <w:start w:val="0"/>
      <w:numFmt w:val="bullet"/>
      <w:lvlText w:val="•"/>
      <w:lvlJc w:val="left"/>
      <w:pPr>
        <w:ind w:left="3437" w:hanging="308"/>
      </w:pPr>
      <w:rPr>
        <w:rFonts w:hint="default"/>
        <w:lang w:val="en-US" w:eastAsia="en-US" w:bidi="ar-SA"/>
      </w:rPr>
    </w:lvl>
    <w:lvl w:ilvl="3">
      <w:start w:val="0"/>
      <w:numFmt w:val="bullet"/>
      <w:lvlText w:val="•"/>
      <w:lvlJc w:val="left"/>
      <w:pPr>
        <w:ind w:left="4405" w:hanging="308"/>
      </w:pPr>
      <w:rPr>
        <w:rFonts w:hint="default"/>
        <w:lang w:val="en-US" w:eastAsia="en-US" w:bidi="ar-SA"/>
      </w:rPr>
    </w:lvl>
    <w:lvl w:ilvl="4">
      <w:start w:val="0"/>
      <w:numFmt w:val="bullet"/>
      <w:lvlText w:val="•"/>
      <w:lvlJc w:val="left"/>
      <w:pPr>
        <w:ind w:left="5374" w:hanging="308"/>
      </w:pPr>
      <w:rPr>
        <w:rFonts w:hint="default"/>
        <w:lang w:val="en-US" w:eastAsia="en-US" w:bidi="ar-SA"/>
      </w:rPr>
    </w:lvl>
    <w:lvl w:ilvl="5">
      <w:start w:val="0"/>
      <w:numFmt w:val="bullet"/>
      <w:lvlText w:val="•"/>
      <w:lvlJc w:val="left"/>
      <w:pPr>
        <w:ind w:left="6343" w:hanging="308"/>
      </w:pPr>
      <w:rPr>
        <w:rFonts w:hint="default"/>
        <w:lang w:val="en-US" w:eastAsia="en-US" w:bidi="ar-SA"/>
      </w:rPr>
    </w:lvl>
    <w:lvl w:ilvl="6">
      <w:start w:val="0"/>
      <w:numFmt w:val="bullet"/>
      <w:lvlText w:val="•"/>
      <w:lvlJc w:val="left"/>
      <w:pPr>
        <w:ind w:left="7311" w:hanging="308"/>
      </w:pPr>
      <w:rPr>
        <w:rFonts w:hint="default"/>
        <w:lang w:val="en-US" w:eastAsia="en-US" w:bidi="ar-SA"/>
      </w:rPr>
    </w:lvl>
    <w:lvl w:ilvl="7">
      <w:start w:val="0"/>
      <w:numFmt w:val="bullet"/>
      <w:lvlText w:val="•"/>
      <w:lvlJc w:val="left"/>
      <w:pPr>
        <w:ind w:left="8280" w:hanging="308"/>
      </w:pPr>
      <w:rPr>
        <w:rFonts w:hint="default"/>
        <w:lang w:val="en-US" w:eastAsia="en-US" w:bidi="ar-SA"/>
      </w:rPr>
    </w:lvl>
    <w:lvl w:ilvl="8">
      <w:start w:val="0"/>
      <w:numFmt w:val="bullet"/>
      <w:lvlText w:val="•"/>
      <w:lvlJc w:val="left"/>
      <w:pPr>
        <w:ind w:left="9249" w:hanging="308"/>
      </w:pPr>
      <w:rPr>
        <w:rFonts w:hint="default"/>
        <w:lang w:val="en-US" w:eastAsia="en-US" w:bidi="ar-SA"/>
      </w:rPr>
    </w:lvl>
  </w:abstractNum>
  <w:abstractNum w:abstractNumId="285">
    <w:multiLevelType w:val="hybridMultilevel"/>
    <w:lvl w:ilvl="0">
      <w:start w:val="2"/>
      <w:numFmt w:val="decimal"/>
      <w:lvlText w:val="(%1)"/>
      <w:lvlJc w:val="left"/>
      <w:pPr>
        <w:ind w:left="1493" w:hanging="483"/>
        <w:jc w:val="right"/>
      </w:pPr>
      <w:rPr>
        <w:rFonts w:hint="default"/>
        <w:spacing w:val="0"/>
        <w:w w:val="100"/>
        <w:lang w:val="en-US" w:eastAsia="en-US" w:bidi="ar-SA"/>
      </w:rPr>
    </w:lvl>
    <w:lvl w:ilvl="1">
      <w:start w:val="1"/>
      <w:numFmt w:val="lowerLetter"/>
      <w:lvlText w:val="(%2)"/>
      <w:lvlJc w:val="left"/>
      <w:pPr>
        <w:ind w:left="1673" w:hanging="312"/>
        <w:jc w:val="left"/>
      </w:pPr>
      <w:rPr>
        <w:rFonts w:hint="default" w:ascii="Bookman Old Style" w:hAnsi="Bookman Old Style" w:eastAsia="Bookman Old Style" w:cs="Bookman Old Style"/>
        <w:b w:val="0"/>
        <w:bCs w:val="0"/>
        <w:i w:val="0"/>
        <w:iCs w:val="0"/>
        <w:spacing w:val="9"/>
        <w:w w:val="100"/>
        <w:sz w:val="22"/>
        <w:szCs w:val="22"/>
        <w:lang w:val="en-US" w:eastAsia="en-US" w:bidi="ar-SA"/>
      </w:rPr>
    </w:lvl>
    <w:lvl w:ilvl="2">
      <w:start w:val="1"/>
      <w:numFmt w:val="lowerRoman"/>
      <w:lvlText w:val="(%3)"/>
      <w:lvlJc w:val="left"/>
      <w:pPr>
        <w:ind w:left="1313" w:hanging="32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1"/>
      <w:numFmt w:val="lowerLetter"/>
      <w:lvlText w:val="(%4)"/>
      <w:lvlJc w:val="left"/>
      <w:pPr>
        <w:ind w:left="1313" w:hanging="312"/>
        <w:jc w:val="left"/>
      </w:pPr>
      <w:rPr>
        <w:rFonts w:hint="default" w:ascii="Bookman Old Style" w:hAnsi="Bookman Old Style" w:eastAsia="Bookman Old Style" w:cs="Bookman Old Style"/>
        <w:b w:val="0"/>
        <w:bCs w:val="0"/>
        <w:i w:val="0"/>
        <w:iCs w:val="0"/>
        <w:spacing w:val="9"/>
        <w:w w:val="100"/>
        <w:sz w:val="22"/>
        <w:szCs w:val="22"/>
        <w:lang w:val="en-US" w:eastAsia="en-US" w:bidi="ar-SA"/>
      </w:rPr>
    </w:lvl>
    <w:lvl w:ilvl="4">
      <w:start w:val="1"/>
      <w:numFmt w:val="lowerRoman"/>
      <w:lvlText w:val="(%5)"/>
      <w:lvlJc w:val="left"/>
      <w:pPr>
        <w:ind w:left="1313" w:hanging="90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5">
      <w:start w:val="0"/>
      <w:numFmt w:val="bullet"/>
      <w:lvlText w:val="•"/>
      <w:lvlJc w:val="left"/>
      <w:pPr>
        <w:ind w:left="4396" w:hanging="900"/>
      </w:pPr>
      <w:rPr>
        <w:rFonts w:hint="default"/>
        <w:lang w:val="en-US" w:eastAsia="en-US" w:bidi="ar-SA"/>
      </w:rPr>
    </w:lvl>
    <w:lvl w:ilvl="6">
      <w:start w:val="0"/>
      <w:numFmt w:val="bullet"/>
      <w:lvlText w:val="•"/>
      <w:lvlJc w:val="left"/>
      <w:pPr>
        <w:ind w:left="5754" w:hanging="900"/>
      </w:pPr>
      <w:rPr>
        <w:rFonts w:hint="default"/>
        <w:lang w:val="en-US" w:eastAsia="en-US" w:bidi="ar-SA"/>
      </w:rPr>
    </w:lvl>
    <w:lvl w:ilvl="7">
      <w:start w:val="0"/>
      <w:numFmt w:val="bullet"/>
      <w:lvlText w:val="•"/>
      <w:lvlJc w:val="left"/>
      <w:pPr>
        <w:ind w:left="7112" w:hanging="900"/>
      </w:pPr>
      <w:rPr>
        <w:rFonts w:hint="default"/>
        <w:lang w:val="en-US" w:eastAsia="en-US" w:bidi="ar-SA"/>
      </w:rPr>
    </w:lvl>
    <w:lvl w:ilvl="8">
      <w:start w:val="0"/>
      <w:numFmt w:val="bullet"/>
      <w:lvlText w:val="•"/>
      <w:lvlJc w:val="left"/>
      <w:pPr>
        <w:ind w:left="8470" w:hanging="900"/>
      </w:pPr>
      <w:rPr>
        <w:rFonts w:hint="default"/>
        <w:lang w:val="en-US" w:eastAsia="en-US" w:bidi="ar-SA"/>
      </w:rPr>
    </w:lvl>
  </w:abstractNum>
  <w:abstractNum w:abstractNumId="284">
    <w:multiLevelType w:val="hybridMultilevel"/>
    <w:lvl w:ilvl="0">
      <w:start w:val="1"/>
      <w:numFmt w:val="decimal"/>
      <w:lvlText w:val="%1."/>
      <w:lvlJc w:val="left"/>
      <w:pPr>
        <w:ind w:left="1313" w:hanging="3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389"/>
      </w:pPr>
      <w:rPr>
        <w:rFonts w:hint="default"/>
        <w:lang w:val="en-US" w:eastAsia="en-US" w:bidi="ar-SA"/>
      </w:rPr>
    </w:lvl>
    <w:lvl w:ilvl="2">
      <w:start w:val="0"/>
      <w:numFmt w:val="bullet"/>
      <w:lvlText w:val="•"/>
      <w:lvlJc w:val="left"/>
      <w:pPr>
        <w:ind w:left="3293" w:hanging="389"/>
      </w:pPr>
      <w:rPr>
        <w:rFonts w:hint="default"/>
        <w:lang w:val="en-US" w:eastAsia="en-US" w:bidi="ar-SA"/>
      </w:rPr>
    </w:lvl>
    <w:lvl w:ilvl="3">
      <w:start w:val="0"/>
      <w:numFmt w:val="bullet"/>
      <w:lvlText w:val="•"/>
      <w:lvlJc w:val="left"/>
      <w:pPr>
        <w:ind w:left="4279" w:hanging="389"/>
      </w:pPr>
      <w:rPr>
        <w:rFonts w:hint="default"/>
        <w:lang w:val="en-US" w:eastAsia="en-US" w:bidi="ar-SA"/>
      </w:rPr>
    </w:lvl>
    <w:lvl w:ilvl="4">
      <w:start w:val="0"/>
      <w:numFmt w:val="bullet"/>
      <w:lvlText w:val="•"/>
      <w:lvlJc w:val="left"/>
      <w:pPr>
        <w:ind w:left="5266" w:hanging="389"/>
      </w:pPr>
      <w:rPr>
        <w:rFonts w:hint="default"/>
        <w:lang w:val="en-US" w:eastAsia="en-US" w:bidi="ar-SA"/>
      </w:rPr>
    </w:lvl>
    <w:lvl w:ilvl="5">
      <w:start w:val="0"/>
      <w:numFmt w:val="bullet"/>
      <w:lvlText w:val="•"/>
      <w:lvlJc w:val="left"/>
      <w:pPr>
        <w:ind w:left="6253" w:hanging="389"/>
      </w:pPr>
      <w:rPr>
        <w:rFonts w:hint="default"/>
        <w:lang w:val="en-US" w:eastAsia="en-US" w:bidi="ar-SA"/>
      </w:rPr>
    </w:lvl>
    <w:lvl w:ilvl="6">
      <w:start w:val="0"/>
      <w:numFmt w:val="bullet"/>
      <w:lvlText w:val="•"/>
      <w:lvlJc w:val="left"/>
      <w:pPr>
        <w:ind w:left="7239" w:hanging="389"/>
      </w:pPr>
      <w:rPr>
        <w:rFonts w:hint="default"/>
        <w:lang w:val="en-US" w:eastAsia="en-US" w:bidi="ar-SA"/>
      </w:rPr>
    </w:lvl>
    <w:lvl w:ilvl="7">
      <w:start w:val="0"/>
      <w:numFmt w:val="bullet"/>
      <w:lvlText w:val="•"/>
      <w:lvlJc w:val="left"/>
      <w:pPr>
        <w:ind w:left="8226" w:hanging="389"/>
      </w:pPr>
      <w:rPr>
        <w:rFonts w:hint="default"/>
        <w:lang w:val="en-US" w:eastAsia="en-US" w:bidi="ar-SA"/>
      </w:rPr>
    </w:lvl>
    <w:lvl w:ilvl="8">
      <w:start w:val="0"/>
      <w:numFmt w:val="bullet"/>
      <w:lvlText w:val="•"/>
      <w:lvlJc w:val="left"/>
      <w:pPr>
        <w:ind w:left="9213" w:hanging="389"/>
      </w:pPr>
      <w:rPr>
        <w:rFonts w:hint="default"/>
        <w:lang w:val="en-US" w:eastAsia="en-US" w:bidi="ar-SA"/>
      </w:rPr>
    </w:lvl>
  </w:abstractNum>
  <w:abstractNum w:abstractNumId="283">
    <w:multiLevelType w:val="hybridMultilevel"/>
    <w:lvl w:ilvl="0">
      <w:start w:val="1"/>
      <w:numFmt w:val="lowerLetter"/>
      <w:lvlText w:val="%1."/>
      <w:lvlJc w:val="left"/>
      <w:pPr>
        <w:ind w:left="1313" w:hanging="90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900"/>
      </w:pPr>
      <w:rPr>
        <w:rFonts w:hint="default"/>
        <w:lang w:val="en-US" w:eastAsia="en-US" w:bidi="ar-SA"/>
      </w:rPr>
    </w:lvl>
    <w:lvl w:ilvl="2">
      <w:start w:val="0"/>
      <w:numFmt w:val="bullet"/>
      <w:lvlText w:val="•"/>
      <w:lvlJc w:val="left"/>
      <w:pPr>
        <w:ind w:left="3293" w:hanging="900"/>
      </w:pPr>
      <w:rPr>
        <w:rFonts w:hint="default"/>
        <w:lang w:val="en-US" w:eastAsia="en-US" w:bidi="ar-SA"/>
      </w:rPr>
    </w:lvl>
    <w:lvl w:ilvl="3">
      <w:start w:val="0"/>
      <w:numFmt w:val="bullet"/>
      <w:lvlText w:val="•"/>
      <w:lvlJc w:val="left"/>
      <w:pPr>
        <w:ind w:left="4279" w:hanging="900"/>
      </w:pPr>
      <w:rPr>
        <w:rFonts w:hint="default"/>
        <w:lang w:val="en-US" w:eastAsia="en-US" w:bidi="ar-SA"/>
      </w:rPr>
    </w:lvl>
    <w:lvl w:ilvl="4">
      <w:start w:val="0"/>
      <w:numFmt w:val="bullet"/>
      <w:lvlText w:val="•"/>
      <w:lvlJc w:val="left"/>
      <w:pPr>
        <w:ind w:left="5266" w:hanging="900"/>
      </w:pPr>
      <w:rPr>
        <w:rFonts w:hint="default"/>
        <w:lang w:val="en-US" w:eastAsia="en-US" w:bidi="ar-SA"/>
      </w:rPr>
    </w:lvl>
    <w:lvl w:ilvl="5">
      <w:start w:val="0"/>
      <w:numFmt w:val="bullet"/>
      <w:lvlText w:val="•"/>
      <w:lvlJc w:val="left"/>
      <w:pPr>
        <w:ind w:left="6253" w:hanging="900"/>
      </w:pPr>
      <w:rPr>
        <w:rFonts w:hint="default"/>
        <w:lang w:val="en-US" w:eastAsia="en-US" w:bidi="ar-SA"/>
      </w:rPr>
    </w:lvl>
    <w:lvl w:ilvl="6">
      <w:start w:val="0"/>
      <w:numFmt w:val="bullet"/>
      <w:lvlText w:val="•"/>
      <w:lvlJc w:val="left"/>
      <w:pPr>
        <w:ind w:left="7239" w:hanging="900"/>
      </w:pPr>
      <w:rPr>
        <w:rFonts w:hint="default"/>
        <w:lang w:val="en-US" w:eastAsia="en-US" w:bidi="ar-SA"/>
      </w:rPr>
    </w:lvl>
    <w:lvl w:ilvl="7">
      <w:start w:val="0"/>
      <w:numFmt w:val="bullet"/>
      <w:lvlText w:val="•"/>
      <w:lvlJc w:val="left"/>
      <w:pPr>
        <w:ind w:left="8226" w:hanging="900"/>
      </w:pPr>
      <w:rPr>
        <w:rFonts w:hint="default"/>
        <w:lang w:val="en-US" w:eastAsia="en-US" w:bidi="ar-SA"/>
      </w:rPr>
    </w:lvl>
    <w:lvl w:ilvl="8">
      <w:start w:val="0"/>
      <w:numFmt w:val="bullet"/>
      <w:lvlText w:val="•"/>
      <w:lvlJc w:val="left"/>
      <w:pPr>
        <w:ind w:left="9213" w:hanging="900"/>
      </w:pPr>
      <w:rPr>
        <w:rFonts w:hint="default"/>
        <w:lang w:val="en-US" w:eastAsia="en-US" w:bidi="ar-SA"/>
      </w:rPr>
    </w:lvl>
  </w:abstractNum>
  <w:abstractNum w:abstractNumId="282">
    <w:multiLevelType w:val="hybridMultilevel"/>
    <w:lvl w:ilvl="0">
      <w:start w:val="4"/>
      <w:numFmt w:val="lowerLetter"/>
      <w:lvlText w:val="%1)"/>
      <w:lvlJc w:val="left"/>
      <w:pPr>
        <w:ind w:left="1313" w:hanging="31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310"/>
      </w:pPr>
      <w:rPr>
        <w:rFonts w:hint="default"/>
        <w:lang w:val="en-US" w:eastAsia="en-US" w:bidi="ar-SA"/>
      </w:rPr>
    </w:lvl>
    <w:lvl w:ilvl="2">
      <w:start w:val="0"/>
      <w:numFmt w:val="bullet"/>
      <w:lvlText w:val="•"/>
      <w:lvlJc w:val="left"/>
      <w:pPr>
        <w:ind w:left="3293" w:hanging="310"/>
      </w:pPr>
      <w:rPr>
        <w:rFonts w:hint="default"/>
        <w:lang w:val="en-US" w:eastAsia="en-US" w:bidi="ar-SA"/>
      </w:rPr>
    </w:lvl>
    <w:lvl w:ilvl="3">
      <w:start w:val="0"/>
      <w:numFmt w:val="bullet"/>
      <w:lvlText w:val="•"/>
      <w:lvlJc w:val="left"/>
      <w:pPr>
        <w:ind w:left="4279" w:hanging="310"/>
      </w:pPr>
      <w:rPr>
        <w:rFonts w:hint="default"/>
        <w:lang w:val="en-US" w:eastAsia="en-US" w:bidi="ar-SA"/>
      </w:rPr>
    </w:lvl>
    <w:lvl w:ilvl="4">
      <w:start w:val="0"/>
      <w:numFmt w:val="bullet"/>
      <w:lvlText w:val="•"/>
      <w:lvlJc w:val="left"/>
      <w:pPr>
        <w:ind w:left="5266" w:hanging="310"/>
      </w:pPr>
      <w:rPr>
        <w:rFonts w:hint="default"/>
        <w:lang w:val="en-US" w:eastAsia="en-US" w:bidi="ar-SA"/>
      </w:rPr>
    </w:lvl>
    <w:lvl w:ilvl="5">
      <w:start w:val="0"/>
      <w:numFmt w:val="bullet"/>
      <w:lvlText w:val="•"/>
      <w:lvlJc w:val="left"/>
      <w:pPr>
        <w:ind w:left="6253" w:hanging="310"/>
      </w:pPr>
      <w:rPr>
        <w:rFonts w:hint="default"/>
        <w:lang w:val="en-US" w:eastAsia="en-US" w:bidi="ar-SA"/>
      </w:rPr>
    </w:lvl>
    <w:lvl w:ilvl="6">
      <w:start w:val="0"/>
      <w:numFmt w:val="bullet"/>
      <w:lvlText w:val="•"/>
      <w:lvlJc w:val="left"/>
      <w:pPr>
        <w:ind w:left="7239" w:hanging="310"/>
      </w:pPr>
      <w:rPr>
        <w:rFonts w:hint="default"/>
        <w:lang w:val="en-US" w:eastAsia="en-US" w:bidi="ar-SA"/>
      </w:rPr>
    </w:lvl>
    <w:lvl w:ilvl="7">
      <w:start w:val="0"/>
      <w:numFmt w:val="bullet"/>
      <w:lvlText w:val="•"/>
      <w:lvlJc w:val="left"/>
      <w:pPr>
        <w:ind w:left="8226" w:hanging="310"/>
      </w:pPr>
      <w:rPr>
        <w:rFonts w:hint="default"/>
        <w:lang w:val="en-US" w:eastAsia="en-US" w:bidi="ar-SA"/>
      </w:rPr>
    </w:lvl>
    <w:lvl w:ilvl="8">
      <w:start w:val="0"/>
      <w:numFmt w:val="bullet"/>
      <w:lvlText w:val="•"/>
      <w:lvlJc w:val="left"/>
      <w:pPr>
        <w:ind w:left="9213" w:hanging="310"/>
      </w:pPr>
      <w:rPr>
        <w:rFonts w:hint="default"/>
        <w:lang w:val="en-US" w:eastAsia="en-US" w:bidi="ar-SA"/>
      </w:rPr>
    </w:lvl>
  </w:abstractNum>
  <w:abstractNum w:abstractNumId="281">
    <w:multiLevelType w:val="hybridMultilevel"/>
    <w:lvl w:ilvl="0">
      <w:start w:val="1"/>
      <w:numFmt w:val="lowerLetter"/>
      <w:lvlText w:val="%1)"/>
      <w:lvlJc w:val="left"/>
      <w:pPr>
        <w:ind w:left="1313" w:hanging="30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300"/>
      </w:pPr>
      <w:rPr>
        <w:rFonts w:hint="default"/>
        <w:lang w:val="en-US" w:eastAsia="en-US" w:bidi="ar-SA"/>
      </w:rPr>
    </w:lvl>
    <w:lvl w:ilvl="2">
      <w:start w:val="0"/>
      <w:numFmt w:val="bullet"/>
      <w:lvlText w:val="•"/>
      <w:lvlJc w:val="left"/>
      <w:pPr>
        <w:ind w:left="3293" w:hanging="300"/>
      </w:pPr>
      <w:rPr>
        <w:rFonts w:hint="default"/>
        <w:lang w:val="en-US" w:eastAsia="en-US" w:bidi="ar-SA"/>
      </w:rPr>
    </w:lvl>
    <w:lvl w:ilvl="3">
      <w:start w:val="0"/>
      <w:numFmt w:val="bullet"/>
      <w:lvlText w:val="•"/>
      <w:lvlJc w:val="left"/>
      <w:pPr>
        <w:ind w:left="4279" w:hanging="300"/>
      </w:pPr>
      <w:rPr>
        <w:rFonts w:hint="default"/>
        <w:lang w:val="en-US" w:eastAsia="en-US" w:bidi="ar-SA"/>
      </w:rPr>
    </w:lvl>
    <w:lvl w:ilvl="4">
      <w:start w:val="0"/>
      <w:numFmt w:val="bullet"/>
      <w:lvlText w:val="•"/>
      <w:lvlJc w:val="left"/>
      <w:pPr>
        <w:ind w:left="5266" w:hanging="300"/>
      </w:pPr>
      <w:rPr>
        <w:rFonts w:hint="default"/>
        <w:lang w:val="en-US" w:eastAsia="en-US" w:bidi="ar-SA"/>
      </w:rPr>
    </w:lvl>
    <w:lvl w:ilvl="5">
      <w:start w:val="0"/>
      <w:numFmt w:val="bullet"/>
      <w:lvlText w:val="•"/>
      <w:lvlJc w:val="left"/>
      <w:pPr>
        <w:ind w:left="6253" w:hanging="300"/>
      </w:pPr>
      <w:rPr>
        <w:rFonts w:hint="default"/>
        <w:lang w:val="en-US" w:eastAsia="en-US" w:bidi="ar-SA"/>
      </w:rPr>
    </w:lvl>
    <w:lvl w:ilvl="6">
      <w:start w:val="0"/>
      <w:numFmt w:val="bullet"/>
      <w:lvlText w:val="•"/>
      <w:lvlJc w:val="left"/>
      <w:pPr>
        <w:ind w:left="7239" w:hanging="300"/>
      </w:pPr>
      <w:rPr>
        <w:rFonts w:hint="default"/>
        <w:lang w:val="en-US" w:eastAsia="en-US" w:bidi="ar-SA"/>
      </w:rPr>
    </w:lvl>
    <w:lvl w:ilvl="7">
      <w:start w:val="0"/>
      <w:numFmt w:val="bullet"/>
      <w:lvlText w:val="•"/>
      <w:lvlJc w:val="left"/>
      <w:pPr>
        <w:ind w:left="8226" w:hanging="300"/>
      </w:pPr>
      <w:rPr>
        <w:rFonts w:hint="default"/>
        <w:lang w:val="en-US" w:eastAsia="en-US" w:bidi="ar-SA"/>
      </w:rPr>
    </w:lvl>
    <w:lvl w:ilvl="8">
      <w:start w:val="0"/>
      <w:numFmt w:val="bullet"/>
      <w:lvlText w:val="•"/>
      <w:lvlJc w:val="left"/>
      <w:pPr>
        <w:ind w:left="9213" w:hanging="300"/>
      </w:pPr>
      <w:rPr>
        <w:rFonts w:hint="default"/>
        <w:lang w:val="en-US" w:eastAsia="en-US" w:bidi="ar-SA"/>
      </w:rPr>
    </w:lvl>
  </w:abstractNum>
  <w:abstractNum w:abstractNumId="280">
    <w:multiLevelType w:val="hybridMultilevel"/>
    <w:lvl w:ilvl="0">
      <w:start w:val="1"/>
      <w:numFmt w:val="lowerLetter"/>
      <w:lvlText w:val="%1."/>
      <w:lvlJc w:val="left"/>
      <w:pPr>
        <w:ind w:left="535" w:hanging="361"/>
        <w:jc w:val="left"/>
      </w:pPr>
      <w:rPr>
        <w:rFonts w:hint="default"/>
        <w:spacing w:val="0"/>
        <w:w w:val="99"/>
        <w:lang w:val="en-US" w:eastAsia="en-US" w:bidi="ar-SA"/>
      </w:rPr>
    </w:lvl>
    <w:lvl w:ilvl="1">
      <w:start w:val="0"/>
      <w:numFmt w:val="bullet"/>
      <w:lvlText w:val="•"/>
      <w:lvlJc w:val="left"/>
      <w:pPr>
        <w:ind w:left="1222" w:hanging="361"/>
      </w:pPr>
      <w:rPr>
        <w:rFonts w:hint="default"/>
        <w:lang w:val="en-US" w:eastAsia="en-US" w:bidi="ar-SA"/>
      </w:rPr>
    </w:lvl>
    <w:lvl w:ilvl="2">
      <w:start w:val="0"/>
      <w:numFmt w:val="bullet"/>
      <w:lvlText w:val="•"/>
      <w:lvlJc w:val="left"/>
      <w:pPr>
        <w:ind w:left="1905" w:hanging="361"/>
      </w:pPr>
      <w:rPr>
        <w:rFonts w:hint="default"/>
        <w:lang w:val="en-US" w:eastAsia="en-US" w:bidi="ar-SA"/>
      </w:rPr>
    </w:lvl>
    <w:lvl w:ilvl="3">
      <w:start w:val="0"/>
      <w:numFmt w:val="bullet"/>
      <w:lvlText w:val="•"/>
      <w:lvlJc w:val="left"/>
      <w:pPr>
        <w:ind w:left="2588" w:hanging="361"/>
      </w:pPr>
      <w:rPr>
        <w:rFonts w:hint="default"/>
        <w:lang w:val="en-US" w:eastAsia="en-US" w:bidi="ar-SA"/>
      </w:rPr>
    </w:lvl>
    <w:lvl w:ilvl="4">
      <w:start w:val="0"/>
      <w:numFmt w:val="bullet"/>
      <w:lvlText w:val="•"/>
      <w:lvlJc w:val="left"/>
      <w:pPr>
        <w:ind w:left="3270" w:hanging="361"/>
      </w:pPr>
      <w:rPr>
        <w:rFonts w:hint="default"/>
        <w:lang w:val="en-US" w:eastAsia="en-US" w:bidi="ar-SA"/>
      </w:rPr>
    </w:lvl>
    <w:lvl w:ilvl="5">
      <w:start w:val="0"/>
      <w:numFmt w:val="bullet"/>
      <w:lvlText w:val="•"/>
      <w:lvlJc w:val="left"/>
      <w:pPr>
        <w:ind w:left="3953" w:hanging="361"/>
      </w:pPr>
      <w:rPr>
        <w:rFonts w:hint="default"/>
        <w:lang w:val="en-US" w:eastAsia="en-US" w:bidi="ar-SA"/>
      </w:rPr>
    </w:lvl>
    <w:lvl w:ilvl="6">
      <w:start w:val="0"/>
      <w:numFmt w:val="bullet"/>
      <w:lvlText w:val="•"/>
      <w:lvlJc w:val="left"/>
      <w:pPr>
        <w:ind w:left="4636" w:hanging="361"/>
      </w:pPr>
      <w:rPr>
        <w:rFonts w:hint="default"/>
        <w:lang w:val="en-US" w:eastAsia="en-US" w:bidi="ar-SA"/>
      </w:rPr>
    </w:lvl>
    <w:lvl w:ilvl="7">
      <w:start w:val="0"/>
      <w:numFmt w:val="bullet"/>
      <w:lvlText w:val="•"/>
      <w:lvlJc w:val="left"/>
      <w:pPr>
        <w:ind w:left="5318" w:hanging="361"/>
      </w:pPr>
      <w:rPr>
        <w:rFonts w:hint="default"/>
        <w:lang w:val="en-US" w:eastAsia="en-US" w:bidi="ar-SA"/>
      </w:rPr>
    </w:lvl>
    <w:lvl w:ilvl="8">
      <w:start w:val="0"/>
      <w:numFmt w:val="bullet"/>
      <w:lvlText w:val="•"/>
      <w:lvlJc w:val="left"/>
      <w:pPr>
        <w:ind w:left="6001" w:hanging="361"/>
      </w:pPr>
      <w:rPr>
        <w:rFonts w:hint="default"/>
        <w:lang w:val="en-US" w:eastAsia="en-US" w:bidi="ar-SA"/>
      </w:rPr>
    </w:lvl>
  </w:abstractNum>
  <w:abstractNum w:abstractNumId="279">
    <w:multiLevelType w:val="hybridMultilevel"/>
    <w:lvl w:ilvl="0">
      <w:start w:val="1"/>
      <w:numFmt w:val="lowerLetter"/>
      <w:lvlText w:val="%1)"/>
      <w:lvlJc w:val="left"/>
      <w:pPr>
        <w:ind w:left="1853" w:hanging="54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2."/>
      <w:lvlJc w:val="left"/>
      <w:pPr>
        <w:ind w:left="1629" w:hanging="317"/>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896" w:hanging="317"/>
      </w:pPr>
      <w:rPr>
        <w:rFonts w:hint="default"/>
        <w:lang w:val="en-US" w:eastAsia="en-US" w:bidi="ar-SA"/>
      </w:rPr>
    </w:lvl>
    <w:lvl w:ilvl="3">
      <w:start w:val="0"/>
      <w:numFmt w:val="bullet"/>
      <w:lvlText w:val="•"/>
      <w:lvlJc w:val="left"/>
      <w:pPr>
        <w:ind w:left="3932" w:hanging="317"/>
      </w:pPr>
      <w:rPr>
        <w:rFonts w:hint="default"/>
        <w:lang w:val="en-US" w:eastAsia="en-US" w:bidi="ar-SA"/>
      </w:rPr>
    </w:lvl>
    <w:lvl w:ilvl="4">
      <w:start w:val="0"/>
      <w:numFmt w:val="bullet"/>
      <w:lvlText w:val="•"/>
      <w:lvlJc w:val="left"/>
      <w:pPr>
        <w:ind w:left="4968" w:hanging="317"/>
      </w:pPr>
      <w:rPr>
        <w:rFonts w:hint="default"/>
        <w:lang w:val="en-US" w:eastAsia="en-US" w:bidi="ar-SA"/>
      </w:rPr>
    </w:lvl>
    <w:lvl w:ilvl="5">
      <w:start w:val="0"/>
      <w:numFmt w:val="bullet"/>
      <w:lvlText w:val="•"/>
      <w:lvlJc w:val="left"/>
      <w:pPr>
        <w:ind w:left="6005" w:hanging="317"/>
      </w:pPr>
      <w:rPr>
        <w:rFonts w:hint="default"/>
        <w:lang w:val="en-US" w:eastAsia="en-US" w:bidi="ar-SA"/>
      </w:rPr>
    </w:lvl>
    <w:lvl w:ilvl="6">
      <w:start w:val="0"/>
      <w:numFmt w:val="bullet"/>
      <w:lvlText w:val="•"/>
      <w:lvlJc w:val="left"/>
      <w:pPr>
        <w:ind w:left="7041" w:hanging="317"/>
      </w:pPr>
      <w:rPr>
        <w:rFonts w:hint="default"/>
        <w:lang w:val="en-US" w:eastAsia="en-US" w:bidi="ar-SA"/>
      </w:rPr>
    </w:lvl>
    <w:lvl w:ilvl="7">
      <w:start w:val="0"/>
      <w:numFmt w:val="bullet"/>
      <w:lvlText w:val="•"/>
      <w:lvlJc w:val="left"/>
      <w:pPr>
        <w:ind w:left="8077" w:hanging="317"/>
      </w:pPr>
      <w:rPr>
        <w:rFonts w:hint="default"/>
        <w:lang w:val="en-US" w:eastAsia="en-US" w:bidi="ar-SA"/>
      </w:rPr>
    </w:lvl>
    <w:lvl w:ilvl="8">
      <w:start w:val="0"/>
      <w:numFmt w:val="bullet"/>
      <w:lvlText w:val="•"/>
      <w:lvlJc w:val="left"/>
      <w:pPr>
        <w:ind w:left="9113" w:hanging="317"/>
      </w:pPr>
      <w:rPr>
        <w:rFonts w:hint="default"/>
        <w:lang w:val="en-US" w:eastAsia="en-US" w:bidi="ar-SA"/>
      </w:rPr>
    </w:lvl>
  </w:abstractNum>
  <w:abstractNum w:abstractNumId="278">
    <w:multiLevelType w:val="hybridMultilevel"/>
    <w:lvl w:ilvl="0">
      <w:start w:val="1"/>
      <w:numFmt w:val="lowerLetter"/>
      <w:lvlText w:val="%1)"/>
      <w:lvlJc w:val="left"/>
      <w:pPr>
        <w:ind w:left="1313" w:hanging="32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329"/>
      </w:pPr>
      <w:rPr>
        <w:rFonts w:hint="default"/>
        <w:lang w:val="en-US" w:eastAsia="en-US" w:bidi="ar-SA"/>
      </w:rPr>
    </w:lvl>
    <w:lvl w:ilvl="2">
      <w:start w:val="0"/>
      <w:numFmt w:val="bullet"/>
      <w:lvlText w:val="•"/>
      <w:lvlJc w:val="left"/>
      <w:pPr>
        <w:ind w:left="3293" w:hanging="329"/>
      </w:pPr>
      <w:rPr>
        <w:rFonts w:hint="default"/>
        <w:lang w:val="en-US" w:eastAsia="en-US" w:bidi="ar-SA"/>
      </w:rPr>
    </w:lvl>
    <w:lvl w:ilvl="3">
      <w:start w:val="0"/>
      <w:numFmt w:val="bullet"/>
      <w:lvlText w:val="•"/>
      <w:lvlJc w:val="left"/>
      <w:pPr>
        <w:ind w:left="4279" w:hanging="329"/>
      </w:pPr>
      <w:rPr>
        <w:rFonts w:hint="default"/>
        <w:lang w:val="en-US" w:eastAsia="en-US" w:bidi="ar-SA"/>
      </w:rPr>
    </w:lvl>
    <w:lvl w:ilvl="4">
      <w:start w:val="0"/>
      <w:numFmt w:val="bullet"/>
      <w:lvlText w:val="•"/>
      <w:lvlJc w:val="left"/>
      <w:pPr>
        <w:ind w:left="5266" w:hanging="329"/>
      </w:pPr>
      <w:rPr>
        <w:rFonts w:hint="default"/>
        <w:lang w:val="en-US" w:eastAsia="en-US" w:bidi="ar-SA"/>
      </w:rPr>
    </w:lvl>
    <w:lvl w:ilvl="5">
      <w:start w:val="0"/>
      <w:numFmt w:val="bullet"/>
      <w:lvlText w:val="•"/>
      <w:lvlJc w:val="left"/>
      <w:pPr>
        <w:ind w:left="6253" w:hanging="329"/>
      </w:pPr>
      <w:rPr>
        <w:rFonts w:hint="default"/>
        <w:lang w:val="en-US" w:eastAsia="en-US" w:bidi="ar-SA"/>
      </w:rPr>
    </w:lvl>
    <w:lvl w:ilvl="6">
      <w:start w:val="0"/>
      <w:numFmt w:val="bullet"/>
      <w:lvlText w:val="•"/>
      <w:lvlJc w:val="left"/>
      <w:pPr>
        <w:ind w:left="7239" w:hanging="329"/>
      </w:pPr>
      <w:rPr>
        <w:rFonts w:hint="default"/>
        <w:lang w:val="en-US" w:eastAsia="en-US" w:bidi="ar-SA"/>
      </w:rPr>
    </w:lvl>
    <w:lvl w:ilvl="7">
      <w:start w:val="0"/>
      <w:numFmt w:val="bullet"/>
      <w:lvlText w:val="•"/>
      <w:lvlJc w:val="left"/>
      <w:pPr>
        <w:ind w:left="8226" w:hanging="329"/>
      </w:pPr>
      <w:rPr>
        <w:rFonts w:hint="default"/>
        <w:lang w:val="en-US" w:eastAsia="en-US" w:bidi="ar-SA"/>
      </w:rPr>
    </w:lvl>
    <w:lvl w:ilvl="8">
      <w:start w:val="0"/>
      <w:numFmt w:val="bullet"/>
      <w:lvlText w:val="•"/>
      <w:lvlJc w:val="left"/>
      <w:pPr>
        <w:ind w:left="9213" w:hanging="329"/>
      </w:pPr>
      <w:rPr>
        <w:rFonts w:hint="default"/>
        <w:lang w:val="en-US" w:eastAsia="en-US" w:bidi="ar-SA"/>
      </w:rPr>
    </w:lvl>
  </w:abstractNum>
  <w:abstractNum w:abstractNumId="277">
    <w:multiLevelType w:val="hybridMultilevel"/>
    <w:lvl w:ilvl="0">
      <w:start w:val="1"/>
      <w:numFmt w:val="lowerLetter"/>
      <w:lvlText w:val="%1)"/>
      <w:lvlJc w:val="left"/>
      <w:pPr>
        <w:ind w:left="1631" w:hanging="31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594" w:hanging="319"/>
      </w:pPr>
      <w:rPr>
        <w:rFonts w:hint="default"/>
        <w:lang w:val="en-US" w:eastAsia="en-US" w:bidi="ar-SA"/>
      </w:rPr>
    </w:lvl>
    <w:lvl w:ilvl="2">
      <w:start w:val="0"/>
      <w:numFmt w:val="bullet"/>
      <w:lvlText w:val="•"/>
      <w:lvlJc w:val="left"/>
      <w:pPr>
        <w:ind w:left="3549" w:hanging="319"/>
      </w:pPr>
      <w:rPr>
        <w:rFonts w:hint="default"/>
        <w:lang w:val="en-US" w:eastAsia="en-US" w:bidi="ar-SA"/>
      </w:rPr>
    </w:lvl>
    <w:lvl w:ilvl="3">
      <w:start w:val="0"/>
      <w:numFmt w:val="bullet"/>
      <w:lvlText w:val="•"/>
      <w:lvlJc w:val="left"/>
      <w:pPr>
        <w:ind w:left="4503" w:hanging="319"/>
      </w:pPr>
      <w:rPr>
        <w:rFonts w:hint="default"/>
        <w:lang w:val="en-US" w:eastAsia="en-US" w:bidi="ar-SA"/>
      </w:rPr>
    </w:lvl>
    <w:lvl w:ilvl="4">
      <w:start w:val="0"/>
      <w:numFmt w:val="bullet"/>
      <w:lvlText w:val="•"/>
      <w:lvlJc w:val="left"/>
      <w:pPr>
        <w:ind w:left="5458" w:hanging="319"/>
      </w:pPr>
      <w:rPr>
        <w:rFonts w:hint="default"/>
        <w:lang w:val="en-US" w:eastAsia="en-US" w:bidi="ar-SA"/>
      </w:rPr>
    </w:lvl>
    <w:lvl w:ilvl="5">
      <w:start w:val="0"/>
      <w:numFmt w:val="bullet"/>
      <w:lvlText w:val="•"/>
      <w:lvlJc w:val="left"/>
      <w:pPr>
        <w:ind w:left="6413" w:hanging="319"/>
      </w:pPr>
      <w:rPr>
        <w:rFonts w:hint="default"/>
        <w:lang w:val="en-US" w:eastAsia="en-US" w:bidi="ar-SA"/>
      </w:rPr>
    </w:lvl>
    <w:lvl w:ilvl="6">
      <w:start w:val="0"/>
      <w:numFmt w:val="bullet"/>
      <w:lvlText w:val="•"/>
      <w:lvlJc w:val="left"/>
      <w:pPr>
        <w:ind w:left="7367" w:hanging="319"/>
      </w:pPr>
      <w:rPr>
        <w:rFonts w:hint="default"/>
        <w:lang w:val="en-US" w:eastAsia="en-US" w:bidi="ar-SA"/>
      </w:rPr>
    </w:lvl>
    <w:lvl w:ilvl="7">
      <w:start w:val="0"/>
      <w:numFmt w:val="bullet"/>
      <w:lvlText w:val="•"/>
      <w:lvlJc w:val="left"/>
      <w:pPr>
        <w:ind w:left="8322" w:hanging="319"/>
      </w:pPr>
      <w:rPr>
        <w:rFonts w:hint="default"/>
        <w:lang w:val="en-US" w:eastAsia="en-US" w:bidi="ar-SA"/>
      </w:rPr>
    </w:lvl>
    <w:lvl w:ilvl="8">
      <w:start w:val="0"/>
      <w:numFmt w:val="bullet"/>
      <w:lvlText w:val="•"/>
      <w:lvlJc w:val="left"/>
      <w:pPr>
        <w:ind w:left="9277" w:hanging="319"/>
      </w:pPr>
      <w:rPr>
        <w:rFonts w:hint="default"/>
        <w:lang w:val="en-US" w:eastAsia="en-US" w:bidi="ar-SA"/>
      </w:rPr>
    </w:lvl>
  </w:abstractNum>
  <w:abstractNum w:abstractNumId="276">
    <w:multiLevelType w:val="hybridMultilevel"/>
    <w:lvl w:ilvl="0">
      <w:start w:val="1"/>
      <w:numFmt w:val="lowerLetter"/>
      <w:lvlText w:val="%1)"/>
      <w:lvlJc w:val="left"/>
      <w:pPr>
        <w:ind w:left="1631" w:hanging="31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594" w:hanging="319"/>
      </w:pPr>
      <w:rPr>
        <w:rFonts w:hint="default"/>
        <w:lang w:val="en-US" w:eastAsia="en-US" w:bidi="ar-SA"/>
      </w:rPr>
    </w:lvl>
    <w:lvl w:ilvl="2">
      <w:start w:val="0"/>
      <w:numFmt w:val="bullet"/>
      <w:lvlText w:val="•"/>
      <w:lvlJc w:val="left"/>
      <w:pPr>
        <w:ind w:left="3549" w:hanging="319"/>
      </w:pPr>
      <w:rPr>
        <w:rFonts w:hint="default"/>
        <w:lang w:val="en-US" w:eastAsia="en-US" w:bidi="ar-SA"/>
      </w:rPr>
    </w:lvl>
    <w:lvl w:ilvl="3">
      <w:start w:val="0"/>
      <w:numFmt w:val="bullet"/>
      <w:lvlText w:val="•"/>
      <w:lvlJc w:val="left"/>
      <w:pPr>
        <w:ind w:left="4503" w:hanging="319"/>
      </w:pPr>
      <w:rPr>
        <w:rFonts w:hint="default"/>
        <w:lang w:val="en-US" w:eastAsia="en-US" w:bidi="ar-SA"/>
      </w:rPr>
    </w:lvl>
    <w:lvl w:ilvl="4">
      <w:start w:val="0"/>
      <w:numFmt w:val="bullet"/>
      <w:lvlText w:val="•"/>
      <w:lvlJc w:val="left"/>
      <w:pPr>
        <w:ind w:left="5458" w:hanging="319"/>
      </w:pPr>
      <w:rPr>
        <w:rFonts w:hint="default"/>
        <w:lang w:val="en-US" w:eastAsia="en-US" w:bidi="ar-SA"/>
      </w:rPr>
    </w:lvl>
    <w:lvl w:ilvl="5">
      <w:start w:val="0"/>
      <w:numFmt w:val="bullet"/>
      <w:lvlText w:val="•"/>
      <w:lvlJc w:val="left"/>
      <w:pPr>
        <w:ind w:left="6413" w:hanging="319"/>
      </w:pPr>
      <w:rPr>
        <w:rFonts w:hint="default"/>
        <w:lang w:val="en-US" w:eastAsia="en-US" w:bidi="ar-SA"/>
      </w:rPr>
    </w:lvl>
    <w:lvl w:ilvl="6">
      <w:start w:val="0"/>
      <w:numFmt w:val="bullet"/>
      <w:lvlText w:val="•"/>
      <w:lvlJc w:val="left"/>
      <w:pPr>
        <w:ind w:left="7367" w:hanging="319"/>
      </w:pPr>
      <w:rPr>
        <w:rFonts w:hint="default"/>
        <w:lang w:val="en-US" w:eastAsia="en-US" w:bidi="ar-SA"/>
      </w:rPr>
    </w:lvl>
    <w:lvl w:ilvl="7">
      <w:start w:val="0"/>
      <w:numFmt w:val="bullet"/>
      <w:lvlText w:val="•"/>
      <w:lvlJc w:val="left"/>
      <w:pPr>
        <w:ind w:left="8322" w:hanging="319"/>
      </w:pPr>
      <w:rPr>
        <w:rFonts w:hint="default"/>
        <w:lang w:val="en-US" w:eastAsia="en-US" w:bidi="ar-SA"/>
      </w:rPr>
    </w:lvl>
    <w:lvl w:ilvl="8">
      <w:start w:val="0"/>
      <w:numFmt w:val="bullet"/>
      <w:lvlText w:val="•"/>
      <w:lvlJc w:val="left"/>
      <w:pPr>
        <w:ind w:left="9277" w:hanging="319"/>
      </w:pPr>
      <w:rPr>
        <w:rFonts w:hint="default"/>
        <w:lang w:val="en-US" w:eastAsia="en-US" w:bidi="ar-SA"/>
      </w:rPr>
    </w:lvl>
  </w:abstractNum>
  <w:abstractNum w:abstractNumId="275">
    <w:multiLevelType w:val="hybridMultilevel"/>
    <w:lvl w:ilvl="0">
      <w:start w:val="4"/>
      <w:numFmt w:val="lowerLetter"/>
      <w:lvlText w:val="%1."/>
      <w:lvlJc w:val="left"/>
      <w:pPr>
        <w:ind w:left="468" w:hanging="361"/>
        <w:jc w:val="left"/>
      </w:pPr>
      <w:rPr>
        <w:rFonts w:hint="default"/>
        <w:spacing w:val="0"/>
        <w:w w:val="99"/>
        <w:lang w:val="en-US" w:eastAsia="en-US" w:bidi="ar-SA"/>
      </w:rPr>
    </w:lvl>
    <w:lvl w:ilvl="1">
      <w:start w:val="0"/>
      <w:numFmt w:val="bullet"/>
      <w:lvlText w:val="•"/>
      <w:lvlJc w:val="left"/>
      <w:pPr>
        <w:ind w:left="1081" w:hanging="361"/>
      </w:pPr>
      <w:rPr>
        <w:rFonts w:hint="default"/>
        <w:lang w:val="en-US" w:eastAsia="en-US" w:bidi="ar-SA"/>
      </w:rPr>
    </w:lvl>
    <w:lvl w:ilvl="2">
      <w:start w:val="0"/>
      <w:numFmt w:val="bullet"/>
      <w:lvlText w:val="•"/>
      <w:lvlJc w:val="left"/>
      <w:pPr>
        <w:ind w:left="1702" w:hanging="361"/>
      </w:pPr>
      <w:rPr>
        <w:rFonts w:hint="default"/>
        <w:lang w:val="en-US" w:eastAsia="en-US" w:bidi="ar-SA"/>
      </w:rPr>
    </w:lvl>
    <w:lvl w:ilvl="3">
      <w:start w:val="0"/>
      <w:numFmt w:val="bullet"/>
      <w:lvlText w:val="•"/>
      <w:lvlJc w:val="left"/>
      <w:pPr>
        <w:ind w:left="2323" w:hanging="361"/>
      </w:pPr>
      <w:rPr>
        <w:rFonts w:hint="default"/>
        <w:lang w:val="en-US" w:eastAsia="en-US" w:bidi="ar-SA"/>
      </w:rPr>
    </w:lvl>
    <w:lvl w:ilvl="4">
      <w:start w:val="0"/>
      <w:numFmt w:val="bullet"/>
      <w:lvlText w:val="•"/>
      <w:lvlJc w:val="left"/>
      <w:pPr>
        <w:ind w:left="2944" w:hanging="361"/>
      </w:pPr>
      <w:rPr>
        <w:rFonts w:hint="default"/>
        <w:lang w:val="en-US" w:eastAsia="en-US" w:bidi="ar-SA"/>
      </w:rPr>
    </w:lvl>
    <w:lvl w:ilvl="5">
      <w:start w:val="0"/>
      <w:numFmt w:val="bullet"/>
      <w:lvlText w:val="•"/>
      <w:lvlJc w:val="left"/>
      <w:pPr>
        <w:ind w:left="3565" w:hanging="361"/>
      </w:pPr>
      <w:rPr>
        <w:rFonts w:hint="default"/>
        <w:lang w:val="en-US" w:eastAsia="en-US" w:bidi="ar-SA"/>
      </w:rPr>
    </w:lvl>
    <w:lvl w:ilvl="6">
      <w:start w:val="0"/>
      <w:numFmt w:val="bullet"/>
      <w:lvlText w:val="•"/>
      <w:lvlJc w:val="left"/>
      <w:pPr>
        <w:ind w:left="4186" w:hanging="361"/>
      </w:pPr>
      <w:rPr>
        <w:rFonts w:hint="default"/>
        <w:lang w:val="en-US" w:eastAsia="en-US" w:bidi="ar-SA"/>
      </w:rPr>
    </w:lvl>
    <w:lvl w:ilvl="7">
      <w:start w:val="0"/>
      <w:numFmt w:val="bullet"/>
      <w:lvlText w:val="•"/>
      <w:lvlJc w:val="left"/>
      <w:pPr>
        <w:ind w:left="4807" w:hanging="361"/>
      </w:pPr>
      <w:rPr>
        <w:rFonts w:hint="default"/>
        <w:lang w:val="en-US" w:eastAsia="en-US" w:bidi="ar-SA"/>
      </w:rPr>
    </w:lvl>
    <w:lvl w:ilvl="8">
      <w:start w:val="0"/>
      <w:numFmt w:val="bullet"/>
      <w:lvlText w:val="•"/>
      <w:lvlJc w:val="left"/>
      <w:pPr>
        <w:ind w:left="5428" w:hanging="361"/>
      </w:pPr>
      <w:rPr>
        <w:rFonts w:hint="default"/>
        <w:lang w:val="en-US" w:eastAsia="en-US" w:bidi="ar-SA"/>
      </w:rPr>
    </w:lvl>
  </w:abstractNum>
  <w:abstractNum w:abstractNumId="274">
    <w:multiLevelType w:val="hybridMultilevel"/>
    <w:lvl w:ilvl="0">
      <w:start w:val="1"/>
      <w:numFmt w:val="lowerLetter"/>
      <w:lvlText w:val="%1."/>
      <w:lvlJc w:val="left"/>
      <w:pPr>
        <w:ind w:left="468" w:hanging="361"/>
        <w:jc w:val="left"/>
      </w:pPr>
      <w:rPr>
        <w:rFonts w:hint="default" w:ascii="Arial" w:hAnsi="Arial" w:eastAsia="Arial" w:cs="Arial"/>
        <w:b w:val="0"/>
        <w:bCs w:val="0"/>
        <w:i w:val="0"/>
        <w:iCs w:val="0"/>
        <w:color w:val="221F1F"/>
        <w:spacing w:val="0"/>
        <w:w w:val="99"/>
        <w:sz w:val="20"/>
        <w:szCs w:val="20"/>
        <w:lang w:val="en-US" w:eastAsia="en-US" w:bidi="ar-SA"/>
      </w:rPr>
    </w:lvl>
    <w:lvl w:ilvl="1">
      <w:start w:val="0"/>
      <w:numFmt w:val="bullet"/>
      <w:lvlText w:val="•"/>
      <w:lvlJc w:val="left"/>
      <w:pPr>
        <w:ind w:left="1081" w:hanging="361"/>
      </w:pPr>
      <w:rPr>
        <w:rFonts w:hint="default"/>
        <w:lang w:val="en-US" w:eastAsia="en-US" w:bidi="ar-SA"/>
      </w:rPr>
    </w:lvl>
    <w:lvl w:ilvl="2">
      <w:start w:val="0"/>
      <w:numFmt w:val="bullet"/>
      <w:lvlText w:val="•"/>
      <w:lvlJc w:val="left"/>
      <w:pPr>
        <w:ind w:left="1702" w:hanging="361"/>
      </w:pPr>
      <w:rPr>
        <w:rFonts w:hint="default"/>
        <w:lang w:val="en-US" w:eastAsia="en-US" w:bidi="ar-SA"/>
      </w:rPr>
    </w:lvl>
    <w:lvl w:ilvl="3">
      <w:start w:val="0"/>
      <w:numFmt w:val="bullet"/>
      <w:lvlText w:val="•"/>
      <w:lvlJc w:val="left"/>
      <w:pPr>
        <w:ind w:left="2323" w:hanging="361"/>
      </w:pPr>
      <w:rPr>
        <w:rFonts w:hint="default"/>
        <w:lang w:val="en-US" w:eastAsia="en-US" w:bidi="ar-SA"/>
      </w:rPr>
    </w:lvl>
    <w:lvl w:ilvl="4">
      <w:start w:val="0"/>
      <w:numFmt w:val="bullet"/>
      <w:lvlText w:val="•"/>
      <w:lvlJc w:val="left"/>
      <w:pPr>
        <w:ind w:left="2944" w:hanging="361"/>
      </w:pPr>
      <w:rPr>
        <w:rFonts w:hint="default"/>
        <w:lang w:val="en-US" w:eastAsia="en-US" w:bidi="ar-SA"/>
      </w:rPr>
    </w:lvl>
    <w:lvl w:ilvl="5">
      <w:start w:val="0"/>
      <w:numFmt w:val="bullet"/>
      <w:lvlText w:val="•"/>
      <w:lvlJc w:val="left"/>
      <w:pPr>
        <w:ind w:left="3565" w:hanging="361"/>
      </w:pPr>
      <w:rPr>
        <w:rFonts w:hint="default"/>
        <w:lang w:val="en-US" w:eastAsia="en-US" w:bidi="ar-SA"/>
      </w:rPr>
    </w:lvl>
    <w:lvl w:ilvl="6">
      <w:start w:val="0"/>
      <w:numFmt w:val="bullet"/>
      <w:lvlText w:val="•"/>
      <w:lvlJc w:val="left"/>
      <w:pPr>
        <w:ind w:left="4186" w:hanging="361"/>
      </w:pPr>
      <w:rPr>
        <w:rFonts w:hint="default"/>
        <w:lang w:val="en-US" w:eastAsia="en-US" w:bidi="ar-SA"/>
      </w:rPr>
    </w:lvl>
    <w:lvl w:ilvl="7">
      <w:start w:val="0"/>
      <w:numFmt w:val="bullet"/>
      <w:lvlText w:val="•"/>
      <w:lvlJc w:val="left"/>
      <w:pPr>
        <w:ind w:left="4807" w:hanging="361"/>
      </w:pPr>
      <w:rPr>
        <w:rFonts w:hint="default"/>
        <w:lang w:val="en-US" w:eastAsia="en-US" w:bidi="ar-SA"/>
      </w:rPr>
    </w:lvl>
    <w:lvl w:ilvl="8">
      <w:start w:val="0"/>
      <w:numFmt w:val="bullet"/>
      <w:lvlText w:val="•"/>
      <w:lvlJc w:val="left"/>
      <w:pPr>
        <w:ind w:left="5428" w:hanging="361"/>
      </w:pPr>
      <w:rPr>
        <w:rFonts w:hint="default"/>
        <w:lang w:val="en-US" w:eastAsia="en-US" w:bidi="ar-SA"/>
      </w:rPr>
    </w:lvl>
  </w:abstractNum>
  <w:abstractNum w:abstractNumId="273">
    <w:multiLevelType w:val="hybridMultilevel"/>
    <w:lvl w:ilvl="0">
      <w:start w:val="1"/>
      <w:numFmt w:val="decimal"/>
      <w:lvlText w:val="%1."/>
      <w:lvlJc w:val="left"/>
      <w:pPr>
        <w:ind w:left="1644" w:hanging="33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594" w:hanging="332"/>
      </w:pPr>
      <w:rPr>
        <w:rFonts w:hint="default"/>
        <w:lang w:val="en-US" w:eastAsia="en-US" w:bidi="ar-SA"/>
      </w:rPr>
    </w:lvl>
    <w:lvl w:ilvl="2">
      <w:start w:val="0"/>
      <w:numFmt w:val="bullet"/>
      <w:lvlText w:val="•"/>
      <w:lvlJc w:val="left"/>
      <w:pPr>
        <w:ind w:left="3549" w:hanging="332"/>
      </w:pPr>
      <w:rPr>
        <w:rFonts w:hint="default"/>
        <w:lang w:val="en-US" w:eastAsia="en-US" w:bidi="ar-SA"/>
      </w:rPr>
    </w:lvl>
    <w:lvl w:ilvl="3">
      <w:start w:val="0"/>
      <w:numFmt w:val="bullet"/>
      <w:lvlText w:val="•"/>
      <w:lvlJc w:val="left"/>
      <w:pPr>
        <w:ind w:left="4503" w:hanging="332"/>
      </w:pPr>
      <w:rPr>
        <w:rFonts w:hint="default"/>
        <w:lang w:val="en-US" w:eastAsia="en-US" w:bidi="ar-SA"/>
      </w:rPr>
    </w:lvl>
    <w:lvl w:ilvl="4">
      <w:start w:val="0"/>
      <w:numFmt w:val="bullet"/>
      <w:lvlText w:val="•"/>
      <w:lvlJc w:val="left"/>
      <w:pPr>
        <w:ind w:left="5458" w:hanging="332"/>
      </w:pPr>
      <w:rPr>
        <w:rFonts w:hint="default"/>
        <w:lang w:val="en-US" w:eastAsia="en-US" w:bidi="ar-SA"/>
      </w:rPr>
    </w:lvl>
    <w:lvl w:ilvl="5">
      <w:start w:val="0"/>
      <w:numFmt w:val="bullet"/>
      <w:lvlText w:val="•"/>
      <w:lvlJc w:val="left"/>
      <w:pPr>
        <w:ind w:left="6413" w:hanging="332"/>
      </w:pPr>
      <w:rPr>
        <w:rFonts w:hint="default"/>
        <w:lang w:val="en-US" w:eastAsia="en-US" w:bidi="ar-SA"/>
      </w:rPr>
    </w:lvl>
    <w:lvl w:ilvl="6">
      <w:start w:val="0"/>
      <w:numFmt w:val="bullet"/>
      <w:lvlText w:val="•"/>
      <w:lvlJc w:val="left"/>
      <w:pPr>
        <w:ind w:left="7367" w:hanging="332"/>
      </w:pPr>
      <w:rPr>
        <w:rFonts w:hint="default"/>
        <w:lang w:val="en-US" w:eastAsia="en-US" w:bidi="ar-SA"/>
      </w:rPr>
    </w:lvl>
    <w:lvl w:ilvl="7">
      <w:start w:val="0"/>
      <w:numFmt w:val="bullet"/>
      <w:lvlText w:val="•"/>
      <w:lvlJc w:val="left"/>
      <w:pPr>
        <w:ind w:left="8322" w:hanging="332"/>
      </w:pPr>
      <w:rPr>
        <w:rFonts w:hint="default"/>
        <w:lang w:val="en-US" w:eastAsia="en-US" w:bidi="ar-SA"/>
      </w:rPr>
    </w:lvl>
    <w:lvl w:ilvl="8">
      <w:start w:val="0"/>
      <w:numFmt w:val="bullet"/>
      <w:lvlText w:val="•"/>
      <w:lvlJc w:val="left"/>
      <w:pPr>
        <w:ind w:left="9277" w:hanging="332"/>
      </w:pPr>
      <w:rPr>
        <w:rFonts w:hint="default"/>
        <w:lang w:val="en-US" w:eastAsia="en-US" w:bidi="ar-SA"/>
      </w:rPr>
    </w:lvl>
  </w:abstractNum>
  <w:abstractNum w:abstractNumId="272">
    <w:multiLevelType w:val="hybridMultilevel"/>
    <w:lvl w:ilvl="0">
      <w:start w:val="1"/>
      <w:numFmt w:val="lowerLetter"/>
      <w:lvlText w:val="%1)"/>
      <w:lvlJc w:val="left"/>
      <w:pPr>
        <w:ind w:left="1313" w:hanging="31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312"/>
      </w:pPr>
      <w:rPr>
        <w:rFonts w:hint="default"/>
        <w:lang w:val="en-US" w:eastAsia="en-US" w:bidi="ar-SA"/>
      </w:rPr>
    </w:lvl>
    <w:lvl w:ilvl="2">
      <w:start w:val="0"/>
      <w:numFmt w:val="bullet"/>
      <w:lvlText w:val="•"/>
      <w:lvlJc w:val="left"/>
      <w:pPr>
        <w:ind w:left="3293" w:hanging="312"/>
      </w:pPr>
      <w:rPr>
        <w:rFonts w:hint="default"/>
        <w:lang w:val="en-US" w:eastAsia="en-US" w:bidi="ar-SA"/>
      </w:rPr>
    </w:lvl>
    <w:lvl w:ilvl="3">
      <w:start w:val="0"/>
      <w:numFmt w:val="bullet"/>
      <w:lvlText w:val="•"/>
      <w:lvlJc w:val="left"/>
      <w:pPr>
        <w:ind w:left="4279" w:hanging="312"/>
      </w:pPr>
      <w:rPr>
        <w:rFonts w:hint="default"/>
        <w:lang w:val="en-US" w:eastAsia="en-US" w:bidi="ar-SA"/>
      </w:rPr>
    </w:lvl>
    <w:lvl w:ilvl="4">
      <w:start w:val="0"/>
      <w:numFmt w:val="bullet"/>
      <w:lvlText w:val="•"/>
      <w:lvlJc w:val="left"/>
      <w:pPr>
        <w:ind w:left="5266" w:hanging="312"/>
      </w:pPr>
      <w:rPr>
        <w:rFonts w:hint="default"/>
        <w:lang w:val="en-US" w:eastAsia="en-US" w:bidi="ar-SA"/>
      </w:rPr>
    </w:lvl>
    <w:lvl w:ilvl="5">
      <w:start w:val="0"/>
      <w:numFmt w:val="bullet"/>
      <w:lvlText w:val="•"/>
      <w:lvlJc w:val="left"/>
      <w:pPr>
        <w:ind w:left="6253" w:hanging="312"/>
      </w:pPr>
      <w:rPr>
        <w:rFonts w:hint="default"/>
        <w:lang w:val="en-US" w:eastAsia="en-US" w:bidi="ar-SA"/>
      </w:rPr>
    </w:lvl>
    <w:lvl w:ilvl="6">
      <w:start w:val="0"/>
      <w:numFmt w:val="bullet"/>
      <w:lvlText w:val="•"/>
      <w:lvlJc w:val="left"/>
      <w:pPr>
        <w:ind w:left="7239" w:hanging="312"/>
      </w:pPr>
      <w:rPr>
        <w:rFonts w:hint="default"/>
        <w:lang w:val="en-US" w:eastAsia="en-US" w:bidi="ar-SA"/>
      </w:rPr>
    </w:lvl>
    <w:lvl w:ilvl="7">
      <w:start w:val="0"/>
      <w:numFmt w:val="bullet"/>
      <w:lvlText w:val="•"/>
      <w:lvlJc w:val="left"/>
      <w:pPr>
        <w:ind w:left="8226" w:hanging="312"/>
      </w:pPr>
      <w:rPr>
        <w:rFonts w:hint="default"/>
        <w:lang w:val="en-US" w:eastAsia="en-US" w:bidi="ar-SA"/>
      </w:rPr>
    </w:lvl>
    <w:lvl w:ilvl="8">
      <w:start w:val="0"/>
      <w:numFmt w:val="bullet"/>
      <w:lvlText w:val="•"/>
      <w:lvlJc w:val="left"/>
      <w:pPr>
        <w:ind w:left="9213" w:hanging="312"/>
      </w:pPr>
      <w:rPr>
        <w:rFonts w:hint="default"/>
        <w:lang w:val="en-US" w:eastAsia="en-US" w:bidi="ar-SA"/>
      </w:rPr>
    </w:lvl>
  </w:abstractNum>
  <w:abstractNum w:abstractNumId="271">
    <w:multiLevelType w:val="hybridMultilevel"/>
    <w:lvl w:ilvl="0">
      <w:start w:val="0"/>
      <w:numFmt w:val="bullet"/>
      <w:lvlText w:val="●"/>
      <w:lvlJc w:val="left"/>
      <w:pPr>
        <w:ind w:left="527" w:hanging="286"/>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141" w:hanging="286"/>
      </w:pPr>
      <w:rPr>
        <w:rFonts w:hint="default"/>
        <w:lang w:val="en-US" w:eastAsia="en-US" w:bidi="ar-SA"/>
      </w:rPr>
    </w:lvl>
    <w:lvl w:ilvl="2">
      <w:start w:val="0"/>
      <w:numFmt w:val="bullet"/>
      <w:lvlText w:val="•"/>
      <w:lvlJc w:val="left"/>
      <w:pPr>
        <w:ind w:left="1762" w:hanging="286"/>
      </w:pPr>
      <w:rPr>
        <w:rFonts w:hint="default"/>
        <w:lang w:val="en-US" w:eastAsia="en-US" w:bidi="ar-SA"/>
      </w:rPr>
    </w:lvl>
    <w:lvl w:ilvl="3">
      <w:start w:val="0"/>
      <w:numFmt w:val="bullet"/>
      <w:lvlText w:val="•"/>
      <w:lvlJc w:val="left"/>
      <w:pPr>
        <w:ind w:left="2383" w:hanging="286"/>
      </w:pPr>
      <w:rPr>
        <w:rFonts w:hint="default"/>
        <w:lang w:val="en-US" w:eastAsia="en-US" w:bidi="ar-SA"/>
      </w:rPr>
    </w:lvl>
    <w:lvl w:ilvl="4">
      <w:start w:val="0"/>
      <w:numFmt w:val="bullet"/>
      <w:lvlText w:val="•"/>
      <w:lvlJc w:val="left"/>
      <w:pPr>
        <w:ind w:left="3004" w:hanging="286"/>
      </w:pPr>
      <w:rPr>
        <w:rFonts w:hint="default"/>
        <w:lang w:val="en-US" w:eastAsia="en-US" w:bidi="ar-SA"/>
      </w:rPr>
    </w:lvl>
    <w:lvl w:ilvl="5">
      <w:start w:val="0"/>
      <w:numFmt w:val="bullet"/>
      <w:lvlText w:val="•"/>
      <w:lvlJc w:val="left"/>
      <w:pPr>
        <w:ind w:left="3625" w:hanging="286"/>
      </w:pPr>
      <w:rPr>
        <w:rFonts w:hint="default"/>
        <w:lang w:val="en-US" w:eastAsia="en-US" w:bidi="ar-SA"/>
      </w:rPr>
    </w:lvl>
    <w:lvl w:ilvl="6">
      <w:start w:val="0"/>
      <w:numFmt w:val="bullet"/>
      <w:lvlText w:val="•"/>
      <w:lvlJc w:val="left"/>
      <w:pPr>
        <w:ind w:left="4246" w:hanging="286"/>
      </w:pPr>
      <w:rPr>
        <w:rFonts w:hint="default"/>
        <w:lang w:val="en-US" w:eastAsia="en-US" w:bidi="ar-SA"/>
      </w:rPr>
    </w:lvl>
    <w:lvl w:ilvl="7">
      <w:start w:val="0"/>
      <w:numFmt w:val="bullet"/>
      <w:lvlText w:val="•"/>
      <w:lvlJc w:val="left"/>
      <w:pPr>
        <w:ind w:left="4867" w:hanging="286"/>
      </w:pPr>
      <w:rPr>
        <w:rFonts w:hint="default"/>
        <w:lang w:val="en-US" w:eastAsia="en-US" w:bidi="ar-SA"/>
      </w:rPr>
    </w:lvl>
    <w:lvl w:ilvl="8">
      <w:start w:val="0"/>
      <w:numFmt w:val="bullet"/>
      <w:lvlText w:val="•"/>
      <w:lvlJc w:val="left"/>
      <w:pPr>
        <w:ind w:left="5488" w:hanging="286"/>
      </w:pPr>
      <w:rPr>
        <w:rFonts w:hint="default"/>
        <w:lang w:val="en-US" w:eastAsia="en-US" w:bidi="ar-SA"/>
      </w:rPr>
    </w:lvl>
  </w:abstractNum>
  <w:abstractNum w:abstractNumId="270">
    <w:multiLevelType w:val="hybridMultilevel"/>
    <w:lvl w:ilvl="0">
      <w:start w:val="0"/>
      <w:numFmt w:val="bullet"/>
      <w:lvlText w:val="●"/>
      <w:lvlJc w:val="left"/>
      <w:pPr>
        <w:ind w:left="527" w:hanging="286"/>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141" w:hanging="286"/>
      </w:pPr>
      <w:rPr>
        <w:rFonts w:hint="default"/>
        <w:lang w:val="en-US" w:eastAsia="en-US" w:bidi="ar-SA"/>
      </w:rPr>
    </w:lvl>
    <w:lvl w:ilvl="2">
      <w:start w:val="0"/>
      <w:numFmt w:val="bullet"/>
      <w:lvlText w:val="•"/>
      <w:lvlJc w:val="left"/>
      <w:pPr>
        <w:ind w:left="1762" w:hanging="286"/>
      </w:pPr>
      <w:rPr>
        <w:rFonts w:hint="default"/>
        <w:lang w:val="en-US" w:eastAsia="en-US" w:bidi="ar-SA"/>
      </w:rPr>
    </w:lvl>
    <w:lvl w:ilvl="3">
      <w:start w:val="0"/>
      <w:numFmt w:val="bullet"/>
      <w:lvlText w:val="•"/>
      <w:lvlJc w:val="left"/>
      <w:pPr>
        <w:ind w:left="2383" w:hanging="286"/>
      </w:pPr>
      <w:rPr>
        <w:rFonts w:hint="default"/>
        <w:lang w:val="en-US" w:eastAsia="en-US" w:bidi="ar-SA"/>
      </w:rPr>
    </w:lvl>
    <w:lvl w:ilvl="4">
      <w:start w:val="0"/>
      <w:numFmt w:val="bullet"/>
      <w:lvlText w:val="•"/>
      <w:lvlJc w:val="left"/>
      <w:pPr>
        <w:ind w:left="3004" w:hanging="286"/>
      </w:pPr>
      <w:rPr>
        <w:rFonts w:hint="default"/>
        <w:lang w:val="en-US" w:eastAsia="en-US" w:bidi="ar-SA"/>
      </w:rPr>
    </w:lvl>
    <w:lvl w:ilvl="5">
      <w:start w:val="0"/>
      <w:numFmt w:val="bullet"/>
      <w:lvlText w:val="•"/>
      <w:lvlJc w:val="left"/>
      <w:pPr>
        <w:ind w:left="3625" w:hanging="286"/>
      </w:pPr>
      <w:rPr>
        <w:rFonts w:hint="default"/>
        <w:lang w:val="en-US" w:eastAsia="en-US" w:bidi="ar-SA"/>
      </w:rPr>
    </w:lvl>
    <w:lvl w:ilvl="6">
      <w:start w:val="0"/>
      <w:numFmt w:val="bullet"/>
      <w:lvlText w:val="•"/>
      <w:lvlJc w:val="left"/>
      <w:pPr>
        <w:ind w:left="4246" w:hanging="286"/>
      </w:pPr>
      <w:rPr>
        <w:rFonts w:hint="default"/>
        <w:lang w:val="en-US" w:eastAsia="en-US" w:bidi="ar-SA"/>
      </w:rPr>
    </w:lvl>
    <w:lvl w:ilvl="7">
      <w:start w:val="0"/>
      <w:numFmt w:val="bullet"/>
      <w:lvlText w:val="•"/>
      <w:lvlJc w:val="left"/>
      <w:pPr>
        <w:ind w:left="4867" w:hanging="286"/>
      </w:pPr>
      <w:rPr>
        <w:rFonts w:hint="default"/>
        <w:lang w:val="en-US" w:eastAsia="en-US" w:bidi="ar-SA"/>
      </w:rPr>
    </w:lvl>
    <w:lvl w:ilvl="8">
      <w:start w:val="0"/>
      <w:numFmt w:val="bullet"/>
      <w:lvlText w:val="•"/>
      <w:lvlJc w:val="left"/>
      <w:pPr>
        <w:ind w:left="5488" w:hanging="286"/>
      </w:pPr>
      <w:rPr>
        <w:rFonts w:hint="default"/>
        <w:lang w:val="en-US" w:eastAsia="en-US" w:bidi="ar-SA"/>
      </w:rPr>
    </w:lvl>
  </w:abstractNum>
  <w:abstractNum w:abstractNumId="269">
    <w:multiLevelType w:val="hybridMultilevel"/>
    <w:lvl w:ilvl="0">
      <w:start w:val="0"/>
      <w:numFmt w:val="bullet"/>
      <w:lvlText w:val="●"/>
      <w:lvlJc w:val="left"/>
      <w:pPr>
        <w:ind w:left="527" w:hanging="286"/>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141" w:hanging="286"/>
      </w:pPr>
      <w:rPr>
        <w:rFonts w:hint="default"/>
        <w:lang w:val="en-US" w:eastAsia="en-US" w:bidi="ar-SA"/>
      </w:rPr>
    </w:lvl>
    <w:lvl w:ilvl="2">
      <w:start w:val="0"/>
      <w:numFmt w:val="bullet"/>
      <w:lvlText w:val="•"/>
      <w:lvlJc w:val="left"/>
      <w:pPr>
        <w:ind w:left="1762" w:hanging="286"/>
      </w:pPr>
      <w:rPr>
        <w:rFonts w:hint="default"/>
        <w:lang w:val="en-US" w:eastAsia="en-US" w:bidi="ar-SA"/>
      </w:rPr>
    </w:lvl>
    <w:lvl w:ilvl="3">
      <w:start w:val="0"/>
      <w:numFmt w:val="bullet"/>
      <w:lvlText w:val="•"/>
      <w:lvlJc w:val="left"/>
      <w:pPr>
        <w:ind w:left="2383" w:hanging="286"/>
      </w:pPr>
      <w:rPr>
        <w:rFonts w:hint="default"/>
        <w:lang w:val="en-US" w:eastAsia="en-US" w:bidi="ar-SA"/>
      </w:rPr>
    </w:lvl>
    <w:lvl w:ilvl="4">
      <w:start w:val="0"/>
      <w:numFmt w:val="bullet"/>
      <w:lvlText w:val="•"/>
      <w:lvlJc w:val="left"/>
      <w:pPr>
        <w:ind w:left="3004" w:hanging="286"/>
      </w:pPr>
      <w:rPr>
        <w:rFonts w:hint="default"/>
        <w:lang w:val="en-US" w:eastAsia="en-US" w:bidi="ar-SA"/>
      </w:rPr>
    </w:lvl>
    <w:lvl w:ilvl="5">
      <w:start w:val="0"/>
      <w:numFmt w:val="bullet"/>
      <w:lvlText w:val="•"/>
      <w:lvlJc w:val="left"/>
      <w:pPr>
        <w:ind w:left="3625" w:hanging="286"/>
      </w:pPr>
      <w:rPr>
        <w:rFonts w:hint="default"/>
        <w:lang w:val="en-US" w:eastAsia="en-US" w:bidi="ar-SA"/>
      </w:rPr>
    </w:lvl>
    <w:lvl w:ilvl="6">
      <w:start w:val="0"/>
      <w:numFmt w:val="bullet"/>
      <w:lvlText w:val="•"/>
      <w:lvlJc w:val="left"/>
      <w:pPr>
        <w:ind w:left="4246" w:hanging="286"/>
      </w:pPr>
      <w:rPr>
        <w:rFonts w:hint="default"/>
        <w:lang w:val="en-US" w:eastAsia="en-US" w:bidi="ar-SA"/>
      </w:rPr>
    </w:lvl>
    <w:lvl w:ilvl="7">
      <w:start w:val="0"/>
      <w:numFmt w:val="bullet"/>
      <w:lvlText w:val="•"/>
      <w:lvlJc w:val="left"/>
      <w:pPr>
        <w:ind w:left="4867" w:hanging="286"/>
      </w:pPr>
      <w:rPr>
        <w:rFonts w:hint="default"/>
        <w:lang w:val="en-US" w:eastAsia="en-US" w:bidi="ar-SA"/>
      </w:rPr>
    </w:lvl>
    <w:lvl w:ilvl="8">
      <w:start w:val="0"/>
      <w:numFmt w:val="bullet"/>
      <w:lvlText w:val="•"/>
      <w:lvlJc w:val="left"/>
      <w:pPr>
        <w:ind w:left="5488" w:hanging="286"/>
      </w:pPr>
      <w:rPr>
        <w:rFonts w:hint="default"/>
        <w:lang w:val="en-US" w:eastAsia="en-US" w:bidi="ar-SA"/>
      </w:rPr>
    </w:lvl>
  </w:abstractNum>
  <w:abstractNum w:abstractNumId="268">
    <w:multiLevelType w:val="hybridMultilevel"/>
    <w:lvl w:ilvl="0">
      <w:start w:val="0"/>
      <w:numFmt w:val="bullet"/>
      <w:lvlText w:val="●"/>
      <w:lvlJc w:val="left"/>
      <w:pPr>
        <w:ind w:left="312" w:hanging="212"/>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961" w:hanging="212"/>
      </w:pPr>
      <w:rPr>
        <w:rFonts w:hint="default"/>
        <w:lang w:val="en-US" w:eastAsia="en-US" w:bidi="ar-SA"/>
      </w:rPr>
    </w:lvl>
    <w:lvl w:ilvl="2">
      <w:start w:val="0"/>
      <w:numFmt w:val="bullet"/>
      <w:lvlText w:val="•"/>
      <w:lvlJc w:val="left"/>
      <w:pPr>
        <w:ind w:left="1602" w:hanging="212"/>
      </w:pPr>
      <w:rPr>
        <w:rFonts w:hint="default"/>
        <w:lang w:val="en-US" w:eastAsia="en-US" w:bidi="ar-SA"/>
      </w:rPr>
    </w:lvl>
    <w:lvl w:ilvl="3">
      <w:start w:val="0"/>
      <w:numFmt w:val="bullet"/>
      <w:lvlText w:val="•"/>
      <w:lvlJc w:val="left"/>
      <w:pPr>
        <w:ind w:left="2243" w:hanging="212"/>
      </w:pPr>
      <w:rPr>
        <w:rFonts w:hint="default"/>
        <w:lang w:val="en-US" w:eastAsia="en-US" w:bidi="ar-SA"/>
      </w:rPr>
    </w:lvl>
    <w:lvl w:ilvl="4">
      <w:start w:val="0"/>
      <w:numFmt w:val="bullet"/>
      <w:lvlText w:val="•"/>
      <w:lvlJc w:val="left"/>
      <w:pPr>
        <w:ind w:left="2885" w:hanging="212"/>
      </w:pPr>
      <w:rPr>
        <w:rFonts w:hint="default"/>
        <w:lang w:val="en-US" w:eastAsia="en-US" w:bidi="ar-SA"/>
      </w:rPr>
    </w:lvl>
    <w:lvl w:ilvl="5">
      <w:start w:val="0"/>
      <w:numFmt w:val="bullet"/>
      <w:lvlText w:val="•"/>
      <w:lvlJc w:val="left"/>
      <w:pPr>
        <w:ind w:left="3526" w:hanging="212"/>
      </w:pPr>
      <w:rPr>
        <w:rFonts w:hint="default"/>
        <w:lang w:val="en-US" w:eastAsia="en-US" w:bidi="ar-SA"/>
      </w:rPr>
    </w:lvl>
    <w:lvl w:ilvl="6">
      <w:start w:val="0"/>
      <w:numFmt w:val="bullet"/>
      <w:lvlText w:val="•"/>
      <w:lvlJc w:val="left"/>
      <w:pPr>
        <w:ind w:left="4167" w:hanging="212"/>
      </w:pPr>
      <w:rPr>
        <w:rFonts w:hint="default"/>
        <w:lang w:val="en-US" w:eastAsia="en-US" w:bidi="ar-SA"/>
      </w:rPr>
    </w:lvl>
    <w:lvl w:ilvl="7">
      <w:start w:val="0"/>
      <w:numFmt w:val="bullet"/>
      <w:lvlText w:val="•"/>
      <w:lvlJc w:val="left"/>
      <w:pPr>
        <w:ind w:left="4809" w:hanging="212"/>
      </w:pPr>
      <w:rPr>
        <w:rFonts w:hint="default"/>
        <w:lang w:val="en-US" w:eastAsia="en-US" w:bidi="ar-SA"/>
      </w:rPr>
    </w:lvl>
    <w:lvl w:ilvl="8">
      <w:start w:val="0"/>
      <w:numFmt w:val="bullet"/>
      <w:lvlText w:val="•"/>
      <w:lvlJc w:val="left"/>
      <w:pPr>
        <w:ind w:left="5450" w:hanging="212"/>
      </w:pPr>
      <w:rPr>
        <w:rFonts w:hint="default"/>
        <w:lang w:val="en-US" w:eastAsia="en-US" w:bidi="ar-SA"/>
      </w:rPr>
    </w:lvl>
  </w:abstractNum>
  <w:abstractNum w:abstractNumId="267">
    <w:multiLevelType w:val="hybridMultilevel"/>
    <w:lvl w:ilvl="0">
      <w:start w:val="0"/>
      <w:numFmt w:val="bullet"/>
      <w:lvlText w:val="●"/>
      <w:lvlJc w:val="left"/>
      <w:pPr>
        <w:ind w:left="331" w:hanging="212"/>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979" w:hanging="212"/>
      </w:pPr>
      <w:rPr>
        <w:rFonts w:hint="default"/>
        <w:lang w:val="en-US" w:eastAsia="en-US" w:bidi="ar-SA"/>
      </w:rPr>
    </w:lvl>
    <w:lvl w:ilvl="2">
      <w:start w:val="0"/>
      <w:numFmt w:val="bullet"/>
      <w:lvlText w:val="•"/>
      <w:lvlJc w:val="left"/>
      <w:pPr>
        <w:ind w:left="1619" w:hanging="212"/>
      </w:pPr>
      <w:rPr>
        <w:rFonts w:hint="default"/>
        <w:lang w:val="en-US" w:eastAsia="en-US" w:bidi="ar-SA"/>
      </w:rPr>
    </w:lvl>
    <w:lvl w:ilvl="3">
      <w:start w:val="0"/>
      <w:numFmt w:val="bullet"/>
      <w:lvlText w:val="•"/>
      <w:lvlJc w:val="left"/>
      <w:pPr>
        <w:ind w:left="2258" w:hanging="212"/>
      </w:pPr>
      <w:rPr>
        <w:rFonts w:hint="default"/>
        <w:lang w:val="en-US" w:eastAsia="en-US" w:bidi="ar-SA"/>
      </w:rPr>
    </w:lvl>
    <w:lvl w:ilvl="4">
      <w:start w:val="0"/>
      <w:numFmt w:val="bullet"/>
      <w:lvlText w:val="•"/>
      <w:lvlJc w:val="left"/>
      <w:pPr>
        <w:ind w:left="2898" w:hanging="212"/>
      </w:pPr>
      <w:rPr>
        <w:rFonts w:hint="default"/>
        <w:lang w:val="en-US" w:eastAsia="en-US" w:bidi="ar-SA"/>
      </w:rPr>
    </w:lvl>
    <w:lvl w:ilvl="5">
      <w:start w:val="0"/>
      <w:numFmt w:val="bullet"/>
      <w:lvlText w:val="•"/>
      <w:lvlJc w:val="left"/>
      <w:pPr>
        <w:ind w:left="3537" w:hanging="212"/>
      </w:pPr>
      <w:rPr>
        <w:rFonts w:hint="default"/>
        <w:lang w:val="en-US" w:eastAsia="en-US" w:bidi="ar-SA"/>
      </w:rPr>
    </w:lvl>
    <w:lvl w:ilvl="6">
      <w:start w:val="0"/>
      <w:numFmt w:val="bullet"/>
      <w:lvlText w:val="•"/>
      <w:lvlJc w:val="left"/>
      <w:pPr>
        <w:ind w:left="4177" w:hanging="212"/>
      </w:pPr>
      <w:rPr>
        <w:rFonts w:hint="default"/>
        <w:lang w:val="en-US" w:eastAsia="en-US" w:bidi="ar-SA"/>
      </w:rPr>
    </w:lvl>
    <w:lvl w:ilvl="7">
      <w:start w:val="0"/>
      <w:numFmt w:val="bullet"/>
      <w:lvlText w:val="•"/>
      <w:lvlJc w:val="left"/>
      <w:pPr>
        <w:ind w:left="4816" w:hanging="212"/>
      </w:pPr>
      <w:rPr>
        <w:rFonts w:hint="default"/>
        <w:lang w:val="en-US" w:eastAsia="en-US" w:bidi="ar-SA"/>
      </w:rPr>
    </w:lvl>
    <w:lvl w:ilvl="8">
      <w:start w:val="0"/>
      <w:numFmt w:val="bullet"/>
      <w:lvlText w:val="•"/>
      <w:lvlJc w:val="left"/>
      <w:pPr>
        <w:ind w:left="5456" w:hanging="212"/>
      </w:pPr>
      <w:rPr>
        <w:rFonts w:hint="default"/>
        <w:lang w:val="en-US" w:eastAsia="en-US" w:bidi="ar-SA"/>
      </w:rPr>
    </w:lvl>
  </w:abstractNum>
  <w:abstractNum w:abstractNumId="266">
    <w:multiLevelType w:val="hybridMultilevel"/>
    <w:lvl w:ilvl="0">
      <w:start w:val="0"/>
      <w:numFmt w:val="bullet"/>
      <w:lvlText w:val="●"/>
      <w:lvlJc w:val="left"/>
      <w:pPr>
        <w:ind w:left="312" w:hanging="212"/>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961" w:hanging="212"/>
      </w:pPr>
      <w:rPr>
        <w:rFonts w:hint="default"/>
        <w:lang w:val="en-US" w:eastAsia="en-US" w:bidi="ar-SA"/>
      </w:rPr>
    </w:lvl>
    <w:lvl w:ilvl="2">
      <w:start w:val="0"/>
      <w:numFmt w:val="bullet"/>
      <w:lvlText w:val="•"/>
      <w:lvlJc w:val="left"/>
      <w:pPr>
        <w:ind w:left="1602" w:hanging="212"/>
      </w:pPr>
      <w:rPr>
        <w:rFonts w:hint="default"/>
        <w:lang w:val="en-US" w:eastAsia="en-US" w:bidi="ar-SA"/>
      </w:rPr>
    </w:lvl>
    <w:lvl w:ilvl="3">
      <w:start w:val="0"/>
      <w:numFmt w:val="bullet"/>
      <w:lvlText w:val="•"/>
      <w:lvlJc w:val="left"/>
      <w:pPr>
        <w:ind w:left="2243" w:hanging="212"/>
      </w:pPr>
      <w:rPr>
        <w:rFonts w:hint="default"/>
        <w:lang w:val="en-US" w:eastAsia="en-US" w:bidi="ar-SA"/>
      </w:rPr>
    </w:lvl>
    <w:lvl w:ilvl="4">
      <w:start w:val="0"/>
      <w:numFmt w:val="bullet"/>
      <w:lvlText w:val="•"/>
      <w:lvlJc w:val="left"/>
      <w:pPr>
        <w:ind w:left="2885" w:hanging="212"/>
      </w:pPr>
      <w:rPr>
        <w:rFonts w:hint="default"/>
        <w:lang w:val="en-US" w:eastAsia="en-US" w:bidi="ar-SA"/>
      </w:rPr>
    </w:lvl>
    <w:lvl w:ilvl="5">
      <w:start w:val="0"/>
      <w:numFmt w:val="bullet"/>
      <w:lvlText w:val="•"/>
      <w:lvlJc w:val="left"/>
      <w:pPr>
        <w:ind w:left="3526" w:hanging="212"/>
      </w:pPr>
      <w:rPr>
        <w:rFonts w:hint="default"/>
        <w:lang w:val="en-US" w:eastAsia="en-US" w:bidi="ar-SA"/>
      </w:rPr>
    </w:lvl>
    <w:lvl w:ilvl="6">
      <w:start w:val="0"/>
      <w:numFmt w:val="bullet"/>
      <w:lvlText w:val="•"/>
      <w:lvlJc w:val="left"/>
      <w:pPr>
        <w:ind w:left="4167" w:hanging="212"/>
      </w:pPr>
      <w:rPr>
        <w:rFonts w:hint="default"/>
        <w:lang w:val="en-US" w:eastAsia="en-US" w:bidi="ar-SA"/>
      </w:rPr>
    </w:lvl>
    <w:lvl w:ilvl="7">
      <w:start w:val="0"/>
      <w:numFmt w:val="bullet"/>
      <w:lvlText w:val="•"/>
      <w:lvlJc w:val="left"/>
      <w:pPr>
        <w:ind w:left="4809" w:hanging="212"/>
      </w:pPr>
      <w:rPr>
        <w:rFonts w:hint="default"/>
        <w:lang w:val="en-US" w:eastAsia="en-US" w:bidi="ar-SA"/>
      </w:rPr>
    </w:lvl>
    <w:lvl w:ilvl="8">
      <w:start w:val="0"/>
      <w:numFmt w:val="bullet"/>
      <w:lvlText w:val="•"/>
      <w:lvlJc w:val="left"/>
      <w:pPr>
        <w:ind w:left="5450" w:hanging="212"/>
      </w:pPr>
      <w:rPr>
        <w:rFonts w:hint="default"/>
        <w:lang w:val="en-US" w:eastAsia="en-US" w:bidi="ar-SA"/>
      </w:rPr>
    </w:lvl>
  </w:abstractNum>
  <w:abstractNum w:abstractNumId="265">
    <w:multiLevelType w:val="hybridMultilevel"/>
    <w:lvl w:ilvl="0">
      <w:start w:val="0"/>
      <w:numFmt w:val="bullet"/>
      <w:lvlText w:val=""/>
      <w:lvlJc w:val="left"/>
      <w:pPr>
        <w:ind w:left="607" w:hanging="29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211" w:hanging="291"/>
      </w:pPr>
      <w:rPr>
        <w:rFonts w:hint="default"/>
        <w:lang w:val="en-US" w:eastAsia="en-US" w:bidi="ar-SA"/>
      </w:rPr>
    </w:lvl>
    <w:lvl w:ilvl="2">
      <w:start w:val="0"/>
      <w:numFmt w:val="bullet"/>
      <w:lvlText w:val="•"/>
      <w:lvlJc w:val="left"/>
      <w:pPr>
        <w:ind w:left="1823" w:hanging="291"/>
      </w:pPr>
      <w:rPr>
        <w:rFonts w:hint="default"/>
        <w:lang w:val="en-US" w:eastAsia="en-US" w:bidi="ar-SA"/>
      </w:rPr>
    </w:lvl>
    <w:lvl w:ilvl="3">
      <w:start w:val="0"/>
      <w:numFmt w:val="bullet"/>
      <w:lvlText w:val="•"/>
      <w:lvlJc w:val="left"/>
      <w:pPr>
        <w:ind w:left="2435" w:hanging="291"/>
      </w:pPr>
      <w:rPr>
        <w:rFonts w:hint="default"/>
        <w:lang w:val="en-US" w:eastAsia="en-US" w:bidi="ar-SA"/>
      </w:rPr>
    </w:lvl>
    <w:lvl w:ilvl="4">
      <w:start w:val="0"/>
      <w:numFmt w:val="bullet"/>
      <w:lvlText w:val="•"/>
      <w:lvlJc w:val="left"/>
      <w:pPr>
        <w:ind w:left="3047" w:hanging="291"/>
      </w:pPr>
      <w:rPr>
        <w:rFonts w:hint="default"/>
        <w:lang w:val="en-US" w:eastAsia="en-US" w:bidi="ar-SA"/>
      </w:rPr>
    </w:lvl>
    <w:lvl w:ilvl="5">
      <w:start w:val="0"/>
      <w:numFmt w:val="bullet"/>
      <w:lvlText w:val="•"/>
      <w:lvlJc w:val="left"/>
      <w:pPr>
        <w:ind w:left="3659" w:hanging="291"/>
      </w:pPr>
      <w:rPr>
        <w:rFonts w:hint="default"/>
        <w:lang w:val="en-US" w:eastAsia="en-US" w:bidi="ar-SA"/>
      </w:rPr>
    </w:lvl>
    <w:lvl w:ilvl="6">
      <w:start w:val="0"/>
      <w:numFmt w:val="bullet"/>
      <w:lvlText w:val="•"/>
      <w:lvlJc w:val="left"/>
      <w:pPr>
        <w:ind w:left="4271" w:hanging="291"/>
      </w:pPr>
      <w:rPr>
        <w:rFonts w:hint="default"/>
        <w:lang w:val="en-US" w:eastAsia="en-US" w:bidi="ar-SA"/>
      </w:rPr>
    </w:lvl>
    <w:lvl w:ilvl="7">
      <w:start w:val="0"/>
      <w:numFmt w:val="bullet"/>
      <w:lvlText w:val="•"/>
      <w:lvlJc w:val="left"/>
      <w:pPr>
        <w:ind w:left="4883" w:hanging="291"/>
      </w:pPr>
      <w:rPr>
        <w:rFonts w:hint="default"/>
        <w:lang w:val="en-US" w:eastAsia="en-US" w:bidi="ar-SA"/>
      </w:rPr>
    </w:lvl>
    <w:lvl w:ilvl="8">
      <w:start w:val="0"/>
      <w:numFmt w:val="bullet"/>
      <w:lvlText w:val="•"/>
      <w:lvlJc w:val="left"/>
      <w:pPr>
        <w:ind w:left="5495" w:hanging="291"/>
      </w:pPr>
      <w:rPr>
        <w:rFonts w:hint="default"/>
        <w:lang w:val="en-US" w:eastAsia="en-US" w:bidi="ar-SA"/>
      </w:rPr>
    </w:lvl>
  </w:abstractNum>
  <w:abstractNum w:abstractNumId="264">
    <w:multiLevelType w:val="hybridMultilevel"/>
    <w:lvl w:ilvl="0">
      <w:start w:val="2"/>
      <w:numFmt w:val="upperLetter"/>
      <w:lvlText w:val="%1)"/>
      <w:lvlJc w:val="left"/>
      <w:pPr>
        <w:ind w:left="1582" w:hanging="269"/>
        <w:jc w:val="left"/>
      </w:pPr>
      <w:rPr>
        <w:rFonts w:hint="default" w:ascii="Bookman Old Style" w:hAnsi="Bookman Old Style" w:eastAsia="Bookman Old Style" w:cs="Bookman Old Style"/>
        <w:b w:val="0"/>
        <w:bCs w:val="0"/>
        <w:i w:val="0"/>
        <w:iCs w:val="0"/>
        <w:spacing w:val="9"/>
        <w:w w:val="100"/>
        <w:sz w:val="22"/>
        <w:szCs w:val="22"/>
        <w:lang w:val="en-US" w:eastAsia="en-US" w:bidi="ar-SA"/>
      </w:rPr>
    </w:lvl>
    <w:lvl w:ilvl="1">
      <w:start w:val="0"/>
      <w:numFmt w:val="bullet"/>
      <w:lvlText w:val="•"/>
      <w:lvlJc w:val="left"/>
      <w:pPr>
        <w:ind w:left="2540" w:hanging="269"/>
      </w:pPr>
      <w:rPr>
        <w:rFonts w:hint="default"/>
        <w:lang w:val="en-US" w:eastAsia="en-US" w:bidi="ar-SA"/>
      </w:rPr>
    </w:lvl>
    <w:lvl w:ilvl="2">
      <w:start w:val="0"/>
      <w:numFmt w:val="bullet"/>
      <w:lvlText w:val="•"/>
      <w:lvlJc w:val="left"/>
      <w:pPr>
        <w:ind w:left="3501" w:hanging="269"/>
      </w:pPr>
      <w:rPr>
        <w:rFonts w:hint="default"/>
        <w:lang w:val="en-US" w:eastAsia="en-US" w:bidi="ar-SA"/>
      </w:rPr>
    </w:lvl>
    <w:lvl w:ilvl="3">
      <w:start w:val="0"/>
      <w:numFmt w:val="bullet"/>
      <w:lvlText w:val="•"/>
      <w:lvlJc w:val="left"/>
      <w:pPr>
        <w:ind w:left="4461" w:hanging="269"/>
      </w:pPr>
      <w:rPr>
        <w:rFonts w:hint="default"/>
        <w:lang w:val="en-US" w:eastAsia="en-US" w:bidi="ar-SA"/>
      </w:rPr>
    </w:lvl>
    <w:lvl w:ilvl="4">
      <w:start w:val="0"/>
      <w:numFmt w:val="bullet"/>
      <w:lvlText w:val="•"/>
      <w:lvlJc w:val="left"/>
      <w:pPr>
        <w:ind w:left="5422" w:hanging="269"/>
      </w:pPr>
      <w:rPr>
        <w:rFonts w:hint="default"/>
        <w:lang w:val="en-US" w:eastAsia="en-US" w:bidi="ar-SA"/>
      </w:rPr>
    </w:lvl>
    <w:lvl w:ilvl="5">
      <w:start w:val="0"/>
      <w:numFmt w:val="bullet"/>
      <w:lvlText w:val="•"/>
      <w:lvlJc w:val="left"/>
      <w:pPr>
        <w:ind w:left="6383" w:hanging="269"/>
      </w:pPr>
      <w:rPr>
        <w:rFonts w:hint="default"/>
        <w:lang w:val="en-US" w:eastAsia="en-US" w:bidi="ar-SA"/>
      </w:rPr>
    </w:lvl>
    <w:lvl w:ilvl="6">
      <w:start w:val="0"/>
      <w:numFmt w:val="bullet"/>
      <w:lvlText w:val="•"/>
      <w:lvlJc w:val="left"/>
      <w:pPr>
        <w:ind w:left="7343" w:hanging="269"/>
      </w:pPr>
      <w:rPr>
        <w:rFonts w:hint="default"/>
        <w:lang w:val="en-US" w:eastAsia="en-US" w:bidi="ar-SA"/>
      </w:rPr>
    </w:lvl>
    <w:lvl w:ilvl="7">
      <w:start w:val="0"/>
      <w:numFmt w:val="bullet"/>
      <w:lvlText w:val="•"/>
      <w:lvlJc w:val="left"/>
      <w:pPr>
        <w:ind w:left="8304" w:hanging="269"/>
      </w:pPr>
      <w:rPr>
        <w:rFonts w:hint="default"/>
        <w:lang w:val="en-US" w:eastAsia="en-US" w:bidi="ar-SA"/>
      </w:rPr>
    </w:lvl>
    <w:lvl w:ilvl="8">
      <w:start w:val="0"/>
      <w:numFmt w:val="bullet"/>
      <w:lvlText w:val="•"/>
      <w:lvlJc w:val="left"/>
      <w:pPr>
        <w:ind w:left="9265" w:hanging="269"/>
      </w:pPr>
      <w:rPr>
        <w:rFonts w:hint="default"/>
        <w:lang w:val="en-US" w:eastAsia="en-US" w:bidi="ar-SA"/>
      </w:rPr>
    </w:lvl>
  </w:abstractNum>
  <w:abstractNum w:abstractNumId="263">
    <w:multiLevelType w:val="hybridMultilevel"/>
    <w:lvl w:ilvl="0">
      <w:start w:val="2"/>
      <w:numFmt w:val="decimal"/>
      <w:lvlText w:val="%1."/>
      <w:lvlJc w:val="left"/>
      <w:pPr>
        <w:ind w:left="1644" w:hanging="33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1.%2"/>
      <w:lvlJc w:val="left"/>
      <w:pPr>
        <w:ind w:left="2213" w:hanging="90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decimal"/>
      <w:lvlText w:val="%1.%2.%3"/>
      <w:lvlJc w:val="left"/>
      <w:pPr>
        <w:ind w:left="1313" w:hanging="90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3340" w:hanging="900"/>
      </w:pPr>
      <w:rPr>
        <w:rFonts w:hint="default"/>
        <w:lang w:val="en-US" w:eastAsia="en-US" w:bidi="ar-SA"/>
      </w:rPr>
    </w:lvl>
    <w:lvl w:ilvl="4">
      <w:start w:val="0"/>
      <w:numFmt w:val="bullet"/>
      <w:lvlText w:val="•"/>
      <w:lvlJc w:val="left"/>
      <w:pPr>
        <w:ind w:left="4461" w:hanging="900"/>
      </w:pPr>
      <w:rPr>
        <w:rFonts w:hint="default"/>
        <w:lang w:val="en-US" w:eastAsia="en-US" w:bidi="ar-SA"/>
      </w:rPr>
    </w:lvl>
    <w:lvl w:ilvl="5">
      <w:start w:val="0"/>
      <w:numFmt w:val="bullet"/>
      <w:lvlText w:val="•"/>
      <w:lvlJc w:val="left"/>
      <w:pPr>
        <w:ind w:left="5582" w:hanging="900"/>
      </w:pPr>
      <w:rPr>
        <w:rFonts w:hint="default"/>
        <w:lang w:val="en-US" w:eastAsia="en-US" w:bidi="ar-SA"/>
      </w:rPr>
    </w:lvl>
    <w:lvl w:ilvl="6">
      <w:start w:val="0"/>
      <w:numFmt w:val="bullet"/>
      <w:lvlText w:val="•"/>
      <w:lvlJc w:val="left"/>
      <w:pPr>
        <w:ind w:left="6703" w:hanging="900"/>
      </w:pPr>
      <w:rPr>
        <w:rFonts w:hint="default"/>
        <w:lang w:val="en-US" w:eastAsia="en-US" w:bidi="ar-SA"/>
      </w:rPr>
    </w:lvl>
    <w:lvl w:ilvl="7">
      <w:start w:val="0"/>
      <w:numFmt w:val="bullet"/>
      <w:lvlText w:val="•"/>
      <w:lvlJc w:val="left"/>
      <w:pPr>
        <w:ind w:left="7824" w:hanging="900"/>
      </w:pPr>
      <w:rPr>
        <w:rFonts w:hint="default"/>
        <w:lang w:val="en-US" w:eastAsia="en-US" w:bidi="ar-SA"/>
      </w:rPr>
    </w:lvl>
    <w:lvl w:ilvl="8">
      <w:start w:val="0"/>
      <w:numFmt w:val="bullet"/>
      <w:lvlText w:val="•"/>
      <w:lvlJc w:val="left"/>
      <w:pPr>
        <w:ind w:left="8944" w:hanging="900"/>
      </w:pPr>
      <w:rPr>
        <w:rFonts w:hint="default"/>
        <w:lang w:val="en-US" w:eastAsia="en-US" w:bidi="ar-SA"/>
      </w:rPr>
    </w:lvl>
  </w:abstractNum>
  <w:abstractNum w:abstractNumId="262">
    <w:multiLevelType w:val="hybridMultilevel"/>
    <w:lvl w:ilvl="0">
      <w:start w:val="39"/>
      <w:numFmt w:val="decimal"/>
      <w:lvlText w:val="%1."/>
      <w:lvlJc w:val="left"/>
      <w:pPr>
        <w:ind w:left="1430" w:hanging="659"/>
        <w:jc w:val="right"/>
      </w:pPr>
      <w:rPr>
        <w:rFonts w:hint="default"/>
        <w:spacing w:val="-1"/>
        <w:w w:val="96"/>
        <w:lang w:val="en-US" w:eastAsia="en-US" w:bidi="ar-SA"/>
      </w:rPr>
    </w:lvl>
    <w:lvl w:ilvl="1">
      <w:start w:val="1"/>
      <w:numFmt w:val="decimal"/>
      <w:lvlText w:val="(%2)"/>
      <w:lvlJc w:val="left"/>
      <w:pPr>
        <w:ind w:left="1493" w:hanging="370"/>
        <w:jc w:val="left"/>
      </w:pPr>
      <w:rPr>
        <w:rFonts w:hint="default"/>
        <w:spacing w:val="-1"/>
        <w:w w:val="100"/>
        <w:lang w:val="en-US" w:eastAsia="en-US" w:bidi="ar-SA"/>
      </w:rPr>
    </w:lvl>
    <w:lvl w:ilvl="2">
      <w:start w:val="1"/>
      <w:numFmt w:val="lowerLetter"/>
      <w:lvlText w:val="(%3)"/>
      <w:lvlJc w:val="left"/>
      <w:pPr>
        <w:ind w:left="2033" w:hanging="370"/>
        <w:jc w:val="left"/>
      </w:pPr>
      <w:rPr>
        <w:rFonts w:hint="default"/>
        <w:spacing w:val="0"/>
        <w:w w:val="100"/>
        <w:lang w:val="en-US" w:eastAsia="en-US" w:bidi="ar-SA"/>
      </w:rPr>
    </w:lvl>
    <w:lvl w:ilvl="3">
      <w:start w:val="1"/>
      <w:numFmt w:val="lowerRoman"/>
      <w:lvlText w:val="(%4)"/>
      <w:lvlJc w:val="left"/>
      <w:pPr>
        <w:ind w:left="1550" w:hanging="37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4">
      <w:start w:val="0"/>
      <w:numFmt w:val="bullet"/>
      <w:lvlText w:val="•"/>
      <w:lvlJc w:val="left"/>
      <w:pPr>
        <w:ind w:left="1560" w:hanging="370"/>
      </w:pPr>
      <w:rPr>
        <w:rFonts w:hint="default"/>
        <w:lang w:val="en-US" w:eastAsia="en-US" w:bidi="ar-SA"/>
      </w:rPr>
    </w:lvl>
    <w:lvl w:ilvl="5">
      <w:start w:val="0"/>
      <w:numFmt w:val="bullet"/>
      <w:lvlText w:val="•"/>
      <w:lvlJc w:val="left"/>
      <w:pPr>
        <w:ind w:left="1680" w:hanging="370"/>
      </w:pPr>
      <w:rPr>
        <w:rFonts w:hint="default"/>
        <w:lang w:val="en-US" w:eastAsia="en-US" w:bidi="ar-SA"/>
      </w:rPr>
    </w:lvl>
    <w:lvl w:ilvl="6">
      <w:start w:val="0"/>
      <w:numFmt w:val="bullet"/>
      <w:lvlText w:val="•"/>
      <w:lvlJc w:val="left"/>
      <w:pPr>
        <w:ind w:left="1860" w:hanging="370"/>
      </w:pPr>
      <w:rPr>
        <w:rFonts w:hint="default"/>
        <w:lang w:val="en-US" w:eastAsia="en-US" w:bidi="ar-SA"/>
      </w:rPr>
    </w:lvl>
    <w:lvl w:ilvl="7">
      <w:start w:val="0"/>
      <w:numFmt w:val="bullet"/>
      <w:lvlText w:val="•"/>
      <w:lvlJc w:val="left"/>
      <w:pPr>
        <w:ind w:left="2040" w:hanging="370"/>
      </w:pPr>
      <w:rPr>
        <w:rFonts w:hint="default"/>
        <w:lang w:val="en-US" w:eastAsia="en-US" w:bidi="ar-SA"/>
      </w:rPr>
    </w:lvl>
    <w:lvl w:ilvl="8">
      <w:start w:val="0"/>
      <w:numFmt w:val="bullet"/>
      <w:lvlText w:val="•"/>
      <w:lvlJc w:val="left"/>
      <w:pPr>
        <w:ind w:left="2220" w:hanging="370"/>
      </w:pPr>
      <w:rPr>
        <w:rFonts w:hint="default"/>
        <w:lang w:val="en-US" w:eastAsia="en-US" w:bidi="ar-SA"/>
      </w:rPr>
    </w:lvl>
  </w:abstractNum>
  <w:abstractNum w:abstractNumId="261">
    <w:multiLevelType w:val="hybridMultilevel"/>
    <w:lvl w:ilvl="0">
      <w:start w:val="1"/>
      <w:numFmt w:val="lowerLetter"/>
      <w:lvlText w:val="%1)"/>
      <w:lvlJc w:val="left"/>
      <w:pPr>
        <w:ind w:left="1313" w:hanging="31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317"/>
      </w:pPr>
      <w:rPr>
        <w:rFonts w:hint="default"/>
        <w:lang w:val="en-US" w:eastAsia="en-US" w:bidi="ar-SA"/>
      </w:rPr>
    </w:lvl>
    <w:lvl w:ilvl="2">
      <w:start w:val="0"/>
      <w:numFmt w:val="bullet"/>
      <w:lvlText w:val="•"/>
      <w:lvlJc w:val="left"/>
      <w:pPr>
        <w:ind w:left="3293" w:hanging="317"/>
      </w:pPr>
      <w:rPr>
        <w:rFonts w:hint="default"/>
        <w:lang w:val="en-US" w:eastAsia="en-US" w:bidi="ar-SA"/>
      </w:rPr>
    </w:lvl>
    <w:lvl w:ilvl="3">
      <w:start w:val="0"/>
      <w:numFmt w:val="bullet"/>
      <w:lvlText w:val="•"/>
      <w:lvlJc w:val="left"/>
      <w:pPr>
        <w:ind w:left="4279" w:hanging="317"/>
      </w:pPr>
      <w:rPr>
        <w:rFonts w:hint="default"/>
        <w:lang w:val="en-US" w:eastAsia="en-US" w:bidi="ar-SA"/>
      </w:rPr>
    </w:lvl>
    <w:lvl w:ilvl="4">
      <w:start w:val="0"/>
      <w:numFmt w:val="bullet"/>
      <w:lvlText w:val="•"/>
      <w:lvlJc w:val="left"/>
      <w:pPr>
        <w:ind w:left="5266" w:hanging="317"/>
      </w:pPr>
      <w:rPr>
        <w:rFonts w:hint="default"/>
        <w:lang w:val="en-US" w:eastAsia="en-US" w:bidi="ar-SA"/>
      </w:rPr>
    </w:lvl>
    <w:lvl w:ilvl="5">
      <w:start w:val="0"/>
      <w:numFmt w:val="bullet"/>
      <w:lvlText w:val="•"/>
      <w:lvlJc w:val="left"/>
      <w:pPr>
        <w:ind w:left="6253" w:hanging="317"/>
      </w:pPr>
      <w:rPr>
        <w:rFonts w:hint="default"/>
        <w:lang w:val="en-US" w:eastAsia="en-US" w:bidi="ar-SA"/>
      </w:rPr>
    </w:lvl>
    <w:lvl w:ilvl="6">
      <w:start w:val="0"/>
      <w:numFmt w:val="bullet"/>
      <w:lvlText w:val="•"/>
      <w:lvlJc w:val="left"/>
      <w:pPr>
        <w:ind w:left="7239" w:hanging="317"/>
      </w:pPr>
      <w:rPr>
        <w:rFonts w:hint="default"/>
        <w:lang w:val="en-US" w:eastAsia="en-US" w:bidi="ar-SA"/>
      </w:rPr>
    </w:lvl>
    <w:lvl w:ilvl="7">
      <w:start w:val="0"/>
      <w:numFmt w:val="bullet"/>
      <w:lvlText w:val="•"/>
      <w:lvlJc w:val="left"/>
      <w:pPr>
        <w:ind w:left="8226" w:hanging="317"/>
      </w:pPr>
      <w:rPr>
        <w:rFonts w:hint="default"/>
        <w:lang w:val="en-US" w:eastAsia="en-US" w:bidi="ar-SA"/>
      </w:rPr>
    </w:lvl>
    <w:lvl w:ilvl="8">
      <w:start w:val="0"/>
      <w:numFmt w:val="bullet"/>
      <w:lvlText w:val="•"/>
      <w:lvlJc w:val="left"/>
      <w:pPr>
        <w:ind w:left="9213" w:hanging="317"/>
      </w:pPr>
      <w:rPr>
        <w:rFonts w:hint="default"/>
        <w:lang w:val="en-US" w:eastAsia="en-US" w:bidi="ar-SA"/>
      </w:rPr>
    </w:lvl>
  </w:abstractNum>
  <w:abstractNum w:abstractNumId="260">
    <w:multiLevelType w:val="hybridMultilevel"/>
    <w:lvl w:ilvl="0">
      <w:start w:val="38"/>
      <w:numFmt w:val="decimal"/>
      <w:lvlText w:val="(%1)"/>
      <w:lvlJc w:val="left"/>
      <w:pPr>
        <w:ind w:left="1493" w:hanging="721"/>
        <w:jc w:val="left"/>
      </w:pPr>
      <w:rPr>
        <w:rFonts w:hint="default" w:ascii="Bookman Old Style" w:hAnsi="Bookman Old Style" w:eastAsia="Bookman Old Style" w:cs="Bookman Old Style"/>
        <w:b/>
        <w:bCs/>
        <w:i/>
        <w:iCs/>
        <w:spacing w:val="-1"/>
        <w:w w:val="100"/>
        <w:sz w:val="28"/>
        <w:szCs w:val="28"/>
        <w:lang w:val="en-US" w:eastAsia="en-US" w:bidi="ar-SA"/>
      </w:rPr>
    </w:lvl>
    <w:lvl w:ilvl="1">
      <w:start w:val="1"/>
      <w:numFmt w:val="upperRoman"/>
      <w:lvlText w:val="(%2)"/>
      <w:lvlJc w:val="left"/>
      <w:pPr>
        <w:ind w:left="2213" w:hanging="900"/>
        <w:jc w:val="left"/>
      </w:pPr>
      <w:rPr>
        <w:rFonts w:hint="default" w:ascii="Bookman Old Style" w:hAnsi="Bookman Old Style" w:eastAsia="Bookman Old Style" w:cs="Bookman Old Style"/>
        <w:b/>
        <w:bCs/>
        <w:i w:val="0"/>
        <w:iCs w:val="0"/>
        <w:spacing w:val="0"/>
        <w:w w:val="100"/>
        <w:sz w:val="24"/>
        <w:szCs w:val="24"/>
        <w:lang w:val="en-US" w:eastAsia="en-US" w:bidi="ar-SA"/>
      </w:rPr>
    </w:lvl>
    <w:lvl w:ilvl="2">
      <w:start w:val="1"/>
      <w:numFmt w:val="decimal"/>
      <w:lvlText w:val="(%3)"/>
      <w:lvlJc w:val="left"/>
      <w:pPr>
        <w:ind w:left="1313"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1"/>
      <w:numFmt w:val="lowerLetter"/>
      <w:lvlText w:val="(%4)"/>
      <w:lvlJc w:val="left"/>
      <w:pPr>
        <w:ind w:left="1313" w:hanging="39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4">
      <w:start w:val="0"/>
      <w:numFmt w:val="bullet"/>
      <w:lvlText w:val="•"/>
      <w:lvlJc w:val="left"/>
      <w:pPr>
        <w:ind w:left="4461" w:hanging="392"/>
      </w:pPr>
      <w:rPr>
        <w:rFonts w:hint="default"/>
        <w:lang w:val="en-US" w:eastAsia="en-US" w:bidi="ar-SA"/>
      </w:rPr>
    </w:lvl>
    <w:lvl w:ilvl="5">
      <w:start w:val="0"/>
      <w:numFmt w:val="bullet"/>
      <w:lvlText w:val="•"/>
      <w:lvlJc w:val="left"/>
      <w:pPr>
        <w:ind w:left="5582" w:hanging="392"/>
      </w:pPr>
      <w:rPr>
        <w:rFonts w:hint="default"/>
        <w:lang w:val="en-US" w:eastAsia="en-US" w:bidi="ar-SA"/>
      </w:rPr>
    </w:lvl>
    <w:lvl w:ilvl="6">
      <w:start w:val="0"/>
      <w:numFmt w:val="bullet"/>
      <w:lvlText w:val="•"/>
      <w:lvlJc w:val="left"/>
      <w:pPr>
        <w:ind w:left="6703" w:hanging="392"/>
      </w:pPr>
      <w:rPr>
        <w:rFonts w:hint="default"/>
        <w:lang w:val="en-US" w:eastAsia="en-US" w:bidi="ar-SA"/>
      </w:rPr>
    </w:lvl>
    <w:lvl w:ilvl="7">
      <w:start w:val="0"/>
      <w:numFmt w:val="bullet"/>
      <w:lvlText w:val="•"/>
      <w:lvlJc w:val="left"/>
      <w:pPr>
        <w:ind w:left="7824" w:hanging="392"/>
      </w:pPr>
      <w:rPr>
        <w:rFonts w:hint="default"/>
        <w:lang w:val="en-US" w:eastAsia="en-US" w:bidi="ar-SA"/>
      </w:rPr>
    </w:lvl>
    <w:lvl w:ilvl="8">
      <w:start w:val="0"/>
      <w:numFmt w:val="bullet"/>
      <w:lvlText w:val="•"/>
      <w:lvlJc w:val="left"/>
      <w:pPr>
        <w:ind w:left="8944" w:hanging="392"/>
      </w:pPr>
      <w:rPr>
        <w:rFonts w:hint="default"/>
        <w:lang w:val="en-US" w:eastAsia="en-US" w:bidi="ar-SA"/>
      </w:rPr>
    </w:lvl>
  </w:abstractNum>
  <w:abstractNum w:abstractNumId="259">
    <w:multiLevelType w:val="hybridMultilevel"/>
    <w:lvl w:ilvl="0">
      <w:start w:val="1"/>
      <w:numFmt w:val="lowerRoman"/>
      <w:lvlText w:val="%1."/>
      <w:lvlJc w:val="left"/>
      <w:pPr>
        <w:ind w:left="1313" w:hanging="26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269"/>
      </w:pPr>
      <w:rPr>
        <w:rFonts w:hint="default"/>
        <w:lang w:val="en-US" w:eastAsia="en-US" w:bidi="ar-SA"/>
      </w:rPr>
    </w:lvl>
    <w:lvl w:ilvl="2">
      <w:start w:val="0"/>
      <w:numFmt w:val="bullet"/>
      <w:lvlText w:val="•"/>
      <w:lvlJc w:val="left"/>
      <w:pPr>
        <w:ind w:left="3293" w:hanging="269"/>
      </w:pPr>
      <w:rPr>
        <w:rFonts w:hint="default"/>
        <w:lang w:val="en-US" w:eastAsia="en-US" w:bidi="ar-SA"/>
      </w:rPr>
    </w:lvl>
    <w:lvl w:ilvl="3">
      <w:start w:val="0"/>
      <w:numFmt w:val="bullet"/>
      <w:lvlText w:val="•"/>
      <w:lvlJc w:val="left"/>
      <w:pPr>
        <w:ind w:left="4279" w:hanging="269"/>
      </w:pPr>
      <w:rPr>
        <w:rFonts w:hint="default"/>
        <w:lang w:val="en-US" w:eastAsia="en-US" w:bidi="ar-SA"/>
      </w:rPr>
    </w:lvl>
    <w:lvl w:ilvl="4">
      <w:start w:val="0"/>
      <w:numFmt w:val="bullet"/>
      <w:lvlText w:val="•"/>
      <w:lvlJc w:val="left"/>
      <w:pPr>
        <w:ind w:left="5266" w:hanging="269"/>
      </w:pPr>
      <w:rPr>
        <w:rFonts w:hint="default"/>
        <w:lang w:val="en-US" w:eastAsia="en-US" w:bidi="ar-SA"/>
      </w:rPr>
    </w:lvl>
    <w:lvl w:ilvl="5">
      <w:start w:val="0"/>
      <w:numFmt w:val="bullet"/>
      <w:lvlText w:val="•"/>
      <w:lvlJc w:val="left"/>
      <w:pPr>
        <w:ind w:left="6253" w:hanging="269"/>
      </w:pPr>
      <w:rPr>
        <w:rFonts w:hint="default"/>
        <w:lang w:val="en-US" w:eastAsia="en-US" w:bidi="ar-SA"/>
      </w:rPr>
    </w:lvl>
    <w:lvl w:ilvl="6">
      <w:start w:val="0"/>
      <w:numFmt w:val="bullet"/>
      <w:lvlText w:val="•"/>
      <w:lvlJc w:val="left"/>
      <w:pPr>
        <w:ind w:left="7239" w:hanging="269"/>
      </w:pPr>
      <w:rPr>
        <w:rFonts w:hint="default"/>
        <w:lang w:val="en-US" w:eastAsia="en-US" w:bidi="ar-SA"/>
      </w:rPr>
    </w:lvl>
    <w:lvl w:ilvl="7">
      <w:start w:val="0"/>
      <w:numFmt w:val="bullet"/>
      <w:lvlText w:val="•"/>
      <w:lvlJc w:val="left"/>
      <w:pPr>
        <w:ind w:left="8226" w:hanging="269"/>
      </w:pPr>
      <w:rPr>
        <w:rFonts w:hint="default"/>
        <w:lang w:val="en-US" w:eastAsia="en-US" w:bidi="ar-SA"/>
      </w:rPr>
    </w:lvl>
    <w:lvl w:ilvl="8">
      <w:start w:val="0"/>
      <w:numFmt w:val="bullet"/>
      <w:lvlText w:val="•"/>
      <w:lvlJc w:val="left"/>
      <w:pPr>
        <w:ind w:left="9213" w:hanging="269"/>
      </w:pPr>
      <w:rPr>
        <w:rFonts w:hint="default"/>
        <w:lang w:val="en-US" w:eastAsia="en-US" w:bidi="ar-SA"/>
      </w:rPr>
    </w:lvl>
  </w:abstractNum>
  <w:abstractNum w:abstractNumId="258">
    <w:multiLevelType w:val="hybridMultilevel"/>
    <w:lvl w:ilvl="0">
      <w:start w:val="20"/>
      <w:numFmt w:val="decimal"/>
      <w:lvlText w:val="(%1)"/>
      <w:lvlJc w:val="left"/>
      <w:pPr>
        <w:ind w:left="1913" w:hanging="600"/>
        <w:jc w:val="left"/>
      </w:pPr>
      <w:rPr>
        <w:rFonts w:hint="default"/>
        <w:spacing w:val="0"/>
        <w:w w:val="100"/>
        <w:lang w:val="en-US" w:eastAsia="en-US" w:bidi="ar-SA"/>
      </w:rPr>
    </w:lvl>
    <w:lvl w:ilvl="1">
      <w:start w:val="1"/>
      <w:numFmt w:val="lowerRoman"/>
      <w:lvlText w:val="(%2)"/>
      <w:lvlJc w:val="left"/>
      <w:pPr>
        <w:ind w:left="1954" w:hanging="468"/>
        <w:jc w:val="right"/>
      </w:pPr>
      <w:rPr>
        <w:rFonts w:hint="default"/>
        <w:spacing w:val="0"/>
        <w:w w:val="100"/>
        <w:lang w:val="en-US" w:eastAsia="en-US" w:bidi="ar-SA"/>
      </w:rPr>
    </w:lvl>
    <w:lvl w:ilvl="2">
      <w:start w:val="0"/>
      <w:numFmt w:val="bullet"/>
      <w:lvlText w:val="•"/>
      <w:lvlJc w:val="left"/>
      <w:pPr>
        <w:ind w:left="1920" w:hanging="468"/>
      </w:pPr>
      <w:rPr>
        <w:rFonts w:hint="default"/>
        <w:lang w:val="en-US" w:eastAsia="en-US" w:bidi="ar-SA"/>
      </w:rPr>
    </w:lvl>
    <w:lvl w:ilvl="3">
      <w:start w:val="0"/>
      <w:numFmt w:val="bullet"/>
      <w:lvlText w:val="•"/>
      <w:lvlJc w:val="left"/>
      <w:pPr>
        <w:ind w:left="1960" w:hanging="468"/>
      </w:pPr>
      <w:rPr>
        <w:rFonts w:hint="default"/>
        <w:lang w:val="en-US" w:eastAsia="en-US" w:bidi="ar-SA"/>
      </w:rPr>
    </w:lvl>
    <w:lvl w:ilvl="4">
      <w:start w:val="0"/>
      <w:numFmt w:val="bullet"/>
      <w:lvlText w:val="•"/>
      <w:lvlJc w:val="left"/>
      <w:pPr>
        <w:ind w:left="3278" w:hanging="468"/>
      </w:pPr>
      <w:rPr>
        <w:rFonts w:hint="default"/>
        <w:lang w:val="en-US" w:eastAsia="en-US" w:bidi="ar-SA"/>
      </w:rPr>
    </w:lvl>
    <w:lvl w:ilvl="5">
      <w:start w:val="0"/>
      <w:numFmt w:val="bullet"/>
      <w:lvlText w:val="•"/>
      <w:lvlJc w:val="left"/>
      <w:pPr>
        <w:ind w:left="4596" w:hanging="468"/>
      </w:pPr>
      <w:rPr>
        <w:rFonts w:hint="default"/>
        <w:lang w:val="en-US" w:eastAsia="en-US" w:bidi="ar-SA"/>
      </w:rPr>
    </w:lvl>
    <w:lvl w:ilvl="6">
      <w:start w:val="0"/>
      <w:numFmt w:val="bullet"/>
      <w:lvlText w:val="•"/>
      <w:lvlJc w:val="left"/>
      <w:pPr>
        <w:ind w:left="5914" w:hanging="468"/>
      </w:pPr>
      <w:rPr>
        <w:rFonts w:hint="default"/>
        <w:lang w:val="en-US" w:eastAsia="en-US" w:bidi="ar-SA"/>
      </w:rPr>
    </w:lvl>
    <w:lvl w:ilvl="7">
      <w:start w:val="0"/>
      <w:numFmt w:val="bullet"/>
      <w:lvlText w:val="•"/>
      <w:lvlJc w:val="left"/>
      <w:pPr>
        <w:ind w:left="7232" w:hanging="468"/>
      </w:pPr>
      <w:rPr>
        <w:rFonts w:hint="default"/>
        <w:lang w:val="en-US" w:eastAsia="en-US" w:bidi="ar-SA"/>
      </w:rPr>
    </w:lvl>
    <w:lvl w:ilvl="8">
      <w:start w:val="0"/>
      <w:numFmt w:val="bullet"/>
      <w:lvlText w:val="•"/>
      <w:lvlJc w:val="left"/>
      <w:pPr>
        <w:ind w:left="8550" w:hanging="468"/>
      </w:pPr>
      <w:rPr>
        <w:rFonts w:hint="default"/>
        <w:lang w:val="en-US" w:eastAsia="en-US" w:bidi="ar-SA"/>
      </w:rPr>
    </w:lvl>
  </w:abstractNum>
  <w:abstractNum w:abstractNumId="257">
    <w:multiLevelType w:val="hybridMultilevel"/>
    <w:lvl w:ilvl="0">
      <w:start w:val="1"/>
      <w:numFmt w:val="lowerLetter"/>
      <w:lvlText w:val="%1."/>
      <w:lvlJc w:val="left"/>
      <w:pPr>
        <w:ind w:left="1313"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360"/>
      </w:pPr>
      <w:rPr>
        <w:rFonts w:hint="default"/>
        <w:lang w:val="en-US" w:eastAsia="en-US" w:bidi="ar-SA"/>
      </w:rPr>
    </w:lvl>
    <w:lvl w:ilvl="2">
      <w:start w:val="0"/>
      <w:numFmt w:val="bullet"/>
      <w:lvlText w:val="•"/>
      <w:lvlJc w:val="left"/>
      <w:pPr>
        <w:ind w:left="3293" w:hanging="360"/>
      </w:pPr>
      <w:rPr>
        <w:rFonts w:hint="default"/>
        <w:lang w:val="en-US" w:eastAsia="en-US" w:bidi="ar-SA"/>
      </w:rPr>
    </w:lvl>
    <w:lvl w:ilvl="3">
      <w:start w:val="0"/>
      <w:numFmt w:val="bullet"/>
      <w:lvlText w:val="•"/>
      <w:lvlJc w:val="left"/>
      <w:pPr>
        <w:ind w:left="4279" w:hanging="360"/>
      </w:pPr>
      <w:rPr>
        <w:rFonts w:hint="default"/>
        <w:lang w:val="en-US" w:eastAsia="en-US" w:bidi="ar-SA"/>
      </w:rPr>
    </w:lvl>
    <w:lvl w:ilvl="4">
      <w:start w:val="0"/>
      <w:numFmt w:val="bullet"/>
      <w:lvlText w:val="•"/>
      <w:lvlJc w:val="left"/>
      <w:pPr>
        <w:ind w:left="5266" w:hanging="360"/>
      </w:pPr>
      <w:rPr>
        <w:rFonts w:hint="default"/>
        <w:lang w:val="en-US" w:eastAsia="en-US" w:bidi="ar-SA"/>
      </w:rPr>
    </w:lvl>
    <w:lvl w:ilvl="5">
      <w:start w:val="0"/>
      <w:numFmt w:val="bullet"/>
      <w:lvlText w:val="•"/>
      <w:lvlJc w:val="left"/>
      <w:pPr>
        <w:ind w:left="6253" w:hanging="360"/>
      </w:pPr>
      <w:rPr>
        <w:rFonts w:hint="default"/>
        <w:lang w:val="en-US" w:eastAsia="en-US" w:bidi="ar-SA"/>
      </w:rPr>
    </w:lvl>
    <w:lvl w:ilvl="6">
      <w:start w:val="0"/>
      <w:numFmt w:val="bullet"/>
      <w:lvlText w:val="•"/>
      <w:lvlJc w:val="left"/>
      <w:pPr>
        <w:ind w:left="7239" w:hanging="360"/>
      </w:pPr>
      <w:rPr>
        <w:rFonts w:hint="default"/>
        <w:lang w:val="en-US" w:eastAsia="en-US" w:bidi="ar-SA"/>
      </w:rPr>
    </w:lvl>
    <w:lvl w:ilvl="7">
      <w:start w:val="0"/>
      <w:numFmt w:val="bullet"/>
      <w:lvlText w:val="•"/>
      <w:lvlJc w:val="left"/>
      <w:pPr>
        <w:ind w:left="8226" w:hanging="360"/>
      </w:pPr>
      <w:rPr>
        <w:rFonts w:hint="default"/>
        <w:lang w:val="en-US" w:eastAsia="en-US" w:bidi="ar-SA"/>
      </w:rPr>
    </w:lvl>
    <w:lvl w:ilvl="8">
      <w:start w:val="0"/>
      <w:numFmt w:val="bullet"/>
      <w:lvlText w:val="•"/>
      <w:lvlJc w:val="left"/>
      <w:pPr>
        <w:ind w:left="9213" w:hanging="360"/>
      </w:pPr>
      <w:rPr>
        <w:rFonts w:hint="default"/>
        <w:lang w:val="en-US" w:eastAsia="en-US" w:bidi="ar-SA"/>
      </w:rPr>
    </w:lvl>
  </w:abstractNum>
  <w:abstractNum w:abstractNumId="256">
    <w:multiLevelType w:val="hybridMultilevel"/>
    <w:lvl w:ilvl="0">
      <w:start w:val="2"/>
      <w:numFmt w:val="lowerLetter"/>
      <w:lvlText w:val="%1)"/>
      <w:lvlJc w:val="left"/>
      <w:pPr>
        <w:ind w:left="1313" w:hanging="55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557"/>
      </w:pPr>
      <w:rPr>
        <w:rFonts w:hint="default"/>
        <w:lang w:val="en-US" w:eastAsia="en-US" w:bidi="ar-SA"/>
      </w:rPr>
    </w:lvl>
    <w:lvl w:ilvl="2">
      <w:start w:val="0"/>
      <w:numFmt w:val="bullet"/>
      <w:lvlText w:val="•"/>
      <w:lvlJc w:val="left"/>
      <w:pPr>
        <w:ind w:left="3293" w:hanging="557"/>
      </w:pPr>
      <w:rPr>
        <w:rFonts w:hint="default"/>
        <w:lang w:val="en-US" w:eastAsia="en-US" w:bidi="ar-SA"/>
      </w:rPr>
    </w:lvl>
    <w:lvl w:ilvl="3">
      <w:start w:val="0"/>
      <w:numFmt w:val="bullet"/>
      <w:lvlText w:val="•"/>
      <w:lvlJc w:val="left"/>
      <w:pPr>
        <w:ind w:left="4279" w:hanging="557"/>
      </w:pPr>
      <w:rPr>
        <w:rFonts w:hint="default"/>
        <w:lang w:val="en-US" w:eastAsia="en-US" w:bidi="ar-SA"/>
      </w:rPr>
    </w:lvl>
    <w:lvl w:ilvl="4">
      <w:start w:val="0"/>
      <w:numFmt w:val="bullet"/>
      <w:lvlText w:val="•"/>
      <w:lvlJc w:val="left"/>
      <w:pPr>
        <w:ind w:left="5266" w:hanging="557"/>
      </w:pPr>
      <w:rPr>
        <w:rFonts w:hint="default"/>
        <w:lang w:val="en-US" w:eastAsia="en-US" w:bidi="ar-SA"/>
      </w:rPr>
    </w:lvl>
    <w:lvl w:ilvl="5">
      <w:start w:val="0"/>
      <w:numFmt w:val="bullet"/>
      <w:lvlText w:val="•"/>
      <w:lvlJc w:val="left"/>
      <w:pPr>
        <w:ind w:left="6253" w:hanging="557"/>
      </w:pPr>
      <w:rPr>
        <w:rFonts w:hint="default"/>
        <w:lang w:val="en-US" w:eastAsia="en-US" w:bidi="ar-SA"/>
      </w:rPr>
    </w:lvl>
    <w:lvl w:ilvl="6">
      <w:start w:val="0"/>
      <w:numFmt w:val="bullet"/>
      <w:lvlText w:val="•"/>
      <w:lvlJc w:val="left"/>
      <w:pPr>
        <w:ind w:left="7239" w:hanging="557"/>
      </w:pPr>
      <w:rPr>
        <w:rFonts w:hint="default"/>
        <w:lang w:val="en-US" w:eastAsia="en-US" w:bidi="ar-SA"/>
      </w:rPr>
    </w:lvl>
    <w:lvl w:ilvl="7">
      <w:start w:val="0"/>
      <w:numFmt w:val="bullet"/>
      <w:lvlText w:val="•"/>
      <w:lvlJc w:val="left"/>
      <w:pPr>
        <w:ind w:left="8226" w:hanging="557"/>
      </w:pPr>
      <w:rPr>
        <w:rFonts w:hint="default"/>
        <w:lang w:val="en-US" w:eastAsia="en-US" w:bidi="ar-SA"/>
      </w:rPr>
    </w:lvl>
    <w:lvl w:ilvl="8">
      <w:start w:val="0"/>
      <w:numFmt w:val="bullet"/>
      <w:lvlText w:val="•"/>
      <w:lvlJc w:val="left"/>
      <w:pPr>
        <w:ind w:left="9213" w:hanging="557"/>
      </w:pPr>
      <w:rPr>
        <w:rFonts w:hint="default"/>
        <w:lang w:val="en-US" w:eastAsia="en-US" w:bidi="ar-SA"/>
      </w:rPr>
    </w:lvl>
  </w:abstractNum>
  <w:abstractNum w:abstractNumId="255">
    <w:multiLevelType w:val="hybridMultilevel"/>
    <w:lvl w:ilvl="0">
      <w:start w:val="1"/>
      <w:numFmt w:val="lowerLetter"/>
      <w:lvlText w:val="%1)"/>
      <w:lvlJc w:val="left"/>
      <w:pPr>
        <w:ind w:left="1673"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630" w:hanging="360"/>
      </w:pPr>
      <w:rPr>
        <w:rFonts w:hint="default"/>
        <w:lang w:val="en-US" w:eastAsia="en-US" w:bidi="ar-SA"/>
      </w:rPr>
    </w:lvl>
    <w:lvl w:ilvl="2">
      <w:start w:val="0"/>
      <w:numFmt w:val="bullet"/>
      <w:lvlText w:val="•"/>
      <w:lvlJc w:val="left"/>
      <w:pPr>
        <w:ind w:left="3581" w:hanging="360"/>
      </w:pPr>
      <w:rPr>
        <w:rFonts w:hint="default"/>
        <w:lang w:val="en-US" w:eastAsia="en-US" w:bidi="ar-SA"/>
      </w:rPr>
    </w:lvl>
    <w:lvl w:ilvl="3">
      <w:start w:val="0"/>
      <w:numFmt w:val="bullet"/>
      <w:lvlText w:val="•"/>
      <w:lvlJc w:val="left"/>
      <w:pPr>
        <w:ind w:left="4531" w:hanging="360"/>
      </w:pPr>
      <w:rPr>
        <w:rFonts w:hint="default"/>
        <w:lang w:val="en-US" w:eastAsia="en-US" w:bidi="ar-SA"/>
      </w:rPr>
    </w:lvl>
    <w:lvl w:ilvl="4">
      <w:start w:val="0"/>
      <w:numFmt w:val="bullet"/>
      <w:lvlText w:val="•"/>
      <w:lvlJc w:val="left"/>
      <w:pPr>
        <w:ind w:left="5482" w:hanging="360"/>
      </w:pPr>
      <w:rPr>
        <w:rFonts w:hint="default"/>
        <w:lang w:val="en-US" w:eastAsia="en-US" w:bidi="ar-SA"/>
      </w:rPr>
    </w:lvl>
    <w:lvl w:ilvl="5">
      <w:start w:val="0"/>
      <w:numFmt w:val="bullet"/>
      <w:lvlText w:val="•"/>
      <w:lvlJc w:val="left"/>
      <w:pPr>
        <w:ind w:left="6433" w:hanging="360"/>
      </w:pPr>
      <w:rPr>
        <w:rFonts w:hint="default"/>
        <w:lang w:val="en-US" w:eastAsia="en-US" w:bidi="ar-SA"/>
      </w:rPr>
    </w:lvl>
    <w:lvl w:ilvl="6">
      <w:start w:val="0"/>
      <w:numFmt w:val="bullet"/>
      <w:lvlText w:val="•"/>
      <w:lvlJc w:val="left"/>
      <w:pPr>
        <w:ind w:left="7383" w:hanging="360"/>
      </w:pPr>
      <w:rPr>
        <w:rFonts w:hint="default"/>
        <w:lang w:val="en-US" w:eastAsia="en-US" w:bidi="ar-SA"/>
      </w:rPr>
    </w:lvl>
    <w:lvl w:ilvl="7">
      <w:start w:val="0"/>
      <w:numFmt w:val="bullet"/>
      <w:lvlText w:val="•"/>
      <w:lvlJc w:val="left"/>
      <w:pPr>
        <w:ind w:left="8334" w:hanging="360"/>
      </w:pPr>
      <w:rPr>
        <w:rFonts w:hint="default"/>
        <w:lang w:val="en-US" w:eastAsia="en-US" w:bidi="ar-SA"/>
      </w:rPr>
    </w:lvl>
    <w:lvl w:ilvl="8">
      <w:start w:val="0"/>
      <w:numFmt w:val="bullet"/>
      <w:lvlText w:val="•"/>
      <w:lvlJc w:val="left"/>
      <w:pPr>
        <w:ind w:left="9285" w:hanging="360"/>
      </w:pPr>
      <w:rPr>
        <w:rFonts w:hint="default"/>
        <w:lang w:val="en-US" w:eastAsia="en-US" w:bidi="ar-SA"/>
      </w:rPr>
    </w:lvl>
  </w:abstractNum>
  <w:abstractNum w:abstractNumId="254">
    <w:multiLevelType w:val="hybridMultilevel"/>
    <w:lvl w:ilvl="0">
      <w:start w:val="11"/>
      <w:numFmt w:val="decimal"/>
      <w:lvlText w:val="(%1)"/>
      <w:lvlJc w:val="left"/>
      <w:pPr>
        <w:ind w:left="1493" w:hanging="490"/>
        <w:jc w:val="left"/>
      </w:pPr>
      <w:rPr>
        <w:rFonts w:hint="default" w:ascii="Bookman Old Style" w:hAnsi="Bookman Old Style" w:eastAsia="Bookman Old Style" w:cs="Bookman Old Style"/>
        <w:b/>
        <w:bCs/>
        <w:i/>
        <w:iCs/>
        <w:spacing w:val="9"/>
        <w:w w:val="100"/>
        <w:sz w:val="22"/>
        <w:szCs w:val="22"/>
        <w:lang w:val="en-US" w:eastAsia="en-US" w:bidi="ar-SA"/>
      </w:rPr>
    </w:lvl>
    <w:lvl w:ilvl="1">
      <w:start w:val="1"/>
      <w:numFmt w:val="lowerRoman"/>
      <w:lvlText w:val="(%2)"/>
      <w:lvlJc w:val="left"/>
      <w:pPr>
        <w:ind w:left="1313" w:hanging="245"/>
        <w:jc w:val="left"/>
      </w:pPr>
      <w:rPr>
        <w:rFonts w:hint="default"/>
        <w:spacing w:val="9"/>
        <w:w w:val="90"/>
        <w:lang w:val="en-US" w:eastAsia="en-US" w:bidi="ar-SA"/>
      </w:rPr>
    </w:lvl>
    <w:lvl w:ilvl="2">
      <w:start w:val="1"/>
      <w:numFmt w:val="lowerLetter"/>
      <w:lvlText w:val="(%3)"/>
      <w:lvlJc w:val="left"/>
      <w:pPr>
        <w:ind w:left="1313" w:hanging="245"/>
        <w:jc w:val="left"/>
      </w:pPr>
      <w:rPr>
        <w:rFonts w:hint="default" w:ascii="Bookman Old Style" w:hAnsi="Bookman Old Style" w:eastAsia="Bookman Old Style" w:cs="Bookman Old Style"/>
        <w:b w:val="0"/>
        <w:bCs w:val="0"/>
        <w:i/>
        <w:iCs/>
        <w:spacing w:val="4"/>
        <w:w w:val="100"/>
        <w:sz w:val="22"/>
        <w:szCs w:val="22"/>
        <w:lang w:val="en-US" w:eastAsia="en-US" w:bidi="ar-SA"/>
      </w:rPr>
    </w:lvl>
    <w:lvl w:ilvl="3">
      <w:start w:val="0"/>
      <w:numFmt w:val="bullet"/>
      <w:lvlText w:val="•"/>
      <w:lvlJc w:val="left"/>
      <w:pPr>
        <w:ind w:left="2833" w:hanging="245"/>
      </w:pPr>
      <w:rPr>
        <w:rFonts w:hint="default"/>
        <w:lang w:val="en-US" w:eastAsia="en-US" w:bidi="ar-SA"/>
      </w:rPr>
    </w:lvl>
    <w:lvl w:ilvl="4">
      <w:start w:val="0"/>
      <w:numFmt w:val="bullet"/>
      <w:lvlText w:val="•"/>
      <w:lvlJc w:val="left"/>
      <w:pPr>
        <w:ind w:left="4026" w:hanging="245"/>
      </w:pPr>
      <w:rPr>
        <w:rFonts w:hint="default"/>
        <w:lang w:val="en-US" w:eastAsia="en-US" w:bidi="ar-SA"/>
      </w:rPr>
    </w:lvl>
    <w:lvl w:ilvl="5">
      <w:start w:val="0"/>
      <w:numFmt w:val="bullet"/>
      <w:lvlText w:val="•"/>
      <w:lvlJc w:val="left"/>
      <w:pPr>
        <w:ind w:left="5219" w:hanging="245"/>
      </w:pPr>
      <w:rPr>
        <w:rFonts w:hint="default"/>
        <w:lang w:val="en-US" w:eastAsia="en-US" w:bidi="ar-SA"/>
      </w:rPr>
    </w:lvl>
    <w:lvl w:ilvl="6">
      <w:start w:val="0"/>
      <w:numFmt w:val="bullet"/>
      <w:lvlText w:val="•"/>
      <w:lvlJc w:val="left"/>
      <w:pPr>
        <w:ind w:left="6413" w:hanging="245"/>
      </w:pPr>
      <w:rPr>
        <w:rFonts w:hint="default"/>
        <w:lang w:val="en-US" w:eastAsia="en-US" w:bidi="ar-SA"/>
      </w:rPr>
    </w:lvl>
    <w:lvl w:ilvl="7">
      <w:start w:val="0"/>
      <w:numFmt w:val="bullet"/>
      <w:lvlText w:val="•"/>
      <w:lvlJc w:val="left"/>
      <w:pPr>
        <w:ind w:left="7606" w:hanging="245"/>
      </w:pPr>
      <w:rPr>
        <w:rFonts w:hint="default"/>
        <w:lang w:val="en-US" w:eastAsia="en-US" w:bidi="ar-SA"/>
      </w:rPr>
    </w:lvl>
    <w:lvl w:ilvl="8">
      <w:start w:val="0"/>
      <w:numFmt w:val="bullet"/>
      <w:lvlText w:val="•"/>
      <w:lvlJc w:val="left"/>
      <w:pPr>
        <w:ind w:left="8799" w:hanging="245"/>
      </w:pPr>
      <w:rPr>
        <w:rFonts w:hint="default"/>
        <w:lang w:val="en-US" w:eastAsia="en-US" w:bidi="ar-SA"/>
      </w:rPr>
    </w:lvl>
  </w:abstractNum>
  <w:abstractNum w:abstractNumId="253">
    <w:multiLevelType w:val="hybridMultilevel"/>
    <w:lvl w:ilvl="0">
      <w:start w:val="2"/>
      <w:numFmt w:val="lowerLetter"/>
      <w:lvlText w:val="(%1)"/>
      <w:lvlJc w:val="left"/>
      <w:pPr>
        <w:ind w:left="1493" w:hanging="322"/>
        <w:jc w:val="left"/>
      </w:pPr>
      <w:rPr>
        <w:rFonts w:hint="default" w:ascii="Bookman Old Style" w:hAnsi="Bookman Old Style" w:eastAsia="Bookman Old Style" w:cs="Bookman Old Style"/>
        <w:b w:val="0"/>
        <w:bCs w:val="0"/>
        <w:i w:val="0"/>
        <w:iCs w:val="0"/>
        <w:spacing w:val="9"/>
        <w:w w:val="100"/>
        <w:sz w:val="22"/>
        <w:szCs w:val="22"/>
        <w:lang w:val="en-US" w:eastAsia="en-US" w:bidi="ar-SA"/>
      </w:rPr>
    </w:lvl>
    <w:lvl w:ilvl="1">
      <w:start w:val="0"/>
      <w:numFmt w:val="bullet"/>
      <w:lvlText w:val="•"/>
      <w:lvlJc w:val="left"/>
      <w:pPr>
        <w:ind w:left="2468" w:hanging="322"/>
      </w:pPr>
      <w:rPr>
        <w:rFonts w:hint="default"/>
        <w:lang w:val="en-US" w:eastAsia="en-US" w:bidi="ar-SA"/>
      </w:rPr>
    </w:lvl>
    <w:lvl w:ilvl="2">
      <w:start w:val="0"/>
      <w:numFmt w:val="bullet"/>
      <w:lvlText w:val="•"/>
      <w:lvlJc w:val="left"/>
      <w:pPr>
        <w:ind w:left="3437" w:hanging="322"/>
      </w:pPr>
      <w:rPr>
        <w:rFonts w:hint="default"/>
        <w:lang w:val="en-US" w:eastAsia="en-US" w:bidi="ar-SA"/>
      </w:rPr>
    </w:lvl>
    <w:lvl w:ilvl="3">
      <w:start w:val="0"/>
      <w:numFmt w:val="bullet"/>
      <w:lvlText w:val="•"/>
      <w:lvlJc w:val="left"/>
      <w:pPr>
        <w:ind w:left="4405" w:hanging="322"/>
      </w:pPr>
      <w:rPr>
        <w:rFonts w:hint="default"/>
        <w:lang w:val="en-US" w:eastAsia="en-US" w:bidi="ar-SA"/>
      </w:rPr>
    </w:lvl>
    <w:lvl w:ilvl="4">
      <w:start w:val="0"/>
      <w:numFmt w:val="bullet"/>
      <w:lvlText w:val="•"/>
      <w:lvlJc w:val="left"/>
      <w:pPr>
        <w:ind w:left="5374" w:hanging="322"/>
      </w:pPr>
      <w:rPr>
        <w:rFonts w:hint="default"/>
        <w:lang w:val="en-US" w:eastAsia="en-US" w:bidi="ar-SA"/>
      </w:rPr>
    </w:lvl>
    <w:lvl w:ilvl="5">
      <w:start w:val="0"/>
      <w:numFmt w:val="bullet"/>
      <w:lvlText w:val="•"/>
      <w:lvlJc w:val="left"/>
      <w:pPr>
        <w:ind w:left="6343" w:hanging="322"/>
      </w:pPr>
      <w:rPr>
        <w:rFonts w:hint="default"/>
        <w:lang w:val="en-US" w:eastAsia="en-US" w:bidi="ar-SA"/>
      </w:rPr>
    </w:lvl>
    <w:lvl w:ilvl="6">
      <w:start w:val="0"/>
      <w:numFmt w:val="bullet"/>
      <w:lvlText w:val="•"/>
      <w:lvlJc w:val="left"/>
      <w:pPr>
        <w:ind w:left="7311" w:hanging="322"/>
      </w:pPr>
      <w:rPr>
        <w:rFonts w:hint="default"/>
        <w:lang w:val="en-US" w:eastAsia="en-US" w:bidi="ar-SA"/>
      </w:rPr>
    </w:lvl>
    <w:lvl w:ilvl="7">
      <w:start w:val="0"/>
      <w:numFmt w:val="bullet"/>
      <w:lvlText w:val="•"/>
      <w:lvlJc w:val="left"/>
      <w:pPr>
        <w:ind w:left="8280" w:hanging="322"/>
      </w:pPr>
      <w:rPr>
        <w:rFonts w:hint="default"/>
        <w:lang w:val="en-US" w:eastAsia="en-US" w:bidi="ar-SA"/>
      </w:rPr>
    </w:lvl>
    <w:lvl w:ilvl="8">
      <w:start w:val="0"/>
      <w:numFmt w:val="bullet"/>
      <w:lvlText w:val="•"/>
      <w:lvlJc w:val="left"/>
      <w:pPr>
        <w:ind w:left="9249" w:hanging="322"/>
      </w:pPr>
      <w:rPr>
        <w:rFonts w:hint="default"/>
        <w:lang w:val="en-US" w:eastAsia="en-US" w:bidi="ar-SA"/>
      </w:rPr>
    </w:lvl>
  </w:abstractNum>
  <w:abstractNum w:abstractNumId="252">
    <w:multiLevelType w:val="hybridMultilevel"/>
    <w:lvl w:ilvl="0">
      <w:start w:val="2"/>
      <w:numFmt w:val="lowerLetter"/>
      <w:lvlText w:val="(%1)"/>
      <w:lvlJc w:val="left"/>
      <w:pPr>
        <w:ind w:left="1493" w:hanging="504"/>
        <w:jc w:val="left"/>
      </w:pPr>
      <w:rPr>
        <w:rFonts w:hint="default"/>
        <w:spacing w:val="0"/>
        <w:w w:val="100"/>
        <w:lang w:val="en-US" w:eastAsia="en-US" w:bidi="ar-SA"/>
      </w:rPr>
    </w:lvl>
    <w:lvl w:ilvl="1">
      <w:start w:val="1"/>
      <w:numFmt w:val="lowerRoman"/>
      <w:lvlText w:val="%2)"/>
      <w:lvlJc w:val="left"/>
      <w:pPr>
        <w:ind w:left="1493" w:hanging="164"/>
        <w:jc w:val="right"/>
      </w:pPr>
      <w:rPr>
        <w:rFonts w:hint="default" w:ascii="Bookman Old Style" w:hAnsi="Bookman Old Style" w:eastAsia="Bookman Old Style" w:cs="Bookman Old Style"/>
        <w:b w:val="0"/>
        <w:bCs w:val="0"/>
        <w:i w:val="0"/>
        <w:iCs w:val="0"/>
        <w:spacing w:val="9"/>
        <w:w w:val="93"/>
        <w:sz w:val="22"/>
        <w:szCs w:val="22"/>
        <w:lang w:val="en-US" w:eastAsia="en-US" w:bidi="ar-SA"/>
      </w:rPr>
    </w:lvl>
    <w:lvl w:ilvl="2">
      <w:start w:val="0"/>
      <w:numFmt w:val="bullet"/>
      <w:lvlText w:val="•"/>
      <w:lvlJc w:val="left"/>
      <w:pPr>
        <w:ind w:left="3437" w:hanging="164"/>
      </w:pPr>
      <w:rPr>
        <w:rFonts w:hint="default"/>
        <w:lang w:val="en-US" w:eastAsia="en-US" w:bidi="ar-SA"/>
      </w:rPr>
    </w:lvl>
    <w:lvl w:ilvl="3">
      <w:start w:val="0"/>
      <w:numFmt w:val="bullet"/>
      <w:lvlText w:val="•"/>
      <w:lvlJc w:val="left"/>
      <w:pPr>
        <w:ind w:left="4405" w:hanging="164"/>
      </w:pPr>
      <w:rPr>
        <w:rFonts w:hint="default"/>
        <w:lang w:val="en-US" w:eastAsia="en-US" w:bidi="ar-SA"/>
      </w:rPr>
    </w:lvl>
    <w:lvl w:ilvl="4">
      <w:start w:val="0"/>
      <w:numFmt w:val="bullet"/>
      <w:lvlText w:val="•"/>
      <w:lvlJc w:val="left"/>
      <w:pPr>
        <w:ind w:left="5374" w:hanging="164"/>
      </w:pPr>
      <w:rPr>
        <w:rFonts w:hint="default"/>
        <w:lang w:val="en-US" w:eastAsia="en-US" w:bidi="ar-SA"/>
      </w:rPr>
    </w:lvl>
    <w:lvl w:ilvl="5">
      <w:start w:val="0"/>
      <w:numFmt w:val="bullet"/>
      <w:lvlText w:val="•"/>
      <w:lvlJc w:val="left"/>
      <w:pPr>
        <w:ind w:left="6343" w:hanging="164"/>
      </w:pPr>
      <w:rPr>
        <w:rFonts w:hint="default"/>
        <w:lang w:val="en-US" w:eastAsia="en-US" w:bidi="ar-SA"/>
      </w:rPr>
    </w:lvl>
    <w:lvl w:ilvl="6">
      <w:start w:val="0"/>
      <w:numFmt w:val="bullet"/>
      <w:lvlText w:val="•"/>
      <w:lvlJc w:val="left"/>
      <w:pPr>
        <w:ind w:left="7311" w:hanging="164"/>
      </w:pPr>
      <w:rPr>
        <w:rFonts w:hint="default"/>
        <w:lang w:val="en-US" w:eastAsia="en-US" w:bidi="ar-SA"/>
      </w:rPr>
    </w:lvl>
    <w:lvl w:ilvl="7">
      <w:start w:val="0"/>
      <w:numFmt w:val="bullet"/>
      <w:lvlText w:val="•"/>
      <w:lvlJc w:val="left"/>
      <w:pPr>
        <w:ind w:left="8280" w:hanging="164"/>
      </w:pPr>
      <w:rPr>
        <w:rFonts w:hint="default"/>
        <w:lang w:val="en-US" w:eastAsia="en-US" w:bidi="ar-SA"/>
      </w:rPr>
    </w:lvl>
    <w:lvl w:ilvl="8">
      <w:start w:val="0"/>
      <w:numFmt w:val="bullet"/>
      <w:lvlText w:val="•"/>
      <w:lvlJc w:val="left"/>
      <w:pPr>
        <w:ind w:left="9249" w:hanging="164"/>
      </w:pPr>
      <w:rPr>
        <w:rFonts w:hint="default"/>
        <w:lang w:val="en-US" w:eastAsia="en-US" w:bidi="ar-SA"/>
      </w:rPr>
    </w:lvl>
  </w:abstractNum>
  <w:abstractNum w:abstractNumId="251">
    <w:multiLevelType w:val="hybridMultilevel"/>
    <w:lvl w:ilvl="0">
      <w:start w:val="1"/>
      <w:numFmt w:val="lowerRoman"/>
      <w:lvlText w:val="(%1)"/>
      <w:lvlJc w:val="left"/>
      <w:pPr>
        <w:ind w:left="1493" w:hanging="33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332"/>
      </w:pPr>
      <w:rPr>
        <w:rFonts w:hint="default"/>
        <w:lang w:val="en-US" w:eastAsia="en-US" w:bidi="ar-SA"/>
      </w:rPr>
    </w:lvl>
    <w:lvl w:ilvl="2">
      <w:start w:val="0"/>
      <w:numFmt w:val="bullet"/>
      <w:lvlText w:val="•"/>
      <w:lvlJc w:val="left"/>
      <w:pPr>
        <w:ind w:left="3437" w:hanging="332"/>
      </w:pPr>
      <w:rPr>
        <w:rFonts w:hint="default"/>
        <w:lang w:val="en-US" w:eastAsia="en-US" w:bidi="ar-SA"/>
      </w:rPr>
    </w:lvl>
    <w:lvl w:ilvl="3">
      <w:start w:val="0"/>
      <w:numFmt w:val="bullet"/>
      <w:lvlText w:val="•"/>
      <w:lvlJc w:val="left"/>
      <w:pPr>
        <w:ind w:left="4405" w:hanging="332"/>
      </w:pPr>
      <w:rPr>
        <w:rFonts w:hint="default"/>
        <w:lang w:val="en-US" w:eastAsia="en-US" w:bidi="ar-SA"/>
      </w:rPr>
    </w:lvl>
    <w:lvl w:ilvl="4">
      <w:start w:val="0"/>
      <w:numFmt w:val="bullet"/>
      <w:lvlText w:val="•"/>
      <w:lvlJc w:val="left"/>
      <w:pPr>
        <w:ind w:left="5374" w:hanging="332"/>
      </w:pPr>
      <w:rPr>
        <w:rFonts w:hint="default"/>
        <w:lang w:val="en-US" w:eastAsia="en-US" w:bidi="ar-SA"/>
      </w:rPr>
    </w:lvl>
    <w:lvl w:ilvl="5">
      <w:start w:val="0"/>
      <w:numFmt w:val="bullet"/>
      <w:lvlText w:val="•"/>
      <w:lvlJc w:val="left"/>
      <w:pPr>
        <w:ind w:left="6343" w:hanging="332"/>
      </w:pPr>
      <w:rPr>
        <w:rFonts w:hint="default"/>
        <w:lang w:val="en-US" w:eastAsia="en-US" w:bidi="ar-SA"/>
      </w:rPr>
    </w:lvl>
    <w:lvl w:ilvl="6">
      <w:start w:val="0"/>
      <w:numFmt w:val="bullet"/>
      <w:lvlText w:val="•"/>
      <w:lvlJc w:val="left"/>
      <w:pPr>
        <w:ind w:left="7311" w:hanging="332"/>
      </w:pPr>
      <w:rPr>
        <w:rFonts w:hint="default"/>
        <w:lang w:val="en-US" w:eastAsia="en-US" w:bidi="ar-SA"/>
      </w:rPr>
    </w:lvl>
    <w:lvl w:ilvl="7">
      <w:start w:val="0"/>
      <w:numFmt w:val="bullet"/>
      <w:lvlText w:val="•"/>
      <w:lvlJc w:val="left"/>
      <w:pPr>
        <w:ind w:left="8280" w:hanging="332"/>
      </w:pPr>
      <w:rPr>
        <w:rFonts w:hint="default"/>
        <w:lang w:val="en-US" w:eastAsia="en-US" w:bidi="ar-SA"/>
      </w:rPr>
    </w:lvl>
    <w:lvl w:ilvl="8">
      <w:start w:val="0"/>
      <w:numFmt w:val="bullet"/>
      <w:lvlText w:val="•"/>
      <w:lvlJc w:val="left"/>
      <w:pPr>
        <w:ind w:left="9249" w:hanging="332"/>
      </w:pPr>
      <w:rPr>
        <w:rFonts w:hint="default"/>
        <w:lang w:val="en-US" w:eastAsia="en-US" w:bidi="ar-SA"/>
      </w:rPr>
    </w:lvl>
  </w:abstractNum>
  <w:abstractNum w:abstractNumId="250">
    <w:multiLevelType w:val="hybridMultilevel"/>
    <w:lvl w:ilvl="0">
      <w:start w:val="1"/>
      <w:numFmt w:val="lowerLetter"/>
      <w:lvlText w:val="(%1)"/>
      <w:lvlJc w:val="left"/>
      <w:pPr>
        <w:ind w:left="1493" w:hanging="39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399"/>
      </w:pPr>
      <w:rPr>
        <w:rFonts w:hint="default"/>
        <w:lang w:val="en-US" w:eastAsia="en-US" w:bidi="ar-SA"/>
      </w:rPr>
    </w:lvl>
    <w:lvl w:ilvl="2">
      <w:start w:val="0"/>
      <w:numFmt w:val="bullet"/>
      <w:lvlText w:val="•"/>
      <w:lvlJc w:val="left"/>
      <w:pPr>
        <w:ind w:left="3437" w:hanging="399"/>
      </w:pPr>
      <w:rPr>
        <w:rFonts w:hint="default"/>
        <w:lang w:val="en-US" w:eastAsia="en-US" w:bidi="ar-SA"/>
      </w:rPr>
    </w:lvl>
    <w:lvl w:ilvl="3">
      <w:start w:val="0"/>
      <w:numFmt w:val="bullet"/>
      <w:lvlText w:val="•"/>
      <w:lvlJc w:val="left"/>
      <w:pPr>
        <w:ind w:left="4405" w:hanging="399"/>
      </w:pPr>
      <w:rPr>
        <w:rFonts w:hint="default"/>
        <w:lang w:val="en-US" w:eastAsia="en-US" w:bidi="ar-SA"/>
      </w:rPr>
    </w:lvl>
    <w:lvl w:ilvl="4">
      <w:start w:val="0"/>
      <w:numFmt w:val="bullet"/>
      <w:lvlText w:val="•"/>
      <w:lvlJc w:val="left"/>
      <w:pPr>
        <w:ind w:left="5374" w:hanging="399"/>
      </w:pPr>
      <w:rPr>
        <w:rFonts w:hint="default"/>
        <w:lang w:val="en-US" w:eastAsia="en-US" w:bidi="ar-SA"/>
      </w:rPr>
    </w:lvl>
    <w:lvl w:ilvl="5">
      <w:start w:val="0"/>
      <w:numFmt w:val="bullet"/>
      <w:lvlText w:val="•"/>
      <w:lvlJc w:val="left"/>
      <w:pPr>
        <w:ind w:left="6343" w:hanging="399"/>
      </w:pPr>
      <w:rPr>
        <w:rFonts w:hint="default"/>
        <w:lang w:val="en-US" w:eastAsia="en-US" w:bidi="ar-SA"/>
      </w:rPr>
    </w:lvl>
    <w:lvl w:ilvl="6">
      <w:start w:val="0"/>
      <w:numFmt w:val="bullet"/>
      <w:lvlText w:val="•"/>
      <w:lvlJc w:val="left"/>
      <w:pPr>
        <w:ind w:left="7311" w:hanging="399"/>
      </w:pPr>
      <w:rPr>
        <w:rFonts w:hint="default"/>
        <w:lang w:val="en-US" w:eastAsia="en-US" w:bidi="ar-SA"/>
      </w:rPr>
    </w:lvl>
    <w:lvl w:ilvl="7">
      <w:start w:val="0"/>
      <w:numFmt w:val="bullet"/>
      <w:lvlText w:val="•"/>
      <w:lvlJc w:val="left"/>
      <w:pPr>
        <w:ind w:left="8280" w:hanging="399"/>
      </w:pPr>
      <w:rPr>
        <w:rFonts w:hint="default"/>
        <w:lang w:val="en-US" w:eastAsia="en-US" w:bidi="ar-SA"/>
      </w:rPr>
    </w:lvl>
    <w:lvl w:ilvl="8">
      <w:start w:val="0"/>
      <w:numFmt w:val="bullet"/>
      <w:lvlText w:val="•"/>
      <w:lvlJc w:val="left"/>
      <w:pPr>
        <w:ind w:left="9249" w:hanging="399"/>
      </w:pPr>
      <w:rPr>
        <w:rFonts w:hint="default"/>
        <w:lang w:val="en-US" w:eastAsia="en-US" w:bidi="ar-SA"/>
      </w:rPr>
    </w:lvl>
  </w:abstractNum>
  <w:abstractNum w:abstractNumId="249">
    <w:multiLevelType w:val="hybridMultilevel"/>
    <w:lvl w:ilvl="0">
      <w:start w:val="2"/>
      <w:numFmt w:val="lowerRoman"/>
      <w:lvlText w:val="(%1)"/>
      <w:lvlJc w:val="left"/>
      <w:pPr>
        <w:ind w:left="1313" w:hanging="38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493" w:hanging="70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576" w:hanging="706"/>
      </w:pPr>
      <w:rPr>
        <w:rFonts w:hint="default"/>
        <w:lang w:val="en-US" w:eastAsia="en-US" w:bidi="ar-SA"/>
      </w:rPr>
    </w:lvl>
    <w:lvl w:ilvl="3">
      <w:start w:val="0"/>
      <w:numFmt w:val="bullet"/>
      <w:lvlText w:val="•"/>
      <w:lvlJc w:val="left"/>
      <w:pPr>
        <w:ind w:left="3652" w:hanging="706"/>
      </w:pPr>
      <w:rPr>
        <w:rFonts w:hint="default"/>
        <w:lang w:val="en-US" w:eastAsia="en-US" w:bidi="ar-SA"/>
      </w:rPr>
    </w:lvl>
    <w:lvl w:ilvl="4">
      <w:start w:val="0"/>
      <w:numFmt w:val="bullet"/>
      <w:lvlText w:val="•"/>
      <w:lvlJc w:val="left"/>
      <w:pPr>
        <w:ind w:left="4728" w:hanging="706"/>
      </w:pPr>
      <w:rPr>
        <w:rFonts w:hint="default"/>
        <w:lang w:val="en-US" w:eastAsia="en-US" w:bidi="ar-SA"/>
      </w:rPr>
    </w:lvl>
    <w:lvl w:ilvl="5">
      <w:start w:val="0"/>
      <w:numFmt w:val="bullet"/>
      <w:lvlText w:val="•"/>
      <w:lvlJc w:val="left"/>
      <w:pPr>
        <w:ind w:left="5805" w:hanging="706"/>
      </w:pPr>
      <w:rPr>
        <w:rFonts w:hint="default"/>
        <w:lang w:val="en-US" w:eastAsia="en-US" w:bidi="ar-SA"/>
      </w:rPr>
    </w:lvl>
    <w:lvl w:ilvl="6">
      <w:start w:val="0"/>
      <w:numFmt w:val="bullet"/>
      <w:lvlText w:val="•"/>
      <w:lvlJc w:val="left"/>
      <w:pPr>
        <w:ind w:left="6881" w:hanging="706"/>
      </w:pPr>
      <w:rPr>
        <w:rFonts w:hint="default"/>
        <w:lang w:val="en-US" w:eastAsia="en-US" w:bidi="ar-SA"/>
      </w:rPr>
    </w:lvl>
    <w:lvl w:ilvl="7">
      <w:start w:val="0"/>
      <w:numFmt w:val="bullet"/>
      <w:lvlText w:val="•"/>
      <w:lvlJc w:val="left"/>
      <w:pPr>
        <w:ind w:left="7957" w:hanging="706"/>
      </w:pPr>
      <w:rPr>
        <w:rFonts w:hint="default"/>
        <w:lang w:val="en-US" w:eastAsia="en-US" w:bidi="ar-SA"/>
      </w:rPr>
    </w:lvl>
    <w:lvl w:ilvl="8">
      <w:start w:val="0"/>
      <w:numFmt w:val="bullet"/>
      <w:lvlText w:val="•"/>
      <w:lvlJc w:val="left"/>
      <w:pPr>
        <w:ind w:left="9033" w:hanging="706"/>
      </w:pPr>
      <w:rPr>
        <w:rFonts w:hint="default"/>
        <w:lang w:val="en-US" w:eastAsia="en-US" w:bidi="ar-SA"/>
      </w:rPr>
    </w:lvl>
  </w:abstractNum>
  <w:abstractNum w:abstractNumId="248">
    <w:multiLevelType w:val="hybridMultilevel"/>
    <w:lvl w:ilvl="0">
      <w:start w:val="1"/>
      <w:numFmt w:val="lowerLetter"/>
      <w:lvlText w:val="(%1)"/>
      <w:lvlJc w:val="left"/>
      <w:pPr>
        <w:ind w:left="405" w:hanging="300"/>
        <w:jc w:val="left"/>
      </w:pPr>
      <w:rPr>
        <w:rFonts w:hint="default" w:ascii="Bookman Old Style" w:hAnsi="Bookman Old Style" w:eastAsia="Bookman Old Style" w:cs="Bookman Old Style"/>
        <w:b w:val="0"/>
        <w:bCs w:val="0"/>
        <w:i w:val="0"/>
        <w:iCs w:val="0"/>
        <w:spacing w:val="0"/>
        <w:w w:val="99"/>
        <w:sz w:val="20"/>
        <w:szCs w:val="20"/>
        <w:lang w:val="en-US" w:eastAsia="en-US" w:bidi="ar-SA"/>
      </w:rPr>
    </w:lvl>
    <w:lvl w:ilvl="1">
      <w:start w:val="0"/>
      <w:numFmt w:val="bullet"/>
      <w:lvlText w:val="•"/>
      <w:lvlJc w:val="left"/>
      <w:pPr>
        <w:ind w:left="747" w:hanging="300"/>
      </w:pPr>
      <w:rPr>
        <w:rFonts w:hint="default"/>
        <w:lang w:val="en-US" w:eastAsia="en-US" w:bidi="ar-SA"/>
      </w:rPr>
    </w:lvl>
    <w:lvl w:ilvl="2">
      <w:start w:val="0"/>
      <w:numFmt w:val="bullet"/>
      <w:lvlText w:val="•"/>
      <w:lvlJc w:val="left"/>
      <w:pPr>
        <w:ind w:left="1095" w:hanging="300"/>
      </w:pPr>
      <w:rPr>
        <w:rFonts w:hint="default"/>
        <w:lang w:val="en-US" w:eastAsia="en-US" w:bidi="ar-SA"/>
      </w:rPr>
    </w:lvl>
    <w:lvl w:ilvl="3">
      <w:start w:val="0"/>
      <w:numFmt w:val="bullet"/>
      <w:lvlText w:val="•"/>
      <w:lvlJc w:val="left"/>
      <w:pPr>
        <w:ind w:left="1443" w:hanging="300"/>
      </w:pPr>
      <w:rPr>
        <w:rFonts w:hint="default"/>
        <w:lang w:val="en-US" w:eastAsia="en-US" w:bidi="ar-SA"/>
      </w:rPr>
    </w:lvl>
    <w:lvl w:ilvl="4">
      <w:start w:val="0"/>
      <w:numFmt w:val="bullet"/>
      <w:lvlText w:val="•"/>
      <w:lvlJc w:val="left"/>
      <w:pPr>
        <w:ind w:left="1791" w:hanging="300"/>
      </w:pPr>
      <w:rPr>
        <w:rFonts w:hint="default"/>
        <w:lang w:val="en-US" w:eastAsia="en-US" w:bidi="ar-SA"/>
      </w:rPr>
    </w:lvl>
    <w:lvl w:ilvl="5">
      <w:start w:val="0"/>
      <w:numFmt w:val="bullet"/>
      <w:lvlText w:val="•"/>
      <w:lvlJc w:val="left"/>
      <w:pPr>
        <w:ind w:left="2139" w:hanging="300"/>
      </w:pPr>
      <w:rPr>
        <w:rFonts w:hint="default"/>
        <w:lang w:val="en-US" w:eastAsia="en-US" w:bidi="ar-SA"/>
      </w:rPr>
    </w:lvl>
    <w:lvl w:ilvl="6">
      <w:start w:val="0"/>
      <w:numFmt w:val="bullet"/>
      <w:lvlText w:val="•"/>
      <w:lvlJc w:val="left"/>
      <w:pPr>
        <w:ind w:left="2487" w:hanging="300"/>
      </w:pPr>
      <w:rPr>
        <w:rFonts w:hint="default"/>
        <w:lang w:val="en-US" w:eastAsia="en-US" w:bidi="ar-SA"/>
      </w:rPr>
    </w:lvl>
    <w:lvl w:ilvl="7">
      <w:start w:val="0"/>
      <w:numFmt w:val="bullet"/>
      <w:lvlText w:val="•"/>
      <w:lvlJc w:val="left"/>
      <w:pPr>
        <w:ind w:left="2835" w:hanging="300"/>
      </w:pPr>
      <w:rPr>
        <w:rFonts w:hint="default"/>
        <w:lang w:val="en-US" w:eastAsia="en-US" w:bidi="ar-SA"/>
      </w:rPr>
    </w:lvl>
    <w:lvl w:ilvl="8">
      <w:start w:val="0"/>
      <w:numFmt w:val="bullet"/>
      <w:lvlText w:val="•"/>
      <w:lvlJc w:val="left"/>
      <w:pPr>
        <w:ind w:left="3183" w:hanging="300"/>
      </w:pPr>
      <w:rPr>
        <w:rFonts w:hint="default"/>
        <w:lang w:val="en-US" w:eastAsia="en-US" w:bidi="ar-SA"/>
      </w:rPr>
    </w:lvl>
  </w:abstractNum>
  <w:abstractNum w:abstractNumId="247">
    <w:multiLevelType w:val="hybridMultilevel"/>
    <w:lvl w:ilvl="0">
      <w:start w:val="2"/>
      <w:numFmt w:val="lowerRoman"/>
      <w:lvlText w:val="(%1)"/>
      <w:lvlJc w:val="left"/>
      <w:pPr>
        <w:ind w:left="1313" w:hanging="43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435"/>
      </w:pPr>
      <w:rPr>
        <w:rFonts w:hint="default"/>
        <w:lang w:val="en-US" w:eastAsia="en-US" w:bidi="ar-SA"/>
      </w:rPr>
    </w:lvl>
    <w:lvl w:ilvl="2">
      <w:start w:val="0"/>
      <w:numFmt w:val="bullet"/>
      <w:lvlText w:val="•"/>
      <w:lvlJc w:val="left"/>
      <w:pPr>
        <w:ind w:left="3293" w:hanging="435"/>
      </w:pPr>
      <w:rPr>
        <w:rFonts w:hint="default"/>
        <w:lang w:val="en-US" w:eastAsia="en-US" w:bidi="ar-SA"/>
      </w:rPr>
    </w:lvl>
    <w:lvl w:ilvl="3">
      <w:start w:val="0"/>
      <w:numFmt w:val="bullet"/>
      <w:lvlText w:val="•"/>
      <w:lvlJc w:val="left"/>
      <w:pPr>
        <w:ind w:left="4279" w:hanging="435"/>
      </w:pPr>
      <w:rPr>
        <w:rFonts w:hint="default"/>
        <w:lang w:val="en-US" w:eastAsia="en-US" w:bidi="ar-SA"/>
      </w:rPr>
    </w:lvl>
    <w:lvl w:ilvl="4">
      <w:start w:val="0"/>
      <w:numFmt w:val="bullet"/>
      <w:lvlText w:val="•"/>
      <w:lvlJc w:val="left"/>
      <w:pPr>
        <w:ind w:left="5266" w:hanging="435"/>
      </w:pPr>
      <w:rPr>
        <w:rFonts w:hint="default"/>
        <w:lang w:val="en-US" w:eastAsia="en-US" w:bidi="ar-SA"/>
      </w:rPr>
    </w:lvl>
    <w:lvl w:ilvl="5">
      <w:start w:val="0"/>
      <w:numFmt w:val="bullet"/>
      <w:lvlText w:val="•"/>
      <w:lvlJc w:val="left"/>
      <w:pPr>
        <w:ind w:left="6253" w:hanging="435"/>
      </w:pPr>
      <w:rPr>
        <w:rFonts w:hint="default"/>
        <w:lang w:val="en-US" w:eastAsia="en-US" w:bidi="ar-SA"/>
      </w:rPr>
    </w:lvl>
    <w:lvl w:ilvl="6">
      <w:start w:val="0"/>
      <w:numFmt w:val="bullet"/>
      <w:lvlText w:val="•"/>
      <w:lvlJc w:val="left"/>
      <w:pPr>
        <w:ind w:left="7239" w:hanging="435"/>
      </w:pPr>
      <w:rPr>
        <w:rFonts w:hint="default"/>
        <w:lang w:val="en-US" w:eastAsia="en-US" w:bidi="ar-SA"/>
      </w:rPr>
    </w:lvl>
    <w:lvl w:ilvl="7">
      <w:start w:val="0"/>
      <w:numFmt w:val="bullet"/>
      <w:lvlText w:val="•"/>
      <w:lvlJc w:val="left"/>
      <w:pPr>
        <w:ind w:left="8226" w:hanging="435"/>
      </w:pPr>
      <w:rPr>
        <w:rFonts w:hint="default"/>
        <w:lang w:val="en-US" w:eastAsia="en-US" w:bidi="ar-SA"/>
      </w:rPr>
    </w:lvl>
    <w:lvl w:ilvl="8">
      <w:start w:val="0"/>
      <w:numFmt w:val="bullet"/>
      <w:lvlText w:val="•"/>
      <w:lvlJc w:val="left"/>
      <w:pPr>
        <w:ind w:left="9213" w:hanging="435"/>
      </w:pPr>
      <w:rPr>
        <w:rFonts w:hint="default"/>
        <w:lang w:val="en-US" w:eastAsia="en-US" w:bidi="ar-SA"/>
      </w:rPr>
    </w:lvl>
  </w:abstractNum>
  <w:abstractNum w:abstractNumId="246">
    <w:multiLevelType w:val="hybridMultilevel"/>
    <w:lvl w:ilvl="0">
      <w:start w:val="1"/>
      <w:numFmt w:val="lowerLetter"/>
      <w:lvlText w:val="(%1)"/>
      <w:lvlJc w:val="left"/>
      <w:pPr>
        <w:ind w:left="698" w:hanging="437"/>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1011" w:hanging="437"/>
      </w:pPr>
      <w:rPr>
        <w:rFonts w:hint="default"/>
        <w:lang w:val="en-US" w:eastAsia="en-US" w:bidi="ar-SA"/>
      </w:rPr>
    </w:lvl>
    <w:lvl w:ilvl="2">
      <w:start w:val="0"/>
      <w:numFmt w:val="bullet"/>
      <w:lvlText w:val="•"/>
      <w:lvlJc w:val="left"/>
      <w:pPr>
        <w:ind w:left="1323" w:hanging="437"/>
      </w:pPr>
      <w:rPr>
        <w:rFonts w:hint="default"/>
        <w:lang w:val="en-US" w:eastAsia="en-US" w:bidi="ar-SA"/>
      </w:rPr>
    </w:lvl>
    <w:lvl w:ilvl="3">
      <w:start w:val="0"/>
      <w:numFmt w:val="bullet"/>
      <w:lvlText w:val="•"/>
      <w:lvlJc w:val="left"/>
      <w:pPr>
        <w:ind w:left="1635" w:hanging="437"/>
      </w:pPr>
      <w:rPr>
        <w:rFonts w:hint="default"/>
        <w:lang w:val="en-US" w:eastAsia="en-US" w:bidi="ar-SA"/>
      </w:rPr>
    </w:lvl>
    <w:lvl w:ilvl="4">
      <w:start w:val="0"/>
      <w:numFmt w:val="bullet"/>
      <w:lvlText w:val="•"/>
      <w:lvlJc w:val="left"/>
      <w:pPr>
        <w:ind w:left="1947" w:hanging="437"/>
      </w:pPr>
      <w:rPr>
        <w:rFonts w:hint="default"/>
        <w:lang w:val="en-US" w:eastAsia="en-US" w:bidi="ar-SA"/>
      </w:rPr>
    </w:lvl>
    <w:lvl w:ilvl="5">
      <w:start w:val="0"/>
      <w:numFmt w:val="bullet"/>
      <w:lvlText w:val="•"/>
      <w:lvlJc w:val="left"/>
      <w:pPr>
        <w:ind w:left="2259" w:hanging="437"/>
      </w:pPr>
      <w:rPr>
        <w:rFonts w:hint="default"/>
        <w:lang w:val="en-US" w:eastAsia="en-US" w:bidi="ar-SA"/>
      </w:rPr>
    </w:lvl>
    <w:lvl w:ilvl="6">
      <w:start w:val="0"/>
      <w:numFmt w:val="bullet"/>
      <w:lvlText w:val="•"/>
      <w:lvlJc w:val="left"/>
      <w:pPr>
        <w:ind w:left="2571" w:hanging="437"/>
      </w:pPr>
      <w:rPr>
        <w:rFonts w:hint="default"/>
        <w:lang w:val="en-US" w:eastAsia="en-US" w:bidi="ar-SA"/>
      </w:rPr>
    </w:lvl>
    <w:lvl w:ilvl="7">
      <w:start w:val="0"/>
      <w:numFmt w:val="bullet"/>
      <w:lvlText w:val="•"/>
      <w:lvlJc w:val="left"/>
      <w:pPr>
        <w:ind w:left="2883" w:hanging="437"/>
      </w:pPr>
      <w:rPr>
        <w:rFonts w:hint="default"/>
        <w:lang w:val="en-US" w:eastAsia="en-US" w:bidi="ar-SA"/>
      </w:rPr>
    </w:lvl>
    <w:lvl w:ilvl="8">
      <w:start w:val="0"/>
      <w:numFmt w:val="bullet"/>
      <w:lvlText w:val="•"/>
      <w:lvlJc w:val="left"/>
      <w:pPr>
        <w:ind w:left="3195" w:hanging="437"/>
      </w:pPr>
      <w:rPr>
        <w:rFonts w:hint="default"/>
        <w:lang w:val="en-US" w:eastAsia="en-US" w:bidi="ar-SA"/>
      </w:rPr>
    </w:lvl>
  </w:abstractNum>
  <w:abstractNum w:abstractNumId="245">
    <w:multiLevelType w:val="hybridMultilevel"/>
    <w:lvl w:ilvl="0">
      <w:start w:val="1"/>
      <w:numFmt w:val="decimal"/>
      <w:lvlText w:val="(%1)"/>
      <w:lvlJc w:val="left"/>
      <w:pPr>
        <w:ind w:left="1313" w:hanging="418"/>
        <w:jc w:val="right"/>
      </w:pPr>
      <w:rPr>
        <w:rFonts w:hint="default"/>
        <w:spacing w:val="0"/>
        <w:w w:val="100"/>
        <w:lang w:val="en-US" w:eastAsia="en-US" w:bidi="ar-SA"/>
      </w:rPr>
    </w:lvl>
    <w:lvl w:ilvl="1">
      <w:start w:val="1"/>
      <w:numFmt w:val="lowerRoman"/>
      <w:lvlText w:val="(%2)"/>
      <w:lvlJc w:val="left"/>
      <w:pPr>
        <w:ind w:left="1313" w:hanging="33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Letter"/>
      <w:lvlText w:val="(%3)"/>
      <w:lvlJc w:val="left"/>
      <w:pPr>
        <w:ind w:left="1493" w:hanging="90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2710" w:hanging="900"/>
      </w:pPr>
      <w:rPr>
        <w:rFonts w:hint="default"/>
        <w:lang w:val="en-US" w:eastAsia="en-US" w:bidi="ar-SA"/>
      </w:rPr>
    </w:lvl>
    <w:lvl w:ilvl="4">
      <w:start w:val="0"/>
      <w:numFmt w:val="bullet"/>
      <w:lvlText w:val="•"/>
      <w:lvlJc w:val="left"/>
      <w:pPr>
        <w:ind w:left="3921" w:hanging="900"/>
      </w:pPr>
      <w:rPr>
        <w:rFonts w:hint="default"/>
        <w:lang w:val="en-US" w:eastAsia="en-US" w:bidi="ar-SA"/>
      </w:rPr>
    </w:lvl>
    <w:lvl w:ilvl="5">
      <w:start w:val="0"/>
      <w:numFmt w:val="bullet"/>
      <w:lvlText w:val="•"/>
      <w:lvlJc w:val="left"/>
      <w:pPr>
        <w:ind w:left="5132" w:hanging="900"/>
      </w:pPr>
      <w:rPr>
        <w:rFonts w:hint="default"/>
        <w:lang w:val="en-US" w:eastAsia="en-US" w:bidi="ar-SA"/>
      </w:rPr>
    </w:lvl>
    <w:lvl w:ilvl="6">
      <w:start w:val="0"/>
      <w:numFmt w:val="bullet"/>
      <w:lvlText w:val="•"/>
      <w:lvlJc w:val="left"/>
      <w:pPr>
        <w:ind w:left="6343" w:hanging="900"/>
      </w:pPr>
      <w:rPr>
        <w:rFonts w:hint="default"/>
        <w:lang w:val="en-US" w:eastAsia="en-US" w:bidi="ar-SA"/>
      </w:rPr>
    </w:lvl>
    <w:lvl w:ilvl="7">
      <w:start w:val="0"/>
      <w:numFmt w:val="bullet"/>
      <w:lvlText w:val="•"/>
      <w:lvlJc w:val="left"/>
      <w:pPr>
        <w:ind w:left="7554" w:hanging="900"/>
      </w:pPr>
      <w:rPr>
        <w:rFonts w:hint="default"/>
        <w:lang w:val="en-US" w:eastAsia="en-US" w:bidi="ar-SA"/>
      </w:rPr>
    </w:lvl>
    <w:lvl w:ilvl="8">
      <w:start w:val="0"/>
      <w:numFmt w:val="bullet"/>
      <w:lvlText w:val="•"/>
      <w:lvlJc w:val="left"/>
      <w:pPr>
        <w:ind w:left="8764" w:hanging="900"/>
      </w:pPr>
      <w:rPr>
        <w:rFonts w:hint="default"/>
        <w:lang w:val="en-US" w:eastAsia="en-US" w:bidi="ar-SA"/>
      </w:rPr>
    </w:lvl>
  </w:abstractNum>
  <w:abstractNum w:abstractNumId="244">
    <w:multiLevelType w:val="hybridMultilevel"/>
    <w:lvl w:ilvl="0">
      <w:start w:val="1"/>
      <w:numFmt w:val="lowerLetter"/>
      <w:lvlText w:val="(%1)"/>
      <w:lvlJc w:val="left"/>
      <w:pPr>
        <w:ind w:left="391" w:hanging="285"/>
        <w:jc w:val="left"/>
      </w:pPr>
      <w:rPr>
        <w:rFonts w:hint="default" w:ascii="Bookman Old Style" w:hAnsi="Bookman Old Style" w:eastAsia="Bookman Old Style" w:cs="Bookman Old Style"/>
        <w:b w:val="0"/>
        <w:bCs w:val="0"/>
        <w:i w:val="0"/>
        <w:iCs w:val="0"/>
        <w:spacing w:val="0"/>
        <w:w w:val="100"/>
        <w:sz w:val="22"/>
        <w:szCs w:val="22"/>
        <w:lang w:val="en-US" w:eastAsia="en-US" w:bidi="ar-SA"/>
      </w:rPr>
    </w:lvl>
    <w:lvl w:ilvl="1">
      <w:start w:val="0"/>
      <w:numFmt w:val="bullet"/>
      <w:lvlText w:val="•"/>
      <w:lvlJc w:val="left"/>
      <w:pPr>
        <w:ind w:left="855" w:hanging="285"/>
      </w:pPr>
      <w:rPr>
        <w:rFonts w:hint="default"/>
        <w:lang w:val="en-US" w:eastAsia="en-US" w:bidi="ar-SA"/>
      </w:rPr>
    </w:lvl>
    <w:lvl w:ilvl="2">
      <w:start w:val="0"/>
      <w:numFmt w:val="bullet"/>
      <w:lvlText w:val="•"/>
      <w:lvlJc w:val="left"/>
      <w:pPr>
        <w:ind w:left="1310" w:hanging="285"/>
      </w:pPr>
      <w:rPr>
        <w:rFonts w:hint="default"/>
        <w:lang w:val="en-US" w:eastAsia="en-US" w:bidi="ar-SA"/>
      </w:rPr>
    </w:lvl>
    <w:lvl w:ilvl="3">
      <w:start w:val="0"/>
      <w:numFmt w:val="bullet"/>
      <w:lvlText w:val="•"/>
      <w:lvlJc w:val="left"/>
      <w:pPr>
        <w:ind w:left="1765" w:hanging="285"/>
      </w:pPr>
      <w:rPr>
        <w:rFonts w:hint="default"/>
        <w:lang w:val="en-US" w:eastAsia="en-US" w:bidi="ar-SA"/>
      </w:rPr>
    </w:lvl>
    <w:lvl w:ilvl="4">
      <w:start w:val="0"/>
      <w:numFmt w:val="bullet"/>
      <w:lvlText w:val="•"/>
      <w:lvlJc w:val="left"/>
      <w:pPr>
        <w:ind w:left="2220" w:hanging="285"/>
      </w:pPr>
      <w:rPr>
        <w:rFonts w:hint="default"/>
        <w:lang w:val="en-US" w:eastAsia="en-US" w:bidi="ar-SA"/>
      </w:rPr>
    </w:lvl>
    <w:lvl w:ilvl="5">
      <w:start w:val="0"/>
      <w:numFmt w:val="bullet"/>
      <w:lvlText w:val="•"/>
      <w:lvlJc w:val="left"/>
      <w:pPr>
        <w:ind w:left="2676" w:hanging="285"/>
      </w:pPr>
      <w:rPr>
        <w:rFonts w:hint="default"/>
        <w:lang w:val="en-US" w:eastAsia="en-US" w:bidi="ar-SA"/>
      </w:rPr>
    </w:lvl>
    <w:lvl w:ilvl="6">
      <w:start w:val="0"/>
      <w:numFmt w:val="bullet"/>
      <w:lvlText w:val="•"/>
      <w:lvlJc w:val="left"/>
      <w:pPr>
        <w:ind w:left="3131" w:hanging="285"/>
      </w:pPr>
      <w:rPr>
        <w:rFonts w:hint="default"/>
        <w:lang w:val="en-US" w:eastAsia="en-US" w:bidi="ar-SA"/>
      </w:rPr>
    </w:lvl>
    <w:lvl w:ilvl="7">
      <w:start w:val="0"/>
      <w:numFmt w:val="bullet"/>
      <w:lvlText w:val="•"/>
      <w:lvlJc w:val="left"/>
      <w:pPr>
        <w:ind w:left="3586" w:hanging="285"/>
      </w:pPr>
      <w:rPr>
        <w:rFonts w:hint="default"/>
        <w:lang w:val="en-US" w:eastAsia="en-US" w:bidi="ar-SA"/>
      </w:rPr>
    </w:lvl>
    <w:lvl w:ilvl="8">
      <w:start w:val="0"/>
      <w:numFmt w:val="bullet"/>
      <w:lvlText w:val="•"/>
      <w:lvlJc w:val="left"/>
      <w:pPr>
        <w:ind w:left="4041" w:hanging="285"/>
      </w:pPr>
      <w:rPr>
        <w:rFonts w:hint="default"/>
        <w:lang w:val="en-US" w:eastAsia="en-US" w:bidi="ar-SA"/>
      </w:rPr>
    </w:lvl>
  </w:abstractNum>
  <w:abstractNum w:abstractNumId="243">
    <w:multiLevelType w:val="hybridMultilevel"/>
    <w:lvl w:ilvl="0">
      <w:start w:val="1"/>
      <w:numFmt w:val="lowerLetter"/>
      <w:lvlText w:val="(%1)"/>
      <w:lvlJc w:val="left"/>
      <w:pPr>
        <w:ind w:left="107" w:hanging="285"/>
        <w:jc w:val="left"/>
      </w:pPr>
      <w:rPr>
        <w:rFonts w:hint="default" w:ascii="Bookman Old Style" w:hAnsi="Bookman Old Style" w:eastAsia="Bookman Old Style" w:cs="Bookman Old Style"/>
        <w:b w:val="0"/>
        <w:bCs w:val="0"/>
        <w:i w:val="0"/>
        <w:iCs w:val="0"/>
        <w:spacing w:val="-1"/>
        <w:w w:val="100"/>
        <w:sz w:val="22"/>
        <w:szCs w:val="22"/>
        <w:lang w:val="en-US" w:eastAsia="en-US" w:bidi="ar-SA"/>
      </w:rPr>
    </w:lvl>
    <w:lvl w:ilvl="1">
      <w:start w:val="0"/>
      <w:numFmt w:val="bullet"/>
      <w:lvlText w:val="•"/>
      <w:lvlJc w:val="left"/>
      <w:pPr>
        <w:ind w:left="585" w:hanging="285"/>
      </w:pPr>
      <w:rPr>
        <w:rFonts w:hint="default"/>
        <w:lang w:val="en-US" w:eastAsia="en-US" w:bidi="ar-SA"/>
      </w:rPr>
    </w:lvl>
    <w:lvl w:ilvl="2">
      <w:start w:val="0"/>
      <w:numFmt w:val="bullet"/>
      <w:lvlText w:val="•"/>
      <w:lvlJc w:val="left"/>
      <w:pPr>
        <w:ind w:left="1070" w:hanging="285"/>
      </w:pPr>
      <w:rPr>
        <w:rFonts w:hint="default"/>
        <w:lang w:val="en-US" w:eastAsia="en-US" w:bidi="ar-SA"/>
      </w:rPr>
    </w:lvl>
    <w:lvl w:ilvl="3">
      <w:start w:val="0"/>
      <w:numFmt w:val="bullet"/>
      <w:lvlText w:val="•"/>
      <w:lvlJc w:val="left"/>
      <w:pPr>
        <w:ind w:left="1555" w:hanging="285"/>
      </w:pPr>
      <w:rPr>
        <w:rFonts w:hint="default"/>
        <w:lang w:val="en-US" w:eastAsia="en-US" w:bidi="ar-SA"/>
      </w:rPr>
    </w:lvl>
    <w:lvl w:ilvl="4">
      <w:start w:val="0"/>
      <w:numFmt w:val="bullet"/>
      <w:lvlText w:val="•"/>
      <w:lvlJc w:val="left"/>
      <w:pPr>
        <w:ind w:left="2040" w:hanging="285"/>
      </w:pPr>
      <w:rPr>
        <w:rFonts w:hint="default"/>
        <w:lang w:val="en-US" w:eastAsia="en-US" w:bidi="ar-SA"/>
      </w:rPr>
    </w:lvl>
    <w:lvl w:ilvl="5">
      <w:start w:val="0"/>
      <w:numFmt w:val="bullet"/>
      <w:lvlText w:val="•"/>
      <w:lvlJc w:val="left"/>
      <w:pPr>
        <w:ind w:left="2526" w:hanging="285"/>
      </w:pPr>
      <w:rPr>
        <w:rFonts w:hint="default"/>
        <w:lang w:val="en-US" w:eastAsia="en-US" w:bidi="ar-SA"/>
      </w:rPr>
    </w:lvl>
    <w:lvl w:ilvl="6">
      <w:start w:val="0"/>
      <w:numFmt w:val="bullet"/>
      <w:lvlText w:val="•"/>
      <w:lvlJc w:val="left"/>
      <w:pPr>
        <w:ind w:left="3011" w:hanging="285"/>
      </w:pPr>
      <w:rPr>
        <w:rFonts w:hint="default"/>
        <w:lang w:val="en-US" w:eastAsia="en-US" w:bidi="ar-SA"/>
      </w:rPr>
    </w:lvl>
    <w:lvl w:ilvl="7">
      <w:start w:val="0"/>
      <w:numFmt w:val="bullet"/>
      <w:lvlText w:val="•"/>
      <w:lvlJc w:val="left"/>
      <w:pPr>
        <w:ind w:left="3496" w:hanging="285"/>
      </w:pPr>
      <w:rPr>
        <w:rFonts w:hint="default"/>
        <w:lang w:val="en-US" w:eastAsia="en-US" w:bidi="ar-SA"/>
      </w:rPr>
    </w:lvl>
    <w:lvl w:ilvl="8">
      <w:start w:val="0"/>
      <w:numFmt w:val="bullet"/>
      <w:lvlText w:val="•"/>
      <w:lvlJc w:val="left"/>
      <w:pPr>
        <w:ind w:left="3981" w:hanging="285"/>
      </w:pPr>
      <w:rPr>
        <w:rFonts w:hint="default"/>
        <w:lang w:val="en-US" w:eastAsia="en-US" w:bidi="ar-SA"/>
      </w:rPr>
    </w:lvl>
  </w:abstractNum>
  <w:abstractNum w:abstractNumId="242">
    <w:multiLevelType w:val="hybridMultilevel"/>
    <w:lvl w:ilvl="0">
      <w:start w:val="2"/>
      <w:numFmt w:val="lowerLetter"/>
      <w:lvlText w:val="(%1)"/>
      <w:lvlJc w:val="left"/>
      <w:pPr>
        <w:ind w:left="1056" w:hanging="37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1056" w:hanging="29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085" w:hanging="298"/>
      </w:pPr>
      <w:rPr>
        <w:rFonts w:hint="default"/>
        <w:lang w:val="en-US" w:eastAsia="en-US" w:bidi="ar-SA"/>
      </w:rPr>
    </w:lvl>
    <w:lvl w:ilvl="3">
      <w:start w:val="0"/>
      <w:numFmt w:val="bullet"/>
      <w:lvlText w:val="•"/>
      <w:lvlJc w:val="left"/>
      <w:pPr>
        <w:ind w:left="4097" w:hanging="298"/>
      </w:pPr>
      <w:rPr>
        <w:rFonts w:hint="default"/>
        <w:lang w:val="en-US" w:eastAsia="en-US" w:bidi="ar-SA"/>
      </w:rPr>
    </w:lvl>
    <w:lvl w:ilvl="4">
      <w:start w:val="0"/>
      <w:numFmt w:val="bullet"/>
      <w:lvlText w:val="•"/>
      <w:lvlJc w:val="left"/>
      <w:pPr>
        <w:ind w:left="5110" w:hanging="298"/>
      </w:pPr>
      <w:rPr>
        <w:rFonts w:hint="default"/>
        <w:lang w:val="en-US" w:eastAsia="en-US" w:bidi="ar-SA"/>
      </w:rPr>
    </w:lvl>
    <w:lvl w:ilvl="5">
      <w:start w:val="0"/>
      <w:numFmt w:val="bullet"/>
      <w:lvlText w:val="•"/>
      <w:lvlJc w:val="left"/>
      <w:pPr>
        <w:ind w:left="6123" w:hanging="298"/>
      </w:pPr>
      <w:rPr>
        <w:rFonts w:hint="default"/>
        <w:lang w:val="en-US" w:eastAsia="en-US" w:bidi="ar-SA"/>
      </w:rPr>
    </w:lvl>
    <w:lvl w:ilvl="6">
      <w:start w:val="0"/>
      <w:numFmt w:val="bullet"/>
      <w:lvlText w:val="•"/>
      <w:lvlJc w:val="left"/>
      <w:pPr>
        <w:ind w:left="7135" w:hanging="298"/>
      </w:pPr>
      <w:rPr>
        <w:rFonts w:hint="default"/>
        <w:lang w:val="en-US" w:eastAsia="en-US" w:bidi="ar-SA"/>
      </w:rPr>
    </w:lvl>
    <w:lvl w:ilvl="7">
      <w:start w:val="0"/>
      <w:numFmt w:val="bullet"/>
      <w:lvlText w:val="•"/>
      <w:lvlJc w:val="left"/>
      <w:pPr>
        <w:ind w:left="8148" w:hanging="298"/>
      </w:pPr>
      <w:rPr>
        <w:rFonts w:hint="default"/>
        <w:lang w:val="en-US" w:eastAsia="en-US" w:bidi="ar-SA"/>
      </w:rPr>
    </w:lvl>
    <w:lvl w:ilvl="8">
      <w:start w:val="0"/>
      <w:numFmt w:val="bullet"/>
      <w:lvlText w:val="•"/>
      <w:lvlJc w:val="left"/>
      <w:pPr>
        <w:ind w:left="9161" w:hanging="298"/>
      </w:pPr>
      <w:rPr>
        <w:rFonts w:hint="default"/>
        <w:lang w:val="en-US" w:eastAsia="en-US" w:bidi="ar-SA"/>
      </w:rPr>
    </w:lvl>
  </w:abstractNum>
  <w:abstractNum w:abstractNumId="241">
    <w:multiLevelType w:val="hybridMultilevel"/>
    <w:lvl w:ilvl="0">
      <w:start w:val="2"/>
      <w:numFmt w:val="upperLetter"/>
      <w:lvlText w:val="(%1)"/>
      <w:lvlJc w:val="left"/>
      <w:pPr>
        <w:ind w:left="1056" w:hanging="4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072" w:hanging="420"/>
      </w:pPr>
      <w:rPr>
        <w:rFonts w:hint="default"/>
        <w:lang w:val="en-US" w:eastAsia="en-US" w:bidi="ar-SA"/>
      </w:rPr>
    </w:lvl>
    <w:lvl w:ilvl="2">
      <w:start w:val="0"/>
      <w:numFmt w:val="bullet"/>
      <w:lvlText w:val="•"/>
      <w:lvlJc w:val="left"/>
      <w:pPr>
        <w:ind w:left="3085" w:hanging="420"/>
      </w:pPr>
      <w:rPr>
        <w:rFonts w:hint="default"/>
        <w:lang w:val="en-US" w:eastAsia="en-US" w:bidi="ar-SA"/>
      </w:rPr>
    </w:lvl>
    <w:lvl w:ilvl="3">
      <w:start w:val="0"/>
      <w:numFmt w:val="bullet"/>
      <w:lvlText w:val="•"/>
      <w:lvlJc w:val="left"/>
      <w:pPr>
        <w:ind w:left="4097" w:hanging="420"/>
      </w:pPr>
      <w:rPr>
        <w:rFonts w:hint="default"/>
        <w:lang w:val="en-US" w:eastAsia="en-US" w:bidi="ar-SA"/>
      </w:rPr>
    </w:lvl>
    <w:lvl w:ilvl="4">
      <w:start w:val="0"/>
      <w:numFmt w:val="bullet"/>
      <w:lvlText w:val="•"/>
      <w:lvlJc w:val="left"/>
      <w:pPr>
        <w:ind w:left="5110" w:hanging="420"/>
      </w:pPr>
      <w:rPr>
        <w:rFonts w:hint="default"/>
        <w:lang w:val="en-US" w:eastAsia="en-US" w:bidi="ar-SA"/>
      </w:rPr>
    </w:lvl>
    <w:lvl w:ilvl="5">
      <w:start w:val="0"/>
      <w:numFmt w:val="bullet"/>
      <w:lvlText w:val="•"/>
      <w:lvlJc w:val="left"/>
      <w:pPr>
        <w:ind w:left="6123" w:hanging="420"/>
      </w:pPr>
      <w:rPr>
        <w:rFonts w:hint="default"/>
        <w:lang w:val="en-US" w:eastAsia="en-US" w:bidi="ar-SA"/>
      </w:rPr>
    </w:lvl>
    <w:lvl w:ilvl="6">
      <w:start w:val="0"/>
      <w:numFmt w:val="bullet"/>
      <w:lvlText w:val="•"/>
      <w:lvlJc w:val="left"/>
      <w:pPr>
        <w:ind w:left="7135" w:hanging="420"/>
      </w:pPr>
      <w:rPr>
        <w:rFonts w:hint="default"/>
        <w:lang w:val="en-US" w:eastAsia="en-US" w:bidi="ar-SA"/>
      </w:rPr>
    </w:lvl>
    <w:lvl w:ilvl="7">
      <w:start w:val="0"/>
      <w:numFmt w:val="bullet"/>
      <w:lvlText w:val="•"/>
      <w:lvlJc w:val="left"/>
      <w:pPr>
        <w:ind w:left="8148" w:hanging="420"/>
      </w:pPr>
      <w:rPr>
        <w:rFonts w:hint="default"/>
        <w:lang w:val="en-US" w:eastAsia="en-US" w:bidi="ar-SA"/>
      </w:rPr>
    </w:lvl>
    <w:lvl w:ilvl="8">
      <w:start w:val="0"/>
      <w:numFmt w:val="bullet"/>
      <w:lvlText w:val="•"/>
      <w:lvlJc w:val="left"/>
      <w:pPr>
        <w:ind w:left="9161" w:hanging="420"/>
      </w:pPr>
      <w:rPr>
        <w:rFonts w:hint="default"/>
        <w:lang w:val="en-US" w:eastAsia="en-US" w:bidi="ar-SA"/>
      </w:rPr>
    </w:lvl>
  </w:abstractNum>
  <w:abstractNum w:abstractNumId="240">
    <w:multiLevelType w:val="hybridMultilevel"/>
    <w:lvl w:ilvl="0">
      <w:start w:val="1"/>
      <w:numFmt w:val="lowerRoman"/>
      <w:lvlText w:val="%1)"/>
      <w:lvlJc w:val="left"/>
      <w:pPr>
        <w:ind w:left="1056" w:hanging="25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34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434" w:hanging="289"/>
      </w:pPr>
      <w:rPr>
        <w:rFonts w:hint="default"/>
        <w:lang w:val="en-US" w:eastAsia="en-US" w:bidi="ar-SA"/>
      </w:rPr>
    </w:lvl>
    <w:lvl w:ilvl="3">
      <w:start w:val="0"/>
      <w:numFmt w:val="bullet"/>
      <w:lvlText w:val="•"/>
      <w:lvlJc w:val="left"/>
      <w:pPr>
        <w:ind w:left="3528" w:hanging="289"/>
      </w:pPr>
      <w:rPr>
        <w:rFonts w:hint="default"/>
        <w:lang w:val="en-US" w:eastAsia="en-US" w:bidi="ar-SA"/>
      </w:rPr>
    </w:lvl>
    <w:lvl w:ilvl="4">
      <w:start w:val="0"/>
      <w:numFmt w:val="bullet"/>
      <w:lvlText w:val="•"/>
      <w:lvlJc w:val="left"/>
      <w:pPr>
        <w:ind w:left="4622" w:hanging="289"/>
      </w:pPr>
      <w:rPr>
        <w:rFonts w:hint="default"/>
        <w:lang w:val="en-US" w:eastAsia="en-US" w:bidi="ar-SA"/>
      </w:rPr>
    </w:lvl>
    <w:lvl w:ilvl="5">
      <w:start w:val="0"/>
      <w:numFmt w:val="bullet"/>
      <w:lvlText w:val="•"/>
      <w:lvlJc w:val="left"/>
      <w:pPr>
        <w:ind w:left="5716" w:hanging="289"/>
      </w:pPr>
      <w:rPr>
        <w:rFonts w:hint="default"/>
        <w:lang w:val="en-US" w:eastAsia="en-US" w:bidi="ar-SA"/>
      </w:rPr>
    </w:lvl>
    <w:lvl w:ilvl="6">
      <w:start w:val="0"/>
      <w:numFmt w:val="bullet"/>
      <w:lvlText w:val="•"/>
      <w:lvlJc w:val="left"/>
      <w:pPr>
        <w:ind w:left="6810" w:hanging="289"/>
      </w:pPr>
      <w:rPr>
        <w:rFonts w:hint="default"/>
        <w:lang w:val="en-US" w:eastAsia="en-US" w:bidi="ar-SA"/>
      </w:rPr>
    </w:lvl>
    <w:lvl w:ilvl="7">
      <w:start w:val="0"/>
      <w:numFmt w:val="bullet"/>
      <w:lvlText w:val="•"/>
      <w:lvlJc w:val="left"/>
      <w:pPr>
        <w:ind w:left="7904" w:hanging="289"/>
      </w:pPr>
      <w:rPr>
        <w:rFonts w:hint="default"/>
        <w:lang w:val="en-US" w:eastAsia="en-US" w:bidi="ar-SA"/>
      </w:rPr>
    </w:lvl>
    <w:lvl w:ilvl="8">
      <w:start w:val="0"/>
      <w:numFmt w:val="bullet"/>
      <w:lvlText w:val="•"/>
      <w:lvlJc w:val="left"/>
      <w:pPr>
        <w:ind w:left="8998" w:hanging="289"/>
      </w:pPr>
      <w:rPr>
        <w:rFonts w:hint="default"/>
        <w:lang w:val="en-US" w:eastAsia="en-US" w:bidi="ar-SA"/>
      </w:rPr>
    </w:lvl>
  </w:abstractNum>
  <w:abstractNum w:abstractNumId="239">
    <w:multiLevelType w:val="hybridMultilevel"/>
    <w:lvl w:ilvl="0">
      <w:start w:val="1"/>
      <w:numFmt w:val="lowerRoman"/>
      <w:lvlText w:val="(%1)"/>
      <w:lvlJc w:val="left"/>
      <w:pPr>
        <w:ind w:left="1044" w:hanging="116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054" w:hanging="1169"/>
      </w:pPr>
      <w:rPr>
        <w:rFonts w:hint="default"/>
        <w:lang w:val="en-US" w:eastAsia="en-US" w:bidi="ar-SA"/>
      </w:rPr>
    </w:lvl>
    <w:lvl w:ilvl="2">
      <w:start w:val="0"/>
      <w:numFmt w:val="bullet"/>
      <w:lvlText w:val="•"/>
      <w:lvlJc w:val="left"/>
      <w:pPr>
        <w:ind w:left="3069" w:hanging="1169"/>
      </w:pPr>
      <w:rPr>
        <w:rFonts w:hint="default"/>
        <w:lang w:val="en-US" w:eastAsia="en-US" w:bidi="ar-SA"/>
      </w:rPr>
    </w:lvl>
    <w:lvl w:ilvl="3">
      <w:start w:val="0"/>
      <w:numFmt w:val="bullet"/>
      <w:lvlText w:val="•"/>
      <w:lvlJc w:val="left"/>
      <w:pPr>
        <w:ind w:left="4083" w:hanging="1169"/>
      </w:pPr>
      <w:rPr>
        <w:rFonts w:hint="default"/>
        <w:lang w:val="en-US" w:eastAsia="en-US" w:bidi="ar-SA"/>
      </w:rPr>
    </w:lvl>
    <w:lvl w:ilvl="4">
      <w:start w:val="0"/>
      <w:numFmt w:val="bullet"/>
      <w:lvlText w:val="•"/>
      <w:lvlJc w:val="left"/>
      <w:pPr>
        <w:ind w:left="5098" w:hanging="1169"/>
      </w:pPr>
      <w:rPr>
        <w:rFonts w:hint="default"/>
        <w:lang w:val="en-US" w:eastAsia="en-US" w:bidi="ar-SA"/>
      </w:rPr>
    </w:lvl>
    <w:lvl w:ilvl="5">
      <w:start w:val="0"/>
      <w:numFmt w:val="bullet"/>
      <w:lvlText w:val="•"/>
      <w:lvlJc w:val="left"/>
      <w:pPr>
        <w:ind w:left="6113" w:hanging="1169"/>
      </w:pPr>
      <w:rPr>
        <w:rFonts w:hint="default"/>
        <w:lang w:val="en-US" w:eastAsia="en-US" w:bidi="ar-SA"/>
      </w:rPr>
    </w:lvl>
    <w:lvl w:ilvl="6">
      <w:start w:val="0"/>
      <w:numFmt w:val="bullet"/>
      <w:lvlText w:val="•"/>
      <w:lvlJc w:val="left"/>
      <w:pPr>
        <w:ind w:left="7127" w:hanging="1169"/>
      </w:pPr>
      <w:rPr>
        <w:rFonts w:hint="default"/>
        <w:lang w:val="en-US" w:eastAsia="en-US" w:bidi="ar-SA"/>
      </w:rPr>
    </w:lvl>
    <w:lvl w:ilvl="7">
      <w:start w:val="0"/>
      <w:numFmt w:val="bullet"/>
      <w:lvlText w:val="•"/>
      <w:lvlJc w:val="left"/>
      <w:pPr>
        <w:ind w:left="8142" w:hanging="1169"/>
      </w:pPr>
      <w:rPr>
        <w:rFonts w:hint="default"/>
        <w:lang w:val="en-US" w:eastAsia="en-US" w:bidi="ar-SA"/>
      </w:rPr>
    </w:lvl>
    <w:lvl w:ilvl="8">
      <w:start w:val="0"/>
      <w:numFmt w:val="bullet"/>
      <w:lvlText w:val="•"/>
      <w:lvlJc w:val="left"/>
      <w:pPr>
        <w:ind w:left="9157" w:hanging="1169"/>
      </w:pPr>
      <w:rPr>
        <w:rFonts w:hint="default"/>
        <w:lang w:val="en-US" w:eastAsia="en-US" w:bidi="ar-SA"/>
      </w:rPr>
    </w:lvl>
  </w:abstractNum>
  <w:abstractNum w:abstractNumId="238">
    <w:multiLevelType w:val="hybridMultilevel"/>
    <w:lvl w:ilvl="0">
      <w:start w:val="1"/>
      <w:numFmt w:val="decimal"/>
      <w:lvlText w:val="(%1)"/>
      <w:lvlJc w:val="left"/>
      <w:pPr>
        <w:ind w:left="1056" w:hanging="471"/>
        <w:jc w:val="left"/>
      </w:pPr>
      <w:rPr>
        <w:rFonts w:hint="default" w:ascii="Bookman Old Style" w:hAnsi="Bookman Old Style" w:eastAsia="Bookman Old Style" w:cs="Bookman Old Style"/>
        <w:b/>
        <w:bCs/>
        <w:i w:val="0"/>
        <w:iCs w:val="0"/>
        <w:spacing w:val="0"/>
        <w:w w:val="100"/>
        <w:sz w:val="24"/>
        <w:szCs w:val="24"/>
        <w:lang w:val="en-US" w:eastAsia="en-US" w:bidi="ar-SA"/>
      </w:rPr>
    </w:lvl>
    <w:lvl w:ilvl="1">
      <w:start w:val="1"/>
      <w:numFmt w:val="lowerLetter"/>
      <w:lvlText w:val="(%2)"/>
      <w:lvlJc w:val="left"/>
      <w:pPr>
        <w:ind w:left="1416" w:hanging="36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Roman"/>
      <w:lvlText w:val="(%3)"/>
      <w:lvlJc w:val="left"/>
      <w:pPr>
        <w:ind w:left="1056" w:hanging="30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3590" w:hanging="305"/>
      </w:pPr>
      <w:rPr>
        <w:rFonts w:hint="default"/>
        <w:lang w:val="en-US" w:eastAsia="en-US" w:bidi="ar-SA"/>
      </w:rPr>
    </w:lvl>
    <w:lvl w:ilvl="4">
      <w:start w:val="0"/>
      <w:numFmt w:val="bullet"/>
      <w:lvlText w:val="•"/>
      <w:lvlJc w:val="left"/>
      <w:pPr>
        <w:ind w:left="4675" w:hanging="305"/>
      </w:pPr>
      <w:rPr>
        <w:rFonts w:hint="default"/>
        <w:lang w:val="en-US" w:eastAsia="en-US" w:bidi="ar-SA"/>
      </w:rPr>
    </w:lvl>
    <w:lvl w:ilvl="5">
      <w:start w:val="0"/>
      <w:numFmt w:val="bullet"/>
      <w:lvlText w:val="•"/>
      <w:lvlJc w:val="left"/>
      <w:pPr>
        <w:ind w:left="5760" w:hanging="305"/>
      </w:pPr>
      <w:rPr>
        <w:rFonts w:hint="default"/>
        <w:lang w:val="en-US" w:eastAsia="en-US" w:bidi="ar-SA"/>
      </w:rPr>
    </w:lvl>
    <w:lvl w:ilvl="6">
      <w:start w:val="0"/>
      <w:numFmt w:val="bullet"/>
      <w:lvlText w:val="•"/>
      <w:lvlJc w:val="left"/>
      <w:pPr>
        <w:ind w:left="6845" w:hanging="305"/>
      </w:pPr>
      <w:rPr>
        <w:rFonts w:hint="default"/>
        <w:lang w:val="en-US" w:eastAsia="en-US" w:bidi="ar-SA"/>
      </w:rPr>
    </w:lvl>
    <w:lvl w:ilvl="7">
      <w:start w:val="0"/>
      <w:numFmt w:val="bullet"/>
      <w:lvlText w:val="•"/>
      <w:lvlJc w:val="left"/>
      <w:pPr>
        <w:ind w:left="7930" w:hanging="305"/>
      </w:pPr>
      <w:rPr>
        <w:rFonts w:hint="default"/>
        <w:lang w:val="en-US" w:eastAsia="en-US" w:bidi="ar-SA"/>
      </w:rPr>
    </w:lvl>
    <w:lvl w:ilvl="8">
      <w:start w:val="0"/>
      <w:numFmt w:val="bullet"/>
      <w:lvlText w:val="•"/>
      <w:lvlJc w:val="left"/>
      <w:pPr>
        <w:ind w:left="9016" w:hanging="305"/>
      </w:pPr>
      <w:rPr>
        <w:rFonts w:hint="default"/>
        <w:lang w:val="en-US" w:eastAsia="en-US" w:bidi="ar-SA"/>
      </w:rPr>
    </w:lvl>
  </w:abstractNum>
  <w:abstractNum w:abstractNumId="237">
    <w:multiLevelType w:val="hybridMultilevel"/>
    <w:lvl w:ilvl="0">
      <w:start w:val="3"/>
      <w:numFmt w:val="decimal"/>
      <w:lvlText w:val="%1"/>
      <w:lvlJc w:val="left"/>
      <w:pPr>
        <w:ind w:left="970" w:hanging="479"/>
        <w:jc w:val="left"/>
      </w:pPr>
      <w:rPr>
        <w:rFonts w:hint="default"/>
        <w:lang w:val="en-US" w:eastAsia="en-US" w:bidi="ar-SA"/>
      </w:rPr>
    </w:lvl>
    <w:lvl w:ilvl="1">
      <w:start w:val="7"/>
      <w:numFmt w:val="decimal"/>
      <w:lvlText w:val="%1.%2"/>
      <w:lvlJc w:val="left"/>
      <w:pPr>
        <w:ind w:left="970" w:hanging="479"/>
        <w:jc w:val="left"/>
      </w:pPr>
      <w:rPr>
        <w:rFonts w:hint="default" w:ascii="Bookman Old Style" w:hAnsi="Bookman Old Style" w:eastAsia="Bookman Old Style" w:cs="Bookman Old Style"/>
        <w:b/>
        <w:bCs/>
        <w:i/>
        <w:iCs/>
        <w:spacing w:val="-2"/>
        <w:w w:val="100"/>
        <w:sz w:val="26"/>
        <w:szCs w:val="26"/>
        <w:lang w:val="en-US" w:eastAsia="en-US" w:bidi="ar-SA"/>
      </w:rPr>
    </w:lvl>
    <w:lvl w:ilvl="2">
      <w:start w:val="1"/>
      <w:numFmt w:val="lowerLetter"/>
      <w:lvlText w:val="%3)"/>
      <w:lvlJc w:val="left"/>
      <w:pPr>
        <w:ind w:left="1212" w:hanging="57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2815" w:hanging="571"/>
      </w:pPr>
      <w:rPr>
        <w:rFonts w:hint="default"/>
        <w:lang w:val="en-US" w:eastAsia="en-US" w:bidi="ar-SA"/>
      </w:rPr>
    </w:lvl>
    <w:lvl w:ilvl="4">
      <w:start w:val="0"/>
      <w:numFmt w:val="bullet"/>
      <w:lvlText w:val="•"/>
      <w:lvlJc w:val="left"/>
      <w:pPr>
        <w:ind w:left="4011" w:hanging="571"/>
      </w:pPr>
      <w:rPr>
        <w:rFonts w:hint="default"/>
        <w:lang w:val="en-US" w:eastAsia="en-US" w:bidi="ar-SA"/>
      </w:rPr>
    </w:lvl>
    <w:lvl w:ilvl="5">
      <w:start w:val="0"/>
      <w:numFmt w:val="bullet"/>
      <w:lvlText w:val="•"/>
      <w:lvlJc w:val="left"/>
      <w:pPr>
        <w:ind w:left="5207" w:hanging="571"/>
      </w:pPr>
      <w:rPr>
        <w:rFonts w:hint="default"/>
        <w:lang w:val="en-US" w:eastAsia="en-US" w:bidi="ar-SA"/>
      </w:rPr>
    </w:lvl>
    <w:lvl w:ilvl="6">
      <w:start w:val="0"/>
      <w:numFmt w:val="bullet"/>
      <w:lvlText w:val="•"/>
      <w:lvlJc w:val="left"/>
      <w:pPr>
        <w:ind w:left="6403" w:hanging="571"/>
      </w:pPr>
      <w:rPr>
        <w:rFonts w:hint="default"/>
        <w:lang w:val="en-US" w:eastAsia="en-US" w:bidi="ar-SA"/>
      </w:rPr>
    </w:lvl>
    <w:lvl w:ilvl="7">
      <w:start w:val="0"/>
      <w:numFmt w:val="bullet"/>
      <w:lvlText w:val="•"/>
      <w:lvlJc w:val="left"/>
      <w:pPr>
        <w:ind w:left="7599" w:hanging="571"/>
      </w:pPr>
      <w:rPr>
        <w:rFonts w:hint="default"/>
        <w:lang w:val="en-US" w:eastAsia="en-US" w:bidi="ar-SA"/>
      </w:rPr>
    </w:lvl>
    <w:lvl w:ilvl="8">
      <w:start w:val="0"/>
      <w:numFmt w:val="bullet"/>
      <w:lvlText w:val="•"/>
      <w:lvlJc w:val="left"/>
      <w:pPr>
        <w:ind w:left="8794" w:hanging="571"/>
      </w:pPr>
      <w:rPr>
        <w:rFonts w:hint="default"/>
        <w:lang w:val="en-US" w:eastAsia="en-US" w:bidi="ar-SA"/>
      </w:rPr>
    </w:lvl>
  </w:abstractNum>
  <w:abstractNum w:abstractNumId="236">
    <w:multiLevelType w:val="hybridMultilevel"/>
    <w:lvl w:ilvl="0">
      <w:start w:val="1"/>
      <w:numFmt w:val="lowerRoman"/>
      <w:lvlText w:val="(%1)"/>
      <w:lvlJc w:val="left"/>
      <w:pPr>
        <w:ind w:left="1212" w:hanging="442"/>
        <w:jc w:val="left"/>
      </w:pPr>
      <w:rPr>
        <w:rFonts w:hint="default" w:ascii="Arial" w:hAnsi="Arial" w:eastAsia="Arial" w:cs="Arial"/>
        <w:b w:val="0"/>
        <w:bCs w:val="0"/>
        <w:i w:val="0"/>
        <w:iCs w:val="0"/>
        <w:spacing w:val="0"/>
        <w:w w:val="99"/>
        <w:sz w:val="24"/>
        <w:szCs w:val="24"/>
        <w:lang w:val="en-US" w:eastAsia="en-US" w:bidi="ar-SA"/>
      </w:rPr>
    </w:lvl>
    <w:lvl w:ilvl="1">
      <w:start w:val="0"/>
      <w:numFmt w:val="bullet"/>
      <w:lvlText w:val="•"/>
      <w:lvlJc w:val="left"/>
      <w:pPr>
        <w:ind w:left="2216" w:hanging="442"/>
      </w:pPr>
      <w:rPr>
        <w:rFonts w:hint="default"/>
        <w:lang w:val="en-US" w:eastAsia="en-US" w:bidi="ar-SA"/>
      </w:rPr>
    </w:lvl>
    <w:lvl w:ilvl="2">
      <w:start w:val="0"/>
      <w:numFmt w:val="bullet"/>
      <w:lvlText w:val="•"/>
      <w:lvlJc w:val="left"/>
      <w:pPr>
        <w:ind w:left="3213" w:hanging="442"/>
      </w:pPr>
      <w:rPr>
        <w:rFonts w:hint="default"/>
        <w:lang w:val="en-US" w:eastAsia="en-US" w:bidi="ar-SA"/>
      </w:rPr>
    </w:lvl>
    <w:lvl w:ilvl="3">
      <w:start w:val="0"/>
      <w:numFmt w:val="bullet"/>
      <w:lvlText w:val="•"/>
      <w:lvlJc w:val="left"/>
      <w:pPr>
        <w:ind w:left="4209" w:hanging="442"/>
      </w:pPr>
      <w:rPr>
        <w:rFonts w:hint="default"/>
        <w:lang w:val="en-US" w:eastAsia="en-US" w:bidi="ar-SA"/>
      </w:rPr>
    </w:lvl>
    <w:lvl w:ilvl="4">
      <w:start w:val="0"/>
      <w:numFmt w:val="bullet"/>
      <w:lvlText w:val="•"/>
      <w:lvlJc w:val="left"/>
      <w:pPr>
        <w:ind w:left="5206" w:hanging="442"/>
      </w:pPr>
      <w:rPr>
        <w:rFonts w:hint="default"/>
        <w:lang w:val="en-US" w:eastAsia="en-US" w:bidi="ar-SA"/>
      </w:rPr>
    </w:lvl>
    <w:lvl w:ilvl="5">
      <w:start w:val="0"/>
      <w:numFmt w:val="bullet"/>
      <w:lvlText w:val="•"/>
      <w:lvlJc w:val="left"/>
      <w:pPr>
        <w:ind w:left="6203" w:hanging="442"/>
      </w:pPr>
      <w:rPr>
        <w:rFonts w:hint="default"/>
        <w:lang w:val="en-US" w:eastAsia="en-US" w:bidi="ar-SA"/>
      </w:rPr>
    </w:lvl>
    <w:lvl w:ilvl="6">
      <w:start w:val="0"/>
      <w:numFmt w:val="bullet"/>
      <w:lvlText w:val="•"/>
      <w:lvlJc w:val="left"/>
      <w:pPr>
        <w:ind w:left="7199" w:hanging="442"/>
      </w:pPr>
      <w:rPr>
        <w:rFonts w:hint="default"/>
        <w:lang w:val="en-US" w:eastAsia="en-US" w:bidi="ar-SA"/>
      </w:rPr>
    </w:lvl>
    <w:lvl w:ilvl="7">
      <w:start w:val="0"/>
      <w:numFmt w:val="bullet"/>
      <w:lvlText w:val="•"/>
      <w:lvlJc w:val="left"/>
      <w:pPr>
        <w:ind w:left="8196" w:hanging="442"/>
      </w:pPr>
      <w:rPr>
        <w:rFonts w:hint="default"/>
        <w:lang w:val="en-US" w:eastAsia="en-US" w:bidi="ar-SA"/>
      </w:rPr>
    </w:lvl>
    <w:lvl w:ilvl="8">
      <w:start w:val="0"/>
      <w:numFmt w:val="bullet"/>
      <w:lvlText w:val="•"/>
      <w:lvlJc w:val="left"/>
      <w:pPr>
        <w:ind w:left="9193" w:hanging="442"/>
      </w:pPr>
      <w:rPr>
        <w:rFonts w:hint="default"/>
        <w:lang w:val="en-US" w:eastAsia="en-US" w:bidi="ar-SA"/>
      </w:rPr>
    </w:lvl>
  </w:abstractNum>
  <w:abstractNum w:abstractNumId="235">
    <w:multiLevelType w:val="hybridMultilevel"/>
    <w:lvl w:ilvl="0">
      <w:start w:val="1"/>
      <w:numFmt w:val="lowerLetter"/>
      <w:lvlText w:val="%1)"/>
      <w:lvlJc w:val="left"/>
      <w:pPr>
        <w:ind w:left="1212"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216" w:hanging="360"/>
      </w:pPr>
      <w:rPr>
        <w:rFonts w:hint="default"/>
        <w:lang w:val="en-US" w:eastAsia="en-US" w:bidi="ar-SA"/>
      </w:rPr>
    </w:lvl>
    <w:lvl w:ilvl="2">
      <w:start w:val="0"/>
      <w:numFmt w:val="bullet"/>
      <w:lvlText w:val="•"/>
      <w:lvlJc w:val="left"/>
      <w:pPr>
        <w:ind w:left="3213" w:hanging="360"/>
      </w:pPr>
      <w:rPr>
        <w:rFonts w:hint="default"/>
        <w:lang w:val="en-US" w:eastAsia="en-US" w:bidi="ar-SA"/>
      </w:rPr>
    </w:lvl>
    <w:lvl w:ilvl="3">
      <w:start w:val="0"/>
      <w:numFmt w:val="bullet"/>
      <w:lvlText w:val="•"/>
      <w:lvlJc w:val="left"/>
      <w:pPr>
        <w:ind w:left="4209" w:hanging="360"/>
      </w:pPr>
      <w:rPr>
        <w:rFonts w:hint="default"/>
        <w:lang w:val="en-US" w:eastAsia="en-US" w:bidi="ar-SA"/>
      </w:rPr>
    </w:lvl>
    <w:lvl w:ilvl="4">
      <w:start w:val="0"/>
      <w:numFmt w:val="bullet"/>
      <w:lvlText w:val="•"/>
      <w:lvlJc w:val="left"/>
      <w:pPr>
        <w:ind w:left="5206" w:hanging="360"/>
      </w:pPr>
      <w:rPr>
        <w:rFonts w:hint="default"/>
        <w:lang w:val="en-US" w:eastAsia="en-US" w:bidi="ar-SA"/>
      </w:rPr>
    </w:lvl>
    <w:lvl w:ilvl="5">
      <w:start w:val="0"/>
      <w:numFmt w:val="bullet"/>
      <w:lvlText w:val="•"/>
      <w:lvlJc w:val="left"/>
      <w:pPr>
        <w:ind w:left="6203" w:hanging="360"/>
      </w:pPr>
      <w:rPr>
        <w:rFonts w:hint="default"/>
        <w:lang w:val="en-US" w:eastAsia="en-US" w:bidi="ar-SA"/>
      </w:rPr>
    </w:lvl>
    <w:lvl w:ilvl="6">
      <w:start w:val="0"/>
      <w:numFmt w:val="bullet"/>
      <w:lvlText w:val="•"/>
      <w:lvlJc w:val="left"/>
      <w:pPr>
        <w:ind w:left="7199" w:hanging="360"/>
      </w:pPr>
      <w:rPr>
        <w:rFonts w:hint="default"/>
        <w:lang w:val="en-US" w:eastAsia="en-US" w:bidi="ar-SA"/>
      </w:rPr>
    </w:lvl>
    <w:lvl w:ilvl="7">
      <w:start w:val="0"/>
      <w:numFmt w:val="bullet"/>
      <w:lvlText w:val="•"/>
      <w:lvlJc w:val="left"/>
      <w:pPr>
        <w:ind w:left="8196" w:hanging="360"/>
      </w:pPr>
      <w:rPr>
        <w:rFonts w:hint="default"/>
        <w:lang w:val="en-US" w:eastAsia="en-US" w:bidi="ar-SA"/>
      </w:rPr>
    </w:lvl>
    <w:lvl w:ilvl="8">
      <w:start w:val="0"/>
      <w:numFmt w:val="bullet"/>
      <w:lvlText w:val="•"/>
      <w:lvlJc w:val="left"/>
      <w:pPr>
        <w:ind w:left="9193" w:hanging="360"/>
      </w:pPr>
      <w:rPr>
        <w:rFonts w:hint="default"/>
        <w:lang w:val="en-US" w:eastAsia="en-US" w:bidi="ar-SA"/>
      </w:rPr>
    </w:lvl>
  </w:abstractNum>
  <w:abstractNum w:abstractNumId="234">
    <w:multiLevelType w:val="hybridMultilevel"/>
    <w:lvl w:ilvl="0">
      <w:start w:val="1"/>
      <w:numFmt w:val="decimal"/>
      <w:lvlText w:val="%1)"/>
      <w:lvlJc w:val="left"/>
      <w:pPr>
        <w:ind w:left="1528" w:hanging="32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86" w:hanging="329"/>
      </w:pPr>
      <w:rPr>
        <w:rFonts w:hint="default"/>
        <w:lang w:val="en-US" w:eastAsia="en-US" w:bidi="ar-SA"/>
      </w:rPr>
    </w:lvl>
    <w:lvl w:ilvl="2">
      <w:start w:val="0"/>
      <w:numFmt w:val="bullet"/>
      <w:lvlText w:val="•"/>
      <w:lvlJc w:val="left"/>
      <w:pPr>
        <w:ind w:left="3453" w:hanging="329"/>
      </w:pPr>
      <w:rPr>
        <w:rFonts w:hint="default"/>
        <w:lang w:val="en-US" w:eastAsia="en-US" w:bidi="ar-SA"/>
      </w:rPr>
    </w:lvl>
    <w:lvl w:ilvl="3">
      <w:start w:val="0"/>
      <w:numFmt w:val="bullet"/>
      <w:lvlText w:val="•"/>
      <w:lvlJc w:val="left"/>
      <w:pPr>
        <w:ind w:left="4419" w:hanging="329"/>
      </w:pPr>
      <w:rPr>
        <w:rFonts w:hint="default"/>
        <w:lang w:val="en-US" w:eastAsia="en-US" w:bidi="ar-SA"/>
      </w:rPr>
    </w:lvl>
    <w:lvl w:ilvl="4">
      <w:start w:val="0"/>
      <w:numFmt w:val="bullet"/>
      <w:lvlText w:val="•"/>
      <w:lvlJc w:val="left"/>
      <w:pPr>
        <w:ind w:left="5386" w:hanging="329"/>
      </w:pPr>
      <w:rPr>
        <w:rFonts w:hint="default"/>
        <w:lang w:val="en-US" w:eastAsia="en-US" w:bidi="ar-SA"/>
      </w:rPr>
    </w:lvl>
    <w:lvl w:ilvl="5">
      <w:start w:val="0"/>
      <w:numFmt w:val="bullet"/>
      <w:lvlText w:val="•"/>
      <w:lvlJc w:val="left"/>
      <w:pPr>
        <w:ind w:left="6353" w:hanging="329"/>
      </w:pPr>
      <w:rPr>
        <w:rFonts w:hint="default"/>
        <w:lang w:val="en-US" w:eastAsia="en-US" w:bidi="ar-SA"/>
      </w:rPr>
    </w:lvl>
    <w:lvl w:ilvl="6">
      <w:start w:val="0"/>
      <w:numFmt w:val="bullet"/>
      <w:lvlText w:val="•"/>
      <w:lvlJc w:val="left"/>
      <w:pPr>
        <w:ind w:left="7319" w:hanging="329"/>
      </w:pPr>
      <w:rPr>
        <w:rFonts w:hint="default"/>
        <w:lang w:val="en-US" w:eastAsia="en-US" w:bidi="ar-SA"/>
      </w:rPr>
    </w:lvl>
    <w:lvl w:ilvl="7">
      <w:start w:val="0"/>
      <w:numFmt w:val="bullet"/>
      <w:lvlText w:val="•"/>
      <w:lvlJc w:val="left"/>
      <w:pPr>
        <w:ind w:left="8286" w:hanging="329"/>
      </w:pPr>
      <w:rPr>
        <w:rFonts w:hint="default"/>
        <w:lang w:val="en-US" w:eastAsia="en-US" w:bidi="ar-SA"/>
      </w:rPr>
    </w:lvl>
    <w:lvl w:ilvl="8">
      <w:start w:val="0"/>
      <w:numFmt w:val="bullet"/>
      <w:lvlText w:val="•"/>
      <w:lvlJc w:val="left"/>
      <w:pPr>
        <w:ind w:left="9253" w:hanging="329"/>
      </w:pPr>
      <w:rPr>
        <w:rFonts w:hint="default"/>
        <w:lang w:val="en-US" w:eastAsia="en-US" w:bidi="ar-SA"/>
      </w:rPr>
    </w:lvl>
  </w:abstractNum>
  <w:abstractNum w:abstractNumId="233">
    <w:multiLevelType w:val="hybridMultilevel"/>
    <w:lvl w:ilvl="0">
      <w:start w:val="1"/>
      <w:numFmt w:val="decimal"/>
      <w:lvlText w:val="%1."/>
      <w:lvlJc w:val="left"/>
      <w:pPr>
        <w:ind w:left="1200" w:hanging="33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2213" w:hanging="1001"/>
        <w:jc w:val="left"/>
      </w:pPr>
      <w:rPr>
        <w:rFonts w:hint="default" w:ascii="Bookman Old Style" w:hAnsi="Bookman Old Style" w:eastAsia="Bookman Old Style" w:cs="Bookman Old Style"/>
        <w:b/>
        <w:bCs/>
        <w:i w:val="0"/>
        <w:iCs w:val="0"/>
        <w:spacing w:val="0"/>
        <w:w w:val="100"/>
        <w:sz w:val="24"/>
        <w:szCs w:val="24"/>
        <w:lang w:val="en-US" w:eastAsia="en-US" w:bidi="ar-SA"/>
      </w:rPr>
    </w:lvl>
    <w:lvl w:ilvl="2">
      <w:start w:val="1"/>
      <w:numFmt w:val="lowerRoman"/>
      <w:lvlText w:val="%3"/>
      <w:lvlJc w:val="left"/>
      <w:pPr>
        <w:ind w:left="1212" w:hanging="39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3340" w:hanging="398"/>
      </w:pPr>
      <w:rPr>
        <w:rFonts w:hint="default"/>
        <w:lang w:val="en-US" w:eastAsia="en-US" w:bidi="ar-SA"/>
      </w:rPr>
    </w:lvl>
    <w:lvl w:ilvl="4">
      <w:start w:val="0"/>
      <w:numFmt w:val="bullet"/>
      <w:lvlText w:val="•"/>
      <w:lvlJc w:val="left"/>
      <w:pPr>
        <w:ind w:left="4461" w:hanging="398"/>
      </w:pPr>
      <w:rPr>
        <w:rFonts w:hint="default"/>
        <w:lang w:val="en-US" w:eastAsia="en-US" w:bidi="ar-SA"/>
      </w:rPr>
    </w:lvl>
    <w:lvl w:ilvl="5">
      <w:start w:val="0"/>
      <w:numFmt w:val="bullet"/>
      <w:lvlText w:val="•"/>
      <w:lvlJc w:val="left"/>
      <w:pPr>
        <w:ind w:left="5582" w:hanging="398"/>
      </w:pPr>
      <w:rPr>
        <w:rFonts w:hint="default"/>
        <w:lang w:val="en-US" w:eastAsia="en-US" w:bidi="ar-SA"/>
      </w:rPr>
    </w:lvl>
    <w:lvl w:ilvl="6">
      <w:start w:val="0"/>
      <w:numFmt w:val="bullet"/>
      <w:lvlText w:val="•"/>
      <w:lvlJc w:val="left"/>
      <w:pPr>
        <w:ind w:left="6703" w:hanging="398"/>
      </w:pPr>
      <w:rPr>
        <w:rFonts w:hint="default"/>
        <w:lang w:val="en-US" w:eastAsia="en-US" w:bidi="ar-SA"/>
      </w:rPr>
    </w:lvl>
    <w:lvl w:ilvl="7">
      <w:start w:val="0"/>
      <w:numFmt w:val="bullet"/>
      <w:lvlText w:val="•"/>
      <w:lvlJc w:val="left"/>
      <w:pPr>
        <w:ind w:left="7824" w:hanging="398"/>
      </w:pPr>
      <w:rPr>
        <w:rFonts w:hint="default"/>
        <w:lang w:val="en-US" w:eastAsia="en-US" w:bidi="ar-SA"/>
      </w:rPr>
    </w:lvl>
    <w:lvl w:ilvl="8">
      <w:start w:val="0"/>
      <w:numFmt w:val="bullet"/>
      <w:lvlText w:val="•"/>
      <w:lvlJc w:val="left"/>
      <w:pPr>
        <w:ind w:left="8944" w:hanging="398"/>
      </w:pPr>
      <w:rPr>
        <w:rFonts w:hint="default"/>
        <w:lang w:val="en-US" w:eastAsia="en-US" w:bidi="ar-SA"/>
      </w:rPr>
    </w:lvl>
  </w:abstractNum>
  <w:abstractNum w:abstractNumId="232">
    <w:multiLevelType w:val="hybridMultilevel"/>
    <w:lvl w:ilvl="0">
      <w:start w:val="1"/>
      <w:numFmt w:val="decimal"/>
      <w:lvlText w:val="(%1)"/>
      <w:lvlJc w:val="left"/>
      <w:pPr>
        <w:ind w:left="1114" w:hanging="342"/>
        <w:jc w:val="right"/>
      </w:pPr>
      <w:rPr>
        <w:rFonts w:hint="default"/>
        <w:spacing w:val="9"/>
        <w:w w:val="93"/>
        <w:lang w:val="en-US" w:eastAsia="en-US" w:bidi="ar-SA"/>
      </w:rPr>
    </w:lvl>
    <w:lvl w:ilvl="1">
      <w:start w:val="1"/>
      <w:numFmt w:val="lowerRoman"/>
      <w:lvlText w:val="%2)"/>
      <w:lvlJc w:val="left"/>
      <w:pPr>
        <w:ind w:left="1433" w:hanging="25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522" w:hanging="257"/>
      </w:pPr>
      <w:rPr>
        <w:rFonts w:hint="default"/>
        <w:lang w:val="en-US" w:eastAsia="en-US" w:bidi="ar-SA"/>
      </w:rPr>
    </w:lvl>
    <w:lvl w:ilvl="3">
      <w:start w:val="0"/>
      <w:numFmt w:val="bullet"/>
      <w:lvlText w:val="•"/>
      <w:lvlJc w:val="left"/>
      <w:pPr>
        <w:ind w:left="3605" w:hanging="257"/>
      </w:pPr>
      <w:rPr>
        <w:rFonts w:hint="default"/>
        <w:lang w:val="en-US" w:eastAsia="en-US" w:bidi="ar-SA"/>
      </w:rPr>
    </w:lvl>
    <w:lvl w:ilvl="4">
      <w:start w:val="0"/>
      <w:numFmt w:val="bullet"/>
      <w:lvlText w:val="•"/>
      <w:lvlJc w:val="left"/>
      <w:pPr>
        <w:ind w:left="4688" w:hanging="257"/>
      </w:pPr>
      <w:rPr>
        <w:rFonts w:hint="default"/>
        <w:lang w:val="en-US" w:eastAsia="en-US" w:bidi="ar-SA"/>
      </w:rPr>
    </w:lvl>
    <w:lvl w:ilvl="5">
      <w:start w:val="0"/>
      <w:numFmt w:val="bullet"/>
      <w:lvlText w:val="•"/>
      <w:lvlJc w:val="left"/>
      <w:pPr>
        <w:ind w:left="5771" w:hanging="257"/>
      </w:pPr>
      <w:rPr>
        <w:rFonts w:hint="default"/>
        <w:lang w:val="en-US" w:eastAsia="en-US" w:bidi="ar-SA"/>
      </w:rPr>
    </w:lvl>
    <w:lvl w:ilvl="6">
      <w:start w:val="0"/>
      <w:numFmt w:val="bullet"/>
      <w:lvlText w:val="•"/>
      <w:lvlJc w:val="left"/>
      <w:pPr>
        <w:ind w:left="6854" w:hanging="257"/>
      </w:pPr>
      <w:rPr>
        <w:rFonts w:hint="default"/>
        <w:lang w:val="en-US" w:eastAsia="en-US" w:bidi="ar-SA"/>
      </w:rPr>
    </w:lvl>
    <w:lvl w:ilvl="7">
      <w:start w:val="0"/>
      <w:numFmt w:val="bullet"/>
      <w:lvlText w:val="•"/>
      <w:lvlJc w:val="left"/>
      <w:pPr>
        <w:ind w:left="7937" w:hanging="257"/>
      </w:pPr>
      <w:rPr>
        <w:rFonts w:hint="default"/>
        <w:lang w:val="en-US" w:eastAsia="en-US" w:bidi="ar-SA"/>
      </w:rPr>
    </w:lvl>
    <w:lvl w:ilvl="8">
      <w:start w:val="0"/>
      <w:numFmt w:val="bullet"/>
      <w:lvlText w:val="•"/>
      <w:lvlJc w:val="left"/>
      <w:pPr>
        <w:ind w:left="9020" w:hanging="257"/>
      </w:pPr>
      <w:rPr>
        <w:rFonts w:hint="default"/>
        <w:lang w:val="en-US" w:eastAsia="en-US" w:bidi="ar-SA"/>
      </w:rPr>
    </w:lvl>
  </w:abstractNum>
  <w:abstractNum w:abstractNumId="231">
    <w:multiLevelType w:val="hybridMultilevel"/>
    <w:lvl w:ilvl="0">
      <w:start w:val="1"/>
      <w:numFmt w:val="upperLetter"/>
      <w:lvlText w:val="%1)"/>
      <w:lvlJc w:val="left"/>
      <w:pPr>
        <w:ind w:left="1554" w:hanging="34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522" w:hanging="343"/>
      </w:pPr>
      <w:rPr>
        <w:rFonts w:hint="default"/>
        <w:lang w:val="en-US" w:eastAsia="en-US" w:bidi="ar-SA"/>
      </w:rPr>
    </w:lvl>
    <w:lvl w:ilvl="2">
      <w:start w:val="0"/>
      <w:numFmt w:val="bullet"/>
      <w:lvlText w:val="•"/>
      <w:lvlJc w:val="left"/>
      <w:pPr>
        <w:ind w:left="3485" w:hanging="343"/>
      </w:pPr>
      <w:rPr>
        <w:rFonts w:hint="default"/>
        <w:lang w:val="en-US" w:eastAsia="en-US" w:bidi="ar-SA"/>
      </w:rPr>
    </w:lvl>
    <w:lvl w:ilvl="3">
      <w:start w:val="0"/>
      <w:numFmt w:val="bullet"/>
      <w:lvlText w:val="•"/>
      <w:lvlJc w:val="left"/>
      <w:pPr>
        <w:ind w:left="4447" w:hanging="343"/>
      </w:pPr>
      <w:rPr>
        <w:rFonts w:hint="default"/>
        <w:lang w:val="en-US" w:eastAsia="en-US" w:bidi="ar-SA"/>
      </w:rPr>
    </w:lvl>
    <w:lvl w:ilvl="4">
      <w:start w:val="0"/>
      <w:numFmt w:val="bullet"/>
      <w:lvlText w:val="•"/>
      <w:lvlJc w:val="left"/>
      <w:pPr>
        <w:ind w:left="5410" w:hanging="343"/>
      </w:pPr>
      <w:rPr>
        <w:rFonts w:hint="default"/>
        <w:lang w:val="en-US" w:eastAsia="en-US" w:bidi="ar-SA"/>
      </w:rPr>
    </w:lvl>
    <w:lvl w:ilvl="5">
      <w:start w:val="0"/>
      <w:numFmt w:val="bullet"/>
      <w:lvlText w:val="•"/>
      <w:lvlJc w:val="left"/>
      <w:pPr>
        <w:ind w:left="6373" w:hanging="343"/>
      </w:pPr>
      <w:rPr>
        <w:rFonts w:hint="default"/>
        <w:lang w:val="en-US" w:eastAsia="en-US" w:bidi="ar-SA"/>
      </w:rPr>
    </w:lvl>
    <w:lvl w:ilvl="6">
      <w:start w:val="0"/>
      <w:numFmt w:val="bullet"/>
      <w:lvlText w:val="•"/>
      <w:lvlJc w:val="left"/>
      <w:pPr>
        <w:ind w:left="7335" w:hanging="343"/>
      </w:pPr>
      <w:rPr>
        <w:rFonts w:hint="default"/>
        <w:lang w:val="en-US" w:eastAsia="en-US" w:bidi="ar-SA"/>
      </w:rPr>
    </w:lvl>
    <w:lvl w:ilvl="7">
      <w:start w:val="0"/>
      <w:numFmt w:val="bullet"/>
      <w:lvlText w:val="•"/>
      <w:lvlJc w:val="left"/>
      <w:pPr>
        <w:ind w:left="8298" w:hanging="343"/>
      </w:pPr>
      <w:rPr>
        <w:rFonts w:hint="default"/>
        <w:lang w:val="en-US" w:eastAsia="en-US" w:bidi="ar-SA"/>
      </w:rPr>
    </w:lvl>
    <w:lvl w:ilvl="8">
      <w:start w:val="0"/>
      <w:numFmt w:val="bullet"/>
      <w:lvlText w:val="•"/>
      <w:lvlJc w:val="left"/>
      <w:pPr>
        <w:ind w:left="9261" w:hanging="343"/>
      </w:pPr>
      <w:rPr>
        <w:rFonts w:hint="default"/>
        <w:lang w:val="en-US" w:eastAsia="en-US" w:bidi="ar-SA"/>
      </w:rPr>
    </w:lvl>
  </w:abstractNum>
  <w:abstractNum w:abstractNumId="230">
    <w:multiLevelType w:val="hybridMultilevel"/>
    <w:lvl w:ilvl="0">
      <w:start w:val="1"/>
      <w:numFmt w:val="lowerLetter"/>
      <w:lvlText w:val="%1)"/>
      <w:lvlJc w:val="left"/>
      <w:pPr>
        <w:ind w:left="1212" w:hanging="32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216" w:hanging="329"/>
      </w:pPr>
      <w:rPr>
        <w:rFonts w:hint="default"/>
        <w:lang w:val="en-US" w:eastAsia="en-US" w:bidi="ar-SA"/>
      </w:rPr>
    </w:lvl>
    <w:lvl w:ilvl="2">
      <w:start w:val="0"/>
      <w:numFmt w:val="bullet"/>
      <w:lvlText w:val="•"/>
      <w:lvlJc w:val="left"/>
      <w:pPr>
        <w:ind w:left="3213" w:hanging="329"/>
      </w:pPr>
      <w:rPr>
        <w:rFonts w:hint="default"/>
        <w:lang w:val="en-US" w:eastAsia="en-US" w:bidi="ar-SA"/>
      </w:rPr>
    </w:lvl>
    <w:lvl w:ilvl="3">
      <w:start w:val="0"/>
      <w:numFmt w:val="bullet"/>
      <w:lvlText w:val="•"/>
      <w:lvlJc w:val="left"/>
      <w:pPr>
        <w:ind w:left="4209" w:hanging="329"/>
      </w:pPr>
      <w:rPr>
        <w:rFonts w:hint="default"/>
        <w:lang w:val="en-US" w:eastAsia="en-US" w:bidi="ar-SA"/>
      </w:rPr>
    </w:lvl>
    <w:lvl w:ilvl="4">
      <w:start w:val="0"/>
      <w:numFmt w:val="bullet"/>
      <w:lvlText w:val="•"/>
      <w:lvlJc w:val="left"/>
      <w:pPr>
        <w:ind w:left="5206" w:hanging="329"/>
      </w:pPr>
      <w:rPr>
        <w:rFonts w:hint="default"/>
        <w:lang w:val="en-US" w:eastAsia="en-US" w:bidi="ar-SA"/>
      </w:rPr>
    </w:lvl>
    <w:lvl w:ilvl="5">
      <w:start w:val="0"/>
      <w:numFmt w:val="bullet"/>
      <w:lvlText w:val="•"/>
      <w:lvlJc w:val="left"/>
      <w:pPr>
        <w:ind w:left="6203" w:hanging="329"/>
      </w:pPr>
      <w:rPr>
        <w:rFonts w:hint="default"/>
        <w:lang w:val="en-US" w:eastAsia="en-US" w:bidi="ar-SA"/>
      </w:rPr>
    </w:lvl>
    <w:lvl w:ilvl="6">
      <w:start w:val="0"/>
      <w:numFmt w:val="bullet"/>
      <w:lvlText w:val="•"/>
      <w:lvlJc w:val="left"/>
      <w:pPr>
        <w:ind w:left="7199" w:hanging="329"/>
      </w:pPr>
      <w:rPr>
        <w:rFonts w:hint="default"/>
        <w:lang w:val="en-US" w:eastAsia="en-US" w:bidi="ar-SA"/>
      </w:rPr>
    </w:lvl>
    <w:lvl w:ilvl="7">
      <w:start w:val="0"/>
      <w:numFmt w:val="bullet"/>
      <w:lvlText w:val="•"/>
      <w:lvlJc w:val="left"/>
      <w:pPr>
        <w:ind w:left="8196" w:hanging="329"/>
      </w:pPr>
      <w:rPr>
        <w:rFonts w:hint="default"/>
        <w:lang w:val="en-US" w:eastAsia="en-US" w:bidi="ar-SA"/>
      </w:rPr>
    </w:lvl>
    <w:lvl w:ilvl="8">
      <w:start w:val="0"/>
      <w:numFmt w:val="bullet"/>
      <w:lvlText w:val="•"/>
      <w:lvlJc w:val="left"/>
      <w:pPr>
        <w:ind w:left="9193" w:hanging="329"/>
      </w:pPr>
      <w:rPr>
        <w:rFonts w:hint="default"/>
        <w:lang w:val="en-US" w:eastAsia="en-US" w:bidi="ar-SA"/>
      </w:rPr>
    </w:lvl>
  </w:abstractNum>
  <w:abstractNum w:abstractNumId="229">
    <w:multiLevelType w:val="hybridMultilevel"/>
    <w:lvl w:ilvl="0">
      <w:start w:val="1"/>
      <w:numFmt w:val="upperRoman"/>
      <w:lvlText w:val="(%1)"/>
      <w:lvlJc w:val="left"/>
      <w:pPr>
        <w:ind w:left="1570" w:hanging="370"/>
        <w:jc w:val="left"/>
      </w:pPr>
      <w:rPr>
        <w:rFonts w:hint="default"/>
        <w:spacing w:val="0"/>
        <w:w w:val="100"/>
        <w:lang w:val="en-US" w:eastAsia="en-US" w:bidi="ar-SA"/>
      </w:rPr>
    </w:lvl>
    <w:lvl w:ilvl="1">
      <w:start w:val="1"/>
      <w:numFmt w:val="lowerLetter"/>
      <w:lvlText w:val="%2."/>
      <w:lvlJc w:val="left"/>
      <w:pPr>
        <w:ind w:left="1212" w:hanging="32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647" w:hanging="322"/>
      </w:pPr>
      <w:rPr>
        <w:rFonts w:hint="default"/>
        <w:lang w:val="en-US" w:eastAsia="en-US" w:bidi="ar-SA"/>
      </w:rPr>
    </w:lvl>
    <w:lvl w:ilvl="3">
      <w:start w:val="0"/>
      <w:numFmt w:val="bullet"/>
      <w:lvlText w:val="•"/>
      <w:lvlJc w:val="left"/>
      <w:pPr>
        <w:ind w:left="3714" w:hanging="322"/>
      </w:pPr>
      <w:rPr>
        <w:rFonts w:hint="default"/>
        <w:lang w:val="en-US" w:eastAsia="en-US" w:bidi="ar-SA"/>
      </w:rPr>
    </w:lvl>
    <w:lvl w:ilvl="4">
      <w:start w:val="0"/>
      <w:numFmt w:val="bullet"/>
      <w:lvlText w:val="•"/>
      <w:lvlJc w:val="left"/>
      <w:pPr>
        <w:ind w:left="4782" w:hanging="322"/>
      </w:pPr>
      <w:rPr>
        <w:rFonts w:hint="default"/>
        <w:lang w:val="en-US" w:eastAsia="en-US" w:bidi="ar-SA"/>
      </w:rPr>
    </w:lvl>
    <w:lvl w:ilvl="5">
      <w:start w:val="0"/>
      <w:numFmt w:val="bullet"/>
      <w:lvlText w:val="•"/>
      <w:lvlJc w:val="left"/>
      <w:pPr>
        <w:ind w:left="5849" w:hanging="322"/>
      </w:pPr>
      <w:rPr>
        <w:rFonts w:hint="default"/>
        <w:lang w:val="en-US" w:eastAsia="en-US" w:bidi="ar-SA"/>
      </w:rPr>
    </w:lvl>
    <w:lvl w:ilvl="6">
      <w:start w:val="0"/>
      <w:numFmt w:val="bullet"/>
      <w:lvlText w:val="•"/>
      <w:lvlJc w:val="left"/>
      <w:pPr>
        <w:ind w:left="6916" w:hanging="322"/>
      </w:pPr>
      <w:rPr>
        <w:rFonts w:hint="default"/>
        <w:lang w:val="en-US" w:eastAsia="en-US" w:bidi="ar-SA"/>
      </w:rPr>
    </w:lvl>
    <w:lvl w:ilvl="7">
      <w:start w:val="0"/>
      <w:numFmt w:val="bullet"/>
      <w:lvlText w:val="•"/>
      <w:lvlJc w:val="left"/>
      <w:pPr>
        <w:ind w:left="7984" w:hanging="322"/>
      </w:pPr>
      <w:rPr>
        <w:rFonts w:hint="default"/>
        <w:lang w:val="en-US" w:eastAsia="en-US" w:bidi="ar-SA"/>
      </w:rPr>
    </w:lvl>
    <w:lvl w:ilvl="8">
      <w:start w:val="0"/>
      <w:numFmt w:val="bullet"/>
      <w:lvlText w:val="•"/>
      <w:lvlJc w:val="left"/>
      <w:pPr>
        <w:ind w:left="9051" w:hanging="322"/>
      </w:pPr>
      <w:rPr>
        <w:rFonts w:hint="default"/>
        <w:lang w:val="en-US" w:eastAsia="en-US" w:bidi="ar-SA"/>
      </w:rPr>
    </w:lvl>
  </w:abstractNum>
  <w:abstractNum w:abstractNumId="228">
    <w:multiLevelType w:val="hybridMultilevel"/>
    <w:lvl w:ilvl="0">
      <w:start w:val="1"/>
      <w:numFmt w:val="lowerLetter"/>
      <w:lvlText w:val="%1)"/>
      <w:lvlJc w:val="left"/>
      <w:pPr>
        <w:ind w:left="1433" w:hanging="344"/>
        <w:jc w:val="left"/>
      </w:pPr>
      <w:rPr>
        <w:rFonts w:hint="default"/>
        <w:spacing w:val="0"/>
        <w:w w:val="100"/>
        <w:lang w:val="en-US" w:eastAsia="en-US" w:bidi="ar-SA"/>
      </w:rPr>
    </w:lvl>
    <w:lvl w:ilvl="1">
      <w:start w:val="0"/>
      <w:numFmt w:val="bullet"/>
      <w:lvlText w:val="•"/>
      <w:lvlJc w:val="left"/>
      <w:pPr>
        <w:ind w:left="2414" w:hanging="344"/>
      </w:pPr>
      <w:rPr>
        <w:rFonts w:hint="default"/>
        <w:lang w:val="en-US" w:eastAsia="en-US" w:bidi="ar-SA"/>
      </w:rPr>
    </w:lvl>
    <w:lvl w:ilvl="2">
      <w:start w:val="0"/>
      <w:numFmt w:val="bullet"/>
      <w:lvlText w:val="•"/>
      <w:lvlJc w:val="left"/>
      <w:pPr>
        <w:ind w:left="3389" w:hanging="344"/>
      </w:pPr>
      <w:rPr>
        <w:rFonts w:hint="default"/>
        <w:lang w:val="en-US" w:eastAsia="en-US" w:bidi="ar-SA"/>
      </w:rPr>
    </w:lvl>
    <w:lvl w:ilvl="3">
      <w:start w:val="0"/>
      <w:numFmt w:val="bullet"/>
      <w:lvlText w:val="•"/>
      <w:lvlJc w:val="left"/>
      <w:pPr>
        <w:ind w:left="4363" w:hanging="344"/>
      </w:pPr>
      <w:rPr>
        <w:rFonts w:hint="default"/>
        <w:lang w:val="en-US" w:eastAsia="en-US" w:bidi="ar-SA"/>
      </w:rPr>
    </w:lvl>
    <w:lvl w:ilvl="4">
      <w:start w:val="0"/>
      <w:numFmt w:val="bullet"/>
      <w:lvlText w:val="•"/>
      <w:lvlJc w:val="left"/>
      <w:pPr>
        <w:ind w:left="5338" w:hanging="344"/>
      </w:pPr>
      <w:rPr>
        <w:rFonts w:hint="default"/>
        <w:lang w:val="en-US" w:eastAsia="en-US" w:bidi="ar-SA"/>
      </w:rPr>
    </w:lvl>
    <w:lvl w:ilvl="5">
      <w:start w:val="0"/>
      <w:numFmt w:val="bullet"/>
      <w:lvlText w:val="•"/>
      <w:lvlJc w:val="left"/>
      <w:pPr>
        <w:ind w:left="6313" w:hanging="344"/>
      </w:pPr>
      <w:rPr>
        <w:rFonts w:hint="default"/>
        <w:lang w:val="en-US" w:eastAsia="en-US" w:bidi="ar-SA"/>
      </w:rPr>
    </w:lvl>
    <w:lvl w:ilvl="6">
      <w:start w:val="0"/>
      <w:numFmt w:val="bullet"/>
      <w:lvlText w:val="•"/>
      <w:lvlJc w:val="left"/>
      <w:pPr>
        <w:ind w:left="7287" w:hanging="344"/>
      </w:pPr>
      <w:rPr>
        <w:rFonts w:hint="default"/>
        <w:lang w:val="en-US" w:eastAsia="en-US" w:bidi="ar-SA"/>
      </w:rPr>
    </w:lvl>
    <w:lvl w:ilvl="7">
      <w:start w:val="0"/>
      <w:numFmt w:val="bullet"/>
      <w:lvlText w:val="•"/>
      <w:lvlJc w:val="left"/>
      <w:pPr>
        <w:ind w:left="8262" w:hanging="344"/>
      </w:pPr>
      <w:rPr>
        <w:rFonts w:hint="default"/>
        <w:lang w:val="en-US" w:eastAsia="en-US" w:bidi="ar-SA"/>
      </w:rPr>
    </w:lvl>
    <w:lvl w:ilvl="8">
      <w:start w:val="0"/>
      <w:numFmt w:val="bullet"/>
      <w:lvlText w:val="•"/>
      <w:lvlJc w:val="left"/>
      <w:pPr>
        <w:ind w:left="9237" w:hanging="344"/>
      </w:pPr>
      <w:rPr>
        <w:rFonts w:hint="default"/>
        <w:lang w:val="en-US" w:eastAsia="en-US" w:bidi="ar-SA"/>
      </w:rPr>
    </w:lvl>
  </w:abstractNum>
  <w:abstractNum w:abstractNumId="227">
    <w:multiLevelType w:val="hybridMultilevel"/>
    <w:lvl w:ilvl="0">
      <w:start w:val="9"/>
      <w:numFmt w:val="lowerRoman"/>
      <w:lvlText w:val="%1."/>
      <w:lvlJc w:val="left"/>
      <w:pPr>
        <w:ind w:left="1831" w:hanging="39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74" w:hanging="399"/>
      </w:pPr>
      <w:rPr>
        <w:rFonts w:hint="default"/>
        <w:lang w:val="en-US" w:eastAsia="en-US" w:bidi="ar-SA"/>
      </w:rPr>
    </w:lvl>
    <w:lvl w:ilvl="2">
      <w:start w:val="0"/>
      <w:numFmt w:val="bullet"/>
      <w:lvlText w:val="•"/>
      <w:lvlJc w:val="left"/>
      <w:pPr>
        <w:ind w:left="3709" w:hanging="399"/>
      </w:pPr>
      <w:rPr>
        <w:rFonts w:hint="default"/>
        <w:lang w:val="en-US" w:eastAsia="en-US" w:bidi="ar-SA"/>
      </w:rPr>
    </w:lvl>
    <w:lvl w:ilvl="3">
      <w:start w:val="0"/>
      <w:numFmt w:val="bullet"/>
      <w:lvlText w:val="•"/>
      <w:lvlJc w:val="left"/>
      <w:pPr>
        <w:ind w:left="4643" w:hanging="399"/>
      </w:pPr>
      <w:rPr>
        <w:rFonts w:hint="default"/>
        <w:lang w:val="en-US" w:eastAsia="en-US" w:bidi="ar-SA"/>
      </w:rPr>
    </w:lvl>
    <w:lvl w:ilvl="4">
      <w:start w:val="0"/>
      <w:numFmt w:val="bullet"/>
      <w:lvlText w:val="•"/>
      <w:lvlJc w:val="left"/>
      <w:pPr>
        <w:ind w:left="5578" w:hanging="399"/>
      </w:pPr>
      <w:rPr>
        <w:rFonts w:hint="default"/>
        <w:lang w:val="en-US" w:eastAsia="en-US" w:bidi="ar-SA"/>
      </w:rPr>
    </w:lvl>
    <w:lvl w:ilvl="5">
      <w:start w:val="0"/>
      <w:numFmt w:val="bullet"/>
      <w:lvlText w:val="•"/>
      <w:lvlJc w:val="left"/>
      <w:pPr>
        <w:ind w:left="6513" w:hanging="399"/>
      </w:pPr>
      <w:rPr>
        <w:rFonts w:hint="default"/>
        <w:lang w:val="en-US" w:eastAsia="en-US" w:bidi="ar-SA"/>
      </w:rPr>
    </w:lvl>
    <w:lvl w:ilvl="6">
      <w:start w:val="0"/>
      <w:numFmt w:val="bullet"/>
      <w:lvlText w:val="•"/>
      <w:lvlJc w:val="left"/>
      <w:pPr>
        <w:ind w:left="7447" w:hanging="399"/>
      </w:pPr>
      <w:rPr>
        <w:rFonts w:hint="default"/>
        <w:lang w:val="en-US" w:eastAsia="en-US" w:bidi="ar-SA"/>
      </w:rPr>
    </w:lvl>
    <w:lvl w:ilvl="7">
      <w:start w:val="0"/>
      <w:numFmt w:val="bullet"/>
      <w:lvlText w:val="•"/>
      <w:lvlJc w:val="left"/>
      <w:pPr>
        <w:ind w:left="8382" w:hanging="399"/>
      </w:pPr>
      <w:rPr>
        <w:rFonts w:hint="default"/>
        <w:lang w:val="en-US" w:eastAsia="en-US" w:bidi="ar-SA"/>
      </w:rPr>
    </w:lvl>
    <w:lvl w:ilvl="8">
      <w:start w:val="0"/>
      <w:numFmt w:val="bullet"/>
      <w:lvlText w:val="•"/>
      <w:lvlJc w:val="left"/>
      <w:pPr>
        <w:ind w:left="9317" w:hanging="399"/>
      </w:pPr>
      <w:rPr>
        <w:rFonts w:hint="default"/>
        <w:lang w:val="en-US" w:eastAsia="en-US" w:bidi="ar-SA"/>
      </w:rPr>
    </w:lvl>
  </w:abstractNum>
  <w:abstractNum w:abstractNumId="226">
    <w:multiLevelType w:val="hybridMultilevel"/>
    <w:lvl w:ilvl="0">
      <w:start w:val="1"/>
      <w:numFmt w:val="lowerRoman"/>
      <w:lvlText w:val="(%1)"/>
      <w:lvlJc w:val="left"/>
      <w:pPr>
        <w:ind w:left="1433" w:hanging="507"/>
        <w:jc w:val="left"/>
      </w:pPr>
      <w:rPr>
        <w:rFonts w:hint="default" w:ascii="Arial" w:hAnsi="Arial" w:eastAsia="Arial" w:cs="Arial"/>
        <w:b w:val="0"/>
        <w:bCs w:val="0"/>
        <w:i w:val="0"/>
        <w:iCs w:val="0"/>
        <w:spacing w:val="0"/>
        <w:w w:val="99"/>
        <w:sz w:val="24"/>
        <w:szCs w:val="24"/>
        <w:lang w:val="en-US" w:eastAsia="en-US" w:bidi="ar-SA"/>
      </w:rPr>
    </w:lvl>
    <w:lvl w:ilvl="1">
      <w:start w:val="0"/>
      <w:numFmt w:val="bullet"/>
      <w:lvlText w:val="•"/>
      <w:lvlJc w:val="left"/>
      <w:pPr>
        <w:ind w:left="2414" w:hanging="507"/>
      </w:pPr>
      <w:rPr>
        <w:rFonts w:hint="default"/>
        <w:lang w:val="en-US" w:eastAsia="en-US" w:bidi="ar-SA"/>
      </w:rPr>
    </w:lvl>
    <w:lvl w:ilvl="2">
      <w:start w:val="0"/>
      <w:numFmt w:val="bullet"/>
      <w:lvlText w:val="•"/>
      <w:lvlJc w:val="left"/>
      <w:pPr>
        <w:ind w:left="3389" w:hanging="507"/>
      </w:pPr>
      <w:rPr>
        <w:rFonts w:hint="default"/>
        <w:lang w:val="en-US" w:eastAsia="en-US" w:bidi="ar-SA"/>
      </w:rPr>
    </w:lvl>
    <w:lvl w:ilvl="3">
      <w:start w:val="0"/>
      <w:numFmt w:val="bullet"/>
      <w:lvlText w:val="•"/>
      <w:lvlJc w:val="left"/>
      <w:pPr>
        <w:ind w:left="4363" w:hanging="507"/>
      </w:pPr>
      <w:rPr>
        <w:rFonts w:hint="default"/>
        <w:lang w:val="en-US" w:eastAsia="en-US" w:bidi="ar-SA"/>
      </w:rPr>
    </w:lvl>
    <w:lvl w:ilvl="4">
      <w:start w:val="0"/>
      <w:numFmt w:val="bullet"/>
      <w:lvlText w:val="•"/>
      <w:lvlJc w:val="left"/>
      <w:pPr>
        <w:ind w:left="5338" w:hanging="507"/>
      </w:pPr>
      <w:rPr>
        <w:rFonts w:hint="default"/>
        <w:lang w:val="en-US" w:eastAsia="en-US" w:bidi="ar-SA"/>
      </w:rPr>
    </w:lvl>
    <w:lvl w:ilvl="5">
      <w:start w:val="0"/>
      <w:numFmt w:val="bullet"/>
      <w:lvlText w:val="•"/>
      <w:lvlJc w:val="left"/>
      <w:pPr>
        <w:ind w:left="6313" w:hanging="507"/>
      </w:pPr>
      <w:rPr>
        <w:rFonts w:hint="default"/>
        <w:lang w:val="en-US" w:eastAsia="en-US" w:bidi="ar-SA"/>
      </w:rPr>
    </w:lvl>
    <w:lvl w:ilvl="6">
      <w:start w:val="0"/>
      <w:numFmt w:val="bullet"/>
      <w:lvlText w:val="•"/>
      <w:lvlJc w:val="left"/>
      <w:pPr>
        <w:ind w:left="7287" w:hanging="507"/>
      </w:pPr>
      <w:rPr>
        <w:rFonts w:hint="default"/>
        <w:lang w:val="en-US" w:eastAsia="en-US" w:bidi="ar-SA"/>
      </w:rPr>
    </w:lvl>
    <w:lvl w:ilvl="7">
      <w:start w:val="0"/>
      <w:numFmt w:val="bullet"/>
      <w:lvlText w:val="•"/>
      <w:lvlJc w:val="left"/>
      <w:pPr>
        <w:ind w:left="8262" w:hanging="507"/>
      </w:pPr>
      <w:rPr>
        <w:rFonts w:hint="default"/>
        <w:lang w:val="en-US" w:eastAsia="en-US" w:bidi="ar-SA"/>
      </w:rPr>
    </w:lvl>
    <w:lvl w:ilvl="8">
      <w:start w:val="0"/>
      <w:numFmt w:val="bullet"/>
      <w:lvlText w:val="•"/>
      <w:lvlJc w:val="left"/>
      <w:pPr>
        <w:ind w:left="9237" w:hanging="507"/>
      </w:pPr>
      <w:rPr>
        <w:rFonts w:hint="default"/>
        <w:lang w:val="en-US" w:eastAsia="en-US" w:bidi="ar-SA"/>
      </w:rPr>
    </w:lvl>
  </w:abstractNum>
  <w:abstractNum w:abstractNumId="225">
    <w:multiLevelType w:val="hybridMultilevel"/>
    <w:lvl w:ilvl="0">
      <w:start w:val="1"/>
      <w:numFmt w:val="lowerRoman"/>
      <w:lvlText w:val="(%1)"/>
      <w:lvlJc w:val="left"/>
      <w:pPr>
        <w:ind w:left="560" w:hanging="181"/>
        <w:jc w:val="left"/>
      </w:pPr>
      <w:rPr>
        <w:rFonts w:hint="default" w:ascii="Bookman Old Style" w:hAnsi="Bookman Old Style" w:eastAsia="Bookman Old Style" w:cs="Bookman Old Style"/>
        <w:b w:val="0"/>
        <w:bCs w:val="0"/>
        <w:i w:val="0"/>
        <w:iCs w:val="0"/>
        <w:spacing w:val="0"/>
        <w:w w:val="97"/>
        <w:sz w:val="18"/>
        <w:szCs w:val="18"/>
        <w:lang w:val="en-US" w:eastAsia="en-US" w:bidi="ar-SA"/>
      </w:rPr>
    </w:lvl>
    <w:lvl w:ilvl="1">
      <w:start w:val="0"/>
      <w:numFmt w:val="bullet"/>
      <w:lvlText w:val="•"/>
      <w:lvlJc w:val="left"/>
      <w:pPr>
        <w:ind w:left="771" w:hanging="181"/>
      </w:pPr>
      <w:rPr>
        <w:rFonts w:hint="default"/>
        <w:lang w:val="en-US" w:eastAsia="en-US" w:bidi="ar-SA"/>
      </w:rPr>
    </w:lvl>
    <w:lvl w:ilvl="2">
      <w:start w:val="0"/>
      <w:numFmt w:val="bullet"/>
      <w:lvlText w:val="•"/>
      <w:lvlJc w:val="left"/>
      <w:pPr>
        <w:ind w:left="983" w:hanging="181"/>
      </w:pPr>
      <w:rPr>
        <w:rFonts w:hint="default"/>
        <w:lang w:val="en-US" w:eastAsia="en-US" w:bidi="ar-SA"/>
      </w:rPr>
    </w:lvl>
    <w:lvl w:ilvl="3">
      <w:start w:val="0"/>
      <w:numFmt w:val="bullet"/>
      <w:lvlText w:val="•"/>
      <w:lvlJc w:val="left"/>
      <w:pPr>
        <w:ind w:left="1195" w:hanging="181"/>
      </w:pPr>
      <w:rPr>
        <w:rFonts w:hint="default"/>
        <w:lang w:val="en-US" w:eastAsia="en-US" w:bidi="ar-SA"/>
      </w:rPr>
    </w:lvl>
    <w:lvl w:ilvl="4">
      <w:start w:val="0"/>
      <w:numFmt w:val="bullet"/>
      <w:lvlText w:val="•"/>
      <w:lvlJc w:val="left"/>
      <w:pPr>
        <w:ind w:left="1407" w:hanging="181"/>
      </w:pPr>
      <w:rPr>
        <w:rFonts w:hint="default"/>
        <w:lang w:val="en-US" w:eastAsia="en-US" w:bidi="ar-SA"/>
      </w:rPr>
    </w:lvl>
    <w:lvl w:ilvl="5">
      <w:start w:val="0"/>
      <w:numFmt w:val="bullet"/>
      <w:lvlText w:val="•"/>
      <w:lvlJc w:val="left"/>
      <w:pPr>
        <w:ind w:left="1619" w:hanging="181"/>
      </w:pPr>
      <w:rPr>
        <w:rFonts w:hint="default"/>
        <w:lang w:val="en-US" w:eastAsia="en-US" w:bidi="ar-SA"/>
      </w:rPr>
    </w:lvl>
    <w:lvl w:ilvl="6">
      <w:start w:val="0"/>
      <w:numFmt w:val="bullet"/>
      <w:lvlText w:val="•"/>
      <w:lvlJc w:val="left"/>
      <w:pPr>
        <w:ind w:left="1830" w:hanging="181"/>
      </w:pPr>
      <w:rPr>
        <w:rFonts w:hint="default"/>
        <w:lang w:val="en-US" w:eastAsia="en-US" w:bidi="ar-SA"/>
      </w:rPr>
    </w:lvl>
    <w:lvl w:ilvl="7">
      <w:start w:val="0"/>
      <w:numFmt w:val="bullet"/>
      <w:lvlText w:val="•"/>
      <w:lvlJc w:val="left"/>
      <w:pPr>
        <w:ind w:left="2042" w:hanging="181"/>
      </w:pPr>
      <w:rPr>
        <w:rFonts w:hint="default"/>
        <w:lang w:val="en-US" w:eastAsia="en-US" w:bidi="ar-SA"/>
      </w:rPr>
    </w:lvl>
    <w:lvl w:ilvl="8">
      <w:start w:val="0"/>
      <w:numFmt w:val="bullet"/>
      <w:lvlText w:val="•"/>
      <w:lvlJc w:val="left"/>
      <w:pPr>
        <w:ind w:left="2254" w:hanging="181"/>
      </w:pPr>
      <w:rPr>
        <w:rFonts w:hint="default"/>
        <w:lang w:val="en-US" w:eastAsia="en-US" w:bidi="ar-SA"/>
      </w:rPr>
    </w:lvl>
  </w:abstractNum>
  <w:abstractNum w:abstractNumId="224">
    <w:multiLevelType w:val="hybridMultilevel"/>
    <w:lvl w:ilvl="0">
      <w:start w:val="1"/>
      <w:numFmt w:val="lowerLetter"/>
      <w:lvlText w:val="(%1)"/>
      <w:lvlJc w:val="left"/>
      <w:pPr>
        <w:ind w:left="343" w:hanging="236"/>
        <w:jc w:val="left"/>
      </w:pPr>
      <w:rPr>
        <w:rFonts w:hint="default" w:ascii="Bookman Old Style" w:hAnsi="Bookman Old Style" w:eastAsia="Bookman Old Style" w:cs="Bookman Old Style"/>
        <w:b w:val="0"/>
        <w:bCs w:val="0"/>
        <w:i w:val="0"/>
        <w:iCs w:val="0"/>
        <w:spacing w:val="-1"/>
        <w:w w:val="99"/>
        <w:sz w:val="18"/>
        <w:szCs w:val="18"/>
        <w:lang w:val="en-US" w:eastAsia="en-US" w:bidi="ar-SA"/>
      </w:rPr>
    </w:lvl>
    <w:lvl w:ilvl="1">
      <w:start w:val="0"/>
      <w:numFmt w:val="bullet"/>
      <w:lvlText w:val="•"/>
      <w:lvlJc w:val="left"/>
      <w:pPr>
        <w:ind w:left="446" w:hanging="236"/>
      </w:pPr>
      <w:rPr>
        <w:rFonts w:hint="default"/>
        <w:lang w:val="en-US" w:eastAsia="en-US" w:bidi="ar-SA"/>
      </w:rPr>
    </w:lvl>
    <w:lvl w:ilvl="2">
      <w:start w:val="0"/>
      <w:numFmt w:val="bullet"/>
      <w:lvlText w:val="•"/>
      <w:lvlJc w:val="left"/>
      <w:pPr>
        <w:ind w:left="552" w:hanging="236"/>
      </w:pPr>
      <w:rPr>
        <w:rFonts w:hint="default"/>
        <w:lang w:val="en-US" w:eastAsia="en-US" w:bidi="ar-SA"/>
      </w:rPr>
    </w:lvl>
    <w:lvl w:ilvl="3">
      <w:start w:val="0"/>
      <w:numFmt w:val="bullet"/>
      <w:lvlText w:val="•"/>
      <w:lvlJc w:val="left"/>
      <w:pPr>
        <w:ind w:left="658" w:hanging="236"/>
      </w:pPr>
      <w:rPr>
        <w:rFonts w:hint="default"/>
        <w:lang w:val="en-US" w:eastAsia="en-US" w:bidi="ar-SA"/>
      </w:rPr>
    </w:lvl>
    <w:lvl w:ilvl="4">
      <w:start w:val="0"/>
      <w:numFmt w:val="bullet"/>
      <w:lvlText w:val="•"/>
      <w:lvlJc w:val="left"/>
      <w:pPr>
        <w:ind w:left="764" w:hanging="236"/>
      </w:pPr>
      <w:rPr>
        <w:rFonts w:hint="default"/>
        <w:lang w:val="en-US" w:eastAsia="en-US" w:bidi="ar-SA"/>
      </w:rPr>
    </w:lvl>
    <w:lvl w:ilvl="5">
      <w:start w:val="0"/>
      <w:numFmt w:val="bullet"/>
      <w:lvlText w:val="•"/>
      <w:lvlJc w:val="left"/>
      <w:pPr>
        <w:ind w:left="870" w:hanging="236"/>
      </w:pPr>
      <w:rPr>
        <w:rFonts w:hint="default"/>
        <w:lang w:val="en-US" w:eastAsia="en-US" w:bidi="ar-SA"/>
      </w:rPr>
    </w:lvl>
    <w:lvl w:ilvl="6">
      <w:start w:val="0"/>
      <w:numFmt w:val="bullet"/>
      <w:lvlText w:val="•"/>
      <w:lvlJc w:val="left"/>
      <w:pPr>
        <w:ind w:left="976" w:hanging="236"/>
      </w:pPr>
      <w:rPr>
        <w:rFonts w:hint="default"/>
        <w:lang w:val="en-US" w:eastAsia="en-US" w:bidi="ar-SA"/>
      </w:rPr>
    </w:lvl>
    <w:lvl w:ilvl="7">
      <w:start w:val="0"/>
      <w:numFmt w:val="bullet"/>
      <w:lvlText w:val="•"/>
      <w:lvlJc w:val="left"/>
      <w:pPr>
        <w:ind w:left="1082" w:hanging="236"/>
      </w:pPr>
      <w:rPr>
        <w:rFonts w:hint="default"/>
        <w:lang w:val="en-US" w:eastAsia="en-US" w:bidi="ar-SA"/>
      </w:rPr>
    </w:lvl>
    <w:lvl w:ilvl="8">
      <w:start w:val="0"/>
      <w:numFmt w:val="bullet"/>
      <w:lvlText w:val="•"/>
      <w:lvlJc w:val="left"/>
      <w:pPr>
        <w:ind w:left="1188" w:hanging="236"/>
      </w:pPr>
      <w:rPr>
        <w:rFonts w:hint="default"/>
        <w:lang w:val="en-US" w:eastAsia="en-US" w:bidi="ar-SA"/>
      </w:rPr>
    </w:lvl>
  </w:abstractNum>
  <w:abstractNum w:abstractNumId="223">
    <w:multiLevelType w:val="hybridMultilevel"/>
    <w:lvl w:ilvl="0">
      <w:start w:val="1"/>
      <w:numFmt w:val="lowerRoman"/>
      <w:lvlText w:val="(%1)"/>
      <w:lvlJc w:val="left"/>
      <w:pPr>
        <w:ind w:left="379" w:hanging="181"/>
        <w:jc w:val="left"/>
      </w:pPr>
      <w:rPr>
        <w:rFonts w:hint="default" w:ascii="Bookman Old Style" w:hAnsi="Bookman Old Style" w:eastAsia="Bookman Old Style" w:cs="Bookman Old Style"/>
        <w:b w:val="0"/>
        <w:bCs w:val="0"/>
        <w:i w:val="0"/>
        <w:iCs w:val="0"/>
        <w:spacing w:val="0"/>
        <w:w w:val="97"/>
        <w:sz w:val="18"/>
        <w:szCs w:val="18"/>
        <w:lang w:val="en-US" w:eastAsia="en-US" w:bidi="ar-SA"/>
      </w:rPr>
    </w:lvl>
    <w:lvl w:ilvl="1">
      <w:start w:val="0"/>
      <w:numFmt w:val="bullet"/>
      <w:lvlText w:val="•"/>
      <w:lvlJc w:val="left"/>
      <w:pPr>
        <w:ind w:left="609" w:hanging="181"/>
      </w:pPr>
      <w:rPr>
        <w:rFonts w:hint="default"/>
        <w:lang w:val="en-US" w:eastAsia="en-US" w:bidi="ar-SA"/>
      </w:rPr>
    </w:lvl>
    <w:lvl w:ilvl="2">
      <w:start w:val="0"/>
      <w:numFmt w:val="bullet"/>
      <w:lvlText w:val="•"/>
      <w:lvlJc w:val="left"/>
      <w:pPr>
        <w:ind w:left="839" w:hanging="181"/>
      </w:pPr>
      <w:rPr>
        <w:rFonts w:hint="default"/>
        <w:lang w:val="en-US" w:eastAsia="en-US" w:bidi="ar-SA"/>
      </w:rPr>
    </w:lvl>
    <w:lvl w:ilvl="3">
      <w:start w:val="0"/>
      <w:numFmt w:val="bullet"/>
      <w:lvlText w:val="•"/>
      <w:lvlJc w:val="left"/>
      <w:pPr>
        <w:ind w:left="1069" w:hanging="181"/>
      </w:pPr>
      <w:rPr>
        <w:rFonts w:hint="default"/>
        <w:lang w:val="en-US" w:eastAsia="en-US" w:bidi="ar-SA"/>
      </w:rPr>
    </w:lvl>
    <w:lvl w:ilvl="4">
      <w:start w:val="0"/>
      <w:numFmt w:val="bullet"/>
      <w:lvlText w:val="•"/>
      <w:lvlJc w:val="left"/>
      <w:pPr>
        <w:ind w:left="1299" w:hanging="181"/>
      </w:pPr>
      <w:rPr>
        <w:rFonts w:hint="default"/>
        <w:lang w:val="en-US" w:eastAsia="en-US" w:bidi="ar-SA"/>
      </w:rPr>
    </w:lvl>
    <w:lvl w:ilvl="5">
      <w:start w:val="0"/>
      <w:numFmt w:val="bullet"/>
      <w:lvlText w:val="•"/>
      <w:lvlJc w:val="left"/>
      <w:pPr>
        <w:ind w:left="1529" w:hanging="181"/>
      </w:pPr>
      <w:rPr>
        <w:rFonts w:hint="default"/>
        <w:lang w:val="en-US" w:eastAsia="en-US" w:bidi="ar-SA"/>
      </w:rPr>
    </w:lvl>
    <w:lvl w:ilvl="6">
      <w:start w:val="0"/>
      <w:numFmt w:val="bullet"/>
      <w:lvlText w:val="•"/>
      <w:lvlJc w:val="left"/>
      <w:pPr>
        <w:ind w:left="1758" w:hanging="181"/>
      </w:pPr>
      <w:rPr>
        <w:rFonts w:hint="default"/>
        <w:lang w:val="en-US" w:eastAsia="en-US" w:bidi="ar-SA"/>
      </w:rPr>
    </w:lvl>
    <w:lvl w:ilvl="7">
      <w:start w:val="0"/>
      <w:numFmt w:val="bullet"/>
      <w:lvlText w:val="•"/>
      <w:lvlJc w:val="left"/>
      <w:pPr>
        <w:ind w:left="1988" w:hanging="181"/>
      </w:pPr>
      <w:rPr>
        <w:rFonts w:hint="default"/>
        <w:lang w:val="en-US" w:eastAsia="en-US" w:bidi="ar-SA"/>
      </w:rPr>
    </w:lvl>
    <w:lvl w:ilvl="8">
      <w:start w:val="0"/>
      <w:numFmt w:val="bullet"/>
      <w:lvlText w:val="•"/>
      <w:lvlJc w:val="left"/>
      <w:pPr>
        <w:ind w:left="2218" w:hanging="181"/>
      </w:pPr>
      <w:rPr>
        <w:rFonts w:hint="default"/>
        <w:lang w:val="en-US" w:eastAsia="en-US" w:bidi="ar-SA"/>
      </w:rPr>
    </w:lvl>
  </w:abstractNum>
  <w:abstractNum w:abstractNumId="222">
    <w:multiLevelType w:val="hybridMultilevel"/>
    <w:lvl w:ilvl="0">
      <w:start w:val="1"/>
      <w:numFmt w:val="lowerRoman"/>
      <w:lvlText w:val="(%1)"/>
      <w:lvlJc w:val="left"/>
      <w:pPr>
        <w:ind w:left="379" w:hanging="181"/>
        <w:jc w:val="left"/>
      </w:pPr>
      <w:rPr>
        <w:rFonts w:hint="default" w:ascii="Bookman Old Style" w:hAnsi="Bookman Old Style" w:eastAsia="Bookman Old Style" w:cs="Bookman Old Style"/>
        <w:b w:val="0"/>
        <w:bCs w:val="0"/>
        <w:i w:val="0"/>
        <w:iCs w:val="0"/>
        <w:spacing w:val="0"/>
        <w:w w:val="97"/>
        <w:sz w:val="18"/>
        <w:szCs w:val="18"/>
        <w:lang w:val="en-US" w:eastAsia="en-US" w:bidi="ar-SA"/>
      </w:rPr>
    </w:lvl>
    <w:lvl w:ilvl="1">
      <w:start w:val="0"/>
      <w:numFmt w:val="bullet"/>
      <w:lvlText w:val="•"/>
      <w:lvlJc w:val="left"/>
      <w:pPr>
        <w:ind w:left="609" w:hanging="181"/>
      </w:pPr>
      <w:rPr>
        <w:rFonts w:hint="default"/>
        <w:lang w:val="en-US" w:eastAsia="en-US" w:bidi="ar-SA"/>
      </w:rPr>
    </w:lvl>
    <w:lvl w:ilvl="2">
      <w:start w:val="0"/>
      <w:numFmt w:val="bullet"/>
      <w:lvlText w:val="•"/>
      <w:lvlJc w:val="left"/>
      <w:pPr>
        <w:ind w:left="839" w:hanging="181"/>
      </w:pPr>
      <w:rPr>
        <w:rFonts w:hint="default"/>
        <w:lang w:val="en-US" w:eastAsia="en-US" w:bidi="ar-SA"/>
      </w:rPr>
    </w:lvl>
    <w:lvl w:ilvl="3">
      <w:start w:val="0"/>
      <w:numFmt w:val="bullet"/>
      <w:lvlText w:val="•"/>
      <w:lvlJc w:val="left"/>
      <w:pPr>
        <w:ind w:left="1069" w:hanging="181"/>
      </w:pPr>
      <w:rPr>
        <w:rFonts w:hint="default"/>
        <w:lang w:val="en-US" w:eastAsia="en-US" w:bidi="ar-SA"/>
      </w:rPr>
    </w:lvl>
    <w:lvl w:ilvl="4">
      <w:start w:val="0"/>
      <w:numFmt w:val="bullet"/>
      <w:lvlText w:val="•"/>
      <w:lvlJc w:val="left"/>
      <w:pPr>
        <w:ind w:left="1299" w:hanging="181"/>
      </w:pPr>
      <w:rPr>
        <w:rFonts w:hint="default"/>
        <w:lang w:val="en-US" w:eastAsia="en-US" w:bidi="ar-SA"/>
      </w:rPr>
    </w:lvl>
    <w:lvl w:ilvl="5">
      <w:start w:val="0"/>
      <w:numFmt w:val="bullet"/>
      <w:lvlText w:val="•"/>
      <w:lvlJc w:val="left"/>
      <w:pPr>
        <w:ind w:left="1529" w:hanging="181"/>
      </w:pPr>
      <w:rPr>
        <w:rFonts w:hint="default"/>
        <w:lang w:val="en-US" w:eastAsia="en-US" w:bidi="ar-SA"/>
      </w:rPr>
    </w:lvl>
    <w:lvl w:ilvl="6">
      <w:start w:val="0"/>
      <w:numFmt w:val="bullet"/>
      <w:lvlText w:val="•"/>
      <w:lvlJc w:val="left"/>
      <w:pPr>
        <w:ind w:left="1758" w:hanging="181"/>
      </w:pPr>
      <w:rPr>
        <w:rFonts w:hint="default"/>
        <w:lang w:val="en-US" w:eastAsia="en-US" w:bidi="ar-SA"/>
      </w:rPr>
    </w:lvl>
    <w:lvl w:ilvl="7">
      <w:start w:val="0"/>
      <w:numFmt w:val="bullet"/>
      <w:lvlText w:val="•"/>
      <w:lvlJc w:val="left"/>
      <w:pPr>
        <w:ind w:left="1988" w:hanging="181"/>
      </w:pPr>
      <w:rPr>
        <w:rFonts w:hint="default"/>
        <w:lang w:val="en-US" w:eastAsia="en-US" w:bidi="ar-SA"/>
      </w:rPr>
    </w:lvl>
    <w:lvl w:ilvl="8">
      <w:start w:val="0"/>
      <w:numFmt w:val="bullet"/>
      <w:lvlText w:val="•"/>
      <w:lvlJc w:val="left"/>
      <w:pPr>
        <w:ind w:left="2218" w:hanging="181"/>
      </w:pPr>
      <w:rPr>
        <w:rFonts w:hint="default"/>
        <w:lang w:val="en-US" w:eastAsia="en-US" w:bidi="ar-SA"/>
      </w:rPr>
    </w:lvl>
  </w:abstractNum>
  <w:abstractNum w:abstractNumId="221">
    <w:multiLevelType w:val="hybridMultilevel"/>
    <w:lvl w:ilvl="0">
      <w:start w:val="1"/>
      <w:numFmt w:val="lowerRoman"/>
      <w:lvlText w:val="(%1)"/>
      <w:lvlJc w:val="left"/>
      <w:pPr>
        <w:ind w:left="379" w:hanging="374"/>
        <w:jc w:val="left"/>
      </w:pPr>
      <w:rPr>
        <w:rFonts w:hint="default" w:ascii="Bookman Old Style" w:hAnsi="Bookman Old Style" w:eastAsia="Bookman Old Style" w:cs="Bookman Old Style"/>
        <w:b w:val="0"/>
        <w:bCs w:val="0"/>
        <w:i w:val="0"/>
        <w:iCs w:val="0"/>
        <w:spacing w:val="0"/>
        <w:w w:val="99"/>
        <w:sz w:val="20"/>
        <w:szCs w:val="20"/>
        <w:lang w:val="en-US" w:eastAsia="en-US" w:bidi="ar-SA"/>
      </w:rPr>
    </w:lvl>
    <w:lvl w:ilvl="1">
      <w:start w:val="0"/>
      <w:numFmt w:val="bullet"/>
      <w:lvlText w:val="•"/>
      <w:lvlJc w:val="left"/>
      <w:pPr>
        <w:ind w:left="612" w:hanging="374"/>
      </w:pPr>
      <w:rPr>
        <w:rFonts w:hint="default"/>
        <w:lang w:val="en-US" w:eastAsia="en-US" w:bidi="ar-SA"/>
      </w:rPr>
    </w:lvl>
    <w:lvl w:ilvl="2">
      <w:start w:val="0"/>
      <w:numFmt w:val="bullet"/>
      <w:lvlText w:val="•"/>
      <w:lvlJc w:val="left"/>
      <w:pPr>
        <w:ind w:left="845" w:hanging="374"/>
      </w:pPr>
      <w:rPr>
        <w:rFonts w:hint="default"/>
        <w:lang w:val="en-US" w:eastAsia="en-US" w:bidi="ar-SA"/>
      </w:rPr>
    </w:lvl>
    <w:lvl w:ilvl="3">
      <w:start w:val="0"/>
      <w:numFmt w:val="bullet"/>
      <w:lvlText w:val="•"/>
      <w:lvlJc w:val="left"/>
      <w:pPr>
        <w:ind w:left="1078" w:hanging="374"/>
      </w:pPr>
      <w:rPr>
        <w:rFonts w:hint="default"/>
        <w:lang w:val="en-US" w:eastAsia="en-US" w:bidi="ar-SA"/>
      </w:rPr>
    </w:lvl>
    <w:lvl w:ilvl="4">
      <w:start w:val="0"/>
      <w:numFmt w:val="bullet"/>
      <w:lvlText w:val="•"/>
      <w:lvlJc w:val="left"/>
      <w:pPr>
        <w:ind w:left="1310" w:hanging="374"/>
      </w:pPr>
      <w:rPr>
        <w:rFonts w:hint="default"/>
        <w:lang w:val="en-US" w:eastAsia="en-US" w:bidi="ar-SA"/>
      </w:rPr>
    </w:lvl>
    <w:lvl w:ilvl="5">
      <w:start w:val="0"/>
      <w:numFmt w:val="bullet"/>
      <w:lvlText w:val="•"/>
      <w:lvlJc w:val="left"/>
      <w:pPr>
        <w:ind w:left="1543" w:hanging="374"/>
      </w:pPr>
      <w:rPr>
        <w:rFonts w:hint="default"/>
        <w:lang w:val="en-US" w:eastAsia="en-US" w:bidi="ar-SA"/>
      </w:rPr>
    </w:lvl>
    <w:lvl w:ilvl="6">
      <w:start w:val="0"/>
      <w:numFmt w:val="bullet"/>
      <w:lvlText w:val="•"/>
      <w:lvlJc w:val="left"/>
      <w:pPr>
        <w:ind w:left="1776" w:hanging="374"/>
      </w:pPr>
      <w:rPr>
        <w:rFonts w:hint="default"/>
        <w:lang w:val="en-US" w:eastAsia="en-US" w:bidi="ar-SA"/>
      </w:rPr>
    </w:lvl>
    <w:lvl w:ilvl="7">
      <w:start w:val="0"/>
      <w:numFmt w:val="bullet"/>
      <w:lvlText w:val="•"/>
      <w:lvlJc w:val="left"/>
      <w:pPr>
        <w:ind w:left="2008" w:hanging="374"/>
      </w:pPr>
      <w:rPr>
        <w:rFonts w:hint="default"/>
        <w:lang w:val="en-US" w:eastAsia="en-US" w:bidi="ar-SA"/>
      </w:rPr>
    </w:lvl>
    <w:lvl w:ilvl="8">
      <w:start w:val="0"/>
      <w:numFmt w:val="bullet"/>
      <w:lvlText w:val="•"/>
      <w:lvlJc w:val="left"/>
      <w:pPr>
        <w:ind w:left="2241" w:hanging="374"/>
      </w:pPr>
      <w:rPr>
        <w:rFonts w:hint="default"/>
        <w:lang w:val="en-US" w:eastAsia="en-US" w:bidi="ar-SA"/>
      </w:rPr>
    </w:lvl>
  </w:abstractNum>
  <w:abstractNum w:abstractNumId="220">
    <w:multiLevelType w:val="hybridMultilevel"/>
    <w:lvl w:ilvl="0">
      <w:start w:val="2"/>
      <w:numFmt w:val="lowerRoman"/>
      <w:lvlText w:val="%1."/>
      <w:lvlJc w:val="left"/>
      <w:pPr>
        <w:ind w:left="378" w:hanging="583"/>
        <w:jc w:val="left"/>
      </w:pPr>
      <w:rPr>
        <w:rFonts w:hint="default" w:ascii="Bookman Old Style" w:hAnsi="Bookman Old Style" w:eastAsia="Bookman Old Style" w:cs="Bookman Old Style"/>
        <w:b w:val="0"/>
        <w:bCs w:val="0"/>
        <w:i w:val="0"/>
        <w:iCs w:val="0"/>
        <w:spacing w:val="0"/>
        <w:w w:val="99"/>
        <w:sz w:val="20"/>
        <w:szCs w:val="20"/>
        <w:lang w:val="en-US" w:eastAsia="en-US" w:bidi="ar-SA"/>
      </w:rPr>
    </w:lvl>
    <w:lvl w:ilvl="1">
      <w:start w:val="0"/>
      <w:numFmt w:val="bullet"/>
      <w:lvlText w:val="•"/>
      <w:lvlJc w:val="left"/>
      <w:pPr>
        <w:ind w:left="652" w:hanging="583"/>
      </w:pPr>
      <w:rPr>
        <w:rFonts w:hint="default"/>
        <w:lang w:val="en-US" w:eastAsia="en-US" w:bidi="ar-SA"/>
      </w:rPr>
    </w:lvl>
    <w:lvl w:ilvl="2">
      <w:start w:val="0"/>
      <w:numFmt w:val="bullet"/>
      <w:lvlText w:val="•"/>
      <w:lvlJc w:val="left"/>
      <w:pPr>
        <w:ind w:left="925" w:hanging="583"/>
      </w:pPr>
      <w:rPr>
        <w:rFonts w:hint="default"/>
        <w:lang w:val="en-US" w:eastAsia="en-US" w:bidi="ar-SA"/>
      </w:rPr>
    </w:lvl>
    <w:lvl w:ilvl="3">
      <w:start w:val="0"/>
      <w:numFmt w:val="bullet"/>
      <w:lvlText w:val="•"/>
      <w:lvlJc w:val="left"/>
      <w:pPr>
        <w:ind w:left="1197" w:hanging="583"/>
      </w:pPr>
      <w:rPr>
        <w:rFonts w:hint="default"/>
        <w:lang w:val="en-US" w:eastAsia="en-US" w:bidi="ar-SA"/>
      </w:rPr>
    </w:lvl>
    <w:lvl w:ilvl="4">
      <w:start w:val="0"/>
      <w:numFmt w:val="bullet"/>
      <w:lvlText w:val="•"/>
      <w:lvlJc w:val="left"/>
      <w:pPr>
        <w:ind w:left="1470" w:hanging="583"/>
      </w:pPr>
      <w:rPr>
        <w:rFonts w:hint="default"/>
        <w:lang w:val="en-US" w:eastAsia="en-US" w:bidi="ar-SA"/>
      </w:rPr>
    </w:lvl>
    <w:lvl w:ilvl="5">
      <w:start w:val="0"/>
      <w:numFmt w:val="bullet"/>
      <w:lvlText w:val="•"/>
      <w:lvlJc w:val="left"/>
      <w:pPr>
        <w:ind w:left="1743" w:hanging="583"/>
      </w:pPr>
      <w:rPr>
        <w:rFonts w:hint="default"/>
        <w:lang w:val="en-US" w:eastAsia="en-US" w:bidi="ar-SA"/>
      </w:rPr>
    </w:lvl>
    <w:lvl w:ilvl="6">
      <w:start w:val="0"/>
      <w:numFmt w:val="bullet"/>
      <w:lvlText w:val="•"/>
      <w:lvlJc w:val="left"/>
      <w:pPr>
        <w:ind w:left="2015" w:hanging="583"/>
      </w:pPr>
      <w:rPr>
        <w:rFonts w:hint="default"/>
        <w:lang w:val="en-US" w:eastAsia="en-US" w:bidi="ar-SA"/>
      </w:rPr>
    </w:lvl>
    <w:lvl w:ilvl="7">
      <w:start w:val="0"/>
      <w:numFmt w:val="bullet"/>
      <w:lvlText w:val="•"/>
      <w:lvlJc w:val="left"/>
      <w:pPr>
        <w:ind w:left="2288" w:hanging="583"/>
      </w:pPr>
      <w:rPr>
        <w:rFonts w:hint="default"/>
        <w:lang w:val="en-US" w:eastAsia="en-US" w:bidi="ar-SA"/>
      </w:rPr>
    </w:lvl>
    <w:lvl w:ilvl="8">
      <w:start w:val="0"/>
      <w:numFmt w:val="bullet"/>
      <w:lvlText w:val="•"/>
      <w:lvlJc w:val="left"/>
      <w:pPr>
        <w:ind w:left="2560" w:hanging="583"/>
      </w:pPr>
      <w:rPr>
        <w:rFonts w:hint="default"/>
        <w:lang w:val="en-US" w:eastAsia="en-US" w:bidi="ar-SA"/>
      </w:rPr>
    </w:lvl>
  </w:abstractNum>
  <w:abstractNum w:abstractNumId="219">
    <w:multiLevelType w:val="hybridMultilevel"/>
    <w:lvl w:ilvl="0">
      <w:start w:val="1"/>
      <w:numFmt w:val="lowerLetter"/>
      <w:lvlText w:val="%1)"/>
      <w:lvlJc w:val="left"/>
      <w:pPr>
        <w:ind w:left="594" w:hanging="504"/>
        <w:jc w:val="left"/>
      </w:pPr>
      <w:rPr>
        <w:rFonts w:hint="default" w:ascii="Bookman Old Style" w:hAnsi="Bookman Old Style" w:eastAsia="Bookman Old Style" w:cs="Bookman Old Style"/>
        <w:b w:val="0"/>
        <w:bCs w:val="0"/>
        <w:i w:val="0"/>
        <w:iCs w:val="0"/>
        <w:spacing w:val="0"/>
        <w:w w:val="99"/>
        <w:sz w:val="20"/>
        <w:szCs w:val="20"/>
        <w:lang w:val="en-US" w:eastAsia="en-US" w:bidi="ar-SA"/>
      </w:rPr>
    </w:lvl>
    <w:lvl w:ilvl="1">
      <w:start w:val="0"/>
      <w:numFmt w:val="bullet"/>
      <w:lvlText w:val="•"/>
      <w:lvlJc w:val="left"/>
      <w:pPr>
        <w:ind w:left="824" w:hanging="504"/>
      </w:pPr>
      <w:rPr>
        <w:rFonts w:hint="default"/>
        <w:lang w:val="en-US" w:eastAsia="en-US" w:bidi="ar-SA"/>
      </w:rPr>
    </w:lvl>
    <w:lvl w:ilvl="2">
      <w:start w:val="0"/>
      <w:numFmt w:val="bullet"/>
      <w:lvlText w:val="•"/>
      <w:lvlJc w:val="left"/>
      <w:pPr>
        <w:ind w:left="1049" w:hanging="504"/>
      </w:pPr>
      <w:rPr>
        <w:rFonts w:hint="default"/>
        <w:lang w:val="en-US" w:eastAsia="en-US" w:bidi="ar-SA"/>
      </w:rPr>
    </w:lvl>
    <w:lvl w:ilvl="3">
      <w:start w:val="0"/>
      <w:numFmt w:val="bullet"/>
      <w:lvlText w:val="•"/>
      <w:lvlJc w:val="left"/>
      <w:pPr>
        <w:ind w:left="1273" w:hanging="504"/>
      </w:pPr>
      <w:rPr>
        <w:rFonts w:hint="default"/>
        <w:lang w:val="en-US" w:eastAsia="en-US" w:bidi="ar-SA"/>
      </w:rPr>
    </w:lvl>
    <w:lvl w:ilvl="4">
      <w:start w:val="0"/>
      <w:numFmt w:val="bullet"/>
      <w:lvlText w:val="•"/>
      <w:lvlJc w:val="left"/>
      <w:pPr>
        <w:ind w:left="1498" w:hanging="504"/>
      </w:pPr>
      <w:rPr>
        <w:rFonts w:hint="default"/>
        <w:lang w:val="en-US" w:eastAsia="en-US" w:bidi="ar-SA"/>
      </w:rPr>
    </w:lvl>
    <w:lvl w:ilvl="5">
      <w:start w:val="0"/>
      <w:numFmt w:val="bullet"/>
      <w:lvlText w:val="•"/>
      <w:lvlJc w:val="left"/>
      <w:pPr>
        <w:ind w:left="1723" w:hanging="504"/>
      </w:pPr>
      <w:rPr>
        <w:rFonts w:hint="default"/>
        <w:lang w:val="en-US" w:eastAsia="en-US" w:bidi="ar-SA"/>
      </w:rPr>
    </w:lvl>
    <w:lvl w:ilvl="6">
      <w:start w:val="0"/>
      <w:numFmt w:val="bullet"/>
      <w:lvlText w:val="•"/>
      <w:lvlJc w:val="left"/>
      <w:pPr>
        <w:ind w:left="1947" w:hanging="504"/>
      </w:pPr>
      <w:rPr>
        <w:rFonts w:hint="default"/>
        <w:lang w:val="en-US" w:eastAsia="en-US" w:bidi="ar-SA"/>
      </w:rPr>
    </w:lvl>
    <w:lvl w:ilvl="7">
      <w:start w:val="0"/>
      <w:numFmt w:val="bullet"/>
      <w:lvlText w:val="•"/>
      <w:lvlJc w:val="left"/>
      <w:pPr>
        <w:ind w:left="2172" w:hanging="504"/>
      </w:pPr>
      <w:rPr>
        <w:rFonts w:hint="default"/>
        <w:lang w:val="en-US" w:eastAsia="en-US" w:bidi="ar-SA"/>
      </w:rPr>
    </w:lvl>
    <w:lvl w:ilvl="8">
      <w:start w:val="0"/>
      <w:numFmt w:val="bullet"/>
      <w:lvlText w:val="•"/>
      <w:lvlJc w:val="left"/>
      <w:pPr>
        <w:ind w:left="2396" w:hanging="504"/>
      </w:pPr>
      <w:rPr>
        <w:rFonts w:hint="default"/>
        <w:lang w:val="en-US" w:eastAsia="en-US" w:bidi="ar-SA"/>
      </w:rPr>
    </w:lvl>
  </w:abstractNum>
  <w:abstractNum w:abstractNumId="218">
    <w:multiLevelType w:val="hybridMultilevel"/>
    <w:lvl w:ilvl="0">
      <w:start w:val="2"/>
      <w:numFmt w:val="decimal"/>
      <w:lvlText w:val="(%1)"/>
      <w:lvlJc w:val="left"/>
      <w:pPr>
        <w:ind w:left="1433" w:hanging="66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14" w:hanging="664"/>
      </w:pPr>
      <w:rPr>
        <w:rFonts w:hint="default"/>
        <w:lang w:val="en-US" w:eastAsia="en-US" w:bidi="ar-SA"/>
      </w:rPr>
    </w:lvl>
    <w:lvl w:ilvl="2">
      <w:start w:val="0"/>
      <w:numFmt w:val="bullet"/>
      <w:lvlText w:val="•"/>
      <w:lvlJc w:val="left"/>
      <w:pPr>
        <w:ind w:left="3389" w:hanging="664"/>
      </w:pPr>
      <w:rPr>
        <w:rFonts w:hint="default"/>
        <w:lang w:val="en-US" w:eastAsia="en-US" w:bidi="ar-SA"/>
      </w:rPr>
    </w:lvl>
    <w:lvl w:ilvl="3">
      <w:start w:val="0"/>
      <w:numFmt w:val="bullet"/>
      <w:lvlText w:val="•"/>
      <w:lvlJc w:val="left"/>
      <w:pPr>
        <w:ind w:left="4363" w:hanging="664"/>
      </w:pPr>
      <w:rPr>
        <w:rFonts w:hint="default"/>
        <w:lang w:val="en-US" w:eastAsia="en-US" w:bidi="ar-SA"/>
      </w:rPr>
    </w:lvl>
    <w:lvl w:ilvl="4">
      <w:start w:val="0"/>
      <w:numFmt w:val="bullet"/>
      <w:lvlText w:val="•"/>
      <w:lvlJc w:val="left"/>
      <w:pPr>
        <w:ind w:left="5338" w:hanging="664"/>
      </w:pPr>
      <w:rPr>
        <w:rFonts w:hint="default"/>
        <w:lang w:val="en-US" w:eastAsia="en-US" w:bidi="ar-SA"/>
      </w:rPr>
    </w:lvl>
    <w:lvl w:ilvl="5">
      <w:start w:val="0"/>
      <w:numFmt w:val="bullet"/>
      <w:lvlText w:val="•"/>
      <w:lvlJc w:val="left"/>
      <w:pPr>
        <w:ind w:left="6313" w:hanging="664"/>
      </w:pPr>
      <w:rPr>
        <w:rFonts w:hint="default"/>
        <w:lang w:val="en-US" w:eastAsia="en-US" w:bidi="ar-SA"/>
      </w:rPr>
    </w:lvl>
    <w:lvl w:ilvl="6">
      <w:start w:val="0"/>
      <w:numFmt w:val="bullet"/>
      <w:lvlText w:val="•"/>
      <w:lvlJc w:val="left"/>
      <w:pPr>
        <w:ind w:left="7287" w:hanging="664"/>
      </w:pPr>
      <w:rPr>
        <w:rFonts w:hint="default"/>
        <w:lang w:val="en-US" w:eastAsia="en-US" w:bidi="ar-SA"/>
      </w:rPr>
    </w:lvl>
    <w:lvl w:ilvl="7">
      <w:start w:val="0"/>
      <w:numFmt w:val="bullet"/>
      <w:lvlText w:val="•"/>
      <w:lvlJc w:val="left"/>
      <w:pPr>
        <w:ind w:left="8262" w:hanging="664"/>
      </w:pPr>
      <w:rPr>
        <w:rFonts w:hint="default"/>
        <w:lang w:val="en-US" w:eastAsia="en-US" w:bidi="ar-SA"/>
      </w:rPr>
    </w:lvl>
    <w:lvl w:ilvl="8">
      <w:start w:val="0"/>
      <w:numFmt w:val="bullet"/>
      <w:lvlText w:val="•"/>
      <w:lvlJc w:val="left"/>
      <w:pPr>
        <w:ind w:left="9237" w:hanging="664"/>
      </w:pPr>
      <w:rPr>
        <w:rFonts w:hint="default"/>
        <w:lang w:val="en-US" w:eastAsia="en-US" w:bidi="ar-SA"/>
      </w:rPr>
    </w:lvl>
  </w:abstractNum>
  <w:abstractNum w:abstractNumId="217">
    <w:multiLevelType w:val="hybridMultilevel"/>
    <w:lvl w:ilvl="0">
      <w:start w:val="1"/>
      <w:numFmt w:val="lowerLetter"/>
      <w:lvlText w:val="(%1)"/>
      <w:lvlJc w:val="left"/>
      <w:pPr>
        <w:ind w:left="1831" w:hanging="39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1766" w:hanging="334"/>
        <w:jc w:val="left"/>
      </w:pPr>
      <w:rPr>
        <w:rFonts w:hint="default"/>
        <w:spacing w:val="0"/>
        <w:w w:val="100"/>
        <w:lang w:val="en-US" w:eastAsia="en-US" w:bidi="ar-SA"/>
      </w:rPr>
    </w:lvl>
    <w:lvl w:ilvl="2">
      <w:start w:val="0"/>
      <w:numFmt w:val="bullet"/>
      <w:lvlText w:val="•"/>
      <w:lvlJc w:val="left"/>
      <w:pPr>
        <w:ind w:left="2878" w:hanging="334"/>
      </w:pPr>
      <w:rPr>
        <w:rFonts w:hint="default"/>
        <w:lang w:val="en-US" w:eastAsia="en-US" w:bidi="ar-SA"/>
      </w:rPr>
    </w:lvl>
    <w:lvl w:ilvl="3">
      <w:start w:val="0"/>
      <w:numFmt w:val="bullet"/>
      <w:lvlText w:val="•"/>
      <w:lvlJc w:val="left"/>
      <w:pPr>
        <w:ind w:left="3916" w:hanging="334"/>
      </w:pPr>
      <w:rPr>
        <w:rFonts w:hint="default"/>
        <w:lang w:val="en-US" w:eastAsia="en-US" w:bidi="ar-SA"/>
      </w:rPr>
    </w:lvl>
    <w:lvl w:ilvl="4">
      <w:start w:val="0"/>
      <w:numFmt w:val="bullet"/>
      <w:lvlText w:val="•"/>
      <w:lvlJc w:val="left"/>
      <w:pPr>
        <w:ind w:left="4955" w:hanging="334"/>
      </w:pPr>
      <w:rPr>
        <w:rFonts w:hint="default"/>
        <w:lang w:val="en-US" w:eastAsia="en-US" w:bidi="ar-SA"/>
      </w:rPr>
    </w:lvl>
    <w:lvl w:ilvl="5">
      <w:start w:val="0"/>
      <w:numFmt w:val="bullet"/>
      <w:lvlText w:val="•"/>
      <w:lvlJc w:val="left"/>
      <w:pPr>
        <w:ind w:left="5993" w:hanging="334"/>
      </w:pPr>
      <w:rPr>
        <w:rFonts w:hint="default"/>
        <w:lang w:val="en-US" w:eastAsia="en-US" w:bidi="ar-SA"/>
      </w:rPr>
    </w:lvl>
    <w:lvl w:ilvl="6">
      <w:start w:val="0"/>
      <w:numFmt w:val="bullet"/>
      <w:lvlText w:val="•"/>
      <w:lvlJc w:val="left"/>
      <w:pPr>
        <w:ind w:left="7032" w:hanging="334"/>
      </w:pPr>
      <w:rPr>
        <w:rFonts w:hint="default"/>
        <w:lang w:val="en-US" w:eastAsia="en-US" w:bidi="ar-SA"/>
      </w:rPr>
    </w:lvl>
    <w:lvl w:ilvl="7">
      <w:start w:val="0"/>
      <w:numFmt w:val="bullet"/>
      <w:lvlText w:val="•"/>
      <w:lvlJc w:val="left"/>
      <w:pPr>
        <w:ind w:left="8070" w:hanging="334"/>
      </w:pPr>
      <w:rPr>
        <w:rFonts w:hint="default"/>
        <w:lang w:val="en-US" w:eastAsia="en-US" w:bidi="ar-SA"/>
      </w:rPr>
    </w:lvl>
    <w:lvl w:ilvl="8">
      <w:start w:val="0"/>
      <w:numFmt w:val="bullet"/>
      <w:lvlText w:val="•"/>
      <w:lvlJc w:val="left"/>
      <w:pPr>
        <w:ind w:left="9109" w:hanging="334"/>
      </w:pPr>
      <w:rPr>
        <w:rFonts w:hint="default"/>
        <w:lang w:val="en-US" w:eastAsia="en-US" w:bidi="ar-SA"/>
      </w:rPr>
    </w:lvl>
  </w:abstractNum>
  <w:abstractNum w:abstractNumId="216">
    <w:multiLevelType w:val="hybridMultilevel"/>
    <w:lvl w:ilvl="0">
      <w:start w:val="8"/>
      <w:numFmt w:val="decimal"/>
      <w:lvlText w:val="%1)"/>
      <w:lvlJc w:val="left"/>
      <w:pPr>
        <w:ind w:left="1342" w:hanging="315"/>
        <w:jc w:val="left"/>
      </w:pPr>
      <w:rPr>
        <w:rFonts w:hint="default"/>
        <w:spacing w:val="0"/>
        <w:w w:val="100"/>
        <w:lang w:val="en-US" w:eastAsia="en-US" w:bidi="ar-SA"/>
      </w:rPr>
    </w:lvl>
    <w:lvl w:ilvl="1">
      <w:start w:val="0"/>
      <w:numFmt w:val="bullet"/>
      <w:lvlText w:val="•"/>
      <w:lvlJc w:val="left"/>
      <w:pPr>
        <w:ind w:left="2324" w:hanging="315"/>
      </w:pPr>
      <w:rPr>
        <w:rFonts w:hint="default"/>
        <w:lang w:val="en-US" w:eastAsia="en-US" w:bidi="ar-SA"/>
      </w:rPr>
    </w:lvl>
    <w:lvl w:ilvl="2">
      <w:start w:val="0"/>
      <w:numFmt w:val="bullet"/>
      <w:lvlText w:val="•"/>
      <w:lvlJc w:val="left"/>
      <w:pPr>
        <w:ind w:left="3309" w:hanging="315"/>
      </w:pPr>
      <w:rPr>
        <w:rFonts w:hint="default"/>
        <w:lang w:val="en-US" w:eastAsia="en-US" w:bidi="ar-SA"/>
      </w:rPr>
    </w:lvl>
    <w:lvl w:ilvl="3">
      <w:start w:val="0"/>
      <w:numFmt w:val="bullet"/>
      <w:lvlText w:val="•"/>
      <w:lvlJc w:val="left"/>
      <w:pPr>
        <w:ind w:left="4293" w:hanging="315"/>
      </w:pPr>
      <w:rPr>
        <w:rFonts w:hint="default"/>
        <w:lang w:val="en-US" w:eastAsia="en-US" w:bidi="ar-SA"/>
      </w:rPr>
    </w:lvl>
    <w:lvl w:ilvl="4">
      <w:start w:val="0"/>
      <w:numFmt w:val="bullet"/>
      <w:lvlText w:val="•"/>
      <w:lvlJc w:val="left"/>
      <w:pPr>
        <w:ind w:left="5278" w:hanging="315"/>
      </w:pPr>
      <w:rPr>
        <w:rFonts w:hint="default"/>
        <w:lang w:val="en-US" w:eastAsia="en-US" w:bidi="ar-SA"/>
      </w:rPr>
    </w:lvl>
    <w:lvl w:ilvl="5">
      <w:start w:val="0"/>
      <w:numFmt w:val="bullet"/>
      <w:lvlText w:val="•"/>
      <w:lvlJc w:val="left"/>
      <w:pPr>
        <w:ind w:left="6263" w:hanging="315"/>
      </w:pPr>
      <w:rPr>
        <w:rFonts w:hint="default"/>
        <w:lang w:val="en-US" w:eastAsia="en-US" w:bidi="ar-SA"/>
      </w:rPr>
    </w:lvl>
    <w:lvl w:ilvl="6">
      <w:start w:val="0"/>
      <w:numFmt w:val="bullet"/>
      <w:lvlText w:val="•"/>
      <w:lvlJc w:val="left"/>
      <w:pPr>
        <w:ind w:left="7247" w:hanging="315"/>
      </w:pPr>
      <w:rPr>
        <w:rFonts w:hint="default"/>
        <w:lang w:val="en-US" w:eastAsia="en-US" w:bidi="ar-SA"/>
      </w:rPr>
    </w:lvl>
    <w:lvl w:ilvl="7">
      <w:start w:val="0"/>
      <w:numFmt w:val="bullet"/>
      <w:lvlText w:val="•"/>
      <w:lvlJc w:val="left"/>
      <w:pPr>
        <w:ind w:left="8232" w:hanging="315"/>
      </w:pPr>
      <w:rPr>
        <w:rFonts w:hint="default"/>
        <w:lang w:val="en-US" w:eastAsia="en-US" w:bidi="ar-SA"/>
      </w:rPr>
    </w:lvl>
    <w:lvl w:ilvl="8">
      <w:start w:val="0"/>
      <w:numFmt w:val="bullet"/>
      <w:lvlText w:val="•"/>
      <w:lvlJc w:val="left"/>
      <w:pPr>
        <w:ind w:left="9217" w:hanging="315"/>
      </w:pPr>
      <w:rPr>
        <w:rFonts w:hint="default"/>
        <w:lang w:val="en-US" w:eastAsia="en-US" w:bidi="ar-SA"/>
      </w:rPr>
    </w:lvl>
  </w:abstractNum>
  <w:abstractNum w:abstractNumId="215">
    <w:multiLevelType w:val="hybridMultilevel"/>
    <w:lvl w:ilvl="0">
      <w:start w:val="1"/>
      <w:numFmt w:val="decimal"/>
      <w:lvlText w:val="%1."/>
      <w:lvlJc w:val="left"/>
      <w:pPr>
        <w:ind w:left="2782"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620" w:hanging="360"/>
      </w:pPr>
      <w:rPr>
        <w:rFonts w:hint="default"/>
        <w:lang w:val="en-US" w:eastAsia="en-US" w:bidi="ar-SA"/>
      </w:rPr>
    </w:lvl>
    <w:lvl w:ilvl="2">
      <w:start w:val="0"/>
      <w:numFmt w:val="bullet"/>
      <w:lvlText w:val="•"/>
      <w:lvlJc w:val="left"/>
      <w:pPr>
        <w:ind w:left="4461" w:hanging="360"/>
      </w:pPr>
      <w:rPr>
        <w:rFonts w:hint="default"/>
        <w:lang w:val="en-US" w:eastAsia="en-US" w:bidi="ar-SA"/>
      </w:rPr>
    </w:lvl>
    <w:lvl w:ilvl="3">
      <w:start w:val="0"/>
      <w:numFmt w:val="bullet"/>
      <w:lvlText w:val="•"/>
      <w:lvlJc w:val="left"/>
      <w:pPr>
        <w:ind w:left="530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6983" w:hanging="360"/>
      </w:pPr>
      <w:rPr>
        <w:rFonts w:hint="default"/>
        <w:lang w:val="en-US" w:eastAsia="en-US" w:bidi="ar-SA"/>
      </w:rPr>
    </w:lvl>
    <w:lvl w:ilvl="6">
      <w:start w:val="0"/>
      <w:numFmt w:val="bullet"/>
      <w:lvlText w:val="•"/>
      <w:lvlJc w:val="left"/>
      <w:pPr>
        <w:ind w:left="7823" w:hanging="360"/>
      </w:pPr>
      <w:rPr>
        <w:rFonts w:hint="default"/>
        <w:lang w:val="en-US" w:eastAsia="en-US" w:bidi="ar-SA"/>
      </w:rPr>
    </w:lvl>
    <w:lvl w:ilvl="7">
      <w:start w:val="0"/>
      <w:numFmt w:val="bullet"/>
      <w:lvlText w:val="•"/>
      <w:lvlJc w:val="left"/>
      <w:pPr>
        <w:ind w:left="8664" w:hanging="360"/>
      </w:pPr>
      <w:rPr>
        <w:rFonts w:hint="default"/>
        <w:lang w:val="en-US" w:eastAsia="en-US" w:bidi="ar-SA"/>
      </w:rPr>
    </w:lvl>
    <w:lvl w:ilvl="8">
      <w:start w:val="0"/>
      <w:numFmt w:val="bullet"/>
      <w:lvlText w:val="•"/>
      <w:lvlJc w:val="left"/>
      <w:pPr>
        <w:ind w:left="9505" w:hanging="360"/>
      </w:pPr>
      <w:rPr>
        <w:rFonts w:hint="default"/>
        <w:lang w:val="en-US" w:eastAsia="en-US" w:bidi="ar-SA"/>
      </w:rPr>
    </w:lvl>
  </w:abstractNum>
  <w:abstractNum w:abstractNumId="214">
    <w:multiLevelType w:val="hybridMultilevel"/>
    <w:lvl w:ilvl="0">
      <w:start w:val="1"/>
      <w:numFmt w:val="lowerRoman"/>
      <w:lvlText w:val="%1)"/>
      <w:lvlJc w:val="left"/>
      <w:pPr>
        <w:ind w:left="242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2"/>
      <w:numFmt w:val="lowerLetter"/>
      <w:lvlText w:val="(%2)"/>
      <w:lvlJc w:val="left"/>
      <w:pPr>
        <w:ind w:left="2791" w:hanging="37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731" w:hanging="370"/>
      </w:pPr>
      <w:rPr>
        <w:rFonts w:hint="default"/>
        <w:lang w:val="en-US" w:eastAsia="en-US" w:bidi="ar-SA"/>
      </w:rPr>
    </w:lvl>
    <w:lvl w:ilvl="3">
      <w:start w:val="0"/>
      <w:numFmt w:val="bullet"/>
      <w:lvlText w:val="•"/>
      <w:lvlJc w:val="left"/>
      <w:pPr>
        <w:ind w:left="4663" w:hanging="370"/>
      </w:pPr>
      <w:rPr>
        <w:rFonts w:hint="default"/>
        <w:lang w:val="en-US" w:eastAsia="en-US" w:bidi="ar-SA"/>
      </w:rPr>
    </w:lvl>
    <w:lvl w:ilvl="4">
      <w:start w:val="0"/>
      <w:numFmt w:val="bullet"/>
      <w:lvlText w:val="•"/>
      <w:lvlJc w:val="left"/>
      <w:pPr>
        <w:ind w:left="5595" w:hanging="370"/>
      </w:pPr>
      <w:rPr>
        <w:rFonts w:hint="default"/>
        <w:lang w:val="en-US" w:eastAsia="en-US" w:bidi="ar-SA"/>
      </w:rPr>
    </w:lvl>
    <w:lvl w:ilvl="5">
      <w:start w:val="0"/>
      <w:numFmt w:val="bullet"/>
      <w:lvlText w:val="•"/>
      <w:lvlJc w:val="left"/>
      <w:pPr>
        <w:ind w:left="6527" w:hanging="370"/>
      </w:pPr>
      <w:rPr>
        <w:rFonts w:hint="default"/>
        <w:lang w:val="en-US" w:eastAsia="en-US" w:bidi="ar-SA"/>
      </w:rPr>
    </w:lvl>
    <w:lvl w:ilvl="6">
      <w:start w:val="0"/>
      <w:numFmt w:val="bullet"/>
      <w:lvlText w:val="•"/>
      <w:lvlJc w:val="left"/>
      <w:pPr>
        <w:ind w:left="7459" w:hanging="370"/>
      </w:pPr>
      <w:rPr>
        <w:rFonts w:hint="default"/>
        <w:lang w:val="en-US" w:eastAsia="en-US" w:bidi="ar-SA"/>
      </w:rPr>
    </w:lvl>
    <w:lvl w:ilvl="7">
      <w:start w:val="0"/>
      <w:numFmt w:val="bullet"/>
      <w:lvlText w:val="•"/>
      <w:lvlJc w:val="left"/>
      <w:pPr>
        <w:ind w:left="8390" w:hanging="370"/>
      </w:pPr>
      <w:rPr>
        <w:rFonts w:hint="default"/>
        <w:lang w:val="en-US" w:eastAsia="en-US" w:bidi="ar-SA"/>
      </w:rPr>
    </w:lvl>
    <w:lvl w:ilvl="8">
      <w:start w:val="0"/>
      <w:numFmt w:val="bullet"/>
      <w:lvlText w:val="•"/>
      <w:lvlJc w:val="left"/>
      <w:pPr>
        <w:ind w:left="9322" w:hanging="370"/>
      </w:pPr>
      <w:rPr>
        <w:rFonts w:hint="default"/>
        <w:lang w:val="en-US" w:eastAsia="en-US" w:bidi="ar-SA"/>
      </w:rPr>
    </w:lvl>
  </w:abstractNum>
  <w:abstractNum w:abstractNumId="213">
    <w:multiLevelType w:val="hybridMultilevel"/>
    <w:lvl w:ilvl="0">
      <w:start w:val="5"/>
      <w:numFmt w:val="decimal"/>
      <w:lvlText w:val="%1)"/>
      <w:lvlJc w:val="left"/>
      <w:pPr>
        <w:ind w:left="1654" w:hanging="312"/>
        <w:jc w:val="left"/>
      </w:pPr>
      <w:rPr>
        <w:rFonts w:hint="default" w:ascii="Bookman Old Style" w:hAnsi="Bookman Old Style" w:eastAsia="Bookman Old Style" w:cs="Bookman Old Style"/>
        <w:b/>
        <w:bCs/>
        <w:i w:val="0"/>
        <w:iCs w:val="0"/>
        <w:spacing w:val="0"/>
        <w:w w:val="100"/>
        <w:sz w:val="24"/>
        <w:szCs w:val="24"/>
        <w:lang w:val="en-US" w:eastAsia="en-US" w:bidi="ar-SA"/>
      </w:rPr>
    </w:lvl>
    <w:lvl w:ilvl="1">
      <w:start w:val="1"/>
      <w:numFmt w:val="lowerRoman"/>
      <w:lvlText w:val="%2)"/>
      <w:lvlJc w:val="left"/>
      <w:pPr>
        <w:ind w:left="242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394" w:hanging="720"/>
      </w:pPr>
      <w:rPr>
        <w:rFonts w:hint="default"/>
        <w:lang w:val="en-US" w:eastAsia="en-US" w:bidi="ar-SA"/>
      </w:rPr>
    </w:lvl>
    <w:lvl w:ilvl="3">
      <w:start w:val="0"/>
      <w:numFmt w:val="bullet"/>
      <w:lvlText w:val="•"/>
      <w:lvlJc w:val="left"/>
      <w:pPr>
        <w:ind w:left="4368" w:hanging="720"/>
      </w:pPr>
      <w:rPr>
        <w:rFonts w:hint="default"/>
        <w:lang w:val="en-US" w:eastAsia="en-US" w:bidi="ar-SA"/>
      </w:rPr>
    </w:lvl>
    <w:lvl w:ilvl="4">
      <w:start w:val="0"/>
      <w:numFmt w:val="bullet"/>
      <w:lvlText w:val="•"/>
      <w:lvlJc w:val="left"/>
      <w:pPr>
        <w:ind w:left="5342" w:hanging="720"/>
      </w:pPr>
      <w:rPr>
        <w:rFonts w:hint="default"/>
        <w:lang w:val="en-US" w:eastAsia="en-US" w:bidi="ar-SA"/>
      </w:rPr>
    </w:lvl>
    <w:lvl w:ilvl="5">
      <w:start w:val="0"/>
      <w:numFmt w:val="bullet"/>
      <w:lvlText w:val="•"/>
      <w:lvlJc w:val="left"/>
      <w:pPr>
        <w:ind w:left="6316" w:hanging="720"/>
      </w:pPr>
      <w:rPr>
        <w:rFonts w:hint="default"/>
        <w:lang w:val="en-US" w:eastAsia="en-US" w:bidi="ar-SA"/>
      </w:rPr>
    </w:lvl>
    <w:lvl w:ilvl="6">
      <w:start w:val="0"/>
      <w:numFmt w:val="bullet"/>
      <w:lvlText w:val="•"/>
      <w:lvlJc w:val="left"/>
      <w:pPr>
        <w:ind w:left="7290" w:hanging="720"/>
      </w:pPr>
      <w:rPr>
        <w:rFonts w:hint="default"/>
        <w:lang w:val="en-US" w:eastAsia="en-US" w:bidi="ar-SA"/>
      </w:rPr>
    </w:lvl>
    <w:lvl w:ilvl="7">
      <w:start w:val="0"/>
      <w:numFmt w:val="bullet"/>
      <w:lvlText w:val="•"/>
      <w:lvlJc w:val="left"/>
      <w:pPr>
        <w:ind w:left="8264" w:hanging="720"/>
      </w:pPr>
      <w:rPr>
        <w:rFonts w:hint="default"/>
        <w:lang w:val="en-US" w:eastAsia="en-US" w:bidi="ar-SA"/>
      </w:rPr>
    </w:lvl>
    <w:lvl w:ilvl="8">
      <w:start w:val="0"/>
      <w:numFmt w:val="bullet"/>
      <w:lvlText w:val="•"/>
      <w:lvlJc w:val="left"/>
      <w:pPr>
        <w:ind w:left="9238" w:hanging="720"/>
      </w:pPr>
      <w:rPr>
        <w:rFonts w:hint="default"/>
        <w:lang w:val="en-US" w:eastAsia="en-US" w:bidi="ar-SA"/>
      </w:rPr>
    </w:lvl>
  </w:abstractNum>
  <w:abstractNum w:abstractNumId="212">
    <w:multiLevelType w:val="hybridMultilevel"/>
    <w:lvl w:ilvl="0">
      <w:start w:val="1"/>
      <w:numFmt w:val="lowerLetter"/>
      <w:lvlText w:val="%1."/>
      <w:lvlJc w:val="left"/>
      <w:pPr>
        <w:ind w:left="1342" w:hanging="420"/>
        <w:jc w:val="left"/>
      </w:pPr>
      <w:rPr>
        <w:rFonts w:hint="default" w:ascii="Bookman Old Style" w:hAnsi="Bookman Old Style" w:eastAsia="Bookman Old Style" w:cs="Bookman Old Style"/>
        <w:b/>
        <w:bCs/>
        <w:i w:val="0"/>
        <w:iCs w:val="0"/>
        <w:spacing w:val="0"/>
        <w:w w:val="100"/>
        <w:sz w:val="24"/>
        <w:szCs w:val="24"/>
        <w:lang w:val="en-US" w:eastAsia="en-US" w:bidi="ar-SA"/>
      </w:rPr>
    </w:lvl>
    <w:lvl w:ilvl="1">
      <w:start w:val="0"/>
      <w:numFmt w:val="bullet"/>
      <w:lvlText w:val="•"/>
      <w:lvlJc w:val="left"/>
      <w:pPr>
        <w:ind w:left="2324" w:hanging="420"/>
      </w:pPr>
      <w:rPr>
        <w:rFonts w:hint="default"/>
        <w:lang w:val="en-US" w:eastAsia="en-US" w:bidi="ar-SA"/>
      </w:rPr>
    </w:lvl>
    <w:lvl w:ilvl="2">
      <w:start w:val="0"/>
      <w:numFmt w:val="bullet"/>
      <w:lvlText w:val="•"/>
      <w:lvlJc w:val="left"/>
      <w:pPr>
        <w:ind w:left="3309" w:hanging="420"/>
      </w:pPr>
      <w:rPr>
        <w:rFonts w:hint="default"/>
        <w:lang w:val="en-US" w:eastAsia="en-US" w:bidi="ar-SA"/>
      </w:rPr>
    </w:lvl>
    <w:lvl w:ilvl="3">
      <w:start w:val="0"/>
      <w:numFmt w:val="bullet"/>
      <w:lvlText w:val="•"/>
      <w:lvlJc w:val="left"/>
      <w:pPr>
        <w:ind w:left="4293" w:hanging="420"/>
      </w:pPr>
      <w:rPr>
        <w:rFonts w:hint="default"/>
        <w:lang w:val="en-US" w:eastAsia="en-US" w:bidi="ar-SA"/>
      </w:rPr>
    </w:lvl>
    <w:lvl w:ilvl="4">
      <w:start w:val="0"/>
      <w:numFmt w:val="bullet"/>
      <w:lvlText w:val="•"/>
      <w:lvlJc w:val="left"/>
      <w:pPr>
        <w:ind w:left="5278" w:hanging="420"/>
      </w:pPr>
      <w:rPr>
        <w:rFonts w:hint="default"/>
        <w:lang w:val="en-US" w:eastAsia="en-US" w:bidi="ar-SA"/>
      </w:rPr>
    </w:lvl>
    <w:lvl w:ilvl="5">
      <w:start w:val="0"/>
      <w:numFmt w:val="bullet"/>
      <w:lvlText w:val="•"/>
      <w:lvlJc w:val="left"/>
      <w:pPr>
        <w:ind w:left="6263" w:hanging="420"/>
      </w:pPr>
      <w:rPr>
        <w:rFonts w:hint="default"/>
        <w:lang w:val="en-US" w:eastAsia="en-US" w:bidi="ar-SA"/>
      </w:rPr>
    </w:lvl>
    <w:lvl w:ilvl="6">
      <w:start w:val="0"/>
      <w:numFmt w:val="bullet"/>
      <w:lvlText w:val="•"/>
      <w:lvlJc w:val="left"/>
      <w:pPr>
        <w:ind w:left="7247" w:hanging="420"/>
      </w:pPr>
      <w:rPr>
        <w:rFonts w:hint="default"/>
        <w:lang w:val="en-US" w:eastAsia="en-US" w:bidi="ar-SA"/>
      </w:rPr>
    </w:lvl>
    <w:lvl w:ilvl="7">
      <w:start w:val="0"/>
      <w:numFmt w:val="bullet"/>
      <w:lvlText w:val="•"/>
      <w:lvlJc w:val="left"/>
      <w:pPr>
        <w:ind w:left="8232" w:hanging="420"/>
      </w:pPr>
      <w:rPr>
        <w:rFonts w:hint="default"/>
        <w:lang w:val="en-US" w:eastAsia="en-US" w:bidi="ar-SA"/>
      </w:rPr>
    </w:lvl>
    <w:lvl w:ilvl="8">
      <w:start w:val="0"/>
      <w:numFmt w:val="bullet"/>
      <w:lvlText w:val="•"/>
      <w:lvlJc w:val="left"/>
      <w:pPr>
        <w:ind w:left="9217" w:hanging="420"/>
      </w:pPr>
      <w:rPr>
        <w:rFonts w:hint="default"/>
        <w:lang w:val="en-US" w:eastAsia="en-US" w:bidi="ar-SA"/>
      </w:rPr>
    </w:lvl>
  </w:abstractNum>
  <w:abstractNum w:abstractNumId="211">
    <w:multiLevelType w:val="hybridMultilevel"/>
    <w:lvl w:ilvl="0">
      <w:start w:val="1"/>
      <w:numFmt w:val="lowerRoman"/>
      <w:lvlText w:val="%1)"/>
      <w:lvlJc w:val="left"/>
      <w:pPr>
        <w:ind w:left="1342" w:hanging="23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24" w:hanging="238"/>
      </w:pPr>
      <w:rPr>
        <w:rFonts w:hint="default"/>
        <w:lang w:val="en-US" w:eastAsia="en-US" w:bidi="ar-SA"/>
      </w:rPr>
    </w:lvl>
    <w:lvl w:ilvl="2">
      <w:start w:val="0"/>
      <w:numFmt w:val="bullet"/>
      <w:lvlText w:val="•"/>
      <w:lvlJc w:val="left"/>
      <w:pPr>
        <w:ind w:left="3309" w:hanging="238"/>
      </w:pPr>
      <w:rPr>
        <w:rFonts w:hint="default"/>
        <w:lang w:val="en-US" w:eastAsia="en-US" w:bidi="ar-SA"/>
      </w:rPr>
    </w:lvl>
    <w:lvl w:ilvl="3">
      <w:start w:val="0"/>
      <w:numFmt w:val="bullet"/>
      <w:lvlText w:val="•"/>
      <w:lvlJc w:val="left"/>
      <w:pPr>
        <w:ind w:left="4293" w:hanging="238"/>
      </w:pPr>
      <w:rPr>
        <w:rFonts w:hint="default"/>
        <w:lang w:val="en-US" w:eastAsia="en-US" w:bidi="ar-SA"/>
      </w:rPr>
    </w:lvl>
    <w:lvl w:ilvl="4">
      <w:start w:val="0"/>
      <w:numFmt w:val="bullet"/>
      <w:lvlText w:val="•"/>
      <w:lvlJc w:val="left"/>
      <w:pPr>
        <w:ind w:left="5278" w:hanging="238"/>
      </w:pPr>
      <w:rPr>
        <w:rFonts w:hint="default"/>
        <w:lang w:val="en-US" w:eastAsia="en-US" w:bidi="ar-SA"/>
      </w:rPr>
    </w:lvl>
    <w:lvl w:ilvl="5">
      <w:start w:val="0"/>
      <w:numFmt w:val="bullet"/>
      <w:lvlText w:val="•"/>
      <w:lvlJc w:val="left"/>
      <w:pPr>
        <w:ind w:left="6263" w:hanging="238"/>
      </w:pPr>
      <w:rPr>
        <w:rFonts w:hint="default"/>
        <w:lang w:val="en-US" w:eastAsia="en-US" w:bidi="ar-SA"/>
      </w:rPr>
    </w:lvl>
    <w:lvl w:ilvl="6">
      <w:start w:val="0"/>
      <w:numFmt w:val="bullet"/>
      <w:lvlText w:val="•"/>
      <w:lvlJc w:val="left"/>
      <w:pPr>
        <w:ind w:left="7247" w:hanging="238"/>
      </w:pPr>
      <w:rPr>
        <w:rFonts w:hint="default"/>
        <w:lang w:val="en-US" w:eastAsia="en-US" w:bidi="ar-SA"/>
      </w:rPr>
    </w:lvl>
    <w:lvl w:ilvl="7">
      <w:start w:val="0"/>
      <w:numFmt w:val="bullet"/>
      <w:lvlText w:val="•"/>
      <w:lvlJc w:val="left"/>
      <w:pPr>
        <w:ind w:left="8232" w:hanging="238"/>
      </w:pPr>
      <w:rPr>
        <w:rFonts w:hint="default"/>
        <w:lang w:val="en-US" w:eastAsia="en-US" w:bidi="ar-SA"/>
      </w:rPr>
    </w:lvl>
    <w:lvl w:ilvl="8">
      <w:start w:val="0"/>
      <w:numFmt w:val="bullet"/>
      <w:lvlText w:val="•"/>
      <w:lvlJc w:val="left"/>
      <w:pPr>
        <w:ind w:left="9217" w:hanging="238"/>
      </w:pPr>
      <w:rPr>
        <w:rFonts w:hint="default"/>
        <w:lang w:val="en-US" w:eastAsia="en-US" w:bidi="ar-SA"/>
      </w:rPr>
    </w:lvl>
  </w:abstractNum>
  <w:abstractNum w:abstractNumId="210">
    <w:multiLevelType w:val="hybridMultilevel"/>
    <w:lvl w:ilvl="0">
      <w:start w:val="1"/>
      <w:numFmt w:val="decimal"/>
      <w:lvlText w:val="%1)"/>
      <w:lvlJc w:val="left"/>
      <w:pPr>
        <w:ind w:left="1342" w:hanging="305"/>
        <w:jc w:val="right"/>
      </w:pPr>
      <w:rPr>
        <w:rFonts w:hint="default"/>
        <w:spacing w:val="0"/>
        <w:w w:val="91"/>
        <w:lang w:val="en-US" w:eastAsia="en-US" w:bidi="ar-SA"/>
      </w:rPr>
    </w:lvl>
    <w:lvl w:ilvl="1">
      <w:start w:val="1"/>
      <w:numFmt w:val="lowerLetter"/>
      <w:lvlText w:val="(%2)"/>
      <w:lvlJc w:val="left"/>
      <w:pPr>
        <w:ind w:left="1342" w:hanging="71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309" w:hanging="715"/>
      </w:pPr>
      <w:rPr>
        <w:rFonts w:hint="default"/>
        <w:lang w:val="en-US" w:eastAsia="en-US" w:bidi="ar-SA"/>
      </w:rPr>
    </w:lvl>
    <w:lvl w:ilvl="3">
      <w:start w:val="0"/>
      <w:numFmt w:val="bullet"/>
      <w:lvlText w:val="•"/>
      <w:lvlJc w:val="left"/>
      <w:pPr>
        <w:ind w:left="4293" w:hanging="715"/>
      </w:pPr>
      <w:rPr>
        <w:rFonts w:hint="default"/>
        <w:lang w:val="en-US" w:eastAsia="en-US" w:bidi="ar-SA"/>
      </w:rPr>
    </w:lvl>
    <w:lvl w:ilvl="4">
      <w:start w:val="0"/>
      <w:numFmt w:val="bullet"/>
      <w:lvlText w:val="•"/>
      <w:lvlJc w:val="left"/>
      <w:pPr>
        <w:ind w:left="5278" w:hanging="715"/>
      </w:pPr>
      <w:rPr>
        <w:rFonts w:hint="default"/>
        <w:lang w:val="en-US" w:eastAsia="en-US" w:bidi="ar-SA"/>
      </w:rPr>
    </w:lvl>
    <w:lvl w:ilvl="5">
      <w:start w:val="0"/>
      <w:numFmt w:val="bullet"/>
      <w:lvlText w:val="•"/>
      <w:lvlJc w:val="left"/>
      <w:pPr>
        <w:ind w:left="6263" w:hanging="715"/>
      </w:pPr>
      <w:rPr>
        <w:rFonts w:hint="default"/>
        <w:lang w:val="en-US" w:eastAsia="en-US" w:bidi="ar-SA"/>
      </w:rPr>
    </w:lvl>
    <w:lvl w:ilvl="6">
      <w:start w:val="0"/>
      <w:numFmt w:val="bullet"/>
      <w:lvlText w:val="•"/>
      <w:lvlJc w:val="left"/>
      <w:pPr>
        <w:ind w:left="7247" w:hanging="715"/>
      </w:pPr>
      <w:rPr>
        <w:rFonts w:hint="default"/>
        <w:lang w:val="en-US" w:eastAsia="en-US" w:bidi="ar-SA"/>
      </w:rPr>
    </w:lvl>
    <w:lvl w:ilvl="7">
      <w:start w:val="0"/>
      <w:numFmt w:val="bullet"/>
      <w:lvlText w:val="•"/>
      <w:lvlJc w:val="left"/>
      <w:pPr>
        <w:ind w:left="8232" w:hanging="715"/>
      </w:pPr>
      <w:rPr>
        <w:rFonts w:hint="default"/>
        <w:lang w:val="en-US" w:eastAsia="en-US" w:bidi="ar-SA"/>
      </w:rPr>
    </w:lvl>
    <w:lvl w:ilvl="8">
      <w:start w:val="0"/>
      <w:numFmt w:val="bullet"/>
      <w:lvlText w:val="•"/>
      <w:lvlJc w:val="left"/>
      <w:pPr>
        <w:ind w:left="9217" w:hanging="715"/>
      </w:pPr>
      <w:rPr>
        <w:rFonts w:hint="default"/>
        <w:lang w:val="en-US" w:eastAsia="en-US" w:bidi="ar-SA"/>
      </w:rPr>
    </w:lvl>
  </w:abstractNum>
  <w:abstractNum w:abstractNumId="209">
    <w:multiLevelType w:val="hybridMultilevel"/>
    <w:lvl w:ilvl="0">
      <w:start w:val="1"/>
      <w:numFmt w:val="lowerRoman"/>
      <w:lvlText w:val="%1."/>
      <w:lvlJc w:val="left"/>
      <w:pPr>
        <w:ind w:left="2062" w:hanging="214"/>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214"/>
      </w:pPr>
      <w:rPr>
        <w:rFonts w:hint="default"/>
        <w:lang w:val="en-US" w:eastAsia="en-US" w:bidi="ar-SA"/>
      </w:rPr>
    </w:lvl>
    <w:lvl w:ilvl="2">
      <w:start w:val="0"/>
      <w:numFmt w:val="bullet"/>
      <w:lvlText w:val="•"/>
      <w:lvlJc w:val="left"/>
      <w:pPr>
        <w:ind w:left="3885" w:hanging="214"/>
      </w:pPr>
      <w:rPr>
        <w:rFonts w:hint="default"/>
        <w:lang w:val="en-US" w:eastAsia="en-US" w:bidi="ar-SA"/>
      </w:rPr>
    </w:lvl>
    <w:lvl w:ilvl="3">
      <w:start w:val="0"/>
      <w:numFmt w:val="bullet"/>
      <w:lvlText w:val="•"/>
      <w:lvlJc w:val="left"/>
      <w:pPr>
        <w:ind w:left="4797" w:hanging="214"/>
      </w:pPr>
      <w:rPr>
        <w:rFonts w:hint="default"/>
        <w:lang w:val="en-US" w:eastAsia="en-US" w:bidi="ar-SA"/>
      </w:rPr>
    </w:lvl>
    <w:lvl w:ilvl="4">
      <w:start w:val="0"/>
      <w:numFmt w:val="bullet"/>
      <w:lvlText w:val="•"/>
      <w:lvlJc w:val="left"/>
      <w:pPr>
        <w:ind w:left="5710" w:hanging="214"/>
      </w:pPr>
      <w:rPr>
        <w:rFonts w:hint="default"/>
        <w:lang w:val="en-US" w:eastAsia="en-US" w:bidi="ar-SA"/>
      </w:rPr>
    </w:lvl>
    <w:lvl w:ilvl="5">
      <w:start w:val="0"/>
      <w:numFmt w:val="bullet"/>
      <w:lvlText w:val="•"/>
      <w:lvlJc w:val="left"/>
      <w:pPr>
        <w:ind w:left="6623" w:hanging="214"/>
      </w:pPr>
      <w:rPr>
        <w:rFonts w:hint="default"/>
        <w:lang w:val="en-US" w:eastAsia="en-US" w:bidi="ar-SA"/>
      </w:rPr>
    </w:lvl>
    <w:lvl w:ilvl="6">
      <w:start w:val="0"/>
      <w:numFmt w:val="bullet"/>
      <w:lvlText w:val="•"/>
      <w:lvlJc w:val="left"/>
      <w:pPr>
        <w:ind w:left="7535" w:hanging="214"/>
      </w:pPr>
      <w:rPr>
        <w:rFonts w:hint="default"/>
        <w:lang w:val="en-US" w:eastAsia="en-US" w:bidi="ar-SA"/>
      </w:rPr>
    </w:lvl>
    <w:lvl w:ilvl="7">
      <w:start w:val="0"/>
      <w:numFmt w:val="bullet"/>
      <w:lvlText w:val="•"/>
      <w:lvlJc w:val="left"/>
      <w:pPr>
        <w:ind w:left="8448" w:hanging="214"/>
      </w:pPr>
      <w:rPr>
        <w:rFonts w:hint="default"/>
        <w:lang w:val="en-US" w:eastAsia="en-US" w:bidi="ar-SA"/>
      </w:rPr>
    </w:lvl>
    <w:lvl w:ilvl="8">
      <w:start w:val="0"/>
      <w:numFmt w:val="bullet"/>
      <w:lvlText w:val="•"/>
      <w:lvlJc w:val="left"/>
      <w:pPr>
        <w:ind w:left="9361" w:hanging="214"/>
      </w:pPr>
      <w:rPr>
        <w:rFonts w:hint="default"/>
        <w:lang w:val="en-US" w:eastAsia="en-US" w:bidi="ar-SA"/>
      </w:rPr>
    </w:lvl>
  </w:abstractNum>
  <w:abstractNum w:abstractNumId="208">
    <w:multiLevelType w:val="hybridMultilevel"/>
    <w:lvl w:ilvl="0">
      <w:start w:val="1"/>
      <w:numFmt w:val="lowerLetter"/>
      <w:lvlText w:val="(%1)"/>
      <w:lvlJc w:val="left"/>
      <w:pPr>
        <w:ind w:left="2062" w:hanging="447"/>
        <w:jc w:val="right"/>
      </w:pPr>
      <w:rPr>
        <w:rFonts w:hint="default" w:ascii="Bookman Old Style" w:hAnsi="Bookman Old Style" w:eastAsia="Bookman Old Style" w:cs="Bookman Old Style"/>
        <w:b w:val="0"/>
        <w:bCs w:val="0"/>
        <w:i w:val="0"/>
        <w:iCs w:val="0"/>
        <w:spacing w:val="0"/>
        <w:w w:val="90"/>
        <w:sz w:val="24"/>
        <w:szCs w:val="24"/>
        <w:lang w:val="en-US" w:eastAsia="en-US" w:bidi="ar-SA"/>
      </w:rPr>
    </w:lvl>
    <w:lvl w:ilvl="1">
      <w:start w:val="0"/>
      <w:numFmt w:val="bullet"/>
      <w:lvlText w:val="•"/>
      <w:lvlJc w:val="left"/>
      <w:pPr>
        <w:ind w:left="2972" w:hanging="447"/>
      </w:pPr>
      <w:rPr>
        <w:rFonts w:hint="default"/>
        <w:lang w:val="en-US" w:eastAsia="en-US" w:bidi="ar-SA"/>
      </w:rPr>
    </w:lvl>
    <w:lvl w:ilvl="2">
      <w:start w:val="0"/>
      <w:numFmt w:val="bullet"/>
      <w:lvlText w:val="•"/>
      <w:lvlJc w:val="left"/>
      <w:pPr>
        <w:ind w:left="3885" w:hanging="447"/>
      </w:pPr>
      <w:rPr>
        <w:rFonts w:hint="default"/>
        <w:lang w:val="en-US" w:eastAsia="en-US" w:bidi="ar-SA"/>
      </w:rPr>
    </w:lvl>
    <w:lvl w:ilvl="3">
      <w:start w:val="0"/>
      <w:numFmt w:val="bullet"/>
      <w:lvlText w:val="•"/>
      <w:lvlJc w:val="left"/>
      <w:pPr>
        <w:ind w:left="4797" w:hanging="447"/>
      </w:pPr>
      <w:rPr>
        <w:rFonts w:hint="default"/>
        <w:lang w:val="en-US" w:eastAsia="en-US" w:bidi="ar-SA"/>
      </w:rPr>
    </w:lvl>
    <w:lvl w:ilvl="4">
      <w:start w:val="0"/>
      <w:numFmt w:val="bullet"/>
      <w:lvlText w:val="•"/>
      <w:lvlJc w:val="left"/>
      <w:pPr>
        <w:ind w:left="5710" w:hanging="447"/>
      </w:pPr>
      <w:rPr>
        <w:rFonts w:hint="default"/>
        <w:lang w:val="en-US" w:eastAsia="en-US" w:bidi="ar-SA"/>
      </w:rPr>
    </w:lvl>
    <w:lvl w:ilvl="5">
      <w:start w:val="0"/>
      <w:numFmt w:val="bullet"/>
      <w:lvlText w:val="•"/>
      <w:lvlJc w:val="left"/>
      <w:pPr>
        <w:ind w:left="6623" w:hanging="447"/>
      </w:pPr>
      <w:rPr>
        <w:rFonts w:hint="default"/>
        <w:lang w:val="en-US" w:eastAsia="en-US" w:bidi="ar-SA"/>
      </w:rPr>
    </w:lvl>
    <w:lvl w:ilvl="6">
      <w:start w:val="0"/>
      <w:numFmt w:val="bullet"/>
      <w:lvlText w:val="•"/>
      <w:lvlJc w:val="left"/>
      <w:pPr>
        <w:ind w:left="7535" w:hanging="447"/>
      </w:pPr>
      <w:rPr>
        <w:rFonts w:hint="default"/>
        <w:lang w:val="en-US" w:eastAsia="en-US" w:bidi="ar-SA"/>
      </w:rPr>
    </w:lvl>
    <w:lvl w:ilvl="7">
      <w:start w:val="0"/>
      <w:numFmt w:val="bullet"/>
      <w:lvlText w:val="•"/>
      <w:lvlJc w:val="left"/>
      <w:pPr>
        <w:ind w:left="8448" w:hanging="447"/>
      </w:pPr>
      <w:rPr>
        <w:rFonts w:hint="default"/>
        <w:lang w:val="en-US" w:eastAsia="en-US" w:bidi="ar-SA"/>
      </w:rPr>
    </w:lvl>
    <w:lvl w:ilvl="8">
      <w:start w:val="0"/>
      <w:numFmt w:val="bullet"/>
      <w:lvlText w:val="•"/>
      <w:lvlJc w:val="left"/>
      <w:pPr>
        <w:ind w:left="9361" w:hanging="447"/>
      </w:pPr>
      <w:rPr>
        <w:rFonts w:hint="default"/>
        <w:lang w:val="en-US" w:eastAsia="en-US" w:bidi="ar-SA"/>
      </w:rPr>
    </w:lvl>
  </w:abstractNum>
  <w:abstractNum w:abstractNumId="207">
    <w:multiLevelType w:val="hybridMultilevel"/>
    <w:lvl w:ilvl="0">
      <w:start w:val="1"/>
      <w:numFmt w:val="upperLetter"/>
      <w:lvlText w:val="(%1)"/>
      <w:lvlJc w:val="left"/>
      <w:pPr>
        <w:ind w:left="2062" w:hanging="360"/>
        <w:jc w:val="left"/>
      </w:pPr>
      <w:rPr>
        <w:rFonts w:hint="default" w:ascii="Bookman Old Style" w:hAnsi="Bookman Old Style" w:eastAsia="Bookman Old Style" w:cs="Bookman Old Style"/>
        <w:b/>
        <w:bCs/>
        <w:i w:val="0"/>
        <w:iCs w:val="0"/>
        <w:spacing w:val="0"/>
        <w:w w:val="96"/>
        <w:sz w:val="24"/>
        <w:szCs w:val="24"/>
        <w:lang w:val="en-US" w:eastAsia="en-US" w:bidi="ar-SA"/>
      </w:rPr>
    </w:lvl>
    <w:lvl w:ilvl="1">
      <w:start w:val="1"/>
      <w:numFmt w:val="decimal"/>
      <w:lvlText w:val="%2)"/>
      <w:lvlJc w:val="left"/>
      <w:pPr>
        <w:ind w:left="2062"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885" w:hanging="360"/>
      </w:pPr>
      <w:rPr>
        <w:rFonts w:hint="default"/>
        <w:lang w:val="en-US" w:eastAsia="en-US" w:bidi="ar-SA"/>
      </w:rPr>
    </w:lvl>
    <w:lvl w:ilvl="3">
      <w:start w:val="0"/>
      <w:numFmt w:val="bullet"/>
      <w:lvlText w:val="•"/>
      <w:lvlJc w:val="left"/>
      <w:pPr>
        <w:ind w:left="4797" w:hanging="360"/>
      </w:pPr>
      <w:rPr>
        <w:rFonts w:hint="default"/>
        <w:lang w:val="en-US" w:eastAsia="en-US" w:bidi="ar-SA"/>
      </w:rPr>
    </w:lvl>
    <w:lvl w:ilvl="4">
      <w:start w:val="0"/>
      <w:numFmt w:val="bullet"/>
      <w:lvlText w:val="•"/>
      <w:lvlJc w:val="left"/>
      <w:pPr>
        <w:ind w:left="5710" w:hanging="360"/>
      </w:pPr>
      <w:rPr>
        <w:rFonts w:hint="default"/>
        <w:lang w:val="en-US" w:eastAsia="en-US" w:bidi="ar-SA"/>
      </w:rPr>
    </w:lvl>
    <w:lvl w:ilvl="5">
      <w:start w:val="0"/>
      <w:numFmt w:val="bullet"/>
      <w:lvlText w:val="•"/>
      <w:lvlJc w:val="left"/>
      <w:pPr>
        <w:ind w:left="6623" w:hanging="360"/>
      </w:pPr>
      <w:rPr>
        <w:rFonts w:hint="default"/>
        <w:lang w:val="en-US" w:eastAsia="en-US" w:bidi="ar-SA"/>
      </w:rPr>
    </w:lvl>
    <w:lvl w:ilvl="6">
      <w:start w:val="0"/>
      <w:numFmt w:val="bullet"/>
      <w:lvlText w:val="•"/>
      <w:lvlJc w:val="left"/>
      <w:pPr>
        <w:ind w:left="7535" w:hanging="360"/>
      </w:pPr>
      <w:rPr>
        <w:rFonts w:hint="default"/>
        <w:lang w:val="en-US" w:eastAsia="en-US" w:bidi="ar-SA"/>
      </w:rPr>
    </w:lvl>
    <w:lvl w:ilvl="7">
      <w:start w:val="0"/>
      <w:numFmt w:val="bullet"/>
      <w:lvlText w:val="•"/>
      <w:lvlJc w:val="left"/>
      <w:pPr>
        <w:ind w:left="8448" w:hanging="360"/>
      </w:pPr>
      <w:rPr>
        <w:rFonts w:hint="default"/>
        <w:lang w:val="en-US" w:eastAsia="en-US" w:bidi="ar-SA"/>
      </w:rPr>
    </w:lvl>
    <w:lvl w:ilvl="8">
      <w:start w:val="0"/>
      <w:numFmt w:val="bullet"/>
      <w:lvlText w:val="•"/>
      <w:lvlJc w:val="left"/>
      <w:pPr>
        <w:ind w:left="9361" w:hanging="360"/>
      </w:pPr>
      <w:rPr>
        <w:rFonts w:hint="default"/>
        <w:lang w:val="en-US" w:eastAsia="en-US" w:bidi="ar-SA"/>
      </w:rPr>
    </w:lvl>
  </w:abstractNum>
  <w:abstractNum w:abstractNumId="206">
    <w:multiLevelType w:val="hybridMultilevel"/>
    <w:lvl w:ilvl="0">
      <w:start w:val="1"/>
      <w:numFmt w:val="decimal"/>
      <w:lvlText w:val="%1)"/>
      <w:lvlJc w:val="left"/>
      <w:pPr>
        <w:ind w:left="206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720"/>
      </w:pPr>
      <w:rPr>
        <w:rFonts w:hint="default"/>
        <w:lang w:val="en-US" w:eastAsia="en-US" w:bidi="ar-SA"/>
      </w:rPr>
    </w:lvl>
    <w:lvl w:ilvl="2">
      <w:start w:val="0"/>
      <w:numFmt w:val="bullet"/>
      <w:lvlText w:val="•"/>
      <w:lvlJc w:val="left"/>
      <w:pPr>
        <w:ind w:left="3885" w:hanging="720"/>
      </w:pPr>
      <w:rPr>
        <w:rFonts w:hint="default"/>
        <w:lang w:val="en-US" w:eastAsia="en-US" w:bidi="ar-SA"/>
      </w:rPr>
    </w:lvl>
    <w:lvl w:ilvl="3">
      <w:start w:val="0"/>
      <w:numFmt w:val="bullet"/>
      <w:lvlText w:val="•"/>
      <w:lvlJc w:val="left"/>
      <w:pPr>
        <w:ind w:left="4797" w:hanging="720"/>
      </w:pPr>
      <w:rPr>
        <w:rFonts w:hint="default"/>
        <w:lang w:val="en-US" w:eastAsia="en-US" w:bidi="ar-SA"/>
      </w:rPr>
    </w:lvl>
    <w:lvl w:ilvl="4">
      <w:start w:val="0"/>
      <w:numFmt w:val="bullet"/>
      <w:lvlText w:val="•"/>
      <w:lvlJc w:val="left"/>
      <w:pPr>
        <w:ind w:left="5710" w:hanging="720"/>
      </w:pPr>
      <w:rPr>
        <w:rFonts w:hint="default"/>
        <w:lang w:val="en-US" w:eastAsia="en-US" w:bidi="ar-SA"/>
      </w:rPr>
    </w:lvl>
    <w:lvl w:ilvl="5">
      <w:start w:val="0"/>
      <w:numFmt w:val="bullet"/>
      <w:lvlText w:val="•"/>
      <w:lvlJc w:val="left"/>
      <w:pPr>
        <w:ind w:left="6623" w:hanging="720"/>
      </w:pPr>
      <w:rPr>
        <w:rFonts w:hint="default"/>
        <w:lang w:val="en-US" w:eastAsia="en-US" w:bidi="ar-SA"/>
      </w:rPr>
    </w:lvl>
    <w:lvl w:ilvl="6">
      <w:start w:val="0"/>
      <w:numFmt w:val="bullet"/>
      <w:lvlText w:val="•"/>
      <w:lvlJc w:val="left"/>
      <w:pPr>
        <w:ind w:left="7535" w:hanging="720"/>
      </w:pPr>
      <w:rPr>
        <w:rFonts w:hint="default"/>
        <w:lang w:val="en-US" w:eastAsia="en-US" w:bidi="ar-SA"/>
      </w:rPr>
    </w:lvl>
    <w:lvl w:ilvl="7">
      <w:start w:val="0"/>
      <w:numFmt w:val="bullet"/>
      <w:lvlText w:val="•"/>
      <w:lvlJc w:val="left"/>
      <w:pPr>
        <w:ind w:left="8448" w:hanging="720"/>
      </w:pPr>
      <w:rPr>
        <w:rFonts w:hint="default"/>
        <w:lang w:val="en-US" w:eastAsia="en-US" w:bidi="ar-SA"/>
      </w:rPr>
    </w:lvl>
    <w:lvl w:ilvl="8">
      <w:start w:val="0"/>
      <w:numFmt w:val="bullet"/>
      <w:lvlText w:val="•"/>
      <w:lvlJc w:val="left"/>
      <w:pPr>
        <w:ind w:left="9361" w:hanging="720"/>
      </w:pPr>
      <w:rPr>
        <w:rFonts w:hint="default"/>
        <w:lang w:val="en-US" w:eastAsia="en-US" w:bidi="ar-SA"/>
      </w:rPr>
    </w:lvl>
  </w:abstractNum>
  <w:abstractNum w:abstractNumId="205">
    <w:multiLevelType w:val="hybridMultilevel"/>
    <w:lvl w:ilvl="0">
      <w:start w:val="1"/>
      <w:numFmt w:val="lowerRoman"/>
      <w:lvlText w:val="(%1)"/>
      <w:lvlJc w:val="left"/>
      <w:pPr>
        <w:ind w:left="2062" w:hanging="387"/>
        <w:jc w:val="left"/>
      </w:pPr>
      <w:rPr>
        <w:rFonts w:hint="default" w:ascii="Bookman Old Style" w:hAnsi="Bookman Old Style" w:eastAsia="Bookman Old Style" w:cs="Bookman Old Style"/>
        <w:b w:val="0"/>
        <w:bCs w:val="0"/>
        <w:i w:val="0"/>
        <w:iCs w:val="0"/>
        <w:spacing w:val="0"/>
        <w:w w:val="91"/>
        <w:sz w:val="24"/>
        <w:szCs w:val="24"/>
        <w:lang w:val="en-US" w:eastAsia="en-US" w:bidi="ar-SA"/>
      </w:rPr>
    </w:lvl>
    <w:lvl w:ilvl="1">
      <w:start w:val="1"/>
      <w:numFmt w:val="decimal"/>
      <w:lvlText w:val="%2)"/>
      <w:lvlJc w:val="left"/>
      <w:pPr>
        <w:ind w:left="2283" w:hanging="222"/>
        <w:jc w:val="left"/>
      </w:pPr>
      <w:rPr>
        <w:rFonts w:hint="default" w:ascii="Bookman Old Style" w:hAnsi="Bookman Old Style" w:eastAsia="Bookman Old Style" w:cs="Bookman Old Style"/>
        <w:b w:val="0"/>
        <w:bCs w:val="0"/>
        <w:i w:val="0"/>
        <w:iCs w:val="0"/>
        <w:spacing w:val="-1"/>
        <w:w w:val="99"/>
        <w:sz w:val="22"/>
        <w:szCs w:val="22"/>
        <w:lang w:val="en-US" w:eastAsia="en-US" w:bidi="ar-SA"/>
      </w:rPr>
    </w:lvl>
    <w:lvl w:ilvl="2">
      <w:start w:val="1"/>
      <w:numFmt w:val="lowerLetter"/>
      <w:lvlText w:val="(%3)"/>
      <w:lvlJc w:val="left"/>
      <w:pPr>
        <w:ind w:left="2062" w:hanging="41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1"/>
      <w:numFmt w:val="upperRoman"/>
      <w:lvlText w:val="%4."/>
      <w:lvlJc w:val="left"/>
      <w:pPr>
        <w:ind w:left="2062" w:hanging="23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4">
      <w:start w:val="0"/>
      <w:numFmt w:val="bullet"/>
      <w:lvlText w:val="•"/>
      <w:lvlJc w:val="left"/>
      <w:pPr>
        <w:ind w:left="5248" w:hanging="233"/>
      </w:pPr>
      <w:rPr>
        <w:rFonts w:hint="default"/>
        <w:lang w:val="en-US" w:eastAsia="en-US" w:bidi="ar-SA"/>
      </w:rPr>
    </w:lvl>
    <w:lvl w:ilvl="5">
      <w:start w:val="0"/>
      <w:numFmt w:val="bullet"/>
      <w:lvlText w:val="•"/>
      <w:lvlJc w:val="left"/>
      <w:pPr>
        <w:ind w:left="6238" w:hanging="233"/>
      </w:pPr>
      <w:rPr>
        <w:rFonts w:hint="default"/>
        <w:lang w:val="en-US" w:eastAsia="en-US" w:bidi="ar-SA"/>
      </w:rPr>
    </w:lvl>
    <w:lvl w:ilvl="6">
      <w:start w:val="0"/>
      <w:numFmt w:val="bullet"/>
      <w:lvlText w:val="•"/>
      <w:lvlJc w:val="left"/>
      <w:pPr>
        <w:ind w:left="7228" w:hanging="233"/>
      </w:pPr>
      <w:rPr>
        <w:rFonts w:hint="default"/>
        <w:lang w:val="en-US" w:eastAsia="en-US" w:bidi="ar-SA"/>
      </w:rPr>
    </w:lvl>
    <w:lvl w:ilvl="7">
      <w:start w:val="0"/>
      <w:numFmt w:val="bullet"/>
      <w:lvlText w:val="•"/>
      <w:lvlJc w:val="left"/>
      <w:pPr>
        <w:ind w:left="8217" w:hanging="233"/>
      </w:pPr>
      <w:rPr>
        <w:rFonts w:hint="default"/>
        <w:lang w:val="en-US" w:eastAsia="en-US" w:bidi="ar-SA"/>
      </w:rPr>
    </w:lvl>
    <w:lvl w:ilvl="8">
      <w:start w:val="0"/>
      <w:numFmt w:val="bullet"/>
      <w:lvlText w:val="•"/>
      <w:lvlJc w:val="left"/>
      <w:pPr>
        <w:ind w:left="9207" w:hanging="233"/>
      </w:pPr>
      <w:rPr>
        <w:rFonts w:hint="default"/>
        <w:lang w:val="en-US" w:eastAsia="en-US" w:bidi="ar-SA"/>
      </w:rPr>
    </w:lvl>
  </w:abstractNum>
  <w:abstractNum w:abstractNumId="204">
    <w:multiLevelType w:val="hybridMultilevel"/>
    <w:lvl w:ilvl="0">
      <w:start w:val="1"/>
      <w:numFmt w:val="lowerRoman"/>
      <w:lvlText w:val="(%1)"/>
      <w:lvlJc w:val="left"/>
      <w:pPr>
        <w:ind w:left="206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720"/>
      </w:pPr>
      <w:rPr>
        <w:rFonts w:hint="default"/>
        <w:lang w:val="en-US" w:eastAsia="en-US" w:bidi="ar-SA"/>
      </w:rPr>
    </w:lvl>
    <w:lvl w:ilvl="2">
      <w:start w:val="0"/>
      <w:numFmt w:val="bullet"/>
      <w:lvlText w:val="•"/>
      <w:lvlJc w:val="left"/>
      <w:pPr>
        <w:ind w:left="3885" w:hanging="720"/>
      </w:pPr>
      <w:rPr>
        <w:rFonts w:hint="default"/>
        <w:lang w:val="en-US" w:eastAsia="en-US" w:bidi="ar-SA"/>
      </w:rPr>
    </w:lvl>
    <w:lvl w:ilvl="3">
      <w:start w:val="0"/>
      <w:numFmt w:val="bullet"/>
      <w:lvlText w:val="•"/>
      <w:lvlJc w:val="left"/>
      <w:pPr>
        <w:ind w:left="4797" w:hanging="720"/>
      </w:pPr>
      <w:rPr>
        <w:rFonts w:hint="default"/>
        <w:lang w:val="en-US" w:eastAsia="en-US" w:bidi="ar-SA"/>
      </w:rPr>
    </w:lvl>
    <w:lvl w:ilvl="4">
      <w:start w:val="0"/>
      <w:numFmt w:val="bullet"/>
      <w:lvlText w:val="•"/>
      <w:lvlJc w:val="left"/>
      <w:pPr>
        <w:ind w:left="5710" w:hanging="720"/>
      </w:pPr>
      <w:rPr>
        <w:rFonts w:hint="default"/>
        <w:lang w:val="en-US" w:eastAsia="en-US" w:bidi="ar-SA"/>
      </w:rPr>
    </w:lvl>
    <w:lvl w:ilvl="5">
      <w:start w:val="0"/>
      <w:numFmt w:val="bullet"/>
      <w:lvlText w:val="•"/>
      <w:lvlJc w:val="left"/>
      <w:pPr>
        <w:ind w:left="6623" w:hanging="720"/>
      </w:pPr>
      <w:rPr>
        <w:rFonts w:hint="default"/>
        <w:lang w:val="en-US" w:eastAsia="en-US" w:bidi="ar-SA"/>
      </w:rPr>
    </w:lvl>
    <w:lvl w:ilvl="6">
      <w:start w:val="0"/>
      <w:numFmt w:val="bullet"/>
      <w:lvlText w:val="•"/>
      <w:lvlJc w:val="left"/>
      <w:pPr>
        <w:ind w:left="7535" w:hanging="720"/>
      </w:pPr>
      <w:rPr>
        <w:rFonts w:hint="default"/>
        <w:lang w:val="en-US" w:eastAsia="en-US" w:bidi="ar-SA"/>
      </w:rPr>
    </w:lvl>
    <w:lvl w:ilvl="7">
      <w:start w:val="0"/>
      <w:numFmt w:val="bullet"/>
      <w:lvlText w:val="•"/>
      <w:lvlJc w:val="left"/>
      <w:pPr>
        <w:ind w:left="8448" w:hanging="720"/>
      </w:pPr>
      <w:rPr>
        <w:rFonts w:hint="default"/>
        <w:lang w:val="en-US" w:eastAsia="en-US" w:bidi="ar-SA"/>
      </w:rPr>
    </w:lvl>
    <w:lvl w:ilvl="8">
      <w:start w:val="0"/>
      <w:numFmt w:val="bullet"/>
      <w:lvlText w:val="•"/>
      <w:lvlJc w:val="left"/>
      <w:pPr>
        <w:ind w:left="9361" w:hanging="720"/>
      </w:pPr>
      <w:rPr>
        <w:rFonts w:hint="default"/>
        <w:lang w:val="en-US" w:eastAsia="en-US" w:bidi="ar-SA"/>
      </w:rPr>
    </w:lvl>
  </w:abstractNum>
  <w:abstractNum w:abstractNumId="203">
    <w:multiLevelType w:val="hybridMultilevel"/>
    <w:lvl w:ilvl="0">
      <w:start w:val="1"/>
      <w:numFmt w:val="decimal"/>
      <w:lvlText w:val="%1)"/>
      <w:lvlJc w:val="left"/>
      <w:pPr>
        <w:ind w:left="2333" w:hanging="36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2333" w:hanging="59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4109" w:hanging="595"/>
      </w:pPr>
      <w:rPr>
        <w:rFonts w:hint="default"/>
        <w:lang w:val="en-US" w:eastAsia="en-US" w:bidi="ar-SA"/>
      </w:rPr>
    </w:lvl>
    <w:lvl w:ilvl="3">
      <w:start w:val="0"/>
      <w:numFmt w:val="bullet"/>
      <w:lvlText w:val="•"/>
      <w:lvlJc w:val="left"/>
      <w:pPr>
        <w:ind w:left="4993" w:hanging="595"/>
      </w:pPr>
      <w:rPr>
        <w:rFonts w:hint="default"/>
        <w:lang w:val="en-US" w:eastAsia="en-US" w:bidi="ar-SA"/>
      </w:rPr>
    </w:lvl>
    <w:lvl w:ilvl="4">
      <w:start w:val="0"/>
      <w:numFmt w:val="bullet"/>
      <w:lvlText w:val="•"/>
      <w:lvlJc w:val="left"/>
      <w:pPr>
        <w:ind w:left="5878" w:hanging="595"/>
      </w:pPr>
      <w:rPr>
        <w:rFonts w:hint="default"/>
        <w:lang w:val="en-US" w:eastAsia="en-US" w:bidi="ar-SA"/>
      </w:rPr>
    </w:lvl>
    <w:lvl w:ilvl="5">
      <w:start w:val="0"/>
      <w:numFmt w:val="bullet"/>
      <w:lvlText w:val="•"/>
      <w:lvlJc w:val="left"/>
      <w:pPr>
        <w:ind w:left="6763" w:hanging="595"/>
      </w:pPr>
      <w:rPr>
        <w:rFonts w:hint="default"/>
        <w:lang w:val="en-US" w:eastAsia="en-US" w:bidi="ar-SA"/>
      </w:rPr>
    </w:lvl>
    <w:lvl w:ilvl="6">
      <w:start w:val="0"/>
      <w:numFmt w:val="bullet"/>
      <w:lvlText w:val="•"/>
      <w:lvlJc w:val="left"/>
      <w:pPr>
        <w:ind w:left="7647" w:hanging="595"/>
      </w:pPr>
      <w:rPr>
        <w:rFonts w:hint="default"/>
        <w:lang w:val="en-US" w:eastAsia="en-US" w:bidi="ar-SA"/>
      </w:rPr>
    </w:lvl>
    <w:lvl w:ilvl="7">
      <w:start w:val="0"/>
      <w:numFmt w:val="bullet"/>
      <w:lvlText w:val="•"/>
      <w:lvlJc w:val="left"/>
      <w:pPr>
        <w:ind w:left="8532" w:hanging="595"/>
      </w:pPr>
      <w:rPr>
        <w:rFonts w:hint="default"/>
        <w:lang w:val="en-US" w:eastAsia="en-US" w:bidi="ar-SA"/>
      </w:rPr>
    </w:lvl>
    <w:lvl w:ilvl="8">
      <w:start w:val="0"/>
      <w:numFmt w:val="bullet"/>
      <w:lvlText w:val="•"/>
      <w:lvlJc w:val="left"/>
      <w:pPr>
        <w:ind w:left="9417" w:hanging="595"/>
      </w:pPr>
      <w:rPr>
        <w:rFonts w:hint="default"/>
        <w:lang w:val="en-US" w:eastAsia="en-US" w:bidi="ar-SA"/>
      </w:rPr>
    </w:lvl>
  </w:abstractNum>
  <w:abstractNum w:abstractNumId="202">
    <w:multiLevelType w:val="hybridMultilevel"/>
    <w:lvl w:ilvl="0">
      <w:start w:val="1"/>
      <w:numFmt w:val="lowerLetter"/>
      <w:lvlText w:val="%1)"/>
      <w:lvlJc w:val="left"/>
      <w:pPr>
        <w:ind w:left="2422" w:hanging="272"/>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2422"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4173" w:hanging="360"/>
      </w:pPr>
      <w:rPr>
        <w:rFonts w:hint="default"/>
        <w:lang w:val="en-US" w:eastAsia="en-US" w:bidi="ar-SA"/>
      </w:rPr>
    </w:lvl>
    <w:lvl w:ilvl="3">
      <w:start w:val="0"/>
      <w:numFmt w:val="bullet"/>
      <w:lvlText w:val="•"/>
      <w:lvlJc w:val="left"/>
      <w:pPr>
        <w:ind w:left="5049" w:hanging="360"/>
      </w:pPr>
      <w:rPr>
        <w:rFonts w:hint="default"/>
        <w:lang w:val="en-US" w:eastAsia="en-US" w:bidi="ar-SA"/>
      </w:rPr>
    </w:lvl>
    <w:lvl w:ilvl="4">
      <w:start w:val="0"/>
      <w:numFmt w:val="bullet"/>
      <w:lvlText w:val="•"/>
      <w:lvlJc w:val="left"/>
      <w:pPr>
        <w:ind w:left="5926" w:hanging="360"/>
      </w:pPr>
      <w:rPr>
        <w:rFonts w:hint="default"/>
        <w:lang w:val="en-US" w:eastAsia="en-US" w:bidi="ar-SA"/>
      </w:rPr>
    </w:lvl>
    <w:lvl w:ilvl="5">
      <w:start w:val="0"/>
      <w:numFmt w:val="bullet"/>
      <w:lvlText w:val="•"/>
      <w:lvlJc w:val="left"/>
      <w:pPr>
        <w:ind w:left="6803" w:hanging="360"/>
      </w:pPr>
      <w:rPr>
        <w:rFonts w:hint="default"/>
        <w:lang w:val="en-US" w:eastAsia="en-US" w:bidi="ar-SA"/>
      </w:rPr>
    </w:lvl>
    <w:lvl w:ilvl="6">
      <w:start w:val="0"/>
      <w:numFmt w:val="bullet"/>
      <w:lvlText w:val="•"/>
      <w:lvlJc w:val="left"/>
      <w:pPr>
        <w:ind w:left="7679" w:hanging="360"/>
      </w:pPr>
      <w:rPr>
        <w:rFonts w:hint="default"/>
        <w:lang w:val="en-US" w:eastAsia="en-US" w:bidi="ar-SA"/>
      </w:rPr>
    </w:lvl>
    <w:lvl w:ilvl="7">
      <w:start w:val="0"/>
      <w:numFmt w:val="bullet"/>
      <w:lvlText w:val="•"/>
      <w:lvlJc w:val="left"/>
      <w:pPr>
        <w:ind w:left="8556" w:hanging="360"/>
      </w:pPr>
      <w:rPr>
        <w:rFonts w:hint="default"/>
        <w:lang w:val="en-US" w:eastAsia="en-US" w:bidi="ar-SA"/>
      </w:rPr>
    </w:lvl>
    <w:lvl w:ilvl="8">
      <w:start w:val="0"/>
      <w:numFmt w:val="bullet"/>
      <w:lvlText w:val="•"/>
      <w:lvlJc w:val="left"/>
      <w:pPr>
        <w:ind w:left="9433" w:hanging="360"/>
      </w:pPr>
      <w:rPr>
        <w:rFonts w:hint="default"/>
        <w:lang w:val="en-US" w:eastAsia="en-US" w:bidi="ar-SA"/>
      </w:rPr>
    </w:lvl>
  </w:abstractNum>
  <w:abstractNum w:abstractNumId="201">
    <w:multiLevelType w:val="hybridMultilevel"/>
    <w:lvl w:ilvl="0">
      <w:start w:val="1"/>
      <w:numFmt w:val="lowerRoman"/>
      <w:lvlText w:val="%1."/>
      <w:lvlJc w:val="left"/>
      <w:pPr>
        <w:ind w:left="2062" w:hanging="150"/>
        <w:jc w:val="right"/>
      </w:pPr>
      <w:rPr>
        <w:rFonts w:hint="default" w:ascii="Bookman Old Style" w:hAnsi="Bookman Old Style" w:eastAsia="Bookman Old Style" w:cs="Bookman Old Style"/>
        <w:b w:val="0"/>
        <w:bCs w:val="0"/>
        <w:i w:val="0"/>
        <w:iCs w:val="0"/>
        <w:spacing w:val="0"/>
        <w:w w:val="94"/>
        <w:sz w:val="22"/>
        <w:szCs w:val="22"/>
        <w:lang w:val="en-US" w:eastAsia="en-US" w:bidi="ar-SA"/>
      </w:rPr>
    </w:lvl>
    <w:lvl w:ilvl="1">
      <w:start w:val="0"/>
      <w:numFmt w:val="bullet"/>
      <w:lvlText w:val="•"/>
      <w:lvlJc w:val="left"/>
      <w:pPr>
        <w:ind w:left="2972" w:hanging="150"/>
      </w:pPr>
      <w:rPr>
        <w:rFonts w:hint="default"/>
        <w:lang w:val="en-US" w:eastAsia="en-US" w:bidi="ar-SA"/>
      </w:rPr>
    </w:lvl>
    <w:lvl w:ilvl="2">
      <w:start w:val="0"/>
      <w:numFmt w:val="bullet"/>
      <w:lvlText w:val="•"/>
      <w:lvlJc w:val="left"/>
      <w:pPr>
        <w:ind w:left="3885" w:hanging="150"/>
      </w:pPr>
      <w:rPr>
        <w:rFonts w:hint="default"/>
        <w:lang w:val="en-US" w:eastAsia="en-US" w:bidi="ar-SA"/>
      </w:rPr>
    </w:lvl>
    <w:lvl w:ilvl="3">
      <w:start w:val="0"/>
      <w:numFmt w:val="bullet"/>
      <w:lvlText w:val="•"/>
      <w:lvlJc w:val="left"/>
      <w:pPr>
        <w:ind w:left="4797" w:hanging="150"/>
      </w:pPr>
      <w:rPr>
        <w:rFonts w:hint="default"/>
        <w:lang w:val="en-US" w:eastAsia="en-US" w:bidi="ar-SA"/>
      </w:rPr>
    </w:lvl>
    <w:lvl w:ilvl="4">
      <w:start w:val="0"/>
      <w:numFmt w:val="bullet"/>
      <w:lvlText w:val="•"/>
      <w:lvlJc w:val="left"/>
      <w:pPr>
        <w:ind w:left="5710" w:hanging="150"/>
      </w:pPr>
      <w:rPr>
        <w:rFonts w:hint="default"/>
        <w:lang w:val="en-US" w:eastAsia="en-US" w:bidi="ar-SA"/>
      </w:rPr>
    </w:lvl>
    <w:lvl w:ilvl="5">
      <w:start w:val="0"/>
      <w:numFmt w:val="bullet"/>
      <w:lvlText w:val="•"/>
      <w:lvlJc w:val="left"/>
      <w:pPr>
        <w:ind w:left="6623" w:hanging="150"/>
      </w:pPr>
      <w:rPr>
        <w:rFonts w:hint="default"/>
        <w:lang w:val="en-US" w:eastAsia="en-US" w:bidi="ar-SA"/>
      </w:rPr>
    </w:lvl>
    <w:lvl w:ilvl="6">
      <w:start w:val="0"/>
      <w:numFmt w:val="bullet"/>
      <w:lvlText w:val="•"/>
      <w:lvlJc w:val="left"/>
      <w:pPr>
        <w:ind w:left="7535" w:hanging="150"/>
      </w:pPr>
      <w:rPr>
        <w:rFonts w:hint="default"/>
        <w:lang w:val="en-US" w:eastAsia="en-US" w:bidi="ar-SA"/>
      </w:rPr>
    </w:lvl>
    <w:lvl w:ilvl="7">
      <w:start w:val="0"/>
      <w:numFmt w:val="bullet"/>
      <w:lvlText w:val="•"/>
      <w:lvlJc w:val="left"/>
      <w:pPr>
        <w:ind w:left="8448" w:hanging="150"/>
      </w:pPr>
      <w:rPr>
        <w:rFonts w:hint="default"/>
        <w:lang w:val="en-US" w:eastAsia="en-US" w:bidi="ar-SA"/>
      </w:rPr>
    </w:lvl>
    <w:lvl w:ilvl="8">
      <w:start w:val="0"/>
      <w:numFmt w:val="bullet"/>
      <w:lvlText w:val="•"/>
      <w:lvlJc w:val="left"/>
      <w:pPr>
        <w:ind w:left="9361" w:hanging="150"/>
      </w:pPr>
      <w:rPr>
        <w:rFonts w:hint="default"/>
        <w:lang w:val="en-US" w:eastAsia="en-US" w:bidi="ar-SA"/>
      </w:rPr>
    </w:lvl>
  </w:abstractNum>
  <w:abstractNum w:abstractNumId="200">
    <w:multiLevelType w:val="hybridMultilevel"/>
    <w:lvl w:ilvl="0">
      <w:start w:val="3"/>
      <w:numFmt w:val="lowerLetter"/>
      <w:lvlText w:val="%1."/>
      <w:lvlJc w:val="left"/>
      <w:pPr>
        <w:ind w:left="2062" w:hanging="29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291"/>
      </w:pPr>
      <w:rPr>
        <w:rFonts w:hint="default"/>
        <w:lang w:val="en-US" w:eastAsia="en-US" w:bidi="ar-SA"/>
      </w:rPr>
    </w:lvl>
    <w:lvl w:ilvl="2">
      <w:start w:val="0"/>
      <w:numFmt w:val="bullet"/>
      <w:lvlText w:val="•"/>
      <w:lvlJc w:val="left"/>
      <w:pPr>
        <w:ind w:left="3885" w:hanging="291"/>
      </w:pPr>
      <w:rPr>
        <w:rFonts w:hint="default"/>
        <w:lang w:val="en-US" w:eastAsia="en-US" w:bidi="ar-SA"/>
      </w:rPr>
    </w:lvl>
    <w:lvl w:ilvl="3">
      <w:start w:val="0"/>
      <w:numFmt w:val="bullet"/>
      <w:lvlText w:val="•"/>
      <w:lvlJc w:val="left"/>
      <w:pPr>
        <w:ind w:left="4797" w:hanging="291"/>
      </w:pPr>
      <w:rPr>
        <w:rFonts w:hint="default"/>
        <w:lang w:val="en-US" w:eastAsia="en-US" w:bidi="ar-SA"/>
      </w:rPr>
    </w:lvl>
    <w:lvl w:ilvl="4">
      <w:start w:val="0"/>
      <w:numFmt w:val="bullet"/>
      <w:lvlText w:val="•"/>
      <w:lvlJc w:val="left"/>
      <w:pPr>
        <w:ind w:left="5710" w:hanging="291"/>
      </w:pPr>
      <w:rPr>
        <w:rFonts w:hint="default"/>
        <w:lang w:val="en-US" w:eastAsia="en-US" w:bidi="ar-SA"/>
      </w:rPr>
    </w:lvl>
    <w:lvl w:ilvl="5">
      <w:start w:val="0"/>
      <w:numFmt w:val="bullet"/>
      <w:lvlText w:val="•"/>
      <w:lvlJc w:val="left"/>
      <w:pPr>
        <w:ind w:left="6623" w:hanging="291"/>
      </w:pPr>
      <w:rPr>
        <w:rFonts w:hint="default"/>
        <w:lang w:val="en-US" w:eastAsia="en-US" w:bidi="ar-SA"/>
      </w:rPr>
    </w:lvl>
    <w:lvl w:ilvl="6">
      <w:start w:val="0"/>
      <w:numFmt w:val="bullet"/>
      <w:lvlText w:val="•"/>
      <w:lvlJc w:val="left"/>
      <w:pPr>
        <w:ind w:left="7535" w:hanging="291"/>
      </w:pPr>
      <w:rPr>
        <w:rFonts w:hint="default"/>
        <w:lang w:val="en-US" w:eastAsia="en-US" w:bidi="ar-SA"/>
      </w:rPr>
    </w:lvl>
    <w:lvl w:ilvl="7">
      <w:start w:val="0"/>
      <w:numFmt w:val="bullet"/>
      <w:lvlText w:val="•"/>
      <w:lvlJc w:val="left"/>
      <w:pPr>
        <w:ind w:left="8448" w:hanging="291"/>
      </w:pPr>
      <w:rPr>
        <w:rFonts w:hint="default"/>
        <w:lang w:val="en-US" w:eastAsia="en-US" w:bidi="ar-SA"/>
      </w:rPr>
    </w:lvl>
    <w:lvl w:ilvl="8">
      <w:start w:val="0"/>
      <w:numFmt w:val="bullet"/>
      <w:lvlText w:val="•"/>
      <w:lvlJc w:val="left"/>
      <w:pPr>
        <w:ind w:left="9361" w:hanging="291"/>
      </w:pPr>
      <w:rPr>
        <w:rFonts w:hint="default"/>
        <w:lang w:val="en-US" w:eastAsia="en-US" w:bidi="ar-SA"/>
      </w:rPr>
    </w:lvl>
  </w:abstractNum>
  <w:abstractNum w:abstractNumId="199">
    <w:multiLevelType w:val="hybridMultilevel"/>
    <w:lvl w:ilvl="0">
      <w:start w:val="1"/>
      <w:numFmt w:val="upperLetter"/>
      <w:lvlText w:val="(%1)"/>
      <w:lvlJc w:val="left"/>
      <w:pPr>
        <w:ind w:left="2062" w:hanging="360"/>
        <w:jc w:val="left"/>
      </w:pPr>
      <w:rPr>
        <w:rFonts w:hint="default"/>
        <w:spacing w:val="0"/>
        <w:w w:val="100"/>
        <w:lang w:val="en-US" w:eastAsia="en-US" w:bidi="ar-SA"/>
      </w:rPr>
    </w:lvl>
    <w:lvl w:ilvl="1">
      <w:start w:val="1"/>
      <w:numFmt w:val="lowerLetter"/>
      <w:lvlText w:val="%2)"/>
      <w:lvlJc w:val="left"/>
      <w:pPr>
        <w:ind w:left="2062" w:hanging="27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885" w:hanging="272"/>
      </w:pPr>
      <w:rPr>
        <w:rFonts w:hint="default"/>
        <w:lang w:val="en-US" w:eastAsia="en-US" w:bidi="ar-SA"/>
      </w:rPr>
    </w:lvl>
    <w:lvl w:ilvl="3">
      <w:start w:val="0"/>
      <w:numFmt w:val="bullet"/>
      <w:lvlText w:val="•"/>
      <w:lvlJc w:val="left"/>
      <w:pPr>
        <w:ind w:left="4797" w:hanging="272"/>
      </w:pPr>
      <w:rPr>
        <w:rFonts w:hint="default"/>
        <w:lang w:val="en-US" w:eastAsia="en-US" w:bidi="ar-SA"/>
      </w:rPr>
    </w:lvl>
    <w:lvl w:ilvl="4">
      <w:start w:val="0"/>
      <w:numFmt w:val="bullet"/>
      <w:lvlText w:val="•"/>
      <w:lvlJc w:val="left"/>
      <w:pPr>
        <w:ind w:left="5710" w:hanging="272"/>
      </w:pPr>
      <w:rPr>
        <w:rFonts w:hint="default"/>
        <w:lang w:val="en-US" w:eastAsia="en-US" w:bidi="ar-SA"/>
      </w:rPr>
    </w:lvl>
    <w:lvl w:ilvl="5">
      <w:start w:val="0"/>
      <w:numFmt w:val="bullet"/>
      <w:lvlText w:val="•"/>
      <w:lvlJc w:val="left"/>
      <w:pPr>
        <w:ind w:left="6623" w:hanging="272"/>
      </w:pPr>
      <w:rPr>
        <w:rFonts w:hint="default"/>
        <w:lang w:val="en-US" w:eastAsia="en-US" w:bidi="ar-SA"/>
      </w:rPr>
    </w:lvl>
    <w:lvl w:ilvl="6">
      <w:start w:val="0"/>
      <w:numFmt w:val="bullet"/>
      <w:lvlText w:val="•"/>
      <w:lvlJc w:val="left"/>
      <w:pPr>
        <w:ind w:left="7535" w:hanging="272"/>
      </w:pPr>
      <w:rPr>
        <w:rFonts w:hint="default"/>
        <w:lang w:val="en-US" w:eastAsia="en-US" w:bidi="ar-SA"/>
      </w:rPr>
    </w:lvl>
    <w:lvl w:ilvl="7">
      <w:start w:val="0"/>
      <w:numFmt w:val="bullet"/>
      <w:lvlText w:val="•"/>
      <w:lvlJc w:val="left"/>
      <w:pPr>
        <w:ind w:left="8448" w:hanging="272"/>
      </w:pPr>
      <w:rPr>
        <w:rFonts w:hint="default"/>
        <w:lang w:val="en-US" w:eastAsia="en-US" w:bidi="ar-SA"/>
      </w:rPr>
    </w:lvl>
    <w:lvl w:ilvl="8">
      <w:start w:val="0"/>
      <w:numFmt w:val="bullet"/>
      <w:lvlText w:val="•"/>
      <w:lvlJc w:val="left"/>
      <w:pPr>
        <w:ind w:left="9361" w:hanging="272"/>
      </w:pPr>
      <w:rPr>
        <w:rFonts w:hint="default"/>
        <w:lang w:val="en-US" w:eastAsia="en-US" w:bidi="ar-SA"/>
      </w:rPr>
    </w:lvl>
  </w:abstractNum>
  <w:abstractNum w:abstractNumId="198">
    <w:multiLevelType w:val="hybridMultilevel"/>
    <w:lvl w:ilvl="0">
      <w:start w:val="1"/>
      <w:numFmt w:val="upperLetter"/>
      <w:lvlText w:val="(%1)"/>
      <w:lvlJc w:val="left"/>
      <w:pPr>
        <w:ind w:left="2062" w:hanging="442"/>
        <w:jc w:val="right"/>
      </w:pPr>
      <w:rPr>
        <w:rFonts w:hint="default"/>
        <w:spacing w:val="0"/>
        <w:w w:val="93"/>
        <w:lang w:val="en-US" w:eastAsia="en-US" w:bidi="ar-SA"/>
      </w:rPr>
    </w:lvl>
    <w:lvl w:ilvl="1">
      <w:start w:val="0"/>
      <w:numFmt w:val="bullet"/>
      <w:lvlText w:val="•"/>
      <w:lvlJc w:val="left"/>
      <w:pPr>
        <w:ind w:left="2972" w:hanging="442"/>
      </w:pPr>
      <w:rPr>
        <w:rFonts w:hint="default"/>
        <w:lang w:val="en-US" w:eastAsia="en-US" w:bidi="ar-SA"/>
      </w:rPr>
    </w:lvl>
    <w:lvl w:ilvl="2">
      <w:start w:val="0"/>
      <w:numFmt w:val="bullet"/>
      <w:lvlText w:val="•"/>
      <w:lvlJc w:val="left"/>
      <w:pPr>
        <w:ind w:left="3885" w:hanging="442"/>
      </w:pPr>
      <w:rPr>
        <w:rFonts w:hint="default"/>
        <w:lang w:val="en-US" w:eastAsia="en-US" w:bidi="ar-SA"/>
      </w:rPr>
    </w:lvl>
    <w:lvl w:ilvl="3">
      <w:start w:val="0"/>
      <w:numFmt w:val="bullet"/>
      <w:lvlText w:val="•"/>
      <w:lvlJc w:val="left"/>
      <w:pPr>
        <w:ind w:left="4797" w:hanging="442"/>
      </w:pPr>
      <w:rPr>
        <w:rFonts w:hint="default"/>
        <w:lang w:val="en-US" w:eastAsia="en-US" w:bidi="ar-SA"/>
      </w:rPr>
    </w:lvl>
    <w:lvl w:ilvl="4">
      <w:start w:val="0"/>
      <w:numFmt w:val="bullet"/>
      <w:lvlText w:val="•"/>
      <w:lvlJc w:val="left"/>
      <w:pPr>
        <w:ind w:left="5710" w:hanging="442"/>
      </w:pPr>
      <w:rPr>
        <w:rFonts w:hint="default"/>
        <w:lang w:val="en-US" w:eastAsia="en-US" w:bidi="ar-SA"/>
      </w:rPr>
    </w:lvl>
    <w:lvl w:ilvl="5">
      <w:start w:val="0"/>
      <w:numFmt w:val="bullet"/>
      <w:lvlText w:val="•"/>
      <w:lvlJc w:val="left"/>
      <w:pPr>
        <w:ind w:left="6623" w:hanging="442"/>
      </w:pPr>
      <w:rPr>
        <w:rFonts w:hint="default"/>
        <w:lang w:val="en-US" w:eastAsia="en-US" w:bidi="ar-SA"/>
      </w:rPr>
    </w:lvl>
    <w:lvl w:ilvl="6">
      <w:start w:val="0"/>
      <w:numFmt w:val="bullet"/>
      <w:lvlText w:val="•"/>
      <w:lvlJc w:val="left"/>
      <w:pPr>
        <w:ind w:left="7535" w:hanging="442"/>
      </w:pPr>
      <w:rPr>
        <w:rFonts w:hint="default"/>
        <w:lang w:val="en-US" w:eastAsia="en-US" w:bidi="ar-SA"/>
      </w:rPr>
    </w:lvl>
    <w:lvl w:ilvl="7">
      <w:start w:val="0"/>
      <w:numFmt w:val="bullet"/>
      <w:lvlText w:val="•"/>
      <w:lvlJc w:val="left"/>
      <w:pPr>
        <w:ind w:left="8448" w:hanging="442"/>
      </w:pPr>
      <w:rPr>
        <w:rFonts w:hint="default"/>
        <w:lang w:val="en-US" w:eastAsia="en-US" w:bidi="ar-SA"/>
      </w:rPr>
    </w:lvl>
    <w:lvl w:ilvl="8">
      <w:start w:val="0"/>
      <w:numFmt w:val="bullet"/>
      <w:lvlText w:val="•"/>
      <w:lvlJc w:val="left"/>
      <w:pPr>
        <w:ind w:left="9361" w:hanging="442"/>
      </w:pPr>
      <w:rPr>
        <w:rFonts w:hint="default"/>
        <w:lang w:val="en-US" w:eastAsia="en-US" w:bidi="ar-SA"/>
      </w:rPr>
    </w:lvl>
  </w:abstractNum>
  <w:abstractNum w:abstractNumId="197">
    <w:multiLevelType w:val="hybridMultilevel"/>
    <w:lvl w:ilvl="0">
      <w:start w:val="1"/>
      <w:numFmt w:val="lowerRoman"/>
      <w:lvlText w:val="(%1)"/>
      <w:lvlJc w:val="left"/>
      <w:pPr>
        <w:ind w:left="2062" w:hanging="644"/>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644"/>
      </w:pPr>
      <w:rPr>
        <w:rFonts w:hint="default"/>
        <w:lang w:val="en-US" w:eastAsia="en-US" w:bidi="ar-SA"/>
      </w:rPr>
    </w:lvl>
    <w:lvl w:ilvl="2">
      <w:start w:val="0"/>
      <w:numFmt w:val="bullet"/>
      <w:lvlText w:val="•"/>
      <w:lvlJc w:val="left"/>
      <w:pPr>
        <w:ind w:left="3885" w:hanging="644"/>
      </w:pPr>
      <w:rPr>
        <w:rFonts w:hint="default"/>
        <w:lang w:val="en-US" w:eastAsia="en-US" w:bidi="ar-SA"/>
      </w:rPr>
    </w:lvl>
    <w:lvl w:ilvl="3">
      <w:start w:val="0"/>
      <w:numFmt w:val="bullet"/>
      <w:lvlText w:val="•"/>
      <w:lvlJc w:val="left"/>
      <w:pPr>
        <w:ind w:left="4797" w:hanging="644"/>
      </w:pPr>
      <w:rPr>
        <w:rFonts w:hint="default"/>
        <w:lang w:val="en-US" w:eastAsia="en-US" w:bidi="ar-SA"/>
      </w:rPr>
    </w:lvl>
    <w:lvl w:ilvl="4">
      <w:start w:val="0"/>
      <w:numFmt w:val="bullet"/>
      <w:lvlText w:val="•"/>
      <w:lvlJc w:val="left"/>
      <w:pPr>
        <w:ind w:left="5710" w:hanging="644"/>
      </w:pPr>
      <w:rPr>
        <w:rFonts w:hint="default"/>
        <w:lang w:val="en-US" w:eastAsia="en-US" w:bidi="ar-SA"/>
      </w:rPr>
    </w:lvl>
    <w:lvl w:ilvl="5">
      <w:start w:val="0"/>
      <w:numFmt w:val="bullet"/>
      <w:lvlText w:val="•"/>
      <w:lvlJc w:val="left"/>
      <w:pPr>
        <w:ind w:left="6623" w:hanging="644"/>
      </w:pPr>
      <w:rPr>
        <w:rFonts w:hint="default"/>
        <w:lang w:val="en-US" w:eastAsia="en-US" w:bidi="ar-SA"/>
      </w:rPr>
    </w:lvl>
    <w:lvl w:ilvl="6">
      <w:start w:val="0"/>
      <w:numFmt w:val="bullet"/>
      <w:lvlText w:val="•"/>
      <w:lvlJc w:val="left"/>
      <w:pPr>
        <w:ind w:left="7535" w:hanging="644"/>
      </w:pPr>
      <w:rPr>
        <w:rFonts w:hint="default"/>
        <w:lang w:val="en-US" w:eastAsia="en-US" w:bidi="ar-SA"/>
      </w:rPr>
    </w:lvl>
    <w:lvl w:ilvl="7">
      <w:start w:val="0"/>
      <w:numFmt w:val="bullet"/>
      <w:lvlText w:val="•"/>
      <w:lvlJc w:val="left"/>
      <w:pPr>
        <w:ind w:left="8448" w:hanging="644"/>
      </w:pPr>
      <w:rPr>
        <w:rFonts w:hint="default"/>
        <w:lang w:val="en-US" w:eastAsia="en-US" w:bidi="ar-SA"/>
      </w:rPr>
    </w:lvl>
    <w:lvl w:ilvl="8">
      <w:start w:val="0"/>
      <w:numFmt w:val="bullet"/>
      <w:lvlText w:val="•"/>
      <w:lvlJc w:val="left"/>
      <w:pPr>
        <w:ind w:left="9361" w:hanging="644"/>
      </w:pPr>
      <w:rPr>
        <w:rFonts w:hint="default"/>
        <w:lang w:val="en-US" w:eastAsia="en-US" w:bidi="ar-SA"/>
      </w:rPr>
    </w:lvl>
  </w:abstractNum>
  <w:abstractNum w:abstractNumId="196">
    <w:multiLevelType w:val="hybridMultilevel"/>
    <w:lvl w:ilvl="0">
      <w:start w:val="5"/>
      <w:numFmt w:val="decimal"/>
      <w:lvlText w:val="%1"/>
      <w:lvlJc w:val="left"/>
      <w:pPr>
        <w:ind w:left="2782" w:hanging="720"/>
        <w:jc w:val="left"/>
      </w:pPr>
      <w:rPr>
        <w:rFonts w:hint="default"/>
        <w:lang w:val="en-US" w:eastAsia="en-US" w:bidi="ar-SA"/>
      </w:rPr>
    </w:lvl>
    <w:lvl w:ilvl="1">
      <w:start w:val="4"/>
      <w:numFmt w:val="decimal"/>
      <w:lvlText w:val="%1.%2"/>
      <w:lvlJc w:val="left"/>
      <w:pPr>
        <w:ind w:left="2782" w:hanging="720"/>
        <w:jc w:val="left"/>
      </w:pPr>
      <w:rPr>
        <w:rFonts w:hint="default" w:ascii="Bookman Old Style" w:hAnsi="Bookman Old Style" w:eastAsia="Bookman Old Style" w:cs="Bookman Old Style"/>
        <w:b w:val="0"/>
        <w:bCs w:val="0"/>
        <w:i w:val="0"/>
        <w:iCs w:val="0"/>
        <w:spacing w:val="-1"/>
        <w:w w:val="100"/>
        <w:sz w:val="24"/>
        <w:szCs w:val="24"/>
        <w:lang w:val="en-US" w:eastAsia="en-US" w:bidi="ar-SA"/>
      </w:rPr>
    </w:lvl>
    <w:lvl w:ilvl="2">
      <w:start w:val="0"/>
      <w:numFmt w:val="bullet"/>
      <w:lvlText w:val="•"/>
      <w:lvlJc w:val="left"/>
      <w:pPr>
        <w:ind w:left="4461" w:hanging="720"/>
      </w:pPr>
      <w:rPr>
        <w:rFonts w:hint="default"/>
        <w:lang w:val="en-US" w:eastAsia="en-US" w:bidi="ar-SA"/>
      </w:rPr>
    </w:lvl>
    <w:lvl w:ilvl="3">
      <w:start w:val="0"/>
      <w:numFmt w:val="bullet"/>
      <w:lvlText w:val="•"/>
      <w:lvlJc w:val="left"/>
      <w:pPr>
        <w:ind w:left="5301" w:hanging="720"/>
      </w:pPr>
      <w:rPr>
        <w:rFonts w:hint="default"/>
        <w:lang w:val="en-US" w:eastAsia="en-US" w:bidi="ar-SA"/>
      </w:rPr>
    </w:lvl>
    <w:lvl w:ilvl="4">
      <w:start w:val="0"/>
      <w:numFmt w:val="bullet"/>
      <w:lvlText w:val="•"/>
      <w:lvlJc w:val="left"/>
      <w:pPr>
        <w:ind w:left="6142" w:hanging="720"/>
      </w:pPr>
      <w:rPr>
        <w:rFonts w:hint="default"/>
        <w:lang w:val="en-US" w:eastAsia="en-US" w:bidi="ar-SA"/>
      </w:rPr>
    </w:lvl>
    <w:lvl w:ilvl="5">
      <w:start w:val="0"/>
      <w:numFmt w:val="bullet"/>
      <w:lvlText w:val="•"/>
      <w:lvlJc w:val="left"/>
      <w:pPr>
        <w:ind w:left="6983" w:hanging="720"/>
      </w:pPr>
      <w:rPr>
        <w:rFonts w:hint="default"/>
        <w:lang w:val="en-US" w:eastAsia="en-US" w:bidi="ar-SA"/>
      </w:rPr>
    </w:lvl>
    <w:lvl w:ilvl="6">
      <w:start w:val="0"/>
      <w:numFmt w:val="bullet"/>
      <w:lvlText w:val="•"/>
      <w:lvlJc w:val="left"/>
      <w:pPr>
        <w:ind w:left="7823" w:hanging="720"/>
      </w:pPr>
      <w:rPr>
        <w:rFonts w:hint="default"/>
        <w:lang w:val="en-US" w:eastAsia="en-US" w:bidi="ar-SA"/>
      </w:rPr>
    </w:lvl>
    <w:lvl w:ilvl="7">
      <w:start w:val="0"/>
      <w:numFmt w:val="bullet"/>
      <w:lvlText w:val="•"/>
      <w:lvlJc w:val="left"/>
      <w:pPr>
        <w:ind w:left="8664" w:hanging="720"/>
      </w:pPr>
      <w:rPr>
        <w:rFonts w:hint="default"/>
        <w:lang w:val="en-US" w:eastAsia="en-US" w:bidi="ar-SA"/>
      </w:rPr>
    </w:lvl>
    <w:lvl w:ilvl="8">
      <w:start w:val="0"/>
      <w:numFmt w:val="bullet"/>
      <w:lvlText w:val="•"/>
      <w:lvlJc w:val="left"/>
      <w:pPr>
        <w:ind w:left="9505" w:hanging="720"/>
      </w:pPr>
      <w:rPr>
        <w:rFonts w:hint="default"/>
        <w:lang w:val="en-US" w:eastAsia="en-US" w:bidi="ar-SA"/>
      </w:rPr>
    </w:lvl>
  </w:abstractNum>
  <w:abstractNum w:abstractNumId="195">
    <w:multiLevelType w:val="hybridMultilevel"/>
    <w:lvl w:ilvl="0">
      <w:start w:val="1"/>
      <w:numFmt w:val="lowerRoman"/>
      <w:lvlText w:val="%1)"/>
      <w:lvlJc w:val="left"/>
      <w:pPr>
        <w:ind w:left="206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720"/>
      </w:pPr>
      <w:rPr>
        <w:rFonts w:hint="default"/>
        <w:lang w:val="en-US" w:eastAsia="en-US" w:bidi="ar-SA"/>
      </w:rPr>
    </w:lvl>
    <w:lvl w:ilvl="2">
      <w:start w:val="0"/>
      <w:numFmt w:val="bullet"/>
      <w:lvlText w:val="•"/>
      <w:lvlJc w:val="left"/>
      <w:pPr>
        <w:ind w:left="3885" w:hanging="720"/>
      </w:pPr>
      <w:rPr>
        <w:rFonts w:hint="default"/>
        <w:lang w:val="en-US" w:eastAsia="en-US" w:bidi="ar-SA"/>
      </w:rPr>
    </w:lvl>
    <w:lvl w:ilvl="3">
      <w:start w:val="0"/>
      <w:numFmt w:val="bullet"/>
      <w:lvlText w:val="•"/>
      <w:lvlJc w:val="left"/>
      <w:pPr>
        <w:ind w:left="4797" w:hanging="720"/>
      </w:pPr>
      <w:rPr>
        <w:rFonts w:hint="default"/>
        <w:lang w:val="en-US" w:eastAsia="en-US" w:bidi="ar-SA"/>
      </w:rPr>
    </w:lvl>
    <w:lvl w:ilvl="4">
      <w:start w:val="0"/>
      <w:numFmt w:val="bullet"/>
      <w:lvlText w:val="•"/>
      <w:lvlJc w:val="left"/>
      <w:pPr>
        <w:ind w:left="5710" w:hanging="720"/>
      </w:pPr>
      <w:rPr>
        <w:rFonts w:hint="default"/>
        <w:lang w:val="en-US" w:eastAsia="en-US" w:bidi="ar-SA"/>
      </w:rPr>
    </w:lvl>
    <w:lvl w:ilvl="5">
      <w:start w:val="0"/>
      <w:numFmt w:val="bullet"/>
      <w:lvlText w:val="•"/>
      <w:lvlJc w:val="left"/>
      <w:pPr>
        <w:ind w:left="6623" w:hanging="720"/>
      </w:pPr>
      <w:rPr>
        <w:rFonts w:hint="default"/>
        <w:lang w:val="en-US" w:eastAsia="en-US" w:bidi="ar-SA"/>
      </w:rPr>
    </w:lvl>
    <w:lvl w:ilvl="6">
      <w:start w:val="0"/>
      <w:numFmt w:val="bullet"/>
      <w:lvlText w:val="•"/>
      <w:lvlJc w:val="left"/>
      <w:pPr>
        <w:ind w:left="7535" w:hanging="720"/>
      </w:pPr>
      <w:rPr>
        <w:rFonts w:hint="default"/>
        <w:lang w:val="en-US" w:eastAsia="en-US" w:bidi="ar-SA"/>
      </w:rPr>
    </w:lvl>
    <w:lvl w:ilvl="7">
      <w:start w:val="0"/>
      <w:numFmt w:val="bullet"/>
      <w:lvlText w:val="•"/>
      <w:lvlJc w:val="left"/>
      <w:pPr>
        <w:ind w:left="8448" w:hanging="720"/>
      </w:pPr>
      <w:rPr>
        <w:rFonts w:hint="default"/>
        <w:lang w:val="en-US" w:eastAsia="en-US" w:bidi="ar-SA"/>
      </w:rPr>
    </w:lvl>
    <w:lvl w:ilvl="8">
      <w:start w:val="0"/>
      <w:numFmt w:val="bullet"/>
      <w:lvlText w:val="•"/>
      <w:lvlJc w:val="left"/>
      <w:pPr>
        <w:ind w:left="9361" w:hanging="720"/>
      </w:pPr>
      <w:rPr>
        <w:rFonts w:hint="default"/>
        <w:lang w:val="en-US" w:eastAsia="en-US" w:bidi="ar-SA"/>
      </w:rPr>
    </w:lvl>
  </w:abstractNum>
  <w:abstractNum w:abstractNumId="194">
    <w:multiLevelType w:val="hybridMultilevel"/>
    <w:lvl w:ilvl="0">
      <w:start w:val="1"/>
      <w:numFmt w:val="decimal"/>
      <w:lvlText w:val="%1."/>
      <w:lvlJc w:val="left"/>
      <w:pPr>
        <w:ind w:left="2782" w:hanging="720"/>
        <w:jc w:val="right"/>
      </w:pPr>
      <w:rPr>
        <w:rFonts w:hint="default"/>
        <w:spacing w:val="0"/>
        <w:w w:val="100"/>
        <w:lang w:val="en-US" w:eastAsia="en-US" w:bidi="ar-SA"/>
      </w:rPr>
    </w:lvl>
    <w:lvl w:ilvl="1">
      <w:start w:val="1"/>
      <w:numFmt w:val="decimal"/>
      <w:lvlText w:val="%1.%2"/>
      <w:lvlJc w:val="left"/>
      <w:pPr>
        <w:ind w:left="2062" w:hanging="720"/>
        <w:jc w:val="left"/>
      </w:pPr>
      <w:rPr>
        <w:rFonts w:hint="default" w:ascii="Bookman Old Style" w:hAnsi="Bookman Old Style" w:eastAsia="Bookman Old Style" w:cs="Bookman Old Style"/>
        <w:b w:val="0"/>
        <w:bCs w:val="0"/>
        <w:i w:val="0"/>
        <w:iCs w:val="0"/>
        <w:spacing w:val="-1"/>
        <w:w w:val="96"/>
        <w:sz w:val="24"/>
        <w:szCs w:val="24"/>
        <w:lang w:val="en-US" w:eastAsia="en-US" w:bidi="ar-SA"/>
      </w:rPr>
    </w:lvl>
    <w:lvl w:ilvl="2">
      <w:start w:val="0"/>
      <w:numFmt w:val="bullet"/>
      <w:lvlText w:val="•"/>
      <w:lvlJc w:val="left"/>
      <w:pPr>
        <w:ind w:left="3714" w:hanging="720"/>
      </w:pPr>
      <w:rPr>
        <w:rFonts w:hint="default"/>
        <w:lang w:val="en-US" w:eastAsia="en-US" w:bidi="ar-SA"/>
      </w:rPr>
    </w:lvl>
    <w:lvl w:ilvl="3">
      <w:start w:val="0"/>
      <w:numFmt w:val="bullet"/>
      <w:lvlText w:val="•"/>
      <w:lvlJc w:val="left"/>
      <w:pPr>
        <w:ind w:left="4648" w:hanging="720"/>
      </w:pPr>
      <w:rPr>
        <w:rFonts w:hint="default"/>
        <w:lang w:val="en-US" w:eastAsia="en-US" w:bidi="ar-SA"/>
      </w:rPr>
    </w:lvl>
    <w:lvl w:ilvl="4">
      <w:start w:val="0"/>
      <w:numFmt w:val="bullet"/>
      <w:lvlText w:val="•"/>
      <w:lvlJc w:val="left"/>
      <w:pPr>
        <w:ind w:left="5582" w:hanging="720"/>
      </w:pPr>
      <w:rPr>
        <w:rFonts w:hint="default"/>
        <w:lang w:val="en-US" w:eastAsia="en-US" w:bidi="ar-SA"/>
      </w:rPr>
    </w:lvl>
    <w:lvl w:ilvl="5">
      <w:start w:val="0"/>
      <w:numFmt w:val="bullet"/>
      <w:lvlText w:val="•"/>
      <w:lvlJc w:val="left"/>
      <w:pPr>
        <w:ind w:left="6516" w:hanging="720"/>
      </w:pPr>
      <w:rPr>
        <w:rFonts w:hint="default"/>
        <w:lang w:val="en-US" w:eastAsia="en-US" w:bidi="ar-SA"/>
      </w:rPr>
    </w:lvl>
    <w:lvl w:ilvl="6">
      <w:start w:val="0"/>
      <w:numFmt w:val="bullet"/>
      <w:lvlText w:val="•"/>
      <w:lvlJc w:val="left"/>
      <w:pPr>
        <w:ind w:left="7450" w:hanging="720"/>
      </w:pPr>
      <w:rPr>
        <w:rFonts w:hint="default"/>
        <w:lang w:val="en-US" w:eastAsia="en-US" w:bidi="ar-SA"/>
      </w:rPr>
    </w:lvl>
    <w:lvl w:ilvl="7">
      <w:start w:val="0"/>
      <w:numFmt w:val="bullet"/>
      <w:lvlText w:val="•"/>
      <w:lvlJc w:val="left"/>
      <w:pPr>
        <w:ind w:left="8384" w:hanging="720"/>
      </w:pPr>
      <w:rPr>
        <w:rFonts w:hint="default"/>
        <w:lang w:val="en-US" w:eastAsia="en-US" w:bidi="ar-SA"/>
      </w:rPr>
    </w:lvl>
    <w:lvl w:ilvl="8">
      <w:start w:val="0"/>
      <w:numFmt w:val="bullet"/>
      <w:lvlText w:val="•"/>
      <w:lvlJc w:val="left"/>
      <w:pPr>
        <w:ind w:left="9318" w:hanging="720"/>
      </w:pPr>
      <w:rPr>
        <w:rFonts w:hint="default"/>
        <w:lang w:val="en-US" w:eastAsia="en-US" w:bidi="ar-SA"/>
      </w:rPr>
    </w:lvl>
  </w:abstractNum>
  <w:abstractNum w:abstractNumId="193">
    <w:multiLevelType w:val="hybridMultilevel"/>
    <w:lvl w:ilvl="0">
      <w:start w:val="1"/>
      <w:numFmt w:val="lowerRoman"/>
      <w:lvlText w:val="%1)"/>
      <w:lvlJc w:val="left"/>
      <w:pPr>
        <w:ind w:left="2062" w:hanging="720"/>
        <w:jc w:val="left"/>
      </w:pPr>
      <w:rPr>
        <w:rFonts w:hint="default" w:ascii="Bookman Old Style" w:hAnsi="Bookman Old Style" w:eastAsia="Bookman Old Style" w:cs="Bookman Old Style"/>
        <w:b w:val="0"/>
        <w:bCs w:val="0"/>
        <w:i w:val="0"/>
        <w:iCs w:val="0"/>
        <w:spacing w:val="0"/>
        <w:w w:val="93"/>
        <w:sz w:val="24"/>
        <w:szCs w:val="24"/>
        <w:lang w:val="en-US" w:eastAsia="en-US" w:bidi="ar-SA"/>
      </w:rPr>
    </w:lvl>
    <w:lvl w:ilvl="1">
      <w:start w:val="0"/>
      <w:numFmt w:val="bullet"/>
      <w:lvlText w:val="•"/>
      <w:lvlJc w:val="left"/>
      <w:pPr>
        <w:ind w:left="2972" w:hanging="720"/>
      </w:pPr>
      <w:rPr>
        <w:rFonts w:hint="default"/>
        <w:lang w:val="en-US" w:eastAsia="en-US" w:bidi="ar-SA"/>
      </w:rPr>
    </w:lvl>
    <w:lvl w:ilvl="2">
      <w:start w:val="0"/>
      <w:numFmt w:val="bullet"/>
      <w:lvlText w:val="•"/>
      <w:lvlJc w:val="left"/>
      <w:pPr>
        <w:ind w:left="3885" w:hanging="720"/>
      </w:pPr>
      <w:rPr>
        <w:rFonts w:hint="default"/>
        <w:lang w:val="en-US" w:eastAsia="en-US" w:bidi="ar-SA"/>
      </w:rPr>
    </w:lvl>
    <w:lvl w:ilvl="3">
      <w:start w:val="0"/>
      <w:numFmt w:val="bullet"/>
      <w:lvlText w:val="•"/>
      <w:lvlJc w:val="left"/>
      <w:pPr>
        <w:ind w:left="4797" w:hanging="720"/>
      </w:pPr>
      <w:rPr>
        <w:rFonts w:hint="default"/>
        <w:lang w:val="en-US" w:eastAsia="en-US" w:bidi="ar-SA"/>
      </w:rPr>
    </w:lvl>
    <w:lvl w:ilvl="4">
      <w:start w:val="0"/>
      <w:numFmt w:val="bullet"/>
      <w:lvlText w:val="•"/>
      <w:lvlJc w:val="left"/>
      <w:pPr>
        <w:ind w:left="5710" w:hanging="720"/>
      </w:pPr>
      <w:rPr>
        <w:rFonts w:hint="default"/>
        <w:lang w:val="en-US" w:eastAsia="en-US" w:bidi="ar-SA"/>
      </w:rPr>
    </w:lvl>
    <w:lvl w:ilvl="5">
      <w:start w:val="0"/>
      <w:numFmt w:val="bullet"/>
      <w:lvlText w:val="•"/>
      <w:lvlJc w:val="left"/>
      <w:pPr>
        <w:ind w:left="6623" w:hanging="720"/>
      </w:pPr>
      <w:rPr>
        <w:rFonts w:hint="default"/>
        <w:lang w:val="en-US" w:eastAsia="en-US" w:bidi="ar-SA"/>
      </w:rPr>
    </w:lvl>
    <w:lvl w:ilvl="6">
      <w:start w:val="0"/>
      <w:numFmt w:val="bullet"/>
      <w:lvlText w:val="•"/>
      <w:lvlJc w:val="left"/>
      <w:pPr>
        <w:ind w:left="7535" w:hanging="720"/>
      </w:pPr>
      <w:rPr>
        <w:rFonts w:hint="default"/>
        <w:lang w:val="en-US" w:eastAsia="en-US" w:bidi="ar-SA"/>
      </w:rPr>
    </w:lvl>
    <w:lvl w:ilvl="7">
      <w:start w:val="0"/>
      <w:numFmt w:val="bullet"/>
      <w:lvlText w:val="•"/>
      <w:lvlJc w:val="left"/>
      <w:pPr>
        <w:ind w:left="8448" w:hanging="720"/>
      </w:pPr>
      <w:rPr>
        <w:rFonts w:hint="default"/>
        <w:lang w:val="en-US" w:eastAsia="en-US" w:bidi="ar-SA"/>
      </w:rPr>
    </w:lvl>
    <w:lvl w:ilvl="8">
      <w:start w:val="0"/>
      <w:numFmt w:val="bullet"/>
      <w:lvlText w:val="•"/>
      <w:lvlJc w:val="left"/>
      <w:pPr>
        <w:ind w:left="9361" w:hanging="720"/>
      </w:pPr>
      <w:rPr>
        <w:rFonts w:hint="default"/>
        <w:lang w:val="en-US" w:eastAsia="en-US" w:bidi="ar-SA"/>
      </w:rPr>
    </w:lvl>
  </w:abstractNum>
  <w:abstractNum w:abstractNumId="192">
    <w:multiLevelType w:val="hybridMultilevel"/>
    <w:lvl w:ilvl="0">
      <w:start w:val="1"/>
      <w:numFmt w:val="upperRoman"/>
      <w:lvlText w:val="%1"/>
      <w:lvlJc w:val="left"/>
      <w:pPr>
        <w:ind w:left="2782" w:hanging="720"/>
        <w:jc w:val="left"/>
      </w:pPr>
      <w:rPr>
        <w:rFonts w:hint="default"/>
        <w:spacing w:val="0"/>
        <w:w w:val="100"/>
        <w:lang w:val="en-US" w:eastAsia="en-US" w:bidi="ar-SA"/>
      </w:rPr>
    </w:lvl>
    <w:lvl w:ilvl="1">
      <w:start w:val="1"/>
      <w:numFmt w:val="lowerLetter"/>
      <w:lvlText w:val="(%2)"/>
      <w:lvlJc w:val="left"/>
      <w:pPr>
        <w:ind w:left="206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714" w:hanging="720"/>
      </w:pPr>
      <w:rPr>
        <w:rFonts w:hint="default"/>
        <w:lang w:val="en-US" w:eastAsia="en-US" w:bidi="ar-SA"/>
      </w:rPr>
    </w:lvl>
    <w:lvl w:ilvl="3">
      <w:start w:val="0"/>
      <w:numFmt w:val="bullet"/>
      <w:lvlText w:val="•"/>
      <w:lvlJc w:val="left"/>
      <w:pPr>
        <w:ind w:left="4648" w:hanging="720"/>
      </w:pPr>
      <w:rPr>
        <w:rFonts w:hint="default"/>
        <w:lang w:val="en-US" w:eastAsia="en-US" w:bidi="ar-SA"/>
      </w:rPr>
    </w:lvl>
    <w:lvl w:ilvl="4">
      <w:start w:val="0"/>
      <w:numFmt w:val="bullet"/>
      <w:lvlText w:val="•"/>
      <w:lvlJc w:val="left"/>
      <w:pPr>
        <w:ind w:left="5582" w:hanging="720"/>
      </w:pPr>
      <w:rPr>
        <w:rFonts w:hint="default"/>
        <w:lang w:val="en-US" w:eastAsia="en-US" w:bidi="ar-SA"/>
      </w:rPr>
    </w:lvl>
    <w:lvl w:ilvl="5">
      <w:start w:val="0"/>
      <w:numFmt w:val="bullet"/>
      <w:lvlText w:val="•"/>
      <w:lvlJc w:val="left"/>
      <w:pPr>
        <w:ind w:left="6516" w:hanging="720"/>
      </w:pPr>
      <w:rPr>
        <w:rFonts w:hint="default"/>
        <w:lang w:val="en-US" w:eastAsia="en-US" w:bidi="ar-SA"/>
      </w:rPr>
    </w:lvl>
    <w:lvl w:ilvl="6">
      <w:start w:val="0"/>
      <w:numFmt w:val="bullet"/>
      <w:lvlText w:val="•"/>
      <w:lvlJc w:val="left"/>
      <w:pPr>
        <w:ind w:left="7450" w:hanging="720"/>
      </w:pPr>
      <w:rPr>
        <w:rFonts w:hint="default"/>
        <w:lang w:val="en-US" w:eastAsia="en-US" w:bidi="ar-SA"/>
      </w:rPr>
    </w:lvl>
    <w:lvl w:ilvl="7">
      <w:start w:val="0"/>
      <w:numFmt w:val="bullet"/>
      <w:lvlText w:val="•"/>
      <w:lvlJc w:val="left"/>
      <w:pPr>
        <w:ind w:left="8384" w:hanging="720"/>
      </w:pPr>
      <w:rPr>
        <w:rFonts w:hint="default"/>
        <w:lang w:val="en-US" w:eastAsia="en-US" w:bidi="ar-SA"/>
      </w:rPr>
    </w:lvl>
    <w:lvl w:ilvl="8">
      <w:start w:val="0"/>
      <w:numFmt w:val="bullet"/>
      <w:lvlText w:val="•"/>
      <w:lvlJc w:val="left"/>
      <w:pPr>
        <w:ind w:left="9318" w:hanging="720"/>
      </w:pPr>
      <w:rPr>
        <w:rFonts w:hint="default"/>
        <w:lang w:val="en-US" w:eastAsia="en-US" w:bidi="ar-SA"/>
      </w:rPr>
    </w:lvl>
  </w:abstractNum>
  <w:abstractNum w:abstractNumId="191">
    <w:multiLevelType w:val="hybridMultilevel"/>
    <w:lvl w:ilvl="0">
      <w:start w:val="1"/>
      <w:numFmt w:val="decimal"/>
      <w:lvlText w:val="%1)"/>
      <w:lvlJc w:val="left"/>
      <w:pPr>
        <w:ind w:left="206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720"/>
      </w:pPr>
      <w:rPr>
        <w:rFonts w:hint="default"/>
        <w:lang w:val="en-US" w:eastAsia="en-US" w:bidi="ar-SA"/>
      </w:rPr>
    </w:lvl>
    <w:lvl w:ilvl="2">
      <w:start w:val="0"/>
      <w:numFmt w:val="bullet"/>
      <w:lvlText w:val="•"/>
      <w:lvlJc w:val="left"/>
      <w:pPr>
        <w:ind w:left="3885" w:hanging="720"/>
      </w:pPr>
      <w:rPr>
        <w:rFonts w:hint="default"/>
        <w:lang w:val="en-US" w:eastAsia="en-US" w:bidi="ar-SA"/>
      </w:rPr>
    </w:lvl>
    <w:lvl w:ilvl="3">
      <w:start w:val="0"/>
      <w:numFmt w:val="bullet"/>
      <w:lvlText w:val="•"/>
      <w:lvlJc w:val="left"/>
      <w:pPr>
        <w:ind w:left="4797" w:hanging="720"/>
      </w:pPr>
      <w:rPr>
        <w:rFonts w:hint="default"/>
        <w:lang w:val="en-US" w:eastAsia="en-US" w:bidi="ar-SA"/>
      </w:rPr>
    </w:lvl>
    <w:lvl w:ilvl="4">
      <w:start w:val="0"/>
      <w:numFmt w:val="bullet"/>
      <w:lvlText w:val="•"/>
      <w:lvlJc w:val="left"/>
      <w:pPr>
        <w:ind w:left="5710" w:hanging="720"/>
      </w:pPr>
      <w:rPr>
        <w:rFonts w:hint="default"/>
        <w:lang w:val="en-US" w:eastAsia="en-US" w:bidi="ar-SA"/>
      </w:rPr>
    </w:lvl>
    <w:lvl w:ilvl="5">
      <w:start w:val="0"/>
      <w:numFmt w:val="bullet"/>
      <w:lvlText w:val="•"/>
      <w:lvlJc w:val="left"/>
      <w:pPr>
        <w:ind w:left="6623" w:hanging="720"/>
      </w:pPr>
      <w:rPr>
        <w:rFonts w:hint="default"/>
        <w:lang w:val="en-US" w:eastAsia="en-US" w:bidi="ar-SA"/>
      </w:rPr>
    </w:lvl>
    <w:lvl w:ilvl="6">
      <w:start w:val="0"/>
      <w:numFmt w:val="bullet"/>
      <w:lvlText w:val="•"/>
      <w:lvlJc w:val="left"/>
      <w:pPr>
        <w:ind w:left="7535" w:hanging="720"/>
      </w:pPr>
      <w:rPr>
        <w:rFonts w:hint="default"/>
        <w:lang w:val="en-US" w:eastAsia="en-US" w:bidi="ar-SA"/>
      </w:rPr>
    </w:lvl>
    <w:lvl w:ilvl="7">
      <w:start w:val="0"/>
      <w:numFmt w:val="bullet"/>
      <w:lvlText w:val="•"/>
      <w:lvlJc w:val="left"/>
      <w:pPr>
        <w:ind w:left="8448" w:hanging="720"/>
      </w:pPr>
      <w:rPr>
        <w:rFonts w:hint="default"/>
        <w:lang w:val="en-US" w:eastAsia="en-US" w:bidi="ar-SA"/>
      </w:rPr>
    </w:lvl>
    <w:lvl w:ilvl="8">
      <w:start w:val="0"/>
      <w:numFmt w:val="bullet"/>
      <w:lvlText w:val="•"/>
      <w:lvlJc w:val="left"/>
      <w:pPr>
        <w:ind w:left="9361" w:hanging="720"/>
      </w:pPr>
      <w:rPr>
        <w:rFonts w:hint="default"/>
        <w:lang w:val="en-US" w:eastAsia="en-US" w:bidi="ar-SA"/>
      </w:rPr>
    </w:lvl>
  </w:abstractNum>
  <w:abstractNum w:abstractNumId="190">
    <w:multiLevelType w:val="hybridMultilevel"/>
    <w:lvl w:ilvl="0">
      <w:start w:val="11"/>
      <w:numFmt w:val="decimal"/>
      <w:lvlText w:val="%1."/>
      <w:lvlJc w:val="left"/>
      <w:pPr>
        <w:ind w:left="2560" w:hanging="49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1.%2"/>
      <w:lvlJc w:val="left"/>
      <w:pPr>
        <w:ind w:left="2710" w:hanging="64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660" w:hanging="648"/>
      </w:pPr>
      <w:rPr>
        <w:rFonts w:hint="default"/>
        <w:lang w:val="en-US" w:eastAsia="en-US" w:bidi="ar-SA"/>
      </w:rPr>
    </w:lvl>
    <w:lvl w:ilvl="3">
      <w:start w:val="0"/>
      <w:numFmt w:val="bullet"/>
      <w:lvlText w:val="•"/>
      <w:lvlJc w:val="left"/>
      <w:pPr>
        <w:ind w:left="4601" w:hanging="648"/>
      </w:pPr>
      <w:rPr>
        <w:rFonts w:hint="default"/>
        <w:lang w:val="en-US" w:eastAsia="en-US" w:bidi="ar-SA"/>
      </w:rPr>
    </w:lvl>
    <w:lvl w:ilvl="4">
      <w:start w:val="0"/>
      <w:numFmt w:val="bullet"/>
      <w:lvlText w:val="•"/>
      <w:lvlJc w:val="left"/>
      <w:pPr>
        <w:ind w:left="5542" w:hanging="648"/>
      </w:pPr>
      <w:rPr>
        <w:rFonts w:hint="default"/>
        <w:lang w:val="en-US" w:eastAsia="en-US" w:bidi="ar-SA"/>
      </w:rPr>
    </w:lvl>
    <w:lvl w:ilvl="5">
      <w:start w:val="0"/>
      <w:numFmt w:val="bullet"/>
      <w:lvlText w:val="•"/>
      <w:lvlJc w:val="left"/>
      <w:pPr>
        <w:ind w:left="6482" w:hanging="648"/>
      </w:pPr>
      <w:rPr>
        <w:rFonts w:hint="default"/>
        <w:lang w:val="en-US" w:eastAsia="en-US" w:bidi="ar-SA"/>
      </w:rPr>
    </w:lvl>
    <w:lvl w:ilvl="6">
      <w:start w:val="0"/>
      <w:numFmt w:val="bullet"/>
      <w:lvlText w:val="•"/>
      <w:lvlJc w:val="left"/>
      <w:pPr>
        <w:ind w:left="7423" w:hanging="648"/>
      </w:pPr>
      <w:rPr>
        <w:rFonts w:hint="default"/>
        <w:lang w:val="en-US" w:eastAsia="en-US" w:bidi="ar-SA"/>
      </w:rPr>
    </w:lvl>
    <w:lvl w:ilvl="7">
      <w:start w:val="0"/>
      <w:numFmt w:val="bullet"/>
      <w:lvlText w:val="•"/>
      <w:lvlJc w:val="left"/>
      <w:pPr>
        <w:ind w:left="8364" w:hanging="648"/>
      </w:pPr>
      <w:rPr>
        <w:rFonts w:hint="default"/>
        <w:lang w:val="en-US" w:eastAsia="en-US" w:bidi="ar-SA"/>
      </w:rPr>
    </w:lvl>
    <w:lvl w:ilvl="8">
      <w:start w:val="0"/>
      <w:numFmt w:val="bullet"/>
      <w:lvlText w:val="•"/>
      <w:lvlJc w:val="left"/>
      <w:pPr>
        <w:ind w:left="9304" w:hanging="648"/>
      </w:pPr>
      <w:rPr>
        <w:rFonts w:hint="default"/>
        <w:lang w:val="en-US" w:eastAsia="en-US" w:bidi="ar-SA"/>
      </w:rPr>
    </w:lvl>
  </w:abstractNum>
  <w:abstractNum w:abstractNumId="189">
    <w:multiLevelType w:val="hybridMultilevel"/>
    <w:lvl w:ilvl="0">
      <w:start w:val="1"/>
      <w:numFmt w:val="lowerLetter"/>
      <w:lvlText w:val="(%1)"/>
      <w:lvlJc w:val="left"/>
      <w:pPr>
        <w:ind w:left="2062" w:hanging="361"/>
        <w:jc w:val="left"/>
      </w:pPr>
      <w:rPr>
        <w:rFonts w:hint="default" w:ascii="Bookman Old Style" w:hAnsi="Bookman Old Style" w:eastAsia="Bookman Old Style" w:cs="Bookman Old Style"/>
        <w:b w:val="0"/>
        <w:bCs w:val="0"/>
        <w:i w:val="0"/>
        <w:iCs w:val="0"/>
        <w:spacing w:val="0"/>
        <w:w w:val="93"/>
        <w:sz w:val="24"/>
        <w:szCs w:val="24"/>
        <w:lang w:val="en-US" w:eastAsia="en-US" w:bidi="ar-SA"/>
      </w:rPr>
    </w:lvl>
    <w:lvl w:ilvl="1">
      <w:start w:val="0"/>
      <w:numFmt w:val="bullet"/>
      <w:lvlText w:val="•"/>
      <w:lvlJc w:val="left"/>
      <w:pPr>
        <w:ind w:left="2972" w:hanging="361"/>
      </w:pPr>
      <w:rPr>
        <w:rFonts w:hint="default"/>
        <w:lang w:val="en-US" w:eastAsia="en-US" w:bidi="ar-SA"/>
      </w:rPr>
    </w:lvl>
    <w:lvl w:ilvl="2">
      <w:start w:val="0"/>
      <w:numFmt w:val="bullet"/>
      <w:lvlText w:val="•"/>
      <w:lvlJc w:val="left"/>
      <w:pPr>
        <w:ind w:left="3885" w:hanging="361"/>
      </w:pPr>
      <w:rPr>
        <w:rFonts w:hint="default"/>
        <w:lang w:val="en-US" w:eastAsia="en-US" w:bidi="ar-SA"/>
      </w:rPr>
    </w:lvl>
    <w:lvl w:ilvl="3">
      <w:start w:val="0"/>
      <w:numFmt w:val="bullet"/>
      <w:lvlText w:val="•"/>
      <w:lvlJc w:val="left"/>
      <w:pPr>
        <w:ind w:left="4797" w:hanging="361"/>
      </w:pPr>
      <w:rPr>
        <w:rFonts w:hint="default"/>
        <w:lang w:val="en-US" w:eastAsia="en-US" w:bidi="ar-SA"/>
      </w:rPr>
    </w:lvl>
    <w:lvl w:ilvl="4">
      <w:start w:val="0"/>
      <w:numFmt w:val="bullet"/>
      <w:lvlText w:val="•"/>
      <w:lvlJc w:val="left"/>
      <w:pPr>
        <w:ind w:left="5710" w:hanging="361"/>
      </w:pPr>
      <w:rPr>
        <w:rFonts w:hint="default"/>
        <w:lang w:val="en-US" w:eastAsia="en-US" w:bidi="ar-SA"/>
      </w:rPr>
    </w:lvl>
    <w:lvl w:ilvl="5">
      <w:start w:val="0"/>
      <w:numFmt w:val="bullet"/>
      <w:lvlText w:val="•"/>
      <w:lvlJc w:val="left"/>
      <w:pPr>
        <w:ind w:left="6623" w:hanging="361"/>
      </w:pPr>
      <w:rPr>
        <w:rFonts w:hint="default"/>
        <w:lang w:val="en-US" w:eastAsia="en-US" w:bidi="ar-SA"/>
      </w:rPr>
    </w:lvl>
    <w:lvl w:ilvl="6">
      <w:start w:val="0"/>
      <w:numFmt w:val="bullet"/>
      <w:lvlText w:val="•"/>
      <w:lvlJc w:val="left"/>
      <w:pPr>
        <w:ind w:left="7535" w:hanging="361"/>
      </w:pPr>
      <w:rPr>
        <w:rFonts w:hint="default"/>
        <w:lang w:val="en-US" w:eastAsia="en-US" w:bidi="ar-SA"/>
      </w:rPr>
    </w:lvl>
    <w:lvl w:ilvl="7">
      <w:start w:val="0"/>
      <w:numFmt w:val="bullet"/>
      <w:lvlText w:val="•"/>
      <w:lvlJc w:val="left"/>
      <w:pPr>
        <w:ind w:left="8448" w:hanging="361"/>
      </w:pPr>
      <w:rPr>
        <w:rFonts w:hint="default"/>
        <w:lang w:val="en-US" w:eastAsia="en-US" w:bidi="ar-SA"/>
      </w:rPr>
    </w:lvl>
    <w:lvl w:ilvl="8">
      <w:start w:val="0"/>
      <w:numFmt w:val="bullet"/>
      <w:lvlText w:val="•"/>
      <w:lvlJc w:val="left"/>
      <w:pPr>
        <w:ind w:left="9361" w:hanging="361"/>
      </w:pPr>
      <w:rPr>
        <w:rFonts w:hint="default"/>
        <w:lang w:val="en-US" w:eastAsia="en-US" w:bidi="ar-SA"/>
      </w:rPr>
    </w:lvl>
  </w:abstractNum>
  <w:abstractNum w:abstractNumId="188">
    <w:multiLevelType w:val="hybridMultilevel"/>
    <w:lvl w:ilvl="0">
      <w:start w:val="5"/>
      <w:numFmt w:val="decimal"/>
      <w:lvlText w:val="%1."/>
      <w:lvlJc w:val="left"/>
      <w:pPr>
        <w:ind w:left="2062" w:hanging="372"/>
        <w:jc w:val="left"/>
      </w:pPr>
      <w:rPr>
        <w:rFonts w:hint="default"/>
        <w:spacing w:val="0"/>
        <w:w w:val="100"/>
        <w:lang w:val="en-US" w:eastAsia="en-US" w:bidi="ar-SA"/>
      </w:rPr>
    </w:lvl>
    <w:lvl w:ilvl="1">
      <w:start w:val="1"/>
      <w:numFmt w:val="decimal"/>
      <w:lvlText w:val="%1.%2"/>
      <w:lvlJc w:val="left"/>
      <w:pPr>
        <w:ind w:left="2062" w:hanging="62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198" w:hanging="624"/>
      </w:pPr>
      <w:rPr>
        <w:rFonts w:hint="default"/>
        <w:lang w:val="en-US" w:eastAsia="en-US" w:bidi="ar-SA"/>
      </w:rPr>
    </w:lvl>
    <w:lvl w:ilvl="3">
      <w:start w:val="0"/>
      <w:numFmt w:val="bullet"/>
      <w:lvlText w:val="•"/>
      <w:lvlJc w:val="left"/>
      <w:pPr>
        <w:ind w:left="4196" w:hanging="624"/>
      </w:pPr>
      <w:rPr>
        <w:rFonts w:hint="default"/>
        <w:lang w:val="en-US" w:eastAsia="en-US" w:bidi="ar-SA"/>
      </w:rPr>
    </w:lvl>
    <w:lvl w:ilvl="4">
      <w:start w:val="0"/>
      <w:numFmt w:val="bullet"/>
      <w:lvlText w:val="•"/>
      <w:lvlJc w:val="left"/>
      <w:pPr>
        <w:ind w:left="5195" w:hanging="624"/>
      </w:pPr>
      <w:rPr>
        <w:rFonts w:hint="default"/>
        <w:lang w:val="en-US" w:eastAsia="en-US" w:bidi="ar-SA"/>
      </w:rPr>
    </w:lvl>
    <w:lvl w:ilvl="5">
      <w:start w:val="0"/>
      <w:numFmt w:val="bullet"/>
      <w:lvlText w:val="•"/>
      <w:lvlJc w:val="left"/>
      <w:pPr>
        <w:ind w:left="6193" w:hanging="624"/>
      </w:pPr>
      <w:rPr>
        <w:rFonts w:hint="default"/>
        <w:lang w:val="en-US" w:eastAsia="en-US" w:bidi="ar-SA"/>
      </w:rPr>
    </w:lvl>
    <w:lvl w:ilvl="6">
      <w:start w:val="0"/>
      <w:numFmt w:val="bullet"/>
      <w:lvlText w:val="•"/>
      <w:lvlJc w:val="left"/>
      <w:pPr>
        <w:ind w:left="7192" w:hanging="624"/>
      </w:pPr>
      <w:rPr>
        <w:rFonts w:hint="default"/>
        <w:lang w:val="en-US" w:eastAsia="en-US" w:bidi="ar-SA"/>
      </w:rPr>
    </w:lvl>
    <w:lvl w:ilvl="7">
      <w:start w:val="0"/>
      <w:numFmt w:val="bullet"/>
      <w:lvlText w:val="•"/>
      <w:lvlJc w:val="left"/>
      <w:pPr>
        <w:ind w:left="8190" w:hanging="624"/>
      </w:pPr>
      <w:rPr>
        <w:rFonts w:hint="default"/>
        <w:lang w:val="en-US" w:eastAsia="en-US" w:bidi="ar-SA"/>
      </w:rPr>
    </w:lvl>
    <w:lvl w:ilvl="8">
      <w:start w:val="0"/>
      <w:numFmt w:val="bullet"/>
      <w:lvlText w:val="•"/>
      <w:lvlJc w:val="left"/>
      <w:pPr>
        <w:ind w:left="9189" w:hanging="624"/>
      </w:pPr>
      <w:rPr>
        <w:rFonts w:hint="default"/>
        <w:lang w:val="en-US" w:eastAsia="en-US" w:bidi="ar-SA"/>
      </w:rPr>
    </w:lvl>
  </w:abstractNum>
  <w:abstractNum w:abstractNumId="187">
    <w:multiLevelType w:val="hybridMultilevel"/>
    <w:lvl w:ilvl="0">
      <w:start w:val="4"/>
      <w:numFmt w:val="decimal"/>
      <w:lvlText w:val="%1"/>
      <w:lvlJc w:val="left"/>
      <w:pPr>
        <w:ind w:left="2873" w:hanging="81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1.%2"/>
      <w:lvlJc w:val="left"/>
      <w:pPr>
        <w:ind w:left="2062" w:hanging="512"/>
        <w:jc w:val="left"/>
      </w:pPr>
      <w:rPr>
        <w:rFonts w:hint="default" w:ascii="Bookman Old Style" w:hAnsi="Bookman Old Style" w:eastAsia="Bookman Old Style" w:cs="Bookman Old Style"/>
        <w:b w:val="0"/>
        <w:bCs w:val="0"/>
        <w:i w:val="0"/>
        <w:iCs w:val="0"/>
        <w:spacing w:val="0"/>
        <w:w w:val="93"/>
        <w:sz w:val="24"/>
        <w:szCs w:val="24"/>
        <w:lang w:val="en-US" w:eastAsia="en-US" w:bidi="ar-SA"/>
      </w:rPr>
    </w:lvl>
    <w:lvl w:ilvl="2">
      <w:start w:val="0"/>
      <w:numFmt w:val="bullet"/>
      <w:lvlText w:val="•"/>
      <w:lvlJc w:val="left"/>
      <w:pPr>
        <w:ind w:left="3802" w:hanging="512"/>
      </w:pPr>
      <w:rPr>
        <w:rFonts w:hint="default"/>
        <w:lang w:val="en-US" w:eastAsia="en-US" w:bidi="ar-SA"/>
      </w:rPr>
    </w:lvl>
    <w:lvl w:ilvl="3">
      <w:start w:val="0"/>
      <w:numFmt w:val="bullet"/>
      <w:lvlText w:val="•"/>
      <w:lvlJc w:val="left"/>
      <w:pPr>
        <w:ind w:left="4725" w:hanging="512"/>
      </w:pPr>
      <w:rPr>
        <w:rFonts w:hint="default"/>
        <w:lang w:val="en-US" w:eastAsia="en-US" w:bidi="ar-SA"/>
      </w:rPr>
    </w:lvl>
    <w:lvl w:ilvl="4">
      <w:start w:val="0"/>
      <w:numFmt w:val="bullet"/>
      <w:lvlText w:val="•"/>
      <w:lvlJc w:val="left"/>
      <w:pPr>
        <w:ind w:left="5648" w:hanging="512"/>
      </w:pPr>
      <w:rPr>
        <w:rFonts w:hint="default"/>
        <w:lang w:val="en-US" w:eastAsia="en-US" w:bidi="ar-SA"/>
      </w:rPr>
    </w:lvl>
    <w:lvl w:ilvl="5">
      <w:start w:val="0"/>
      <w:numFmt w:val="bullet"/>
      <w:lvlText w:val="•"/>
      <w:lvlJc w:val="left"/>
      <w:pPr>
        <w:ind w:left="6571" w:hanging="512"/>
      </w:pPr>
      <w:rPr>
        <w:rFonts w:hint="default"/>
        <w:lang w:val="en-US" w:eastAsia="en-US" w:bidi="ar-SA"/>
      </w:rPr>
    </w:lvl>
    <w:lvl w:ilvl="6">
      <w:start w:val="0"/>
      <w:numFmt w:val="bullet"/>
      <w:lvlText w:val="•"/>
      <w:lvlJc w:val="left"/>
      <w:pPr>
        <w:ind w:left="7494" w:hanging="512"/>
      </w:pPr>
      <w:rPr>
        <w:rFonts w:hint="default"/>
        <w:lang w:val="en-US" w:eastAsia="en-US" w:bidi="ar-SA"/>
      </w:rPr>
    </w:lvl>
    <w:lvl w:ilvl="7">
      <w:start w:val="0"/>
      <w:numFmt w:val="bullet"/>
      <w:lvlText w:val="•"/>
      <w:lvlJc w:val="left"/>
      <w:pPr>
        <w:ind w:left="8417" w:hanging="512"/>
      </w:pPr>
      <w:rPr>
        <w:rFonts w:hint="default"/>
        <w:lang w:val="en-US" w:eastAsia="en-US" w:bidi="ar-SA"/>
      </w:rPr>
    </w:lvl>
    <w:lvl w:ilvl="8">
      <w:start w:val="0"/>
      <w:numFmt w:val="bullet"/>
      <w:lvlText w:val="•"/>
      <w:lvlJc w:val="left"/>
      <w:pPr>
        <w:ind w:left="9340" w:hanging="512"/>
      </w:pPr>
      <w:rPr>
        <w:rFonts w:hint="default"/>
        <w:lang w:val="en-US" w:eastAsia="en-US" w:bidi="ar-SA"/>
      </w:rPr>
    </w:lvl>
  </w:abstractNum>
  <w:abstractNum w:abstractNumId="186">
    <w:multiLevelType w:val="hybridMultilevel"/>
    <w:lvl w:ilvl="0">
      <w:start w:val="3"/>
      <w:numFmt w:val="decimal"/>
      <w:lvlText w:val="%1"/>
      <w:lvlJc w:val="left"/>
      <w:pPr>
        <w:ind w:left="2062" w:hanging="711"/>
        <w:jc w:val="left"/>
      </w:pPr>
      <w:rPr>
        <w:rFonts w:hint="default"/>
        <w:lang w:val="en-US" w:eastAsia="en-US" w:bidi="ar-SA"/>
      </w:rPr>
    </w:lvl>
    <w:lvl w:ilvl="1">
      <w:start w:val="12"/>
      <w:numFmt w:val="decimal"/>
      <w:lvlText w:val="%1.%2"/>
      <w:lvlJc w:val="left"/>
      <w:pPr>
        <w:ind w:left="2062" w:hanging="711"/>
        <w:jc w:val="left"/>
      </w:pPr>
      <w:rPr>
        <w:rFonts w:hint="default" w:ascii="Bookman Old Style" w:hAnsi="Bookman Old Style" w:eastAsia="Bookman Old Style" w:cs="Bookman Old Style"/>
        <w:b w:val="0"/>
        <w:bCs w:val="0"/>
        <w:i w:val="0"/>
        <w:iCs w:val="0"/>
        <w:spacing w:val="-1"/>
        <w:w w:val="100"/>
        <w:sz w:val="24"/>
        <w:szCs w:val="24"/>
        <w:lang w:val="en-US" w:eastAsia="en-US" w:bidi="ar-SA"/>
      </w:rPr>
    </w:lvl>
    <w:lvl w:ilvl="2">
      <w:start w:val="0"/>
      <w:numFmt w:val="bullet"/>
      <w:lvlText w:val="•"/>
      <w:lvlJc w:val="left"/>
      <w:pPr>
        <w:ind w:left="3885" w:hanging="711"/>
      </w:pPr>
      <w:rPr>
        <w:rFonts w:hint="default"/>
        <w:lang w:val="en-US" w:eastAsia="en-US" w:bidi="ar-SA"/>
      </w:rPr>
    </w:lvl>
    <w:lvl w:ilvl="3">
      <w:start w:val="0"/>
      <w:numFmt w:val="bullet"/>
      <w:lvlText w:val="•"/>
      <w:lvlJc w:val="left"/>
      <w:pPr>
        <w:ind w:left="4797" w:hanging="711"/>
      </w:pPr>
      <w:rPr>
        <w:rFonts w:hint="default"/>
        <w:lang w:val="en-US" w:eastAsia="en-US" w:bidi="ar-SA"/>
      </w:rPr>
    </w:lvl>
    <w:lvl w:ilvl="4">
      <w:start w:val="0"/>
      <w:numFmt w:val="bullet"/>
      <w:lvlText w:val="•"/>
      <w:lvlJc w:val="left"/>
      <w:pPr>
        <w:ind w:left="5710" w:hanging="711"/>
      </w:pPr>
      <w:rPr>
        <w:rFonts w:hint="default"/>
        <w:lang w:val="en-US" w:eastAsia="en-US" w:bidi="ar-SA"/>
      </w:rPr>
    </w:lvl>
    <w:lvl w:ilvl="5">
      <w:start w:val="0"/>
      <w:numFmt w:val="bullet"/>
      <w:lvlText w:val="•"/>
      <w:lvlJc w:val="left"/>
      <w:pPr>
        <w:ind w:left="6623" w:hanging="711"/>
      </w:pPr>
      <w:rPr>
        <w:rFonts w:hint="default"/>
        <w:lang w:val="en-US" w:eastAsia="en-US" w:bidi="ar-SA"/>
      </w:rPr>
    </w:lvl>
    <w:lvl w:ilvl="6">
      <w:start w:val="0"/>
      <w:numFmt w:val="bullet"/>
      <w:lvlText w:val="•"/>
      <w:lvlJc w:val="left"/>
      <w:pPr>
        <w:ind w:left="7535" w:hanging="711"/>
      </w:pPr>
      <w:rPr>
        <w:rFonts w:hint="default"/>
        <w:lang w:val="en-US" w:eastAsia="en-US" w:bidi="ar-SA"/>
      </w:rPr>
    </w:lvl>
    <w:lvl w:ilvl="7">
      <w:start w:val="0"/>
      <w:numFmt w:val="bullet"/>
      <w:lvlText w:val="•"/>
      <w:lvlJc w:val="left"/>
      <w:pPr>
        <w:ind w:left="8448" w:hanging="711"/>
      </w:pPr>
      <w:rPr>
        <w:rFonts w:hint="default"/>
        <w:lang w:val="en-US" w:eastAsia="en-US" w:bidi="ar-SA"/>
      </w:rPr>
    </w:lvl>
    <w:lvl w:ilvl="8">
      <w:start w:val="0"/>
      <w:numFmt w:val="bullet"/>
      <w:lvlText w:val="•"/>
      <w:lvlJc w:val="left"/>
      <w:pPr>
        <w:ind w:left="9361" w:hanging="711"/>
      </w:pPr>
      <w:rPr>
        <w:rFonts w:hint="default"/>
        <w:lang w:val="en-US" w:eastAsia="en-US" w:bidi="ar-SA"/>
      </w:rPr>
    </w:lvl>
  </w:abstractNum>
  <w:abstractNum w:abstractNumId="185">
    <w:multiLevelType w:val="hybridMultilevel"/>
    <w:lvl w:ilvl="0">
      <w:start w:val="1"/>
      <w:numFmt w:val="decimal"/>
      <w:lvlText w:val="%1)"/>
      <w:lvlJc w:val="left"/>
      <w:pPr>
        <w:ind w:left="206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206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885" w:hanging="720"/>
      </w:pPr>
      <w:rPr>
        <w:rFonts w:hint="default"/>
        <w:lang w:val="en-US" w:eastAsia="en-US" w:bidi="ar-SA"/>
      </w:rPr>
    </w:lvl>
    <w:lvl w:ilvl="3">
      <w:start w:val="0"/>
      <w:numFmt w:val="bullet"/>
      <w:lvlText w:val="•"/>
      <w:lvlJc w:val="left"/>
      <w:pPr>
        <w:ind w:left="4797" w:hanging="720"/>
      </w:pPr>
      <w:rPr>
        <w:rFonts w:hint="default"/>
        <w:lang w:val="en-US" w:eastAsia="en-US" w:bidi="ar-SA"/>
      </w:rPr>
    </w:lvl>
    <w:lvl w:ilvl="4">
      <w:start w:val="0"/>
      <w:numFmt w:val="bullet"/>
      <w:lvlText w:val="•"/>
      <w:lvlJc w:val="left"/>
      <w:pPr>
        <w:ind w:left="5710" w:hanging="720"/>
      </w:pPr>
      <w:rPr>
        <w:rFonts w:hint="default"/>
        <w:lang w:val="en-US" w:eastAsia="en-US" w:bidi="ar-SA"/>
      </w:rPr>
    </w:lvl>
    <w:lvl w:ilvl="5">
      <w:start w:val="0"/>
      <w:numFmt w:val="bullet"/>
      <w:lvlText w:val="•"/>
      <w:lvlJc w:val="left"/>
      <w:pPr>
        <w:ind w:left="6623" w:hanging="720"/>
      </w:pPr>
      <w:rPr>
        <w:rFonts w:hint="default"/>
        <w:lang w:val="en-US" w:eastAsia="en-US" w:bidi="ar-SA"/>
      </w:rPr>
    </w:lvl>
    <w:lvl w:ilvl="6">
      <w:start w:val="0"/>
      <w:numFmt w:val="bullet"/>
      <w:lvlText w:val="•"/>
      <w:lvlJc w:val="left"/>
      <w:pPr>
        <w:ind w:left="7535" w:hanging="720"/>
      </w:pPr>
      <w:rPr>
        <w:rFonts w:hint="default"/>
        <w:lang w:val="en-US" w:eastAsia="en-US" w:bidi="ar-SA"/>
      </w:rPr>
    </w:lvl>
    <w:lvl w:ilvl="7">
      <w:start w:val="0"/>
      <w:numFmt w:val="bullet"/>
      <w:lvlText w:val="•"/>
      <w:lvlJc w:val="left"/>
      <w:pPr>
        <w:ind w:left="8448" w:hanging="720"/>
      </w:pPr>
      <w:rPr>
        <w:rFonts w:hint="default"/>
        <w:lang w:val="en-US" w:eastAsia="en-US" w:bidi="ar-SA"/>
      </w:rPr>
    </w:lvl>
    <w:lvl w:ilvl="8">
      <w:start w:val="0"/>
      <w:numFmt w:val="bullet"/>
      <w:lvlText w:val="•"/>
      <w:lvlJc w:val="left"/>
      <w:pPr>
        <w:ind w:left="9361" w:hanging="720"/>
      </w:pPr>
      <w:rPr>
        <w:rFonts w:hint="default"/>
        <w:lang w:val="en-US" w:eastAsia="en-US" w:bidi="ar-SA"/>
      </w:rPr>
    </w:lvl>
  </w:abstractNum>
  <w:abstractNum w:abstractNumId="184">
    <w:multiLevelType w:val="hybridMultilevel"/>
    <w:lvl w:ilvl="0">
      <w:start w:val="3"/>
      <w:numFmt w:val="decimal"/>
      <w:lvlText w:val="%1"/>
      <w:lvlJc w:val="left"/>
      <w:pPr>
        <w:ind w:left="2062" w:hanging="874"/>
        <w:jc w:val="left"/>
      </w:pPr>
      <w:rPr>
        <w:rFonts w:hint="default"/>
        <w:lang w:val="en-US" w:eastAsia="en-US" w:bidi="ar-SA"/>
      </w:rPr>
    </w:lvl>
    <w:lvl w:ilvl="1">
      <w:start w:val="7"/>
      <w:numFmt w:val="decimal"/>
      <w:lvlText w:val="%1.%2"/>
      <w:lvlJc w:val="left"/>
      <w:pPr>
        <w:ind w:left="2062" w:hanging="874"/>
        <w:jc w:val="left"/>
      </w:pPr>
      <w:rPr>
        <w:rFonts w:hint="default" w:ascii="Bookman Old Style" w:hAnsi="Bookman Old Style" w:eastAsia="Bookman Old Style" w:cs="Bookman Old Style"/>
        <w:b w:val="0"/>
        <w:bCs w:val="0"/>
        <w:i w:val="0"/>
        <w:iCs w:val="0"/>
        <w:spacing w:val="-1"/>
        <w:w w:val="100"/>
        <w:sz w:val="24"/>
        <w:szCs w:val="24"/>
        <w:lang w:val="en-US" w:eastAsia="en-US" w:bidi="ar-SA"/>
      </w:rPr>
    </w:lvl>
    <w:lvl w:ilvl="2">
      <w:start w:val="0"/>
      <w:numFmt w:val="bullet"/>
      <w:lvlText w:val="•"/>
      <w:lvlJc w:val="left"/>
      <w:pPr>
        <w:ind w:left="3885" w:hanging="874"/>
      </w:pPr>
      <w:rPr>
        <w:rFonts w:hint="default"/>
        <w:lang w:val="en-US" w:eastAsia="en-US" w:bidi="ar-SA"/>
      </w:rPr>
    </w:lvl>
    <w:lvl w:ilvl="3">
      <w:start w:val="0"/>
      <w:numFmt w:val="bullet"/>
      <w:lvlText w:val="•"/>
      <w:lvlJc w:val="left"/>
      <w:pPr>
        <w:ind w:left="4797" w:hanging="874"/>
      </w:pPr>
      <w:rPr>
        <w:rFonts w:hint="default"/>
        <w:lang w:val="en-US" w:eastAsia="en-US" w:bidi="ar-SA"/>
      </w:rPr>
    </w:lvl>
    <w:lvl w:ilvl="4">
      <w:start w:val="0"/>
      <w:numFmt w:val="bullet"/>
      <w:lvlText w:val="•"/>
      <w:lvlJc w:val="left"/>
      <w:pPr>
        <w:ind w:left="5710" w:hanging="874"/>
      </w:pPr>
      <w:rPr>
        <w:rFonts w:hint="default"/>
        <w:lang w:val="en-US" w:eastAsia="en-US" w:bidi="ar-SA"/>
      </w:rPr>
    </w:lvl>
    <w:lvl w:ilvl="5">
      <w:start w:val="0"/>
      <w:numFmt w:val="bullet"/>
      <w:lvlText w:val="•"/>
      <w:lvlJc w:val="left"/>
      <w:pPr>
        <w:ind w:left="6623" w:hanging="874"/>
      </w:pPr>
      <w:rPr>
        <w:rFonts w:hint="default"/>
        <w:lang w:val="en-US" w:eastAsia="en-US" w:bidi="ar-SA"/>
      </w:rPr>
    </w:lvl>
    <w:lvl w:ilvl="6">
      <w:start w:val="0"/>
      <w:numFmt w:val="bullet"/>
      <w:lvlText w:val="•"/>
      <w:lvlJc w:val="left"/>
      <w:pPr>
        <w:ind w:left="7535" w:hanging="874"/>
      </w:pPr>
      <w:rPr>
        <w:rFonts w:hint="default"/>
        <w:lang w:val="en-US" w:eastAsia="en-US" w:bidi="ar-SA"/>
      </w:rPr>
    </w:lvl>
    <w:lvl w:ilvl="7">
      <w:start w:val="0"/>
      <w:numFmt w:val="bullet"/>
      <w:lvlText w:val="•"/>
      <w:lvlJc w:val="left"/>
      <w:pPr>
        <w:ind w:left="8448" w:hanging="874"/>
      </w:pPr>
      <w:rPr>
        <w:rFonts w:hint="default"/>
        <w:lang w:val="en-US" w:eastAsia="en-US" w:bidi="ar-SA"/>
      </w:rPr>
    </w:lvl>
    <w:lvl w:ilvl="8">
      <w:start w:val="0"/>
      <w:numFmt w:val="bullet"/>
      <w:lvlText w:val="•"/>
      <w:lvlJc w:val="left"/>
      <w:pPr>
        <w:ind w:left="9361" w:hanging="874"/>
      </w:pPr>
      <w:rPr>
        <w:rFonts w:hint="default"/>
        <w:lang w:val="en-US" w:eastAsia="en-US" w:bidi="ar-SA"/>
      </w:rPr>
    </w:lvl>
  </w:abstractNum>
  <w:abstractNum w:abstractNumId="183">
    <w:multiLevelType w:val="hybridMultilevel"/>
    <w:lvl w:ilvl="0">
      <w:start w:val="1"/>
      <w:numFmt w:val="lowerRoman"/>
      <w:lvlText w:val="(%1)"/>
      <w:lvlJc w:val="left"/>
      <w:pPr>
        <w:ind w:left="2062" w:hanging="217"/>
        <w:jc w:val="left"/>
      </w:pPr>
      <w:rPr>
        <w:rFonts w:hint="default" w:ascii="Bookman Old Style" w:hAnsi="Bookman Old Style" w:eastAsia="Bookman Old Style" w:cs="Bookman Old Style"/>
        <w:b w:val="0"/>
        <w:bCs w:val="0"/>
        <w:i w:val="0"/>
        <w:iCs w:val="0"/>
        <w:spacing w:val="-1"/>
        <w:w w:val="98"/>
        <w:sz w:val="22"/>
        <w:szCs w:val="22"/>
        <w:lang w:val="en-US" w:eastAsia="en-US" w:bidi="ar-SA"/>
      </w:rPr>
    </w:lvl>
    <w:lvl w:ilvl="1">
      <w:start w:val="0"/>
      <w:numFmt w:val="bullet"/>
      <w:lvlText w:val="•"/>
      <w:lvlJc w:val="left"/>
      <w:pPr>
        <w:ind w:left="2972" w:hanging="217"/>
      </w:pPr>
      <w:rPr>
        <w:rFonts w:hint="default"/>
        <w:lang w:val="en-US" w:eastAsia="en-US" w:bidi="ar-SA"/>
      </w:rPr>
    </w:lvl>
    <w:lvl w:ilvl="2">
      <w:start w:val="0"/>
      <w:numFmt w:val="bullet"/>
      <w:lvlText w:val="•"/>
      <w:lvlJc w:val="left"/>
      <w:pPr>
        <w:ind w:left="3885" w:hanging="217"/>
      </w:pPr>
      <w:rPr>
        <w:rFonts w:hint="default"/>
        <w:lang w:val="en-US" w:eastAsia="en-US" w:bidi="ar-SA"/>
      </w:rPr>
    </w:lvl>
    <w:lvl w:ilvl="3">
      <w:start w:val="0"/>
      <w:numFmt w:val="bullet"/>
      <w:lvlText w:val="•"/>
      <w:lvlJc w:val="left"/>
      <w:pPr>
        <w:ind w:left="4797" w:hanging="217"/>
      </w:pPr>
      <w:rPr>
        <w:rFonts w:hint="default"/>
        <w:lang w:val="en-US" w:eastAsia="en-US" w:bidi="ar-SA"/>
      </w:rPr>
    </w:lvl>
    <w:lvl w:ilvl="4">
      <w:start w:val="0"/>
      <w:numFmt w:val="bullet"/>
      <w:lvlText w:val="•"/>
      <w:lvlJc w:val="left"/>
      <w:pPr>
        <w:ind w:left="5710" w:hanging="217"/>
      </w:pPr>
      <w:rPr>
        <w:rFonts w:hint="default"/>
        <w:lang w:val="en-US" w:eastAsia="en-US" w:bidi="ar-SA"/>
      </w:rPr>
    </w:lvl>
    <w:lvl w:ilvl="5">
      <w:start w:val="0"/>
      <w:numFmt w:val="bullet"/>
      <w:lvlText w:val="•"/>
      <w:lvlJc w:val="left"/>
      <w:pPr>
        <w:ind w:left="6623" w:hanging="217"/>
      </w:pPr>
      <w:rPr>
        <w:rFonts w:hint="default"/>
        <w:lang w:val="en-US" w:eastAsia="en-US" w:bidi="ar-SA"/>
      </w:rPr>
    </w:lvl>
    <w:lvl w:ilvl="6">
      <w:start w:val="0"/>
      <w:numFmt w:val="bullet"/>
      <w:lvlText w:val="•"/>
      <w:lvlJc w:val="left"/>
      <w:pPr>
        <w:ind w:left="7535" w:hanging="217"/>
      </w:pPr>
      <w:rPr>
        <w:rFonts w:hint="default"/>
        <w:lang w:val="en-US" w:eastAsia="en-US" w:bidi="ar-SA"/>
      </w:rPr>
    </w:lvl>
    <w:lvl w:ilvl="7">
      <w:start w:val="0"/>
      <w:numFmt w:val="bullet"/>
      <w:lvlText w:val="•"/>
      <w:lvlJc w:val="left"/>
      <w:pPr>
        <w:ind w:left="8448" w:hanging="217"/>
      </w:pPr>
      <w:rPr>
        <w:rFonts w:hint="default"/>
        <w:lang w:val="en-US" w:eastAsia="en-US" w:bidi="ar-SA"/>
      </w:rPr>
    </w:lvl>
    <w:lvl w:ilvl="8">
      <w:start w:val="0"/>
      <w:numFmt w:val="bullet"/>
      <w:lvlText w:val="•"/>
      <w:lvlJc w:val="left"/>
      <w:pPr>
        <w:ind w:left="9361" w:hanging="217"/>
      </w:pPr>
      <w:rPr>
        <w:rFonts w:hint="default"/>
        <w:lang w:val="en-US" w:eastAsia="en-US" w:bidi="ar-SA"/>
      </w:rPr>
    </w:lvl>
  </w:abstractNum>
  <w:abstractNum w:abstractNumId="182">
    <w:multiLevelType w:val="hybridMultilevel"/>
    <w:lvl w:ilvl="0">
      <w:start w:val="1"/>
      <w:numFmt w:val="decimal"/>
      <w:lvlText w:val="%1"/>
      <w:lvlJc w:val="left"/>
      <w:pPr>
        <w:ind w:left="2062" w:hanging="586"/>
        <w:jc w:val="left"/>
      </w:pPr>
      <w:rPr>
        <w:rFonts w:hint="default"/>
        <w:lang w:val="en-US" w:eastAsia="en-US" w:bidi="ar-SA"/>
      </w:rPr>
    </w:lvl>
    <w:lvl w:ilvl="1">
      <w:start w:val="10"/>
      <w:numFmt w:val="decimal"/>
      <w:lvlText w:val="%1.%2"/>
      <w:lvlJc w:val="left"/>
      <w:pPr>
        <w:ind w:left="2062" w:hanging="586"/>
        <w:jc w:val="left"/>
      </w:pPr>
      <w:rPr>
        <w:rFonts w:hint="default" w:ascii="Bookman Old Style" w:hAnsi="Bookman Old Style" w:eastAsia="Bookman Old Style" w:cs="Bookman Old Style"/>
        <w:b w:val="0"/>
        <w:bCs w:val="0"/>
        <w:i w:val="0"/>
        <w:iCs w:val="0"/>
        <w:spacing w:val="-1"/>
        <w:w w:val="96"/>
        <w:sz w:val="24"/>
        <w:szCs w:val="24"/>
        <w:lang w:val="en-US" w:eastAsia="en-US" w:bidi="ar-SA"/>
      </w:rPr>
    </w:lvl>
    <w:lvl w:ilvl="2">
      <w:start w:val="0"/>
      <w:numFmt w:val="bullet"/>
      <w:lvlText w:val="•"/>
      <w:lvlJc w:val="left"/>
      <w:pPr>
        <w:ind w:left="3885" w:hanging="586"/>
      </w:pPr>
      <w:rPr>
        <w:rFonts w:hint="default"/>
        <w:lang w:val="en-US" w:eastAsia="en-US" w:bidi="ar-SA"/>
      </w:rPr>
    </w:lvl>
    <w:lvl w:ilvl="3">
      <w:start w:val="0"/>
      <w:numFmt w:val="bullet"/>
      <w:lvlText w:val="•"/>
      <w:lvlJc w:val="left"/>
      <w:pPr>
        <w:ind w:left="4797" w:hanging="586"/>
      </w:pPr>
      <w:rPr>
        <w:rFonts w:hint="default"/>
        <w:lang w:val="en-US" w:eastAsia="en-US" w:bidi="ar-SA"/>
      </w:rPr>
    </w:lvl>
    <w:lvl w:ilvl="4">
      <w:start w:val="0"/>
      <w:numFmt w:val="bullet"/>
      <w:lvlText w:val="•"/>
      <w:lvlJc w:val="left"/>
      <w:pPr>
        <w:ind w:left="5710" w:hanging="586"/>
      </w:pPr>
      <w:rPr>
        <w:rFonts w:hint="default"/>
        <w:lang w:val="en-US" w:eastAsia="en-US" w:bidi="ar-SA"/>
      </w:rPr>
    </w:lvl>
    <w:lvl w:ilvl="5">
      <w:start w:val="0"/>
      <w:numFmt w:val="bullet"/>
      <w:lvlText w:val="•"/>
      <w:lvlJc w:val="left"/>
      <w:pPr>
        <w:ind w:left="6623" w:hanging="586"/>
      </w:pPr>
      <w:rPr>
        <w:rFonts w:hint="default"/>
        <w:lang w:val="en-US" w:eastAsia="en-US" w:bidi="ar-SA"/>
      </w:rPr>
    </w:lvl>
    <w:lvl w:ilvl="6">
      <w:start w:val="0"/>
      <w:numFmt w:val="bullet"/>
      <w:lvlText w:val="•"/>
      <w:lvlJc w:val="left"/>
      <w:pPr>
        <w:ind w:left="7535" w:hanging="586"/>
      </w:pPr>
      <w:rPr>
        <w:rFonts w:hint="default"/>
        <w:lang w:val="en-US" w:eastAsia="en-US" w:bidi="ar-SA"/>
      </w:rPr>
    </w:lvl>
    <w:lvl w:ilvl="7">
      <w:start w:val="0"/>
      <w:numFmt w:val="bullet"/>
      <w:lvlText w:val="•"/>
      <w:lvlJc w:val="left"/>
      <w:pPr>
        <w:ind w:left="8448" w:hanging="586"/>
      </w:pPr>
      <w:rPr>
        <w:rFonts w:hint="default"/>
        <w:lang w:val="en-US" w:eastAsia="en-US" w:bidi="ar-SA"/>
      </w:rPr>
    </w:lvl>
    <w:lvl w:ilvl="8">
      <w:start w:val="0"/>
      <w:numFmt w:val="bullet"/>
      <w:lvlText w:val="•"/>
      <w:lvlJc w:val="left"/>
      <w:pPr>
        <w:ind w:left="9361" w:hanging="586"/>
      </w:pPr>
      <w:rPr>
        <w:rFonts w:hint="default"/>
        <w:lang w:val="en-US" w:eastAsia="en-US" w:bidi="ar-SA"/>
      </w:rPr>
    </w:lvl>
  </w:abstractNum>
  <w:abstractNum w:abstractNumId="181">
    <w:multiLevelType w:val="hybridMultilevel"/>
    <w:lvl w:ilvl="0">
      <w:start w:val="1"/>
      <w:numFmt w:val="decimal"/>
      <w:lvlText w:val="%1"/>
      <w:lvlJc w:val="left"/>
      <w:pPr>
        <w:ind w:left="2062" w:hanging="519"/>
        <w:jc w:val="left"/>
      </w:pPr>
      <w:rPr>
        <w:rFonts w:hint="default"/>
        <w:lang w:val="en-US" w:eastAsia="en-US" w:bidi="ar-SA"/>
      </w:rPr>
    </w:lvl>
    <w:lvl w:ilvl="1">
      <w:start w:val="1"/>
      <w:numFmt w:val="decimal"/>
      <w:lvlText w:val="%1.%2"/>
      <w:lvlJc w:val="left"/>
      <w:pPr>
        <w:ind w:left="2062" w:hanging="519"/>
        <w:jc w:val="left"/>
      </w:pPr>
      <w:rPr>
        <w:rFonts w:hint="default" w:ascii="Bookman Old Style" w:hAnsi="Bookman Old Style" w:eastAsia="Bookman Old Style" w:cs="Bookman Old Style"/>
        <w:b w:val="0"/>
        <w:bCs w:val="0"/>
        <w:i w:val="0"/>
        <w:iCs w:val="0"/>
        <w:spacing w:val="-1"/>
        <w:w w:val="100"/>
        <w:sz w:val="24"/>
        <w:szCs w:val="24"/>
        <w:lang w:val="en-US" w:eastAsia="en-US" w:bidi="ar-SA"/>
      </w:rPr>
    </w:lvl>
    <w:lvl w:ilvl="2">
      <w:start w:val="0"/>
      <w:numFmt w:val="bullet"/>
      <w:lvlText w:val="•"/>
      <w:lvlJc w:val="left"/>
      <w:pPr>
        <w:ind w:left="3885" w:hanging="519"/>
      </w:pPr>
      <w:rPr>
        <w:rFonts w:hint="default"/>
        <w:lang w:val="en-US" w:eastAsia="en-US" w:bidi="ar-SA"/>
      </w:rPr>
    </w:lvl>
    <w:lvl w:ilvl="3">
      <w:start w:val="0"/>
      <w:numFmt w:val="bullet"/>
      <w:lvlText w:val="•"/>
      <w:lvlJc w:val="left"/>
      <w:pPr>
        <w:ind w:left="4797" w:hanging="519"/>
      </w:pPr>
      <w:rPr>
        <w:rFonts w:hint="default"/>
        <w:lang w:val="en-US" w:eastAsia="en-US" w:bidi="ar-SA"/>
      </w:rPr>
    </w:lvl>
    <w:lvl w:ilvl="4">
      <w:start w:val="0"/>
      <w:numFmt w:val="bullet"/>
      <w:lvlText w:val="•"/>
      <w:lvlJc w:val="left"/>
      <w:pPr>
        <w:ind w:left="5710" w:hanging="519"/>
      </w:pPr>
      <w:rPr>
        <w:rFonts w:hint="default"/>
        <w:lang w:val="en-US" w:eastAsia="en-US" w:bidi="ar-SA"/>
      </w:rPr>
    </w:lvl>
    <w:lvl w:ilvl="5">
      <w:start w:val="0"/>
      <w:numFmt w:val="bullet"/>
      <w:lvlText w:val="•"/>
      <w:lvlJc w:val="left"/>
      <w:pPr>
        <w:ind w:left="6623" w:hanging="519"/>
      </w:pPr>
      <w:rPr>
        <w:rFonts w:hint="default"/>
        <w:lang w:val="en-US" w:eastAsia="en-US" w:bidi="ar-SA"/>
      </w:rPr>
    </w:lvl>
    <w:lvl w:ilvl="6">
      <w:start w:val="0"/>
      <w:numFmt w:val="bullet"/>
      <w:lvlText w:val="•"/>
      <w:lvlJc w:val="left"/>
      <w:pPr>
        <w:ind w:left="7535" w:hanging="519"/>
      </w:pPr>
      <w:rPr>
        <w:rFonts w:hint="default"/>
        <w:lang w:val="en-US" w:eastAsia="en-US" w:bidi="ar-SA"/>
      </w:rPr>
    </w:lvl>
    <w:lvl w:ilvl="7">
      <w:start w:val="0"/>
      <w:numFmt w:val="bullet"/>
      <w:lvlText w:val="•"/>
      <w:lvlJc w:val="left"/>
      <w:pPr>
        <w:ind w:left="8448" w:hanging="519"/>
      </w:pPr>
      <w:rPr>
        <w:rFonts w:hint="default"/>
        <w:lang w:val="en-US" w:eastAsia="en-US" w:bidi="ar-SA"/>
      </w:rPr>
    </w:lvl>
    <w:lvl w:ilvl="8">
      <w:start w:val="0"/>
      <w:numFmt w:val="bullet"/>
      <w:lvlText w:val="•"/>
      <w:lvlJc w:val="left"/>
      <w:pPr>
        <w:ind w:left="9361" w:hanging="519"/>
      </w:pPr>
      <w:rPr>
        <w:rFonts w:hint="default"/>
        <w:lang w:val="en-US" w:eastAsia="en-US" w:bidi="ar-SA"/>
      </w:rPr>
    </w:lvl>
  </w:abstractNum>
  <w:abstractNum w:abstractNumId="180">
    <w:multiLevelType w:val="hybridMultilevel"/>
    <w:lvl w:ilvl="0">
      <w:start w:val="2"/>
      <w:numFmt w:val="upperRoman"/>
      <w:lvlText w:val="%1"/>
      <w:lvlJc w:val="left"/>
      <w:pPr>
        <w:ind w:left="2335" w:hanging="274"/>
        <w:jc w:val="left"/>
      </w:pPr>
      <w:rPr>
        <w:rFonts w:hint="default" w:ascii="Bookman Old Style" w:hAnsi="Bookman Old Style" w:eastAsia="Bookman Old Style" w:cs="Bookman Old Style"/>
        <w:b/>
        <w:bCs/>
        <w:i w:val="0"/>
        <w:iCs w:val="0"/>
        <w:spacing w:val="0"/>
        <w:w w:val="100"/>
        <w:sz w:val="24"/>
        <w:szCs w:val="24"/>
        <w:lang w:val="en-US" w:eastAsia="en-US" w:bidi="ar-SA"/>
      </w:rPr>
    </w:lvl>
    <w:lvl w:ilvl="1">
      <w:start w:val="1"/>
      <w:numFmt w:val="lowerRoman"/>
      <w:lvlText w:val="(%2)"/>
      <w:lvlJc w:val="left"/>
      <w:pPr>
        <w:ind w:left="2062" w:hanging="320"/>
        <w:jc w:val="left"/>
      </w:pPr>
      <w:rPr>
        <w:rFonts w:hint="default" w:ascii="Bookman Old Style" w:hAnsi="Bookman Old Style" w:eastAsia="Bookman Old Style" w:cs="Bookman Old Style"/>
        <w:b w:val="0"/>
        <w:bCs w:val="0"/>
        <w:i w:val="0"/>
        <w:iCs w:val="0"/>
        <w:spacing w:val="0"/>
        <w:w w:val="92"/>
        <w:sz w:val="24"/>
        <w:szCs w:val="24"/>
        <w:lang w:val="en-US" w:eastAsia="en-US" w:bidi="ar-SA"/>
      </w:rPr>
    </w:lvl>
    <w:lvl w:ilvl="2">
      <w:start w:val="0"/>
      <w:numFmt w:val="bullet"/>
      <w:lvlText w:val="•"/>
      <w:lvlJc w:val="left"/>
      <w:pPr>
        <w:ind w:left="3322" w:hanging="320"/>
      </w:pPr>
      <w:rPr>
        <w:rFonts w:hint="default"/>
        <w:lang w:val="en-US" w:eastAsia="en-US" w:bidi="ar-SA"/>
      </w:rPr>
    </w:lvl>
    <w:lvl w:ilvl="3">
      <w:start w:val="0"/>
      <w:numFmt w:val="bullet"/>
      <w:lvlText w:val="•"/>
      <w:lvlJc w:val="left"/>
      <w:pPr>
        <w:ind w:left="4305" w:hanging="320"/>
      </w:pPr>
      <w:rPr>
        <w:rFonts w:hint="default"/>
        <w:lang w:val="en-US" w:eastAsia="en-US" w:bidi="ar-SA"/>
      </w:rPr>
    </w:lvl>
    <w:lvl w:ilvl="4">
      <w:start w:val="0"/>
      <w:numFmt w:val="bullet"/>
      <w:lvlText w:val="•"/>
      <w:lvlJc w:val="left"/>
      <w:pPr>
        <w:ind w:left="5288" w:hanging="320"/>
      </w:pPr>
      <w:rPr>
        <w:rFonts w:hint="default"/>
        <w:lang w:val="en-US" w:eastAsia="en-US" w:bidi="ar-SA"/>
      </w:rPr>
    </w:lvl>
    <w:lvl w:ilvl="5">
      <w:start w:val="0"/>
      <w:numFmt w:val="bullet"/>
      <w:lvlText w:val="•"/>
      <w:lvlJc w:val="left"/>
      <w:pPr>
        <w:ind w:left="6271" w:hanging="320"/>
      </w:pPr>
      <w:rPr>
        <w:rFonts w:hint="default"/>
        <w:lang w:val="en-US" w:eastAsia="en-US" w:bidi="ar-SA"/>
      </w:rPr>
    </w:lvl>
    <w:lvl w:ilvl="6">
      <w:start w:val="0"/>
      <w:numFmt w:val="bullet"/>
      <w:lvlText w:val="•"/>
      <w:lvlJc w:val="left"/>
      <w:pPr>
        <w:ind w:left="7254" w:hanging="320"/>
      </w:pPr>
      <w:rPr>
        <w:rFonts w:hint="default"/>
        <w:lang w:val="en-US" w:eastAsia="en-US" w:bidi="ar-SA"/>
      </w:rPr>
    </w:lvl>
    <w:lvl w:ilvl="7">
      <w:start w:val="0"/>
      <w:numFmt w:val="bullet"/>
      <w:lvlText w:val="•"/>
      <w:lvlJc w:val="left"/>
      <w:pPr>
        <w:ind w:left="8237" w:hanging="320"/>
      </w:pPr>
      <w:rPr>
        <w:rFonts w:hint="default"/>
        <w:lang w:val="en-US" w:eastAsia="en-US" w:bidi="ar-SA"/>
      </w:rPr>
    </w:lvl>
    <w:lvl w:ilvl="8">
      <w:start w:val="0"/>
      <w:numFmt w:val="bullet"/>
      <w:lvlText w:val="•"/>
      <w:lvlJc w:val="left"/>
      <w:pPr>
        <w:ind w:left="9220" w:hanging="320"/>
      </w:pPr>
      <w:rPr>
        <w:rFonts w:hint="default"/>
        <w:lang w:val="en-US" w:eastAsia="en-US" w:bidi="ar-SA"/>
      </w:rPr>
    </w:lvl>
  </w:abstractNum>
  <w:abstractNum w:abstractNumId="178">
    <w:multiLevelType w:val="hybridMultilevel"/>
    <w:lvl w:ilvl="0">
      <w:start w:val="7"/>
      <w:numFmt w:val="decimal"/>
      <w:lvlText w:val="%1."/>
      <w:lvlJc w:val="left"/>
      <w:pPr>
        <w:ind w:left="2050" w:hanging="435"/>
        <w:jc w:val="left"/>
      </w:pPr>
      <w:rPr>
        <w:rFonts w:hint="default" w:ascii="Bookman Old Style" w:hAnsi="Bookman Old Style" w:eastAsia="Bookman Old Style" w:cs="Bookman Old Style"/>
        <w:b/>
        <w:bCs/>
        <w:i w:val="0"/>
        <w:iCs w:val="0"/>
        <w:spacing w:val="0"/>
        <w:w w:val="91"/>
        <w:sz w:val="24"/>
        <w:szCs w:val="24"/>
        <w:lang w:val="en-US" w:eastAsia="en-US" w:bidi="ar-SA"/>
      </w:rPr>
    </w:lvl>
    <w:lvl w:ilvl="1">
      <w:start w:val="1"/>
      <w:numFmt w:val="decimal"/>
      <w:lvlText w:val="%1.%2"/>
      <w:lvlJc w:val="left"/>
      <w:pPr>
        <w:ind w:left="2574" w:hanging="525"/>
        <w:jc w:val="left"/>
      </w:pPr>
      <w:rPr>
        <w:rFonts w:hint="default" w:ascii="Bookman Old Style" w:hAnsi="Bookman Old Style" w:eastAsia="Bookman Old Style" w:cs="Bookman Old Style"/>
        <w:b w:val="0"/>
        <w:bCs w:val="0"/>
        <w:i w:val="0"/>
        <w:iCs w:val="0"/>
        <w:spacing w:val="-1"/>
        <w:w w:val="100"/>
        <w:sz w:val="22"/>
        <w:szCs w:val="22"/>
        <w:lang w:val="en-US" w:eastAsia="en-US" w:bidi="ar-SA"/>
      </w:rPr>
    </w:lvl>
    <w:lvl w:ilvl="2">
      <w:start w:val="0"/>
      <w:numFmt w:val="bullet"/>
      <w:lvlText w:val="•"/>
      <w:lvlJc w:val="left"/>
      <w:pPr>
        <w:ind w:left="3536" w:hanging="525"/>
      </w:pPr>
      <w:rPr>
        <w:rFonts w:hint="default"/>
        <w:lang w:val="en-US" w:eastAsia="en-US" w:bidi="ar-SA"/>
      </w:rPr>
    </w:lvl>
    <w:lvl w:ilvl="3">
      <w:start w:val="0"/>
      <w:numFmt w:val="bullet"/>
      <w:lvlText w:val="•"/>
      <w:lvlJc w:val="left"/>
      <w:pPr>
        <w:ind w:left="4492" w:hanging="525"/>
      </w:pPr>
      <w:rPr>
        <w:rFonts w:hint="default"/>
        <w:lang w:val="en-US" w:eastAsia="en-US" w:bidi="ar-SA"/>
      </w:rPr>
    </w:lvl>
    <w:lvl w:ilvl="4">
      <w:start w:val="0"/>
      <w:numFmt w:val="bullet"/>
      <w:lvlText w:val="•"/>
      <w:lvlJc w:val="left"/>
      <w:pPr>
        <w:ind w:left="5448" w:hanging="525"/>
      </w:pPr>
      <w:rPr>
        <w:rFonts w:hint="default"/>
        <w:lang w:val="en-US" w:eastAsia="en-US" w:bidi="ar-SA"/>
      </w:rPr>
    </w:lvl>
    <w:lvl w:ilvl="5">
      <w:start w:val="0"/>
      <w:numFmt w:val="bullet"/>
      <w:lvlText w:val="•"/>
      <w:lvlJc w:val="left"/>
      <w:pPr>
        <w:ind w:left="6405" w:hanging="525"/>
      </w:pPr>
      <w:rPr>
        <w:rFonts w:hint="default"/>
        <w:lang w:val="en-US" w:eastAsia="en-US" w:bidi="ar-SA"/>
      </w:rPr>
    </w:lvl>
    <w:lvl w:ilvl="6">
      <w:start w:val="0"/>
      <w:numFmt w:val="bullet"/>
      <w:lvlText w:val="•"/>
      <w:lvlJc w:val="left"/>
      <w:pPr>
        <w:ind w:left="7361" w:hanging="525"/>
      </w:pPr>
      <w:rPr>
        <w:rFonts w:hint="default"/>
        <w:lang w:val="en-US" w:eastAsia="en-US" w:bidi="ar-SA"/>
      </w:rPr>
    </w:lvl>
    <w:lvl w:ilvl="7">
      <w:start w:val="0"/>
      <w:numFmt w:val="bullet"/>
      <w:lvlText w:val="•"/>
      <w:lvlJc w:val="left"/>
      <w:pPr>
        <w:ind w:left="8317" w:hanging="525"/>
      </w:pPr>
      <w:rPr>
        <w:rFonts w:hint="default"/>
        <w:lang w:val="en-US" w:eastAsia="en-US" w:bidi="ar-SA"/>
      </w:rPr>
    </w:lvl>
    <w:lvl w:ilvl="8">
      <w:start w:val="0"/>
      <w:numFmt w:val="bullet"/>
      <w:lvlText w:val="•"/>
      <w:lvlJc w:val="left"/>
      <w:pPr>
        <w:ind w:left="9273" w:hanging="525"/>
      </w:pPr>
      <w:rPr>
        <w:rFonts w:hint="default"/>
        <w:lang w:val="en-US" w:eastAsia="en-US" w:bidi="ar-SA"/>
      </w:rPr>
    </w:lvl>
  </w:abstractNum>
  <w:abstractNum w:abstractNumId="177">
    <w:multiLevelType w:val="hybridMultilevel"/>
    <w:lvl w:ilvl="0">
      <w:start w:val="1"/>
      <w:numFmt w:val="lowerLetter"/>
      <w:lvlText w:val="%1)"/>
      <w:lvlJc w:val="left"/>
      <w:pPr>
        <w:ind w:left="2659" w:hanging="389"/>
        <w:jc w:val="right"/>
      </w:pPr>
      <w:rPr>
        <w:rFonts w:hint="default"/>
        <w:spacing w:val="-1"/>
        <w:w w:val="100"/>
        <w:lang w:val="en-US" w:eastAsia="en-US" w:bidi="ar-SA"/>
      </w:rPr>
    </w:lvl>
    <w:lvl w:ilvl="1">
      <w:start w:val="0"/>
      <w:numFmt w:val="bullet"/>
      <w:lvlText w:val="•"/>
      <w:lvlJc w:val="left"/>
      <w:pPr>
        <w:ind w:left="3512" w:hanging="389"/>
      </w:pPr>
      <w:rPr>
        <w:rFonts w:hint="default"/>
        <w:lang w:val="en-US" w:eastAsia="en-US" w:bidi="ar-SA"/>
      </w:rPr>
    </w:lvl>
    <w:lvl w:ilvl="2">
      <w:start w:val="0"/>
      <w:numFmt w:val="bullet"/>
      <w:lvlText w:val="•"/>
      <w:lvlJc w:val="left"/>
      <w:pPr>
        <w:ind w:left="4365" w:hanging="389"/>
      </w:pPr>
      <w:rPr>
        <w:rFonts w:hint="default"/>
        <w:lang w:val="en-US" w:eastAsia="en-US" w:bidi="ar-SA"/>
      </w:rPr>
    </w:lvl>
    <w:lvl w:ilvl="3">
      <w:start w:val="0"/>
      <w:numFmt w:val="bullet"/>
      <w:lvlText w:val="•"/>
      <w:lvlJc w:val="left"/>
      <w:pPr>
        <w:ind w:left="5217" w:hanging="389"/>
      </w:pPr>
      <w:rPr>
        <w:rFonts w:hint="default"/>
        <w:lang w:val="en-US" w:eastAsia="en-US" w:bidi="ar-SA"/>
      </w:rPr>
    </w:lvl>
    <w:lvl w:ilvl="4">
      <w:start w:val="0"/>
      <w:numFmt w:val="bullet"/>
      <w:lvlText w:val="•"/>
      <w:lvlJc w:val="left"/>
      <w:pPr>
        <w:ind w:left="6070" w:hanging="389"/>
      </w:pPr>
      <w:rPr>
        <w:rFonts w:hint="default"/>
        <w:lang w:val="en-US" w:eastAsia="en-US" w:bidi="ar-SA"/>
      </w:rPr>
    </w:lvl>
    <w:lvl w:ilvl="5">
      <w:start w:val="0"/>
      <w:numFmt w:val="bullet"/>
      <w:lvlText w:val="•"/>
      <w:lvlJc w:val="left"/>
      <w:pPr>
        <w:ind w:left="6923" w:hanging="389"/>
      </w:pPr>
      <w:rPr>
        <w:rFonts w:hint="default"/>
        <w:lang w:val="en-US" w:eastAsia="en-US" w:bidi="ar-SA"/>
      </w:rPr>
    </w:lvl>
    <w:lvl w:ilvl="6">
      <w:start w:val="0"/>
      <w:numFmt w:val="bullet"/>
      <w:lvlText w:val="•"/>
      <w:lvlJc w:val="left"/>
      <w:pPr>
        <w:ind w:left="7775" w:hanging="389"/>
      </w:pPr>
      <w:rPr>
        <w:rFonts w:hint="default"/>
        <w:lang w:val="en-US" w:eastAsia="en-US" w:bidi="ar-SA"/>
      </w:rPr>
    </w:lvl>
    <w:lvl w:ilvl="7">
      <w:start w:val="0"/>
      <w:numFmt w:val="bullet"/>
      <w:lvlText w:val="•"/>
      <w:lvlJc w:val="left"/>
      <w:pPr>
        <w:ind w:left="8628" w:hanging="389"/>
      </w:pPr>
      <w:rPr>
        <w:rFonts w:hint="default"/>
        <w:lang w:val="en-US" w:eastAsia="en-US" w:bidi="ar-SA"/>
      </w:rPr>
    </w:lvl>
    <w:lvl w:ilvl="8">
      <w:start w:val="0"/>
      <w:numFmt w:val="bullet"/>
      <w:lvlText w:val="•"/>
      <w:lvlJc w:val="left"/>
      <w:pPr>
        <w:ind w:left="9481" w:hanging="389"/>
      </w:pPr>
      <w:rPr>
        <w:rFonts w:hint="default"/>
        <w:lang w:val="en-US" w:eastAsia="en-US" w:bidi="ar-SA"/>
      </w:rPr>
    </w:lvl>
  </w:abstractNum>
  <w:abstractNum w:abstractNumId="176">
    <w:multiLevelType w:val="hybridMultilevel"/>
    <w:lvl w:ilvl="0">
      <w:start w:val="1"/>
      <w:numFmt w:val="lowerRoman"/>
      <w:lvlText w:val="(%1)"/>
      <w:lvlJc w:val="left"/>
      <w:pPr>
        <w:ind w:left="2050" w:hanging="73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732"/>
      </w:pPr>
      <w:rPr>
        <w:rFonts w:hint="default"/>
        <w:lang w:val="en-US" w:eastAsia="en-US" w:bidi="ar-SA"/>
      </w:rPr>
    </w:lvl>
    <w:lvl w:ilvl="2">
      <w:start w:val="0"/>
      <w:numFmt w:val="bullet"/>
      <w:lvlText w:val="•"/>
      <w:lvlJc w:val="left"/>
      <w:pPr>
        <w:ind w:left="3885" w:hanging="732"/>
      </w:pPr>
      <w:rPr>
        <w:rFonts w:hint="default"/>
        <w:lang w:val="en-US" w:eastAsia="en-US" w:bidi="ar-SA"/>
      </w:rPr>
    </w:lvl>
    <w:lvl w:ilvl="3">
      <w:start w:val="0"/>
      <w:numFmt w:val="bullet"/>
      <w:lvlText w:val="•"/>
      <w:lvlJc w:val="left"/>
      <w:pPr>
        <w:ind w:left="4797" w:hanging="732"/>
      </w:pPr>
      <w:rPr>
        <w:rFonts w:hint="default"/>
        <w:lang w:val="en-US" w:eastAsia="en-US" w:bidi="ar-SA"/>
      </w:rPr>
    </w:lvl>
    <w:lvl w:ilvl="4">
      <w:start w:val="0"/>
      <w:numFmt w:val="bullet"/>
      <w:lvlText w:val="•"/>
      <w:lvlJc w:val="left"/>
      <w:pPr>
        <w:ind w:left="5710" w:hanging="732"/>
      </w:pPr>
      <w:rPr>
        <w:rFonts w:hint="default"/>
        <w:lang w:val="en-US" w:eastAsia="en-US" w:bidi="ar-SA"/>
      </w:rPr>
    </w:lvl>
    <w:lvl w:ilvl="5">
      <w:start w:val="0"/>
      <w:numFmt w:val="bullet"/>
      <w:lvlText w:val="•"/>
      <w:lvlJc w:val="left"/>
      <w:pPr>
        <w:ind w:left="6623" w:hanging="732"/>
      </w:pPr>
      <w:rPr>
        <w:rFonts w:hint="default"/>
        <w:lang w:val="en-US" w:eastAsia="en-US" w:bidi="ar-SA"/>
      </w:rPr>
    </w:lvl>
    <w:lvl w:ilvl="6">
      <w:start w:val="0"/>
      <w:numFmt w:val="bullet"/>
      <w:lvlText w:val="•"/>
      <w:lvlJc w:val="left"/>
      <w:pPr>
        <w:ind w:left="7535" w:hanging="732"/>
      </w:pPr>
      <w:rPr>
        <w:rFonts w:hint="default"/>
        <w:lang w:val="en-US" w:eastAsia="en-US" w:bidi="ar-SA"/>
      </w:rPr>
    </w:lvl>
    <w:lvl w:ilvl="7">
      <w:start w:val="0"/>
      <w:numFmt w:val="bullet"/>
      <w:lvlText w:val="•"/>
      <w:lvlJc w:val="left"/>
      <w:pPr>
        <w:ind w:left="8448" w:hanging="732"/>
      </w:pPr>
      <w:rPr>
        <w:rFonts w:hint="default"/>
        <w:lang w:val="en-US" w:eastAsia="en-US" w:bidi="ar-SA"/>
      </w:rPr>
    </w:lvl>
    <w:lvl w:ilvl="8">
      <w:start w:val="0"/>
      <w:numFmt w:val="bullet"/>
      <w:lvlText w:val="•"/>
      <w:lvlJc w:val="left"/>
      <w:pPr>
        <w:ind w:left="9361" w:hanging="732"/>
      </w:pPr>
      <w:rPr>
        <w:rFonts w:hint="default"/>
        <w:lang w:val="en-US" w:eastAsia="en-US" w:bidi="ar-SA"/>
      </w:rPr>
    </w:lvl>
  </w:abstractNum>
  <w:abstractNum w:abstractNumId="175">
    <w:multiLevelType w:val="hybridMultilevel"/>
    <w:lvl w:ilvl="0">
      <w:start w:val="2"/>
      <w:numFmt w:val="upperLetter"/>
      <w:lvlText w:val="%1)"/>
      <w:lvlJc w:val="left"/>
      <w:pPr>
        <w:ind w:left="2050" w:hanging="308"/>
        <w:jc w:val="left"/>
      </w:pPr>
      <w:rPr>
        <w:rFonts w:hint="default"/>
        <w:spacing w:val="0"/>
        <w:w w:val="100"/>
        <w:lang w:val="en-US" w:eastAsia="en-US" w:bidi="ar-SA"/>
      </w:rPr>
    </w:lvl>
    <w:lvl w:ilvl="1">
      <w:start w:val="1"/>
      <w:numFmt w:val="lowerRoman"/>
      <w:lvlText w:val="%2)"/>
      <w:lvlJc w:val="left"/>
      <w:pPr>
        <w:ind w:left="2194" w:hanging="37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198" w:hanging="374"/>
      </w:pPr>
      <w:rPr>
        <w:rFonts w:hint="default"/>
        <w:lang w:val="en-US" w:eastAsia="en-US" w:bidi="ar-SA"/>
      </w:rPr>
    </w:lvl>
    <w:lvl w:ilvl="3">
      <w:start w:val="0"/>
      <w:numFmt w:val="bullet"/>
      <w:lvlText w:val="•"/>
      <w:lvlJc w:val="left"/>
      <w:pPr>
        <w:ind w:left="4196" w:hanging="374"/>
      </w:pPr>
      <w:rPr>
        <w:rFonts w:hint="default"/>
        <w:lang w:val="en-US" w:eastAsia="en-US" w:bidi="ar-SA"/>
      </w:rPr>
    </w:lvl>
    <w:lvl w:ilvl="4">
      <w:start w:val="0"/>
      <w:numFmt w:val="bullet"/>
      <w:lvlText w:val="•"/>
      <w:lvlJc w:val="left"/>
      <w:pPr>
        <w:ind w:left="5195" w:hanging="374"/>
      </w:pPr>
      <w:rPr>
        <w:rFonts w:hint="default"/>
        <w:lang w:val="en-US" w:eastAsia="en-US" w:bidi="ar-SA"/>
      </w:rPr>
    </w:lvl>
    <w:lvl w:ilvl="5">
      <w:start w:val="0"/>
      <w:numFmt w:val="bullet"/>
      <w:lvlText w:val="•"/>
      <w:lvlJc w:val="left"/>
      <w:pPr>
        <w:ind w:left="6193" w:hanging="374"/>
      </w:pPr>
      <w:rPr>
        <w:rFonts w:hint="default"/>
        <w:lang w:val="en-US" w:eastAsia="en-US" w:bidi="ar-SA"/>
      </w:rPr>
    </w:lvl>
    <w:lvl w:ilvl="6">
      <w:start w:val="0"/>
      <w:numFmt w:val="bullet"/>
      <w:lvlText w:val="•"/>
      <w:lvlJc w:val="left"/>
      <w:pPr>
        <w:ind w:left="7192" w:hanging="374"/>
      </w:pPr>
      <w:rPr>
        <w:rFonts w:hint="default"/>
        <w:lang w:val="en-US" w:eastAsia="en-US" w:bidi="ar-SA"/>
      </w:rPr>
    </w:lvl>
    <w:lvl w:ilvl="7">
      <w:start w:val="0"/>
      <w:numFmt w:val="bullet"/>
      <w:lvlText w:val="•"/>
      <w:lvlJc w:val="left"/>
      <w:pPr>
        <w:ind w:left="8190" w:hanging="374"/>
      </w:pPr>
      <w:rPr>
        <w:rFonts w:hint="default"/>
        <w:lang w:val="en-US" w:eastAsia="en-US" w:bidi="ar-SA"/>
      </w:rPr>
    </w:lvl>
    <w:lvl w:ilvl="8">
      <w:start w:val="0"/>
      <w:numFmt w:val="bullet"/>
      <w:lvlText w:val="•"/>
      <w:lvlJc w:val="left"/>
      <w:pPr>
        <w:ind w:left="9189" w:hanging="374"/>
      </w:pPr>
      <w:rPr>
        <w:rFonts w:hint="default"/>
        <w:lang w:val="en-US" w:eastAsia="en-US" w:bidi="ar-SA"/>
      </w:rPr>
    </w:lvl>
  </w:abstractNum>
  <w:abstractNum w:abstractNumId="174">
    <w:multiLevelType w:val="hybridMultilevel"/>
    <w:lvl w:ilvl="0">
      <w:start w:val="1"/>
      <w:numFmt w:val="lowerRoman"/>
      <w:lvlText w:val="(%1)"/>
      <w:lvlJc w:val="left"/>
      <w:pPr>
        <w:ind w:left="2050" w:hanging="33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336"/>
      </w:pPr>
      <w:rPr>
        <w:rFonts w:hint="default"/>
        <w:lang w:val="en-US" w:eastAsia="en-US" w:bidi="ar-SA"/>
      </w:rPr>
    </w:lvl>
    <w:lvl w:ilvl="2">
      <w:start w:val="0"/>
      <w:numFmt w:val="bullet"/>
      <w:lvlText w:val="•"/>
      <w:lvlJc w:val="left"/>
      <w:pPr>
        <w:ind w:left="3885" w:hanging="336"/>
      </w:pPr>
      <w:rPr>
        <w:rFonts w:hint="default"/>
        <w:lang w:val="en-US" w:eastAsia="en-US" w:bidi="ar-SA"/>
      </w:rPr>
    </w:lvl>
    <w:lvl w:ilvl="3">
      <w:start w:val="0"/>
      <w:numFmt w:val="bullet"/>
      <w:lvlText w:val="•"/>
      <w:lvlJc w:val="left"/>
      <w:pPr>
        <w:ind w:left="4797" w:hanging="336"/>
      </w:pPr>
      <w:rPr>
        <w:rFonts w:hint="default"/>
        <w:lang w:val="en-US" w:eastAsia="en-US" w:bidi="ar-SA"/>
      </w:rPr>
    </w:lvl>
    <w:lvl w:ilvl="4">
      <w:start w:val="0"/>
      <w:numFmt w:val="bullet"/>
      <w:lvlText w:val="•"/>
      <w:lvlJc w:val="left"/>
      <w:pPr>
        <w:ind w:left="5710" w:hanging="336"/>
      </w:pPr>
      <w:rPr>
        <w:rFonts w:hint="default"/>
        <w:lang w:val="en-US" w:eastAsia="en-US" w:bidi="ar-SA"/>
      </w:rPr>
    </w:lvl>
    <w:lvl w:ilvl="5">
      <w:start w:val="0"/>
      <w:numFmt w:val="bullet"/>
      <w:lvlText w:val="•"/>
      <w:lvlJc w:val="left"/>
      <w:pPr>
        <w:ind w:left="6623" w:hanging="336"/>
      </w:pPr>
      <w:rPr>
        <w:rFonts w:hint="default"/>
        <w:lang w:val="en-US" w:eastAsia="en-US" w:bidi="ar-SA"/>
      </w:rPr>
    </w:lvl>
    <w:lvl w:ilvl="6">
      <w:start w:val="0"/>
      <w:numFmt w:val="bullet"/>
      <w:lvlText w:val="•"/>
      <w:lvlJc w:val="left"/>
      <w:pPr>
        <w:ind w:left="7535" w:hanging="336"/>
      </w:pPr>
      <w:rPr>
        <w:rFonts w:hint="default"/>
        <w:lang w:val="en-US" w:eastAsia="en-US" w:bidi="ar-SA"/>
      </w:rPr>
    </w:lvl>
    <w:lvl w:ilvl="7">
      <w:start w:val="0"/>
      <w:numFmt w:val="bullet"/>
      <w:lvlText w:val="•"/>
      <w:lvlJc w:val="left"/>
      <w:pPr>
        <w:ind w:left="8448" w:hanging="336"/>
      </w:pPr>
      <w:rPr>
        <w:rFonts w:hint="default"/>
        <w:lang w:val="en-US" w:eastAsia="en-US" w:bidi="ar-SA"/>
      </w:rPr>
    </w:lvl>
    <w:lvl w:ilvl="8">
      <w:start w:val="0"/>
      <w:numFmt w:val="bullet"/>
      <w:lvlText w:val="•"/>
      <w:lvlJc w:val="left"/>
      <w:pPr>
        <w:ind w:left="9361" w:hanging="336"/>
      </w:pPr>
      <w:rPr>
        <w:rFonts w:hint="default"/>
        <w:lang w:val="en-US" w:eastAsia="en-US" w:bidi="ar-SA"/>
      </w:rPr>
    </w:lvl>
  </w:abstractNum>
  <w:abstractNum w:abstractNumId="173">
    <w:multiLevelType w:val="hybridMultilevel"/>
    <w:lvl w:ilvl="0">
      <w:start w:val="2"/>
      <w:numFmt w:val="decimal"/>
      <w:lvlText w:val="%1"/>
      <w:lvlJc w:val="left"/>
      <w:pPr>
        <w:ind w:left="2050" w:hanging="54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1.%2"/>
      <w:lvlJc w:val="left"/>
      <w:pPr>
        <w:ind w:left="206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885" w:hanging="720"/>
      </w:pPr>
      <w:rPr>
        <w:rFonts w:hint="default"/>
        <w:lang w:val="en-US" w:eastAsia="en-US" w:bidi="ar-SA"/>
      </w:rPr>
    </w:lvl>
    <w:lvl w:ilvl="3">
      <w:start w:val="0"/>
      <w:numFmt w:val="bullet"/>
      <w:lvlText w:val="•"/>
      <w:lvlJc w:val="left"/>
      <w:pPr>
        <w:ind w:left="4797" w:hanging="720"/>
      </w:pPr>
      <w:rPr>
        <w:rFonts w:hint="default"/>
        <w:lang w:val="en-US" w:eastAsia="en-US" w:bidi="ar-SA"/>
      </w:rPr>
    </w:lvl>
    <w:lvl w:ilvl="4">
      <w:start w:val="0"/>
      <w:numFmt w:val="bullet"/>
      <w:lvlText w:val="•"/>
      <w:lvlJc w:val="left"/>
      <w:pPr>
        <w:ind w:left="5710" w:hanging="720"/>
      </w:pPr>
      <w:rPr>
        <w:rFonts w:hint="default"/>
        <w:lang w:val="en-US" w:eastAsia="en-US" w:bidi="ar-SA"/>
      </w:rPr>
    </w:lvl>
    <w:lvl w:ilvl="5">
      <w:start w:val="0"/>
      <w:numFmt w:val="bullet"/>
      <w:lvlText w:val="•"/>
      <w:lvlJc w:val="left"/>
      <w:pPr>
        <w:ind w:left="6623" w:hanging="720"/>
      </w:pPr>
      <w:rPr>
        <w:rFonts w:hint="default"/>
        <w:lang w:val="en-US" w:eastAsia="en-US" w:bidi="ar-SA"/>
      </w:rPr>
    </w:lvl>
    <w:lvl w:ilvl="6">
      <w:start w:val="0"/>
      <w:numFmt w:val="bullet"/>
      <w:lvlText w:val="•"/>
      <w:lvlJc w:val="left"/>
      <w:pPr>
        <w:ind w:left="7535" w:hanging="720"/>
      </w:pPr>
      <w:rPr>
        <w:rFonts w:hint="default"/>
        <w:lang w:val="en-US" w:eastAsia="en-US" w:bidi="ar-SA"/>
      </w:rPr>
    </w:lvl>
    <w:lvl w:ilvl="7">
      <w:start w:val="0"/>
      <w:numFmt w:val="bullet"/>
      <w:lvlText w:val="•"/>
      <w:lvlJc w:val="left"/>
      <w:pPr>
        <w:ind w:left="8448" w:hanging="720"/>
      </w:pPr>
      <w:rPr>
        <w:rFonts w:hint="default"/>
        <w:lang w:val="en-US" w:eastAsia="en-US" w:bidi="ar-SA"/>
      </w:rPr>
    </w:lvl>
    <w:lvl w:ilvl="8">
      <w:start w:val="0"/>
      <w:numFmt w:val="bullet"/>
      <w:lvlText w:val="•"/>
      <w:lvlJc w:val="left"/>
      <w:pPr>
        <w:ind w:left="9361" w:hanging="720"/>
      </w:pPr>
      <w:rPr>
        <w:rFonts w:hint="default"/>
        <w:lang w:val="en-US" w:eastAsia="en-US" w:bidi="ar-SA"/>
      </w:rPr>
    </w:lvl>
  </w:abstractNum>
  <w:abstractNum w:abstractNumId="172">
    <w:multiLevelType w:val="hybridMultilevel"/>
    <w:lvl w:ilvl="0">
      <w:start w:val="1"/>
      <w:numFmt w:val="decimal"/>
      <w:lvlText w:val="%1."/>
      <w:lvlJc w:val="left"/>
      <w:pPr>
        <w:ind w:left="2050" w:hanging="356"/>
        <w:jc w:val="left"/>
      </w:pPr>
      <w:rPr>
        <w:rFonts w:hint="default"/>
        <w:spacing w:val="0"/>
        <w:w w:val="100"/>
        <w:lang w:val="en-US" w:eastAsia="en-US" w:bidi="ar-SA"/>
      </w:rPr>
    </w:lvl>
    <w:lvl w:ilvl="1">
      <w:start w:val="1"/>
      <w:numFmt w:val="upperLetter"/>
      <w:lvlText w:val="(%2)"/>
      <w:lvlJc w:val="left"/>
      <w:pPr>
        <w:ind w:left="2434" w:hanging="38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Roman"/>
      <w:lvlText w:val="%3."/>
      <w:lvlJc w:val="left"/>
      <w:pPr>
        <w:ind w:left="2050" w:hanging="76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4383" w:hanging="760"/>
      </w:pPr>
      <w:rPr>
        <w:rFonts w:hint="default"/>
        <w:lang w:val="en-US" w:eastAsia="en-US" w:bidi="ar-SA"/>
      </w:rPr>
    </w:lvl>
    <w:lvl w:ilvl="4">
      <w:start w:val="0"/>
      <w:numFmt w:val="bullet"/>
      <w:lvlText w:val="•"/>
      <w:lvlJc w:val="left"/>
      <w:pPr>
        <w:ind w:left="5355" w:hanging="760"/>
      </w:pPr>
      <w:rPr>
        <w:rFonts w:hint="default"/>
        <w:lang w:val="en-US" w:eastAsia="en-US" w:bidi="ar-SA"/>
      </w:rPr>
    </w:lvl>
    <w:lvl w:ilvl="5">
      <w:start w:val="0"/>
      <w:numFmt w:val="bullet"/>
      <w:lvlText w:val="•"/>
      <w:lvlJc w:val="left"/>
      <w:pPr>
        <w:ind w:left="6327" w:hanging="760"/>
      </w:pPr>
      <w:rPr>
        <w:rFonts w:hint="default"/>
        <w:lang w:val="en-US" w:eastAsia="en-US" w:bidi="ar-SA"/>
      </w:rPr>
    </w:lvl>
    <w:lvl w:ilvl="6">
      <w:start w:val="0"/>
      <w:numFmt w:val="bullet"/>
      <w:lvlText w:val="•"/>
      <w:lvlJc w:val="left"/>
      <w:pPr>
        <w:ind w:left="7299" w:hanging="760"/>
      </w:pPr>
      <w:rPr>
        <w:rFonts w:hint="default"/>
        <w:lang w:val="en-US" w:eastAsia="en-US" w:bidi="ar-SA"/>
      </w:rPr>
    </w:lvl>
    <w:lvl w:ilvl="7">
      <w:start w:val="0"/>
      <w:numFmt w:val="bullet"/>
      <w:lvlText w:val="•"/>
      <w:lvlJc w:val="left"/>
      <w:pPr>
        <w:ind w:left="8270" w:hanging="760"/>
      </w:pPr>
      <w:rPr>
        <w:rFonts w:hint="default"/>
        <w:lang w:val="en-US" w:eastAsia="en-US" w:bidi="ar-SA"/>
      </w:rPr>
    </w:lvl>
    <w:lvl w:ilvl="8">
      <w:start w:val="0"/>
      <w:numFmt w:val="bullet"/>
      <w:lvlText w:val="•"/>
      <w:lvlJc w:val="left"/>
      <w:pPr>
        <w:ind w:left="9242" w:hanging="760"/>
      </w:pPr>
      <w:rPr>
        <w:rFonts w:hint="default"/>
        <w:lang w:val="en-US" w:eastAsia="en-US" w:bidi="ar-SA"/>
      </w:rPr>
    </w:lvl>
  </w:abstractNum>
  <w:abstractNum w:abstractNumId="171">
    <w:multiLevelType w:val="hybridMultilevel"/>
    <w:lvl w:ilvl="0">
      <w:start w:val="1"/>
      <w:numFmt w:val="decimal"/>
      <w:lvlText w:val="%1)"/>
      <w:lvlJc w:val="left"/>
      <w:pPr>
        <w:ind w:left="2050" w:hanging="73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1.%2"/>
      <w:lvlJc w:val="left"/>
      <w:pPr>
        <w:ind w:left="2062" w:hanging="51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885" w:hanging="516"/>
      </w:pPr>
      <w:rPr>
        <w:rFonts w:hint="default"/>
        <w:lang w:val="en-US" w:eastAsia="en-US" w:bidi="ar-SA"/>
      </w:rPr>
    </w:lvl>
    <w:lvl w:ilvl="3">
      <w:start w:val="0"/>
      <w:numFmt w:val="bullet"/>
      <w:lvlText w:val="•"/>
      <w:lvlJc w:val="left"/>
      <w:pPr>
        <w:ind w:left="4797" w:hanging="516"/>
      </w:pPr>
      <w:rPr>
        <w:rFonts w:hint="default"/>
        <w:lang w:val="en-US" w:eastAsia="en-US" w:bidi="ar-SA"/>
      </w:rPr>
    </w:lvl>
    <w:lvl w:ilvl="4">
      <w:start w:val="0"/>
      <w:numFmt w:val="bullet"/>
      <w:lvlText w:val="•"/>
      <w:lvlJc w:val="left"/>
      <w:pPr>
        <w:ind w:left="5710" w:hanging="516"/>
      </w:pPr>
      <w:rPr>
        <w:rFonts w:hint="default"/>
        <w:lang w:val="en-US" w:eastAsia="en-US" w:bidi="ar-SA"/>
      </w:rPr>
    </w:lvl>
    <w:lvl w:ilvl="5">
      <w:start w:val="0"/>
      <w:numFmt w:val="bullet"/>
      <w:lvlText w:val="•"/>
      <w:lvlJc w:val="left"/>
      <w:pPr>
        <w:ind w:left="6623" w:hanging="516"/>
      </w:pPr>
      <w:rPr>
        <w:rFonts w:hint="default"/>
        <w:lang w:val="en-US" w:eastAsia="en-US" w:bidi="ar-SA"/>
      </w:rPr>
    </w:lvl>
    <w:lvl w:ilvl="6">
      <w:start w:val="0"/>
      <w:numFmt w:val="bullet"/>
      <w:lvlText w:val="•"/>
      <w:lvlJc w:val="left"/>
      <w:pPr>
        <w:ind w:left="7535" w:hanging="516"/>
      </w:pPr>
      <w:rPr>
        <w:rFonts w:hint="default"/>
        <w:lang w:val="en-US" w:eastAsia="en-US" w:bidi="ar-SA"/>
      </w:rPr>
    </w:lvl>
    <w:lvl w:ilvl="7">
      <w:start w:val="0"/>
      <w:numFmt w:val="bullet"/>
      <w:lvlText w:val="•"/>
      <w:lvlJc w:val="left"/>
      <w:pPr>
        <w:ind w:left="8448" w:hanging="516"/>
      </w:pPr>
      <w:rPr>
        <w:rFonts w:hint="default"/>
        <w:lang w:val="en-US" w:eastAsia="en-US" w:bidi="ar-SA"/>
      </w:rPr>
    </w:lvl>
    <w:lvl w:ilvl="8">
      <w:start w:val="0"/>
      <w:numFmt w:val="bullet"/>
      <w:lvlText w:val="•"/>
      <w:lvlJc w:val="left"/>
      <w:pPr>
        <w:ind w:left="9361" w:hanging="516"/>
      </w:pPr>
      <w:rPr>
        <w:rFonts w:hint="default"/>
        <w:lang w:val="en-US" w:eastAsia="en-US" w:bidi="ar-SA"/>
      </w:rPr>
    </w:lvl>
  </w:abstractNum>
  <w:abstractNum w:abstractNumId="170">
    <w:multiLevelType w:val="hybridMultilevel"/>
    <w:lvl w:ilvl="0">
      <w:start w:val="1"/>
      <w:numFmt w:val="decimal"/>
      <w:lvlText w:val="%1"/>
      <w:lvlJc w:val="left"/>
      <w:pPr>
        <w:ind w:left="2050" w:hanging="572"/>
        <w:jc w:val="left"/>
      </w:pPr>
      <w:rPr>
        <w:rFonts w:hint="default"/>
        <w:lang w:val="en-US" w:eastAsia="en-US" w:bidi="ar-SA"/>
      </w:rPr>
    </w:lvl>
    <w:lvl w:ilvl="1">
      <w:start w:val="1"/>
      <w:numFmt w:val="decimal"/>
      <w:lvlText w:val="%1.%2"/>
      <w:lvlJc w:val="left"/>
      <w:pPr>
        <w:ind w:left="2050" w:hanging="572"/>
        <w:jc w:val="left"/>
      </w:pPr>
      <w:rPr>
        <w:rFonts w:hint="default"/>
        <w:spacing w:val="-1"/>
        <w:w w:val="100"/>
        <w:lang w:val="en-US" w:eastAsia="en-US" w:bidi="ar-SA"/>
      </w:rPr>
    </w:lvl>
    <w:lvl w:ilvl="2">
      <w:start w:val="0"/>
      <w:numFmt w:val="bullet"/>
      <w:lvlText w:val="•"/>
      <w:lvlJc w:val="left"/>
      <w:pPr>
        <w:ind w:left="3885" w:hanging="572"/>
      </w:pPr>
      <w:rPr>
        <w:rFonts w:hint="default"/>
        <w:lang w:val="en-US" w:eastAsia="en-US" w:bidi="ar-SA"/>
      </w:rPr>
    </w:lvl>
    <w:lvl w:ilvl="3">
      <w:start w:val="0"/>
      <w:numFmt w:val="bullet"/>
      <w:lvlText w:val="•"/>
      <w:lvlJc w:val="left"/>
      <w:pPr>
        <w:ind w:left="4797" w:hanging="572"/>
      </w:pPr>
      <w:rPr>
        <w:rFonts w:hint="default"/>
        <w:lang w:val="en-US" w:eastAsia="en-US" w:bidi="ar-SA"/>
      </w:rPr>
    </w:lvl>
    <w:lvl w:ilvl="4">
      <w:start w:val="0"/>
      <w:numFmt w:val="bullet"/>
      <w:lvlText w:val="•"/>
      <w:lvlJc w:val="left"/>
      <w:pPr>
        <w:ind w:left="5710" w:hanging="572"/>
      </w:pPr>
      <w:rPr>
        <w:rFonts w:hint="default"/>
        <w:lang w:val="en-US" w:eastAsia="en-US" w:bidi="ar-SA"/>
      </w:rPr>
    </w:lvl>
    <w:lvl w:ilvl="5">
      <w:start w:val="0"/>
      <w:numFmt w:val="bullet"/>
      <w:lvlText w:val="•"/>
      <w:lvlJc w:val="left"/>
      <w:pPr>
        <w:ind w:left="6623" w:hanging="572"/>
      </w:pPr>
      <w:rPr>
        <w:rFonts w:hint="default"/>
        <w:lang w:val="en-US" w:eastAsia="en-US" w:bidi="ar-SA"/>
      </w:rPr>
    </w:lvl>
    <w:lvl w:ilvl="6">
      <w:start w:val="0"/>
      <w:numFmt w:val="bullet"/>
      <w:lvlText w:val="•"/>
      <w:lvlJc w:val="left"/>
      <w:pPr>
        <w:ind w:left="7535" w:hanging="572"/>
      </w:pPr>
      <w:rPr>
        <w:rFonts w:hint="default"/>
        <w:lang w:val="en-US" w:eastAsia="en-US" w:bidi="ar-SA"/>
      </w:rPr>
    </w:lvl>
    <w:lvl w:ilvl="7">
      <w:start w:val="0"/>
      <w:numFmt w:val="bullet"/>
      <w:lvlText w:val="•"/>
      <w:lvlJc w:val="left"/>
      <w:pPr>
        <w:ind w:left="8448" w:hanging="572"/>
      </w:pPr>
      <w:rPr>
        <w:rFonts w:hint="default"/>
        <w:lang w:val="en-US" w:eastAsia="en-US" w:bidi="ar-SA"/>
      </w:rPr>
    </w:lvl>
    <w:lvl w:ilvl="8">
      <w:start w:val="0"/>
      <w:numFmt w:val="bullet"/>
      <w:lvlText w:val="•"/>
      <w:lvlJc w:val="left"/>
      <w:pPr>
        <w:ind w:left="9361" w:hanging="572"/>
      </w:pPr>
      <w:rPr>
        <w:rFonts w:hint="default"/>
        <w:lang w:val="en-US" w:eastAsia="en-US" w:bidi="ar-SA"/>
      </w:rPr>
    </w:lvl>
  </w:abstractNum>
  <w:abstractNum w:abstractNumId="169">
    <w:multiLevelType w:val="hybridMultilevel"/>
    <w:lvl w:ilvl="0">
      <w:start w:val="13"/>
      <w:numFmt w:val="decimal"/>
      <w:lvlText w:val="%1)"/>
      <w:lvlJc w:val="left"/>
      <w:pPr>
        <w:ind w:left="2062" w:hanging="371"/>
        <w:jc w:val="right"/>
      </w:pPr>
      <w:rPr>
        <w:rFonts w:hint="default" w:ascii="Bookman Old Style" w:hAnsi="Bookman Old Style" w:eastAsia="Bookman Old Style" w:cs="Bookman Old Style"/>
        <w:b w:val="0"/>
        <w:bCs w:val="0"/>
        <w:i w:val="0"/>
        <w:iCs w:val="0"/>
        <w:spacing w:val="-1"/>
        <w:w w:val="100"/>
        <w:sz w:val="22"/>
        <w:szCs w:val="22"/>
        <w:lang w:val="en-US" w:eastAsia="en-US" w:bidi="ar-SA"/>
      </w:rPr>
    </w:lvl>
    <w:lvl w:ilvl="1">
      <w:start w:val="0"/>
      <w:numFmt w:val="bullet"/>
      <w:lvlText w:val="•"/>
      <w:lvlJc w:val="left"/>
      <w:pPr>
        <w:ind w:left="2972" w:hanging="371"/>
      </w:pPr>
      <w:rPr>
        <w:rFonts w:hint="default"/>
        <w:lang w:val="en-US" w:eastAsia="en-US" w:bidi="ar-SA"/>
      </w:rPr>
    </w:lvl>
    <w:lvl w:ilvl="2">
      <w:start w:val="0"/>
      <w:numFmt w:val="bullet"/>
      <w:lvlText w:val="•"/>
      <w:lvlJc w:val="left"/>
      <w:pPr>
        <w:ind w:left="3885" w:hanging="371"/>
      </w:pPr>
      <w:rPr>
        <w:rFonts w:hint="default"/>
        <w:lang w:val="en-US" w:eastAsia="en-US" w:bidi="ar-SA"/>
      </w:rPr>
    </w:lvl>
    <w:lvl w:ilvl="3">
      <w:start w:val="0"/>
      <w:numFmt w:val="bullet"/>
      <w:lvlText w:val="•"/>
      <w:lvlJc w:val="left"/>
      <w:pPr>
        <w:ind w:left="4797" w:hanging="371"/>
      </w:pPr>
      <w:rPr>
        <w:rFonts w:hint="default"/>
        <w:lang w:val="en-US" w:eastAsia="en-US" w:bidi="ar-SA"/>
      </w:rPr>
    </w:lvl>
    <w:lvl w:ilvl="4">
      <w:start w:val="0"/>
      <w:numFmt w:val="bullet"/>
      <w:lvlText w:val="•"/>
      <w:lvlJc w:val="left"/>
      <w:pPr>
        <w:ind w:left="5710" w:hanging="371"/>
      </w:pPr>
      <w:rPr>
        <w:rFonts w:hint="default"/>
        <w:lang w:val="en-US" w:eastAsia="en-US" w:bidi="ar-SA"/>
      </w:rPr>
    </w:lvl>
    <w:lvl w:ilvl="5">
      <w:start w:val="0"/>
      <w:numFmt w:val="bullet"/>
      <w:lvlText w:val="•"/>
      <w:lvlJc w:val="left"/>
      <w:pPr>
        <w:ind w:left="6623" w:hanging="371"/>
      </w:pPr>
      <w:rPr>
        <w:rFonts w:hint="default"/>
        <w:lang w:val="en-US" w:eastAsia="en-US" w:bidi="ar-SA"/>
      </w:rPr>
    </w:lvl>
    <w:lvl w:ilvl="6">
      <w:start w:val="0"/>
      <w:numFmt w:val="bullet"/>
      <w:lvlText w:val="•"/>
      <w:lvlJc w:val="left"/>
      <w:pPr>
        <w:ind w:left="7535" w:hanging="371"/>
      </w:pPr>
      <w:rPr>
        <w:rFonts w:hint="default"/>
        <w:lang w:val="en-US" w:eastAsia="en-US" w:bidi="ar-SA"/>
      </w:rPr>
    </w:lvl>
    <w:lvl w:ilvl="7">
      <w:start w:val="0"/>
      <w:numFmt w:val="bullet"/>
      <w:lvlText w:val="•"/>
      <w:lvlJc w:val="left"/>
      <w:pPr>
        <w:ind w:left="8448" w:hanging="371"/>
      </w:pPr>
      <w:rPr>
        <w:rFonts w:hint="default"/>
        <w:lang w:val="en-US" w:eastAsia="en-US" w:bidi="ar-SA"/>
      </w:rPr>
    </w:lvl>
    <w:lvl w:ilvl="8">
      <w:start w:val="0"/>
      <w:numFmt w:val="bullet"/>
      <w:lvlText w:val="•"/>
      <w:lvlJc w:val="left"/>
      <w:pPr>
        <w:ind w:left="9361" w:hanging="371"/>
      </w:pPr>
      <w:rPr>
        <w:rFonts w:hint="default"/>
        <w:lang w:val="en-US" w:eastAsia="en-US" w:bidi="ar-SA"/>
      </w:rPr>
    </w:lvl>
  </w:abstractNum>
  <w:abstractNum w:abstractNumId="168">
    <w:multiLevelType w:val="hybridMultilevel"/>
    <w:lvl w:ilvl="0">
      <w:start w:val="1"/>
      <w:numFmt w:val="decimal"/>
      <w:lvlText w:val="%1)"/>
      <w:lvlJc w:val="left"/>
      <w:pPr>
        <w:ind w:left="2422" w:hanging="360"/>
        <w:jc w:val="left"/>
      </w:pPr>
      <w:rPr>
        <w:rFonts w:hint="default" w:ascii="Bookman Old Style" w:hAnsi="Bookman Old Style" w:eastAsia="Bookman Old Style" w:cs="Bookman Old Style"/>
        <w:b w:val="0"/>
        <w:bCs w:val="0"/>
        <w:i w:val="0"/>
        <w:iCs w:val="0"/>
        <w:spacing w:val="0"/>
        <w:w w:val="90"/>
        <w:sz w:val="24"/>
        <w:szCs w:val="24"/>
        <w:lang w:val="en-US" w:eastAsia="en-US" w:bidi="ar-SA"/>
      </w:rPr>
    </w:lvl>
    <w:lvl w:ilvl="1">
      <w:start w:val="0"/>
      <w:numFmt w:val="bullet"/>
      <w:lvlText w:val="•"/>
      <w:lvlJc w:val="left"/>
      <w:pPr>
        <w:ind w:left="3296" w:hanging="360"/>
      </w:pPr>
      <w:rPr>
        <w:rFonts w:hint="default"/>
        <w:lang w:val="en-US" w:eastAsia="en-US" w:bidi="ar-SA"/>
      </w:rPr>
    </w:lvl>
    <w:lvl w:ilvl="2">
      <w:start w:val="0"/>
      <w:numFmt w:val="bullet"/>
      <w:lvlText w:val="•"/>
      <w:lvlJc w:val="left"/>
      <w:pPr>
        <w:ind w:left="4173" w:hanging="360"/>
      </w:pPr>
      <w:rPr>
        <w:rFonts w:hint="default"/>
        <w:lang w:val="en-US" w:eastAsia="en-US" w:bidi="ar-SA"/>
      </w:rPr>
    </w:lvl>
    <w:lvl w:ilvl="3">
      <w:start w:val="0"/>
      <w:numFmt w:val="bullet"/>
      <w:lvlText w:val="•"/>
      <w:lvlJc w:val="left"/>
      <w:pPr>
        <w:ind w:left="5049" w:hanging="360"/>
      </w:pPr>
      <w:rPr>
        <w:rFonts w:hint="default"/>
        <w:lang w:val="en-US" w:eastAsia="en-US" w:bidi="ar-SA"/>
      </w:rPr>
    </w:lvl>
    <w:lvl w:ilvl="4">
      <w:start w:val="0"/>
      <w:numFmt w:val="bullet"/>
      <w:lvlText w:val="•"/>
      <w:lvlJc w:val="left"/>
      <w:pPr>
        <w:ind w:left="5926" w:hanging="360"/>
      </w:pPr>
      <w:rPr>
        <w:rFonts w:hint="default"/>
        <w:lang w:val="en-US" w:eastAsia="en-US" w:bidi="ar-SA"/>
      </w:rPr>
    </w:lvl>
    <w:lvl w:ilvl="5">
      <w:start w:val="0"/>
      <w:numFmt w:val="bullet"/>
      <w:lvlText w:val="•"/>
      <w:lvlJc w:val="left"/>
      <w:pPr>
        <w:ind w:left="6803" w:hanging="360"/>
      </w:pPr>
      <w:rPr>
        <w:rFonts w:hint="default"/>
        <w:lang w:val="en-US" w:eastAsia="en-US" w:bidi="ar-SA"/>
      </w:rPr>
    </w:lvl>
    <w:lvl w:ilvl="6">
      <w:start w:val="0"/>
      <w:numFmt w:val="bullet"/>
      <w:lvlText w:val="•"/>
      <w:lvlJc w:val="left"/>
      <w:pPr>
        <w:ind w:left="7679" w:hanging="360"/>
      </w:pPr>
      <w:rPr>
        <w:rFonts w:hint="default"/>
        <w:lang w:val="en-US" w:eastAsia="en-US" w:bidi="ar-SA"/>
      </w:rPr>
    </w:lvl>
    <w:lvl w:ilvl="7">
      <w:start w:val="0"/>
      <w:numFmt w:val="bullet"/>
      <w:lvlText w:val="•"/>
      <w:lvlJc w:val="left"/>
      <w:pPr>
        <w:ind w:left="8556" w:hanging="360"/>
      </w:pPr>
      <w:rPr>
        <w:rFonts w:hint="default"/>
        <w:lang w:val="en-US" w:eastAsia="en-US" w:bidi="ar-SA"/>
      </w:rPr>
    </w:lvl>
    <w:lvl w:ilvl="8">
      <w:start w:val="0"/>
      <w:numFmt w:val="bullet"/>
      <w:lvlText w:val="•"/>
      <w:lvlJc w:val="left"/>
      <w:pPr>
        <w:ind w:left="9433" w:hanging="360"/>
      </w:pPr>
      <w:rPr>
        <w:rFonts w:hint="default"/>
        <w:lang w:val="en-US" w:eastAsia="en-US" w:bidi="ar-SA"/>
      </w:rPr>
    </w:lvl>
  </w:abstractNum>
  <w:abstractNum w:abstractNumId="167">
    <w:multiLevelType w:val="hybridMultilevel"/>
    <w:lvl w:ilvl="0">
      <w:start w:val="20"/>
      <w:numFmt w:val="decimal"/>
      <w:lvlText w:val="%1."/>
      <w:lvlJc w:val="left"/>
      <w:pPr>
        <w:ind w:left="2062" w:hanging="69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2062" w:hanging="300"/>
        <w:jc w:val="left"/>
      </w:pPr>
      <w:rPr>
        <w:rFonts w:hint="default" w:ascii="Bookman Old Style" w:hAnsi="Bookman Old Style" w:eastAsia="Bookman Old Style" w:cs="Bookman Old Style"/>
        <w:b w:val="0"/>
        <w:bCs w:val="0"/>
        <w:i w:val="0"/>
        <w:iCs w:val="0"/>
        <w:spacing w:val="-1"/>
        <w:w w:val="100"/>
        <w:sz w:val="24"/>
        <w:szCs w:val="24"/>
        <w:lang w:val="en-US" w:eastAsia="en-US" w:bidi="ar-SA"/>
      </w:rPr>
    </w:lvl>
    <w:lvl w:ilvl="2">
      <w:start w:val="0"/>
      <w:numFmt w:val="bullet"/>
      <w:lvlText w:val="•"/>
      <w:lvlJc w:val="left"/>
      <w:pPr>
        <w:ind w:left="3885" w:hanging="300"/>
      </w:pPr>
      <w:rPr>
        <w:rFonts w:hint="default"/>
        <w:lang w:val="en-US" w:eastAsia="en-US" w:bidi="ar-SA"/>
      </w:rPr>
    </w:lvl>
    <w:lvl w:ilvl="3">
      <w:start w:val="0"/>
      <w:numFmt w:val="bullet"/>
      <w:lvlText w:val="•"/>
      <w:lvlJc w:val="left"/>
      <w:pPr>
        <w:ind w:left="4797" w:hanging="300"/>
      </w:pPr>
      <w:rPr>
        <w:rFonts w:hint="default"/>
        <w:lang w:val="en-US" w:eastAsia="en-US" w:bidi="ar-SA"/>
      </w:rPr>
    </w:lvl>
    <w:lvl w:ilvl="4">
      <w:start w:val="0"/>
      <w:numFmt w:val="bullet"/>
      <w:lvlText w:val="•"/>
      <w:lvlJc w:val="left"/>
      <w:pPr>
        <w:ind w:left="5710" w:hanging="300"/>
      </w:pPr>
      <w:rPr>
        <w:rFonts w:hint="default"/>
        <w:lang w:val="en-US" w:eastAsia="en-US" w:bidi="ar-SA"/>
      </w:rPr>
    </w:lvl>
    <w:lvl w:ilvl="5">
      <w:start w:val="0"/>
      <w:numFmt w:val="bullet"/>
      <w:lvlText w:val="•"/>
      <w:lvlJc w:val="left"/>
      <w:pPr>
        <w:ind w:left="6623" w:hanging="300"/>
      </w:pPr>
      <w:rPr>
        <w:rFonts w:hint="default"/>
        <w:lang w:val="en-US" w:eastAsia="en-US" w:bidi="ar-SA"/>
      </w:rPr>
    </w:lvl>
    <w:lvl w:ilvl="6">
      <w:start w:val="0"/>
      <w:numFmt w:val="bullet"/>
      <w:lvlText w:val="•"/>
      <w:lvlJc w:val="left"/>
      <w:pPr>
        <w:ind w:left="7535" w:hanging="300"/>
      </w:pPr>
      <w:rPr>
        <w:rFonts w:hint="default"/>
        <w:lang w:val="en-US" w:eastAsia="en-US" w:bidi="ar-SA"/>
      </w:rPr>
    </w:lvl>
    <w:lvl w:ilvl="7">
      <w:start w:val="0"/>
      <w:numFmt w:val="bullet"/>
      <w:lvlText w:val="•"/>
      <w:lvlJc w:val="left"/>
      <w:pPr>
        <w:ind w:left="8448" w:hanging="300"/>
      </w:pPr>
      <w:rPr>
        <w:rFonts w:hint="default"/>
        <w:lang w:val="en-US" w:eastAsia="en-US" w:bidi="ar-SA"/>
      </w:rPr>
    </w:lvl>
    <w:lvl w:ilvl="8">
      <w:start w:val="0"/>
      <w:numFmt w:val="bullet"/>
      <w:lvlText w:val="•"/>
      <w:lvlJc w:val="left"/>
      <w:pPr>
        <w:ind w:left="9361" w:hanging="300"/>
      </w:pPr>
      <w:rPr>
        <w:rFonts w:hint="default"/>
        <w:lang w:val="en-US" w:eastAsia="en-US" w:bidi="ar-SA"/>
      </w:rPr>
    </w:lvl>
  </w:abstractNum>
  <w:abstractNum w:abstractNumId="138">
    <w:multiLevelType w:val="hybridMultilevel"/>
    <w:lvl w:ilvl="0">
      <w:start w:val="1"/>
      <w:numFmt w:val="lowerRoman"/>
      <w:lvlText w:val="(%1)"/>
      <w:lvlJc w:val="left"/>
      <w:pPr>
        <w:ind w:left="2782" w:hanging="248"/>
        <w:jc w:val="right"/>
      </w:pPr>
      <w:rPr>
        <w:rFonts w:hint="default" w:ascii="Bookman Old Style" w:hAnsi="Bookman Old Style" w:eastAsia="Bookman Old Style" w:cs="Bookman Old Style"/>
        <w:b w:val="0"/>
        <w:bCs w:val="0"/>
        <w:i w:val="0"/>
        <w:iCs w:val="0"/>
        <w:spacing w:val="9"/>
        <w:w w:val="100"/>
        <w:sz w:val="22"/>
        <w:szCs w:val="22"/>
        <w:lang w:val="en-US" w:eastAsia="en-US" w:bidi="ar-SA"/>
      </w:rPr>
    </w:lvl>
    <w:lvl w:ilvl="1">
      <w:start w:val="2"/>
      <w:numFmt w:val="lowerLetter"/>
      <w:lvlText w:val="(%2)"/>
      <w:lvlJc w:val="left"/>
      <w:pPr>
        <w:ind w:left="2422" w:hanging="41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714" w:hanging="415"/>
      </w:pPr>
      <w:rPr>
        <w:rFonts w:hint="default"/>
        <w:lang w:val="en-US" w:eastAsia="en-US" w:bidi="ar-SA"/>
      </w:rPr>
    </w:lvl>
    <w:lvl w:ilvl="3">
      <w:start w:val="0"/>
      <w:numFmt w:val="bullet"/>
      <w:lvlText w:val="•"/>
      <w:lvlJc w:val="left"/>
      <w:pPr>
        <w:ind w:left="4648" w:hanging="415"/>
      </w:pPr>
      <w:rPr>
        <w:rFonts w:hint="default"/>
        <w:lang w:val="en-US" w:eastAsia="en-US" w:bidi="ar-SA"/>
      </w:rPr>
    </w:lvl>
    <w:lvl w:ilvl="4">
      <w:start w:val="0"/>
      <w:numFmt w:val="bullet"/>
      <w:lvlText w:val="•"/>
      <w:lvlJc w:val="left"/>
      <w:pPr>
        <w:ind w:left="5582" w:hanging="415"/>
      </w:pPr>
      <w:rPr>
        <w:rFonts w:hint="default"/>
        <w:lang w:val="en-US" w:eastAsia="en-US" w:bidi="ar-SA"/>
      </w:rPr>
    </w:lvl>
    <w:lvl w:ilvl="5">
      <w:start w:val="0"/>
      <w:numFmt w:val="bullet"/>
      <w:lvlText w:val="•"/>
      <w:lvlJc w:val="left"/>
      <w:pPr>
        <w:ind w:left="6516" w:hanging="415"/>
      </w:pPr>
      <w:rPr>
        <w:rFonts w:hint="default"/>
        <w:lang w:val="en-US" w:eastAsia="en-US" w:bidi="ar-SA"/>
      </w:rPr>
    </w:lvl>
    <w:lvl w:ilvl="6">
      <w:start w:val="0"/>
      <w:numFmt w:val="bullet"/>
      <w:lvlText w:val="•"/>
      <w:lvlJc w:val="left"/>
      <w:pPr>
        <w:ind w:left="7450" w:hanging="415"/>
      </w:pPr>
      <w:rPr>
        <w:rFonts w:hint="default"/>
        <w:lang w:val="en-US" w:eastAsia="en-US" w:bidi="ar-SA"/>
      </w:rPr>
    </w:lvl>
    <w:lvl w:ilvl="7">
      <w:start w:val="0"/>
      <w:numFmt w:val="bullet"/>
      <w:lvlText w:val="•"/>
      <w:lvlJc w:val="left"/>
      <w:pPr>
        <w:ind w:left="8384" w:hanging="415"/>
      </w:pPr>
      <w:rPr>
        <w:rFonts w:hint="default"/>
        <w:lang w:val="en-US" w:eastAsia="en-US" w:bidi="ar-SA"/>
      </w:rPr>
    </w:lvl>
    <w:lvl w:ilvl="8">
      <w:start w:val="0"/>
      <w:numFmt w:val="bullet"/>
      <w:lvlText w:val="•"/>
      <w:lvlJc w:val="left"/>
      <w:pPr>
        <w:ind w:left="9318" w:hanging="415"/>
      </w:pPr>
      <w:rPr>
        <w:rFonts w:hint="default"/>
        <w:lang w:val="en-US" w:eastAsia="en-US" w:bidi="ar-SA"/>
      </w:rPr>
    </w:lvl>
  </w:abstractNum>
  <w:abstractNum w:abstractNumId="162">
    <w:multiLevelType w:val="hybridMultilevel"/>
    <w:lvl w:ilvl="0">
      <w:start w:val="1"/>
      <w:numFmt w:val="lowerRoman"/>
      <w:lvlText w:val="(%1)"/>
      <w:lvlJc w:val="left"/>
      <w:pPr>
        <w:ind w:left="2062" w:hanging="28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288"/>
      </w:pPr>
      <w:rPr>
        <w:rFonts w:hint="default"/>
        <w:lang w:val="en-US" w:eastAsia="en-US" w:bidi="ar-SA"/>
      </w:rPr>
    </w:lvl>
    <w:lvl w:ilvl="2">
      <w:start w:val="0"/>
      <w:numFmt w:val="bullet"/>
      <w:lvlText w:val="•"/>
      <w:lvlJc w:val="left"/>
      <w:pPr>
        <w:ind w:left="3885" w:hanging="288"/>
      </w:pPr>
      <w:rPr>
        <w:rFonts w:hint="default"/>
        <w:lang w:val="en-US" w:eastAsia="en-US" w:bidi="ar-SA"/>
      </w:rPr>
    </w:lvl>
    <w:lvl w:ilvl="3">
      <w:start w:val="0"/>
      <w:numFmt w:val="bullet"/>
      <w:lvlText w:val="•"/>
      <w:lvlJc w:val="left"/>
      <w:pPr>
        <w:ind w:left="4797" w:hanging="288"/>
      </w:pPr>
      <w:rPr>
        <w:rFonts w:hint="default"/>
        <w:lang w:val="en-US" w:eastAsia="en-US" w:bidi="ar-SA"/>
      </w:rPr>
    </w:lvl>
    <w:lvl w:ilvl="4">
      <w:start w:val="0"/>
      <w:numFmt w:val="bullet"/>
      <w:lvlText w:val="•"/>
      <w:lvlJc w:val="left"/>
      <w:pPr>
        <w:ind w:left="5710" w:hanging="288"/>
      </w:pPr>
      <w:rPr>
        <w:rFonts w:hint="default"/>
        <w:lang w:val="en-US" w:eastAsia="en-US" w:bidi="ar-SA"/>
      </w:rPr>
    </w:lvl>
    <w:lvl w:ilvl="5">
      <w:start w:val="0"/>
      <w:numFmt w:val="bullet"/>
      <w:lvlText w:val="•"/>
      <w:lvlJc w:val="left"/>
      <w:pPr>
        <w:ind w:left="6623" w:hanging="288"/>
      </w:pPr>
      <w:rPr>
        <w:rFonts w:hint="default"/>
        <w:lang w:val="en-US" w:eastAsia="en-US" w:bidi="ar-SA"/>
      </w:rPr>
    </w:lvl>
    <w:lvl w:ilvl="6">
      <w:start w:val="0"/>
      <w:numFmt w:val="bullet"/>
      <w:lvlText w:val="•"/>
      <w:lvlJc w:val="left"/>
      <w:pPr>
        <w:ind w:left="7535" w:hanging="288"/>
      </w:pPr>
      <w:rPr>
        <w:rFonts w:hint="default"/>
        <w:lang w:val="en-US" w:eastAsia="en-US" w:bidi="ar-SA"/>
      </w:rPr>
    </w:lvl>
    <w:lvl w:ilvl="7">
      <w:start w:val="0"/>
      <w:numFmt w:val="bullet"/>
      <w:lvlText w:val="•"/>
      <w:lvlJc w:val="left"/>
      <w:pPr>
        <w:ind w:left="8448" w:hanging="288"/>
      </w:pPr>
      <w:rPr>
        <w:rFonts w:hint="default"/>
        <w:lang w:val="en-US" w:eastAsia="en-US" w:bidi="ar-SA"/>
      </w:rPr>
    </w:lvl>
    <w:lvl w:ilvl="8">
      <w:start w:val="0"/>
      <w:numFmt w:val="bullet"/>
      <w:lvlText w:val="•"/>
      <w:lvlJc w:val="left"/>
      <w:pPr>
        <w:ind w:left="9361" w:hanging="288"/>
      </w:pPr>
      <w:rPr>
        <w:rFonts w:hint="default"/>
        <w:lang w:val="en-US" w:eastAsia="en-US" w:bidi="ar-SA"/>
      </w:rPr>
    </w:lvl>
  </w:abstractNum>
  <w:abstractNum w:abstractNumId="166">
    <w:multiLevelType w:val="hybridMultilevel"/>
    <w:lvl w:ilvl="0">
      <w:start w:val="1"/>
      <w:numFmt w:val="lowerLetter"/>
      <w:lvlText w:val="%1."/>
      <w:lvlJc w:val="left"/>
      <w:pPr>
        <w:ind w:left="2062" w:hanging="305"/>
        <w:jc w:val="left"/>
      </w:pPr>
      <w:rPr>
        <w:rFonts w:hint="default" w:ascii="Bookman Old Style" w:hAnsi="Bookman Old Style" w:eastAsia="Bookman Old Style" w:cs="Bookman Old Style"/>
        <w:b w:val="0"/>
        <w:bCs w:val="0"/>
        <w:i w:val="0"/>
        <w:iCs w:val="0"/>
        <w:spacing w:val="-1"/>
        <w:w w:val="100"/>
        <w:sz w:val="24"/>
        <w:szCs w:val="24"/>
        <w:lang w:val="en-US" w:eastAsia="en-US" w:bidi="ar-SA"/>
      </w:rPr>
    </w:lvl>
    <w:lvl w:ilvl="1">
      <w:start w:val="0"/>
      <w:numFmt w:val="bullet"/>
      <w:lvlText w:val="•"/>
      <w:lvlJc w:val="left"/>
      <w:pPr>
        <w:ind w:left="2972" w:hanging="305"/>
      </w:pPr>
      <w:rPr>
        <w:rFonts w:hint="default"/>
        <w:lang w:val="en-US" w:eastAsia="en-US" w:bidi="ar-SA"/>
      </w:rPr>
    </w:lvl>
    <w:lvl w:ilvl="2">
      <w:start w:val="0"/>
      <w:numFmt w:val="bullet"/>
      <w:lvlText w:val="•"/>
      <w:lvlJc w:val="left"/>
      <w:pPr>
        <w:ind w:left="3885" w:hanging="305"/>
      </w:pPr>
      <w:rPr>
        <w:rFonts w:hint="default"/>
        <w:lang w:val="en-US" w:eastAsia="en-US" w:bidi="ar-SA"/>
      </w:rPr>
    </w:lvl>
    <w:lvl w:ilvl="3">
      <w:start w:val="0"/>
      <w:numFmt w:val="bullet"/>
      <w:lvlText w:val="•"/>
      <w:lvlJc w:val="left"/>
      <w:pPr>
        <w:ind w:left="4797" w:hanging="305"/>
      </w:pPr>
      <w:rPr>
        <w:rFonts w:hint="default"/>
        <w:lang w:val="en-US" w:eastAsia="en-US" w:bidi="ar-SA"/>
      </w:rPr>
    </w:lvl>
    <w:lvl w:ilvl="4">
      <w:start w:val="0"/>
      <w:numFmt w:val="bullet"/>
      <w:lvlText w:val="•"/>
      <w:lvlJc w:val="left"/>
      <w:pPr>
        <w:ind w:left="5710" w:hanging="305"/>
      </w:pPr>
      <w:rPr>
        <w:rFonts w:hint="default"/>
        <w:lang w:val="en-US" w:eastAsia="en-US" w:bidi="ar-SA"/>
      </w:rPr>
    </w:lvl>
    <w:lvl w:ilvl="5">
      <w:start w:val="0"/>
      <w:numFmt w:val="bullet"/>
      <w:lvlText w:val="•"/>
      <w:lvlJc w:val="left"/>
      <w:pPr>
        <w:ind w:left="6623" w:hanging="305"/>
      </w:pPr>
      <w:rPr>
        <w:rFonts w:hint="default"/>
        <w:lang w:val="en-US" w:eastAsia="en-US" w:bidi="ar-SA"/>
      </w:rPr>
    </w:lvl>
    <w:lvl w:ilvl="6">
      <w:start w:val="0"/>
      <w:numFmt w:val="bullet"/>
      <w:lvlText w:val="•"/>
      <w:lvlJc w:val="left"/>
      <w:pPr>
        <w:ind w:left="7535" w:hanging="305"/>
      </w:pPr>
      <w:rPr>
        <w:rFonts w:hint="default"/>
        <w:lang w:val="en-US" w:eastAsia="en-US" w:bidi="ar-SA"/>
      </w:rPr>
    </w:lvl>
    <w:lvl w:ilvl="7">
      <w:start w:val="0"/>
      <w:numFmt w:val="bullet"/>
      <w:lvlText w:val="•"/>
      <w:lvlJc w:val="left"/>
      <w:pPr>
        <w:ind w:left="8448" w:hanging="305"/>
      </w:pPr>
      <w:rPr>
        <w:rFonts w:hint="default"/>
        <w:lang w:val="en-US" w:eastAsia="en-US" w:bidi="ar-SA"/>
      </w:rPr>
    </w:lvl>
    <w:lvl w:ilvl="8">
      <w:start w:val="0"/>
      <w:numFmt w:val="bullet"/>
      <w:lvlText w:val="•"/>
      <w:lvlJc w:val="left"/>
      <w:pPr>
        <w:ind w:left="9361" w:hanging="305"/>
      </w:pPr>
      <w:rPr>
        <w:rFonts w:hint="default"/>
        <w:lang w:val="en-US" w:eastAsia="en-US" w:bidi="ar-SA"/>
      </w:rPr>
    </w:lvl>
  </w:abstractNum>
  <w:abstractNum w:abstractNumId="165">
    <w:multiLevelType w:val="hybridMultilevel"/>
    <w:lvl w:ilvl="0">
      <w:start w:val="1"/>
      <w:numFmt w:val="lowerLetter"/>
      <w:lvlText w:val="%1)"/>
      <w:lvlJc w:val="left"/>
      <w:pPr>
        <w:ind w:left="2062" w:hanging="284"/>
        <w:jc w:val="right"/>
      </w:pPr>
      <w:rPr>
        <w:rFonts w:hint="default"/>
        <w:spacing w:val="0"/>
        <w:w w:val="90"/>
        <w:lang w:val="en-US" w:eastAsia="en-US" w:bidi="ar-SA"/>
      </w:rPr>
    </w:lvl>
    <w:lvl w:ilvl="1">
      <w:start w:val="0"/>
      <w:numFmt w:val="bullet"/>
      <w:lvlText w:val="•"/>
      <w:lvlJc w:val="left"/>
      <w:pPr>
        <w:ind w:left="2972" w:hanging="284"/>
      </w:pPr>
      <w:rPr>
        <w:rFonts w:hint="default"/>
        <w:lang w:val="en-US" w:eastAsia="en-US" w:bidi="ar-SA"/>
      </w:rPr>
    </w:lvl>
    <w:lvl w:ilvl="2">
      <w:start w:val="0"/>
      <w:numFmt w:val="bullet"/>
      <w:lvlText w:val="•"/>
      <w:lvlJc w:val="left"/>
      <w:pPr>
        <w:ind w:left="3885" w:hanging="284"/>
      </w:pPr>
      <w:rPr>
        <w:rFonts w:hint="default"/>
        <w:lang w:val="en-US" w:eastAsia="en-US" w:bidi="ar-SA"/>
      </w:rPr>
    </w:lvl>
    <w:lvl w:ilvl="3">
      <w:start w:val="0"/>
      <w:numFmt w:val="bullet"/>
      <w:lvlText w:val="•"/>
      <w:lvlJc w:val="left"/>
      <w:pPr>
        <w:ind w:left="4797" w:hanging="284"/>
      </w:pPr>
      <w:rPr>
        <w:rFonts w:hint="default"/>
        <w:lang w:val="en-US" w:eastAsia="en-US" w:bidi="ar-SA"/>
      </w:rPr>
    </w:lvl>
    <w:lvl w:ilvl="4">
      <w:start w:val="0"/>
      <w:numFmt w:val="bullet"/>
      <w:lvlText w:val="•"/>
      <w:lvlJc w:val="left"/>
      <w:pPr>
        <w:ind w:left="5710" w:hanging="284"/>
      </w:pPr>
      <w:rPr>
        <w:rFonts w:hint="default"/>
        <w:lang w:val="en-US" w:eastAsia="en-US" w:bidi="ar-SA"/>
      </w:rPr>
    </w:lvl>
    <w:lvl w:ilvl="5">
      <w:start w:val="0"/>
      <w:numFmt w:val="bullet"/>
      <w:lvlText w:val="•"/>
      <w:lvlJc w:val="left"/>
      <w:pPr>
        <w:ind w:left="6623" w:hanging="284"/>
      </w:pPr>
      <w:rPr>
        <w:rFonts w:hint="default"/>
        <w:lang w:val="en-US" w:eastAsia="en-US" w:bidi="ar-SA"/>
      </w:rPr>
    </w:lvl>
    <w:lvl w:ilvl="6">
      <w:start w:val="0"/>
      <w:numFmt w:val="bullet"/>
      <w:lvlText w:val="•"/>
      <w:lvlJc w:val="left"/>
      <w:pPr>
        <w:ind w:left="7535" w:hanging="284"/>
      </w:pPr>
      <w:rPr>
        <w:rFonts w:hint="default"/>
        <w:lang w:val="en-US" w:eastAsia="en-US" w:bidi="ar-SA"/>
      </w:rPr>
    </w:lvl>
    <w:lvl w:ilvl="7">
      <w:start w:val="0"/>
      <w:numFmt w:val="bullet"/>
      <w:lvlText w:val="•"/>
      <w:lvlJc w:val="left"/>
      <w:pPr>
        <w:ind w:left="8448" w:hanging="284"/>
      </w:pPr>
      <w:rPr>
        <w:rFonts w:hint="default"/>
        <w:lang w:val="en-US" w:eastAsia="en-US" w:bidi="ar-SA"/>
      </w:rPr>
    </w:lvl>
    <w:lvl w:ilvl="8">
      <w:start w:val="0"/>
      <w:numFmt w:val="bullet"/>
      <w:lvlText w:val="•"/>
      <w:lvlJc w:val="left"/>
      <w:pPr>
        <w:ind w:left="9361" w:hanging="284"/>
      </w:pPr>
      <w:rPr>
        <w:rFonts w:hint="default"/>
        <w:lang w:val="en-US" w:eastAsia="en-US" w:bidi="ar-SA"/>
      </w:rPr>
    </w:lvl>
  </w:abstractNum>
  <w:abstractNum w:abstractNumId="164">
    <w:multiLevelType w:val="hybridMultilevel"/>
    <w:lvl w:ilvl="0">
      <w:start w:val="2"/>
      <w:numFmt w:val="lowerLetter"/>
      <w:lvlText w:val="(%1)"/>
      <w:lvlJc w:val="left"/>
      <w:pPr>
        <w:ind w:left="1342" w:hanging="294"/>
        <w:jc w:val="left"/>
      </w:pPr>
      <w:rPr>
        <w:rFonts w:hint="default" w:ascii="Bookman Old Style" w:hAnsi="Bookman Old Style" w:eastAsia="Bookman Old Style" w:cs="Bookman Old Style"/>
        <w:b w:val="0"/>
        <w:bCs w:val="0"/>
        <w:i w:val="0"/>
        <w:iCs w:val="0"/>
        <w:spacing w:val="0"/>
        <w:w w:val="100"/>
        <w:sz w:val="22"/>
        <w:szCs w:val="22"/>
        <w:lang w:val="en-US" w:eastAsia="en-US" w:bidi="ar-SA"/>
      </w:rPr>
    </w:lvl>
    <w:lvl w:ilvl="1">
      <w:start w:val="0"/>
      <w:numFmt w:val="bullet"/>
      <w:lvlText w:val="•"/>
      <w:lvlJc w:val="left"/>
      <w:pPr>
        <w:ind w:left="2324" w:hanging="294"/>
      </w:pPr>
      <w:rPr>
        <w:rFonts w:hint="default"/>
        <w:lang w:val="en-US" w:eastAsia="en-US" w:bidi="ar-SA"/>
      </w:rPr>
    </w:lvl>
    <w:lvl w:ilvl="2">
      <w:start w:val="0"/>
      <w:numFmt w:val="bullet"/>
      <w:lvlText w:val="•"/>
      <w:lvlJc w:val="left"/>
      <w:pPr>
        <w:ind w:left="3309" w:hanging="294"/>
      </w:pPr>
      <w:rPr>
        <w:rFonts w:hint="default"/>
        <w:lang w:val="en-US" w:eastAsia="en-US" w:bidi="ar-SA"/>
      </w:rPr>
    </w:lvl>
    <w:lvl w:ilvl="3">
      <w:start w:val="0"/>
      <w:numFmt w:val="bullet"/>
      <w:lvlText w:val="•"/>
      <w:lvlJc w:val="left"/>
      <w:pPr>
        <w:ind w:left="4293" w:hanging="294"/>
      </w:pPr>
      <w:rPr>
        <w:rFonts w:hint="default"/>
        <w:lang w:val="en-US" w:eastAsia="en-US" w:bidi="ar-SA"/>
      </w:rPr>
    </w:lvl>
    <w:lvl w:ilvl="4">
      <w:start w:val="0"/>
      <w:numFmt w:val="bullet"/>
      <w:lvlText w:val="•"/>
      <w:lvlJc w:val="left"/>
      <w:pPr>
        <w:ind w:left="5278" w:hanging="294"/>
      </w:pPr>
      <w:rPr>
        <w:rFonts w:hint="default"/>
        <w:lang w:val="en-US" w:eastAsia="en-US" w:bidi="ar-SA"/>
      </w:rPr>
    </w:lvl>
    <w:lvl w:ilvl="5">
      <w:start w:val="0"/>
      <w:numFmt w:val="bullet"/>
      <w:lvlText w:val="•"/>
      <w:lvlJc w:val="left"/>
      <w:pPr>
        <w:ind w:left="6263" w:hanging="294"/>
      </w:pPr>
      <w:rPr>
        <w:rFonts w:hint="default"/>
        <w:lang w:val="en-US" w:eastAsia="en-US" w:bidi="ar-SA"/>
      </w:rPr>
    </w:lvl>
    <w:lvl w:ilvl="6">
      <w:start w:val="0"/>
      <w:numFmt w:val="bullet"/>
      <w:lvlText w:val="•"/>
      <w:lvlJc w:val="left"/>
      <w:pPr>
        <w:ind w:left="7247" w:hanging="294"/>
      </w:pPr>
      <w:rPr>
        <w:rFonts w:hint="default"/>
        <w:lang w:val="en-US" w:eastAsia="en-US" w:bidi="ar-SA"/>
      </w:rPr>
    </w:lvl>
    <w:lvl w:ilvl="7">
      <w:start w:val="0"/>
      <w:numFmt w:val="bullet"/>
      <w:lvlText w:val="•"/>
      <w:lvlJc w:val="left"/>
      <w:pPr>
        <w:ind w:left="8232" w:hanging="294"/>
      </w:pPr>
      <w:rPr>
        <w:rFonts w:hint="default"/>
        <w:lang w:val="en-US" w:eastAsia="en-US" w:bidi="ar-SA"/>
      </w:rPr>
    </w:lvl>
    <w:lvl w:ilvl="8">
      <w:start w:val="0"/>
      <w:numFmt w:val="bullet"/>
      <w:lvlText w:val="•"/>
      <w:lvlJc w:val="left"/>
      <w:pPr>
        <w:ind w:left="9217" w:hanging="294"/>
      </w:pPr>
      <w:rPr>
        <w:rFonts w:hint="default"/>
        <w:lang w:val="en-US" w:eastAsia="en-US" w:bidi="ar-SA"/>
      </w:rPr>
    </w:lvl>
  </w:abstractNum>
  <w:abstractNum w:abstractNumId="163">
    <w:multiLevelType w:val="hybridMultilevel"/>
    <w:lvl w:ilvl="0">
      <w:start w:val="1"/>
      <w:numFmt w:val="lowerLetter"/>
      <w:lvlText w:val="%1)"/>
      <w:lvlJc w:val="left"/>
      <w:pPr>
        <w:ind w:left="2062" w:hanging="213"/>
        <w:jc w:val="right"/>
      </w:pPr>
      <w:rPr>
        <w:rFonts w:hint="default" w:ascii="Bookman Old Style" w:hAnsi="Bookman Old Style" w:eastAsia="Bookman Old Style" w:cs="Bookman Old Style"/>
        <w:b w:val="0"/>
        <w:bCs w:val="0"/>
        <w:i w:val="0"/>
        <w:iCs w:val="0"/>
        <w:spacing w:val="-1"/>
        <w:w w:val="98"/>
        <w:sz w:val="22"/>
        <w:szCs w:val="22"/>
        <w:lang w:val="en-US" w:eastAsia="en-US" w:bidi="ar-SA"/>
      </w:rPr>
    </w:lvl>
    <w:lvl w:ilvl="1">
      <w:start w:val="0"/>
      <w:numFmt w:val="bullet"/>
      <w:lvlText w:val="•"/>
      <w:lvlJc w:val="left"/>
      <w:pPr>
        <w:ind w:left="2972" w:hanging="213"/>
      </w:pPr>
      <w:rPr>
        <w:rFonts w:hint="default"/>
        <w:lang w:val="en-US" w:eastAsia="en-US" w:bidi="ar-SA"/>
      </w:rPr>
    </w:lvl>
    <w:lvl w:ilvl="2">
      <w:start w:val="0"/>
      <w:numFmt w:val="bullet"/>
      <w:lvlText w:val="•"/>
      <w:lvlJc w:val="left"/>
      <w:pPr>
        <w:ind w:left="3885" w:hanging="213"/>
      </w:pPr>
      <w:rPr>
        <w:rFonts w:hint="default"/>
        <w:lang w:val="en-US" w:eastAsia="en-US" w:bidi="ar-SA"/>
      </w:rPr>
    </w:lvl>
    <w:lvl w:ilvl="3">
      <w:start w:val="0"/>
      <w:numFmt w:val="bullet"/>
      <w:lvlText w:val="•"/>
      <w:lvlJc w:val="left"/>
      <w:pPr>
        <w:ind w:left="4797" w:hanging="213"/>
      </w:pPr>
      <w:rPr>
        <w:rFonts w:hint="default"/>
        <w:lang w:val="en-US" w:eastAsia="en-US" w:bidi="ar-SA"/>
      </w:rPr>
    </w:lvl>
    <w:lvl w:ilvl="4">
      <w:start w:val="0"/>
      <w:numFmt w:val="bullet"/>
      <w:lvlText w:val="•"/>
      <w:lvlJc w:val="left"/>
      <w:pPr>
        <w:ind w:left="5710" w:hanging="213"/>
      </w:pPr>
      <w:rPr>
        <w:rFonts w:hint="default"/>
        <w:lang w:val="en-US" w:eastAsia="en-US" w:bidi="ar-SA"/>
      </w:rPr>
    </w:lvl>
    <w:lvl w:ilvl="5">
      <w:start w:val="0"/>
      <w:numFmt w:val="bullet"/>
      <w:lvlText w:val="•"/>
      <w:lvlJc w:val="left"/>
      <w:pPr>
        <w:ind w:left="6623" w:hanging="213"/>
      </w:pPr>
      <w:rPr>
        <w:rFonts w:hint="default"/>
        <w:lang w:val="en-US" w:eastAsia="en-US" w:bidi="ar-SA"/>
      </w:rPr>
    </w:lvl>
    <w:lvl w:ilvl="6">
      <w:start w:val="0"/>
      <w:numFmt w:val="bullet"/>
      <w:lvlText w:val="•"/>
      <w:lvlJc w:val="left"/>
      <w:pPr>
        <w:ind w:left="7535" w:hanging="213"/>
      </w:pPr>
      <w:rPr>
        <w:rFonts w:hint="default"/>
        <w:lang w:val="en-US" w:eastAsia="en-US" w:bidi="ar-SA"/>
      </w:rPr>
    </w:lvl>
    <w:lvl w:ilvl="7">
      <w:start w:val="0"/>
      <w:numFmt w:val="bullet"/>
      <w:lvlText w:val="•"/>
      <w:lvlJc w:val="left"/>
      <w:pPr>
        <w:ind w:left="8448" w:hanging="213"/>
      </w:pPr>
      <w:rPr>
        <w:rFonts w:hint="default"/>
        <w:lang w:val="en-US" w:eastAsia="en-US" w:bidi="ar-SA"/>
      </w:rPr>
    </w:lvl>
    <w:lvl w:ilvl="8">
      <w:start w:val="0"/>
      <w:numFmt w:val="bullet"/>
      <w:lvlText w:val="•"/>
      <w:lvlJc w:val="left"/>
      <w:pPr>
        <w:ind w:left="9361" w:hanging="213"/>
      </w:pPr>
      <w:rPr>
        <w:rFonts w:hint="default"/>
        <w:lang w:val="en-US" w:eastAsia="en-US" w:bidi="ar-SA"/>
      </w:rPr>
    </w:lvl>
  </w:abstractNum>
  <w:abstractNum w:abstractNumId="161">
    <w:multiLevelType w:val="hybridMultilevel"/>
    <w:lvl w:ilvl="0">
      <w:start w:val="1"/>
      <w:numFmt w:val="decimal"/>
      <w:lvlText w:val="%1)"/>
      <w:lvlJc w:val="left"/>
      <w:pPr>
        <w:ind w:left="206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720"/>
      </w:pPr>
      <w:rPr>
        <w:rFonts w:hint="default"/>
        <w:lang w:val="en-US" w:eastAsia="en-US" w:bidi="ar-SA"/>
      </w:rPr>
    </w:lvl>
    <w:lvl w:ilvl="2">
      <w:start w:val="0"/>
      <w:numFmt w:val="bullet"/>
      <w:lvlText w:val="•"/>
      <w:lvlJc w:val="left"/>
      <w:pPr>
        <w:ind w:left="3885" w:hanging="720"/>
      </w:pPr>
      <w:rPr>
        <w:rFonts w:hint="default"/>
        <w:lang w:val="en-US" w:eastAsia="en-US" w:bidi="ar-SA"/>
      </w:rPr>
    </w:lvl>
    <w:lvl w:ilvl="3">
      <w:start w:val="0"/>
      <w:numFmt w:val="bullet"/>
      <w:lvlText w:val="•"/>
      <w:lvlJc w:val="left"/>
      <w:pPr>
        <w:ind w:left="4797" w:hanging="720"/>
      </w:pPr>
      <w:rPr>
        <w:rFonts w:hint="default"/>
        <w:lang w:val="en-US" w:eastAsia="en-US" w:bidi="ar-SA"/>
      </w:rPr>
    </w:lvl>
    <w:lvl w:ilvl="4">
      <w:start w:val="0"/>
      <w:numFmt w:val="bullet"/>
      <w:lvlText w:val="•"/>
      <w:lvlJc w:val="left"/>
      <w:pPr>
        <w:ind w:left="5710" w:hanging="720"/>
      </w:pPr>
      <w:rPr>
        <w:rFonts w:hint="default"/>
        <w:lang w:val="en-US" w:eastAsia="en-US" w:bidi="ar-SA"/>
      </w:rPr>
    </w:lvl>
    <w:lvl w:ilvl="5">
      <w:start w:val="0"/>
      <w:numFmt w:val="bullet"/>
      <w:lvlText w:val="•"/>
      <w:lvlJc w:val="left"/>
      <w:pPr>
        <w:ind w:left="6623" w:hanging="720"/>
      </w:pPr>
      <w:rPr>
        <w:rFonts w:hint="default"/>
        <w:lang w:val="en-US" w:eastAsia="en-US" w:bidi="ar-SA"/>
      </w:rPr>
    </w:lvl>
    <w:lvl w:ilvl="6">
      <w:start w:val="0"/>
      <w:numFmt w:val="bullet"/>
      <w:lvlText w:val="•"/>
      <w:lvlJc w:val="left"/>
      <w:pPr>
        <w:ind w:left="7535" w:hanging="720"/>
      </w:pPr>
      <w:rPr>
        <w:rFonts w:hint="default"/>
        <w:lang w:val="en-US" w:eastAsia="en-US" w:bidi="ar-SA"/>
      </w:rPr>
    </w:lvl>
    <w:lvl w:ilvl="7">
      <w:start w:val="0"/>
      <w:numFmt w:val="bullet"/>
      <w:lvlText w:val="•"/>
      <w:lvlJc w:val="left"/>
      <w:pPr>
        <w:ind w:left="8448" w:hanging="720"/>
      </w:pPr>
      <w:rPr>
        <w:rFonts w:hint="default"/>
        <w:lang w:val="en-US" w:eastAsia="en-US" w:bidi="ar-SA"/>
      </w:rPr>
    </w:lvl>
    <w:lvl w:ilvl="8">
      <w:start w:val="0"/>
      <w:numFmt w:val="bullet"/>
      <w:lvlText w:val="•"/>
      <w:lvlJc w:val="left"/>
      <w:pPr>
        <w:ind w:left="9361" w:hanging="720"/>
      </w:pPr>
      <w:rPr>
        <w:rFonts w:hint="default"/>
        <w:lang w:val="en-US" w:eastAsia="en-US" w:bidi="ar-SA"/>
      </w:rPr>
    </w:lvl>
  </w:abstractNum>
  <w:abstractNum w:abstractNumId="160">
    <w:multiLevelType w:val="hybridMultilevel"/>
    <w:lvl w:ilvl="0">
      <w:start w:val="1"/>
      <w:numFmt w:val="lowerRoman"/>
      <w:lvlText w:val="(%1)"/>
      <w:lvlJc w:val="left"/>
      <w:pPr>
        <w:ind w:left="2335" w:hanging="447"/>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224" w:hanging="447"/>
      </w:pPr>
      <w:rPr>
        <w:rFonts w:hint="default"/>
        <w:lang w:val="en-US" w:eastAsia="en-US" w:bidi="ar-SA"/>
      </w:rPr>
    </w:lvl>
    <w:lvl w:ilvl="2">
      <w:start w:val="0"/>
      <w:numFmt w:val="bullet"/>
      <w:lvlText w:val="•"/>
      <w:lvlJc w:val="left"/>
      <w:pPr>
        <w:ind w:left="4109" w:hanging="447"/>
      </w:pPr>
      <w:rPr>
        <w:rFonts w:hint="default"/>
        <w:lang w:val="en-US" w:eastAsia="en-US" w:bidi="ar-SA"/>
      </w:rPr>
    </w:lvl>
    <w:lvl w:ilvl="3">
      <w:start w:val="0"/>
      <w:numFmt w:val="bullet"/>
      <w:lvlText w:val="•"/>
      <w:lvlJc w:val="left"/>
      <w:pPr>
        <w:ind w:left="4993" w:hanging="447"/>
      </w:pPr>
      <w:rPr>
        <w:rFonts w:hint="default"/>
        <w:lang w:val="en-US" w:eastAsia="en-US" w:bidi="ar-SA"/>
      </w:rPr>
    </w:lvl>
    <w:lvl w:ilvl="4">
      <w:start w:val="0"/>
      <w:numFmt w:val="bullet"/>
      <w:lvlText w:val="•"/>
      <w:lvlJc w:val="left"/>
      <w:pPr>
        <w:ind w:left="5878" w:hanging="447"/>
      </w:pPr>
      <w:rPr>
        <w:rFonts w:hint="default"/>
        <w:lang w:val="en-US" w:eastAsia="en-US" w:bidi="ar-SA"/>
      </w:rPr>
    </w:lvl>
    <w:lvl w:ilvl="5">
      <w:start w:val="0"/>
      <w:numFmt w:val="bullet"/>
      <w:lvlText w:val="•"/>
      <w:lvlJc w:val="left"/>
      <w:pPr>
        <w:ind w:left="6763" w:hanging="447"/>
      </w:pPr>
      <w:rPr>
        <w:rFonts w:hint="default"/>
        <w:lang w:val="en-US" w:eastAsia="en-US" w:bidi="ar-SA"/>
      </w:rPr>
    </w:lvl>
    <w:lvl w:ilvl="6">
      <w:start w:val="0"/>
      <w:numFmt w:val="bullet"/>
      <w:lvlText w:val="•"/>
      <w:lvlJc w:val="left"/>
      <w:pPr>
        <w:ind w:left="7647" w:hanging="447"/>
      </w:pPr>
      <w:rPr>
        <w:rFonts w:hint="default"/>
        <w:lang w:val="en-US" w:eastAsia="en-US" w:bidi="ar-SA"/>
      </w:rPr>
    </w:lvl>
    <w:lvl w:ilvl="7">
      <w:start w:val="0"/>
      <w:numFmt w:val="bullet"/>
      <w:lvlText w:val="•"/>
      <w:lvlJc w:val="left"/>
      <w:pPr>
        <w:ind w:left="8532" w:hanging="447"/>
      </w:pPr>
      <w:rPr>
        <w:rFonts w:hint="default"/>
        <w:lang w:val="en-US" w:eastAsia="en-US" w:bidi="ar-SA"/>
      </w:rPr>
    </w:lvl>
    <w:lvl w:ilvl="8">
      <w:start w:val="0"/>
      <w:numFmt w:val="bullet"/>
      <w:lvlText w:val="•"/>
      <w:lvlJc w:val="left"/>
      <w:pPr>
        <w:ind w:left="9417" w:hanging="447"/>
      </w:pPr>
      <w:rPr>
        <w:rFonts w:hint="default"/>
        <w:lang w:val="en-US" w:eastAsia="en-US" w:bidi="ar-SA"/>
      </w:rPr>
    </w:lvl>
  </w:abstractNum>
  <w:abstractNum w:abstractNumId="159">
    <w:multiLevelType w:val="hybridMultilevel"/>
    <w:lvl w:ilvl="0">
      <w:start w:val="1"/>
      <w:numFmt w:val="decimal"/>
      <w:lvlText w:val="%1."/>
      <w:lvlJc w:val="left"/>
      <w:pPr>
        <w:ind w:left="2422" w:hanging="36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296" w:hanging="360"/>
      </w:pPr>
      <w:rPr>
        <w:rFonts w:hint="default"/>
        <w:lang w:val="en-US" w:eastAsia="en-US" w:bidi="ar-SA"/>
      </w:rPr>
    </w:lvl>
    <w:lvl w:ilvl="2">
      <w:start w:val="0"/>
      <w:numFmt w:val="bullet"/>
      <w:lvlText w:val="•"/>
      <w:lvlJc w:val="left"/>
      <w:pPr>
        <w:ind w:left="4173" w:hanging="360"/>
      </w:pPr>
      <w:rPr>
        <w:rFonts w:hint="default"/>
        <w:lang w:val="en-US" w:eastAsia="en-US" w:bidi="ar-SA"/>
      </w:rPr>
    </w:lvl>
    <w:lvl w:ilvl="3">
      <w:start w:val="0"/>
      <w:numFmt w:val="bullet"/>
      <w:lvlText w:val="•"/>
      <w:lvlJc w:val="left"/>
      <w:pPr>
        <w:ind w:left="5049" w:hanging="360"/>
      </w:pPr>
      <w:rPr>
        <w:rFonts w:hint="default"/>
        <w:lang w:val="en-US" w:eastAsia="en-US" w:bidi="ar-SA"/>
      </w:rPr>
    </w:lvl>
    <w:lvl w:ilvl="4">
      <w:start w:val="0"/>
      <w:numFmt w:val="bullet"/>
      <w:lvlText w:val="•"/>
      <w:lvlJc w:val="left"/>
      <w:pPr>
        <w:ind w:left="5926" w:hanging="360"/>
      </w:pPr>
      <w:rPr>
        <w:rFonts w:hint="default"/>
        <w:lang w:val="en-US" w:eastAsia="en-US" w:bidi="ar-SA"/>
      </w:rPr>
    </w:lvl>
    <w:lvl w:ilvl="5">
      <w:start w:val="0"/>
      <w:numFmt w:val="bullet"/>
      <w:lvlText w:val="•"/>
      <w:lvlJc w:val="left"/>
      <w:pPr>
        <w:ind w:left="6803" w:hanging="360"/>
      </w:pPr>
      <w:rPr>
        <w:rFonts w:hint="default"/>
        <w:lang w:val="en-US" w:eastAsia="en-US" w:bidi="ar-SA"/>
      </w:rPr>
    </w:lvl>
    <w:lvl w:ilvl="6">
      <w:start w:val="0"/>
      <w:numFmt w:val="bullet"/>
      <w:lvlText w:val="•"/>
      <w:lvlJc w:val="left"/>
      <w:pPr>
        <w:ind w:left="7679" w:hanging="360"/>
      </w:pPr>
      <w:rPr>
        <w:rFonts w:hint="default"/>
        <w:lang w:val="en-US" w:eastAsia="en-US" w:bidi="ar-SA"/>
      </w:rPr>
    </w:lvl>
    <w:lvl w:ilvl="7">
      <w:start w:val="0"/>
      <w:numFmt w:val="bullet"/>
      <w:lvlText w:val="•"/>
      <w:lvlJc w:val="left"/>
      <w:pPr>
        <w:ind w:left="8556" w:hanging="360"/>
      </w:pPr>
      <w:rPr>
        <w:rFonts w:hint="default"/>
        <w:lang w:val="en-US" w:eastAsia="en-US" w:bidi="ar-SA"/>
      </w:rPr>
    </w:lvl>
    <w:lvl w:ilvl="8">
      <w:start w:val="0"/>
      <w:numFmt w:val="bullet"/>
      <w:lvlText w:val="•"/>
      <w:lvlJc w:val="left"/>
      <w:pPr>
        <w:ind w:left="9433" w:hanging="360"/>
      </w:pPr>
      <w:rPr>
        <w:rFonts w:hint="default"/>
        <w:lang w:val="en-US" w:eastAsia="en-US" w:bidi="ar-SA"/>
      </w:rPr>
    </w:lvl>
  </w:abstractNum>
  <w:abstractNum w:abstractNumId="158">
    <w:multiLevelType w:val="hybridMultilevel"/>
    <w:lvl w:ilvl="0">
      <w:start w:val="1"/>
      <w:numFmt w:val="decimal"/>
      <w:lvlText w:val="%1)"/>
      <w:lvlJc w:val="left"/>
      <w:pPr>
        <w:ind w:left="2062" w:hanging="31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upperLetter"/>
      <w:lvlText w:val="(%2)"/>
      <w:lvlJc w:val="left"/>
      <w:pPr>
        <w:ind w:left="2782" w:hanging="720"/>
        <w:jc w:val="left"/>
      </w:pPr>
      <w:rPr>
        <w:rFonts w:hint="default" w:ascii="Bookman Old Style" w:hAnsi="Bookman Old Style" w:eastAsia="Bookman Old Style" w:cs="Bookman Old Style"/>
        <w:b/>
        <w:bCs/>
        <w:i/>
        <w:iCs/>
        <w:spacing w:val="0"/>
        <w:w w:val="100"/>
        <w:sz w:val="24"/>
        <w:szCs w:val="24"/>
        <w:lang w:val="en-US" w:eastAsia="en-US" w:bidi="ar-SA"/>
      </w:rPr>
    </w:lvl>
    <w:lvl w:ilvl="2">
      <w:start w:val="1"/>
      <w:numFmt w:val="lowerRoman"/>
      <w:lvlText w:val="%3."/>
      <w:lvlJc w:val="left"/>
      <w:pPr>
        <w:ind w:left="2153" w:hanging="240"/>
        <w:jc w:val="right"/>
      </w:pPr>
      <w:rPr>
        <w:rFonts w:hint="default" w:ascii="Bookman Old Style" w:hAnsi="Bookman Old Style" w:eastAsia="Bookman Old Style" w:cs="Bookman Old Style"/>
        <w:b w:val="0"/>
        <w:bCs w:val="0"/>
        <w:i w:val="0"/>
        <w:iCs w:val="0"/>
        <w:spacing w:val="0"/>
        <w:w w:val="90"/>
        <w:sz w:val="24"/>
        <w:szCs w:val="24"/>
        <w:lang w:val="en-US" w:eastAsia="en-US" w:bidi="ar-SA"/>
      </w:rPr>
    </w:lvl>
    <w:lvl w:ilvl="3">
      <w:start w:val="0"/>
      <w:numFmt w:val="bullet"/>
      <w:lvlText w:val="•"/>
      <w:lvlJc w:val="left"/>
      <w:pPr>
        <w:ind w:left="2780" w:hanging="240"/>
      </w:pPr>
      <w:rPr>
        <w:rFonts w:hint="default"/>
        <w:lang w:val="en-US" w:eastAsia="en-US" w:bidi="ar-SA"/>
      </w:rPr>
    </w:lvl>
    <w:lvl w:ilvl="4">
      <w:start w:val="0"/>
      <w:numFmt w:val="bullet"/>
      <w:lvlText w:val="•"/>
      <w:lvlJc w:val="left"/>
      <w:pPr>
        <w:ind w:left="3980" w:hanging="240"/>
      </w:pPr>
      <w:rPr>
        <w:rFonts w:hint="default"/>
        <w:lang w:val="en-US" w:eastAsia="en-US" w:bidi="ar-SA"/>
      </w:rPr>
    </w:lvl>
    <w:lvl w:ilvl="5">
      <w:start w:val="0"/>
      <w:numFmt w:val="bullet"/>
      <w:lvlText w:val="•"/>
      <w:lvlJc w:val="left"/>
      <w:pPr>
        <w:ind w:left="5181" w:hanging="240"/>
      </w:pPr>
      <w:rPr>
        <w:rFonts w:hint="default"/>
        <w:lang w:val="en-US" w:eastAsia="en-US" w:bidi="ar-SA"/>
      </w:rPr>
    </w:lvl>
    <w:lvl w:ilvl="6">
      <w:start w:val="0"/>
      <w:numFmt w:val="bullet"/>
      <w:lvlText w:val="•"/>
      <w:lvlJc w:val="left"/>
      <w:pPr>
        <w:ind w:left="6382" w:hanging="240"/>
      </w:pPr>
      <w:rPr>
        <w:rFonts w:hint="default"/>
        <w:lang w:val="en-US" w:eastAsia="en-US" w:bidi="ar-SA"/>
      </w:rPr>
    </w:lvl>
    <w:lvl w:ilvl="7">
      <w:start w:val="0"/>
      <w:numFmt w:val="bullet"/>
      <w:lvlText w:val="•"/>
      <w:lvlJc w:val="left"/>
      <w:pPr>
        <w:ind w:left="7583" w:hanging="240"/>
      </w:pPr>
      <w:rPr>
        <w:rFonts w:hint="default"/>
        <w:lang w:val="en-US" w:eastAsia="en-US" w:bidi="ar-SA"/>
      </w:rPr>
    </w:lvl>
    <w:lvl w:ilvl="8">
      <w:start w:val="0"/>
      <w:numFmt w:val="bullet"/>
      <w:lvlText w:val="•"/>
      <w:lvlJc w:val="left"/>
      <w:pPr>
        <w:ind w:left="8784" w:hanging="240"/>
      </w:pPr>
      <w:rPr>
        <w:rFonts w:hint="default"/>
        <w:lang w:val="en-US" w:eastAsia="en-US" w:bidi="ar-SA"/>
      </w:rPr>
    </w:lvl>
  </w:abstractNum>
  <w:abstractNum w:abstractNumId="157">
    <w:multiLevelType w:val="hybridMultilevel"/>
    <w:lvl w:ilvl="0">
      <w:start w:val="1"/>
      <w:numFmt w:val="decimal"/>
      <w:lvlText w:val="%1"/>
      <w:lvlJc w:val="left"/>
      <w:pPr>
        <w:ind w:left="2062" w:hanging="656"/>
        <w:jc w:val="left"/>
      </w:pPr>
      <w:rPr>
        <w:rFonts w:hint="default"/>
        <w:lang w:val="en-US" w:eastAsia="en-US" w:bidi="ar-SA"/>
      </w:rPr>
    </w:lvl>
    <w:lvl w:ilvl="1">
      <w:start w:val="1"/>
      <w:numFmt w:val="decimal"/>
      <w:lvlText w:val="%1.%2"/>
      <w:lvlJc w:val="left"/>
      <w:pPr>
        <w:ind w:left="2062" w:hanging="656"/>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885" w:hanging="656"/>
      </w:pPr>
      <w:rPr>
        <w:rFonts w:hint="default"/>
        <w:lang w:val="en-US" w:eastAsia="en-US" w:bidi="ar-SA"/>
      </w:rPr>
    </w:lvl>
    <w:lvl w:ilvl="3">
      <w:start w:val="0"/>
      <w:numFmt w:val="bullet"/>
      <w:lvlText w:val="•"/>
      <w:lvlJc w:val="left"/>
      <w:pPr>
        <w:ind w:left="4797" w:hanging="656"/>
      </w:pPr>
      <w:rPr>
        <w:rFonts w:hint="default"/>
        <w:lang w:val="en-US" w:eastAsia="en-US" w:bidi="ar-SA"/>
      </w:rPr>
    </w:lvl>
    <w:lvl w:ilvl="4">
      <w:start w:val="0"/>
      <w:numFmt w:val="bullet"/>
      <w:lvlText w:val="•"/>
      <w:lvlJc w:val="left"/>
      <w:pPr>
        <w:ind w:left="5710" w:hanging="656"/>
      </w:pPr>
      <w:rPr>
        <w:rFonts w:hint="default"/>
        <w:lang w:val="en-US" w:eastAsia="en-US" w:bidi="ar-SA"/>
      </w:rPr>
    </w:lvl>
    <w:lvl w:ilvl="5">
      <w:start w:val="0"/>
      <w:numFmt w:val="bullet"/>
      <w:lvlText w:val="•"/>
      <w:lvlJc w:val="left"/>
      <w:pPr>
        <w:ind w:left="6623" w:hanging="656"/>
      </w:pPr>
      <w:rPr>
        <w:rFonts w:hint="default"/>
        <w:lang w:val="en-US" w:eastAsia="en-US" w:bidi="ar-SA"/>
      </w:rPr>
    </w:lvl>
    <w:lvl w:ilvl="6">
      <w:start w:val="0"/>
      <w:numFmt w:val="bullet"/>
      <w:lvlText w:val="•"/>
      <w:lvlJc w:val="left"/>
      <w:pPr>
        <w:ind w:left="7535" w:hanging="656"/>
      </w:pPr>
      <w:rPr>
        <w:rFonts w:hint="default"/>
        <w:lang w:val="en-US" w:eastAsia="en-US" w:bidi="ar-SA"/>
      </w:rPr>
    </w:lvl>
    <w:lvl w:ilvl="7">
      <w:start w:val="0"/>
      <w:numFmt w:val="bullet"/>
      <w:lvlText w:val="•"/>
      <w:lvlJc w:val="left"/>
      <w:pPr>
        <w:ind w:left="8448" w:hanging="656"/>
      </w:pPr>
      <w:rPr>
        <w:rFonts w:hint="default"/>
        <w:lang w:val="en-US" w:eastAsia="en-US" w:bidi="ar-SA"/>
      </w:rPr>
    </w:lvl>
    <w:lvl w:ilvl="8">
      <w:start w:val="0"/>
      <w:numFmt w:val="bullet"/>
      <w:lvlText w:val="•"/>
      <w:lvlJc w:val="left"/>
      <w:pPr>
        <w:ind w:left="9361" w:hanging="656"/>
      </w:pPr>
      <w:rPr>
        <w:rFonts w:hint="default"/>
        <w:lang w:val="en-US" w:eastAsia="en-US" w:bidi="ar-SA"/>
      </w:rPr>
    </w:lvl>
  </w:abstractNum>
  <w:abstractNum w:abstractNumId="156">
    <w:multiLevelType w:val="hybridMultilevel"/>
    <w:lvl w:ilvl="0">
      <w:start w:val="1"/>
      <w:numFmt w:val="lowerLetter"/>
      <w:lvlText w:val="%1)"/>
      <w:lvlJc w:val="left"/>
      <w:pPr>
        <w:ind w:left="2062" w:hanging="28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286"/>
      </w:pPr>
      <w:rPr>
        <w:rFonts w:hint="default"/>
        <w:lang w:val="en-US" w:eastAsia="en-US" w:bidi="ar-SA"/>
      </w:rPr>
    </w:lvl>
    <w:lvl w:ilvl="2">
      <w:start w:val="0"/>
      <w:numFmt w:val="bullet"/>
      <w:lvlText w:val="•"/>
      <w:lvlJc w:val="left"/>
      <w:pPr>
        <w:ind w:left="3885" w:hanging="286"/>
      </w:pPr>
      <w:rPr>
        <w:rFonts w:hint="default"/>
        <w:lang w:val="en-US" w:eastAsia="en-US" w:bidi="ar-SA"/>
      </w:rPr>
    </w:lvl>
    <w:lvl w:ilvl="3">
      <w:start w:val="0"/>
      <w:numFmt w:val="bullet"/>
      <w:lvlText w:val="•"/>
      <w:lvlJc w:val="left"/>
      <w:pPr>
        <w:ind w:left="4797" w:hanging="286"/>
      </w:pPr>
      <w:rPr>
        <w:rFonts w:hint="default"/>
        <w:lang w:val="en-US" w:eastAsia="en-US" w:bidi="ar-SA"/>
      </w:rPr>
    </w:lvl>
    <w:lvl w:ilvl="4">
      <w:start w:val="0"/>
      <w:numFmt w:val="bullet"/>
      <w:lvlText w:val="•"/>
      <w:lvlJc w:val="left"/>
      <w:pPr>
        <w:ind w:left="5710" w:hanging="286"/>
      </w:pPr>
      <w:rPr>
        <w:rFonts w:hint="default"/>
        <w:lang w:val="en-US" w:eastAsia="en-US" w:bidi="ar-SA"/>
      </w:rPr>
    </w:lvl>
    <w:lvl w:ilvl="5">
      <w:start w:val="0"/>
      <w:numFmt w:val="bullet"/>
      <w:lvlText w:val="•"/>
      <w:lvlJc w:val="left"/>
      <w:pPr>
        <w:ind w:left="6623" w:hanging="286"/>
      </w:pPr>
      <w:rPr>
        <w:rFonts w:hint="default"/>
        <w:lang w:val="en-US" w:eastAsia="en-US" w:bidi="ar-SA"/>
      </w:rPr>
    </w:lvl>
    <w:lvl w:ilvl="6">
      <w:start w:val="0"/>
      <w:numFmt w:val="bullet"/>
      <w:lvlText w:val="•"/>
      <w:lvlJc w:val="left"/>
      <w:pPr>
        <w:ind w:left="7535" w:hanging="286"/>
      </w:pPr>
      <w:rPr>
        <w:rFonts w:hint="default"/>
        <w:lang w:val="en-US" w:eastAsia="en-US" w:bidi="ar-SA"/>
      </w:rPr>
    </w:lvl>
    <w:lvl w:ilvl="7">
      <w:start w:val="0"/>
      <w:numFmt w:val="bullet"/>
      <w:lvlText w:val="•"/>
      <w:lvlJc w:val="left"/>
      <w:pPr>
        <w:ind w:left="8448" w:hanging="286"/>
      </w:pPr>
      <w:rPr>
        <w:rFonts w:hint="default"/>
        <w:lang w:val="en-US" w:eastAsia="en-US" w:bidi="ar-SA"/>
      </w:rPr>
    </w:lvl>
    <w:lvl w:ilvl="8">
      <w:start w:val="0"/>
      <w:numFmt w:val="bullet"/>
      <w:lvlText w:val="•"/>
      <w:lvlJc w:val="left"/>
      <w:pPr>
        <w:ind w:left="9361" w:hanging="286"/>
      </w:pPr>
      <w:rPr>
        <w:rFonts w:hint="default"/>
        <w:lang w:val="en-US" w:eastAsia="en-US" w:bidi="ar-SA"/>
      </w:rPr>
    </w:lvl>
  </w:abstractNum>
  <w:abstractNum w:abstractNumId="155">
    <w:multiLevelType w:val="hybridMultilevel"/>
    <w:lvl w:ilvl="0">
      <w:start w:val="1"/>
      <w:numFmt w:val="lowerLetter"/>
      <w:lvlText w:val="%1)"/>
      <w:lvlJc w:val="left"/>
      <w:pPr>
        <w:ind w:left="2054" w:hanging="30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300"/>
      </w:pPr>
      <w:rPr>
        <w:rFonts w:hint="default"/>
        <w:lang w:val="en-US" w:eastAsia="en-US" w:bidi="ar-SA"/>
      </w:rPr>
    </w:lvl>
    <w:lvl w:ilvl="2">
      <w:start w:val="0"/>
      <w:numFmt w:val="bullet"/>
      <w:lvlText w:val="•"/>
      <w:lvlJc w:val="left"/>
      <w:pPr>
        <w:ind w:left="3885" w:hanging="300"/>
      </w:pPr>
      <w:rPr>
        <w:rFonts w:hint="default"/>
        <w:lang w:val="en-US" w:eastAsia="en-US" w:bidi="ar-SA"/>
      </w:rPr>
    </w:lvl>
    <w:lvl w:ilvl="3">
      <w:start w:val="0"/>
      <w:numFmt w:val="bullet"/>
      <w:lvlText w:val="•"/>
      <w:lvlJc w:val="left"/>
      <w:pPr>
        <w:ind w:left="4797" w:hanging="300"/>
      </w:pPr>
      <w:rPr>
        <w:rFonts w:hint="default"/>
        <w:lang w:val="en-US" w:eastAsia="en-US" w:bidi="ar-SA"/>
      </w:rPr>
    </w:lvl>
    <w:lvl w:ilvl="4">
      <w:start w:val="0"/>
      <w:numFmt w:val="bullet"/>
      <w:lvlText w:val="•"/>
      <w:lvlJc w:val="left"/>
      <w:pPr>
        <w:ind w:left="5710" w:hanging="300"/>
      </w:pPr>
      <w:rPr>
        <w:rFonts w:hint="default"/>
        <w:lang w:val="en-US" w:eastAsia="en-US" w:bidi="ar-SA"/>
      </w:rPr>
    </w:lvl>
    <w:lvl w:ilvl="5">
      <w:start w:val="0"/>
      <w:numFmt w:val="bullet"/>
      <w:lvlText w:val="•"/>
      <w:lvlJc w:val="left"/>
      <w:pPr>
        <w:ind w:left="6623" w:hanging="300"/>
      </w:pPr>
      <w:rPr>
        <w:rFonts w:hint="default"/>
        <w:lang w:val="en-US" w:eastAsia="en-US" w:bidi="ar-SA"/>
      </w:rPr>
    </w:lvl>
    <w:lvl w:ilvl="6">
      <w:start w:val="0"/>
      <w:numFmt w:val="bullet"/>
      <w:lvlText w:val="•"/>
      <w:lvlJc w:val="left"/>
      <w:pPr>
        <w:ind w:left="7535" w:hanging="300"/>
      </w:pPr>
      <w:rPr>
        <w:rFonts w:hint="default"/>
        <w:lang w:val="en-US" w:eastAsia="en-US" w:bidi="ar-SA"/>
      </w:rPr>
    </w:lvl>
    <w:lvl w:ilvl="7">
      <w:start w:val="0"/>
      <w:numFmt w:val="bullet"/>
      <w:lvlText w:val="•"/>
      <w:lvlJc w:val="left"/>
      <w:pPr>
        <w:ind w:left="8448" w:hanging="300"/>
      </w:pPr>
      <w:rPr>
        <w:rFonts w:hint="default"/>
        <w:lang w:val="en-US" w:eastAsia="en-US" w:bidi="ar-SA"/>
      </w:rPr>
    </w:lvl>
    <w:lvl w:ilvl="8">
      <w:start w:val="0"/>
      <w:numFmt w:val="bullet"/>
      <w:lvlText w:val="•"/>
      <w:lvlJc w:val="left"/>
      <w:pPr>
        <w:ind w:left="9361" w:hanging="300"/>
      </w:pPr>
      <w:rPr>
        <w:rFonts w:hint="default"/>
        <w:lang w:val="en-US" w:eastAsia="en-US" w:bidi="ar-SA"/>
      </w:rPr>
    </w:lvl>
  </w:abstractNum>
  <w:abstractNum w:abstractNumId="154">
    <w:multiLevelType w:val="hybridMultilevel"/>
    <w:lvl w:ilvl="0">
      <w:start w:val="7"/>
      <w:numFmt w:val="lowerLetter"/>
      <w:lvlText w:val="(%1)"/>
      <w:lvlJc w:val="left"/>
      <w:pPr>
        <w:ind w:left="1769" w:hanging="275"/>
        <w:jc w:val="left"/>
      </w:pPr>
      <w:rPr>
        <w:rFonts w:hint="default" w:ascii="Bookman Old Style" w:hAnsi="Bookman Old Style" w:eastAsia="Bookman Old Style" w:cs="Bookman Old Style"/>
        <w:b w:val="0"/>
        <w:bCs w:val="0"/>
        <w:i w:val="0"/>
        <w:iCs w:val="0"/>
        <w:spacing w:val="0"/>
        <w:w w:val="98"/>
        <w:sz w:val="22"/>
        <w:szCs w:val="22"/>
        <w:lang w:val="en-US" w:eastAsia="en-US" w:bidi="ar-SA"/>
      </w:rPr>
    </w:lvl>
    <w:lvl w:ilvl="1">
      <w:start w:val="0"/>
      <w:numFmt w:val="bullet"/>
      <w:lvlText w:val="•"/>
      <w:lvlJc w:val="left"/>
      <w:pPr>
        <w:ind w:left="2702" w:hanging="275"/>
      </w:pPr>
      <w:rPr>
        <w:rFonts w:hint="default"/>
        <w:lang w:val="en-US" w:eastAsia="en-US" w:bidi="ar-SA"/>
      </w:rPr>
    </w:lvl>
    <w:lvl w:ilvl="2">
      <w:start w:val="0"/>
      <w:numFmt w:val="bullet"/>
      <w:lvlText w:val="•"/>
      <w:lvlJc w:val="left"/>
      <w:pPr>
        <w:ind w:left="3645" w:hanging="275"/>
      </w:pPr>
      <w:rPr>
        <w:rFonts w:hint="default"/>
        <w:lang w:val="en-US" w:eastAsia="en-US" w:bidi="ar-SA"/>
      </w:rPr>
    </w:lvl>
    <w:lvl w:ilvl="3">
      <w:start w:val="0"/>
      <w:numFmt w:val="bullet"/>
      <w:lvlText w:val="•"/>
      <w:lvlJc w:val="left"/>
      <w:pPr>
        <w:ind w:left="4587" w:hanging="275"/>
      </w:pPr>
      <w:rPr>
        <w:rFonts w:hint="default"/>
        <w:lang w:val="en-US" w:eastAsia="en-US" w:bidi="ar-SA"/>
      </w:rPr>
    </w:lvl>
    <w:lvl w:ilvl="4">
      <w:start w:val="0"/>
      <w:numFmt w:val="bullet"/>
      <w:lvlText w:val="•"/>
      <w:lvlJc w:val="left"/>
      <w:pPr>
        <w:ind w:left="5530" w:hanging="275"/>
      </w:pPr>
      <w:rPr>
        <w:rFonts w:hint="default"/>
        <w:lang w:val="en-US" w:eastAsia="en-US" w:bidi="ar-SA"/>
      </w:rPr>
    </w:lvl>
    <w:lvl w:ilvl="5">
      <w:start w:val="0"/>
      <w:numFmt w:val="bullet"/>
      <w:lvlText w:val="•"/>
      <w:lvlJc w:val="left"/>
      <w:pPr>
        <w:ind w:left="6473" w:hanging="275"/>
      </w:pPr>
      <w:rPr>
        <w:rFonts w:hint="default"/>
        <w:lang w:val="en-US" w:eastAsia="en-US" w:bidi="ar-SA"/>
      </w:rPr>
    </w:lvl>
    <w:lvl w:ilvl="6">
      <w:start w:val="0"/>
      <w:numFmt w:val="bullet"/>
      <w:lvlText w:val="•"/>
      <w:lvlJc w:val="left"/>
      <w:pPr>
        <w:ind w:left="7415" w:hanging="275"/>
      </w:pPr>
      <w:rPr>
        <w:rFonts w:hint="default"/>
        <w:lang w:val="en-US" w:eastAsia="en-US" w:bidi="ar-SA"/>
      </w:rPr>
    </w:lvl>
    <w:lvl w:ilvl="7">
      <w:start w:val="0"/>
      <w:numFmt w:val="bullet"/>
      <w:lvlText w:val="•"/>
      <w:lvlJc w:val="left"/>
      <w:pPr>
        <w:ind w:left="8358" w:hanging="275"/>
      </w:pPr>
      <w:rPr>
        <w:rFonts w:hint="default"/>
        <w:lang w:val="en-US" w:eastAsia="en-US" w:bidi="ar-SA"/>
      </w:rPr>
    </w:lvl>
    <w:lvl w:ilvl="8">
      <w:start w:val="0"/>
      <w:numFmt w:val="bullet"/>
      <w:lvlText w:val="•"/>
      <w:lvlJc w:val="left"/>
      <w:pPr>
        <w:ind w:left="9301" w:hanging="275"/>
      </w:pPr>
      <w:rPr>
        <w:rFonts w:hint="default"/>
        <w:lang w:val="en-US" w:eastAsia="en-US" w:bidi="ar-SA"/>
      </w:rPr>
    </w:lvl>
  </w:abstractNum>
  <w:abstractNum w:abstractNumId="153">
    <w:multiLevelType w:val="hybridMultilevel"/>
    <w:lvl w:ilvl="0">
      <w:start w:val="1"/>
      <w:numFmt w:val="lowerLetter"/>
      <w:lvlText w:val="(%1)"/>
      <w:lvlJc w:val="left"/>
      <w:pPr>
        <w:ind w:left="2054" w:hanging="35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793" w:hanging="375"/>
        <w:jc w:val="left"/>
      </w:pPr>
      <w:rPr>
        <w:rFonts w:hint="default" w:ascii="Bookman Old Style" w:hAnsi="Bookman Old Style" w:eastAsia="Bookman Old Style" w:cs="Bookman Old Style"/>
        <w:b w:val="0"/>
        <w:bCs w:val="0"/>
        <w:i w:val="0"/>
        <w:iCs w:val="0"/>
        <w:spacing w:val="0"/>
        <w:w w:val="91"/>
        <w:sz w:val="24"/>
        <w:szCs w:val="24"/>
        <w:lang w:val="en-US" w:eastAsia="en-US" w:bidi="ar-SA"/>
      </w:rPr>
    </w:lvl>
    <w:lvl w:ilvl="2">
      <w:start w:val="0"/>
      <w:numFmt w:val="bullet"/>
      <w:lvlText w:val="•"/>
      <w:lvlJc w:val="left"/>
      <w:pPr>
        <w:ind w:left="3074" w:hanging="375"/>
      </w:pPr>
      <w:rPr>
        <w:rFonts w:hint="default"/>
        <w:lang w:val="en-US" w:eastAsia="en-US" w:bidi="ar-SA"/>
      </w:rPr>
    </w:lvl>
    <w:lvl w:ilvl="3">
      <w:start w:val="0"/>
      <w:numFmt w:val="bullet"/>
      <w:lvlText w:val="•"/>
      <w:lvlJc w:val="left"/>
      <w:pPr>
        <w:ind w:left="4088" w:hanging="375"/>
      </w:pPr>
      <w:rPr>
        <w:rFonts w:hint="default"/>
        <w:lang w:val="en-US" w:eastAsia="en-US" w:bidi="ar-SA"/>
      </w:rPr>
    </w:lvl>
    <w:lvl w:ilvl="4">
      <w:start w:val="0"/>
      <w:numFmt w:val="bullet"/>
      <w:lvlText w:val="•"/>
      <w:lvlJc w:val="left"/>
      <w:pPr>
        <w:ind w:left="5102" w:hanging="375"/>
      </w:pPr>
      <w:rPr>
        <w:rFonts w:hint="default"/>
        <w:lang w:val="en-US" w:eastAsia="en-US" w:bidi="ar-SA"/>
      </w:rPr>
    </w:lvl>
    <w:lvl w:ilvl="5">
      <w:start w:val="0"/>
      <w:numFmt w:val="bullet"/>
      <w:lvlText w:val="•"/>
      <w:lvlJc w:val="left"/>
      <w:pPr>
        <w:ind w:left="6116" w:hanging="375"/>
      </w:pPr>
      <w:rPr>
        <w:rFonts w:hint="default"/>
        <w:lang w:val="en-US" w:eastAsia="en-US" w:bidi="ar-SA"/>
      </w:rPr>
    </w:lvl>
    <w:lvl w:ilvl="6">
      <w:start w:val="0"/>
      <w:numFmt w:val="bullet"/>
      <w:lvlText w:val="•"/>
      <w:lvlJc w:val="left"/>
      <w:pPr>
        <w:ind w:left="7130" w:hanging="375"/>
      </w:pPr>
      <w:rPr>
        <w:rFonts w:hint="default"/>
        <w:lang w:val="en-US" w:eastAsia="en-US" w:bidi="ar-SA"/>
      </w:rPr>
    </w:lvl>
    <w:lvl w:ilvl="7">
      <w:start w:val="0"/>
      <w:numFmt w:val="bullet"/>
      <w:lvlText w:val="•"/>
      <w:lvlJc w:val="left"/>
      <w:pPr>
        <w:ind w:left="8144" w:hanging="375"/>
      </w:pPr>
      <w:rPr>
        <w:rFonts w:hint="default"/>
        <w:lang w:val="en-US" w:eastAsia="en-US" w:bidi="ar-SA"/>
      </w:rPr>
    </w:lvl>
    <w:lvl w:ilvl="8">
      <w:start w:val="0"/>
      <w:numFmt w:val="bullet"/>
      <w:lvlText w:val="•"/>
      <w:lvlJc w:val="left"/>
      <w:pPr>
        <w:ind w:left="9158" w:hanging="375"/>
      </w:pPr>
      <w:rPr>
        <w:rFonts w:hint="default"/>
        <w:lang w:val="en-US" w:eastAsia="en-US" w:bidi="ar-SA"/>
      </w:rPr>
    </w:lvl>
  </w:abstractNum>
  <w:abstractNum w:abstractNumId="152">
    <w:multiLevelType w:val="hybridMultilevel"/>
    <w:lvl w:ilvl="0">
      <w:start w:val="1"/>
      <w:numFmt w:val="upperRoman"/>
      <w:lvlText w:val="(%1)"/>
      <w:lvlJc w:val="left"/>
      <w:pPr>
        <w:ind w:left="1735" w:hanging="370"/>
        <w:jc w:val="right"/>
      </w:pPr>
      <w:rPr>
        <w:rFonts w:hint="default" w:ascii="Bookman Old Style" w:hAnsi="Bookman Old Style" w:eastAsia="Bookman Old Style" w:cs="Bookman Old Style"/>
        <w:b/>
        <w:bCs/>
        <w:i w:val="0"/>
        <w:iCs w:val="0"/>
        <w:spacing w:val="0"/>
        <w:w w:val="100"/>
        <w:sz w:val="24"/>
        <w:szCs w:val="24"/>
        <w:lang w:val="en-US" w:eastAsia="en-US" w:bidi="ar-SA"/>
      </w:rPr>
    </w:lvl>
    <w:lvl w:ilvl="1">
      <w:start w:val="1"/>
      <w:numFmt w:val="upperLetter"/>
      <w:lvlText w:val="(%2)"/>
      <w:lvlJc w:val="left"/>
      <w:pPr>
        <w:ind w:left="2362" w:hanging="360"/>
        <w:jc w:val="right"/>
      </w:pPr>
      <w:rPr>
        <w:rFonts w:hint="default" w:ascii="Bookman Old Style" w:hAnsi="Bookman Old Style" w:eastAsia="Bookman Old Style" w:cs="Bookman Old Style"/>
        <w:b/>
        <w:bCs/>
        <w:i w:val="0"/>
        <w:iCs w:val="0"/>
        <w:spacing w:val="0"/>
        <w:w w:val="92"/>
        <w:sz w:val="24"/>
        <w:szCs w:val="24"/>
        <w:lang w:val="en-US" w:eastAsia="en-US" w:bidi="ar-SA"/>
      </w:rPr>
    </w:lvl>
    <w:lvl w:ilvl="2">
      <w:start w:val="1"/>
      <w:numFmt w:val="lowerLetter"/>
      <w:lvlText w:val="%3)"/>
      <w:lvlJc w:val="left"/>
      <w:pPr>
        <w:ind w:left="2170"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3463" w:hanging="289"/>
      </w:pPr>
      <w:rPr>
        <w:rFonts w:hint="default"/>
        <w:lang w:val="en-US" w:eastAsia="en-US" w:bidi="ar-SA"/>
      </w:rPr>
    </w:lvl>
    <w:lvl w:ilvl="4">
      <w:start w:val="0"/>
      <w:numFmt w:val="bullet"/>
      <w:lvlText w:val="•"/>
      <w:lvlJc w:val="left"/>
      <w:pPr>
        <w:ind w:left="4566" w:hanging="289"/>
      </w:pPr>
      <w:rPr>
        <w:rFonts w:hint="default"/>
        <w:lang w:val="en-US" w:eastAsia="en-US" w:bidi="ar-SA"/>
      </w:rPr>
    </w:lvl>
    <w:lvl w:ilvl="5">
      <w:start w:val="0"/>
      <w:numFmt w:val="bullet"/>
      <w:lvlText w:val="•"/>
      <w:lvlJc w:val="left"/>
      <w:pPr>
        <w:ind w:left="5669" w:hanging="289"/>
      </w:pPr>
      <w:rPr>
        <w:rFonts w:hint="default"/>
        <w:lang w:val="en-US" w:eastAsia="en-US" w:bidi="ar-SA"/>
      </w:rPr>
    </w:lvl>
    <w:lvl w:ilvl="6">
      <w:start w:val="0"/>
      <w:numFmt w:val="bullet"/>
      <w:lvlText w:val="•"/>
      <w:lvlJc w:val="left"/>
      <w:pPr>
        <w:ind w:left="6773" w:hanging="289"/>
      </w:pPr>
      <w:rPr>
        <w:rFonts w:hint="default"/>
        <w:lang w:val="en-US" w:eastAsia="en-US" w:bidi="ar-SA"/>
      </w:rPr>
    </w:lvl>
    <w:lvl w:ilvl="7">
      <w:start w:val="0"/>
      <w:numFmt w:val="bullet"/>
      <w:lvlText w:val="•"/>
      <w:lvlJc w:val="left"/>
      <w:pPr>
        <w:ind w:left="7876" w:hanging="289"/>
      </w:pPr>
      <w:rPr>
        <w:rFonts w:hint="default"/>
        <w:lang w:val="en-US" w:eastAsia="en-US" w:bidi="ar-SA"/>
      </w:rPr>
    </w:lvl>
    <w:lvl w:ilvl="8">
      <w:start w:val="0"/>
      <w:numFmt w:val="bullet"/>
      <w:lvlText w:val="•"/>
      <w:lvlJc w:val="left"/>
      <w:pPr>
        <w:ind w:left="8979" w:hanging="289"/>
      </w:pPr>
      <w:rPr>
        <w:rFonts w:hint="default"/>
        <w:lang w:val="en-US" w:eastAsia="en-US" w:bidi="ar-SA"/>
      </w:rPr>
    </w:lvl>
  </w:abstractNum>
  <w:abstractNum w:abstractNumId="151">
    <w:multiLevelType w:val="hybridMultilevel"/>
    <w:lvl w:ilvl="0">
      <w:start w:val="2"/>
      <w:numFmt w:val="decimal"/>
      <w:lvlText w:val="%1."/>
      <w:lvlJc w:val="left"/>
      <w:pPr>
        <w:ind w:left="2062" w:hanging="308"/>
        <w:jc w:val="left"/>
      </w:pPr>
      <w:rPr>
        <w:rFonts w:hint="default" w:ascii="Bookman Old Style" w:hAnsi="Bookman Old Style" w:eastAsia="Bookman Old Style" w:cs="Bookman Old Style"/>
        <w:b w:val="0"/>
        <w:bCs w:val="0"/>
        <w:i w:val="0"/>
        <w:iCs w:val="0"/>
        <w:spacing w:val="0"/>
        <w:w w:val="90"/>
        <w:sz w:val="24"/>
        <w:szCs w:val="24"/>
        <w:lang w:val="en-US" w:eastAsia="en-US" w:bidi="ar-SA"/>
      </w:rPr>
    </w:lvl>
    <w:lvl w:ilvl="1">
      <w:start w:val="0"/>
      <w:numFmt w:val="bullet"/>
      <w:lvlText w:val="•"/>
      <w:lvlJc w:val="left"/>
      <w:pPr>
        <w:ind w:left="2972" w:hanging="308"/>
      </w:pPr>
      <w:rPr>
        <w:rFonts w:hint="default"/>
        <w:lang w:val="en-US" w:eastAsia="en-US" w:bidi="ar-SA"/>
      </w:rPr>
    </w:lvl>
    <w:lvl w:ilvl="2">
      <w:start w:val="0"/>
      <w:numFmt w:val="bullet"/>
      <w:lvlText w:val="•"/>
      <w:lvlJc w:val="left"/>
      <w:pPr>
        <w:ind w:left="3885" w:hanging="308"/>
      </w:pPr>
      <w:rPr>
        <w:rFonts w:hint="default"/>
        <w:lang w:val="en-US" w:eastAsia="en-US" w:bidi="ar-SA"/>
      </w:rPr>
    </w:lvl>
    <w:lvl w:ilvl="3">
      <w:start w:val="0"/>
      <w:numFmt w:val="bullet"/>
      <w:lvlText w:val="•"/>
      <w:lvlJc w:val="left"/>
      <w:pPr>
        <w:ind w:left="4797" w:hanging="308"/>
      </w:pPr>
      <w:rPr>
        <w:rFonts w:hint="default"/>
        <w:lang w:val="en-US" w:eastAsia="en-US" w:bidi="ar-SA"/>
      </w:rPr>
    </w:lvl>
    <w:lvl w:ilvl="4">
      <w:start w:val="0"/>
      <w:numFmt w:val="bullet"/>
      <w:lvlText w:val="•"/>
      <w:lvlJc w:val="left"/>
      <w:pPr>
        <w:ind w:left="5710" w:hanging="308"/>
      </w:pPr>
      <w:rPr>
        <w:rFonts w:hint="default"/>
        <w:lang w:val="en-US" w:eastAsia="en-US" w:bidi="ar-SA"/>
      </w:rPr>
    </w:lvl>
    <w:lvl w:ilvl="5">
      <w:start w:val="0"/>
      <w:numFmt w:val="bullet"/>
      <w:lvlText w:val="•"/>
      <w:lvlJc w:val="left"/>
      <w:pPr>
        <w:ind w:left="6623" w:hanging="308"/>
      </w:pPr>
      <w:rPr>
        <w:rFonts w:hint="default"/>
        <w:lang w:val="en-US" w:eastAsia="en-US" w:bidi="ar-SA"/>
      </w:rPr>
    </w:lvl>
    <w:lvl w:ilvl="6">
      <w:start w:val="0"/>
      <w:numFmt w:val="bullet"/>
      <w:lvlText w:val="•"/>
      <w:lvlJc w:val="left"/>
      <w:pPr>
        <w:ind w:left="7535" w:hanging="308"/>
      </w:pPr>
      <w:rPr>
        <w:rFonts w:hint="default"/>
        <w:lang w:val="en-US" w:eastAsia="en-US" w:bidi="ar-SA"/>
      </w:rPr>
    </w:lvl>
    <w:lvl w:ilvl="7">
      <w:start w:val="0"/>
      <w:numFmt w:val="bullet"/>
      <w:lvlText w:val="•"/>
      <w:lvlJc w:val="left"/>
      <w:pPr>
        <w:ind w:left="8448" w:hanging="308"/>
      </w:pPr>
      <w:rPr>
        <w:rFonts w:hint="default"/>
        <w:lang w:val="en-US" w:eastAsia="en-US" w:bidi="ar-SA"/>
      </w:rPr>
    </w:lvl>
    <w:lvl w:ilvl="8">
      <w:start w:val="0"/>
      <w:numFmt w:val="bullet"/>
      <w:lvlText w:val="•"/>
      <w:lvlJc w:val="left"/>
      <w:pPr>
        <w:ind w:left="9361" w:hanging="308"/>
      </w:pPr>
      <w:rPr>
        <w:rFonts w:hint="default"/>
        <w:lang w:val="en-US" w:eastAsia="en-US" w:bidi="ar-SA"/>
      </w:rPr>
    </w:lvl>
  </w:abstractNum>
  <w:abstractNum w:abstractNumId="150">
    <w:multiLevelType w:val="hybridMultilevel"/>
    <w:lvl w:ilvl="0">
      <w:start w:val="1"/>
      <w:numFmt w:val="decimal"/>
      <w:lvlText w:val="%1."/>
      <w:lvlJc w:val="left"/>
      <w:pPr>
        <w:ind w:left="2050" w:hanging="28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286"/>
      </w:pPr>
      <w:rPr>
        <w:rFonts w:hint="default"/>
        <w:lang w:val="en-US" w:eastAsia="en-US" w:bidi="ar-SA"/>
      </w:rPr>
    </w:lvl>
    <w:lvl w:ilvl="2">
      <w:start w:val="0"/>
      <w:numFmt w:val="bullet"/>
      <w:lvlText w:val="•"/>
      <w:lvlJc w:val="left"/>
      <w:pPr>
        <w:ind w:left="3885" w:hanging="286"/>
      </w:pPr>
      <w:rPr>
        <w:rFonts w:hint="default"/>
        <w:lang w:val="en-US" w:eastAsia="en-US" w:bidi="ar-SA"/>
      </w:rPr>
    </w:lvl>
    <w:lvl w:ilvl="3">
      <w:start w:val="0"/>
      <w:numFmt w:val="bullet"/>
      <w:lvlText w:val="•"/>
      <w:lvlJc w:val="left"/>
      <w:pPr>
        <w:ind w:left="4797" w:hanging="286"/>
      </w:pPr>
      <w:rPr>
        <w:rFonts w:hint="default"/>
        <w:lang w:val="en-US" w:eastAsia="en-US" w:bidi="ar-SA"/>
      </w:rPr>
    </w:lvl>
    <w:lvl w:ilvl="4">
      <w:start w:val="0"/>
      <w:numFmt w:val="bullet"/>
      <w:lvlText w:val="•"/>
      <w:lvlJc w:val="left"/>
      <w:pPr>
        <w:ind w:left="5710" w:hanging="286"/>
      </w:pPr>
      <w:rPr>
        <w:rFonts w:hint="default"/>
        <w:lang w:val="en-US" w:eastAsia="en-US" w:bidi="ar-SA"/>
      </w:rPr>
    </w:lvl>
    <w:lvl w:ilvl="5">
      <w:start w:val="0"/>
      <w:numFmt w:val="bullet"/>
      <w:lvlText w:val="•"/>
      <w:lvlJc w:val="left"/>
      <w:pPr>
        <w:ind w:left="6623" w:hanging="286"/>
      </w:pPr>
      <w:rPr>
        <w:rFonts w:hint="default"/>
        <w:lang w:val="en-US" w:eastAsia="en-US" w:bidi="ar-SA"/>
      </w:rPr>
    </w:lvl>
    <w:lvl w:ilvl="6">
      <w:start w:val="0"/>
      <w:numFmt w:val="bullet"/>
      <w:lvlText w:val="•"/>
      <w:lvlJc w:val="left"/>
      <w:pPr>
        <w:ind w:left="7535" w:hanging="286"/>
      </w:pPr>
      <w:rPr>
        <w:rFonts w:hint="default"/>
        <w:lang w:val="en-US" w:eastAsia="en-US" w:bidi="ar-SA"/>
      </w:rPr>
    </w:lvl>
    <w:lvl w:ilvl="7">
      <w:start w:val="0"/>
      <w:numFmt w:val="bullet"/>
      <w:lvlText w:val="•"/>
      <w:lvlJc w:val="left"/>
      <w:pPr>
        <w:ind w:left="8448" w:hanging="286"/>
      </w:pPr>
      <w:rPr>
        <w:rFonts w:hint="default"/>
        <w:lang w:val="en-US" w:eastAsia="en-US" w:bidi="ar-SA"/>
      </w:rPr>
    </w:lvl>
    <w:lvl w:ilvl="8">
      <w:start w:val="0"/>
      <w:numFmt w:val="bullet"/>
      <w:lvlText w:val="•"/>
      <w:lvlJc w:val="left"/>
      <w:pPr>
        <w:ind w:left="9361" w:hanging="286"/>
      </w:pPr>
      <w:rPr>
        <w:rFonts w:hint="default"/>
        <w:lang w:val="en-US" w:eastAsia="en-US" w:bidi="ar-SA"/>
      </w:rPr>
    </w:lvl>
  </w:abstractNum>
  <w:abstractNum w:abstractNumId="149">
    <w:multiLevelType w:val="hybridMultilevel"/>
    <w:lvl w:ilvl="0">
      <w:start w:val="1"/>
      <w:numFmt w:val="lowerLetter"/>
      <w:lvlText w:val="%1)"/>
      <w:lvlJc w:val="left"/>
      <w:pPr>
        <w:ind w:left="2062" w:hanging="360"/>
        <w:jc w:val="right"/>
      </w:pPr>
      <w:rPr>
        <w:rFonts w:hint="default"/>
        <w:spacing w:val="-1"/>
        <w:w w:val="100"/>
        <w:lang w:val="en-US" w:eastAsia="en-US" w:bidi="ar-SA"/>
      </w:rPr>
    </w:lvl>
    <w:lvl w:ilvl="1">
      <w:start w:val="0"/>
      <w:numFmt w:val="bullet"/>
      <w:lvlText w:val="•"/>
      <w:lvlJc w:val="left"/>
      <w:pPr>
        <w:ind w:left="2972" w:hanging="360"/>
      </w:pPr>
      <w:rPr>
        <w:rFonts w:hint="default"/>
        <w:lang w:val="en-US" w:eastAsia="en-US" w:bidi="ar-SA"/>
      </w:rPr>
    </w:lvl>
    <w:lvl w:ilvl="2">
      <w:start w:val="0"/>
      <w:numFmt w:val="bullet"/>
      <w:lvlText w:val="•"/>
      <w:lvlJc w:val="left"/>
      <w:pPr>
        <w:ind w:left="3885" w:hanging="360"/>
      </w:pPr>
      <w:rPr>
        <w:rFonts w:hint="default"/>
        <w:lang w:val="en-US" w:eastAsia="en-US" w:bidi="ar-SA"/>
      </w:rPr>
    </w:lvl>
    <w:lvl w:ilvl="3">
      <w:start w:val="0"/>
      <w:numFmt w:val="bullet"/>
      <w:lvlText w:val="•"/>
      <w:lvlJc w:val="left"/>
      <w:pPr>
        <w:ind w:left="4797" w:hanging="360"/>
      </w:pPr>
      <w:rPr>
        <w:rFonts w:hint="default"/>
        <w:lang w:val="en-US" w:eastAsia="en-US" w:bidi="ar-SA"/>
      </w:rPr>
    </w:lvl>
    <w:lvl w:ilvl="4">
      <w:start w:val="0"/>
      <w:numFmt w:val="bullet"/>
      <w:lvlText w:val="•"/>
      <w:lvlJc w:val="left"/>
      <w:pPr>
        <w:ind w:left="5710" w:hanging="360"/>
      </w:pPr>
      <w:rPr>
        <w:rFonts w:hint="default"/>
        <w:lang w:val="en-US" w:eastAsia="en-US" w:bidi="ar-SA"/>
      </w:rPr>
    </w:lvl>
    <w:lvl w:ilvl="5">
      <w:start w:val="0"/>
      <w:numFmt w:val="bullet"/>
      <w:lvlText w:val="•"/>
      <w:lvlJc w:val="left"/>
      <w:pPr>
        <w:ind w:left="6623" w:hanging="360"/>
      </w:pPr>
      <w:rPr>
        <w:rFonts w:hint="default"/>
        <w:lang w:val="en-US" w:eastAsia="en-US" w:bidi="ar-SA"/>
      </w:rPr>
    </w:lvl>
    <w:lvl w:ilvl="6">
      <w:start w:val="0"/>
      <w:numFmt w:val="bullet"/>
      <w:lvlText w:val="•"/>
      <w:lvlJc w:val="left"/>
      <w:pPr>
        <w:ind w:left="7535" w:hanging="360"/>
      </w:pPr>
      <w:rPr>
        <w:rFonts w:hint="default"/>
        <w:lang w:val="en-US" w:eastAsia="en-US" w:bidi="ar-SA"/>
      </w:rPr>
    </w:lvl>
    <w:lvl w:ilvl="7">
      <w:start w:val="0"/>
      <w:numFmt w:val="bullet"/>
      <w:lvlText w:val="•"/>
      <w:lvlJc w:val="left"/>
      <w:pPr>
        <w:ind w:left="8448" w:hanging="360"/>
      </w:pPr>
      <w:rPr>
        <w:rFonts w:hint="default"/>
        <w:lang w:val="en-US" w:eastAsia="en-US" w:bidi="ar-SA"/>
      </w:rPr>
    </w:lvl>
    <w:lvl w:ilvl="8">
      <w:start w:val="0"/>
      <w:numFmt w:val="bullet"/>
      <w:lvlText w:val="•"/>
      <w:lvlJc w:val="left"/>
      <w:pPr>
        <w:ind w:left="9361" w:hanging="360"/>
      </w:pPr>
      <w:rPr>
        <w:rFonts w:hint="default"/>
        <w:lang w:val="en-US" w:eastAsia="en-US" w:bidi="ar-SA"/>
      </w:rPr>
    </w:lvl>
  </w:abstractNum>
  <w:abstractNum w:abstractNumId="148">
    <w:multiLevelType w:val="hybridMultilevel"/>
    <w:lvl w:ilvl="0">
      <w:start w:val="2"/>
      <w:numFmt w:val="lowerLetter"/>
      <w:lvlText w:val="(%1)"/>
      <w:lvlJc w:val="left"/>
      <w:pPr>
        <w:ind w:left="2062" w:hanging="43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435"/>
      </w:pPr>
      <w:rPr>
        <w:rFonts w:hint="default"/>
        <w:lang w:val="en-US" w:eastAsia="en-US" w:bidi="ar-SA"/>
      </w:rPr>
    </w:lvl>
    <w:lvl w:ilvl="2">
      <w:start w:val="0"/>
      <w:numFmt w:val="bullet"/>
      <w:lvlText w:val="•"/>
      <w:lvlJc w:val="left"/>
      <w:pPr>
        <w:ind w:left="3885" w:hanging="435"/>
      </w:pPr>
      <w:rPr>
        <w:rFonts w:hint="default"/>
        <w:lang w:val="en-US" w:eastAsia="en-US" w:bidi="ar-SA"/>
      </w:rPr>
    </w:lvl>
    <w:lvl w:ilvl="3">
      <w:start w:val="0"/>
      <w:numFmt w:val="bullet"/>
      <w:lvlText w:val="•"/>
      <w:lvlJc w:val="left"/>
      <w:pPr>
        <w:ind w:left="4797" w:hanging="435"/>
      </w:pPr>
      <w:rPr>
        <w:rFonts w:hint="default"/>
        <w:lang w:val="en-US" w:eastAsia="en-US" w:bidi="ar-SA"/>
      </w:rPr>
    </w:lvl>
    <w:lvl w:ilvl="4">
      <w:start w:val="0"/>
      <w:numFmt w:val="bullet"/>
      <w:lvlText w:val="•"/>
      <w:lvlJc w:val="left"/>
      <w:pPr>
        <w:ind w:left="5710" w:hanging="435"/>
      </w:pPr>
      <w:rPr>
        <w:rFonts w:hint="default"/>
        <w:lang w:val="en-US" w:eastAsia="en-US" w:bidi="ar-SA"/>
      </w:rPr>
    </w:lvl>
    <w:lvl w:ilvl="5">
      <w:start w:val="0"/>
      <w:numFmt w:val="bullet"/>
      <w:lvlText w:val="•"/>
      <w:lvlJc w:val="left"/>
      <w:pPr>
        <w:ind w:left="6623" w:hanging="435"/>
      </w:pPr>
      <w:rPr>
        <w:rFonts w:hint="default"/>
        <w:lang w:val="en-US" w:eastAsia="en-US" w:bidi="ar-SA"/>
      </w:rPr>
    </w:lvl>
    <w:lvl w:ilvl="6">
      <w:start w:val="0"/>
      <w:numFmt w:val="bullet"/>
      <w:lvlText w:val="•"/>
      <w:lvlJc w:val="left"/>
      <w:pPr>
        <w:ind w:left="7535" w:hanging="435"/>
      </w:pPr>
      <w:rPr>
        <w:rFonts w:hint="default"/>
        <w:lang w:val="en-US" w:eastAsia="en-US" w:bidi="ar-SA"/>
      </w:rPr>
    </w:lvl>
    <w:lvl w:ilvl="7">
      <w:start w:val="0"/>
      <w:numFmt w:val="bullet"/>
      <w:lvlText w:val="•"/>
      <w:lvlJc w:val="left"/>
      <w:pPr>
        <w:ind w:left="8448" w:hanging="435"/>
      </w:pPr>
      <w:rPr>
        <w:rFonts w:hint="default"/>
        <w:lang w:val="en-US" w:eastAsia="en-US" w:bidi="ar-SA"/>
      </w:rPr>
    </w:lvl>
    <w:lvl w:ilvl="8">
      <w:start w:val="0"/>
      <w:numFmt w:val="bullet"/>
      <w:lvlText w:val="•"/>
      <w:lvlJc w:val="left"/>
      <w:pPr>
        <w:ind w:left="9361" w:hanging="435"/>
      </w:pPr>
      <w:rPr>
        <w:rFonts w:hint="default"/>
        <w:lang w:val="en-US" w:eastAsia="en-US" w:bidi="ar-SA"/>
      </w:rPr>
    </w:lvl>
  </w:abstractNum>
  <w:abstractNum w:abstractNumId="147">
    <w:multiLevelType w:val="hybridMultilevel"/>
    <w:lvl w:ilvl="0">
      <w:start w:val="4"/>
      <w:numFmt w:val="decimal"/>
      <w:lvlText w:val="%1."/>
      <w:lvlJc w:val="left"/>
      <w:pPr>
        <w:ind w:left="2062" w:hanging="356"/>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2062" w:hanging="40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885" w:hanging="408"/>
      </w:pPr>
      <w:rPr>
        <w:rFonts w:hint="default"/>
        <w:lang w:val="en-US" w:eastAsia="en-US" w:bidi="ar-SA"/>
      </w:rPr>
    </w:lvl>
    <w:lvl w:ilvl="3">
      <w:start w:val="0"/>
      <w:numFmt w:val="bullet"/>
      <w:lvlText w:val="•"/>
      <w:lvlJc w:val="left"/>
      <w:pPr>
        <w:ind w:left="4797" w:hanging="408"/>
      </w:pPr>
      <w:rPr>
        <w:rFonts w:hint="default"/>
        <w:lang w:val="en-US" w:eastAsia="en-US" w:bidi="ar-SA"/>
      </w:rPr>
    </w:lvl>
    <w:lvl w:ilvl="4">
      <w:start w:val="0"/>
      <w:numFmt w:val="bullet"/>
      <w:lvlText w:val="•"/>
      <w:lvlJc w:val="left"/>
      <w:pPr>
        <w:ind w:left="5710" w:hanging="408"/>
      </w:pPr>
      <w:rPr>
        <w:rFonts w:hint="default"/>
        <w:lang w:val="en-US" w:eastAsia="en-US" w:bidi="ar-SA"/>
      </w:rPr>
    </w:lvl>
    <w:lvl w:ilvl="5">
      <w:start w:val="0"/>
      <w:numFmt w:val="bullet"/>
      <w:lvlText w:val="•"/>
      <w:lvlJc w:val="left"/>
      <w:pPr>
        <w:ind w:left="6623" w:hanging="408"/>
      </w:pPr>
      <w:rPr>
        <w:rFonts w:hint="default"/>
        <w:lang w:val="en-US" w:eastAsia="en-US" w:bidi="ar-SA"/>
      </w:rPr>
    </w:lvl>
    <w:lvl w:ilvl="6">
      <w:start w:val="0"/>
      <w:numFmt w:val="bullet"/>
      <w:lvlText w:val="•"/>
      <w:lvlJc w:val="left"/>
      <w:pPr>
        <w:ind w:left="7535" w:hanging="408"/>
      </w:pPr>
      <w:rPr>
        <w:rFonts w:hint="default"/>
        <w:lang w:val="en-US" w:eastAsia="en-US" w:bidi="ar-SA"/>
      </w:rPr>
    </w:lvl>
    <w:lvl w:ilvl="7">
      <w:start w:val="0"/>
      <w:numFmt w:val="bullet"/>
      <w:lvlText w:val="•"/>
      <w:lvlJc w:val="left"/>
      <w:pPr>
        <w:ind w:left="8448" w:hanging="408"/>
      </w:pPr>
      <w:rPr>
        <w:rFonts w:hint="default"/>
        <w:lang w:val="en-US" w:eastAsia="en-US" w:bidi="ar-SA"/>
      </w:rPr>
    </w:lvl>
    <w:lvl w:ilvl="8">
      <w:start w:val="0"/>
      <w:numFmt w:val="bullet"/>
      <w:lvlText w:val="•"/>
      <w:lvlJc w:val="left"/>
      <w:pPr>
        <w:ind w:left="9361" w:hanging="408"/>
      </w:pPr>
      <w:rPr>
        <w:rFonts w:hint="default"/>
        <w:lang w:val="en-US" w:eastAsia="en-US" w:bidi="ar-SA"/>
      </w:rPr>
    </w:lvl>
  </w:abstractNum>
  <w:abstractNum w:abstractNumId="146">
    <w:multiLevelType w:val="hybridMultilevel"/>
    <w:lvl w:ilvl="0">
      <w:start w:val="10"/>
      <w:numFmt w:val="decimal"/>
      <w:lvlText w:val="%1."/>
      <w:lvlJc w:val="left"/>
      <w:pPr>
        <w:ind w:left="2410" w:hanging="492"/>
        <w:jc w:val="right"/>
      </w:pPr>
      <w:rPr>
        <w:rFonts w:hint="default" w:ascii="Bookman Old Style" w:hAnsi="Bookman Old Style" w:eastAsia="Bookman Old Style" w:cs="Bookman Old Style"/>
        <w:b w:val="0"/>
        <w:bCs w:val="0"/>
        <w:i w:val="0"/>
        <w:iCs w:val="0"/>
        <w:spacing w:val="0"/>
        <w:w w:val="94"/>
        <w:sz w:val="24"/>
        <w:szCs w:val="24"/>
        <w:lang w:val="en-US" w:eastAsia="en-US" w:bidi="ar-SA"/>
      </w:rPr>
    </w:lvl>
    <w:lvl w:ilvl="1">
      <w:start w:val="0"/>
      <w:numFmt w:val="bullet"/>
      <w:lvlText w:val="•"/>
      <w:lvlJc w:val="left"/>
      <w:pPr>
        <w:ind w:left="3296" w:hanging="492"/>
      </w:pPr>
      <w:rPr>
        <w:rFonts w:hint="default"/>
        <w:lang w:val="en-US" w:eastAsia="en-US" w:bidi="ar-SA"/>
      </w:rPr>
    </w:lvl>
    <w:lvl w:ilvl="2">
      <w:start w:val="0"/>
      <w:numFmt w:val="bullet"/>
      <w:lvlText w:val="•"/>
      <w:lvlJc w:val="left"/>
      <w:pPr>
        <w:ind w:left="4173" w:hanging="492"/>
      </w:pPr>
      <w:rPr>
        <w:rFonts w:hint="default"/>
        <w:lang w:val="en-US" w:eastAsia="en-US" w:bidi="ar-SA"/>
      </w:rPr>
    </w:lvl>
    <w:lvl w:ilvl="3">
      <w:start w:val="0"/>
      <w:numFmt w:val="bullet"/>
      <w:lvlText w:val="•"/>
      <w:lvlJc w:val="left"/>
      <w:pPr>
        <w:ind w:left="5049" w:hanging="492"/>
      </w:pPr>
      <w:rPr>
        <w:rFonts w:hint="default"/>
        <w:lang w:val="en-US" w:eastAsia="en-US" w:bidi="ar-SA"/>
      </w:rPr>
    </w:lvl>
    <w:lvl w:ilvl="4">
      <w:start w:val="0"/>
      <w:numFmt w:val="bullet"/>
      <w:lvlText w:val="•"/>
      <w:lvlJc w:val="left"/>
      <w:pPr>
        <w:ind w:left="5926" w:hanging="492"/>
      </w:pPr>
      <w:rPr>
        <w:rFonts w:hint="default"/>
        <w:lang w:val="en-US" w:eastAsia="en-US" w:bidi="ar-SA"/>
      </w:rPr>
    </w:lvl>
    <w:lvl w:ilvl="5">
      <w:start w:val="0"/>
      <w:numFmt w:val="bullet"/>
      <w:lvlText w:val="•"/>
      <w:lvlJc w:val="left"/>
      <w:pPr>
        <w:ind w:left="6803" w:hanging="492"/>
      </w:pPr>
      <w:rPr>
        <w:rFonts w:hint="default"/>
        <w:lang w:val="en-US" w:eastAsia="en-US" w:bidi="ar-SA"/>
      </w:rPr>
    </w:lvl>
    <w:lvl w:ilvl="6">
      <w:start w:val="0"/>
      <w:numFmt w:val="bullet"/>
      <w:lvlText w:val="•"/>
      <w:lvlJc w:val="left"/>
      <w:pPr>
        <w:ind w:left="7679" w:hanging="492"/>
      </w:pPr>
      <w:rPr>
        <w:rFonts w:hint="default"/>
        <w:lang w:val="en-US" w:eastAsia="en-US" w:bidi="ar-SA"/>
      </w:rPr>
    </w:lvl>
    <w:lvl w:ilvl="7">
      <w:start w:val="0"/>
      <w:numFmt w:val="bullet"/>
      <w:lvlText w:val="•"/>
      <w:lvlJc w:val="left"/>
      <w:pPr>
        <w:ind w:left="8556" w:hanging="492"/>
      </w:pPr>
      <w:rPr>
        <w:rFonts w:hint="default"/>
        <w:lang w:val="en-US" w:eastAsia="en-US" w:bidi="ar-SA"/>
      </w:rPr>
    </w:lvl>
    <w:lvl w:ilvl="8">
      <w:start w:val="0"/>
      <w:numFmt w:val="bullet"/>
      <w:lvlText w:val="•"/>
      <w:lvlJc w:val="left"/>
      <w:pPr>
        <w:ind w:left="9433" w:hanging="492"/>
      </w:pPr>
      <w:rPr>
        <w:rFonts w:hint="default"/>
        <w:lang w:val="en-US" w:eastAsia="en-US" w:bidi="ar-SA"/>
      </w:rPr>
    </w:lvl>
  </w:abstractNum>
  <w:abstractNum w:abstractNumId="144">
    <w:multiLevelType w:val="hybridMultilevel"/>
    <w:lvl w:ilvl="0">
      <w:start w:val="1"/>
      <w:numFmt w:val="decimal"/>
      <w:lvlText w:val="%1."/>
      <w:lvlJc w:val="left"/>
      <w:pPr>
        <w:ind w:left="2410" w:hanging="44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296" w:hanging="447"/>
      </w:pPr>
      <w:rPr>
        <w:rFonts w:hint="default"/>
        <w:lang w:val="en-US" w:eastAsia="en-US" w:bidi="ar-SA"/>
      </w:rPr>
    </w:lvl>
    <w:lvl w:ilvl="2">
      <w:start w:val="0"/>
      <w:numFmt w:val="bullet"/>
      <w:lvlText w:val="•"/>
      <w:lvlJc w:val="left"/>
      <w:pPr>
        <w:ind w:left="4173" w:hanging="447"/>
      </w:pPr>
      <w:rPr>
        <w:rFonts w:hint="default"/>
        <w:lang w:val="en-US" w:eastAsia="en-US" w:bidi="ar-SA"/>
      </w:rPr>
    </w:lvl>
    <w:lvl w:ilvl="3">
      <w:start w:val="0"/>
      <w:numFmt w:val="bullet"/>
      <w:lvlText w:val="•"/>
      <w:lvlJc w:val="left"/>
      <w:pPr>
        <w:ind w:left="5049" w:hanging="447"/>
      </w:pPr>
      <w:rPr>
        <w:rFonts w:hint="default"/>
        <w:lang w:val="en-US" w:eastAsia="en-US" w:bidi="ar-SA"/>
      </w:rPr>
    </w:lvl>
    <w:lvl w:ilvl="4">
      <w:start w:val="0"/>
      <w:numFmt w:val="bullet"/>
      <w:lvlText w:val="•"/>
      <w:lvlJc w:val="left"/>
      <w:pPr>
        <w:ind w:left="5926" w:hanging="447"/>
      </w:pPr>
      <w:rPr>
        <w:rFonts w:hint="default"/>
        <w:lang w:val="en-US" w:eastAsia="en-US" w:bidi="ar-SA"/>
      </w:rPr>
    </w:lvl>
    <w:lvl w:ilvl="5">
      <w:start w:val="0"/>
      <w:numFmt w:val="bullet"/>
      <w:lvlText w:val="•"/>
      <w:lvlJc w:val="left"/>
      <w:pPr>
        <w:ind w:left="6803" w:hanging="447"/>
      </w:pPr>
      <w:rPr>
        <w:rFonts w:hint="default"/>
        <w:lang w:val="en-US" w:eastAsia="en-US" w:bidi="ar-SA"/>
      </w:rPr>
    </w:lvl>
    <w:lvl w:ilvl="6">
      <w:start w:val="0"/>
      <w:numFmt w:val="bullet"/>
      <w:lvlText w:val="•"/>
      <w:lvlJc w:val="left"/>
      <w:pPr>
        <w:ind w:left="7679" w:hanging="447"/>
      </w:pPr>
      <w:rPr>
        <w:rFonts w:hint="default"/>
        <w:lang w:val="en-US" w:eastAsia="en-US" w:bidi="ar-SA"/>
      </w:rPr>
    </w:lvl>
    <w:lvl w:ilvl="7">
      <w:start w:val="0"/>
      <w:numFmt w:val="bullet"/>
      <w:lvlText w:val="•"/>
      <w:lvlJc w:val="left"/>
      <w:pPr>
        <w:ind w:left="8556" w:hanging="447"/>
      </w:pPr>
      <w:rPr>
        <w:rFonts w:hint="default"/>
        <w:lang w:val="en-US" w:eastAsia="en-US" w:bidi="ar-SA"/>
      </w:rPr>
    </w:lvl>
    <w:lvl w:ilvl="8">
      <w:start w:val="0"/>
      <w:numFmt w:val="bullet"/>
      <w:lvlText w:val="•"/>
      <w:lvlJc w:val="left"/>
      <w:pPr>
        <w:ind w:left="9433" w:hanging="447"/>
      </w:pPr>
      <w:rPr>
        <w:rFonts w:hint="default"/>
        <w:lang w:val="en-US" w:eastAsia="en-US" w:bidi="ar-SA"/>
      </w:rPr>
    </w:lvl>
  </w:abstractNum>
  <w:abstractNum w:abstractNumId="143">
    <w:multiLevelType w:val="hybridMultilevel"/>
    <w:lvl w:ilvl="0">
      <w:start w:val="10"/>
      <w:numFmt w:val="decimal"/>
      <w:lvlText w:val="%1)"/>
      <w:lvlJc w:val="left"/>
      <w:pPr>
        <w:ind w:left="2513" w:hanging="557"/>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386" w:hanging="557"/>
      </w:pPr>
      <w:rPr>
        <w:rFonts w:hint="default"/>
        <w:lang w:val="en-US" w:eastAsia="en-US" w:bidi="ar-SA"/>
      </w:rPr>
    </w:lvl>
    <w:lvl w:ilvl="2">
      <w:start w:val="0"/>
      <w:numFmt w:val="bullet"/>
      <w:lvlText w:val="•"/>
      <w:lvlJc w:val="left"/>
      <w:pPr>
        <w:ind w:left="4253" w:hanging="557"/>
      </w:pPr>
      <w:rPr>
        <w:rFonts w:hint="default"/>
        <w:lang w:val="en-US" w:eastAsia="en-US" w:bidi="ar-SA"/>
      </w:rPr>
    </w:lvl>
    <w:lvl w:ilvl="3">
      <w:start w:val="0"/>
      <w:numFmt w:val="bullet"/>
      <w:lvlText w:val="•"/>
      <w:lvlJc w:val="left"/>
      <w:pPr>
        <w:ind w:left="5119" w:hanging="557"/>
      </w:pPr>
      <w:rPr>
        <w:rFonts w:hint="default"/>
        <w:lang w:val="en-US" w:eastAsia="en-US" w:bidi="ar-SA"/>
      </w:rPr>
    </w:lvl>
    <w:lvl w:ilvl="4">
      <w:start w:val="0"/>
      <w:numFmt w:val="bullet"/>
      <w:lvlText w:val="•"/>
      <w:lvlJc w:val="left"/>
      <w:pPr>
        <w:ind w:left="5986" w:hanging="557"/>
      </w:pPr>
      <w:rPr>
        <w:rFonts w:hint="default"/>
        <w:lang w:val="en-US" w:eastAsia="en-US" w:bidi="ar-SA"/>
      </w:rPr>
    </w:lvl>
    <w:lvl w:ilvl="5">
      <w:start w:val="0"/>
      <w:numFmt w:val="bullet"/>
      <w:lvlText w:val="•"/>
      <w:lvlJc w:val="left"/>
      <w:pPr>
        <w:ind w:left="6853" w:hanging="557"/>
      </w:pPr>
      <w:rPr>
        <w:rFonts w:hint="default"/>
        <w:lang w:val="en-US" w:eastAsia="en-US" w:bidi="ar-SA"/>
      </w:rPr>
    </w:lvl>
    <w:lvl w:ilvl="6">
      <w:start w:val="0"/>
      <w:numFmt w:val="bullet"/>
      <w:lvlText w:val="•"/>
      <w:lvlJc w:val="left"/>
      <w:pPr>
        <w:ind w:left="7719" w:hanging="557"/>
      </w:pPr>
      <w:rPr>
        <w:rFonts w:hint="default"/>
        <w:lang w:val="en-US" w:eastAsia="en-US" w:bidi="ar-SA"/>
      </w:rPr>
    </w:lvl>
    <w:lvl w:ilvl="7">
      <w:start w:val="0"/>
      <w:numFmt w:val="bullet"/>
      <w:lvlText w:val="•"/>
      <w:lvlJc w:val="left"/>
      <w:pPr>
        <w:ind w:left="8586" w:hanging="557"/>
      </w:pPr>
      <w:rPr>
        <w:rFonts w:hint="default"/>
        <w:lang w:val="en-US" w:eastAsia="en-US" w:bidi="ar-SA"/>
      </w:rPr>
    </w:lvl>
    <w:lvl w:ilvl="8">
      <w:start w:val="0"/>
      <w:numFmt w:val="bullet"/>
      <w:lvlText w:val="•"/>
      <w:lvlJc w:val="left"/>
      <w:pPr>
        <w:ind w:left="9453" w:hanging="557"/>
      </w:pPr>
      <w:rPr>
        <w:rFonts w:hint="default"/>
        <w:lang w:val="en-US" w:eastAsia="en-US" w:bidi="ar-SA"/>
      </w:rPr>
    </w:lvl>
  </w:abstractNum>
  <w:abstractNum w:abstractNumId="142">
    <w:multiLevelType w:val="hybridMultilevel"/>
    <w:lvl w:ilvl="0">
      <w:start w:val="1"/>
      <w:numFmt w:val="lowerRoman"/>
      <w:lvlText w:val="(%1)"/>
      <w:lvlJc w:val="left"/>
      <w:pPr>
        <w:ind w:left="2422" w:hanging="32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296" w:hanging="324"/>
      </w:pPr>
      <w:rPr>
        <w:rFonts w:hint="default"/>
        <w:lang w:val="en-US" w:eastAsia="en-US" w:bidi="ar-SA"/>
      </w:rPr>
    </w:lvl>
    <w:lvl w:ilvl="2">
      <w:start w:val="0"/>
      <w:numFmt w:val="bullet"/>
      <w:lvlText w:val="•"/>
      <w:lvlJc w:val="left"/>
      <w:pPr>
        <w:ind w:left="4173" w:hanging="324"/>
      </w:pPr>
      <w:rPr>
        <w:rFonts w:hint="default"/>
        <w:lang w:val="en-US" w:eastAsia="en-US" w:bidi="ar-SA"/>
      </w:rPr>
    </w:lvl>
    <w:lvl w:ilvl="3">
      <w:start w:val="0"/>
      <w:numFmt w:val="bullet"/>
      <w:lvlText w:val="•"/>
      <w:lvlJc w:val="left"/>
      <w:pPr>
        <w:ind w:left="5049" w:hanging="324"/>
      </w:pPr>
      <w:rPr>
        <w:rFonts w:hint="default"/>
        <w:lang w:val="en-US" w:eastAsia="en-US" w:bidi="ar-SA"/>
      </w:rPr>
    </w:lvl>
    <w:lvl w:ilvl="4">
      <w:start w:val="0"/>
      <w:numFmt w:val="bullet"/>
      <w:lvlText w:val="•"/>
      <w:lvlJc w:val="left"/>
      <w:pPr>
        <w:ind w:left="5926" w:hanging="324"/>
      </w:pPr>
      <w:rPr>
        <w:rFonts w:hint="default"/>
        <w:lang w:val="en-US" w:eastAsia="en-US" w:bidi="ar-SA"/>
      </w:rPr>
    </w:lvl>
    <w:lvl w:ilvl="5">
      <w:start w:val="0"/>
      <w:numFmt w:val="bullet"/>
      <w:lvlText w:val="•"/>
      <w:lvlJc w:val="left"/>
      <w:pPr>
        <w:ind w:left="6803" w:hanging="324"/>
      </w:pPr>
      <w:rPr>
        <w:rFonts w:hint="default"/>
        <w:lang w:val="en-US" w:eastAsia="en-US" w:bidi="ar-SA"/>
      </w:rPr>
    </w:lvl>
    <w:lvl w:ilvl="6">
      <w:start w:val="0"/>
      <w:numFmt w:val="bullet"/>
      <w:lvlText w:val="•"/>
      <w:lvlJc w:val="left"/>
      <w:pPr>
        <w:ind w:left="7679" w:hanging="324"/>
      </w:pPr>
      <w:rPr>
        <w:rFonts w:hint="default"/>
        <w:lang w:val="en-US" w:eastAsia="en-US" w:bidi="ar-SA"/>
      </w:rPr>
    </w:lvl>
    <w:lvl w:ilvl="7">
      <w:start w:val="0"/>
      <w:numFmt w:val="bullet"/>
      <w:lvlText w:val="•"/>
      <w:lvlJc w:val="left"/>
      <w:pPr>
        <w:ind w:left="8556" w:hanging="324"/>
      </w:pPr>
      <w:rPr>
        <w:rFonts w:hint="default"/>
        <w:lang w:val="en-US" w:eastAsia="en-US" w:bidi="ar-SA"/>
      </w:rPr>
    </w:lvl>
    <w:lvl w:ilvl="8">
      <w:start w:val="0"/>
      <w:numFmt w:val="bullet"/>
      <w:lvlText w:val="•"/>
      <w:lvlJc w:val="left"/>
      <w:pPr>
        <w:ind w:left="9433" w:hanging="324"/>
      </w:pPr>
      <w:rPr>
        <w:rFonts w:hint="default"/>
        <w:lang w:val="en-US" w:eastAsia="en-US" w:bidi="ar-SA"/>
      </w:rPr>
    </w:lvl>
  </w:abstractNum>
  <w:abstractNum w:abstractNumId="141">
    <w:multiLevelType w:val="hybridMultilevel"/>
    <w:lvl w:ilvl="0">
      <w:start w:val="1"/>
      <w:numFmt w:val="upperLetter"/>
      <w:lvlText w:val="%1)"/>
      <w:lvlJc w:val="left"/>
      <w:pPr>
        <w:ind w:left="2676" w:hanging="34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2335" w:hanging="39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Letter"/>
      <w:lvlText w:val="(%3)"/>
      <w:lvlJc w:val="left"/>
      <w:pPr>
        <w:ind w:left="2335" w:hanging="46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1"/>
      <w:numFmt w:val="lowerLetter"/>
      <w:lvlText w:val="(%4)"/>
      <w:lvlJc w:val="left"/>
      <w:pPr>
        <w:ind w:left="2618" w:hanging="884"/>
        <w:jc w:val="right"/>
      </w:pPr>
      <w:rPr>
        <w:rFonts w:hint="default"/>
        <w:spacing w:val="0"/>
        <w:w w:val="99"/>
        <w:lang w:val="en-US" w:eastAsia="en-US" w:bidi="ar-SA"/>
      </w:rPr>
    </w:lvl>
    <w:lvl w:ilvl="4">
      <w:start w:val="0"/>
      <w:numFmt w:val="bullet"/>
      <w:lvlText w:val="•"/>
      <w:lvlJc w:val="left"/>
      <w:pPr>
        <w:ind w:left="4806" w:hanging="884"/>
      </w:pPr>
      <w:rPr>
        <w:rFonts w:hint="default"/>
        <w:lang w:val="en-US" w:eastAsia="en-US" w:bidi="ar-SA"/>
      </w:rPr>
    </w:lvl>
    <w:lvl w:ilvl="5">
      <w:start w:val="0"/>
      <w:numFmt w:val="bullet"/>
      <w:lvlText w:val="•"/>
      <w:lvlJc w:val="left"/>
      <w:pPr>
        <w:ind w:left="5869" w:hanging="884"/>
      </w:pPr>
      <w:rPr>
        <w:rFonts w:hint="default"/>
        <w:lang w:val="en-US" w:eastAsia="en-US" w:bidi="ar-SA"/>
      </w:rPr>
    </w:lvl>
    <w:lvl w:ilvl="6">
      <w:start w:val="0"/>
      <w:numFmt w:val="bullet"/>
      <w:lvlText w:val="•"/>
      <w:lvlJc w:val="left"/>
      <w:pPr>
        <w:ind w:left="6933" w:hanging="884"/>
      </w:pPr>
      <w:rPr>
        <w:rFonts w:hint="default"/>
        <w:lang w:val="en-US" w:eastAsia="en-US" w:bidi="ar-SA"/>
      </w:rPr>
    </w:lvl>
    <w:lvl w:ilvl="7">
      <w:start w:val="0"/>
      <w:numFmt w:val="bullet"/>
      <w:lvlText w:val="•"/>
      <w:lvlJc w:val="left"/>
      <w:pPr>
        <w:ind w:left="7996" w:hanging="884"/>
      </w:pPr>
      <w:rPr>
        <w:rFonts w:hint="default"/>
        <w:lang w:val="en-US" w:eastAsia="en-US" w:bidi="ar-SA"/>
      </w:rPr>
    </w:lvl>
    <w:lvl w:ilvl="8">
      <w:start w:val="0"/>
      <w:numFmt w:val="bullet"/>
      <w:lvlText w:val="•"/>
      <w:lvlJc w:val="left"/>
      <w:pPr>
        <w:ind w:left="9059" w:hanging="884"/>
      </w:pPr>
      <w:rPr>
        <w:rFonts w:hint="default"/>
        <w:lang w:val="en-US" w:eastAsia="en-US" w:bidi="ar-SA"/>
      </w:rPr>
    </w:lvl>
  </w:abstractNum>
  <w:abstractNum w:abstractNumId="140">
    <w:multiLevelType w:val="hybridMultilevel"/>
    <w:lvl w:ilvl="0">
      <w:start w:val="2"/>
      <w:numFmt w:val="upperRoman"/>
      <w:lvlText w:val="(%1)"/>
      <w:lvlJc w:val="left"/>
      <w:pPr>
        <w:ind w:left="2050" w:hanging="42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2)"/>
      <w:lvlJc w:val="left"/>
      <w:pPr>
        <w:ind w:left="2335" w:hanging="310"/>
        <w:jc w:val="right"/>
      </w:pPr>
      <w:rPr>
        <w:rFonts w:hint="default" w:ascii="Bookman Old Style" w:hAnsi="Bookman Old Style" w:eastAsia="Bookman Old Style" w:cs="Bookman Old Style"/>
        <w:b w:val="0"/>
        <w:bCs w:val="0"/>
        <w:i w:val="0"/>
        <w:iCs w:val="0"/>
        <w:spacing w:val="0"/>
        <w:w w:val="94"/>
        <w:sz w:val="24"/>
        <w:szCs w:val="24"/>
        <w:lang w:val="en-US" w:eastAsia="en-US" w:bidi="ar-SA"/>
      </w:rPr>
    </w:lvl>
    <w:lvl w:ilvl="2">
      <w:start w:val="1"/>
      <w:numFmt w:val="decimal"/>
      <w:lvlText w:val="%2.%3"/>
      <w:lvlJc w:val="left"/>
      <w:pPr>
        <w:ind w:left="2335" w:hanging="60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4305" w:hanging="600"/>
      </w:pPr>
      <w:rPr>
        <w:rFonts w:hint="default"/>
        <w:lang w:val="en-US" w:eastAsia="en-US" w:bidi="ar-SA"/>
      </w:rPr>
    </w:lvl>
    <w:lvl w:ilvl="4">
      <w:start w:val="0"/>
      <w:numFmt w:val="bullet"/>
      <w:lvlText w:val="•"/>
      <w:lvlJc w:val="left"/>
      <w:pPr>
        <w:ind w:left="5288" w:hanging="600"/>
      </w:pPr>
      <w:rPr>
        <w:rFonts w:hint="default"/>
        <w:lang w:val="en-US" w:eastAsia="en-US" w:bidi="ar-SA"/>
      </w:rPr>
    </w:lvl>
    <w:lvl w:ilvl="5">
      <w:start w:val="0"/>
      <w:numFmt w:val="bullet"/>
      <w:lvlText w:val="•"/>
      <w:lvlJc w:val="left"/>
      <w:pPr>
        <w:ind w:left="6271" w:hanging="600"/>
      </w:pPr>
      <w:rPr>
        <w:rFonts w:hint="default"/>
        <w:lang w:val="en-US" w:eastAsia="en-US" w:bidi="ar-SA"/>
      </w:rPr>
    </w:lvl>
    <w:lvl w:ilvl="6">
      <w:start w:val="0"/>
      <w:numFmt w:val="bullet"/>
      <w:lvlText w:val="•"/>
      <w:lvlJc w:val="left"/>
      <w:pPr>
        <w:ind w:left="7254" w:hanging="600"/>
      </w:pPr>
      <w:rPr>
        <w:rFonts w:hint="default"/>
        <w:lang w:val="en-US" w:eastAsia="en-US" w:bidi="ar-SA"/>
      </w:rPr>
    </w:lvl>
    <w:lvl w:ilvl="7">
      <w:start w:val="0"/>
      <w:numFmt w:val="bullet"/>
      <w:lvlText w:val="•"/>
      <w:lvlJc w:val="left"/>
      <w:pPr>
        <w:ind w:left="8237" w:hanging="600"/>
      </w:pPr>
      <w:rPr>
        <w:rFonts w:hint="default"/>
        <w:lang w:val="en-US" w:eastAsia="en-US" w:bidi="ar-SA"/>
      </w:rPr>
    </w:lvl>
    <w:lvl w:ilvl="8">
      <w:start w:val="0"/>
      <w:numFmt w:val="bullet"/>
      <w:lvlText w:val="•"/>
      <w:lvlJc w:val="left"/>
      <w:pPr>
        <w:ind w:left="9220" w:hanging="600"/>
      </w:pPr>
      <w:rPr>
        <w:rFonts w:hint="default"/>
        <w:lang w:val="en-US" w:eastAsia="en-US" w:bidi="ar-SA"/>
      </w:rPr>
    </w:lvl>
  </w:abstractNum>
  <w:abstractNum w:abstractNumId="139">
    <w:multiLevelType w:val="hybridMultilevel"/>
    <w:lvl w:ilvl="0">
      <w:start w:val="1"/>
      <w:numFmt w:val="lowerRoman"/>
      <w:lvlText w:val="%1."/>
      <w:lvlJc w:val="left"/>
      <w:pPr>
        <w:ind w:left="2602" w:hanging="348"/>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2)"/>
      <w:lvlJc w:val="left"/>
      <w:pPr>
        <w:ind w:left="2062" w:hanging="41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554" w:hanging="416"/>
      </w:pPr>
      <w:rPr>
        <w:rFonts w:hint="default"/>
        <w:lang w:val="en-US" w:eastAsia="en-US" w:bidi="ar-SA"/>
      </w:rPr>
    </w:lvl>
    <w:lvl w:ilvl="3">
      <w:start w:val="0"/>
      <w:numFmt w:val="bullet"/>
      <w:lvlText w:val="•"/>
      <w:lvlJc w:val="left"/>
      <w:pPr>
        <w:ind w:left="4508" w:hanging="416"/>
      </w:pPr>
      <w:rPr>
        <w:rFonts w:hint="default"/>
        <w:lang w:val="en-US" w:eastAsia="en-US" w:bidi="ar-SA"/>
      </w:rPr>
    </w:lvl>
    <w:lvl w:ilvl="4">
      <w:start w:val="0"/>
      <w:numFmt w:val="bullet"/>
      <w:lvlText w:val="•"/>
      <w:lvlJc w:val="left"/>
      <w:pPr>
        <w:ind w:left="5462" w:hanging="416"/>
      </w:pPr>
      <w:rPr>
        <w:rFonts w:hint="default"/>
        <w:lang w:val="en-US" w:eastAsia="en-US" w:bidi="ar-SA"/>
      </w:rPr>
    </w:lvl>
    <w:lvl w:ilvl="5">
      <w:start w:val="0"/>
      <w:numFmt w:val="bullet"/>
      <w:lvlText w:val="•"/>
      <w:lvlJc w:val="left"/>
      <w:pPr>
        <w:ind w:left="6416" w:hanging="416"/>
      </w:pPr>
      <w:rPr>
        <w:rFonts w:hint="default"/>
        <w:lang w:val="en-US" w:eastAsia="en-US" w:bidi="ar-SA"/>
      </w:rPr>
    </w:lvl>
    <w:lvl w:ilvl="6">
      <w:start w:val="0"/>
      <w:numFmt w:val="bullet"/>
      <w:lvlText w:val="•"/>
      <w:lvlJc w:val="left"/>
      <w:pPr>
        <w:ind w:left="7370" w:hanging="416"/>
      </w:pPr>
      <w:rPr>
        <w:rFonts w:hint="default"/>
        <w:lang w:val="en-US" w:eastAsia="en-US" w:bidi="ar-SA"/>
      </w:rPr>
    </w:lvl>
    <w:lvl w:ilvl="7">
      <w:start w:val="0"/>
      <w:numFmt w:val="bullet"/>
      <w:lvlText w:val="•"/>
      <w:lvlJc w:val="left"/>
      <w:pPr>
        <w:ind w:left="8324" w:hanging="416"/>
      </w:pPr>
      <w:rPr>
        <w:rFonts w:hint="default"/>
        <w:lang w:val="en-US" w:eastAsia="en-US" w:bidi="ar-SA"/>
      </w:rPr>
    </w:lvl>
    <w:lvl w:ilvl="8">
      <w:start w:val="0"/>
      <w:numFmt w:val="bullet"/>
      <w:lvlText w:val="•"/>
      <w:lvlJc w:val="left"/>
      <w:pPr>
        <w:ind w:left="9278" w:hanging="416"/>
      </w:pPr>
      <w:rPr>
        <w:rFonts w:hint="default"/>
        <w:lang w:val="en-US" w:eastAsia="en-US" w:bidi="ar-SA"/>
      </w:rPr>
    </w:lvl>
  </w:abstractNum>
  <w:abstractNum w:abstractNumId="137">
    <w:multiLevelType w:val="hybridMultilevel"/>
    <w:lvl w:ilvl="0">
      <w:start w:val="1"/>
      <w:numFmt w:val="decimal"/>
      <w:lvlText w:val="%1."/>
      <w:lvlJc w:val="left"/>
      <w:pPr>
        <w:ind w:left="2782" w:hanging="360"/>
        <w:jc w:val="right"/>
      </w:pPr>
      <w:rPr>
        <w:rFonts w:hint="default"/>
        <w:spacing w:val="0"/>
        <w:w w:val="90"/>
        <w:lang w:val="en-US" w:eastAsia="en-US" w:bidi="ar-SA"/>
      </w:rPr>
    </w:lvl>
    <w:lvl w:ilvl="1">
      <w:start w:val="1"/>
      <w:numFmt w:val="decimal"/>
      <w:lvlText w:val="%1.%2"/>
      <w:lvlJc w:val="left"/>
      <w:pPr>
        <w:ind w:left="2062" w:hanging="629"/>
        <w:jc w:val="left"/>
      </w:pPr>
      <w:rPr>
        <w:rFonts w:hint="default" w:ascii="Bookman Old Style" w:hAnsi="Bookman Old Style" w:eastAsia="Bookman Old Style" w:cs="Bookman Old Style"/>
        <w:b w:val="0"/>
        <w:bCs w:val="0"/>
        <w:i w:val="0"/>
        <w:iCs w:val="0"/>
        <w:spacing w:val="-1"/>
        <w:w w:val="97"/>
        <w:sz w:val="24"/>
        <w:szCs w:val="24"/>
        <w:lang w:val="en-US" w:eastAsia="en-US" w:bidi="ar-SA"/>
      </w:rPr>
    </w:lvl>
    <w:lvl w:ilvl="2">
      <w:start w:val="0"/>
      <w:numFmt w:val="bullet"/>
      <w:lvlText w:val="•"/>
      <w:lvlJc w:val="left"/>
      <w:pPr>
        <w:ind w:left="3714" w:hanging="629"/>
      </w:pPr>
      <w:rPr>
        <w:rFonts w:hint="default"/>
        <w:lang w:val="en-US" w:eastAsia="en-US" w:bidi="ar-SA"/>
      </w:rPr>
    </w:lvl>
    <w:lvl w:ilvl="3">
      <w:start w:val="0"/>
      <w:numFmt w:val="bullet"/>
      <w:lvlText w:val="•"/>
      <w:lvlJc w:val="left"/>
      <w:pPr>
        <w:ind w:left="4648" w:hanging="629"/>
      </w:pPr>
      <w:rPr>
        <w:rFonts w:hint="default"/>
        <w:lang w:val="en-US" w:eastAsia="en-US" w:bidi="ar-SA"/>
      </w:rPr>
    </w:lvl>
    <w:lvl w:ilvl="4">
      <w:start w:val="0"/>
      <w:numFmt w:val="bullet"/>
      <w:lvlText w:val="•"/>
      <w:lvlJc w:val="left"/>
      <w:pPr>
        <w:ind w:left="5582" w:hanging="629"/>
      </w:pPr>
      <w:rPr>
        <w:rFonts w:hint="default"/>
        <w:lang w:val="en-US" w:eastAsia="en-US" w:bidi="ar-SA"/>
      </w:rPr>
    </w:lvl>
    <w:lvl w:ilvl="5">
      <w:start w:val="0"/>
      <w:numFmt w:val="bullet"/>
      <w:lvlText w:val="•"/>
      <w:lvlJc w:val="left"/>
      <w:pPr>
        <w:ind w:left="6516" w:hanging="629"/>
      </w:pPr>
      <w:rPr>
        <w:rFonts w:hint="default"/>
        <w:lang w:val="en-US" w:eastAsia="en-US" w:bidi="ar-SA"/>
      </w:rPr>
    </w:lvl>
    <w:lvl w:ilvl="6">
      <w:start w:val="0"/>
      <w:numFmt w:val="bullet"/>
      <w:lvlText w:val="•"/>
      <w:lvlJc w:val="left"/>
      <w:pPr>
        <w:ind w:left="7450" w:hanging="629"/>
      </w:pPr>
      <w:rPr>
        <w:rFonts w:hint="default"/>
        <w:lang w:val="en-US" w:eastAsia="en-US" w:bidi="ar-SA"/>
      </w:rPr>
    </w:lvl>
    <w:lvl w:ilvl="7">
      <w:start w:val="0"/>
      <w:numFmt w:val="bullet"/>
      <w:lvlText w:val="•"/>
      <w:lvlJc w:val="left"/>
      <w:pPr>
        <w:ind w:left="8384" w:hanging="629"/>
      </w:pPr>
      <w:rPr>
        <w:rFonts w:hint="default"/>
        <w:lang w:val="en-US" w:eastAsia="en-US" w:bidi="ar-SA"/>
      </w:rPr>
    </w:lvl>
    <w:lvl w:ilvl="8">
      <w:start w:val="0"/>
      <w:numFmt w:val="bullet"/>
      <w:lvlText w:val="•"/>
      <w:lvlJc w:val="left"/>
      <w:pPr>
        <w:ind w:left="9318" w:hanging="629"/>
      </w:pPr>
      <w:rPr>
        <w:rFonts w:hint="default"/>
        <w:lang w:val="en-US" w:eastAsia="en-US" w:bidi="ar-SA"/>
      </w:rPr>
    </w:lvl>
  </w:abstractNum>
  <w:abstractNum w:abstractNumId="136">
    <w:multiLevelType w:val="hybridMultilevel"/>
    <w:lvl w:ilvl="0">
      <w:start w:val="1"/>
      <w:numFmt w:val="lowerRoman"/>
      <w:lvlText w:val="(%1)"/>
      <w:lvlJc w:val="left"/>
      <w:pPr>
        <w:ind w:left="2422" w:hanging="48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2"/>
      <w:numFmt w:val="lowerLetter"/>
      <w:lvlText w:val="(%2)"/>
      <w:lvlJc w:val="left"/>
      <w:pPr>
        <w:ind w:left="2513" w:hanging="5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482" w:hanging="520"/>
      </w:pPr>
      <w:rPr>
        <w:rFonts w:hint="default"/>
        <w:lang w:val="en-US" w:eastAsia="en-US" w:bidi="ar-SA"/>
      </w:rPr>
    </w:lvl>
    <w:lvl w:ilvl="3">
      <w:start w:val="0"/>
      <w:numFmt w:val="bullet"/>
      <w:lvlText w:val="•"/>
      <w:lvlJc w:val="left"/>
      <w:pPr>
        <w:ind w:left="4445" w:hanging="520"/>
      </w:pPr>
      <w:rPr>
        <w:rFonts w:hint="default"/>
        <w:lang w:val="en-US" w:eastAsia="en-US" w:bidi="ar-SA"/>
      </w:rPr>
    </w:lvl>
    <w:lvl w:ilvl="4">
      <w:start w:val="0"/>
      <w:numFmt w:val="bullet"/>
      <w:lvlText w:val="•"/>
      <w:lvlJc w:val="left"/>
      <w:pPr>
        <w:ind w:left="5408" w:hanging="520"/>
      </w:pPr>
      <w:rPr>
        <w:rFonts w:hint="default"/>
        <w:lang w:val="en-US" w:eastAsia="en-US" w:bidi="ar-SA"/>
      </w:rPr>
    </w:lvl>
    <w:lvl w:ilvl="5">
      <w:start w:val="0"/>
      <w:numFmt w:val="bullet"/>
      <w:lvlText w:val="•"/>
      <w:lvlJc w:val="left"/>
      <w:pPr>
        <w:ind w:left="6371" w:hanging="520"/>
      </w:pPr>
      <w:rPr>
        <w:rFonts w:hint="default"/>
        <w:lang w:val="en-US" w:eastAsia="en-US" w:bidi="ar-SA"/>
      </w:rPr>
    </w:lvl>
    <w:lvl w:ilvl="6">
      <w:start w:val="0"/>
      <w:numFmt w:val="bullet"/>
      <w:lvlText w:val="•"/>
      <w:lvlJc w:val="left"/>
      <w:pPr>
        <w:ind w:left="7334" w:hanging="520"/>
      </w:pPr>
      <w:rPr>
        <w:rFonts w:hint="default"/>
        <w:lang w:val="en-US" w:eastAsia="en-US" w:bidi="ar-SA"/>
      </w:rPr>
    </w:lvl>
    <w:lvl w:ilvl="7">
      <w:start w:val="0"/>
      <w:numFmt w:val="bullet"/>
      <w:lvlText w:val="•"/>
      <w:lvlJc w:val="left"/>
      <w:pPr>
        <w:ind w:left="8297" w:hanging="520"/>
      </w:pPr>
      <w:rPr>
        <w:rFonts w:hint="default"/>
        <w:lang w:val="en-US" w:eastAsia="en-US" w:bidi="ar-SA"/>
      </w:rPr>
    </w:lvl>
    <w:lvl w:ilvl="8">
      <w:start w:val="0"/>
      <w:numFmt w:val="bullet"/>
      <w:lvlText w:val="•"/>
      <w:lvlJc w:val="left"/>
      <w:pPr>
        <w:ind w:left="9260" w:hanging="520"/>
      </w:pPr>
      <w:rPr>
        <w:rFonts w:hint="default"/>
        <w:lang w:val="en-US" w:eastAsia="en-US" w:bidi="ar-SA"/>
      </w:rPr>
    </w:lvl>
  </w:abstractNum>
  <w:abstractNum w:abstractNumId="135">
    <w:multiLevelType w:val="hybridMultilevel"/>
    <w:lvl w:ilvl="0">
      <w:start w:val="1"/>
      <w:numFmt w:val="lowerLetter"/>
      <w:lvlText w:val="%1)"/>
      <w:lvlJc w:val="left"/>
      <w:pPr>
        <w:ind w:left="2194" w:hanging="577"/>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2."/>
      <w:lvlJc w:val="left"/>
      <w:pPr>
        <w:ind w:left="2422" w:hanging="242"/>
        <w:jc w:val="left"/>
      </w:pPr>
      <w:rPr>
        <w:rFonts w:hint="default"/>
        <w:spacing w:val="-1"/>
        <w:w w:val="92"/>
        <w:lang w:val="en-US" w:eastAsia="en-US" w:bidi="ar-SA"/>
      </w:rPr>
    </w:lvl>
    <w:lvl w:ilvl="2">
      <w:start w:val="2"/>
      <w:numFmt w:val="lowerRoman"/>
      <w:lvlText w:val="(%3)"/>
      <w:lvlJc w:val="left"/>
      <w:pPr>
        <w:ind w:left="2782" w:hanging="327"/>
        <w:jc w:val="left"/>
      </w:pPr>
      <w:rPr>
        <w:rFonts w:hint="default" w:ascii="Bookman Old Style" w:hAnsi="Bookman Old Style" w:eastAsia="Bookman Old Style" w:cs="Bookman Old Style"/>
        <w:b w:val="0"/>
        <w:bCs w:val="0"/>
        <w:i w:val="0"/>
        <w:iCs w:val="0"/>
        <w:spacing w:val="9"/>
        <w:w w:val="100"/>
        <w:sz w:val="22"/>
        <w:szCs w:val="22"/>
        <w:lang w:val="en-US" w:eastAsia="en-US" w:bidi="ar-SA"/>
      </w:rPr>
    </w:lvl>
    <w:lvl w:ilvl="3">
      <w:start w:val="0"/>
      <w:numFmt w:val="bullet"/>
      <w:lvlText w:val="•"/>
      <w:lvlJc w:val="left"/>
      <w:pPr>
        <w:ind w:left="3830" w:hanging="327"/>
      </w:pPr>
      <w:rPr>
        <w:rFonts w:hint="default"/>
        <w:lang w:val="en-US" w:eastAsia="en-US" w:bidi="ar-SA"/>
      </w:rPr>
    </w:lvl>
    <w:lvl w:ilvl="4">
      <w:start w:val="0"/>
      <w:numFmt w:val="bullet"/>
      <w:lvlText w:val="•"/>
      <w:lvlJc w:val="left"/>
      <w:pPr>
        <w:ind w:left="4881" w:hanging="327"/>
      </w:pPr>
      <w:rPr>
        <w:rFonts w:hint="default"/>
        <w:lang w:val="en-US" w:eastAsia="en-US" w:bidi="ar-SA"/>
      </w:rPr>
    </w:lvl>
    <w:lvl w:ilvl="5">
      <w:start w:val="0"/>
      <w:numFmt w:val="bullet"/>
      <w:lvlText w:val="•"/>
      <w:lvlJc w:val="left"/>
      <w:pPr>
        <w:ind w:left="5932" w:hanging="327"/>
      </w:pPr>
      <w:rPr>
        <w:rFonts w:hint="default"/>
        <w:lang w:val="en-US" w:eastAsia="en-US" w:bidi="ar-SA"/>
      </w:rPr>
    </w:lvl>
    <w:lvl w:ilvl="6">
      <w:start w:val="0"/>
      <w:numFmt w:val="bullet"/>
      <w:lvlText w:val="•"/>
      <w:lvlJc w:val="left"/>
      <w:pPr>
        <w:ind w:left="6983" w:hanging="327"/>
      </w:pPr>
      <w:rPr>
        <w:rFonts w:hint="default"/>
        <w:lang w:val="en-US" w:eastAsia="en-US" w:bidi="ar-SA"/>
      </w:rPr>
    </w:lvl>
    <w:lvl w:ilvl="7">
      <w:start w:val="0"/>
      <w:numFmt w:val="bullet"/>
      <w:lvlText w:val="•"/>
      <w:lvlJc w:val="left"/>
      <w:pPr>
        <w:ind w:left="8034" w:hanging="327"/>
      </w:pPr>
      <w:rPr>
        <w:rFonts w:hint="default"/>
        <w:lang w:val="en-US" w:eastAsia="en-US" w:bidi="ar-SA"/>
      </w:rPr>
    </w:lvl>
    <w:lvl w:ilvl="8">
      <w:start w:val="0"/>
      <w:numFmt w:val="bullet"/>
      <w:lvlText w:val="•"/>
      <w:lvlJc w:val="left"/>
      <w:pPr>
        <w:ind w:left="9084" w:hanging="327"/>
      </w:pPr>
      <w:rPr>
        <w:rFonts w:hint="default"/>
        <w:lang w:val="en-US" w:eastAsia="en-US" w:bidi="ar-SA"/>
      </w:rPr>
    </w:lvl>
  </w:abstractNum>
  <w:abstractNum w:abstractNumId="134">
    <w:multiLevelType w:val="hybridMultilevel"/>
    <w:lvl w:ilvl="0">
      <w:start w:val="1"/>
      <w:numFmt w:val="upperLetter"/>
      <w:lvlText w:val="(%1)"/>
      <w:lvlJc w:val="left"/>
      <w:pPr>
        <w:ind w:left="2422" w:hanging="360"/>
        <w:jc w:val="left"/>
      </w:pPr>
      <w:rPr>
        <w:rFonts w:hint="default" w:ascii="Bookman Old Style" w:hAnsi="Bookman Old Style" w:eastAsia="Bookman Old Style" w:cs="Bookman Old Style"/>
        <w:b/>
        <w:bCs/>
        <w:i w:val="0"/>
        <w:iCs w:val="0"/>
        <w:spacing w:val="9"/>
        <w:w w:val="100"/>
        <w:sz w:val="22"/>
        <w:szCs w:val="22"/>
        <w:lang w:val="en-US" w:eastAsia="en-US" w:bidi="ar-SA"/>
      </w:rPr>
    </w:lvl>
    <w:lvl w:ilvl="1">
      <w:start w:val="1"/>
      <w:numFmt w:val="lowerLetter"/>
      <w:lvlText w:val="(%2)"/>
      <w:lvlJc w:val="left"/>
      <w:pPr>
        <w:ind w:left="2422" w:hanging="312"/>
        <w:jc w:val="left"/>
      </w:pPr>
      <w:rPr>
        <w:rFonts w:hint="default" w:ascii="Bookman Old Style" w:hAnsi="Bookman Old Style" w:eastAsia="Bookman Old Style" w:cs="Bookman Old Style"/>
        <w:b w:val="0"/>
        <w:bCs w:val="0"/>
        <w:i w:val="0"/>
        <w:iCs w:val="0"/>
        <w:spacing w:val="9"/>
        <w:w w:val="100"/>
        <w:sz w:val="22"/>
        <w:szCs w:val="22"/>
        <w:lang w:val="en-US" w:eastAsia="en-US" w:bidi="ar-SA"/>
      </w:rPr>
    </w:lvl>
    <w:lvl w:ilvl="2">
      <w:start w:val="1"/>
      <w:numFmt w:val="decimal"/>
      <w:lvlText w:val="%3)"/>
      <w:lvlJc w:val="left"/>
      <w:pPr>
        <w:ind w:left="2194" w:hanging="243"/>
        <w:jc w:val="right"/>
      </w:pPr>
      <w:rPr>
        <w:rFonts w:hint="default" w:ascii="Bookman Old Style" w:hAnsi="Bookman Old Style" w:eastAsia="Bookman Old Style" w:cs="Bookman Old Style"/>
        <w:b w:val="0"/>
        <w:bCs w:val="0"/>
        <w:i w:val="0"/>
        <w:iCs w:val="0"/>
        <w:spacing w:val="9"/>
        <w:w w:val="100"/>
        <w:sz w:val="22"/>
        <w:szCs w:val="22"/>
        <w:lang w:val="en-US" w:eastAsia="en-US" w:bidi="ar-SA"/>
      </w:rPr>
    </w:lvl>
    <w:lvl w:ilvl="3">
      <w:start w:val="0"/>
      <w:numFmt w:val="bullet"/>
      <w:lvlText w:val="•"/>
      <w:lvlJc w:val="left"/>
      <w:pPr>
        <w:ind w:left="4368" w:hanging="243"/>
      </w:pPr>
      <w:rPr>
        <w:rFonts w:hint="default"/>
        <w:lang w:val="en-US" w:eastAsia="en-US" w:bidi="ar-SA"/>
      </w:rPr>
    </w:lvl>
    <w:lvl w:ilvl="4">
      <w:start w:val="0"/>
      <w:numFmt w:val="bullet"/>
      <w:lvlText w:val="•"/>
      <w:lvlJc w:val="left"/>
      <w:pPr>
        <w:ind w:left="5342" w:hanging="243"/>
      </w:pPr>
      <w:rPr>
        <w:rFonts w:hint="default"/>
        <w:lang w:val="en-US" w:eastAsia="en-US" w:bidi="ar-SA"/>
      </w:rPr>
    </w:lvl>
    <w:lvl w:ilvl="5">
      <w:start w:val="0"/>
      <w:numFmt w:val="bullet"/>
      <w:lvlText w:val="•"/>
      <w:lvlJc w:val="left"/>
      <w:pPr>
        <w:ind w:left="6316" w:hanging="243"/>
      </w:pPr>
      <w:rPr>
        <w:rFonts w:hint="default"/>
        <w:lang w:val="en-US" w:eastAsia="en-US" w:bidi="ar-SA"/>
      </w:rPr>
    </w:lvl>
    <w:lvl w:ilvl="6">
      <w:start w:val="0"/>
      <w:numFmt w:val="bullet"/>
      <w:lvlText w:val="•"/>
      <w:lvlJc w:val="left"/>
      <w:pPr>
        <w:ind w:left="7290" w:hanging="243"/>
      </w:pPr>
      <w:rPr>
        <w:rFonts w:hint="default"/>
        <w:lang w:val="en-US" w:eastAsia="en-US" w:bidi="ar-SA"/>
      </w:rPr>
    </w:lvl>
    <w:lvl w:ilvl="7">
      <w:start w:val="0"/>
      <w:numFmt w:val="bullet"/>
      <w:lvlText w:val="•"/>
      <w:lvlJc w:val="left"/>
      <w:pPr>
        <w:ind w:left="8264" w:hanging="243"/>
      </w:pPr>
      <w:rPr>
        <w:rFonts w:hint="default"/>
        <w:lang w:val="en-US" w:eastAsia="en-US" w:bidi="ar-SA"/>
      </w:rPr>
    </w:lvl>
    <w:lvl w:ilvl="8">
      <w:start w:val="0"/>
      <w:numFmt w:val="bullet"/>
      <w:lvlText w:val="•"/>
      <w:lvlJc w:val="left"/>
      <w:pPr>
        <w:ind w:left="9238" w:hanging="243"/>
      </w:pPr>
      <w:rPr>
        <w:rFonts w:hint="default"/>
        <w:lang w:val="en-US" w:eastAsia="en-US" w:bidi="ar-SA"/>
      </w:rPr>
    </w:lvl>
  </w:abstractNum>
  <w:abstractNum w:abstractNumId="132">
    <w:multiLevelType w:val="hybridMultilevel"/>
    <w:lvl w:ilvl="0">
      <w:start w:val="33"/>
      <w:numFmt w:val="decimal"/>
      <w:lvlText w:val="%1."/>
      <w:lvlJc w:val="left"/>
      <w:pPr>
        <w:ind w:left="2062" w:hanging="720"/>
        <w:jc w:val="right"/>
      </w:pPr>
      <w:rPr>
        <w:rFonts w:hint="default" w:ascii="Bookman Old Style" w:hAnsi="Bookman Old Style" w:eastAsia="Bookman Old Style" w:cs="Bookman Old Style"/>
        <w:b/>
        <w:bCs/>
        <w:i w:val="0"/>
        <w:iCs w:val="0"/>
        <w:spacing w:val="-1"/>
        <w:w w:val="100"/>
        <w:sz w:val="28"/>
        <w:szCs w:val="28"/>
        <w:lang w:val="en-US" w:eastAsia="en-US" w:bidi="ar-SA"/>
      </w:rPr>
    </w:lvl>
    <w:lvl w:ilvl="1">
      <w:start w:val="1"/>
      <w:numFmt w:val="decimal"/>
      <w:lvlText w:val="%2"/>
      <w:lvlJc w:val="left"/>
      <w:pPr>
        <w:ind w:left="1303" w:hanging="260"/>
        <w:jc w:val="right"/>
      </w:pPr>
      <w:rPr>
        <w:rFonts w:hint="default" w:ascii="Bookman Old Style" w:hAnsi="Bookman Old Style" w:eastAsia="Bookman Old Style" w:cs="Bookman Old Style"/>
        <w:b/>
        <w:bCs/>
        <w:i w:val="0"/>
        <w:iCs w:val="0"/>
        <w:spacing w:val="0"/>
        <w:w w:val="100"/>
        <w:sz w:val="24"/>
        <w:szCs w:val="24"/>
        <w:lang w:val="en-US" w:eastAsia="en-US" w:bidi="ar-SA"/>
      </w:rPr>
    </w:lvl>
    <w:lvl w:ilvl="2">
      <w:start w:val="1"/>
      <w:numFmt w:val="decimal"/>
      <w:lvlText w:val="%2.%3"/>
      <w:lvlJc w:val="left"/>
      <w:pPr>
        <w:ind w:left="2081" w:hanging="428"/>
        <w:jc w:val="right"/>
      </w:pPr>
      <w:rPr>
        <w:rFonts w:hint="default" w:ascii="Bookman Old Style" w:hAnsi="Bookman Old Style" w:eastAsia="Bookman Old Style" w:cs="Bookman Old Style"/>
        <w:b/>
        <w:bCs/>
        <w:i w:val="0"/>
        <w:iCs w:val="0"/>
        <w:spacing w:val="9"/>
        <w:w w:val="100"/>
        <w:sz w:val="22"/>
        <w:szCs w:val="22"/>
        <w:lang w:val="en-US" w:eastAsia="en-US" w:bidi="ar-SA"/>
      </w:rPr>
    </w:lvl>
    <w:lvl w:ilvl="3">
      <w:start w:val="0"/>
      <w:numFmt w:val="bullet"/>
      <w:lvlText w:val="•"/>
      <w:lvlJc w:val="left"/>
      <w:pPr>
        <w:ind w:left="3218" w:hanging="428"/>
      </w:pPr>
      <w:rPr>
        <w:rFonts w:hint="default"/>
        <w:lang w:val="en-US" w:eastAsia="en-US" w:bidi="ar-SA"/>
      </w:rPr>
    </w:lvl>
    <w:lvl w:ilvl="4">
      <w:start w:val="0"/>
      <w:numFmt w:val="bullet"/>
      <w:lvlText w:val="•"/>
      <w:lvlJc w:val="left"/>
      <w:pPr>
        <w:ind w:left="4356" w:hanging="428"/>
      </w:pPr>
      <w:rPr>
        <w:rFonts w:hint="default"/>
        <w:lang w:val="en-US" w:eastAsia="en-US" w:bidi="ar-SA"/>
      </w:rPr>
    </w:lvl>
    <w:lvl w:ilvl="5">
      <w:start w:val="0"/>
      <w:numFmt w:val="bullet"/>
      <w:lvlText w:val="•"/>
      <w:lvlJc w:val="left"/>
      <w:pPr>
        <w:ind w:left="5494" w:hanging="428"/>
      </w:pPr>
      <w:rPr>
        <w:rFonts w:hint="default"/>
        <w:lang w:val="en-US" w:eastAsia="en-US" w:bidi="ar-SA"/>
      </w:rPr>
    </w:lvl>
    <w:lvl w:ilvl="6">
      <w:start w:val="0"/>
      <w:numFmt w:val="bullet"/>
      <w:lvlText w:val="•"/>
      <w:lvlJc w:val="left"/>
      <w:pPr>
        <w:ind w:left="6633" w:hanging="428"/>
      </w:pPr>
      <w:rPr>
        <w:rFonts w:hint="default"/>
        <w:lang w:val="en-US" w:eastAsia="en-US" w:bidi="ar-SA"/>
      </w:rPr>
    </w:lvl>
    <w:lvl w:ilvl="7">
      <w:start w:val="0"/>
      <w:numFmt w:val="bullet"/>
      <w:lvlText w:val="•"/>
      <w:lvlJc w:val="left"/>
      <w:pPr>
        <w:ind w:left="7771" w:hanging="428"/>
      </w:pPr>
      <w:rPr>
        <w:rFonts w:hint="default"/>
        <w:lang w:val="en-US" w:eastAsia="en-US" w:bidi="ar-SA"/>
      </w:rPr>
    </w:lvl>
    <w:lvl w:ilvl="8">
      <w:start w:val="0"/>
      <w:numFmt w:val="bullet"/>
      <w:lvlText w:val="•"/>
      <w:lvlJc w:val="left"/>
      <w:pPr>
        <w:ind w:left="8909" w:hanging="428"/>
      </w:pPr>
      <w:rPr>
        <w:rFonts w:hint="default"/>
        <w:lang w:val="en-US" w:eastAsia="en-US" w:bidi="ar-SA"/>
      </w:rPr>
    </w:lvl>
  </w:abstractNum>
  <w:abstractNum w:abstractNumId="131">
    <w:multiLevelType w:val="hybridMultilevel"/>
    <w:lvl w:ilvl="0">
      <w:start w:val="1"/>
      <w:numFmt w:val="decimal"/>
      <w:lvlText w:val="%1"/>
      <w:lvlJc w:val="left"/>
      <w:pPr>
        <w:ind w:left="2093" w:hanging="22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008" w:hanging="221"/>
      </w:pPr>
      <w:rPr>
        <w:rFonts w:hint="default"/>
        <w:lang w:val="en-US" w:eastAsia="en-US" w:bidi="ar-SA"/>
      </w:rPr>
    </w:lvl>
    <w:lvl w:ilvl="2">
      <w:start w:val="0"/>
      <w:numFmt w:val="bullet"/>
      <w:lvlText w:val="•"/>
      <w:lvlJc w:val="left"/>
      <w:pPr>
        <w:ind w:left="3917" w:hanging="221"/>
      </w:pPr>
      <w:rPr>
        <w:rFonts w:hint="default"/>
        <w:lang w:val="en-US" w:eastAsia="en-US" w:bidi="ar-SA"/>
      </w:rPr>
    </w:lvl>
    <w:lvl w:ilvl="3">
      <w:start w:val="0"/>
      <w:numFmt w:val="bullet"/>
      <w:lvlText w:val="•"/>
      <w:lvlJc w:val="left"/>
      <w:pPr>
        <w:ind w:left="4825" w:hanging="221"/>
      </w:pPr>
      <w:rPr>
        <w:rFonts w:hint="default"/>
        <w:lang w:val="en-US" w:eastAsia="en-US" w:bidi="ar-SA"/>
      </w:rPr>
    </w:lvl>
    <w:lvl w:ilvl="4">
      <w:start w:val="0"/>
      <w:numFmt w:val="bullet"/>
      <w:lvlText w:val="•"/>
      <w:lvlJc w:val="left"/>
      <w:pPr>
        <w:ind w:left="5734" w:hanging="221"/>
      </w:pPr>
      <w:rPr>
        <w:rFonts w:hint="default"/>
        <w:lang w:val="en-US" w:eastAsia="en-US" w:bidi="ar-SA"/>
      </w:rPr>
    </w:lvl>
    <w:lvl w:ilvl="5">
      <w:start w:val="0"/>
      <w:numFmt w:val="bullet"/>
      <w:lvlText w:val="•"/>
      <w:lvlJc w:val="left"/>
      <w:pPr>
        <w:ind w:left="6643" w:hanging="221"/>
      </w:pPr>
      <w:rPr>
        <w:rFonts w:hint="default"/>
        <w:lang w:val="en-US" w:eastAsia="en-US" w:bidi="ar-SA"/>
      </w:rPr>
    </w:lvl>
    <w:lvl w:ilvl="6">
      <w:start w:val="0"/>
      <w:numFmt w:val="bullet"/>
      <w:lvlText w:val="•"/>
      <w:lvlJc w:val="left"/>
      <w:pPr>
        <w:ind w:left="7551" w:hanging="221"/>
      </w:pPr>
      <w:rPr>
        <w:rFonts w:hint="default"/>
        <w:lang w:val="en-US" w:eastAsia="en-US" w:bidi="ar-SA"/>
      </w:rPr>
    </w:lvl>
    <w:lvl w:ilvl="7">
      <w:start w:val="0"/>
      <w:numFmt w:val="bullet"/>
      <w:lvlText w:val="•"/>
      <w:lvlJc w:val="left"/>
      <w:pPr>
        <w:ind w:left="8460" w:hanging="221"/>
      </w:pPr>
      <w:rPr>
        <w:rFonts w:hint="default"/>
        <w:lang w:val="en-US" w:eastAsia="en-US" w:bidi="ar-SA"/>
      </w:rPr>
    </w:lvl>
    <w:lvl w:ilvl="8">
      <w:start w:val="0"/>
      <w:numFmt w:val="bullet"/>
      <w:lvlText w:val="•"/>
      <w:lvlJc w:val="left"/>
      <w:pPr>
        <w:ind w:left="9369" w:hanging="221"/>
      </w:pPr>
      <w:rPr>
        <w:rFonts w:hint="default"/>
        <w:lang w:val="en-US" w:eastAsia="en-US" w:bidi="ar-SA"/>
      </w:rPr>
    </w:lvl>
  </w:abstractNum>
  <w:abstractNum w:abstractNumId="130">
    <w:multiLevelType w:val="hybridMultilevel"/>
    <w:lvl w:ilvl="0">
      <w:start w:val="8"/>
      <w:numFmt w:val="decimal"/>
      <w:lvlText w:val="%1"/>
      <w:lvlJc w:val="left"/>
      <w:pPr>
        <w:ind w:left="1606" w:hanging="644"/>
        <w:jc w:val="left"/>
      </w:pPr>
      <w:rPr>
        <w:rFonts w:hint="default"/>
        <w:lang w:val="en-US" w:eastAsia="en-US" w:bidi="ar-SA"/>
      </w:rPr>
    </w:lvl>
    <w:lvl w:ilvl="1">
      <w:start w:val="0"/>
      <w:numFmt w:val="decimal"/>
      <w:lvlText w:val="%1.%2"/>
      <w:lvlJc w:val="left"/>
      <w:pPr>
        <w:ind w:left="1606" w:hanging="644"/>
        <w:jc w:val="left"/>
      </w:pPr>
      <w:rPr>
        <w:rFonts w:hint="default" w:ascii="Bookman Old Style" w:hAnsi="Bookman Old Style" w:eastAsia="Bookman Old Style" w:cs="Bookman Old Style"/>
        <w:b/>
        <w:bCs/>
        <w:i w:val="0"/>
        <w:iCs w:val="0"/>
        <w:spacing w:val="-1"/>
        <w:w w:val="100"/>
        <w:sz w:val="24"/>
        <w:szCs w:val="24"/>
        <w:lang w:val="en-US" w:eastAsia="en-US" w:bidi="ar-SA"/>
      </w:rPr>
    </w:lvl>
    <w:lvl w:ilvl="2">
      <w:start w:val="2"/>
      <w:numFmt w:val="upperLetter"/>
      <w:lvlText w:val="(%3)"/>
      <w:lvlJc w:val="left"/>
      <w:pPr>
        <w:ind w:left="1872" w:hanging="380"/>
        <w:jc w:val="left"/>
      </w:pPr>
      <w:rPr>
        <w:rFonts w:hint="default"/>
        <w:spacing w:val="0"/>
        <w:w w:val="100"/>
        <w:lang w:val="en-US" w:eastAsia="en-US" w:bidi="ar-SA"/>
      </w:rPr>
    </w:lvl>
    <w:lvl w:ilvl="3">
      <w:start w:val="1"/>
      <w:numFmt w:val="decimal"/>
      <w:lvlText w:val="%4."/>
      <w:lvlJc w:val="left"/>
      <w:pPr>
        <w:ind w:left="1872" w:hanging="227"/>
        <w:jc w:val="left"/>
      </w:pPr>
      <w:rPr>
        <w:rFonts w:hint="default" w:ascii="Bookman Old Style" w:hAnsi="Bookman Old Style" w:eastAsia="Bookman Old Style" w:cs="Bookman Old Style"/>
        <w:b w:val="0"/>
        <w:bCs w:val="0"/>
        <w:i w:val="0"/>
        <w:iCs w:val="0"/>
        <w:spacing w:val="-1"/>
        <w:w w:val="99"/>
        <w:sz w:val="22"/>
        <w:szCs w:val="22"/>
        <w:lang w:val="en-US" w:eastAsia="en-US" w:bidi="ar-SA"/>
      </w:rPr>
    </w:lvl>
    <w:lvl w:ilvl="4">
      <w:start w:val="0"/>
      <w:numFmt w:val="bullet"/>
      <w:lvlText w:val="•"/>
      <w:lvlJc w:val="left"/>
      <w:pPr>
        <w:ind w:left="4982" w:hanging="227"/>
      </w:pPr>
      <w:rPr>
        <w:rFonts w:hint="default"/>
        <w:lang w:val="en-US" w:eastAsia="en-US" w:bidi="ar-SA"/>
      </w:rPr>
    </w:lvl>
    <w:lvl w:ilvl="5">
      <w:start w:val="0"/>
      <w:numFmt w:val="bullet"/>
      <w:lvlText w:val="•"/>
      <w:lvlJc w:val="left"/>
      <w:pPr>
        <w:ind w:left="6016" w:hanging="227"/>
      </w:pPr>
      <w:rPr>
        <w:rFonts w:hint="default"/>
        <w:lang w:val="en-US" w:eastAsia="en-US" w:bidi="ar-SA"/>
      </w:rPr>
    </w:lvl>
    <w:lvl w:ilvl="6">
      <w:start w:val="0"/>
      <w:numFmt w:val="bullet"/>
      <w:lvlText w:val="•"/>
      <w:lvlJc w:val="left"/>
      <w:pPr>
        <w:ind w:left="7050" w:hanging="227"/>
      </w:pPr>
      <w:rPr>
        <w:rFonts w:hint="default"/>
        <w:lang w:val="en-US" w:eastAsia="en-US" w:bidi="ar-SA"/>
      </w:rPr>
    </w:lvl>
    <w:lvl w:ilvl="7">
      <w:start w:val="0"/>
      <w:numFmt w:val="bullet"/>
      <w:lvlText w:val="•"/>
      <w:lvlJc w:val="left"/>
      <w:pPr>
        <w:ind w:left="8084" w:hanging="227"/>
      </w:pPr>
      <w:rPr>
        <w:rFonts w:hint="default"/>
        <w:lang w:val="en-US" w:eastAsia="en-US" w:bidi="ar-SA"/>
      </w:rPr>
    </w:lvl>
    <w:lvl w:ilvl="8">
      <w:start w:val="0"/>
      <w:numFmt w:val="bullet"/>
      <w:lvlText w:val="•"/>
      <w:lvlJc w:val="left"/>
      <w:pPr>
        <w:ind w:left="9118" w:hanging="227"/>
      </w:pPr>
      <w:rPr>
        <w:rFonts w:hint="default"/>
        <w:lang w:val="en-US" w:eastAsia="en-US" w:bidi="ar-SA"/>
      </w:rPr>
    </w:lvl>
  </w:abstractNum>
  <w:abstractNum w:abstractNumId="129">
    <w:multiLevelType w:val="hybridMultilevel"/>
    <w:lvl w:ilvl="0">
      <w:start w:val="7"/>
      <w:numFmt w:val="decimal"/>
      <w:lvlText w:val="%1"/>
      <w:lvlJc w:val="left"/>
      <w:pPr>
        <w:ind w:left="1524" w:hanging="562"/>
        <w:jc w:val="left"/>
      </w:pPr>
      <w:rPr>
        <w:rFonts w:hint="default"/>
        <w:lang w:val="en-US" w:eastAsia="en-US" w:bidi="ar-SA"/>
      </w:rPr>
    </w:lvl>
    <w:lvl w:ilvl="1">
      <w:start w:val="0"/>
      <w:numFmt w:val="decimal"/>
      <w:lvlText w:val="%1.%2"/>
      <w:lvlJc w:val="left"/>
      <w:pPr>
        <w:ind w:left="1524" w:hanging="562"/>
        <w:jc w:val="left"/>
      </w:pPr>
      <w:rPr>
        <w:rFonts w:hint="default" w:ascii="Bookman Old Style" w:hAnsi="Bookman Old Style" w:eastAsia="Bookman Old Style" w:cs="Bookman Old Style"/>
        <w:b/>
        <w:bCs/>
        <w:i w:val="0"/>
        <w:iCs w:val="0"/>
        <w:spacing w:val="-1"/>
        <w:w w:val="100"/>
        <w:sz w:val="24"/>
        <w:szCs w:val="24"/>
        <w:lang w:val="en-US" w:eastAsia="en-US" w:bidi="ar-SA"/>
      </w:rPr>
    </w:lvl>
    <w:lvl w:ilvl="2">
      <w:start w:val="0"/>
      <w:numFmt w:val="bullet"/>
      <w:lvlText w:val="•"/>
      <w:lvlJc w:val="left"/>
      <w:pPr>
        <w:ind w:left="3453" w:hanging="562"/>
      </w:pPr>
      <w:rPr>
        <w:rFonts w:hint="default"/>
        <w:lang w:val="en-US" w:eastAsia="en-US" w:bidi="ar-SA"/>
      </w:rPr>
    </w:lvl>
    <w:lvl w:ilvl="3">
      <w:start w:val="0"/>
      <w:numFmt w:val="bullet"/>
      <w:lvlText w:val="•"/>
      <w:lvlJc w:val="left"/>
      <w:pPr>
        <w:ind w:left="4419" w:hanging="562"/>
      </w:pPr>
      <w:rPr>
        <w:rFonts w:hint="default"/>
        <w:lang w:val="en-US" w:eastAsia="en-US" w:bidi="ar-SA"/>
      </w:rPr>
    </w:lvl>
    <w:lvl w:ilvl="4">
      <w:start w:val="0"/>
      <w:numFmt w:val="bullet"/>
      <w:lvlText w:val="•"/>
      <w:lvlJc w:val="left"/>
      <w:pPr>
        <w:ind w:left="5386" w:hanging="562"/>
      </w:pPr>
      <w:rPr>
        <w:rFonts w:hint="default"/>
        <w:lang w:val="en-US" w:eastAsia="en-US" w:bidi="ar-SA"/>
      </w:rPr>
    </w:lvl>
    <w:lvl w:ilvl="5">
      <w:start w:val="0"/>
      <w:numFmt w:val="bullet"/>
      <w:lvlText w:val="•"/>
      <w:lvlJc w:val="left"/>
      <w:pPr>
        <w:ind w:left="6353" w:hanging="562"/>
      </w:pPr>
      <w:rPr>
        <w:rFonts w:hint="default"/>
        <w:lang w:val="en-US" w:eastAsia="en-US" w:bidi="ar-SA"/>
      </w:rPr>
    </w:lvl>
    <w:lvl w:ilvl="6">
      <w:start w:val="0"/>
      <w:numFmt w:val="bullet"/>
      <w:lvlText w:val="•"/>
      <w:lvlJc w:val="left"/>
      <w:pPr>
        <w:ind w:left="7319" w:hanging="562"/>
      </w:pPr>
      <w:rPr>
        <w:rFonts w:hint="default"/>
        <w:lang w:val="en-US" w:eastAsia="en-US" w:bidi="ar-SA"/>
      </w:rPr>
    </w:lvl>
    <w:lvl w:ilvl="7">
      <w:start w:val="0"/>
      <w:numFmt w:val="bullet"/>
      <w:lvlText w:val="•"/>
      <w:lvlJc w:val="left"/>
      <w:pPr>
        <w:ind w:left="8286" w:hanging="562"/>
      </w:pPr>
      <w:rPr>
        <w:rFonts w:hint="default"/>
        <w:lang w:val="en-US" w:eastAsia="en-US" w:bidi="ar-SA"/>
      </w:rPr>
    </w:lvl>
    <w:lvl w:ilvl="8">
      <w:start w:val="0"/>
      <w:numFmt w:val="bullet"/>
      <w:lvlText w:val="•"/>
      <w:lvlJc w:val="left"/>
      <w:pPr>
        <w:ind w:left="9253" w:hanging="562"/>
      </w:pPr>
      <w:rPr>
        <w:rFonts w:hint="default"/>
        <w:lang w:val="en-US" w:eastAsia="en-US" w:bidi="ar-SA"/>
      </w:rPr>
    </w:lvl>
  </w:abstractNum>
  <w:abstractNum w:abstractNumId="128">
    <w:multiLevelType w:val="hybridMultilevel"/>
    <w:lvl w:ilvl="0">
      <w:start w:val="1"/>
      <w:numFmt w:val="lowerRoman"/>
      <w:lvlText w:val="%1."/>
      <w:lvlJc w:val="left"/>
      <w:pPr>
        <w:ind w:left="1188" w:hanging="22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180" w:hanging="226"/>
      </w:pPr>
      <w:rPr>
        <w:rFonts w:hint="default"/>
        <w:lang w:val="en-US" w:eastAsia="en-US" w:bidi="ar-SA"/>
      </w:rPr>
    </w:lvl>
    <w:lvl w:ilvl="2">
      <w:start w:val="0"/>
      <w:numFmt w:val="bullet"/>
      <w:lvlText w:val="•"/>
      <w:lvlJc w:val="left"/>
      <w:pPr>
        <w:ind w:left="3181" w:hanging="226"/>
      </w:pPr>
      <w:rPr>
        <w:rFonts w:hint="default"/>
        <w:lang w:val="en-US" w:eastAsia="en-US" w:bidi="ar-SA"/>
      </w:rPr>
    </w:lvl>
    <w:lvl w:ilvl="3">
      <w:start w:val="0"/>
      <w:numFmt w:val="bullet"/>
      <w:lvlText w:val="•"/>
      <w:lvlJc w:val="left"/>
      <w:pPr>
        <w:ind w:left="4181" w:hanging="226"/>
      </w:pPr>
      <w:rPr>
        <w:rFonts w:hint="default"/>
        <w:lang w:val="en-US" w:eastAsia="en-US" w:bidi="ar-SA"/>
      </w:rPr>
    </w:lvl>
    <w:lvl w:ilvl="4">
      <w:start w:val="0"/>
      <w:numFmt w:val="bullet"/>
      <w:lvlText w:val="•"/>
      <w:lvlJc w:val="left"/>
      <w:pPr>
        <w:ind w:left="5182" w:hanging="226"/>
      </w:pPr>
      <w:rPr>
        <w:rFonts w:hint="default"/>
        <w:lang w:val="en-US" w:eastAsia="en-US" w:bidi="ar-SA"/>
      </w:rPr>
    </w:lvl>
    <w:lvl w:ilvl="5">
      <w:start w:val="0"/>
      <w:numFmt w:val="bullet"/>
      <w:lvlText w:val="•"/>
      <w:lvlJc w:val="left"/>
      <w:pPr>
        <w:ind w:left="6183" w:hanging="226"/>
      </w:pPr>
      <w:rPr>
        <w:rFonts w:hint="default"/>
        <w:lang w:val="en-US" w:eastAsia="en-US" w:bidi="ar-SA"/>
      </w:rPr>
    </w:lvl>
    <w:lvl w:ilvl="6">
      <w:start w:val="0"/>
      <w:numFmt w:val="bullet"/>
      <w:lvlText w:val="•"/>
      <w:lvlJc w:val="left"/>
      <w:pPr>
        <w:ind w:left="7183" w:hanging="226"/>
      </w:pPr>
      <w:rPr>
        <w:rFonts w:hint="default"/>
        <w:lang w:val="en-US" w:eastAsia="en-US" w:bidi="ar-SA"/>
      </w:rPr>
    </w:lvl>
    <w:lvl w:ilvl="7">
      <w:start w:val="0"/>
      <w:numFmt w:val="bullet"/>
      <w:lvlText w:val="•"/>
      <w:lvlJc w:val="left"/>
      <w:pPr>
        <w:ind w:left="8184" w:hanging="226"/>
      </w:pPr>
      <w:rPr>
        <w:rFonts w:hint="default"/>
        <w:lang w:val="en-US" w:eastAsia="en-US" w:bidi="ar-SA"/>
      </w:rPr>
    </w:lvl>
    <w:lvl w:ilvl="8">
      <w:start w:val="0"/>
      <w:numFmt w:val="bullet"/>
      <w:lvlText w:val="•"/>
      <w:lvlJc w:val="left"/>
      <w:pPr>
        <w:ind w:left="9185" w:hanging="226"/>
      </w:pPr>
      <w:rPr>
        <w:rFonts w:hint="default"/>
        <w:lang w:val="en-US" w:eastAsia="en-US" w:bidi="ar-SA"/>
      </w:rPr>
    </w:lvl>
  </w:abstractNum>
  <w:abstractNum w:abstractNumId="127">
    <w:multiLevelType w:val="hybridMultilevel"/>
    <w:lvl w:ilvl="0">
      <w:start w:val="1"/>
      <w:numFmt w:val="lowerRoman"/>
      <w:lvlText w:val="%1)"/>
      <w:lvlJc w:val="left"/>
      <w:pPr>
        <w:ind w:left="979" w:hanging="26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000" w:hanging="267"/>
      </w:pPr>
      <w:rPr>
        <w:rFonts w:hint="default"/>
        <w:lang w:val="en-US" w:eastAsia="en-US" w:bidi="ar-SA"/>
      </w:rPr>
    </w:lvl>
    <w:lvl w:ilvl="2">
      <w:start w:val="0"/>
      <w:numFmt w:val="bullet"/>
      <w:lvlText w:val="•"/>
      <w:lvlJc w:val="left"/>
      <w:pPr>
        <w:ind w:left="3021" w:hanging="267"/>
      </w:pPr>
      <w:rPr>
        <w:rFonts w:hint="default"/>
        <w:lang w:val="en-US" w:eastAsia="en-US" w:bidi="ar-SA"/>
      </w:rPr>
    </w:lvl>
    <w:lvl w:ilvl="3">
      <w:start w:val="0"/>
      <w:numFmt w:val="bullet"/>
      <w:lvlText w:val="•"/>
      <w:lvlJc w:val="left"/>
      <w:pPr>
        <w:ind w:left="4041" w:hanging="267"/>
      </w:pPr>
      <w:rPr>
        <w:rFonts w:hint="default"/>
        <w:lang w:val="en-US" w:eastAsia="en-US" w:bidi="ar-SA"/>
      </w:rPr>
    </w:lvl>
    <w:lvl w:ilvl="4">
      <w:start w:val="0"/>
      <w:numFmt w:val="bullet"/>
      <w:lvlText w:val="•"/>
      <w:lvlJc w:val="left"/>
      <w:pPr>
        <w:ind w:left="5062" w:hanging="267"/>
      </w:pPr>
      <w:rPr>
        <w:rFonts w:hint="default"/>
        <w:lang w:val="en-US" w:eastAsia="en-US" w:bidi="ar-SA"/>
      </w:rPr>
    </w:lvl>
    <w:lvl w:ilvl="5">
      <w:start w:val="0"/>
      <w:numFmt w:val="bullet"/>
      <w:lvlText w:val="•"/>
      <w:lvlJc w:val="left"/>
      <w:pPr>
        <w:ind w:left="6083" w:hanging="267"/>
      </w:pPr>
      <w:rPr>
        <w:rFonts w:hint="default"/>
        <w:lang w:val="en-US" w:eastAsia="en-US" w:bidi="ar-SA"/>
      </w:rPr>
    </w:lvl>
    <w:lvl w:ilvl="6">
      <w:start w:val="0"/>
      <w:numFmt w:val="bullet"/>
      <w:lvlText w:val="•"/>
      <w:lvlJc w:val="left"/>
      <w:pPr>
        <w:ind w:left="7103" w:hanging="267"/>
      </w:pPr>
      <w:rPr>
        <w:rFonts w:hint="default"/>
        <w:lang w:val="en-US" w:eastAsia="en-US" w:bidi="ar-SA"/>
      </w:rPr>
    </w:lvl>
    <w:lvl w:ilvl="7">
      <w:start w:val="0"/>
      <w:numFmt w:val="bullet"/>
      <w:lvlText w:val="•"/>
      <w:lvlJc w:val="left"/>
      <w:pPr>
        <w:ind w:left="8124" w:hanging="267"/>
      </w:pPr>
      <w:rPr>
        <w:rFonts w:hint="default"/>
        <w:lang w:val="en-US" w:eastAsia="en-US" w:bidi="ar-SA"/>
      </w:rPr>
    </w:lvl>
    <w:lvl w:ilvl="8">
      <w:start w:val="0"/>
      <w:numFmt w:val="bullet"/>
      <w:lvlText w:val="•"/>
      <w:lvlJc w:val="left"/>
      <w:pPr>
        <w:ind w:left="9145" w:hanging="267"/>
      </w:pPr>
      <w:rPr>
        <w:rFonts w:hint="default"/>
        <w:lang w:val="en-US" w:eastAsia="en-US" w:bidi="ar-SA"/>
      </w:rPr>
    </w:lvl>
  </w:abstractNum>
  <w:abstractNum w:abstractNumId="126">
    <w:multiLevelType w:val="hybridMultilevel"/>
    <w:lvl w:ilvl="0">
      <w:start w:val="6"/>
      <w:numFmt w:val="decimal"/>
      <w:lvlText w:val="%1"/>
      <w:lvlJc w:val="left"/>
      <w:pPr>
        <w:ind w:left="1524" w:hanging="562"/>
        <w:jc w:val="left"/>
      </w:pPr>
      <w:rPr>
        <w:rFonts w:hint="default"/>
        <w:lang w:val="en-US" w:eastAsia="en-US" w:bidi="ar-SA"/>
      </w:rPr>
    </w:lvl>
    <w:lvl w:ilvl="1">
      <w:start w:val="0"/>
      <w:numFmt w:val="decimal"/>
      <w:lvlText w:val="%1.%2"/>
      <w:lvlJc w:val="left"/>
      <w:pPr>
        <w:ind w:left="1524" w:hanging="562"/>
        <w:jc w:val="left"/>
      </w:pPr>
      <w:rPr>
        <w:rFonts w:hint="default" w:ascii="Bookman Old Style" w:hAnsi="Bookman Old Style" w:eastAsia="Bookman Old Style" w:cs="Bookman Old Style"/>
        <w:b/>
        <w:bCs/>
        <w:i w:val="0"/>
        <w:iCs w:val="0"/>
        <w:spacing w:val="-1"/>
        <w:w w:val="100"/>
        <w:sz w:val="24"/>
        <w:szCs w:val="24"/>
        <w:lang w:val="en-US" w:eastAsia="en-US" w:bidi="ar-SA"/>
      </w:rPr>
    </w:lvl>
    <w:lvl w:ilvl="2">
      <w:start w:val="1"/>
      <w:numFmt w:val="decimal"/>
      <w:lvlText w:val="%1.%2.%3"/>
      <w:lvlJc w:val="left"/>
      <w:pPr>
        <w:ind w:left="1690" w:hanging="728"/>
        <w:jc w:val="left"/>
      </w:pPr>
      <w:rPr>
        <w:rFonts w:hint="default" w:ascii="Bookman Old Style" w:hAnsi="Bookman Old Style" w:eastAsia="Bookman Old Style" w:cs="Bookman Old Style"/>
        <w:b/>
        <w:bCs/>
        <w:i w:val="0"/>
        <w:iCs w:val="0"/>
        <w:spacing w:val="-1"/>
        <w:w w:val="100"/>
        <w:sz w:val="24"/>
        <w:szCs w:val="24"/>
        <w:lang w:val="en-US" w:eastAsia="en-US" w:bidi="ar-SA"/>
      </w:rPr>
    </w:lvl>
    <w:lvl w:ilvl="3">
      <w:start w:val="0"/>
      <w:numFmt w:val="bullet"/>
      <w:lvlText w:val="•"/>
      <w:lvlJc w:val="left"/>
      <w:pPr>
        <w:ind w:left="3808" w:hanging="728"/>
      </w:pPr>
      <w:rPr>
        <w:rFonts w:hint="default"/>
        <w:lang w:val="en-US" w:eastAsia="en-US" w:bidi="ar-SA"/>
      </w:rPr>
    </w:lvl>
    <w:lvl w:ilvl="4">
      <w:start w:val="0"/>
      <w:numFmt w:val="bullet"/>
      <w:lvlText w:val="•"/>
      <w:lvlJc w:val="left"/>
      <w:pPr>
        <w:ind w:left="4862" w:hanging="728"/>
      </w:pPr>
      <w:rPr>
        <w:rFonts w:hint="default"/>
        <w:lang w:val="en-US" w:eastAsia="en-US" w:bidi="ar-SA"/>
      </w:rPr>
    </w:lvl>
    <w:lvl w:ilvl="5">
      <w:start w:val="0"/>
      <w:numFmt w:val="bullet"/>
      <w:lvlText w:val="•"/>
      <w:lvlJc w:val="left"/>
      <w:pPr>
        <w:ind w:left="5916" w:hanging="728"/>
      </w:pPr>
      <w:rPr>
        <w:rFonts w:hint="default"/>
        <w:lang w:val="en-US" w:eastAsia="en-US" w:bidi="ar-SA"/>
      </w:rPr>
    </w:lvl>
    <w:lvl w:ilvl="6">
      <w:start w:val="0"/>
      <w:numFmt w:val="bullet"/>
      <w:lvlText w:val="•"/>
      <w:lvlJc w:val="left"/>
      <w:pPr>
        <w:ind w:left="6970" w:hanging="728"/>
      </w:pPr>
      <w:rPr>
        <w:rFonts w:hint="default"/>
        <w:lang w:val="en-US" w:eastAsia="en-US" w:bidi="ar-SA"/>
      </w:rPr>
    </w:lvl>
    <w:lvl w:ilvl="7">
      <w:start w:val="0"/>
      <w:numFmt w:val="bullet"/>
      <w:lvlText w:val="•"/>
      <w:lvlJc w:val="left"/>
      <w:pPr>
        <w:ind w:left="8024" w:hanging="728"/>
      </w:pPr>
      <w:rPr>
        <w:rFonts w:hint="default"/>
        <w:lang w:val="en-US" w:eastAsia="en-US" w:bidi="ar-SA"/>
      </w:rPr>
    </w:lvl>
    <w:lvl w:ilvl="8">
      <w:start w:val="0"/>
      <w:numFmt w:val="bullet"/>
      <w:lvlText w:val="•"/>
      <w:lvlJc w:val="left"/>
      <w:pPr>
        <w:ind w:left="9078" w:hanging="728"/>
      </w:pPr>
      <w:rPr>
        <w:rFonts w:hint="default"/>
        <w:lang w:val="en-US" w:eastAsia="en-US" w:bidi="ar-SA"/>
      </w:rPr>
    </w:lvl>
  </w:abstractNum>
  <w:abstractNum w:abstractNumId="125">
    <w:multiLevelType w:val="hybridMultilevel"/>
    <w:lvl w:ilvl="0">
      <w:start w:val="5"/>
      <w:numFmt w:val="decimal"/>
      <w:lvlText w:val="%1"/>
      <w:lvlJc w:val="left"/>
      <w:pPr>
        <w:ind w:left="962" w:hanging="831"/>
        <w:jc w:val="left"/>
      </w:pPr>
      <w:rPr>
        <w:rFonts w:hint="default"/>
        <w:lang w:val="en-US" w:eastAsia="en-US" w:bidi="ar-SA"/>
      </w:rPr>
    </w:lvl>
    <w:lvl w:ilvl="1">
      <w:start w:val="4"/>
      <w:numFmt w:val="decimal"/>
      <w:lvlText w:val="%1.%2"/>
      <w:lvlJc w:val="left"/>
      <w:pPr>
        <w:ind w:left="962" w:hanging="831"/>
        <w:jc w:val="left"/>
      </w:pPr>
      <w:rPr>
        <w:rFonts w:hint="default"/>
        <w:lang w:val="en-US" w:eastAsia="en-US" w:bidi="ar-SA"/>
      </w:rPr>
    </w:lvl>
    <w:lvl w:ilvl="2">
      <w:start w:val="4"/>
      <w:numFmt w:val="decimal"/>
      <w:lvlText w:val="%1.%2.%3"/>
      <w:lvlJc w:val="left"/>
      <w:pPr>
        <w:ind w:left="962" w:hanging="831"/>
        <w:jc w:val="left"/>
      </w:pPr>
      <w:rPr>
        <w:rFonts w:hint="default" w:ascii="Bookman Old Style" w:hAnsi="Bookman Old Style" w:eastAsia="Bookman Old Style" w:cs="Bookman Old Style"/>
        <w:b/>
        <w:bCs/>
        <w:i w:val="0"/>
        <w:iCs w:val="0"/>
        <w:spacing w:val="-1"/>
        <w:w w:val="100"/>
        <w:sz w:val="24"/>
        <w:szCs w:val="24"/>
        <w:lang w:val="en-US" w:eastAsia="en-US" w:bidi="ar-SA"/>
      </w:rPr>
    </w:lvl>
    <w:lvl w:ilvl="3">
      <w:start w:val="1"/>
      <w:numFmt w:val="lowerLetter"/>
      <w:lvlText w:val="(%4)"/>
      <w:lvlJc w:val="left"/>
      <w:pPr>
        <w:ind w:left="1529" w:hanging="504"/>
        <w:jc w:val="right"/>
      </w:pPr>
      <w:rPr>
        <w:rFonts w:hint="default" w:ascii="Bookman Old Style" w:hAnsi="Bookman Old Style" w:eastAsia="Bookman Old Style" w:cs="Bookman Old Style"/>
        <w:b w:val="0"/>
        <w:bCs w:val="0"/>
        <w:i w:val="0"/>
        <w:iCs w:val="0"/>
        <w:spacing w:val="-1"/>
        <w:w w:val="100"/>
        <w:sz w:val="24"/>
        <w:szCs w:val="24"/>
        <w:lang w:val="en-US" w:eastAsia="en-US" w:bidi="ar-SA"/>
      </w:rPr>
    </w:lvl>
    <w:lvl w:ilvl="4">
      <w:start w:val="0"/>
      <w:numFmt w:val="bullet"/>
      <w:lvlText w:val="•"/>
      <w:lvlJc w:val="left"/>
      <w:pPr>
        <w:ind w:left="4742" w:hanging="504"/>
      </w:pPr>
      <w:rPr>
        <w:rFonts w:hint="default"/>
        <w:lang w:val="en-US" w:eastAsia="en-US" w:bidi="ar-SA"/>
      </w:rPr>
    </w:lvl>
    <w:lvl w:ilvl="5">
      <w:start w:val="0"/>
      <w:numFmt w:val="bullet"/>
      <w:lvlText w:val="•"/>
      <w:lvlJc w:val="left"/>
      <w:pPr>
        <w:ind w:left="5816" w:hanging="504"/>
      </w:pPr>
      <w:rPr>
        <w:rFonts w:hint="default"/>
        <w:lang w:val="en-US" w:eastAsia="en-US" w:bidi="ar-SA"/>
      </w:rPr>
    </w:lvl>
    <w:lvl w:ilvl="6">
      <w:start w:val="0"/>
      <w:numFmt w:val="bullet"/>
      <w:lvlText w:val="•"/>
      <w:lvlJc w:val="left"/>
      <w:pPr>
        <w:ind w:left="6890" w:hanging="504"/>
      </w:pPr>
      <w:rPr>
        <w:rFonts w:hint="default"/>
        <w:lang w:val="en-US" w:eastAsia="en-US" w:bidi="ar-SA"/>
      </w:rPr>
    </w:lvl>
    <w:lvl w:ilvl="7">
      <w:start w:val="0"/>
      <w:numFmt w:val="bullet"/>
      <w:lvlText w:val="•"/>
      <w:lvlJc w:val="left"/>
      <w:pPr>
        <w:ind w:left="7964" w:hanging="504"/>
      </w:pPr>
      <w:rPr>
        <w:rFonts w:hint="default"/>
        <w:lang w:val="en-US" w:eastAsia="en-US" w:bidi="ar-SA"/>
      </w:rPr>
    </w:lvl>
    <w:lvl w:ilvl="8">
      <w:start w:val="0"/>
      <w:numFmt w:val="bullet"/>
      <w:lvlText w:val="•"/>
      <w:lvlJc w:val="left"/>
      <w:pPr>
        <w:ind w:left="9038" w:hanging="504"/>
      </w:pPr>
      <w:rPr>
        <w:rFonts w:hint="default"/>
        <w:lang w:val="en-US" w:eastAsia="en-US" w:bidi="ar-SA"/>
      </w:rPr>
    </w:lvl>
  </w:abstractNum>
  <w:abstractNum w:abstractNumId="124">
    <w:multiLevelType w:val="hybridMultilevel"/>
    <w:lvl w:ilvl="0">
      <w:start w:val="1"/>
      <w:numFmt w:val="lowerRoman"/>
      <w:lvlText w:val="%1)"/>
      <w:lvlJc w:val="left"/>
      <w:pPr>
        <w:ind w:left="962" w:hanging="454"/>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1982" w:hanging="454"/>
      </w:pPr>
      <w:rPr>
        <w:rFonts w:hint="default"/>
        <w:lang w:val="en-US" w:eastAsia="en-US" w:bidi="ar-SA"/>
      </w:rPr>
    </w:lvl>
    <w:lvl w:ilvl="2">
      <w:start w:val="0"/>
      <w:numFmt w:val="bullet"/>
      <w:lvlText w:val="•"/>
      <w:lvlJc w:val="left"/>
      <w:pPr>
        <w:ind w:left="3005" w:hanging="454"/>
      </w:pPr>
      <w:rPr>
        <w:rFonts w:hint="default"/>
        <w:lang w:val="en-US" w:eastAsia="en-US" w:bidi="ar-SA"/>
      </w:rPr>
    </w:lvl>
    <w:lvl w:ilvl="3">
      <w:start w:val="0"/>
      <w:numFmt w:val="bullet"/>
      <w:lvlText w:val="•"/>
      <w:lvlJc w:val="left"/>
      <w:pPr>
        <w:ind w:left="4027" w:hanging="454"/>
      </w:pPr>
      <w:rPr>
        <w:rFonts w:hint="default"/>
        <w:lang w:val="en-US" w:eastAsia="en-US" w:bidi="ar-SA"/>
      </w:rPr>
    </w:lvl>
    <w:lvl w:ilvl="4">
      <w:start w:val="0"/>
      <w:numFmt w:val="bullet"/>
      <w:lvlText w:val="•"/>
      <w:lvlJc w:val="left"/>
      <w:pPr>
        <w:ind w:left="5050" w:hanging="454"/>
      </w:pPr>
      <w:rPr>
        <w:rFonts w:hint="default"/>
        <w:lang w:val="en-US" w:eastAsia="en-US" w:bidi="ar-SA"/>
      </w:rPr>
    </w:lvl>
    <w:lvl w:ilvl="5">
      <w:start w:val="0"/>
      <w:numFmt w:val="bullet"/>
      <w:lvlText w:val="•"/>
      <w:lvlJc w:val="left"/>
      <w:pPr>
        <w:ind w:left="6073" w:hanging="454"/>
      </w:pPr>
      <w:rPr>
        <w:rFonts w:hint="default"/>
        <w:lang w:val="en-US" w:eastAsia="en-US" w:bidi="ar-SA"/>
      </w:rPr>
    </w:lvl>
    <w:lvl w:ilvl="6">
      <w:start w:val="0"/>
      <w:numFmt w:val="bullet"/>
      <w:lvlText w:val="•"/>
      <w:lvlJc w:val="left"/>
      <w:pPr>
        <w:ind w:left="7095" w:hanging="454"/>
      </w:pPr>
      <w:rPr>
        <w:rFonts w:hint="default"/>
        <w:lang w:val="en-US" w:eastAsia="en-US" w:bidi="ar-SA"/>
      </w:rPr>
    </w:lvl>
    <w:lvl w:ilvl="7">
      <w:start w:val="0"/>
      <w:numFmt w:val="bullet"/>
      <w:lvlText w:val="•"/>
      <w:lvlJc w:val="left"/>
      <w:pPr>
        <w:ind w:left="8118" w:hanging="454"/>
      </w:pPr>
      <w:rPr>
        <w:rFonts w:hint="default"/>
        <w:lang w:val="en-US" w:eastAsia="en-US" w:bidi="ar-SA"/>
      </w:rPr>
    </w:lvl>
    <w:lvl w:ilvl="8">
      <w:start w:val="0"/>
      <w:numFmt w:val="bullet"/>
      <w:lvlText w:val="•"/>
      <w:lvlJc w:val="left"/>
      <w:pPr>
        <w:ind w:left="9141" w:hanging="454"/>
      </w:pPr>
      <w:rPr>
        <w:rFonts w:hint="default"/>
        <w:lang w:val="en-US" w:eastAsia="en-US" w:bidi="ar-SA"/>
      </w:rPr>
    </w:lvl>
  </w:abstractNum>
  <w:abstractNum w:abstractNumId="123">
    <w:multiLevelType w:val="hybridMultilevel"/>
    <w:lvl w:ilvl="0">
      <w:start w:val="5"/>
      <w:numFmt w:val="decimal"/>
      <w:lvlText w:val="%1"/>
      <w:lvlJc w:val="left"/>
      <w:pPr>
        <w:ind w:left="1442" w:hanging="480"/>
        <w:jc w:val="left"/>
      </w:pPr>
      <w:rPr>
        <w:rFonts w:hint="default"/>
        <w:lang w:val="en-US" w:eastAsia="en-US" w:bidi="ar-SA"/>
      </w:rPr>
    </w:lvl>
    <w:lvl w:ilvl="1">
      <w:start w:val="0"/>
      <w:numFmt w:val="decimal"/>
      <w:lvlText w:val="%1.%2"/>
      <w:lvlJc w:val="left"/>
      <w:pPr>
        <w:ind w:left="1442" w:hanging="480"/>
        <w:jc w:val="left"/>
      </w:pPr>
      <w:rPr>
        <w:rFonts w:hint="default" w:ascii="Bookman Old Style" w:hAnsi="Bookman Old Style" w:eastAsia="Bookman Old Style" w:cs="Bookman Old Style"/>
        <w:b/>
        <w:bCs/>
        <w:i w:val="0"/>
        <w:iCs w:val="0"/>
        <w:spacing w:val="-1"/>
        <w:w w:val="100"/>
        <w:sz w:val="24"/>
        <w:szCs w:val="24"/>
        <w:lang w:val="en-US" w:eastAsia="en-US" w:bidi="ar-SA"/>
      </w:rPr>
    </w:lvl>
    <w:lvl w:ilvl="2">
      <w:start w:val="0"/>
      <w:numFmt w:val="bullet"/>
      <w:lvlText w:val="•"/>
      <w:lvlJc w:val="left"/>
      <w:pPr>
        <w:ind w:left="3389" w:hanging="480"/>
      </w:pPr>
      <w:rPr>
        <w:rFonts w:hint="default"/>
        <w:lang w:val="en-US" w:eastAsia="en-US" w:bidi="ar-SA"/>
      </w:rPr>
    </w:lvl>
    <w:lvl w:ilvl="3">
      <w:start w:val="0"/>
      <w:numFmt w:val="bullet"/>
      <w:lvlText w:val="•"/>
      <w:lvlJc w:val="left"/>
      <w:pPr>
        <w:ind w:left="4363" w:hanging="480"/>
      </w:pPr>
      <w:rPr>
        <w:rFonts w:hint="default"/>
        <w:lang w:val="en-US" w:eastAsia="en-US" w:bidi="ar-SA"/>
      </w:rPr>
    </w:lvl>
    <w:lvl w:ilvl="4">
      <w:start w:val="0"/>
      <w:numFmt w:val="bullet"/>
      <w:lvlText w:val="•"/>
      <w:lvlJc w:val="left"/>
      <w:pPr>
        <w:ind w:left="5338" w:hanging="480"/>
      </w:pPr>
      <w:rPr>
        <w:rFonts w:hint="default"/>
        <w:lang w:val="en-US" w:eastAsia="en-US" w:bidi="ar-SA"/>
      </w:rPr>
    </w:lvl>
    <w:lvl w:ilvl="5">
      <w:start w:val="0"/>
      <w:numFmt w:val="bullet"/>
      <w:lvlText w:val="•"/>
      <w:lvlJc w:val="left"/>
      <w:pPr>
        <w:ind w:left="6313" w:hanging="480"/>
      </w:pPr>
      <w:rPr>
        <w:rFonts w:hint="default"/>
        <w:lang w:val="en-US" w:eastAsia="en-US" w:bidi="ar-SA"/>
      </w:rPr>
    </w:lvl>
    <w:lvl w:ilvl="6">
      <w:start w:val="0"/>
      <w:numFmt w:val="bullet"/>
      <w:lvlText w:val="•"/>
      <w:lvlJc w:val="left"/>
      <w:pPr>
        <w:ind w:left="7287" w:hanging="480"/>
      </w:pPr>
      <w:rPr>
        <w:rFonts w:hint="default"/>
        <w:lang w:val="en-US" w:eastAsia="en-US" w:bidi="ar-SA"/>
      </w:rPr>
    </w:lvl>
    <w:lvl w:ilvl="7">
      <w:start w:val="0"/>
      <w:numFmt w:val="bullet"/>
      <w:lvlText w:val="•"/>
      <w:lvlJc w:val="left"/>
      <w:pPr>
        <w:ind w:left="8262" w:hanging="480"/>
      </w:pPr>
      <w:rPr>
        <w:rFonts w:hint="default"/>
        <w:lang w:val="en-US" w:eastAsia="en-US" w:bidi="ar-SA"/>
      </w:rPr>
    </w:lvl>
    <w:lvl w:ilvl="8">
      <w:start w:val="0"/>
      <w:numFmt w:val="bullet"/>
      <w:lvlText w:val="•"/>
      <w:lvlJc w:val="left"/>
      <w:pPr>
        <w:ind w:left="9237" w:hanging="480"/>
      </w:pPr>
      <w:rPr>
        <w:rFonts w:hint="default"/>
        <w:lang w:val="en-US" w:eastAsia="en-US" w:bidi="ar-SA"/>
      </w:rPr>
    </w:lvl>
  </w:abstractNum>
  <w:abstractNum w:abstractNumId="122">
    <w:multiLevelType w:val="hybridMultilevel"/>
    <w:lvl w:ilvl="0">
      <w:start w:val="1"/>
      <w:numFmt w:val="lowerLetter"/>
      <w:lvlText w:val="%1)"/>
      <w:lvlJc w:val="left"/>
      <w:pPr>
        <w:ind w:left="108" w:hanging="195"/>
        <w:jc w:val="left"/>
      </w:pPr>
      <w:rPr>
        <w:rFonts w:hint="default" w:ascii="Bookman Old Style" w:hAnsi="Bookman Old Style" w:eastAsia="Bookman Old Style" w:cs="Bookman Old Style"/>
        <w:b w:val="0"/>
        <w:bCs w:val="0"/>
        <w:i w:val="0"/>
        <w:iCs w:val="0"/>
        <w:spacing w:val="-1"/>
        <w:w w:val="99"/>
        <w:sz w:val="20"/>
        <w:szCs w:val="20"/>
        <w:lang w:val="en-US" w:eastAsia="en-US" w:bidi="ar-SA"/>
      </w:rPr>
    </w:lvl>
    <w:lvl w:ilvl="1">
      <w:start w:val="0"/>
      <w:numFmt w:val="bullet"/>
      <w:lvlText w:val="•"/>
      <w:lvlJc w:val="left"/>
      <w:pPr>
        <w:ind w:left="400" w:hanging="195"/>
      </w:pPr>
      <w:rPr>
        <w:rFonts w:hint="default"/>
        <w:lang w:val="en-US" w:eastAsia="en-US" w:bidi="ar-SA"/>
      </w:rPr>
    </w:lvl>
    <w:lvl w:ilvl="2">
      <w:start w:val="0"/>
      <w:numFmt w:val="bullet"/>
      <w:lvlText w:val="•"/>
      <w:lvlJc w:val="left"/>
      <w:pPr>
        <w:ind w:left="701" w:hanging="195"/>
      </w:pPr>
      <w:rPr>
        <w:rFonts w:hint="default"/>
        <w:lang w:val="en-US" w:eastAsia="en-US" w:bidi="ar-SA"/>
      </w:rPr>
    </w:lvl>
    <w:lvl w:ilvl="3">
      <w:start w:val="0"/>
      <w:numFmt w:val="bullet"/>
      <w:lvlText w:val="•"/>
      <w:lvlJc w:val="left"/>
      <w:pPr>
        <w:ind w:left="1002" w:hanging="195"/>
      </w:pPr>
      <w:rPr>
        <w:rFonts w:hint="default"/>
        <w:lang w:val="en-US" w:eastAsia="en-US" w:bidi="ar-SA"/>
      </w:rPr>
    </w:lvl>
    <w:lvl w:ilvl="4">
      <w:start w:val="0"/>
      <w:numFmt w:val="bullet"/>
      <w:lvlText w:val="•"/>
      <w:lvlJc w:val="left"/>
      <w:pPr>
        <w:ind w:left="1303" w:hanging="195"/>
      </w:pPr>
      <w:rPr>
        <w:rFonts w:hint="default"/>
        <w:lang w:val="en-US" w:eastAsia="en-US" w:bidi="ar-SA"/>
      </w:rPr>
    </w:lvl>
    <w:lvl w:ilvl="5">
      <w:start w:val="0"/>
      <w:numFmt w:val="bullet"/>
      <w:lvlText w:val="•"/>
      <w:lvlJc w:val="left"/>
      <w:pPr>
        <w:ind w:left="1604" w:hanging="195"/>
      </w:pPr>
      <w:rPr>
        <w:rFonts w:hint="default"/>
        <w:lang w:val="en-US" w:eastAsia="en-US" w:bidi="ar-SA"/>
      </w:rPr>
    </w:lvl>
    <w:lvl w:ilvl="6">
      <w:start w:val="0"/>
      <w:numFmt w:val="bullet"/>
      <w:lvlText w:val="•"/>
      <w:lvlJc w:val="left"/>
      <w:pPr>
        <w:ind w:left="1904" w:hanging="195"/>
      </w:pPr>
      <w:rPr>
        <w:rFonts w:hint="default"/>
        <w:lang w:val="en-US" w:eastAsia="en-US" w:bidi="ar-SA"/>
      </w:rPr>
    </w:lvl>
    <w:lvl w:ilvl="7">
      <w:start w:val="0"/>
      <w:numFmt w:val="bullet"/>
      <w:lvlText w:val="•"/>
      <w:lvlJc w:val="left"/>
      <w:pPr>
        <w:ind w:left="2205" w:hanging="195"/>
      </w:pPr>
      <w:rPr>
        <w:rFonts w:hint="default"/>
        <w:lang w:val="en-US" w:eastAsia="en-US" w:bidi="ar-SA"/>
      </w:rPr>
    </w:lvl>
    <w:lvl w:ilvl="8">
      <w:start w:val="0"/>
      <w:numFmt w:val="bullet"/>
      <w:lvlText w:val="•"/>
      <w:lvlJc w:val="left"/>
      <w:pPr>
        <w:ind w:left="2506" w:hanging="195"/>
      </w:pPr>
      <w:rPr>
        <w:rFonts w:hint="default"/>
        <w:lang w:val="en-US" w:eastAsia="en-US" w:bidi="ar-SA"/>
      </w:rPr>
    </w:lvl>
  </w:abstractNum>
  <w:abstractNum w:abstractNumId="121">
    <w:multiLevelType w:val="hybridMultilevel"/>
    <w:lvl w:ilvl="0">
      <w:start w:val="1"/>
      <w:numFmt w:val="lowerLetter"/>
      <w:lvlText w:val="%1)"/>
      <w:lvlJc w:val="left"/>
      <w:pPr>
        <w:ind w:left="129" w:hanging="195"/>
        <w:jc w:val="left"/>
      </w:pPr>
      <w:rPr>
        <w:rFonts w:hint="default" w:ascii="Bookman Old Style" w:hAnsi="Bookman Old Style" w:eastAsia="Bookman Old Style" w:cs="Bookman Old Style"/>
        <w:b w:val="0"/>
        <w:bCs w:val="0"/>
        <w:i w:val="0"/>
        <w:iCs w:val="0"/>
        <w:spacing w:val="-1"/>
        <w:w w:val="98"/>
        <w:sz w:val="20"/>
        <w:szCs w:val="20"/>
        <w:lang w:val="en-US" w:eastAsia="en-US" w:bidi="ar-SA"/>
      </w:rPr>
    </w:lvl>
    <w:lvl w:ilvl="1">
      <w:start w:val="0"/>
      <w:numFmt w:val="bullet"/>
      <w:lvlText w:val="•"/>
      <w:lvlJc w:val="left"/>
      <w:pPr>
        <w:ind w:left="417" w:hanging="195"/>
      </w:pPr>
      <w:rPr>
        <w:rFonts w:hint="default"/>
        <w:lang w:val="en-US" w:eastAsia="en-US" w:bidi="ar-SA"/>
      </w:rPr>
    </w:lvl>
    <w:lvl w:ilvl="2">
      <w:start w:val="0"/>
      <w:numFmt w:val="bullet"/>
      <w:lvlText w:val="•"/>
      <w:lvlJc w:val="left"/>
      <w:pPr>
        <w:ind w:left="715" w:hanging="195"/>
      </w:pPr>
      <w:rPr>
        <w:rFonts w:hint="default"/>
        <w:lang w:val="en-US" w:eastAsia="en-US" w:bidi="ar-SA"/>
      </w:rPr>
    </w:lvl>
    <w:lvl w:ilvl="3">
      <w:start w:val="0"/>
      <w:numFmt w:val="bullet"/>
      <w:lvlText w:val="•"/>
      <w:lvlJc w:val="left"/>
      <w:pPr>
        <w:ind w:left="1012" w:hanging="195"/>
      </w:pPr>
      <w:rPr>
        <w:rFonts w:hint="default"/>
        <w:lang w:val="en-US" w:eastAsia="en-US" w:bidi="ar-SA"/>
      </w:rPr>
    </w:lvl>
    <w:lvl w:ilvl="4">
      <w:start w:val="0"/>
      <w:numFmt w:val="bullet"/>
      <w:lvlText w:val="•"/>
      <w:lvlJc w:val="left"/>
      <w:pPr>
        <w:ind w:left="1310" w:hanging="195"/>
      </w:pPr>
      <w:rPr>
        <w:rFonts w:hint="default"/>
        <w:lang w:val="en-US" w:eastAsia="en-US" w:bidi="ar-SA"/>
      </w:rPr>
    </w:lvl>
    <w:lvl w:ilvl="5">
      <w:start w:val="0"/>
      <w:numFmt w:val="bullet"/>
      <w:lvlText w:val="•"/>
      <w:lvlJc w:val="left"/>
      <w:pPr>
        <w:ind w:left="1608" w:hanging="195"/>
      </w:pPr>
      <w:rPr>
        <w:rFonts w:hint="default"/>
        <w:lang w:val="en-US" w:eastAsia="en-US" w:bidi="ar-SA"/>
      </w:rPr>
    </w:lvl>
    <w:lvl w:ilvl="6">
      <w:start w:val="0"/>
      <w:numFmt w:val="bullet"/>
      <w:lvlText w:val="•"/>
      <w:lvlJc w:val="left"/>
      <w:pPr>
        <w:ind w:left="1905" w:hanging="195"/>
      </w:pPr>
      <w:rPr>
        <w:rFonts w:hint="default"/>
        <w:lang w:val="en-US" w:eastAsia="en-US" w:bidi="ar-SA"/>
      </w:rPr>
    </w:lvl>
    <w:lvl w:ilvl="7">
      <w:start w:val="0"/>
      <w:numFmt w:val="bullet"/>
      <w:lvlText w:val="•"/>
      <w:lvlJc w:val="left"/>
      <w:pPr>
        <w:ind w:left="2203" w:hanging="195"/>
      </w:pPr>
      <w:rPr>
        <w:rFonts w:hint="default"/>
        <w:lang w:val="en-US" w:eastAsia="en-US" w:bidi="ar-SA"/>
      </w:rPr>
    </w:lvl>
    <w:lvl w:ilvl="8">
      <w:start w:val="0"/>
      <w:numFmt w:val="bullet"/>
      <w:lvlText w:val="•"/>
      <w:lvlJc w:val="left"/>
      <w:pPr>
        <w:ind w:left="2500" w:hanging="195"/>
      </w:pPr>
      <w:rPr>
        <w:rFonts w:hint="default"/>
        <w:lang w:val="en-US" w:eastAsia="en-US" w:bidi="ar-SA"/>
      </w:rPr>
    </w:lvl>
  </w:abstractNum>
  <w:abstractNum w:abstractNumId="120">
    <w:multiLevelType w:val="hybridMultilevel"/>
    <w:lvl w:ilvl="0">
      <w:start w:val="1"/>
      <w:numFmt w:val="lowerLetter"/>
      <w:lvlText w:val="%1)"/>
      <w:lvlJc w:val="left"/>
      <w:pPr>
        <w:ind w:left="108" w:hanging="281"/>
        <w:jc w:val="left"/>
      </w:pPr>
      <w:rPr>
        <w:rFonts w:hint="default" w:ascii="Bookman Old Style" w:hAnsi="Bookman Old Style" w:eastAsia="Bookman Old Style" w:cs="Bookman Old Style"/>
        <w:b w:val="0"/>
        <w:bCs w:val="0"/>
        <w:i w:val="0"/>
        <w:iCs w:val="0"/>
        <w:spacing w:val="0"/>
        <w:w w:val="100"/>
        <w:sz w:val="22"/>
        <w:szCs w:val="22"/>
        <w:lang w:val="en-US" w:eastAsia="en-US" w:bidi="ar-SA"/>
      </w:rPr>
    </w:lvl>
    <w:lvl w:ilvl="1">
      <w:start w:val="0"/>
      <w:numFmt w:val="bullet"/>
      <w:lvlText w:val="•"/>
      <w:lvlJc w:val="left"/>
      <w:pPr>
        <w:ind w:left="400" w:hanging="281"/>
      </w:pPr>
      <w:rPr>
        <w:rFonts w:hint="default"/>
        <w:lang w:val="en-US" w:eastAsia="en-US" w:bidi="ar-SA"/>
      </w:rPr>
    </w:lvl>
    <w:lvl w:ilvl="2">
      <w:start w:val="0"/>
      <w:numFmt w:val="bullet"/>
      <w:lvlText w:val="•"/>
      <w:lvlJc w:val="left"/>
      <w:pPr>
        <w:ind w:left="701" w:hanging="281"/>
      </w:pPr>
      <w:rPr>
        <w:rFonts w:hint="default"/>
        <w:lang w:val="en-US" w:eastAsia="en-US" w:bidi="ar-SA"/>
      </w:rPr>
    </w:lvl>
    <w:lvl w:ilvl="3">
      <w:start w:val="0"/>
      <w:numFmt w:val="bullet"/>
      <w:lvlText w:val="•"/>
      <w:lvlJc w:val="left"/>
      <w:pPr>
        <w:ind w:left="1002" w:hanging="281"/>
      </w:pPr>
      <w:rPr>
        <w:rFonts w:hint="default"/>
        <w:lang w:val="en-US" w:eastAsia="en-US" w:bidi="ar-SA"/>
      </w:rPr>
    </w:lvl>
    <w:lvl w:ilvl="4">
      <w:start w:val="0"/>
      <w:numFmt w:val="bullet"/>
      <w:lvlText w:val="•"/>
      <w:lvlJc w:val="left"/>
      <w:pPr>
        <w:ind w:left="1303" w:hanging="281"/>
      </w:pPr>
      <w:rPr>
        <w:rFonts w:hint="default"/>
        <w:lang w:val="en-US" w:eastAsia="en-US" w:bidi="ar-SA"/>
      </w:rPr>
    </w:lvl>
    <w:lvl w:ilvl="5">
      <w:start w:val="0"/>
      <w:numFmt w:val="bullet"/>
      <w:lvlText w:val="•"/>
      <w:lvlJc w:val="left"/>
      <w:pPr>
        <w:ind w:left="1604" w:hanging="281"/>
      </w:pPr>
      <w:rPr>
        <w:rFonts w:hint="default"/>
        <w:lang w:val="en-US" w:eastAsia="en-US" w:bidi="ar-SA"/>
      </w:rPr>
    </w:lvl>
    <w:lvl w:ilvl="6">
      <w:start w:val="0"/>
      <w:numFmt w:val="bullet"/>
      <w:lvlText w:val="•"/>
      <w:lvlJc w:val="left"/>
      <w:pPr>
        <w:ind w:left="1905" w:hanging="281"/>
      </w:pPr>
      <w:rPr>
        <w:rFonts w:hint="default"/>
        <w:lang w:val="en-US" w:eastAsia="en-US" w:bidi="ar-SA"/>
      </w:rPr>
    </w:lvl>
    <w:lvl w:ilvl="7">
      <w:start w:val="0"/>
      <w:numFmt w:val="bullet"/>
      <w:lvlText w:val="•"/>
      <w:lvlJc w:val="left"/>
      <w:pPr>
        <w:ind w:left="2206" w:hanging="281"/>
      </w:pPr>
      <w:rPr>
        <w:rFonts w:hint="default"/>
        <w:lang w:val="en-US" w:eastAsia="en-US" w:bidi="ar-SA"/>
      </w:rPr>
    </w:lvl>
    <w:lvl w:ilvl="8">
      <w:start w:val="0"/>
      <w:numFmt w:val="bullet"/>
      <w:lvlText w:val="•"/>
      <w:lvlJc w:val="left"/>
      <w:pPr>
        <w:ind w:left="2507" w:hanging="281"/>
      </w:pPr>
      <w:rPr>
        <w:rFonts w:hint="default"/>
        <w:lang w:val="en-US" w:eastAsia="en-US" w:bidi="ar-SA"/>
      </w:rPr>
    </w:lvl>
  </w:abstractNum>
  <w:abstractNum w:abstractNumId="119">
    <w:multiLevelType w:val="hybridMultilevel"/>
    <w:lvl w:ilvl="0">
      <w:start w:val="1"/>
      <w:numFmt w:val="lowerLetter"/>
      <w:lvlText w:val="%1)"/>
      <w:lvlJc w:val="left"/>
      <w:pPr>
        <w:ind w:left="182" w:hanging="195"/>
        <w:jc w:val="left"/>
      </w:pPr>
      <w:rPr>
        <w:rFonts w:hint="default" w:ascii="Bookman Old Style" w:hAnsi="Bookman Old Style" w:eastAsia="Bookman Old Style" w:cs="Bookman Old Style"/>
        <w:b w:val="0"/>
        <w:bCs w:val="0"/>
        <w:i w:val="0"/>
        <w:iCs w:val="0"/>
        <w:spacing w:val="-1"/>
        <w:w w:val="99"/>
        <w:sz w:val="20"/>
        <w:szCs w:val="20"/>
        <w:lang w:val="en-US" w:eastAsia="en-US" w:bidi="ar-SA"/>
      </w:rPr>
    </w:lvl>
    <w:lvl w:ilvl="1">
      <w:start w:val="0"/>
      <w:numFmt w:val="bullet"/>
      <w:lvlText w:val="•"/>
      <w:lvlJc w:val="left"/>
      <w:pPr>
        <w:ind w:left="471" w:hanging="195"/>
      </w:pPr>
      <w:rPr>
        <w:rFonts w:hint="default"/>
        <w:lang w:val="en-US" w:eastAsia="en-US" w:bidi="ar-SA"/>
      </w:rPr>
    </w:lvl>
    <w:lvl w:ilvl="2">
      <w:start w:val="0"/>
      <w:numFmt w:val="bullet"/>
      <w:lvlText w:val="•"/>
      <w:lvlJc w:val="left"/>
      <w:pPr>
        <w:ind w:left="763" w:hanging="195"/>
      </w:pPr>
      <w:rPr>
        <w:rFonts w:hint="default"/>
        <w:lang w:val="en-US" w:eastAsia="en-US" w:bidi="ar-SA"/>
      </w:rPr>
    </w:lvl>
    <w:lvl w:ilvl="3">
      <w:start w:val="0"/>
      <w:numFmt w:val="bullet"/>
      <w:lvlText w:val="•"/>
      <w:lvlJc w:val="left"/>
      <w:pPr>
        <w:ind w:left="1054" w:hanging="195"/>
      </w:pPr>
      <w:rPr>
        <w:rFonts w:hint="default"/>
        <w:lang w:val="en-US" w:eastAsia="en-US" w:bidi="ar-SA"/>
      </w:rPr>
    </w:lvl>
    <w:lvl w:ilvl="4">
      <w:start w:val="0"/>
      <w:numFmt w:val="bullet"/>
      <w:lvlText w:val="•"/>
      <w:lvlJc w:val="left"/>
      <w:pPr>
        <w:ind w:left="1346" w:hanging="195"/>
      </w:pPr>
      <w:rPr>
        <w:rFonts w:hint="default"/>
        <w:lang w:val="en-US" w:eastAsia="en-US" w:bidi="ar-SA"/>
      </w:rPr>
    </w:lvl>
    <w:lvl w:ilvl="5">
      <w:start w:val="0"/>
      <w:numFmt w:val="bullet"/>
      <w:lvlText w:val="•"/>
      <w:lvlJc w:val="left"/>
      <w:pPr>
        <w:ind w:left="1638" w:hanging="195"/>
      </w:pPr>
      <w:rPr>
        <w:rFonts w:hint="default"/>
        <w:lang w:val="en-US" w:eastAsia="en-US" w:bidi="ar-SA"/>
      </w:rPr>
    </w:lvl>
    <w:lvl w:ilvl="6">
      <w:start w:val="0"/>
      <w:numFmt w:val="bullet"/>
      <w:lvlText w:val="•"/>
      <w:lvlJc w:val="left"/>
      <w:pPr>
        <w:ind w:left="1929" w:hanging="195"/>
      </w:pPr>
      <w:rPr>
        <w:rFonts w:hint="default"/>
        <w:lang w:val="en-US" w:eastAsia="en-US" w:bidi="ar-SA"/>
      </w:rPr>
    </w:lvl>
    <w:lvl w:ilvl="7">
      <w:start w:val="0"/>
      <w:numFmt w:val="bullet"/>
      <w:lvlText w:val="•"/>
      <w:lvlJc w:val="left"/>
      <w:pPr>
        <w:ind w:left="2221" w:hanging="195"/>
      </w:pPr>
      <w:rPr>
        <w:rFonts w:hint="default"/>
        <w:lang w:val="en-US" w:eastAsia="en-US" w:bidi="ar-SA"/>
      </w:rPr>
    </w:lvl>
    <w:lvl w:ilvl="8">
      <w:start w:val="0"/>
      <w:numFmt w:val="bullet"/>
      <w:lvlText w:val="•"/>
      <w:lvlJc w:val="left"/>
      <w:pPr>
        <w:ind w:left="2512" w:hanging="195"/>
      </w:pPr>
      <w:rPr>
        <w:rFonts w:hint="default"/>
        <w:lang w:val="en-US" w:eastAsia="en-US" w:bidi="ar-SA"/>
      </w:rPr>
    </w:lvl>
  </w:abstractNum>
  <w:abstractNum w:abstractNumId="118">
    <w:multiLevelType w:val="hybridMultilevel"/>
    <w:lvl w:ilvl="0">
      <w:start w:val="4"/>
      <w:numFmt w:val="decimal"/>
      <w:lvlText w:val="%1"/>
      <w:lvlJc w:val="left"/>
      <w:pPr>
        <w:ind w:left="1265" w:hanging="493"/>
        <w:jc w:val="left"/>
      </w:pPr>
      <w:rPr>
        <w:rFonts w:hint="default"/>
        <w:lang w:val="en-US" w:eastAsia="en-US" w:bidi="ar-SA"/>
      </w:rPr>
    </w:lvl>
    <w:lvl w:ilvl="1">
      <w:start w:val="0"/>
      <w:numFmt w:val="decimal"/>
      <w:lvlText w:val="%1.%2"/>
      <w:lvlJc w:val="left"/>
      <w:pPr>
        <w:ind w:left="1265" w:hanging="493"/>
        <w:jc w:val="right"/>
      </w:pPr>
      <w:rPr>
        <w:rFonts w:hint="default" w:ascii="Bookman Old Style" w:hAnsi="Bookman Old Style" w:eastAsia="Bookman Old Style" w:cs="Bookman Old Style"/>
        <w:b/>
        <w:bCs/>
        <w:i w:val="0"/>
        <w:iCs w:val="0"/>
        <w:spacing w:val="-1"/>
        <w:w w:val="100"/>
        <w:sz w:val="24"/>
        <w:szCs w:val="24"/>
        <w:lang w:val="en-US" w:eastAsia="en-US" w:bidi="ar-SA"/>
      </w:rPr>
    </w:lvl>
    <w:lvl w:ilvl="2">
      <w:start w:val="1"/>
      <w:numFmt w:val="decimal"/>
      <w:lvlText w:val="%1.%2.%3"/>
      <w:lvlJc w:val="left"/>
      <w:pPr>
        <w:ind w:left="772" w:hanging="769"/>
        <w:jc w:val="right"/>
      </w:pPr>
      <w:rPr>
        <w:rFonts w:hint="default" w:ascii="Bookman Old Style" w:hAnsi="Bookman Old Style" w:eastAsia="Bookman Old Style" w:cs="Bookman Old Style"/>
        <w:b/>
        <w:bCs/>
        <w:i w:val="0"/>
        <w:iCs w:val="0"/>
        <w:spacing w:val="-1"/>
        <w:w w:val="100"/>
        <w:sz w:val="24"/>
        <w:szCs w:val="24"/>
        <w:lang w:val="en-US" w:eastAsia="en-US" w:bidi="ar-SA"/>
      </w:rPr>
    </w:lvl>
    <w:lvl w:ilvl="3">
      <w:start w:val="0"/>
      <w:numFmt w:val="bullet"/>
      <w:lvlText w:val="•"/>
      <w:lvlJc w:val="left"/>
      <w:pPr>
        <w:ind w:left="3465" w:hanging="769"/>
      </w:pPr>
      <w:rPr>
        <w:rFonts w:hint="default"/>
        <w:lang w:val="en-US" w:eastAsia="en-US" w:bidi="ar-SA"/>
      </w:rPr>
    </w:lvl>
    <w:lvl w:ilvl="4">
      <w:start w:val="0"/>
      <w:numFmt w:val="bullet"/>
      <w:lvlText w:val="•"/>
      <w:lvlJc w:val="left"/>
      <w:pPr>
        <w:ind w:left="4568" w:hanging="769"/>
      </w:pPr>
      <w:rPr>
        <w:rFonts w:hint="default"/>
        <w:lang w:val="en-US" w:eastAsia="en-US" w:bidi="ar-SA"/>
      </w:rPr>
    </w:lvl>
    <w:lvl w:ilvl="5">
      <w:start w:val="0"/>
      <w:numFmt w:val="bullet"/>
      <w:lvlText w:val="•"/>
      <w:lvlJc w:val="left"/>
      <w:pPr>
        <w:ind w:left="5671" w:hanging="769"/>
      </w:pPr>
      <w:rPr>
        <w:rFonts w:hint="default"/>
        <w:lang w:val="en-US" w:eastAsia="en-US" w:bidi="ar-SA"/>
      </w:rPr>
    </w:lvl>
    <w:lvl w:ilvl="6">
      <w:start w:val="0"/>
      <w:numFmt w:val="bullet"/>
      <w:lvlText w:val="•"/>
      <w:lvlJc w:val="left"/>
      <w:pPr>
        <w:ind w:left="6774" w:hanging="769"/>
      </w:pPr>
      <w:rPr>
        <w:rFonts w:hint="default"/>
        <w:lang w:val="en-US" w:eastAsia="en-US" w:bidi="ar-SA"/>
      </w:rPr>
    </w:lvl>
    <w:lvl w:ilvl="7">
      <w:start w:val="0"/>
      <w:numFmt w:val="bullet"/>
      <w:lvlText w:val="•"/>
      <w:lvlJc w:val="left"/>
      <w:pPr>
        <w:ind w:left="7877" w:hanging="769"/>
      </w:pPr>
      <w:rPr>
        <w:rFonts w:hint="default"/>
        <w:lang w:val="en-US" w:eastAsia="en-US" w:bidi="ar-SA"/>
      </w:rPr>
    </w:lvl>
    <w:lvl w:ilvl="8">
      <w:start w:val="0"/>
      <w:numFmt w:val="bullet"/>
      <w:lvlText w:val="•"/>
      <w:lvlJc w:val="left"/>
      <w:pPr>
        <w:ind w:left="8980" w:hanging="769"/>
      </w:pPr>
      <w:rPr>
        <w:rFonts w:hint="default"/>
        <w:lang w:val="en-US" w:eastAsia="en-US" w:bidi="ar-SA"/>
      </w:rPr>
    </w:lvl>
  </w:abstractNum>
  <w:abstractNum w:abstractNumId="117">
    <w:multiLevelType w:val="hybridMultilevel"/>
    <w:lvl w:ilvl="0">
      <w:start w:val="1"/>
      <w:numFmt w:val="lowerRoman"/>
      <w:lvlText w:val="%1)"/>
      <w:lvlJc w:val="left"/>
      <w:pPr>
        <w:ind w:left="1133" w:hanging="361"/>
        <w:jc w:val="left"/>
      </w:pPr>
      <w:rPr>
        <w:rFonts w:hint="default"/>
        <w:spacing w:val="0"/>
        <w:w w:val="100"/>
        <w:lang w:val="en-US" w:eastAsia="en-US" w:bidi="ar-SA"/>
      </w:rPr>
    </w:lvl>
    <w:lvl w:ilvl="1">
      <w:start w:val="0"/>
      <w:numFmt w:val="bullet"/>
      <w:lvlText w:val="•"/>
      <w:lvlJc w:val="left"/>
      <w:pPr>
        <w:ind w:left="2144" w:hanging="361"/>
      </w:pPr>
      <w:rPr>
        <w:rFonts w:hint="default"/>
        <w:lang w:val="en-US" w:eastAsia="en-US" w:bidi="ar-SA"/>
      </w:rPr>
    </w:lvl>
    <w:lvl w:ilvl="2">
      <w:start w:val="0"/>
      <w:numFmt w:val="bullet"/>
      <w:lvlText w:val="•"/>
      <w:lvlJc w:val="left"/>
      <w:pPr>
        <w:ind w:left="3149" w:hanging="361"/>
      </w:pPr>
      <w:rPr>
        <w:rFonts w:hint="default"/>
        <w:lang w:val="en-US" w:eastAsia="en-US" w:bidi="ar-SA"/>
      </w:rPr>
    </w:lvl>
    <w:lvl w:ilvl="3">
      <w:start w:val="0"/>
      <w:numFmt w:val="bullet"/>
      <w:lvlText w:val="•"/>
      <w:lvlJc w:val="left"/>
      <w:pPr>
        <w:ind w:left="4153" w:hanging="361"/>
      </w:pPr>
      <w:rPr>
        <w:rFonts w:hint="default"/>
        <w:lang w:val="en-US" w:eastAsia="en-US" w:bidi="ar-SA"/>
      </w:rPr>
    </w:lvl>
    <w:lvl w:ilvl="4">
      <w:start w:val="0"/>
      <w:numFmt w:val="bullet"/>
      <w:lvlText w:val="•"/>
      <w:lvlJc w:val="left"/>
      <w:pPr>
        <w:ind w:left="5158" w:hanging="361"/>
      </w:pPr>
      <w:rPr>
        <w:rFonts w:hint="default"/>
        <w:lang w:val="en-US" w:eastAsia="en-US" w:bidi="ar-SA"/>
      </w:rPr>
    </w:lvl>
    <w:lvl w:ilvl="5">
      <w:start w:val="0"/>
      <w:numFmt w:val="bullet"/>
      <w:lvlText w:val="•"/>
      <w:lvlJc w:val="left"/>
      <w:pPr>
        <w:ind w:left="6163" w:hanging="361"/>
      </w:pPr>
      <w:rPr>
        <w:rFonts w:hint="default"/>
        <w:lang w:val="en-US" w:eastAsia="en-US" w:bidi="ar-SA"/>
      </w:rPr>
    </w:lvl>
    <w:lvl w:ilvl="6">
      <w:start w:val="0"/>
      <w:numFmt w:val="bullet"/>
      <w:lvlText w:val="•"/>
      <w:lvlJc w:val="left"/>
      <w:pPr>
        <w:ind w:left="7167" w:hanging="361"/>
      </w:pPr>
      <w:rPr>
        <w:rFonts w:hint="default"/>
        <w:lang w:val="en-US" w:eastAsia="en-US" w:bidi="ar-SA"/>
      </w:rPr>
    </w:lvl>
    <w:lvl w:ilvl="7">
      <w:start w:val="0"/>
      <w:numFmt w:val="bullet"/>
      <w:lvlText w:val="•"/>
      <w:lvlJc w:val="left"/>
      <w:pPr>
        <w:ind w:left="8172" w:hanging="361"/>
      </w:pPr>
      <w:rPr>
        <w:rFonts w:hint="default"/>
        <w:lang w:val="en-US" w:eastAsia="en-US" w:bidi="ar-SA"/>
      </w:rPr>
    </w:lvl>
    <w:lvl w:ilvl="8">
      <w:start w:val="0"/>
      <w:numFmt w:val="bullet"/>
      <w:lvlText w:val="•"/>
      <w:lvlJc w:val="left"/>
      <w:pPr>
        <w:ind w:left="9177" w:hanging="361"/>
      </w:pPr>
      <w:rPr>
        <w:rFonts w:hint="default"/>
        <w:lang w:val="en-US" w:eastAsia="en-US" w:bidi="ar-SA"/>
      </w:rPr>
    </w:lvl>
  </w:abstractNum>
  <w:abstractNum w:abstractNumId="116">
    <w:multiLevelType w:val="hybridMultilevel"/>
    <w:lvl w:ilvl="0">
      <w:start w:val="1"/>
      <w:numFmt w:val="lowerLetter"/>
      <w:lvlText w:val="(%1)"/>
      <w:lvlJc w:val="left"/>
      <w:pPr>
        <w:ind w:left="1824" w:hanging="285"/>
        <w:jc w:val="left"/>
      </w:pPr>
      <w:rPr>
        <w:rFonts w:hint="default" w:ascii="Bookman Old Style" w:hAnsi="Bookman Old Style" w:eastAsia="Bookman Old Style" w:cs="Bookman Old Style"/>
        <w:b w:val="0"/>
        <w:bCs w:val="0"/>
        <w:i w:val="0"/>
        <w:iCs w:val="0"/>
        <w:spacing w:val="-1"/>
        <w:w w:val="100"/>
        <w:sz w:val="22"/>
        <w:szCs w:val="22"/>
        <w:lang w:val="en-US" w:eastAsia="en-US" w:bidi="ar-SA"/>
      </w:rPr>
    </w:lvl>
    <w:lvl w:ilvl="1">
      <w:start w:val="0"/>
      <w:numFmt w:val="bullet"/>
      <w:lvlText w:val="•"/>
      <w:lvlJc w:val="left"/>
      <w:pPr>
        <w:ind w:left="2756" w:hanging="285"/>
      </w:pPr>
      <w:rPr>
        <w:rFonts w:hint="default"/>
        <w:lang w:val="en-US" w:eastAsia="en-US" w:bidi="ar-SA"/>
      </w:rPr>
    </w:lvl>
    <w:lvl w:ilvl="2">
      <w:start w:val="0"/>
      <w:numFmt w:val="bullet"/>
      <w:lvlText w:val="•"/>
      <w:lvlJc w:val="left"/>
      <w:pPr>
        <w:ind w:left="3693" w:hanging="285"/>
      </w:pPr>
      <w:rPr>
        <w:rFonts w:hint="default"/>
        <w:lang w:val="en-US" w:eastAsia="en-US" w:bidi="ar-SA"/>
      </w:rPr>
    </w:lvl>
    <w:lvl w:ilvl="3">
      <w:start w:val="0"/>
      <w:numFmt w:val="bullet"/>
      <w:lvlText w:val="•"/>
      <w:lvlJc w:val="left"/>
      <w:pPr>
        <w:ind w:left="4629" w:hanging="285"/>
      </w:pPr>
      <w:rPr>
        <w:rFonts w:hint="default"/>
        <w:lang w:val="en-US" w:eastAsia="en-US" w:bidi="ar-SA"/>
      </w:rPr>
    </w:lvl>
    <w:lvl w:ilvl="4">
      <w:start w:val="0"/>
      <w:numFmt w:val="bullet"/>
      <w:lvlText w:val="•"/>
      <w:lvlJc w:val="left"/>
      <w:pPr>
        <w:ind w:left="5566" w:hanging="285"/>
      </w:pPr>
      <w:rPr>
        <w:rFonts w:hint="default"/>
        <w:lang w:val="en-US" w:eastAsia="en-US" w:bidi="ar-SA"/>
      </w:rPr>
    </w:lvl>
    <w:lvl w:ilvl="5">
      <w:start w:val="0"/>
      <w:numFmt w:val="bullet"/>
      <w:lvlText w:val="•"/>
      <w:lvlJc w:val="left"/>
      <w:pPr>
        <w:ind w:left="6503" w:hanging="285"/>
      </w:pPr>
      <w:rPr>
        <w:rFonts w:hint="default"/>
        <w:lang w:val="en-US" w:eastAsia="en-US" w:bidi="ar-SA"/>
      </w:rPr>
    </w:lvl>
    <w:lvl w:ilvl="6">
      <w:start w:val="0"/>
      <w:numFmt w:val="bullet"/>
      <w:lvlText w:val="•"/>
      <w:lvlJc w:val="left"/>
      <w:pPr>
        <w:ind w:left="7439" w:hanging="285"/>
      </w:pPr>
      <w:rPr>
        <w:rFonts w:hint="default"/>
        <w:lang w:val="en-US" w:eastAsia="en-US" w:bidi="ar-SA"/>
      </w:rPr>
    </w:lvl>
    <w:lvl w:ilvl="7">
      <w:start w:val="0"/>
      <w:numFmt w:val="bullet"/>
      <w:lvlText w:val="•"/>
      <w:lvlJc w:val="left"/>
      <w:pPr>
        <w:ind w:left="8376" w:hanging="285"/>
      </w:pPr>
      <w:rPr>
        <w:rFonts w:hint="default"/>
        <w:lang w:val="en-US" w:eastAsia="en-US" w:bidi="ar-SA"/>
      </w:rPr>
    </w:lvl>
    <w:lvl w:ilvl="8">
      <w:start w:val="0"/>
      <w:numFmt w:val="bullet"/>
      <w:lvlText w:val="•"/>
      <w:lvlJc w:val="left"/>
      <w:pPr>
        <w:ind w:left="9313" w:hanging="285"/>
      </w:pPr>
      <w:rPr>
        <w:rFonts w:hint="default"/>
        <w:lang w:val="en-US" w:eastAsia="en-US" w:bidi="ar-SA"/>
      </w:rPr>
    </w:lvl>
  </w:abstractNum>
  <w:abstractNum w:abstractNumId="115">
    <w:multiLevelType w:val="hybridMultilevel"/>
    <w:lvl w:ilvl="0">
      <w:start w:val="39"/>
      <w:numFmt w:val="lowerRoman"/>
      <w:lvlText w:val="(%1)"/>
      <w:lvlJc w:val="left"/>
      <w:pPr>
        <w:ind w:left="2484" w:hanging="867"/>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2532" w:hanging="44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500" w:hanging="440"/>
      </w:pPr>
      <w:rPr>
        <w:rFonts w:hint="default"/>
        <w:lang w:val="en-US" w:eastAsia="en-US" w:bidi="ar-SA"/>
      </w:rPr>
    </w:lvl>
    <w:lvl w:ilvl="3">
      <w:start w:val="0"/>
      <w:numFmt w:val="bullet"/>
      <w:lvlText w:val="•"/>
      <w:lvlJc w:val="left"/>
      <w:pPr>
        <w:ind w:left="4461" w:hanging="440"/>
      </w:pPr>
      <w:rPr>
        <w:rFonts w:hint="default"/>
        <w:lang w:val="en-US" w:eastAsia="en-US" w:bidi="ar-SA"/>
      </w:rPr>
    </w:lvl>
    <w:lvl w:ilvl="4">
      <w:start w:val="0"/>
      <w:numFmt w:val="bullet"/>
      <w:lvlText w:val="•"/>
      <w:lvlJc w:val="left"/>
      <w:pPr>
        <w:ind w:left="5422" w:hanging="440"/>
      </w:pPr>
      <w:rPr>
        <w:rFonts w:hint="default"/>
        <w:lang w:val="en-US" w:eastAsia="en-US" w:bidi="ar-SA"/>
      </w:rPr>
    </w:lvl>
    <w:lvl w:ilvl="5">
      <w:start w:val="0"/>
      <w:numFmt w:val="bullet"/>
      <w:lvlText w:val="•"/>
      <w:lvlJc w:val="left"/>
      <w:pPr>
        <w:ind w:left="6382" w:hanging="440"/>
      </w:pPr>
      <w:rPr>
        <w:rFonts w:hint="default"/>
        <w:lang w:val="en-US" w:eastAsia="en-US" w:bidi="ar-SA"/>
      </w:rPr>
    </w:lvl>
    <w:lvl w:ilvl="6">
      <w:start w:val="0"/>
      <w:numFmt w:val="bullet"/>
      <w:lvlText w:val="•"/>
      <w:lvlJc w:val="left"/>
      <w:pPr>
        <w:ind w:left="7343" w:hanging="440"/>
      </w:pPr>
      <w:rPr>
        <w:rFonts w:hint="default"/>
        <w:lang w:val="en-US" w:eastAsia="en-US" w:bidi="ar-SA"/>
      </w:rPr>
    </w:lvl>
    <w:lvl w:ilvl="7">
      <w:start w:val="0"/>
      <w:numFmt w:val="bullet"/>
      <w:lvlText w:val="•"/>
      <w:lvlJc w:val="left"/>
      <w:pPr>
        <w:ind w:left="8304" w:hanging="440"/>
      </w:pPr>
      <w:rPr>
        <w:rFonts w:hint="default"/>
        <w:lang w:val="en-US" w:eastAsia="en-US" w:bidi="ar-SA"/>
      </w:rPr>
    </w:lvl>
    <w:lvl w:ilvl="8">
      <w:start w:val="0"/>
      <w:numFmt w:val="bullet"/>
      <w:lvlText w:val="•"/>
      <w:lvlJc w:val="left"/>
      <w:pPr>
        <w:ind w:left="9264" w:hanging="440"/>
      </w:pPr>
      <w:rPr>
        <w:rFonts w:hint="default"/>
        <w:lang w:val="en-US" w:eastAsia="en-US" w:bidi="ar-SA"/>
      </w:rPr>
    </w:lvl>
  </w:abstractNum>
  <w:abstractNum w:abstractNumId="114">
    <w:multiLevelType w:val="hybridMultilevel"/>
    <w:lvl w:ilvl="0">
      <w:start w:val="1"/>
      <w:numFmt w:val="lowerRoman"/>
      <w:lvlText w:val="%1."/>
      <w:lvlJc w:val="left"/>
      <w:pPr>
        <w:ind w:left="2093" w:hanging="22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008" w:hanging="224"/>
      </w:pPr>
      <w:rPr>
        <w:rFonts w:hint="default"/>
        <w:lang w:val="en-US" w:eastAsia="en-US" w:bidi="ar-SA"/>
      </w:rPr>
    </w:lvl>
    <w:lvl w:ilvl="2">
      <w:start w:val="0"/>
      <w:numFmt w:val="bullet"/>
      <w:lvlText w:val="•"/>
      <w:lvlJc w:val="left"/>
      <w:pPr>
        <w:ind w:left="3917" w:hanging="224"/>
      </w:pPr>
      <w:rPr>
        <w:rFonts w:hint="default"/>
        <w:lang w:val="en-US" w:eastAsia="en-US" w:bidi="ar-SA"/>
      </w:rPr>
    </w:lvl>
    <w:lvl w:ilvl="3">
      <w:start w:val="0"/>
      <w:numFmt w:val="bullet"/>
      <w:lvlText w:val="•"/>
      <w:lvlJc w:val="left"/>
      <w:pPr>
        <w:ind w:left="4825" w:hanging="224"/>
      </w:pPr>
      <w:rPr>
        <w:rFonts w:hint="default"/>
        <w:lang w:val="en-US" w:eastAsia="en-US" w:bidi="ar-SA"/>
      </w:rPr>
    </w:lvl>
    <w:lvl w:ilvl="4">
      <w:start w:val="0"/>
      <w:numFmt w:val="bullet"/>
      <w:lvlText w:val="•"/>
      <w:lvlJc w:val="left"/>
      <w:pPr>
        <w:ind w:left="5734" w:hanging="224"/>
      </w:pPr>
      <w:rPr>
        <w:rFonts w:hint="default"/>
        <w:lang w:val="en-US" w:eastAsia="en-US" w:bidi="ar-SA"/>
      </w:rPr>
    </w:lvl>
    <w:lvl w:ilvl="5">
      <w:start w:val="0"/>
      <w:numFmt w:val="bullet"/>
      <w:lvlText w:val="•"/>
      <w:lvlJc w:val="left"/>
      <w:pPr>
        <w:ind w:left="6643" w:hanging="224"/>
      </w:pPr>
      <w:rPr>
        <w:rFonts w:hint="default"/>
        <w:lang w:val="en-US" w:eastAsia="en-US" w:bidi="ar-SA"/>
      </w:rPr>
    </w:lvl>
    <w:lvl w:ilvl="6">
      <w:start w:val="0"/>
      <w:numFmt w:val="bullet"/>
      <w:lvlText w:val="•"/>
      <w:lvlJc w:val="left"/>
      <w:pPr>
        <w:ind w:left="7551" w:hanging="224"/>
      </w:pPr>
      <w:rPr>
        <w:rFonts w:hint="default"/>
        <w:lang w:val="en-US" w:eastAsia="en-US" w:bidi="ar-SA"/>
      </w:rPr>
    </w:lvl>
    <w:lvl w:ilvl="7">
      <w:start w:val="0"/>
      <w:numFmt w:val="bullet"/>
      <w:lvlText w:val="•"/>
      <w:lvlJc w:val="left"/>
      <w:pPr>
        <w:ind w:left="8460" w:hanging="224"/>
      </w:pPr>
      <w:rPr>
        <w:rFonts w:hint="default"/>
        <w:lang w:val="en-US" w:eastAsia="en-US" w:bidi="ar-SA"/>
      </w:rPr>
    </w:lvl>
    <w:lvl w:ilvl="8">
      <w:start w:val="0"/>
      <w:numFmt w:val="bullet"/>
      <w:lvlText w:val="•"/>
      <w:lvlJc w:val="left"/>
      <w:pPr>
        <w:ind w:left="9369" w:hanging="224"/>
      </w:pPr>
      <w:rPr>
        <w:rFonts w:hint="default"/>
        <w:lang w:val="en-US" w:eastAsia="en-US" w:bidi="ar-SA"/>
      </w:rPr>
    </w:lvl>
  </w:abstractNum>
  <w:abstractNum w:abstractNumId="113">
    <w:multiLevelType w:val="hybridMultilevel"/>
    <w:lvl w:ilvl="0">
      <w:start w:val="1"/>
      <w:numFmt w:val="decimal"/>
      <w:lvlText w:val="(%1)"/>
      <w:lvlJc w:val="left"/>
      <w:pPr>
        <w:ind w:left="1862" w:hanging="370"/>
        <w:jc w:val="left"/>
      </w:pPr>
      <w:rPr>
        <w:rFonts w:hint="default"/>
        <w:spacing w:val="0"/>
        <w:w w:val="100"/>
        <w:lang w:val="en-US" w:eastAsia="en-US" w:bidi="ar-SA"/>
      </w:rPr>
    </w:lvl>
    <w:lvl w:ilvl="1">
      <w:start w:val="1"/>
      <w:numFmt w:val="lowerRoman"/>
      <w:lvlText w:val="(%2)"/>
      <w:lvlJc w:val="left"/>
      <w:pPr>
        <w:ind w:left="2093" w:hanging="440"/>
        <w:jc w:val="left"/>
      </w:pPr>
      <w:rPr>
        <w:rFonts w:hint="default" w:ascii="Bookman Old Style" w:hAnsi="Bookman Old Style" w:eastAsia="Bookman Old Style" w:cs="Bookman Old Style"/>
        <w:b w:val="0"/>
        <w:bCs w:val="0"/>
        <w:i w:val="0"/>
        <w:iCs w:val="0"/>
        <w:spacing w:val="0"/>
        <w:w w:val="94"/>
        <w:sz w:val="24"/>
        <w:szCs w:val="24"/>
        <w:lang w:val="en-US" w:eastAsia="en-US" w:bidi="ar-SA"/>
      </w:rPr>
    </w:lvl>
    <w:lvl w:ilvl="2">
      <w:start w:val="1"/>
      <w:numFmt w:val="decimal"/>
      <w:lvlText w:val="(%3)"/>
      <w:lvlJc w:val="left"/>
      <w:pPr>
        <w:ind w:left="2462" w:hanging="37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2460" w:hanging="370"/>
      </w:pPr>
      <w:rPr>
        <w:rFonts w:hint="default"/>
        <w:lang w:val="en-US" w:eastAsia="en-US" w:bidi="ar-SA"/>
      </w:rPr>
    </w:lvl>
    <w:lvl w:ilvl="4">
      <w:start w:val="0"/>
      <w:numFmt w:val="bullet"/>
      <w:lvlText w:val="•"/>
      <w:lvlJc w:val="left"/>
      <w:pPr>
        <w:ind w:left="2540" w:hanging="370"/>
      </w:pPr>
      <w:rPr>
        <w:rFonts w:hint="default"/>
        <w:lang w:val="en-US" w:eastAsia="en-US" w:bidi="ar-SA"/>
      </w:rPr>
    </w:lvl>
    <w:lvl w:ilvl="5">
      <w:start w:val="0"/>
      <w:numFmt w:val="bullet"/>
      <w:lvlText w:val="•"/>
      <w:lvlJc w:val="left"/>
      <w:pPr>
        <w:ind w:left="3981" w:hanging="370"/>
      </w:pPr>
      <w:rPr>
        <w:rFonts w:hint="default"/>
        <w:lang w:val="en-US" w:eastAsia="en-US" w:bidi="ar-SA"/>
      </w:rPr>
    </w:lvl>
    <w:lvl w:ilvl="6">
      <w:start w:val="0"/>
      <w:numFmt w:val="bullet"/>
      <w:lvlText w:val="•"/>
      <w:lvlJc w:val="left"/>
      <w:pPr>
        <w:ind w:left="5422" w:hanging="370"/>
      </w:pPr>
      <w:rPr>
        <w:rFonts w:hint="default"/>
        <w:lang w:val="en-US" w:eastAsia="en-US" w:bidi="ar-SA"/>
      </w:rPr>
    </w:lvl>
    <w:lvl w:ilvl="7">
      <w:start w:val="0"/>
      <w:numFmt w:val="bullet"/>
      <w:lvlText w:val="•"/>
      <w:lvlJc w:val="left"/>
      <w:pPr>
        <w:ind w:left="6863" w:hanging="370"/>
      </w:pPr>
      <w:rPr>
        <w:rFonts w:hint="default"/>
        <w:lang w:val="en-US" w:eastAsia="en-US" w:bidi="ar-SA"/>
      </w:rPr>
    </w:lvl>
    <w:lvl w:ilvl="8">
      <w:start w:val="0"/>
      <w:numFmt w:val="bullet"/>
      <w:lvlText w:val="•"/>
      <w:lvlJc w:val="left"/>
      <w:pPr>
        <w:ind w:left="8304" w:hanging="370"/>
      </w:pPr>
      <w:rPr>
        <w:rFonts w:hint="default"/>
        <w:lang w:val="en-US" w:eastAsia="en-US" w:bidi="ar-SA"/>
      </w:rPr>
    </w:lvl>
  </w:abstractNum>
  <w:abstractNum w:abstractNumId="112">
    <w:multiLevelType w:val="hybridMultilevel"/>
    <w:lvl w:ilvl="0">
      <w:start w:val="1"/>
      <w:numFmt w:val="decimal"/>
      <w:lvlText w:val="%1."/>
      <w:lvlJc w:val="left"/>
      <w:pPr>
        <w:ind w:left="1872" w:hanging="440"/>
        <w:jc w:val="right"/>
      </w:pPr>
      <w:rPr>
        <w:rFonts w:hint="default"/>
        <w:spacing w:val="0"/>
        <w:w w:val="100"/>
        <w:lang w:val="en-US" w:eastAsia="en-US" w:bidi="ar-SA"/>
      </w:rPr>
    </w:lvl>
    <w:lvl w:ilvl="1">
      <w:start w:val="1"/>
      <w:numFmt w:val="lowerRoman"/>
      <w:lvlText w:val="%2)"/>
      <w:lvlJc w:val="left"/>
      <w:pPr>
        <w:ind w:left="772" w:hanging="22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914" w:hanging="224"/>
      </w:pPr>
      <w:rPr>
        <w:rFonts w:hint="default"/>
        <w:lang w:val="en-US" w:eastAsia="en-US" w:bidi="ar-SA"/>
      </w:rPr>
    </w:lvl>
    <w:lvl w:ilvl="3">
      <w:start w:val="0"/>
      <w:numFmt w:val="bullet"/>
      <w:lvlText w:val="•"/>
      <w:lvlJc w:val="left"/>
      <w:pPr>
        <w:ind w:left="3948" w:hanging="224"/>
      </w:pPr>
      <w:rPr>
        <w:rFonts w:hint="default"/>
        <w:lang w:val="en-US" w:eastAsia="en-US" w:bidi="ar-SA"/>
      </w:rPr>
    </w:lvl>
    <w:lvl w:ilvl="4">
      <w:start w:val="0"/>
      <w:numFmt w:val="bullet"/>
      <w:lvlText w:val="•"/>
      <w:lvlJc w:val="left"/>
      <w:pPr>
        <w:ind w:left="4982" w:hanging="224"/>
      </w:pPr>
      <w:rPr>
        <w:rFonts w:hint="default"/>
        <w:lang w:val="en-US" w:eastAsia="en-US" w:bidi="ar-SA"/>
      </w:rPr>
    </w:lvl>
    <w:lvl w:ilvl="5">
      <w:start w:val="0"/>
      <w:numFmt w:val="bullet"/>
      <w:lvlText w:val="•"/>
      <w:lvlJc w:val="left"/>
      <w:pPr>
        <w:ind w:left="6016" w:hanging="224"/>
      </w:pPr>
      <w:rPr>
        <w:rFonts w:hint="default"/>
        <w:lang w:val="en-US" w:eastAsia="en-US" w:bidi="ar-SA"/>
      </w:rPr>
    </w:lvl>
    <w:lvl w:ilvl="6">
      <w:start w:val="0"/>
      <w:numFmt w:val="bullet"/>
      <w:lvlText w:val="•"/>
      <w:lvlJc w:val="left"/>
      <w:pPr>
        <w:ind w:left="7050" w:hanging="224"/>
      </w:pPr>
      <w:rPr>
        <w:rFonts w:hint="default"/>
        <w:lang w:val="en-US" w:eastAsia="en-US" w:bidi="ar-SA"/>
      </w:rPr>
    </w:lvl>
    <w:lvl w:ilvl="7">
      <w:start w:val="0"/>
      <w:numFmt w:val="bullet"/>
      <w:lvlText w:val="•"/>
      <w:lvlJc w:val="left"/>
      <w:pPr>
        <w:ind w:left="8084" w:hanging="224"/>
      </w:pPr>
      <w:rPr>
        <w:rFonts w:hint="default"/>
        <w:lang w:val="en-US" w:eastAsia="en-US" w:bidi="ar-SA"/>
      </w:rPr>
    </w:lvl>
    <w:lvl w:ilvl="8">
      <w:start w:val="0"/>
      <w:numFmt w:val="bullet"/>
      <w:lvlText w:val="•"/>
      <w:lvlJc w:val="left"/>
      <w:pPr>
        <w:ind w:left="9118" w:hanging="224"/>
      </w:pPr>
      <w:rPr>
        <w:rFonts w:hint="default"/>
        <w:lang w:val="en-US" w:eastAsia="en-US" w:bidi="ar-SA"/>
      </w:rPr>
    </w:lvl>
  </w:abstractNum>
  <w:abstractNum w:abstractNumId="111">
    <w:multiLevelType w:val="hybridMultilevel"/>
    <w:lvl w:ilvl="0">
      <w:start w:val="8"/>
      <w:numFmt w:val="decimal"/>
      <w:lvlText w:val="%1"/>
      <w:lvlJc w:val="left"/>
      <w:pPr>
        <w:ind w:left="1872" w:hanging="44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2"/>
      <w:numFmt w:val="decimal"/>
      <w:lvlText w:val="(%2)"/>
      <w:lvlJc w:val="left"/>
      <w:pPr>
        <w:ind w:left="2532" w:hanging="363"/>
        <w:jc w:val="left"/>
      </w:pPr>
      <w:rPr>
        <w:rFonts w:hint="default" w:ascii="Bookman Old Style" w:hAnsi="Bookman Old Style" w:eastAsia="Bookman Old Style" w:cs="Bookman Old Style"/>
        <w:b w:val="0"/>
        <w:bCs w:val="0"/>
        <w:i w:val="0"/>
        <w:iCs w:val="0"/>
        <w:spacing w:val="0"/>
        <w:w w:val="92"/>
        <w:sz w:val="24"/>
        <w:szCs w:val="24"/>
        <w:lang w:val="en-US" w:eastAsia="en-US" w:bidi="ar-SA"/>
      </w:rPr>
    </w:lvl>
    <w:lvl w:ilvl="2">
      <w:start w:val="1"/>
      <w:numFmt w:val="lowerLetter"/>
      <w:lvlText w:val="(%3)"/>
      <w:lvlJc w:val="left"/>
      <w:pPr>
        <w:ind w:left="3653" w:hanging="72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4600" w:hanging="721"/>
      </w:pPr>
      <w:rPr>
        <w:rFonts w:hint="default"/>
        <w:lang w:val="en-US" w:eastAsia="en-US" w:bidi="ar-SA"/>
      </w:rPr>
    </w:lvl>
    <w:lvl w:ilvl="4">
      <w:start w:val="0"/>
      <w:numFmt w:val="bullet"/>
      <w:lvlText w:val="•"/>
      <w:lvlJc w:val="left"/>
      <w:pPr>
        <w:ind w:left="5541" w:hanging="721"/>
      </w:pPr>
      <w:rPr>
        <w:rFonts w:hint="default"/>
        <w:lang w:val="en-US" w:eastAsia="en-US" w:bidi="ar-SA"/>
      </w:rPr>
    </w:lvl>
    <w:lvl w:ilvl="5">
      <w:start w:val="0"/>
      <w:numFmt w:val="bullet"/>
      <w:lvlText w:val="•"/>
      <w:lvlJc w:val="left"/>
      <w:pPr>
        <w:ind w:left="6482" w:hanging="721"/>
      </w:pPr>
      <w:rPr>
        <w:rFonts w:hint="default"/>
        <w:lang w:val="en-US" w:eastAsia="en-US" w:bidi="ar-SA"/>
      </w:rPr>
    </w:lvl>
    <w:lvl w:ilvl="6">
      <w:start w:val="0"/>
      <w:numFmt w:val="bullet"/>
      <w:lvlText w:val="•"/>
      <w:lvlJc w:val="left"/>
      <w:pPr>
        <w:ind w:left="7423" w:hanging="721"/>
      </w:pPr>
      <w:rPr>
        <w:rFonts w:hint="default"/>
        <w:lang w:val="en-US" w:eastAsia="en-US" w:bidi="ar-SA"/>
      </w:rPr>
    </w:lvl>
    <w:lvl w:ilvl="7">
      <w:start w:val="0"/>
      <w:numFmt w:val="bullet"/>
      <w:lvlText w:val="•"/>
      <w:lvlJc w:val="left"/>
      <w:pPr>
        <w:ind w:left="8364" w:hanging="721"/>
      </w:pPr>
      <w:rPr>
        <w:rFonts w:hint="default"/>
        <w:lang w:val="en-US" w:eastAsia="en-US" w:bidi="ar-SA"/>
      </w:rPr>
    </w:lvl>
    <w:lvl w:ilvl="8">
      <w:start w:val="0"/>
      <w:numFmt w:val="bullet"/>
      <w:lvlText w:val="•"/>
      <w:lvlJc w:val="left"/>
      <w:pPr>
        <w:ind w:left="9304" w:hanging="721"/>
      </w:pPr>
      <w:rPr>
        <w:rFonts w:hint="default"/>
        <w:lang w:val="en-US" w:eastAsia="en-US" w:bidi="ar-SA"/>
      </w:rPr>
    </w:lvl>
  </w:abstractNum>
  <w:abstractNum w:abstractNumId="110">
    <w:multiLevelType w:val="hybridMultilevel"/>
    <w:lvl w:ilvl="0">
      <w:start w:val="5"/>
      <w:numFmt w:val="decimal"/>
      <w:lvlText w:val="%1."/>
      <w:lvlJc w:val="left"/>
      <w:pPr>
        <w:ind w:left="1872" w:hanging="44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810" w:hanging="440"/>
      </w:pPr>
      <w:rPr>
        <w:rFonts w:hint="default"/>
        <w:lang w:val="en-US" w:eastAsia="en-US" w:bidi="ar-SA"/>
      </w:rPr>
    </w:lvl>
    <w:lvl w:ilvl="2">
      <w:start w:val="0"/>
      <w:numFmt w:val="bullet"/>
      <w:lvlText w:val="•"/>
      <w:lvlJc w:val="left"/>
      <w:pPr>
        <w:ind w:left="3741" w:hanging="440"/>
      </w:pPr>
      <w:rPr>
        <w:rFonts w:hint="default"/>
        <w:lang w:val="en-US" w:eastAsia="en-US" w:bidi="ar-SA"/>
      </w:rPr>
    </w:lvl>
    <w:lvl w:ilvl="3">
      <w:start w:val="0"/>
      <w:numFmt w:val="bullet"/>
      <w:lvlText w:val="•"/>
      <w:lvlJc w:val="left"/>
      <w:pPr>
        <w:ind w:left="4671" w:hanging="440"/>
      </w:pPr>
      <w:rPr>
        <w:rFonts w:hint="default"/>
        <w:lang w:val="en-US" w:eastAsia="en-US" w:bidi="ar-SA"/>
      </w:rPr>
    </w:lvl>
    <w:lvl w:ilvl="4">
      <w:start w:val="0"/>
      <w:numFmt w:val="bullet"/>
      <w:lvlText w:val="•"/>
      <w:lvlJc w:val="left"/>
      <w:pPr>
        <w:ind w:left="5602" w:hanging="440"/>
      </w:pPr>
      <w:rPr>
        <w:rFonts w:hint="default"/>
        <w:lang w:val="en-US" w:eastAsia="en-US" w:bidi="ar-SA"/>
      </w:rPr>
    </w:lvl>
    <w:lvl w:ilvl="5">
      <w:start w:val="0"/>
      <w:numFmt w:val="bullet"/>
      <w:lvlText w:val="•"/>
      <w:lvlJc w:val="left"/>
      <w:pPr>
        <w:ind w:left="6533" w:hanging="440"/>
      </w:pPr>
      <w:rPr>
        <w:rFonts w:hint="default"/>
        <w:lang w:val="en-US" w:eastAsia="en-US" w:bidi="ar-SA"/>
      </w:rPr>
    </w:lvl>
    <w:lvl w:ilvl="6">
      <w:start w:val="0"/>
      <w:numFmt w:val="bullet"/>
      <w:lvlText w:val="•"/>
      <w:lvlJc w:val="left"/>
      <w:pPr>
        <w:ind w:left="7463" w:hanging="440"/>
      </w:pPr>
      <w:rPr>
        <w:rFonts w:hint="default"/>
        <w:lang w:val="en-US" w:eastAsia="en-US" w:bidi="ar-SA"/>
      </w:rPr>
    </w:lvl>
    <w:lvl w:ilvl="7">
      <w:start w:val="0"/>
      <w:numFmt w:val="bullet"/>
      <w:lvlText w:val="•"/>
      <w:lvlJc w:val="left"/>
      <w:pPr>
        <w:ind w:left="8394" w:hanging="440"/>
      </w:pPr>
      <w:rPr>
        <w:rFonts w:hint="default"/>
        <w:lang w:val="en-US" w:eastAsia="en-US" w:bidi="ar-SA"/>
      </w:rPr>
    </w:lvl>
    <w:lvl w:ilvl="8">
      <w:start w:val="0"/>
      <w:numFmt w:val="bullet"/>
      <w:lvlText w:val="•"/>
      <w:lvlJc w:val="left"/>
      <w:pPr>
        <w:ind w:left="9325" w:hanging="440"/>
      </w:pPr>
      <w:rPr>
        <w:rFonts w:hint="default"/>
        <w:lang w:val="en-US" w:eastAsia="en-US" w:bidi="ar-SA"/>
      </w:rPr>
    </w:lvl>
  </w:abstractNum>
  <w:abstractNum w:abstractNumId="109">
    <w:multiLevelType w:val="hybridMultilevel"/>
    <w:lvl w:ilvl="0">
      <w:start w:val="1"/>
      <w:numFmt w:val="upperLetter"/>
      <w:lvlText w:val="(%1)"/>
      <w:lvlJc w:val="left"/>
      <w:pPr>
        <w:ind w:left="1930" w:hanging="437"/>
        <w:jc w:val="left"/>
      </w:pPr>
      <w:rPr>
        <w:rFonts w:hint="default" w:ascii="Bookman Old Style" w:hAnsi="Bookman Old Style" w:eastAsia="Bookman Old Style" w:cs="Bookman Old Style"/>
        <w:b/>
        <w:bCs/>
        <w:i w:val="0"/>
        <w:iCs w:val="0"/>
        <w:spacing w:val="0"/>
        <w:w w:val="100"/>
        <w:sz w:val="24"/>
        <w:szCs w:val="24"/>
        <w:lang w:val="en-US" w:eastAsia="en-US" w:bidi="ar-SA"/>
      </w:rPr>
    </w:lvl>
    <w:lvl w:ilvl="1">
      <w:start w:val="1"/>
      <w:numFmt w:val="decimal"/>
      <w:lvlText w:val="%2"/>
      <w:lvlJc w:val="left"/>
      <w:pPr>
        <w:ind w:left="1872" w:hanging="44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Letter"/>
      <w:lvlText w:val="%3)"/>
      <w:lvlJc w:val="left"/>
      <w:pPr>
        <w:ind w:left="1872" w:hanging="67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3994" w:hanging="670"/>
      </w:pPr>
      <w:rPr>
        <w:rFonts w:hint="default"/>
        <w:lang w:val="en-US" w:eastAsia="en-US" w:bidi="ar-SA"/>
      </w:rPr>
    </w:lvl>
    <w:lvl w:ilvl="4">
      <w:start w:val="0"/>
      <w:numFmt w:val="bullet"/>
      <w:lvlText w:val="•"/>
      <w:lvlJc w:val="left"/>
      <w:pPr>
        <w:ind w:left="5022" w:hanging="670"/>
      </w:pPr>
      <w:rPr>
        <w:rFonts w:hint="default"/>
        <w:lang w:val="en-US" w:eastAsia="en-US" w:bidi="ar-SA"/>
      </w:rPr>
    </w:lvl>
    <w:lvl w:ilvl="5">
      <w:start w:val="0"/>
      <w:numFmt w:val="bullet"/>
      <w:lvlText w:val="•"/>
      <w:lvlJc w:val="left"/>
      <w:pPr>
        <w:ind w:left="6049" w:hanging="670"/>
      </w:pPr>
      <w:rPr>
        <w:rFonts w:hint="default"/>
        <w:lang w:val="en-US" w:eastAsia="en-US" w:bidi="ar-SA"/>
      </w:rPr>
    </w:lvl>
    <w:lvl w:ilvl="6">
      <w:start w:val="0"/>
      <w:numFmt w:val="bullet"/>
      <w:lvlText w:val="•"/>
      <w:lvlJc w:val="left"/>
      <w:pPr>
        <w:ind w:left="7076" w:hanging="670"/>
      </w:pPr>
      <w:rPr>
        <w:rFonts w:hint="default"/>
        <w:lang w:val="en-US" w:eastAsia="en-US" w:bidi="ar-SA"/>
      </w:rPr>
    </w:lvl>
    <w:lvl w:ilvl="7">
      <w:start w:val="0"/>
      <w:numFmt w:val="bullet"/>
      <w:lvlText w:val="•"/>
      <w:lvlJc w:val="left"/>
      <w:pPr>
        <w:ind w:left="8104" w:hanging="670"/>
      </w:pPr>
      <w:rPr>
        <w:rFonts w:hint="default"/>
        <w:lang w:val="en-US" w:eastAsia="en-US" w:bidi="ar-SA"/>
      </w:rPr>
    </w:lvl>
    <w:lvl w:ilvl="8">
      <w:start w:val="0"/>
      <w:numFmt w:val="bullet"/>
      <w:lvlText w:val="•"/>
      <w:lvlJc w:val="left"/>
      <w:pPr>
        <w:ind w:left="9131" w:hanging="670"/>
      </w:pPr>
      <w:rPr>
        <w:rFonts w:hint="default"/>
        <w:lang w:val="en-US" w:eastAsia="en-US" w:bidi="ar-SA"/>
      </w:rPr>
    </w:lvl>
  </w:abstractNum>
  <w:abstractNum w:abstractNumId="108">
    <w:multiLevelType w:val="hybridMultilevel"/>
    <w:lvl w:ilvl="0">
      <w:start w:val="1"/>
      <w:numFmt w:val="upperLetter"/>
      <w:lvlText w:val="(%1)"/>
      <w:lvlJc w:val="left"/>
      <w:pPr>
        <w:ind w:left="1625" w:hanging="588"/>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2093" w:hanging="440"/>
        <w:jc w:val="left"/>
      </w:pPr>
      <w:rPr>
        <w:rFonts w:hint="default" w:ascii="Bookman Old Style" w:hAnsi="Bookman Old Style" w:eastAsia="Bookman Old Style" w:cs="Bookman Old Style"/>
        <w:b w:val="0"/>
        <w:bCs w:val="0"/>
        <w:i w:val="0"/>
        <w:iCs w:val="0"/>
        <w:spacing w:val="0"/>
        <w:w w:val="94"/>
        <w:sz w:val="24"/>
        <w:szCs w:val="24"/>
        <w:lang w:val="en-US" w:eastAsia="en-US" w:bidi="ar-SA"/>
      </w:rPr>
    </w:lvl>
    <w:lvl w:ilvl="2">
      <w:start w:val="0"/>
      <w:numFmt w:val="bullet"/>
      <w:lvlText w:val="•"/>
      <w:lvlJc w:val="left"/>
      <w:pPr>
        <w:ind w:left="3109" w:hanging="440"/>
      </w:pPr>
      <w:rPr>
        <w:rFonts w:hint="default"/>
        <w:lang w:val="en-US" w:eastAsia="en-US" w:bidi="ar-SA"/>
      </w:rPr>
    </w:lvl>
    <w:lvl w:ilvl="3">
      <w:start w:val="0"/>
      <w:numFmt w:val="bullet"/>
      <w:lvlText w:val="•"/>
      <w:lvlJc w:val="left"/>
      <w:pPr>
        <w:ind w:left="4119" w:hanging="440"/>
      </w:pPr>
      <w:rPr>
        <w:rFonts w:hint="default"/>
        <w:lang w:val="en-US" w:eastAsia="en-US" w:bidi="ar-SA"/>
      </w:rPr>
    </w:lvl>
    <w:lvl w:ilvl="4">
      <w:start w:val="0"/>
      <w:numFmt w:val="bullet"/>
      <w:lvlText w:val="•"/>
      <w:lvlJc w:val="left"/>
      <w:pPr>
        <w:ind w:left="5128" w:hanging="440"/>
      </w:pPr>
      <w:rPr>
        <w:rFonts w:hint="default"/>
        <w:lang w:val="en-US" w:eastAsia="en-US" w:bidi="ar-SA"/>
      </w:rPr>
    </w:lvl>
    <w:lvl w:ilvl="5">
      <w:start w:val="0"/>
      <w:numFmt w:val="bullet"/>
      <w:lvlText w:val="•"/>
      <w:lvlJc w:val="left"/>
      <w:pPr>
        <w:ind w:left="6138" w:hanging="440"/>
      </w:pPr>
      <w:rPr>
        <w:rFonts w:hint="default"/>
        <w:lang w:val="en-US" w:eastAsia="en-US" w:bidi="ar-SA"/>
      </w:rPr>
    </w:lvl>
    <w:lvl w:ilvl="6">
      <w:start w:val="0"/>
      <w:numFmt w:val="bullet"/>
      <w:lvlText w:val="•"/>
      <w:lvlJc w:val="left"/>
      <w:pPr>
        <w:ind w:left="7148" w:hanging="440"/>
      </w:pPr>
      <w:rPr>
        <w:rFonts w:hint="default"/>
        <w:lang w:val="en-US" w:eastAsia="en-US" w:bidi="ar-SA"/>
      </w:rPr>
    </w:lvl>
    <w:lvl w:ilvl="7">
      <w:start w:val="0"/>
      <w:numFmt w:val="bullet"/>
      <w:lvlText w:val="•"/>
      <w:lvlJc w:val="left"/>
      <w:pPr>
        <w:ind w:left="8157" w:hanging="440"/>
      </w:pPr>
      <w:rPr>
        <w:rFonts w:hint="default"/>
        <w:lang w:val="en-US" w:eastAsia="en-US" w:bidi="ar-SA"/>
      </w:rPr>
    </w:lvl>
    <w:lvl w:ilvl="8">
      <w:start w:val="0"/>
      <w:numFmt w:val="bullet"/>
      <w:lvlText w:val="•"/>
      <w:lvlJc w:val="left"/>
      <w:pPr>
        <w:ind w:left="9167" w:hanging="440"/>
      </w:pPr>
      <w:rPr>
        <w:rFonts w:hint="default"/>
        <w:lang w:val="en-US" w:eastAsia="en-US" w:bidi="ar-SA"/>
      </w:rPr>
    </w:lvl>
  </w:abstractNum>
  <w:abstractNum w:abstractNumId="107">
    <w:multiLevelType w:val="hybridMultilevel"/>
    <w:lvl w:ilvl="0">
      <w:start w:val="1"/>
      <w:numFmt w:val="lowerLetter"/>
      <w:lvlText w:val="%1)"/>
      <w:lvlJc w:val="left"/>
      <w:pPr>
        <w:ind w:left="1493" w:hanging="413"/>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413"/>
      </w:pPr>
      <w:rPr>
        <w:rFonts w:hint="default"/>
        <w:lang w:val="en-US" w:eastAsia="en-US" w:bidi="ar-SA"/>
      </w:rPr>
    </w:lvl>
    <w:lvl w:ilvl="2">
      <w:start w:val="0"/>
      <w:numFmt w:val="bullet"/>
      <w:lvlText w:val="•"/>
      <w:lvlJc w:val="left"/>
      <w:pPr>
        <w:ind w:left="3437" w:hanging="413"/>
      </w:pPr>
      <w:rPr>
        <w:rFonts w:hint="default"/>
        <w:lang w:val="en-US" w:eastAsia="en-US" w:bidi="ar-SA"/>
      </w:rPr>
    </w:lvl>
    <w:lvl w:ilvl="3">
      <w:start w:val="0"/>
      <w:numFmt w:val="bullet"/>
      <w:lvlText w:val="•"/>
      <w:lvlJc w:val="left"/>
      <w:pPr>
        <w:ind w:left="4405" w:hanging="413"/>
      </w:pPr>
      <w:rPr>
        <w:rFonts w:hint="default"/>
        <w:lang w:val="en-US" w:eastAsia="en-US" w:bidi="ar-SA"/>
      </w:rPr>
    </w:lvl>
    <w:lvl w:ilvl="4">
      <w:start w:val="0"/>
      <w:numFmt w:val="bullet"/>
      <w:lvlText w:val="•"/>
      <w:lvlJc w:val="left"/>
      <w:pPr>
        <w:ind w:left="5374" w:hanging="413"/>
      </w:pPr>
      <w:rPr>
        <w:rFonts w:hint="default"/>
        <w:lang w:val="en-US" w:eastAsia="en-US" w:bidi="ar-SA"/>
      </w:rPr>
    </w:lvl>
    <w:lvl w:ilvl="5">
      <w:start w:val="0"/>
      <w:numFmt w:val="bullet"/>
      <w:lvlText w:val="•"/>
      <w:lvlJc w:val="left"/>
      <w:pPr>
        <w:ind w:left="6343" w:hanging="413"/>
      </w:pPr>
      <w:rPr>
        <w:rFonts w:hint="default"/>
        <w:lang w:val="en-US" w:eastAsia="en-US" w:bidi="ar-SA"/>
      </w:rPr>
    </w:lvl>
    <w:lvl w:ilvl="6">
      <w:start w:val="0"/>
      <w:numFmt w:val="bullet"/>
      <w:lvlText w:val="•"/>
      <w:lvlJc w:val="left"/>
      <w:pPr>
        <w:ind w:left="7311" w:hanging="413"/>
      </w:pPr>
      <w:rPr>
        <w:rFonts w:hint="default"/>
        <w:lang w:val="en-US" w:eastAsia="en-US" w:bidi="ar-SA"/>
      </w:rPr>
    </w:lvl>
    <w:lvl w:ilvl="7">
      <w:start w:val="0"/>
      <w:numFmt w:val="bullet"/>
      <w:lvlText w:val="•"/>
      <w:lvlJc w:val="left"/>
      <w:pPr>
        <w:ind w:left="8280" w:hanging="413"/>
      </w:pPr>
      <w:rPr>
        <w:rFonts w:hint="default"/>
        <w:lang w:val="en-US" w:eastAsia="en-US" w:bidi="ar-SA"/>
      </w:rPr>
    </w:lvl>
    <w:lvl w:ilvl="8">
      <w:start w:val="0"/>
      <w:numFmt w:val="bullet"/>
      <w:lvlText w:val="•"/>
      <w:lvlJc w:val="left"/>
      <w:pPr>
        <w:ind w:left="9249" w:hanging="413"/>
      </w:pPr>
      <w:rPr>
        <w:rFonts w:hint="default"/>
        <w:lang w:val="en-US" w:eastAsia="en-US" w:bidi="ar-SA"/>
      </w:rPr>
    </w:lvl>
  </w:abstractNum>
  <w:abstractNum w:abstractNumId="106">
    <w:multiLevelType w:val="hybridMultilevel"/>
    <w:lvl w:ilvl="0">
      <w:start w:val="1"/>
      <w:numFmt w:val="upperLetter"/>
      <w:lvlText w:val="(%1)"/>
      <w:lvlJc w:val="left"/>
      <w:pPr>
        <w:ind w:left="1872" w:hanging="521"/>
        <w:jc w:val="right"/>
      </w:pPr>
      <w:rPr>
        <w:rFonts w:hint="default"/>
        <w:spacing w:val="0"/>
        <w:w w:val="100"/>
        <w:lang w:val="en-US" w:eastAsia="en-US" w:bidi="ar-SA"/>
      </w:rPr>
    </w:lvl>
    <w:lvl w:ilvl="1">
      <w:start w:val="1"/>
      <w:numFmt w:val="lowerLetter"/>
      <w:lvlText w:val="(%2)"/>
      <w:lvlJc w:val="left"/>
      <w:pPr>
        <w:ind w:left="1404" w:hanging="405"/>
        <w:jc w:val="left"/>
      </w:pPr>
      <w:rPr>
        <w:rFonts w:hint="default" w:ascii="Bookman Old Style" w:hAnsi="Bookman Old Style" w:eastAsia="Bookman Old Style" w:cs="Bookman Old Style"/>
        <w:b w:val="0"/>
        <w:bCs w:val="0"/>
        <w:i w:val="0"/>
        <w:iCs w:val="0"/>
        <w:spacing w:val="0"/>
        <w:w w:val="92"/>
        <w:sz w:val="24"/>
        <w:szCs w:val="24"/>
        <w:lang w:val="en-US" w:eastAsia="en-US" w:bidi="ar-SA"/>
      </w:rPr>
    </w:lvl>
    <w:lvl w:ilvl="2">
      <w:start w:val="0"/>
      <w:numFmt w:val="bullet"/>
      <w:lvlText w:val="•"/>
      <w:lvlJc w:val="left"/>
      <w:pPr>
        <w:ind w:left="2914" w:hanging="405"/>
      </w:pPr>
      <w:rPr>
        <w:rFonts w:hint="default"/>
        <w:lang w:val="en-US" w:eastAsia="en-US" w:bidi="ar-SA"/>
      </w:rPr>
    </w:lvl>
    <w:lvl w:ilvl="3">
      <w:start w:val="0"/>
      <w:numFmt w:val="bullet"/>
      <w:lvlText w:val="•"/>
      <w:lvlJc w:val="left"/>
      <w:pPr>
        <w:ind w:left="3948" w:hanging="405"/>
      </w:pPr>
      <w:rPr>
        <w:rFonts w:hint="default"/>
        <w:lang w:val="en-US" w:eastAsia="en-US" w:bidi="ar-SA"/>
      </w:rPr>
    </w:lvl>
    <w:lvl w:ilvl="4">
      <w:start w:val="0"/>
      <w:numFmt w:val="bullet"/>
      <w:lvlText w:val="•"/>
      <w:lvlJc w:val="left"/>
      <w:pPr>
        <w:ind w:left="4982" w:hanging="405"/>
      </w:pPr>
      <w:rPr>
        <w:rFonts w:hint="default"/>
        <w:lang w:val="en-US" w:eastAsia="en-US" w:bidi="ar-SA"/>
      </w:rPr>
    </w:lvl>
    <w:lvl w:ilvl="5">
      <w:start w:val="0"/>
      <w:numFmt w:val="bullet"/>
      <w:lvlText w:val="•"/>
      <w:lvlJc w:val="left"/>
      <w:pPr>
        <w:ind w:left="6016" w:hanging="405"/>
      </w:pPr>
      <w:rPr>
        <w:rFonts w:hint="default"/>
        <w:lang w:val="en-US" w:eastAsia="en-US" w:bidi="ar-SA"/>
      </w:rPr>
    </w:lvl>
    <w:lvl w:ilvl="6">
      <w:start w:val="0"/>
      <w:numFmt w:val="bullet"/>
      <w:lvlText w:val="•"/>
      <w:lvlJc w:val="left"/>
      <w:pPr>
        <w:ind w:left="7050" w:hanging="405"/>
      </w:pPr>
      <w:rPr>
        <w:rFonts w:hint="default"/>
        <w:lang w:val="en-US" w:eastAsia="en-US" w:bidi="ar-SA"/>
      </w:rPr>
    </w:lvl>
    <w:lvl w:ilvl="7">
      <w:start w:val="0"/>
      <w:numFmt w:val="bullet"/>
      <w:lvlText w:val="•"/>
      <w:lvlJc w:val="left"/>
      <w:pPr>
        <w:ind w:left="8084" w:hanging="405"/>
      </w:pPr>
      <w:rPr>
        <w:rFonts w:hint="default"/>
        <w:lang w:val="en-US" w:eastAsia="en-US" w:bidi="ar-SA"/>
      </w:rPr>
    </w:lvl>
    <w:lvl w:ilvl="8">
      <w:start w:val="0"/>
      <w:numFmt w:val="bullet"/>
      <w:lvlText w:val="•"/>
      <w:lvlJc w:val="left"/>
      <w:pPr>
        <w:ind w:left="9118" w:hanging="405"/>
      </w:pPr>
      <w:rPr>
        <w:rFonts w:hint="default"/>
        <w:lang w:val="en-US" w:eastAsia="en-US" w:bidi="ar-SA"/>
      </w:rPr>
    </w:lvl>
  </w:abstractNum>
  <w:abstractNum w:abstractNumId="105">
    <w:multiLevelType w:val="hybridMultilevel"/>
    <w:lvl w:ilvl="0">
      <w:start w:val="1"/>
      <w:numFmt w:val="decimal"/>
      <w:lvlText w:val="%1."/>
      <w:lvlJc w:val="left"/>
      <w:pPr>
        <w:ind w:left="1930" w:hanging="344"/>
        <w:jc w:val="left"/>
      </w:pPr>
      <w:rPr>
        <w:rFonts w:hint="default" w:ascii="Bookman Old Style" w:hAnsi="Bookman Old Style" w:eastAsia="Bookman Old Style" w:cs="Bookman Old Style"/>
        <w:b w:val="0"/>
        <w:bCs w:val="0"/>
        <w:i w:val="0"/>
        <w:iCs w:val="0"/>
        <w:spacing w:val="0"/>
        <w:w w:val="99"/>
        <w:sz w:val="24"/>
        <w:szCs w:val="24"/>
        <w:lang w:val="en-US" w:eastAsia="en-US" w:bidi="ar-SA"/>
      </w:rPr>
    </w:lvl>
    <w:lvl w:ilvl="1">
      <w:start w:val="0"/>
      <w:numFmt w:val="bullet"/>
      <w:lvlText w:val="•"/>
      <w:lvlJc w:val="left"/>
      <w:pPr>
        <w:ind w:left="2864" w:hanging="344"/>
      </w:pPr>
      <w:rPr>
        <w:rFonts w:hint="default"/>
        <w:lang w:val="en-US" w:eastAsia="en-US" w:bidi="ar-SA"/>
      </w:rPr>
    </w:lvl>
    <w:lvl w:ilvl="2">
      <w:start w:val="0"/>
      <w:numFmt w:val="bullet"/>
      <w:lvlText w:val="•"/>
      <w:lvlJc w:val="left"/>
      <w:pPr>
        <w:ind w:left="3789" w:hanging="344"/>
      </w:pPr>
      <w:rPr>
        <w:rFonts w:hint="default"/>
        <w:lang w:val="en-US" w:eastAsia="en-US" w:bidi="ar-SA"/>
      </w:rPr>
    </w:lvl>
    <w:lvl w:ilvl="3">
      <w:start w:val="0"/>
      <w:numFmt w:val="bullet"/>
      <w:lvlText w:val="•"/>
      <w:lvlJc w:val="left"/>
      <w:pPr>
        <w:ind w:left="4713" w:hanging="344"/>
      </w:pPr>
      <w:rPr>
        <w:rFonts w:hint="default"/>
        <w:lang w:val="en-US" w:eastAsia="en-US" w:bidi="ar-SA"/>
      </w:rPr>
    </w:lvl>
    <w:lvl w:ilvl="4">
      <w:start w:val="0"/>
      <w:numFmt w:val="bullet"/>
      <w:lvlText w:val="•"/>
      <w:lvlJc w:val="left"/>
      <w:pPr>
        <w:ind w:left="5638" w:hanging="344"/>
      </w:pPr>
      <w:rPr>
        <w:rFonts w:hint="default"/>
        <w:lang w:val="en-US" w:eastAsia="en-US" w:bidi="ar-SA"/>
      </w:rPr>
    </w:lvl>
    <w:lvl w:ilvl="5">
      <w:start w:val="0"/>
      <w:numFmt w:val="bullet"/>
      <w:lvlText w:val="•"/>
      <w:lvlJc w:val="left"/>
      <w:pPr>
        <w:ind w:left="6563" w:hanging="344"/>
      </w:pPr>
      <w:rPr>
        <w:rFonts w:hint="default"/>
        <w:lang w:val="en-US" w:eastAsia="en-US" w:bidi="ar-SA"/>
      </w:rPr>
    </w:lvl>
    <w:lvl w:ilvl="6">
      <w:start w:val="0"/>
      <w:numFmt w:val="bullet"/>
      <w:lvlText w:val="•"/>
      <w:lvlJc w:val="left"/>
      <w:pPr>
        <w:ind w:left="7487" w:hanging="344"/>
      </w:pPr>
      <w:rPr>
        <w:rFonts w:hint="default"/>
        <w:lang w:val="en-US" w:eastAsia="en-US" w:bidi="ar-SA"/>
      </w:rPr>
    </w:lvl>
    <w:lvl w:ilvl="7">
      <w:start w:val="0"/>
      <w:numFmt w:val="bullet"/>
      <w:lvlText w:val="•"/>
      <w:lvlJc w:val="left"/>
      <w:pPr>
        <w:ind w:left="8412" w:hanging="344"/>
      </w:pPr>
      <w:rPr>
        <w:rFonts w:hint="default"/>
        <w:lang w:val="en-US" w:eastAsia="en-US" w:bidi="ar-SA"/>
      </w:rPr>
    </w:lvl>
    <w:lvl w:ilvl="8">
      <w:start w:val="0"/>
      <w:numFmt w:val="bullet"/>
      <w:lvlText w:val="•"/>
      <w:lvlJc w:val="left"/>
      <w:pPr>
        <w:ind w:left="9337" w:hanging="344"/>
      </w:pPr>
      <w:rPr>
        <w:rFonts w:hint="default"/>
        <w:lang w:val="en-US" w:eastAsia="en-US" w:bidi="ar-SA"/>
      </w:rPr>
    </w:lvl>
  </w:abstractNum>
  <w:abstractNum w:abstractNumId="104">
    <w:multiLevelType w:val="hybridMultilevel"/>
    <w:lvl w:ilvl="0">
      <w:start w:val="1"/>
      <w:numFmt w:val="decimal"/>
      <w:lvlText w:val="(%1)"/>
      <w:lvlJc w:val="left"/>
      <w:pPr>
        <w:ind w:left="1872" w:hanging="440"/>
        <w:jc w:val="left"/>
      </w:pPr>
      <w:rPr>
        <w:rFonts w:hint="default"/>
        <w:spacing w:val="0"/>
        <w:w w:val="100"/>
        <w:lang w:val="en-US" w:eastAsia="en-US" w:bidi="ar-SA"/>
      </w:rPr>
    </w:lvl>
    <w:lvl w:ilvl="1">
      <w:start w:val="1"/>
      <w:numFmt w:val="lowerLetter"/>
      <w:lvlText w:val="(%2)"/>
      <w:lvlJc w:val="left"/>
      <w:pPr>
        <w:ind w:left="1872" w:hanging="440"/>
        <w:jc w:val="right"/>
      </w:pPr>
      <w:rPr>
        <w:rFonts w:hint="default"/>
        <w:spacing w:val="0"/>
        <w:w w:val="100"/>
        <w:lang w:val="en-US" w:eastAsia="en-US" w:bidi="ar-SA"/>
      </w:rPr>
    </w:lvl>
    <w:lvl w:ilvl="2">
      <w:start w:val="1"/>
      <w:numFmt w:val="lowerRoman"/>
      <w:lvlText w:val="(%3)"/>
      <w:lvlJc w:val="left"/>
      <w:pPr>
        <w:ind w:left="1930" w:hanging="48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1"/>
      <w:numFmt w:val="lowerLetter"/>
      <w:lvlText w:val="(%4)"/>
      <w:lvlJc w:val="left"/>
      <w:pPr>
        <w:ind w:left="1930" w:hanging="34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4">
      <w:start w:val="0"/>
      <w:numFmt w:val="bullet"/>
      <w:lvlText w:val="•"/>
      <w:lvlJc w:val="left"/>
      <w:pPr>
        <w:ind w:left="5022" w:hanging="341"/>
      </w:pPr>
      <w:rPr>
        <w:rFonts w:hint="default"/>
        <w:lang w:val="en-US" w:eastAsia="en-US" w:bidi="ar-SA"/>
      </w:rPr>
    </w:lvl>
    <w:lvl w:ilvl="5">
      <w:start w:val="0"/>
      <w:numFmt w:val="bullet"/>
      <w:lvlText w:val="•"/>
      <w:lvlJc w:val="left"/>
      <w:pPr>
        <w:ind w:left="6049" w:hanging="341"/>
      </w:pPr>
      <w:rPr>
        <w:rFonts w:hint="default"/>
        <w:lang w:val="en-US" w:eastAsia="en-US" w:bidi="ar-SA"/>
      </w:rPr>
    </w:lvl>
    <w:lvl w:ilvl="6">
      <w:start w:val="0"/>
      <w:numFmt w:val="bullet"/>
      <w:lvlText w:val="•"/>
      <w:lvlJc w:val="left"/>
      <w:pPr>
        <w:ind w:left="7076" w:hanging="341"/>
      </w:pPr>
      <w:rPr>
        <w:rFonts w:hint="default"/>
        <w:lang w:val="en-US" w:eastAsia="en-US" w:bidi="ar-SA"/>
      </w:rPr>
    </w:lvl>
    <w:lvl w:ilvl="7">
      <w:start w:val="0"/>
      <w:numFmt w:val="bullet"/>
      <w:lvlText w:val="•"/>
      <w:lvlJc w:val="left"/>
      <w:pPr>
        <w:ind w:left="8104" w:hanging="341"/>
      </w:pPr>
      <w:rPr>
        <w:rFonts w:hint="default"/>
        <w:lang w:val="en-US" w:eastAsia="en-US" w:bidi="ar-SA"/>
      </w:rPr>
    </w:lvl>
    <w:lvl w:ilvl="8">
      <w:start w:val="0"/>
      <w:numFmt w:val="bullet"/>
      <w:lvlText w:val="•"/>
      <w:lvlJc w:val="left"/>
      <w:pPr>
        <w:ind w:left="9131" w:hanging="341"/>
      </w:pPr>
      <w:rPr>
        <w:rFonts w:hint="default"/>
        <w:lang w:val="en-US" w:eastAsia="en-US" w:bidi="ar-SA"/>
      </w:rPr>
    </w:lvl>
  </w:abstractNum>
  <w:abstractNum w:abstractNumId="103">
    <w:multiLevelType w:val="hybridMultilevel"/>
    <w:lvl w:ilvl="0">
      <w:start w:val="1"/>
      <w:numFmt w:val="lowerRoman"/>
      <w:lvlText w:val="%1)"/>
      <w:lvlJc w:val="left"/>
      <w:pPr>
        <w:ind w:left="1481" w:hanging="223"/>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50" w:hanging="223"/>
      </w:pPr>
      <w:rPr>
        <w:rFonts w:hint="default"/>
        <w:lang w:val="en-US" w:eastAsia="en-US" w:bidi="ar-SA"/>
      </w:rPr>
    </w:lvl>
    <w:lvl w:ilvl="2">
      <w:start w:val="0"/>
      <w:numFmt w:val="bullet"/>
      <w:lvlText w:val="•"/>
      <w:lvlJc w:val="left"/>
      <w:pPr>
        <w:ind w:left="3421" w:hanging="223"/>
      </w:pPr>
      <w:rPr>
        <w:rFonts w:hint="default"/>
        <w:lang w:val="en-US" w:eastAsia="en-US" w:bidi="ar-SA"/>
      </w:rPr>
    </w:lvl>
    <w:lvl w:ilvl="3">
      <w:start w:val="0"/>
      <w:numFmt w:val="bullet"/>
      <w:lvlText w:val="•"/>
      <w:lvlJc w:val="left"/>
      <w:pPr>
        <w:ind w:left="4391" w:hanging="223"/>
      </w:pPr>
      <w:rPr>
        <w:rFonts w:hint="default"/>
        <w:lang w:val="en-US" w:eastAsia="en-US" w:bidi="ar-SA"/>
      </w:rPr>
    </w:lvl>
    <w:lvl w:ilvl="4">
      <w:start w:val="0"/>
      <w:numFmt w:val="bullet"/>
      <w:lvlText w:val="•"/>
      <w:lvlJc w:val="left"/>
      <w:pPr>
        <w:ind w:left="5362" w:hanging="223"/>
      </w:pPr>
      <w:rPr>
        <w:rFonts w:hint="default"/>
        <w:lang w:val="en-US" w:eastAsia="en-US" w:bidi="ar-SA"/>
      </w:rPr>
    </w:lvl>
    <w:lvl w:ilvl="5">
      <w:start w:val="0"/>
      <w:numFmt w:val="bullet"/>
      <w:lvlText w:val="•"/>
      <w:lvlJc w:val="left"/>
      <w:pPr>
        <w:ind w:left="6333" w:hanging="223"/>
      </w:pPr>
      <w:rPr>
        <w:rFonts w:hint="default"/>
        <w:lang w:val="en-US" w:eastAsia="en-US" w:bidi="ar-SA"/>
      </w:rPr>
    </w:lvl>
    <w:lvl w:ilvl="6">
      <w:start w:val="0"/>
      <w:numFmt w:val="bullet"/>
      <w:lvlText w:val="•"/>
      <w:lvlJc w:val="left"/>
      <w:pPr>
        <w:ind w:left="7303" w:hanging="223"/>
      </w:pPr>
      <w:rPr>
        <w:rFonts w:hint="default"/>
        <w:lang w:val="en-US" w:eastAsia="en-US" w:bidi="ar-SA"/>
      </w:rPr>
    </w:lvl>
    <w:lvl w:ilvl="7">
      <w:start w:val="0"/>
      <w:numFmt w:val="bullet"/>
      <w:lvlText w:val="•"/>
      <w:lvlJc w:val="left"/>
      <w:pPr>
        <w:ind w:left="8274" w:hanging="223"/>
      </w:pPr>
      <w:rPr>
        <w:rFonts w:hint="default"/>
        <w:lang w:val="en-US" w:eastAsia="en-US" w:bidi="ar-SA"/>
      </w:rPr>
    </w:lvl>
    <w:lvl w:ilvl="8">
      <w:start w:val="0"/>
      <w:numFmt w:val="bullet"/>
      <w:lvlText w:val="•"/>
      <w:lvlJc w:val="left"/>
      <w:pPr>
        <w:ind w:left="9245" w:hanging="223"/>
      </w:pPr>
      <w:rPr>
        <w:rFonts w:hint="default"/>
        <w:lang w:val="en-US" w:eastAsia="en-US" w:bidi="ar-SA"/>
      </w:rPr>
    </w:lvl>
  </w:abstractNum>
  <w:abstractNum w:abstractNumId="102">
    <w:multiLevelType w:val="hybridMultilevel"/>
    <w:lvl w:ilvl="0">
      <w:start w:val="1"/>
      <w:numFmt w:val="decimal"/>
      <w:lvlText w:val="(%1)"/>
      <w:lvlJc w:val="left"/>
      <w:pPr>
        <w:ind w:left="1853" w:hanging="36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853" w:hanging="36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725" w:hanging="360"/>
      </w:pPr>
      <w:rPr>
        <w:rFonts w:hint="default"/>
        <w:lang w:val="en-US" w:eastAsia="en-US" w:bidi="ar-SA"/>
      </w:rPr>
    </w:lvl>
    <w:lvl w:ilvl="3">
      <w:start w:val="0"/>
      <w:numFmt w:val="bullet"/>
      <w:lvlText w:val="•"/>
      <w:lvlJc w:val="left"/>
      <w:pPr>
        <w:ind w:left="4657" w:hanging="360"/>
      </w:pPr>
      <w:rPr>
        <w:rFonts w:hint="default"/>
        <w:lang w:val="en-US" w:eastAsia="en-US" w:bidi="ar-SA"/>
      </w:rPr>
    </w:lvl>
    <w:lvl w:ilvl="4">
      <w:start w:val="0"/>
      <w:numFmt w:val="bullet"/>
      <w:lvlText w:val="•"/>
      <w:lvlJc w:val="left"/>
      <w:pPr>
        <w:ind w:left="5590" w:hanging="360"/>
      </w:pPr>
      <w:rPr>
        <w:rFonts w:hint="default"/>
        <w:lang w:val="en-US" w:eastAsia="en-US" w:bidi="ar-SA"/>
      </w:rPr>
    </w:lvl>
    <w:lvl w:ilvl="5">
      <w:start w:val="0"/>
      <w:numFmt w:val="bullet"/>
      <w:lvlText w:val="•"/>
      <w:lvlJc w:val="left"/>
      <w:pPr>
        <w:ind w:left="6523" w:hanging="360"/>
      </w:pPr>
      <w:rPr>
        <w:rFonts w:hint="default"/>
        <w:lang w:val="en-US" w:eastAsia="en-US" w:bidi="ar-SA"/>
      </w:rPr>
    </w:lvl>
    <w:lvl w:ilvl="6">
      <w:start w:val="0"/>
      <w:numFmt w:val="bullet"/>
      <w:lvlText w:val="•"/>
      <w:lvlJc w:val="left"/>
      <w:pPr>
        <w:ind w:left="7455"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321" w:hanging="360"/>
      </w:pPr>
      <w:rPr>
        <w:rFonts w:hint="default"/>
        <w:lang w:val="en-US" w:eastAsia="en-US" w:bidi="ar-SA"/>
      </w:rPr>
    </w:lvl>
  </w:abstractNum>
  <w:abstractNum w:abstractNumId="101">
    <w:multiLevelType w:val="hybridMultilevel"/>
    <w:lvl w:ilvl="0">
      <w:start w:val="1"/>
      <w:numFmt w:val="decimal"/>
      <w:lvlText w:val="(%1)"/>
      <w:lvlJc w:val="left"/>
      <w:pPr>
        <w:ind w:left="1853"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92" w:hanging="360"/>
      </w:pPr>
      <w:rPr>
        <w:rFonts w:hint="default"/>
        <w:lang w:val="en-US" w:eastAsia="en-US" w:bidi="ar-SA"/>
      </w:rPr>
    </w:lvl>
    <w:lvl w:ilvl="2">
      <w:start w:val="0"/>
      <w:numFmt w:val="bullet"/>
      <w:lvlText w:val="•"/>
      <w:lvlJc w:val="left"/>
      <w:pPr>
        <w:ind w:left="3725" w:hanging="360"/>
      </w:pPr>
      <w:rPr>
        <w:rFonts w:hint="default"/>
        <w:lang w:val="en-US" w:eastAsia="en-US" w:bidi="ar-SA"/>
      </w:rPr>
    </w:lvl>
    <w:lvl w:ilvl="3">
      <w:start w:val="0"/>
      <w:numFmt w:val="bullet"/>
      <w:lvlText w:val="•"/>
      <w:lvlJc w:val="left"/>
      <w:pPr>
        <w:ind w:left="4657" w:hanging="360"/>
      </w:pPr>
      <w:rPr>
        <w:rFonts w:hint="default"/>
        <w:lang w:val="en-US" w:eastAsia="en-US" w:bidi="ar-SA"/>
      </w:rPr>
    </w:lvl>
    <w:lvl w:ilvl="4">
      <w:start w:val="0"/>
      <w:numFmt w:val="bullet"/>
      <w:lvlText w:val="•"/>
      <w:lvlJc w:val="left"/>
      <w:pPr>
        <w:ind w:left="5590" w:hanging="360"/>
      </w:pPr>
      <w:rPr>
        <w:rFonts w:hint="default"/>
        <w:lang w:val="en-US" w:eastAsia="en-US" w:bidi="ar-SA"/>
      </w:rPr>
    </w:lvl>
    <w:lvl w:ilvl="5">
      <w:start w:val="0"/>
      <w:numFmt w:val="bullet"/>
      <w:lvlText w:val="•"/>
      <w:lvlJc w:val="left"/>
      <w:pPr>
        <w:ind w:left="6523" w:hanging="360"/>
      </w:pPr>
      <w:rPr>
        <w:rFonts w:hint="default"/>
        <w:lang w:val="en-US" w:eastAsia="en-US" w:bidi="ar-SA"/>
      </w:rPr>
    </w:lvl>
    <w:lvl w:ilvl="6">
      <w:start w:val="0"/>
      <w:numFmt w:val="bullet"/>
      <w:lvlText w:val="•"/>
      <w:lvlJc w:val="left"/>
      <w:pPr>
        <w:ind w:left="7455"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321" w:hanging="360"/>
      </w:pPr>
      <w:rPr>
        <w:rFonts w:hint="default"/>
        <w:lang w:val="en-US" w:eastAsia="en-US" w:bidi="ar-SA"/>
      </w:rPr>
    </w:lvl>
  </w:abstractNum>
  <w:abstractNum w:abstractNumId="100">
    <w:multiLevelType w:val="hybridMultilevel"/>
    <w:lvl w:ilvl="0">
      <w:start w:val="1"/>
      <w:numFmt w:val="decimal"/>
      <w:lvlText w:val="(%1)"/>
      <w:lvlJc w:val="left"/>
      <w:pPr>
        <w:ind w:left="1493" w:hanging="312"/>
        <w:jc w:val="right"/>
      </w:pPr>
      <w:rPr>
        <w:rFonts w:hint="default" w:ascii="Bookman Old Style" w:hAnsi="Bookman Old Style" w:eastAsia="Bookman Old Style" w:cs="Bookman Old Style"/>
        <w:b w:val="0"/>
        <w:bCs w:val="0"/>
        <w:i w:val="0"/>
        <w:iCs w:val="0"/>
        <w:spacing w:val="0"/>
        <w:w w:val="100"/>
        <w:sz w:val="22"/>
        <w:szCs w:val="22"/>
        <w:lang w:val="en-US" w:eastAsia="en-US" w:bidi="ar-SA"/>
      </w:rPr>
    </w:lvl>
    <w:lvl w:ilvl="1">
      <w:start w:val="1"/>
      <w:numFmt w:val="lowerLetter"/>
      <w:lvlText w:val="(%2)"/>
      <w:lvlJc w:val="left"/>
      <w:pPr>
        <w:ind w:left="2050" w:hanging="85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074" w:hanging="850"/>
      </w:pPr>
      <w:rPr>
        <w:rFonts w:hint="default"/>
        <w:lang w:val="en-US" w:eastAsia="en-US" w:bidi="ar-SA"/>
      </w:rPr>
    </w:lvl>
    <w:lvl w:ilvl="3">
      <w:start w:val="0"/>
      <w:numFmt w:val="bullet"/>
      <w:lvlText w:val="•"/>
      <w:lvlJc w:val="left"/>
      <w:pPr>
        <w:ind w:left="4088" w:hanging="850"/>
      </w:pPr>
      <w:rPr>
        <w:rFonts w:hint="default"/>
        <w:lang w:val="en-US" w:eastAsia="en-US" w:bidi="ar-SA"/>
      </w:rPr>
    </w:lvl>
    <w:lvl w:ilvl="4">
      <w:start w:val="0"/>
      <w:numFmt w:val="bullet"/>
      <w:lvlText w:val="•"/>
      <w:lvlJc w:val="left"/>
      <w:pPr>
        <w:ind w:left="5102" w:hanging="850"/>
      </w:pPr>
      <w:rPr>
        <w:rFonts w:hint="default"/>
        <w:lang w:val="en-US" w:eastAsia="en-US" w:bidi="ar-SA"/>
      </w:rPr>
    </w:lvl>
    <w:lvl w:ilvl="5">
      <w:start w:val="0"/>
      <w:numFmt w:val="bullet"/>
      <w:lvlText w:val="•"/>
      <w:lvlJc w:val="left"/>
      <w:pPr>
        <w:ind w:left="6116" w:hanging="850"/>
      </w:pPr>
      <w:rPr>
        <w:rFonts w:hint="default"/>
        <w:lang w:val="en-US" w:eastAsia="en-US" w:bidi="ar-SA"/>
      </w:rPr>
    </w:lvl>
    <w:lvl w:ilvl="6">
      <w:start w:val="0"/>
      <w:numFmt w:val="bullet"/>
      <w:lvlText w:val="•"/>
      <w:lvlJc w:val="left"/>
      <w:pPr>
        <w:ind w:left="7130" w:hanging="850"/>
      </w:pPr>
      <w:rPr>
        <w:rFonts w:hint="default"/>
        <w:lang w:val="en-US" w:eastAsia="en-US" w:bidi="ar-SA"/>
      </w:rPr>
    </w:lvl>
    <w:lvl w:ilvl="7">
      <w:start w:val="0"/>
      <w:numFmt w:val="bullet"/>
      <w:lvlText w:val="•"/>
      <w:lvlJc w:val="left"/>
      <w:pPr>
        <w:ind w:left="8144" w:hanging="850"/>
      </w:pPr>
      <w:rPr>
        <w:rFonts w:hint="default"/>
        <w:lang w:val="en-US" w:eastAsia="en-US" w:bidi="ar-SA"/>
      </w:rPr>
    </w:lvl>
    <w:lvl w:ilvl="8">
      <w:start w:val="0"/>
      <w:numFmt w:val="bullet"/>
      <w:lvlText w:val="•"/>
      <w:lvlJc w:val="left"/>
      <w:pPr>
        <w:ind w:left="9158" w:hanging="850"/>
      </w:pPr>
      <w:rPr>
        <w:rFonts w:hint="default"/>
        <w:lang w:val="en-US" w:eastAsia="en-US" w:bidi="ar-SA"/>
      </w:rPr>
    </w:lvl>
  </w:abstractNum>
  <w:abstractNum w:abstractNumId="99">
    <w:multiLevelType w:val="hybridMultilevel"/>
    <w:lvl w:ilvl="0">
      <w:start w:val="3"/>
      <w:numFmt w:val="decimal"/>
      <w:lvlText w:val="(%1)"/>
      <w:lvlJc w:val="left"/>
      <w:pPr>
        <w:ind w:left="1541" w:hanging="409"/>
        <w:jc w:val="left"/>
      </w:pPr>
      <w:rPr>
        <w:rFonts w:hint="default" w:ascii="Bookman Old Style" w:hAnsi="Bookman Old Style" w:eastAsia="Bookman Old Style" w:cs="Bookman Old Style"/>
        <w:b/>
        <w:bCs/>
        <w:i/>
        <w:iCs/>
        <w:spacing w:val="0"/>
        <w:w w:val="100"/>
        <w:sz w:val="24"/>
        <w:szCs w:val="24"/>
        <w:lang w:val="en-US" w:eastAsia="en-US" w:bidi="ar-SA"/>
      </w:rPr>
    </w:lvl>
    <w:lvl w:ilvl="1">
      <w:start w:val="1"/>
      <w:numFmt w:val="lowerLetter"/>
      <w:lvlText w:val="(%2)"/>
      <w:lvlJc w:val="left"/>
      <w:pPr>
        <w:ind w:left="1570"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Roman"/>
      <w:lvlText w:val="(%3)"/>
      <w:lvlJc w:val="left"/>
      <w:pPr>
        <w:ind w:left="1570"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3714" w:hanging="360"/>
      </w:pPr>
      <w:rPr>
        <w:rFonts w:hint="default"/>
        <w:lang w:val="en-US" w:eastAsia="en-US" w:bidi="ar-SA"/>
      </w:rPr>
    </w:lvl>
    <w:lvl w:ilvl="4">
      <w:start w:val="0"/>
      <w:numFmt w:val="bullet"/>
      <w:lvlText w:val="•"/>
      <w:lvlJc w:val="left"/>
      <w:pPr>
        <w:ind w:left="4782" w:hanging="360"/>
      </w:pPr>
      <w:rPr>
        <w:rFonts w:hint="default"/>
        <w:lang w:val="en-US" w:eastAsia="en-US" w:bidi="ar-SA"/>
      </w:rPr>
    </w:lvl>
    <w:lvl w:ilvl="5">
      <w:start w:val="0"/>
      <w:numFmt w:val="bullet"/>
      <w:lvlText w:val="•"/>
      <w:lvlJc w:val="left"/>
      <w:pPr>
        <w:ind w:left="5849" w:hanging="360"/>
      </w:pPr>
      <w:rPr>
        <w:rFonts w:hint="default"/>
        <w:lang w:val="en-US" w:eastAsia="en-US" w:bidi="ar-SA"/>
      </w:rPr>
    </w:lvl>
    <w:lvl w:ilvl="6">
      <w:start w:val="0"/>
      <w:numFmt w:val="bullet"/>
      <w:lvlText w:val="•"/>
      <w:lvlJc w:val="left"/>
      <w:pPr>
        <w:ind w:left="6916" w:hanging="360"/>
      </w:pPr>
      <w:rPr>
        <w:rFonts w:hint="default"/>
        <w:lang w:val="en-US" w:eastAsia="en-US" w:bidi="ar-SA"/>
      </w:rPr>
    </w:lvl>
    <w:lvl w:ilvl="7">
      <w:start w:val="0"/>
      <w:numFmt w:val="bullet"/>
      <w:lvlText w:val="•"/>
      <w:lvlJc w:val="left"/>
      <w:pPr>
        <w:ind w:left="7984" w:hanging="360"/>
      </w:pPr>
      <w:rPr>
        <w:rFonts w:hint="default"/>
        <w:lang w:val="en-US" w:eastAsia="en-US" w:bidi="ar-SA"/>
      </w:rPr>
    </w:lvl>
    <w:lvl w:ilvl="8">
      <w:start w:val="0"/>
      <w:numFmt w:val="bullet"/>
      <w:lvlText w:val="•"/>
      <w:lvlJc w:val="left"/>
      <w:pPr>
        <w:ind w:left="9051" w:hanging="360"/>
      </w:pPr>
      <w:rPr>
        <w:rFonts w:hint="default"/>
        <w:lang w:val="en-US" w:eastAsia="en-US" w:bidi="ar-SA"/>
      </w:rPr>
    </w:lvl>
  </w:abstractNum>
  <w:abstractNum w:abstractNumId="98">
    <w:multiLevelType w:val="hybridMultilevel"/>
    <w:lvl w:ilvl="0">
      <w:start w:val="1"/>
      <w:numFmt w:val="decimal"/>
      <w:lvlText w:val="(%1)"/>
      <w:lvlJc w:val="left"/>
      <w:pPr>
        <w:ind w:left="1133" w:hanging="423"/>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2)"/>
      <w:lvlJc w:val="left"/>
      <w:pPr>
        <w:ind w:left="1498" w:hanging="29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576" w:hanging="298"/>
      </w:pPr>
      <w:rPr>
        <w:rFonts w:hint="default"/>
        <w:lang w:val="en-US" w:eastAsia="en-US" w:bidi="ar-SA"/>
      </w:rPr>
    </w:lvl>
    <w:lvl w:ilvl="3">
      <w:start w:val="0"/>
      <w:numFmt w:val="bullet"/>
      <w:lvlText w:val="•"/>
      <w:lvlJc w:val="left"/>
      <w:pPr>
        <w:ind w:left="3652" w:hanging="298"/>
      </w:pPr>
      <w:rPr>
        <w:rFonts w:hint="default"/>
        <w:lang w:val="en-US" w:eastAsia="en-US" w:bidi="ar-SA"/>
      </w:rPr>
    </w:lvl>
    <w:lvl w:ilvl="4">
      <w:start w:val="0"/>
      <w:numFmt w:val="bullet"/>
      <w:lvlText w:val="•"/>
      <w:lvlJc w:val="left"/>
      <w:pPr>
        <w:ind w:left="4728" w:hanging="298"/>
      </w:pPr>
      <w:rPr>
        <w:rFonts w:hint="default"/>
        <w:lang w:val="en-US" w:eastAsia="en-US" w:bidi="ar-SA"/>
      </w:rPr>
    </w:lvl>
    <w:lvl w:ilvl="5">
      <w:start w:val="0"/>
      <w:numFmt w:val="bullet"/>
      <w:lvlText w:val="•"/>
      <w:lvlJc w:val="left"/>
      <w:pPr>
        <w:ind w:left="5805" w:hanging="298"/>
      </w:pPr>
      <w:rPr>
        <w:rFonts w:hint="default"/>
        <w:lang w:val="en-US" w:eastAsia="en-US" w:bidi="ar-SA"/>
      </w:rPr>
    </w:lvl>
    <w:lvl w:ilvl="6">
      <w:start w:val="0"/>
      <w:numFmt w:val="bullet"/>
      <w:lvlText w:val="•"/>
      <w:lvlJc w:val="left"/>
      <w:pPr>
        <w:ind w:left="6881" w:hanging="298"/>
      </w:pPr>
      <w:rPr>
        <w:rFonts w:hint="default"/>
        <w:lang w:val="en-US" w:eastAsia="en-US" w:bidi="ar-SA"/>
      </w:rPr>
    </w:lvl>
    <w:lvl w:ilvl="7">
      <w:start w:val="0"/>
      <w:numFmt w:val="bullet"/>
      <w:lvlText w:val="•"/>
      <w:lvlJc w:val="left"/>
      <w:pPr>
        <w:ind w:left="7957" w:hanging="298"/>
      </w:pPr>
      <w:rPr>
        <w:rFonts w:hint="default"/>
        <w:lang w:val="en-US" w:eastAsia="en-US" w:bidi="ar-SA"/>
      </w:rPr>
    </w:lvl>
    <w:lvl w:ilvl="8">
      <w:start w:val="0"/>
      <w:numFmt w:val="bullet"/>
      <w:lvlText w:val="•"/>
      <w:lvlJc w:val="left"/>
      <w:pPr>
        <w:ind w:left="9033" w:hanging="298"/>
      </w:pPr>
      <w:rPr>
        <w:rFonts w:hint="default"/>
        <w:lang w:val="en-US" w:eastAsia="en-US" w:bidi="ar-SA"/>
      </w:rPr>
    </w:lvl>
  </w:abstractNum>
  <w:abstractNum w:abstractNumId="97">
    <w:multiLevelType w:val="hybridMultilevel"/>
    <w:lvl w:ilvl="0">
      <w:start w:val="9"/>
      <w:numFmt w:val="lowerLetter"/>
      <w:lvlText w:val="(%1)"/>
      <w:lvlJc w:val="left"/>
      <w:pPr>
        <w:ind w:left="1853" w:hanging="34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92" w:hanging="346"/>
      </w:pPr>
      <w:rPr>
        <w:rFonts w:hint="default"/>
        <w:lang w:val="en-US" w:eastAsia="en-US" w:bidi="ar-SA"/>
      </w:rPr>
    </w:lvl>
    <w:lvl w:ilvl="2">
      <w:start w:val="0"/>
      <w:numFmt w:val="bullet"/>
      <w:lvlText w:val="•"/>
      <w:lvlJc w:val="left"/>
      <w:pPr>
        <w:ind w:left="3725" w:hanging="346"/>
      </w:pPr>
      <w:rPr>
        <w:rFonts w:hint="default"/>
        <w:lang w:val="en-US" w:eastAsia="en-US" w:bidi="ar-SA"/>
      </w:rPr>
    </w:lvl>
    <w:lvl w:ilvl="3">
      <w:start w:val="0"/>
      <w:numFmt w:val="bullet"/>
      <w:lvlText w:val="•"/>
      <w:lvlJc w:val="left"/>
      <w:pPr>
        <w:ind w:left="4657" w:hanging="346"/>
      </w:pPr>
      <w:rPr>
        <w:rFonts w:hint="default"/>
        <w:lang w:val="en-US" w:eastAsia="en-US" w:bidi="ar-SA"/>
      </w:rPr>
    </w:lvl>
    <w:lvl w:ilvl="4">
      <w:start w:val="0"/>
      <w:numFmt w:val="bullet"/>
      <w:lvlText w:val="•"/>
      <w:lvlJc w:val="left"/>
      <w:pPr>
        <w:ind w:left="5590" w:hanging="346"/>
      </w:pPr>
      <w:rPr>
        <w:rFonts w:hint="default"/>
        <w:lang w:val="en-US" w:eastAsia="en-US" w:bidi="ar-SA"/>
      </w:rPr>
    </w:lvl>
    <w:lvl w:ilvl="5">
      <w:start w:val="0"/>
      <w:numFmt w:val="bullet"/>
      <w:lvlText w:val="•"/>
      <w:lvlJc w:val="left"/>
      <w:pPr>
        <w:ind w:left="6523" w:hanging="346"/>
      </w:pPr>
      <w:rPr>
        <w:rFonts w:hint="default"/>
        <w:lang w:val="en-US" w:eastAsia="en-US" w:bidi="ar-SA"/>
      </w:rPr>
    </w:lvl>
    <w:lvl w:ilvl="6">
      <w:start w:val="0"/>
      <w:numFmt w:val="bullet"/>
      <w:lvlText w:val="•"/>
      <w:lvlJc w:val="left"/>
      <w:pPr>
        <w:ind w:left="7455" w:hanging="346"/>
      </w:pPr>
      <w:rPr>
        <w:rFonts w:hint="default"/>
        <w:lang w:val="en-US" w:eastAsia="en-US" w:bidi="ar-SA"/>
      </w:rPr>
    </w:lvl>
    <w:lvl w:ilvl="7">
      <w:start w:val="0"/>
      <w:numFmt w:val="bullet"/>
      <w:lvlText w:val="•"/>
      <w:lvlJc w:val="left"/>
      <w:pPr>
        <w:ind w:left="8388" w:hanging="346"/>
      </w:pPr>
      <w:rPr>
        <w:rFonts w:hint="default"/>
        <w:lang w:val="en-US" w:eastAsia="en-US" w:bidi="ar-SA"/>
      </w:rPr>
    </w:lvl>
    <w:lvl w:ilvl="8">
      <w:start w:val="0"/>
      <w:numFmt w:val="bullet"/>
      <w:lvlText w:val="•"/>
      <w:lvlJc w:val="left"/>
      <w:pPr>
        <w:ind w:left="9321" w:hanging="346"/>
      </w:pPr>
      <w:rPr>
        <w:rFonts w:hint="default"/>
        <w:lang w:val="en-US" w:eastAsia="en-US" w:bidi="ar-SA"/>
      </w:rPr>
    </w:lvl>
  </w:abstractNum>
  <w:abstractNum w:abstractNumId="96">
    <w:multiLevelType w:val="hybridMultilevel"/>
    <w:lvl w:ilvl="0">
      <w:start w:val="18"/>
      <w:numFmt w:val="decimal"/>
      <w:lvlText w:val="%1."/>
      <w:lvlJc w:val="left"/>
      <w:pPr>
        <w:ind w:left="1334" w:hanging="563"/>
        <w:jc w:val="right"/>
      </w:pPr>
      <w:rPr>
        <w:rFonts w:hint="default" w:ascii="Bookman Old Style" w:hAnsi="Bookman Old Style" w:eastAsia="Bookman Old Style" w:cs="Bookman Old Style"/>
        <w:b/>
        <w:bCs/>
        <w:i w:val="0"/>
        <w:iCs w:val="0"/>
        <w:spacing w:val="-1"/>
        <w:w w:val="100"/>
        <w:sz w:val="28"/>
        <w:szCs w:val="28"/>
        <w:lang w:val="en-US" w:eastAsia="en-US" w:bidi="ar-SA"/>
      </w:rPr>
    </w:lvl>
    <w:lvl w:ilvl="1">
      <w:start w:val="1"/>
      <w:numFmt w:val="lowerLetter"/>
      <w:lvlText w:val="(%2)"/>
      <w:lvlJc w:val="left"/>
      <w:pPr>
        <w:ind w:left="1584" w:hanging="432"/>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1580" w:hanging="432"/>
      </w:pPr>
      <w:rPr>
        <w:rFonts w:hint="default"/>
        <w:lang w:val="en-US" w:eastAsia="en-US" w:bidi="ar-SA"/>
      </w:rPr>
    </w:lvl>
    <w:lvl w:ilvl="3">
      <w:start w:val="0"/>
      <w:numFmt w:val="bullet"/>
      <w:lvlText w:val="•"/>
      <w:lvlJc w:val="left"/>
      <w:pPr>
        <w:ind w:left="2780" w:hanging="432"/>
      </w:pPr>
      <w:rPr>
        <w:rFonts w:hint="default"/>
        <w:lang w:val="en-US" w:eastAsia="en-US" w:bidi="ar-SA"/>
      </w:rPr>
    </w:lvl>
    <w:lvl w:ilvl="4">
      <w:start w:val="0"/>
      <w:numFmt w:val="bullet"/>
      <w:lvlText w:val="•"/>
      <w:lvlJc w:val="left"/>
      <w:pPr>
        <w:ind w:left="3981" w:hanging="432"/>
      </w:pPr>
      <w:rPr>
        <w:rFonts w:hint="default"/>
        <w:lang w:val="en-US" w:eastAsia="en-US" w:bidi="ar-SA"/>
      </w:rPr>
    </w:lvl>
    <w:lvl w:ilvl="5">
      <w:start w:val="0"/>
      <w:numFmt w:val="bullet"/>
      <w:lvlText w:val="•"/>
      <w:lvlJc w:val="left"/>
      <w:pPr>
        <w:ind w:left="5182" w:hanging="432"/>
      </w:pPr>
      <w:rPr>
        <w:rFonts w:hint="default"/>
        <w:lang w:val="en-US" w:eastAsia="en-US" w:bidi="ar-SA"/>
      </w:rPr>
    </w:lvl>
    <w:lvl w:ilvl="6">
      <w:start w:val="0"/>
      <w:numFmt w:val="bullet"/>
      <w:lvlText w:val="•"/>
      <w:lvlJc w:val="left"/>
      <w:pPr>
        <w:ind w:left="6383" w:hanging="432"/>
      </w:pPr>
      <w:rPr>
        <w:rFonts w:hint="default"/>
        <w:lang w:val="en-US" w:eastAsia="en-US" w:bidi="ar-SA"/>
      </w:rPr>
    </w:lvl>
    <w:lvl w:ilvl="7">
      <w:start w:val="0"/>
      <w:numFmt w:val="bullet"/>
      <w:lvlText w:val="•"/>
      <w:lvlJc w:val="left"/>
      <w:pPr>
        <w:ind w:left="7584" w:hanging="432"/>
      </w:pPr>
      <w:rPr>
        <w:rFonts w:hint="default"/>
        <w:lang w:val="en-US" w:eastAsia="en-US" w:bidi="ar-SA"/>
      </w:rPr>
    </w:lvl>
    <w:lvl w:ilvl="8">
      <w:start w:val="0"/>
      <w:numFmt w:val="bullet"/>
      <w:lvlText w:val="•"/>
      <w:lvlJc w:val="left"/>
      <w:pPr>
        <w:ind w:left="8784" w:hanging="432"/>
      </w:pPr>
      <w:rPr>
        <w:rFonts w:hint="default"/>
        <w:lang w:val="en-US" w:eastAsia="en-US" w:bidi="ar-SA"/>
      </w:rPr>
    </w:lvl>
  </w:abstractNum>
  <w:abstractNum w:abstractNumId="95">
    <w:multiLevelType w:val="hybridMultilevel"/>
    <w:lvl w:ilvl="0">
      <w:start w:val="5"/>
      <w:numFmt w:val="decimal"/>
      <w:lvlText w:val="%1)"/>
      <w:lvlJc w:val="left"/>
      <w:pPr>
        <w:ind w:left="1080"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090" w:hanging="289"/>
      </w:pPr>
      <w:rPr>
        <w:rFonts w:hint="default"/>
        <w:lang w:val="en-US" w:eastAsia="en-US" w:bidi="ar-SA"/>
      </w:rPr>
    </w:lvl>
    <w:lvl w:ilvl="2">
      <w:start w:val="0"/>
      <w:numFmt w:val="bullet"/>
      <w:lvlText w:val="•"/>
      <w:lvlJc w:val="left"/>
      <w:pPr>
        <w:ind w:left="3101" w:hanging="289"/>
      </w:pPr>
      <w:rPr>
        <w:rFonts w:hint="default"/>
        <w:lang w:val="en-US" w:eastAsia="en-US" w:bidi="ar-SA"/>
      </w:rPr>
    </w:lvl>
    <w:lvl w:ilvl="3">
      <w:start w:val="0"/>
      <w:numFmt w:val="bullet"/>
      <w:lvlText w:val="•"/>
      <w:lvlJc w:val="left"/>
      <w:pPr>
        <w:ind w:left="4111" w:hanging="289"/>
      </w:pPr>
      <w:rPr>
        <w:rFonts w:hint="default"/>
        <w:lang w:val="en-US" w:eastAsia="en-US" w:bidi="ar-SA"/>
      </w:rPr>
    </w:lvl>
    <w:lvl w:ilvl="4">
      <w:start w:val="0"/>
      <w:numFmt w:val="bullet"/>
      <w:lvlText w:val="•"/>
      <w:lvlJc w:val="left"/>
      <w:pPr>
        <w:ind w:left="5122" w:hanging="289"/>
      </w:pPr>
      <w:rPr>
        <w:rFonts w:hint="default"/>
        <w:lang w:val="en-US" w:eastAsia="en-US" w:bidi="ar-SA"/>
      </w:rPr>
    </w:lvl>
    <w:lvl w:ilvl="5">
      <w:start w:val="0"/>
      <w:numFmt w:val="bullet"/>
      <w:lvlText w:val="•"/>
      <w:lvlJc w:val="left"/>
      <w:pPr>
        <w:ind w:left="6133" w:hanging="289"/>
      </w:pPr>
      <w:rPr>
        <w:rFonts w:hint="default"/>
        <w:lang w:val="en-US" w:eastAsia="en-US" w:bidi="ar-SA"/>
      </w:rPr>
    </w:lvl>
    <w:lvl w:ilvl="6">
      <w:start w:val="0"/>
      <w:numFmt w:val="bullet"/>
      <w:lvlText w:val="•"/>
      <w:lvlJc w:val="left"/>
      <w:pPr>
        <w:ind w:left="7143" w:hanging="289"/>
      </w:pPr>
      <w:rPr>
        <w:rFonts w:hint="default"/>
        <w:lang w:val="en-US" w:eastAsia="en-US" w:bidi="ar-SA"/>
      </w:rPr>
    </w:lvl>
    <w:lvl w:ilvl="7">
      <w:start w:val="0"/>
      <w:numFmt w:val="bullet"/>
      <w:lvlText w:val="•"/>
      <w:lvlJc w:val="left"/>
      <w:pPr>
        <w:ind w:left="8154" w:hanging="289"/>
      </w:pPr>
      <w:rPr>
        <w:rFonts w:hint="default"/>
        <w:lang w:val="en-US" w:eastAsia="en-US" w:bidi="ar-SA"/>
      </w:rPr>
    </w:lvl>
    <w:lvl w:ilvl="8">
      <w:start w:val="0"/>
      <w:numFmt w:val="bullet"/>
      <w:lvlText w:val="•"/>
      <w:lvlJc w:val="left"/>
      <w:pPr>
        <w:ind w:left="9165" w:hanging="289"/>
      </w:pPr>
      <w:rPr>
        <w:rFonts w:hint="default"/>
        <w:lang w:val="en-US" w:eastAsia="en-US" w:bidi="ar-SA"/>
      </w:rPr>
    </w:lvl>
  </w:abstractNum>
  <w:abstractNum w:abstractNumId="94">
    <w:multiLevelType w:val="hybridMultilevel"/>
    <w:lvl w:ilvl="0">
      <w:start w:val="1"/>
      <w:numFmt w:val="lowerLetter"/>
      <w:lvlText w:val="(%1)"/>
      <w:lvlJc w:val="left"/>
      <w:pPr>
        <w:ind w:left="1369" w:hanging="290"/>
        <w:jc w:val="left"/>
      </w:pPr>
      <w:rPr>
        <w:rFonts w:hint="default" w:ascii="Bookman Old Style" w:hAnsi="Bookman Old Style" w:eastAsia="Bookman Old Style" w:cs="Bookman Old Style"/>
        <w:b/>
        <w:bCs/>
        <w:i/>
        <w:iCs/>
        <w:spacing w:val="-1"/>
        <w:w w:val="100"/>
        <w:sz w:val="22"/>
        <w:szCs w:val="22"/>
        <w:lang w:val="en-US" w:eastAsia="en-US" w:bidi="ar-SA"/>
      </w:rPr>
    </w:lvl>
    <w:lvl w:ilvl="1">
      <w:start w:val="1"/>
      <w:numFmt w:val="decimal"/>
      <w:lvlText w:val="(%2)"/>
      <w:lvlJc w:val="left"/>
      <w:pPr>
        <w:ind w:left="1080" w:hanging="294"/>
        <w:jc w:val="left"/>
      </w:pPr>
      <w:rPr>
        <w:rFonts w:hint="default" w:ascii="Bookman Old Style" w:hAnsi="Bookman Old Style" w:eastAsia="Bookman Old Style" w:cs="Bookman Old Style"/>
        <w:b w:val="0"/>
        <w:bCs w:val="0"/>
        <w:i w:val="0"/>
        <w:iCs w:val="0"/>
        <w:spacing w:val="-1"/>
        <w:w w:val="100"/>
        <w:sz w:val="22"/>
        <w:szCs w:val="22"/>
        <w:lang w:val="en-US" w:eastAsia="en-US" w:bidi="ar-SA"/>
      </w:rPr>
    </w:lvl>
    <w:lvl w:ilvl="2">
      <w:start w:val="1"/>
      <w:numFmt w:val="lowerLetter"/>
      <w:lvlText w:val="%3."/>
      <w:lvlJc w:val="left"/>
      <w:pPr>
        <w:ind w:left="1080" w:hanging="28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3543" w:hanging="284"/>
      </w:pPr>
      <w:rPr>
        <w:rFonts w:hint="default"/>
        <w:lang w:val="en-US" w:eastAsia="en-US" w:bidi="ar-SA"/>
      </w:rPr>
    </w:lvl>
    <w:lvl w:ilvl="4">
      <w:start w:val="0"/>
      <w:numFmt w:val="bullet"/>
      <w:lvlText w:val="•"/>
      <w:lvlJc w:val="left"/>
      <w:pPr>
        <w:ind w:left="4635" w:hanging="284"/>
      </w:pPr>
      <w:rPr>
        <w:rFonts w:hint="default"/>
        <w:lang w:val="en-US" w:eastAsia="en-US" w:bidi="ar-SA"/>
      </w:rPr>
    </w:lvl>
    <w:lvl w:ilvl="5">
      <w:start w:val="0"/>
      <w:numFmt w:val="bullet"/>
      <w:lvlText w:val="•"/>
      <w:lvlJc w:val="left"/>
      <w:pPr>
        <w:ind w:left="5727" w:hanging="284"/>
      </w:pPr>
      <w:rPr>
        <w:rFonts w:hint="default"/>
        <w:lang w:val="en-US" w:eastAsia="en-US" w:bidi="ar-SA"/>
      </w:rPr>
    </w:lvl>
    <w:lvl w:ilvl="6">
      <w:start w:val="0"/>
      <w:numFmt w:val="bullet"/>
      <w:lvlText w:val="•"/>
      <w:lvlJc w:val="left"/>
      <w:pPr>
        <w:ind w:left="6819" w:hanging="284"/>
      </w:pPr>
      <w:rPr>
        <w:rFonts w:hint="default"/>
        <w:lang w:val="en-US" w:eastAsia="en-US" w:bidi="ar-SA"/>
      </w:rPr>
    </w:lvl>
    <w:lvl w:ilvl="7">
      <w:start w:val="0"/>
      <w:numFmt w:val="bullet"/>
      <w:lvlText w:val="•"/>
      <w:lvlJc w:val="left"/>
      <w:pPr>
        <w:ind w:left="7910" w:hanging="284"/>
      </w:pPr>
      <w:rPr>
        <w:rFonts w:hint="default"/>
        <w:lang w:val="en-US" w:eastAsia="en-US" w:bidi="ar-SA"/>
      </w:rPr>
    </w:lvl>
    <w:lvl w:ilvl="8">
      <w:start w:val="0"/>
      <w:numFmt w:val="bullet"/>
      <w:lvlText w:val="•"/>
      <w:lvlJc w:val="left"/>
      <w:pPr>
        <w:ind w:left="9002" w:hanging="284"/>
      </w:pPr>
      <w:rPr>
        <w:rFonts w:hint="default"/>
        <w:lang w:val="en-US" w:eastAsia="en-US" w:bidi="ar-SA"/>
      </w:rPr>
    </w:lvl>
  </w:abstractNum>
  <w:abstractNum w:abstractNumId="93">
    <w:multiLevelType w:val="hybridMultilevel"/>
    <w:lvl w:ilvl="0">
      <w:start w:val="1"/>
      <w:numFmt w:val="lowerLetter"/>
      <w:lvlText w:val="%1."/>
      <w:lvlJc w:val="left"/>
      <w:pPr>
        <w:ind w:left="1080" w:hanging="704"/>
        <w:jc w:val="right"/>
      </w:pPr>
      <w:rPr>
        <w:rFonts w:hint="default"/>
        <w:spacing w:val="0"/>
        <w:w w:val="100"/>
        <w:lang w:val="en-US" w:eastAsia="en-US" w:bidi="ar-SA"/>
      </w:rPr>
    </w:lvl>
    <w:lvl w:ilvl="1">
      <w:start w:val="0"/>
      <w:numFmt w:val="bullet"/>
      <w:lvlText w:val="•"/>
      <w:lvlJc w:val="left"/>
      <w:pPr>
        <w:ind w:left="2090" w:hanging="704"/>
      </w:pPr>
      <w:rPr>
        <w:rFonts w:hint="default"/>
        <w:lang w:val="en-US" w:eastAsia="en-US" w:bidi="ar-SA"/>
      </w:rPr>
    </w:lvl>
    <w:lvl w:ilvl="2">
      <w:start w:val="0"/>
      <w:numFmt w:val="bullet"/>
      <w:lvlText w:val="•"/>
      <w:lvlJc w:val="left"/>
      <w:pPr>
        <w:ind w:left="3101" w:hanging="704"/>
      </w:pPr>
      <w:rPr>
        <w:rFonts w:hint="default"/>
        <w:lang w:val="en-US" w:eastAsia="en-US" w:bidi="ar-SA"/>
      </w:rPr>
    </w:lvl>
    <w:lvl w:ilvl="3">
      <w:start w:val="0"/>
      <w:numFmt w:val="bullet"/>
      <w:lvlText w:val="•"/>
      <w:lvlJc w:val="left"/>
      <w:pPr>
        <w:ind w:left="4111" w:hanging="704"/>
      </w:pPr>
      <w:rPr>
        <w:rFonts w:hint="default"/>
        <w:lang w:val="en-US" w:eastAsia="en-US" w:bidi="ar-SA"/>
      </w:rPr>
    </w:lvl>
    <w:lvl w:ilvl="4">
      <w:start w:val="0"/>
      <w:numFmt w:val="bullet"/>
      <w:lvlText w:val="•"/>
      <w:lvlJc w:val="left"/>
      <w:pPr>
        <w:ind w:left="5122" w:hanging="704"/>
      </w:pPr>
      <w:rPr>
        <w:rFonts w:hint="default"/>
        <w:lang w:val="en-US" w:eastAsia="en-US" w:bidi="ar-SA"/>
      </w:rPr>
    </w:lvl>
    <w:lvl w:ilvl="5">
      <w:start w:val="0"/>
      <w:numFmt w:val="bullet"/>
      <w:lvlText w:val="•"/>
      <w:lvlJc w:val="left"/>
      <w:pPr>
        <w:ind w:left="6133" w:hanging="704"/>
      </w:pPr>
      <w:rPr>
        <w:rFonts w:hint="default"/>
        <w:lang w:val="en-US" w:eastAsia="en-US" w:bidi="ar-SA"/>
      </w:rPr>
    </w:lvl>
    <w:lvl w:ilvl="6">
      <w:start w:val="0"/>
      <w:numFmt w:val="bullet"/>
      <w:lvlText w:val="•"/>
      <w:lvlJc w:val="left"/>
      <w:pPr>
        <w:ind w:left="7143" w:hanging="704"/>
      </w:pPr>
      <w:rPr>
        <w:rFonts w:hint="default"/>
        <w:lang w:val="en-US" w:eastAsia="en-US" w:bidi="ar-SA"/>
      </w:rPr>
    </w:lvl>
    <w:lvl w:ilvl="7">
      <w:start w:val="0"/>
      <w:numFmt w:val="bullet"/>
      <w:lvlText w:val="•"/>
      <w:lvlJc w:val="left"/>
      <w:pPr>
        <w:ind w:left="8154" w:hanging="704"/>
      </w:pPr>
      <w:rPr>
        <w:rFonts w:hint="default"/>
        <w:lang w:val="en-US" w:eastAsia="en-US" w:bidi="ar-SA"/>
      </w:rPr>
    </w:lvl>
    <w:lvl w:ilvl="8">
      <w:start w:val="0"/>
      <w:numFmt w:val="bullet"/>
      <w:lvlText w:val="•"/>
      <w:lvlJc w:val="left"/>
      <w:pPr>
        <w:ind w:left="9165" w:hanging="704"/>
      </w:pPr>
      <w:rPr>
        <w:rFonts w:hint="default"/>
        <w:lang w:val="en-US" w:eastAsia="en-US" w:bidi="ar-SA"/>
      </w:rPr>
    </w:lvl>
  </w:abstractNum>
  <w:abstractNum w:abstractNumId="92">
    <w:multiLevelType w:val="hybridMultilevel"/>
    <w:lvl w:ilvl="0">
      <w:start w:val="1"/>
      <w:numFmt w:val="decimal"/>
      <w:lvlText w:val="(%1)"/>
      <w:lvlJc w:val="left"/>
      <w:pPr>
        <w:ind w:left="1080" w:hanging="351"/>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1080" w:hanging="29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Letter"/>
      <w:lvlText w:val="(%3)"/>
      <w:lvlJc w:val="left"/>
      <w:pPr>
        <w:ind w:left="1080" w:hanging="425"/>
        <w:jc w:val="left"/>
      </w:pPr>
      <w:rPr>
        <w:rFonts w:hint="default" w:ascii="Bookman Old Style" w:hAnsi="Bookman Old Style" w:eastAsia="Bookman Old Style" w:cs="Bookman Old Style"/>
        <w:b w:val="0"/>
        <w:bCs w:val="0"/>
        <w:i w:val="0"/>
        <w:iCs w:val="0"/>
        <w:spacing w:val="0"/>
        <w:w w:val="93"/>
        <w:sz w:val="24"/>
        <w:szCs w:val="24"/>
        <w:lang w:val="en-US" w:eastAsia="en-US" w:bidi="ar-SA"/>
      </w:rPr>
    </w:lvl>
    <w:lvl w:ilvl="3">
      <w:start w:val="0"/>
      <w:numFmt w:val="bullet"/>
      <w:lvlText w:val="•"/>
      <w:lvlJc w:val="left"/>
      <w:pPr>
        <w:ind w:left="4111" w:hanging="425"/>
      </w:pPr>
      <w:rPr>
        <w:rFonts w:hint="default"/>
        <w:lang w:val="en-US" w:eastAsia="en-US" w:bidi="ar-SA"/>
      </w:rPr>
    </w:lvl>
    <w:lvl w:ilvl="4">
      <w:start w:val="0"/>
      <w:numFmt w:val="bullet"/>
      <w:lvlText w:val="•"/>
      <w:lvlJc w:val="left"/>
      <w:pPr>
        <w:ind w:left="5122" w:hanging="425"/>
      </w:pPr>
      <w:rPr>
        <w:rFonts w:hint="default"/>
        <w:lang w:val="en-US" w:eastAsia="en-US" w:bidi="ar-SA"/>
      </w:rPr>
    </w:lvl>
    <w:lvl w:ilvl="5">
      <w:start w:val="0"/>
      <w:numFmt w:val="bullet"/>
      <w:lvlText w:val="•"/>
      <w:lvlJc w:val="left"/>
      <w:pPr>
        <w:ind w:left="6133" w:hanging="425"/>
      </w:pPr>
      <w:rPr>
        <w:rFonts w:hint="default"/>
        <w:lang w:val="en-US" w:eastAsia="en-US" w:bidi="ar-SA"/>
      </w:rPr>
    </w:lvl>
    <w:lvl w:ilvl="6">
      <w:start w:val="0"/>
      <w:numFmt w:val="bullet"/>
      <w:lvlText w:val="•"/>
      <w:lvlJc w:val="left"/>
      <w:pPr>
        <w:ind w:left="7143" w:hanging="425"/>
      </w:pPr>
      <w:rPr>
        <w:rFonts w:hint="default"/>
        <w:lang w:val="en-US" w:eastAsia="en-US" w:bidi="ar-SA"/>
      </w:rPr>
    </w:lvl>
    <w:lvl w:ilvl="7">
      <w:start w:val="0"/>
      <w:numFmt w:val="bullet"/>
      <w:lvlText w:val="•"/>
      <w:lvlJc w:val="left"/>
      <w:pPr>
        <w:ind w:left="8154" w:hanging="425"/>
      </w:pPr>
      <w:rPr>
        <w:rFonts w:hint="default"/>
        <w:lang w:val="en-US" w:eastAsia="en-US" w:bidi="ar-SA"/>
      </w:rPr>
    </w:lvl>
    <w:lvl w:ilvl="8">
      <w:start w:val="0"/>
      <w:numFmt w:val="bullet"/>
      <w:lvlText w:val="•"/>
      <w:lvlJc w:val="left"/>
      <w:pPr>
        <w:ind w:left="9165" w:hanging="425"/>
      </w:pPr>
      <w:rPr>
        <w:rFonts w:hint="default"/>
        <w:lang w:val="en-US" w:eastAsia="en-US" w:bidi="ar-SA"/>
      </w:rPr>
    </w:lvl>
  </w:abstractNum>
  <w:abstractNum w:abstractNumId="91">
    <w:multiLevelType w:val="hybridMultilevel"/>
    <w:lvl w:ilvl="0">
      <w:start w:val="1"/>
      <w:numFmt w:val="upperLetter"/>
      <w:lvlText w:val="(%1)"/>
      <w:lvlJc w:val="left"/>
      <w:pPr>
        <w:ind w:left="1080" w:hanging="299"/>
        <w:jc w:val="right"/>
      </w:pPr>
      <w:rPr>
        <w:rFonts w:hint="default"/>
        <w:spacing w:val="-1"/>
        <w:w w:val="93"/>
        <w:lang w:val="en-US" w:eastAsia="en-US" w:bidi="ar-SA"/>
      </w:rPr>
    </w:lvl>
    <w:lvl w:ilvl="1">
      <w:start w:val="1"/>
      <w:numFmt w:val="lowerLetter"/>
      <w:lvlText w:val="%2."/>
      <w:lvlJc w:val="left"/>
      <w:pPr>
        <w:ind w:left="1080" w:hanging="284"/>
        <w:jc w:val="left"/>
      </w:pPr>
      <w:rPr>
        <w:rFonts w:hint="default"/>
        <w:spacing w:val="0"/>
        <w:w w:val="100"/>
        <w:lang w:val="en-US" w:eastAsia="en-US" w:bidi="ar-SA"/>
      </w:rPr>
    </w:lvl>
    <w:lvl w:ilvl="2">
      <w:start w:val="0"/>
      <w:numFmt w:val="bullet"/>
      <w:lvlText w:val="•"/>
      <w:lvlJc w:val="left"/>
      <w:pPr>
        <w:ind w:left="3101" w:hanging="284"/>
      </w:pPr>
      <w:rPr>
        <w:rFonts w:hint="default"/>
        <w:lang w:val="en-US" w:eastAsia="en-US" w:bidi="ar-SA"/>
      </w:rPr>
    </w:lvl>
    <w:lvl w:ilvl="3">
      <w:start w:val="0"/>
      <w:numFmt w:val="bullet"/>
      <w:lvlText w:val="•"/>
      <w:lvlJc w:val="left"/>
      <w:pPr>
        <w:ind w:left="4111" w:hanging="284"/>
      </w:pPr>
      <w:rPr>
        <w:rFonts w:hint="default"/>
        <w:lang w:val="en-US" w:eastAsia="en-US" w:bidi="ar-SA"/>
      </w:rPr>
    </w:lvl>
    <w:lvl w:ilvl="4">
      <w:start w:val="0"/>
      <w:numFmt w:val="bullet"/>
      <w:lvlText w:val="•"/>
      <w:lvlJc w:val="left"/>
      <w:pPr>
        <w:ind w:left="5122" w:hanging="284"/>
      </w:pPr>
      <w:rPr>
        <w:rFonts w:hint="default"/>
        <w:lang w:val="en-US" w:eastAsia="en-US" w:bidi="ar-SA"/>
      </w:rPr>
    </w:lvl>
    <w:lvl w:ilvl="5">
      <w:start w:val="0"/>
      <w:numFmt w:val="bullet"/>
      <w:lvlText w:val="•"/>
      <w:lvlJc w:val="left"/>
      <w:pPr>
        <w:ind w:left="6133" w:hanging="284"/>
      </w:pPr>
      <w:rPr>
        <w:rFonts w:hint="default"/>
        <w:lang w:val="en-US" w:eastAsia="en-US" w:bidi="ar-SA"/>
      </w:rPr>
    </w:lvl>
    <w:lvl w:ilvl="6">
      <w:start w:val="0"/>
      <w:numFmt w:val="bullet"/>
      <w:lvlText w:val="•"/>
      <w:lvlJc w:val="left"/>
      <w:pPr>
        <w:ind w:left="7143" w:hanging="284"/>
      </w:pPr>
      <w:rPr>
        <w:rFonts w:hint="default"/>
        <w:lang w:val="en-US" w:eastAsia="en-US" w:bidi="ar-SA"/>
      </w:rPr>
    </w:lvl>
    <w:lvl w:ilvl="7">
      <w:start w:val="0"/>
      <w:numFmt w:val="bullet"/>
      <w:lvlText w:val="•"/>
      <w:lvlJc w:val="left"/>
      <w:pPr>
        <w:ind w:left="8154" w:hanging="284"/>
      </w:pPr>
      <w:rPr>
        <w:rFonts w:hint="default"/>
        <w:lang w:val="en-US" w:eastAsia="en-US" w:bidi="ar-SA"/>
      </w:rPr>
    </w:lvl>
    <w:lvl w:ilvl="8">
      <w:start w:val="0"/>
      <w:numFmt w:val="bullet"/>
      <w:lvlText w:val="•"/>
      <w:lvlJc w:val="left"/>
      <w:pPr>
        <w:ind w:left="9165" w:hanging="284"/>
      </w:pPr>
      <w:rPr>
        <w:rFonts w:hint="default"/>
        <w:lang w:val="en-US" w:eastAsia="en-US" w:bidi="ar-SA"/>
      </w:rPr>
    </w:lvl>
  </w:abstractNum>
  <w:abstractNum w:abstractNumId="89">
    <w:multiLevelType w:val="hybridMultilevel"/>
    <w:lvl w:ilvl="0">
      <w:start w:val="8"/>
      <w:numFmt w:val="lowerRoman"/>
      <w:lvlText w:val="%1)"/>
      <w:lvlJc w:val="left"/>
      <w:pPr>
        <w:ind w:left="1080" w:hanging="471"/>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080" w:hanging="284"/>
        <w:jc w:val="left"/>
      </w:pPr>
      <w:rPr>
        <w:rFonts w:hint="default" w:ascii="Bookman Old Style" w:hAnsi="Bookman Old Style" w:eastAsia="Bookman Old Style" w:cs="Bookman Old Style"/>
        <w:b w:val="0"/>
        <w:bCs w:val="0"/>
        <w:i w:val="0"/>
        <w:iCs w:val="0"/>
        <w:spacing w:val="0"/>
        <w:w w:val="88"/>
        <w:sz w:val="24"/>
        <w:szCs w:val="24"/>
        <w:lang w:val="en-US" w:eastAsia="en-US" w:bidi="ar-SA"/>
      </w:rPr>
    </w:lvl>
    <w:lvl w:ilvl="2">
      <w:start w:val="0"/>
      <w:numFmt w:val="bullet"/>
      <w:lvlText w:val="•"/>
      <w:lvlJc w:val="left"/>
      <w:pPr>
        <w:ind w:left="3101" w:hanging="284"/>
      </w:pPr>
      <w:rPr>
        <w:rFonts w:hint="default"/>
        <w:lang w:val="en-US" w:eastAsia="en-US" w:bidi="ar-SA"/>
      </w:rPr>
    </w:lvl>
    <w:lvl w:ilvl="3">
      <w:start w:val="0"/>
      <w:numFmt w:val="bullet"/>
      <w:lvlText w:val="•"/>
      <w:lvlJc w:val="left"/>
      <w:pPr>
        <w:ind w:left="4111" w:hanging="284"/>
      </w:pPr>
      <w:rPr>
        <w:rFonts w:hint="default"/>
        <w:lang w:val="en-US" w:eastAsia="en-US" w:bidi="ar-SA"/>
      </w:rPr>
    </w:lvl>
    <w:lvl w:ilvl="4">
      <w:start w:val="0"/>
      <w:numFmt w:val="bullet"/>
      <w:lvlText w:val="•"/>
      <w:lvlJc w:val="left"/>
      <w:pPr>
        <w:ind w:left="5122" w:hanging="284"/>
      </w:pPr>
      <w:rPr>
        <w:rFonts w:hint="default"/>
        <w:lang w:val="en-US" w:eastAsia="en-US" w:bidi="ar-SA"/>
      </w:rPr>
    </w:lvl>
    <w:lvl w:ilvl="5">
      <w:start w:val="0"/>
      <w:numFmt w:val="bullet"/>
      <w:lvlText w:val="•"/>
      <w:lvlJc w:val="left"/>
      <w:pPr>
        <w:ind w:left="6133" w:hanging="284"/>
      </w:pPr>
      <w:rPr>
        <w:rFonts w:hint="default"/>
        <w:lang w:val="en-US" w:eastAsia="en-US" w:bidi="ar-SA"/>
      </w:rPr>
    </w:lvl>
    <w:lvl w:ilvl="6">
      <w:start w:val="0"/>
      <w:numFmt w:val="bullet"/>
      <w:lvlText w:val="•"/>
      <w:lvlJc w:val="left"/>
      <w:pPr>
        <w:ind w:left="7143" w:hanging="284"/>
      </w:pPr>
      <w:rPr>
        <w:rFonts w:hint="default"/>
        <w:lang w:val="en-US" w:eastAsia="en-US" w:bidi="ar-SA"/>
      </w:rPr>
    </w:lvl>
    <w:lvl w:ilvl="7">
      <w:start w:val="0"/>
      <w:numFmt w:val="bullet"/>
      <w:lvlText w:val="•"/>
      <w:lvlJc w:val="left"/>
      <w:pPr>
        <w:ind w:left="8154" w:hanging="284"/>
      </w:pPr>
      <w:rPr>
        <w:rFonts w:hint="default"/>
        <w:lang w:val="en-US" w:eastAsia="en-US" w:bidi="ar-SA"/>
      </w:rPr>
    </w:lvl>
    <w:lvl w:ilvl="8">
      <w:start w:val="0"/>
      <w:numFmt w:val="bullet"/>
      <w:lvlText w:val="•"/>
      <w:lvlJc w:val="left"/>
      <w:pPr>
        <w:ind w:left="9165" w:hanging="284"/>
      </w:pPr>
      <w:rPr>
        <w:rFonts w:hint="default"/>
        <w:lang w:val="en-US" w:eastAsia="en-US" w:bidi="ar-SA"/>
      </w:rPr>
    </w:lvl>
  </w:abstractNum>
  <w:abstractNum w:abstractNumId="88">
    <w:multiLevelType w:val="hybridMultilevel"/>
    <w:lvl w:ilvl="0">
      <w:start w:val="20"/>
      <w:numFmt w:val="decimal"/>
      <w:lvlText w:val="(%1)"/>
      <w:lvlJc w:val="left"/>
      <w:pPr>
        <w:ind w:left="1632" w:hanging="552"/>
        <w:jc w:val="left"/>
      </w:pPr>
      <w:rPr>
        <w:rFonts w:hint="default"/>
        <w:spacing w:val="-1"/>
        <w:w w:val="100"/>
        <w:lang w:val="en-US" w:eastAsia="en-US" w:bidi="ar-SA"/>
      </w:rPr>
    </w:lvl>
    <w:lvl w:ilvl="1">
      <w:start w:val="1"/>
      <w:numFmt w:val="lowerRoman"/>
      <w:lvlText w:val="%2)"/>
      <w:lvlJc w:val="left"/>
      <w:pPr>
        <w:ind w:left="1080" w:hanging="21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700" w:hanging="219"/>
      </w:pPr>
      <w:rPr>
        <w:rFonts w:hint="default"/>
        <w:lang w:val="en-US" w:eastAsia="en-US" w:bidi="ar-SA"/>
      </w:rPr>
    </w:lvl>
    <w:lvl w:ilvl="3">
      <w:start w:val="0"/>
      <w:numFmt w:val="bullet"/>
      <w:lvlText w:val="•"/>
      <w:lvlJc w:val="left"/>
      <w:pPr>
        <w:ind w:left="3761" w:hanging="219"/>
      </w:pPr>
      <w:rPr>
        <w:rFonts w:hint="default"/>
        <w:lang w:val="en-US" w:eastAsia="en-US" w:bidi="ar-SA"/>
      </w:rPr>
    </w:lvl>
    <w:lvl w:ilvl="4">
      <w:start w:val="0"/>
      <w:numFmt w:val="bullet"/>
      <w:lvlText w:val="•"/>
      <w:lvlJc w:val="left"/>
      <w:pPr>
        <w:ind w:left="4822" w:hanging="219"/>
      </w:pPr>
      <w:rPr>
        <w:rFonts w:hint="default"/>
        <w:lang w:val="en-US" w:eastAsia="en-US" w:bidi="ar-SA"/>
      </w:rPr>
    </w:lvl>
    <w:lvl w:ilvl="5">
      <w:start w:val="0"/>
      <w:numFmt w:val="bullet"/>
      <w:lvlText w:val="•"/>
      <w:lvlJc w:val="left"/>
      <w:pPr>
        <w:ind w:left="5882" w:hanging="219"/>
      </w:pPr>
      <w:rPr>
        <w:rFonts w:hint="default"/>
        <w:lang w:val="en-US" w:eastAsia="en-US" w:bidi="ar-SA"/>
      </w:rPr>
    </w:lvl>
    <w:lvl w:ilvl="6">
      <w:start w:val="0"/>
      <w:numFmt w:val="bullet"/>
      <w:lvlText w:val="•"/>
      <w:lvlJc w:val="left"/>
      <w:pPr>
        <w:ind w:left="6943" w:hanging="219"/>
      </w:pPr>
      <w:rPr>
        <w:rFonts w:hint="default"/>
        <w:lang w:val="en-US" w:eastAsia="en-US" w:bidi="ar-SA"/>
      </w:rPr>
    </w:lvl>
    <w:lvl w:ilvl="7">
      <w:start w:val="0"/>
      <w:numFmt w:val="bullet"/>
      <w:lvlText w:val="•"/>
      <w:lvlJc w:val="left"/>
      <w:pPr>
        <w:ind w:left="8004" w:hanging="219"/>
      </w:pPr>
      <w:rPr>
        <w:rFonts w:hint="default"/>
        <w:lang w:val="en-US" w:eastAsia="en-US" w:bidi="ar-SA"/>
      </w:rPr>
    </w:lvl>
    <w:lvl w:ilvl="8">
      <w:start w:val="0"/>
      <w:numFmt w:val="bullet"/>
      <w:lvlText w:val="•"/>
      <w:lvlJc w:val="left"/>
      <w:pPr>
        <w:ind w:left="9064" w:hanging="219"/>
      </w:pPr>
      <w:rPr>
        <w:rFonts w:hint="default"/>
        <w:lang w:val="en-US" w:eastAsia="en-US" w:bidi="ar-SA"/>
      </w:rPr>
    </w:lvl>
  </w:abstractNum>
  <w:abstractNum w:abstractNumId="87">
    <w:multiLevelType w:val="hybridMultilevel"/>
    <w:lvl w:ilvl="0">
      <w:start w:val="17"/>
      <w:numFmt w:val="decimal"/>
      <w:lvlText w:val="(%1)"/>
      <w:lvlJc w:val="left"/>
      <w:pPr>
        <w:ind w:left="1171" w:hanging="583"/>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180" w:hanging="583"/>
      </w:pPr>
      <w:rPr>
        <w:rFonts w:hint="default"/>
        <w:lang w:val="en-US" w:eastAsia="en-US" w:bidi="ar-SA"/>
      </w:rPr>
    </w:lvl>
    <w:lvl w:ilvl="2">
      <w:start w:val="0"/>
      <w:numFmt w:val="bullet"/>
      <w:lvlText w:val="•"/>
      <w:lvlJc w:val="left"/>
      <w:pPr>
        <w:ind w:left="3181" w:hanging="583"/>
      </w:pPr>
      <w:rPr>
        <w:rFonts w:hint="default"/>
        <w:lang w:val="en-US" w:eastAsia="en-US" w:bidi="ar-SA"/>
      </w:rPr>
    </w:lvl>
    <w:lvl w:ilvl="3">
      <w:start w:val="0"/>
      <w:numFmt w:val="bullet"/>
      <w:lvlText w:val="•"/>
      <w:lvlJc w:val="left"/>
      <w:pPr>
        <w:ind w:left="4181" w:hanging="583"/>
      </w:pPr>
      <w:rPr>
        <w:rFonts w:hint="default"/>
        <w:lang w:val="en-US" w:eastAsia="en-US" w:bidi="ar-SA"/>
      </w:rPr>
    </w:lvl>
    <w:lvl w:ilvl="4">
      <w:start w:val="0"/>
      <w:numFmt w:val="bullet"/>
      <w:lvlText w:val="•"/>
      <w:lvlJc w:val="left"/>
      <w:pPr>
        <w:ind w:left="5182" w:hanging="583"/>
      </w:pPr>
      <w:rPr>
        <w:rFonts w:hint="default"/>
        <w:lang w:val="en-US" w:eastAsia="en-US" w:bidi="ar-SA"/>
      </w:rPr>
    </w:lvl>
    <w:lvl w:ilvl="5">
      <w:start w:val="0"/>
      <w:numFmt w:val="bullet"/>
      <w:lvlText w:val="•"/>
      <w:lvlJc w:val="left"/>
      <w:pPr>
        <w:ind w:left="6183" w:hanging="583"/>
      </w:pPr>
      <w:rPr>
        <w:rFonts w:hint="default"/>
        <w:lang w:val="en-US" w:eastAsia="en-US" w:bidi="ar-SA"/>
      </w:rPr>
    </w:lvl>
    <w:lvl w:ilvl="6">
      <w:start w:val="0"/>
      <w:numFmt w:val="bullet"/>
      <w:lvlText w:val="•"/>
      <w:lvlJc w:val="left"/>
      <w:pPr>
        <w:ind w:left="7183" w:hanging="583"/>
      </w:pPr>
      <w:rPr>
        <w:rFonts w:hint="default"/>
        <w:lang w:val="en-US" w:eastAsia="en-US" w:bidi="ar-SA"/>
      </w:rPr>
    </w:lvl>
    <w:lvl w:ilvl="7">
      <w:start w:val="0"/>
      <w:numFmt w:val="bullet"/>
      <w:lvlText w:val="•"/>
      <w:lvlJc w:val="left"/>
      <w:pPr>
        <w:ind w:left="8184" w:hanging="583"/>
      </w:pPr>
      <w:rPr>
        <w:rFonts w:hint="default"/>
        <w:lang w:val="en-US" w:eastAsia="en-US" w:bidi="ar-SA"/>
      </w:rPr>
    </w:lvl>
    <w:lvl w:ilvl="8">
      <w:start w:val="0"/>
      <w:numFmt w:val="bullet"/>
      <w:lvlText w:val="•"/>
      <w:lvlJc w:val="left"/>
      <w:pPr>
        <w:ind w:left="9185" w:hanging="583"/>
      </w:pPr>
      <w:rPr>
        <w:rFonts w:hint="default"/>
        <w:lang w:val="en-US" w:eastAsia="en-US" w:bidi="ar-SA"/>
      </w:rPr>
    </w:lvl>
  </w:abstractNum>
  <w:abstractNum w:abstractNumId="86">
    <w:multiLevelType w:val="hybridMultilevel"/>
    <w:lvl w:ilvl="0">
      <w:start w:val="3"/>
      <w:numFmt w:val="lowerLetter"/>
      <w:lvlText w:val="%1)"/>
      <w:lvlJc w:val="left"/>
      <w:pPr>
        <w:ind w:left="1260" w:hanging="216"/>
        <w:jc w:val="right"/>
      </w:pPr>
      <w:rPr>
        <w:rFonts w:hint="default" w:ascii="Bookman Old Style" w:hAnsi="Bookman Old Style" w:eastAsia="Bookman Old Style" w:cs="Bookman Old Style"/>
        <w:b w:val="0"/>
        <w:bCs w:val="0"/>
        <w:i w:val="0"/>
        <w:iCs w:val="0"/>
        <w:spacing w:val="9"/>
        <w:w w:val="98"/>
        <w:sz w:val="22"/>
        <w:szCs w:val="22"/>
        <w:lang w:val="en-US" w:eastAsia="en-US" w:bidi="ar-SA"/>
      </w:rPr>
    </w:lvl>
    <w:lvl w:ilvl="1">
      <w:start w:val="2"/>
      <w:numFmt w:val="decimal"/>
      <w:lvlText w:val="%2)"/>
      <w:lvlJc w:val="left"/>
      <w:pPr>
        <w:ind w:left="1351" w:hanging="35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451" w:hanging="355"/>
      </w:pPr>
      <w:rPr>
        <w:rFonts w:hint="default"/>
        <w:lang w:val="en-US" w:eastAsia="en-US" w:bidi="ar-SA"/>
      </w:rPr>
    </w:lvl>
    <w:lvl w:ilvl="3">
      <w:start w:val="0"/>
      <w:numFmt w:val="bullet"/>
      <w:lvlText w:val="•"/>
      <w:lvlJc w:val="left"/>
      <w:pPr>
        <w:ind w:left="3543" w:hanging="355"/>
      </w:pPr>
      <w:rPr>
        <w:rFonts w:hint="default"/>
        <w:lang w:val="en-US" w:eastAsia="en-US" w:bidi="ar-SA"/>
      </w:rPr>
    </w:lvl>
    <w:lvl w:ilvl="4">
      <w:start w:val="0"/>
      <w:numFmt w:val="bullet"/>
      <w:lvlText w:val="•"/>
      <w:lvlJc w:val="left"/>
      <w:pPr>
        <w:ind w:left="4635" w:hanging="355"/>
      </w:pPr>
      <w:rPr>
        <w:rFonts w:hint="default"/>
        <w:lang w:val="en-US" w:eastAsia="en-US" w:bidi="ar-SA"/>
      </w:rPr>
    </w:lvl>
    <w:lvl w:ilvl="5">
      <w:start w:val="0"/>
      <w:numFmt w:val="bullet"/>
      <w:lvlText w:val="•"/>
      <w:lvlJc w:val="left"/>
      <w:pPr>
        <w:ind w:left="5727" w:hanging="355"/>
      </w:pPr>
      <w:rPr>
        <w:rFonts w:hint="default"/>
        <w:lang w:val="en-US" w:eastAsia="en-US" w:bidi="ar-SA"/>
      </w:rPr>
    </w:lvl>
    <w:lvl w:ilvl="6">
      <w:start w:val="0"/>
      <w:numFmt w:val="bullet"/>
      <w:lvlText w:val="•"/>
      <w:lvlJc w:val="left"/>
      <w:pPr>
        <w:ind w:left="6819" w:hanging="355"/>
      </w:pPr>
      <w:rPr>
        <w:rFonts w:hint="default"/>
        <w:lang w:val="en-US" w:eastAsia="en-US" w:bidi="ar-SA"/>
      </w:rPr>
    </w:lvl>
    <w:lvl w:ilvl="7">
      <w:start w:val="0"/>
      <w:numFmt w:val="bullet"/>
      <w:lvlText w:val="•"/>
      <w:lvlJc w:val="left"/>
      <w:pPr>
        <w:ind w:left="7910" w:hanging="355"/>
      </w:pPr>
      <w:rPr>
        <w:rFonts w:hint="default"/>
        <w:lang w:val="en-US" w:eastAsia="en-US" w:bidi="ar-SA"/>
      </w:rPr>
    </w:lvl>
    <w:lvl w:ilvl="8">
      <w:start w:val="0"/>
      <w:numFmt w:val="bullet"/>
      <w:lvlText w:val="•"/>
      <w:lvlJc w:val="left"/>
      <w:pPr>
        <w:ind w:left="9002" w:hanging="355"/>
      </w:pPr>
      <w:rPr>
        <w:rFonts w:hint="default"/>
        <w:lang w:val="en-US" w:eastAsia="en-US" w:bidi="ar-SA"/>
      </w:rPr>
    </w:lvl>
  </w:abstractNum>
  <w:abstractNum w:abstractNumId="85">
    <w:multiLevelType w:val="hybridMultilevel"/>
    <w:lvl w:ilvl="0">
      <w:start w:val="1"/>
      <w:numFmt w:val="decimal"/>
      <w:lvlText w:val="%1"/>
      <w:lvlJc w:val="left"/>
      <w:pPr>
        <w:ind w:left="1260" w:hanging="54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252" w:hanging="540"/>
      </w:pPr>
      <w:rPr>
        <w:rFonts w:hint="default"/>
        <w:lang w:val="en-US" w:eastAsia="en-US" w:bidi="ar-SA"/>
      </w:rPr>
    </w:lvl>
    <w:lvl w:ilvl="2">
      <w:start w:val="0"/>
      <w:numFmt w:val="bullet"/>
      <w:lvlText w:val="•"/>
      <w:lvlJc w:val="left"/>
      <w:pPr>
        <w:ind w:left="3245" w:hanging="540"/>
      </w:pPr>
      <w:rPr>
        <w:rFonts w:hint="default"/>
        <w:lang w:val="en-US" w:eastAsia="en-US" w:bidi="ar-SA"/>
      </w:rPr>
    </w:lvl>
    <w:lvl w:ilvl="3">
      <w:start w:val="0"/>
      <w:numFmt w:val="bullet"/>
      <w:lvlText w:val="•"/>
      <w:lvlJc w:val="left"/>
      <w:pPr>
        <w:ind w:left="4237" w:hanging="540"/>
      </w:pPr>
      <w:rPr>
        <w:rFonts w:hint="default"/>
        <w:lang w:val="en-US" w:eastAsia="en-US" w:bidi="ar-SA"/>
      </w:rPr>
    </w:lvl>
    <w:lvl w:ilvl="4">
      <w:start w:val="0"/>
      <w:numFmt w:val="bullet"/>
      <w:lvlText w:val="•"/>
      <w:lvlJc w:val="left"/>
      <w:pPr>
        <w:ind w:left="5230" w:hanging="540"/>
      </w:pPr>
      <w:rPr>
        <w:rFonts w:hint="default"/>
        <w:lang w:val="en-US" w:eastAsia="en-US" w:bidi="ar-SA"/>
      </w:rPr>
    </w:lvl>
    <w:lvl w:ilvl="5">
      <w:start w:val="0"/>
      <w:numFmt w:val="bullet"/>
      <w:lvlText w:val="•"/>
      <w:lvlJc w:val="left"/>
      <w:pPr>
        <w:ind w:left="6223" w:hanging="540"/>
      </w:pPr>
      <w:rPr>
        <w:rFonts w:hint="default"/>
        <w:lang w:val="en-US" w:eastAsia="en-US" w:bidi="ar-SA"/>
      </w:rPr>
    </w:lvl>
    <w:lvl w:ilvl="6">
      <w:start w:val="0"/>
      <w:numFmt w:val="bullet"/>
      <w:lvlText w:val="•"/>
      <w:lvlJc w:val="left"/>
      <w:pPr>
        <w:ind w:left="7215" w:hanging="540"/>
      </w:pPr>
      <w:rPr>
        <w:rFonts w:hint="default"/>
        <w:lang w:val="en-US" w:eastAsia="en-US" w:bidi="ar-SA"/>
      </w:rPr>
    </w:lvl>
    <w:lvl w:ilvl="7">
      <w:start w:val="0"/>
      <w:numFmt w:val="bullet"/>
      <w:lvlText w:val="•"/>
      <w:lvlJc w:val="left"/>
      <w:pPr>
        <w:ind w:left="8208" w:hanging="540"/>
      </w:pPr>
      <w:rPr>
        <w:rFonts w:hint="default"/>
        <w:lang w:val="en-US" w:eastAsia="en-US" w:bidi="ar-SA"/>
      </w:rPr>
    </w:lvl>
    <w:lvl w:ilvl="8">
      <w:start w:val="0"/>
      <w:numFmt w:val="bullet"/>
      <w:lvlText w:val="•"/>
      <w:lvlJc w:val="left"/>
      <w:pPr>
        <w:ind w:left="9201" w:hanging="540"/>
      </w:pPr>
      <w:rPr>
        <w:rFonts w:hint="default"/>
        <w:lang w:val="en-US" w:eastAsia="en-US" w:bidi="ar-SA"/>
      </w:rPr>
    </w:lvl>
  </w:abstractNum>
  <w:abstractNum w:abstractNumId="71">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66">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56">
    <w:multiLevelType w:val="hybridMultilevel"/>
    <w:lvl w:ilvl="0">
      <w:start w:val="1"/>
      <w:numFmt w:val="lowerLetter"/>
      <w:lvlText w:val="%1)"/>
      <w:lvlJc w:val="left"/>
      <w:pPr>
        <w:ind w:left="394"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41">
    <w:multiLevelType w:val="hybridMultilevel"/>
    <w:lvl w:ilvl="0">
      <w:start w:val="1"/>
      <w:numFmt w:val="lowerRoman"/>
      <w:lvlText w:val="%1)"/>
      <w:lvlJc w:val="left"/>
      <w:pPr>
        <w:ind w:left="106" w:hanging="25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8" w:hanging="255"/>
      </w:pPr>
      <w:rPr>
        <w:rFonts w:hint="default"/>
        <w:lang w:val="en-US" w:eastAsia="en-US" w:bidi="ar-SA"/>
      </w:rPr>
    </w:lvl>
    <w:lvl w:ilvl="2">
      <w:start w:val="0"/>
      <w:numFmt w:val="bullet"/>
      <w:lvlText w:val="•"/>
      <w:lvlJc w:val="left"/>
      <w:pPr>
        <w:ind w:left="496" w:hanging="255"/>
      </w:pPr>
      <w:rPr>
        <w:rFonts w:hint="default"/>
        <w:lang w:val="en-US" w:eastAsia="en-US" w:bidi="ar-SA"/>
      </w:rPr>
    </w:lvl>
    <w:lvl w:ilvl="3">
      <w:start w:val="0"/>
      <w:numFmt w:val="bullet"/>
      <w:lvlText w:val="•"/>
      <w:lvlJc w:val="left"/>
      <w:pPr>
        <w:ind w:left="695" w:hanging="255"/>
      </w:pPr>
      <w:rPr>
        <w:rFonts w:hint="default"/>
        <w:lang w:val="en-US" w:eastAsia="en-US" w:bidi="ar-SA"/>
      </w:rPr>
    </w:lvl>
    <w:lvl w:ilvl="4">
      <w:start w:val="0"/>
      <w:numFmt w:val="bullet"/>
      <w:lvlText w:val="•"/>
      <w:lvlJc w:val="left"/>
      <w:pPr>
        <w:ind w:left="893" w:hanging="255"/>
      </w:pPr>
      <w:rPr>
        <w:rFonts w:hint="default"/>
        <w:lang w:val="en-US" w:eastAsia="en-US" w:bidi="ar-SA"/>
      </w:rPr>
    </w:lvl>
    <w:lvl w:ilvl="5">
      <w:start w:val="0"/>
      <w:numFmt w:val="bullet"/>
      <w:lvlText w:val="•"/>
      <w:lvlJc w:val="left"/>
      <w:pPr>
        <w:ind w:left="1092" w:hanging="255"/>
      </w:pPr>
      <w:rPr>
        <w:rFonts w:hint="default"/>
        <w:lang w:val="en-US" w:eastAsia="en-US" w:bidi="ar-SA"/>
      </w:rPr>
    </w:lvl>
    <w:lvl w:ilvl="6">
      <w:start w:val="0"/>
      <w:numFmt w:val="bullet"/>
      <w:lvlText w:val="•"/>
      <w:lvlJc w:val="left"/>
      <w:pPr>
        <w:ind w:left="1290" w:hanging="255"/>
      </w:pPr>
      <w:rPr>
        <w:rFonts w:hint="default"/>
        <w:lang w:val="en-US" w:eastAsia="en-US" w:bidi="ar-SA"/>
      </w:rPr>
    </w:lvl>
    <w:lvl w:ilvl="7">
      <w:start w:val="0"/>
      <w:numFmt w:val="bullet"/>
      <w:lvlText w:val="•"/>
      <w:lvlJc w:val="left"/>
      <w:pPr>
        <w:ind w:left="1488" w:hanging="255"/>
      </w:pPr>
      <w:rPr>
        <w:rFonts w:hint="default"/>
        <w:lang w:val="en-US" w:eastAsia="en-US" w:bidi="ar-SA"/>
      </w:rPr>
    </w:lvl>
    <w:lvl w:ilvl="8">
      <w:start w:val="0"/>
      <w:numFmt w:val="bullet"/>
      <w:lvlText w:val="•"/>
      <w:lvlJc w:val="left"/>
      <w:pPr>
        <w:ind w:left="1687" w:hanging="255"/>
      </w:pPr>
      <w:rPr>
        <w:rFonts w:hint="default"/>
        <w:lang w:val="en-US" w:eastAsia="en-US" w:bidi="ar-SA"/>
      </w:rPr>
    </w:lvl>
  </w:abstractNum>
  <w:abstractNum w:abstractNumId="36">
    <w:multiLevelType w:val="hybridMultilevel"/>
    <w:lvl w:ilvl="0">
      <w:start w:val="1"/>
      <w:numFmt w:val="lowerLetter"/>
      <w:lvlText w:val="%1)"/>
      <w:lvlJc w:val="left"/>
      <w:pPr>
        <w:ind w:left="466" w:hanging="212"/>
        <w:jc w:val="left"/>
      </w:pPr>
      <w:rPr>
        <w:rFonts w:hint="default" w:ascii="Arial" w:hAnsi="Arial" w:eastAsia="Arial" w:cs="Arial"/>
        <w:b w:val="0"/>
        <w:bCs w:val="0"/>
        <w:i w:val="0"/>
        <w:iCs w:val="0"/>
        <w:color w:val="221F1F"/>
        <w:spacing w:val="0"/>
        <w:w w:val="99"/>
        <w:sz w:val="18"/>
        <w:szCs w:val="18"/>
        <w:lang w:val="en-US" w:eastAsia="en-US" w:bidi="ar-SA"/>
      </w:rPr>
    </w:lvl>
    <w:lvl w:ilvl="1">
      <w:start w:val="0"/>
      <w:numFmt w:val="bullet"/>
      <w:lvlText w:val="•"/>
      <w:lvlJc w:val="left"/>
      <w:pPr>
        <w:ind w:left="543" w:hanging="212"/>
      </w:pPr>
      <w:rPr>
        <w:rFonts w:hint="default"/>
        <w:lang w:val="en-US" w:eastAsia="en-US" w:bidi="ar-SA"/>
      </w:rPr>
    </w:lvl>
    <w:lvl w:ilvl="2">
      <w:start w:val="0"/>
      <w:numFmt w:val="bullet"/>
      <w:lvlText w:val="•"/>
      <w:lvlJc w:val="left"/>
      <w:pPr>
        <w:ind w:left="627" w:hanging="212"/>
      </w:pPr>
      <w:rPr>
        <w:rFonts w:hint="default"/>
        <w:lang w:val="en-US" w:eastAsia="en-US" w:bidi="ar-SA"/>
      </w:rPr>
    </w:lvl>
    <w:lvl w:ilvl="3">
      <w:start w:val="0"/>
      <w:numFmt w:val="bullet"/>
      <w:lvlText w:val="•"/>
      <w:lvlJc w:val="left"/>
      <w:pPr>
        <w:ind w:left="710" w:hanging="212"/>
      </w:pPr>
      <w:rPr>
        <w:rFonts w:hint="default"/>
        <w:lang w:val="en-US" w:eastAsia="en-US" w:bidi="ar-SA"/>
      </w:rPr>
    </w:lvl>
    <w:lvl w:ilvl="4">
      <w:start w:val="0"/>
      <w:numFmt w:val="bullet"/>
      <w:lvlText w:val="•"/>
      <w:lvlJc w:val="left"/>
      <w:pPr>
        <w:ind w:left="794" w:hanging="212"/>
      </w:pPr>
      <w:rPr>
        <w:rFonts w:hint="default"/>
        <w:lang w:val="en-US" w:eastAsia="en-US" w:bidi="ar-SA"/>
      </w:rPr>
    </w:lvl>
    <w:lvl w:ilvl="5">
      <w:start w:val="0"/>
      <w:numFmt w:val="bullet"/>
      <w:lvlText w:val="•"/>
      <w:lvlJc w:val="left"/>
      <w:pPr>
        <w:ind w:left="878" w:hanging="212"/>
      </w:pPr>
      <w:rPr>
        <w:rFonts w:hint="default"/>
        <w:lang w:val="en-US" w:eastAsia="en-US" w:bidi="ar-SA"/>
      </w:rPr>
    </w:lvl>
    <w:lvl w:ilvl="6">
      <w:start w:val="0"/>
      <w:numFmt w:val="bullet"/>
      <w:lvlText w:val="•"/>
      <w:lvlJc w:val="left"/>
      <w:pPr>
        <w:ind w:left="961" w:hanging="212"/>
      </w:pPr>
      <w:rPr>
        <w:rFonts w:hint="default"/>
        <w:lang w:val="en-US" w:eastAsia="en-US" w:bidi="ar-SA"/>
      </w:rPr>
    </w:lvl>
    <w:lvl w:ilvl="7">
      <w:start w:val="0"/>
      <w:numFmt w:val="bullet"/>
      <w:lvlText w:val="•"/>
      <w:lvlJc w:val="left"/>
      <w:pPr>
        <w:ind w:left="1045" w:hanging="212"/>
      </w:pPr>
      <w:rPr>
        <w:rFonts w:hint="default"/>
        <w:lang w:val="en-US" w:eastAsia="en-US" w:bidi="ar-SA"/>
      </w:rPr>
    </w:lvl>
    <w:lvl w:ilvl="8">
      <w:start w:val="0"/>
      <w:numFmt w:val="bullet"/>
      <w:lvlText w:val="•"/>
      <w:lvlJc w:val="left"/>
      <w:pPr>
        <w:ind w:left="1128" w:hanging="212"/>
      </w:pPr>
      <w:rPr>
        <w:rFonts w:hint="default"/>
        <w:lang w:val="en-US" w:eastAsia="en-US" w:bidi="ar-SA"/>
      </w:rPr>
    </w:lvl>
  </w:abstractNum>
  <w:abstractNum w:abstractNumId="33">
    <w:multiLevelType w:val="hybridMultilevel"/>
    <w:lvl w:ilvl="0">
      <w:start w:val="1"/>
      <w:numFmt w:val="lowerRoman"/>
      <w:lvlText w:val="%1)"/>
      <w:lvlJc w:val="left"/>
      <w:pPr>
        <w:ind w:left="1507" w:hanging="23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231"/>
      </w:pPr>
      <w:rPr>
        <w:rFonts w:hint="default"/>
        <w:lang w:val="en-US" w:eastAsia="en-US" w:bidi="ar-SA"/>
      </w:rPr>
    </w:lvl>
    <w:lvl w:ilvl="2">
      <w:start w:val="0"/>
      <w:numFmt w:val="bullet"/>
      <w:lvlText w:val="•"/>
      <w:lvlJc w:val="left"/>
      <w:pPr>
        <w:ind w:left="3437" w:hanging="231"/>
      </w:pPr>
      <w:rPr>
        <w:rFonts w:hint="default"/>
        <w:lang w:val="en-US" w:eastAsia="en-US" w:bidi="ar-SA"/>
      </w:rPr>
    </w:lvl>
    <w:lvl w:ilvl="3">
      <w:start w:val="0"/>
      <w:numFmt w:val="bullet"/>
      <w:lvlText w:val="•"/>
      <w:lvlJc w:val="left"/>
      <w:pPr>
        <w:ind w:left="4405" w:hanging="231"/>
      </w:pPr>
      <w:rPr>
        <w:rFonts w:hint="default"/>
        <w:lang w:val="en-US" w:eastAsia="en-US" w:bidi="ar-SA"/>
      </w:rPr>
    </w:lvl>
    <w:lvl w:ilvl="4">
      <w:start w:val="0"/>
      <w:numFmt w:val="bullet"/>
      <w:lvlText w:val="•"/>
      <w:lvlJc w:val="left"/>
      <w:pPr>
        <w:ind w:left="5374" w:hanging="231"/>
      </w:pPr>
      <w:rPr>
        <w:rFonts w:hint="default"/>
        <w:lang w:val="en-US" w:eastAsia="en-US" w:bidi="ar-SA"/>
      </w:rPr>
    </w:lvl>
    <w:lvl w:ilvl="5">
      <w:start w:val="0"/>
      <w:numFmt w:val="bullet"/>
      <w:lvlText w:val="•"/>
      <w:lvlJc w:val="left"/>
      <w:pPr>
        <w:ind w:left="6343" w:hanging="231"/>
      </w:pPr>
      <w:rPr>
        <w:rFonts w:hint="default"/>
        <w:lang w:val="en-US" w:eastAsia="en-US" w:bidi="ar-SA"/>
      </w:rPr>
    </w:lvl>
    <w:lvl w:ilvl="6">
      <w:start w:val="0"/>
      <w:numFmt w:val="bullet"/>
      <w:lvlText w:val="•"/>
      <w:lvlJc w:val="left"/>
      <w:pPr>
        <w:ind w:left="7311" w:hanging="231"/>
      </w:pPr>
      <w:rPr>
        <w:rFonts w:hint="default"/>
        <w:lang w:val="en-US" w:eastAsia="en-US" w:bidi="ar-SA"/>
      </w:rPr>
    </w:lvl>
    <w:lvl w:ilvl="7">
      <w:start w:val="0"/>
      <w:numFmt w:val="bullet"/>
      <w:lvlText w:val="•"/>
      <w:lvlJc w:val="left"/>
      <w:pPr>
        <w:ind w:left="8280" w:hanging="231"/>
      </w:pPr>
      <w:rPr>
        <w:rFonts w:hint="default"/>
        <w:lang w:val="en-US" w:eastAsia="en-US" w:bidi="ar-SA"/>
      </w:rPr>
    </w:lvl>
    <w:lvl w:ilvl="8">
      <w:start w:val="0"/>
      <w:numFmt w:val="bullet"/>
      <w:lvlText w:val="•"/>
      <w:lvlJc w:val="left"/>
      <w:pPr>
        <w:ind w:left="9249" w:hanging="231"/>
      </w:pPr>
      <w:rPr>
        <w:rFonts w:hint="default"/>
        <w:lang w:val="en-US" w:eastAsia="en-US" w:bidi="ar-SA"/>
      </w:rPr>
    </w:lvl>
  </w:abstractNum>
  <w:abstractNum w:abstractNumId="31">
    <w:multiLevelType w:val="hybridMultilevel"/>
    <w:lvl w:ilvl="0">
      <w:start w:val="3"/>
      <w:numFmt w:val="decimal"/>
      <w:lvlText w:val="(%1)"/>
      <w:lvlJc w:val="left"/>
      <w:pPr>
        <w:ind w:left="2016" w:hanging="37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36" w:hanging="370"/>
      </w:pPr>
      <w:rPr>
        <w:rFonts w:hint="default"/>
        <w:lang w:val="en-US" w:eastAsia="en-US" w:bidi="ar-SA"/>
      </w:rPr>
    </w:lvl>
    <w:lvl w:ilvl="2">
      <w:start w:val="0"/>
      <w:numFmt w:val="bullet"/>
      <w:lvlText w:val="•"/>
      <w:lvlJc w:val="left"/>
      <w:pPr>
        <w:ind w:left="3853" w:hanging="370"/>
      </w:pPr>
      <w:rPr>
        <w:rFonts w:hint="default"/>
        <w:lang w:val="en-US" w:eastAsia="en-US" w:bidi="ar-SA"/>
      </w:rPr>
    </w:lvl>
    <w:lvl w:ilvl="3">
      <w:start w:val="0"/>
      <w:numFmt w:val="bullet"/>
      <w:lvlText w:val="•"/>
      <w:lvlJc w:val="left"/>
      <w:pPr>
        <w:ind w:left="4769" w:hanging="370"/>
      </w:pPr>
      <w:rPr>
        <w:rFonts w:hint="default"/>
        <w:lang w:val="en-US" w:eastAsia="en-US" w:bidi="ar-SA"/>
      </w:rPr>
    </w:lvl>
    <w:lvl w:ilvl="4">
      <w:start w:val="0"/>
      <w:numFmt w:val="bullet"/>
      <w:lvlText w:val="•"/>
      <w:lvlJc w:val="left"/>
      <w:pPr>
        <w:ind w:left="5686" w:hanging="370"/>
      </w:pPr>
      <w:rPr>
        <w:rFonts w:hint="default"/>
        <w:lang w:val="en-US" w:eastAsia="en-US" w:bidi="ar-SA"/>
      </w:rPr>
    </w:lvl>
    <w:lvl w:ilvl="5">
      <w:start w:val="0"/>
      <w:numFmt w:val="bullet"/>
      <w:lvlText w:val="•"/>
      <w:lvlJc w:val="left"/>
      <w:pPr>
        <w:ind w:left="6603" w:hanging="370"/>
      </w:pPr>
      <w:rPr>
        <w:rFonts w:hint="default"/>
        <w:lang w:val="en-US" w:eastAsia="en-US" w:bidi="ar-SA"/>
      </w:rPr>
    </w:lvl>
    <w:lvl w:ilvl="6">
      <w:start w:val="0"/>
      <w:numFmt w:val="bullet"/>
      <w:lvlText w:val="•"/>
      <w:lvlJc w:val="left"/>
      <w:pPr>
        <w:ind w:left="7519" w:hanging="370"/>
      </w:pPr>
      <w:rPr>
        <w:rFonts w:hint="default"/>
        <w:lang w:val="en-US" w:eastAsia="en-US" w:bidi="ar-SA"/>
      </w:rPr>
    </w:lvl>
    <w:lvl w:ilvl="7">
      <w:start w:val="0"/>
      <w:numFmt w:val="bullet"/>
      <w:lvlText w:val="•"/>
      <w:lvlJc w:val="left"/>
      <w:pPr>
        <w:ind w:left="8436" w:hanging="370"/>
      </w:pPr>
      <w:rPr>
        <w:rFonts w:hint="default"/>
        <w:lang w:val="en-US" w:eastAsia="en-US" w:bidi="ar-SA"/>
      </w:rPr>
    </w:lvl>
    <w:lvl w:ilvl="8">
      <w:start w:val="0"/>
      <w:numFmt w:val="bullet"/>
      <w:lvlText w:val="•"/>
      <w:lvlJc w:val="left"/>
      <w:pPr>
        <w:ind w:left="9353" w:hanging="370"/>
      </w:pPr>
      <w:rPr>
        <w:rFonts w:hint="default"/>
        <w:lang w:val="en-US" w:eastAsia="en-US" w:bidi="ar-SA"/>
      </w:rPr>
    </w:lvl>
  </w:abstractNum>
  <w:abstractNum w:abstractNumId="30">
    <w:multiLevelType w:val="hybridMultilevel"/>
    <w:lvl w:ilvl="0">
      <w:start w:val="3"/>
      <w:numFmt w:val="lowerLetter"/>
      <w:lvlText w:val="%1)"/>
      <w:lvlJc w:val="left"/>
      <w:pPr>
        <w:ind w:left="1646" w:hanging="30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2074" w:hanging="22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decimal"/>
      <w:lvlText w:val="%3)"/>
      <w:lvlJc w:val="left"/>
      <w:pPr>
        <w:ind w:left="1646" w:hanging="30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4103" w:hanging="305"/>
      </w:pPr>
      <w:rPr>
        <w:rFonts w:hint="default"/>
        <w:lang w:val="en-US" w:eastAsia="en-US" w:bidi="ar-SA"/>
      </w:rPr>
    </w:lvl>
    <w:lvl w:ilvl="4">
      <w:start w:val="0"/>
      <w:numFmt w:val="bullet"/>
      <w:lvlText w:val="•"/>
      <w:lvlJc w:val="left"/>
      <w:pPr>
        <w:ind w:left="5115" w:hanging="305"/>
      </w:pPr>
      <w:rPr>
        <w:rFonts w:hint="default"/>
        <w:lang w:val="en-US" w:eastAsia="en-US" w:bidi="ar-SA"/>
      </w:rPr>
    </w:lvl>
    <w:lvl w:ilvl="5">
      <w:start w:val="0"/>
      <w:numFmt w:val="bullet"/>
      <w:lvlText w:val="•"/>
      <w:lvlJc w:val="left"/>
      <w:pPr>
        <w:ind w:left="6127" w:hanging="305"/>
      </w:pPr>
      <w:rPr>
        <w:rFonts w:hint="default"/>
        <w:lang w:val="en-US" w:eastAsia="en-US" w:bidi="ar-SA"/>
      </w:rPr>
    </w:lvl>
    <w:lvl w:ilvl="6">
      <w:start w:val="0"/>
      <w:numFmt w:val="bullet"/>
      <w:lvlText w:val="•"/>
      <w:lvlJc w:val="left"/>
      <w:pPr>
        <w:ind w:left="7139" w:hanging="305"/>
      </w:pPr>
      <w:rPr>
        <w:rFonts w:hint="default"/>
        <w:lang w:val="en-US" w:eastAsia="en-US" w:bidi="ar-SA"/>
      </w:rPr>
    </w:lvl>
    <w:lvl w:ilvl="7">
      <w:start w:val="0"/>
      <w:numFmt w:val="bullet"/>
      <w:lvlText w:val="•"/>
      <w:lvlJc w:val="left"/>
      <w:pPr>
        <w:ind w:left="8150" w:hanging="305"/>
      </w:pPr>
      <w:rPr>
        <w:rFonts w:hint="default"/>
        <w:lang w:val="en-US" w:eastAsia="en-US" w:bidi="ar-SA"/>
      </w:rPr>
    </w:lvl>
    <w:lvl w:ilvl="8">
      <w:start w:val="0"/>
      <w:numFmt w:val="bullet"/>
      <w:lvlText w:val="•"/>
      <w:lvlJc w:val="left"/>
      <w:pPr>
        <w:ind w:left="9162" w:hanging="305"/>
      </w:pPr>
      <w:rPr>
        <w:rFonts w:hint="default"/>
        <w:lang w:val="en-US" w:eastAsia="en-US" w:bidi="ar-SA"/>
      </w:rPr>
    </w:lvl>
  </w:abstractNum>
  <w:abstractNum w:abstractNumId="29">
    <w:multiLevelType w:val="hybridMultilevel"/>
    <w:lvl w:ilvl="0">
      <w:start w:val="1"/>
      <w:numFmt w:val="lowerLetter"/>
      <w:lvlText w:val="(%1)"/>
      <w:lvlJc w:val="left"/>
      <w:pPr>
        <w:ind w:left="1646" w:hanging="35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594" w:hanging="353"/>
      </w:pPr>
      <w:rPr>
        <w:rFonts w:hint="default"/>
        <w:lang w:val="en-US" w:eastAsia="en-US" w:bidi="ar-SA"/>
      </w:rPr>
    </w:lvl>
    <w:lvl w:ilvl="2">
      <w:start w:val="0"/>
      <w:numFmt w:val="bullet"/>
      <w:lvlText w:val="•"/>
      <w:lvlJc w:val="left"/>
      <w:pPr>
        <w:ind w:left="3549" w:hanging="353"/>
      </w:pPr>
      <w:rPr>
        <w:rFonts w:hint="default"/>
        <w:lang w:val="en-US" w:eastAsia="en-US" w:bidi="ar-SA"/>
      </w:rPr>
    </w:lvl>
    <w:lvl w:ilvl="3">
      <w:start w:val="0"/>
      <w:numFmt w:val="bullet"/>
      <w:lvlText w:val="•"/>
      <w:lvlJc w:val="left"/>
      <w:pPr>
        <w:ind w:left="4503" w:hanging="353"/>
      </w:pPr>
      <w:rPr>
        <w:rFonts w:hint="default"/>
        <w:lang w:val="en-US" w:eastAsia="en-US" w:bidi="ar-SA"/>
      </w:rPr>
    </w:lvl>
    <w:lvl w:ilvl="4">
      <w:start w:val="0"/>
      <w:numFmt w:val="bullet"/>
      <w:lvlText w:val="•"/>
      <w:lvlJc w:val="left"/>
      <w:pPr>
        <w:ind w:left="5458" w:hanging="353"/>
      </w:pPr>
      <w:rPr>
        <w:rFonts w:hint="default"/>
        <w:lang w:val="en-US" w:eastAsia="en-US" w:bidi="ar-SA"/>
      </w:rPr>
    </w:lvl>
    <w:lvl w:ilvl="5">
      <w:start w:val="0"/>
      <w:numFmt w:val="bullet"/>
      <w:lvlText w:val="•"/>
      <w:lvlJc w:val="left"/>
      <w:pPr>
        <w:ind w:left="6413" w:hanging="353"/>
      </w:pPr>
      <w:rPr>
        <w:rFonts w:hint="default"/>
        <w:lang w:val="en-US" w:eastAsia="en-US" w:bidi="ar-SA"/>
      </w:rPr>
    </w:lvl>
    <w:lvl w:ilvl="6">
      <w:start w:val="0"/>
      <w:numFmt w:val="bullet"/>
      <w:lvlText w:val="•"/>
      <w:lvlJc w:val="left"/>
      <w:pPr>
        <w:ind w:left="7367" w:hanging="353"/>
      </w:pPr>
      <w:rPr>
        <w:rFonts w:hint="default"/>
        <w:lang w:val="en-US" w:eastAsia="en-US" w:bidi="ar-SA"/>
      </w:rPr>
    </w:lvl>
    <w:lvl w:ilvl="7">
      <w:start w:val="0"/>
      <w:numFmt w:val="bullet"/>
      <w:lvlText w:val="•"/>
      <w:lvlJc w:val="left"/>
      <w:pPr>
        <w:ind w:left="8322" w:hanging="353"/>
      </w:pPr>
      <w:rPr>
        <w:rFonts w:hint="default"/>
        <w:lang w:val="en-US" w:eastAsia="en-US" w:bidi="ar-SA"/>
      </w:rPr>
    </w:lvl>
    <w:lvl w:ilvl="8">
      <w:start w:val="0"/>
      <w:numFmt w:val="bullet"/>
      <w:lvlText w:val="•"/>
      <w:lvlJc w:val="left"/>
      <w:pPr>
        <w:ind w:left="9277" w:hanging="353"/>
      </w:pPr>
      <w:rPr>
        <w:rFonts w:hint="default"/>
        <w:lang w:val="en-US" w:eastAsia="en-US" w:bidi="ar-SA"/>
      </w:rPr>
    </w:lvl>
  </w:abstractNum>
  <w:abstractNum w:abstractNumId="28">
    <w:multiLevelType w:val="hybridMultilevel"/>
    <w:lvl w:ilvl="0">
      <w:start w:val="15"/>
      <w:numFmt w:val="decimal"/>
      <w:lvlText w:val="%1."/>
      <w:lvlJc w:val="left"/>
      <w:pPr>
        <w:ind w:left="1800" w:hanging="720"/>
        <w:jc w:val="left"/>
      </w:pPr>
      <w:rPr>
        <w:rFonts w:hint="default" w:ascii="Bookman Old Style" w:hAnsi="Bookman Old Style" w:eastAsia="Bookman Old Style" w:cs="Bookman Old Style"/>
        <w:b/>
        <w:bCs/>
        <w:i w:val="0"/>
        <w:iCs w:val="0"/>
        <w:spacing w:val="-1"/>
        <w:w w:val="100"/>
        <w:sz w:val="28"/>
        <w:szCs w:val="28"/>
        <w:lang w:val="en-US" w:eastAsia="en-US" w:bidi="ar-SA"/>
      </w:rPr>
    </w:lvl>
    <w:lvl w:ilvl="1">
      <w:start w:val="2"/>
      <w:numFmt w:val="lowerLetter"/>
      <w:lvlText w:val="%2)"/>
      <w:lvlJc w:val="left"/>
      <w:pPr>
        <w:ind w:left="1646" w:hanging="32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842" w:hanging="329"/>
      </w:pPr>
      <w:rPr>
        <w:rFonts w:hint="default"/>
        <w:lang w:val="en-US" w:eastAsia="en-US" w:bidi="ar-SA"/>
      </w:rPr>
    </w:lvl>
    <w:lvl w:ilvl="3">
      <w:start w:val="0"/>
      <w:numFmt w:val="bullet"/>
      <w:lvlText w:val="•"/>
      <w:lvlJc w:val="left"/>
      <w:pPr>
        <w:ind w:left="3885" w:hanging="329"/>
      </w:pPr>
      <w:rPr>
        <w:rFonts w:hint="default"/>
        <w:lang w:val="en-US" w:eastAsia="en-US" w:bidi="ar-SA"/>
      </w:rPr>
    </w:lvl>
    <w:lvl w:ilvl="4">
      <w:start w:val="0"/>
      <w:numFmt w:val="bullet"/>
      <w:lvlText w:val="•"/>
      <w:lvlJc w:val="left"/>
      <w:pPr>
        <w:ind w:left="4928" w:hanging="329"/>
      </w:pPr>
      <w:rPr>
        <w:rFonts w:hint="default"/>
        <w:lang w:val="en-US" w:eastAsia="en-US" w:bidi="ar-SA"/>
      </w:rPr>
    </w:lvl>
    <w:lvl w:ilvl="5">
      <w:start w:val="0"/>
      <w:numFmt w:val="bullet"/>
      <w:lvlText w:val="•"/>
      <w:lvlJc w:val="left"/>
      <w:pPr>
        <w:ind w:left="5971" w:hanging="329"/>
      </w:pPr>
      <w:rPr>
        <w:rFonts w:hint="default"/>
        <w:lang w:val="en-US" w:eastAsia="en-US" w:bidi="ar-SA"/>
      </w:rPr>
    </w:lvl>
    <w:lvl w:ilvl="6">
      <w:start w:val="0"/>
      <w:numFmt w:val="bullet"/>
      <w:lvlText w:val="•"/>
      <w:lvlJc w:val="left"/>
      <w:pPr>
        <w:ind w:left="7014" w:hanging="329"/>
      </w:pPr>
      <w:rPr>
        <w:rFonts w:hint="default"/>
        <w:lang w:val="en-US" w:eastAsia="en-US" w:bidi="ar-SA"/>
      </w:rPr>
    </w:lvl>
    <w:lvl w:ilvl="7">
      <w:start w:val="0"/>
      <w:numFmt w:val="bullet"/>
      <w:lvlText w:val="•"/>
      <w:lvlJc w:val="left"/>
      <w:pPr>
        <w:ind w:left="8057" w:hanging="329"/>
      </w:pPr>
      <w:rPr>
        <w:rFonts w:hint="default"/>
        <w:lang w:val="en-US" w:eastAsia="en-US" w:bidi="ar-SA"/>
      </w:rPr>
    </w:lvl>
    <w:lvl w:ilvl="8">
      <w:start w:val="0"/>
      <w:numFmt w:val="bullet"/>
      <w:lvlText w:val="•"/>
      <w:lvlJc w:val="left"/>
      <w:pPr>
        <w:ind w:left="9100" w:hanging="329"/>
      </w:pPr>
      <w:rPr>
        <w:rFonts w:hint="default"/>
        <w:lang w:val="en-US" w:eastAsia="en-US" w:bidi="ar-SA"/>
      </w:rPr>
    </w:lvl>
  </w:abstractNum>
  <w:abstractNum w:abstractNumId="27">
    <w:multiLevelType w:val="hybridMultilevel"/>
    <w:lvl w:ilvl="0">
      <w:start w:val="3"/>
      <w:numFmt w:val="upperRoman"/>
      <w:lvlText w:val="%1."/>
      <w:lvlJc w:val="left"/>
      <w:pPr>
        <w:ind w:left="1800" w:hanging="437"/>
        <w:jc w:val="right"/>
      </w:pPr>
      <w:rPr>
        <w:rFonts w:hint="default"/>
        <w:spacing w:val="0"/>
        <w:w w:val="100"/>
        <w:lang w:val="en-US" w:eastAsia="en-US" w:bidi="ar-SA"/>
      </w:rPr>
    </w:lvl>
    <w:lvl w:ilvl="1">
      <w:start w:val="1"/>
      <w:numFmt w:val="lowerLetter"/>
      <w:lvlText w:val="%2)"/>
      <w:lvlJc w:val="left"/>
      <w:pPr>
        <w:ind w:left="1800" w:hanging="874"/>
        <w:jc w:val="left"/>
      </w:pPr>
      <w:rPr>
        <w:rFonts w:hint="default" w:ascii="Bookman Old Style" w:hAnsi="Bookman Old Style" w:eastAsia="Bookman Old Style" w:cs="Bookman Old Style"/>
        <w:b w:val="0"/>
        <w:bCs w:val="0"/>
        <w:i w:val="0"/>
        <w:iCs w:val="0"/>
        <w:spacing w:val="-1"/>
        <w:w w:val="100"/>
        <w:sz w:val="24"/>
        <w:szCs w:val="24"/>
        <w:lang w:val="en-US" w:eastAsia="en-US" w:bidi="ar-SA"/>
      </w:rPr>
    </w:lvl>
    <w:lvl w:ilvl="2">
      <w:start w:val="0"/>
      <w:numFmt w:val="bullet"/>
      <w:lvlText w:val="•"/>
      <w:lvlJc w:val="left"/>
      <w:pPr>
        <w:ind w:left="3677" w:hanging="874"/>
      </w:pPr>
      <w:rPr>
        <w:rFonts w:hint="default"/>
        <w:lang w:val="en-US" w:eastAsia="en-US" w:bidi="ar-SA"/>
      </w:rPr>
    </w:lvl>
    <w:lvl w:ilvl="3">
      <w:start w:val="0"/>
      <w:numFmt w:val="bullet"/>
      <w:lvlText w:val="•"/>
      <w:lvlJc w:val="left"/>
      <w:pPr>
        <w:ind w:left="4615" w:hanging="874"/>
      </w:pPr>
      <w:rPr>
        <w:rFonts w:hint="default"/>
        <w:lang w:val="en-US" w:eastAsia="en-US" w:bidi="ar-SA"/>
      </w:rPr>
    </w:lvl>
    <w:lvl w:ilvl="4">
      <w:start w:val="0"/>
      <w:numFmt w:val="bullet"/>
      <w:lvlText w:val="•"/>
      <w:lvlJc w:val="left"/>
      <w:pPr>
        <w:ind w:left="5554" w:hanging="874"/>
      </w:pPr>
      <w:rPr>
        <w:rFonts w:hint="default"/>
        <w:lang w:val="en-US" w:eastAsia="en-US" w:bidi="ar-SA"/>
      </w:rPr>
    </w:lvl>
    <w:lvl w:ilvl="5">
      <w:start w:val="0"/>
      <w:numFmt w:val="bullet"/>
      <w:lvlText w:val="•"/>
      <w:lvlJc w:val="left"/>
      <w:pPr>
        <w:ind w:left="6493" w:hanging="874"/>
      </w:pPr>
      <w:rPr>
        <w:rFonts w:hint="default"/>
        <w:lang w:val="en-US" w:eastAsia="en-US" w:bidi="ar-SA"/>
      </w:rPr>
    </w:lvl>
    <w:lvl w:ilvl="6">
      <w:start w:val="0"/>
      <w:numFmt w:val="bullet"/>
      <w:lvlText w:val="•"/>
      <w:lvlJc w:val="left"/>
      <w:pPr>
        <w:ind w:left="7431" w:hanging="874"/>
      </w:pPr>
      <w:rPr>
        <w:rFonts w:hint="default"/>
        <w:lang w:val="en-US" w:eastAsia="en-US" w:bidi="ar-SA"/>
      </w:rPr>
    </w:lvl>
    <w:lvl w:ilvl="7">
      <w:start w:val="0"/>
      <w:numFmt w:val="bullet"/>
      <w:lvlText w:val="•"/>
      <w:lvlJc w:val="left"/>
      <w:pPr>
        <w:ind w:left="8370" w:hanging="874"/>
      </w:pPr>
      <w:rPr>
        <w:rFonts w:hint="default"/>
        <w:lang w:val="en-US" w:eastAsia="en-US" w:bidi="ar-SA"/>
      </w:rPr>
    </w:lvl>
    <w:lvl w:ilvl="8">
      <w:start w:val="0"/>
      <w:numFmt w:val="bullet"/>
      <w:lvlText w:val="•"/>
      <w:lvlJc w:val="left"/>
      <w:pPr>
        <w:ind w:left="9309" w:hanging="874"/>
      </w:pPr>
      <w:rPr>
        <w:rFonts w:hint="default"/>
        <w:lang w:val="en-US" w:eastAsia="en-US" w:bidi="ar-SA"/>
      </w:rPr>
    </w:lvl>
  </w:abstractNum>
  <w:abstractNum w:abstractNumId="26">
    <w:multiLevelType w:val="hybridMultilevel"/>
    <w:lvl w:ilvl="0">
      <w:start w:val="1"/>
      <w:numFmt w:val="upperRoman"/>
      <w:lvlText w:val="%1."/>
      <w:lvlJc w:val="left"/>
      <w:pPr>
        <w:ind w:left="1800" w:hanging="43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800" w:hanging="437"/>
        <w:jc w:val="left"/>
      </w:pPr>
      <w:rPr>
        <w:rFonts w:hint="default" w:ascii="Bookman Old Style" w:hAnsi="Bookman Old Style" w:eastAsia="Bookman Old Style" w:cs="Bookman Old Style"/>
        <w:b w:val="0"/>
        <w:bCs w:val="0"/>
        <w:i w:val="0"/>
        <w:iCs w:val="0"/>
        <w:spacing w:val="-1"/>
        <w:w w:val="100"/>
        <w:sz w:val="24"/>
        <w:szCs w:val="24"/>
        <w:lang w:val="en-US" w:eastAsia="en-US" w:bidi="ar-SA"/>
      </w:rPr>
    </w:lvl>
    <w:lvl w:ilvl="2">
      <w:start w:val="0"/>
      <w:numFmt w:val="bullet"/>
      <w:lvlText w:val="•"/>
      <w:lvlJc w:val="left"/>
      <w:pPr>
        <w:ind w:left="3677" w:hanging="437"/>
      </w:pPr>
      <w:rPr>
        <w:rFonts w:hint="default"/>
        <w:lang w:val="en-US" w:eastAsia="en-US" w:bidi="ar-SA"/>
      </w:rPr>
    </w:lvl>
    <w:lvl w:ilvl="3">
      <w:start w:val="0"/>
      <w:numFmt w:val="bullet"/>
      <w:lvlText w:val="•"/>
      <w:lvlJc w:val="left"/>
      <w:pPr>
        <w:ind w:left="4615" w:hanging="437"/>
      </w:pPr>
      <w:rPr>
        <w:rFonts w:hint="default"/>
        <w:lang w:val="en-US" w:eastAsia="en-US" w:bidi="ar-SA"/>
      </w:rPr>
    </w:lvl>
    <w:lvl w:ilvl="4">
      <w:start w:val="0"/>
      <w:numFmt w:val="bullet"/>
      <w:lvlText w:val="•"/>
      <w:lvlJc w:val="left"/>
      <w:pPr>
        <w:ind w:left="5554" w:hanging="437"/>
      </w:pPr>
      <w:rPr>
        <w:rFonts w:hint="default"/>
        <w:lang w:val="en-US" w:eastAsia="en-US" w:bidi="ar-SA"/>
      </w:rPr>
    </w:lvl>
    <w:lvl w:ilvl="5">
      <w:start w:val="0"/>
      <w:numFmt w:val="bullet"/>
      <w:lvlText w:val="•"/>
      <w:lvlJc w:val="left"/>
      <w:pPr>
        <w:ind w:left="6493" w:hanging="437"/>
      </w:pPr>
      <w:rPr>
        <w:rFonts w:hint="default"/>
        <w:lang w:val="en-US" w:eastAsia="en-US" w:bidi="ar-SA"/>
      </w:rPr>
    </w:lvl>
    <w:lvl w:ilvl="6">
      <w:start w:val="0"/>
      <w:numFmt w:val="bullet"/>
      <w:lvlText w:val="•"/>
      <w:lvlJc w:val="left"/>
      <w:pPr>
        <w:ind w:left="7431" w:hanging="437"/>
      </w:pPr>
      <w:rPr>
        <w:rFonts w:hint="default"/>
        <w:lang w:val="en-US" w:eastAsia="en-US" w:bidi="ar-SA"/>
      </w:rPr>
    </w:lvl>
    <w:lvl w:ilvl="7">
      <w:start w:val="0"/>
      <w:numFmt w:val="bullet"/>
      <w:lvlText w:val="•"/>
      <w:lvlJc w:val="left"/>
      <w:pPr>
        <w:ind w:left="8370" w:hanging="437"/>
      </w:pPr>
      <w:rPr>
        <w:rFonts w:hint="default"/>
        <w:lang w:val="en-US" w:eastAsia="en-US" w:bidi="ar-SA"/>
      </w:rPr>
    </w:lvl>
    <w:lvl w:ilvl="8">
      <w:start w:val="0"/>
      <w:numFmt w:val="bullet"/>
      <w:lvlText w:val="•"/>
      <w:lvlJc w:val="left"/>
      <w:pPr>
        <w:ind w:left="9309" w:hanging="437"/>
      </w:pPr>
      <w:rPr>
        <w:rFonts w:hint="default"/>
        <w:lang w:val="en-US" w:eastAsia="en-US" w:bidi="ar-SA"/>
      </w:rPr>
    </w:lvl>
  </w:abstractNum>
  <w:abstractNum w:abstractNumId="25">
    <w:multiLevelType w:val="hybridMultilevel"/>
    <w:lvl w:ilvl="0">
      <w:start w:val="1"/>
      <w:numFmt w:val="lowerLetter"/>
      <w:lvlText w:val="(%1)"/>
      <w:lvlJc w:val="left"/>
      <w:pPr>
        <w:ind w:left="1800" w:hanging="360"/>
        <w:jc w:val="right"/>
      </w:pPr>
      <w:rPr>
        <w:rFonts w:hint="default" w:ascii="Bookman Old Style" w:hAnsi="Bookman Old Style" w:eastAsia="Bookman Old Style" w:cs="Bookman Old Style"/>
        <w:b w:val="0"/>
        <w:bCs w:val="0"/>
        <w:i w:val="0"/>
        <w:iCs w:val="0"/>
        <w:spacing w:val="0"/>
        <w:w w:val="90"/>
        <w:sz w:val="24"/>
        <w:szCs w:val="24"/>
        <w:lang w:val="en-US" w:eastAsia="en-US" w:bidi="ar-SA"/>
      </w:rPr>
    </w:lvl>
    <w:lvl w:ilvl="1">
      <w:start w:val="1"/>
      <w:numFmt w:val="lowerRoman"/>
      <w:lvlText w:val="(%2)"/>
      <w:lvlJc w:val="left"/>
      <w:pPr>
        <w:ind w:left="2520"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482" w:hanging="720"/>
      </w:pPr>
      <w:rPr>
        <w:rFonts w:hint="default"/>
        <w:lang w:val="en-US" w:eastAsia="en-US" w:bidi="ar-SA"/>
      </w:rPr>
    </w:lvl>
    <w:lvl w:ilvl="3">
      <w:start w:val="0"/>
      <w:numFmt w:val="bullet"/>
      <w:lvlText w:val="•"/>
      <w:lvlJc w:val="left"/>
      <w:pPr>
        <w:ind w:left="4445" w:hanging="720"/>
      </w:pPr>
      <w:rPr>
        <w:rFonts w:hint="default"/>
        <w:lang w:val="en-US" w:eastAsia="en-US" w:bidi="ar-SA"/>
      </w:rPr>
    </w:lvl>
    <w:lvl w:ilvl="4">
      <w:start w:val="0"/>
      <w:numFmt w:val="bullet"/>
      <w:lvlText w:val="•"/>
      <w:lvlJc w:val="left"/>
      <w:pPr>
        <w:ind w:left="5408" w:hanging="720"/>
      </w:pPr>
      <w:rPr>
        <w:rFonts w:hint="default"/>
        <w:lang w:val="en-US" w:eastAsia="en-US" w:bidi="ar-SA"/>
      </w:rPr>
    </w:lvl>
    <w:lvl w:ilvl="5">
      <w:start w:val="0"/>
      <w:numFmt w:val="bullet"/>
      <w:lvlText w:val="•"/>
      <w:lvlJc w:val="left"/>
      <w:pPr>
        <w:ind w:left="6371" w:hanging="720"/>
      </w:pPr>
      <w:rPr>
        <w:rFonts w:hint="default"/>
        <w:lang w:val="en-US" w:eastAsia="en-US" w:bidi="ar-SA"/>
      </w:rPr>
    </w:lvl>
    <w:lvl w:ilvl="6">
      <w:start w:val="0"/>
      <w:numFmt w:val="bullet"/>
      <w:lvlText w:val="•"/>
      <w:lvlJc w:val="left"/>
      <w:pPr>
        <w:ind w:left="7334" w:hanging="720"/>
      </w:pPr>
      <w:rPr>
        <w:rFonts w:hint="default"/>
        <w:lang w:val="en-US" w:eastAsia="en-US" w:bidi="ar-SA"/>
      </w:rPr>
    </w:lvl>
    <w:lvl w:ilvl="7">
      <w:start w:val="0"/>
      <w:numFmt w:val="bullet"/>
      <w:lvlText w:val="•"/>
      <w:lvlJc w:val="left"/>
      <w:pPr>
        <w:ind w:left="8297" w:hanging="720"/>
      </w:pPr>
      <w:rPr>
        <w:rFonts w:hint="default"/>
        <w:lang w:val="en-US" w:eastAsia="en-US" w:bidi="ar-SA"/>
      </w:rPr>
    </w:lvl>
    <w:lvl w:ilvl="8">
      <w:start w:val="0"/>
      <w:numFmt w:val="bullet"/>
      <w:lvlText w:val="•"/>
      <w:lvlJc w:val="left"/>
      <w:pPr>
        <w:ind w:left="9260" w:hanging="720"/>
      </w:pPr>
      <w:rPr>
        <w:rFonts w:hint="default"/>
        <w:lang w:val="en-US" w:eastAsia="en-US" w:bidi="ar-SA"/>
      </w:rPr>
    </w:lvl>
  </w:abstractNum>
  <w:abstractNum w:abstractNumId="23">
    <w:multiLevelType w:val="hybridMultilevel"/>
    <w:lvl w:ilvl="0">
      <w:start w:val="1"/>
      <w:numFmt w:val="lowerLetter"/>
      <w:lvlText w:val="(%1)"/>
      <w:lvlJc w:val="left"/>
      <w:pPr>
        <w:ind w:left="2566" w:hanging="76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422" w:hanging="766"/>
      </w:pPr>
      <w:rPr>
        <w:rFonts w:hint="default"/>
        <w:lang w:val="en-US" w:eastAsia="en-US" w:bidi="ar-SA"/>
      </w:rPr>
    </w:lvl>
    <w:lvl w:ilvl="2">
      <w:start w:val="0"/>
      <w:numFmt w:val="bullet"/>
      <w:lvlText w:val="•"/>
      <w:lvlJc w:val="left"/>
      <w:pPr>
        <w:ind w:left="4285" w:hanging="766"/>
      </w:pPr>
      <w:rPr>
        <w:rFonts w:hint="default"/>
        <w:lang w:val="en-US" w:eastAsia="en-US" w:bidi="ar-SA"/>
      </w:rPr>
    </w:lvl>
    <w:lvl w:ilvl="3">
      <w:start w:val="0"/>
      <w:numFmt w:val="bullet"/>
      <w:lvlText w:val="•"/>
      <w:lvlJc w:val="left"/>
      <w:pPr>
        <w:ind w:left="5147" w:hanging="766"/>
      </w:pPr>
      <w:rPr>
        <w:rFonts w:hint="default"/>
        <w:lang w:val="en-US" w:eastAsia="en-US" w:bidi="ar-SA"/>
      </w:rPr>
    </w:lvl>
    <w:lvl w:ilvl="4">
      <w:start w:val="0"/>
      <w:numFmt w:val="bullet"/>
      <w:lvlText w:val="•"/>
      <w:lvlJc w:val="left"/>
      <w:pPr>
        <w:ind w:left="6010" w:hanging="766"/>
      </w:pPr>
      <w:rPr>
        <w:rFonts w:hint="default"/>
        <w:lang w:val="en-US" w:eastAsia="en-US" w:bidi="ar-SA"/>
      </w:rPr>
    </w:lvl>
    <w:lvl w:ilvl="5">
      <w:start w:val="0"/>
      <w:numFmt w:val="bullet"/>
      <w:lvlText w:val="•"/>
      <w:lvlJc w:val="left"/>
      <w:pPr>
        <w:ind w:left="6873" w:hanging="766"/>
      </w:pPr>
      <w:rPr>
        <w:rFonts w:hint="default"/>
        <w:lang w:val="en-US" w:eastAsia="en-US" w:bidi="ar-SA"/>
      </w:rPr>
    </w:lvl>
    <w:lvl w:ilvl="6">
      <w:start w:val="0"/>
      <w:numFmt w:val="bullet"/>
      <w:lvlText w:val="•"/>
      <w:lvlJc w:val="left"/>
      <w:pPr>
        <w:ind w:left="7735" w:hanging="766"/>
      </w:pPr>
      <w:rPr>
        <w:rFonts w:hint="default"/>
        <w:lang w:val="en-US" w:eastAsia="en-US" w:bidi="ar-SA"/>
      </w:rPr>
    </w:lvl>
    <w:lvl w:ilvl="7">
      <w:start w:val="0"/>
      <w:numFmt w:val="bullet"/>
      <w:lvlText w:val="•"/>
      <w:lvlJc w:val="left"/>
      <w:pPr>
        <w:ind w:left="8598" w:hanging="766"/>
      </w:pPr>
      <w:rPr>
        <w:rFonts w:hint="default"/>
        <w:lang w:val="en-US" w:eastAsia="en-US" w:bidi="ar-SA"/>
      </w:rPr>
    </w:lvl>
    <w:lvl w:ilvl="8">
      <w:start w:val="0"/>
      <w:numFmt w:val="bullet"/>
      <w:lvlText w:val="•"/>
      <w:lvlJc w:val="left"/>
      <w:pPr>
        <w:ind w:left="9461" w:hanging="766"/>
      </w:pPr>
      <w:rPr>
        <w:rFonts w:hint="default"/>
        <w:lang w:val="en-US" w:eastAsia="en-US" w:bidi="ar-SA"/>
      </w:rPr>
    </w:lvl>
  </w:abstractNum>
  <w:abstractNum w:abstractNumId="22">
    <w:multiLevelType w:val="hybridMultilevel"/>
    <w:lvl w:ilvl="0">
      <w:start w:val="1"/>
      <w:numFmt w:val="lowerLetter"/>
      <w:lvlText w:val="%1)"/>
      <w:lvlJc w:val="left"/>
      <w:pPr>
        <w:ind w:left="1800" w:hanging="360"/>
        <w:jc w:val="right"/>
      </w:pPr>
      <w:rPr>
        <w:rFonts w:hint="default"/>
        <w:spacing w:val="0"/>
        <w:w w:val="100"/>
        <w:lang w:val="en-US" w:eastAsia="en-US" w:bidi="ar-SA"/>
      </w:rPr>
    </w:lvl>
    <w:lvl w:ilvl="1">
      <w:start w:val="0"/>
      <w:numFmt w:val="bullet"/>
      <w:lvlText w:val="•"/>
      <w:lvlJc w:val="left"/>
      <w:pPr>
        <w:ind w:left="2738" w:hanging="360"/>
      </w:pPr>
      <w:rPr>
        <w:rFonts w:hint="default"/>
        <w:lang w:val="en-US" w:eastAsia="en-US" w:bidi="ar-SA"/>
      </w:rPr>
    </w:lvl>
    <w:lvl w:ilvl="2">
      <w:start w:val="0"/>
      <w:numFmt w:val="bullet"/>
      <w:lvlText w:val="•"/>
      <w:lvlJc w:val="left"/>
      <w:pPr>
        <w:ind w:left="3677" w:hanging="360"/>
      </w:pPr>
      <w:rPr>
        <w:rFonts w:hint="default"/>
        <w:lang w:val="en-US" w:eastAsia="en-US" w:bidi="ar-SA"/>
      </w:rPr>
    </w:lvl>
    <w:lvl w:ilvl="3">
      <w:start w:val="0"/>
      <w:numFmt w:val="bullet"/>
      <w:lvlText w:val="•"/>
      <w:lvlJc w:val="left"/>
      <w:pPr>
        <w:ind w:left="4615" w:hanging="360"/>
      </w:pPr>
      <w:rPr>
        <w:rFonts w:hint="default"/>
        <w:lang w:val="en-US" w:eastAsia="en-US" w:bidi="ar-SA"/>
      </w:rPr>
    </w:lvl>
    <w:lvl w:ilvl="4">
      <w:start w:val="0"/>
      <w:numFmt w:val="bullet"/>
      <w:lvlText w:val="•"/>
      <w:lvlJc w:val="left"/>
      <w:pPr>
        <w:ind w:left="5554" w:hanging="360"/>
      </w:pPr>
      <w:rPr>
        <w:rFonts w:hint="default"/>
        <w:lang w:val="en-US" w:eastAsia="en-US" w:bidi="ar-SA"/>
      </w:rPr>
    </w:lvl>
    <w:lvl w:ilvl="5">
      <w:start w:val="0"/>
      <w:numFmt w:val="bullet"/>
      <w:lvlText w:val="•"/>
      <w:lvlJc w:val="left"/>
      <w:pPr>
        <w:ind w:left="6493" w:hanging="360"/>
      </w:pPr>
      <w:rPr>
        <w:rFonts w:hint="default"/>
        <w:lang w:val="en-US" w:eastAsia="en-US" w:bidi="ar-SA"/>
      </w:rPr>
    </w:lvl>
    <w:lvl w:ilvl="6">
      <w:start w:val="0"/>
      <w:numFmt w:val="bullet"/>
      <w:lvlText w:val="•"/>
      <w:lvlJc w:val="left"/>
      <w:pPr>
        <w:ind w:left="7431" w:hanging="360"/>
      </w:pPr>
      <w:rPr>
        <w:rFonts w:hint="default"/>
        <w:lang w:val="en-US" w:eastAsia="en-US" w:bidi="ar-SA"/>
      </w:rPr>
    </w:lvl>
    <w:lvl w:ilvl="7">
      <w:start w:val="0"/>
      <w:numFmt w:val="bullet"/>
      <w:lvlText w:val="•"/>
      <w:lvlJc w:val="left"/>
      <w:pPr>
        <w:ind w:left="8370" w:hanging="360"/>
      </w:pPr>
      <w:rPr>
        <w:rFonts w:hint="default"/>
        <w:lang w:val="en-US" w:eastAsia="en-US" w:bidi="ar-SA"/>
      </w:rPr>
    </w:lvl>
    <w:lvl w:ilvl="8">
      <w:start w:val="0"/>
      <w:numFmt w:val="bullet"/>
      <w:lvlText w:val="•"/>
      <w:lvlJc w:val="left"/>
      <w:pPr>
        <w:ind w:left="9309" w:hanging="360"/>
      </w:pPr>
      <w:rPr>
        <w:rFonts w:hint="default"/>
        <w:lang w:val="en-US" w:eastAsia="en-US" w:bidi="ar-SA"/>
      </w:rPr>
    </w:lvl>
  </w:abstractNum>
  <w:abstractNum w:abstractNumId="21">
    <w:multiLevelType w:val="hybridMultilevel"/>
    <w:lvl w:ilvl="0">
      <w:start w:val="1"/>
      <w:numFmt w:val="lowerRoman"/>
      <w:lvlText w:val="(%1)"/>
      <w:lvlJc w:val="left"/>
      <w:pPr>
        <w:ind w:left="2304" w:hanging="39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188" w:hanging="399"/>
      </w:pPr>
      <w:rPr>
        <w:rFonts w:hint="default"/>
        <w:lang w:val="en-US" w:eastAsia="en-US" w:bidi="ar-SA"/>
      </w:rPr>
    </w:lvl>
    <w:lvl w:ilvl="2">
      <w:start w:val="0"/>
      <w:numFmt w:val="bullet"/>
      <w:lvlText w:val="•"/>
      <w:lvlJc w:val="left"/>
      <w:pPr>
        <w:ind w:left="4077" w:hanging="399"/>
      </w:pPr>
      <w:rPr>
        <w:rFonts w:hint="default"/>
        <w:lang w:val="en-US" w:eastAsia="en-US" w:bidi="ar-SA"/>
      </w:rPr>
    </w:lvl>
    <w:lvl w:ilvl="3">
      <w:start w:val="0"/>
      <w:numFmt w:val="bullet"/>
      <w:lvlText w:val="•"/>
      <w:lvlJc w:val="left"/>
      <w:pPr>
        <w:ind w:left="4965" w:hanging="399"/>
      </w:pPr>
      <w:rPr>
        <w:rFonts w:hint="default"/>
        <w:lang w:val="en-US" w:eastAsia="en-US" w:bidi="ar-SA"/>
      </w:rPr>
    </w:lvl>
    <w:lvl w:ilvl="4">
      <w:start w:val="0"/>
      <w:numFmt w:val="bullet"/>
      <w:lvlText w:val="•"/>
      <w:lvlJc w:val="left"/>
      <w:pPr>
        <w:ind w:left="5854" w:hanging="399"/>
      </w:pPr>
      <w:rPr>
        <w:rFonts w:hint="default"/>
        <w:lang w:val="en-US" w:eastAsia="en-US" w:bidi="ar-SA"/>
      </w:rPr>
    </w:lvl>
    <w:lvl w:ilvl="5">
      <w:start w:val="0"/>
      <w:numFmt w:val="bullet"/>
      <w:lvlText w:val="•"/>
      <w:lvlJc w:val="left"/>
      <w:pPr>
        <w:ind w:left="6743" w:hanging="399"/>
      </w:pPr>
      <w:rPr>
        <w:rFonts w:hint="default"/>
        <w:lang w:val="en-US" w:eastAsia="en-US" w:bidi="ar-SA"/>
      </w:rPr>
    </w:lvl>
    <w:lvl w:ilvl="6">
      <w:start w:val="0"/>
      <w:numFmt w:val="bullet"/>
      <w:lvlText w:val="•"/>
      <w:lvlJc w:val="left"/>
      <w:pPr>
        <w:ind w:left="7631" w:hanging="399"/>
      </w:pPr>
      <w:rPr>
        <w:rFonts w:hint="default"/>
        <w:lang w:val="en-US" w:eastAsia="en-US" w:bidi="ar-SA"/>
      </w:rPr>
    </w:lvl>
    <w:lvl w:ilvl="7">
      <w:start w:val="0"/>
      <w:numFmt w:val="bullet"/>
      <w:lvlText w:val="•"/>
      <w:lvlJc w:val="left"/>
      <w:pPr>
        <w:ind w:left="8520" w:hanging="399"/>
      </w:pPr>
      <w:rPr>
        <w:rFonts w:hint="default"/>
        <w:lang w:val="en-US" w:eastAsia="en-US" w:bidi="ar-SA"/>
      </w:rPr>
    </w:lvl>
    <w:lvl w:ilvl="8">
      <w:start w:val="0"/>
      <w:numFmt w:val="bullet"/>
      <w:lvlText w:val="•"/>
      <w:lvlJc w:val="left"/>
      <w:pPr>
        <w:ind w:left="9409" w:hanging="399"/>
      </w:pPr>
      <w:rPr>
        <w:rFonts w:hint="default"/>
        <w:lang w:val="en-US" w:eastAsia="en-US" w:bidi="ar-SA"/>
      </w:rPr>
    </w:lvl>
  </w:abstractNum>
  <w:abstractNum w:abstractNumId="20">
    <w:multiLevelType w:val="hybridMultilevel"/>
    <w:lvl w:ilvl="0">
      <w:start w:val="1"/>
      <w:numFmt w:val="lowerRoman"/>
      <w:lvlText w:val="(%1)"/>
      <w:lvlJc w:val="left"/>
      <w:pPr>
        <w:ind w:left="1493"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2844" w:hanging="64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767" w:hanging="646"/>
      </w:pPr>
      <w:rPr>
        <w:rFonts w:hint="default"/>
        <w:lang w:val="en-US" w:eastAsia="en-US" w:bidi="ar-SA"/>
      </w:rPr>
    </w:lvl>
    <w:lvl w:ilvl="3">
      <w:start w:val="0"/>
      <w:numFmt w:val="bullet"/>
      <w:lvlText w:val="•"/>
      <w:lvlJc w:val="left"/>
      <w:pPr>
        <w:ind w:left="4694" w:hanging="646"/>
      </w:pPr>
      <w:rPr>
        <w:rFonts w:hint="default"/>
        <w:lang w:val="en-US" w:eastAsia="en-US" w:bidi="ar-SA"/>
      </w:rPr>
    </w:lvl>
    <w:lvl w:ilvl="4">
      <w:start w:val="0"/>
      <w:numFmt w:val="bullet"/>
      <w:lvlText w:val="•"/>
      <w:lvlJc w:val="left"/>
      <w:pPr>
        <w:ind w:left="5622" w:hanging="646"/>
      </w:pPr>
      <w:rPr>
        <w:rFonts w:hint="default"/>
        <w:lang w:val="en-US" w:eastAsia="en-US" w:bidi="ar-SA"/>
      </w:rPr>
    </w:lvl>
    <w:lvl w:ilvl="5">
      <w:start w:val="0"/>
      <w:numFmt w:val="bullet"/>
      <w:lvlText w:val="•"/>
      <w:lvlJc w:val="left"/>
      <w:pPr>
        <w:ind w:left="6549" w:hanging="646"/>
      </w:pPr>
      <w:rPr>
        <w:rFonts w:hint="default"/>
        <w:lang w:val="en-US" w:eastAsia="en-US" w:bidi="ar-SA"/>
      </w:rPr>
    </w:lvl>
    <w:lvl w:ilvl="6">
      <w:start w:val="0"/>
      <w:numFmt w:val="bullet"/>
      <w:lvlText w:val="•"/>
      <w:lvlJc w:val="left"/>
      <w:pPr>
        <w:ind w:left="7476" w:hanging="646"/>
      </w:pPr>
      <w:rPr>
        <w:rFonts w:hint="default"/>
        <w:lang w:val="en-US" w:eastAsia="en-US" w:bidi="ar-SA"/>
      </w:rPr>
    </w:lvl>
    <w:lvl w:ilvl="7">
      <w:start w:val="0"/>
      <w:numFmt w:val="bullet"/>
      <w:lvlText w:val="•"/>
      <w:lvlJc w:val="left"/>
      <w:pPr>
        <w:ind w:left="8404" w:hanging="646"/>
      </w:pPr>
      <w:rPr>
        <w:rFonts w:hint="default"/>
        <w:lang w:val="en-US" w:eastAsia="en-US" w:bidi="ar-SA"/>
      </w:rPr>
    </w:lvl>
    <w:lvl w:ilvl="8">
      <w:start w:val="0"/>
      <w:numFmt w:val="bullet"/>
      <w:lvlText w:val="•"/>
      <w:lvlJc w:val="left"/>
      <w:pPr>
        <w:ind w:left="9331" w:hanging="646"/>
      </w:pPr>
      <w:rPr>
        <w:rFonts w:hint="default"/>
        <w:lang w:val="en-US" w:eastAsia="en-US" w:bidi="ar-SA"/>
      </w:rPr>
    </w:lvl>
  </w:abstractNum>
  <w:abstractNum w:abstractNumId="19">
    <w:multiLevelType w:val="hybridMultilevel"/>
    <w:lvl w:ilvl="0">
      <w:start w:val="1"/>
      <w:numFmt w:val="lowerRoman"/>
      <w:lvlText w:val="(%1)"/>
      <w:lvlJc w:val="left"/>
      <w:pPr>
        <w:ind w:left="110" w:hanging="54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4" w:hanging="549"/>
      </w:pPr>
      <w:rPr>
        <w:rFonts w:hint="default"/>
        <w:lang w:val="en-US" w:eastAsia="en-US" w:bidi="ar-SA"/>
      </w:rPr>
    </w:lvl>
    <w:lvl w:ilvl="2">
      <w:start w:val="0"/>
      <w:numFmt w:val="bullet"/>
      <w:lvlText w:val="•"/>
      <w:lvlJc w:val="left"/>
      <w:pPr>
        <w:ind w:left="849" w:hanging="549"/>
      </w:pPr>
      <w:rPr>
        <w:rFonts w:hint="default"/>
        <w:lang w:val="en-US" w:eastAsia="en-US" w:bidi="ar-SA"/>
      </w:rPr>
    </w:lvl>
    <w:lvl w:ilvl="3">
      <w:start w:val="0"/>
      <w:numFmt w:val="bullet"/>
      <w:lvlText w:val="•"/>
      <w:lvlJc w:val="left"/>
      <w:pPr>
        <w:ind w:left="1213" w:hanging="549"/>
      </w:pPr>
      <w:rPr>
        <w:rFonts w:hint="default"/>
        <w:lang w:val="en-US" w:eastAsia="en-US" w:bidi="ar-SA"/>
      </w:rPr>
    </w:lvl>
    <w:lvl w:ilvl="4">
      <w:start w:val="0"/>
      <w:numFmt w:val="bullet"/>
      <w:lvlText w:val="•"/>
      <w:lvlJc w:val="left"/>
      <w:pPr>
        <w:ind w:left="1578" w:hanging="549"/>
      </w:pPr>
      <w:rPr>
        <w:rFonts w:hint="default"/>
        <w:lang w:val="en-US" w:eastAsia="en-US" w:bidi="ar-SA"/>
      </w:rPr>
    </w:lvl>
    <w:lvl w:ilvl="5">
      <w:start w:val="0"/>
      <w:numFmt w:val="bullet"/>
      <w:lvlText w:val="•"/>
      <w:lvlJc w:val="left"/>
      <w:pPr>
        <w:ind w:left="1943" w:hanging="549"/>
      </w:pPr>
      <w:rPr>
        <w:rFonts w:hint="default"/>
        <w:lang w:val="en-US" w:eastAsia="en-US" w:bidi="ar-SA"/>
      </w:rPr>
    </w:lvl>
    <w:lvl w:ilvl="6">
      <w:start w:val="0"/>
      <w:numFmt w:val="bullet"/>
      <w:lvlText w:val="•"/>
      <w:lvlJc w:val="left"/>
      <w:pPr>
        <w:ind w:left="2307" w:hanging="549"/>
      </w:pPr>
      <w:rPr>
        <w:rFonts w:hint="default"/>
        <w:lang w:val="en-US" w:eastAsia="en-US" w:bidi="ar-SA"/>
      </w:rPr>
    </w:lvl>
    <w:lvl w:ilvl="7">
      <w:start w:val="0"/>
      <w:numFmt w:val="bullet"/>
      <w:lvlText w:val="•"/>
      <w:lvlJc w:val="left"/>
      <w:pPr>
        <w:ind w:left="2672" w:hanging="549"/>
      </w:pPr>
      <w:rPr>
        <w:rFonts w:hint="default"/>
        <w:lang w:val="en-US" w:eastAsia="en-US" w:bidi="ar-SA"/>
      </w:rPr>
    </w:lvl>
    <w:lvl w:ilvl="8">
      <w:start w:val="0"/>
      <w:numFmt w:val="bullet"/>
      <w:lvlText w:val="•"/>
      <w:lvlJc w:val="left"/>
      <w:pPr>
        <w:ind w:left="3036" w:hanging="549"/>
      </w:pPr>
      <w:rPr>
        <w:rFonts w:hint="default"/>
        <w:lang w:val="en-US" w:eastAsia="en-US" w:bidi="ar-SA"/>
      </w:rPr>
    </w:lvl>
  </w:abstractNum>
  <w:abstractNum w:abstractNumId="18">
    <w:multiLevelType w:val="hybridMultilevel"/>
    <w:lvl w:ilvl="0">
      <w:start w:val="1"/>
      <w:numFmt w:val="lowerRoman"/>
      <w:lvlText w:val="(%1)"/>
      <w:lvlJc w:val="left"/>
      <w:pPr>
        <w:ind w:left="1493" w:hanging="40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404"/>
      </w:pPr>
      <w:rPr>
        <w:rFonts w:hint="default"/>
        <w:lang w:val="en-US" w:eastAsia="en-US" w:bidi="ar-SA"/>
      </w:rPr>
    </w:lvl>
    <w:lvl w:ilvl="2">
      <w:start w:val="0"/>
      <w:numFmt w:val="bullet"/>
      <w:lvlText w:val="•"/>
      <w:lvlJc w:val="left"/>
      <w:pPr>
        <w:ind w:left="3437" w:hanging="404"/>
      </w:pPr>
      <w:rPr>
        <w:rFonts w:hint="default"/>
        <w:lang w:val="en-US" w:eastAsia="en-US" w:bidi="ar-SA"/>
      </w:rPr>
    </w:lvl>
    <w:lvl w:ilvl="3">
      <w:start w:val="0"/>
      <w:numFmt w:val="bullet"/>
      <w:lvlText w:val="•"/>
      <w:lvlJc w:val="left"/>
      <w:pPr>
        <w:ind w:left="4405" w:hanging="404"/>
      </w:pPr>
      <w:rPr>
        <w:rFonts w:hint="default"/>
        <w:lang w:val="en-US" w:eastAsia="en-US" w:bidi="ar-SA"/>
      </w:rPr>
    </w:lvl>
    <w:lvl w:ilvl="4">
      <w:start w:val="0"/>
      <w:numFmt w:val="bullet"/>
      <w:lvlText w:val="•"/>
      <w:lvlJc w:val="left"/>
      <w:pPr>
        <w:ind w:left="5374" w:hanging="404"/>
      </w:pPr>
      <w:rPr>
        <w:rFonts w:hint="default"/>
        <w:lang w:val="en-US" w:eastAsia="en-US" w:bidi="ar-SA"/>
      </w:rPr>
    </w:lvl>
    <w:lvl w:ilvl="5">
      <w:start w:val="0"/>
      <w:numFmt w:val="bullet"/>
      <w:lvlText w:val="•"/>
      <w:lvlJc w:val="left"/>
      <w:pPr>
        <w:ind w:left="6343" w:hanging="404"/>
      </w:pPr>
      <w:rPr>
        <w:rFonts w:hint="default"/>
        <w:lang w:val="en-US" w:eastAsia="en-US" w:bidi="ar-SA"/>
      </w:rPr>
    </w:lvl>
    <w:lvl w:ilvl="6">
      <w:start w:val="0"/>
      <w:numFmt w:val="bullet"/>
      <w:lvlText w:val="•"/>
      <w:lvlJc w:val="left"/>
      <w:pPr>
        <w:ind w:left="7311" w:hanging="404"/>
      </w:pPr>
      <w:rPr>
        <w:rFonts w:hint="default"/>
        <w:lang w:val="en-US" w:eastAsia="en-US" w:bidi="ar-SA"/>
      </w:rPr>
    </w:lvl>
    <w:lvl w:ilvl="7">
      <w:start w:val="0"/>
      <w:numFmt w:val="bullet"/>
      <w:lvlText w:val="•"/>
      <w:lvlJc w:val="left"/>
      <w:pPr>
        <w:ind w:left="8280" w:hanging="404"/>
      </w:pPr>
      <w:rPr>
        <w:rFonts w:hint="default"/>
        <w:lang w:val="en-US" w:eastAsia="en-US" w:bidi="ar-SA"/>
      </w:rPr>
    </w:lvl>
    <w:lvl w:ilvl="8">
      <w:start w:val="0"/>
      <w:numFmt w:val="bullet"/>
      <w:lvlText w:val="•"/>
      <w:lvlJc w:val="left"/>
      <w:pPr>
        <w:ind w:left="9249" w:hanging="404"/>
      </w:pPr>
      <w:rPr>
        <w:rFonts w:hint="default"/>
        <w:lang w:val="en-US" w:eastAsia="en-US" w:bidi="ar-SA"/>
      </w:rPr>
    </w:lvl>
  </w:abstractNum>
  <w:abstractNum w:abstractNumId="17">
    <w:multiLevelType w:val="hybridMultilevel"/>
    <w:lvl w:ilvl="0">
      <w:start w:val="1"/>
      <w:numFmt w:val="lowerRoman"/>
      <w:lvlText w:val="(%1)"/>
      <w:lvlJc w:val="left"/>
      <w:pPr>
        <w:ind w:left="1493" w:hanging="32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324"/>
      </w:pPr>
      <w:rPr>
        <w:rFonts w:hint="default"/>
        <w:lang w:val="en-US" w:eastAsia="en-US" w:bidi="ar-SA"/>
      </w:rPr>
    </w:lvl>
    <w:lvl w:ilvl="2">
      <w:start w:val="0"/>
      <w:numFmt w:val="bullet"/>
      <w:lvlText w:val="•"/>
      <w:lvlJc w:val="left"/>
      <w:pPr>
        <w:ind w:left="3437" w:hanging="324"/>
      </w:pPr>
      <w:rPr>
        <w:rFonts w:hint="default"/>
        <w:lang w:val="en-US" w:eastAsia="en-US" w:bidi="ar-SA"/>
      </w:rPr>
    </w:lvl>
    <w:lvl w:ilvl="3">
      <w:start w:val="0"/>
      <w:numFmt w:val="bullet"/>
      <w:lvlText w:val="•"/>
      <w:lvlJc w:val="left"/>
      <w:pPr>
        <w:ind w:left="4405" w:hanging="324"/>
      </w:pPr>
      <w:rPr>
        <w:rFonts w:hint="default"/>
        <w:lang w:val="en-US" w:eastAsia="en-US" w:bidi="ar-SA"/>
      </w:rPr>
    </w:lvl>
    <w:lvl w:ilvl="4">
      <w:start w:val="0"/>
      <w:numFmt w:val="bullet"/>
      <w:lvlText w:val="•"/>
      <w:lvlJc w:val="left"/>
      <w:pPr>
        <w:ind w:left="5374" w:hanging="324"/>
      </w:pPr>
      <w:rPr>
        <w:rFonts w:hint="default"/>
        <w:lang w:val="en-US" w:eastAsia="en-US" w:bidi="ar-SA"/>
      </w:rPr>
    </w:lvl>
    <w:lvl w:ilvl="5">
      <w:start w:val="0"/>
      <w:numFmt w:val="bullet"/>
      <w:lvlText w:val="•"/>
      <w:lvlJc w:val="left"/>
      <w:pPr>
        <w:ind w:left="6343" w:hanging="324"/>
      </w:pPr>
      <w:rPr>
        <w:rFonts w:hint="default"/>
        <w:lang w:val="en-US" w:eastAsia="en-US" w:bidi="ar-SA"/>
      </w:rPr>
    </w:lvl>
    <w:lvl w:ilvl="6">
      <w:start w:val="0"/>
      <w:numFmt w:val="bullet"/>
      <w:lvlText w:val="•"/>
      <w:lvlJc w:val="left"/>
      <w:pPr>
        <w:ind w:left="7311" w:hanging="324"/>
      </w:pPr>
      <w:rPr>
        <w:rFonts w:hint="default"/>
        <w:lang w:val="en-US" w:eastAsia="en-US" w:bidi="ar-SA"/>
      </w:rPr>
    </w:lvl>
    <w:lvl w:ilvl="7">
      <w:start w:val="0"/>
      <w:numFmt w:val="bullet"/>
      <w:lvlText w:val="•"/>
      <w:lvlJc w:val="left"/>
      <w:pPr>
        <w:ind w:left="8280" w:hanging="324"/>
      </w:pPr>
      <w:rPr>
        <w:rFonts w:hint="default"/>
        <w:lang w:val="en-US" w:eastAsia="en-US" w:bidi="ar-SA"/>
      </w:rPr>
    </w:lvl>
    <w:lvl w:ilvl="8">
      <w:start w:val="0"/>
      <w:numFmt w:val="bullet"/>
      <w:lvlText w:val="•"/>
      <w:lvlJc w:val="left"/>
      <w:pPr>
        <w:ind w:left="9249" w:hanging="324"/>
      </w:pPr>
      <w:rPr>
        <w:rFonts w:hint="default"/>
        <w:lang w:val="en-US" w:eastAsia="en-US" w:bidi="ar-SA"/>
      </w:rPr>
    </w:lvl>
  </w:abstractNum>
  <w:abstractNum w:abstractNumId="16">
    <w:multiLevelType w:val="hybridMultilevel"/>
    <w:lvl w:ilvl="0">
      <w:start w:val="1"/>
      <w:numFmt w:val="lowerLetter"/>
      <w:lvlText w:val="%1."/>
      <w:lvlJc w:val="left"/>
      <w:pPr>
        <w:ind w:left="2213"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116" w:hanging="360"/>
      </w:pPr>
      <w:rPr>
        <w:rFonts w:hint="default"/>
        <w:lang w:val="en-US" w:eastAsia="en-US" w:bidi="ar-SA"/>
      </w:rPr>
    </w:lvl>
    <w:lvl w:ilvl="2">
      <w:start w:val="0"/>
      <w:numFmt w:val="bullet"/>
      <w:lvlText w:val="•"/>
      <w:lvlJc w:val="left"/>
      <w:pPr>
        <w:ind w:left="4013" w:hanging="360"/>
      </w:pPr>
      <w:rPr>
        <w:rFonts w:hint="default"/>
        <w:lang w:val="en-US" w:eastAsia="en-US" w:bidi="ar-SA"/>
      </w:rPr>
    </w:lvl>
    <w:lvl w:ilvl="3">
      <w:start w:val="0"/>
      <w:numFmt w:val="bullet"/>
      <w:lvlText w:val="•"/>
      <w:lvlJc w:val="left"/>
      <w:pPr>
        <w:ind w:left="4909" w:hanging="360"/>
      </w:pPr>
      <w:rPr>
        <w:rFonts w:hint="default"/>
        <w:lang w:val="en-US" w:eastAsia="en-US" w:bidi="ar-SA"/>
      </w:rPr>
    </w:lvl>
    <w:lvl w:ilvl="4">
      <w:start w:val="0"/>
      <w:numFmt w:val="bullet"/>
      <w:lvlText w:val="•"/>
      <w:lvlJc w:val="left"/>
      <w:pPr>
        <w:ind w:left="5806" w:hanging="360"/>
      </w:pPr>
      <w:rPr>
        <w:rFonts w:hint="default"/>
        <w:lang w:val="en-US" w:eastAsia="en-US" w:bidi="ar-SA"/>
      </w:rPr>
    </w:lvl>
    <w:lvl w:ilvl="5">
      <w:start w:val="0"/>
      <w:numFmt w:val="bullet"/>
      <w:lvlText w:val="•"/>
      <w:lvlJc w:val="left"/>
      <w:pPr>
        <w:ind w:left="6703" w:hanging="360"/>
      </w:pPr>
      <w:rPr>
        <w:rFonts w:hint="default"/>
        <w:lang w:val="en-US" w:eastAsia="en-US" w:bidi="ar-SA"/>
      </w:rPr>
    </w:lvl>
    <w:lvl w:ilvl="6">
      <w:start w:val="0"/>
      <w:numFmt w:val="bullet"/>
      <w:lvlText w:val="•"/>
      <w:lvlJc w:val="left"/>
      <w:pPr>
        <w:ind w:left="7599"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393" w:hanging="360"/>
      </w:pPr>
      <w:rPr>
        <w:rFonts w:hint="default"/>
        <w:lang w:val="en-US" w:eastAsia="en-US" w:bidi="ar-SA"/>
      </w:rPr>
    </w:lvl>
  </w:abstractNum>
  <w:abstractNum w:abstractNumId="15">
    <w:multiLevelType w:val="hybridMultilevel"/>
    <w:lvl w:ilvl="0">
      <w:start w:val="1"/>
      <w:numFmt w:val="lowerRoman"/>
      <w:lvlText w:val="(%1)"/>
      <w:lvlJc w:val="left"/>
      <w:pPr>
        <w:ind w:left="2213" w:hanging="720"/>
        <w:jc w:val="right"/>
      </w:pPr>
      <w:rPr>
        <w:rFonts w:hint="default"/>
        <w:spacing w:val="0"/>
        <w:w w:val="100"/>
        <w:lang w:val="en-US" w:eastAsia="en-US" w:bidi="ar-SA"/>
      </w:rPr>
    </w:lvl>
    <w:lvl w:ilvl="1">
      <w:start w:val="1"/>
      <w:numFmt w:val="lowerLetter"/>
      <w:lvlText w:val="%2)"/>
      <w:lvlJc w:val="left"/>
      <w:pPr>
        <w:ind w:left="2213" w:hanging="341"/>
        <w:jc w:val="left"/>
      </w:pPr>
      <w:rPr>
        <w:rFonts w:hint="default" w:ascii="Bookman Old Style" w:hAnsi="Bookman Old Style" w:eastAsia="Bookman Old Style" w:cs="Bookman Old Style"/>
        <w:b w:val="0"/>
        <w:bCs w:val="0"/>
        <w:i w:val="0"/>
        <w:iCs w:val="0"/>
        <w:spacing w:val="0"/>
        <w:w w:val="99"/>
        <w:sz w:val="24"/>
        <w:szCs w:val="24"/>
        <w:lang w:val="en-US" w:eastAsia="en-US" w:bidi="ar-SA"/>
      </w:rPr>
    </w:lvl>
    <w:lvl w:ilvl="2">
      <w:start w:val="1"/>
      <w:numFmt w:val="lowerRoman"/>
      <w:lvlText w:val="%3."/>
      <w:lvlJc w:val="left"/>
      <w:pPr>
        <w:ind w:left="2861" w:hanging="528"/>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2940" w:hanging="528"/>
      </w:pPr>
      <w:rPr>
        <w:rFonts w:hint="default"/>
        <w:lang w:val="en-US" w:eastAsia="en-US" w:bidi="ar-SA"/>
      </w:rPr>
    </w:lvl>
    <w:lvl w:ilvl="4">
      <w:start w:val="0"/>
      <w:numFmt w:val="bullet"/>
      <w:lvlText w:val="•"/>
      <w:lvlJc w:val="left"/>
      <w:pPr>
        <w:ind w:left="4118" w:hanging="528"/>
      </w:pPr>
      <w:rPr>
        <w:rFonts w:hint="default"/>
        <w:lang w:val="en-US" w:eastAsia="en-US" w:bidi="ar-SA"/>
      </w:rPr>
    </w:lvl>
    <w:lvl w:ilvl="5">
      <w:start w:val="0"/>
      <w:numFmt w:val="bullet"/>
      <w:lvlText w:val="•"/>
      <w:lvlJc w:val="left"/>
      <w:pPr>
        <w:ind w:left="5296" w:hanging="528"/>
      </w:pPr>
      <w:rPr>
        <w:rFonts w:hint="default"/>
        <w:lang w:val="en-US" w:eastAsia="en-US" w:bidi="ar-SA"/>
      </w:rPr>
    </w:lvl>
    <w:lvl w:ilvl="6">
      <w:start w:val="0"/>
      <w:numFmt w:val="bullet"/>
      <w:lvlText w:val="•"/>
      <w:lvlJc w:val="left"/>
      <w:pPr>
        <w:ind w:left="6474" w:hanging="528"/>
      </w:pPr>
      <w:rPr>
        <w:rFonts w:hint="default"/>
        <w:lang w:val="en-US" w:eastAsia="en-US" w:bidi="ar-SA"/>
      </w:rPr>
    </w:lvl>
    <w:lvl w:ilvl="7">
      <w:start w:val="0"/>
      <w:numFmt w:val="bullet"/>
      <w:lvlText w:val="•"/>
      <w:lvlJc w:val="left"/>
      <w:pPr>
        <w:ind w:left="7652" w:hanging="528"/>
      </w:pPr>
      <w:rPr>
        <w:rFonts w:hint="default"/>
        <w:lang w:val="en-US" w:eastAsia="en-US" w:bidi="ar-SA"/>
      </w:rPr>
    </w:lvl>
    <w:lvl w:ilvl="8">
      <w:start w:val="0"/>
      <w:numFmt w:val="bullet"/>
      <w:lvlText w:val="•"/>
      <w:lvlJc w:val="left"/>
      <w:pPr>
        <w:ind w:left="8830" w:hanging="528"/>
      </w:pPr>
      <w:rPr>
        <w:rFonts w:hint="default"/>
        <w:lang w:val="en-US" w:eastAsia="en-US" w:bidi="ar-SA"/>
      </w:rPr>
    </w:lvl>
  </w:abstractNum>
  <w:abstractNum w:abstractNumId="14">
    <w:multiLevelType w:val="hybridMultilevel"/>
    <w:lvl w:ilvl="0">
      <w:start w:val="1"/>
      <w:numFmt w:val="lowerRoman"/>
      <w:lvlText w:val="(%1)"/>
      <w:lvlJc w:val="left"/>
      <w:pPr>
        <w:ind w:left="1493" w:hanging="57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579"/>
      </w:pPr>
      <w:rPr>
        <w:rFonts w:hint="default"/>
        <w:lang w:val="en-US" w:eastAsia="en-US" w:bidi="ar-SA"/>
      </w:rPr>
    </w:lvl>
    <w:lvl w:ilvl="2">
      <w:start w:val="0"/>
      <w:numFmt w:val="bullet"/>
      <w:lvlText w:val="•"/>
      <w:lvlJc w:val="left"/>
      <w:pPr>
        <w:ind w:left="3437" w:hanging="579"/>
      </w:pPr>
      <w:rPr>
        <w:rFonts w:hint="default"/>
        <w:lang w:val="en-US" w:eastAsia="en-US" w:bidi="ar-SA"/>
      </w:rPr>
    </w:lvl>
    <w:lvl w:ilvl="3">
      <w:start w:val="0"/>
      <w:numFmt w:val="bullet"/>
      <w:lvlText w:val="•"/>
      <w:lvlJc w:val="left"/>
      <w:pPr>
        <w:ind w:left="4405" w:hanging="579"/>
      </w:pPr>
      <w:rPr>
        <w:rFonts w:hint="default"/>
        <w:lang w:val="en-US" w:eastAsia="en-US" w:bidi="ar-SA"/>
      </w:rPr>
    </w:lvl>
    <w:lvl w:ilvl="4">
      <w:start w:val="0"/>
      <w:numFmt w:val="bullet"/>
      <w:lvlText w:val="•"/>
      <w:lvlJc w:val="left"/>
      <w:pPr>
        <w:ind w:left="5374" w:hanging="579"/>
      </w:pPr>
      <w:rPr>
        <w:rFonts w:hint="default"/>
        <w:lang w:val="en-US" w:eastAsia="en-US" w:bidi="ar-SA"/>
      </w:rPr>
    </w:lvl>
    <w:lvl w:ilvl="5">
      <w:start w:val="0"/>
      <w:numFmt w:val="bullet"/>
      <w:lvlText w:val="•"/>
      <w:lvlJc w:val="left"/>
      <w:pPr>
        <w:ind w:left="6343" w:hanging="579"/>
      </w:pPr>
      <w:rPr>
        <w:rFonts w:hint="default"/>
        <w:lang w:val="en-US" w:eastAsia="en-US" w:bidi="ar-SA"/>
      </w:rPr>
    </w:lvl>
    <w:lvl w:ilvl="6">
      <w:start w:val="0"/>
      <w:numFmt w:val="bullet"/>
      <w:lvlText w:val="•"/>
      <w:lvlJc w:val="left"/>
      <w:pPr>
        <w:ind w:left="7311" w:hanging="579"/>
      </w:pPr>
      <w:rPr>
        <w:rFonts w:hint="default"/>
        <w:lang w:val="en-US" w:eastAsia="en-US" w:bidi="ar-SA"/>
      </w:rPr>
    </w:lvl>
    <w:lvl w:ilvl="7">
      <w:start w:val="0"/>
      <w:numFmt w:val="bullet"/>
      <w:lvlText w:val="•"/>
      <w:lvlJc w:val="left"/>
      <w:pPr>
        <w:ind w:left="8280" w:hanging="579"/>
      </w:pPr>
      <w:rPr>
        <w:rFonts w:hint="default"/>
        <w:lang w:val="en-US" w:eastAsia="en-US" w:bidi="ar-SA"/>
      </w:rPr>
    </w:lvl>
    <w:lvl w:ilvl="8">
      <w:start w:val="0"/>
      <w:numFmt w:val="bullet"/>
      <w:lvlText w:val="•"/>
      <w:lvlJc w:val="left"/>
      <w:pPr>
        <w:ind w:left="9249" w:hanging="579"/>
      </w:pPr>
      <w:rPr>
        <w:rFonts w:hint="default"/>
        <w:lang w:val="en-US" w:eastAsia="en-US" w:bidi="ar-SA"/>
      </w:rPr>
    </w:lvl>
  </w:abstractNum>
  <w:abstractNum w:abstractNumId="13">
    <w:multiLevelType w:val="hybridMultilevel"/>
    <w:lvl w:ilvl="0">
      <w:start w:val="1"/>
      <w:numFmt w:val="lowerLetter"/>
      <w:lvlText w:val="(%1)"/>
      <w:lvlJc w:val="left"/>
      <w:pPr>
        <w:ind w:left="1493" w:hanging="721"/>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721"/>
      </w:pPr>
      <w:rPr>
        <w:rFonts w:hint="default"/>
        <w:lang w:val="en-US" w:eastAsia="en-US" w:bidi="ar-SA"/>
      </w:rPr>
    </w:lvl>
    <w:lvl w:ilvl="2">
      <w:start w:val="0"/>
      <w:numFmt w:val="bullet"/>
      <w:lvlText w:val="•"/>
      <w:lvlJc w:val="left"/>
      <w:pPr>
        <w:ind w:left="3437" w:hanging="721"/>
      </w:pPr>
      <w:rPr>
        <w:rFonts w:hint="default"/>
        <w:lang w:val="en-US" w:eastAsia="en-US" w:bidi="ar-SA"/>
      </w:rPr>
    </w:lvl>
    <w:lvl w:ilvl="3">
      <w:start w:val="0"/>
      <w:numFmt w:val="bullet"/>
      <w:lvlText w:val="•"/>
      <w:lvlJc w:val="left"/>
      <w:pPr>
        <w:ind w:left="4405" w:hanging="721"/>
      </w:pPr>
      <w:rPr>
        <w:rFonts w:hint="default"/>
        <w:lang w:val="en-US" w:eastAsia="en-US" w:bidi="ar-SA"/>
      </w:rPr>
    </w:lvl>
    <w:lvl w:ilvl="4">
      <w:start w:val="0"/>
      <w:numFmt w:val="bullet"/>
      <w:lvlText w:val="•"/>
      <w:lvlJc w:val="left"/>
      <w:pPr>
        <w:ind w:left="5374" w:hanging="721"/>
      </w:pPr>
      <w:rPr>
        <w:rFonts w:hint="default"/>
        <w:lang w:val="en-US" w:eastAsia="en-US" w:bidi="ar-SA"/>
      </w:rPr>
    </w:lvl>
    <w:lvl w:ilvl="5">
      <w:start w:val="0"/>
      <w:numFmt w:val="bullet"/>
      <w:lvlText w:val="•"/>
      <w:lvlJc w:val="left"/>
      <w:pPr>
        <w:ind w:left="6343" w:hanging="721"/>
      </w:pPr>
      <w:rPr>
        <w:rFonts w:hint="default"/>
        <w:lang w:val="en-US" w:eastAsia="en-US" w:bidi="ar-SA"/>
      </w:rPr>
    </w:lvl>
    <w:lvl w:ilvl="6">
      <w:start w:val="0"/>
      <w:numFmt w:val="bullet"/>
      <w:lvlText w:val="•"/>
      <w:lvlJc w:val="left"/>
      <w:pPr>
        <w:ind w:left="7311" w:hanging="721"/>
      </w:pPr>
      <w:rPr>
        <w:rFonts w:hint="default"/>
        <w:lang w:val="en-US" w:eastAsia="en-US" w:bidi="ar-SA"/>
      </w:rPr>
    </w:lvl>
    <w:lvl w:ilvl="7">
      <w:start w:val="0"/>
      <w:numFmt w:val="bullet"/>
      <w:lvlText w:val="•"/>
      <w:lvlJc w:val="left"/>
      <w:pPr>
        <w:ind w:left="8280" w:hanging="721"/>
      </w:pPr>
      <w:rPr>
        <w:rFonts w:hint="default"/>
        <w:lang w:val="en-US" w:eastAsia="en-US" w:bidi="ar-SA"/>
      </w:rPr>
    </w:lvl>
    <w:lvl w:ilvl="8">
      <w:start w:val="0"/>
      <w:numFmt w:val="bullet"/>
      <w:lvlText w:val="•"/>
      <w:lvlJc w:val="left"/>
      <w:pPr>
        <w:ind w:left="9249" w:hanging="721"/>
      </w:pPr>
      <w:rPr>
        <w:rFonts w:hint="default"/>
        <w:lang w:val="en-US" w:eastAsia="en-US" w:bidi="ar-SA"/>
      </w:rPr>
    </w:lvl>
  </w:abstractNum>
  <w:abstractNum w:abstractNumId="12">
    <w:multiLevelType w:val="hybridMultilevel"/>
    <w:lvl w:ilvl="0">
      <w:start w:val="1"/>
      <w:numFmt w:val="lowerRoman"/>
      <w:lvlText w:val="(%1)"/>
      <w:lvlJc w:val="left"/>
      <w:pPr>
        <w:ind w:left="1906" w:hanging="720"/>
        <w:jc w:val="left"/>
      </w:pPr>
      <w:rPr>
        <w:rFonts w:hint="default" w:ascii="Arial" w:hAnsi="Arial" w:eastAsia="Arial" w:cs="Arial"/>
        <w:b w:val="0"/>
        <w:bCs w:val="0"/>
        <w:i w:val="0"/>
        <w:iCs w:val="0"/>
        <w:spacing w:val="0"/>
        <w:w w:val="99"/>
        <w:sz w:val="24"/>
        <w:szCs w:val="24"/>
        <w:lang w:val="en-US" w:eastAsia="en-US" w:bidi="ar-SA"/>
      </w:rPr>
    </w:lvl>
    <w:lvl w:ilvl="1">
      <w:start w:val="0"/>
      <w:numFmt w:val="bullet"/>
      <w:lvlText w:val="•"/>
      <w:lvlJc w:val="left"/>
      <w:pPr>
        <w:ind w:left="2828" w:hanging="720"/>
      </w:pPr>
      <w:rPr>
        <w:rFonts w:hint="default"/>
        <w:lang w:val="en-US" w:eastAsia="en-US" w:bidi="ar-SA"/>
      </w:rPr>
    </w:lvl>
    <w:lvl w:ilvl="2">
      <w:start w:val="0"/>
      <w:numFmt w:val="bullet"/>
      <w:lvlText w:val="•"/>
      <w:lvlJc w:val="left"/>
      <w:pPr>
        <w:ind w:left="3757" w:hanging="720"/>
      </w:pPr>
      <w:rPr>
        <w:rFonts w:hint="default"/>
        <w:lang w:val="en-US" w:eastAsia="en-US" w:bidi="ar-SA"/>
      </w:rPr>
    </w:lvl>
    <w:lvl w:ilvl="3">
      <w:start w:val="0"/>
      <w:numFmt w:val="bullet"/>
      <w:lvlText w:val="•"/>
      <w:lvlJc w:val="left"/>
      <w:pPr>
        <w:ind w:left="4685" w:hanging="720"/>
      </w:pPr>
      <w:rPr>
        <w:rFonts w:hint="default"/>
        <w:lang w:val="en-US" w:eastAsia="en-US" w:bidi="ar-SA"/>
      </w:rPr>
    </w:lvl>
    <w:lvl w:ilvl="4">
      <w:start w:val="0"/>
      <w:numFmt w:val="bullet"/>
      <w:lvlText w:val="•"/>
      <w:lvlJc w:val="left"/>
      <w:pPr>
        <w:ind w:left="5614" w:hanging="720"/>
      </w:pPr>
      <w:rPr>
        <w:rFonts w:hint="default"/>
        <w:lang w:val="en-US" w:eastAsia="en-US" w:bidi="ar-SA"/>
      </w:rPr>
    </w:lvl>
    <w:lvl w:ilvl="5">
      <w:start w:val="0"/>
      <w:numFmt w:val="bullet"/>
      <w:lvlText w:val="•"/>
      <w:lvlJc w:val="left"/>
      <w:pPr>
        <w:ind w:left="6543" w:hanging="720"/>
      </w:pPr>
      <w:rPr>
        <w:rFonts w:hint="default"/>
        <w:lang w:val="en-US" w:eastAsia="en-US" w:bidi="ar-SA"/>
      </w:rPr>
    </w:lvl>
    <w:lvl w:ilvl="6">
      <w:start w:val="0"/>
      <w:numFmt w:val="bullet"/>
      <w:lvlText w:val="•"/>
      <w:lvlJc w:val="left"/>
      <w:pPr>
        <w:ind w:left="7471" w:hanging="720"/>
      </w:pPr>
      <w:rPr>
        <w:rFonts w:hint="default"/>
        <w:lang w:val="en-US" w:eastAsia="en-US" w:bidi="ar-SA"/>
      </w:rPr>
    </w:lvl>
    <w:lvl w:ilvl="7">
      <w:start w:val="0"/>
      <w:numFmt w:val="bullet"/>
      <w:lvlText w:val="•"/>
      <w:lvlJc w:val="left"/>
      <w:pPr>
        <w:ind w:left="8400" w:hanging="720"/>
      </w:pPr>
      <w:rPr>
        <w:rFonts w:hint="default"/>
        <w:lang w:val="en-US" w:eastAsia="en-US" w:bidi="ar-SA"/>
      </w:rPr>
    </w:lvl>
    <w:lvl w:ilvl="8">
      <w:start w:val="0"/>
      <w:numFmt w:val="bullet"/>
      <w:lvlText w:val="•"/>
      <w:lvlJc w:val="left"/>
      <w:pPr>
        <w:ind w:left="9329" w:hanging="720"/>
      </w:pPr>
      <w:rPr>
        <w:rFonts w:hint="default"/>
        <w:lang w:val="en-US" w:eastAsia="en-US" w:bidi="ar-SA"/>
      </w:rPr>
    </w:lvl>
  </w:abstractNum>
  <w:abstractNum w:abstractNumId="11">
    <w:multiLevelType w:val="hybridMultilevel"/>
    <w:lvl w:ilvl="0">
      <w:start w:val="1"/>
      <w:numFmt w:val="lowerRoman"/>
      <w:lvlText w:val="(%1)"/>
      <w:lvlJc w:val="left"/>
      <w:pPr>
        <w:ind w:left="2484" w:hanging="27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2753" w:hanging="26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696" w:hanging="269"/>
      </w:pPr>
      <w:rPr>
        <w:rFonts w:hint="default"/>
        <w:lang w:val="en-US" w:eastAsia="en-US" w:bidi="ar-SA"/>
      </w:rPr>
    </w:lvl>
    <w:lvl w:ilvl="3">
      <w:start w:val="0"/>
      <w:numFmt w:val="bullet"/>
      <w:lvlText w:val="•"/>
      <w:lvlJc w:val="left"/>
      <w:pPr>
        <w:ind w:left="4632" w:hanging="269"/>
      </w:pPr>
      <w:rPr>
        <w:rFonts w:hint="default"/>
        <w:lang w:val="en-US" w:eastAsia="en-US" w:bidi="ar-SA"/>
      </w:rPr>
    </w:lvl>
    <w:lvl w:ilvl="4">
      <w:start w:val="0"/>
      <w:numFmt w:val="bullet"/>
      <w:lvlText w:val="•"/>
      <w:lvlJc w:val="left"/>
      <w:pPr>
        <w:ind w:left="5568" w:hanging="269"/>
      </w:pPr>
      <w:rPr>
        <w:rFonts w:hint="default"/>
        <w:lang w:val="en-US" w:eastAsia="en-US" w:bidi="ar-SA"/>
      </w:rPr>
    </w:lvl>
    <w:lvl w:ilvl="5">
      <w:start w:val="0"/>
      <w:numFmt w:val="bullet"/>
      <w:lvlText w:val="•"/>
      <w:lvlJc w:val="left"/>
      <w:pPr>
        <w:ind w:left="6505" w:hanging="269"/>
      </w:pPr>
      <w:rPr>
        <w:rFonts w:hint="default"/>
        <w:lang w:val="en-US" w:eastAsia="en-US" w:bidi="ar-SA"/>
      </w:rPr>
    </w:lvl>
    <w:lvl w:ilvl="6">
      <w:start w:val="0"/>
      <w:numFmt w:val="bullet"/>
      <w:lvlText w:val="•"/>
      <w:lvlJc w:val="left"/>
      <w:pPr>
        <w:ind w:left="7441" w:hanging="269"/>
      </w:pPr>
      <w:rPr>
        <w:rFonts w:hint="default"/>
        <w:lang w:val="en-US" w:eastAsia="en-US" w:bidi="ar-SA"/>
      </w:rPr>
    </w:lvl>
    <w:lvl w:ilvl="7">
      <w:start w:val="0"/>
      <w:numFmt w:val="bullet"/>
      <w:lvlText w:val="•"/>
      <w:lvlJc w:val="left"/>
      <w:pPr>
        <w:ind w:left="8377" w:hanging="269"/>
      </w:pPr>
      <w:rPr>
        <w:rFonts w:hint="default"/>
        <w:lang w:val="en-US" w:eastAsia="en-US" w:bidi="ar-SA"/>
      </w:rPr>
    </w:lvl>
    <w:lvl w:ilvl="8">
      <w:start w:val="0"/>
      <w:numFmt w:val="bullet"/>
      <w:lvlText w:val="•"/>
      <w:lvlJc w:val="left"/>
      <w:pPr>
        <w:ind w:left="9313" w:hanging="269"/>
      </w:pPr>
      <w:rPr>
        <w:rFonts w:hint="default"/>
        <w:lang w:val="en-US" w:eastAsia="en-US" w:bidi="ar-SA"/>
      </w:rPr>
    </w:lvl>
  </w:abstractNum>
  <w:abstractNum w:abstractNumId="10">
    <w:multiLevelType w:val="hybridMultilevel"/>
    <w:lvl w:ilvl="0">
      <w:start w:val="1"/>
      <w:numFmt w:val="lowerLetter"/>
      <w:lvlText w:val="(%1)"/>
      <w:lvlJc w:val="left"/>
      <w:pPr>
        <w:ind w:left="1493" w:hanging="42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1673" w:hanging="372"/>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736" w:hanging="372"/>
      </w:pPr>
      <w:rPr>
        <w:rFonts w:hint="default"/>
        <w:lang w:val="en-US" w:eastAsia="en-US" w:bidi="ar-SA"/>
      </w:rPr>
    </w:lvl>
    <w:lvl w:ilvl="3">
      <w:start w:val="0"/>
      <w:numFmt w:val="bullet"/>
      <w:lvlText w:val="•"/>
      <w:lvlJc w:val="left"/>
      <w:pPr>
        <w:ind w:left="3792" w:hanging="372"/>
      </w:pPr>
      <w:rPr>
        <w:rFonts w:hint="default"/>
        <w:lang w:val="en-US" w:eastAsia="en-US" w:bidi="ar-SA"/>
      </w:rPr>
    </w:lvl>
    <w:lvl w:ilvl="4">
      <w:start w:val="0"/>
      <w:numFmt w:val="bullet"/>
      <w:lvlText w:val="•"/>
      <w:lvlJc w:val="left"/>
      <w:pPr>
        <w:ind w:left="4848" w:hanging="372"/>
      </w:pPr>
      <w:rPr>
        <w:rFonts w:hint="default"/>
        <w:lang w:val="en-US" w:eastAsia="en-US" w:bidi="ar-SA"/>
      </w:rPr>
    </w:lvl>
    <w:lvl w:ilvl="5">
      <w:start w:val="0"/>
      <w:numFmt w:val="bullet"/>
      <w:lvlText w:val="•"/>
      <w:lvlJc w:val="left"/>
      <w:pPr>
        <w:ind w:left="5905" w:hanging="372"/>
      </w:pPr>
      <w:rPr>
        <w:rFonts w:hint="default"/>
        <w:lang w:val="en-US" w:eastAsia="en-US" w:bidi="ar-SA"/>
      </w:rPr>
    </w:lvl>
    <w:lvl w:ilvl="6">
      <w:start w:val="0"/>
      <w:numFmt w:val="bullet"/>
      <w:lvlText w:val="•"/>
      <w:lvlJc w:val="left"/>
      <w:pPr>
        <w:ind w:left="6961" w:hanging="372"/>
      </w:pPr>
      <w:rPr>
        <w:rFonts w:hint="default"/>
        <w:lang w:val="en-US" w:eastAsia="en-US" w:bidi="ar-SA"/>
      </w:rPr>
    </w:lvl>
    <w:lvl w:ilvl="7">
      <w:start w:val="0"/>
      <w:numFmt w:val="bullet"/>
      <w:lvlText w:val="•"/>
      <w:lvlJc w:val="left"/>
      <w:pPr>
        <w:ind w:left="8017" w:hanging="372"/>
      </w:pPr>
      <w:rPr>
        <w:rFonts w:hint="default"/>
        <w:lang w:val="en-US" w:eastAsia="en-US" w:bidi="ar-SA"/>
      </w:rPr>
    </w:lvl>
    <w:lvl w:ilvl="8">
      <w:start w:val="0"/>
      <w:numFmt w:val="bullet"/>
      <w:lvlText w:val="•"/>
      <w:lvlJc w:val="left"/>
      <w:pPr>
        <w:ind w:left="9073" w:hanging="372"/>
      </w:pPr>
      <w:rPr>
        <w:rFonts w:hint="default"/>
        <w:lang w:val="en-US" w:eastAsia="en-US" w:bidi="ar-SA"/>
      </w:rPr>
    </w:lvl>
  </w:abstractNum>
  <w:abstractNum w:abstractNumId="9">
    <w:multiLevelType w:val="hybridMultilevel"/>
    <w:lvl w:ilvl="0">
      <w:start w:val="3"/>
      <w:numFmt w:val="decimal"/>
      <w:lvlText w:val="%1."/>
      <w:lvlJc w:val="left"/>
      <w:pPr>
        <w:ind w:left="1493" w:hanging="611"/>
        <w:jc w:val="right"/>
      </w:pPr>
      <w:rPr>
        <w:rFonts w:hint="default"/>
        <w:spacing w:val="0"/>
        <w:w w:val="100"/>
        <w:lang w:val="en-US" w:eastAsia="en-US" w:bidi="ar-SA"/>
      </w:rPr>
    </w:lvl>
    <w:lvl w:ilvl="1">
      <w:start w:val="1"/>
      <w:numFmt w:val="decimal"/>
      <w:lvlText w:val="(%2)"/>
      <w:lvlJc w:val="left"/>
      <w:pPr>
        <w:ind w:left="1800" w:hanging="540"/>
        <w:jc w:val="right"/>
      </w:pPr>
      <w:rPr>
        <w:rFonts w:hint="default"/>
        <w:spacing w:val="0"/>
        <w:w w:val="100"/>
        <w:lang w:val="en-US" w:eastAsia="en-US" w:bidi="ar-SA"/>
      </w:rPr>
    </w:lvl>
    <w:lvl w:ilvl="2">
      <w:start w:val="1"/>
      <w:numFmt w:val="lowerRoman"/>
      <w:lvlText w:val="%3."/>
      <w:lvlJc w:val="left"/>
      <w:pPr>
        <w:ind w:left="2052" w:hanging="54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1220" w:hanging="540"/>
      </w:pPr>
      <w:rPr>
        <w:rFonts w:hint="default"/>
        <w:lang w:val="en-US" w:eastAsia="en-US" w:bidi="ar-SA"/>
      </w:rPr>
    </w:lvl>
    <w:lvl w:ilvl="4">
      <w:start w:val="0"/>
      <w:numFmt w:val="bullet"/>
      <w:lvlText w:val="•"/>
      <w:lvlJc w:val="left"/>
      <w:pPr>
        <w:ind w:left="1500" w:hanging="540"/>
      </w:pPr>
      <w:rPr>
        <w:rFonts w:hint="default"/>
        <w:lang w:val="en-US" w:eastAsia="en-US" w:bidi="ar-SA"/>
      </w:rPr>
    </w:lvl>
    <w:lvl w:ilvl="5">
      <w:start w:val="0"/>
      <w:numFmt w:val="bullet"/>
      <w:lvlText w:val="•"/>
      <w:lvlJc w:val="left"/>
      <w:pPr>
        <w:ind w:left="1800" w:hanging="540"/>
      </w:pPr>
      <w:rPr>
        <w:rFonts w:hint="default"/>
        <w:lang w:val="en-US" w:eastAsia="en-US" w:bidi="ar-SA"/>
      </w:rPr>
    </w:lvl>
    <w:lvl w:ilvl="6">
      <w:start w:val="0"/>
      <w:numFmt w:val="bullet"/>
      <w:lvlText w:val="•"/>
      <w:lvlJc w:val="left"/>
      <w:pPr>
        <w:ind w:left="2060" w:hanging="540"/>
      </w:pPr>
      <w:rPr>
        <w:rFonts w:hint="default"/>
        <w:lang w:val="en-US" w:eastAsia="en-US" w:bidi="ar-SA"/>
      </w:rPr>
    </w:lvl>
    <w:lvl w:ilvl="7">
      <w:start w:val="0"/>
      <w:numFmt w:val="bullet"/>
      <w:lvlText w:val="•"/>
      <w:lvlJc w:val="left"/>
      <w:pPr>
        <w:ind w:left="4341" w:hanging="540"/>
      </w:pPr>
      <w:rPr>
        <w:rFonts w:hint="default"/>
        <w:lang w:val="en-US" w:eastAsia="en-US" w:bidi="ar-SA"/>
      </w:rPr>
    </w:lvl>
    <w:lvl w:ilvl="8">
      <w:start w:val="0"/>
      <w:numFmt w:val="bullet"/>
      <w:lvlText w:val="•"/>
      <w:lvlJc w:val="left"/>
      <w:pPr>
        <w:ind w:left="6623" w:hanging="540"/>
      </w:pPr>
      <w:rPr>
        <w:rFonts w:hint="default"/>
        <w:lang w:val="en-US" w:eastAsia="en-US" w:bidi="ar-SA"/>
      </w:rPr>
    </w:lvl>
  </w:abstractNum>
  <w:abstractNum w:abstractNumId="8">
    <w:multiLevelType w:val="hybridMultilevel"/>
    <w:lvl w:ilvl="0">
      <w:start w:val="1"/>
      <w:numFmt w:val="lowerRoman"/>
      <w:lvlText w:val="%1)"/>
      <w:lvlJc w:val="left"/>
      <w:pPr>
        <w:ind w:left="1766" w:hanging="71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02" w:hanging="711"/>
      </w:pPr>
      <w:rPr>
        <w:rFonts w:hint="default"/>
        <w:lang w:val="en-US" w:eastAsia="en-US" w:bidi="ar-SA"/>
      </w:rPr>
    </w:lvl>
    <w:lvl w:ilvl="2">
      <w:start w:val="0"/>
      <w:numFmt w:val="bullet"/>
      <w:lvlText w:val="•"/>
      <w:lvlJc w:val="left"/>
      <w:pPr>
        <w:ind w:left="3645" w:hanging="711"/>
      </w:pPr>
      <w:rPr>
        <w:rFonts w:hint="default"/>
        <w:lang w:val="en-US" w:eastAsia="en-US" w:bidi="ar-SA"/>
      </w:rPr>
    </w:lvl>
    <w:lvl w:ilvl="3">
      <w:start w:val="0"/>
      <w:numFmt w:val="bullet"/>
      <w:lvlText w:val="•"/>
      <w:lvlJc w:val="left"/>
      <w:pPr>
        <w:ind w:left="4587" w:hanging="711"/>
      </w:pPr>
      <w:rPr>
        <w:rFonts w:hint="default"/>
        <w:lang w:val="en-US" w:eastAsia="en-US" w:bidi="ar-SA"/>
      </w:rPr>
    </w:lvl>
    <w:lvl w:ilvl="4">
      <w:start w:val="0"/>
      <w:numFmt w:val="bullet"/>
      <w:lvlText w:val="•"/>
      <w:lvlJc w:val="left"/>
      <w:pPr>
        <w:ind w:left="5530" w:hanging="711"/>
      </w:pPr>
      <w:rPr>
        <w:rFonts w:hint="default"/>
        <w:lang w:val="en-US" w:eastAsia="en-US" w:bidi="ar-SA"/>
      </w:rPr>
    </w:lvl>
    <w:lvl w:ilvl="5">
      <w:start w:val="0"/>
      <w:numFmt w:val="bullet"/>
      <w:lvlText w:val="•"/>
      <w:lvlJc w:val="left"/>
      <w:pPr>
        <w:ind w:left="6473" w:hanging="711"/>
      </w:pPr>
      <w:rPr>
        <w:rFonts w:hint="default"/>
        <w:lang w:val="en-US" w:eastAsia="en-US" w:bidi="ar-SA"/>
      </w:rPr>
    </w:lvl>
    <w:lvl w:ilvl="6">
      <w:start w:val="0"/>
      <w:numFmt w:val="bullet"/>
      <w:lvlText w:val="•"/>
      <w:lvlJc w:val="left"/>
      <w:pPr>
        <w:ind w:left="7415" w:hanging="711"/>
      </w:pPr>
      <w:rPr>
        <w:rFonts w:hint="default"/>
        <w:lang w:val="en-US" w:eastAsia="en-US" w:bidi="ar-SA"/>
      </w:rPr>
    </w:lvl>
    <w:lvl w:ilvl="7">
      <w:start w:val="0"/>
      <w:numFmt w:val="bullet"/>
      <w:lvlText w:val="•"/>
      <w:lvlJc w:val="left"/>
      <w:pPr>
        <w:ind w:left="8358" w:hanging="711"/>
      </w:pPr>
      <w:rPr>
        <w:rFonts w:hint="default"/>
        <w:lang w:val="en-US" w:eastAsia="en-US" w:bidi="ar-SA"/>
      </w:rPr>
    </w:lvl>
    <w:lvl w:ilvl="8">
      <w:start w:val="0"/>
      <w:numFmt w:val="bullet"/>
      <w:lvlText w:val="•"/>
      <w:lvlJc w:val="left"/>
      <w:pPr>
        <w:ind w:left="9301" w:hanging="711"/>
      </w:pPr>
      <w:rPr>
        <w:rFonts w:hint="default"/>
        <w:lang w:val="en-US" w:eastAsia="en-US" w:bidi="ar-SA"/>
      </w:rPr>
    </w:lvl>
  </w:abstractNum>
  <w:abstractNum w:abstractNumId="7">
    <w:multiLevelType w:val="hybridMultilevel"/>
    <w:lvl w:ilvl="0">
      <w:start w:val="15"/>
      <w:numFmt w:val="lowerLetter"/>
      <w:lvlText w:val="(%1)"/>
      <w:lvlJc w:val="left"/>
      <w:pPr>
        <w:ind w:left="1766" w:hanging="41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1766" w:hanging="42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645" w:hanging="428"/>
      </w:pPr>
      <w:rPr>
        <w:rFonts w:hint="default"/>
        <w:lang w:val="en-US" w:eastAsia="en-US" w:bidi="ar-SA"/>
      </w:rPr>
    </w:lvl>
    <w:lvl w:ilvl="3">
      <w:start w:val="0"/>
      <w:numFmt w:val="bullet"/>
      <w:lvlText w:val="•"/>
      <w:lvlJc w:val="left"/>
      <w:pPr>
        <w:ind w:left="4587" w:hanging="428"/>
      </w:pPr>
      <w:rPr>
        <w:rFonts w:hint="default"/>
        <w:lang w:val="en-US" w:eastAsia="en-US" w:bidi="ar-SA"/>
      </w:rPr>
    </w:lvl>
    <w:lvl w:ilvl="4">
      <w:start w:val="0"/>
      <w:numFmt w:val="bullet"/>
      <w:lvlText w:val="•"/>
      <w:lvlJc w:val="left"/>
      <w:pPr>
        <w:ind w:left="5530" w:hanging="428"/>
      </w:pPr>
      <w:rPr>
        <w:rFonts w:hint="default"/>
        <w:lang w:val="en-US" w:eastAsia="en-US" w:bidi="ar-SA"/>
      </w:rPr>
    </w:lvl>
    <w:lvl w:ilvl="5">
      <w:start w:val="0"/>
      <w:numFmt w:val="bullet"/>
      <w:lvlText w:val="•"/>
      <w:lvlJc w:val="left"/>
      <w:pPr>
        <w:ind w:left="6473" w:hanging="428"/>
      </w:pPr>
      <w:rPr>
        <w:rFonts w:hint="default"/>
        <w:lang w:val="en-US" w:eastAsia="en-US" w:bidi="ar-SA"/>
      </w:rPr>
    </w:lvl>
    <w:lvl w:ilvl="6">
      <w:start w:val="0"/>
      <w:numFmt w:val="bullet"/>
      <w:lvlText w:val="•"/>
      <w:lvlJc w:val="left"/>
      <w:pPr>
        <w:ind w:left="7415" w:hanging="428"/>
      </w:pPr>
      <w:rPr>
        <w:rFonts w:hint="default"/>
        <w:lang w:val="en-US" w:eastAsia="en-US" w:bidi="ar-SA"/>
      </w:rPr>
    </w:lvl>
    <w:lvl w:ilvl="7">
      <w:start w:val="0"/>
      <w:numFmt w:val="bullet"/>
      <w:lvlText w:val="•"/>
      <w:lvlJc w:val="left"/>
      <w:pPr>
        <w:ind w:left="8358" w:hanging="428"/>
      </w:pPr>
      <w:rPr>
        <w:rFonts w:hint="default"/>
        <w:lang w:val="en-US" w:eastAsia="en-US" w:bidi="ar-SA"/>
      </w:rPr>
    </w:lvl>
    <w:lvl w:ilvl="8">
      <w:start w:val="0"/>
      <w:numFmt w:val="bullet"/>
      <w:lvlText w:val="•"/>
      <w:lvlJc w:val="left"/>
      <w:pPr>
        <w:ind w:left="9301" w:hanging="428"/>
      </w:pPr>
      <w:rPr>
        <w:rFonts w:hint="default"/>
        <w:lang w:val="en-US" w:eastAsia="en-US" w:bidi="ar-SA"/>
      </w:rPr>
    </w:lvl>
  </w:abstractNum>
  <w:abstractNum w:abstractNumId="6">
    <w:multiLevelType w:val="hybridMultilevel"/>
    <w:lvl w:ilvl="0">
      <w:start w:val="1"/>
      <w:numFmt w:val="lowerRoman"/>
      <w:lvlText w:val="%1."/>
      <w:lvlJc w:val="left"/>
      <w:pPr>
        <w:ind w:left="1906" w:hanging="452"/>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828" w:hanging="452"/>
      </w:pPr>
      <w:rPr>
        <w:rFonts w:hint="default"/>
        <w:lang w:val="en-US" w:eastAsia="en-US" w:bidi="ar-SA"/>
      </w:rPr>
    </w:lvl>
    <w:lvl w:ilvl="2">
      <w:start w:val="0"/>
      <w:numFmt w:val="bullet"/>
      <w:lvlText w:val="•"/>
      <w:lvlJc w:val="left"/>
      <w:pPr>
        <w:ind w:left="3757" w:hanging="452"/>
      </w:pPr>
      <w:rPr>
        <w:rFonts w:hint="default"/>
        <w:lang w:val="en-US" w:eastAsia="en-US" w:bidi="ar-SA"/>
      </w:rPr>
    </w:lvl>
    <w:lvl w:ilvl="3">
      <w:start w:val="0"/>
      <w:numFmt w:val="bullet"/>
      <w:lvlText w:val="•"/>
      <w:lvlJc w:val="left"/>
      <w:pPr>
        <w:ind w:left="4685" w:hanging="452"/>
      </w:pPr>
      <w:rPr>
        <w:rFonts w:hint="default"/>
        <w:lang w:val="en-US" w:eastAsia="en-US" w:bidi="ar-SA"/>
      </w:rPr>
    </w:lvl>
    <w:lvl w:ilvl="4">
      <w:start w:val="0"/>
      <w:numFmt w:val="bullet"/>
      <w:lvlText w:val="•"/>
      <w:lvlJc w:val="left"/>
      <w:pPr>
        <w:ind w:left="5614" w:hanging="452"/>
      </w:pPr>
      <w:rPr>
        <w:rFonts w:hint="default"/>
        <w:lang w:val="en-US" w:eastAsia="en-US" w:bidi="ar-SA"/>
      </w:rPr>
    </w:lvl>
    <w:lvl w:ilvl="5">
      <w:start w:val="0"/>
      <w:numFmt w:val="bullet"/>
      <w:lvlText w:val="•"/>
      <w:lvlJc w:val="left"/>
      <w:pPr>
        <w:ind w:left="6543" w:hanging="452"/>
      </w:pPr>
      <w:rPr>
        <w:rFonts w:hint="default"/>
        <w:lang w:val="en-US" w:eastAsia="en-US" w:bidi="ar-SA"/>
      </w:rPr>
    </w:lvl>
    <w:lvl w:ilvl="6">
      <w:start w:val="0"/>
      <w:numFmt w:val="bullet"/>
      <w:lvlText w:val="•"/>
      <w:lvlJc w:val="left"/>
      <w:pPr>
        <w:ind w:left="7471" w:hanging="452"/>
      </w:pPr>
      <w:rPr>
        <w:rFonts w:hint="default"/>
        <w:lang w:val="en-US" w:eastAsia="en-US" w:bidi="ar-SA"/>
      </w:rPr>
    </w:lvl>
    <w:lvl w:ilvl="7">
      <w:start w:val="0"/>
      <w:numFmt w:val="bullet"/>
      <w:lvlText w:val="•"/>
      <w:lvlJc w:val="left"/>
      <w:pPr>
        <w:ind w:left="8400" w:hanging="452"/>
      </w:pPr>
      <w:rPr>
        <w:rFonts w:hint="default"/>
        <w:lang w:val="en-US" w:eastAsia="en-US" w:bidi="ar-SA"/>
      </w:rPr>
    </w:lvl>
    <w:lvl w:ilvl="8">
      <w:start w:val="0"/>
      <w:numFmt w:val="bullet"/>
      <w:lvlText w:val="•"/>
      <w:lvlJc w:val="left"/>
      <w:pPr>
        <w:ind w:left="9329" w:hanging="452"/>
      </w:pPr>
      <w:rPr>
        <w:rFonts w:hint="default"/>
        <w:lang w:val="en-US" w:eastAsia="en-US" w:bidi="ar-SA"/>
      </w:rPr>
    </w:lvl>
  </w:abstractNum>
  <w:abstractNum w:abstractNumId="5">
    <w:multiLevelType w:val="hybridMultilevel"/>
    <w:lvl w:ilvl="0">
      <w:start w:val="1"/>
      <w:numFmt w:val="decimal"/>
      <w:lvlText w:val="(%1)"/>
      <w:lvlJc w:val="left"/>
      <w:pPr>
        <w:ind w:left="1766" w:hanging="711"/>
        <w:jc w:val="right"/>
      </w:pPr>
      <w:rPr>
        <w:rFonts w:hint="default"/>
        <w:spacing w:val="0"/>
        <w:w w:val="100"/>
        <w:lang w:val="en-US" w:eastAsia="en-US" w:bidi="ar-SA"/>
      </w:rPr>
    </w:lvl>
    <w:lvl w:ilvl="1">
      <w:start w:val="1"/>
      <w:numFmt w:val="lowerRoman"/>
      <w:lvlText w:val="(%2)"/>
      <w:lvlJc w:val="left"/>
      <w:pPr>
        <w:ind w:left="1766" w:hanging="71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Letter"/>
      <w:lvlText w:val="(%3)"/>
      <w:lvlJc w:val="left"/>
      <w:pPr>
        <w:ind w:left="1766" w:hanging="428"/>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1"/>
      <w:numFmt w:val="lowerRoman"/>
      <w:lvlText w:val="(%4)"/>
      <w:lvlJc w:val="left"/>
      <w:pPr>
        <w:ind w:left="1766" w:hanging="58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4">
      <w:start w:val="1"/>
      <w:numFmt w:val="lowerLetter"/>
      <w:lvlText w:val="(%5)"/>
      <w:lvlJc w:val="left"/>
      <w:pPr>
        <w:ind w:left="1766" w:hanging="42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5">
      <w:start w:val="0"/>
      <w:numFmt w:val="bullet"/>
      <w:lvlText w:val="•"/>
      <w:lvlJc w:val="left"/>
      <w:pPr>
        <w:ind w:left="6473" w:hanging="428"/>
      </w:pPr>
      <w:rPr>
        <w:rFonts w:hint="default"/>
        <w:lang w:val="en-US" w:eastAsia="en-US" w:bidi="ar-SA"/>
      </w:rPr>
    </w:lvl>
    <w:lvl w:ilvl="6">
      <w:start w:val="0"/>
      <w:numFmt w:val="bullet"/>
      <w:lvlText w:val="•"/>
      <w:lvlJc w:val="left"/>
      <w:pPr>
        <w:ind w:left="7415" w:hanging="428"/>
      </w:pPr>
      <w:rPr>
        <w:rFonts w:hint="default"/>
        <w:lang w:val="en-US" w:eastAsia="en-US" w:bidi="ar-SA"/>
      </w:rPr>
    </w:lvl>
    <w:lvl w:ilvl="7">
      <w:start w:val="0"/>
      <w:numFmt w:val="bullet"/>
      <w:lvlText w:val="•"/>
      <w:lvlJc w:val="left"/>
      <w:pPr>
        <w:ind w:left="8358" w:hanging="428"/>
      </w:pPr>
      <w:rPr>
        <w:rFonts w:hint="default"/>
        <w:lang w:val="en-US" w:eastAsia="en-US" w:bidi="ar-SA"/>
      </w:rPr>
    </w:lvl>
    <w:lvl w:ilvl="8">
      <w:start w:val="0"/>
      <w:numFmt w:val="bullet"/>
      <w:lvlText w:val="•"/>
      <w:lvlJc w:val="left"/>
      <w:pPr>
        <w:ind w:left="9301" w:hanging="428"/>
      </w:pPr>
      <w:rPr>
        <w:rFonts w:hint="default"/>
        <w:lang w:val="en-US" w:eastAsia="en-US" w:bidi="ar-SA"/>
      </w:rPr>
    </w:lvl>
  </w:abstractNum>
  <w:abstractNum w:abstractNumId="3">
    <w:multiLevelType w:val="hybridMultilevel"/>
    <w:lvl w:ilvl="0">
      <w:start w:val="1"/>
      <w:numFmt w:val="decimal"/>
      <w:lvlText w:val="%1."/>
      <w:lvlJc w:val="left"/>
      <w:pPr>
        <w:ind w:left="1493" w:hanging="721"/>
        <w:jc w:val="right"/>
      </w:pPr>
      <w:rPr>
        <w:rFonts w:hint="default"/>
        <w:spacing w:val="0"/>
        <w:w w:val="100"/>
        <w:lang w:val="en-US" w:eastAsia="en-US" w:bidi="ar-SA"/>
      </w:rPr>
    </w:lvl>
    <w:lvl w:ilvl="1">
      <w:start w:val="1"/>
      <w:numFmt w:val="upperRoman"/>
      <w:lvlText w:val="(%2)"/>
      <w:lvlJc w:val="left"/>
      <w:pPr>
        <w:ind w:left="1872" w:hanging="32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914" w:hanging="329"/>
      </w:pPr>
      <w:rPr>
        <w:rFonts w:hint="default"/>
        <w:lang w:val="en-US" w:eastAsia="en-US" w:bidi="ar-SA"/>
      </w:rPr>
    </w:lvl>
    <w:lvl w:ilvl="3">
      <w:start w:val="0"/>
      <w:numFmt w:val="bullet"/>
      <w:lvlText w:val="•"/>
      <w:lvlJc w:val="left"/>
      <w:pPr>
        <w:ind w:left="3948" w:hanging="329"/>
      </w:pPr>
      <w:rPr>
        <w:rFonts w:hint="default"/>
        <w:lang w:val="en-US" w:eastAsia="en-US" w:bidi="ar-SA"/>
      </w:rPr>
    </w:lvl>
    <w:lvl w:ilvl="4">
      <w:start w:val="0"/>
      <w:numFmt w:val="bullet"/>
      <w:lvlText w:val="•"/>
      <w:lvlJc w:val="left"/>
      <w:pPr>
        <w:ind w:left="4982" w:hanging="329"/>
      </w:pPr>
      <w:rPr>
        <w:rFonts w:hint="default"/>
        <w:lang w:val="en-US" w:eastAsia="en-US" w:bidi="ar-SA"/>
      </w:rPr>
    </w:lvl>
    <w:lvl w:ilvl="5">
      <w:start w:val="0"/>
      <w:numFmt w:val="bullet"/>
      <w:lvlText w:val="•"/>
      <w:lvlJc w:val="left"/>
      <w:pPr>
        <w:ind w:left="6016" w:hanging="329"/>
      </w:pPr>
      <w:rPr>
        <w:rFonts w:hint="default"/>
        <w:lang w:val="en-US" w:eastAsia="en-US" w:bidi="ar-SA"/>
      </w:rPr>
    </w:lvl>
    <w:lvl w:ilvl="6">
      <w:start w:val="0"/>
      <w:numFmt w:val="bullet"/>
      <w:lvlText w:val="•"/>
      <w:lvlJc w:val="left"/>
      <w:pPr>
        <w:ind w:left="7050" w:hanging="329"/>
      </w:pPr>
      <w:rPr>
        <w:rFonts w:hint="default"/>
        <w:lang w:val="en-US" w:eastAsia="en-US" w:bidi="ar-SA"/>
      </w:rPr>
    </w:lvl>
    <w:lvl w:ilvl="7">
      <w:start w:val="0"/>
      <w:numFmt w:val="bullet"/>
      <w:lvlText w:val="•"/>
      <w:lvlJc w:val="left"/>
      <w:pPr>
        <w:ind w:left="8084" w:hanging="329"/>
      </w:pPr>
      <w:rPr>
        <w:rFonts w:hint="default"/>
        <w:lang w:val="en-US" w:eastAsia="en-US" w:bidi="ar-SA"/>
      </w:rPr>
    </w:lvl>
    <w:lvl w:ilvl="8">
      <w:start w:val="0"/>
      <w:numFmt w:val="bullet"/>
      <w:lvlText w:val="•"/>
      <w:lvlJc w:val="left"/>
      <w:pPr>
        <w:ind w:left="9118" w:hanging="329"/>
      </w:pPr>
      <w:rPr>
        <w:rFonts w:hint="default"/>
        <w:lang w:val="en-US" w:eastAsia="en-US" w:bidi="ar-SA"/>
      </w:rPr>
    </w:lvl>
  </w:abstractNum>
  <w:abstractNum w:abstractNumId="2">
    <w:multiLevelType w:val="hybridMultilevel"/>
    <w:lvl w:ilvl="0">
      <w:start w:val="3"/>
      <w:numFmt w:val="decimal"/>
      <w:lvlText w:val="%1."/>
      <w:lvlJc w:val="left"/>
      <w:pPr>
        <w:ind w:left="390" w:hanging="33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1.%2"/>
      <w:lvlJc w:val="left"/>
      <w:pPr>
        <w:ind w:left="107" w:hanging="56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1042" w:hanging="561"/>
      </w:pPr>
      <w:rPr>
        <w:rFonts w:hint="default"/>
        <w:lang w:val="en-US" w:eastAsia="en-US" w:bidi="ar-SA"/>
      </w:rPr>
    </w:lvl>
    <w:lvl w:ilvl="3">
      <w:start w:val="0"/>
      <w:numFmt w:val="bullet"/>
      <w:lvlText w:val="•"/>
      <w:lvlJc w:val="left"/>
      <w:pPr>
        <w:ind w:left="1685" w:hanging="561"/>
      </w:pPr>
      <w:rPr>
        <w:rFonts w:hint="default"/>
        <w:lang w:val="en-US" w:eastAsia="en-US" w:bidi="ar-SA"/>
      </w:rPr>
    </w:lvl>
    <w:lvl w:ilvl="4">
      <w:start w:val="0"/>
      <w:numFmt w:val="bullet"/>
      <w:lvlText w:val="•"/>
      <w:lvlJc w:val="left"/>
      <w:pPr>
        <w:ind w:left="2328" w:hanging="561"/>
      </w:pPr>
      <w:rPr>
        <w:rFonts w:hint="default"/>
        <w:lang w:val="en-US" w:eastAsia="en-US" w:bidi="ar-SA"/>
      </w:rPr>
    </w:lvl>
    <w:lvl w:ilvl="5">
      <w:start w:val="0"/>
      <w:numFmt w:val="bullet"/>
      <w:lvlText w:val="•"/>
      <w:lvlJc w:val="left"/>
      <w:pPr>
        <w:ind w:left="2971" w:hanging="561"/>
      </w:pPr>
      <w:rPr>
        <w:rFonts w:hint="default"/>
        <w:lang w:val="en-US" w:eastAsia="en-US" w:bidi="ar-SA"/>
      </w:rPr>
    </w:lvl>
    <w:lvl w:ilvl="6">
      <w:start w:val="0"/>
      <w:numFmt w:val="bullet"/>
      <w:lvlText w:val="•"/>
      <w:lvlJc w:val="left"/>
      <w:pPr>
        <w:ind w:left="3614" w:hanging="561"/>
      </w:pPr>
      <w:rPr>
        <w:rFonts w:hint="default"/>
        <w:lang w:val="en-US" w:eastAsia="en-US" w:bidi="ar-SA"/>
      </w:rPr>
    </w:lvl>
    <w:lvl w:ilvl="7">
      <w:start w:val="0"/>
      <w:numFmt w:val="bullet"/>
      <w:lvlText w:val="•"/>
      <w:lvlJc w:val="left"/>
      <w:pPr>
        <w:ind w:left="4257" w:hanging="561"/>
      </w:pPr>
      <w:rPr>
        <w:rFonts w:hint="default"/>
        <w:lang w:val="en-US" w:eastAsia="en-US" w:bidi="ar-SA"/>
      </w:rPr>
    </w:lvl>
    <w:lvl w:ilvl="8">
      <w:start w:val="0"/>
      <w:numFmt w:val="bullet"/>
      <w:lvlText w:val="•"/>
      <w:lvlJc w:val="left"/>
      <w:pPr>
        <w:ind w:left="4900" w:hanging="561"/>
      </w:pPr>
      <w:rPr>
        <w:rFonts w:hint="default"/>
        <w:lang w:val="en-US" w:eastAsia="en-US" w:bidi="ar-SA"/>
      </w:rPr>
    </w:lvl>
  </w:abstractNum>
  <w:abstractNum w:abstractNumId="1">
    <w:multiLevelType w:val="hybridMultilevel"/>
    <w:lvl w:ilvl="0">
      <w:start w:val="21"/>
      <w:numFmt w:val="decimal"/>
      <w:lvlText w:val="(%1)"/>
      <w:lvlJc w:val="left"/>
      <w:pPr>
        <w:ind w:left="648" w:hanging="79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upperLetter"/>
      <w:lvlText w:val="(%2)"/>
      <w:lvlJc w:val="left"/>
      <w:pPr>
        <w:ind w:left="931" w:hanging="568"/>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1522" w:hanging="568"/>
      </w:pPr>
      <w:rPr>
        <w:rFonts w:hint="default"/>
        <w:lang w:val="en-US" w:eastAsia="en-US" w:bidi="ar-SA"/>
      </w:rPr>
    </w:lvl>
    <w:lvl w:ilvl="3">
      <w:start w:val="0"/>
      <w:numFmt w:val="bullet"/>
      <w:lvlText w:val="•"/>
      <w:lvlJc w:val="left"/>
      <w:pPr>
        <w:ind w:left="2105" w:hanging="568"/>
      </w:pPr>
      <w:rPr>
        <w:rFonts w:hint="default"/>
        <w:lang w:val="en-US" w:eastAsia="en-US" w:bidi="ar-SA"/>
      </w:rPr>
    </w:lvl>
    <w:lvl w:ilvl="4">
      <w:start w:val="0"/>
      <w:numFmt w:val="bullet"/>
      <w:lvlText w:val="•"/>
      <w:lvlJc w:val="left"/>
      <w:pPr>
        <w:ind w:left="2688" w:hanging="568"/>
      </w:pPr>
      <w:rPr>
        <w:rFonts w:hint="default"/>
        <w:lang w:val="en-US" w:eastAsia="en-US" w:bidi="ar-SA"/>
      </w:rPr>
    </w:lvl>
    <w:lvl w:ilvl="5">
      <w:start w:val="0"/>
      <w:numFmt w:val="bullet"/>
      <w:lvlText w:val="•"/>
      <w:lvlJc w:val="left"/>
      <w:pPr>
        <w:ind w:left="3271" w:hanging="568"/>
      </w:pPr>
      <w:rPr>
        <w:rFonts w:hint="default"/>
        <w:lang w:val="en-US" w:eastAsia="en-US" w:bidi="ar-SA"/>
      </w:rPr>
    </w:lvl>
    <w:lvl w:ilvl="6">
      <w:start w:val="0"/>
      <w:numFmt w:val="bullet"/>
      <w:lvlText w:val="•"/>
      <w:lvlJc w:val="left"/>
      <w:pPr>
        <w:ind w:left="3854" w:hanging="568"/>
      </w:pPr>
      <w:rPr>
        <w:rFonts w:hint="default"/>
        <w:lang w:val="en-US" w:eastAsia="en-US" w:bidi="ar-SA"/>
      </w:rPr>
    </w:lvl>
    <w:lvl w:ilvl="7">
      <w:start w:val="0"/>
      <w:numFmt w:val="bullet"/>
      <w:lvlText w:val="•"/>
      <w:lvlJc w:val="left"/>
      <w:pPr>
        <w:ind w:left="4437" w:hanging="568"/>
      </w:pPr>
      <w:rPr>
        <w:rFonts w:hint="default"/>
        <w:lang w:val="en-US" w:eastAsia="en-US" w:bidi="ar-SA"/>
      </w:rPr>
    </w:lvl>
    <w:lvl w:ilvl="8">
      <w:start w:val="0"/>
      <w:numFmt w:val="bullet"/>
      <w:lvlText w:val="•"/>
      <w:lvlJc w:val="left"/>
      <w:pPr>
        <w:ind w:left="5020" w:hanging="568"/>
      </w:pPr>
      <w:rPr>
        <w:rFonts w:hint="default"/>
        <w:lang w:val="en-US" w:eastAsia="en-US" w:bidi="ar-SA"/>
      </w:rPr>
    </w:lvl>
  </w:abstractNum>
  <w:abstractNum w:abstractNumId="0">
    <w:multiLevelType w:val="hybridMultilevel"/>
    <w:lvl w:ilvl="0">
      <w:start w:val="12"/>
      <w:numFmt w:val="decimal"/>
      <w:lvlText w:val="(%1)"/>
      <w:lvlJc w:val="left"/>
      <w:pPr>
        <w:ind w:left="660" w:hanging="58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upperLetter"/>
      <w:lvlText w:val="(%2)"/>
      <w:lvlJc w:val="left"/>
      <w:pPr>
        <w:ind w:left="1020" w:hanging="83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1594" w:hanging="832"/>
      </w:pPr>
      <w:rPr>
        <w:rFonts w:hint="default"/>
        <w:lang w:val="en-US" w:eastAsia="en-US" w:bidi="ar-SA"/>
      </w:rPr>
    </w:lvl>
    <w:lvl w:ilvl="3">
      <w:start w:val="0"/>
      <w:numFmt w:val="bullet"/>
      <w:lvlText w:val="•"/>
      <w:lvlJc w:val="left"/>
      <w:pPr>
        <w:ind w:left="2168" w:hanging="832"/>
      </w:pPr>
      <w:rPr>
        <w:rFonts w:hint="default"/>
        <w:lang w:val="en-US" w:eastAsia="en-US" w:bidi="ar-SA"/>
      </w:rPr>
    </w:lvl>
    <w:lvl w:ilvl="4">
      <w:start w:val="0"/>
      <w:numFmt w:val="bullet"/>
      <w:lvlText w:val="•"/>
      <w:lvlJc w:val="left"/>
      <w:pPr>
        <w:ind w:left="2742" w:hanging="832"/>
      </w:pPr>
      <w:rPr>
        <w:rFonts w:hint="default"/>
        <w:lang w:val="en-US" w:eastAsia="en-US" w:bidi="ar-SA"/>
      </w:rPr>
    </w:lvl>
    <w:lvl w:ilvl="5">
      <w:start w:val="0"/>
      <w:numFmt w:val="bullet"/>
      <w:lvlText w:val="•"/>
      <w:lvlJc w:val="left"/>
      <w:pPr>
        <w:ind w:left="3316" w:hanging="832"/>
      </w:pPr>
      <w:rPr>
        <w:rFonts w:hint="default"/>
        <w:lang w:val="en-US" w:eastAsia="en-US" w:bidi="ar-SA"/>
      </w:rPr>
    </w:lvl>
    <w:lvl w:ilvl="6">
      <w:start w:val="0"/>
      <w:numFmt w:val="bullet"/>
      <w:lvlText w:val="•"/>
      <w:lvlJc w:val="left"/>
      <w:pPr>
        <w:ind w:left="3890" w:hanging="832"/>
      </w:pPr>
      <w:rPr>
        <w:rFonts w:hint="default"/>
        <w:lang w:val="en-US" w:eastAsia="en-US" w:bidi="ar-SA"/>
      </w:rPr>
    </w:lvl>
    <w:lvl w:ilvl="7">
      <w:start w:val="0"/>
      <w:numFmt w:val="bullet"/>
      <w:lvlText w:val="•"/>
      <w:lvlJc w:val="left"/>
      <w:pPr>
        <w:ind w:left="4464" w:hanging="832"/>
      </w:pPr>
      <w:rPr>
        <w:rFonts w:hint="default"/>
        <w:lang w:val="en-US" w:eastAsia="en-US" w:bidi="ar-SA"/>
      </w:rPr>
    </w:lvl>
    <w:lvl w:ilvl="8">
      <w:start w:val="0"/>
      <w:numFmt w:val="bullet"/>
      <w:lvlText w:val="•"/>
      <w:lvlJc w:val="left"/>
      <w:pPr>
        <w:ind w:left="5038" w:hanging="832"/>
      </w:pPr>
      <w:rPr>
        <w:rFonts w:hint="default"/>
        <w:lang w:val="en-US" w:eastAsia="en-US" w:bidi="ar-SA"/>
      </w:rPr>
    </w:lvl>
  </w:abstractNum>
  <w:num w:numId="388">
    <w:abstractNumId w:val="387"/>
  </w:num>
  <w:num w:numId="373">
    <w:abstractNumId w:val="372"/>
  </w:num>
  <w:num w:numId="372">
    <w:abstractNumId w:val="371"/>
  </w:num>
  <w:num w:numId="357">
    <w:abstractNumId w:val="356"/>
  </w:num>
  <w:num w:numId="326">
    <w:abstractNumId w:val="325"/>
  </w:num>
  <w:num w:numId="180">
    <w:abstractNumId w:val="179"/>
  </w:num>
  <w:num w:numId="146">
    <w:abstractNumId w:val="145"/>
  </w:num>
  <w:num w:numId="134">
    <w:abstractNumId w:val="133"/>
  </w:num>
  <w:num w:numId="91">
    <w:abstractNumId w:val="90"/>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1">
    <w:abstractNumId w:val="70"/>
  </w:num>
  <w:num w:numId="70">
    <w:abstractNumId w:val="69"/>
  </w:num>
  <w:num w:numId="69">
    <w:abstractNumId w:val="68"/>
  </w:num>
  <w:num w:numId="68">
    <w:abstractNumId w:val="67"/>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1">
    <w:abstractNumId w:val="40"/>
  </w:num>
  <w:num w:numId="40">
    <w:abstractNumId w:val="39"/>
  </w:num>
  <w:num w:numId="39">
    <w:abstractNumId w:val="38"/>
  </w:num>
  <w:num w:numId="38">
    <w:abstractNumId w:val="37"/>
  </w:num>
  <w:num w:numId="36">
    <w:abstractNumId w:val="35"/>
  </w:num>
  <w:num w:numId="35">
    <w:abstractNumId w:val="34"/>
  </w:num>
  <w:num w:numId="33">
    <w:abstractNumId w:val="32"/>
  </w:num>
  <w:num w:numId="25">
    <w:abstractNumId w:val="24"/>
  </w:num>
  <w:num w:numId="5">
    <w:abstractNumId w:val="4"/>
  </w:num>
  <w:num w:numId="392">
    <w:abstractNumId w:val="391"/>
  </w:num>
  <w:num w:numId="391">
    <w:abstractNumId w:val="390"/>
  </w:num>
  <w:num w:numId="390">
    <w:abstractNumId w:val="389"/>
  </w:num>
  <w:num w:numId="389">
    <w:abstractNumId w:val="388"/>
  </w:num>
  <w:num w:numId="387">
    <w:abstractNumId w:val="386"/>
  </w:num>
  <w:num w:numId="386">
    <w:abstractNumId w:val="385"/>
  </w:num>
  <w:num w:numId="385">
    <w:abstractNumId w:val="384"/>
  </w:num>
  <w:num w:numId="384">
    <w:abstractNumId w:val="383"/>
  </w:num>
  <w:num w:numId="383">
    <w:abstractNumId w:val="382"/>
  </w:num>
  <w:num w:numId="382">
    <w:abstractNumId w:val="381"/>
  </w:num>
  <w:num w:numId="381">
    <w:abstractNumId w:val="380"/>
  </w:num>
  <w:num w:numId="380">
    <w:abstractNumId w:val="379"/>
  </w:num>
  <w:num w:numId="379">
    <w:abstractNumId w:val="378"/>
  </w:num>
  <w:num w:numId="378">
    <w:abstractNumId w:val="377"/>
  </w:num>
  <w:num w:numId="377">
    <w:abstractNumId w:val="376"/>
  </w:num>
  <w:num w:numId="376">
    <w:abstractNumId w:val="375"/>
  </w:num>
  <w:num w:numId="375">
    <w:abstractNumId w:val="374"/>
  </w:num>
  <w:num w:numId="374">
    <w:abstractNumId w:val="373"/>
  </w:num>
  <w:num w:numId="371">
    <w:abstractNumId w:val="370"/>
  </w:num>
  <w:num w:numId="370">
    <w:abstractNumId w:val="369"/>
  </w:num>
  <w:num w:numId="369">
    <w:abstractNumId w:val="368"/>
  </w:num>
  <w:num w:numId="368">
    <w:abstractNumId w:val="367"/>
  </w:num>
  <w:num w:numId="367">
    <w:abstractNumId w:val="366"/>
  </w:num>
  <w:num w:numId="366">
    <w:abstractNumId w:val="365"/>
  </w:num>
  <w:num w:numId="365">
    <w:abstractNumId w:val="364"/>
  </w:num>
  <w:num w:numId="364">
    <w:abstractNumId w:val="363"/>
  </w:num>
  <w:num w:numId="363">
    <w:abstractNumId w:val="362"/>
  </w:num>
  <w:num w:numId="362">
    <w:abstractNumId w:val="361"/>
  </w:num>
  <w:num w:numId="361">
    <w:abstractNumId w:val="360"/>
  </w:num>
  <w:num w:numId="360">
    <w:abstractNumId w:val="359"/>
  </w:num>
  <w:num w:numId="359">
    <w:abstractNumId w:val="358"/>
  </w:num>
  <w:num w:numId="358">
    <w:abstractNumId w:val="357"/>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40">
    <w:abstractNumId w:val="339"/>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39">
    <w:abstractNumId w:val="138"/>
  </w:num>
  <w:num w:numId="163">
    <w:abstractNumId w:val="162"/>
  </w:num>
  <w:num w:numId="167">
    <w:abstractNumId w:val="166"/>
  </w:num>
  <w:num w:numId="166">
    <w:abstractNumId w:val="165"/>
  </w:num>
  <w:num w:numId="165">
    <w:abstractNumId w:val="164"/>
  </w:num>
  <w:num w:numId="164">
    <w:abstractNumId w:val="163"/>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5">
    <w:abstractNumId w:val="144"/>
  </w:num>
  <w:num w:numId="144">
    <w:abstractNumId w:val="143"/>
  </w:num>
  <w:num w:numId="143">
    <w:abstractNumId w:val="142"/>
  </w:num>
  <w:num w:numId="142">
    <w:abstractNumId w:val="141"/>
  </w:num>
  <w:num w:numId="141">
    <w:abstractNumId w:val="140"/>
  </w:num>
  <w:num w:numId="140">
    <w:abstractNumId w:val="139"/>
  </w:num>
  <w:num w:numId="138">
    <w:abstractNumId w:val="137"/>
  </w:num>
  <w:num w:numId="137">
    <w:abstractNumId w:val="136"/>
  </w:num>
  <w:num w:numId="136">
    <w:abstractNumId w:val="135"/>
  </w:num>
  <w:num w:numId="135">
    <w:abstractNumId w:val="134"/>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0">
    <w:abstractNumId w:val="89"/>
  </w:num>
  <w:num w:numId="89">
    <w:abstractNumId w:val="88"/>
  </w:num>
  <w:num w:numId="88">
    <w:abstractNumId w:val="87"/>
  </w:num>
  <w:num w:numId="87">
    <w:abstractNumId w:val="86"/>
  </w:num>
  <w:num w:numId="86">
    <w:abstractNumId w:val="85"/>
  </w:num>
  <w:num w:numId="72">
    <w:abstractNumId w:val="71"/>
  </w:num>
  <w:num w:numId="67">
    <w:abstractNumId w:val="66"/>
  </w:num>
  <w:num w:numId="57">
    <w:abstractNumId w:val="56"/>
  </w:num>
  <w:num w:numId="42">
    <w:abstractNumId w:val="41"/>
  </w:num>
  <w:num w:numId="37">
    <w:abstractNumId w:val="36"/>
  </w:num>
  <w:num w:numId="34">
    <w:abstractNumId w:val="33"/>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man Old Style" w:hAnsi="Bookman Old Style" w:eastAsia="Bookman Old Style" w:cs="Bookman Old Style"/>
      <w:lang w:val="en-US" w:eastAsia="en-US" w:bidi="ar-SA"/>
    </w:rPr>
  </w:style>
  <w:style w:styleId="BodyText" w:type="paragraph">
    <w:name w:val="Body Text"/>
    <w:basedOn w:val="Normal"/>
    <w:uiPriority w:val="1"/>
    <w:qFormat/>
    <w:pPr>
      <w:jc w:val="both"/>
    </w:pPr>
    <w:rPr>
      <w:rFonts w:ascii="Bookman Old Style" w:hAnsi="Bookman Old Style" w:eastAsia="Bookman Old Style" w:cs="Bookman Old Style"/>
      <w:sz w:val="24"/>
      <w:szCs w:val="24"/>
      <w:lang w:val="en-US" w:eastAsia="en-US" w:bidi="ar-SA"/>
    </w:rPr>
  </w:style>
  <w:style w:styleId="Heading1" w:type="paragraph">
    <w:name w:val="Heading 1"/>
    <w:basedOn w:val="Normal"/>
    <w:uiPriority w:val="1"/>
    <w:qFormat/>
    <w:pPr>
      <w:spacing w:before="254"/>
      <w:jc w:val="center"/>
      <w:outlineLvl w:val="1"/>
    </w:pPr>
    <w:rPr>
      <w:rFonts w:ascii="Bookman Old Style" w:hAnsi="Bookman Old Style" w:eastAsia="Bookman Old Style" w:cs="Bookman Old Style"/>
      <w:b/>
      <w:bCs/>
      <w:sz w:val="32"/>
      <w:szCs w:val="32"/>
      <w:lang w:val="en-US" w:eastAsia="en-US" w:bidi="ar-SA"/>
    </w:rPr>
  </w:style>
  <w:style w:styleId="Heading2" w:type="paragraph">
    <w:name w:val="Heading 2"/>
    <w:basedOn w:val="Normal"/>
    <w:uiPriority w:val="1"/>
    <w:qFormat/>
    <w:pPr>
      <w:ind w:left="1493" w:hanging="721"/>
      <w:outlineLvl w:val="2"/>
    </w:pPr>
    <w:rPr>
      <w:rFonts w:ascii="Bookman Old Style" w:hAnsi="Bookman Old Style" w:eastAsia="Bookman Old Style" w:cs="Bookman Old Style"/>
      <w:b/>
      <w:bCs/>
      <w:sz w:val="28"/>
      <w:szCs w:val="28"/>
      <w:lang w:val="en-US" w:eastAsia="en-US" w:bidi="ar-SA"/>
    </w:rPr>
  </w:style>
  <w:style w:styleId="Heading3" w:type="paragraph">
    <w:name w:val="Heading 3"/>
    <w:basedOn w:val="Normal"/>
    <w:uiPriority w:val="1"/>
    <w:qFormat/>
    <w:pPr>
      <w:spacing w:before="238"/>
      <w:ind w:left="1493" w:hanging="721"/>
      <w:outlineLvl w:val="3"/>
    </w:pPr>
    <w:rPr>
      <w:rFonts w:ascii="Bookman Old Style" w:hAnsi="Bookman Old Style" w:eastAsia="Bookman Old Style" w:cs="Bookman Old Style"/>
      <w:b/>
      <w:bCs/>
      <w:i/>
      <w:iCs/>
      <w:sz w:val="28"/>
      <w:szCs w:val="28"/>
      <w:lang w:val="en-US" w:eastAsia="en-US" w:bidi="ar-SA"/>
    </w:rPr>
  </w:style>
  <w:style w:styleId="Heading4" w:type="paragraph">
    <w:name w:val="Heading 4"/>
    <w:basedOn w:val="Normal"/>
    <w:uiPriority w:val="1"/>
    <w:qFormat/>
    <w:pPr>
      <w:jc w:val="center"/>
      <w:outlineLvl w:val="4"/>
    </w:pPr>
    <w:rPr>
      <w:rFonts w:ascii="Bookman Old Style" w:hAnsi="Bookman Old Style" w:eastAsia="Bookman Old Style" w:cs="Bookman Old Style"/>
      <w:b/>
      <w:bCs/>
      <w:sz w:val="24"/>
      <w:szCs w:val="24"/>
      <w:lang w:val="en-US" w:eastAsia="en-US" w:bidi="ar-SA"/>
    </w:rPr>
  </w:style>
  <w:style w:styleId="Heading5" w:type="paragraph">
    <w:name w:val="Heading 5"/>
    <w:basedOn w:val="Normal"/>
    <w:uiPriority w:val="1"/>
    <w:qFormat/>
    <w:pPr>
      <w:outlineLvl w:val="5"/>
    </w:pPr>
    <w:rPr>
      <w:rFonts w:ascii="Bookman Old Style" w:hAnsi="Bookman Old Style" w:eastAsia="Bookman Old Style" w:cs="Bookman Old Style"/>
      <w:b/>
      <w:bCs/>
      <w:sz w:val="24"/>
      <w:szCs w:val="24"/>
      <w:lang w:val="en-US" w:eastAsia="en-US" w:bidi="ar-SA"/>
    </w:rPr>
  </w:style>
  <w:style w:styleId="Heading6" w:type="paragraph">
    <w:name w:val="Heading 6"/>
    <w:basedOn w:val="Normal"/>
    <w:uiPriority w:val="1"/>
    <w:qFormat/>
    <w:pPr>
      <w:ind w:left="1342"/>
      <w:outlineLvl w:val="6"/>
    </w:pPr>
    <w:rPr>
      <w:rFonts w:ascii="Bookman Old Style" w:hAnsi="Bookman Old Style" w:eastAsia="Bookman Old Style" w:cs="Bookman Old Style"/>
      <w:b/>
      <w:bCs/>
      <w:i/>
      <w:iCs/>
      <w:sz w:val="24"/>
      <w:szCs w:val="24"/>
      <w:lang w:val="en-US" w:eastAsia="en-US" w:bidi="ar-SA"/>
    </w:rPr>
  </w:style>
  <w:style w:styleId="Title" w:type="paragraph">
    <w:name w:val="Title"/>
    <w:basedOn w:val="Normal"/>
    <w:uiPriority w:val="1"/>
    <w:qFormat/>
    <w:pPr>
      <w:spacing w:before="77"/>
      <w:ind w:left="58"/>
    </w:pPr>
    <w:rPr>
      <w:rFonts w:ascii="Bookman Old Style" w:hAnsi="Bookman Old Style" w:eastAsia="Bookman Old Style" w:cs="Bookman Old Style"/>
      <w:b/>
      <w:bCs/>
      <w:sz w:val="36"/>
      <w:szCs w:val="36"/>
      <w:lang w:val="en-US" w:eastAsia="en-US" w:bidi="ar-SA"/>
    </w:rPr>
  </w:style>
  <w:style w:styleId="ListParagraph" w:type="paragraph">
    <w:name w:val="List Paragraph"/>
    <w:basedOn w:val="Normal"/>
    <w:uiPriority w:val="1"/>
    <w:qFormat/>
    <w:pPr>
      <w:ind w:left="2062"/>
      <w:jc w:val="both"/>
    </w:pPr>
    <w:rPr>
      <w:rFonts w:ascii="Bookman Old Style" w:hAnsi="Bookman Old Style" w:eastAsia="Bookman Old Style" w:cs="Bookman Old Style"/>
      <w:lang w:val="en-US" w:eastAsia="en-US" w:bidi="ar-SA"/>
    </w:rPr>
  </w:style>
  <w:style w:styleId="TableParagraph" w:type="paragraph">
    <w:name w:val="Table Paragraph"/>
    <w:basedOn w:val="Normal"/>
    <w:uiPriority w:val="1"/>
    <w:qFormat/>
    <w:pPr/>
    <w:rPr>
      <w:rFonts w:ascii="Bookman Old Style" w:hAnsi="Bookman Old Style" w:eastAsia="Bookman Old Style" w:cs="Bookman Old Styl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header" Target="header5.xml"/><Relationship Id="rId17" Type="http://schemas.openxmlformats.org/officeDocument/2006/relationships/footer" Target="footer5.xml"/><Relationship Id="rId18" Type="http://schemas.openxmlformats.org/officeDocument/2006/relationships/header" Target="header6.xml"/><Relationship Id="rId19" Type="http://schemas.openxmlformats.org/officeDocument/2006/relationships/footer" Target="footer6.xml"/><Relationship Id="rId20" Type="http://schemas.openxmlformats.org/officeDocument/2006/relationships/header" Target="header7.xml"/><Relationship Id="rId21" Type="http://schemas.openxmlformats.org/officeDocument/2006/relationships/footer" Target="footer7.xml"/><Relationship Id="rId22" Type="http://schemas.openxmlformats.org/officeDocument/2006/relationships/header" Target="header8.xml"/><Relationship Id="rId23" Type="http://schemas.openxmlformats.org/officeDocument/2006/relationships/footer" Target="footer8.xml"/><Relationship Id="rId24" Type="http://schemas.openxmlformats.org/officeDocument/2006/relationships/header" Target="header9.xml"/><Relationship Id="rId25" Type="http://schemas.openxmlformats.org/officeDocument/2006/relationships/footer" Target="footer9.xml"/><Relationship Id="rId26" Type="http://schemas.openxmlformats.org/officeDocument/2006/relationships/header" Target="header10.xml"/><Relationship Id="rId27" Type="http://schemas.openxmlformats.org/officeDocument/2006/relationships/footer" Target="footer10.xml"/><Relationship Id="rId28" Type="http://schemas.openxmlformats.org/officeDocument/2006/relationships/header" Target="header11.xml"/><Relationship Id="rId29" Type="http://schemas.openxmlformats.org/officeDocument/2006/relationships/footer" Target="footer11.xml"/><Relationship Id="rId30" Type="http://schemas.openxmlformats.org/officeDocument/2006/relationships/hyperlink" Target="http://en.wikipedia.org/wiki/Land_Acquisition_Act%2C_1894" TargetMode="Externa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footer" Target="footer19.xml"/><Relationship Id="rId47" Type="http://schemas.openxmlformats.org/officeDocument/2006/relationships/header" Target="header20.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footer" Target="footer22.xml"/><Relationship Id="rId53" Type="http://schemas.openxmlformats.org/officeDocument/2006/relationships/header" Target="header23.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footer" Target="footer25.xml"/><Relationship Id="rId59" Type="http://schemas.openxmlformats.org/officeDocument/2006/relationships/header" Target="header26.xml"/><Relationship Id="rId60" Type="http://schemas.openxmlformats.org/officeDocument/2006/relationships/footer" Target="footer26.xml"/><Relationship Id="rId61" Type="http://schemas.openxmlformats.org/officeDocument/2006/relationships/hyperlink" Target="http://www.archive.india.gov.in/outerwin.php?id=http%3A//education.nic.in/disab1995.pdf" TargetMode="External"/><Relationship Id="rId62" Type="http://schemas.openxmlformats.org/officeDocument/2006/relationships/header" Target="header27.xml"/><Relationship Id="rId63" Type="http://schemas.openxmlformats.org/officeDocument/2006/relationships/footer" Target="footer27.xml"/><Relationship Id="rId64" Type="http://schemas.openxmlformats.org/officeDocument/2006/relationships/header" Target="header28.xml"/><Relationship Id="rId65" Type="http://schemas.openxmlformats.org/officeDocument/2006/relationships/footer" Target="footer28.xml"/><Relationship Id="rId66" Type="http://schemas.openxmlformats.org/officeDocument/2006/relationships/image" Target="media/image13.png"/><Relationship Id="rId67" Type="http://schemas.openxmlformats.org/officeDocument/2006/relationships/header" Target="header29.xml"/><Relationship Id="rId68" Type="http://schemas.openxmlformats.org/officeDocument/2006/relationships/footer" Target="footer29.xml"/><Relationship Id="rId69" Type="http://schemas.openxmlformats.org/officeDocument/2006/relationships/image" Target="media/image14.png"/><Relationship Id="rId70" Type="http://schemas.openxmlformats.org/officeDocument/2006/relationships/header" Target="header30.xml"/><Relationship Id="rId71" Type="http://schemas.openxmlformats.org/officeDocument/2006/relationships/footer" Target="footer30.xml"/><Relationship Id="rId72" Type="http://schemas.openxmlformats.org/officeDocument/2006/relationships/header" Target="header31.xml"/><Relationship Id="rId73" Type="http://schemas.openxmlformats.org/officeDocument/2006/relationships/footer" Target="footer31.xml"/><Relationship Id="rId74" Type="http://schemas.openxmlformats.org/officeDocument/2006/relationships/header" Target="header32.xml"/><Relationship Id="rId75" Type="http://schemas.openxmlformats.org/officeDocument/2006/relationships/footer" Target="footer32.xml"/><Relationship Id="rId76" Type="http://schemas.openxmlformats.org/officeDocument/2006/relationships/header" Target="header33.xml"/><Relationship Id="rId77" Type="http://schemas.openxmlformats.org/officeDocument/2006/relationships/footer" Target="footer33.xml"/><Relationship Id="rId78" Type="http://schemas.openxmlformats.org/officeDocument/2006/relationships/header" Target="header34.xml"/><Relationship Id="rId79" Type="http://schemas.openxmlformats.org/officeDocument/2006/relationships/footer" Target="footer34.xml"/><Relationship Id="rId80" Type="http://schemas.openxmlformats.org/officeDocument/2006/relationships/header" Target="header35.xml"/><Relationship Id="rId81" Type="http://schemas.openxmlformats.org/officeDocument/2006/relationships/footer" Target="footer35.xml"/><Relationship Id="rId82" Type="http://schemas.openxmlformats.org/officeDocument/2006/relationships/header" Target="header36.xml"/><Relationship Id="rId83" Type="http://schemas.openxmlformats.org/officeDocument/2006/relationships/footer" Target="footer36.xml"/><Relationship Id="rId84" Type="http://schemas.openxmlformats.org/officeDocument/2006/relationships/header" Target="header37.xml"/><Relationship Id="rId85" Type="http://schemas.openxmlformats.org/officeDocument/2006/relationships/footer" Target="footer37.xml"/><Relationship Id="rId86" Type="http://schemas.openxmlformats.org/officeDocument/2006/relationships/header" Target="header38.xml"/><Relationship Id="rId87" Type="http://schemas.openxmlformats.org/officeDocument/2006/relationships/footer" Target="footer38.xml"/><Relationship Id="rId88" Type="http://schemas.openxmlformats.org/officeDocument/2006/relationships/header" Target="header39.xml"/><Relationship Id="rId89" Type="http://schemas.openxmlformats.org/officeDocument/2006/relationships/footer" Target="footer39.xml"/><Relationship Id="rId90" Type="http://schemas.openxmlformats.org/officeDocument/2006/relationships/header" Target="header40.xml"/><Relationship Id="rId91" Type="http://schemas.openxmlformats.org/officeDocument/2006/relationships/footer" Target="footer40.xml"/><Relationship Id="rId92" Type="http://schemas.openxmlformats.org/officeDocument/2006/relationships/header" Target="header41.xml"/><Relationship Id="rId93" Type="http://schemas.openxmlformats.org/officeDocument/2006/relationships/footer" Target="footer41.xml"/><Relationship Id="rId94" Type="http://schemas.openxmlformats.org/officeDocument/2006/relationships/header" Target="header42.xml"/><Relationship Id="rId95" Type="http://schemas.openxmlformats.org/officeDocument/2006/relationships/footer" Target="footer42.xml"/><Relationship Id="rId96" Type="http://schemas.openxmlformats.org/officeDocument/2006/relationships/header" Target="header43.xml"/><Relationship Id="rId97" Type="http://schemas.openxmlformats.org/officeDocument/2006/relationships/footer" Target="footer43.xml"/><Relationship Id="rId98" Type="http://schemas.openxmlformats.org/officeDocument/2006/relationships/header" Target="header44.xml"/><Relationship Id="rId99" Type="http://schemas.openxmlformats.org/officeDocument/2006/relationships/footer" Target="footer44.xml"/><Relationship Id="rId100" Type="http://schemas.openxmlformats.org/officeDocument/2006/relationships/image" Target="media/image15.png"/><Relationship Id="rId101" Type="http://schemas.openxmlformats.org/officeDocument/2006/relationships/image" Target="media/image16.png"/><Relationship Id="rId102" Type="http://schemas.openxmlformats.org/officeDocument/2006/relationships/image" Target="media/image17.jpeg"/><Relationship Id="rId103" Type="http://schemas.openxmlformats.org/officeDocument/2006/relationships/image" Target="media/image18.png"/><Relationship Id="rId104" Type="http://schemas.openxmlformats.org/officeDocument/2006/relationships/image" Target="media/image19.png"/><Relationship Id="rId105" Type="http://schemas.openxmlformats.org/officeDocument/2006/relationships/image" Target="media/image20.png"/><Relationship Id="rId106" Type="http://schemas.openxmlformats.org/officeDocument/2006/relationships/image" Target="media/image21.jpeg"/><Relationship Id="rId107" Type="http://schemas.openxmlformats.org/officeDocument/2006/relationships/image" Target="media/image22.png"/><Relationship Id="rId108" Type="http://schemas.openxmlformats.org/officeDocument/2006/relationships/header" Target="header45.xml"/><Relationship Id="rId109" Type="http://schemas.openxmlformats.org/officeDocument/2006/relationships/footer" Target="footer45.xml"/><Relationship Id="rId11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9.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5.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6.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7.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8.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9.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10.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1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2.png"/></Relationships>

</file>

<file path=word/_rels/footer1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1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14.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15.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16.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17.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18.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19.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0.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4.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5.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6.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7.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8.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9.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30.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3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9.png"/></Relationships>

</file>

<file path=word/_rels/footer3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3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34.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35.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36.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9.png"/></Relationships>

</file>

<file path=word/_rels/footer45.xml.rels><?xml version="1.0" encoding="UTF-8" standalone="yes"?>
<Relationships xmlns="http://schemas.openxmlformats.org/package/2006/relationships"><Relationship Id="rId1" Type="http://schemas.openxmlformats.org/officeDocument/2006/relationships/image" Target="media/image23.png"/><Relationship Id="rId2"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9.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10.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1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1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13.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14.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15.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16.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17.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18.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19.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20.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2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2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23.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24.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25.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26.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27.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28.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29.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30.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3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3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33.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34.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35.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36.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37.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38.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39.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40.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4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4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4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44.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45.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2025-11-19T10:06:20Z</dcterms:created>
  <dcterms:modified xsi:type="dcterms:W3CDTF">2025-11-19T10:06:20Z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LastSaved">
    <vt:filetime>2025-11-19T00:00:00Z</vt:filetime>
  </property>
  <property fmtid="{D5CDD505-2E9C-101B-9397-08002B2CF9AE}" pid="4" name="Producer">
    <vt:lpwstr>3-Heights(TM) PDF Security Shell 4.8.25.2 (http://www.pdf-tools.com)</vt:lpwstr>
  </property>
</Properties>
</file>